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33.xml" ContentType="application/vnd.openxmlformats-officedocument.wordprocessingml.footer+xml"/>
  <Override PartName="/word/footer34.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35.xml" ContentType="application/vnd.openxmlformats-officedocument.wordprocessingml.footer+xml"/>
  <Override PartName="/word/footer36.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oter47.xml" ContentType="application/vnd.openxmlformats-officedocument.wordprocessingml.footer+xml"/>
  <Override PartName="/word/footer48.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footer49.xml" ContentType="application/vnd.openxmlformats-officedocument.wordprocessingml.footer+xml"/>
  <Override PartName="/word/footer50.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0BCA79" w14:textId="77777777" w:rsidR="00724034" w:rsidRDefault="00724034">
      <w:pPr>
        <w:sectPr w:rsidR="00724034">
          <w:type w:val="continuous"/>
          <w:pgSz w:w="10319" w:h="14572"/>
          <w:pgMar w:top="1077" w:right="1077" w:bottom="1134" w:left="1134" w:header="709" w:footer="709" w:gutter="0"/>
          <w:cols w:space="708"/>
        </w:sectPr>
      </w:pPr>
    </w:p>
    <w:p w14:paraId="29635ACD" w14:textId="77777777" w:rsidR="00724034" w:rsidRDefault="00724034"/>
    <w:p w14:paraId="639F31F4" w14:textId="77777777" w:rsidR="003F0EEA" w:rsidRDefault="003F0EEA" w:rsidP="003F0EEA">
      <w:pPr>
        <w:pStyle w:val="Normal2"/>
        <w:jc w:val="center"/>
        <w:rPr>
          <w:rFonts w:ascii="Calibri" w:eastAsia="Calibri" w:hAnsi="Calibri"/>
        </w:rPr>
      </w:pPr>
    </w:p>
    <w:p w14:paraId="6D4C426B" w14:textId="77777777" w:rsidR="003F0EEA" w:rsidRDefault="003F0EEA" w:rsidP="003F0EEA">
      <w:pPr>
        <w:pStyle w:val="Normal2"/>
        <w:ind w:left="1418"/>
        <w:jc w:val="center"/>
        <w:rPr>
          <w:rFonts w:ascii="Calibri" w:eastAsia="Calibri" w:hAnsi="Calibri"/>
        </w:rPr>
      </w:pPr>
    </w:p>
    <w:p w14:paraId="219CE87A" w14:textId="77777777" w:rsidR="003F0EEA" w:rsidRDefault="003F0EEA" w:rsidP="003F0EEA">
      <w:pPr>
        <w:pStyle w:val="Normal2"/>
        <w:ind w:left="1418"/>
        <w:jc w:val="center"/>
        <w:rPr>
          <w:rFonts w:ascii="Calibri" w:eastAsia="Calibri" w:hAnsi="Calibri"/>
        </w:rPr>
      </w:pPr>
    </w:p>
    <w:p w14:paraId="1B8F4F7D" w14:textId="77777777" w:rsidR="003F0EEA" w:rsidRDefault="00355BFE" w:rsidP="003F0EEA">
      <w:pPr>
        <w:pStyle w:val="Normal2"/>
        <w:jc w:val="center"/>
        <w:rPr>
          <w:rFonts w:ascii="Calibri" w:eastAsia="Calibri" w:hAnsi="Calibri"/>
        </w:rPr>
      </w:pPr>
      <w:r w:rsidRPr="00355BFE">
        <w:rPr>
          <w:rFonts w:ascii="Calibri" w:eastAsia="Calibri" w:hAnsi="Calibri"/>
          <w:noProof/>
          <w:lang w:eastAsia="en-AU"/>
        </w:rPr>
        <w:pict w14:anchorId="3F9EB7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102pt;height:1in;visibility:visible">
            <v:imagedata r:id="rId11" o:title=""/>
          </v:shape>
        </w:pict>
      </w:r>
    </w:p>
    <w:p w14:paraId="63E9269B" w14:textId="77777777" w:rsidR="003F0EEA" w:rsidRPr="002E347E" w:rsidRDefault="00FB7D0B" w:rsidP="003F0EEA">
      <w:pPr>
        <w:pStyle w:val="TableGraphic"/>
        <w:pBdr>
          <w:between w:val="single" w:sz="4" w:space="1" w:color="auto"/>
        </w:pBdr>
        <w:jc w:val="center"/>
        <w:rPr>
          <w:rFonts w:ascii="Californian FB" w:hAnsi="Californian FB" w:cs="Arial"/>
          <w:b/>
          <w:noProof/>
          <w:sz w:val="144"/>
          <w:szCs w:val="144"/>
        </w:rPr>
      </w:pPr>
      <w:r w:rsidRPr="002E347E">
        <w:rPr>
          <w:rFonts w:ascii="Californian FB" w:hAnsi="Californian FB" w:cs="Arial"/>
          <w:b/>
          <w:noProof/>
          <w:sz w:val="144"/>
          <w:szCs w:val="144"/>
        </w:rPr>
        <w:t>B</w:t>
      </w:r>
      <w:r w:rsidRPr="002E347E">
        <w:rPr>
          <w:rFonts w:ascii="Californian FB" w:hAnsi="Californian FB" w:cs="Arial"/>
          <w:b/>
          <w:noProof/>
          <w:sz w:val="120"/>
          <w:szCs w:val="120"/>
        </w:rPr>
        <w:t>UDGE</w:t>
      </w:r>
      <w:r w:rsidRPr="002E347E">
        <w:rPr>
          <w:rFonts w:ascii="Californian FB" w:hAnsi="Californian FB" w:cs="Arial"/>
          <w:b/>
          <w:noProof/>
          <w:sz w:val="144"/>
          <w:szCs w:val="144"/>
        </w:rPr>
        <w:t>T</w:t>
      </w:r>
    </w:p>
    <w:tbl>
      <w:tblPr>
        <w:tblpPr w:leftFromText="180" w:rightFromText="180" w:vertAnchor="text" w:horzAnchor="margin" w:tblpXSpec="center" w:tblpY="23"/>
        <w:tblW w:w="0" w:type="auto"/>
        <w:tblBorders>
          <w:top w:val="single" w:sz="12" w:space="0" w:color="auto"/>
        </w:tblBorders>
        <w:tblLook w:val="0000" w:firstRow="0" w:lastRow="0" w:firstColumn="0" w:lastColumn="0" w:noHBand="0" w:noVBand="0"/>
      </w:tblPr>
      <w:tblGrid>
        <w:gridCol w:w="5910"/>
      </w:tblGrid>
      <w:tr w:rsidR="00724034" w14:paraId="4095CE37" w14:textId="77777777" w:rsidTr="003F0EEA">
        <w:trPr>
          <w:trHeight w:val="16"/>
        </w:trPr>
        <w:tc>
          <w:tcPr>
            <w:tcW w:w="5910" w:type="dxa"/>
          </w:tcPr>
          <w:p w14:paraId="027AEAFE" w14:textId="77777777" w:rsidR="003F0EEA" w:rsidRPr="002E347E" w:rsidRDefault="003F0EEA" w:rsidP="003F0EEA">
            <w:pPr>
              <w:pStyle w:val="TableGraphic"/>
              <w:jc w:val="center"/>
              <w:rPr>
                <w:rFonts w:ascii="Californian FB" w:hAnsi="Californian FB" w:cs="Arial"/>
                <w:b/>
                <w:noProof/>
                <w:sz w:val="18"/>
                <w:szCs w:val="18"/>
              </w:rPr>
            </w:pPr>
          </w:p>
        </w:tc>
      </w:tr>
    </w:tbl>
    <w:p w14:paraId="4E14F9CF" w14:textId="77777777" w:rsidR="003F0EEA" w:rsidRDefault="003F0EEA" w:rsidP="003F0EEA">
      <w:pPr>
        <w:pStyle w:val="TableGraphic"/>
        <w:jc w:val="center"/>
        <w:rPr>
          <w:rFonts w:ascii="Calibri" w:hAnsi="Calibri" w:cs="Arial"/>
          <w:b/>
          <w:noProof/>
          <w:sz w:val="52"/>
          <w:szCs w:val="52"/>
        </w:rPr>
      </w:pPr>
    </w:p>
    <w:p w14:paraId="15C06546" w14:textId="77777777" w:rsidR="003F0EEA" w:rsidRPr="002E347E" w:rsidRDefault="00FB7D0B" w:rsidP="003F0EEA">
      <w:pPr>
        <w:pStyle w:val="Normal2"/>
        <w:jc w:val="center"/>
        <w:rPr>
          <w:rFonts w:ascii="Californian FB" w:eastAsia="Calibri" w:hAnsi="Californian FB" w:cs="Arial"/>
          <w:b/>
          <w:sz w:val="72"/>
          <w:szCs w:val="72"/>
          <w:lang w:eastAsia="en-AU"/>
        </w:rPr>
      </w:pPr>
      <w:r w:rsidRPr="002E347E">
        <w:rPr>
          <w:rFonts w:ascii="Californian FB" w:eastAsia="Calibri" w:hAnsi="Californian FB" w:cs="Arial"/>
          <w:b/>
          <w:sz w:val="72"/>
          <w:szCs w:val="72"/>
          <w:lang w:eastAsia="en-AU"/>
        </w:rPr>
        <w:t xml:space="preserve">2014 </w:t>
      </w:r>
      <w:r w:rsidRPr="00B009D1">
        <w:rPr>
          <w:rFonts w:ascii="Arial" w:eastAsia="Calibri" w:hAnsi="Arial" w:cs="Arial"/>
          <w:sz w:val="72"/>
          <w:szCs w:val="72"/>
          <w:lang w:eastAsia="en-AU"/>
        </w:rPr>
        <w:t>-</w:t>
      </w:r>
      <w:r w:rsidRPr="002E347E">
        <w:rPr>
          <w:rFonts w:ascii="Californian FB" w:eastAsia="Calibri" w:hAnsi="Californian FB" w:cs="Arial"/>
          <w:b/>
          <w:sz w:val="72"/>
          <w:szCs w:val="72"/>
          <w:lang w:eastAsia="en-AU"/>
        </w:rPr>
        <w:t xml:space="preserve"> 15</w:t>
      </w:r>
    </w:p>
    <w:p w14:paraId="10F9F790" w14:textId="77777777" w:rsidR="003F0EEA" w:rsidRPr="002E347E" w:rsidRDefault="00FB7D0B" w:rsidP="003F0EEA">
      <w:pPr>
        <w:pStyle w:val="TPHeading2"/>
        <w:spacing w:before="120"/>
        <w:jc w:val="center"/>
        <w:rPr>
          <w:rFonts w:ascii="Californian FB" w:hAnsi="Californian FB"/>
          <w:caps w:val="0"/>
          <w:sz w:val="36"/>
          <w:szCs w:val="36"/>
        </w:rPr>
      </w:pPr>
      <w:r w:rsidRPr="002E347E">
        <w:rPr>
          <w:rFonts w:ascii="Californian FB" w:hAnsi="Californian FB"/>
          <w:caps w:val="0"/>
          <w:sz w:val="36"/>
          <w:szCs w:val="36"/>
        </w:rPr>
        <w:t>Portfolio Budget Statements</w:t>
      </w:r>
      <w:r w:rsidRPr="002E347E">
        <w:rPr>
          <w:rFonts w:ascii="Californian FB" w:hAnsi="Californian FB" w:cs="Arial"/>
          <w:caps w:val="0"/>
          <w:sz w:val="36"/>
          <w:szCs w:val="36"/>
        </w:rPr>
        <w:t xml:space="preserve"> 2014-15</w:t>
      </w:r>
    </w:p>
    <w:p w14:paraId="609B0D94" w14:textId="77777777" w:rsidR="003F0EEA" w:rsidRPr="002E347E" w:rsidRDefault="00FB7D0B" w:rsidP="003F0EEA">
      <w:pPr>
        <w:pStyle w:val="TPHeading2"/>
        <w:jc w:val="center"/>
        <w:rPr>
          <w:rFonts w:ascii="Californian FB" w:hAnsi="Californian FB" w:cs="Arial"/>
          <w:caps w:val="0"/>
          <w:sz w:val="36"/>
          <w:szCs w:val="36"/>
        </w:rPr>
      </w:pPr>
      <w:r>
        <w:rPr>
          <w:rFonts w:ascii="Californian FB" w:hAnsi="Californian FB" w:cs="Arial"/>
          <w:caps w:val="0"/>
          <w:sz w:val="36"/>
          <w:szCs w:val="36"/>
        </w:rPr>
        <w:t>Budget Related P</w:t>
      </w:r>
      <w:r w:rsidRPr="002E347E">
        <w:rPr>
          <w:rFonts w:ascii="Californian FB" w:hAnsi="Californian FB" w:cs="Arial"/>
          <w:caps w:val="0"/>
          <w:sz w:val="36"/>
          <w:szCs w:val="36"/>
        </w:rPr>
        <w:t>aper No. 1.4B</w:t>
      </w:r>
    </w:p>
    <w:p w14:paraId="3764BE6F" w14:textId="77777777" w:rsidR="003F0EEA" w:rsidRPr="002E347E" w:rsidRDefault="003F0EEA" w:rsidP="003F0EEA">
      <w:pPr>
        <w:pStyle w:val="TPHeading2"/>
        <w:jc w:val="center"/>
        <w:rPr>
          <w:rFonts w:ascii="Californian FB" w:hAnsi="Californian FB" w:cs="Arial"/>
          <w:caps w:val="0"/>
          <w:sz w:val="36"/>
          <w:szCs w:val="36"/>
        </w:rPr>
      </w:pPr>
    </w:p>
    <w:p w14:paraId="2EEA6FBB" w14:textId="77777777" w:rsidR="003F0EEA" w:rsidRPr="002E347E" w:rsidRDefault="00FB7D0B" w:rsidP="003F0EEA">
      <w:pPr>
        <w:pStyle w:val="TPHeading2"/>
        <w:jc w:val="center"/>
        <w:rPr>
          <w:rFonts w:ascii="Californian FB" w:hAnsi="Californian FB" w:cs="Arial"/>
          <w:caps w:val="0"/>
          <w:sz w:val="36"/>
          <w:szCs w:val="36"/>
        </w:rPr>
      </w:pPr>
      <w:r>
        <w:rPr>
          <w:rFonts w:ascii="Californian FB" w:hAnsi="Californian FB" w:cs="Arial"/>
          <w:caps w:val="0"/>
          <w:sz w:val="36"/>
          <w:szCs w:val="36"/>
        </w:rPr>
        <w:t>Defence</w:t>
      </w:r>
      <w:r w:rsidRPr="002E347E">
        <w:rPr>
          <w:rFonts w:ascii="Californian FB" w:hAnsi="Californian FB" w:cs="Arial"/>
          <w:caps w:val="0"/>
          <w:sz w:val="36"/>
          <w:szCs w:val="36"/>
        </w:rPr>
        <w:t xml:space="preserve"> Portfolio</w:t>
      </w:r>
    </w:p>
    <w:p w14:paraId="72CD36BE" w14:textId="77777777" w:rsidR="003F0EEA" w:rsidRPr="002E347E" w:rsidRDefault="00FB7D0B" w:rsidP="003F0EEA">
      <w:pPr>
        <w:pStyle w:val="TPHeading2"/>
        <w:jc w:val="center"/>
        <w:rPr>
          <w:rFonts w:ascii="Californian FB" w:hAnsi="Californian FB" w:cs="Arial"/>
          <w:caps w:val="0"/>
          <w:sz w:val="36"/>
          <w:szCs w:val="36"/>
        </w:rPr>
      </w:pPr>
      <w:r w:rsidRPr="002E347E">
        <w:rPr>
          <w:rFonts w:ascii="Californian FB" w:hAnsi="Californian FB" w:cs="Arial"/>
          <w:caps w:val="0"/>
          <w:sz w:val="36"/>
          <w:szCs w:val="36"/>
        </w:rPr>
        <w:t>(Department of Veterans' Affairs)</w:t>
      </w:r>
    </w:p>
    <w:p w14:paraId="45BA00BF" w14:textId="77777777" w:rsidR="003F0EEA" w:rsidRPr="002E347E" w:rsidRDefault="003F0EEA" w:rsidP="003F0EEA">
      <w:pPr>
        <w:pStyle w:val="TPHeading2"/>
        <w:jc w:val="center"/>
        <w:rPr>
          <w:rFonts w:ascii="Californian FB" w:hAnsi="Californian FB"/>
          <w:sz w:val="36"/>
          <w:szCs w:val="36"/>
        </w:rPr>
      </w:pPr>
    </w:p>
    <w:p w14:paraId="0BBB849E" w14:textId="77777777" w:rsidR="003F0EEA" w:rsidRPr="002E347E" w:rsidRDefault="003F0EEA" w:rsidP="003F0EEA">
      <w:pPr>
        <w:pStyle w:val="Normal2"/>
        <w:ind w:left="1418"/>
        <w:jc w:val="center"/>
        <w:rPr>
          <w:rFonts w:ascii="Californian FB" w:eastAsia="Calibri" w:hAnsi="Californian FB"/>
        </w:rPr>
      </w:pPr>
    </w:p>
    <w:p w14:paraId="33DB6416" w14:textId="77777777" w:rsidR="003F0EEA" w:rsidRPr="002E347E" w:rsidRDefault="003F0EEA" w:rsidP="003F0EEA">
      <w:pPr>
        <w:pStyle w:val="Normal2"/>
        <w:ind w:left="1418"/>
        <w:jc w:val="center"/>
        <w:rPr>
          <w:rFonts w:ascii="Californian FB" w:eastAsia="Calibri" w:hAnsi="Californian FB"/>
        </w:rPr>
      </w:pPr>
    </w:p>
    <w:p w14:paraId="029B6CCC" w14:textId="77777777" w:rsidR="003F0EEA" w:rsidRPr="002E347E" w:rsidRDefault="003F0EEA" w:rsidP="003F0EEA">
      <w:pPr>
        <w:pStyle w:val="Normal2"/>
        <w:rPr>
          <w:rFonts w:ascii="Californian FB" w:eastAsia="Calibri" w:hAnsi="Californian FB"/>
        </w:rPr>
      </w:pPr>
    </w:p>
    <w:p w14:paraId="1FA9888E" w14:textId="77777777" w:rsidR="003F0EEA" w:rsidRPr="002E347E" w:rsidRDefault="003F0EEA" w:rsidP="003F0EEA">
      <w:pPr>
        <w:pStyle w:val="TPHeading3"/>
        <w:ind w:left="1418"/>
        <w:jc w:val="center"/>
        <w:rPr>
          <w:rFonts w:ascii="Californian FB" w:hAnsi="Californian FB"/>
          <w:szCs w:val="24"/>
        </w:rPr>
      </w:pPr>
    </w:p>
    <w:p w14:paraId="45E87D24" w14:textId="77777777" w:rsidR="003F0EEA" w:rsidRPr="002E347E" w:rsidRDefault="00FB7D0B" w:rsidP="003F0EEA">
      <w:pPr>
        <w:pStyle w:val="TPHeading3"/>
        <w:jc w:val="center"/>
        <w:rPr>
          <w:rFonts w:ascii="Californian FB" w:hAnsi="Californian FB" w:cs="Arial"/>
          <w:caps w:val="0"/>
          <w:szCs w:val="24"/>
        </w:rPr>
      </w:pPr>
      <w:r w:rsidRPr="002E347E">
        <w:rPr>
          <w:rFonts w:ascii="Californian FB" w:hAnsi="Californian FB" w:cs="Arial"/>
          <w:caps w:val="0"/>
          <w:szCs w:val="24"/>
        </w:rPr>
        <w:t>Budget Initiatives and Explanations Of</w:t>
      </w:r>
    </w:p>
    <w:p w14:paraId="0315987C" w14:textId="77777777" w:rsidR="003F0EEA" w:rsidRPr="002E347E" w:rsidRDefault="00FB7D0B" w:rsidP="003F0EEA">
      <w:pPr>
        <w:pStyle w:val="TPHeading3"/>
        <w:jc w:val="center"/>
        <w:rPr>
          <w:rFonts w:ascii="Californian FB" w:hAnsi="Californian FB" w:cs="Arial"/>
          <w:caps w:val="0"/>
          <w:szCs w:val="24"/>
        </w:rPr>
      </w:pPr>
      <w:r w:rsidRPr="002E347E">
        <w:rPr>
          <w:rFonts w:ascii="Californian FB" w:hAnsi="Californian FB" w:cs="Arial"/>
          <w:caps w:val="0"/>
          <w:szCs w:val="24"/>
        </w:rPr>
        <w:t>Appropriations Specified by Outcomes</w:t>
      </w:r>
    </w:p>
    <w:p w14:paraId="6E878EAE" w14:textId="77777777" w:rsidR="003F0EEA" w:rsidRPr="002E347E" w:rsidRDefault="00FB7D0B" w:rsidP="003F0EEA">
      <w:pPr>
        <w:pStyle w:val="TPHeading3"/>
        <w:jc w:val="center"/>
        <w:rPr>
          <w:rFonts w:ascii="Californian FB" w:hAnsi="Californian FB" w:cs="Arial"/>
          <w:caps w:val="0"/>
          <w:szCs w:val="24"/>
        </w:rPr>
      </w:pPr>
      <w:r w:rsidRPr="002E347E">
        <w:rPr>
          <w:rFonts w:ascii="Californian FB" w:hAnsi="Californian FB" w:cs="Arial"/>
          <w:caps w:val="0"/>
          <w:szCs w:val="24"/>
        </w:rPr>
        <w:t>and Programmes by agency</w:t>
      </w:r>
    </w:p>
    <w:p w14:paraId="6179ADE9" w14:textId="77777777" w:rsidR="003F0EEA" w:rsidRPr="002E347E" w:rsidRDefault="00FB7D0B">
      <w:pPr>
        <w:spacing w:line="14" w:lineRule="exact"/>
        <w:rPr>
          <w:rFonts w:ascii="Californian FB" w:hAnsi="Californian FB" w:cs="Arial"/>
        </w:rPr>
      </w:pPr>
      <w:r w:rsidRPr="002E347E">
        <w:rPr>
          <w:rFonts w:ascii="Californian FB" w:hAnsi="Californian FB" w:cs="Arial"/>
        </w:rPr>
        <w:br w:type="page"/>
      </w:r>
    </w:p>
    <w:p w14:paraId="1411A86D" w14:textId="77777777" w:rsidR="003F0EEA" w:rsidRPr="008C53AA" w:rsidRDefault="00FB7D0B" w:rsidP="003F0EEA">
      <w:pPr>
        <w:pStyle w:val="Normal3"/>
        <w:rPr>
          <w:rFonts w:ascii="Book Antiqua" w:eastAsia="Calibri" w:hAnsi="Book Antiqua"/>
          <w:sz w:val="20"/>
          <w:szCs w:val="20"/>
        </w:rPr>
      </w:pPr>
      <w:r w:rsidRPr="008C53AA">
        <w:rPr>
          <w:rFonts w:ascii="Book Antiqua" w:eastAsia="Calibri" w:hAnsi="Book Antiqua"/>
          <w:sz w:val="20"/>
          <w:szCs w:val="20"/>
        </w:rPr>
        <w:t>ISBN 978-1-877007-96-5</w:t>
      </w:r>
    </w:p>
    <w:p w14:paraId="04771CD7" w14:textId="77777777" w:rsidR="003F0EEA" w:rsidRDefault="00355BFE" w:rsidP="003F0EEA">
      <w:pPr>
        <w:pStyle w:val="Normal3"/>
        <w:rPr>
          <w:rFonts w:ascii="Calibri" w:eastAsia="Calibri" w:hAnsi="Calibri"/>
        </w:rPr>
      </w:pPr>
      <w:r>
        <w:rPr>
          <w:rFonts w:ascii="Calibri" w:eastAsia="Calibri" w:hAnsi="Calibri"/>
          <w:noProof/>
        </w:rPr>
        <w:pict w14:anchorId="46E65127">
          <v:shape id="Picture 1" o:spid="_x0000_s1032" type="#_x0000_t75" alt="Creative Commons License" style="position:absolute;margin-left:1.6pt;margin-top:6.4pt;width:84pt;height:28.5pt;z-index:251657216;visibility:visible">
            <v:imagedata r:id="rId12" o:title="Creative Commons License"/>
            <w10:wrap type="square"/>
          </v:shape>
        </w:pict>
      </w:r>
    </w:p>
    <w:p w14:paraId="689A2345" w14:textId="77777777" w:rsidR="003F0EEA" w:rsidRPr="008C53AA" w:rsidRDefault="003F0EEA" w:rsidP="003F0EEA">
      <w:pPr>
        <w:pStyle w:val="Normal3"/>
        <w:rPr>
          <w:rFonts w:ascii="Book Antiqua" w:eastAsia="Calibri" w:hAnsi="Book Antiqua"/>
          <w:snapToGrid w:val="0"/>
          <w:sz w:val="20"/>
          <w:szCs w:val="20"/>
        </w:rPr>
      </w:pPr>
    </w:p>
    <w:p w14:paraId="7C47EC9F" w14:textId="77777777" w:rsidR="003F0EEA" w:rsidRPr="008C53AA" w:rsidRDefault="00FB7D0B" w:rsidP="003F0EEA">
      <w:pPr>
        <w:pStyle w:val="Normal3"/>
        <w:rPr>
          <w:rFonts w:ascii="Book Antiqua" w:eastAsia="Calibri" w:hAnsi="Book Antiqua"/>
          <w:snapToGrid w:val="0"/>
          <w:sz w:val="20"/>
          <w:szCs w:val="20"/>
        </w:rPr>
      </w:pPr>
      <w:r w:rsidRPr="008C53AA">
        <w:rPr>
          <w:rFonts w:ascii="Book Antiqua" w:eastAsia="Calibri" w:hAnsi="Book Antiqua"/>
          <w:snapToGrid w:val="0"/>
          <w:sz w:val="20"/>
          <w:szCs w:val="20"/>
        </w:rPr>
        <w:t xml:space="preserve">With the exception of the Commonwealth Coat of Arms and where otherwise noted all material presented in this document is provided under a Creative Commons Attribution 3.0 Australia (http://creativecommons.org/licenses/by/3.0/au/) licence. </w:t>
      </w:r>
    </w:p>
    <w:p w14:paraId="6E4D98CE" w14:textId="77777777" w:rsidR="003F0EEA" w:rsidRPr="008C53AA" w:rsidRDefault="00FB7D0B" w:rsidP="003F0EEA">
      <w:pPr>
        <w:pStyle w:val="Normal3"/>
        <w:rPr>
          <w:rFonts w:ascii="Book Antiqua" w:eastAsia="Calibri" w:hAnsi="Book Antiqua"/>
          <w:snapToGrid w:val="0"/>
          <w:sz w:val="20"/>
          <w:szCs w:val="20"/>
        </w:rPr>
      </w:pPr>
      <w:r w:rsidRPr="008C53AA">
        <w:rPr>
          <w:rFonts w:ascii="Book Antiqua" w:eastAsia="Calibri" w:hAnsi="Book Antiqua"/>
          <w:snapToGrid w:val="0"/>
          <w:sz w:val="20"/>
          <w:szCs w:val="20"/>
        </w:rPr>
        <w:t>The details of the relevant licence conditions are available on the Creative Commons website (accessible using the links provided) as is the full legal code for the CC BY 3.0 AU licence (http://creativecommons.org/licenses/by/3.0/au/legalcode).</w:t>
      </w:r>
    </w:p>
    <w:p w14:paraId="31EBF938" w14:textId="77777777" w:rsidR="003F0EEA" w:rsidRPr="008C53AA" w:rsidRDefault="00FB7D0B" w:rsidP="003F0EEA">
      <w:pPr>
        <w:pStyle w:val="Normal3"/>
        <w:rPr>
          <w:rFonts w:ascii="Book Antiqua" w:eastAsia="Calibri" w:hAnsi="Book Antiqua"/>
          <w:snapToGrid w:val="0"/>
          <w:sz w:val="20"/>
          <w:szCs w:val="20"/>
        </w:rPr>
      </w:pPr>
      <w:r w:rsidRPr="008C53AA">
        <w:rPr>
          <w:rFonts w:ascii="Book Antiqua" w:eastAsia="Calibri" w:hAnsi="Book Antiqua"/>
          <w:snapToGrid w:val="0"/>
          <w:sz w:val="20"/>
          <w:szCs w:val="20"/>
        </w:rPr>
        <w:t xml:space="preserve">The document must be attributed as the Portfolio </w:t>
      </w:r>
      <w:r>
        <w:rPr>
          <w:rFonts w:ascii="Book Antiqua" w:eastAsia="Calibri" w:hAnsi="Book Antiqua"/>
          <w:snapToGrid w:val="0"/>
          <w:sz w:val="20"/>
          <w:szCs w:val="20"/>
        </w:rPr>
        <w:t>Budget</w:t>
      </w:r>
      <w:r w:rsidRPr="008C53AA">
        <w:rPr>
          <w:rFonts w:ascii="Book Antiqua" w:eastAsia="Calibri" w:hAnsi="Book Antiqua"/>
          <w:snapToGrid w:val="0"/>
          <w:sz w:val="20"/>
          <w:szCs w:val="20"/>
        </w:rPr>
        <w:t xml:space="preserve"> Statements 2014-15.</w:t>
      </w:r>
    </w:p>
    <w:p w14:paraId="44C49FDA" w14:textId="77777777" w:rsidR="003F0EEA" w:rsidRDefault="003F0EEA" w:rsidP="003F0EEA">
      <w:pPr>
        <w:pStyle w:val="Normal3"/>
        <w:rPr>
          <w:rFonts w:ascii="Calibri" w:eastAsia="Calibri" w:hAnsi="Calibri"/>
        </w:rPr>
      </w:pPr>
    </w:p>
    <w:p w14:paraId="4635451D" w14:textId="77777777" w:rsidR="003F0EEA" w:rsidRDefault="003F0EEA" w:rsidP="003F0EEA">
      <w:pPr>
        <w:pStyle w:val="Normal3"/>
        <w:rPr>
          <w:rFonts w:ascii="Calibri" w:eastAsia="Calibri" w:hAnsi="Calibri"/>
        </w:rPr>
      </w:pPr>
    </w:p>
    <w:p w14:paraId="04A937FD" w14:textId="77777777" w:rsidR="003F0EEA" w:rsidRDefault="003F0EEA" w:rsidP="003F0EEA">
      <w:pPr>
        <w:pStyle w:val="Normal3"/>
        <w:rPr>
          <w:rFonts w:ascii="Calibri" w:eastAsia="Calibri" w:hAnsi="Calibri"/>
        </w:rPr>
      </w:pPr>
    </w:p>
    <w:p w14:paraId="6AD59F34" w14:textId="77777777" w:rsidR="003F0EEA" w:rsidRDefault="003F0EEA" w:rsidP="003F0EEA">
      <w:pPr>
        <w:pStyle w:val="Normal3"/>
        <w:rPr>
          <w:rFonts w:ascii="Calibri" w:eastAsia="Calibri" w:hAnsi="Calibri"/>
        </w:rPr>
      </w:pPr>
    </w:p>
    <w:p w14:paraId="204973DF" w14:textId="77777777" w:rsidR="003F0EEA" w:rsidRDefault="003F0EEA" w:rsidP="003F0EEA">
      <w:pPr>
        <w:pStyle w:val="Normal3"/>
        <w:rPr>
          <w:rFonts w:ascii="Calibri" w:eastAsia="Calibri" w:hAnsi="Calibri"/>
        </w:rPr>
      </w:pPr>
    </w:p>
    <w:p w14:paraId="3CEEEDBB" w14:textId="77777777" w:rsidR="003F0EEA" w:rsidRDefault="003F0EEA" w:rsidP="003F0EEA">
      <w:pPr>
        <w:pStyle w:val="Normal3"/>
        <w:rPr>
          <w:rFonts w:ascii="Calibri" w:eastAsia="Calibri" w:hAnsi="Calibri"/>
        </w:rPr>
      </w:pPr>
    </w:p>
    <w:p w14:paraId="3522EFDB" w14:textId="77777777" w:rsidR="003F0EEA" w:rsidRDefault="003F0EEA" w:rsidP="003F0EEA">
      <w:pPr>
        <w:pStyle w:val="Normal3"/>
        <w:rPr>
          <w:rFonts w:ascii="Calibri" w:eastAsia="Calibri" w:hAnsi="Calibri"/>
        </w:rPr>
      </w:pPr>
    </w:p>
    <w:p w14:paraId="185884FE" w14:textId="77777777" w:rsidR="003F0EEA" w:rsidRPr="00CD6E0C" w:rsidRDefault="00FB7D0B">
      <w:pPr>
        <w:pStyle w:val="Normal3"/>
        <w:rPr>
          <w:rFonts w:ascii="Book Antiqua" w:eastAsia="Calibri" w:hAnsi="Book Antiqua"/>
          <w:sz w:val="20"/>
          <w:szCs w:val="20"/>
        </w:rPr>
      </w:pPr>
      <w:r w:rsidRPr="008C53AA">
        <w:rPr>
          <w:rFonts w:ascii="Book Antiqua" w:eastAsia="Calibri" w:hAnsi="Book Antiqua"/>
          <w:sz w:val="20"/>
          <w:szCs w:val="20"/>
        </w:rPr>
        <w:t>Printed by CanPrint Communications Pty Ltd</w:t>
      </w:r>
    </w:p>
    <w:p w14:paraId="16F2D559" w14:textId="77777777" w:rsidR="003F0EEA" w:rsidRPr="00CD6E0C" w:rsidRDefault="003F0EEA">
      <w:pPr>
        <w:rPr>
          <w:rFonts w:ascii="Book Antiqua" w:hAnsi="Book Antiqua" w:cs="Times New Roman"/>
          <w:sz w:val="20"/>
          <w:szCs w:val="20"/>
        </w:rPr>
        <w:sectPr w:rsidR="003F0EEA" w:rsidRPr="00CD6E0C">
          <w:footerReference w:type="even" r:id="rId13"/>
          <w:footerReference w:type="default" r:id="rId14"/>
          <w:type w:val="continuous"/>
          <w:pgSz w:w="10319" w:h="14572"/>
          <w:pgMar w:top="1077" w:right="1077" w:bottom="1134" w:left="1134" w:header="709" w:footer="709" w:gutter="0"/>
          <w:cols w:space="708"/>
        </w:sectPr>
      </w:pPr>
    </w:p>
    <w:p w14:paraId="7CEF7F56" w14:textId="77777777" w:rsidR="003F0EEA" w:rsidRPr="00CD6E0C" w:rsidRDefault="003F0EEA">
      <w:pPr>
        <w:rPr>
          <w:rFonts w:ascii="Times New Roman" w:eastAsia="Times New Roman" w:hAnsi="Times New Roman" w:cs="Times New Roman"/>
          <w:szCs w:val="20"/>
        </w:rPr>
      </w:pPr>
    </w:p>
    <w:p w14:paraId="0AF4F570" w14:textId="77777777" w:rsidR="003F0EEA" w:rsidRDefault="00355BFE">
      <w:pPr>
        <w:rPr>
          <w:rFonts w:cs="Times New Roman"/>
          <w:szCs w:val="22"/>
          <w:lang w:eastAsia="en-US"/>
        </w:rPr>
        <w:sectPr w:rsidR="003F0EEA">
          <w:type w:val="continuous"/>
          <w:pgSz w:w="10319" w:h="14572"/>
          <w:pgMar w:top="1077" w:right="1077" w:bottom="1134" w:left="1134" w:header="709" w:footer="709" w:gutter="0"/>
          <w:cols w:space="708"/>
        </w:sectPr>
      </w:pPr>
      <w:r w:rsidRPr="00355BFE">
        <w:rPr>
          <w:rFonts w:cs="Times New Roman"/>
          <w:noProof/>
          <w:szCs w:val="22"/>
        </w:rPr>
        <w:lastRenderedPageBreak/>
        <w:pict w14:anchorId="0CC41F29">
          <v:shape id="Picture 2" o:spid="_x0000_i1026" type="#_x0000_t75" alt="Minister's transmittal letter.jpg" style="width:422pt;height:544pt;visibility:visible">
            <v:imagedata r:id="rId15" o:title="Minister's transmittal letter" cropbottom="15236f" cropleft="4492f" cropright="6222f"/>
          </v:shape>
        </w:pict>
      </w:r>
    </w:p>
    <w:p w14:paraId="72789271" w14:textId="77777777" w:rsidR="003F0EEA" w:rsidRDefault="00FB7D0B" w:rsidP="003F0EEA">
      <w:pPr>
        <w:pStyle w:val="Heading4"/>
      </w:pPr>
      <w:r>
        <w:rPr>
          <w:rFonts w:cs="Arial"/>
        </w:rPr>
        <w:lastRenderedPageBreak/>
        <w:t>Abbreviations and conventions</w:t>
      </w:r>
    </w:p>
    <w:p w14:paraId="1696E134" w14:textId="77777777" w:rsidR="003F0EEA" w:rsidRDefault="00FB7D0B" w:rsidP="003F0EEA">
      <w:pPr>
        <w:pStyle w:val="Normal9"/>
      </w:pPr>
      <w:r>
        <w:t>The following notation may be used:</w:t>
      </w:r>
    </w:p>
    <w:p w14:paraId="354A4DF3" w14:textId="77777777" w:rsidR="003F0EEA" w:rsidRDefault="00FB7D0B" w:rsidP="003F0EEA">
      <w:pPr>
        <w:pStyle w:val="SingleParagraph"/>
        <w:tabs>
          <w:tab w:val="left" w:pos="2268"/>
        </w:tabs>
        <w:ind w:left="567"/>
      </w:pPr>
      <w:r>
        <w:t>NEC/nec</w:t>
      </w:r>
      <w:r>
        <w:tab/>
        <w:t>not elsewhere classified</w:t>
      </w:r>
    </w:p>
    <w:p w14:paraId="7E9D36BE" w14:textId="77777777" w:rsidR="003F0EEA" w:rsidRDefault="00FB7D0B" w:rsidP="003F0EEA">
      <w:pPr>
        <w:pStyle w:val="SingleParagraph"/>
        <w:tabs>
          <w:tab w:val="left" w:pos="2268"/>
        </w:tabs>
        <w:ind w:left="567"/>
      </w:pPr>
      <w:r>
        <w:tab/>
        <w:t>nil</w:t>
      </w:r>
    </w:p>
    <w:p w14:paraId="704A248F" w14:textId="77777777" w:rsidR="003F0EEA" w:rsidRDefault="00FB7D0B" w:rsidP="003F0EEA">
      <w:pPr>
        <w:pStyle w:val="SingleParagraph"/>
        <w:tabs>
          <w:tab w:val="left" w:pos="2268"/>
        </w:tabs>
        <w:ind w:left="567"/>
      </w:pPr>
      <w:r>
        <w:t>..</w:t>
      </w:r>
      <w:r>
        <w:tab/>
        <w:t>not zero, but rounded to zero</w:t>
      </w:r>
    </w:p>
    <w:p w14:paraId="676986CC" w14:textId="77777777" w:rsidR="003F0EEA" w:rsidRDefault="00FB7D0B" w:rsidP="003F0EEA">
      <w:pPr>
        <w:pStyle w:val="SingleParagraph"/>
        <w:tabs>
          <w:tab w:val="left" w:pos="2268"/>
        </w:tabs>
        <w:ind w:left="567"/>
      </w:pPr>
      <w:r>
        <w:t>na</w:t>
      </w:r>
      <w:r>
        <w:tab/>
        <w:t>not applicable (unless otherwise specified)</w:t>
      </w:r>
    </w:p>
    <w:p w14:paraId="56651BE5" w14:textId="77777777" w:rsidR="003F0EEA" w:rsidRDefault="00FB7D0B" w:rsidP="003F0EEA">
      <w:pPr>
        <w:pStyle w:val="SingleParagraph"/>
        <w:tabs>
          <w:tab w:val="left" w:pos="2268"/>
        </w:tabs>
        <w:ind w:left="567"/>
      </w:pPr>
      <w:r>
        <w:t>nfp</w:t>
      </w:r>
      <w:r>
        <w:tab/>
        <w:t>not for publication</w:t>
      </w:r>
    </w:p>
    <w:p w14:paraId="7FEC0D95" w14:textId="77777777" w:rsidR="003F0EEA" w:rsidRDefault="00FB7D0B" w:rsidP="003F0EEA">
      <w:pPr>
        <w:pStyle w:val="SingleParagraph"/>
        <w:tabs>
          <w:tab w:val="left" w:pos="2268"/>
        </w:tabs>
        <w:ind w:left="567"/>
      </w:pPr>
      <w:r>
        <w:t>$m</w:t>
      </w:r>
      <w:r>
        <w:tab/>
        <w:t>$ million</w:t>
      </w:r>
    </w:p>
    <w:p w14:paraId="1DD214D4" w14:textId="77777777" w:rsidR="003F0EEA" w:rsidRDefault="00FB7D0B" w:rsidP="003F0EEA">
      <w:pPr>
        <w:pStyle w:val="Normal9"/>
        <w:tabs>
          <w:tab w:val="left" w:pos="2268"/>
        </w:tabs>
        <w:ind w:left="567"/>
      </w:pPr>
      <w:r>
        <w:t>$b</w:t>
      </w:r>
      <w:r>
        <w:tab/>
        <w:t>$ billion</w:t>
      </w:r>
    </w:p>
    <w:p w14:paraId="1F75BAB2" w14:textId="77777777" w:rsidR="003F0EEA" w:rsidRDefault="00FB7D0B" w:rsidP="003F0EEA">
      <w:pPr>
        <w:pStyle w:val="Normal9"/>
      </w:pPr>
      <w:r>
        <w:t>Figures in tables and in the text may be rounded. Figures in text are generally rounded to one decimal place, whereas figures in tables are generally rounded to the nearest thousand. Discrepancies in tables between totals and sums of components are due to rounding.</w:t>
      </w:r>
    </w:p>
    <w:p w14:paraId="0288028E" w14:textId="77777777" w:rsidR="003F0EEA" w:rsidRDefault="00FB7D0B" w:rsidP="003F0EEA">
      <w:pPr>
        <w:pStyle w:val="Heading4"/>
        <w:rPr>
          <w:sz w:val="26"/>
          <w:szCs w:val="26"/>
        </w:rPr>
      </w:pPr>
      <w:r>
        <w:rPr>
          <w:sz w:val="26"/>
          <w:szCs w:val="26"/>
        </w:rPr>
        <w:t>Enquiries</w:t>
      </w:r>
    </w:p>
    <w:p w14:paraId="36D6A46E" w14:textId="77777777" w:rsidR="003F0EEA" w:rsidRDefault="00FB7D0B" w:rsidP="003F0EEA">
      <w:pPr>
        <w:pStyle w:val="Normal9"/>
      </w:pPr>
      <w:r>
        <w:t>Should you have any enquiries regarding this publication please contact Graeme Rochow, Chief Finance Officer, Department of Veterans' Affairs on (02) 6289 6620.</w:t>
      </w:r>
    </w:p>
    <w:p w14:paraId="636ED532" w14:textId="77777777" w:rsidR="003F0EEA" w:rsidRDefault="00FB7D0B" w:rsidP="003F0EEA">
      <w:pPr>
        <w:pStyle w:val="Normal9"/>
      </w:pPr>
      <w:r>
        <w:t>A copy of this document can be located on the Australian Government Budget website at: http://www.budget.gov.au.</w:t>
      </w:r>
    </w:p>
    <w:p w14:paraId="2DF5C9B7" w14:textId="77777777" w:rsidR="003F0EEA" w:rsidRDefault="003F0EEA">
      <w:pPr>
        <w:rPr>
          <w:rFonts w:cs="Times New Roman"/>
        </w:rPr>
        <w:sectPr w:rsidR="003F0EEA">
          <w:headerReference w:type="even" r:id="rId16"/>
          <w:headerReference w:type="default" r:id="rId17"/>
          <w:footerReference w:type="even" r:id="rId18"/>
          <w:footerReference w:type="default" r:id="rId19"/>
          <w:pgSz w:w="10319" w:h="14572"/>
          <w:pgMar w:top="1077" w:right="1077" w:bottom="1134" w:left="1134" w:header="709" w:footer="709" w:gutter="0"/>
          <w:cols w:space="708"/>
        </w:sectPr>
      </w:pPr>
    </w:p>
    <w:p w14:paraId="49483032" w14:textId="77777777" w:rsidR="003F0EEA" w:rsidRDefault="003F0EEA" w:rsidP="003F0EEA">
      <w:pPr>
        <w:pStyle w:val="PartHeading"/>
        <w:rPr>
          <w:bCs w:val="0"/>
          <w:sz w:val="48"/>
          <w:szCs w:val="48"/>
        </w:rPr>
      </w:pPr>
    </w:p>
    <w:p w14:paraId="716DC946" w14:textId="77777777" w:rsidR="003F0EEA" w:rsidRDefault="003F0EEA" w:rsidP="003F0EEA">
      <w:pPr>
        <w:pStyle w:val="PartHeading"/>
        <w:rPr>
          <w:bCs w:val="0"/>
          <w:sz w:val="48"/>
          <w:szCs w:val="48"/>
        </w:rPr>
      </w:pPr>
    </w:p>
    <w:p w14:paraId="1BCF7DD7" w14:textId="77777777" w:rsidR="003F0EEA" w:rsidRDefault="003F0EEA" w:rsidP="003F0EEA">
      <w:pPr>
        <w:pStyle w:val="PartHeading"/>
        <w:rPr>
          <w:bCs w:val="0"/>
          <w:sz w:val="48"/>
          <w:szCs w:val="48"/>
        </w:rPr>
      </w:pPr>
    </w:p>
    <w:p w14:paraId="021B5AE1" w14:textId="77777777" w:rsidR="003F0EEA" w:rsidRDefault="003F0EEA" w:rsidP="003F0EEA">
      <w:pPr>
        <w:pStyle w:val="PartHeading"/>
        <w:rPr>
          <w:bCs w:val="0"/>
          <w:sz w:val="48"/>
          <w:szCs w:val="48"/>
        </w:rPr>
      </w:pPr>
    </w:p>
    <w:p w14:paraId="6E7A1EEF" w14:textId="77777777" w:rsidR="003F0EEA" w:rsidRDefault="00FB7D0B" w:rsidP="003F0EEA">
      <w:pPr>
        <w:pStyle w:val="PBSMainHeading"/>
      </w:pPr>
      <w:bookmarkStart w:id="0" w:name="_Toc296950681"/>
      <w:bookmarkStart w:id="1" w:name="_Toc296950494"/>
      <w:bookmarkStart w:id="2" w:name="_Toc296949609"/>
      <w:r>
        <w:rPr>
          <w:bCs w:val="0"/>
        </w:rPr>
        <w:t>User Guide</w:t>
      </w:r>
      <w:bookmarkEnd w:id="0"/>
      <w:bookmarkEnd w:id="1"/>
      <w:bookmarkEnd w:id="2"/>
    </w:p>
    <w:p w14:paraId="5E01B5AE" w14:textId="77777777" w:rsidR="003F0EEA" w:rsidRDefault="00FB7D0B" w:rsidP="003F0EEA">
      <w:pPr>
        <w:pStyle w:val="PartHeading"/>
      </w:pPr>
      <w:bookmarkStart w:id="3" w:name="_Toc296950682"/>
      <w:bookmarkStart w:id="4" w:name="_Toc296950495"/>
      <w:bookmarkStart w:id="5" w:name="_Toc296949610"/>
      <w:r>
        <w:rPr>
          <w:bCs w:val="0"/>
        </w:rPr>
        <w:t>to the</w:t>
      </w:r>
      <w:bookmarkEnd w:id="3"/>
      <w:bookmarkEnd w:id="4"/>
      <w:bookmarkEnd w:id="5"/>
    </w:p>
    <w:p w14:paraId="02A3B28D" w14:textId="77777777" w:rsidR="003F0EEA" w:rsidRDefault="00FB7D0B" w:rsidP="003F0EEA">
      <w:pPr>
        <w:pStyle w:val="PartHeading"/>
        <w:jc w:val="left"/>
      </w:pPr>
      <w:bookmarkStart w:id="6" w:name="_Toc296950683"/>
      <w:bookmarkStart w:id="7" w:name="_Toc296950496"/>
      <w:bookmarkStart w:id="8" w:name="_Toc296949611"/>
      <w:r>
        <w:rPr>
          <w:bCs w:val="0"/>
        </w:rPr>
        <w:t xml:space="preserve">Portfolio </w:t>
      </w:r>
      <w:bookmarkStart w:id="9" w:name="_Toc296950684"/>
      <w:bookmarkStart w:id="10" w:name="_Toc296950497"/>
      <w:bookmarkStart w:id="11" w:name="_Toc296949612"/>
      <w:bookmarkEnd w:id="6"/>
      <w:bookmarkEnd w:id="7"/>
      <w:bookmarkEnd w:id="8"/>
      <w:r>
        <w:rPr>
          <w:bCs w:val="0"/>
        </w:rPr>
        <w:t>Budget Statements</w:t>
      </w:r>
      <w:bookmarkEnd w:id="9"/>
      <w:bookmarkEnd w:id="10"/>
      <w:bookmarkEnd w:id="11"/>
    </w:p>
    <w:p w14:paraId="5D0572A2" w14:textId="77777777" w:rsidR="003F0EEA" w:rsidRDefault="003F0EEA">
      <w:pPr>
        <w:rPr>
          <w:rFonts w:eastAsia="Times New Roman"/>
        </w:rPr>
        <w:sectPr w:rsidR="003F0EEA">
          <w:footerReference w:type="even" r:id="rId20"/>
          <w:footerReference w:type="default" r:id="rId21"/>
          <w:pgSz w:w="10319" w:h="14572"/>
          <w:pgMar w:top="1077" w:right="1077" w:bottom="1134" w:left="1134" w:header="709" w:footer="709" w:gutter="0"/>
          <w:cols w:space="708"/>
        </w:sectPr>
      </w:pPr>
    </w:p>
    <w:p w14:paraId="350B9F86" w14:textId="77777777" w:rsidR="003F0EEA" w:rsidRDefault="00FB7D0B" w:rsidP="003F0EEA">
      <w:pPr>
        <w:pStyle w:val="Heading1"/>
        <w:spacing w:before="240"/>
        <w:rPr>
          <w:kern w:val="0"/>
          <w:lang w:val="en-US"/>
        </w:rPr>
      </w:pPr>
      <w:bookmarkStart w:id="12" w:name="_Toc296950685"/>
      <w:bookmarkStart w:id="13" w:name="_Toc296950498"/>
      <w:bookmarkStart w:id="14" w:name="_Toc296949613"/>
      <w:r>
        <w:rPr>
          <w:rFonts w:cs="Arial"/>
          <w:kern w:val="0"/>
          <w:lang w:val="en-US"/>
        </w:rPr>
        <w:lastRenderedPageBreak/>
        <w:t>User Guide</w:t>
      </w:r>
      <w:bookmarkEnd w:id="12"/>
      <w:bookmarkEnd w:id="13"/>
      <w:bookmarkEnd w:id="14"/>
    </w:p>
    <w:p w14:paraId="19F3AD07" w14:textId="77777777" w:rsidR="003F0EEA" w:rsidRPr="00E756C2" w:rsidRDefault="00FB7D0B" w:rsidP="003F0EEA">
      <w:pPr>
        <w:pStyle w:val="Normal15"/>
        <w:jc w:val="both"/>
        <w:rPr>
          <w:rFonts w:ascii="Book Antiqua" w:hAnsi="Book Antiqua"/>
          <w:color w:val="000000"/>
          <w:sz w:val="20"/>
          <w:szCs w:val="20"/>
        </w:rPr>
      </w:pPr>
      <w:r w:rsidRPr="00E756C2">
        <w:rPr>
          <w:rFonts w:ascii="Book Antiqua" w:hAnsi="Book Antiqua"/>
          <w:color w:val="000000"/>
          <w:sz w:val="20"/>
          <w:szCs w:val="20"/>
        </w:rPr>
        <w:t>The purpose of the 2014-15 Portfolio Budget Statements (PB Statements) is to inform Senators and Members of Parliament of the proposed allocation of resources to Government outcomes by agencies within the portfolio. Agencies receive resources from the annual appropriations acts, special appropriations (including standing appropriations and special accounts), and revenue from other sources.</w:t>
      </w:r>
    </w:p>
    <w:p w14:paraId="344194C0" w14:textId="77777777" w:rsidR="003F0EEA" w:rsidRDefault="003F0EEA" w:rsidP="003F0EEA">
      <w:pPr>
        <w:pStyle w:val="Normal15"/>
        <w:jc w:val="both"/>
        <w:rPr>
          <w:rFonts w:ascii="Book Antiqua" w:hAnsi="Book Antiqua"/>
          <w:color w:val="000000"/>
          <w:sz w:val="20"/>
          <w:szCs w:val="20"/>
        </w:rPr>
      </w:pPr>
    </w:p>
    <w:p w14:paraId="52F44DDC" w14:textId="77777777" w:rsidR="003F0EEA" w:rsidRPr="00E756C2" w:rsidRDefault="00FB7D0B" w:rsidP="003F0EEA">
      <w:pPr>
        <w:pStyle w:val="Normal15"/>
        <w:jc w:val="both"/>
        <w:rPr>
          <w:rFonts w:ascii="Book Antiqua" w:hAnsi="Book Antiqua"/>
          <w:color w:val="000000"/>
          <w:sz w:val="20"/>
          <w:szCs w:val="20"/>
        </w:rPr>
      </w:pPr>
      <w:r w:rsidRPr="00E756C2">
        <w:rPr>
          <w:rFonts w:ascii="Book Antiqua" w:hAnsi="Book Antiqua"/>
          <w:color w:val="000000"/>
          <w:sz w:val="20"/>
          <w:szCs w:val="20"/>
        </w:rPr>
        <w:t xml:space="preserve">A key role of the PB Statements is to facilitate the understanding of proposed annual appropriations in Appropriation Bills No. 1 and No. 2 2014-15 (or Appropriation Bill [Parliamentary Departments] No. 1 2014-15 for the parliamentary departments). In this sense the PB Statements are Budget related papers and are declared by the Appropriation Acts to be ‘relevant documents’ to the interpretation of the Acts according to section 15AB of the </w:t>
      </w:r>
      <w:r w:rsidRPr="008A272A">
        <w:rPr>
          <w:rFonts w:ascii="Book Antiqua" w:hAnsi="Book Antiqua"/>
          <w:i/>
          <w:color w:val="000000"/>
          <w:sz w:val="20"/>
          <w:szCs w:val="20"/>
        </w:rPr>
        <w:t>Acts Interpretation Act 1901</w:t>
      </w:r>
      <w:r w:rsidRPr="00E756C2">
        <w:rPr>
          <w:rFonts w:ascii="Book Antiqua" w:hAnsi="Book Antiqua"/>
          <w:color w:val="000000"/>
          <w:sz w:val="20"/>
          <w:szCs w:val="20"/>
        </w:rPr>
        <w:t>.</w:t>
      </w:r>
    </w:p>
    <w:p w14:paraId="015BCF09" w14:textId="77777777" w:rsidR="003F0EEA" w:rsidRDefault="003F0EEA" w:rsidP="003F0EEA">
      <w:pPr>
        <w:pStyle w:val="Normal15"/>
        <w:jc w:val="both"/>
        <w:rPr>
          <w:rFonts w:ascii="Book Antiqua" w:hAnsi="Book Antiqua"/>
          <w:color w:val="000000"/>
          <w:sz w:val="20"/>
          <w:szCs w:val="20"/>
        </w:rPr>
      </w:pPr>
    </w:p>
    <w:p w14:paraId="3A224524" w14:textId="77777777" w:rsidR="003F0EEA" w:rsidRPr="00E756C2" w:rsidRDefault="00FB7D0B" w:rsidP="003F0EEA">
      <w:pPr>
        <w:pStyle w:val="Normal15"/>
        <w:jc w:val="both"/>
        <w:rPr>
          <w:rFonts w:ascii="Book Antiqua" w:hAnsi="Book Antiqua"/>
          <w:color w:val="000000"/>
          <w:sz w:val="20"/>
          <w:szCs w:val="20"/>
        </w:rPr>
      </w:pPr>
      <w:r w:rsidRPr="00E756C2">
        <w:rPr>
          <w:rFonts w:ascii="Book Antiqua" w:hAnsi="Book Antiqua"/>
          <w:color w:val="000000"/>
          <w:sz w:val="20"/>
          <w:szCs w:val="20"/>
        </w:rPr>
        <w:t>The PB Statements provide information, explanation and justification to enable Parliament to understand the purpose of each outcome proposed in the Bills.</w:t>
      </w:r>
    </w:p>
    <w:p w14:paraId="4FC34ABF" w14:textId="77777777" w:rsidR="003F0EEA" w:rsidRDefault="003F0EEA" w:rsidP="003F0EEA">
      <w:pPr>
        <w:pStyle w:val="Normal15"/>
        <w:jc w:val="both"/>
        <w:rPr>
          <w:rFonts w:ascii="Book Antiqua" w:hAnsi="Book Antiqua"/>
          <w:color w:val="000000"/>
          <w:sz w:val="20"/>
          <w:szCs w:val="20"/>
        </w:rPr>
      </w:pPr>
    </w:p>
    <w:p w14:paraId="1217706F" w14:textId="77777777" w:rsidR="003F0EEA" w:rsidRPr="00E756C2" w:rsidRDefault="00FB7D0B" w:rsidP="003F0EEA">
      <w:pPr>
        <w:pStyle w:val="Normal15"/>
        <w:jc w:val="both"/>
        <w:rPr>
          <w:rFonts w:ascii="Book Antiqua" w:hAnsi="Book Antiqua"/>
          <w:color w:val="000000"/>
          <w:sz w:val="20"/>
          <w:szCs w:val="20"/>
        </w:rPr>
      </w:pPr>
      <w:r w:rsidRPr="00E756C2">
        <w:rPr>
          <w:rFonts w:ascii="Book Antiqua" w:hAnsi="Book Antiqua"/>
          <w:color w:val="000000"/>
          <w:sz w:val="20"/>
          <w:szCs w:val="20"/>
        </w:rPr>
        <w:t xml:space="preserve">As required under section 12 of the </w:t>
      </w:r>
      <w:r w:rsidRPr="008A272A">
        <w:rPr>
          <w:rFonts w:ascii="Book Antiqua" w:hAnsi="Book Antiqua"/>
          <w:i/>
          <w:color w:val="000000"/>
          <w:sz w:val="20"/>
          <w:szCs w:val="20"/>
        </w:rPr>
        <w:t>Charter of Budget Honesty Act 1998</w:t>
      </w:r>
      <w:r w:rsidRPr="00E756C2">
        <w:rPr>
          <w:rFonts w:ascii="Book Antiqua" w:hAnsi="Book Antiqua"/>
          <w:color w:val="000000"/>
          <w:sz w:val="20"/>
          <w:szCs w:val="20"/>
        </w:rPr>
        <w:t>, non-general government sector entities are not consolidated into the Commonwealth general government sector fiscal estimates and accordingly, these entities are not reported in the PB Statements.</w:t>
      </w:r>
    </w:p>
    <w:p w14:paraId="28410D25" w14:textId="77777777" w:rsidR="003F0EEA" w:rsidRPr="00E756C2" w:rsidRDefault="003F0EEA">
      <w:pPr>
        <w:rPr>
          <w:rFonts w:ascii="Book Antiqua" w:eastAsia="Times New Roman" w:hAnsi="Book Antiqua" w:cs="Times New Roman"/>
          <w:color w:val="000000"/>
          <w:sz w:val="20"/>
          <w:szCs w:val="20"/>
        </w:rPr>
        <w:sectPr w:rsidR="003F0EEA" w:rsidRPr="00E756C2">
          <w:footerReference w:type="even" r:id="rId22"/>
          <w:footerReference w:type="default" r:id="rId23"/>
          <w:pgSz w:w="10319" w:h="14572"/>
          <w:pgMar w:top="1077" w:right="1077" w:bottom="1134" w:left="1134" w:header="709" w:footer="709" w:gutter="0"/>
          <w:cols w:space="708"/>
        </w:sectPr>
      </w:pPr>
    </w:p>
    <w:p w14:paraId="62A20E78" w14:textId="77777777" w:rsidR="003F0EEA" w:rsidRDefault="00FB7D0B" w:rsidP="003F0EEA">
      <w:pPr>
        <w:pStyle w:val="ContentsHeading"/>
        <w:spacing w:before="240"/>
      </w:pPr>
      <w:r>
        <w:lastRenderedPageBreak/>
        <w:t>Contents</w:t>
      </w:r>
    </w:p>
    <w:p w14:paraId="7E11FD1D" w14:textId="77777777" w:rsidR="003F0EEA" w:rsidRDefault="00FB7D0B" w:rsidP="003F0EEA">
      <w:pPr>
        <w:pStyle w:val="TOC1"/>
        <w:rPr>
          <w:noProof/>
        </w:rPr>
      </w:pPr>
      <w:r>
        <w:rPr>
          <w:noProof/>
        </w:rPr>
        <w:t>Portfolio Overview</w:t>
      </w:r>
      <w:r>
        <w:rPr>
          <w:noProof/>
        </w:rPr>
        <w:tab/>
      </w:r>
      <w:r w:rsidRPr="00361FEA">
        <w:rPr>
          <w:noProof/>
        </w:rPr>
        <w:t>1</w:t>
      </w:r>
      <w:r>
        <w:rPr>
          <w:noProof/>
        </w:rPr>
        <w:t xml:space="preserve"> </w:t>
      </w:r>
    </w:p>
    <w:p w14:paraId="1328347A" w14:textId="77777777" w:rsidR="003F0EEA" w:rsidRPr="00A47DD3" w:rsidRDefault="00FB7D0B" w:rsidP="003F0EEA">
      <w:pPr>
        <w:pStyle w:val="TOC2"/>
        <w:rPr>
          <w:rFonts w:ascii="Times New Roman" w:hAnsi="Times New Roman"/>
          <w:noProof/>
          <w:sz w:val="24"/>
          <w:szCs w:val="24"/>
        </w:rPr>
      </w:pPr>
      <w:r>
        <w:rPr>
          <w:noProof/>
        </w:rPr>
        <w:t>Department of Veterans' Affairs Portfolio Overview</w:t>
      </w:r>
      <w:r>
        <w:rPr>
          <w:noProof/>
        </w:rPr>
        <w:tab/>
      </w:r>
      <w:r w:rsidRPr="002647DA">
        <w:rPr>
          <w:noProof/>
        </w:rPr>
        <w:t>3</w:t>
      </w:r>
      <w:r>
        <w:rPr>
          <w:noProof/>
        </w:rPr>
        <w:t xml:space="preserve">                       </w:t>
      </w:r>
    </w:p>
    <w:p w14:paraId="0871F860" w14:textId="77777777" w:rsidR="003F0EEA" w:rsidRPr="00B3126E" w:rsidRDefault="00FB7D0B" w:rsidP="003F0EEA">
      <w:pPr>
        <w:pStyle w:val="TOC1"/>
        <w:rPr>
          <w:noProof/>
        </w:rPr>
      </w:pPr>
      <w:r>
        <w:rPr>
          <w:noProof/>
        </w:rPr>
        <w:t>Agency Resources and Planned Performance</w:t>
      </w:r>
      <w:r>
        <w:rPr>
          <w:noProof/>
        </w:rPr>
        <w:tab/>
        <w:t>9</w:t>
      </w:r>
    </w:p>
    <w:p w14:paraId="17523C5D" w14:textId="77777777" w:rsidR="003F0EEA" w:rsidRDefault="00FB7D0B" w:rsidP="003F0EEA">
      <w:pPr>
        <w:pStyle w:val="TOC2"/>
        <w:rPr>
          <w:noProof/>
        </w:rPr>
      </w:pPr>
      <w:r>
        <w:rPr>
          <w:noProof/>
        </w:rPr>
        <w:t>Department of Veterans' Affairs</w:t>
      </w:r>
      <w:r>
        <w:rPr>
          <w:noProof/>
        </w:rPr>
        <w:tab/>
        <w:t>11</w:t>
      </w:r>
    </w:p>
    <w:p w14:paraId="48E28C2F" w14:textId="77777777" w:rsidR="003F0EEA" w:rsidRPr="00A47DD3" w:rsidRDefault="00FB7D0B" w:rsidP="003F0EEA">
      <w:pPr>
        <w:pStyle w:val="TOC2"/>
        <w:rPr>
          <w:noProof/>
        </w:rPr>
      </w:pPr>
      <w:r>
        <w:rPr>
          <w:noProof/>
        </w:rPr>
        <w:t>Australian War Memorial</w:t>
      </w:r>
      <w:r>
        <w:rPr>
          <w:noProof/>
        </w:rPr>
        <w:tab/>
        <w:t>95</w:t>
      </w:r>
    </w:p>
    <w:p w14:paraId="3628BD18" w14:textId="77777777" w:rsidR="003F0EEA" w:rsidRDefault="00FB7D0B" w:rsidP="003F0EEA">
      <w:pPr>
        <w:pStyle w:val="TOC1"/>
        <w:rPr>
          <w:noProof/>
        </w:rPr>
      </w:pPr>
      <w:r>
        <w:rPr>
          <w:noProof/>
        </w:rPr>
        <w:t>Glossary</w:t>
      </w:r>
      <w:r>
        <w:rPr>
          <w:noProof/>
        </w:rPr>
        <w:tab/>
        <w:t>128</w:t>
      </w:r>
    </w:p>
    <w:p w14:paraId="53EB0946" w14:textId="77777777" w:rsidR="003F0EEA" w:rsidRDefault="003F0EEA">
      <w:pPr>
        <w:rPr>
          <w:rFonts w:cs="Times New Roman"/>
        </w:rPr>
        <w:sectPr w:rsidR="003F0EEA">
          <w:headerReference w:type="even" r:id="rId24"/>
          <w:headerReference w:type="default" r:id="rId25"/>
          <w:footerReference w:type="even" r:id="rId26"/>
          <w:footerReference w:type="default" r:id="rId27"/>
          <w:pgSz w:w="10319" w:h="14572"/>
          <w:pgMar w:top="1077" w:right="1077" w:bottom="1134" w:left="1134" w:header="709" w:footer="709" w:gutter="0"/>
          <w:cols w:space="708"/>
        </w:sectPr>
      </w:pPr>
    </w:p>
    <w:p w14:paraId="7ACFAE2C" w14:textId="77777777" w:rsidR="003F0EEA" w:rsidRPr="00E25338" w:rsidRDefault="00FB7D0B">
      <w:pPr>
        <w:pStyle w:val="Normal23"/>
        <w:rPr>
          <w:color w:val="FFFFFF"/>
        </w:rPr>
      </w:pPr>
      <w:r>
        <w:rPr>
          <w:color w:val="FFFFFF"/>
        </w:rPr>
        <w:lastRenderedPageBreak/>
        <w:t>DVA</w:t>
      </w:r>
    </w:p>
    <w:p w14:paraId="0C59D5D5" w14:textId="77777777" w:rsidR="003F0EEA" w:rsidRPr="00E25338" w:rsidRDefault="003F0EEA">
      <w:pPr>
        <w:rPr>
          <w:rFonts w:ascii="Times New Roman" w:eastAsia="Times New Roman" w:hAnsi="Times New Roman" w:cs="Times New Roman"/>
          <w:color w:val="FFFFFF"/>
        </w:rPr>
        <w:sectPr w:rsidR="003F0EEA" w:rsidRPr="00E25338">
          <w:footerReference w:type="even" r:id="rId28"/>
          <w:footerReference w:type="default" r:id="rId29"/>
          <w:pgSz w:w="10319" w:h="14572"/>
          <w:pgMar w:top="1077" w:right="1077" w:bottom="1134" w:left="1134" w:header="709" w:footer="709" w:gutter="0"/>
          <w:cols w:space="708"/>
        </w:sectPr>
      </w:pPr>
    </w:p>
    <w:p w14:paraId="6D6D0BFE" w14:textId="77777777" w:rsidR="003F0EEA" w:rsidRDefault="003F0EEA">
      <w:pPr>
        <w:pStyle w:val="Normal26"/>
        <w:rPr>
          <w:rFonts w:ascii="Calibri" w:eastAsia="Calibri" w:hAnsi="Calibri"/>
        </w:rPr>
      </w:pPr>
    </w:p>
    <w:p w14:paraId="0B71F148" w14:textId="77777777" w:rsidR="003F0EEA" w:rsidRDefault="003F0EEA">
      <w:pPr>
        <w:pStyle w:val="Normal26"/>
        <w:rPr>
          <w:rFonts w:ascii="Calibri" w:eastAsia="Calibri" w:hAnsi="Calibri"/>
        </w:rPr>
      </w:pPr>
    </w:p>
    <w:p w14:paraId="2D42211D" w14:textId="77777777" w:rsidR="003F0EEA" w:rsidRDefault="003F0EEA">
      <w:pPr>
        <w:pStyle w:val="Normal26"/>
        <w:rPr>
          <w:rFonts w:ascii="Calibri" w:eastAsia="Calibri" w:hAnsi="Calibri"/>
        </w:rPr>
      </w:pPr>
    </w:p>
    <w:p w14:paraId="5CFD13B9" w14:textId="77777777" w:rsidR="003F0EEA" w:rsidRDefault="003F0EEA">
      <w:pPr>
        <w:pStyle w:val="Normal26"/>
        <w:rPr>
          <w:rFonts w:ascii="Calibri" w:eastAsia="Calibri" w:hAnsi="Calibri"/>
        </w:rPr>
      </w:pPr>
    </w:p>
    <w:p w14:paraId="73EA9744" w14:textId="77777777" w:rsidR="003F0EEA" w:rsidRDefault="003F0EEA">
      <w:pPr>
        <w:pStyle w:val="Normal26"/>
        <w:rPr>
          <w:rFonts w:ascii="Calibri" w:eastAsia="Calibri" w:hAnsi="Calibri"/>
        </w:rPr>
      </w:pPr>
    </w:p>
    <w:p w14:paraId="09B9FD99" w14:textId="77777777" w:rsidR="003F0EEA" w:rsidRDefault="003F0EEA">
      <w:pPr>
        <w:pStyle w:val="Normal26"/>
        <w:rPr>
          <w:rFonts w:ascii="Calibri" w:eastAsia="Calibri" w:hAnsi="Calibri"/>
        </w:rPr>
      </w:pPr>
    </w:p>
    <w:p w14:paraId="3F428DA8" w14:textId="77777777" w:rsidR="003F0EEA" w:rsidRDefault="003F0EEA">
      <w:pPr>
        <w:pStyle w:val="Normal26"/>
        <w:rPr>
          <w:rFonts w:ascii="Calibri" w:eastAsia="Calibri" w:hAnsi="Calibri"/>
        </w:rPr>
      </w:pPr>
    </w:p>
    <w:p w14:paraId="77412CE9" w14:textId="77777777" w:rsidR="003F0EEA" w:rsidRDefault="003F0EEA">
      <w:pPr>
        <w:pStyle w:val="Normal26"/>
        <w:rPr>
          <w:rFonts w:ascii="Calibri" w:eastAsia="Calibri" w:hAnsi="Calibri"/>
        </w:rPr>
      </w:pPr>
    </w:p>
    <w:p w14:paraId="1A64E068" w14:textId="77777777" w:rsidR="003F0EEA" w:rsidRDefault="00FB7D0B" w:rsidP="003F0EEA">
      <w:pPr>
        <w:pStyle w:val="Part"/>
        <w:rPr>
          <w:sz w:val="48"/>
          <w:szCs w:val="48"/>
        </w:rPr>
      </w:pPr>
      <w:r>
        <w:rPr>
          <w:sz w:val="48"/>
          <w:szCs w:val="48"/>
        </w:rPr>
        <w:t>Portfolio Overview</w:t>
      </w:r>
    </w:p>
    <w:p w14:paraId="2B01AFB4" w14:textId="77777777" w:rsidR="003F0EEA" w:rsidRPr="00952989" w:rsidRDefault="003F0EEA" w:rsidP="003F0EEA">
      <w:pPr>
        <w:pStyle w:val="Normal26"/>
        <w:rPr>
          <w:rFonts w:ascii="Book Antiqua" w:eastAsia="Calibri" w:hAnsi="Book Antiqua"/>
          <w:i/>
          <w:sz w:val="20"/>
          <w:szCs w:val="20"/>
        </w:rPr>
      </w:pPr>
    </w:p>
    <w:p w14:paraId="7ABE4F86" w14:textId="77777777" w:rsidR="003F0EEA" w:rsidRDefault="003F0EEA" w:rsidP="003F0EEA">
      <w:pPr>
        <w:pStyle w:val="Normal26"/>
        <w:rPr>
          <w:rFonts w:ascii="Book Antiqua" w:eastAsia="Calibri" w:hAnsi="Book Antiqua"/>
          <w:i/>
          <w:sz w:val="20"/>
        </w:rPr>
      </w:pPr>
    </w:p>
    <w:p w14:paraId="71FDBE4A" w14:textId="77777777" w:rsidR="003F0EEA" w:rsidRDefault="003F0EEA" w:rsidP="003F0EEA">
      <w:pPr>
        <w:pStyle w:val="Normal26"/>
        <w:rPr>
          <w:rFonts w:ascii="Book Antiqua" w:eastAsia="Calibri" w:hAnsi="Book Antiqua"/>
          <w:i/>
          <w:sz w:val="20"/>
        </w:rPr>
      </w:pPr>
    </w:p>
    <w:p w14:paraId="2E7A0B67" w14:textId="77777777" w:rsidR="003F0EEA" w:rsidRDefault="003F0EEA" w:rsidP="003F0EEA">
      <w:pPr>
        <w:pStyle w:val="Normal26"/>
        <w:rPr>
          <w:rFonts w:ascii="Book Antiqua" w:eastAsia="Calibri" w:hAnsi="Book Antiqua"/>
          <w:i/>
          <w:sz w:val="20"/>
        </w:rPr>
      </w:pPr>
    </w:p>
    <w:p w14:paraId="1B144543" w14:textId="77777777" w:rsidR="003F0EEA" w:rsidRDefault="003F0EEA" w:rsidP="003F0EEA">
      <w:pPr>
        <w:pStyle w:val="Normal26"/>
        <w:rPr>
          <w:rFonts w:ascii="Book Antiqua" w:eastAsia="Calibri" w:hAnsi="Book Antiqua"/>
          <w:i/>
          <w:sz w:val="20"/>
        </w:rPr>
      </w:pPr>
    </w:p>
    <w:p w14:paraId="73B1E2D2" w14:textId="77777777" w:rsidR="003F0EEA" w:rsidRDefault="003F0EEA" w:rsidP="003F0EEA">
      <w:pPr>
        <w:pStyle w:val="Normal26"/>
        <w:rPr>
          <w:rFonts w:ascii="Book Antiqua" w:eastAsia="Calibri" w:hAnsi="Book Antiqua"/>
          <w:i/>
          <w:sz w:val="20"/>
        </w:rPr>
      </w:pPr>
    </w:p>
    <w:p w14:paraId="0A577712" w14:textId="77777777" w:rsidR="003F0EEA" w:rsidRDefault="003F0EEA" w:rsidP="003F0EEA">
      <w:pPr>
        <w:pStyle w:val="Normal26"/>
        <w:rPr>
          <w:rFonts w:ascii="Book Antiqua" w:eastAsia="Calibri" w:hAnsi="Book Antiqua"/>
          <w:i/>
          <w:sz w:val="20"/>
        </w:rPr>
      </w:pPr>
    </w:p>
    <w:p w14:paraId="587FACDA" w14:textId="77777777" w:rsidR="003F0EEA" w:rsidRDefault="003F0EEA" w:rsidP="003F0EEA">
      <w:pPr>
        <w:pStyle w:val="Normal26"/>
        <w:rPr>
          <w:rFonts w:ascii="Book Antiqua" w:eastAsia="Calibri" w:hAnsi="Book Antiqua"/>
          <w:i/>
          <w:sz w:val="20"/>
        </w:rPr>
      </w:pPr>
    </w:p>
    <w:p w14:paraId="351713B1" w14:textId="77777777" w:rsidR="003F0EEA" w:rsidRDefault="003F0EEA" w:rsidP="003F0EEA">
      <w:pPr>
        <w:pStyle w:val="Normal26"/>
        <w:rPr>
          <w:rFonts w:ascii="Book Antiqua" w:eastAsia="Calibri" w:hAnsi="Book Antiqua"/>
          <w:i/>
          <w:sz w:val="20"/>
        </w:rPr>
      </w:pPr>
    </w:p>
    <w:p w14:paraId="515B47BD" w14:textId="77777777" w:rsidR="003F0EEA" w:rsidRDefault="003F0EEA" w:rsidP="003F0EEA">
      <w:pPr>
        <w:pStyle w:val="Normal26"/>
        <w:rPr>
          <w:rFonts w:ascii="Book Antiqua" w:eastAsia="Calibri" w:hAnsi="Book Antiqua"/>
          <w:i/>
          <w:sz w:val="20"/>
        </w:rPr>
      </w:pPr>
    </w:p>
    <w:p w14:paraId="35DC00B7" w14:textId="77777777" w:rsidR="003F0EEA" w:rsidRDefault="003F0EEA" w:rsidP="003F0EEA">
      <w:pPr>
        <w:pStyle w:val="Normal26"/>
        <w:rPr>
          <w:rFonts w:ascii="Book Antiqua" w:eastAsia="Calibri" w:hAnsi="Book Antiqua"/>
          <w:i/>
          <w:sz w:val="20"/>
        </w:rPr>
      </w:pPr>
    </w:p>
    <w:p w14:paraId="54144B44" w14:textId="77777777" w:rsidR="003F0EEA" w:rsidRDefault="003F0EEA" w:rsidP="003F0EEA">
      <w:pPr>
        <w:pStyle w:val="Normal26"/>
        <w:rPr>
          <w:rFonts w:ascii="Book Antiqua" w:eastAsia="Calibri" w:hAnsi="Book Antiqua"/>
          <w:i/>
          <w:sz w:val="20"/>
        </w:rPr>
      </w:pPr>
    </w:p>
    <w:p w14:paraId="299840ED" w14:textId="77777777" w:rsidR="003F0EEA" w:rsidRDefault="003F0EEA" w:rsidP="003F0EEA">
      <w:pPr>
        <w:pStyle w:val="Normal26"/>
        <w:rPr>
          <w:rFonts w:ascii="Book Antiqua" w:eastAsia="Calibri" w:hAnsi="Book Antiqua"/>
          <w:i/>
          <w:sz w:val="20"/>
        </w:rPr>
      </w:pPr>
    </w:p>
    <w:p w14:paraId="50FF9A0A" w14:textId="77777777" w:rsidR="003F0EEA" w:rsidRDefault="003F0EEA" w:rsidP="003F0EEA">
      <w:pPr>
        <w:pStyle w:val="Normal26"/>
        <w:rPr>
          <w:rFonts w:ascii="Book Antiqua" w:eastAsia="Calibri" w:hAnsi="Book Antiqua"/>
          <w:i/>
          <w:sz w:val="20"/>
        </w:rPr>
      </w:pPr>
    </w:p>
    <w:p w14:paraId="78C55895" w14:textId="77777777" w:rsidR="003F0EEA" w:rsidRDefault="003F0EEA" w:rsidP="003F0EEA">
      <w:pPr>
        <w:pStyle w:val="Normal26"/>
        <w:rPr>
          <w:rFonts w:ascii="Book Antiqua" w:eastAsia="Calibri" w:hAnsi="Book Antiqua"/>
          <w:i/>
          <w:sz w:val="20"/>
        </w:rPr>
      </w:pPr>
    </w:p>
    <w:p w14:paraId="45E43BFF" w14:textId="77777777" w:rsidR="003F0EEA" w:rsidRDefault="003F0EEA" w:rsidP="003F0EEA">
      <w:pPr>
        <w:pStyle w:val="Normal26"/>
        <w:rPr>
          <w:rFonts w:ascii="Book Antiqua" w:eastAsia="Calibri" w:hAnsi="Book Antiqua"/>
          <w:i/>
          <w:sz w:val="20"/>
        </w:rPr>
      </w:pPr>
    </w:p>
    <w:p w14:paraId="5FDE86D1" w14:textId="77777777" w:rsidR="003F0EEA" w:rsidRDefault="003F0EEA" w:rsidP="003F0EEA">
      <w:pPr>
        <w:pStyle w:val="Normal26"/>
        <w:rPr>
          <w:rFonts w:ascii="Book Antiqua" w:eastAsia="Calibri" w:hAnsi="Book Antiqua"/>
          <w:i/>
          <w:sz w:val="20"/>
        </w:rPr>
      </w:pPr>
    </w:p>
    <w:p w14:paraId="76E6F051" w14:textId="77777777" w:rsidR="003F0EEA" w:rsidRDefault="003F0EEA" w:rsidP="003F0EEA">
      <w:pPr>
        <w:pStyle w:val="Normal26"/>
        <w:rPr>
          <w:rFonts w:ascii="Book Antiqua" w:eastAsia="Calibri" w:hAnsi="Book Antiqua"/>
          <w:i/>
          <w:sz w:val="20"/>
        </w:rPr>
      </w:pPr>
    </w:p>
    <w:p w14:paraId="149E3EF3" w14:textId="77777777" w:rsidR="003F0EEA" w:rsidRDefault="003F0EEA" w:rsidP="003F0EEA">
      <w:pPr>
        <w:pStyle w:val="Normal26"/>
        <w:rPr>
          <w:rFonts w:ascii="Book Antiqua" w:eastAsia="Calibri" w:hAnsi="Book Antiqua"/>
          <w:i/>
          <w:sz w:val="20"/>
        </w:rPr>
      </w:pPr>
    </w:p>
    <w:p w14:paraId="15E1BCEF" w14:textId="77777777" w:rsidR="003F0EEA" w:rsidRDefault="003F0EEA" w:rsidP="003F0EEA">
      <w:pPr>
        <w:pStyle w:val="Normal26"/>
        <w:rPr>
          <w:rFonts w:ascii="Book Antiqua" w:eastAsia="Calibri" w:hAnsi="Book Antiqua"/>
          <w:i/>
          <w:sz w:val="20"/>
        </w:rPr>
      </w:pPr>
    </w:p>
    <w:p w14:paraId="1019C956" w14:textId="77777777" w:rsidR="003F0EEA" w:rsidRDefault="003F0EEA">
      <w:pPr>
        <w:rPr>
          <w:rFonts w:ascii="Book Antiqua" w:hAnsi="Book Antiqua" w:cs="Times New Roman"/>
          <w:i/>
          <w:sz w:val="20"/>
        </w:rPr>
        <w:sectPr w:rsidR="003F0EEA">
          <w:footerReference w:type="even" r:id="rId30"/>
          <w:footerReference w:type="default" r:id="rId31"/>
          <w:pgSz w:w="10319" w:h="14572"/>
          <w:pgMar w:top="1077" w:right="1077" w:bottom="1134" w:left="1134" w:header="709" w:footer="709" w:gutter="0"/>
          <w:pgNumType w:start="1"/>
          <w:cols w:space="708"/>
        </w:sectPr>
      </w:pPr>
    </w:p>
    <w:p w14:paraId="484D97AC" w14:textId="77777777" w:rsidR="003F0EEA" w:rsidRDefault="003F0EEA" w:rsidP="003F0EEA">
      <w:pPr>
        <w:pStyle w:val="Heading10"/>
        <w:rPr>
          <w:bCs w:val="0"/>
          <w:smallCaps/>
          <w:kern w:val="0"/>
          <w:sz w:val="34"/>
          <w:szCs w:val="34"/>
          <w:lang w:eastAsia="en-AU"/>
        </w:rPr>
      </w:pPr>
    </w:p>
    <w:p w14:paraId="63C07A7F" w14:textId="77777777" w:rsidR="003F0EEA" w:rsidRDefault="00FB7D0B" w:rsidP="003F0EEA">
      <w:pPr>
        <w:pStyle w:val="Heading10"/>
        <w:jc w:val="center"/>
        <w:rPr>
          <w:bCs w:val="0"/>
          <w:smallCaps/>
          <w:kern w:val="0"/>
          <w:sz w:val="34"/>
          <w:szCs w:val="34"/>
          <w:lang w:eastAsia="en-AU"/>
        </w:rPr>
      </w:pPr>
      <w:r>
        <w:rPr>
          <w:bCs w:val="0"/>
          <w:smallCaps/>
          <w:kern w:val="0"/>
          <w:sz w:val="34"/>
          <w:szCs w:val="34"/>
          <w:lang w:eastAsia="en-AU"/>
        </w:rPr>
        <w:t>Department of Veterans' Affairs Portfolio Overview</w:t>
      </w:r>
      <w:r w:rsidRPr="00760C2F">
        <w:rPr>
          <w:bCs w:val="0"/>
          <w:smallCaps/>
          <w:kern w:val="0"/>
          <w:sz w:val="34"/>
          <w:szCs w:val="34"/>
          <w:lang w:eastAsia="en-AU"/>
        </w:rPr>
        <w:t xml:space="preserve"> </w:t>
      </w:r>
    </w:p>
    <w:p w14:paraId="6A28523F" w14:textId="77777777" w:rsidR="003F0EEA" w:rsidRPr="00637163" w:rsidRDefault="00FB7D0B" w:rsidP="003F0EEA">
      <w:pPr>
        <w:pStyle w:val="Heading3"/>
      </w:pPr>
      <w:r w:rsidRPr="00637163">
        <w:rPr>
          <w:rFonts w:cs="Arial"/>
        </w:rPr>
        <w:t>Minister and Portfolio Responsibilities</w:t>
      </w:r>
    </w:p>
    <w:p w14:paraId="27E81B3F" w14:textId="77777777" w:rsidR="003F0EEA" w:rsidRPr="00163AC4" w:rsidRDefault="00FB7D0B" w:rsidP="003F0EEA">
      <w:pPr>
        <w:pStyle w:val="Normal29"/>
        <w:jc w:val="both"/>
        <w:rPr>
          <w:rFonts w:ascii="Book Antiqua" w:eastAsia="Calibri" w:hAnsi="Book Antiqua"/>
          <w:sz w:val="20"/>
          <w:szCs w:val="20"/>
        </w:rPr>
      </w:pPr>
      <w:r w:rsidRPr="00163AC4">
        <w:rPr>
          <w:rFonts w:ascii="Book Antiqua" w:eastAsia="Calibri" w:hAnsi="Book Antiqua"/>
          <w:sz w:val="20"/>
          <w:szCs w:val="20"/>
        </w:rPr>
        <w:t xml:space="preserve">The </w:t>
      </w:r>
      <w:r>
        <w:rPr>
          <w:rFonts w:ascii="Book Antiqua" w:eastAsia="Calibri" w:hAnsi="Book Antiqua"/>
          <w:sz w:val="20"/>
          <w:szCs w:val="20"/>
        </w:rPr>
        <w:t>Department of Veterans' Affairs</w:t>
      </w:r>
      <w:r w:rsidRPr="00163AC4">
        <w:rPr>
          <w:rFonts w:ascii="Book Antiqua" w:eastAsia="Calibri" w:hAnsi="Book Antiqua"/>
          <w:sz w:val="20"/>
          <w:szCs w:val="20"/>
        </w:rPr>
        <w:t xml:space="preserve"> and several other legal entities that are administer</w:t>
      </w:r>
      <w:r>
        <w:rPr>
          <w:rFonts w:ascii="Book Antiqua" w:eastAsia="Calibri" w:hAnsi="Book Antiqua"/>
          <w:sz w:val="20"/>
          <w:szCs w:val="20"/>
        </w:rPr>
        <w:t>ed by the Minister for Veterans’</w:t>
      </w:r>
      <w:r w:rsidRPr="00163AC4">
        <w:rPr>
          <w:rFonts w:ascii="Book Antiqua" w:eastAsia="Calibri" w:hAnsi="Book Antiqua"/>
          <w:sz w:val="20"/>
          <w:szCs w:val="20"/>
        </w:rPr>
        <w:t xml:space="preserve"> Affairs are formally part of the Defence Portfolio. The schedule to the annual Appropriation Acts refers to the Veterans’ Affairs Portfolio and lists both the </w:t>
      </w:r>
      <w:r>
        <w:rPr>
          <w:rFonts w:ascii="Book Antiqua" w:eastAsia="Calibri" w:hAnsi="Book Antiqua"/>
          <w:sz w:val="20"/>
          <w:szCs w:val="20"/>
        </w:rPr>
        <w:t>Department of Veterans' Affairs</w:t>
      </w:r>
      <w:r w:rsidRPr="00163AC4">
        <w:rPr>
          <w:rFonts w:ascii="Book Antiqua" w:eastAsia="Calibri" w:hAnsi="Book Antiqua"/>
          <w:sz w:val="20"/>
          <w:szCs w:val="20"/>
        </w:rPr>
        <w:t xml:space="preserve"> and the </w:t>
      </w:r>
      <w:r>
        <w:rPr>
          <w:rFonts w:ascii="Book Antiqua" w:eastAsia="Calibri" w:hAnsi="Book Antiqua"/>
          <w:sz w:val="20"/>
          <w:szCs w:val="20"/>
        </w:rPr>
        <w:t xml:space="preserve">Australian War Memorial </w:t>
      </w:r>
      <w:r w:rsidRPr="00163AC4">
        <w:rPr>
          <w:rFonts w:ascii="Book Antiqua" w:eastAsia="Calibri" w:hAnsi="Book Antiqua"/>
          <w:sz w:val="20"/>
          <w:szCs w:val="20"/>
        </w:rPr>
        <w:t>as receiving mon</w:t>
      </w:r>
      <w:r>
        <w:rPr>
          <w:rFonts w:ascii="Book Antiqua" w:eastAsia="Calibri" w:hAnsi="Book Antiqua"/>
          <w:sz w:val="20"/>
          <w:szCs w:val="20"/>
        </w:rPr>
        <w:t>ies</w:t>
      </w:r>
      <w:r w:rsidRPr="00163AC4">
        <w:rPr>
          <w:rFonts w:ascii="Book Antiqua" w:eastAsia="Calibri" w:hAnsi="Book Antiqua"/>
          <w:sz w:val="20"/>
          <w:szCs w:val="20"/>
        </w:rPr>
        <w:t xml:space="preserve"> appropriated from the Consolidated Revenue Fund. The other entities in the Veterans’ Affairs Portfolio receive their funding under agreements with the </w:t>
      </w:r>
      <w:r>
        <w:rPr>
          <w:rFonts w:ascii="Book Antiqua" w:eastAsia="Calibri" w:hAnsi="Book Antiqua"/>
          <w:sz w:val="20"/>
          <w:szCs w:val="20"/>
        </w:rPr>
        <w:t>Department of Veterans' Affairs</w:t>
      </w:r>
      <w:r w:rsidRPr="00163AC4">
        <w:rPr>
          <w:rFonts w:ascii="Book Antiqua" w:eastAsia="Calibri" w:hAnsi="Book Antiqua"/>
          <w:sz w:val="20"/>
          <w:szCs w:val="20"/>
        </w:rPr>
        <w:t>, as their administrative staff are employees of the Department. These entities include:</w:t>
      </w:r>
    </w:p>
    <w:p w14:paraId="0E6A09FF" w14:textId="77777777" w:rsidR="003F0EEA" w:rsidRPr="00163AC4" w:rsidRDefault="00FB7D0B" w:rsidP="003F0EEA">
      <w:pPr>
        <w:pStyle w:val="Bullet"/>
        <w:numPr>
          <w:ilvl w:val="0"/>
          <w:numId w:val="2"/>
        </w:numPr>
      </w:pPr>
      <w:r w:rsidRPr="00163AC4">
        <w:t>the Repatriation Commission</w:t>
      </w:r>
    </w:p>
    <w:p w14:paraId="150E2167" w14:textId="77777777" w:rsidR="003F0EEA" w:rsidRPr="00163AC4" w:rsidRDefault="00FB7D0B" w:rsidP="003F0EEA">
      <w:pPr>
        <w:pStyle w:val="Bullet"/>
        <w:numPr>
          <w:ilvl w:val="0"/>
          <w:numId w:val="2"/>
        </w:numPr>
      </w:pPr>
      <w:r w:rsidRPr="00163AC4">
        <w:t>the Military Rehabilitation and Compensation Commission</w:t>
      </w:r>
    </w:p>
    <w:p w14:paraId="5A2434DF" w14:textId="77777777" w:rsidR="003F0EEA" w:rsidRPr="00163AC4" w:rsidRDefault="00FB7D0B" w:rsidP="003F0EEA">
      <w:pPr>
        <w:pStyle w:val="Bullet"/>
        <w:numPr>
          <w:ilvl w:val="0"/>
          <w:numId w:val="2"/>
        </w:numPr>
      </w:pPr>
      <w:r w:rsidRPr="00163AC4">
        <w:t>the Veterans’ Review Board</w:t>
      </w:r>
    </w:p>
    <w:p w14:paraId="3A0D41A7" w14:textId="77777777" w:rsidR="003F0EEA" w:rsidRPr="00841F9F" w:rsidRDefault="00FB7D0B" w:rsidP="003F0EEA">
      <w:pPr>
        <w:pStyle w:val="Bullet"/>
        <w:numPr>
          <w:ilvl w:val="0"/>
          <w:numId w:val="2"/>
        </w:numPr>
        <w:rPr>
          <w:color w:val="000000"/>
        </w:rPr>
      </w:pPr>
      <w:r w:rsidRPr="00163AC4">
        <w:t xml:space="preserve">the Veterans’ Children </w:t>
      </w:r>
      <w:r w:rsidRPr="00841F9F">
        <w:rPr>
          <w:color w:val="000000"/>
        </w:rPr>
        <w:t>Education Boards</w:t>
      </w:r>
    </w:p>
    <w:p w14:paraId="299C7A10" w14:textId="77777777" w:rsidR="003F0EEA" w:rsidRPr="00841F9F" w:rsidRDefault="00FB7D0B" w:rsidP="003F0EEA">
      <w:pPr>
        <w:pStyle w:val="Bullet"/>
        <w:numPr>
          <w:ilvl w:val="0"/>
          <w:numId w:val="2"/>
        </w:numPr>
        <w:rPr>
          <w:color w:val="000000"/>
        </w:rPr>
      </w:pPr>
      <w:r w:rsidRPr="00841F9F">
        <w:rPr>
          <w:color w:val="000000"/>
        </w:rPr>
        <w:t xml:space="preserve">the Office of Australian War </w:t>
      </w:r>
      <w:smartTag w:uri="urn:schemas-microsoft-com:office:smarttags" w:element="place">
        <w:r w:rsidRPr="00841F9F">
          <w:rPr>
            <w:color w:val="000000"/>
          </w:rPr>
          <w:t>Graves</w:t>
        </w:r>
      </w:smartTag>
      <w:r w:rsidRPr="00841F9F">
        <w:rPr>
          <w:color w:val="000000"/>
        </w:rPr>
        <w:t xml:space="preserve"> </w:t>
      </w:r>
    </w:p>
    <w:p w14:paraId="73037BD8" w14:textId="77777777" w:rsidR="003F0EEA" w:rsidRPr="00163AC4" w:rsidRDefault="00FB7D0B" w:rsidP="003F0EEA">
      <w:pPr>
        <w:pStyle w:val="Bullet"/>
        <w:numPr>
          <w:ilvl w:val="0"/>
          <w:numId w:val="2"/>
        </w:numPr>
      </w:pPr>
      <w:r w:rsidRPr="00163AC4">
        <w:t>the Rep</w:t>
      </w:r>
      <w:r>
        <w:t>atriation Medical Authority</w:t>
      </w:r>
    </w:p>
    <w:p w14:paraId="67B30AF9" w14:textId="77777777" w:rsidR="003F0EEA" w:rsidRPr="00163AC4" w:rsidRDefault="00FB7D0B" w:rsidP="003F0EEA">
      <w:pPr>
        <w:pStyle w:val="Bullet"/>
        <w:numPr>
          <w:ilvl w:val="0"/>
          <w:numId w:val="2"/>
        </w:numPr>
      </w:pPr>
      <w:r w:rsidRPr="00163AC4">
        <w:t>the Spe</w:t>
      </w:r>
      <w:r>
        <w:t>cialist Medical Review Council</w:t>
      </w:r>
    </w:p>
    <w:p w14:paraId="5AB8D5E3" w14:textId="77777777" w:rsidR="003F0EEA" w:rsidRPr="00163AC4" w:rsidRDefault="00FB7D0B" w:rsidP="003F0EEA">
      <w:pPr>
        <w:pStyle w:val="Normal29"/>
        <w:jc w:val="both"/>
        <w:rPr>
          <w:rFonts w:ascii="Book Antiqua" w:eastAsia="Calibri" w:hAnsi="Book Antiqua"/>
          <w:sz w:val="20"/>
          <w:szCs w:val="20"/>
        </w:rPr>
      </w:pPr>
      <w:r w:rsidRPr="00163AC4">
        <w:rPr>
          <w:rFonts w:ascii="Book Antiqua" w:eastAsia="Calibri" w:hAnsi="Book Antiqua"/>
          <w:sz w:val="20"/>
          <w:szCs w:val="20"/>
        </w:rPr>
        <w:t>The Veterans’ Affairs Portfolio is responsible for carrying out government policy and implementing programs to fulfil Australia’s obligations to veterans and war widow</w:t>
      </w:r>
      <w:r>
        <w:rPr>
          <w:rFonts w:ascii="Book Antiqua" w:eastAsia="Calibri" w:hAnsi="Book Antiqua"/>
          <w:sz w:val="20"/>
          <w:szCs w:val="20"/>
        </w:rPr>
        <w:t>/er</w:t>
      </w:r>
      <w:r w:rsidRPr="00163AC4">
        <w:rPr>
          <w:rFonts w:ascii="Book Antiqua" w:eastAsia="Calibri" w:hAnsi="Book Antiqua"/>
          <w:sz w:val="20"/>
          <w:szCs w:val="20"/>
        </w:rPr>
        <w:t xml:space="preserve">s, serving and former members of the Australian Defence Force, certain Australian Federal Police officers with overseas service and Australian participants in British nuclear tests in Australia, and their dependants. </w:t>
      </w:r>
    </w:p>
    <w:p w14:paraId="7FF240B9" w14:textId="77777777" w:rsidR="003F0EEA" w:rsidRPr="00163AC4" w:rsidRDefault="00FB7D0B" w:rsidP="003F0EEA">
      <w:pPr>
        <w:pStyle w:val="Normal29"/>
        <w:jc w:val="both"/>
        <w:rPr>
          <w:rFonts w:ascii="Book Antiqua" w:eastAsia="Calibri" w:hAnsi="Book Antiqua"/>
          <w:sz w:val="20"/>
          <w:szCs w:val="20"/>
        </w:rPr>
      </w:pPr>
      <w:r w:rsidRPr="00163AC4">
        <w:rPr>
          <w:rFonts w:ascii="Book Antiqua" w:eastAsia="Calibri" w:hAnsi="Book Antiqua"/>
          <w:sz w:val="20"/>
          <w:szCs w:val="20"/>
        </w:rPr>
        <w:t>The entities within the Veterans’ Affairs Portfolio are described in more detail below. Figure 1 on page 7 shows the portfolio structure and outcomes.</w:t>
      </w:r>
    </w:p>
    <w:p w14:paraId="0BAA028E" w14:textId="77777777" w:rsidR="003F0EEA" w:rsidRDefault="00FB7D0B" w:rsidP="003F0EEA">
      <w:pPr>
        <w:pStyle w:val="Heading3"/>
        <w:jc w:val="both"/>
      </w:pPr>
      <w:r>
        <w:rPr>
          <w:rFonts w:cs="Arial"/>
        </w:rPr>
        <w:t xml:space="preserve">The Department of Veterans' Affairs </w:t>
      </w:r>
    </w:p>
    <w:p w14:paraId="1430B31E" w14:textId="77777777" w:rsidR="003F0EEA" w:rsidRPr="00163AC4" w:rsidRDefault="00FB7D0B" w:rsidP="003F0EEA">
      <w:pPr>
        <w:pStyle w:val="Normal29"/>
        <w:jc w:val="both"/>
        <w:rPr>
          <w:rFonts w:ascii="Book Antiqua" w:eastAsia="Calibri" w:hAnsi="Book Antiqua"/>
          <w:sz w:val="20"/>
          <w:szCs w:val="20"/>
        </w:rPr>
      </w:pPr>
      <w:r w:rsidRPr="00163AC4">
        <w:rPr>
          <w:rFonts w:ascii="Book Antiqua" w:eastAsia="Calibri" w:hAnsi="Book Antiqua"/>
          <w:sz w:val="20"/>
          <w:szCs w:val="20"/>
        </w:rPr>
        <w:t>The Australian Government serves the needs of the veteran and defence force communities through a number of bodies that make up the Veterans’ Affairs portfolio.</w:t>
      </w:r>
    </w:p>
    <w:p w14:paraId="2B543BD9" w14:textId="77777777" w:rsidR="003F0EEA" w:rsidRPr="00163AC4" w:rsidRDefault="003F0EEA">
      <w:pPr>
        <w:rPr>
          <w:rFonts w:ascii="Book Antiqua" w:hAnsi="Book Antiqua" w:cs="Times New Roman"/>
          <w:sz w:val="20"/>
          <w:szCs w:val="20"/>
        </w:rPr>
        <w:sectPr w:rsidR="003F0EEA" w:rsidRPr="00163AC4">
          <w:footerReference w:type="even" r:id="rId32"/>
          <w:footerReference w:type="default" r:id="rId33"/>
          <w:pgSz w:w="10319" w:h="14572"/>
          <w:pgMar w:top="1077" w:right="1077" w:bottom="1134" w:left="1134" w:header="709" w:footer="709" w:gutter="0"/>
          <w:cols w:space="708"/>
        </w:sectPr>
      </w:pPr>
    </w:p>
    <w:p w14:paraId="5988C547" w14:textId="77777777" w:rsidR="003F0EEA" w:rsidRPr="00923D2E" w:rsidRDefault="00FB7D0B" w:rsidP="003F0EEA">
      <w:pPr>
        <w:pStyle w:val="Normal34"/>
        <w:jc w:val="both"/>
        <w:rPr>
          <w:rFonts w:ascii="Book Antiqua" w:eastAsia="Calibri" w:hAnsi="Book Antiqua"/>
          <w:sz w:val="20"/>
          <w:szCs w:val="20"/>
        </w:rPr>
      </w:pPr>
      <w:r w:rsidRPr="00923D2E">
        <w:rPr>
          <w:rFonts w:ascii="Book Antiqua" w:eastAsia="Calibri" w:hAnsi="Book Antiqua"/>
          <w:sz w:val="20"/>
          <w:szCs w:val="20"/>
        </w:rPr>
        <w:lastRenderedPageBreak/>
        <w:t xml:space="preserve">The Department of Veterans’ Affairs (DVA) is the primary service delivery agency responsible for developing and implementing programs that assist the veteran and defence force communities. It provides administrative support to the Repatriation Commission and the Military Rehabilitation and Compensation Commission and is responsible for advising the Commissions on policies and programs for beneficiaries and administering these policies and programs. DVA also administers legislation such as the </w:t>
      </w:r>
      <w:r w:rsidRPr="00923D2E">
        <w:rPr>
          <w:rFonts w:ascii="Book Antiqua" w:eastAsia="Calibri" w:hAnsi="Book Antiqua"/>
          <w:i/>
          <w:sz w:val="20"/>
          <w:szCs w:val="20"/>
        </w:rPr>
        <w:t xml:space="preserve">Defence Service Homes Act 1918 </w:t>
      </w:r>
      <w:r w:rsidRPr="00923D2E">
        <w:rPr>
          <w:rFonts w:ascii="Book Antiqua" w:eastAsia="Calibri" w:hAnsi="Book Antiqua"/>
          <w:sz w:val="20"/>
          <w:szCs w:val="20"/>
        </w:rPr>
        <w:t xml:space="preserve">and the </w:t>
      </w:r>
      <w:r w:rsidRPr="00923D2E">
        <w:rPr>
          <w:rFonts w:ascii="Book Antiqua" w:eastAsia="Calibri" w:hAnsi="Book Antiqua"/>
          <w:i/>
          <w:sz w:val="20"/>
          <w:szCs w:val="20"/>
        </w:rPr>
        <w:t>War Graves Act 1980,</w:t>
      </w:r>
      <w:r w:rsidRPr="00923D2E">
        <w:rPr>
          <w:rFonts w:ascii="Book Antiqua" w:eastAsia="Calibri" w:hAnsi="Book Antiqua"/>
          <w:sz w:val="20"/>
          <w:szCs w:val="20"/>
        </w:rPr>
        <w:t xml:space="preserve"> and conducts commemorative programs to acknowledge the service and sacrifice of Australian servicemen and women. </w:t>
      </w:r>
    </w:p>
    <w:p w14:paraId="6F051FA3" w14:textId="77777777" w:rsidR="003F0EEA" w:rsidRPr="00923D2E" w:rsidRDefault="00FB7D0B" w:rsidP="003F0EEA">
      <w:pPr>
        <w:pStyle w:val="Normal34"/>
        <w:jc w:val="both"/>
        <w:rPr>
          <w:rFonts w:ascii="Book Antiqua" w:eastAsia="Calibri" w:hAnsi="Book Antiqua"/>
          <w:sz w:val="20"/>
          <w:szCs w:val="20"/>
        </w:rPr>
      </w:pPr>
      <w:r w:rsidRPr="00923D2E">
        <w:rPr>
          <w:rFonts w:ascii="Book Antiqua" w:eastAsia="Calibri" w:hAnsi="Book Antiqua"/>
          <w:sz w:val="20"/>
          <w:szCs w:val="20"/>
        </w:rPr>
        <w:t xml:space="preserve">The Department is located in all capital </w:t>
      </w:r>
      <w:r>
        <w:rPr>
          <w:rFonts w:ascii="Book Antiqua" w:eastAsia="Calibri" w:hAnsi="Book Antiqua"/>
          <w:sz w:val="20"/>
          <w:szCs w:val="20"/>
        </w:rPr>
        <w:t xml:space="preserve">cities and has Veterans’ Access </w:t>
      </w:r>
      <w:r w:rsidRPr="00923D2E">
        <w:rPr>
          <w:rFonts w:ascii="Book Antiqua" w:eastAsia="Calibri" w:hAnsi="Book Antiqua"/>
          <w:sz w:val="20"/>
          <w:szCs w:val="20"/>
        </w:rPr>
        <w:t>Network offices in regional areas. The Department deliver</w:t>
      </w:r>
      <w:r>
        <w:rPr>
          <w:rFonts w:ascii="Book Antiqua" w:eastAsia="Calibri" w:hAnsi="Book Antiqua"/>
          <w:sz w:val="20"/>
          <w:szCs w:val="20"/>
        </w:rPr>
        <w:t>s services</w:t>
      </w:r>
      <w:r w:rsidRPr="00923D2E">
        <w:rPr>
          <w:rFonts w:ascii="Book Antiqua" w:eastAsia="Calibri" w:hAnsi="Book Antiqua"/>
          <w:sz w:val="20"/>
          <w:szCs w:val="20"/>
        </w:rPr>
        <w:t xml:space="preserve"> to veterans and their families living in rural and remote areas through agency arrangements to deliver DVA information and services where the Department has no permanent local presence. </w:t>
      </w:r>
    </w:p>
    <w:p w14:paraId="329BB12B" w14:textId="77777777" w:rsidR="003F0EEA" w:rsidRDefault="00FB7D0B" w:rsidP="003F0EEA">
      <w:pPr>
        <w:pStyle w:val="Heading30"/>
        <w:jc w:val="both"/>
      </w:pPr>
      <w:r>
        <w:rPr>
          <w:rFonts w:cs="Arial"/>
        </w:rPr>
        <w:t>The Repatriation Commission</w:t>
      </w:r>
    </w:p>
    <w:p w14:paraId="19E88954" w14:textId="77777777" w:rsidR="003F0EEA" w:rsidRPr="00923D2E" w:rsidRDefault="00FB7D0B" w:rsidP="003F0EEA">
      <w:pPr>
        <w:pStyle w:val="Normal34"/>
        <w:jc w:val="both"/>
        <w:rPr>
          <w:rFonts w:ascii="Book Antiqua" w:eastAsia="Calibri" w:hAnsi="Book Antiqua"/>
          <w:sz w:val="20"/>
          <w:szCs w:val="20"/>
        </w:rPr>
      </w:pPr>
      <w:r w:rsidRPr="00923D2E">
        <w:rPr>
          <w:rFonts w:ascii="Book Antiqua" w:eastAsia="Calibri" w:hAnsi="Book Antiqua"/>
          <w:sz w:val="20"/>
          <w:szCs w:val="20"/>
        </w:rPr>
        <w:t xml:space="preserve">The Repatriation Commission is responsible under the </w:t>
      </w:r>
      <w:r w:rsidRPr="00923D2E">
        <w:rPr>
          <w:rFonts w:ascii="Book Antiqua" w:eastAsia="Calibri" w:hAnsi="Book Antiqua"/>
          <w:i/>
          <w:sz w:val="20"/>
          <w:szCs w:val="20"/>
        </w:rPr>
        <w:t xml:space="preserve">Veterans’ Entitlements Act 1986 </w:t>
      </w:r>
      <w:r w:rsidRPr="00923D2E">
        <w:rPr>
          <w:rFonts w:ascii="Book Antiqua" w:eastAsia="Calibri" w:hAnsi="Book Antiqua"/>
          <w:sz w:val="20"/>
          <w:szCs w:val="20"/>
        </w:rPr>
        <w:t>(VEA)</w:t>
      </w:r>
      <w:r w:rsidRPr="00923D2E">
        <w:rPr>
          <w:rFonts w:ascii="Book Antiqua" w:eastAsia="Calibri" w:hAnsi="Book Antiqua"/>
          <w:i/>
          <w:sz w:val="20"/>
          <w:szCs w:val="20"/>
        </w:rPr>
        <w:t xml:space="preserve"> </w:t>
      </w:r>
      <w:r w:rsidRPr="00923D2E">
        <w:rPr>
          <w:rFonts w:ascii="Book Antiqua" w:eastAsia="Calibri" w:hAnsi="Book Antiqua"/>
          <w:sz w:val="20"/>
          <w:szCs w:val="20"/>
        </w:rPr>
        <w:t>for granting pensions, allowances and other benefits, providing treatment and other services and generally administering the VEA.</w:t>
      </w:r>
    </w:p>
    <w:p w14:paraId="08E912AB" w14:textId="77777777" w:rsidR="003F0EEA" w:rsidRPr="00923D2E" w:rsidRDefault="00FB7D0B" w:rsidP="003F0EEA">
      <w:pPr>
        <w:pStyle w:val="Normal34"/>
        <w:jc w:val="both"/>
        <w:rPr>
          <w:rFonts w:ascii="Book Antiqua" w:eastAsia="Calibri" w:hAnsi="Book Antiqua"/>
          <w:sz w:val="20"/>
          <w:szCs w:val="20"/>
        </w:rPr>
      </w:pPr>
      <w:r w:rsidRPr="00923D2E">
        <w:rPr>
          <w:rFonts w:ascii="Book Antiqua" w:eastAsia="Calibri" w:hAnsi="Book Antiqua"/>
          <w:sz w:val="20"/>
          <w:szCs w:val="20"/>
        </w:rPr>
        <w:t>The functions and powers of the Repatriation Commission are set out in sections 180 and 181 of the VEA.</w:t>
      </w:r>
    </w:p>
    <w:p w14:paraId="707DD19B" w14:textId="77777777" w:rsidR="003F0EEA" w:rsidRDefault="00FB7D0B" w:rsidP="003F0EEA">
      <w:pPr>
        <w:pStyle w:val="Heading30"/>
        <w:jc w:val="both"/>
      </w:pPr>
      <w:r>
        <w:rPr>
          <w:rFonts w:cs="Arial"/>
        </w:rPr>
        <w:t>Military Rehabilitation and Compensation Commission</w:t>
      </w:r>
    </w:p>
    <w:p w14:paraId="25DF1CF3" w14:textId="77777777" w:rsidR="003F0EEA" w:rsidRPr="00923D2E" w:rsidRDefault="00FB7D0B" w:rsidP="003F0EEA">
      <w:pPr>
        <w:pStyle w:val="Normal34"/>
        <w:ind w:right="-30"/>
        <w:jc w:val="both"/>
        <w:rPr>
          <w:rFonts w:ascii="Book Antiqua" w:eastAsia="Calibri" w:hAnsi="Book Antiqua"/>
          <w:snapToGrid w:val="0"/>
          <w:sz w:val="20"/>
          <w:szCs w:val="20"/>
          <w:lang w:val="en-US"/>
        </w:rPr>
      </w:pPr>
      <w:r w:rsidRPr="00923D2E">
        <w:rPr>
          <w:rFonts w:ascii="Book Antiqua" w:eastAsia="Calibri" w:hAnsi="Book Antiqua"/>
          <w:snapToGrid w:val="0"/>
          <w:sz w:val="20"/>
          <w:szCs w:val="20"/>
          <w:lang w:val="en-US"/>
        </w:rPr>
        <w:t xml:space="preserve">The Military Rehabilitation and Compensation Commission (MRCC) is responsible for the administration of benefits and arrangements under the </w:t>
      </w:r>
      <w:r w:rsidRPr="00923D2E">
        <w:rPr>
          <w:rFonts w:ascii="Book Antiqua" w:eastAsia="Calibri" w:hAnsi="Book Antiqua"/>
          <w:i/>
          <w:snapToGrid w:val="0"/>
          <w:sz w:val="20"/>
          <w:szCs w:val="20"/>
          <w:lang w:val="en-US"/>
        </w:rPr>
        <w:t>Military Rehabilitation and Compensation Act 2004</w:t>
      </w:r>
      <w:r w:rsidRPr="00923D2E">
        <w:rPr>
          <w:rFonts w:ascii="Book Antiqua" w:eastAsia="Calibri" w:hAnsi="Book Antiqua"/>
          <w:snapToGrid w:val="0"/>
          <w:sz w:val="20"/>
          <w:szCs w:val="20"/>
          <w:lang w:val="en-US"/>
        </w:rPr>
        <w:t xml:space="preserve"> (MRCA).  The Commission also determines and manages claims relating to defence service under the </w:t>
      </w:r>
      <w:r w:rsidRPr="00923D2E">
        <w:rPr>
          <w:rFonts w:ascii="Book Antiqua" w:eastAsia="Calibri" w:hAnsi="Book Antiqua"/>
          <w:i/>
          <w:snapToGrid w:val="0"/>
          <w:sz w:val="20"/>
          <w:szCs w:val="20"/>
          <w:lang w:val="en-US"/>
        </w:rPr>
        <w:t xml:space="preserve">Safety, Rehabilitation and Compensation Act 1988 </w:t>
      </w:r>
      <w:r w:rsidRPr="00923D2E">
        <w:rPr>
          <w:rFonts w:ascii="Book Antiqua" w:eastAsia="Calibri" w:hAnsi="Book Antiqua"/>
          <w:snapToGrid w:val="0"/>
          <w:sz w:val="20"/>
          <w:szCs w:val="20"/>
          <w:lang w:val="en-US"/>
        </w:rPr>
        <w:t xml:space="preserve">(SRCA). </w:t>
      </w:r>
    </w:p>
    <w:p w14:paraId="7B6650A5" w14:textId="77777777" w:rsidR="003F0EEA" w:rsidRDefault="00FB7D0B" w:rsidP="003F0EEA">
      <w:pPr>
        <w:pStyle w:val="Normal34"/>
        <w:jc w:val="both"/>
        <w:rPr>
          <w:rFonts w:ascii="Book Antiqua" w:eastAsia="Calibri" w:hAnsi="Book Antiqua"/>
          <w:snapToGrid w:val="0"/>
          <w:sz w:val="20"/>
          <w:szCs w:val="20"/>
        </w:rPr>
      </w:pPr>
      <w:r w:rsidRPr="00923D2E">
        <w:rPr>
          <w:rFonts w:ascii="Book Antiqua" w:eastAsia="Calibri" w:hAnsi="Book Antiqua"/>
          <w:snapToGrid w:val="0"/>
          <w:sz w:val="20"/>
          <w:szCs w:val="20"/>
        </w:rPr>
        <w:t xml:space="preserve">The functions of the MRCC are set out in section 362 of the MRCA and Schedule 2 of the </w:t>
      </w:r>
      <w:r w:rsidRPr="00923D2E">
        <w:rPr>
          <w:rFonts w:ascii="Book Antiqua" w:eastAsia="Calibri" w:hAnsi="Book Antiqua"/>
          <w:i/>
          <w:snapToGrid w:val="0"/>
          <w:sz w:val="20"/>
          <w:szCs w:val="20"/>
        </w:rPr>
        <w:t>Military Rehabilitation and Compensation (Consequential and Transitional Provisions) Act 2004</w:t>
      </w:r>
      <w:r w:rsidRPr="00923D2E">
        <w:rPr>
          <w:rFonts w:ascii="Book Antiqua" w:eastAsia="Calibri" w:hAnsi="Book Antiqua"/>
          <w:snapToGrid w:val="0"/>
          <w:sz w:val="20"/>
          <w:szCs w:val="20"/>
        </w:rPr>
        <w:t xml:space="preserve"> in relation to the SRCA</w:t>
      </w:r>
      <w:r>
        <w:rPr>
          <w:rFonts w:ascii="Book Antiqua" w:eastAsia="Calibri" w:hAnsi="Book Antiqua"/>
          <w:snapToGrid w:val="0"/>
          <w:sz w:val="20"/>
          <w:szCs w:val="20"/>
        </w:rPr>
        <w:t>.</w:t>
      </w:r>
    </w:p>
    <w:p w14:paraId="1F30B6E4" w14:textId="77777777" w:rsidR="003F0EEA" w:rsidRPr="00923D2E" w:rsidRDefault="00FB7D0B" w:rsidP="003F0EEA">
      <w:pPr>
        <w:pStyle w:val="Normal34"/>
        <w:jc w:val="both"/>
        <w:rPr>
          <w:rFonts w:ascii="Book Antiqua" w:eastAsia="Calibri" w:hAnsi="Book Antiqua"/>
          <w:sz w:val="20"/>
          <w:szCs w:val="20"/>
          <w:lang w:eastAsia="en-AU"/>
        </w:rPr>
      </w:pPr>
      <w:r w:rsidRPr="00923D2E">
        <w:rPr>
          <w:rFonts w:ascii="Book Antiqua" w:eastAsia="Calibri" w:hAnsi="Book Antiqua"/>
          <w:sz w:val="20"/>
          <w:szCs w:val="20"/>
        </w:rPr>
        <w:t>Under the direction of these Commissions, DVA provides wide-ranging programs and services that can be broadly grouped into three main areas: care, compensation and commemoration.</w:t>
      </w:r>
    </w:p>
    <w:p w14:paraId="2AE50080" w14:textId="77777777" w:rsidR="003F0EEA" w:rsidRPr="00923D2E" w:rsidRDefault="00FB7D0B">
      <w:pPr>
        <w:spacing w:line="14" w:lineRule="exact"/>
        <w:rPr>
          <w:rFonts w:ascii="Book Antiqua" w:hAnsi="Book Antiqua" w:cs="Times New Roman"/>
          <w:sz w:val="20"/>
          <w:szCs w:val="20"/>
        </w:rPr>
      </w:pPr>
      <w:r w:rsidRPr="00923D2E">
        <w:rPr>
          <w:rFonts w:ascii="Book Antiqua" w:hAnsi="Book Antiqua" w:cs="Times New Roman"/>
          <w:sz w:val="20"/>
          <w:szCs w:val="20"/>
        </w:rPr>
        <w:br w:type="page"/>
      </w:r>
    </w:p>
    <w:p w14:paraId="2E5106C4" w14:textId="77777777" w:rsidR="003F0EEA" w:rsidRDefault="00FB7D0B" w:rsidP="003F0EEA">
      <w:pPr>
        <w:pStyle w:val="Heading31"/>
      </w:pPr>
      <w:r>
        <w:rPr>
          <w:rFonts w:cs="Arial"/>
        </w:rPr>
        <w:t xml:space="preserve">The Veterans’ Review Board </w:t>
      </w:r>
    </w:p>
    <w:p w14:paraId="757D65FD" w14:textId="77777777" w:rsidR="003F0EEA" w:rsidRPr="00677AC7" w:rsidRDefault="00FB7D0B" w:rsidP="003F0EEA">
      <w:pPr>
        <w:pStyle w:val="Normal35"/>
        <w:jc w:val="both"/>
        <w:rPr>
          <w:rFonts w:ascii="Book Antiqua" w:eastAsia="Calibri" w:hAnsi="Book Antiqua"/>
          <w:sz w:val="20"/>
          <w:szCs w:val="20"/>
        </w:rPr>
      </w:pPr>
      <w:r w:rsidRPr="00677AC7">
        <w:rPr>
          <w:rFonts w:ascii="Book Antiqua" w:eastAsia="Calibri" w:hAnsi="Book Antiqua"/>
          <w:sz w:val="20"/>
          <w:szCs w:val="20"/>
        </w:rPr>
        <w:t>The Veterans’ Review Board (VRB) is an independent tribunal that reviews certain decisions of the Repatriation Commission and decisions made under the</w:t>
      </w:r>
      <w:r w:rsidRPr="00677AC7">
        <w:rPr>
          <w:rFonts w:ascii="Book Antiqua" w:eastAsia="Calibri" w:hAnsi="Book Antiqua"/>
          <w:i/>
          <w:sz w:val="20"/>
          <w:szCs w:val="20"/>
        </w:rPr>
        <w:t xml:space="preserve"> Military Rehabilitation and Compensation Act 2004</w:t>
      </w:r>
      <w:r>
        <w:rPr>
          <w:rFonts w:ascii="Book Antiqua" w:eastAsia="Calibri" w:hAnsi="Book Antiqua"/>
          <w:sz w:val="20"/>
          <w:szCs w:val="20"/>
        </w:rPr>
        <w:t xml:space="preserve"> (MRCA)</w:t>
      </w:r>
      <w:r w:rsidRPr="00677AC7">
        <w:rPr>
          <w:rFonts w:ascii="Book Antiqua" w:eastAsia="Calibri" w:hAnsi="Book Antiqua"/>
          <w:sz w:val="20"/>
          <w:szCs w:val="20"/>
        </w:rPr>
        <w:t xml:space="preserve">. The Board was established by the </w:t>
      </w:r>
      <w:r w:rsidRPr="00677AC7">
        <w:rPr>
          <w:rFonts w:ascii="Book Antiqua" w:eastAsia="Calibri" w:hAnsi="Book Antiqua"/>
          <w:i/>
          <w:sz w:val="20"/>
          <w:szCs w:val="20"/>
        </w:rPr>
        <w:t>Repatriation Legislation Amendment Act 1984</w:t>
      </w:r>
      <w:r w:rsidRPr="00677AC7">
        <w:rPr>
          <w:rFonts w:ascii="Book Antiqua" w:eastAsia="Calibri" w:hAnsi="Book Antiqua"/>
          <w:sz w:val="20"/>
          <w:szCs w:val="20"/>
        </w:rPr>
        <w:t xml:space="preserve"> and began operating on 1 January 1985. The </w:t>
      </w:r>
      <w:r w:rsidRPr="00677AC7">
        <w:rPr>
          <w:rFonts w:ascii="Book Antiqua" w:eastAsia="Calibri" w:hAnsi="Book Antiqua"/>
          <w:i/>
          <w:sz w:val="20"/>
          <w:szCs w:val="20"/>
        </w:rPr>
        <w:t>Veterans’ Entitlement</w:t>
      </w:r>
      <w:r>
        <w:rPr>
          <w:rFonts w:ascii="Book Antiqua" w:eastAsia="Calibri" w:hAnsi="Book Antiqua"/>
          <w:i/>
          <w:sz w:val="20"/>
          <w:szCs w:val="20"/>
        </w:rPr>
        <w:t xml:space="preserve">s </w:t>
      </w:r>
      <w:r w:rsidRPr="00677AC7">
        <w:rPr>
          <w:rFonts w:ascii="Book Antiqua" w:eastAsia="Calibri" w:hAnsi="Book Antiqua"/>
          <w:i/>
          <w:sz w:val="20"/>
          <w:szCs w:val="20"/>
        </w:rPr>
        <w:t>Act 1986</w:t>
      </w:r>
      <w:r w:rsidRPr="00677AC7">
        <w:rPr>
          <w:rFonts w:ascii="Book Antiqua" w:eastAsia="Calibri" w:hAnsi="Book Antiqua"/>
          <w:sz w:val="20"/>
          <w:szCs w:val="20"/>
        </w:rPr>
        <w:t xml:space="preserve"> preserves the continuing role of the VRB, as does the</w:t>
      </w:r>
      <w:r>
        <w:rPr>
          <w:rFonts w:ascii="Book Antiqua" w:eastAsia="Calibri" w:hAnsi="Book Antiqua"/>
          <w:sz w:val="20"/>
          <w:szCs w:val="20"/>
        </w:rPr>
        <w:t xml:space="preserve"> MRCA.</w:t>
      </w:r>
    </w:p>
    <w:p w14:paraId="66BEA47A" w14:textId="77777777" w:rsidR="003F0EEA" w:rsidRDefault="00FB7D0B" w:rsidP="003F0EEA">
      <w:pPr>
        <w:pStyle w:val="Heading31"/>
      </w:pPr>
      <w:r>
        <w:rPr>
          <w:rFonts w:cs="Arial"/>
        </w:rPr>
        <w:t>The Veterans’ Children Education Boards</w:t>
      </w:r>
    </w:p>
    <w:p w14:paraId="3AB8C90B" w14:textId="77777777" w:rsidR="003F0EEA" w:rsidRPr="00677AC7" w:rsidRDefault="00FB7D0B" w:rsidP="003F0EEA">
      <w:pPr>
        <w:pStyle w:val="Normal35"/>
        <w:jc w:val="both"/>
        <w:rPr>
          <w:rFonts w:ascii="Book Antiqua" w:eastAsia="Calibri" w:hAnsi="Book Antiqua"/>
          <w:sz w:val="20"/>
          <w:szCs w:val="20"/>
        </w:rPr>
      </w:pPr>
      <w:r w:rsidRPr="00677AC7">
        <w:rPr>
          <w:rFonts w:ascii="Book Antiqua" w:eastAsia="Calibri" w:hAnsi="Book Antiqua"/>
          <w:sz w:val="20"/>
          <w:szCs w:val="20"/>
        </w:rPr>
        <w:t>The Veterans’ Children Education Board in each state is responsible to the Repatriation Commission and the Military Rehabilitation and Compensation Commission for the administration of the Veterans’ Children Education Scheme and Military Rehabilitation and Compensation Act Education and Training Scheme in each state and territory.</w:t>
      </w:r>
    </w:p>
    <w:p w14:paraId="5E0573FA" w14:textId="77777777" w:rsidR="003F0EEA" w:rsidRDefault="00FB7D0B" w:rsidP="003F0EEA">
      <w:pPr>
        <w:pStyle w:val="Heading31"/>
      </w:pPr>
      <w:r>
        <w:rPr>
          <w:rFonts w:cs="Arial"/>
        </w:rPr>
        <w:t xml:space="preserve">Office of Australian War </w:t>
      </w:r>
      <w:smartTag w:uri="urn:schemas-microsoft-com:office:smarttags" w:element="place">
        <w:r>
          <w:rPr>
            <w:rFonts w:cs="Arial"/>
          </w:rPr>
          <w:t>Graves</w:t>
        </w:r>
      </w:smartTag>
    </w:p>
    <w:p w14:paraId="123F1484" w14:textId="77777777" w:rsidR="003F0EEA" w:rsidRPr="00677AC7" w:rsidRDefault="00FB7D0B" w:rsidP="003F0EEA">
      <w:pPr>
        <w:pStyle w:val="Normal35"/>
        <w:widowControl w:val="0"/>
        <w:jc w:val="both"/>
        <w:rPr>
          <w:rFonts w:ascii="Book Antiqua" w:eastAsia="Calibri" w:hAnsi="Book Antiqua"/>
          <w:snapToGrid w:val="0"/>
          <w:sz w:val="20"/>
          <w:szCs w:val="20"/>
        </w:rPr>
      </w:pPr>
      <w:r w:rsidRPr="00677AC7">
        <w:rPr>
          <w:rFonts w:ascii="Book Antiqua" w:eastAsia="Calibri" w:hAnsi="Book Antiqua"/>
          <w:snapToGrid w:val="0"/>
          <w:sz w:val="20"/>
          <w:szCs w:val="20"/>
        </w:rPr>
        <w:t xml:space="preserve">The Office of Australian War Graves </w:t>
      </w:r>
      <w:r>
        <w:rPr>
          <w:rFonts w:ascii="Book Antiqua" w:eastAsia="Calibri" w:hAnsi="Book Antiqua"/>
          <w:snapToGrid w:val="0"/>
          <w:sz w:val="20"/>
          <w:szCs w:val="20"/>
        </w:rPr>
        <w:t xml:space="preserve">(OAWG) commemorates Australian service personnel who have died in or as a result of war.  The OAWG maintains individual graves and memorials, war cemeteries and Gardens of Remembrance.  The OAWG maintains existing national memorials overseas and constructs new memorials as determined by government processes. </w:t>
      </w:r>
    </w:p>
    <w:p w14:paraId="1902C580" w14:textId="77777777" w:rsidR="003F0EEA" w:rsidRDefault="00FB7D0B" w:rsidP="003F0EEA">
      <w:pPr>
        <w:pStyle w:val="Heading31"/>
      </w:pPr>
      <w:r>
        <w:rPr>
          <w:rFonts w:cs="Arial"/>
        </w:rPr>
        <w:t>The Repatriation Medical Authority</w:t>
      </w:r>
    </w:p>
    <w:p w14:paraId="1A5F8629" w14:textId="77777777" w:rsidR="003F0EEA" w:rsidRPr="00FE758A" w:rsidRDefault="00FB7D0B" w:rsidP="003F0EEA">
      <w:pPr>
        <w:pStyle w:val="Normal35"/>
        <w:jc w:val="both"/>
        <w:rPr>
          <w:rFonts w:ascii="Book Antiqua" w:eastAsia="Calibri" w:hAnsi="Book Antiqua"/>
          <w:sz w:val="20"/>
          <w:szCs w:val="20"/>
        </w:rPr>
      </w:pPr>
      <w:r w:rsidRPr="00FE758A">
        <w:rPr>
          <w:rFonts w:ascii="Book Antiqua" w:eastAsia="Calibri" w:hAnsi="Book Antiqua"/>
          <w:sz w:val="20"/>
          <w:szCs w:val="20"/>
        </w:rPr>
        <w:t xml:space="preserve">The Repatriation Medical Authority (RMA) is an independent statutory authority established under section 196A of the </w:t>
      </w:r>
      <w:r w:rsidRPr="00FE758A">
        <w:rPr>
          <w:rFonts w:ascii="Book Antiqua" w:eastAsia="Calibri" w:hAnsi="Book Antiqua"/>
          <w:i/>
          <w:sz w:val="20"/>
          <w:szCs w:val="20"/>
        </w:rPr>
        <w:t xml:space="preserve">Veterans’ Entitlements Act 1986 </w:t>
      </w:r>
      <w:r w:rsidRPr="00FE758A">
        <w:rPr>
          <w:rFonts w:ascii="Book Antiqua" w:eastAsia="Calibri" w:hAnsi="Book Antiqua"/>
          <w:sz w:val="20"/>
          <w:szCs w:val="20"/>
        </w:rPr>
        <w:t>(VEA). Its role is to determine statements of principles in relation to medical or scientific evidence connecting injuries, diseases or death with the circumstances of a particular veteran’s service.  Its membership comprises five eminent medical-scientific experts.</w:t>
      </w:r>
    </w:p>
    <w:p w14:paraId="5DAA9162" w14:textId="77777777" w:rsidR="003F0EEA" w:rsidRDefault="00FB7D0B" w:rsidP="003F0EEA">
      <w:pPr>
        <w:pStyle w:val="Heading31"/>
      </w:pPr>
      <w:r>
        <w:rPr>
          <w:rFonts w:cs="Arial"/>
        </w:rPr>
        <w:t>The Specialist Medical Review Council</w:t>
      </w:r>
    </w:p>
    <w:p w14:paraId="7398492B" w14:textId="77777777" w:rsidR="003F0EEA" w:rsidRPr="00FE758A" w:rsidRDefault="00FB7D0B" w:rsidP="003F0EEA">
      <w:pPr>
        <w:pStyle w:val="Normal35"/>
        <w:jc w:val="both"/>
        <w:rPr>
          <w:rFonts w:ascii="Book Antiqua" w:eastAsia="Calibri" w:hAnsi="Book Antiqua"/>
          <w:sz w:val="20"/>
          <w:szCs w:val="20"/>
        </w:rPr>
      </w:pPr>
      <w:r w:rsidRPr="00FE758A">
        <w:rPr>
          <w:rFonts w:ascii="Book Antiqua" w:eastAsia="Calibri" w:hAnsi="Book Antiqua"/>
          <w:sz w:val="20"/>
          <w:szCs w:val="20"/>
        </w:rPr>
        <w:t>The Specialist Medical Review Council (SMRC) is an independent statutory body established under section 196V of the VEA.  It has power, under section 196W of the VEA, to review determinations by the RMA.  It does not review individual cases, but rather</w:t>
      </w:r>
      <w:r>
        <w:rPr>
          <w:rFonts w:ascii="Book Antiqua" w:eastAsia="Calibri" w:hAnsi="Book Antiqua"/>
          <w:sz w:val="20"/>
          <w:szCs w:val="20"/>
        </w:rPr>
        <w:t>,</w:t>
      </w:r>
      <w:r w:rsidRPr="00FE758A">
        <w:rPr>
          <w:rFonts w:ascii="Book Antiqua" w:eastAsia="Calibri" w:hAnsi="Book Antiqua"/>
          <w:sz w:val="20"/>
          <w:szCs w:val="20"/>
        </w:rPr>
        <w:t xml:space="preserve"> examines the evidence upon which the decisions of the RMA are based. Members of SMRC are eminent medical practitioners and medical scientists whose names are put forward by the</w:t>
      </w:r>
      <w:r>
        <w:rPr>
          <w:rFonts w:ascii="Book Antiqua" w:eastAsia="Calibri" w:hAnsi="Book Antiqua"/>
          <w:sz w:val="20"/>
          <w:szCs w:val="20"/>
        </w:rPr>
        <w:t>ir</w:t>
      </w:r>
      <w:r w:rsidRPr="00FE758A">
        <w:rPr>
          <w:rFonts w:ascii="Book Antiqua" w:eastAsia="Calibri" w:hAnsi="Book Antiqua"/>
          <w:sz w:val="20"/>
          <w:szCs w:val="20"/>
        </w:rPr>
        <w:t xml:space="preserve"> professional colleges.</w:t>
      </w:r>
    </w:p>
    <w:p w14:paraId="343BFE64" w14:textId="77777777" w:rsidR="003F0EEA" w:rsidRDefault="00FB7D0B" w:rsidP="003F0EEA">
      <w:pPr>
        <w:pStyle w:val="Heading31"/>
      </w:pPr>
      <w:r>
        <w:rPr>
          <w:rFonts w:cs="Arial"/>
        </w:rPr>
        <w:lastRenderedPageBreak/>
        <w:t>The Australian War Memorial</w:t>
      </w:r>
    </w:p>
    <w:p w14:paraId="7C9B2142" w14:textId="77777777" w:rsidR="003F0EEA" w:rsidRPr="00FE758A" w:rsidRDefault="00FB7D0B" w:rsidP="003F0EEA">
      <w:pPr>
        <w:pStyle w:val="Normal35"/>
        <w:jc w:val="both"/>
        <w:rPr>
          <w:rFonts w:ascii="Book Antiqua" w:eastAsia="Calibri" w:hAnsi="Book Antiqua"/>
          <w:sz w:val="20"/>
          <w:szCs w:val="20"/>
        </w:rPr>
      </w:pPr>
      <w:r w:rsidRPr="00FE758A">
        <w:rPr>
          <w:rFonts w:ascii="Book Antiqua" w:eastAsia="Calibri" w:hAnsi="Book Antiqua"/>
          <w:sz w:val="20"/>
          <w:szCs w:val="20"/>
        </w:rPr>
        <w:t xml:space="preserve">The Australian War Memorial (AWM) was established as a body corporate under the </w:t>
      </w:r>
      <w:r w:rsidRPr="00FE758A">
        <w:rPr>
          <w:rFonts w:ascii="Book Antiqua" w:eastAsia="Calibri" w:hAnsi="Book Antiqua"/>
          <w:i/>
          <w:sz w:val="20"/>
          <w:szCs w:val="20"/>
        </w:rPr>
        <w:t>Australian War Memorial Act 1980</w:t>
      </w:r>
      <w:r w:rsidRPr="00FE758A">
        <w:rPr>
          <w:rFonts w:ascii="Book Antiqua" w:eastAsia="Calibri" w:hAnsi="Book Antiqua"/>
          <w:sz w:val="20"/>
          <w:szCs w:val="20"/>
        </w:rPr>
        <w:t>. It operates within the Veterans’ Affairs Portfolio as a discrete agency.</w:t>
      </w:r>
    </w:p>
    <w:p w14:paraId="6657E67F" w14:textId="77777777" w:rsidR="003F0EEA" w:rsidRPr="00FE758A" w:rsidRDefault="00FB7D0B" w:rsidP="003F0EEA">
      <w:pPr>
        <w:pStyle w:val="Normal35"/>
        <w:jc w:val="both"/>
        <w:rPr>
          <w:rFonts w:ascii="Book Antiqua" w:eastAsia="Calibri" w:hAnsi="Book Antiqua"/>
          <w:i/>
          <w:sz w:val="20"/>
          <w:szCs w:val="20"/>
        </w:rPr>
      </w:pPr>
      <w:r w:rsidRPr="00FE758A">
        <w:rPr>
          <w:rFonts w:ascii="Book Antiqua" w:eastAsia="Calibri" w:hAnsi="Book Antiqua"/>
          <w:sz w:val="20"/>
          <w:szCs w:val="20"/>
        </w:rPr>
        <w:t>The AWM is responsible for maintaining and developing the national memorial to Australians who have died in wars or warlike operations. It also develops, maintains and exhibits a national collection of historical material, and conducts and fosters research into Australian military history.</w:t>
      </w:r>
    </w:p>
    <w:p w14:paraId="55328A59" w14:textId="77777777" w:rsidR="003F0EEA" w:rsidRPr="00FE758A" w:rsidRDefault="003F0EEA">
      <w:pPr>
        <w:rPr>
          <w:rFonts w:ascii="Book Antiqua" w:hAnsi="Book Antiqua" w:cs="Times New Roman"/>
          <w:i/>
          <w:sz w:val="20"/>
          <w:szCs w:val="20"/>
        </w:rPr>
        <w:sectPr w:rsidR="003F0EEA" w:rsidRPr="00FE758A">
          <w:headerReference w:type="even" r:id="rId34"/>
          <w:headerReference w:type="default" r:id="rId35"/>
          <w:footerReference w:type="even" r:id="rId36"/>
          <w:footerReference w:type="default" r:id="rId37"/>
          <w:pgSz w:w="10319" w:h="14572"/>
          <w:pgMar w:top="1077" w:right="1077" w:bottom="1134" w:left="1134" w:header="709" w:footer="709" w:gutter="0"/>
          <w:cols w:space="708"/>
        </w:sectPr>
      </w:pPr>
    </w:p>
    <w:p w14:paraId="0EF26DF9" w14:textId="77777777" w:rsidR="003F0EEA" w:rsidRDefault="00FB7D0B" w:rsidP="003F0EEA">
      <w:pPr>
        <w:pStyle w:val="FigureHeading"/>
        <w:spacing w:before="120"/>
        <w:jc w:val="left"/>
      </w:pPr>
      <w:r>
        <w:lastRenderedPageBreak/>
        <w:t>Figure 1: Department of Veterans' Affairs portfolio structure and outcomes</w:t>
      </w:r>
    </w:p>
    <w:p w14:paraId="0571A3AE" w14:textId="77777777" w:rsidR="003F0EEA" w:rsidRDefault="003F0EEA"/>
    <w:p w14:paraId="73A102DB" w14:textId="77777777" w:rsidR="003F0EEA" w:rsidRDefault="0088789D" w:rsidP="003F0EEA">
      <w:pPr>
        <w:pStyle w:val="Normal39"/>
        <w:jc w:val="center"/>
        <w:rPr>
          <w:rFonts w:ascii="Calibri" w:eastAsia="Calibri" w:hAnsi="Calibri"/>
        </w:rPr>
      </w:pPr>
      <w:r>
        <w:rPr>
          <w:rFonts w:ascii="Calibri" w:eastAsia="Calibri" w:hAnsi="Calibri"/>
        </w:rPr>
      </w:r>
      <w:r>
        <w:rPr>
          <w:rFonts w:ascii="Calibri" w:eastAsia="Calibri" w:hAnsi="Calibri"/>
        </w:rPr>
        <w:pict w14:anchorId="5FD7AB38">
          <v:group id="_x0000_s1030" editas="canvas" style="width:378pt;height:7in;mso-position-horizontal-relative:char;mso-position-vertical-relative:line" coordorigin="2233,4361" coordsize="7200,9678">
            <o:lock v:ext="edit" aspectratio="t"/>
            <v:shape id="_x0000_s1026" type="#_x0000_t75" style="position:absolute;left:2233;top:4361;width:7200;height:9678" o:preferrelative="f">
              <v:fill o:detectmouseclick="t"/>
            </v:shape>
            <v:shapetype id="_x0000_t202" coordsize="21600,21600" o:spt="202" path="m,l,21600r21600,l21600,xe">
              <v:stroke joinstyle="miter"/>
              <v:path gradientshapeok="t" o:connecttype="rect"/>
            </v:shapetype>
            <v:shape id="_x0000_s1027" type="#_x0000_t202" style="position:absolute;left:2233;top:6953;width:3257;height:6915">
              <v:textbox>
                <w:txbxContent>
                  <w:p w14:paraId="0C7C4800" w14:textId="77777777" w:rsidR="003F0EEA" w:rsidRDefault="00FB7D0B" w:rsidP="003F0EEA">
                    <w:pPr>
                      <w:pStyle w:val="Normal39"/>
                      <w:spacing w:before="60" w:after="60"/>
                      <w:jc w:val="center"/>
                      <w:rPr>
                        <w:rFonts w:ascii="Arial" w:eastAsia="Calibri" w:hAnsi="Arial" w:cs="Arial"/>
                        <w:b/>
                        <w:sz w:val="18"/>
                        <w:szCs w:val="18"/>
                      </w:rPr>
                    </w:pPr>
                    <w:r>
                      <w:rPr>
                        <w:rFonts w:ascii="Arial" w:eastAsia="Calibri" w:hAnsi="Arial" w:cs="Arial"/>
                        <w:b/>
                        <w:sz w:val="18"/>
                        <w:szCs w:val="18"/>
                      </w:rPr>
                      <w:t>Department of Veterans’ Affairs</w:t>
                    </w:r>
                  </w:p>
                  <w:p w14:paraId="16E2D3D6" w14:textId="77777777" w:rsidR="003F0EEA" w:rsidRDefault="00FB7D0B" w:rsidP="003F0EEA">
                    <w:pPr>
                      <w:pStyle w:val="Normal39"/>
                      <w:spacing w:after="120"/>
                      <w:jc w:val="center"/>
                      <w:rPr>
                        <w:rFonts w:ascii="Arial" w:eastAsia="Calibri" w:hAnsi="Arial" w:cs="Arial"/>
                        <w:b/>
                        <w:sz w:val="18"/>
                        <w:szCs w:val="18"/>
                      </w:rPr>
                    </w:pPr>
                    <w:r>
                      <w:rPr>
                        <w:rFonts w:ascii="Arial" w:eastAsia="Calibri" w:hAnsi="Arial" w:cs="Arial"/>
                        <w:b/>
                        <w:sz w:val="18"/>
                        <w:szCs w:val="18"/>
                      </w:rPr>
                      <w:t>Secretary: Simon Lewis PSM</w:t>
                    </w:r>
                  </w:p>
                  <w:p w14:paraId="16E581B0" w14:textId="77777777" w:rsidR="003F0EEA" w:rsidRDefault="00FB7D0B" w:rsidP="003F0EEA">
                    <w:pPr>
                      <w:pStyle w:val="Normal39"/>
                      <w:spacing w:after="120"/>
                      <w:rPr>
                        <w:rFonts w:ascii="Arial" w:eastAsia="Calibri" w:hAnsi="Arial" w:cs="Arial"/>
                        <w:sz w:val="18"/>
                        <w:szCs w:val="18"/>
                      </w:rPr>
                    </w:pPr>
                    <w:r>
                      <w:rPr>
                        <w:rFonts w:ascii="Arial" w:eastAsia="Calibri" w:hAnsi="Arial" w:cs="Arial"/>
                        <w:i/>
                        <w:sz w:val="18"/>
                        <w:szCs w:val="18"/>
                      </w:rPr>
                      <w:t>Outcome 1</w:t>
                    </w:r>
                    <w:r>
                      <w:rPr>
                        <w:rFonts w:ascii="Arial" w:eastAsia="Calibri" w:hAnsi="Arial" w:cs="Arial"/>
                        <w:sz w:val="18"/>
                        <w:szCs w:val="18"/>
                      </w:rPr>
                      <w:t>: Maintain and enhance the financial wellbeing and self-sufficiency of eligible persons and their dependants through access to income support, compensation, and other support services, including advice and information about entitlements.</w:t>
                    </w:r>
                  </w:p>
                  <w:p w14:paraId="7DACFCF6" w14:textId="77777777" w:rsidR="003F0EEA" w:rsidRDefault="00FB7D0B" w:rsidP="003F0EEA">
                    <w:pPr>
                      <w:pStyle w:val="Normal39"/>
                      <w:spacing w:after="120"/>
                      <w:rPr>
                        <w:rFonts w:ascii="Arial" w:eastAsia="Calibri" w:hAnsi="Arial" w:cs="Arial"/>
                        <w:sz w:val="18"/>
                        <w:szCs w:val="18"/>
                      </w:rPr>
                    </w:pPr>
                    <w:r>
                      <w:rPr>
                        <w:rFonts w:ascii="Arial" w:eastAsia="Calibri" w:hAnsi="Arial" w:cs="Arial"/>
                        <w:i/>
                        <w:sz w:val="18"/>
                        <w:szCs w:val="18"/>
                      </w:rPr>
                      <w:t>Outcome 2</w:t>
                    </w:r>
                    <w:r>
                      <w:rPr>
                        <w:rFonts w:ascii="Arial" w:eastAsia="Calibri" w:hAnsi="Arial" w:cs="Arial"/>
                        <w:sz w:val="18"/>
                        <w:szCs w:val="18"/>
                      </w:rPr>
                      <w:t>: Maintain and enhance the physical wellbeing and quality of life of eligible persons and their dependants through health and other care services that promote early intervention, prevention and treatment, including advice and information about health service entitlements.</w:t>
                    </w:r>
                  </w:p>
                  <w:p w14:paraId="70715E84" w14:textId="77777777" w:rsidR="003F0EEA" w:rsidRDefault="00FB7D0B" w:rsidP="003F0EEA">
                    <w:pPr>
                      <w:pStyle w:val="Normal39"/>
                      <w:spacing w:after="120"/>
                      <w:rPr>
                        <w:rFonts w:ascii="Arial" w:eastAsia="Calibri" w:hAnsi="Arial" w:cs="Arial"/>
                        <w:sz w:val="18"/>
                        <w:szCs w:val="18"/>
                      </w:rPr>
                    </w:pPr>
                    <w:r>
                      <w:rPr>
                        <w:rFonts w:ascii="Arial" w:eastAsia="Calibri" w:hAnsi="Arial" w:cs="Arial"/>
                        <w:i/>
                        <w:sz w:val="18"/>
                        <w:szCs w:val="18"/>
                      </w:rPr>
                      <w:t>Outcome 3</w:t>
                    </w:r>
                    <w:r>
                      <w:rPr>
                        <w:rFonts w:ascii="Arial" w:eastAsia="Calibri" w:hAnsi="Arial" w:cs="Arial"/>
                        <w:sz w:val="18"/>
                        <w:szCs w:val="18"/>
                      </w:rPr>
                      <w:t>: Acknowledgement and commemoration of those who served Australia and its allies in wars, conflicts and peace operations through promoting recognition of service and sacrifice, preservation of Australia’s wartime heritage, and official commemorations.</w:t>
                    </w:r>
                  </w:p>
                </w:txbxContent>
              </v:textbox>
            </v:shape>
            <v:shape id="_x0000_s1028" type="#_x0000_t202" style="position:absolute;left:5662;top:6953;width:3750;height:2766">
              <v:textbox>
                <w:txbxContent>
                  <w:p w14:paraId="6E2EA7A4" w14:textId="77777777" w:rsidR="003F0EEA" w:rsidRDefault="00FB7D0B" w:rsidP="003F0EEA">
                    <w:pPr>
                      <w:pStyle w:val="Normal39"/>
                      <w:spacing w:before="60" w:after="60"/>
                      <w:jc w:val="center"/>
                      <w:rPr>
                        <w:rFonts w:ascii="Arial" w:eastAsia="Calibri" w:hAnsi="Arial" w:cs="Arial"/>
                        <w:b/>
                        <w:sz w:val="18"/>
                        <w:szCs w:val="18"/>
                      </w:rPr>
                    </w:pPr>
                    <w:r>
                      <w:rPr>
                        <w:rFonts w:ascii="Arial" w:eastAsia="Calibri" w:hAnsi="Arial" w:cs="Arial"/>
                        <w:b/>
                        <w:sz w:val="18"/>
                        <w:szCs w:val="18"/>
                      </w:rPr>
                      <w:t>Australian War Memorial</w:t>
                    </w:r>
                  </w:p>
                  <w:p w14:paraId="0EE23A5D" w14:textId="77777777" w:rsidR="003F0EEA" w:rsidRDefault="00FB7D0B" w:rsidP="003F0EEA">
                    <w:pPr>
                      <w:pStyle w:val="Normal39"/>
                      <w:spacing w:after="120"/>
                      <w:jc w:val="center"/>
                      <w:rPr>
                        <w:rFonts w:ascii="Arial" w:eastAsia="Calibri" w:hAnsi="Arial" w:cs="Arial"/>
                        <w:b/>
                        <w:sz w:val="18"/>
                        <w:szCs w:val="18"/>
                      </w:rPr>
                    </w:pPr>
                    <w:r>
                      <w:rPr>
                        <w:rFonts w:ascii="Arial" w:eastAsia="Calibri" w:hAnsi="Arial" w:cs="Arial"/>
                        <w:b/>
                        <w:sz w:val="18"/>
                        <w:szCs w:val="18"/>
                      </w:rPr>
                      <w:t>Director: The Hon. Dr Brendan Nelson</w:t>
                    </w:r>
                  </w:p>
                  <w:p w14:paraId="17E5B7F6" w14:textId="77777777" w:rsidR="003F0EEA" w:rsidRDefault="00FB7D0B" w:rsidP="003F0EEA">
                    <w:pPr>
                      <w:pStyle w:val="Normal39"/>
                      <w:spacing w:after="120"/>
                      <w:rPr>
                        <w:rFonts w:ascii="Arial" w:eastAsia="Calibri" w:hAnsi="Arial" w:cs="Arial"/>
                        <w:sz w:val="18"/>
                        <w:szCs w:val="18"/>
                      </w:rPr>
                    </w:pPr>
                    <w:r>
                      <w:rPr>
                        <w:rFonts w:ascii="Arial" w:eastAsia="Calibri" w:hAnsi="Arial" w:cs="Arial"/>
                        <w:i/>
                        <w:sz w:val="18"/>
                        <w:szCs w:val="18"/>
                      </w:rPr>
                      <w:t>Outcome 1</w:t>
                    </w:r>
                    <w:r>
                      <w:rPr>
                        <w:rFonts w:ascii="Arial" w:eastAsia="Calibri" w:hAnsi="Arial" w:cs="Arial"/>
                        <w:sz w:val="18"/>
                        <w:szCs w:val="18"/>
                      </w:rPr>
                      <w:t>: Australians remembering, interpreting and understanding the Australian experience of war and its enduring impact through maintaining and developing the National Memorial, its collection and exhibition of historical material, commemorative ceremonies and research.</w:t>
                    </w:r>
                  </w:p>
                </w:txbxContent>
              </v:textbox>
            </v:shape>
            <v:shape id="_x0000_s1029" type="#_x0000_t202" style="position:absolute;left:2233;top:4361;width:7200;height:2420">
              <v:textbox>
                <w:txbxContent>
                  <w:p w14:paraId="3DE6398B" w14:textId="77777777" w:rsidR="003F0EEA" w:rsidRDefault="00FB7D0B" w:rsidP="003F0EEA">
                    <w:pPr>
                      <w:pStyle w:val="Normal39"/>
                      <w:spacing w:before="60" w:after="120"/>
                      <w:jc w:val="center"/>
                      <w:rPr>
                        <w:rFonts w:ascii="Arial" w:eastAsia="Calibri" w:hAnsi="Arial" w:cs="Arial"/>
                      </w:rPr>
                    </w:pPr>
                    <w:r>
                      <w:rPr>
                        <w:rFonts w:ascii="Arial" w:eastAsia="Calibri" w:hAnsi="Arial" w:cs="Arial"/>
                      </w:rPr>
                      <w:t>Minister</w:t>
                    </w:r>
                  </w:p>
                  <w:p w14:paraId="443A6535" w14:textId="77777777" w:rsidR="003F0EEA" w:rsidRDefault="00FB7D0B" w:rsidP="003F0EEA">
                    <w:pPr>
                      <w:pStyle w:val="Normal39"/>
                      <w:spacing w:after="120"/>
                      <w:jc w:val="center"/>
                      <w:rPr>
                        <w:rFonts w:ascii="Arial" w:eastAsia="Calibri" w:hAnsi="Arial" w:cs="Arial"/>
                        <w:b/>
                      </w:rPr>
                    </w:pPr>
                    <w:r>
                      <w:rPr>
                        <w:rFonts w:ascii="Arial" w:eastAsia="Calibri" w:hAnsi="Arial" w:cs="Arial"/>
                        <w:b/>
                      </w:rPr>
                      <w:t xml:space="preserve">Senator the Hon. Michael Ronaldson </w:t>
                    </w:r>
                  </w:p>
                  <w:p w14:paraId="0F4988AF" w14:textId="77777777" w:rsidR="003F0EEA" w:rsidRDefault="00FB7D0B" w:rsidP="003F0EEA">
                    <w:pPr>
                      <w:pStyle w:val="Normal39"/>
                      <w:spacing w:after="120"/>
                      <w:jc w:val="center"/>
                      <w:rPr>
                        <w:rFonts w:ascii="Arial" w:eastAsia="Calibri" w:hAnsi="Arial" w:cs="Arial"/>
                      </w:rPr>
                    </w:pPr>
                    <w:r>
                      <w:rPr>
                        <w:rFonts w:ascii="Arial" w:eastAsia="Calibri" w:hAnsi="Arial" w:cs="Arial"/>
                      </w:rPr>
                      <w:t>Minister for Veterans’ Affairs</w:t>
                    </w:r>
                  </w:p>
                  <w:p w14:paraId="130D60AB" w14:textId="77777777" w:rsidR="003F0EEA" w:rsidRDefault="00FB7D0B" w:rsidP="003F0EEA">
                    <w:pPr>
                      <w:pStyle w:val="Normal39"/>
                      <w:jc w:val="center"/>
                      <w:rPr>
                        <w:rFonts w:ascii="Arial" w:eastAsia="Calibri" w:hAnsi="Arial" w:cs="Arial"/>
                      </w:rPr>
                    </w:pPr>
                    <w:r>
                      <w:rPr>
                        <w:rFonts w:ascii="Arial" w:eastAsia="Calibri" w:hAnsi="Arial" w:cs="Arial"/>
                      </w:rPr>
                      <w:t>Minister Assisting the Prime Minister for the Centenary of Anzac</w:t>
                    </w:r>
                  </w:p>
                  <w:p w14:paraId="0342315A" w14:textId="77777777" w:rsidR="003F0EEA" w:rsidRDefault="00FB7D0B" w:rsidP="003F0EEA">
                    <w:pPr>
                      <w:pStyle w:val="Normal39"/>
                      <w:jc w:val="center"/>
                      <w:rPr>
                        <w:rFonts w:ascii="Arial" w:eastAsia="Calibri" w:hAnsi="Arial" w:cs="Arial"/>
                      </w:rPr>
                    </w:pPr>
                    <w:r>
                      <w:rPr>
                        <w:rFonts w:ascii="Arial" w:eastAsia="Calibri" w:hAnsi="Arial" w:cs="Arial"/>
                      </w:rPr>
                      <w:t>Special Minister of State</w:t>
                    </w:r>
                  </w:p>
                  <w:p w14:paraId="1D6C0A23" w14:textId="77777777" w:rsidR="003F0EEA" w:rsidRDefault="003F0EEA" w:rsidP="003F0EEA">
                    <w:pPr>
                      <w:pStyle w:val="Normal39"/>
                      <w:jc w:val="center"/>
                      <w:rPr>
                        <w:rFonts w:ascii="Arial" w:eastAsia="Calibri" w:hAnsi="Arial" w:cs="Arial"/>
                      </w:rPr>
                    </w:pPr>
                  </w:p>
                  <w:p w14:paraId="54CD9C49" w14:textId="77777777" w:rsidR="003F0EEA" w:rsidRDefault="003F0EEA" w:rsidP="003F0EEA">
                    <w:pPr>
                      <w:pStyle w:val="Normal39"/>
                      <w:jc w:val="center"/>
                      <w:rPr>
                        <w:rFonts w:ascii="Arial" w:eastAsia="Calibri" w:hAnsi="Arial" w:cs="Arial"/>
                      </w:rPr>
                    </w:pPr>
                  </w:p>
                  <w:p w14:paraId="6EF17682" w14:textId="77777777" w:rsidR="003F0EEA" w:rsidRDefault="003F0EEA" w:rsidP="003F0EEA">
                    <w:pPr>
                      <w:pStyle w:val="Normal39"/>
                      <w:jc w:val="center"/>
                      <w:rPr>
                        <w:rFonts w:ascii="Arial" w:eastAsia="Calibri" w:hAnsi="Arial" w:cs="Arial"/>
                      </w:rPr>
                    </w:pPr>
                  </w:p>
                </w:txbxContent>
              </v:textbox>
            </v:shape>
            <w10:anchorlock/>
          </v:group>
        </w:pict>
      </w:r>
    </w:p>
    <w:p w14:paraId="02F771B1" w14:textId="77777777" w:rsidR="003F0EEA" w:rsidRDefault="00FB7D0B">
      <w:pPr>
        <w:spacing w:line="14" w:lineRule="exact"/>
        <w:rPr>
          <w:rFonts w:cs="Times New Roman"/>
        </w:rPr>
      </w:pPr>
      <w:r>
        <w:rPr>
          <w:rFonts w:cs="Times New Roman"/>
        </w:rPr>
        <w:br w:type="page"/>
      </w:r>
    </w:p>
    <w:p w14:paraId="69D13697" w14:textId="77777777" w:rsidR="003F0EEA" w:rsidRDefault="00FB7D0B" w:rsidP="003F0EEA">
      <w:pPr>
        <w:pStyle w:val="Heading32"/>
        <w:spacing w:before="120"/>
      </w:pPr>
      <w:r>
        <w:t>Portfolio resources</w:t>
      </w:r>
    </w:p>
    <w:p w14:paraId="1A282DE7" w14:textId="77777777" w:rsidR="003F0EEA" w:rsidRDefault="00FB7D0B" w:rsidP="003F0EEA">
      <w:pPr>
        <w:pStyle w:val="Normal40"/>
        <w:spacing w:after="0"/>
      </w:pPr>
      <w:r>
        <w:t xml:space="preserve">Table 1 shows the total new resources provided to the portfolio in the 2014-15 </w:t>
      </w:r>
    </w:p>
    <w:p w14:paraId="1275C8BE" w14:textId="77777777" w:rsidR="003F0EEA" w:rsidRDefault="00FB7D0B" w:rsidP="003F0EEA">
      <w:pPr>
        <w:pStyle w:val="Normal40"/>
      </w:pPr>
      <w:r>
        <w:t>budget year, by agency.</w:t>
      </w:r>
    </w:p>
    <w:p w14:paraId="4BA2E1FC" w14:textId="77777777" w:rsidR="003F0EEA" w:rsidRDefault="00FB7D0B" w:rsidP="003F0EEA">
      <w:pPr>
        <w:pStyle w:val="TableHeading"/>
        <w:spacing w:after="0"/>
      </w:pPr>
      <w:r>
        <w:t>Table 1: Portfolio Resources 2014-15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5"/>
        <w:gridCol w:w="930"/>
        <w:gridCol w:w="930"/>
        <w:gridCol w:w="930"/>
        <w:gridCol w:w="930"/>
        <w:gridCol w:w="930"/>
      </w:tblGrid>
      <w:tr w:rsidR="00FB7D0B" w14:paraId="4E0FBABD" w14:textId="77777777" w:rsidTr="00FB7D0B">
        <w:trPr>
          <w:trHeight w:val="225"/>
        </w:trPr>
        <w:tc>
          <w:tcPr>
            <w:tcW w:w="2805" w:type="dxa"/>
            <w:tcBorders>
              <w:top w:val="single" w:sz="6" w:space="0" w:color="000000"/>
              <w:left w:val="nil"/>
              <w:bottom w:val="nil"/>
              <w:right w:val="nil"/>
              <w:tl2br w:val="nil"/>
              <w:tr2bl w:val="nil"/>
            </w:tcBorders>
            <w:shd w:val="clear" w:color="auto" w:fill="FFFFFF"/>
            <w:tcMar>
              <w:left w:w="115" w:type="dxa"/>
              <w:right w:w="115" w:type="dxa"/>
            </w:tcMar>
            <w:vAlign w:val="center"/>
          </w:tcPr>
          <w:p w14:paraId="42C46CE5" w14:textId="77777777" w:rsidR="003F0EEA" w:rsidRDefault="003F0EEA"/>
        </w:tc>
        <w:tc>
          <w:tcPr>
            <w:tcW w:w="2790" w:type="dxa"/>
            <w:gridSpan w:val="3"/>
            <w:tcBorders>
              <w:top w:val="single" w:sz="6" w:space="0" w:color="000000"/>
              <w:left w:val="nil"/>
              <w:bottom w:val="nil"/>
              <w:right w:val="nil"/>
              <w:tl2br w:val="nil"/>
              <w:tr2bl w:val="nil"/>
            </w:tcBorders>
            <w:shd w:val="clear" w:color="auto" w:fill="FFFF00"/>
            <w:tcMar>
              <w:left w:w="115" w:type="dxa"/>
              <w:right w:w="115" w:type="dxa"/>
            </w:tcMar>
            <w:vAlign w:val="center"/>
          </w:tcPr>
          <w:p w14:paraId="049259B2" w14:textId="77777777" w:rsidR="003F0EEA" w:rsidRDefault="00FB7D0B">
            <w:pPr>
              <w:jc w:val="center"/>
              <w:rPr>
                <w:rFonts w:ascii="Arial" w:eastAsia="Arial" w:hAnsi="Arial" w:cs="Arial"/>
                <w:b/>
                <w:color w:val="000000"/>
                <w:sz w:val="16"/>
              </w:rPr>
            </w:pPr>
            <w:r>
              <w:rPr>
                <w:rFonts w:ascii="Arial" w:eastAsia="Arial" w:hAnsi="Arial" w:cs="Arial"/>
                <w:color w:val="000000"/>
                <w:sz w:val="16"/>
              </w:rPr>
              <w:t>Appropriation</w:t>
            </w:r>
          </w:p>
        </w:tc>
        <w:tc>
          <w:tcPr>
            <w:tcW w:w="930" w:type="dxa"/>
            <w:tcBorders>
              <w:top w:val="single" w:sz="6" w:space="0" w:color="000000"/>
              <w:left w:val="nil"/>
              <w:bottom w:val="nil"/>
              <w:right w:val="nil"/>
              <w:tl2br w:val="nil"/>
              <w:tr2bl w:val="nil"/>
            </w:tcBorders>
            <w:shd w:val="clear" w:color="auto" w:fill="FFFFFF"/>
            <w:tcMar>
              <w:left w:w="115" w:type="dxa"/>
              <w:right w:w="115" w:type="dxa"/>
            </w:tcMar>
            <w:vAlign w:val="center"/>
          </w:tcPr>
          <w:p w14:paraId="7D87C698" w14:textId="77777777" w:rsidR="003F0EEA" w:rsidRDefault="00FB7D0B">
            <w:pPr>
              <w:jc w:val="center"/>
              <w:rPr>
                <w:rFonts w:ascii="Arial" w:eastAsia="Arial" w:hAnsi="Arial" w:cs="Arial"/>
                <w:color w:val="000000"/>
                <w:sz w:val="16"/>
              </w:rPr>
            </w:pPr>
            <w:r>
              <w:rPr>
                <w:rFonts w:ascii="Arial" w:eastAsia="Arial" w:hAnsi="Arial" w:cs="Arial"/>
                <w:color w:val="000000"/>
                <w:sz w:val="16"/>
              </w:rPr>
              <w:t>Receipts</w:t>
            </w:r>
          </w:p>
        </w:tc>
        <w:tc>
          <w:tcPr>
            <w:tcW w:w="930" w:type="dxa"/>
            <w:tcBorders>
              <w:top w:val="single" w:sz="6" w:space="0" w:color="000000"/>
              <w:left w:val="nil"/>
              <w:bottom w:val="nil"/>
              <w:right w:val="nil"/>
              <w:tl2br w:val="nil"/>
              <w:tr2bl w:val="nil"/>
            </w:tcBorders>
            <w:shd w:val="clear" w:color="auto" w:fill="FFFFFF"/>
            <w:tcMar>
              <w:left w:w="115" w:type="dxa"/>
              <w:right w:w="115" w:type="dxa"/>
            </w:tcMar>
            <w:vAlign w:val="center"/>
          </w:tcPr>
          <w:p w14:paraId="5CDAB99E" w14:textId="77777777" w:rsidR="003F0EEA" w:rsidRDefault="00FB7D0B">
            <w:pPr>
              <w:jc w:val="right"/>
              <w:rPr>
                <w:rFonts w:ascii="Arial" w:eastAsia="Arial" w:hAnsi="Arial" w:cs="Arial"/>
                <w:color w:val="000000"/>
                <w:sz w:val="16"/>
              </w:rPr>
            </w:pPr>
            <w:r>
              <w:rPr>
                <w:rFonts w:ascii="Arial" w:eastAsia="Arial" w:hAnsi="Arial" w:cs="Arial"/>
                <w:color w:val="000000"/>
                <w:sz w:val="16"/>
              </w:rPr>
              <w:t>Total</w:t>
            </w:r>
          </w:p>
        </w:tc>
      </w:tr>
      <w:tr w:rsidR="00724034" w14:paraId="2297EF06" w14:textId="77777777">
        <w:trPr>
          <w:trHeight w:val="225"/>
        </w:trPr>
        <w:tc>
          <w:tcPr>
            <w:tcW w:w="2805" w:type="dxa"/>
            <w:tcBorders>
              <w:top w:val="nil"/>
              <w:left w:val="nil"/>
              <w:bottom w:val="nil"/>
              <w:right w:val="nil"/>
              <w:tl2br w:val="nil"/>
              <w:tr2bl w:val="nil"/>
            </w:tcBorders>
            <w:shd w:val="clear" w:color="auto" w:fill="FFFFFF"/>
            <w:tcMar>
              <w:left w:w="115" w:type="dxa"/>
              <w:right w:w="115" w:type="dxa"/>
            </w:tcMar>
            <w:vAlign w:val="center"/>
          </w:tcPr>
          <w:p w14:paraId="4C7BC46B" w14:textId="77777777" w:rsidR="003F0EEA" w:rsidRDefault="003F0EEA">
            <w:pPr>
              <w:rPr>
                <w:rFonts w:ascii="Arial" w:eastAsia="Arial" w:hAnsi="Arial" w:cs="Arial"/>
                <w:color w:val="000000"/>
                <w:sz w:val="16"/>
              </w:rPr>
            </w:pPr>
          </w:p>
        </w:tc>
        <w:tc>
          <w:tcPr>
            <w:tcW w:w="930" w:type="dxa"/>
            <w:tcBorders>
              <w:top w:val="nil"/>
              <w:left w:val="nil"/>
              <w:bottom w:val="nil"/>
              <w:right w:val="nil"/>
              <w:tl2br w:val="nil"/>
              <w:tr2bl w:val="nil"/>
            </w:tcBorders>
            <w:shd w:val="clear" w:color="auto" w:fill="FFFFFF"/>
            <w:tcMar>
              <w:left w:w="115" w:type="dxa"/>
              <w:right w:w="115" w:type="dxa"/>
            </w:tcMar>
            <w:vAlign w:val="center"/>
          </w:tcPr>
          <w:p w14:paraId="432B1BF5" w14:textId="77777777" w:rsidR="003F0EEA" w:rsidRDefault="00FB7D0B">
            <w:pPr>
              <w:jc w:val="right"/>
              <w:rPr>
                <w:rFonts w:ascii="Arial" w:eastAsia="Arial" w:hAnsi="Arial" w:cs="Arial"/>
                <w:color w:val="000000"/>
                <w:sz w:val="16"/>
              </w:rPr>
            </w:pPr>
            <w:r>
              <w:rPr>
                <w:rFonts w:ascii="Arial" w:eastAsia="Arial" w:hAnsi="Arial" w:cs="Arial"/>
                <w:color w:val="000000"/>
                <w:sz w:val="16"/>
              </w:rPr>
              <w:t>Bill No. 1</w:t>
            </w:r>
          </w:p>
        </w:tc>
        <w:tc>
          <w:tcPr>
            <w:tcW w:w="930" w:type="dxa"/>
            <w:tcBorders>
              <w:top w:val="nil"/>
              <w:left w:val="nil"/>
              <w:bottom w:val="nil"/>
              <w:right w:val="nil"/>
              <w:tl2br w:val="nil"/>
              <w:tr2bl w:val="nil"/>
            </w:tcBorders>
            <w:shd w:val="clear" w:color="auto" w:fill="FFFF00"/>
            <w:tcMar>
              <w:left w:w="115" w:type="dxa"/>
              <w:right w:w="115" w:type="dxa"/>
            </w:tcMar>
            <w:vAlign w:val="center"/>
          </w:tcPr>
          <w:p w14:paraId="67DC4CBC" w14:textId="77777777" w:rsidR="003F0EEA" w:rsidRDefault="00FB7D0B">
            <w:pPr>
              <w:jc w:val="right"/>
              <w:rPr>
                <w:rFonts w:ascii="Arial" w:eastAsia="Arial" w:hAnsi="Arial" w:cs="Arial"/>
                <w:color w:val="000000"/>
                <w:sz w:val="16"/>
              </w:rPr>
            </w:pPr>
            <w:r>
              <w:rPr>
                <w:rFonts w:ascii="Arial" w:eastAsia="Arial" w:hAnsi="Arial" w:cs="Arial"/>
                <w:color w:val="000000"/>
                <w:sz w:val="16"/>
              </w:rPr>
              <w:t>Bill No. 2</w:t>
            </w:r>
          </w:p>
        </w:tc>
        <w:tc>
          <w:tcPr>
            <w:tcW w:w="930" w:type="dxa"/>
            <w:tcBorders>
              <w:top w:val="nil"/>
              <w:left w:val="nil"/>
              <w:bottom w:val="nil"/>
              <w:right w:val="nil"/>
              <w:tl2br w:val="nil"/>
              <w:tr2bl w:val="nil"/>
            </w:tcBorders>
            <w:shd w:val="clear" w:color="auto" w:fill="FFFFFF"/>
            <w:tcMar>
              <w:left w:w="115" w:type="dxa"/>
              <w:right w:w="115" w:type="dxa"/>
            </w:tcMar>
            <w:vAlign w:val="center"/>
          </w:tcPr>
          <w:p w14:paraId="0978B41F" w14:textId="77777777" w:rsidR="003F0EEA" w:rsidRDefault="00FB7D0B">
            <w:pPr>
              <w:jc w:val="right"/>
              <w:rPr>
                <w:rFonts w:ascii="Arial" w:eastAsia="Arial" w:hAnsi="Arial" w:cs="Arial"/>
                <w:color w:val="000000"/>
                <w:sz w:val="16"/>
              </w:rPr>
            </w:pPr>
            <w:r>
              <w:rPr>
                <w:rFonts w:ascii="Arial" w:eastAsia="Arial" w:hAnsi="Arial" w:cs="Arial"/>
                <w:color w:val="000000"/>
                <w:sz w:val="16"/>
              </w:rPr>
              <w:t xml:space="preserve">Special </w:t>
            </w:r>
          </w:p>
        </w:tc>
        <w:tc>
          <w:tcPr>
            <w:tcW w:w="930" w:type="dxa"/>
            <w:tcBorders>
              <w:top w:val="nil"/>
              <w:left w:val="nil"/>
              <w:bottom w:val="nil"/>
              <w:right w:val="nil"/>
              <w:tl2br w:val="nil"/>
              <w:tr2bl w:val="nil"/>
            </w:tcBorders>
            <w:shd w:val="clear" w:color="auto" w:fill="FFFF00"/>
            <w:tcMar>
              <w:left w:w="115" w:type="dxa"/>
              <w:right w:w="115" w:type="dxa"/>
            </w:tcMar>
            <w:vAlign w:val="center"/>
          </w:tcPr>
          <w:p w14:paraId="76A2CB58" w14:textId="77777777" w:rsidR="003F0EEA" w:rsidRDefault="003F0EEA">
            <w:pPr>
              <w:jc w:val="right"/>
              <w:rPr>
                <w:rFonts w:ascii="Arial" w:eastAsia="Arial" w:hAnsi="Arial" w:cs="Arial"/>
                <w:color w:val="000000"/>
                <w:sz w:val="16"/>
              </w:rPr>
            </w:pPr>
          </w:p>
        </w:tc>
        <w:tc>
          <w:tcPr>
            <w:tcW w:w="930" w:type="dxa"/>
            <w:tcBorders>
              <w:top w:val="nil"/>
              <w:left w:val="nil"/>
              <w:bottom w:val="nil"/>
              <w:right w:val="nil"/>
              <w:tl2br w:val="nil"/>
              <w:tr2bl w:val="nil"/>
            </w:tcBorders>
            <w:shd w:val="clear" w:color="auto" w:fill="FFFFFF"/>
            <w:tcMar>
              <w:left w:w="115" w:type="dxa"/>
              <w:right w:w="115" w:type="dxa"/>
            </w:tcMar>
            <w:vAlign w:val="center"/>
          </w:tcPr>
          <w:p w14:paraId="5E5FF71D" w14:textId="77777777" w:rsidR="003F0EEA" w:rsidRDefault="003F0EEA">
            <w:pPr>
              <w:rPr>
                <w:rFonts w:ascii="Arial" w:eastAsia="Arial" w:hAnsi="Arial" w:cs="Arial"/>
                <w:color w:val="000000"/>
                <w:sz w:val="16"/>
              </w:rPr>
            </w:pPr>
          </w:p>
        </w:tc>
      </w:tr>
      <w:tr w:rsidR="00724034" w14:paraId="16002298" w14:textId="77777777">
        <w:trPr>
          <w:trHeight w:val="225"/>
        </w:trPr>
        <w:tc>
          <w:tcPr>
            <w:tcW w:w="2805" w:type="dxa"/>
            <w:tcBorders>
              <w:top w:val="nil"/>
              <w:left w:val="nil"/>
              <w:bottom w:val="nil"/>
              <w:right w:val="nil"/>
              <w:tl2br w:val="nil"/>
              <w:tr2bl w:val="nil"/>
            </w:tcBorders>
            <w:shd w:val="clear" w:color="auto" w:fill="FFFFFF"/>
            <w:tcMar>
              <w:left w:w="115" w:type="dxa"/>
              <w:right w:w="115" w:type="dxa"/>
            </w:tcMar>
            <w:vAlign w:val="center"/>
          </w:tcPr>
          <w:p w14:paraId="39B98AB4" w14:textId="77777777" w:rsidR="003F0EEA" w:rsidRDefault="003F0EEA">
            <w:pPr>
              <w:rPr>
                <w:rFonts w:ascii="Arial" w:eastAsia="Arial" w:hAnsi="Arial" w:cs="Arial"/>
                <w:color w:val="000000"/>
                <w:sz w:val="16"/>
              </w:rPr>
            </w:pPr>
          </w:p>
        </w:tc>
        <w:tc>
          <w:tcPr>
            <w:tcW w:w="930" w:type="dxa"/>
            <w:tcBorders>
              <w:top w:val="nil"/>
              <w:left w:val="nil"/>
              <w:bottom w:val="single" w:sz="6" w:space="0" w:color="000000"/>
              <w:right w:val="nil"/>
              <w:tl2br w:val="nil"/>
              <w:tr2bl w:val="nil"/>
            </w:tcBorders>
            <w:shd w:val="clear" w:color="auto" w:fill="FFFFFF"/>
            <w:tcMar>
              <w:left w:w="115" w:type="dxa"/>
              <w:right w:w="115" w:type="dxa"/>
            </w:tcMar>
            <w:vAlign w:val="center"/>
          </w:tcPr>
          <w:p w14:paraId="1E0AE6D9" w14:textId="77777777" w:rsidR="003F0EEA" w:rsidRDefault="00FB7D0B">
            <w:pPr>
              <w:jc w:val="right"/>
              <w:rPr>
                <w:rFonts w:ascii="Arial" w:eastAsia="Arial" w:hAnsi="Arial" w:cs="Arial"/>
                <w:color w:val="000000"/>
                <w:sz w:val="16"/>
              </w:rPr>
            </w:pPr>
            <w:r>
              <w:rPr>
                <w:rFonts w:ascii="Arial" w:eastAsia="Arial" w:hAnsi="Arial" w:cs="Arial"/>
                <w:color w:val="000000"/>
                <w:sz w:val="16"/>
              </w:rPr>
              <w:t>$m</w:t>
            </w:r>
          </w:p>
        </w:tc>
        <w:tc>
          <w:tcPr>
            <w:tcW w:w="930" w:type="dxa"/>
            <w:tcBorders>
              <w:top w:val="nil"/>
              <w:left w:val="nil"/>
              <w:bottom w:val="single" w:sz="6" w:space="0" w:color="000000"/>
              <w:right w:val="nil"/>
              <w:tl2br w:val="nil"/>
              <w:tr2bl w:val="nil"/>
            </w:tcBorders>
            <w:shd w:val="clear" w:color="auto" w:fill="FFFF00"/>
            <w:tcMar>
              <w:left w:w="115" w:type="dxa"/>
              <w:right w:w="115" w:type="dxa"/>
            </w:tcMar>
            <w:vAlign w:val="center"/>
          </w:tcPr>
          <w:p w14:paraId="2346C2F0" w14:textId="77777777" w:rsidR="003F0EEA" w:rsidRDefault="00FB7D0B">
            <w:pPr>
              <w:jc w:val="right"/>
              <w:rPr>
                <w:rFonts w:ascii="Arial" w:eastAsia="Arial" w:hAnsi="Arial" w:cs="Arial"/>
                <w:color w:val="000000"/>
                <w:sz w:val="16"/>
              </w:rPr>
            </w:pPr>
            <w:r>
              <w:rPr>
                <w:rFonts w:ascii="Arial" w:eastAsia="Arial" w:hAnsi="Arial" w:cs="Arial"/>
                <w:color w:val="000000"/>
                <w:sz w:val="16"/>
              </w:rPr>
              <w:t>$m</w:t>
            </w:r>
          </w:p>
        </w:tc>
        <w:tc>
          <w:tcPr>
            <w:tcW w:w="930" w:type="dxa"/>
            <w:tcBorders>
              <w:top w:val="nil"/>
              <w:left w:val="nil"/>
              <w:bottom w:val="single" w:sz="6" w:space="0" w:color="000000"/>
              <w:right w:val="nil"/>
              <w:tl2br w:val="nil"/>
              <w:tr2bl w:val="nil"/>
            </w:tcBorders>
            <w:shd w:val="clear" w:color="auto" w:fill="FFFFFF"/>
            <w:tcMar>
              <w:left w:w="115" w:type="dxa"/>
              <w:right w:w="115" w:type="dxa"/>
            </w:tcMar>
            <w:vAlign w:val="center"/>
          </w:tcPr>
          <w:p w14:paraId="6CB13C30" w14:textId="77777777" w:rsidR="003F0EEA" w:rsidRDefault="00FB7D0B">
            <w:pPr>
              <w:jc w:val="right"/>
              <w:rPr>
                <w:rFonts w:ascii="Arial" w:eastAsia="Arial" w:hAnsi="Arial" w:cs="Arial"/>
                <w:color w:val="000000"/>
                <w:sz w:val="16"/>
              </w:rPr>
            </w:pPr>
            <w:r>
              <w:rPr>
                <w:rFonts w:ascii="Arial" w:eastAsia="Arial" w:hAnsi="Arial" w:cs="Arial"/>
                <w:color w:val="000000"/>
                <w:sz w:val="16"/>
              </w:rPr>
              <w:t>$m</w:t>
            </w:r>
          </w:p>
        </w:tc>
        <w:tc>
          <w:tcPr>
            <w:tcW w:w="930" w:type="dxa"/>
            <w:tcBorders>
              <w:top w:val="nil"/>
              <w:left w:val="nil"/>
              <w:bottom w:val="single" w:sz="6" w:space="0" w:color="000000"/>
              <w:right w:val="nil"/>
              <w:tl2br w:val="nil"/>
              <w:tr2bl w:val="nil"/>
            </w:tcBorders>
            <w:shd w:val="clear" w:color="auto" w:fill="FFFF00"/>
            <w:tcMar>
              <w:left w:w="115" w:type="dxa"/>
              <w:right w:w="115" w:type="dxa"/>
            </w:tcMar>
            <w:vAlign w:val="center"/>
          </w:tcPr>
          <w:p w14:paraId="665EF6D2" w14:textId="77777777" w:rsidR="003F0EEA" w:rsidRDefault="00FB7D0B">
            <w:pPr>
              <w:jc w:val="right"/>
              <w:rPr>
                <w:rFonts w:ascii="Arial" w:eastAsia="Arial" w:hAnsi="Arial" w:cs="Arial"/>
                <w:color w:val="000000"/>
                <w:sz w:val="16"/>
              </w:rPr>
            </w:pPr>
            <w:r>
              <w:rPr>
                <w:rFonts w:ascii="Arial" w:eastAsia="Arial" w:hAnsi="Arial" w:cs="Arial"/>
                <w:color w:val="000000"/>
                <w:sz w:val="16"/>
              </w:rPr>
              <w:t>$m</w:t>
            </w:r>
          </w:p>
        </w:tc>
        <w:tc>
          <w:tcPr>
            <w:tcW w:w="930" w:type="dxa"/>
            <w:tcBorders>
              <w:top w:val="nil"/>
              <w:left w:val="nil"/>
              <w:bottom w:val="single" w:sz="6" w:space="0" w:color="000000"/>
              <w:right w:val="nil"/>
              <w:tl2br w:val="nil"/>
              <w:tr2bl w:val="nil"/>
            </w:tcBorders>
            <w:shd w:val="clear" w:color="auto" w:fill="FFFFFF"/>
            <w:tcMar>
              <w:left w:w="115" w:type="dxa"/>
              <w:right w:w="115" w:type="dxa"/>
            </w:tcMar>
            <w:vAlign w:val="center"/>
          </w:tcPr>
          <w:p w14:paraId="642FBA04" w14:textId="77777777" w:rsidR="003F0EEA" w:rsidRDefault="00FB7D0B">
            <w:pPr>
              <w:jc w:val="right"/>
              <w:rPr>
                <w:rFonts w:ascii="Arial" w:eastAsia="Arial" w:hAnsi="Arial" w:cs="Arial"/>
                <w:color w:val="000000"/>
                <w:sz w:val="16"/>
              </w:rPr>
            </w:pPr>
            <w:r>
              <w:rPr>
                <w:rFonts w:ascii="Arial" w:eastAsia="Arial" w:hAnsi="Arial" w:cs="Arial"/>
                <w:color w:val="000000"/>
                <w:sz w:val="16"/>
              </w:rPr>
              <w:t>$m</w:t>
            </w:r>
          </w:p>
        </w:tc>
      </w:tr>
      <w:tr w:rsidR="00724034" w14:paraId="7A502EC4" w14:textId="77777777">
        <w:trPr>
          <w:trHeight w:val="225"/>
        </w:trPr>
        <w:tc>
          <w:tcPr>
            <w:tcW w:w="2805" w:type="dxa"/>
            <w:tcBorders>
              <w:top w:val="nil"/>
              <w:left w:val="nil"/>
              <w:bottom w:val="nil"/>
              <w:right w:val="nil"/>
              <w:tl2br w:val="nil"/>
              <w:tr2bl w:val="nil"/>
            </w:tcBorders>
            <w:shd w:val="clear" w:color="auto" w:fill="FFFFFF"/>
            <w:tcMar>
              <w:left w:w="115" w:type="dxa"/>
              <w:right w:w="115" w:type="dxa"/>
            </w:tcMar>
            <w:vAlign w:val="center"/>
          </w:tcPr>
          <w:p w14:paraId="1E3BCD5B" w14:textId="77777777" w:rsidR="003F0EEA" w:rsidRDefault="00FB7D0B">
            <w:pPr>
              <w:rPr>
                <w:rFonts w:ascii="Arial" w:eastAsia="Arial" w:hAnsi="Arial" w:cs="Arial"/>
                <w:color w:val="000000"/>
                <w:sz w:val="16"/>
              </w:rPr>
            </w:pPr>
            <w:r>
              <w:rPr>
                <w:rFonts w:ascii="Arial" w:eastAsia="Arial" w:hAnsi="Arial" w:cs="Arial"/>
                <w:b/>
                <w:color w:val="000000"/>
                <w:sz w:val="16"/>
              </w:rPr>
              <w:t>Department of Veterans' Affairs</w:t>
            </w:r>
          </w:p>
        </w:tc>
        <w:tc>
          <w:tcPr>
            <w:tcW w:w="930" w:type="dxa"/>
            <w:tcBorders>
              <w:top w:val="single" w:sz="6" w:space="0" w:color="000000"/>
              <w:left w:val="nil"/>
              <w:bottom w:val="nil"/>
              <w:right w:val="nil"/>
              <w:tl2br w:val="nil"/>
              <w:tr2bl w:val="nil"/>
            </w:tcBorders>
            <w:shd w:val="clear" w:color="auto" w:fill="FFFFFF"/>
            <w:tcMar>
              <w:left w:w="115" w:type="dxa"/>
              <w:right w:w="115" w:type="dxa"/>
            </w:tcMar>
            <w:vAlign w:val="center"/>
          </w:tcPr>
          <w:p w14:paraId="7741CF02" w14:textId="77777777" w:rsidR="003F0EEA" w:rsidRDefault="003F0EEA">
            <w:pPr>
              <w:rPr>
                <w:rFonts w:ascii="Arial" w:eastAsia="Arial" w:hAnsi="Arial" w:cs="Arial"/>
                <w:b/>
                <w:color w:val="000000"/>
                <w:sz w:val="16"/>
              </w:rPr>
            </w:pPr>
          </w:p>
        </w:tc>
        <w:tc>
          <w:tcPr>
            <w:tcW w:w="930" w:type="dxa"/>
            <w:tcBorders>
              <w:top w:val="single" w:sz="6" w:space="0" w:color="000000"/>
              <w:left w:val="nil"/>
              <w:bottom w:val="nil"/>
              <w:right w:val="nil"/>
              <w:tl2br w:val="nil"/>
              <w:tr2bl w:val="nil"/>
            </w:tcBorders>
            <w:shd w:val="clear" w:color="auto" w:fill="FFFF00"/>
            <w:tcMar>
              <w:left w:w="115" w:type="dxa"/>
              <w:right w:w="115" w:type="dxa"/>
            </w:tcMar>
            <w:vAlign w:val="center"/>
          </w:tcPr>
          <w:p w14:paraId="32AF6D59" w14:textId="77777777" w:rsidR="003F0EEA" w:rsidRDefault="003F0EEA">
            <w:pPr>
              <w:rPr>
                <w:rFonts w:ascii="Arial" w:eastAsia="Arial" w:hAnsi="Arial" w:cs="Arial"/>
                <w:color w:val="000000"/>
                <w:sz w:val="16"/>
              </w:rPr>
            </w:pPr>
          </w:p>
        </w:tc>
        <w:tc>
          <w:tcPr>
            <w:tcW w:w="930" w:type="dxa"/>
            <w:tcBorders>
              <w:top w:val="single" w:sz="6" w:space="0" w:color="000000"/>
              <w:left w:val="nil"/>
              <w:bottom w:val="nil"/>
              <w:right w:val="nil"/>
              <w:tl2br w:val="nil"/>
              <w:tr2bl w:val="nil"/>
            </w:tcBorders>
            <w:shd w:val="clear" w:color="auto" w:fill="FFFFFF"/>
            <w:tcMar>
              <w:left w:w="115" w:type="dxa"/>
              <w:right w:w="115" w:type="dxa"/>
            </w:tcMar>
            <w:vAlign w:val="center"/>
          </w:tcPr>
          <w:p w14:paraId="0F02BF49" w14:textId="77777777" w:rsidR="003F0EEA" w:rsidRDefault="003F0EEA">
            <w:pPr>
              <w:rPr>
                <w:rFonts w:ascii="Arial" w:eastAsia="Arial" w:hAnsi="Arial" w:cs="Arial"/>
                <w:color w:val="000000"/>
                <w:sz w:val="16"/>
              </w:rPr>
            </w:pPr>
          </w:p>
        </w:tc>
        <w:tc>
          <w:tcPr>
            <w:tcW w:w="930" w:type="dxa"/>
            <w:tcBorders>
              <w:top w:val="single" w:sz="6" w:space="0" w:color="000000"/>
              <w:left w:val="nil"/>
              <w:bottom w:val="nil"/>
              <w:right w:val="nil"/>
              <w:tl2br w:val="nil"/>
              <w:tr2bl w:val="nil"/>
            </w:tcBorders>
            <w:shd w:val="clear" w:color="auto" w:fill="FFFF00"/>
            <w:tcMar>
              <w:left w:w="115" w:type="dxa"/>
              <w:right w:w="115" w:type="dxa"/>
            </w:tcMar>
            <w:vAlign w:val="center"/>
          </w:tcPr>
          <w:p w14:paraId="7770FFB9" w14:textId="77777777" w:rsidR="003F0EEA" w:rsidRDefault="003F0EEA">
            <w:pPr>
              <w:rPr>
                <w:rFonts w:ascii="Arial" w:eastAsia="Arial" w:hAnsi="Arial" w:cs="Arial"/>
                <w:color w:val="000000"/>
                <w:sz w:val="16"/>
              </w:rPr>
            </w:pPr>
          </w:p>
        </w:tc>
        <w:tc>
          <w:tcPr>
            <w:tcW w:w="930" w:type="dxa"/>
            <w:tcBorders>
              <w:top w:val="single" w:sz="6" w:space="0" w:color="000000"/>
              <w:left w:val="nil"/>
              <w:bottom w:val="nil"/>
              <w:right w:val="nil"/>
              <w:tl2br w:val="nil"/>
              <w:tr2bl w:val="nil"/>
            </w:tcBorders>
            <w:shd w:val="clear" w:color="auto" w:fill="FFFFFF"/>
            <w:tcMar>
              <w:left w:w="115" w:type="dxa"/>
              <w:right w:w="115" w:type="dxa"/>
            </w:tcMar>
            <w:vAlign w:val="center"/>
          </w:tcPr>
          <w:p w14:paraId="450F62DA" w14:textId="77777777" w:rsidR="003F0EEA" w:rsidRDefault="003F0EEA">
            <w:pPr>
              <w:rPr>
                <w:rFonts w:ascii="Arial" w:eastAsia="Arial" w:hAnsi="Arial" w:cs="Arial"/>
                <w:color w:val="000000"/>
                <w:sz w:val="16"/>
              </w:rPr>
            </w:pPr>
          </w:p>
        </w:tc>
      </w:tr>
      <w:tr w:rsidR="00724034" w14:paraId="2B13315E" w14:textId="77777777">
        <w:trPr>
          <w:trHeight w:val="225"/>
        </w:trPr>
        <w:tc>
          <w:tcPr>
            <w:tcW w:w="2805" w:type="dxa"/>
            <w:tcBorders>
              <w:top w:val="nil"/>
              <w:left w:val="nil"/>
              <w:bottom w:val="nil"/>
              <w:right w:val="nil"/>
              <w:tl2br w:val="nil"/>
              <w:tr2bl w:val="nil"/>
            </w:tcBorders>
            <w:shd w:val="clear" w:color="auto" w:fill="FFFFFF"/>
            <w:tcMar>
              <w:left w:w="115" w:type="dxa"/>
              <w:right w:w="115" w:type="dxa"/>
            </w:tcMar>
            <w:vAlign w:val="bottom"/>
          </w:tcPr>
          <w:p w14:paraId="711F12C8" w14:textId="77777777" w:rsidR="003F0EEA" w:rsidRDefault="00FB7D0B">
            <w:pPr>
              <w:rPr>
                <w:rFonts w:ascii="Arial" w:eastAsia="Arial" w:hAnsi="Arial" w:cs="Arial"/>
                <w:color w:val="000000"/>
                <w:sz w:val="16"/>
              </w:rPr>
            </w:pPr>
            <w:r>
              <w:rPr>
                <w:rFonts w:ascii="Arial" w:eastAsia="Arial" w:hAnsi="Arial" w:cs="Arial"/>
                <w:color w:val="000000"/>
                <w:sz w:val="16"/>
              </w:rPr>
              <w:t>Administered appropriations</w:t>
            </w:r>
          </w:p>
        </w:tc>
        <w:tc>
          <w:tcPr>
            <w:tcW w:w="930" w:type="dxa"/>
            <w:tcBorders>
              <w:top w:val="nil"/>
              <w:left w:val="nil"/>
              <w:bottom w:val="nil"/>
              <w:right w:val="nil"/>
              <w:tl2br w:val="nil"/>
              <w:tr2bl w:val="nil"/>
            </w:tcBorders>
            <w:shd w:val="clear" w:color="auto" w:fill="FFFFFF"/>
            <w:tcMar>
              <w:left w:w="115" w:type="dxa"/>
              <w:right w:w="115" w:type="dxa"/>
            </w:tcMar>
            <w:vAlign w:val="bottom"/>
          </w:tcPr>
          <w:p w14:paraId="50206CFB" w14:textId="77777777" w:rsidR="003F0EEA" w:rsidRDefault="00FB7D0B">
            <w:pPr>
              <w:jc w:val="right"/>
              <w:rPr>
                <w:rFonts w:ascii="Arial" w:eastAsia="Arial" w:hAnsi="Arial" w:cs="Arial"/>
                <w:color w:val="000000"/>
                <w:sz w:val="16"/>
              </w:rPr>
            </w:pPr>
            <w:r>
              <w:rPr>
                <w:rFonts w:ascii="Arial" w:eastAsia="Arial" w:hAnsi="Arial" w:cs="Arial"/>
                <w:color w:val="000000"/>
                <w:sz w:val="16"/>
              </w:rPr>
              <w:t xml:space="preserve"> 102.5 </w:t>
            </w:r>
          </w:p>
        </w:tc>
        <w:tc>
          <w:tcPr>
            <w:tcW w:w="930" w:type="dxa"/>
            <w:tcBorders>
              <w:top w:val="nil"/>
              <w:left w:val="nil"/>
              <w:bottom w:val="nil"/>
              <w:right w:val="nil"/>
              <w:tl2br w:val="nil"/>
              <w:tr2bl w:val="nil"/>
            </w:tcBorders>
            <w:shd w:val="clear" w:color="auto" w:fill="FFFF00"/>
            <w:tcMar>
              <w:left w:w="115" w:type="dxa"/>
              <w:right w:w="115" w:type="dxa"/>
            </w:tcMar>
            <w:vAlign w:val="bottom"/>
          </w:tcPr>
          <w:p w14:paraId="0701A970" w14:textId="77777777" w:rsidR="003F0EEA" w:rsidRDefault="00FB7D0B">
            <w:pPr>
              <w:jc w:val="right"/>
              <w:rPr>
                <w:rFonts w:ascii="Arial" w:eastAsia="Arial" w:hAnsi="Arial" w:cs="Arial"/>
                <w:color w:val="000000"/>
                <w:sz w:val="16"/>
              </w:rPr>
            </w:pPr>
            <w:r>
              <w:rPr>
                <w:rFonts w:ascii="Arial" w:eastAsia="Arial" w:hAnsi="Arial" w:cs="Arial"/>
                <w:color w:val="000000"/>
                <w:sz w:val="16"/>
              </w:rPr>
              <w:t xml:space="preserve"> 6.1 </w:t>
            </w:r>
          </w:p>
        </w:tc>
        <w:tc>
          <w:tcPr>
            <w:tcW w:w="930" w:type="dxa"/>
            <w:tcBorders>
              <w:top w:val="nil"/>
              <w:left w:val="nil"/>
              <w:bottom w:val="nil"/>
              <w:right w:val="nil"/>
              <w:tl2br w:val="nil"/>
              <w:tr2bl w:val="nil"/>
            </w:tcBorders>
            <w:shd w:val="clear" w:color="auto" w:fill="FFFFFF"/>
            <w:tcMar>
              <w:left w:w="115" w:type="dxa"/>
              <w:right w:w="115" w:type="dxa"/>
            </w:tcMar>
            <w:vAlign w:val="bottom"/>
          </w:tcPr>
          <w:p w14:paraId="65CDCF67" w14:textId="77777777" w:rsidR="003F0EEA" w:rsidRDefault="00FB7D0B">
            <w:pPr>
              <w:jc w:val="right"/>
              <w:rPr>
                <w:rFonts w:ascii="Arial" w:eastAsia="Arial" w:hAnsi="Arial" w:cs="Arial"/>
                <w:color w:val="000000"/>
                <w:sz w:val="16"/>
              </w:rPr>
            </w:pPr>
            <w:r>
              <w:rPr>
                <w:rFonts w:ascii="Arial" w:eastAsia="Arial" w:hAnsi="Arial" w:cs="Arial"/>
                <w:color w:val="000000"/>
                <w:sz w:val="16"/>
              </w:rPr>
              <w:t xml:space="preserve"> 11,869.6 </w:t>
            </w:r>
          </w:p>
        </w:tc>
        <w:tc>
          <w:tcPr>
            <w:tcW w:w="930" w:type="dxa"/>
            <w:tcBorders>
              <w:top w:val="nil"/>
              <w:left w:val="nil"/>
              <w:bottom w:val="nil"/>
              <w:right w:val="nil"/>
              <w:tl2br w:val="nil"/>
              <w:tr2bl w:val="nil"/>
            </w:tcBorders>
            <w:shd w:val="clear" w:color="auto" w:fill="FFFF00"/>
            <w:tcMar>
              <w:left w:w="115" w:type="dxa"/>
              <w:right w:w="115" w:type="dxa"/>
            </w:tcMar>
            <w:vAlign w:val="bottom"/>
          </w:tcPr>
          <w:p w14:paraId="239A9895" w14:textId="77777777" w:rsidR="003F0EEA" w:rsidRDefault="00FB7D0B">
            <w:pPr>
              <w:jc w:val="right"/>
              <w:rPr>
                <w:rFonts w:ascii="Arial" w:eastAsia="Arial" w:hAnsi="Arial" w:cs="Arial"/>
                <w:color w:val="000000"/>
                <w:sz w:val="16"/>
              </w:rPr>
            </w:pPr>
            <w:r>
              <w:rPr>
                <w:rFonts w:ascii="Arial" w:eastAsia="Arial" w:hAnsi="Arial" w:cs="Arial"/>
                <w:color w:val="000000"/>
                <w:sz w:val="16"/>
              </w:rPr>
              <w:t xml:space="preserve"> - </w:t>
            </w:r>
          </w:p>
        </w:tc>
        <w:tc>
          <w:tcPr>
            <w:tcW w:w="930" w:type="dxa"/>
            <w:tcBorders>
              <w:top w:val="nil"/>
              <w:left w:val="nil"/>
              <w:bottom w:val="nil"/>
              <w:right w:val="nil"/>
              <w:tl2br w:val="nil"/>
              <w:tr2bl w:val="nil"/>
            </w:tcBorders>
            <w:shd w:val="clear" w:color="auto" w:fill="FFFFFF"/>
            <w:tcMar>
              <w:left w:w="115" w:type="dxa"/>
              <w:right w:w="115" w:type="dxa"/>
            </w:tcMar>
            <w:vAlign w:val="bottom"/>
          </w:tcPr>
          <w:p w14:paraId="7CDC50C3" w14:textId="77777777" w:rsidR="003F0EEA" w:rsidRDefault="00FB7D0B">
            <w:pPr>
              <w:jc w:val="right"/>
              <w:rPr>
                <w:rFonts w:ascii="Arial" w:eastAsia="Arial" w:hAnsi="Arial" w:cs="Arial"/>
                <w:color w:val="000000"/>
                <w:sz w:val="16"/>
              </w:rPr>
            </w:pPr>
            <w:r>
              <w:rPr>
                <w:rFonts w:ascii="Arial" w:eastAsia="Arial" w:hAnsi="Arial" w:cs="Arial"/>
                <w:color w:val="000000"/>
                <w:sz w:val="16"/>
              </w:rPr>
              <w:t xml:space="preserve"> 11,978.2 </w:t>
            </w:r>
          </w:p>
        </w:tc>
      </w:tr>
      <w:tr w:rsidR="00724034" w14:paraId="75972CF7" w14:textId="77777777">
        <w:trPr>
          <w:trHeight w:val="225"/>
        </w:trPr>
        <w:tc>
          <w:tcPr>
            <w:tcW w:w="2805" w:type="dxa"/>
            <w:tcBorders>
              <w:top w:val="nil"/>
              <w:left w:val="nil"/>
              <w:bottom w:val="nil"/>
              <w:right w:val="nil"/>
              <w:tl2br w:val="nil"/>
              <w:tr2bl w:val="nil"/>
            </w:tcBorders>
            <w:shd w:val="clear" w:color="auto" w:fill="FFFFFF"/>
            <w:tcMar>
              <w:left w:w="115" w:type="dxa"/>
              <w:right w:w="115" w:type="dxa"/>
            </w:tcMar>
            <w:vAlign w:val="bottom"/>
          </w:tcPr>
          <w:p w14:paraId="1A59A59D" w14:textId="77777777" w:rsidR="003F0EEA" w:rsidRDefault="00FB7D0B">
            <w:pPr>
              <w:rPr>
                <w:rFonts w:ascii="Arial" w:eastAsia="Arial" w:hAnsi="Arial" w:cs="Arial"/>
                <w:color w:val="000000"/>
                <w:sz w:val="16"/>
              </w:rPr>
            </w:pPr>
            <w:r>
              <w:rPr>
                <w:rFonts w:ascii="Arial" w:eastAsia="Arial" w:hAnsi="Arial" w:cs="Arial"/>
                <w:color w:val="000000"/>
                <w:sz w:val="16"/>
              </w:rPr>
              <w:t>Departmental appropriations</w:t>
            </w:r>
          </w:p>
        </w:tc>
        <w:tc>
          <w:tcPr>
            <w:tcW w:w="930"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7C332FEE" w14:textId="77777777" w:rsidR="003F0EEA" w:rsidRDefault="00FB7D0B">
            <w:pPr>
              <w:jc w:val="right"/>
              <w:rPr>
                <w:rFonts w:ascii="Arial" w:eastAsia="Arial" w:hAnsi="Arial" w:cs="Arial"/>
                <w:color w:val="000000"/>
                <w:sz w:val="16"/>
              </w:rPr>
            </w:pPr>
            <w:r>
              <w:rPr>
                <w:rFonts w:ascii="Arial" w:eastAsia="Arial" w:hAnsi="Arial" w:cs="Arial"/>
                <w:color w:val="000000"/>
                <w:sz w:val="16"/>
              </w:rPr>
              <w:t xml:space="preserve"> 296.8 </w:t>
            </w:r>
          </w:p>
        </w:tc>
        <w:tc>
          <w:tcPr>
            <w:tcW w:w="930" w:type="dxa"/>
            <w:tcBorders>
              <w:top w:val="nil"/>
              <w:left w:val="nil"/>
              <w:bottom w:val="single" w:sz="6" w:space="0" w:color="000000"/>
              <w:right w:val="nil"/>
              <w:tl2br w:val="nil"/>
              <w:tr2bl w:val="nil"/>
            </w:tcBorders>
            <w:shd w:val="clear" w:color="auto" w:fill="FFFF00"/>
            <w:tcMar>
              <w:left w:w="115" w:type="dxa"/>
              <w:right w:w="115" w:type="dxa"/>
            </w:tcMar>
            <w:vAlign w:val="bottom"/>
          </w:tcPr>
          <w:p w14:paraId="52C2AAA1" w14:textId="77777777" w:rsidR="003F0EEA" w:rsidRDefault="00FB7D0B">
            <w:pPr>
              <w:jc w:val="right"/>
              <w:rPr>
                <w:rFonts w:ascii="Arial" w:eastAsia="Arial" w:hAnsi="Arial" w:cs="Arial"/>
                <w:color w:val="000000"/>
                <w:sz w:val="16"/>
              </w:rPr>
            </w:pPr>
            <w:r>
              <w:rPr>
                <w:rFonts w:ascii="Arial" w:eastAsia="Arial" w:hAnsi="Arial" w:cs="Arial"/>
                <w:color w:val="000000"/>
                <w:sz w:val="16"/>
              </w:rPr>
              <w:t xml:space="preserve"> 2.6 </w:t>
            </w:r>
          </w:p>
        </w:tc>
        <w:tc>
          <w:tcPr>
            <w:tcW w:w="930"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1118D55B" w14:textId="77777777" w:rsidR="003F0EEA" w:rsidRDefault="00FB7D0B">
            <w:pPr>
              <w:jc w:val="right"/>
              <w:rPr>
                <w:rFonts w:ascii="Arial" w:eastAsia="Arial" w:hAnsi="Arial" w:cs="Arial"/>
                <w:color w:val="000000"/>
                <w:sz w:val="16"/>
              </w:rPr>
            </w:pPr>
            <w:r>
              <w:rPr>
                <w:rFonts w:ascii="Arial" w:eastAsia="Arial" w:hAnsi="Arial" w:cs="Arial"/>
                <w:color w:val="000000"/>
                <w:sz w:val="16"/>
              </w:rPr>
              <w:t xml:space="preserve"> - </w:t>
            </w:r>
          </w:p>
        </w:tc>
        <w:tc>
          <w:tcPr>
            <w:tcW w:w="930" w:type="dxa"/>
            <w:tcBorders>
              <w:top w:val="nil"/>
              <w:left w:val="nil"/>
              <w:bottom w:val="single" w:sz="6" w:space="0" w:color="000000"/>
              <w:right w:val="nil"/>
              <w:tl2br w:val="nil"/>
              <w:tr2bl w:val="nil"/>
            </w:tcBorders>
            <w:shd w:val="clear" w:color="auto" w:fill="FFFF00"/>
            <w:tcMar>
              <w:left w:w="115" w:type="dxa"/>
              <w:right w:w="115" w:type="dxa"/>
            </w:tcMar>
            <w:vAlign w:val="bottom"/>
          </w:tcPr>
          <w:p w14:paraId="00BDC8FF" w14:textId="77777777" w:rsidR="003F0EEA" w:rsidRDefault="00FB7D0B">
            <w:pPr>
              <w:jc w:val="right"/>
              <w:rPr>
                <w:rFonts w:ascii="Arial" w:eastAsia="Arial" w:hAnsi="Arial" w:cs="Arial"/>
                <w:color w:val="000000"/>
                <w:sz w:val="16"/>
              </w:rPr>
            </w:pPr>
            <w:r>
              <w:rPr>
                <w:rFonts w:ascii="Arial" w:eastAsia="Arial" w:hAnsi="Arial" w:cs="Arial"/>
                <w:color w:val="000000"/>
                <w:sz w:val="16"/>
              </w:rPr>
              <w:t xml:space="preserve"> 57.3 </w:t>
            </w:r>
          </w:p>
        </w:tc>
        <w:tc>
          <w:tcPr>
            <w:tcW w:w="930"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0BD49650" w14:textId="77777777" w:rsidR="003F0EEA" w:rsidRDefault="00FB7D0B">
            <w:pPr>
              <w:jc w:val="right"/>
              <w:rPr>
                <w:rFonts w:ascii="Arial" w:eastAsia="Arial" w:hAnsi="Arial" w:cs="Arial"/>
                <w:color w:val="000000"/>
                <w:sz w:val="16"/>
              </w:rPr>
            </w:pPr>
            <w:r>
              <w:rPr>
                <w:rFonts w:ascii="Arial" w:eastAsia="Arial" w:hAnsi="Arial" w:cs="Arial"/>
                <w:color w:val="000000"/>
                <w:sz w:val="16"/>
              </w:rPr>
              <w:t xml:space="preserve"> 356.7 </w:t>
            </w:r>
          </w:p>
        </w:tc>
      </w:tr>
      <w:tr w:rsidR="00724034" w14:paraId="053B6B4E" w14:textId="77777777">
        <w:trPr>
          <w:trHeight w:val="195"/>
        </w:trPr>
        <w:tc>
          <w:tcPr>
            <w:tcW w:w="2805" w:type="dxa"/>
            <w:tcBorders>
              <w:top w:val="nil"/>
              <w:left w:val="nil"/>
              <w:bottom w:val="nil"/>
              <w:right w:val="nil"/>
              <w:tl2br w:val="nil"/>
              <w:tr2bl w:val="nil"/>
            </w:tcBorders>
            <w:shd w:val="clear" w:color="auto" w:fill="FFFFFF"/>
            <w:tcMar>
              <w:left w:w="115" w:type="dxa"/>
              <w:right w:w="115" w:type="dxa"/>
            </w:tcMar>
            <w:vAlign w:val="center"/>
          </w:tcPr>
          <w:p w14:paraId="43A4E406" w14:textId="77777777" w:rsidR="003F0EEA" w:rsidRDefault="00FB7D0B">
            <w:pPr>
              <w:rPr>
                <w:rFonts w:ascii="Arial" w:eastAsia="Arial" w:hAnsi="Arial" w:cs="Arial"/>
                <w:color w:val="000000"/>
                <w:sz w:val="16"/>
              </w:rPr>
            </w:pPr>
            <w:r>
              <w:rPr>
                <w:rFonts w:ascii="Arial" w:eastAsia="Arial" w:hAnsi="Arial" w:cs="Arial"/>
                <w:b/>
                <w:color w:val="000000"/>
                <w:sz w:val="16"/>
              </w:rPr>
              <w:t>Total:</w:t>
            </w:r>
          </w:p>
        </w:tc>
        <w:tc>
          <w:tcPr>
            <w:tcW w:w="930" w:type="dxa"/>
            <w:tcBorders>
              <w:top w:val="none" w:sz="2" w:space="0" w:color="000000"/>
              <w:left w:val="nil"/>
              <w:bottom w:val="single" w:sz="6" w:space="0" w:color="000000"/>
              <w:right w:val="nil"/>
              <w:tl2br w:val="nil"/>
              <w:tr2bl w:val="nil"/>
            </w:tcBorders>
            <w:shd w:val="clear" w:color="auto" w:fill="FFFFFF"/>
            <w:tcMar>
              <w:left w:w="115" w:type="dxa"/>
              <w:right w:w="115" w:type="dxa"/>
            </w:tcMar>
            <w:vAlign w:val="bottom"/>
          </w:tcPr>
          <w:p w14:paraId="27CC85C9" w14:textId="77777777" w:rsidR="003F0EEA" w:rsidRDefault="00FB7D0B">
            <w:pPr>
              <w:jc w:val="right"/>
              <w:rPr>
                <w:rFonts w:ascii="Arial" w:eastAsia="Arial" w:hAnsi="Arial" w:cs="Arial"/>
                <w:b/>
                <w:color w:val="000000"/>
                <w:sz w:val="16"/>
              </w:rPr>
            </w:pPr>
            <w:r>
              <w:rPr>
                <w:rFonts w:ascii="Arial" w:eastAsia="Arial" w:hAnsi="Arial" w:cs="Arial"/>
                <w:b/>
                <w:color w:val="000000"/>
                <w:sz w:val="16"/>
              </w:rPr>
              <w:t xml:space="preserve"> 399.3 </w:t>
            </w:r>
          </w:p>
        </w:tc>
        <w:tc>
          <w:tcPr>
            <w:tcW w:w="930" w:type="dxa"/>
            <w:tcBorders>
              <w:top w:val="none" w:sz="2" w:space="0" w:color="000000"/>
              <w:left w:val="nil"/>
              <w:bottom w:val="single" w:sz="6" w:space="0" w:color="000000"/>
              <w:right w:val="nil"/>
              <w:tl2br w:val="nil"/>
              <w:tr2bl w:val="nil"/>
            </w:tcBorders>
            <w:shd w:val="clear" w:color="auto" w:fill="FFFF00"/>
            <w:tcMar>
              <w:left w:w="115" w:type="dxa"/>
              <w:right w:w="115" w:type="dxa"/>
            </w:tcMar>
            <w:vAlign w:val="bottom"/>
          </w:tcPr>
          <w:p w14:paraId="6C352E0F" w14:textId="77777777" w:rsidR="003F0EEA" w:rsidRDefault="00FB7D0B">
            <w:pPr>
              <w:jc w:val="right"/>
              <w:rPr>
                <w:rFonts w:ascii="Arial" w:eastAsia="Arial" w:hAnsi="Arial" w:cs="Arial"/>
                <w:b/>
                <w:color w:val="000000"/>
                <w:sz w:val="16"/>
              </w:rPr>
            </w:pPr>
            <w:r>
              <w:rPr>
                <w:rFonts w:ascii="Arial" w:eastAsia="Arial" w:hAnsi="Arial" w:cs="Arial"/>
                <w:b/>
                <w:color w:val="000000"/>
                <w:sz w:val="16"/>
              </w:rPr>
              <w:t xml:space="preserve"> 8.7 </w:t>
            </w:r>
          </w:p>
        </w:tc>
        <w:tc>
          <w:tcPr>
            <w:tcW w:w="930" w:type="dxa"/>
            <w:tcBorders>
              <w:top w:val="none" w:sz="2" w:space="0" w:color="000000"/>
              <w:left w:val="nil"/>
              <w:bottom w:val="single" w:sz="6" w:space="0" w:color="000000"/>
              <w:right w:val="nil"/>
              <w:tl2br w:val="nil"/>
              <w:tr2bl w:val="nil"/>
            </w:tcBorders>
            <w:shd w:val="clear" w:color="auto" w:fill="FFFFFF"/>
            <w:tcMar>
              <w:left w:w="115" w:type="dxa"/>
              <w:right w:w="115" w:type="dxa"/>
            </w:tcMar>
            <w:vAlign w:val="bottom"/>
          </w:tcPr>
          <w:p w14:paraId="4F34DE93" w14:textId="77777777" w:rsidR="003F0EEA" w:rsidRDefault="00FB7D0B">
            <w:pPr>
              <w:jc w:val="right"/>
              <w:rPr>
                <w:rFonts w:ascii="Arial" w:eastAsia="Arial" w:hAnsi="Arial" w:cs="Arial"/>
                <w:b/>
                <w:color w:val="000000"/>
                <w:sz w:val="16"/>
              </w:rPr>
            </w:pPr>
            <w:r>
              <w:rPr>
                <w:rFonts w:ascii="Arial" w:eastAsia="Arial" w:hAnsi="Arial" w:cs="Arial"/>
                <w:b/>
                <w:color w:val="000000"/>
                <w:sz w:val="16"/>
              </w:rPr>
              <w:t xml:space="preserve"> 11,869.6 </w:t>
            </w:r>
          </w:p>
        </w:tc>
        <w:tc>
          <w:tcPr>
            <w:tcW w:w="930" w:type="dxa"/>
            <w:tcBorders>
              <w:top w:val="none" w:sz="2" w:space="0" w:color="000000"/>
              <w:left w:val="nil"/>
              <w:bottom w:val="single" w:sz="6" w:space="0" w:color="000000"/>
              <w:right w:val="nil"/>
              <w:tl2br w:val="nil"/>
              <w:tr2bl w:val="nil"/>
            </w:tcBorders>
            <w:shd w:val="clear" w:color="auto" w:fill="FFFF00"/>
            <w:tcMar>
              <w:left w:w="115" w:type="dxa"/>
              <w:right w:w="115" w:type="dxa"/>
            </w:tcMar>
            <w:vAlign w:val="bottom"/>
          </w:tcPr>
          <w:p w14:paraId="3A4B813F" w14:textId="77777777" w:rsidR="003F0EEA" w:rsidRDefault="00FB7D0B">
            <w:pPr>
              <w:jc w:val="right"/>
              <w:rPr>
                <w:rFonts w:ascii="Arial" w:eastAsia="Arial" w:hAnsi="Arial" w:cs="Arial"/>
                <w:b/>
                <w:color w:val="000000"/>
                <w:sz w:val="16"/>
              </w:rPr>
            </w:pPr>
            <w:r>
              <w:rPr>
                <w:rFonts w:ascii="Arial" w:eastAsia="Arial" w:hAnsi="Arial" w:cs="Arial"/>
                <w:b/>
                <w:color w:val="000000"/>
                <w:sz w:val="16"/>
              </w:rPr>
              <w:t xml:space="preserve"> 57.3 </w:t>
            </w:r>
          </w:p>
        </w:tc>
        <w:tc>
          <w:tcPr>
            <w:tcW w:w="930" w:type="dxa"/>
            <w:tcBorders>
              <w:top w:val="none" w:sz="2" w:space="0" w:color="000000"/>
              <w:left w:val="nil"/>
              <w:bottom w:val="single" w:sz="6" w:space="0" w:color="000000"/>
              <w:right w:val="nil"/>
              <w:tl2br w:val="nil"/>
              <w:tr2bl w:val="nil"/>
            </w:tcBorders>
            <w:shd w:val="clear" w:color="auto" w:fill="FFFFFF"/>
            <w:tcMar>
              <w:left w:w="115" w:type="dxa"/>
              <w:right w:w="115" w:type="dxa"/>
            </w:tcMar>
            <w:vAlign w:val="bottom"/>
          </w:tcPr>
          <w:p w14:paraId="7DAA318A" w14:textId="77777777" w:rsidR="003F0EEA" w:rsidRDefault="00FB7D0B">
            <w:pPr>
              <w:jc w:val="right"/>
              <w:rPr>
                <w:rFonts w:ascii="Arial" w:eastAsia="Arial" w:hAnsi="Arial" w:cs="Arial"/>
                <w:b/>
                <w:color w:val="000000"/>
                <w:sz w:val="16"/>
              </w:rPr>
            </w:pPr>
            <w:r>
              <w:rPr>
                <w:rFonts w:ascii="Arial" w:eastAsia="Arial" w:hAnsi="Arial" w:cs="Arial"/>
                <w:b/>
                <w:color w:val="000000"/>
                <w:sz w:val="16"/>
              </w:rPr>
              <w:t xml:space="preserve"> 12,334.9 </w:t>
            </w:r>
          </w:p>
        </w:tc>
      </w:tr>
      <w:tr w:rsidR="00724034" w14:paraId="4FDDE7F1" w14:textId="77777777">
        <w:trPr>
          <w:trHeight w:hRule="exact" w:val="225"/>
        </w:trPr>
        <w:tc>
          <w:tcPr>
            <w:tcW w:w="2805" w:type="dxa"/>
            <w:tcBorders>
              <w:top w:val="nil"/>
              <w:left w:val="nil"/>
              <w:bottom w:val="nil"/>
              <w:right w:val="nil"/>
              <w:tl2br w:val="nil"/>
              <w:tr2bl w:val="nil"/>
            </w:tcBorders>
            <w:shd w:val="clear" w:color="auto" w:fill="FFFFFF"/>
            <w:tcMar>
              <w:left w:w="115" w:type="dxa"/>
              <w:right w:w="115" w:type="dxa"/>
            </w:tcMar>
            <w:vAlign w:val="center"/>
          </w:tcPr>
          <w:p w14:paraId="53903FAA" w14:textId="77777777" w:rsidR="003F0EEA" w:rsidRDefault="003F0EEA">
            <w:pPr>
              <w:rPr>
                <w:rFonts w:ascii="Arial" w:eastAsia="Arial" w:hAnsi="Arial" w:cs="Arial"/>
                <w:b/>
                <w:color w:val="000000"/>
                <w:sz w:val="16"/>
              </w:rPr>
            </w:pPr>
          </w:p>
        </w:tc>
        <w:tc>
          <w:tcPr>
            <w:tcW w:w="930" w:type="dxa"/>
            <w:tcBorders>
              <w:top w:val="single" w:sz="6" w:space="0" w:color="000000"/>
              <w:left w:val="nil"/>
              <w:bottom w:val="nil"/>
              <w:right w:val="nil"/>
              <w:tl2br w:val="nil"/>
              <w:tr2bl w:val="nil"/>
            </w:tcBorders>
            <w:shd w:val="clear" w:color="auto" w:fill="FFFFFF"/>
            <w:tcMar>
              <w:left w:w="115" w:type="dxa"/>
              <w:right w:w="115" w:type="dxa"/>
            </w:tcMar>
            <w:vAlign w:val="center"/>
          </w:tcPr>
          <w:p w14:paraId="5FE73CAA" w14:textId="77777777" w:rsidR="003F0EEA" w:rsidRDefault="003F0EEA">
            <w:pPr>
              <w:rPr>
                <w:rFonts w:ascii="Arial" w:eastAsia="Arial" w:hAnsi="Arial" w:cs="Arial"/>
                <w:b/>
                <w:color w:val="000000"/>
                <w:sz w:val="16"/>
              </w:rPr>
            </w:pPr>
          </w:p>
        </w:tc>
        <w:tc>
          <w:tcPr>
            <w:tcW w:w="930" w:type="dxa"/>
            <w:tcBorders>
              <w:top w:val="single" w:sz="6" w:space="0" w:color="000000"/>
              <w:left w:val="nil"/>
              <w:bottom w:val="nil"/>
              <w:right w:val="nil"/>
              <w:tl2br w:val="nil"/>
              <w:tr2bl w:val="nil"/>
            </w:tcBorders>
            <w:shd w:val="clear" w:color="auto" w:fill="FFFF00"/>
            <w:tcMar>
              <w:left w:w="115" w:type="dxa"/>
              <w:right w:w="115" w:type="dxa"/>
            </w:tcMar>
            <w:vAlign w:val="center"/>
          </w:tcPr>
          <w:p w14:paraId="450F32C7" w14:textId="77777777" w:rsidR="003F0EEA" w:rsidRDefault="003F0EEA">
            <w:pPr>
              <w:rPr>
                <w:rFonts w:ascii="Arial" w:eastAsia="Arial" w:hAnsi="Arial" w:cs="Arial"/>
                <w:color w:val="000000"/>
                <w:sz w:val="16"/>
              </w:rPr>
            </w:pPr>
          </w:p>
        </w:tc>
        <w:tc>
          <w:tcPr>
            <w:tcW w:w="930" w:type="dxa"/>
            <w:tcBorders>
              <w:top w:val="single" w:sz="6" w:space="0" w:color="000000"/>
              <w:left w:val="nil"/>
              <w:bottom w:val="nil"/>
              <w:right w:val="nil"/>
              <w:tl2br w:val="nil"/>
              <w:tr2bl w:val="nil"/>
            </w:tcBorders>
            <w:shd w:val="clear" w:color="auto" w:fill="FFFFFF"/>
            <w:tcMar>
              <w:left w:w="115" w:type="dxa"/>
              <w:right w:w="115" w:type="dxa"/>
            </w:tcMar>
            <w:vAlign w:val="center"/>
          </w:tcPr>
          <w:p w14:paraId="731BE125" w14:textId="77777777" w:rsidR="003F0EEA" w:rsidRDefault="003F0EEA">
            <w:pPr>
              <w:rPr>
                <w:rFonts w:ascii="Arial" w:eastAsia="Arial" w:hAnsi="Arial" w:cs="Arial"/>
                <w:color w:val="000000"/>
                <w:sz w:val="16"/>
              </w:rPr>
            </w:pPr>
          </w:p>
        </w:tc>
        <w:tc>
          <w:tcPr>
            <w:tcW w:w="930" w:type="dxa"/>
            <w:tcBorders>
              <w:top w:val="single" w:sz="6" w:space="0" w:color="000000"/>
              <w:left w:val="nil"/>
              <w:bottom w:val="nil"/>
              <w:right w:val="nil"/>
              <w:tl2br w:val="nil"/>
              <w:tr2bl w:val="nil"/>
            </w:tcBorders>
            <w:shd w:val="clear" w:color="auto" w:fill="FFFF00"/>
            <w:tcMar>
              <w:left w:w="115" w:type="dxa"/>
              <w:right w:w="115" w:type="dxa"/>
            </w:tcMar>
            <w:vAlign w:val="center"/>
          </w:tcPr>
          <w:p w14:paraId="0F993504" w14:textId="77777777" w:rsidR="003F0EEA" w:rsidRDefault="003F0EEA">
            <w:pPr>
              <w:rPr>
                <w:rFonts w:ascii="Arial" w:eastAsia="Arial" w:hAnsi="Arial" w:cs="Arial"/>
                <w:color w:val="000000"/>
                <w:sz w:val="16"/>
              </w:rPr>
            </w:pPr>
          </w:p>
        </w:tc>
        <w:tc>
          <w:tcPr>
            <w:tcW w:w="930" w:type="dxa"/>
            <w:tcBorders>
              <w:top w:val="single" w:sz="6" w:space="0" w:color="000000"/>
              <w:left w:val="nil"/>
              <w:bottom w:val="nil"/>
              <w:right w:val="nil"/>
              <w:tl2br w:val="nil"/>
              <w:tr2bl w:val="nil"/>
            </w:tcBorders>
            <w:shd w:val="clear" w:color="auto" w:fill="FFFFFF"/>
            <w:tcMar>
              <w:left w:w="115" w:type="dxa"/>
              <w:right w:w="115" w:type="dxa"/>
            </w:tcMar>
            <w:vAlign w:val="center"/>
          </w:tcPr>
          <w:p w14:paraId="03939593" w14:textId="77777777" w:rsidR="003F0EEA" w:rsidRDefault="003F0EEA">
            <w:pPr>
              <w:rPr>
                <w:rFonts w:ascii="Arial" w:eastAsia="Arial" w:hAnsi="Arial" w:cs="Arial"/>
                <w:color w:val="000000"/>
                <w:sz w:val="16"/>
              </w:rPr>
            </w:pPr>
          </w:p>
        </w:tc>
      </w:tr>
      <w:tr w:rsidR="00724034" w14:paraId="0C59667C" w14:textId="77777777">
        <w:trPr>
          <w:trHeight w:val="255"/>
        </w:trPr>
        <w:tc>
          <w:tcPr>
            <w:tcW w:w="2805" w:type="dxa"/>
            <w:tcBorders>
              <w:top w:val="nil"/>
              <w:left w:val="nil"/>
              <w:bottom w:val="nil"/>
              <w:right w:val="nil"/>
              <w:tl2br w:val="nil"/>
              <w:tr2bl w:val="nil"/>
            </w:tcBorders>
            <w:shd w:val="clear" w:color="auto" w:fill="FFFFFF"/>
            <w:tcMar>
              <w:left w:w="115" w:type="dxa"/>
              <w:right w:w="115" w:type="dxa"/>
            </w:tcMar>
            <w:vAlign w:val="center"/>
          </w:tcPr>
          <w:p w14:paraId="0F17E398" w14:textId="77777777" w:rsidR="003F0EEA" w:rsidRDefault="00FB7D0B">
            <w:pPr>
              <w:rPr>
                <w:rFonts w:ascii="Arial" w:eastAsia="Arial" w:hAnsi="Arial" w:cs="Arial"/>
                <w:color w:val="000000"/>
                <w:sz w:val="16"/>
              </w:rPr>
            </w:pPr>
            <w:r>
              <w:rPr>
                <w:rFonts w:ascii="Arial" w:eastAsia="Arial" w:hAnsi="Arial" w:cs="Arial"/>
                <w:b/>
                <w:color w:val="000000"/>
                <w:sz w:val="16"/>
              </w:rPr>
              <w:t>Australian War Memorial</w:t>
            </w:r>
          </w:p>
        </w:tc>
        <w:tc>
          <w:tcPr>
            <w:tcW w:w="930" w:type="dxa"/>
            <w:tcBorders>
              <w:top w:val="nil"/>
              <w:left w:val="nil"/>
              <w:bottom w:val="nil"/>
              <w:right w:val="nil"/>
              <w:tl2br w:val="nil"/>
              <w:tr2bl w:val="nil"/>
            </w:tcBorders>
            <w:shd w:val="clear" w:color="auto" w:fill="FFFFFF"/>
            <w:tcMar>
              <w:left w:w="115" w:type="dxa"/>
              <w:right w:w="115" w:type="dxa"/>
            </w:tcMar>
            <w:vAlign w:val="center"/>
          </w:tcPr>
          <w:p w14:paraId="2282E5EF" w14:textId="77777777" w:rsidR="003F0EEA" w:rsidRDefault="003F0EEA">
            <w:pPr>
              <w:rPr>
                <w:rFonts w:ascii="Arial" w:eastAsia="Arial" w:hAnsi="Arial" w:cs="Arial"/>
                <w:b/>
                <w:color w:val="000000"/>
                <w:sz w:val="16"/>
              </w:rPr>
            </w:pPr>
          </w:p>
        </w:tc>
        <w:tc>
          <w:tcPr>
            <w:tcW w:w="930" w:type="dxa"/>
            <w:tcBorders>
              <w:top w:val="nil"/>
              <w:left w:val="nil"/>
              <w:bottom w:val="nil"/>
              <w:right w:val="nil"/>
              <w:tl2br w:val="nil"/>
              <w:tr2bl w:val="nil"/>
            </w:tcBorders>
            <w:shd w:val="clear" w:color="auto" w:fill="FFFF00"/>
            <w:tcMar>
              <w:left w:w="115" w:type="dxa"/>
              <w:right w:w="115" w:type="dxa"/>
            </w:tcMar>
            <w:vAlign w:val="center"/>
          </w:tcPr>
          <w:p w14:paraId="12BBBFA5" w14:textId="77777777" w:rsidR="003F0EEA" w:rsidRDefault="003F0EEA">
            <w:pPr>
              <w:rPr>
                <w:rFonts w:ascii="Arial" w:eastAsia="Arial" w:hAnsi="Arial" w:cs="Arial"/>
                <w:color w:val="000000"/>
                <w:sz w:val="16"/>
              </w:rPr>
            </w:pPr>
          </w:p>
        </w:tc>
        <w:tc>
          <w:tcPr>
            <w:tcW w:w="930" w:type="dxa"/>
            <w:tcBorders>
              <w:top w:val="nil"/>
              <w:left w:val="nil"/>
              <w:bottom w:val="nil"/>
              <w:right w:val="nil"/>
              <w:tl2br w:val="nil"/>
              <w:tr2bl w:val="nil"/>
            </w:tcBorders>
            <w:shd w:val="clear" w:color="auto" w:fill="FFFFFF"/>
            <w:tcMar>
              <w:left w:w="115" w:type="dxa"/>
              <w:right w:w="115" w:type="dxa"/>
            </w:tcMar>
            <w:vAlign w:val="center"/>
          </w:tcPr>
          <w:p w14:paraId="47B3CACC" w14:textId="77777777" w:rsidR="003F0EEA" w:rsidRDefault="003F0EEA">
            <w:pPr>
              <w:rPr>
                <w:rFonts w:ascii="Arial" w:eastAsia="Arial" w:hAnsi="Arial" w:cs="Arial"/>
                <w:color w:val="000000"/>
                <w:sz w:val="16"/>
              </w:rPr>
            </w:pPr>
          </w:p>
        </w:tc>
        <w:tc>
          <w:tcPr>
            <w:tcW w:w="930" w:type="dxa"/>
            <w:tcBorders>
              <w:top w:val="nil"/>
              <w:left w:val="nil"/>
              <w:bottom w:val="nil"/>
              <w:right w:val="nil"/>
              <w:tl2br w:val="nil"/>
              <w:tr2bl w:val="nil"/>
            </w:tcBorders>
            <w:shd w:val="clear" w:color="auto" w:fill="FFFF00"/>
            <w:tcMar>
              <w:left w:w="115" w:type="dxa"/>
              <w:right w:w="115" w:type="dxa"/>
            </w:tcMar>
            <w:vAlign w:val="center"/>
          </w:tcPr>
          <w:p w14:paraId="5777D43E" w14:textId="77777777" w:rsidR="003F0EEA" w:rsidRDefault="003F0EEA">
            <w:pPr>
              <w:rPr>
                <w:rFonts w:ascii="Arial" w:eastAsia="Arial" w:hAnsi="Arial" w:cs="Arial"/>
                <w:color w:val="000000"/>
                <w:sz w:val="16"/>
              </w:rPr>
            </w:pPr>
          </w:p>
        </w:tc>
        <w:tc>
          <w:tcPr>
            <w:tcW w:w="930" w:type="dxa"/>
            <w:tcBorders>
              <w:top w:val="nil"/>
              <w:left w:val="nil"/>
              <w:bottom w:val="nil"/>
              <w:right w:val="nil"/>
              <w:tl2br w:val="nil"/>
              <w:tr2bl w:val="nil"/>
            </w:tcBorders>
            <w:shd w:val="clear" w:color="auto" w:fill="FFFFFF"/>
            <w:tcMar>
              <w:left w:w="115" w:type="dxa"/>
              <w:right w:w="115" w:type="dxa"/>
            </w:tcMar>
            <w:vAlign w:val="center"/>
          </w:tcPr>
          <w:p w14:paraId="2B162A16" w14:textId="77777777" w:rsidR="003F0EEA" w:rsidRDefault="003F0EEA">
            <w:pPr>
              <w:rPr>
                <w:rFonts w:ascii="Arial" w:eastAsia="Arial" w:hAnsi="Arial" w:cs="Arial"/>
                <w:color w:val="000000"/>
                <w:sz w:val="16"/>
              </w:rPr>
            </w:pPr>
          </w:p>
        </w:tc>
      </w:tr>
      <w:tr w:rsidR="00724034" w14:paraId="34B64443" w14:textId="77777777">
        <w:trPr>
          <w:trHeight w:val="255"/>
        </w:trPr>
        <w:tc>
          <w:tcPr>
            <w:tcW w:w="2805" w:type="dxa"/>
            <w:tcBorders>
              <w:top w:val="nil"/>
              <w:left w:val="nil"/>
              <w:bottom w:val="nil"/>
              <w:right w:val="nil"/>
              <w:tl2br w:val="nil"/>
              <w:tr2bl w:val="nil"/>
            </w:tcBorders>
            <w:shd w:val="clear" w:color="auto" w:fill="FFFFFF"/>
            <w:tcMar>
              <w:left w:w="115" w:type="dxa"/>
              <w:right w:w="115" w:type="dxa"/>
            </w:tcMar>
            <w:vAlign w:val="center"/>
          </w:tcPr>
          <w:p w14:paraId="5CBD6A61" w14:textId="77777777" w:rsidR="003F0EEA" w:rsidRDefault="00FB7D0B">
            <w:pPr>
              <w:rPr>
                <w:rFonts w:ascii="Arial" w:eastAsia="Arial" w:hAnsi="Arial" w:cs="Arial"/>
                <w:color w:val="000000"/>
                <w:sz w:val="16"/>
              </w:rPr>
            </w:pPr>
            <w:r>
              <w:rPr>
                <w:rFonts w:ascii="Arial" w:eastAsia="Arial" w:hAnsi="Arial" w:cs="Arial"/>
                <w:color w:val="000000"/>
                <w:sz w:val="16"/>
              </w:rPr>
              <w:t>Departmental appropriations</w:t>
            </w:r>
          </w:p>
        </w:tc>
        <w:tc>
          <w:tcPr>
            <w:tcW w:w="930" w:type="dxa"/>
            <w:tcBorders>
              <w:top w:val="nil"/>
              <w:left w:val="nil"/>
              <w:bottom w:val="single" w:sz="6" w:space="0" w:color="000000"/>
              <w:right w:val="nil"/>
              <w:tl2br w:val="nil"/>
              <w:tr2bl w:val="nil"/>
            </w:tcBorders>
            <w:shd w:val="clear" w:color="auto" w:fill="FFFFFF"/>
            <w:tcMar>
              <w:left w:w="115" w:type="dxa"/>
              <w:right w:w="115" w:type="dxa"/>
            </w:tcMar>
            <w:vAlign w:val="center"/>
          </w:tcPr>
          <w:p w14:paraId="69A6E214" w14:textId="77777777" w:rsidR="003F0EEA" w:rsidRDefault="00FB7D0B">
            <w:pPr>
              <w:jc w:val="right"/>
              <w:rPr>
                <w:rFonts w:ascii="Arial" w:eastAsia="Arial" w:hAnsi="Arial" w:cs="Arial"/>
                <w:color w:val="000000"/>
                <w:sz w:val="16"/>
              </w:rPr>
            </w:pPr>
            <w:r>
              <w:rPr>
                <w:rFonts w:ascii="Arial" w:eastAsia="Arial" w:hAnsi="Arial" w:cs="Arial"/>
                <w:color w:val="000000"/>
                <w:sz w:val="16"/>
              </w:rPr>
              <w:t xml:space="preserve"> 47.8 </w:t>
            </w:r>
          </w:p>
        </w:tc>
        <w:tc>
          <w:tcPr>
            <w:tcW w:w="930" w:type="dxa"/>
            <w:tcBorders>
              <w:top w:val="nil"/>
              <w:left w:val="nil"/>
              <w:bottom w:val="single" w:sz="6" w:space="0" w:color="000000"/>
              <w:right w:val="nil"/>
              <w:tl2br w:val="nil"/>
              <w:tr2bl w:val="nil"/>
            </w:tcBorders>
            <w:shd w:val="clear" w:color="auto" w:fill="FFFF00"/>
            <w:tcMar>
              <w:left w:w="115" w:type="dxa"/>
              <w:right w:w="115" w:type="dxa"/>
            </w:tcMar>
            <w:vAlign w:val="center"/>
          </w:tcPr>
          <w:p w14:paraId="423C071C" w14:textId="77777777" w:rsidR="003F0EEA" w:rsidRDefault="00FB7D0B">
            <w:pPr>
              <w:jc w:val="right"/>
              <w:rPr>
                <w:rFonts w:ascii="Arial" w:eastAsia="Arial" w:hAnsi="Arial" w:cs="Arial"/>
                <w:color w:val="000000"/>
                <w:sz w:val="16"/>
              </w:rPr>
            </w:pPr>
            <w:r>
              <w:rPr>
                <w:rFonts w:ascii="Arial" w:eastAsia="Arial" w:hAnsi="Arial" w:cs="Arial"/>
                <w:color w:val="000000"/>
                <w:sz w:val="16"/>
              </w:rPr>
              <w:t xml:space="preserve"> 12.4 </w:t>
            </w:r>
          </w:p>
        </w:tc>
        <w:tc>
          <w:tcPr>
            <w:tcW w:w="930" w:type="dxa"/>
            <w:tcBorders>
              <w:top w:val="nil"/>
              <w:left w:val="nil"/>
              <w:bottom w:val="single" w:sz="6" w:space="0" w:color="000000"/>
              <w:right w:val="nil"/>
              <w:tl2br w:val="nil"/>
              <w:tr2bl w:val="nil"/>
            </w:tcBorders>
            <w:shd w:val="clear" w:color="auto" w:fill="FFFFFF"/>
            <w:tcMar>
              <w:left w:w="115" w:type="dxa"/>
              <w:right w:w="115" w:type="dxa"/>
            </w:tcMar>
            <w:vAlign w:val="center"/>
          </w:tcPr>
          <w:p w14:paraId="13E9A1F4" w14:textId="77777777" w:rsidR="003F0EEA" w:rsidRDefault="00FB7D0B">
            <w:pPr>
              <w:jc w:val="right"/>
              <w:rPr>
                <w:rFonts w:ascii="Arial" w:eastAsia="Arial" w:hAnsi="Arial" w:cs="Arial"/>
                <w:color w:val="000000"/>
                <w:sz w:val="16"/>
              </w:rPr>
            </w:pPr>
            <w:r>
              <w:rPr>
                <w:rFonts w:ascii="Arial" w:eastAsia="Arial" w:hAnsi="Arial" w:cs="Arial"/>
                <w:color w:val="000000"/>
                <w:sz w:val="16"/>
              </w:rPr>
              <w:t xml:space="preserve"> - </w:t>
            </w:r>
          </w:p>
        </w:tc>
        <w:tc>
          <w:tcPr>
            <w:tcW w:w="930" w:type="dxa"/>
            <w:tcBorders>
              <w:top w:val="nil"/>
              <w:left w:val="nil"/>
              <w:bottom w:val="single" w:sz="6" w:space="0" w:color="000000"/>
              <w:right w:val="nil"/>
              <w:tl2br w:val="nil"/>
              <w:tr2bl w:val="nil"/>
            </w:tcBorders>
            <w:shd w:val="clear" w:color="auto" w:fill="FFFF00"/>
            <w:tcMar>
              <w:left w:w="115" w:type="dxa"/>
              <w:right w:w="115" w:type="dxa"/>
            </w:tcMar>
            <w:vAlign w:val="center"/>
          </w:tcPr>
          <w:p w14:paraId="04F6CCE2" w14:textId="77777777" w:rsidR="003F0EEA" w:rsidRDefault="00FB7D0B">
            <w:pPr>
              <w:jc w:val="right"/>
              <w:rPr>
                <w:rFonts w:ascii="Arial" w:eastAsia="Arial" w:hAnsi="Arial" w:cs="Arial"/>
                <w:color w:val="000000"/>
                <w:sz w:val="16"/>
              </w:rPr>
            </w:pPr>
            <w:r>
              <w:rPr>
                <w:rFonts w:ascii="Arial" w:eastAsia="Arial" w:hAnsi="Arial" w:cs="Arial"/>
                <w:color w:val="000000"/>
                <w:sz w:val="16"/>
              </w:rPr>
              <w:t xml:space="preserve"> 11.3 </w:t>
            </w:r>
          </w:p>
        </w:tc>
        <w:tc>
          <w:tcPr>
            <w:tcW w:w="930" w:type="dxa"/>
            <w:tcBorders>
              <w:top w:val="nil"/>
              <w:left w:val="nil"/>
              <w:bottom w:val="single" w:sz="6" w:space="0" w:color="000000"/>
              <w:right w:val="nil"/>
              <w:tl2br w:val="nil"/>
              <w:tr2bl w:val="nil"/>
            </w:tcBorders>
            <w:shd w:val="clear" w:color="auto" w:fill="FFFFFF"/>
            <w:tcMar>
              <w:left w:w="115" w:type="dxa"/>
              <w:right w:w="115" w:type="dxa"/>
            </w:tcMar>
            <w:vAlign w:val="center"/>
          </w:tcPr>
          <w:p w14:paraId="0B1EB945" w14:textId="77777777" w:rsidR="003F0EEA" w:rsidRDefault="00FB7D0B">
            <w:pPr>
              <w:jc w:val="right"/>
              <w:rPr>
                <w:rFonts w:ascii="Arial" w:eastAsia="Arial" w:hAnsi="Arial" w:cs="Arial"/>
                <w:color w:val="000000"/>
                <w:sz w:val="16"/>
              </w:rPr>
            </w:pPr>
            <w:r>
              <w:rPr>
                <w:rFonts w:ascii="Arial" w:eastAsia="Arial" w:hAnsi="Arial" w:cs="Arial"/>
                <w:color w:val="000000"/>
                <w:sz w:val="16"/>
              </w:rPr>
              <w:t xml:space="preserve"> 71.5 </w:t>
            </w:r>
          </w:p>
        </w:tc>
      </w:tr>
      <w:tr w:rsidR="00724034" w14:paraId="4867AABF" w14:textId="77777777">
        <w:trPr>
          <w:trHeight w:val="255"/>
        </w:trPr>
        <w:tc>
          <w:tcPr>
            <w:tcW w:w="2805" w:type="dxa"/>
            <w:tcBorders>
              <w:top w:val="nil"/>
              <w:left w:val="nil"/>
              <w:bottom w:val="nil"/>
              <w:right w:val="nil"/>
              <w:tl2br w:val="nil"/>
              <w:tr2bl w:val="nil"/>
            </w:tcBorders>
            <w:shd w:val="clear" w:color="auto" w:fill="FFFFFF"/>
            <w:tcMar>
              <w:left w:w="115" w:type="dxa"/>
              <w:right w:w="115" w:type="dxa"/>
            </w:tcMar>
            <w:vAlign w:val="center"/>
          </w:tcPr>
          <w:p w14:paraId="4F65A105" w14:textId="77777777" w:rsidR="003F0EEA" w:rsidRDefault="00FB7D0B">
            <w:pPr>
              <w:rPr>
                <w:rFonts w:ascii="Arial" w:eastAsia="Arial" w:hAnsi="Arial" w:cs="Arial"/>
                <w:color w:val="000000"/>
                <w:sz w:val="16"/>
              </w:rPr>
            </w:pPr>
            <w:r>
              <w:rPr>
                <w:rFonts w:ascii="Arial" w:eastAsia="Arial" w:hAnsi="Arial" w:cs="Arial"/>
                <w:b/>
                <w:color w:val="000000"/>
                <w:sz w:val="16"/>
              </w:rPr>
              <w:t>Total:</w:t>
            </w:r>
          </w:p>
        </w:tc>
        <w:tc>
          <w:tcPr>
            <w:tcW w:w="930" w:type="dxa"/>
            <w:tcBorders>
              <w:top w:val="single" w:sz="6" w:space="0" w:color="000000"/>
              <w:left w:val="nil"/>
              <w:bottom w:val="single" w:sz="6" w:space="0" w:color="000000"/>
              <w:right w:val="nil"/>
              <w:tl2br w:val="nil"/>
              <w:tr2bl w:val="nil"/>
            </w:tcBorders>
            <w:shd w:val="clear" w:color="auto" w:fill="FFFFFF"/>
            <w:tcMar>
              <w:left w:w="115" w:type="dxa"/>
              <w:right w:w="115" w:type="dxa"/>
            </w:tcMar>
            <w:vAlign w:val="center"/>
          </w:tcPr>
          <w:p w14:paraId="08DF1F20" w14:textId="77777777" w:rsidR="003F0EEA" w:rsidRDefault="00FB7D0B">
            <w:pPr>
              <w:jc w:val="right"/>
              <w:rPr>
                <w:rFonts w:ascii="Arial" w:eastAsia="Arial" w:hAnsi="Arial" w:cs="Arial"/>
                <w:b/>
                <w:color w:val="000000"/>
                <w:sz w:val="16"/>
              </w:rPr>
            </w:pPr>
            <w:r>
              <w:rPr>
                <w:rFonts w:ascii="Arial" w:eastAsia="Arial" w:hAnsi="Arial" w:cs="Arial"/>
                <w:b/>
                <w:color w:val="000000"/>
                <w:sz w:val="16"/>
              </w:rPr>
              <w:t xml:space="preserve"> 47.8 </w:t>
            </w:r>
          </w:p>
        </w:tc>
        <w:tc>
          <w:tcPr>
            <w:tcW w:w="930" w:type="dxa"/>
            <w:tcBorders>
              <w:top w:val="single" w:sz="6" w:space="0" w:color="000000"/>
              <w:left w:val="nil"/>
              <w:bottom w:val="single" w:sz="6" w:space="0" w:color="000000"/>
              <w:right w:val="nil"/>
              <w:tl2br w:val="nil"/>
              <w:tr2bl w:val="nil"/>
            </w:tcBorders>
            <w:shd w:val="clear" w:color="auto" w:fill="FFFF00"/>
            <w:tcMar>
              <w:left w:w="115" w:type="dxa"/>
              <w:right w:w="115" w:type="dxa"/>
            </w:tcMar>
            <w:vAlign w:val="center"/>
          </w:tcPr>
          <w:p w14:paraId="72B9CE16" w14:textId="77777777" w:rsidR="003F0EEA" w:rsidRDefault="00FB7D0B">
            <w:pPr>
              <w:jc w:val="right"/>
              <w:rPr>
                <w:rFonts w:ascii="Arial" w:eastAsia="Arial" w:hAnsi="Arial" w:cs="Arial"/>
                <w:b/>
                <w:color w:val="000000"/>
                <w:sz w:val="16"/>
              </w:rPr>
            </w:pPr>
            <w:r>
              <w:rPr>
                <w:rFonts w:ascii="Arial" w:eastAsia="Arial" w:hAnsi="Arial" w:cs="Arial"/>
                <w:b/>
                <w:color w:val="000000"/>
                <w:sz w:val="16"/>
              </w:rPr>
              <w:t xml:space="preserve"> 12.4 </w:t>
            </w:r>
          </w:p>
        </w:tc>
        <w:tc>
          <w:tcPr>
            <w:tcW w:w="930" w:type="dxa"/>
            <w:tcBorders>
              <w:top w:val="single" w:sz="6" w:space="0" w:color="000000"/>
              <w:left w:val="nil"/>
              <w:bottom w:val="single" w:sz="6" w:space="0" w:color="000000"/>
              <w:right w:val="nil"/>
              <w:tl2br w:val="nil"/>
              <w:tr2bl w:val="nil"/>
            </w:tcBorders>
            <w:shd w:val="clear" w:color="auto" w:fill="FFFFFF"/>
            <w:tcMar>
              <w:left w:w="115" w:type="dxa"/>
              <w:right w:w="115" w:type="dxa"/>
            </w:tcMar>
            <w:vAlign w:val="center"/>
          </w:tcPr>
          <w:p w14:paraId="5D241C6C" w14:textId="77777777" w:rsidR="003F0EEA" w:rsidRDefault="00FB7D0B">
            <w:pPr>
              <w:jc w:val="right"/>
              <w:rPr>
                <w:rFonts w:ascii="Arial" w:eastAsia="Arial" w:hAnsi="Arial" w:cs="Arial"/>
                <w:b/>
                <w:color w:val="000000"/>
                <w:sz w:val="16"/>
              </w:rPr>
            </w:pPr>
            <w:r>
              <w:rPr>
                <w:rFonts w:ascii="Arial" w:eastAsia="Arial" w:hAnsi="Arial" w:cs="Arial"/>
                <w:b/>
                <w:color w:val="000000"/>
                <w:sz w:val="16"/>
              </w:rPr>
              <w:t xml:space="preserve"> - </w:t>
            </w:r>
          </w:p>
        </w:tc>
        <w:tc>
          <w:tcPr>
            <w:tcW w:w="930" w:type="dxa"/>
            <w:tcBorders>
              <w:top w:val="single" w:sz="6" w:space="0" w:color="000000"/>
              <w:left w:val="nil"/>
              <w:bottom w:val="single" w:sz="6" w:space="0" w:color="000000"/>
              <w:right w:val="nil"/>
              <w:tl2br w:val="nil"/>
              <w:tr2bl w:val="nil"/>
            </w:tcBorders>
            <w:shd w:val="clear" w:color="auto" w:fill="FFFF00"/>
            <w:tcMar>
              <w:left w:w="115" w:type="dxa"/>
              <w:right w:w="115" w:type="dxa"/>
            </w:tcMar>
            <w:vAlign w:val="center"/>
          </w:tcPr>
          <w:p w14:paraId="4D6353F1" w14:textId="77777777" w:rsidR="003F0EEA" w:rsidRDefault="00FB7D0B">
            <w:pPr>
              <w:jc w:val="right"/>
              <w:rPr>
                <w:rFonts w:ascii="Arial" w:eastAsia="Arial" w:hAnsi="Arial" w:cs="Arial"/>
                <w:b/>
                <w:color w:val="000000"/>
                <w:sz w:val="16"/>
              </w:rPr>
            </w:pPr>
            <w:r>
              <w:rPr>
                <w:rFonts w:ascii="Arial" w:eastAsia="Arial" w:hAnsi="Arial" w:cs="Arial"/>
                <w:b/>
                <w:color w:val="000000"/>
                <w:sz w:val="16"/>
              </w:rPr>
              <w:t xml:space="preserve"> 11.3 </w:t>
            </w:r>
          </w:p>
        </w:tc>
        <w:tc>
          <w:tcPr>
            <w:tcW w:w="930" w:type="dxa"/>
            <w:tcBorders>
              <w:top w:val="single" w:sz="6" w:space="0" w:color="000000"/>
              <w:left w:val="nil"/>
              <w:bottom w:val="single" w:sz="6" w:space="0" w:color="000000"/>
              <w:right w:val="nil"/>
              <w:tl2br w:val="nil"/>
              <w:tr2bl w:val="nil"/>
            </w:tcBorders>
            <w:shd w:val="clear" w:color="auto" w:fill="FFFFFF"/>
            <w:tcMar>
              <w:left w:w="115" w:type="dxa"/>
              <w:right w:w="115" w:type="dxa"/>
            </w:tcMar>
            <w:vAlign w:val="center"/>
          </w:tcPr>
          <w:p w14:paraId="7698364A" w14:textId="77777777" w:rsidR="003F0EEA" w:rsidRDefault="00FB7D0B">
            <w:pPr>
              <w:jc w:val="right"/>
              <w:rPr>
                <w:rFonts w:ascii="Arial" w:eastAsia="Arial" w:hAnsi="Arial" w:cs="Arial"/>
                <w:b/>
                <w:color w:val="000000"/>
                <w:sz w:val="16"/>
              </w:rPr>
            </w:pPr>
            <w:r>
              <w:rPr>
                <w:rFonts w:ascii="Arial" w:eastAsia="Arial" w:hAnsi="Arial" w:cs="Arial"/>
                <w:b/>
                <w:color w:val="000000"/>
                <w:sz w:val="16"/>
              </w:rPr>
              <w:t xml:space="preserve"> 71.5 </w:t>
            </w:r>
          </w:p>
        </w:tc>
      </w:tr>
      <w:tr w:rsidR="00724034" w14:paraId="60F55AFA" w14:textId="77777777">
        <w:trPr>
          <w:trHeight w:hRule="exact" w:val="225"/>
        </w:trPr>
        <w:tc>
          <w:tcPr>
            <w:tcW w:w="2805" w:type="dxa"/>
            <w:tcBorders>
              <w:top w:val="nil"/>
              <w:left w:val="nil"/>
              <w:bottom w:val="nil"/>
              <w:right w:val="nil"/>
              <w:tl2br w:val="nil"/>
              <w:tr2bl w:val="nil"/>
            </w:tcBorders>
            <w:shd w:val="clear" w:color="auto" w:fill="FFFFFF"/>
            <w:tcMar>
              <w:left w:w="115" w:type="dxa"/>
              <w:right w:w="115" w:type="dxa"/>
            </w:tcMar>
            <w:vAlign w:val="center"/>
          </w:tcPr>
          <w:p w14:paraId="4C0E3096" w14:textId="77777777" w:rsidR="003F0EEA" w:rsidRDefault="003F0EEA">
            <w:pPr>
              <w:rPr>
                <w:rFonts w:ascii="Arial" w:eastAsia="Arial" w:hAnsi="Arial" w:cs="Arial"/>
                <w:b/>
                <w:color w:val="000000"/>
                <w:sz w:val="16"/>
              </w:rPr>
            </w:pPr>
          </w:p>
        </w:tc>
        <w:tc>
          <w:tcPr>
            <w:tcW w:w="930" w:type="dxa"/>
            <w:tcBorders>
              <w:top w:val="single" w:sz="6" w:space="0" w:color="000000"/>
              <w:left w:val="nil"/>
              <w:bottom w:val="single" w:sz="6" w:space="0" w:color="000000"/>
              <w:right w:val="nil"/>
              <w:tl2br w:val="nil"/>
              <w:tr2bl w:val="nil"/>
            </w:tcBorders>
            <w:shd w:val="clear" w:color="auto" w:fill="FFFFFF"/>
            <w:tcMar>
              <w:left w:w="115" w:type="dxa"/>
              <w:right w:w="115" w:type="dxa"/>
            </w:tcMar>
            <w:vAlign w:val="center"/>
          </w:tcPr>
          <w:p w14:paraId="576AC41B" w14:textId="77777777" w:rsidR="003F0EEA" w:rsidRDefault="003F0EEA">
            <w:pPr>
              <w:rPr>
                <w:rFonts w:ascii="Arial" w:eastAsia="Arial" w:hAnsi="Arial" w:cs="Arial"/>
                <w:b/>
                <w:color w:val="000000"/>
                <w:sz w:val="16"/>
              </w:rPr>
            </w:pPr>
          </w:p>
        </w:tc>
        <w:tc>
          <w:tcPr>
            <w:tcW w:w="930" w:type="dxa"/>
            <w:tcBorders>
              <w:top w:val="single" w:sz="6" w:space="0" w:color="000000"/>
              <w:left w:val="nil"/>
              <w:bottom w:val="single" w:sz="6" w:space="0" w:color="000000"/>
              <w:right w:val="nil"/>
              <w:tl2br w:val="nil"/>
              <w:tr2bl w:val="nil"/>
            </w:tcBorders>
            <w:shd w:val="clear" w:color="auto" w:fill="FFFF00"/>
            <w:tcMar>
              <w:left w:w="115" w:type="dxa"/>
              <w:right w:w="115" w:type="dxa"/>
            </w:tcMar>
            <w:vAlign w:val="center"/>
          </w:tcPr>
          <w:p w14:paraId="35F222F1" w14:textId="77777777" w:rsidR="003F0EEA" w:rsidRDefault="003F0EEA">
            <w:pPr>
              <w:rPr>
                <w:rFonts w:ascii="Arial" w:eastAsia="Arial" w:hAnsi="Arial" w:cs="Arial"/>
                <w:color w:val="000000"/>
                <w:sz w:val="16"/>
              </w:rPr>
            </w:pPr>
          </w:p>
        </w:tc>
        <w:tc>
          <w:tcPr>
            <w:tcW w:w="930" w:type="dxa"/>
            <w:tcBorders>
              <w:top w:val="single" w:sz="6" w:space="0" w:color="000000"/>
              <w:left w:val="nil"/>
              <w:bottom w:val="single" w:sz="6" w:space="0" w:color="000000"/>
              <w:right w:val="nil"/>
              <w:tl2br w:val="nil"/>
              <w:tr2bl w:val="nil"/>
            </w:tcBorders>
            <w:shd w:val="clear" w:color="auto" w:fill="FFFFFF"/>
            <w:tcMar>
              <w:left w:w="115" w:type="dxa"/>
              <w:right w:w="115" w:type="dxa"/>
            </w:tcMar>
            <w:vAlign w:val="center"/>
          </w:tcPr>
          <w:p w14:paraId="253336F1" w14:textId="77777777" w:rsidR="003F0EEA" w:rsidRDefault="003F0EEA">
            <w:pPr>
              <w:rPr>
                <w:rFonts w:ascii="Arial" w:eastAsia="Arial" w:hAnsi="Arial" w:cs="Arial"/>
                <w:color w:val="000000"/>
                <w:sz w:val="16"/>
              </w:rPr>
            </w:pPr>
          </w:p>
        </w:tc>
        <w:tc>
          <w:tcPr>
            <w:tcW w:w="930" w:type="dxa"/>
            <w:tcBorders>
              <w:top w:val="single" w:sz="6" w:space="0" w:color="000000"/>
              <w:left w:val="nil"/>
              <w:bottom w:val="single" w:sz="6" w:space="0" w:color="000000"/>
              <w:right w:val="nil"/>
              <w:tl2br w:val="nil"/>
              <w:tr2bl w:val="nil"/>
            </w:tcBorders>
            <w:shd w:val="clear" w:color="auto" w:fill="FFFF00"/>
            <w:tcMar>
              <w:left w:w="115" w:type="dxa"/>
              <w:right w:w="115" w:type="dxa"/>
            </w:tcMar>
            <w:vAlign w:val="center"/>
          </w:tcPr>
          <w:p w14:paraId="38CF88A7" w14:textId="77777777" w:rsidR="003F0EEA" w:rsidRDefault="003F0EEA">
            <w:pPr>
              <w:rPr>
                <w:rFonts w:ascii="Arial" w:eastAsia="Arial" w:hAnsi="Arial" w:cs="Arial"/>
                <w:color w:val="000000"/>
                <w:sz w:val="16"/>
              </w:rPr>
            </w:pPr>
          </w:p>
        </w:tc>
        <w:tc>
          <w:tcPr>
            <w:tcW w:w="930" w:type="dxa"/>
            <w:tcBorders>
              <w:top w:val="single" w:sz="6" w:space="0" w:color="000000"/>
              <w:left w:val="nil"/>
              <w:bottom w:val="single" w:sz="6" w:space="0" w:color="000000"/>
              <w:right w:val="nil"/>
              <w:tl2br w:val="nil"/>
              <w:tr2bl w:val="nil"/>
            </w:tcBorders>
            <w:shd w:val="clear" w:color="auto" w:fill="FFFFFF"/>
            <w:tcMar>
              <w:left w:w="115" w:type="dxa"/>
              <w:right w:w="115" w:type="dxa"/>
            </w:tcMar>
            <w:vAlign w:val="center"/>
          </w:tcPr>
          <w:p w14:paraId="0CBA44FD" w14:textId="77777777" w:rsidR="003F0EEA" w:rsidRDefault="003F0EEA">
            <w:pPr>
              <w:rPr>
                <w:rFonts w:ascii="Arial" w:eastAsia="Arial" w:hAnsi="Arial" w:cs="Arial"/>
                <w:color w:val="000000"/>
                <w:sz w:val="16"/>
              </w:rPr>
            </w:pPr>
          </w:p>
        </w:tc>
      </w:tr>
      <w:tr w:rsidR="00724034" w14:paraId="16899D81" w14:textId="77777777">
        <w:trPr>
          <w:trHeight w:val="225"/>
        </w:trPr>
        <w:tc>
          <w:tcPr>
            <w:tcW w:w="2805" w:type="dxa"/>
            <w:tcBorders>
              <w:top w:val="nil"/>
              <w:left w:val="nil"/>
              <w:bottom w:val="nil"/>
              <w:right w:val="nil"/>
              <w:tl2br w:val="nil"/>
              <w:tr2bl w:val="nil"/>
            </w:tcBorders>
            <w:shd w:val="clear" w:color="auto" w:fill="FFFFFF"/>
            <w:tcMar>
              <w:left w:w="115" w:type="dxa"/>
              <w:right w:w="115" w:type="dxa"/>
            </w:tcMar>
            <w:vAlign w:val="center"/>
          </w:tcPr>
          <w:p w14:paraId="3FB00415" w14:textId="77777777" w:rsidR="003F0EEA" w:rsidRDefault="00FB7D0B">
            <w:pPr>
              <w:rPr>
                <w:rFonts w:ascii="Arial" w:eastAsia="Arial" w:hAnsi="Arial" w:cs="Arial"/>
                <w:color w:val="000000"/>
                <w:sz w:val="16"/>
              </w:rPr>
            </w:pPr>
            <w:r>
              <w:rPr>
                <w:rFonts w:ascii="Arial" w:eastAsia="Arial" w:hAnsi="Arial" w:cs="Arial"/>
                <w:b/>
                <w:color w:val="000000"/>
                <w:sz w:val="16"/>
              </w:rPr>
              <w:t>Portfolio Total</w:t>
            </w:r>
          </w:p>
        </w:tc>
        <w:tc>
          <w:tcPr>
            <w:tcW w:w="930" w:type="dxa"/>
            <w:tcBorders>
              <w:top w:val="single" w:sz="6" w:space="0" w:color="000000"/>
              <w:left w:val="nil"/>
              <w:bottom w:val="single" w:sz="6" w:space="0" w:color="000000"/>
              <w:right w:val="nil"/>
              <w:tl2br w:val="nil"/>
              <w:tr2bl w:val="nil"/>
            </w:tcBorders>
            <w:shd w:val="clear" w:color="auto" w:fill="FFFFFF"/>
            <w:tcMar>
              <w:left w:w="115" w:type="dxa"/>
              <w:right w:w="115" w:type="dxa"/>
            </w:tcMar>
            <w:vAlign w:val="bottom"/>
          </w:tcPr>
          <w:p w14:paraId="5E997C9C" w14:textId="77777777" w:rsidR="003F0EEA" w:rsidRDefault="00FB7D0B">
            <w:pPr>
              <w:jc w:val="right"/>
              <w:rPr>
                <w:rFonts w:ascii="Arial" w:eastAsia="Arial" w:hAnsi="Arial" w:cs="Arial"/>
                <w:b/>
                <w:color w:val="000000"/>
                <w:sz w:val="16"/>
              </w:rPr>
            </w:pPr>
            <w:r>
              <w:rPr>
                <w:rFonts w:ascii="Arial" w:eastAsia="Arial" w:hAnsi="Arial" w:cs="Arial"/>
                <w:b/>
                <w:color w:val="000000"/>
                <w:sz w:val="16"/>
              </w:rPr>
              <w:t xml:space="preserve"> 447.1 </w:t>
            </w:r>
          </w:p>
        </w:tc>
        <w:tc>
          <w:tcPr>
            <w:tcW w:w="930" w:type="dxa"/>
            <w:tcBorders>
              <w:top w:val="single" w:sz="6" w:space="0" w:color="000000"/>
              <w:left w:val="nil"/>
              <w:bottom w:val="single" w:sz="6" w:space="0" w:color="000000"/>
              <w:right w:val="nil"/>
              <w:tl2br w:val="nil"/>
              <w:tr2bl w:val="nil"/>
            </w:tcBorders>
            <w:shd w:val="clear" w:color="auto" w:fill="FFFF00"/>
            <w:tcMar>
              <w:left w:w="115" w:type="dxa"/>
              <w:right w:w="115" w:type="dxa"/>
            </w:tcMar>
            <w:vAlign w:val="bottom"/>
          </w:tcPr>
          <w:p w14:paraId="414E447D" w14:textId="77777777" w:rsidR="003F0EEA" w:rsidRDefault="00FB7D0B">
            <w:pPr>
              <w:jc w:val="right"/>
              <w:rPr>
                <w:rFonts w:ascii="Arial" w:eastAsia="Arial" w:hAnsi="Arial" w:cs="Arial"/>
                <w:b/>
                <w:color w:val="000000"/>
                <w:sz w:val="16"/>
              </w:rPr>
            </w:pPr>
            <w:r>
              <w:rPr>
                <w:rFonts w:ascii="Arial" w:eastAsia="Arial" w:hAnsi="Arial" w:cs="Arial"/>
                <w:b/>
                <w:color w:val="000000"/>
                <w:sz w:val="16"/>
              </w:rPr>
              <w:t xml:space="preserve"> 21.1 </w:t>
            </w:r>
          </w:p>
        </w:tc>
        <w:tc>
          <w:tcPr>
            <w:tcW w:w="930" w:type="dxa"/>
            <w:tcBorders>
              <w:top w:val="single" w:sz="6" w:space="0" w:color="000000"/>
              <w:left w:val="nil"/>
              <w:bottom w:val="single" w:sz="6" w:space="0" w:color="000000"/>
              <w:right w:val="nil"/>
              <w:tl2br w:val="nil"/>
              <w:tr2bl w:val="nil"/>
            </w:tcBorders>
            <w:shd w:val="clear" w:color="auto" w:fill="FFFFFF"/>
            <w:tcMar>
              <w:left w:w="115" w:type="dxa"/>
              <w:right w:w="115" w:type="dxa"/>
            </w:tcMar>
            <w:vAlign w:val="bottom"/>
          </w:tcPr>
          <w:p w14:paraId="72A644C0" w14:textId="77777777" w:rsidR="003F0EEA" w:rsidRDefault="00FB7D0B">
            <w:pPr>
              <w:jc w:val="right"/>
              <w:rPr>
                <w:rFonts w:ascii="Arial" w:eastAsia="Arial" w:hAnsi="Arial" w:cs="Arial"/>
                <w:b/>
                <w:color w:val="000000"/>
                <w:sz w:val="16"/>
              </w:rPr>
            </w:pPr>
            <w:r>
              <w:rPr>
                <w:rFonts w:ascii="Arial" w:eastAsia="Arial" w:hAnsi="Arial" w:cs="Arial"/>
                <w:b/>
                <w:color w:val="000000"/>
                <w:sz w:val="16"/>
              </w:rPr>
              <w:t xml:space="preserve"> 11,869.6 </w:t>
            </w:r>
          </w:p>
        </w:tc>
        <w:tc>
          <w:tcPr>
            <w:tcW w:w="930" w:type="dxa"/>
            <w:tcBorders>
              <w:top w:val="single" w:sz="6" w:space="0" w:color="000000"/>
              <w:left w:val="nil"/>
              <w:bottom w:val="single" w:sz="6" w:space="0" w:color="000000"/>
              <w:right w:val="nil"/>
              <w:tl2br w:val="nil"/>
              <w:tr2bl w:val="nil"/>
            </w:tcBorders>
            <w:shd w:val="clear" w:color="auto" w:fill="FFFF00"/>
            <w:tcMar>
              <w:left w:w="115" w:type="dxa"/>
              <w:right w:w="115" w:type="dxa"/>
            </w:tcMar>
            <w:vAlign w:val="bottom"/>
          </w:tcPr>
          <w:p w14:paraId="6FA875AE" w14:textId="77777777" w:rsidR="003F0EEA" w:rsidRDefault="00FB7D0B">
            <w:pPr>
              <w:jc w:val="right"/>
              <w:rPr>
                <w:rFonts w:ascii="Arial" w:eastAsia="Arial" w:hAnsi="Arial" w:cs="Arial"/>
                <w:b/>
                <w:color w:val="000000"/>
                <w:sz w:val="16"/>
              </w:rPr>
            </w:pPr>
            <w:r>
              <w:rPr>
                <w:rFonts w:ascii="Arial" w:eastAsia="Arial" w:hAnsi="Arial" w:cs="Arial"/>
                <w:b/>
                <w:color w:val="000000"/>
                <w:sz w:val="16"/>
              </w:rPr>
              <w:t xml:space="preserve"> 68.6 </w:t>
            </w:r>
          </w:p>
        </w:tc>
        <w:tc>
          <w:tcPr>
            <w:tcW w:w="930" w:type="dxa"/>
            <w:tcBorders>
              <w:top w:val="single" w:sz="6" w:space="0" w:color="000000"/>
              <w:left w:val="nil"/>
              <w:bottom w:val="single" w:sz="6" w:space="0" w:color="000000"/>
              <w:right w:val="nil"/>
              <w:tl2br w:val="nil"/>
              <w:tr2bl w:val="nil"/>
            </w:tcBorders>
            <w:shd w:val="clear" w:color="auto" w:fill="FFFFFF"/>
            <w:tcMar>
              <w:left w:w="115" w:type="dxa"/>
              <w:right w:w="115" w:type="dxa"/>
            </w:tcMar>
            <w:vAlign w:val="bottom"/>
          </w:tcPr>
          <w:p w14:paraId="2CB77ED6" w14:textId="77777777" w:rsidR="003F0EEA" w:rsidRDefault="00FB7D0B">
            <w:pPr>
              <w:jc w:val="right"/>
              <w:rPr>
                <w:rFonts w:ascii="Arial" w:eastAsia="Arial" w:hAnsi="Arial" w:cs="Arial"/>
                <w:b/>
                <w:color w:val="000000"/>
                <w:sz w:val="16"/>
              </w:rPr>
            </w:pPr>
            <w:r>
              <w:rPr>
                <w:rFonts w:ascii="Arial" w:eastAsia="Arial" w:hAnsi="Arial" w:cs="Arial"/>
                <w:b/>
                <w:color w:val="000000"/>
                <w:sz w:val="16"/>
              </w:rPr>
              <w:t xml:space="preserve"> 12,406.4 </w:t>
            </w:r>
          </w:p>
        </w:tc>
      </w:tr>
    </w:tbl>
    <w:p w14:paraId="386C1576" w14:textId="77777777" w:rsidR="003F0EEA" w:rsidRDefault="003F0EEA">
      <w:pPr>
        <w:sectPr w:rsidR="003F0EEA">
          <w:headerReference w:type="even" r:id="rId38"/>
          <w:headerReference w:type="default" r:id="rId39"/>
          <w:pgSz w:w="10319" w:h="14572"/>
          <w:pgMar w:top="1077" w:right="1077" w:bottom="1134" w:left="1134" w:header="709" w:footer="709" w:gutter="0"/>
          <w:cols w:space="708"/>
        </w:sectPr>
      </w:pPr>
    </w:p>
    <w:p w14:paraId="2580212B" w14:textId="77777777" w:rsidR="003F0EEA" w:rsidRDefault="00FB7D0B" w:rsidP="003F0EEA">
      <w:pPr>
        <w:pStyle w:val="Part0"/>
        <w:spacing w:before="240"/>
        <w:rPr>
          <w:bCs w:val="0"/>
        </w:rPr>
      </w:pPr>
      <w:r>
        <w:rPr>
          <w:bCs w:val="0"/>
        </w:rPr>
        <w:lastRenderedPageBreak/>
        <w:t>Agency Resources and</w:t>
      </w:r>
    </w:p>
    <w:p w14:paraId="3F85252B" w14:textId="77777777" w:rsidR="003F0EEA" w:rsidRPr="00994709" w:rsidRDefault="00FB7D0B" w:rsidP="003F0EEA">
      <w:pPr>
        <w:pStyle w:val="Part0"/>
        <w:rPr>
          <w:bCs w:val="0"/>
        </w:rPr>
      </w:pPr>
      <w:r>
        <w:rPr>
          <w:bCs w:val="0"/>
        </w:rPr>
        <w:t>Planned Performance</w:t>
      </w:r>
    </w:p>
    <w:p w14:paraId="71EFC573" w14:textId="77777777" w:rsidR="003F0EEA" w:rsidRDefault="003F0EEA" w:rsidP="003F0EEA">
      <w:pPr>
        <w:pStyle w:val="TOC10"/>
        <w:rPr>
          <w:noProof/>
        </w:rPr>
      </w:pPr>
    </w:p>
    <w:p w14:paraId="1676BD06" w14:textId="77777777" w:rsidR="003F0EEA" w:rsidRDefault="00FB7D0B" w:rsidP="003F0EEA">
      <w:pPr>
        <w:pStyle w:val="TOC10"/>
        <w:rPr>
          <w:noProof/>
        </w:rPr>
      </w:pPr>
      <w:r>
        <w:rPr>
          <w:noProof/>
        </w:rPr>
        <w:t>Department of Veterans' Affairs</w:t>
      </w:r>
      <w:r>
        <w:rPr>
          <w:noProof/>
        </w:rPr>
        <w:tab/>
        <w:t>11</w:t>
      </w:r>
    </w:p>
    <w:p w14:paraId="643E468D" w14:textId="77777777" w:rsidR="003F0EEA" w:rsidRDefault="00FB7D0B" w:rsidP="003F0EEA">
      <w:pPr>
        <w:pStyle w:val="TOC10"/>
        <w:rPr>
          <w:noProof/>
        </w:rPr>
      </w:pPr>
      <w:r>
        <w:rPr>
          <w:noProof/>
        </w:rPr>
        <w:t>Australian War Memorial</w:t>
      </w:r>
      <w:r>
        <w:rPr>
          <w:noProof/>
        </w:rPr>
        <w:tab/>
        <w:t>95</w:t>
      </w:r>
    </w:p>
    <w:p w14:paraId="442571FA" w14:textId="77777777" w:rsidR="003F0EEA" w:rsidRDefault="003F0EEA" w:rsidP="003F0EEA">
      <w:pPr>
        <w:pStyle w:val="Normal45"/>
        <w:rPr>
          <w:rFonts w:ascii="Calibri" w:eastAsia="Calibri" w:hAnsi="Calibri"/>
          <w:lang w:eastAsia="en-AU"/>
        </w:rPr>
      </w:pPr>
    </w:p>
    <w:p w14:paraId="6B926D18" w14:textId="77777777" w:rsidR="003F0EEA" w:rsidRPr="00A3560D" w:rsidRDefault="003F0EEA" w:rsidP="003F0EEA">
      <w:pPr>
        <w:pStyle w:val="Normal45"/>
        <w:rPr>
          <w:rFonts w:ascii="Calibri" w:eastAsia="Calibri" w:hAnsi="Calibri"/>
          <w:lang w:eastAsia="en-AU"/>
        </w:rPr>
      </w:pPr>
    </w:p>
    <w:p w14:paraId="6B70136C" w14:textId="77777777" w:rsidR="003F0EEA" w:rsidRPr="009C45A2" w:rsidRDefault="003F0EEA" w:rsidP="003F0EEA">
      <w:pPr>
        <w:pStyle w:val="Normal45"/>
        <w:rPr>
          <w:rFonts w:ascii="Calibri" w:eastAsia="Calibri" w:hAnsi="Calibri"/>
          <w:lang w:eastAsia="en-AU"/>
        </w:rPr>
      </w:pPr>
    </w:p>
    <w:p w14:paraId="45A6110B" w14:textId="77777777" w:rsidR="003F0EEA" w:rsidRDefault="003F0EEA" w:rsidP="003F0EEA">
      <w:pPr>
        <w:pStyle w:val="Normal45"/>
        <w:rPr>
          <w:rFonts w:ascii="Calibri" w:eastAsia="Calibri" w:hAnsi="Calibri"/>
          <w:lang w:eastAsia="en-AU"/>
        </w:rPr>
      </w:pPr>
    </w:p>
    <w:p w14:paraId="0EE8A1C0" w14:textId="77777777" w:rsidR="003F0EEA" w:rsidRDefault="003F0EEA" w:rsidP="003F0EEA">
      <w:pPr>
        <w:pStyle w:val="Normal45"/>
        <w:rPr>
          <w:rFonts w:ascii="Calibri" w:eastAsia="Calibri" w:hAnsi="Calibri"/>
          <w:lang w:eastAsia="en-AU"/>
        </w:rPr>
      </w:pPr>
    </w:p>
    <w:p w14:paraId="0D91F28F" w14:textId="77777777" w:rsidR="003F0EEA" w:rsidRDefault="003F0EEA" w:rsidP="003F0EEA">
      <w:pPr>
        <w:pStyle w:val="Normal45"/>
        <w:rPr>
          <w:rFonts w:ascii="Calibri" w:eastAsia="Calibri" w:hAnsi="Calibri"/>
          <w:lang w:eastAsia="en-AU"/>
        </w:rPr>
      </w:pPr>
    </w:p>
    <w:p w14:paraId="33130715" w14:textId="77777777" w:rsidR="003F0EEA" w:rsidRPr="006E633F" w:rsidRDefault="003F0EEA" w:rsidP="003F0EEA">
      <w:pPr>
        <w:pStyle w:val="Normal45"/>
        <w:rPr>
          <w:rFonts w:ascii="Calibri" w:eastAsia="Calibri" w:hAnsi="Calibri"/>
          <w:lang w:eastAsia="en-AU"/>
        </w:rPr>
      </w:pPr>
    </w:p>
    <w:p w14:paraId="7C036DC4" w14:textId="77777777" w:rsidR="003F0EEA" w:rsidRDefault="003F0EEA">
      <w:pPr>
        <w:rPr>
          <w:rFonts w:cs="Times New Roman"/>
        </w:rPr>
        <w:sectPr w:rsidR="003F0EEA">
          <w:headerReference w:type="even" r:id="rId40"/>
          <w:headerReference w:type="default" r:id="rId41"/>
          <w:footerReference w:type="even" r:id="rId42"/>
          <w:footerReference w:type="default" r:id="rId43"/>
          <w:pgSz w:w="10319" w:h="14572"/>
          <w:pgMar w:top="1077" w:right="1077" w:bottom="1134" w:left="1134" w:header="709" w:footer="709" w:gutter="0"/>
          <w:cols w:space="708"/>
        </w:sectPr>
      </w:pPr>
    </w:p>
    <w:p w14:paraId="2A9700CD" w14:textId="77777777" w:rsidR="003F0EEA" w:rsidRPr="00E25338" w:rsidRDefault="00FB7D0B">
      <w:pPr>
        <w:pStyle w:val="Normal48"/>
        <w:rPr>
          <w:color w:val="FFFFFF"/>
        </w:rPr>
      </w:pPr>
      <w:r>
        <w:rPr>
          <w:color w:val="FFFFFF"/>
        </w:rPr>
        <w:lastRenderedPageBreak/>
        <w:t>DVA</w:t>
      </w:r>
    </w:p>
    <w:p w14:paraId="7E06710A" w14:textId="77777777" w:rsidR="003F0EEA" w:rsidRPr="00E25338" w:rsidRDefault="003F0EEA">
      <w:pPr>
        <w:rPr>
          <w:rFonts w:ascii="Times New Roman" w:eastAsia="Times New Roman" w:hAnsi="Times New Roman" w:cs="Times New Roman"/>
          <w:color w:val="FFFFFF"/>
        </w:rPr>
        <w:sectPr w:rsidR="003F0EEA" w:rsidRPr="00E25338">
          <w:footerReference w:type="even" r:id="rId44"/>
          <w:footerReference w:type="default" r:id="rId45"/>
          <w:pgSz w:w="10319" w:h="14572"/>
          <w:pgMar w:top="1077" w:right="1077" w:bottom="1134" w:left="1134" w:header="709" w:footer="709" w:gutter="0"/>
          <w:cols w:space="708"/>
        </w:sectPr>
      </w:pPr>
    </w:p>
    <w:p w14:paraId="582B9227" w14:textId="77777777" w:rsidR="003F0EEA" w:rsidRDefault="003F0EEA" w:rsidP="003F0EEA">
      <w:pPr>
        <w:pStyle w:val="Department"/>
        <w:rPr>
          <w:sz w:val="48"/>
          <w:szCs w:val="48"/>
        </w:rPr>
      </w:pPr>
    </w:p>
    <w:p w14:paraId="1A92D662" w14:textId="77777777" w:rsidR="003F0EEA" w:rsidRDefault="003F0EEA" w:rsidP="003F0EEA">
      <w:pPr>
        <w:pStyle w:val="Department"/>
        <w:rPr>
          <w:sz w:val="48"/>
          <w:szCs w:val="48"/>
        </w:rPr>
      </w:pPr>
    </w:p>
    <w:p w14:paraId="0E373CE1" w14:textId="77777777" w:rsidR="003F0EEA" w:rsidRDefault="003F0EEA" w:rsidP="003F0EEA">
      <w:pPr>
        <w:pStyle w:val="Department"/>
        <w:rPr>
          <w:sz w:val="48"/>
          <w:szCs w:val="48"/>
        </w:rPr>
      </w:pPr>
    </w:p>
    <w:p w14:paraId="78273DF4" w14:textId="77777777" w:rsidR="003F0EEA" w:rsidRDefault="003F0EEA" w:rsidP="003F0EEA">
      <w:pPr>
        <w:pStyle w:val="Department"/>
        <w:rPr>
          <w:sz w:val="48"/>
          <w:szCs w:val="48"/>
        </w:rPr>
      </w:pPr>
    </w:p>
    <w:p w14:paraId="1480BF04" w14:textId="77777777" w:rsidR="003F0EEA" w:rsidRDefault="00FB7D0B" w:rsidP="003F0EEA">
      <w:pPr>
        <w:pStyle w:val="Department"/>
        <w:rPr>
          <w:rFonts w:ascii="Arial" w:hAnsi="Arial" w:cs="Arial"/>
        </w:rPr>
      </w:pPr>
      <w:r>
        <w:rPr>
          <w:rFonts w:ascii="Arial" w:hAnsi="Arial" w:cs="Arial"/>
        </w:rPr>
        <w:t xml:space="preserve">Department of Veterans’ </w:t>
      </w:r>
    </w:p>
    <w:p w14:paraId="2A2CBC38" w14:textId="77777777" w:rsidR="003F0EEA" w:rsidRDefault="00FB7D0B" w:rsidP="003F0EEA">
      <w:pPr>
        <w:pStyle w:val="Department"/>
        <w:rPr>
          <w:rFonts w:ascii="Arial" w:hAnsi="Arial" w:cs="Arial"/>
        </w:rPr>
      </w:pPr>
      <w:r>
        <w:rPr>
          <w:rFonts w:ascii="Arial" w:hAnsi="Arial" w:cs="Arial"/>
        </w:rPr>
        <w:t>Affairs</w:t>
      </w:r>
    </w:p>
    <w:p w14:paraId="113D79ED" w14:textId="77777777" w:rsidR="003F0EEA" w:rsidRDefault="003F0EEA" w:rsidP="003F0EEA">
      <w:pPr>
        <w:pStyle w:val="Department"/>
        <w:rPr>
          <w:rFonts w:ascii="Arial" w:hAnsi="Arial" w:cs="Arial"/>
        </w:rPr>
      </w:pPr>
    </w:p>
    <w:p w14:paraId="7E7B3ACE" w14:textId="77777777" w:rsidR="003F0EEA" w:rsidRDefault="003F0EEA" w:rsidP="003F0EEA">
      <w:pPr>
        <w:pStyle w:val="Department"/>
        <w:rPr>
          <w:rFonts w:ascii="Arial" w:hAnsi="Arial" w:cs="Arial"/>
        </w:rPr>
      </w:pPr>
    </w:p>
    <w:p w14:paraId="588BFC80" w14:textId="77777777" w:rsidR="003F0EEA" w:rsidRDefault="003F0EEA" w:rsidP="003F0EEA">
      <w:pPr>
        <w:pStyle w:val="Department"/>
        <w:rPr>
          <w:rFonts w:ascii="Arial" w:hAnsi="Arial" w:cs="Arial"/>
        </w:rPr>
      </w:pPr>
    </w:p>
    <w:p w14:paraId="0D62AA85" w14:textId="77777777" w:rsidR="003F0EEA" w:rsidRDefault="003F0EEA" w:rsidP="003F0EEA">
      <w:pPr>
        <w:pStyle w:val="Department"/>
        <w:rPr>
          <w:rFonts w:ascii="Arial" w:hAnsi="Arial" w:cs="Arial"/>
        </w:rPr>
      </w:pPr>
    </w:p>
    <w:p w14:paraId="1D347900" w14:textId="77777777" w:rsidR="003F0EEA" w:rsidRPr="006428B8" w:rsidRDefault="00FB7D0B" w:rsidP="003F0EEA">
      <w:pPr>
        <w:pStyle w:val="DepartmentSubtitle"/>
        <w:rPr>
          <w:rFonts w:ascii="Arial" w:hAnsi="Arial" w:cs="Arial"/>
        </w:rPr>
      </w:pPr>
      <w:r>
        <w:rPr>
          <w:rFonts w:ascii="Arial" w:hAnsi="Arial" w:cs="Arial"/>
        </w:rPr>
        <w:t>Agency Resources and Planned P</w:t>
      </w:r>
      <w:r w:rsidRPr="006428B8">
        <w:rPr>
          <w:rFonts w:ascii="Arial" w:hAnsi="Arial" w:cs="Arial"/>
        </w:rPr>
        <w:t>erformance</w:t>
      </w:r>
    </w:p>
    <w:p w14:paraId="0112AFD3" w14:textId="77777777" w:rsidR="003F0EEA" w:rsidRPr="006428B8" w:rsidRDefault="003F0EEA">
      <w:pPr>
        <w:rPr>
          <w:rFonts w:ascii="Arial" w:eastAsia="Times New Roman" w:hAnsi="Arial" w:cs="Arial"/>
        </w:rPr>
        <w:sectPr w:rsidR="003F0EEA" w:rsidRPr="006428B8">
          <w:footerReference w:type="even" r:id="rId46"/>
          <w:footerReference w:type="default" r:id="rId47"/>
          <w:pgSz w:w="10319" w:h="14572"/>
          <w:pgMar w:top="1077" w:right="1077" w:bottom="1134" w:left="1134" w:header="709" w:footer="709" w:gutter="0"/>
          <w:cols w:space="708"/>
        </w:sectPr>
      </w:pPr>
    </w:p>
    <w:p w14:paraId="44EFD551" w14:textId="77777777" w:rsidR="003F0EEA" w:rsidRPr="00584571" w:rsidRDefault="00FB7D0B" w:rsidP="00CB2EAB">
      <w:pPr>
        <w:pStyle w:val="Normal54"/>
        <w:rPr>
          <w:color w:val="FFFFFF"/>
        </w:rPr>
        <w:sectPr w:rsidR="003F0EEA" w:rsidRPr="00584571">
          <w:footerReference w:type="even" r:id="rId48"/>
          <w:footerReference w:type="default" r:id="rId49"/>
          <w:pgSz w:w="10319" w:h="14572"/>
          <w:pgMar w:top="1077" w:right="1077" w:bottom="1134" w:left="1134" w:header="709" w:footer="709" w:gutter="0"/>
          <w:cols w:space="708"/>
        </w:sectPr>
      </w:pPr>
      <w:r w:rsidRPr="00584571">
        <w:rPr>
          <w:color w:val="FFFFFF"/>
        </w:rPr>
        <w:lastRenderedPageBreak/>
        <w:t>Ia</w:t>
      </w:r>
    </w:p>
    <w:p w14:paraId="3FD76FF3" w14:textId="77777777" w:rsidR="003F0EEA" w:rsidRDefault="00FB7D0B" w:rsidP="003F0EEA">
      <w:pPr>
        <w:pStyle w:val="ContentsHeading0"/>
        <w:spacing w:before="240"/>
      </w:pPr>
      <w:r>
        <w:lastRenderedPageBreak/>
        <w:t>Department of Veterans' Affairs</w:t>
      </w:r>
    </w:p>
    <w:p w14:paraId="46EE9551" w14:textId="77777777" w:rsidR="003F0EEA" w:rsidRDefault="00FB7D0B" w:rsidP="003F0EEA">
      <w:pPr>
        <w:pStyle w:val="TOC11"/>
        <w:rPr>
          <w:rFonts w:ascii="Times New Roman" w:hAnsi="Times New Roman"/>
          <w:noProof/>
          <w:sz w:val="24"/>
          <w:szCs w:val="24"/>
        </w:rPr>
      </w:pPr>
      <w:r>
        <w:rPr>
          <w:noProof/>
        </w:rPr>
        <w:t xml:space="preserve">Section 1: Agency Overview and Resources </w:t>
      </w:r>
      <w:r>
        <w:rPr>
          <w:noProof/>
        </w:rPr>
        <w:tab/>
        <w:t>15</w:t>
      </w:r>
    </w:p>
    <w:p w14:paraId="49E32EAC" w14:textId="77777777" w:rsidR="003F0EEA" w:rsidRDefault="00FB7D0B" w:rsidP="003F0EEA">
      <w:pPr>
        <w:pStyle w:val="TOC20"/>
        <w:rPr>
          <w:rFonts w:ascii="Times New Roman" w:hAnsi="Times New Roman"/>
          <w:noProof/>
          <w:sz w:val="24"/>
          <w:szCs w:val="24"/>
        </w:rPr>
      </w:pPr>
      <w:r>
        <w:rPr>
          <w:noProof/>
        </w:rPr>
        <w:t>1.1      Strategic Direction Statement</w:t>
      </w:r>
      <w:r>
        <w:rPr>
          <w:noProof/>
        </w:rPr>
        <w:tab/>
        <w:t>15</w:t>
      </w:r>
    </w:p>
    <w:p w14:paraId="2B826C0E" w14:textId="77777777" w:rsidR="003F0EEA" w:rsidRDefault="00FB7D0B" w:rsidP="003F0EEA">
      <w:pPr>
        <w:pStyle w:val="TOC20"/>
        <w:rPr>
          <w:rFonts w:ascii="Times New Roman" w:hAnsi="Times New Roman"/>
          <w:noProof/>
          <w:sz w:val="24"/>
          <w:szCs w:val="24"/>
        </w:rPr>
      </w:pPr>
      <w:r>
        <w:rPr>
          <w:noProof/>
        </w:rPr>
        <w:t>1.2      Agency Resource Statement</w:t>
      </w:r>
      <w:r>
        <w:rPr>
          <w:noProof/>
        </w:rPr>
        <w:tab/>
        <w:t>18</w:t>
      </w:r>
    </w:p>
    <w:p w14:paraId="45781A52" w14:textId="77777777" w:rsidR="003F0EEA" w:rsidRDefault="00FB7D0B" w:rsidP="003F0EEA">
      <w:pPr>
        <w:pStyle w:val="TOC20"/>
        <w:rPr>
          <w:noProof/>
        </w:rPr>
      </w:pPr>
      <w:r>
        <w:rPr>
          <w:noProof/>
        </w:rPr>
        <w:t>1.3      Budget Measures</w:t>
      </w:r>
      <w:r>
        <w:rPr>
          <w:noProof/>
        </w:rPr>
        <w:tab/>
        <w:t>22</w:t>
      </w:r>
    </w:p>
    <w:p w14:paraId="2B968F56" w14:textId="77777777" w:rsidR="003F0EEA" w:rsidRDefault="00FB7D0B" w:rsidP="003F0EEA">
      <w:pPr>
        <w:pStyle w:val="TOC11"/>
        <w:rPr>
          <w:rFonts w:ascii="Times New Roman" w:hAnsi="Times New Roman"/>
          <w:noProof/>
          <w:sz w:val="24"/>
          <w:szCs w:val="24"/>
        </w:rPr>
      </w:pPr>
      <w:r>
        <w:rPr>
          <w:noProof/>
        </w:rPr>
        <w:t>Section 2: Outcomes and Planned Performance</w:t>
      </w:r>
      <w:r>
        <w:rPr>
          <w:noProof/>
        </w:rPr>
        <w:tab/>
        <w:t>28</w:t>
      </w:r>
    </w:p>
    <w:p w14:paraId="4A059E06" w14:textId="77777777" w:rsidR="003F0EEA" w:rsidRDefault="00FB7D0B" w:rsidP="003F0EEA">
      <w:pPr>
        <w:pStyle w:val="TOC20"/>
        <w:rPr>
          <w:rFonts w:ascii="Times New Roman" w:hAnsi="Times New Roman"/>
          <w:noProof/>
          <w:sz w:val="24"/>
          <w:szCs w:val="24"/>
        </w:rPr>
      </w:pPr>
      <w:r>
        <w:rPr>
          <w:noProof/>
        </w:rPr>
        <w:t>2.1      Outcomes and Performance Information</w:t>
      </w:r>
      <w:r>
        <w:rPr>
          <w:noProof/>
        </w:rPr>
        <w:tab/>
        <w:t>28</w:t>
      </w:r>
    </w:p>
    <w:p w14:paraId="548C2678" w14:textId="77777777" w:rsidR="003F0EEA" w:rsidRDefault="00FB7D0B" w:rsidP="003F0EEA">
      <w:pPr>
        <w:pStyle w:val="TOC11"/>
        <w:rPr>
          <w:rFonts w:ascii="Times New Roman" w:hAnsi="Times New Roman"/>
          <w:noProof/>
          <w:sz w:val="24"/>
          <w:szCs w:val="24"/>
        </w:rPr>
      </w:pPr>
      <w:r>
        <w:rPr>
          <w:noProof/>
        </w:rPr>
        <w:t>Section 3: Explanatory Tables and Budgeted Financial Statements</w:t>
      </w:r>
      <w:r>
        <w:rPr>
          <w:noProof/>
        </w:rPr>
        <w:tab/>
        <w:t>71</w:t>
      </w:r>
    </w:p>
    <w:p w14:paraId="1FAC9EB7" w14:textId="77777777" w:rsidR="003F0EEA" w:rsidRDefault="00FB7D0B" w:rsidP="003F0EEA">
      <w:pPr>
        <w:pStyle w:val="TOC20"/>
        <w:rPr>
          <w:noProof/>
        </w:rPr>
      </w:pPr>
      <w:r>
        <w:rPr>
          <w:noProof/>
        </w:rPr>
        <w:t>3.1      Explanatory Tables</w:t>
      </w:r>
      <w:r>
        <w:rPr>
          <w:noProof/>
        </w:rPr>
        <w:tab/>
        <w:t>71</w:t>
      </w:r>
    </w:p>
    <w:p w14:paraId="3C519325" w14:textId="77777777" w:rsidR="003F0EEA" w:rsidRDefault="00FB7D0B" w:rsidP="003F0EEA">
      <w:pPr>
        <w:pStyle w:val="TOC20"/>
        <w:rPr>
          <w:noProof/>
        </w:rPr>
      </w:pPr>
      <w:r>
        <w:rPr>
          <w:noProof/>
        </w:rPr>
        <w:t>3.2      Budgeted Financial Statements</w:t>
      </w:r>
      <w:r>
        <w:rPr>
          <w:noProof/>
        </w:rPr>
        <w:tab/>
        <w:t>73</w:t>
      </w:r>
    </w:p>
    <w:p w14:paraId="2086C2EB" w14:textId="77777777" w:rsidR="003F0EEA" w:rsidRDefault="003F0EEA">
      <w:pPr>
        <w:rPr>
          <w:rFonts w:cs="Times New Roman"/>
          <w:noProof/>
        </w:rPr>
        <w:sectPr w:rsidR="003F0EEA">
          <w:footerReference w:type="even" r:id="rId50"/>
          <w:footerReference w:type="default" r:id="rId51"/>
          <w:pgSz w:w="10319" w:h="14572"/>
          <w:pgMar w:top="1077" w:right="1077" w:bottom="1134" w:left="1134" w:header="709" w:footer="709" w:gutter="0"/>
          <w:cols w:space="708"/>
        </w:sectPr>
      </w:pPr>
    </w:p>
    <w:p w14:paraId="6CF067FE" w14:textId="77777777" w:rsidR="003F0EEA" w:rsidRPr="00E25338" w:rsidRDefault="00FB7D0B">
      <w:pPr>
        <w:pStyle w:val="Normal60"/>
        <w:rPr>
          <w:color w:val="FFFFFF"/>
        </w:rPr>
      </w:pPr>
      <w:r>
        <w:rPr>
          <w:color w:val="FFFFFF"/>
        </w:rPr>
        <w:lastRenderedPageBreak/>
        <w:t>DVA</w:t>
      </w:r>
    </w:p>
    <w:p w14:paraId="5DD26512" w14:textId="77777777" w:rsidR="003F0EEA" w:rsidRPr="00E25338" w:rsidRDefault="003F0EEA">
      <w:pPr>
        <w:rPr>
          <w:rFonts w:ascii="Times New Roman" w:eastAsia="Times New Roman" w:hAnsi="Times New Roman" w:cs="Times New Roman"/>
          <w:color w:val="FFFFFF"/>
        </w:rPr>
        <w:sectPr w:rsidR="003F0EEA" w:rsidRPr="00E25338">
          <w:footerReference w:type="even" r:id="rId52"/>
          <w:footerReference w:type="default" r:id="rId53"/>
          <w:pgSz w:w="10319" w:h="14572"/>
          <w:pgMar w:top="1077" w:right="1077" w:bottom="1134" w:left="1134" w:header="709" w:footer="709" w:gutter="0"/>
          <w:cols w:space="708"/>
        </w:sectPr>
      </w:pPr>
    </w:p>
    <w:p w14:paraId="6B7C4FA9" w14:textId="77777777" w:rsidR="003F0EEA" w:rsidRDefault="00FB7D0B" w:rsidP="003F0EEA">
      <w:pPr>
        <w:pStyle w:val="Heading11"/>
        <w:spacing w:before="240"/>
      </w:pPr>
      <w:r>
        <w:lastRenderedPageBreak/>
        <w:t>Department of Veterans' Affairs</w:t>
      </w:r>
    </w:p>
    <w:p w14:paraId="1B08E45B" w14:textId="77777777" w:rsidR="003F0EEA" w:rsidRPr="008D388D" w:rsidRDefault="003F0EEA" w:rsidP="003F0EEA">
      <w:pPr>
        <w:pStyle w:val="Normal63"/>
      </w:pPr>
    </w:p>
    <w:p w14:paraId="3F2D4882" w14:textId="77777777" w:rsidR="003F0EEA" w:rsidRPr="008D388D" w:rsidRDefault="00FB7D0B" w:rsidP="003F0EEA">
      <w:pPr>
        <w:pStyle w:val="Heading2"/>
      </w:pPr>
      <w:r>
        <w:t>Section 1: Agency Overview and Resources</w:t>
      </w:r>
    </w:p>
    <w:p w14:paraId="474367B6" w14:textId="77777777" w:rsidR="003F0EEA" w:rsidRDefault="00FB7D0B" w:rsidP="003F0EEA">
      <w:pPr>
        <w:pStyle w:val="Heading33"/>
      </w:pPr>
      <w:r>
        <w:t>1.1</w:t>
      </w:r>
      <w:r>
        <w:tab/>
        <w:t>Strategic Direction Statement</w:t>
      </w:r>
    </w:p>
    <w:p w14:paraId="7FEE8BB4" w14:textId="77777777" w:rsidR="003F0EEA" w:rsidRDefault="00FB7D0B" w:rsidP="003F0EEA">
      <w:pPr>
        <w:pStyle w:val="Normal63"/>
      </w:pPr>
      <w:r>
        <w:t>For more than 95 years, the Department of Veterans’ Affairs (DVA) has supported the men and women who serve or have served in defence of our nation and commemorated their service and sacrifice.</w:t>
      </w:r>
    </w:p>
    <w:p w14:paraId="7D726961" w14:textId="77777777" w:rsidR="003F0EEA" w:rsidRDefault="00FB7D0B" w:rsidP="003F0EEA">
      <w:pPr>
        <w:pStyle w:val="Normal63"/>
      </w:pPr>
      <w:r>
        <w:t>With a world leading repatriation system, DVA provides a range of programmes and financial entitlements to support the health and wellbeing of Australia’s veterans, current serving men and women, war widows and widowers, dependants and eligible members of the Australian Federal Police.</w:t>
      </w:r>
    </w:p>
    <w:p w14:paraId="2941AB25" w14:textId="77777777" w:rsidR="003F0EEA" w:rsidRDefault="00FB7D0B" w:rsidP="003F0EEA">
      <w:pPr>
        <w:pStyle w:val="Normal63"/>
      </w:pPr>
      <w:r>
        <w:t>The Government has a four-pillared approach for veterans’ affairs, which include:</w:t>
      </w:r>
    </w:p>
    <w:p w14:paraId="574F7C7D" w14:textId="77777777" w:rsidR="003F0EEA" w:rsidRDefault="00FB7D0B" w:rsidP="003F0EEA">
      <w:pPr>
        <w:pStyle w:val="ListParagraph"/>
        <w:numPr>
          <w:ilvl w:val="0"/>
          <w:numId w:val="3"/>
        </w:numPr>
      </w:pPr>
      <w:r>
        <w:t>recognition of the unique nature of military service;</w:t>
      </w:r>
    </w:p>
    <w:p w14:paraId="1F679D48" w14:textId="77777777" w:rsidR="003F0EEA" w:rsidRDefault="00FB7D0B" w:rsidP="003F0EEA">
      <w:pPr>
        <w:pStyle w:val="ListParagraph"/>
        <w:numPr>
          <w:ilvl w:val="0"/>
          <w:numId w:val="3"/>
        </w:numPr>
      </w:pPr>
      <w:r>
        <w:t>retention of a stand-alone Department of Veterans’ Affairs;</w:t>
      </w:r>
    </w:p>
    <w:p w14:paraId="65098CC6" w14:textId="77777777" w:rsidR="003F0EEA" w:rsidRDefault="00FB7D0B" w:rsidP="003F0EEA">
      <w:pPr>
        <w:pStyle w:val="ListParagraph"/>
        <w:numPr>
          <w:ilvl w:val="0"/>
          <w:numId w:val="3"/>
        </w:numPr>
      </w:pPr>
      <w:r>
        <w:t>tackling Mental Health Challenges for veterans and their families; and</w:t>
      </w:r>
    </w:p>
    <w:p w14:paraId="3A6A7BEB" w14:textId="77777777" w:rsidR="003F0EEA" w:rsidRDefault="00FB7D0B" w:rsidP="003F0EEA">
      <w:pPr>
        <w:pStyle w:val="ListParagraph"/>
        <w:numPr>
          <w:ilvl w:val="0"/>
          <w:numId w:val="3"/>
        </w:numPr>
      </w:pPr>
      <w:r>
        <w:t>supporting veterans through adequate advocacy and welfare services.</w:t>
      </w:r>
    </w:p>
    <w:p w14:paraId="2220C71B" w14:textId="77777777" w:rsidR="003F0EEA" w:rsidRDefault="00FB7D0B" w:rsidP="003F0EEA">
      <w:pPr>
        <w:pStyle w:val="Normal63"/>
      </w:pPr>
      <w:r>
        <w:t>The Department’s vision is to be a responsive and flexible organisation, efficiently delivering high quality, connected services to all generations of veterans and the wider veteran community.</w:t>
      </w:r>
    </w:p>
    <w:p w14:paraId="5E831D64" w14:textId="77777777" w:rsidR="003F0EEA" w:rsidRDefault="00FB7D0B" w:rsidP="003F0EEA">
      <w:pPr>
        <w:pStyle w:val="Normal63"/>
      </w:pPr>
      <w:r>
        <w:t xml:space="preserve">Focusing on early intervention, DVA is dedicated to helping clients, particularly contemporary veterans, to access vital support as early as possible to help with rehabilitation and recovery. </w:t>
      </w:r>
    </w:p>
    <w:p w14:paraId="670B6336" w14:textId="77777777" w:rsidR="003F0EEA" w:rsidRDefault="00FB7D0B" w:rsidP="003F0EEA">
      <w:pPr>
        <w:pStyle w:val="Normal63"/>
      </w:pPr>
      <w:r>
        <w:t>The Department recognises that its client base is unique and crosses the age spectrum – from those in their later years of life such as widows of First World War veterans, to infants of contemporary service men and women.</w:t>
      </w:r>
    </w:p>
    <w:p w14:paraId="3AE9FF4F" w14:textId="77777777" w:rsidR="003F0EEA" w:rsidRDefault="00FB7D0B" w:rsidP="003F0EEA">
      <w:pPr>
        <w:pStyle w:val="Normal63"/>
      </w:pPr>
      <w:r>
        <w:t xml:space="preserve">The challenge facing DVA is to continue to be responsive to the needs of all veterans, regardless of their age, and their families, through client-focused service delivery systems. </w:t>
      </w:r>
    </w:p>
    <w:p w14:paraId="3DF45ABB" w14:textId="77777777" w:rsidR="003F0EEA" w:rsidRDefault="00FB7D0B" w:rsidP="003F0EEA">
      <w:pPr>
        <w:pStyle w:val="Normal63"/>
      </w:pPr>
      <w:r>
        <w:t>During this Budget year, 2014-15, DVA will deliver a range of initiatives that respond to this challenge, including:</w:t>
      </w:r>
    </w:p>
    <w:p w14:paraId="62499A63" w14:textId="77777777" w:rsidR="003F0EEA" w:rsidRDefault="003F0EEA">
      <w:pPr>
        <w:rPr>
          <w:rFonts w:cs="Times New Roman"/>
        </w:rPr>
        <w:sectPr w:rsidR="003F0EEA">
          <w:footerReference w:type="even" r:id="rId54"/>
          <w:footerReference w:type="default" r:id="rId55"/>
          <w:pgSz w:w="10319" w:h="14572"/>
          <w:pgMar w:top="1077" w:right="1077" w:bottom="1134" w:left="1134" w:header="709" w:footer="709" w:gutter="0"/>
          <w:cols w:space="708"/>
        </w:sectPr>
      </w:pPr>
    </w:p>
    <w:p w14:paraId="3CB4BBBB" w14:textId="77777777" w:rsidR="003F0EEA" w:rsidRDefault="00FB7D0B" w:rsidP="003F0EEA">
      <w:pPr>
        <w:pStyle w:val="ListParagraph0"/>
        <w:numPr>
          <w:ilvl w:val="0"/>
          <w:numId w:val="4"/>
        </w:numPr>
        <w:spacing w:after="0" w:line="240" w:lineRule="auto"/>
        <w:jc w:val="left"/>
      </w:pPr>
      <w:r>
        <w:lastRenderedPageBreak/>
        <w:t>tackling the mental health challenges for veterans and their families;</w:t>
      </w:r>
    </w:p>
    <w:p w14:paraId="7C92C0C2" w14:textId="77777777" w:rsidR="003F0EEA" w:rsidRDefault="00FB7D0B" w:rsidP="003F0EEA">
      <w:pPr>
        <w:pStyle w:val="ListParagraph0"/>
        <w:numPr>
          <w:ilvl w:val="0"/>
          <w:numId w:val="4"/>
        </w:numPr>
        <w:spacing w:after="0" w:line="240" w:lineRule="auto"/>
        <w:jc w:val="left"/>
      </w:pPr>
      <w:r>
        <w:t>implementing aged care reforms alongside the Department of Social Services;</w:t>
      </w:r>
    </w:p>
    <w:p w14:paraId="24F9CBCA" w14:textId="77777777" w:rsidR="003F0EEA" w:rsidRDefault="00FB7D0B" w:rsidP="003F0EEA">
      <w:pPr>
        <w:pStyle w:val="ListParagraph0"/>
        <w:numPr>
          <w:ilvl w:val="0"/>
          <w:numId w:val="4"/>
        </w:numPr>
        <w:spacing w:after="0" w:line="240" w:lineRule="auto"/>
        <w:jc w:val="left"/>
      </w:pPr>
      <w:r>
        <w:t>developing a client-focused service delivery strategy that will provide a cohesive and national approach;</w:t>
      </w:r>
    </w:p>
    <w:p w14:paraId="1E0BBADC" w14:textId="77777777" w:rsidR="003F0EEA" w:rsidRDefault="00FB7D0B" w:rsidP="003F0EEA">
      <w:pPr>
        <w:pStyle w:val="ListParagraph0"/>
        <w:numPr>
          <w:ilvl w:val="0"/>
          <w:numId w:val="4"/>
        </w:numPr>
        <w:spacing w:after="0" w:line="240" w:lineRule="auto"/>
        <w:jc w:val="left"/>
      </w:pPr>
      <w:r>
        <w:t>investing in building a robust evidence base through collaborative research particularly with the Department of Defence;</w:t>
      </w:r>
    </w:p>
    <w:p w14:paraId="430C3F6C" w14:textId="77777777" w:rsidR="003F0EEA" w:rsidRDefault="00FB7D0B" w:rsidP="003F0EEA">
      <w:pPr>
        <w:pStyle w:val="ListParagraph0"/>
        <w:numPr>
          <w:ilvl w:val="0"/>
          <w:numId w:val="4"/>
        </w:numPr>
        <w:spacing w:after="0" w:line="240" w:lineRule="auto"/>
        <w:jc w:val="left"/>
      </w:pPr>
      <w:r>
        <w:t>investing in the capability of the Department’s resources – staff and systems;</w:t>
      </w:r>
    </w:p>
    <w:p w14:paraId="47E9E03C" w14:textId="77777777" w:rsidR="003F0EEA" w:rsidRDefault="00FB7D0B" w:rsidP="003F0EEA">
      <w:pPr>
        <w:pStyle w:val="ListParagraph0"/>
        <w:numPr>
          <w:ilvl w:val="0"/>
          <w:numId w:val="4"/>
        </w:numPr>
        <w:spacing w:after="0" w:line="240" w:lineRule="auto"/>
        <w:jc w:val="left"/>
      </w:pPr>
      <w:r>
        <w:t xml:space="preserve">continuing to expand online services available to the veteran community and to providers of services to the veteran community; </w:t>
      </w:r>
    </w:p>
    <w:p w14:paraId="724C3B01" w14:textId="77777777" w:rsidR="003F0EEA" w:rsidRDefault="00FB7D0B" w:rsidP="003F0EEA">
      <w:pPr>
        <w:pStyle w:val="ListParagraph0"/>
        <w:numPr>
          <w:ilvl w:val="0"/>
          <w:numId w:val="4"/>
        </w:numPr>
        <w:spacing w:after="0" w:line="240" w:lineRule="auto"/>
        <w:jc w:val="left"/>
      </w:pPr>
      <w:r>
        <w:t>restoring $1 million of funding per year over the forward estimates of Building Excellence in Support and Training (BEST) funding; and</w:t>
      </w:r>
    </w:p>
    <w:p w14:paraId="71809410" w14:textId="77777777" w:rsidR="003F0EEA" w:rsidRDefault="00FB7D0B" w:rsidP="003F0EEA">
      <w:pPr>
        <w:pStyle w:val="ListParagraph0"/>
        <w:numPr>
          <w:ilvl w:val="0"/>
          <w:numId w:val="4"/>
        </w:numPr>
        <w:spacing w:after="0" w:line="240" w:lineRule="auto"/>
        <w:jc w:val="left"/>
      </w:pPr>
      <w:r>
        <w:t xml:space="preserve">delivering a significant commemorative programme across the Anzac Centenary. </w:t>
      </w:r>
    </w:p>
    <w:p w14:paraId="6CBD3002" w14:textId="77777777" w:rsidR="003F0EEA" w:rsidRPr="00B341E5" w:rsidRDefault="00FB7D0B" w:rsidP="003F0EEA">
      <w:pPr>
        <w:pStyle w:val="Normal68"/>
        <w:rPr>
          <w:lang w:val="en-US"/>
        </w:rPr>
      </w:pPr>
      <w:r>
        <w:br/>
        <w:t xml:space="preserve">The Department’s strategic plan, </w:t>
      </w:r>
      <w:r w:rsidRPr="00B341E5">
        <w:rPr>
          <w:i/>
        </w:rPr>
        <w:t xml:space="preserve">DVA Towards </w:t>
      </w:r>
      <w:r w:rsidRPr="00E90181">
        <w:rPr>
          <w:i/>
        </w:rPr>
        <w:t>2020</w:t>
      </w:r>
      <w:r>
        <w:t xml:space="preserve">, provides a flexible and modern approach to developing and delivering programmes for the veteran community, </w:t>
      </w:r>
      <w:r w:rsidRPr="00B341E5">
        <w:rPr>
          <w:lang w:val="en-US"/>
        </w:rPr>
        <w:t>while also maintaining services for the older veterans.</w:t>
      </w:r>
    </w:p>
    <w:p w14:paraId="30E7A2DB" w14:textId="77777777" w:rsidR="003F0EEA" w:rsidRDefault="00FB7D0B" w:rsidP="003F0EEA">
      <w:pPr>
        <w:pStyle w:val="Normal68"/>
      </w:pPr>
      <w:r>
        <w:rPr>
          <w:bCs/>
        </w:rPr>
        <w:t>Addressing the timeliness of processing claims from the veteran community, the Department has developed a four-part action plan.  The strategies in this plan are:</w:t>
      </w:r>
    </w:p>
    <w:p w14:paraId="415F7537" w14:textId="77777777" w:rsidR="003F0EEA" w:rsidRDefault="00FB7D0B" w:rsidP="003F0EEA">
      <w:pPr>
        <w:pStyle w:val="Normal68"/>
        <w:numPr>
          <w:ilvl w:val="0"/>
          <w:numId w:val="5"/>
        </w:numPr>
        <w:spacing w:after="0" w:line="240" w:lineRule="auto"/>
        <w:jc w:val="left"/>
      </w:pPr>
      <w:r>
        <w:rPr>
          <w:bCs/>
        </w:rPr>
        <w:t>reducing work on hand;</w:t>
      </w:r>
      <w:r>
        <w:t xml:space="preserve"> </w:t>
      </w:r>
    </w:p>
    <w:p w14:paraId="062087AA" w14:textId="77777777" w:rsidR="003F0EEA" w:rsidRDefault="00FB7D0B" w:rsidP="003F0EEA">
      <w:pPr>
        <w:pStyle w:val="Normal68"/>
        <w:numPr>
          <w:ilvl w:val="0"/>
          <w:numId w:val="5"/>
        </w:numPr>
        <w:spacing w:after="0" w:line="240" w:lineRule="auto"/>
        <w:jc w:val="left"/>
      </w:pPr>
      <w:r>
        <w:rPr>
          <w:bCs/>
        </w:rPr>
        <w:t>improving client communication and engagement;</w:t>
      </w:r>
      <w:r>
        <w:t xml:space="preserve"> </w:t>
      </w:r>
    </w:p>
    <w:p w14:paraId="29013F94" w14:textId="77777777" w:rsidR="003F0EEA" w:rsidRDefault="00FB7D0B" w:rsidP="003F0EEA">
      <w:pPr>
        <w:pStyle w:val="Normal68"/>
        <w:numPr>
          <w:ilvl w:val="0"/>
          <w:numId w:val="5"/>
        </w:numPr>
        <w:spacing w:after="0" w:line="240" w:lineRule="auto"/>
        <w:jc w:val="left"/>
      </w:pPr>
      <w:r>
        <w:rPr>
          <w:bCs/>
        </w:rPr>
        <w:t>improving case management practices; and</w:t>
      </w:r>
      <w:r>
        <w:t xml:space="preserve"> </w:t>
      </w:r>
    </w:p>
    <w:p w14:paraId="2FF0DACC" w14:textId="77777777" w:rsidR="003F0EEA" w:rsidRDefault="00FB7D0B" w:rsidP="003F0EEA">
      <w:pPr>
        <w:pStyle w:val="Normal68"/>
        <w:numPr>
          <w:ilvl w:val="0"/>
          <w:numId w:val="5"/>
        </w:numPr>
        <w:spacing w:after="0" w:line="240" w:lineRule="auto"/>
        <w:jc w:val="left"/>
      </w:pPr>
      <w:r>
        <w:rPr>
          <w:bCs/>
        </w:rPr>
        <w:t>reviewing and improving business processes.</w:t>
      </w:r>
      <w:r>
        <w:t xml:space="preserve"> </w:t>
      </w:r>
    </w:p>
    <w:p w14:paraId="46068945" w14:textId="77777777" w:rsidR="003F0EEA" w:rsidRDefault="00FB7D0B" w:rsidP="003F0EEA">
      <w:pPr>
        <w:pStyle w:val="Normal68"/>
      </w:pPr>
      <w:r>
        <w:rPr>
          <w:lang w:val="en-US"/>
        </w:rPr>
        <w:br/>
      </w:r>
      <w:r>
        <w:t xml:space="preserve">DVA will continue to focus on mental health support for the veteran community as a priority. The Government provides around $166 million a year in funding for a comprehensive service system that stands ready to meet the mental health needs of the veteran and ex-service community, including the drawdown from Afghanistan. This system includes funding for online mental health information and support, GP services, psychologist and social work services, specialist psychiatric services, pharmaceuticals, posttraumatic stress disorder programmes, and in-patient and out-patient hospital treatment.  </w:t>
      </w:r>
    </w:p>
    <w:p w14:paraId="03CCE8A6" w14:textId="77777777" w:rsidR="003F0EEA" w:rsidRDefault="00FB7D0B" w:rsidP="003F0EEA">
      <w:pPr>
        <w:pStyle w:val="Normal68"/>
      </w:pPr>
      <w:r>
        <w:t xml:space="preserve">DVA will provide support for the new Prime Ministerial Advisory Council with a focus on veteran mental health.  The new Council will advise the Government on how we can continue to build on our current support and address the mental health needs of the veteran and ex-service community.  DVA will also support the implementation of the </w:t>
      </w:r>
      <w:r>
        <w:rPr>
          <w:i/>
        </w:rPr>
        <w:t>Veteran Mental Health Strategy 2013-2023</w:t>
      </w:r>
      <w:r>
        <w:t xml:space="preserve"> and the 2013 budget package </w:t>
      </w:r>
      <w:r>
        <w:rPr>
          <w:i/>
        </w:rPr>
        <w:t>Mental health services - expansion</w:t>
      </w:r>
      <w:r>
        <w:t xml:space="preserve">, worth $26.4 million over four years. </w:t>
      </w:r>
    </w:p>
    <w:p w14:paraId="6705CDD7" w14:textId="77777777" w:rsidR="003F0EEA" w:rsidRDefault="00FB7D0B" w:rsidP="003F0EEA">
      <w:pPr>
        <w:pStyle w:val="Normal68"/>
      </w:pPr>
      <w:r>
        <w:t xml:space="preserve">In conjunction with the Department of Defence, DVA will implement the final recommendations accepted by Government in its response to the Review of Military Compensation Arrangements.  </w:t>
      </w:r>
    </w:p>
    <w:p w14:paraId="64B6B161" w14:textId="77777777" w:rsidR="003F0EEA" w:rsidRDefault="00FB7D0B" w:rsidP="003F0EEA">
      <w:pPr>
        <w:pStyle w:val="Normal68"/>
        <w:autoSpaceDE w:val="0"/>
        <w:autoSpaceDN w:val="0"/>
        <w:adjustRightInd w:val="0"/>
      </w:pPr>
      <w:r>
        <w:t xml:space="preserve">In 2014-15, the Anzac Centenary commences.  The Department is responsible for managing the coordination and implementation of the Government’s multi-faceted Anzac Centenary </w:t>
      </w:r>
      <w:r>
        <w:lastRenderedPageBreak/>
        <w:t xml:space="preserve">Programme.  The Centenary has two related themes.  First, marking 100 years since Australia’s involvement in the First World War.  Second, providing the opportunity to honour, better understand and reflect upon the service and sacrifice of our servicemen and women, past and present, in all wars, conflicts, peacekeeping and other deployments in which Australians have been involved.  This also includes recognition of the contribution of those on the home front. </w:t>
      </w:r>
    </w:p>
    <w:p w14:paraId="4FBFD53E" w14:textId="77777777" w:rsidR="003F0EEA" w:rsidRDefault="00FB7D0B" w:rsidP="003F0EEA">
      <w:pPr>
        <w:pStyle w:val="Normal68"/>
      </w:pPr>
      <w:r>
        <w:t xml:space="preserve">The Department will also continue to enhance the way veterans and their dependants communicate with the Department through improved channels and online services, providing clients with more choice and convenience. </w:t>
      </w:r>
    </w:p>
    <w:p w14:paraId="0D6480CC" w14:textId="77777777" w:rsidR="003F0EEA" w:rsidRDefault="00FB7D0B" w:rsidP="003F0EEA">
      <w:pPr>
        <w:pStyle w:val="Normal68"/>
      </w:pPr>
      <w:r>
        <w:t xml:space="preserve">Importantly, DVA will continue to engage with the ex-service and veteran community, to ensure services remain client focussed, responsive and connected. </w:t>
      </w:r>
    </w:p>
    <w:p w14:paraId="63ADBA58" w14:textId="77777777" w:rsidR="003F0EEA" w:rsidRDefault="003F0EEA">
      <w:pPr>
        <w:rPr>
          <w:rFonts w:eastAsia="Times New Roman" w:cs="Times New Roman"/>
        </w:rPr>
        <w:sectPr w:rsidR="003F0EEA">
          <w:headerReference w:type="even" r:id="rId56"/>
          <w:headerReference w:type="default" r:id="rId57"/>
          <w:footerReference w:type="even" r:id="rId58"/>
          <w:footerReference w:type="default" r:id="rId59"/>
          <w:pgSz w:w="10319" w:h="14572"/>
          <w:pgMar w:top="1077" w:right="1077" w:bottom="1134" w:left="1134" w:header="709" w:footer="709" w:gutter="0"/>
          <w:cols w:space="708"/>
        </w:sectPr>
      </w:pPr>
    </w:p>
    <w:p w14:paraId="1AD2B091" w14:textId="77777777" w:rsidR="003F0EEA" w:rsidRDefault="00FB7D0B" w:rsidP="003F0EEA">
      <w:pPr>
        <w:pStyle w:val="Heading34"/>
      </w:pPr>
      <w:r>
        <w:lastRenderedPageBreak/>
        <w:t>1.2</w:t>
      </w:r>
      <w:r>
        <w:tab/>
        <w:t>Agency Resource Statement</w:t>
      </w:r>
    </w:p>
    <w:p w14:paraId="1FCC620D" w14:textId="77777777" w:rsidR="003F0EEA" w:rsidRDefault="00FB7D0B" w:rsidP="003F0EEA">
      <w:pPr>
        <w:pStyle w:val="Normal69"/>
        <w:jc w:val="both"/>
        <w:rPr>
          <w:rFonts w:ascii="Book Antiqua" w:hAnsi="Book Antiqua"/>
          <w:sz w:val="20"/>
        </w:rPr>
      </w:pPr>
      <w:r>
        <w:rPr>
          <w:rFonts w:ascii="Book Antiqua" w:hAnsi="Book Antiqua"/>
          <w:sz w:val="20"/>
        </w:rPr>
        <w:t>Table 1.1 shows the total resources from all sources. The table summarises how resources will be applied by outcome and by administered and departmental classification.</w:t>
      </w:r>
    </w:p>
    <w:p w14:paraId="7EDA491D" w14:textId="77777777" w:rsidR="003F0EEA" w:rsidRDefault="00FB7D0B" w:rsidP="003F0EEA">
      <w:pPr>
        <w:pStyle w:val="TableHeadingcontinued"/>
        <w:spacing w:before="0" w:after="0"/>
        <w:rPr>
          <w:rFonts w:ascii="Arial" w:hAnsi="Arial" w:cs="Arial"/>
        </w:rPr>
      </w:pPr>
      <w:r>
        <w:rPr>
          <w:rFonts w:ascii="Arial" w:hAnsi="Arial" w:cs="Arial"/>
        </w:rPr>
        <w:t>Table 1.1: Department of Veterans' Affairs Resource Statement – Budget</w:t>
      </w:r>
    </w:p>
    <w:p w14:paraId="1733C6D0" w14:textId="77777777" w:rsidR="003F0EEA" w:rsidRPr="009C295F" w:rsidRDefault="00FB7D0B" w:rsidP="003F0EEA">
      <w:pPr>
        <w:pStyle w:val="TableHeadingcontinued"/>
        <w:spacing w:before="0" w:after="0"/>
        <w:rPr>
          <w:rFonts w:ascii="Arial" w:hAnsi="Arial" w:cs="Arial"/>
        </w:rPr>
      </w:pPr>
      <w:r>
        <w:t>Estimates for 2014-15 as at Budget May 2014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0"/>
        <w:gridCol w:w="250"/>
        <w:gridCol w:w="2520"/>
        <w:gridCol w:w="360"/>
        <w:gridCol w:w="1230"/>
        <w:gridCol w:w="330"/>
        <w:gridCol w:w="1080"/>
        <w:gridCol w:w="300"/>
        <w:gridCol w:w="1080"/>
        <w:gridCol w:w="1230"/>
      </w:tblGrid>
      <w:tr w:rsidR="00724034" w14:paraId="0D851CC6" w14:textId="77777777">
        <w:trPr>
          <w:trHeight w:val="210"/>
        </w:trPr>
        <w:tc>
          <w:tcPr>
            <w:tcW w:w="180"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385ED4FB" w14:textId="77777777" w:rsidR="003F0EEA" w:rsidRPr="009C295F" w:rsidRDefault="003F0EEA">
            <w:pPr>
              <w:rPr>
                <w:rFonts w:ascii="Arial" w:hAnsi="Arial" w:cs="Arial"/>
              </w:rPr>
            </w:pPr>
          </w:p>
        </w:tc>
        <w:tc>
          <w:tcPr>
            <w:tcW w:w="180"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291D7C99" w14:textId="77777777" w:rsidR="003F0EEA" w:rsidRPr="009C295F" w:rsidRDefault="003F0EEA">
            <w:pPr>
              <w:rPr>
                <w:rFonts w:ascii="Arial" w:eastAsia="Arial" w:hAnsi="Arial" w:cs="Arial"/>
                <w:color w:val="000000"/>
                <w:sz w:val="16"/>
              </w:rPr>
            </w:pPr>
          </w:p>
        </w:tc>
        <w:tc>
          <w:tcPr>
            <w:tcW w:w="2520"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6B41C422" w14:textId="77777777" w:rsidR="003F0EEA" w:rsidRPr="009C295F" w:rsidRDefault="003F0EEA">
            <w:pPr>
              <w:rPr>
                <w:rFonts w:ascii="Arial" w:eastAsia="Arial" w:hAnsi="Arial" w:cs="Arial"/>
                <w:color w:val="000000"/>
                <w:sz w:val="16"/>
              </w:rPr>
            </w:pPr>
          </w:p>
        </w:tc>
        <w:tc>
          <w:tcPr>
            <w:tcW w:w="360"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550E424A" w14:textId="77777777" w:rsidR="003F0EEA" w:rsidRPr="009C295F" w:rsidRDefault="003F0EEA">
            <w:pPr>
              <w:jc w:val="center"/>
              <w:rPr>
                <w:rFonts w:ascii="Arial" w:eastAsia="Arial" w:hAnsi="Arial" w:cs="Arial"/>
                <w:b/>
                <w:color w:val="000000"/>
                <w:sz w:val="16"/>
                <w:vertAlign w:val="superscript"/>
              </w:rPr>
            </w:pPr>
          </w:p>
        </w:tc>
        <w:tc>
          <w:tcPr>
            <w:tcW w:w="1230"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1F11E721" w14:textId="77777777" w:rsidR="003F0EEA" w:rsidRPr="009C295F" w:rsidRDefault="00FB7D0B">
            <w:pPr>
              <w:jc w:val="right"/>
              <w:rPr>
                <w:rFonts w:ascii="Arial" w:eastAsia="Arial" w:hAnsi="Arial" w:cs="Arial"/>
                <w:b/>
                <w:color w:val="000000"/>
                <w:sz w:val="16"/>
                <w:vertAlign w:val="superscript"/>
              </w:rPr>
            </w:pPr>
            <w:r w:rsidRPr="009C295F">
              <w:rPr>
                <w:rFonts w:ascii="Arial" w:eastAsia="Arial" w:hAnsi="Arial" w:cs="Arial"/>
                <w:color w:val="000000"/>
                <w:sz w:val="16"/>
              </w:rPr>
              <w:t>Estimate</w:t>
            </w:r>
          </w:p>
        </w:tc>
        <w:tc>
          <w:tcPr>
            <w:tcW w:w="330"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0CDC9317" w14:textId="77777777" w:rsidR="003F0EEA" w:rsidRPr="009C295F" w:rsidRDefault="003F0EEA">
            <w:pPr>
              <w:rPr>
                <w:rFonts w:ascii="Arial" w:eastAsia="Arial" w:hAnsi="Arial" w:cs="Arial"/>
                <w:color w:val="000000"/>
                <w:sz w:val="16"/>
              </w:rPr>
            </w:pPr>
          </w:p>
        </w:tc>
        <w:tc>
          <w:tcPr>
            <w:tcW w:w="1080"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05039261" w14:textId="77777777" w:rsidR="003F0EEA" w:rsidRPr="009C295F" w:rsidRDefault="00FB7D0B">
            <w:pPr>
              <w:jc w:val="right"/>
              <w:rPr>
                <w:rFonts w:ascii="Arial" w:eastAsia="Arial" w:hAnsi="Arial" w:cs="Arial"/>
                <w:color w:val="000000"/>
                <w:sz w:val="16"/>
              </w:rPr>
            </w:pPr>
            <w:r w:rsidRPr="009C295F">
              <w:rPr>
                <w:rFonts w:ascii="Arial" w:eastAsia="Arial" w:hAnsi="Arial" w:cs="Arial"/>
                <w:color w:val="000000"/>
                <w:sz w:val="16"/>
              </w:rPr>
              <w:t>Proposed</w:t>
            </w:r>
          </w:p>
        </w:tc>
        <w:tc>
          <w:tcPr>
            <w:tcW w:w="300"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75134F7A" w14:textId="77777777" w:rsidR="003F0EEA" w:rsidRPr="009C295F" w:rsidRDefault="00FB7D0B">
            <w:pPr>
              <w:rPr>
                <w:rFonts w:ascii="Arial" w:eastAsia="Arial" w:hAnsi="Arial" w:cs="Arial"/>
                <w:color w:val="000000"/>
                <w:sz w:val="16"/>
              </w:rPr>
            </w:pPr>
            <w:r w:rsidRPr="009C295F">
              <w:rPr>
                <w:rFonts w:ascii="Arial" w:eastAsia="Arial" w:hAnsi="Arial" w:cs="Arial"/>
                <w:color w:val="000000"/>
                <w:sz w:val="16"/>
              </w:rPr>
              <w:t xml:space="preserve"> </w:t>
            </w:r>
          </w:p>
        </w:tc>
        <w:tc>
          <w:tcPr>
            <w:tcW w:w="1080" w:type="dxa"/>
            <w:tcBorders>
              <w:top w:val="single" w:sz="6" w:space="0" w:color="000000"/>
              <w:left w:val="nil"/>
              <w:bottom w:val="nil"/>
              <w:right w:val="nil"/>
              <w:tl2br w:val="nil"/>
              <w:tr2bl w:val="nil"/>
            </w:tcBorders>
            <w:shd w:val="clear" w:color="auto" w:fill="FFFF00"/>
            <w:tcMar>
              <w:left w:w="115" w:type="dxa"/>
              <w:right w:w="115" w:type="dxa"/>
            </w:tcMar>
            <w:vAlign w:val="bottom"/>
          </w:tcPr>
          <w:p w14:paraId="00DCFD06" w14:textId="77777777" w:rsidR="003F0EEA" w:rsidRPr="009C295F" w:rsidRDefault="00FB7D0B">
            <w:pPr>
              <w:jc w:val="right"/>
              <w:rPr>
                <w:rFonts w:ascii="Arial" w:eastAsia="Arial" w:hAnsi="Arial" w:cs="Arial"/>
                <w:color w:val="000000"/>
                <w:sz w:val="16"/>
              </w:rPr>
            </w:pPr>
            <w:r w:rsidRPr="009C295F">
              <w:rPr>
                <w:rFonts w:ascii="Arial" w:eastAsia="Arial" w:hAnsi="Arial" w:cs="Arial"/>
                <w:color w:val="000000"/>
                <w:sz w:val="16"/>
              </w:rPr>
              <w:t xml:space="preserve">Total </w:t>
            </w:r>
          </w:p>
        </w:tc>
        <w:tc>
          <w:tcPr>
            <w:tcW w:w="1230"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38E392D7" w14:textId="77777777" w:rsidR="003F0EEA" w:rsidRPr="009C295F" w:rsidRDefault="00FB7D0B">
            <w:pPr>
              <w:jc w:val="right"/>
              <w:rPr>
                <w:rFonts w:ascii="Arial" w:eastAsia="Arial" w:hAnsi="Arial" w:cs="Arial"/>
                <w:color w:val="000000"/>
                <w:sz w:val="16"/>
              </w:rPr>
            </w:pPr>
            <w:r w:rsidRPr="009C295F">
              <w:rPr>
                <w:rFonts w:ascii="Arial" w:eastAsia="Arial" w:hAnsi="Arial" w:cs="Arial"/>
                <w:color w:val="000000"/>
                <w:sz w:val="16"/>
              </w:rPr>
              <w:t>Actual</w:t>
            </w:r>
          </w:p>
        </w:tc>
      </w:tr>
      <w:tr w:rsidR="00724034" w14:paraId="488523D5" w14:textId="77777777">
        <w:trPr>
          <w:trHeight w:val="210"/>
        </w:trPr>
        <w:tc>
          <w:tcPr>
            <w:tcW w:w="180" w:type="dxa"/>
            <w:tcBorders>
              <w:top w:val="nil"/>
              <w:left w:val="nil"/>
              <w:bottom w:val="nil"/>
              <w:right w:val="nil"/>
              <w:tl2br w:val="nil"/>
              <w:tr2bl w:val="nil"/>
            </w:tcBorders>
            <w:shd w:val="clear" w:color="auto" w:fill="FFFFFF"/>
            <w:tcMar>
              <w:left w:w="115" w:type="dxa"/>
              <w:right w:w="115" w:type="dxa"/>
            </w:tcMar>
            <w:vAlign w:val="bottom"/>
          </w:tcPr>
          <w:p w14:paraId="46AD8EA1" w14:textId="77777777" w:rsidR="003F0EEA" w:rsidRPr="009C295F" w:rsidRDefault="003F0EEA">
            <w:pPr>
              <w:rPr>
                <w:rFonts w:ascii="Arial" w:eastAsia="Arial" w:hAnsi="Arial" w:cs="Arial"/>
                <w:color w:val="000000"/>
                <w:sz w:val="16"/>
              </w:rPr>
            </w:pPr>
          </w:p>
        </w:tc>
        <w:tc>
          <w:tcPr>
            <w:tcW w:w="180" w:type="dxa"/>
            <w:tcBorders>
              <w:top w:val="nil"/>
              <w:left w:val="nil"/>
              <w:bottom w:val="nil"/>
              <w:right w:val="nil"/>
              <w:tl2br w:val="nil"/>
              <w:tr2bl w:val="nil"/>
            </w:tcBorders>
            <w:shd w:val="clear" w:color="auto" w:fill="FFFFFF"/>
            <w:tcMar>
              <w:left w:w="115" w:type="dxa"/>
              <w:right w:w="115" w:type="dxa"/>
            </w:tcMar>
            <w:vAlign w:val="bottom"/>
          </w:tcPr>
          <w:p w14:paraId="0B4580E5" w14:textId="77777777" w:rsidR="003F0EEA" w:rsidRPr="009C295F" w:rsidRDefault="003F0EEA">
            <w:pPr>
              <w:rPr>
                <w:rFonts w:ascii="Arial" w:eastAsia="Arial" w:hAnsi="Arial" w:cs="Arial"/>
                <w:color w:val="000000"/>
                <w:sz w:val="16"/>
              </w:rPr>
            </w:pPr>
          </w:p>
        </w:tc>
        <w:tc>
          <w:tcPr>
            <w:tcW w:w="2520" w:type="dxa"/>
            <w:tcBorders>
              <w:top w:val="nil"/>
              <w:left w:val="nil"/>
              <w:bottom w:val="nil"/>
              <w:right w:val="nil"/>
              <w:tl2br w:val="nil"/>
              <w:tr2bl w:val="nil"/>
            </w:tcBorders>
            <w:shd w:val="clear" w:color="auto" w:fill="FFFFFF"/>
            <w:tcMar>
              <w:left w:w="115" w:type="dxa"/>
              <w:right w:w="115" w:type="dxa"/>
            </w:tcMar>
            <w:vAlign w:val="bottom"/>
          </w:tcPr>
          <w:p w14:paraId="046E92D5" w14:textId="77777777" w:rsidR="003F0EEA" w:rsidRPr="009C295F" w:rsidRDefault="003F0EEA">
            <w:pPr>
              <w:rPr>
                <w:rFonts w:ascii="Arial" w:eastAsia="Arial" w:hAnsi="Arial" w:cs="Arial"/>
                <w:color w:val="000000"/>
                <w:sz w:val="16"/>
              </w:rPr>
            </w:pPr>
          </w:p>
        </w:tc>
        <w:tc>
          <w:tcPr>
            <w:tcW w:w="360" w:type="dxa"/>
            <w:tcBorders>
              <w:top w:val="nil"/>
              <w:left w:val="nil"/>
              <w:bottom w:val="nil"/>
              <w:right w:val="nil"/>
              <w:tl2br w:val="nil"/>
              <w:tr2bl w:val="nil"/>
            </w:tcBorders>
            <w:shd w:val="clear" w:color="auto" w:fill="FFFFFF"/>
            <w:tcMar>
              <w:left w:w="115" w:type="dxa"/>
              <w:right w:w="115" w:type="dxa"/>
            </w:tcMar>
            <w:vAlign w:val="bottom"/>
          </w:tcPr>
          <w:p w14:paraId="2103AD5A" w14:textId="77777777" w:rsidR="003F0EEA" w:rsidRPr="009C295F" w:rsidRDefault="003F0EEA">
            <w:pPr>
              <w:jc w:val="center"/>
              <w:rPr>
                <w:rFonts w:ascii="Arial" w:eastAsia="Arial" w:hAnsi="Arial" w:cs="Arial"/>
                <w:b/>
                <w:color w:val="000000"/>
                <w:sz w:val="16"/>
                <w:vertAlign w:val="superscript"/>
              </w:rPr>
            </w:pPr>
          </w:p>
        </w:tc>
        <w:tc>
          <w:tcPr>
            <w:tcW w:w="1230" w:type="dxa"/>
            <w:tcBorders>
              <w:top w:val="nil"/>
              <w:left w:val="nil"/>
              <w:bottom w:val="nil"/>
              <w:right w:val="nil"/>
              <w:tl2br w:val="nil"/>
              <w:tr2bl w:val="nil"/>
            </w:tcBorders>
            <w:shd w:val="clear" w:color="auto" w:fill="FFFFFF"/>
            <w:tcMar>
              <w:left w:w="115" w:type="dxa"/>
              <w:right w:w="115" w:type="dxa"/>
            </w:tcMar>
            <w:vAlign w:val="bottom"/>
          </w:tcPr>
          <w:p w14:paraId="251E2379" w14:textId="77777777" w:rsidR="003F0EEA" w:rsidRPr="009C295F" w:rsidRDefault="00FB7D0B">
            <w:pPr>
              <w:jc w:val="right"/>
              <w:rPr>
                <w:rFonts w:ascii="Arial" w:eastAsia="Arial" w:hAnsi="Arial" w:cs="Arial"/>
                <w:b/>
                <w:color w:val="000000"/>
                <w:sz w:val="16"/>
                <w:vertAlign w:val="superscript"/>
              </w:rPr>
            </w:pPr>
            <w:r w:rsidRPr="009C295F">
              <w:rPr>
                <w:rFonts w:ascii="Arial" w:eastAsia="Arial" w:hAnsi="Arial" w:cs="Arial"/>
                <w:color w:val="000000"/>
                <w:sz w:val="16"/>
              </w:rPr>
              <w:t>of prior</w:t>
            </w:r>
          </w:p>
        </w:tc>
        <w:tc>
          <w:tcPr>
            <w:tcW w:w="330" w:type="dxa"/>
            <w:tcBorders>
              <w:top w:val="nil"/>
              <w:left w:val="nil"/>
              <w:bottom w:val="nil"/>
              <w:right w:val="nil"/>
              <w:tl2br w:val="nil"/>
              <w:tr2bl w:val="nil"/>
            </w:tcBorders>
            <w:shd w:val="clear" w:color="auto" w:fill="FFFFFF"/>
            <w:tcMar>
              <w:left w:w="115" w:type="dxa"/>
              <w:right w:w="115" w:type="dxa"/>
            </w:tcMar>
            <w:vAlign w:val="center"/>
          </w:tcPr>
          <w:p w14:paraId="1043A144" w14:textId="77777777" w:rsidR="003F0EEA" w:rsidRPr="009C295F" w:rsidRDefault="00FB7D0B">
            <w:pPr>
              <w:jc w:val="center"/>
              <w:rPr>
                <w:rFonts w:ascii="Arial" w:eastAsia="Arial" w:hAnsi="Arial" w:cs="Arial"/>
                <w:color w:val="000000"/>
                <w:sz w:val="16"/>
              </w:rPr>
            </w:pPr>
            <w:r w:rsidRPr="009C295F">
              <w:rPr>
                <w:rFonts w:ascii="Arial" w:eastAsia="Arial" w:hAnsi="Arial" w:cs="Arial"/>
                <w:color w:val="000000"/>
                <w:sz w:val="16"/>
              </w:rPr>
              <w:t>+</w:t>
            </w:r>
          </w:p>
        </w:tc>
        <w:tc>
          <w:tcPr>
            <w:tcW w:w="1080" w:type="dxa"/>
            <w:tcBorders>
              <w:top w:val="nil"/>
              <w:left w:val="nil"/>
              <w:bottom w:val="nil"/>
              <w:right w:val="nil"/>
              <w:tl2br w:val="nil"/>
              <w:tr2bl w:val="nil"/>
            </w:tcBorders>
            <w:shd w:val="clear" w:color="auto" w:fill="FFFFFF"/>
            <w:tcMar>
              <w:left w:w="115" w:type="dxa"/>
              <w:right w:w="115" w:type="dxa"/>
            </w:tcMar>
            <w:vAlign w:val="bottom"/>
          </w:tcPr>
          <w:p w14:paraId="0D8E6C0C" w14:textId="77777777" w:rsidR="003F0EEA" w:rsidRPr="009C295F" w:rsidRDefault="00FB7D0B">
            <w:pPr>
              <w:jc w:val="right"/>
              <w:rPr>
                <w:rFonts w:ascii="Arial" w:eastAsia="Arial" w:hAnsi="Arial" w:cs="Arial"/>
                <w:color w:val="000000"/>
                <w:sz w:val="16"/>
              </w:rPr>
            </w:pPr>
            <w:r w:rsidRPr="009C295F">
              <w:rPr>
                <w:rFonts w:ascii="Arial" w:eastAsia="Arial" w:hAnsi="Arial" w:cs="Arial"/>
                <w:color w:val="000000"/>
                <w:sz w:val="16"/>
              </w:rPr>
              <w:t>at Budget</w:t>
            </w:r>
          </w:p>
        </w:tc>
        <w:tc>
          <w:tcPr>
            <w:tcW w:w="300" w:type="dxa"/>
            <w:tcBorders>
              <w:top w:val="nil"/>
              <w:left w:val="nil"/>
              <w:bottom w:val="nil"/>
              <w:right w:val="nil"/>
              <w:tl2br w:val="nil"/>
              <w:tr2bl w:val="nil"/>
            </w:tcBorders>
            <w:shd w:val="clear" w:color="auto" w:fill="FFFFFF"/>
            <w:tcMar>
              <w:left w:w="115" w:type="dxa"/>
              <w:right w:w="115" w:type="dxa"/>
            </w:tcMar>
            <w:vAlign w:val="bottom"/>
          </w:tcPr>
          <w:p w14:paraId="2BD3C0A2" w14:textId="77777777" w:rsidR="003F0EEA" w:rsidRPr="009C295F" w:rsidRDefault="00FB7D0B">
            <w:pPr>
              <w:jc w:val="center"/>
              <w:rPr>
                <w:rFonts w:ascii="Arial" w:eastAsia="Arial" w:hAnsi="Arial" w:cs="Arial"/>
                <w:color w:val="000000"/>
                <w:sz w:val="16"/>
              </w:rPr>
            </w:pPr>
            <w:r w:rsidRPr="009C295F">
              <w:rPr>
                <w:rFonts w:ascii="Arial" w:eastAsia="Arial" w:hAnsi="Arial" w:cs="Arial"/>
                <w:color w:val="000000"/>
                <w:sz w:val="16"/>
              </w:rPr>
              <w:t>=</w:t>
            </w:r>
          </w:p>
        </w:tc>
        <w:tc>
          <w:tcPr>
            <w:tcW w:w="1080" w:type="dxa"/>
            <w:tcBorders>
              <w:top w:val="nil"/>
              <w:left w:val="nil"/>
              <w:bottom w:val="nil"/>
              <w:right w:val="nil"/>
              <w:tl2br w:val="nil"/>
              <w:tr2bl w:val="nil"/>
            </w:tcBorders>
            <w:shd w:val="clear" w:color="auto" w:fill="FFFF00"/>
            <w:tcMar>
              <w:left w:w="115" w:type="dxa"/>
              <w:right w:w="115" w:type="dxa"/>
            </w:tcMar>
            <w:vAlign w:val="bottom"/>
          </w:tcPr>
          <w:p w14:paraId="7591CA22" w14:textId="77777777" w:rsidR="003F0EEA" w:rsidRPr="009C295F" w:rsidRDefault="00FB7D0B">
            <w:pPr>
              <w:jc w:val="right"/>
              <w:rPr>
                <w:rFonts w:ascii="Arial" w:eastAsia="Arial" w:hAnsi="Arial" w:cs="Arial"/>
                <w:color w:val="000000"/>
                <w:sz w:val="16"/>
              </w:rPr>
            </w:pPr>
            <w:r w:rsidRPr="009C295F">
              <w:rPr>
                <w:rFonts w:ascii="Arial" w:eastAsia="Arial" w:hAnsi="Arial" w:cs="Arial"/>
                <w:color w:val="000000"/>
                <w:sz w:val="16"/>
              </w:rPr>
              <w:t>estimate</w:t>
            </w:r>
          </w:p>
        </w:tc>
        <w:tc>
          <w:tcPr>
            <w:tcW w:w="1230" w:type="dxa"/>
            <w:tcBorders>
              <w:top w:val="nil"/>
              <w:left w:val="nil"/>
              <w:bottom w:val="nil"/>
              <w:right w:val="nil"/>
              <w:tl2br w:val="nil"/>
              <w:tr2bl w:val="nil"/>
            </w:tcBorders>
            <w:shd w:val="clear" w:color="auto" w:fill="FFFFFF"/>
            <w:tcMar>
              <w:left w:w="115" w:type="dxa"/>
              <w:right w:w="115" w:type="dxa"/>
            </w:tcMar>
            <w:vAlign w:val="bottom"/>
          </w:tcPr>
          <w:p w14:paraId="75047EE6" w14:textId="77777777" w:rsidR="003F0EEA" w:rsidRPr="009C295F" w:rsidRDefault="00FB7D0B">
            <w:pPr>
              <w:jc w:val="right"/>
              <w:rPr>
                <w:rFonts w:ascii="Arial" w:eastAsia="Arial" w:hAnsi="Arial" w:cs="Arial"/>
                <w:color w:val="000000"/>
                <w:sz w:val="16"/>
              </w:rPr>
            </w:pPr>
            <w:r w:rsidRPr="009C295F">
              <w:rPr>
                <w:rFonts w:ascii="Arial" w:eastAsia="Arial" w:hAnsi="Arial" w:cs="Arial"/>
                <w:color w:val="000000"/>
                <w:sz w:val="16"/>
              </w:rPr>
              <w:t>available</w:t>
            </w:r>
          </w:p>
        </w:tc>
      </w:tr>
      <w:tr w:rsidR="00724034" w14:paraId="3626A48C" w14:textId="77777777">
        <w:trPr>
          <w:trHeight w:val="210"/>
        </w:trPr>
        <w:tc>
          <w:tcPr>
            <w:tcW w:w="180" w:type="dxa"/>
            <w:tcBorders>
              <w:top w:val="nil"/>
              <w:left w:val="nil"/>
              <w:bottom w:val="nil"/>
              <w:right w:val="nil"/>
              <w:tl2br w:val="nil"/>
              <w:tr2bl w:val="nil"/>
            </w:tcBorders>
            <w:shd w:val="clear" w:color="auto" w:fill="FFFFFF"/>
            <w:tcMar>
              <w:left w:w="115" w:type="dxa"/>
              <w:right w:w="115" w:type="dxa"/>
            </w:tcMar>
            <w:vAlign w:val="bottom"/>
          </w:tcPr>
          <w:p w14:paraId="36BC79F9" w14:textId="77777777" w:rsidR="003F0EEA" w:rsidRPr="009C295F" w:rsidRDefault="003F0EEA">
            <w:pPr>
              <w:rPr>
                <w:rFonts w:ascii="Arial" w:eastAsia="Arial" w:hAnsi="Arial" w:cs="Arial"/>
                <w:color w:val="000000"/>
                <w:sz w:val="16"/>
              </w:rPr>
            </w:pPr>
          </w:p>
        </w:tc>
        <w:tc>
          <w:tcPr>
            <w:tcW w:w="180" w:type="dxa"/>
            <w:tcBorders>
              <w:top w:val="nil"/>
              <w:left w:val="nil"/>
              <w:bottom w:val="nil"/>
              <w:right w:val="nil"/>
              <w:tl2br w:val="nil"/>
              <w:tr2bl w:val="nil"/>
            </w:tcBorders>
            <w:shd w:val="clear" w:color="auto" w:fill="FFFFFF"/>
            <w:tcMar>
              <w:left w:w="115" w:type="dxa"/>
              <w:right w:w="115" w:type="dxa"/>
            </w:tcMar>
            <w:vAlign w:val="bottom"/>
          </w:tcPr>
          <w:p w14:paraId="77A005E4" w14:textId="77777777" w:rsidR="003F0EEA" w:rsidRPr="009C295F" w:rsidRDefault="003F0EEA">
            <w:pPr>
              <w:rPr>
                <w:rFonts w:ascii="Arial" w:eastAsia="Arial" w:hAnsi="Arial" w:cs="Arial"/>
                <w:color w:val="000000"/>
                <w:sz w:val="16"/>
              </w:rPr>
            </w:pPr>
          </w:p>
        </w:tc>
        <w:tc>
          <w:tcPr>
            <w:tcW w:w="2520" w:type="dxa"/>
            <w:tcBorders>
              <w:top w:val="nil"/>
              <w:left w:val="nil"/>
              <w:bottom w:val="nil"/>
              <w:right w:val="nil"/>
              <w:tl2br w:val="nil"/>
              <w:tr2bl w:val="nil"/>
            </w:tcBorders>
            <w:shd w:val="clear" w:color="auto" w:fill="FFFFFF"/>
            <w:tcMar>
              <w:left w:w="115" w:type="dxa"/>
              <w:right w:w="115" w:type="dxa"/>
            </w:tcMar>
            <w:vAlign w:val="bottom"/>
          </w:tcPr>
          <w:p w14:paraId="510F041F" w14:textId="77777777" w:rsidR="003F0EEA" w:rsidRPr="009C295F" w:rsidRDefault="003F0EEA">
            <w:pPr>
              <w:rPr>
                <w:rFonts w:ascii="Arial" w:eastAsia="Arial" w:hAnsi="Arial" w:cs="Arial"/>
                <w:color w:val="000000"/>
                <w:sz w:val="16"/>
              </w:rPr>
            </w:pPr>
          </w:p>
        </w:tc>
        <w:tc>
          <w:tcPr>
            <w:tcW w:w="360" w:type="dxa"/>
            <w:tcBorders>
              <w:top w:val="nil"/>
              <w:left w:val="nil"/>
              <w:bottom w:val="nil"/>
              <w:right w:val="nil"/>
              <w:tl2br w:val="nil"/>
              <w:tr2bl w:val="nil"/>
            </w:tcBorders>
            <w:shd w:val="clear" w:color="auto" w:fill="FFFFFF"/>
            <w:tcMar>
              <w:left w:w="115" w:type="dxa"/>
              <w:right w:w="115" w:type="dxa"/>
            </w:tcMar>
            <w:vAlign w:val="bottom"/>
          </w:tcPr>
          <w:p w14:paraId="481E02B0" w14:textId="77777777" w:rsidR="003F0EEA" w:rsidRPr="009C295F" w:rsidRDefault="003F0EEA">
            <w:pPr>
              <w:jc w:val="center"/>
              <w:rPr>
                <w:rFonts w:ascii="Arial" w:eastAsia="Arial" w:hAnsi="Arial" w:cs="Arial"/>
                <w:b/>
                <w:color w:val="000000"/>
                <w:sz w:val="16"/>
                <w:vertAlign w:val="superscript"/>
              </w:rPr>
            </w:pPr>
          </w:p>
        </w:tc>
        <w:tc>
          <w:tcPr>
            <w:tcW w:w="1230" w:type="dxa"/>
            <w:tcBorders>
              <w:top w:val="nil"/>
              <w:left w:val="nil"/>
              <w:bottom w:val="nil"/>
              <w:right w:val="nil"/>
              <w:tl2br w:val="nil"/>
              <w:tr2bl w:val="nil"/>
            </w:tcBorders>
            <w:shd w:val="clear" w:color="auto" w:fill="FFFFFF"/>
            <w:tcMar>
              <w:left w:w="115" w:type="dxa"/>
              <w:right w:w="115" w:type="dxa"/>
            </w:tcMar>
            <w:vAlign w:val="bottom"/>
          </w:tcPr>
          <w:p w14:paraId="4259E338" w14:textId="77777777" w:rsidR="003F0EEA" w:rsidRPr="009C295F" w:rsidRDefault="00FB7D0B">
            <w:pPr>
              <w:jc w:val="right"/>
              <w:rPr>
                <w:rFonts w:ascii="Arial" w:eastAsia="Arial" w:hAnsi="Arial" w:cs="Arial"/>
                <w:b/>
                <w:color w:val="000000"/>
                <w:sz w:val="16"/>
                <w:vertAlign w:val="superscript"/>
              </w:rPr>
            </w:pPr>
            <w:r w:rsidRPr="009C295F">
              <w:rPr>
                <w:rFonts w:ascii="Arial" w:eastAsia="Arial" w:hAnsi="Arial" w:cs="Arial"/>
                <w:color w:val="000000"/>
                <w:sz w:val="16"/>
              </w:rPr>
              <w:t>year amounts</w:t>
            </w:r>
          </w:p>
        </w:tc>
        <w:tc>
          <w:tcPr>
            <w:tcW w:w="330" w:type="dxa"/>
            <w:tcBorders>
              <w:top w:val="nil"/>
              <w:left w:val="nil"/>
              <w:bottom w:val="nil"/>
              <w:right w:val="nil"/>
              <w:tl2br w:val="nil"/>
              <w:tr2bl w:val="nil"/>
            </w:tcBorders>
            <w:shd w:val="clear" w:color="auto" w:fill="FFFFFF"/>
            <w:tcMar>
              <w:left w:w="115" w:type="dxa"/>
              <w:right w:w="115" w:type="dxa"/>
            </w:tcMar>
            <w:vAlign w:val="bottom"/>
          </w:tcPr>
          <w:p w14:paraId="0D6EA78D" w14:textId="77777777" w:rsidR="003F0EEA" w:rsidRPr="009C295F" w:rsidRDefault="00FB7D0B">
            <w:pPr>
              <w:rPr>
                <w:rFonts w:ascii="Arial" w:eastAsia="Arial" w:hAnsi="Arial" w:cs="Arial"/>
                <w:color w:val="000000"/>
                <w:sz w:val="16"/>
              </w:rPr>
            </w:pPr>
            <w:r w:rsidRPr="009C295F">
              <w:rPr>
                <w:rFonts w:ascii="Arial" w:eastAsia="Arial" w:hAnsi="Arial" w:cs="Arial"/>
                <w:color w:val="000000"/>
                <w:sz w:val="16"/>
              </w:rPr>
              <w:t xml:space="preserve"> </w:t>
            </w:r>
          </w:p>
        </w:tc>
        <w:tc>
          <w:tcPr>
            <w:tcW w:w="1080" w:type="dxa"/>
            <w:tcBorders>
              <w:top w:val="nil"/>
              <w:left w:val="nil"/>
              <w:bottom w:val="nil"/>
              <w:right w:val="nil"/>
              <w:tl2br w:val="nil"/>
              <w:tr2bl w:val="nil"/>
            </w:tcBorders>
            <w:shd w:val="clear" w:color="auto" w:fill="FFFFFF"/>
            <w:tcMar>
              <w:left w:w="115" w:type="dxa"/>
              <w:right w:w="115" w:type="dxa"/>
            </w:tcMar>
            <w:vAlign w:val="bottom"/>
          </w:tcPr>
          <w:p w14:paraId="691E7548" w14:textId="77777777" w:rsidR="003F0EEA" w:rsidRPr="009C295F" w:rsidRDefault="003F0EEA">
            <w:pPr>
              <w:jc w:val="right"/>
              <w:rPr>
                <w:rFonts w:ascii="Arial" w:eastAsia="Arial" w:hAnsi="Arial" w:cs="Arial"/>
                <w:color w:val="000000"/>
                <w:sz w:val="16"/>
              </w:rPr>
            </w:pPr>
          </w:p>
        </w:tc>
        <w:tc>
          <w:tcPr>
            <w:tcW w:w="300" w:type="dxa"/>
            <w:tcBorders>
              <w:top w:val="nil"/>
              <w:left w:val="nil"/>
              <w:bottom w:val="nil"/>
              <w:right w:val="nil"/>
              <w:tl2br w:val="nil"/>
              <w:tr2bl w:val="nil"/>
            </w:tcBorders>
            <w:shd w:val="clear" w:color="auto" w:fill="FFFFFF"/>
            <w:tcMar>
              <w:left w:w="115" w:type="dxa"/>
              <w:right w:w="115" w:type="dxa"/>
            </w:tcMar>
            <w:vAlign w:val="bottom"/>
          </w:tcPr>
          <w:p w14:paraId="508639AD" w14:textId="77777777" w:rsidR="003F0EEA" w:rsidRPr="009C295F" w:rsidRDefault="00FB7D0B">
            <w:pPr>
              <w:rPr>
                <w:rFonts w:ascii="Arial" w:eastAsia="Arial" w:hAnsi="Arial" w:cs="Arial"/>
                <w:color w:val="000000"/>
                <w:sz w:val="16"/>
              </w:rPr>
            </w:pPr>
            <w:r w:rsidRPr="009C295F">
              <w:rPr>
                <w:rFonts w:ascii="Arial" w:eastAsia="Arial" w:hAnsi="Arial" w:cs="Arial"/>
                <w:color w:val="000000"/>
                <w:sz w:val="16"/>
              </w:rPr>
              <w:t xml:space="preserve"> </w:t>
            </w:r>
          </w:p>
        </w:tc>
        <w:tc>
          <w:tcPr>
            <w:tcW w:w="1080" w:type="dxa"/>
            <w:tcBorders>
              <w:top w:val="nil"/>
              <w:left w:val="nil"/>
              <w:bottom w:val="nil"/>
              <w:right w:val="nil"/>
              <w:tl2br w:val="nil"/>
              <w:tr2bl w:val="nil"/>
            </w:tcBorders>
            <w:shd w:val="clear" w:color="auto" w:fill="FFFF00"/>
            <w:tcMar>
              <w:left w:w="115" w:type="dxa"/>
              <w:right w:w="115" w:type="dxa"/>
            </w:tcMar>
            <w:vAlign w:val="bottom"/>
          </w:tcPr>
          <w:p w14:paraId="485F789D" w14:textId="77777777" w:rsidR="003F0EEA" w:rsidRPr="009C295F" w:rsidRDefault="003F0EEA">
            <w:pPr>
              <w:jc w:val="right"/>
              <w:rPr>
                <w:rFonts w:ascii="Arial" w:eastAsia="Arial" w:hAnsi="Arial" w:cs="Arial"/>
                <w:color w:val="000000"/>
                <w:sz w:val="16"/>
              </w:rPr>
            </w:pPr>
          </w:p>
        </w:tc>
        <w:tc>
          <w:tcPr>
            <w:tcW w:w="1230" w:type="dxa"/>
            <w:tcBorders>
              <w:top w:val="nil"/>
              <w:left w:val="nil"/>
              <w:bottom w:val="nil"/>
              <w:right w:val="nil"/>
              <w:tl2br w:val="nil"/>
              <w:tr2bl w:val="nil"/>
            </w:tcBorders>
            <w:shd w:val="clear" w:color="auto" w:fill="FFFFFF"/>
            <w:tcMar>
              <w:left w:w="115" w:type="dxa"/>
              <w:right w:w="115" w:type="dxa"/>
            </w:tcMar>
            <w:vAlign w:val="bottom"/>
          </w:tcPr>
          <w:p w14:paraId="11A305EA" w14:textId="77777777" w:rsidR="003F0EEA" w:rsidRPr="009C295F" w:rsidRDefault="00FB7D0B">
            <w:pPr>
              <w:jc w:val="right"/>
              <w:rPr>
                <w:rFonts w:ascii="Arial" w:eastAsia="Arial" w:hAnsi="Arial" w:cs="Arial"/>
                <w:color w:val="000000"/>
                <w:sz w:val="16"/>
              </w:rPr>
            </w:pPr>
            <w:r w:rsidRPr="009C295F">
              <w:rPr>
                <w:rFonts w:ascii="Arial" w:eastAsia="Arial" w:hAnsi="Arial" w:cs="Arial"/>
                <w:color w:val="000000"/>
                <w:sz w:val="16"/>
              </w:rPr>
              <w:t>appropriation</w:t>
            </w:r>
          </w:p>
        </w:tc>
      </w:tr>
      <w:tr w:rsidR="00724034" w14:paraId="0C4A4B40" w14:textId="77777777">
        <w:trPr>
          <w:trHeight w:val="210"/>
        </w:trPr>
        <w:tc>
          <w:tcPr>
            <w:tcW w:w="180" w:type="dxa"/>
            <w:tcBorders>
              <w:top w:val="nil"/>
              <w:left w:val="nil"/>
              <w:bottom w:val="nil"/>
              <w:right w:val="nil"/>
              <w:tl2br w:val="nil"/>
              <w:tr2bl w:val="nil"/>
            </w:tcBorders>
            <w:shd w:val="clear" w:color="auto" w:fill="FFFFFF"/>
            <w:tcMar>
              <w:left w:w="115" w:type="dxa"/>
              <w:right w:w="115" w:type="dxa"/>
            </w:tcMar>
            <w:vAlign w:val="bottom"/>
          </w:tcPr>
          <w:p w14:paraId="03834DBA" w14:textId="77777777" w:rsidR="003F0EEA" w:rsidRPr="009C295F" w:rsidRDefault="003F0EEA">
            <w:pPr>
              <w:rPr>
                <w:rFonts w:ascii="Arial" w:eastAsia="Arial" w:hAnsi="Arial" w:cs="Arial"/>
                <w:color w:val="000000"/>
                <w:sz w:val="16"/>
              </w:rPr>
            </w:pPr>
          </w:p>
        </w:tc>
        <w:tc>
          <w:tcPr>
            <w:tcW w:w="180" w:type="dxa"/>
            <w:tcBorders>
              <w:top w:val="nil"/>
              <w:left w:val="nil"/>
              <w:bottom w:val="nil"/>
              <w:right w:val="nil"/>
              <w:tl2br w:val="nil"/>
              <w:tr2bl w:val="nil"/>
            </w:tcBorders>
            <w:shd w:val="clear" w:color="auto" w:fill="FFFFFF"/>
            <w:tcMar>
              <w:left w:w="115" w:type="dxa"/>
              <w:right w:w="115" w:type="dxa"/>
            </w:tcMar>
            <w:vAlign w:val="bottom"/>
          </w:tcPr>
          <w:p w14:paraId="5F499B41" w14:textId="77777777" w:rsidR="003F0EEA" w:rsidRPr="009C295F" w:rsidRDefault="003F0EEA">
            <w:pPr>
              <w:rPr>
                <w:rFonts w:ascii="Arial" w:eastAsia="Arial" w:hAnsi="Arial" w:cs="Arial"/>
                <w:color w:val="000000"/>
                <w:sz w:val="16"/>
              </w:rPr>
            </w:pPr>
          </w:p>
        </w:tc>
        <w:tc>
          <w:tcPr>
            <w:tcW w:w="2520" w:type="dxa"/>
            <w:tcBorders>
              <w:top w:val="nil"/>
              <w:left w:val="nil"/>
              <w:bottom w:val="nil"/>
              <w:right w:val="nil"/>
              <w:tl2br w:val="nil"/>
              <w:tr2bl w:val="nil"/>
            </w:tcBorders>
            <w:shd w:val="clear" w:color="auto" w:fill="FFFFFF"/>
            <w:tcMar>
              <w:left w:w="115" w:type="dxa"/>
              <w:right w:w="115" w:type="dxa"/>
            </w:tcMar>
            <w:vAlign w:val="bottom"/>
          </w:tcPr>
          <w:p w14:paraId="25D5FFC8" w14:textId="77777777" w:rsidR="003F0EEA" w:rsidRPr="009C295F" w:rsidRDefault="003F0EEA">
            <w:pPr>
              <w:rPr>
                <w:rFonts w:ascii="Arial" w:eastAsia="Arial" w:hAnsi="Arial" w:cs="Arial"/>
                <w:color w:val="000000"/>
                <w:sz w:val="16"/>
              </w:rPr>
            </w:pPr>
          </w:p>
        </w:tc>
        <w:tc>
          <w:tcPr>
            <w:tcW w:w="360" w:type="dxa"/>
            <w:tcBorders>
              <w:top w:val="nil"/>
              <w:left w:val="nil"/>
              <w:bottom w:val="nil"/>
              <w:right w:val="nil"/>
              <w:tl2br w:val="nil"/>
              <w:tr2bl w:val="nil"/>
            </w:tcBorders>
            <w:shd w:val="clear" w:color="auto" w:fill="FFFFFF"/>
            <w:tcMar>
              <w:left w:w="115" w:type="dxa"/>
              <w:right w:w="115" w:type="dxa"/>
            </w:tcMar>
            <w:vAlign w:val="bottom"/>
          </w:tcPr>
          <w:p w14:paraId="1DC2561A" w14:textId="77777777" w:rsidR="003F0EEA" w:rsidRPr="009C295F" w:rsidRDefault="003F0EEA">
            <w:pPr>
              <w:jc w:val="center"/>
              <w:rPr>
                <w:rFonts w:ascii="Arial" w:eastAsia="Arial" w:hAnsi="Arial" w:cs="Arial"/>
                <w:b/>
                <w:color w:val="000000"/>
                <w:sz w:val="16"/>
                <w:vertAlign w:val="superscript"/>
              </w:rPr>
            </w:pPr>
          </w:p>
        </w:tc>
        <w:tc>
          <w:tcPr>
            <w:tcW w:w="1230" w:type="dxa"/>
            <w:tcBorders>
              <w:top w:val="nil"/>
              <w:left w:val="nil"/>
              <w:bottom w:val="nil"/>
              <w:right w:val="nil"/>
              <w:tl2br w:val="nil"/>
              <w:tr2bl w:val="nil"/>
            </w:tcBorders>
            <w:shd w:val="clear" w:color="auto" w:fill="FFFFFF"/>
            <w:tcMar>
              <w:left w:w="115" w:type="dxa"/>
              <w:right w:w="115" w:type="dxa"/>
            </w:tcMar>
            <w:vAlign w:val="bottom"/>
          </w:tcPr>
          <w:p w14:paraId="436DF0FF" w14:textId="77777777" w:rsidR="003F0EEA" w:rsidRPr="009C295F" w:rsidRDefault="00FB7D0B">
            <w:pPr>
              <w:jc w:val="right"/>
              <w:rPr>
                <w:rFonts w:ascii="Arial" w:eastAsia="Arial" w:hAnsi="Arial" w:cs="Arial"/>
                <w:b/>
                <w:color w:val="000000"/>
                <w:sz w:val="16"/>
                <w:vertAlign w:val="superscript"/>
              </w:rPr>
            </w:pPr>
            <w:r w:rsidRPr="009C295F">
              <w:rPr>
                <w:rFonts w:ascii="Arial" w:eastAsia="Arial" w:hAnsi="Arial" w:cs="Arial"/>
                <w:color w:val="000000"/>
                <w:sz w:val="16"/>
              </w:rPr>
              <w:t>available in</w:t>
            </w:r>
          </w:p>
        </w:tc>
        <w:tc>
          <w:tcPr>
            <w:tcW w:w="330" w:type="dxa"/>
            <w:tcBorders>
              <w:top w:val="nil"/>
              <w:left w:val="nil"/>
              <w:bottom w:val="nil"/>
              <w:right w:val="nil"/>
              <w:tl2br w:val="nil"/>
              <w:tr2bl w:val="nil"/>
            </w:tcBorders>
            <w:shd w:val="clear" w:color="auto" w:fill="FFFFFF"/>
            <w:tcMar>
              <w:left w:w="115" w:type="dxa"/>
              <w:right w:w="115" w:type="dxa"/>
            </w:tcMar>
            <w:vAlign w:val="bottom"/>
          </w:tcPr>
          <w:p w14:paraId="6BC34066" w14:textId="77777777" w:rsidR="003F0EEA" w:rsidRPr="009C295F" w:rsidRDefault="00FB7D0B">
            <w:pPr>
              <w:rPr>
                <w:rFonts w:ascii="Arial" w:eastAsia="Arial" w:hAnsi="Arial" w:cs="Arial"/>
                <w:color w:val="000000"/>
                <w:sz w:val="16"/>
              </w:rPr>
            </w:pPr>
            <w:r w:rsidRPr="009C295F">
              <w:rPr>
                <w:rFonts w:ascii="Arial" w:eastAsia="Arial" w:hAnsi="Arial" w:cs="Arial"/>
                <w:color w:val="000000"/>
                <w:sz w:val="16"/>
              </w:rPr>
              <w:t xml:space="preserve"> </w:t>
            </w:r>
          </w:p>
        </w:tc>
        <w:tc>
          <w:tcPr>
            <w:tcW w:w="1080" w:type="dxa"/>
            <w:tcBorders>
              <w:top w:val="nil"/>
              <w:left w:val="nil"/>
              <w:bottom w:val="nil"/>
              <w:right w:val="nil"/>
              <w:tl2br w:val="nil"/>
              <w:tr2bl w:val="nil"/>
            </w:tcBorders>
            <w:shd w:val="clear" w:color="auto" w:fill="FFFFFF"/>
            <w:tcMar>
              <w:left w:w="115" w:type="dxa"/>
              <w:right w:w="115" w:type="dxa"/>
            </w:tcMar>
            <w:vAlign w:val="bottom"/>
          </w:tcPr>
          <w:p w14:paraId="3C8A7A1F" w14:textId="77777777" w:rsidR="003F0EEA" w:rsidRPr="009C295F" w:rsidRDefault="003F0EEA">
            <w:pPr>
              <w:jc w:val="right"/>
              <w:rPr>
                <w:rFonts w:ascii="Arial" w:eastAsia="Arial" w:hAnsi="Arial" w:cs="Arial"/>
                <w:color w:val="000000"/>
                <w:sz w:val="16"/>
              </w:rPr>
            </w:pPr>
          </w:p>
        </w:tc>
        <w:tc>
          <w:tcPr>
            <w:tcW w:w="300" w:type="dxa"/>
            <w:tcBorders>
              <w:top w:val="nil"/>
              <w:left w:val="nil"/>
              <w:bottom w:val="nil"/>
              <w:right w:val="nil"/>
              <w:tl2br w:val="nil"/>
              <w:tr2bl w:val="nil"/>
            </w:tcBorders>
            <w:shd w:val="clear" w:color="auto" w:fill="FFFFFF"/>
            <w:tcMar>
              <w:left w:w="115" w:type="dxa"/>
              <w:right w:w="115" w:type="dxa"/>
            </w:tcMar>
            <w:vAlign w:val="bottom"/>
          </w:tcPr>
          <w:p w14:paraId="277BD4D9" w14:textId="77777777" w:rsidR="003F0EEA" w:rsidRPr="009C295F" w:rsidRDefault="00FB7D0B">
            <w:pPr>
              <w:rPr>
                <w:rFonts w:ascii="Arial" w:eastAsia="Arial" w:hAnsi="Arial" w:cs="Arial"/>
                <w:color w:val="000000"/>
                <w:sz w:val="16"/>
              </w:rPr>
            </w:pPr>
            <w:r w:rsidRPr="009C295F">
              <w:rPr>
                <w:rFonts w:ascii="Arial" w:eastAsia="Arial" w:hAnsi="Arial" w:cs="Arial"/>
                <w:color w:val="000000"/>
                <w:sz w:val="16"/>
              </w:rPr>
              <w:t xml:space="preserve"> </w:t>
            </w:r>
          </w:p>
        </w:tc>
        <w:tc>
          <w:tcPr>
            <w:tcW w:w="1080" w:type="dxa"/>
            <w:tcBorders>
              <w:top w:val="nil"/>
              <w:left w:val="nil"/>
              <w:bottom w:val="nil"/>
              <w:right w:val="nil"/>
              <w:tl2br w:val="nil"/>
              <w:tr2bl w:val="nil"/>
            </w:tcBorders>
            <w:shd w:val="clear" w:color="auto" w:fill="FFFF00"/>
            <w:tcMar>
              <w:left w:w="115" w:type="dxa"/>
              <w:right w:w="115" w:type="dxa"/>
            </w:tcMar>
            <w:vAlign w:val="bottom"/>
          </w:tcPr>
          <w:p w14:paraId="54A15DA6" w14:textId="77777777" w:rsidR="003F0EEA" w:rsidRPr="009C295F" w:rsidRDefault="003F0EEA">
            <w:pPr>
              <w:jc w:val="right"/>
              <w:rPr>
                <w:rFonts w:ascii="Arial" w:eastAsia="Arial" w:hAnsi="Arial" w:cs="Arial"/>
                <w:color w:val="000000"/>
                <w:sz w:val="16"/>
              </w:rPr>
            </w:pPr>
          </w:p>
        </w:tc>
        <w:tc>
          <w:tcPr>
            <w:tcW w:w="1230" w:type="dxa"/>
            <w:tcBorders>
              <w:top w:val="nil"/>
              <w:left w:val="nil"/>
              <w:bottom w:val="nil"/>
              <w:right w:val="nil"/>
              <w:tl2br w:val="nil"/>
              <w:tr2bl w:val="nil"/>
            </w:tcBorders>
            <w:shd w:val="clear" w:color="auto" w:fill="FFFFFF"/>
            <w:tcMar>
              <w:left w:w="115" w:type="dxa"/>
              <w:right w:w="115" w:type="dxa"/>
            </w:tcMar>
            <w:vAlign w:val="bottom"/>
          </w:tcPr>
          <w:p w14:paraId="4D929AD2" w14:textId="77777777" w:rsidR="003F0EEA" w:rsidRPr="009C295F" w:rsidRDefault="003F0EEA">
            <w:pPr>
              <w:jc w:val="right"/>
              <w:rPr>
                <w:rFonts w:ascii="Arial" w:eastAsia="Arial" w:hAnsi="Arial" w:cs="Arial"/>
                <w:color w:val="000000"/>
                <w:sz w:val="16"/>
              </w:rPr>
            </w:pPr>
          </w:p>
        </w:tc>
      </w:tr>
      <w:tr w:rsidR="00724034" w14:paraId="7CBAD030" w14:textId="77777777">
        <w:trPr>
          <w:trHeight w:val="210"/>
        </w:trPr>
        <w:tc>
          <w:tcPr>
            <w:tcW w:w="180" w:type="dxa"/>
            <w:tcBorders>
              <w:top w:val="nil"/>
              <w:left w:val="nil"/>
              <w:bottom w:val="nil"/>
              <w:right w:val="nil"/>
              <w:tl2br w:val="nil"/>
              <w:tr2bl w:val="nil"/>
            </w:tcBorders>
            <w:shd w:val="clear" w:color="auto" w:fill="FFFFFF"/>
            <w:tcMar>
              <w:left w:w="115" w:type="dxa"/>
              <w:right w:w="115" w:type="dxa"/>
            </w:tcMar>
            <w:vAlign w:val="bottom"/>
          </w:tcPr>
          <w:p w14:paraId="19358B60" w14:textId="77777777" w:rsidR="003F0EEA" w:rsidRPr="009C295F" w:rsidRDefault="003F0EEA">
            <w:pPr>
              <w:rPr>
                <w:rFonts w:ascii="Arial" w:eastAsia="Arial" w:hAnsi="Arial" w:cs="Arial"/>
                <w:color w:val="000000"/>
                <w:sz w:val="16"/>
              </w:rPr>
            </w:pPr>
          </w:p>
        </w:tc>
        <w:tc>
          <w:tcPr>
            <w:tcW w:w="180" w:type="dxa"/>
            <w:tcBorders>
              <w:top w:val="nil"/>
              <w:left w:val="nil"/>
              <w:bottom w:val="nil"/>
              <w:right w:val="nil"/>
              <w:tl2br w:val="nil"/>
              <w:tr2bl w:val="nil"/>
            </w:tcBorders>
            <w:shd w:val="clear" w:color="auto" w:fill="FFFFFF"/>
            <w:tcMar>
              <w:left w:w="115" w:type="dxa"/>
              <w:right w:w="115" w:type="dxa"/>
            </w:tcMar>
            <w:vAlign w:val="bottom"/>
          </w:tcPr>
          <w:p w14:paraId="3630B366" w14:textId="77777777" w:rsidR="003F0EEA" w:rsidRPr="009C295F" w:rsidRDefault="003F0EEA">
            <w:pPr>
              <w:rPr>
                <w:rFonts w:ascii="Arial" w:eastAsia="Arial" w:hAnsi="Arial" w:cs="Arial"/>
                <w:color w:val="000000"/>
                <w:sz w:val="16"/>
              </w:rPr>
            </w:pPr>
          </w:p>
        </w:tc>
        <w:tc>
          <w:tcPr>
            <w:tcW w:w="2520" w:type="dxa"/>
            <w:tcBorders>
              <w:top w:val="nil"/>
              <w:left w:val="nil"/>
              <w:bottom w:val="nil"/>
              <w:right w:val="nil"/>
              <w:tl2br w:val="nil"/>
              <w:tr2bl w:val="nil"/>
            </w:tcBorders>
            <w:shd w:val="clear" w:color="auto" w:fill="FFFFFF"/>
            <w:tcMar>
              <w:left w:w="115" w:type="dxa"/>
              <w:right w:w="115" w:type="dxa"/>
            </w:tcMar>
            <w:vAlign w:val="bottom"/>
          </w:tcPr>
          <w:p w14:paraId="055F1B83" w14:textId="77777777" w:rsidR="003F0EEA" w:rsidRPr="009C295F" w:rsidRDefault="003F0EEA">
            <w:pPr>
              <w:jc w:val="right"/>
              <w:rPr>
                <w:rFonts w:ascii="Arial" w:eastAsia="Arial" w:hAnsi="Arial" w:cs="Arial"/>
                <w:color w:val="000000"/>
                <w:sz w:val="16"/>
              </w:rPr>
            </w:pPr>
          </w:p>
        </w:tc>
        <w:tc>
          <w:tcPr>
            <w:tcW w:w="360" w:type="dxa"/>
            <w:tcBorders>
              <w:top w:val="nil"/>
              <w:left w:val="nil"/>
              <w:bottom w:val="nil"/>
              <w:right w:val="nil"/>
              <w:tl2br w:val="nil"/>
              <w:tr2bl w:val="nil"/>
            </w:tcBorders>
            <w:shd w:val="clear" w:color="auto" w:fill="FFFFFF"/>
            <w:tcMar>
              <w:left w:w="115" w:type="dxa"/>
              <w:right w:w="115" w:type="dxa"/>
            </w:tcMar>
            <w:vAlign w:val="bottom"/>
          </w:tcPr>
          <w:p w14:paraId="2CAF20B2" w14:textId="77777777" w:rsidR="003F0EEA" w:rsidRPr="009C295F" w:rsidRDefault="003F0EEA">
            <w:pPr>
              <w:jc w:val="center"/>
              <w:rPr>
                <w:rFonts w:ascii="Arial" w:eastAsia="Arial" w:hAnsi="Arial" w:cs="Arial"/>
                <w:b/>
                <w:color w:val="000000"/>
                <w:sz w:val="16"/>
                <w:vertAlign w:val="superscript"/>
              </w:rPr>
            </w:pPr>
          </w:p>
        </w:tc>
        <w:tc>
          <w:tcPr>
            <w:tcW w:w="1230" w:type="dxa"/>
            <w:tcBorders>
              <w:top w:val="nil"/>
              <w:left w:val="nil"/>
              <w:bottom w:val="nil"/>
              <w:right w:val="nil"/>
              <w:tl2br w:val="nil"/>
              <w:tr2bl w:val="nil"/>
            </w:tcBorders>
            <w:shd w:val="clear" w:color="auto" w:fill="FFFFFF"/>
            <w:tcMar>
              <w:left w:w="115" w:type="dxa"/>
              <w:right w:w="115" w:type="dxa"/>
            </w:tcMar>
            <w:vAlign w:val="bottom"/>
          </w:tcPr>
          <w:p w14:paraId="558617AB" w14:textId="77777777" w:rsidR="003F0EEA" w:rsidRPr="009C295F" w:rsidRDefault="00FB7D0B">
            <w:pPr>
              <w:jc w:val="right"/>
              <w:rPr>
                <w:rFonts w:ascii="Arial" w:eastAsia="Arial" w:hAnsi="Arial" w:cs="Arial"/>
                <w:b/>
                <w:color w:val="000000"/>
                <w:sz w:val="16"/>
                <w:vertAlign w:val="superscript"/>
              </w:rPr>
            </w:pPr>
            <w:r w:rsidRPr="009C295F">
              <w:rPr>
                <w:rFonts w:ascii="Arial" w:eastAsia="Arial" w:hAnsi="Arial" w:cs="Arial"/>
                <w:color w:val="000000"/>
                <w:sz w:val="16"/>
              </w:rPr>
              <w:t>2014-15</w:t>
            </w:r>
          </w:p>
        </w:tc>
        <w:tc>
          <w:tcPr>
            <w:tcW w:w="330" w:type="dxa"/>
            <w:tcBorders>
              <w:top w:val="nil"/>
              <w:left w:val="nil"/>
              <w:bottom w:val="nil"/>
              <w:right w:val="nil"/>
              <w:tl2br w:val="nil"/>
              <w:tr2bl w:val="nil"/>
            </w:tcBorders>
            <w:shd w:val="clear" w:color="auto" w:fill="FFFFFF"/>
            <w:tcMar>
              <w:left w:w="115" w:type="dxa"/>
              <w:right w:w="115" w:type="dxa"/>
            </w:tcMar>
            <w:vAlign w:val="bottom"/>
          </w:tcPr>
          <w:p w14:paraId="1446CE25" w14:textId="77777777" w:rsidR="003F0EEA" w:rsidRPr="009C295F" w:rsidRDefault="00FB7D0B">
            <w:pPr>
              <w:rPr>
                <w:rFonts w:ascii="Arial" w:eastAsia="Arial" w:hAnsi="Arial" w:cs="Arial"/>
                <w:color w:val="000000"/>
                <w:sz w:val="16"/>
              </w:rPr>
            </w:pPr>
            <w:r w:rsidRPr="009C295F">
              <w:rPr>
                <w:rFonts w:ascii="Arial" w:eastAsia="Arial" w:hAnsi="Arial" w:cs="Arial"/>
                <w:color w:val="000000"/>
                <w:sz w:val="16"/>
              </w:rPr>
              <w:t xml:space="preserve"> </w:t>
            </w:r>
          </w:p>
        </w:tc>
        <w:tc>
          <w:tcPr>
            <w:tcW w:w="1080" w:type="dxa"/>
            <w:tcBorders>
              <w:top w:val="nil"/>
              <w:left w:val="nil"/>
              <w:bottom w:val="nil"/>
              <w:right w:val="nil"/>
              <w:tl2br w:val="nil"/>
              <w:tr2bl w:val="nil"/>
            </w:tcBorders>
            <w:shd w:val="clear" w:color="auto" w:fill="FFFFFF"/>
            <w:tcMar>
              <w:left w:w="115" w:type="dxa"/>
              <w:right w:w="115" w:type="dxa"/>
            </w:tcMar>
            <w:vAlign w:val="bottom"/>
          </w:tcPr>
          <w:p w14:paraId="7B5F1ECE" w14:textId="77777777" w:rsidR="003F0EEA" w:rsidRPr="009C295F" w:rsidRDefault="00FB7D0B">
            <w:pPr>
              <w:jc w:val="right"/>
              <w:rPr>
                <w:rFonts w:ascii="Arial" w:eastAsia="Arial" w:hAnsi="Arial" w:cs="Arial"/>
                <w:color w:val="000000"/>
                <w:sz w:val="16"/>
              </w:rPr>
            </w:pPr>
            <w:r w:rsidRPr="009C295F">
              <w:rPr>
                <w:rFonts w:ascii="Arial" w:eastAsia="Arial" w:hAnsi="Arial" w:cs="Arial"/>
                <w:color w:val="000000"/>
                <w:sz w:val="16"/>
              </w:rPr>
              <w:t>2014-15</w:t>
            </w:r>
          </w:p>
        </w:tc>
        <w:tc>
          <w:tcPr>
            <w:tcW w:w="300" w:type="dxa"/>
            <w:tcBorders>
              <w:top w:val="nil"/>
              <w:left w:val="nil"/>
              <w:bottom w:val="nil"/>
              <w:right w:val="nil"/>
              <w:tl2br w:val="nil"/>
              <w:tr2bl w:val="nil"/>
            </w:tcBorders>
            <w:shd w:val="clear" w:color="auto" w:fill="FFFFFF"/>
            <w:tcMar>
              <w:left w:w="115" w:type="dxa"/>
              <w:right w:w="115" w:type="dxa"/>
            </w:tcMar>
            <w:vAlign w:val="bottom"/>
          </w:tcPr>
          <w:p w14:paraId="0B2DBBFA" w14:textId="77777777" w:rsidR="003F0EEA" w:rsidRPr="009C295F" w:rsidRDefault="00FB7D0B">
            <w:pPr>
              <w:rPr>
                <w:rFonts w:ascii="Arial" w:eastAsia="Arial" w:hAnsi="Arial" w:cs="Arial"/>
                <w:color w:val="000000"/>
                <w:sz w:val="16"/>
              </w:rPr>
            </w:pPr>
            <w:r w:rsidRPr="009C295F">
              <w:rPr>
                <w:rFonts w:ascii="Arial" w:eastAsia="Arial" w:hAnsi="Arial" w:cs="Arial"/>
                <w:color w:val="000000"/>
                <w:sz w:val="16"/>
              </w:rPr>
              <w:t xml:space="preserve"> </w:t>
            </w:r>
          </w:p>
        </w:tc>
        <w:tc>
          <w:tcPr>
            <w:tcW w:w="1080" w:type="dxa"/>
            <w:tcBorders>
              <w:top w:val="nil"/>
              <w:left w:val="nil"/>
              <w:bottom w:val="nil"/>
              <w:right w:val="nil"/>
              <w:tl2br w:val="nil"/>
              <w:tr2bl w:val="nil"/>
            </w:tcBorders>
            <w:shd w:val="clear" w:color="auto" w:fill="FFFF00"/>
            <w:tcMar>
              <w:left w:w="115" w:type="dxa"/>
              <w:right w:w="115" w:type="dxa"/>
            </w:tcMar>
            <w:vAlign w:val="bottom"/>
          </w:tcPr>
          <w:p w14:paraId="7491121A" w14:textId="77777777" w:rsidR="003F0EEA" w:rsidRPr="009C295F" w:rsidRDefault="00FB7D0B">
            <w:pPr>
              <w:jc w:val="right"/>
              <w:rPr>
                <w:rFonts w:ascii="Arial" w:eastAsia="Arial" w:hAnsi="Arial" w:cs="Arial"/>
                <w:color w:val="000000"/>
                <w:sz w:val="16"/>
              </w:rPr>
            </w:pPr>
            <w:r w:rsidRPr="009C295F">
              <w:rPr>
                <w:rFonts w:ascii="Arial" w:eastAsia="Arial" w:hAnsi="Arial" w:cs="Arial"/>
                <w:color w:val="000000"/>
                <w:sz w:val="16"/>
              </w:rPr>
              <w:t>2014-15</w:t>
            </w:r>
          </w:p>
        </w:tc>
        <w:tc>
          <w:tcPr>
            <w:tcW w:w="1230" w:type="dxa"/>
            <w:tcBorders>
              <w:top w:val="nil"/>
              <w:left w:val="nil"/>
              <w:bottom w:val="nil"/>
              <w:right w:val="nil"/>
              <w:tl2br w:val="nil"/>
              <w:tr2bl w:val="nil"/>
            </w:tcBorders>
            <w:shd w:val="clear" w:color="auto" w:fill="FFFFFF"/>
            <w:tcMar>
              <w:left w:w="115" w:type="dxa"/>
              <w:right w:w="115" w:type="dxa"/>
            </w:tcMar>
            <w:vAlign w:val="bottom"/>
          </w:tcPr>
          <w:p w14:paraId="7C7056B1" w14:textId="77777777" w:rsidR="003F0EEA" w:rsidRPr="009C295F" w:rsidRDefault="00FB7D0B">
            <w:pPr>
              <w:jc w:val="right"/>
              <w:rPr>
                <w:rFonts w:ascii="Arial" w:eastAsia="Arial" w:hAnsi="Arial" w:cs="Arial"/>
                <w:color w:val="000000"/>
                <w:sz w:val="16"/>
              </w:rPr>
            </w:pPr>
            <w:r w:rsidRPr="009C295F">
              <w:rPr>
                <w:rFonts w:ascii="Arial" w:eastAsia="Arial" w:hAnsi="Arial" w:cs="Arial"/>
                <w:color w:val="000000"/>
                <w:sz w:val="16"/>
              </w:rPr>
              <w:t>2013-14</w:t>
            </w:r>
          </w:p>
        </w:tc>
      </w:tr>
      <w:tr w:rsidR="00724034" w14:paraId="4E1C06DE" w14:textId="77777777">
        <w:trPr>
          <w:trHeight w:val="210"/>
        </w:trPr>
        <w:tc>
          <w:tcPr>
            <w:tcW w:w="180" w:type="dxa"/>
            <w:tcBorders>
              <w:top w:val="nil"/>
              <w:left w:val="nil"/>
              <w:bottom w:val="nil"/>
              <w:right w:val="nil"/>
              <w:tl2br w:val="nil"/>
              <w:tr2bl w:val="nil"/>
            </w:tcBorders>
            <w:shd w:val="clear" w:color="auto" w:fill="FFFFFF"/>
            <w:tcMar>
              <w:left w:w="115" w:type="dxa"/>
              <w:right w:w="115" w:type="dxa"/>
            </w:tcMar>
            <w:vAlign w:val="bottom"/>
          </w:tcPr>
          <w:p w14:paraId="25D1C670" w14:textId="77777777" w:rsidR="003F0EEA" w:rsidRPr="009C295F" w:rsidRDefault="003F0EEA">
            <w:pPr>
              <w:rPr>
                <w:rFonts w:ascii="Arial" w:eastAsia="Arial" w:hAnsi="Arial" w:cs="Arial"/>
                <w:color w:val="000000"/>
                <w:sz w:val="16"/>
              </w:rPr>
            </w:pPr>
          </w:p>
        </w:tc>
        <w:tc>
          <w:tcPr>
            <w:tcW w:w="180" w:type="dxa"/>
            <w:tcBorders>
              <w:top w:val="nil"/>
              <w:left w:val="nil"/>
              <w:bottom w:val="nil"/>
              <w:right w:val="nil"/>
              <w:tl2br w:val="nil"/>
              <w:tr2bl w:val="nil"/>
            </w:tcBorders>
            <w:shd w:val="clear" w:color="auto" w:fill="FFFFFF"/>
            <w:tcMar>
              <w:left w:w="115" w:type="dxa"/>
              <w:right w:w="115" w:type="dxa"/>
            </w:tcMar>
            <w:vAlign w:val="bottom"/>
          </w:tcPr>
          <w:p w14:paraId="7BB67A0B" w14:textId="77777777" w:rsidR="003F0EEA" w:rsidRPr="009C295F" w:rsidRDefault="003F0EEA">
            <w:pPr>
              <w:rPr>
                <w:rFonts w:ascii="Arial" w:eastAsia="Arial" w:hAnsi="Arial" w:cs="Arial"/>
                <w:color w:val="000000"/>
                <w:sz w:val="16"/>
              </w:rPr>
            </w:pPr>
          </w:p>
        </w:tc>
        <w:tc>
          <w:tcPr>
            <w:tcW w:w="2520" w:type="dxa"/>
            <w:tcBorders>
              <w:top w:val="nil"/>
              <w:left w:val="nil"/>
              <w:bottom w:val="nil"/>
              <w:right w:val="nil"/>
              <w:tl2br w:val="nil"/>
              <w:tr2bl w:val="nil"/>
            </w:tcBorders>
            <w:shd w:val="clear" w:color="auto" w:fill="FFFFFF"/>
            <w:tcMar>
              <w:left w:w="115" w:type="dxa"/>
              <w:right w:w="115" w:type="dxa"/>
            </w:tcMar>
            <w:vAlign w:val="bottom"/>
          </w:tcPr>
          <w:p w14:paraId="22750384" w14:textId="77777777" w:rsidR="003F0EEA" w:rsidRPr="009C295F" w:rsidRDefault="003F0EEA">
            <w:pPr>
              <w:rPr>
                <w:rFonts w:ascii="Arial" w:eastAsia="Arial" w:hAnsi="Arial" w:cs="Arial"/>
                <w:color w:val="000000"/>
                <w:sz w:val="16"/>
              </w:rPr>
            </w:pPr>
          </w:p>
        </w:tc>
        <w:tc>
          <w:tcPr>
            <w:tcW w:w="360" w:type="dxa"/>
            <w:tcBorders>
              <w:top w:val="nil"/>
              <w:left w:val="nil"/>
              <w:bottom w:val="nil"/>
              <w:right w:val="nil"/>
              <w:tl2br w:val="nil"/>
              <w:tr2bl w:val="nil"/>
            </w:tcBorders>
            <w:shd w:val="clear" w:color="auto" w:fill="FFFFFF"/>
            <w:tcMar>
              <w:left w:w="115" w:type="dxa"/>
              <w:right w:w="115" w:type="dxa"/>
            </w:tcMar>
            <w:vAlign w:val="bottom"/>
          </w:tcPr>
          <w:p w14:paraId="7E149AD1" w14:textId="77777777" w:rsidR="003F0EEA" w:rsidRPr="009C295F" w:rsidRDefault="003F0EEA">
            <w:pPr>
              <w:jc w:val="center"/>
              <w:rPr>
                <w:rFonts w:ascii="Arial" w:eastAsia="Arial" w:hAnsi="Arial" w:cs="Arial"/>
                <w:color w:val="000000"/>
                <w:sz w:val="16"/>
                <w:vertAlign w:val="superscript"/>
              </w:rPr>
            </w:pPr>
          </w:p>
        </w:tc>
        <w:tc>
          <w:tcPr>
            <w:tcW w:w="1230" w:type="dxa"/>
            <w:tcBorders>
              <w:top w:val="nil"/>
              <w:left w:val="nil"/>
              <w:bottom w:val="single" w:sz="6" w:space="0" w:color="000000"/>
              <w:right w:val="nil"/>
              <w:tl2br w:val="nil"/>
              <w:tr2bl w:val="nil"/>
            </w:tcBorders>
            <w:shd w:val="clear" w:color="auto" w:fill="FFFFFF"/>
            <w:tcMar>
              <w:left w:w="115" w:type="dxa"/>
              <w:right w:w="115" w:type="dxa"/>
            </w:tcMar>
          </w:tcPr>
          <w:p w14:paraId="77844925" w14:textId="77777777" w:rsidR="003F0EEA" w:rsidRPr="009C295F" w:rsidRDefault="00FB7D0B">
            <w:pPr>
              <w:jc w:val="right"/>
              <w:rPr>
                <w:rFonts w:ascii="Arial" w:eastAsia="Arial" w:hAnsi="Arial" w:cs="Arial"/>
                <w:color w:val="000000"/>
                <w:sz w:val="16"/>
                <w:vertAlign w:val="superscript"/>
              </w:rPr>
            </w:pPr>
            <w:r w:rsidRPr="009C295F">
              <w:rPr>
                <w:rFonts w:ascii="Arial" w:eastAsia="Arial" w:hAnsi="Arial" w:cs="Arial"/>
                <w:color w:val="000000"/>
                <w:sz w:val="16"/>
              </w:rPr>
              <w:t>$'000</w:t>
            </w:r>
          </w:p>
        </w:tc>
        <w:tc>
          <w:tcPr>
            <w:tcW w:w="330"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28F70F26" w14:textId="77777777" w:rsidR="003F0EEA" w:rsidRPr="009C295F" w:rsidRDefault="00FB7D0B">
            <w:pPr>
              <w:rPr>
                <w:rFonts w:ascii="Arial" w:eastAsia="Arial" w:hAnsi="Arial" w:cs="Arial"/>
                <w:color w:val="000000"/>
                <w:sz w:val="16"/>
              </w:rPr>
            </w:pPr>
            <w:r w:rsidRPr="009C295F">
              <w:rPr>
                <w:rFonts w:ascii="Arial" w:eastAsia="Arial" w:hAnsi="Arial" w:cs="Arial"/>
                <w:b/>
                <w:color w:val="000000"/>
                <w:sz w:val="16"/>
              </w:rPr>
              <w:t xml:space="preserve"> </w:t>
            </w:r>
          </w:p>
        </w:tc>
        <w:tc>
          <w:tcPr>
            <w:tcW w:w="1080" w:type="dxa"/>
            <w:tcBorders>
              <w:top w:val="nil"/>
              <w:left w:val="nil"/>
              <w:bottom w:val="single" w:sz="6" w:space="0" w:color="000000"/>
              <w:right w:val="nil"/>
              <w:tl2br w:val="nil"/>
              <w:tr2bl w:val="nil"/>
            </w:tcBorders>
            <w:shd w:val="clear" w:color="auto" w:fill="FFFFFF"/>
            <w:tcMar>
              <w:left w:w="115" w:type="dxa"/>
              <w:right w:w="115" w:type="dxa"/>
            </w:tcMar>
          </w:tcPr>
          <w:p w14:paraId="290CDE47" w14:textId="77777777" w:rsidR="003F0EEA" w:rsidRPr="009C295F" w:rsidRDefault="00FB7D0B">
            <w:pPr>
              <w:jc w:val="right"/>
              <w:rPr>
                <w:rFonts w:ascii="Arial" w:eastAsia="Arial" w:hAnsi="Arial" w:cs="Arial"/>
                <w:b/>
                <w:color w:val="000000"/>
                <w:sz w:val="16"/>
              </w:rPr>
            </w:pPr>
            <w:r w:rsidRPr="009C295F">
              <w:rPr>
                <w:rFonts w:ascii="Arial" w:eastAsia="Arial" w:hAnsi="Arial" w:cs="Arial"/>
                <w:color w:val="000000"/>
                <w:sz w:val="16"/>
              </w:rPr>
              <w:t>$'000</w:t>
            </w:r>
          </w:p>
        </w:tc>
        <w:tc>
          <w:tcPr>
            <w:tcW w:w="300"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6DB8097B" w14:textId="77777777" w:rsidR="003F0EEA" w:rsidRPr="009C295F" w:rsidRDefault="00FB7D0B">
            <w:pPr>
              <w:rPr>
                <w:rFonts w:ascii="Arial" w:eastAsia="Arial" w:hAnsi="Arial" w:cs="Arial"/>
                <w:color w:val="000000"/>
                <w:sz w:val="16"/>
              </w:rPr>
            </w:pPr>
            <w:r w:rsidRPr="009C295F">
              <w:rPr>
                <w:rFonts w:ascii="Arial" w:eastAsia="Arial" w:hAnsi="Arial" w:cs="Arial"/>
                <w:b/>
                <w:color w:val="000000"/>
                <w:sz w:val="16"/>
              </w:rPr>
              <w:t xml:space="preserve"> </w:t>
            </w:r>
          </w:p>
        </w:tc>
        <w:tc>
          <w:tcPr>
            <w:tcW w:w="1080" w:type="dxa"/>
            <w:tcBorders>
              <w:top w:val="nil"/>
              <w:left w:val="nil"/>
              <w:bottom w:val="single" w:sz="6" w:space="0" w:color="000000"/>
              <w:right w:val="nil"/>
              <w:tl2br w:val="nil"/>
              <w:tr2bl w:val="nil"/>
            </w:tcBorders>
            <w:shd w:val="clear" w:color="auto" w:fill="FFFF00"/>
            <w:tcMar>
              <w:left w:w="115" w:type="dxa"/>
              <w:right w:w="115" w:type="dxa"/>
            </w:tcMar>
          </w:tcPr>
          <w:p w14:paraId="48509CA8" w14:textId="77777777" w:rsidR="003F0EEA" w:rsidRPr="009C295F" w:rsidRDefault="00FB7D0B">
            <w:pPr>
              <w:jc w:val="right"/>
              <w:rPr>
                <w:rFonts w:ascii="Arial" w:eastAsia="Arial" w:hAnsi="Arial" w:cs="Arial"/>
                <w:b/>
                <w:color w:val="000000"/>
                <w:sz w:val="16"/>
              </w:rPr>
            </w:pPr>
            <w:r w:rsidRPr="009C295F">
              <w:rPr>
                <w:rFonts w:ascii="Arial" w:eastAsia="Arial" w:hAnsi="Arial" w:cs="Arial"/>
                <w:color w:val="000000"/>
                <w:sz w:val="16"/>
              </w:rPr>
              <w:t>$'000</w:t>
            </w:r>
          </w:p>
        </w:tc>
        <w:tc>
          <w:tcPr>
            <w:tcW w:w="1230" w:type="dxa"/>
            <w:tcBorders>
              <w:top w:val="nil"/>
              <w:left w:val="nil"/>
              <w:bottom w:val="single" w:sz="6" w:space="0" w:color="000000"/>
              <w:right w:val="nil"/>
              <w:tl2br w:val="nil"/>
              <w:tr2bl w:val="nil"/>
            </w:tcBorders>
            <w:shd w:val="clear" w:color="auto" w:fill="FFFFFF"/>
            <w:tcMar>
              <w:left w:w="115" w:type="dxa"/>
              <w:right w:w="115" w:type="dxa"/>
            </w:tcMar>
          </w:tcPr>
          <w:p w14:paraId="5796C54D" w14:textId="77777777" w:rsidR="003F0EEA" w:rsidRPr="009C295F" w:rsidRDefault="00FB7D0B">
            <w:pPr>
              <w:jc w:val="right"/>
              <w:rPr>
                <w:rFonts w:ascii="Arial" w:eastAsia="Arial" w:hAnsi="Arial" w:cs="Arial"/>
                <w:color w:val="000000"/>
                <w:sz w:val="16"/>
              </w:rPr>
            </w:pPr>
            <w:r w:rsidRPr="009C295F">
              <w:rPr>
                <w:rFonts w:ascii="Arial" w:eastAsia="Arial" w:hAnsi="Arial" w:cs="Arial"/>
                <w:color w:val="000000"/>
                <w:sz w:val="16"/>
              </w:rPr>
              <w:t>$'000</w:t>
            </w:r>
          </w:p>
        </w:tc>
      </w:tr>
      <w:tr w:rsidR="00FB7D0B" w14:paraId="1DFBDCD1" w14:textId="77777777" w:rsidTr="00FB7D0B">
        <w:trPr>
          <w:trHeight w:val="225"/>
        </w:trPr>
        <w:tc>
          <w:tcPr>
            <w:tcW w:w="2880" w:type="dxa"/>
            <w:gridSpan w:val="3"/>
            <w:tcBorders>
              <w:top w:val="nil"/>
              <w:left w:val="nil"/>
              <w:bottom w:val="nil"/>
              <w:right w:val="nil"/>
              <w:tl2br w:val="nil"/>
              <w:tr2bl w:val="nil"/>
            </w:tcBorders>
            <w:shd w:val="clear" w:color="auto" w:fill="FFFFFF"/>
            <w:tcMar>
              <w:left w:w="115" w:type="dxa"/>
              <w:right w:w="115" w:type="dxa"/>
            </w:tcMar>
            <w:vAlign w:val="bottom"/>
          </w:tcPr>
          <w:p w14:paraId="24406212" w14:textId="77777777" w:rsidR="003F0EEA" w:rsidRPr="009C295F" w:rsidRDefault="00FB7D0B">
            <w:pPr>
              <w:rPr>
                <w:rFonts w:ascii="Arial" w:eastAsia="Arial" w:hAnsi="Arial" w:cs="Arial"/>
                <w:color w:val="000000"/>
                <w:sz w:val="16"/>
              </w:rPr>
            </w:pPr>
            <w:r w:rsidRPr="009C295F">
              <w:rPr>
                <w:rFonts w:ascii="Arial" w:eastAsia="Arial" w:hAnsi="Arial" w:cs="Arial"/>
                <w:b/>
                <w:color w:val="000000"/>
                <w:sz w:val="16"/>
              </w:rPr>
              <w:t>Ordinary annual services</w:t>
            </w:r>
            <w:r w:rsidRPr="009C295F">
              <w:rPr>
                <w:rFonts w:ascii="Arial" w:eastAsia="Arial" w:hAnsi="Arial" w:cs="Arial"/>
                <w:b/>
                <w:color w:val="000000"/>
                <w:sz w:val="16"/>
                <w:vertAlign w:val="superscript"/>
              </w:rPr>
              <w:t>1 </w:t>
            </w:r>
          </w:p>
        </w:tc>
        <w:tc>
          <w:tcPr>
            <w:tcW w:w="360" w:type="dxa"/>
            <w:tcBorders>
              <w:top w:val="nil"/>
              <w:left w:val="nil"/>
              <w:bottom w:val="nil"/>
              <w:right w:val="nil"/>
              <w:tl2br w:val="nil"/>
              <w:tr2bl w:val="nil"/>
            </w:tcBorders>
            <w:shd w:val="clear" w:color="auto" w:fill="FFFFFF"/>
            <w:tcMar>
              <w:left w:w="115" w:type="dxa"/>
              <w:right w:w="115" w:type="dxa"/>
            </w:tcMar>
            <w:vAlign w:val="bottom"/>
          </w:tcPr>
          <w:p w14:paraId="54FF03D6" w14:textId="77777777" w:rsidR="003F0EEA" w:rsidRPr="009C295F" w:rsidRDefault="003F0EEA">
            <w:pPr>
              <w:jc w:val="center"/>
              <w:rPr>
                <w:rFonts w:ascii="Arial" w:eastAsia="Arial" w:hAnsi="Arial" w:cs="Arial"/>
                <w:b/>
                <w:color w:val="000000"/>
                <w:sz w:val="16"/>
                <w:vertAlign w:val="superscript"/>
              </w:rPr>
            </w:pPr>
          </w:p>
        </w:tc>
        <w:tc>
          <w:tcPr>
            <w:tcW w:w="1230"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56430487" w14:textId="77777777" w:rsidR="003F0EEA" w:rsidRPr="009C295F" w:rsidRDefault="003F0EEA">
            <w:pPr>
              <w:jc w:val="right"/>
              <w:rPr>
                <w:rFonts w:ascii="Arial" w:eastAsia="Arial" w:hAnsi="Arial" w:cs="Arial"/>
                <w:b/>
                <w:color w:val="000000"/>
                <w:sz w:val="16"/>
                <w:vertAlign w:val="superscript"/>
              </w:rPr>
            </w:pPr>
          </w:p>
        </w:tc>
        <w:tc>
          <w:tcPr>
            <w:tcW w:w="330"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64119C70" w14:textId="77777777" w:rsidR="003F0EEA" w:rsidRPr="009C295F" w:rsidRDefault="00FB7D0B">
            <w:pPr>
              <w:rPr>
                <w:rFonts w:ascii="Arial" w:eastAsia="Arial" w:hAnsi="Arial" w:cs="Arial"/>
                <w:color w:val="000000"/>
                <w:sz w:val="16"/>
                <w:vertAlign w:val="superscript"/>
              </w:rPr>
            </w:pPr>
            <w:r w:rsidRPr="009C295F">
              <w:rPr>
                <w:rFonts w:ascii="Arial" w:eastAsia="Arial" w:hAnsi="Arial" w:cs="Arial"/>
                <w:color w:val="000000"/>
                <w:sz w:val="16"/>
              </w:rPr>
              <w:t xml:space="preserve"> </w:t>
            </w:r>
          </w:p>
        </w:tc>
        <w:tc>
          <w:tcPr>
            <w:tcW w:w="1080"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12AB5606" w14:textId="77777777" w:rsidR="003F0EEA" w:rsidRPr="009C295F" w:rsidRDefault="003F0EEA">
            <w:pPr>
              <w:jc w:val="right"/>
              <w:rPr>
                <w:rFonts w:ascii="Arial" w:eastAsia="Arial" w:hAnsi="Arial" w:cs="Arial"/>
                <w:color w:val="000000"/>
                <w:sz w:val="16"/>
              </w:rPr>
            </w:pPr>
          </w:p>
        </w:tc>
        <w:tc>
          <w:tcPr>
            <w:tcW w:w="300"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520FD5C8" w14:textId="77777777" w:rsidR="003F0EEA" w:rsidRPr="009C295F" w:rsidRDefault="00FB7D0B">
            <w:pPr>
              <w:rPr>
                <w:rFonts w:ascii="Arial" w:eastAsia="Arial" w:hAnsi="Arial" w:cs="Arial"/>
                <w:b/>
                <w:color w:val="000000"/>
                <w:sz w:val="16"/>
              </w:rPr>
            </w:pPr>
            <w:r w:rsidRPr="009C295F">
              <w:rPr>
                <w:rFonts w:ascii="Arial" w:eastAsia="Arial" w:hAnsi="Arial" w:cs="Arial"/>
                <w:color w:val="000000"/>
                <w:sz w:val="16"/>
              </w:rPr>
              <w:t xml:space="preserve"> </w:t>
            </w:r>
          </w:p>
        </w:tc>
        <w:tc>
          <w:tcPr>
            <w:tcW w:w="1080" w:type="dxa"/>
            <w:tcBorders>
              <w:top w:val="single" w:sz="6" w:space="0" w:color="000000"/>
              <w:left w:val="nil"/>
              <w:bottom w:val="nil"/>
              <w:right w:val="nil"/>
              <w:tl2br w:val="nil"/>
              <w:tr2bl w:val="nil"/>
            </w:tcBorders>
            <w:shd w:val="clear" w:color="auto" w:fill="FFFF00"/>
            <w:tcMar>
              <w:left w:w="115" w:type="dxa"/>
              <w:right w:w="115" w:type="dxa"/>
            </w:tcMar>
            <w:vAlign w:val="bottom"/>
          </w:tcPr>
          <w:p w14:paraId="44893CF0" w14:textId="77777777" w:rsidR="003F0EEA" w:rsidRPr="009C295F" w:rsidRDefault="003F0EEA">
            <w:pPr>
              <w:jc w:val="right"/>
              <w:rPr>
                <w:rFonts w:ascii="Arial" w:eastAsia="Arial" w:hAnsi="Arial" w:cs="Arial"/>
                <w:color w:val="000000"/>
                <w:sz w:val="16"/>
              </w:rPr>
            </w:pPr>
          </w:p>
        </w:tc>
        <w:tc>
          <w:tcPr>
            <w:tcW w:w="1230"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5FF39083" w14:textId="77777777" w:rsidR="003F0EEA" w:rsidRPr="009C295F" w:rsidRDefault="003F0EEA">
            <w:pPr>
              <w:jc w:val="right"/>
              <w:rPr>
                <w:rFonts w:ascii="Arial" w:eastAsia="Arial" w:hAnsi="Arial" w:cs="Arial"/>
                <w:b/>
                <w:color w:val="000000"/>
                <w:sz w:val="16"/>
              </w:rPr>
            </w:pPr>
          </w:p>
        </w:tc>
      </w:tr>
      <w:tr w:rsidR="00FB7D0B" w14:paraId="26E61F0E" w14:textId="77777777" w:rsidTr="00FB7D0B">
        <w:trPr>
          <w:trHeight w:val="225"/>
        </w:trPr>
        <w:tc>
          <w:tcPr>
            <w:tcW w:w="2880" w:type="dxa"/>
            <w:gridSpan w:val="3"/>
            <w:tcBorders>
              <w:top w:val="nil"/>
              <w:left w:val="nil"/>
              <w:bottom w:val="nil"/>
              <w:right w:val="nil"/>
              <w:tl2br w:val="nil"/>
              <w:tr2bl w:val="nil"/>
            </w:tcBorders>
            <w:shd w:val="clear" w:color="auto" w:fill="FFFFFF"/>
            <w:tcMar>
              <w:left w:w="115" w:type="dxa"/>
              <w:right w:w="115" w:type="dxa"/>
            </w:tcMar>
            <w:vAlign w:val="bottom"/>
          </w:tcPr>
          <w:p w14:paraId="6252EEA1" w14:textId="77777777" w:rsidR="003F0EEA" w:rsidRPr="009C295F" w:rsidRDefault="00FB7D0B">
            <w:pPr>
              <w:rPr>
                <w:rFonts w:ascii="Arial" w:eastAsia="Arial" w:hAnsi="Arial" w:cs="Arial"/>
                <w:color w:val="000000"/>
                <w:sz w:val="16"/>
              </w:rPr>
            </w:pPr>
            <w:r w:rsidRPr="009C295F">
              <w:rPr>
                <w:rFonts w:ascii="Arial" w:eastAsia="Arial" w:hAnsi="Arial" w:cs="Arial"/>
                <w:b/>
                <w:color w:val="000000"/>
                <w:sz w:val="16"/>
              </w:rPr>
              <w:t>Departmental appropriation</w:t>
            </w:r>
          </w:p>
        </w:tc>
        <w:tc>
          <w:tcPr>
            <w:tcW w:w="360" w:type="dxa"/>
            <w:tcBorders>
              <w:top w:val="nil"/>
              <w:left w:val="nil"/>
              <w:bottom w:val="nil"/>
              <w:right w:val="nil"/>
              <w:tl2br w:val="nil"/>
              <w:tr2bl w:val="nil"/>
            </w:tcBorders>
            <w:shd w:val="clear" w:color="auto" w:fill="FFFFFF"/>
            <w:tcMar>
              <w:left w:w="115" w:type="dxa"/>
              <w:right w:w="115" w:type="dxa"/>
            </w:tcMar>
            <w:vAlign w:val="bottom"/>
          </w:tcPr>
          <w:p w14:paraId="229972E1" w14:textId="77777777" w:rsidR="003F0EEA" w:rsidRPr="009C295F" w:rsidRDefault="003F0EEA">
            <w:pPr>
              <w:jc w:val="center"/>
              <w:rPr>
                <w:rFonts w:ascii="Arial" w:eastAsia="Arial" w:hAnsi="Arial" w:cs="Arial"/>
                <w:b/>
                <w:color w:val="000000"/>
                <w:sz w:val="16"/>
                <w:vertAlign w:val="superscript"/>
              </w:rPr>
            </w:pPr>
          </w:p>
        </w:tc>
        <w:tc>
          <w:tcPr>
            <w:tcW w:w="1230" w:type="dxa"/>
            <w:tcBorders>
              <w:top w:val="nil"/>
              <w:left w:val="nil"/>
              <w:bottom w:val="nil"/>
              <w:right w:val="nil"/>
              <w:tl2br w:val="nil"/>
              <w:tr2bl w:val="nil"/>
            </w:tcBorders>
            <w:shd w:val="clear" w:color="auto" w:fill="FFFFFF"/>
            <w:tcMar>
              <w:left w:w="115" w:type="dxa"/>
              <w:right w:w="115" w:type="dxa"/>
            </w:tcMar>
          </w:tcPr>
          <w:p w14:paraId="73D8D3CA" w14:textId="77777777" w:rsidR="003F0EEA" w:rsidRPr="009C295F" w:rsidRDefault="003F0EEA">
            <w:pPr>
              <w:jc w:val="right"/>
              <w:rPr>
                <w:rFonts w:ascii="Arial" w:eastAsia="Arial" w:hAnsi="Arial" w:cs="Arial"/>
                <w:b/>
                <w:color w:val="000000"/>
                <w:sz w:val="16"/>
                <w:vertAlign w:val="superscript"/>
              </w:rPr>
            </w:pPr>
          </w:p>
        </w:tc>
        <w:tc>
          <w:tcPr>
            <w:tcW w:w="330" w:type="dxa"/>
            <w:tcBorders>
              <w:top w:val="nil"/>
              <w:left w:val="nil"/>
              <w:bottom w:val="nil"/>
              <w:right w:val="nil"/>
              <w:tl2br w:val="nil"/>
              <w:tr2bl w:val="nil"/>
            </w:tcBorders>
            <w:shd w:val="clear" w:color="auto" w:fill="FFFFFF"/>
            <w:tcMar>
              <w:left w:w="115" w:type="dxa"/>
              <w:right w:w="115" w:type="dxa"/>
            </w:tcMar>
            <w:vAlign w:val="bottom"/>
          </w:tcPr>
          <w:p w14:paraId="6041D31C" w14:textId="77777777" w:rsidR="003F0EEA" w:rsidRPr="009C295F" w:rsidRDefault="00FB7D0B">
            <w:pPr>
              <w:rPr>
                <w:rFonts w:ascii="Arial" w:eastAsia="Arial" w:hAnsi="Arial" w:cs="Arial"/>
                <w:color w:val="000000"/>
                <w:sz w:val="16"/>
                <w:vertAlign w:val="superscript"/>
              </w:rPr>
            </w:pPr>
            <w:r w:rsidRPr="009C295F">
              <w:rPr>
                <w:rFonts w:ascii="Arial" w:eastAsia="Arial" w:hAnsi="Arial" w:cs="Arial"/>
                <w:color w:val="000000"/>
                <w:sz w:val="16"/>
              </w:rPr>
              <w:t xml:space="preserve"> </w:t>
            </w:r>
          </w:p>
        </w:tc>
        <w:tc>
          <w:tcPr>
            <w:tcW w:w="1080" w:type="dxa"/>
            <w:tcBorders>
              <w:top w:val="nil"/>
              <w:left w:val="nil"/>
              <w:bottom w:val="nil"/>
              <w:right w:val="nil"/>
              <w:tl2br w:val="nil"/>
              <w:tr2bl w:val="nil"/>
            </w:tcBorders>
            <w:shd w:val="clear" w:color="auto" w:fill="FFFFFF"/>
            <w:tcMar>
              <w:left w:w="115" w:type="dxa"/>
              <w:right w:w="115" w:type="dxa"/>
            </w:tcMar>
            <w:vAlign w:val="bottom"/>
          </w:tcPr>
          <w:p w14:paraId="584CB435" w14:textId="77777777" w:rsidR="003F0EEA" w:rsidRPr="009C295F" w:rsidRDefault="003F0EEA">
            <w:pPr>
              <w:jc w:val="right"/>
              <w:rPr>
                <w:rFonts w:ascii="Arial" w:eastAsia="Arial" w:hAnsi="Arial" w:cs="Arial"/>
                <w:color w:val="000000"/>
                <w:sz w:val="16"/>
              </w:rPr>
            </w:pPr>
          </w:p>
        </w:tc>
        <w:tc>
          <w:tcPr>
            <w:tcW w:w="300" w:type="dxa"/>
            <w:tcBorders>
              <w:top w:val="nil"/>
              <w:left w:val="nil"/>
              <w:bottom w:val="nil"/>
              <w:right w:val="nil"/>
              <w:tl2br w:val="nil"/>
              <w:tr2bl w:val="nil"/>
            </w:tcBorders>
            <w:shd w:val="clear" w:color="auto" w:fill="FFFFFF"/>
            <w:tcMar>
              <w:left w:w="115" w:type="dxa"/>
              <w:right w:w="115" w:type="dxa"/>
            </w:tcMar>
            <w:vAlign w:val="bottom"/>
          </w:tcPr>
          <w:p w14:paraId="11AA49B2" w14:textId="77777777" w:rsidR="003F0EEA" w:rsidRPr="009C295F" w:rsidRDefault="00FB7D0B">
            <w:pPr>
              <w:rPr>
                <w:rFonts w:ascii="Arial" w:eastAsia="Arial" w:hAnsi="Arial" w:cs="Arial"/>
                <w:color w:val="000000"/>
                <w:sz w:val="16"/>
              </w:rPr>
            </w:pPr>
            <w:r w:rsidRPr="009C295F">
              <w:rPr>
                <w:rFonts w:ascii="Arial" w:eastAsia="Arial" w:hAnsi="Arial" w:cs="Arial"/>
                <w:color w:val="000000"/>
                <w:sz w:val="16"/>
              </w:rPr>
              <w:t xml:space="preserve"> </w:t>
            </w:r>
          </w:p>
        </w:tc>
        <w:tc>
          <w:tcPr>
            <w:tcW w:w="1080" w:type="dxa"/>
            <w:tcBorders>
              <w:top w:val="nil"/>
              <w:left w:val="nil"/>
              <w:bottom w:val="nil"/>
              <w:right w:val="nil"/>
              <w:tl2br w:val="nil"/>
              <w:tr2bl w:val="nil"/>
            </w:tcBorders>
            <w:shd w:val="clear" w:color="auto" w:fill="FFFF00"/>
            <w:tcMar>
              <w:left w:w="115" w:type="dxa"/>
              <w:right w:w="115" w:type="dxa"/>
            </w:tcMar>
            <w:vAlign w:val="bottom"/>
          </w:tcPr>
          <w:p w14:paraId="4CD9EF7B" w14:textId="77777777" w:rsidR="003F0EEA" w:rsidRPr="009C295F" w:rsidRDefault="003F0EEA">
            <w:pPr>
              <w:jc w:val="right"/>
              <w:rPr>
                <w:rFonts w:ascii="Arial" w:eastAsia="Arial" w:hAnsi="Arial" w:cs="Arial"/>
                <w:color w:val="000000"/>
                <w:sz w:val="16"/>
              </w:rPr>
            </w:pPr>
          </w:p>
        </w:tc>
        <w:tc>
          <w:tcPr>
            <w:tcW w:w="1230" w:type="dxa"/>
            <w:tcBorders>
              <w:top w:val="nil"/>
              <w:left w:val="nil"/>
              <w:bottom w:val="nil"/>
              <w:right w:val="nil"/>
              <w:tl2br w:val="nil"/>
              <w:tr2bl w:val="nil"/>
            </w:tcBorders>
            <w:shd w:val="clear" w:color="auto" w:fill="FFFFFF"/>
            <w:tcMar>
              <w:left w:w="115" w:type="dxa"/>
              <w:right w:w="115" w:type="dxa"/>
            </w:tcMar>
            <w:vAlign w:val="bottom"/>
          </w:tcPr>
          <w:p w14:paraId="5FC515E7" w14:textId="77777777" w:rsidR="003F0EEA" w:rsidRPr="009C295F" w:rsidRDefault="003F0EEA">
            <w:pPr>
              <w:jc w:val="right"/>
              <w:rPr>
                <w:rFonts w:ascii="Arial" w:eastAsia="Arial" w:hAnsi="Arial" w:cs="Arial"/>
                <w:color w:val="000000"/>
                <w:sz w:val="16"/>
              </w:rPr>
            </w:pPr>
          </w:p>
        </w:tc>
      </w:tr>
      <w:tr w:rsidR="00FB7D0B" w14:paraId="40F30FD4" w14:textId="77777777" w:rsidTr="00FB7D0B">
        <w:trPr>
          <w:trHeight w:val="225"/>
        </w:trPr>
        <w:tc>
          <w:tcPr>
            <w:tcW w:w="180" w:type="dxa"/>
            <w:tcBorders>
              <w:top w:val="nil"/>
              <w:left w:val="nil"/>
              <w:bottom w:val="nil"/>
              <w:right w:val="nil"/>
              <w:tl2br w:val="nil"/>
              <w:tr2bl w:val="nil"/>
            </w:tcBorders>
            <w:shd w:val="clear" w:color="auto" w:fill="FFFFFF"/>
            <w:tcMar>
              <w:left w:w="115" w:type="dxa"/>
              <w:right w:w="115" w:type="dxa"/>
            </w:tcMar>
            <w:vAlign w:val="bottom"/>
          </w:tcPr>
          <w:p w14:paraId="65421148" w14:textId="77777777" w:rsidR="003F0EEA" w:rsidRPr="009C295F" w:rsidRDefault="003F0EEA">
            <w:pPr>
              <w:rPr>
                <w:rFonts w:ascii="Arial" w:eastAsia="Arial" w:hAnsi="Arial" w:cs="Arial"/>
                <w:color w:val="000000"/>
                <w:sz w:val="16"/>
              </w:rPr>
            </w:pPr>
          </w:p>
        </w:tc>
        <w:tc>
          <w:tcPr>
            <w:tcW w:w="2700" w:type="dxa"/>
            <w:gridSpan w:val="2"/>
            <w:vMerge w:val="restart"/>
            <w:tcBorders>
              <w:top w:val="nil"/>
              <w:left w:val="nil"/>
              <w:bottom w:val="nil"/>
              <w:right w:val="nil"/>
              <w:tl2br w:val="nil"/>
              <w:tr2bl w:val="nil"/>
            </w:tcBorders>
            <w:shd w:val="clear" w:color="auto" w:fill="FFFFFF"/>
            <w:tcMar>
              <w:left w:w="115" w:type="dxa"/>
              <w:right w:w="115" w:type="dxa"/>
            </w:tcMar>
            <w:vAlign w:val="bottom"/>
          </w:tcPr>
          <w:p w14:paraId="329DF603" w14:textId="77777777" w:rsidR="003F0EEA" w:rsidRPr="009C295F" w:rsidRDefault="00FB7D0B">
            <w:pPr>
              <w:rPr>
                <w:rFonts w:ascii="Arial" w:eastAsia="Arial" w:hAnsi="Arial" w:cs="Arial"/>
                <w:color w:val="000000"/>
                <w:sz w:val="16"/>
              </w:rPr>
            </w:pPr>
            <w:r w:rsidRPr="009C295F">
              <w:rPr>
                <w:rFonts w:ascii="Arial" w:eastAsia="Arial" w:hAnsi="Arial" w:cs="Arial"/>
                <w:color w:val="000000"/>
                <w:sz w:val="16"/>
              </w:rPr>
              <w:t>Prior year departmental appropriation</w:t>
            </w:r>
            <w:r w:rsidRPr="009C295F">
              <w:rPr>
                <w:rFonts w:ascii="Arial" w:eastAsia="Arial" w:hAnsi="Arial" w:cs="Arial"/>
                <w:color w:val="000000"/>
                <w:sz w:val="16"/>
                <w:vertAlign w:val="superscript"/>
              </w:rPr>
              <w:t>2 </w:t>
            </w:r>
          </w:p>
        </w:tc>
        <w:tc>
          <w:tcPr>
            <w:tcW w:w="360" w:type="dxa"/>
            <w:tcBorders>
              <w:top w:val="nil"/>
              <w:left w:val="nil"/>
              <w:bottom w:val="nil"/>
              <w:right w:val="nil"/>
              <w:tl2br w:val="nil"/>
              <w:tr2bl w:val="nil"/>
            </w:tcBorders>
            <w:shd w:val="clear" w:color="auto" w:fill="FFFFFF"/>
            <w:tcMar>
              <w:left w:w="115" w:type="dxa"/>
              <w:right w:w="115" w:type="dxa"/>
            </w:tcMar>
            <w:vAlign w:val="bottom"/>
          </w:tcPr>
          <w:p w14:paraId="70F3986B" w14:textId="77777777" w:rsidR="003F0EEA" w:rsidRPr="009C295F" w:rsidRDefault="003F0EEA">
            <w:pPr>
              <w:jc w:val="center"/>
              <w:rPr>
                <w:rFonts w:ascii="Arial" w:eastAsia="Arial" w:hAnsi="Arial" w:cs="Arial"/>
                <w:color w:val="000000"/>
                <w:sz w:val="16"/>
                <w:vertAlign w:val="superscript"/>
              </w:rPr>
            </w:pPr>
          </w:p>
        </w:tc>
        <w:tc>
          <w:tcPr>
            <w:tcW w:w="1230" w:type="dxa"/>
            <w:tcBorders>
              <w:top w:val="nil"/>
              <w:left w:val="nil"/>
              <w:bottom w:val="nil"/>
              <w:right w:val="nil"/>
              <w:tl2br w:val="nil"/>
              <w:tr2bl w:val="nil"/>
            </w:tcBorders>
            <w:shd w:val="clear" w:color="auto" w:fill="FFFFFF"/>
            <w:tcMar>
              <w:left w:w="115" w:type="dxa"/>
              <w:right w:w="115" w:type="dxa"/>
            </w:tcMar>
            <w:vAlign w:val="bottom"/>
          </w:tcPr>
          <w:p w14:paraId="4C2B3E13" w14:textId="77777777" w:rsidR="003F0EEA" w:rsidRPr="009C295F" w:rsidRDefault="00FB7D0B">
            <w:pPr>
              <w:jc w:val="right"/>
              <w:rPr>
                <w:rFonts w:ascii="Arial" w:eastAsia="Arial" w:hAnsi="Arial" w:cs="Arial"/>
                <w:b/>
                <w:color w:val="000000"/>
                <w:sz w:val="16"/>
                <w:vertAlign w:val="superscript"/>
              </w:rPr>
            </w:pPr>
            <w:r w:rsidRPr="009C295F">
              <w:rPr>
                <w:rFonts w:ascii="Arial" w:eastAsia="Arial" w:hAnsi="Arial" w:cs="Arial"/>
                <w:color w:val="000000"/>
                <w:sz w:val="16"/>
              </w:rPr>
              <w:t xml:space="preserve"> 11,689 </w:t>
            </w:r>
          </w:p>
        </w:tc>
        <w:tc>
          <w:tcPr>
            <w:tcW w:w="330" w:type="dxa"/>
            <w:tcBorders>
              <w:top w:val="nil"/>
              <w:left w:val="nil"/>
              <w:bottom w:val="nil"/>
              <w:right w:val="nil"/>
              <w:tl2br w:val="nil"/>
              <w:tr2bl w:val="nil"/>
            </w:tcBorders>
            <w:shd w:val="clear" w:color="auto" w:fill="FFFFFF"/>
            <w:tcMar>
              <w:left w:w="115" w:type="dxa"/>
              <w:right w:w="115" w:type="dxa"/>
            </w:tcMar>
            <w:vAlign w:val="bottom"/>
          </w:tcPr>
          <w:p w14:paraId="31F94CD3" w14:textId="77777777" w:rsidR="003F0EEA" w:rsidRPr="009C295F" w:rsidRDefault="00FB7D0B">
            <w:pPr>
              <w:rPr>
                <w:rFonts w:ascii="Arial" w:eastAsia="Arial" w:hAnsi="Arial" w:cs="Arial"/>
                <w:color w:val="000000"/>
                <w:sz w:val="16"/>
              </w:rPr>
            </w:pPr>
            <w:r w:rsidRPr="009C295F">
              <w:rPr>
                <w:rFonts w:ascii="Arial" w:eastAsia="Arial" w:hAnsi="Arial" w:cs="Arial"/>
                <w:color w:val="000000"/>
                <w:sz w:val="16"/>
              </w:rPr>
              <w:t xml:space="preserve"> </w:t>
            </w:r>
          </w:p>
        </w:tc>
        <w:tc>
          <w:tcPr>
            <w:tcW w:w="1080" w:type="dxa"/>
            <w:tcBorders>
              <w:top w:val="nil"/>
              <w:left w:val="nil"/>
              <w:bottom w:val="nil"/>
              <w:right w:val="nil"/>
              <w:tl2br w:val="nil"/>
              <w:tr2bl w:val="nil"/>
            </w:tcBorders>
            <w:shd w:val="clear" w:color="auto" w:fill="FFFFFF"/>
            <w:tcMar>
              <w:left w:w="115" w:type="dxa"/>
              <w:right w:w="115" w:type="dxa"/>
            </w:tcMar>
            <w:vAlign w:val="bottom"/>
          </w:tcPr>
          <w:p w14:paraId="44050009" w14:textId="77777777" w:rsidR="003F0EEA" w:rsidRPr="009C295F" w:rsidRDefault="00FB7D0B">
            <w:pPr>
              <w:jc w:val="right"/>
              <w:rPr>
                <w:rFonts w:ascii="Arial" w:eastAsia="Arial" w:hAnsi="Arial" w:cs="Arial"/>
                <w:color w:val="000000"/>
                <w:sz w:val="16"/>
              </w:rPr>
            </w:pPr>
            <w:r w:rsidRPr="009C295F">
              <w:rPr>
                <w:rFonts w:ascii="Arial" w:eastAsia="Arial" w:hAnsi="Arial" w:cs="Arial"/>
                <w:color w:val="000000"/>
                <w:sz w:val="16"/>
              </w:rPr>
              <w:t xml:space="preserve"> - </w:t>
            </w:r>
          </w:p>
        </w:tc>
        <w:tc>
          <w:tcPr>
            <w:tcW w:w="300" w:type="dxa"/>
            <w:tcBorders>
              <w:top w:val="nil"/>
              <w:left w:val="nil"/>
              <w:bottom w:val="nil"/>
              <w:right w:val="nil"/>
              <w:tl2br w:val="nil"/>
              <w:tr2bl w:val="nil"/>
            </w:tcBorders>
            <w:shd w:val="clear" w:color="auto" w:fill="FFFFFF"/>
            <w:tcMar>
              <w:left w:w="115" w:type="dxa"/>
              <w:right w:w="115" w:type="dxa"/>
            </w:tcMar>
            <w:vAlign w:val="bottom"/>
          </w:tcPr>
          <w:p w14:paraId="0EDF3AC1" w14:textId="77777777" w:rsidR="003F0EEA" w:rsidRPr="009C295F" w:rsidRDefault="00FB7D0B">
            <w:pPr>
              <w:rPr>
                <w:rFonts w:ascii="Arial" w:eastAsia="Arial" w:hAnsi="Arial" w:cs="Arial"/>
                <w:color w:val="000000"/>
                <w:sz w:val="16"/>
              </w:rPr>
            </w:pPr>
            <w:r w:rsidRPr="009C295F">
              <w:rPr>
                <w:rFonts w:ascii="Arial" w:eastAsia="Arial" w:hAnsi="Arial" w:cs="Arial"/>
                <w:color w:val="000000"/>
                <w:sz w:val="16"/>
              </w:rPr>
              <w:t xml:space="preserve"> </w:t>
            </w:r>
          </w:p>
        </w:tc>
        <w:tc>
          <w:tcPr>
            <w:tcW w:w="1080" w:type="dxa"/>
            <w:tcBorders>
              <w:top w:val="nil"/>
              <w:left w:val="nil"/>
              <w:bottom w:val="nil"/>
              <w:right w:val="nil"/>
              <w:tl2br w:val="nil"/>
              <w:tr2bl w:val="nil"/>
            </w:tcBorders>
            <w:shd w:val="clear" w:color="auto" w:fill="FFFF00"/>
            <w:tcMar>
              <w:left w:w="115" w:type="dxa"/>
              <w:right w:w="115" w:type="dxa"/>
            </w:tcMar>
            <w:vAlign w:val="bottom"/>
          </w:tcPr>
          <w:p w14:paraId="24DDBDA8" w14:textId="77777777" w:rsidR="003F0EEA" w:rsidRPr="009C295F" w:rsidRDefault="00FB7D0B">
            <w:pPr>
              <w:jc w:val="right"/>
              <w:rPr>
                <w:rFonts w:ascii="Arial" w:eastAsia="Arial" w:hAnsi="Arial" w:cs="Arial"/>
                <w:color w:val="000000"/>
                <w:sz w:val="16"/>
              </w:rPr>
            </w:pPr>
            <w:r w:rsidRPr="009C295F">
              <w:rPr>
                <w:rFonts w:ascii="Arial" w:eastAsia="Arial" w:hAnsi="Arial" w:cs="Arial"/>
                <w:color w:val="000000"/>
                <w:sz w:val="16"/>
              </w:rPr>
              <w:t xml:space="preserve"> 11,689 </w:t>
            </w:r>
          </w:p>
        </w:tc>
        <w:tc>
          <w:tcPr>
            <w:tcW w:w="1230" w:type="dxa"/>
            <w:tcBorders>
              <w:top w:val="nil"/>
              <w:left w:val="nil"/>
              <w:bottom w:val="nil"/>
              <w:right w:val="nil"/>
              <w:tl2br w:val="nil"/>
              <w:tr2bl w:val="nil"/>
            </w:tcBorders>
            <w:shd w:val="clear" w:color="auto" w:fill="FFFFFF"/>
            <w:tcMar>
              <w:left w:w="115" w:type="dxa"/>
              <w:right w:w="115" w:type="dxa"/>
            </w:tcMar>
            <w:vAlign w:val="bottom"/>
          </w:tcPr>
          <w:p w14:paraId="69C18AB4" w14:textId="77777777" w:rsidR="003F0EEA" w:rsidRPr="009C295F" w:rsidRDefault="00FB7D0B">
            <w:pPr>
              <w:jc w:val="right"/>
              <w:rPr>
                <w:rFonts w:ascii="Arial" w:eastAsia="Arial" w:hAnsi="Arial" w:cs="Arial"/>
                <w:color w:val="000000"/>
                <w:sz w:val="16"/>
              </w:rPr>
            </w:pPr>
            <w:r w:rsidRPr="009C295F">
              <w:rPr>
                <w:rFonts w:ascii="Arial" w:eastAsia="Arial" w:hAnsi="Arial" w:cs="Arial"/>
                <w:color w:val="000000"/>
                <w:sz w:val="16"/>
              </w:rPr>
              <w:t xml:space="preserve"> - </w:t>
            </w:r>
          </w:p>
        </w:tc>
      </w:tr>
      <w:tr w:rsidR="00FB7D0B" w14:paraId="434D4E4B" w14:textId="77777777" w:rsidTr="00FB7D0B">
        <w:trPr>
          <w:trHeight w:val="225"/>
        </w:trPr>
        <w:tc>
          <w:tcPr>
            <w:tcW w:w="180" w:type="dxa"/>
            <w:tcBorders>
              <w:top w:val="nil"/>
              <w:left w:val="nil"/>
              <w:bottom w:val="nil"/>
              <w:right w:val="nil"/>
              <w:tl2br w:val="nil"/>
              <w:tr2bl w:val="nil"/>
            </w:tcBorders>
            <w:shd w:val="clear" w:color="auto" w:fill="FFFFFF"/>
            <w:tcMar>
              <w:left w:w="115" w:type="dxa"/>
              <w:right w:w="115" w:type="dxa"/>
            </w:tcMar>
            <w:vAlign w:val="bottom"/>
          </w:tcPr>
          <w:p w14:paraId="47B31C32" w14:textId="77777777" w:rsidR="003F0EEA" w:rsidRPr="009C295F" w:rsidRDefault="003F0EEA">
            <w:pPr>
              <w:rPr>
                <w:rFonts w:ascii="Arial" w:eastAsia="Arial" w:hAnsi="Arial" w:cs="Arial"/>
                <w:color w:val="000000"/>
                <w:sz w:val="16"/>
              </w:rPr>
            </w:pPr>
          </w:p>
        </w:tc>
        <w:tc>
          <w:tcPr>
            <w:tcW w:w="2700" w:type="dxa"/>
            <w:gridSpan w:val="2"/>
            <w:vMerge w:val="restart"/>
            <w:tcBorders>
              <w:top w:val="nil"/>
              <w:left w:val="nil"/>
              <w:bottom w:val="nil"/>
              <w:right w:val="nil"/>
              <w:tl2br w:val="nil"/>
              <w:tr2bl w:val="nil"/>
            </w:tcBorders>
            <w:shd w:val="clear" w:color="auto" w:fill="FFFFFF"/>
            <w:tcMar>
              <w:left w:w="115" w:type="dxa"/>
              <w:right w:w="115" w:type="dxa"/>
            </w:tcMar>
            <w:vAlign w:val="bottom"/>
          </w:tcPr>
          <w:p w14:paraId="3D4D7E62" w14:textId="77777777" w:rsidR="003F0EEA" w:rsidRPr="009C295F" w:rsidRDefault="00FB7D0B">
            <w:pPr>
              <w:rPr>
                <w:rFonts w:ascii="Arial" w:eastAsia="Arial" w:hAnsi="Arial" w:cs="Arial"/>
                <w:color w:val="000000"/>
                <w:sz w:val="16"/>
              </w:rPr>
            </w:pPr>
            <w:r w:rsidRPr="009C295F">
              <w:rPr>
                <w:rFonts w:ascii="Arial" w:eastAsia="Arial" w:hAnsi="Arial" w:cs="Arial"/>
                <w:color w:val="000000"/>
                <w:sz w:val="16"/>
              </w:rPr>
              <w:t>Departmental appropriation</w:t>
            </w:r>
            <w:r w:rsidRPr="009C295F">
              <w:rPr>
                <w:rFonts w:ascii="Arial" w:eastAsia="Arial" w:hAnsi="Arial" w:cs="Arial"/>
                <w:color w:val="000000"/>
                <w:sz w:val="16"/>
                <w:vertAlign w:val="superscript"/>
              </w:rPr>
              <w:t>3 </w:t>
            </w:r>
          </w:p>
        </w:tc>
        <w:tc>
          <w:tcPr>
            <w:tcW w:w="360" w:type="dxa"/>
            <w:tcBorders>
              <w:top w:val="nil"/>
              <w:left w:val="nil"/>
              <w:bottom w:val="nil"/>
              <w:right w:val="nil"/>
              <w:tl2br w:val="nil"/>
              <w:tr2bl w:val="nil"/>
            </w:tcBorders>
            <w:shd w:val="clear" w:color="auto" w:fill="FFFFFF"/>
            <w:tcMar>
              <w:left w:w="115" w:type="dxa"/>
              <w:right w:w="115" w:type="dxa"/>
            </w:tcMar>
            <w:vAlign w:val="bottom"/>
          </w:tcPr>
          <w:p w14:paraId="60F655BC" w14:textId="77777777" w:rsidR="003F0EEA" w:rsidRPr="009C295F" w:rsidRDefault="003F0EEA">
            <w:pPr>
              <w:jc w:val="center"/>
              <w:rPr>
                <w:rFonts w:ascii="Arial" w:eastAsia="Arial" w:hAnsi="Arial" w:cs="Arial"/>
                <w:color w:val="000000"/>
                <w:sz w:val="16"/>
                <w:vertAlign w:val="superscript"/>
              </w:rPr>
            </w:pPr>
          </w:p>
        </w:tc>
        <w:tc>
          <w:tcPr>
            <w:tcW w:w="1230" w:type="dxa"/>
            <w:tcBorders>
              <w:top w:val="nil"/>
              <w:left w:val="nil"/>
              <w:bottom w:val="nil"/>
              <w:right w:val="nil"/>
              <w:tl2br w:val="nil"/>
              <w:tr2bl w:val="nil"/>
            </w:tcBorders>
            <w:shd w:val="clear" w:color="auto" w:fill="FFFFFF"/>
            <w:tcMar>
              <w:left w:w="115" w:type="dxa"/>
              <w:right w:w="115" w:type="dxa"/>
            </w:tcMar>
            <w:vAlign w:val="bottom"/>
          </w:tcPr>
          <w:p w14:paraId="6543E8DB" w14:textId="77777777" w:rsidR="003F0EEA" w:rsidRPr="009C295F" w:rsidRDefault="00FB7D0B">
            <w:pPr>
              <w:jc w:val="right"/>
              <w:rPr>
                <w:rFonts w:ascii="Arial" w:eastAsia="Arial" w:hAnsi="Arial" w:cs="Arial"/>
                <w:b/>
                <w:color w:val="000000"/>
                <w:sz w:val="16"/>
                <w:vertAlign w:val="superscript"/>
              </w:rPr>
            </w:pPr>
            <w:r w:rsidRPr="009C295F">
              <w:rPr>
                <w:rFonts w:ascii="Arial" w:eastAsia="Arial" w:hAnsi="Arial" w:cs="Arial"/>
                <w:color w:val="000000"/>
                <w:sz w:val="16"/>
              </w:rPr>
              <w:t xml:space="preserve"> - </w:t>
            </w:r>
          </w:p>
        </w:tc>
        <w:tc>
          <w:tcPr>
            <w:tcW w:w="330" w:type="dxa"/>
            <w:tcBorders>
              <w:top w:val="nil"/>
              <w:left w:val="nil"/>
              <w:bottom w:val="nil"/>
              <w:right w:val="nil"/>
              <w:tl2br w:val="nil"/>
              <w:tr2bl w:val="nil"/>
            </w:tcBorders>
            <w:shd w:val="clear" w:color="auto" w:fill="FFFFFF"/>
            <w:tcMar>
              <w:left w:w="115" w:type="dxa"/>
              <w:right w:w="115" w:type="dxa"/>
            </w:tcMar>
            <w:vAlign w:val="bottom"/>
          </w:tcPr>
          <w:p w14:paraId="79491869" w14:textId="77777777" w:rsidR="003F0EEA" w:rsidRPr="009C295F" w:rsidRDefault="00FB7D0B">
            <w:pPr>
              <w:rPr>
                <w:rFonts w:ascii="Arial" w:eastAsia="Arial" w:hAnsi="Arial" w:cs="Arial"/>
                <w:color w:val="000000"/>
                <w:sz w:val="16"/>
              </w:rPr>
            </w:pPr>
            <w:r w:rsidRPr="009C295F">
              <w:rPr>
                <w:rFonts w:ascii="Arial" w:eastAsia="Arial" w:hAnsi="Arial" w:cs="Arial"/>
                <w:color w:val="000000"/>
                <w:sz w:val="16"/>
              </w:rPr>
              <w:t xml:space="preserve"> </w:t>
            </w:r>
          </w:p>
        </w:tc>
        <w:tc>
          <w:tcPr>
            <w:tcW w:w="1080" w:type="dxa"/>
            <w:tcBorders>
              <w:top w:val="nil"/>
              <w:left w:val="nil"/>
              <w:bottom w:val="nil"/>
              <w:right w:val="nil"/>
              <w:tl2br w:val="nil"/>
              <w:tr2bl w:val="nil"/>
            </w:tcBorders>
            <w:shd w:val="clear" w:color="auto" w:fill="FFFFFF"/>
            <w:tcMar>
              <w:left w:w="115" w:type="dxa"/>
              <w:right w:w="115" w:type="dxa"/>
            </w:tcMar>
            <w:vAlign w:val="bottom"/>
          </w:tcPr>
          <w:p w14:paraId="043A61D8" w14:textId="77777777" w:rsidR="003F0EEA" w:rsidRPr="009C295F" w:rsidRDefault="00FB7D0B">
            <w:pPr>
              <w:jc w:val="right"/>
              <w:rPr>
                <w:rFonts w:ascii="Arial" w:eastAsia="Arial" w:hAnsi="Arial" w:cs="Arial"/>
                <w:color w:val="000000"/>
                <w:sz w:val="16"/>
              </w:rPr>
            </w:pPr>
            <w:r w:rsidRPr="009C295F">
              <w:rPr>
                <w:rFonts w:ascii="Arial" w:eastAsia="Arial" w:hAnsi="Arial" w:cs="Arial"/>
                <w:color w:val="000000"/>
                <w:sz w:val="16"/>
              </w:rPr>
              <w:t xml:space="preserve"> 296,775 </w:t>
            </w:r>
          </w:p>
        </w:tc>
        <w:tc>
          <w:tcPr>
            <w:tcW w:w="300" w:type="dxa"/>
            <w:tcBorders>
              <w:top w:val="nil"/>
              <w:left w:val="nil"/>
              <w:bottom w:val="nil"/>
              <w:right w:val="nil"/>
              <w:tl2br w:val="nil"/>
              <w:tr2bl w:val="nil"/>
            </w:tcBorders>
            <w:shd w:val="clear" w:color="auto" w:fill="FFFFFF"/>
            <w:tcMar>
              <w:left w:w="115" w:type="dxa"/>
              <w:right w:w="115" w:type="dxa"/>
            </w:tcMar>
            <w:vAlign w:val="bottom"/>
          </w:tcPr>
          <w:p w14:paraId="4EC84BF2" w14:textId="77777777" w:rsidR="003F0EEA" w:rsidRPr="009C295F" w:rsidRDefault="00FB7D0B">
            <w:pPr>
              <w:rPr>
                <w:rFonts w:ascii="Arial" w:eastAsia="Arial" w:hAnsi="Arial" w:cs="Arial"/>
                <w:color w:val="000000"/>
                <w:sz w:val="16"/>
              </w:rPr>
            </w:pPr>
            <w:r w:rsidRPr="009C295F">
              <w:rPr>
                <w:rFonts w:ascii="Arial" w:eastAsia="Arial" w:hAnsi="Arial" w:cs="Arial"/>
                <w:color w:val="000000"/>
                <w:sz w:val="16"/>
              </w:rPr>
              <w:t xml:space="preserve"> </w:t>
            </w:r>
          </w:p>
        </w:tc>
        <w:tc>
          <w:tcPr>
            <w:tcW w:w="1080" w:type="dxa"/>
            <w:tcBorders>
              <w:top w:val="nil"/>
              <w:left w:val="nil"/>
              <w:bottom w:val="nil"/>
              <w:right w:val="nil"/>
              <w:tl2br w:val="nil"/>
              <w:tr2bl w:val="nil"/>
            </w:tcBorders>
            <w:shd w:val="clear" w:color="auto" w:fill="FFFF00"/>
            <w:tcMar>
              <w:left w:w="115" w:type="dxa"/>
              <w:right w:w="115" w:type="dxa"/>
            </w:tcMar>
            <w:vAlign w:val="bottom"/>
          </w:tcPr>
          <w:p w14:paraId="751670C2" w14:textId="77777777" w:rsidR="003F0EEA" w:rsidRPr="009C295F" w:rsidRDefault="00FB7D0B">
            <w:pPr>
              <w:jc w:val="right"/>
              <w:rPr>
                <w:rFonts w:ascii="Arial" w:eastAsia="Arial" w:hAnsi="Arial" w:cs="Arial"/>
                <w:color w:val="000000"/>
                <w:sz w:val="16"/>
              </w:rPr>
            </w:pPr>
            <w:r w:rsidRPr="009C295F">
              <w:rPr>
                <w:rFonts w:ascii="Arial" w:eastAsia="Arial" w:hAnsi="Arial" w:cs="Arial"/>
                <w:color w:val="000000"/>
                <w:sz w:val="16"/>
              </w:rPr>
              <w:t xml:space="preserve"> 296,775 </w:t>
            </w:r>
          </w:p>
        </w:tc>
        <w:tc>
          <w:tcPr>
            <w:tcW w:w="1230" w:type="dxa"/>
            <w:tcBorders>
              <w:top w:val="nil"/>
              <w:left w:val="nil"/>
              <w:bottom w:val="nil"/>
              <w:right w:val="nil"/>
              <w:tl2br w:val="nil"/>
              <w:tr2bl w:val="nil"/>
            </w:tcBorders>
            <w:shd w:val="clear" w:color="auto" w:fill="FFFFFF"/>
            <w:tcMar>
              <w:left w:w="115" w:type="dxa"/>
              <w:right w:w="115" w:type="dxa"/>
            </w:tcMar>
            <w:vAlign w:val="bottom"/>
          </w:tcPr>
          <w:p w14:paraId="78F0A741" w14:textId="77777777" w:rsidR="003F0EEA" w:rsidRPr="009C295F" w:rsidRDefault="00FB7D0B">
            <w:pPr>
              <w:jc w:val="right"/>
              <w:rPr>
                <w:rFonts w:ascii="Arial" w:eastAsia="Arial" w:hAnsi="Arial" w:cs="Arial"/>
                <w:color w:val="000000"/>
                <w:sz w:val="16"/>
              </w:rPr>
            </w:pPr>
            <w:r w:rsidRPr="009C295F">
              <w:rPr>
                <w:rFonts w:ascii="Arial" w:eastAsia="Arial" w:hAnsi="Arial" w:cs="Arial"/>
                <w:color w:val="000000"/>
                <w:sz w:val="16"/>
              </w:rPr>
              <w:t xml:space="preserve"> 303,378 </w:t>
            </w:r>
          </w:p>
        </w:tc>
      </w:tr>
      <w:tr w:rsidR="00FB7D0B" w14:paraId="03D463F0" w14:textId="77777777" w:rsidTr="00FB7D0B">
        <w:trPr>
          <w:trHeight w:val="225"/>
        </w:trPr>
        <w:tc>
          <w:tcPr>
            <w:tcW w:w="180" w:type="dxa"/>
            <w:tcBorders>
              <w:top w:val="nil"/>
              <w:left w:val="nil"/>
              <w:bottom w:val="nil"/>
              <w:right w:val="nil"/>
              <w:tl2br w:val="nil"/>
              <w:tr2bl w:val="nil"/>
            </w:tcBorders>
            <w:shd w:val="clear" w:color="auto" w:fill="FFFFFF"/>
            <w:tcMar>
              <w:left w:w="115" w:type="dxa"/>
              <w:right w:w="115" w:type="dxa"/>
            </w:tcMar>
            <w:vAlign w:val="bottom"/>
          </w:tcPr>
          <w:p w14:paraId="07C15975" w14:textId="77777777" w:rsidR="003F0EEA" w:rsidRPr="009C295F" w:rsidRDefault="003F0EEA">
            <w:pPr>
              <w:rPr>
                <w:rFonts w:ascii="Arial" w:eastAsia="Arial" w:hAnsi="Arial" w:cs="Arial"/>
                <w:color w:val="000000"/>
                <w:sz w:val="16"/>
              </w:rPr>
            </w:pPr>
          </w:p>
        </w:tc>
        <w:tc>
          <w:tcPr>
            <w:tcW w:w="2700" w:type="dxa"/>
            <w:gridSpan w:val="2"/>
            <w:tcBorders>
              <w:top w:val="nil"/>
              <w:left w:val="nil"/>
              <w:bottom w:val="nil"/>
              <w:right w:val="nil"/>
              <w:tl2br w:val="nil"/>
              <w:tr2bl w:val="nil"/>
            </w:tcBorders>
            <w:shd w:val="clear" w:color="auto" w:fill="FFFFFF"/>
            <w:tcMar>
              <w:left w:w="115" w:type="dxa"/>
              <w:right w:w="115" w:type="dxa"/>
            </w:tcMar>
            <w:vAlign w:val="bottom"/>
          </w:tcPr>
          <w:p w14:paraId="1F91988D" w14:textId="77777777" w:rsidR="003F0EEA" w:rsidRPr="009C295F" w:rsidRDefault="00FB7D0B">
            <w:pPr>
              <w:rPr>
                <w:rFonts w:ascii="Arial" w:eastAsia="Arial" w:hAnsi="Arial" w:cs="Arial"/>
                <w:color w:val="000000"/>
                <w:sz w:val="16"/>
              </w:rPr>
            </w:pPr>
            <w:r w:rsidRPr="009C295F">
              <w:rPr>
                <w:rFonts w:ascii="Arial" w:eastAsia="Arial" w:hAnsi="Arial" w:cs="Arial"/>
                <w:color w:val="000000"/>
                <w:sz w:val="16"/>
              </w:rPr>
              <w:t>s31 Relevant agency receipts</w:t>
            </w:r>
            <w:r w:rsidRPr="009C295F">
              <w:rPr>
                <w:rFonts w:ascii="Arial" w:eastAsia="Arial" w:hAnsi="Arial" w:cs="Arial"/>
                <w:color w:val="000000"/>
                <w:sz w:val="16"/>
                <w:vertAlign w:val="superscript"/>
              </w:rPr>
              <w:t>4 </w:t>
            </w:r>
          </w:p>
        </w:tc>
        <w:tc>
          <w:tcPr>
            <w:tcW w:w="360" w:type="dxa"/>
            <w:tcBorders>
              <w:top w:val="nil"/>
              <w:left w:val="nil"/>
              <w:bottom w:val="nil"/>
              <w:right w:val="nil"/>
              <w:tl2br w:val="nil"/>
              <w:tr2bl w:val="nil"/>
            </w:tcBorders>
            <w:shd w:val="clear" w:color="auto" w:fill="FFFFFF"/>
            <w:tcMar>
              <w:left w:w="115" w:type="dxa"/>
              <w:right w:w="115" w:type="dxa"/>
            </w:tcMar>
            <w:vAlign w:val="bottom"/>
          </w:tcPr>
          <w:p w14:paraId="2F9611CB" w14:textId="77777777" w:rsidR="003F0EEA" w:rsidRPr="009C295F" w:rsidRDefault="003F0EEA">
            <w:pPr>
              <w:jc w:val="center"/>
              <w:rPr>
                <w:rFonts w:ascii="Arial" w:eastAsia="Arial" w:hAnsi="Arial" w:cs="Arial"/>
                <w:color w:val="000000"/>
                <w:sz w:val="16"/>
                <w:vertAlign w:val="superscript"/>
              </w:rPr>
            </w:pPr>
          </w:p>
        </w:tc>
        <w:tc>
          <w:tcPr>
            <w:tcW w:w="1230" w:type="dxa"/>
            <w:tcBorders>
              <w:top w:val="nil"/>
              <w:left w:val="nil"/>
              <w:bottom w:val="nil"/>
              <w:right w:val="nil"/>
              <w:tl2br w:val="nil"/>
              <w:tr2bl w:val="nil"/>
            </w:tcBorders>
            <w:shd w:val="clear" w:color="auto" w:fill="FFFFFF"/>
            <w:tcMar>
              <w:left w:w="115" w:type="dxa"/>
              <w:right w:w="115" w:type="dxa"/>
            </w:tcMar>
            <w:vAlign w:val="bottom"/>
          </w:tcPr>
          <w:p w14:paraId="2B3577E8" w14:textId="77777777" w:rsidR="003F0EEA" w:rsidRPr="009C295F" w:rsidRDefault="00FB7D0B">
            <w:pPr>
              <w:jc w:val="right"/>
              <w:rPr>
                <w:rFonts w:ascii="Arial" w:eastAsia="Arial" w:hAnsi="Arial" w:cs="Arial"/>
                <w:color w:val="000000"/>
                <w:sz w:val="16"/>
                <w:vertAlign w:val="superscript"/>
              </w:rPr>
            </w:pPr>
            <w:r w:rsidRPr="009C295F">
              <w:rPr>
                <w:rFonts w:ascii="Arial" w:eastAsia="Arial" w:hAnsi="Arial" w:cs="Arial"/>
                <w:color w:val="000000"/>
                <w:sz w:val="16"/>
              </w:rPr>
              <w:t xml:space="preserve"> - </w:t>
            </w:r>
          </w:p>
        </w:tc>
        <w:tc>
          <w:tcPr>
            <w:tcW w:w="330" w:type="dxa"/>
            <w:tcBorders>
              <w:top w:val="nil"/>
              <w:left w:val="nil"/>
              <w:bottom w:val="nil"/>
              <w:right w:val="nil"/>
              <w:tl2br w:val="nil"/>
              <w:tr2bl w:val="nil"/>
            </w:tcBorders>
            <w:shd w:val="clear" w:color="auto" w:fill="FFFFFF"/>
            <w:tcMar>
              <w:left w:w="115" w:type="dxa"/>
              <w:right w:w="115" w:type="dxa"/>
            </w:tcMar>
            <w:vAlign w:val="bottom"/>
          </w:tcPr>
          <w:p w14:paraId="3D45CCFB" w14:textId="77777777" w:rsidR="003F0EEA" w:rsidRPr="009C295F" w:rsidRDefault="00FB7D0B">
            <w:pPr>
              <w:rPr>
                <w:rFonts w:ascii="Arial" w:eastAsia="Arial" w:hAnsi="Arial" w:cs="Arial"/>
                <w:color w:val="000000"/>
                <w:sz w:val="16"/>
              </w:rPr>
            </w:pPr>
            <w:r w:rsidRPr="009C295F">
              <w:rPr>
                <w:rFonts w:ascii="Arial" w:eastAsia="Arial" w:hAnsi="Arial" w:cs="Arial"/>
                <w:i/>
                <w:color w:val="000000"/>
                <w:sz w:val="16"/>
              </w:rPr>
              <w:t xml:space="preserve"> </w:t>
            </w:r>
          </w:p>
        </w:tc>
        <w:tc>
          <w:tcPr>
            <w:tcW w:w="1080" w:type="dxa"/>
            <w:tcBorders>
              <w:top w:val="nil"/>
              <w:left w:val="nil"/>
              <w:bottom w:val="nil"/>
              <w:right w:val="nil"/>
              <w:tl2br w:val="nil"/>
              <w:tr2bl w:val="nil"/>
            </w:tcBorders>
            <w:shd w:val="clear" w:color="auto" w:fill="FFFFFF"/>
            <w:tcMar>
              <w:left w:w="115" w:type="dxa"/>
              <w:right w:w="115" w:type="dxa"/>
            </w:tcMar>
            <w:vAlign w:val="bottom"/>
          </w:tcPr>
          <w:p w14:paraId="39D5A0E3" w14:textId="77777777" w:rsidR="003F0EEA" w:rsidRPr="009C295F" w:rsidRDefault="00FB7D0B">
            <w:pPr>
              <w:jc w:val="right"/>
              <w:rPr>
                <w:rFonts w:ascii="Arial" w:eastAsia="Arial" w:hAnsi="Arial" w:cs="Arial"/>
                <w:i/>
                <w:color w:val="000000"/>
                <w:sz w:val="16"/>
              </w:rPr>
            </w:pPr>
            <w:r w:rsidRPr="009C295F">
              <w:rPr>
                <w:rFonts w:ascii="Arial" w:eastAsia="Arial" w:hAnsi="Arial" w:cs="Arial"/>
                <w:color w:val="000000"/>
                <w:sz w:val="16"/>
              </w:rPr>
              <w:t xml:space="preserve"> 10,881 </w:t>
            </w:r>
          </w:p>
        </w:tc>
        <w:tc>
          <w:tcPr>
            <w:tcW w:w="300" w:type="dxa"/>
            <w:tcBorders>
              <w:top w:val="nil"/>
              <w:left w:val="nil"/>
              <w:bottom w:val="nil"/>
              <w:right w:val="nil"/>
              <w:tl2br w:val="nil"/>
              <w:tr2bl w:val="nil"/>
            </w:tcBorders>
            <w:shd w:val="clear" w:color="auto" w:fill="FFFFFF"/>
            <w:tcMar>
              <w:left w:w="115" w:type="dxa"/>
              <w:right w:w="115" w:type="dxa"/>
            </w:tcMar>
            <w:vAlign w:val="bottom"/>
          </w:tcPr>
          <w:p w14:paraId="5389E6ED" w14:textId="77777777" w:rsidR="003F0EEA" w:rsidRPr="009C295F" w:rsidRDefault="00FB7D0B">
            <w:pPr>
              <w:rPr>
                <w:rFonts w:ascii="Arial" w:eastAsia="Arial" w:hAnsi="Arial" w:cs="Arial"/>
                <w:color w:val="000000"/>
                <w:sz w:val="16"/>
              </w:rPr>
            </w:pPr>
            <w:r w:rsidRPr="009C295F">
              <w:rPr>
                <w:rFonts w:ascii="Arial" w:eastAsia="Arial" w:hAnsi="Arial" w:cs="Arial"/>
                <w:b/>
                <w:color w:val="000000"/>
                <w:sz w:val="16"/>
              </w:rPr>
              <w:t xml:space="preserve"> </w:t>
            </w:r>
          </w:p>
        </w:tc>
        <w:tc>
          <w:tcPr>
            <w:tcW w:w="1080" w:type="dxa"/>
            <w:tcBorders>
              <w:top w:val="nil"/>
              <w:left w:val="nil"/>
              <w:bottom w:val="nil"/>
              <w:right w:val="nil"/>
              <w:tl2br w:val="nil"/>
              <w:tr2bl w:val="nil"/>
            </w:tcBorders>
            <w:shd w:val="clear" w:color="auto" w:fill="FFFF00"/>
            <w:tcMar>
              <w:left w:w="115" w:type="dxa"/>
              <w:right w:w="115" w:type="dxa"/>
            </w:tcMar>
            <w:vAlign w:val="bottom"/>
          </w:tcPr>
          <w:p w14:paraId="6C6CF05B" w14:textId="77777777" w:rsidR="003F0EEA" w:rsidRPr="009C295F" w:rsidRDefault="00FB7D0B">
            <w:pPr>
              <w:jc w:val="right"/>
              <w:rPr>
                <w:rFonts w:ascii="Arial" w:eastAsia="Arial" w:hAnsi="Arial" w:cs="Arial"/>
                <w:b/>
                <w:color w:val="000000"/>
                <w:sz w:val="16"/>
              </w:rPr>
            </w:pPr>
            <w:r w:rsidRPr="009C295F">
              <w:rPr>
                <w:rFonts w:ascii="Arial" w:eastAsia="Arial" w:hAnsi="Arial" w:cs="Arial"/>
                <w:color w:val="000000"/>
                <w:sz w:val="16"/>
              </w:rPr>
              <w:t xml:space="preserve"> 10,881 </w:t>
            </w:r>
          </w:p>
        </w:tc>
        <w:tc>
          <w:tcPr>
            <w:tcW w:w="1230" w:type="dxa"/>
            <w:tcBorders>
              <w:top w:val="nil"/>
              <w:left w:val="nil"/>
              <w:bottom w:val="nil"/>
              <w:right w:val="nil"/>
              <w:tl2br w:val="nil"/>
              <w:tr2bl w:val="nil"/>
            </w:tcBorders>
            <w:shd w:val="clear" w:color="auto" w:fill="FFFFFF"/>
            <w:tcMar>
              <w:left w:w="115" w:type="dxa"/>
              <w:right w:w="115" w:type="dxa"/>
            </w:tcMar>
            <w:vAlign w:val="bottom"/>
          </w:tcPr>
          <w:p w14:paraId="2A4DC03B" w14:textId="77777777" w:rsidR="003F0EEA" w:rsidRPr="009C295F" w:rsidRDefault="00FB7D0B">
            <w:pPr>
              <w:jc w:val="right"/>
              <w:rPr>
                <w:rFonts w:ascii="Arial" w:eastAsia="Arial" w:hAnsi="Arial" w:cs="Arial"/>
                <w:color w:val="000000"/>
                <w:sz w:val="16"/>
              </w:rPr>
            </w:pPr>
            <w:r w:rsidRPr="009C295F">
              <w:rPr>
                <w:rFonts w:ascii="Arial" w:eastAsia="Arial" w:hAnsi="Arial" w:cs="Arial"/>
                <w:color w:val="000000"/>
                <w:sz w:val="16"/>
              </w:rPr>
              <w:t xml:space="preserve"> 10,276 </w:t>
            </w:r>
          </w:p>
        </w:tc>
      </w:tr>
      <w:tr w:rsidR="00FB7D0B" w14:paraId="20274F75" w14:textId="77777777" w:rsidTr="00FB7D0B">
        <w:trPr>
          <w:trHeight w:val="225"/>
        </w:trPr>
        <w:tc>
          <w:tcPr>
            <w:tcW w:w="180" w:type="dxa"/>
            <w:tcBorders>
              <w:top w:val="nil"/>
              <w:left w:val="nil"/>
              <w:bottom w:val="nil"/>
              <w:right w:val="nil"/>
              <w:tl2br w:val="nil"/>
              <w:tr2bl w:val="nil"/>
            </w:tcBorders>
            <w:shd w:val="clear" w:color="auto" w:fill="FFFFFF"/>
            <w:tcMar>
              <w:left w:w="115" w:type="dxa"/>
              <w:right w:w="115" w:type="dxa"/>
            </w:tcMar>
            <w:vAlign w:val="bottom"/>
          </w:tcPr>
          <w:p w14:paraId="060AB320" w14:textId="77777777" w:rsidR="003F0EEA" w:rsidRPr="009C295F" w:rsidRDefault="003F0EEA">
            <w:pPr>
              <w:rPr>
                <w:rFonts w:ascii="Arial" w:eastAsia="Arial" w:hAnsi="Arial" w:cs="Arial"/>
                <w:color w:val="000000"/>
                <w:sz w:val="16"/>
              </w:rPr>
            </w:pPr>
          </w:p>
        </w:tc>
        <w:tc>
          <w:tcPr>
            <w:tcW w:w="2700" w:type="dxa"/>
            <w:gridSpan w:val="2"/>
            <w:tcBorders>
              <w:top w:val="nil"/>
              <w:left w:val="nil"/>
              <w:bottom w:val="nil"/>
              <w:right w:val="nil"/>
              <w:tl2br w:val="nil"/>
              <w:tr2bl w:val="nil"/>
            </w:tcBorders>
            <w:shd w:val="clear" w:color="auto" w:fill="FFFFFF"/>
            <w:tcMar>
              <w:left w:w="115" w:type="dxa"/>
              <w:right w:w="115" w:type="dxa"/>
            </w:tcMar>
            <w:vAlign w:val="bottom"/>
          </w:tcPr>
          <w:p w14:paraId="63868A4B" w14:textId="77777777" w:rsidR="003F0EEA" w:rsidRPr="009C295F" w:rsidRDefault="00FB7D0B">
            <w:pPr>
              <w:rPr>
                <w:rFonts w:ascii="Arial" w:eastAsia="Arial" w:hAnsi="Arial" w:cs="Arial"/>
                <w:color w:val="000000"/>
                <w:sz w:val="16"/>
              </w:rPr>
            </w:pPr>
            <w:r w:rsidRPr="009C295F">
              <w:rPr>
                <w:rFonts w:ascii="Arial" w:eastAsia="Arial" w:hAnsi="Arial" w:cs="Arial"/>
                <w:b/>
                <w:color w:val="000000"/>
                <w:sz w:val="16"/>
              </w:rPr>
              <w:t>Total</w:t>
            </w:r>
          </w:p>
        </w:tc>
        <w:tc>
          <w:tcPr>
            <w:tcW w:w="360" w:type="dxa"/>
            <w:tcBorders>
              <w:top w:val="nil"/>
              <w:left w:val="nil"/>
              <w:bottom w:val="nil"/>
              <w:right w:val="nil"/>
              <w:tl2br w:val="nil"/>
              <w:tr2bl w:val="nil"/>
            </w:tcBorders>
            <w:shd w:val="clear" w:color="auto" w:fill="FFFFFF"/>
            <w:tcMar>
              <w:left w:w="115" w:type="dxa"/>
              <w:right w:w="115" w:type="dxa"/>
            </w:tcMar>
            <w:vAlign w:val="bottom"/>
          </w:tcPr>
          <w:p w14:paraId="3B745DE0" w14:textId="77777777" w:rsidR="003F0EEA" w:rsidRPr="009C295F" w:rsidRDefault="003F0EEA">
            <w:pPr>
              <w:jc w:val="center"/>
              <w:rPr>
                <w:rFonts w:ascii="Arial" w:eastAsia="Arial" w:hAnsi="Arial" w:cs="Arial"/>
                <w:b/>
                <w:color w:val="000000"/>
                <w:sz w:val="16"/>
                <w:vertAlign w:val="superscript"/>
              </w:rPr>
            </w:pPr>
          </w:p>
        </w:tc>
        <w:tc>
          <w:tcPr>
            <w:tcW w:w="1230"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7A423329" w14:textId="77777777" w:rsidR="003F0EEA" w:rsidRPr="009C295F" w:rsidRDefault="00FB7D0B">
            <w:pPr>
              <w:jc w:val="right"/>
              <w:rPr>
                <w:rFonts w:ascii="Arial" w:eastAsia="Arial" w:hAnsi="Arial" w:cs="Arial"/>
                <w:b/>
                <w:color w:val="000000"/>
                <w:sz w:val="16"/>
                <w:vertAlign w:val="superscript"/>
              </w:rPr>
            </w:pPr>
            <w:r w:rsidRPr="009C295F">
              <w:rPr>
                <w:rFonts w:ascii="Arial" w:eastAsia="Arial" w:hAnsi="Arial" w:cs="Arial"/>
                <w:b/>
                <w:color w:val="000000"/>
                <w:sz w:val="16"/>
              </w:rPr>
              <w:t xml:space="preserve"> 11,689 </w:t>
            </w:r>
          </w:p>
        </w:tc>
        <w:tc>
          <w:tcPr>
            <w:tcW w:w="330"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58B1B576" w14:textId="77777777" w:rsidR="003F0EEA" w:rsidRPr="009C295F" w:rsidRDefault="00FB7D0B">
            <w:pPr>
              <w:rPr>
                <w:rFonts w:ascii="Arial" w:eastAsia="Arial" w:hAnsi="Arial" w:cs="Arial"/>
                <w:b/>
                <w:color w:val="000000"/>
                <w:sz w:val="16"/>
              </w:rPr>
            </w:pPr>
            <w:r w:rsidRPr="009C295F">
              <w:rPr>
                <w:rFonts w:ascii="Arial" w:eastAsia="Arial" w:hAnsi="Arial" w:cs="Arial"/>
                <w:b/>
                <w:i/>
                <w:color w:val="000000"/>
                <w:sz w:val="16"/>
              </w:rPr>
              <w:t xml:space="preserve"> </w:t>
            </w:r>
          </w:p>
        </w:tc>
        <w:tc>
          <w:tcPr>
            <w:tcW w:w="1080"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348B5C97" w14:textId="77777777" w:rsidR="003F0EEA" w:rsidRPr="009C295F" w:rsidRDefault="00FB7D0B">
            <w:pPr>
              <w:jc w:val="right"/>
              <w:rPr>
                <w:rFonts w:ascii="Arial" w:eastAsia="Arial" w:hAnsi="Arial" w:cs="Arial"/>
                <w:b/>
                <w:i/>
                <w:color w:val="000000"/>
                <w:sz w:val="16"/>
              </w:rPr>
            </w:pPr>
            <w:r w:rsidRPr="009C295F">
              <w:rPr>
                <w:rFonts w:ascii="Arial" w:eastAsia="Arial" w:hAnsi="Arial" w:cs="Arial"/>
                <w:b/>
                <w:color w:val="000000"/>
                <w:sz w:val="16"/>
              </w:rPr>
              <w:t xml:space="preserve"> 307,656 </w:t>
            </w:r>
          </w:p>
        </w:tc>
        <w:tc>
          <w:tcPr>
            <w:tcW w:w="300"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616BD5D5" w14:textId="77777777" w:rsidR="003F0EEA" w:rsidRPr="009C295F" w:rsidRDefault="00FB7D0B">
            <w:pPr>
              <w:rPr>
                <w:rFonts w:ascii="Arial" w:eastAsia="Arial" w:hAnsi="Arial" w:cs="Arial"/>
                <w:b/>
                <w:color w:val="000000"/>
                <w:sz w:val="16"/>
              </w:rPr>
            </w:pPr>
            <w:r w:rsidRPr="009C295F">
              <w:rPr>
                <w:rFonts w:ascii="Arial" w:eastAsia="Arial" w:hAnsi="Arial" w:cs="Arial"/>
                <w:b/>
                <w:color w:val="000000"/>
                <w:sz w:val="16"/>
              </w:rPr>
              <w:t xml:space="preserve"> </w:t>
            </w:r>
          </w:p>
        </w:tc>
        <w:tc>
          <w:tcPr>
            <w:tcW w:w="1080" w:type="dxa"/>
            <w:tcBorders>
              <w:top w:val="nil"/>
              <w:left w:val="nil"/>
              <w:bottom w:val="single" w:sz="6" w:space="0" w:color="000000"/>
              <w:right w:val="nil"/>
              <w:tl2br w:val="nil"/>
              <w:tr2bl w:val="nil"/>
            </w:tcBorders>
            <w:shd w:val="clear" w:color="auto" w:fill="FFFF00"/>
            <w:tcMar>
              <w:left w:w="115" w:type="dxa"/>
              <w:right w:w="115" w:type="dxa"/>
            </w:tcMar>
            <w:vAlign w:val="bottom"/>
          </w:tcPr>
          <w:p w14:paraId="00F74970" w14:textId="77777777" w:rsidR="003F0EEA" w:rsidRPr="009C295F" w:rsidRDefault="00FB7D0B">
            <w:pPr>
              <w:jc w:val="right"/>
              <w:rPr>
                <w:rFonts w:ascii="Arial" w:eastAsia="Arial" w:hAnsi="Arial" w:cs="Arial"/>
                <w:b/>
                <w:color w:val="000000"/>
                <w:sz w:val="16"/>
              </w:rPr>
            </w:pPr>
            <w:r w:rsidRPr="009C295F">
              <w:rPr>
                <w:rFonts w:ascii="Arial" w:eastAsia="Arial" w:hAnsi="Arial" w:cs="Arial"/>
                <w:b/>
                <w:color w:val="000000"/>
                <w:sz w:val="16"/>
              </w:rPr>
              <w:t xml:space="preserve"> 319,345 </w:t>
            </w:r>
          </w:p>
        </w:tc>
        <w:tc>
          <w:tcPr>
            <w:tcW w:w="1230"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29C9073C" w14:textId="77777777" w:rsidR="003F0EEA" w:rsidRPr="009C295F" w:rsidRDefault="00FB7D0B">
            <w:pPr>
              <w:jc w:val="right"/>
              <w:rPr>
                <w:rFonts w:ascii="Arial" w:eastAsia="Arial" w:hAnsi="Arial" w:cs="Arial"/>
                <w:b/>
                <w:color w:val="000000"/>
                <w:sz w:val="16"/>
              </w:rPr>
            </w:pPr>
            <w:r w:rsidRPr="009C295F">
              <w:rPr>
                <w:rFonts w:ascii="Arial" w:eastAsia="Arial" w:hAnsi="Arial" w:cs="Arial"/>
                <w:b/>
                <w:color w:val="000000"/>
                <w:sz w:val="16"/>
              </w:rPr>
              <w:t xml:space="preserve"> 313,654 </w:t>
            </w:r>
          </w:p>
        </w:tc>
      </w:tr>
      <w:tr w:rsidR="00724034" w14:paraId="5B8E7F25" w14:textId="77777777">
        <w:trPr>
          <w:trHeight w:val="225"/>
        </w:trPr>
        <w:tc>
          <w:tcPr>
            <w:tcW w:w="180" w:type="dxa"/>
            <w:tcBorders>
              <w:top w:val="nil"/>
              <w:left w:val="nil"/>
              <w:bottom w:val="nil"/>
              <w:right w:val="nil"/>
              <w:tl2br w:val="nil"/>
              <w:tr2bl w:val="nil"/>
            </w:tcBorders>
            <w:shd w:val="clear" w:color="auto" w:fill="FFFFFF"/>
            <w:tcMar>
              <w:left w:w="115" w:type="dxa"/>
              <w:right w:w="115" w:type="dxa"/>
            </w:tcMar>
            <w:vAlign w:val="bottom"/>
          </w:tcPr>
          <w:p w14:paraId="1F20057F" w14:textId="77777777" w:rsidR="003F0EEA" w:rsidRPr="009C295F" w:rsidRDefault="003F0EEA">
            <w:pPr>
              <w:rPr>
                <w:rFonts w:ascii="Arial" w:eastAsia="Arial" w:hAnsi="Arial" w:cs="Arial"/>
                <w:b/>
                <w:color w:val="000000"/>
                <w:sz w:val="16"/>
              </w:rPr>
            </w:pPr>
          </w:p>
        </w:tc>
        <w:tc>
          <w:tcPr>
            <w:tcW w:w="180" w:type="dxa"/>
            <w:tcBorders>
              <w:top w:val="nil"/>
              <w:left w:val="nil"/>
              <w:bottom w:val="nil"/>
              <w:right w:val="nil"/>
              <w:tl2br w:val="nil"/>
              <w:tr2bl w:val="nil"/>
            </w:tcBorders>
            <w:shd w:val="clear" w:color="auto" w:fill="FFFFFF"/>
            <w:tcMar>
              <w:left w:w="115" w:type="dxa"/>
              <w:right w:w="115" w:type="dxa"/>
            </w:tcMar>
            <w:vAlign w:val="bottom"/>
          </w:tcPr>
          <w:p w14:paraId="2A7FADFF" w14:textId="77777777" w:rsidR="003F0EEA" w:rsidRPr="009C295F" w:rsidRDefault="003F0EEA">
            <w:pPr>
              <w:rPr>
                <w:rFonts w:ascii="Arial" w:eastAsia="Arial" w:hAnsi="Arial" w:cs="Arial"/>
                <w:color w:val="000000"/>
                <w:sz w:val="16"/>
              </w:rPr>
            </w:pPr>
          </w:p>
        </w:tc>
        <w:tc>
          <w:tcPr>
            <w:tcW w:w="2520" w:type="dxa"/>
            <w:tcBorders>
              <w:top w:val="nil"/>
              <w:left w:val="nil"/>
              <w:bottom w:val="nil"/>
              <w:right w:val="nil"/>
              <w:tl2br w:val="nil"/>
              <w:tr2bl w:val="nil"/>
            </w:tcBorders>
            <w:shd w:val="clear" w:color="auto" w:fill="FFFFFF"/>
            <w:tcMar>
              <w:left w:w="115" w:type="dxa"/>
              <w:right w:w="115" w:type="dxa"/>
            </w:tcMar>
            <w:vAlign w:val="bottom"/>
          </w:tcPr>
          <w:p w14:paraId="7F42CB17" w14:textId="77777777" w:rsidR="003F0EEA" w:rsidRPr="009C295F" w:rsidRDefault="003F0EEA">
            <w:pPr>
              <w:rPr>
                <w:rFonts w:ascii="Arial" w:eastAsia="Arial" w:hAnsi="Arial" w:cs="Arial"/>
                <w:color w:val="000000"/>
                <w:sz w:val="16"/>
              </w:rPr>
            </w:pPr>
          </w:p>
        </w:tc>
        <w:tc>
          <w:tcPr>
            <w:tcW w:w="360" w:type="dxa"/>
            <w:tcBorders>
              <w:top w:val="nil"/>
              <w:left w:val="nil"/>
              <w:bottom w:val="nil"/>
              <w:right w:val="nil"/>
              <w:tl2br w:val="nil"/>
              <w:tr2bl w:val="nil"/>
            </w:tcBorders>
            <w:shd w:val="clear" w:color="auto" w:fill="FFFFFF"/>
            <w:tcMar>
              <w:left w:w="115" w:type="dxa"/>
              <w:right w:w="115" w:type="dxa"/>
            </w:tcMar>
            <w:vAlign w:val="bottom"/>
          </w:tcPr>
          <w:p w14:paraId="4076236F" w14:textId="77777777" w:rsidR="003F0EEA" w:rsidRPr="009C295F" w:rsidRDefault="003F0EEA">
            <w:pPr>
              <w:jc w:val="center"/>
              <w:rPr>
                <w:rFonts w:ascii="Arial" w:eastAsia="Arial" w:hAnsi="Arial" w:cs="Arial"/>
                <w:color w:val="000000"/>
                <w:sz w:val="16"/>
                <w:vertAlign w:val="superscript"/>
              </w:rPr>
            </w:pPr>
          </w:p>
        </w:tc>
        <w:tc>
          <w:tcPr>
            <w:tcW w:w="1230"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0F3A351D" w14:textId="77777777" w:rsidR="003F0EEA" w:rsidRPr="009C295F" w:rsidRDefault="003F0EEA">
            <w:pPr>
              <w:jc w:val="right"/>
              <w:rPr>
                <w:rFonts w:ascii="Arial" w:eastAsia="Arial" w:hAnsi="Arial" w:cs="Arial"/>
                <w:color w:val="000000"/>
                <w:sz w:val="16"/>
                <w:vertAlign w:val="superscript"/>
              </w:rPr>
            </w:pPr>
          </w:p>
        </w:tc>
        <w:tc>
          <w:tcPr>
            <w:tcW w:w="330"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47146091" w14:textId="77777777" w:rsidR="003F0EEA" w:rsidRPr="009C295F" w:rsidRDefault="00FB7D0B">
            <w:pPr>
              <w:rPr>
                <w:rFonts w:ascii="Arial" w:eastAsia="Arial" w:hAnsi="Arial" w:cs="Arial"/>
                <w:color w:val="000000"/>
                <w:sz w:val="16"/>
                <w:vertAlign w:val="superscript"/>
              </w:rPr>
            </w:pPr>
            <w:r w:rsidRPr="009C295F">
              <w:rPr>
                <w:rFonts w:ascii="Arial" w:eastAsia="Arial" w:hAnsi="Arial" w:cs="Arial"/>
                <w:color w:val="000000"/>
                <w:sz w:val="16"/>
              </w:rPr>
              <w:t xml:space="preserve"> </w:t>
            </w:r>
          </w:p>
        </w:tc>
        <w:tc>
          <w:tcPr>
            <w:tcW w:w="1080" w:type="dxa"/>
            <w:tcBorders>
              <w:top w:val="single" w:sz="6" w:space="0" w:color="000000"/>
              <w:left w:val="nil"/>
              <w:bottom w:val="nil"/>
              <w:right w:val="nil"/>
              <w:tl2br w:val="nil"/>
              <w:tr2bl w:val="nil"/>
            </w:tcBorders>
            <w:shd w:val="clear" w:color="auto" w:fill="FFFFFF"/>
            <w:tcMar>
              <w:left w:w="115" w:type="dxa"/>
              <w:right w:w="115" w:type="dxa"/>
            </w:tcMar>
          </w:tcPr>
          <w:p w14:paraId="73C97C01" w14:textId="77777777" w:rsidR="003F0EEA" w:rsidRPr="009C295F" w:rsidRDefault="003F0EEA">
            <w:pPr>
              <w:jc w:val="right"/>
              <w:rPr>
                <w:rFonts w:ascii="Arial" w:eastAsia="Arial" w:hAnsi="Arial" w:cs="Arial"/>
                <w:color w:val="000000"/>
                <w:sz w:val="16"/>
              </w:rPr>
            </w:pPr>
          </w:p>
        </w:tc>
        <w:tc>
          <w:tcPr>
            <w:tcW w:w="300"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13A730B2" w14:textId="77777777" w:rsidR="003F0EEA" w:rsidRPr="009C295F" w:rsidRDefault="00FB7D0B">
            <w:pPr>
              <w:rPr>
                <w:rFonts w:ascii="Arial" w:eastAsia="Arial" w:hAnsi="Arial" w:cs="Arial"/>
                <w:color w:val="000000"/>
                <w:sz w:val="16"/>
              </w:rPr>
            </w:pPr>
            <w:r w:rsidRPr="009C295F">
              <w:rPr>
                <w:rFonts w:ascii="Arial" w:eastAsia="Arial" w:hAnsi="Arial" w:cs="Arial"/>
                <w:color w:val="000000"/>
                <w:sz w:val="16"/>
              </w:rPr>
              <w:t xml:space="preserve"> </w:t>
            </w:r>
          </w:p>
        </w:tc>
        <w:tc>
          <w:tcPr>
            <w:tcW w:w="1080" w:type="dxa"/>
            <w:tcBorders>
              <w:top w:val="single" w:sz="6" w:space="0" w:color="000000"/>
              <w:left w:val="nil"/>
              <w:bottom w:val="nil"/>
              <w:right w:val="nil"/>
              <w:tl2br w:val="nil"/>
              <w:tr2bl w:val="nil"/>
            </w:tcBorders>
            <w:shd w:val="clear" w:color="auto" w:fill="FFFF00"/>
            <w:tcMar>
              <w:left w:w="115" w:type="dxa"/>
              <w:right w:w="115" w:type="dxa"/>
            </w:tcMar>
          </w:tcPr>
          <w:p w14:paraId="1003D9BC" w14:textId="77777777" w:rsidR="003F0EEA" w:rsidRPr="009C295F" w:rsidRDefault="003F0EEA">
            <w:pPr>
              <w:jc w:val="right"/>
              <w:rPr>
                <w:rFonts w:ascii="Arial" w:eastAsia="Arial" w:hAnsi="Arial" w:cs="Arial"/>
                <w:color w:val="000000"/>
                <w:sz w:val="16"/>
              </w:rPr>
            </w:pPr>
          </w:p>
        </w:tc>
        <w:tc>
          <w:tcPr>
            <w:tcW w:w="1230"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7EC4B631" w14:textId="77777777" w:rsidR="003F0EEA" w:rsidRPr="009C295F" w:rsidRDefault="003F0EEA">
            <w:pPr>
              <w:jc w:val="right"/>
              <w:rPr>
                <w:rFonts w:ascii="Arial" w:eastAsia="Arial" w:hAnsi="Arial" w:cs="Arial"/>
                <w:color w:val="000000"/>
                <w:sz w:val="16"/>
              </w:rPr>
            </w:pPr>
          </w:p>
        </w:tc>
      </w:tr>
      <w:tr w:rsidR="00FB7D0B" w14:paraId="668DE90F" w14:textId="77777777" w:rsidTr="00FB7D0B">
        <w:trPr>
          <w:trHeight w:val="210"/>
        </w:trPr>
        <w:tc>
          <w:tcPr>
            <w:tcW w:w="2880" w:type="dxa"/>
            <w:gridSpan w:val="3"/>
            <w:tcBorders>
              <w:top w:val="nil"/>
              <w:left w:val="nil"/>
              <w:bottom w:val="nil"/>
              <w:right w:val="nil"/>
              <w:tl2br w:val="nil"/>
              <w:tr2bl w:val="nil"/>
            </w:tcBorders>
            <w:shd w:val="clear" w:color="auto" w:fill="FFFFFF"/>
            <w:tcMar>
              <w:left w:w="115" w:type="dxa"/>
              <w:right w:w="115" w:type="dxa"/>
            </w:tcMar>
            <w:vAlign w:val="bottom"/>
          </w:tcPr>
          <w:p w14:paraId="04B08656" w14:textId="77777777" w:rsidR="003F0EEA" w:rsidRPr="009C295F" w:rsidRDefault="00FB7D0B">
            <w:pPr>
              <w:rPr>
                <w:rFonts w:ascii="Arial" w:eastAsia="Arial" w:hAnsi="Arial" w:cs="Arial"/>
                <w:color w:val="000000"/>
                <w:sz w:val="16"/>
              </w:rPr>
            </w:pPr>
            <w:r w:rsidRPr="009C295F">
              <w:rPr>
                <w:rFonts w:ascii="Arial" w:eastAsia="Arial" w:hAnsi="Arial" w:cs="Arial"/>
                <w:b/>
                <w:color w:val="000000"/>
                <w:sz w:val="16"/>
              </w:rPr>
              <w:t>Administered expenses</w:t>
            </w:r>
          </w:p>
        </w:tc>
        <w:tc>
          <w:tcPr>
            <w:tcW w:w="360" w:type="dxa"/>
            <w:tcBorders>
              <w:top w:val="nil"/>
              <w:left w:val="nil"/>
              <w:bottom w:val="nil"/>
              <w:right w:val="nil"/>
              <w:tl2br w:val="nil"/>
              <w:tr2bl w:val="nil"/>
            </w:tcBorders>
            <w:shd w:val="clear" w:color="auto" w:fill="FFFFFF"/>
            <w:tcMar>
              <w:left w:w="115" w:type="dxa"/>
              <w:right w:w="115" w:type="dxa"/>
            </w:tcMar>
            <w:vAlign w:val="bottom"/>
          </w:tcPr>
          <w:p w14:paraId="031E4732" w14:textId="77777777" w:rsidR="003F0EEA" w:rsidRPr="009C295F" w:rsidRDefault="003F0EEA">
            <w:pPr>
              <w:jc w:val="center"/>
              <w:rPr>
                <w:rFonts w:ascii="Arial" w:eastAsia="Arial" w:hAnsi="Arial" w:cs="Arial"/>
                <w:b/>
                <w:color w:val="000000"/>
                <w:sz w:val="16"/>
                <w:vertAlign w:val="superscript"/>
              </w:rPr>
            </w:pPr>
          </w:p>
        </w:tc>
        <w:tc>
          <w:tcPr>
            <w:tcW w:w="1230" w:type="dxa"/>
            <w:tcBorders>
              <w:top w:val="nil"/>
              <w:left w:val="nil"/>
              <w:bottom w:val="nil"/>
              <w:right w:val="nil"/>
              <w:tl2br w:val="nil"/>
              <w:tr2bl w:val="nil"/>
            </w:tcBorders>
            <w:shd w:val="clear" w:color="auto" w:fill="FFFFFF"/>
            <w:tcMar>
              <w:left w:w="115" w:type="dxa"/>
              <w:right w:w="115" w:type="dxa"/>
            </w:tcMar>
            <w:vAlign w:val="bottom"/>
          </w:tcPr>
          <w:p w14:paraId="3B9DF440" w14:textId="77777777" w:rsidR="003F0EEA" w:rsidRPr="009C295F" w:rsidRDefault="003F0EEA">
            <w:pPr>
              <w:jc w:val="right"/>
              <w:rPr>
                <w:rFonts w:ascii="Arial" w:eastAsia="Arial" w:hAnsi="Arial" w:cs="Arial"/>
                <w:b/>
                <w:color w:val="000000"/>
                <w:sz w:val="16"/>
                <w:vertAlign w:val="superscript"/>
              </w:rPr>
            </w:pPr>
          </w:p>
        </w:tc>
        <w:tc>
          <w:tcPr>
            <w:tcW w:w="330" w:type="dxa"/>
            <w:tcBorders>
              <w:top w:val="nil"/>
              <w:left w:val="nil"/>
              <w:bottom w:val="nil"/>
              <w:right w:val="nil"/>
              <w:tl2br w:val="nil"/>
              <w:tr2bl w:val="nil"/>
            </w:tcBorders>
            <w:shd w:val="clear" w:color="auto" w:fill="FFFFFF"/>
            <w:tcMar>
              <w:left w:w="115" w:type="dxa"/>
              <w:right w:w="115" w:type="dxa"/>
            </w:tcMar>
            <w:vAlign w:val="bottom"/>
          </w:tcPr>
          <w:p w14:paraId="35AFFFBD" w14:textId="77777777" w:rsidR="003F0EEA" w:rsidRPr="009C295F" w:rsidRDefault="00FB7D0B">
            <w:pPr>
              <w:rPr>
                <w:rFonts w:ascii="Arial" w:eastAsia="Arial" w:hAnsi="Arial" w:cs="Arial"/>
                <w:color w:val="000000"/>
                <w:sz w:val="16"/>
                <w:vertAlign w:val="superscript"/>
              </w:rPr>
            </w:pPr>
            <w:r w:rsidRPr="009C295F">
              <w:rPr>
                <w:rFonts w:ascii="Arial" w:eastAsia="Arial" w:hAnsi="Arial" w:cs="Arial"/>
                <w:color w:val="000000"/>
                <w:sz w:val="16"/>
              </w:rPr>
              <w:t xml:space="preserve"> </w:t>
            </w:r>
          </w:p>
        </w:tc>
        <w:tc>
          <w:tcPr>
            <w:tcW w:w="1080" w:type="dxa"/>
            <w:tcBorders>
              <w:top w:val="nil"/>
              <w:left w:val="nil"/>
              <w:bottom w:val="nil"/>
              <w:right w:val="nil"/>
              <w:tl2br w:val="nil"/>
              <w:tr2bl w:val="nil"/>
            </w:tcBorders>
            <w:shd w:val="clear" w:color="auto" w:fill="FFFFFF"/>
            <w:tcMar>
              <w:left w:w="115" w:type="dxa"/>
              <w:right w:w="115" w:type="dxa"/>
            </w:tcMar>
          </w:tcPr>
          <w:p w14:paraId="3BF2C0E4" w14:textId="77777777" w:rsidR="003F0EEA" w:rsidRPr="009C295F" w:rsidRDefault="003F0EEA">
            <w:pPr>
              <w:jc w:val="right"/>
              <w:rPr>
                <w:rFonts w:ascii="Arial" w:eastAsia="Arial" w:hAnsi="Arial" w:cs="Arial"/>
                <w:color w:val="000000"/>
                <w:sz w:val="16"/>
              </w:rPr>
            </w:pPr>
          </w:p>
        </w:tc>
        <w:tc>
          <w:tcPr>
            <w:tcW w:w="300" w:type="dxa"/>
            <w:tcBorders>
              <w:top w:val="nil"/>
              <w:left w:val="nil"/>
              <w:bottom w:val="nil"/>
              <w:right w:val="nil"/>
              <w:tl2br w:val="nil"/>
              <w:tr2bl w:val="nil"/>
            </w:tcBorders>
            <w:shd w:val="clear" w:color="auto" w:fill="FFFFFF"/>
            <w:tcMar>
              <w:left w:w="115" w:type="dxa"/>
              <w:right w:w="115" w:type="dxa"/>
            </w:tcMar>
            <w:vAlign w:val="bottom"/>
          </w:tcPr>
          <w:p w14:paraId="6ADEAC63" w14:textId="77777777" w:rsidR="003F0EEA" w:rsidRPr="009C295F" w:rsidRDefault="00FB7D0B">
            <w:pPr>
              <w:rPr>
                <w:rFonts w:ascii="Arial" w:eastAsia="Arial" w:hAnsi="Arial" w:cs="Arial"/>
                <w:color w:val="000000"/>
                <w:sz w:val="16"/>
              </w:rPr>
            </w:pPr>
            <w:r w:rsidRPr="009C295F">
              <w:rPr>
                <w:rFonts w:ascii="Arial" w:eastAsia="Arial" w:hAnsi="Arial" w:cs="Arial"/>
                <w:color w:val="000000"/>
                <w:sz w:val="16"/>
              </w:rPr>
              <w:t xml:space="preserve"> </w:t>
            </w:r>
          </w:p>
        </w:tc>
        <w:tc>
          <w:tcPr>
            <w:tcW w:w="1080" w:type="dxa"/>
            <w:tcBorders>
              <w:top w:val="nil"/>
              <w:left w:val="nil"/>
              <w:bottom w:val="nil"/>
              <w:right w:val="nil"/>
              <w:tl2br w:val="nil"/>
              <w:tr2bl w:val="nil"/>
            </w:tcBorders>
            <w:shd w:val="clear" w:color="auto" w:fill="FFFF00"/>
            <w:tcMar>
              <w:left w:w="115" w:type="dxa"/>
              <w:right w:w="115" w:type="dxa"/>
            </w:tcMar>
          </w:tcPr>
          <w:p w14:paraId="7B884FB1" w14:textId="77777777" w:rsidR="003F0EEA" w:rsidRPr="009C295F" w:rsidRDefault="003F0EEA">
            <w:pPr>
              <w:jc w:val="right"/>
              <w:rPr>
                <w:rFonts w:ascii="Arial" w:eastAsia="Arial" w:hAnsi="Arial" w:cs="Arial"/>
                <w:color w:val="000000"/>
                <w:sz w:val="16"/>
              </w:rPr>
            </w:pPr>
          </w:p>
        </w:tc>
        <w:tc>
          <w:tcPr>
            <w:tcW w:w="1230" w:type="dxa"/>
            <w:tcBorders>
              <w:top w:val="nil"/>
              <w:left w:val="nil"/>
              <w:bottom w:val="nil"/>
              <w:right w:val="nil"/>
              <w:tl2br w:val="nil"/>
              <w:tr2bl w:val="nil"/>
            </w:tcBorders>
            <w:shd w:val="clear" w:color="auto" w:fill="FFFFFF"/>
            <w:tcMar>
              <w:left w:w="115" w:type="dxa"/>
              <w:right w:w="115" w:type="dxa"/>
            </w:tcMar>
            <w:vAlign w:val="bottom"/>
          </w:tcPr>
          <w:p w14:paraId="376631B6" w14:textId="77777777" w:rsidR="003F0EEA" w:rsidRPr="009C295F" w:rsidRDefault="003F0EEA">
            <w:pPr>
              <w:jc w:val="right"/>
              <w:rPr>
                <w:rFonts w:ascii="Arial" w:eastAsia="Arial" w:hAnsi="Arial" w:cs="Arial"/>
                <w:color w:val="000000"/>
                <w:sz w:val="16"/>
              </w:rPr>
            </w:pPr>
          </w:p>
        </w:tc>
      </w:tr>
      <w:tr w:rsidR="00FB7D0B" w14:paraId="4DDFA2EE" w14:textId="77777777" w:rsidTr="00FB7D0B">
        <w:trPr>
          <w:trHeight w:val="225"/>
        </w:trPr>
        <w:tc>
          <w:tcPr>
            <w:tcW w:w="180" w:type="dxa"/>
            <w:tcBorders>
              <w:top w:val="nil"/>
              <w:left w:val="nil"/>
              <w:bottom w:val="nil"/>
              <w:right w:val="nil"/>
              <w:tl2br w:val="nil"/>
              <w:tr2bl w:val="nil"/>
            </w:tcBorders>
            <w:shd w:val="clear" w:color="auto" w:fill="FFFFFF"/>
            <w:tcMar>
              <w:left w:w="115" w:type="dxa"/>
              <w:right w:w="115" w:type="dxa"/>
            </w:tcMar>
            <w:vAlign w:val="bottom"/>
          </w:tcPr>
          <w:p w14:paraId="6D32CB66" w14:textId="77777777" w:rsidR="003F0EEA" w:rsidRPr="009C295F" w:rsidRDefault="003F0EEA">
            <w:pPr>
              <w:rPr>
                <w:rFonts w:ascii="Arial" w:eastAsia="Arial" w:hAnsi="Arial" w:cs="Arial"/>
                <w:color w:val="000000"/>
                <w:sz w:val="16"/>
              </w:rPr>
            </w:pPr>
          </w:p>
        </w:tc>
        <w:tc>
          <w:tcPr>
            <w:tcW w:w="2700" w:type="dxa"/>
            <w:gridSpan w:val="2"/>
            <w:vMerge w:val="restart"/>
            <w:tcBorders>
              <w:top w:val="nil"/>
              <w:left w:val="nil"/>
              <w:bottom w:val="nil"/>
              <w:right w:val="nil"/>
              <w:tl2br w:val="nil"/>
              <w:tr2bl w:val="nil"/>
            </w:tcBorders>
            <w:shd w:val="clear" w:color="auto" w:fill="FFFFFF"/>
            <w:tcMar>
              <w:left w:w="115" w:type="dxa"/>
              <w:right w:w="115" w:type="dxa"/>
            </w:tcMar>
            <w:vAlign w:val="bottom"/>
          </w:tcPr>
          <w:p w14:paraId="50B1F7EC" w14:textId="77777777" w:rsidR="003F0EEA" w:rsidRPr="009C295F" w:rsidRDefault="00FB7D0B">
            <w:pPr>
              <w:rPr>
                <w:rFonts w:ascii="Arial" w:eastAsia="Arial" w:hAnsi="Arial" w:cs="Arial"/>
                <w:color w:val="000000"/>
                <w:sz w:val="16"/>
              </w:rPr>
            </w:pPr>
            <w:r w:rsidRPr="009C295F">
              <w:rPr>
                <w:rFonts w:ascii="Arial" w:eastAsia="Arial" w:hAnsi="Arial" w:cs="Arial"/>
                <w:color w:val="000000"/>
                <w:sz w:val="16"/>
              </w:rPr>
              <w:t>Outcome 1</w:t>
            </w:r>
            <w:r w:rsidRPr="009C295F">
              <w:rPr>
                <w:rFonts w:ascii="Arial" w:eastAsia="Arial" w:hAnsi="Arial" w:cs="Arial"/>
                <w:color w:val="000000"/>
                <w:sz w:val="16"/>
                <w:vertAlign w:val="superscript"/>
              </w:rPr>
              <w:t>8 </w:t>
            </w:r>
          </w:p>
        </w:tc>
        <w:tc>
          <w:tcPr>
            <w:tcW w:w="360" w:type="dxa"/>
            <w:tcBorders>
              <w:top w:val="nil"/>
              <w:left w:val="nil"/>
              <w:bottom w:val="nil"/>
              <w:right w:val="nil"/>
              <w:tl2br w:val="nil"/>
              <w:tr2bl w:val="nil"/>
            </w:tcBorders>
            <w:shd w:val="clear" w:color="auto" w:fill="FFFFFF"/>
            <w:tcMar>
              <w:left w:w="115" w:type="dxa"/>
              <w:right w:w="115" w:type="dxa"/>
            </w:tcMar>
            <w:vAlign w:val="bottom"/>
          </w:tcPr>
          <w:p w14:paraId="5680F9EA" w14:textId="77777777" w:rsidR="003F0EEA" w:rsidRPr="009C295F" w:rsidRDefault="003F0EEA">
            <w:pPr>
              <w:jc w:val="center"/>
              <w:rPr>
                <w:rFonts w:ascii="Arial" w:eastAsia="Arial" w:hAnsi="Arial" w:cs="Arial"/>
                <w:color w:val="000000"/>
                <w:sz w:val="16"/>
                <w:vertAlign w:val="superscript"/>
              </w:rPr>
            </w:pPr>
          </w:p>
        </w:tc>
        <w:tc>
          <w:tcPr>
            <w:tcW w:w="1230" w:type="dxa"/>
            <w:tcBorders>
              <w:top w:val="nil"/>
              <w:left w:val="nil"/>
              <w:bottom w:val="nil"/>
              <w:right w:val="nil"/>
              <w:tl2br w:val="nil"/>
              <w:tr2bl w:val="nil"/>
            </w:tcBorders>
            <w:shd w:val="clear" w:color="auto" w:fill="FFFFFF"/>
            <w:tcMar>
              <w:left w:w="115" w:type="dxa"/>
              <w:right w:w="115" w:type="dxa"/>
            </w:tcMar>
            <w:vAlign w:val="bottom"/>
          </w:tcPr>
          <w:p w14:paraId="2D007667" w14:textId="77777777" w:rsidR="003F0EEA" w:rsidRPr="009C295F" w:rsidRDefault="00FB7D0B">
            <w:pPr>
              <w:jc w:val="right"/>
              <w:rPr>
                <w:rFonts w:ascii="Arial" w:eastAsia="Arial" w:hAnsi="Arial" w:cs="Arial"/>
                <w:color w:val="000000"/>
                <w:sz w:val="16"/>
                <w:vertAlign w:val="superscript"/>
              </w:rPr>
            </w:pPr>
            <w:r w:rsidRPr="009C295F">
              <w:rPr>
                <w:rFonts w:ascii="Arial" w:eastAsia="Arial" w:hAnsi="Arial" w:cs="Arial"/>
                <w:color w:val="000000"/>
                <w:sz w:val="16"/>
              </w:rPr>
              <w:t xml:space="preserve"> - </w:t>
            </w:r>
          </w:p>
        </w:tc>
        <w:tc>
          <w:tcPr>
            <w:tcW w:w="330" w:type="dxa"/>
            <w:tcBorders>
              <w:top w:val="nil"/>
              <w:left w:val="nil"/>
              <w:bottom w:val="nil"/>
              <w:right w:val="nil"/>
              <w:tl2br w:val="nil"/>
              <w:tr2bl w:val="nil"/>
            </w:tcBorders>
            <w:shd w:val="clear" w:color="auto" w:fill="FFFFFF"/>
            <w:tcMar>
              <w:left w:w="115" w:type="dxa"/>
              <w:right w:w="115" w:type="dxa"/>
            </w:tcMar>
            <w:vAlign w:val="bottom"/>
          </w:tcPr>
          <w:p w14:paraId="05CB1295" w14:textId="77777777" w:rsidR="003F0EEA" w:rsidRPr="009C295F" w:rsidRDefault="00FB7D0B">
            <w:pPr>
              <w:rPr>
                <w:rFonts w:ascii="Arial" w:eastAsia="Arial" w:hAnsi="Arial" w:cs="Arial"/>
                <w:color w:val="000000"/>
                <w:sz w:val="16"/>
              </w:rPr>
            </w:pPr>
            <w:r w:rsidRPr="009C295F">
              <w:rPr>
                <w:rFonts w:ascii="Arial" w:eastAsia="Arial" w:hAnsi="Arial" w:cs="Arial"/>
                <w:i/>
                <w:color w:val="000000"/>
                <w:sz w:val="16"/>
              </w:rPr>
              <w:t xml:space="preserve"> </w:t>
            </w:r>
          </w:p>
        </w:tc>
        <w:tc>
          <w:tcPr>
            <w:tcW w:w="1080" w:type="dxa"/>
            <w:tcBorders>
              <w:top w:val="nil"/>
              <w:left w:val="nil"/>
              <w:bottom w:val="nil"/>
              <w:right w:val="nil"/>
              <w:tl2br w:val="nil"/>
              <w:tr2bl w:val="nil"/>
            </w:tcBorders>
            <w:shd w:val="clear" w:color="auto" w:fill="FFFFFF"/>
            <w:tcMar>
              <w:left w:w="115" w:type="dxa"/>
              <w:right w:w="115" w:type="dxa"/>
            </w:tcMar>
            <w:vAlign w:val="bottom"/>
          </w:tcPr>
          <w:p w14:paraId="5A948457" w14:textId="77777777" w:rsidR="003F0EEA" w:rsidRPr="009C295F" w:rsidRDefault="00FB7D0B">
            <w:pPr>
              <w:jc w:val="right"/>
              <w:rPr>
                <w:rFonts w:ascii="Arial" w:eastAsia="Arial" w:hAnsi="Arial" w:cs="Arial"/>
                <w:i/>
                <w:color w:val="000000"/>
                <w:sz w:val="16"/>
              </w:rPr>
            </w:pPr>
            <w:r w:rsidRPr="009C295F">
              <w:rPr>
                <w:rFonts w:ascii="Arial" w:eastAsia="Arial" w:hAnsi="Arial" w:cs="Arial"/>
                <w:color w:val="000000"/>
                <w:sz w:val="16"/>
              </w:rPr>
              <w:t xml:space="preserve"> 40,895 </w:t>
            </w:r>
          </w:p>
        </w:tc>
        <w:tc>
          <w:tcPr>
            <w:tcW w:w="300" w:type="dxa"/>
            <w:tcBorders>
              <w:top w:val="nil"/>
              <w:left w:val="nil"/>
              <w:bottom w:val="nil"/>
              <w:right w:val="nil"/>
              <w:tl2br w:val="nil"/>
              <w:tr2bl w:val="nil"/>
            </w:tcBorders>
            <w:shd w:val="clear" w:color="auto" w:fill="FFFFFF"/>
            <w:tcMar>
              <w:left w:w="115" w:type="dxa"/>
              <w:right w:w="115" w:type="dxa"/>
            </w:tcMar>
            <w:vAlign w:val="bottom"/>
          </w:tcPr>
          <w:p w14:paraId="0EA5EFE0" w14:textId="77777777" w:rsidR="003F0EEA" w:rsidRPr="009C295F" w:rsidRDefault="00FB7D0B">
            <w:pPr>
              <w:rPr>
                <w:rFonts w:ascii="Arial" w:eastAsia="Arial" w:hAnsi="Arial" w:cs="Arial"/>
                <w:color w:val="000000"/>
                <w:sz w:val="16"/>
              </w:rPr>
            </w:pPr>
            <w:r w:rsidRPr="009C295F">
              <w:rPr>
                <w:rFonts w:ascii="Arial" w:eastAsia="Arial" w:hAnsi="Arial" w:cs="Arial"/>
                <w:color w:val="000000"/>
                <w:sz w:val="16"/>
              </w:rPr>
              <w:t xml:space="preserve"> </w:t>
            </w:r>
          </w:p>
        </w:tc>
        <w:tc>
          <w:tcPr>
            <w:tcW w:w="1080" w:type="dxa"/>
            <w:tcBorders>
              <w:top w:val="nil"/>
              <w:left w:val="nil"/>
              <w:bottom w:val="nil"/>
              <w:right w:val="nil"/>
              <w:tl2br w:val="nil"/>
              <w:tr2bl w:val="nil"/>
            </w:tcBorders>
            <w:shd w:val="clear" w:color="auto" w:fill="FFFF00"/>
            <w:tcMar>
              <w:left w:w="115" w:type="dxa"/>
              <w:right w:w="115" w:type="dxa"/>
            </w:tcMar>
            <w:vAlign w:val="bottom"/>
          </w:tcPr>
          <w:p w14:paraId="0EF017EE" w14:textId="77777777" w:rsidR="003F0EEA" w:rsidRPr="009C295F" w:rsidRDefault="00FB7D0B">
            <w:pPr>
              <w:jc w:val="right"/>
              <w:rPr>
                <w:rFonts w:ascii="Arial" w:eastAsia="Arial" w:hAnsi="Arial" w:cs="Arial"/>
                <w:color w:val="000000"/>
                <w:sz w:val="16"/>
              </w:rPr>
            </w:pPr>
            <w:r w:rsidRPr="009C295F">
              <w:rPr>
                <w:rFonts w:ascii="Arial" w:eastAsia="Arial" w:hAnsi="Arial" w:cs="Arial"/>
                <w:color w:val="000000"/>
                <w:sz w:val="16"/>
              </w:rPr>
              <w:t xml:space="preserve"> 40,895 </w:t>
            </w:r>
          </w:p>
        </w:tc>
        <w:tc>
          <w:tcPr>
            <w:tcW w:w="1230" w:type="dxa"/>
            <w:tcBorders>
              <w:top w:val="nil"/>
              <w:left w:val="nil"/>
              <w:bottom w:val="nil"/>
              <w:right w:val="nil"/>
              <w:tl2br w:val="nil"/>
              <w:tr2bl w:val="nil"/>
            </w:tcBorders>
            <w:shd w:val="clear" w:color="auto" w:fill="FFFFFF"/>
            <w:tcMar>
              <w:left w:w="115" w:type="dxa"/>
              <w:right w:w="115" w:type="dxa"/>
            </w:tcMar>
            <w:vAlign w:val="bottom"/>
          </w:tcPr>
          <w:p w14:paraId="2BD2B7BD" w14:textId="77777777" w:rsidR="003F0EEA" w:rsidRPr="009C295F" w:rsidRDefault="00FB7D0B">
            <w:pPr>
              <w:jc w:val="right"/>
              <w:rPr>
                <w:rFonts w:ascii="Arial" w:eastAsia="Arial" w:hAnsi="Arial" w:cs="Arial"/>
                <w:color w:val="000000"/>
                <w:sz w:val="16"/>
              </w:rPr>
            </w:pPr>
            <w:r w:rsidRPr="009C295F">
              <w:rPr>
                <w:rFonts w:ascii="Arial" w:eastAsia="Arial" w:hAnsi="Arial" w:cs="Arial"/>
                <w:color w:val="000000"/>
                <w:sz w:val="16"/>
              </w:rPr>
              <w:t xml:space="preserve"> 39,419 </w:t>
            </w:r>
          </w:p>
        </w:tc>
      </w:tr>
      <w:tr w:rsidR="00FB7D0B" w14:paraId="362148F6" w14:textId="77777777" w:rsidTr="00FB7D0B">
        <w:trPr>
          <w:trHeight w:val="225"/>
        </w:trPr>
        <w:tc>
          <w:tcPr>
            <w:tcW w:w="180" w:type="dxa"/>
            <w:tcBorders>
              <w:top w:val="nil"/>
              <w:left w:val="nil"/>
              <w:bottom w:val="nil"/>
              <w:right w:val="nil"/>
              <w:tl2br w:val="nil"/>
              <w:tr2bl w:val="nil"/>
            </w:tcBorders>
            <w:shd w:val="clear" w:color="auto" w:fill="FFFFFF"/>
            <w:tcMar>
              <w:left w:w="115" w:type="dxa"/>
              <w:right w:w="115" w:type="dxa"/>
            </w:tcMar>
            <w:vAlign w:val="bottom"/>
          </w:tcPr>
          <w:p w14:paraId="177A5310" w14:textId="77777777" w:rsidR="003F0EEA" w:rsidRPr="009C295F" w:rsidRDefault="003F0EEA">
            <w:pPr>
              <w:rPr>
                <w:rFonts w:ascii="Arial" w:eastAsia="Arial" w:hAnsi="Arial" w:cs="Arial"/>
                <w:color w:val="000000"/>
                <w:sz w:val="16"/>
              </w:rPr>
            </w:pPr>
          </w:p>
        </w:tc>
        <w:tc>
          <w:tcPr>
            <w:tcW w:w="2700" w:type="dxa"/>
            <w:gridSpan w:val="2"/>
            <w:vMerge w:val="restart"/>
            <w:tcBorders>
              <w:top w:val="nil"/>
              <w:left w:val="nil"/>
              <w:bottom w:val="nil"/>
              <w:right w:val="nil"/>
              <w:tl2br w:val="nil"/>
              <w:tr2bl w:val="nil"/>
            </w:tcBorders>
            <w:shd w:val="clear" w:color="auto" w:fill="FFFFFF"/>
            <w:tcMar>
              <w:left w:w="115" w:type="dxa"/>
              <w:right w:w="115" w:type="dxa"/>
            </w:tcMar>
            <w:vAlign w:val="bottom"/>
          </w:tcPr>
          <w:p w14:paraId="4AD1550B" w14:textId="77777777" w:rsidR="003F0EEA" w:rsidRPr="009C295F" w:rsidRDefault="00FB7D0B">
            <w:pPr>
              <w:rPr>
                <w:rFonts w:ascii="Arial" w:eastAsia="Arial" w:hAnsi="Arial" w:cs="Arial"/>
                <w:color w:val="000000"/>
                <w:sz w:val="16"/>
              </w:rPr>
            </w:pPr>
            <w:r w:rsidRPr="009C295F">
              <w:rPr>
                <w:rFonts w:ascii="Arial" w:eastAsia="Arial" w:hAnsi="Arial" w:cs="Arial"/>
                <w:color w:val="000000"/>
                <w:sz w:val="16"/>
              </w:rPr>
              <w:t>Outcome 2</w:t>
            </w:r>
            <w:r w:rsidRPr="009C295F">
              <w:rPr>
                <w:rFonts w:ascii="Arial" w:eastAsia="Arial" w:hAnsi="Arial" w:cs="Arial"/>
                <w:color w:val="000000"/>
                <w:sz w:val="16"/>
                <w:vertAlign w:val="superscript"/>
              </w:rPr>
              <w:t>8 </w:t>
            </w:r>
          </w:p>
        </w:tc>
        <w:tc>
          <w:tcPr>
            <w:tcW w:w="360" w:type="dxa"/>
            <w:tcBorders>
              <w:top w:val="nil"/>
              <w:left w:val="nil"/>
              <w:bottom w:val="nil"/>
              <w:right w:val="nil"/>
              <w:tl2br w:val="nil"/>
              <w:tr2bl w:val="nil"/>
            </w:tcBorders>
            <w:shd w:val="clear" w:color="auto" w:fill="FFFFFF"/>
            <w:tcMar>
              <w:left w:w="115" w:type="dxa"/>
              <w:right w:w="115" w:type="dxa"/>
            </w:tcMar>
            <w:vAlign w:val="bottom"/>
          </w:tcPr>
          <w:p w14:paraId="5BB864BB" w14:textId="77777777" w:rsidR="003F0EEA" w:rsidRPr="009C295F" w:rsidRDefault="003F0EEA">
            <w:pPr>
              <w:jc w:val="center"/>
              <w:rPr>
                <w:rFonts w:ascii="Arial" w:eastAsia="Arial" w:hAnsi="Arial" w:cs="Arial"/>
                <w:color w:val="000000"/>
                <w:sz w:val="16"/>
                <w:vertAlign w:val="superscript"/>
              </w:rPr>
            </w:pPr>
          </w:p>
        </w:tc>
        <w:tc>
          <w:tcPr>
            <w:tcW w:w="1230" w:type="dxa"/>
            <w:tcBorders>
              <w:top w:val="nil"/>
              <w:left w:val="nil"/>
              <w:bottom w:val="nil"/>
              <w:right w:val="nil"/>
              <w:tl2br w:val="nil"/>
              <w:tr2bl w:val="nil"/>
            </w:tcBorders>
            <w:shd w:val="clear" w:color="auto" w:fill="FFFFFF"/>
            <w:tcMar>
              <w:left w:w="115" w:type="dxa"/>
              <w:right w:w="115" w:type="dxa"/>
            </w:tcMar>
            <w:vAlign w:val="bottom"/>
          </w:tcPr>
          <w:p w14:paraId="4BFD3CB0" w14:textId="77777777" w:rsidR="003F0EEA" w:rsidRPr="009C295F" w:rsidRDefault="00FB7D0B">
            <w:pPr>
              <w:jc w:val="right"/>
              <w:rPr>
                <w:rFonts w:ascii="Arial" w:eastAsia="Arial" w:hAnsi="Arial" w:cs="Arial"/>
                <w:color w:val="000000"/>
                <w:sz w:val="16"/>
                <w:vertAlign w:val="superscript"/>
              </w:rPr>
            </w:pPr>
            <w:r w:rsidRPr="009C295F">
              <w:rPr>
                <w:rFonts w:ascii="Arial" w:eastAsia="Arial" w:hAnsi="Arial" w:cs="Arial"/>
                <w:color w:val="000000"/>
                <w:sz w:val="16"/>
              </w:rPr>
              <w:t xml:space="preserve"> - </w:t>
            </w:r>
          </w:p>
        </w:tc>
        <w:tc>
          <w:tcPr>
            <w:tcW w:w="330" w:type="dxa"/>
            <w:tcBorders>
              <w:top w:val="nil"/>
              <w:left w:val="nil"/>
              <w:bottom w:val="nil"/>
              <w:right w:val="nil"/>
              <w:tl2br w:val="nil"/>
              <w:tr2bl w:val="nil"/>
            </w:tcBorders>
            <w:shd w:val="clear" w:color="auto" w:fill="FFFFFF"/>
            <w:tcMar>
              <w:left w:w="115" w:type="dxa"/>
              <w:right w:w="115" w:type="dxa"/>
            </w:tcMar>
            <w:vAlign w:val="bottom"/>
          </w:tcPr>
          <w:p w14:paraId="4D0E1536" w14:textId="77777777" w:rsidR="003F0EEA" w:rsidRPr="009C295F" w:rsidRDefault="00FB7D0B">
            <w:pPr>
              <w:rPr>
                <w:rFonts w:ascii="Arial" w:eastAsia="Arial" w:hAnsi="Arial" w:cs="Arial"/>
                <w:color w:val="000000"/>
                <w:sz w:val="16"/>
              </w:rPr>
            </w:pPr>
            <w:r w:rsidRPr="009C295F">
              <w:rPr>
                <w:rFonts w:ascii="Arial" w:eastAsia="Arial" w:hAnsi="Arial" w:cs="Arial"/>
                <w:i/>
                <w:color w:val="000000"/>
                <w:sz w:val="16"/>
              </w:rPr>
              <w:t xml:space="preserve"> </w:t>
            </w:r>
          </w:p>
        </w:tc>
        <w:tc>
          <w:tcPr>
            <w:tcW w:w="1080" w:type="dxa"/>
            <w:tcBorders>
              <w:top w:val="nil"/>
              <w:left w:val="nil"/>
              <w:bottom w:val="nil"/>
              <w:right w:val="nil"/>
              <w:tl2br w:val="nil"/>
              <w:tr2bl w:val="nil"/>
            </w:tcBorders>
            <w:shd w:val="clear" w:color="auto" w:fill="FFFFFF"/>
            <w:tcMar>
              <w:left w:w="115" w:type="dxa"/>
              <w:right w:w="115" w:type="dxa"/>
            </w:tcMar>
            <w:vAlign w:val="bottom"/>
          </w:tcPr>
          <w:p w14:paraId="30509A53" w14:textId="77777777" w:rsidR="003F0EEA" w:rsidRPr="009C295F" w:rsidRDefault="00FB7D0B">
            <w:pPr>
              <w:jc w:val="right"/>
              <w:rPr>
                <w:rFonts w:ascii="Arial" w:eastAsia="Arial" w:hAnsi="Arial" w:cs="Arial"/>
                <w:i/>
                <w:color w:val="000000"/>
                <w:sz w:val="16"/>
              </w:rPr>
            </w:pPr>
            <w:r w:rsidRPr="009C295F">
              <w:rPr>
                <w:rFonts w:ascii="Arial" w:eastAsia="Arial" w:hAnsi="Arial" w:cs="Arial"/>
                <w:color w:val="000000"/>
                <w:sz w:val="16"/>
              </w:rPr>
              <w:t xml:space="preserve"> 7,279 </w:t>
            </w:r>
          </w:p>
        </w:tc>
        <w:tc>
          <w:tcPr>
            <w:tcW w:w="300" w:type="dxa"/>
            <w:tcBorders>
              <w:top w:val="nil"/>
              <w:left w:val="nil"/>
              <w:bottom w:val="nil"/>
              <w:right w:val="nil"/>
              <w:tl2br w:val="nil"/>
              <w:tr2bl w:val="nil"/>
            </w:tcBorders>
            <w:shd w:val="clear" w:color="auto" w:fill="FFFFFF"/>
            <w:tcMar>
              <w:left w:w="115" w:type="dxa"/>
              <w:right w:w="115" w:type="dxa"/>
            </w:tcMar>
            <w:vAlign w:val="bottom"/>
          </w:tcPr>
          <w:p w14:paraId="1F3D3699" w14:textId="77777777" w:rsidR="003F0EEA" w:rsidRPr="009C295F" w:rsidRDefault="00FB7D0B">
            <w:pPr>
              <w:rPr>
                <w:rFonts w:ascii="Arial" w:eastAsia="Arial" w:hAnsi="Arial" w:cs="Arial"/>
                <w:color w:val="000000"/>
                <w:sz w:val="16"/>
              </w:rPr>
            </w:pPr>
            <w:r w:rsidRPr="009C295F">
              <w:rPr>
                <w:rFonts w:ascii="Arial" w:eastAsia="Arial" w:hAnsi="Arial" w:cs="Arial"/>
                <w:color w:val="000000"/>
                <w:sz w:val="16"/>
              </w:rPr>
              <w:t xml:space="preserve"> </w:t>
            </w:r>
          </w:p>
        </w:tc>
        <w:tc>
          <w:tcPr>
            <w:tcW w:w="1080" w:type="dxa"/>
            <w:tcBorders>
              <w:top w:val="nil"/>
              <w:left w:val="nil"/>
              <w:bottom w:val="nil"/>
              <w:right w:val="nil"/>
              <w:tl2br w:val="nil"/>
              <w:tr2bl w:val="nil"/>
            </w:tcBorders>
            <w:shd w:val="clear" w:color="auto" w:fill="FFFF00"/>
            <w:tcMar>
              <w:left w:w="115" w:type="dxa"/>
              <w:right w:w="115" w:type="dxa"/>
            </w:tcMar>
            <w:vAlign w:val="bottom"/>
          </w:tcPr>
          <w:p w14:paraId="0A645A43" w14:textId="77777777" w:rsidR="003F0EEA" w:rsidRPr="009C295F" w:rsidRDefault="00FB7D0B">
            <w:pPr>
              <w:jc w:val="right"/>
              <w:rPr>
                <w:rFonts w:ascii="Arial" w:eastAsia="Arial" w:hAnsi="Arial" w:cs="Arial"/>
                <w:color w:val="000000"/>
                <w:sz w:val="16"/>
              </w:rPr>
            </w:pPr>
            <w:r w:rsidRPr="009C295F">
              <w:rPr>
                <w:rFonts w:ascii="Arial" w:eastAsia="Arial" w:hAnsi="Arial" w:cs="Arial"/>
                <w:color w:val="000000"/>
                <w:sz w:val="16"/>
              </w:rPr>
              <w:t xml:space="preserve"> 7,279 </w:t>
            </w:r>
          </w:p>
        </w:tc>
        <w:tc>
          <w:tcPr>
            <w:tcW w:w="1230" w:type="dxa"/>
            <w:tcBorders>
              <w:top w:val="nil"/>
              <w:left w:val="nil"/>
              <w:bottom w:val="nil"/>
              <w:right w:val="nil"/>
              <w:tl2br w:val="nil"/>
              <w:tr2bl w:val="nil"/>
            </w:tcBorders>
            <w:shd w:val="clear" w:color="auto" w:fill="FFFFFF"/>
            <w:tcMar>
              <w:left w:w="115" w:type="dxa"/>
              <w:right w:w="115" w:type="dxa"/>
            </w:tcMar>
            <w:vAlign w:val="bottom"/>
          </w:tcPr>
          <w:p w14:paraId="46E7652D" w14:textId="77777777" w:rsidR="003F0EEA" w:rsidRPr="009C295F" w:rsidRDefault="00FB7D0B">
            <w:pPr>
              <w:jc w:val="right"/>
              <w:rPr>
                <w:rFonts w:ascii="Arial" w:eastAsia="Arial" w:hAnsi="Arial" w:cs="Arial"/>
                <w:color w:val="000000"/>
                <w:sz w:val="16"/>
              </w:rPr>
            </w:pPr>
            <w:r w:rsidRPr="009C295F">
              <w:rPr>
                <w:rFonts w:ascii="Arial" w:eastAsia="Arial" w:hAnsi="Arial" w:cs="Arial"/>
                <w:color w:val="000000"/>
                <w:sz w:val="16"/>
              </w:rPr>
              <w:t xml:space="preserve"> 7,415 </w:t>
            </w:r>
          </w:p>
        </w:tc>
      </w:tr>
      <w:tr w:rsidR="00FB7D0B" w14:paraId="5FC0FDA5" w14:textId="77777777" w:rsidTr="00FB7D0B">
        <w:trPr>
          <w:trHeight w:val="225"/>
        </w:trPr>
        <w:tc>
          <w:tcPr>
            <w:tcW w:w="180" w:type="dxa"/>
            <w:tcBorders>
              <w:top w:val="nil"/>
              <w:left w:val="nil"/>
              <w:bottom w:val="nil"/>
              <w:right w:val="nil"/>
              <w:tl2br w:val="nil"/>
              <w:tr2bl w:val="nil"/>
            </w:tcBorders>
            <w:shd w:val="clear" w:color="auto" w:fill="FFFFFF"/>
            <w:tcMar>
              <w:left w:w="115" w:type="dxa"/>
              <w:right w:w="115" w:type="dxa"/>
            </w:tcMar>
            <w:vAlign w:val="bottom"/>
          </w:tcPr>
          <w:p w14:paraId="35F8E880" w14:textId="77777777" w:rsidR="003F0EEA" w:rsidRPr="009C295F" w:rsidRDefault="003F0EEA">
            <w:pPr>
              <w:rPr>
                <w:rFonts w:ascii="Arial" w:eastAsia="Arial" w:hAnsi="Arial" w:cs="Arial"/>
                <w:color w:val="000000"/>
                <w:sz w:val="16"/>
              </w:rPr>
            </w:pPr>
          </w:p>
        </w:tc>
        <w:tc>
          <w:tcPr>
            <w:tcW w:w="2700" w:type="dxa"/>
            <w:gridSpan w:val="2"/>
            <w:vMerge w:val="restart"/>
            <w:tcBorders>
              <w:top w:val="nil"/>
              <w:left w:val="nil"/>
              <w:bottom w:val="nil"/>
              <w:right w:val="nil"/>
              <w:tl2br w:val="nil"/>
              <w:tr2bl w:val="nil"/>
            </w:tcBorders>
            <w:shd w:val="clear" w:color="auto" w:fill="FFFFFF"/>
            <w:tcMar>
              <w:left w:w="115" w:type="dxa"/>
              <w:right w:w="115" w:type="dxa"/>
            </w:tcMar>
            <w:vAlign w:val="bottom"/>
          </w:tcPr>
          <w:p w14:paraId="28FC35E4" w14:textId="77777777" w:rsidR="003F0EEA" w:rsidRPr="009C295F" w:rsidRDefault="00FB7D0B">
            <w:pPr>
              <w:rPr>
                <w:rFonts w:ascii="Arial" w:eastAsia="Arial" w:hAnsi="Arial" w:cs="Arial"/>
                <w:color w:val="000000"/>
                <w:sz w:val="16"/>
              </w:rPr>
            </w:pPr>
            <w:r w:rsidRPr="009C295F">
              <w:rPr>
                <w:rFonts w:ascii="Arial" w:eastAsia="Arial" w:hAnsi="Arial" w:cs="Arial"/>
                <w:color w:val="000000"/>
                <w:sz w:val="16"/>
              </w:rPr>
              <w:t>Outcome 3</w:t>
            </w:r>
            <w:r w:rsidRPr="009C295F">
              <w:rPr>
                <w:rFonts w:ascii="Arial" w:eastAsia="Arial" w:hAnsi="Arial" w:cs="Arial"/>
                <w:color w:val="000000"/>
                <w:sz w:val="16"/>
                <w:vertAlign w:val="superscript"/>
              </w:rPr>
              <w:t>8 </w:t>
            </w:r>
          </w:p>
        </w:tc>
        <w:tc>
          <w:tcPr>
            <w:tcW w:w="360" w:type="dxa"/>
            <w:tcBorders>
              <w:top w:val="nil"/>
              <w:left w:val="nil"/>
              <w:bottom w:val="nil"/>
              <w:right w:val="nil"/>
              <w:tl2br w:val="nil"/>
              <w:tr2bl w:val="nil"/>
            </w:tcBorders>
            <w:shd w:val="clear" w:color="auto" w:fill="FFFFFF"/>
            <w:tcMar>
              <w:left w:w="115" w:type="dxa"/>
              <w:right w:w="115" w:type="dxa"/>
            </w:tcMar>
            <w:vAlign w:val="bottom"/>
          </w:tcPr>
          <w:p w14:paraId="6EAC38ED" w14:textId="77777777" w:rsidR="003F0EEA" w:rsidRPr="009C295F" w:rsidRDefault="003F0EEA">
            <w:pPr>
              <w:jc w:val="center"/>
              <w:rPr>
                <w:rFonts w:ascii="Arial" w:eastAsia="Arial" w:hAnsi="Arial" w:cs="Arial"/>
                <w:color w:val="000000"/>
                <w:sz w:val="16"/>
                <w:vertAlign w:val="superscript"/>
              </w:rPr>
            </w:pPr>
          </w:p>
        </w:tc>
        <w:tc>
          <w:tcPr>
            <w:tcW w:w="1230" w:type="dxa"/>
            <w:tcBorders>
              <w:top w:val="nil"/>
              <w:left w:val="nil"/>
              <w:bottom w:val="nil"/>
              <w:right w:val="nil"/>
              <w:tl2br w:val="nil"/>
              <w:tr2bl w:val="nil"/>
            </w:tcBorders>
            <w:shd w:val="clear" w:color="auto" w:fill="FFFFFF"/>
            <w:tcMar>
              <w:left w:w="115" w:type="dxa"/>
              <w:right w:w="115" w:type="dxa"/>
            </w:tcMar>
            <w:vAlign w:val="bottom"/>
          </w:tcPr>
          <w:p w14:paraId="6010D8C7" w14:textId="77777777" w:rsidR="003F0EEA" w:rsidRPr="009C295F" w:rsidRDefault="00FB7D0B">
            <w:pPr>
              <w:jc w:val="right"/>
              <w:rPr>
                <w:rFonts w:ascii="Arial" w:eastAsia="Arial" w:hAnsi="Arial" w:cs="Arial"/>
                <w:color w:val="000000"/>
                <w:sz w:val="16"/>
                <w:vertAlign w:val="superscript"/>
              </w:rPr>
            </w:pPr>
            <w:r w:rsidRPr="009C295F">
              <w:rPr>
                <w:rFonts w:ascii="Arial" w:eastAsia="Arial" w:hAnsi="Arial" w:cs="Arial"/>
                <w:color w:val="000000"/>
                <w:sz w:val="16"/>
              </w:rPr>
              <w:t xml:space="preserve"> - </w:t>
            </w:r>
          </w:p>
        </w:tc>
        <w:tc>
          <w:tcPr>
            <w:tcW w:w="330" w:type="dxa"/>
            <w:tcBorders>
              <w:top w:val="nil"/>
              <w:left w:val="nil"/>
              <w:bottom w:val="nil"/>
              <w:right w:val="nil"/>
              <w:tl2br w:val="nil"/>
              <w:tr2bl w:val="nil"/>
            </w:tcBorders>
            <w:shd w:val="clear" w:color="auto" w:fill="FFFFFF"/>
            <w:tcMar>
              <w:left w:w="115" w:type="dxa"/>
              <w:right w:w="115" w:type="dxa"/>
            </w:tcMar>
            <w:vAlign w:val="bottom"/>
          </w:tcPr>
          <w:p w14:paraId="01592DBA" w14:textId="77777777" w:rsidR="003F0EEA" w:rsidRPr="009C295F" w:rsidRDefault="00FB7D0B">
            <w:pPr>
              <w:rPr>
                <w:rFonts w:ascii="Arial" w:eastAsia="Arial" w:hAnsi="Arial" w:cs="Arial"/>
                <w:color w:val="000000"/>
                <w:sz w:val="16"/>
              </w:rPr>
            </w:pPr>
            <w:r w:rsidRPr="009C295F">
              <w:rPr>
                <w:rFonts w:ascii="Arial" w:eastAsia="Arial" w:hAnsi="Arial" w:cs="Arial"/>
                <w:i/>
                <w:color w:val="000000"/>
                <w:sz w:val="16"/>
              </w:rPr>
              <w:t xml:space="preserve"> </w:t>
            </w:r>
          </w:p>
        </w:tc>
        <w:tc>
          <w:tcPr>
            <w:tcW w:w="1080" w:type="dxa"/>
            <w:tcBorders>
              <w:top w:val="nil"/>
              <w:left w:val="nil"/>
              <w:bottom w:val="nil"/>
              <w:right w:val="nil"/>
              <w:tl2br w:val="nil"/>
              <w:tr2bl w:val="nil"/>
            </w:tcBorders>
            <w:shd w:val="clear" w:color="auto" w:fill="FFFFFF"/>
            <w:tcMar>
              <w:left w:w="115" w:type="dxa"/>
              <w:right w:w="115" w:type="dxa"/>
            </w:tcMar>
            <w:vAlign w:val="bottom"/>
          </w:tcPr>
          <w:p w14:paraId="553BED78" w14:textId="77777777" w:rsidR="003F0EEA" w:rsidRPr="009C295F" w:rsidRDefault="00FB7D0B">
            <w:pPr>
              <w:jc w:val="right"/>
              <w:rPr>
                <w:rFonts w:ascii="Arial" w:eastAsia="Arial" w:hAnsi="Arial" w:cs="Arial"/>
                <w:i/>
                <w:color w:val="000000"/>
                <w:sz w:val="16"/>
              </w:rPr>
            </w:pPr>
            <w:r w:rsidRPr="009C295F">
              <w:rPr>
                <w:rFonts w:ascii="Arial" w:eastAsia="Arial" w:hAnsi="Arial" w:cs="Arial"/>
                <w:color w:val="000000"/>
                <w:sz w:val="16"/>
              </w:rPr>
              <w:t xml:space="preserve"> 54,336 </w:t>
            </w:r>
          </w:p>
        </w:tc>
        <w:tc>
          <w:tcPr>
            <w:tcW w:w="300" w:type="dxa"/>
            <w:tcBorders>
              <w:top w:val="nil"/>
              <w:left w:val="nil"/>
              <w:bottom w:val="nil"/>
              <w:right w:val="nil"/>
              <w:tl2br w:val="nil"/>
              <w:tr2bl w:val="nil"/>
            </w:tcBorders>
            <w:shd w:val="clear" w:color="auto" w:fill="FFFFFF"/>
            <w:tcMar>
              <w:left w:w="115" w:type="dxa"/>
              <w:right w:w="115" w:type="dxa"/>
            </w:tcMar>
            <w:vAlign w:val="bottom"/>
          </w:tcPr>
          <w:p w14:paraId="7711F792" w14:textId="77777777" w:rsidR="003F0EEA" w:rsidRPr="009C295F" w:rsidRDefault="00FB7D0B">
            <w:pPr>
              <w:rPr>
                <w:rFonts w:ascii="Arial" w:eastAsia="Arial" w:hAnsi="Arial" w:cs="Arial"/>
                <w:color w:val="000000"/>
                <w:sz w:val="16"/>
              </w:rPr>
            </w:pPr>
            <w:r w:rsidRPr="009C295F">
              <w:rPr>
                <w:rFonts w:ascii="Arial" w:eastAsia="Arial" w:hAnsi="Arial" w:cs="Arial"/>
                <w:color w:val="000000"/>
                <w:sz w:val="16"/>
              </w:rPr>
              <w:t xml:space="preserve"> </w:t>
            </w:r>
          </w:p>
        </w:tc>
        <w:tc>
          <w:tcPr>
            <w:tcW w:w="1080" w:type="dxa"/>
            <w:tcBorders>
              <w:top w:val="nil"/>
              <w:left w:val="nil"/>
              <w:bottom w:val="nil"/>
              <w:right w:val="nil"/>
              <w:tl2br w:val="nil"/>
              <w:tr2bl w:val="nil"/>
            </w:tcBorders>
            <w:shd w:val="clear" w:color="auto" w:fill="FFFF00"/>
            <w:tcMar>
              <w:left w:w="115" w:type="dxa"/>
              <w:right w:w="115" w:type="dxa"/>
            </w:tcMar>
            <w:vAlign w:val="bottom"/>
          </w:tcPr>
          <w:p w14:paraId="0753A5B0" w14:textId="77777777" w:rsidR="003F0EEA" w:rsidRPr="009C295F" w:rsidRDefault="00FB7D0B">
            <w:pPr>
              <w:jc w:val="right"/>
              <w:rPr>
                <w:rFonts w:ascii="Arial" w:eastAsia="Arial" w:hAnsi="Arial" w:cs="Arial"/>
                <w:color w:val="000000"/>
                <w:sz w:val="16"/>
              </w:rPr>
            </w:pPr>
            <w:r w:rsidRPr="009C295F">
              <w:rPr>
                <w:rFonts w:ascii="Arial" w:eastAsia="Arial" w:hAnsi="Arial" w:cs="Arial"/>
                <w:color w:val="000000"/>
                <w:sz w:val="16"/>
              </w:rPr>
              <w:t xml:space="preserve"> 54,336 </w:t>
            </w:r>
          </w:p>
        </w:tc>
        <w:tc>
          <w:tcPr>
            <w:tcW w:w="1230" w:type="dxa"/>
            <w:tcBorders>
              <w:top w:val="nil"/>
              <w:left w:val="nil"/>
              <w:bottom w:val="nil"/>
              <w:right w:val="nil"/>
              <w:tl2br w:val="nil"/>
              <w:tr2bl w:val="nil"/>
            </w:tcBorders>
            <w:shd w:val="clear" w:color="auto" w:fill="FFFFFF"/>
            <w:tcMar>
              <w:left w:w="115" w:type="dxa"/>
              <w:right w:w="115" w:type="dxa"/>
            </w:tcMar>
            <w:vAlign w:val="bottom"/>
          </w:tcPr>
          <w:p w14:paraId="2F07F7FA" w14:textId="77777777" w:rsidR="003F0EEA" w:rsidRPr="009C295F" w:rsidRDefault="00FB7D0B">
            <w:pPr>
              <w:jc w:val="right"/>
              <w:rPr>
                <w:rFonts w:ascii="Arial" w:eastAsia="Arial" w:hAnsi="Arial" w:cs="Arial"/>
                <w:color w:val="000000"/>
                <w:sz w:val="16"/>
              </w:rPr>
            </w:pPr>
            <w:r w:rsidRPr="009C295F">
              <w:rPr>
                <w:rFonts w:ascii="Arial" w:eastAsia="Arial" w:hAnsi="Arial" w:cs="Arial"/>
                <w:color w:val="000000"/>
                <w:sz w:val="16"/>
              </w:rPr>
              <w:t xml:space="preserve"> 52,213 </w:t>
            </w:r>
          </w:p>
        </w:tc>
      </w:tr>
      <w:tr w:rsidR="00FB7D0B" w14:paraId="74CD3A28" w14:textId="77777777" w:rsidTr="00FB7D0B">
        <w:trPr>
          <w:trHeight w:val="225"/>
        </w:trPr>
        <w:tc>
          <w:tcPr>
            <w:tcW w:w="180" w:type="dxa"/>
            <w:tcBorders>
              <w:top w:val="nil"/>
              <w:left w:val="nil"/>
              <w:bottom w:val="nil"/>
              <w:right w:val="nil"/>
              <w:tl2br w:val="nil"/>
              <w:tr2bl w:val="nil"/>
            </w:tcBorders>
            <w:shd w:val="clear" w:color="auto" w:fill="FFFFFF"/>
            <w:tcMar>
              <w:left w:w="115" w:type="dxa"/>
              <w:right w:w="115" w:type="dxa"/>
            </w:tcMar>
            <w:vAlign w:val="bottom"/>
          </w:tcPr>
          <w:p w14:paraId="09CF9C41" w14:textId="77777777" w:rsidR="003F0EEA" w:rsidRPr="009C295F" w:rsidRDefault="003F0EEA">
            <w:pPr>
              <w:rPr>
                <w:rFonts w:ascii="Arial" w:eastAsia="Arial" w:hAnsi="Arial" w:cs="Arial"/>
                <w:color w:val="000000"/>
                <w:sz w:val="16"/>
              </w:rPr>
            </w:pPr>
          </w:p>
        </w:tc>
        <w:tc>
          <w:tcPr>
            <w:tcW w:w="2700" w:type="dxa"/>
            <w:gridSpan w:val="2"/>
            <w:vMerge w:val="restart"/>
            <w:tcBorders>
              <w:top w:val="nil"/>
              <w:left w:val="nil"/>
              <w:bottom w:val="nil"/>
              <w:right w:val="nil"/>
              <w:tl2br w:val="nil"/>
              <w:tr2bl w:val="nil"/>
            </w:tcBorders>
            <w:shd w:val="clear" w:color="auto" w:fill="FFFFFF"/>
            <w:tcMar>
              <w:left w:w="115" w:type="dxa"/>
              <w:right w:w="115" w:type="dxa"/>
            </w:tcMar>
            <w:vAlign w:val="bottom"/>
          </w:tcPr>
          <w:p w14:paraId="7CAA2002" w14:textId="77777777" w:rsidR="003F0EEA" w:rsidRPr="009C295F" w:rsidRDefault="00FB7D0B">
            <w:pPr>
              <w:rPr>
                <w:rFonts w:ascii="Arial" w:eastAsia="Arial" w:hAnsi="Arial" w:cs="Arial"/>
                <w:color w:val="000000"/>
                <w:sz w:val="16"/>
              </w:rPr>
            </w:pPr>
            <w:r w:rsidRPr="009C295F">
              <w:rPr>
                <w:rFonts w:ascii="Arial" w:eastAsia="Arial" w:hAnsi="Arial" w:cs="Arial"/>
                <w:color w:val="000000"/>
                <w:sz w:val="16"/>
              </w:rPr>
              <w:t>Payments to CAC Act bodies</w:t>
            </w:r>
          </w:p>
        </w:tc>
        <w:tc>
          <w:tcPr>
            <w:tcW w:w="360" w:type="dxa"/>
            <w:tcBorders>
              <w:top w:val="nil"/>
              <w:left w:val="nil"/>
              <w:bottom w:val="nil"/>
              <w:right w:val="nil"/>
              <w:tl2br w:val="nil"/>
              <w:tr2bl w:val="nil"/>
            </w:tcBorders>
            <w:shd w:val="clear" w:color="auto" w:fill="FFFFFF"/>
            <w:tcMar>
              <w:left w:w="115" w:type="dxa"/>
              <w:right w:w="115" w:type="dxa"/>
            </w:tcMar>
            <w:vAlign w:val="bottom"/>
          </w:tcPr>
          <w:p w14:paraId="259AE7FC" w14:textId="77777777" w:rsidR="003F0EEA" w:rsidRPr="009C295F" w:rsidRDefault="003F0EEA">
            <w:pPr>
              <w:jc w:val="center"/>
              <w:rPr>
                <w:rFonts w:ascii="Arial" w:eastAsia="Arial" w:hAnsi="Arial" w:cs="Arial"/>
                <w:color w:val="000000"/>
                <w:sz w:val="16"/>
                <w:vertAlign w:val="superscript"/>
              </w:rPr>
            </w:pPr>
          </w:p>
        </w:tc>
        <w:tc>
          <w:tcPr>
            <w:tcW w:w="1230" w:type="dxa"/>
            <w:tcBorders>
              <w:top w:val="nil"/>
              <w:left w:val="nil"/>
              <w:bottom w:val="nil"/>
              <w:right w:val="nil"/>
              <w:tl2br w:val="nil"/>
              <w:tr2bl w:val="nil"/>
            </w:tcBorders>
            <w:shd w:val="clear" w:color="auto" w:fill="FFFFFF"/>
            <w:tcMar>
              <w:left w:w="115" w:type="dxa"/>
              <w:right w:w="115" w:type="dxa"/>
            </w:tcMar>
            <w:vAlign w:val="bottom"/>
          </w:tcPr>
          <w:p w14:paraId="42C280BE" w14:textId="77777777" w:rsidR="003F0EEA" w:rsidRPr="009C295F" w:rsidRDefault="00FB7D0B">
            <w:pPr>
              <w:jc w:val="right"/>
              <w:rPr>
                <w:rFonts w:ascii="Arial" w:eastAsia="Arial" w:hAnsi="Arial" w:cs="Arial"/>
                <w:color w:val="000000"/>
                <w:sz w:val="16"/>
                <w:vertAlign w:val="superscript"/>
              </w:rPr>
            </w:pPr>
            <w:r w:rsidRPr="009C295F">
              <w:rPr>
                <w:rFonts w:ascii="Arial" w:eastAsia="Arial" w:hAnsi="Arial" w:cs="Arial"/>
                <w:color w:val="000000"/>
                <w:sz w:val="16"/>
              </w:rPr>
              <w:t xml:space="preserve"> - </w:t>
            </w:r>
          </w:p>
        </w:tc>
        <w:tc>
          <w:tcPr>
            <w:tcW w:w="330" w:type="dxa"/>
            <w:tcBorders>
              <w:top w:val="nil"/>
              <w:left w:val="nil"/>
              <w:bottom w:val="nil"/>
              <w:right w:val="nil"/>
              <w:tl2br w:val="nil"/>
              <w:tr2bl w:val="nil"/>
            </w:tcBorders>
            <w:shd w:val="clear" w:color="auto" w:fill="FFFFFF"/>
            <w:tcMar>
              <w:left w:w="115" w:type="dxa"/>
              <w:right w:w="115" w:type="dxa"/>
            </w:tcMar>
            <w:vAlign w:val="bottom"/>
          </w:tcPr>
          <w:p w14:paraId="3AD1DCD4" w14:textId="77777777" w:rsidR="003F0EEA" w:rsidRPr="009C295F" w:rsidRDefault="00FB7D0B">
            <w:pPr>
              <w:rPr>
                <w:rFonts w:ascii="Arial" w:eastAsia="Arial" w:hAnsi="Arial" w:cs="Arial"/>
                <w:color w:val="000000"/>
                <w:sz w:val="16"/>
              </w:rPr>
            </w:pPr>
            <w:r w:rsidRPr="009C295F">
              <w:rPr>
                <w:rFonts w:ascii="Arial" w:eastAsia="Arial" w:hAnsi="Arial" w:cs="Arial"/>
                <w:i/>
                <w:color w:val="000000"/>
                <w:sz w:val="16"/>
              </w:rPr>
              <w:t xml:space="preserve"> </w:t>
            </w:r>
          </w:p>
        </w:tc>
        <w:tc>
          <w:tcPr>
            <w:tcW w:w="1080" w:type="dxa"/>
            <w:tcBorders>
              <w:top w:val="nil"/>
              <w:left w:val="nil"/>
              <w:bottom w:val="nil"/>
              <w:right w:val="nil"/>
              <w:tl2br w:val="nil"/>
              <w:tr2bl w:val="nil"/>
            </w:tcBorders>
            <w:shd w:val="clear" w:color="auto" w:fill="FFFFFF"/>
            <w:tcMar>
              <w:left w:w="115" w:type="dxa"/>
              <w:right w:w="115" w:type="dxa"/>
            </w:tcMar>
            <w:vAlign w:val="bottom"/>
          </w:tcPr>
          <w:p w14:paraId="201188C2" w14:textId="77777777" w:rsidR="003F0EEA" w:rsidRPr="009C295F" w:rsidRDefault="00FB7D0B">
            <w:pPr>
              <w:jc w:val="right"/>
              <w:rPr>
                <w:rFonts w:ascii="Arial" w:eastAsia="Arial" w:hAnsi="Arial" w:cs="Arial"/>
                <w:i/>
                <w:color w:val="000000"/>
                <w:sz w:val="16"/>
              </w:rPr>
            </w:pPr>
            <w:r w:rsidRPr="009C295F">
              <w:rPr>
                <w:rFonts w:ascii="Arial" w:eastAsia="Arial" w:hAnsi="Arial" w:cs="Arial"/>
                <w:color w:val="000000"/>
                <w:sz w:val="16"/>
              </w:rPr>
              <w:t xml:space="preserve"> 47,808 </w:t>
            </w:r>
          </w:p>
        </w:tc>
        <w:tc>
          <w:tcPr>
            <w:tcW w:w="300" w:type="dxa"/>
            <w:tcBorders>
              <w:top w:val="nil"/>
              <w:left w:val="nil"/>
              <w:bottom w:val="nil"/>
              <w:right w:val="nil"/>
              <w:tl2br w:val="nil"/>
              <w:tr2bl w:val="nil"/>
            </w:tcBorders>
            <w:shd w:val="clear" w:color="auto" w:fill="FFFFFF"/>
            <w:tcMar>
              <w:left w:w="115" w:type="dxa"/>
              <w:right w:w="115" w:type="dxa"/>
            </w:tcMar>
            <w:vAlign w:val="bottom"/>
          </w:tcPr>
          <w:p w14:paraId="5BB848DA" w14:textId="77777777" w:rsidR="003F0EEA" w:rsidRPr="009C295F" w:rsidRDefault="00FB7D0B">
            <w:pPr>
              <w:rPr>
                <w:rFonts w:ascii="Arial" w:eastAsia="Arial" w:hAnsi="Arial" w:cs="Arial"/>
                <w:color w:val="000000"/>
                <w:sz w:val="16"/>
              </w:rPr>
            </w:pPr>
            <w:r w:rsidRPr="009C295F">
              <w:rPr>
                <w:rFonts w:ascii="Arial" w:eastAsia="Arial" w:hAnsi="Arial" w:cs="Arial"/>
                <w:b/>
                <w:color w:val="000000"/>
                <w:sz w:val="16"/>
              </w:rPr>
              <w:t xml:space="preserve"> </w:t>
            </w:r>
          </w:p>
        </w:tc>
        <w:tc>
          <w:tcPr>
            <w:tcW w:w="1080" w:type="dxa"/>
            <w:tcBorders>
              <w:top w:val="nil"/>
              <w:left w:val="nil"/>
              <w:bottom w:val="nil"/>
              <w:right w:val="nil"/>
              <w:tl2br w:val="nil"/>
              <w:tr2bl w:val="nil"/>
            </w:tcBorders>
            <w:shd w:val="clear" w:color="auto" w:fill="FFFF00"/>
            <w:tcMar>
              <w:left w:w="115" w:type="dxa"/>
              <w:right w:w="115" w:type="dxa"/>
            </w:tcMar>
            <w:vAlign w:val="bottom"/>
          </w:tcPr>
          <w:p w14:paraId="47CFACE2" w14:textId="77777777" w:rsidR="003F0EEA" w:rsidRPr="009C295F" w:rsidRDefault="00FB7D0B">
            <w:pPr>
              <w:jc w:val="right"/>
              <w:rPr>
                <w:rFonts w:ascii="Arial" w:eastAsia="Arial" w:hAnsi="Arial" w:cs="Arial"/>
                <w:b/>
                <w:color w:val="000000"/>
                <w:sz w:val="16"/>
              </w:rPr>
            </w:pPr>
            <w:r w:rsidRPr="009C295F">
              <w:rPr>
                <w:rFonts w:ascii="Arial" w:eastAsia="Arial" w:hAnsi="Arial" w:cs="Arial"/>
                <w:color w:val="000000"/>
                <w:sz w:val="16"/>
              </w:rPr>
              <w:t xml:space="preserve"> 47,808 </w:t>
            </w:r>
          </w:p>
        </w:tc>
        <w:tc>
          <w:tcPr>
            <w:tcW w:w="1230" w:type="dxa"/>
            <w:tcBorders>
              <w:top w:val="nil"/>
              <w:left w:val="nil"/>
              <w:bottom w:val="nil"/>
              <w:right w:val="nil"/>
              <w:tl2br w:val="nil"/>
              <w:tr2bl w:val="nil"/>
            </w:tcBorders>
            <w:shd w:val="clear" w:color="auto" w:fill="FFFFFF"/>
            <w:tcMar>
              <w:left w:w="115" w:type="dxa"/>
              <w:right w:w="115" w:type="dxa"/>
            </w:tcMar>
            <w:vAlign w:val="bottom"/>
          </w:tcPr>
          <w:p w14:paraId="05284434" w14:textId="77777777" w:rsidR="003F0EEA" w:rsidRPr="009C295F" w:rsidRDefault="00FB7D0B">
            <w:pPr>
              <w:jc w:val="right"/>
              <w:rPr>
                <w:rFonts w:ascii="Arial" w:eastAsia="Arial" w:hAnsi="Arial" w:cs="Arial"/>
                <w:color w:val="000000"/>
                <w:sz w:val="16"/>
              </w:rPr>
            </w:pPr>
            <w:r w:rsidRPr="009C295F">
              <w:rPr>
                <w:rFonts w:ascii="Arial" w:eastAsia="Arial" w:hAnsi="Arial" w:cs="Arial"/>
                <w:color w:val="000000"/>
                <w:sz w:val="16"/>
              </w:rPr>
              <w:t xml:space="preserve"> 40,900 </w:t>
            </w:r>
          </w:p>
        </w:tc>
      </w:tr>
      <w:tr w:rsidR="00FB7D0B" w14:paraId="12923F49" w14:textId="77777777" w:rsidTr="00FB7D0B">
        <w:trPr>
          <w:trHeight w:val="225"/>
        </w:trPr>
        <w:tc>
          <w:tcPr>
            <w:tcW w:w="180" w:type="dxa"/>
            <w:tcBorders>
              <w:top w:val="nil"/>
              <w:left w:val="nil"/>
              <w:bottom w:val="nil"/>
              <w:right w:val="nil"/>
              <w:tl2br w:val="nil"/>
              <w:tr2bl w:val="nil"/>
            </w:tcBorders>
            <w:shd w:val="clear" w:color="auto" w:fill="FFFFFF"/>
            <w:tcMar>
              <w:left w:w="115" w:type="dxa"/>
              <w:right w:w="115" w:type="dxa"/>
            </w:tcMar>
            <w:vAlign w:val="bottom"/>
          </w:tcPr>
          <w:p w14:paraId="003D0460" w14:textId="77777777" w:rsidR="003F0EEA" w:rsidRPr="009C295F" w:rsidRDefault="003F0EEA">
            <w:pPr>
              <w:rPr>
                <w:rFonts w:ascii="Arial" w:eastAsia="Arial" w:hAnsi="Arial" w:cs="Arial"/>
                <w:color w:val="000000"/>
                <w:sz w:val="16"/>
              </w:rPr>
            </w:pPr>
          </w:p>
        </w:tc>
        <w:tc>
          <w:tcPr>
            <w:tcW w:w="2700" w:type="dxa"/>
            <w:gridSpan w:val="2"/>
            <w:vMerge w:val="restart"/>
            <w:tcBorders>
              <w:top w:val="nil"/>
              <w:left w:val="nil"/>
              <w:bottom w:val="nil"/>
              <w:right w:val="nil"/>
              <w:tl2br w:val="nil"/>
              <w:tr2bl w:val="nil"/>
            </w:tcBorders>
            <w:shd w:val="clear" w:color="auto" w:fill="FFFFFF"/>
            <w:tcMar>
              <w:left w:w="115" w:type="dxa"/>
              <w:right w:w="115" w:type="dxa"/>
            </w:tcMar>
            <w:vAlign w:val="bottom"/>
          </w:tcPr>
          <w:p w14:paraId="3FDD8375" w14:textId="77777777" w:rsidR="003F0EEA" w:rsidRPr="009C295F" w:rsidRDefault="00FB7D0B">
            <w:pPr>
              <w:rPr>
                <w:rFonts w:ascii="Arial" w:eastAsia="Arial" w:hAnsi="Arial" w:cs="Arial"/>
                <w:color w:val="000000"/>
                <w:sz w:val="16"/>
              </w:rPr>
            </w:pPr>
            <w:r w:rsidRPr="009C295F">
              <w:rPr>
                <w:rFonts w:ascii="Arial" w:eastAsia="Arial" w:hAnsi="Arial" w:cs="Arial"/>
                <w:b/>
                <w:color w:val="000000"/>
                <w:sz w:val="16"/>
              </w:rPr>
              <w:t>Total</w:t>
            </w:r>
          </w:p>
        </w:tc>
        <w:tc>
          <w:tcPr>
            <w:tcW w:w="360" w:type="dxa"/>
            <w:tcBorders>
              <w:top w:val="nil"/>
              <w:left w:val="nil"/>
              <w:bottom w:val="nil"/>
              <w:right w:val="nil"/>
              <w:tl2br w:val="nil"/>
              <w:tr2bl w:val="nil"/>
            </w:tcBorders>
            <w:shd w:val="clear" w:color="auto" w:fill="FFFFFF"/>
            <w:tcMar>
              <w:left w:w="115" w:type="dxa"/>
              <w:right w:w="115" w:type="dxa"/>
            </w:tcMar>
            <w:vAlign w:val="bottom"/>
          </w:tcPr>
          <w:p w14:paraId="3008FC45" w14:textId="77777777" w:rsidR="003F0EEA" w:rsidRPr="009C295F" w:rsidRDefault="003F0EEA">
            <w:pPr>
              <w:jc w:val="center"/>
              <w:rPr>
                <w:rFonts w:ascii="Arial" w:eastAsia="Arial" w:hAnsi="Arial" w:cs="Arial"/>
                <w:b/>
                <w:color w:val="000000"/>
                <w:sz w:val="16"/>
                <w:vertAlign w:val="superscript"/>
              </w:rPr>
            </w:pPr>
          </w:p>
        </w:tc>
        <w:tc>
          <w:tcPr>
            <w:tcW w:w="1230"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63C29FFB" w14:textId="77777777" w:rsidR="003F0EEA" w:rsidRPr="009C295F" w:rsidRDefault="00FB7D0B">
            <w:pPr>
              <w:jc w:val="right"/>
              <w:rPr>
                <w:rFonts w:ascii="Arial" w:eastAsia="Arial" w:hAnsi="Arial" w:cs="Arial"/>
                <w:b/>
                <w:color w:val="000000"/>
                <w:sz w:val="16"/>
                <w:vertAlign w:val="superscript"/>
              </w:rPr>
            </w:pPr>
            <w:r w:rsidRPr="009C295F">
              <w:rPr>
                <w:rFonts w:ascii="Arial" w:eastAsia="Arial" w:hAnsi="Arial" w:cs="Arial"/>
                <w:color w:val="000000"/>
                <w:sz w:val="16"/>
              </w:rPr>
              <w:t xml:space="preserve"> - </w:t>
            </w:r>
          </w:p>
        </w:tc>
        <w:tc>
          <w:tcPr>
            <w:tcW w:w="330"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3C8053E0" w14:textId="77777777" w:rsidR="003F0EEA" w:rsidRPr="009C295F" w:rsidRDefault="00FB7D0B">
            <w:pPr>
              <w:rPr>
                <w:rFonts w:ascii="Arial" w:eastAsia="Arial" w:hAnsi="Arial" w:cs="Arial"/>
                <w:color w:val="000000"/>
                <w:sz w:val="16"/>
              </w:rPr>
            </w:pPr>
            <w:r w:rsidRPr="009C295F">
              <w:rPr>
                <w:rFonts w:ascii="Arial" w:eastAsia="Arial" w:hAnsi="Arial" w:cs="Arial"/>
                <w:b/>
                <w:color w:val="000000"/>
                <w:sz w:val="16"/>
              </w:rPr>
              <w:t xml:space="preserve"> </w:t>
            </w:r>
          </w:p>
        </w:tc>
        <w:tc>
          <w:tcPr>
            <w:tcW w:w="1080"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221E7D3C" w14:textId="77777777" w:rsidR="003F0EEA" w:rsidRPr="009C295F" w:rsidRDefault="00FB7D0B">
            <w:pPr>
              <w:jc w:val="right"/>
              <w:rPr>
                <w:rFonts w:ascii="Arial" w:eastAsia="Arial" w:hAnsi="Arial" w:cs="Arial"/>
                <w:b/>
                <w:color w:val="000000"/>
                <w:sz w:val="16"/>
              </w:rPr>
            </w:pPr>
            <w:r w:rsidRPr="009C295F">
              <w:rPr>
                <w:rFonts w:ascii="Arial" w:eastAsia="Arial" w:hAnsi="Arial" w:cs="Arial"/>
                <w:b/>
                <w:color w:val="000000"/>
                <w:sz w:val="16"/>
              </w:rPr>
              <w:t xml:space="preserve"> 150,318 </w:t>
            </w:r>
          </w:p>
        </w:tc>
        <w:tc>
          <w:tcPr>
            <w:tcW w:w="300"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06B73DDE" w14:textId="77777777" w:rsidR="003F0EEA" w:rsidRPr="009C295F" w:rsidRDefault="00FB7D0B">
            <w:pPr>
              <w:rPr>
                <w:rFonts w:ascii="Arial" w:eastAsia="Arial" w:hAnsi="Arial" w:cs="Arial"/>
                <w:b/>
                <w:color w:val="000000"/>
                <w:sz w:val="16"/>
              </w:rPr>
            </w:pPr>
            <w:r w:rsidRPr="009C295F">
              <w:rPr>
                <w:rFonts w:ascii="Arial" w:eastAsia="Arial" w:hAnsi="Arial" w:cs="Arial"/>
                <w:b/>
                <w:color w:val="000000"/>
                <w:sz w:val="16"/>
              </w:rPr>
              <w:t xml:space="preserve"> </w:t>
            </w:r>
          </w:p>
        </w:tc>
        <w:tc>
          <w:tcPr>
            <w:tcW w:w="1080" w:type="dxa"/>
            <w:tcBorders>
              <w:top w:val="nil"/>
              <w:left w:val="nil"/>
              <w:bottom w:val="single" w:sz="6" w:space="0" w:color="000000"/>
              <w:right w:val="nil"/>
              <w:tl2br w:val="nil"/>
              <w:tr2bl w:val="nil"/>
            </w:tcBorders>
            <w:shd w:val="clear" w:color="auto" w:fill="FFFF00"/>
            <w:tcMar>
              <w:left w:w="115" w:type="dxa"/>
              <w:right w:w="115" w:type="dxa"/>
            </w:tcMar>
            <w:vAlign w:val="bottom"/>
          </w:tcPr>
          <w:p w14:paraId="3ECD23AC" w14:textId="77777777" w:rsidR="003F0EEA" w:rsidRPr="009C295F" w:rsidRDefault="00FB7D0B">
            <w:pPr>
              <w:jc w:val="right"/>
              <w:rPr>
                <w:rFonts w:ascii="Arial" w:eastAsia="Arial" w:hAnsi="Arial" w:cs="Arial"/>
                <w:b/>
                <w:color w:val="000000"/>
                <w:sz w:val="16"/>
              </w:rPr>
            </w:pPr>
            <w:r w:rsidRPr="009C295F">
              <w:rPr>
                <w:rFonts w:ascii="Arial" w:eastAsia="Arial" w:hAnsi="Arial" w:cs="Arial"/>
                <w:b/>
                <w:color w:val="000000"/>
                <w:sz w:val="16"/>
              </w:rPr>
              <w:t xml:space="preserve"> 150,318 </w:t>
            </w:r>
          </w:p>
        </w:tc>
        <w:tc>
          <w:tcPr>
            <w:tcW w:w="1230"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5EDE55E6" w14:textId="77777777" w:rsidR="003F0EEA" w:rsidRPr="009C295F" w:rsidRDefault="00FB7D0B">
            <w:pPr>
              <w:jc w:val="right"/>
              <w:rPr>
                <w:rFonts w:ascii="Arial" w:eastAsia="Arial" w:hAnsi="Arial" w:cs="Arial"/>
                <w:b/>
                <w:color w:val="000000"/>
                <w:sz w:val="16"/>
              </w:rPr>
            </w:pPr>
            <w:r w:rsidRPr="009C295F">
              <w:rPr>
                <w:rFonts w:ascii="Arial" w:eastAsia="Arial" w:hAnsi="Arial" w:cs="Arial"/>
                <w:b/>
                <w:color w:val="000000"/>
                <w:sz w:val="16"/>
              </w:rPr>
              <w:t xml:space="preserve"> 139,947 </w:t>
            </w:r>
          </w:p>
        </w:tc>
      </w:tr>
      <w:tr w:rsidR="00FB7D0B" w14:paraId="0677B3A8" w14:textId="77777777" w:rsidTr="00FB7D0B">
        <w:trPr>
          <w:trHeight w:val="225"/>
        </w:trPr>
        <w:tc>
          <w:tcPr>
            <w:tcW w:w="2880" w:type="dxa"/>
            <w:gridSpan w:val="3"/>
            <w:vMerge w:val="restart"/>
            <w:tcBorders>
              <w:top w:val="nil"/>
              <w:left w:val="nil"/>
              <w:bottom w:val="nil"/>
              <w:right w:val="nil"/>
              <w:tl2br w:val="nil"/>
              <w:tr2bl w:val="nil"/>
            </w:tcBorders>
            <w:shd w:val="clear" w:color="auto" w:fill="FFFFFF"/>
            <w:tcMar>
              <w:left w:w="115" w:type="dxa"/>
              <w:right w:w="115" w:type="dxa"/>
            </w:tcMar>
            <w:vAlign w:val="bottom"/>
          </w:tcPr>
          <w:p w14:paraId="0F92881F" w14:textId="77777777" w:rsidR="003F0EEA" w:rsidRPr="009C295F" w:rsidRDefault="00FB7D0B">
            <w:pPr>
              <w:rPr>
                <w:rFonts w:ascii="Arial" w:eastAsia="Arial" w:hAnsi="Arial" w:cs="Arial"/>
                <w:b/>
                <w:color w:val="000000"/>
                <w:sz w:val="16"/>
              </w:rPr>
            </w:pPr>
            <w:r w:rsidRPr="009C295F">
              <w:rPr>
                <w:rFonts w:ascii="Arial" w:eastAsia="Arial" w:hAnsi="Arial" w:cs="Arial"/>
                <w:b/>
                <w:color w:val="000000"/>
                <w:sz w:val="16"/>
              </w:rPr>
              <w:t xml:space="preserve">Total ordinary annual services  </w:t>
            </w:r>
          </w:p>
        </w:tc>
        <w:tc>
          <w:tcPr>
            <w:tcW w:w="360" w:type="dxa"/>
            <w:tcBorders>
              <w:top w:val="nil"/>
              <w:left w:val="nil"/>
              <w:bottom w:val="nil"/>
              <w:right w:val="nil"/>
              <w:tl2br w:val="nil"/>
              <w:tr2bl w:val="nil"/>
            </w:tcBorders>
            <w:shd w:val="clear" w:color="auto" w:fill="FFFFFF"/>
            <w:tcMar>
              <w:left w:w="115" w:type="dxa"/>
              <w:right w:w="115" w:type="dxa"/>
            </w:tcMar>
            <w:vAlign w:val="bottom"/>
          </w:tcPr>
          <w:p w14:paraId="037CD45F" w14:textId="77777777" w:rsidR="003F0EEA" w:rsidRPr="009C295F" w:rsidRDefault="00FB7D0B">
            <w:pPr>
              <w:jc w:val="center"/>
              <w:rPr>
                <w:rFonts w:ascii="Arial" w:eastAsia="Arial" w:hAnsi="Arial" w:cs="Arial"/>
                <w:b/>
                <w:color w:val="000000"/>
                <w:sz w:val="16"/>
                <w:vertAlign w:val="superscript"/>
              </w:rPr>
            </w:pPr>
            <w:r w:rsidRPr="009C295F">
              <w:rPr>
                <w:rFonts w:ascii="Arial" w:eastAsia="Arial" w:hAnsi="Arial" w:cs="Arial"/>
                <w:b/>
                <w:color w:val="000000"/>
                <w:sz w:val="16"/>
              </w:rPr>
              <w:t>A</w:t>
            </w:r>
          </w:p>
        </w:tc>
        <w:tc>
          <w:tcPr>
            <w:tcW w:w="1230" w:type="dxa"/>
            <w:tcBorders>
              <w:top w:val="single" w:sz="6" w:space="0" w:color="000000"/>
              <w:left w:val="nil"/>
              <w:bottom w:val="single" w:sz="6" w:space="0" w:color="000000"/>
              <w:right w:val="nil"/>
              <w:tl2br w:val="nil"/>
              <w:tr2bl w:val="nil"/>
            </w:tcBorders>
            <w:shd w:val="clear" w:color="auto" w:fill="FFFFFF"/>
            <w:tcMar>
              <w:left w:w="115" w:type="dxa"/>
              <w:right w:w="115" w:type="dxa"/>
            </w:tcMar>
            <w:vAlign w:val="bottom"/>
          </w:tcPr>
          <w:p w14:paraId="66EC0272" w14:textId="77777777" w:rsidR="003F0EEA" w:rsidRPr="009C295F" w:rsidRDefault="00FB7D0B">
            <w:pPr>
              <w:jc w:val="right"/>
              <w:rPr>
                <w:rFonts w:ascii="Arial" w:eastAsia="Arial" w:hAnsi="Arial" w:cs="Arial"/>
                <w:b/>
                <w:color w:val="000000"/>
                <w:sz w:val="16"/>
              </w:rPr>
            </w:pPr>
            <w:r w:rsidRPr="009C295F">
              <w:rPr>
                <w:rFonts w:ascii="Arial" w:eastAsia="Arial" w:hAnsi="Arial" w:cs="Arial"/>
                <w:b/>
                <w:color w:val="000000"/>
                <w:sz w:val="16"/>
              </w:rPr>
              <w:t xml:space="preserve"> 11,689 </w:t>
            </w:r>
          </w:p>
        </w:tc>
        <w:tc>
          <w:tcPr>
            <w:tcW w:w="330" w:type="dxa"/>
            <w:tcBorders>
              <w:top w:val="single" w:sz="6" w:space="0" w:color="000000"/>
              <w:left w:val="nil"/>
              <w:bottom w:val="single" w:sz="6" w:space="0" w:color="000000"/>
              <w:right w:val="nil"/>
              <w:tl2br w:val="nil"/>
              <w:tr2bl w:val="nil"/>
            </w:tcBorders>
            <w:shd w:val="clear" w:color="auto" w:fill="FFFFFF"/>
            <w:tcMar>
              <w:left w:w="115" w:type="dxa"/>
              <w:right w:w="115" w:type="dxa"/>
            </w:tcMar>
            <w:vAlign w:val="bottom"/>
          </w:tcPr>
          <w:p w14:paraId="0726C9A0" w14:textId="77777777" w:rsidR="003F0EEA" w:rsidRPr="009C295F" w:rsidRDefault="00FB7D0B">
            <w:pPr>
              <w:rPr>
                <w:rFonts w:ascii="Arial" w:eastAsia="Arial" w:hAnsi="Arial" w:cs="Arial"/>
                <w:b/>
                <w:color w:val="000000"/>
                <w:sz w:val="16"/>
              </w:rPr>
            </w:pPr>
            <w:r w:rsidRPr="009C295F">
              <w:rPr>
                <w:rFonts w:ascii="Arial" w:eastAsia="Arial" w:hAnsi="Arial" w:cs="Arial"/>
                <w:b/>
                <w:color w:val="000000"/>
                <w:sz w:val="16"/>
              </w:rPr>
              <w:t xml:space="preserve"> </w:t>
            </w:r>
          </w:p>
        </w:tc>
        <w:tc>
          <w:tcPr>
            <w:tcW w:w="1080" w:type="dxa"/>
            <w:tcBorders>
              <w:top w:val="single" w:sz="6" w:space="0" w:color="000000"/>
              <w:left w:val="nil"/>
              <w:bottom w:val="single" w:sz="6" w:space="0" w:color="000000"/>
              <w:right w:val="nil"/>
              <w:tl2br w:val="nil"/>
              <w:tr2bl w:val="nil"/>
            </w:tcBorders>
            <w:shd w:val="clear" w:color="auto" w:fill="FFFFFF"/>
            <w:tcMar>
              <w:left w:w="115" w:type="dxa"/>
              <w:right w:w="115" w:type="dxa"/>
            </w:tcMar>
            <w:vAlign w:val="bottom"/>
          </w:tcPr>
          <w:p w14:paraId="7611BC6A" w14:textId="77777777" w:rsidR="003F0EEA" w:rsidRPr="009C295F" w:rsidRDefault="00FB7D0B">
            <w:pPr>
              <w:jc w:val="right"/>
              <w:rPr>
                <w:rFonts w:ascii="Arial" w:eastAsia="Arial" w:hAnsi="Arial" w:cs="Arial"/>
                <w:b/>
                <w:color w:val="000000"/>
                <w:sz w:val="16"/>
              </w:rPr>
            </w:pPr>
            <w:r w:rsidRPr="009C295F">
              <w:rPr>
                <w:rFonts w:ascii="Arial" w:eastAsia="Arial" w:hAnsi="Arial" w:cs="Arial"/>
                <w:b/>
                <w:color w:val="000000"/>
                <w:sz w:val="16"/>
              </w:rPr>
              <w:t xml:space="preserve"> 457,974 </w:t>
            </w:r>
          </w:p>
        </w:tc>
        <w:tc>
          <w:tcPr>
            <w:tcW w:w="300" w:type="dxa"/>
            <w:tcBorders>
              <w:top w:val="single" w:sz="6" w:space="0" w:color="000000"/>
              <w:left w:val="nil"/>
              <w:bottom w:val="single" w:sz="6" w:space="0" w:color="000000"/>
              <w:right w:val="nil"/>
              <w:tl2br w:val="nil"/>
              <w:tr2bl w:val="nil"/>
            </w:tcBorders>
            <w:shd w:val="clear" w:color="auto" w:fill="FFFFFF"/>
            <w:tcMar>
              <w:left w:w="115" w:type="dxa"/>
              <w:right w:w="115" w:type="dxa"/>
            </w:tcMar>
            <w:vAlign w:val="bottom"/>
          </w:tcPr>
          <w:p w14:paraId="21761EAD" w14:textId="77777777" w:rsidR="003F0EEA" w:rsidRPr="009C295F" w:rsidRDefault="00FB7D0B">
            <w:pPr>
              <w:rPr>
                <w:rFonts w:ascii="Arial" w:eastAsia="Arial" w:hAnsi="Arial" w:cs="Arial"/>
                <w:b/>
                <w:color w:val="000000"/>
                <w:sz w:val="16"/>
              </w:rPr>
            </w:pPr>
            <w:r w:rsidRPr="009C295F">
              <w:rPr>
                <w:rFonts w:ascii="Arial" w:eastAsia="Arial" w:hAnsi="Arial" w:cs="Arial"/>
                <w:b/>
                <w:color w:val="000000"/>
                <w:sz w:val="16"/>
              </w:rPr>
              <w:t xml:space="preserve"> </w:t>
            </w:r>
          </w:p>
        </w:tc>
        <w:tc>
          <w:tcPr>
            <w:tcW w:w="1080" w:type="dxa"/>
            <w:tcBorders>
              <w:top w:val="single" w:sz="6" w:space="0" w:color="000000"/>
              <w:left w:val="nil"/>
              <w:bottom w:val="single" w:sz="6" w:space="0" w:color="000000"/>
              <w:right w:val="nil"/>
              <w:tl2br w:val="nil"/>
              <w:tr2bl w:val="nil"/>
            </w:tcBorders>
            <w:shd w:val="clear" w:color="auto" w:fill="FFFF00"/>
            <w:tcMar>
              <w:left w:w="115" w:type="dxa"/>
              <w:right w:w="115" w:type="dxa"/>
            </w:tcMar>
            <w:vAlign w:val="bottom"/>
          </w:tcPr>
          <w:p w14:paraId="4B83A98A" w14:textId="77777777" w:rsidR="003F0EEA" w:rsidRPr="009C295F" w:rsidRDefault="00FB7D0B">
            <w:pPr>
              <w:jc w:val="right"/>
              <w:rPr>
                <w:rFonts w:ascii="Arial" w:eastAsia="Arial" w:hAnsi="Arial" w:cs="Arial"/>
                <w:b/>
                <w:color w:val="000000"/>
                <w:sz w:val="16"/>
              </w:rPr>
            </w:pPr>
            <w:r w:rsidRPr="009C295F">
              <w:rPr>
                <w:rFonts w:ascii="Arial" w:eastAsia="Arial" w:hAnsi="Arial" w:cs="Arial"/>
                <w:b/>
                <w:color w:val="000000"/>
                <w:sz w:val="16"/>
              </w:rPr>
              <w:t xml:space="preserve"> 469,663 </w:t>
            </w:r>
          </w:p>
        </w:tc>
        <w:tc>
          <w:tcPr>
            <w:tcW w:w="1230" w:type="dxa"/>
            <w:tcBorders>
              <w:top w:val="single" w:sz="6" w:space="0" w:color="000000"/>
              <w:left w:val="nil"/>
              <w:bottom w:val="single" w:sz="6" w:space="0" w:color="000000"/>
              <w:right w:val="nil"/>
              <w:tl2br w:val="nil"/>
              <w:tr2bl w:val="nil"/>
            </w:tcBorders>
            <w:shd w:val="clear" w:color="auto" w:fill="FFFFFF"/>
            <w:tcMar>
              <w:left w:w="115" w:type="dxa"/>
              <w:right w:w="115" w:type="dxa"/>
            </w:tcMar>
            <w:vAlign w:val="bottom"/>
          </w:tcPr>
          <w:p w14:paraId="150BF30B" w14:textId="77777777" w:rsidR="003F0EEA" w:rsidRPr="009C295F" w:rsidRDefault="00FB7D0B">
            <w:pPr>
              <w:jc w:val="right"/>
              <w:rPr>
                <w:rFonts w:ascii="Arial" w:eastAsia="Arial" w:hAnsi="Arial" w:cs="Arial"/>
                <w:b/>
                <w:color w:val="000000"/>
                <w:sz w:val="16"/>
              </w:rPr>
            </w:pPr>
            <w:r w:rsidRPr="009C295F">
              <w:rPr>
                <w:rFonts w:ascii="Arial" w:eastAsia="Arial" w:hAnsi="Arial" w:cs="Arial"/>
                <w:b/>
                <w:color w:val="000000"/>
                <w:sz w:val="16"/>
              </w:rPr>
              <w:t xml:space="preserve"> 453,601 </w:t>
            </w:r>
          </w:p>
        </w:tc>
      </w:tr>
      <w:tr w:rsidR="00FB7D0B" w14:paraId="6A8F0189" w14:textId="77777777" w:rsidTr="00FB7D0B">
        <w:trPr>
          <w:trHeight w:val="210"/>
        </w:trPr>
        <w:tc>
          <w:tcPr>
            <w:tcW w:w="2880" w:type="dxa"/>
            <w:gridSpan w:val="3"/>
            <w:tcBorders>
              <w:top w:val="nil"/>
              <w:left w:val="nil"/>
              <w:bottom w:val="nil"/>
              <w:right w:val="nil"/>
              <w:tl2br w:val="nil"/>
              <w:tr2bl w:val="nil"/>
            </w:tcBorders>
            <w:shd w:val="clear" w:color="auto" w:fill="FFFFFF"/>
            <w:tcMar>
              <w:left w:w="115" w:type="dxa"/>
              <w:right w:w="115" w:type="dxa"/>
            </w:tcMar>
            <w:vAlign w:val="bottom"/>
          </w:tcPr>
          <w:p w14:paraId="3933F286" w14:textId="77777777" w:rsidR="003F0EEA" w:rsidRPr="009C295F" w:rsidRDefault="00FB7D0B">
            <w:pPr>
              <w:rPr>
                <w:rFonts w:ascii="Arial" w:eastAsia="Arial" w:hAnsi="Arial" w:cs="Arial"/>
                <w:b/>
                <w:color w:val="000000"/>
                <w:sz w:val="16"/>
              </w:rPr>
            </w:pPr>
            <w:r w:rsidRPr="009C295F">
              <w:rPr>
                <w:rFonts w:ascii="Arial" w:eastAsia="Arial" w:hAnsi="Arial" w:cs="Arial"/>
                <w:b/>
                <w:color w:val="000000"/>
                <w:sz w:val="16"/>
              </w:rPr>
              <w:t>Other services</w:t>
            </w:r>
            <w:r w:rsidRPr="009C295F">
              <w:rPr>
                <w:rFonts w:ascii="Arial" w:eastAsia="Arial" w:hAnsi="Arial" w:cs="Arial"/>
                <w:b/>
                <w:color w:val="000000"/>
                <w:sz w:val="16"/>
                <w:vertAlign w:val="superscript"/>
              </w:rPr>
              <w:t>5 </w:t>
            </w:r>
          </w:p>
        </w:tc>
        <w:tc>
          <w:tcPr>
            <w:tcW w:w="360" w:type="dxa"/>
            <w:tcBorders>
              <w:top w:val="nil"/>
              <w:left w:val="nil"/>
              <w:bottom w:val="nil"/>
              <w:right w:val="nil"/>
              <w:tl2br w:val="nil"/>
              <w:tr2bl w:val="nil"/>
            </w:tcBorders>
            <w:shd w:val="clear" w:color="auto" w:fill="FFFFFF"/>
            <w:tcMar>
              <w:left w:w="115" w:type="dxa"/>
              <w:right w:w="115" w:type="dxa"/>
            </w:tcMar>
            <w:vAlign w:val="bottom"/>
          </w:tcPr>
          <w:p w14:paraId="18EBC4E4" w14:textId="77777777" w:rsidR="003F0EEA" w:rsidRPr="009C295F" w:rsidRDefault="003F0EEA">
            <w:pPr>
              <w:jc w:val="center"/>
              <w:rPr>
                <w:rFonts w:ascii="Arial" w:eastAsia="Arial" w:hAnsi="Arial" w:cs="Arial"/>
                <w:b/>
                <w:color w:val="000000"/>
                <w:sz w:val="16"/>
                <w:vertAlign w:val="superscript"/>
              </w:rPr>
            </w:pPr>
          </w:p>
        </w:tc>
        <w:tc>
          <w:tcPr>
            <w:tcW w:w="1230"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27ED19E0" w14:textId="77777777" w:rsidR="003F0EEA" w:rsidRPr="009C295F" w:rsidRDefault="003F0EEA">
            <w:pPr>
              <w:jc w:val="right"/>
              <w:rPr>
                <w:rFonts w:ascii="Arial" w:eastAsia="Arial" w:hAnsi="Arial" w:cs="Arial"/>
                <w:b/>
                <w:color w:val="000000"/>
                <w:sz w:val="16"/>
                <w:vertAlign w:val="superscript"/>
              </w:rPr>
            </w:pPr>
          </w:p>
        </w:tc>
        <w:tc>
          <w:tcPr>
            <w:tcW w:w="330"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4E065EF2" w14:textId="77777777" w:rsidR="003F0EEA" w:rsidRPr="009C295F" w:rsidRDefault="00FB7D0B">
            <w:pPr>
              <w:rPr>
                <w:rFonts w:ascii="Arial" w:eastAsia="Arial" w:hAnsi="Arial" w:cs="Arial"/>
                <w:color w:val="000000"/>
                <w:sz w:val="16"/>
                <w:vertAlign w:val="superscript"/>
              </w:rPr>
            </w:pPr>
            <w:r w:rsidRPr="009C295F">
              <w:rPr>
                <w:rFonts w:ascii="Arial" w:eastAsia="Arial" w:hAnsi="Arial" w:cs="Arial"/>
                <w:color w:val="000000"/>
                <w:sz w:val="16"/>
              </w:rPr>
              <w:t xml:space="preserve"> </w:t>
            </w:r>
          </w:p>
        </w:tc>
        <w:tc>
          <w:tcPr>
            <w:tcW w:w="1080"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65754912" w14:textId="77777777" w:rsidR="003F0EEA" w:rsidRPr="009C295F" w:rsidRDefault="003F0EEA">
            <w:pPr>
              <w:jc w:val="right"/>
              <w:rPr>
                <w:rFonts w:ascii="Arial" w:eastAsia="Arial" w:hAnsi="Arial" w:cs="Arial"/>
                <w:color w:val="000000"/>
                <w:sz w:val="16"/>
              </w:rPr>
            </w:pPr>
          </w:p>
        </w:tc>
        <w:tc>
          <w:tcPr>
            <w:tcW w:w="300"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5F812B9A" w14:textId="77777777" w:rsidR="003F0EEA" w:rsidRPr="009C295F" w:rsidRDefault="00FB7D0B">
            <w:pPr>
              <w:rPr>
                <w:rFonts w:ascii="Arial" w:eastAsia="Arial" w:hAnsi="Arial" w:cs="Arial"/>
                <w:b/>
                <w:color w:val="000000"/>
                <w:sz w:val="16"/>
              </w:rPr>
            </w:pPr>
            <w:r w:rsidRPr="009C295F">
              <w:rPr>
                <w:rFonts w:ascii="Arial" w:eastAsia="Arial" w:hAnsi="Arial" w:cs="Arial"/>
                <w:color w:val="000000"/>
                <w:sz w:val="16"/>
              </w:rPr>
              <w:t xml:space="preserve"> </w:t>
            </w:r>
          </w:p>
        </w:tc>
        <w:tc>
          <w:tcPr>
            <w:tcW w:w="1080" w:type="dxa"/>
            <w:tcBorders>
              <w:top w:val="single" w:sz="6" w:space="0" w:color="000000"/>
              <w:left w:val="nil"/>
              <w:bottom w:val="nil"/>
              <w:right w:val="nil"/>
              <w:tl2br w:val="nil"/>
              <w:tr2bl w:val="nil"/>
            </w:tcBorders>
            <w:shd w:val="clear" w:color="auto" w:fill="FFFF00"/>
            <w:tcMar>
              <w:left w:w="115" w:type="dxa"/>
              <w:right w:w="115" w:type="dxa"/>
            </w:tcMar>
            <w:vAlign w:val="bottom"/>
          </w:tcPr>
          <w:p w14:paraId="79729AA5" w14:textId="77777777" w:rsidR="003F0EEA" w:rsidRPr="009C295F" w:rsidRDefault="003F0EEA">
            <w:pPr>
              <w:jc w:val="right"/>
              <w:rPr>
                <w:rFonts w:ascii="Arial" w:eastAsia="Arial" w:hAnsi="Arial" w:cs="Arial"/>
                <w:color w:val="000000"/>
                <w:sz w:val="16"/>
              </w:rPr>
            </w:pPr>
          </w:p>
        </w:tc>
        <w:tc>
          <w:tcPr>
            <w:tcW w:w="1230"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3CA394C4" w14:textId="77777777" w:rsidR="003F0EEA" w:rsidRPr="009C295F" w:rsidRDefault="003F0EEA">
            <w:pPr>
              <w:jc w:val="right"/>
              <w:rPr>
                <w:rFonts w:ascii="Arial" w:eastAsia="Arial" w:hAnsi="Arial" w:cs="Arial"/>
                <w:b/>
                <w:color w:val="000000"/>
                <w:sz w:val="16"/>
              </w:rPr>
            </w:pPr>
          </w:p>
        </w:tc>
      </w:tr>
      <w:tr w:rsidR="00FB7D0B" w14:paraId="250C2EF1" w14:textId="77777777" w:rsidTr="00FB7D0B">
        <w:trPr>
          <w:trHeight w:val="210"/>
        </w:trPr>
        <w:tc>
          <w:tcPr>
            <w:tcW w:w="2880" w:type="dxa"/>
            <w:gridSpan w:val="3"/>
            <w:tcBorders>
              <w:top w:val="nil"/>
              <w:left w:val="nil"/>
              <w:bottom w:val="nil"/>
              <w:right w:val="nil"/>
              <w:tl2br w:val="nil"/>
              <w:tr2bl w:val="nil"/>
            </w:tcBorders>
            <w:shd w:val="clear" w:color="auto" w:fill="FFFFFF"/>
            <w:tcMar>
              <w:left w:w="115" w:type="dxa"/>
              <w:right w:w="115" w:type="dxa"/>
            </w:tcMar>
            <w:vAlign w:val="bottom"/>
          </w:tcPr>
          <w:p w14:paraId="0B3AD8E9" w14:textId="77777777" w:rsidR="003F0EEA" w:rsidRPr="009C295F" w:rsidRDefault="00FB7D0B">
            <w:pPr>
              <w:rPr>
                <w:rFonts w:ascii="Arial" w:eastAsia="Arial" w:hAnsi="Arial" w:cs="Arial"/>
                <w:color w:val="000000"/>
                <w:sz w:val="16"/>
              </w:rPr>
            </w:pPr>
            <w:r w:rsidRPr="009C295F">
              <w:rPr>
                <w:rFonts w:ascii="Arial" w:eastAsia="Arial" w:hAnsi="Arial" w:cs="Arial"/>
                <w:b/>
                <w:color w:val="000000"/>
                <w:sz w:val="16"/>
              </w:rPr>
              <w:t>Administered expenses</w:t>
            </w:r>
          </w:p>
        </w:tc>
        <w:tc>
          <w:tcPr>
            <w:tcW w:w="360" w:type="dxa"/>
            <w:tcBorders>
              <w:top w:val="nil"/>
              <w:left w:val="nil"/>
              <w:bottom w:val="nil"/>
              <w:right w:val="nil"/>
              <w:tl2br w:val="nil"/>
              <w:tr2bl w:val="nil"/>
            </w:tcBorders>
            <w:shd w:val="clear" w:color="auto" w:fill="FFFFFF"/>
            <w:tcMar>
              <w:left w:w="115" w:type="dxa"/>
              <w:right w:w="115" w:type="dxa"/>
            </w:tcMar>
            <w:vAlign w:val="bottom"/>
          </w:tcPr>
          <w:p w14:paraId="6BA02AF3" w14:textId="77777777" w:rsidR="003F0EEA" w:rsidRPr="009C295F" w:rsidRDefault="003F0EEA">
            <w:pPr>
              <w:jc w:val="center"/>
              <w:rPr>
                <w:rFonts w:ascii="Arial" w:eastAsia="Arial" w:hAnsi="Arial" w:cs="Arial"/>
                <w:b/>
                <w:color w:val="000000"/>
                <w:sz w:val="16"/>
                <w:vertAlign w:val="superscript"/>
              </w:rPr>
            </w:pPr>
          </w:p>
        </w:tc>
        <w:tc>
          <w:tcPr>
            <w:tcW w:w="1230" w:type="dxa"/>
            <w:tcBorders>
              <w:top w:val="nil"/>
              <w:left w:val="nil"/>
              <w:bottom w:val="nil"/>
              <w:right w:val="nil"/>
              <w:tl2br w:val="nil"/>
              <w:tr2bl w:val="nil"/>
            </w:tcBorders>
            <w:shd w:val="clear" w:color="auto" w:fill="FFFFFF"/>
            <w:tcMar>
              <w:left w:w="115" w:type="dxa"/>
              <w:right w:w="115" w:type="dxa"/>
            </w:tcMar>
            <w:vAlign w:val="bottom"/>
          </w:tcPr>
          <w:p w14:paraId="7A9C90FA" w14:textId="77777777" w:rsidR="003F0EEA" w:rsidRPr="009C295F" w:rsidRDefault="003F0EEA">
            <w:pPr>
              <w:jc w:val="right"/>
              <w:rPr>
                <w:rFonts w:ascii="Arial" w:eastAsia="Arial" w:hAnsi="Arial" w:cs="Arial"/>
                <w:b/>
                <w:color w:val="000000"/>
                <w:sz w:val="16"/>
                <w:vertAlign w:val="superscript"/>
              </w:rPr>
            </w:pPr>
          </w:p>
        </w:tc>
        <w:tc>
          <w:tcPr>
            <w:tcW w:w="330" w:type="dxa"/>
            <w:tcBorders>
              <w:top w:val="nil"/>
              <w:left w:val="nil"/>
              <w:bottom w:val="nil"/>
              <w:right w:val="nil"/>
              <w:tl2br w:val="nil"/>
              <w:tr2bl w:val="nil"/>
            </w:tcBorders>
            <w:shd w:val="clear" w:color="auto" w:fill="FFFFFF"/>
            <w:tcMar>
              <w:left w:w="115" w:type="dxa"/>
              <w:right w:w="115" w:type="dxa"/>
            </w:tcMar>
            <w:vAlign w:val="bottom"/>
          </w:tcPr>
          <w:p w14:paraId="6372CBD1" w14:textId="77777777" w:rsidR="003F0EEA" w:rsidRPr="009C295F" w:rsidRDefault="00FB7D0B">
            <w:pPr>
              <w:rPr>
                <w:rFonts w:ascii="Arial" w:eastAsia="Arial" w:hAnsi="Arial" w:cs="Arial"/>
                <w:color w:val="000000"/>
                <w:sz w:val="16"/>
                <w:vertAlign w:val="superscript"/>
              </w:rPr>
            </w:pPr>
            <w:r w:rsidRPr="009C295F">
              <w:rPr>
                <w:rFonts w:ascii="Arial" w:eastAsia="Arial" w:hAnsi="Arial" w:cs="Arial"/>
                <w:color w:val="000000"/>
                <w:sz w:val="16"/>
              </w:rPr>
              <w:t xml:space="preserve"> </w:t>
            </w:r>
          </w:p>
        </w:tc>
        <w:tc>
          <w:tcPr>
            <w:tcW w:w="1080" w:type="dxa"/>
            <w:tcBorders>
              <w:top w:val="nil"/>
              <w:left w:val="nil"/>
              <w:bottom w:val="nil"/>
              <w:right w:val="nil"/>
              <w:tl2br w:val="nil"/>
              <w:tr2bl w:val="nil"/>
            </w:tcBorders>
            <w:shd w:val="clear" w:color="auto" w:fill="FFFFFF"/>
            <w:tcMar>
              <w:left w:w="115" w:type="dxa"/>
              <w:right w:w="115" w:type="dxa"/>
            </w:tcMar>
          </w:tcPr>
          <w:p w14:paraId="4601FAA6" w14:textId="77777777" w:rsidR="003F0EEA" w:rsidRPr="009C295F" w:rsidRDefault="003F0EEA">
            <w:pPr>
              <w:jc w:val="right"/>
              <w:rPr>
                <w:rFonts w:ascii="Arial" w:eastAsia="Arial" w:hAnsi="Arial" w:cs="Arial"/>
                <w:color w:val="000000"/>
                <w:sz w:val="16"/>
              </w:rPr>
            </w:pPr>
          </w:p>
        </w:tc>
        <w:tc>
          <w:tcPr>
            <w:tcW w:w="300" w:type="dxa"/>
            <w:tcBorders>
              <w:top w:val="nil"/>
              <w:left w:val="nil"/>
              <w:bottom w:val="nil"/>
              <w:right w:val="nil"/>
              <w:tl2br w:val="nil"/>
              <w:tr2bl w:val="nil"/>
            </w:tcBorders>
            <w:shd w:val="clear" w:color="auto" w:fill="FFFFFF"/>
            <w:tcMar>
              <w:left w:w="115" w:type="dxa"/>
              <w:right w:w="115" w:type="dxa"/>
            </w:tcMar>
            <w:vAlign w:val="bottom"/>
          </w:tcPr>
          <w:p w14:paraId="54F99775" w14:textId="77777777" w:rsidR="003F0EEA" w:rsidRPr="009C295F" w:rsidRDefault="00FB7D0B">
            <w:pPr>
              <w:rPr>
                <w:rFonts w:ascii="Arial" w:eastAsia="Arial" w:hAnsi="Arial" w:cs="Arial"/>
                <w:color w:val="000000"/>
                <w:sz w:val="16"/>
              </w:rPr>
            </w:pPr>
            <w:r w:rsidRPr="009C295F">
              <w:rPr>
                <w:rFonts w:ascii="Arial" w:eastAsia="Arial" w:hAnsi="Arial" w:cs="Arial"/>
                <w:color w:val="000000"/>
                <w:sz w:val="16"/>
              </w:rPr>
              <w:t xml:space="preserve"> </w:t>
            </w:r>
          </w:p>
        </w:tc>
        <w:tc>
          <w:tcPr>
            <w:tcW w:w="1080" w:type="dxa"/>
            <w:tcBorders>
              <w:top w:val="nil"/>
              <w:left w:val="nil"/>
              <w:bottom w:val="nil"/>
              <w:right w:val="nil"/>
              <w:tl2br w:val="nil"/>
              <w:tr2bl w:val="nil"/>
            </w:tcBorders>
            <w:shd w:val="clear" w:color="auto" w:fill="FFFF00"/>
            <w:tcMar>
              <w:left w:w="115" w:type="dxa"/>
              <w:right w:w="115" w:type="dxa"/>
            </w:tcMar>
          </w:tcPr>
          <w:p w14:paraId="06344597" w14:textId="77777777" w:rsidR="003F0EEA" w:rsidRPr="009C295F" w:rsidRDefault="003F0EEA">
            <w:pPr>
              <w:jc w:val="right"/>
              <w:rPr>
                <w:rFonts w:ascii="Arial" w:eastAsia="Arial" w:hAnsi="Arial" w:cs="Arial"/>
                <w:color w:val="000000"/>
                <w:sz w:val="16"/>
              </w:rPr>
            </w:pPr>
          </w:p>
        </w:tc>
        <w:tc>
          <w:tcPr>
            <w:tcW w:w="1230" w:type="dxa"/>
            <w:tcBorders>
              <w:top w:val="nil"/>
              <w:left w:val="nil"/>
              <w:bottom w:val="nil"/>
              <w:right w:val="nil"/>
              <w:tl2br w:val="nil"/>
              <w:tr2bl w:val="nil"/>
            </w:tcBorders>
            <w:shd w:val="clear" w:color="auto" w:fill="FFFFFF"/>
            <w:tcMar>
              <w:left w:w="115" w:type="dxa"/>
              <w:right w:w="115" w:type="dxa"/>
            </w:tcMar>
            <w:vAlign w:val="bottom"/>
          </w:tcPr>
          <w:p w14:paraId="1E5E5C6B" w14:textId="77777777" w:rsidR="003F0EEA" w:rsidRPr="009C295F" w:rsidRDefault="003F0EEA">
            <w:pPr>
              <w:jc w:val="right"/>
              <w:rPr>
                <w:rFonts w:ascii="Arial" w:eastAsia="Arial" w:hAnsi="Arial" w:cs="Arial"/>
                <w:color w:val="000000"/>
                <w:sz w:val="16"/>
              </w:rPr>
            </w:pPr>
          </w:p>
        </w:tc>
      </w:tr>
      <w:tr w:rsidR="00FB7D0B" w14:paraId="29B73B16" w14:textId="77777777" w:rsidTr="00FB7D0B">
        <w:trPr>
          <w:trHeight w:val="225"/>
        </w:trPr>
        <w:tc>
          <w:tcPr>
            <w:tcW w:w="180" w:type="dxa"/>
            <w:tcBorders>
              <w:top w:val="nil"/>
              <w:left w:val="nil"/>
              <w:bottom w:val="nil"/>
              <w:right w:val="nil"/>
              <w:tl2br w:val="nil"/>
              <w:tr2bl w:val="nil"/>
            </w:tcBorders>
            <w:shd w:val="clear" w:color="auto" w:fill="FFFFFF"/>
            <w:tcMar>
              <w:left w:w="115" w:type="dxa"/>
              <w:right w:w="115" w:type="dxa"/>
            </w:tcMar>
            <w:vAlign w:val="bottom"/>
          </w:tcPr>
          <w:p w14:paraId="5F71A49F" w14:textId="77777777" w:rsidR="003F0EEA" w:rsidRPr="009C295F" w:rsidRDefault="003F0EEA">
            <w:pPr>
              <w:rPr>
                <w:rFonts w:ascii="Arial" w:eastAsia="Arial" w:hAnsi="Arial" w:cs="Arial"/>
                <w:color w:val="000000"/>
                <w:sz w:val="16"/>
              </w:rPr>
            </w:pPr>
          </w:p>
        </w:tc>
        <w:tc>
          <w:tcPr>
            <w:tcW w:w="2700" w:type="dxa"/>
            <w:gridSpan w:val="2"/>
            <w:tcBorders>
              <w:top w:val="nil"/>
              <w:left w:val="nil"/>
              <w:bottom w:val="nil"/>
              <w:right w:val="nil"/>
              <w:tl2br w:val="nil"/>
              <w:tr2bl w:val="nil"/>
            </w:tcBorders>
            <w:shd w:val="clear" w:color="auto" w:fill="FFFFFF"/>
            <w:tcMar>
              <w:left w:w="115" w:type="dxa"/>
              <w:right w:w="115" w:type="dxa"/>
            </w:tcMar>
            <w:vAlign w:val="bottom"/>
          </w:tcPr>
          <w:p w14:paraId="25C55622" w14:textId="77777777" w:rsidR="003F0EEA" w:rsidRPr="009C295F" w:rsidRDefault="00FB7D0B">
            <w:pPr>
              <w:rPr>
                <w:rFonts w:ascii="Arial" w:eastAsia="Arial" w:hAnsi="Arial" w:cs="Arial"/>
                <w:color w:val="000000"/>
                <w:sz w:val="16"/>
              </w:rPr>
            </w:pPr>
            <w:r w:rsidRPr="009C295F">
              <w:rPr>
                <w:rFonts w:ascii="Arial" w:eastAsia="Arial" w:hAnsi="Arial" w:cs="Arial"/>
                <w:b/>
                <w:color w:val="000000"/>
                <w:sz w:val="16"/>
              </w:rPr>
              <w:t>Administered non-operating</w:t>
            </w:r>
          </w:p>
        </w:tc>
        <w:tc>
          <w:tcPr>
            <w:tcW w:w="360" w:type="dxa"/>
            <w:tcBorders>
              <w:top w:val="nil"/>
              <w:left w:val="nil"/>
              <w:bottom w:val="nil"/>
              <w:right w:val="nil"/>
              <w:tl2br w:val="nil"/>
              <w:tr2bl w:val="nil"/>
            </w:tcBorders>
            <w:shd w:val="clear" w:color="auto" w:fill="FFFFFF"/>
            <w:tcMar>
              <w:left w:w="115" w:type="dxa"/>
              <w:right w:w="115" w:type="dxa"/>
            </w:tcMar>
            <w:vAlign w:val="bottom"/>
          </w:tcPr>
          <w:p w14:paraId="1E861F2F" w14:textId="77777777" w:rsidR="003F0EEA" w:rsidRPr="009C295F" w:rsidRDefault="003F0EEA">
            <w:pPr>
              <w:jc w:val="center"/>
              <w:rPr>
                <w:rFonts w:ascii="Arial" w:eastAsia="Arial" w:hAnsi="Arial" w:cs="Arial"/>
                <w:b/>
                <w:color w:val="000000"/>
                <w:sz w:val="16"/>
                <w:vertAlign w:val="superscript"/>
              </w:rPr>
            </w:pPr>
          </w:p>
        </w:tc>
        <w:tc>
          <w:tcPr>
            <w:tcW w:w="1230" w:type="dxa"/>
            <w:tcBorders>
              <w:top w:val="nil"/>
              <w:left w:val="nil"/>
              <w:bottom w:val="nil"/>
              <w:right w:val="nil"/>
              <w:tl2br w:val="nil"/>
              <w:tr2bl w:val="nil"/>
            </w:tcBorders>
            <w:shd w:val="clear" w:color="auto" w:fill="FFFFFF"/>
            <w:tcMar>
              <w:left w:w="115" w:type="dxa"/>
              <w:right w:w="115" w:type="dxa"/>
            </w:tcMar>
            <w:vAlign w:val="bottom"/>
          </w:tcPr>
          <w:p w14:paraId="1A6716D5" w14:textId="77777777" w:rsidR="003F0EEA" w:rsidRPr="009C295F" w:rsidRDefault="003F0EEA">
            <w:pPr>
              <w:jc w:val="right"/>
              <w:rPr>
                <w:rFonts w:ascii="Arial" w:eastAsia="Arial" w:hAnsi="Arial" w:cs="Arial"/>
                <w:color w:val="000000"/>
                <w:sz w:val="16"/>
                <w:vertAlign w:val="superscript"/>
              </w:rPr>
            </w:pPr>
          </w:p>
        </w:tc>
        <w:tc>
          <w:tcPr>
            <w:tcW w:w="330" w:type="dxa"/>
            <w:tcBorders>
              <w:top w:val="nil"/>
              <w:left w:val="nil"/>
              <w:bottom w:val="nil"/>
              <w:right w:val="nil"/>
              <w:tl2br w:val="nil"/>
              <w:tr2bl w:val="nil"/>
            </w:tcBorders>
            <w:shd w:val="clear" w:color="auto" w:fill="FFFFFF"/>
            <w:tcMar>
              <w:left w:w="115" w:type="dxa"/>
              <w:right w:w="115" w:type="dxa"/>
            </w:tcMar>
            <w:vAlign w:val="bottom"/>
          </w:tcPr>
          <w:p w14:paraId="7FE3AB2A" w14:textId="77777777" w:rsidR="003F0EEA" w:rsidRPr="009C295F" w:rsidRDefault="00FB7D0B">
            <w:pPr>
              <w:rPr>
                <w:rFonts w:ascii="Arial" w:eastAsia="Arial" w:hAnsi="Arial" w:cs="Arial"/>
                <w:b/>
                <w:color w:val="000000"/>
                <w:sz w:val="16"/>
                <w:vertAlign w:val="superscript"/>
              </w:rPr>
            </w:pPr>
            <w:r w:rsidRPr="009C295F">
              <w:rPr>
                <w:rFonts w:ascii="Arial" w:eastAsia="Arial" w:hAnsi="Arial" w:cs="Arial"/>
                <w:b/>
                <w:i/>
                <w:color w:val="000000"/>
                <w:sz w:val="16"/>
              </w:rPr>
              <w:t xml:space="preserve"> </w:t>
            </w:r>
          </w:p>
        </w:tc>
        <w:tc>
          <w:tcPr>
            <w:tcW w:w="1080" w:type="dxa"/>
            <w:tcBorders>
              <w:top w:val="nil"/>
              <w:left w:val="nil"/>
              <w:bottom w:val="nil"/>
              <w:right w:val="nil"/>
              <w:tl2br w:val="nil"/>
              <w:tr2bl w:val="nil"/>
            </w:tcBorders>
            <w:shd w:val="clear" w:color="auto" w:fill="FFFFFF"/>
            <w:tcMar>
              <w:left w:w="115" w:type="dxa"/>
              <w:right w:w="115" w:type="dxa"/>
            </w:tcMar>
            <w:vAlign w:val="bottom"/>
          </w:tcPr>
          <w:p w14:paraId="5C2A5687" w14:textId="77777777" w:rsidR="003F0EEA" w:rsidRPr="009C295F" w:rsidRDefault="003F0EEA">
            <w:pPr>
              <w:jc w:val="right"/>
              <w:rPr>
                <w:rFonts w:ascii="Arial" w:eastAsia="Arial" w:hAnsi="Arial" w:cs="Arial"/>
                <w:b/>
                <w:i/>
                <w:color w:val="000000"/>
                <w:sz w:val="16"/>
              </w:rPr>
            </w:pPr>
          </w:p>
        </w:tc>
        <w:tc>
          <w:tcPr>
            <w:tcW w:w="300" w:type="dxa"/>
            <w:tcBorders>
              <w:top w:val="nil"/>
              <w:left w:val="nil"/>
              <w:bottom w:val="nil"/>
              <w:right w:val="nil"/>
              <w:tl2br w:val="nil"/>
              <w:tr2bl w:val="nil"/>
            </w:tcBorders>
            <w:shd w:val="clear" w:color="auto" w:fill="FFFFFF"/>
            <w:tcMar>
              <w:left w:w="115" w:type="dxa"/>
              <w:right w:w="115" w:type="dxa"/>
            </w:tcMar>
            <w:vAlign w:val="bottom"/>
          </w:tcPr>
          <w:p w14:paraId="5F466503" w14:textId="77777777" w:rsidR="003F0EEA" w:rsidRPr="009C295F" w:rsidRDefault="00FB7D0B">
            <w:pPr>
              <w:rPr>
                <w:rFonts w:ascii="Arial" w:eastAsia="Arial" w:hAnsi="Arial" w:cs="Arial"/>
                <w:b/>
                <w:color w:val="000000"/>
                <w:sz w:val="16"/>
              </w:rPr>
            </w:pPr>
            <w:r w:rsidRPr="009C295F">
              <w:rPr>
                <w:rFonts w:ascii="Arial" w:eastAsia="Arial" w:hAnsi="Arial" w:cs="Arial"/>
                <w:b/>
                <w:color w:val="000000"/>
                <w:sz w:val="16"/>
              </w:rPr>
              <w:t xml:space="preserve"> </w:t>
            </w:r>
          </w:p>
        </w:tc>
        <w:tc>
          <w:tcPr>
            <w:tcW w:w="1080" w:type="dxa"/>
            <w:tcBorders>
              <w:top w:val="nil"/>
              <w:left w:val="nil"/>
              <w:bottom w:val="nil"/>
              <w:right w:val="nil"/>
              <w:tl2br w:val="nil"/>
              <w:tr2bl w:val="nil"/>
            </w:tcBorders>
            <w:shd w:val="clear" w:color="auto" w:fill="FFFF00"/>
            <w:tcMar>
              <w:left w:w="115" w:type="dxa"/>
              <w:right w:w="115" w:type="dxa"/>
            </w:tcMar>
            <w:vAlign w:val="bottom"/>
          </w:tcPr>
          <w:p w14:paraId="2A9E1A7A" w14:textId="77777777" w:rsidR="003F0EEA" w:rsidRPr="009C295F" w:rsidRDefault="003F0EEA">
            <w:pPr>
              <w:jc w:val="right"/>
              <w:rPr>
                <w:rFonts w:ascii="Arial" w:eastAsia="Arial" w:hAnsi="Arial" w:cs="Arial"/>
                <w:b/>
                <w:color w:val="000000"/>
                <w:sz w:val="16"/>
              </w:rPr>
            </w:pPr>
          </w:p>
        </w:tc>
        <w:tc>
          <w:tcPr>
            <w:tcW w:w="1230" w:type="dxa"/>
            <w:tcBorders>
              <w:top w:val="nil"/>
              <w:left w:val="nil"/>
              <w:bottom w:val="nil"/>
              <w:right w:val="nil"/>
              <w:tl2br w:val="nil"/>
              <w:tr2bl w:val="nil"/>
            </w:tcBorders>
            <w:shd w:val="clear" w:color="auto" w:fill="FFFFFF"/>
            <w:tcMar>
              <w:left w:w="115" w:type="dxa"/>
              <w:right w:w="115" w:type="dxa"/>
            </w:tcMar>
            <w:vAlign w:val="bottom"/>
          </w:tcPr>
          <w:p w14:paraId="0E6A93DD" w14:textId="77777777" w:rsidR="003F0EEA" w:rsidRPr="009C295F" w:rsidRDefault="003F0EEA">
            <w:pPr>
              <w:jc w:val="right"/>
              <w:rPr>
                <w:rFonts w:ascii="Arial" w:eastAsia="Arial" w:hAnsi="Arial" w:cs="Arial"/>
                <w:b/>
                <w:color w:val="000000"/>
                <w:sz w:val="16"/>
              </w:rPr>
            </w:pPr>
          </w:p>
        </w:tc>
      </w:tr>
      <w:tr w:rsidR="00724034" w14:paraId="5D76EC04" w14:textId="77777777">
        <w:trPr>
          <w:trHeight w:val="225"/>
        </w:trPr>
        <w:tc>
          <w:tcPr>
            <w:tcW w:w="180" w:type="dxa"/>
            <w:tcBorders>
              <w:top w:val="nil"/>
              <w:left w:val="nil"/>
              <w:bottom w:val="nil"/>
              <w:right w:val="nil"/>
              <w:tl2br w:val="nil"/>
              <w:tr2bl w:val="nil"/>
            </w:tcBorders>
            <w:shd w:val="clear" w:color="auto" w:fill="FFFFFF"/>
            <w:tcMar>
              <w:left w:w="115" w:type="dxa"/>
              <w:right w:w="115" w:type="dxa"/>
            </w:tcMar>
            <w:vAlign w:val="bottom"/>
          </w:tcPr>
          <w:p w14:paraId="75627E80" w14:textId="77777777" w:rsidR="003F0EEA" w:rsidRPr="009C295F" w:rsidRDefault="003F0EEA">
            <w:pPr>
              <w:rPr>
                <w:rFonts w:ascii="Arial" w:eastAsia="Arial" w:hAnsi="Arial" w:cs="Arial"/>
                <w:b/>
                <w:color w:val="000000"/>
                <w:sz w:val="16"/>
              </w:rPr>
            </w:pPr>
          </w:p>
        </w:tc>
        <w:tc>
          <w:tcPr>
            <w:tcW w:w="180" w:type="dxa"/>
            <w:tcBorders>
              <w:top w:val="nil"/>
              <w:left w:val="nil"/>
              <w:bottom w:val="nil"/>
              <w:right w:val="nil"/>
              <w:tl2br w:val="nil"/>
              <w:tr2bl w:val="nil"/>
            </w:tcBorders>
            <w:shd w:val="clear" w:color="auto" w:fill="FFFFFF"/>
            <w:tcMar>
              <w:left w:w="115" w:type="dxa"/>
              <w:right w:w="115" w:type="dxa"/>
            </w:tcMar>
            <w:vAlign w:val="bottom"/>
          </w:tcPr>
          <w:p w14:paraId="5E9BE797" w14:textId="77777777" w:rsidR="003F0EEA" w:rsidRPr="009C295F" w:rsidRDefault="003F0EEA">
            <w:pPr>
              <w:rPr>
                <w:rFonts w:ascii="Arial" w:eastAsia="Arial" w:hAnsi="Arial" w:cs="Arial"/>
                <w:color w:val="000000"/>
                <w:sz w:val="16"/>
              </w:rPr>
            </w:pPr>
          </w:p>
        </w:tc>
        <w:tc>
          <w:tcPr>
            <w:tcW w:w="2520" w:type="dxa"/>
            <w:tcBorders>
              <w:top w:val="nil"/>
              <w:left w:val="nil"/>
              <w:bottom w:val="nil"/>
              <w:right w:val="nil"/>
              <w:tl2br w:val="nil"/>
              <w:tr2bl w:val="nil"/>
            </w:tcBorders>
            <w:shd w:val="clear" w:color="auto" w:fill="FFFFFF"/>
            <w:tcMar>
              <w:left w:w="115" w:type="dxa"/>
              <w:right w:w="115" w:type="dxa"/>
            </w:tcMar>
            <w:vAlign w:val="bottom"/>
          </w:tcPr>
          <w:p w14:paraId="1E1065B2" w14:textId="77777777" w:rsidR="003F0EEA" w:rsidRPr="009C295F" w:rsidRDefault="00FB7D0B">
            <w:pPr>
              <w:rPr>
                <w:rFonts w:ascii="Arial" w:eastAsia="Arial" w:hAnsi="Arial" w:cs="Arial"/>
                <w:color w:val="000000"/>
                <w:sz w:val="16"/>
              </w:rPr>
            </w:pPr>
            <w:r w:rsidRPr="009C295F">
              <w:rPr>
                <w:rFonts w:ascii="Arial" w:eastAsia="Arial" w:hAnsi="Arial" w:cs="Arial"/>
                <w:color w:val="000000"/>
                <w:sz w:val="16"/>
              </w:rPr>
              <w:t>Payments to CAC Act bodies</w:t>
            </w:r>
          </w:p>
        </w:tc>
        <w:tc>
          <w:tcPr>
            <w:tcW w:w="360" w:type="dxa"/>
            <w:tcBorders>
              <w:top w:val="nil"/>
              <w:left w:val="nil"/>
              <w:bottom w:val="nil"/>
              <w:right w:val="nil"/>
              <w:tl2br w:val="nil"/>
              <w:tr2bl w:val="nil"/>
            </w:tcBorders>
            <w:shd w:val="clear" w:color="auto" w:fill="FFFFFF"/>
            <w:tcMar>
              <w:left w:w="115" w:type="dxa"/>
              <w:right w:w="115" w:type="dxa"/>
            </w:tcMar>
            <w:vAlign w:val="bottom"/>
          </w:tcPr>
          <w:p w14:paraId="761A2F55" w14:textId="77777777" w:rsidR="003F0EEA" w:rsidRPr="009C295F" w:rsidRDefault="003F0EEA">
            <w:pPr>
              <w:jc w:val="center"/>
              <w:rPr>
                <w:rFonts w:ascii="Arial" w:eastAsia="Arial" w:hAnsi="Arial" w:cs="Arial"/>
                <w:color w:val="000000"/>
                <w:sz w:val="16"/>
                <w:vertAlign w:val="superscript"/>
              </w:rPr>
            </w:pPr>
          </w:p>
        </w:tc>
        <w:tc>
          <w:tcPr>
            <w:tcW w:w="1230" w:type="dxa"/>
            <w:tcBorders>
              <w:top w:val="nil"/>
              <w:left w:val="nil"/>
              <w:bottom w:val="nil"/>
              <w:right w:val="nil"/>
              <w:tl2br w:val="nil"/>
              <w:tr2bl w:val="nil"/>
            </w:tcBorders>
            <w:shd w:val="clear" w:color="auto" w:fill="FFFFFF"/>
            <w:tcMar>
              <w:left w:w="115" w:type="dxa"/>
              <w:right w:w="115" w:type="dxa"/>
            </w:tcMar>
            <w:vAlign w:val="bottom"/>
          </w:tcPr>
          <w:p w14:paraId="6596CFA1" w14:textId="77777777" w:rsidR="003F0EEA" w:rsidRPr="009C295F" w:rsidRDefault="003F0EEA">
            <w:pPr>
              <w:jc w:val="right"/>
              <w:rPr>
                <w:rFonts w:ascii="Arial" w:eastAsia="Arial" w:hAnsi="Arial" w:cs="Arial"/>
                <w:color w:val="000000"/>
                <w:sz w:val="16"/>
                <w:vertAlign w:val="superscript"/>
              </w:rPr>
            </w:pPr>
          </w:p>
        </w:tc>
        <w:tc>
          <w:tcPr>
            <w:tcW w:w="330" w:type="dxa"/>
            <w:tcBorders>
              <w:top w:val="nil"/>
              <w:left w:val="nil"/>
              <w:bottom w:val="nil"/>
              <w:right w:val="nil"/>
              <w:tl2br w:val="nil"/>
              <w:tr2bl w:val="nil"/>
            </w:tcBorders>
            <w:shd w:val="clear" w:color="auto" w:fill="FFFFFF"/>
            <w:tcMar>
              <w:left w:w="115" w:type="dxa"/>
              <w:right w:w="115" w:type="dxa"/>
            </w:tcMar>
            <w:vAlign w:val="bottom"/>
          </w:tcPr>
          <w:p w14:paraId="65A84826" w14:textId="77777777" w:rsidR="003F0EEA" w:rsidRPr="009C295F" w:rsidRDefault="00FB7D0B">
            <w:pPr>
              <w:rPr>
                <w:rFonts w:ascii="Arial" w:eastAsia="Arial" w:hAnsi="Arial" w:cs="Arial"/>
                <w:b/>
                <w:color w:val="000000"/>
                <w:sz w:val="16"/>
                <w:vertAlign w:val="superscript"/>
              </w:rPr>
            </w:pPr>
            <w:r w:rsidRPr="009C295F">
              <w:rPr>
                <w:rFonts w:ascii="Arial" w:eastAsia="Arial" w:hAnsi="Arial" w:cs="Arial"/>
                <w:b/>
                <w:i/>
                <w:color w:val="000000"/>
                <w:sz w:val="16"/>
              </w:rPr>
              <w:t xml:space="preserve"> </w:t>
            </w:r>
          </w:p>
        </w:tc>
        <w:tc>
          <w:tcPr>
            <w:tcW w:w="1080" w:type="dxa"/>
            <w:tcBorders>
              <w:top w:val="nil"/>
              <w:left w:val="nil"/>
              <w:bottom w:val="nil"/>
              <w:right w:val="nil"/>
              <w:tl2br w:val="nil"/>
              <w:tr2bl w:val="nil"/>
            </w:tcBorders>
            <w:shd w:val="clear" w:color="auto" w:fill="FFFFFF"/>
            <w:tcMar>
              <w:left w:w="115" w:type="dxa"/>
              <w:right w:w="115" w:type="dxa"/>
            </w:tcMar>
            <w:vAlign w:val="bottom"/>
          </w:tcPr>
          <w:p w14:paraId="03E4D2E5" w14:textId="77777777" w:rsidR="003F0EEA" w:rsidRPr="009C295F" w:rsidRDefault="003F0EEA">
            <w:pPr>
              <w:jc w:val="right"/>
              <w:rPr>
                <w:rFonts w:ascii="Arial" w:eastAsia="Arial" w:hAnsi="Arial" w:cs="Arial"/>
                <w:b/>
                <w:i/>
                <w:color w:val="000000"/>
                <w:sz w:val="16"/>
              </w:rPr>
            </w:pPr>
          </w:p>
        </w:tc>
        <w:tc>
          <w:tcPr>
            <w:tcW w:w="300" w:type="dxa"/>
            <w:tcBorders>
              <w:top w:val="nil"/>
              <w:left w:val="nil"/>
              <w:bottom w:val="nil"/>
              <w:right w:val="nil"/>
              <w:tl2br w:val="nil"/>
              <w:tr2bl w:val="nil"/>
            </w:tcBorders>
            <w:shd w:val="clear" w:color="auto" w:fill="FFFFFF"/>
            <w:tcMar>
              <w:left w:w="115" w:type="dxa"/>
              <w:right w:w="115" w:type="dxa"/>
            </w:tcMar>
            <w:vAlign w:val="bottom"/>
          </w:tcPr>
          <w:p w14:paraId="7C7B3CAE" w14:textId="77777777" w:rsidR="003F0EEA" w:rsidRPr="009C295F" w:rsidRDefault="00FB7D0B">
            <w:pPr>
              <w:rPr>
                <w:rFonts w:ascii="Arial" w:eastAsia="Arial" w:hAnsi="Arial" w:cs="Arial"/>
                <w:b/>
                <w:color w:val="000000"/>
                <w:sz w:val="16"/>
              </w:rPr>
            </w:pPr>
            <w:r w:rsidRPr="009C295F">
              <w:rPr>
                <w:rFonts w:ascii="Arial" w:eastAsia="Arial" w:hAnsi="Arial" w:cs="Arial"/>
                <w:b/>
                <w:color w:val="000000"/>
                <w:sz w:val="16"/>
              </w:rPr>
              <w:t xml:space="preserve"> </w:t>
            </w:r>
          </w:p>
        </w:tc>
        <w:tc>
          <w:tcPr>
            <w:tcW w:w="1080" w:type="dxa"/>
            <w:tcBorders>
              <w:top w:val="nil"/>
              <w:left w:val="nil"/>
              <w:bottom w:val="nil"/>
              <w:right w:val="nil"/>
              <w:tl2br w:val="nil"/>
              <w:tr2bl w:val="nil"/>
            </w:tcBorders>
            <w:shd w:val="clear" w:color="auto" w:fill="FFFF00"/>
            <w:tcMar>
              <w:left w:w="115" w:type="dxa"/>
              <w:right w:w="115" w:type="dxa"/>
            </w:tcMar>
            <w:vAlign w:val="bottom"/>
          </w:tcPr>
          <w:p w14:paraId="1ED3E6D5" w14:textId="77777777" w:rsidR="003F0EEA" w:rsidRPr="009C295F" w:rsidRDefault="003F0EEA">
            <w:pPr>
              <w:jc w:val="right"/>
              <w:rPr>
                <w:rFonts w:ascii="Arial" w:eastAsia="Arial" w:hAnsi="Arial" w:cs="Arial"/>
                <w:b/>
                <w:color w:val="000000"/>
                <w:sz w:val="16"/>
              </w:rPr>
            </w:pPr>
          </w:p>
        </w:tc>
        <w:tc>
          <w:tcPr>
            <w:tcW w:w="1230" w:type="dxa"/>
            <w:tcBorders>
              <w:top w:val="nil"/>
              <w:left w:val="nil"/>
              <w:bottom w:val="nil"/>
              <w:right w:val="nil"/>
              <w:tl2br w:val="nil"/>
              <w:tr2bl w:val="nil"/>
            </w:tcBorders>
            <w:shd w:val="clear" w:color="auto" w:fill="FFFFFF"/>
            <w:tcMar>
              <w:left w:w="115" w:type="dxa"/>
              <w:right w:w="115" w:type="dxa"/>
            </w:tcMar>
            <w:vAlign w:val="bottom"/>
          </w:tcPr>
          <w:p w14:paraId="424B4A87" w14:textId="77777777" w:rsidR="003F0EEA" w:rsidRPr="009C295F" w:rsidRDefault="003F0EEA">
            <w:pPr>
              <w:jc w:val="right"/>
              <w:rPr>
                <w:rFonts w:ascii="Arial" w:eastAsia="Arial" w:hAnsi="Arial" w:cs="Arial"/>
                <w:b/>
                <w:color w:val="000000"/>
                <w:sz w:val="16"/>
              </w:rPr>
            </w:pPr>
          </w:p>
        </w:tc>
      </w:tr>
      <w:tr w:rsidR="00724034" w14:paraId="0238B8E3" w14:textId="77777777">
        <w:trPr>
          <w:trHeight w:val="225"/>
        </w:trPr>
        <w:tc>
          <w:tcPr>
            <w:tcW w:w="180" w:type="dxa"/>
            <w:tcBorders>
              <w:top w:val="nil"/>
              <w:left w:val="nil"/>
              <w:bottom w:val="nil"/>
              <w:right w:val="nil"/>
              <w:tl2br w:val="nil"/>
              <w:tr2bl w:val="nil"/>
            </w:tcBorders>
            <w:shd w:val="clear" w:color="auto" w:fill="FFFFFF"/>
            <w:tcMar>
              <w:left w:w="115" w:type="dxa"/>
              <w:right w:w="115" w:type="dxa"/>
            </w:tcMar>
            <w:vAlign w:val="bottom"/>
          </w:tcPr>
          <w:p w14:paraId="36494087" w14:textId="77777777" w:rsidR="003F0EEA" w:rsidRPr="009C295F" w:rsidRDefault="003F0EEA">
            <w:pPr>
              <w:rPr>
                <w:rFonts w:ascii="Arial" w:eastAsia="Arial" w:hAnsi="Arial" w:cs="Arial"/>
                <w:b/>
                <w:color w:val="000000"/>
                <w:sz w:val="16"/>
              </w:rPr>
            </w:pPr>
          </w:p>
        </w:tc>
        <w:tc>
          <w:tcPr>
            <w:tcW w:w="180" w:type="dxa"/>
            <w:tcBorders>
              <w:top w:val="nil"/>
              <w:left w:val="nil"/>
              <w:bottom w:val="nil"/>
              <w:right w:val="nil"/>
              <w:tl2br w:val="nil"/>
              <w:tr2bl w:val="nil"/>
            </w:tcBorders>
            <w:shd w:val="clear" w:color="auto" w:fill="FFFFFF"/>
            <w:tcMar>
              <w:left w:w="115" w:type="dxa"/>
              <w:right w:w="115" w:type="dxa"/>
            </w:tcMar>
            <w:vAlign w:val="bottom"/>
          </w:tcPr>
          <w:p w14:paraId="333D442D" w14:textId="77777777" w:rsidR="003F0EEA" w:rsidRPr="009C295F" w:rsidRDefault="003F0EEA">
            <w:pPr>
              <w:rPr>
                <w:rFonts w:ascii="Arial" w:eastAsia="Arial" w:hAnsi="Arial" w:cs="Arial"/>
                <w:color w:val="000000"/>
                <w:sz w:val="16"/>
              </w:rPr>
            </w:pPr>
          </w:p>
        </w:tc>
        <w:tc>
          <w:tcPr>
            <w:tcW w:w="2520" w:type="dxa"/>
            <w:tcBorders>
              <w:top w:val="nil"/>
              <w:left w:val="nil"/>
              <w:bottom w:val="nil"/>
              <w:right w:val="nil"/>
              <w:tl2br w:val="nil"/>
              <w:tr2bl w:val="nil"/>
            </w:tcBorders>
            <w:shd w:val="clear" w:color="auto" w:fill="FFFFFF"/>
            <w:tcMar>
              <w:left w:w="115" w:type="dxa"/>
              <w:right w:w="115" w:type="dxa"/>
            </w:tcMar>
            <w:vAlign w:val="bottom"/>
          </w:tcPr>
          <w:p w14:paraId="506D309D" w14:textId="77777777" w:rsidR="003F0EEA" w:rsidRPr="009C295F" w:rsidRDefault="00FB7D0B">
            <w:pPr>
              <w:rPr>
                <w:rFonts w:ascii="Arial" w:eastAsia="Arial" w:hAnsi="Arial" w:cs="Arial"/>
                <w:color w:val="000000"/>
                <w:sz w:val="16"/>
              </w:rPr>
            </w:pPr>
            <w:r w:rsidRPr="009C295F">
              <w:rPr>
                <w:rFonts w:ascii="Arial" w:eastAsia="Arial" w:hAnsi="Arial" w:cs="Arial"/>
                <w:color w:val="000000"/>
                <w:sz w:val="16"/>
              </w:rPr>
              <w:t>- non-operating</w:t>
            </w:r>
          </w:p>
        </w:tc>
        <w:tc>
          <w:tcPr>
            <w:tcW w:w="360" w:type="dxa"/>
            <w:tcBorders>
              <w:top w:val="nil"/>
              <w:left w:val="nil"/>
              <w:bottom w:val="nil"/>
              <w:right w:val="nil"/>
              <w:tl2br w:val="nil"/>
              <w:tr2bl w:val="nil"/>
            </w:tcBorders>
            <w:shd w:val="clear" w:color="auto" w:fill="FFFFFF"/>
            <w:tcMar>
              <w:left w:w="115" w:type="dxa"/>
              <w:right w:w="115" w:type="dxa"/>
            </w:tcMar>
            <w:vAlign w:val="bottom"/>
          </w:tcPr>
          <w:p w14:paraId="07EECEB4" w14:textId="77777777" w:rsidR="003F0EEA" w:rsidRPr="009C295F" w:rsidRDefault="003F0EEA">
            <w:pPr>
              <w:jc w:val="center"/>
              <w:rPr>
                <w:rFonts w:ascii="Arial" w:eastAsia="Arial" w:hAnsi="Arial" w:cs="Arial"/>
                <w:color w:val="000000"/>
                <w:sz w:val="16"/>
                <w:vertAlign w:val="superscript"/>
              </w:rPr>
            </w:pPr>
          </w:p>
        </w:tc>
        <w:tc>
          <w:tcPr>
            <w:tcW w:w="1230" w:type="dxa"/>
            <w:tcBorders>
              <w:top w:val="nil"/>
              <w:left w:val="nil"/>
              <w:bottom w:val="nil"/>
              <w:right w:val="nil"/>
              <w:tl2br w:val="nil"/>
              <w:tr2bl w:val="nil"/>
            </w:tcBorders>
            <w:shd w:val="clear" w:color="auto" w:fill="FFFFFF"/>
            <w:tcMar>
              <w:left w:w="115" w:type="dxa"/>
              <w:right w:w="115" w:type="dxa"/>
            </w:tcMar>
            <w:vAlign w:val="bottom"/>
          </w:tcPr>
          <w:p w14:paraId="6F7C96CB" w14:textId="77777777" w:rsidR="003F0EEA" w:rsidRPr="009C295F" w:rsidRDefault="00FB7D0B">
            <w:pPr>
              <w:jc w:val="right"/>
              <w:rPr>
                <w:rFonts w:ascii="Arial" w:eastAsia="Arial" w:hAnsi="Arial" w:cs="Arial"/>
                <w:color w:val="000000"/>
                <w:sz w:val="16"/>
                <w:vertAlign w:val="superscript"/>
              </w:rPr>
            </w:pPr>
            <w:r w:rsidRPr="009C295F">
              <w:rPr>
                <w:rFonts w:ascii="Arial" w:eastAsia="Arial" w:hAnsi="Arial" w:cs="Arial"/>
                <w:color w:val="000000"/>
                <w:sz w:val="16"/>
              </w:rPr>
              <w:t xml:space="preserve"> - </w:t>
            </w:r>
          </w:p>
        </w:tc>
        <w:tc>
          <w:tcPr>
            <w:tcW w:w="330" w:type="dxa"/>
            <w:tcBorders>
              <w:top w:val="nil"/>
              <w:left w:val="nil"/>
              <w:bottom w:val="nil"/>
              <w:right w:val="nil"/>
              <w:tl2br w:val="nil"/>
              <w:tr2bl w:val="nil"/>
            </w:tcBorders>
            <w:shd w:val="clear" w:color="auto" w:fill="FFFFFF"/>
            <w:tcMar>
              <w:left w:w="115" w:type="dxa"/>
              <w:right w:w="115" w:type="dxa"/>
            </w:tcMar>
            <w:vAlign w:val="bottom"/>
          </w:tcPr>
          <w:p w14:paraId="19B1EDEC" w14:textId="77777777" w:rsidR="003F0EEA" w:rsidRPr="009C295F" w:rsidRDefault="00FB7D0B">
            <w:pPr>
              <w:rPr>
                <w:rFonts w:ascii="Arial" w:eastAsia="Arial" w:hAnsi="Arial" w:cs="Arial"/>
                <w:color w:val="000000"/>
                <w:sz w:val="16"/>
              </w:rPr>
            </w:pPr>
            <w:r w:rsidRPr="009C295F">
              <w:rPr>
                <w:rFonts w:ascii="Arial" w:eastAsia="Arial" w:hAnsi="Arial" w:cs="Arial"/>
                <w:i/>
                <w:color w:val="000000"/>
                <w:sz w:val="16"/>
              </w:rPr>
              <w:t xml:space="preserve"> </w:t>
            </w:r>
          </w:p>
        </w:tc>
        <w:tc>
          <w:tcPr>
            <w:tcW w:w="1080" w:type="dxa"/>
            <w:tcBorders>
              <w:top w:val="nil"/>
              <w:left w:val="nil"/>
              <w:bottom w:val="nil"/>
              <w:right w:val="nil"/>
              <w:tl2br w:val="nil"/>
              <w:tr2bl w:val="nil"/>
            </w:tcBorders>
            <w:shd w:val="clear" w:color="auto" w:fill="FFFFFF"/>
            <w:tcMar>
              <w:left w:w="115" w:type="dxa"/>
              <w:right w:w="115" w:type="dxa"/>
            </w:tcMar>
            <w:vAlign w:val="bottom"/>
          </w:tcPr>
          <w:p w14:paraId="5A013A18" w14:textId="77777777" w:rsidR="003F0EEA" w:rsidRPr="009C295F" w:rsidRDefault="00FB7D0B">
            <w:pPr>
              <w:jc w:val="right"/>
              <w:rPr>
                <w:rFonts w:ascii="Arial" w:eastAsia="Arial" w:hAnsi="Arial" w:cs="Arial"/>
                <w:i/>
                <w:color w:val="000000"/>
                <w:sz w:val="16"/>
              </w:rPr>
            </w:pPr>
            <w:r w:rsidRPr="009C295F">
              <w:rPr>
                <w:rFonts w:ascii="Arial" w:eastAsia="Arial" w:hAnsi="Arial" w:cs="Arial"/>
                <w:color w:val="000000"/>
                <w:sz w:val="16"/>
              </w:rPr>
              <w:t xml:space="preserve"> 12,444 </w:t>
            </w:r>
          </w:p>
        </w:tc>
        <w:tc>
          <w:tcPr>
            <w:tcW w:w="300" w:type="dxa"/>
            <w:tcBorders>
              <w:top w:val="nil"/>
              <w:left w:val="nil"/>
              <w:bottom w:val="nil"/>
              <w:right w:val="nil"/>
              <w:tl2br w:val="nil"/>
              <w:tr2bl w:val="nil"/>
            </w:tcBorders>
            <w:shd w:val="clear" w:color="auto" w:fill="FFFFFF"/>
            <w:tcMar>
              <w:left w:w="115" w:type="dxa"/>
              <w:right w:w="115" w:type="dxa"/>
            </w:tcMar>
            <w:vAlign w:val="bottom"/>
          </w:tcPr>
          <w:p w14:paraId="7C1E8FDE" w14:textId="77777777" w:rsidR="003F0EEA" w:rsidRPr="009C295F" w:rsidRDefault="00FB7D0B">
            <w:pPr>
              <w:rPr>
                <w:rFonts w:ascii="Arial" w:eastAsia="Arial" w:hAnsi="Arial" w:cs="Arial"/>
                <w:color w:val="000000"/>
                <w:sz w:val="16"/>
              </w:rPr>
            </w:pPr>
            <w:r w:rsidRPr="009C295F">
              <w:rPr>
                <w:rFonts w:ascii="Arial" w:eastAsia="Arial" w:hAnsi="Arial" w:cs="Arial"/>
                <w:color w:val="000000"/>
                <w:sz w:val="16"/>
              </w:rPr>
              <w:t xml:space="preserve"> </w:t>
            </w:r>
          </w:p>
        </w:tc>
        <w:tc>
          <w:tcPr>
            <w:tcW w:w="1080" w:type="dxa"/>
            <w:tcBorders>
              <w:top w:val="nil"/>
              <w:left w:val="nil"/>
              <w:bottom w:val="nil"/>
              <w:right w:val="nil"/>
              <w:tl2br w:val="nil"/>
              <w:tr2bl w:val="nil"/>
            </w:tcBorders>
            <w:shd w:val="clear" w:color="auto" w:fill="FFFF00"/>
            <w:tcMar>
              <w:left w:w="115" w:type="dxa"/>
              <w:right w:w="115" w:type="dxa"/>
            </w:tcMar>
            <w:vAlign w:val="bottom"/>
          </w:tcPr>
          <w:p w14:paraId="3B824018" w14:textId="77777777" w:rsidR="003F0EEA" w:rsidRPr="009C295F" w:rsidRDefault="00FB7D0B">
            <w:pPr>
              <w:jc w:val="right"/>
              <w:rPr>
                <w:rFonts w:ascii="Arial" w:eastAsia="Arial" w:hAnsi="Arial" w:cs="Arial"/>
                <w:color w:val="000000"/>
                <w:sz w:val="16"/>
              </w:rPr>
            </w:pPr>
            <w:r w:rsidRPr="009C295F">
              <w:rPr>
                <w:rFonts w:ascii="Arial" w:eastAsia="Arial" w:hAnsi="Arial" w:cs="Arial"/>
                <w:color w:val="000000"/>
                <w:sz w:val="16"/>
              </w:rPr>
              <w:t xml:space="preserve"> 12,444 </w:t>
            </w:r>
          </w:p>
        </w:tc>
        <w:tc>
          <w:tcPr>
            <w:tcW w:w="1230" w:type="dxa"/>
            <w:tcBorders>
              <w:top w:val="nil"/>
              <w:left w:val="nil"/>
              <w:bottom w:val="nil"/>
              <w:right w:val="nil"/>
              <w:tl2br w:val="nil"/>
              <w:tr2bl w:val="nil"/>
            </w:tcBorders>
            <w:shd w:val="clear" w:color="auto" w:fill="FFFFFF"/>
            <w:tcMar>
              <w:left w:w="115" w:type="dxa"/>
              <w:right w:w="115" w:type="dxa"/>
            </w:tcMar>
            <w:vAlign w:val="bottom"/>
          </w:tcPr>
          <w:p w14:paraId="0EE1A9B8" w14:textId="77777777" w:rsidR="003F0EEA" w:rsidRPr="009C295F" w:rsidRDefault="00FB7D0B">
            <w:pPr>
              <w:jc w:val="right"/>
              <w:rPr>
                <w:rFonts w:ascii="Arial" w:eastAsia="Arial" w:hAnsi="Arial" w:cs="Arial"/>
                <w:color w:val="000000"/>
                <w:sz w:val="16"/>
              </w:rPr>
            </w:pPr>
            <w:r w:rsidRPr="009C295F">
              <w:rPr>
                <w:rFonts w:ascii="Arial" w:eastAsia="Arial" w:hAnsi="Arial" w:cs="Arial"/>
                <w:color w:val="000000"/>
                <w:sz w:val="16"/>
              </w:rPr>
              <w:t xml:space="preserve"> 25,258 </w:t>
            </w:r>
          </w:p>
        </w:tc>
      </w:tr>
      <w:tr w:rsidR="00FB7D0B" w14:paraId="224AB2FA" w14:textId="77777777" w:rsidTr="00FB7D0B">
        <w:trPr>
          <w:trHeight w:val="225"/>
        </w:trPr>
        <w:tc>
          <w:tcPr>
            <w:tcW w:w="180" w:type="dxa"/>
            <w:tcBorders>
              <w:top w:val="nil"/>
              <w:left w:val="nil"/>
              <w:bottom w:val="nil"/>
              <w:right w:val="nil"/>
              <w:tl2br w:val="nil"/>
              <w:tr2bl w:val="nil"/>
            </w:tcBorders>
            <w:shd w:val="clear" w:color="auto" w:fill="FFFFFF"/>
            <w:tcMar>
              <w:left w:w="115" w:type="dxa"/>
              <w:right w:w="115" w:type="dxa"/>
            </w:tcMar>
            <w:vAlign w:val="bottom"/>
          </w:tcPr>
          <w:p w14:paraId="5519830D" w14:textId="77777777" w:rsidR="003F0EEA" w:rsidRPr="009C295F" w:rsidRDefault="003F0EEA">
            <w:pPr>
              <w:rPr>
                <w:rFonts w:ascii="Arial" w:eastAsia="Arial" w:hAnsi="Arial" w:cs="Arial"/>
                <w:color w:val="000000"/>
                <w:sz w:val="16"/>
              </w:rPr>
            </w:pPr>
          </w:p>
        </w:tc>
        <w:tc>
          <w:tcPr>
            <w:tcW w:w="2700" w:type="dxa"/>
            <w:gridSpan w:val="2"/>
            <w:tcBorders>
              <w:top w:val="nil"/>
              <w:left w:val="nil"/>
              <w:bottom w:val="nil"/>
              <w:right w:val="nil"/>
              <w:tl2br w:val="nil"/>
              <w:tr2bl w:val="nil"/>
            </w:tcBorders>
            <w:shd w:val="clear" w:color="auto" w:fill="FFFFFF"/>
            <w:tcMar>
              <w:left w:w="115" w:type="dxa"/>
              <w:right w:w="115" w:type="dxa"/>
            </w:tcMar>
            <w:vAlign w:val="bottom"/>
          </w:tcPr>
          <w:p w14:paraId="4EC57878" w14:textId="77777777" w:rsidR="003F0EEA" w:rsidRPr="009C295F" w:rsidRDefault="00FB7D0B">
            <w:pPr>
              <w:rPr>
                <w:rFonts w:ascii="Arial" w:eastAsia="Arial" w:hAnsi="Arial" w:cs="Arial"/>
                <w:color w:val="000000"/>
                <w:sz w:val="16"/>
              </w:rPr>
            </w:pPr>
            <w:r w:rsidRPr="009C295F">
              <w:rPr>
                <w:rFonts w:ascii="Arial" w:eastAsia="Arial" w:hAnsi="Arial" w:cs="Arial"/>
                <w:b/>
                <w:color w:val="000000"/>
                <w:sz w:val="16"/>
              </w:rPr>
              <w:t>Total</w:t>
            </w:r>
          </w:p>
        </w:tc>
        <w:tc>
          <w:tcPr>
            <w:tcW w:w="360" w:type="dxa"/>
            <w:tcBorders>
              <w:top w:val="nil"/>
              <w:left w:val="nil"/>
              <w:bottom w:val="nil"/>
              <w:right w:val="nil"/>
              <w:tl2br w:val="nil"/>
              <w:tr2bl w:val="nil"/>
            </w:tcBorders>
            <w:shd w:val="clear" w:color="auto" w:fill="FFFFFF"/>
            <w:tcMar>
              <w:left w:w="115" w:type="dxa"/>
              <w:right w:w="115" w:type="dxa"/>
            </w:tcMar>
            <w:vAlign w:val="bottom"/>
          </w:tcPr>
          <w:p w14:paraId="08AB6FE9" w14:textId="77777777" w:rsidR="003F0EEA" w:rsidRPr="009C295F" w:rsidRDefault="003F0EEA">
            <w:pPr>
              <w:jc w:val="center"/>
              <w:rPr>
                <w:rFonts w:ascii="Arial" w:eastAsia="Arial" w:hAnsi="Arial" w:cs="Arial"/>
                <w:b/>
                <w:color w:val="000000"/>
                <w:sz w:val="16"/>
                <w:vertAlign w:val="superscript"/>
              </w:rPr>
            </w:pPr>
          </w:p>
        </w:tc>
        <w:tc>
          <w:tcPr>
            <w:tcW w:w="1230"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33F0E8BB" w14:textId="77777777" w:rsidR="003F0EEA" w:rsidRPr="009C295F" w:rsidRDefault="00FB7D0B">
            <w:pPr>
              <w:jc w:val="right"/>
              <w:rPr>
                <w:rFonts w:ascii="Arial" w:eastAsia="Arial" w:hAnsi="Arial" w:cs="Arial"/>
                <w:color w:val="000000"/>
                <w:sz w:val="16"/>
                <w:vertAlign w:val="superscript"/>
              </w:rPr>
            </w:pPr>
            <w:r w:rsidRPr="009C295F">
              <w:rPr>
                <w:rFonts w:ascii="Arial" w:eastAsia="Arial" w:hAnsi="Arial" w:cs="Arial"/>
                <w:b/>
                <w:color w:val="000000"/>
                <w:sz w:val="16"/>
              </w:rPr>
              <w:t xml:space="preserve"> - </w:t>
            </w:r>
          </w:p>
        </w:tc>
        <w:tc>
          <w:tcPr>
            <w:tcW w:w="330"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3C1D126B" w14:textId="77777777" w:rsidR="003F0EEA" w:rsidRPr="009C295F" w:rsidRDefault="00FB7D0B">
            <w:pPr>
              <w:rPr>
                <w:rFonts w:ascii="Arial" w:eastAsia="Arial" w:hAnsi="Arial" w:cs="Arial"/>
                <w:b/>
                <w:color w:val="000000"/>
                <w:sz w:val="16"/>
              </w:rPr>
            </w:pPr>
            <w:r w:rsidRPr="009C295F">
              <w:rPr>
                <w:rFonts w:ascii="Arial" w:eastAsia="Arial" w:hAnsi="Arial" w:cs="Arial"/>
                <w:b/>
                <w:i/>
                <w:color w:val="000000"/>
                <w:sz w:val="16"/>
              </w:rPr>
              <w:t xml:space="preserve"> </w:t>
            </w:r>
          </w:p>
        </w:tc>
        <w:tc>
          <w:tcPr>
            <w:tcW w:w="1080"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42586D76" w14:textId="77777777" w:rsidR="003F0EEA" w:rsidRPr="009C295F" w:rsidRDefault="00FB7D0B">
            <w:pPr>
              <w:jc w:val="right"/>
              <w:rPr>
                <w:rFonts w:ascii="Arial" w:eastAsia="Arial" w:hAnsi="Arial" w:cs="Arial"/>
                <w:b/>
                <w:i/>
                <w:color w:val="000000"/>
                <w:sz w:val="16"/>
              </w:rPr>
            </w:pPr>
            <w:r w:rsidRPr="009C295F">
              <w:rPr>
                <w:rFonts w:ascii="Arial" w:eastAsia="Arial" w:hAnsi="Arial" w:cs="Arial"/>
                <w:b/>
                <w:color w:val="000000"/>
                <w:sz w:val="16"/>
              </w:rPr>
              <w:t xml:space="preserve"> 12,444 </w:t>
            </w:r>
          </w:p>
        </w:tc>
        <w:tc>
          <w:tcPr>
            <w:tcW w:w="300"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556C127F" w14:textId="77777777" w:rsidR="003F0EEA" w:rsidRPr="009C295F" w:rsidRDefault="00FB7D0B">
            <w:pPr>
              <w:rPr>
                <w:rFonts w:ascii="Arial" w:eastAsia="Arial" w:hAnsi="Arial" w:cs="Arial"/>
                <w:b/>
                <w:color w:val="000000"/>
                <w:sz w:val="16"/>
              </w:rPr>
            </w:pPr>
            <w:r w:rsidRPr="009C295F">
              <w:rPr>
                <w:rFonts w:ascii="Arial" w:eastAsia="Arial" w:hAnsi="Arial" w:cs="Arial"/>
                <w:b/>
                <w:color w:val="000000"/>
                <w:sz w:val="16"/>
              </w:rPr>
              <w:t xml:space="preserve"> </w:t>
            </w:r>
          </w:p>
        </w:tc>
        <w:tc>
          <w:tcPr>
            <w:tcW w:w="1080" w:type="dxa"/>
            <w:tcBorders>
              <w:top w:val="nil"/>
              <w:left w:val="nil"/>
              <w:bottom w:val="single" w:sz="6" w:space="0" w:color="000000"/>
              <w:right w:val="nil"/>
              <w:tl2br w:val="nil"/>
              <w:tr2bl w:val="nil"/>
            </w:tcBorders>
            <w:shd w:val="clear" w:color="auto" w:fill="FFFF00"/>
            <w:tcMar>
              <w:left w:w="115" w:type="dxa"/>
              <w:right w:w="115" w:type="dxa"/>
            </w:tcMar>
            <w:vAlign w:val="bottom"/>
          </w:tcPr>
          <w:p w14:paraId="2E0E68AE" w14:textId="77777777" w:rsidR="003F0EEA" w:rsidRPr="009C295F" w:rsidRDefault="00FB7D0B">
            <w:pPr>
              <w:jc w:val="right"/>
              <w:rPr>
                <w:rFonts w:ascii="Arial" w:eastAsia="Arial" w:hAnsi="Arial" w:cs="Arial"/>
                <w:b/>
                <w:color w:val="000000"/>
                <w:sz w:val="16"/>
              </w:rPr>
            </w:pPr>
            <w:r w:rsidRPr="009C295F">
              <w:rPr>
                <w:rFonts w:ascii="Arial" w:eastAsia="Arial" w:hAnsi="Arial" w:cs="Arial"/>
                <w:b/>
                <w:color w:val="000000"/>
                <w:sz w:val="16"/>
              </w:rPr>
              <w:t xml:space="preserve"> 12,444 </w:t>
            </w:r>
          </w:p>
        </w:tc>
        <w:tc>
          <w:tcPr>
            <w:tcW w:w="1230"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79D2AD2E" w14:textId="77777777" w:rsidR="003F0EEA" w:rsidRPr="009C295F" w:rsidRDefault="00FB7D0B">
            <w:pPr>
              <w:jc w:val="right"/>
              <w:rPr>
                <w:rFonts w:ascii="Arial" w:eastAsia="Arial" w:hAnsi="Arial" w:cs="Arial"/>
                <w:b/>
                <w:color w:val="000000"/>
                <w:sz w:val="16"/>
              </w:rPr>
            </w:pPr>
            <w:r w:rsidRPr="009C295F">
              <w:rPr>
                <w:rFonts w:ascii="Arial" w:eastAsia="Arial" w:hAnsi="Arial" w:cs="Arial"/>
                <w:b/>
                <w:color w:val="000000"/>
                <w:sz w:val="16"/>
              </w:rPr>
              <w:t xml:space="preserve"> 25,258 </w:t>
            </w:r>
          </w:p>
        </w:tc>
      </w:tr>
      <w:tr w:rsidR="00724034" w14:paraId="47824D5E" w14:textId="77777777">
        <w:trPr>
          <w:trHeight w:val="225"/>
        </w:trPr>
        <w:tc>
          <w:tcPr>
            <w:tcW w:w="180" w:type="dxa"/>
            <w:tcBorders>
              <w:top w:val="nil"/>
              <w:left w:val="nil"/>
              <w:bottom w:val="nil"/>
              <w:right w:val="nil"/>
              <w:tl2br w:val="nil"/>
              <w:tr2bl w:val="nil"/>
            </w:tcBorders>
            <w:shd w:val="clear" w:color="auto" w:fill="FFFFFF"/>
            <w:tcMar>
              <w:left w:w="115" w:type="dxa"/>
              <w:right w:w="115" w:type="dxa"/>
            </w:tcMar>
            <w:vAlign w:val="bottom"/>
          </w:tcPr>
          <w:p w14:paraId="26C0DEA3" w14:textId="77777777" w:rsidR="003F0EEA" w:rsidRPr="009C295F" w:rsidRDefault="003F0EEA">
            <w:pPr>
              <w:rPr>
                <w:rFonts w:ascii="Arial" w:eastAsia="Arial" w:hAnsi="Arial" w:cs="Arial"/>
                <w:b/>
                <w:color w:val="000000"/>
                <w:sz w:val="16"/>
              </w:rPr>
            </w:pPr>
          </w:p>
        </w:tc>
        <w:tc>
          <w:tcPr>
            <w:tcW w:w="180" w:type="dxa"/>
            <w:tcBorders>
              <w:top w:val="nil"/>
              <w:left w:val="nil"/>
              <w:bottom w:val="nil"/>
              <w:right w:val="nil"/>
              <w:tl2br w:val="nil"/>
              <w:tr2bl w:val="nil"/>
            </w:tcBorders>
            <w:shd w:val="clear" w:color="auto" w:fill="FFFFFF"/>
            <w:tcMar>
              <w:left w:w="115" w:type="dxa"/>
              <w:right w:w="115" w:type="dxa"/>
            </w:tcMar>
            <w:vAlign w:val="bottom"/>
          </w:tcPr>
          <w:p w14:paraId="5029E76F" w14:textId="77777777" w:rsidR="003F0EEA" w:rsidRPr="009C295F" w:rsidRDefault="003F0EEA">
            <w:pPr>
              <w:rPr>
                <w:rFonts w:ascii="Arial" w:eastAsia="Arial" w:hAnsi="Arial" w:cs="Arial"/>
                <w:color w:val="000000"/>
                <w:sz w:val="16"/>
              </w:rPr>
            </w:pPr>
          </w:p>
        </w:tc>
        <w:tc>
          <w:tcPr>
            <w:tcW w:w="2520" w:type="dxa"/>
            <w:tcBorders>
              <w:top w:val="nil"/>
              <w:left w:val="nil"/>
              <w:bottom w:val="nil"/>
              <w:right w:val="nil"/>
              <w:tl2br w:val="nil"/>
              <w:tr2bl w:val="nil"/>
            </w:tcBorders>
            <w:shd w:val="clear" w:color="auto" w:fill="FFFFFF"/>
            <w:tcMar>
              <w:left w:w="115" w:type="dxa"/>
              <w:right w:w="115" w:type="dxa"/>
            </w:tcMar>
            <w:vAlign w:val="bottom"/>
          </w:tcPr>
          <w:p w14:paraId="72A06D74" w14:textId="77777777" w:rsidR="003F0EEA" w:rsidRPr="009C295F" w:rsidRDefault="003F0EEA">
            <w:pPr>
              <w:rPr>
                <w:rFonts w:ascii="Arial" w:eastAsia="Arial" w:hAnsi="Arial" w:cs="Arial"/>
                <w:color w:val="000000"/>
                <w:sz w:val="16"/>
              </w:rPr>
            </w:pPr>
          </w:p>
        </w:tc>
        <w:tc>
          <w:tcPr>
            <w:tcW w:w="360" w:type="dxa"/>
            <w:tcBorders>
              <w:top w:val="nil"/>
              <w:left w:val="nil"/>
              <w:bottom w:val="nil"/>
              <w:right w:val="nil"/>
              <w:tl2br w:val="nil"/>
              <w:tr2bl w:val="nil"/>
            </w:tcBorders>
            <w:shd w:val="clear" w:color="auto" w:fill="FFFFFF"/>
            <w:tcMar>
              <w:left w:w="115" w:type="dxa"/>
              <w:right w:w="115" w:type="dxa"/>
            </w:tcMar>
            <w:vAlign w:val="bottom"/>
          </w:tcPr>
          <w:p w14:paraId="0F93FD12" w14:textId="77777777" w:rsidR="003F0EEA" w:rsidRPr="009C295F" w:rsidRDefault="003F0EEA">
            <w:pPr>
              <w:jc w:val="center"/>
              <w:rPr>
                <w:rFonts w:ascii="Arial" w:eastAsia="Arial" w:hAnsi="Arial" w:cs="Arial"/>
                <w:color w:val="000000"/>
                <w:sz w:val="16"/>
                <w:vertAlign w:val="superscript"/>
              </w:rPr>
            </w:pPr>
          </w:p>
        </w:tc>
        <w:tc>
          <w:tcPr>
            <w:tcW w:w="1230"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3B604DD1" w14:textId="77777777" w:rsidR="003F0EEA" w:rsidRPr="009C295F" w:rsidRDefault="003F0EEA">
            <w:pPr>
              <w:jc w:val="right"/>
              <w:rPr>
                <w:rFonts w:ascii="Arial" w:eastAsia="Arial" w:hAnsi="Arial" w:cs="Arial"/>
                <w:color w:val="000000"/>
                <w:sz w:val="16"/>
                <w:vertAlign w:val="superscript"/>
              </w:rPr>
            </w:pPr>
          </w:p>
        </w:tc>
        <w:tc>
          <w:tcPr>
            <w:tcW w:w="330"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78962031" w14:textId="77777777" w:rsidR="003F0EEA" w:rsidRPr="009C295F" w:rsidRDefault="00FB7D0B">
            <w:pPr>
              <w:rPr>
                <w:rFonts w:ascii="Arial" w:eastAsia="Arial" w:hAnsi="Arial" w:cs="Arial"/>
                <w:b/>
                <w:color w:val="000000"/>
                <w:sz w:val="16"/>
                <w:vertAlign w:val="superscript"/>
              </w:rPr>
            </w:pPr>
            <w:r w:rsidRPr="009C295F">
              <w:rPr>
                <w:rFonts w:ascii="Arial" w:eastAsia="Arial" w:hAnsi="Arial" w:cs="Arial"/>
                <w:b/>
                <w:i/>
                <w:color w:val="000000"/>
                <w:sz w:val="16"/>
              </w:rPr>
              <w:t xml:space="preserve"> </w:t>
            </w:r>
          </w:p>
        </w:tc>
        <w:tc>
          <w:tcPr>
            <w:tcW w:w="1080"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325DECC4" w14:textId="77777777" w:rsidR="003F0EEA" w:rsidRPr="009C295F" w:rsidRDefault="003F0EEA">
            <w:pPr>
              <w:jc w:val="right"/>
              <w:rPr>
                <w:rFonts w:ascii="Arial" w:eastAsia="Arial" w:hAnsi="Arial" w:cs="Arial"/>
                <w:b/>
                <w:i/>
                <w:color w:val="000000"/>
                <w:sz w:val="16"/>
              </w:rPr>
            </w:pPr>
          </w:p>
        </w:tc>
        <w:tc>
          <w:tcPr>
            <w:tcW w:w="300"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5850E382" w14:textId="77777777" w:rsidR="003F0EEA" w:rsidRPr="009C295F" w:rsidRDefault="00FB7D0B">
            <w:pPr>
              <w:rPr>
                <w:rFonts w:ascii="Arial" w:eastAsia="Arial" w:hAnsi="Arial" w:cs="Arial"/>
                <w:b/>
                <w:color w:val="000000"/>
                <w:sz w:val="16"/>
              </w:rPr>
            </w:pPr>
            <w:r w:rsidRPr="009C295F">
              <w:rPr>
                <w:rFonts w:ascii="Arial" w:eastAsia="Arial" w:hAnsi="Arial" w:cs="Arial"/>
                <w:b/>
                <w:color w:val="000000"/>
                <w:sz w:val="16"/>
              </w:rPr>
              <w:t xml:space="preserve"> </w:t>
            </w:r>
          </w:p>
        </w:tc>
        <w:tc>
          <w:tcPr>
            <w:tcW w:w="1080" w:type="dxa"/>
            <w:tcBorders>
              <w:top w:val="single" w:sz="6" w:space="0" w:color="000000"/>
              <w:left w:val="nil"/>
              <w:bottom w:val="nil"/>
              <w:right w:val="nil"/>
              <w:tl2br w:val="nil"/>
              <w:tr2bl w:val="nil"/>
            </w:tcBorders>
            <w:shd w:val="clear" w:color="auto" w:fill="FFFF00"/>
            <w:tcMar>
              <w:left w:w="115" w:type="dxa"/>
              <w:right w:w="115" w:type="dxa"/>
            </w:tcMar>
            <w:vAlign w:val="bottom"/>
          </w:tcPr>
          <w:p w14:paraId="3234D6EE" w14:textId="77777777" w:rsidR="003F0EEA" w:rsidRPr="009C295F" w:rsidRDefault="003F0EEA">
            <w:pPr>
              <w:jc w:val="right"/>
              <w:rPr>
                <w:rFonts w:ascii="Arial" w:eastAsia="Arial" w:hAnsi="Arial" w:cs="Arial"/>
                <w:b/>
                <w:color w:val="000000"/>
                <w:sz w:val="16"/>
              </w:rPr>
            </w:pPr>
          </w:p>
        </w:tc>
        <w:tc>
          <w:tcPr>
            <w:tcW w:w="1230"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30264719" w14:textId="77777777" w:rsidR="003F0EEA" w:rsidRPr="009C295F" w:rsidRDefault="003F0EEA">
            <w:pPr>
              <w:jc w:val="right"/>
              <w:rPr>
                <w:rFonts w:ascii="Arial" w:eastAsia="Arial" w:hAnsi="Arial" w:cs="Arial"/>
                <w:b/>
                <w:color w:val="000000"/>
                <w:sz w:val="16"/>
              </w:rPr>
            </w:pPr>
          </w:p>
        </w:tc>
      </w:tr>
      <w:tr w:rsidR="00FB7D0B" w14:paraId="22D1D3F7" w14:textId="77777777" w:rsidTr="00FB7D0B">
        <w:trPr>
          <w:trHeight w:val="225"/>
        </w:trPr>
        <w:tc>
          <w:tcPr>
            <w:tcW w:w="2880" w:type="dxa"/>
            <w:gridSpan w:val="3"/>
            <w:tcBorders>
              <w:top w:val="nil"/>
              <w:left w:val="nil"/>
              <w:bottom w:val="nil"/>
              <w:right w:val="nil"/>
              <w:tl2br w:val="nil"/>
              <w:tr2bl w:val="nil"/>
            </w:tcBorders>
            <w:shd w:val="clear" w:color="auto" w:fill="FFFFFF"/>
            <w:tcMar>
              <w:left w:w="115" w:type="dxa"/>
              <w:right w:w="115" w:type="dxa"/>
            </w:tcMar>
            <w:vAlign w:val="bottom"/>
          </w:tcPr>
          <w:p w14:paraId="6CDEED55" w14:textId="77777777" w:rsidR="003F0EEA" w:rsidRPr="009C295F" w:rsidRDefault="00FB7D0B">
            <w:pPr>
              <w:rPr>
                <w:rFonts w:ascii="Arial" w:eastAsia="Arial" w:hAnsi="Arial" w:cs="Arial"/>
                <w:b/>
                <w:color w:val="000000"/>
                <w:sz w:val="16"/>
              </w:rPr>
            </w:pPr>
            <w:r w:rsidRPr="009C295F">
              <w:rPr>
                <w:rFonts w:ascii="Arial" w:eastAsia="Arial" w:hAnsi="Arial" w:cs="Arial"/>
                <w:b/>
                <w:color w:val="000000"/>
                <w:sz w:val="16"/>
              </w:rPr>
              <w:t>Departmental non-operating</w:t>
            </w:r>
            <w:r w:rsidRPr="009C295F">
              <w:rPr>
                <w:rFonts w:ascii="Arial" w:eastAsia="Arial" w:hAnsi="Arial" w:cs="Arial"/>
                <w:b/>
                <w:color w:val="000000"/>
                <w:sz w:val="16"/>
                <w:vertAlign w:val="superscript"/>
              </w:rPr>
              <w:t xml:space="preserve"> </w:t>
            </w:r>
          </w:p>
        </w:tc>
        <w:tc>
          <w:tcPr>
            <w:tcW w:w="360" w:type="dxa"/>
            <w:tcBorders>
              <w:top w:val="nil"/>
              <w:left w:val="nil"/>
              <w:bottom w:val="nil"/>
              <w:right w:val="nil"/>
              <w:tl2br w:val="nil"/>
              <w:tr2bl w:val="nil"/>
            </w:tcBorders>
            <w:shd w:val="clear" w:color="auto" w:fill="FFFFFF"/>
            <w:tcMar>
              <w:left w:w="115" w:type="dxa"/>
              <w:right w:w="115" w:type="dxa"/>
            </w:tcMar>
            <w:vAlign w:val="bottom"/>
          </w:tcPr>
          <w:p w14:paraId="3F43BC15" w14:textId="77777777" w:rsidR="003F0EEA" w:rsidRPr="009C295F" w:rsidRDefault="003F0EEA">
            <w:pPr>
              <w:jc w:val="center"/>
              <w:rPr>
                <w:rFonts w:ascii="Arial" w:eastAsia="Arial" w:hAnsi="Arial" w:cs="Arial"/>
                <w:b/>
                <w:color w:val="000000"/>
                <w:sz w:val="16"/>
                <w:vertAlign w:val="superscript"/>
              </w:rPr>
            </w:pPr>
          </w:p>
        </w:tc>
        <w:tc>
          <w:tcPr>
            <w:tcW w:w="1230" w:type="dxa"/>
            <w:tcBorders>
              <w:top w:val="nil"/>
              <w:left w:val="nil"/>
              <w:bottom w:val="nil"/>
              <w:right w:val="nil"/>
              <w:tl2br w:val="nil"/>
              <w:tr2bl w:val="nil"/>
            </w:tcBorders>
            <w:shd w:val="clear" w:color="auto" w:fill="FFFFFF"/>
            <w:tcMar>
              <w:left w:w="115" w:type="dxa"/>
              <w:right w:w="115" w:type="dxa"/>
            </w:tcMar>
            <w:vAlign w:val="bottom"/>
          </w:tcPr>
          <w:p w14:paraId="2493422E" w14:textId="77777777" w:rsidR="003F0EEA" w:rsidRPr="009C295F" w:rsidRDefault="003F0EEA">
            <w:pPr>
              <w:jc w:val="right"/>
              <w:rPr>
                <w:rFonts w:ascii="Arial" w:eastAsia="Arial" w:hAnsi="Arial" w:cs="Arial"/>
                <w:b/>
                <w:color w:val="000000"/>
                <w:sz w:val="16"/>
                <w:vertAlign w:val="superscript"/>
              </w:rPr>
            </w:pPr>
          </w:p>
        </w:tc>
        <w:tc>
          <w:tcPr>
            <w:tcW w:w="330" w:type="dxa"/>
            <w:tcBorders>
              <w:top w:val="nil"/>
              <w:left w:val="nil"/>
              <w:bottom w:val="nil"/>
              <w:right w:val="nil"/>
              <w:tl2br w:val="nil"/>
              <w:tr2bl w:val="nil"/>
            </w:tcBorders>
            <w:shd w:val="clear" w:color="auto" w:fill="FFFFFF"/>
            <w:tcMar>
              <w:left w:w="115" w:type="dxa"/>
              <w:right w:w="115" w:type="dxa"/>
            </w:tcMar>
            <w:vAlign w:val="bottom"/>
          </w:tcPr>
          <w:p w14:paraId="405E9C4D" w14:textId="77777777" w:rsidR="003F0EEA" w:rsidRPr="009C295F" w:rsidRDefault="00FB7D0B">
            <w:pPr>
              <w:rPr>
                <w:rFonts w:ascii="Arial" w:eastAsia="Arial" w:hAnsi="Arial" w:cs="Arial"/>
                <w:b/>
                <w:color w:val="000000"/>
                <w:sz w:val="16"/>
                <w:vertAlign w:val="superscript"/>
              </w:rPr>
            </w:pPr>
            <w:r w:rsidRPr="009C295F">
              <w:rPr>
                <w:rFonts w:ascii="Arial" w:eastAsia="Arial" w:hAnsi="Arial" w:cs="Arial"/>
                <w:b/>
                <w:color w:val="000000"/>
                <w:sz w:val="16"/>
              </w:rPr>
              <w:t xml:space="preserve"> </w:t>
            </w:r>
          </w:p>
        </w:tc>
        <w:tc>
          <w:tcPr>
            <w:tcW w:w="1080" w:type="dxa"/>
            <w:tcBorders>
              <w:top w:val="nil"/>
              <w:left w:val="nil"/>
              <w:bottom w:val="nil"/>
              <w:right w:val="nil"/>
              <w:tl2br w:val="nil"/>
              <w:tr2bl w:val="nil"/>
            </w:tcBorders>
            <w:shd w:val="clear" w:color="auto" w:fill="FFFFFF"/>
            <w:tcMar>
              <w:left w:w="115" w:type="dxa"/>
              <w:right w:w="115" w:type="dxa"/>
            </w:tcMar>
            <w:vAlign w:val="bottom"/>
          </w:tcPr>
          <w:p w14:paraId="089F1BA7" w14:textId="77777777" w:rsidR="003F0EEA" w:rsidRPr="009C295F" w:rsidRDefault="003F0EEA">
            <w:pPr>
              <w:rPr>
                <w:rFonts w:ascii="Arial" w:eastAsia="Arial" w:hAnsi="Arial" w:cs="Arial"/>
                <w:b/>
                <w:color w:val="000000"/>
                <w:sz w:val="16"/>
              </w:rPr>
            </w:pPr>
          </w:p>
        </w:tc>
        <w:tc>
          <w:tcPr>
            <w:tcW w:w="300" w:type="dxa"/>
            <w:tcBorders>
              <w:top w:val="nil"/>
              <w:left w:val="nil"/>
              <w:bottom w:val="nil"/>
              <w:right w:val="nil"/>
              <w:tl2br w:val="nil"/>
              <w:tr2bl w:val="nil"/>
            </w:tcBorders>
            <w:shd w:val="clear" w:color="auto" w:fill="FFFFFF"/>
            <w:tcMar>
              <w:left w:w="115" w:type="dxa"/>
              <w:right w:w="115" w:type="dxa"/>
            </w:tcMar>
            <w:vAlign w:val="bottom"/>
          </w:tcPr>
          <w:p w14:paraId="5AF49BCD" w14:textId="77777777" w:rsidR="003F0EEA" w:rsidRPr="009C295F" w:rsidRDefault="00FB7D0B">
            <w:pPr>
              <w:rPr>
                <w:rFonts w:ascii="Arial" w:eastAsia="Arial" w:hAnsi="Arial" w:cs="Arial"/>
                <w:b/>
                <w:color w:val="000000"/>
                <w:sz w:val="16"/>
              </w:rPr>
            </w:pPr>
            <w:r w:rsidRPr="009C295F">
              <w:rPr>
                <w:rFonts w:ascii="Arial" w:eastAsia="Arial" w:hAnsi="Arial" w:cs="Arial"/>
                <w:b/>
                <w:color w:val="000000"/>
                <w:sz w:val="16"/>
              </w:rPr>
              <w:t xml:space="preserve"> </w:t>
            </w:r>
          </w:p>
        </w:tc>
        <w:tc>
          <w:tcPr>
            <w:tcW w:w="1080" w:type="dxa"/>
            <w:tcBorders>
              <w:top w:val="nil"/>
              <w:left w:val="nil"/>
              <w:bottom w:val="nil"/>
              <w:right w:val="nil"/>
              <w:tl2br w:val="nil"/>
              <w:tr2bl w:val="nil"/>
            </w:tcBorders>
            <w:shd w:val="clear" w:color="auto" w:fill="FFFF00"/>
            <w:tcMar>
              <w:left w:w="115" w:type="dxa"/>
              <w:right w:w="115" w:type="dxa"/>
            </w:tcMar>
          </w:tcPr>
          <w:p w14:paraId="7509E1E8" w14:textId="77777777" w:rsidR="003F0EEA" w:rsidRPr="009C295F" w:rsidRDefault="003F0EEA">
            <w:pPr>
              <w:jc w:val="right"/>
              <w:rPr>
                <w:rFonts w:ascii="Arial" w:eastAsia="Arial" w:hAnsi="Arial" w:cs="Arial"/>
                <w:b/>
                <w:color w:val="000000"/>
                <w:sz w:val="16"/>
              </w:rPr>
            </w:pPr>
          </w:p>
        </w:tc>
        <w:tc>
          <w:tcPr>
            <w:tcW w:w="1230" w:type="dxa"/>
            <w:tcBorders>
              <w:top w:val="nil"/>
              <w:left w:val="nil"/>
              <w:bottom w:val="nil"/>
              <w:right w:val="nil"/>
              <w:tl2br w:val="nil"/>
              <w:tr2bl w:val="nil"/>
            </w:tcBorders>
            <w:shd w:val="clear" w:color="auto" w:fill="FFFFFF"/>
            <w:tcMar>
              <w:left w:w="115" w:type="dxa"/>
              <w:right w:w="115" w:type="dxa"/>
            </w:tcMar>
            <w:vAlign w:val="bottom"/>
          </w:tcPr>
          <w:p w14:paraId="172C8AB4" w14:textId="77777777" w:rsidR="003F0EEA" w:rsidRPr="009C295F" w:rsidRDefault="003F0EEA">
            <w:pPr>
              <w:jc w:val="right"/>
              <w:rPr>
                <w:rFonts w:ascii="Arial" w:eastAsia="Arial" w:hAnsi="Arial" w:cs="Arial"/>
                <w:color w:val="000000"/>
                <w:sz w:val="16"/>
              </w:rPr>
            </w:pPr>
          </w:p>
        </w:tc>
      </w:tr>
      <w:tr w:rsidR="00FB7D0B" w14:paraId="3B81824F" w14:textId="77777777" w:rsidTr="00FB7D0B">
        <w:trPr>
          <w:trHeight w:val="225"/>
        </w:trPr>
        <w:tc>
          <w:tcPr>
            <w:tcW w:w="180" w:type="dxa"/>
            <w:tcBorders>
              <w:top w:val="nil"/>
              <w:left w:val="nil"/>
              <w:bottom w:val="nil"/>
              <w:right w:val="nil"/>
              <w:tl2br w:val="nil"/>
              <w:tr2bl w:val="nil"/>
            </w:tcBorders>
            <w:shd w:val="clear" w:color="auto" w:fill="FFFFFF"/>
            <w:tcMar>
              <w:left w:w="115" w:type="dxa"/>
              <w:right w:w="115" w:type="dxa"/>
            </w:tcMar>
            <w:vAlign w:val="bottom"/>
          </w:tcPr>
          <w:p w14:paraId="66BD6386" w14:textId="77777777" w:rsidR="003F0EEA" w:rsidRPr="009C295F" w:rsidRDefault="003F0EEA">
            <w:pPr>
              <w:rPr>
                <w:rFonts w:ascii="Arial" w:eastAsia="Arial" w:hAnsi="Arial" w:cs="Arial"/>
                <w:color w:val="000000"/>
                <w:sz w:val="16"/>
              </w:rPr>
            </w:pPr>
          </w:p>
        </w:tc>
        <w:tc>
          <w:tcPr>
            <w:tcW w:w="2700" w:type="dxa"/>
            <w:gridSpan w:val="2"/>
            <w:tcBorders>
              <w:top w:val="nil"/>
              <w:left w:val="nil"/>
              <w:bottom w:val="nil"/>
              <w:right w:val="nil"/>
              <w:tl2br w:val="nil"/>
              <w:tr2bl w:val="nil"/>
            </w:tcBorders>
            <w:shd w:val="clear" w:color="auto" w:fill="FFFFFF"/>
            <w:tcMar>
              <w:left w:w="115" w:type="dxa"/>
              <w:right w:w="115" w:type="dxa"/>
            </w:tcMar>
            <w:vAlign w:val="bottom"/>
          </w:tcPr>
          <w:p w14:paraId="0A9FFFBF" w14:textId="77777777" w:rsidR="003F0EEA" w:rsidRPr="009C295F" w:rsidRDefault="00FB7D0B">
            <w:pPr>
              <w:rPr>
                <w:rFonts w:ascii="Arial" w:eastAsia="Arial" w:hAnsi="Arial" w:cs="Arial"/>
                <w:color w:val="000000"/>
                <w:sz w:val="16"/>
              </w:rPr>
            </w:pPr>
            <w:r w:rsidRPr="009C295F">
              <w:rPr>
                <w:rFonts w:ascii="Arial" w:eastAsia="Arial" w:hAnsi="Arial" w:cs="Arial"/>
                <w:color w:val="000000"/>
                <w:sz w:val="16"/>
              </w:rPr>
              <w:t>Equity injections</w:t>
            </w:r>
            <w:r w:rsidRPr="009C295F">
              <w:rPr>
                <w:rFonts w:ascii="Arial" w:eastAsia="Arial" w:hAnsi="Arial" w:cs="Arial"/>
                <w:color w:val="000000"/>
                <w:sz w:val="16"/>
                <w:vertAlign w:val="superscript"/>
              </w:rPr>
              <w:t>5 </w:t>
            </w:r>
          </w:p>
        </w:tc>
        <w:tc>
          <w:tcPr>
            <w:tcW w:w="360" w:type="dxa"/>
            <w:tcBorders>
              <w:top w:val="nil"/>
              <w:left w:val="nil"/>
              <w:bottom w:val="nil"/>
              <w:right w:val="nil"/>
              <w:tl2br w:val="nil"/>
              <w:tr2bl w:val="nil"/>
            </w:tcBorders>
            <w:shd w:val="clear" w:color="auto" w:fill="FFFFFF"/>
            <w:tcMar>
              <w:left w:w="115" w:type="dxa"/>
              <w:right w:w="115" w:type="dxa"/>
            </w:tcMar>
            <w:vAlign w:val="bottom"/>
          </w:tcPr>
          <w:p w14:paraId="372303BA" w14:textId="77777777" w:rsidR="003F0EEA" w:rsidRPr="009C295F" w:rsidRDefault="003F0EEA">
            <w:pPr>
              <w:jc w:val="center"/>
              <w:rPr>
                <w:rFonts w:ascii="Arial" w:eastAsia="Arial" w:hAnsi="Arial" w:cs="Arial"/>
                <w:color w:val="000000"/>
                <w:sz w:val="16"/>
                <w:vertAlign w:val="superscript"/>
              </w:rPr>
            </w:pPr>
          </w:p>
        </w:tc>
        <w:tc>
          <w:tcPr>
            <w:tcW w:w="1230" w:type="dxa"/>
            <w:tcBorders>
              <w:top w:val="nil"/>
              <w:left w:val="nil"/>
              <w:bottom w:val="nil"/>
              <w:right w:val="nil"/>
              <w:tl2br w:val="nil"/>
              <w:tr2bl w:val="nil"/>
            </w:tcBorders>
            <w:shd w:val="clear" w:color="auto" w:fill="FFFFFF"/>
            <w:tcMar>
              <w:left w:w="115" w:type="dxa"/>
              <w:right w:w="115" w:type="dxa"/>
            </w:tcMar>
            <w:vAlign w:val="bottom"/>
          </w:tcPr>
          <w:p w14:paraId="5552B908" w14:textId="77777777" w:rsidR="003F0EEA" w:rsidRPr="009C295F" w:rsidRDefault="00FB7D0B">
            <w:pPr>
              <w:jc w:val="right"/>
              <w:rPr>
                <w:rFonts w:ascii="Arial" w:eastAsia="Arial" w:hAnsi="Arial" w:cs="Arial"/>
                <w:color w:val="000000"/>
                <w:sz w:val="16"/>
                <w:vertAlign w:val="superscript"/>
              </w:rPr>
            </w:pPr>
            <w:r w:rsidRPr="009C295F">
              <w:rPr>
                <w:rFonts w:ascii="Arial" w:eastAsia="Arial" w:hAnsi="Arial" w:cs="Arial"/>
                <w:color w:val="000000"/>
                <w:sz w:val="16"/>
              </w:rPr>
              <w:t xml:space="preserve"> - </w:t>
            </w:r>
          </w:p>
        </w:tc>
        <w:tc>
          <w:tcPr>
            <w:tcW w:w="330" w:type="dxa"/>
            <w:tcBorders>
              <w:top w:val="nil"/>
              <w:left w:val="nil"/>
              <w:bottom w:val="nil"/>
              <w:right w:val="nil"/>
              <w:tl2br w:val="nil"/>
              <w:tr2bl w:val="nil"/>
            </w:tcBorders>
            <w:shd w:val="clear" w:color="auto" w:fill="FFFFFF"/>
            <w:tcMar>
              <w:left w:w="115" w:type="dxa"/>
              <w:right w:w="115" w:type="dxa"/>
            </w:tcMar>
            <w:vAlign w:val="bottom"/>
          </w:tcPr>
          <w:p w14:paraId="6191462A" w14:textId="77777777" w:rsidR="003F0EEA" w:rsidRPr="009C295F" w:rsidRDefault="00FB7D0B">
            <w:pPr>
              <w:rPr>
                <w:rFonts w:ascii="Arial" w:eastAsia="Arial" w:hAnsi="Arial" w:cs="Arial"/>
                <w:color w:val="000000"/>
                <w:sz w:val="16"/>
              </w:rPr>
            </w:pPr>
            <w:r w:rsidRPr="009C295F">
              <w:rPr>
                <w:rFonts w:ascii="Arial" w:eastAsia="Arial" w:hAnsi="Arial" w:cs="Arial"/>
                <w:color w:val="000000"/>
                <w:sz w:val="16"/>
              </w:rPr>
              <w:t xml:space="preserve"> </w:t>
            </w:r>
          </w:p>
        </w:tc>
        <w:tc>
          <w:tcPr>
            <w:tcW w:w="1080" w:type="dxa"/>
            <w:tcBorders>
              <w:top w:val="nil"/>
              <w:left w:val="nil"/>
              <w:bottom w:val="nil"/>
              <w:right w:val="nil"/>
              <w:tl2br w:val="nil"/>
              <w:tr2bl w:val="nil"/>
            </w:tcBorders>
            <w:shd w:val="clear" w:color="auto" w:fill="FFFFFF"/>
            <w:tcMar>
              <w:left w:w="115" w:type="dxa"/>
              <w:right w:w="115" w:type="dxa"/>
            </w:tcMar>
            <w:vAlign w:val="bottom"/>
          </w:tcPr>
          <w:p w14:paraId="1D3DA66E" w14:textId="77777777" w:rsidR="003F0EEA" w:rsidRPr="009C295F" w:rsidRDefault="00FB7D0B">
            <w:pPr>
              <w:jc w:val="right"/>
              <w:rPr>
                <w:rFonts w:ascii="Arial" w:eastAsia="Arial" w:hAnsi="Arial" w:cs="Arial"/>
                <w:color w:val="000000"/>
                <w:sz w:val="16"/>
              </w:rPr>
            </w:pPr>
            <w:r w:rsidRPr="009C295F">
              <w:rPr>
                <w:rFonts w:ascii="Arial" w:eastAsia="Arial" w:hAnsi="Arial" w:cs="Arial"/>
                <w:color w:val="000000"/>
                <w:sz w:val="16"/>
              </w:rPr>
              <w:t xml:space="preserve"> 2,617 </w:t>
            </w:r>
          </w:p>
        </w:tc>
        <w:tc>
          <w:tcPr>
            <w:tcW w:w="300" w:type="dxa"/>
            <w:tcBorders>
              <w:top w:val="nil"/>
              <w:left w:val="nil"/>
              <w:bottom w:val="nil"/>
              <w:right w:val="nil"/>
              <w:tl2br w:val="nil"/>
              <w:tr2bl w:val="nil"/>
            </w:tcBorders>
            <w:shd w:val="clear" w:color="auto" w:fill="FFFFFF"/>
            <w:tcMar>
              <w:left w:w="115" w:type="dxa"/>
              <w:right w:w="115" w:type="dxa"/>
            </w:tcMar>
            <w:vAlign w:val="bottom"/>
          </w:tcPr>
          <w:p w14:paraId="61269663" w14:textId="77777777" w:rsidR="003F0EEA" w:rsidRPr="009C295F" w:rsidRDefault="00FB7D0B">
            <w:pPr>
              <w:rPr>
                <w:rFonts w:ascii="Arial" w:eastAsia="Arial" w:hAnsi="Arial" w:cs="Arial"/>
                <w:color w:val="000000"/>
                <w:sz w:val="16"/>
              </w:rPr>
            </w:pPr>
            <w:r w:rsidRPr="009C295F">
              <w:rPr>
                <w:rFonts w:ascii="Arial" w:eastAsia="Arial" w:hAnsi="Arial" w:cs="Arial"/>
                <w:color w:val="000000"/>
                <w:sz w:val="16"/>
              </w:rPr>
              <w:t xml:space="preserve"> </w:t>
            </w:r>
          </w:p>
        </w:tc>
        <w:tc>
          <w:tcPr>
            <w:tcW w:w="1080" w:type="dxa"/>
            <w:tcBorders>
              <w:top w:val="nil"/>
              <w:left w:val="nil"/>
              <w:bottom w:val="nil"/>
              <w:right w:val="nil"/>
              <w:tl2br w:val="nil"/>
              <w:tr2bl w:val="nil"/>
            </w:tcBorders>
            <w:shd w:val="clear" w:color="auto" w:fill="FFFF00"/>
            <w:tcMar>
              <w:left w:w="115" w:type="dxa"/>
              <w:right w:w="115" w:type="dxa"/>
            </w:tcMar>
            <w:vAlign w:val="bottom"/>
          </w:tcPr>
          <w:p w14:paraId="2064384C" w14:textId="77777777" w:rsidR="003F0EEA" w:rsidRPr="009C295F" w:rsidRDefault="00FB7D0B">
            <w:pPr>
              <w:jc w:val="right"/>
              <w:rPr>
                <w:rFonts w:ascii="Arial" w:eastAsia="Arial" w:hAnsi="Arial" w:cs="Arial"/>
                <w:color w:val="000000"/>
                <w:sz w:val="16"/>
              </w:rPr>
            </w:pPr>
            <w:r w:rsidRPr="009C295F">
              <w:rPr>
                <w:rFonts w:ascii="Arial" w:eastAsia="Arial" w:hAnsi="Arial" w:cs="Arial"/>
                <w:color w:val="000000"/>
                <w:sz w:val="16"/>
              </w:rPr>
              <w:t xml:space="preserve"> 2,617 </w:t>
            </w:r>
          </w:p>
        </w:tc>
        <w:tc>
          <w:tcPr>
            <w:tcW w:w="1230" w:type="dxa"/>
            <w:tcBorders>
              <w:top w:val="nil"/>
              <w:left w:val="nil"/>
              <w:bottom w:val="nil"/>
              <w:right w:val="nil"/>
              <w:tl2br w:val="nil"/>
              <w:tr2bl w:val="nil"/>
            </w:tcBorders>
            <w:shd w:val="clear" w:color="auto" w:fill="FFFFFF"/>
            <w:tcMar>
              <w:left w:w="115" w:type="dxa"/>
              <w:right w:w="115" w:type="dxa"/>
            </w:tcMar>
            <w:vAlign w:val="bottom"/>
          </w:tcPr>
          <w:p w14:paraId="3FD07767" w14:textId="77777777" w:rsidR="003F0EEA" w:rsidRPr="009C295F" w:rsidRDefault="00FB7D0B">
            <w:pPr>
              <w:jc w:val="right"/>
              <w:rPr>
                <w:rFonts w:ascii="Arial" w:eastAsia="Arial" w:hAnsi="Arial" w:cs="Arial"/>
                <w:color w:val="000000"/>
                <w:sz w:val="16"/>
              </w:rPr>
            </w:pPr>
            <w:r w:rsidRPr="009C295F">
              <w:rPr>
                <w:rFonts w:ascii="Arial" w:eastAsia="Arial" w:hAnsi="Arial" w:cs="Arial"/>
                <w:color w:val="000000"/>
                <w:sz w:val="16"/>
              </w:rPr>
              <w:t xml:space="preserve"> 13,606 </w:t>
            </w:r>
          </w:p>
        </w:tc>
      </w:tr>
      <w:tr w:rsidR="00FB7D0B" w14:paraId="60FE80E1" w14:textId="77777777" w:rsidTr="00FB7D0B">
        <w:trPr>
          <w:trHeight w:val="225"/>
        </w:trPr>
        <w:tc>
          <w:tcPr>
            <w:tcW w:w="180" w:type="dxa"/>
            <w:tcBorders>
              <w:top w:val="nil"/>
              <w:left w:val="nil"/>
              <w:bottom w:val="nil"/>
              <w:right w:val="nil"/>
              <w:tl2br w:val="nil"/>
              <w:tr2bl w:val="nil"/>
            </w:tcBorders>
            <w:shd w:val="clear" w:color="auto" w:fill="FFFFFF"/>
            <w:tcMar>
              <w:left w:w="115" w:type="dxa"/>
              <w:right w:w="115" w:type="dxa"/>
            </w:tcMar>
            <w:vAlign w:val="bottom"/>
          </w:tcPr>
          <w:p w14:paraId="7270ED02" w14:textId="77777777" w:rsidR="003F0EEA" w:rsidRPr="009C295F" w:rsidRDefault="003F0EEA">
            <w:pPr>
              <w:rPr>
                <w:rFonts w:ascii="Arial" w:eastAsia="Arial" w:hAnsi="Arial" w:cs="Arial"/>
                <w:color w:val="000000"/>
                <w:sz w:val="16"/>
              </w:rPr>
            </w:pPr>
          </w:p>
        </w:tc>
        <w:tc>
          <w:tcPr>
            <w:tcW w:w="2700" w:type="dxa"/>
            <w:gridSpan w:val="2"/>
            <w:tcBorders>
              <w:top w:val="nil"/>
              <w:left w:val="nil"/>
              <w:bottom w:val="nil"/>
              <w:right w:val="nil"/>
              <w:tl2br w:val="nil"/>
              <w:tr2bl w:val="nil"/>
            </w:tcBorders>
            <w:shd w:val="clear" w:color="auto" w:fill="FFFFFF"/>
            <w:tcMar>
              <w:left w:w="115" w:type="dxa"/>
              <w:right w:w="115" w:type="dxa"/>
            </w:tcMar>
            <w:vAlign w:val="bottom"/>
          </w:tcPr>
          <w:p w14:paraId="71415D89" w14:textId="77777777" w:rsidR="003F0EEA" w:rsidRPr="009C295F" w:rsidRDefault="00FB7D0B">
            <w:pPr>
              <w:rPr>
                <w:rFonts w:ascii="Arial" w:eastAsia="Arial" w:hAnsi="Arial" w:cs="Arial"/>
                <w:color w:val="000000"/>
                <w:sz w:val="16"/>
              </w:rPr>
            </w:pPr>
            <w:r w:rsidRPr="009C295F">
              <w:rPr>
                <w:rFonts w:ascii="Arial" w:eastAsia="Arial" w:hAnsi="Arial" w:cs="Arial"/>
                <w:b/>
                <w:color w:val="000000"/>
                <w:sz w:val="16"/>
              </w:rPr>
              <w:t>Total</w:t>
            </w:r>
          </w:p>
        </w:tc>
        <w:tc>
          <w:tcPr>
            <w:tcW w:w="360" w:type="dxa"/>
            <w:tcBorders>
              <w:top w:val="nil"/>
              <w:left w:val="nil"/>
              <w:bottom w:val="nil"/>
              <w:right w:val="nil"/>
              <w:tl2br w:val="nil"/>
              <w:tr2bl w:val="nil"/>
            </w:tcBorders>
            <w:shd w:val="clear" w:color="auto" w:fill="FFFFFF"/>
            <w:tcMar>
              <w:left w:w="115" w:type="dxa"/>
              <w:right w:w="115" w:type="dxa"/>
            </w:tcMar>
            <w:vAlign w:val="bottom"/>
          </w:tcPr>
          <w:p w14:paraId="73AE3BB0" w14:textId="77777777" w:rsidR="003F0EEA" w:rsidRPr="009C295F" w:rsidRDefault="003F0EEA">
            <w:pPr>
              <w:jc w:val="center"/>
              <w:rPr>
                <w:rFonts w:ascii="Arial" w:eastAsia="Arial" w:hAnsi="Arial" w:cs="Arial"/>
                <w:b/>
                <w:color w:val="000000"/>
                <w:sz w:val="16"/>
                <w:vertAlign w:val="superscript"/>
              </w:rPr>
            </w:pPr>
          </w:p>
        </w:tc>
        <w:tc>
          <w:tcPr>
            <w:tcW w:w="1230"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7E34D6EE" w14:textId="77777777" w:rsidR="003F0EEA" w:rsidRPr="009C295F" w:rsidRDefault="00FB7D0B">
            <w:pPr>
              <w:jc w:val="right"/>
              <w:rPr>
                <w:rFonts w:ascii="Arial" w:eastAsia="Arial" w:hAnsi="Arial" w:cs="Arial"/>
                <w:color w:val="000000"/>
                <w:sz w:val="16"/>
                <w:vertAlign w:val="superscript"/>
              </w:rPr>
            </w:pPr>
            <w:r w:rsidRPr="009C295F">
              <w:rPr>
                <w:rFonts w:ascii="Arial" w:eastAsia="Arial" w:hAnsi="Arial" w:cs="Arial"/>
                <w:b/>
                <w:color w:val="000000"/>
                <w:sz w:val="16"/>
              </w:rPr>
              <w:t xml:space="preserve"> - </w:t>
            </w:r>
          </w:p>
        </w:tc>
        <w:tc>
          <w:tcPr>
            <w:tcW w:w="330"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4C265C60" w14:textId="77777777" w:rsidR="003F0EEA" w:rsidRPr="009C295F" w:rsidRDefault="00FB7D0B">
            <w:pPr>
              <w:rPr>
                <w:rFonts w:ascii="Arial" w:eastAsia="Arial" w:hAnsi="Arial" w:cs="Arial"/>
                <w:b/>
                <w:color w:val="000000"/>
                <w:sz w:val="16"/>
              </w:rPr>
            </w:pPr>
            <w:r w:rsidRPr="009C295F">
              <w:rPr>
                <w:rFonts w:ascii="Arial" w:eastAsia="Arial" w:hAnsi="Arial" w:cs="Arial"/>
                <w:b/>
                <w:i/>
                <w:color w:val="000000"/>
                <w:sz w:val="16"/>
              </w:rPr>
              <w:t xml:space="preserve"> </w:t>
            </w:r>
          </w:p>
        </w:tc>
        <w:tc>
          <w:tcPr>
            <w:tcW w:w="1080"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76B2A8B6" w14:textId="77777777" w:rsidR="003F0EEA" w:rsidRPr="009C295F" w:rsidRDefault="00FB7D0B">
            <w:pPr>
              <w:jc w:val="right"/>
              <w:rPr>
                <w:rFonts w:ascii="Arial" w:eastAsia="Arial" w:hAnsi="Arial" w:cs="Arial"/>
                <w:b/>
                <w:i/>
                <w:color w:val="000000"/>
                <w:sz w:val="16"/>
              </w:rPr>
            </w:pPr>
            <w:r w:rsidRPr="009C295F">
              <w:rPr>
                <w:rFonts w:ascii="Arial" w:eastAsia="Arial" w:hAnsi="Arial" w:cs="Arial"/>
                <w:b/>
                <w:color w:val="000000"/>
                <w:sz w:val="16"/>
              </w:rPr>
              <w:t xml:space="preserve"> 2,617 </w:t>
            </w:r>
          </w:p>
        </w:tc>
        <w:tc>
          <w:tcPr>
            <w:tcW w:w="300"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3EFF4627" w14:textId="77777777" w:rsidR="003F0EEA" w:rsidRPr="009C295F" w:rsidRDefault="00FB7D0B">
            <w:pPr>
              <w:rPr>
                <w:rFonts w:ascii="Arial" w:eastAsia="Arial" w:hAnsi="Arial" w:cs="Arial"/>
                <w:b/>
                <w:color w:val="000000"/>
                <w:sz w:val="16"/>
              </w:rPr>
            </w:pPr>
            <w:r w:rsidRPr="009C295F">
              <w:rPr>
                <w:rFonts w:ascii="Arial" w:eastAsia="Arial" w:hAnsi="Arial" w:cs="Arial"/>
                <w:b/>
                <w:color w:val="000000"/>
                <w:sz w:val="16"/>
              </w:rPr>
              <w:t xml:space="preserve"> </w:t>
            </w:r>
          </w:p>
        </w:tc>
        <w:tc>
          <w:tcPr>
            <w:tcW w:w="1080" w:type="dxa"/>
            <w:tcBorders>
              <w:top w:val="nil"/>
              <w:left w:val="nil"/>
              <w:bottom w:val="single" w:sz="6" w:space="0" w:color="000000"/>
              <w:right w:val="nil"/>
              <w:tl2br w:val="nil"/>
              <w:tr2bl w:val="nil"/>
            </w:tcBorders>
            <w:shd w:val="clear" w:color="auto" w:fill="FFFF00"/>
            <w:tcMar>
              <w:left w:w="115" w:type="dxa"/>
              <w:right w:w="115" w:type="dxa"/>
            </w:tcMar>
            <w:vAlign w:val="bottom"/>
          </w:tcPr>
          <w:p w14:paraId="62331FB5" w14:textId="77777777" w:rsidR="003F0EEA" w:rsidRPr="009C295F" w:rsidRDefault="00FB7D0B">
            <w:pPr>
              <w:jc w:val="right"/>
              <w:rPr>
                <w:rFonts w:ascii="Arial" w:eastAsia="Arial" w:hAnsi="Arial" w:cs="Arial"/>
                <w:b/>
                <w:color w:val="000000"/>
                <w:sz w:val="16"/>
              </w:rPr>
            </w:pPr>
            <w:r w:rsidRPr="009C295F">
              <w:rPr>
                <w:rFonts w:ascii="Arial" w:eastAsia="Arial" w:hAnsi="Arial" w:cs="Arial"/>
                <w:b/>
                <w:color w:val="000000"/>
                <w:sz w:val="16"/>
              </w:rPr>
              <w:t xml:space="preserve"> 2,617 </w:t>
            </w:r>
          </w:p>
        </w:tc>
        <w:tc>
          <w:tcPr>
            <w:tcW w:w="1230"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5E543EEA" w14:textId="77777777" w:rsidR="003F0EEA" w:rsidRPr="009C295F" w:rsidRDefault="00FB7D0B">
            <w:pPr>
              <w:jc w:val="right"/>
              <w:rPr>
                <w:rFonts w:ascii="Arial" w:eastAsia="Arial" w:hAnsi="Arial" w:cs="Arial"/>
                <w:b/>
                <w:color w:val="000000"/>
                <w:sz w:val="16"/>
              </w:rPr>
            </w:pPr>
            <w:r w:rsidRPr="009C295F">
              <w:rPr>
                <w:rFonts w:ascii="Arial" w:eastAsia="Arial" w:hAnsi="Arial" w:cs="Arial"/>
                <w:b/>
                <w:color w:val="000000"/>
                <w:sz w:val="16"/>
              </w:rPr>
              <w:t xml:space="preserve"> 13,606 </w:t>
            </w:r>
          </w:p>
        </w:tc>
      </w:tr>
      <w:tr w:rsidR="00724034" w14:paraId="1EE141C3" w14:textId="77777777">
        <w:trPr>
          <w:trHeight w:val="225"/>
        </w:trPr>
        <w:tc>
          <w:tcPr>
            <w:tcW w:w="180" w:type="dxa"/>
            <w:tcBorders>
              <w:top w:val="nil"/>
              <w:left w:val="nil"/>
              <w:bottom w:val="nil"/>
              <w:right w:val="nil"/>
              <w:tl2br w:val="nil"/>
              <w:tr2bl w:val="nil"/>
            </w:tcBorders>
            <w:shd w:val="clear" w:color="auto" w:fill="FFFFFF"/>
            <w:tcMar>
              <w:left w:w="115" w:type="dxa"/>
              <w:right w:w="115" w:type="dxa"/>
            </w:tcMar>
            <w:vAlign w:val="bottom"/>
          </w:tcPr>
          <w:p w14:paraId="1EA32AD5" w14:textId="77777777" w:rsidR="003F0EEA" w:rsidRPr="009C295F" w:rsidRDefault="003F0EEA">
            <w:pPr>
              <w:rPr>
                <w:rFonts w:ascii="Arial" w:eastAsia="Arial" w:hAnsi="Arial" w:cs="Arial"/>
                <w:b/>
                <w:color w:val="000000"/>
                <w:sz w:val="16"/>
              </w:rPr>
            </w:pPr>
          </w:p>
        </w:tc>
        <w:tc>
          <w:tcPr>
            <w:tcW w:w="180" w:type="dxa"/>
            <w:tcBorders>
              <w:top w:val="nil"/>
              <w:left w:val="nil"/>
              <w:bottom w:val="nil"/>
              <w:right w:val="nil"/>
              <w:tl2br w:val="nil"/>
              <w:tr2bl w:val="nil"/>
            </w:tcBorders>
            <w:shd w:val="clear" w:color="auto" w:fill="FFFFFF"/>
            <w:tcMar>
              <w:left w:w="115" w:type="dxa"/>
              <w:right w:w="115" w:type="dxa"/>
            </w:tcMar>
            <w:vAlign w:val="bottom"/>
          </w:tcPr>
          <w:p w14:paraId="74AEE0DA" w14:textId="77777777" w:rsidR="003F0EEA" w:rsidRPr="009C295F" w:rsidRDefault="003F0EEA">
            <w:pPr>
              <w:rPr>
                <w:rFonts w:ascii="Arial" w:eastAsia="Arial" w:hAnsi="Arial" w:cs="Arial"/>
                <w:color w:val="000000"/>
                <w:sz w:val="16"/>
              </w:rPr>
            </w:pPr>
          </w:p>
        </w:tc>
        <w:tc>
          <w:tcPr>
            <w:tcW w:w="2520" w:type="dxa"/>
            <w:tcBorders>
              <w:top w:val="nil"/>
              <w:left w:val="nil"/>
              <w:bottom w:val="nil"/>
              <w:right w:val="nil"/>
              <w:tl2br w:val="nil"/>
              <w:tr2bl w:val="nil"/>
            </w:tcBorders>
            <w:shd w:val="clear" w:color="auto" w:fill="FFFFFF"/>
            <w:tcMar>
              <w:left w:w="115" w:type="dxa"/>
              <w:right w:w="115" w:type="dxa"/>
            </w:tcMar>
            <w:vAlign w:val="bottom"/>
          </w:tcPr>
          <w:p w14:paraId="73F5033A" w14:textId="77777777" w:rsidR="003F0EEA" w:rsidRPr="009C295F" w:rsidRDefault="003F0EEA">
            <w:pPr>
              <w:rPr>
                <w:rFonts w:ascii="Arial" w:eastAsia="Arial" w:hAnsi="Arial" w:cs="Arial"/>
                <w:b/>
                <w:color w:val="000000"/>
                <w:sz w:val="16"/>
              </w:rPr>
            </w:pPr>
          </w:p>
        </w:tc>
        <w:tc>
          <w:tcPr>
            <w:tcW w:w="360" w:type="dxa"/>
            <w:tcBorders>
              <w:top w:val="nil"/>
              <w:left w:val="nil"/>
              <w:bottom w:val="nil"/>
              <w:right w:val="nil"/>
              <w:tl2br w:val="nil"/>
              <w:tr2bl w:val="nil"/>
            </w:tcBorders>
            <w:shd w:val="clear" w:color="auto" w:fill="FFFFFF"/>
            <w:tcMar>
              <w:left w:w="115" w:type="dxa"/>
              <w:right w:w="115" w:type="dxa"/>
            </w:tcMar>
            <w:vAlign w:val="bottom"/>
          </w:tcPr>
          <w:p w14:paraId="1989C7FA" w14:textId="77777777" w:rsidR="003F0EEA" w:rsidRPr="009C295F" w:rsidRDefault="003F0EEA">
            <w:pPr>
              <w:jc w:val="center"/>
              <w:rPr>
                <w:rFonts w:ascii="Arial" w:eastAsia="Arial" w:hAnsi="Arial" w:cs="Arial"/>
                <w:b/>
                <w:color w:val="000000"/>
                <w:sz w:val="16"/>
                <w:vertAlign w:val="superscript"/>
              </w:rPr>
            </w:pPr>
          </w:p>
        </w:tc>
        <w:tc>
          <w:tcPr>
            <w:tcW w:w="1230"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55C977B1" w14:textId="77777777" w:rsidR="003F0EEA" w:rsidRPr="009C295F" w:rsidRDefault="003F0EEA">
            <w:pPr>
              <w:jc w:val="right"/>
              <w:rPr>
                <w:rFonts w:ascii="Arial" w:eastAsia="Arial" w:hAnsi="Arial" w:cs="Arial"/>
                <w:color w:val="000000"/>
                <w:sz w:val="16"/>
                <w:vertAlign w:val="superscript"/>
              </w:rPr>
            </w:pPr>
          </w:p>
        </w:tc>
        <w:tc>
          <w:tcPr>
            <w:tcW w:w="330"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2D01B225" w14:textId="77777777" w:rsidR="003F0EEA" w:rsidRPr="009C295F" w:rsidRDefault="00FB7D0B">
            <w:pPr>
              <w:rPr>
                <w:rFonts w:ascii="Arial" w:eastAsia="Arial" w:hAnsi="Arial" w:cs="Arial"/>
                <w:b/>
                <w:color w:val="000000"/>
                <w:sz w:val="16"/>
                <w:vertAlign w:val="superscript"/>
              </w:rPr>
            </w:pPr>
            <w:r w:rsidRPr="009C295F">
              <w:rPr>
                <w:rFonts w:ascii="Arial" w:eastAsia="Arial" w:hAnsi="Arial" w:cs="Arial"/>
                <w:b/>
                <w:i/>
                <w:color w:val="000000"/>
                <w:sz w:val="16"/>
              </w:rPr>
              <w:t xml:space="preserve"> </w:t>
            </w:r>
          </w:p>
        </w:tc>
        <w:tc>
          <w:tcPr>
            <w:tcW w:w="1080"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351BFE0C" w14:textId="77777777" w:rsidR="003F0EEA" w:rsidRPr="009C295F" w:rsidRDefault="003F0EEA">
            <w:pPr>
              <w:jc w:val="right"/>
              <w:rPr>
                <w:rFonts w:ascii="Arial" w:eastAsia="Arial" w:hAnsi="Arial" w:cs="Arial"/>
                <w:b/>
                <w:i/>
                <w:color w:val="000000"/>
                <w:sz w:val="16"/>
              </w:rPr>
            </w:pPr>
          </w:p>
        </w:tc>
        <w:tc>
          <w:tcPr>
            <w:tcW w:w="300"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0DEDEC94" w14:textId="77777777" w:rsidR="003F0EEA" w:rsidRPr="009C295F" w:rsidRDefault="00FB7D0B">
            <w:pPr>
              <w:rPr>
                <w:rFonts w:ascii="Arial" w:eastAsia="Arial" w:hAnsi="Arial" w:cs="Arial"/>
                <w:b/>
                <w:color w:val="000000"/>
                <w:sz w:val="16"/>
              </w:rPr>
            </w:pPr>
            <w:r w:rsidRPr="009C295F">
              <w:rPr>
                <w:rFonts w:ascii="Arial" w:eastAsia="Arial" w:hAnsi="Arial" w:cs="Arial"/>
                <w:b/>
                <w:color w:val="000000"/>
                <w:sz w:val="16"/>
              </w:rPr>
              <w:t xml:space="preserve"> </w:t>
            </w:r>
          </w:p>
        </w:tc>
        <w:tc>
          <w:tcPr>
            <w:tcW w:w="1080" w:type="dxa"/>
            <w:tcBorders>
              <w:top w:val="single" w:sz="6" w:space="0" w:color="000000"/>
              <w:left w:val="nil"/>
              <w:bottom w:val="nil"/>
              <w:right w:val="nil"/>
              <w:tl2br w:val="nil"/>
              <w:tr2bl w:val="nil"/>
            </w:tcBorders>
            <w:shd w:val="clear" w:color="auto" w:fill="FFFF00"/>
            <w:tcMar>
              <w:left w:w="115" w:type="dxa"/>
              <w:right w:w="115" w:type="dxa"/>
            </w:tcMar>
            <w:vAlign w:val="bottom"/>
          </w:tcPr>
          <w:p w14:paraId="7B99918D" w14:textId="77777777" w:rsidR="003F0EEA" w:rsidRPr="009C295F" w:rsidRDefault="003F0EEA">
            <w:pPr>
              <w:jc w:val="right"/>
              <w:rPr>
                <w:rFonts w:ascii="Arial" w:eastAsia="Arial" w:hAnsi="Arial" w:cs="Arial"/>
                <w:b/>
                <w:color w:val="000000"/>
                <w:sz w:val="16"/>
              </w:rPr>
            </w:pPr>
          </w:p>
        </w:tc>
        <w:tc>
          <w:tcPr>
            <w:tcW w:w="1230"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4D71B95F" w14:textId="77777777" w:rsidR="003F0EEA" w:rsidRPr="009C295F" w:rsidRDefault="003F0EEA">
            <w:pPr>
              <w:jc w:val="right"/>
              <w:rPr>
                <w:rFonts w:ascii="Arial" w:eastAsia="Arial" w:hAnsi="Arial" w:cs="Arial"/>
                <w:b/>
                <w:color w:val="000000"/>
                <w:sz w:val="16"/>
              </w:rPr>
            </w:pPr>
          </w:p>
        </w:tc>
      </w:tr>
      <w:tr w:rsidR="00FB7D0B" w14:paraId="635552D7" w14:textId="77777777" w:rsidTr="00FB7D0B">
        <w:trPr>
          <w:trHeight w:val="225"/>
        </w:trPr>
        <w:tc>
          <w:tcPr>
            <w:tcW w:w="2880" w:type="dxa"/>
            <w:gridSpan w:val="3"/>
            <w:tcBorders>
              <w:top w:val="nil"/>
              <w:left w:val="nil"/>
              <w:bottom w:val="nil"/>
              <w:right w:val="nil"/>
              <w:tl2br w:val="nil"/>
              <w:tr2bl w:val="nil"/>
            </w:tcBorders>
            <w:shd w:val="clear" w:color="auto" w:fill="FFFFFF"/>
            <w:tcMar>
              <w:left w:w="115" w:type="dxa"/>
              <w:right w:w="115" w:type="dxa"/>
            </w:tcMar>
            <w:vAlign w:val="bottom"/>
          </w:tcPr>
          <w:p w14:paraId="42A49DEC" w14:textId="77777777" w:rsidR="003F0EEA" w:rsidRPr="009C295F" w:rsidRDefault="00FB7D0B">
            <w:pPr>
              <w:rPr>
                <w:rFonts w:ascii="Arial" w:eastAsia="Arial" w:hAnsi="Arial" w:cs="Arial"/>
                <w:b/>
                <w:color w:val="000000"/>
                <w:sz w:val="16"/>
              </w:rPr>
            </w:pPr>
            <w:r w:rsidRPr="009C295F">
              <w:rPr>
                <w:rFonts w:ascii="Arial" w:eastAsia="Arial" w:hAnsi="Arial" w:cs="Arial"/>
                <w:b/>
                <w:color w:val="000000"/>
                <w:sz w:val="16"/>
              </w:rPr>
              <w:t>Administered non-operating</w:t>
            </w:r>
            <w:r w:rsidRPr="009C295F">
              <w:rPr>
                <w:rFonts w:ascii="Arial" w:eastAsia="Arial" w:hAnsi="Arial" w:cs="Arial"/>
                <w:b/>
                <w:color w:val="000000"/>
                <w:sz w:val="16"/>
                <w:vertAlign w:val="superscript"/>
              </w:rPr>
              <w:t xml:space="preserve"> </w:t>
            </w:r>
          </w:p>
        </w:tc>
        <w:tc>
          <w:tcPr>
            <w:tcW w:w="360" w:type="dxa"/>
            <w:tcBorders>
              <w:top w:val="nil"/>
              <w:left w:val="nil"/>
              <w:bottom w:val="nil"/>
              <w:right w:val="nil"/>
              <w:tl2br w:val="nil"/>
              <w:tr2bl w:val="nil"/>
            </w:tcBorders>
            <w:shd w:val="clear" w:color="auto" w:fill="FFFFFF"/>
            <w:tcMar>
              <w:left w:w="115" w:type="dxa"/>
              <w:right w:w="115" w:type="dxa"/>
            </w:tcMar>
            <w:vAlign w:val="bottom"/>
          </w:tcPr>
          <w:p w14:paraId="404B3689" w14:textId="77777777" w:rsidR="003F0EEA" w:rsidRPr="009C295F" w:rsidRDefault="003F0EEA">
            <w:pPr>
              <w:jc w:val="center"/>
              <w:rPr>
                <w:rFonts w:ascii="Arial" w:eastAsia="Arial" w:hAnsi="Arial" w:cs="Arial"/>
                <w:b/>
                <w:color w:val="000000"/>
                <w:sz w:val="16"/>
                <w:vertAlign w:val="superscript"/>
              </w:rPr>
            </w:pPr>
          </w:p>
        </w:tc>
        <w:tc>
          <w:tcPr>
            <w:tcW w:w="1230" w:type="dxa"/>
            <w:tcBorders>
              <w:top w:val="nil"/>
              <w:left w:val="nil"/>
              <w:bottom w:val="nil"/>
              <w:right w:val="nil"/>
              <w:tl2br w:val="nil"/>
              <w:tr2bl w:val="nil"/>
            </w:tcBorders>
            <w:shd w:val="clear" w:color="auto" w:fill="FFFFFF"/>
            <w:tcMar>
              <w:left w:w="115" w:type="dxa"/>
              <w:right w:w="115" w:type="dxa"/>
            </w:tcMar>
            <w:vAlign w:val="bottom"/>
          </w:tcPr>
          <w:p w14:paraId="2077EA68" w14:textId="77777777" w:rsidR="003F0EEA" w:rsidRPr="009C295F" w:rsidRDefault="003F0EEA">
            <w:pPr>
              <w:jc w:val="right"/>
              <w:rPr>
                <w:rFonts w:ascii="Arial" w:eastAsia="Arial" w:hAnsi="Arial" w:cs="Arial"/>
                <w:b/>
                <w:color w:val="000000"/>
                <w:sz w:val="16"/>
                <w:vertAlign w:val="superscript"/>
              </w:rPr>
            </w:pPr>
          </w:p>
        </w:tc>
        <w:tc>
          <w:tcPr>
            <w:tcW w:w="330" w:type="dxa"/>
            <w:tcBorders>
              <w:top w:val="nil"/>
              <w:left w:val="nil"/>
              <w:bottom w:val="nil"/>
              <w:right w:val="nil"/>
              <w:tl2br w:val="nil"/>
              <w:tr2bl w:val="nil"/>
            </w:tcBorders>
            <w:shd w:val="clear" w:color="auto" w:fill="FFFFFF"/>
            <w:tcMar>
              <w:left w:w="115" w:type="dxa"/>
              <w:right w:w="115" w:type="dxa"/>
            </w:tcMar>
            <w:vAlign w:val="bottom"/>
          </w:tcPr>
          <w:p w14:paraId="336859F2" w14:textId="77777777" w:rsidR="003F0EEA" w:rsidRPr="009C295F" w:rsidRDefault="00FB7D0B">
            <w:pPr>
              <w:rPr>
                <w:rFonts w:ascii="Arial" w:eastAsia="Arial" w:hAnsi="Arial" w:cs="Arial"/>
                <w:b/>
                <w:color w:val="000000"/>
                <w:sz w:val="16"/>
                <w:vertAlign w:val="superscript"/>
              </w:rPr>
            </w:pPr>
            <w:r w:rsidRPr="009C295F">
              <w:rPr>
                <w:rFonts w:ascii="Arial" w:eastAsia="Arial" w:hAnsi="Arial" w:cs="Arial"/>
                <w:b/>
                <w:color w:val="000000"/>
                <w:sz w:val="16"/>
              </w:rPr>
              <w:t xml:space="preserve"> </w:t>
            </w:r>
          </w:p>
        </w:tc>
        <w:tc>
          <w:tcPr>
            <w:tcW w:w="1080" w:type="dxa"/>
            <w:tcBorders>
              <w:top w:val="nil"/>
              <w:left w:val="nil"/>
              <w:bottom w:val="nil"/>
              <w:right w:val="nil"/>
              <w:tl2br w:val="nil"/>
              <w:tr2bl w:val="nil"/>
            </w:tcBorders>
            <w:shd w:val="clear" w:color="auto" w:fill="FFFFFF"/>
            <w:tcMar>
              <w:left w:w="115" w:type="dxa"/>
              <w:right w:w="115" w:type="dxa"/>
            </w:tcMar>
            <w:vAlign w:val="bottom"/>
          </w:tcPr>
          <w:p w14:paraId="454F5B4D" w14:textId="77777777" w:rsidR="003F0EEA" w:rsidRPr="009C295F" w:rsidRDefault="003F0EEA">
            <w:pPr>
              <w:rPr>
                <w:rFonts w:ascii="Arial" w:eastAsia="Arial" w:hAnsi="Arial" w:cs="Arial"/>
                <w:b/>
                <w:color w:val="000000"/>
                <w:sz w:val="16"/>
              </w:rPr>
            </w:pPr>
          </w:p>
        </w:tc>
        <w:tc>
          <w:tcPr>
            <w:tcW w:w="300" w:type="dxa"/>
            <w:tcBorders>
              <w:top w:val="nil"/>
              <w:left w:val="nil"/>
              <w:bottom w:val="nil"/>
              <w:right w:val="nil"/>
              <w:tl2br w:val="nil"/>
              <w:tr2bl w:val="nil"/>
            </w:tcBorders>
            <w:shd w:val="clear" w:color="auto" w:fill="FFFFFF"/>
            <w:tcMar>
              <w:left w:w="115" w:type="dxa"/>
              <w:right w:w="115" w:type="dxa"/>
            </w:tcMar>
            <w:vAlign w:val="bottom"/>
          </w:tcPr>
          <w:p w14:paraId="106E7044" w14:textId="77777777" w:rsidR="003F0EEA" w:rsidRPr="009C295F" w:rsidRDefault="00FB7D0B">
            <w:pPr>
              <w:rPr>
                <w:rFonts w:ascii="Arial" w:eastAsia="Arial" w:hAnsi="Arial" w:cs="Arial"/>
                <w:b/>
                <w:color w:val="000000"/>
                <w:sz w:val="16"/>
              </w:rPr>
            </w:pPr>
            <w:r w:rsidRPr="009C295F">
              <w:rPr>
                <w:rFonts w:ascii="Arial" w:eastAsia="Arial" w:hAnsi="Arial" w:cs="Arial"/>
                <w:b/>
                <w:color w:val="000000"/>
                <w:sz w:val="16"/>
              </w:rPr>
              <w:t xml:space="preserve"> </w:t>
            </w:r>
          </w:p>
        </w:tc>
        <w:tc>
          <w:tcPr>
            <w:tcW w:w="1080" w:type="dxa"/>
            <w:tcBorders>
              <w:top w:val="nil"/>
              <w:left w:val="nil"/>
              <w:bottom w:val="nil"/>
              <w:right w:val="nil"/>
              <w:tl2br w:val="nil"/>
              <w:tr2bl w:val="nil"/>
            </w:tcBorders>
            <w:shd w:val="clear" w:color="auto" w:fill="FFFF00"/>
            <w:tcMar>
              <w:left w:w="115" w:type="dxa"/>
              <w:right w:w="115" w:type="dxa"/>
            </w:tcMar>
          </w:tcPr>
          <w:p w14:paraId="77D5ABA1" w14:textId="77777777" w:rsidR="003F0EEA" w:rsidRPr="009C295F" w:rsidRDefault="003F0EEA">
            <w:pPr>
              <w:jc w:val="right"/>
              <w:rPr>
                <w:rFonts w:ascii="Arial" w:eastAsia="Arial" w:hAnsi="Arial" w:cs="Arial"/>
                <w:b/>
                <w:color w:val="000000"/>
                <w:sz w:val="16"/>
              </w:rPr>
            </w:pPr>
          </w:p>
        </w:tc>
        <w:tc>
          <w:tcPr>
            <w:tcW w:w="1230" w:type="dxa"/>
            <w:tcBorders>
              <w:top w:val="nil"/>
              <w:left w:val="nil"/>
              <w:bottom w:val="nil"/>
              <w:right w:val="nil"/>
              <w:tl2br w:val="nil"/>
              <w:tr2bl w:val="nil"/>
            </w:tcBorders>
            <w:shd w:val="clear" w:color="auto" w:fill="FFFFFF"/>
            <w:tcMar>
              <w:left w:w="115" w:type="dxa"/>
              <w:right w:w="115" w:type="dxa"/>
            </w:tcMar>
            <w:vAlign w:val="bottom"/>
          </w:tcPr>
          <w:p w14:paraId="5B2631E7" w14:textId="77777777" w:rsidR="003F0EEA" w:rsidRPr="009C295F" w:rsidRDefault="003F0EEA">
            <w:pPr>
              <w:jc w:val="right"/>
              <w:rPr>
                <w:rFonts w:ascii="Arial" w:eastAsia="Arial" w:hAnsi="Arial" w:cs="Arial"/>
                <w:color w:val="000000"/>
                <w:sz w:val="16"/>
              </w:rPr>
            </w:pPr>
          </w:p>
        </w:tc>
      </w:tr>
      <w:tr w:rsidR="00FB7D0B" w14:paraId="55C6018F" w14:textId="77777777" w:rsidTr="00FB7D0B">
        <w:trPr>
          <w:trHeight w:val="225"/>
        </w:trPr>
        <w:tc>
          <w:tcPr>
            <w:tcW w:w="180" w:type="dxa"/>
            <w:tcBorders>
              <w:top w:val="nil"/>
              <w:left w:val="nil"/>
              <w:bottom w:val="nil"/>
              <w:right w:val="nil"/>
              <w:tl2br w:val="nil"/>
              <w:tr2bl w:val="nil"/>
            </w:tcBorders>
            <w:shd w:val="clear" w:color="auto" w:fill="FFFFFF"/>
            <w:tcMar>
              <w:left w:w="115" w:type="dxa"/>
              <w:right w:w="115" w:type="dxa"/>
            </w:tcMar>
            <w:vAlign w:val="bottom"/>
          </w:tcPr>
          <w:p w14:paraId="5B57FFD5" w14:textId="77777777" w:rsidR="003F0EEA" w:rsidRPr="009C295F" w:rsidRDefault="003F0EEA">
            <w:pPr>
              <w:rPr>
                <w:rFonts w:ascii="Arial" w:eastAsia="Arial" w:hAnsi="Arial" w:cs="Arial"/>
                <w:color w:val="000000"/>
                <w:sz w:val="16"/>
              </w:rPr>
            </w:pPr>
          </w:p>
        </w:tc>
        <w:tc>
          <w:tcPr>
            <w:tcW w:w="2700" w:type="dxa"/>
            <w:gridSpan w:val="2"/>
            <w:vMerge w:val="restart"/>
            <w:tcBorders>
              <w:top w:val="nil"/>
              <w:left w:val="nil"/>
              <w:bottom w:val="nil"/>
              <w:right w:val="nil"/>
              <w:tl2br w:val="nil"/>
              <w:tr2bl w:val="nil"/>
            </w:tcBorders>
            <w:shd w:val="clear" w:color="auto" w:fill="FFFFFF"/>
            <w:tcMar>
              <w:left w:w="115" w:type="dxa"/>
              <w:right w:w="115" w:type="dxa"/>
            </w:tcMar>
            <w:vAlign w:val="bottom"/>
          </w:tcPr>
          <w:p w14:paraId="59FE86A3" w14:textId="77777777" w:rsidR="003F0EEA" w:rsidRPr="009C295F" w:rsidRDefault="00FB7D0B">
            <w:pPr>
              <w:rPr>
                <w:rFonts w:ascii="Arial" w:eastAsia="Arial" w:hAnsi="Arial" w:cs="Arial"/>
                <w:color w:val="000000"/>
                <w:sz w:val="16"/>
              </w:rPr>
            </w:pPr>
            <w:r w:rsidRPr="009C295F">
              <w:rPr>
                <w:rFonts w:ascii="Arial" w:eastAsia="Arial" w:hAnsi="Arial" w:cs="Arial"/>
                <w:color w:val="000000"/>
                <w:sz w:val="16"/>
              </w:rPr>
              <w:t>Equity injections</w:t>
            </w:r>
            <w:r w:rsidRPr="009C295F">
              <w:rPr>
                <w:rFonts w:ascii="Arial" w:eastAsia="Arial" w:hAnsi="Arial" w:cs="Arial"/>
                <w:color w:val="000000"/>
                <w:sz w:val="16"/>
                <w:vertAlign w:val="superscript"/>
              </w:rPr>
              <w:t>5 </w:t>
            </w:r>
          </w:p>
        </w:tc>
        <w:tc>
          <w:tcPr>
            <w:tcW w:w="360" w:type="dxa"/>
            <w:tcBorders>
              <w:top w:val="nil"/>
              <w:left w:val="nil"/>
              <w:bottom w:val="nil"/>
              <w:right w:val="nil"/>
              <w:tl2br w:val="nil"/>
              <w:tr2bl w:val="nil"/>
            </w:tcBorders>
            <w:shd w:val="clear" w:color="auto" w:fill="FFFFFF"/>
            <w:tcMar>
              <w:left w:w="115" w:type="dxa"/>
              <w:right w:w="115" w:type="dxa"/>
            </w:tcMar>
            <w:vAlign w:val="bottom"/>
          </w:tcPr>
          <w:p w14:paraId="14800983" w14:textId="77777777" w:rsidR="003F0EEA" w:rsidRPr="009C295F" w:rsidRDefault="003F0EEA">
            <w:pPr>
              <w:jc w:val="center"/>
              <w:rPr>
                <w:rFonts w:ascii="Arial" w:eastAsia="Arial" w:hAnsi="Arial" w:cs="Arial"/>
                <w:color w:val="000000"/>
                <w:sz w:val="16"/>
                <w:vertAlign w:val="superscript"/>
              </w:rPr>
            </w:pPr>
          </w:p>
        </w:tc>
        <w:tc>
          <w:tcPr>
            <w:tcW w:w="1230" w:type="dxa"/>
            <w:tcBorders>
              <w:top w:val="nil"/>
              <w:left w:val="nil"/>
              <w:bottom w:val="nil"/>
              <w:right w:val="nil"/>
              <w:tl2br w:val="nil"/>
              <w:tr2bl w:val="nil"/>
            </w:tcBorders>
            <w:shd w:val="clear" w:color="auto" w:fill="FFFFFF"/>
            <w:tcMar>
              <w:left w:w="115" w:type="dxa"/>
              <w:right w:w="115" w:type="dxa"/>
            </w:tcMar>
            <w:vAlign w:val="bottom"/>
          </w:tcPr>
          <w:p w14:paraId="0EF9A875" w14:textId="77777777" w:rsidR="003F0EEA" w:rsidRPr="009C295F" w:rsidRDefault="00FB7D0B">
            <w:pPr>
              <w:jc w:val="right"/>
              <w:rPr>
                <w:rFonts w:ascii="Arial" w:eastAsia="Arial" w:hAnsi="Arial" w:cs="Arial"/>
                <w:color w:val="000000"/>
                <w:sz w:val="16"/>
                <w:vertAlign w:val="superscript"/>
              </w:rPr>
            </w:pPr>
            <w:r w:rsidRPr="009C295F">
              <w:rPr>
                <w:rFonts w:ascii="Arial" w:eastAsia="Arial" w:hAnsi="Arial" w:cs="Arial"/>
                <w:color w:val="000000"/>
                <w:sz w:val="16"/>
              </w:rPr>
              <w:t xml:space="preserve"> - </w:t>
            </w:r>
          </w:p>
        </w:tc>
        <w:tc>
          <w:tcPr>
            <w:tcW w:w="330" w:type="dxa"/>
            <w:tcBorders>
              <w:top w:val="nil"/>
              <w:left w:val="nil"/>
              <w:bottom w:val="nil"/>
              <w:right w:val="nil"/>
              <w:tl2br w:val="nil"/>
              <w:tr2bl w:val="nil"/>
            </w:tcBorders>
            <w:shd w:val="clear" w:color="auto" w:fill="FFFFFF"/>
            <w:tcMar>
              <w:left w:w="115" w:type="dxa"/>
              <w:right w:w="115" w:type="dxa"/>
            </w:tcMar>
            <w:vAlign w:val="bottom"/>
          </w:tcPr>
          <w:p w14:paraId="1AC03705" w14:textId="77777777" w:rsidR="003F0EEA" w:rsidRPr="009C295F" w:rsidRDefault="00FB7D0B">
            <w:pPr>
              <w:rPr>
                <w:rFonts w:ascii="Arial" w:eastAsia="Arial" w:hAnsi="Arial" w:cs="Arial"/>
                <w:color w:val="000000"/>
                <w:sz w:val="16"/>
              </w:rPr>
            </w:pPr>
            <w:r w:rsidRPr="009C295F">
              <w:rPr>
                <w:rFonts w:ascii="Arial" w:eastAsia="Arial" w:hAnsi="Arial" w:cs="Arial"/>
                <w:color w:val="000000"/>
                <w:sz w:val="16"/>
              </w:rPr>
              <w:t xml:space="preserve"> </w:t>
            </w:r>
          </w:p>
        </w:tc>
        <w:tc>
          <w:tcPr>
            <w:tcW w:w="1080" w:type="dxa"/>
            <w:tcBorders>
              <w:top w:val="nil"/>
              <w:left w:val="nil"/>
              <w:bottom w:val="nil"/>
              <w:right w:val="nil"/>
              <w:tl2br w:val="nil"/>
              <w:tr2bl w:val="nil"/>
            </w:tcBorders>
            <w:shd w:val="clear" w:color="auto" w:fill="FFFFFF"/>
            <w:tcMar>
              <w:left w:w="115" w:type="dxa"/>
              <w:right w:w="115" w:type="dxa"/>
            </w:tcMar>
            <w:vAlign w:val="bottom"/>
          </w:tcPr>
          <w:p w14:paraId="5B0B7C3A" w14:textId="77777777" w:rsidR="003F0EEA" w:rsidRPr="009C295F" w:rsidRDefault="00FB7D0B">
            <w:pPr>
              <w:jc w:val="right"/>
              <w:rPr>
                <w:rFonts w:ascii="Arial" w:eastAsia="Arial" w:hAnsi="Arial" w:cs="Arial"/>
                <w:color w:val="000000"/>
                <w:sz w:val="16"/>
              </w:rPr>
            </w:pPr>
            <w:r w:rsidRPr="009C295F">
              <w:rPr>
                <w:rFonts w:ascii="Arial" w:eastAsia="Arial" w:hAnsi="Arial" w:cs="Arial"/>
                <w:color w:val="000000"/>
                <w:sz w:val="16"/>
              </w:rPr>
              <w:t xml:space="preserve"> 6,061 </w:t>
            </w:r>
          </w:p>
        </w:tc>
        <w:tc>
          <w:tcPr>
            <w:tcW w:w="300" w:type="dxa"/>
            <w:tcBorders>
              <w:top w:val="nil"/>
              <w:left w:val="nil"/>
              <w:bottom w:val="nil"/>
              <w:right w:val="nil"/>
              <w:tl2br w:val="nil"/>
              <w:tr2bl w:val="nil"/>
            </w:tcBorders>
            <w:shd w:val="clear" w:color="auto" w:fill="FFFFFF"/>
            <w:tcMar>
              <w:left w:w="115" w:type="dxa"/>
              <w:right w:w="115" w:type="dxa"/>
            </w:tcMar>
            <w:vAlign w:val="bottom"/>
          </w:tcPr>
          <w:p w14:paraId="62A9ACDD" w14:textId="77777777" w:rsidR="003F0EEA" w:rsidRPr="009C295F" w:rsidRDefault="00FB7D0B">
            <w:pPr>
              <w:rPr>
                <w:rFonts w:ascii="Arial" w:eastAsia="Arial" w:hAnsi="Arial" w:cs="Arial"/>
                <w:color w:val="000000"/>
                <w:sz w:val="16"/>
              </w:rPr>
            </w:pPr>
            <w:r w:rsidRPr="009C295F">
              <w:rPr>
                <w:rFonts w:ascii="Arial" w:eastAsia="Arial" w:hAnsi="Arial" w:cs="Arial"/>
                <w:color w:val="000000"/>
                <w:sz w:val="16"/>
              </w:rPr>
              <w:t xml:space="preserve"> </w:t>
            </w:r>
          </w:p>
        </w:tc>
        <w:tc>
          <w:tcPr>
            <w:tcW w:w="1080" w:type="dxa"/>
            <w:tcBorders>
              <w:top w:val="nil"/>
              <w:left w:val="nil"/>
              <w:bottom w:val="nil"/>
              <w:right w:val="nil"/>
              <w:tl2br w:val="nil"/>
              <w:tr2bl w:val="nil"/>
            </w:tcBorders>
            <w:shd w:val="clear" w:color="auto" w:fill="FFFF00"/>
            <w:tcMar>
              <w:left w:w="115" w:type="dxa"/>
              <w:right w:w="115" w:type="dxa"/>
            </w:tcMar>
            <w:vAlign w:val="bottom"/>
          </w:tcPr>
          <w:p w14:paraId="2259746D" w14:textId="77777777" w:rsidR="003F0EEA" w:rsidRPr="009C295F" w:rsidRDefault="00FB7D0B">
            <w:pPr>
              <w:jc w:val="right"/>
              <w:rPr>
                <w:rFonts w:ascii="Arial" w:eastAsia="Arial" w:hAnsi="Arial" w:cs="Arial"/>
                <w:color w:val="000000"/>
                <w:sz w:val="16"/>
              </w:rPr>
            </w:pPr>
            <w:r w:rsidRPr="009C295F">
              <w:rPr>
                <w:rFonts w:ascii="Arial" w:eastAsia="Arial" w:hAnsi="Arial" w:cs="Arial"/>
                <w:color w:val="000000"/>
                <w:sz w:val="16"/>
              </w:rPr>
              <w:t xml:space="preserve"> 6,061 </w:t>
            </w:r>
          </w:p>
        </w:tc>
        <w:tc>
          <w:tcPr>
            <w:tcW w:w="1230" w:type="dxa"/>
            <w:tcBorders>
              <w:top w:val="nil"/>
              <w:left w:val="nil"/>
              <w:bottom w:val="nil"/>
              <w:right w:val="nil"/>
              <w:tl2br w:val="nil"/>
              <w:tr2bl w:val="nil"/>
            </w:tcBorders>
            <w:shd w:val="clear" w:color="auto" w:fill="FFFFFF"/>
            <w:tcMar>
              <w:left w:w="115" w:type="dxa"/>
              <w:right w:w="115" w:type="dxa"/>
            </w:tcMar>
            <w:vAlign w:val="bottom"/>
          </w:tcPr>
          <w:p w14:paraId="5CD440C7" w14:textId="77777777" w:rsidR="003F0EEA" w:rsidRPr="009C295F" w:rsidRDefault="00FB7D0B">
            <w:pPr>
              <w:jc w:val="right"/>
              <w:rPr>
                <w:rFonts w:ascii="Arial" w:eastAsia="Arial" w:hAnsi="Arial" w:cs="Arial"/>
                <w:color w:val="000000"/>
                <w:sz w:val="16"/>
              </w:rPr>
            </w:pPr>
            <w:r w:rsidRPr="009C295F">
              <w:rPr>
                <w:rFonts w:ascii="Arial" w:eastAsia="Arial" w:hAnsi="Arial" w:cs="Arial"/>
                <w:color w:val="000000"/>
                <w:sz w:val="16"/>
              </w:rPr>
              <w:t xml:space="preserve"> - </w:t>
            </w:r>
          </w:p>
        </w:tc>
      </w:tr>
      <w:tr w:rsidR="00FB7D0B" w14:paraId="3782DA8A" w14:textId="77777777" w:rsidTr="00FB7D0B">
        <w:trPr>
          <w:trHeight w:val="225"/>
        </w:trPr>
        <w:tc>
          <w:tcPr>
            <w:tcW w:w="180" w:type="dxa"/>
            <w:tcBorders>
              <w:top w:val="nil"/>
              <w:left w:val="nil"/>
              <w:bottom w:val="nil"/>
              <w:right w:val="nil"/>
              <w:tl2br w:val="nil"/>
              <w:tr2bl w:val="nil"/>
            </w:tcBorders>
            <w:shd w:val="clear" w:color="auto" w:fill="FFFFFF"/>
            <w:tcMar>
              <w:left w:w="115" w:type="dxa"/>
              <w:right w:w="115" w:type="dxa"/>
            </w:tcMar>
            <w:vAlign w:val="bottom"/>
          </w:tcPr>
          <w:p w14:paraId="2836C10A" w14:textId="77777777" w:rsidR="003F0EEA" w:rsidRPr="009C295F" w:rsidRDefault="003F0EEA">
            <w:pPr>
              <w:rPr>
                <w:rFonts w:ascii="Arial" w:eastAsia="Arial" w:hAnsi="Arial" w:cs="Arial"/>
                <w:color w:val="000000"/>
                <w:sz w:val="16"/>
              </w:rPr>
            </w:pPr>
          </w:p>
        </w:tc>
        <w:tc>
          <w:tcPr>
            <w:tcW w:w="2700" w:type="dxa"/>
            <w:gridSpan w:val="2"/>
            <w:vMerge w:val="restart"/>
            <w:tcBorders>
              <w:top w:val="nil"/>
              <w:left w:val="nil"/>
              <w:bottom w:val="nil"/>
              <w:right w:val="nil"/>
              <w:tl2br w:val="nil"/>
              <w:tr2bl w:val="nil"/>
            </w:tcBorders>
            <w:shd w:val="clear" w:color="auto" w:fill="FFFFFF"/>
            <w:tcMar>
              <w:left w:w="115" w:type="dxa"/>
              <w:right w:w="115" w:type="dxa"/>
            </w:tcMar>
            <w:vAlign w:val="bottom"/>
          </w:tcPr>
          <w:p w14:paraId="57985A4C" w14:textId="77777777" w:rsidR="003F0EEA" w:rsidRPr="009C295F" w:rsidRDefault="00FB7D0B">
            <w:pPr>
              <w:rPr>
                <w:rFonts w:ascii="Arial" w:eastAsia="Arial" w:hAnsi="Arial" w:cs="Arial"/>
                <w:color w:val="000000"/>
                <w:sz w:val="16"/>
              </w:rPr>
            </w:pPr>
            <w:r w:rsidRPr="009C295F">
              <w:rPr>
                <w:rFonts w:ascii="Arial" w:eastAsia="Arial" w:hAnsi="Arial" w:cs="Arial"/>
                <w:b/>
                <w:color w:val="000000"/>
                <w:sz w:val="16"/>
              </w:rPr>
              <w:t>Total</w:t>
            </w:r>
          </w:p>
        </w:tc>
        <w:tc>
          <w:tcPr>
            <w:tcW w:w="360" w:type="dxa"/>
            <w:tcBorders>
              <w:top w:val="nil"/>
              <w:left w:val="nil"/>
              <w:bottom w:val="nil"/>
              <w:right w:val="nil"/>
              <w:tl2br w:val="nil"/>
              <w:tr2bl w:val="nil"/>
            </w:tcBorders>
            <w:shd w:val="clear" w:color="auto" w:fill="FFFFFF"/>
            <w:tcMar>
              <w:left w:w="115" w:type="dxa"/>
              <w:right w:w="115" w:type="dxa"/>
            </w:tcMar>
            <w:vAlign w:val="bottom"/>
          </w:tcPr>
          <w:p w14:paraId="0ACD0242" w14:textId="77777777" w:rsidR="003F0EEA" w:rsidRPr="009C295F" w:rsidRDefault="003F0EEA">
            <w:pPr>
              <w:jc w:val="center"/>
              <w:rPr>
                <w:rFonts w:ascii="Arial" w:eastAsia="Arial" w:hAnsi="Arial" w:cs="Arial"/>
                <w:b/>
                <w:color w:val="000000"/>
                <w:sz w:val="16"/>
                <w:vertAlign w:val="superscript"/>
              </w:rPr>
            </w:pPr>
          </w:p>
        </w:tc>
        <w:tc>
          <w:tcPr>
            <w:tcW w:w="1230"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75DC5FFC" w14:textId="77777777" w:rsidR="003F0EEA" w:rsidRPr="009C295F" w:rsidRDefault="00FB7D0B">
            <w:pPr>
              <w:jc w:val="right"/>
              <w:rPr>
                <w:rFonts w:ascii="Arial" w:eastAsia="Arial" w:hAnsi="Arial" w:cs="Arial"/>
                <w:color w:val="000000"/>
                <w:sz w:val="16"/>
                <w:vertAlign w:val="superscript"/>
              </w:rPr>
            </w:pPr>
            <w:r w:rsidRPr="009C295F">
              <w:rPr>
                <w:rFonts w:ascii="Arial" w:eastAsia="Arial" w:hAnsi="Arial" w:cs="Arial"/>
                <w:b/>
                <w:color w:val="000000"/>
                <w:sz w:val="16"/>
              </w:rPr>
              <w:t xml:space="preserve"> - </w:t>
            </w:r>
          </w:p>
        </w:tc>
        <w:tc>
          <w:tcPr>
            <w:tcW w:w="330"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225B47BA" w14:textId="77777777" w:rsidR="003F0EEA" w:rsidRPr="009C295F" w:rsidRDefault="00FB7D0B">
            <w:pPr>
              <w:rPr>
                <w:rFonts w:ascii="Arial" w:eastAsia="Arial" w:hAnsi="Arial" w:cs="Arial"/>
                <w:b/>
                <w:color w:val="000000"/>
                <w:sz w:val="16"/>
              </w:rPr>
            </w:pPr>
            <w:r w:rsidRPr="009C295F">
              <w:rPr>
                <w:rFonts w:ascii="Arial" w:eastAsia="Arial" w:hAnsi="Arial" w:cs="Arial"/>
                <w:b/>
                <w:i/>
                <w:color w:val="000000"/>
                <w:sz w:val="16"/>
              </w:rPr>
              <w:t xml:space="preserve"> </w:t>
            </w:r>
          </w:p>
        </w:tc>
        <w:tc>
          <w:tcPr>
            <w:tcW w:w="1080"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22DB63BE" w14:textId="77777777" w:rsidR="003F0EEA" w:rsidRPr="009C295F" w:rsidRDefault="00FB7D0B">
            <w:pPr>
              <w:jc w:val="right"/>
              <w:rPr>
                <w:rFonts w:ascii="Arial" w:eastAsia="Arial" w:hAnsi="Arial" w:cs="Arial"/>
                <w:b/>
                <w:i/>
                <w:color w:val="000000"/>
                <w:sz w:val="16"/>
              </w:rPr>
            </w:pPr>
            <w:r w:rsidRPr="009C295F">
              <w:rPr>
                <w:rFonts w:ascii="Arial" w:eastAsia="Arial" w:hAnsi="Arial" w:cs="Arial"/>
                <w:b/>
                <w:color w:val="000000"/>
                <w:sz w:val="16"/>
              </w:rPr>
              <w:t xml:space="preserve"> 6,061 </w:t>
            </w:r>
          </w:p>
        </w:tc>
        <w:tc>
          <w:tcPr>
            <w:tcW w:w="300"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558E3A34" w14:textId="77777777" w:rsidR="003F0EEA" w:rsidRPr="009C295F" w:rsidRDefault="00FB7D0B">
            <w:pPr>
              <w:rPr>
                <w:rFonts w:ascii="Arial" w:eastAsia="Arial" w:hAnsi="Arial" w:cs="Arial"/>
                <w:b/>
                <w:color w:val="000000"/>
                <w:sz w:val="16"/>
              </w:rPr>
            </w:pPr>
            <w:r w:rsidRPr="009C295F">
              <w:rPr>
                <w:rFonts w:ascii="Arial" w:eastAsia="Arial" w:hAnsi="Arial" w:cs="Arial"/>
                <w:b/>
                <w:color w:val="000000"/>
                <w:sz w:val="16"/>
              </w:rPr>
              <w:t xml:space="preserve"> </w:t>
            </w:r>
          </w:p>
        </w:tc>
        <w:tc>
          <w:tcPr>
            <w:tcW w:w="1080" w:type="dxa"/>
            <w:tcBorders>
              <w:top w:val="nil"/>
              <w:left w:val="nil"/>
              <w:bottom w:val="single" w:sz="6" w:space="0" w:color="000000"/>
              <w:right w:val="nil"/>
              <w:tl2br w:val="nil"/>
              <w:tr2bl w:val="nil"/>
            </w:tcBorders>
            <w:shd w:val="clear" w:color="auto" w:fill="FFFF00"/>
            <w:tcMar>
              <w:left w:w="115" w:type="dxa"/>
              <w:right w:w="115" w:type="dxa"/>
            </w:tcMar>
            <w:vAlign w:val="bottom"/>
          </w:tcPr>
          <w:p w14:paraId="4C5BAFFC" w14:textId="77777777" w:rsidR="003F0EEA" w:rsidRPr="009C295F" w:rsidRDefault="00FB7D0B">
            <w:pPr>
              <w:jc w:val="right"/>
              <w:rPr>
                <w:rFonts w:ascii="Arial" w:eastAsia="Arial" w:hAnsi="Arial" w:cs="Arial"/>
                <w:b/>
                <w:color w:val="000000"/>
                <w:sz w:val="16"/>
              </w:rPr>
            </w:pPr>
            <w:r w:rsidRPr="009C295F">
              <w:rPr>
                <w:rFonts w:ascii="Arial" w:eastAsia="Arial" w:hAnsi="Arial" w:cs="Arial"/>
                <w:b/>
                <w:color w:val="000000"/>
                <w:sz w:val="16"/>
              </w:rPr>
              <w:t xml:space="preserve"> 6,061 </w:t>
            </w:r>
          </w:p>
        </w:tc>
        <w:tc>
          <w:tcPr>
            <w:tcW w:w="1230"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747B413E" w14:textId="77777777" w:rsidR="003F0EEA" w:rsidRPr="009C295F" w:rsidRDefault="00FB7D0B">
            <w:pPr>
              <w:jc w:val="right"/>
              <w:rPr>
                <w:rFonts w:ascii="Arial" w:eastAsia="Arial" w:hAnsi="Arial" w:cs="Arial"/>
                <w:b/>
                <w:color w:val="000000"/>
                <w:sz w:val="16"/>
              </w:rPr>
            </w:pPr>
            <w:r w:rsidRPr="009C295F">
              <w:rPr>
                <w:rFonts w:ascii="Arial" w:eastAsia="Arial" w:hAnsi="Arial" w:cs="Arial"/>
                <w:b/>
                <w:color w:val="000000"/>
                <w:sz w:val="16"/>
              </w:rPr>
              <w:t xml:space="preserve"> - </w:t>
            </w:r>
          </w:p>
        </w:tc>
      </w:tr>
      <w:tr w:rsidR="00FB7D0B" w14:paraId="1E5E3CA0" w14:textId="77777777" w:rsidTr="00FB7D0B">
        <w:trPr>
          <w:trHeight w:val="225"/>
        </w:trPr>
        <w:tc>
          <w:tcPr>
            <w:tcW w:w="2880" w:type="dxa"/>
            <w:gridSpan w:val="3"/>
            <w:tcBorders>
              <w:top w:val="nil"/>
              <w:left w:val="nil"/>
              <w:bottom w:val="nil"/>
              <w:right w:val="nil"/>
              <w:tl2br w:val="nil"/>
              <w:tr2bl w:val="nil"/>
            </w:tcBorders>
            <w:shd w:val="clear" w:color="auto" w:fill="FFFFFF"/>
            <w:tcMar>
              <w:left w:w="115" w:type="dxa"/>
              <w:right w:w="115" w:type="dxa"/>
            </w:tcMar>
            <w:vAlign w:val="bottom"/>
          </w:tcPr>
          <w:p w14:paraId="3206B314" w14:textId="77777777" w:rsidR="003F0EEA" w:rsidRPr="009C295F" w:rsidRDefault="00FB7D0B">
            <w:pPr>
              <w:rPr>
                <w:rFonts w:ascii="Arial" w:eastAsia="Arial" w:hAnsi="Arial" w:cs="Arial"/>
                <w:b/>
                <w:color w:val="000000"/>
                <w:sz w:val="16"/>
              </w:rPr>
            </w:pPr>
            <w:r w:rsidRPr="009C295F">
              <w:rPr>
                <w:rFonts w:ascii="Arial" w:eastAsia="Arial" w:hAnsi="Arial" w:cs="Arial"/>
                <w:b/>
                <w:color w:val="000000"/>
                <w:sz w:val="16"/>
              </w:rPr>
              <w:t xml:space="preserve">Total other services </w:t>
            </w:r>
          </w:p>
        </w:tc>
        <w:tc>
          <w:tcPr>
            <w:tcW w:w="360" w:type="dxa"/>
            <w:tcBorders>
              <w:top w:val="nil"/>
              <w:left w:val="nil"/>
              <w:bottom w:val="nil"/>
              <w:right w:val="nil"/>
              <w:tl2br w:val="nil"/>
              <w:tr2bl w:val="nil"/>
            </w:tcBorders>
            <w:shd w:val="clear" w:color="auto" w:fill="FFFFFF"/>
            <w:tcMar>
              <w:left w:w="115" w:type="dxa"/>
              <w:right w:w="115" w:type="dxa"/>
            </w:tcMar>
            <w:vAlign w:val="bottom"/>
          </w:tcPr>
          <w:p w14:paraId="4610E307" w14:textId="77777777" w:rsidR="003F0EEA" w:rsidRPr="009C295F" w:rsidRDefault="00FB7D0B">
            <w:pPr>
              <w:jc w:val="center"/>
              <w:rPr>
                <w:rFonts w:ascii="Arial" w:eastAsia="Arial" w:hAnsi="Arial" w:cs="Arial"/>
                <w:b/>
                <w:color w:val="000000"/>
                <w:sz w:val="16"/>
                <w:vertAlign w:val="superscript"/>
              </w:rPr>
            </w:pPr>
            <w:r w:rsidRPr="009C295F">
              <w:rPr>
                <w:rFonts w:ascii="Arial" w:eastAsia="Arial" w:hAnsi="Arial" w:cs="Arial"/>
                <w:b/>
                <w:color w:val="000000"/>
                <w:sz w:val="16"/>
              </w:rPr>
              <w:t>B</w:t>
            </w:r>
          </w:p>
        </w:tc>
        <w:tc>
          <w:tcPr>
            <w:tcW w:w="1230" w:type="dxa"/>
            <w:tcBorders>
              <w:top w:val="single" w:sz="6" w:space="0" w:color="000000"/>
              <w:left w:val="nil"/>
              <w:bottom w:val="single" w:sz="6" w:space="0" w:color="000000"/>
              <w:right w:val="nil"/>
              <w:tl2br w:val="nil"/>
              <w:tr2bl w:val="nil"/>
            </w:tcBorders>
            <w:shd w:val="clear" w:color="auto" w:fill="FFFFFF"/>
            <w:tcMar>
              <w:left w:w="115" w:type="dxa"/>
              <w:right w:w="115" w:type="dxa"/>
            </w:tcMar>
            <w:vAlign w:val="bottom"/>
          </w:tcPr>
          <w:p w14:paraId="10E25871" w14:textId="77777777" w:rsidR="003F0EEA" w:rsidRPr="009C295F" w:rsidRDefault="00FB7D0B">
            <w:pPr>
              <w:jc w:val="right"/>
              <w:rPr>
                <w:rFonts w:ascii="Arial" w:eastAsia="Arial" w:hAnsi="Arial" w:cs="Arial"/>
                <w:b/>
                <w:color w:val="000000"/>
                <w:sz w:val="16"/>
              </w:rPr>
            </w:pPr>
            <w:r w:rsidRPr="009C295F">
              <w:rPr>
                <w:rFonts w:ascii="Arial" w:eastAsia="Arial" w:hAnsi="Arial" w:cs="Arial"/>
                <w:b/>
                <w:color w:val="000000"/>
                <w:sz w:val="16"/>
              </w:rPr>
              <w:t xml:space="preserve"> - </w:t>
            </w:r>
          </w:p>
        </w:tc>
        <w:tc>
          <w:tcPr>
            <w:tcW w:w="330" w:type="dxa"/>
            <w:tcBorders>
              <w:top w:val="single" w:sz="6" w:space="0" w:color="000000"/>
              <w:left w:val="nil"/>
              <w:bottom w:val="single" w:sz="6" w:space="0" w:color="000000"/>
              <w:right w:val="nil"/>
              <w:tl2br w:val="nil"/>
              <w:tr2bl w:val="nil"/>
            </w:tcBorders>
            <w:shd w:val="clear" w:color="auto" w:fill="FFFFFF"/>
            <w:tcMar>
              <w:left w:w="115" w:type="dxa"/>
              <w:right w:w="115" w:type="dxa"/>
            </w:tcMar>
            <w:vAlign w:val="bottom"/>
          </w:tcPr>
          <w:p w14:paraId="566792CF" w14:textId="77777777" w:rsidR="003F0EEA" w:rsidRPr="009C295F" w:rsidRDefault="00FB7D0B">
            <w:pPr>
              <w:rPr>
                <w:rFonts w:ascii="Arial" w:eastAsia="Arial" w:hAnsi="Arial" w:cs="Arial"/>
                <w:b/>
                <w:color w:val="000000"/>
                <w:sz w:val="16"/>
              </w:rPr>
            </w:pPr>
            <w:r w:rsidRPr="009C295F">
              <w:rPr>
                <w:rFonts w:ascii="Arial" w:eastAsia="Arial" w:hAnsi="Arial" w:cs="Arial"/>
                <w:b/>
                <w:color w:val="000000"/>
                <w:sz w:val="16"/>
              </w:rPr>
              <w:t xml:space="preserve"> </w:t>
            </w:r>
          </w:p>
        </w:tc>
        <w:tc>
          <w:tcPr>
            <w:tcW w:w="1080" w:type="dxa"/>
            <w:tcBorders>
              <w:top w:val="single" w:sz="6" w:space="0" w:color="000000"/>
              <w:left w:val="nil"/>
              <w:bottom w:val="single" w:sz="6" w:space="0" w:color="000000"/>
              <w:right w:val="nil"/>
              <w:tl2br w:val="nil"/>
              <w:tr2bl w:val="nil"/>
            </w:tcBorders>
            <w:shd w:val="clear" w:color="auto" w:fill="FFFFFF"/>
            <w:tcMar>
              <w:left w:w="115" w:type="dxa"/>
              <w:right w:w="115" w:type="dxa"/>
            </w:tcMar>
            <w:vAlign w:val="bottom"/>
          </w:tcPr>
          <w:p w14:paraId="5E77EC09" w14:textId="77777777" w:rsidR="003F0EEA" w:rsidRPr="009C295F" w:rsidRDefault="00FB7D0B">
            <w:pPr>
              <w:jc w:val="right"/>
              <w:rPr>
                <w:rFonts w:ascii="Arial" w:eastAsia="Arial" w:hAnsi="Arial" w:cs="Arial"/>
                <w:b/>
                <w:color w:val="000000"/>
                <w:sz w:val="16"/>
              </w:rPr>
            </w:pPr>
            <w:r w:rsidRPr="009C295F">
              <w:rPr>
                <w:rFonts w:ascii="Arial" w:eastAsia="Arial" w:hAnsi="Arial" w:cs="Arial"/>
                <w:b/>
                <w:color w:val="000000"/>
                <w:sz w:val="16"/>
              </w:rPr>
              <w:t xml:space="preserve"> 21,122 </w:t>
            </w:r>
          </w:p>
        </w:tc>
        <w:tc>
          <w:tcPr>
            <w:tcW w:w="300" w:type="dxa"/>
            <w:tcBorders>
              <w:top w:val="single" w:sz="6" w:space="0" w:color="000000"/>
              <w:left w:val="nil"/>
              <w:bottom w:val="single" w:sz="6" w:space="0" w:color="000000"/>
              <w:right w:val="nil"/>
              <w:tl2br w:val="nil"/>
              <w:tr2bl w:val="nil"/>
            </w:tcBorders>
            <w:shd w:val="clear" w:color="auto" w:fill="FFFFFF"/>
            <w:tcMar>
              <w:left w:w="115" w:type="dxa"/>
              <w:right w:w="115" w:type="dxa"/>
            </w:tcMar>
            <w:vAlign w:val="bottom"/>
          </w:tcPr>
          <w:p w14:paraId="39A6F122" w14:textId="77777777" w:rsidR="003F0EEA" w:rsidRPr="009C295F" w:rsidRDefault="00FB7D0B">
            <w:pPr>
              <w:rPr>
                <w:rFonts w:ascii="Arial" w:eastAsia="Arial" w:hAnsi="Arial" w:cs="Arial"/>
                <w:b/>
                <w:color w:val="000000"/>
                <w:sz w:val="16"/>
              </w:rPr>
            </w:pPr>
            <w:r w:rsidRPr="009C295F">
              <w:rPr>
                <w:rFonts w:ascii="Arial" w:eastAsia="Arial" w:hAnsi="Arial" w:cs="Arial"/>
                <w:b/>
                <w:color w:val="000000"/>
                <w:sz w:val="16"/>
              </w:rPr>
              <w:t xml:space="preserve"> </w:t>
            </w:r>
          </w:p>
        </w:tc>
        <w:tc>
          <w:tcPr>
            <w:tcW w:w="1080" w:type="dxa"/>
            <w:tcBorders>
              <w:top w:val="single" w:sz="6" w:space="0" w:color="000000"/>
              <w:left w:val="nil"/>
              <w:bottom w:val="single" w:sz="6" w:space="0" w:color="000000"/>
              <w:right w:val="nil"/>
              <w:tl2br w:val="nil"/>
              <w:tr2bl w:val="nil"/>
            </w:tcBorders>
            <w:shd w:val="clear" w:color="auto" w:fill="FFFF00"/>
            <w:tcMar>
              <w:left w:w="115" w:type="dxa"/>
              <w:right w:w="115" w:type="dxa"/>
            </w:tcMar>
            <w:vAlign w:val="bottom"/>
          </w:tcPr>
          <w:p w14:paraId="547D735A" w14:textId="77777777" w:rsidR="003F0EEA" w:rsidRPr="009C295F" w:rsidRDefault="00FB7D0B">
            <w:pPr>
              <w:jc w:val="right"/>
              <w:rPr>
                <w:rFonts w:ascii="Arial" w:eastAsia="Arial" w:hAnsi="Arial" w:cs="Arial"/>
                <w:b/>
                <w:color w:val="000000"/>
                <w:sz w:val="16"/>
              </w:rPr>
            </w:pPr>
            <w:r w:rsidRPr="009C295F">
              <w:rPr>
                <w:rFonts w:ascii="Arial" w:eastAsia="Arial" w:hAnsi="Arial" w:cs="Arial"/>
                <w:b/>
                <w:color w:val="000000"/>
                <w:sz w:val="16"/>
              </w:rPr>
              <w:t xml:space="preserve"> 21,122 </w:t>
            </w:r>
          </w:p>
        </w:tc>
        <w:tc>
          <w:tcPr>
            <w:tcW w:w="1230" w:type="dxa"/>
            <w:tcBorders>
              <w:top w:val="single" w:sz="6" w:space="0" w:color="000000"/>
              <w:left w:val="nil"/>
              <w:bottom w:val="single" w:sz="6" w:space="0" w:color="000000"/>
              <w:right w:val="nil"/>
              <w:tl2br w:val="nil"/>
              <w:tr2bl w:val="nil"/>
            </w:tcBorders>
            <w:shd w:val="clear" w:color="auto" w:fill="FFFFFF"/>
            <w:tcMar>
              <w:left w:w="115" w:type="dxa"/>
              <w:right w:w="115" w:type="dxa"/>
            </w:tcMar>
            <w:vAlign w:val="bottom"/>
          </w:tcPr>
          <w:p w14:paraId="6BBF20E7" w14:textId="77777777" w:rsidR="003F0EEA" w:rsidRPr="009C295F" w:rsidRDefault="00FB7D0B">
            <w:pPr>
              <w:jc w:val="right"/>
              <w:rPr>
                <w:rFonts w:ascii="Arial" w:eastAsia="Arial" w:hAnsi="Arial" w:cs="Arial"/>
                <w:b/>
                <w:color w:val="000000"/>
                <w:sz w:val="16"/>
              </w:rPr>
            </w:pPr>
            <w:r w:rsidRPr="009C295F">
              <w:rPr>
                <w:rFonts w:ascii="Arial" w:eastAsia="Arial" w:hAnsi="Arial" w:cs="Arial"/>
                <w:b/>
                <w:color w:val="000000"/>
                <w:sz w:val="16"/>
              </w:rPr>
              <w:t xml:space="preserve"> 38,864 </w:t>
            </w:r>
          </w:p>
        </w:tc>
      </w:tr>
      <w:tr w:rsidR="00FB7D0B" w14:paraId="6BCAFE1A" w14:textId="77777777" w:rsidTr="00FB7D0B">
        <w:trPr>
          <w:trHeight w:val="225"/>
        </w:trPr>
        <w:tc>
          <w:tcPr>
            <w:tcW w:w="2880" w:type="dxa"/>
            <w:gridSpan w:val="3"/>
            <w:tcBorders>
              <w:top w:val="nil"/>
              <w:left w:val="nil"/>
              <w:bottom w:val="nil"/>
              <w:right w:val="nil"/>
              <w:tl2br w:val="nil"/>
              <w:tr2bl w:val="nil"/>
            </w:tcBorders>
            <w:shd w:val="clear" w:color="auto" w:fill="FFFFFF"/>
            <w:tcMar>
              <w:left w:w="115" w:type="dxa"/>
              <w:right w:w="115" w:type="dxa"/>
            </w:tcMar>
            <w:vAlign w:val="bottom"/>
          </w:tcPr>
          <w:p w14:paraId="20487F99" w14:textId="77777777" w:rsidR="003F0EEA" w:rsidRPr="009C295F" w:rsidRDefault="00FB7D0B">
            <w:pPr>
              <w:rPr>
                <w:rFonts w:ascii="Arial" w:eastAsia="Arial" w:hAnsi="Arial" w:cs="Arial"/>
                <w:b/>
                <w:color w:val="000000"/>
                <w:sz w:val="16"/>
              </w:rPr>
            </w:pPr>
            <w:r w:rsidRPr="009C295F">
              <w:rPr>
                <w:rFonts w:ascii="Arial" w:eastAsia="Arial" w:hAnsi="Arial" w:cs="Arial"/>
                <w:b/>
                <w:color w:val="000000"/>
                <w:sz w:val="16"/>
              </w:rPr>
              <w:t xml:space="preserve">Total available annual </w:t>
            </w:r>
          </w:p>
        </w:tc>
        <w:tc>
          <w:tcPr>
            <w:tcW w:w="360" w:type="dxa"/>
            <w:tcBorders>
              <w:top w:val="nil"/>
              <w:left w:val="nil"/>
              <w:bottom w:val="nil"/>
              <w:right w:val="nil"/>
              <w:tl2br w:val="nil"/>
              <w:tr2bl w:val="nil"/>
            </w:tcBorders>
            <w:shd w:val="clear" w:color="auto" w:fill="FFFFFF"/>
            <w:tcMar>
              <w:left w:w="115" w:type="dxa"/>
              <w:right w:w="115" w:type="dxa"/>
            </w:tcMar>
            <w:vAlign w:val="bottom"/>
          </w:tcPr>
          <w:p w14:paraId="1853D046" w14:textId="77777777" w:rsidR="003F0EEA" w:rsidRPr="009C295F" w:rsidRDefault="003F0EEA">
            <w:pPr>
              <w:jc w:val="center"/>
              <w:rPr>
                <w:rFonts w:ascii="Arial" w:eastAsia="Arial" w:hAnsi="Arial" w:cs="Arial"/>
                <w:b/>
                <w:color w:val="000000"/>
                <w:sz w:val="16"/>
                <w:vertAlign w:val="superscript"/>
              </w:rPr>
            </w:pPr>
          </w:p>
        </w:tc>
        <w:tc>
          <w:tcPr>
            <w:tcW w:w="1230"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6269D00A" w14:textId="77777777" w:rsidR="003F0EEA" w:rsidRPr="009C295F" w:rsidRDefault="003F0EEA">
            <w:pPr>
              <w:rPr>
                <w:rFonts w:ascii="Arial" w:eastAsia="Arial" w:hAnsi="Arial" w:cs="Arial"/>
                <w:b/>
                <w:color w:val="000000"/>
                <w:sz w:val="16"/>
                <w:vertAlign w:val="superscript"/>
              </w:rPr>
            </w:pPr>
          </w:p>
        </w:tc>
        <w:tc>
          <w:tcPr>
            <w:tcW w:w="330"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105EFBD5" w14:textId="77777777" w:rsidR="003F0EEA" w:rsidRPr="009C295F" w:rsidRDefault="003F0EEA">
            <w:pPr>
              <w:rPr>
                <w:rFonts w:ascii="Arial" w:eastAsia="Arial" w:hAnsi="Arial" w:cs="Arial"/>
                <w:color w:val="000000"/>
                <w:sz w:val="16"/>
                <w:vertAlign w:val="superscript"/>
              </w:rPr>
            </w:pPr>
          </w:p>
        </w:tc>
        <w:tc>
          <w:tcPr>
            <w:tcW w:w="1080"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26EFD8F2" w14:textId="77777777" w:rsidR="003F0EEA" w:rsidRPr="009C295F" w:rsidRDefault="003F0EEA">
            <w:pPr>
              <w:rPr>
                <w:rFonts w:ascii="Arial" w:eastAsia="Arial" w:hAnsi="Arial" w:cs="Arial"/>
                <w:color w:val="000000"/>
                <w:sz w:val="16"/>
                <w:vertAlign w:val="superscript"/>
              </w:rPr>
            </w:pPr>
          </w:p>
        </w:tc>
        <w:tc>
          <w:tcPr>
            <w:tcW w:w="300"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5A628917" w14:textId="77777777" w:rsidR="003F0EEA" w:rsidRPr="009C295F" w:rsidRDefault="003F0EEA">
            <w:pPr>
              <w:rPr>
                <w:rFonts w:ascii="Arial" w:eastAsia="Arial" w:hAnsi="Arial" w:cs="Arial"/>
                <w:color w:val="000000"/>
                <w:sz w:val="16"/>
                <w:vertAlign w:val="superscript"/>
              </w:rPr>
            </w:pPr>
          </w:p>
        </w:tc>
        <w:tc>
          <w:tcPr>
            <w:tcW w:w="1080" w:type="dxa"/>
            <w:tcBorders>
              <w:top w:val="single" w:sz="6" w:space="0" w:color="000000"/>
              <w:left w:val="nil"/>
              <w:bottom w:val="nil"/>
              <w:right w:val="nil"/>
              <w:tl2br w:val="nil"/>
              <w:tr2bl w:val="nil"/>
            </w:tcBorders>
            <w:shd w:val="clear" w:color="auto" w:fill="FFFF00"/>
            <w:tcMar>
              <w:left w:w="115" w:type="dxa"/>
              <w:right w:w="115" w:type="dxa"/>
            </w:tcMar>
            <w:vAlign w:val="bottom"/>
          </w:tcPr>
          <w:p w14:paraId="113214A5" w14:textId="77777777" w:rsidR="003F0EEA" w:rsidRPr="009C295F" w:rsidRDefault="003F0EEA">
            <w:pPr>
              <w:rPr>
                <w:rFonts w:ascii="Arial" w:eastAsia="Arial" w:hAnsi="Arial" w:cs="Arial"/>
                <w:color w:val="000000"/>
                <w:sz w:val="16"/>
                <w:vertAlign w:val="superscript"/>
              </w:rPr>
            </w:pPr>
          </w:p>
        </w:tc>
        <w:tc>
          <w:tcPr>
            <w:tcW w:w="1230"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494EB6E3" w14:textId="77777777" w:rsidR="003F0EEA" w:rsidRPr="009C295F" w:rsidRDefault="003F0EEA">
            <w:pPr>
              <w:rPr>
                <w:rFonts w:ascii="Arial" w:eastAsia="Arial" w:hAnsi="Arial" w:cs="Arial"/>
                <w:color w:val="000000"/>
                <w:sz w:val="16"/>
                <w:vertAlign w:val="superscript"/>
              </w:rPr>
            </w:pPr>
          </w:p>
        </w:tc>
      </w:tr>
      <w:tr w:rsidR="00FB7D0B" w14:paraId="6CCCB7DC" w14:textId="77777777" w:rsidTr="00FB7D0B">
        <w:trPr>
          <w:trHeight w:val="225"/>
        </w:trPr>
        <w:tc>
          <w:tcPr>
            <w:tcW w:w="180" w:type="dxa"/>
            <w:tcBorders>
              <w:top w:val="nil"/>
              <w:left w:val="nil"/>
              <w:bottom w:val="nil"/>
              <w:right w:val="nil"/>
              <w:tl2br w:val="nil"/>
              <w:tr2bl w:val="nil"/>
            </w:tcBorders>
            <w:shd w:val="clear" w:color="auto" w:fill="FFFFFF"/>
            <w:tcMar>
              <w:left w:w="115" w:type="dxa"/>
              <w:right w:w="115" w:type="dxa"/>
            </w:tcMar>
            <w:vAlign w:val="bottom"/>
          </w:tcPr>
          <w:p w14:paraId="65830AE7" w14:textId="77777777" w:rsidR="003F0EEA" w:rsidRPr="009C295F" w:rsidRDefault="003F0EEA">
            <w:pPr>
              <w:rPr>
                <w:rFonts w:ascii="Arial" w:eastAsia="Arial" w:hAnsi="Arial" w:cs="Arial"/>
                <w:color w:val="000000"/>
                <w:sz w:val="16"/>
                <w:vertAlign w:val="superscript"/>
              </w:rPr>
            </w:pPr>
          </w:p>
        </w:tc>
        <w:tc>
          <w:tcPr>
            <w:tcW w:w="2700" w:type="dxa"/>
            <w:gridSpan w:val="2"/>
            <w:tcBorders>
              <w:top w:val="nil"/>
              <w:left w:val="nil"/>
              <w:bottom w:val="nil"/>
              <w:right w:val="nil"/>
              <w:tl2br w:val="nil"/>
              <w:tr2bl w:val="nil"/>
            </w:tcBorders>
            <w:shd w:val="clear" w:color="auto" w:fill="FFFFFF"/>
            <w:tcMar>
              <w:left w:w="115" w:type="dxa"/>
              <w:right w:w="115" w:type="dxa"/>
            </w:tcMar>
            <w:vAlign w:val="bottom"/>
          </w:tcPr>
          <w:p w14:paraId="6F4629A4" w14:textId="77777777" w:rsidR="003F0EEA" w:rsidRPr="009C295F" w:rsidRDefault="00FB7D0B">
            <w:pPr>
              <w:rPr>
                <w:rFonts w:ascii="Arial" w:eastAsia="Arial" w:hAnsi="Arial" w:cs="Arial"/>
                <w:color w:val="000000"/>
                <w:sz w:val="16"/>
                <w:vertAlign w:val="superscript"/>
              </w:rPr>
            </w:pPr>
            <w:r w:rsidRPr="009C295F">
              <w:rPr>
                <w:rFonts w:ascii="Arial" w:eastAsia="Arial" w:hAnsi="Arial" w:cs="Arial"/>
                <w:b/>
                <w:color w:val="000000"/>
                <w:sz w:val="16"/>
              </w:rPr>
              <w:t>appropriations</w:t>
            </w:r>
          </w:p>
        </w:tc>
        <w:tc>
          <w:tcPr>
            <w:tcW w:w="360" w:type="dxa"/>
            <w:tcBorders>
              <w:top w:val="nil"/>
              <w:left w:val="nil"/>
              <w:bottom w:val="nil"/>
              <w:right w:val="nil"/>
              <w:tl2br w:val="nil"/>
              <w:tr2bl w:val="nil"/>
            </w:tcBorders>
            <w:shd w:val="clear" w:color="auto" w:fill="FFFFFF"/>
            <w:tcMar>
              <w:left w:w="115" w:type="dxa"/>
              <w:right w:w="115" w:type="dxa"/>
            </w:tcMar>
            <w:vAlign w:val="bottom"/>
          </w:tcPr>
          <w:p w14:paraId="71B85DBB" w14:textId="77777777" w:rsidR="003F0EEA" w:rsidRPr="009C295F" w:rsidRDefault="003F0EEA">
            <w:pPr>
              <w:jc w:val="center"/>
              <w:rPr>
                <w:rFonts w:ascii="Arial" w:eastAsia="Arial" w:hAnsi="Arial" w:cs="Arial"/>
                <w:b/>
                <w:color w:val="000000"/>
                <w:sz w:val="16"/>
                <w:vertAlign w:val="superscript"/>
              </w:rPr>
            </w:pPr>
          </w:p>
        </w:tc>
        <w:tc>
          <w:tcPr>
            <w:tcW w:w="1230"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48F0B12A" w14:textId="77777777" w:rsidR="003F0EEA" w:rsidRPr="009C295F" w:rsidRDefault="00FB7D0B">
            <w:pPr>
              <w:jc w:val="right"/>
              <w:rPr>
                <w:rFonts w:ascii="Arial" w:eastAsia="Arial" w:hAnsi="Arial" w:cs="Arial"/>
                <w:b/>
                <w:color w:val="000000"/>
                <w:sz w:val="16"/>
                <w:vertAlign w:val="superscript"/>
              </w:rPr>
            </w:pPr>
            <w:r w:rsidRPr="009C295F">
              <w:rPr>
                <w:rFonts w:ascii="Arial" w:eastAsia="Arial" w:hAnsi="Arial" w:cs="Arial"/>
                <w:b/>
                <w:color w:val="000000"/>
                <w:sz w:val="16"/>
              </w:rPr>
              <w:t xml:space="preserve"> 11,689 </w:t>
            </w:r>
          </w:p>
        </w:tc>
        <w:tc>
          <w:tcPr>
            <w:tcW w:w="330"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54C97731" w14:textId="77777777" w:rsidR="003F0EEA" w:rsidRPr="009C295F" w:rsidRDefault="00FB7D0B">
            <w:pPr>
              <w:rPr>
                <w:rFonts w:ascii="Arial" w:eastAsia="Arial" w:hAnsi="Arial" w:cs="Arial"/>
                <w:b/>
                <w:color w:val="000000"/>
                <w:sz w:val="16"/>
              </w:rPr>
            </w:pPr>
            <w:r w:rsidRPr="009C295F">
              <w:rPr>
                <w:rFonts w:ascii="Arial" w:eastAsia="Arial" w:hAnsi="Arial" w:cs="Arial"/>
                <w:b/>
                <w:color w:val="000000"/>
                <w:sz w:val="16"/>
              </w:rPr>
              <w:t xml:space="preserve"> </w:t>
            </w:r>
          </w:p>
        </w:tc>
        <w:tc>
          <w:tcPr>
            <w:tcW w:w="1080"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4FEE71F6" w14:textId="77777777" w:rsidR="003F0EEA" w:rsidRPr="009C295F" w:rsidRDefault="00FB7D0B">
            <w:pPr>
              <w:jc w:val="right"/>
              <w:rPr>
                <w:rFonts w:ascii="Arial" w:eastAsia="Arial" w:hAnsi="Arial" w:cs="Arial"/>
                <w:b/>
                <w:color w:val="000000"/>
                <w:sz w:val="16"/>
              </w:rPr>
            </w:pPr>
            <w:r w:rsidRPr="009C295F">
              <w:rPr>
                <w:rFonts w:ascii="Arial" w:eastAsia="Arial" w:hAnsi="Arial" w:cs="Arial"/>
                <w:b/>
                <w:color w:val="000000"/>
                <w:sz w:val="16"/>
              </w:rPr>
              <w:t xml:space="preserve"> 479,096 </w:t>
            </w:r>
          </w:p>
        </w:tc>
        <w:tc>
          <w:tcPr>
            <w:tcW w:w="300"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0996B812" w14:textId="77777777" w:rsidR="003F0EEA" w:rsidRPr="009C295F" w:rsidRDefault="00FB7D0B">
            <w:pPr>
              <w:rPr>
                <w:rFonts w:ascii="Arial" w:eastAsia="Arial" w:hAnsi="Arial" w:cs="Arial"/>
                <w:b/>
                <w:color w:val="000000"/>
                <w:sz w:val="16"/>
              </w:rPr>
            </w:pPr>
            <w:r w:rsidRPr="009C295F">
              <w:rPr>
                <w:rFonts w:ascii="Arial" w:eastAsia="Arial" w:hAnsi="Arial" w:cs="Arial"/>
                <w:b/>
                <w:color w:val="000000"/>
                <w:sz w:val="16"/>
              </w:rPr>
              <w:t xml:space="preserve"> </w:t>
            </w:r>
          </w:p>
        </w:tc>
        <w:tc>
          <w:tcPr>
            <w:tcW w:w="1080" w:type="dxa"/>
            <w:tcBorders>
              <w:top w:val="nil"/>
              <w:left w:val="nil"/>
              <w:bottom w:val="single" w:sz="6" w:space="0" w:color="000000"/>
              <w:right w:val="nil"/>
              <w:tl2br w:val="nil"/>
              <w:tr2bl w:val="nil"/>
            </w:tcBorders>
            <w:shd w:val="clear" w:color="auto" w:fill="FFFF00"/>
            <w:tcMar>
              <w:left w:w="115" w:type="dxa"/>
              <w:right w:w="115" w:type="dxa"/>
            </w:tcMar>
            <w:vAlign w:val="bottom"/>
          </w:tcPr>
          <w:p w14:paraId="76204BE0" w14:textId="77777777" w:rsidR="003F0EEA" w:rsidRPr="009C295F" w:rsidRDefault="00FB7D0B">
            <w:pPr>
              <w:jc w:val="right"/>
              <w:rPr>
                <w:rFonts w:ascii="Arial" w:eastAsia="Arial" w:hAnsi="Arial" w:cs="Arial"/>
                <w:b/>
                <w:color w:val="000000"/>
                <w:sz w:val="16"/>
              </w:rPr>
            </w:pPr>
            <w:r w:rsidRPr="009C295F">
              <w:rPr>
                <w:rFonts w:ascii="Arial" w:eastAsia="Arial" w:hAnsi="Arial" w:cs="Arial"/>
                <w:b/>
                <w:color w:val="000000"/>
                <w:sz w:val="16"/>
              </w:rPr>
              <w:t xml:space="preserve"> 490,785 </w:t>
            </w:r>
          </w:p>
        </w:tc>
        <w:tc>
          <w:tcPr>
            <w:tcW w:w="1230"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500BB933" w14:textId="77777777" w:rsidR="003F0EEA" w:rsidRPr="009C295F" w:rsidRDefault="00FB7D0B">
            <w:pPr>
              <w:jc w:val="right"/>
              <w:rPr>
                <w:rFonts w:ascii="Arial" w:eastAsia="Arial" w:hAnsi="Arial" w:cs="Arial"/>
                <w:b/>
                <w:color w:val="000000"/>
                <w:sz w:val="16"/>
              </w:rPr>
            </w:pPr>
            <w:r w:rsidRPr="009C295F">
              <w:rPr>
                <w:rFonts w:ascii="Arial" w:eastAsia="Arial" w:hAnsi="Arial" w:cs="Arial"/>
                <w:b/>
                <w:color w:val="000000"/>
                <w:sz w:val="16"/>
              </w:rPr>
              <w:t xml:space="preserve"> 492,465 </w:t>
            </w:r>
          </w:p>
        </w:tc>
      </w:tr>
      <w:tr w:rsidR="00FB7D0B" w14:paraId="5D6DBE5B" w14:textId="77777777" w:rsidTr="00FB7D0B">
        <w:trPr>
          <w:trHeight w:val="225"/>
        </w:trPr>
        <w:tc>
          <w:tcPr>
            <w:tcW w:w="180" w:type="dxa"/>
            <w:tcBorders>
              <w:top w:val="nil"/>
              <w:left w:val="nil"/>
              <w:bottom w:val="nil"/>
              <w:right w:val="nil"/>
              <w:tl2br w:val="nil"/>
              <w:tr2bl w:val="nil"/>
            </w:tcBorders>
            <w:shd w:val="clear" w:color="auto" w:fill="FFFFFF"/>
            <w:tcMar>
              <w:left w:w="115" w:type="dxa"/>
              <w:right w:w="115" w:type="dxa"/>
            </w:tcMar>
            <w:vAlign w:val="bottom"/>
          </w:tcPr>
          <w:p w14:paraId="04B66711" w14:textId="77777777" w:rsidR="003F0EEA" w:rsidRPr="009C295F" w:rsidRDefault="003F0EEA">
            <w:pPr>
              <w:rPr>
                <w:rFonts w:ascii="Arial" w:eastAsia="Arial" w:hAnsi="Arial" w:cs="Arial"/>
                <w:b/>
                <w:color w:val="000000"/>
                <w:sz w:val="16"/>
              </w:rPr>
            </w:pPr>
          </w:p>
        </w:tc>
        <w:tc>
          <w:tcPr>
            <w:tcW w:w="180" w:type="dxa"/>
            <w:tcBorders>
              <w:top w:val="nil"/>
              <w:left w:val="nil"/>
              <w:bottom w:val="nil"/>
              <w:right w:val="nil"/>
              <w:tl2br w:val="nil"/>
              <w:tr2bl w:val="nil"/>
            </w:tcBorders>
            <w:shd w:val="clear" w:color="auto" w:fill="FFFFFF"/>
            <w:tcMar>
              <w:left w:w="115" w:type="dxa"/>
              <w:right w:w="115" w:type="dxa"/>
            </w:tcMar>
            <w:vAlign w:val="bottom"/>
          </w:tcPr>
          <w:p w14:paraId="649C9944" w14:textId="77777777" w:rsidR="003F0EEA" w:rsidRPr="009C295F" w:rsidRDefault="003F0EEA">
            <w:pPr>
              <w:rPr>
                <w:rFonts w:ascii="Arial" w:eastAsia="Arial" w:hAnsi="Arial" w:cs="Arial"/>
                <w:color w:val="000000"/>
                <w:sz w:val="16"/>
              </w:rPr>
            </w:pPr>
          </w:p>
        </w:tc>
        <w:tc>
          <w:tcPr>
            <w:tcW w:w="2520" w:type="dxa"/>
            <w:tcBorders>
              <w:top w:val="nil"/>
              <w:left w:val="nil"/>
              <w:bottom w:val="nil"/>
              <w:right w:val="nil"/>
              <w:tl2br w:val="nil"/>
              <w:tr2bl w:val="nil"/>
            </w:tcBorders>
            <w:shd w:val="clear" w:color="auto" w:fill="FFFFFF"/>
            <w:tcMar>
              <w:left w:w="115" w:type="dxa"/>
              <w:right w:w="115" w:type="dxa"/>
            </w:tcMar>
            <w:vAlign w:val="bottom"/>
          </w:tcPr>
          <w:p w14:paraId="66B0B857" w14:textId="77777777" w:rsidR="003F0EEA" w:rsidRPr="009C295F" w:rsidRDefault="003F0EEA">
            <w:pPr>
              <w:rPr>
                <w:rFonts w:ascii="Arial" w:eastAsia="Arial" w:hAnsi="Arial" w:cs="Arial"/>
                <w:color w:val="000000"/>
                <w:sz w:val="16"/>
              </w:rPr>
            </w:pPr>
          </w:p>
        </w:tc>
        <w:tc>
          <w:tcPr>
            <w:tcW w:w="360" w:type="dxa"/>
            <w:tcBorders>
              <w:top w:val="nil"/>
              <w:left w:val="nil"/>
              <w:bottom w:val="nil"/>
              <w:right w:val="nil"/>
              <w:tl2br w:val="nil"/>
              <w:tr2bl w:val="nil"/>
            </w:tcBorders>
            <w:shd w:val="clear" w:color="auto" w:fill="FFFFFF"/>
            <w:tcMar>
              <w:left w:w="115" w:type="dxa"/>
              <w:right w:w="115" w:type="dxa"/>
            </w:tcMar>
            <w:vAlign w:val="bottom"/>
          </w:tcPr>
          <w:p w14:paraId="249CDE5D" w14:textId="77777777" w:rsidR="003F0EEA" w:rsidRPr="009C295F" w:rsidRDefault="003F0EEA">
            <w:pPr>
              <w:jc w:val="center"/>
              <w:rPr>
                <w:rFonts w:ascii="Arial" w:eastAsia="Arial" w:hAnsi="Arial" w:cs="Arial"/>
                <w:b/>
                <w:color w:val="000000"/>
                <w:sz w:val="16"/>
                <w:vertAlign w:val="superscript"/>
              </w:rPr>
            </w:pPr>
          </w:p>
        </w:tc>
        <w:tc>
          <w:tcPr>
            <w:tcW w:w="1230" w:type="dxa"/>
            <w:tcBorders>
              <w:top w:val="nil"/>
              <w:left w:val="nil"/>
              <w:bottom w:val="nil"/>
              <w:right w:val="nil"/>
              <w:tl2br w:val="nil"/>
              <w:tr2bl w:val="nil"/>
            </w:tcBorders>
            <w:shd w:val="clear" w:color="auto" w:fill="FFFFFF"/>
            <w:tcMar>
              <w:left w:w="115" w:type="dxa"/>
              <w:right w:w="115" w:type="dxa"/>
            </w:tcMar>
            <w:vAlign w:val="bottom"/>
          </w:tcPr>
          <w:p w14:paraId="310B59D2" w14:textId="77777777" w:rsidR="003F0EEA" w:rsidRPr="009C295F" w:rsidRDefault="003F0EEA">
            <w:pPr>
              <w:jc w:val="right"/>
              <w:rPr>
                <w:rFonts w:ascii="Arial" w:eastAsia="Arial" w:hAnsi="Arial" w:cs="Arial"/>
                <w:b/>
                <w:color w:val="000000"/>
                <w:sz w:val="16"/>
                <w:vertAlign w:val="superscript"/>
              </w:rPr>
            </w:pPr>
          </w:p>
        </w:tc>
        <w:tc>
          <w:tcPr>
            <w:tcW w:w="330" w:type="dxa"/>
            <w:tcBorders>
              <w:top w:val="nil"/>
              <w:left w:val="nil"/>
              <w:bottom w:val="nil"/>
              <w:right w:val="nil"/>
              <w:tl2br w:val="nil"/>
              <w:tr2bl w:val="nil"/>
            </w:tcBorders>
            <w:shd w:val="clear" w:color="auto" w:fill="FFFFFF"/>
            <w:tcMar>
              <w:left w:w="115" w:type="dxa"/>
              <w:right w:w="115" w:type="dxa"/>
            </w:tcMar>
            <w:vAlign w:val="bottom"/>
          </w:tcPr>
          <w:p w14:paraId="1B81A46F" w14:textId="77777777" w:rsidR="003F0EEA" w:rsidRPr="009C295F" w:rsidRDefault="00FB7D0B">
            <w:pPr>
              <w:rPr>
                <w:rFonts w:ascii="Arial" w:eastAsia="Arial" w:hAnsi="Arial" w:cs="Arial"/>
                <w:b/>
                <w:color w:val="000000"/>
                <w:sz w:val="16"/>
                <w:vertAlign w:val="superscript"/>
              </w:rPr>
            </w:pPr>
            <w:r w:rsidRPr="009C295F">
              <w:rPr>
                <w:rFonts w:ascii="Arial" w:eastAsia="Arial" w:hAnsi="Arial" w:cs="Arial"/>
                <w:b/>
                <w:color w:val="000000"/>
                <w:sz w:val="16"/>
              </w:rPr>
              <w:t xml:space="preserve"> </w:t>
            </w:r>
          </w:p>
        </w:tc>
        <w:tc>
          <w:tcPr>
            <w:tcW w:w="1080" w:type="dxa"/>
            <w:tcBorders>
              <w:top w:val="nil"/>
              <w:left w:val="nil"/>
              <w:bottom w:val="nil"/>
              <w:right w:val="nil"/>
              <w:tl2br w:val="nil"/>
              <w:tr2bl w:val="nil"/>
            </w:tcBorders>
            <w:shd w:val="clear" w:color="auto" w:fill="FFFFFF"/>
            <w:tcMar>
              <w:left w:w="115" w:type="dxa"/>
              <w:right w:w="115" w:type="dxa"/>
            </w:tcMar>
            <w:vAlign w:val="bottom"/>
          </w:tcPr>
          <w:p w14:paraId="578DF351" w14:textId="77777777" w:rsidR="003F0EEA" w:rsidRPr="009C295F" w:rsidRDefault="003F0EEA">
            <w:pPr>
              <w:rPr>
                <w:rFonts w:ascii="Arial" w:eastAsia="Arial" w:hAnsi="Arial" w:cs="Arial"/>
                <w:b/>
                <w:color w:val="000000"/>
                <w:sz w:val="16"/>
              </w:rPr>
            </w:pPr>
          </w:p>
        </w:tc>
        <w:tc>
          <w:tcPr>
            <w:tcW w:w="300" w:type="dxa"/>
            <w:tcBorders>
              <w:top w:val="nil"/>
              <w:left w:val="nil"/>
              <w:bottom w:val="nil"/>
              <w:right w:val="nil"/>
              <w:tl2br w:val="nil"/>
              <w:tr2bl w:val="nil"/>
            </w:tcBorders>
            <w:shd w:val="clear" w:color="auto" w:fill="FFFFFF"/>
            <w:tcMar>
              <w:left w:w="115" w:type="dxa"/>
              <w:right w:w="115" w:type="dxa"/>
            </w:tcMar>
            <w:vAlign w:val="bottom"/>
          </w:tcPr>
          <w:p w14:paraId="7BBC3EB7" w14:textId="77777777" w:rsidR="003F0EEA" w:rsidRPr="009C295F" w:rsidRDefault="00FB7D0B">
            <w:pPr>
              <w:rPr>
                <w:rFonts w:ascii="Arial" w:eastAsia="Arial" w:hAnsi="Arial" w:cs="Arial"/>
                <w:b/>
                <w:color w:val="000000"/>
                <w:sz w:val="16"/>
              </w:rPr>
            </w:pPr>
            <w:r w:rsidRPr="009C295F">
              <w:rPr>
                <w:rFonts w:ascii="Arial" w:eastAsia="Arial" w:hAnsi="Arial" w:cs="Arial"/>
                <w:b/>
                <w:color w:val="000000"/>
                <w:sz w:val="16"/>
              </w:rPr>
              <w:t xml:space="preserve"> </w:t>
            </w:r>
          </w:p>
        </w:tc>
        <w:tc>
          <w:tcPr>
            <w:tcW w:w="2310" w:type="dxa"/>
            <w:gridSpan w:val="2"/>
            <w:tcBorders>
              <w:top w:val="nil"/>
              <w:left w:val="nil"/>
              <w:bottom w:val="nil"/>
              <w:right w:val="nil"/>
              <w:tl2br w:val="nil"/>
              <w:tr2bl w:val="nil"/>
            </w:tcBorders>
            <w:shd w:val="clear" w:color="auto" w:fill="FFFFFF"/>
            <w:tcMar>
              <w:left w:w="115" w:type="dxa"/>
              <w:right w:w="115" w:type="dxa"/>
            </w:tcMar>
            <w:vAlign w:val="bottom"/>
          </w:tcPr>
          <w:p w14:paraId="7FBEFFF1" w14:textId="77777777" w:rsidR="003F0EEA" w:rsidRPr="009C295F" w:rsidRDefault="00FB7D0B">
            <w:pPr>
              <w:jc w:val="right"/>
              <w:rPr>
                <w:rFonts w:ascii="Arial" w:eastAsia="Arial" w:hAnsi="Arial" w:cs="Arial"/>
                <w:b/>
                <w:color w:val="000000"/>
                <w:sz w:val="16"/>
              </w:rPr>
            </w:pPr>
            <w:r w:rsidRPr="009C295F">
              <w:rPr>
                <w:rFonts w:ascii="Arial" w:eastAsia="Arial" w:hAnsi="Arial" w:cs="Arial"/>
                <w:color w:val="000000"/>
                <w:sz w:val="16"/>
              </w:rPr>
              <w:t>Continued on next page</w:t>
            </w:r>
          </w:p>
        </w:tc>
      </w:tr>
    </w:tbl>
    <w:p w14:paraId="562C81FF" w14:textId="77777777" w:rsidR="003F0EEA" w:rsidRPr="009C295F" w:rsidRDefault="00FB7D0B">
      <w:pPr>
        <w:spacing w:line="14" w:lineRule="exact"/>
        <w:rPr>
          <w:rFonts w:ascii="Arial" w:hAnsi="Arial" w:cs="Arial"/>
        </w:rPr>
      </w:pPr>
      <w:r w:rsidRPr="009C295F">
        <w:rPr>
          <w:rFonts w:ascii="Arial" w:hAnsi="Arial" w:cs="Arial"/>
        </w:rPr>
        <w:br w:type="page"/>
      </w:r>
    </w:p>
    <w:p w14:paraId="048404C8" w14:textId="77777777" w:rsidR="003F0EEA" w:rsidRDefault="00FB7D0B" w:rsidP="003F0EEA">
      <w:pPr>
        <w:pStyle w:val="TableHeading0"/>
      </w:pPr>
      <w:r>
        <w:t xml:space="preserve">Table 1.1: Department of Veterans' Affairs Resource Statement – Budget </w:t>
      </w:r>
    </w:p>
    <w:p w14:paraId="57B82AC5" w14:textId="77777777" w:rsidR="003F0EEA" w:rsidRDefault="00FB7D0B" w:rsidP="003F0EEA">
      <w:pPr>
        <w:pStyle w:val="TableHeadingcontinued0"/>
        <w:spacing w:before="0" w:after="0"/>
        <w:rPr>
          <w:rFonts w:ascii="Arial" w:hAnsi="Arial" w:cs="Arial"/>
        </w:rPr>
      </w:pPr>
      <w:r>
        <w:rPr>
          <w:rFonts w:ascii="Arial" w:hAnsi="Arial" w:cs="Arial"/>
        </w:rPr>
        <w:t xml:space="preserve">Estimates for 2014-15 as at Budget May 2014 </w:t>
      </w:r>
      <w:r>
        <w:t>(continued)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0"/>
        <w:gridCol w:w="250"/>
        <w:gridCol w:w="2520"/>
        <w:gridCol w:w="360"/>
        <w:gridCol w:w="1230"/>
        <w:gridCol w:w="330"/>
        <w:gridCol w:w="1080"/>
        <w:gridCol w:w="300"/>
        <w:gridCol w:w="1080"/>
        <w:gridCol w:w="1230"/>
      </w:tblGrid>
      <w:tr w:rsidR="00FB7D0B" w14:paraId="460E907D" w14:textId="77777777" w:rsidTr="00FB7D0B">
        <w:trPr>
          <w:trHeight w:val="225"/>
        </w:trPr>
        <w:tc>
          <w:tcPr>
            <w:tcW w:w="2880" w:type="dxa"/>
            <w:gridSpan w:val="3"/>
            <w:tcBorders>
              <w:top w:val="nil"/>
              <w:left w:val="nil"/>
              <w:bottom w:val="single" w:sz="6" w:space="0" w:color="000000"/>
              <w:right w:val="nil"/>
              <w:tl2br w:val="nil"/>
              <w:tr2bl w:val="nil"/>
            </w:tcBorders>
            <w:shd w:val="clear" w:color="auto" w:fill="FFFFFF"/>
            <w:tcMar>
              <w:left w:w="115" w:type="dxa"/>
              <w:right w:w="115" w:type="dxa"/>
            </w:tcMar>
            <w:vAlign w:val="bottom"/>
          </w:tcPr>
          <w:p w14:paraId="4F4DB7A9" w14:textId="77777777" w:rsidR="003F0EEA" w:rsidRDefault="00FB7D0B">
            <w:pPr>
              <w:rPr>
                <w:rFonts w:ascii="Arial" w:eastAsia="Times New Roman" w:hAnsi="Arial" w:cs="Arial"/>
              </w:rPr>
            </w:pPr>
            <w:r>
              <w:rPr>
                <w:rFonts w:ascii="Arial" w:eastAsia="Arial" w:hAnsi="Arial" w:cs="Arial"/>
                <w:b/>
                <w:color w:val="000000"/>
                <w:sz w:val="16"/>
              </w:rPr>
              <w:t>Special appropriations</w:t>
            </w:r>
          </w:p>
        </w:tc>
        <w:tc>
          <w:tcPr>
            <w:tcW w:w="360"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738B9E0A" w14:textId="77777777" w:rsidR="003F0EEA" w:rsidRDefault="003F0EEA">
            <w:pPr>
              <w:jc w:val="center"/>
              <w:rPr>
                <w:rFonts w:ascii="Arial" w:eastAsia="Arial" w:hAnsi="Arial" w:cs="Arial"/>
                <w:b/>
                <w:color w:val="000000"/>
                <w:sz w:val="16"/>
                <w:vertAlign w:val="superscript"/>
              </w:rPr>
            </w:pPr>
          </w:p>
        </w:tc>
        <w:tc>
          <w:tcPr>
            <w:tcW w:w="1230"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4E3AE90E" w14:textId="77777777" w:rsidR="003F0EEA" w:rsidRDefault="003F0EEA">
            <w:pPr>
              <w:jc w:val="right"/>
              <w:rPr>
                <w:rFonts w:ascii="Arial" w:eastAsia="Arial" w:hAnsi="Arial" w:cs="Arial"/>
                <w:b/>
                <w:color w:val="000000"/>
                <w:sz w:val="16"/>
                <w:vertAlign w:val="superscript"/>
              </w:rPr>
            </w:pPr>
          </w:p>
        </w:tc>
        <w:tc>
          <w:tcPr>
            <w:tcW w:w="330"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450BAF01" w14:textId="77777777" w:rsidR="003F0EEA" w:rsidRDefault="00FB7D0B">
            <w:pPr>
              <w:rPr>
                <w:rFonts w:ascii="Arial" w:eastAsia="Arial" w:hAnsi="Arial" w:cs="Arial"/>
                <w:color w:val="000000"/>
                <w:sz w:val="16"/>
                <w:vertAlign w:val="superscript"/>
              </w:rPr>
            </w:pPr>
            <w:r>
              <w:rPr>
                <w:rFonts w:ascii="Arial" w:eastAsia="Arial" w:hAnsi="Arial" w:cs="Arial"/>
                <w:color w:val="000000"/>
                <w:sz w:val="16"/>
              </w:rPr>
              <w:t xml:space="preserve"> </w:t>
            </w:r>
          </w:p>
        </w:tc>
        <w:tc>
          <w:tcPr>
            <w:tcW w:w="1080"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6C4588EF" w14:textId="77777777" w:rsidR="003F0EEA" w:rsidRDefault="003F0EEA">
            <w:pPr>
              <w:rPr>
                <w:rFonts w:ascii="Arial" w:eastAsia="Arial" w:hAnsi="Arial" w:cs="Arial"/>
                <w:color w:val="000000"/>
                <w:sz w:val="16"/>
              </w:rPr>
            </w:pPr>
          </w:p>
        </w:tc>
        <w:tc>
          <w:tcPr>
            <w:tcW w:w="300"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42A33548" w14:textId="77777777" w:rsidR="003F0EEA" w:rsidRDefault="00FB7D0B">
            <w:pPr>
              <w:rPr>
                <w:rFonts w:ascii="Arial" w:eastAsia="Arial" w:hAnsi="Arial" w:cs="Arial"/>
                <w:color w:val="000000"/>
                <w:sz w:val="16"/>
              </w:rPr>
            </w:pPr>
            <w:r>
              <w:rPr>
                <w:rFonts w:ascii="Arial" w:eastAsia="Arial" w:hAnsi="Arial" w:cs="Arial"/>
                <w:color w:val="000000"/>
                <w:sz w:val="16"/>
              </w:rPr>
              <w:t xml:space="preserve"> </w:t>
            </w:r>
          </w:p>
        </w:tc>
        <w:tc>
          <w:tcPr>
            <w:tcW w:w="1080" w:type="dxa"/>
            <w:tcBorders>
              <w:top w:val="nil"/>
              <w:left w:val="nil"/>
              <w:bottom w:val="single" w:sz="6" w:space="0" w:color="000000"/>
              <w:right w:val="nil"/>
              <w:tl2br w:val="nil"/>
              <w:tr2bl w:val="nil"/>
            </w:tcBorders>
            <w:shd w:val="clear" w:color="auto" w:fill="FFFFFF"/>
            <w:tcMar>
              <w:left w:w="115" w:type="dxa"/>
              <w:right w:w="115" w:type="dxa"/>
            </w:tcMar>
          </w:tcPr>
          <w:p w14:paraId="0A3FD9C2" w14:textId="77777777" w:rsidR="003F0EEA" w:rsidRDefault="003F0EEA">
            <w:pPr>
              <w:jc w:val="right"/>
              <w:rPr>
                <w:rFonts w:ascii="Arial" w:eastAsia="Arial" w:hAnsi="Arial" w:cs="Arial"/>
                <w:color w:val="000000"/>
                <w:sz w:val="16"/>
              </w:rPr>
            </w:pPr>
          </w:p>
        </w:tc>
        <w:tc>
          <w:tcPr>
            <w:tcW w:w="1230"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4E91AFB5" w14:textId="77777777" w:rsidR="003F0EEA" w:rsidRDefault="003F0EEA">
            <w:pPr>
              <w:jc w:val="right"/>
              <w:rPr>
                <w:rFonts w:ascii="Arial" w:eastAsia="Arial" w:hAnsi="Arial" w:cs="Arial"/>
                <w:b/>
                <w:color w:val="000000"/>
                <w:sz w:val="16"/>
              </w:rPr>
            </w:pPr>
          </w:p>
        </w:tc>
      </w:tr>
      <w:tr w:rsidR="00724034" w14:paraId="3E916EBE" w14:textId="77777777">
        <w:trPr>
          <w:trHeight w:val="225"/>
        </w:trPr>
        <w:tc>
          <w:tcPr>
            <w:tcW w:w="180"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37C9EE2B" w14:textId="77777777" w:rsidR="003F0EEA" w:rsidRDefault="003F0EEA">
            <w:pPr>
              <w:rPr>
                <w:rFonts w:ascii="Arial" w:eastAsia="Arial" w:hAnsi="Arial" w:cs="Arial"/>
                <w:color w:val="000000"/>
                <w:sz w:val="16"/>
              </w:rPr>
            </w:pPr>
          </w:p>
        </w:tc>
        <w:tc>
          <w:tcPr>
            <w:tcW w:w="180"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58C2AA88" w14:textId="77777777" w:rsidR="003F0EEA" w:rsidRDefault="003F0EEA">
            <w:pPr>
              <w:rPr>
                <w:rFonts w:ascii="Arial" w:eastAsia="Arial" w:hAnsi="Arial" w:cs="Arial"/>
                <w:color w:val="000000"/>
                <w:sz w:val="16"/>
              </w:rPr>
            </w:pPr>
          </w:p>
        </w:tc>
        <w:tc>
          <w:tcPr>
            <w:tcW w:w="2520"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3F15051D" w14:textId="77777777" w:rsidR="003F0EEA" w:rsidRDefault="003F0EEA">
            <w:pPr>
              <w:rPr>
                <w:rFonts w:ascii="Arial" w:eastAsia="Arial" w:hAnsi="Arial" w:cs="Arial"/>
                <w:color w:val="000000"/>
                <w:sz w:val="16"/>
              </w:rPr>
            </w:pPr>
          </w:p>
        </w:tc>
        <w:tc>
          <w:tcPr>
            <w:tcW w:w="360"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2471FDFB" w14:textId="77777777" w:rsidR="003F0EEA" w:rsidRDefault="003F0EEA">
            <w:pPr>
              <w:jc w:val="center"/>
              <w:rPr>
                <w:rFonts w:ascii="Arial" w:eastAsia="Arial" w:hAnsi="Arial" w:cs="Arial"/>
                <w:b/>
                <w:color w:val="000000"/>
                <w:sz w:val="16"/>
                <w:vertAlign w:val="superscript"/>
              </w:rPr>
            </w:pPr>
          </w:p>
        </w:tc>
        <w:tc>
          <w:tcPr>
            <w:tcW w:w="1230"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442954DC" w14:textId="77777777" w:rsidR="003F0EEA" w:rsidRDefault="00FB7D0B">
            <w:pPr>
              <w:jc w:val="right"/>
              <w:rPr>
                <w:rFonts w:ascii="Arial" w:eastAsia="Arial" w:hAnsi="Arial" w:cs="Arial"/>
                <w:b/>
                <w:color w:val="000000"/>
                <w:sz w:val="16"/>
                <w:vertAlign w:val="superscript"/>
              </w:rPr>
            </w:pPr>
            <w:r>
              <w:rPr>
                <w:rFonts w:ascii="Arial" w:eastAsia="Arial" w:hAnsi="Arial" w:cs="Arial"/>
                <w:color w:val="000000"/>
                <w:sz w:val="16"/>
              </w:rPr>
              <w:t>Estimate</w:t>
            </w:r>
          </w:p>
        </w:tc>
        <w:tc>
          <w:tcPr>
            <w:tcW w:w="330"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00A94B20" w14:textId="77777777" w:rsidR="003F0EEA" w:rsidRDefault="003F0EEA">
            <w:pPr>
              <w:rPr>
                <w:rFonts w:ascii="Arial" w:eastAsia="Arial" w:hAnsi="Arial" w:cs="Arial"/>
                <w:color w:val="000000"/>
                <w:sz w:val="16"/>
              </w:rPr>
            </w:pPr>
          </w:p>
        </w:tc>
        <w:tc>
          <w:tcPr>
            <w:tcW w:w="1080"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79B3BDDF" w14:textId="77777777" w:rsidR="003F0EEA" w:rsidRDefault="00FB7D0B">
            <w:pPr>
              <w:jc w:val="right"/>
              <w:rPr>
                <w:rFonts w:ascii="Arial" w:eastAsia="Arial" w:hAnsi="Arial" w:cs="Arial"/>
                <w:color w:val="000000"/>
                <w:sz w:val="16"/>
              </w:rPr>
            </w:pPr>
            <w:r>
              <w:rPr>
                <w:rFonts w:ascii="Arial" w:eastAsia="Arial" w:hAnsi="Arial" w:cs="Arial"/>
                <w:color w:val="000000"/>
                <w:sz w:val="16"/>
              </w:rPr>
              <w:t>Proposed</w:t>
            </w:r>
          </w:p>
        </w:tc>
        <w:tc>
          <w:tcPr>
            <w:tcW w:w="300"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7F881D81" w14:textId="77777777" w:rsidR="003F0EEA" w:rsidRDefault="00FB7D0B">
            <w:pPr>
              <w:rPr>
                <w:rFonts w:ascii="Arial" w:eastAsia="Arial" w:hAnsi="Arial" w:cs="Arial"/>
                <w:color w:val="000000"/>
                <w:sz w:val="16"/>
              </w:rPr>
            </w:pPr>
            <w:r>
              <w:rPr>
                <w:rFonts w:ascii="Arial" w:eastAsia="Arial" w:hAnsi="Arial" w:cs="Arial"/>
                <w:color w:val="000000"/>
                <w:sz w:val="16"/>
              </w:rPr>
              <w:t xml:space="preserve"> </w:t>
            </w:r>
          </w:p>
        </w:tc>
        <w:tc>
          <w:tcPr>
            <w:tcW w:w="1080" w:type="dxa"/>
            <w:tcBorders>
              <w:top w:val="single" w:sz="6" w:space="0" w:color="000000"/>
              <w:left w:val="nil"/>
              <w:bottom w:val="nil"/>
              <w:right w:val="nil"/>
              <w:tl2br w:val="nil"/>
              <w:tr2bl w:val="nil"/>
            </w:tcBorders>
            <w:shd w:val="clear" w:color="auto" w:fill="FFFF00"/>
            <w:tcMar>
              <w:left w:w="115" w:type="dxa"/>
              <w:right w:w="115" w:type="dxa"/>
            </w:tcMar>
            <w:vAlign w:val="bottom"/>
          </w:tcPr>
          <w:p w14:paraId="23E0CF3B" w14:textId="77777777" w:rsidR="003F0EEA" w:rsidRDefault="00FB7D0B">
            <w:pPr>
              <w:jc w:val="right"/>
              <w:rPr>
                <w:rFonts w:ascii="Arial" w:eastAsia="Arial" w:hAnsi="Arial" w:cs="Arial"/>
                <w:color w:val="000000"/>
                <w:sz w:val="16"/>
              </w:rPr>
            </w:pPr>
            <w:r>
              <w:rPr>
                <w:rFonts w:ascii="Arial" w:eastAsia="Arial" w:hAnsi="Arial" w:cs="Arial"/>
                <w:color w:val="000000"/>
                <w:sz w:val="16"/>
              </w:rPr>
              <w:t xml:space="preserve">Total </w:t>
            </w:r>
          </w:p>
        </w:tc>
        <w:tc>
          <w:tcPr>
            <w:tcW w:w="1230"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027ADD88" w14:textId="77777777" w:rsidR="003F0EEA" w:rsidRDefault="00FB7D0B">
            <w:pPr>
              <w:jc w:val="right"/>
              <w:rPr>
                <w:rFonts w:ascii="Arial" w:eastAsia="Arial" w:hAnsi="Arial" w:cs="Arial"/>
                <w:color w:val="000000"/>
                <w:sz w:val="16"/>
              </w:rPr>
            </w:pPr>
            <w:r>
              <w:rPr>
                <w:rFonts w:ascii="Arial" w:eastAsia="Arial" w:hAnsi="Arial" w:cs="Arial"/>
                <w:color w:val="000000"/>
                <w:sz w:val="16"/>
              </w:rPr>
              <w:t>Actual</w:t>
            </w:r>
          </w:p>
        </w:tc>
      </w:tr>
      <w:tr w:rsidR="00724034" w14:paraId="1C12DB2C" w14:textId="77777777">
        <w:trPr>
          <w:trHeight w:val="225"/>
        </w:trPr>
        <w:tc>
          <w:tcPr>
            <w:tcW w:w="180" w:type="dxa"/>
            <w:tcBorders>
              <w:top w:val="nil"/>
              <w:left w:val="nil"/>
              <w:bottom w:val="nil"/>
              <w:right w:val="nil"/>
              <w:tl2br w:val="nil"/>
              <w:tr2bl w:val="nil"/>
            </w:tcBorders>
            <w:shd w:val="clear" w:color="auto" w:fill="FFFFFF"/>
            <w:tcMar>
              <w:left w:w="115" w:type="dxa"/>
              <w:right w:w="115" w:type="dxa"/>
            </w:tcMar>
            <w:vAlign w:val="bottom"/>
          </w:tcPr>
          <w:p w14:paraId="6C523BAD" w14:textId="77777777" w:rsidR="003F0EEA" w:rsidRDefault="003F0EEA">
            <w:pPr>
              <w:rPr>
                <w:rFonts w:ascii="Arial" w:eastAsia="Arial" w:hAnsi="Arial" w:cs="Arial"/>
                <w:color w:val="000000"/>
                <w:sz w:val="16"/>
              </w:rPr>
            </w:pPr>
          </w:p>
        </w:tc>
        <w:tc>
          <w:tcPr>
            <w:tcW w:w="180" w:type="dxa"/>
            <w:tcBorders>
              <w:top w:val="nil"/>
              <w:left w:val="nil"/>
              <w:bottom w:val="nil"/>
              <w:right w:val="nil"/>
              <w:tl2br w:val="nil"/>
              <w:tr2bl w:val="nil"/>
            </w:tcBorders>
            <w:shd w:val="clear" w:color="auto" w:fill="FFFFFF"/>
            <w:tcMar>
              <w:left w:w="115" w:type="dxa"/>
              <w:right w:w="115" w:type="dxa"/>
            </w:tcMar>
            <w:vAlign w:val="bottom"/>
          </w:tcPr>
          <w:p w14:paraId="29C845B9" w14:textId="77777777" w:rsidR="003F0EEA" w:rsidRDefault="003F0EEA">
            <w:pPr>
              <w:rPr>
                <w:rFonts w:ascii="Arial" w:eastAsia="Arial" w:hAnsi="Arial" w:cs="Arial"/>
                <w:color w:val="000000"/>
                <w:sz w:val="16"/>
              </w:rPr>
            </w:pPr>
          </w:p>
        </w:tc>
        <w:tc>
          <w:tcPr>
            <w:tcW w:w="2520" w:type="dxa"/>
            <w:tcBorders>
              <w:top w:val="nil"/>
              <w:left w:val="nil"/>
              <w:bottom w:val="nil"/>
              <w:right w:val="nil"/>
              <w:tl2br w:val="nil"/>
              <w:tr2bl w:val="nil"/>
            </w:tcBorders>
            <w:shd w:val="clear" w:color="auto" w:fill="FFFFFF"/>
            <w:tcMar>
              <w:left w:w="115" w:type="dxa"/>
              <w:right w:w="115" w:type="dxa"/>
            </w:tcMar>
            <w:vAlign w:val="bottom"/>
          </w:tcPr>
          <w:p w14:paraId="03279703" w14:textId="77777777" w:rsidR="003F0EEA" w:rsidRDefault="003F0EEA">
            <w:pPr>
              <w:rPr>
                <w:rFonts w:ascii="Arial" w:eastAsia="Arial" w:hAnsi="Arial" w:cs="Arial"/>
                <w:color w:val="000000"/>
                <w:sz w:val="16"/>
              </w:rPr>
            </w:pPr>
          </w:p>
        </w:tc>
        <w:tc>
          <w:tcPr>
            <w:tcW w:w="360" w:type="dxa"/>
            <w:tcBorders>
              <w:top w:val="nil"/>
              <w:left w:val="nil"/>
              <w:bottom w:val="nil"/>
              <w:right w:val="nil"/>
              <w:tl2br w:val="nil"/>
              <w:tr2bl w:val="nil"/>
            </w:tcBorders>
            <w:shd w:val="clear" w:color="auto" w:fill="FFFFFF"/>
            <w:tcMar>
              <w:left w:w="115" w:type="dxa"/>
              <w:right w:w="115" w:type="dxa"/>
            </w:tcMar>
            <w:vAlign w:val="bottom"/>
          </w:tcPr>
          <w:p w14:paraId="20D90889" w14:textId="77777777" w:rsidR="003F0EEA" w:rsidRDefault="003F0EEA">
            <w:pPr>
              <w:jc w:val="center"/>
              <w:rPr>
                <w:rFonts w:ascii="Arial" w:eastAsia="Arial" w:hAnsi="Arial" w:cs="Arial"/>
                <w:b/>
                <w:color w:val="000000"/>
                <w:sz w:val="16"/>
                <w:vertAlign w:val="superscript"/>
              </w:rPr>
            </w:pPr>
          </w:p>
        </w:tc>
        <w:tc>
          <w:tcPr>
            <w:tcW w:w="1230" w:type="dxa"/>
            <w:tcBorders>
              <w:top w:val="nil"/>
              <w:left w:val="nil"/>
              <w:bottom w:val="nil"/>
              <w:right w:val="nil"/>
              <w:tl2br w:val="nil"/>
              <w:tr2bl w:val="nil"/>
            </w:tcBorders>
            <w:shd w:val="clear" w:color="auto" w:fill="FFFFFF"/>
            <w:tcMar>
              <w:left w:w="115" w:type="dxa"/>
              <w:right w:w="115" w:type="dxa"/>
            </w:tcMar>
            <w:vAlign w:val="bottom"/>
          </w:tcPr>
          <w:p w14:paraId="41293D53" w14:textId="77777777" w:rsidR="003F0EEA" w:rsidRDefault="00FB7D0B">
            <w:pPr>
              <w:jc w:val="right"/>
              <w:rPr>
                <w:rFonts w:ascii="Arial" w:eastAsia="Arial" w:hAnsi="Arial" w:cs="Arial"/>
                <w:b/>
                <w:color w:val="000000"/>
                <w:sz w:val="16"/>
                <w:vertAlign w:val="superscript"/>
              </w:rPr>
            </w:pPr>
            <w:r>
              <w:rPr>
                <w:rFonts w:ascii="Arial" w:eastAsia="Arial" w:hAnsi="Arial" w:cs="Arial"/>
                <w:color w:val="000000"/>
                <w:sz w:val="16"/>
              </w:rPr>
              <w:t>of prior</w:t>
            </w:r>
          </w:p>
        </w:tc>
        <w:tc>
          <w:tcPr>
            <w:tcW w:w="330" w:type="dxa"/>
            <w:tcBorders>
              <w:top w:val="nil"/>
              <w:left w:val="nil"/>
              <w:bottom w:val="nil"/>
              <w:right w:val="nil"/>
              <w:tl2br w:val="nil"/>
              <w:tr2bl w:val="nil"/>
            </w:tcBorders>
            <w:shd w:val="clear" w:color="auto" w:fill="FFFFFF"/>
            <w:tcMar>
              <w:left w:w="115" w:type="dxa"/>
              <w:right w:w="115" w:type="dxa"/>
            </w:tcMar>
            <w:vAlign w:val="center"/>
          </w:tcPr>
          <w:p w14:paraId="6622638E" w14:textId="77777777" w:rsidR="003F0EEA" w:rsidRDefault="00FB7D0B">
            <w:pPr>
              <w:jc w:val="center"/>
              <w:rPr>
                <w:rFonts w:ascii="Arial" w:eastAsia="Arial" w:hAnsi="Arial" w:cs="Arial"/>
                <w:color w:val="000000"/>
                <w:sz w:val="16"/>
              </w:rPr>
            </w:pPr>
            <w:r>
              <w:rPr>
                <w:rFonts w:ascii="Arial" w:eastAsia="Arial" w:hAnsi="Arial" w:cs="Arial"/>
                <w:color w:val="000000"/>
                <w:sz w:val="16"/>
              </w:rPr>
              <w:t>+</w:t>
            </w:r>
          </w:p>
        </w:tc>
        <w:tc>
          <w:tcPr>
            <w:tcW w:w="1080" w:type="dxa"/>
            <w:tcBorders>
              <w:top w:val="nil"/>
              <w:left w:val="nil"/>
              <w:bottom w:val="nil"/>
              <w:right w:val="nil"/>
              <w:tl2br w:val="nil"/>
              <w:tr2bl w:val="nil"/>
            </w:tcBorders>
            <w:shd w:val="clear" w:color="auto" w:fill="FFFFFF"/>
            <w:tcMar>
              <w:left w:w="115" w:type="dxa"/>
              <w:right w:w="115" w:type="dxa"/>
            </w:tcMar>
            <w:vAlign w:val="bottom"/>
          </w:tcPr>
          <w:p w14:paraId="50522696" w14:textId="77777777" w:rsidR="003F0EEA" w:rsidRDefault="00FB7D0B">
            <w:pPr>
              <w:jc w:val="right"/>
              <w:rPr>
                <w:rFonts w:ascii="Arial" w:eastAsia="Arial" w:hAnsi="Arial" w:cs="Arial"/>
                <w:color w:val="000000"/>
                <w:sz w:val="16"/>
              </w:rPr>
            </w:pPr>
            <w:r>
              <w:rPr>
                <w:rFonts w:ascii="Arial" w:eastAsia="Arial" w:hAnsi="Arial" w:cs="Arial"/>
                <w:color w:val="000000"/>
                <w:sz w:val="16"/>
              </w:rPr>
              <w:t>at Budget</w:t>
            </w:r>
          </w:p>
        </w:tc>
        <w:tc>
          <w:tcPr>
            <w:tcW w:w="300" w:type="dxa"/>
            <w:tcBorders>
              <w:top w:val="nil"/>
              <w:left w:val="nil"/>
              <w:bottom w:val="nil"/>
              <w:right w:val="nil"/>
              <w:tl2br w:val="nil"/>
              <w:tr2bl w:val="nil"/>
            </w:tcBorders>
            <w:shd w:val="clear" w:color="auto" w:fill="FFFFFF"/>
            <w:tcMar>
              <w:left w:w="115" w:type="dxa"/>
              <w:right w:w="115" w:type="dxa"/>
            </w:tcMar>
            <w:vAlign w:val="bottom"/>
          </w:tcPr>
          <w:p w14:paraId="7A9F26D3" w14:textId="77777777" w:rsidR="003F0EEA" w:rsidRDefault="00FB7D0B">
            <w:pPr>
              <w:jc w:val="center"/>
              <w:rPr>
                <w:rFonts w:ascii="Arial" w:eastAsia="Arial" w:hAnsi="Arial" w:cs="Arial"/>
                <w:color w:val="000000"/>
                <w:sz w:val="16"/>
              </w:rPr>
            </w:pPr>
            <w:r>
              <w:rPr>
                <w:rFonts w:ascii="Arial" w:eastAsia="Arial" w:hAnsi="Arial" w:cs="Arial"/>
                <w:color w:val="000000"/>
                <w:sz w:val="16"/>
              </w:rPr>
              <w:t>=</w:t>
            </w:r>
          </w:p>
        </w:tc>
        <w:tc>
          <w:tcPr>
            <w:tcW w:w="1080" w:type="dxa"/>
            <w:tcBorders>
              <w:top w:val="nil"/>
              <w:left w:val="nil"/>
              <w:bottom w:val="nil"/>
              <w:right w:val="nil"/>
              <w:tl2br w:val="nil"/>
              <w:tr2bl w:val="nil"/>
            </w:tcBorders>
            <w:shd w:val="clear" w:color="auto" w:fill="FFFF00"/>
            <w:tcMar>
              <w:left w:w="115" w:type="dxa"/>
              <w:right w:w="115" w:type="dxa"/>
            </w:tcMar>
            <w:vAlign w:val="bottom"/>
          </w:tcPr>
          <w:p w14:paraId="46A160CB" w14:textId="77777777" w:rsidR="003F0EEA" w:rsidRDefault="00FB7D0B">
            <w:pPr>
              <w:jc w:val="right"/>
              <w:rPr>
                <w:rFonts w:ascii="Arial" w:eastAsia="Arial" w:hAnsi="Arial" w:cs="Arial"/>
                <w:color w:val="000000"/>
                <w:sz w:val="16"/>
              </w:rPr>
            </w:pPr>
            <w:r>
              <w:rPr>
                <w:rFonts w:ascii="Arial" w:eastAsia="Arial" w:hAnsi="Arial" w:cs="Arial"/>
                <w:color w:val="000000"/>
                <w:sz w:val="16"/>
              </w:rPr>
              <w:t>estimate</w:t>
            </w:r>
          </w:p>
        </w:tc>
        <w:tc>
          <w:tcPr>
            <w:tcW w:w="1230" w:type="dxa"/>
            <w:tcBorders>
              <w:top w:val="nil"/>
              <w:left w:val="nil"/>
              <w:bottom w:val="nil"/>
              <w:right w:val="nil"/>
              <w:tl2br w:val="nil"/>
              <w:tr2bl w:val="nil"/>
            </w:tcBorders>
            <w:shd w:val="clear" w:color="auto" w:fill="FFFFFF"/>
            <w:tcMar>
              <w:left w:w="115" w:type="dxa"/>
              <w:right w:w="115" w:type="dxa"/>
            </w:tcMar>
            <w:vAlign w:val="bottom"/>
          </w:tcPr>
          <w:p w14:paraId="380B1434" w14:textId="77777777" w:rsidR="003F0EEA" w:rsidRDefault="00FB7D0B">
            <w:pPr>
              <w:jc w:val="right"/>
              <w:rPr>
                <w:rFonts w:ascii="Arial" w:eastAsia="Arial" w:hAnsi="Arial" w:cs="Arial"/>
                <w:color w:val="000000"/>
                <w:sz w:val="16"/>
              </w:rPr>
            </w:pPr>
            <w:r>
              <w:rPr>
                <w:rFonts w:ascii="Arial" w:eastAsia="Arial" w:hAnsi="Arial" w:cs="Arial"/>
                <w:color w:val="000000"/>
                <w:sz w:val="16"/>
              </w:rPr>
              <w:t>available</w:t>
            </w:r>
          </w:p>
        </w:tc>
      </w:tr>
      <w:tr w:rsidR="00724034" w14:paraId="3AB52BEF" w14:textId="77777777">
        <w:trPr>
          <w:trHeight w:val="225"/>
        </w:trPr>
        <w:tc>
          <w:tcPr>
            <w:tcW w:w="180" w:type="dxa"/>
            <w:tcBorders>
              <w:top w:val="nil"/>
              <w:left w:val="nil"/>
              <w:bottom w:val="nil"/>
              <w:right w:val="nil"/>
              <w:tl2br w:val="nil"/>
              <w:tr2bl w:val="nil"/>
            </w:tcBorders>
            <w:shd w:val="clear" w:color="auto" w:fill="FFFFFF"/>
            <w:tcMar>
              <w:left w:w="115" w:type="dxa"/>
              <w:right w:w="115" w:type="dxa"/>
            </w:tcMar>
            <w:vAlign w:val="bottom"/>
          </w:tcPr>
          <w:p w14:paraId="1A6ED704" w14:textId="77777777" w:rsidR="003F0EEA" w:rsidRDefault="003F0EEA">
            <w:pPr>
              <w:rPr>
                <w:rFonts w:ascii="Arial" w:eastAsia="Arial" w:hAnsi="Arial" w:cs="Arial"/>
                <w:color w:val="000000"/>
                <w:sz w:val="16"/>
              </w:rPr>
            </w:pPr>
          </w:p>
        </w:tc>
        <w:tc>
          <w:tcPr>
            <w:tcW w:w="180" w:type="dxa"/>
            <w:tcBorders>
              <w:top w:val="nil"/>
              <w:left w:val="nil"/>
              <w:bottom w:val="nil"/>
              <w:right w:val="nil"/>
              <w:tl2br w:val="nil"/>
              <w:tr2bl w:val="nil"/>
            </w:tcBorders>
            <w:shd w:val="clear" w:color="auto" w:fill="FFFFFF"/>
            <w:tcMar>
              <w:left w:w="115" w:type="dxa"/>
              <w:right w:w="115" w:type="dxa"/>
            </w:tcMar>
            <w:vAlign w:val="bottom"/>
          </w:tcPr>
          <w:p w14:paraId="293B787D" w14:textId="77777777" w:rsidR="003F0EEA" w:rsidRDefault="003F0EEA">
            <w:pPr>
              <w:rPr>
                <w:rFonts w:ascii="Arial" w:eastAsia="Arial" w:hAnsi="Arial" w:cs="Arial"/>
                <w:color w:val="000000"/>
                <w:sz w:val="16"/>
              </w:rPr>
            </w:pPr>
          </w:p>
        </w:tc>
        <w:tc>
          <w:tcPr>
            <w:tcW w:w="2520" w:type="dxa"/>
            <w:tcBorders>
              <w:top w:val="nil"/>
              <w:left w:val="nil"/>
              <w:bottom w:val="nil"/>
              <w:right w:val="nil"/>
              <w:tl2br w:val="nil"/>
              <w:tr2bl w:val="nil"/>
            </w:tcBorders>
            <w:shd w:val="clear" w:color="auto" w:fill="FFFFFF"/>
            <w:tcMar>
              <w:left w:w="115" w:type="dxa"/>
              <w:right w:w="115" w:type="dxa"/>
            </w:tcMar>
            <w:vAlign w:val="bottom"/>
          </w:tcPr>
          <w:p w14:paraId="698A2A8D" w14:textId="77777777" w:rsidR="003F0EEA" w:rsidRDefault="003F0EEA">
            <w:pPr>
              <w:rPr>
                <w:rFonts w:ascii="Arial" w:eastAsia="Arial" w:hAnsi="Arial" w:cs="Arial"/>
                <w:color w:val="000000"/>
                <w:sz w:val="16"/>
              </w:rPr>
            </w:pPr>
          </w:p>
        </w:tc>
        <w:tc>
          <w:tcPr>
            <w:tcW w:w="360" w:type="dxa"/>
            <w:tcBorders>
              <w:top w:val="nil"/>
              <w:left w:val="nil"/>
              <w:bottom w:val="nil"/>
              <w:right w:val="nil"/>
              <w:tl2br w:val="nil"/>
              <w:tr2bl w:val="nil"/>
            </w:tcBorders>
            <w:shd w:val="clear" w:color="auto" w:fill="FFFFFF"/>
            <w:tcMar>
              <w:left w:w="115" w:type="dxa"/>
              <w:right w:w="115" w:type="dxa"/>
            </w:tcMar>
            <w:vAlign w:val="bottom"/>
          </w:tcPr>
          <w:p w14:paraId="748F4693" w14:textId="77777777" w:rsidR="003F0EEA" w:rsidRDefault="003F0EEA">
            <w:pPr>
              <w:jc w:val="center"/>
              <w:rPr>
                <w:rFonts w:ascii="Arial" w:eastAsia="Arial" w:hAnsi="Arial" w:cs="Arial"/>
                <w:b/>
                <w:color w:val="000000"/>
                <w:sz w:val="16"/>
                <w:vertAlign w:val="superscript"/>
              </w:rPr>
            </w:pPr>
          </w:p>
        </w:tc>
        <w:tc>
          <w:tcPr>
            <w:tcW w:w="1230" w:type="dxa"/>
            <w:tcBorders>
              <w:top w:val="nil"/>
              <w:left w:val="nil"/>
              <w:bottom w:val="nil"/>
              <w:right w:val="nil"/>
              <w:tl2br w:val="nil"/>
              <w:tr2bl w:val="nil"/>
            </w:tcBorders>
            <w:shd w:val="clear" w:color="auto" w:fill="FFFFFF"/>
            <w:tcMar>
              <w:left w:w="115" w:type="dxa"/>
              <w:right w:w="115" w:type="dxa"/>
            </w:tcMar>
            <w:vAlign w:val="bottom"/>
          </w:tcPr>
          <w:p w14:paraId="37937010" w14:textId="77777777" w:rsidR="003F0EEA" w:rsidRDefault="00FB7D0B">
            <w:pPr>
              <w:jc w:val="right"/>
              <w:rPr>
                <w:rFonts w:ascii="Arial" w:eastAsia="Arial" w:hAnsi="Arial" w:cs="Arial"/>
                <w:b/>
                <w:color w:val="000000"/>
                <w:sz w:val="16"/>
                <w:vertAlign w:val="superscript"/>
              </w:rPr>
            </w:pPr>
            <w:r>
              <w:rPr>
                <w:rFonts w:ascii="Arial" w:eastAsia="Arial" w:hAnsi="Arial" w:cs="Arial"/>
                <w:color w:val="000000"/>
                <w:sz w:val="16"/>
              </w:rPr>
              <w:t>year amounts</w:t>
            </w:r>
          </w:p>
        </w:tc>
        <w:tc>
          <w:tcPr>
            <w:tcW w:w="330" w:type="dxa"/>
            <w:tcBorders>
              <w:top w:val="nil"/>
              <w:left w:val="nil"/>
              <w:bottom w:val="nil"/>
              <w:right w:val="nil"/>
              <w:tl2br w:val="nil"/>
              <w:tr2bl w:val="nil"/>
            </w:tcBorders>
            <w:shd w:val="clear" w:color="auto" w:fill="FFFFFF"/>
            <w:tcMar>
              <w:left w:w="115" w:type="dxa"/>
              <w:right w:w="115" w:type="dxa"/>
            </w:tcMar>
            <w:vAlign w:val="bottom"/>
          </w:tcPr>
          <w:p w14:paraId="2E3ED6A0" w14:textId="77777777" w:rsidR="003F0EEA" w:rsidRDefault="00FB7D0B">
            <w:pPr>
              <w:rPr>
                <w:rFonts w:ascii="Arial" w:eastAsia="Arial" w:hAnsi="Arial" w:cs="Arial"/>
                <w:color w:val="000000"/>
                <w:sz w:val="16"/>
              </w:rPr>
            </w:pPr>
            <w:r>
              <w:rPr>
                <w:rFonts w:ascii="Arial" w:eastAsia="Arial" w:hAnsi="Arial" w:cs="Arial"/>
                <w:color w:val="000000"/>
                <w:sz w:val="16"/>
              </w:rPr>
              <w:t xml:space="preserve"> </w:t>
            </w:r>
          </w:p>
        </w:tc>
        <w:tc>
          <w:tcPr>
            <w:tcW w:w="1080" w:type="dxa"/>
            <w:tcBorders>
              <w:top w:val="nil"/>
              <w:left w:val="nil"/>
              <w:bottom w:val="nil"/>
              <w:right w:val="nil"/>
              <w:tl2br w:val="nil"/>
              <w:tr2bl w:val="nil"/>
            </w:tcBorders>
            <w:shd w:val="clear" w:color="auto" w:fill="FFFFFF"/>
            <w:tcMar>
              <w:left w:w="115" w:type="dxa"/>
              <w:right w:w="115" w:type="dxa"/>
            </w:tcMar>
            <w:vAlign w:val="bottom"/>
          </w:tcPr>
          <w:p w14:paraId="3BBC9689" w14:textId="77777777" w:rsidR="003F0EEA" w:rsidRDefault="003F0EEA">
            <w:pPr>
              <w:jc w:val="right"/>
              <w:rPr>
                <w:rFonts w:ascii="Arial" w:eastAsia="Arial" w:hAnsi="Arial" w:cs="Arial"/>
                <w:color w:val="000000"/>
                <w:sz w:val="16"/>
              </w:rPr>
            </w:pPr>
          </w:p>
        </w:tc>
        <w:tc>
          <w:tcPr>
            <w:tcW w:w="300" w:type="dxa"/>
            <w:tcBorders>
              <w:top w:val="nil"/>
              <w:left w:val="nil"/>
              <w:bottom w:val="nil"/>
              <w:right w:val="nil"/>
              <w:tl2br w:val="nil"/>
              <w:tr2bl w:val="nil"/>
            </w:tcBorders>
            <w:shd w:val="clear" w:color="auto" w:fill="FFFFFF"/>
            <w:tcMar>
              <w:left w:w="115" w:type="dxa"/>
              <w:right w:w="115" w:type="dxa"/>
            </w:tcMar>
            <w:vAlign w:val="bottom"/>
          </w:tcPr>
          <w:p w14:paraId="4CE7DA83" w14:textId="77777777" w:rsidR="003F0EEA" w:rsidRDefault="00FB7D0B">
            <w:pPr>
              <w:rPr>
                <w:rFonts w:ascii="Arial" w:eastAsia="Arial" w:hAnsi="Arial" w:cs="Arial"/>
                <w:color w:val="000000"/>
                <w:sz w:val="16"/>
              </w:rPr>
            </w:pPr>
            <w:r>
              <w:rPr>
                <w:rFonts w:ascii="Arial" w:eastAsia="Arial" w:hAnsi="Arial" w:cs="Arial"/>
                <w:color w:val="000000"/>
                <w:sz w:val="16"/>
              </w:rPr>
              <w:t xml:space="preserve"> </w:t>
            </w:r>
          </w:p>
        </w:tc>
        <w:tc>
          <w:tcPr>
            <w:tcW w:w="1080" w:type="dxa"/>
            <w:tcBorders>
              <w:top w:val="nil"/>
              <w:left w:val="nil"/>
              <w:bottom w:val="nil"/>
              <w:right w:val="nil"/>
              <w:tl2br w:val="nil"/>
              <w:tr2bl w:val="nil"/>
            </w:tcBorders>
            <w:shd w:val="clear" w:color="auto" w:fill="FFFF00"/>
            <w:tcMar>
              <w:left w:w="115" w:type="dxa"/>
              <w:right w:w="115" w:type="dxa"/>
            </w:tcMar>
            <w:vAlign w:val="bottom"/>
          </w:tcPr>
          <w:p w14:paraId="75B6BE23" w14:textId="77777777" w:rsidR="003F0EEA" w:rsidRDefault="003F0EEA">
            <w:pPr>
              <w:jc w:val="right"/>
              <w:rPr>
                <w:rFonts w:ascii="Arial" w:eastAsia="Arial" w:hAnsi="Arial" w:cs="Arial"/>
                <w:color w:val="000000"/>
                <w:sz w:val="16"/>
              </w:rPr>
            </w:pPr>
          </w:p>
        </w:tc>
        <w:tc>
          <w:tcPr>
            <w:tcW w:w="1230" w:type="dxa"/>
            <w:tcBorders>
              <w:top w:val="nil"/>
              <w:left w:val="nil"/>
              <w:bottom w:val="nil"/>
              <w:right w:val="nil"/>
              <w:tl2br w:val="nil"/>
              <w:tr2bl w:val="nil"/>
            </w:tcBorders>
            <w:shd w:val="clear" w:color="auto" w:fill="FFFFFF"/>
            <w:tcMar>
              <w:left w:w="115" w:type="dxa"/>
              <w:right w:w="115" w:type="dxa"/>
            </w:tcMar>
            <w:vAlign w:val="bottom"/>
          </w:tcPr>
          <w:p w14:paraId="7EA929CA" w14:textId="77777777" w:rsidR="003F0EEA" w:rsidRDefault="00FB7D0B">
            <w:pPr>
              <w:jc w:val="right"/>
              <w:rPr>
                <w:rFonts w:ascii="Arial" w:eastAsia="Arial" w:hAnsi="Arial" w:cs="Arial"/>
                <w:color w:val="000000"/>
                <w:sz w:val="16"/>
              </w:rPr>
            </w:pPr>
            <w:r>
              <w:rPr>
                <w:rFonts w:ascii="Arial" w:eastAsia="Arial" w:hAnsi="Arial" w:cs="Arial"/>
                <w:color w:val="000000"/>
                <w:sz w:val="16"/>
              </w:rPr>
              <w:t>appropriation</w:t>
            </w:r>
          </w:p>
        </w:tc>
      </w:tr>
      <w:tr w:rsidR="00724034" w14:paraId="2A3D4DC0" w14:textId="77777777">
        <w:trPr>
          <w:trHeight w:val="225"/>
        </w:trPr>
        <w:tc>
          <w:tcPr>
            <w:tcW w:w="180" w:type="dxa"/>
            <w:tcBorders>
              <w:top w:val="nil"/>
              <w:left w:val="nil"/>
              <w:bottom w:val="nil"/>
              <w:right w:val="nil"/>
              <w:tl2br w:val="nil"/>
              <w:tr2bl w:val="nil"/>
            </w:tcBorders>
            <w:shd w:val="clear" w:color="auto" w:fill="FFFFFF"/>
            <w:tcMar>
              <w:left w:w="115" w:type="dxa"/>
              <w:right w:w="115" w:type="dxa"/>
            </w:tcMar>
            <w:vAlign w:val="bottom"/>
          </w:tcPr>
          <w:p w14:paraId="53634BE9" w14:textId="77777777" w:rsidR="003F0EEA" w:rsidRDefault="003F0EEA">
            <w:pPr>
              <w:rPr>
                <w:rFonts w:ascii="Arial" w:eastAsia="Arial" w:hAnsi="Arial" w:cs="Arial"/>
                <w:color w:val="000000"/>
                <w:sz w:val="16"/>
              </w:rPr>
            </w:pPr>
          </w:p>
        </w:tc>
        <w:tc>
          <w:tcPr>
            <w:tcW w:w="180" w:type="dxa"/>
            <w:tcBorders>
              <w:top w:val="nil"/>
              <w:left w:val="nil"/>
              <w:bottom w:val="nil"/>
              <w:right w:val="nil"/>
              <w:tl2br w:val="nil"/>
              <w:tr2bl w:val="nil"/>
            </w:tcBorders>
            <w:shd w:val="clear" w:color="auto" w:fill="FFFFFF"/>
            <w:tcMar>
              <w:left w:w="115" w:type="dxa"/>
              <w:right w:w="115" w:type="dxa"/>
            </w:tcMar>
            <w:vAlign w:val="bottom"/>
          </w:tcPr>
          <w:p w14:paraId="23640C8D" w14:textId="77777777" w:rsidR="003F0EEA" w:rsidRDefault="003F0EEA">
            <w:pPr>
              <w:rPr>
                <w:rFonts w:ascii="Arial" w:eastAsia="Arial" w:hAnsi="Arial" w:cs="Arial"/>
                <w:color w:val="000000"/>
                <w:sz w:val="16"/>
              </w:rPr>
            </w:pPr>
          </w:p>
        </w:tc>
        <w:tc>
          <w:tcPr>
            <w:tcW w:w="2520" w:type="dxa"/>
            <w:tcBorders>
              <w:top w:val="nil"/>
              <w:left w:val="nil"/>
              <w:bottom w:val="nil"/>
              <w:right w:val="nil"/>
              <w:tl2br w:val="nil"/>
              <w:tr2bl w:val="nil"/>
            </w:tcBorders>
            <w:shd w:val="clear" w:color="auto" w:fill="FFFFFF"/>
            <w:tcMar>
              <w:left w:w="115" w:type="dxa"/>
              <w:right w:w="115" w:type="dxa"/>
            </w:tcMar>
            <w:vAlign w:val="bottom"/>
          </w:tcPr>
          <w:p w14:paraId="50424E12" w14:textId="77777777" w:rsidR="003F0EEA" w:rsidRDefault="003F0EEA">
            <w:pPr>
              <w:rPr>
                <w:rFonts w:ascii="Arial" w:eastAsia="Arial" w:hAnsi="Arial" w:cs="Arial"/>
                <w:color w:val="000000"/>
                <w:sz w:val="16"/>
              </w:rPr>
            </w:pPr>
          </w:p>
        </w:tc>
        <w:tc>
          <w:tcPr>
            <w:tcW w:w="360" w:type="dxa"/>
            <w:tcBorders>
              <w:top w:val="nil"/>
              <w:left w:val="nil"/>
              <w:bottom w:val="nil"/>
              <w:right w:val="nil"/>
              <w:tl2br w:val="nil"/>
              <w:tr2bl w:val="nil"/>
            </w:tcBorders>
            <w:shd w:val="clear" w:color="auto" w:fill="FFFFFF"/>
            <w:tcMar>
              <w:left w:w="115" w:type="dxa"/>
              <w:right w:w="115" w:type="dxa"/>
            </w:tcMar>
            <w:vAlign w:val="bottom"/>
          </w:tcPr>
          <w:p w14:paraId="1AB9E202" w14:textId="77777777" w:rsidR="003F0EEA" w:rsidRDefault="003F0EEA">
            <w:pPr>
              <w:jc w:val="center"/>
              <w:rPr>
                <w:rFonts w:ascii="Arial" w:eastAsia="Arial" w:hAnsi="Arial" w:cs="Arial"/>
                <w:b/>
                <w:color w:val="000000"/>
                <w:sz w:val="16"/>
                <w:vertAlign w:val="superscript"/>
              </w:rPr>
            </w:pPr>
          </w:p>
        </w:tc>
        <w:tc>
          <w:tcPr>
            <w:tcW w:w="1230" w:type="dxa"/>
            <w:tcBorders>
              <w:top w:val="nil"/>
              <w:left w:val="nil"/>
              <w:bottom w:val="nil"/>
              <w:right w:val="nil"/>
              <w:tl2br w:val="nil"/>
              <w:tr2bl w:val="nil"/>
            </w:tcBorders>
            <w:shd w:val="clear" w:color="auto" w:fill="FFFFFF"/>
            <w:tcMar>
              <w:left w:w="115" w:type="dxa"/>
              <w:right w:w="115" w:type="dxa"/>
            </w:tcMar>
            <w:vAlign w:val="bottom"/>
          </w:tcPr>
          <w:p w14:paraId="6820158E" w14:textId="77777777" w:rsidR="003F0EEA" w:rsidRDefault="00FB7D0B">
            <w:pPr>
              <w:jc w:val="right"/>
              <w:rPr>
                <w:rFonts w:ascii="Arial" w:eastAsia="Arial" w:hAnsi="Arial" w:cs="Arial"/>
                <w:b/>
                <w:color w:val="000000"/>
                <w:sz w:val="16"/>
                <w:vertAlign w:val="superscript"/>
              </w:rPr>
            </w:pPr>
            <w:r>
              <w:rPr>
                <w:rFonts w:ascii="Arial" w:eastAsia="Arial" w:hAnsi="Arial" w:cs="Arial"/>
                <w:color w:val="000000"/>
                <w:sz w:val="16"/>
              </w:rPr>
              <w:t>available in</w:t>
            </w:r>
          </w:p>
        </w:tc>
        <w:tc>
          <w:tcPr>
            <w:tcW w:w="330" w:type="dxa"/>
            <w:tcBorders>
              <w:top w:val="nil"/>
              <w:left w:val="nil"/>
              <w:bottom w:val="nil"/>
              <w:right w:val="nil"/>
              <w:tl2br w:val="nil"/>
              <w:tr2bl w:val="nil"/>
            </w:tcBorders>
            <w:shd w:val="clear" w:color="auto" w:fill="FFFFFF"/>
            <w:tcMar>
              <w:left w:w="115" w:type="dxa"/>
              <w:right w:w="115" w:type="dxa"/>
            </w:tcMar>
            <w:vAlign w:val="bottom"/>
          </w:tcPr>
          <w:p w14:paraId="31E7D695" w14:textId="77777777" w:rsidR="003F0EEA" w:rsidRDefault="00FB7D0B">
            <w:pPr>
              <w:rPr>
                <w:rFonts w:ascii="Arial" w:eastAsia="Arial" w:hAnsi="Arial" w:cs="Arial"/>
                <w:color w:val="000000"/>
                <w:sz w:val="16"/>
              </w:rPr>
            </w:pPr>
            <w:r>
              <w:rPr>
                <w:rFonts w:ascii="Arial" w:eastAsia="Arial" w:hAnsi="Arial" w:cs="Arial"/>
                <w:color w:val="000000"/>
                <w:sz w:val="16"/>
              </w:rPr>
              <w:t xml:space="preserve"> </w:t>
            </w:r>
          </w:p>
        </w:tc>
        <w:tc>
          <w:tcPr>
            <w:tcW w:w="1080" w:type="dxa"/>
            <w:tcBorders>
              <w:top w:val="nil"/>
              <w:left w:val="nil"/>
              <w:bottom w:val="nil"/>
              <w:right w:val="nil"/>
              <w:tl2br w:val="nil"/>
              <w:tr2bl w:val="nil"/>
            </w:tcBorders>
            <w:shd w:val="clear" w:color="auto" w:fill="FFFFFF"/>
            <w:tcMar>
              <w:left w:w="115" w:type="dxa"/>
              <w:right w:w="115" w:type="dxa"/>
            </w:tcMar>
            <w:vAlign w:val="bottom"/>
          </w:tcPr>
          <w:p w14:paraId="261FDE7C" w14:textId="77777777" w:rsidR="003F0EEA" w:rsidRDefault="003F0EEA">
            <w:pPr>
              <w:jc w:val="right"/>
              <w:rPr>
                <w:rFonts w:ascii="Arial" w:eastAsia="Arial" w:hAnsi="Arial" w:cs="Arial"/>
                <w:color w:val="000000"/>
                <w:sz w:val="16"/>
              </w:rPr>
            </w:pPr>
          </w:p>
        </w:tc>
        <w:tc>
          <w:tcPr>
            <w:tcW w:w="300" w:type="dxa"/>
            <w:tcBorders>
              <w:top w:val="nil"/>
              <w:left w:val="nil"/>
              <w:bottom w:val="nil"/>
              <w:right w:val="nil"/>
              <w:tl2br w:val="nil"/>
              <w:tr2bl w:val="nil"/>
            </w:tcBorders>
            <w:shd w:val="clear" w:color="auto" w:fill="FFFFFF"/>
            <w:tcMar>
              <w:left w:w="115" w:type="dxa"/>
              <w:right w:w="115" w:type="dxa"/>
            </w:tcMar>
            <w:vAlign w:val="bottom"/>
          </w:tcPr>
          <w:p w14:paraId="2FA6F20C" w14:textId="77777777" w:rsidR="003F0EEA" w:rsidRDefault="00FB7D0B">
            <w:pPr>
              <w:rPr>
                <w:rFonts w:ascii="Arial" w:eastAsia="Arial" w:hAnsi="Arial" w:cs="Arial"/>
                <w:color w:val="000000"/>
                <w:sz w:val="16"/>
              </w:rPr>
            </w:pPr>
            <w:r>
              <w:rPr>
                <w:rFonts w:ascii="Arial" w:eastAsia="Arial" w:hAnsi="Arial" w:cs="Arial"/>
                <w:color w:val="000000"/>
                <w:sz w:val="16"/>
              </w:rPr>
              <w:t xml:space="preserve"> </w:t>
            </w:r>
          </w:p>
        </w:tc>
        <w:tc>
          <w:tcPr>
            <w:tcW w:w="1080" w:type="dxa"/>
            <w:tcBorders>
              <w:top w:val="nil"/>
              <w:left w:val="nil"/>
              <w:bottom w:val="nil"/>
              <w:right w:val="nil"/>
              <w:tl2br w:val="nil"/>
              <w:tr2bl w:val="nil"/>
            </w:tcBorders>
            <w:shd w:val="clear" w:color="auto" w:fill="FFFF00"/>
            <w:tcMar>
              <w:left w:w="115" w:type="dxa"/>
              <w:right w:w="115" w:type="dxa"/>
            </w:tcMar>
            <w:vAlign w:val="bottom"/>
          </w:tcPr>
          <w:p w14:paraId="32A07646" w14:textId="77777777" w:rsidR="003F0EEA" w:rsidRDefault="003F0EEA">
            <w:pPr>
              <w:jc w:val="right"/>
              <w:rPr>
                <w:rFonts w:ascii="Arial" w:eastAsia="Arial" w:hAnsi="Arial" w:cs="Arial"/>
                <w:color w:val="000000"/>
                <w:sz w:val="16"/>
              </w:rPr>
            </w:pPr>
          </w:p>
        </w:tc>
        <w:tc>
          <w:tcPr>
            <w:tcW w:w="1230" w:type="dxa"/>
            <w:tcBorders>
              <w:top w:val="nil"/>
              <w:left w:val="nil"/>
              <w:bottom w:val="nil"/>
              <w:right w:val="nil"/>
              <w:tl2br w:val="nil"/>
              <w:tr2bl w:val="nil"/>
            </w:tcBorders>
            <w:shd w:val="clear" w:color="auto" w:fill="FFFFFF"/>
            <w:tcMar>
              <w:left w:w="115" w:type="dxa"/>
              <w:right w:w="115" w:type="dxa"/>
            </w:tcMar>
            <w:vAlign w:val="bottom"/>
          </w:tcPr>
          <w:p w14:paraId="50E632F2" w14:textId="77777777" w:rsidR="003F0EEA" w:rsidRDefault="003F0EEA">
            <w:pPr>
              <w:jc w:val="right"/>
              <w:rPr>
                <w:rFonts w:ascii="Arial" w:eastAsia="Arial" w:hAnsi="Arial" w:cs="Arial"/>
                <w:color w:val="000000"/>
                <w:sz w:val="16"/>
              </w:rPr>
            </w:pPr>
          </w:p>
        </w:tc>
      </w:tr>
      <w:tr w:rsidR="00724034" w14:paraId="3B7F4E0C" w14:textId="77777777">
        <w:trPr>
          <w:trHeight w:val="225"/>
        </w:trPr>
        <w:tc>
          <w:tcPr>
            <w:tcW w:w="180" w:type="dxa"/>
            <w:tcBorders>
              <w:top w:val="nil"/>
              <w:left w:val="nil"/>
              <w:bottom w:val="nil"/>
              <w:right w:val="nil"/>
              <w:tl2br w:val="nil"/>
              <w:tr2bl w:val="nil"/>
            </w:tcBorders>
            <w:shd w:val="clear" w:color="auto" w:fill="FFFFFF"/>
            <w:tcMar>
              <w:left w:w="115" w:type="dxa"/>
              <w:right w:w="115" w:type="dxa"/>
            </w:tcMar>
            <w:vAlign w:val="bottom"/>
          </w:tcPr>
          <w:p w14:paraId="0CDC7E71" w14:textId="77777777" w:rsidR="003F0EEA" w:rsidRDefault="003F0EEA">
            <w:pPr>
              <w:rPr>
                <w:rFonts w:ascii="Arial" w:eastAsia="Arial" w:hAnsi="Arial" w:cs="Arial"/>
                <w:color w:val="000000"/>
                <w:sz w:val="16"/>
              </w:rPr>
            </w:pPr>
          </w:p>
        </w:tc>
        <w:tc>
          <w:tcPr>
            <w:tcW w:w="180" w:type="dxa"/>
            <w:tcBorders>
              <w:top w:val="nil"/>
              <w:left w:val="nil"/>
              <w:bottom w:val="nil"/>
              <w:right w:val="nil"/>
              <w:tl2br w:val="nil"/>
              <w:tr2bl w:val="nil"/>
            </w:tcBorders>
            <w:shd w:val="clear" w:color="auto" w:fill="FFFFFF"/>
            <w:tcMar>
              <w:left w:w="115" w:type="dxa"/>
              <w:right w:w="115" w:type="dxa"/>
            </w:tcMar>
            <w:vAlign w:val="bottom"/>
          </w:tcPr>
          <w:p w14:paraId="01EB77AB" w14:textId="77777777" w:rsidR="003F0EEA" w:rsidRDefault="003F0EEA">
            <w:pPr>
              <w:rPr>
                <w:rFonts w:ascii="Arial" w:eastAsia="Arial" w:hAnsi="Arial" w:cs="Arial"/>
                <w:color w:val="000000"/>
                <w:sz w:val="16"/>
              </w:rPr>
            </w:pPr>
          </w:p>
        </w:tc>
        <w:tc>
          <w:tcPr>
            <w:tcW w:w="2520" w:type="dxa"/>
            <w:tcBorders>
              <w:top w:val="nil"/>
              <w:left w:val="nil"/>
              <w:bottom w:val="nil"/>
              <w:right w:val="nil"/>
              <w:tl2br w:val="nil"/>
              <w:tr2bl w:val="nil"/>
            </w:tcBorders>
            <w:shd w:val="clear" w:color="auto" w:fill="FFFFFF"/>
            <w:tcMar>
              <w:left w:w="115" w:type="dxa"/>
              <w:right w:w="115" w:type="dxa"/>
            </w:tcMar>
            <w:vAlign w:val="bottom"/>
          </w:tcPr>
          <w:p w14:paraId="415A7A97" w14:textId="77777777" w:rsidR="003F0EEA" w:rsidRDefault="003F0EEA">
            <w:pPr>
              <w:jc w:val="right"/>
              <w:rPr>
                <w:rFonts w:ascii="Arial" w:eastAsia="Arial" w:hAnsi="Arial" w:cs="Arial"/>
                <w:color w:val="000000"/>
                <w:sz w:val="16"/>
              </w:rPr>
            </w:pPr>
          </w:p>
        </w:tc>
        <w:tc>
          <w:tcPr>
            <w:tcW w:w="360" w:type="dxa"/>
            <w:tcBorders>
              <w:top w:val="nil"/>
              <w:left w:val="nil"/>
              <w:bottom w:val="nil"/>
              <w:right w:val="nil"/>
              <w:tl2br w:val="nil"/>
              <w:tr2bl w:val="nil"/>
            </w:tcBorders>
            <w:shd w:val="clear" w:color="auto" w:fill="FFFFFF"/>
            <w:tcMar>
              <w:left w:w="115" w:type="dxa"/>
              <w:right w:w="115" w:type="dxa"/>
            </w:tcMar>
            <w:vAlign w:val="bottom"/>
          </w:tcPr>
          <w:p w14:paraId="471DD7C9" w14:textId="77777777" w:rsidR="003F0EEA" w:rsidRDefault="003F0EEA">
            <w:pPr>
              <w:jc w:val="center"/>
              <w:rPr>
                <w:rFonts w:ascii="Arial" w:eastAsia="Arial" w:hAnsi="Arial" w:cs="Arial"/>
                <w:b/>
                <w:color w:val="000000"/>
                <w:sz w:val="16"/>
                <w:vertAlign w:val="superscript"/>
              </w:rPr>
            </w:pPr>
          </w:p>
        </w:tc>
        <w:tc>
          <w:tcPr>
            <w:tcW w:w="1230" w:type="dxa"/>
            <w:tcBorders>
              <w:top w:val="nil"/>
              <w:left w:val="nil"/>
              <w:bottom w:val="nil"/>
              <w:right w:val="nil"/>
              <w:tl2br w:val="nil"/>
              <w:tr2bl w:val="nil"/>
            </w:tcBorders>
            <w:shd w:val="clear" w:color="auto" w:fill="FFFFFF"/>
            <w:tcMar>
              <w:left w:w="115" w:type="dxa"/>
              <w:right w:w="115" w:type="dxa"/>
            </w:tcMar>
            <w:vAlign w:val="bottom"/>
          </w:tcPr>
          <w:p w14:paraId="5EEC1E32" w14:textId="77777777" w:rsidR="003F0EEA" w:rsidRDefault="00FB7D0B">
            <w:pPr>
              <w:jc w:val="right"/>
              <w:rPr>
                <w:rFonts w:ascii="Arial" w:eastAsia="Arial" w:hAnsi="Arial" w:cs="Arial"/>
                <w:b/>
                <w:color w:val="000000"/>
                <w:sz w:val="16"/>
                <w:vertAlign w:val="superscript"/>
              </w:rPr>
            </w:pPr>
            <w:r>
              <w:rPr>
                <w:rFonts w:ascii="Arial" w:eastAsia="Arial" w:hAnsi="Arial" w:cs="Arial"/>
                <w:color w:val="000000"/>
                <w:sz w:val="16"/>
              </w:rPr>
              <w:t>2014-15</w:t>
            </w:r>
          </w:p>
        </w:tc>
        <w:tc>
          <w:tcPr>
            <w:tcW w:w="330" w:type="dxa"/>
            <w:tcBorders>
              <w:top w:val="nil"/>
              <w:left w:val="nil"/>
              <w:bottom w:val="nil"/>
              <w:right w:val="nil"/>
              <w:tl2br w:val="nil"/>
              <w:tr2bl w:val="nil"/>
            </w:tcBorders>
            <w:shd w:val="clear" w:color="auto" w:fill="FFFFFF"/>
            <w:tcMar>
              <w:left w:w="115" w:type="dxa"/>
              <w:right w:w="115" w:type="dxa"/>
            </w:tcMar>
            <w:vAlign w:val="bottom"/>
          </w:tcPr>
          <w:p w14:paraId="234F5EC0" w14:textId="77777777" w:rsidR="003F0EEA" w:rsidRDefault="00FB7D0B">
            <w:pPr>
              <w:rPr>
                <w:rFonts w:ascii="Arial" w:eastAsia="Arial" w:hAnsi="Arial" w:cs="Arial"/>
                <w:color w:val="000000"/>
                <w:sz w:val="16"/>
              </w:rPr>
            </w:pPr>
            <w:r>
              <w:rPr>
                <w:rFonts w:ascii="Arial" w:eastAsia="Arial" w:hAnsi="Arial" w:cs="Arial"/>
                <w:color w:val="000000"/>
                <w:sz w:val="16"/>
              </w:rPr>
              <w:t xml:space="preserve"> </w:t>
            </w:r>
          </w:p>
        </w:tc>
        <w:tc>
          <w:tcPr>
            <w:tcW w:w="1080" w:type="dxa"/>
            <w:tcBorders>
              <w:top w:val="nil"/>
              <w:left w:val="nil"/>
              <w:bottom w:val="nil"/>
              <w:right w:val="nil"/>
              <w:tl2br w:val="nil"/>
              <w:tr2bl w:val="nil"/>
            </w:tcBorders>
            <w:shd w:val="clear" w:color="auto" w:fill="FFFFFF"/>
            <w:tcMar>
              <w:left w:w="115" w:type="dxa"/>
              <w:right w:w="115" w:type="dxa"/>
            </w:tcMar>
            <w:vAlign w:val="bottom"/>
          </w:tcPr>
          <w:p w14:paraId="36F2A585" w14:textId="77777777" w:rsidR="003F0EEA" w:rsidRDefault="00FB7D0B">
            <w:pPr>
              <w:jc w:val="right"/>
              <w:rPr>
                <w:rFonts w:ascii="Arial" w:eastAsia="Arial" w:hAnsi="Arial" w:cs="Arial"/>
                <w:color w:val="000000"/>
                <w:sz w:val="16"/>
              </w:rPr>
            </w:pPr>
            <w:r>
              <w:rPr>
                <w:rFonts w:ascii="Arial" w:eastAsia="Arial" w:hAnsi="Arial" w:cs="Arial"/>
                <w:color w:val="000000"/>
                <w:sz w:val="16"/>
              </w:rPr>
              <w:t>2014-15</w:t>
            </w:r>
          </w:p>
        </w:tc>
        <w:tc>
          <w:tcPr>
            <w:tcW w:w="300" w:type="dxa"/>
            <w:tcBorders>
              <w:top w:val="nil"/>
              <w:left w:val="nil"/>
              <w:bottom w:val="nil"/>
              <w:right w:val="nil"/>
              <w:tl2br w:val="nil"/>
              <w:tr2bl w:val="nil"/>
            </w:tcBorders>
            <w:shd w:val="clear" w:color="auto" w:fill="FFFFFF"/>
            <w:tcMar>
              <w:left w:w="115" w:type="dxa"/>
              <w:right w:w="115" w:type="dxa"/>
            </w:tcMar>
            <w:vAlign w:val="bottom"/>
          </w:tcPr>
          <w:p w14:paraId="15C4BAE2" w14:textId="77777777" w:rsidR="003F0EEA" w:rsidRDefault="00FB7D0B">
            <w:pPr>
              <w:rPr>
                <w:rFonts w:ascii="Arial" w:eastAsia="Arial" w:hAnsi="Arial" w:cs="Arial"/>
                <w:color w:val="000000"/>
                <w:sz w:val="16"/>
              </w:rPr>
            </w:pPr>
            <w:r>
              <w:rPr>
                <w:rFonts w:ascii="Arial" w:eastAsia="Arial" w:hAnsi="Arial" w:cs="Arial"/>
                <w:color w:val="000000"/>
                <w:sz w:val="16"/>
              </w:rPr>
              <w:t xml:space="preserve"> </w:t>
            </w:r>
          </w:p>
        </w:tc>
        <w:tc>
          <w:tcPr>
            <w:tcW w:w="1080" w:type="dxa"/>
            <w:tcBorders>
              <w:top w:val="nil"/>
              <w:left w:val="nil"/>
              <w:bottom w:val="nil"/>
              <w:right w:val="nil"/>
              <w:tl2br w:val="nil"/>
              <w:tr2bl w:val="nil"/>
            </w:tcBorders>
            <w:shd w:val="clear" w:color="auto" w:fill="FFFF00"/>
            <w:tcMar>
              <w:left w:w="115" w:type="dxa"/>
              <w:right w:w="115" w:type="dxa"/>
            </w:tcMar>
            <w:vAlign w:val="bottom"/>
          </w:tcPr>
          <w:p w14:paraId="3742223B" w14:textId="77777777" w:rsidR="003F0EEA" w:rsidRDefault="00FB7D0B">
            <w:pPr>
              <w:jc w:val="right"/>
              <w:rPr>
                <w:rFonts w:ascii="Arial" w:eastAsia="Arial" w:hAnsi="Arial" w:cs="Arial"/>
                <w:color w:val="000000"/>
                <w:sz w:val="16"/>
              </w:rPr>
            </w:pPr>
            <w:r>
              <w:rPr>
                <w:rFonts w:ascii="Arial" w:eastAsia="Arial" w:hAnsi="Arial" w:cs="Arial"/>
                <w:color w:val="000000"/>
                <w:sz w:val="16"/>
              </w:rPr>
              <w:t>2014-15</w:t>
            </w:r>
          </w:p>
        </w:tc>
        <w:tc>
          <w:tcPr>
            <w:tcW w:w="1230" w:type="dxa"/>
            <w:tcBorders>
              <w:top w:val="nil"/>
              <w:left w:val="nil"/>
              <w:bottom w:val="nil"/>
              <w:right w:val="nil"/>
              <w:tl2br w:val="nil"/>
              <w:tr2bl w:val="nil"/>
            </w:tcBorders>
            <w:shd w:val="clear" w:color="auto" w:fill="FFFFFF"/>
            <w:tcMar>
              <w:left w:w="115" w:type="dxa"/>
              <w:right w:w="115" w:type="dxa"/>
            </w:tcMar>
            <w:vAlign w:val="bottom"/>
          </w:tcPr>
          <w:p w14:paraId="7F27F8C3" w14:textId="77777777" w:rsidR="003F0EEA" w:rsidRDefault="00FB7D0B">
            <w:pPr>
              <w:jc w:val="right"/>
              <w:rPr>
                <w:rFonts w:ascii="Arial" w:eastAsia="Arial" w:hAnsi="Arial" w:cs="Arial"/>
                <w:color w:val="000000"/>
                <w:sz w:val="16"/>
              </w:rPr>
            </w:pPr>
            <w:r>
              <w:rPr>
                <w:rFonts w:ascii="Arial" w:eastAsia="Arial" w:hAnsi="Arial" w:cs="Arial"/>
                <w:color w:val="000000"/>
                <w:sz w:val="16"/>
              </w:rPr>
              <w:t>2013-14</w:t>
            </w:r>
          </w:p>
        </w:tc>
      </w:tr>
      <w:tr w:rsidR="00724034" w14:paraId="421EFC2E" w14:textId="77777777">
        <w:trPr>
          <w:trHeight w:val="225"/>
        </w:trPr>
        <w:tc>
          <w:tcPr>
            <w:tcW w:w="180" w:type="dxa"/>
            <w:tcBorders>
              <w:top w:val="nil"/>
              <w:left w:val="nil"/>
              <w:bottom w:val="nil"/>
              <w:right w:val="nil"/>
              <w:tl2br w:val="nil"/>
              <w:tr2bl w:val="nil"/>
            </w:tcBorders>
            <w:shd w:val="clear" w:color="auto" w:fill="FFFFFF"/>
            <w:tcMar>
              <w:left w:w="115" w:type="dxa"/>
              <w:right w:w="115" w:type="dxa"/>
            </w:tcMar>
            <w:vAlign w:val="bottom"/>
          </w:tcPr>
          <w:p w14:paraId="1DE1E9EB" w14:textId="77777777" w:rsidR="003F0EEA" w:rsidRDefault="003F0EEA">
            <w:pPr>
              <w:rPr>
                <w:rFonts w:ascii="Arial" w:eastAsia="Arial" w:hAnsi="Arial" w:cs="Arial"/>
                <w:color w:val="000000"/>
                <w:sz w:val="16"/>
              </w:rPr>
            </w:pPr>
          </w:p>
        </w:tc>
        <w:tc>
          <w:tcPr>
            <w:tcW w:w="180" w:type="dxa"/>
            <w:tcBorders>
              <w:top w:val="nil"/>
              <w:left w:val="nil"/>
              <w:bottom w:val="nil"/>
              <w:right w:val="nil"/>
              <w:tl2br w:val="nil"/>
              <w:tr2bl w:val="nil"/>
            </w:tcBorders>
            <w:shd w:val="clear" w:color="auto" w:fill="FFFFFF"/>
            <w:tcMar>
              <w:left w:w="115" w:type="dxa"/>
              <w:right w:w="115" w:type="dxa"/>
            </w:tcMar>
            <w:vAlign w:val="bottom"/>
          </w:tcPr>
          <w:p w14:paraId="7ED7A1C0" w14:textId="77777777" w:rsidR="003F0EEA" w:rsidRDefault="003F0EEA">
            <w:pPr>
              <w:rPr>
                <w:rFonts w:ascii="Arial" w:eastAsia="Arial" w:hAnsi="Arial" w:cs="Arial"/>
                <w:color w:val="000000"/>
                <w:sz w:val="16"/>
              </w:rPr>
            </w:pPr>
          </w:p>
        </w:tc>
        <w:tc>
          <w:tcPr>
            <w:tcW w:w="2520" w:type="dxa"/>
            <w:tcBorders>
              <w:top w:val="nil"/>
              <w:left w:val="nil"/>
              <w:bottom w:val="nil"/>
              <w:right w:val="nil"/>
              <w:tl2br w:val="nil"/>
              <w:tr2bl w:val="nil"/>
            </w:tcBorders>
            <w:shd w:val="clear" w:color="auto" w:fill="FFFFFF"/>
            <w:tcMar>
              <w:left w:w="115" w:type="dxa"/>
              <w:right w:w="115" w:type="dxa"/>
            </w:tcMar>
            <w:vAlign w:val="bottom"/>
          </w:tcPr>
          <w:p w14:paraId="31654A99" w14:textId="77777777" w:rsidR="003F0EEA" w:rsidRDefault="003F0EEA">
            <w:pPr>
              <w:rPr>
                <w:rFonts w:ascii="Arial" w:eastAsia="Arial" w:hAnsi="Arial" w:cs="Arial"/>
                <w:color w:val="000000"/>
                <w:sz w:val="16"/>
              </w:rPr>
            </w:pPr>
          </w:p>
        </w:tc>
        <w:tc>
          <w:tcPr>
            <w:tcW w:w="360" w:type="dxa"/>
            <w:tcBorders>
              <w:top w:val="nil"/>
              <w:left w:val="nil"/>
              <w:bottom w:val="nil"/>
              <w:right w:val="nil"/>
              <w:tl2br w:val="nil"/>
              <w:tr2bl w:val="nil"/>
            </w:tcBorders>
            <w:shd w:val="clear" w:color="auto" w:fill="FFFFFF"/>
            <w:tcMar>
              <w:left w:w="115" w:type="dxa"/>
              <w:right w:w="115" w:type="dxa"/>
            </w:tcMar>
            <w:vAlign w:val="bottom"/>
          </w:tcPr>
          <w:p w14:paraId="15EB8F33" w14:textId="77777777" w:rsidR="003F0EEA" w:rsidRDefault="003F0EEA">
            <w:pPr>
              <w:jc w:val="center"/>
              <w:rPr>
                <w:rFonts w:ascii="Arial" w:eastAsia="Arial" w:hAnsi="Arial" w:cs="Arial"/>
                <w:color w:val="000000"/>
                <w:sz w:val="16"/>
                <w:vertAlign w:val="superscript"/>
              </w:rPr>
            </w:pPr>
          </w:p>
        </w:tc>
        <w:tc>
          <w:tcPr>
            <w:tcW w:w="1230" w:type="dxa"/>
            <w:tcBorders>
              <w:top w:val="nil"/>
              <w:left w:val="nil"/>
              <w:bottom w:val="single" w:sz="6" w:space="0" w:color="000000"/>
              <w:right w:val="nil"/>
              <w:tl2br w:val="nil"/>
              <w:tr2bl w:val="nil"/>
            </w:tcBorders>
            <w:shd w:val="clear" w:color="auto" w:fill="FFFFFF"/>
            <w:tcMar>
              <w:left w:w="115" w:type="dxa"/>
              <w:right w:w="115" w:type="dxa"/>
            </w:tcMar>
          </w:tcPr>
          <w:p w14:paraId="08E1532D" w14:textId="77777777" w:rsidR="003F0EEA" w:rsidRDefault="00FB7D0B">
            <w:pPr>
              <w:jc w:val="right"/>
              <w:rPr>
                <w:rFonts w:ascii="Arial" w:eastAsia="Arial" w:hAnsi="Arial" w:cs="Arial"/>
                <w:color w:val="000000"/>
                <w:sz w:val="16"/>
                <w:vertAlign w:val="superscript"/>
              </w:rPr>
            </w:pPr>
            <w:r>
              <w:rPr>
                <w:rFonts w:ascii="Arial" w:eastAsia="Arial" w:hAnsi="Arial" w:cs="Arial"/>
                <w:color w:val="000000"/>
                <w:sz w:val="16"/>
              </w:rPr>
              <w:t>$'000</w:t>
            </w:r>
          </w:p>
        </w:tc>
        <w:tc>
          <w:tcPr>
            <w:tcW w:w="330"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474088F0" w14:textId="77777777" w:rsidR="003F0EEA" w:rsidRDefault="00FB7D0B">
            <w:pPr>
              <w:rPr>
                <w:rFonts w:ascii="Arial" w:eastAsia="Arial" w:hAnsi="Arial" w:cs="Arial"/>
                <w:color w:val="000000"/>
                <w:sz w:val="16"/>
              </w:rPr>
            </w:pPr>
            <w:r>
              <w:rPr>
                <w:rFonts w:ascii="Arial" w:eastAsia="Arial" w:hAnsi="Arial" w:cs="Arial"/>
                <w:b/>
                <w:color w:val="000000"/>
                <w:sz w:val="16"/>
              </w:rPr>
              <w:t xml:space="preserve"> </w:t>
            </w:r>
          </w:p>
        </w:tc>
        <w:tc>
          <w:tcPr>
            <w:tcW w:w="1080" w:type="dxa"/>
            <w:tcBorders>
              <w:top w:val="nil"/>
              <w:left w:val="nil"/>
              <w:bottom w:val="single" w:sz="6" w:space="0" w:color="000000"/>
              <w:right w:val="nil"/>
              <w:tl2br w:val="nil"/>
              <w:tr2bl w:val="nil"/>
            </w:tcBorders>
            <w:shd w:val="clear" w:color="auto" w:fill="FFFFFF"/>
            <w:tcMar>
              <w:left w:w="115" w:type="dxa"/>
              <w:right w:w="115" w:type="dxa"/>
            </w:tcMar>
          </w:tcPr>
          <w:p w14:paraId="11D243BF" w14:textId="77777777" w:rsidR="003F0EEA" w:rsidRDefault="00FB7D0B">
            <w:pPr>
              <w:jc w:val="right"/>
              <w:rPr>
                <w:rFonts w:ascii="Arial" w:eastAsia="Arial" w:hAnsi="Arial" w:cs="Arial"/>
                <w:b/>
                <w:color w:val="000000"/>
                <w:sz w:val="16"/>
              </w:rPr>
            </w:pPr>
            <w:r>
              <w:rPr>
                <w:rFonts w:ascii="Arial" w:eastAsia="Arial" w:hAnsi="Arial" w:cs="Arial"/>
                <w:color w:val="000000"/>
                <w:sz w:val="16"/>
              </w:rPr>
              <w:t>$'000</w:t>
            </w:r>
          </w:p>
        </w:tc>
        <w:tc>
          <w:tcPr>
            <w:tcW w:w="300"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4A7DA0B9" w14:textId="77777777" w:rsidR="003F0EEA" w:rsidRDefault="00FB7D0B">
            <w:pPr>
              <w:rPr>
                <w:rFonts w:ascii="Arial" w:eastAsia="Arial" w:hAnsi="Arial" w:cs="Arial"/>
                <w:color w:val="000000"/>
                <w:sz w:val="16"/>
              </w:rPr>
            </w:pPr>
            <w:r>
              <w:rPr>
                <w:rFonts w:ascii="Arial" w:eastAsia="Arial" w:hAnsi="Arial" w:cs="Arial"/>
                <w:b/>
                <w:color w:val="000000"/>
                <w:sz w:val="16"/>
              </w:rPr>
              <w:t xml:space="preserve"> </w:t>
            </w:r>
          </w:p>
        </w:tc>
        <w:tc>
          <w:tcPr>
            <w:tcW w:w="1080" w:type="dxa"/>
            <w:tcBorders>
              <w:top w:val="nil"/>
              <w:left w:val="nil"/>
              <w:bottom w:val="single" w:sz="6" w:space="0" w:color="000000"/>
              <w:right w:val="nil"/>
              <w:tl2br w:val="nil"/>
              <w:tr2bl w:val="nil"/>
            </w:tcBorders>
            <w:shd w:val="clear" w:color="auto" w:fill="FFFF00"/>
            <w:tcMar>
              <w:left w:w="115" w:type="dxa"/>
              <w:right w:w="115" w:type="dxa"/>
            </w:tcMar>
          </w:tcPr>
          <w:p w14:paraId="508BA4BC" w14:textId="77777777" w:rsidR="003F0EEA" w:rsidRDefault="00FB7D0B">
            <w:pPr>
              <w:jc w:val="right"/>
              <w:rPr>
                <w:rFonts w:ascii="Arial" w:eastAsia="Arial" w:hAnsi="Arial" w:cs="Arial"/>
                <w:b/>
                <w:color w:val="000000"/>
                <w:sz w:val="16"/>
              </w:rPr>
            </w:pPr>
            <w:r>
              <w:rPr>
                <w:rFonts w:ascii="Arial" w:eastAsia="Arial" w:hAnsi="Arial" w:cs="Arial"/>
                <w:color w:val="000000"/>
                <w:sz w:val="16"/>
              </w:rPr>
              <w:t>$'000</w:t>
            </w:r>
          </w:p>
        </w:tc>
        <w:tc>
          <w:tcPr>
            <w:tcW w:w="1230" w:type="dxa"/>
            <w:tcBorders>
              <w:top w:val="nil"/>
              <w:left w:val="nil"/>
              <w:bottom w:val="single" w:sz="6" w:space="0" w:color="000000"/>
              <w:right w:val="nil"/>
              <w:tl2br w:val="nil"/>
              <w:tr2bl w:val="nil"/>
            </w:tcBorders>
            <w:shd w:val="clear" w:color="auto" w:fill="FFFFFF"/>
            <w:tcMar>
              <w:left w:w="115" w:type="dxa"/>
              <w:right w:w="115" w:type="dxa"/>
            </w:tcMar>
          </w:tcPr>
          <w:p w14:paraId="183B9DBC" w14:textId="77777777" w:rsidR="003F0EEA" w:rsidRDefault="00FB7D0B">
            <w:pPr>
              <w:jc w:val="right"/>
              <w:rPr>
                <w:rFonts w:ascii="Arial" w:eastAsia="Arial" w:hAnsi="Arial" w:cs="Arial"/>
                <w:color w:val="000000"/>
                <w:sz w:val="16"/>
              </w:rPr>
            </w:pPr>
            <w:r>
              <w:rPr>
                <w:rFonts w:ascii="Arial" w:eastAsia="Arial" w:hAnsi="Arial" w:cs="Arial"/>
                <w:color w:val="000000"/>
                <w:sz w:val="16"/>
              </w:rPr>
              <w:t>$'000</w:t>
            </w:r>
          </w:p>
        </w:tc>
      </w:tr>
      <w:tr w:rsidR="00FB7D0B" w14:paraId="473FE4C9" w14:textId="77777777" w:rsidTr="00FB7D0B">
        <w:trPr>
          <w:trHeight w:val="225"/>
        </w:trPr>
        <w:tc>
          <w:tcPr>
            <w:tcW w:w="2880" w:type="dxa"/>
            <w:gridSpan w:val="3"/>
            <w:tcBorders>
              <w:top w:val="nil"/>
              <w:left w:val="nil"/>
              <w:bottom w:val="nil"/>
              <w:right w:val="nil"/>
              <w:tl2br w:val="nil"/>
              <w:tr2bl w:val="nil"/>
            </w:tcBorders>
            <w:shd w:val="clear" w:color="auto" w:fill="FFFFFF"/>
            <w:tcMar>
              <w:left w:w="115" w:type="dxa"/>
              <w:right w:w="115" w:type="dxa"/>
            </w:tcMar>
            <w:vAlign w:val="bottom"/>
          </w:tcPr>
          <w:p w14:paraId="39BD441B" w14:textId="77777777" w:rsidR="003F0EEA" w:rsidRDefault="00FB7D0B">
            <w:pPr>
              <w:rPr>
                <w:rFonts w:ascii="Arial" w:eastAsia="Arial" w:hAnsi="Arial" w:cs="Arial"/>
                <w:color w:val="000000"/>
                <w:sz w:val="16"/>
              </w:rPr>
            </w:pPr>
            <w:r>
              <w:rPr>
                <w:rFonts w:ascii="Arial" w:eastAsia="Arial" w:hAnsi="Arial" w:cs="Arial"/>
                <w:b/>
                <w:color w:val="000000"/>
                <w:sz w:val="16"/>
              </w:rPr>
              <w:t>Special appropriations limited</w:t>
            </w:r>
          </w:p>
        </w:tc>
        <w:tc>
          <w:tcPr>
            <w:tcW w:w="360" w:type="dxa"/>
            <w:tcBorders>
              <w:top w:val="nil"/>
              <w:left w:val="nil"/>
              <w:bottom w:val="nil"/>
              <w:right w:val="nil"/>
              <w:tl2br w:val="nil"/>
              <w:tr2bl w:val="nil"/>
            </w:tcBorders>
            <w:shd w:val="clear" w:color="auto" w:fill="FFFFFF"/>
            <w:tcMar>
              <w:left w:w="115" w:type="dxa"/>
              <w:right w:w="115" w:type="dxa"/>
            </w:tcMar>
            <w:vAlign w:val="bottom"/>
          </w:tcPr>
          <w:p w14:paraId="2CEAA005" w14:textId="77777777" w:rsidR="003F0EEA" w:rsidRDefault="003F0EEA">
            <w:pPr>
              <w:jc w:val="center"/>
              <w:rPr>
                <w:rFonts w:ascii="Arial" w:eastAsia="Arial" w:hAnsi="Arial" w:cs="Arial"/>
                <w:b/>
                <w:color w:val="000000"/>
                <w:sz w:val="16"/>
                <w:vertAlign w:val="superscript"/>
              </w:rPr>
            </w:pPr>
          </w:p>
        </w:tc>
        <w:tc>
          <w:tcPr>
            <w:tcW w:w="1230"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40099BFC" w14:textId="77777777" w:rsidR="003F0EEA" w:rsidRDefault="003F0EEA">
            <w:pPr>
              <w:jc w:val="right"/>
              <w:rPr>
                <w:rFonts w:ascii="Arial" w:eastAsia="Arial" w:hAnsi="Arial" w:cs="Arial"/>
                <w:b/>
                <w:color w:val="000000"/>
                <w:sz w:val="16"/>
                <w:vertAlign w:val="superscript"/>
              </w:rPr>
            </w:pPr>
          </w:p>
        </w:tc>
        <w:tc>
          <w:tcPr>
            <w:tcW w:w="330"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4BB1E6EA" w14:textId="77777777" w:rsidR="003F0EEA" w:rsidRDefault="00FB7D0B">
            <w:pPr>
              <w:rPr>
                <w:rFonts w:ascii="Arial" w:eastAsia="Arial" w:hAnsi="Arial" w:cs="Arial"/>
                <w:color w:val="000000"/>
                <w:sz w:val="16"/>
                <w:vertAlign w:val="superscript"/>
              </w:rPr>
            </w:pPr>
            <w:r>
              <w:rPr>
                <w:rFonts w:ascii="Arial" w:eastAsia="Arial" w:hAnsi="Arial" w:cs="Arial"/>
                <w:color w:val="000000"/>
                <w:sz w:val="16"/>
              </w:rPr>
              <w:t xml:space="preserve"> </w:t>
            </w:r>
          </w:p>
        </w:tc>
        <w:tc>
          <w:tcPr>
            <w:tcW w:w="1080"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02F48D15" w14:textId="77777777" w:rsidR="003F0EEA" w:rsidRDefault="003F0EEA">
            <w:pPr>
              <w:rPr>
                <w:rFonts w:ascii="Arial" w:eastAsia="Arial" w:hAnsi="Arial" w:cs="Arial"/>
                <w:color w:val="000000"/>
                <w:sz w:val="16"/>
              </w:rPr>
            </w:pPr>
          </w:p>
        </w:tc>
        <w:tc>
          <w:tcPr>
            <w:tcW w:w="300"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7AD50B95" w14:textId="77777777" w:rsidR="003F0EEA" w:rsidRDefault="00FB7D0B">
            <w:pPr>
              <w:rPr>
                <w:rFonts w:ascii="Arial" w:eastAsia="Arial" w:hAnsi="Arial" w:cs="Arial"/>
                <w:color w:val="000000"/>
                <w:sz w:val="16"/>
              </w:rPr>
            </w:pPr>
            <w:r>
              <w:rPr>
                <w:rFonts w:ascii="Arial" w:eastAsia="Arial" w:hAnsi="Arial" w:cs="Arial"/>
                <w:color w:val="000000"/>
                <w:sz w:val="16"/>
              </w:rPr>
              <w:t xml:space="preserve"> </w:t>
            </w:r>
          </w:p>
        </w:tc>
        <w:tc>
          <w:tcPr>
            <w:tcW w:w="1080" w:type="dxa"/>
            <w:tcBorders>
              <w:top w:val="single" w:sz="6" w:space="0" w:color="000000"/>
              <w:left w:val="nil"/>
              <w:bottom w:val="nil"/>
              <w:right w:val="nil"/>
              <w:tl2br w:val="nil"/>
              <w:tr2bl w:val="nil"/>
            </w:tcBorders>
            <w:shd w:val="clear" w:color="auto" w:fill="FFFF00"/>
            <w:tcMar>
              <w:left w:w="115" w:type="dxa"/>
              <w:right w:w="115" w:type="dxa"/>
            </w:tcMar>
          </w:tcPr>
          <w:p w14:paraId="5A2A52BC" w14:textId="77777777" w:rsidR="003F0EEA" w:rsidRDefault="003F0EEA">
            <w:pPr>
              <w:jc w:val="right"/>
              <w:rPr>
                <w:rFonts w:ascii="Arial" w:eastAsia="Arial" w:hAnsi="Arial" w:cs="Arial"/>
                <w:color w:val="000000"/>
                <w:sz w:val="16"/>
              </w:rPr>
            </w:pPr>
          </w:p>
        </w:tc>
        <w:tc>
          <w:tcPr>
            <w:tcW w:w="1230"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24B4CD97" w14:textId="77777777" w:rsidR="003F0EEA" w:rsidRDefault="003F0EEA">
            <w:pPr>
              <w:jc w:val="right"/>
              <w:rPr>
                <w:rFonts w:ascii="Arial" w:eastAsia="Arial" w:hAnsi="Arial" w:cs="Arial"/>
                <w:b/>
                <w:color w:val="000000"/>
                <w:sz w:val="16"/>
              </w:rPr>
            </w:pPr>
          </w:p>
        </w:tc>
      </w:tr>
      <w:tr w:rsidR="00724034" w14:paraId="4662CB51" w14:textId="77777777">
        <w:trPr>
          <w:trHeight w:val="225"/>
        </w:trPr>
        <w:tc>
          <w:tcPr>
            <w:tcW w:w="180" w:type="dxa"/>
            <w:tcBorders>
              <w:top w:val="nil"/>
              <w:left w:val="nil"/>
              <w:bottom w:val="nil"/>
              <w:right w:val="nil"/>
              <w:tl2br w:val="nil"/>
              <w:tr2bl w:val="nil"/>
            </w:tcBorders>
            <w:shd w:val="clear" w:color="auto" w:fill="FFFFFF"/>
            <w:tcMar>
              <w:left w:w="115" w:type="dxa"/>
              <w:right w:w="115" w:type="dxa"/>
            </w:tcMar>
            <w:vAlign w:val="bottom"/>
          </w:tcPr>
          <w:p w14:paraId="7938BF12" w14:textId="77777777" w:rsidR="003F0EEA" w:rsidRDefault="003F0EEA">
            <w:pPr>
              <w:rPr>
                <w:rFonts w:ascii="Arial" w:eastAsia="Arial" w:hAnsi="Arial" w:cs="Arial"/>
                <w:color w:val="000000"/>
                <w:sz w:val="16"/>
              </w:rPr>
            </w:pPr>
          </w:p>
        </w:tc>
        <w:tc>
          <w:tcPr>
            <w:tcW w:w="180" w:type="dxa"/>
            <w:tcBorders>
              <w:top w:val="nil"/>
              <w:left w:val="nil"/>
              <w:bottom w:val="nil"/>
              <w:right w:val="nil"/>
              <w:tl2br w:val="nil"/>
              <w:tr2bl w:val="nil"/>
            </w:tcBorders>
            <w:shd w:val="clear" w:color="auto" w:fill="FFFFFF"/>
            <w:tcMar>
              <w:left w:w="115" w:type="dxa"/>
              <w:right w:w="115" w:type="dxa"/>
            </w:tcMar>
            <w:vAlign w:val="bottom"/>
          </w:tcPr>
          <w:p w14:paraId="1106FD65" w14:textId="77777777" w:rsidR="003F0EEA" w:rsidRDefault="003F0EEA">
            <w:pPr>
              <w:rPr>
                <w:rFonts w:ascii="Arial" w:eastAsia="Arial" w:hAnsi="Arial" w:cs="Arial"/>
                <w:color w:val="000000"/>
                <w:sz w:val="15"/>
              </w:rPr>
            </w:pPr>
          </w:p>
        </w:tc>
        <w:tc>
          <w:tcPr>
            <w:tcW w:w="2520" w:type="dxa"/>
            <w:tcBorders>
              <w:top w:val="nil"/>
              <w:left w:val="nil"/>
              <w:bottom w:val="nil"/>
              <w:right w:val="nil"/>
              <w:tl2br w:val="nil"/>
              <w:tr2bl w:val="nil"/>
            </w:tcBorders>
            <w:shd w:val="clear" w:color="auto" w:fill="FFFFFF"/>
            <w:tcMar>
              <w:left w:w="115" w:type="dxa"/>
              <w:right w:w="115" w:type="dxa"/>
            </w:tcMar>
            <w:vAlign w:val="bottom"/>
          </w:tcPr>
          <w:p w14:paraId="5433B5E0" w14:textId="77777777" w:rsidR="003F0EEA" w:rsidRDefault="00FB7D0B">
            <w:pPr>
              <w:rPr>
                <w:rFonts w:ascii="Arial" w:eastAsia="Arial" w:hAnsi="Arial" w:cs="Arial"/>
                <w:b/>
                <w:color w:val="000000"/>
                <w:sz w:val="16"/>
              </w:rPr>
            </w:pPr>
            <w:r>
              <w:rPr>
                <w:rFonts w:ascii="Arial" w:eastAsia="Arial" w:hAnsi="Arial" w:cs="Arial"/>
                <w:b/>
                <w:color w:val="000000"/>
                <w:sz w:val="16"/>
              </w:rPr>
              <w:t>by criteria/entitlement</w:t>
            </w:r>
          </w:p>
        </w:tc>
        <w:tc>
          <w:tcPr>
            <w:tcW w:w="360" w:type="dxa"/>
            <w:tcBorders>
              <w:top w:val="nil"/>
              <w:left w:val="nil"/>
              <w:bottom w:val="nil"/>
              <w:right w:val="nil"/>
              <w:tl2br w:val="nil"/>
              <w:tr2bl w:val="nil"/>
            </w:tcBorders>
            <w:shd w:val="clear" w:color="auto" w:fill="FFFFFF"/>
            <w:tcMar>
              <w:left w:w="115" w:type="dxa"/>
              <w:right w:w="115" w:type="dxa"/>
            </w:tcMar>
            <w:vAlign w:val="bottom"/>
          </w:tcPr>
          <w:p w14:paraId="5ED53654" w14:textId="77777777" w:rsidR="003F0EEA" w:rsidRDefault="003F0EEA">
            <w:pPr>
              <w:jc w:val="center"/>
              <w:rPr>
                <w:rFonts w:ascii="Arial" w:eastAsia="Arial" w:hAnsi="Arial" w:cs="Arial"/>
                <w:b/>
                <w:color w:val="000000"/>
                <w:sz w:val="16"/>
                <w:vertAlign w:val="superscript"/>
              </w:rPr>
            </w:pPr>
          </w:p>
        </w:tc>
        <w:tc>
          <w:tcPr>
            <w:tcW w:w="1230" w:type="dxa"/>
            <w:tcBorders>
              <w:top w:val="nil"/>
              <w:left w:val="nil"/>
              <w:bottom w:val="nil"/>
              <w:right w:val="nil"/>
              <w:tl2br w:val="nil"/>
              <w:tr2bl w:val="nil"/>
            </w:tcBorders>
            <w:shd w:val="clear" w:color="auto" w:fill="FFFFFF"/>
            <w:tcMar>
              <w:left w:w="115" w:type="dxa"/>
              <w:right w:w="115" w:type="dxa"/>
            </w:tcMar>
            <w:vAlign w:val="bottom"/>
          </w:tcPr>
          <w:p w14:paraId="34921A32" w14:textId="77777777" w:rsidR="003F0EEA" w:rsidRDefault="003F0EEA">
            <w:pPr>
              <w:jc w:val="right"/>
              <w:rPr>
                <w:rFonts w:ascii="Arial" w:eastAsia="Arial" w:hAnsi="Arial" w:cs="Arial"/>
                <w:b/>
                <w:color w:val="000000"/>
                <w:sz w:val="16"/>
                <w:vertAlign w:val="superscript"/>
              </w:rPr>
            </w:pPr>
          </w:p>
        </w:tc>
        <w:tc>
          <w:tcPr>
            <w:tcW w:w="330" w:type="dxa"/>
            <w:tcBorders>
              <w:top w:val="nil"/>
              <w:left w:val="nil"/>
              <w:bottom w:val="nil"/>
              <w:right w:val="nil"/>
              <w:tl2br w:val="nil"/>
              <w:tr2bl w:val="nil"/>
            </w:tcBorders>
            <w:shd w:val="clear" w:color="auto" w:fill="FFFFFF"/>
            <w:tcMar>
              <w:left w:w="115" w:type="dxa"/>
              <w:right w:w="115" w:type="dxa"/>
            </w:tcMar>
            <w:vAlign w:val="bottom"/>
          </w:tcPr>
          <w:p w14:paraId="6403B64C" w14:textId="77777777" w:rsidR="003F0EEA" w:rsidRDefault="00FB7D0B">
            <w:pPr>
              <w:rPr>
                <w:rFonts w:ascii="Arial" w:eastAsia="Arial" w:hAnsi="Arial" w:cs="Arial"/>
                <w:color w:val="000000"/>
                <w:sz w:val="16"/>
                <w:vertAlign w:val="superscript"/>
              </w:rPr>
            </w:pPr>
            <w:r>
              <w:rPr>
                <w:rFonts w:ascii="Arial" w:eastAsia="Arial" w:hAnsi="Arial" w:cs="Arial"/>
                <w:color w:val="000000"/>
                <w:sz w:val="16"/>
              </w:rPr>
              <w:t xml:space="preserve"> </w:t>
            </w:r>
          </w:p>
        </w:tc>
        <w:tc>
          <w:tcPr>
            <w:tcW w:w="1080" w:type="dxa"/>
            <w:tcBorders>
              <w:top w:val="nil"/>
              <w:left w:val="nil"/>
              <w:bottom w:val="nil"/>
              <w:right w:val="nil"/>
              <w:tl2br w:val="nil"/>
              <w:tr2bl w:val="nil"/>
            </w:tcBorders>
            <w:shd w:val="clear" w:color="auto" w:fill="FFFFFF"/>
            <w:tcMar>
              <w:left w:w="115" w:type="dxa"/>
              <w:right w:w="115" w:type="dxa"/>
            </w:tcMar>
            <w:vAlign w:val="bottom"/>
          </w:tcPr>
          <w:p w14:paraId="7D755C0B" w14:textId="77777777" w:rsidR="003F0EEA" w:rsidRDefault="003F0EEA">
            <w:pPr>
              <w:rPr>
                <w:rFonts w:ascii="Arial" w:eastAsia="Arial" w:hAnsi="Arial" w:cs="Arial"/>
                <w:color w:val="000000"/>
                <w:sz w:val="16"/>
              </w:rPr>
            </w:pPr>
          </w:p>
        </w:tc>
        <w:tc>
          <w:tcPr>
            <w:tcW w:w="300" w:type="dxa"/>
            <w:tcBorders>
              <w:top w:val="nil"/>
              <w:left w:val="nil"/>
              <w:bottom w:val="nil"/>
              <w:right w:val="nil"/>
              <w:tl2br w:val="nil"/>
              <w:tr2bl w:val="nil"/>
            </w:tcBorders>
            <w:shd w:val="clear" w:color="auto" w:fill="FFFFFF"/>
            <w:tcMar>
              <w:left w:w="115" w:type="dxa"/>
              <w:right w:w="115" w:type="dxa"/>
            </w:tcMar>
            <w:vAlign w:val="bottom"/>
          </w:tcPr>
          <w:p w14:paraId="1A591B6B" w14:textId="77777777" w:rsidR="003F0EEA" w:rsidRDefault="00FB7D0B">
            <w:pPr>
              <w:rPr>
                <w:rFonts w:ascii="Arial" w:eastAsia="Arial" w:hAnsi="Arial" w:cs="Arial"/>
                <w:color w:val="000000"/>
                <w:sz w:val="16"/>
              </w:rPr>
            </w:pPr>
            <w:r>
              <w:rPr>
                <w:rFonts w:ascii="Arial" w:eastAsia="Arial" w:hAnsi="Arial" w:cs="Arial"/>
                <w:color w:val="000000"/>
                <w:sz w:val="16"/>
              </w:rPr>
              <w:t xml:space="preserve"> </w:t>
            </w:r>
          </w:p>
        </w:tc>
        <w:tc>
          <w:tcPr>
            <w:tcW w:w="1080" w:type="dxa"/>
            <w:tcBorders>
              <w:top w:val="nil"/>
              <w:left w:val="nil"/>
              <w:bottom w:val="nil"/>
              <w:right w:val="nil"/>
              <w:tl2br w:val="nil"/>
              <w:tr2bl w:val="nil"/>
            </w:tcBorders>
            <w:shd w:val="clear" w:color="auto" w:fill="FFFF00"/>
            <w:tcMar>
              <w:left w:w="115" w:type="dxa"/>
              <w:right w:w="115" w:type="dxa"/>
            </w:tcMar>
          </w:tcPr>
          <w:p w14:paraId="677D9071" w14:textId="77777777" w:rsidR="003F0EEA" w:rsidRDefault="003F0EEA">
            <w:pPr>
              <w:jc w:val="right"/>
              <w:rPr>
                <w:rFonts w:ascii="Arial" w:eastAsia="Arial" w:hAnsi="Arial" w:cs="Arial"/>
                <w:color w:val="000000"/>
                <w:sz w:val="16"/>
              </w:rPr>
            </w:pPr>
          </w:p>
        </w:tc>
        <w:tc>
          <w:tcPr>
            <w:tcW w:w="1230" w:type="dxa"/>
            <w:tcBorders>
              <w:top w:val="nil"/>
              <w:left w:val="nil"/>
              <w:bottom w:val="nil"/>
              <w:right w:val="nil"/>
              <w:tl2br w:val="nil"/>
              <w:tr2bl w:val="nil"/>
            </w:tcBorders>
            <w:shd w:val="clear" w:color="auto" w:fill="FFFFFF"/>
            <w:tcMar>
              <w:left w:w="115" w:type="dxa"/>
              <w:right w:w="115" w:type="dxa"/>
            </w:tcMar>
            <w:vAlign w:val="bottom"/>
          </w:tcPr>
          <w:p w14:paraId="571B1E35" w14:textId="77777777" w:rsidR="003F0EEA" w:rsidRDefault="003F0EEA">
            <w:pPr>
              <w:jc w:val="right"/>
              <w:rPr>
                <w:rFonts w:ascii="Arial" w:eastAsia="Arial" w:hAnsi="Arial" w:cs="Arial"/>
                <w:b/>
                <w:color w:val="000000"/>
                <w:sz w:val="16"/>
              </w:rPr>
            </w:pPr>
          </w:p>
        </w:tc>
      </w:tr>
      <w:tr w:rsidR="00724034" w14:paraId="040F383D" w14:textId="77777777">
        <w:trPr>
          <w:trHeight w:val="210"/>
        </w:trPr>
        <w:tc>
          <w:tcPr>
            <w:tcW w:w="180" w:type="dxa"/>
            <w:tcBorders>
              <w:top w:val="nil"/>
              <w:left w:val="nil"/>
              <w:bottom w:val="nil"/>
              <w:right w:val="nil"/>
              <w:tl2br w:val="nil"/>
              <w:tr2bl w:val="nil"/>
            </w:tcBorders>
            <w:shd w:val="clear" w:color="auto" w:fill="FFFFFF"/>
            <w:tcMar>
              <w:left w:w="115" w:type="dxa"/>
              <w:right w:w="115" w:type="dxa"/>
            </w:tcMar>
            <w:vAlign w:val="bottom"/>
          </w:tcPr>
          <w:p w14:paraId="571ECA20" w14:textId="77777777" w:rsidR="003F0EEA" w:rsidRDefault="003F0EEA">
            <w:pPr>
              <w:rPr>
                <w:rFonts w:ascii="Arial" w:eastAsia="Arial" w:hAnsi="Arial" w:cs="Arial"/>
                <w:color w:val="000000"/>
                <w:sz w:val="16"/>
              </w:rPr>
            </w:pPr>
          </w:p>
        </w:tc>
        <w:tc>
          <w:tcPr>
            <w:tcW w:w="180" w:type="dxa"/>
            <w:tcBorders>
              <w:top w:val="nil"/>
              <w:left w:val="nil"/>
              <w:bottom w:val="nil"/>
              <w:right w:val="nil"/>
              <w:tl2br w:val="nil"/>
              <w:tr2bl w:val="nil"/>
            </w:tcBorders>
            <w:shd w:val="clear" w:color="auto" w:fill="FFFFFF"/>
            <w:tcMar>
              <w:left w:w="115" w:type="dxa"/>
              <w:right w:w="115" w:type="dxa"/>
            </w:tcMar>
            <w:vAlign w:val="bottom"/>
          </w:tcPr>
          <w:p w14:paraId="533D1673" w14:textId="77777777" w:rsidR="003F0EEA" w:rsidRDefault="003F0EEA">
            <w:pPr>
              <w:rPr>
                <w:rFonts w:ascii="Arial" w:eastAsia="Arial" w:hAnsi="Arial" w:cs="Arial"/>
                <w:color w:val="000000"/>
                <w:sz w:val="16"/>
              </w:rPr>
            </w:pPr>
          </w:p>
        </w:tc>
        <w:tc>
          <w:tcPr>
            <w:tcW w:w="2520" w:type="dxa"/>
            <w:tcBorders>
              <w:top w:val="nil"/>
              <w:left w:val="nil"/>
              <w:bottom w:val="nil"/>
              <w:right w:val="nil"/>
              <w:tl2br w:val="nil"/>
              <w:tr2bl w:val="nil"/>
            </w:tcBorders>
            <w:shd w:val="clear" w:color="auto" w:fill="FFFFFF"/>
            <w:tcMar>
              <w:left w:w="115" w:type="dxa"/>
              <w:right w:w="115" w:type="dxa"/>
            </w:tcMar>
            <w:vAlign w:val="bottom"/>
          </w:tcPr>
          <w:p w14:paraId="69931809" w14:textId="77777777" w:rsidR="003F0EEA" w:rsidRDefault="00FB7D0B">
            <w:pPr>
              <w:rPr>
                <w:rFonts w:ascii="Arial" w:eastAsia="Arial" w:hAnsi="Arial" w:cs="Arial"/>
                <w:color w:val="000000"/>
                <w:sz w:val="16"/>
              </w:rPr>
            </w:pPr>
            <w:r>
              <w:rPr>
                <w:rFonts w:ascii="Arial" w:eastAsia="Arial" w:hAnsi="Arial" w:cs="Arial"/>
                <w:b/>
                <w:color w:val="000000"/>
                <w:sz w:val="16"/>
              </w:rPr>
              <w:t>Outcome 1</w:t>
            </w:r>
          </w:p>
        </w:tc>
        <w:tc>
          <w:tcPr>
            <w:tcW w:w="360" w:type="dxa"/>
            <w:tcBorders>
              <w:top w:val="nil"/>
              <w:left w:val="nil"/>
              <w:bottom w:val="nil"/>
              <w:right w:val="nil"/>
              <w:tl2br w:val="nil"/>
              <w:tr2bl w:val="nil"/>
            </w:tcBorders>
            <w:shd w:val="clear" w:color="auto" w:fill="FFFFFF"/>
            <w:tcMar>
              <w:left w:w="115" w:type="dxa"/>
              <w:right w:w="115" w:type="dxa"/>
            </w:tcMar>
            <w:vAlign w:val="bottom"/>
          </w:tcPr>
          <w:p w14:paraId="4B0DFE71" w14:textId="77777777" w:rsidR="003F0EEA" w:rsidRDefault="003F0EEA">
            <w:pPr>
              <w:jc w:val="center"/>
              <w:rPr>
                <w:rFonts w:ascii="Arial" w:eastAsia="Arial" w:hAnsi="Arial" w:cs="Arial"/>
                <w:b/>
                <w:color w:val="000000"/>
                <w:sz w:val="16"/>
                <w:vertAlign w:val="superscript"/>
              </w:rPr>
            </w:pPr>
          </w:p>
        </w:tc>
        <w:tc>
          <w:tcPr>
            <w:tcW w:w="1230" w:type="dxa"/>
            <w:tcBorders>
              <w:top w:val="nil"/>
              <w:left w:val="nil"/>
              <w:bottom w:val="nil"/>
              <w:right w:val="nil"/>
              <w:tl2br w:val="nil"/>
              <w:tr2bl w:val="nil"/>
            </w:tcBorders>
            <w:shd w:val="clear" w:color="auto" w:fill="FFFFFF"/>
            <w:tcMar>
              <w:left w:w="115" w:type="dxa"/>
              <w:right w:w="115" w:type="dxa"/>
            </w:tcMar>
            <w:vAlign w:val="bottom"/>
          </w:tcPr>
          <w:p w14:paraId="72E7017A" w14:textId="77777777" w:rsidR="003F0EEA" w:rsidRDefault="003F0EEA">
            <w:pPr>
              <w:jc w:val="right"/>
              <w:rPr>
                <w:rFonts w:ascii="Arial" w:eastAsia="Arial" w:hAnsi="Arial" w:cs="Arial"/>
                <w:b/>
                <w:color w:val="000000"/>
                <w:sz w:val="16"/>
                <w:vertAlign w:val="superscript"/>
              </w:rPr>
            </w:pPr>
          </w:p>
        </w:tc>
        <w:tc>
          <w:tcPr>
            <w:tcW w:w="330" w:type="dxa"/>
            <w:tcBorders>
              <w:top w:val="nil"/>
              <w:left w:val="nil"/>
              <w:bottom w:val="nil"/>
              <w:right w:val="nil"/>
              <w:tl2br w:val="nil"/>
              <w:tr2bl w:val="nil"/>
            </w:tcBorders>
            <w:shd w:val="clear" w:color="auto" w:fill="FFFFFF"/>
            <w:tcMar>
              <w:left w:w="115" w:type="dxa"/>
              <w:right w:w="115" w:type="dxa"/>
            </w:tcMar>
            <w:vAlign w:val="bottom"/>
          </w:tcPr>
          <w:p w14:paraId="233089A7" w14:textId="77777777" w:rsidR="003F0EEA" w:rsidRDefault="00FB7D0B">
            <w:pPr>
              <w:rPr>
                <w:rFonts w:ascii="Arial" w:eastAsia="Arial" w:hAnsi="Arial" w:cs="Arial"/>
                <w:color w:val="000000"/>
                <w:sz w:val="16"/>
                <w:vertAlign w:val="superscript"/>
              </w:rPr>
            </w:pPr>
            <w:r>
              <w:rPr>
                <w:rFonts w:ascii="Arial" w:eastAsia="Arial" w:hAnsi="Arial" w:cs="Arial"/>
                <w:color w:val="000000"/>
                <w:sz w:val="16"/>
              </w:rPr>
              <w:t xml:space="preserve"> </w:t>
            </w:r>
          </w:p>
        </w:tc>
        <w:tc>
          <w:tcPr>
            <w:tcW w:w="1080" w:type="dxa"/>
            <w:tcBorders>
              <w:top w:val="nil"/>
              <w:left w:val="nil"/>
              <w:bottom w:val="nil"/>
              <w:right w:val="nil"/>
              <w:tl2br w:val="nil"/>
              <w:tr2bl w:val="nil"/>
            </w:tcBorders>
            <w:shd w:val="clear" w:color="auto" w:fill="FFFFFF"/>
            <w:tcMar>
              <w:left w:w="115" w:type="dxa"/>
              <w:right w:w="115" w:type="dxa"/>
            </w:tcMar>
            <w:vAlign w:val="bottom"/>
          </w:tcPr>
          <w:p w14:paraId="181D878A" w14:textId="77777777" w:rsidR="003F0EEA" w:rsidRDefault="003F0EEA">
            <w:pPr>
              <w:rPr>
                <w:rFonts w:ascii="Arial" w:eastAsia="Arial" w:hAnsi="Arial" w:cs="Arial"/>
                <w:color w:val="000000"/>
                <w:sz w:val="16"/>
              </w:rPr>
            </w:pPr>
          </w:p>
        </w:tc>
        <w:tc>
          <w:tcPr>
            <w:tcW w:w="300" w:type="dxa"/>
            <w:tcBorders>
              <w:top w:val="nil"/>
              <w:left w:val="nil"/>
              <w:bottom w:val="nil"/>
              <w:right w:val="nil"/>
              <w:tl2br w:val="nil"/>
              <w:tr2bl w:val="nil"/>
            </w:tcBorders>
            <w:shd w:val="clear" w:color="auto" w:fill="FFFFFF"/>
            <w:tcMar>
              <w:left w:w="115" w:type="dxa"/>
              <w:right w:w="115" w:type="dxa"/>
            </w:tcMar>
            <w:vAlign w:val="bottom"/>
          </w:tcPr>
          <w:p w14:paraId="3FE571A1" w14:textId="77777777" w:rsidR="003F0EEA" w:rsidRDefault="00FB7D0B">
            <w:pPr>
              <w:rPr>
                <w:rFonts w:ascii="Arial" w:eastAsia="Arial" w:hAnsi="Arial" w:cs="Arial"/>
                <w:color w:val="000000"/>
                <w:sz w:val="16"/>
              </w:rPr>
            </w:pPr>
            <w:r>
              <w:rPr>
                <w:rFonts w:ascii="Arial" w:eastAsia="Arial" w:hAnsi="Arial" w:cs="Arial"/>
                <w:color w:val="000000"/>
                <w:sz w:val="16"/>
              </w:rPr>
              <w:t xml:space="preserve"> </w:t>
            </w:r>
          </w:p>
        </w:tc>
        <w:tc>
          <w:tcPr>
            <w:tcW w:w="1080" w:type="dxa"/>
            <w:tcBorders>
              <w:top w:val="nil"/>
              <w:left w:val="nil"/>
              <w:bottom w:val="nil"/>
              <w:right w:val="nil"/>
              <w:tl2br w:val="nil"/>
              <w:tr2bl w:val="nil"/>
            </w:tcBorders>
            <w:shd w:val="clear" w:color="auto" w:fill="FFFF00"/>
            <w:tcMar>
              <w:left w:w="115" w:type="dxa"/>
              <w:right w:w="115" w:type="dxa"/>
            </w:tcMar>
          </w:tcPr>
          <w:p w14:paraId="604505AD" w14:textId="77777777" w:rsidR="003F0EEA" w:rsidRDefault="003F0EEA">
            <w:pPr>
              <w:jc w:val="right"/>
              <w:rPr>
                <w:rFonts w:ascii="Arial" w:eastAsia="Arial" w:hAnsi="Arial" w:cs="Arial"/>
                <w:color w:val="000000"/>
                <w:sz w:val="16"/>
              </w:rPr>
            </w:pPr>
          </w:p>
        </w:tc>
        <w:tc>
          <w:tcPr>
            <w:tcW w:w="1230" w:type="dxa"/>
            <w:tcBorders>
              <w:top w:val="nil"/>
              <w:left w:val="nil"/>
              <w:bottom w:val="nil"/>
              <w:right w:val="nil"/>
              <w:tl2br w:val="nil"/>
              <w:tr2bl w:val="nil"/>
            </w:tcBorders>
            <w:shd w:val="clear" w:color="auto" w:fill="FFFFFF"/>
            <w:tcMar>
              <w:left w:w="115" w:type="dxa"/>
              <w:right w:w="115" w:type="dxa"/>
            </w:tcMar>
            <w:vAlign w:val="bottom"/>
          </w:tcPr>
          <w:p w14:paraId="52F7B608" w14:textId="77777777" w:rsidR="003F0EEA" w:rsidRDefault="003F0EEA">
            <w:pPr>
              <w:jc w:val="right"/>
              <w:rPr>
                <w:rFonts w:ascii="Arial" w:eastAsia="Arial" w:hAnsi="Arial" w:cs="Arial"/>
                <w:b/>
                <w:color w:val="000000"/>
                <w:sz w:val="16"/>
              </w:rPr>
            </w:pPr>
          </w:p>
        </w:tc>
      </w:tr>
      <w:tr w:rsidR="00724034" w14:paraId="61C46B10" w14:textId="77777777">
        <w:trPr>
          <w:trHeight w:val="675"/>
        </w:trPr>
        <w:tc>
          <w:tcPr>
            <w:tcW w:w="180" w:type="dxa"/>
            <w:tcBorders>
              <w:top w:val="nil"/>
              <w:left w:val="nil"/>
              <w:bottom w:val="nil"/>
              <w:right w:val="nil"/>
              <w:tl2br w:val="nil"/>
              <w:tr2bl w:val="nil"/>
            </w:tcBorders>
            <w:shd w:val="clear" w:color="auto" w:fill="FFFFFF"/>
            <w:tcMar>
              <w:left w:w="115" w:type="dxa"/>
              <w:right w:w="115" w:type="dxa"/>
            </w:tcMar>
            <w:vAlign w:val="bottom"/>
          </w:tcPr>
          <w:p w14:paraId="56ED1BC7" w14:textId="77777777" w:rsidR="003F0EEA" w:rsidRDefault="003F0EEA">
            <w:pPr>
              <w:rPr>
                <w:rFonts w:ascii="Arial" w:eastAsia="Arial" w:hAnsi="Arial" w:cs="Arial"/>
                <w:color w:val="000000"/>
                <w:sz w:val="16"/>
              </w:rPr>
            </w:pPr>
          </w:p>
        </w:tc>
        <w:tc>
          <w:tcPr>
            <w:tcW w:w="180" w:type="dxa"/>
            <w:tcBorders>
              <w:top w:val="nil"/>
              <w:left w:val="nil"/>
              <w:bottom w:val="nil"/>
              <w:right w:val="nil"/>
              <w:tl2br w:val="nil"/>
              <w:tr2bl w:val="nil"/>
            </w:tcBorders>
            <w:shd w:val="clear" w:color="auto" w:fill="FFFFFF"/>
            <w:tcMar>
              <w:left w:w="115" w:type="dxa"/>
              <w:right w:w="115" w:type="dxa"/>
            </w:tcMar>
            <w:vAlign w:val="bottom"/>
          </w:tcPr>
          <w:p w14:paraId="614F9428" w14:textId="77777777" w:rsidR="003F0EEA" w:rsidRDefault="003F0EEA">
            <w:pPr>
              <w:rPr>
                <w:rFonts w:ascii="Arial" w:eastAsia="Arial" w:hAnsi="Arial" w:cs="Arial"/>
                <w:color w:val="000000"/>
                <w:sz w:val="16"/>
              </w:rPr>
            </w:pPr>
          </w:p>
        </w:tc>
        <w:tc>
          <w:tcPr>
            <w:tcW w:w="2520" w:type="dxa"/>
            <w:tcBorders>
              <w:top w:val="nil"/>
              <w:left w:val="nil"/>
              <w:bottom w:val="nil"/>
              <w:right w:val="nil"/>
              <w:tl2br w:val="nil"/>
              <w:tr2bl w:val="nil"/>
            </w:tcBorders>
            <w:shd w:val="clear" w:color="auto" w:fill="FFFFFF"/>
            <w:tcMar>
              <w:left w:w="115" w:type="dxa"/>
              <w:right w:w="115" w:type="dxa"/>
            </w:tcMar>
            <w:vAlign w:val="bottom"/>
          </w:tcPr>
          <w:p w14:paraId="44F3ADD4" w14:textId="77777777" w:rsidR="003F0EEA" w:rsidRDefault="00FB7D0B">
            <w:pPr>
              <w:rPr>
                <w:rFonts w:ascii="Arial" w:eastAsia="Arial" w:hAnsi="Arial" w:cs="Arial"/>
                <w:color w:val="000000"/>
                <w:sz w:val="16"/>
              </w:rPr>
            </w:pPr>
            <w:r>
              <w:rPr>
                <w:rFonts w:ascii="Arial" w:eastAsia="Arial" w:hAnsi="Arial" w:cs="Arial"/>
                <w:i/>
                <w:color w:val="000000"/>
                <w:sz w:val="16"/>
              </w:rPr>
              <w:t>Papua New Guinea (Members of the Forces Benefits) Act 1957</w:t>
            </w:r>
          </w:p>
        </w:tc>
        <w:tc>
          <w:tcPr>
            <w:tcW w:w="360" w:type="dxa"/>
            <w:tcBorders>
              <w:top w:val="nil"/>
              <w:left w:val="nil"/>
              <w:bottom w:val="nil"/>
              <w:right w:val="nil"/>
              <w:tl2br w:val="nil"/>
              <w:tr2bl w:val="nil"/>
            </w:tcBorders>
            <w:shd w:val="clear" w:color="auto" w:fill="FFFFFF"/>
            <w:tcMar>
              <w:left w:w="115" w:type="dxa"/>
              <w:right w:w="115" w:type="dxa"/>
            </w:tcMar>
            <w:vAlign w:val="bottom"/>
          </w:tcPr>
          <w:p w14:paraId="53607C0D" w14:textId="77777777" w:rsidR="003F0EEA" w:rsidRDefault="003F0EEA">
            <w:pPr>
              <w:jc w:val="center"/>
              <w:rPr>
                <w:rFonts w:ascii="Arial" w:eastAsia="Arial" w:hAnsi="Arial" w:cs="Arial"/>
                <w:i/>
                <w:color w:val="000000"/>
                <w:sz w:val="16"/>
                <w:vertAlign w:val="superscript"/>
              </w:rPr>
            </w:pPr>
          </w:p>
        </w:tc>
        <w:tc>
          <w:tcPr>
            <w:tcW w:w="1230" w:type="dxa"/>
            <w:tcBorders>
              <w:top w:val="nil"/>
              <w:left w:val="nil"/>
              <w:bottom w:val="nil"/>
              <w:right w:val="nil"/>
              <w:tl2br w:val="nil"/>
              <w:tr2bl w:val="nil"/>
            </w:tcBorders>
            <w:shd w:val="clear" w:color="auto" w:fill="FFFFFF"/>
            <w:tcMar>
              <w:left w:w="115" w:type="dxa"/>
              <w:right w:w="115" w:type="dxa"/>
            </w:tcMar>
            <w:vAlign w:val="bottom"/>
          </w:tcPr>
          <w:p w14:paraId="3783D6FD" w14:textId="77777777" w:rsidR="003F0EEA" w:rsidRDefault="00FB7D0B">
            <w:pPr>
              <w:jc w:val="right"/>
              <w:rPr>
                <w:rFonts w:ascii="Arial" w:eastAsia="Arial" w:hAnsi="Arial" w:cs="Arial"/>
                <w:color w:val="000000"/>
                <w:sz w:val="16"/>
                <w:vertAlign w:val="superscript"/>
              </w:rPr>
            </w:pPr>
            <w:r>
              <w:rPr>
                <w:rFonts w:ascii="Arial" w:eastAsia="Arial" w:hAnsi="Arial" w:cs="Arial"/>
                <w:color w:val="000000"/>
                <w:sz w:val="16"/>
              </w:rPr>
              <w:t xml:space="preserve"> - </w:t>
            </w:r>
          </w:p>
        </w:tc>
        <w:tc>
          <w:tcPr>
            <w:tcW w:w="330" w:type="dxa"/>
            <w:tcBorders>
              <w:top w:val="nil"/>
              <w:left w:val="nil"/>
              <w:bottom w:val="nil"/>
              <w:right w:val="nil"/>
              <w:tl2br w:val="nil"/>
              <w:tr2bl w:val="nil"/>
            </w:tcBorders>
            <w:shd w:val="clear" w:color="auto" w:fill="FFFFFF"/>
            <w:tcMar>
              <w:left w:w="115" w:type="dxa"/>
              <w:right w:w="115" w:type="dxa"/>
            </w:tcMar>
            <w:vAlign w:val="bottom"/>
          </w:tcPr>
          <w:p w14:paraId="57DB80B3" w14:textId="77777777" w:rsidR="003F0EEA" w:rsidRDefault="00FB7D0B">
            <w:pPr>
              <w:rPr>
                <w:rFonts w:ascii="Arial" w:eastAsia="Arial" w:hAnsi="Arial" w:cs="Arial"/>
                <w:color w:val="000000"/>
                <w:sz w:val="16"/>
              </w:rPr>
            </w:pPr>
            <w:r>
              <w:rPr>
                <w:rFonts w:ascii="Arial" w:eastAsia="Arial" w:hAnsi="Arial" w:cs="Arial"/>
                <w:color w:val="000000"/>
                <w:sz w:val="16"/>
              </w:rPr>
              <w:t xml:space="preserve"> </w:t>
            </w:r>
          </w:p>
        </w:tc>
        <w:tc>
          <w:tcPr>
            <w:tcW w:w="1080" w:type="dxa"/>
            <w:tcBorders>
              <w:top w:val="nil"/>
              <w:left w:val="nil"/>
              <w:bottom w:val="nil"/>
              <w:right w:val="nil"/>
              <w:tl2br w:val="nil"/>
              <w:tr2bl w:val="nil"/>
            </w:tcBorders>
            <w:shd w:val="clear" w:color="auto" w:fill="FFFFFF"/>
            <w:tcMar>
              <w:left w:w="115" w:type="dxa"/>
              <w:right w:w="115" w:type="dxa"/>
            </w:tcMar>
            <w:vAlign w:val="bottom"/>
          </w:tcPr>
          <w:p w14:paraId="1AE5363C" w14:textId="77777777" w:rsidR="003F0EEA" w:rsidRDefault="00FB7D0B">
            <w:pPr>
              <w:jc w:val="right"/>
              <w:rPr>
                <w:rFonts w:ascii="Arial" w:eastAsia="Arial" w:hAnsi="Arial" w:cs="Arial"/>
                <w:color w:val="000000"/>
                <w:sz w:val="16"/>
              </w:rPr>
            </w:pPr>
            <w:r>
              <w:rPr>
                <w:rFonts w:ascii="Arial" w:eastAsia="Arial" w:hAnsi="Arial" w:cs="Arial"/>
                <w:color w:val="000000"/>
                <w:sz w:val="16"/>
              </w:rPr>
              <w:t xml:space="preserve"> 70 </w:t>
            </w:r>
          </w:p>
        </w:tc>
        <w:tc>
          <w:tcPr>
            <w:tcW w:w="300" w:type="dxa"/>
            <w:tcBorders>
              <w:top w:val="nil"/>
              <w:left w:val="nil"/>
              <w:bottom w:val="nil"/>
              <w:right w:val="nil"/>
              <w:tl2br w:val="nil"/>
              <w:tr2bl w:val="nil"/>
            </w:tcBorders>
            <w:shd w:val="clear" w:color="auto" w:fill="FFFFFF"/>
            <w:tcMar>
              <w:left w:w="115" w:type="dxa"/>
              <w:right w:w="115" w:type="dxa"/>
            </w:tcMar>
            <w:vAlign w:val="bottom"/>
          </w:tcPr>
          <w:p w14:paraId="665E6227" w14:textId="77777777" w:rsidR="003F0EEA" w:rsidRDefault="00FB7D0B">
            <w:pPr>
              <w:rPr>
                <w:rFonts w:ascii="Arial" w:eastAsia="Arial" w:hAnsi="Arial" w:cs="Arial"/>
                <w:color w:val="000000"/>
                <w:sz w:val="16"/>
              </w:rPr>
            </w:pPr>
            <w:r>
              <w:rPr>
                <w:rFonts w:ascii="Arial" w:eastAsia="Arial" w:hAnsi="Arial" w:cs="Arial"/>
                <w:color w:val="000000"/>
                <w:sz w:val="16"/>
              </w:rPr>
              <w:t xml:space="preserve"> </w:t>
            </w:r>
          </w:p>
        </w:tc>
        <w:tc>
          <w:tcPr>
            <w:tcW w:w="1080" w:type="dxa"/>
            <w:tcBorders>
              <w:top w:val="nil"/>
              <w:left w:val="nil"/>
              <w:bottom w:val="nil"/>
              <w:right w:val="nil"/>
              <w:tl2br w:val="nil"/>
              <w:tr2bl w:val="nil"/>
            </w:tcBorders>
            <w:shd w:val="clear" w:color="auto" w:fill="FFFF00"/>
            <w:tcMar>
              <w:left w:w="115" w:type="dxa"/>
              <w:right w:w="115" w:type="dxa"/>
            </w:tcMar>
            <w:vAlign w:val="bottom"/>
          </w:tcPr>
          <w:p w14:paraId="4DE86183" w14:textId="77777777" w:rsidR="003F0EEA" w:rsidRDefault="00FB7D0B">
            <w:pPr>
              <w:jc w:val="right"/>
              <w:rPr>
                <w:rFonts w:ascii="Arial" w:eastAsia="Arial" w:hAnsi="Arial" w:cs="Arial"/>
                <w:color w:val="000000"/>
                <w:sz w:val="16"/>
              </w:rPr>
            </w:pPr>
            <w:r>
              <w:rPr>
                <w:rFonts w:ascii="Arial" w:eastAsia="Arial" w:hAnsi="Arial" w:cs="Arial"/>
                <w:color w:val="000000"/>
                <w:sz w:val="16"/>
              </w:rPr>
              <w:t xml:space="preserve"> 70 </w:t>
            </w:r>
          </w:p>
        </w:tc>
        <w:tc>
          <w:tcPr>
            <w:tcW w:w="1230" w:type="dxa"/>
            <w:tcBorders>
              <w:top w:val="nil"/>
              <w:left w:val="nil"/>
              <w:bottom w:val="nil"/>
              <w:right w:val="nil"/>
              <w:tl2br w:val="nil"/>
              <w:tr2bl w:val="nil"/>
            </w:tcBorders>
            <w:shd w:val="clear" w:color="auto" w:fill="FFFFFF"/>
            <w:tcMar>
              <w:left w:w="115" w:type="dxa"/>
              <w:right w:w="115" w:type="dxa"/>
            </w:tcMar>
            <w:vAlign w:val="bottom"/>
          </w:tcPr>
          <w:p w14:paraId="66F1B548" w14:textId="77777777" w:rsidR="003F0EEA" w:rsidRDefault="00FB7D0B">
            <w:pPr>
              <w:jc w:val="right"/>
              <w:rPr>
                <w:rFonts w:ascii="Arial" w:eastAsia="Arial" w:hAnsi="Arial" w:cs="Arial"/>
                <w:color w:val="000000"/>
                <w:sz w:val="16"/>
              </w:rPr>
            </w:pPr>
            <w:r>
              <w:rPr>
                <w:rFonts w:ascii="Arial" w:eastAsia="Arial" w:hAnsi="Arial" w:cs="Arial"/>
                <w:color w:val="000000"/>
                <w:sz w:val="16"/>
              </w:rPr>
              <w:t xml:space="preserve"> 70 </w:t>
            </w:r>
          </w:p>
        </w:tc>
      </w:tr>
      <w:tr w:rsidR="00724034" w14:paraId="237563E8" w14:textId="77777777">
        <w:trPr>
          <w:trHeight w:val="450"/>
        </w:trPr>
        <w:tc>
          <w:tcPr>
            <w:tcW w:w="180" w:type="dxa"/>
            <w:tcBorders>
              <w:top w:val="nil"/>
              <w:left w:val="nil"/>
              <w:bottom w:val="nil"/>
              <w:right w:val="nil"/>
              <w:tl2br w:val="nil"/>
              <w:tr2bl w:val="nil"/>
            </w:tcBorders>
            <w:shd w:val="clear" w:color="auto" w:fill="FFFFFF"/>
            <w:tcMar>
              <w:left w:w="115" w:type="dxa"/>
              <w:right w:w="115" w:type="dxa"/>
            </w:tcMar>
            <w:vAlign w:val="bottom"/>
          </w:tcPr>
          <w:p w14:paraId="474C31D5" w14:textId="77777777" w:rsidR="003F0EEA" w:rsidRDefault="003F0EEA">
            <w:pPr>
              <w:rPr>
                <w:rFonts w:ascii="Arial" w:eastAsia="Arial" w:hAnsi="Arial" w:cs="Arial"/>
                <w:color w:val="000000"/>
                <w:sz w:val="16"/>
              </w:rPr>
            </w:pPr>
          </w:p>
        </w:tc>
        <w:tc>
          <w:tcPr>
            <w:tcW w:w="180" w:type="dxa"/>
            <w:tcBorders>
              <w:top w:val="nil"/>
              <w:left w:val="nil"/>
              <w:bottom w:val="nil"/>
              <w:right w:val="nil"/>
              <w:tl2br w:val="nil"/>
              <w:tr2bl w:val="nil"/>
            </w:tcBorders>
            <w:shd w:val="clear" w:color="auto" w:fill="FFFFFF"/>
            <w:tcMar>
              <w:left w:w="115" w:type="dxa"/>
              <w:right w:w="115" w:type="dxa"/>
            </w:tcMar>
            <w:vAlign w:val="bottom"/>
          </w:tcPr>
          <w:p w14:paraId="51209D3B" w14:textId="77777777" w:rsidR="003F0EEA" w:rsidRDefault="003F0EEA">
            <w:pPr>
              <w:rPr>
                <w:rFonts w:ascii="Arial" w:eastAsia="Arial" w:hAnsi="Arial" w:cs="Arial"/>
                <w:color w:val="000000"/>
                <w:sz w:val="16"/>
              </w:rPr>
            </w:pPr>
          </w:p>
        </w:tc>
        <w:tc>
          <w:tcPr>
            <w:tcW w:w="2520" w:type="dxa"/>
            <w:tcBorders>
              <w:top w:val="nil"/>
              <w:left w:val="nil"/>
              <w:bottom w:val="nil"/>
              <w:right w:val="nil"/>
              <w:tl2br w:val="nil"/>
              <w:tr2bl w:val="nil"/>
            </w:tcBorders>
            <w:shd w:val="clear" w:color="auto" w:fill="FFFFFF"/>
            <w:tcMar>
              <w:left w:w="115" w:type="dxa"/>
              <w:right w:w="115" w:type="dxa"/>
            </w:tcMar>
            <w:vAlign w:val="bottom"/>
          </w:tcPr>
          <w:p w14:paraId="6B3CCD01" w14:textId="77777777" w:rsidR="003F0EEA" w:rsidRDefault="00FB7D0B">
            <w:pPr>
              <w:rPr>
                <w:rFonts w:ascii="Arial" w:eastAsia="Arial" w:hAnsi="Arial" w:cs="Arial"/>
                <w:color w:val="000000"/>
                <w:sz w:val="16"/>
              </w:rPr>
            </w:pPr>
            <w:r>
              <w:rPr>
                <w:rFonts w:ascii="Arial" w:eastAsia="Arial" w:hAnsi="Arial" w:cs="Arial"/>
                <w:i/>
                <w:color w:val="000000"/>
                <w:sz w:val="16"/>
              </w:rPr>
              <w:t>Veterans' Entitlements Act 1986 (VEA)</w:t>
            </w:r>
          </w:p>
        </w:tc>
        <w:tc>
          <w:tcPr>
            <w:tcW w:w="360" w:type="dxa"/>
            <w:tcBorders>
              <w:top w:val="nil"/>
              <w:left w:val="nil"/>
              <w:bottom w:val="nil"/>
              <w:right w:val="nil"/>
              <w:tl2br w:val="nil"/>
              <w:tr2bl w:val="nil"/>
            </w:tcBorders>
            <w:shd w:val="clear" w:color="auto" w:fill="FFFFFF"/>
            <w:tcMar>
              <w:left w:w="115" w:type="dxa"/>
              <w:right w:w="115" w:type="dxa"/>
            </w:tcMar>
            <w:vAlign w:val="bottom"/>
          </w:tcPr>
          <w:p w14:paraId="169180C6" w14:textId="77777777" w:rsidR="003F0EEA" w:rsidRDefault="003F0EEA">
            <w:pPr>
              <w:jc w:val="center"/>
              <w:rPr>
                <w:rFonts w:ascii="Arial" w:eastAsia="Arial" w:hAnsi="Arial" w:cs="Arial"/>
                <w:i/>
                <w:color w:val="000000"/>
                <w:sz w:val="16"/>
                <w:vertAlign w:val="superscript"/>
              </w:rPr>
            </w:pPr>
          </w:p>
        </w:tc>
        <w:tc>
          <w:tcPr>
            <w:tcW w:w="1230" w:type="dxa"/>
            <w:tcBorders>
              <w:top w:val="nil"/>
              <w:left w:val="nil"/>
              <w:bottom w:val="nil"/>
              <w:right w:val="nil"/>
              <w:tl2br w:val="nil"/>
              <w:tr2bl w:val="nil"/>
            </w:tcBorders>
            <w:shd w:val="clear" w:color="auto" w:fill="FFFFFF"/>
            <w:tcMar>
              <w:left w:w="115" w:type="dxa"/>
              <w:right w:w="115" w:type="dxa"/>
            </w:tcMar>
            <w:vAlign w:val="bottom"/>
          </w:tcPr>
          <w:p w14:paraId="6705E480" w14:textId="77777777" w:rsidR="003F0EEA" w:rsidRDefault="00FB7D0B">
            <w:pPr>
              <w:jc w:val="right"/>
              <w:rPr>
                <w:rFonts w:ascii="Arial" w:eastAsia="Arial" w:hAnsi="Arial" w:cs="Arial"/>
                <w:color w:val="000000"/>
                <w:sz w:val="16"/>
                <w:vertAlign w:val="superscript"/>
              </w:rPr>
            </w:pPr>
            <w:r>
              <w:rPr>
                <w:rFonts w:ascii="Arial" w:eastAsia="Arial" w:hAnsi="Arial" w:cs="Arial"/>
                <w:color w:val="000000"/>
                <w:sz w:val="16"/>
              </w:rPr>
              <w:t xml:space="preserve"> - </w:t>
            </w:r>
          </w:p>
        </w:tc>
        <w:tc>
          <w:tcPr>
            <w:tcW w:w="330" w:type="dxa"/>
            <w:tcBorders>
              <w:top w:val="nil"/>
              <w:left w:val="nil"/>
              <w:bottom w:val="nil"/>
              <w:right w:val="nil"/>
              <w:tl2br w:val="nil"/>
              <w:tr2bl w:val="nil"/>
            </w:tcBorders>
            <w:shd w:val="clear" w:color="auto" w:fill="FFFFFF"/>
            <w:tcMar>
              <w:left w:w="115" w:type="dxa"/>
              <w:right w:w="115" w:type="dxa"/>
            </w:tcMar>
            <w:vAlign w:val="bottom"/>
          </w:tcPr>
          <w:p w14:paraId="681BE1A8" w14:textId="77777777" w:rsidR="003F0EEA" w:rsidRDefault="00FB7D0B">
            <w:pPr>
              <w:rPr>
                <w:rFonts w:ascii="Arial" w:eastAsia="Arial" w:hAnsi="Arial" w:cs="Arial"/>
                <w:color w:val="000000"/>
                <w:sz w:val="16"/>
              </w:rPr>
            </w:pPr>
            <w:r>
              <w:rPr>
                <w:rFonts w:ascii="Arial" w:eastAsia="Arial" w:hAnsi="Arial" w:cs="Arial"/>
                <w:color w:val="000000"/>
                <w:sz w:val="16"/>
              </w:rPr>
              <w:t xml:space="preserve"> </w:t>
            </w:r>
          </w:p>
        </w:tc>
        <w:tc>
          <w:tcPr>
            <w:tcW w:w="1080" w:type="dxa"/>
            <w:tcBorders>
              <w:top w:val="nil"/>
              <w:left w:val="nil"/>
              <w:bottom w:val="nil"/>
              <w:right w:val="nil"/>
              <w:tl2br w:val="nil"/>
              <w:tr2bl w:val="nil"/>
            </w:tcBorders>
            <w:shd w:val="clear" w:color="auto" w:fill="FFFFFF"/>
            <w:tcMar>
              <w:left w:w="115" w:type="dxa"/>
              <w:right w:w="115" w:type="dxa"/>
            </w:tcMar>
            <w:vAlign w:val="bottom"/>
          </w:tcPr>
          <w:p w14:paraId="10ACDE19" w14:textId="77777777" w:rsidR="003F0EEA" w:rsidRDefault="00FB7D0B">
            <w:pPr>
              <w:jc w:val="right"/>
              <w:rPr>
                <w:rFonts w:ascii="Arial" w:eastAsia="Arial" w:hAnsi="Arial" w:cs="Arial"/>
                <w:color w:val="000000"/>
                <w:sz w:val="16"/>
              </w:rPr>
            </w:pPr>
            <w:r>
              <w:rPr>
                <w:rFonts w:ascii="Arial" w:eastAsia="Arial" w:hAnsi="Arial" w:cs="Arial"/>
                <w:color w:val="000000"/>
                <w:sz w:val="16"/>
              </w:rPr>
              <w:t xml:space="preserve"> 6,111,121 </w:t>
            </w:r>
          </w:p>
        </w:tc>
        <w:tc>
          <w:tcPr>
            <w:tcW w:w="300" w:type="dxa"/>
            <w:tcBorders>
              <w:top w:val="nil"/>
              <w:left w:val="nil"/>
              <w:bottom w:val="nil"/>
              <w:right w:val="nil"/>
              <w:tl2br w:val="nil"/>
              <w:tr2bl w:val="nil"/>
            </w:tcBorders>
            <w:shd w:val="clear" w:color="auto" w:fill="FFFFFF"/>
            <w:tcMar>
              <w:left w:w="115" w:type="dxa"/>
              <w:right w:w="115" w:type="dxa"/>
            </w:tcMar>
            <w:vAlign w:val="bottom"/>
          </w:tcPr>
          <w:p w14:paraId="52D1266B" w14:textId="77777777" w:rsidR="003F0EEA" w:rsidRDefault="00FB7D0B">
            <w:pPr>
              <w:rPr>
                <w:rFonts w:ascii="Arial" w:eastAsia="Arial" w:hAnsi="Arial" w:cs="Arial"/>
                <w:color w:val="000000"/>
                <w:sz w:val="16"/>
              </w:rPr>
            </w:pPr>
            <w:r>
              <w:rPr>
                <w:rFonts w:ascii="Arial" w:eastAsia="Arial" w:hAnsi="Arial" w:cs="Arial"/>
                <w:color w:val="000000"/>
                <w:sz w:val="16"/>
              </w:rPr>
              <w:t xml:space="preserve"> </w:t>
            </w:r>
          </w:p>
        </w:tc>
        <w:tc>
          <w:tcPr>
            <w:tcW w:w="1080" w:type="dxa"/>
            <w:tcBorders>
              <w:top w:val="nil"/>
              <w:left w:val="nil"/>
              <w:bottom w:val="nil"/>
              <w:right w:val="nil"/>
              <w:tl2br w:val="nil"/>
              <w:tr2bl w:val="nil"/>
            </w:tcBorders>
            <w:shd w:val="clear" w:color="auto" w:fill="FFFF00"/>
            <w:tcMar>
              <w:left w:w="115" w:type="dxa"/>
              <w:right w:w="115" w:type="dxa"/>
            </w:tcMar>
            <w:vAlign w:val="bottom"/>
          </w:tcPr>
          <w:p w14:paraId="3CBBBFB2" w14:textId="77777777" w:rsidR="003F0EEA" w:rsidRDefault="00FB7D0B">
            <w:pPr>
              <w:jc w:val="right"/>
              <w:rPr>
                <w:rFonts w:ascii="Arial" w:eastAsia="Arial" w:hAnsi="Arial" w:cs="Arial"/>
                <w:color w:val="000000"/>
                <w:sz w:val="16"/>
              </w:rPr>
            </w:pPr>
            <w:r>
              <w:rPr>
                <w:rFonts w:ascii="Arial" w:eastAsia="Arial" w:hAnsi="Arial" w:cs="Arial"/>
                <w:color w:val="000000"/>
                <w:sz w:val="16"/>
              </w:rPr>
              <w:t xml:space="preserve"> 6,111,121 </w:t>
            </w:r>
          </w:p>
        </w:tc>
        <w:tc>
          <w:tcPr>
            <w:tcW w:w="1230" w:type="dxa"/>
            <w:tcBorders>
              <w:top w:val="nil"/>
              <w:left w:val="nil"/>
              <w:bottom w:val="nil"/>
              <w:right w:val="nil"/>
              <w:tl2br w:val="nil"/>
              <w:tr2bl w:val="nil"/>
            </w:tcBorders>
            <w:shd w:val="clear" w:color="auto" w:fill="FFFFFF"/>
            <w:tcMar>
              <w:left w:w="115" w:type="dxa"/>
              <w:right w:w="115" w:type="dxa"/>
            </w:tcMar>
            <w:vAlign w:val="bottom"/>
          </w:tcPr>
          <w:p w14:paraId="09B5EDED" w14:textId="77777777" w:rsidR="003F0EEA" w:rsidRDefault="00FB7D0B">
            <w:pPr>
              <w:jc w:val="right"/>
              <w:rPr>
                <w:rFonts w:ascii="Arial" w:eastAsia="Arial" w:hAnsi="Arial" w:cs="Arial"/>
                <w:color w:val="000000"/>
                <w:sz w:val="16"/>
              </w:rPr>
            </w:pPr>
            <w:r>
              <w:rPr>
                <w:rFonts w:ascii="Arial" w:eastAsia="Arial" w:hAnsi="Arial" w:cs="Arial"/>
                <w:color w:val="000000"/>
                <w:sz w:val="16"/>
              </w:rPr>
              <w:t xml:space="preserve"> 6,221,374 </w:t>
            </w:r>
          </w:p>
        </w:tc>
      </w:tr>
      <w:tr w:rsidR="00724034" w14:paraId="23C2AFC0" w14:textId="77777777">
        <w:trPr>
          <w:trHeight w:val="450"/>
        </w:trPr>
        <w:tc>
          <w:tcPr>
            <w:tcW w:w="180" w:type="dxa"/>
            <w:tcBorders>
              <w:top w:val="nil"/>
              <w:left w:val="nil"/>
              <w:bottom w:val="nil"/>
              <w:right w:val="nil"/>
              <w:tl2br w:val="nil"/>
              <w:tr2bl w:val="nil"/>
            </w:tcBorders>
            <w:shd w:val="clear" w:color="auto" w:fill="FFFFFF"/>
            <w:tcMar>
              <w:left w:w="115" w:type="dxa"/>
              <w:right w:w="115" w:type="dxa"/>
            </w:tcMar>
            <w:vAlign w:val="bottom"/>
          </w:tcPr>
          <w:p w14:paraId="698687B5" w14:textId="77777777" w:rsidR="003F0EEA" w:rsidRDefault="003F0EEA">
            <w:pPr>
              <w:rPr>
                <w:rFonts w:ascii="Arial" w:eastAsia="Arial" w:hAnsi="Arial" w:cs="Arial"/>
                <w:color w:val="000000"/>
                <w:sz w:val="16"/>
              </w:rPr>
            </w:pPr>
          </w:p>
        </w:tc>
        <w:tc>
          <w:tcPr>
            <w:tcW w:w="180" w:type="dxa"/>
            <w:tcBorders>
              <w:top w:val="nil"/>
              <w:left w:val="nil"/>
              <w:bottom w:val="nil"/>
              <w:right w:val="nil"/>
              <w:tl2br w:val="nil"/>
              <w:tr2bl w:val="nil"/>
            </w:tcBorders>
            <w:shd w:val="clear" w:color="auto" w:fill="FFFFFF"/>
            <w:tcMar>
              <w:left w:w="115" w:type="dxa"/>
              <w:right w:w="115" w:type="dxa"/>
            </w:tcMar>
            <w:vAlign w:val="bottom"/>
          </w:tcPr>
          <w:p w14:paraId="69110F15" w14:textId="77777777" w:rsidR="003F0EEA" w:rsidRDefault="003F0EEA">
            <w:pPr>
              <w:rPr>
                <w:rFonts w:ascii="Arial" w:eastAsia="Arial" w:hAnsi="Arial" w:cs="Arial"/>
                <w:color w:val="000000"/>
                <w:sz w:val="16"/>
              </w:rPr>
            </w:pPr>
          </w:p>
        </w:tc>
        <w:tc>
          <w:tcPr>
            <w:tcW w:w="2520" w:type="dxa"/>
            <w:tcBorders>
              <w:top w:val="nil"/>
              <w:left w:val="nil"/>
              <w:bottom w:val="nil"/>
              <w:right w:val="nil"/>
              <w:tl2br w:val="nil"/>
              <w:tr2bl w:val="nil"/>
            </w:tcBorders>
            <w:shd w:val="clear" w:color="auto" w:fill="FFFFFF"/>
            <w:tcMar>
              <w:left w:w="115" w:type="dxa"/>
              <w:right w:w="115" w:type="dxa"/>
            </w:tcMar>
            <w:vAlign w:val="bottom"/>
          </w:tcPr>
          <w:p w14:paraId="4E7C7AC9" w14:textId="77777777" w:rsidR="003F0EEA" w:rsidRDefault="00FB7D0B">
            <w:pPr>
              <w:rPr>
                <w:rFonts w:ascii="Arial" w:eastAsia="Arial" w:hAnsi="Arial" w:cs="Arial"/>
                <w:color w:val="000000"/>
                <w:sz w:val="16"/>
              </w:rPr>
            </w:pPr>
            <w:r>
              <w:rPr>
                <w:rFonts w:ascii="Arial" w:eastAsia="Arial" w:hAnsi="Arial" w:cs="Arial"/>
                <w:i/>
                <w:color w:val="000000"/>
                <w:sz w:val="16"/>
              </w:rPr>
              <w:t>Defence Service Homes Act 1918</w:t>
            </w:r>
          </w:p>
        </w:tc>
        <w:tc>
          <w:tcPr>
            <w:tcW w:w="360" w:type="dxa"/>
            <w:tcBorders>
              <w:top w:val="nil"/>
              <w:left w:val="nil"/>
              <w:bottom w:val="nil"/>
              <w:right w:val="nil"/>
              <w:tl2br w:val="nil"/>
              <w:tr2bl w:val="nil"/>
            </w:tcBorders>
            <w:shd w:val="clear" w:color="auto" w:fill="FFFFFF"/>
            <w:tcMar>
              <w:left w:w="115" w:type="dxa"/>
              <w:right w:w="115" w:type="dxa"/>
            </w:tcMar>
            <w:vAlign w:val="bottom"/>
          </w:tcPr>
          <w:p w14:paraId="187F48EA" w14:textId="77777777" w:rsidR="003F0EEA" w:rsidRDefault="003F0EEA">
            <w:pPr>
              <w:jc w:val="center"/>
              <w:rPr>
                <w:rFonts w:ascii="Arial" w:eastAsia="Arial" w:hAnsi="Arial" w:cs="Arial"/>
                <w:i/>
                <w:color w:val="000000"/>
                <w:sz w:val="16"/>
                <w:vertAlign w:val="superscript"/>
              </w:rPr>
            </w:pPr>
          </w:p>
        </w:tc>
        <w:tc>
          <w:tcPr>
            <w:tcW w:w="1230" w:type="dxa"/>
            <w:tcBorders>
              <w:top w:val="nil"/>
              <w:left w:val="nil"/>
              <w:bottom w:val="nil"/>
              <w:right w:val="nil"/>
              <w:tl2br w:val="nil"/>
              <w:tr2bl w:val="nil"/>
            </w:tcBorders>
            <w:shd w:val="clear" w:color="auto" w:fill="FFFFFF"/>
            <w:tcMar>
              <w:left w:w="115" w:type="dxa"/>
              <w:right w:w="115" w:type="dxa"/>
            </w:tcMar>
            <w:vAlign w:val="bottom"/>
          </w:tcPr>
          <w:p w14:paraId="661CEEF4" w14:textId="77777777" w:rsidR="003F0EEA" w:rsidRDefault="00FB7D0B">
            <w:pPr>
              <w:jc w:val="right"/>
              <w:rPr>
                <w:rFonts w:ascii="Arial" w:eastAsia="Arial" w:hAnsi="Arial" w:cs="Arial"/>
                <w:color w:val="000000"/>
                <w:sz w:val="16"/>
                <w:vertAlign w:val="superscript"/>
              </w:rPr>
            </w:pPr>
            <w:r>
              <w:rPr>
                <w:rFonts w:ascii="Arial" w:eastAsia="Arial" w:hAnsi="Arial" w:cs="Arial"/>
                <w:color w:val="000000"/>
                <w:sz w:val="16"/>
              </w:rPr>
              <w:t xml:space="preserve"> - </w:t>
            </w:r>
          </w:p>
        </w:tc>
        <w:tc>
          <w:tcPr>
            <w:tcW w:w="330" w:type="dxa"/>
            <w:tcBorders>
              <w:top w:val="nil"/>
              <w:left w:val="nil"/>
              <w:bottom w:val="nil"/>
              <w:right w:val="nil"/>
              <w:tl2br w:val="nil"/>
              <w:tr2bl w:val="nil"/>
            </w:tcBorders>
            <w:shd w:val="clear" w:color="auto" w:fill="FFFFFF"/>
            <w:tcMar>
              <w:left w:w="115" w:type="dxa"/>
              <w:right w:w="115" w:type="dxa"/>
            </w:tcMar>
            <w:vAlign w:val="bottom"/>
          </w:tcPr>
          <w:p w14:paraId="7F07FE73" w14:textId="77777777" w:rsidR="003F0EEA" w:rsidRDefault="00FB7D0B">
            <w:pPr>
              <w:rPr>
                <w:rFonts w:ascii="Arial" w:eastAsia="Arial" w:hAnsi="Arial" w:cs="Arial"/>
                <w:color w:val="000000"/>
                <w:sz w:val="16"/>
              </w:rPr>
            </w:pPr>
            <w:r>
              <w:rPr>
                <w:rFonts w:ascii="Arial" w:eastAsia="Arial" w:hAnsi="Arial" w:cs="Arial"/>
                <w:color w:val="000000"/>
                <w:sz w:val="16"/>
              </w:rPr>
              <w:t xml:space="preserve"> </w:t>
            </w:r>
          </w:p>
        </w:tc>
        <w:tc>
          <w:tcPr>
            <w:tcW w:w="1080" w:type="dxa"/>
            <w:tcBorders>
              <w:top w:val="nil"/>
              <w:left w:val="nil"/>
              <w:bottom w:val="nil"/>
              <w:right w:val="nil"/>
              <w:tl2br w:val="nil"/>
              <w:tr2bl w:val="nil"/>
            </w:tcBorders>
            <w:shd w:val="clear" w:color="auto" w:fill="FFFFFF"/>
            <w:tcMar>
              <w:left w:w="115" w:type="dxa"/>
              <w:right w:w="115" w:type="dxa"/>
            </w:tcMar>
            <w:vAlign w:val="bottom"/>
          </w:tcPr>
          <w:p w14:paraId="70B96C9F" w14:textId="77777777" w:rsidR="003F0EEA" w:rsidRDefault="00FB7D0B">
            <w:pPr>
              <w:jc w:val="right"/>
              <w:rPr>
                <w:rFonts w:ascii="Arial" w:eastAsia="Arial" w:hAnsi="Arial" w:cs="Arial"/>
                <w:color w:val="000000"/>
                <w:sz w:val="16"/>
              </w:rPr>
            </w:pPr>
            <w:r>
              <w:rPr>
                <w:rFonts w:ascii="Arial" w:eastAsia="Arial" w:hAnsi="Arial" w:cs="Arial"/>
                <w:color w:val="000000"/>
                <w:sz w:val="16"/>
              </w:rPr>
              <w:t xml:space="preserve"> 1,459 </w:t>
            </w:r>
          </w:p>
        </w:tc>
        <w:tc>
          <w:tcPr>
            <w:tcW w:w="300" w:type="dxa"/>
            <w:tcBorders>
              <w:top w:val="nil"/>
              <w:left w:val="nil"/>
              <w:bottom w:val="nil"/>
              <w:right w:val="nil"/>
              <w:tl2br w:val="nil"/>
              <w:tr2bl w:val="nil"/>
            </w:tcBorders>
            <w:shd w:val="clear" w:color="auto" w:fill="FFFFFF"/>
            <w:tcMar>
              <w:left w:w="115" w:type="dxa"/>
              <w:right w:w="115" w:type="dxa"/>
            </w:tcMar>
            <w:vAlign w:val="bottom"/>
          </w:tcPr>
          <w:p w14:paraId="148910DE" w14:textId="77777777" w:rsidR="003F0EEA" w:rsidRDefault="00FB7D0B">
            <w:pPr>
              <w:rPr>
                <w:rFonts w:ascii="Arial" w:eastAsia="Arial" w:hAnsi="Arial" w:cs="Arial"/>
                <w:color w:val="000000"/>
                <w:sz w:val="16"/>
              </w:rPr>
            </w:pPr>
            <w:r>
              <w:rPr>
                <w:rFonts w:ascii="Arial" w:eastAsia="Arial" w:hAnsi="Arial" w:cs="Arial"/>
                <w:color w:val="000000"/>
                <w:sz w:val="16"/>
              </w:rPr>
              <w:t xml:space="preserve"> </w:t>
            </w:r>
          </w:p>
        </w:tc>
        <w:tc>
          <w:tcPr>
            <w:tcW w:w="1080" w:type="dxa"/>
            <w:tcBorders>
              <w:top w:val="nil"/>
              <w:left w:val="nil"/>
              <w:bottom w:val="nil"/>
              <w:right w:val="nil"/>
              <w:tl2br w:val="nil"/>
              <w:tr2bl w:val="nil"/>
            </w:tcBorders>
            <w:shd w:val="clear" w:color="auto" w:fill="FFFF00"/>
            <w:tcMar>
              <w:left w:w="115" w:type="dxa"/>
              <w:right w:w="115" w:type="dxa"/>
            </w:tcMar>
            <w:vAlign w:val="bottom"/>
          </w:tcPr>
          <w:p w14:paraId="6958C6EC" w14:textId="77777777" w:rsidR="003F0EEA" w:rsidRDefault="00FB7D0B">
            <w:pPr>
              <w:jc w:val="right"/>
              <w:rPr>
                <w:rFonts w:ascii="Arial" w:eastAsia="Arial" w:hAnsi="Arial" w:cs="Arial"/>
                <w:color w:val="000000"/>
                <w:sz w:val="16"/>
              </w:rPr>
            </w:pPr>
            <w:r>
              <w:rPr>
                <w:rFonts w:ascii="Arial" w:eastAsia="Arial" w:hAnsi="Arial" w:cs="Arial"/>
                <w:color w:val="000000"/>
                <w:sz w:val="16"/>
              </w:rPr>
              <w:t xml:space="preserve"> 1,459 </w:t>
            </w:r>
          </w:p>
        </w:tc>
        <w:tc>
          <w:tcPr>
            <w:tcW w:w="1230" w:type="dxa"/>
            <w:tcBorders>
              <w:top w:val="nil"/>
              <w:left w:val="nil"/>
              <w:bottom w:val="nil"/>
              <w:right w:val="nil"/>
              <w:tl2br w:val="nil"/>
              <w:tr2bl w:val="nil"/>
            </w:tcBorders>
            <w:shd w:val="clear" w:color="auto" w:fill="FFFFFF"/>
            <w:tcMar>
              <w:left w:w="115" w:type="dxa"/>
              <w:right w:w="115" w:type="dxa"/>
            </w:tcMar>
            <w:vAlign w:val="bottom"/>
          </w:tcPr>
          <w:p w14:paraId="0DD4475F" w14:textId="77777777" w:rsidR="003F0EEA" w:rsidRDefault="00FB7D0B">
            <w:pPr>
              <w:jc w:val="right"/>
              <w:rPr>
                <w:rFonts w:ascii="Arial" w:eastAsia="Arial" w:hAnsi="Arial" w:cs="Arial"/>
                <w:color w:val="000000"/>
                <w:sz w:val="16"/>
              </w:rPr>
            </w:pPr>
            <w:r>
              <w:rPr>
                <w:rFonts w:ascii="Arial" w:eastAsia="Arial" w:hAnsi="Arial" w:cs="Arial"/>
                <w:color w:val="000000"/>
                <w:sz w:val="16"/>
              </w:rPr>
              <w:t xml:space="preserve"> 1,747 </w:t>
            </w:r>
          </w:p>
        </w:tc>
      </w:tr>
      <w:tr w:rsidR="00724034" w14:paraId="4FD164E8" w14:textId="77777777">
        <w:trPr>
          <w:trHeight w:val="450"/>
        </w:trPr>
        <w:tc>
          <w:tcPr>
            <w:tcW w:w="180" w:type="dxa"/>
            <w:tcBorders>
              <w:top w:val="nil"/>
              <w:left w:val="nil"/>
              <w:bottom w:val="nil"/>
              <w:right w:val="nil"/>
              <w:tl2br w:val="nil"/>
              <w:tr2bl w:val="nil"/>
            </w:tcBorders>
            <w:shd w:val="clear" w:color="auto" w:fill="FFFFFF"/>
            <w:tcMar>
              <w:left w:w="115" w:type="dxa"/>
              <w:right w:w="115" w:type="dxa"/>
            </w:tcMar>
            <w:vAlign w:val="bottom"/>
          </w:tcPr>
          <w:p w14:paraId="7EDD20FA" w14:textId="77777777" w:rsidR="003F0EEA" w:rsidRDefault="003F0EEA">
            <w:pPr>
              <w:rPr>
                <w:rFonts w:ascii="Arial" w:eastAsia="Arial" w:hAnsi="Arial" w:cs="Arial"/>
                <w:color w:val="000000"/>
                <w:sz w:val="16"/>
              </w:rPr>
            </w:pPr>
          </w:p>
        </w:tc>
        <w:tc>
          <w:tcPr>
            <w:tcW w:w="180" w:type="dxa"/>
            <w:tcBorders>
              <w:top w:val="nil"/>
              <w:left w:val="nil"/>
              <w:bottom w:val="nil"/>
              <w:right w:val="nil"/>
              <w:tl2br w:val="nil"/>
              <w:tr2bl w:val="nil"/>
            </w:tcBorders>
            <w:shd w:val="clear" w:color="auto" w:fill="FFFFFF"/>
            <w:tcMar>
              <w:left w:w="115" w:type="dxa"/>
              <w:right w:w="115" w:type="dxa"/>
            </w:tcMar>
            <w:vAlign w:val="bottom"/>
          </w:tcPr>
          <w:p w14:paraId="04471AEC" w14:textId="77777777" w:rsidR="003F0EEA" w:rsidRDefault="003F0EEA">
            <w:pPr>
              <w:rPr>
                <w:rFonts w:ascii="Arial" w:eastAsia="Arial" w:hAnsi="Arial" w:cs="Arial"/>
                <w:color w:val="000000"/>
                <w:sz w:val="16"/>
              </w:rPr>
            </w:pPr>
          </w:p>
        </w:tc>
        <w:tc>
          <w:tcPr>
            <w:tcW w:w="2520" w:type="dxa"/>
            <w:tcBorders>
              <w:top w:val="nil"/>
              <w:left w:val="nil"/>
              <w:bottom w:val="nil"/>
              <w:right w:val="nil"/>
              <w:tl2br w:val="nil"/>
              <w:tr2bl w:val="nil"/>
            </w:tcBorders>
            <w:shd w:val="clear" w:color="auto" w:fill="FFFFFF"/>
            <w:tcMar>
              <w:left w:w="115" w:type="dxa"/>
              <w:right w:w="115" w:type="dxa"/>
            </w:tcMar>
            <w:vAlign w:val="bottom"/>
          </w:tcPr>
          <w:p w14:paraId="36E08C34" w14:textId="77777777" w:rsidR="003F0EEA" w:rsidRDefault="00FB7D0B">
            <w:pPr>
              <w:rPr>
                <w:rFonts w:ascii="Arial" w:eastAsia="Arial" w:hAnsi="Arial" w:cs="Arial"/>
                <w:color w:val="000000"/>
                <w:sz w:val="16"/>
              </w:rPr>
            </w:pPr>
            <w:r>
              <w:rPr>
                <w:rFonts w:ascii="Arial" w:eastAsia="Arial" w:hAnsi="Arial" w:cs="Arial"/>
                <w:i/>
                <w:color w:val="000000"/>
                <w:sz w:val="16"/>
              </w:rPr>
              <w:t>Safety, Rehabilitation and Compensation Act 1988</w:t>
            </w:r>
          </w:p>
        </w:tc>
        <w:tc>
          <w:tcPr>
            <w:tcW w:w="360" w:type="dxa"/>
            <w:tcBorders>
              <w:top w:val="nil"/>
              <w:left w:val="nil"/>
              <w:bottom w:val="nil"/>
              <w:right w:val="nil"/>
              <w:tl2br w:val="nil"/>
              <w:tr2bl w:val="nil"/>
            </w:tcBorders>
            <w:shd w:val="clear" w:color="auto" w:fill="FFFFFF"/>
            <w:tcMar>
              <w:left w:w="115" w:type="dxa"/>
              <w:right w:w="115" w:type="dxa"/>
            </w:tcMar>
            <w:vAlign w:val="bottom"/>
          </w:tcPr>
          <w:p w14:paraId="5F6F70C5" w14:textId="77777777" w:rsidR="003F0EEA" w:rsidRDefault="003F0EEA">
            <w:pPr>
              <w:jc w:val="center"/>
              <w:rPr>
                <w:rFonts w:ascii="Arial" w:eastAsia="Arial" w:hAnsi="Arial" w:cs="Arial"/>
                <w:i/>
                <w:color w:val="000000"/>
                <w:sz w:val="16"/>
                <w:vertAlign w:val="superscript"/>
              </w:rPr>
            </w:pPr>
          </w:p>
        </w:tc>
        <w:tc>
          <w:tcPr>
            <w:tcW w:w="1230" w:type="dxa"/>
            <w:tcBorders>
              <w:top w:val="nil"/>
              <w:left w:val="nil"/>
              <w:bottom w:val="nil"/>
              <w:right w:val="nil"/>
              <w:tl2br w:val="nil"/>
              <w:tr2bl w:val="nil"/>
            </w:tcBorders>
            <w:shd w:val="clear" w:color="auto" w:fill="FFFFFF"/>
            <w:tcMar>
              <w:left w:w="115" w:type="dxa"/>
              <w:right w:w="115" w:type="dxa"/>
            </w:tcMar>
            <w:vAlign w:val="bottom"/>
          </w:tcPr>
          <w:p w14:paraId="51461327" w14:textId="77777777" w:rsidR="003F0EEA" w:rsidRDefault="00FB7D0B">
            <w:pPr>
              <w:jc w:val="right"/>
              <w:rPr>
                <w:rFonts w:ascii="Arial" w:eastAsia="Arial" w:hAnsi="Arial" w:cs="Arial"/>
                <w:color w:val="000000"/>
                <w:sz w:val="16"/>
                <w:vertAlign w:val="superscript"/>
              </w:rPr>
            </w:pPr>
            <w:r>
              <w:rPr>
                <w:rFonts w:ascii="Arial" w:eastAsia="Arial" w:hAnsi="Arial" w:cs="Arial"/>
                <w:color w:val="000000"/>
                <w:sz w:val="16"/>
              </w:rPr>
              <w:t xml:space="preserve"> - </w:t>
            </w:r>
          </w:p>
        </w:tc>
        <w:tc>
          <w:tcPr>
            <w:tcW w:w="330" w:type="dxa"/>
            <w:tcBorders>
              <w:top w:val="nil"/>
              <w:left w:val="nil"/>
              <w:bottom w:val="nil"/>
              <w:right w:val="nil"/>
              <w:tl2br w:val="nil"/>
              <w:tr2bl w:val="nil"/>
            </w:tcBorders>
            <w:shd w:val="clear" w:color="auto" w:fill="FFFFFF"/>
            <w:tcMar>
              <w:left w:w="115" w:type="dxa"/>
              <w:right w:w="115" w:type="dxa"/>
            </w:tcMar>
            <w:vAlign w:val="bottom"/>
          </w:tcPr>
          <w:p w14:paraId="085993FE" w14:textId="77777777" w:rsidR="003F0EEA" w:rsidRDefault="00FB7D0B">
            <w:pPr>
              <w:rPr>
                <w:rFonts w:ascii="Arial" w:eastAsia="Arial" w:hAnsi="Arial" w:cs="Arial"/>
                <w:color w:val="000000"/>
                <w:sz w:val="16"/>
              </w:rPr>
            </w:pPr>
            <w:r>
              <w:rPr>
                <w:rFonts w:ascii="Arial" w:eastAsia="Arial" w:hAnsi="Arial" w:cs="Arial"/>
                <w:color w:val="000000"/>
                <w:sz w:val="16"/>
              </w:rPr>
              <w:t xml:space="preserve"> </w:t>
            </w:r>
          </w:p>
        </w:tc>
        <w:tc>
          <w:tcPr>
            <w:tcW w:w="1080" w:type="dxa"/>
            <w:tcBorders>
              <w:top w:val="nil"/>
              <w:left w:val="nil"/>
              <w:bottom w:val="nil"/>
              <w:right w:val="nil"/>
              <w:tl2br w:val="nil"/>
              <w:tr2bl w:val="nil"/>
            </w:tcBorders>
            <w:shd w:val="clear" w:color="auto" w:fill="FFFFFF"/>
            <w:tcMar>
              <w:left w:w="115" w:type="dxa"/>
              <w:right w:w="115" w:type="dxa"/>
            </w:tcMar>
            <w:vAlign w:val="bottom"/>
          </w:tcPr>
          <w:p w14:paraId="6F8F1C10" w14:textId="77777777" w:rsidR="003F0EEA" w:rsidRDefault="00FB7D0B">
            <w:pPr>
              <w:jc w:val="right"/>
              <w:rPr>
                <w:rFonts w:ascii="Arial" w:eastAsia="Arial" w:hAnsi="Arial" w:cs="Arial"/>
                <w:color w:val="000000"/>
                <w:sz w:val="16"/>
              </w:rPr>
            </w:pPr>
            <w:r>
              <w:rPr>
                <w:rFonts w:ascii="Arial" w:eastAsia="Arial" w:hAnsi="Arial" w:cs="Arial"/>
                <w:color w:val="000000"/>
                <w:sz w:val="16"/>
              </w:rPr>
              <w:t xml:space="preserve"> 143,109 </w:t>
            </w:r>
          </w:p>
        </w:tc>
        <w:tc>
          <w:tcPr>
            <w:tcW w:w="300" w:type="dxa"/>
            <w:tcBorders>
              <w:top w:val="nil"/>
              <w:left w:val="nil"/>
              <w:bottom w:val="nil"/>
              <w:right w:val="nil"/>
              <w:tl2br w:val="nil"/>
              <w:tr2bl w:val="nil"/>
            </w:tcBorders>
            <w:shd w:val="clear" w:color="auto" w:fill="FFFFFF"/>
            <w:tcMar>
              <w:left w:w="115" w:type="dxa"/>
              <w:right w:w="115" w:type="dxa"/>
            </w:tcMar>
            <w:vAlign w:val="bottom"/>
          </w:tcPr>
          <w:p w14:paraId="603472C5" w14:textId="77777777" w:rsidR="003F0EEA" w:rsidRDefault="00FB7D0B">
            <w:pPr>
              <w:rPr>
                <w:rFonts w:ascii="Arial" w:eastAsia="Arial" w:hAnsi="Arial" w:cs="Arial"/>
                <w:color w:val="000000"/>
                <w:sz w:val="16"/>
              </w:rPr>
            </w:pPr>
            <w:r>
              <w:rPr>
                <w:rFonts w:ascii="Arial" w:eastAsia="Arial" w:hAnsi="Arial" w:cs="Arial"/>
                <w:color w:val="000000"/>
                <w:sz w:val="16"/>
              </w:rPr>
              <w:t xml:space="preserve"> </w:t>
            </w:r>
          </w:p>
        </w:tc>
        <w:tc>
          <w:tcPr>
            <w:tcW w:w="1080" w:type="dxa"/>
            <w:tcBorders>
              <w:top w:val="nil"/>
              <w:left w:val="nil"/>
              <w:bottom w:val="nil"/>
              <w:right w:val="nil"/>
              <w:tl2br w:val="nil"/>
              <w:tr2bl w:val="nil"/>
            </w:tcBorders>
            <w:shd w:val="clear" w:color="auto" w:fill="FFFF00"/>
            <w:tcMar>
              <w:left w:w="115" w:type="dxa"/>
              <w:right w:w="115" w:type="dxa"/>
            </w:tcMar>
            <w:vAlign w:val="bottom"/>
          </w:tcPr>
          <w:p w14:paraId="5723CB34" w14:textId="77777777" w:rsidR="003F0EEA" w:rsidRDefault="00FB7D0B">
            <w:pPr>
              <w:jc w:val="right"/>
              <w:rPr>
                <w:rFonts w:ascii="Arial" w:eastAsia="Arial" w:hAnsi="Arial" w:cs="Arial"/>
                <w:color w:val="000000"/>
                <w:sz w:val="16"/>
              </w:rPr>
            </w:pPr>
            <w:r>
              <w:rPr>
                <w:rFonts w:ascii="Arial" w:eastAsia="Arial" w:hAnsi="Arial" w:cs="Arial"/>
                <w:color w:val="000000"/>
                <w:sz w:val="16"/>
              </w:rPr>
              <w:t xml:space="preserve"> 143,109 </w:t>
            </w:r>
          </w:p>
        </w:tc>
        <w:tc>
          <w:tcPr>
            <w:tcW w:w="1230" w:type="dxa"/>
            <w:tcBorders>
              <w:top w:val="nil"/>
              <w:left w:val="nil"/>
              <w:bottom w:val="nil"/>
              <w:right w:val="nil"/>
              <w:tl2br w:val="nil"/>
              <w:tr2bl w:val="nil"/>
            </w:tcBorders>
            <w:shd w:val="clear" w:color="auto" w:fill="FFFFFF"/>
            <w:tcMar>
              <w:left w:w="115" w:type="dxa"/>
              <w:right w:w="115" w:type="dxa"/>
            </w:tcMar>
            <w:vAlign w:val="bottom"/>
          </w:tcPr>
          <w:p w14:paraId="1337695A" w14:textId="77777777" w:rsidR="003F0EEA" w:rsidRDefault="00FB7D0B">
            <w:pPr>
              <w:jc w:val="right"/>
              <w:rPr>
                <w:rFonts w:ascii="Arial" w:eastAsia="Arial" w:hAnsi="Arial" w:cs="Arial"/>
                <w:color w:val="000000"/>
                <w:sz w:val="16"/>
              </w:rPr>
            </w:pPr>
            <w:r>
              <w:rPr>
                <w:rFonts w:ascii="Arial" w:eastAsia="Arial" w:hAnsi="Arial" w:cs="Arial"/>
                <w:color w:val="000000"/>
                <w:sz w:val="16"/>
              </w:rPr>
              <w:t xml:space="preserve"> 150,603 </w:t>
            </w:r>
          </w:p>
        </w:tc>
      </w:tr>
      <w:tr w:rsidR="00724034" w14:paraId="71B5B2B4" w14:textId="77777777">
        <w:trPr>
          <w:trHeight w:val="450"/>
        </w:trPr>
        <w:tc>
          <w:tcPr>
            <w:tcW w:w="180" w:type="dxa"/>
            <w:tcBorders>
              <w:top w:val="nil"/>
              <w:left w:val="nil"/>
              <w:bottom w:val="nil"/>
              <w:right w:val="nil"/>
              <w:tl2br w:val="nil"/>
              <w:tr2bl w:val="nil"/>
            </w:tcBorders>
            <w:shd w:val="clear" w:color="auto" w:fill="FFFFFF"/>
            <w:tcMar>
              <w:left w:w="115" w:type="dxa"/>
              <w:right w:w="115" w:type="dxa"/>
            </w:tcMar>
            <w:vAlign w:val="bottom"/>
          </w:tcPr>
          <w:p w14:paraId="2F18EF80" w14:textId="77777777" w:rsidR="003F0EEA" w:rsidRDefault="003F0EEA">
            <w:pPr>
              <w:rPr>
                <w:rFonts w:ascii="Arial" w:eastAsia="Arial" w:hAnsi="Arial" w:cs="Arial"/>
                <w:color w:val="000000"/>
                <w:sz w:val="16"/>
              </w:rPr>
            </w:pPr>
          </w:p>
        </w:tc>
        <w:tc>
          <w:tcPr>
            <w:tcW w:w="180" w:type="dxa"/>
            <w:tcBorders>
              <w:top w:val="nil"/>
              <w:left w:val="nil"/>
              <w:bottom w:val="nil"/>
              <w:right w:val="nil"/>
              <w:tl2br w:val="nil"/>
              <w:tr2bl w:val="nil"/>
            </w:tcBorders>
            <w:shd w:val="clear" w:color="auto" w:fill="FFFFFF"/>
            <w:tcMar>
              <w:left w:w="115" w:type="dxa"/>
              <w:right w:w="115" w:type="dxa"/>
            </w:tcMar>
            <w:vAlign w:val="bottom"/>
          </w:tcPr>
          <w:p w14:paraId="6AA8C575" w14:textId="77777777" w:rsidR="003F0EEA" w:rsidRDefault="003F0EEA">
            <w:pPr>
              <w:rPr>
                <w:rFonts w:ascii="Arial" w:eastAsia="Arial" w:hAnsi="Arial" w:cs="Arial"/>
                <w:color w:val="000000"/>
                <w:sz w:val="16"/>
              </w:rPr>
            </w:pPr>
          </w:p>
        </w:tc>
        <w:tc>
          <w:tcPr>
            <w:tcW w:w="2520" w:type="dxa"/>
            <w:tcBorders>
              <w:top w:val="nil"/>
              <w:left w:val="nil"/>
              <w:bottom w:val="nil"/>
              <w:right w:val="nil"/>
              <w:tl2br w:val="nil"/>
              <w:tr2bl w:val="nil"/>
            </w:tcBorders>
            <w:shd w:val="clear" w:color="auto" w:fill="FFFFFF"/>
            <w:tcMar>
              <w:left w:w="115" w:type="dxa"/>
              <w:right w:w="115" w:type="dxa"/>
            </w:tcMar>
            <w:vAlign w:val="bottom"/>
          </w:tcPr>
          <w:p w14:paraId="67AC100A" w14:textId="77777777" w:rsidR="003F0EEA" w:rsidRDefault="00FB7D0B">
            <w:pPr>
              <w:rPr>
                <w:rFonts w:ascii="Arial" w:eastAsia="Arial" w:hAnsi="Arial" w:cs="Arial"/>
                <w:color w:val="000000"/>
                <w:sz w:val="16"/>
              </w:rPr>
            </w:pPr>
            <w:r>
              <w:rPr>
                <w:rFonts w:ascii="Arial" w:eastAsia="Arial" w:hAnsi="Arial" w:cs="Arial"/>
                <w:i/>
                <w:color w:val="000000"/>
                <w:sz w:val="16"/>
              </w:rPr>
              <w:t>Military Rehabilitation and Compensation Act 2004</w:t>
            </w:r>
          </w:p>
        </w:tc>
        <w:tc>
          <w:tcPr>
            <w:tcW w:w="360" w:type="dxa"/>
            <w:tcBorders>
              <w:top w:val="nil"/>
              <w:left w:val="nil"/>
              <w:bottom w:val="nil"/>
              <w:right w:val="nil"/>
              <w:tl2br w:val="nil"/>
              <w:tr2bl w:val="nil"/>
            </w:tcBorders>
            <w:shd w:val="clear" w:color="auto" w:fill="FFFFFF"/>
            <w:tcMar>
              <w:left w:w="115" w:type="dxa"/>
              <w:right w:w="115" w:type="dxa"/>
            </w:tcMar>
            <w:vAlign w:val="bottom"/>
          </w:tcPr>
          <w:p w14:paraId="4EF0371C" w14:textId="77777777" w:rsidR="003F0EEA" w:rsidRDefault="003F0EEA">
            <w:pPr>
              <w:jc w:val="center"/>
              <w:rPr>
                <w:rFonts w:ascii="Arial" w:eastAsia="Arial" w:hAnsi="Arial" w:cs="Arial"/>
                <w:i/>
                <w:color w:val="000000"/>
                <w:sz w:val="16"/>
                <w:vertAlign w:val="superscript"/>
              </w:rPr>
            </w:pPr>
          </w:p>
        </w:tc>
        <w:tc>
          <w:tcPr>
            <w:tcW w:w="1230" w:type="dxa"/>
            <w:tcBorders>
              <w:top w:val="nil"/>
              <w:left w:val="nil"/>
              <w:bottom w:val="nil"/>
              <w:right w:val="nil"/>
              <w:tl2br w:val="nil"/>
              <w:tr2bl w:val="nil"/>
            </w:tcBorders>
            <w:shd w:val="clear" w:color="auto" w:fill="FFFFFF"/>
            <w:tcMar>
              <w:left w:w="115" w:type="dxa"/>
              <w:right w:w="115" w:type="dxa"/>
            </w:tcMar>
            <w:vAlign w:val="bottom"/>
          </w:tcPr>
          <w:p w14:paraId="707F0117" w14:textId="77777777" w:rsidR="003F0EEA" w:rsidRDefault="00FB7D0B">
            <w:pPr>
              <w:jc w:val="right"/>
              <w:rPr>
                <w:rFonts w:ascii="Arial" w:eastAsia="Arial" w:hAnsi="Arial" w:cs="Arial"/>
                <w:color w:val="000000"/>
                <w:sz w:val="16"/>
                <w:vertAlign w:val="superscript"/>
              </w:rPr>
            </w:pPr>
            <w:r>
              <w:rPr>
                <w:rFonts w:ascii="Arial" w:eastAsia="Arial" w:hAnsi="Arial" w:cs="Arial"/>
                <w:color w:val="000000"/>
                <w:sz w:val="16"/>
              </w:rPr>
              <w:t xml:space="preserve"> - </w:t>
            </w:r>
          </w:p>
        </w:tc>
        <w:tc>
          <w:tcPr>
            <w:tcW w:w="330" w:type="dxa"/>
            <w:tcBorders>
              <w:top w:val="nil"/>
              <w:left w:val="nil"/>
              <w:bottom w:val="nil"/>
              <w:right w:val="nil"/>
              <w:tl2br w:val="nil"/>
              <w:tr2bl w:val="nil"/>
            </w:tcBorders>
            <w:shd w:val="clear" w:color="auto" w:fill="FFFFFF"/>
            <w:tcMar>
              <w:left w:w="115" w:type="dxa"/>
              <w:right w:w="115" w:type="dxa"/>
            </w:tcMar>
            <w:vAlign w:val="bottom"/>
          </w:tcPr>
          <w:p w14:paraId="5359B9FA" w14:textId="77777777" w:rsidR="003F0EEA" w:rsidRDefault="00FB7D0B">
            <w:pPr>
              <w:rPr>
                <w:rFonts w:ascii="Arial" w:eastAsia="Arial" w:hAnsi="Arial" w:cs="Arial"/>
                <w:color w:val="000000"/>
                <w:sz w:val="16"/>
              </w:rPr>
            </w:pPr>
            <w:r>
              <w:rPr>
                <w:rFonts w:ascii="Arial" w:eastAsia="Arial" w:hAnsi="Arial" w:cs="Arial"/>
                <w:color w:val="000000"/>
                <w:sz w:val="16"/>
              </w:rPr>
              <w:t xml:space="preserve"> </w:t>
            </w:r>
          </w:p>
        </w:tc>
        <w:tc>
          <w:tcPr>
            <w:tcW w:w="1080" w:type="dxa"/>
            <w:tcBorders>
              <w:top w:val="nil"/>
              <w:left w:val="nil"/>
              <w:bottom w:val="nil"/>
              <w:right w:val="nil"/>
              <w:tl2br w:val="nil"/>
              <w:tr2bl w:val="nil"/>
            </w:tcBorders>
            <w:shd w:val="clear" w:color="auto" w:fill="FFFFFF"/>
            <w:tcMar>
              <w:left w:w="115" w:type="dxa"/>
              <w:right w:w="115" w:type="dxa"/>
            </w:tcMar>
            <w:vAlign w:val="bottom"/>
          </w:tcPr>
          <w:p w14:paraId="344097F1" w14:textId="77777777" w:rsidR="003F0EEA" w:rsidRDefault="00FB7D0B">
            <w:pPr>
              <w:jc w:val="right"/>
              <w:rPr>
                <w:rFonts w:ascii="Arial" w:eastAsia="Arial" w:hAnsi="Arial" w:cs="Arial"/>
                <w:color w:val="000000"/>
                <w:sz w:val="16"/>
              </w:rPr>
            </w:pPr>
            <w:r>
              <w:rPr>
                <w:rFonts w:ascii="Arial" w:eastAsia="Arial" w:hAnsi="Arial" w:cs="Arial"/>
                <w:color w:val="000000"/>
                <w:sz w:val="16"/>
              </w:rPr>
              <w:t xml:space="preserve"> 213,999 </w:t>
            </w:r>
          </w:p>
        </w:tc>
        <w:tc>
          <w:tcPr>
            <w:tcW w:w="300" w:type="dxa"/>
            <w:tcBorders>
              <w:top w:val="nil"/>
              <w:left w:val="nil"/>
              <w:bottom w:val="nil"/>
              <w:right w:val="nil"/>
              <w:tl2br w:val="nil"/>
              <w:tr2bl w:val="nil"/>
            </w:tcBorders>
            <w:shd w:val="clear" w:color="auto" w:fill="FFFFFF"/>
            <w:tcMar>
              <w:left w:w="115" w:type="dxa"/>
              <w:right w:w="115" w:type="dxa"/>
            </w:tcMar>
            <w:vAlign w:val="bottom"/>
          </w:tcPr>
          <w:p w14:paraId="2D11D683" w14:textId="77777777" w:rsidR="003F0EEA" w:rsidRDefault="00FB7D0B">
            <w:pPr>
              <w:rPr>
                <w:rFonts w:ascii="Arial" w:eastAsia="Arial" w:hAnsi="Arial" w:cs="Arial"/>
                <w:color w:val="000000"/>
                <w:sz w:val="16"/>
              </w:rPr>
            </w:pPr>
            <w:r>
              <w:rPr>
                <w:rFonts w:ascii="Arial" w:eastAsia="Arial" w:hAnsi="Arial" w:cs="Arial"/>
                <w:color w:val="000000"/>
                <w:sz w:val="16"/>
              </w:rPr>
              <w:t xml:space="preserve"> </w:t>
            </w:r>
          </w:p>
        </w:tc>
        <w:tc>
          <w:tcPr>
            <w:tcW w:w="1080" w:type="dxa"/>
            <w:tcBorders>
              <w:top w:val="nil"/>
              <w:left w:val="nil"/>
              <w:bottom w:val="nil"/>
              <w:right w:val="nil"/>
              <w:tl2br w:val="nil"/>
              <w:tr2bl w:val="nil"/>
            </w:tcBorders>
            <w:shd w:val="clear" w:color="auto" w:fill="FFFF00"/>
            <w:tcMar>
              <w:left w:w="115" w:type="dxa"/>
              <w:right w:w="115" w:type="dxa"/>
            </w:tcMar>
            <w:vAlign w:val="bottom"/>
          </w:tcPr>
          <w:p w14:paraId="205F30E4" w14:textId="77777777" w:rsidR="003F0EEA" w:rsidRDefault="00FB7D0B">
            <w:pPr>
              <w:jc w:val="right"/>
              <w:rPr>
                <w:rFonts w:ascii="Arial" w:eastAsia="Arial" w:hAnsi="Arial" w:cs="Arial"/>
                <w:color w:val="000000"/>
                <w:sz w:val="16"/>
              </w:rPr>
            </w:pPr>
            <w:r>
              <w:rPr>
                <w:rFonts w:ascii="Arial" w:eastAsia="Arial" w:hAnsi="Arial" w:cs="Arial"/>
                <w:color w:val="000000"/>
                <w:sz w:val="16"/>
              </w:rPr>
              <w:t xml:space="preserve"> 213,999 </w:t>
            </w:r>
          </w:p>
        </w:tc>
        <w:tc>
          <w:tcPr>
            <w:tcW w:w="1230" w:type="dxa"/>
            <w:tcBorders>
              <w:top w:val="nil"/>
              <w:left w:val="nil"/>
              <w:bottom w:val="nil"/>
              <w:right w:val="nil"/>
              <w:tl2br w:val="nil"/>
              <w:tr2bl w:val="nil"/>
            </w:tcBorders>
            <w:shd w:val="clear" w:color="auto" w:fill="FFFFFF"/>
            <w:tcMar>
              <w:left w:w="115" w:type="dxa"/>
              <w:right w:w="115" w:type="dxa"/>
            </w:tcMar>
            <w:vAlign w:val="bottom"/>
          </w:tcPr>
          <w:p w14:paraId="7EE3515F" w14:textId="77777777" w:rsidR="003F0EEA" w:rsidRDefault="00FB7D0B">
            <w:pPr>
              <w:jc w:val="right"/>
              <w:rPr>
                <w:rFonts w:ascii="Arial" w:eastAsia="Arial" w:hAnsi="Arial" w:cs="Arial"/>
                <w:color w:val="000000"/>
                <w:sz w:val="16"/>
              </w:rPr>
            </w:pPr>
            <w:r>
              <w:rPr>
                <w:rFonts w:ascii="Arial" w:eastAsia="Arial" w:hAnsi="Arial" w:cs="Arial"/>
                <w:color w:val="000000"/>
                <w:sz w:val="16"/>
              </w:rPr>
              <w:t xml:space="preserve"> 214,458 </w:t>
            </w:r>
          </w:p>
        </w:tc>
      </w:tr>
      <w:tr w:rsidR="00724034" w14:paraId="48F78382" w14:textId="77777777">
        <w:trPr>
          <w:trHeight w:val="225"/>
        </w:trPr>
        <w:tc>
          <w:tcPr>
            <w:tcW w:w="180" w:type="dxa"/>
            <w:tcBorders>
              <w:top w:val="nil"/>
              <w:left w:val="nil"/>
              <w:bottom w:val="nil"/>
              <w:right w:val="nil"/>
              <w:tl2br w:val="nil"/>
              <w:tr2bl w:val="nil"/>
            </w:tcBorders>
            <w:shd w:val="clear" w:color="auto" w:fill="FFFFFF"/>
            <w:tcMar>
              <w:left w:w="115" w:type="dxa"/>
              <w:right w:w="115" w:type="dxa"/>
            </w:tcMar>
            <w:vAlign w:val="bottom"/>
          </w:tcPr>
          <w:p w14:paraId="629593B5" w14:textId="77777777" w:rsidR="003F0EEA" w:rsidRDefault="003F0EEA">
            <w:pPr>
              <w:rPr>
                <w:rFonts w:ascii="Arial" w:eastAsia="Arial" w:hAnsi="Arial" w:cs="Arial"/>
                <w:color w:val="000000"/>
                <w:sz w:val="16"/>
              </w:rPr>
            </w:pPr>
          </w:p>
        </w:tc>
        <w:tc>
          <w:tcPr>
            <w:tcW w:w="180" w:type="dxa"/>
            <w:tcBorders>
              <w:top w:val="nil"/>
              <w:left w:val="nil"/>
              <w:bottom w:val="nil"/>
              <w:right w:val="nil"/>
              <w:tl2br w:val="nil"/>
              <w:tr2bl w:val="nil"/>
            </w:tcBorders>
            <w:shd w:val="clear" w:color="auto" w:fill="FFFFFF"/>
            <w:tcMar>
              <w:left w:w="115" w:type="dxa"/>
              <w:right w:w="115" w:type="dxa"/>
            </w:tcMar>
            <w:vAlign w:val="bottom"/>
          </w:tcPr>
          <w:p w14:paraId="1F506B63" w14:textId="77777777" w:rsidR="003F0EEA" w:rsidRDefault="003F0EEA">
            <w:pPr>
              <w:rPr>
                <w:rFonts w:ascii="Arial" w:eastAsia="Arial" w:hAnsi="Arial" w:cs="Arial"/>
                <w:color w:val="000000"/>
                <w:sz w:val="16"/>
              </w:rPr>
            </w:pPr>
          </w:p>
        </w:tc>
        <w:tc>
          <w:tcPr>
            <w:tcW w:w="2520" w:type="dxa"/>
            <w:tcBorders>
              <w:top w:val="nil"/>
              <w:left w:val="nil"/>
              <w:bottom w:val="nil"/>
              <w:right w:val="nil"/>
              <w:tl2br w:val="nil"/>
              <w:tr2bl w:val="nil"/>
            </w:tcBorders>
            <w:shd w:val="clear" w:color="auto" w:fill="FFFFFF"/>
            <w:tcMar>
              <w:left w:w="115" w:type="dxa"/>
              <w:right w:w="115" w:type="dxa"/>
            </w:tcMar>
            <w:vAlign w:val="bottom"/>
          </w:tcPr>
          <w:p w14:paraId="6B346644" w14:textId="77777777" w:rsidR="003F0EEA" w:rsidRDefault="00FB7D0B">
            <w:pPr>
              <w:rPr>
                <w:rFonts w:ascii="Arial" w:eastAsia="Arial" w:hAnsi="Arial" w:cs="Arial"/>
                <w:color w:val="000000"/>
                <w:sz w:val="16"/>
              </w:rPr>
            </w:pPr>
            <w:r>
              <w:rPr>
                <w:rFonts w:ascii="Arial" w:eastAsia="Arial" w:hAnsi="Arial" w:cs="Arial"/>
                <w:b/>
                <w:color w:val="000000"/>
                <w:sz w:val="16"/>
              </w:rPr>
              <w:t>Total Outcome 1</w:t>
            </w:r>
          </w:p>
        </w:tc>
        <w:tc>
          <w:tcPr>
            <w:tcW w:w="360" w:type="dxa"/>
            <w:tcBorders>
              <w:top w:val="nil"/>
              <w:left w:val="nil"/>
              <w:bottom w:val="nil"/>
              <w:right w:val="nil"/>
              <w:tl2br w:val="nil"/>
              <w:tr2bl w:val="nil"/>
            </w:tcBorders>
            <w:shd w:val="clear" w:color="auto" w:fill="FFFFFF"/>
            <w:tcMar>
              <w:left w:w="115" w:type="dxa"/>
              <w:right w:w="115" w:type="dxa"/>
            </w:tcMar>
            <w:vAlign w:val="bottom"/>
          </w:tcPr>
          <w:p w14:paraId="54442C79" w14:textId="77777777" w:rsidR="003F0EEA" w:rsidRDefault="003F0EEA">
            <w:pPr>
              <w:jc w:val="center"/>
              <w:rPr>
                <w:rFonts w:ascii="Arial" w:eastAsia="Arial" w:hAnsi="Arial" w:cs="Arial"/>
                <w:b/>
                <w:color w:val="000000"/>
                <w:sz w:val="16"/>
                <w:vertAlign w:val="superscript"/>
              </w:rPr>
            </w:pPr>
          </w:p>
        </w:tc>
        <w:tc>
          <w:tcPr>
            <w:tcW w:w="1230"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566AFBD7" w14:textId="77777777" w:rsidR="003F0EEA" w:rsidRDefault="00FB7D0B">
            <w:pPr>
              <w:jc w:val="right"/>
              <w:rPr>
                <w:rFonts w:ascii="Arial" w:eastAsia="Arial" w:hAnsi="Arial" w:cs="Arial"/>
                <w:color w:val="000000"/>
                <w:sz w:val="16"/>
                <w:vertAlign w:val="superscript"/>
              </w:rPr>
            </w:pPr>
            <w:r>
              <w:rPr>
                <w:rFonts w:ascii="Arial" w:eastAsia="Arial" w:hAnsi="Arial" w:cs="Arial"/>
                <w:b/>
                <w:color w:val="000000"/>
                <w:sz w:val="16"/>
              </w:rPr>
              <w:t xml:space="preserve"> - </w:t>
            </w:r>
          </w:p>
        </w:tc>
        <w:tc>
          <w:tcPr>
            <w:tcW w:w="330"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614C57CC" w14:textId="77777777" w:rsidR="003F0EEA" w:rsidRDefault="00FB7D0B">
            <w:pPr>
              <w:rPr>
                <w:rFonts w:ascii="Arial" w:eastAsia="Arial" w:hAnsi="Arial" w:cs="Arial"/>
                <w:b/>
                <w:color w:val="000000"/>
                <w:sz w:val="16"/>
              </w:rPr>
            </w:pPr>
            <w:r>
              <w:rPr>
                <w:rFonts w:ascii="Arial" w:eastAsia="Arial" w:hAnsi="Arial" w:cs="Arial"/>
                <w:b/>
                <w:color w:val="000000"/>
                <w:sz w:val="16"/>
              </w:rPr>
              <w:t xml:space="preserve"> </w:t>
            </w:r>
          </w:p>
        </w:tc>
        <w:tc>
          <w:tcPr>
            <w:tcW w:w="1080"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48D10E24" w14:textId="77777777" w:rsidR="003F0EEA" w:rsidRDefault="00FB7D0B">
            <w:pPr>
              <w:jc w:val="right"/>
              <w:rPr>
                <w:rFonts w:ascii="Arial" w:eastAsia="Arial" w:hAnsi="Arial" w:cs="Arial"/>
                <w:b/>
                <w:color w:val="000000"/>
                <w:sz w:val="16"/>
              </w:rPr>
            </w:pPr>
            <w:r>
              <w:rPr>
                <w:rFonts w:ascii="Arial" w:eastAsia="Arial" w:hAnsi="Arial" w:cs="Arial"/>
                <w:b/>
                <w:color w:val="000000"/>
                <w:sz w:val="16"/>
              </w:rPr>
              <w:t xml:space="preserve"> 6,469,758 </w:t>
            </w:r>
          </w:p>
        </w:tc>
        <w:tc>
          <w:tcPr>
            <w:tcW w:w="300"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17185D89" w14:textId="77777777" w:rsidR="003F0EEA" w:rsidRDefault="00FB7D0B">
            <w:pPr>
              <w:rPr>
                <w:rFonts w:ascii="Arial" w:eastAsia="Arial" w:hAnsi="Arial" w:cs="Arial"/>
                <w:b/>
                <w:color w:val="000000"/>
                <w:sz w:val="16"/>
              </w:rPr>
            </w:pPr>
            <w:r>
              <w:rPr>
                <w:rFonts w:ascii="Arial" w:eastAsia="Arial" w:hAnsi="Arial" w:cs="Arial"/>
                <w:b/>
                <w:color w:val="000000"/>
                <w:sz w:val="16"/>
              </w:rPr>
              <w:t xml:space="preserve"> </w:t>
            </w:r>
          </w:p>
        </w:tc>
        <w:tc>
          <w:tcPr>
            <w:tcW w:w="1080" w:type="dxa"/>
            <w:tcBorders>
              <w:top w:val="nil"/>
              <w:left w:val="nil"/>
              <w:bottom w:val="single" w:sz="6" w:space="0" w:color="000000"/>
              <w:right w:val="nil"/>
              <w:tl2br w:val="nil"/>
              <w:tr2bl w:val="nil"/>
            </w:tcBorders>
            <w:shd w:val="clear" w:color="auto" w:fill="FFFF00"/>
            <w:tcMar>
              <w:left w:w="115" w:type="dxa"/>
              <w:right w:w="115" w:type="dxa"/>
            </w:tcMar>
            <w:vAlign w:val="bottom"/>
          </w:tcPr>
          <w:p w14:paraId="1CC91E2C" w14:textId="77777777" w:rsidR="003F0EEA" w:rsidRDefault="00FB7D0B">
            <w:pPr>
              <w:jc w:val="right"/>
              <w:rPr>
                <w:rFonts w:ascii="Arial" w:eastAsia="Arial" w:hAnsi="Arial" w:cs="Arial"/>
                <w:b/>
                <w:color w:val="000000"/>
                <w:sz w:val="16"/>
              </w:rPr>
            </w:pPr>
            <w:r>
              <w:rPr>
                <w:rFonts w:ascii="Arial" w:eastAsia="Arial" w:hAnsi="Arial" w:cs="Arial"/>
                <w:b/>
                <w:color w:val="000000"/>
                <w:sz w:val="16"/>
              </w:rPr>
              <w:t xml:space="preserve"> 6,469,758 </w:t>
            </w:r>
          </w:p>
        </w:tc>
        <w:tc>
          <w:tcPr>
            <w:tcW w:w="1230"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6A9749CF" w14:textId="77777777" w:rsidR="003F0EEA" w:rsidRDefault="00FB7D0B">
            <w:pPr>
              <w:jc w:val="right"/>
              <w:rPr>
                <w:rFonts w:ascii="Arial" w:eastAsia="Arial" w:hAnsi="Arial" w:cs="Arial"/>
                <w:b/>
                <w:color w:val="000000"/>
                <w:sz w:val="16"/>
              </w:rPr>
            </w:pPr>
            <w:r>
              <w:rPr>
                <w:rFonts w:ascii="Arial" w:eastAsia="Arial" w:hAnsi="Arial" w:cs="Arial"/>
                <w:b/>
                <w:color w:val="000000"/>
                <w:sz w:val="16"/>
              </w:rPr>
              <w:t xml:space="preserve"> 6,588,252 </w:t>
            </w:r>
          </w:p>
        </w:tc>
      </w:tr>
      <w:tr w:rsidR="00724034" w14:paraId="462539F0" w14:textId="77777777">
        <w:trPr>
          <w:trHeight w:val="225"/>
        </w:trPr>
        <w:tc>
          <w:tcPr>
            <w:tcW w:w="180" w:type="dxa"/>
            <w:tcBorders>
              <w:top w:val="nil"/>
              <w:left w:val="nil"/>
              <w:bottom w:val="nil"/>
              <w:right w:val="nil"/>
              <w:tl2br w:val="nil"/>
              <w:tr2bl w:val="nil"/>
            </w:tcBorders>
            <w:shd w:val="clear" w:color="auto" w:fill="FFFFFF"/>
            <w:tcMar>
              <w:left w:w="115" w:type="dxa"/>
              <w:right w:w="115" w:type="dxa"/>
            </w:tcMar>
            <w:vAlign w:val="bottom"/>
          </w:tcPr>
          <w:p w14:paraId="5A7CEEFD" w14:textId="77777777" w:rsidR="003F0EEA" w:rsidRDefault="003F0EEA">
            <w:pPr>
              <w:rPr>
                <w:rFonts w:ascii="Arial" w:eastAsia="Arial" w:hAnsi="Arial" w:cs="Arial"/>
                <w:b/>
                <w:color w:val="000000"/>
                <w:sz w:val="16"/>
              </w:rPr>
            </w:pPr>
          </w:p>
        </w:tc>
        <w:tc>
          <w:tcPr>
            <w:tcW w:w="180" w:type="dxa"/>
            <w:tcBorders>
              <w:top w:val="nil"/>
              <w:left w:val="nil"/>
              <w:bottom w:val="nil"/>
              <w:right w:val="nil"/>
              <w:tl2br w:val="nil"/>
              <w:tr2bl w:val="nil"/>
            </w:tcBorders>
            <w:shd w:val="clear" w:color="auto" w:fill="FFFFFF"/>
            <w:tcMar>
              <w:left w:w="115" w:type="dxa"/>
              <w:right w:w="115" w:type="dxa"/>
            </w:tcMar>
            <w:vAlign w:val="bottom"/>
          </w:tcPr>
          <w:p w14:paraId="05E934CF" w14:textId="77777777" w:rsidR="003F0EEA" w:rsidRDefault="003F0EEA">
            <w:pPr>
              <w:rPr>
                <w:rFonts w:ascii="Arial" w:eastAsia="Arial" w:hAnsi="Arial" w:cs="Arial"/>
                <w:color w:val="000000"/>
                <w:sz w:val="16"/>
              </w:rPr>
            </w:pPr>
          </w:p>
        </w:tc>
        <w:tc>
          <w:tcPr>
            <w:tcW w:w="2520" w:type="dxa"/>
            <w:tcBorders>
              <w:top w:val="nil"/>
              <w:left w:val="nil"/>
              <w:bottom w:val="nil"/>
              <w:right w:val="nil"/>
              <w:tl2br w:val="nil"/>
              <w:tr2bl w:val="nil"/>
            </w:tcBorders>
            <w:shd w:val="clear" w:color="auto" w:fill="FFFFFF"/>
            <w:tcMar>
              <w:left w:w="115" w:type="dxa"/>
              <w:right w:w="115" w:type="dxa"/>
            </w:tcMar>
            <w:vAlign w:val="bottom"/>
          </w:tcPr>
          <w:p w14:paraId="5E9B94F5" w14:textId="77777777" w:rsidR="003F0EEA" w:rsidRDefault="00FB7D0B">
            <w:pPr>
              <w:rPr>
                <w:rFonts w:ascii="Arial" w:eastAsia="Arial" w:hAnsi="Arial" w:cs="Arial"/>
                <w:color w:val="000000"/>
                <w:sz w:val="16"/>
              </w:rPr>
            </w:pPr>
            <w:r>
              <w:rPr>
                <w:rFonts w:ascii="Arial" w:eastAsia="Arial" w:hAnsi="Arial" w:cs="Arial"/>
                <w:b/>
                <w:color w:val="000000"/>
                <w:sz w:val="16"/>
              </w:rPr>
              <w:t>Outcome 2</w:t>
            </w:r>
          </w:p>
        </w:tc>
        <w:tc>
          <w:tcPr>
            <w:tcW w:w="360" w:type="dxa"/>
            <w:tcBorders>
              <w:top w:val="nil"/>
              <w:left w:val="nil"/>
              <w:bottom w:val="nil"/>
              <w:right w:val="nil"/>
              <w:tl2br w:val="nil"/>
              <w:tr2bl w:val="nil"/>
            </w:tcBorders>
            <w:shd w:val="clear" w:color="auto" w:fill="FFFFFF"/>
            <w:tcMar>
              <w:left w:w="115" w:type="dxa"/>
              <w:right w:w="115" w:type="dxa"/>
            </w:tcMar>
            <w:vAlign w:val="bottom"/>
          </w:tcPr>
          <w:p w14:paraId="11AE57D8" w14:textId="77777777" w:rsidR="003F0EEA" w:rsidRDefault="003F0EEA">
            <w:pPr>
              <w:jc w:val="center"/>
              <w:rPr>
                <w:rFonts w:ascii="Arial" w:eastAsia="Arial" w:hAnsi="Arial" w:cs="Arial"/>
                <w:b/>
                <w:color w:val="000000"/>
                <w:sz w:val="16"/>
                <w:vertAlign w:val="superscript"/>
              </w:rPr>
            </w:pPr>
          </w:p>
        </w:tc>
        <w:tc>
          <w:tcPr>
            <w:tcW w:w="1230"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686CAEF7" w14:textId="77777777" w:rsidR="003F0EEA" w:rsidRDefault="003F0EEA">
            <w:pPr>
              <w:jc w:val="right"/>
              <w:rPr>
                <w:rFonts w:ascii="Arial" w:eastAsia="Arial" w:hAnsi="Arial" w:cs="Arial"/>
                <w:color w:val="000000"/>
                <w:sz w:val="16"/>
                <w:vertAlign w:val="superscript"/>
              </w:rPr>
            </w:pPr>
          </w:p>
        </w:tc>
        <w:tc>
          <w:tcPr>
            <w:tcW w:w="330"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2C812E18" w14:textId="77777777" w:rsidR="003F0EEA" w:rsidRDefault="00FB7D0B">
            <w:pPr>
              <w:rPr>
                <w:rFonts w:ascii="Arial" w:eastAsia="Arial" w:hAnsi="Arial" w:cs="Arial"/>
                <w:color w:val="000000"/>
                <w:sz w:val="16"/>
                <w:vertAlign w:val="superscript"/>
              </w:rPr>
            </w:pPr>
            <w:r>
              <w:rPr>
                <w:rFonts w:ascii="Arial" w:eastAsia="Arial" w:hAnsi="Arial" w:cs="Arial"/>
                <w:color w:val="000000"/>
                <w:sz w:val="16"/>
              </w:rPr>
              <w:t xml:space="preserve"> </w:t>
            </w:r>
          </w:p>
        </w:tc>
        <w:tc>
          <w:tcPr>
            <w:tcW w:w="1080"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72D22BED" w14:textId="77777777" w:rsidR="003F0EEA" w:rsidRDefault="003F0EEA">
            <w:pPr>
              <w:jc w:val="right"/>
              <w:rPr>
                <w:rFonts w:ascii="Arial" w:eastAsia="Arial" w:hAnsi="Arial" w:cs="Arial"/>
                <w:color w:val="000000"/>
                <w:sz w:val="16"/>
              </w:rPr>
            </w:pPr>
          </w:p>
        </w:tc>
        <w:tc>
          <w:tcPr>
            <w:tcW w:w="300"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03EC21CE" w14:textId="77777777" w:rsidR="003F0EEA" w:rsidRDefault="00FB7D0B">
            <w:pPr>
              <w:rPr>
                <w:rFonts w:ascii="Arial" w:eastAsia="Arial" w:hAnsi="Arial" w:cs="Arial"/>
                <w:color w:val="000000"/>
                <w:sz w:val="16"/>
              </w:rPr>
            </w:pPr>
            <w:r>
              <w:rPr>
                <w:rFonts w:ascii="Arial" w:eastAsia="Arial" w:hAnsi="Arial" w:cs="Arial"/>
                <w:color w:val="000000"/>
                <w:sz w:val="16"/>
              </w:rPr>
              <w:t xml:space="preserve"> </w:t>
            </w:r>
          </w:p>
        </w:tc>
        <w:tc>
          <w:tcPr>
            <w:tcW w:w="1080" w:type="dxa"/>
            <w:tcBorders>
              <w:top w:val="single" w:sz="6" w:space="0" w:color="000000"/>
              <w:left w:val="nil"/>
              <w:bottom w:val="nil"/>
              <w:right w:val="nil"/>
              <w:tl2br w:val="nil"/>
              <w:tr2bl w:val="nil"/>
            </w:tcBorders>
            <w:shd w:val="clear" w:color="auto" w:fill="FFFF00"/>
            <w:tcMar>
              <w:left w:w="115" w:type="dxa"/>
              <w:right w:w="115" w:type="dxa"/>
            </w:tcMar>
            <w:vAlign w:val="bottom"/>
          </w:tcPr>
          <w:p w14:paraId="14D9954F" w14:textId="77777777" w:rsidR="003F0EEA" w:rsidRDefault="003F0EEA">
            <w:pPr>
              <w:jc w:val="right"/>
              <w:rPr>
                <w:rFonts w:ascii="Arial" w:eastAsia="Arial" w:hAnsi="Arial" w:cs="Arial"/>
                <w:color w:val="000000"/>
                <w:sz w:val="16"/>
              </w:rPr>
            </w:pPr>
          </w:p>
        </w:tc>
        <w:tc>
          <w:tcPr>
            <w:tcW w:w="1230"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7A41B763" w14:textId="77777777" w:rsidR="003F0EEA" w:rsidRDefault="003F0EEA">
            <w:pPr>
              <w:jc w:val="right"/>
              <w:rPr>
                <w:rFonts w:ascii="Arial" w:eastAsia="Arial" w:hAnsi="Arial" w:cs="Arial"/>
                <w:color w:val="000000"/>
                <w:sz w:val="16"/>
              </w:rPr>
            </w:pPr>
          </w:p>
        </w:tc>
      </w:tr>
      <w:tr w:rsidR="00724034" w14:paraId="579E7038" w14:textId="77777777">
        <w:trPr>
          <w:trHeight w:val="450"/>
        </w:trPr>
        <w:tc>
          <w:tcPr>
            <w:tcW w:w="180" w:type="dxa"/>
            <w:tcBorders>
              <w:top w:val="nil"/>
              <w:left w:val="nil"/>
              <w:bottom w:val="nil"/>
              <w:right w:val="nil"/>
              <w:tl2br w:val="nil"/>
              <w:tr2bl w:val="nil"/>
            </w:tcBorders>
            <w:shd w:val="clear" w:color="auto" w:fill="FFFFFF"/>
            <w:tcMar>
              <w:left w:w="115" w:type="dxa"/>
              <w:right w:w="115" w:type="dxa"/>
            </w:tcMar>
            <w:vAlign w:val="bottom"/>
          </w:tcPr>
          <w:p w14:paraId="1D2C9876" w14:textId="77777777" w:rsidR="003F0EEA" w:rsidRDefault="003F0EEA">
            <w:pPr>
              <w:rPr>
                <w:rFonts w:ascii="Arial" w:eastAsia="Arial" w:hAnsi="Arial" w:cs="Arial"/>
                <w:color w:val="000000"/>
                <w:sz w:val="16"/>
              </w:rPr>
            </w:pPr>
          </w:p>
        </w:tc>
        <w:tc>
          <w:tcPr>
            <w:tcW w:w="180" w:type="dxa"/>
            <w:tcBorders>
              <w:top w:val="nil"/>
              <w:left w:val="nil"/>
              <w:bottom w:val="nil"/>
              <w:right w:val="nil"/>
              <w:tl2br w:val="nil"/>
              <w:tr2bl w:val="nil"/>
            </w:tcBorders>
            <w:shd w:val="clear" w:color="auto" w:fill="FFFFFF"/>
            <w:tcMar>
              <w:left w:w="115" w:type="dxa"/>
              <w:right w:w="115" w:type="dxa"/>
            </w:tcMar>
            <w:vAlign w:val="bottom"/>
          </w:tcPr>
          <w:p w14:paraId="52E1AC66" w14:textId="77777777" w:rsidR="003F0EEA" w:rsidRDefault="003F0EEA">
            <w:pPr>
              <w:rPr>
                <w:rFonts w:ascii="Arial" w:eastAsia="Arial" w:hAnsi="Arial" w:cs="Arial"/>
                <w:color w:val="000000"/>
                <w:sz w:val="16"/>
              </w:rPr>
            </w:pPr>
          </w:p>
        </w:tc>
        <w:tc>
          <w:tcPr>
            <w:tcW w:w="2520" w:type="dxa"/>
            <w:tcBorders>
              <w:top w:val="nil"/>
              <w:left w:val="nil"/>
              <w:bottom w:val="nil"/>
              <w:right w:val="nil"/>
              <w:tl2br w:val="nil"/>
              <w:tr2bl w:val="nil"/>
            </w:tcBorders>
            <w:shd w:val="clear" w:color="auto" w:fill="FFFFFF"/>
            <w:tcMar>
              <w:left w:w="115" w:type="dxa"/>
              <w:right w:w="115" w:type="dxa"/>
            </w:tcMar>
            <w:vAlign w:val="bottom"/>
          </w:tcPr>
          <w:p w14:paraId="369FB479" w14:textId="77777777" w:rsidR="003F0EEA" w:rsidRDefault="00FB7D0B">
            <w:pPr>
              <w:rPr>
                <w:rFonts w:ascii="Arial" w:eastAsia="Arial" w:hAnsi="Arial" w:cs="Arial"/>
                <w:color w:val="000000"/>
                <w:sz w:val="16"/>
              </w:rPr>
            </w:pPr>
            <w:r>
              <w:rPr>
                <w:rFonts w:ascii="Arial" w:eastAsia="Arial" w:hAnsi="Arial" w:cs="Arial"/>
                <w:i/>
                <w:color w:val="000000"/>
                <w:sz w:val="16"/>
              </w:rPr>
              <w:t>Veterans' Entitlements Act 1986 (VEA)</w:t>
            </w:r>
          </w:p>
        </w:tc>
        <w:tc>
          <w:tcPr>
            <w:tcW w:w="360" w:type="dxa"/>
            <w:tcBorders>
              <w:top w:val="nil"/>
              <w:left w:val="nil"/>
              <w:bottom w:val="nil"/>
              <w:right w:val="nil"/>
              <w:tl2br w:val="nil"/>
              <w:tr2bl w:val="nil"/>
            </w:tcBorders>
            <w:shd w:val="clear" w:color="auto" w:fill="FFFFFF"/>
            <w:tcMar>
              <w:left w:w="115" w:type="dxa"/>
              <w:right w:w="115" w:type="dxa"/>
            </w:tcMar>
            <w:vAlign w:val="bottom"/>
          </w:tcPr>
          <w:p w14:paraId="27DB639F" w14:textId="77777777" w:rsidR="003F0EEA" w:rsidRDefault="003F0EEA">
            <w:pPr>
              <w:jc w:val="center"/>
              <w:rPr>
                <w:rFonts w:ascii="Arial" w:eastAsia="Arial" w:hAnsi="Arial" w:cs="Arial"/>
                <w:i/>
                <w:color w:val="000000"/>
                <w:sz w:val="16"/>
                <w:vertAlign w:val="superscript"/>
              </w:rPr>
            </w:pPr>
          </w:p>
        </w:tc>
        <w:tc>
          <w:tcPr>
            <w:tcW w:w="1230" w:type="dxa"/>
            <w:tcBorders>
              <w:top w:val="nil"/>
              <w:left w:val="nil"/>
              <w:bottom w:val="nil"/>
              <w:right w:val="nil"/>
              <w:tl2br w:val="nil"/>
              <w:tr2bl w:val="nil"/>
            </w:tcBorders>
            <w:shd w:val="clear" w:color="auto" w:fill="FFFFFF"/>
            <w:tcMar>
              <w:left w:w="115" w:type="dxa"/>
              <w:right w:w="115" w:type="dxa"/>
            </w:tcMar>
            <w:vAlign w:val="bottom"/>
          </w:tcPr>
          <w:p w14:paraId="26898030" w14:textId="77777777" w:rsidR="003F0EEA" w:rsidRDefault="00FB7D0B">
            <w:pPr>
              <w:jc w:val="right"/>
              <w:rPr>
                <w:rFonts w:ascii="Arial" w:eastAsia="Arial" w:hAnsi="Arial" w:cs="Arial"/>
                <w:color w:val="000000"/>
                <w:sz w:val="16"/>
                <w:vertAlign w:val="superscript"/>
              </w:rPr>
            </w:pPr>
            <w:r>
              <w:rPr>
                <w:rFonts w:ascii="Arial" w:eastAsia="Arial" w:hAnsi="Arial" w:cs="Arial"/>
                <w:color w:val="000000"/>
                <w:sz w:val="16"/>
              </w:rPr>
              <w:t xml:space="preserve"> - </w:t>
            </w:r>
          </w:p>
        </w:tc>
        <w:tc>
          <w:tcPr>
            <w:tcW w:w="330" w:type="dxa"/>
            <w:tcBorders>
              <w:top w:val="nil"/>
              <w:left w:val="nil"/>
              <w:bottom w:val="nil"/>
              <w:right w:val="nil"/>
              <w:tl2br w:val="nil"/>
              <w:tr2bl w:val="nil"/>
            </w:tcBorders>
            <w:shd w:val="clear" w:color="auto" w:fill="FFFFFF"/>
            <w:tcMar>
              <w:left w:w="115" w:type="dxa"/>
              <w:right w:w="115" w:type="dxa"/>
            </w:tcMar>
            <w:vAlign w:val="bottom"/>
          </w:tcPr>
          <w:p w14:paraId="04077879" w14:textId="77777777" w:rsidR="003F0EEA" w:rsidRDefault="00FB7D0B">
            <w:pPr>
              <w:rPr>
                <w:rFonts w:ascii="Arial" w:eastAsia="Arial" w:hAnsi="Arial" w:cs="Arial"/>
                <w:color w:val="000000"/>
                <w:sz w:val="16"/>
              </w:rPr>
            </w:pPr>
            <w:r>
              <w:rPr>
                <w:rFonts w:ascii="Arial" w:eastAsia="Arial" w:hAnsi="Arial" w:cs="Arial"/>
                <w:color w:val="000000"/>
                <w:sz w:val="16"/>
              </w:rPr>
              <w:t xml:space="preserve"> </w:t>
            </w:r>
          </w:p>
        </w:tc>
        <w:tc>
          <w:tcPr>
            <w:tcW w:w="1080" w:type="dxa"/>
            <w:tcBorders>
              <w:top w:val="nil"/>
              <w:left w:val="nil"/>
              <w:bottom w:val="nil"/>
              <w:right w:val="nil"/>
              <w:tl2br w:val="nil"/>
              <w:tr2bl w:val="nil"/>
            </w:tcBorders>
            <w:shd w:val="clear" w:color="auto" w:fill="FFFFFF"/>
            <w:tcMar>
              <w:left w:w="115" w:type="dxa"/>
              <w:right w:w="115" w:type="dxa"/>
            </w:tcMar>
            <w:vAlign w:val="bottom"/>
          </w:tcPr>
          <w:p w14:paraId="2DA574ED" w14:textId="77777777" w:rsidR="003F0EEA" w:rsidRDefault="00FB7D0B">
            <w:pPr>
              <w:jc w:val="right"/>
              <w:rPr>
                <w:rFonts w:ascii="Arial" w:eastAsia="Arial" w:hAnsi="Arial" w:cs="Arial"/>
                <w:color w:val="000000"/>
                <w:sz w:val="16"/>
              </w:rPr>
            </w:pPr>
            <w:r>
              <w:rPr>
                <w:rFonts w:ascii="Arial" w:eastAsia="Arial" w:hAnsi="Arial" w:cs="Arial"/>
                <w:color w:val="000000"/>
                <w:sz w:val="16"/>
              </w:rPr>
              <w:t xml:space="preserve"> 5,325,138 </w:t>
            </w:r>
          </w:p>
        </w:tc>
        <w:tc>
          <w:tcPr>
            <w:tcW w:w="300" w:type="dxa"/>
            <w:tcBorders>
              <w:top w:val="nil"/>
              <w:left w:val="nil"/>
              <w:bottom w:val="nil"/>
              <w:right w:val="nil"/>
              <w:tl2br w:val="nil"/>
              <w:tr2bl w:val="nil"/>
            </w:tcBorders>
            <w:shd w:val="clear" w:color="auto" w:fill="FFFFFF"/>
            <w:tcMar>
              <w:left w:w="115" w:type="dxa"/>
              <w:right w:w="115" w:type="dxa"/>
            </w:tcMar>
            <w:vAlign w:val="bottom"/>
          </w:tcPr>
          <w:p w14:paraId="3F838010" w14:textId="77777777" w:rsidR="003F0EEA" w:rsidRDefault="00FB7D0B">
            <w:pPr>
              <w:rPr>
                <w:rFonts w:ascii="Arial" w:eastAsia="Arial" w:hAnsi="Arial" w:cs="Arial"/>
                <w:color w:val="000000"/>
                <w:sz w:val="16"/>
              </w:rPr>
            </w:pPr>
            <w:r>
              <w:rPr>
                <w:rFonts w:ascii="Arial" w:eastAsia="Arial" w:hAnsi="Arial" w:cs="Arial"/>
                <w:color w:val="000000"/>
                <w:sz w:val="16"/>
              </w:rPr>
              <w:t xml:space="preserve"> </w:t>
            </w:r>
          </w:p>
        </w:tc>
        <w:tc>
          <w:tcPr>
            <w:tcW w:w="1080" w:type="dxa"/>
            <w:tcBorders>
              <w:top w:val="nil"/>
              <w:left w:val="nil"/>
              <w:bottom w:val="nil"/>
              <w:right w:val="nil"/>
              <w:tl2br w:val="nil"/>
              <w:tr2bl w:val="nil"/>
            </w:tcBorders>
            <w:shd w:val="clear" w:color="auto" w:fill="FFFF00"/>
            <w:tcMar>
              <w:left w:w="115" w:type="dxa"/>
              <w:right w:w="115" w:type="dxa"/>
            </w:tcMar>
            <w:vAlign w:val="bottom"/>
          </w:tcPr>
          <w:p w14:paraId="32D4C918" w14:textId="77777777" w:rsidR="003F0EEA" w:rsidRDefault="00FB7D0B">
            <w:pPr>
              <w:jc w:val="right"/>
              <w:rPr>
                <w:rFonts w:ascii="Arial" w:eastAsia="Arial" w:hAnsi="Arial" w:cs="Arial"/>
                <w:color w:val="000000"/>
                <w:sz w:val="16"/>
              </w:rPr>
            </w:pPr>
            <w:r>
              <w:rPr>
                <w:rFonts w:ascii="Arial" w:eastAsia="Arial" w:hAnsi="Arial" w:cs="Arial"/>
                <w:color w:val="000000"/>
                <w:sz w:val="16"/>
              </w:rPr>
              <w:t xml:space="preserve"> 5,325,138 </w:t>
            </w:r>
          </w:p>
        </w:tc>
        <w:tc>
          <w:tcPr>
            <w:tcW w:w="1230" w:type="dxa"/>
            <w:tcBorders>
              <w:top w:val="nil"/>
              <w:left w:val="nil"/>
              <w:bottom w:val="nil"/>
              <w:right w:val="nil"/>
              <w:tl2br w:val="nil"/>
              <w:tr2bl w:val="nil"/>
            </w:tcBorders>
            <w:shd w:val="clear" w:color="auto" w:fill="FFFFFF"/>
            <w:tcMar>
              <w:left w:w="115" w:type="dxa"/>
              <w:right w:w="115" w:type="dxa"/>
            </w:tcMar>
            <w:vAlign w:val="bottom"/>
          </w:tcPr>
          <w:p w14:paraId="28336B0C" w14:textId="77777777" w:rsidR="003F0EEA" w:rsidRDefault="00FB7D0B">
            <w:pPr>
              <w:jc w:val="right"/>
              <w:rPr>
                <w:rFonts w:ascii="Arial" w:eastAsia="Arial" w:hAnsi="Arial" w:cs="Arial"/>
                <w:color w:val="000000"/>
                <w:sz w:val="16"/>
              </w:rPr>
            </w:pPr>
            <w:r>
              <w:rPr>
                <w:rFonts w:ascii="Arial" w:eastAsia="Arial" w:hAnsi="Arial" w:cs="Arial"/>
                <w:color w:val="000000"/>
                <w:sz w:val="16"/>
              </w:rPr>
              <w:t xml:space="preserve"> 5,305,957 </w:t>
            </w:r>
          </w:p>
        </w:tc>
      </w:tr>
      <w:tr w:rsidR="00724034" w14:paraId="4096EEA2" w14:textId="77777777">
        <w:trPr>
          <w:trHeight w:val="450"/>
        </w:trPr>
        <w:tc>
          <w:tcPr>
            <w:tcW w:w="180" w:type="dxa"/>
            <w:tcBorders>
              <w:top w:val="nil"/>
              <w:left w:val="nil"/>
              <w:bottom w:val="nil"/>
              <w:right w:val="nil"/>
              <w:tl2br w:val="nil"/>
              <w:tr2bl w:val="nil"/>
            </w:tcBorders>
            <w:shd w:val="clear" w:color="auto" w:fill="FFFFFF"/>
            <w:tcMar>
              <w:left w:w="115" w:type="dxa"/>
              <w:right w:w="115" w:type="dxa"/>
            </w:tcMar>
            <w:vAlign w:val="bottom"/>
          </w:tcPr>
          <w:p w14:paraId="7443EB68" w14:textId="77777777" w:rsidR="003F0EEA" w:rsidRDefault="003F0EEA">
            <w:pPr>
              <w:rPr>
                <w:rFonts w:ascii="Arial" w:eastAsia="Arial" w:hAnsi="Arial" w:cs="Arial"/>
                <w:color w:val="000000"/>
                <w:sz w:val="16"/>
              </w:rPr>
            </w:pPr>
          </w:p>
        </w:tc>
        <w:tc>
          <w:tcPr>
            <w:tcW w:w="180" w:type="dxa"/>
            <w:tcBorders>
              <w:top w:val="nil"/>
              <w:left w:val="nil"/>
              <w:bottom w:val="nil"/>
              <w:right w:val="nil"/>
              <w:tl2br w:val="nil"/>
              <w:tr2bl w:val="nil"/>
            </w:tcBorders>
            <w:shd w:val="clear" w:color="auto" w:fill="FFFFFF"/>
            <w:tcMar>
              <w:left w:w="115" w:type="dxa"/>
              <w:right w:w="115" w:type="dxa"/>
            </w:tcMar>
            <w:vAlign w:val="bottom"/>
          </w:tcPr>
          <w:p w14:paraId="6CAAF787" w14:textId="77777777" w:rsidR="003F0EEA" w:rsidRDefault="003F0EEA">
            <w:pPr>
              <w:rPr>
                <w:rFonts w:ascii="Arial" w:eastAsia="Arial" w:hAnsi="Arial" w:cs="Arial"/>
                <w:color w:val="000000"/>
                <w:sz w:val="16"/>
              </w:rPr>
            </w:pPr>
          </w:p>
        </w:tc>
        <w:tc>
          <w:tcPr>
            <w:tcW w:w="2520" w:type="dxa"/>
            <w:tcBorders>
              <w:top w:val="nil"/>
              <w:left w:val="nil"/>
              <w:bottom w:val="nil"/>
              <w:right w:val="nil"/>
              <w:tl2br w:val="nil"/>
              <w:tr2bl w:val="nil"/>
            </w:tcBorders>
            <w:shd w:val="clear" w:color="auto" w:fill="FFFFFF"/>
            <w:tcMar>
              <w:left w:w="115" w:type="dxa"/>
              <w:right w:w="115" w:type="dxa"/>
            </w:tcMar>
            <w:vAlign w:val="bottom"/>
          </w:tcPr>
          <w:p w14:paraId="75E6F4E5" w14:textId="77777777" w:rsidR="003F0EEA" w:rsidRDefault="00FB7D0B">
            <w:pPr>
              <w:rPr>
                <w:rFonts w:ascii="Arial" w:eastAsia="Arial" w:hAnsi="Arial" w:cs="Arial"/>
                <w:color w:val="000000"/>
                <w:sz w:val="16"/>
              </w:rPr>
            </w:pPr>
            <w:r>
              <w:rPr>
                <w:rFonts w:ascii="Arial" w:eastAsia="Arial" w:hAnsi="Arial" w:cs="Arial"/>
                <w:i/>
                <w:color w:val="000000"/>
                <w:sz w:val="16"/>
              </w:rPr>
              <w:t>Safety, Rehabilitation and Compensation Act 1988</w:t>
            </w:r>
          </w:p>
        </w:tc>
        <w:tc>
          <w:tcPr>
            <w:tcW w:w="360" w:type="dxa"/>
            <w:tcBorders>
              <w:top w:val="nil"/>
              <w:left w:val="nil"/>
              <w:bottom w:val="nil"/>
              <w:right w:val="nil"/>
              <w:tl2br w:val="nil"/>
              <w:tr2bl w:val="nil"/>
            </w:tcBorders>
            <w:shd w:val="clear" w:color="auto" w:fill="FFFFFF"/>
            <w:tcMar>
              <w:left w:w="115" w:type="dxa"/>
              <w:right w:w="115" w:type="dxa"/>
            </w:tcMar>
            <w:vAlign w:val="bottom"/>
          </w:tcPr>
          <w:p w14:paraId="384DE2F6" w14:textId="77777777" w:rsidR="003F0EEA" w:rsidRDefault="003F0EEA">
            <w:pPr>
              <w:jc w:val="center"/>
              <w:rPr>
                <w:rFonts w:ascii="Arial" w:eastAsia="Arial" w:hAnsi="Arial" w:cs="Arial"/>
                <w:i/>
                <w:color w:val="000000"/>
                <w:sz w:val="16"/>
                <w:vertAlign w:val="superscript"/>
              </w:rPr>
            </w:pPr>
          </w:p>
        </w:tc>
        <w:tc>
          <w:tcPr>
            <w:tcW w:w="1230" w:type="dxa"/>
            <w:tcBorders>
              <w:top w:val="nil"/>
              <w:left w:val="nil"/>
              <w:bottom w:val="nil"/>
              <w:right w:val="nil"/>
              <w:tl2br w:val="nil"/>
              <w:tr2bl w:val="nil"/>
            </w:tcBorders>
            <w:shd w:val="clear" w:color="auto" w:fill="FFFFFF"/>
            <w:tcMar>
              <w:left w:w="115" w:type="dxa"/>
              <w:right w:w="115" w:type="dxa"/>
            </w:tcMar>
            <w:vAlign w:val="bottom"/>
          </w:tcPr>
          <w:p w14:paraId="1F08D541" w14:textId="77777777" w:rsidR="003F0EEA" w:rsidRDefault="00FB7D0B">
            <w:pPr>
              <w:jc w:val="right"/>
              <w:rPr>
                <w:rFonts w:ascii="Arial" w:eastAsia="Arial" w:hAnsi="Arial" w:cs="Arial"/>
                <w:color w:val="000000"/>
                <w:sz w:val="16"/>
                <w:vertAlign w:val="superscript"/>
              </w:rPr>
            </w:pPr>
            <w:r>
              <w:rPr>
                <w:rFonts w:ascii="Arial" w:eastAsia="Arial" w:hAnsi="Arial" w:cs="Arial"/>
                <w:color w:val="000000"/>
                <w:sz w:val="16"/>
              </w:rPr>
              <w:t xml:space="preserve"> - </w:t>
            </w:r>
          </w:p>
        </w:tc>
        <w:tc>
          <w:tcPr>
            <w:tcW w:w="330" w:type="dxa"/>
            <w:tcBorders>
              <w:top w:val="nil"/>
              <w:left w:val="nil"/>
              <w:bottom w:val="nil"/>
              <w:right w:val="nil"/>
              <w:tl2br w:val="nil"/>
              <w:tr2bl w:val="nil"/>
            </w:tcBorders>
            <w:shd w:val="clear" w:color="auto" w:fill="FFFFFF"/>
            <w:tcMar>
              <w:left w:w="115" w:type="dxa"/>
              <w:right w:w="115" w:type="dxa"/>
            </w:tcMar>
            <w:vAlign w:val="bottom"/>
          </w:tcPr>
          <w:p w14:paraId="30E9E8F2" w14:textId="77777777" w:rsidR="003F0EEA" w:rsidRDefault="00FB7D0B">
            <w:pPr>
              <w:rPr>
                <w:rFonts w:ascii="Arial" w:eastAsia="Arial" w:hAnsi="Arial" w:cs="Arial"/>
                <w:color w:val="000000"/>
                <w:sz w:val="16"/>
              </w:rPr>
            </w:pPr>
            <w:r>
              <w:rPr>
                <w:rFonts w:ascii="Arial" w:eastAsia="Arial" w:hAnsi="Arial" w:cs="Arial"/>
                <w:color w:val="000000"/>
                <w:sz w:val="16"/>
              </w:rPr>
              <w:t xml:space="preserve"> </w:t>
            </w:r>
          </w:p>
        </w:tc>
        <w:tc>
          <w:tcPr>
            <w:tcW w:w="1080" w:type="dxa"/>
            <w:tcBorders>
              <w:top w:val="nil"/>
              <w:left w:val="nil"/>
              <w:bottom w:val="nil"/>
              <w:right w:val="nil"/>
              <w:tl2br w:val="nil"/>
              <w:tr2bl w:val="nil"/>
            </w:tcBorders>
            <w:shd w:val="clear" w:color="auto" w:fill="FFFFFF"/>
            <w:tcMar>
              <w:left w:w="115" w:type="dxa"/>
              <w:right w:w="115" w:type="dxa"/>
            </w:tcMar>
            <w:vAlign w:val="bottom"/>
          </w:tcPr>
          <w:p w14:paraId="189A4696" w14:textId="77777777" w:rsidR="003F0EEA" w:rsidRDefault="00FB7D0B">
            <w:pPr>
              <w:jc w:val="right"/>
              <w:rPr>
                <w:rFonts w:ascii="Arial" w:eastAsia="Arial" w:hAnsi="Arial" w:cs="Arial"/>
                <w:color w:val="000000"/>
                <w:sz w:val="16"/>
              </w:rPr>
            </w:pPr>
            <w:r>
              <w:rPr>
                <w:rFonts w:ascii="Arial" w:eastAsia="Arial" w:hAnsi="Arial" w:cs="Arial"/>
                <w:color w:val="000000"/>
                <w:sz w:val="16"/>
              </w:rPr>
              <w:t xml:space="preserve"> 39,799 </w:t>
            </w:r>
          </w:p>
        </w:tc>
        <w:tc>
          <w:tcPr>
            <w:tcW w:w="300" w:type="dxa"/>
            <w:tcBorders>
              <w:top w:val="nil"/>
              <w:left w:val="nil"/>
              <w:bottom w:val="nil"/>
              <w:right w:val="nil"/>
              <w:tl2br w:val="nil"/>
              <w:tr2bl w:val="nil"/>
            </w:tcBorders>
            <w:shd w:val="clear" w:color="auto" w:fill="FFFFFF"/>
            <w:tcMar>
              <w:left w:w="115" w:type="dxa"/>
              <w:right w:w="115" w:type="dxa"/>
            </w:tcMar>
            <w:vAlign w:val="bottom"/>
          </w:tcPr>
          <w:p w14:paraId="7192A495" w14:textId="77777777" w:rsidR="003F0EEA" w:rsidRDefault="00FB7D0B">
            <w:pPr>
              <w:rPr>
                <w:rFonts w:ascii="Arial" w:eastAsia="Arial" w:hAnsi="Arial" w:cs="Arial"/>
                <w:color w:val="000000"/>
                <w:sz w:val="16"/>
              </w:rPr>
            </w:pPr>
            <w:r>
              <w:rPr>
                <w:rFonts w:ascii="Arial" w:eastAsia="Arial" w:hAnsi="Arial" w:cs="Arial"/>
                <w:color w:val="000000"/>
                <w:sz w:val="16"/>
              </w:rPr>
              <w:t xml:space="preserve"> </w:t>
            </w:r>
          </w:p>
        </w:tc>
        <w:tc>
          <w:tcPr>
            <w:tcW w:w="1080" w:type="dxa"/>
            <w:tcBorders>
              <w:top w:val="nil"/>
              <w:left w:val="nil"/>
              <w:bottom w:val="nil"/>
              <w:right w:val="nil"/>
              <w:tl2br w:val="nil"/>
              <w:tr2bl w:val="nil"/>
            </w:tcBorders>
            <w:shd w:val="clear" w:color="auto" w:fill="FFFF00"/>
            <w:tcMar>
              <w:left w:w="115" w:type="dxa"/>
              <w:right w:w="115" w:type="dxa"/>
            </w:tcMar>
            <w:vAlign w:val="bottom"/>
          </w:tcPr>
          <w:p w14:paraId="21C0DBE5" w14:textId="77777777" w:rsidR="003F0EEA" w:rsidRDefault="00FB7D0B">
            <w:pPr>
              <w:jc w:val="right"/>
              <w:rPr>
                <w:rFonts w:ascii="Arial" w:eastAsia="Arial" w:hAnsi="Arial" w:cs="Arial"/>
                <w:color w:val="000000"/>
                <w:sz w:val="16"/>
              </w:rPr>
            </w:pPr>
            <w:r>
              <w:rPr>
                <w:rFonts w:ascii="Arial" w:eastAsia="Arial" w:hAnsi="Arial" w:cs="Arial"/>
                <w:color w:val="000000"/>
                <w:sz w:val="16"/>
              </w:rPr>
              <w:t xml:space="preserve"> 39,799 </w:t>
            </w:r>
          </w:p>
        </w:tc>
        <w:tc>
          <w:tcPr>
            <w:tcW w:w="1230" w:type="dxa"/>
            <w:tcBorders>
              <w:top w:val="nil"/>
              <w:left w:val="nil"/>
              <w:bottom w:val="nil"/>
              <w:right w:val="nil"/>
              <w:tl2br w:val="nil"/>
              <w:tr2bl w:val="nil"/>
            </w:tcBorders>
            <w:shd w:val="clear" w:color="auto" w:fill="FFFFFF"/>
            <w:tcMar>
              <w:left w:w="115" w:type="dxa"/>
              <w:right w:w="115" w:type="dxa"/>
            </w:tcMar>
            <w:vAlign w:val="bottom"/>
          </w:tcPr>
          <w:p w14:paraId="7EC0AC17" w14:textId="77777777" w:rsidR="003F0EEA" w:rsidRDefault="00FB7D0B">
            <w:pPr>
              <w:jc w:val="right"/>
              <w:rPr>
                <w:rFonts w:ascii="Arial" w:eastAsia="Arial" w:hAnsi="Arial" w:cs="Arial"/>
                <w:color w:val="000000"/>
                <w:sz w:val="16"/>
              </w:rPr>
            </w:pPr>
            <w:r>
              <w:rPr>
                <w:rFonts w:ascii="Arial" w:eastAsia="Arial" w:hAnsi="Arial" w:cs="Arial"/>
                <w:color w:val="000000"/>
                <w:sz w:val="16"/>
              </w:rPr>
              <w:t xml:space="preserve"> 40,183 </w:t>
            </w:r>
          </w:p>
        </w:tc>
      </w:tr>
      <w:tr w:rsidR="00724034" w14:paraId="3F8D5471" w14:textId="77777777">
        <w:trPr>
          <w:trHeight w:val="450"/>
        </w:trPr>
        <w:tc>
          <w:tcPr>
            <w:tcW w:w="180" w:type="dxa"/>
            <w:tcBorders>
              <w:top w:val="nil"/>
              <w:left w:val="nil"/>
              <w:bottom w:val="nil"/>
              <w:right w:val="nil"/>
              <w:tl2br w:val="nil"/>
              <w:tr2bl w:val="nil"/>
            </w:tcBorders>
            <w:shd w:val="clear" w:color="auto" w:fill="FFFFFF"/>
            <w:tcMar>
              <w:left w:w="115" w:type="dxa"/>
              <w:right w:w="115" w:type="dxa"/>
            </w:tcMar>
            <w:vAlign w:val="bottom"/>
          </w:tcPr>
          <w:p w14:paraId="794D957D" w14:textId="77777777" w:rsidR="003F0EEA" w:rsidRDefault="003F0EEA">
            <w:pPr>
              <w:rPr>
                <w:rFonts w:ascii="Arial" w:eastAsia="Arial" w:hAnsi="Arial" w:cs="Arial"/>
                <w:color w:val="000000"/>
                <w:sz w:val="16"/>
              </w:rPr>
            </w:pPr>
          </w:p>
        </w:tc>
        <w:tc>
          <w:tcPr>
            <w:tcW w:w="180" w:type="dxa"/>
            <w:tcBorders>
              <w:top w:val="nil"/>
              <w:left w:val="nil"/>
              <w:bottom w:val="nil"/>
              <w:right w:val="nil"/>
              <w:tl2br w:val="nil"/>
              <w:tr2bl w:val="nil"/>
            </w:tcBorders>
            <w:shd w:val="clear" w:color="auto" w:fill="FFFFFF"/>
            <w:tcMar>
              <w:left w:w="115" w:type="dxa"/>
              <w:right w:w="115" w:type="dxa"/>
            </w:tcMar>
            <w:vAlign w:val="bottom"/>
          </w:tcPr>
          <w:p w14:paraId="306CD80B" w14:textId="77777777" w:rsidR="003F0EEA" w:rsidRDefault="003F0EEA">
            <w:pPr>
              <w:rPr>
                <w:rFonts w:ascii="Arial" w:eastAsia="Arial" w:hAnsi="Arial" w:cs="Arial"/>
                <w:color w:val="000000"/>
                <w:sz w:val="16"/>
              </w:rPr>
            </w:pPr>
          </w:p>
        </w:tc>
        <w:tc>
          <w:tcPr>
            <w:tcW w:w="2520" w:type="dxa"/>
            <w:tcBorders>
              <w:top w:val="nil"/>
              <w:left w:val="nil"/>
              <w:bottom w:val="nil"/>
              <w:right w:val="nil"/>
              <w:tl2br w:val="nil"/>
              <w:tr2bl w:val="nil"/>
            </w:tcBorders>
            <w:shd w:val="clear" w:color="auto" w:fill="FFFFFF"/>
            <w:tcMar>
              <w:left w:w="115" w:type="dxa"/>
              <w:right w:w="115" w:type="dxa"/>
            </w:tcMar>
            <w:vAlign w:val="bottom"/>
          </w:tcPr>
          <w:p w14:paraId="5AA8ECBF" w14:textId="77777777" w:rsidR="003F0EEA" w:rsidRDefault="00FB7D0B">
            <w:pPr>
              <w:rPr>
                <w:rFonts w:ascii="Arial" w:eastAsia="Arial" w:hAnsi="Arial" w:cs="Arial"/>
                <w:color w:val="000000"/>
                <w:sz w:val="16"/>
              </w:rPr>
            </w:pPr>
            <w:r>
              <w:rPr>
                <w:rFonts w:ascii="Arial" w:eastAsia="Arial" w:hAnsi="Arial" w:cs="Arial"/>
                <w:i/>
                <w:color w:val="000000"/>
                <w:sz w:val="16"/>
              </w:rPr>
              <w:t>Military Rehabilitation and Compensation Act 2004</w:t>
            </w:r>
          </w:p>
        </w:tc>
        <w:tc>
          <w:tcPr>
            <w:tcW w:w="360" w:type="dxa"/>
            <w:tcBorders>
              <w:top w:val="nil"/>
              <w:left w:val="nil"/>
              <w:bottom w:val="nil"/>
              <w:right w:val="nil"/>
              <w:tl2br w:val="nil"/>
              <w:tr2bl w:val="nil"/>
            </w:tcBorders>
            <w:shd w:val="clear" w:color="auto" w:fill="FFFFFF"/>
            <w:tcMar>
              <w:left w:w="115" w:type="dxa"/>
              <w:right w:w="115" w:type="dxa"/>
            </w:tcMar>
            <w:vAlign w:val="bottom"/>
          </w:tcPr>
          <w:p w14:paraId="1D8F318F" w14:textId="77777777" w:rsidR="003F0EEA" w:rsidRDefault="003F0EEA">
            <w:pPr>
              <w:jc w:val="center"/>
              <w:rPr>
                <w:rFonts w:ascii="Arial" w:eastAsia="Arial" w:hAnsi="Arial" w:cs="Arial"/>
                <w:i/>
                <w:color w:val="000000"/>
                <w:sz w:val="16"/>
                <w:vertAlign w:val="superscript"/>
              </w:rPr>
            </w:pPr>
          </w:p>
        </w:tc>
        <w:tc>
          <w:tcPr>
            <w:tcW w:w="1230" w:type="dxa"/>
            <w:tcBorders>
              <w:top w:val="nil"/>
              <w:left w:val="nil"/>
              <w:bottom w:val="nil"/>
              <w:right w:val="nil"/>
              <w:tl2br w:val="nil"/>
              <w:tr2bl w:val="nil"/>
            </w:tcBorders>
            <w:shd w:val="clear" w:color="auto" w:fill="FFFFFF"/>
            <w:tcMar>
              <w:left w:w="115" w:type="dxa"/>
              <w:right w:w="115" w:type="dxa"/>
            </w:tcMar>
            <w:vAlign w:val="bottom"/>
          </w:tcPr>
          <w:p w14:paraId="196CEA15" w14:textId="77777777" w:rsidR="003F0EEA" w:rsidRDefault="00FB7D0B">
            <w:pPr>
              <w:jc w:val="right"/>
              <w:rPr>
                <w:rFonts w:ascii="Arial" w:eastAsia="Arial" w:hAnsi="Arial" w:cs="Arial"/>
                <w:color w:val="000000"/>
                <w:sz w:val="16"/>
                <w:vertAlign w:val="superscript"/>
              </w:rPr>
            </w:pPr>
            <w:r>
              <w:rPr>
                <w:rFonts w:ascii="Arial" w:eastAsia="Arial" w:hAnsi="Arial" w:cs="Arial"/>
                <w:color w:val="000000"/>
                <w:sz w:val="16"/>
              </w:rPr>
              <w:t xml:space="preserve"> - </w:t>
            </w:r>
          </w:p>
        </w:tc>
        <w:tc>
          <w:tcPr>
            <w:tcW w:w="330" w:type="dxa"/>
            <w:tcBorders>
              <w:top w:val="nil"/>
              <w:left w:val="nil"/>
              <w:bottom w:val="nil"/>
              <w:right w:val="nil"/>
              <w:tl2br w:val="nil"/>
              <w:tr2bl w:val="nil"/>
            </w:tcBorders>
            <w:shd w:val="clear" w:color="auto" w:fill="FFFFFF"/>
            <w:tcMar>
              <w:left w:w="115" w:type="dxa"/>
              <w:right w:w="115" w:type="dxa"/>
            </w:tcMar>
            <w:vAlign w:val="bottom"/>
          </w:tcPr>
          <w:p w14:paraId="025CE4C6" w14:textId="77777777" w:rsidR="003F0EEA" w:rsidRDefault="00FB7D0B">
            <w:pPr>
              <w:rPr>
                <w:rFonts w:ascii="Arial" w:eastAsia="Arial" w:hAnsi="Arial" w:cs="Arial"/>
                <w:color w:val="000000"/>
                <w:sz w:val="16"/>
              </w:rPr>
            </w:pPr>
            <w:r>
              <w:rPr>
                <w:rFonts w:ascii="Arial" w:eastAsia="Arial" w:hAnsi="Arial" w:cs="Arial"/>
                <w:color w:val="000000"/>
                <w:sz w:val="16"/>
              </w:rPr>
              <w:t xml:space="preserve"> </w:t>
            </w:r>
          </w:p>
        </w:tc>
        <w:tc>
          <w:tcPr>
            <w:tcW w:w="1080" w:type="dxa"/>
            <w:tcBorders>
              <w:top w:val="nil"/>
              <w:left w:val="nil"/>
              <w:bottom w:val="nil"/>
              <w:right w:val="nil"/>
              <w:tl2br w:val="nil"/>
              <w:tr2bl w:val="nil"/>
            </w:tcBorders>
            <w:shd w:val="clear" w:color="auto" w:fill="FFFFFF"/>
            <w:tcMar>
              <w:left w:w="115" w:type="dxa"/>
              <w:right w:w="115" w:type="dxa"/>
            </w:tcMar>
            <w:vAlign w:val="bottom"/>
          </w:tcPr>
          <w:p w14:paraId="40C13BCC" w14:textId="77777777" w:rsidR="003F0EEA" w:rsidRDefault="00FB7D0B">
            <w:pPr>
              <w:jc w:val="right"/>
              <w:rPr>
                <w:rFonts w:ascii="Arial" w:eastAsia="Arial" w:hAnsi="Arial" w:cs="Arial"/>
                <w:color w:val="000000"/>
                <w:sz w:val="16"/>
              </w:rPr>
            </w:pPr>
            <w:r>
              <w:rPr>
                <w:rFonts w:ascii="Arial" w:eastAsia="Arial" w:hAnsi="Arial" w:cs="Arial"/>
                <w:color w:val="000000"/>
                <w:sz w:val="16"/>
              </w:rPr>
              <w:t xml:space="preserve"> 34,451 </w:t>
            </w:r>
          </w:p>
        </w:tc>
        <w:tc>
          <w:tcPr>
            <w:tcW w:w="300" w:type="dxa"/>
            <w:tcBorders>
              <w:top w:val="nil"/>
              <w:left w:val="nil"/>
              <w:bottom w:val="nil"/>
              <w:right w:val="nil"/>
              <w:tl2br w:val="nil"/>
              <w:tr2bl w:val="nil"/>
            </w:tcBorders>
            <w:shd w:val="clear" w:color="auto" w:fill="FFFFFF"/>
            <w:tcMar>
              <w:left w:w="115" w:type="dxa"/>
              <w:right w:w="115" w:type="dxa"/>
            </w:tcMar>
            <w:vAlign w:val="bottom"/>
          </w:tcPr>
          <w:p w14:paraId="501FDFF8" w14:textId="77777777" w:rsidR="003F0EEA" w:rsidRDefault="00FB7D0B">
            <w:pPr>
              <w:rPr>
                <w:rFonts w:ascii="Arial" w:eastAsia="Arial" w:hAnsi="Arial" w:cs="Arial"/>
                <w:color w:val="000000"/>
                <w:sz w:val="16"/>
              </w:rPr>
            </w:pPr>
            <w:r>
              <w:rPr>
                <w:rFonts w:ascii="Arial" w:eastAsia="Arial" w:hAnsi="Arial" w:cs="Arial"/>
                <w:color w:val="000000"/>
                <w:sz w:val="16"/>
              </w:rPr>
              <w:t xml:space="preserve"> </w:t>
            </w:r>
          </w:p>
        </w:tc>
        <w:tc>
          <w:tcPr>
            <w:tcW w:w="1080" w:type="dxa"/>
            <w:tcBorders>
              <w:top w:val="nil"/>
              <w:left w:val="nil"/>
              <w:bottom w:val="nil"/>
              <w:right w:val="nil"/>
              <w:tl2br w:val="nil"/>
              <w:tr2bl w:val="nil"/>
            </w:tcBorders>
            <w:shd w:val="clear" w:color="auto" w:fill="FFFF00"/>
            <w:tcMar>
              <w:left w:w="115" w:type="dxa"/>
              <w:right w:w="115" w:type="dxa"/>
            </w:tcMar>
            <w:vAlign w:val="bottom"/>
          </w:tcPr>
          <w:p w14:paraId="71E01C49" w14:textId="77777777" w:rsidR="003F0EEA" w:rsidRDefault="00FB7D0B">
            <w:pPr>
              <w:jc w:val="right"/>
              <w:rPr>
                <w:rFonts w:ascii="Arial" w:eastAsia="Arial" w:hAnsi="Arial" w:cs="Arial"/>
                <w:color w:val="000000"/>
                <w:sz w:val="16"/>
              </w:rPr>
            </w:pPr>
            <w:r>
              <w:rPr>
                <w:rFonts w:ascii="Arial" w:eastAsia="Arial" w:hAnsi="Arial" w:cs="Arial"/>
                <w:color w:val="000000"/>
                <w:sz w:val="16"/>
              </w:rPr>
              <w:t xml:space="preserve"> 34,451 </w:t>
            </w:r>
          </w:p>
        </w:tc>
        <w:tc>
          <w:tcPr>
            <w:tcW w:w="1230" w:type="dxa"/>
            <w:tcBorders>
              <w:top w:val="nil"/>
              <w:left w:val="nil"/>
              <w:bottom w:val="nil"/>
              <w:right w:val="nil"/>
              <w:tl2br w:val="nil"/>
              <w:tr2bl w:val="nil"/>
            </w:tcBorders>
            <w:shd w:val="clear" w:color="auto" w:fill="FFFFFF"/>
            <w:tcMar>
              <w:left w:w="115" w:type="dxa"/>
              <w:right w:w="115" w:type="dxa"/>
            </w:tcMar>
            <w:vAlign w:val="bottom"/>
          </w:tcPr>
          <w:p w14:paraId="3DAA0BA3" w14:textId="77777777" w:rsidR="003F0EEA" w:rsidRDefault="00FB7D0B">
            <w:pPr>
              <w:jc w:val="right"/>
              <w:rPr>
                <w:rFonts w:ascii="Arial" w:eastAsia="Arial" w:hAnsi="Arial" w:cs="Arial"/>
                <w:color w:val="000000"/>
                <w:sz w:val="16"/>
              </w:rPr>
            </w:pPr>
            <w:r>
              <w:rPr>
                <w:rFonts w:ascii="Arial" w:eastAsia="Arial" w:hAnsi="Arial" w:cs="Arial"/>
                <w:color w:val="000000"/>
                <w:sz w:val="16"/>
              </w:rPr>
              <w:t xml:space="preserve"> 31,050 </w:t>
            </w:r>
          </w:p>
        </w:tc>
      </w:tr>
      <w:tr w:rsidR="00724034" w14:paraId="5E0E7778" w14:textId="77777777">
        <w:trPr>
          <w:trHeight w:val="675"/>
        </w:trPr>
        <w:tc>
          <w:tcPr>
            <w:tcW w:w="180" w:type="dxa"/>
            <w:tcBorders>
              <w:top w:val="nil"/>
              <w:left w:val="nil"/>
              <w:bottom w:val="nil"/>
              <w:right w:val="nil"/>
              <w:tl2br w:val="nil"/>
              <w:tr2bl w:val="nil"/>
            </w:tcBorders>
            <w:shd w:val="clear" w:color="auto" w:fill="FFFFFF"/>
            <w:tcMar>
              <w:left w:w="115" w:type="dxa"/>
              <w:right w:w="115" w:type="dxa"/>
            </w:tcMar>
            <w:vAlign w:val="bottom"/>
          </w:tcPr>
          <w:p w14:paraId="2BED3FEE" w14:textId="77777777" w:rsidR="003F0EEA" w:rsidRDefault="003F0EEA">
            <w:pPr>
              <w:rPr>
                <w:rFonts w:ascii="Arial" w:eastAsia="Arial" w:hAnsi="Arial" w:cs="Arial"/>
                <w:color w:val="000000"/>
                <w:sz w:val="16"/>
              </w:rPr>
            </w:pPr>
          </w:p>
        </w:tc>
        <w:tc>
          <w:tcPr>
            <w:tcW w:w="180" w:type="dxa"/>
            <w:tcBorders>
              <w:top w:val="nil"/>
              <w:left w:val="nil"/>
              <w:bottom w:val="nil"/>
              <w:right w:val="nil"/>
              <w:tl2br w:val="nil"/>
              <w:tr2bl w:val="nil"/>
            </w:tcBorders>
            <w:shd w:val="clear" w:color="auto" w:fill="FFFFFF"/>
            <w:tcMar>
              <w:left w:w="115" w:type="dxa"/>
              <w:right w:w="115" w:type="dxa"/>
            </w:tcMar>
            <w:vAlign w:val="bottom"/>
          </w:tcPr>
          <w:p w14:paraId="47BA4EE0" w14:textId="77777777" w:rsidR="003F0EEA" w:rsidRDefault="003F0EEA">
            <w:pPr>
              <w:rPr>
                <w:rFonts w:ascii="Arial" w:eastAsia="Arial" w:hAnsi="Arial" w:cs="Arial"/>
                <w:color w:val="000000"/>
                <w:sz w:val="16"/>
              </w:rPr>
            </w:pPr>
          </w:p>
        </w:tc>
        <w:tc>
          <w:tcPr>
            <w:tcW w:w="2520" w:type="dxa"/>
            <w:tcBorders>
              <w:top w:val="nil"/>
              <w:left w:val="nil"/>
              <w:bottom w:val="nil"/>
              <w:right w:val="nil"/>
              <w:tl2br w:val="nil"/>
              <w:tr2bl w:val="nil"/>
            </w:tcBorders>
            <w:shd w:val="clear" w:color="auto" w:fill="FFFFFF"/>
            <w:tcMar>
              <w:left w:w="115" w:type="dxa"/>
              <w:right w:w="115" w:type="dxa"/>
            </w:tcMar>
            <w:vAlign w:val="bottom"/>
          </w:tcPr>
          <w:p w14:paraId="5170B0CE" w14:textId="77777777" w:rsidR="003F0EEA" w:rsidRDefault="00FB7D0B">
            <w:pPr>
              <w:rPr>
                <w:rFonts w:ascii="Arial" w:eastAsia="Arial" w:hAnsi="Arial" w:cs="Arial"/>
                <w:color w:val="000000"/>
                <w:sz w:val="16"/>
              </w:rPr>
            </w:pPr>
            <w:r>
              <w:rPr>
                <w:rFonts w:ascii="Arial" w:eastAsia="Arial" w:hAnsi="Arial" w:cs="Arial"/>
                <w:i/>
                <w:color w:val="000000"/>
                <w:sz w:val="16"/>
              </w:rPr>
              <w:t>Australian Participants in British Nuclear Tests (Treatment) Act 2006</w:t>
            </w:r>
          </w:p>
        </w:tc>
        <w:tc>
          <w:tcPr>
            <w:tcW w:w="360" w:type="dxa"/>
            <w:tcBorders>
              <w:top w:val="nil"/>
              <w:left w:val="nil"/>
              <w:bottom w:val="nil"/>
              <w:right w:val="nil"/>
              <w:tl2br w:val="nil"/>
              <w:tr2bl w:val="nil"/>
            </w:tcBorders>
            <w:shd w:val="clear" w:color="auto" w:fill="FFFFFF"/>
            <w:tcMar>
              <w:left w:w="115" w:type="dxa"/>
              <w:right w:w="115" w:type="dxa"/>
            </w:tcMar>
            <w:vAlign w:val="bottom"/>
          </w:tcPr>
          <w:p w14:paraId="6B3BA8F9" w14:textId="77777777" w:rsidR="003F0EEA" w:rsidRDefault="003F0EEA">
            <w:pPr>
              <w:jc w:val="center"/>
              <w:rPr>
                <w:rFonts w:ascii="Arial" w:eastAsia="Arial" w:hAnsi="Arial" w:cs="Arial"/>
                <w:i/>
                <w:color w:val="000000"/>
                <w:sz w:val="16"/>
                <w:vertAlign w:val="superscript"/>
              </w:rPr>
            </w:pPr>
          </w:p>
        </w:tc>
        <w:tc>
          <w:tcPr>
            <w:tcW w:w="1230" w:type="dxa"/>
            <w:tcBorders>
              <w:top w:val="nil"/>
              <w:left w:val="nil"/>
              <w:bottom w:val="nil"/>
              <w:right w:val="nil"/>
              <w:tl2br w:val="nil"/>
              <w:tr2bl w:val="nil"/>
            </w:tcBorders>
            <w:shd w:val="clear" w:color="auto" w:fill="FFFFFF"/>
            <w:tcMar>
              <w:left w:w="115" w:type="dxa"/>
              <w:right w:w="115" w:type="dxa"/>
            </w:tcMar>
            <w:vAlign w:val="bottom"/>
          </w:tcPr>
          <w:p w14:paraId="6ACE4600" w14:textId="77777777" w:rsidR="003F0EEA" w:rsidRDefault="00FB7D0B">
            <w:pPr>
              <w:jc w:val="right"/>
              <w:rPr>
                <w:rFonts w:ascii="Arial" w:eastAsia="Arial" w:hAnsi="Arial" w:cs="Arial"/>
                <w:color w:val="000000"/>
                <w:sz w:val="16"/>
                <w:vertAlign w:val="superscript"/>
              </w:rPr>
            </w:pPr>
            <w:r>
              <w:rPr>
                <w:rFonts w:ascii="Arial" w:eastAsia="Arial" w:hAnsi="Arial" w:cs="Arial"/>
                <w:color w:val="000000"/>
                <w:sz w:val="16"/>
              </w:rPr>
              <w:t xml:space="preserve"> - </w:t>
            </w:r>
          </w:p>
        </w:tc>
        <w:tc>
          <w:tcPr>
            <w:tcW w:w="330" w:type="dxa"/>
            <w:tcBorders>
              <w:top w:val="nil"/>
              <w:left w:val="nil"/>
              <w:bottom w:val="nil"/>
              <w:right w:val="nil"/>
              <w:tl2br w:val="nil"/>
              <w:tr2bl w:val="nil"/>
            </w:tcBorders>
            <w:shd w:val="clear" w:color="auto" w:fill="FFFFFF"/>
            <w:tcMar>
              <w:left w:w="115" w:type="dxa"/>
              <w:right w:w="115" w:type="dxa"/>
            </w:tcMar>
            <w:vAlign w:val="bottom"/>
          </w:tcPr>
          <w:p w14:paraId="06605D6C" w14:textId="77777777" w:rsidR="003F0EEA" w:rsidRDefault="00FB7D0B">
            <w:pPr>
              <w:rPr>
                <w:rFonts w:ascii="Arial" w:eastAsia="Arial" w:hAnsi="Arial" w:cs="Arial"/>
                <w:color w:val="000000"/>
                <w:sz w:val="16"/>
              </w:rPr>
            </w:pPr>
            <w:r>
              <w:rPr>
                <w:rFonts w:ascii="Arial" w:eastAsia="Arial" w:hAnsi="Arial" w:cs="Arial"/>
                <w:color w:val="000000"/>
                <w:sz w:val="16"/>
              </w:rPr>
              <w:t xml:space="preserve"> </w:t>
            </w:r>
          </w:p>
        </w:tc>
        <w:tc>
          <w:tcPr>
            <w:tcW w:w="1080" w:type="dxa"/>
            <w:tcBorders>
              <w:top w:val="nil"/>
              <w:left w:val="nil"/>
              <w:bottom w:val="nil"/>
              <w:right w:val="nil"/>
              <w:tl2br w:val="nil"/>
              <w:tr2bl w:val="nil"/>
            </w:tcBorders>
            <w:shd w:val="clear" w:color="auto" w:fill="FFFFFF"/>
            <w:tcMar>
              <w:left w:w="115" w:type="dxa"/>
              <w:right w:w="115" w:type="dxa"/>
            </w:tcMar>
            <w:vAlign w:val="bottom"/>
          </w:tcPr>
          <w:p w14:paraId="39ECAF9B" w14:textId="77777777" w:rsidR="003F0EEA" w:rsidRDefault="00FB7D0B">
            <w:pPr>
              <w:jc w:val="right"/>
              <w:rPr>
                <w:rFonts w:ascii="Arial" w:eastAsia="Arial" w:hAnsi="Arial" w:cs="Arial"/>
                <w:color w:val="000000"/>
                <w:sz w:val="16"/>
              </w:rPr>
            </w:pPr>
            <w:r>
              <w:rPr>
                <w:rFonts w:ascii="Arial" w:eastAsia="Arial" w:hAnsi="Arial" w:cs="Arial"/>
                <w:color w:val="000000"/>
                <w:sz w:val="16"/>
              </w:rPr>
              <w:t xml:space="preserve"> 421 </w:t>
            </w:r>
          </w:p>
        </w:tc>
        <w:tc>
          <w:tcPr>
            <w:tcW w:w="300" w:type="dxa"/>
            <w:tcBorders>
              <w:top w:val="nil"/>
              <w:left w:val="nil"/>
              <w:bottom w:val="nil"/>
              <w:right w:val="nil"/>
              <w:tl2br w:val="nil"/>
              <w:tr2bl w:val="nil"/>
            </w:tcBorders>
            <w:shd w:val="clear" w:color="auto" w:fill="FFFFFF"/>
            <w:tcMar>
              <w:left w:w="115" w:type="dxa"/>
              <w:right w:w="115" w:type="dxa"/>
            </w:tcMar>
            <w:vAlign w:val="bottom"/>
          </w:tcPr>
          <w:p w14:paraId="4819B010" w14:textId="77777777" w:rsidR="003F0EEA" w:rsidRDefault="00FB7D0B">
            <w:pPr>
              <w:rPr>
                <w:rFonts w:ascii="Arial" w:eastAsia="Arial" w:hAnsi="Arial" w:cs="Arial"/>
                <w:color w:val="000000"/>
                <w:sz w:val="16"/>
              </w:rPr>
            </w:pPr>
            <w:r>
              <w:rPr>
                <w:rFonts w:ascii="Arial" w:eastAsia="Arial" w:hAnsi="Arial" w:cs="Arial"/>
                <w:color w:val="000000"/>
                <w:sz w:val="16"/>
              </w:rPr>
              <w:t xml:space="preserve"> </w:t>
            </w:r>
          </w:p>
        </w:tc>
        <w:tc>
          <w:tcPr>
            <w:tcW w:w="1080" w:type="dxa"/>
            <w:tcBorders>
              <w:top w:val="nil"/>
              <w:left w:val="nil"/>
              <w:bottom w:val="nil"/>
              <w:right w:val="nil"/>
              <w:tl2br w:val="nil"/>
              <w:tr2bl w:val="nil"/>
            </w:tcBorders>
            <w:shd w:val="clear" w:color="auto" w:fill="FFFF00"/>
            <w:tcMar>
              <w:left w:w="115" w:type="dxa"/>
              <w:right w:w="115" w:type="dxa"/>
            </w:tcMar>
            <w:vAlign w:val="bottom"/>
          </w:tcPr>
          <w:p w14:paraId="1C843F17" w14:textId="77777777" w:rsidR="003F0EEA" w:rsidRDefault="00FB7D0B">
            <w:pPr>
              <w:jc w:val="right"/>
              <w:rPr>
                <w:rFonts w:ascii="Arial" w:eastAsia="Arial" w:hAnsi="Arial" w:cs="Arial"/>
                <w:color w:val="000000"/>
                <w:sz w:val="16"/>
              </w:rPr>
            </w:pPr>
            <w:r>
              <w:rPr>
                <w:rFonts w:ascii="Arial" w:eastAsia="Arial" w:hAnsi="Arial" w:cs="Arial"/>
                <w:color w:val="000000"/>
                <w:sz w:val="16"/>
              </w:rPr>
              <w:t xml:space="preserve"> 421 </w:t>
            </w:r>
          </w:p>
        </w:tc>
        <w:tc>
          <w:tcPr>
            <w:tcW w:w="1230" w:type="dxa"/>
            <w:tcBorders>
              <w:top w:val="nil"/>
              <w:left w:val="nil"/>
              <w:bottom w:val="nil"/>
              <w:right w:val="nil"/>
              <w:tl2br w:val="nil"/>
              <w:tr2bl w:val="nil"/>
            </w:tcBorders>
            <w:shd w:val="clear" w:color="auto" w:fill="FFFFFF"/>
            <w:tcMar>
              <w:left w:w="115" w:type="dxa"/>
              <w:right w:w="115" w:type="dxa"/>
            </w:tcMar>
            <w:vAlign w:val="bottom"/>
          </w:tcPr>
          <w:p w14:paraId="187510B4" w14:textId="77777777" w:rsidR="003F0EEA" w:rsidRDefault="00FB7D0B">
            <w:pPr>
              <w:jc w:val="right"/>
              <w:rPr>
                <w:rFonts w:ascii="Arial" w:eastAsia="Arial" w:hAnsi="Arial" w:cs="Arial"/>
                <w:color w:val="000000"/>
                <w:sz w:val="16"/>
              </w:rPr>
            </w:pPr>
            <w:r>
              <w:rPr>
                <w:rFonts w:ascii="Arial" w:eastAsia="Arial" w:hAnsi="Arial" w:cs="Arial"/>
                <w:color w:val="000000"/>
                <w:sz w:val="16"/>
              </w:rPr>
              <w:t xml:space="preserve"> 420 </w:t>
            </w:r>
          </w:p>
        </w:tc>
      </w:tr>
      <w:tr w:rsidR="00724034" w14:paraId="03718065" w14:textId="77777777">
        <w:trPr>
          <w:trHeight w:val="225"/>
        </w:trPr>
        <w:tc>
          <w:tcPr>
            <w:tcW w:w="180" w:type="dxa"/>
            <w:tcBorders>
              <w:top w:val="nil"/>
              <w:left w:val="nil"/>
              <w:bottom w:val="nil"/>
              <w:right w:val="nil"/>
              <w:tl2br w:val="nil"/>
              <w:tr2bl w:val="nil"/>
            </w:tcBorders>
            <w:shd w:val="clear" w:color="auto" w:fill="FFFFFF"/>
            <w:tcMar>
              <w:left w:w="115" w:type="dxa"/>
              <w:right w:w="115" w:type="dxa"/>
            </w:tcMar>
            <w:vAlign w:val="bottom"/>
          </w:tcPr>
          <w:p w14:paraId="6C0A2BA1" w14:textId="77777777" w:rsidR="003F0EEA" w:rsidRDefault="003F0EEA">
            <w:pPr>
              <w:rPr>
                <w:rFonts w:ascii="Arial" w:eastAsia="Arial" w:hAnsi="Arial" w:cs="Arial"/>
                <w:color w:val="000000"/>
                <w:sz w:val="16"/>
              </w:rPr>
            </w:pPr>
          </w:p>
        </w:tc>
        <w:tc>
          <w:tcPr>
            <w:tcW w:w="180" w:type="dxa"/>
            <w:tcBorders>
              <w:top w:val="nil"/>
              <w:left w:val="nil"/>
              <w:bottom w:val="nil"/>
              <w:right w:val="nil"/>
              <w:tl2br w:val="nil"/>
              <w:tr2bl w:val="nil"/>
            </w:tcBorders>
            <w:shd w:val="clear" w:color="auto" w:fill="FFFFFF"/>
            <w:tcMar>
              <w:left w:w="115" w:type="dxa"/>
              <w:right w:w="115" w:type="dxa"/>
            </w:tcMar>
            <w:vAlign w:val="bottom"/>
          </w:tcPr>
          <w:p w14:paraId="5D38B50D" w14:textId="77777777" w:rsidR="003F0EEA" w:rsidRDefault="003F0EEA">
            <w:pPr>
              <w:rPr>
                <w:rFonts w:ascii="Arial" w:eastAsia="Arial" w:hAnsi="Arial" w:cs="Arial"/>
                <w:color w:val="000000"/>
                <w:sz w:val="16"/>
              </w:rPr>
            </w:pPr>
          </w:p>
        </w:tc>
        <w:tc>
          <w:tcPr>
            <w:tcW w:w="2520" w:type="dxa"/>
            <w:tcBorders>
              <w:top w:val="nil"/>
              <w:left w:val="nil"/>
              <w:bottom w:val="nil"/>
              <w:right w:val="nil"/>
              <w:tl2br w:val="nil"/>
              <w:tr2bl w:val="nil"/>
            </w:tcBorders>
            <w:shd w:val="clear" w:color="auto" w:fill="FFFFFF"/>
            <w:tcMar>
              <w:left w:w="115" w:type="dxa"/>
              <w:right w:w="115" w:type="dxa"/>
            </w:tcMar>
            <w:vAlign w:val="bottom"/>
          </w:tcPr>
          <w:p w14:paraId="63868D69" w14:textId="77777777" w:rsidR="003F0EEA" w:rsidRDefault="00FB7D0B">
            <w:pPr>
              <w:rPr>
                <w:rFonts w:ascii="Arial" w:eastAsia="Arial" w:hAnsi="Arial" w:cs="Arial"/>
                <w:color w:val="000000"/>
                <w:sz w:val="16"/>
              </w:rPr>
            </w:pPr>
            <w:r>
              <w:rPr>
                <w:rFonts w:ascii="Arial" w:eastAsia="Arial" w:hAnsi="Arial" w:cs="Arial"/>
                <w:b/>
                <w:color w:val="000000"/>
                <w:sz w:val="16"/>
              </w:rPr>
              <w:t>Total Outcome 2</w:t>
            </w:r>
          </w:p>
        </w:tc>
        <w:tc>
          <w:tcPr>
            <w:tcW w:w="360" w:type="dxa"/>
            <w:tcBorders>
              <w:top w:val="nil"/>
              <w:left w:val="nil"/>
              <w:bottom w:val="nil"/>
              <w:right w:val="nil"/>
              <w:tl2br w:val="nil"/>
              <w:tr2bl w:val="nil"/>
            </w:tcBorders>
            <w:shd w:val="clear" w:color="auto" w:fill="FFFFFF"/>
            <w:tcMar>
              <w:left w:w="115" w:type="dxa"/>
              <w:right w:w="115" w:type="dxa"/>
            </w:tcMar>
            <w:vAlign w:val="bottom"/>
          </w:tcPr>
          <w:p w14:paraId="3BEBDF3E" w14:textId="77777777" w:rsidR="003F0EEA" w:rsidRDefault="003F0EEA">
            <w:pPr>
              <w:jc w:val="center"/>
              <w:rPr>
                <w:rFonts w:ascii="Arial" w:eastAsia="Arial" w:hAnsi="Arial" w:cs="Arial"/>
                <w:b/>
                <w:color w:val="000000"/>
                <w:sz w:val="16"/>
                <w:vertAlign w:val="superscript"/>
              </w:rPr>
            </w:pPr>
          </w:p>
        </w:tc>
        <w:tc>
          <w:tcPr>
            <w:tcW w:w="1230"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62E02F27" w14:textId="77777777" w:rsidR="003F0EEA" w:rsidRDefault="00FB7D0B">
            <w:pPr>
              <w:jc w:val="right"/>
              <w:rPr>
                <w:rFonts w:ascii="Arial" w:eastAsia="Arial" w:hAnsi="Arial" w:cs="Arial"/>
                <w:color w:val="000000"/>
                <w:sz w:val="16"/>
                <w:vertAlign w:val="superscript"/>
              </w:rPr>
            </w:pPr>
            <w:r>
              <w:rPr>
                <w:rFonts w:ascii="Arial" w:eastAsia="Arial" w:hAnsi="Arial" w:cs="Arial"/>
                <w:b/>
                <w:color w:val="000000"/>
                <w:sz w:val="16"/>
              </w:rPr>
              <w:t xml:space="preserve"> - </w:t>
            </w:r>
          </w:p>
        </w:tc>
        <w:tc>
          <w:tcPr>
            <w:tcW w:w="330"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4D7DDF02" w14:textId="77777777" w:rsidR="003F0EEA" w:rsidRDefault="00FB7D0B">
            <w:pPr>
              <w:rPr>
                <w:rFonts w:ascii="Arial" w:eastAsia="Arial" w:hAnsi="Arial" w:cs="Arial"/>
                <w:b/>
                <w:color w:val="000000"/>
                <w:sz w:val="16"/>
              </w:rPr>
            </w:pPr>
            <w:r>
              <w:rPr>
                <w:rFonts w:ascii="Arial" w:eastAsia="Arial" w:hAnsi="Arial" w:cs="Arial"/>
                <w:b/>
                <w:color w:val="000000"/>
                <w:sz w:val="16"/>
              </w:rPr>
              <w:t xml:space="preserve"> </w:t>
            </w:r>
          </w:p>
        </w:tc>
        <w:tc>
          <w:tcPr>
            <w:tcW w:w="1080"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70E12285" w14:textId="77777777" w:rsidR="003F0EEA" w:rsidRDefault="00FB7D0B">
            <w:pPr>
              <w:jc w:val="right"/>
              <w:rPr>
                <w:rFonts w:ascii="Arial" w:eastAsia="Arial" w:hAnsi="Arial" w:cs="Arial"/>
                <w:b/>
                <w:color w:val="000000"/>
                <w:sz w:val="16"/>
              </w:rPr>
            </w:pPr>
            <w:r>
              <w:rPr>
                <w:rFonts w:ascii="Arial" w:eastAsia="Arial" w:hAnsi="Arial" w:cs="Arial"/>
                <w:b/>
                <w:color w:val="000000"/>
                <w:sz w:val="16"/>
              </w:rPr>
              <w:t xml:space="preserve"> 5,399,809 </w:t>
            </w:r>
          </w:p>
        </w:tc>
        <w:tc>
          <w:tcPr>
            <w:tcW w:w="300"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07F63D82" w14:textId="77777777" w:rsidR="003F0EEA" w:rsidRDefault="00FB7D0B">
            <w:pPr>
              <w:rPr>
                <w:rFonts w:ascii="Arial" w:eastAsia="Arial" w:hAnsi="Arial" w:cs="Arial"/>
                <w:b/>
                <w:color w:val="000000"/>
                <w:sz w:val="16"/>
              </w:rPr>
            </w:pPr>
            <w:r>
              <w:rPr>
                <w:rFonts w:ascii="Arial" w:eastAsia="Arial" w:hAnsi="Arial" w:cs="Arial"/>
                <w:b/>
                <w:color w:val="000000"/>
                <w:sz w:val="16"/>
              </w:rPr>
              <w:t xml:space="preserve"> </w:t>
            </w:r>
          </w:p>
        </w:tc>
        <w:tc>
          <w:tcPr>
            <w:tcW w:w="1080" w:type="dxa"/>
            <w:tcBorders>
              <w:top w:val="nil"/>
              <w:left w:val="nil"/>
              <w:bottom w:val="single" w:sz="6" w:space="0" w:color="000000"/>
              <w:right w:val="nil"/>
              <w:tl2br w:val="nil"/>
              <w:tr2bl w:val="nil"/>
            </w:tcBorders>
            <w:shd w:val="clear" w:color="auto" w:fill="FFFF00"/>
            <w:tcMar>
              <w:left w:w="115" w:type="dxa"/>
              <w:right w:w="115" w:type="dxa"/>
            </w:tcMar>
            <w:vAlign w:val="bottom"/>
          </w:tcPr>
          <w:p w14:paraId="0CA25B01" w14:textId="77777777" w:rsidR="003F0EEA" w:rsidRDefault="00FB7D0B">
            <w:pPr>
              <w:jc w:val="right"/>
              <w:rPr>
                <w:rFonts w:ascii="Arial" w:eastAsia="Arial" w:hAnsi="Arial" w:cs="Arial"/>
                <w:b/>
                <w:color w:val="000000"/>
                <w:sz w:val="16"/>
              </w:rPr>
            </w:pPr>
            <w:r>
              <w:rPr>
                <w:rFonts w:ascii="Arial" w:eastAsia="Arial" w:hAnsi="Arial" w:cs="Arial"/>
                <w:b/>
                <w:color w:val="000000"/>
                <w:sz w:val="16"/>
              </w:rPr>
              <w:t xml:space="preserve"> 5,399,809 </w:t>
            </w:r>
          </w:p>
        </w:tc>
        <w:tc>
          <w:tcPr>
            <w:tcW w:w="1230"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4B89E05F" w14:textId="77777777" w:rsidR="003F0EEA" w:rsidRDefault="00FB7D0B">
            <w:pPr>
              <w:jc w:val="right"/>
              <w:rPr>
                <w:rFonts w:ascii="Arial" w:eastAsia="Arial" w:hAnsi="Arial" w:cs="Arial"/>
                <w:b/>
                <w:color w:val="000000"/>
                <w:sz w:val="16"/>
              </w:rPr>
            </w:pPr>
            <w:r>
              <w:rPr>
                <w:rFonts w:ascii="Arial" w:eastAsia="Arial" w:hAnsi="Arial" w:cs="Arial"/>
                <w:b/>
                <w:color w:val="000000"/>
                <w:sz w:val="16"/>
              </w:rPr>
              <w:t xml:space="preserve"> 5,377,610 </w:t>
            </w:r>
          </w:p>
        </w:tc>
      </w:tr>
      <w:tr w:rsidR="00FB7D0B" w14:paraId="63359653" w14:textId="77777777" w:rsidTr="00FB7D0B">
        <w:trPr>
          <w:trHeight w:val="225"/>
        </w:trPr>
        <w:tc>
          <w:tcPr>
            <w:tcW w:w="2880" w:type="dxa"/>
            <w:gridSpan w:val="3"/>
            <w:tcBorders>
              <w:top w:val="nil"/>
              <w:left w:val="nil"/>
              <w:bottom w:val="nil"/>
              <w:right w:val="nil"/>
              <w:tl2br w:val="nil"/>
              <w:tr2bl w:val="nil"/>
            </w:tcBorders>
            <w:shd w:val="clear" w:color="auto" w:fill="FFFFFF"/>
            <w:tcMar>
              <w:left w:w="115" w:type="dxa"/>
              <w:right w:w="115" w:type="dxa"/>
            </w:tcMar>
            <w:vAlign w:val="bottom"/>
          </w:tcPr>
          <w:p w14:paraId="34575B0A" w14:textId="77777777" w:rsidR="003F0EEA" w:rsidRDefault="00FB7D0B">
            <w:pPr>
              <w:rPr>
                <w:rFonts w:ascii="Arial" w:eastAsia="Arial" w:hAnsi="Arial" w:cs="Arial"/>
                <w:b/>
                <w:color w:val="000000"/>
                <w:sz w:val="16"/>
              </w:rPr>
            </w:pPr>
            <w:r>
              <w:rPr>
                <w:rFonts w:ascii="Arial" w:eastAsia="Arial" w:hAnsi="Arial" w:cs="Arial"/>
                <w:b/>
                <w:color w:val="000000"/>
                <w:sz w:val="16"/>
              </w:rPr>
              <w:t>Total special appropriations</w:t>
            </w:r>
          </w:p>
        </w:tc>
        <w:tc>
          <w:tcPr>
            <w:tcW w:w="360" w:type="dxa"/>
            <w:tcBorders>
              <w:top w:val="nil"/>
              <w:left w:val="nil"/>
              <w:bottom w:val="nil"/>
              <w:right w:val="nil"/>
              <w:tl2br w:val="nil"/>
              <w:tr2bl w:val="nil"/>
            </w:tcBorders>
            <w:shd w:val="clear" w:color="auto" w:fill="FFFFFF"/>
            <w:tcMar>
              <w:left w:w="115" w:type="dxa"/>
              <w:right w:w="115" w:type="dxa"/>
            </w:tcMar>
            <w:vAlign w:val="bottom"/>
          </w:tcPr>
          <w:p w14:paraId="164C58E4" w14:textId="77777777" w:rsidR="003F0EEA" w:rsidRDefault="00FB7D0B">
            <w:pPr>
              <w:jc w:val="center"/>
              <w:rPr>
                <w:rFonts w:ascii="Arial" w:eastAsia="Arial" w:hAnsi="Arial" w:cs="Arial"/>
                <w:b/>
                <w:color w:val="000000"/>
                <w:sz w:val="16"/>
                <w:vertAlign w:val="superscript"/>
              </w:rPr>
            </w:pPr>
            <w:r>
              <w:rPr>
                <w:rFonts w:ascii="Arial" w:eastAsia="Arial" w:hAnsi="Arial" w:cs="Arial"/>
                <w:b/>
                <w:color w:val="000000"/>
                <w:sz w:val="16"/>
              </w:rPr>
              <w:t>C</w:t>
            </w:r>
          </w:p>
        </w:tc>
        <w:tc>
          <w:tcPr>
            <w:tcW w:w="1230" w:type="dxa"/>
            <w:tcBorders>
              <w:top w:val="single" w:sz="6" w:space="0" w:color="000000"/>
              <w:left w:val="nil"/>
              <w:bottom w:val="single" w:sz="6" w:space="0" w:color="000000"/>
              <w:right w:val="nil"/>
              <w:tl2br w:val="nil"/>
              <w:tr2bl w:val="nil"/>
            </w:tcBorders>
            <w:shd w:val="clear" w:color="auto" w:fill="FFFFFF"/>
            <w:tcMar>
              <w:left w:w="115" w:type="dxa"/>
              <w:right w:w="115" w:type="dxa"/>
            </w:tcMar>
            <w:vAlign w:val="bottom"/>
          </w:tcPr>
          <w:p w14:paraId="09FAD688" w14:textId="77777777" w:rsidR="003F0EEA" w:rsidRDefault="00FB7D0B">
            <w:pPr>
              <w:jc w:val="right"/>
              <w:rPr>
                <w:rFonts w:ascii="Arial" w:eastAsia="Arial" w:hAnsi="Arial" w:cs="Arial"/>
                <w:b/>
                <w:color w:val="000000"/>
                <w:sz w:val="16"/>
              </w:rPr>
            </w:pPr>
            <w:r>
              <w:rPr>
                <w:rFonts w:ascii="Arial" w:eastAsia="Arial" w:hAnsi="Arial" w:cs="Arial"/>
                <w:b/>
                <w:color w:val="000000"/>
                <w:sz w:val="16"/>
              </w:rPr>
              <w:t xml:space="preserve"> - </w:t>
            </w:r>
          </w:p>
        </w:tc>
        <w:tc>
          <w:tcPr>
            <w:tcW w:w="330" w:type="dxa"/>
            <w:tcBorders>
              <w:top w:val="single" w:sz="6" w:space="0" w:color="000000"/>
              <w:left w:val="nil"/>
              <w:bottom w:val="single" w:sz="6" w:space="0" w:color="000000"/>
              <w:right w:val="nil"/>
              <w:tl2br w:val="nil"/>
              <w:tr2bl w:val="nil"/>
            </w:tcBorders>
            <w:shd w:val="clear" w:color="auto" w:fill="FFFFFF"/>
            <w:tcMar>
              <w:left w:w="115" w:type="dxa"/>
              <w:right w:w="115" w:type="dxa"/>
            </w:tcMar>
            <w:vAlign w:val="bottom"/>
          </w:tcPr>
          <w:p w14:paraId="7704DF9E" w14:textId="77777777" w:rsidR="003F0EEA" w:rsidRDefault="00FB7D0B">
            <w:pPr>
              <w:rPr>
                <w:rFonts w:ascii="Arial" w:eastAsia="Arial" w:hAnsi="Arial" w:cs="Arial"/>
                <w:b/>
                <w:color w:val="000000"/>
                <w:sz w:val="16"/>
              </w:rPr>
            </w:pPr>
            <w:r>
              <w:rPr>
                <w:rFonts w:ascii="Arial" w:eastAsia="Arial" w:hAnsi="Arial" w:cs="Arial"/>
                <w:b/>
                <w:color w:val="000000"/>
                <w:sz w:val="16"/>
              </w:rPr>
              <w:t xml:space="preserve"> </w:t>
            </w:r>
          </w:p>
        </w:tc>
        <w:tc>
          <w:tcPr>
            <w:tcW w:w="1080" w:type="dxa"/>
            <w:tcBorders>
              <w:top w:val="single" w:sz="6" w:space="0" w:color="000000"/>
              <w:left w:val="nil"/>
              <w:bottom w:val="single" w:sz="6" w:space="0" w:color="000000"/>
              <w:right w:val="nil"/>
              <w:tl2br w:val="nil"/>
              <w:tr2bl w:val="nil"/>
            </w:tcBorders>
            <w:shd w:val="clear" w:color="auto" w:fill="FFFFFF"/>
            <w:tcMar>
              <w:left w:w="115" w:type="dxa"/>
              <w:right w:w="115" w:type="dxa"/>
            </w:tcMar>
            <w:vAlign w:val="bottom"/>
          </w:tcPr>
          <w:p w14:paraId="1103A3CB" w14:textId="77777777" w:rsidR="003F0EEA" w:rsidRDefault="00FB7D0B">
            <w:pPr>
              <w:jc w:val="right"/>
              <w:rPr>
                <w:rFonts w:ascii="Arial" w:eastAsia="Arial" w:hAnsi="Arial" w:cs="Arial"/>
                <w:b/>
                <w:color w:val="000000"/>
                <w:sz w:val="16"/>
              </w:rPr>
            </w:pPr>
            <w:r>
              <w:rPr>
                <w:rFonts w:ascii="Arial" w:eastAsia="Arial" w:hAnsi="Arial" w:cs="Arial"/>
                <w:b/>
                <w:color w:val="000000"/>
                <w:sz w:val="16"/>
              </w:rPr>
              <w:t xml:space="preserve"> 11,869,567 </w:t>
            </w:r>
          </w:p>
        </w:tc>
        <w:tc>
          <w:tcPr>
            <w:tcW w:w="300" w:type="dxa"/>
            <w:tcBorders>
              <w:top w:val="single" w:sz="6" w:space="0" w:color="000000"/>
              <w:left w:val="nil"/>
              <w:bottom w:val="single" w:sz="6" w:space="0" w:color="000000"/>
              <w:right w:val="nil"/>
              <w:tl2br w:val="nil"/>
              <w:tr2bl w:val="nil"/>
            </w:tcBorders>
            <w:shd w:val="clear" w:color="auto" w:fill="FFFFFF"/>
            <w:tcMar>
              <w:left w:w="115" w:type="dxa"/>
              <w:right w:w="115" w:type="dxa"/>
            </w:tcMar>
            <w:vAlign w:val="bottom"/>
          </w:tcPr>
          <w:p w14:paraId="53AF4BBB" w14:textId="77777777" w:rsidR="003F0EEA" w:rsidRDefault="00FB7D0B">
            <w:pPr>
              <w:rPr>
                <w:rFonts w:ascii="Arial" w:eastAsia="Arial" w:hAnsi="Arial" w:cs="Arial"/>
                <w:b/>
                <w:color w:val="000000"/>
                <w:sz w:val="16"/>
              </w:rPr>
            </w:pPr>
            <w:r>
              <w:rPr>
                <w:rFonts w:ascii="Arial" w:eastAsia="Arial" w:hAnsi="Arial" w:cs="Arial"/>
                <w:b/>
                <w:color w:val="000000"/>
                <w:sz w:val="16"/>
              </w:rPr>
              <w:t xml:space="preserve"> </w:t>
            </w:r>
          </w:p>
        </w:tc>
        <w:tc>
          <w:tcPr>
            <w:tcW w:w="1080" w:type="dxa"/>
            <w:tcBorders>
              <w:top w:val="single" w:sz="6" w:space="0" w:color="000000"/>
              <w:left w:val="nil"/>
              <w:bottom w:val="single" w:sz="6" w:space="0" w:color="000000"/>
              <w:right w:val="nil"/>
              <w:tl2br w:val="nil"/>
              <w:tr2bl w:val="nil"/>
            </w:tcBorders>
            <w:shd w:val="clear" w:color="auto" w:fill="FFFF00"/>
            <w:tcMar>
              <w:left w:w="115" w:type="dxa"/>
              <w:right w:w="115" w:type="dxa"/>
            </w:tcMar>
            <w:vAlign w:val="bottom"/>
          </w:tcPr>
          <w:p w14:paraId="06F92C7D" w14:textId="77777777" w:rsidR="003F0EEA" w:rsidRDefault="00FB7D0B">
            <w:pPr>
              <w:jc w:val="right"/>
              <w:rPr>
                <w:rFonts w:ascii="Arial" w:eastAsia="Arial" w:hAnsi="Arial" w:cs="Arial"/>
                <w:b/>
                <w:color w:val="000000"/>
                <w:sz w:val="16"/>
              </w:rPr>
            </w:pPr>
            <w:r>
              <w:rPr>
                <w:rFonts w:ascii="Arial" w:eastAsia="Arial" w:hAnsi="Arial" w:cs="Arial"/>
                <w:b/>
                <w:color w:val="000000"/>
                <w:sz w:val="16"/>
              </w:rPr>
              <w:t xml:space="preserve"> 11,869,567 </w:t>
            </w:r>
          </w:p>
        </w:tc>
        <w:tc>
          <w:tcPr>
            <w:tcW w:w="1230" w:type="dxa"/>
            <w:tcBorders>
              <w:top w:val="single" w:sz="6" w:space="0" w:color="000000"/>
              <w:left w:val="nil"/>
              <w:bottom w:val="single" w:sz="6" w:space="0" w:color="000000"/>
              <w:right w:val="nil"/>
              <w:tl2br w:val="nil"/>
              <w:tr2bl w:val="nil"/>
            </w:tcBorders>
            <w:shd w:val="clear" w:color="auto" w:fill="FFFFFF"/>
            <w:tcMar>
              <w:left w:w="115" w:type="dxa"/>
              <w:right w:w="115" w:type="dxa"/>
            </w:tcMar>
            <w:vAlign w:val="bottom"/>
          </w:tcPr>
          <w:p w14:paraId="202C6BF0" w14:textId="77777777" w:rsidR="003F0EEA" w:rsidRDefault="00FB7D0B">
            <w:pPr>
              <w:jc w:val="right"/>
              <w:rPr>
                <w:rFonts w:ascii="Arial" w:eastAsia="Arial" w:hAnsi="Arial" w:cs="Arial"/>
                <w:b/>
                <w:color w:val="000000"/>
                <w:sz w:val="16"/>
              </w:rPr>
            </w:pPr>
            <w:r>
              <w:rPr>
                <w:rFonts w:ascii="Arial" w:eastAsia="Arial" w:hAnsi="Arial" w:cs="Arial"/>
                <w:b/>
                <w:color w:val="000000"/>
                <w:sz w:val="16"/>
              </w:rPr>
              <w:t xml:space="preserve"> 11,965,862 </w:t>
            </w:r>
          </w:p>
        </w:tc>
      </w:tr>
      <w:tr w:rsidR="00FB7D0B" w14:paraId="18E77908" w14:textId="77777777" w:rsidTr="00FB7D0B">
        <w:trPr>
          <w:trHeight w:val="225"/>
        </w:trPr>
        <w:tc>
          <w:tcPr>
            <w:tcW w:w="2880" w:type="dxa"/>
            <w:gridSpan w:val="3"/>
            <w:tcBorders>
              <w:top w:val="nil"/>
              <w:left w:val="nil"/>
              <w:bottom w:val="nil"/>
              <w:right w:val="nil"/>
              <w:tl2br w:val="nil"/>
              <w:tr2bl w:val="nil"/>
            </w:tcBorders>
            <w:shd w:val="clear" w:color="auto" w:fill="FFFFFF"/>
            <w:tcMar>
              <w:left w:w="115" w:type="dxa"/>
              <w:right w:w="115" w:type="dxa"/>
            </w:tcMar>
            <w:vAlign w:val="bottom"/>
          </w:tcPr>
          <w:p w14:paraId="19D4DA94" w14:textId="77777777" w:rsidR="003F0EEA" w:rsidRDefault="00FB7D0B">
            <w:pPr>
              <w:rPr>
                <w:rFonts w:ascii="Arial" w:eastAsia="Arial" w:hAnsi="Arial" w:cs="Arial"/>
                <w:b/>
                <w:color w:val="000000"/>
                <w:sz w:val="16"/>
              </w:rPr>
            </w:pPr>
            <w:r>
              <w:rPr>
                <w:rFonts w:ascii="Arial" w:eastAsia="Arial" w:hAnsi="Arial" w:cs="Arial"/>
                <w:b/>
                <w:color w:val="000000"/>
                <w:sz w:val="16"/>
              </w:rPr>
              <w:t>Total appropriations excluding</w:t>
            </w:r>
          </w:p>
        </w:tc>
        <w:tc>
          <w:tcPr>
            <w:tcW w:w="360" w:type="dxa"/>
            <w:tcBorders>
              <w:top w:val="nil"/>
              <w:left w:val="nil"/>
              <w:bottom w:val="nil"/>
              <w:right w:val="nil"/>
              <w:tl2br w:val="nil"/>
              <w:tr2bl w:val="nil"/>
            </w:tcBorders>
            <w:shd w:val="clear" w:color="auto" w:fill="FFFFFF"/>
            <w:tcMar>
              <w:left w:w="115" w:type="dxa"/>
              <w:right w:w="115" w:type="dxa"/>
            </w:tcMar>
            <w:vAlign w:val="bottom"/>
          </w:tcPr>
          <w:p w14:paraId="15D20CE0" w14:textId="77777777" w:rsidR="003F0EEA" w:rsidRDefault="003F0EEA">
            <w:pPr>
              <w:jc w:val="center"/>
              <w:rPr>
                <w:rFonts w:ascii="Arial" w:eastAsia="Arial" w:hAnsi="Arial" w:cs="Arial"/>
                <w:b/>
                <w:color w:val="000000"/>
                <w:sz w:val="16"/>
                <w:vertAlign w:val="superscript"/>
              </w:rPr>
            </w:pPr>
          </w:p>
        </w:tc>
        <w:tc>
          <w:tcPr>
            <w:tcW w:w="1230"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3644AE30" w14:textId="77777777" w:rsidR="003F0EEA" w:rsidRDefault="003F0EEA">
            <w:pPr>
              <w:jc w:val="right"/>
              <w:rPr>
                <w:rFonts w:ascii="Arial" w:eastAsia="Arial" w:hAnsi="Arial" w:cs="Arial"/>
                <w:b/>
                <w:color w:val="000000"/>
                <w:sz w:val="16"/>
                <w:vertAlign w:val="superscript"/>
              </w:rPr>
            </w:pPr>
          </w:p>
        </w:tc>
        <w:tc>
          <w:tcPr>
            <w:tcW w:w="330"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03DB45DA" w14:textId="77777777" w:rsidR="003F0EEA" w:rsidRDefault="00FB7D0B">
            <w:pPr>
              <w:rPr>
                <w:rFonts w:ascii="Arial" w:eastAsia="Arial" w:hAnsi="Arial" w:cs="Arial"/>
                <w:color w:val="000000"/>
                <w:sz w:val="16"/>
                <w:vertAlign w:val="superscript"/>
              </w:rPr>
            </w:pPr>
            <w:r>
              <w:rPr>
                <w:rFonts w:ascii="Arial" w:eastAsia="Arial" w:hAnsi="Arial" w:cs="Arial"/>
                <w:color w:val="000000"/>
                <w:sz w:val="16"/>
              </w:rPr>
              <w:t xml:space="preserve"> </w:t>
            </w:r>
          </w:p>
        </w:tc>
        <w:tc>
          <w:tcPr>
            <w:tcW w:w="1080"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0E136A94" w14:textId="77777777" w:rsidR="003F0EEA" w:rsidRDefault="003F0EEA">
            <w:pPr>
              <w:rPr>
                <w:rFonts w:ascii="Arial" w:eastAsia="Arial" w:hAnsi="Arial" w:cs="Arial"/>
                <w:color w:val="000000"/>
                <w:sz w:val="16"/>
              </w:rPr>
            </w:pPr>
          </w:p>
        </w:tc>
        <w:tc>
          <w:tcPr>
            <w:tcW w:w="300"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19EC73F4" w14:textId="77777777" w:rsidR="003F0EEA" w:rsidRDefault="00FB7D0B">
            <w:pPr>
              <w:rPr>
                <w:rFonts w:ascii="Arial" w:eastAsia="Arial" w:hAnsi="Arial" w:cs="Arial"/>
                <w:color w:val="000000"/>
                <w:sz w:val="16"/>
              </w:rPr>
            </w:pPr>
            <w:r>
              <w:rPr>
                <w:rFonts w:ascii="Arial" w:eastAsia="Arial" w:hAnsi="Arial" w:cs="Arial"/>
                <w:color w:val="000000"/>
                <w:sz w:val="16"/>
              </w:rPr>
              <w:t xml:space="preserve"> </w:t>
            </w:r>
          </w:p>
        </w:tc>
        <w:tc>
          <w:tcPr>
            <w:tcW w:w="1080" w:type="dxa"/>
            <w:tcBorders>
              <w:top w:val="single" w:sz="6" w:space="0" w:color="000000"/>
              <w:left w:val="nil"/>
              <w:bottom w:val="nil"/>
              <w:right w:val="nil"/>
              <w:tl2br w:val="nil"/>
              <w:tr2bl w:val="nil"/>
            </w:tcBorders>
            <w:shd w:val="clear" w:color="auto" w:fill="FFFF00"/>
            <w:tcMar>
              <w:left w:w="115" w:type="dxa"/>
              <w:right w:w="115" w:type="dxa"/>
            </w:tcMar>
            <w:vAlign w:val="bottom"/>
          </w:tcPr>
          <w:p w14:paraId="1F29165C" w14:textId="77777777" w:rsidR="003F0EEA" w:rsidRDefault="003F0EEA">
            <w:pPr>
              <w:rPr>
                <w:rFonts w:ascii="Arial" w:eastAsia="Arial" w:hAnsi="Arial" w:cs="Arial"/>
                <w:color w:val="000000"/>
                <w:sz w:val="16"/>
              </w:rPr>
            </w:pPr>
          </w:p>
        </w:tc>
        <w:tc>
          <w:tcPr>
            <w:tcW w:w="1230"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064B7C2D" w14:textId="77777777" w:rsidR="003F0EEA" w:rsidRDefault="003F0EEA">
            <w:pPr>
              <w:jc w:val="right"/>
              <w:rPr>
                <w:rFonts w:ascii="Arial" w:eastAsia="Arial" w:hAnsi="Arial" w:cs="Arial"/>
                <w:color w:val="000000"/>
                <w:sz w:val="16"/>
              </w:rPr>
            </w:pPr>
          </w:p>
        </w:tc>
      </w:tr>
      <w:tr w:rsidR="00FB7D0B" w14:paraId="3EBE84A0" w14:textId="77777777" w:rsidTr="00FB7D0B">
        <w:trPr>
          <w:trHeight w:val="225"/>
        </w:trPr>
        <w:tc>
          <w:tcPr>
            <w:tcW w:w="180" w:type="dxa"/>
            <w:tcBorders>
              <w:top w:val="nil"/>
              <w:left w:val="nil"/>
              <w:bottom w:val="nil"/>
              <w:right w:val="nil"/>
              <w:tl2br w:val="nil"/>
              <w:tr2bl w:val="nil"/>
            </w:tcBorders>
            <w:shd w:val="clear" w:color="auto" w:fill="FFFFFF"/>
            <w:tcMar>
              <w:left w:w="115" w:type="dxa"/>
              <w:right w:w="115" w:type="dxa"/>
            </w:tcMar>
            <w:vAlign w:val="bottom"/>
          </w:tcPr>
          <w:p w14:paraId="031AE19B" w14:textId="77777777" w:rsidR="003F0EEA" w:rsidRDefault="003F0EEA">
            <w:pPr>
              <w:rPr>
                <w:rFonts w:ascii="Arial" w:eastAsia="Arial" w:hAnsi="Arial" w:cs="Arial"/>
                <w:color w:val="000000"/>
                <w:sz w:val="16"/>
              </w:rPr>
            </w:pPr>
          </w:p>
        </w:tc>
        <w:tc>
          <w:tcPr>
            <w:tcW w:w="2700" w:type="dxa"/>
            <w:gridSpan w:val="2"/>
            <w:tcBorders>
              <w:top w:val="nil"/>
              <w:left w:val="nil"/>
              <w:bottom w:val="nil"/>
              <w:right w:val="nil"/>
              <w:tl2br w:val="nil"/>
              <w:tr2bl w:val="nil"/>
            </w:tcBorders>
            <w:shd w:val="clear" w:color="auto" w:fill="FFFFFF"/>
            <w:tcMar>
              <w:left w:w="115" w:type="dxa"/>
              <w:right w:w="115" w:type="dxa"/>
            </w:tcMar>
            <w:vAlign w:val="bottom"/>
          </w:tcPr>
          <w:p w14:paraId="394DA58A" w14:textId="77777777" w:rsidR="003F0EEA" w:rsidRDefault="00FB7D0B">
            <w:pPr>
              <w:rPr>
                <w:rFonts w:ascii="Arial" w:eastAsia="Arial" w:hAnsi="Arial" w:cs="Arial"/>
                <w:color w:val="000000"/>
                <w:sz w:val="16"/>
              </w:rPr>
            </w:pPr>
            <w:r>
              <w:rPr>
                <w:rFonts w:ascii="Arial" w:eastAsia="Arial" w:hAnsi="Arial" w:cs="Arial"/>
                <w:b/>
                <w:color w:val="000000"/>
                <w:sz w:val="16"/>
              </w:rPr>
              <w:t xml:space="preserve"> Special Accounts</w:t>
            </w:r>
          </w:p>
        </w:tc>
        <w:tc>
          <w:tcPr>
            <w:tcW w:w="360" w:type="dxa"/>
            <w:tcBorders>
              <w:top w:val="nil"/>
              <w:left w:val="nil"/>
              <w:bottom w:val="nil"/>
              <w:right w:val="nil"/>
              <w:tl2br w:val="nil"/>
              <w:tr2bl w:val="nil"/>
            </w:tcBorders>
            <w:shd w:val="clear" w:color="auto" w:fill="FFFFFF"/>
            <w:tcMar>
              <w:left w:w="115" w:type="dxa"/>
              <w:right w:w="115" w:type="dxa"/>
            </w:tcMar>
            <w:vAlign w:val="bottom"/>
          </w:tcPr>
          <w:p w14:paraId="72D47BBE" w14:textId="77777777" w:rsidR="003F0EEA" w:rsidRDefault="003F0EEA">
            <w:pPr>
              <w:jc w:val="center"/>
              <w:rPr>
                <w:rFonts w:ascii="Arial" w:eastAsia="Arial" w:hAnsi="Arial" w:cs="Arial"/>
                <w:b/>
                <w:color w:val="000000"/>
                <w:sz w:val="16"/>
                <w:vertAlign w:val="superscript"/>
              </w:rPr>
            </w:pPr>
          </w:p>
        </w:tc>
        <w:tc>
          <w:tcPr>
            <w:tcW w:w="1230"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5C9C2C58" w14:textId="77777777" w:rsidR="003F0EEA" w:rsidRDefault="00FB7D0B">
            <w:pPr>
              <w:jc w:val="right"/>
              <w:rPr>
                <w:rFonts w:ascii="Arial" w:eastAsia="Arial" w:hAnsi="Arial" w:cs="Arial"/>
                <w:b/>
                <w:color w:val="000000"/>
                <w:sz w:val="16"/>
                <w:vertAlign w:val="superscript"/>
              </w:rPr>
            </w:pPr>
            <w:r>
              <w:rPr>
                <w:rFonts w:ascii="Arial" w:eastAsia="Arial" w:hAnsi="Arial" w:cs="Arial"/>
                <w:b/>
                <w:color w:val="000000"/>
                <w:sz w:val="16"/>
              </w:rPr>
              <w:t xml:space="preserve"> 11,689 </w:t>
            </w:r>
          </w:p>
        </w:tc>
        <w:tc>
          <w:tcPr>
            <w:tcW w:w="330"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6E5E23C7" w14:textId="77777777" w:rsidR="003F0EEA" w:rsidRDefault="00FB7D0B">
            <w:pPr>
              <w:rPr>
                <w:rFonts w:ascii="Arial" w:eastAsia="Arial" w:hAnsi="Arial" w:cs="Arial"/>
                <w:b/>
                <w:color w:val="000000"/>
                <w:sz w:val="16"/>
              </w:rPr>
            </w:pPr>
            <w:r>
              <w:rPr>
                <w:rFonts w:ascii="Arial" w:eastAsia="Arial" w:hAnsi="Arial" w:cs="Arial"/>
                <w:b/>
                <w:color w:val="000000"/>
                <w:sz w:val="16"/>
              </w:rPr>
              <w:t xml:space="preserve"> </w:t>
            </w:r>
          </w:p>
        </w:tc>
        <w:tc>
          <w:tcPr>
            <w:tcW w:w="1080"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2C8F7424" w14:textId="77777777" w:rsidR="003F0EEA" w:rsidRDefault="00FB7D0B">
            <w:pPr>
              <w:jc w:val="right"/>
              <w:rPr>
                <w:rFonts w:ascii="Arial" w:eastAsia="Arial" w:hAnsi="Arial" w:cs="Arial"/>
                <w:b/>
                <w:color w:val="000000"/>
                <w:sz w:val="16"/>
              </w:rPr>
            </w:pPr>
            <w:r>
              <w:rPr>
                <w:rFonts w:ascii="Arial" w:eastAsia="Arial" w:hAnsi="Arial" w:cs="Arial"/>
                <w:b/>
                <w:color w:val="000000"/>
                <w:sz w:val="16"/>
              </w:rPr>
              <w:t xml:space="preserve"> 12,348,663 </w:t>
            </w:r>
          </w:p>
        </w:tc>
        <w:tc>
          <w:tcPr>
            <w:tcW w:w="300"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166763D2" w14:textId="77777777" w:rsidR="003F0EEA" w:rsidRDefault="00FB7D0B">
            <w:pPr>
              <w:rPr>
                <w:rFonts w:ascii="Arial" w:eastAsia="Arial" w:hAnsi="Arial" w:cs="Arial"/>
                <w:b/>
                <w:color w:val="000000"/>
                <w:sz w:val="16"/>
              </w:rPr>
            </w:pPr>
            <w:r>
              <w:rPr>
                <w:rFonts w:ascii="Arial" w:eastAsia="Arial" w:hAnsi="Arial" w:cs="Arial"/>
                <w:b/>
                <w:color w:val="000000"/>
                <w:sz w:val="16"/>
              </w:rPr>
              <w:t xml:space="preserve"> </w:t>
            </w:r>
          </w:p>
        </w:tc>
        <w:tc>
          <w:tcPr>
            <w:tcW w:w="1080" w:type="dxa"/>
            <w:tcBorders>
              <w:top w:val="nil"/>
              <w:left w:val="nil"/>
              <w:bottom w:val="single" w:sz="6" w:space="0" w:color="000000"/>
              <w:right w:val="nil"/>
              <w:tl2br w:val="nil"/>
              <w:tr2bl w:val="nil"/>
            </w:tcBorders>
            <w:shd w:val="clear" w:color="auto" w:fill="FFFF00"/>
            <w:tcMar>
              <w:left w:w="115" w:type="dxa"/>
              <w:right w:w="115" w:type="dxa"/>
            </w:tcMar>
            <w:vAlign w:val="bottom"/>
          </w:tcPr>
          <w:p w14:paraId="176D217E" w14:textId="77777777" w:rsidR="003F0EEA" w:rsidRDefault="00FB7D0B">
            <w:pPr>
              <w:jc w:val="right"/>
              <w:rPr>
                <w:rFonts w:ascii="Arial" w:eastAsia="Arial" w:hAnsi="Arial" w:cs="Arial"/>
                <w:b/>
                <w:color w:val="000000"/>
                <w:sz w:val="16"/>
              </w:rPr>
            </w:pPr>
            <w:r>
              <w:rPr>
                <w:rFonts w:ascii="Arial" w:eastAsia="Arial" w:hAnsi="Arial" w:cs="Arial"/>
                <w:b/>
                <w:color w:val="000000"/>
                <w:sz w:val="16"/>
              </w:rPr>
              <w:t xml:space="preserve"> 12,360,352 </w:t>
            </w:r>
          </w:p>
        </w:tc>
        <w:tc>
          <w:tcPr>
            <w:tcW w:w="1230"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50AAAD13" w14:textId="77777777" w:rsidR="003F0EEA" w:rsidRDefault="00FB7D0B">
            <w:pPr>
              <w:jc w:val="right"/>
              <w:rPr>
                <w:rFonts w:ascii="Arial" w:eastAsia="Arial" w:hAnsi="Arial" w:cs="Arial"/>
                <w:b/>
                <w:color w:val="000000"/>
                <w:sz w:val="16"/>
              </w:rPr>
            </w:pPr>
            <w:r>
              <w:rPr>
                <w:rFonts w:ascii="Arial" w:eastAsia="Arial" w:hAnsi="Arial" w:cs="Arial"/>
                <w:b/>
                <w:color w:val="000000"/>
                <w:sz w:val="16"/>
              </w:rPr>
              <w:t xml:space="preserve"> 12,458,327 </w:t>
            </w:r>
          </w:p>
        </w:tc>
      </w:tr>
      <w:tr w:rsidR="00FB7D0B" w14:paraId="24785813" w14:textId="77777777" w:rsidTr="00FB7D0B">
        <w:trPr>
          <w:trHeight w:val="225"/>
        </w:trPr>
        <w:tc>
          <w:tcPr>
            <w:tcW w:w="180" w:type="dxa"/>
            <w:tcBorders>
              <w:top w:val="nil"/>
              <w:left w:val="nil"/>
              <w:bottom w:val="nil"/>
              <w:right w:val="nil"/>
              <w:tl2br w:val="nil"/>
              <w:tr2bl w:val="nil"/>
            </w:tcBorders>
            <w:shd w:val="clear" w:color="auto" w:fill="FFFFFF"/>
            <w:tcMar>
              <w:left w:w="115" w:type="dxa"/>
              <w:right w:w="115" w:type="dxa"/>
            </w:tcMar>
            <w:vAlign w:val="bottom"/>
          </w:tcPr>
          <w:p w14:paraId="2DF2B5FC" w14:textId="77777777" w:rsidR="003F0EEA" w:rsidRDefault="003F0EEA">
            <w:pPr>
              <w:rPr>
                <w:rFonts w:ascii="Arial" w:eastAsia="Arial" w:hAnsi="Arial" w:cs="Arial"/>
                <w:b/>
                <w:color w:val="000000"/>
                <w:sz w:val="16"/>
              </w:rPr>
            </w:pPr>
          </w:p>
        </w:tc>
        <w:tc>
          <w:tcPr>
            <w:tcW w:w="180" w:type="dxa"/>
            <w:tcBorders>
              <w:top w:val="nil"/>
              <w:left w:val="nil"/>
              <w:bottom w:val="nil"/>
              <w:right w:val="nil"/>
              <w:tl2br w:val="nil"/>
              <w:tr2bl w:val="nil"/>
            </w:tcBorders>
            <w:shd w:val="clear" w:color="auto" w:fill="FFFFFF"/>
            <w:tcMar>
              <w:left w:w="115" w:type="dxa"/>
              <w:right w:w="115" w:type="dxa"/>
            </w:tcMar>
            <w:vAlign w:val="bottom"/>
          </w:tcPr>
          <w:p w14:paraId="533C3F71" w14:textId="77777777" w:rsidR="003F0EEA" w:rsidRDefault="003F0EEA">
            <w:pPr>
              <w:rPr>
                <w:rFonts w:ascii="Arial" w:eastAsia="Arial" w:hAnsi="Arial" w:cs="Arial"/>
                <w:color w:val="000000"/>
                <w:sz w:val="16"/>
              </w:rPr>
            </w:pPr>
          </w:p>
        </w:tc>
        <w:tc>
          <w:tcPr>
            <w:tcW w:w="2520" w:type="dxa"/>
            <w:tcBorders>
              <w:top w:val="nil"/>
              <w:left w:val="nil"/>
              <w:bottom w:val="nil"/>
              <w:right w:val="nil"/>
              <w:tl2br w:val="nil"/>
              <w:tr2bl w:val="nil"/>
            </w:tcBorders>
            <w:shd w:val="clear" w:color="auto" w:fill="FFFFFF"/>
            <w:tcMar>
              <w:left w:w="115" w:type="dxa"/>
              <w:right w:w="115" w:type="dxa"/>
            </w:tcMar>
            <w:vAlign w:val="bottom"/>
          </w:tcPr>
          <w:p w14:paraId="495AA30C" w14:textId="77777777" w:rsidR="003F0EEA" w:rsidRDefault="003F0EEA">
            <w:pPr>
              <w:rPr>
                <w:rFonts w:ascii="Arial" w:eastAsia="Arial" w:hAnsi="Arial" w:cs="Arial"/>
                <w:color w:val="000000"/>
                <w:sz w:val="16"/>
              </w:rPr>
            </w:pPr>
          </w:p>
        </w:tc>
        <w:tc>
          <w:tcPr>
            <w:tcW w:w="360" w:type="dxa"/>
            <w:tcBorders>
              <w:top w:val="nil"/>
              <w:left w:val="nil"/>
              <w:bottom w:val="nil"/>
              <w:right w:val="nil"/>
              <w:tl2br w:val="nil"/>
              <w:tr2bl w:val="nil"/>
            </w:tcBorders>
            <w:shd w:val="clear" w:color="auto" w:fill="FFFFFF"/>
            <w:tcMar>
              <w:left w:w="115" w:type="dxa"/>
              <w:right w:w="115" w:type="dxa"/>
            </w:tcMar>
            <w:vAlign w:val="bottom"/>
          </w:tcPr>
          <w:p w14:paraId="352DEAC3" w14:textId="77777777" w:rsidR="003F0EEA" w:rsidRDefault="003F0EEA">
            <w:pPr>
              <w:jc w:val="center"/>
              <w:rPr>
                <w:rFonts w:ascii="Arial" w:eastAsia="Arial" w:hAnsi="Arial" w:cs="Arial"/>
                <w:b/>
                <w:color w:val="000000"/>
                <w:sz w:val="16"/>
                <w:vertAlign w:val="superscript"/>
              </w:rPr>
            </w:pPr>
          </w:p>
        </w:tc>
        <w:tc>
          <w:tcPr>
            <w:tcW w:w="1230"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3D9407CB" w14:textId="77777777" w:rsidR="003F0EEA" w:rsidRDefault="003F0EEA">
            <w:pPr>
              <w:jc w:val="right"/>
              <w:rPr>
                <w:rFonts w:ascii="Arial" w:eastAsia="Arial" w:hAnsi="Arial" w:cs="Arial"/>
                <w:b/>
                <w:color w:val="000000"/>
                <w:sz w:val="16"/>
                <w:vertAlign w:val="superscript"/>
              </w:rPr>
            </w:pPr>
          </w:p>
        </w:tc>
        <w:tc>
          <w:tcPr>
            <w:tcW w:w="330"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72FBBF20" w14:textId="77777777" w:rsidR="003F0EEA" w:rsidRDefault="00FB7D0B">
            <w:pPr>
              <w:rPr>
                <w:rFonts w:ascii="Arial" w:eastAsia="Arial" w:hAnsi="Arial" w:cs="Arial"/>
                <w:color w:val="000000"/>
                <w:sz w:val="16"/>
                <w:vertAlign w:val="superscript"/>
              </w:rPr>
            </w:pPr>
            <w:r>
              <w:rPr>
                <w:rFonts w:ascii="Arial" w:eastAsia="Arial" w:hAnsi="Arial" w:cs="Arial"/>
                <w:color w:val="000000"/>
                <w:sz w:val="16"/>
              </w:rPr>
              <w:t xml:space="preserve"> </w:t>
            </w:r>
          </w:p>
        </w:tc>
        <w:tc>
          <w:tcPr>
            <w:tcW w:w="1080"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3EE01A4C" w14:textId="77777777" w:rsidR="003F0EEA" w:rsidRDefault="003F0EEA">
            <w:pPr>
              <w:rPr>
                <w:rFonts w:ascii="Arial" w:eastAsia="Arial" w:hAnsi="Arial" w:cs="Arial"/>
                <w:color w:val="000000"/>
                <w:sz w:val="16"/>
              </w:rPr>
            </w:pPr>
          </w:p>
        </w:tc>
        <w:tc>
          <w:tcPr>
            <w:tcW w:w="300"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365DB033" w14:textId="77777777" w:rsidR="003F0EEA" w:rsidRDefault="00FB7D0B">
            <w:pPr>
              <w:rPr>
                <w:rFonts w:ascii="Arial" w:eastAsia="Arial" w:hAnsi="Arial" w:cs="Arial"/>
                <w:b/>
                <w:color w:val="000000"/>
                <w:sz w:val="16"/>
              </w:rPr>
            </w:pPr>
            <w:r>
              <w:rPr>
                <w:rFonts w:ascii="Arial" w:eastAsia="Arial" w:hAnsi="Arial" w:cs="Arial"/>
                <w:color w:val="000000"/>
                <w:sz w:val="16"/>
              </w:rPr>
              <w:t xml:space="preserve"> </w:t>
            </w:r>
          </w:p>
        </w:tc>
        <w:tc>
          <w:tcPr>
            <w:tcW w:w="2310" w:type="dxa"/>
            <w:gridSpan w:val="2"/>
            <w:tcBorders>
              <w:top w:val="single" w:sz="6" w:space="0" w:color="000000"/>
              <w:left w:val="nil"/>
              <w:bottom w:val="nil"/>
              <w:right w:val="nil"/>
              <w:tl2br w:val="nil"/>
              <w:tr2bl w:val="nil"/>
            </w:tcBorders>
            <w:shd w:val="clear" w:color="auto" w:fill="FFFFFF"/>
            <w:tcMar>
              <w:left w:w="115" w:type="dxa"/>
              <w:right w:w="115" w:type="dxa"/>
            </w:tcMar>
            <w:vAlign w:val="bottom"/>
          </w:tcPr>
          <w:p w14:paraId="433D5F28" w14:textId="77777777" w:rsidR="003F0EEA" w:rsidRDefault="00FB7D0B">
            <w:pPr>
              <w:jc w:val="right"/>
              <w:rPr>
                <w:rFonts w:ascii="Arial" w:eastAsia="Arial" w:hAnsi="Arial" w:cs="Arial"/>
                <w:color w:val="000000"/>
                <w:sz w:val="16"/>
              </w:rPr>
            </w:pPr>
            <w:r>
              <w:rPr>
                <w:rFonts w:ascii="Arial" w:eastAsia="Arial" w:hAnsi="Arial" w:cs="Arial"/>
                <w:color w:val="000000"/>
                <w:sz w:val="16"/>
              </w:rPr>
              <w:t>Continued on next page</w:t>
            </w:r>
          </w:p>
        </w:tc>
      </w:tr>
    </w:tbl>
    <w:p w14:paraId="37D7A2E0" w14:textId="77777777" w:rsidR="003F0EEA" w:rsidRDefault="00FB7D0B">
      <w:pPr>
        <w:spacing w:line="14" w:lineRule="exact"/>
        <w:rPr>
          <w:rFonts w:ascii="Arial" w:eastAsia="Times New Roman" w:hAnsi="Arial" w:cs="Arial"/>
        </w:rPr>
      </w:pPr>
      <w:r>
        <w:rPr>
          <w:rFonts w:ascii="Arial" w:eastAsia="Times New Roman" w:hAnsi="Arial" w:cs="Arial"/>
        </w:rPr>
        <w:br w:type="page"/>
      </w:r>
    </w:p>
    <w:p w14:paraId="66903A46" w14:textId="77777777" w:rsidR="003F0EEA" w:rsidRDefault="00FB7D0B" w:rsidP="003F0EEA">
      <w:pPr>
        <w:pStyle w:val="TableHeading1"/>
      </w:pPr>
      <w:r>
        <w:t xml:space="preserve">Table 1.1: Department of Veterans' Affairs Resource Statement – Budget </w:t>
      </w:r>
    </w:p>
    <w:p w14:paraId="46187389" w14:textId="77777777" w:rsidR="003F0EEA" w:rsidRDefault="00FB7D0B" w:rsidP="003F0EEA">
      <w:pPr>
        <w:pStyle w:val="TableHeadingcontinued1"/>
        <w:spacing w:before="0" w:after="0"/>
        <w:rPr>
          <w:rFonts w:ascii="Arial" w:hAnsi="Arial" w:cs="Arial"/>
        </w:rPr>
      </w:pPr>
      <w:r>
        <w:rPr>
          <w:rFonts w:ascii="Arial" w:hAnsi="Arial" w:cs="Arial"/>
        </w:rPr>
        <w:t xml:space="preserve">Estimates for 2014-15 as at Budget May 2014 </w:t>
      </w:r>
      <w:r>
        <w:t>(continued)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0"/>
        <w:gridCol w:w="250"/>
        <w:gridCol w:w="2520"/>
        <w:gridCol w:w="360"/>
        <w:gridCol w:w="1230"/>
        <w:gridCol w:w="330"/>
        <w:gridCol w:w="1080"/>
        <w:gridCol w:w="300"/>
        <w:gridCol w:w="1080"/>
        <w:gridCol w:w="1230"/>
      </w:tblGrid>
      <w:tr w:rsidR="00724034" w14:paraId="785E8BD8" w14:textId="77777777">
        <w:trPr>
          <w:trHeight w:val="225"/>
        </w:trPr>
        <w:tc>
          <w:tcPr>
            <w:tcW w:w="180"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33151C06" w14:textId="77777777" w:rsidR="003F0EEA" w:rsidRDefault="003F0EEA">
            <w:pPr>
              <w:rPr>
                <w:rFonts w:ascii="Arial" w:eastAsia="Times New Roman" w:hAnsi="Arial" w:cs="Arial"/>
              </w:rPr>
            </w:pPr>
          </w:p>
        </w:tc>
        <w:tc>
          <w:tcPr>
            <w:tcW w:w="180"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4BE0D012" w14:textId="77777777" w:rsidR="003F0EEA" w:rsidRDefault="003F0EEA">
            <w:pPr>
              <w:rPr>
                <w:rFonts w:ascii="Arial" w:eastAsia="Arial" w:hAnsi="Arial" w:cs="Arial"/>
                <w:color w:val="000000"/>
                <w:sz w:val="16"/>
              </w:rPr>
            </w:pPr>
          </w:p>
        </w:tc>
        <w:tc>
          <w:tcPr>
            <w:tcW w:w="2520"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0A9B1DBB" w14:textId="77777777" w:rsidR="003F0EEA" w:rsidRDefault="003F0EEA">
            <w:pPr>
              <w:rPr>
                <w:rFonts w:ascii="Arial" w:eastAsia="Arial" w:hAnsi="Arial" w:cs="Arial"/>
                <w:color w:val="000000"/>
                <w:sz w:val="16"/>
              </w:rPr>
            </w:pPr>
          </w:p>
        </w:tc>
        <w:tc>
          <w:tcPr>
            <w:tcW w:w="360"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7BD04494" w14:textId="77777777" w:rsidR="003F0EEA" w:rsidRDefault="003F0EEA">
            <w:pPr>
              <w:jc w:val="center"/>
              <w:rPr>
                <w:rFonts w:ascii="Arial" w:eastAsia="Arial" w:hAnsi="Arial" w:cs="Arial"/>
                <w:color w:val="000000"/>
                <w:sz w:val="16"/>
                <w:vertAlign w:val="superscript"/>
              </w:rPr>
            </w:pPr>
          </w:p>
        </w:tc>
        <w:tc>
          <w:tcPr>
            <w:tcW w:w="1230" w:type="dxa"/>
            <w:tcBorders>
              <w:top w:val="nil"/>
              <w:left w:val="nil"/>
              <w:bottom w:val="single" w:sz="6" w:space="0" w:color="000000"/>
              <w:right w:val="nil"/>
              <w:tl2br w:val="nil"/>
              <w:tr2bl w:val="nil"/>
            </w:tcBorders>
            <w:shd w:val="clear" w:color="auto" w:fill="FFFFFF"/>
            <w:tcMar>
              <w:left w:w="115" w:type="dxa"/>
              <w:right w:w="115" w:type="dxa"/>
            </w:tcMar>
          </w:tcPr>
          <w:p w14:paraId="7FE3E410" w14:textId="77777777" w:rsidR="003F0EEA" w:rsidRDefault="003F0EEA">
            <w:pPr>
              <w:jc w:val="right"/>
              <w:rPr>
                <w:rFonts w:ascii="Arial" w:eastAsia="Arial" w:hAnsi="Arial" w:cs="Arial"/>
                <w:color w:val="000000"/>
                <w:sz w:val="16"/>
                <w:vertAlign w:val="superscript"/>
              </w:rPr>
            </w:pPr>
          </w:p>
        </w:tc>
        <w:tc>
          <w:tcPr>
            <w:tcW w:w="330"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64B13538" w14:textId="77777777" w:rsidR="003F0EEA" w:rsidRDefault="00FB7D0B">
            <w:pPr>
              <w:rPr>
                <w:rFonts w:ascii="Arial" w:eastAsia="Arial" w:hAnsi="Arial" w:cs="Arial"/>
                <w:color w:val="000000"/>
                <w:sz w:val="16"/>
                <w:vertAlign w:val="superscript"/>
              </w:rPr>
            </w:pPr>
            <w:r>
              <w:rPr>
                <w:rFonts w:ascii="Arial" w:eastAsia="Arial" w:hAnsi="Arial" w:cs="Arial"/>
                <w:b/>
                <w:color w:val="000000"/>
                <w:sz w:val="16"/>
              </w:rPr>
              <w:t xml:space="preserve"> </w:t>
            </w:r>
          </w:p>
        </w:tc>
        <w:tc>
          <w:tcPr>
            <w:tcW w:w="1080" w:type="dxa"/>
            <w:tcBorders>
              <w:top w:val="nil"/>
              <w:left w:val="nil"/>
              <w:bottom w:val="single" w:sz="6" w:space="0" w:color="000000"/>
              <w:right w:val="nil"/>
              <w:tl2br w:val="nil"/>
              <w:tr2bl w:val="nil"/>
            </w:tcBorders>
            <w:shd w:val="clear" w:color="auto" w:fill="FFFFFF"/>
            <w:tcMar>
              <w:left w:w="115" w:type="dxa"/>
              <w:right w:w="115" w:type="dxa"/>
            </w:tcMar>
          </w:tcPr>
          <w:p w14:paraId="7D538579" w14:textId="77777777" w:rsidR="003F0EEA" w:rsidRDefault="003F0EEA">
            <w:pPr>
              <w:jc w:val="right"/>
              <w:rPr>
                <w:rFonts w:ascii="Arial" w:eastAsia="Arial" w:hAnsi="Arial" w:cs="Arial"/>
                <w:b/>
                <w:color w:val="000000"/>
                <w:sz w:val="16"/>
              </w:rPr>
            </w:pPr>
          </w:p>
        </w:tc>
        <w:tc>
          <w:tcPr>
            <w:tcW w:w="300"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083474E3" w14:textId="77777777" w:rsidR="003F0EEA" w:rsidRDefault="00FB7D0B">
            <w:pPr>
              <w:rPr>
                <w:rFonts w:ascii="Arial" w:eastAsia="Arial" w:hAnsi="Arial" w:cs="Arial"/>
                <w:color w:val="000000"/>
                <w:sz w:val="16"/>
              </w:rPr>
            </w:pPr>
            <w:r>
              <w:rPr>
                <w:rFonts w:ascii="Arial" w:eastAsia="Arial" w:hAnsi="Arial" w:cs="Arial"/>
                <w:b/>
                <w:color w:val="000000"/>
                <w:sz w:val="16"/>
              </w:rPr>
              <w:t xml:space="preserve"> </w:t>
            </w:r>
          </w:p>
        </w:tc>
        <w:tc>
          <w:tcPr>
            <w:tcW w:w="1080" w:type="dxa"/>
            <w:tcBorders>
              <w:top w:val="nil"/>
              <w:left w:val="nil"/>
              <w:bottom w:val="single" w:sz="6" w:space="0" w:color="000000"/>
              <w:right w:val="nil"/>
              <w:tl2br w:val="nil"/>
              <w:tr2bl w:val="nil"/>
            </w:tcBorders>
            <w:shd w:val="clear" w:color="auto" w:fill="FFFFFF"/>
            <w:tcMar>
              <w:left w:w="115" w:type="dxa"/>
              <w:right w:w="115" w:type="dxa"/>
            </w:tcMar>
          </w:tcPr>
          <w:p w14:paraId="5F74DABD" w14:textId="77777777" w:rsidR="003F0EEA" w:rsidRDefault="003F0EEA">
            <w:pPr>
              <w:jc w:val="right"/>
              <w:rPr>
                <w:rFonts w:ascii="Arial" w:eastAsia="Arial" w:hAnsi="Arial" w:cs="Arial"/>
                <w:b/>
                <w:color w:val="000000"/>
                <w:sz w:val="16"/>
              </w:rPr>
            </w:pPr>
          </w:p>
        </w:tc>
        <w:tc>
          <w:tcPr>
            <w:tcW w:w="1230" w:type="dxa"/>
            <w:tcBorders>
              <w:top w:val="nil"/>
              <w:left w:val="nil"/>
              <w:bottom w:val="single" w:sz="6" w:space="0" w:color="000000"/>
              <w:right w:val="nil"/>
              <w:tl2br w:val="nil"/>
              <w:tr2bl w:val="nil"/>
            </w:tcBorders>
            <w:shd w:val="clear" w:color="auto" w:fill="FFFFFF"/>
            <w:tcMar>
              <w:left w:w="115" w:type="dxa"/>
              <w:right w:w="115" w:type="dxa"/>
            </w:tcMar>
          </w:tcPr>
          <w:p w14:paraId="20F8804B" w14:textId="77777777" w:rsidR="003F0EEA" w:rsidRDefault="003F0EEA">
            <w:pPr>
              <w:jc w:val="right"/>
              <w:rPr>
                <w:rFonts w:ascii="Arial" w:eastAsia="Arial" w:hAnsi="Arial" w:cs="Arial"/>
                <w:color w:val="000000"/>
                <w:sz w:val="16"/>
              </w:rPr>
            </w:pPr>
          </w:p>
        </w:tc>
      </w:tr>
      <w:tr w:rsidR="00724034" w14:paraId="6A8CAD1B" w14:textId="77777777">
        <w:trPr>
          <w:trHeight w:val="225"/>
        </w:trPr>
        <w:tc>
          <w:tcPr>
            <w:tcW w:w="180"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5E27CC10" w14:textId="77777777" w:rsidR="003F0EEA" w:rsidRDefault="003F0EEA">
            <w:pPr>
              <w:rPr>
                <w:rFonts w:ascii="Arial" w:eastAsia="Arial" w:hAnsi="Arial" w:cs="Arial"/>
                <w:color w:val="000000"/>
                <w:sz w:val="16"/>
              </w:rPr>
            </w:pPr>
          </w:p>
        </w:tc>
        <w:tc>
          <w:tcPr>
            <w:tcW w:w="180"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37CC5F8C" w14:textId="77777777" w:rsidR="003F0EEA" w:rsidRDefault="003F0EEA">
            <w:pPr>
              <w:rPr>
                <w:rFonts w:ascii="Arial" w:eastAsia="Arial" w:hAnsi="Arial" w:cs="Arial"/>
                <w:color w:val="000000"/>
                <w:sz w:val="16"/>
              </w:rPr>
            </w:pPr>
          </w:p>
        </w:tc>
        <w:tc>
          <w:tcPr>
            <w:tcW w:w="2520"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367A609E" w14:textId="77777777" w:rsidR="003F0EEA" w:rsidRDefault="003F0EEA">
            <w:pPr>
              <w:rPr>
                <w:rFonts w:ascii="Arial" w:eastAsia="Arial" w:hAnsi="Arial" w:cs="Arial"/>
                <w:color w:val="000000"/>
                <w:sz w:val="16"/>
              </w:rPr>
            </w:pPr>
          </w:p>
        </w:tc>
        <w:tc>
          <w:tcPr>
            <w:tcW w:w="360"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0FD95050" w14:textId="77777777" w:rsidR="003F0EEA" w:rsidRDefault="003F0EEA">
            <w:pPr>
              <w:jc w:val="center"/>
              <w:rPr>
                <w:rFonts w:ascii="Arial" w:eastAsia="Arial" w:hAnsi="Arial" w:cs="Arial"/>
                <w:b/>
                <w:color w:val="000000"/>
                <w:sz w:val="16"/>
                <w:vertAlign w:val="superscript"/>
              </w:rPr>
            </w:pPr>
          </w:p>
        </w:tc>
        <w:tc>
          <w:tcPr>
            <w:tcW w:w="1230"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1EEAC868" w14:textId="77777777" w:rsidR="003F0EEA" w:rsidRDefault="00FB7D0B">
            <w:pPr>
              <w:jc w:val="right"/>
              <w:rPr>
                <w:rFonts w:ascii="Arial" w:eastAsia="Arial" w:hAnsi="Arial" w:cs="Arial"/>
                <w:b/>
                <w:color w:val="000000"/>
                <w:sz w:val="16"/>
                <w:vertAlign w:val="superscript"/>
              </w:rPr>
            </w:pPr>
            <w:r>
              <w:rPr>
                <w:rFonts w:ascii="Arial" w:eastAsia="Arial" w:hAnsi="Arial" w:cs="Arial"/>
                <w:color w:val="000000"/>
                <w:sz w:val="16"/>
              </w:rPr>
              <w:t>Estimate</w:t>
            </w:r>
          </w:p>
        </w:tc>
        <w:tc>
          <w:tcPr>
            <w:tcW w:w="330"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3017123A" w14:textId="77777777" w:rsidR="003F0EEA" w:rsidRDefault="003F0EEA">
            <w:pPr>
              <w:rPr>
                <w:rFonts w:ascii="Arial" w:eastAsia="Arial" w:hAnsi="Arial" w:cs="Arial"/>
                <w:color w:val="000000"/>
                <w:sz w:val="16"/>
              </w:rPr>
            </w:pPr>
          </w:p>
        </w:tc>
        <w:tc>
          <w:tcPr>
            <w:tcW w:w="1080"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002309C0" w14:textId="77777777" w:rsidR="003F0EEA" w:rsidRDefault="00FB7D0B">
            <w:pPr>
              <w:jc w:val="right"/>
              <w:rPr>
                <w:rFonts w:ascii="Arial" w:eastAsia="Arial" w:hAnsi="Arial" w:cs="Arial"/>
                <w:color w:val="000000"/>
                <w:sz w:val="16"/>
              </w:rPr>
            </w:pPr>
            <w:r>
              <w:rPr>
                <w:rFonts w:ascii="Arial" w:eastAsia="Arial" w:hAnsi="Arial" w:cs="Arial"/>
                <w:color w:val="000000"/>
                <w:sz w:val="16"/>
              </w:rPr>
              <w:t>Proposed</w:t>
            </w:r>
          </w:p>
        </w:tc>
        <w:tc>
          <w:tcPr>
            <w:tcW w:w="300"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5B39B396" w14:textId="77777777" w:rsidR="003F0EEA" w:rsidRDefault="00FB7D0B">
            <w:pPr>
              <w:rPr>
                <w:rFonts w:ascii="Arial" w:eastAsia="Arial" w:hAnsi="Arial" w:cs="Arial"/>
                <w:color w:val="000000"/>
                <w:sz w:val="16"/>
              </w:rPr>
            </w:pPr>
            <w:r>
              <w:rPr>
                <w:rFonts w:ascii="Arial" w:eastAsia="Arial" w:hAnsi="Arial" w:cs="Arial"/>
                <w:color w:val="000000"/>
                <w:sz w:val="16"/>
              </w:rPr>
              <w:t xml:space="preserve"> </w:t>
            </w:r>
          </w:p>
        </w:tc>
        <w:tc>
          <w:tcPr>
            <w:tcW w:w="1080" w:type="dxa"/>
            <w:tcBorders>
              <w:top w:val="single" w:sz="6" w:space="0" w:color="000000"/>
              <w:left w:val="nil"/>
              <w:bottom w:val="nil"/>
              <w:right w:val="nil"/>
              <w:tl2br w:val="nil"/>
              <w:tr2bl w:val="nil"/>
            </w:tcBorders>
            <w:shd w:val="clear" w:color="auto" w:fill="FFFF00"/>
            <w:tcMar>
              <w:left w:w="115" w:type="dxa"/>
              <w:right w:w="115" w:type="dxa"/>
            </w:tcMar>
            <w:vAlign w:val="bottom"/>
          </w:tcPr>
          <w:p w14:paraId="4FAB5B1B" w14:textId="77777777" w:rsidR="003F0EEA" w:rsidRDefault="00FB7D0B">
            <w:pPr>
              <w:jc w:val="right"/>
              <w:rPr>
                <w:rFonts w:ascii="Arial" w:eastAsia="Arial" w:hAnsi="Arial" w:cs="Arial"/>
                <w:color w:val="000000"/>
                <w:sz w:val="16"/>
              </w:rPr>
            </w:pPr>
            <w:r>
              <w:rPr>
                <w:rFonts w:ascii="Arial" w:eastAsia="Arial" w:hAnsi="Arial" w:cs="Arial"/>
                <w:color w:val="000000"/>
                <w:sz w:val="16"/>
              </w:rPr>
              <w:t xml:space="preserve">Total </w:t>
            </w:r>
          </w:p>
        </w:tc>
        <w:tc>
          <w:tcPr>
            <w:tcW w:w="1230"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7BD30C52" w14:textId="77777777" w:rsidR="003F0EEA" w:rsidRDefault="00FB7D0B">
            <w:pPr>
              <w:jc w:val="right"/>
              <w:rPr>
                <w:rFonts w:ascii="Arial" w:eastAsia="Arial" w:hAnsi="Arial" w:cs="Arial"/>
                <w:color w:val="000000"/>
                <w:sz w:val="16"/>
              </w:rPr>
            </w:pPr>
            <w:r>
              <w:rPr>
                <w:rFonts w:ascii="Arial" w:eastAsia="Arial" w:hAnsi="Arial" w:cs="Arial"/>
                <w:color w:val="000000"/>
                <w:sz w:val="16"/>
              </w:rPr>
              <w:t>Actual</w:t>
            </w:r>
          </w:p>
        </w:tc>
      </w:tr>
      <w:tr w:rsidR="00724034" w14:paraId="6EFC6A36" w14:textId="77777777">
        <w:trPr>
          <w:trHeight w:val="225"/>
        </w:trPr>
        <w:tc>
          <w:tcPr>
            <w:tcW w:w="180" w:type="dxa"/>
            <w:tcBorders>
              <w:top w:val="nil"/>
              <w:left w:val="nil"/>
              <w:bottom w:val="nil"/>
              <w:right w:val="nil"/>
              <w:tl2br w:val="nil"/>
              <w:tr2bl w:val="nil"/>
            </w:tcBorders>
            <w:shd w:val="clear" w:color="auto" w:fill="FFFFFF"/>
            <w:tcMar>
              <w:left w:w="115" w:type="dxa"/>
              <w:right w:w="115" w:type="dxa"/>
            </w:tcMar>
            <w:vAlign w:val="bottom"/>
          </w:tcPr>
          <w:p w14:paraId="31D9E6CF" w14:textId="77777777" w:rsidR="003F0EEA" w:rsidRDefault="003F0EEA">
            <w:pPr>
              <w:rPr>
                <w:rFonts w:ascii="Arial" w:eastAsia="Arial" w:hAnsi="Arial" w:cs="Arial"/>
                <w:color w:val="000000"/>
                <w:sz w:val="16"/>
              </w:rPr>
            </w:pPr>
          </w:p>
        </w:tc>
        <w:tc>
          <w:tcPr>
            <w:tcW w:w="180" w:type="dxa"/>
            <w:tcBorders>
              <w:top w:val="nil"/>
              <w:left w:val="nil"/>
              <w:bottom w:val="nil"/>
              <w:right w:val="nil"/>
              <w:tl2br w:val="nil"/>
              <w:tr2bl w:val="nil"/>
            </w:tcBorders>
            <w:shd w:val="clear" w:color="auto" w:fill="FFFFFF"/>
            <w:tcMar>
              <w:left w:w="115" w:type="dxa"/>
              <w:right w:w="115" w:type="dxa"/>
            </w:tcMar>
            <w:vAlign w:val="bottom"/>
          </w:tcPr>
          <w:p w14:paraId="0F7872A9" w14:textId="77777777" w:rsidR="003F0EEA" w:rsidRDefault="003F0EEA">
            <w:pPr>
              <w:rPr>
                <w:rFonts w:ascii="Arial" w:eastAsia="Arial" w:hAnsi="Arial" w:cs="Arial"/>
                <w:color w:val="000000"/>
                <w:sz w:val="16"/>
              </w:rPr>
            </w:pPr>
          </w:p>
        </w:tc>
        <w:tc>
          <w:tcPr>
            <w:tcW w:w="2520" w:type="dxa"/>
            <w:tcBorders>
              <w:top w:val="nil"/>
              <w:left w:val="nil"/>
              <w:bottom w:val="nil"/>
              <w:right w:val="nil"/>
              <w:tl2br w:val="nil"/>
              <w:tr2bl w:val="nil"/>
            </w:tcBorders>
            <w:shd w:val="clear" w:color="auto" w:fill="FFFFFF"/>
            <w:tcMar>
              <w:left w:w="115" w:type="dxa"/>
              <w:right w:w="115" w:type="dxa"/>
            </w:tcMar>
            <w:vAlign w:val="bottom"/>
          </w:tcPr>
          <w:p w14:paraId="1AD3809C" w14:textId="77777777" w:rsidR="003F0EEA" w:rsidRDefault="003F0EEA">
            <w:pPr>
              <w:rPr>
                <w:rFonts w:ascii="Arial" w:eastAsia="Arial" w:hAnsi="Arial" w:cs="Arial"/>
                <w:color w:val="000000"/>
                <w:sz w:val="16"/>
              </w:rPr>
            </w:pPr>
          </w:p>
        </w:tc>
        <w:tc>
          <w:tcPr>
            <w:tcW w:w="360" w:type="dxa"/>
            <w:tcBorders>
              <w:top w:val="nil"/>
              <w:left w:val="nil"/>
              <w:bottom w:val="nil"/>
              <w:right w:val="nil"/>
              <w:tl2br w:val="nil"/>
              <w:tr2bl w:val="nil"/>
            </w:tcBorders>
            <w:shd w:val="clear" w:color="auto" w:fill="FFFFFF"/>
            <w:tcMar>
              <w:left w:w="115" w:type="dxa"/>
              <w:right w:w="115" w:type="dxa"/>
            </w:tcMar>
            <w:vAlign w:val="bottom"/>
          </w:tcPr>
          <w:p w14:paraId="3EF99187" w14:textId="77777777" w:rsidR="003F0EEA" w:rsidRDefault="003F0EEA">
            <w:pPr>
              <w:jc w:val="center"/>
              <w:rPr>
                <w:rFonts w:ascii="Arial" w:eastAsia="Arial" w:hAnsi="Arial" w:cs="Arial"/>
                <w:b/>
                <w:color w:val="000000"/>
                <w:sz w:val="16"/>
                <w:vertAlign w:val="superscript"/>
              </w:rPr>
            </w:pPr>
          </w:p>
        </w:tc>
        <w:tc>
          <w:tcPr>
            <w:tcW w:w="1230" w:type="dxa"/>
            <w:tcBorders>
              <w:top w:val="nil"/>
              <w:left w:val="nil"/>
              <w:bottom w:val="nil"/>
              <w:right w:val="nil"/>
              <w:tl2br w:val="nil"/>
              <w:tr2bl w:val="nil"/>
            </w:tcBorders>
            <w:shd w:val="clear" w:color="auto" w:fill="FFFFFF"/>
            <w:tcMar>
              <w:left w:w="115" w:type="dxa"/>
              <w:right w:w="115" w:type="dxa"/>
            </w:tcMar>
            <w:vAlign w:val="bottom"/>
          </w:tcPr>
          <w:p w14:paraId="0750AC02" w14:textId="77777777" w:rsidR="003F0EEA" w:rsidRDefault="00FB7D0B">
            <w:pPr>
              <w:jc w:val="right"/>
              <w:rPr>
                <w:rFonts w:ascii="Arial" w:eastAsia="Arial" w:hAnsi="Arial" w:cs="Arial"/>
                <w:b/>
                <w:color w:val="000000"/>
                <w:sz w:val="16"/>
                <w:vertAlign w:val="superscript"/>
              </w:rPr>
            </w:pPr>
            <w:r>
              <w:rPr>
                <w:rFonts w:ascii="Arial" w:eastAsia="Arial" w:hAnsi="Arial" w:cs="Arial"/>
                <w:color w:val="000000"/>
                <w:sz w:val="16"/>
              </w:rPr>
              <w:t>of prior</w:t>
            </w:r>
          </w:p>
        </w:tc>
        <w:tc>
          <w:tcPr>
            <w:tcW w:w="330" w:type="dxa"/>
            <w:tcBorders>
              <w:top w:val="nil"/>
              <w:left w:val="nil"/>
              <w:bottom w:val="nil"/>
              <w:right w:val="nil"/>
              <w:tl2br w:val="nil"/>
              <w:tr2bl w:val="nil"/>
            </w:tcBorders>
            <w:shd w:val="clear" w:color="auto" w:fill="FFFFFF"/>
            <w:tcMar>
              <w:left w:w="115" w:type="dxa"/>
              <w:right w:w="115" w:type="dxa"/>
            </w:tcMar>
            <w:vAlign w:val="center"/>
          </w:tcPr>
          <w:p w14:paraId="3CE37289" w14:textId="77777777" w:rsidR="003F0EEA" w:rsidRDefault="00FB7D0B">
            <w:pPr>
              <w:jc w:val="center"/>
              <w:rPr>
                <w:rFonts w:ascii="Arial" w:eastAsia="Arial" w:hAnsi="Arial" w:cs="Arial"/>
                <w:color w:val="000000"/>
                <w:sz w:val="16"/>
              </w:rPr>
            </w:pPr>
            <w:r>
              <w:rPr>
                <w:rFonts w:ascii="Arial" w:eastAsia="Arial" w:hAnsi="Arial" w:cs="Arial"/>
                <w:color w:val="000000"/>
                <w:sz w:val="16"/>
              </w:rPr>
              <w:t>+</w:t>
            </w:r>
          </w:p>
        </w:tc>
        <w:tc>
          <w:tcPr>
            <w:tcW w:w="1080" w:type="dxa"/>
            <w:tcBorders>
              <w:top w:val="nil"/>
              <w:left w:val="nil"/>
              <w:bottom w:val="nil"/>
              <w:right w:val="nil"/>
              <w:tl2br w:val="nil"/>
              <w:tr2bl w:val="nil"/>
            </w:tcBorders>
            <w:shd w:val="clear" w:color="auto" w:fill="FFFFFF"/>
            <w:tcMar>
              <w:left w:w="115" w:type="dxa"/>
              <w:right w:w="115" w:type="dxa"/>
            </w:tcMar>
            <w:vAlign w:val="bottom"/>
          </w:tcPr>
          <w:p w14:paraId="7CADD93E" w14:textId="77777777" w:rsidR="003F0EEA" w:rsidRDefault="00FB7D0B">
            <w:pPr>
              <w:jc w:val="right"/>
              <w:rPr>
                <w:rFonts w:ascii="Arial" w:eastAsia="Arial" w:hAnsi="Arial" w:cs="Arial"/>
                <w:color w:val="000000"/>
                <w:sz w:val="16"/>
              </w:rPr>
            </w:pPr>
            <w:r>
              <w:rPr>
                <w:rFonts w:ascii="Arial" w:eastAsia="Arial" w:hAnsi="Arial" w:cs="Arial"/>
                <w:color w:val="000000"/>
                <w:sz w:val="16"/>
              </w:rPr>
              <w:t>at Budget</w:t>
            </w:r>
          </w:p>
        </w:tc>
        <w:tc>
          <w:tcPr>
            <w:tcW w:w="300" w:type="dxa"/>
            <w:tcBorders>
              <w:top w:val="nil"/>
              <w:left w:val="nil"/>
              <w:bottom w:val="nil"/>
              <w:right w:val="nil"/>
              <w:tl2br w:val="nil"/>
              <w:tr2bl w:val="nil"/>
            </w:tcBorders>
            <w:shd w:val="clear" w:color="auto" w:fill="FFFFFF"/>
            <w:tcMar>
              <w:left w:w="115" w:type="dxa"/>
              <w:right w:w="115" w:type="dxa"/>
            </w:tcMar>
            <w:vAlign w:val="bottom"/>
          </w:tcPr>
          <w:p w14:paraId="347419CF" w14:textId="77777777" w:rsidR="003F0EEA" w:rsidRDefault="00FB7D0B">
            <w:pPr>
              <w:jc w:val="center"/>
              <w:rPr>
                <w:rFonts w:ascii="Arial" w:eastAsia="Arial" w:hAnsi="Arial" w:cs="Arial"/>
                <w:color w:val="000000"/>
                <w:sz w:val="16"/>
              </w:rPr>
            </w:pPr>
            <w:r>
              <w:rPr>
                <w:rFonts w:ascii="Arial" w:eastAsia="Arial" w:hAnsi="Arial" w:cs="Arial"/>
                <w:color w:val="000000"/>
                <w:sz w:val="16"/>
              </w:rPr>
              <w:t>=</w:t>
            </w:r>
          </w:p>
        </w:tc>
        <w:tc>
          <w:tcPr>
            <w:tcW w:w="1080" w:type="dxa"/>
            <w:tcBorders>
              <w:top w:val="nil"/>
              <w:left w:val="nil"/>
              <w:bottom w:val="nil"/>
              <w:right w:val="nil"/>
              <w:tl2br w:val="nil"/>
              <w:tr2bl w:val="nil"/>
            </w:tcBorders>
            <w:shd w:val="clear" w:color="auto" w:fill="FFFF00"/>
            <w:tcMar>
              <w:left w:w="115" w:type="dxa"/>
              <w:right w:w="115" w:type="dxa"/>
            </w:tcMar>
            <w:vAlign w:val="bottom"/>
          </w:tcPr>
          <w:p w14:paraId="650EDE75" w14:textId="77777777" w:rsidR="003F0EEA" w:rsidRDefault="00FB7D0B">
            <w:pPr>
              <w:jc w:val="right"/>
              <w:rPr>
                <w:rFonts w:ascii="Arial" w:eastAsia="Arial" w:hAnsi="Arial" w:cs="Arial"/>
                <w:color w:val="000000"/>
                <w:sz w:val="16"/>
              </w:rPr>
            </w:pPr>
            <w:r>
              <w:rPr>
                <w:rFonts w:ascii="Arial" w:eastAsia="Arial" w:hAnsi="Arial" w:cs="Arial"/>
                <w:color w:val="000000"/>
                <w:sz w:val="16"/>
              </w:rPr>
              <w:t>estimate</w:t>
            </w:r>
          </w:p>
        </w:tc>
        <w:tc>
          <w:tcPr>
            <w:tcW w:w="1230" w:type="dxa"/>
            <w:tcBorders>
              <w:top w:val="nil"/>
              <w:left w:val="nil"/>
              <w:bottom w:val="nil"/>
              <w:right w:val="nil"/>
              <w:tl2br w:val="nil"/>
              <w:tr2bl w:val="nil"/>
            </w:tcBorders>
            <w:shd w:val="clear" w:color="auto" w:fill="FFFFFF"/>
            <w:tcMar>
              <w:left w:w="115" w:type="dxa"/>
              <w:right w:w="115" w:type="dxa"/>
            </w:tcMar>
            <w:vAlign w:val="bottom"/>
          </w:tcPr>
          <w:p w14:paraId="06791A8E" w14:textId="77777777" w:rsidR="003F0EEA" w:rsidRDefault="00FB7D0B">
            <w:pPr>
              <w:jc w:val="right"/>
              <w:rPr>
                <w:rFonts w:ascii="Arial" w:eastAsia="Arial" w:hAnsi="Arial" w:cs="Arial"/>
                <w:color w:val="000000"/>
                <w:sz w:val="16"/>
              </w:rPr>
            </w:pPr>
            <w:r>
              <w:rPr>
                <w:rFonts w:ascii="Arial" w:eastAsia="Arial" w:hAnsi="Arial" w:cs="Arial"/>
                <w:color w:val="000000"/>
                <w:sz w:val="16"/>
              </w:rPr>
              <w:t>available</w:t>
            </w:r>
          </w:p>
        </w:tc>
      </w:tr>
      <w:tr w:rsidR="00724034" w14:paraId="721DEBD8" w14:textId="77777777">
        <w:trPr>
          <w:trHeight w:val="225"/>
        </w:trPr>
        <w:tc>
          <w:tcPr>
            <w:tcW w:w="180" w:type="dxa"/>
            <w:tcBorders>
              <w:top w:val="nil"/>
              <w:left w:val="nil"/>
              <w:bottom w:val="nil"/>
              <w:right w:val="nil"/>
              <w:tl2br w:val="nil"/>
              <w:tr2bl w:val="nil"/>
            </w:tcBorders>
            <w:shd w:val="clear" w:color="auto" w:fill="FFFFFF"/>
            <w:tcMar>
              <w:left w:w="115" w:type="dxa"/>
              <w:right w:w="115" w:type="dxa"/>
            </w:tcMar>
            <w:vAlign w:val="bottom"/>
          </w:tcPr>
          <w:p w14:paraId="64839566" w14:textId="77777777" w:rsidR="003F0EEA" w:rsidRDefault="003F0EEA">
            <w:pPr>
              <w:rPr>
                <w:rFonts w:ascii="Arial" w:eastAsia="Arial" w:hAnsi="Arial" w:cs="Arial"/>
                <w:color w:val="000000"/>
                <w:sz w:val="16"/>
              </w:rPr>
            </w:pPr>
          </w:p>
        </w:tc>
        <w:tc>
          <w:tcPr>
            <w:tcW w:w="180" w:type="dxa"/>
            <w:tcBorders>
              <w:top w:val="nil"/>
              <w:left w:val="nil"/>
              <w:bottom w:val="nil"/>
              <w:right w:val="nil"/>
              <w:tl2br w:val="nil"/>
              <w:tr2bl w:val="nil"/>
            </w:tcBorders>
            <w:shd w:val="clear" w:color="auto" w:fill="FFFFFF"/>
            <w:tcMar>
              <w:left w:w="115" w:type="dxa"/>
              <w:right w:w="115" w:type="dxa"/>
            </w:tcMar>
            <w:vAlign w:val="bottom"/>
          </w:tcPr>
          <w:p w14:paraId="27074698" w14:textId="77777777" w:rsidR="003F0EEA" w:rsidRDefault="003F0EEA">
            <w:pPr>
              <w:rPr>
                <w:rFonts w:ascii="Arial" w:eastAsia="Arial" w:hAnsi="Arial" w:cs="Arial"/>
                <w:color w:val="000000"/>
                <w:sz w:val="16"/>
              </w:rPr>
            </w:pPr>
          </w:p>
        </w:tc>
        <w:tc>
          <w:tcPr>
            <w:tcW w:w="2520" w:type="dxa"/>
            <w:tcBorders>
              <w:top w:val="nil"/>
              <w:left w:val="nil"/>
              <w:bottom w:val="nil"/>
              <w:right w:val="nil"/>
              <w:tl2br w:val="nil"/>
              <w:tr2bl w:val="nil"/>
            </w:tcBorders>
            <w:shd w:val="clear" w:color="auto" w:fill="FFFFFF"/>
            <w:tcMar>
              <w:left w:w="115" w:type="dxa"/>
              <w:right w:w="115" w:type="dxa"/>
            </w:tcMar>
            <w:vAlign w:val="bottom"/>
          </w:tcPr>
          <w:p w14:paraId="5D2BF535" w14:textId="77777777" w:rsidR="003F0EEA" w:rsidRDefault="003F0EEA">
            <w:pPr>
              <w:rPr>
                <w:rFonts w:ascii="Arial" w:eastAsia="Arial" w:hAnsi="Arial" w:cs="Arial"/>
                <w:color w:val="000000"/>
                <w:sz w:val="16"/>
              </w:rPr>
            </w:pPr>
          </w:p>
        </w:tc>
        <w:tc>
          <w:tcPr>
            <w:tcW w:w="360" w:type="dxa"/>
            <w:tcBorders>
              <w:top w:val="nil"/>
              <w:left w:val="nil"/>
              <w:bottom w:val="nil"/>
              <w:right w:val="nil"/>
              <w:tl2br w:val="nil"/>
              <w:tr2bl w:val="nil"/>
            </w:tcBorders>
            <w:shd w:val="clear" w:color="auto" w:fill="FFFFFF"/>
            <w:tcMar>
              <w:left w:w="115" w:type="dxa"/>
              <w:right w:w="115" w:type="dxa"/>
            </w:tcMar>
            <w:vAlign w:val="bottom"/>
          </w:tcPr>
          <w:p w14:paraId="7A6AD0BC" w14:textId="77777777" w:rsidR="003F0EEA" w:rsidRDefault="003F0EEA">
            <w:pPr>
              <w:jc w:val="center"/>
              <w:rPr>
                <w:rFonts w:ascii="Arial" w:eastAsia="Arial" w:hAnsi="Arial" w:cs="Arial"/>
                <w:b/>
                <w:color w:val="000000"/>
                <w:sz w:val="16"/>
                <w:vertAlign w:val="superscript"/>
              </w:rPr>
            </w:pPr>
          </w:p>
        </w:tc>
        <w:tc>
          <w:tcPr>
            <w:tcW w:w="1230" w:type="dxa"/>
            <w:tcBorders>
              <w:top w:val="nil"/>
              <w:left w:val="nil"/>
              <w:bottom w:val="nil"/>
              <w:right w:val="nil"/>
              <w:tl2br w:val="nil"/>
              <w:tr2bl w:val="nil"/>
            </w:tcBorders>
            <w:shd w:val="clear" w:color="auto" w:fill="FFFFFF"/>
            <w:tcMar>
              <w:left w:w="115" w:type="dxa"/>
              <w:right w:w="115" w:type="dxa"/>
            </w:tcMar>
            <w:vAlign w:val="bottom"/>
          </w:tcPr>
          <w:p w14:paraId="6ED6BE5F" w14:textId="77777777" w:rsidR="003F0EEA" w:rsidRDefault="00FB7D0B">
            <w:pPr>
              <w:jc w:val="right"/>
              <w:rPr>
                <w:rFonts w:ascii="Arial" w:eastAsia="Arial" w:hAnsi="Arial" w:cs="Arial"/>
                <w:b/>
                <w:color w:val="000000"/>
                <w:sz w:val="16"/>
                <w:vertAlign w:val="superscript"/>
              </w:rPr>
            </w:pPr>
            <w:r>
              <w:rPr>
                <w:rFonts w:ascii="Arial" w:eastAsia="Arial" w:hAnsi="Arial" w:cs="Arial"/>
                <w:color w:val="000000"/>
                <w:sz w:val="16"/>
              </w:rPr>
              <w:t>year amounts</w:t>
            </w:r>
          </w:p>
        </w:tc>
        <w:tc>
          <w:tcPr>
            <w:tcW w:w="330" w:type="dxa"/>
            <w:tcBorders>
              <w:top w:val="nil"/>
              <w:left w:val="nil"/>
              <w:bottom w:val="nil"/>
              <w:right w:val="nil"/>
              <w:tl2br w:val="nil"/>
              <w:tr2bl w:val="nil"/>
            </w:tcBorders>
            <w:shd w:val="clear" w:color="auto" w:fill="FFFFFF"/>
            <w:tcMar>
              <w:left w:w="115" w:type="dxa"/>
              <w:right w:w="115" w:type="dxa"/>
            </w:tcMar>
            <w:vAlign w:val="bottom"/>
          </w:tcPr>
          <w:p w14:paraId="3F5228F0" w14:textId="77777777" w:rsidR="003F0EEA" w:rsidRDefault="00FB7D0B">
            <w:pPr>
              <w:rPr>
                <w:rFonts w:ascii="Arial" w:eastAsia="Arial" w:hAnsi="Arial" w:cs="Arial"/>
                <w:color w:val="000000"/>
                <w:sz w:val="16"/>
              </w:rPr>
            </w:pPr>
            <w:r>
              <w:rPr>
                <w:rFonts w:ascii="Arial" w:eastAsia="Arial" w:hAnsi="Arial" w:cs="Arial"/>
                <w:color w:val="000000"/>
                <w:sz w:val="16"/>
              </w:rPr>
              <w:t xml:space="preserve"> </w:t>
            </w:r>
          </w:p>
        </w:tc>
        <w:tc>
          <w:tcPr>
            <w:tcW w:w="1080" w:type="dxa"/>
            <w:tcBorders>
              <w:top w:val="nil"/>
              <w:left w:val="nil"/>
              <w:bottom w:val="nil"/>
              <w:right w:val="nil"/>
              <w:tl2br w:val="nil"/>
              <w:tr2bl w:val="nil"/>
            </w:tcBorders>
            <w:shd w:val="clear" w:color="auto" w:fill="FFFFFF"/>
            <w:tcMar>
              <w:left w:w="115" w:type="dxa"/>
              <w:right w:w="115" w:type="dxa"/>
            </w:tcMar>
            <w:vAlign w:val="bottom"/>
          </w:tcPr>
          <w:p w14:paraId="4DF964B7" w14:textId="77777777" w:rsidR="003F0EEA" w:rsidRDefault="003F0EEA">
            <w:pPr>
              <w:jc w:val="right"/>
              <w:rPr>
                <w:rFonts w:ascii="Arial" w:eastAsia="Arial" w:hAnsi="Arial" w:cs="Arial"/>
                <w:color w:val="000000"/>
                <w:sz w:val="16"/>
              </w:rPr>
            </w:pPr>
          </w:p>
        </w:tc>
        <w:tc>
          <w:tcPr>
            <w:tcW w:w="300" w:type="dxa"/>
            <w:tcBorders>
              <w:top w:val="nil"/>
              <w:left w:val="nil"/>
              <w:bottom w:val="nil"/>
              <w:right w:val="nil"/>
              <w:tl2br w:val="nil"/>
              <w:tr2bl w:val="nil"/>
            </w:tcBorders>
            <w:shd w:val="clear" w:color="auto" w:fill="FFFFFF"/>
            <w:tcMar>
              <w:left w:w="115" w:type="dxa"/>
              <w:right w:w="115" w:type="dxa"/>
            </w:tcMar>
            <w:vAlign w:val="bottom"/>
          </w:tcPr>
          <w:p w14:paraId="73999F0A" w14:textId="77777777" w:rsidR="003F0EEA" w:rsidRDefault="00FB7D0B">
            <w:pPr>
              <w:rPr>
                <w:rFonts w:ascii="Arial" w:eastAsia="Arial" w:hAnsi="Arial" w:cs="Arial"/>
                <w:color w:val="000000"/>
                <w:sz w:val="16"/>
              </w:rPr>
            </w:pPr>
            <w:r>
              <w:rPr>
                <w:rFonts w:ascii="Arial" w:eastAsia="Arial" w:hAnsi="Arial" w:cs="Arial"/>
                <w:color w:val="000000"/>
                <w:sz w:val="16"/>
              </w:rPr>
              <w:t xml:space="preserve"> </w:t>
            </w:r>
          </w:p>
        </w:tc>
        <w:tc>
          <w:tcPr>
            <w:tcW w:w="1080" w:type="dxa"/>
            <w:tcBorders>
              <w:top w:val="nil"/>
              <w:left w:val="nil"/>
              <w:bottom w:val="nil"/>
              <w:right w:val="nil"/>
              <w:tl2br w:val="nil"/>
              <w:tr2bl w:val="nil"/>
            </w:tcBorders>
            <w:shd w:val="clear" w:color="auto" w:fill="FFFF00"/>
            <w:tcMar>
              <w:left w:w="115" w:type="dxa"/>
              <w:right w:w="115" w:type="dxa"/>
            </w:tcMar>
            <w:vAlign w:val="bottom"/>
          </w:tcPr>
          <w:p w14:paraId="67772550" w14:textId="77777777" w:rsidR="003F0EEA" w:rsidRDefault="003F0EEA">
            <w:pPr>
              <w:jc w:val="right"/>
              <w:rPr>
                <w:rFonts w:ascii="Arial" w:eastAsia="Arial" w:hAnsi="Arial" w:cs="Arial"/>
                <w:color w:val="000000"/>
                <w:sz w:val="16"/>
              </w:rPr>
            </w:pPr>
          </w:p>
        </w:tc>
        <w:tc>
          <w:tcPr>
            <w:tcW w:w="1230" w:type="dxa"/>
            <w:tcBorders>
              <w:top w:val="nil"/>
              <w:left w:val="nil"/>
              <w:bottom w:val="nil"/>
              <w:right w:val="nil"/>
              <w:tl2br w:val="nil"/>
              <w:tr2bl w:val="nil"/>
            </w:tcBorders>
            <w:shd w:val="clear" w:color="auto" w:fill="FFFFFF"/>
            <w:tcMar>
              <w:left w:w="115" w:type="dxa"/>
              <w:right w:w="115" w:type="dxa"/>
            </w:tcMar>
            <w:vAlign w:val="bottom"/>
          </w:tcPr>
          <w:p w14:paraId="60DF5071" w14:textId="77777777" w:rsidR="003F0EEA" w:rsidRDefault="00FB7D0B">
            <w:pPr>
              <w:jc w:val="right"/>
              <w:rPr>
                <w:rFonts w:ascii="Arial" w:eastAsia="Arial" w:hAnsi="Arial" w:cs="Arial"/>
                <w:color w:val="000000"/>
                <w:sz w:val="16"/>
              </w:rPr>
            </w:pPr>
            <w:r>
              <w:rPr>
                <w:rFonts w:ascii="Arial" w:eastAsia="Arial" w:hAnsi="Arial" w:cs="Arial"/>
                <w:color w:val="000000"/>
                <w:sz w:val="16"/>
              </w:rPr>
              <w:t>appropriation</w:t>
            </w:r>
          </w:p>
        </w:tc>
      </w:tr>
      <w:tr w:rsidR="00724034" w14:paraId="2D25E48E" w14:textId="77777777">
        <w:trPr>
          <w:trHeight w:val="225"/>
        </w:trPr>
        <w:tc>
          <w:tcPr>
            <w:tcW w:w="180" w:type="dxa"/>
            <w:tcBorders>
              <w:top w:val="nil"/>
              <w:left w:val="nil"/>
              <w:bottom w:val="nil"/>
              <w:right w:val="nil"/>
              <w:tl2br w:val="nil"/>
              <w:tr2bl w:val="nil"/>
            </w:tcBorders>
            <w:shd w:val="clear" w:color="auto" w:fill="FFFFFF"/>
            <w:tcMar>
              <w:left w:w="115" w:type="dxa"/>
              <w:right w:w="115" w:type="dxa"/>
            </w:tcMar>
            <w:vAlign w:val="bottom"/>
          </w:tcPr>
          <w:p w14:paraId="00EDB3C9" w14:textId="77777777" w:rsidR="003F0EEA" w:rsidRDefault="003F0EEA">
            <w:pPr>
              <w:rPr>
                <w:rFonts w:ascii="Arial" w:eastAsia="Arial" w:hAnsi="Arial" w:cs="Arial"/>
                <w:color w:val="000000"/>
                <w:sz w:val="16"/>
              </w:rPr>
            </w:pPr>
          </w:p>
        </w:tc>
        <w:tc>
          <w:tcPr>
            <w:tcW w:w="180" w:type="dxa"/>
            <w:tcBorders>
              <w:top w:val="nil"/>
              <w:left w:val="nil"/>
              <w:bottom w:val="nil"/>
              <w:right w:val="nil"/>
              <w:tl2br w:val="nil"/>
              <w:tr2bl w:val="nil"/>
            </w:tcBorders>
            <w:shd w:val="clear" w:color="auto" w:fill="FFFFFF"/>
            <w:tcMar>
              <w:left w:w="115" w:type="dxa"/>
              <w:right w:w="115" w:type="dxa"/>
            </w:tcMar>
            <w:vAlign w:val="bottom"/>
          </w:tcPr>
          <w:p w14:paraId="3A16D24E" w14:textId="77777777" w:rsidR="003F0EEA" w:rsidRDefault="003F0EEA">
            <w:pPr>
              <w:rPr>
                <w:rFonts w:ascii="Arial" w:eastAsia="Arial" w:hAnsi="Arial" w:cs="Arial"/>
                <w:color w:val="000000"/>
                <w:sz w:val="16"/>
              </w:rPr>
            </w:pPr>
          </w:p>
        </w:tc>
        <w:tc>
          <w:tcPr>
            <w:tcW w:w="2520" w:type="dxa"/>
            <w:tcBorders>
              <w:top w:val="nil"/>
              <w:left w:val="nil"/>
              <w:bottom w:val="nil"/>
              <w:right w:val="nil"/>
              <w:tl2br w:val="nil"/>
              <w:tr2bl w:val="nil"/>
            </w:tcBorders>
            <w:shd w:val="clear" w:color="auto" w:fill="FFFFFF"/>
            <w:tcMar>
              <w:left w:w="115" w:type="dxa"/>
              <w:right w:w="115" w:type="dxa"/>
            </w:tcMar>
            <w:vAlign w:val="bottom"/>
          </w:tcPr>
          <w:p w14:paraId="188EBB3A" w14:textId="77777777" w:rsidR="003F0EEA" w:rsidRDefault="003F0EEA">
            <w:pPr>
              <w:rPr>
                <w:rFonts w:ascii="Arial" w:eastAsia="Arial" w:hAnsi="Arial" w:cs="Arial"/>
                <w:color w:val="000000"/>
                <w:sz w:val="16"/>
              </w:rPr>
            </w:pPr>
          </w:p>
        </w:tc>
        <w:tc>
          <w:tcPr>
            <w:tcW w:w="360" w:type="dxa"/>
            <w:tcBorders>
              <w:top w:val="nil"/>
              <w:left w:val="nil"/>
              <w:bottom w:val="nil"/>
              <w:right w:val="nil"/>
              <w:tl2br w:val="nil"/>
              <w:tr2bl w:val="nil"/>
            </w:tcBorders>
            <w:shd w:val="clear" w:color="auto" w:fill="FFFFFF"/>
            <w:tcMar>
              <w:left w:w="115" w:type="dxa"/>
              <w:right w:w="115" w:type="dxa"/>
            </w:tcMar>
            <w:vAlign w:val="bottom"/>
          </w:tcPr>
          <w:p w14:paraId="36B16A8D" w14:textId="77777777" w:rsidR="003F0EEA" w:rsidRDefault="003F0EEA">
            <w:pPr>
              <w:jc w:val="center"/>
              <w:rPr>
                <w:rFonts w:ascii="Arial" w:eastAsia="Arial" w:hAnsi="Arial" w:cs="Arial"/>
                <w:b/>
                <w:color w:val="000000"/>
                <w:sz w:val="16"/>
                <w:vertAlign w:val="superscript"/>
              </w:rPr>
            </w:pPr>
          </w:p>
        </w:tc>
        <w:tc>
          <w:tcPr>
            <w:tcW w:w="1230" w:type="dxa"/>
            <w:tcBorders>
              <w:top w:val="nil"/>
              <w:left w:val="nil"/>
              <w:bottom w:val="nil"/>
              <w:right w:val="nil"/>
              <w:tl2br w:val="nil"/>
              <w:tr2bl w:val="nil"/>
            </w:tcBorders>
            <w:shd w:val="clear" w:color="auto" w:fill="FFFFFF"/>
            <w:tcMar>
              <w:left w:w="115" w:type="dxa"/>
              <w:right w:w="115" w:type="dxa"/>
            </w:tcMar>
            <w:vAlign w:val="bottom"/>
          </w:tcPr>
          <w:p w14:paraId="4F516BD4" w14:textId="77777777" w:rsidR="003F0EEA" w:rsidRDefault="00FB7D0B">
            <w:pPr>
              <w:jc w:val="right"/>
              <w:rPr>
                <w:rFonts w:ascii="Arial" w:eastAsia="Arial" w:hAnsi="Arial" w:cs="Arial"/>
                <w:b/>
                <w:color w:val="000000"/>
                <w:sz w:val="16"/>
                <w:vertAlign w:val="superscript"/>
              </w:rPr>
            </w:pPr>
            <w:r>
              <w:rPr>
                <w:rFonts w:ascii="Arial" w:eastAsia="Arial" w:hAnsi="Arial" w:cs="Arial"/>
                <w:color w:val="000000"/>
                <w:sz w:val="16"/>
              </w:rPr>
              <w:t>available in</w:t>
            </w:r>
          </w:p>
        </w:tc>
        <w:tc>
          <w:tcPr>
            <w:tcW w:w="330" w:type="dxa"/>
            <w:tcBorders>
              <w:top w:val="nil"/>
              <w:left w:val="nil"/>
              <w:bottom w:val="nil"/>
              <w:right w:val="nil"/>
              <w:tl2br w:val="nil"/>
              <w:tr2bl w:val="nil"/>
            </w:tcBorders>
            <w:shd w:val="clear" w:color="auto" w:fill="FFFFFF"/>
            <w:tcMar>
              <w:left w:w="115" w:type="dxa"/>
              <w:right w:w="115" w:type="dxa"/>
            </w:tcMar>
            <w:vAlign w:val="bottom"/>
          </w:tcPr>
          <w:p w14:paraId="01A27E3C" w14:textId="77777777" w:rsidR="003F0EEA" w:rsidRDefault="00FB7D0B">
            <w:pPr>
              <w:rPr>
                <w:rFonts w:ascii="Arial" w:eastAsia="Arial" w:hAnsi="Arial" w:cs="Arial"/>
                <w:color w:val="000000"/>
                <w:sz w:val="16"/>
              </w:rPr>
            </w:pPr>
            <w:r>
              <w:rPr>
                <w:rFonts w:ascii="Arial" w:eastAsia="Arial" w:hAnsi="Arial" w:cs="Arial"/>
                <w:color w:val="000000"/>
                <w:sz w:val="16"/>
              </w:rPr>
              <w:t xml:space="preserve"> </w:t>
            </w:r>
          </w:p>
        </w:tc>
        <w:tc>
          <w:tcPr>
            <w:tcW w:w="1080" w:type="dxa"/>
            <w:tcBorders>
              <w:top w:val="nil"/>
              <w:left w:val="nil"/>
              <w:bottom w:val="nil"/>
              <w:right w:val="nil"/>
              <w:tl2br w:val="nil"/>
              <w:tr2bl w:val="nil"/>
            </w:tcBorders>
            <w:shd w:val="clear" w:color="auto" w:fill="FFFFFF"/>
            <w:tcMar>
              <w:left w:w="115" w:type="dxa"/>
              <w:right w:w="115" w:type="dxa"/>
            </w:tcMar>
            <w:vAlign w:val="bottom"/>
          </w:tcPr>
          <w:p w14:paraId="51D16B95" w14:textId="77777777" w:rsidR="003F0EEA" w:rsidRDefault="003F0EEA">
            <w:pPr>
              <w:jc w:val="right"/>
              <w:rPr>
                <w:rFonts w:ascii="Arial" w:eastAsia="Arial" w:hAnsi="Arial" w:cs="Arial"/>
                <w:color w:val="000000"/>
                <w:sz w:val="16"/>
              </w:rPr>
            </w:pPr>
          </w:p>
        </w:tc>
        <w:tc>
          <w:tcPr>
            <w:tcW w:w="300" w:type="dxa"/>
            <w:tcBorders>
              <w:top w:val="nil"/>
              <w:left w:val="nil"/>
              <w:bottom w:val="nil"/>
              <w:right w:val="nil"/>
              <w:tl2br w:val="nil"/>
              <w:tr2bl w:val="nil"/>
            </w:tcBorders>
            <w:shd w:val="clear" w:color="auto" w:fill="FFFFFF"/>
            <w:tcMar>
              <w:left w:w="115" w:type="dxa"/>
              <w:right w:w="115" w:type="dxa"/>
            </w:tcMar>
            <w:vAlign w:val="bottom"/>
          </w:tcPr>
          <w:p w14:paraId="6A191E46" w14:textId="77777777" w:rsidR="003F0EEA" w:rsidRDefault="00FB7D0B">
            <w:pPr>
              <w:rPr>
                <w:rFonts w:ascii="Arial" w:eastAsia="Arial" w:hAnsi="Arial" w:cs="Arial"/>
                <w:color w:val="000000"/>
                <w:sz w:val="16"/>
              </w:rPr>
            </w:pPr>
            <w:r>
              <w:rPr>
                <w:rFonts w:ascii="Arial" w:eastAsia="Arial" w:hAnsi="Arial" w:cs="Arial"/>
                <w:color w:val="000000"/>
                <w:sz w:val="16"/>
              </w:rPr>
              <w:t xml:space="preserve"> </w:t>
            </w:r>
          </w:p>
        </w:tc>
        <w:tc>
          <w:tcPr>
            <w:tcW w:w="1080" w:type="dxa"/>
            <w:tcBorders>
              <w:top w:val="nil"/>
              <w:left w:val="nil"/>
              <w:bottom w:val="nil"/>
              <w:right w:val="nil"/>
              <w:tl2br w:val="nil"/>
              <w:tr2bl w:val="nil"/>
            </w:tcBorders>
            <w:shd w:val="clear" w:color="auto" w:fill="FFFF00"/>
            <w:tcMar>
              <w:left w:w="115" w:type="dxa"/>
              <w:right w:w="115" w:type="dxa"/>
            </w:tcMar>
            <w:vAlign w:val="bottom"/>
          </w:tcPr>
          <w:p w14:paraId="60AB655B" w14:textId="77777777" w:rsidR="003F0EEA" w:rsidRDefault="003F0EEA">
            <w:pPr>
              <w:jc w:val="right"/>
              <w:rPr>
                <w:rFonts w:ascii="Arial" w:eastAsia="Arial" w:hAnsi="Arial" w:cs="Arial"/>
                <w:color w:val="000000"/>
                <w:sz w:val="16"/>
              </w:rPr>
            </w:pPr>
          </w:p>
        </w:tc>
        <w:tc>
          <w:tcPr>
            <w:tcW w:w="1230" w:type="dxa"/>
            <w:tcBorders>
              <w:top w:val="nil"/>
              <w:left w:val="nil"/>
              <w:bottom w:val="nil"/>
              <w:right w:val="nil"/>
              <w:tl2br w:val="nil"/>
              <w:tr2bl w:val="nil"/>
            </w:tcBorders>
            <w:shd w:val="clear" w:color="auto" w:fill="FFFFFF"/>
            <w:tcMar>
              <w:left w:w="115" w:type="dxa"/>
              <w:right w:w="115" w:type="dxa"/>
            </w:tcMar>
            <w:vAlign w:val="bottom"/>
          </w:tcPr>
          <w:p w14:paraId="2A5C2C8D" w14:textId="77777777" w:rsidR="003F0EEA" w:rsidRDefault="003F0EEA">
            <w:pPr>
              <w:jc w:val="right"/>
              <w:rPr>
                <w:rFonts w:ascii="Arial" w:eastAsia="Arial" w:hAnsi="Arial" w:cs="Arial"/>
                <w:color w:val="000000"/>
                <w:sz w:val="16"/>
              </w:rPr>
            </w:pPr>
          </w:p>
        </w:tc>
      </w:tr>
      <w:tr w:rsidR="00724034" w14:paraId="0735834D" w14:textId="77777777">
        <w:trPr>
          <w:trHeight w:val="225"/>
        </w:trPr>
        <w:tc>
          <w:tcPr>
            <w:tcW w:w="180" w:type="dxa"/>
            <w:tcBorders>
              <w:top w:val="nil"/>
              <w:left w:val="nil"/>
              <w:bottom w:val="nil"/>
              <w:right w:val="nil"/>
              <w:tl2br w:val="nil"/>
              <w:tr2bl w:val="nil"/>
            </w:tcBorders>
            <w:shd w:val="clear" w:color="auto" w:fill="FFFFFF"/>
            <w:tcMar>
              <w:left w:w="115" w:type="dxa"/>
              <w:right w:w="115" w:type="dxa"/>
            </w:tcMar>
            <w:vAlign w:val="bottom"/>
          </w:tcPr>
          <w:p w14:paraId="21BDF26E" w14:textId="77777777" w:rsidR="003F0EEA" w:rsidRDefault="003F0EEA">
            <w:pPr>
              <w:rPr>
                <w:rFonts w:ascii="Arial" w:eastAsia="Arial" w:hAnsi="Arial" w:cs="Arial"/>
                <w:color w:val="000000"/>
                <w:sz w:val="16"/>
              </w:rPr>
            </w:pPr>
          </w:p>
        </w:tc>
        <w:tc>
          <w:tcPr>
            <w:tcW w:w="180" w:type="dxa"/>
            <w:tcBorders>
              <w:top w:val="nil"/>
              <w:left w:val="nil"/>
              <w:bottom w:val="nil"/>
              <w:right w:val="nil"/>
              <w:tl2br w:val="nil"/>
              <w:tr2bl w:val="nil"/>
            </w:tcBorders>
            <w:shd w:val="clear" w:color="auto" w:fill="FFFFFF"/>
            <w:tcMar>
              <w:left w:w="115" w:type="dxa"/>
              <w:right w:w="115" w:type="dxa"/>
            </w:tcMar>
            <w:vAlign w:val="bottom"/>
          </w:tcPr>
          <w:p w14:paraId="0F0A2D72" w14:textId="77777777" w:rsidR="003F0EEA" w:rsidRDefault="003F0EEA">
            <w:pPr>
              <w:rPr>
                <w:rFonts w:ascii="Arial" w:eastAsia="Arial" w:hAnsi="Arial" w:cs="Arial"/>
                <w:color w:val="000000"/>
                <w:sz w:val="16"/>
              </w:rPr>
            </w:pPr>
          </w:p>
        </w:tc>
        <w:tc>
          <w:tcPr>
            <w:tcW w:w="2520" w:type="dxa"/>
            <w:tcBorders>
              <w:top w:val="nil"/>
              <w:left w:val="nil"/>
              <w:bottom w:val="nil"/>
              <w:right w:val="nil"/>
              <w:tl2br w:val="nil"/>
              <w:tr2bl w:val="nil"/>
            </w:tcBorders>
            <w:shd w:val="clear" w:color="auto" w:fill="FFFFFF"/>
            <w:tcMar>
              <w:left w:w="115" w:type="dxa"/>
              <w:right w:w="115" w:type="dxa"/>
            </w:tcMar>
            <w:vAlign w:val="bottom"/>
          </w:tcPr>
          <w:p w14:paraId="147E2CD5" w14:textId="77777777" w:rsidR="003F0EEA" w:rsidRDefault="003F0EEA">
            <w:pPr>
              <w:jc w:val="right"/>
              <w:rPr>
                <w:rFonts w:ascii="Arial" w:eastAsia="Arial" w:hAnsi="Arial" w:cs="Arial"/>
                <w:color w:val="000000"/>
                <w:sz w:val="16"/>
              </w:rPr>
            </w:pPr>
          </w:p>
        </w:tc>
        <w:tc>
          <w:tcPr>
            <w:tcW w:w="360" w:type="dxa"/>
            <w:tcBorders>
              <w:top w:val="nil"/>
              <w:left w:val="nil"/>
              <w:bottom w:val="nil"/>
              <w:right w:val="nil"/>
              <w:tl2br w:val="nil"/>
              <w:tr2bl w:val="nil"/>
            </w:tcBorders>
            <w:shd w:val="clear" w:color="auto" w:fill="FFFFFF"/>
            <w:tcMar>
              <w:left w:w="115" w:type="dxa"/>
              <w:right w:w="115" w:type="dxa"/>
            </w:tcMar>
            <w:vAlign w:val="bottom"/>
          </w:tcPr>
          <w:p w14:paraId="478AA69E" w14:textId="77777777" w:rsidR="003F0EEA" w:rsidRDefault="003F0EEA">
            <w:pPr>
              <w:jc w:val="center"/>
              <w:rPr>
                <w:rFonts w:ascii="Arial" w:eastAsia="Arial" w:hAnsi="Arial" w:cs="Arial"/>
                <w:b/>
                <w:color w:val="000000"/>
                <w:sz w:val="16"/>
                <w:vertAlign w:val="superscript"/>
              </w:rPr>
            </w:pPr>
          </w:p>
        </w:tc>
        <w:tc>
          <w:tcPr>
            <w:tcW w:w="1230" w:type="dxa"/>
            <w:tcBorders>
              <w:top w:val="nil"/>
              <w:left w:val="nil"/>
              <w:bottom w:val="nil"/>
              <w:right w:val="nil"/>
              <w:tl2br w:val="nil"/>
              <w:tr2bl w:val="nil"/>
            </w:tcBorders>
            <w:shd w:val="clear" w:color="auto" w:fill="FFFFFF"/>
            <w:tcMar>
              <w:left w:w="115" w:type="dxa"/>
              <w:right w:w="115" w:type="dxa"/>
            </w:tcMar>
            <w:vAlign w:val="bottom"/>
          </w:tcPr>
          <w:p w14:paraId="2D26E0EE" w14:textId="77777777" w:rsidR="003F0EEA" w:rsidRDefault="00FB7D0B">
            <w:pPr>
              <w:jc w:val="right"/>
              <w:rPr>
                <w:rFonts w:ascii="Arial" w:eastAsia="Arial" w:hAnsi="Arial" w:cs="Arial"/>
                <w:b/>
                <w:color w:val="000000"/>
                <w:sz w:val="16"/>
                <w:vertAlign w:val="superscript"/>
              </w:rPr>
            </w:pPr>
            <w:r>
              <w:rPr>
                <w:rFonts w:ascii="Arial" w:eastAsia="Arial" w:hAnsi="Arial" w:cs="Arial"/>
                <w:color w:val="000000"/>
                <w:sz w:val="16"/>
              </w:rPr>
              <w:t>2014-15</w:t>
            </w:r>
          </w:p>
        </w:tc>
        <w:tc>
          <w:tcPr>
            <w:tcW w:w="330" w:type="dxa"/>
            <w:tcBorders>
              <w:top w:val="nil"/>
              <w:left w:val="nil"/>
              <w:bottom w:val="nil"/>
              <w:right w:val="nil"/>
              <w:tl2br w:val="nil"/>
              <w:tr2bl w:val="nil"/>
            </w:tcBorders>
            <w:shd w:val="clear" w:color="auto" w:fill="FFFFFF"/>
            <w:tcMar>
              <w:left w:w="115" w:type="dxa"/>
              <w:right w:w="115" w:type="dxa"/>
            </w:tcMar>
            <w:vAlign w:val="bottom"/>
          </w:tcPr>
          <w:p w14:paraId="478FC2A8" w14:textId="77777777" w:rsidR="003F0EEA" w:rsidRDefault="00FB7D0B">
            <w:pPr>
              <w:rPr>
                <w:rFonts w:ascii="Arial" w:eastAsia="Arial" w:hAnsi="Arial" w:cs="Arial"/>
                <w:color w:val="000000"/>
                <w:sz w:val="16"/>
              </w:rPr>
            </w:pPr>
            <w:r>
              <w:rPr>
                <w:rFonts w:ascii="Arial" w:eastAsia="Arial" w:hAnsi="Arial" w:cs="Arial"/>
                <w:color w:val="000000"/>
                <w:sz w:val="16"/>
              </w:rPr>
              <w:t xml:space="preserve"> </w:t>
            </w:r>
          </w:p>
        </w:tc>
        <w:tc>
          <w:tcPr>
            <w:tcW w:w="1080" w:type="dxa"/>
            <w:tcBorders>
              <w:top w:val="nil"/>
              <w:left w:val="nil"/>
              <w:bottom w:val="nil"/>
              <w:right w:val="nil"/>
              <w:tl2br w:val="nil"/>
              <w:tr2bl w:val="nil"/>
            </w:tcBorders>
            <w:shd w:val="clear" w:color="auto" w:fill="FFFFFF"/>
            <w:tcMar>
              <w:left w:w="115" w:type="dxa"/>
              <w:right w:w="115" w:type="dxa"/>
            </w:tcMar>
            <w:vAlign w:val="bottom"/>
          </w:tcPr>
          <w:p w14:paraId="712B89B6" w14:textId="77777777" w:rsidR="003F0EEA" w:rsidRDefault="00FB7D0B">
            <w:pPr>
              <w:jc w:val="right"/>
              <w:rPr>
                <w:rFonts w:ascii="Arial" w:eastAsia="Arial" w:hAnsi="Arial" w:cs="Arial"/>
                <w:color w:val="000000"/>
                <w:sz w:val="16"/>
              </w:rPr>
            </w:pPr>
            <w:r>
              <w:rPr>
                <w:rFonts w:ascii="Arial" w:eastAsia="Arial" w:hAnsi="Arial" w:cs="Arial"/>
                <w:color w:val="000000"/>
                <w:sz w:val="16"/>
              </w:rPr>
              <w:t>2014-15</w:t>
            </w:r>
          </w:p>
        </w:tc>
        <w:tc>
          <w:tcPr>
            <w:tcW w:w="300" w:type="dxa"/>
            <w:tcBorders>
              <w:top w:val="nil"/>
              <w:left w:val="nil"/>
              <w:bottom w:val="nil"/>
              <w:right w:val="nil"/>
              <w:tl2br w:val="nil"/>
              <w:tr2bl w:val="nil"/>
            </w:tcBorders>
            <w:shd w:val="clear" w:color="auto" w:fill="FFFFFF"/>
            <w:tcMar>
              <w:left w:w="115" w:type="dxa"/>
              <w:right w:w="115" w:type="dxa"/>
            </w:tcMar>
            <w:vAlign w:val="bottom"/>
          </w:tcPr>
          <w:p w14:paraId="2E4EED6D" w14:textId="77777777" w:rsidR="003F0EEA" w:rsidRDefault="00FB7D0B">
            <w:pPr>
              <w:rPr>
                <w:rFonts w:ascii="Arial" w:eastAsia="Arial" w:hAnsi="Arial" w:cs="Arial"/>
                <w:color w:val="000000"/>
                <w:sz w:val="16"/>
              </w:rPr>
            </w:pPr>
            <w:r>
              <w:rPr>
                <w:rFonts w:ascii="Arial" w:eastAsia="Arial" w:hAnsi="Arial" w:cs="Arial"/>
                <w:color w:val="000000"/>
                <w:sz w:val="16"/>
              </w:rPr>
              <w:t xml:space="preserve"> </w:t>
            </w:r>
          </w:p>
        </w:tc>
        <w:tc>
          <w:tcPr>
            <w:tcW w:w="1080" w:type="dxa"/>
            <w:tcBorders>
              <w:top w:val="nil"/>
              <w:left w:val="nil"/>
              <w:bottom w:val="nil"/>
              <w:right w:val="nil"/>
              <w:tl2br w:val="nil"/>
              <w:tr2bl w:val="nil"/>
            </w:tcBorders>
            <w:shd w:val="clear" w:color="auto" w:fill="FFFF00"/>
            <w:tcMar>
              <w:left w:w="115" w:type="dxa"/>
              <w:right w:w="115" w:type="dxa"/>
            </w:tcMar>
            <w:vAlign w:val="bottom"/>
          </w:tcPr>
          <w:p w14:paraId="24F72E10" w14:textId="77777777" w:rsidR="003F0EEA" w:rsidRDefault="00FB7D0B">
            <w:pPr>
              <w:jc w:val="right"/>
              <w:rPr>
                <w:rFonts w:ascii="Arial" w:eastAsia="Arial" w:hAnsi="Arial" w:cs="Arial"/>
                <w:color w:val="000000"/>
                <w:sz w:val="16"/>
              </w:rPr>
            </w:pPr>
            <w:r>
              <w:rPr>
                <w:rFonts w:ascii="Arial" w:eastAsia="Arial" w:hAnsi="Arial" w:cs="Arial"/>
                <w:color w:val="000000"/>
                <w:sz w:val="16"/>
              </w:rPr>
              <w:t>2014-15</w:t>
            </w:r>
          </w:p>
        </w:tc>
        <w:tc>
          <w:tcPr>
            <w:tcW w:w="1230" w:type="dxa"/>
            <w:tcBorders>
              <w:top w:val="nil"/>
              <w:left w:val="nil"/>
              <w:bottom w:val="nil"/>
              <w:right w:val="nil"/>
              <w:tl2br w:val="nil"/>
              <w:tr2bl w:val="nil"/>
            </w:tcBorders>
            <w:shd w:val="clear" w:color="auto" w:fill="FFFFFF"/>
            <w:tcMar>
              <w:left w:w="115" w:type="dxa"/>
              <w:right w:w="115" w:type="dxa"/>
            </w:tcMar>
            <w:vAlign w:val="bottom"/>
          </w:tcPr>
          <w:p w14:paraId="39AEEFE2" w14:textId="77777777" w:rsidR="003F0EEA" w:rsidRDefault="00FB7D0B">
            <w:pPr>
              <w:jc w:val="right"/>
              <w:rPr>
                <w:rFonts w:ascii="Arial" w:eastAsia="Arial" w:hAnsi="Arial" w:cs="Arial"/>
                <w:color w:val="000000"/>
                <w:sz w:val="16"/>
              </w:rPr>
            </w:pPr>
            <w:r>
              <w:rPr>
                <w:rFonts w:ascii="Arial" w:eastAsia="Arial" w:hAnsi="Arial" w:cs="Arial"/>
                <w:color w:val="000000"/>
                <w:sz w:val="16"/>
              </w:rPr>
              <w:t>2013-14</w:t>
            </w:r>
          </w:p>
        </w:tc>
      </w:tr>
      <w:tr w:rsidR="00724034" w14:paraId="6247EE68" w14:textId="77777777">
        <w:trPr>
          <w:trHeight w:val="225"/>
        </w:trPr>
        <w:tc>
          <w:tcPr>
            <w:tcW w:w="180" w:type="dxa"/>
            <w:tcBorders>
              <w:top w:val="nil"/>
              <w:left w:val="nil"/>
              <w:bottom w:val="nil"/>
              <w:right w:val="nil"/>
              <w:tl2br w:val="nil"/>
              <w:tr2bl w:val="nil"/>
            </w:tcBorders>
            <w:shd w:val="clear" w:color="auto" w:fill="FFFFFF"/>
            <w:tcMar>
              <w:left w:w="115" w:type="dxa"/>
              <w:right w:w="115" w:type="dxa"/>
            </w:tcMar>
            <w:vAlign w:val="bottom"/>
          </w:tcPr>
          <w:p w14:paraId="2AFADE6A" w14:textId="77777777" w:rsidR="003F0EEA" w:rsidRDefault="003F0EEA">
            <w:pPr>
              <w:rPr>
                <w:rFonts w:ascii="Arial" w:eastAsia="Arial" w:hAnsi="Arial" w:cs="Arial"/>
                <w:color w:val="000000"/>
                <w:sz w:val="16"/>
              </w:rPr>
            </w:pPr>
          </w:p>
        </w:tc>
        <w:tc>
          <w:tcPr>
            <w:tcW w:w="180" w:type="dxa"/>
            <w:tcBorders>
              <w:top w:val="nil"/>
              <w:left w:val="nil"/>
              <w:bottom w:val="nil"/>
              <w:right w:val="nil"/>
              <w:tl2br w:val="nil"/>
              <w:tr2bl w:val="nil"/>
            </w:tcBorders>
            <w:shd w:val="clear" w:color="auto" w:fill="FFFFFF"/>
            <w:tcMar>
              <w:left w:w="115" w:type="dxa"/>
              <w:right w:w="115" w:type="dxa"/>
            </w:tcMar>
            <w:vAlign w:val="bottom"/>
          </w:tcPr>
          <w:p w14:paraId="7533603F" w14:textId="77777777" w:rsidR="003F0EEA" w:rsidRDefault="003F0EEA">
            <w:pPr>
              <w:rPr>
                <w:rFonts w:ascii="Arial" w:eastAsia="Arial" w:hAnsi="Arial" w:cs="Arial"/>
                <w:color w:val="000000"/>
                <w:sz w:val="16"/>
              </w:rPr>
            </w:pPr>
          </w:p>
        </w:tc>
        <w:tc>
          <w:tcPr>
            <w:tcW w:w="2520" w:type="dxa"/>
            <w:tcBorders>
              <w:top w:val="nil"/>
              <w:left w:val="nil"/>
              <w:bottom w:val="nil"/>
              <w:right w:val="nil"/>
              <w:tl2br w:val="nil"/>
              <w:tr2bl w:val="nil"/>
            </w:tcBorders>
            <w:shd w:val="clear" w:color="auto" w:fill="FFFFFF"/>
            <w:tcMar>
              <w:left w:w="115" w:type="dxa"/>
              <w:right w:w="115" w:type="dxa"/>
            </w:tcMar>
            <w:vAlign w:val="bottom"/>
          </w:tcPr>
          <w:p w14:paraId="4F0045A0" w14:textId="77777777" w:rsidR="003F0EEA" w:rsidRDefault="003F0EEA">
            <w:pPr>
              <w:rPr>
                <w:rFonts w:ascii="Arial" w:eastAsia="Arial" w:hAnsi="Arial" w:cs="Arial"/>
                <w:color w:val="000000"/>
                <w:sz w:val="16"/>
              </w:rPr>
            </w:pPr>
          </w:p>
        </w:tc>
        <w:tc>
          <w:tcPr>
            <w:tcW w:w="360" w:type="dxa"/>
            <w:tcBorders>
              <w:top w:val="nil"/>
              <w:left w:val="nil"/>
              <w:bottom w:val="nil"/>
              <w:right w:val="nil"/>
              <w:tl2br w:val="nil"/>
              <w:tr2bl w:val="nil"/>
            </w:tcBorders>
            <w:shd w:val="clear" w:color="auto" w:fill="FFFFFF"/>
            <w:tcMar>
              <w:left w:w="115" w:type="dxa"/>
              <w:right w:w="115" w:type="dxa"/>
            </w:tcMar>
            <w:vAlign w:val="bottom"/>
          </w:tcPr>
          <w:p w14:paraId="587BE4F6" w14:textId="77777777" w:rsidR="003F0EEA" w:rsidRDefault="003F0EEA">
            <w:pPr>
              <w:jc w:val="center"/>
              <w:rPr>
                <w:rFonts w:ascii="Arial" w:eastAsia="Arial" w:hAnsi="Arial" w:cs="Arial"/>
                <w:color w:val="000000"/>
                <w:sz w:val="16"/>
                <w:vertAlign w:val="superscript"/>
              </w:rPr>
            </w:pPr>
          </w:p>
        </w:tc>
        <w:tc>
          <w:tcPr>
            <w:tcW w:w="1230" w:type="dxa"/>
            <w:tcBorders>
              <w:top w:val="nil"/>
              <w:left w:val="nil"/>
              <w:bottom w:val="single" w:sz="6" w:space="0" w:color="000000"/>
              <w:right w:val="nil"/>
              <w:tl2br w:val="nil"/>
              <w:tr2bl w:val="nil"/>
            </w:tcBorders>
            <w:shd w:val="clear" w:color="auto" w:fill="FFFFFF"/>
            <w:tcMar>
              <w:left w:w="115" w:type="dxa"/>
              <w:right w:w="115" w:type="dxa"/>
            </w:tcMar>
          </w:tcPr>
          <w:p w14:paraId="240BA968" w14:textId="77777777" w:rsidR="003F0EEA" w:rsidRDefault="00FB7D0B">
            <w:pPr>
              <w:jc w:val="right"/>
              <w:rPr>
                <w:rFonts w:ascii="Arial" w:eastAsia="Arial" w:hAnsi="Arial" w:cs="Arial"/>
                <w:color w:val="000000"/>
                <w:sz w:val="16"/>
                <w:vertAlign w:val="superscript"/>
              </w:rPr>
            </w:pPr>
            <w:r>
              <w:rPr>
                <w:rFonts w:ascii="Arial" w:eastAsia="Arial" w:hAnsi="Arial" w:cs="Arial"/>
                <w:color w:val="000000"/>
                <w:sz w:val="16"/>
              </w:rPr>
              <w:t>$'000</w:t>
            </w:r>
          </w:p>
        </w:tc>
        <w:tc>
          <w:tcPr>
            <w:tcW w:w="330"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6E6EADCE" w14:textId="77777777" w:rsidR="003F0EEA" w:rsidRDefault="00FB7D0B">
            <w:pPr>
              <w:rPr>
                <w:rFonts w:ascii="Arial" w:eastAsia="Arial" w:hAnsi="Arial" w:cs="Arial"/>
                <w:color w:val="000000"/>
                <w:sz w:val="16"/>
              </w:rPr>
            </w:pPr>
            <w:r>
              <w:rPr>
                <w:rFonts w:ascii="Arial" w:eastAsia="Arial" w:hAnsi="Arial" w:cs="Arial"/>
                <w:b/>
                <w:color w:val="000000"/>
                <w:sz w:val="16"/>
              </w:rPr>
              <w:t xml:space="preserve"> </w:t>
            </w:r>
          </w:p>
        </w:tc>
        <w:tc>
          <w:tcPr>
            <w:tcW w:w="1080" w:type="dxa"/>
            <w:tcBorders>
              <w:top w:val="nil"/>
              <w:left w:val="nil"/>
              <w:bottom w:val="single" w:sz="6" w:space="0" w:color="000000"/>
              <w:right w:val="nil"/>
              <w:tl2br w:val="nil"/>
              <w:tr2bl w:val="nil"/>
            </w:tcBorders>
            <w:shd w:val="clear" w:color="auto" w:fill="FFFFFF"/>
            <w:tcMar>
              <w:left w:w="115" w:type="dxa"/>
              <w:right w:w="115" w:type="dxa"/>
            </w:tcMar>
          </w:tcPr>
          <w:p w14:paraId="270EAC6D" w14:textId="77777777" w:rsidR="003F0EEA" w:rsidRDefault="00FB7D0B">
            <w:pPr>
              <w:jc w:val="right"/>
              <w:rPr>
                <w:rFonts w:ascii="Arial" w:eastAsia="Arial" w:hAnsi="Arial" w:cs="Arial"/>
                <w:b/>
                <w:color w:val="000000"/>
                <w:sz w:val="16"/>
              </w:rPr>
            </w:pPr>
            <w:r>
              <w:rPr>
                <w:rFonts w:ascii="Arial" w:eastAsia="Arial" w:hAnsi="Arial" w:cs="Arial"/>
                <w:color w:val="000000"/>
                <w:sz w:val="16"/>
              </w:rPr>
              <w:t>$'000</w:t>
            </w:r>
          </w:p>
        </w:tc>
        <w:tc>
          <w:tcPr>
            <w:tcW w:w="300"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78F99D59" w14:textId="77777777" w:rsidR="003F0EEA" w:rsidRDefault="00FB7D0B">
            <w:pPr>
              <w:rPr>
                <w:rFonts w:ascii="Arial" w:eastAsia="Arial" w:hAnsi="Arial" w:cs="Arial"/>
                <w:color w:val="000000"/>
                <w:sz w:val="16"/>
              </w:rPr>
            </w:pPr>
            <w:r>
              <w:rPr>
                <w:rFonts w:ascii="Arial" w:eastAsia="Arial" w:hAnsi="Arial" w:cs="Arial"/>
                <w:b/>
                <w:color w:val="000000"/>
                <w:sz w:val="16"/>
              </w:rPr>
              <w:t xml:space="preserve"> </w:t>
            </w:r>
          </w:p>
        </w:tc>
        <w:tc>
          <w:tcPr>
            <w:tcW w:w="1080" w:type="dxa"/>
            <w:tcBorders>
              <w:top w:val="nil"/>
              <w:left w:val="nil"/>
              <w:bottom w:val="single" w:sz="6" w:space="0" w:color="000000"/>
              <w:right w:val="nil"/>
              <w:tl2br w:val="nil"/>
              <w:tr2bl w:val="nil"/>
            </w:tcBorders>
            <w:shd w:val="clear" w:color="auto" w:fill="FFFF00"/>
            <w:tcMar>
              <w:left w:w="115" w:type="dxa"/>
              <w:right w:w="115" w:type="dxa"/>
            </w:tcMar>
          </w:tcPr>
          <w:p w14:paraId="1B1651AD" w14:textId="77777777" w:rsidR="003F0EEA" w:rsidRDefault="00FB7D0B">
            <w:pPr>
              <w:jc w:val="right"/>
              <w:rPr>
                <w:rFonts w:ascii="Arial" w:eastAsia="Arial" w:hAnsi="Arial" w:cs="Arial"/>
                <w:b/>
                <w:color w:val="000000"/>
                <w:sz w:val="16"/>
              </w:rPr>
            </w:pPr>
            <w:r>
              <w:rPr>
                <w:rFonts w:ascii="Arial" w:eastAsia="Arial" w:hAnsi="Arial" w:cs="Arial"/>
                <w:color w:val="000000"/>
                <w:sz w:val="16"/>
              </w:rPr>
              <w:t>$'000</w:t>
            </w:r>
          </w:p>
        </w:tc>
        <w:tc>
          <w:tcPr>
            <w:tcW w:w="1230" w:type="dxa"/>
            <w:tcBorders>
              <w:top w:val="nil"/>
              <w:left w:val="nil"/>
              <w:bottom w:val="single" w:sz="6" w:space="0" w:color="000000"/>
              <w:right w:val="nil"/>
              <w:tl2br w:val="nil"/>
              <w:tr2bl w:val="nil"/>
            </w:tcBorders>
            <w:shd w:val="clear" w:color="auto" w:fill="FFFFFF"/>
            <w:tcMar>
              <w:left w:w="115" w:type="dxa"/>
              <w:right w:w="115" w:type="dxa"/>
            </w:tcMar>
          </w:tcPr>
          <w:p w14:paraId="42481484" w14:textId="77777777" w:rsidR="003F0EEA" w:rsidRDefault="00FB7D0B">
            <w:pPr>
              <w:jc w:val="right"/>
              <w:rPr>
                <w:rFonts w:ascii="Arial" w:eastAsia="Arial" w:hAnsi="Arial" w:cs="Arial"/>
                <w:color w:val="000000"/>
                <w:sz w:val="16"/>
              </w:rPr>
            </w:pPr>
            <w:r>
              <w:rPr>
                <w:rFonts w:ascii="Arial" w:eastAsia="Arial" w:hAnsi="Arial" w:cs="Arial"/>
                <w:color w:val="000000"/>
                <w:sz w:val="16"/>
              </w:rPr>
              <w:t>$'000</w:t>
            </w:r>
          </w:p>
        </w:tc>
      </w:tr>
      <w:tr w:rsidR="00FB7D0B" w14:paraId="65AC3BAB" w14:textId="77777777" w:rsidTr="00FB7D0B">
        <w:trPr>
          <w:trHeight w:val="225"/>
        </w:trPr>
        <w:tc>
          <w:tcPr>
            <w:tcW w:w="2880" w:type="dxa"/>
            <w:gridSpan w:val="3"/>
            <w:tcBorders>
              <w:top w:val="nil"/>
              <w:left w:val="nil"/>
              <w:bottom w:val="nil"/>
              <w:right w:val="nil"/>
              <w:tl2br w:val="nil"/>
              <w:tr2bl w:val="nil"/>
            </w:tcBorders>
            <w:shd w:val="clear" w:color="auto" w:fill="FFFFFF"/>
            <w:tcMar>
              <w:left w:w="115" w:type="dxa"/>
              <w:right w:w="115" w:type="dxa"/>
            </w:tcMar>
            <w:vAlign w:val="bottom"/>
          </w:tcPr>
          <w:p w14:paraId="7C91FF8B" w14:textId="77777777" w:rsidR="003F0EEA" w:rsidRDefault="00FB7D0B">
            <w:pPr>
              <w:rPr>
                <w:rFonts w:ascii="Arial" w:eastAsia="Arial" w:hAnsi="Arial" w:cs="Arial"/>
                <w:color w:val="000000"/>
                <w:sz w:val="16"/>
              </w:rPr>
            </w:pPr>
            <w:r>
              <w:rPr>
                <w:rFonts w:ascii="Arial" w:eastAsia="Arial" w:hAnsi="Arial" w:cs="Arial"/>
                <w:b/>
                <w:color w:val="000000"/>
                <w:sz w:val="16"/>
              </w:rPr>
              <w:t>Special Accounts</w:t>
            </w:r>
          </w:p>
        </w:tc>
        <w:tc>
          <w:tcPr>
            <w:tcW w:w="360" w:type="dxa"/>
            <w:tcBorders>
              <w:top w:val="nil"/>
              <w:left w:val="nil"/>
              <w:bottom w:val="nil"/>
              <w:right w:val="nil"/>
              <w:tl2br w:val="nil"/>
              <w:tr2bl w:val="nil"/>
            </w:tcBorders>
            <w:shd w:val="clear" w:color="auto" w:fill="FFFFFF"/>
            <w:tcMar>
              <w:left w:w="115" w:type="dxa"/>
              <w:right w:w="115" w:type="dxa"/>
            </w:tcMar>
            <w:vAlign w:val="bottom"/>
          </w:tcPr>
          <w:p w14:paraId="080569B1" w14:textId="77777777" w:rsidR="003F0EEA" w:rsidRDefault="003F0EEA">
            <w:pPr>
              <w:jc w:val="center"/>
              <w:rPr>
                <w:rFonts w:ascii="Arial" w:eastAsia="Arial" w:hAnsi="Arial" w:cs="Arial"/>
                <w:b/>
                <w:color w:val="000000"/>
                <w:sz w:val="16"/>
                <w:vertAlign w:val="superscript"/>
              </w:rPr>
            </w:pPr>
          </w:p>
        </w:tc>
        <w:tc>
          <w:tcPr>
            <w:tcW w:w="1230"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52B457E2" w14:textId="77777777" w:rsidR="003F0EEA" w:rsidRDefault="003F0EEA">
            <w:pPr>
              <w:jc w:val="right"/>
              <w:rPr>
                <w:rFonts w:ascii="Arial" w:eastAsia="Arial" w:hAnsi="Arial" w:cs="Arial"/>
                <w:b/>
                <w:color w:val="000000"/>
                <w:sz w:val="16"/>
                <w:vertAlign w:val="superscript"/>
              </w:rPr>
            </w:pPr>
          </w:p>
        </w:tc>
        <w:tc>
          <w:tcPr>
            <w:tcW w:w="330"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6B9C55DC" w14:textId="77777777" w:rsidR="003F0EEA" w:rsidRDefault="00FB7D0B">
            <w:pPr>
              <w:rPr>
                <w:rFonts w:ascii="Arial" w:eastAsia="Arial" w:hAnsi="Arial" w:cs="Arial"/>
                <w:color w:val="000000"/>
                <w:sz w:val="16"/>
                <w:vertAlign w:val="superscript"/>
              </w:rPr>
            </w:pPr>
            <w:r>
              <w:rPr>
                <w:rFonts w:ascii="Arial" w:eastAsia="Arial" w:hAnsi="Arial" w:cs="Arial"/>
                <w:color w:val="000000"/>
                <w:sz w:val="16"/>
              </w:rPr>
              <w:t xml:space="preserve"> </w:t>
            </w:r>
          </w:p>
        </w:tc>
        <w:tc>
          <w:tcPr>
            <w:tcW w:w="1080"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6796D42D" w14:textId="77777777" w:rsidR="003F0EEA" w:rsidRDefault="003F0EEA">
            <w:pPr>
              <w:rPr>
                <w:rFonts w:ascii="Arial" w:eastAsia="Arial" w:hAnsi="Arial" w:cs="Arial"/>
                <w:color w:val="000000"/>
                <w:sz w:val="16"/>
              </w:rPr>
            </w:pPr>
          </w:p>
        </w:tc>
        <w:tc>
          <w:tcPr>
            <w:tcW w:w="300"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2056BAE9" w14:textId="77777777" w:rsidR="003F0EEA" w:rsidRDefault="00FB7D0B">
            <w:pPr>
              <w:rPr>
                <w:rFonts w:ascii="Arial" w:eastAsia="Arial" w:hAnsi="Arial" w:cs="Arial"/>
                <w:b/>
                <w:color w:val="000000"/>
                <w:sz w:val="16"/>
              </w:rPr>
            </w:pPr>
            <w:r>
              <w:rPr>
                <w:rFonts w:ascii="Arial" w:eastAsia="Arial" w:hAnsi="Arial" w:cs="Arial"/>
                <w:color w:val="000000"/>
                <w:sz w:val="16"/>
              </w:rPr>
              <w:t xml:space="preserve"> </w:t>
            </w:r>
          </w:p>
        </w:tc>
        <w:tc>
          <w:tcPr>
            <w:tcW w:w="1080" w:type="dxa"/>
            <w:tcBorders>
              <w:top w:val="single" w:sz="6" w:space="0" w:color="000000"/>
              <w:left w:val="nil"/>
              <w:bottom w:val="nil"/>
              <w:right w:val="nil"/>
              <w:tl2br w:val="nil"/>
              <w:tr2bl w:val="nil"/>
            </w:tcBorders>
            <w:shd w:val="clear" w:color="auto" w:fill="FFFF00"/>
            <w:tcMar>
              <w:left w:w="115" w:type="dxa"/>
              <w:right w:w="115" w:type="dxa"/>
            </w:tcMar>
            <w:vAlign w:val="bottom"/>
          </w:tcPr>
          <w:p w14:paraId="3A4D3A16" w14:textId="77777777" w:rsidR="003F0EEA" w:rsidRDefault="003F0EEA">
            <w:pPr>
              <w:rPr>
                <w:rFonts w:ascii="Arial" w:eastAsia="Arial" w:hAnsi="Arial" w:cs="Arial"/>
                <w:color w:val="000000"/>
                <w:sz w:val="16"/>
              </w:rPr>
            </w:pPr>
          </w:p>
        </w:tc>
        <w:tc>
          <w:tcPr>
            <w:tcW w:w="1230"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3FBA35BC" w14:textId="77777777" w:rsidR="003F0EEA" w:rsidRDefault="003F0EEA">
            <w:pPr>
              <w:jc w:val="right"/>
              <w:rPr>
                <w:rFonts w:ascii="Arial" w:eastAsia="Arial" w:hAnsi="Arial" w:cs="Arial"/>
                <w:b/>
                <w:color w:val="000000"/>
                <w:sz w:val="16"/>
              </w:rPr>
            </w:pPr>
          </w:p>
        </w:tc>
      </w:tr>
      <w:tr w:rsidR="00724034" w14:paraId="1E20AADF" w14:textId="77777777">
        <w:trPr>
          <w:trHeight w:val="225"/>
        </w:trPr>
        <w:tc>
          <w:tcPr>
            <w:tcW w:w="180" w:type="dxa"/>
            <w:tcBorders>
              <w:top w:val="nil"/>
              <w:left w:val="nil"/>
              <w:bottom w:val="nil"/>
              <w:right w:val="nil"/>
              <w:tl2br w:val="nil"/>
              <w:tr2bl w:val="nil"/>
            </w:tcBorders>
            <w:shd w:val="clear" w:color="auto" w:fill="FFFFFF"/>
            <w:tcMar>
              <w:left w:w="115" w:type="dxa"/>
              <w:right w:w="115" w:type="dxa"/>
            </w:tcMar>
            <w:vAlign w:val="bottom"/>
          </w:tcPr>
          <w:p w14:paraId="1B7A0F2D" w14:textId="77777777" w:rsidR="003F0EEA" w:rsidRDefault="003F0EEA">
            <w:pPr>
              <w:rPr>
                <w:rFonts w:ascii="Arial" w:eastAsia="Arial" w:hAnsi="Arial" w:cs="Arial"/>
                <w:color w:val="000000"/>
                <w:sz w:val="16"/>
              </w:rPr>
            </w:pPr>
          </w:p>
        </w:tc>
        <w:tc>
          <w:tcPr>
            <w:tcW w:w="180" w:type="dxa"/>
            <w:tcBorders>
              <w:top w:val="nil"/>
              <w:left w:val="nil"/>
              <w:bottom w:val="nil"/>
              <w:right w:val="nil"/>
              <w:tl2br w:val="nil"/>
              <w:tr2bl w:val="nil"/>
            </w:tcBorders>
            <w:shd w:val="clear" w:color="auto" w:fill="FFFFFF"/>
            <w:tcMar>
              <w:left w:w="115" w:type="dxa"/>
              <w:right w:w="115" w:type="dxa"/>
            </w:tcMar>
            <w:vAlign w:val="bottom"/>
          </w:tcPr>
          <w:p w14:paraId="34A4F515" w14:textId="77777777" w:rsidR="003F0EEA" w:rsidRDefault="003F0EEA">
            <w:pPr>
              <w:rPr>
                <w:rFonts w:ascii="Arial" w:eastAsia="Arial" w:hAnsi="Arial" w:cs="Arial"/>
                <w:color w:val="000000"/>
                <w:sz w:val="16"/>
              </w:rPr>
            </w:pPr>
          </w:p>
        </w:tc>
        <w:tc>
          <w:tcPr>
            <w:tcW w:w="2520" w:type="dxa"/>
            <w:tcBorders>
              <w:top w:val="nil"/>
              <w:left w:val="nil"/>
              <w:bottom w:val="nil"/>
              <w:right w:val="nil"/>
              <w:tl2br w:val="nil"/>
              <w:tr2bl w:val="nil"/>
            </w:tcBorders>
            <w:shd w:val="clear" w:color="auto" w:fill="FFFFFF"/>
            <w:tcMar>
              <w:left w:w="115" w:type="dxa"/>
              <w:right w:w="115" w:type="dxa"/>
            </w:tcMar>
            <w:vAlign w:val="bottom"/>
          </w:tcPr>
          <w:p w14:paraId="375B0843" w14:textId="77777777" w:rsidR="003F0EEA" w:rsidRDefault="00FB7D0B">
            <w:pPr>
              <w:rPr>
                <w:rFonts w:ascii="Arial" w:eastAsia="Arial" w:hAnsi="Arial" w:cs="Arial"/>
                <w:color w:val="000000"/>
                <w:sz w:val="16"/>
              </w:rPr>
            </w:pPr>
            <w:r>
              <w:rPr>
                <w:rFonts w:ascii="Arial" w:eastAsia="Arial" w:hAnsi="Arial" w:cs="Arial"/>
                <w:color w:val="000000"/>
                <w:sz w:val="16"/>
              </w:rPr>
              <w:t>Opening balance</w:t>
            </w:r>
            <w:r>
              <w:rPr>
                <w:rFonts w:ascii="Arial" w:eastAsia="Arial" w:hAnsi="Arial" w:cs="Arial"/>
                <w:color w:val="000000"/>
                <w:sz w:val="16"/>
                <w:vertAlign w:val="superscript"/>
              </w:rPr>
              <w:t>6 </w:t>
            </w:r>
          </w:p>
        </w:tc>
        <w:tc>
          <w:tcPr>
            <w:tcW w:w="360" w:type="dxa"/>
            <w:tcBorders>
              <w:top w:val="nil"/>
              <w:left w:val="nil"/>
              <w:bottom w:val="nil"/>
              <w:right w:val="nil"/>
              <w:tl2br w:val="nil"/>
              <w:tr2bl w:val="nil"/>
            </w:tcBorders>
            <w:shd w:val="clear" w:color="auto" w:fill="FFFFFF"/>
            <w:tcMar>
              <w:left w:w="115" w:type="dxa"/>
              <w:right w:w="115" w:type="dxa"/>
            </w:tcMar>
            <w:vAlign w:val="bottom"/>
          </w:tcPr>
          <w:p w14:paraId="3A58BFD1" w14:textId="77777777" w:rsidR="003F0EEA" w:rsidRDefault="003F0EEA">
            <w:pPr>
              <w:jc w:val="center"/>
              <w:rPr>
                <w:rFonts w:ascii="Arial" w:eastAsia="Arial" w:hAnsi="Arial" w:cs="Arial"/>
                <w:color w:val="000000"/>
                <w:sz w:val="16"/>
                <w:vertAlign w:val="superscript"/>
              </w:rPr>
            </w:pPr>
          </w:p>
        </w:tc>
        <w:tc>
          <w:tcPr>
            <w:tcW w:w="1230" w:type="dxa"/>
            <w:tcBorders>
              <w:top w:val="nil"/>
              <w:left w:val="nil"/>
              <w:bottom w:val="nil"/>
              <w:right w:val="nil"/>
              <w:tl2br w:val="nil"/>
              <w:tr2bl w:val="nil"/>
            </w:tcBorders>
            <w:shd w:val="clear" w:color="auto" w:fill="FFFFFF"/>
            <w:tcMar>
              <w:left w:w="115" w:type="dxa"/>
              <w:right w:w="115" w:type="dxa"/>
            </w:tcMar>
            <w:vAlign w:val="bottom"/>
          </w:tcPr>
          <w:p w14:paraId="79C387B8" w14:textId="77777777" w:rsidR="003F0EEA" w:rsidRDefault="00FB7D0B">
            <w:pPr>
              <w:jc w:val="right"/>
              <w:rPr>
                <w:rFonts w:ascii="Arial" w:eastAsia="Arial" w:hAnsi="Arial" w:cs="Arial"/>
                <w:color w:val="000000"/>
                <w:sz w:val="16"/>
                <w:vertAlign w:val="superscript"/>
              </w:rPr>
            </w:pPr>
            <w:r>
              <w:rPr>
                <w:rFonts w:ascii="Arial" w:eastAsia="Arial" w:hAnsi="Arial" w:cs="Arial"/>
                <w:color w:val="000000"/>
                <w:sz w:val="16"/>
              </w:rPr>
              <w:t xml:space="preserve"> 1,094 </w:t>
            </w:r>
          </w:p>
        </w:tc>
        <w:tc>
          <w:tcPr>
            <w:tcW w:w="330" w:type="dxa"/>
            <w:tcBorders>
              <w:top w:val="nil"/>
              <w:left w:val="nil"/>
              <w:bottom w:val="nil"/>
              <w:right w:val="nil"/>
              <w:tl2br w:val="nil"/>
              <w:tr2bl w:val="nil"/>
            </w:tcBorders>
            <w:shd w:val="clear" w:color="auto" w:fill="FFFFFF"/>
            <w:tcMar>
              <w:left w:w="115" w:type="dxa"/>
              <w:right w:w="115" w:type="dxa"/>
            </w:tcMar>
            <w:vAlign w:val="bottom"/>
          </w:tcPr>
          <w:p w14:paraId="5D3A9308" w14:textId="77777777" w:rsidR="003F0EEA" w:rsidRDefault="00FB7D0B">
            <w:pPr>
              <w:rPr>
                <w:rFonts w:ascii="Arial" w:eastAsia="Arial" w:hAnsi="Arial" w:cs="Arial"/>
                <w:color w:val="000000"/>
                <w:sz w:val="16"/>
              </w:rPr>
            </w:pPr>
            <w:r>
              <w:rPr>
                <w:rFonts w:ascii="Arial" w:eastAsia="Arial" w:hAnsi="Arial" w:cs="Arial"/>
                <w:color w:val="000000"/>
                <w:sz w:val="16"/>
              </w:rPr>
              <w:t xml:space="preserve"> </w:t>
            </w:r>
          </w:p>
        </w:tc>
        <w:tc>
          <w:tcPr>
            <w:tcW w:w="1080" w:type="dxa"/>
            <w:tcBorders>
              <w:top w:val="nil"/>
              <w:left w:val="nil"/>
              <w:bottom w:val="nil"/>
              <w:right w:val="nil"/>
              <w:tl2br w:val="nil"/>
              <w:tr2bl w:val="nil"/>
            </w:tcBorders>
            <w:shd w:val="clear" w:color="auto" w:fill="FFFFFF"/>
            <w:tcMar>
              <w:left w:w="115" w:type="dxa"/>
              <w:right w:w="115" w:type="dxa"/>
            </w:tcMar>
            <w:vAlign w:val="bottom"/>
          </w:tcPr>
          <w:p w14:paraId="2B27770B" w14:textId="77777777" w:rsidR="003F0EEA" w:rsidRDefault="00FB7D0B">
            <w:pPr>
              <w:jc w:val="right"/>
              <w:rPr>
                <w:rFonts w:ascii="Arial" w:eastAsia="Arial" w:hAnsi="Arial" w:cs="Arial"/>
                <w:color w:val="000000"/>
                <w:sz w:val="16"/>
              </w:rPr>
            </w:pPr>
            <w:r>
              <w:rPr>
                <w:rFonts w:ascii="Arial" w:eastAsia="Arial" w:hAnsi="Arial" w:cs="Arial"/>
                <w:color w:val="000000"/>
                <w:sz w:val="16"/>
              </w:rPr>
              <w:t xml:space="preserve"> - </w:t>
            </w:r>
          </w:p>
        </w:tc>
        <w:tc>
          <w:tcPr>
            <w:tcW w:w="300" w:type="dxa"/>
            <w:tcBorders>
              <w:top w:val="nil"/>
              <w:left w:val="nil"/>
              <w:bottom w:val="nil"/>
              <w:right w:val="nil"/>
              <w:tl2br w:val="nil"/>
              <w:tr2bl w:val="nil"/>
            </w:tcBorders>
            <w:shd w:val="clear" w:color="auto" w:fill="FFFFFF"/>
            <w:tcMar>
              <w:left w:w="115" w:type="dxa"/>
              <w:right w:w="115" w:type="dxa"/>
            </w:tcMar>
            <w:vAlign w:val="bottom"/>
          </w:tcPr>
          <w:p w14:paraId="240EB25F" w14:textId="77777777" w:rsidR="003F0EEA" w:rsidRDefault="00FB7D0B">
            <w:pPr>
              <w:rPr>
                <w:rFonts w:ascii="Arial" w:eastAsia="Arial" w:hAnsi="Arial" w:cs="Arial"/>
                <w:color w:val="000000"/>
                <w:sz w:val="16"/>
              </w:rPr>
            </w:pPr>
            <w:r>
              <w:rPr>
                <w:rFonts w:ascii="Arial" w:eastAsia="Arial" w:hAnsi="Arial" w:cs="Arial"/>
                <w:color w:val="000000"/>
                <w:sz w:val="16"/>
              </w:rPr>
              <w:t xml:space="preserve"> </w:t>
            </w:r>
          </w:p>
        </w:tc>
        <w:tc>
          <w:tcPr>
            <w:tcW w:w="1080" w:type="dxa"/>
            <w:tcBorders>
              <w:top w:val="nil"/>
              <w:left w:val="nil"/>
              <w:bottom w:val="nil"/>
              <w:right w:val="nil"/>
              <w:tl2br w:val="nil"/>
              <w:tr2bl w:val="nil"/>
            </w:tcBorders>
            <w:shd w:val="clear" w:color="auto" w:fill="FFFF00"/>
            <w:tcMar>
              <w:left w:w="115" w:type="dxa"/>
              <w:right w:w="115" w:type="dxa"/>
            </w:tcMar>
            <w:vAlign w:val="bottom"/>
          </w:tcPr>
          <w:p w14:paraId="62DDA407" w14:textId="77777777" w:rsidR="003F0EEA" w:rsidRDefault="00FB7D0B">
            <w:pPr>
              <w:jc w:val="right"/>
              <w:rPr>
                <w:rFonts w:ascii="Arial" w:eastAsia="Arial" w:hAnsi="Arial" w:cs="Arial"/>
                <w:color w:val="000000"/>
                <w:sz w:val="16"/>
              </w:rPr>
            </w:pPr>
            <w:r>
              <w:rPr>
                <w:rFonts w:ascii="Arial" w:eastAsia="Arial" w:hAnsi="Arial" w:cs="Arial"/>
                <w:color w:val="000000"/>
                <w:sz w:val="16"/>
              </w:rPr>
              <w:t xml:space="preserve"> 1,094 </w:t>
            </w:r>
          </w:p>
        </w:tc>
        <w:tc>
          <w:tcPr>
            <w:tcW w:w="1230" w:type="dxa"/>
            <w:tcBorders>
              <w:top w:val="nil"/>
              <w:left w:val="nil"/>
              <w:bottom w:val="nil"/>
              <w:right w:val="nil"/>
              <w:tl2br w:val="nil"/>
              <w:tr2bl w:val="nil"/>
            </w:tcBorders>
            <w:shd w:val="clear" w:color="auto" w:fill="FFFFFF"/>
            <w:tcMar>
              <w:left w:w="115" w:type="dxa"/>
              <w:right w:w="115" w:type="dxa"/>
            </w:tcMar>
            <w:vAlign w:val="bottom"/>
          </w:tcPr>
          <w:p w14:paraId="6BEA7F40" w14:textId="77777777" w:rsidR="003F0EEA" w:rsidRDefault="00FB7D0B">
            <w:pPr>
              <w:jc w:val="right"/>
              <w:rPr>
                <w:rFonts w:ascii="Arial" w:eastAsia="Arial" w:hAnsi="Arial" w:cs="Arial"/>
                <w:color w:val="000000"/>
                <w:sz w:val="16"/>
              </w:rPr>
            </w:pPr>
            <w:r>
              <w:rPr>
                <w:rFonts w:ascii="Arial" w:eastAsia="Arial" w:hAnsi="Arial" w:cs="Arial"/>
                <w:color w:val="000000"/>
                <w:sz w:val="16"/>
              </w:rPr>
              <w:t xml:space="preserve"> 1,875 </w:t>
            </w:r>
          </w:p>
        </w:tc>
      </w:tr>
      <w:tr w:rsidR="00724034" w14:paraId="174A160E" w14:textId="77777777">
        <w:trPr>
          <w:trHeight w:val="225"/>
        </w:trPr>
        <w:tc>
          <w:tcPr>
            <w:tcW w:w="180" w:type="dxa"/>
            <w:tcBorders>
              <w:top w:val="nil"/>
              <w:left w:val="nil"/>
              <w:bottom w:val="nil"/>
              <w:right w:val="nil"/>
              <w:tl2br w:val="nil"/>
              <w:tr2bl w:val="nil"/>
            </w:tcBorders>
            <w:shd w:val="clear" w:color="auto" w:fill="FFFFFF"/>
            <w:tcMar>
              <w:left w:w="115" w:type="dxa"/>
              <w:right w:w="115" w:type="dxa"/>
            </w:tcMar>
            <w:vAlign w:val="bottom"/>
          </w:tcPr>
          <w:p w14:paraId="6647E0C9" w14:textId="77777777" w:rsidR="003F0EEA" w:rsidRDefault="003F0EEA">
            <w:pPr>
              <w:rPr>
                <w:rFonts w:ascii="Arial" w:eastAsia="Arial" w:hAnsi="Arial" w:cs="Arial"/>
                <w:color w:val="000000"/>
                <w:sz w:val="16"/>
              </w:rPr>
            </w:pPr>
          </w:p>
        </w:tc>
        <w:tc>
          <w:tcPr>
            <w:tcW w:w="180" w:type="dxa"/>
            <w:tcBorders>
              <w:top w:val="nil"/>
              <w:left w:val="nil"/>
              <w:bottom w:val="nil"/>
              <w:right w:val="nil"/>
              <w:tl2br w:val="nil"/>
              <w:tr2bl w:val="nil"/>
            </w:tcBorders>
            <w:shd w:val="clear" w:color="auto" w:fill="FFFFFF"/>
            <w:tcMar>
              <w:left w:w="115" w:type="dxa"/>
              <w:right w:w="115" w:type="dxa"/>
            </w:tcMar>
            <w:vAlign w:val="bottom"/>
          </w:tcPr>
          <w:p w14:paraId="6E876C90" w14:textId="77777777" w:rsidR="003F0EEA" w:rsidRDefault="003F0EEA">
            <w:pPr>
              <w:rPr>
                <w:rFonts w:ascii="Arial" w:eastAsia="Arial" w:hAnsi="Arial" w:cs="Arial"/>
                <w:color w:val="000000"/>
                <w:sz w:val="16"/>
              </w:rPr>
            </w:pPr>
          </w:p>
        </w:tc>
        <w:tc>
          <w:tcPr>
            <w:tcW w:w="2520" w:type="dxa"/>
            <w:tcBorders>
              <w:top w:val="nil"/>
              <w:left w:val="nil"/>
              <w:bottom w:val="nil"/>
              <w:right w:val="nil"/>
              <w:tl2br w:val="nil"/>
              <w:tr2bl w:val="nil"/>
            </w:tcBorders>
            <w:shd w:val="clear" w:color="auto" w:fill="FFFFFF"/>
            <w:tcMar>
              <w:left w:w="115" w:type="dxa"/>
              <w:right w:w="115" w:type="dxa"/>
            </w:tcMar>
            <w:vAlign w:val="bottom"/>
          </w:tcPr>
          <w:p w14:paraId="5C5CBF94" w14:textId="77777777" w:rsidR="003F0EEA" w:rsidRDefault="00FB7D0B">
            <w:pPr>
              <w:rPr>
                <w:rFonts w:ascii="Arial" w:eastAsia="Arial" w:hAnsi="Arial" w:cs="Arial"/>
                <w:color w:val="000000"/>
                <w:sz w:val="16"/>
              </w:rPr>
            </w:pPr>
            <w:r>
              <w:rPr>
                <w:rFonts w:ascii="Arial" w:eastAsia="Arial" w:hAnsi="Arial" w:cs="Arial"/>
                <w:color w:val="000000"/>
                <w:sz w:val="16"/>
              </w:rPr>
              <w:t>Appropriation receipts</w:t>
            </w:r>
            <w:r>
              <w:rPr>
                <w:rFonts w:ascii="Arial" w:eastAsia="Arial" w:hAnsi="Arial" w:cs="Arial"/>
                <w:color w:val="000000"/>
                <w:sz w:val="16"/>
                <w:vertAlign w:val="superscript"/>
              </w:rPr>
              <w:t>7 </w:t>
            </w:r>
          </w:p>
        </w:tc>
        <w:tc>
          <w:tcPr>
            <w:tcW w:w="360" w:type="dxa"/>
            <w:tcBorders>
              <w:top w:val="nil"/>
              <w:left w:val="nil"/>
              <w:bottom w:val="nil"/>
              <w:right w:val="nil"/>
              <w:tl2br w:val="nil"/>
              <w:tr2bl w:val="nil"/>
            </w:tcBorders>
            <w:shd w:val="clear" w:color="auto" w:fill="FFFFFF"/>
            <w:tcMar>
              <w:left w:w="115" w:type="dxa"/>
              <w:right w:w="115" w:type="dxa"/>
            </w:tcMar>
            <w:vAlign w:val="bottom"/>
          </w:tcPr>
          <w:p w14:paraId="6D2E86ED" w14:textId="77777777" w:rsidR="003F0EEA" w:rsidRDefault="003F0EEA">
            <w:pPr>
              <w:jc w:val="center"/>
              <w:rPr>
                <w:rFonts w:ascii="Arial" w:eastAsia="Arial" w:hAnsi="Arial" w:cs="Arial"/>
                <w:color w:val="000000"/>
                <w:sz w:val="16"/>
                <w:vertAlign w:val="superscript"/>
              </w:rPr>
            </w:pPr>
          </w:p>
        </w:tc>
        <w:tc>
          <w:tcPr>
            <w:tcW w:w="1230" w:type="dxa"/>
            <w:tcBorders>
              <w:top w:val="nil"/>
              <w:left w:val="nil"/>
              <w:bottom w:val="nil"/>
              <w:right w:val="nil"/>
              <w:tl2br w:val="nil"/>
              <w:tr2bl w:val="nil"/>
            </w:tcBorders>
            <w:shd w:val="clear" w:color="auto" w:fill="FFFFFF"/>
            <w:tcMar>
              <w:left w:w="115" w:type="dxa"/>
              <w:right w:w="115" w:type="dxa"/>
            </w:tcMar>
            <w:vAlign w:val="bottom"/>
          </w:tcPr>
          <w:p w14:paraId="2CFB1D19" w14:textId="77777777" w:rsidR="003F0EEA" w:rsidRDefault="00FB7D0B">
            <w:pPr>
              <w:jc w:val="right"/>
              <w:rPr>
                <w:rFonts w:ascii="Arial" w:eastAsia="Arial" w:hAnsi="Arial" w:cs="Arial"/>
                <w:color w:val="000000"/>
                <w:sz w:val="16"/>
                <w:vertAlign w:val="superscript"/>
              </w:rPr>
            </w:pPr>
            <w:r>
              <w:rPr>
                <w:rFonts w:ascii="Arial" w:eastAsia="Arial" w:hAnsi="Arial" w:cs="Arial"/>
                <w:color w:val="000000"/>
                <w:sz w:val="16"/>
              </w:rPr>
              <w:t xml:space="preserve"> - </w:t>
            </w:r>
          </w:p>
        </w:tc>
        <w:tc>
          <w:tcPr>
            <w:tcW w:w="330" w:type="dxa"/>
            <w:tcBorders>
              <w:top w:val="nil"/>
              <w:left w:val="nil"/>
              <w:bottom w:val="nil"/>
              <w:right w:val="nil"/>
              <w:tl2br w:val="nil"/>
              <w:tr2bl w:val="nil"/>
            </w:tcBorders>
            <w:shd w:val="clear" w:color="auto" w:fill="FFFFFF"/>
            <w:tcMar>
              <w:left w:w="115" w:type="dxa"/>
              <w:right w:w="115" w:type="dxa"/>
            </w:tcMar>
            <w:vAlign w:val="bottom"/>
          </w:tcPr>
          <w:p w14:paraId="38980A3F" w14:textId="77777777" w:rsidR="003F0EEA" w:rsidRDefault="00FB7D0B">
            <w:pPr>
              <w:rPr>
                <w:rFonts w:ascii="Arial" w:eastAsia="Arial" w:hAnsi="Arial" w:cs="Arial"/>
                <w:color w:val="000000"/>
                <w:sz w:val="16"/>
              </w:rPr>
            </w:pPr>
            <w:r>
              <w:rPr>
                <w:rFonts w:ascii="Arial" w:eastAsia="Arial" w:hAnsi="Arial" w:cs="Arial"/>
                <w:color w:val="000000"/>
                <w:sz w:val="16"/>
              </w:rPr>
              <w:t xml:space="preserve"> </w:t>
            </w:r>
          </w:p>
        </w:tc>
        <w:tc>
          <w:tcPr>
            <w:tcW w:w="1080" w:type="dxa"/>
            <w:tcBorders>
              <w:top w:val="nil"/>
              <w:left w:val="nil"/>
              <w:bottom w:val="nil"/>
              <w:right w:val="nil"/>
              <w:tl2br w:val="nil"/>
              <w:tr2bl w:val="nil"/>
            </w:tcBorders>
            <w:shd w:val="clear" w:color="auto" w:fill="FFFFFF"/>
            <w:tcMar>
              <w:left w:w="115" w:type="dxa"/>
              <w:right w:w="115" w:type="dxa"/>
            </w:tcMar>
            <w:vAlign w:val="bottom"/>
          </w:tcPr>
          <w:p w14:paraId="3BCDD546" w14:textId="77777777" w:rsidR="003F0EEA" w:rsidRDefault="00FB7D0B">
            <w:pPr>
              <w:jc w:val="right"/>
              <w:rPr>
                <w:rFonts w:ascii="Arial" w:eastAsia="Arial" w:hAnsi="Arial" w:cs="Arial"/>
                <w:color w:val="000000"/>
                <w:sz w:val="16"/>
              </w:rPr>
            </w:pPr>
            <w:r>
              <w:rPr>
                <w:rFonts w:ascii="Arial" w:eastAsia="Arial" w:hAnsi="Arial" w:cs="Arial"/>
                <w:color w:val="000000"/>
                <w:sz w:val="16"/>
              </w:rPr>
              <w:t xml:space="preserve"> 320 </w:t>
            </w:r>
          </w:p>
        </w:tc>
        <w:tc>
          <w:tcPr>
            <w:tcW w:w="300" w:type="dxa"/>
            <w:tcBorders>
              <w:top w:val="nil"/>
              <w:left w:val="nil"/>
              <w:bottom w:val="nil"/>
              <w:right w:val="nil"/>
              <w:tl2br w:val="nil"/>
              <w:tr2bl w:val="nil"/>
            </w:tcBorders>
            <w:shd w:val="clear" w:color="auto" w:fill="FFFFFF"/>
            <w:tcMar>
              <w:left w:w="115" w:type="dxa"/>
              <w:right w:w="115" w:type="dxa"/>
            </w:tcMar>
            <w:vAlign w:val="bottom"/>
          </w:tcPr>
          <w:p w14:paraId="627BB5B8" w14:textId="77777777" w:rsidR="003F0EEA" w:rsidRDefault="00FB7D0B">
            <w:pPr>
              <w:rPr>
                <w:rFonts w:ascii="Arial" w:eastAsia="Arial" w:hAnsi="Arial" w:cs="Arial"/>
                <w:color w:val="000000"/>
                <w:sz w:val="16"/>
              </w:rPr>
            </w:pPr>
            <w:r>
              <w:rPr>
                <w:rFonts w:ascii="Arial" w:eastAsia="Arial" w:hAnsi="Arial" w:cs="Arial"/>
                <w:color w:val="000000"/>
                <w:sz w:val="16"/>
              </w:rPr>
              <w:t xml:space="preserve"> </w:t>
            </w:r>
          </w:p>
        </w:tc>
        <w:tc>
          <w:tcPr>
            <w:tcW w:w="1080" w:type="dxa"/>
            <w:tcBorders>
              <w:top w:val="nil"/>
              <w:left w:val="nil"/>
              <w:bottom w:val="nil"/>
              <w:right w:val="nil"/>
              <w:tl2br w:val="nil"/>
              <w:tr2bl w:val="nil"/>
            </w:tcBorders>
            <w:shd w:val="clear" w:color="auto" w:fill="FFFF00"/>
            <w:tcMar>
              <w:left w:w="115" w:type="dxa"/>
              <w:right w:w="115" w:type="dxa"/>
            </w:tcMar>
            <w:vAlign w:val="bottom"/>
          </w:tcPr>
          <w:p w14:paraId="3EF74523" w14:textId="77777777" w:rsidR="003F0EEA" w:rsidRDefault="00FB7D0B">
            <w:pPr>
              <w:jc w:val="right"/>
              <w:rPr>
                <w:rFonts w:ascii="Arial" w:eastAsia="Arial" w:hAnsi="Arial" w:cs="Arial"/>
                <w:color w:val="000000"/>
                <w:sz w:val="16"/>
              </w:rPr>
            </w:pPr>
            <w:r>
              <w:rPr>
                <w:rFonts w:ascii="Arial" w:eastAsia="Arial" w:hAnsi="Arial" w:cs="Arial"/>
                <w:color w:val="000000"/>
                <w:sz w:val="16"/>
              </w:rPr>
              <w:t xml:space="preserve"> 320 </w:t>
            </w:r>
          </w:p>
        </w:tc>
        <w:tc>
          <w:tcPr>
            <w:tcW w:w="1230" w:type="dxa"/>
            <w:tcBorders>
              <w:top w:val="nil"/>
              <w:left w:val="nil"/>
              <w:bottom w:val="nil"/>
              <w:right w:val="nil"/>
              <w:tl2br w:val="nil"/>
              <w:tr2bl w:val="nil"/>
            </w:tcBorders>
            <w:shd w:val="clear" w:color="auto" w:fill="FFFFFF"/>
            <w:tcMar>
              <w:left w:w="115" w:type="dxa"/>
              <w:right w:w="115" w:type="dxa"/>
            </w:tcMar>
            <w:vAlign w:val="bottom"/>
          </w:tcPr>
          <w:p w14:paraId="2F241BC5" w14:textId="77777777" w:rsidR="003F0EEA" w:rsidRDefault="00FB7D0B">
            <w:pPr>
              <w:jc w:val="right"/>
              <w:rPr>
                <w:rFonts w:ascii="Arial" w:eastAsia="Arial" w:hAnsi="Arial" w:cs="Arial"/>
                <w:color w:val="000000"/>
                <w:sz w:val="16"/>
              </w:rPr>
            </w:pPr>
            <w:r>
              <w:rPr>
                <w:rFonts w:ascii="Arial" w:eastAsia="Arial" w:hAnsi="Arial" w:cs="Arial"/>
                <w:color w:val="000000"/>
                <w:sz w:val="16"/>
              </w:rPr>
              <w:t xml:space="preserve"> 120 </w:t>
            </w:r>
          </w:p>
        </w:tc>
      </w:tr>
      <w:tr w:rsidR="00724034" w14:paraId="0E175438" w14:textId="77777777">
        <w:trPr>
          <w:trHeight w:val="225"/>
        </w:trPr>
        <w:tc>
          <w:tcPr>
            <w:tcW w:w="180" w:type="dxa"/>
            <w:tcBorders>
              <w:top w:val="nil"/>
              <w:left w:val="nil"/>
              <w:bottom w:val="nil"/>
              <w:right w:val="nil"/>
              <w:tl2br w:val="nil"/>
              <w:tr2bl w:val="nil"/>
            </w:tcBorders>
            <w:shd w:val="clear" w:color="auto" w:fill="FFFFFF"/>
            <w:tcMar>
              <w:left w:w="115" w:type="dxa"/>
              <w:right w:w="115" w:type="dxa"/>
            </w:tcMar>
            <w:vAlign w:val="bottom"/>
          </w:tcPr>
          <w:p w14:paraId="103CE77D" w14:textId="77777777" w:rsidR="003F0EEA" w:rsidRDefault="003F0EEA">
            <w:pPr>
              <w:rPr>
                <w:rFonts w:ascii="Arial" w:eastAsia="Arial" w:hAnsi="Arial" w:cs="Arial"/>
                <w:color w:val="000000"/>
                <w:sz w:val="16"/>
              </w:rPr>
            </w:pPr>
          </w:p>
        </w:tc>
        <w:tc>
          <w:tcPr>
            <w:tcW w:w="180" w:type="dxa"/>
            <w:tcBorders>
              <w:top w:val="nil"/>
              <w:left w:val="nil"/>
              <w:bottom w:val="nil"/>
              <w:right w:val="nil"/>
              <w:tl2br w:val="nil"/>
              <w:tr2bl w:val="nil"/>
            </w:tcBorders>
            <w:shd w:val="clear" w:color="auto" w:fill="FFFFFF"/>
            <w:tcMar>
              <w:left w:w="115" w:type="dxa"/>
              <w:right w:w="115" w:type="dxa"/>
            </w:tcMar>
            <w:vAlign w:val="bottom"/>
          </w:tcPr>
          <w:p w14:paraId="0B895611" w14:textId="77777777" w:rsidR="003F0EEA" w:rsidRDefault="003F0EEA">
            <w:pPr>
              <w:rPr>
                <w:rFonts w:ascii="Arial" w:eastAsia="Arial" w:hAnsi="Arial" w:cs="Arial"/>
                <w:color w:val="000000"/>
                <w:sz w:val="16"/>
              </w:rPr>
            </w:pPr>
          </w:p>
        </w:tc>
        <w:tc>
          <w:tcPr>
            <w:tcW w:w="2520" w:type="dxa"/>
            <w:tcBorders>
              <w:top w:val="nil"/>
              <w:left w:val="nil"/>
              <w:bottom w:val="nil"/>
              <w:right w:val="nil"/>
              <w:tl2br w:val="nil"/>
              <w:tr2bl w:val="nil"/>
            </w:tcBorders>
            <w:shd w:val="clear" w:color="auto" w:fill="FFFFFF"/>
            <w:tcMar>
              <w:left w:w="115" w:type="dxa"/>
              <w:right w:w="115" w:type="dxa"/>
            </w:tcMar>
            <w:vAlign w:val="bottom"/>
          </w:tcPr>
          <w:p w14:paraId="2EB791BC" w14:textId="77777777" w:rsidR="003F0EEA" w:rsidRDefault="00FB7D0B">
            <w:pPr>
              <w:rPr>
                <w:rFonts w:ascii="Arial" w:eastAsia="Arial" w:hAnsi="Arial" w:cs="Arial"/>
                <w:color w:val="000000"/>
                <w:sz w:val="16"/>
              </w:rPr>
            </w:pPr>
            <w:r>
              <w:rPr>
                <w:rFonts w:ascii="Arial" w:eastAsia="Arial" w:hAnsi="Arial" w:cs="Arial"/>
                <w:color w:val="000000"/>
                <w:sz w:val="16"/>
              </w:rPr>
              <w:t>Non-appropriation receipts to</w:t>
            </w:r>
          </w:p>
        </w:tc>
        <w:tc>
          <w:tcPr>
            <w:tcW w:w="360" w:type="dxa"/>
            <w:tcBorders>
              <w:top w:val="nil"/>
              <w:left w:val="nil"/>
              <w:bottom w:val="nil"/>
              <w:right w:val="nil"/>
              <w:tl2br w:val="nil"/>
              <w:tr2bl w:val="nil"/>
            </w:tcBorders>
            <w:shd w:val="clear" w:color="auto" w:fill="FFFFFF"/>
            <w:tcMar>
              <w:left w:w="115" w:type="dxa"/>
              <w:right w:w="115" w:type="dxa"/>
            </w:tcMar>
            <w:vAlign w:val="bottom"/>
          </w:tcPr>
          <w:p w14:paraId="535E9EAE" w14:textId="77777777" w:rsidR="003F0EEA" w:rsidRDefault="003F0EEA">
            <w:pPr>
              <w:jc w:val="center"/>
              <w:rPr>
                <w:rFonts w:ascii="Arial" w:eastAsia="Arial" w:hAnsi="Arial" w:cs="Arial"/>
                <w:color w:val="000000"/>
                <w:sz w:val="16"/>
                <w:vertAlign w:val="superscript"/>
              </w:rPr>
            </w:pPr>
          </w:p>
        </w:tc>
        <w:tc>
          <w:tcPr>
            <w:tcW w:w="1230" w:type="dxa"/>
            <w:tcBorders>
              <w:top w:val="nil"/>
              <w:left w:val="nil"/>
              <w:bottom w:val="nil"/>
              <w:right w:val="nil"/>
              <w:tl2br w:val="nil"/>
              <w:tr2bl w:val="nil"/>
            </w:tcBorders>
            <w:shd w:val="clear" w:color="auto" w:fill="FFFFFF"/>
            <w:tcMar>
              <w:left w:w="115" w:type="dxa"/>
              <w:right w:w="115" w:type="dxa"/>
            </w:tcMar>
            <w:vAlign w:val="bottom"/>
          </w:tcPr>
          <w:p w14:paraId="6FFA5AB1" w14:textId="77777777" w:rsidR="003F0EEA" w:rsidRDefault="003F0EEA">
            <w:pPr>
              <w:jc w:val="right"/>
              <w:rPr>
                <w:rFonts w:ascii="Arial" w:eastAsia="Arial" w:hAnsi="Arial" w:cs="Arial"/>
                <w:color w:val="000000"/>
                <w:sz w:val="16"/>
                <w:vertAlign w:val="superscript"/>
              </w:rPr>
            </w:pPr>
          </w:p>
        </w:tc>
        <w:tc>
          <w:tcPr>
            <w:tcW w:w="330" w:type="dxa"/>
            <w:tcBorders>
              <w:top w:val="nil"/>
              <w:left w:val="nil"/>
              <w:bottom w:val="nil"/>
              <w:right w:val="nil"/>
              <w:tl2br w:val="nil"/>
              <w:tr2bl w:val="nil"/>
            </w:tcBorders>
            <w:shd w:val="clear" w:color="auto" w:fill="FFFFFF"/>
            <w:tcMar>
              <w:left w:w="115" w:type="dxa"/>
              <w:right w:w="115" w:type="dxa"/>
            </w:tcMar>
            <w:vAlign w:val="bottom"/>
          </w:tcPr>
          <w:p w14:paraId="72761E33" w14:textId="77777777" w:rsidR="003F0EEA" w:rsidRDefault="00FB7D0B">
            <w:pPr>
              <w:rPr>
                <w:rFonts w:ascii="Arial" w:eastAsia="Arial" w:hAnsi="Arial" w:cs="Arial"/>
                <w:color w:val="000000"/>
                <w:sz w:val="16"/>
                <w:vertAlign w:val="superscript"/>
              </w:rPr>
            </w:pPr>
            <w:r>
              <w:rPr>
                <w:rFonts w:ascii="Arial" w:eastAsia="Arial" w:hAnsi="Arial" w:cs="Arial"/>
                <w:color w:val="000000"/>
                <w:sz w:val="16"/>
              </w:rPr>
              <w:t xml:space="preserve"> </w:t>
            </w:r>
          </w:p>
        </w:tc>
        <w:tc>
          <w:tcPr>
            <w:tcW w:w="1080" w:type="dxa"/>
            <w:tcBorders>
              <w:top w:val="nil"/>
              <w:left w:val="nil"/>
              <w:bottom w:val="nil"/>
              <w:right w:val="nil"/>
              <w:tl2br w:val="nil"/>
              <w:tr2bl w:val="nil"/>
            </w:tcBorders>
            <w:shd w:val="clear" w:color="auto" w:fill="FFFFFF"/>
            <w:tcMar>
              <w:left w:w="115" w:type="dxa"/>
              <w:right w:w="115" w:type="dxa"/>
            </w:tcMar>
            <w:vAlign w:val="bottom"/>
          </w:tcPr>
          <w:p w14:paraId="38718BEE" w14:textId="77777777" w:rsidR="003F0EEA" w:rsidRDefault="003F0EEA">
            <w:pPr>
              <w:rPr>
                <w:rFonts w:ascii="Arial" w:eastAsia="Arial" w:hAnsi="Arial" w:cs="Arial"/>
                <w:color w:val="000000"/>
                <w:sz w:val="16"/>
              </w:rPr>
            </w:pPr>
          </w:p>
        </w:tc>
        <w:tc>
          <w:tcPr>
            <w:tcW w:w="300" w:type="dxa"/>
            <w:tcBorders>
              <w:top w:val="nil"/>
              <w:left w:val="nil"/>
              <w:bottom w:val="nil"/>
              <w:right w:val="nil"/>
              <w:tl2br w:val="nil"/>
              <w:tr2bl w:val="nil"/>
            </w:tcBorders>
            <w:shd w:val="clear" w:color="auto" w:fill="FFFFFF"/>
            <w:tcMar>
              <w:left w:w="115" w:type="dxa"/>
              <w:right w:w="115" w:type="dxa"/>
            </w:tcMar>
            <w:vAlign w:val="bottom"/>
          </w:tcPr>
          <w:p w14:paraId="7711F79C" w14:textId="77777777" w:rsidR="003F0EEA" w:rsidRDefault="00FB7D0B">
            <w:pPr>
              <w:rPr>
                <w:rFonts w:ascii="Arial" w:eastAsia="Arial" w:hAnsi="Arial" w:cs="Arial"/>
                <w:color w:val="000000"/>
                <w:sz w:val="16"/>
              </w:rPr>
            </w:pPr>
            <w:r>
              <w:rPr>
                <w:rFonts w:ascii="Arial" w:eastAsia="Arial" w:hAnsi="Arial" w:cs="Arial"/>
                <w:color w:val="000000"/>
                <w:sz w:val="16"/>
              </w:rPr>
              <w:t xml:space="preserve"> </w:t>
            </w:r>
          </w:p>
        </w:tc>
        <w:tc>
          <w:tcPr>
            <w:tcW w:w="1080" w:type="dxa"/>
            <w:tcBorders>
              <w:top w:val="nil"/>
              <w:left w:val="nil"/>
              <w:bottom w:val="nil"/>
              <w:right w:val="nil"/>
              <w:tl2br w:val="nil"/>
              <w:tr2bl w:val="nil"/>
            </w:tcBorders>
            <w:shd w:val="clear" w:color="auto" w:fill="FFFF00"/>
            <w:tcMar>
              <w:left w:w="115" w:type="dxa"/>
              <w:right w:w="115" w:type="dxa"/>
            </w:tcMar>
            <w:vAlign w:val="bottom"/>
          </w:tcPr>
          <w:p w14:paraId="075506D3" w14:textId="77777777" w:rsidR="003F0EEA" w:rsidRDefault="003F0EEA">
            <w:pPr>
              <w:rPr>
                <w:rFonts w:ascii="Arial" w:eastAsia="Arial" w:hAnsi="Arial" w:cs="Arial"/>
                <w:color w:val="000000"/>
                <w:sz w:val="16"/>
              </w:rPr>
            </w:pPr>
          </w:p>
        </w:tc>
        <w:tc>
          <w:tcPr>
            <w:tcW w:w="1230" w:type="dxa"/>
            <w:tcBorders>
              <w:top w:val="nil"/>
              <w:left w:val="nil"/>
              <w:bottom w:val="nil"/>
              <w:right w:val="nil"/>
              <w:tl2br w:val="nil"/>
              <w:tr2bl w:val="nil"/>
            </w:tcBorders>
            <w:shd w:val="clear" w:color="auto" w:fill="FFFFFF"/>
            <w:tcMar>
              <w:left w:w="115" w:type="dxa"/>
              <w:right w:w="115" w:type="dxa"/>
            </w:tcMar>
            <w:vAlign w:val="bottom"/>
          </w:tcPr>
          <w:p w14:paraId="63F37689" w14:textId="77777777" w:rsidR="003F0EEA" w:rsidRDefault="003F0EEA">
            <w:pPr>
              <w:jc w:val="right"/>
              <w:rPr>
                <w:rFonts w:ascii="Arial" w:eastAsia="Arial" w:hAnsi="Arial" w:cs="Arial"/>
                <w:color w:val="000000"/>
                <w:sz w:val="16"/>
              </w:rPr>
            </w:pPr>
          </w:p>
        </w:tc>
      </w:tr>
      <w:tr w:rsidR="00724034" w14:paraId="79E8327C" w14:textId="77777777">
        <w:trPr>
          <w:trHeight w:val="225"/>
        </w:trPr>
        <w:tc>
          <w:tcPr>
            <w:tcW w:w="180" w:type="dxa"/>
            <w:tcBorders>
              <w:top w:val="nil"/>
              <w:left w:val="nil"/>
              <w:bottom w:val="nil"/>
              <w:right w:val="nil"/>
              <w:tl2br w:val="nil"/>
              <w:tr2bl w:val="nil"/>
            </w:tcBorders>
            <w:shd w:val="clear" w:color="auto" w:fill="FFFFFF"/>
            <w:tcMar>
              <w:left w:w="115" w:type="dxa"/>
              <w:right w:w="115" w:type="dxa"/>
            </w:tcMar>
            <w:vAlign w:val="bottom"/>
          </w:tcPr>
          <w:p w14:paraId="300691C8" w14:textId="77777777" w:rsidR="003F0EEA" w:rsidRDefault="003F0EEA">
            <w:pPr>
              <w:rPr>
                <w:rFonts w:ascii="Arial" w:eastAsia="Arial" w:hAnsi="Arial" w:cs="Arial"/>
                <w:color w:val="000000"/>
                <w:sz w:val="16"/>
              </w:rPr>
            </w:pPr>
          </w:p>
        </w:tc>
        <w:tc>
          <w:tcPr>
            <w:tcW w:w="180" w:type="dxa"/>
            <w:tcBorders>
              <w:top w:val="nil"/>
              <w:left w:val="nil"/>
              <w:bottom w:val="nil"/>
              <w:right w:val="nil"/>
              <w:tl2br w:val="nil"/>
              <w:tr2bl w:val="nil"/>
            </w:tcBorders>
            <w:shd w:val="clear" w:color="auto" w:fill="FFFFFF"/>
            <w:tcMar>
              <w:left w:w="115" w:type="dxa"/>
              <w:right w:w="115" w:type="dxa"/>
            </w:tcMar>
            <w:vAlign w:val="bottom"/>
          </w:tcPr>
          <w:p w14:paraId="07136A4B" w14:textId="77777777" w:rsidR="003F0EEA" w:rsidRDefault="003F0EEA">
            <w:pPr>
              <w:rPr>
                <w:rFonts w:ascii="Arial" w:eastAsia="Arial" w:hAnsi="Arial" w:cs="Arial"/>
                <w:color w:val="000000"/>
                <w:sz w:val="16"/>
              </w:rPr>
            </w:pPr>
          </w:p>
        </w:tc>
        <w:tc>
          <w:tcPr>
            <w:tcW w:w="2520" w:type="dxa"/>
            <w:tcBorders>
              <w:top w:val="nil"/>
              <w:left w:val="nil"/>
              <w:bottom w:val="nil"/>
              <w:right w:val="nil"/>
              <w:tl2br w:val="nil"/>
              <w:tr2bl w:val="nil"/>
            </w:tcBorders>
            <w:shd w:val="clear" w:color="auto" w:fill="FFFFFF"/>
            <w:tcMar>
              <w:left w:w="115" w:type="dxa"/>
              <w:right w:w="115" w:type="dxa"/>
            </w:tcMar>
            <w:vAlign w:val="bottom"/>
          </w:tcPr>
          <w:p w14:paraId="0EE18169" w14:textId="77777777" w:rsidR="003F0EEA" w:rsidRDefault="00FB7D0B">
            <w:pPr>
              <w:rPr>
                <w:rFonts w:ascii="Arial" w:eastAsia="Arial" w:hAnsi="Arial" w:cs="Arial"/>
                <w:color w:val="000000"/>
                <w:sz w:val="16"/>
              </w:rPr>
            </w:pPr>
            <w:r>
              <w:rPr>
                <w:rFonts w:ascii="Arial" w:eastAsia="Arial" w:hAnsi="Arial" w:cs="Arial"/>
                <w:color w:val="000000"/>
                <w:sz w:val="16"/>
              </w:rPr>
              <w:t xml:space="preserve"> Special Accounts</w:t>
            </w:r>
          </w:p>
        </w:tc>
        <w:tc>
          <w:tcPr>
            <w:tcW w:w="360" w:type="dxa"/>
            <w:tcBorders>
              <w:top w:val="nil"/>
              <w:left w:val="nil"/>
              <w:bottom w:val="nil"/>
              <w:right w:val="nil"/>
              <w:tl2br w:val="nil"/>
              <w:tr2bl w:val="nil"/>
            </w:tcBorders>
            <w:shd w:val="clear" w:color="auto" w:fill="FFFFFF"/>
            <w:tcMar>
              <w:left w:w="115" w:type="dxa"/>
              <w:right w:w="115" w:type="dxa"/>
            </w:tcMar>
            <w:vAlign w:val="bottom"/>
          </w:tcPr>
          <w:p w14:paraId="7C2E5B87" w14:textId="77777777" w:rsidR="003F0EEA" w:rsidRDefault="003F0EEA">
            <w:pPr>
              <w:jc w:val="center"/>
              <w:rPr>
                <w:rFonts w:ascii="Arial" w:eastAsia="Arial" w:hAnsi="Arial" w:cs="Arial"/>
                <w:color w:val="000000"/>
                <w:sz w:val="16"/>
                <w:vertAlign w:val="superscript"/>
              </w:rPr>
            </w:pPr>
          </w:p>
        </w:tc>
        <w:tc>
          <w:tcPr>
            <w:tcW w:w="1230"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197A47B3" w14:textId="77777777" w:rsidR="003F0EEA" w:rsidRDefault="00FB7D0B">
            <w:pPr>
              <w:jc w:val="right"/>
              <w:rPr>
                <w:rFonts w:ascii="Arial" w:eastAsia="Arial" w:hAnsi="Arial" w:cs="Arial"/>
                <w:color w:val="000000"/>
                <w:sz w:val="16"/>
                <w:vertAlign w:val="superscript"/>
              </w:rPr>
            </w:pPr>
            <w:r>
              <w:rPr>
                <w:rFonts w:ascii="Arial" w:eastAsia="Arial" w:hAnsi="Arial" w:cs="Arial"/>
                <w:color w:val="000000"/>
                <w:sz w:val="16"/>
              </w:rPr>
              <w:t xml:space="preserve"> - </w:t>
            </w:r>
          </w:p>
        </w:tc>
        <w:tc>
          <w:tcPr>
            <w:tcW w:w="330"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031D6909" w14:textId="77777777" w:rsidR="003F0EEA" w:rsidRDefault="00FB7D0B">
            <w:pPr>
              <w:rPr>
                <w:rFonts w:ascii="Arial" w:eastAsia="Arial" w:hAnsi="Arial" w:cs="Arial"/>
                <w:color w:val="000000"/>
                <w:sz w:val="16"/>
              </w:rPr>
            </w:pPr>
            <w:r>
              <w:rPr>
                <w:rFonts w:ascii="Arial" w:eastAsia="Arial" w:hAnsi="Arial" w:cs="Arial"/>
                <w:color w:val="000000"/>
                <w:sz w:val="16"/>
              </w:rPr>
              <w:t xml:space="preserve"> </w:t>
            </w:r>
          </w:p>
        </w:tc>
        <w:tc>
          <w:tcPr>
            <w:tcW w:w="1080"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1A532AEE" w14:textId="77777777" w:rsidR="003F0EEA" w:rsidRDefault="00FB7D0B">
            <w:pPr>
              <w:jc w:val="right"/>
              <w:rPr>
                <w:rFonts w:ascii="Arial" w:eastAsia="Arial" w:hAnsi="Arial" w:cs="Arial"/>
                <w:color w:val="000000"/>
                <w:sz w:val="16"/>
              </w:rPr>
            </w:pPr>
            <w:r>
              <w:rPr>
                <w:rFonts w:ascii="Arial" w:eastAsia="Arial" w:hAnsi="Arial" w:cs="Arial"/>
                <w:color w:val="000000"/>
                <w:sz w:val="16"/>
              </w:rPr>
              <w:t xml:space="preserve"> 46,370 </w:t>
            </w:r>
          </w:p>
        </w:tc>
        <w:tc>
          <w:tcPr>
            <w:tcW w:w="300"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03A2A9D5" w14:textId="77777777" w:rsidR="003F0EEA" w:rsidRDefault="00FB7D0B">
            <w:pPr>
              <w:rPr>
                <w:rFonts w:ascii="Arial" w:eastAsia="Arial" w:hAnsi="Arial" w:cs="Arial"/>
                <w:color w:val="000000"/>
                <w:sz w:val="16"/>
              </w:rPr>
            </w:pPr>
            <w:r>
              <w:rPr>
                <w:rFonts w:ascii="Arial" w:eastAsia="Arial" w:hAnsi="Arial" w:cs="Arial"/>
                <w:color w:val="000000"/>
                <w:sz w:val="16"/>
              </w:rPr>
              <w:t xml:space="preserve"> </w:t>
            </w:r>
          </w:p>
        </w:tc>
        <w:tc>
          <w:tcPr>
            <w:tcW w:w="1080" w:type="dxa"/>
            <w:tcBorders>
              <w:top w:val="nil"/>
              <w:left w:val="nil"/>
              <w:bottom w:val="single" w:sz="6" w:space="0" w:color="000000"/>
              <w:right w:val="nil"/>
              <w:tl2br w:val="nil"/>
              <w:tr2bl w:val="nil"/>
            </w:tcBorders>
            <w:shd w:val="clear" w:color="auto" w:fill="FFFF00"/>
            <w:tcMar>
              <w:left w:w="115" w:type="dxa"/>
              <w:right w:w="115" w:type="dxa"/>
            </w:tcMar>
            <w:vAlign w:val="bottom"/>
          </w:tcPr>
          <w:p w14:paraId="125A11CB" w14:textId="77777777" w:rsidR="003F0EEA" w:rsidRDefault="00FB7D0B">
            <w:pPr>
              <w:jc w:val="right"/>
              <w:rPr>
                <w:rFonts w:ascii="Arial" w:eastAsia="Arial" w:hAnsi="Arial" w:cs="Arial"/>
                <w:color w:val="000000"/>
                <w:sz w:val="16"/>
              </w:rPr>
            </w:pPr>
            <w:r>
              <w:rPr>
                <w:rFonts w:ascii="Arial" w:eastAsia="Arial" w:hAnsi="Arial" w:cs="Arial"/>
                <w:color w:val="000000"/>
                <w:sz w:val="16"/>
              </w:rPr>
              <w:t xml:space="preserve"> 46,370 </w:t>
            </w:r>
          </w:p>
        </w:tc>
        <w:tc>
          <w:tcPr>
            <w:tcW w:w="1230"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2469622E" w14:textId="77777777" w:rsidR="003F0EEA" w:rsidRDefault="00FB7D0B">
            <w:pPr>
              <w:jc w:val="right"/>
              <w:rPr>
                <w:rFonts w:ascii="Arial" w:eastAsia="Arial" w:hAnsi="Arial" w:cs="Arial"/>
                <w:color w:val="000000"/>
                <w:sz w:val="16"/>
              </w:rPr>
            </w:pPr>
            <w:r>
              <w:rPr>
                <w:rFonts w:ascii="Arial" w:eastAsia="Arial" w:hAnsi="Arial" w:cs="Arial"/>
                <w:color w:val="000000"/>
                <w:sz w:val="16"/>
              </w:rPr>
              <w:t xml:space="preserve"> 43,780 </w:t>
            </w:r>
          </w:p>
        </w:tc>
      </w:tr>
      <w:tr w:rsidR="00FB7D0B" w14:paraId="33E9E1DD" w14:textId="77777777" w:rsidTr="00FB7D0B">
        <w:trPr>
          <w:trHeight w:val="225"/>
        </w:trPr>
        <w:tc>
          <w:tcPr>
            <w:tcW w:w="2880" w:type="dxa"/>
            <w:gridSpan w:val="3"/>
            <w:vMerge w:val="restart"/>
            <w:tcBorders>
              <w:top w:val="nil"/>
              <w:left w:val="nil"/>
              <w:bottom w:val="nil"/>
              <w:right w:val="nil"/>
              <w:tl2br w:val="nil"/>
              <w:tr2bl w:val="nil"/>
            </w:tcBorders>
            <w:shd w:val="clear" w:color="auto" w:fill="FFFFFF"/>
            <w:tcMar>
              <w:left w:w="115" w:type="dxa"/>
              <w:right w:w="115" w:type="dxa"/>
            </w:tcMar>
            <w:vAlign w:val="bottom"/>
          </w:tcPr>
          <w:p w14:paraId="5BE5AC97" w14:textId="77777777" w:rsidR="003F0EEA" w:rsidRDefault="00FB7D0B">
            <w:pPr>
              <w:rPr>
                <w:rFonts w:ascii="Arial" w:eastAsia="Arial" w:hAnsi="Arial" w:cs="Arial"/>
                <w:color w:val="000000"/>
                <w:sz w:val="16"/>
              </w:rPr>
            </w:pPr>
            <w:r>
              <w:rPr>
                <w:rFonts w:ascii="Arial" w:eastAsia="Arial" w:hAnsi="Arial" w:cs="Arial"/>
                <w:b/>
                <w:color w:val="000000"/>
                <w:sz w:val="16"/>
              </w:rPr>
              <w:t xml:space="preserve">Total Special Accounts </w:t>
            </w:r>
          </w:p>
        </w:tc>
        <w:tc>
          <w:tcPr>
            <w:tcW w:w="360" w:type="dxa"/>
            <w:tcBorders>
              <w:top w:val="nil"/>
              <w:left w:val="nil"/>
              <w:bottom w:val="nil"/>
              <w:right w:val="nil"/>
              <w:tl2br w:val="nil"/>
              <w:tr2bl w:val="nil"/>
            </w:tcBorders>
            <w:shd w:val="clear" w:color="auto" w:fill="FFFFFF"/>
            <w:tcMar>
              <w:left w:w="115" w:type="dxa"/>
              <w:right w:w="115" w:type="dxa"/>
            </w:tcMar>
            <w:vAlign w:val="bottom"/>
          </w:tcPr>
          <w:p w14:paraId="151B0C47" w14:textId="77777777" w:rsidR="003F0EEA" w:rsidRDefault="00FB7D0B">
            <w:pPr>
              <w:jc w:val="center"/>
              <w:rPr>
                <w:rFonts w:ascii="Arial" w:eastAsia="Arial" w:hAnsi="Arial" w:cs="Arial"/>
                <w:b/>
                <w:color w:val="000000"/>
                <w:sz w:val="16"/>
                <w:vertAlign w:val="superscript"/>
              </w:rPr>
            </w:pPr>
            <w:r>
              <w:rPr>
                <w:rFonts w:ascii="Arial" w:eastAsia="Arial" w:hAnsi="Arial" w:cs="Arial"/>
                <w:b/>
                <w:color w:val="000000"/>
                <w:sz w:val="16"/>
              </w:rPr>
              <w:t>D</w:t>
            </w:r>
          </w:p>
        </w:tc>
        <w:tc>
          <w:tcPr>
            <w:tcW w:w="1230"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49B2B717" w14:textId="77777777" w:rsidR="003F0EEA" w:rsidRDefault="00FB7D0B">
            <w:pPr>
              <w:jc w:val="right"/>
              <w:rPr>
                <w:rFonts w:ascii="Arial" w:eastAsia="Arial" w:hAnsi="Arial" w:cs="Arial"/>
                <w:b/>
                <w:color w:val="000000"/>
                <w:sz w:val="16"/>
              </w:rPr>
            </w:pPr>
            <w:r>
              <w:rPr>
                <w:rFonts w:ascii="Arial" w:eastAsia="Arial" w:hAnsi="Arial" w:cs="Arial"/>
                <w:b/>
                <w:color w:val="000000"/>
                <w:sz w:val="16"/>
              </w:rPr>
              <w:t xml:space="preserve"> 1,094 </w:t>
            </w:r>
          </w:p>
        </w:tc>
        <w:tc>
          <w:tcPr>
            <w:tcW w:w="330"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6826C924" w14:textId="77777777" w:rsidR="003F0EEA" w:rsidRDefault="00FB7D0B">
            <w:pPr>
              <w:rPr>
                <w:rFonts w:ascii="Arial" w:eastAsia="Arial" w:hAnsi="Arial" w:cs="Arial"/>
                <w:b/>
                <w:color w:val="000000"/>
                <w:sz w:val="16"/>
              </w:rPr>
            </w:pPr>
            <w:r>
              <w:rPr>
                <w:rFonts w:ascii="Arial" w:eastAsia="Arial" w:hAnsi="Arial" w:cs="Arial"/>
                <w:b/>
                <w:color w:val="000000"/>
                <w:sz w:val="16"/>
              </w:rPr>
              <w:t xml:space="preserve"> </w:t>
            </w:r>
          </w:p>
        </w:tc>
        <w:tc>
          <w:tcPr>
            <w:tcW w:w="1080"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32FF5779" w14:textId="77777777" w:rsidR="003F0EEA" w:rsidRDefault="00FB7D0B">
            <w:pPr>
              <w:jc w:val="right"/>
              <w:rPr>
                <w:rFonts w:ascii="Arial" w:eastAsia="Arial" w:hAnsi="Arial" w:cs="Arial"/>
                <w:b/>
                <w:color w:val="000000"/>
                <w:sz w:val="16"/>
              </w:rPr>
            </w:pPr>
            <w:r>
              <w:rPr>
                <w:rFonts w:ascii="Arial" w:eastAsia="Arial" w:hAnsi="Arial" w:cs="Arial"/>
                <w:b/>
                <w:color w:val="000000"/>
                <w:sz w:val="16"/>
              </w:rPr>
              <w:t xml:space="preserve"> 46,690 </w:t>
            </w:r>
          </w:p>
        </w:tc>
        <w:tc>
          <w:tcPr>
            <w:tcW w:w="300"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08CB9E4B" w14:textId="77777777" w:rsidR="003F0EEA" w:rsidRDefault="00FB7D0B">
            <w:pPr>
              <w:rPr>
                <w:rFonts w:ascii="Arial" w:eastAsia="Arial" w:hAnsi="Arial" w:cs="Arial"/>
                <w:b/>
                <w:color w:val="000000"/>
                <w:sz w:val="16"/>
              </w:rPr>
            </w:pPr>
            <w:r>
              <w:rPr>
                <w:rFonts w:ascii="Arial" w:eastAsia="Arial" w:hAnsi="Arial" w:cs="Arial"/>
                <w:b/>
                <w:color w:val="000000"/>
                <w:sz w:val="16"/>
              </w:rPr>
              <w:t xml:space="preserve"> </w:t>
            </w:r>
          </w:p>
        </w:tc>
        <w:tc>
          <w:tcPr>
            <w:tcW w:w="1080" w:type="dxa"/>
            <w:tcBorders>
              <w:top w:val="nil"/>
              <w:left w:val="nil"/>
              <w:bottom w:val="single" w:sz="6" w:space="0" w:color="000000"/>
              <w:right w:val="nil"/>
              <w:tl2br w:val="nil"/>
              <w:tr2bl w:val="nil"/>
            </w:tcBorders>
            <w:shd w:val="clear" w:color="auto" w:fill="FFFF00"/>
            <w:tcMar>
              <w:left w:w="115" w:type="dxa"/>
              <w:right w:w="115" w:type="dxa"/>
            </w:tcMar>
            <w:vAlign w:val="bottom"/>
          </w:tcPr>
          <w:p w14:paraId="068454DA" w14:textId="77777777" w:rsidR="003F0EEA" w:rsidRDefault="00FB7D0B">
            <w:pPr>
              <w:jc w:val="right"/>
              <w:rPr>
                <w:rFonts w:ascii="Arial" w:eastAsia="Arial" w:hAnsi="Arial" w:cs="Arial"/>
                <w:b/>
                <w:color w:val="000000"/>
                <w:sz w:val="16"/>
              </w:rPr>
            </w:pPr>
            <w:r>
              <w:rPr>
                <w:rFonts w:ascii="Arial" w:eastAsia="Arial" w:hAnsi="Arial" w:cs="Arial"/>
                <w:b/>
                <w:color w:val="000000"/>
                <w:sz w:val="16"/>
              </w:rPr>
              <w:t>47,784 </w:t>
            </w:r>
          </w:p>
        </w:tc>
        <w:tc>
          <w:tcPr>
            <w:tcW w:w="1230"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1DB7EC1D" w14:textId="77777777" w:rsidR="003F0EEA" w:rsidRDefault="00FB7D0B">
            <w:pPr>
              <w:jc w:val="right"/>
              <w:rPr>
                <w:rFonts w:ascii="Arial" w:eastAsia="Arial" w:hAnsi="Arial" w:cs="Arial"/>
                <w:b/>
                <w:color w:val="000000"/>
                <w:sz w:val="16"/>
              </w:rPr>
            </w:pPr>
            <w:r>
              <w:rPr>
                <w:rFonts w:ascii="Arial" w:eastAsia="Arial" w:hAnsi="Arial" w:cs="Arial"/>
                <w:b/>
                <w:color w:val="000000"/>
                <w:sz w:val="16"/>
              </w:rPr>
              <w:t>45,775 </w:t>
            </w:r>
          </w:p>
        </w:tc>
      </w:tr>
      <w:tr w:rsidR="00FB7D0B" w14:paraId="6E9E5628" w14:textId="77777777" w:rsidTr="00FB7D0B">
        <w:trPr>
          <w:trHeight w:val="225"/>
        </w:trPr>
        <w:tc>
          <w:tcPr>
            <w:tcW w:w="2880" w:type="dxa"/>
            <w:gridSpan w:val="3"/>
            <w:vMerge w:val="restart"/>
            <w:tcBorders>
              <w:top w:val="nil"/>
              <w:left w:val="nil"/>
              <w:bottom w:val="nil"/>
              <w:right w:val="nil"/>
              <w:tl2br w:val="nil"/>
              <w:tr2bl w:val="nil"/>
            </w:tcBorders>
            <w:shd w:val="clear" w:color="auto" w:fill="FFFFFF"/>
            <w:tcMar>
              <w:left w:w="115" w:type="dxa"/>
              <w:right w:w="115" w:type="dxa"/>
            </w:tcMar>
            <w:vAlign w:val="bottom"/>
          </w:tcPr>
          <w:p w14:paraId="2E8AA025" w14:textId="77777777" w:rsidR="003F0EEA" w:rsidRDefault="00FB7D0B">
            <w:pPr>
              <w:rPr>
                <w:rFonts w:ascii="Arial" w:eastAsia="Arial" w:hAnsi="Arial" w:cs="Arial"/>
                <w:b/>
                <w:color w:val="000000"/>
                <w:sz w:val="16"/>
              </w:rPr>
            </w:pPr>
            <w:r>
              <w:rPr>
                <w:rFonts w:ascii="Arial" w:eastAsia="Arial" w:hAnsi="Arial" w:cs="Arial"/>
                <w:b/>
                <w:color w:val="000000"/>
                <w:sz w:val="16"/>
              </w:rPr>
              <w:t>Total resourcing</w:t>
            </w:r>
          </w:p>
        </w:tc>
        <w:tc>
          <w:tcPr>
            <w:tcW w:w="360" w:type="dxa"/>
            <w:tcBorders>
              <w:top w:val="nil"/>
              <w:left w:val="nil"/>
              <w:bottom w:val="nil"/>
              <w:right w:val="nil"/>
              <w:tl2br w:val="nil"/>
              <w:tr2bl w:val="nil"/>
            </w:tcBorders>
            <w:shd w:val="clear" w:color="auto" w:fill="FFFFFF"/>
            <w:tcMar>
              <w:left w:w="115" w:type="dxa"/>
              <w:right w:w="115" w:type="dxa"/>
            </w:tcMar>
            <w:vAlign w:val="bottom"/>
          </w:tcPr>
          <w:p w14:paraId="172E8283" w14:textId="77777777" w:rsidR="003F0EEA" w:rsidRDefault="003F0EEA">
            <w:pPr>
              <w:jc w:val="center"/>
              <w:rPr>
                <w:rFonts w:ascii="Arial" w:eastAsia="Arial" w:hAnsi="Arial" w:cs="Arial"/>
                <w:b/>
                <w:color w:val="000000"/>
                <w:sz w:val="16"/>
                <w:vertAlign w:val="superscript"/>
              </w:rPr>
            </w:pPr>
          </w:p>
        </w:tc>
        <w:tc>
          <w:tcPr>
            <w:tcW w:w="1230" w:type="dxa"/>
            <w:tcBorders>
              <w:top w:val="single" w:sz="6" w:space="0" w:color="000000"/>
              <w:left w:val="nil"/>
              <w:bottom w:val="single" w:sz="6" w:space="0" w:color="000000"/>
              <w:right w:val="nil"/>
              <w:tl2br w:val="nil"/>
              <w:tr2bl w:val="nil"/>
            </w:tcBorders>
            <w:shd w:val="clear" w:color="auto" w:fill="FFFFFF"/>
            <w:tcMar>
              <w:left w:w="115" w:type="dxa"/>
              <w:right w:w="115" w:type="dxa"/>
            </w:tcMar>
            <w:vAlign w:val="bottom"/>
          </w:tcPr>
          <w:p w14:paraId="6E51919C" w14:textId="77777777" w:rsidR="003F0EEA" w:rsidRDefault="00FB7D0B">
            <w:pPr>
              <w:jc w:val="right"/>
              <w:rPr>
                <w:rFonts w:ascii="Arial" w:eastAsia="Arial" w:hAnsi="Arial" w:cs="Arial"/>
                <w:b/>
                <w:color w:val="000000"/>
                <w:sz w:val="16"/>
                <w:vertAlign w:val="superscript"/>
              </w:rPr>
            </w:pPr>
            <w:r>
              <w:rPr>
                <w:rFonts w:ascii="Arial" w:eastAsia="Arial" w:hAnsi="Arial" w:cs="Arial"/>
                <w:b/>
                <w:color w:val="000000"/>
                <w:sz w:val="16"/>
              </w:rPr>
              <w:t xml:space="preserve"> 12,783 </w:t>
            </w:r>
          </w:p>
        </w:tc>
        <w:tc>
          <w:tcPr>
            <w:tcW w:w="330" w:type="dxa"/>
            <w:tcBorders>
              <w:top w:val="single" w:sz="6" w:space="0" w:color="000000"/>
              <w:left w:val="nil"/>
              <w:bottom w:val="single" w:sz="6" w:space="0" w:color="000000"/>
              <w:right w:val="nil"/>
              <w:tl2br w:val="nil"/>
              <w:tr2bl w:val="nil"/>
            </w:tcBorders>
            <w:shd w:val="clear" w:color="auto" w:fill="FFFFFF"/>
            <w:tcMar>
              <w:left w:w="115" w:type="dxa"/>
              <w:right w:w="115" w:type="dxa"/>
            </w:tcMar>
            <w:vAlign w:val="bottom"/>
          </w:tcPr>
          <w:p w14:paraId="4A4C0C73" w14:textId="77777777" w:rsidR="003F0EEA" w:rsidRDefault="00FB7D0B">
            <w:pPr>
              <w:rPr>
                <w:rFonts w:ascii="Arial" w:eastAsia="Arial" w:hAnsi="Arial" w:cs="Arial"/>
                <w:b/>
                <w:color w:val="000000"/>
                <w:sz w:val="16"/>
              </w:rPr>
            </w:pPr>
            <w:r>
              <w:rPr>
                <w:rFonts w:ascii="Arial" w:eastAsia="Arial" w:hAnsi="Arial" w:cs="Arial"/>
                <w:b/>
                <w:color w:val="000000"/>
                <w:sz w:val="16"/>
              </w:rPr>
              <w:t xml:space="preserve"> </w:t>
            </w:r>
          </w:p>
        </w:tc>
        <w:tc>
          <w:tcPr>
            <w:tcW w:w="1080" w:type="dxa"/>
            <w:tcBorders>
              <w:top w:val="single" w:sz="6" w:space="0" w:color="000000"/>
              <w:left w:val="nil"/>
              <w:bottom w:val="single" w:sz="6" w:space="0" w:color="000000"/>
              <w:right w:val="nil"/>
              <w:tl2br w:val="nil"/>
              <w:tr2bl w:val="nil"/>
            </w:tcBorders>
            <w:shd w:val="clear" w:color="auto" w:fill="FFFFFF"/>
            <w:tcMar>
              <w:left w:w="115" w:type="dxa"/>
              <w:right w:w="115" w:type="dxa"/>
            </w:tcMar>
            <w:vAlign w:val="bottom"/>
          </w:tcPr>
          <w:p w14:paraId="62867E81" w14:textId="77777777" w:rsidR="003F0EEA" w:rsidRDefault="00FB7D0B">
            <w:pPr>
              <w:jc w:val="right"/>
              <w:rPr>
                <w:rFonts w:ascii="Arial" w:eastAsia="Arial" w:hAnsi="Arial" w:cs="Arial"/>
                <w:b/>
                <w:color w:val="000000"/>
                <w:sz w:val="16"/>
              </w:rPr>
            </w:pPr>
            <w:r>
              <w:rPr>
                <w:rFonts w:ascii="Arial" w:eastAsia="Arial" w:hAnsi="Arial" w:cs="Arial"/>
                <w:b/>
                <w:color w:val="000000"/>
                <w:sz w:val="16"/>
              </w:rPr>
              <w:t>12,395,353 </w:t>
            </w:r>
          </w:p>
        </w:tc>
        <w:tc>
          <w:tcPr>
            <w:tcW w:w="300" w:type="dxa"/>
            <w:tcBorders>
              <w:top w:val="single" w:sz="6" w:space="0" w:color="000000"/>
              <w:left w:val="nil"/>
              <w:bottom w:val="single" w:sz="6" w:space="0" w:color="000000"/>
              <w:right w:val="nil"/>
              <w:tl2br w:val="nil"/>
              <w:tr2bl w:val="nil"/>
            </w:tcBorders>
            <w:shd w:val="clear" w:color="auto" w:fill="FFFFFF"/>
            <w:tcMar>
              <w:left w:w="115" w:type="dxa"/>
              <w:right w:w="115" w:type="dxa"/>
            </w:tcMar>
            <w:vAlign w:val="bottom"/>
          </w:tcPr>
          <w:p w14:paraId="5CAFF5D3" w14:textId="77777777" w:rsidR="003F0EEA" w:rsidRDefault="00FB7D0B">
            <w:pPr>
              <w:rPr>
                <w:rFonts w:ascii="Arial" w:eastAsia="Arial" w:hAnsi="Arial" w:cs="Arial"/>
                <w:b/>
                <w:color w:val="000000"/>
                <w:sz w:val="16"/>
              </w:rPr>
            </w:pPr>
            <w:r>
              <w:rPr>
                <w:rFonts w:ascii="Arial" w:eastAsia="Arial" w:hAnsi="Arial" w:cs="Arial"/>
                <w:b/>
                <w:color w:val="000000"/>
                <w:sz w:val="16"/>
              </w:rPr>
              <w:t xml:space="preserve"> </w:t>
            </w:r>
          </w:p>
        </w:tc>
        <w:tc>
          <w:tcPr>
            <w:tcW w:w="1080" w:type="dxa"/>
            <w:tcBorders>
              <w:top w:val="single" w:sz="6" w:space="0" w:color="000000"/>
              <w:left w:val="nil"/>
              <w:bottom w:val="single" w:sz="6" w:space="0" w:color="000000"/>
              <w:right w:val="nil"/>
              <w:tl2br w:val="nil"/>
              <w:tr2bl w:val="nil"/>
            </w:tcBorders>
            <w:shd w:val="clear" w:color="auto" w:fill="FFFF00"/>
            <w:tcMar>
              <w:left w:w="115" w:type="dxa"/>
              <w:right w:w="115" w:type="dxa"/>
            </w:tcMar>
            <w:vAlign w:val="bottom"/>
          </w:tcPr>
          <w:p w14:paraId="65768D1F" w14:textId="77777777" w:rsidR="003F0EEA" w:rsidRDefault="00FB7D0B">
            <w:pPr>
              <w:jc w:val="right"/>
              <w:rPr>
                <w:rFonts w:ascii="Arial" w:eastAsia="Arial" w:hAnsi="Arial" w:cs="Arial"/>
                <w:b/>
                <w:color w:val="000000"/>
                <w:sz w:val="16"/>
              </w:rPr>
            </w:pPr>
            <w:r>
              <w:rPr>
                <w:rFonts w:ascii="Arial" w:eastAsia="Arial" w:hAnsi="Arial" w:cs="Arial"/>
                <w:b/>
                <w:color w:val="000000"/>
                <w:sz w:val="16"/>
              </w:rPr>
              <w:t>12,408,136 </w:t>
            </w:r>
          </w:p>
        </w:tc>
        <w:tc>
          <w:tcPr>
            <w:tcW w:w="1230" w:type="dxa"/>
            <w:tcBorders>
              <w:top w:val="single" w:sz="6" w:space="0" w:color="000000"/>
              <w:left w:val="nil"/>
              <w:bottom w:val="single" w:sz="6" w:space="0" w:color="000000"/>
              <w:right w:val="nil"/>
              <w:tl2br w:val="nil"/>
              <w:tr2bl w:val="nil"/>
            </w:tcBorders>
            <w:shd w:val="clear" w:color="auto" w:fill="FFFFFF"/>
            <w:tcMar>
              <w:left w:w="115" w:type="dxa"/>
              <w:right w:w="115" w:type="dxa"/>
            </w:tcMar>
            <w:vAlign w:val="bottom"/>
          </w:tcPr>
          <w:p w14:paraId="1010C691" w14:textId="77777777" w:rsidR="003F0EEA" w:rsidRDefault="00FB7D0B">
            <w:pPr>
              <w:jc w:val="right"/>
              <w:rPr>
                <w:rFonts w:ascii="Arial" w:eastAsia="Arial" w:hAnsi="Arial" w:cs="Arial"/>
                <w:b/>
                <w:color w:val="000000"/>
                <w:sz w:val="16"/>
              </w:rPr>
            </w:pPr>
            <w:r>
              <w:rPr>
                <w:rFonts w:ascii="Arial" w:eastAsia="Arial" w:hAnsi="Arial" w:cs="Arial"/>
                <w:b/>
                <w:color w:val="000000"/>
                <w:sz w:val="16"/>
              </w:rPr>
              <w:t>12,504,102 </w:t>
            </w:r>
          </w:p>
        </w:tc>
      </w:tr>
      <w:tr w:rsidR="00FB7D0B" w14:paraId="65983F32" w14:textId="77777777" w:rsidTr="00FB7D0B">
        <w:trPr>
          <w:trHeight w:val="225"/>
        </w:trPr>
        <w:tc>
          <w:tcPr>
            <w:tcW w:w="2880" w:type="dxa"/>
            <w:gridSpan w:val="3"/>
            <w:vMerge w:val="restart"/>
            <w:tcBorders>
              <w:top w:val="nil"/>
              <w:left w:val="nil"/>
              <w:bottom w:val="nil"/>
              <w:right w:val="nil"/>
              <w:tl2br w:val="nil"/>
              <w:tr2bl w:val="nil"/>
            </w:tcBorders>
            <w:shd w:val="clear" w:color="auto" w:fill="FFFFFF"/>
            <w:tcMar>
              <w:left w:w="115" w:type="dxa"/>
              <w:right w:w="115" w:type="dxa"/>
            </w:tcMar>
            <w:vAlign w:val="bottom"/>
          </w:tcPr>
          <w:p w14:paraId="4B5C202F" w14:textId="77777777" w:rsidR="003F0EEA" w:rsidRDefault="00FB7D0B">
            <w:pPr>
              <w:rPr>
                <w:rFonts w:ascii="Arial" w:eastAsia="Arial" w:hAnsi="Arial" w:cs="Arial"/>
                <w:b/>
                <w:color w:val="000000"/>
                <w:sz w:val="16"/>
              </w:rPr>
            </w:pPr>
            <w:r>
              <w:rPr>
                <w:rFonts w:ascii="Arial" w:eastAsia="Arial" w:hAnsi="Arial" w:cs="Arial"/>
                <w:color w:val="000000"/>
                <w:sz w:val="16"/>
              </w:rPr>
              <w:t>A+B+C+D</w:t>
            </w:r>
          </w:p>
        </w:tc>
        <w:tc>
          <w:tcPr>
            <w:tcW w:w="360" w:type="dxa"/>
            <w:tcBorders>
              <w:top w:val="nil"/>
              <w:left w:val="nil"/>
              <w:bottom w:val="nil"/>
              <w:right w:val="nil"/>
              <w:tl2br w:val="nil"/>
              <w:tr2bl w:val="nil"/>
            </w:tcBorders>
            <w:shd w:val="clear" w:color="auto" w:fill="FFFFFF"/>
            <w:tcMar>
              <w:left w:w="115" w:type="dxa"/>
              <w:right w:w="115" w:type="dxa"/>
            </w:tcMar>
            <w:vAlign w:val="bottom"/>
          </w:tcPr>
          <w:p w14:paraId="284B9B65" w14:textId="77777777" w:rsidR="003F0EEA" w:rsidRDefault="003F0EEA">
            <w:pPr>
              <w:jc w:val="center"/>
              <w:rPr>
                <w:rFonts w:ascii="Arial" w:eastAsia="Arial" w:hAnsi="Arial" w:cs="Arial"/>
                <w:color w:val="000000"/>
                <w:sz w:val="16"/>
                <w:vertAlign w:val="superscript"/>
              </w:rPr>
            </w:pPr>
          </w:p>
        </w:tc>
        <w:tc>
          <w:tcPr>
            <w:tcW w:w="1230"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77952FE1" w14:textId="77777777" w:rsidR="003F0EEA" w:rsidRDefault="003F0EEA">
            <w:pPr>
              <w:jc w:val="right"/>
              <w:rPr>
                <w:rFonts w:ascii="Arial" w:eastAsia="Arial" w:hAnsi="Arial" w:cs="Arial"/>
                <w:color w:val="000000"/>
                <w:sz w:val="16"/>
                <w:vertAlign w:val="superscript"/>
              </w:rPr>
            </w:pPr>
          </w:p>
        </w:tc>
        <w:tc>
          <w:tcPr>
            <w:tcW w:w="330"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315AC1CD" w14:textId="77777777" w:rsidR="003F0EEA" w:rsidRDefault="003F0EEA">
            <w:pPr>
              <w:rPr>
                <w:rFonts w:ascii="Arial" w:eastAsia="Arial" w:hAnsi="Arial" w:cs="Arial"/>
                <w:color w:val="000000"/>
                <w:sz w:val="16"/>
                <w:vertAlign w:val="superscript"/>
              </w:rPr>
            </w:pPr>
          </w:p>
        </w:tc>
        <w:tc>
          <w:tcPr>
            <w:tcW w:w="1080"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01C9A114" w14:textId="77777777" w:rsidR="003F0EEA" w:rsidRDefault="003F0EEA">
            <w:pPr>
              <w:rPr>
                <w:rFonts w:ascii="Arial" w:eastAsia="Arial" w:hAnsi="Arial" w:cs="Arial"/>
                <w:color w:val="000000"/>
                <w:sz w:val="16"/>
                <w:vertAlign w:val="superscript"/>
              </w:rPr>
            </w:pPr>
          </w:p>
        </w:tc>
        <w:tc>
          <w:tcPr>
            <w:tcW w:w="300"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2F353A4F" w14:textId="77777777" w:rsidR="003F0EEA" w:rsidRDefault="003F0EEA">
            <w:pPr>
              <w:rPr>
                <w:rFonts w:ascii="Arial" w:eastAsia="Arial" w:hAnsi="Arial" w:cs="Arial"/>
                <w:color w:val="000000"/>
                <w:sz w:val="16"/>
                <w:vertAlign w:val="superscript"/>
              </w:rPr>
            </w:pPr>
          </w:p>
        </w:tc>
        <w:tc>
          <w:tcPr>
            <w:tcW w:w="1080" w:type="dxa"/>
            <w:tcBorders>
              <w:top w:val="single" w:sz="6" w:space="0" w:color="000000"/>
              <w:left w:val="nil"/>
              <w:bottom w:val="nil"/>
              <w:right w:val="nil"/>
              <w:tl2br w:val="nil"/>
              <w:tr2bl w:val="nil"/>
            </w:tcBorders>
            <w:shd w:val="clear" w:color="auto" w:fill="FFFF00"/>
            <w:tcMar>
              <w:left w:w="115" w:type="dxa"/>
              <w:right w:w="115" w:type="dxa"/>
            </w:tcMar>
            <w:vAlign w:val="bottom"/>
          </w:tcPr>
          <w:p w14:paraId="280AAB77" w14:textId="77777777" w:rsidR="003F0EEA" w:rsidRDefault="003F0EEA">
            <w:pPr>
              <w:rPr>
                <w:rFonts w:ascii="Arial" w:eastAsia="Arial" w:hAnsi="Arial" w:cs="Arial"/>
                <w:color w:val="000000"/>
                <w:sz w:val="16"/>
                <w:vertAlign w:val="superscript"/>
              </w:rPr>
            </w:pPr>
          </w:p>
        </w:tc>
        <w:tc>
          <w:tcPr>
            <w:tcW w:w="1230"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3C60B8A4" w14:textId="77777777" w:rsidR="003F0EEA" w:rsidRDefault="003F0EEA">
            <w:pPr>
              <w:jc w:val="right"/>
              <w:rPr>
                <w:rFonts w:ascii="Arial" w:eastAsia="Arial" w:hAnsi="Arial" w:cs="Arial"/>
                <w:color w:val="000000"/>
                <w:sz w:val="16"/>
                <w:vertAlign w:val="superscript"/>
              </w:rPr>
            </w:pPr>
          </w:p>
        </w:tc>
      </w:tr>
      <w:tr w:rsidR="00FB7D0B" w14:paraId="71457676" w14:textId="77777777" w:rsidTr="00FB7D0B">
        <w:trPr>
          <w:trHeight w:val="225"/>
        </w:trPr>
        <w:tc>
          <w:tcPr>
            <w:tcW w:w="2880" w:type="dxa"/>
            <w:gridSpan w:val="3"/>
            <w:vMerge w:val="restart"/>
            <w:tcBorders>
              <w:top w:val="nil"/>
              <w:left w:val="nil"/>
              <w:bottom w:val="nil"/>
              <w:right w:val="nil"/>
              <w:tl2br w:val="nil"/>
              <w:tr2bl w:val="nil"/>
            </w:tcBorders>
            <w:shd w:val="clear" w:color="auto" w:fill="FFFFFF"/>
            <w:tcMar>
              <w:left w:w="115" w:type="dxa"/>
              <w:right w:w="115" w:type="dxa"/>
            </w:tcMar>
            <w:vAlign w:val="bottom"/>
          </w:tcPr>
          <w:p w14:paraId="1CBD5648" w14:textId="77777777" w:rsidR="003F0EEA" w:rsidRDefault="00FB7D0B">
            <w:pPr>
              <w:rPr>
                <w:rFonts w:ascii="Arial" w:eastAsia="Arial" w:hAnsi="Arial" w:cs="Arial"/>
                <w:color w:val="000000"/>
                <w:sz w:val="16"/>
                <w:vertAlign w:val="superscript"/>
              </w:rPr>
            </w:pPr>
            <w:r>
              <w:rPr>
                <w:rFonts w:ascii="Arial" w:eastAsia="Arial" w:hAnsi="Arial" w:cs="Arial"/>
                <w:color w:val="000000"/>
                <w:sz w:val="16"/>
              </w:rPr>
              <w:t>Less appropriations drawn from</w:t>
            </w:r>
          </w:p>
        </w:tc>
        <w:tc>
          <w:tcPr>
            <w:tcW w:w="360" w:type="dxa"/>
            <w:tcBorders>
              <w:top w:val="nil"/>
              <w:left w:val="nil"/>
              <w:bottom w:val="nil"/>
              <w:right w:val="nil"/>
              <w:tl2br w:val="nil"/>
              <w:tr2bl w:val="nil"/>
            </w:tcBorders>
            <w:shd w:val="clear" w:color="auto" w:fill="FFFFFF"/>
            <w:tcMar>
              <w:left w:w="115" w:type="dxa"/>
              <w:right w:w="115" w:type="dxa"/>
            </w:tcMar>
            <w:vAlign w:val="bottom"/>
          </w:tcPr>
          <w:p w14:paraId="26A3B7F6" w14:textId="77777777" w:rsidR="003F0EEA" w:rsidRDefault="003F0EEA">
            <w:pPr>
              <w:jc w:val="center"/>
              <w:rPr>
                <w:rFonts w:ascii="Arial" w:eastAsia="Arial" w:hAnsi="Arial" w:cs="Arial"/>
                <w:color w:val="000000"/>
                <w:sz w:val="16"/>
                <w:vertAlign w:val="superscript"/>
              </w:rPr>
            </w:pPr>
          </w:p>
        </w:tc>
        <w:tc>
          <w:tcPr>
            <w:tcW w:w="1230" w:type="dxa"/>
            <w:tcBorders>
              <w:top w:val="nil"/>
              <w:left w:val="nil"/>
              <w:bottom w:val="nil"/>
              <w:right w:val="nil"/>
              <w:tl2br w:val="nil"/>
              <w:tr2bl w:val="nil"/>
            </w:tcBorders>
            <w:shd w:val="clear" w:color="auto" w:fill="FFFFFF"/>
            <w:tcMar>
              <w:left w:w="115" w:type="dxa"/>
              <w:right w:w="115" w:type="dxa"/>
            </w:tcMar>
            <w:vAlign w:val="bottom"/>
          </w:tcPr>
          <w:p w14:paraId="71D52DDC" w14:textId="77777777" w:rsidR="003F0EEA" w:rsidRDefault="003F0EEA">
            <w:pPr>
              <w:jc w:val="right"/>
              <w:rPr>
                <w:rFonts w:ascii="Arial" w:eastAsia="Arial" w:hAnsi="Arial" w:cs="Arial"/>
                <w:color w:val="000000"/>
                <w:sz w:val="16"/>
                <w:vertAlign w:val="superscript"/>
              </w:rPr>
            </w:pPr>
          </w:p>
        </w:tc>
        <w:tc>
          <w:tcPr>
            <w:tcW w:w="330" w:type="dxa"/>
            <w:tcBorders>
              <w:top w:val="nil"/>
              <w:left w:val="nil"/>
              <w:bottom w:val="nil"/>
              <w:right w:val="nil"/>
              <w:tl2br w:val="nil"/>
              <w:tr2bl w:val="nil"/>
            </w:tcBorders>
            <w:shd w:val="clear" w:color="auto" w:fill="FFFFFF"/>
            <w:tcMar>
              <w:left w:w="115" w:type="dxa"/>
              <w:right w:w="115" w:type="dxa"/>
            </w:tcMar>
            <w:vAlign w:val="bottom"/>
          </w:tcPr>
          <w:p w14:paraId="1A4D346E" w14:textId="77777777" w:rsidR="003F0EEA" w:rsidRDefault="003F0EEA">
            <w:pPr>
              <w:rPr>
                <w:rFonts w:ascii="Arial" w:eastAsia="Arial" w:hAnsi="Arial" w:cs="Arial"/>
                <w:color w:val="000000"/>
                <w:sz w:val="16"/>
                <w:vertAlign w:val="superscript"/>
              </w:rPr>
            </w:pPr>
          </w:p>
        </w:tc>
        <w:tc>
          <w:tcPr>
            <w:tcW w:w="1080" w:type="dxa"/>
            <w:tcBorders>
              <w:top w:val="nil"/>
              <w:left w:val="nil"/>
              <w:bottom w:val="nil"/>
              <w:right w:val="nil"/>
              <w:tl2br w:val="nil"/>
              <w:tr2bl w:val="nil"/>
            </w:tcBorders>
            <w:shd w:val="clear" w:color="auto" w:fill="FFFFFF"/>
            <w:tcMar>
              <w:left w:w="115" w:type="dxa"/>
              <w:right w:w="115" w:type="dxa"/>
            </w:tcMar>
            <w:vAlign w:val="bottom"/>
          </w:tcPr>
          <w:p w14:paraId="1EE11BD5" w14:textId="77777777" w:rsidR="003F0EEA" w:rsidRDefault="003F0EEA">
            <w:pPr>
              <w:rPr>
                <w:rFonts w:ascii="Arial" w:eastAsia="Arial" w:hAnsi="Arial" w:cs="Arial"/>
                <w:color w:val="000000"/>
                <w:sz w:val="16"/>
                <w:vertAlign w:val="superscript"/>
              </w:rPr>
            </w:pPr>
          </w:p>
        </w:tc>
        <w:tc>
          <w:tcPr>
            <w:tcW w:w="300" w:type="dxa"/>
            <w:tcBorders>
              <w:top w:val="nil"/>
              <w:left w:val="nil"/>
              <w:bottom w:val="nil"/>
              <w:right w:val="nil"/>
              <w:tl2br w:val="nil"/>
              <w:tr2bl w:val="nil"/>
            </w:tcBorders>
            <w:shd w:val="clear" w:color="auto" w:fill="FFFFFF"/>
            <w:tcMar>
              <w:left w:w="115" w:type="dxa"/>
              <w:right w:w="115" w:type="dxa"/>
            </w:tcMar>
            <w:vAlign w:val="bottom"/>
          </w:tcPr>
          <w:p w14:paraId="3CF572E0" w14:textId="77777777" w:rsidR="003F0EEA" w:rsidRDefault="003F0EEA">
            <w:pPr>
              <w:rPr>
                <w:rFonts w:ascii="Arial" w:eastAsia="Arial" w:hAnsi="Arial" w:cs="Arial"/>
                <w:color w:val="000000"/>
                <w:sz w:val="16"/>
                <w:vertAlign w:val="superscript"/>
              </w:rPr>
            </w:pPr>
          </w:p>
        </w:tc>
        <w:tc>
          <w:tcPr>
            <w:tcW w:w="1080" w:type="dxa"/>
            <w:tcBorders>
              <w:top w:val="nil"/>
              <w:left w:val="nil"/>
              <w:bottom w:val="nil"/>
              <w:right w:val="nil"/>
              <w:tl2br w:val="nil"/>
              <w:tr2bl w:val="nil"/>
            </w:tcBorders>
            <w:shd w:val="clear" w:color="auto" w:fill="FFFF00"/>
            <w:tcMar>
              <w:left w:w="115" w:type="dxa"/>
              <w:right w:w="115" w:type="dxa"/>
            </w:tcMar>
            <w:vAlign w:val="bottom"/>
          </w:tcPr>
          <w:p w14:paraId="2F44D391" w14:textId="77777777" w:rsidR="003F0EEA" w:rsidRDefault="003F0EEA">
            <w:pPr>
              <w:rPr>
                <w:rFonts w:ascii="Arial" w:eastAsia="Arial" w:hAnsi="Arial" w:cs="Arial"/>
                <w:color w:val="000000"/>
                <w:sz w:val="16"/>
                <w:vertAlign w:val="superscript"/>
              </w:rPr>
            </w:pPr>
          </w:p>
        </w:tc>
        <w:tc>
          <w:tcPr>
            <w:tcW w:w="1230" w:type="dxa"/>
            <w:tcBorders>
              <w:top w:val="nil"/>
              <w:left w:val="nil"/>
              <w:bottom w:val="nil"/>
              <w:right w:val="nil"/>
              <w:tl2br w:val="nil"/>
              <w:tr2bl w:val="nil"/>
            </w:tcBorders>
            <w:shd w:val="clear" w:color="auto" w:fill="FFFFFF"/>
            <w:tcMar>
              <w:left w:w="115" w:type="dxa"/>
              <w:right w:w="115" w:type="dxa"/>
            </w:tcMar>
            <w:vAlign w:val="bottom"/>
          </w:tcPr>
          <w:p w14:paraId="7E75337E" w14:textId="77777777" w:rsidR="003F0EEA" w:rsidRDefault="003F0EEA">
            <w:pPr>
              <w:jc w:val="right"/>
              <w:rPr>
                <w:rFonts w:ascii="Arial" w:eastAsia="Arial" w:hAnsi="Arial" w:cs="Arial"/>
                <w:color w:val="000000"/>
                <w:sz w:val="16"/>
                <w:vertAlign w:val="superscript"/>
              </w:rPr>
            </w:pPr>
          </w:p>
        </w:tc>
      </w:tr>
      <w:tr w:rsidR="00FB7D0B" w14:paraId="23D3C8EF" w14:textId="77777777" w:rsidTr="00FB7D0B">
        <w:trPr>
          <w:trHeight w:val="225"/>
        </w:trPr>
        <w:tc>
          <w:tcPr>
            <w:tcW w:w="2880" w:type="dxa"/>
            <w:gridSpan w:val="3"/>
            <w:vMerge w:val="restart"/>
            <w:tcBorders>
              <w:top w:val="nil"/>
              <w:left w:val="nil"/>
              <w:bottom w:val="nil"/>
              <w:right w:val="nil"/>
              <w:tl2br w:val="nil"/>
              <w:tr2bl w:val="nil"/>
            </w:tcBorders>
            <w:shd w:val="clear" w:color="auto" w:fill="FFFFFF"/>
            <w:tcMar>
              <w:left w:w="115" w:type="dxa"/>
              <w:right w:w="115" w:type="dxa"/>
            </w:tcMar>
            <w:vAlign w:val="bottom"/>
          </w:tcPr>
          <w:p w14:paraId="10DE794B" w14:textId="77777777" w:rsidR="003F0EEA" w:rsidRDefault="00FB7D0B">
            <w:pPr>
              <w:rPr>
                <w:rFonts w:ascii="Arial" w:eastAsia="Arial" w:hAnsi="Arial" w:cs="Arial"/>
                <w:color w:val="000000"/>
                <w:sz w:val="16"/>
                <w:vertAlign w:val="superscript"/>
              </w:rPr>
            </w:pPr>
            <w:r>
              <w:rPr>
                <w:rFonts w:ascii="Arial" w:eastAsia="Arial" w:hAnsi="Arial" w:cs="Arial"/>
                <w:color w:val="000000"/>
                <w:sz w:val="16"/>
              </w:rPr>
              <w:t>annual or special appropriations above</w:t>
            </w:r>
          </w:p>
        </w:tc>
        <w:tc>
          <w:tcPr>
            <w:tcW w:w="360" w:type="dxa"/>
            <w:tcBorders>
              <w:top w:val="nil"/>
              <w:left w:val="nil"/>
              <w:bottom w:val="nil"/>
              <w:right w:val="nil"/>
              <w:tl2br w:val="nil"/>
              <w:tr2bl w:val="nil"/>
            </w:tcBorders>
            <w:shd w:val="clear" w:color="auto" w:fill="FFFFFF"/>
            <w:tcMar>
              <w:left w:w="115" w:type="dxa"/>
              <w:right w:w="115" w:type="dxa"/>
            </w:tcMar>
            <w:vAlign w:val="bottom"/>
          </w:tcPr>
          <w:p w14:paraId="41DFDF6E" w14:textId="77777777" w:rsidR="003F0EEA" w:rsidRDefault="003F0EEA">
            <w:pPr>
              <w:jc w:val="center"/>
              <w:rPr>
                <w:rFonts w:ascii="Arial" w:eastAsia="Arial" w:hAnsi="Arial" w:cs="Arial"/>
                <w:color w:val="000000"/>
                <w:sz w:val="16"/>
                <w:vertAlign w:val="superscript"/>
              </w:rPr>
            </w:pPr>
          </w:p>
        </w:tc>
        <w:tc>
          <w:tcPr>
            <w:tcW w:w="1230" w:type="dxa"/>
            <w:tcBorders>
              <w:top w:val="nil"/>
              <w:left w:val="nil"/>
              <w:bottom w:val="nil"/>
              <w:right w:val="nil"/>
              <w:tl2br w:val="nil"/>
              <w:tr2bl w:val="nil"/>
            </w:tcBorders>
            <w:shd w:val="clear" w:color="auto" w:fill="FFFFFF"/>
            <w:tcMar>
              <w:left w:w="115" w:type="dxa"/>
              <w:right w:w="115" w:type="dxa"/>
            </w:tcMar>
            <w:vAlign w:val="bottom"/>
          </w:tcPr>
          <w:p w14:paraId="448B46BE" w14:textId="77777777" w:rsidR="003F0EEA" w:rsidRDefault="003F0EEA">
            <w:pPr>
              <w:jc w:val="right"/>
              <w:rPr>
                <w:rFonts w:ascii="Arial" w:eastAsia="Arial" w:hAnsi="Arial" w:cs="Arial"/>
                <w:color w:val="000000"/>
                <w:sz w:val="16"/>
                <w:vertAlign w:val="superscript"/>
              </w:rPr>
            </w:pPr>
          </w:p>
        </w:tc>
        <w:tc>
          <w:tcPr>
            <w:tcW w:w="330" w:type="dxa"/>
            <w:tcBorders>
              <w:top w:val="nil"/>
              <w:left w:val="nil"/>
              <w:bottom w:val="nil"/>
              <w:right w:val="nil"/>
              <w:tl2br w:val="nil"/>
              <w:tr2bl w:val="nil"/>
            </w:tcBorders>
            <w:shd w:val="clear" w:color="auto" w:fill="FFFFFF"/>
            <w:tcMar>
              <w:left w:w="115" w:type="dxa"/>
              <w:right w:w="115" w:type="dxa"/>
            </w:tcMar>
            <w:vAlign w:val="bottom"/>
          </w:tcPr>
          <w:p w14:paraId="2E25C150" w14:textId="77777777" w:rsidR="003F0EEA" w:rsidRDefault="003F0EEA">
            <w:pPr>
              <w:rPr>
                <w:rFonts w:ascii="Arial" w:eastAsia="Arial" w:hAnsi="Arial" w:cs="Arial"/>
                <w:color w:val="000000"/>
                <w:sz w:val="16"/>
                <w:vertAlign w:val="superscript"/>
              </w:rPr>
            </w:pPr>
          </w:p>
        </w:tc>
        <w:tc>
          <w:tcPr>
            <w:tcW w:w="1080" w:type="dxa"/>
            <w:tcBorders>
              <w:top w:val="nil"/>
              <w:left w:val="nil"/>
              <w:bottom w:val="nil"/>
              <w:right w:val="nil"/>
              <w:tl2br w:val="nil"/>
              <w:tr2bl w:val="nil"/>
            </w:tcBorders>
            <w:shd w:val="clear" w:color="auto" w:fill="FFFFFF"/>
            <w:tcMar>
              <w:left w:w="115" w:type="dxa"/>
              <w:right w:w="115" w:type="dxa"/>
            </w:tcMar>
            <w:vAlign w:val="bottom"/>
          </w:tcPr>
          <w:p w14:paraId="7975EF2E" w14:textId="77777777" w:rsidR="003F0EEA" w:rsidRDefault="003F0EEA">
            <w:pPr>
              <w:jc w:val="right"/>
              <w:rPr>
                <w:rFonts w:ascii="Arial" w:eastAsia="Arial" w:hAnsi="Arial" w:cs="Arial"/>
                <w:color w:val="000000"/>
                <w:sz w:val="16"/>
                <w:vertAlign w:val="superscript"/>
              </w:rPr>
            </w:pPr>
          </w:p>
        </w:tc>
        <w:tc>
          <w:tcPr>
            <w:tcW w:w="300" w:type="dxa"/>
            <w:tcBorders>
              <w:top w:val="nil"/>
              <w:left w:val="nil"/>
              <w:bottom w:val="nil"/>
              <w:right w:val="nil"/>
              <w:tl2br w:val="nil"/>
              <w:tr2bl w:val="nil"/>
            </w:tcBorders>
            <w:shd w:val="clear" w:color="auto" w:fill="FFFFFF"/>
            <w:tcMar>
              <w:left w:w="115" w:type="dxa"/>
              <w:right w:w="115" w:type="dxa"/>
            </w:tcMar>
            <w:vAlign w:val="bottom"/>
          </w:tcPr>
          <w:p w14:paraId="3C659EBD" w14:textId="77777777" w:rsidR="003F0EEA" w:rsidRDefault="003F0EEA">
            <w:pPr>
              <w:rPr>
                <w:rFonts w:ascii="Arial" w:eastAsia="Arial" w:hAnsi="Arial" w:cs="Arial"/>
                <w:b/>
                <w:color w:val="000000"/>
                <w:sz w:val="16"/>
                <w:vertAlign w:val="superscript"/>
              </w:rPr>
            </w:pPr>
          </w:p>
        </w:tc>
        <w:tc>
          <w:tcPr>
            <w:tcW w:w="1080" w:type="dxa"/>
            <w:tcBorders>
              <w:top w:val="nil"/>
              <w:left w:val="nil"/>
              <w:bottom w:val="nil"/>
              <w:right w:val="nil"/>
              <w:tl2br w:val="nil"/>
              <w:tr2bl w:val="nil"/>
            </w:tcBorders>
            <w:shd w:val="clear" w:color="auto" w:fill="FFFF00"/>
            <w:tcMar>
              <w:left w:w="115" w:type="dxa"/>
              <w:right w:w="115" w:type="dxa"/>
            </w:tcMar>
            <w:vAlign w:val="bottom"/>
          </w:tcPr>
          <w:p w14:paraId="21878936" w14:textId="77777777" w:rsidR="003F0EEA" w:rsidRDefault="003F0EEA">
            <w:pPr>
              <w:rPr>
                <w:rFonts w:ascii="Arial" w:eastAsia="Arial" w:hAnsi="Arial" w:cs="Arial"/>
                <w:color w:val="000000"/>
                <w:sz w:val="16"/>
                <w:vertAlign w:val="superscript"/>
              </w:rPr>
            </w:pPr>
          </w:p>
        </w:tc>
        <w:tc>
          <w:tcPr>
            <w:tcW w:w="1230" w:type="dxa"/>
            <w:tcBorders>
              <w:top w:val="nil"/>
              <w:left w:val="nil"/>
              <w:bottom w:val="nil"/>
              <w:right w:val="nil"/>
              <w:tl2br w:val="nil"/>
              <w:tr2bl w:val="nil"/>
            </w:tcBorders>
            <w:shd w:val="clear" w:color="auto" w:fill="FFFFFF"/>
            <w:tcMar>
              <w:left w:w="115" w:type="dxa"/>
              <w:right w:w="115" w:type="dxa"/>
            </w:tcMar>
            <w:vAlign w:val="bottom"/>
          </w:tcPr>
          <w:p w14:paraId="67A79A35" w14:textId="77777777" w:rsidR="003F0EEA" w:rsidRDefault="003F0EEA">
            <w:pPr>
              <w:jc w:val="right"/>
              <w:rPr>
                <w:rFonts w:ascii="Arial" w:eastAsia="Arial" w:hAnsi="Arial" w:cs="Arial"/>
                <w:color w:val="000000"/>
                <w:sz w:val="16"/>
                <w:vertAlign w:val="superscript"/>
              </w:rPr>
            </w:pPr>
          </w:p>
        </w:tc>
      </w:tr>
      <w:tr w:rsidR="00FB7D0B" w14:paraId="5718F3E1" w14:textId="77777777" w:rsidTr="00FB7D0B">
        <w:trPr>
          <w:trHeight w:val="225"/>
        </w:trPr>
        <w:tc>
          <w:tcPr>
            <w:tcW w:w="2880" w:type="dxa"/>
            <w:gridSpan w:val="3"/>
            <w:vMerge w:val="restart"/>
            <w:tcBorders>
              <w:top w:val="nil"/>
              <w:left w:val="nil"/>
              <w:bottom w:val="nil"/>
              <w:right w:val="nil"/>
              <w:tl2br w:val="nil"/>
              <w:tr2bl w:val="nil"/>
            </w:tcBorders>
            <w:shd w:val="clear" w:color="auto" w:fill="FFFFFF"/>
            <w:tcMar>
              <w:left w:w="115" w:type="dxa"/>
              <w:right w:w="115" w:type="dxa"/>
            </w:tcMar>
            <w:vAlign w:val="bottom"/>
          </w:tcPr>
          <w:p w14:paraId="0ED03EF6" w14:textId="77777777" w:rsidR="003F0EEA" w:rsidRDefault="00FB7D0B">
            <w:pPr>
              <w:rPr>
                <w:rFonts w:ascii="Arial" w:eastAsia="Arial" w:hAnsi="Arial" w:cs="Arial"/>
                <w:color w:val="000000"/>
                <w:sz w:val="16"/>
                <w:vertAlign w:val="superscript"/>
              </w:rPr>
            </w:pPr>
            <w:r>
              <w:rPr>
                <w:rFonts w:ascii="Arial" w:eastAsia="Arial" w:hAnsi="Arial" w:cs="Arial"/>
                <w:color w:val="000000"/>
                <w:sz w:val="16"/>
              </w:rPr>
              <w:t>and credited to Special Accounts</w:t>
            </w:r>
          </w:p>
        </w:tc>
        <w:tc>
          <w:tcPr>
            <w:tcW w:w="360" w:type="dxa"/>
            <w:tcBorders>
              <w:top w:val="nil"/>
              <w:left w:val="nil"/>
              <w:bottom w:val="nil"/>
              <w:right w:val="nil"/>
              <w:tl2br w:val="nil"/>
              <w:tr2bl w:val="nil"/>
            </w:tcBorders>
            <w:shd w:val="clear" w:color="auto" w:fill="FFFFFF"/>
            <w:tcMar>
              <w:left w:w="115" w:type="dxa"/>
              <w:right w:w="115" w:type="dxa"/>
            </w:tcMar>
            <w:vAlign w:val="bottom"/>
          </w:tcPr>
          <w:p w14:paraId="660C1771" w14:textId="77777777" w:rsidR="003F0EEA" w:rsidRDefault="003F0EEA">
            <w:pPr>
              <w:jc w:val="center"/>
              <w:rPr>
                <w:rFonts w:ascii="Arial" w:eastAsia="Arial" w:hAnsi="Arial" w:cs="Arial"/>
                <w:color w:val="000000"/>
                <w:sz w:val="16"/>
                <w:vertAlign w:val="superscript"/>
              </w:rPr>
            </w:pPr>
          </w:p>
        </w:tc>
        <w:tc>
          <w:tcPr>
            <w:tcW w:w="1230" w:type="dxa"/>
            <w:tcBorders>
              <w:top w:val="nil"/>
              <w:left w:val="nil"/>
              <w:bottom w:val="nil"/>
              <w:right w:val="nil"/>
              <w:tl2br w:val="nil"/>
              <w:tr2bl w:val="nil"/>
            </w:tcBorders>
            <w:shd w:val="clear" w:color="auto" w:fill="FFFFFF"/>
            <w:tcMar>
              <w:left w:w="115" w:type="dxa"/>
              <w:right w:w="115" w:type="dxa"/>
            </w:tcMar>
            <w:vAlign w:val="bottom"/>
          </w:tcPr>
          <w:p w14:paraId="78EC2D1A" w14:textId="77777777" w:rsidR="003F0EEA" w:rsidRDefault="003F0EEA">
            <w:pPr>
              <w:jc w:val="right"/>
              <w:rPr>
                <w:rFonts w:ascii="Arial" w:eastAsia="Arial" w:hAnsi="Arial" w:cs="Arial"/>
                <w:color w:val="000000"/>
                <w:sz w:val="16"/>
                <w:vertAlign w:val="superscript"/>
              </w:rPr>
            </w:pPr>
          </w:p>
        </w:tc>
        <w:tc>
          <w:tcPr>
            <w:tcW w:w="330" w:type="dxa"/>
            <w:tcBorders>
              <w:top w:val="nil"/>
              <w:left w:val="nil"/>
              <w:bottom w:val="nil"/>
              <w:right w:val="nil"/>
              <w:tl2br w:val="nil"/>
              <w:tr2bl w:val="nil"/>
            </w:tcBorders>
            <w:shd w:val="clear" w:color="auto" w:fill="FFFFFF"/>
            <w:tcMar>
              <w:left w:w="115" w:type="dxa"/>
              <w:right w:w="115" w:type="dxa"/>
            </w:tcMar>
            <w:vAlign w:val="bottom"/>
          </w:tcPr>
          <w:p w14:paraId="178B4398" w14:textId="77777777" w:rsidR="003F0EEA" w:rsidRDefault="003F0EEA">
            <w:pPr>
              <w:rPr>
                <w:rFonts w:ascii="Arial" w:eastAsia="Arial" w:hAnsi="Arial" w:cs="Arial"/>
                <w:color w:val="000000"/>
                <w:sz w:val="16"/>
                <w:vertAlign w:val="superscript"/>
              </w:rPr>
            </w:pPr>
          </w:p>
        </w:tc>
        <w:tc>
          <w:tcPr>
            <w:tcW w:w="1080" w:type="dxa"/>
            <w:tcBorders>
              <w:top w:val="nil"/>
              <w:left w:val="nil"/>
              <w:bottom w:val="nil"/>
              <w:right w:val="nil"/>
              <w:tl2br w:val="nil"/>
              <w:tr2bl w:val="nil"/>
            </w:tcBorders>
            <w:shd w:val="clear" w:color="auto" w:fill="FFFFFF"/>
            <w:tcMar>
              <w:left w:w="115" w:type="dxa"/>
              <w:right w:w="115" w:type="dxa"/>
            </w:tcMar>
            <w:vAlign w:val="bottom"/>
          </w:tcPr>
          <w:p w14:paraId="54ACEF84" w14:textId="77777777" w:rsidR="003F0EEA" w:rsidRDefault="003F0EEA">
            <w:pPr>
              <w:rPr>
                <w:rFonts w:ascii="Arial" w:eastAsia="Arial" w:hAnsi="Arial" w:cs="Arial"/>
                <w:color w:val="000000"/>
                <w:sz w:val="16"/>
                <w:vertAlign w:val="superscript"/>
              </w:rPr>
            </w:pPr>
          </w:p>
        </w:tc>
        <w:tc>
          <w:tcPr>
            <w:tcW w:w="300" w:type="dxa"/>
            <w:tcBorders>
              <w:top w:val="nil"/>
              <w:left w:val="nil"/>
              <w:bottom w:val="nil"/>
              <w:right w:val="nil"/>
              <w:tl2br w:val="nil"/>
              <w:tr2bl w:val="nil"/>
            </w:tcBorders>
            <w:shd w:val="clear" w:color="auto" w:fill="FFFFFF"/>
            <w:tcMar>
              <w:left w:w="115" w:type="dxa"/>
              <w:right w:w="115" w:type="dxa"/>
            </w:tcMar>
            <w:vAlign w:val="bottom"/>
          </w:tcPr>
          <w:p w14:paraId="096D77DE" w14:textId="77777777" w:rsidR="003F0EEA" w:rsidRDefault="003F0EEA">
            <w:pPr>
              <w:rPr>
                <w:rFonts w:ascii="Arial" w:eastAsia="Arial" w:hAnsi="Arial" w:cs="Arial"/>
                <w:color w:val="000000"/>
                <w:sz w:val="16"/>
                <w:vertAlign w:val="superscript"/>
              </w:rPr>
            </w:pPr>
          </w:p>
        </w:tc>
        <w:tc>
          <w:tcPr>
            <w:tcW w:w="1080" w:type="dxa"/>
            <w:tcBorders>
              <w:top w:val="nil"/>
              <w:left w:val="nil"/>
              <w:bottom w:val="nil"/>
              <w:right w:val="nil"/>
              <w:tl2br w:val="nil"/>
              <w:tr2bl w:val="nil"/>
            </w:tcBorders>
            <w:shd w:val="clear" w:color="auto" w:fill="FFFF00"/>
            <w:tcMar>
              <w:left w:w="115" w:type="dxa"/>
              <w:right w:w="115" w:type="dxa"/>
            </w:tcMar>
            <w:vAlign w:val="bottom"/>
          </w:tcPr>
          <w:p w14:paraId="479C3C1E" w14:textId="77777777" w:rsidR="003F0EEA" w:rsidRDefault="003F0EEA">
            <w:pPr>
              <w:rPr>
                <w:rFonts w:ascii="Arial" w:eastAsia="Arial" w:hAnsi="Arial" w:cs="Arial"/>
                <w:color w:val="000000"/>
                <w:sz w:val="16"/>
                <w:vertAlign w:val="superscript"/>
              </w:rPr>
            </w:pPr>
          </w:p>
        </w:tc>
        <w:tc>
          <w:tcPr>
            <w:tcW w:w="1230" w:type="dxa"/>
            <w:tcBorders>
              <w:top w:val="nil"/>
              <w:left w:val="nil"/>
              <w:bottom w:val="nil"/>
              <w:right w:val="nil"/>
              <w:tl2br w:val="nil"/>
              <w:tr2bl w:val="nil"/>
            </w:tcBorders>
            <w:shd w:val="clear" w:color="auto" w:fill="FFFFFF"/>
            <w:tcMar>
              <w:left w:w="115" w:type="dxa"/>
              <w:right w:w="115" w:type="dxa"/>
            </w:tcMar>
            <w:vAlign w:val="bottom"/>
          </w:tcPr>
          <w:p w14:paraId="4FBB14C7" w14:textId="77777777" w:rsidR="003F0EEA" w:rsidRDefault="003F0EEA">
            <w:pPr>
              <w:jc w:val="right"/>
              <w:rPr>
                <w:rFonts w:ascii="Arial" w:eastAsia="Arial" w:hAnsi="Arial" w:cs="Arial"/>
                <w:color w:val="000000"/>
                <w:sz w:val="16"/>
                <w:vertAlign w:val="superscript"/>
              </w:rPr>
            </w:pPr>
          </w:p>
        </w:tc>
      </w:tr>
      <w:tr w:rsidR="00FB7D0B" w14:paraId="453EB81C" w14:textId="77777777" w:rsidTr="00FB7D0B">
        <w:trPr>
          <w:trHeight w:val="225"/>
        </w:trPr>
        <w:tc>
          <w:tcPr>
            <w:tcW w:w="2880" w:type="dxa"/>
            <w:gridSpan w:val="3"/>
            <w:vMerge w:val="restart"/>
            <w:tcBorders>
              <w:top w:val="nil"/>
              <w:left w:val="nil"/>
              <w:bottom w:val="nil"/>
              <w:right w:val="nil"/>
              <w:tl2br w:val="nil"/>
              <w:tr2bl w:val="nil"/>
            </w:tcBorders>
            <w:shd w:val="clear" w:color="auto" w:fill="FFFFFF"/>
            <w:tcMar>
              <w:left w:w="115" w:type="dxa"/>
              <w:right w:w="115" w:type="dxa"/>
            </w:tcMar>
            <w:vAlign w:val="bottom"/>
          </w:tcPr>
          <w:p w14:paraId="7350D38E" w14:textId="77777777" w:rsidR="003F0EEA" w:rsidRDefault="00FB7D0B">
            <w:pPr>
              <w:rPr>
                <w:rFonts w:ascii="Arial" w:eastAsia="Arial" w:hAnsi="Arial" w:cs="Arial"/>
                <w:color w:val="000000"/>
                <w:sz w:val="16"/>
                <w:vertAlign w:val="superscript"/>
              </w:rPr>
            </w:pPr>
            <w:r>
              <w:rPr>
                <w:rFonts w:ascii="Arial" w:eastAsia="Arial" w:hAnsi="Arial" w:cs="Arial"/>
                <w:color w:val="000000"/>
                <w:sz w:val="16"/>
              </w:rPr>
              <w:t xml:space="preserve">and/or CAC Act bodies through </w:t>
            </w:r>
          </w:p>
        </w:tc>
        <w:tc>
          <w:tcPr>
            <w:tcW w:w="360" w:type="dxa"/>
            <w:tcBorders>
              <w:top w:val="nil"/>
              <w:left w:val="nil"/>
              <w:bottom w:val="nil"/>
              <w:right w:val="nil"/>
              <w:tl2br w:val="nil"/>
              <w:tr2bl w:val="nil"/>
            </w:tcBorders>
            <w:shd w:val="clear" w:color="auto" w:fill="FFFFFF"/>
            <w:tcMar>
              <w:left w:w="115" w:type="dxa"/>
              <w:right w:w="115" w:type="dxa"/>
            </w:tcMar>
            <w:vAlign w:val="bottom"/>
          </w:tcPr>
          <w:p w14:paraId="7ED0E019" w14:textId="77777777" w:rsidR="003F0EEA" w:rsidRDefault="003F0EEA">
            <w:pPr>
              <w:jc w:val="center"/>
              <w:rPr>
                <w:rFonts w:ascii="Arial" w:eastAsia="Arial" w:hAnsi="Arial" w:cs="Arial"/>
                <w:color w:val="000000"/>
                <w:sz w:val="16"/>
                <w:vertAlign w:val="superscript"/>
              </w:rPr>
            </w:pPr>
          </w:p>
        </w:tc>
        <w:tc>
          <w:tcPr>
            <w:tcW w:w="1230" w:type="dxa"/>
            <w:tcBorders>
              <w:top w:val="nil"/>
              <w:left w:val="nil"/>
              <w:bottom w:val="nil"/>
              <w:right w:val="nil"/>
              <w:tl2br w:val="nil"/>
              <w:tr2bl w:val="nil"/>
            </w:tcBorders>
            <w:shd w:val="clear" w:color="auto" w:fill="FFFFFF"/>
            <w:tcMar>
              <w:left w:w="115" w:type="dxa"/>
              <w:right w:w="115" w:type="dxa"/>
            </w:tcMar>
            <w:vAlign w:val="bottom"/>
          </w:tcPr>
          <w:p w14:paraId="2E32267B" w14:textId="77777777" w:rsidR="003F0EEA" w:rsidRDefault="003F0EEA">
            <w:pPr>
              <w:jc w:val="right"/>
              <w:rPr>
                <w:rFonts w:ascii="Arial" w:eastAsia="Arial" w:hAnsi="Arial" w:cs="Arial"/>
                <w:color w:val="000000"/>
                <w:sz w:val="16"/>
                <w:vertAlign w:val="superscript"/>
              </w:rPr>
            </w:pPr>
          </w:p>
        </w:tc>
        <w:tc>
          <w:tcPr>
            <w:tcW w:w="330" w:type="dxa"/>
            <w:tcBorders>
              <w:top w:val="nil"/>
              <w:left w:val="nil"/>
              <w:bottom w:val="nil"/>
              <w:right w:val="nil"/>
              <w:tl2br w:val="nil"/>
              <w:tr2bl w:val="nil"/>
            </w:tcBorders>
            <w:shd w:val="clear" w:color="auto" w:fill="FFFFFF"/>
            <w:tcMar>
              <w:left w:w="115" w:type="dxa"/>
              <w:right w:w="115" w:type="dxa"/>
            </w:tcMar>
            <w:vAlign w:val="bottom"/>
          </w:tcPr>
          <w:p w14:paraId="54FAF8DA" w14:textId="77777777" w:rsidR="003F0EEA" w:rsidRDefault="003F0EEA">
            <w:pPr>
              <w:rPr>
                <w:rFonts w:ascii="Arial" w:eastAsia="Arial" w:hAnsi="Arial" w:cs="Arial"/>
                <w:color w:val="000000"/>
                <w:sz w:val="16"/>
                <w:vertAlign w:val="superscript"/>
              </w:rPr>
            </w:pPr>
          </w:p>
        </w:tc>
        <w:tc>
          <w:tcPr>
            <w:tcW w:w="1080" w:type="dxa"/>
            <w:tcBorders>
              <w:top w:val="nil"/>
              <w:left w:val="nil"/>
              <w:bottom w:val="nil"/>
              <w:right w:val="nil"/>
              <w:tl2br w:val="nil"/>
              <w:tr2bl w:val="nil"/>
            </w:tcBorders>
            <w:shd w:val="clear" w:color="auto" w:fill="FFFFFF"/>
            <w:tcMar>
              <w:left w:w="115" w:type="dxa"/>
              <w:right w:w="115" w:type="dxa"/>
            </w:tcMar>
            <w:vAlign w:val="bottom"/>
          </w:tcPr>
          <w:p w14:paraId="3B299791" w14:textId="77777777" w:rsidR="003F0EEA" w:rsidRDefault="003F0EEA">
            <w:pPr>
              <w:rPr>
                <w:rFonts w:ascii="Arial" w:eastAsia="Arial" w:hAnsi="Arial" w:cs="Arial"/>
                <w:color w:val="000000"/>
                <w:sz w:val="16"/>
                <w:vertAlign w:val="superscript"/>
              </w:rPr>
            </w:pPr>
          </w:p>
        </w:tc>
        <w:tc>
          <w:tcPr>
            <w:tcW w:w="300" w:type="dxa"/>
            <w:tcBorders>
              <w:top w:val="nil"/>
              <w:left w:val="nil"/>
              <w:bottom w:val="nil"/>
              <w:right w:val="nil"/>
              <w:tl2br w:val="nil"/>
              <w:tr2bl w:val="nil"/>
            </w:tcBorders>
            <w:shd w:val="clear" w:color="auto" w:fill="FFFFFF"/>
            <w:tcMar>
              <w:left w:w="115" w:type="dxa"/>
              <w:right w:w="115" w:type="dxa"/>
            </w:tcMar>
            <w:vAlign w:val="bottom"/>
          </w:tcPr>
          <w:p w14:paraId="45A85D62" w14:textId="77777777" w:rsidR="003F0EEA" w:rsidRDefault="003F0EEA">
            <w:pPr>
              <w:rPr>
                <w:rFonts w:ascii="Arial" w:eastAsia="Arial" w:hAnsi="Arial" w:cs="Arial"/>
                <w:color w:val="000000"/>
                <w:sz w:val="16"/>
                <w:vertAlign w:val="superscript"/>
              </w:rPr>
            </w:pPr>
          </w:p>
        </w:tc>
        <w:tc>
          <w:tcPr>
            <w:tcW w:w="1080" w:type="dxa"/>
            <w:tcBorders>
              <w:top w:val="nil"/>
              <w:left w:val="nil"/>
              <w:bottom w:val="nil"/>
              <w:right w:val="nil"/>
              <w:tl2br w:val="nil"/>
              <w:tr2bl w:val="nil"/>
            </w:tcBorders>
            <w:shd w:val="clear" w:color="auto" w:fill="FFFF00"/>
            <w:tcMar>
              <w:left w:w="115" w:type="dxa"/>
              <w:right w:w="115" w:type="dxa"/>
            </w:tcMar>
            <w:vAlign w:val="bottom"/>
          </w:tcPr>
          <w:p w14:paraId="67134BEB" w14:textId="77777777" w:rsidR="003F0EEA" w:rsidRDefault="003F0EEA">
            <w:pPr>
              <w:rPr>
                <w:rFonts w:ascii="Arial" w:eastAsia="Arial" w:hAnsi="Arial" w:cs="Arial"/>
                <w:color w:val="000000"/>
                <w:sz w:val="16"/>
                <w:vertAlign w:val="superscript"/>
              </w:rPr>
            </w:pPr>
          </w:p>
        </w:tc>
        <w:tc>
          <w:tcPr>
            <w:tcW w:w="1230" w:type="dxa"/>
            <w:tcBorders>
              <w:top w:val="nil"/>
              <w:left w:val="nil"/>
              <w:bottom w:val="nil"/>
              <w:right w:val="nil"/>
              <w:tl2br w:val="nil"/>
              <w:tr2bl w:val="nil"/>
            </w:tcBorders>
            <w:shd w:val="clear" w:color="auto" w:fill="FFFFFF"/>
            <w:tcMar>
              <w:left w:w="115" w:type="dxa"/>
              <w:right w:w="115" w:type="dxa"/>
            </w:tcMar>
            <w:vAlign w:val="bottom"/>
          </w:tcPr>
          <w:p w14:paraId="6A5475F9" w14:textId="77777777" w:rsidR="003F0EEA" w:rsidRDefault="003F0EEA">
            <w:pPr>
              <w:jc w:val="right"/>
              <w:rPr>
                <w:rFonts w:ascii="Arial" w:eastAsia="Arial" w:hAnsi="Arial" w:cs="Arial"/>
                <w:color w:val="000000"/>
                <w:sz w:val="16"/>
                <w:vertAlign w:val="superscript"/>
              </w:rPr>
            </w:pPr>
          </w:p>
        </w:tc>
      </w:tr>
      <w:tr w:rsidR="00FB7D0B" w14:paraId="37819165" w14:textId="77777777" w:rsidTr="00FB7D0B">
        <w:trPr>
          <w:trHeight w:val="225"/>
        </w:trPr>
        <w:tc>
          <w:tcPr>
            <w:tcW w:w="2880" w:type="dxa"/>
            <w:gridSpan w:val="3"/>
            <w:tcBorders>
              <w:top w:val="nil"/>
              <w:left w:val="nil"/>
              <w:bottom w:val="nil"/>
              <w:right w:val="nil"/>
              <w:tl2br w:val="nil"/>
              <w:tr2bl w:val="nil"/>
            </w:tcBorders>
            <w:shd w:val="clear" w:color="auto" w:fill="FFFFFF"/>
            <w:tcMar>
              <w:left w:w="115" w:type="dxa"/>
              <w:right w:w="115" w:type="dxa"/>
            </w:tcMar>
            <w:vAlign w:val="bottom"/>
          </w:tcPr>
          <w:p w14:paraId="1229DE2B" w14:textId="77777777" w:rsidR="003F0EEA" w:rsidRDefault="00FB7D0B">
            <w:pPr>
              <w:rPr>
                <w:rFonts w:ascii="Arial" w:eastAsia="Arial" w:hAnsi="Arial" w:cs="Arial"/>
                <w:color w:val="000000"/>
                <w:sz w:val="16"/>
                <w:vertAlign w:val="superscript"/>
              </w:rPr>
            </w:pPr>
            <w:r>
              <w:rPr>
                <w:rFonts w:ascii="Arial" w:eastAsia="Arial" w:hAnsi="Arial" w:cs="Arial"/>
                <w:color w:val="000000"/>
                <w:sz w:val="16"/>
              </w:rPr>
              <w:t>annual appropriations</w:t>
            </w:r>
          </w:p>
        </w:tc>
        <w:tc>
          <w:tcPr>
            <w:tcW w:w="360" w:type="dxa"/>
            <w:tcBorders>
              <w:top w:val="nil"/>
              <w:left w:val="nil"/>
              <w:bottom w:val="nil"/>
              <w:right w:val="nil"/>
              <w:tl2br w:val="nil"/>
              <w:tr2bl w:val="nil"/>
            </w:tcBorders>
            <w:shd w:val="clear" w:color="auto" w:fill="FFFFFF"/>
            <w:tcMar>
              <w:left w:w="115" w:type="dxa"/>
              <w:right w:w="115" w:type="dxa"/>
            </w:tcMar>
            <w:vAlign w:val="bottom"/>
          </w:tcPr>
          <w:p w14:paraId="6B3CE2D9" w14:textId="77777777" w:rsidR="003F0EEA" w:rsidRDefault="003F0EEA">
            <w:pPr>
              <w:jc w:val="center"/>
              <w:rPr>
                <w:rFonts w:ascii="Arial" w:eastAsia="Arial" w:hAnsi="Arial" w:cs="Arial"/>
                <w:color w:val="000000"/>
                <w:sz w:val="16"/>
                <w:vertAlign w:val="superscript"/>
              </w:rPr>
            </w:pPr>
          </w:p>
        </w:tc>
        <w:tc>
          <w:tcPr>
            <w:tcW w:w="1230"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19D786C3" w14:textId="77777777" w:rsidR="003F0EEA" w:rsidRDefault="00FB7D0B">
            <w:pPr>
              <w:jc w:val="right"/>
              <w:rPr>
                <w:rFonts w:ascii="Arial" w:eastAsia="Arial" w:hAnsi="Arial" w:cs="Arial"/>
                <w:color w:val="000000"/>
                <w:sz w:val="16"/>
                <w:vertAlign w:val="superscript"/>
              </w:rPr>
            </w:pPr>
            <w:r>
              <w:rPr>
                <w:rFonts w:ascii="Arial" w:eastAsia="Arial" w:hAnsi="Arial" w:cs="Arial"/>
                <w:color w:val="000000"/>
                <w:sz w:val="16"/>
              </w:rPr>
              <w:t xml:space="preserve"> - </w:t>
            </w:r>
          </w:p>
        </w:tc>
        <w:tc>
          <w:tcPr>
            <w:tcW w:w="330"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7C5997EA" w14:textId="77777777" w:rsidR="003F0EEA" w:rsidRDefault="003F0EEA">
            <w:pPr>
              <w:rPr>
                <w:rFonts w:ascii="Arial" w:eastAsia="Arial" w:hAnsi="Arial" w:cs="Arial"/>
                <w:color w:val="000000"/>
                <w:sz w:val="16"/>
              </w:rPr>
            </w:pPr>
          </w:p>
        </w:tc>
        <w:tc>
          <w:tcPr>
            <w:tcW w:w="1080"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1425EB3D" w14:textId="77777777" w:rsidR="003F0EEA" w:rsidRDefault="00FB7D0B">
            <w:pPr>
              <w:jc w:val="right"/>
              <w:rPr>
                <w:rFonts w:ascii="Arial" w:eastAsia="Arial" w:hAnsi="Arial" w:cs="Arial"/>
                <w:color w:val="000000"/>
                <w:sz w:val="16"/>
              </w:rPr>
            </w:pPr>
            <w:r>
              <w:rPr>
                <w:rFonts w:ascii="Arial" w:eastAsia="Arial" w:hAnsi="Arial" w:cs="Arial"/>
                <w:color w:val="000000"/>
                <w:sz w:val="16"/>
              </w:rPr>
              <w:t xml:space="preserve"> 60,572 </w:t>
            </w:r>
          </w:p>
        </w:tc>
        <w:tc>
          <w:tcPr>
            <w:tcW w:w="300"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0DBE4720" w14:textId="77777777" w:rsidR="003F0EEA" w:rsidRDefault="003F0EEA">
            <w:pPr>
              <w:rPr>
                <w:rFonts w:ascii="Arial" w:eastAsia="Arial" w:hAnsi="Arial" w:cs="Arial"/>
                <w:color w:val="000000"/>
                <w:sz w:val="16"/>
              </w:rPr>
            </w:pPr>
          </w:p>
        </w:tc>
        <w:tc>
          <w:tcPr>
            <w:tcW w:w="1080" w:type="dxa"/>
            <w:tcBorders>
              <w:top w:val="nil"/>
              <w:left w:val="nil"/>
              <w:bottom w:val="single" w:sz="6" w:space="0" w:color="000000"/>
              <w:right w:val="nil"/>
              <w:tl2br w:val="nil"/>
              <w:tr2bl w:val="nil"/>
            </w:tcBorders>
            <w:shd w:val="clear" w:color="auto" w:fill="FFFF00"/>
            <w:tcMar>
              <w:left w:w="115" w:type="dxa"/>
              <w:right w:w="115" w:type="dxa"/>
            </w:tcMar>
            <w:vAlign w:val="bottom"/>
          </w:tcPr>
          <w:p w14:paraId="57BB406F" w14:textId="77777777" w:rsidR="003F0EEA" w:rsidRDefault="00FB7D0B">
            <w:pPr>
              <w:jc w:val="right"/>
              <w:rPr>
                <w:rFonts w:ascii="Arial" w:eastAsia="Arial" w:hAnsi="Arial" w:cs="Arial"/>
                <w:color w:val="000000"/>
                <w:sz w:val="16"/>
              </w:rPr>
            </w:pPr>
            <w:r>
              <w:rPr>
                <w:rFonts w:ascii="Arial" w:eastAsia="Arial" w:hAnsi="Arial" w:cs="Arial"/>
                <w:color w:val="000000"/>
                <w:sz w:val="16"/>
              </w:rPr>
              <w:t>60,572 </w:t>
            </w:r>
          </w:p>
        </w:tc>
        <w:tc>
          <w:tcPr>
            <w:tcW w:w="1230"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45A3C9CD" w14:textId="77777777" w:rsidR="003F0EEA" w:rsidRDefault="00FB7D0B">
            <w:pPr>
              <w:jc w:val="right"/>
              <w:rPr>
                <w:rFonts w:ascii="Arial" w:eastAsia="Arial" w:hAnsi="Arial" w:cs="Arial"/>
                <w:color w:val="000000"/>
                <w:sz w:val="16"/>
              </w:rPr>
            </w:pPr>
            <w:r>
              <w:rPr>
                <w:rFonts w:ascii="Arial" w:eastAsia="Arial" w:hAnsi="Arial" w:cs="Arial"/>
                <w:color w:val="000000"/>
                <w:sz w:val="16"/>
              </w:rPr>
              <w:t>66,278 </w:t>
            </w:r>
          </w:p>
        </w:tc>
      </w:tr>
      <w:tr w:rsidR="00FB7D0B" w14:paraId="4241F9E3" w14:textId="77777777" w:rsidTr="00FB7D0B">
        <w:trPr>
          <w:trHeight w:val="225"/>
        </w:trPr>
        <w:tc>
          <w:tcPr>
            <w:tcW w:w="2880" w:type="dxa"/>
            <w:gridSpan w:val="3"/>
            <w:tcBorders>
              <w:top w:val="nil"/>
              <w:left w:val="nil"/>
              <w:bottom w:val="single" w:sz="6" w:space="0" w:color="000000"/>
              <w:right w:val="nil"/>
              <w:tl2br w:val="nil"/>
              <w:tr2bl w:val="nil"/>
            </w:tcBorders>
            <w:shd w:val="clear" w:color="auto" w:fill="FFFFFF"/>
            <w:tcMar>
              <w:left w:w="115" w:type="dxa"/>
              <w:right w:w="115" w:type="dxa"/>
            </w:tcMar>
            <w:vAlign w:val="bottom"/>
          </w:tcPr>
          <w:p w14:paraId="00B393F5" w14:textId="77777777" w:rsidR="003F0EEA" w:rsidRDefault="00FB7D0B">
            <w:pPr>
              <w:rPr>
                <w:rFonts w:ascii="Arial" w:eastAsia="Arial" w:hAnsi="Arial" w:cs="Arial"/>
                <w:color w:val="000000"/>
                <w:sz w:val="16"/>
              </w:rPr>
            </w:pPr>
            <w:r>
              <w:rPr>
                <w:rFonts w:ascii="Arial" w:eastAsia="Arial" w:hAnsi="Arial" w:cs="Arial"/>
                <w:b/>
                <w:color w:val="000000"/>
                <w:sz w:val="16"/>
              </w:rPr>
              <w:t>Total net resourcing for DVA</w:t>
            </w:r>
          </w:p>
        </w:tc>
        <w:tc>
          <w:tcPr>
            <w:tcW w:w="360"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043FBD54" w14:textId="77777777" w:rsidR="003F0EEA" w:rsidRDefault="003F0EEA">
            <w:pPr>
              <w:jc w:val="center"/>
              <w:rPr>
                <w:rFonts w:ascii="Arial" w:eastAsia="Arial" w:hAnsi="Arial" w:cs="Arial"/>
                <w:b/>
                <w:color w:val="000000"/>
                <w:sz w:val="16"/>
                <w:vertAlign w:val="superscript"/>
              </w:rPr>
            </w:pPr>
          </w:p>
        </w:tc>
        <w:tc>
          <w:tcPr>
            <w:tcW w:w="1230" w:type="dxa"/>
            <w:tcBorders>
              <w:top w:val="single" w:sz="6" w:space="0" w:color="000000"/>
              <w:left w:val="nil"/>
              <w:bottom w:val="single" w:sz="6" w:space="0" w:color="000000"/>
              <w:right w:val="nil"/>
              <w:tl2br w:val="nil"/>
              <w:tr2bl w:val="nil"/>
            </w:tcBorders>
            <w:shd w:val="clear" w:color="auto" w:fill="FFFFFF"/>
            <w:tcMar>
              <w:left w:w="115" w:type="dxa"/>
              <w:right w:w="115" w:type="dxa"/>
            </w:tcMar>
            <w:vAlign w:val="bottom"/>
          </w:tcPr>
          <w:p w14:paraId="1C4EF026" w14:textId="77777777" w:rsidR="003F0EEA" w:rsidRDefault="00FB7D0B">
            <w:pPr>
              <w:jc w:val="right"/>
              <w:rPr>
                <w:rFonts w:ascii="Arial" w:eastAsia="Arial" w:hAnsi="Arial" w:cs="Arial"/>
                <w:b/>
                <w:color w:val="000000"/>
                <w:sz w:val="16"/>
                <w:vertAlign w:val="superscript"/>
              </w:rPr>
            </w:pPr>
            <w:r>
              <w:rPr>
                <w:rFonts w:ascii="Arial" w:eastAsia="Arial" w:hAnsi="Arial" w:cs="Arial"/>
                <w:b/>
                <w:color w:val="000000"/>
                <w:sz w:val="16"/>
              </w:rPr>
              <w:t xml:space="preserve"> 12,783 </w:t>
            </w:r>
          </w:p>
        </w:tc>
        <w:tc>
          <w:tcPr>
            <w:tcW w:w="330" w:type="dxa"/>
            <w:tcBorders>
              <w:top w:val="single" w:sz="6" w:space="0" w:color="000000"/>
              <w:left w:val="nil"/>
              <w:bottom w:val="single" w:sz="6" w:space="0" w:color="000000"/>
              <w:right w:val="nil"/>
              <w:tl2br w:val="nil"/>
              <w:tr2bl w:val="nil"/>
            </w:tcBorders>
            <w:shd w:val="clear" w:color="auto" w:fill="FFFFFF"/>
            <w:tcMar>
              <w:left w:w="115" w:type="dxa"/>
              <w:right w:w="115" w:type="dxa"/>
            </w:tcMar>
            <w:vAlign w:val="bottom"/>
          </w:tcPr>
          <w:p w14:paraId="1B5F9C5C" w14:textId="77777777" w:rsidR="003F0EEA" w:rsidRDefault="003F0EEA">
            <w:pPr>
              <w:rPr>
                <w:rFonts w:ascii="Arial" w:eastAsia="Arial" w:hAnsi="Arial" w:cs="Arial"/>
                <w:b/>
                <w:color w:val="000000"/>
                <w:sz w:val="16"/>
              </w:rPr>
            </w:pPr>
          </w:p>
        </w:tc>
        <w:tc>
          <w:tcPr>
            <w:tcW w:w="1080" w:type="dxa"/>
            <w:tcBorders>
              <w:top w:val="single" w:sz="6" w:space="0" w:color="000000"/>
              <w:left w:val="nil"/>
              <w:bottom w:val="single" w:sz="6" w:space="0" w:color="000000"/>
              <w:right w:val="nil"/>
              <w:tl2br w:val="nil"/>
              <w:tr2bl w:val="nil"/>
            </w:tcBorders>
            <w:shd w:val="clear" w:color="auto" w:fill="FFFFFF"/>
            <w:tcMar>
              <w:left w:w="115" w:type="dxa"/>
              <w:right w:w="115" w:type="dxa"/>
            </w:tcMar>
            <w:vAlign w:val="bottom"/>
          </w:tcPr>
          <w:p w14:paraId="3DFE329A" w14:textId="77777777" w:rsidR="003F0EEA" w:rsidRDefault="00FB7D0B">
            <w:pPr>
              <w:jc w:val="right"/>
              <w:rPr>
                <w:rFonts w:ascii="Arial" w:eastAsia="Arial" w:hAnsi="Arial" w:cs="Arial"/>
                <w:b/>
                <w:color w:val="000000"/>
                <w:sz w:val="16"/>
              </w:rPr>
            </w:pPr>
            <w:r>
              <w:rPr>
                <w:rFonts w:ascii="Arial" w:eastAsia="Arial" w:hAnsi="Arial" w:cs="Arial"/>
                <w:b/>
                <w:color w:val="000000"/>
                <w:sz w:val="16"/>
              </w:rPr>
              <w:t>12,334,781 </w:t>
            </w:r>
          </w:p>
        </w:tc>
        <w:tc>
          <w:tcPr>
            <w:tcW w:w="300" w:type="dxa"/>
            <w:tcBorders>
              <w:top w:val="single" w:sz="6" w:space="0" w:color="000000"/>
              <w:left w:val="nil"/>
              <w:bottom w:val="single" w:sz="6" w:space="0" w:color="000000"/>
              <w:right w:val="nil"/>
              <w:tl2br w:val="nil"/>
              <w:tr2bl w:val="nil"/>
            </w:tcBorders>
            <w:shd w:val="clear" w:color="auto" w:fill="FFFFFF"/>
            <w:tcMar>
              <w:left w:w="115" w:type="dxa"/>
              <w:right w:w="115" w:type="dxa"/>
            </w:tcMar>
            <w:vAlign w:val="bottom"/>
          </w:tcPr>
          <w:p w14:paraId="5BE8107A" w14:textId="77777777" w:rsidR="003F0EEA" w:rsidRDefault="003F0EEA">
            <w:pPr>
              <w:rPr>
                <w:rFonts w:ascii="Arial" w:eastAsia="Arial" w:hAnsi="Arial" w:cs="Arial"/>
                <w:b/>
                <w:color w:val="000000"/>
                <w:sz w:val="16"/>
              </w:rPr>
            </w:pPr>
          </w:p>
        </w:tc>
        <w:tc>
          <w:tcPr>
            <w:tcW w:w="1080" w:type="dxa"/>
            <w:tcBorders>
              <w:top w:val="single" w:sz="6" w:space="0" w:color="000000"/>
              <w:left w:val="nil"/>
              <w:bottom w:val="single" w:sz="6" w:space="0" w:color="000000"/>
              <w:right w:val="nil"/>
              <w:tl2br w:val="nil"/>
              <w:tr2bl w:val="nil"/>
            </w:tcBorders>
            <w:shd w:val="clear" w:color="auto" w:fill="FFFF00"/>
            <w:tcMar>
              <w:left w:w="115" w:type="dxa"/>
              <w:right w:w="115" w:type="dxa"/>
            </w:tcMar>
            <w:vAlign w:val="bottom"/>
          </w:tcPr>
          <w:p w14:paraId="70CD0843" w14:textId="77777777" w:rsidR="003F0EEA" w:rsidRDefault="00FB7D0B">
            <w:pPr>
              <w:jc w:val="right"/>
              <w:rPr>
                <w:rFonts w:ascii="Arial" w:eastAsia="Arial" w:hAnsi="Arial" w:cs="Arial"/>
                <w:b/>
                <w:color w:val="000000"/>
                <w:sz w:val="16"/>
              </w:rPr>
            </w:pPr>
            <w:r>
              <w:rPr>
                <w:rFonts w:ascii="Arial" w:eastAsia="Arial" w:hAnsi="Arial" w:cs="Arial"/>
                <w:b/>
                <w:color w:val="000000"/>
                <w:sz w:val="16"/>
              </w:rPr>
              <w:t>12,347,564 </w:t>
            </w:r>
          </w:p>
        </w:tc>
        <w:tc>
          <w:tcPr>
            <w:tcW w:w="1230" w:type="dxa"/>
            <w:tcBorders>
              <w:top w:val="single" w:sz="6" w:space="0" w:color="000000"/>
              <w:left w:val="nil"/>
              <w:bottom w:val="single" w:sz="6" w:space="0" w:color="000000"/>
              <w:right w:val="nil"/>
              <w:tl2br w:val="nil"/>
              <w:tr2bl w:val="nil"/>
            </w:tcBorders>
            <w:shd w:val="clear" w:color="auto" w:fill="FFFFFF"/>
            <w:tcMar>
              <w:left w:w="115" w:type="dxa"/>
              <w:right w:w="115" w:type="dxa"/>
            </w:tcMar>
            <w:vAlign w:val="bottom"/>
          </w:tcPr>
          <w:p w14:paraId="04C2DA6B" w14:textId="77777777" w:rsidR="003F0EEA" w:rsidRDefault="00FB7D0B">
            <w:pPr>
              <w:jc w:val="right"/>
              <w:rPr>
                <w:rFonts w:ascii="Arial" w:eastAsia="Arial" w:hAnsi="Arial" w:cs="Arial"/>
                <w:b/>
                <w:color w:val="000000"/>
                <w:sz w:val="16"/>
              </w:rPr>
            </w:pPr>
            <w:r>
              <w:rPr>
                <w:rFonts w:ascii="Arial" w:eastAsia="Arial" w:hAnsi="Arial" w:cs="Arial"/>
                <w:b/>
                <w:color w:val="000000"/>
                <w:sz w:val="16"/>
              </w:rPr>
              <w:t>12,437,824 </w:t>
            </w:r>
          </w:p>
        </w:tc>
      </w:tr>
    </w:tbl>
    <w:p w14:paraId="781C4A16" w14:textId="77777777" w:rsidR="003F0EEA" w:rsidRDefault="00FB7D0B" w:rsidP="003F0EEA">
      <w:pPr>
        <w:pStyle w:val="ListParagraph1"/>
        <w:numPr>
          <w:ilvl w:val="0"/>
          <w:numId w:val="6"/>
        </w:numPr>
        <w:spacing w:after="0" w:line="240" w:lineRule="auto"/>
        <w:ind w:left="357" w:right="206" w:hanging="357"/>
        <w:jc w:val="both"/>
        <w:rPr>
          <w:rFonts w:ascii="Arial" w:hAnsi="Arial" w:cs="Arial"/>
          <w:sz w:val="16"/>
          <w:szCs w:val="16"/>
        </w:rPr>
      </w:pPr>
      <w:r>
        <w:rPr>
          <w:rFonts w:ascii="Arial" w:hAnsi="Arial" w:cs="Arial"/>
          <w:sz w:val="16"/>
          <w:szCs w:val="16"/>
        </w:rPr>
        <w:t>Appropriation Bill (No. 1) 2014-15.</w:t>
      </w:r>
    </w:p>
    <w:p w14:paraId="705318EA" w14:textId="77777777" w:rsidR="003F0EEA" w:rsidRDefault="00FB7D0B" w:rsidP="003F0EEA">
      <w:pPr>
        <w:pStyle w:val="Normal72"/>
        <w:numPr>
          <w:ilvl w:val="0"/>
          <w:numId w:val="6"/>
        </w:numPr>
        <w:spacing w:after="0" w:line="240" w:lineRule="auto"/>
        <w:ind w:left="357" w:right="206" w:hanging="357"/>
        <w:contextualSpacing/>
        <w:jc w:val="both"/>
        <w:rPr>
          <w:rFonts w:ascii="Arial" w:eastAsia="Times New Roman" w:hAnsi="Arial" w:cs="Arial"/>
          <w:sz w:val="16"/>
          <w:szCs w:val="16"/>
          <w:lang w:eastAsia="en-AU"/>
        </w:rPr>
      </w:pPr>
      <w:r>
        <w:rPr>
          <w:rFonts w:ascii="Arial" w:eastAsia="Times New Roman" w:hAnsi="Arial" w:cs="Arial"/>
          <w:sz w:val="16"/>
          <w:szCs w:val="16"/>
          <w:lang w:eastAsia="en-AU"/>
        </w:rPr>
        <w:t>Estimated adjusted balance carried from previous year for annual appropriations.</w:t>
      </w:r>
    </w:p>
    <w:p w14:paraId="3EEFAAA4" w14:textId="77777777" w:rsidR="003F0EEA" w:rsidRDefault="00FB7D0B" w:rsidP="003F0EEA">
      <w:pPr>
        <w:pStyle w:val="Normal72"/>
        <w:numPr>
          <w:ilvl w:val="0"/>
          <w:numId w:val="6"/>
        </w:numPr>
        <w:spacing w:after="0" w:line="240" w:lineRule="auto"/>
        <w:ind w:left="357" w:right="206" w:hanging="357"/>
        <w:contextualSpacing/>
        <w:jc w:val="both"/>
        <w:rPr>
          <w:rFonts w:ascii="Arial" w:eastAsia="Times New Roman" w:hAnsi="Arial" w:cs="Arial"/>
          <w:sz w:val="16"/>
          <w:szCs w:val="16"/>
          <w:lang w:eastAsia="en-AU"/>
        </w:rPr>
      </w:pPr>
      <w:r>
        <w:rPr>
          <w:rFonts w:ascii="Arial" w:eastAsia="Times New Roman" w:hAnsi="Arial" w:cs="Arial"/>
          <w:sz w:val="16"/>
          <w:szCs w:val="16"/>
          <w:lang w:eastAsia="en-AU"/>
        </w:rPr>
        <w:t>Includes an amount of $13.5 million in 2014-15 for the Departmental Capital Budget (refer to table 3.2.5 for further details). For accounting purposes this amount has been designated as 'contributed by owners'.</w:t>
      </w:r>
    </w:p>
    <w:p w14:paraId="0B722322" w14:textId="77777777" w:rsidR="003F0EEA" w:rsidRDefault="00FB7D0B" w:rsidP="003F0EEA">
      <w:pPr>
        <w:pStyle w:val="Normal72"/>
        <w:numPr>
          <w:ilvl w:val="0"/>
          <w:numId w:val="6"/>
        </w:numPr>
        <w:spacing w:after="0" w:line="240" w:lineRule="auto"/>
        <w:ind w:left="357" w:right="206" w:hanging="357"/>
        <w:contextualSpacing/>
        <w:jc w:val="both"/>
        <w:rPr>
          <w:rFonts w:ascii="Arial" w:eastAsia="Times New Roman" w:hAnsi="Arial" w:cs="Arial"/>
          <w:sz w:val="16"/>
          <w:szCs w:val="16"/>
          <w:lang w:eastAsia="en-AU"/>
        </w:rPr>
      </w:pPr>
      <w:r>
        <w:rPr>
          <w:rFonts w:ascii="Arial" w:eastAsia="Times New Roman" w:hAnsi="Arial" w:cs="Arial"/>
          <w:sz w:val="16"/>
          <w:szCs w:val="16"/>
          <w:lang w:eastAsia="en-AU"/>
        </w:rPr>
        <w:t>Section 31 Relevant Agency receipts – estimate.</w:t>
      </w:r>
    </w:p>
    <w:p w14:paraId="34BA82C1" w14:textId="77777777" w:rsidR="003F0EEA" w:rsidRDefault="00FB7D0B" w:rsidP="003F0EEA">
      <w:pPr>
        <w:pStyle w:val="Normal72"/>
        <w:numPr>
          <w:ilvl w:val="0"/>
          <w:numId w:val="6"/>
        </w:numPr>
        <w:spacing w:after="0" w:line="240" w:lineRule="auto"/>
        <w:ind w:left="357" w:right="206" w:hanging="357"/>
        <w:contextualSpacing/>
        <w:jc w:val="both"/>
        <w:rPr>
          <w:rFonts w:ascii="Arial" w:eastAsia="Times New Roman" w:hAnsi="Arial" w:cs="Arial"/>
          <w:sz w:val="16"/>
          <w:szCs w:val="16"/>
          <w:lang w:eastAsia="en-AU"/>
        </w:rPr>
      </w:pPr>
      <w:r>
        <w:rPr>
          <w:rFonts w:ascii="Arial" w:eastAsia="Times New Roman" w:hAnsi="Arial" w:cs="Arial"/>
          <w:sz w:val="16"/>
          <w:szCs w:val="16"/>
          <w:lang w:eastAsia="en-AU"/>
        </w:rPr>
        <w:t>Appropriation Bill (No. 2) 2014-15.</w:t>
      </w:r>
    </w:p>
    <w:p w14:paraId="7236F0D0" w14:textId="77777777" w:rsidR="003F0EEA" w:rsidRDefault="00FB7D0B" w:rsidP="003F0EEA">
      <w:pPr>
        <w:pStyle w:val="Normal72"/>
        <w:numPr>
          <w:ilvl w:val="0"/>
          <w:numId w:val="6"/>
        </w:numPr>
        <w:spacing w:after="0" w:line="240" w:lineRule="auto"/>
        <w:ind w:left="357" w:right="206" w:hanging="357"/>
        <w:contextualSpacing/>
        <w:jc w:val="both"/>
        <w:rPr>
          <w:rFonts w:ascii="Arial" w:eastAsia="Times New Roman" w:hAnsi="Arial" w:cs="Arial"/>
          <w:sz w:val="16"/>
          <w:szCs w:val="16"/>
          <w:lang w:eastAsia="en-AU"/>
        </w:rPr>
      </w:pPr>
      <w:r>
        <w:rPr>
          <w:rFonts w:ascii="Arial" w:eastAsia="Times New Roman" w:hAnsi="Arial" w:cs="Arial"/>
          <w:sz w:val="16"/>
          <w:szCs w:val="16"/>
          <w:lang w:eastAsia="en-AU"/>
        </w:rPr>
        <w:t>Estimated opening balance for special accounts (less ‘Special Public Money’ held in a Services for Other Entities and Trust Moneys Special accounts (SOETM)). For further information on special accounts see Table 3.1.2.</w:t>
      </w:r>
    </w:p>
    <w:p w14:paraId="40C15F70" w14:textId="77777777" w:rsidR="003F0EEA" w:rsidRDefault="00FB7D0B" w:rsidP="003F0EEA">
      <w:pPr>
        <w:pStyle w:val="Normal72"/>
        <w:numPr>
          <w:ilvl w:val="0"/>
          <w:numId w:val="6"/>
        </w:numPr>
        <w:spacing w:after="0" w:line="240" w:lineRule="auto"/>
        <w:ind w:left="357" w:right="206" w:hanging="357"/>
        <w:contextualSpacing/>
        <w:jc w:val="both"/>
        <w:rPr>
          <w:rFonts w:ascii="Arial" w:eastAsia="Times New Roman" w:hAnsi="Arial" w:cs="Arial"/>
          <w:sz w:val="16"/>
          <w:szCs w:val="16"/>
          <w:lang w:eastAsia="en-AU"/>
        </w:rPr>
      </w:pPr>
      <w:r>
        <w:rPr>
          <w:rFonts w:ascii="Arial" w:eastAsia="Times New Roman" w:hAnsi="Arial" w:cs="Arial"/>
          <w:sz w:val="16"/>
          <w:szCs w:val="16"/>
          <w:lang w:eastAsia="en-AU"/>
        </w:rPr>
        <w:t>Appropriation receipts from annual appropriations for 2014-15 included above.</w:t>
      </w:r>
    </w:p>
    <w:p w14:paraId="55771989" w14:textId="77777777" w:rsidR="003F0EEA" w:rsidRPr="00A90C13" w:rsidRDefault="00FB7D0B" w:rsidP="003F0EEA">
      <w:pPr>
        <w:pStyle w:val="Normal72"/>
        <w:numPr>
          <w:ilvl w:val="0"/>
          <w:numId w:val="6"/>
        </w:numPr>
        <w:spacing w:after="0" w:line="240" w:lineRule="auto"/>
        <w:ind w:left="357" w:right="206" w:hanging="357"/>
        <w:contextualSpacing/>
        <w:jc w:val="both"/>
        <w:rPr>
          <w:rFonts w:ascii="Arial" w:eastAsia="Times New Roman" w:hAnsi="Arial" w:cs="Arial"/>
          <w:sz w:val="16"/>
          <w:szCs w:val="16"/>
          <w:lang w:eastAsia="en-AU"/>
        </w:rPr>
      </w:pPr>
      <w:r>
        <w:rPr>
          <w:rFonts w:ascii="Arial" w:eastAsia="Times New Roman" w:hAnsi="Arial" w:cs="Arial"/>
          <w:sz w:val="16"/>
          <w:szCs w:val="16"/>
          <w:lang w:eastAsia="en-AU"/>
        </w:rPr>
        <w:t xml:space="preserve">Includes reductions to 2013-14 annual estimates subsequent to 2013-14 PBS. </w:t>
      </w:r>
    </w:p>
    <w:p w14:paraId="551B9268" w14:textId="77777777" w:rsidR="003F0EEA" w:rsidRDefault="003F0EEA" w:rsidP="003F0EEA">
      <w:pPr>
        <w:pStyle w:val="ChartandTableFootnote"/>
        <w:ind w:left="227" w:right="206" w:hanging="227"/>
        <w:jc w:val="left"/>
        <w:rPr>
          <w:rFonts w:cs="Times New Roman"/>
        </w:rPr>
      </w:pPr>
    </w:p>
    <w:p w14:paraId="1DCC805E" w14:textId="77777777" w:rsidR="003F0EEA" w:rsidRDefault="00FB7D0B" w:rsidP="003F0EEA">
      <w:pPr>
        <w:pStyle w:val="ChartandTableFootnote"/>
        <w:ind w:left="227" w:right="206" w:hanging="227"/>
        <w:jc w:val="left"/>
      </w:pPr>
      <w:r>
        <w:t>Reader note: All figures are GST exclusive.</w:t>
      </w:r>
    </w:p>
    <w:p w14:paraId="49654ECB" w14:textId="77777777" w:rsidR="003F0EEA" w:rsidRDefault="00FB7D0B" w:rsidP="003F0EEA">
      <w:pPr>
        <w:pStyle w:val="ChartandTableFootnote"/>
        <w:ind w:left="227" w:right="206" w:hanging="227"/>
        <w:jc w:val="right"/>
      </w:pPr>
      <w:r>
        <w:t>Continued on next page</w:t>
      </w:r>
    </w:p>
    <w:p w14:paraId="4E8CA7DF" w14:textId="77777777" w:rsidR="003F0EEA" w:rsidRDefault="00FB7D0B">
      <w:pPr>
        <w:spacing w:line="14" w:lineRule="exact"/>
      </w:pPr>
      <w:r>
        <w:br w:type="page"/>
      </w:r>
    </w:p>
    <w:p w14:paraId="051105F5" w14:textId="77777777" w:rsidR="003F0EEA" w:rsidRDefault="00FB7D0B" w:rsidP="003F0EEA">
      <w:pPr>
        <w:pStyle w:val="TableHeading2"/>
      </w:pPr>
      <w:r>
        <w:t xml:space="preserve">Table 1.1: Department of Veterans' Affairs Resource Statement – Budget </w:t>
      </w:r>
    </w:p>
    <w:p w14:paraId="791E49B6" w14:textId="77777777" w:rsidR="003F0EEA" w:rsidRDefault="00FB7D0B" w:rsidP="003F0EEA">
      <w:pPr>
        <w:pStyle w:val="TableHeadingcontinued2"/>
        <w:spacing w:before="0" w:after="0"/>
        <w:rPr>
          <w:rFonts w:ascii="Arial" w:hAnsi="Arial" w:cs="Arial"/>
        </w:rPr>
      </w:pPr>
      <w:r>
        <w:rPr>
          <w:rFonts w:ascii="Arial" w:hAnsi="Arial" w:cs="Arial"/>
        </w:rPr>
        <w:t xml:space="preserve">Estimates for 2014-15 as at Budget May 2014 </w:t>
      </w:r>
      <w:r>
        <w:t>(continued)</w:t>
      </w:r>
    </w:p>
    <w:p w14:paraId="19FED6C9" w14:textId="77777777" w:rsidR="003F0EEA" w:rsidRDefault="00FB7D0B" w:rsidP="003F0EEA">
      <w:pPr>
        <w:pStyle w:val="TableHeading2"/>
        <w:rPr>
          <w:rFonts w:cs="Times New Roman"/>
        </w:rPr>
      </w:pPr>
      <w:r>
        <w:br/>
        <w:t>Third Party Payments from and on behalf of other agencies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2"/>
        <w:gridCol w:w="6330"/>
        <w:gridCol w:w="1020"/>
        <w:gridCol w:w="1020"/>
      </w:tblGrid>
      <w:tr w:rsidR="00724034" w14:paraId="5468649A" w14:textId="77777777">
        <w:trPr>
          <w:trHeight w:val="225"/>
        </w:trPr>
        <w:tc>
          <w:tcPr>
            <w:tcW w:w="180"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6082A6AC" w14:textId="77777777" w:rsidR="003F0EEA" w:rsidRDefault="003F0EEA">
            <w:pPr>
              <w:rPr>
                <w:rFonts w:eastAsia="Times New Roman" w:cs="Times New Roman"/>
              </w:rPr>
            </w:pPr>
          </w:p>
        </w:tc>
        <w:tc>
          <w:tcPr>
            <w:tcW w:w="6330"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0F410388" w14:textId="77777777" w:rsidR="003F0EEA" w:rsidRDefault="003F0EEA">
            <w:pPr>
              <w:rPr>
                <w:rFonts w:ascii="Arial" w:eastAsia="Arial" w:hAnsi="Arial" w:cs="Arial"/>
                <w:color w:val="000000"/>
                <w:sz w:val="16"/>
              </w:rPr>
            </w:pPr>
          </w:p>
        </w:tc>
        <w:tc>
          <w:tcPr>
            <w:tcW w:w="1020" w:type="dxa"/>
            <w:tcBorders>
              <w:top w:val="single" w:sz="6" w:space="0" w:color="000000"/>
              <w:left w:val="nil"/>
              <w:bottom w:val="nil"/>
              <w:right w:val="nil"/>
              <w:tl2br w:val="nil"/>
              <w:tr2bl w:val="nil"/>
            </w:tcBorders>
            <w:shd w:val="clear" w:color="auto" w:fill="FFFF00"/>
            <w:tcMar>
              <w:left w:w="101" w:type="dxa"/>
              <w:right w:w="101" w:type="dxa"/>
            </w:tcMar>
            <w:vAlign w:val="bottom"/>
          </w:tcPr>
          <w:p w14:paraId="4C313339" w14:textId="77777777" w:rsidR="003F0EEA" w:rsidRDefault="00FB7D0B">
            <w:pPr>
              <w:jc w:val="right"/>
              <w:rPr>
                <w:rFonts w:ascii="Arial" w:eastAsia="Arial" w:hAnsi="Arial" w:cs="Arial"/>
                <w:color w:val="000000"/>
                <w:sz w:val="16"/>
                <w:vertAlign w:val="superscript"/>
              </w:rPr>
            </w:pPr>
            <w:r>
              <w:rPr>
                <w:rFonts w:ascii="Arial" w:eastAsia="Arial" w:hAnsi="Arial" w:cs="Arial"/>
                <w:b/>
                <w:color w:val="000000"/>
                <w:sz w:val="16"/>
              </w:rPr>
              <w:t>2014-15</w:t>
            </w:r>
          </w:p>
        </w:tc>
        <w:tc>
          <w:tcPr>
            <w:tcW w:w="1020"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1687021A" w14:textId="77777777" w:rsidR="003F0EEA" w:rsidRDefault="00FB7D0B">
            <w:pPr>
              <w:jc w:val="right"/>
              <w:rPr>
                <w:rFonts w:ascii="Arial" w:eastAsia="Arial" w:hAnsi="Arial" w:cs="Arial"/>
                <w:b/>
                <w:color w:val="000000"/>
                <w:sz w:val="16"/>
              </w:rPr>
            </w:pPr>
            <w:r>
              <w:rPr>
                <w:rFonts w:ascii="Arial" w:eastAsia="Arial" w:hAnsi="Arial" w:cs="Arial"/>
                <w:b/>
                <w:color w:val="000000"/>
                <w:sz w:val="16"/>
              </w:rPr>
              <w:t>2013-14</w:t>
            </w:r>
          </w:p>
        </w:tc>
      </w:tr>
      <w:tr w:rsidR="00724034" w14:paraId="2583B77C" w14:textId="77777777">
        <w:trPr>
          <w:trHeight w:val="225"/>
        </w:trPr>
        <w:tc>
          <w:tcPr>
            <w:tcW w:w="180" w:type="dxa"/>
            <w:tcBorders>
              <w:top w:val="nil"/>
              <w:left w:val="nil"/>
              <w:bottom w:val="nil"/>
              <w:right w:val="nil"/>
              <w:tl2br w:val="nil"/>
              <w:tr2bl w:val="nil"/>
            </w:tcBorders>
            <w:shd w:val="clear" w:color="auto" w:fill="FFFFFF"/>
            <w:tcMar>
              <w:left w:w="101" w:type="dxa"/>
              <w:right w:w="101" w:type="dxa"/>
            </w:tcMar>
            <w:vAlign w:val="bottom"/>
          </w:tcPr>
          <w:p w14:paraId="43E85AE3" w14:textId="77777777" w:rsidR="003F0EEA" w:rsidRDefault="003F0EEA">
            <w:pPr>
              <w:rPr>
                <w:rFonts w:ascii="Arial" w:eastAsia="Arial" w:hAnsi="Arial" w:cs="Arial"/>
                <w:b/>
                <w:color w:val="000000"/>
                <w:sz w:val="16"/>
              </w:rPr>
            </w:pPr>
          </w:p>
        </w:tc>
        <w:tc>
          <w:tcPr>
            <w:tcW w:w="6330" w:type="dxa"/>
            <w:tcBorders>
              <w:top w:val="nil"/>
              <w:left w:val="nil"/>
              <w:bottom w:val="nil"/>
              <w:right w:val="nil"/>
              <w:tl2br w:val="nil"/>
              <w:tr2bl w:val="nil"/>
            </w:tcBorders>
            <w:shd w:val="clear" w:color="auto" w:fill="FFFFFF"/>
            <w:tcMar>
              <w:left w:w="101" w:type="dxa"/>
              <w:right w:w="101" w:type="dxa"/>
            </w:tcMar>
            <w:vAlign w:val="bottom"/>
          </w:tcPr>
          <w:p w14:paraId="43F3825E" w14:textId="77777777" w:rsidR="003F0EEA" w:rsidRDefault="003F0EEA">
            <w:pPr>
              <w:rPr>
                <w:rFonts w:ascii="Arial" w:eastAsia="Arial" w:hAnsi="Arial" w:cs="Arial"/>
                <w:color w:val="000000"/>
                <w:sz w:val="16"/>
              </w:rPr>
            </w:pPr>
          </w:p>
        </w:tc>
        <w:tc>
          <w:tcPr>
            <w:tcW w:w="1020" w:type="dxa"/>
            <w:tcBorders>
              <w:top w:val="nil"/>
              <w:left w:val="nil"/>
              <w:bottom w:val="single" w:sz="6" w:space="0" w:color="000000"/>
              <w:right w:val="nil"/>
              <w:tl2br w:val="nil"/>
              <w:tr2bl w:val="nil"/>
            </w:tcBorders>
            <w:shd w:val="clear" w:color="auto" w:fill="FFFF00"/>
            <w:tcMar>
              <w:left w:w="101" w:type="dxa"/>
              <w:right w:w="101" w:type="dxa"/>
            </w:tcMar>
            <w:vAlign w:val="bottom"/>
          </w:tcPr>
          <w:p w14:paraId="6FDD2A0F" w14:textId="77777777" w:rsidR="003F0EEA" w:rsidRDefault="00FB7D0B">
            <w:pPr>
              <w:jc w:val="right"/>
              <w:rPr>
                <w:rFonts w:ascii="Arial" w:eastAsia="Arial" w:hAnsi="Arial" w:cs="Arial"/>
                <w:color w:val="000000"/>
                <w:sz w:val="16"/>
                <w:vertAlign w:val="superscript"/>
              </w:rPr>
            </w:pPr>
            <w:r>
              <w:rPr>
                <w:rFonts w:ascii="Arial" w:eastAsia="Arial" w:hAnsi="Arial" w:cs="Arial"/>
                <w:color w:val="000000"/>
                <w:sz w:val="16"/>
              </w:rPr>
              <w:t>$'000</w:t>
            </w:r>
          </w:p>
        </w:tc>
        <w:tc>
          <w:tcPr>
            <w:tcW w:w="1020"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12A38075" w14:textId="77777777" w:rsidR="003F0EEA" w:rsidRDefault="00FB7D0B">
            <w:pPr>
              <w:jc w:val="right"/>
              <w:rPr>
                <w:rFonts w:ascii="Arial" w:eastAsia="Arial" w:hAnsi="Arial" w:cs="Arial"/>
                <w:color w:val="000000"/>
                <w:sz w:val="16"/>
              </w:rPr>
            </w:pPr>
            <w:r>
              <w:rPr>
                <w:rFonts w:ascii="Arial" w:eastAsia="Arial" w:hAnsi="Arial" w:cs="Arial"/>
                <w:color w:val="000000"/>
                <w:sz w:val="16"/>
              </w:rPr>
              <w:t>$'000</w:t>
            </w:r>
          </w:p>
        </w:tc>
      </w:tr>
      <w:tr w:rsidR="00FB7D0B" w14:paraId="38B0497A" w14:textId="77777777" w:rsidTr="00FB7D0B">
        <w:trPr>
          <w:trHeight w:val="225"/>
        </w:trPr>
        <w:tc>
          <w:tcPr>
            <w:tcW w:w="6510" w:type="dxa"/>
            <w:gridSpan w:val="2"/>
            <w:tcBorders>
              <w:top w:val="nil"/>
              <w:left w:val="nil"/>
              <w:bottom w:val="nil"/>
              <w:right w:val="nil"/>
              <w:tl2br w:val="nil"/>
              <w:tr2bl w:val="nil"/>
            </w:tcBorders>
            <w:shd w:val="clear" w:color="auto" w:fill="FFFFFF"/>
            <w:tcMar>
              <w:left w:w="101" w:type="dxa"/>
              <w:right w:w="101" w:type="dxa"/>
            </w:tcMar>
            <w:vAlign w:val="bottom"/>
          </w:tcPr>
          <w:p w14:paraId="4922E59D" w14:textId="77777777" w:rsidR="003F0EEA" w:rsidRDefault="00FB7D0B">
            <w:pPr>
              <w:rPr>
                <w:rFonts w:ascii="Arial" w:eastAsia="Arial" w:hAnsi="Arial" w:cs="Arial"/>
                <w:color w:val="000000"/>
                <w:sz w:val="16"/>
              </w:rPr>
            </w:pPr>
            <w:r>
              <w:rPr>
                <w:rFonts w:ascii="Arial" w:eastAsia="Arial" w:hAnsi="Arial" w:cs="Arial"/>
                <w:color w:val="000000"/>
                <w:sz w:val="16"/>
              </w:rPr>
              <w:t>Receipts received from the Department of Defence for the provision of</w:t>
            </w:r>
          </w:p>
        </w:tc>
        <w:tc>
          <w:tcPr>
            <w:tcW w:w="1020" w:type="dxa"/>
            <w:tcBorders>
              <w:top w:val="single" w:sz="6" w:space="0" w:color="000000"/>
              <w:left w:val="nil"/>
              <w:bottom w:val="nil"/>
              <w:right w:val="nil"/>
              <w:tl2br w:val="nil"/>
              <w:tr2bl w:val="nil"/>
            </w:tcBorders>
            <w:shd w:val="clear" w:color="auto" w:fill="FFFF00"/>
            <w:tcMar>
              <w:left w:w="101" w:type="dxa"/>
              <w:right w:w="101" w:type="dxa"/>
            </w:tcMar>
            <w:vAlign w:val="bottom"/>
          </w:tcPr>
          <w:p w14:paraId="5ACFA282" w14:textId="77777777" w:rsidR="003F0EEA" w:rsidRDefault="003F0EEA">
            <w:pPr>
              <w:rPr>
                <w:rFonts w:ascii="Arial" w:eastAsia="Arial" w:hAnsi="Arial" w:cs="Arial"/>
                <w:color w:val="000000"/>
                <w:sz w:val="16"/>
                <w:vertAlign w:val="superscript"/>
              </w:rPr>
            </w:pPr>
          </w:p>
        </w:tc>
        <w:tc>
          <w:tcPr>
            <w:tcW w:w="1020"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6A9A3356" w14:textId="77777777" w:rsidR="003F0EEA" w:rsidRDefault="003F0EEA">
            <w:pPr>
              <w:rPr>
                <w:rFonts w:ascii="Arial" w:eastAsia="Arial" w:hAnsi="Arial" w:cs="Arial"/>
                <w:color w:val="000000"/>
                <w:sz w:val="16"/>
                <w:vertAlign w:val="superscript"/>
              </w:rPr>
            </w:pPr>
          </w:p>
        </w:tc>
      </w:tr>
      <w:tr w:rsidR="00724034" w14:paraId="429339B6" w14:textId="77777777">
        <w:trPr>
          <w:trHeight w:val="225"/>
        </w:trPr>
        <w:tc>
          <w:tcPr>
            <w:tcW w:w="180" w:type="dxa"/>
            <w:tcBorders>
              <w:top w:val="nil"/>
              <w:left w:val="nil"/>
              <w:bottom w:val="nil"/>
              <w:right w:val="nil"/>
              <w:tl2br w:val="nil"/>
              <w:tr2bl w:val="nil"/>
            </w:tcBorders>
            <w:shd w:val="clear" w:color="auto" w:fill="FFFFFF"/>
            <w:tcMar>
              <w:left w:w="101" w:type="dxa"/>
              <w:right w:w="101" w:type="dxa"/>
            </w:tcMar>
            <w:vAlign w:val="bottom"/>
          </w:tcPr>
          <w:p w14:paraId="5DFFA1FD" w14:textId="77777777" w:rsidR="003F0EEA" w:rsidRDefault="003F0EEA">
            <w:pPr>
              <w:rPr>
                <w:rFonts w:ascii="Arial" w:eastAsia="Arial" w:hAnsi="Arial" w:cs="Arial"/>
                <w:color w:val="000000"/>
                <w:sz w:val="16"/>
                <w:vertAlign w:val="superscript"/>
              </w:rPr>
            </w:pPr>
          </w:p>
        </w:tc>
        <w:tc>
          <w:tcPr>
            <w:tcW w:w="6330" w:type="dxa"/>
            <w:tcBorders>
              <w:top w:val="nil"/>
              <w:left w:val="nil"/>
              <w:bottom w:val="nil"/>
              <w:right w:val="nil"/>
              <w:tl2br w:val="nil"/>
              <w:tr2bl w:val="nil"/>
            </w:tcBorders>
            <w:shd w:val="clear" w:color="auto" w:fill="FFFFFF"/>
            <w:tcMar>
              <w:left w:w="101" w:type="dxa"/>
              <w:right w:w="101" w:type="dxa"/>
            </w:tcMar>
            <w:vAlign w:val="bottom"/>
          </w:tcPr>
          <w:p w14:paraId="32F64A7E" w14:textId="77777777" w:rsidR="003F0EEA" w:rsidRDefault="00FB7D0B">
            <w:pPr>
              <w:rPr>
                <w:rFonts w:ascii="Arial" w:eastAsia="Arial" w:hAnsi="Arial" w:cs="Arial"/>
                <w:color w:val="000000"/>
                <w:sz w:val="16"/>
                <w:vertAlign w:val="superscript"/>
              </w:rPr>
            </w:pPr>
            <w:r>
              <w:rPr>
                <w:rFonts w:ascii="Arial" w:eastAsia="Arial" w:hAnsi="Arial" w:cs="Arial"/>
                <w:color w:val="000000"/>
                <w:sz w:val="16"/>
              </w:rPr>
              <w:t>services (disclosed above within Departmental s31)</w:t>
            </w:r>
          </w:p>
        </w:tc>
        <w:tc>
          <w:tcPr>
            <w:tcW w:w="1020" w:type="dxa"/>
            <w:tcBorders>
              <w:top w:val="nil"/>
              <w:left w:val="nil"/>
              <w:bottom w:val="nil"/>
              <w:right w:val="nil"/>
              <w:tl2br w:val="nil"/>
              <w:tr2bl w:val="nil"/>
            </w:tcBorders>
            <w:shd w:val="clear" w:color="auto" w:fill="FFFF00"/>
            <w:tcMar>
              <w:left w:w="101" w:type="dxa"/>
              <w:right w:w="101" w:type="dxa"/>
            </w:tcMar>
            <w:vAlign w:val="bottom"/>
          </w:tcPr>
          <w:p w14:paraId="2D94869C" w14:textId="77777777" w:rsidR="003F0EEA" w:rsidRDefault="00FB7D0B">
            <w:pPr>
              <w:jc w:val="right"/>
              <w:rPr>
                <w:rFonts w:ascii="Arial" w:eastAsia="Arial" w:hAnsi="Arial" w:cs="Arial"/>
                <w:color w:val="000000"/>
                <w:sz w:val="16"/>
                <w:vertAlign w:val="superscript"/>
              </w:rPr>
            </w:pPr>
            <w:r>
              <w:rPr>
                <w:rFonts w:ascii="Arial" w:eastAsia="Arial" w:hAnsi="Arial" w:cs="Arial"/>
                <w:color w:val="000000"/>
                <w:sz w:val="16"/>
              </w:rPr>
              <w:t>6,645 </w:t>
            </w:r>
          </w:p>
        </w:tc>
        <w:tc>
          <w:tcPr>
            <w:tcW w:w="1020" w:type="dxa"/>
            <w:tcBorders>
              <w:top w:val="nil"/>
              <w:left w:val="nil"/>
              <w:bottom w:val="nil"/>
              <w:right w:val="nil"/>
              <w:tl2br w:val="nil"/>
              <w:tr2bl w:val="nil"/>
            </w:tcBorders>
            <w:shd w:val="clear" w:color="auto" w:fill="FFFFFF"/>
            <w:tcMar>
              <w:left w:w="101" w:type="dxa"/>
              <w:right w:w="101" w:type="dxa"/>
            </w:tcMar>
            <w:vAlign w:val="bottom"/>
          </w:tcPr>
          <w:p w14:paraId="35FCE969" w14:textId="77777777" w:rsidR="003F0EEA" w:rsidRDefault="00FB7D0B">
            <w:pPr>
              <w:jc w:val="right"/>
              <w:rPr>
                <w:rFonts w:ascii="Arial" w:eastAsia="Arial" w:hAnsi="Arial" w:cs="Arial"/>
                <w:color w:val="000000"/>
                <w:sz w:val="16"/>
              </w:rPr>
            </w:pPr>
            <w:r>
              <w:rPr>
                <w:rFonts w:ascii="Arial" w:eastAsia="Arial" w:hAnsi="Arial" w:cs="Arial"/>
                <w:color w:val="000000"/>
                <w:sz w:val="16"/>
              </w:rPr>
              <w:t>6,260 </w:t>
            </w:r>
          </w:p>
        </w:tc>
      </w:tr>
      <w:tr w:rsidR="00FB7D0B" w14:paraId="44148D29" w14:textId="77777777" w:rsidTr="00FB7D0B">
        <w:trPr>
          <w:trHeight w:val="225"/>
        </w:trPr>
        <w:tc>
          <w:tcPr>
            <w:tcW w:w="6510" w:type="dxa"/>
            <w:gridSpan w:val="2"/>
            <w:tcBorders>
              <w:top w:val="nil"/>
              <w:left w:val="nil"/>
              <w:bottom w:val="nil"/>
              <w:right w:val="nil"/>
              <w:tl2br w:val="nil"/>
              <w:tr2bl w:val="nil"/>
            </w:tcBorders>
            <w:shd w:val="clear" w:color="auto" w:fill="FFFFFF"/>
            <w:tcMar>
              <w:left w:w="101" w:type="dxa"/>
              <w:right w:w="101" w:type="dxa"/>
            </w:tcMar>
            <w:vAlign w:val="bottom"/>
          </w:tcPr>
          <w:p w14:paraId="2519C96B" w14:textId="77777777" w:rsidR="003F0EEA" w:rsidRDefault="00FB7D0B">
            <w:pPr>
              <w:rPr>
                <w:rFonts w:ascii="Arial" w:eastAsia="Arial" w:hAnsi="Arial" w:cs="Arial"/>
                <w:color w:val="000000"/>
                <w:sz w:val="16"/>
              </w:rPr>
            </w:pPr>
            <w:r>
              <w:rPr>
                <w:rFonts w:ascii="Arial" w:eastAsia="Arial" w:hAnsi="Arial" w:cs="Arial"/>
                <w:color w:val="000000"/>
                <w:sz w:val="16"/>
              </w:rPr>
              <w:t xml:space="preserve">Payments made to CAC Act bodies within the Portfolio </w:t>
            </w:r>
          </w:p>
        </w:tc>
        <w:tc>
          <w:tcPr>
            <w:tcW w:w="1020" w:type="dxa"/>
            <w:tcBorders>
              <w:top w:val="nil"/>
              <w:left w:val="nil"/>
              <w:bottom w:val="nil"/>
              <w:right w:val="nil"/>
              <w:tl2br w:val="nil"/>
              <w:tr2bl w:val="nil"/>
            </w:tcBorders>
            <w:shd w:val="clear" w:color="auto" w:fill="FFFF00"/>
            <w:tcMar>
              <w:left w:w="101" w:type="dxa"/>
              <w:right w:w="101" w:type="dxa"/>
            </w:tcMar>
            <w:vAlign w:val="bottom"/>
          </w:tcPr>
          <w:p w14:paraId="6950E097" w14:textId="77777777" w:rsidR="003F0EEA" w:rsidRDefault="003F0EEA">
            <w:pPr>
              <w:rPr>
                <w:rFonts w:ascii="Arial" w:eastAsia="Arial" w:hAnsi="Arial" w:cs="Arial"/>
                <w:color w:val="000000"/>
                <w:sz w:val="16"/>
                <w:vertAlign w:val="superscript"/>
              </w:rPr>
            </w:pPr>
          </w:p>
        </w:tc>
        <w:tc>
          <w:tcPr>
            <w:tcW w:w="1020" w:type="dxa"/>
            <w:tcBorders>
              <w:top w:val="nil"/>
              <w:left w:val="nil"/>
              <w:bottom w:val="nil"/>
              <w:right w:val="nil"/>
              <w:tl2br w:val="nil"/>
              <w:tr2bl w:val="nil"/>
            </w:tcBorders>
            <w:shd w:val="clear" w:color="auto" w:fill="FFFFFF"/>
            <w:tcMar>
              <w:left w:w="101" w:type="dxa"/>
              <w:right w:w="101" w:type="dxa"/>
            </w:tcMar>
            <w:vAlign w:val="bottom"/>
          </w:tcPr>
          <w:p w14:paraId="5EC4EF13" w14:textId="77777777" w:rsidR="003F0EEA" w:rsidRDefault="003F0EEA">
            <w:pPr>
              <w:rPr>
                <w:rFonts w:ascii="Arial" w:eastAsia="Arial" w:hAnsi="Arial" w:cs="Arial"/>
                <w:color w:val="000000"/>
                <w:sz w:val="16"/>
                <w:vertAlign w:val="superscript"/>
              </w:rPr>
            </w:pPr>
          </w:p>
        </w:tc>
      </w:tr>
      <w:tr w:rsidR="00724034" w14:paraId="1B432DA5" w14:textId="77777777">
        <w:trPr>
          <w:trHeight w:val="225"/>
        </w:trPr>
        <w:tc>
          <w:tcPr>
            <w:tcW w:w="180" w:type="dxa"/>
            <w:tcBorders>
              <w:top w:val="nil"/>
              <w:left w:val="nil"/>
              <w:bottom w:val="nil"/>
              <w:right w:val="nil"/>
              <w:tl2br w:val="nil"/>
              <w:tr2bl w:val="nil"/>
            </w:tcBorders>
            <w:shd w:val="clear" w:color="auto" w:fill="FFFFFF"/>
            <w:tcMar>
              <w:left w:w="101" w:type="dxa"/>
              <w:right w:w="101" w:type="dxa"/>
            </w:tcMar>
            <w:vAlign w:val="bottom"/>
          </w:tcPr>
          <w:p w14:paraId="63782EE4" w14:textId="77777777" w:rsidR="003F0EEA" w:rsidRDefault="003F0EEA">
            <w:pPr>
              <w:rPr>
                <w:rFonts w:ascii="Arial" w:eastAsia="Arial" w:hAnsi="Arial" w:cs="Arial"/>
                <w:color w:val="000000"/>
                <w:sz w:val="16"/>
                <w:vertAlign w:val="superscript"/>
              </w:rPr>
            </w:pPr>
          </w:p>
        </w:tc>
        <w:tc>
          <w:tcPr>
            <w:tcW w:w="6330" w:type="dxa"/>
            <w:tcBorders>
              <w:top w:val="nil"/>
              <w:left w:val="nil"/>
              <w:bottom w:val="nil"/>
              <w:right w:val="nil"/>
              <w:tl2br w:val="nil"/>
              <w:tr2bl w:val="nil"/>
            </w:tcBorders>
            <w:shd w:val="clear" w:color="auto" w:fill="FFFFFF"/>
            <w:tcMar>
              <w:left w:w="101" w:type="dxa"/>
              <w:right w:w="101" w:type="dxa"/>
            </w:tcMar>
            <w:vAlign w:val="bottom"/>
          </w:tcPr>
          <w:p w14:paraId="14ABC83B" w14:textId="77777777" w:rsidR="003F0EEA" w:rsidRDefault="00FB7D0B">
            <w:pPr>
              <w:rPr>
                <w:rFonts w:ascii="Arial" w:eastAsia="Arial" w:hAnsi="Arial" w:cs="Arial"/>
                <w:color w:val="000000"/>
                <w:sz w:val="16"/>
                <w:vertAlign w:val="superscript"/>
              </w:rPr>
            </w:pPr>
            <w:r>
              <w:rPr>
                <w:rFonts w:ascii="Arial" w:eastAsia="Arial" w:hAnsi="Arial" w:cs="Arial"/>
                <w:color w:val="000000"/>
                <w:sz w:val="16"/>
              </w:rPr>
              <w:t>Australian War Memorial - Bill 1</w:t>
            </w:r>
          </w:p>
        </w:tc>
        <w:tc>
          <w:tcPr>
            <w:tcW w:w="1020" w:type="dxa"/>
            <w:tcBorders>
              <w:top w:val="nil"/>
              <w:left w:val="nil"/>
              <w:bottom w:val="nil"/>
              <w:right w:val="nil"/>
              <w:tl2br w:val="nil"/>
              <w:tr2bl w:val="nil"/>
            </w:tcBorders>
            <w:shd w:val="clear" w:color="auto" w:fill="FFFF00"/>
            <w:tcMar>
              <w:left w:w="101" w:type="dxa"/>
              <w:right w:w="101" w:type="dxa"/>
            </w:tcMar>
            <w:vAlign w:val="bottom"/>
          </w:tcPr>
          <w:p w14:paraId="1D2D4C63" w14:textId="77777777" w:rsidR="003F0EEA" w:rsidRDefault="00FB7D0B">
            <w:pPr>
              <w:jc w:val="right"/>
              <w:rPr>
                <w:rFonts w:ascii="Arial" w:eastAsia="Arial" w:hAnsi="Arial" w:cs="Arial"/>
                <w:color w:val="000000"/>
                <w:sz w:val="16"/>
                <w:vertAlign w:val="superscript"/>
              </w:rPr>
            </w:pPr>
            <w:r>
              <w:rPr>
                <w:rFonts w:ascii="Arial" w:eastAsia="Arial" w:hAnsi="Arial" w:cs="Arial"/>
                <w:color w:val="000000"/>
                <w:sz w:val="16"/>
              </w:rPr>
              <w:t>47,808 </w:t>
            </w:r>
          </w:p>
        </w:tc>
        <w:tc>
          <w:tcPr>
            <w:tcW w:w="1020" w:type="dxa"/>
            <w:tcBorders>
              <w:top w:val="nil"/>
              <w:left w:val="nil"/>
              <w:bottom w:val="nil"/>
              <w:right w:val="nil"/>
              <w:tl2br w:val="nil"/>
              <w:tr2bl w:val="nil"/>
            </w:tcBorders>
            <w:shd w:val="clear" w:color="auto" w:fill="FFFFFF"/>
            <w:tcMar>
              <w:left w:w="101" w:type="dxa"/>
              <w:right w:w="101" w:type="dxa"/>
            </w:tcMar>
            <w:vAlign w:val="bottom"/>
          </w:tcPr>
          <w:p w14:paraId="6DD83A58" w14:textId="77777777" w:rsidR="003F0EEA" w:rsidRDefault="00FB7D0B">
            <w:pPr>
              <w:jc w:val="right"/>
              <w:rPr>
                <w:rFonts w:ascii="Arial" w:eastAsia="Arial" w:hAnsi="Arial" w:cs="Arial"/>
                <w:color w:val="000000"/>
                <w:sz w:val="16"/>
              </w:rPr>
            </w:pPr>
            <w:r>
              <w:rPr>
                <w:rFonts w:ascii="Arial" w:eastAsia="Arial" w:hAnsi="Arial" w:cs="Arial"/>
                <w:color w:val="000000"/>
                <w:sz w:val="16"/>
              </w:rPr>
              <w:t>40,900 </w:t>
            </w:r>
          </w:p>
        </w:tc>
      </w:tr>
      <w:tr w:rsidR="00724034" w14:paraId="2E4DC2E5" w14:textId="77777777">
        <w:trPr>
          <w:trHeight w:val="225"/>
        </w:trPr>
        <w:tc>
          <w:tcPr>
            <w:tcW w:w="180" w:type="dxa"/>
            <w:tcBorders>
              <w:top w:val="nil"/>
              <w:left w:val="nil"/>
              <w:bottom w:val="nil"/>
              <w:right w:val="nil"/>
              <w:tl2br w:val="nil"/>
              <w:tr2bl w:val="nil"/>
            </w:tcBorders>
            <w:shd w:val="clear" w:color="auto" w:fill="FFFFFF"/>
            <w:tcMar>
              <w:left w:w="101" w:type="dxa"/>
              <w:right w:w="101" w:type="dxa"/>
            </w:tcMar>
            <w:vAlign w:val="bottom"/>
          </w:tcPr>
          <w:p w14:paraId="7B3AC72A" w14:textId="77777777" w:rsidR="003F0EEA" w:rsidRDefault="003F0EEA">
            <w:pPr>
              <w:rPr>
                <w:rFonts w:ascii="Arial" w:eastAsia="Arial" w:hAnsi="Arial" w:cs="Arial"/>
                <w:color w:val="000000"/>
                <w:sz w:val="16"/>
              </w:rPr>
            </w:pPr>
          </w:p>
        </w:tc>
        <w:tc>
          <w:tcPr>
            <w:tcW w:w="6330" w:type="dxa"/>
            <w:tcBorders>
              <w:top w:val="nil"/>
              <w:left w:val="nil"/>
              <w:bottom w:val="nil"/>
              <w:right w:val="nil"/>
              <w:tl2br w:val="nil"/>
              <w:tr2bl w:val="nil"/>
            </w:tcBorders>
            <w:shd w:val="clear" w:color="auto" w:fill="FFFFFF"/>
            <w:tcMar>
              <w:left w:w="101" w:type="dxa"/>
              <w:right w:w="101" w:type="dxa"/>
            </w:tcMar>
            <w:vAlign w:val="bottom"/>
          </w:tcPr>
          <w:p w14:paraId="18F78741" w14:textId="77777777" w:rsidR="003F0EEA" w:rsidRDefault="00FB7D0B">
            <w:pPr>
              <w:rPr>
                <w:rFonts w:ascii="Arial" w:eastAsia="Arial" w:hAnsi="Arial" w:cs="Arial"/>
                <w:color w:val="000000"/>
                <w:sz w:val="16"/>
              </w:rPr>
            </w:pPr>
            <w:r>
              <w:rPr>
                <w:rFonts w:ascii="Arial" w:eastAsia="Arial" w:hAnsi="Arial" w:cs="Arial"/>
                <w:color w:val="000000"/>
                <w:sz w:val="16"/>
              </w:rPr>
              <w:t>Australian War Memorial - Bill 2</w:t>
            </w:r>
          </w:p>
        </w:tc>
        <w:tc>
          <w:tcPr>
            <w:tcW w:w="1020" w:type="dxa"/>
            <w:tcBorders>
              <w:top w:val="nil"/>
              <w:left w:val="nil"/>
              <w:bottom w:val="nil"/>
              <w:right w:val="nil"/>
              <w:tl2br w:val="nil"/>
              <w:tr2bl w:val="nil"/>
            </w:tcBorders>
            <w:shd w:val="clear" w:color="auto" w:fill="FFFF00"/>
            <w:tcMar>
              <w:left w:w="101" w:type="dxa"/>
              <w:right w:w="101" w:type="dxa"/>
            </w:tcMar>
            <w:vAlign w:val="bottom"/>
          </w:tcPr>
          <w:p w14:paraId="6B0C78CA" w14:textId="77777777" w:rsidR="003F0EEA" w:rsidRDefault="00FB7D0B">
            <w:pPr>
              <w:jc w:val="right"/>
              <w:rPr>
                <w:rFonts w:ascii="Arial" w:eastAsia="Arial" w:hAnsi="Arial" w:cs="Arial"/>
                <w:color w:val="000000"/>
                <w:sz w:val="16"/>
                <w:vertAlign w:val="superscript"/>
              </w:rPr>
            </w:pPr>
            <w:r>
              <w:rPr>
                <w:rFonts w:ascii="Arial" w:eastAsia="Arial" w:hAnsi="Arial" w:cs="Arial"/>
                <w:color w:val="000000"/>
                <w:sz w:val="16"/>
              </w:rPr>
              <w:t>12,444 </w:t>
            </w:r>
          </w:p>
        </w:tc>
        <w:tc>
          <w:tcPr>
            <w:tcW w:w="1020" w:type="dxa"/>
            <w:tcBorders>
              <w:top w:val="nil"/>
              <w:left w:val="nil"/>
              <w:bottom w:val="nil"/>
              <w:right w:val="nil"/>
              <w:tl2br w:val="nil"/>
              <w:tr2bl w:val="nil"/>
            </w:tcBorders>
            <w:shd w:val="clear" w:color="auto" w:fill="FFFFFF"/>
            <w:tcMar>
              <w:left w:w="101" w:type="dxa"/>
              <w:right w:w="101" w:type="dxa"/>
            </w:tcMar>
            <w:vAlign w:val="bottom"/>
          </w:tcPr>
          <w:p w14:paraId="5882D5B7" w14:textId="77777777" w:rsidR="003F0EEA" w:rsidRDefault="00FB7D0B">
            <w:pPr>
              <w:jc w:val="right"/>
              <w:rPr>
                <w:rFonts w:ascii="Arial" w:eastAsia="Arial" w:hAnsi="Arial" w:cs="Arial"/>
                <w:color w:val="000000"/>
                <w:sz w:val="16"/>
              </w:rPr>
            </w:pPr>
            <w:r>
              <w:rPr>
                <w:rFonts w:ascii="Arial" w:eastAsia="Arial" w:hAnsi="Arial" w:cs="Arial"/>
                <w:color w:val="000000"/>
                <w:sz w:val="16"/>
              </w:rPr>
              <w:t>25,258 </w:t>
            </w:r>
          </w:p>
        </w:tc>
      </w:tr>
      <w:tr w:rsidR="00FB7D0B" w14:paraId="76845E60" w14:textId="77777777" w:rsidTr="00FB7D0B">
        <w:trPr>
          <w:trHeight w:val="225"/>
        </w:trPr>
        <w:tc>
          <w:tcPr>
            <w:tcW w:w="6510" w:type="dxa"/>
            <w:gridSpan w:val="2"/>
            <w:tcBorders>
              <w:top w:val="nil"/>
              <w:left w:val="nil"/>
              <w:bottom w:val="nil"/>
              <w:right w:val="nil"/>
              <w:tl2br w:val="nil"/>
              <w:tr2bl w:val="nil"/>
            </w:tcBorders>
            <w:shd w:val="clear" w:color="auto" w:fill="FFFFFF"/>
            <w:tcMar>
              <w:left w:w="101" w:type="dxa"/>
              <w:right w:w="101" w:type="dxa"/>
            </w:tcMar>
            <w:vAlign w:val="bottom"/>
          </w:tcPr>
          <w:p w14:paraId="783A96DE" w14:textId="77777777" w:rsidR="003F0EEA" w:rsidRDefault="00FB7D0B">
            <w:pPr>
              <w:rPr>
                <w:rFonts w:ascii="Arial" w:eastAsia="Arial" w:hAnsi="Arial" w:cs="Arial"/>
                <w:color w:val="000000"/>
                <w:sz w:val="16"/>
              </w:rPr>
            </w:pPr>
            <w:r>
              <w:rPr>
                <w:rFonts w:ascii="Arial" w:eastAsia="Arial" w:hAnsi="Arial" w:cs="Arial"/>
                <w:color w:val="000000"/>
                <w:sz w:val="16"/>
              </w:rPr>
              <w:t>Payments made on behalf of Department of Social Services</w:t>
            </w:r>
          </w:p>
        </w:tc>
        <w:tc>
          <w:tcPr>
            <w:tcW w:w="1020" w:type="dxa"/>
            <w:tcBorders>
              <w:top w:val="nil"/>
              <w:left w:val="nil"/>
              <w:bottom w:val="nil"/>
              <w:right w:val="nil"/>
              <w:tl2br w:val="nil"/>
              <w:tr2bl w:val="nil"/>
            </w:tcBorders>
            <w:shd w:val="clear" w:color="auto" w:fill="FFFF00"/>
            <w:tcMar>
              <w:left w:w="101" w:type="dxa"/>
              <w:right w:w="101" w:type="dxa"/>
            </w:tcMar>
            <w:vAlign w:val="bottom"/>
          </w:tcPr>
          <w:p w14:paraId="7ABAAE04" w14:textId="77777777" w:rsidR="003F0EEA" w:rsidRDefault="003F0EEA">
            <w:pPr>
              <w:rPr>
                <w:rFonts w:ascii="Arial" w:eastAsia="Arial" w:hAnsi="Arial" w:cs="Arial"/>
                <w:color w:val="000000"/>
                <w:sz w:val="16"/>
                <w:vertAlign w:val="superscript"/>
              </w:rPr>
            </w:pPr>
          </w:p>
        </w:tc>
        <w:tc>
          <w:tcPr>
            <w:tcW w:w="1020" w:type="dxa"/>
            <w:tcBorders>
              <w:top w:val="nil"/>
              <w:left w:val="nil"/>
              <w:bottom w:val="nil"/>
              <w:right w:val="nil"/>
              <w:tl2br w:val="nil"/>
              <w:tr2bl w:val="nil"/>
            </w:tcBorders>
            <w:shd w:val="clear" w:color="auto" w:fill="FFFFFF"/>
            <w:tcMar>
              <w:left w:w="101" w:type="dxa"/>
              <w:right w:w="101" w:type="dxa"/>
            </w:tcMar>
            <w:vAlign w:val="bottom"/>
          </w:tcPr>
          <w:p w14:paraId="66B2DAE5" w14:textId="77777777" w:rsidR="003F0EEA" w:rsidRDefault="003F0EEA">
            <w:pPr>
              <w:rPr>
                <w:rFonts w:ascii="Arial" w:eastAsia="Arial" w:hAnsi="Arial" w:cs="Arial"/>
                <w:color w:val="000000"/>
                <w:sz w:val="16"/>
                <w:vertAlign w:val="superscript"/>
              </w:rPr>
            </w:pPr>
          </w:p>
        </w:tc>
      </w:tr>
      <w:tr w:rsidR="00724034" w14:paraId="24DE6978" w14:textId="77777777">
        <w:trPr>
          <w:trHeight w:val="225"/>
        </w:trPr>
        <w:tc>
          <w:tcPr>
            <w:tcW w:w="180" w:type="dxa"/>
            <w:tcBorders>
              <w:top w:val="nil"/>
              <w:left w:val="nil"/>
              <w:bottom w:val="nil"/>
              <w:right w:val="nil"/>
              <w:tl2br w:val="nil"/>
              <w:tr2bl w:val="nil"/>
            </w:tcBorders>
            <w:shd w:val="clear" w:color="auto" w:fill="FFFFFF"/>
            <w:tcMar>
              <w:left w:w="101" w:type="dxa"/>
              <w:right w:w="101" w:type="dxa"/>
            </w:tcMar>
            <w:vAlign w:val="bottom"/>
          </w:tcPr>
          <w:p w14:paraId="4F258B40" w14:textId="77777777" w:rsidR="003F0EEA" w:rsidRDefault="003F0EEA">
            <w:pPr>
              <w:rPr>
                <w:rFonts w:ascii="Arial" w:eastAsia="Arial" w:hAnsi="Arial" w:cs="Arial"/>
                <w:color w:val="000000"/>
                <w:sz w:val="16"/>
                <w:vertAlign w:val="superscript"/>
              </w:rPr>
            </w:pPr>
          </w:p>
        </w:tc>
        <w:tc>
          <w:tcPr>
            <w:tcW w:w="6330" w:type="dxa"/>
            <w:tcBorders>
              <w:top w:val="nil"/>
              <w:left w:val="nil"/>
              <w:bottom w:val="nil"/>
              <w:right w:val="nil"/>
              <w:tl2br w:val="nil"/>
              <w:tr2bl w:val="nil"/>
            </w:tcBorders>
            <w:shd w:val="clear" w:color="auto" w:fill="FFFFFF"/>
            <w:tcMar>
              <w:left w:w="101" w:type="dxa"/>
              <w:right w:w="101" w:type="dxa"/>
            </w:tcMar>
            <w:vAlign w:val="bottom"/>
          </w:tcPr>
          <w:p w14:paraId="6E5BF22F" w14:textId="77777777" w:rsidR="003F0EEA" w:rsidRDefault="00FB7D0B">
            <w:pPr>
              <w:rPr>
                <w:rFonts w:ascii="Arial" w:eastAsia="Arial" w:hAnsi="Arial" w:cs="Arial"/>
                <w:color w:val="000000"/>
                <w:sz w:val="16"/>
                <w:vertAlign w:val="superscript"/>
              </w:rPr>
            </w:pPr>
            <w:r>
              <w:rPr>
                <w:rFonts w:ascii="Arial" w:eastAsia="Arial" w:hAnsi="Arial" w:cs="Arial"/>
                <w:i/>
                <w:color w:val="000000"/>
                <w:sz w:val="16"/>
              </w:rPr>
              <w:t xml:space="preserve"> Social Security (Administration) Act 1999</w:t>
            </w:r>
          </w:p>
        </w:tc>
        <w:tc>
          <w:tcPr>
            <w:tcW w:w="1020" w:type="dxa"/>
            <w:tcBorders>
              <w:top w:val="nil"/>
              <w:left w:val="nil"/>
              <w:bottom w:val="nil"/>
              <w:right w:val="nil"/>
              <w:tl2br w:val="nil"/>
              <w:tr2bl w:val="nil"/>
            </w:tcBorders>
            <w:shd w:val="clear" w:color="auto" w:fill="FFFF00"/>
            <w:tcMar>
              <w:left w:w="101" w:type="dxa"/>
              <w:right w:w="101" w:type="dxa"/>
            </w:tcMar>
            <w:vAlign w:val="bottom"/>
          </w:tcPr>
          <w:p w14:paraId="5866F068" w14:textId="77777777" w:rsidR="003F0EEA" w:rsidRDefault="00FB7D0B">
            <w:pPr>
              <w:jc w:val="right"/>
              <w:rPr>
                <w:rFonts w:ascii="Arial" w:eastAsia="Arial" w:hAnsi="Arial" w:cs="Arial"/>
                <w:color w:val="000000"/>
                <w:sz w:val="16"/>
                <w:vertAlign w:val="superscript"/>
              </w:rPr>
            </w:pPr>
            <w:r>
              <w:rPr>
                <w:rFonts w:ascii="Arial" w:eastAsia="Arial" w:hAnsi="Arial" w:cs="Arial"/>
                <w:color w:val="000000"/>
                <w:sz w:val="16"/>
              </w:rPr>
              <w:t>56,402 </w:t>
            </w:r>
          </w:p>
        </w:tc>
        <w:tc>
          <w:tcPr>
            <w:tcW w:w="1020" w:type="dxa"/>
            <w:tcBorders>
              <w:top w:val="nil"/>
              <w:left w:val="nil"/>
              <w:bottom w:val="nil"/>
              <w:right w:val="nil"/>
              <w:tl2br w:val="nil"/>
              <w:tr2bl w:val="nil"/>
            </w:tcBorders>
            <w:shd w:val="clear" w:color="auto" w:fill="FFFFFF"/>
            <w:tcMar>
              <w:left w:w="101" w:type="dxa"/>
              <w:right w:w="101" w:type="dxa"/>
            </w:tcMar>
            <w:vAlign w:val="bottom"/>
          </w:tcPr>
          <w:p w14:paraId="00219F06" w14:textId="77777777" w:rsidR="003F0EEA" w:rsidRDefault="00FB7D0B">
            <w:pPr>
              <w:jc w:val="right"/>
              <w:rPr>
                <w:rFonts w:ascii="Arial" w:eastAsia="Arial" w:hAnsi="Arial" w:cs="Arial"/>
                <w:color w:val="000000"/>
                <w:sz w:val="16"/>
              </w:rPr>
            </w:pPr>
            <w:r>
              <w:rPr>
                <w:rFonts w:ascii="Arial" w:eastAsia="Arial" w:hAnsi="Arial" w:cs="Arial"/>
                <w:color w:val="000000"/>
                <w:sz w:val="16"/>
              </w:rPr>
              <w:t>55,786 </w:t>
            </w:r>
          </w:p>
        </w:tc>
      </w:tr>
      <w:tr w:rsidR="00FB7D0B" w14:paraId="7C64D2F5" w14:textId="77777777" w:rsidTr="00FB7D0B">
        <w:trPr>
          <w:trHeight w:val="225"/>
        </w:trPr>
        <w:tc>
          <w:tcPr>
            <w:tcW w:w="6510" w:type="dxa"/>
            <w:gridSpan w:val="2"/>
            <w:tcBorders>
              <w:top w:val="nil"/>
              <w:left w:val="nil"/>
              <w:bottom w:val="nil"/>
              <w:right w:val="nil"/>
              <w:tl2br w:val="nil"/>
              <w:tr2bl w:val="nil"/>
            </w:tcBorders>
            <w:shd w:val="clear" w:color="auto" w:fill="FFFFFF"/>
            <w:tcMar>
              <w:left w:w="101" w:type="dxa"/>
              <w:right w:w="101" w:type="dxa"/>
            </w:tcMar>
            <w:vAlign w:val="bottom"/>
          </w:tcPr>
          <w:p w14:paraId="0380F498" w14:textId="77777777" w:rsidR="003F0EEA" w:rsidRDefault="00FB7D0B">
            <w:pPr>
              <w:rPr>
                <w:rFonts w:ascii="Arial" w:eastAsia="Arial" w:hAnsi="Arial" w:cs="Arial"/>
                <w:color w:val="000000"/>
                <w:sz w:val="16"/>
              </w:rPr>
            </w:pPr>
            <w:r>
              <w:rPr>
                <w:rFonts w:ascii="Arial" w:eastAsia="Arial" w:hAnsi="Arial" w:cs="Arial"/>
                <w:color w:val="000000"/>
                <w:sz w:val="16"/>
              </w:rPr>
              <w:t>Payments made on behalf of Department of Social Services</w:t>
            </w:r>
          </w:p>
        </w:tc>
        <w:tc>
          <w:tcPr>
            <w:tcW w:w="1020" w:type="dxa"/>
            <w:tcBorders>
              <w:top w:val="nil"/>
              <w:left w:val="nil"/>
              <w:bottom w:val="nil"/>
              <w:right w:val="nil"/>
              <w:tl2br w:val="nil"/>
              <w:tr2bl w:val="nil"/>
            </w:tcBorders>
            <w:shd w:val="clear" w:color="auto" w:fill="FFFF00"/>
            <w:tcMar>
              <w:left w:w="101" w:type="dxa"/>
              <w:right w:w="101" w:type="dxa"/>
            </w:tcMar>
            <w:vAlign w:val="bottom"/>
          </w:tcPr>
          <w:p w14:paraId="05341E79" w14:textId="77777777" w:rsidR="003F0EEA" w:rsidRDefault="003F0EEA">
            <w:pPr>
              <w:rPr>
                <w:rFonts w:ascii="Arial" w:eastAsia="Arial" w:hAnsi="Arial" w:cs="Arial"/>
                <w:color w:val="000000"/>
                <w:sz w:val="16"/>
                <w:vertAlign w:val="superscript"/>
              </w:rPr>
            </w:pPr>
          </w:p>
        </w:tc>
        <w:tc>
          <w:tcPr>
            <w:tcW w:w="1020" w:type="dxa"/>
            <w:tcBorders>
              <w:top w:val="nil"/>
              <w:left w:val="nil"/>
              <w:bottom w:val="nil"/>
              <w:right w:val="nil"/>
              <w:tl2br w:val="nil"/>
              <w:tr2bl w:val="nil"/>
            </w:tcBorders>
            <w:shd w:val="clear" w:color="auto" w:fill="FFFFFF"/>
            <w:tcMar>
              <w:left w:w="101" w:type="dxa"/>
              <w:right w:w="101" w:type="dxa"/>
            </w:tcMar>
            <w:vAlign w:val="bottom"/>
          </w:tcPr>
          <w:p w14:paraId="3B81C4B9" w14:textId="77777777" w:rsidR="003F0EEA" w:rsidRDefault="003F0EEA">
            <w:pPr>
              <w:rPr>
                <w:rFonts w:ascii="Arial" w:eastAsia="Arial" w:hAnsi="Arial" w:cs="Arial"/>
                <w:color w:val="000000"/>
                <w:sz w:val="16"/>
                <w:vertAlign w:val="superscript"/>
              </w:rPr>
            </w:pPr>
          </w:p>
        </w:tc>
      </w:tr>
      <w:tr w:rsidR="00724034" w14:paraId="59CCE971" w14:textId="77777777">
        <w:trPr>
          <w:trHeight w:val="225"/>
        </w:trPr>
        <w:tc>
          <w:tcPr>
            <w:tcW w:w="180" w:type="dxa"/>
            <w:tcBorders>
              <w:top w:val="nil"/>
              <w:left w:val="nil"/>
              <w:bottom w:val="nil"/>
              <w:right w:val="nil"/>
              <w:tl2br w:val="nil"/>
              <w:tr2bl w:val="nil"/>
            </w:tcBorders>
            <w:shd w:val="clear" w:color="auto" w:fill="FFFFFF"/>
            <w:tcMar>
              <w:left w:w="101" w:type="dxa"/>
              <w:right w:w="101" w:type="dxa"/>
            </w:tcMar>
            <w:vAlign w:val="bottom"/>
          </w:tcPr>
          <w:p w14:paraId="42FDF478" w14:textId="77777777" w:rsidR="003F0EEA" w:rsidRDefault="003F0EEA">
            <w:pPr>
              <w:rPr>
                <w:rFonts w:ascii="Arial" w:eastAsia="Arial" w:hAnsi="Arial" w:cs="Arial"/>
                <w:color w:val="000000"/>
                <w:sz w:val="16"/>
                <w:vertAlign w:val="superscript"/>
              </w:rPr>
            </w:pPr>
          </w:p>
        </w:tc>
        <w:tc>
          <w:tcPr>
            <w:tcW w:w="6330" w:type="dxa"/>
            <w:tcBorders>
              <w:top w:val="nil"/>
              <w:left w:val="nil"/>
              <w:bottom w:val="nil"/>
              <w:right w:val="nil"/>
              <w:tl2br w:val="nil"/>
              <w:tr2bl w:val="nil"/>
            </w:tcBorders>
            <w:shd w:val="clear" w:color="auto" w:fill="FFFFFF"/>
            <w:tcMar>
              <w:left w:w="101" w:type="dxa"/>
              <w:right w:w="101" w:type="dxa"/>
            </w:tcMar>
            <w:vAlign w:val="bottom"/>
          </w:tcPr>
          <w:p w14:paraId="239875FD" w14:textId="77777777" w:rsidR="003F0EEA" w:rsidRDefault="00FB7D0B">
            <w:pPr>
              <w:rPr>
                <w:rFonts w:ascii="Arial" w:eastAsia="Arial" w:hAnsi="Arial" w:cs="Arial"/>
                <w:color w:val="000000"/>
                <w:sz w:val="16"/>
                <w:vertAlign w:val="superscript"/>
              </w:rPr>
            </w:pPr>
            <w:r>
              <w:rPr>
                <w:rFonts w:ascii="Arial" w:eastAsia="Arial" w:hAnsi="Arial" w:cs="Arial"/>
                <w:i/>
                <w:color w:val="000000"/>
                <w:sz w:val="16"/>
              </w:rPr>
              <w:t>A New Tax System (Family Assistance) (Administration) Act 1999</w:t>
            </w:r>
          </w:p>
        </w:tc>
        <w:tc>
          <w:tcPr>
            <w:tcW w:w="1020" w:type="dxa"/>
            <w:tcBorders>
              <w:top w:val="nil"/>
              <w:left w:val="nil"/>
              <w:bottom w:val="nil"/>
              <w:right w:val="nil"/>
              <w:tl2br w:val="nil"/>
              <w:tr2bl w:val="nil"/>
            </w:tcBorders>
            <w:shd w:val="clear" w:color="auto" w:fill="FFFF00"/>
            <w:tcMar>
              <w:left w:w="101" w:type="dxa"/>
              <w:right w:w="101" w:type="dxa"/>
            </w:tcMar>
            <w:vAlign w:val="bottom"/>
          </w:tcPr>
          <w:p w14:paraId="2AF32EF2" w14:textId="77777777" w:rsidR="003F0EEA" w:rsidRDefault="00FB7D0B">
            <w:pPr>
              <w:jc w:val="right"/>
              <w:rPr>
                <w:rFonts w:ascii="Arial" w:eastAsia="Arial" w:hAnsi="Arial" w:cs="Arial"/>
                <w:color w:val="000000"/>
                <w:sz w:val="16"/>
                <w:vertAlign w:val="superscript"/>
              </w:rPr>
            </w:pPr>
            <w:r>
              <w:rPr>
                <w:rFonts w:ascii="Arial" w:eastAsia="Arial" w:hAnsi="Arial" w:cs="Arial"/>
                <w:color w:val="000000"/>
                <w:sz w:val="16"/>
              </w:rPr>
              <w:t>1,248 </w:t>
            </w:r>
          </w:p>
        </w:tc>
        <w:tc>
          <w:tcPr>
            <w:tcW w:w="1020" w:type="dxa"/>
            <w:tcBorders>
              <w:top w:val="nil"/>
              <w:left w:val="nil"/>
              <w:bottom w:val="nil"/>
              <w:right w:val="nil"/>
              <w:tl2br w:val="nil"/>
              <w:tr2bl w:val="nil"/>
            </w:tcBorders>
            <w:shd w:val="clear" w:color="auto" w:fill="FFFFFF"/>
            <w:tcMar>
              <w:left w:w="101" w:type="dxa"/>
              <w:right w:w="101" w:type="dxa"/>
            </w:tcMar>
            <w:vAlign w:val="bottom"/>
          </w:tcPr>
          <w:p w14:paraId="4E5CD10E" w14:textId="77777777" w:rsidR="003F0EEA" w:rsidRDefault="00FB7D0B">
            <w:pPr>
              <w:jc w:val="right"/>
              <w:rPr>
                <w:rFonts w:ascii="Arial" w:eastAsia="Arial" w:hAnsi="Arial" w:cs="Arial"/>
                <w:color w:val="000000"/>
                <w:sz w:val="16"/>
              </w:rPr>
            </w:pPr>
            <w:r>
              <w:rPr>
                <w:rFonts w:ascii="Arial" w:eastAsia="Arial" w:hAnsi="Arial" w:cs="Arial"/>
                <w:color w:val="000000"/>
                <w:sz w:val="16"/>
              </w:rPr>
              <w:t>1,217 </w:t>
            </w:r>
          </w:p>
        </w:tc>
      </w:tr>
      <w:tr w:rsidR="00FB7D0B" w14:paraId="549A520C" w14:textId="77777777" w:rsidTr="00FB7D0B">
        <w:trPr>
          <w:trHeight w:val="225"/>
        </w:trPr>
        <w:tc>
          <w:tcPr>
            <w:tcW w:w="6510" w:type="dxa"/>
            <w:gridSpan w:val="2"/>
            <w:tcBorders>
              <w:top w:val="nil"/>
              <w:left w:val="nil"/>
              <w:bottom w:val="nil"/>
              <w:right w:val="nil"/>
              <w:tl2br w:val="nil"/>
              <w:tr2bl w:val="nil"/>
            </w:tcBorders>
            <w:shd w:val="clear" w:color="auto" w:fill="FFFFFF"/>
            <w:tcMar>
              <w:left w:w="101" w:type="dxa"/>
              <w:right w:w="101" w:type="dxa"/>
            </w:tcMar>
            <w:vAlign w:val="bottom"/>
          </w:tcPr>
          <w:p w14:paraId="25246859" w14:textId="77777777" w:rsidR="003F0EEA" w:rsidRDefault="00FB7D0B">
            <w:pPr>
              <w:rPr>
                <w:rFonts w:ascii="Arial" w:eastAsia="Arial" w:hAnsi="Arial" w:cs="Arial"/>
                <w:color w:val="000000"/>
                <w:sz w:val="16"/>
              </w:rPr>
            </w:pPr>
            <w:r>
              <w:rPr>
                <w:rFonts w:ascii="Arial" w:eastAsia="Arial" w:hAnsi="Arial" w:cs="Arial"/>
                <w:color w:val="000000"/>
                <w:sz w:val="16"/>
              </w:rPr>
              <w:t>Payments made on behalf of Department of Social Services</w:t>
            </w:r>
          </w:p>
        </w:tc>
        <w:tc>
          <w:tcPr>
            <w:tcW w:w="1020" w:type="dxa"/>
            <w:tcBorders>
              <w:top w:val="nil"/>
              <w:left w:val="nil"/>
              <w:bottom w:val="nil"/>
              <w:right w:val="nil"/>
              <w:tl2br w:val="nil"/>
              <w:tr2bl w:val="nil"/>
            </w:tcBorders>
            <w:shd w:val="clear" w:color="auto" w:fill="FFFF00"/>
            <w:tcMar>
              <w:left w:w="101" w:type="dxa"/>
              <w:right w:w="101" w:type="dxa"/>
            </w:tcMar>
            <w:vAlign w:val="bottom"/>
          </w:tcPr>
          <w:p w14:paraId="00C3DF13" w14:textId="77777777" w:rsidR="003F0EEA" w:rsidRDefault="003F0EEA">
            <w:pPr>
              <w:rPr>
                <w:rFonts w:ascii="Arial" w:eastAsia="Arial" w:hAnsi="Arial" w:cs="Arial"/>
                <w:color w:val="000000"/>
                <w:sz w:val="16"/>
                <w:vertAlign w:val="superscript"/>
              </w:rPr>
            </w:pPr>
          </w:p>
        </w:tc>
        <w:tc>
          <w:tcPr>
            <w:tcW w:w="1020" w:type="dxa"/>
            <w:tcBorders>
              <w:top w:val="nil"/>
              <w:left w:val="nil"/>
              <w:bottom w:val="nil"/>
              <w:right w:val="nil"/>
              <w:tl2br w:val="nil"/>
              <w:tr2bl w:val="nil"/>
            </w:tcBorders>
            <w:shd w:val="clear" w:color="auto" w:fill="FFFFFF"/>
            <w:tcMar>
              <w:left w:w="101" w:type="dxa"/>
              <w:right w:w="101" w:type="dxa"/>
            </w:tcMar>
            <w:vAlign w:val="bottom"/>
          </w:tcPr>
          <w:p w14:paraId="75518CFA" w14:textId="77777777" w:rsidR="003F0EEA" w:rsidRDefault="003F0EEA">
            <w:pPr>
              <w:rPr>
                <w:rFonts w:ascii="Arial" w:eastAsia="Arial" w:hAnsi="Arial" w:cs="Arial"/>
                <w:color w:val="000000"/>
                <w:sz w:val="16"/>
                <w:vertAlign w:val="superscript"/>
              </w:rPr>
            </w:pPr>
          </w:p>
        </w:tc>
      </w:tr>
      <w:tr w:rsidR="00724034" w14:paraId="48D7629A" w14:textId="77777777">
        <w:trPr>
          <w:trHeight w:val="225"/>
        </w:trPr>
        <w:tc>
          <w:tcPr>
            <w:tcW w:w="180" w:type="dxa"/>
            <w:tcBorders>
              <w:top w:val="nil"/>
              <w:left w:val="nil"/>
              <w:bottom w:val="nil"/>
              <w:right w:val="nil"/>
              <w:tl2br w:val="nil"/>
              <w:tr2bl w:val="nil"/>
            </w:tcBorders>
            <w:shd w:val="clear" w:color="auto" w:fill="FFFFFF"/>
            <w:tcMar>
              <w:left w:w="101" w:type="dxa"/>
              <w:right w:w="101" w:type="dxa"/>
            </w:tcMar>
            <w:vAlign w:val="bottom"/>
          </w:tcPr>
          <w:p w14:paraId="3F4A8C12" w14:textId="77777777" w:rsidR="003F0EEA" w:rsidRDefault="003F0EEA">
            <w:pPr>
              <w:rPr>
                <w:rFonts w:ascii="Arial" w:eastAsia="Arial" w:hAnsi="Arial" w:cs="Arial"/>
                <w:color w:val="000000"/>
                <w:sz w:val="16"/>
                <w:vertAlign w:val="superscript"/>
              </w:rPr>
            </w:pPr>
          </w:p>
        </w:tc>
        <w:tc>
          <w:tcPr>
            <w:tcW w:w="6330" w:type="dxa"/>
            <w:tcBorders>
              <w:top w:val="nil"/>
              <w:left w:val="nil"/>
              <w:bottom w:val="nil"/>
              <w:right w:val="nil"/>
              <w:tl2br w:val="nil"/>
              <w:tr2bl w:val="nil"/>
            </w:tcBorders>
            <w:shd w:val="clear" w:color="auto" w:fill="FFFFFF"/>
            <w:tcMar>
              <w:left w:w="101" w:type="dxa"/>
              <w:right w:w="101" w:type="dxa"/>
            </w:tcMar>
            <w:vAlign w:val="bottom"/>
          </w:tcPr>
          <w:p w14:paraId="29EC7617" w14:textId="77777777" w:rsidR="003F0EEA" w:rsidRDefault="00FB7D0B">
            <w:pPr>
              <w:rPr>
                <w:rFonts w:ascii="Arial" w:eastAsia="Arial" w:hAnsi="Arial" w:cs="Arial"/>
                <w:color w:val="000000"/>
                <w:sz w:val="16"/>
                <w:vertAlign w:val="superscript"/>
              </w:rPr>
            </w:pPr>
            <w:r>
              <w:rPr>
                <w:rFonts w:ascii="Arial" w:eastAsia="Arial" w:hAnsi="Arial" w:cs="Arial"/>
                <w:color w:val="000000"/>
                <w:sz w:val="16"/>
              </w:rPr>
              <w:t>for the provision of services</w:t>
            </w:r>
          </w:p>
        </w:tc>
        <w:tc>
          <w:tcPr>
            <w:tcW w:w="1020" w:type="dxa"/>
            <w:tcBorders>
              <w:top w:val="nil"/>
              <w:left w:val="nil"/>
              <w:bottom w:val="nil"/>
              <w:right w:val="nil"/>
              <w:tl2br w:val="nil"/>
              <w:tr2bl w:val="nil"/>
            </w:tcBorders>
            <w:shd w:val="clear" w:color="auto" w:fill="FFFF00"/>
            <w:tcMar>
              <w:left w:w="101" w:type="dxa"/>
              <w:right w:w="101" w:type="dxa"/>
            </w:tcMar>
            <w:vAlign w:val="bottom"/>
          </w:tcPr>
          <w:p w14:paraId="6F7B2B3E" w14:textId="77777777" w:rsidR="003F0EEA" w:rsidRDefault="00FB7D0B">
            <w:pPr>
              <w:jc w:val="right"/>
              <w:rPr>
                <w:rFonts w:ascii="Arial" w:eastAsia="Arial" w:hAnsi="Arial" w:cs="Arial"/>
                <w:color w:val="000000"/>
                <w:sz w:val="16"/>
                <w:vertAlign w:val="superscript"/>
              </w:rPr>
            </w:pPr>
            <w:r>
              <w:rPr>
                <w:rFonts w:ascii="Arial" w:eastAsia="Arial" w:hAnsi="Arial" w:cs="Arial"/>
                <w:color w:val="000000"/>
                <w:sz w:val="16"/>
              </w:rPr>
              <w:t>196 </w:t>
            </w:r>
          </w:p>
        </w:tc>
        <w:tc>
          <w:tcPr>
            <w:tcW w:w="1020" w:type="dxa"/>
            <w:tcBorders>
              <w:top w:val="nil"/>
              <w:left w:val="nil"/>
              <w:bottom w:val="nil"/>
              <w:right w:val="nil"/>
              <w:tl2br w:val="nil"/>
              <w:tr2bl w:val="nil"/>
            </w:tcBorders>
            <w:shd w:val="clear" w:color="auto" w:fill="FFFFFF"/>
            <w:tcMar>
              <w:left w:w="101" w:type="dxa"/>
              <w:right w:w="101" w:type="dxa"/>
            </w:tcMar>
            <w:vAlign w:val="bottom"/>
          </w:tcPr>
          <w:p w14:paraId="6336D006" w14:textId="77777777" w:rsidR="003F0EEA" w:rsidRDefault="00FB7D0B">
            <w:pPr>
              <w:jc w:val="right"/>
              <w:rPr>
                <w:rFonts w:ascii="Arial" w:eastAsia="Arial" w:hAnsi="Arial" w:cs="Arial"/>
                <w:color w:val="000000"/>
                <w:sz w:val="16"/>
              </w:rPr>
            </w:pPr>
            <w:r>
              <w:rPr>
                <w:rFonts w:ascii="Arial" w:eastAsia="Arial" w:hAnsi="Arial" w:cs="Arial"/>
                <w:color w:val="000000"/>
                <w:sz w:val="16"/>
              </w:rPr>
              <w:t>195 </w:t>
            </w:r>
          </w:p>
        </w:tc>
      </w:tr>
      <w:tr w:rsidR="00FB7D0B" w14:paraId="203F494B" w14:textId="77777777" w:rsidTr="00FB7D0B">
        <w:trPr>
          <w:trHeight w:val="225"/>
        </w:trPr>
        <w:tc>
          <w:tcPr>
            <w:tcW w:w="6510" w:type="dxa"/>
            <w:gridSpan w:val="2"/>
            <w:tcBorders>
              <w:top w:val="nil"/>
              <w:left w:val="nil"/>
              <w:bottom w:val="nil"/>
              <w:right w:val="nil"/>
              <w:tl2br w:val="nil"/>
              <w:tr2bl w:val="nil"/>
            </w:tcBorders>
            <w:shd w:val="clear" w:color="auto" w:fill="FFFFFF"/>
            <w:tcMar>
              <w:left w:w="101" w:type="dxa"/>
              <w:right w:w="101" w:type="dxa"/>
            </w:tcMar>
            <w:vAlign w:val="bottom"/>
          </w:tcPr>
          <w:p w14:paraId="09EE816B" w14:textId="77777777" w:rsidR="003F0EEA" w:rsidRDefault="00FB7D0B">
            <w:pPr>
              <w:rPr>
                <w:rFonts w:ascii="Arial" w:eastAsia="Arial" w:hAnsi="Arial" w:cs="Arial"/>
                <w:color w:val="000000"/>
                <w:sz w:val="16"/>
              </w:rPr>
            </w:pPr>
            <w:r>
              <w:rPr>
                <w:rFonts w:ascii="Arial" w:eastAsia="Arial" w:hAnsi="Arial" w:cs="Arial"/>
                <w:color w:val="000000"/>
                <w:sz w:val="16"/>
              </w:rPr>
              <w:t xml:space="preserve">Payments made by the Department of Human Services (DHS) on behalf of DVA </w:t>
            </w:r>
          </w:p>
        </w:tc>
        <w:tc>
          <w:tcPr>
            <w:tcW w:w="1020" w:type="dxa"/>
            <w:tcBorders>
              <w:top w:val="nil"/>
              <w:left w:val="nil"/>
              <w:bottom w:val="nil"/>
              <w:right w:val="nil"/>
              <w:tl2br w:val="nil"/>
              <w:tr2bl w:val="nil"/>
            </w:tcBorders>
            <w:shd w:val="clear" w:color="auto" w:fill="FFFF00"/>
            <w:tcMar>
              <w:left w:w="101" w:type="dxa"/>
              <w:right w:w="101" w:type="dxa"/>
            </w:tcMar>
            <w:vAlign w:val="bottom"/>
          </w:tcPr>
          <w:p w14:paraId="1DE7A6B0" w14:textId="77777777" w:rsidR="003F0EEA" w:rsidRDefault="003F0EEA">
            <w:pPr>
              <w:rPr>
                <w:rFonts w:ascii="Arial" w:eastAsia="Arial" w:hAnsi="Arial" w:cs="Arial"/>
                <w:color w:val="000000"/>
                <w:sz w:val="16"/>
                <w:vertAlign w:val="superscript"/>
              </w:rPr>
            </w:pPr>
          </w:p>
        </w:tc>
        <w:tc>
          <w:tcPr>
            <w:tcW w:w="1020" w:type="dxa"/>
            <w:tcBorders>
              <w:top w:val="nil"/>
              <w:left w:val="nil"/>
              <w:bottom w:val="nil"/>
              <w:right w:val="nil"/>
              <w:tl2br w:val="nil"/>
              <w:tr2bl w:val="nil"/>
            </w:tcBorders>
            <w:shd w:val="clear" w:color="auto" w:fill="FFFFFF"/>
            <w:tcMar>
              <w:left w:w="101" w:type="dxa"/>
              <w:right w:w="101" w:type="dxa"/>
            </w:tcMar>
            <w:vAlign w:val="bottom"/>
          </w:tcPr>
          <w:p w14:paraId="5AF265FC" w14:textId="77777777" w:rsidR="003F0EEA" w:rsidRDefault="003F0EEA">
            <w:pPr>
              <w:rPr>
                <w:rFonts w:ascii="Arial" w:eastAsia="Arial" w:hAnsi="Arial" w:cs="Arial"/>
                <w:color w:val="000000"/>
                <w:sz w:val="16"/>
                <w:vertAlign w:val="superscript"/>
              </w:rPr>
            </w:pPr>
          </w:p>
        </w:tc>
      </w:tr>
      <w:tr w:rsidR="00724034" w14:paraId="64A87504" w14:textId="77777777">
        <w:trPr>
          <w:trHeight w:val="225"/>
        </w:trPr>
        <w:tc>
          <w:tcPr>
            <w:tcW w:w="180" w:type="dxa"/>
            <w:tcBorders>
              <w:top w:val="nil"/>
              <w:left w:val="nil"/>
              <w:bottom w:val="nil"/>
              <w:right w:val="nil"/>
              <w:tl2br w:val="nil"/>
              <w:tr2bl w:val="nil"/>
            </w:tcBorders>
            <w:shd w:val="clear" w:color="auto" w:fill="FFFFFF"/>
            <w:tcMar>
              <w:left w:w="101" w:type="dxa"/>
              <w:right w:w="101" w:type="dxa"/>
            </w:tcMar>
            <w:vAlign w:val="bottom"/>
          </w:tcPr>
          <w:p w14:paraId="36EB866F" w14:textId="77777777" w:rsidR="003F0EEA" w:rsidRDefault="003F0EEA">
            <w:pPr>
              <w:rPr>
                <w:rFonts w:ascii="Arial" w:eastAsia="Arial" w:hAnsi="Arial" w:cs="Arial"/>
                <w:color w:val="000000"/>
                <w:sz w:val="16"/>
                <w:vertAlign w:val="superscript"/>
              </w:rPr>
            </w:pPr>
          </w:p>
        </w:tc>
        <w:tc>
          <w:tcPr>
            <w:tcW w:w="6330" w:type="dxa"/>
            <w:tcBorders>
              <w:top w:val="nil"/>
              <w:left w:val="nil"/>
              <w:bottom w:val="nil"/>
              <w:right w:val="nil"/>
              <w:tl2br w:val="nil"/>
              <w:tr2bl w:val="nil"/>
            </w:tcBorders>
            <w:shd w:val="clear" w:color="auto" w:fill="FFFFFF"/>
            <w:tcMar>
              <w:left w:w="101" w:type="dxa"/>
              <w:right w:w="101" w:type="dxa"/>
            </w:tcMar>
            <w:vAlign w:val="bottom"/>
          </w:tcPr>
          <w:p w14:paraId="04910F0B" w14:textId="77777777" w:rsidR="003F0EEA" w:rsidRDefault="00FB7D0B">
            <w:pPr>
              <w:rPr>
                <w:rFonts w:ascii="Arial" w:eastAsia="Arial" w:hAnsi="Arial" w:cs="Arial"/>
                <w:color w:val="000000"/>
                <w:sz w:val="16"/>
                <w:vertAlign w:val="superscript"/>
              </w:rPr>
            </w:pPr>
            <w:r>
              <w:rPr>
                <w:rFonts w:ascii="Arial" w:eastAsia="Arial" w:hAnsi="Arial" w:cs="Arial"/>
                <w:color w:val="000000"/>
                <w:sz w:val="16"/>
              </w:rPr>
              <w:t xml:space="preserve"> </w:t>
            </w:r>
            <w:r>
              <w:rPr>
                <w:rFonts w:ascii="Arial" w:eastAsia="Arial" w:hAnsi="Arial" w:cs="Arial"/>
                <w:i/>
                <w:color w:val="000000"/>
                <w:sz w:val="16"/>
              </w:rPr>
              <w:t xml:space="preserve">Veterans' Entitlements Act 1986, </w:t>
            </w:r>
          </w:p>
        </w:tc>
        <w:tc>
          <w:tcPr>
            <w:tcW w:w="1020" w:type="dxa"/>
            <w:tcBorders>
              <w:top w:val="nil"/>
              <w:left w:val="nil"/>
              <w:bottom w:val="nil"/>
              <w:right w:val="nil"/>
              <w:tl2br w:val="nil"/>
              <w:tr2bl w:val="nil"/>
            </w:tcBorders>
            <w:shd w:val="clear" w:color="auto" w:fill="FFFF00"/>
            <w:tcMar>
              <w:left w:w="101" w:type="dxa"/>
              <w:right w:w="101" w:type="dxa"/>
            </w:tcMar>
            <w:vAlign w:val="bottom"/>
          </w:tcPr>
          <w:p w14:paraId="4BFACDBF" w14:textId="77777777" w:rsidR="003F0EEA" w:rsidRDefault="00FB7D0B">
            <w:pPr>
              <w:jc w:val="right"/>
              <w:rPr>
                <w:rFonts w:ascii="Arial" w:eastAsia="Arial" w:hAnsi="Arial" w:cs="Arial"/>
                <w:color w:val="000000"/>
                <w:sz w:val="16"/>
                <w:vertAlign w:val="superscript"/>
              </w:rPr>
            </w:pPr>
            <w:r>
              <w:rPr>
                <w:rFonts w:ascii="Arial" w:eastAsia="Arial" w:hAnsi="Arial" w:cs="Arial"/>
                <w:color w:val="000000"/>
                <w:sz w:val="16"/>
              </w:rPr>
              <w:t>4,016,709 </w:t>
            </w:r>
          </w:p>
        </w:tc>
        <w:tc>
          <w:tcPr>
            <w:tcW w:w="1020" w:type="dxa"/>
            <w:tcBorders>
              <w:top w:val="nil"/>
              <w:left w:val="nil"/>
              <w:bottom w:val="nil"/>
              <w:right w:val="nil"/>
              <w:tl2br w:val="nil"/>
              <w:tr2bl w:val="nil"/>
            </w:tcBorders>
            <w:shd w:val="clear" w:color="auto" w:fill="FFFFFF"/>
            <w:tcMar>
              <w:left w:w="101" w:type="dxa"/>
              <w:right w:w="101" w:type="dxa"/>
            </w:tcMar>
            <w:vAlign w:val="bottom"/>
          </w:tcPr>
          <w:p w14:paraId="6FB3ED6E" w14:textId="77777777" w:rsidR="003F0EEA" w:rsidRDefault="00FB7D0B">
            <w:pPr>
              <w:jc w:val="right"/>
              <w:rPr>
                <w:rFonts w:ascii="Arial" w:eastAsia="Arial" w:hAnsi="Arial" w:cs="Arial"/>
                <w:color w:val="000000"/>
                <w:sz w:val="16"/>
              </w:rPr>
            </w:pPr>
            <w:r>
              <w:rPr>
                <w:rFonts w:ascii="Arial" w:eastAsia="Arial" w:hAnsi="Arial" w:cs="Arial"/>
                <w:color w:val="000000"/>
                <w:sz w:val="16"/>
              </w:rPr>
              <w:t>3,958,265 </w:t>
            </w:r>
          </w:p>
        </w:tc>
      </w:tr>
      <w:tr w:rsidR="00724034" w14:paraId="216874C4" w14:textId="77777777">
        <w:trPr>
          <w:trHeight w:val="225"/>
        </w:trPr>
        <w:tc>
          <w:tcPr>
            <w:tcW w:w="180" w:type="dxa"/>
            <w:tcBorders>
              <w:top w:val="nil"/>
              <w:left w:val="nil"/>
              <w:bottom w:val="nil"/>
              <w:right w:val="nil"/>
              <w:tl2br w:val="nil"/>
              <w:tr2bl w:val="nil"/>
            </w:tcBorders>
            <w:shd w:val="clear" w:color="auto" w:fill="FFFFFF"/>
            <w:tcMar>
              <w:left w:w="101" w:type="dxa"/>
              <w:right w:w="101" w:type="dxa"/>
            </w:tcMar>
            <w:vAlign w:val="bottom"/>
          </w:tcPr>
          <w:p w14:paraId="2D9E1590" w14:textId="77777777" w:rsidR="003F0EEA" w:rsidRDefault="003F0EEA">
            <w:pPr>
              <w:rPr>
                <w:rFonts w:ascii="Arial" w:eastAsia="Arial" w:hAnsi="Arial" w:cs="Arial"/>
                <w:color w:val="000000"/>
                <w:sz w:val="16"/>
              </w:rPr>
            </w:pPr>
          </w:p>
        </w:tc>
        <w:tc>
          <w:tcPr>
            <w:tcW w:w="6330" w:type="dxa"/>
            <w:tcBorders>
              <w:top w:val="nil"/>
              <w:left w:val="nil"/>
              <w:bottom w:val="nil"/>
              <w:right w:val="nil"/>
              <w:tl2br w:val="nil"/>
              <w:tr2bl w:val="nil"/>
            </w:tcBorders>
            <w:shd w:val="clear" w:color="auto" w:fill="FFFFFF"/>
            <w:tcMar>
              <w:left w:w="101" w:type="dxa"/>
              <w:right w:w="101" w:type="dxa"/>
            </w:tcMar>
            <w:vAlign w:val="bottom"/>
          </w:tcPr>
          <w:p w14:paraId="24ADF980" w14:textId="77777777" w:rsidR="003F0EEA" w:rsidRDefault="00FB7D0B">
            <w:pPr>
              <w:rPr>
                <w:rFonts w:ascii="Arial" w:eastAsia="Arial" w:hAnsi="Arial" w:cs="Arial"/>
                <w:color w:val="000000"/>
                <w:sz w:val="16"/>
              </w:rPr>
            </w:pPr>
            <w:r>
              <w:rPr>
                <w:rFonts w:ascii="Arial" w:eastAsia="Arial" w:hAnsi="Arial" w:cs="Arial"/>
                <w:i/>
                <w:color w:val="000000"/>
                <w:sz w:val="16"/>
              </w:rPr>
              <w:t>Military Rehabilitation and Compensation Act 2004, and</w:t>
            </w:r>
          </w:p>
        </w:tc>
        <w:tc>
          <w:tcPr>
            <w:tcW w:w="1020" w:type="dxa"/>
            <w:tcBorders>
              <w:top w:val="nil"/>
              <w:left w:val="nil"/>
              <w:bottom w:val="nil"/>
              <w:right w:val="nil"/>
              <w:tl2br w:val="nil"/>
              <w:tr2bl w:val="nil"/>
            </w:tcBorders>
            <w:shd w:val="clear" w:color="auto" w:fill="FFFF00"/>
            <w:tcMar>
              <w:left w:w="101" w:type="dxa"/>
              <w:right w:w="101" w:type="dxa"/>
            </w:tcMar>
            <w:vAlign w:val="bottom"/>
          </w:tcPr>
          <w:p w14:paraId="41496237" w14:textId="77777777" w:rsidR="003F0EEA" w:rsidRDefault="00FB7D0B">
            <w:pPr>
              <w:jc w:val="right"/>
              <w:rPr>
                <w:rFonts w:ascii="Arial" w:eastAsia="Arial" w:hAnsi="Arial" w:cs="Arial"/>
                <w:color w:val="000000"/>
                <w:sz w:val="16"/>
                <w:vertAlign w:val="superscript"/>
              </w:rPr>
            </w:pPr>
            <w:r>
              <w:rPr>
                <w:rFonts w:ascii="Arial" w:eastAsia="Arial" w:hAnsi="Arial" w:cs="Arial"/>
                <w:color w:val="000000"/>
                <w:sz w:val="16"/>
              </w:rPr>
              <w:t>22,367 </w:t>
            </w:r>
          </w:p>
        </w:tc>
        <w:tc>
          <w:tcPr>
            <w:tcW w:w="1020" w:type="dxa"/>
            <w:tcBorders>
              <w:top w:val="nil"/>
              <w:left w:val="nil"/>
              <w:bottom w:val="nil"/>
              <w:right w:val="nil"/>
              <w:tl2br w:val="nil"/>
              <w:tr2bl w:val="nil"/>
            </w:tcBorders>
            <w:shd w:val="clear" w:color="auto" w:fill="FFFFFF"/>
            <w:tcMar>
              <w:left w:w="101" w:type="dxa"/>
              <w:right w:w="101" w:type="dxa"/>
            </w:tcMar>
            <w:vAlign w:val="bottom"/>
          </w:tcPr>
          <w:p w14:paraId="3749B318" w14:textId="77777777" w:rsidR="003F0EEA" w:rsidRDefault="00FB7D0B">
            <w:pPr>
              <w:jc w:val="right"/>
              <w:rPr>
                <w:rFonts w:ascii="Arial" w:eastAsia="Arial" w:hAnsi="Arial" w:cs="Arial"/>
                <w:color w:val="000000"/>
                <w:sz w:val="16"/>
              </w:rPr>
            </w:pPr>
            <w:r>
              <w:rPr>
                <w:rFonts w:ascii="Arial" w:eastAsia="Arial" w:hAnsi="Arial" w:cs="Arial"/>
                <w:color w:val="000000"/>
                <w:sz w:val="16"/>
              </w:rPr>
              <w:t>19,957 </w:t>
            </w:r>
          </w:p>
        </w:tc>
      </w:tr>
      <w:tr w:rsidR="00724034" w14:paraId="58FAC861" w14:textId="77777777">
        <w:trPr>
          <w:trHeight w:val="225"/>
        </w:trPr>
        <w:tc>
          <w:tcPr>
            <w:tcW w:w="180" w:type="dxa"/>
            <w:tcBorders>
              <w:top w:val="nil"/>
              <w:left w:val="nil"/>
              <w:bottom w:val="nil"/>
              <w:right w:val="nil"/>
              <w:tl2br w:val="nil"/>
              <w:tr2bl w:val="nil"/>
            </w:tcBorders>
            <w:shd w:val="clear" w:color="auto" w:fill="FFFFFF"/>
            <w:tcMar>
              <w:left w:w="101" w:type="dxa"/>
              <w:right w:w="101" w:type="dxa"/>
            </w:tcMar>
            <w:vAlign w:val="bottom"/>
          </w:tcPr>
          <w:p w14:paraId="3F543CE6" w14:textId="77777777" w:rsidR="003F0EEA" w:rsidRDefault="003F0EEA">
            <w:pPr>
              <w:rPr>
                <w:rFonts w:ascii="Arial" w:eastAsia="Arial" w:hAnsi="Arial" w:cs="Arial"/>
                <w:color w:val="000000"/>
                <w:sz w:val="16"/>
              </w:rPr>
            </w:pPr>
          </w:p>
        </w:tc>
        <w:tc>
          <w:tcPr>
            <w:tcW w:w="6330" w:type="dxa"/>
            <w:tcBorders>
              <w:top w:val="nil"/>
              <w:left w:val="nil"/>
              <w:bottom w:val="nil"/>
              <w:right w:val="nil"/>
              <w:tl2br w:val="nil"/>
              <w:tr2bl w:val="nil"/>
            </w:tcBorders>
            <w:shd w:val="clear" w:color="auto" w:fill="FFFFFF"/>
            <w:tcMar>
              <w:left w:w="101" w:type="dxa"/>
              <w:right w:w="101" w:type="dxa"/>
            </w:tcMar>
            <w:vAlign w:val="bottom"/>
          </w:tcPr>
          <w:p w14:paraId="1DB11827" w14:textId="77777777" w:rsidR="003F0EEA" w:rsidRDefault="00FB7D0B">
            <w:pPr>
              <w:rPr>
                <w:rFonts w:ascii="Arial" w:eastAsia="Arial" w:hAnsi="Arial" w:cs="Arial"/>
                <w:color w:val="000000"/>
                <w:sz w:val="16"/>
              </w:rPr>
            </w:pPr>
            <w:r>
              <w:rPr>
                <w:rFonts w:ascii="Arial" w:eastAsia="Arial" w:hAnsi="Arial" w:cs="Arial"/>
                <w:i/>
                <w:color w:val="000000"/>
                <w:sz w:val="16"/>
              </w:rPr>
              <w:t>Australian Participants in British Nuclear Tests (Treatment) Act 2006</w:t>
            </w:r>
          </w:p>
        </w:tc>
        <w:tc>
          <w:tcPr>
            <w:tcW w:w="1020" w:type="dxa"/>
            <w:tcBorders>
              <w:top w:val="nil"/>
              <w:left w:val="nil"/>
              <w:bottom w:val="nil"/>
              <w:right w:val="nil"/>
              <w:tl2br w:val="nil"/>
              <w:tr2bl w:val="nil"/>
            </w:tcBorders>
            <w:shd w:val="clear" w:color="auto" w:fill="FFFF00"/>
            <w:tcMar>
              <w:left w:w="101" w:type="dxa"/>
              <w:right w:w="101" w:type="dxa"/>
            </w:tcMar>
            <w:vAlign w:val="bottom"/>
          </w:tcPr>
          <w:p w14:paraId="2DF8466B" w14:textId="77777777" w:rsidR="003F0EEA" w:rsidRDefault="00FB7D0B">
            <w:pPr>
              <w:jc w:val="right"/>
              <w:rPr>
                <w:rFonts w:ascii="Arial" w:eastAsia="Arial" w:hAnsi="Arial" w:cs="Arial"/>
                <w:color w:val="000000"/>
                <w:sz w:val="16"/>
                <w:vertAlign w:val="superscript"/>
              </w:rPr>
            </w:pPr>
            <w:r>
              <w:rPr>
                <w:rFonts w:ascii="Arial" w:eastAsia="Arial" w:hAnsi="Arial" w:cs="Arial"/>
                <w:color w:val="000000"/>
                <w:sz w:val="16"/>
              </w:rPr>
              <w:t>421 </w:t>
            </w:r>
          </w:p>
        </w:tc>
        <w:tc>
          <w:tcPr>
            <w:tcW w:w="1020" w:type="dxa"/>
            <w:tcBorders>
              <w:top w:val="nil"/>
              <w:left w:val="nil"/>
              <w:bottom w:val="nil"/>
              <w:right w:val="nil"/>
              <w:tl2br w:val="nil"/>
              <w:tr2bl w:val="nil"/>
            </w:tcBorders>
            <w:shd w:val="clear" w:color="auto" w:fill="FFFFFF"/>
            <w:tcMar>
              <w:left w:w="101" w:type="dxa"/>
              <w:right w:w="101" w:type="dxa"/>
            </w:tcMar>
            <w:vAlign w:val="bottom"/>
          </w:tcPr>
          <w:p w14:paraId="28B23DD4" w14:textId="77777777" w:rsidR="003F0EEA" w:rsidRDefault="00FB7D0B">
            <w:pPr>
              <w:jc w:val="right"/>
              <w:rPr>
                <w:rFonts w:ascii="Arial" w:eastAsia="Arial" w:hAnsi="Arial" w:cs="Arial"/>
                <w:color w:val="000000"/>
                <w:sz w:val="16"/>
              </w:rPr>
            </w:pPr>
            <w:r>
              <w:rPr>
                <w:rFonts w:ascii="Arial" w:eastAsia="Arial" w:hAnsi="Arial" w:cs="Arial"/>
                <w:color w:val="000000"/>
                <w:sz w:val="16"/>
              </w:rPr>
              <w:t>420 </w:t>
            </w:r>
          </w:p>
        </w:tc>
      </w:tr>
      <w:tr w:rsidR="00FB7D0B" w14:paraId="4AC07913" w14:textId="77777777" w:rsidTr="00FB7D0B">
        <w:trPr>
          <w:trHeight w:val="225"/>
        </w:trPr>
        <w:tc>
          <w:tcPr>
            <w:tcW w:w="6510" w:type="dxa"/>
            <w:gridSpan w:val="2"/>
            <w:tcBorders>
              <w:top w:val="nil"/>
              <w:left w:val="nil"/>
              <w:bottom w:val="nil"/>
              <w:right w:val="nil"/>
              <w:tl2br w:val="nil"/>
              <w:tr2bl w:val="nil"/>
            </w:tcBorders>
            <w:shd w:val="clear" w:color="auto" w:fill="FFFFFF"/>
            <w:tcMar>
              <w:left w:w="101" w:type="dxa"/>
              <w:right w:w="101" w:type="dxa"/>
            </w:tcMar>
            <w:vAlign w:val="bottom"/>
          </w:tcPr>
          <w:p w14:paraId="27E60D54" w14:textId="77777777" w:rsidR="003F0EEA" w:rsidRDefault="00FB7D0B">
            <w:pPr>
              <w:rPr>
                <w:rFonts w:ascii="Arial" w:eastAsia="Arial" w:hAnsi="Arial" w:cs="Arial"/>
                <w:color w:val="000000"/>
                <w:sz w:val="16"/>
              </w:rPr>
            </w:pPr>
            <w:r>
              <w:rPr>
                <w:rFonts w:ascii="Arial" w:eastAsia="Arial" w:hAnsi="Arial" w:cs="Arial"/>
                <w:color w:val="000000"/>
                <w:sz w:val="16"/>
              </w:rPr>
              <w:t>Payments made to DHS for processing payment of health care provider</w:t>
            </w:r>
          </w:p>
        </w:tc>
        <w:tc>
          <w:tcPr>
            <w:tcW w:w="1020" w:type="dxa"/>
            <w:tcBorders>
              <w:top w:val="nil"/>
              <w:left w:val="nil"/>
              <w:bottom w:val="nil"/>
              <w:right w:val="nil"/>
              <w:tl2br w:val="nil"/>
              <w:tr2bl w:val="nil"/>
            </w:tcBorders>
            <w:shd w:val="clear" w:color="auto" w:fill="FFFF00"/>
            <w:tcMar>
              <w:left w:w="101" w:type="dxa"/>
              <w:right w:w="101" w:type="dxa"/>
            </w:tcMar>
            <w:vAlign w:val="bottom"/>
          </w:tcPr>
          <w:p w14:paraId="3F9A0C0F" w14:textId="77777777" w:rsidR="003F0EEA" w:rsidRDefault="003F0EEA">
            <w:pPr>
              <w:rPr>
                <w:rFonts w:ascii="Arial" w:eastAsia="Arial" w:hAnsi="Arial" w:cs="Arial"/>
                <w:color w:val="000000"/>
                <w:sz w:val="16"/>
                <w:vertAlign w:val="superscript"/>
              </w:rPr>
            </w:pPr>
          </w:p>
        </w:tc>
        <w:tc>
          <w:tcPr>
            <w:tcW w:w="1020" w:type="dxa"/>
            <w:tcBorders>
              <w:top w:val="nil"/>
              <w:left w:val="nil"/>
              <w:bottom w:val="nil"/>
              <w:right w:val="nil"/>
              <w:tl2br w:val="nil"/>
              <w:tr2bl w:val="nil"/>
            </w:tcBorders>
            <w:shd w:val="clear" w:color="auto" w:fill="FFFFFF"/>
            <w:tcMar>
              <w:left w:w="101" w:type="dxa"/>
              <w:right w:w="101" w:type="dxa"/>
            </w:tcMar>
            <w:vAlign w:val="bottom"/>
          </w:tcPr>
          <w:p w14:paraId="13CD6C4D" w14:textId="77777777" w:rsidR="003F0EEA" w:rsidRDefault="003F0EEA">
            <w:pPr>
              <w:rPr>
                <w:rFonts w:ascii="Arial" w:eastAsia="Arial" w:hAnsi="Arial" w:cs="Arial"/>
                <w:color w:val="000000"/>
                <w:sz w:val="16"/>
                <w:vertAlign w:val="superscript"/>
              </w:rPr>
            </w:pPr>
          </w:p>
        </w:tc>
      </w:tr>
      <w:tr w:rsidR="00724034" w14:paraId="3FE789F0" w14:textId="77777777">
        <w:trPr>
          <w:trHeight w:val="225"/>
        </w:trPr>
        <w:tc>
          <w:tcPr>
            <w:tcW w:w="180"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54F1A318" w14:textId="77777777" w:rsidR="003F0EEA" w:rsidRDefault="003F0EEA">
            <w:pPr>
              <w:rPr>
                <w:rFonts w:ascii="Arial" w:eastAsia="Arial" w:hAnsi="Arial" w:cs="Arial"/>
                <w:color w:val="000000"/>
                <w:sz w:val="16"/>
                <w:vertAlign w:val="superscript"/>
              </w:rPr>
            </w:pPr>
          </w:p>
        </w:tc>
        <w:tc>
          <w:tcPr>
            <w:tcW w:w="6330"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550ABDB6" w14:textId="77777777" w:rsidR="003F0EEA" w:rsidRDefault="00FB7D0B">
            <w:pPr>
              <w:rPr>
                <w:rFonts w:ascii="Arial" w:eastAsia="Arial" w:hAnsi="Arial" w:cs="Arial"/>
                <w:color w:val="000000"/>
                <w:sz w:val="16"/>
                <w:vertAlign w:val="superscript"/>
              </w:rPr>
            </w:pPr>
            <w:r>
              <w:rPr>
                <w:rFonts w:ascii="Arial" w:eastAsia="Arial" w:hAnsi="Arial" w:cs="Arial"/>
                <w:color w:val="000000"/>
                <w:sz w:val="16"/>
              </w:rPr>
              <w:t xml:space="preserve"> treatment  accounts and the provision of IT services.</w:t>
            </w:r>
          </w:p>
        </w:tc>
        <w:tc>
          <w:tcPr>
            <w:tcW w:w="1020" w:type="dxa"/>
            <w:tcBorders>
              <w:top w:val="nil"/>
              <w:left w:val="nil"/>
              <w:bottom w:val="single" w:sz="6" w:space="0" w:color="000000"/>
              <w:right w:val="nil"/>
              <w:tl2br w:val="nil"/>
              <w:tr2bl w:val="nil"/>
            </w:tcBorders>
            <w:shd w:val="clear" w:color="auto" w:fill="FFFF00"/>
            <w:tcMar>
              <w:left w:w="101" w:type="dxa"/>
              <w:right w:w="101" w:type="dxa"/>
            </w:tcMar>
            <w:vAlign w:val="bottom"/>
          </w:tcPr>
          <w:p w14:paraId="181CE1D6" w14:textId="77777777" w:rsidR="003F0EEA" w:rsidRDefault="00FB7D0B">
            <w:pPr>
              <w:jc w:val="right"/>
              <w:rPr>
                <w:rFonts w:ascii="Arial" w:eastAsia="Arial" w:hAnsi="Arial" w:cs="Arial"/>
                <w:color w:val="000000"/>
                <w:sz w:val="16"/>
                <w:vertAlign w:val="superscript"/>
              </w:rPr>
            </w:pPr>
            <w:r>
              <w:rPr>
                <w:rFonts w:ascii="Arial" w:eastAsia="Arial" w:hAnsi="Arial" w:cs="Arial"/>
                <w:color w:val="000000"/>
                <w:sz w:val="16"/>
              </w:rPr>
              <w:t>32,982 </w:t>
            </w:r>
          </w:p>
        </w:tc>
        <w:tc>
          <w:tcPr>
            <w:tcW w:w="1020"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271085BE" w14:textId="77777777" w:rsidR="003F0EEA" w:rsidRDefault="00FB7D0B">
            <w:pPr>
              <w:jc w:val="right"/>
              <w:rPr>
                <w:rFonts w:ascii="Arial" w:eastAsia="Arial" w:hAnsi="Arial" w:cs="Arial"/>
                <w:color w:val="000000"/>
                <w:sz w:val="16"/>
              </w:rPr>
            </w:pPr>
            <w:r>
              <w:rPr>
                <w:rFonts w:ascii="Arial" w:eastAsia="Arial" w:hAnsi="Arial" w:cs="Arial"/>
                <w:color w:val="000000"/>
                <w:sz w:val="16"/>
              </w:rPr>
              <w:t>39,194 </w:t>
            </w:r>
          </w:p>
        </w:tc>
      </w:tr>
    </w:tbl>
    <w:p w14:paraId="30A393B4" w14:textId="77777777" w:rsidR="003F0EEA" w:rsidRDefault="003F0EEA">
      <w:pPr>
        <w:rPr>
          <w:rFonts w:eastAsia="Times New Roman" w:cs="Times New Roman"/>
        </w:rPr>
        <w:sectPr w:rsidR="003F0EEA">
          <w:pgSz w:w="10319" w:h="14572"/>
          <w:pgMar w:top="1077" w:right="1077" w:bottom="1134" w:left="1134" w:header="709" w:footer="709" w:gutter="0"/>
          <w:cols w:space="708"/>
        </w:sectPr>
      </w:pPr>
    </w:p>
    <w:p w14:paraId="0E66403A" w14:textId="77777777" w:rsidR="003F0EEA" w:rsidRDefault="00FB7D0B" w:rsidP="003F0EEA">
      <w:pPr>
        <w:pStyle w:val="Heading35"/>
      </w:pPr>
      <w:r>
        <w:lastRenderedPageBreak/>
        <w:t>1.3</w:t>
      </w:r>
      <w:r>
        <w:tab/>
        <w:t>Budget Measures</w:t>
      </w:r>
    </w:p>
    <w:p w14:paraId="03BAB0C3" w14:textId="77777777" w:rsidR="003F0EEA" w:rsidRPr="006037A0" w:rsidRDefault="00FB7D0B" w:rsidP="003F0EEA">
      <w:pPr>
        <w:pStyle w:val="Normal74"/>
        <w:spacing w:after="240" w:line="240" w:lineRule="auto"/>
        <w:ind w:right="567"/>
        <w:jc w:val="both"/>
        <w:rPr>
          <w:rFonts w:ascii="Book Antiqua" w:eastAsia="Calibri" w:hAnsi="Book Antiqua"/>
          <w:sz w:val="20"/>
        </w:rPr>
      </w:pPr>
      <w:r w:rsidRPr="006037A0">
        <w:rPr>
          <w:rFonts w:ascii="Book Antiqua" w:eastAsia="Calibri" w:hAnsi="Book Antiqua"/>
          <w:sz w:val="20"/>
        </w:rPr>
        <w:t>Budget measures relating to</w:t>
      </w:r>
      <w:r>
        <w:rPr>
          <w:rFonts w:ascii="Book Antiqua" w:eastAsia="Calibri" w:hAnsi="Book Antiqua"/>
          <w:sz w:val="20"/>
        </w:rPr>
        <w:t xml:space="preserve"> the</w:t>
      </w:r>
      <w:r w:rsidRPr="006037A0">
        <w:rPr>
          <w:rFonts w:ascii="Book Antiqua" w:eastAsia="Calibri" w:hAnsi="Book Antiqua"/>
          <w:sz w:val="20"/>
        </w:rPr>
        <w:t xml:space="preserve"> Department of Veterans' Affairs are detailed in Budget Paper No. 2 and are summarised below. </w:t>
      </w:r>
    </w:p>
    <w:p w14:paraId="2C1BEB74" w14:textId="77777777" w:rsidR="003F0EEA" w:rsidRDefault="00FB7D0B" w:rsidP="003F0EEA">
      <w:pPr>
        <w:pStyle w:val="TableHeadingcontinued3"/>
        <w:spacing w:before="0" w:after="0"/>
        <w:rPr>
          <w:rFonts w:ascii="Arial" w:eastAsia="Calibri" w:hAnsi="Arial" w:cs="Arial"/>
        </w:rPr>
      </w:pPr>
      <w:r w:rsidRPr="00B54316">
        <w:rPr>
          <w:rFonts w:ascii="Arial" w:eastAsia="Calibri" w:hAnsi="Arial" w:cs="Arial"/>
        </w:rPr>
        <w:t xml:space="preserve">Table 1.2: </w:t>
      </w:r>
      <w:r>
        <w:rPr>
          <w:rFonts w:ascii="Arial" w:eastAsia="Calibri" w:hAnsi="Arial" w:cs="Arial"/>
        </w:rPr>
        <w:t xml:space="preserve">Department of Veterans' Affairs </w:t>
      </w:r>
      <w:r w:rsidRPr="00B54316">
        <w:rPr>
          <w:rFonts w:ascii="Arial" w:eastAsia="Calibri" w:hAnsi="Arial" w:cs="Arial"/>
        </w:rPr>
        <w:t xml:space="preserve">2014-15 </w:t>
      </w:r>
      <w:r>
        <w:rPr>
          <w:rFonts w:ascii="Arial" w:eastAsia="Calibri" w:hAnsi="Arial" w:cs="Arial"/>
        </w:rPr>
        <w:t>Budget measures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2"/>
        <w:gridCol w:w="2280"/>
        <w:gridCol w:w="915"/>
        <w:gridCol w:w="1005"/>
        <w:gridCol w:w="1005"/>
        <w:gridCol w:w="1005"/>
        <w:gridCol w:w="1005"/>
        <w:gridCol w:w="1005"/>
      </w:tblGrid>
      <w:tr w:rsidR="00FB7D0B" w14:paraId="426F2CC7" w14:textId="77777777" w:rsidTr="00FB7D0B">
        <w:trPr>
          <w:trHeight w:val="300"/>
        </w:trPr>
        <w:tc>
          <w:tcPr>
            <w:tcW w:w="180"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462486F9" w14:textId="77777777" w:rsidR="003F0EEA" w:rsidRDefault="003F0EEA">
            <w:pPr>
              <w:rPr>
                <w:rFonts w:ascii="Arial" w:hAnsi="Arial" w:cs="Arial"/>
              </w:rPr>
            </w:pPr>
          </w:p>
        </w:tc>
        <w:tc>
          <w:tcPr>
            <w:tcW w:w="3195" w:type="dxa"/>
            <w:gridSpan w:val="2"/>
            <w:tcBorders>
              <w:top w:val="single" w:sz="6" w:space="0" w:color="000000"/>
              <w:left w:val="nil"/>
              <w:bottom w:val="nil"/>
              <w:right w:val="nil"/>
              <w:tl2br w:val="nil"/>
              <w:tr2bl w:val="nil"/>
            </w:tcBorders>
            <w:shd w:val="clear" w:color="auto" w:fill="FFFFFF"/>
            <w:tcMar>
              <w:left w:w="101" w:type="dxa"/>
              <w:right w:w="101" w:type="dxa"/>
            </w:tcMar>
            <w:vAlign w:val="bottom"/>
          </w:tcPr>
          <w:p w14:paraId="025AE364" w14:textId="77777777" w:rsidR="003F0EEA" w:rsidRDefault="00FB7D0B">
            <w:pPr>
              <w:jc w:val="right"/>
              <w:rPr>
                <w:rFonts w:ascii="Arial" w:eastAsia="Arial" w:hAnsi="Arial" w:cs="Arial"/>
                <w:color w:val="000000"/>
                <w:sz w:val="16"/>
              </w:rPr>
            </w:pPr>
            <w:r>
              <w:rPr>
                <w:rFonts w:ascii="Arial" w:eastAsia="Arial" w:hAnsi="Arial" w:cs="Arial"/>
                <w:color w:val="000000"/>
                <w:sz w:val="16"/>
              </w:rPr>
              <w:t>Programme</w:t>
            </w:r>
          </w:p>
        </w:tc>
        <w:tc>
          <w:tcPr>
            <w:tcW w:w="1005" w:type="dxa"/>
            <w:tcBorders>
              <w:top w:val="single" w:sz="6" w:space="0" w:color="000000"/>
              <w:left w:val="nil"/>
              <w:bottom w:val="nil"/>
              <w:right w:val="nil"/>
              <w:tl2br w:val="nil"/>
              <w:tr2bl w:val="nil"/>
            </w:tcBorders>
            <w:shd w:val="clear" w:color="auto" w:fill="FFFF00"/>
            <w:tcMar>
              <w:left w:w="101" w:type="dxa"/>
              <w:right w:w="101" w:type="dxa"/>
            </w:tcMar>
            <w:vAlign w:val="bottom"/>
          </w:tcPr>
          <w:p w14:paraId="73D21A23" w14:textId="77777777" w:rsidR="003F0EEA" w:rsidRDefault="00FB7D0B">
            <w:pPr>
              <w:jc w:val="right"/>
              <w:rPr>
                <w:rFonts w:ascii="Arial" w:eastAsia="Arial" w:hAnsi="Arial" w:cs="Arial"/>
                <w:color w:val="000000"/>
                <w:sz w:val="16"/>
              </w:rPr>
            </w:pPr>
            <w:r>
              <w:rPr>
                <w:rFonts w:ascii="Arial" w:eastAsia="Arial" w:hAnsi="Arial" w:cs="Arial"/>
                <w:color w:val="000000"/>
                <w:sz w:val="16"/>
              </w:rPr>
              <w:t>2013-14</w:t>
            </w:r>
          </w:p>
        </w:tc>
        <w:tc>
          <w:tcPr>
            <w:tcW w:w="100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5E41B45D" w14:textId="77777777" w:rsidR="003F0EEA" w:rsidRDefault="00FB7D0B">
            <w:pPr>
              <w:jc w:val="right"/>
              <w:rPr>
                <w:rFonts w:ascii="Arial" w:eastAsia="Arial" w:hAnsi="Arial" w:cs="Arial"/>
                <w:color w:val="000000"/>
                <w:sz w:val="16"/>
              </w:rPr>
            </w:pPr>
            <w:r>
              <w:rPr>
                <w:rFonts w:ascii="Arial" w:eastAsia="Arial" w:hAnsi="Arial" w:cs="Arial"/>
                <w:color w:val="000000"/>
                <w:sz w:val="16"/>
              </w:rPr>
              <w:t>2014-15</w:t>
            </w:r>
          </w:p>
        </w:tc>
        <w:tc>
          <w:tcPr>
            <w:tcW w:w="1005" w:type="dxa"/>
            <w:tcBorders>
              <w:top w:val="single" w:sz="6" w:space="0" w:color="000000"/>
              <w:left w:val="nil"/>
              <w:bottom w:val="nil"/>
              <w:right w:val="nil"/>
              <w:tl2br w:val="nil"/>
              <w:tr2bl w:val="nil"/>
            </w:tcBorders>
            <w:shd w:val="clear" w:color="auto" w:fill="FFFF00"/>
            <w:tcMar>
              <w:left w:w="101" w:type="dxa"/>
              <w:right w:w="101" w:type="dxa"/>
            </w:tcMar>
            <w:vAlign w:val="bottom"/>
          </w:tcPr>
          <w:p w14:paraId="19B14A19" w14:textId="77777777" w:rsidR="003F0EEA" w:rsidRDefault="00FB7D0B">
            <w:pPr>
              <w:jc w:val="right"/>
              <w:rPr>
                <w:rFonts w:ascii="Arial" w:eastAsia="Arial" w:hAnsi="Arial" w:cs="Arial"/>
                <w:color w:val="000000"/>
                <w:sz w:val="16"/>
              </w:rPr>
            </w:pPr>
            <w:r>
              <w:rPr>
                <w:rFonts w:ascii="Arial" w:eastAsia="Arial" w:hAnsi="Arial" w:cs="Arial"/>
                <w:color w:val="000000"/>
                <w:sz w:val="16"/>
              </w:rPr>
              <w:t>2015-16</w:t>
            </w:r>
          </w:p>
        </w:tc>
        <w:tc>
          <w:tcPr>
            <w:tcW w:w="100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417473A7" w14:textId="77777777" w:rsidR="003F0EEA" w:rsidRDefault="00FB7D0B">
            <w:pPr>
              <w:jc w:val="right"/>
              <w:rPr>
                <w:rFonts w:ascii="Arial" w:eastAsia="Arial" w:hAnsi="Arial" w:cs="Arial"/>
                <w:color w:val="000000"/>
                <w:sz w:val="16"/>
              </w:rPr>
            </w:pPr>
            <w:r>
              <w:rPr>
                <w:rFonts w:ascii="Arial" w:eastAsia="Arial" w:hAnsi="Arial" w:cs="Arial"/>
                <w:color w:val="000000"/>
                <w:sz w:val="16"/>
              </w:rPr>
              <w:t>2016-17</w:t>
            </w:r>
          </w:p>
        </w:tc>
        <w:tc>
          <w:tcPr>
            <w:tcW w:w="1005" w:type="dxa"/>
            <w:tcBorders>
              <w:top w:val="single" w:sz="6" w:space="0" w:color="000000"/>
              <w:left w:val="nil"/>
              <w:bottom w:val="nil"/>
              <w:right w:val="nil"/>
              <w:tl2br w:val="nil"/>
              <w:tr2bl w:val="nil"/>
            </w:tcBorders>
            <w:shd w:val="clear" w:color="auto" w:fill="FFFF00"/>
            <w:tcMar>
              <w:left w:w="101" w:type="dxa"/>
              <w:right w:w="101" w:type="dxa"/>
            </w:tcMar>
            <w:vAlign w:val="bottom"/>
          </w:tcPr>
          <w:p w14:paraId="2B85ADF4" w14:textId="77777777" w:rsidR="003F0EEA" w:rsidRDefault="00FB7D0B">
            <w:pPr>
              <w:jc w:val="right"/>
              <w:rPr>
                <w:rFonts w:ascii="Arial" w:eastAsia="Arial" w:hAnsi="Arial" w:cs="Arial"/>
                <w:color w:val="000000"/>
                <w:sz w:val="16"/>
              </w:rPr>
            </w:pPr>
            <w:r>
              <w:rPr>
                <w:rFonts w:ascii="Arial" w:eastAsia="Arial" w:hAnsi="Arial" w:cs="Arial"/>
                <w:color w:val="000000"/>
                <w:sz w:val="16"/>
              </w:rPr>
              <w:t>2017-18</w:t>
            </w:r>
          </w:p>
        </w:tc>
      </w:tr>
      <w:tr w:rsidR="00724034" w14:paraId="147AE5A7" w14:textId="77777777">
        <w:trPr>
          <w:trHeight w:val="225"/>
        </w:trPr>
        <w:tc>
          <w:tcPr>
            <w:tcW w:w="180" w:type="dxa"/>
            <w:tcBorders>
              <w:top w:val="nil"/>
              <w:left w:val="nil"/>
              <w:bottom w:val="nil"/>
              <w:right w:val="nil"/>
              <w:tl2br w:val="nil"/>
              <w:tr2bl w:val="nil"/>
            </w:tcBorders>
            <w:shd w:val="clear" w:color="auto" w:fill="FFFFFF"/>
            <w:tcMar>
              <w:left w:w="101" w:type="dxa"/>
              <w:right w:w="101" w:type="dxa"/>
            </w:tcMar>
            <w:vAlign w:val="bottom"/>
          </w:tcPr>
          <w:p w14:paraId="3E159E8B" w14:textId="77777777" w:rsidR="003F0EEA" w:rsidRDefault="003F0EEA">
            <w:pPr>
              <w:rPr>
                <w:rFonts w:ascii="Arial" w:eastAsia="Arial" w:hAnsi="Arial" w:cs="Arial"/>
                <w:color w:val="000000"/>
                <w:sz w:val="16"/>
              </w:rPr>
            </w:pPr>
          </w:p>
        </w:tc>
        <w:tc>
          <w:tcPr>
            <w:tcW w:w="2280" w:type="dxa"/>
            <w:tcBorders>
              <w:top w:val="nil"/>
              <w:left w:val="nil"/>
              <w:bottom w:val="nil"/>
              <w:right w:val="nil"/>
              <w:tl2br w:val="nil"/>
              <w:tr2bl w:val="nil"/>
            </w:tcBorders>
            <w:shd w:val="clear" w:color="auto" w:fill="FFFFFF"/>
            <w:tcMar>
              <w:left w:w="101" w:type="dxa"/>
              <w:right w:w="101" w:type="dxa"/>
            </w:tcMar>
            <w:vAlign w:val="bottom"/>
          </w:tcPr>
          <w:p w14:paraId="5E700293" w14:textId="77777777" w:rsidR="003F0EEA" w:rsidRDefault="003F0EEA">
            <w:pPr>
              <w:rPr>
                <w:rFonts w:ascii="Arial" w:eastAsia="Arial" w:hAnsi="Arial" w:cs="Arial"/>
                <w:color w:val="000000"/>
                <w:sz w:val="16"/>
              </w:rPr>
            </w:pP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0A1FB791" w14:textId="77777777" w:rsidR="003F0EEA" w:rsidRDefault="003F0EEA">
            <w:pPr>
              <w:rPr>
                <w:rFonts w:ascii="Arial" w:eastAsia="Arial" w:hAnsi="Arial" w:cs="Arial"/>
                <w:color w:val="000000"/>
                <w:sz w:val="16"/>
                <w:vertAlign w:val="superscript"/>
              </w:rPr>
            </w:pPr>
          </w:p>
        </w:tc>
        <w:tc>
          <w:tcPr>
            <w:tcW w:w="1005" w:type="dxa"/>
            <w:tcBorders>
              <w:top w:val="nil"/>
              <w:left w:val="nil"/>
              <w:bottom w:val="none" w:sz="2" w:space="0" w:color="000000"/>
              <w:right w:val="nil"/>
              <w:tl2br w:val="nil"/>
              <w:tr2bl w:val="nil"/>
            </w:tcBorders>
            <w:shd w:val="clear" w:color="auto" w:fill="FFFF00"/>
            <w:tcMar>
              <w:left w:w="101" w:type="dxa"/>
              <w:right w:w="101" w:type="dxa"/>
            </w:tcMar>
            <w:vAlign w:val="bottom"/>
          </w:tcPr>
          <w:p w14:paraId="7DD1FA4F" w14:textId="77777777" w:rsidR="003F0EEA" w:rsidRDefault="00FB7D0B">
            <w:pPr>
              <w:jc w:val="right"/>
              <w:rPr>
                <w:rFonts w:ascii="Arial" w:eastAsia="Arial" w:hAnsi="Arial" w:cs="Arial"/>
                <w:color w:val="000000"/>
                <w:sz w:val="16"/>
                <w:vertAlign w:val="superscript"/>
              </w:rPr>
            </w:pPr>
            <w:r>
              <w:rPr>
                <w:rFonts w:ascii="Arial" w:eastAsia="Arial" w:hAnsi="Arial" w:cs="Arial"/>
                <w:color w:val="000000"/>
                <w:sz w:val="16"/>
              </w:rPr>
              <w:t>$'000</w:t>
            </w:r>
          </w:p>
        </w:tc>
        <w:tc>
          <w:tcPr>
            <w:tcW w:w="1005" w:type="dxa"/>
            <w:tcBorders>
              <w:top w:val="nil"/>
              <w:left w:val="nil"/>
              <w:bottom w:val="none" w:sz="2" w:space="0" w:color="000000"/>
              <w:right w:val="nil"/>
              <w:tl2br w:val="nil"/>
              <w:tr2bl w:val="nil"/>
            </w:tcBorders>
            <w:shd w:val="clear" w:color="auto" w:fill="FFFFFF"/>
            <w:tcMar>
              <w:left w:w="101" w:type="dxa"/>
              <w:right w:w="101" w:type="dxa"/>
            </w:tcMar>
            <w:vAlign w:val="bottom"/>
          </w:tcPr>
          <w:p w14:paraId="7B7C9139" w14:textId="77777777" w:rsidR="003F0EEA" w:rsidRDefault="00FB7D0B">
            <w:pPr>
              <w:jc w:val="right"/>
              <w:rPr>
                <w:rFonts w:ascii="Arial" w:eastAsia="Arial" w:hAnsi="Arial" w:cs="Arial"/>
                <w:color w:val="000000"/>
                <w:sz w:val="16"/>
              </w:rPr>
            </w:pPr>
            <w:r>
              <w:rPr>
                <w:rFonts w:ascii="Arial" w:eastAsia="Arial" w:hAnsi="Arial" w:cs="Arial"/>
                <w:color w:val="000000"/>
                <w:sz w:val="16"/>
              </w:rPr>
              <w:t>$'000</w:t>
            </w:r>
          </w:p>
        </w:tc>
        <w:tc>
          <w:tcPr>
            <w:tcW w:w="1005" w:type="dxa"/>
            <w:tcBorders>
              <w:top w:val="nil"/>
              <w:left w:val="nil"/>
              <w:bottom w:val="none" w:sz="2" w:space="0" w:color="000000"/>
              <w:right w:val="nil"/>
              <w:tl2br w:val="nil"/>
              <w:tr2bl w:val="nil"/>
            </w:tcBorders>
            <w:shd w:val="clear" w:color="auto" w:fill="FFFF00"/>
            <w:tcMar>
              <w:left w:w="101" w:type="dxa"/>
              <w:right w:w="101" w:type="dxa"/>
            </w:tcMar>
            <w:vAlign w:val="bottom"/>
          </w:tcPr>
          <w:p w14:paraId="74DC2087" w14:textId="77777777" w:rsidR="003F0EEA" w:rsidRDefault="00FB7D0B">
            <w:pPr>
              <w:jc w:val="right"/>
              <w:rPr>
                <w:rFonts w:ascii="Arial" w:eastAsia="Arial" w:hAnsi="Arial" w:cs="Arial"/>
                <w:color w:val="000000"/>
                <w:sz w:val="16"/>
              </w:rPr>
            </w:pPr>
            <w:r>
              <w:rPr>
                <w:rFonts w:ascii="Arial" w:eastAsia="Arial" w:hAnsi="Arial" w:cs="Arial"/>
                <w:color w:val="000000"/>
                <w:sz w:val="16"/>
              </w:rPr>
              <w:t>$'000</w:t>
            </w:r>
          </w:p>
        </w:tc>
        <w:tc>
          <w:tcPr>
            <w:tcW w:w="1005" w:type="dxa"/>
            <w:tcBorders>
              <w:top w:val="nil"/>
              <w:left w:val="nil"/>
              <w:bottom w:val="none" w:sz="2" w:space="0" w:color="000000"/>
              <w:right w:val="nil"/>
              <w:tl2br w:val="nil"/>
              <w:tr2bl w:val="nil"/>
            </w:tcBorders>
            <w:shd w:val="clear" w:color="auto" w:fill="FFFFFF"/>
            <w:tcMar>
              <w:left w:w="101" w:type="dxa"/>
              <w:right w:w="101" w:type="dxa"/>
            </w:tcMar>
            <w:vAlign w:val="bottom"/>
          </w:tcPr>
          <w:p w14:paraId="3BD8DFBE" w14:textId="77777777" w:rsidR="003F0EEA" w:rsidRDefault="00FB7D0B">
            <w:pPr>
              <w:jc w:val="right"/>
              <w:rPr>
                <w:rFonts w:ascii="Arial" w:eastAsia="Arial" w:hAnsi="Arial" w:cs="Arial"/>
                <w:color w:val="000000"/>
                <w:sz w:val="16"/>
              </w:rPr>
            </w:pPr>
            <w:r>
              <w:rPr>
                <w:rFonts w:ascii="Arial" w:eastAsia="Arial" w:hAnsi="Arial" w:cs="Arial"/>
                <w:color w:val="000000"/>
                <w:sz w:val="16"/>
              </w:rPr>
              <w:t>$'000</w:t>
            </w:r>
          </w:p>
        </w:tc>
        <w:tc>
          <w:tcPr>
            <w:tcW w:w="1005" w:type="dxa"/>
            <w:tcBorders>
              <w:top w:val="nil"/>
              <w:left w:val="nil"/>
              <w:bottom w:val="none" w:sz="2" w:space="0" w:color="000000"/>
              <w:right w:val="nil"/>
              <w:tl2br w:val="nil"/>
              <w:tr2bl w:val="nil"/>
            </w:tcBorders>
            <w:shd w:val="clear" w:color="auto" w:fill="FFFF00"/>
            <w:tcMar>
              <w:left w:w="101" w:type="dxa"/>
              <w:right w:w="101" w:type="dxa"/>
            </w:tcMar>
            <w:vAlign w:val="bottom"/>
          </w:tcPr>
          <w:p w14:paraId="0A0C49E1" w14:textId="77777777" w:rsidR="003F0EEA" w:rsidRDefault="00FB7D0B">
            <w:pPr>
              <w:jc w:val="right"/>
              <w:rPr>
                <w:rFonts w:ascii="Arial" w:eastAsia="Arial" w:hAnsi="Arial" w:cs="Arial"/>
                <w:color w:val="000000"/>
                <w:sz w:val="16"/>
              </w:rPr>
            </w:pPr>
            <w:r>
              <w:rPr>
                <w:rFonts w:ascii="Arial" w:eastAsia="Arial" w:hAnsi="Arial" w:cs="Arial"/>
                <w:color w:val="000000"/>
                <w:sz w:val="16"/>
              </w:rPr>
              <w:t>$'000</w:t>
            </w:r>
          </w:p>
        </w:tc>
      </w:tr>
      <w:tr w:rsidR="00FB7D0B" w14:paraId="3947F748" w14:textId="77777777" w:rsidTr="00FB7D0B">
        <w:trPr>
          <w:trHeight w:val="255"/>
        </w:trPr>
        <w:tc>
          <w:tcPr>
            <w:tcW w:w="2460" w:type="dxa"/>
            <w:gridSpan w:val="2"/>
            <w:tcBorders>
              <w:top w:val="nil"/>
              <w:left w:val="nil"/>
              <w:bottom w:val="nil"/>
              <w:right w:val="nil"/>
              <w:tl2br w:val="nil"/>
              <w:tr2bl w:val="nil"/>
            </w:tcBorders>
            <w:shd w:val="clear" w:color="auto" w:fill="FFFFFF"/>
            <w:tcMar>
              <w:left w:w="101" w:type="dxa"/>
              <w:right w:w="101" w:type="dxa"/>
            </w:tcMar>
            <w:vAlign w:val="bottom"/>
          </w:tcPr>
          <w:p w14:paraId="49C8F1E3" w14:textId="77777777" w:rsidR="003F0EEA" w:rsidRDefault="00FB7D0B">
            <w:pPr>
              <w:rPr>
                <w:rFonts w:ascii="Arial" w:eastAsia="Arial" w:hAnsi="Arial" w:cs="Arial"/>
                <w:color w:val="000000"/>
                <w:sz w:val="16"/>
              </w:rPr>
            </w:pPr>
            <w:r>
              <w:rPr>
                <w:rFonts w:ascii="Arial" w:eastAsia="Arial" w:hAnsi="Arial" w:cs="Arial"/>
                <w:b/>
                <w:color w:val="000000"/>
                <w:sz w:val="16"/>
              </w:rPr>
              <w:t>Expense Measures</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3CF47079" w14:textId="77777777" w:rsidR="003F0EEA" w:rsidRDefault="003F0EEA">
            <w:pPr>
              <w:jc w:val="center"/>
              <w:rPr>
                <w:rFonts w:ascii="Arial" w:eastAsia="Arial" w:hAnsi="Arial" w:cs="Arial"/>
                <w:b/>
                <w:color w:val="000000"/>
                <w:sz w:val="16"/>
                <w:vertAlign w:val="superscript"/>
              </w:rPr>
            </w:pPr>
          </w:p>
        </w:tc>
        <w:tc>
          <w:tcPr>
            <w:tcW w:w="1005" w:type="dxa"/>
            <w:tcBorders>
              <w:top w:val="single" w:sz="6" w:space="0" w:color="000000"/>
              <w:left w:val="nil"/>
              <w:bottom w:val="nil"/>
              <w:right w:val="nil"/>
              <w:tl2br w:val="nil"/>
              <w:tr2bl w:val="nil"/>
            </w:tcBorders>
            <w:shd w:val="clear" w:color="auto" w:fill="FFFF00"/>
            <w:tcMar>
              <w:left w:w="101" w:type="dxa"/>
              <w:right w:w="101" w:type="dxa"/>
            </w:tcMar>
            <w:vAlign w:val="bottom"/>
          </w:tcPr>
          <w:p w14:paraId="088BB817" w14:textId="77777777" w:rsidR="003F0EEA" w:rsidRDefault="003F0EEA">
            <w:pPr>
              <w:jc w:val="right"/>
              <w:rPr>
                <w:rFonts w:ascii="Arial" w:eastAsia="Arial" w:hAnsi="Arial" w:cs="Arial"/>
                <w:color w:val="000000"/>
                <w:sz w:val="16"/>
                <w:vertAlign w:val="superscript"/>
              </w:rPr>
            </w:pPr>
          </w:p>
        </w:tc>
        <w:tc>
          <w:tcPr>
            <w:tcW w:w="100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7321ED92" w14:textId="77777777" w:rsidR="003F0EEA" w:rsidRDefault="003F0EEA">
            <w:pPr>
              <w:jc w:val="right"/>
              <w:rPr>
                <w:rFonts w:ascii="Arial" w:eastAsia="Arial" w:hAnsi="Arial" w:cs="Arial"/>
                <w:b/>
                <w:color w:val="000000"/>
                <w:sz w:val="16"/>
                <w:vertAlign w:val="superscript"/>
              </w:rPr>
            </w:pPr>
          </w:p>
        </w:tc>
        <w:tc>
          <w:tcPr>
            <w:tcW w:w="1005" w:type="dxa"/>
            <w:tcBorders>
              <w:top w:val="single" w:sz="6" w:space="0" w:color="000000"/>
              <w:left w:val="nil"/>
              <w:bottom w:val="nil"/>
              <w:right w:val="nil"/>
              <w:tl2br w:val="nil"/>
              <w:tr2bl w:val="nil"/>
            </w:tcBorders>
            <w:shd w:val="clear" w:color="auto" w:fill="FFFF00"/>
            <w:tcMar>
              <w:left w:w="101" w:type="dxa"/>
              <w:right w:w="101" w:type="dxa"/>
            </w:tcMar>
            <w:vAlign w:val="bottom"/>
          </w:tcPr>
          <w:p w14:paraId="77A3E21D" w14:textId="77777777" w:rsidR="003F0EEA" w:rsidRDefault="003F0EEA">
            <w:pPr>
              <w:jc w:val="right"/>
              <w:rPr>
                <w:rFonts w:ascii="Arial" w:eastAsia="Arial" w:hAnsi="Arial" w:cs="Arial"/>
                <w:b/>
                <w:color w:val="000000"/>
                <w:sz w:val="16"/>
                <w:vertAlign w:val="superscript"/>
              </w:rPr>
            </w:pPr>
          </w:p>
        </w:tc>
        <w:tc>
          <w:tcPr>
            <w:tcW w:w="100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652657E9" w14:textId="77777777" w:rsidR="003F0EEA" w:rsidRDefault="003F0EEA">
            <w:pPr>
              <w:jc w:val="right"/>
              <w:rPr>
                <w:rFonts w:ascii="Arial" w:eastAsia="Arial" w:hAnsi="Arial" w:cs="Arial"/>
                <w:b/>
                <w:color w:val="000000"/>
                <w:sz w:val="16"/>
                <w:vertAlign w:val="superscript"/>
              </w:rPr>
            </w:pPr>
          </w:p>
        </w:tc>
        <w:tc>
          <w:tcPr>
            <w:tcW w:w="1005" w:type="dxa"/>
            <w:tcBorders>
              <w:top w:val="single" w:sz="6" w:space="0" w:color="000000"/>
              <w:left w:val="nil"/>
              <w:bottom w:val="nil"/>
              <w:right w:val="nil"/>
              <w:tl2br w:val="nil"/>
              <w:tr2bl w:val="nil"/>
            </w:tcBorders>
            <w:shd w:val="clear" w:color="auto" w:fill="FFFF00"/>
            <w:tcMar>
              <w:left w:w="101" w:type="dxa"/>
              <w:right w:w="101" w:type="dxa"/>
            </w:tcMar>
            <w:vAlign w:val="bottom"/>
          </w:tcPr>
          <w:p w14:paraId="0B077CB6" w14:textId="77777777" w:rsidR="003F0EEA" w:rsidRDefault="003F0EEA">
            <w:pPr>
              <w:jc w:val="right"/>
              <w:rPr>
                <w:rFonts w:ascii="Arial" w:eastAsia="Arial" w:hAnsi="Arial" w:cs="Arial"/>
                <w:b/>
                <w:color w:val="000000"/>
                <w:sz w:val="16"/>
                <w:vertAlign w:val="superscript"/>
              </w:rPr>
            </w:pPr>
          </w:p>
        </w:tc>
      </w:tr>
      <w:tr w:rsidR="00FB7D0B" w14:paraId="659715B5" w14:textId="77777777" w:rsidTr="00FB7D0B">
        <w:trPr>
          <w:trHeight w:val="255"/>
        </w:trPr>
        <w:tc>
          <w:tcPr>
            <w:tcW w:w="2460" w:type="dxa"/>
            <w:gridSpan w:val="2"/>
            <w:tcBorders>
              <w:top w:val="nil"/>
              <w:left w:val="nil"/>
              <w:bottom w:val="nil"/>
              <w:right w:val="nil"/>
              <w:tl2br w:val="nil"/>
              <w:tr2bl w:val="nil"/>
            </w:tcBorders>
            <w:shd w:val="clear" w:color="auto" w:fill="FFFFFF"/>
            <w:tcMar>
              <w:left w:w="101" w:type="dxa"/>
              <w:right w:w="101" w:type="dxa"/>
            </w:tcMar>
            <w:vAlign w:val="bottom"/>
          </w:tcPr>
          <w:p w14:paraId="18E66298" w14:textId="77777777" w:rsidR="003F0EEA" w:rsidRDefault="00FB7D0B">
            <w:pPr>
              <w:rPr>
                <w:rFonts w:ascii="Arial" w:eastAsia="Arial" w:hAnsi="Arial" w:cs="Arial"/>
                <w:b/>
                <w:color w:val="000000"/>
                <w:sz w:val="16"/>
                <w:vertAlign w:val="superscript"/>
              </w:rPr>
            </w:pPr>
            <w:r>
              <w:rPr>
                <w:rFonts w:ascii="Arial" w:eastAsia="Arial" w:hAnsi="Arial" w:cs="Arial"/>
                <w:b/>
                <w:color w:val="000000"/>
                <w:sz w:val="16"/>
              </w:rPr>
              <w:t>Outcome 1</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5961281A" w14:textId="77777777" w:rsidR="003F0EEA" w:rsidRDefault="003F0EEA">
            <w:pPr>
              <w:jc w:val="center"/>
              <w:rPr>
                <w:rFonts w:ascii="Arial" w:eastAsia="Arial" w:hAnsi="Arial" w:cs="Arial"/>
                <w:b/>
                <w:color w:val="000000"/>
                <w:sz w:val="16"/>
                <w:vertAlign w:val="superscript"/>
              </w:rPr>
            </w:pPr>
          </w:p>
        </w:tc>
        <w:tc>
          <w:tcPr>
            <w:tcW w:w="1005" w:type="dxa"/>
            <w:tcBorders>
              <w:top w:val="nil"/>
              <w:left w:val="nil"/>
              <w:bottom w:val="nil"/>
              <w:right w:val="nil"/>
              <w:tl2br w:val="nil"/>
              <w:tr2bl w:val="nil"/>
            </w:tcBorders>
            <w:shd w:val="clear" w:color="auto" w:fill="FFFF00"/>
            <w:tcMar>
              <w:left w:w="101" w:type="dxa"/>
              <w:right w:w="101" w:type="dxa"/>
            </w:tcMar>
            <w:vAlign w:val="bottom"/>
          </w:tcPr>
          <w:p w14:paraId="7F4C40D6" w14:textId="77777777" w:rsidR="003F0EEA" w:rsidRDefault="003F0EEA">
            <w:pPr>
              <w:jc w:val="right"/>
              <w:rPr>
                <w:rFonts w:ascii="Arial" w:eastAsia="Arial" w:hAnsi="Arial" w:cs="Arial"/>
                <w:color w:val="000000"/>
                <w:sz w:val="16"/>
                <w:vertAlign w:val="superscript"/>
              </w:rPr>
            </w:pPr>
          </w:p>
        </w:tc>
        <w:tc>
          <w:tcPr>
            <w:tcW w:w="1005" w:type="dxa"/>
            <w:tcBorders>
              <w:top w:val="nil"/>
              <w:left w:val="nil"/>
              <w:bottom w:val="nil"/>
              <w:right w:val="nil"/>
              <w:tl2br w:val="nil"/>
              <w:tr2bl w:val="nil"/>
            </w:tcBorders>
            <w:shd w:val="clear" w:color="auto" w:fill="FFFFFF"/>
            <w:tcMar>
              <w:left w:w="101" w:type="dxa"/>
              <w:right w:w="101" w:type="dxa"/>
            </w:tcMar>
            <w:vAlign w:val="bottom"/>
          </w:tcPr>
          <w:p w14:paraId="2B605851" w14:textId="77777777" w:rsidR="003F0EEA" w:rsidRDefault="003F0EEA">
            <w:pPr>
              <w:jc w:val="right"/>
              <w:rPr>
                <w:rFonts w:ascii="Arial" w:eastAsia="Arial" w:hAnsi="Arial" w:cs="Arial"/>
                <w:b/>
                <w:color w:val="000000"/>
                <w:sz w:val="16"/>
                <w:vertAlign w:val="superscript"/>
              </w:rPr>
            </w:pPr>
          </w:p>
        </w:tc>
        <w:tc>
          <w:tcPr>
            <w:tcW w:w="1005" w:type="dxa"/>
            <w:tcBorders>
              <w:top w:val="nil"/>
              <w:left w:val="nil"/>
              <w:bottom w:val="nil"/>
              <w:right w:val="nil"/>
              <w:tl2br w:val="nil"/>
              <w:tr2bl w:val="nil"/>
            </w:tcBorders>
            <w:shd w:val="clear" w:color="auto" w:fill="FFFF00"/>
            <w:tcMar>
              <w:left w:w="101" w:type="dxa"/>
              <w:right w:w="101" w:type="dxa"/>
            </w:tcMar>
            <w:vAlign w:val="bottom"/>
          </w:tcPr>
          <w:p w14:paraId="2A28D798" w14:textId="77777777" w:rsidR="003F0EEA" w:rsidRDefault="003F0EEA">
            <w:pPr>
              <w:jc w:val="right"/>
              <w:rPr>
                <w:rFonts w:ascii="Arial" w:eastAsia="Arial" w:hAnsi="Arial" w:cs="Arial"/>
                <w:b/>
                <w:color w:val="000000"/>
                <w:sz w:val="16"/>
                <w:vertAlign w:val="superscript"/>
              </w:rPr>
            </w:pPr>
          </w:p>
        </w:tc>
        <w:tc>
          <w:tcPr>
            <w:tcW w:w="1005" w:type="dxa"/>
            <w:tcBorders>
              <w:top w:val="nil"/>
              <w:left w:val="nil"/>
              <w:bottom w:val="nil"/>
              <w:right w:val="nil"/>
              <w:tl2br w:val="nil"/>
              <w:tr2bl w:val="nil"/>
            </w:tcBorders>
            <w:shd w:val="clear" w:color="auto" w:fill="FFFFFF"/>
            <w:tcMar>
              <w:left w:w="101" w:type="dxa"/>
              <w:right w:w="101" w:type="dxa"/>
            </w:tcMar>
            <w:vAlign w:val="bottom"/>
          </w:tcPr>
          <w:p w14:paraId="7BE3B696" w14:textId="77777777" w:rsidR="003F0EEA" w:rsidRDefault="003F0EEA">
            <w:pPr>
              <w:jc w:val="right"/>
              <w:rPr>
                <w:rFonts w:ascii="Arial" w:eastAsia="Arial" w:hAnsi="Arial" w:cs="Arial"/>
                <w:b/>
                <w:color w:val="000000"/>
                <w:sz w:val="16"/>
                <w:vertAlign w:val="superscript"/>
              </w:rPr>
            </w:pPr>
          </w:p>
        </w:tc>
        <w:tc>
          <w:tcPr>
            <w:tcW w:w="1005" w:type="dxa"/>
            <w:tcBorders>
              <w:top w:val="nil"/>
              <w:left w:val="nil"/>
              <w:bottom w:val="nil"/>
              <w:right w:val="nil"/>
              <w:tl2br w:val="nil"/>
              <w:tr2bl w:val="nil"/>
            </w:tcBorders>
            <w:shd w:val="clear" w:color="auto" w:fill="FFFF00"/>
            <w:tcMar>
              <w:left w:w="101" w:type="dxa"/>
              <w:right w:w="101" w:type="dxa"/>
            </w:tcMar>
            <w:vAlign w:val="bottom"/>
          </w:tcPr>
          <w:p w14:paraId="69E0868F" w14:textId="77777777" w:rsidR="003F0EEA" w:rsidRDefault="003F0EEA">
            <w:pPr>
              <w:jc w:val="right"/>
              <w:rPr>
                <w:rFonts w:ascii="Arial" w:eastAsia="Arial" w:hAnsi="Arial" w:cs="Arial"/>
                <w:b/>
                <w:color w:val="000000"/>
                <w:sz w:val="16"/>
                <w:vertAlign w:val="superscript"/>
              </w:rPr>
            </w:pPr>
          </w:p>
        </w:tc>
      </w:tr>
      <w:tr w:rsidR="00724034" w14:paraId="72C94B23" w14:textId="77777777">
        <w:trPr>
          <w:trHeight w:val="225"/>
        </w:trPr>
        <w:tc>
          <w:tcPr>
            <w:tcW w:w="180" w:type="dxa"/>
            <w:tcBorders>
              <w:top w:val="nil"/>
              <w:left w:val="nil"/>
              <w:bottom w:val="nil"/>
              <w:right w:val="nil"/>
              <w:tl2br w:val="nil"/>
              <w:tr2bl w:val="nil"/>
            </w:tcBorders>
            <w:shd w:val="clear" w:color="auto" w:fill="FFFFFF"/>
            <w:tcMar>
              <w:left w:w="101" w:type="dxa"/>
              <w:right w:w="101" w:type="dxa"/>
            </w:tcMar>
            <w:vAlign w:val="bottom"/>
          </w:tcPr>
          <w:p w14:paraId="7028A0F6" w14:textId="77777777" w:rsidR="003F0EEA" w:rsidRDefault="003F0EEA">
            <w:pPr>
              <w:rPr>
                <w:rFonts w:ascii="Arial" w:eastAsia="Arial" w:hAnsi="Arial" w:cs="Arial"/>
                <w:b/>
                <w:color w:val="000000"/>
                <w:sz w:val="16"/>
                <w:vertAlign w:val="superscript"/>
              </w:rPr>
            </w:pPr>
          </w:p>
        </w:tc>
        <w:tc>
          <w:tcPr>
            <w:tcW w:w="2280" w:type="dxa"/>
            <w:tcBorders>
              <w:top w:val="nil"/>
              <w:left w:val="nil"/>
              <w:bottom w:val="nil"/>
              <w:right w:val="nil"/>
              <w:tl2br w:val="nil"/>
              <w:tr2bl w:val="nil"/>
            </w:tcBorders>
            <w:shd w:val="clear" w:color="auto" w:fill="FFFFFF"/>
            <w:tcMar>
              <w:left w:w="101" w:type="dxa"/>
              <w:right w:w="101" w:type="dxa"/>
            </w:tcMar>
            <w:vAlign w:val="bottom"/>
          </w:tcPr>
          <w:p w14:paraId="61B3DFE5" w14:textId="77777777" w:rsidR="003F0EEA" w:rsidRDefault="003F0EEA">
            <w:pPr>
              <w:rPr>
                <w:rFonts w:ascii="Arial" w:eastAsia="Arial" w:hAnsi="Arial" w:cs="Arial"/>
                <w:color w:val="000000"/>
                <w:sz w:val="16"/>
                <w:vertAlign w:val="superscript"/>
              </w:rPr>
            </w:pP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4CA14F00" w14:textId="77777777" w:rsidR="003F0EEA" w:rsidRDefault="003F0EEA">
            <w:pPr>
              <w:jc w:val="center"/>
              <w:rPr>
                <w:rFonts w:ascii="Arial" w:eastAsia="Arial" w:hAnsi="Arial" w:cs="Arial"/>
                <w:b/>
                <w:color w:val="000000"/>
                <w:sz w:val="16"/>
                <w:vertAlign w:val="superscript"/>
              </w:rPr>
            </w:pPr>
          </w:p>
        </w:tc>
        <w:tc>
          <w:tcPr>
            <w:tcW w:w="1005" w:type="dxa"/>
            <w:tcBorders>
              <w:top w:val="nil"/>
              <w:left w:val="nil"/>
              <w:bottom w:val="nil"/>
              <w:right w:val="nil"/>
              <w:tl2br w:val="nil"/>
              <w:tr2bl w:val="nil"/>
            </w:tcBorders>
            <w:shd w:val="clear" w:color="auto" w:fill="FFFF00"/>
            <w:tcMar>
              <w:left w:w="101" w:type="dxa"/>
              <w:right w:w="101" w:type="dxa"/>
            </w:tcMar>
            <w:vAlign w:val="bottom"/>
          </w:tcPr>
          <w:p w14:paraId="636081AC" w14:textId="77777777" w:rsidR="003F0EEA" w:rsidRDefault="003F0EEA">
            <w:pPr>
              <w:jc w:val="right"/>
              <w:rPr>
                <w:rFonts w:ascii="Arial" w:eastAsia="Arial" w:hAnsi="Arial" w:cs="Arial"/>
                <w:color w:val="000000"/>
                <w:sz w:val="16"/>
                <w:vertAlign w:val="superscript"/>
              </w:rPr>
            </w:pPr>
          </w:p>
        </w:tc>
        <w:tc>
          <w:tcPr>
            <w:tcW w:w="1005" w:type="dxa"/>
            <w:tcBorders>
              <w:top w:val="nil"/>
              <w:left w:val="nil"/>
              <w:bottom w:val="nil"/>
              <w:right w:val="nil"/>
              <w:tl2br w:val="nil"/>
              <w:tr2bl w:val="nil"/>
            </w:tcBorders>
            <w:shd w:val="clear" w:color="auto" w:fill="FFFFFF"/>
            <w:tcMar>
              <w:left w:w="101" w:type="dxa"/>
              <w:right w:w="101" w:type="dxa"/>
            </w:tcMar>
            <w:vAlign w:val="bottom"/>
          </w:tcPr>
          <w:p w14:paraId="085B990D" w14:textId="77777777" w:rsidR="003F0EEA" w:rsidRDefault="003F0EEA">
            <w:pPr>
              <w:jc w:val="right"/>
              <w:rPr>
                <w:rFonts w:ascii="Arial" w:eastAsia="Arial" w:hAnsi="Arial" w:cs="Arial"/>
                <w:b/>
                <w:color w:val="000000"/>
                <w:sz w:val="16"/>
                <w:vertAlign w:val="superscript"/>
              </w:rPr>
            </w:pPr>
          </w:p>
        </w:tc>
        <w:tc>
          <w:tcPr>
            <w:tcW w:w="1005" w:type="dxa"/>
            <w:tcBorders>
              <w:top w:val="nil"/>
              <w:left w:val="nil"/>
              <w:bottom w:val="nil"/>
              <w:right w:val="nil"/>
              <w:tl2br w:val="nil"/>
              <w:tr2bl w:val="nil"/>
            </w:tcBorders>
            <w:shd w:val="clear" w:color="auto" w:fill="FFFF00"/>
            <w:tcMar>
              <w:left w:w="101" w:type="dxa"/>
              <w:right w:w="101" w:type="dxa"/>
            </w:tcMar>
            <w:vAlign w:val="bottom"/>
          </w:tcPr>
          <w:p w14:paraId="3D0B3AF9" w14:textId="77777777" w:rsidR="003F0EEA" w:rsidRDefault="003F0EEA">
            <w:pPr>
              <w:jc w:val="right"/>
              <w:rPr>
                <w:rFonts w:ascii="Arial" w:eastAsia="Arial" w:hAnsi="Arial" w:cs="Arial"/>
                <w:b/>
                <w:color w:val="000000"/>
                <w:sz w:val="16"/>
                <w:vertAlign w:val="superscript"/>
              </w:rPr>
            </w:pPr>
          </w:p>
        </w:tc>
        <w:tc>
          <w:tcPr>
            <w:tcW w:w="1005" w:type="dxa"/>
            <w:tcBorders>
              <w:top w:val="nil"/>
              <w:left w:val="nil"/>
              <w:bottom w:val="nil"/>
              <w:right w:val="nil"/>
              <w:tl2br w:val="nil"/>
              <w:tr2bl w:val="nil"/>
            </w:tcBorders>
            <w:shd w:val="clear" w:color="auto" w:fill="FFFFFF"/>
            <w:tcMar>
              <w:left w:w="101" w:type="dxa"/>
              <w:right w:w="101" w:type="dxa"/>
            </w:tcMar>
            <w:vAlign w:val="bottom"/>
          </w:tcPr>
          <w:p w14:paraId="72E24596" w14:textId="77777777" w:rsidR="003F0EEA" w:rsidRDefault="003F0EEA">
            <w:pPr>
              <w:jc w:val="right"/>
              <w:rPr>
                <w:rFonts w:ascii="Arial" w:eastAsia="Arial" w:hAnsi="Arial" w:cs="Arial"/>
                <w:b/>
                <w:color w:val="000000"/>
                <w:sz w:val="16"/>
                <w:vertAlign w:val="superscript"/>
              </w:rPr>
            </w:pPr>
          </w:p>
        </w:tc>
        <w:tc>
          <w:tcPr>
            <w:tcW w:w="1005" w:type="dxa"/>
            <w:tcBorders>
              <w:top w:val="nil"/>
              <w:left w:val="nil"/>
              <w:bottom w:val="nil"/>
              <w:right w:val="nil"/>
              <w:tl2br w:val="nil"/>
              <w:tr2bl w:val="nil"/>
            </w:tcBorders>
            <w:shd w:val="clear" w:color="auto" w:fill="FFFF00"/>
            <w:tcMar>
              <w:left w:w="101" w:type="dxa"/>
              <w:right w:w="101" w:type="dxa"/>
            </w:tcMar>
            <w:vAlign w:val="bottom"/>
          </w:tcPr>
          <w:p w14:paraId="6D94713E" w14:textId="77777777" w:rsidR="003F0EEA" w:rsidRDefault="003F0EEA">
            <w:pPr>
              <w:jc w:val="right"/>
              <w:rPr>
                <w:rFonts w:ascii="Arial" w:eastAsia="Arial" w:hAnsi="Arial" w:cs="Arial"/>
                <w:b/>
                <w:color w:val="000000"/>
                <w:sz w:val="16"/>
                <w:vertAlign w:val="superscript"/>
              </w:rPr>
            </w:pPr>
          </w:p>
        </w:tc>
      </w:tr>
      <w:tr w:rsidR="00FB7D0B" w14:paraId="4F877F71" w14:textId="77777777" w:rsidTr="00FB7D0B">
        <w:trPr>
          <w:trHeight w:val="690"/>
        </w:trPr>
        <w:tc>
          <w:tcPr>
            <w:tcW w:w="2460" w:type="dxa"/>
            <w:gridSpan w:val="2"/>
            <w:tcBorders>
              <w:top w:val="nil"/>
              <w:left w:val="nil"/>
              <w:bottom w:val="nil"/>
              <w:right w:val="nil"/>
              <w:tl2br w:val="nil"/>
              <w:tr2bl w:val="nil"/>
            </w:tcBorders>
            <w:shd w:val="clear" w:color="auto" w:fill="FFFFFF"/>
            <w:tcMar>
              <w:left w:w="101" w:type="dxa"/>
              <w:right w:w="101" w:type="dxa"/>
            </w:tcMar>
            <w:vAlign w:val="bottom"/>
          </w:tcPr>
          <w:p w14:paraId="2F54620C" w14:textId="77777777" w:rsidR="003F0EEA" w:rsidRDefault="00FB7D0B">
            <w:pPr>
              <w:rPr>
                <w:rFonts w:ascii="Arial" w:eastAsia="Arial" w:hAnsi="Arial" w:cs="Arial"/>
                <w:b/>
                <w:color w:val="000000"/>
                <w:sz w:val="16"/>
                <w:vertAlign w:val="superscript"/>
              </w:rPr>
            </w:pPr>
            <w:r>
              <w:rPr>
                <w:rFonts w:ascii="Arial" w:eastAsia="Arial" w:hAnsi="Arial" w:cs="Arial"/>
                <w:color w:val="000000"/>
                <w:sz w:val="16"/>
              </w:rPr>
              <w:t>Veterans' Incapacity Payments - review by medical specialist after 12 months</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5342223A" w14:textId="77777777" w:rsidR="003F0EEA" w:rsidRDefault="00FB7D0B">
            <w:pPr>
              <w:jc w:val="center"/>
              <w:rPr>
                <w:rFonts w:ascii="Arial" w:eastAsia="Arial" w:hAnsi="Arial" w:cs="Arial"/>
                <w:color w:val="000000"/>
                <w:sz w:val="16"/>
                <w:vertAlign w:val="superscript"/>
              </w:rPr>
            </w:pPr>
            <w:r>
              <w:rPr>
                <w:rFonts w:ascii="Arial" w:eastAsia="Arial" w:hAnsi="Arial" w:cs="Arial"/>
                <w:color w:val="000000"/>
                <w:sz w:val="16"/>
              </w:rPr>
              <w:t>1.6 </w:t>
            </w:r>
          </w:p>
        </w:tc>
        <w:tc>
          <w:tcPr>
            <w:tcW w:w="1005" w:type="dxa"/>
            <w:tcBorders>
              <w:top w:val="nil"/>
              <w:left w:val="nil"/>
              <w:bottom w:val="nil"/>
              <w:right w:val="nil"/>
              <w:tl2br w:val="nil"/>
              <w:tr2bl w:val="nil"/>
            </w:tcBorders>
            <w:shd w:val="clear" w:color="auto" w:fill="FFFF00"/>
            <w:tcMar>
              <w:left w:w="101" w:type="dxa"/>
              <w:right w:w="101" w:type="dxa"/>
            </w:tcMar>
            <w:vAlign w:val="bottom"/>
          </w:tcPr>
          <w:p w14:paraId="2B27E9EE" w14:textId="77777777" w:rsidR="003F0EEA" w:rsidRDefault="003F0EEA">
            <w:pPr>
              <w:jc w:val="right"/>
              <w:rPr>
                <w:rFonts w:ascii="Arial" w:eastAsia="Arial" w:hAnsi="Arial" w:cs="Arial"/>
                <w:color w:val="000000"/>
                <w:sz w:val="16"/>
              </w:rPr>
            </w:pPr>
          </w:p>
        </w:tc>
        <w:tc>
          <w:tcPr>
            <w:tcW w:w="1005" w:type="dxa"/>
            <w:tcBorders>
              <w:top w:val="nil"/>
              <w:left w:val="nil"/>
              <w:bottom w:val="nil"/>
              <w:right w:val="nil"/>
              <w:tl2br w:val="nil"/>
              <w:tr2bl w:val="nil"/>
            </w:tcBorders>
            <w:shd w:val="clear" w:color="auto" w:fill="FFFFFF"/>
            <w:tcMar>
              <w:left w:w="101" w:type="dxa"/>
              <w:right w:w="101" w:type="dxa"/>
            </w:tcMar>
            <w:vAlign w:val="bottom"/>
          </w:tcPr>
          <w:p w14:paraId="354627A7" w14:textId="77777777" w:rsidR="003F0EEA" w:rsidRDefault="003F0EEA">
            <w:pPr>
              <w:jc w:val="right"/>
              <w:rPr>
                <w:rFonts w:ascii="Arial" w:eastAsia="Arial" w:hAnsi="Arial" w:cs="Arial"/>
                <w:color w:val="000000"/>
                <w:sz w:val="16"/>
              </w:rPr>
            </w:pPr>
          </w:p>
        </w:tc>
        <w:tc>
          <w:tcPr>
            <w:tcW w:w="1005" w:type="dxa"/>
            <w:tcBorders>
              <w:top w:val="nil"/>
              <w:left w:val="nil"/>
              <w:bottom w:val="nil"/>
              <w:right w:val="nil"/>
              <w:tl2br w:val="nil"/>
              <w:tr2bl w:val="nil"/>
            </w:tcBorders>
            <w:shd w:val="clear" w:color="auto" w:fill="FFFF00"/>
            <w:tcMar>
              <w:left w:w="101" w:type="dxa"/>
              <w:right w:w="101" w:type="dxa"/>
            </w:tcMar>
            <w:vAlign w:val="bottom"/>
          </w:tcPr>
          <w:p w14:paraId="5F6C037D" w14:textId="77777777" w:rsidR="003F0EEA" w:rsidRDefault="003F0EEA">
            <w:pPr>
              <w:jc w:val="right"/>
              <w:rPr>
                <w:rFonts w:ascii="Arial" w:eastAsia="Arial" w:hAnsi="Arial" w:cs="Arial"/>
                <w:color w:val="000000"/>
                <w:sz w:val="16"/>
              </w:rPr>
            </w:pPr>
          </w:p>
        </w:tc>
        <w:tc>
          <w:tcPr>
            <w:tcW w:w="1005" w:type="dxa"/>
            <w:tcBorders>
              <w:top w:val="nil"/>
              <w:left w:val="nil"/>
              <w:bottom w:val="nil"/>
              <w:right w:val="nil"/>
              <w:tl2br w:val="nil"/>
              <w:tr2bl w:val="nil"/>
            </w:tcBorders>
            <w:shd w:val="clear" w:color="auto" w:fill="FFFFFF"/>
            <w:tcMar>
              <w:left w:w="101" w:type="dxa"/>
              <w:right w:w="101" w:type="dxa"/>
            </w:tcMar>
            <w:vAlign w:val="bottom"/>
          </w:tcPr>
          <w:p w14:paraId="4DCEB9BC" w14:textId="77777777" w:rsidR="003F0EEA" w:rsidRDefault="003F0EEA">
            <w:pPr>
              <w:jc w:val="right"/>
              <w:rPr>
                <w:rFonts w:ascii="Arial" w:eastAsia="Arial" w:hAnsi="Arial" w:cs="Arial"/>
                <w:color w:val="000000"/>
                <w:sz w:val="16"/>
              </w:rPr>
            </w:pPr>
          </w:p>
        </w:tc>
        <w:tc>
          <w:tcPr>
            <w:tcW w:w="1005" w:type="dxa"/>
            <w:tcBorders>
              <w:top w:val="nil"/>
              <w:left w:val="nil"/>
              <w:bottom w:val="nil"/>
              <w:right w:val="nil"/>
              <w:tl2br w:val="nil"/>
              <w:tr2bl w:val="nil"/>
            </w:tcBorders>
            <w:shd w:val="clear" w:color="auto" w:fill="FFFF00"/>
            <w:tcMar>
              <w:left w:w="101" w:type="dxa"/>
              <w:right w:w="101" w:type="dxa"/>
            </w:tcMar>
            <w:vAlign w:val="bottom"/>
          </w:tcPr>
          <w:p w14:paraId="0EB84DA6" w14:textId="77777777" w:rsidR="003F0EEA" w:rsidRDefault="003F0EEA">
            <w:pPr>
              <w:jc w:val="right"/>
              <w:rPr>
                <w:rFonts w:ascii="Arial" w:eastAsia="Arial" w:hAnsi="Arial" w:cs="Arial"/>
                <w:color w:val="000000"/>
                <w:sz w:val="16"/>
              </w:rPr>
            </w:pPr>
          </w:p>
        </w:tc>
      </w:tr>
      <w:tr w:rsidR="00724034" w14:paraId="3AA8BCB6" w14:textId="77777777">
        <w:trPr>
          <w:trHeight w:val="225"/>
        </w:trPr>
        <w:tc>
          <w:tcPr>
            <w:tcW w:w="180" w:type="dxa"/>
            <w:tcBorders>
              <w:top w:val="nil"/>
              <w:left w:val="nil"/>
              <w:bottom w:val="nil"/>
              <w:right w:val="nil"/>
              <w:tl2br w:val="nil"/>
              <w:tr2bl w:val="nil"/>
            </w:tcBorders>
            <w:shd w:val="clear" w:color="auto" w:fill="FFFFFF"/>
            <w:tcMar>
              <w:left w:w="101" w:type="dxa"/>
              <w:right w:w="101" w:type="dxa"/>
            </w:tcMar>
            <w:vAlign w:val="bottom"/>
          </w:tcPr>
          <w:p w14:paraId="1C30FD5A" w14:textId="77777777" w:rsidR="003F0EEA" w:rsidRDefault="003F0EEA">
            <w:pPr>
              <w:rPr>
                <w:rFonts w:ascii="Arial" w:eastAsia="Arial" w:hAnsi="Arial" w:cs="Arial"/>
                <w:color w:val="000000"/>
                <w:sz w:val="16"/>
              </w:rPr>
            </w:pPr>
          </w:p>
        </w:tc>
        <w:tc>
          <w:tcPr>
            <w:tcW w:w="2280" w:type="dxa"/>
            <w:tcBorders>
              <w:top w:val="nil"/>
              <w:left w:val="nil"/>
              <w:bottom w:val="nil"/>
              <w:right w:val="nil"/>
              <w:tl2br w:val="nil"/>
              <w:tr2bl w:val="nil"/>
            </w:tcBorders>
            <w:shd w:val="clear" w:color="auto" w:fill="FFFFFF"/>
            <w:tcMar>
              <w:left w:w="101" w:type="dxa"/>
              <w:right w:w="101" w:type="dxa"/>
            </w:tcMar>
            <w:vAlign w:val="bottom"/>
          </w:tcPr>
          <w:p w14:paraId="1E741D5F" w14:textId="77777777" w:rsidR="003F0EEA" w:rsidRDefault="00FB7D0B">
            <w:pPr>
              <w:rPr>
                <w:rFonts w:ascii="Arial" w:eastAsia="Arial" w:hAnsi="Arial" w:cs="Arial"/>
                <w:color w:val="000000"/>
                <w:sz w:val="16"/>
              </w:rPr>
            </w:pPr>
            <w:r>
              <w:rPr>
                <w:rFonts w:ascii="Arial" w:eastAsia="Arial" w:hAnsi="Arial" w:cs="Arial"/>
                <w:color w:val="000000"/>
                <w:sz w:val="16"/>
              </w:rPr>
              <w:t>Administered expenses</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67977769" w14:textId="77777777" w:rsidR="003F0EEA" w:rsidRDefault="003F0EEA">
            <w:pPr>
              <w:jc w:val="center"/>
              <w:rPr>
                <w:rFonts w:ascii="Arial" w:eastAsia="Arial" w:hAnsi="Arial" w:cs="Arial"/>
                <w:color w:val="000000"/>
                <w:sz w:val="16"/>
                <w:vertAlign w:val="superscript"/>
              </w:rPr>
            </w:pPr>
          </w:p>
        </w:tc>
        <w:tc>
          <w:tcPr>
            <w:tcW w:w="1005" w:type="dxa"/>
            <w:tcBorders>
              <w:top w:val="nil"/>
              <w:left w:val="nil"/>
              <w:bottom w:val="nil"/>
              <w:right w:val="nil"/>
              <w:tl2br w:val="nil"/>
              <w:tr2bl w:val="nil"/>
            </w:tcBorders>
            <w:shd w:val="clear" w:color="auto" w:fill="FFFF00"/>
            <w:tcMar>
              <w:left w:w="101" w:type="dxa"/>
              <w:right w:w="101" w:type="dxa"/>
            </w:tcMar>
            <w:vAlign w:val="bottom"/>
          </w:tcPr>
          <w:p w14:paraId="38CCF64C" w14:textId="77777777" w:rsidR="003F0EEA" w:rsidRDefault="00FB7D0B">
            <w:pPr>
              <w:jc w:val="right"/>
              <w:rPr>
                <w:rFonts w:ascii="Arial" w:eastAsia="Arial" w:hAnsi="Arial" w:cs="Arial"/>
                <w:color w:val="000000"/>
                <w:sz w:val="16"/>
                <w:vertAlign w:val="superscript"/>
              </w:rPr>
            </w:pPr>
            <w:r>
              <w:rPr>
                <w:rFonts w:ascii="Arial" w:eastAsia="Arial" w:hAnsi="Arial" w:cs="Arial"/>
                <w:color w:val="000000"/>
                <w:sz w:val="16"/>
              </w:rPr>
              <w:t xml:space="preserve"> - </w:t>
            </w:r>
          </w:p>
        </w:tc>
        <w:tc>
          <w:tcPr>
            <w:tcW w:w="1005" w:type="dxa"/>
            <w:tcBorders>
              <w:top w:val="nil"/>
              <w:left w:val="nil"/>
              <w:bottom w:val="nil"/>
              <w:right w:val="nil"/>
              <w:tl2br w:val="nil"/>
              <w:tr2bl w:val="nil"/>
            </w:tcBorders>
            <w:shd w:val="clear" w:color="auto" w:fill="FFFFFF"/>
            <w:tcMar>
              <w:left w:w="101" w:type="dxa"/>
              <w:right w:w="101" w:type="dxa"/>
            </w:tcMar>
            <w:vAlign w:val="bottom"/>
          </w:tcPr>
          <w:p w14:paraId="2A11A4D1" w14:textId="77777777" w:rsidR="003F0EEA" w:rsidRDefault="00FB7D0B">
            <w:pPr>
              <w:jc w:val="right"/>
              <w:rPr>
                <w:rFonts w:ascii="Arial" w:eastAsia="Arial" w:hAnsi="Arial" w:cs="Arial"/>
                <w:color w:val="000000"/>
                <w:sz w:val="16"/>
              </w:rPr>
            </w:pPr>
            <w:r>
              <w:rPr>
                <w:rFonts w:ascii="Arial" w:eastAsia="Arial" w:hAnsi="Arial" w:cs="Arial"/>
                <w:color w:val="000000"/>
                <w:sz w:val="16"/>
              </w:rPr>
              <w:t>(805)</w:t>
            </w:r>
          </w:p>
        </w:tc>
        <w:tc>
          <w:tcPr>
            <w:tcW w:w="1005" w:type="dxa"/>
            <w:tcBorders>
              <w:top w:val="nil"/>
              <w:left w:val="nil"/>
              <w:bottom w:val="nil"/>
              <w:right w:val="nil"/>
              <w:tl2br w:val="nil"/>
              <w:tr2bl w:val="nil"/>
            </w:tcBorders>
            <w:shd w:val="clear" w:color="auto" w:fill="FFFF00"/>
            <w:tcMar>
              <w:left w:w="101" w:type="dxa"/>
              <w:right w:w="101" w:type="dxa"/>
            </w:tcMar>
            <w:vAlign w:val="bottom"/>
          </w:tcPr>
          <w:p w14:paraId="01ECAC4A" w14:textId="77777777" w:rsidR="003F0EEA" w:rsidRDefault="00FB7D0B">
            <w:pPr>
              <w:jc w:val="right"/>
              <w:rPr>
                <w:rFonts w:ascii="Arial" w:eastAsia="Arial" w:hAnsi="Arial" w:cs="Arial"/>
                <w:color w:val="000000"/>
                <w:sz w:val="16"/>
              </w:rPr>
            </w:pPr>
            <w:r>
              <w:rPr>
                <w:rFonts w:ascii="Arial" w:eastAsia="Arial" w:hAnsi="Arial" w:cs="Arial"/>
                <w:color w:val="000000"/>
                <w:sz w:val="16"/>
              </w:rPr>
              <w:t>(2,930)</w:t>
            </w:r>
          </w:p>
        </w:tc>
        <w:tc>
          <w:tcPr>
            <w:tcW w:w="1005" w:type="dxa"/>
            <w:tcBorders>
              <w:top w:val="nil"/>
              <w:left w:val="nil"/>
              <w:bottom w:val="nil"/>
              <w:right w:val="nil"/>
              <w:tl2br w:val="nil"/>
              <w:tr2bl w:val="nil"/>
            </w:tcBorders>
            <w:shd w:val="clear" w:color="auto" w:fill="FFFFFF"/>
            <w:tcMar>
              <w:left w:w="101" w:type="dxa"/>
              <w:right w:w="101" w:type="dxa"/>
            </w:tcMar>
            <w:vAlign w:val="bottom"/>
          </w:tcPr>
          <w:p w14:paraId="6F9A357F" w14:textId="77777777" w:rsidR="003F0EEA" w:rsidRDefault="00FB7D0B">
            <w:pPr>
              <w:jc w:val="right"/>
              <w:rPr>
                <w:rFonts w:ascii="Arial" w:eastAsia="Arial" w:hAnsi="Arial" w:cs="Arial"/>
                <w:color w:val="000000"/>
                <w:sz w:val="16"/>
              </w:rPr>
            </w:pPr>
            <w:r>
              <w:rPr>
                <w:rFonts w:ascii="Arial" w:eastAsia="Arial" w:hAnsi="Arial" w:cs="Arial"/>
                <w:color w:val="000000"/>
                <w:sz w:val="16"/>
              </w:rPr>
              <w:t>(4,908)</w:t>
            </w:r>
          </w:p>
        </w:tc>
        <w:tc>
          <w:tcPr>
            <w:tcW w:w="1005" w:type="dxa"/>
            <w:tcBorders>
              <w:top w:val="nil"/>
              <w:left w:val="nil"/>
              <w:bottom w:val="nil"/>
              <w:right w:val="nil"/>
              <w:tl2br w:val="nil"/>
              <w:tr2bl w:val="nil"/>
            </w:tcBorders>
            <w:shd w:val="clear" w:color="auto" w:fill="FFFF00"/>
            <w:tcMar>
              <w:left w:w="101" w:type="dxa"/>
              <w:right w:w="101" w:type="dxa"/>
            </w:tcMar>
            <w:vAlign w:val="bottom"/>
          </w:tcPr>
          <w:p w14:paraId="0A034633" w14:textId="77777777" w:rsidR="003F0EEA" w:rsidRDefault="00FB7D0B">
            <w:pPr>
              <w:jc w:val="right"/>
              <w:rPr>
                <w:rFonts w:ascii="Arial" w:eastAsia="Arial" w:hAnsi="Arial" w:cs="Arial"/>
                <w:color w:val="000000"/>
                <w:sz w:val="16"/>
              </w:rPr>
            </w:pPr>
            <w:r>
              <w:rPr>
                <w:rFonts w:ascii="Arial" w:eastAsia="Arial" w:hAnsi="Arial" w:cs="Arial"/>
                <w:color w:val="000000"/>
                <w:sz w:val="16"/>
              </w:rPr>
              <w:t>(6,232)</w:t>
            </w:r>
          </w:p>
        </w:tc>
      </w:tr>
      <w:tr w:rsidR="00724034" w14:paraId="6080505E" w14:textId="77777777">
        <w:trPr>
          <w:trHeight w:val="225"/>
        </w:trPr>
        <w:tc>
          <w:tcPr>
            <w:tcW w:w="180" w:type="dxa"/>
            <w:tcBorders>
              <w:top w:val="nil"/>
              <w:left w:val="nil"/>
              <w:bottom w:val="nil"/>
              <w:right w:val="nil"/>
              <w:tl2br w:val="nil"/>
              <w:tr2bl w:val="nil"/>
            </w:tcBorders>
            <w:shd w:val="clear" w:color="auto" w:fill="FFFFFF"/>
            <w:tcMar>
              <w:left w:w="101" w:type="dxa"/>
              <w:right w:w="101" w:type="dxa"/>
            </w:tcMar>
            <w:vAlign w:val="bottom"/>
          </w:tcPr>
          <w:p w14:paraId="765C7612" w14:textId="77777777" w:rsidR="003F0EEA" w:rsidRDefault="003F0EEA">
            <w:pPr>
              <w:rPr>
                <w:rFonts w:ascii="Arial" w:eastAsia="Arial" w:hAnsi="Arial" w:cs="Arial"/>
                <w:color w:val="000000"/>
                <w:sz w:val="16"/>
              </w:rPr>
            </w:pPr>
          </w:p>
        </w:tc>
        <w:tc>
          <w:tcPr>
            <w:tcW w:w="2280" w:type="dxa"/>
            <w:tcBorders>
              <w:top w:val="nil"/>
              <w:left w:val="nil"/>
              <w:bottom w:val="nil"/>
              <w:right w:val="nil"/>
              <w:tl2br w:val="nil"/>
              <w:tr2bl w:val="nil"/>
            </w:tcBorders>
            <w:shd w:val="clear" w:color="auto" w:fill="FFFFFF"/>
            <w:tcMar>
              <w:left w:w="101" w:type="dxa"/>
              <w:right w:w="101" w:type="dxa"/>
            </w:tcMar>
            <w:vAlign w:val="bottom"/>
          </w:tcPr>
          <w:p w14:paraId="542A7637" w14:textId="77777777" w:rsidR="003F0EEA" w:rsidRDefault="00FB7D0B">
            <w:pPr>
              <w:rPr>
                <w:rFonts w:ascii="Arial" w:eastAsia="Arial" w:hAnsi="Arial" w:cs="Arial"/>
                <w:color w:val="000000"/>
                <w:sz w:val="16"/>
              </w:rPr>
            </w:pPr>
            <w:r>
              <w:rPr>
                <w:rFonts w:ascii="Arial" w:eastAsia="Arial" w:hAnsi="Arial" w:cs="Arial"/>
                <w:color w:val="000000"/>
                <w:sz w:val="16"/>
              </w:rPr>
              <w:t>Departmental expenses</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7C06088C" w14:textId="77777777" w:rsidR="003F0EEA" w:rsidRDefault="003F0EEA">
            <w:pPr>
              <w:jc w:val="center"/>
              <w:rPr>
                <w:rFonts w:ascii="Arial" w:eastAsia="Arial" w:hAnsi="Arial" w:cs="Arial"/>
                <w:color w:val="000000"/>
                <w:sz w:val="16"/>
                <w:vertAlign w:val="superscript"/>
              </w:rPr>
            </w:pPr>
          </w:p>
        </w:tc>
        <w:tc>
          <w:tcPr>
            <w:tcW w:w="1005" w:type="dxa"/>
            <w:tcBorders>
              <w:top w:val="nil"/>
              <w:left w:val="nil"/>
              <w:bottom w:val="nil"/>
              <w:right w:val="nil"/>
              <w:tl2br w:val="nil"/>
              <w:tr2bl w:val="nil"/>
            </w:tcBorders>
            <w:shd w:val="clear" w:color="auto" w:fill="FFFF00"/>
            <w:tcMar>
              <w:left w:w="101" w:type="dxa"/>
              <w:right w:w="101" w:type="dxa"/>
            </w:tcMar>
            <w:vAlign w:val="bottom"/>
          </w:tcPr>
          <w:p w14:paraId="0E82EAA2" w14:textId="77777777" w:rsidR="003F0EEA" w:rsidRDefault="00FB7D0B">
            <w:pPr>
              <w:jc w:val="right"/>
              <w:rPr>
                <w:rFonts w:ascii="Arial" w:eastAsia="Arial" w:hAnsi="Arial" w:cs="Arial"/>
                <w:color w:val="000000"/>
                <w:sz w:val="16"/>
                <w:vertAlign w:val="superscript"/>
              </w:rPr>
            </w:pPr>
            <w:r>
              <w:rPr>
                <w:rFonts w:ascii="Arial" w:eastAsia="Arial" w:hAnsi="Arial" w:cs="Arial"/>
                <w:color w:val="000000"/>
                <w:sz w:val="16"/>
              </w:rPr>
              <w:t xml:space="preserve"> - </w:t>
            </w:r>
          </w:p>
        </w:tc>
        <w:tc>
          <w:tcPr>
            <w:tcW w:w="1005" w:type="dxa"/>
            <w:tcBorders>
              <w:top w:val="nil"/>
              <w:left w:val="nil"/>
              <w:bottom w:val="nil"/>
              <w:right w:val="nil"/>
              <w:tl2br w:val="nil"/>
              <w:tr2bl w:val="nil"/>
            </w:tcBorders>
            <w:shd w:val="clear" w:color="auto" w:fill="FFFFFF"/>
            <w:tcMar>
              <w:left w:w="101" w:type="dxa"/>
              <w:right w:w="101" w:type="dxa"/>
            </w:tcMar>
            <w:vAlign w:val="bottom"/>
          </w:tcPr>
          <w:p w14:paraId="4F70016C" w14:textId="77777777" w:rsidR="003F0EEA" w:rsidRDefault="00FB7D0B">
            <w:pPr>
              <w:jc w:val="right"/>
              <w:rPr>
                <w:rFonts w:ascii="Arial" w:eastAsia="Arial" w:hAnsi="Arial" w:cs="Arial"/>
                <w:color w:val="000000"/>
                <w:sz w:val="16"/>
              </w:rPr>
            </w:pPr>
            <w:r>
              <w:rPr>
                <w:rFonts w:ascii="Arial" w:eastAsia="Arial" w:hAnsi="Arial" w:cs="Arial"/>
                <w:color w:val="000000"/>
                <w:sz w:val="16"/>
              </w:rPr>
              <w:t>674  </w:t>
            </w:r>
          </w:p>
        </w:tc>
        <w:tc>
          <w:tcPr>
            <w:tcW w:w="1005" w:type="dxa"/>
            <w:tcBorders>
              <w:top w:val="nil"/>
              <w:left w:val="nil"/>
              <w:bottom w:val="nil"/>
              <w:right w:val="nil"/>
              <w:tl2br w:val="nil"/>
              <w:tr2bl w:val="nil"/>
            </w:tcBorders>
            <w:shd w:val="clear" w:color="auto" w:fill="FFFF00"/>
            <w:tcMar>
              <w:left w:w="101" w:type="dxa"/>
              <w:right w:w="101" w:type="dxa"/>
            </w:tcMar>
            <w:vAlign w:val="bottom"/>
          </w:tcPr>
          <w:p w14:paraId="16F36B65" w14:textId="77777777" w:rsidR="003F0EEA" w:rsidRDefault="00FB7D0B">
            <w:pPr>
              <w:jc w:val="right"/>
              <w:rPr>
                <w:rFonts w:ascii="Arial" w:eastAsia="Arial" w:hAnsi="Arial" w:cs="Arial"/>
                <w:color w:val="000000"/>
                <w:sz w:val="16"/>
              </w:rPr>
            </w:pPr>
            <w:r>
              <w:rPr>
                <w:rFonts w:ascii="Arial" w:eastAsia="Arial" w:hAnsi="Arial" w:cs="Arial"/>
                <w:color w:val="000000"/>
                <w:sz w:val="16"/>
              </w:rPr>
              <w:t>640  </w:t>
            </w:r>
          </w:p>
        </w:tc>
        <w:tc>
          <w:tcPr>
            <w:tcW w:w="1005" w:type="dxa"/>
            <w:tcBorders>
              <w:top w:val="nil"/>
              <w:left w:val="nil"/>
              <w:bottom w:val="nil"/>
              <w:right w:val="nil"/>
              <w:tl2br w:val="nil"/>
              <w:tr2bl w:val="nil"/>
            </w:tcBorders>
            <w:shd w:val="clear" w:color="auto" w:fill="FFFFFF"/>
            <w:tcMar>
              <w:left w:w="101" w:type="dxa"/>
              <w:right w:w="101" w:type="dxa"/>
            </w:tcMar>
            <w:vAlign w:val="bottom"/>
          </w:tcPr>
          <w:p w14:paraId="136BCF65" w14:textId="77777777" w:rsidR="003F0EEA" w:rsidRDefault="00FB7D0B">
            <w:pPr>
              <w:jc w:val="right"/>
              <w:rPr>
                <w:rFonts w:ascii="Arial" w:eastAsia="Arial" w:hAnsi="Arial" w:cs="Arial"/>
                <w:color w:val="000000"/>
                <w:sz w:val="16"/>
              </w:rPr>
            </w:pPr>
            <w:r>
              <w:rPr>
                <w:rFonts w:ascii="Arial" w:eastAsia="Arial" w:hAnsi="Arial" w:cs="Arial"/>
                <w:color w:val="000000"/>
                <w:sz w:val="16"/>
              </w:rPr>
              <w:t>441  </w:t>
            </w:r>
          </w:p>
        </w:tc>
        <w:tc>
          <w:tcPr>
            <w:tcW w:w="1005" w:type="dxa"/>
            <w:tcBorders>
              <w:top w:val="nil"/>
              <w:left w:val="nil"/>
              <w:bottom w:val="nil"/>
              <w:right w:val="nil"/>
              <w:tl2br w:val="nil"/>
              <w:tr2bl w:val="nil"/>
            </w:tcBorders>
            <w:shd w:val="clear" w:color="auto" w:fill="FFFF00"/>
            <w:tcMar>
              <w:left w:w="101" w:type="dxa"/>
              <w:right w:w="101" w:type="dxa"/>
            </w:tcMar>
            <w:vAlign w:val="bottom"/>
          </w:tcPr>
          <w:p w14:paraId="2A001708" w14:textId="77777777" w:rsidR="003F0EEA" w:rsidRDefault="00FB7D0B">
            <w:pPr>
              <w:jc w:val="right"/>
              <w:rPr>
                <w:rFonts w:ascii="Arial" w:eastAsia="Arial" w:hAnsi="Arial" w:cs="Arial"/>
                <w:color w:val="000000"/>
                <w:sz w:val="16"/>
              </w:rPr>
            </w:pPr>
            <w:r>
              <w:rPr>
                <w:rFonts w:ascii="Arial" w:eastAsia="Arial" w:hAnsi="Arial" w:cs="Arial"/>
                <w:color w:val="000000"/>
                <w:sz w:val="16"/>
              </w:rPr>
              <w:t>445  </w:t>
            </w:r>
          </w:p>
        </w:tc>
      </w:tr>
      <w:tr w:rsidR="00FB7D0B" w14:paraId="7AD06AD3" w14:textId="77777777" w:rsidTr="00FB7D0B">
        <w:trPr>
          <w:trHeight w:val="225"/>
        </w:trPr>
        <w:tc>
          <w:tcPr>
            <w:tcW w:w="2460" w:type="dxa"/>
            <w:gridSpan w:val="2"/>
            <w:tcBorders>
              <w:top w:val="nil"/>
              <w:left w:val="nil"/>
              <w:bottom w:val="nil"/>
              <w:right w:val="nil"/>
              <w:tl2br w:val="nil"/>
              <w:tr2bl w:val="nil"/>
            </w:tcBorders>
            <w:shd w:val="clear" w:color="auto" w:fill="FFFFFF"/>
            <w:tcMar>
              <w:left w:w="101" w:type="dxa"/>
              <w:right w:w="101" w:type="dxa"/>
            </w:tcMar>
            <w:vAlign w:val="bottom"/>
          </w:tcPr>
          <w:p w14:paraId="35980469" w14:textId="77777777" w:rsidR="003F0EEA" w:rsidRDefault="00FB7D0B">
            <w:pPr>
              <w:rPr>
                <w:rFonts w:ascii="Arial" w:eastAsia="Arial" w:hAnsi="Arial" w:cs="Arial"/>
                <w:color w:val="000000"/>
                <w:sz w:val="16"/>
              </w:rPr>
            </w:pPr>
            <w:r>
              <w:rPr>
                <w:rFonts w:ascii="Arial" w:eastAsia="Arial" w:hAnsi="Arial" w:cs="Arial"/>
                <w:b/>
                <w:color w:val="000000"/>
                <w:sz w:val="16"/>
              </w:rPr>
              <w:t xml:space="preserve">Total </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23EDF6F4" w14:textId="77777777" w:rsidR="003F0EEA" w:rsidRDefault="003F0EEA">
            <w:pPr>
              <w:jc w:val="center"/>
              <w:rPr>
                <w:rFonts w:ascii="Arial" w:eastAsia="Arial" w:hAnsi="Arial" w:cs="Arial"/>
                <w:b/>
                <w:color w:val="000000"/>
                <w:sz w:val="16"/>
                <w:vertAlign w:val="superscript"/>
              </w:rPr>
            </w:pPr>
          </w:p>
        </w:tc>
        <w:tc>
          <w:tcPr>
            <w:tcW w:w="1005" w:type="dxa"/>
            <w:tcBorders>
              <w:top w:val="nil"/>
              <w:left w:val="nil"/>
              <w:bottom w:val="single" w:sz="6" w:space="0" w:color="000000"/>
              <w:right w:val="nil"/>
              <w:tl2br w:val="nil"/>
              <w:tr2bl w:val="nil"/>
            </w:tcBorders>
            <w:shd w:val="clear" w:color="auto" w:fill="FFFF00"/>
            <w:tcMar>
              <w:left w:w="101" w:type="dxa"/>
              <w:right w:w="101" w:type="dxa"/>
            </w:tcMar>
            <w:vAlign w:val="bottom"/>
          </w:tcPr>
          <w:p w14:paraId="7B27BB10" w14:textId="77777777" w:rsidR="003F0EEA" w:rsidRDefault="00FB7D0B">
            <w:pPr>
              <w:jc w:val="right"/>
              <w:rPr>
                <w:rFonts w:ascii="Arial" w:eastAsia="Arial" w:hAnsi="Arial" w:cs="Arial"/>
                <w:color w:val="000000"/>
                <w:sz w:val="16"/>
                <w:vertAlign w:val="superscript"/>
              </w:rPr>
            </w:pPr>
            <w:r>
              <w:rPr>
                <w:rFonts w:ascii="Arial" w:eastAsia="Arial" w:hAnsi="Arial" w:cs="Arial"/>
                <w:b/>
                <w:color w:val="000000"/>
                <w:sz w:val="16"/>
              </w:rPr>
              <w:t xml:space="preserve"> - </w:t>
            </w:r>
          </w:p>
        </w:tc>
        <w:tc>
          <w:tcPr>
            <w:tcW w:w="1005"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3E405F81" w14:textId="77777777" w:rsidR="003F0EEA" w:rsidRDefault="00FB7D0B">
            <w:pPr>
              <w:jc w:val="right"/>
              <w:rPr>
                <w:rFonts w:ascii="Arial" w:eastAsia="Arial" w:hAnsi="Arial" w:cs="Arial"/>
                <w:b/>
                <w:color w:val="000000"/>
                <w:sz w:val="16"/>
              </w:rPr>
            </w:pPr>
            <w:r>
              <w:rPr>
                <w:rFonts w:ascii="Arial" w:eastAsia="Arial" w:hAnsi="Arial" w:cs="Arial"/>
                <w:b/>
                <w:color w:val="000000"/>
                <w:sz w:val="16"/>
              </w:rPr>
              <w:t>(131)</w:t>
            </w:r>
          </w:p>
        </w:tc>
        <w:tc>
          <w:tcPr>
            <w:tcW w:w="1005" w:type="dxa"/>
            <w:tcBorders>
              <w:top w:val="nil"/>
              <w:left w:val="nil"/>
              <w:bottom w:val="single" w:sz="6" w:space="0" w:color="000000"/>
              <w:right w:val="nil"/>
              <w:tl2br w:val="nil"/>
              <w:tr2bl w:val="nil"/>
            </w:tcBorders>
            <w:shd w:val="clear" w:color="auto" w:fill="FFFF00"/>
            <w:tcMar>
              <w:left w:w="101" w:type="dxa"/>
              <w:right w:w="101" w:type="dxa"/>
            </w:tcMar>
            <w:vAlign w:val="bottom"/>
          </w:tcPr>
          <w:p w14:paraId="469CBA18" w14:textId="77777777" w:rsidR="003F0EEA" w:rsidRDefault="00FB7D0B">
            <w:pPr>
              <w:jc w:val="right"/>
              <w:rPr>
                <w:rFonts w:ascii="Arial" w:eastAsia="Arial" w:hAnsi="Arial" w:cs="Arial"/>
                <w:b/>
                <w:color w:val="000000"/>
                <w:sz w:val="16"/>
              </w:rPr>
            </w:pPr>
            <w:r>
              <w:rPr>
                <w:rFonts w:ascii="Arial" w:eastAsia="Arial" w:hAnsi="Arial" w:cs="Arial"/>
                <w:b/>
                <w:color w:val="000000"/>
                <w:sz w:val="16"/>
              </w:rPr>
              <w:t>(2,290)</w:t>
            </w:r>
          </w:p>
        </w:tc>
        <w:tc>
          <w:tcPr>
            <w:tcW w:w="1005"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059C0995" w14:textId="77777777" w:rsidR="003F0EEA" w:rsidRDefault="00FB7D0B">
            <w:pPr>
              <w:jc w:val="right"/>
              <w:rPr>
                <w:rFonts w:ascii="Arial" w:eastAsia="Arial" w:hAnsi="Arial" w:cs="Arial"/>
                <w:b/>
                <w:color w:val="000000"/>
                <w:sz w:val="16"/>
              </w:rPr>
            </w:pPr>
            <w:r>
              <w:rPr>
                <w:rFonts w:ascii="Arial" w:eastAsia="Arial" w:hAnsi="Arial" w:cs="Arial"/>
                <w:b/>
                <w:color w:val="000000"/>
                <w:sz w:val="16"/>
              </w:rPr>
              <w:t>(4,467)</w:t>
            </w:r>
          </w:p>
        </w:tc>
        <w:tc>
          <w:tcPr>
            <w:tcW w:w="1005" w:type="dxa"/>
            <w:tcBorders>
              <w:top w:val="nil"/>
              <w:left w:val="nil"/>
              <w:bottom w:val="single" w:sz="6" w:space="0" w:color="000000"/>
              <w:right w:val="nil"/>
              <w:tl2br w:val="nil"/>
              <w:tr2bl w:val="nil"/>
            </w:tcBorders>
            <w:shd w:val="clear" w:color="auto" w:fill="FFFF00"/>
            <w:tcMar>
              <w:left w:w="101" w:type="dxa"/>
              <w:right w:w="101" w:type="dxa"/>
            </w:tcMar>
            <w:vAlign w:val="bottom"/>
          </w:tcPr>
          <w:p w14:paraId="4E284AF5" w14:textId="77777777" w:rsidR="003F0EEA" w:rsidRDefault="00FB7D0B">
            <w:pPr>
              <w:jc w:val="right"/>
              <w:rPr>
                <w:rFonts w:ascii="Arial" w:eastAsia="Arial" w:hAnsi="Arial" w:cs="Arial"/>
                <w:b/>
                <w:color w:val="000000"/>
                <w:sz w:val="16"/>
              </w:rPr>
            </w:pPr>
            <w:r>
              <w:rPr>
                <w:rFonts w:ascii="Arial" w:eastAsia="Arial" w:hAnsi="Arial" w:cs="Arial"/>
                <w:b/>
                <w:color w:val="000000"/>
                <w:sz w:val="16"/>
              </w:rPr>
              <w:t>(5,787)</w:t>
            </w:r>
          </w:p>
        </w:tc>
      </w:tr>
      <w:tr w:rsidR="00724034" w14:paraId="7C498B94" w14:textId="77777777">
        <w:trPr>
          <w:trHeight w:val="225"/>
        </w:trPr>
        <w:tc>
          <w:tcPr>
            <w:tcW w:w="180" w:type="dxa"/>
            <w:tcBorders>
              <w:top w:val="nil"/>
              <w:left w:val="nil"/>
              <w:bottom w:val="nil"/>
              <w:right w:val="nil"/>
              <w:tl2br w:val="nil"/>
              <w:tr2bl w:val="nil"/>
            </w:tcBorders>
            <w:shd w:val="clear" w:color="auto" w:fill="FFFFFF"/>
            <w:tcMar>
              <w:left w:w="101" w:type="dxa"/>
              <w:right w:w="101" w:type="dxa"/>
            </w:tcMar>
            <w:vAlign w:val="bottom"/>
          </w:tcPr>
          <w:p w14:paraId="289F07FB" w14:textId="77777777" w:rsidR="003F0EEA" w:rsidRDefault="003F0EEA">
            <w:pPr>
              <w:rPr>
                <w:rFonts w:ascii="Arial" w:eastAsia="Arial" w:hAnsi="Arial" w:cs="Arial"/>
                <w:b/>
                <w:color w:val="000000"/>
                <w:sz w:val="16"/>
              </w:rPr>
            </w:pPr>
          </w:p>
        </w:tc>
        <w:tc>
          <w:tcPr>
            <w:tcW w:w="2280" w:type="dxa"/>
            <w:tcBorders>
              <w:top w:val="nil"/>
              <w:left w:val="nil"/>
              <w:bottom w:val="nil"/>
              <w:right w:val="nil"/>
              <w:tl2br w:val="nil"/>
              <w:tr2bl w:val="nil"/>
            </w:tcBorders>
            <w:shd w:val="clear" w:color="auto" w:fill="FFFFFF"/>
            <w:tcMar>
              <w:left w:w="101" w:type="dxa"/>
              <w:right w:w="101" w:type="dxa"/>
            </w:tcMar>
            <w:vAlign w:val="bottom"/>
          </w:tcPr>
          <w:p w14:paraId="7801EE3D" w14:textId="77777777" w:rsidR="003F0EEA" w:rsidRDefault="003F0EEA">
            <w:pPr>
              <w:rPr>
                <w:rFonts w:ascii="Arial" w:eastAsia="Arial" w:hAnsi="Arial" w:cs="Arial"/>
                <w:b/>
                <w:color w:val="000000"/>
                <w:sz w:val="16"/>
              </w:rPr>
            </w:pP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7D1D93FD" w14:textId="77777777" w:rsidR="003F0EEA" w:rsidRDefault="003F0EEA">
            <w:pPr>
              <w:jc w:val="center"/>
              <w:rPr>
                <w:rFonts w:ascii="Arial" w:eastAsia="Arial" w:hAnsi="Arial" w:cs="Arial"/>
                <w:b/>
                <w:color w:val="000000"/>
                <w:sz w:val="16"/>
                <w:vertAlign w:val="superscript"/>
              </w:rPr>
            </w:pPr>
          </w:p>
        </w:tc>
        <w:tc>
          <w:tcPr>
            <w:tcW w:w="1005" w:type="dxa"/>
            <w:tcBorders>
              <w:top w:val="single" w:sz="6" w:space="0" w:color="000000"/>
              <w:left w:val="nil"/>
              <w:bottom w:val="nil"/>
              <w:right w:val="nil"/>
              <w:tl2br w:val="nil"/>
              <w:tr2bl w:val="nil"/>
            </w:tcBorders>
            <w:shd w:val="clear" w:color="auto" w:fill="FFFF00"/>
            <w:tcMar>
              <w:left w:w="101" w:type="dxa"/>
              <w:right w:w="101" w:type="dxa"/>
            </w:tcMar>
            <w:vAlign w:val="bottom"/>
          </w:tcPr>
          <w:p w14:paraId="72C35E99" w14:textId="77777777" w:rsidR="003F0EEA" w:rsidRDefault="003F0EEA">
            <w:pPr>
              <w:jc w:val="right"/>
              <w:rPr>
                <w:rFonts w:ascii="Arial" w:eastAsia="Arial" w:hAnsi="Arial" w:cs="Arial"/>
                <w:color w:val="000000"/>
                <w:sz w:val="16"/>
                <w:vertAlign w:val="superscript"/>
              </w:rPr>
            </w:pPr>
          </w:p>
        </w:tc>
        <w:tc>
          <w:tcPr>
            <w:tcW w:w="100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4C110001" w14:textId="77777777" w:rsidR="003F0EEA" w:rsidRDefault="003F0EEA">
            <w:pPr>
              <w:jc w:val="right"/>
              <w:rPr>
                <w:rFonts w:ascii="Arial" w:eastAsia="Arial" w:hAnsi="Arial" w:cs="Arial"/>
                <w:b/>
                <w:color w:val="000000"/>
                <w:sz w:val="16"/>
                <w:vertAlign w:val="superscript"/>
              </w:rPr>
            </w:pPr>
          </w:p>
        </w:tc>
        <w:tc>
          <w:tcPr>
            <w:tcW w:w="1005" w:type="dxa"/>
            <w:tcBorders>
              <w:top w:val="single" w:sz="6" w:space="0" w:color="000000"/>
              <w:left w:val="nil"/>
              <w:bottom w:val="nil"/>
              <w:right w:val="nil"/>
              <w:tl2br w:val="nil"/>
              <w:tr2bl w:val="nil"/>
            </w:tcBorders>
            <w:shd w:val="clear" w:color="auto" w:fill="FFFF00"/>
            <w:tcMar>
              <w:left w:w="101" w:type="dxa"/>
              <w:right w:w="101" w:type="dxa"/>
            </w:tcMar>
            <w:vAlign w:val="bottom"/>
          </w:tcPr>
          <w:p w14:paraId="4339F9E9" w14:textId="77777777" w:rsidR="003F0EEA" w:rsidRDefault="003F0EEA">
            <w:pPr>
              <w:jc w:val="right"/>
              <w:rPr>
                <w:rFonts w:ascii="Arial" w:eastAsia="Arial" w:hAnsi="Arial" w:cs="Arial"/>
                <w:b/>
                <w:color w:val="000000"/>
                <w:sz w:val="16"/>
                <w:vertAlign w:val="superscript"/>
              </w:rPr>
            </w:pPr>
          </w:p>
        </w:tc>
        <w:tc>
          <w:tcPr>
            <w:tcW w:w="100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2235276E" w14:textId="77777777" w:rsidR="003F0EEA" w:rsidRDefault="003F0EEA">
            <w:pPr>
              <w:jc w:val="right"/>
              <w:rPr>
                <w:rFonts w:ascii="Arial" w:eastAsia="Arial" w:hAnsi="Arial" w:cs="Arial"/>
                <w:b/>
                <w:color w:val="000000"/>
                <w:sz w:val="16"/>
                <w:vertAlign w:val="superscript"/>
              </w:rPr>
            </w:pPr>
          </w:p>
        </w:tc>
        <w:tc>
          <w:tcPr>
            <w:tcW w:w="1005" w:type="dxa"/>
            <w:tcBorders>
              <w:top w:val="single" w:sz="6" w:space="0" w:color="000000"/>
              <w:left w:val="nil"/>
              <w:bottom w:val="nil"/>
              <w:right w:val="nil"/>
              <w:tl2br w:val="nil"/>
              <w:tr2bl w:val="nil"/>
            </w:tcBorders>
            <w:shd w:val="clear" w:color="auto" w:fill="FFFF00"/>
            <w:tcMar>
              <w:left w:w="101" w:type="dxa"/>
              <w:right w:w="101" w:type="dxa"/>
            </w:tcMar>
            <w:vAlign w:val="bottom"/>
          </w:tcPr>
          <w:p w14:paraId="6C365AE2" w14:textId="77777777" w:rsidR="003F0EEA" w:rsidRDefault="003F0EEA">
            <w:pPr>
              <w:jc w:val="right"/>
              <w:rPr>
                <w:rFonts w:ascii="Arial" w:eastAsia="Arial" w:hAnsi="Arial" w:cs="Arial"/>
                <w:b/>
                <w:color w:val="000000"/>
                <w:sz w:val="16"/>
                <w:vertAlign w:val="superscript"/>
              </w:rPr>
            </w:pPr>
          </w:p>
        </w:tc>
      </w:tr>
      <w:tr w:rsidR="00FB7D0B" w14:paraId="43668885" w14:textId="77777777" w:rsidTr="00FB7D0B">
        <w:trPr>
          <w:trHeight w:val="825"/>
        </w:trPr>
        <w:tc>
          <w:tcPr>
            <w:tcW w:w="2460" w:type="dxa"/>
            <w:gridSpan w:val="2"/>
            <w:tcBorders>
              <w:top w:val="nil"/>
              <w:left w:val="nil"/>
              <w:bottom w:val="nil"/>
              <w:right w:val="nil"/>
              <w:tl2br w:val="nil"/>
              <w:tr2bl w:val="nil"/>
            </w:tcBorders>
            <w:shd w:val="clear" w:color="auto" w:fill="FFFFFF"/>
            <w:tcMar>
              <w:left w:w="101" w:type="dxa"/>
              <w:right w:w="101" w:type="dxa"/>
            </w:tcMar>
            <w:vAlign w:val="bottom"/>
          </w:tcPr>
          <w:p w14:paraId="2C7CBA28" w14:textId="77777777" w:rsidR="003F0EEA" w:rsidRDefault="00FB7D0B">
            <w:pPr>
              <w:rPr>
                <w:rFonts w:ascii="Arial" w:eastAsia="Arial" w:hAnsi="Arial" w:cs="Arial"/>
                <w:b/>
                <w:color w:val="000000"/>
                <w:sz w:val="16"/>
                <w:vertAlign w:val="superscript"/>
              </w:rPr>
            </w:pPr>
            <w:r>
              <w:rPr>
                <w:rFonts w:ascii="Arial" w:eastAsia="Arial" w:hAnsi="Arial" w:cs="Arial"/>
                <w:color w:val="000000"/>
                <w:sz w:val="16"/>
              </w:rPr>
              <w:t>Smaller Government - Defence Service Homes Insurance Scheme - independent scoping study</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47FE6114" w14:textId="77777777" w:rsidR="003F0EEA" w:rsidRDefault="00FB7D0B">
            <w:pPr>
              <w:jc w:val="center"/>
              <w:rPr>
                <w:rFonts w:ascii="Arial" w:eastAsia="Arial" w:hAnsi="Arial" w:cs="Arial"/>
                <w:color w:val="000000"/>
                <w:sz w:val="16"/>
                <w:vertAlign w:val="superscript"/>
              </w:rPr>
            </w:pPr>
            <w:r>
              <w:rPr>
                <w:rFonts w:ascii="Arial" w:eastAsia="Arial" w:hAnsi="Arial" w:cs="Arial"/>
                <w:color w:val="000000"/>
                <w:sz w:val="16"/>
              </w:rPr>
              <w:t>1.4 </w:t>
            </w:r>
          </w:p>
        </w:tc>
        <w:tc>
          <w:tcPr>
            <w:tcW w:w="1005" w:type="dxa"/>
            <w:tcBorders>
              <w:top w:val="nil"/>
              <w:left w:val="nil"/>
              <w:bottom w:val="nil"/>
              <w:right w:val="nil"/>
              <w:tl2br w:val="nil"/>
              <w:tr2bl w:val="nil"/>
            </w:tcBorders>
            <w:shd w:val="clear" w:color="auto" w:fill="FFFF00"/>
            <w:tcMar>
              <w:left w:w="101" w:type="dxa"/>
              <w:right w:w="101" w:type="dxa"/>
            </w:tcMar>
            <w:vAlign w:val="bottom"/>
          </w:tcPr>
          <w:p w14:paraId="04DF2039" w14:textId="77777777" w:rsidR="003F0EEA" w:rsidRDefault="003F0EEA">
            <w:pPr>
              <w:jc w:val="right"/>
              <w:rPr>
                <w:rFonts w:ascii="Arial" w:eastAsia="Arial" w:hAnsi="Arial" w:cs="Arial"/>
                <w:color w:val="000000"/>
                <w:sz w:val="16"/>
              </w:rPr>
            </w:pPr>
          </w:p>
        </w:tc>
        <w:tc>
          <w:tcPr>
            <w:tcW w:w="1005" w:type="dxa"/>
            <w:tcBorders>
              <w:top w:val="nil"/>
              <w:left w:val="nil"/>
              <w:bottom w:val="nil"/>
              <w:right w:val="nil"/>
              <w:tl2br w:val="nil"/>
              <w:tr2bl w:val="nil"/>
            </w:tcBorders>
            <w:shd w:val="clear" w:color="auto" w:fill="FFFFFF"/>
            <w:tcMar>
              <w:left w:w="101" w:type="dxa"/>
              <w:right w:w="101" w:type="dxa"/>
            </w:tcMar>
            <w:vAlign w:val="bottom"/>
          </w:tcPr>
          <w:p w14:paraId="7EE3EA05" w14:textId="77777777" w:rsidR="003F0EEA" w:rsidRDefault="003F0EEA">
            <w:pPr>
              <w:jc w:val="right"/>
              <w:rPr>
                <w:rFonts w:ascii="Arial" w:eastAsia="Arial" w:hAnsi="Arial" w:cs="Arial"/>
                <w:color w:val="000000"/>
                <w:sz w:val="16"/>
              </w:rPr>
            </w:pPr>
          </w:p>
        </w:tc>
        <w:tc>
          <w:tcPr>
            <w:tcW w:w="1005" w:type="dxa"/>
            <w:tcBorders>
              <w:top w:val="nil"/>
              <w:left w:val="nil"/>
              <w:bottom w:val="nil"/>
              <w:right w:val="nil"/>
              <w:tl2br w:val="nil"/>
              <w:tr2bl w:val="nil"/>
            </w:tcBorders>
            <w:shd w:val="clear" w:color="auto" w:fill="FFFF00"/>
            <w:tcMar>
              <w:left w:w="101" w:type="dxa"/>
              <w:right w:w="101" w:type="dxa"/>
            </w:tcMar>
            <w:vAlign w:val="bottom"/>
          </w:tcPr>
          <w:p w14:paraId="0895AE51" w14:textId="77777777" w:rsidR="003F0EEA" w:rsidRDefault="003F0EEA">
            <w:pPr>
              <w:jc w:val="right"/>
              <w:rPr>
                <w:rFonts w:ascii="Arial" w:eastAsia="Arial" w:hAnsi="Arial" w:cs="Arial"/>
                <w:color w:val="000000"/>
                <w:sz w:val="16"/>
              </w:rPr>
            </w:pPr>
          </w:p>
        </w:tc>
        <w:tc>
          <w:tcPr>
            <w:tcW w:w="1005" w:type="dxa"/>
            <w:tcBorders>
              <w:top w:val="nil"/>
              <w:left w:val="nil"/>
              <w:bottom w:val="nil"/>
              <w:right w:val="nil"/>
              <w:tl2br w:val="nil"/>
              <w:tr2bl w:val="nil"/>
            </w:tcBorders>
            <w:shd w:val="clear" w:color="auto" w:fill="FFFFFF"/>
            <w:tcMar>
              <w:left w:w="101" w:type="dxa"/>
              <w:right w:w="101" w:type="dxa"/>
            </w:tcMar>
            <w:vAlign w:val="bottom"/>
          </w:tcPr>
          <w:p w14:paraId="714D0D80" w14:textId="77777777" w:rsidR="003F0EEA" w:rsidRDefault="003F0EEA">
            <w:pPr>
              <w:jc w:val="right"/>
              <w:rPr>
                <w:rFonts w:ascii="Arial" w:eastAsia="Arial" w:hAnsi="Arial" w:cs="Arial"/>
                <w:color w:val="000000"/>
                <w:sz w:val="16"/>
              </w:rPr>
            </w:pPr>
          </w:p>
        </w:tc>
        <w:tc>
          <w:tcPr>
            <w:tcW w:w="1005" w:type="dxa"/>
            <w:tcBorders>
              <w:top w:val="nil"/>
              <w:left w:val="nil"/>
              <w:bottom w:val="nil"/>
              <w:right w:val="nil"/>
              <w:tl2br w:val="nil"/>
              <w:tr2bl w:val="nil"/>
            </w:tcBorders>
            <w:shd w:val="clear" w:color="auto" w:fill="FFFF00"/>
            <w:tcMar>
              <w:left w:w="101" w:type="dxa"/>
              <w:right w:w="101" w:type="dxa"/>
            </w:tcMar>
            <w:vAlign w:val="bottom"/>
          </w:tcPr>
          <w:p w14:paraId="340BCA8E" w14:textId="77777777" w:rsidR="003F0EEA" w:rsidRDefault="003F0EEA">
            <w:pPr>
              <w:jc w:val="right"/>
              <w:rPr>
                <w:rFonts w:ascii="Arial" w:eastAsia="Arial" w:hAnsi="Arial" w:cs="Arial"/>
                <w:color w:val="000000"/>
                <w:sz w:val="16"/>
              </w:rPr>
            </w:pPr>
          </w:p>
        </w:tc>
      </w:tr>
      <w:tr w:rsidR="00724034" w14:paraId="78068939" w14:textId="77777777">
        <w:trPr>
          <w:trHeight w:val="225"/>
        </w:trPr>
        <w:tc>
          <w:tcPr>
            <w:tcW w:w="180" w:type="dxa"/>
            <w:tcBorders>
              <w:top w:val="nil"/>
              <w:left w:val="nil"/>
              <w:bottom w:val="nil"/>
              <w:right w:val="nil"/>
              <w:tl2br w:val="nil"/>
              <w:tr2bl w:val="nil"/>
            </w:tcBorders>
            <w:shd w:val="clear" w:color="auto" w:fill="FFFFFF"/>
            <w:tcMar>
              <w:left w:w="101" w:type="dxa"/>
              <w:right w:w="101" w:type="dxa"/>
            </w:tcMar>
            <w:vAlign w:val="bottom"/>
          </w:tcPr>
          <w:p w14:paraId="4F90357A" w14:textId="77777777" w:rsidR="003F0EEA" w:rsidRDefault="003F0EEA">
            <w:pPr>
              <w:rPr>
                <w:rFonts w:ascii="Arial" w:eastAsia="Arial" w:hAnsi="Arial" w:cs="Arial"/>
                <w:color w:val="000000"/>
                <w:sz w:val="16"/>
              </w:rPr>
            </w:pPr>
          </w:p>
        </w:tc>
        <w:tc>
          <w:tcPr>
            <w:tcW w:w="2280" w:type="dxa"/>
            <w:tcBorders>
              <w:top w:val="nil"/>
              <w:left w:val="nil"/>
              <w:bottom w:val="nil"/>
              <w:right w:val="nil"/>
              <w:tl2br w:val="nil"/>
              <w:tr2bl w:val="nil"/>
            </w:tcBorders>
            <w:shd w:val="clear" w:color="auto" w:fill="FFFFFF"/>
            <w:tcMar>
              <w:left w:w="101" w:type="dxa"/>
              <w:right w:w="101" w:type="dxa"/>
            </w:tcMar>
            <w:vAlign w:val="bottom"/>
          </w:tcPr>
          <w:p w14:paraId="6A605705" w14:textId="77777777" w:rsidR="003F0EEA" w:rsidRDefault="00FB7D0B">
            <w:pPr>
              <w:rPr>
                <w:rFonts w:ascii="Arial" w:eastAsia="Arial" w:hAnsi="Arial" w:cs="Arial"/>
                <w:color w:val="000000"/>
                <w:sz w:val="16"/>
              </w:rPr>
            </w:pPr>
            <w:r>
              <w:rPr>
                <w:rFonts w:ascii="Arial" w:eastAsia="Arial" w:hAnsi="Arial" w:cs="Arial"/>
                <w:color w:val="000000"/>
                <w:sz w:val="16"/>
              </w:rPr>
              <w:t>Administered expenses</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0CF74285" w14:textId="77777777" w:rsidR="003F0EEA" w:rsidRDefault="003F0EEA">
            <w:pPr>
              <w:jc w:val="center"/>
              <w:rPr>
                <w:rFonts w:ascii="Arial" w:eastAsia="Arial" w:hAnsi="Arial" w:cs="Arial"/>
                <w:color w:val="000000"/>
                <w:sz w:val="16"/>
                <w:vertAlign w:val="superscript"/>
              </w:rPr>
            </w:pPr>
          </w:p>
        </w:tc>
        <w:tc>
          <w:tcPr>
            <w:tcW w:w="1005" w:type="dxa"/>
            <w:tcBorders>
              <w:top w:val="nil"/>
              <w:left w:val="nil"/>
              <w:bottom w:val="nil"/>
              <w:right w:val="nil"/>
              <w:tl2br w:val="nil"/>
              <w:tr2bl w:val="nil"/>
            </w:tcBorders>
            <w:shd w:val="clear" w:color="auto" w:fill="FFFF00"/>
            <w:tcMar>
              <w:left w:w="101" w:type="dxa"/>
              <w:right w:w="101" w:type="dxa"/>
            </w:tcMar>
            <w:vAlign w:val="bottom"/>
          </w:tcPr>
          <w:p w14:paraId="04BFAAC8" w14:textId="77777777" w:rsidR="003F0EEA" w:rsidRDefault="00FB7D0B">
            <w:pPr>
              <w:jc w:val="right"/>
              <w:rPr>
                <w:rFonts w:ascii="Arial" w:eastAsia="Arial" w:hAnsi="Arial" w:cs="Arial"/>
                <w:color w:val="000000"/>
                <w:sz w:val="16"/>
                <w:vertAlign w:val="superscript"/>
              </w:rPr>
            </w:pPr>
            <w:r>
              <w:rPr>
                <w:rFonts w:ascii="Arial" w:eastAsia="Arial" w:hAnsi="Arial" w:cs="Arial"/>
                <w:color w:val="000000"/>
                <w:sz w:val="16"/>
              </w:rPr>
              <w:t xml:space="preserve"> - </w:t>
            </w:r>
          </w:p>
        </w:tc>
        <w:tc>
          <w:tcPr>
            <w:tcW w:w="1005" w:type="dxa"/>
            <w:tcBorders>
              <w:top w:val="nil"/>
              <w:left w:val="nil"/>
              <w:bottom w:val="nil"/>
              <w:right w:val="nil"/>
              <w:tl2br w:val="nil"/>
              <w:tr2bl w:val="nil"/>
            </w:tcBorders>
            <w:shd w:val="clear" w:color="auto" w:fill="FFFFFF"/>
            <w:tcMar>
              <w:left w:w="101" w:type="dxa"/>
              <w:right w:w="101" w:type="dxa"/>
            </w:tcMar>
            <w:vAlign w:val="bottom"/>
          </w:tcPr>
          <w:p w14:paraId="4807728D" w14:textId="77777777" w:rsidR="003F0EEA" w:rsidRDefault="00FB7D0B">
            <w:pPr>
              <w:jc w:val="right"/>
              <w:rPr>
                <w:rFonts w:ascii="Arial" w:eastAsia="Arial" w:hAnsi="Arial" w:cs="Arial"/>
                <w:color w:val="000000"/>
                <w:sz w:val="16"/>
              </w:rPr>
            </w:pPr>
            <w:r>
              <w:rPr>
                <w:rFonts w:ascii="Arial" w:eastAsia="Arial" w:hAnsi="Arial" w:cs="Arial"/>
                <w:color w:val="000000"/>
                <w:sz w:val="16"/>
              </w:rPr>
              <w:t xml:space="preserve"> - </w:t>
            </w:r>
          </w:p>
        </w:tc>
        <w:tc>
          <w:tcPr>
            <w:tcW w:w="1005" w:type="dxa"/>
            <w:tcBorders>
              <w:top w:val="nil"/>
              <w:left w:val="nil"/>
              <w:bottom w:val="nil"/>
              <w:right w:val="nil"/>
              <w:tl2br w:val="nil"/>
              <w:tr2bl w:val="nil"/>
            </w:tcBorders>
            <w:shd w:val="clear" w:color="auto" w:fill="FFFF00"/>
            <w:tcMar>
              <w:left w:w="101" w:type="dxa"/>
              <w:right w:w="101" w:type="dxa"/>
            </w:tcMar>
            <w:vAlign w:val="bottom"/>
          </w:tcPr>
          <w:p w14:paraId="60C27864" w14:textId="77777777" w:rsidR="003F0EEA" w:rsidRDefault="00FB7D0B">
            <w:pPr>
              <w:jc w:val="right"/>
              <w:rPr>
                <w:rFonts w:ascii="Arial" w:eastAsia="Arial" w:hAnsi="Arial" w:cs="Arial"/>
                <w:color w:val="000000"/>
                <w:sz w:val="16"/>
              </w:rPr>
            </w:pPr>
            <w:r>
              <w:rPr>
                <w:rFonts w:ascii="Arial" w:eastAsia="Arial" w:hAnsi="Arial" w:cs="Arial"/>
                <w:color w:val="000000"/>
                <w:sz w:val="16"/>
              </w:rPr>
              <w:t xml:space="preserve"> - </w:t>
            </w:r>
          </w:p>
        </w:tc>
        <w:tc>
          <w:tcPr>
            <w:tcW w:w="1005" w:type="dxa"/>
            <w:tcBorders>
              <w:top w:val="nil"/>
              <w:left w:val="nil"/>
              <w:bottom w:val="nil"/>
              <w:right w:val="nil"/>
              <w:tl2br w:val="nil"/>
              <w:tr2bl w:val="nil"/>
            </w:tcBorders>
            <w:shd w:val="clear" w:color="auto" w:fill="FFFFFF"/>
            <w:tcMar>
              <w:left w:w="101" w:type="dxa"/>
              <w:right w:w="101" w:type="dxa"/>
            </w:tcMar>
            <w:vAlign w:val="bottom"/>
          </w:tcPr>
          <w:p w14:paraId="1F91871F" w14:textId="77777777" w:rsidR="003F0EEA" w:rsidRDefault="00FB7D0B">
            <w:pPr>
              <w:jc w:val="right"/>
              <w:rPr>
                <w:rFonts w:ascii="Arial" w:eastAsia="Arial" w:hAnsi="Arial" w:cs="Arial"/>
                <w:color w:val="000000"/>
                <w:sz w:val="16"/>
              </w:rPr>
            </w:pPr>
            <w:r>
              <w:rPr>
                <w:rFonts w:ascii="Arial" w:eastAsia="Arial" w:hAnsi="Arial" w:cs="Arial"/>
                <w:color w:val="000000"/>
                <w:sz w:val="16"/>
              </w:rPr>
              <w:t xml:space="preserve"> - </w:t>
            </w:r>
          </w:p>
        </w:tc>
        <w:tc>
          <w:tcPr>
            <w:tcW w:w="1005" w:type="dxa"/>
            <w:tcBorders>
              <w:top w:val="nil"/>
              <w:left w:val="nil"/>
              <w:bottom w:val="nil"/>
              <w:right w:val="nil"/>
              <w:tl2br w:val="nil"/>
              <w:tr2bl w:val="nil"/>
            </w:tcBorders>
            <w:shd w:val="clear" w:color="auto" w:fill="FFFF00"/>
            <w:tcMar>
              <w:left w:w="101" w:type="dxa"/>
              <w:right w:w="101" w:type="dxa"/>
            </w:tcMar>
            <w:vAlign w:val="bottom"/>
          </w:tcPr>
          <w:p w14:paraId="2CF96E3B" w14:textId="77777777" w:rsidR="003F0EEA" w:rsidRDefault="00FB7D0B">
            <w:pPr>
              <w:jc w:val="right"/>
              <w:rPr>
                <w:rFonts w:ascii="Arial" w:eastAsia="Arial" w:hAnsi="Arial" w:cs="Arial"/>
                <w:color w:val="000000"/>
                <w:sz w:val="16"/>
              </w:rPr>
            </w:pPr>
            <w:r>
              <w:rPr>
                <w:rFonts w:ascii="Arial" w:eastAsia="Arial" w:hAnsi="Arial" w:cs="Arial"/>
                <w:color w:val="000000"/>
                <w:sz w:val="16"/>
              </w:rPr>
              <w:t xml:space="preserve"> - </w:t>
            </w:r>
          </w:p>
        </w:tc>
      </w:tr>
      <w:tr w:rsidR="00724034" w14:paraId="0BD4FE70" w14:textId="77777777">
        <w:trPr>
          <w:trHeight w:val="225"/>
        </w:trPr>
        <w:tc>
          <w:tcPr>
            <w:tcW w:w="180" w:type="dxa"/>
            <w:tcBorders>
              <w:top w:val="nil"/>
              <w:left w:val="nil"/>
              <w:bottom w:val="nil"/>
              <w:right w:val="nil"/>
              <w:tl2br w:val="nil"/>
              <w:tr2bl w:val="nil"/>
            </w:tcBorders>
            <w:shd w:val="clear" w:color="auto" w:fill="FFFFFF"/>
            <w:tcMar>
              <w:left w:w="101" w:type="dxa"/>
              <w:right w:w="101" w:type="dxa"/>
            </w:tcMar>
            <w:vAlign w:val="bottom"/>
          </w:tcPr>
          <w:p w14:paraId="2DCB4DF6" w14:textId="77777777" w:rsidR="003F0EEA" w:rsidRDefault="003F0EEA">
            <w:pPr>
              <w:rPr>
                <w:rFonts w:ascii="Arial" w:eastAsia="Arial" w:hAnsi="Arial" w:cs="Arial"/>
                <w:color w:val="000000"/>
                <w:sz w:val="16"/>
              </w:rPr>
            </w:pPr>
          </w:p>
        </w:tc>
        <w:tc>
          <w:tcPr>
            <w:tcW w:w="2280" w:type="dxa"/>
            <w:tcBorders>
              <w:top w:val="nil"/>
              <w:left w:val="nil"/>
              <w:bottom w:val="nil"/>
              <w:right w:val="nil"/>
              <w:tl2br w:val="nil"/>
              <w:tr2bl w:val="nil"/>
            </w:tcBorders>
            <w:shd w:val="clear" w:color="auto" w:fill="FFFFFF"/>
            <w:tcMar>
              <w:left w:w="101" w:type="dxa"/>
              <w:right w:w="101" w:type="dxa"/>
            </w:tcMar>
            <w:vAlign w:val="bottom"/>
          </w:tcPr>
          <w:p w14:paraId="6B7AB2C0" w14:textId="77777777" w:rsidR="003F0EEA" w:rsidRDefault="00FB7D0B">
            <w:pPr>
              <w:rPr>
                <w:rFonts w:ascii="Arial" w:eastAsia="Arial" w:hAnsi="Arial" w:cs="Arial"/>
                <w:color w:val="000000"/>
                <w:sz w:val="16"/>
              </w:rPr>
            </w:pPr>
            <w:r>
              <w:rPr>
                <w:rFonts w:ascii="Arial" w:eastAsia="Arial" w:hAnsi="Arial" w:cs="Arial"/>
                <w:color w:val="000000"/>
                <w:sz w:val="16"/>
              </w:rPr>
              <w:t>Departmental expenses</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5D286E87" w14:textId="77777777" w:rsidR="003F0EEA" w:rsidRDefault="003F0EEA">
            <w:pPr>
              <w:jc w:val="center"/>
              <w:rPr>
                <w:rFonts w:ascii="Arial" w:eastAsia="Arial" w:hAnsi="Arial" w:cs="Arial"/>
                <w:color w:val="000000"/>
                <w:sz w:val="16"/>
                <w:vertAlign w:val="superscript"/>
              </w:rPr>
            </w:pPr>
          </w:p>
        </w:tc>
        <w:tc>
          <w:tcPr>
            <w:tcW w:w="1005" w:type="dxa"/>
            <w:tcBorders>
              <w:top w:val="nil"/>
              <w:left w:val="nil"/>
              <w:bottom w:val="nil"/>
              <w:right w:val="nil"/>
              <w:tl2br w:val="nil"/>
              <w:tr2bl w:val="nil"/>
            </w:tcBorders>
            <w:shd w:val="clear" w:color="auto" w:fill="FFFF00"/>
            <w:tcMar>
              <w:left w:w="101" w:type="dxa"/>
              <w:right w:w="101" w:type="dxa"/>
            </w:tcMar>
            <w:vAlign w:val="bottom"/>
          </w:tcPr>
          <w:p w14:paraId="732517C4" w14:textId="77777777" w:rsidR="003F0EEA" w:rsidRDefault="00FB7D0B">
            <w:pPr>
              <w:jc w:val="right"/>
              <w:rPr>
                <w:rFonts w:ascii="Arial" w:eastAsia="Arial" w:hAnsi="Arial" w:cs="Arial"/>
                <w:color w:val="000000"/>
                <w:sz w:val="16"/>
                <w:vertAlign w:val="superscript"/>
              </w:rPr>
            </w:pPr>
            <w:r>
              <w:rPr>
                <w:rFonts w:ascii="Arial" w:eastAsia="Arial" w:hAnsi="Arial" w:cs="Arial"/>
                <w:color w:val="000000"/>
                <w:sz w:val="16"/>
              </w:rPr>
              <w:t xml:space="preserve"> - </w:t>
            </w:r>
          </w:p>
        </w:tc>
        <w:tc>
          <w:tcPr>
            <w:tcW w:w="1005" w:type="dxa"/>
            <w:tcBorders>
              <w:top w:val="nil"/>
              <w:left w:val="nil"/>
              <w:bottom w:val="nil"/>
              <w:right w:val="nil"/>
              <w:tl2br w:val="nil"/>
              <w:tr2bl w:val="nil"/>
            </w:tcBorders>
            <w:shd w:val="clear" w:color="auto" w:fill="FFFFFF"/>
            <w:tcMar>
              <w:left w:w="101" w:type="dxa"/>
              <w:right w:w="101" w:type="dxa"/>
            </w:tcMar>
            <w:vAlign w:val="bottom"/>
          </w:tcPr>
          <w:p w14:paraId="710DBB87" w14:textId="77777777" w:rsidR="003F0EEA" w:rsidRDefault="00FB7D0B">
            <w:pPr>
              <w:jc w:val="right"/>
              <w:rPr>
                <w:rFonts w:ascii="Arial" w:eastAsia="Arial" w:hAnsi="Arial" w:cs="Arial"/>
                <w:color w:val="000000"/>
                <w:sz w:val="16"/>
              </w:rPr>
            </w:pPr>
            <w:r>
              <w:rPr>
                <w:rFonts w:ascii="Arial" w:eastAsia="Arial" w:hAnsi="Arial" w:cs="Arial"/>
                <w:color w:val="000000"/>
                <w:sz w:val="16"/>
              </w:rPr>
              <w:t>200  </w:t>
            </w:r>
          </w:p>
        </w:tc>
        <w:tc>
          <w:tcPr>
            <w:tcW w:w="1005" w:type="dxa"/>
            <w:tcBorders>
              <w:top w:val="nil"/>
              <w:left w:val="nil"/>
              <w:bottom w:val="nil"/>
              <w:right w:val="nil"/>
              <w:tl2br w:val="nil"/>
              <w:tr2bl w:val="nil"/>
            </w:tcBorders>
            <w:shd w:val="clear" w:color="auto" w:fill="FFFF00"/>
            <w:tcMar>
              <w:left w:w="101" w:type="dxa"/>
              <w:right w:w="101" w:type="dxa"/>
            </w:tcMar>
            <w:vAlign w:val="bottom"/>
          </w:tcPr>
          <w:p w14:paraId="36E017AA" w14:textId="77777777" w:rsidR="003F0EEA" w:rsidRDefault="00FB7D0B">
            <w:pPr>
              <w:jc w:val="right"/>
              <w:rPr>
                <w:rFonts w:ascii="Arial" w:eastAsia="Arial" w:hAnsi="Arial" w:cs="Arial"/>
                <w:color w:val="000000"/>
                <w:sz w:val="16"/>
              </w:rPr>
            </w:pPr>
            <w:r>
              <w:rPr>
                <w:rFonts w:ascii="Arial" w:eastAsia="Arial" w:hAnsi="Arial" w:cs="Arial"/>
                <w:color w:val="000000"/>
                <w:sz w:val="16"/>
              </w:rPr>
              <w:t xml:space="preserve"> - </w:t>
            </w:r>
          </w:p>
        </w:tc>
        <w:tc>
          <w:tcPr>
            <w:tcW w:w="1005" w:type="dxa"/>
            <w:tcBorders>
              <w:top w:val="nil"/>
              <w:left w:val="nil"/>
              <w:bottom w:val="nil"/>
              <w:right w:val="nil"/>
              <w:tl2br w:val="nil"/>
              <w:tr2bl w:val="nil"/>
            </w:tcBorders>
            <w:shd w:val="clear" w:color="auto" w:fill="FFFFFF"/>
            <w:tcMar>
              <w:left w:w="101" w:type="dxa"/>
              <w:right w:w="101" w:type="dxa"/>
            </w:tcMar>
            <w:vAlign w:val="bottom"/>
          </w:tcPr>
          <w:p w14:paraId="4DF8A4B5" w14:textId="77777777" w:rsidR="003F0EEA" w:rsidRDefault="00FB7D0B">
            <w:pPr>
              <w:jc w:val="right"/>
              <w:rPr>
                <w:rFonts w:ascii="Arial" w:eastAsia="Arial" w:hAnsi="Arial" w:cs="Arial"/>
                <w:color w:val="000000"/>
                <w:sz w:val="16"/>
              </w:rPr>
            </w:pPr>
            <w:r>
              <w:rPr>
                <w:rFonts w:ascii="Arial" w:eastAsia="Arial" w:hAnsi="Arial" w:cs="Arial"/>
                <w:color w:val="000000"/>
                <w:sz w:val="16"/>
              </w:rPr>
              <w:t xml:space="preserve"> - </w:t>
            </w:r>
          </w:p>
        </w:tc>
        <w:tc>
          <w:tcPr>
            <w:tcW w:w="1005" w:type="dxa"/>
            <w:tcBorders>
              <w:top w:val="nil"/>
              <w:left w:val="nil"/>
              <w:bottom w:val="nil"/>
              <w:right w:val="nil"/>
              <w:tl2br w:val="nil"/>
              <w:tr2bl w:val="nil"/>
            </w:tcBorders>
            <w:shd w:val="clear" w:color="auto" w:fill="FFFF00"/>
            <w:tcMar>
              <w:left w:w="101" w:type="dxa"/>
              <w:right w:w="101" w:type="dxa"/>
            </w:tcMar>
            <w:vAlign w:val="bottom"/>
          </w:tcPr>
          <w:p w14:paraId="56D38653" w14:textId="77777777" w:rsidR="003F0EEA" w:rsidRDefault="00FB7D0B">
            <w:pPr>
              <w:jc w:val="right"/>
              <w:rPr>
                <w:rFonts w:ascii="Arial" w:eastAsia="Arial" w:hAnsi="Arial" w:cs="Arial"/>
                <w:color w:val="000000"/>
                <w:sz w:val="16"/>
              </w:rPr>
            </w:pPr>
            <w:r>
              <w:rPr>
                <w:rFonts w:ascii="Arial" w:eastAsia="Arial" w:hAnsi="Arial" w:cs="Arial"/>
                <w:color w:val="000000"/>
                <w:sz w:val="16"/>
              </w:rPr>
              <w:t xml:space="preserve"> - </w:t>
            </w:r>
          </w:p>
        </w:tc>
      </w:tr>
      <w:tr w:rsidR="00FB7D0B" w14:paraId="3C2EB627" w14:textId="77777777" w:rsidTr="00FB7D0B">
        <w:trPr>
          <w:trHeight w:val="225"/>
        </w:trPr>
        <w:tc>
          <w:tcPr>
            <w:tcW w:w="2460" w:type="dxa"/>
            <w:gridSpan w:val="2"/>
            <w:tcBorders>
              <w:top w:val="nil"/>
              <w:left w:val="nil"/>
              <w:bottom w:val="nil"/>
              <w:right w:val="nil"/>
              <w:tl2br w:val="nil"/>
              <w:tr2bl w:val="nil"/>
            </w:tcBorders>
            <w:shd w:val="clear" w:color="auto" w:fill="FFFFFF"/>
            <w:tcMar>
              <w:left w:w="101" w:type="dxa"/>
              <w:right w:w="101" w:type="dxa"/>
            </w:tcMar>
            <w:vAlign w:val="bottom"/>
          </w:tcPr>
          <w:p w14:paraId="0531D1D4" w14:textId="77777777" w:rsidR="003F0EEA" w:rsidRDefault="00FB7D0B">
            <w:pPr>
              <w:rPr>
                <w:rFonts w:ascii="Arial" w:eastAsia="Arial" w:hAnsi="Arial" w:cs="Arial"/>
                <w:color w:val="000000"/>
                <w:sz w:val="16"/>
              </w:rPr>
            </w:pPr>
            <w:r>
              <w:rPr>
                <w:rFonts w:ascii="Arial" w:eastAsia="Arial" w:hAnsi="Arial" w:cs="Arial"/>
                <w:b/>
                <w:color w:val="000000"/>
                <w:sz w:val="16"/>
              </w:rPr>
              <w:t xml:space="preserve">Total </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634B5BE6" w14:textId="77777777" w:rsidR="003F0EEA" w:rsidRDefault="003F0EEA">
            <w:pPr>
              <w:jc w:val="center"/>
              <w:rPr>
                <w:rFonts w:ascii="Arial" w:eastAsia="Arial" w:hAnsi="Arial" w:cs="Arial"/>
                <w:b/>
                <w:color w:val="000000"/>
                <w:sz w:val="16"/>
                <w:vertAlign w:val="superscript"/>
              </w:rPr>
            </w:pPr>
          </w:p>
        </w:tc>
        <w:tc>
          <w:tcPr>
            <w:tcW w:w="1005" w:type="dxa"/>
            <w:tcBorders>
              <w:top w:val="nil"/>
              <w:left w:val="nil"/>
              <w:bottom w:val="single" w:sz="6" w:space="0" w:color="000000"/>
              <w:right w:val="nil"/>
              <w:tl2br w:val="nil"/>
              <w:tr2bl w:val="nil"/>
            </w:tcBorders>
            <w:shd w:val="clear" w:color="auto" w:fill="FFFF00"/>
            <w:tcMar>
              <w:left w:w="101" w:type="dxa"/>
              <w:right w:w="101" w:type="dxa"/>
            </w:tcMar>
            <w:vAlign w:val="bottom"/>
          </w:tcPr>
          <w:p w14:paraId="5D1174FF" w14:textId="77777777" w:rsidR="003F0EEA" w:rsidRDefault="00FB7D0B">
            <w:pPr>
              <w:jc w:val="right"/>
              <w:rPr>
                <w:rFonts w:ascii="Arial" w:eastAsia="Arial" w:hAnsi="Arial" w:cs="Arial"/>
                <w:color w:val="000000"/>
                <w:sz w:val="16"/>
                <w:vertAlign w:val="superscript"/>
              </w:rPr>
            </w:pPr>
            <w:r>
              <w:rPr>
                <w:rFonts w:ascii="Arial" w:eastAsia="Arial" w:hAnsi="Arial" w:cs="Arial"/>
                <w:b/>
                <w:color w:val="000000"/>
                <w:sz w:val="16"/>
              </w:rPr>
              <w:t xml:space="preserve"> - </w:t>
            </w:r>
          </w:p>
        </w:tc>
        <w:tc>
          <w:tcPr>
            <w:tcW w:w="1005"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01C250CE" w14:textId="77777777" w:rsidR="003F0EEA" w:rsidRDefault="00FB7D0B">
            <w:pPr>
              <w:jc w:val="right"/>
              <w:rPr>
                <w:rFonts w:ascii="Arial" w:eastAsia="Arial" w:hAnsi="Arial" w:cs="Arial"/>
                <w:b/>
                <w:color w:val="000000"/>
                <w:sz w:val="16"/>
              </w:rPr>
            </w:pPr>
            <w:r>
              <w:rPr>
                <w:rFonts w:ascii="Arial" w:eastAsia="Arial" w:hAnsi="Arial" w:cs="Arial"/>
                <w:b/>
                <w:color w:val="000000"/>
                <w:sz w:val="16"/>
              </w:rPr>
              <w:t>200  </w:t>
            </w:r>
          </w:p>
        </w:tc>
        <w:tc>
          <w:tcPr>
            <w:tcW w:w="1005" w:type="dxa"/>
            <w:tcBorders>
              <w:top w:val="nil"/>
              <w:left w:val="nil"/>
              <w:bottom w:val="single" w:sz="6" w:space="0" w:color="000000"/>
              <w:right w:val="nil"/>
              <w:tl2br w:val="nil"/>
              <w:tr2bl w:val="nil"/>
            </w:tcBorders>
            <w:shd w:val="clear" w:color="auto" w:fill="FFFF00"/>
            <w:tcMar>
              <w:left w:w="101" w:type="dxa"/>
              <w:right w:w="101" w:type="dxa"/>
            </w:tcMar>
            <w:vAlign w:val="bottom"/>
          </w:tcPr>
          <w:p w14:paraId="16A28D1C" w14:textId="77777777" w:rsidR="003F0EEA" w:rsidRDefault="00FB7D0B">
            <w:pPr>
              <w:jc w:val="right"/>
              <w:rPr>
                <w:rFonts w:ascii="Arial" w:eastAsia="Arial" w:hAnsi="Arial" w:cs="Arial"/>
                <w:b/>
                <w:color w:val="000000"/>
                <w:sz w:val="16"/>
              </w:rPr>
            </w:pPr>
            <w:r>
              <w:rPr>
                <w:rFonts w:ascii="Arial" w:eastAsia="Arial" w:hAnsi="Arial" w:cs="Arial"/>
                <w:b/>
                <w:color w:val="000000"/>
                <w:sz w:val="16"/>
              </w:rPr>
              <w:t xml:space="preserve"> - </w:t>
            </w:r>
          </w:p>
        </w:tc>
        <w:tc>
          <w:tcPr>
            <w:tcW w:w="1005"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750C2D55" w14:textId="77777777" w:rsidR="003F0EEA" w:rsidRDefault="00FB7D0B">
            <w:pPr>
              <w:jc w:val="right"/>
              <w:rPr>
                <w:rFonts w:ascii="Arial" w:eastAsia="Arial" w:hAnsi="Arial" w:cs="Arial"/>
                <w:b/>
                <w:color w:val="000000"/>
                <w:sz w:val="16"/>
              </w:rPr>
            </w:pPr>
            <w:r>
              <w:rPr>
                <w:rFonts w:ascii="Arial" w:eastAsia="Arial" w:hAnsi="Arial" w:cs="Arial"/>
                <w:b/>
                <w:color w:val="000000"/>
                <w:sz w:val="16"/>
              </w:rPr>
              <w:t xml:space="preserve"> - </w:t>
            </w:r>
          </w:p>
        </w:tc>
        <w:tc>
          <w:tcPr>
            <w:tcW w:w="1005" w:type="dxa"/>
            <w:tcBorders>
              <w:top w:val="nil"/>
              <w:left w:val="nil"/>
              <w:bottom w:val="single" w:sz="6" w:space="0" w:color="000000"/>
              <w:right w:val="nil"/>
              <w:tl2br w:val="nil"/>
              <w:tr2bl w:val="nil"/>
            </w:tcBorders>
            <w:shd w:val="clear" w:color="auto" w:fill="FFFF00"/>
            <w:tcMar>
              <w:left w:w="101" w:type="dxa"/>
              <w:right w:w="101" w:type="dxa"/>
            </w:tcMar>
            <w:vAlign w:val="bottom"/>
          </w:tcPr>
          <w:p w14:paraId="6F3415A1" w14:textId="77777777" w:rsidR="003F0EEA" w:rsidRDefault="00FB7D0B">
            <w:pPr>
              <w:jc w:val="right"/>
              <w:rPr>
                <w:rFonts w:ascii="Arial" w:eastAsia="Arial" w:hAnsi="Arial" w:cs="Arial"/>
                <w:b/>
                <w:color w:val="000000"/>
                <w:sz w:val="16"/>
              </w:rPr>
            </w:pPr>
            <w:r>
              <w:rPr>
                <w:rFonts w:ascii="Arial" w:eastAsia="Arial" w:hAnsi="Arial" w:cs="Arial"/>
                <w:b/>
                <w:color w:val="000000"/>
                <w:sz w:val="16"/>
              </w:rPr>
              <w:t xml:space="preserve"> - </w:t>
            </w:r>
          </w:p>
        </w:tc>
      </w:tr>
      <w:tr w:rsidR="00724034" w14:paraId="44444714" w14:textId="77777777">
        <w:trPr>
          <w:trHeight w:val="225"/>
        </w:trPr>
        <w:tc>
          <w:tcPr>
            <w:tcW w:w="180" w:type="dxa"/>
            <w:tcBorders>
              <w:top w:val="nil"/>
              <w:left w:val="nil"/>
              <w:bottom w:val="nil"/>
              <w:right w:val="nil"/>
              <w:tl2br w:val="nil"/>
              <w:tr2bl w:val="nil"/>
            </w:tcBorders>
            <w:shd w:val="clear" w:color="auto" w:fill="FFFFFF"/>
            <w:tcMar>
              <w:left w:w="101" w:type="dxa"/>
              <w:right w:w="101" w:type="dxa"/>
            </w:tcMar>
            <w:vAlign w:val="bottom"/>
          </w:tcPr>
          <w:p w14:paraId="670EC8F6" w14:textId="77777777" w:rsidR="003F0EEA" w:rsidRDefault="003F0EEA">
            <w:pPr>
              <w:rPr>
                <w:rFonts w:ascii="Arial" w:eastAsia="Arial" w:hAnsi="Arial" w:cs="Arial"/>
                <w:b/>
                <w:color w:val="000000"/>
                <w:sz w:val="16"/>
              </w:rPr>
            </w:pPr>
          </w:p>
        </w:tc>
        <w:tc>
          <w:tcPr>
            <w:tcW w:w="2280" w:type="dxa"/>
            <w:tcBorders>
              <w:top w:val="nil"/>
              <w:left w:val="nil"/>
              <w:bottom w:val="nil"/>
              <w:right w:val="nil"/>
              <w:tl2br w:val="nil"/>
              <w:tr2bl w:val="nil"/>
            </w:tcBorders>
            <w:shd w:val="clear" w:color="auto" w:fill="FFFFFF"/>
            <w:tcMar>
              <w:left w:w="101" w:type="dxa"/>
              <w:right w:w="101" w:type="dxa"/>
            </w:tcMar>
            <w:vAlign w:val="bottom"/>
          </w:tcPr>
          <w:p w14:paraId="3D407A8E" w14:textId="77777777" w:rsidR="003F0EEA" w:rsidRDefault="003F0EEA">
            <w:pPr>
              <w:rPr>
                <w:rFonts w:ascii="Arial" w:eastAsia="Arial" w:hAnsi="Arial" w:cs="Arial"/>
                <w:color w:val="000000"/>
                <w:sz w:val="16"/>
              </w:rPr>
            </w:pP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6DAA76B8" w14:textId="77777777" w:rsidR="003F0EEA" w:rsidRDefault="003F0EEA">
            <w:pPr>
              <w:jc w:val="center"/>
              <w:rPr>
                <w:rFonts w:ascii="Arial" w:eastAsia="Arial" w:hAnsi="Arial" w:cs="Arial"/>
                <w:b/>
                <w:color w:val="000000"/>
                <w:sz w:val="16"/>
                <w:vertAlign w:val="superscript"/>
              </w:rPr>
            </w:pPr>
          </w:p>
        </w:tc>
        <w:tc>
          <w:tcPr>
            <w:tcW w:w="1005" w:type="dxa"/>
            <w:tcBorders>
              <w:top w:val="single" w:sz="6" w:space="0" w:color="000000"/>
              <w:left w:val="nil"/>
              <w:bottom w:val="nil"/>
              <w:right w:val="nil"/>
              <w:tl2br w:val="nil"/>
              <w:tr2bl w:val="nil"/>
            </w:tcBorders>
            <w:shd w:val="clear" w:color="auto" w:fill="FFFF00"/>
            <w:tcMar>
              <w:left w:w="101" w:type="dxa"/>
              <w:right w:w="101" w:type="dxa"/>
            </w:tcMar>
            <w:vAlign w:val="bottom"/>
          </w:tcPr>
          <w:p w14:paraId="3F996894" w14:textId="77777777" w:rsidR="003F0EEA" w:rsidRDefault="003F0EEA">
            <w:pPr>
              <w:jc w:val="right"/>
              <w:rPr>
                <w:rFonts w:ascii="Arial" w:eastAsia="Arial" w:hAnsi="Arial" w:cs="Arial"/>
                <w:color w:val="000000"/>
                <w:sz w:val="16"/>
                <w:vertAlign w:val="superscript"/>
              </w:rPr>
            </w:pPr>
          </w:p>
        </w:tc>
        <w:tc>
          <w:tcPr>
            <w:tcW w:w="100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7B4DD9CB" w14:textId="77777777" w:rsidR="003F0EEA" w:rsidRDefault="003F0EEA">
            <w:pPr>
              <w:jc w:val="right"/>
              <w:rPr>
                <w:rFonts w:ascii="Arial" w:eastAsia="Arial" w:hAnsi="Arial" w:cs="Arial"/>
                <w:b/>
                <w:color w:val="000000"/>
                <w:sz w:val="16"/>
                <w:vertAlign w:val="superscript"/>
              </w:rPr>
            </w:pPr>
          </w:p>
        </w:tc>
        <w:tc>
          <w:tcPr>
            <w:tcW w:w="1005" w:type="dxa"/>
            <w:tcBorders>
              <w:top w:val="single" w:sz="6" w:space="0" w:color="000000"/>
              <w:left w:val="nil"/>
              <w:bottom w:val="nil"/>
              <w:right w:val="nil"/>
              <w:tl2br w:val="nil"/>
              <w:tr2bl w:val="nil"/>
            </w:tcBorders>
            <w:shd w:val="clear" w:color="auto" w:fill="FFFF00"/>
            <w:tcMar>
              <w:left w:w="101" w:type="dxa"/>
              <w:right w:w="101" w:type="dxa"/>
            </w:tcMar>
            <w:vAlign w:val="bottom"/>
          </w:tcPr>
          <w:p w14:paraId="74A92D64" w14:textId="77777777" w:rsidR="003F0EEA" w:rsidRDefault="003F0EEA">
            <w:pPr>
              <w:jc w:val="right"/>
              <w:rPr>
                <w:rFonts w:ascii="Arial" w:eastAsia="Arial" w:hAnsi="Arial" w:cs="Arial"/>
                <w:b/>
                <w:color w:val="000000"/>
                <w:sz w:val="16"/>
                <w:vertAlign w:val="superscript"/>
              </w:rPr>
            </w:pPr>
          </w:p>
        </w:tc>
        <w:tc>
          <w:tcPr>
            <w:tcW w:w="100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193F3DDB" w14:textId="77777777" w:rsidR="003F0EEA" w:rsidRDefault="003F0EEA">
            <w:pPr>
              <w:jc w:val="right"/>
              <w:rPr>
                <w:rFonts w:ascii="Arial" w:eastAsia="Arial" w:hAnsi="Arial" w:cs="Arial"/>
                <w:b/>
                <w:color w:val="000000"/>
                <w:sz w:val="16"/>
                <w:vertAlign w:val="superscript"/>
              </w:rPr>
            </w:pPr>
          </w:p>
        </w:tc>
        <w:tc>
          <w:tcPr>
            <w:tcW w:w="1005" w:type="dxa"/>
            <w:tcBorders>
              <w:top w:val="single" w:sz="6" w:space="0" w:color="000000"/>
              <w:left w:val="nil"/>
              <w:bottom w:val="nil"/>
              <w:right w:val="nil"/>
              <w:tl2br w:val="nil"/>
              <w:tr2bl w:val="nil"/>
            </w:tcBorders>
            <w:shd w:val="clear" w:color="auto" w:fill="FFFF00"/>
            <w:tcMar>
              <w:left w:w="101" w:type="dxa"/>
              <w:right w:w="101" w:type="dxa"/>
            </w:tcMar>
            <w:vAlign w:val="bottom"/>
          </w:tcPr>
          <w:p w14:paraId="2A34BD06" w14:textId="77777777" w:rsidR="003F0EEA" w:rsidRDefault="003F0EEA">
            <w:pPr>
              <w:jc w:val="right"/>
              <w:rPr>
                <w:rFonts w:ascii="Arial" w:eastAsia="Arial" w:hAnsi="Arial" w:cs="Arial"/>
                <w:b/>
                <w:color w:val="000000"/>
                <w:sz w:val="16"/>
                <w:vertAlign w:val="superscript"/>
              </w:rPr>
            </w:pPr>
          </w:p>
        </w:tc>
      </w:tr>
      <w:tr w:rsidR="00FB7D0B" w14:paraId="17076628" w14:textId="77777777" w:rsidTr="00FB7D0B">
        <w:trPr>
          <w:trHeight w:val="660"/>
        </w:trPr>
        <w:tc>
          <w:tcPr>
            <w:tcW w:w="2460" w:type="dxa"/>
            <w:gridSpan w:val="2"/>
            <w:tcBorders>
              <w:top w:val="nil"/>
              <w:left w:val="nil"/>
              <w:bottom w:val="nil"/>
              <w:right w:val="nil"/>
              <w:tl2br w:val="nil"/>
              <w:tr2bl w:val="nil"/>
            </w:tcBorders>
            <w:shd w:val="clear" w:color="auto" w:fill="FFFFFF"/>
            <w:tcMar>
              <w:left w:w="101" w:type="dxa"/>
              <w:right w:w="101" w:type="dxa"/>
            </w:tcMar>
            <w:vAlign w:val="bottom"/>
          </w:tcPr>
          <w:p w14:paraId="0A679114" w14:textId="77777777" w:rsidR="003F0EEA" w:rsidRDefault="00FB7D0B">
            <w:pPr>
              <w:rPr>
                <w:rFonts w:ascii="Arial" w:eastAsia="Arial" w:hAnsi="Arial" w:cs="Arial"/>
                <w:b/>
                <w:color w:val="000000"/>
                <w:sz w:val="16"/>
                <w:vertAlign w:val="superscript"/>
              </w:rPr>
            </w:pPr>
            <w:r>
              <w:rPr>
                <w:rFonts w:ascii="Arial" w:eastAsia="Arial" w:hAnsi="Arial" w:cs="Arial"/>
                <w:color w:val="000000"/>
                <w:sz w:val="16"/>
              </w:rPr>
              <w:t>Veterans' Disability Pensions - commencement of payments from date of claim</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42355254" w14:textId="77777777" w:rsidR="003F0EEA" w:rsidRDefault="00FB7D0B">
            <w:pPr>
              <w:jc w:val="center"/>
              <w:rPr>
                <w:rFonts w:ascii="Arial" w:eastAsia="Arial" w:hAnsi="Arial" w:cs="Arial"/>
                <w:color w:val="000000"/>
                <w:sz w:val="16"/>
                <w:vertAlign w:val="superscript"/>
              </w:rPr>
            </w:pPr>
            <w:r>
              <w:rPr>
                <w:rFonts w:ascii="Arial" w:eastAsia="Arial" w:hAnsi="Arial" w:cs="Arial"/>
                <w:color w:val="000000"/>
                <w:sz w:val="16"/>
              </w:rPr>
              <w:t>1.1, 1.2</w:t>
            </w:r>
          </w:p>
        </w:tc>
        <w:tc>
          <w:tcPr>
            <w:tcW w:w="1005" w:type="dxa"/>
            <w:tcBorders>
              <w:top w:val="nil"/>
              <w:left w:val="nil"/>
              <w:bottom w:val="nil"/>
              <w:right w:val="nil"/>
              <w:tl2br w:val="nil"/>
              <w:tr2bl w:val="nil"/>
            </w:tcBorders>
            <w:shd w:val="clear" w:color="auto" w:fill="FFFF00"/>
            <w:tcMar>
              <w:left w:w="101" w:type="dxa"/>
              <w:right w:w="101" w:type="dxa"/>
            </w:tcMar>
            <w:vAlign w:val="bottom"/>
          </w:tcPr>
          <w:p w14:paraId="12A444D9" w14:textId="77777777" w:rsidR="003F0EEA" w:rsidRDefault="003F0EEA">
            <w:pPr>
              <w:jc w:val="right"/>
              <w:rPr>
                <w:rFonts w:ascii="Arial" w:eastAsia="Arial" w:hAnsi="Arial" w:cs="Arial"/>
                <w:color w:val="000000"/>
                <w:sz w:val="16"/>
              </w:rPr>
            </w:pPr>
          </w:p>
        </w:tc>
        <w:tc>
          <w:tcPr>
            <w:tcW w:w="1005" w:type="dxa"/>
            <w:tcBorders>
              <w:top w:val="nil"/>
              <w:left w:val="nil"/>
              <w:bottom w:val="nil"/>
              <w:right w:val="nil"/>
              <w:tl2br w:val="nil"/>
              <w:tr2bl w:val="nil"/>
            </w:tcBorders>
            <w:shd w:val="clear" w:color="auto" w:fill="FFFFFF"/>
            <w:tcMar>
              <w:left w:w="101" w:type="dxa"/>
              <w:right w:w="101" w:type="dxa"/>
            </w:tcMar>
            <w:vAlign w:val="bottom"/>
          </w:tcPr>
          <w:p w14:paraId="42F1F4A0" w14:textId="77777777" w:rsidR="003F0EEA" w:rsidRDefault="003F0EEA">
            <w:pPr>
              <w:jc w:val="right"/>
              <w:rPr>
                <w:rFonts w:ascii="Arial" w:eastAsia="Arial" w:hAnsi="Arial" w:cs="Arial"/>
                <w:color w:val="000000"/>
                <w:sz w:val="16"/>
              </w:rPr>
            </w:pPr>
          </w:p>
        </w:tc>
        <w:tc>
          <w:tcPr>
            <w:tcW w:w="1005" w:type="dxa"/>
            <w:tcBorders>
              <w:top w:val="nil"/>
              <w:left w:val="nil"/>
              <w:bottom w:val="nil"/>
              <w:right w:val="nil"/>
              <w:tl2br w:val="nil"/>
              <w:tr2bl w:val="nil"/>
            </w:tcBorders>
            <w:shd w:val="clear" w:color="auto" w:fill="FFFF00"/>
            <w:tcMar>
              <w:left w:w="101" w:type="dxa"/>
              <w:right w:w="101" w:type="dxa"/>
            </w:tcMar>
            <w:vAlign w:val="bottom"/>
          </w:tcPr>
          <w:p w14:paraId="57427604" w14:textId="77777777" w:rsidR="003F0EEA" w:rsidRDefault="003F0EEA">
            <w:pPr>
              <w:jc w:val="right"/>
              <w:rPr>
                <w:rFonts w:ascii="Arial" w:eastAsia="Arial" w:hAnsi="Arial" w:cs="Arial"/>
                <w:color w:val="000000"/>
                <w:sz w:val="16"/>
              </w:rPr>
            </w:pPr>
          </w:p>
        </w:tc>
        <w:tc>
          <w:tcPr>
            <w:tcW w:w="1005" w:type="dxa"/>
            <w:tcBorders>
              <w:top w:val="nil"/>
              <w:left w:val="nil"/>
              <w:bottom w:val="nil"/>
              <w:right w:val="nil"/>
              <w:tl2br w:val="nil"/>
              <w:tr2bl w:val="nil"/>
            </w:tcBorders>
            <w:shd w:val="clear" w:color="auto" w:fill="FFFFFF"/>
            <w:tcMar>
              <w:left w:w="101" w:type="dxa"/>
              <w:right w:w="101" w:type="dxa"/>
            </w:tcMar>
            <w:vAlign w:val="bottom"/>
          </w:tcPr>
          <w:p w14:paraId="2BB653C4" w14:textId="77777777" w:rsidR="003F0EEA" w:rsidRDefault="003F0EEA">
            <w:pPr>
              <w:jc w:val="right"/>
              <w:rPr>
                <w:rFonts w:ascii="Arial" w:eastAsia="Arial" w:hAnsi="Arial" w:cs="Arial"/>
                <w:color w:val="000000"/>
                <w:sz w:val="16"/>
              </w:rPr>
            </w:pPr>
          </w:p>
        </w:tc>
        <w:tc>
          <w:tcPr>
            <w:tcW w:w="1005" w:type="dxa"/>
            <w:tcBorders>
              <w:top w:val="nil"/>
              <w:left w:val="nil"/>
              <w:bottom w:val="nil"/>
              <w:right w:val="nil"/>
              <w:tl2br w:val="nil"/>
              <w:tr2bl w:val="nil"/>
            </w:tcBorders>
            <w:shd w:val="clear" w:color="auto" w:fill="FFFF00"/>
            <w:tcMar>
              <w:left w:w="101" w:type="dxa"/>
              <w:right w:w="101" w:type="dxa"/>
            </w:tcMar>
            <w:vAlign w:val="bottom"/>
          </w:tcPr>
          <w:p w14:paraId="0CB857A7" w14:textId="77777777" w:rsidR="003F0EEA" w:rsidRDefault="003F0EEA">
            <w:pPr>
              <w:jc w:val="right"/>
              <w:rPr>
                <w:rFonts w:ascii="Arial" w:eastAsia="Arial" w:hAnsi="Arial" w:cs="Arial"/>
                <w:color w:val="000000"/>
                <w:sz w:val="16"/>
              </w:rPr>
            </w:pPr>
          </w:p>
        </w:tc>
      </w:tr>
      <w:tr w:rsidR="00724034" w14:paraId="57CA7FDD" w14:textId="77777777">
        <w:trPr>
          <w:trHeight w:val="240"/>
        </w:trPr>
        <w:tc>
          <w:tcPr>
            <w:tcW w:w="180" w:type="dxa"/>
            <w:tcBorders>
              <w:top w:val="nil"/>
              <w:left w:val="nil"/>
              <w:bottom w:val="nil"/>
              <w:right w:val="nil"/>
              <w:tl2br w:val="nil"/>
              <w:tr2bl w:val="nil"/>
            </w:tcBorders>
            <w:shd w:val="clear" w:color="auto" w:fill="FFFFFF"/>
            <w:tcMar>
              <w:left w:w="101" w:type="dxa"/>
              <w:right w:w="101" w:type="dxa"/>
            </w:tcMar>
            <w:vAlign w:val="bottom"/>
          </w:tcPr>
          <w:p w14:paraId="11E6C0C2" w14:textId="77777777" w:rsidR="003F0EEA" w:rsidRDefault="003F0EEA">
            <w:pPr>
              <w:rPr>
                <w:rFonts w:ascii="Arial" w:eastAsia="Arial" w:hAnsi="Arial" w:cs="Arial"/>
                <w:color w:val="000000"/>
                <w:sz w:val="16"/>
              </w:rPr>
            </w:pPr>
          </w:p>
        </w:tc>
        <w:tc>
          <w:tcPr>
            <w:tcW w:w="2280" w:type="dxa"/>
            <w:tcBorders>
              <w:top w:val="nil"/>
              <w:left w:val="nil"/>
              <w:bottom w:val="nil"/>
              <w:right w:val="nil"/>
              <w:tl2br w:val="nil"/>
              <w:tr2bl w:val="nil"/>
            </w:tcBorders>
            <w:shd w:val="clear" w:color="auto" w:fill="FFFFFF"/>
            <w:tcMar>
              <w:left w:w="101" w:type="dxa"/>
              <w:right w:w="101" w:type="dxa"/>
            </w:tcMar>
            <w:vAlign w:val="bottom"/>
          </w:tcPr>
          <w:p w14:paraId="5C7D9D1B" w14:textId="77777777" w:rsidR="003F0EEA" w:rsidRDefault="00FB7D0B">
            <w:pPr>
              <w:rPr>
                <w:rFonts w:ascii="Arial" w:eastAsia="Arial" w:hAnsi="Arial" w:cs="Arial"/>
                <w:color w:val="000000"/>
                <w:sz w:val="16"/>
              </w:rPr>
            </w:pPr>
            <w:r>
              <w:rPr>
                <w:rFonts w:ascii="Arial" w:eastAsia="Arial" w:hAnsi="Arial" w:cs="Arial"/>
                <w:color w:val="000000"/>
                <w:sz w:val="16"/>
              </w:rPr>
              <w:t>Administered expenses</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5A00EB59" w14:textId="77777777" w:rsidR="003F0EEA" w:rsidRDefault="003F0EEA">
            <w:pPr>
              <w:jc w:val="center"/>
              <w:rPr>
                <w:rFonts w:ascii="Arial" w:eastAsia="Arial" w:hAnsi="Arial" w:cs="Arial"/>
                <w:color w:val="000000"/>
                <w:sz w:val="16"/>
                <w:vertAlign w:val="superscript"/>
              </w:rPr>
            </w:pPr>
          </w:p>
        </w:tc>
        <w:tc>
          <w:tcPr>
            <w:tcW w:w="1005" w:type="dxa"/>
            <w:tcBorders>
              <w:top w:val="nil"/>
              <w:left w:val="nil"/>
              <w:bottom w:val="nil"/>
              <w:right w:val="nil"/>
              <w:tl2br w:val="nil"/>
              <w:tr2bl w:val="nil"/>
            </w:tcBorders>
            <w:shd w:val="clear" w:color="auto" w:fill="FFFF00"/>
            <w:tcMar>
              <w:left w:w="101" w:type="dxa"/>
              <w:right w:w="101" w:type="dxa"/>
            </w:tcMar>
            <w:vAlign w:val="bottom"/>
          </w:tcPr>
          <w:p w14:paraId="7051ADAA" w14:textId="77777777" w:rsidR="003F0EEA" w:rsidRDefault="00FB7D0B">
            <w:pPr>
              <w:jc w:val="right"/>
              <w:rPr>
                <w:rFonts w:ascii="Arial" w:eastAsia="Arial" w:hAnsi="Arial" w:cs="Arial"/>
                <w:color w:val="000000"/>
                <w:sz w:val="16"/>
                <w:vertAlign w:val="superscript"/>
              </w:rPr>
            </w:pPr>
            <w:r>
              <w:rPr>
                <w:rFonts w:ascii="Arial" w:eastAsia="Arial" w:hAnsi="Arial" w:cs="Arial"/>
                <w:color w:val="000000"/>
                <w:sz w:val="16"/>
              </w:rPr>
              <w:t xml:space="preserve"> - </w:t>
            </w:r>
          </w:p>
        </w:tc>
        <w:tc>
          <w:tcPr>
            <w:tcW w:w="1005" w:type="dxa"/>
            <w:tcBorders>
              <w:top w:val="nil"/>
              <w:left w:val="nil"/>
              <w:bottom w:val="nil"/>
              <w:right w:val="nil"/>
              <w:tl2br w:val="nil"/>
              <w:tr2bl w:val="nil"/>
            </w:tcBorders>
            <w:shd w:val="clear" w:color="auto" w:fill="FFFFFF"/>
            <w:tcMar>
              <w:left w:w="101" w:type="dxa"/>
              <w:right w:w="101" w:type="dxa"/>
            </w:tcMar>
            <w:vAlign w:val="bottom"/>
          </w:tcPr>
          <w:p w14:paraId="08804806" w14:textId="77777777" w:rsidR="003F0EEA" w:rsidRDefault="00FB7D0B">
            <w:pPr>
              <w:jc w:val="right"/>
              <w:rPr>
                <w:rFonts w:ascii="Arial" w:eastAsia="Arial" w:hAnsi="Arial" w:cs="Arial"/>
                <w:color w:val="000000"/>
                <w:sz w:val="16"/>
              </w:rPr>
            </w:pPr>
            <w:r>
              <w:rPr>
                <w:rFonts w:ascii="Arial" w:eastAsia="Arial" w:hAnsi="Arial" w:cs="Arial"/>
                <w:color w:val="000000"/>
                <w:sz w:val="16"/>
              </w:rPr>
              <w:t>(5,795)</w:t>
            </w:r>
          </w:p>
        </w:tc>
        <w:tc>
          <w:tcPr>
            <w:tcW w:w="1005" w:type="dxa"/>
            <w:tcBorders>
              <w:top w:val="nil"/>
              <w:left w:val="nil"/>
              <w:bottom w:val="nil"/>
              <w:right w:val="nil"/>
              <w:tl2br w:val="nil"/>
              <w:tr2bl w:val="nil"/>
            </w:tcBorders>
            <w:shd w:val="clear" w:color="auto" w:fill="FFFF00"/>
            <w:tcMar>
              <w:left w:w="101" w:type="dxa"/>
              <w:right w:w="101" w:type="dxa"/>
            </w:tcMar>
            <w:vAlign w:val="bottom"/>
          </w:tcPr>
          <w:p w14:paraId="3C57CBFF" w14:textId="77777777" w:rsidR="003F0EEA" w:rsidRDefault="00FB7D0B">
            <w:pPr>
              <w:jc w:val="right"/>
              <w:rPr>
                <w:rFonts w:ascii="Arial" w:eastAsia="Arial" w:hAnsi="Arial" w:cs="Arial"/>
                <w:color w:val="000000"/>
                <w:sz w:val="16"/>
              </w:rPr>
            </w:pPr>
            <w:r>
              <w:rPr>
                <w:rFonts w:ascii="Arial" w:eastAsia="Arial" w:hAnsi="Arial" w:cs="Arial"/>
                <w:color w:val="000000"/>
                <w:sz w:val="16"/>
              </w:rPr>
              <w:t>(11,541)</w:t>
            </w:r>
          </w:p>
        </w:tc>
        <w:tc>
          <w:tcPr>
            <w:tcW w:w="1005" w:type="dxa"/>
            <w:tcBorders>
              <w:top w:val="nil"/>
              <w:left w:val="nil"/>
              <w:bottom w:val="nil"/>
              <w:right w:val="nil"/>
              <w:tl2br w:val="nil"/>
              <w:tr2bl w:val="nil"/>
            </w:tcBorders>
            <w:shd w:val="clear" w:color="auto" w:fill="FFFFFF"/>
            <w:tcMar>
              <w:left w:w="101" w:type="dxa"/>
              <w:right w:w="101" w:type="dxa"/>
            </w:tcMar>
            <w:vAlign w:val="bottom"/>
          </w:tcPr>
          <w:p w14:paraId="0F39C9DC" w14:textId="77777777" w:rsidR="003F0EEA" w:rsidRDefault="00FB7D0B">
            <w:pPr>
              <w:jc w:val="right"/>
              <w:rPr>
                <w:rFonts w:ascii="Arial" w:eastAsia="Arial" w:hAnsi="Arial" w:cs="Arial"/>
                <w:color w:val="000000"/>
                <w:sz w:val="16"/>
              </w:rPr>
            </w:pPr>
            <w:r>
              <w:rPr>
                <w:rFonts w:ascii="Arial" w:eastAsia="Arial" w:hAnsi="Arial" w:cs="Arial"/>
                <w:color w:val="000000"/>
                <w:sz w:val="16"/>
              </w:rPr>
              <w:t>(11,389)</w:t>
            </w:r>
          </w:p>
        </w:tc>
        <w:tc>
          <w:tcPr>
            <w:tcW w:w="1005" w:type="dxa"/>
            <w:tcBorders>
              <w:top w:val="nil"/>
              <w:left w:val="nil"/>
              <w:bottom w:val="nil"/>
              <w:right w:val="nil"/>
              <w:tl2br w:val="nil"/>
              <w:tr2bl w:val="nil"/>
            </w:tcBorders>
            <w:shd w:val="clear" w:color="auto" w:fill="FFFF00"/>
            <w:tcMar>
              <w:left w:w="101" w:type="dxa"/>
              <w:right w:w="101" w:type="dxa"/>
            </w:tcMar>
            <w:vAlign w:val="bottom"/>
          </w:tcPr>
          <w:p w14:paraId="3701B6B1" w14:textId="77777777" w:rsidR="003F0EEA" w:rsidRDefault="00FB7D0B">
            <w:pPr>
              <w:jc w:val="right"/>
              <w:rPr>
                <w:rFonts w:ascii="Arial" w:eastAsia="Arial" w:hAnsi="Arial" w:cs="Arial"/>
                <w:color w:val="000000"/>
                <w:sz w:val="16"/>
              </w:rPr>
            </w:pPr>
            <w:r>
              <w:rPr>
                <w:rFonts w:ascii="Arial" w:eastAsia="Arial" w:hAnsi="Arial" w:cs="Arial"/>
                <w:color w:val="000000"/>
                <w:sz w:val="16"/>
              </w:rPr>
              <w:t>(11,242)</w:t>
            </w:r>
          </w:p>
        </w:tc>
      </w:tr>
      <w:tr w:rsidR="00724034" w14:paraId="5294EE18" w14:textId="77777777">
        <w:trPr>
          <w:trHeight w:val="225"/>
        </w:trPr>
        <w:tc>
          <w:tcPr>
            <w:tcW w:w="180" w:type="dxa"/>
            <w:tcBorders>
              <w:top w:val="nil"/>
              <w:left w:val="nil"/>
              <w:bottom w:val="nil"/>
              <w:right w:val="nil"/>
              <w:tl2br w:val="nil"/>
              <w:tr2bl w:val="nil"/>
            </w:tcBorders>
            <w:shd w:val="clear" w:color="auto" w:fill="FFFFFF"/>
            <w:tcMar>
              <w:left w:w="101" w:type="dxa"/>
              <w:right w:w="101" w:type="dxa"/>
            </w:tcMar>
            <w:vAlign w:val="bottom"/>
          </w:tcPr>
          <w:p w14:paraId="0E9819C7" w14:textId="77777777" w:rsidR="003F0EEA" w:rsidRDefault="003F0EEA">
            <w:pPr>
              <w:rPr>
                <w:rFonts w:ascii="Arial" w:eastAsia="Arial" w:hAnsi="Arial" w:cs="Arial"/>
                <w:color w:val="000000"/>
                <w:sz w:val="16"/>
              </w:rPr>
            </w:pPr>
          </w:p>
        </w:tc>
        <w:tc>
          <w:tcPr>
            <w:tcW w:w="2280" w:type="dxa"/>
            <w:tcBorders>
              <w:top w:val="nil"/>
              <w:left w:val="nil"/>
              <w:bottom w:val="nil"/>
              <w:right w:val="nil"/>
              <w:tl2br w:val="nil"/>
              <w:tr2bl w:val="nil"/>
            </w:tcBorders>
            <w:shd w:val="clear" w:color="auto" w:fill="FFFFFF"/>
            <w:tcMar>
              <w:left w:w="101" w:type="dxa"/>
              <w:right w:w="101" w:type="dxa"/>
            </w:tcMar>
            <w:vAlign w:val="bottom"/>
          </w:tcPr>
          <w:p w14:paraId="7C21AE9F" w14:textId="77777777" w:rsidR="003F0EEA" w:rsidRDefault="00FB7D0B">
            <w:pPr>
              <w:rPr>
                <w:rFonts w:ascii="Arial" w:eastAsia="Arial" w:hAnsi="Arial" w:cs="Arial"/>
                <w:color w:val="000000"/>
                <w:sz w:val="16"/>
              </w:rPr>
            </w:pPr>
            <w:r>
              <w:rPr>
                <w:rFonts w:ascii="Arial" w:eastAsia="Arial" w:hAnsi="Arial" w:cs="Arial"/>
                <w:color w:val="000000"/>
                <w:sz w:val="16"/>
              </w:rPr>
              <w:t>Departmental expenses</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333506F8" w14:textId="77777777" w:rsidR="003F0EEA" w:rsidRDefault="003F0EEA">
            <w:pPr>
              <w:jc w:val="center"/>
              <w:rPr>
                <w:rFonts w:ascii="Arial" w:eastAsia="Arial" w:hAnsi="Arial" w:cs="Arial"/>
                <w:color w:val="000000"/>
                <w:sz w:val="16"/>
                <w:vertAlign w:val="superscript"/>
              </w:rPr>
            </w:pPr>
          </w:p>
        </w:tc>
        <w:tc>
          <w:tcPr>
            <w:tcW w:w="1005" w:type="dxa"/>
            <w:tcBorders>
              <w:top w:val="nil"/>
              <w:left w:val="nil"/>
              <w:bottom w:val="nil"/>
              <w:right w:val="nil"/>
              <w:tl2br w:val="nil"/>
              <w:tr2bl w:val="nil"/>
            </w:tcBorders>
            <w:shd w:val="clear" w:color="auto" w:fill="FFFF00"/>
            <w:tcMar>
              <w:left w:w="101" w:type="dxa"/>
              <w:right w:w="101" w:type="dxa"/>
            </w:tcMar>
            <w:vAlign w:val="bottom"/>
          </w:tcPr>
          <w:p w14:paraId="14591FA7" w14:textId="77777777" w:rsidR="003F0EEA" w:rsidRDefault="00FB7D0B">
            <w:pPr>
              <w:jc w:val="right"/>
              <w:rPr>
                <w:rFonts w:ascii="Arial" w:eastAsia="Arial" w:hAnsi="Arial" w:cs="Arial"/>
                <w:color w:val="000000"/>
                <w:sz w:val="16"/>
                <w:vertAlign w:val="superscript"/>
              </w:rPr>
            </w:pPr>
            <w:r>
              <w:rPr>
                <w:rFonts w:ascii="Arial" w:eastAsia="Arial" w:hAnsi="Arial" w:cs="Arial"/>
                <w:color w:val="000000"/>
                <w:sz w:val="16"/>
              </w:rPr>
              <w:t xml:space="preserve"> - </w:t>
            </w:r>
          </w:p>
        </w:tc>
        <w:tc>
          <w:tcPr>
            <w:tcW w:w="1005" w:type="dxa"/>
            <w:tcBorders>
              <w:top w:val="nil"/>
              <w:left w:val="nil"/>
              <w:bottom w:val="nil"/>
              <w:right w:val="nil"/>
              <w:tl2br w:val="nil"/>
              <w:tr2bl w:val="nil"/>
            </w:tcBorders>
            <w:shd w:val="clear" w:color="auto" w:fill="FFFFFF"/>
            <w:tcMar>
              <w:left w:w="101" w:type="dxa"/>
              <w:right w:w="101" w:type="dxa"/>
            </w:tcMar>
            <w:vAlign w:val="bottom"/>
          </w:tcPr>
          <w:p w14:paraId="3A200F0D" w14:textId="77777777" w:rsidR="003F0EEA" w:rsidRDefault="00FB7D0B">
            <w:pPr>
              <w:jc w:val="right"/>
              <w:rPr>
                <w:rFonts w:ascii="Arial" w:eastAsia="Arial" w:hAnsi="Arial" w:cs="Arial"/>
                <w:color w:val="000000"/>
                <w:sz w:val="16"/>
              </w:rPr>
            </w:pPr>
            <w:r>
              <w:rPr>
                <w:rFonts w:ascii="Arial" w:eastAsia="Arial" w:hAnsi="Arial" w:cs="Arial"/>
                <w:color w:val="000000"/>
                <w:sz w:val="16"/>
              </w:rPr>
              <w:t xml:space="preserve"> - </w:t>
            </w:r>
          </w:p>
        </w:tc>
        <w:tc>
          <w:tcPr>
            <w:tcW w:w="1005" w:type="dxa"/>
            <w:tcBorders>
              <w:top w:val="nil"/>
              <w:left w:val="nil"/>
              <w:bottom w:val="nil"/>
              <w:right w:val="nil"/>
              <w:tl2br w:val="nil"/>
              <w:tr2bl w:val="nil"/>
            </w:tcBorders>
            <w:shd w:val="clear" w:color="auto" w:fill="FFFF00"/>
            <w:tcMar>
              <w:left w:w="101" w:type="dxa"/>
              <w:right w:w="101" w:type="dxa"/>
            </w:tcMar>
            <w:vAlign w:val="bottom"/>
          </w:tcPr>
          <w:p w14:paraId="7AEE4733" w14:textId="77777777" w:rsidR="003F0EEA" w:rsidRDefault="00FB7D0B">
            <w:pPr>
              <w:jc w:val="right"/>
              <w:rPr>
                <w:rFonts w:ascii="Arial" w:eastAsia="Arial" w:hAnsi="Arial" w:cs="Arial"/>
                <w:color w:val="000000"/>
                <w:sz w:val="16"/>
              </w:rPr>
            </w:pPr>
            <w:r>
              <w:rPr>
                <w:rFonts w:ascii="Arial" w:eastAsia="Arial" w:hAnsi="Arial" w:cs="Arial"/>
                <w:color w:val="000000"/>
                <w:sz w:val="16"/>
              </w:rPr>
              <w:t xml:space="preserve"> - </w:t>
            </w:r>
          </w:p>
        </w:tc>
        <w:tc>
          <w:tcPr>
            <w:tcW w:w="1005" w:type="dxa"/>
            <w:tcBorders>
              <w:top w:val="nil"/>
              <w:left w:val="nil"/>
              <w:bottom w:val="nil"/>
              <w:right w:val="nil"/>
              <w:tl2br w:val="nil"/>
              <w:tr2bl w:val="nil"/>
            </w:tcBorders>
            <w:shd w:val="clear" w:color="auto" w:fill="FFFFFF"/>
            <w:tcMar>
              <w:left w:w="101" w:type="dxa"/>
              <w:right w:w="101" w:type="dxa"/>
            </w:tcMar>
            <w:vAlign w:val="bottom"/>
          </w:tcPr>
          <w:p w14:paraId="222E7BCC" w14:textId="77777777" w:rsidR="003F0EEA" w:rsidRDefault="00FB7D0B">
            <w:pPr>
              <w:jc w:val="right"/>
              <w:rPr>
                <w:rFonts w:ascii="Arial" w:eastAsia="Arial" w:hAnsi="Arial" w:cs="Arial"/>
                <w:color w:val="000000"/>
                <w:sz w:val="16"/>
              </w:rPr>
            </w:pPr>
            <w:r>
              <w:rPr>
                <w:rFonts w:ascii="Arial" w:eastAsia="Arial" w:hAnsi="Arial" w:cs="Arial"/>
                <w:color w:val="000000"/>
                <w:sz w:val="16"/>
              </w:rPr>
              <w:t xml:space="preserve"> - </w:t>
            </w:r>
          </w:p>
        </w:tc>
        <w:tc>
          <w:tcPr>
            <w:tcW w:w="1005" w:type="dxa"/>
            <w:tcBorders>
              <w:top w:val="nil"/>
              <w:left w:val="nil"/>
              <w:bottom w:val="nil"/>
              <w:right w:val="nil"/>
              <w:tl2br w:val="nil"/>
              <w:tr2bl w:val="nil"/>
            </w:tcBorders>
            <w:shd w:val="clear" w:color="auto" w:fill="FFFF00"/>
            <w:tcMar>
              <w:left w:w="101" w:type="dxa"/>
              <w:right w:w="101" w:type="dxa"/>
            </w:tcMar>
            <w:vAlign w:val="bottom"/>
          </w:tcPr>
          <w:p w14:paraId="6C4FF5C8" w14:textId="77777777" w:rsidR="003F0EEA" w:rsidRDefault="00FB7D0B">
            <w:pPr>
              <w:jc w:val="right"/>
              <w:rPr>
                <w:rFonts w:ascii="Arial" w:eastAsia="Arial" w:hAnsi="Arial" w:cs="Arial"/>
                <w:color w:val="000000"/>
                <w:sz w:val="16"/>
              </w:rPr>
            </w:pPr>
            <w:r>
              <w:rPr>
                <w:rFonts w:ascii="Arial" w:eastAsia="Arial" w:hAnsi="Arial" w:cs="Arial"/>
                <w:color w:val="000000"/>
                <w:sz w:val="16"/>
              </w:rPr>
              <w:t xml:space="preserve"> - </w:t>
            </w:r>
          </w:p>
        </w:tc>
      </w:tr>
      <w:tr w:rsidR="00FB7D0B" w14:paraId="372FF372" w14:textId="77777777" w:rsidTr="00FB7D0B">
        <w:trPr>
          <w:trHeight w:val="225"/>
        </w:trPr>
        <w:tc>
          <w:tcPr>
            <w:tcW w:w="2460" w:type="dxa"/>
            <w:gridSpan w:val="2"/>
            <w:tcBorders>
              <w:top w:val="nil"/>
              <w:left w:val="nil"/>
              <w:bottom w:val="nil"/>
              <w:right w:val="nil"/>
              <w:tl2br w:val="nil"/>
              <w:tr2bl w:val="nil"/>
            </w:tcBorders>
            <w:shd w:val="clear" w:color="auto" w:fill="FFFFFF"/>
            <w:tcMar>
              <w:left w:w="101" w:type="dxa"/>
              <w:right w:w="101" w:type="dxa"/>
            </w:tcMar>
            <w:vAlign w:val="bottom"/>
          </w:tcPr>
          <w:p w14:paraId="367EF30C" w14:textId="77777777" w:rsidR="003F0EEA" w:rsidRDefault="00FB7D0B">
            <w:pPr>
              <w:rPr>
                <w:rFonts w:ascii="Arial" w:eastAsia="Arial" w:hAnsi="Arial" w:cs="Arial"/>
                <w:color w:val="000000"/>
                <w:sz w:val="16"/>
              </w:rPr>
            </w:pPr>
            <w:r>
              <w:rPr>
                <w:rFonts w:ascii="Arial" w:eastAsia="Arial" w:hAnsi="Arial" w:cs="Arial"/>
                <w:b/>
                <w:color w:val="000000"/>
                <w:sz w:val="16"/>
              </w:rPr>
              <w:t xml:space="preserve">Total </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3F3EF584" w14:textId="77777777" w:rsidR="003F0EEA" w:rsidRDefault="003F0EEA">
            <w:pPr>
              <w:jc w:val="center"/>
              <w:rPr>
                <w:rFonts w:ascii="Arial" w:eastAsia="Arial" w:hAnsi="Arial" w:cs="Arial"/>
                <w:b/>
                <w:color w:val="000000"/>
                <w:sz w:val="16"/>
                <w:vertAlign w:val="superscript"/>
              </w:rPr>
            </w:pPr>
          </w:p>
        </w:tc>
        <w:tc>
          <w:tcPr>
            <w:tcW w:w="1005" w:type="dxa"/>
            <w:tcBorders>
              <w:top w:val="nil"/>
              <w:left w:val="nil"/>
              <w:bottom w:val="single" w:sz="6" w:space="0" w:color="000000"/>
              <w:right w:val="nil"/>
              <w:tl2br w:val="nil"/>
              <w:tr2bl w:val="nil"/>
            </w:tcBorders>
            <w:shd w:val="clear" w:color="auto" w:fill="FFFF00"/>
            <w:tcMar>
              <w:left w:w="101" w:type="dxa"/>
              <w:right w:w="101" w:type="dxa"/>
            </w:tcMar>
            <w:vAlign w:val="bottom"/>
          </w:tcPr>
          <w:p w14:paraId="6D5DA0D7" w14:textId="77777777" w:rsidR="003F0EEA" w:rsidRDefault="00FB7D0B">
            <w:pPr>
              <w:jc w:val="right"/>
              <w:rPr>
                <w:rFonts w:ascii="Arial" w:eastAsia="Arial" w:hAnsi="Arial" w:cs="Arial"/>
                <w:color w:val="000000"/>
                <w:sz w:val="16"/>
                <w:vertAlign w:val="superscript"/>
              </w:rPr>
            </w:pPr>
            <w:r>
              <w:rPr>
                <w:rFonts w:ascii="Arial" w:eastAsia="Arial" w:hAnsi="Arial" w:cs="Arial"/>
                <w:b/>
                <w:color w:val="000000"/>
                <w:sz w:val="16"/>
              </w:rPr>
              <w:t xml:space="preserve"> - </w:t>
            </w:r>
          </w:p>
        </w:tc>
        <w:tc>
          <w:tcPr>
            <w:tcW w:w="1005"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3BF05AC8" w14:textId="77777777" w:rsidR="003F0EEA" w:rsidRDefault="00FB7D0B">
            <w:pPr>
              <w:jc w:val="right"/>
              <w:rPr>
                <w:rFonts w:ascii="Arial" w:eastAsia="Arial" w:hAnsi="Arial" w:cs="Arial"/>
                <w:b/>
                <w:color w:val="000000"/>
                <w:sz w:val="16"/>
              </w:rPr>
            </w:pPr>
            <w:r>
              <w:rPr>
                <w:rFonts w:ascii="Arial" w:eastAsia="Arial" w:hAnsi="Arial" w:cs="Arial"/>
                <w:b/>
                <w:color w:val="000000"/>
                <w:sz w:val="16"/>
              </w:rPr>
              <w:t>(5,795)</w:t>
            </w:r>
          </w:p>
        </w:tc>
        <w:tc>
          <w:tcPr>
            <w:tcW w:w="1005" w:type="dxa"/>
            <w:tcBorders>
              <w:top w:val="nil"/>
              <w:left w:val="nil"/>
              <w:bottom w:val="single" w:sz="6" w:space="0" w:color="000000"/>
              <w:right w:val="nil"/>
              <w:tl2br w:val="nil"/>
              <w:tr2bl w:val="nil"/>
            </w:tcBorders>
            <w:shd w:val="clear" w:color="auto" w:fill="FFFF00"/>
            <w:tcMar>
              <w:left w:w="101" w:type="dxa"/>
              <w:right w:w="101" w:type="dxa"/>
            </w:tcMar>
            <w:vAlign w:val="bottom"/>
          </w:tcPr>
          <w:p w14:paraId="0ED77C1B" w14:textId="77777777" w:rsidR="003F0EEA" w:rsidRDefault="00FB7D0B">
            <w:pPr>
              <w:jc w:val="right"/>
              <w:rPr>
                <w:rFonts w:ascii="Arial" w:eastAsia="Arial" w:hAnsi="Arial" w:cs="Arial"/>
                <w:b/>
                <w:color w:val="000000"/>
                <w:sz w:val="16"/>
              </w:rPr>
            </w:pPr>
            <w:r>
              <w:rPr>
                <w:rFonts w:ascii="Arial" w:eastAsia="Arial" w:hAnsi="Arial" w:cs="Arial"/>
                <w:b/>
                <w:color w:val="000000"/>
                <w:sz w:val="16"/>
              </w:rPr>
              <w:t>(11,541)</w:t>
            </w:r>
          </w:p>
        </w:tc>
        <w:tc>
          <w:tcPr>
            <w:tcW w:w="1005"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7BC0DC4A" w14:textId="77777777" w:rsidR="003F0EEA" w:rsidRDefault="00FB7D0B">
            <w:pPr>
              <w:jc w:val="right"/>
              <w:rPr>
                <w:rFonts w:ascii="Arial" w:eastAsia="Arial" w:hAnsi="Arial" w:cs="Arial"/>
                <w:b/>
                <w:color w:val="000000"/>
                <w:sz w:val="16"/>
              </w:rPr>
            </w:pPr>
            <w:r>
              <w:rPr>
                <w:rFonts w:ascii="Arial" w:eastAsia="Arial" w:hAnsi="Arial" w:cs="Arial"/>
                <w:b/>
                <w:color w:val="000000"/>
                <w:sz w:val="16"/>
              </w:rPr>
              <w:t>(11,389)</w:t>
            </w:r>
          </w:p>
        </w:tc>
        <w:tc>
          <w:tcPr>
            <w:tcW w:w="1005" w:type="dxa"/>
            <w:tcBorders>
              <w:top w:val="nil"/>
              <w:left w:val="nil"/>
              <w:bottom w:val="single" w:sz="6" w:space="0" w:color="000000"/>
              <w:right w:val="nil"/>
              <w:tl2br w:val="nil"/>
              <w:tr2bl w:val="nil"/>
            </w:tcBorders>
            <w:shd w:val="clear" w:color="auto" w:fill="FFFF00"/>
            <w:tcMar>
              <w:left w:w="101" w:type="dxa"/>
              <w:right w:w="101" w:type="dxa"/>
            </w:tcMar>
            <w:vAlign w:val="bottom"/>
          </w:tcPr>
          <w:p w14:paraId="30D003D6" w14:textId="77777777" w:rsidR="003F0EEA" w:rsidRDefault="00FB7D0B">
            <w:pPr>
              <w:jc w:val="right"/>
              <w:rPr>
                <w:rFonts w:ascii="Arial" w:eastAsia="Arial" w:hAnsi="Arial" w:cs="Arial"/>
                <w:b/>
                <w:color w:val="000000"/>
                <w:sz w:val="16"/>
              </w:rPr>
            </w:pPr>
            <w:r>
              <w:rPr>
                <w:rFonts w:ascii="Arial" w:eastAsia="Arial" w:hAnsi="Arial" w:cs="Arial"/>
                <w:b/>
                <w:color w:val="000000"/>
                <w:sz w:val="16"/>
              </w:rPr>
              <w:t>(11,242)</w:t>
            </w:r>
          </w:p>
        </w:tc>
      </w:tr>
      <w:tr w:rsidR="00724034" w14:paraId="273D1495" w14:textId="77777777">
        <w:trPr>
          <w:trHeight w:val="225"/>
        </w:trPr>
        <w:tc>
          <w:tcPr>
            <w:tcW w:w="180" w:type="dxa"/>
            <w:tcBorders>
              <w:top w:val="nil"/>
              <w:left w:val="nil"/>
              <w:bottom w:val="nil"/>
              <w:right w:val="nil"/>
              <w:tl2br w:val="nil"/>
              <w:tr2bl w:val="nil"/>
            </w:tcBorders>
            <w:shd w:val="clear" w:color="auto" w:fill="FFFFFF"/>
            <w:tcMar>
              <w:left w:w="101" w:type="dxa"/>
              <w:right w:w="101" w:type="dxa"/>
            </w:tcMar>
            <w:vAlign w:val="bottom"/>
          </w:tcPr>
          <w:p w14:paraId="459B39ED" w14:textId="77777777" w:rsidR="003F0EEA" w:rsidRDefault="003F0EEA">
            <w:pPr>
              <w:rPr>
                <w:rFonts w:ascii="Arial" w:eastAsia="Arial" w:hAnsi="Arial" w:cs="Arial"/>
                <w:b/>
                <w:color w:val="000000"/>
                <w:sz w:val="16"/>
              </w:rPr>
            </w:pPr>
          </w:p>
        </w:tc>
        <w:tc>
          <w:tcPr>
            <w:tcW w:w="2280" w:type="dxa"/>
            <w:tcBorders>
              <w:top w:val="nil"/>
              <w:left w:val="nil"/>
              <w:bottom w:val="nil"/>
              <w:right w:val="nil"/>
              <w:tl2br w:val="nil"/>
              <w:tr2bl w:val="nil"/>
            </w:tcBorders>
            <w:shd w:val="clear" w:color="auto" w:fill="FFFFFF"/>
            <w:tcMar>
              <w:left w:w="101" w:type="dxa"/>
              <w:right w:w="101" w:type="dxa"/>
            </w:tcMar>
            <w:vAlign w:val="bottom"/>
          </w:tcPr>
          <w:p w14:paraId="6F0A06F2" w14:textId="77777777" w:rsidR="003F0EEA" w:rsidRDefault="003F0EEA">
            <w:pPr>
              <w:rPr>
                <w:rFonts w:ascii="Arial" w:eastAsia="Arial" w:hAnsi="Arial" w:cs="Arial"/>
                <w:b/>
                <w:color w:val="000000"/>
                <w:sz w:val="16"/>
              </w:rPr>
            </w:pP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6EB9678D" w14:textId="77777777" w:rsidR="003F0EEA" w:rsidRDefault="003F0EEA">
            <w:pPr>
              <w:jc w:val="center"/>
              <w:rPr>
                <w:rFonts w:ascii="Arial" w:eastAsia="Arial" w:hAnsi="Arial" w:cs="Arial"/>
                <w:b/>
                <w:color w:val="000000"/>
                <w:sz w:val="16"/>
                <w:vertAlign w:val="superscript"/>
              </w:rPr>
            </w:pPr>
          </w:p>
        </w:tc>
        <w:tc>
          <w:tcPr>
            <w:tcW w:w="1005" w:type="dxa"/>
            <w:tcBorders>
              <w:top w:val="single" w:sz="6" w:space="0" w:color="000000"/>
              <w:left w:val="nil"/>
              <w:bottom w:val="nil"/>
              <w:right w:val="nil"/>
              <w:tl2br w:val="nil"/>
              <w:tr2bl w:val="nil"/>
            </w:tcBorders>
            <w:shd w:val="clear" w:color="auto" w:fill="FFFF00"/>
            <w:tcMar>
              <w:left w:w="101" w:type="dxa"/>
              <w:right w:w="101" w:type="dxa"/>
            </w:tcMar>
            <w:vAlign w:val="bottom"/>
          </w:tcPr>
          <w:p w14:paraId="59C66CF4" w14:textId="77777777" w:rsidR="003F0EEA" w:rsidRDefault="003F0EEA">
            <w:pPr>
              <w:jc w:val="right"/>
              <w:rPr>
                <w:rFonts w:ascii="Arial" w:eastAsia="Arial" w:hAnsi="Arial" w:cs="Arial"/>
                <w:color w:val="000000"/>
                <w:sz w:val="16"/>
                <w:vertAlign w:val="superscript"/>
              </w:rPr>
            </w:pPr>
          </w:p>
        </w:tc>
        <w:tc>
          <w:tcPr>
            <w:tcW w:w="100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2C4EB9AA" w14:textId="77777777" w:rsidR="003F0EEA" w:rsidRDefault="003F0EEA">
            <w:pPr>
              <w:jc w:val="right"/>
              <w:rPr>
                <w:rFonts w:ascii="Arial" w:eastAsia="Arial" w:hAnsi="Arial" w:cs="Arial"/>
                <w:b/>
                <w:color w:val="000000"/>
                <w:sz w:val="16"/>
                <w:vertAlign w:val="superscript"/>
              </w:rPr>
            </w:pPr>
          </w:p>
        </w:tc>
        <w:tc>
          <w:tcPr>
            <w:tcW w:w="1005" w:type="dxa"/>
            <w:tcBorders>
              <w:top w:val="single" w:sz="6" w:space="0" w:color="000000"/>
              <w:left w:val="nil"/>
              <w:bottom w:val="nil"/>
              <w:right w:val="nil"/>
              <w:tl2br w:val="nil"/>
              <w:tr2bl w:val="nil"/>
            </w:tcBorders>
            <w:shd w:val="clear" w:color="auto" w:fill="FFFF00"/>
            <w:tcMar>
              <w:left w:w="101" w:type="dxa"/>
              <w:right w:w="101" w:type="dxa"/>
            </w:tcMar>
            <w:vAlign w:val="bottom"/>
          </w:tcPr>
          <w:p w14:paraId="63356D3F" w14:textId="77777777" w:rsidR="003F0EEA" w:rsidRDefault="003F0EEA">
            <w:pPr>
              <w:jc w:val="right"/>
              <w:rPr>
                <w:rFonts w:ascii="Arial" w:eastAsia="Arial" w:hAnsi="Arial" w:cs="Arial"/>
                <w:b/>
                <w:color w:val="000000"/>
                <w:sz w:val="16"/>
                <w:vertAlign w:val="superscript"/>
              </w:rPr>
            </w:pPr>
          </w:p>
        </w:tc>
        <w:tc>
          <w:tcPr>
            <w:tcW w:w="100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13ACF676" w14:textId="77777777" w:rsidR="003F0EEA" w:rsidRDefault="003F0EEA">
            <w:pPr>
              <w:jc w:val="right"/>
              <w:rPr>
                <w:rFonts w:ascii="Arial" w:eastAsia="Arial" w:hAnsi="Arial" w:cs="Arial"/>
                <w:b/>
                <w:color w:val="000000"/>
                <w:sz w:val="16"/>
                <w:vertAlign w:val="superscript"/>
              </w:rPr>
            </w:pPr>
          </w:p>
        </w:tc>
        <w:tc>
          <w:tcPr>
            <w:tcW w:w="1005" w:type="dxa"/>
            <w:tcBorders>
              <w:top w:val="single" w:sz="6" w:space="0" w:color="000000"/>
              <w:left w:val="nil"/>
              <w:bottom w:val="nil"/>
              <w:right w:val="nil"/>
              <w:tl2br w:val="nil"/>
              <w:tr2bl w:val="nil"/>
            </w:tcBorders>
            <w:shd w:val="clear" w:color="auto" w:fill="FFFF00"/>
            <w:tcMar>
              <w:left w:w="101" w:type="dxa"/>
              <w:right w:w="101" w:type="dxa"/>
            </w:tcMar>
            <w:vAlign w:val="bottom"/>
          </w:tcPr>
          <w:p w14:paraId="6D77C7E9" w14:textId="77777777" w:rsidR="003F0EEA" w:rsidRDefault="003F0EEA">
            <w:pPr>
              <w:jc w:val="right"/>
              <w:rPr>
                <w:rFonts w:ascii="Arial" w:eastAsia="Arial" w:hAnsi="Arial" w:cs="Arial"/>
                <w:b/>
                <w:color w:val="000000"/>
                <w:sz w:val="16"/>
                <w:vertAlign w:val="superscript"/>
              </w:rPr>
            </w:pPr>
          </w:p>
        </w:tc>
      </w:tr>
      <w:tr w:rsidR="00FB7D0B" w14:paraId="61C835C4" w14:textId="77777777" w:rsidTr="00FB7D0B">
        <w:trPr>
          <w:trHeight w:val="675"/>
        </w:trPr>
        <w:tc>
          <w:tcPr>
            <w:tcW w:w="2460" w:type="dxa"/>
            <w:gridSpan w:val="2"/>
            <w:tcBorders>
              <w:top w:val="nil"/>
              <w:left w:val="nil"/>
              <w:bottom w:val="nil"/>
              <w:right w:val="nil"/>
              <w:tl2br w:val="nil"/>
              <w:tr2bl w:val="nil"/>
            </w:tcBorders>
            <w:shd w:val="clear" w:color="auto" w:fill="FFFFFF"/>
            <w:tcMar>
              <w:left w:w="101" w:type="dxa"/>
              <w:right w:w="101" w:type="dxa"/>
            </w:tcMar>
            <w:vAlign w:val="bottom"/>
          </w:tcPr>
          <w:p w14:paraId="6D4B50FF" w14:textId="77777777" w:rsidR="003F0EEA" w:rsidRDefault="00FB7D0B">
            <w:pPr>
              <w:rPr>
                <w:rFonts w:ascii="Arial" w:eastAsia="Arial" w:hAnsi="Arial" w:cs="Arial"/>
                <w:b/>
                <w:color w:val="000000"/>
                <w:sz w:val="16"/>
                <w:vertAlign w:val="superscript"/>
              </w:rPr>
            </w:pPr>
            <w:r>
              <w:rPr>
                <w:rFonts w:ascii="Arial" w:eastAsia="Arial" w:hAnsi="Arial" w:cs="Arial"/>
                <w:color w:val="000000"/>
                <w:sz w:val="16"/>
              </w:rPr>
              <w:t>Department of Veterans' Affairs Enhanced Compliance Programme - additional reviews</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7D6F41AA" w14:textId="77777777" w:rsidR="003F0EEA" w:rsidRDefault="00FB7D0B">
            <w:pPr>
              <w:jc w:val="center"/>
              <w:rPr>
                <w:rFonts w:ascii="Arial" w:eastAsia="Arial" w:hAnsi="Arial" w:cs="Arial"/>
                <w:color w:val="000000"/>
                <w:sz w:val="16"/>
                <w:vertAlign w:val="superscript"/>
              </w:rPr>
            </w:pPr>
            <w:r>
              <w:rPr>
                <w:rFonts w:ascii="Arial" w:eastAsia="Arial" w:hAnsi="Arial" w:cs="Arial"/>
                <w:color w:val="000000"/>
                <w:sz w:val="16"/>
              </w:rPr>
              <w:t>1.1 </w:t>
            </w:r>
          </w:p>
        </w:tc>
        <w:tc>
          <w:tcPr>
            <w:tcW w:w="1005" w:type="dxa"/>
            <w:tcBorders>
              <w:top w:val="nil"/>
              <w:left w:val="nil"/>
              <w:bottom w:val="nil"/>
              <w:right w:val="nil"/>
              <w:tl2br w:val="nil"/>
              <w:tr2bl w:val="nil"/>
            </w:tcBorders>
            <w:shd w:val="clear" w:color="auto" w:fill="FFFF00"/>
            <w:tcMar>
              <w:left w:w="101" w:type="dxa"/>
              <w:right w:w="101" w:type="dxa"/>
            </w:tcMar>
            <w:vAlign w:val="bottom"/>
          </w:tcPr>
          <w:p w14:paraId="303720DA" w14:textId="77777777" w:rsidR="003F0EEA" w:rsidRDefault="003F0EEA">
            <w:pPr>
              <w:jc w:val="right"/>
              <w:rPr>
                <w:rFonts w:ascii="Arial" w:eastAsia="Arial" w:hAnsi="Arial" w:cs="Arial"/>
                <w:color w:val="000000"/>
                <w:sz w:val="16"/>
              </w:rPr>
            </w:pPr>
          </w:p>
        </w:tc>
        <w:tc>
          <w:tcPr>
            <w:tcW w:w="1005" w:type="dxa"/>
            <w:tcBorders>
              <w:top w:val="nil"/>
              <w:left w:val="nil"/>
              <w:bottom w:val="nil"/>
              <w:right w:val="nil"/>
              <w:tl2br w:val="nil"/>
              <w:tr2bl w:val="nil"/>
            </w:tcBorders>
            <w:shd w:val="clear" w:color="auto" w:fill="FFFFFF"/>
            <w:tcMar>
              <w:left w:w="101" w:type="dxa"/>
              <w:right w:w="101" w:type="dxa"/>
            </w:tcMar>
            <w:vAlign w:val="bottom"/>
          </w:tcPr>
          <w:p w14:paraId="4DF41C0B" w14:textId="77777777" w:rsidR="003F0EEA" w:rsidRDefault="003F0EEA">
            <w:pPr>
              <w:jc w:val="right"/>
              <w:rPr>
                <w:rFonts w:ascii="Arial" w:eastAsia="Arial" w:hAnsi="Arial" w:cs="Arial"/>
                <w:color w:val="000000"/>
                <w:sz w:val="16"/>
              </w:rPr>
            </w:pPr>
          </w:p>
        </w:tc>
        <w:tc>
          <w:tcPr>
            <w:tcW w:w="1005" w:type="dxa"/>
            <w:tcBorders>
              <w:top w:val="nil"/>
              <w:left w:val="nil"/>
              <w:bottom w:val="nil"/>
              <w:right w:val="nil"/>
              <w:tl2br w:val="nil"/>
              <w:tr2bl w:val="nil"/>
            </w:tcBorders>
            <w:shd w:val="clear" w:color="auto" w:fill="FFFF00"/>
            <w:tcMar>
              <w:left w:w="101" w:type="dxa"/>
              <w:right w:w="101" w:type="dxa"/>
            </w:tcMar>
            <w:vAlign w:val="bottom"/>
          </w:tcPr>
          <w:p w14:paraId="28E4AB76" w14:textId="77777777" w:rsidR="003F0EEA" w:rsidRDefault="003F0EEA">
            <w:pPr>
              <w:jc w:val="right"/>
              <w:rPr>
                <w:rFonts w:ascii="Arial" w:eastAsia="Arial" w:hAnsi="Arial" w:cs="Arial"/>
                <w:color w:val="000000"/>
                <w:sz w:val="16"/>
              </w:rPr>
            </w:pPr>
          </w:p>
        </w:tc>
        <w:tc>
          <w:tcPr>
            <w:tcW w:w="1005" w:type="dxa"/>
            <w:tcBorders>
              <w:top w:val="nil"/>
              <w:left w:val="nil"/>
              <w:bottom w:val="nil"/>
              <w:right w:val="nil"/>
              <w:tl2br w:val="nil"/>
              <w:tr2bl w:val="nil"/>
            </w:tcBorders>
            <w:shd w:val="clear" w:color="auto" w:fill="FFFFFF"/>
            <w:tcMar>
              <w:left w:w="101" w:type="dxa"/>
              <w:right w:w="101" w:type="dxa"/>
            </w:tcMar>
            <w:vAlign w:val="bottom"/>
          </w:tcPr>
          <w:p w14:paraId="6792A30F" w14:textId="77777777" w:rsidR="003F0EEA" w:rsidRDefault="003F0EEA">
            <w:pPr>
              <w:jc w:val="right"/>
              <w:rPr>
                <w:rFonts w:ascii="Arial" w:eastAsia="Arial" w:hAnsi="Arial" w:cs="Arial"/>
                <w:color w:val="000000"/>
                <w:sz w:val="16"/>
              </w:rPr>
            </w:pPr>
          </w:p>
        </w:tc>
        <w:tc>
          <w:tcPr>
            <w:tcW w:w="1005" w:type="dxa"/>
            <w:tcBorders>
              <w:top w:val="nil"/>
              <w:left w:val="nil"/>
              <w:bottom w:val="nil"/>
              <w:right w:val="nil"/>
              <w:tl2br w:val="nil"/>
              <w:tr2bl w:val="nil"/>
            </w:tcBorders>
            <w:shd w:val="clear" w:color="auto" w:fill="FFFF00"/>
            <w:tcMar>
              <w:left w:w="101" w:type="dxa"/>
              <w:right w:w="101" w:type="dxa"/>
            </w:tcMar>
            <w:vAlign w:val="bottom"/>
          </w:tcPr>
          <w:p w14:paraId="7F866471" w14:textId="77777777" w:rsidR="003F0EEA" w:rsidRDefault="003F0EEA">
            <w:pPr>
              <w:jc w:val="right"/>
              <w:rPr>
                <w:rFonts w:ascii="Arial" w:eastAsia="Arial" w:hAnsi="Arial" w:cs="Arial"/>
                <w:color w:val="000000"/>
                <w:sz w:val="16"/>
              </w:rPr>
            </w:pPr>
          </w:p>
        </w:tc>
      </w:tr>
      <w:tr w:rsidR="00724034" w14:paraId="42A2E012" w14:textId="77777777">
        <w:trPr>
          <w:trHeight w:val="225"/>
        </w:trPr>
        <w:tc>
          <w:tcPr>
            <w:tcW w:w="180" w:type="dxa"/>
            <w:tcBorders>
              <w:top w:val="nil"/>
              <w:left w:val="nil"/>
              <w:bottom w:val="nil"/>
              <w:right w:val="nil"/>
              <w:tl2br w:val="nil"/>
              <w:tr2bl w:val="nil"/>
            </w:tcBorders>
            <w:shd w:val="clear" w:color="auto" w:fill="FFFFFF"/>
            <w:tcMar>
              <w:left w:w="101" w:type="dxa"/>
              <w:right w:w="101" w:type="dxa"/>
            </w:tcMar>
            <w:vAlign w:val="bottom"/>
          </w:tcPr>
          <w:p w14:paraId="58C37DA3" w14:textId="77777777" w:rsidR="003F0EEA" w:rsidRDefault="003F0EEA">
            <w:pPr>
              <w:rPr>
                <w:rFonts w:ascii="Arial" w:eastAsia="Arial" w:hAnsi="Arial" w:cs="Arial"/>
                <w:color w:val="000000"/>
                <w:sz w:val="16"/>
              </w:rPr>
            </w:pPr>
          </w:p>
        </w:tc>
        <w:tc>
          <w:tcPr>
            <w:tcW w:w="2280" w:type="dxa"/>
            <w:tcBorders>
              <w:top w:val="nil"/>
              <w:left w:val="nil"/>
              <w:bottom w:val="nil"/>
              <w:right w:val="nil"/>
              <w:tl2br w:val="nil"/>
              <w:tr2bl w:val="nil"/>
            </w:tcBorders>
            <w:shd w:val="clear" w:color="auto" w:fill="FFFFFF"/>
            <w:tcMar>
              <w:left w:w="101" w:type="dxa"/>
              <w:right w:w="101" w:type="dxa"/>
            </w:tcMar>
            <w:vAlign w:val="bottom"/>
          </w:tcPr>
          <w:p w14:paraId="5EB7C375" w14:textId="77777777" w:rsidR="003F0EEA" w:rsidRDefault="00FB7D0B">
            <w:pPr>
              <w:rPr>
                <w:rFonts w:ascii="Arial" w:eastAsia="Arial" w:hAnsi="Arial" w:cs="Arial"/>
                <w:color w:val="000000"/>
                <w:sz w:val="16"/>
              </w:rPr>
            </w:pPr>
            <w:r>
              <w:rPr>
                <w:rFonts w:ascii="Arial" w:eastAsia="Arial" w:hAnsi="Arial" w:cs="Arial"/>
                <w:color w:val="000000"/>
                <w:sz w:val="16"/>
              </w:rPr>
              <w:t>Administered expenses</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4AD25943" w14:textId="77777777" w:rsidR="003F0EEA" w:rsidRDefault="003F0EEA">
            <w:pPr>
              <w:jc w:val="center"/>
              <w:rPr>
                <w:rFonts w:ascii="Arial" w:eastAsia="Arial" w:hAnsi="Arial" w:cs="Arial"/>
                <w:color w:val="000000"/>
                <w:sz w:val="16"/>
                <w:vertAlign w:val="superscript"/>
              </w:rPr>
            </w:pPr>
          </w:p>
        </w:tc>
        <w:tc>
          <w:tcPr>
            <w:tcW w:w="1005" w:type="dxa"/>
            <w:tcBorders>
              <w:top w:val="nil"/>
              <w:left w:val="nil"/>
              <w:bottom w:val="nil"/>
              <w:right w:val="nil"/>
              <w:tl2br w:val="nil"/>
              <w:tr2bl w:val="nil"/>
            </w:tcBorders>
            <w:shd w:val="clear" w:color="auto" w:fill="FFFF00"/>
            <w:tcMar>
              <w:left w:w="101" w:type="dxa"/>
              <w:right w:w="101" w:type="dxa"/>
            </w:tcMar>
            <w:vAlign w:val="bottom"/>
          </w:tcPr>
          <w:p w14:paraId="02B73F8D" w14:textId="77777777" w:rsidR="003F0EEA" w:rsidRDefault="00FB7D0B">
            <w:pPr>
              <w:jc w:val="right"/>
              <w:rPr>
                <w:rFonts w:ascii="Arial" w:eastAsia="Arial" w:hAnsi="Arial" w:cs="Arial"/>
                <w:color w:val="000000"/>
                <w:sz w:val="16"/>
                <w:vertAlign w:val="superscript"/>
              </w:rPr>
            </w:pPr>
            <w:r>
              <w:rPr>
                <w:rFonts w:ascii="Arial" w:eastAsia="Arial" w:hAnsi="Arial" w:cs="Arial"/>
                <w:color w:val="000000"/>
                <w:sz w:val="16"/>
              </w:rPr>
              <w:t xml:space="preserve"> - </w:t>
            </w:r>
          </w:p>
        </w:tc>
        <w:tc>
          <w:tcPr>
            <w:tcW w:w="1005" w:type="dxa"/>
            <w:tcBorders>
              <w:top w:val="nil"/>
              <w:left w:val="nil"/>
              <w:bottom w:val="nil"/>
              <w:right w:val="nil"/>
              <w:tl2br w:val="nil"/>
              <w:tr2bl w:val="nil"/>
            </w:tcBorders>
            <w:shd w:val="clear" w:color="auto" w:fill="FFFFFF"/>
            <w:tcMar>
              <w:left w:w="101" w:type="dxa"/>
              <w:right w:w="101" w:type="dxa"/>
            </w:tcMar>
            <w:vAlign w:val="bottom"/>
          </w:tcPr>
          <w:p w14:paraId="4B0DC064" w14:textId="77777777" w:rsidR="003F0EEA" w:rsidRDefault="00FB7D0B">
            <w:pPr>
              <w:jc w:val="right"/>
              <w:rPr>
                <w:rFonts w:ascii="Arial" w:eastAsia="Arial" w:hAnsi="Arial" w:cs="Arial"/>
                <w:color w:val="000000"/>
                <w:sz w:val="16"/>
              </w:rPr>
            </w:pPr>
            <w:r>
              <w:rPr>
                <w:rFonts w:ascii="Arial" w:eastAsia="Arial" w:hAnsi="Arial" w:cs="Arial"/>
                <w:color w:val="000000"/>
                <w:sz w:val="16"/>
              </w:rPr>
              <w:t>(4,061)</w:t>
            </w:r>
          </w:p>
        </w:tc>
        <w:tc>
          <w:tcPr>
            <w:tcW w:w="1005" w:type="dxa"/>
            <w:tcBorders>
              <w:top w:val="nil"/>
              <w:left w:val="nil"/>
              <w:bottom w:val="nil"/>
              <w:right w:val="nil"/>
              <w:tl2br w:val="nil"/>
              <w:tr2bl w:val="nil"/>
            </w:tcBorders>
            <w:shd w:val="clear" w:color="auto" w:fill="FFFF00"/>
            <w:tcMar>
              <w:left w:w="101" w:type="dxa"/>
              <w:right w:w="101" w:type="dxa"/>
            </w:tcMar>
            <w:vAlign w:val="bottom"/>
          </w:tcPr>
          <w:p w14:paraId="699A90B3" w14:textId="77777777" w:rsidR="003F0EEA" w:rsidRDefault="00FB7D0B">
            <w:pPr>
              <w:jc w:val="right"/>
              <w:rPr>
                <w:rFonts w:ascii="Arial" w:eastAsia="Arial" w:hAnsi="Arial" w:cs="Arial"/>
                <w:color w:val="000000"/>
                <w:sz w:val="16"/>
              </w:rPr>
            </w:pPr>
            <w:r>
              <w:rPr>
                <w:rFonts w:ascii="Arial" w:eastAsia="Arial" w:hAnsi="Arial" w:cs="Arial"/>
                <w:color w:val="000000"/>
                <w:sz w:val="16"/>
              </w:rPr>
              <w:t>(10,430)</w:t>
            </w:r>
          </w:p>
        </w:tc>
        <w:tc>
          <w:tcPr>
            <w:tcW w:w="1005" w:type="dxa"/>
            <w:tcBorders>
              <w:top w:val="nil"/>
              <w:left w:val="nil"/>
              <w:bottom w:val="nil"/>
              <w:right w:val="nil"/>
              <w:tl2br w:val="nil"/>
              <w:tr2bl w:val="nil"/>
            </w:tcBorders>
            <w:shd w:val="clear" w:color="auto" w:fill="FFFFFF"/>
            <w:tcMar>
              <w:left w:w="101" w:type="dxa"/>
              <w:right w:w="101" w:type="dxa"/>
            </w:tcMar>
            <w:vAlign w:val="bottom"/>
          </w:tcPr>
          <w:p w14:paraId="69AE01BC" w14:textId="77777777" w:rsidR="003F0EEA" w:rsidRDefault="00FB7D0B">
            <w:pPr>
              <w:jc w:val="right"/>
              <w:rPr>
                <w:rFonts w:ascii="Arial" w:eastAsia="Arial" w:hAnsi="Arial" w:cs="Arial"/>
                <w:color w:val="000000"/>
                <w:sz w:val="16"/>
              </w:rPr>
            </w:pPr>
            <w:r>
              <w:rPr>
                <w:rFonts w:ascii="Arial" w:eastAsia="Arial" w:hAnsi="Arial" w:cs="Arial"/>
                <w:color w:val="000000"/>
                <w:sz w:val="16"/>
              </w:rPr>
              <w:t>(13,600)</w:t>
            </w:r>
          </w:p>
        </w:tc>
        <w:tc>
          <w:tcPr>
            <w:tcW w:w="1005" w:type="dxa"/>
            <w:tcBorders>
              <w:top w:val="nil"/>
              <w:left w:val="nil"/>
              <w:bottom w:val="nil"/>
              <w:right w:val="nil"/>
              <w:tl2br w:val="nil"/>
              <w:tr2bl w:val="nil"/>
            </w:tcBorders>
            <w:shd w:val="clear" w:color="auto" w:fill="FFFF00"/>
            <w:tcMar>
              <w:left w:w="101" w:type="dxa"/>
              <w:right w:w="101" w:type="dxa"/>
            </w:tcMar>
            <w:vAlign w:val="bottom"/>
          </w:tcPr>
          <w:p w14:paraId="538579EA" w14:textId="77777777" w:rsidR="003F0EEA" w:rsidRDefault="00FB7D0B">
            <w:pPr>
              <w:jc w:val="right"/>
              <w:rPr>
                <w:rFonts w:ascii="Arial" w:eastAsia="Arial" w:hAnsi="Arial" w:cs="Arial"/>
                <w:color w:val="000000"/>
                <w:sz w:val="16"/>
              </w:rPr>
            </w:pPr>
            <w:r>
              <w:rPr>
                <w:rFonts w:ascii="Arial" w:eastAsia="Arial" w:hAnsi="Arial" w:cs="Arial"/>
                <w:color w:val="000000"/>
                <w:sz w:val="16"/>
              </w:rPr>
              <w:t>(13,978)</w:t>
            </w:r>
          </w:p>
        </w:tc>
      </w:tr>
      <w:tr w:rsidR="00724034" w14:paraId="729B21F6" w14:textId="77777777">
        <w:trPr>
          <w:trHeight w:val="225"/>
        </w:trPr>
        <w:tc>
          <w:tcPr>
            <w:tcW w:w="180" w:type="dxa"/>
            <w:tcBorders>
              <w:top w:val="nil"/>
              <w:left w:val="nil"/>
              <w:bottom w:val="nil"/>
              <w:right w:val="nil"/>
              <w:tl2br w:val="nil"/>
              <w:tr2bl w:val="nil"/>
            </w:tcBorders>
            <w:shd w:val="clear" w:color="auto" w:fill="FFFFFF"/>
            <w:tcMar>
              <w:left w:w="101" w:type="dxa"/>
              <w:right w:w="101" w:type="dxa"/>
            </w:tcMar>
            <w:vAlign w:val="bottom"/>
          </w:tcPr>
          <w:p w14:paraId="7D7AF91D" w14:textId="77777777" w:rsidR="003F0EEA" w:rsidRDefault="003F0EEA">
            <w:pPr>
              <w:rPr>
                <w:rFonts w:ascii="Arial" w:eastAsia="Arial" w:hAnsi="Arial" w:cs="Arial"/>
                <w:color w:val="000000"/>
                <w:sz w:val="16"/>
              </w:rPr>
            </w:pPr>
          </w:p>
        </w:tc>
        <w:tc>
          <w:tcPr>
            <w:tcW w:w="2280" w:type="dxa"/>
            <w:tcBorders>
              <w:top w:val="nil"/>
              <w:left w:val="nil"/>
              <w:bottom w:val="nil"/>
              <w:right w:val="nil"/>
              <w:tl2br w:val="nil"/>
              <w:tr2bl w:val="nil"/>
            </w:tcBorders>
            <w:shd w:val="clear" w:color="auto" w:fill="FFFFFF"/>
            <w:tcMar>
              <w:left w:w="101" w:type="dxa"/>
              <w:right w:w="101" w:type="dxa"/>
            </w:tcMar>
            <w:vAlign w:val="bottom"/>
          </w:tcPr>
          <w:p w14:paraId="71B3C0EC" w14:textId="77777777" w:rsidR="003F0EEA" w:rsidRDefault="00FB7D0B">
            <w:pPr>
              <w:rPr>
                <w:rFonts w:ascii="Arial" w:eastAsia="Arial" w:hAnsi="Arial" w:cs="Arial"/>
                <w:color w:val="000000"/>
                <w:sz w:val="16"/>
              </w:rPr>
            </w:pPr>
            <w:r>
              <w:rPr>
                <w:rFonts w:ascii="Arial" w:eastAsia="Arial" w:hAnsi="Arial" w:cs="Arial"/>
                <w:color w:val="000000"/>
                <w:sz w:val="16"/>
              </w:rPr>
              <w:t>Departmental expenses</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17FD1373" w14:textId="77777777" w:rsidR="003F0EEA" w:rsidRDefault="003F0EEA">
            <w:pPr>
              <w:jc w:val="center"/>
              <w:rPr>
                <w:rFonts w:ascii="Arial" w:eastAsia="Arial" w:hAnsi="Arial" w:cs="Arial"/>
                <w:color w:val="000000"/>
                <w:sz w:val="16"/>
                <w:vertAlign w:val="superscript"/>
              </w:rPr>
            </w:pPr>
          </w:p>
        </w:tc>
        <w:tc>
          <w:tcPr>
            <w:tcW w:w="1005" w:type="dxa"/>
            <w:tcBorders>
              <w:top w:val="nil"/>
              <w:left w:val="nil"/>
              <w:bottom w:val="nil"/>
              <w:right w:val="nil"/>
              <w:tl2br w:val="nil"/>
              <w:tr2bl w:val="nil"/>
            </w:tcBorders>
            <w:shd w:val="clear" w:color="auto" w:fill="FFFF00"/>
            <w:tcMar>
              <w:left w:w="101" w:type="dxa"/>
              <w:right w:w="101" w:type="dxa"/>
            </w:tcMar>
            <w:vAlign w:val="bottom"/>
          </w:tcPr>
          <w:p w14:paraId="62DFE40A" w14:textId="77777777" w:rsidR="003F0EEA" w:rsidRDefault="00FB7D0B">
            <w:pPr>
              <w:jc w:val="right"/>
              <w:rPr>
                <w:rFonts w:ascii="Arial" w:eastAsia="Arial" w:hAnsi="Arial" w:cs="Arial"/>
                <w:color w:val="000000"/>
                <w:sz w:val="16"/>
                <w:vertAlign w:val="superscript"/>
              </w:rPr>
            </w:pPr>
            <w:r>
              <w:rPr>
                <w:rFonts w:ascii="Arial" w:eastAsia="Arial" w:hAnsi="Arial" w:cs="Arial"/>
                <w:color w:val="000000"/>
                <w:sz w:val="16"/>
              </w:rPr>
              <w:t xml:space="preserve"> - </w:t>
            </w:r>
          </w:p>
        </w:tc>
        <w:tc>
          <w:tcPr>
            <w:tcW w:w="1005" w:type="dxa"/>
            <w:tcBorders>
              <w:top w:val="nil"/>
              <w:left w:val="nil"/>
              <w:bottom w:val="nil"/>
              <w:right w:val="nil"/>
              <w:tl2br w:val="nil"/>
              <w:tr2bl w:val="nil"/>
            </w:tcBorders>
            <w:shd w:val="clear" w:color="auto" w:fill="FFFFFF"/>
            <w:tcMar>
              <w:left w:w="101" w:type="dxa"/>
              <w:right w:w="101" w:type="dxa"/>
            </w:tcMar>
            <w:vAlign w:val="bottom"/>
          </w:tcPr>
          <w:p w14:paraId="423C357D" w14:textId="77777777" w:rsidR="003F0EEA" w:rsidRDefault="00FB7D0B">
            <w:pPr>
              <w:jc w:val="right"/>
              <w:rPr>
                <w:rFonts w:ascii="Arial" w:eastAsia="Arial" w:hAnsi="Arial" w:cs="Arial"/>
                <w:color w:val="000000"/>
                <w:sz w:val="16"/>
              </w:rPr>
            </w:pPr>
            <w:r>
              <w:rPr>
                <w:rFonts w:ascii="Arial" w:eastAsia="Arial" w:hAnsi="Arial" w:cs="Arial"/>
                <w:color w:val="000000"/>
                <w:sz w:val="16"/>
              </w:rPr>
              <w:t xml:space="preserve"> - </w:t>
            </w:r>
          </w:p>
        </w:tc>
        <w:tc>
          <w:tcPr>
            <w:tcW w:w="1005" w:type="dxa"/>
            <w:tcBorders>
              <w:top w:val="nil"/>
              <w:left w:val="nil"/>
              <w:bottom w:val="nil"/>
              <w:right w:val="nil"/>
              <w:tl2br w:val="nil"/>
              <w:tr2bl w:val="nil"/>
            </w:tcBorders>
            <w:shd w:val="clear" w:color="auto" w:fill="FFFF00"/>
            <w:tcMar>
              <w:left w:w="101" w:type="dxa"/>
              <w:right w:w="101" w:type="dxa"/>
            </w:tcMar>
            <w:vAlign w:val="bottom"/>
          </w:tcPr>
          <w:p w14:paraId="1ADCDECB" w14:textId="77777777" w:rsidR="003F0EEA" w:rsidRDefault="00FB7D0B">
            <w:pPr>
              <w:jc w:val="right"/>
              <w:rPr>
                <w:rFonts w:ascii="Arial" w:eastAsia="Arial" w:hAnsi="Arial" w:cs="Arial"/>
                <w:color w:val="000000"/>
                <w:sz w:val="16"/>
              </w:rPr>
            </w:pPr>
            <w:r>
              <w:rPr>
                <w:rFonts w:ascii="Arial" w:eastAsia="Arial" w:hAnsi="Arial" w:cs="Arial"/>
                <w:color w:val="000000"/>
                <w:sz w:val="16"/>
              </w:rPr>
              <w:t xml:space="preserve"> - </w:t>
            </w:r>
          </w:p>
        </w:tc>
        <w:tc>
          <w:tcPr>
            <w:tcW w:w="1005" w:type="dxa"/>
            <w:tcBorders>
              <w:top w:val="nil"/>
              <w:left w:val="nil"/>
              <w:bottom w:val="nil"/>
              <w:right w:val="nil"/>
              <w:tl2br w:val="nil"/>
              <w:tr2bl w:val="nil"/>
            </w:tcBorders>
            <w:shd w:val="clear" w:color="auto" w:fill="FFFFFF"/>
            <w:tcMar>
              <w:left w:w="101" w:type="dxa"/>
              <w:right w:w="101" w:type="dxa"/>
            </w:tcMar>
            <w:vAlign w:val="bottom"/>
          </w:tcPr>
          <w:p w14:paraId="265BD82E" w14:textId="77777777" w:rsidR="003F0EEA" w:rsidRDefault="00FB7D0B">
            <w:pPr>
              <w:jc w:val="right"/>
              <w:rPr>
                <w:rFonts w:ascii="Arial" w:eastAsia="Arial" w:hAnsi="Arial" w:cs="Arial"/>
                <w:color w:val="000000"/>
                <w:sz w:val="16"/>
              </w:rPr>
            </w:pPr>
            <w:r>
              <w:rPr>
                <w:rFonts w:ascii="Arial" w:eastAsia="Arial" w:hAnsi="Arial" w:cs="Arial"/>
                <w:color w:val="000000"/>
                <w:sz w:val="16"/>
              </w:rPr>
              <w:t xml:space="preserve"> - </w:t>
            </w:r>
          </w:p>
        </w:tc>
        <w:tc>
          <w:tcPr>
            <w:tcW w:w="1005" w:type="dxa"/>
            <w:tcBorders>
              <w:top w:val="nil"/>
              <w:left w:val="nil"/>
              <w:bottom w:val="nil"/>
              <w:right w:val="nil"/>
              <w:tl2br w:val="nil"/>
              <w:tr2bl w:val="nil"/>
            </w:tcBorders>
            <w:shd w:val="clear" w:color="auto" w:fill="FFFF00"/>
            <w:tcMar>
              <w:left w:w="101" w:type="dxa"/>
              <w:right w:w="101" w:type="dxa"/>
            </w:tcMar>
            <w:vAlign w:val="bottom"/>
          </w:tcPr>
          <w:p w14:paraId="2C812CA9" w14:textId="77777777" w:rsidR="003F0EEA" w:rsidRDefault="00FB7D0B">
            <w:pPr>
              <w:jc w:val="right"/>
              <w:rPr>
                <w:rFonts w:ascii="Arial" w:eastAsia="Arial" w:hAnsi="Arial" w:cs="Arial"/>
                <w:color w:val="000000"/>
                <w:sz w:val="16"/>
              </w:rPr>
            </w:pPr>
            <w:r>
              <w:rPr>
                <w:rFonts w:ascii="Arial" w:eastAsia="Arial" w:hAnsi="Arial" w:cs="Arial"/>
                <w:color w:val="000000"/>
                <w:sz w:val="16"/>
              </w:rPr>
              <w:t xml:space="preserve"> - </w:t>
            </w:r>
          </w:p>
        </w:tc>
      </w:tr>
      <w:tr w:rsidR="00FB7D0B" w14:paraId="22B4D4B5" w14:textId="77777777" w:rsidTr="00FB7D0B">
        <w:trPr>
          <w:trHeight w:val="225"/>
        </w:trPr>
        <w:tc>
          <w:tcPr>
            <w:tcW w:w="2460" w:type="dxa"/>
            <w:gridSpan w:val="2"/>
            <w:tcBorders>
              <w:top w:val="nil"/>
              <w:left w:val="nil"/>
              <w:bottom w:val="nil"/>
              <w:right w:val="nil"/>
              <w:tl2br w:val="nil"/>
              <w:tr2bl w:val="nil"/>
            </w:tcBorders>
            <w:shd w:val="clear" w:color="auto" w:fill="FFFFFF"/>
            <w:tcMar>
              <w:left w:w="101" w:type="dxa"/>
              <w:right w:w="101" w:type="dxa"/>
            </w:tcMar>
            <w:vAlign w:val="bottom"/>
          </w:tcPr>
          <w:p w14:paraId="4472E103" w14:textId="77777777" w:rsidR="003F0EEA" w:rsidRDefault="00FB7D0B">
            <w:pPr>
              <w:rPr>
                <w:rFonts w:ascii="Arial" w:eastAsia="Arial" w:hAnsi="Arial" w:cs="Arial"/>
                <w:color w:val="000000"/>
                <w:sz w:val="16"/>
              </w:rPr>
            </w:pPr>
            <w:r>
              <w:rPr>
                <w:rFonts w:ascii="Arial" w:eastAsia="Arial" w:hAnsi="Arial" w:cs="Arial"/>
                <w:b/>
                <w:color w:val="000000"/>
                <w:sz w:val="16"/>
              </w:rPr>
              <w:t xml:space="preserve">Total </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062F19AB" w14:textId="77777777" w:rsidR="003F0EEA" w:rsidRDefault="003F0EEA">
            <w:pPr>
              <w:jc w:val="center"/>
              <w:rPr>
                <w:rFonts w:ascii="Arial" w:eastAsia="Arial" w:hAnsi="Arial" w:cs="Arial"/>
                <w:b/>
                <w:color w:val="000000"/>
                <w:sz w:val="16"/>
                <w:vertAlign w:val="superscript"/>
              </w:rPr>
            </w:pPr>
          </w:p>
        </w:tc>
        <w:tc>
          <w:tcPr>
            <w:tcW w:w="1005" w:type="dxa"/>
            <w:tcBorders>
              <w:top w:val="nil"/>
              <w:left w:val="nil"/>
              <w:bottom w:val="single" w:sz="6" w:space="0" w:color="000000"/>
              <w:right w:val="nil"/>
              <w:tl2br w:val="nil"/>
              <w:tr2bl w:val="nil"/>
            </w:tcBorders>
            <w:shd w:val="clear" w:color="auto" w:fill="FFFF00"/>
            <w:tcMar>
              <w:left w:w="101" w:type="dxa"/>
              <w:right w:w="101" w:type="dxa"/>
            </w:tcMar>
            <w:vAlign w:val="bottom"/>
          </w:tcPr>
          <w:p w14:paraId="57F865F9" w14:textId="77777777" w:rsidR="003F0EEA" w:rsidRDefault="00FB7D0B">
            <w:pPr>
              <w:jc w:val="right"/>
              <w:rPr>
                <w:rFonts w:ascii="Arial" w:eastAsia="Arial" w:hAnsi="Arial" w:cs="Arial"/>
                <w:color w:val="000000"/>
                <w:sz w:val="16"/>
                <w:vertAlign w:val="superscript"/>
              </w:rPr>
            </w:pPr>
            <w:r>
              <w:rPr>
                <w:rFonts w:ascii="Arial" w:eastAsia="Arial" w:hAnsi="Arial" w:cs="Arial"/>
                <w:b/>
                <w:color w:val="000000"/>
                <w:sz w:val="16"/>
              </w:rPr>
              <w:t xml:space="preserve"> - </w:t>
            </w:r>
          </w:p>
        </w:tc>
        <w:tc>
          <w:tcPr>
            <w:tcW w:w="1005"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6F6CEBC7" w14:textId="77777777" w:rsidR="003F0EEA" w:rsidRDefault="00FB7D0B">
            <w:pPr>
              <w:jc w:val="right"/>
              <w:rPr>
                <w:rFonts w:ascii="Arial" w:eastAsia="Arial" w:hAnsi="Arial" w:cs="Arial"/>
                <w:b/>
                <w:color w:val="000000"/>
                <w:sz w:val="16"/>
              </w:rPr>
            </w:pPr>
            <w:r>
              <w:rPr>
                <w:rFonts w:ascii="Arial" w:eastAsia="Arial" w:hAnsi="Arial" w:cs="Arial"/>
                <w:b/>
                <w:color w:val="000000"/>
                <w:sz w:val="16"/>
              </w:rPr>
              <w:t>(4,061)</w:t>
            </w:r>
          </w:p>
        </w:tc>
        <w:tc>
          <w:tcPr>
            <w:tcW w:w="1005" w:type="dxa"/>
            <w:tcBorders>
              <w:top w:val="nil"/>
              <w:left w:val="nil"/>
              <w:bottom w:val="single" w:sz="6" w:space="0" w:color="000000"/>
              <w:right w:val="nil"/>
              <w:tl2br w:val="nil"/>
              <w:tr2bl w:val="nil"/>
            </w:tcBorders>
            <w:shd w:val="clear" w:color="auto" w:fill="FFFF00"/>
            <w:tcMar>
              <w:left w:w="101" w:type="dxa"/>
              <w:right w:w="101" w:type="dxa"/>
            </w:tcMar>
            <w:vAlign w:val="bottom"/>
          </w:tcPr>
          <w:p w14:paraId="409E27D4" w14:textId="77777777" w:rsidR="003F0EEA" w:rsidRDefault="00FB7D0B">
            <w:pPr>
              <w:jc w:val="right"/>
              <w:rPr>
                <w:rFonts w:ascii="Arial" w:eastAsia="Arial" w:hAnsi="Arial" w:cs="Arial"/>
                <w:b/>
                <w:color w:val="000000"/>
                <w:sz w:val="16"/>
              </w:rPr>
            </w:pPr>
            <w:r>
              <w:rPr>
                <w:rFonts w:ascii="Arial" w:eastAsia="Arial" w:hAnsi="Arial" w:cs="Arial"/>
                <w:b/>
                <w:color w:val="000000"/>
                <w:sz w:val="16"/>
              </w:rPr>
              <w:t>(10,430)</w:t>
            </w:r>
          </w:p>
        </w:tc>
        <w:tc>
          <w:tcPr>
            <w:tcW w:w="1005"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0E6AD7A5" w14:textId="77777777" w:rsidR="003F0EEA" w:rsidRDefault="00FB7D0B">
            <w:pPr>
              <w:jc w:val="right"/>
              <w:rPr>
                <w:rFonts w:ascii="Arial" w:eastAsia="Arial" w:hAnsi="Arial" w:cs="Arial"/>
                <w:b/>
                <w:color w:val="000000"/>
                <w:sz w:val="16"/>
              </w:rPr>
            </w:pPr>
            <w:r>
              <w:rPr>
                <w:rFonts w:ascii="Arial" w:eastAsia="Arial" w:hAnsi="Arial" w:cs="Arial"/>
                <w:b/>
                <w:color w:val="000000"/>
                <w:sz w:val="16"/>
              </w:rPr>
              <w:t>(13,600)</w:t>
            </w:r>
          </w:p>
        </w:tc>
        <w:tc>
          <w:tcPr>
            <w:tcW w:w="1005" w:type="dxa"/>
            <w:tcBorders>
              <w:top w:val="nil"/>
              <w:left w:val="nil"/>
              <w:bottom w:val="single" w:sz="6" w:space="0" w:color="000000"/>
              <w:right w:val="nil"/>
              <w:tl2br w:val="nil"/>
              <w:tr2bl w:val="nil"/>
            </w:tcBorders>
            <w:shd w:val="clear" w:color="auto" w:fill="FFFF00"/>
            <w:tcMar>
              <w:left w:w="101" w:type="dxa"/>
              <w:right w:w="101" w:type="dxa"/>
            </w:tcMar>
            <w:vAlign w:val="bottom"/>
          </w:tcPr>
          <w:p w14:paraId="33DF906F" w14:textId="77777777" w:rsidR="003F0EEA" w:rsidRDefault="00FB7D0B">
            <w:pPr>
              <w:jc w:val="right"/>
              <w:rPr>
                <w:rFonts w:ascii="Arial" w:eastAsia="Arial" w:hAnsi="Arial" w:cs="Arial"/>
                <w:b/>
                <w:color w:val="000000"/>
                <w:sz w:val="16"/>
              </w:rPr>
            </w:pPr>
            <w:r>
              <w:rPr>
                <w:rFonts w:ascii="Arial" w:eastAsia="Arial" w:hAnsi="Arial" w:cs="Arial"/>
                <w:b/>
                <w:color w:val="000000"/>
                <w:sz w:val="16"/>
              </w:rPr>
              <w:t>(13,978)</w:t>
            </w:r>
          </w:p>
        </w:tc>
      </w:tr>
      <w:tr w:rsidR="00724034" w14:paraId="376EDAC0" w14:textId="77777777">
        <w:trPr>
          <w:trHeight w:val="225"/>
        </w:trPr>
        <w:tc>
          <w:tcPr>
            <w:tcW w:w="180" w:type="dxa"/>
            <w:tcBorders>
              <w:top w:val="nil"/>
              <w:left w:val="nil"/>
              <w:bottom w:val="nil"/>
              <w:right w:val="nil"/>
              <w:tl2br w:val="nil"/>
              <w:tr2bl w:val="nil"/>
            </w:tcBorders>
            <w:shd w:val="clear" w:color="auto" w:fill="FFFFFF"/>
            <w:tcMar>
              <w:left w:w="101" w:type="dxa"/>
              <w:right w:w="101" w:type="dxa"/>
            </w:tcMar>
            <w:vAlign w:val="bottom"/>
          </w:tcPr>
          <w:p w14:paraId="0E50EA31" w14:textId="77777777" w:rsidR="003F0EEA" w:rsidRDefault="003F0EEA">
            <w:pPr>
              <w:rPr>
                <w:rFonts w:ascii="Arial" w:eastAsia="Arial" w:hAnsi="Arial" w:cs="Arial"/>
                <w:b/>
                <w:color w:val="000000"/>
                <w:sz w:val="16"/>
              </w:rPr>
            </w:pPr>
          </w:p>
        </w:tc>
        <w:tc>
          <w:tcPr>
            <w:tcW w:w="2280" w:type="dxa"/>
            <w:tcBorders>
              <w:top w:val="nil"/>
              <w:left w:val="nil"/>
              <w:bottom w:val="nil"/>
              <w:right w:val="nil"/>
              <w:tl2br w:val="nil"/>
              <w:tr2bl w:val="nil"/>
            </w:tcBorders>
            <w:shd w:val="clear" w:color="auto" w:fill="FFFFFF"/>
            <w:tcMar>
              <w:left w:w="101" w:type="dxa"/>
              <w:right w:w="101" w:type="dxa"/>
            </w:tcMar>
            <w:vAlign w:val="bottom"/>
          </w:tcPr>
          <w:p w14:paraId="51350363" w14:textId="77777777" w:rsidR="003F0EEA" w:rsidRDefault="003F0EEA">
            <w:pPr>
              <w:rPr>
                <w:rFonts w:ascii="Arial" w:eastAsia="Arial" w:hAnsi="Arial" w:cs="Arial"/>
                <w:b/>
                <w:color w:val="000000"/>
                <w:sz w:val="16"/>
              </w:rPr>
            </w:pP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79CFBF88" w14:textId="77777777" w:rsidR="003F0EEA" w:rsidRDefault="003F0EEA">
            <w:pPr>
              <w:jc w:val="center"/>
              <w:rPr>
                <w:rFonts w:ascii="Arial" w:eastAsia="Arial" w:hAnsi="Arial" w:cs="Arial"/>
                <w:b/>
                <w:color w:val="000000"/>
                <w:sz w:val="16"/>
                <w:vertAlign w:val="superscript"/>
              </w:rPr>
            </w:pPr>
          </w:p>
        </w:tc>
        <w:tc>
          <w:tcPr>
            <w:tcW w:w="1005" w:type="dxa"/>
            <w:tcBorders>
              <w:top w:val="single" w:sz="6" w:space="0" w:color="000000"/>
              <w:left w:val="nil"/>
              <w:bottom w:val="nil"/>
              <w:right w:val="nil"/>
              <w:tl2br w:val="nil"/>
              <w:tr2bl w:val="nil"/>
            </w:tcBorders>
            <w:shd w:val="clear" w:color="auto" w:fill="FFFF00"/>
            <w:tcMar>
              <w:left w:w="101" w:type="dxa"/>
              <w:right w:w="101" w:type="dxa"/>
            </w:tcMar>
            <w:vAlign w:val="bottom"/>
          </w:tcPr>
          <w:p w14:paraId="31F3CB0E" w14:textId="77777777" w:rsidR="003F0EEA" w:rsidRDefault="003F0EEA">
            <w:pPr>
              <w:jc w:val="right"/>
              <w:rPr>
                <w:rFonts w:ascii="Arial" w:eastAsia="Arial" w:hAnsi="Arial" w:cs="Arial"/>
                <w:color w:val="000000"/>
                <w:sz w:val="16"/>
                <w:vertAlign w:val="superscript"/>
              </w:rPr>
            </w:pPr>
          </w:p>
        </w:tc>
        <w:tc>
          <w:tcPr>
            <w:tcW w:w="100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70C19B4B" w14:textId="77777777" w:rsidR="003F0EEA" w:rsidRDefault="003F0EEA">
            <w:pPr>
              <w:jc w:val="right"/>
              <w:rPr>
                <w:rFonts w:ascii="Arial" w:eastAsia="Arial" w:hAnsi="Arial" w:cs="Arial"/>
                <w:b/>
                <w:color w:val="000000"/>
                <w:sz w:val="16"/>
                <w:vertAlign w:val="superscript"/>
              </w:rPr>
            </w:pPr>
          </w:p>
        </w:tc>
        <w:tc>
          <w:tcPr>
            <w:tcW w:w="1005" w:type="dxa"/>
            <w:tcBorders>
              <w:top w:val="single" w:sz="6" w:space="0" w:color="000000"/>
              <w:left w:val="nil"/>
              <w:bottom w:val="nil"/>
              <w:right w:val="nil"/>
              <w:tl2br w:val="nil"/>
              <w:tr2bl w:val="nil"/>
            </w:tcBorders>
            <w:shd w:val="clear" w:color="auto" w:fill="FFFF00"/>
            <w:tcMar>
              <w:left w:w="101" w:type="dxa"/>
              <w:right w:w="101" w:type="dxa"/>
            </w:tcMar>
            <w:vAlign w:val="bottom"/>
          </w:tcPr>
          <w:p w14:paraId="4E6F89D3" w14:textId="77777777" w:rsidR="003F0EEA" w:rsidRDefault="003F0EEA">
            <w:pPr>
              <w:jc w:val="right"/>
              <w:rPr>
                <w:rFonts w:ascii="Arial" w:eastAsia="Arial" w:hAnsi="Arial" w:cs="Arial"/>
                <w:b/>
                <w:color w:val="000000"/>
                <w:sz w:val="16"/>
                <w:vertAlign w:val="superscript"/>
              </w:rPr>
            </w:pPr>
          </w:p>
        </w:tc>
        <w:tc>
          <w:tcPr>
            <w:tcW w:w="100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28074DFA" w14:textId="77777777" w:rsidR="003F0EEA" w:rsidRDefault="003F0EEA">
            <w:pPr>
              <w:jc w:val="right"/>
              <w:rPr>
                <w:rFonts w:ascii="Arial" w:eastAsia="Arial" w:hAnsi="Arial" w:cs="Arial"/>
                <w:b/>
                <w:color w:val="000000"/>
                <w:sz w:val="16"/>
                <w:vertAlign w:val="superscript"/>
              </w:rPr>
            </w:pPr>
          </w:p>
        </w:tc>
        <w:tc>
          <w:tcPr>
            <w:tcW w:w="1005" w:type="dxa"/>
            <w:tcBorders>
              <w:top w:val="single" w:sz="6" w:space="0" w:color="000000"/>
              <w:left w:val="nil"/>
              <w:bottom w:val="nil"/>
              <w:right w:val="nil"/>
              <w:tl2br w:val="nil"/>
              <w:tr2bl w:val="nil"/>
            </w:tcBorders>
            <w:shd w:val="clear" w:color="auto" w:fill="FFFF00"/>
            <w:tcMar>
              <w:left w:w="101" w:type="dxa"/>
              <w:right w:w="101" w:type="dxa"/>
            </w:tcMar>
            <w:vAlign w:val="bottom"/>
          </w:tcPr>
          <w:p w14:paraId="3B473FFF" w14:textId="77777777" w:rsidR="003F0EEA" w:rsidRDefault="003F0EEA">
            <w:pPr>
              <w:jc w:val="right"/>
              <w:rPr>
                <w:rFonts w:ascii="Arial" w:eastAsia="Arial" w:hAnsi="Arial" w:cs="Arial"/>
                <w:b/>
                <w:color w:val="000000"/>
                <w:sz w:val="16"/>
                <w:vertAlign w:val="superscript"/>
              </w:rPr>
            </w:pPr>
          </w:p>
        </w:tc>
      </w:tr>
      <w:tr w:rsidR="00FB7D0B" w14:paraId="6BEA9ADD" w14:textId="77777777" w:rsidTr="00FB7D0B">
        <w:trPr>
          <w:trHeight w:val="705"/>
        </w:trPr>
        <w:tc>
          <w:tcPr>
            <w:tcW w:w="2460" w:type="dxa"/>
            <w:gridSpan w:val="2"/>
            <w:tcBorders>
              <w:top w:val="nil"/>
              <w:left w:val="nil"/>
              <w:bottom w:val="nil"/>
              <w:right w:val="nil"/>
              <w:tl2br w:val="nil"/>
              <w:tr2bl w:val="nil"/>
            </w:tcBorders>
            <w:shd w:val="clear" w:color="auto" w:fill="FFFFFF"/>
            <w:tcMar>
              <w:left w:w="101" w:type="dxa"/>
              <w:right w:w="101" w:type="dxa"/>
            </w:tcMar>
            <w:vAlign w:val="bottom"/>
          </w:tcPr>
          <w:p w14:paraId="32CACBAC" w14:textId="77777777" w:rsidR="003F0EEA" w:rsidRDefault="00FB7D0B">
            <w:pPr>
              <w:rPr>
                <w:rFonts w:ascii="Arial" w:eastAsia="Arial" w:hAnsi="Arial" w:cs="Arial"/>
                <w:b/>
                <w:color w:val="000000"/>
                <w:sz w:val="16"/>
                <w:vertAlign w:val="superscript"/>
              </w:rPr>
            </w:pPr>
            <w:r>
              <w:rPr>
                <w:rFonts w:ascii="Arial" w:eastAsia="Arial" w:hAnsi="Arial" w:cs="Arial"/>
                <w:color w:val="000000"/>
                <w:sz w:val="16"/>
              </w:rPr>
              <w:t>Commonwealth Seniors Health Card - annual indexation of income thresholds</w:t>
            </w:r>
            <w:r>
              <w:rPr>
                <w:rFonts w:ascii="Arial" w:eastAsia="Arial" w:hAnsi="Arial" w:cs="Arial"/>
                <w:color w:val="000000"/>
                <w:sz w:val="16"/>
                <w:vertAlign w:val="superscript"/>
              </w:rPr>
              <w:t>1 </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28F449BF" w14:textId="77777777" w:rsidR="003F0EEA" w:rsidRDefault="00FB7D0B">
            <w:pPr>
              <w:jc w:val="center"/>
              <w:rPr>
                <w:rFonts w:ascii="Arial" w:eastAsia="Arial" w:hAnsi="Arial" w:cs="Arial"/>
                <w:color w:val="000000"/>
                <w:sz w:val="16"/>
                <w:vertAlign w:val="superscript"/>
              </w:rPr>
            </w:pPr>
            <w:r>
              <w:rPr>
                <w:rFonts w:ascii="Arial" w:eastAsia="Arial" w:hAnsi="Arial" w:cs="Arial"/>
                <w:color w:val="000000"/>
                <w:sz w:val="16"/>
              </w:rPr>
              <w:t>1.2 </w:t>
            </w:r>
          </w:p>
        </w:tc>
        <w:tc>
          <w:tcPr>
            <w:tcW w:w="1005" w:type="dxa"/>
            <w:tcBorders>
              <w:top w:val="nil"/>
              <w:left w:val="nil"/>
              <w:bottom w:val="nil"/>
              <w:right w:val="nil"/>
              <w:tl2br w:val="nil"/>
              <w:tr2bl w:val="nil"/>
            </w:tcBorders>
            <w:shd w:val="clear" w:color="auto" w:fill="FFFF00"/>
            <w:tcMar>
              <w:left w:w="101" w:type="dxa"/>
              <w:right w:w="101" w:type="dxa"/>
            </w:tcMar>
            <w:vAlign w:val="bottom"/>
          </w:tcPr>
          <w:p w14:paraId="3EBDEA12" w14:textId="77777777" w:rsidR="003F0EEA" w:rsidRDefault="003F0EEA">
            <w:pPr>
              <w:jc w:val="right"/>
              <w:rPr>
                <w:rFonts w:ascii="Arial" w:eastAsia="Arial" w:hAnsi="Arial" w:cs="Arial"/>
                <w:color w:val="000000"/>
                <w:sz w:val="16"/>
              </w:rPr>
            </w:pPr>
          </w:p>
        </w:tc>
        <w:tc>
          <w:tcPr>
            <w:tcW w:w="1005" w:type="dxa"/>
            <w:tcBorders>
              <w:top w:val="nil"/>
              <w:left w:val="nil"/>
              <w:bottom w:val="nil"/>
              <w:right w:val="nil"/>
              <w:tl2br w:val="nil"/>
              <w:tr2bl w:val="nil"/>
            </w:tcBorders>
            <w:shd w:val="clear" w:color="auto" w:fill="FFFFFF"/>
            <w:tcMar>
              <w:left w:w="101" w:type="dxa"/>
              <w:right w:w="101" w:type="dxa"/>
            </w:tcMar>
            <w:vAlign w:val="bottom"/>
          </w:tcPr>
          <w:p w14:paraId="16C98B89" w14:textId="77777777" w:rsidR="003F0EEA" w:rsidRDefault="003F0EEA">
            <w:pPr>
              <w:jc w:val="right"/>
              <w:rPr>
                <w:rFonts w:ascii="Arial" w:eastAsia="Arial" w:hAnsi="Arial" w:cs="Arial"/>
                <w:color w:val="000000"/>
                <w:sz w:val="16"/>
              </w:rPr>
            </w:pPr>
          </w:p>
        </w:tc>
        <w:tc>
          <w:tcPr>
            <w:tcW w:w="1005" w:type="dxa"/>
            <w:tcBorders>
              <w:top w:val="nil"/>
              <w:left w:val="nil"/>
              <w:bottom w:val="nil"/>
              <w:right w:val="nil"/>
              <w:tl2br w:val="nil"/>
              <w:tr2bl w:val="nil"/>
            </w:tcBorders>
            <w:shd w:val="clear" w:color="auto" w:fill="FFFF00"/>
            <w:tcMar>
              <w:left w:w="101" w:type="dxa"/>
              <w:right w:w="101" w:type="dxa"/>
            </w:tcMar>
            <w:vAlign w:val="bottom"/>
          </w:tcPr>
          <w:p w14:paraId="4CFAB5D3" w14:textId="77777777" w:rsidR="003F0EEA" w:rsidRDefault="003F0EEA">
            <w:pPr>
              <w:jc w:val="right"/>
              <w:rPr>
                <w:rFonts w:ascii="Arial" w:eastAsia="Arial" w:hAnsi="Arial" w:cs="Arial"/>
                <w:color w:val="000000"/>
                <w:sz w:val="16"/>
              </w:rPr>
            </w:pPr>
          </w:p>
        </w:tc>
        <w:tc>
          <w:tcPr>
            <w:tcW w:w="1005" w:type="dxa"/>
            <w:tcBorders>
              <w:top w:val="nil"/>
              <w:left w:val="nil"/>
              <w:bottom w:val="nil"/>
              <w:right w:val="nil"/>
              <w:tl2br w:val="nil"/>
              <w:tr2bl w:val="nil"/>
            </w:tcBorders>
            <w:shd w:val="clear" w:color="auto" w:fill="FFFFFF"/>
            <w:tcMar>
              <w:left w:w="101" w:type="dxa"/>
              <w:right w:w="101" w:type="dxa"/>
            </w:tcMar>
            <w:vAlign w:val="bottom"/>
          </w:tcPr>
          <w:p w14:paraId="491E3C30" w14:textId="77777777" w:rsidR="003F0EEA" w:rsidRDefault="003F0EEA">
            <w:pPr>
              <w:jc w:val="right"/>
              <w:rPr>
                <w:rFonts w:ascii="Arial" w:eastAsia="Arial" w:hAnsi="Arial" w:cs="Arial"/>
                <w:color w:val="000000"/>
                <w:sz w:val="16"/>
              </w:rPr>
            </w:pPr>
          </w:p>
        </w:tc>
        <w:tc>
          <w:tcPr>
            <w:tcW w:w="1005" w:type="dxa"/>
            <w:tcBorders>
              <w:top w:val="nil"/>
              <w:left w:val="nil"/>
              <w:bottom w:val="nil"/>
              <w:right w:val="nil"/>
              <w:tl2br w:val="nil"/>
              <w:tr2bl w:val="nil"/>
            </w:tcBorders>
            <w:shd w:val="clear" w:color="auto" w:fill="FFFF00"/>
            <w:tcMar>
              <w:left w:w="101" w:type="dxa"/>
              <w:right w:w="101" w:type="dxa"/>
            </w:tcMar>
            <w:vAlign w:val="bottom"/>
          </w:tcPr>
          <w:p w14:paraId="27F7E3CB" w14:textId="77777777" w:rsidR="003F0EEA" w:rsidRDefault="003F0EEA">
            <w:pPr>
              <w:jc w:val="right"/>
              <w:rPr>
                <w:rFonts w:ascii="Arial" w:eastAsia="Arial" w:hAnsi="Arial" w:cs="Arial"/>
                <w:color w:val="000000"/>
                <w:sz w:val="16"/>
              </w:rPr>
            </w:pPr>
          </w:p>
        </w:tc>
      </w:tr>
      <w:tr w:rsidR="00724034" w14:paraId="24324B36" w14:textId="77777777">
        <w:trPr>
          <w:trHeight w:val="225"/>
        </w:trPr>
        <w:tc>
          <w:tcPr>
            <w:tcW w:w="180" w:type="dxa"/>
            <w:tcBorders>
              <w:top w:val="nil"/>
              <w:left w:val="nil"/>
              <w:bottom w:val="nil"/>
              <w:right w:val="nil"/>
              <w:tl2br w:val="nil"/>
              <w:tr2bl w:val="nil"/>
            </w:tcBorders>
            <w:shd w:val="clear" w:color="auto" w:fill="FFFFFF"/>
            <w:tcMar>
              <w:left w:w="101" w:type="dxa"/>
              <w:right w:w="101" w:type="dxa"/>
            </w:tcMar>
            <w:vAlign w:val="bottom"/>
          </w:tcPr>
          <w:p w14:paraId="2244125D" w14:textId="77777777" w:rsidR="003F0EEA" w:rsidRDefault="003F0EEA">
            <w:pPr>
              <w:rPr>
                <w:rFonts w:ascii="Arial" w:eastAsia="Arial" w:hAnsi="Arial" w:cs="Arial"/>
                <w:color w:val="000000"/>
                <w:sz w:val="16"/>
              </w:rPr>
            </w:pPr>
          </w:p>
        </w:tc>
        <w:tc>
          <w:tcPr>
            <w:tcW w:w="2280" w:type="dxa"/>
            <w:tcBorders>
              <w:top w:val="nil"/>
              <w:left w:val="nil"/>
              <w:bottom w:val="nil"/>
              <w:right w:val="nil"/>
              <w:tl2br w:val="nil"/>
              <w:tr2bl w:val="nil"/>
            </w:tcBorders>
            <w:shd w:val="clear" w:color="auto" w:fill="FFFFFF"/>
            <w:tcMar>
              <w:left w:w="101" w:type="dxa"/>
              <w:right w:w="101" w:type="dxa"/>
            </w:tcMar>
            <w:vAlign w:val="bottom"/>
          </w:tcPr>
          <w:p w14:paraId="288139DA" w14:textId="77777777" w:rsidR="003F0EEA" w:rsidRDefault="00FB7D0B">
            <w:pPr>
              <w:rPr>
                <w:rFonts w:ascii="Arial" w:eastAsia="Arial" w:hAnsi="Arial" w:cs="Arial"/>
                <w:color w:val="000000"/>
                <w:sz w:val="16"/>
              </w:rPr>
            </w:pPr>
            <w:r>
              <w:rPr>
                <w:rFonts w:ascii="Arial" w:eastAsia="Arial" w:hAnsi="Arial" w:cs="Arial"/>
                <w:color w:val="000000"/>
                <w:sz w:val="16"/>
              </w:rPr>
              <w:t>Administered expenses</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00951F4A" w14:textId="77777777" w:rsidR="003F0EEA" w:rsidRDefault="003F0EEA">
            <w:pPr>
              <w:jc w:val="center"/>
              <w:rPr>
                <w:rFonts w:ascii="Arial" w:eastAsia="Arial" w:hAnsi="Arial" w:cs="Arial"/>
                <w:color w:val="000000"/>
                <w:sz w:val="16"/>
                <w:vertAlign w:val="superscript"/>
              </w:rPr>
            </w:pPr>
          </w:p>
        </w:tc>
        <w:tc>
          <w:tcPr>
            <w:tcW w:w="1005" w:type="dxa"/>
            <w:tcBorders>
              <w:top w:val="nil"/>
              <w:left w:val="nil"/>
              <w:bottom w:val="nil"/>
              <w:right w:val="nil"/>
              <w:tl2br w:val="nil"/>
              <w:tr2bl w:val="nil"/>
            </w:tcBorders>
            <w:shd w:val="clear" w:color="auto" w:fill="FFFF00"/>
            <w:tcMar>
              <w:left w:w="101" w:type="dxa"/>
              <w:right w:w="101" w:type="dxa"/>
            </w:tcMar>
            <w:vAlign w:val="bottom"/>
          </w:tcPr>
          <w:p w14:paraId="73DE0B1C" w14:textId="77777777" w:rsidR="003F0EEA" w:rsidRDefault="00FB7D0B">
            <w:pPr>
              <w:jc w:val="right"/>
              <w:rPr>
                <w:rFonts w:ascii="Arial" w:eastAsia="Arial" w:hAnsi="Arial" w:cs="Arial"/>
                <w:color w:val="000000"/>
                <w:sz w:val="16"/>
                <w:vertAlign w:val="superscript"/>
              </w:rPr>
            </w:pPr>
            <w:r>
              <w:rPr>
                <w:rFonts w:ascii="Arial" w:eastAsia="Arial" w:hAnsi="Arial" w:cs="Arial"/>
                <w:color w:val="000000"/>
                <w:sz w:val="16"/>
              </w:rPr>
              <w:t xml:space="preserve"> - </w:t>
            </w:r>
          </w:p>
        </w:tc>
        <w:tc>
          <w:tcPr>
            <w:tcW w:w="1005" w:type="dxa"/>
            <w:tcBorders>
              <w:top w:val="nil"/>
              <w:left w:val="nil"/>
              <w:bottom w:val="nil"/>
              <w:right w:val="nil"/>
              <w:tl2br w:val="nil"/>
              <w:tr2bl w:val="nil"/>
            </w:tcBorders>
            <w:shd w:val="clear" w:color="auto" w:fill="FFFFFF"/>
            <w:tcMar>
              <w:left w:w="101" w:type="dxa"/>
              <w:right w:w="101" w:type="dxa"/>
            </w:tcMar>
            <w:vAlign w:val="bottom"/>
          </w:tcPr>
          <w:p w14:paraId="285D17FA" w14:textId="77777777" w:rsidR="003F0EEA" w:rsidRDefault="00FB7D0B">
            <w:pPr>
              <w:jc w:val="right"/>
              <w:rPr>
                <w:rFonts w:ascii="Arial" w:eastAsia="Arial" w:hAnsi="Arial" w:cs="Arial"/>
                <w:color w:val="000000"/>
                <w:sz w:val="16"/>
              </w:rPr>
            </w:pPr>
            <w:r>
              <w:rPr>
                <w:rFonts w:ascii="Arial" w:eastAsia="Arial" w:hAnsi="Arial" w:cs="Arial"/>
                <w:color w:val="000000"/>
                <w:sz w:val="16"/>
              </w:rPr>
              <w:t>192  </w:t>
            </w:r>
          </w:p>
        </w:tc>
        <w:tc>
          <w:tcPr>
            <w:tcW w:w="1005" w:type="dxa"/>
            <w:tcBorders>
              <w:top w:val="nil"/>
              <w:left w:val="nil"/>
              <w:bottom w:val="nil"/>
              <w:right w:val="nil"/>
              <w:tl2br w:val="nil"/>
              <w:tr2bl w:val="nil"/>
            </w:tcBorders>
            <w:shd w:val="clear" w:color="auto" w:fill="FFFF00"/>
            <w:tcMar>
              <w:left w:w="101" w:type="dxa"/>
              <w:right w:w="101" w:type="dxa"/>
            </w:tcMar>
            <w:vAlign w:val="bottom"/>
          </w:tcPr>
          <w:p w14:paraId="166D98EE" w14:textId="77777777" w:rsidR="003F0EEA" w:rsidRDefault="00FB7D0B">
            <w:pPr>
              <w:jc w:val="right"/>
              <w:rPr>
                <w:rFonts w:ascii="Arial" w:eastAsia="Arial" w:hAnsi="Arial" w:cs="Arial"/>
                <w:color w:val="000000"/>
                <w:sz w:val="16"/>
              </w:rPr>
            </w:pPr>
            <w:r>
              <w:rPr>
                <w:rFonts w:ascii="Arial" w:eastAsia="Arial" w:hAnsi="Arial" w:cs="Arial"/>
                <w:color w:val="000000"/>
                <w:sz w:val="16"/>
              </w:rPr>
              <w:t>335  </w:t>
            </w:r>
          </w:p>
        </w:tc>
        <w:tc>
          <w:tcPr>
            <w:tcW w:w="1005" w:type="dxa"/>
            <w:tcBorders>
              <w:top w:val="nil"/>
              <w:left w:val="nil"/>
              <w:bottom w:val="nil"/>
              <w:right w:val="nil"/>
              <w:tl2br w:val="nil"/>
              <w:tr2bl w:val="nil"/>
            </w:tcBorders>
            <w:shd w:val="clear" w:color="auto" w:fill="FFFFFF"/>
            <w:tcMar>
              <w:left w:w="101" w:type="dxa"/>
              <w:right w:w="101" w:type="dxa"/>
            </w:tcMar>
            <w:vAlign w:val="bottom"/>
          </w:tcPr>
          <w:p w14:paraId="0590A467" w14:textId="77777777" w:rsidR="003F0EEA" w:rsidRDefault="00FB7D0B">
            <w:pPr>
              <w:jc w:val="right"/>
              <w:rPr>
                <w:rFonts w:ascii="Arial" w:eastAsia="Arial" w:hAnsi="Arial" w:cs="Arial"/>
                <w:color w:val="000000"/>
                <w:sz w:val="16"/>
              </w:rPr>
            </w:pPr>
            <w:r>
              <w:rPr>
                <w:rFonts w:ascii="Arial" w:eastAsia="Arial" w:hAnsi="Arial" w:cs="Arial"/>
                <w:color w:val="000000"/>
                <w:sz w:val="16"/>
              </w:rPr>
              <w:t>491  </w:t>
            </w:r>
          </w:p>
        </w:tc>
        <w:tc>
          <w:tcPr>
            <w:tcW w:w="1005" w:type="dxa"/>
            <w:tcBorders>
              <w:top w:val="nil"/>
              <w:left w:val="nil"/>
              <w:bottom w:val="nil"/>
              <w:right w:val="nil"/>
              <w:tl2br w:val="nil"/>
              <w:tr2bl w:val="nil"/>
            </w:tcBorders>
            <w:shd w:val="clear" w:color="auto" w:fill="FFFF00"/>
            <w:tcMar>
              <w:left w:w="101" w:type="dxa"/>
              <w:right w:w="101" w:type="dxa"/>
            </w:tcMar>
            <w:vAlign w:val="bottom"/>
          </w:tcPr>
          <w:p w14:paraId="18FFB0E7" w14:textId="77777777" w:rsidR="003F0EEA" w:rsidRDefault="00FB7D0B">
            <w:pPr>
              <w:jc w:val="right"/>
              <w:rPr>
                <w:rFonts w:ascii="Arial" w:eastAsia="Arial" w:hAnsi="Arial" w:cs="Arial"/>
                <w:color w:val="000000"/>
                <w:sz w:val="16"/>
              </w:rPr>
            </w:pPr>
            <w:r>
              <w:rPr>
                <w:rFonts w:ascii="Arial" w:eastAsia="Arial" w:hAnsi="Arial" w:cs="Arial"/>
                <w:color w:val="000000"/>
                <w:sz w:val="16"/>
              </w:rPr>
              <w:t>645  </w:t>
            </w:r>
          </w:p>
        </w:tc>
      </w:tr>
      <w:tr w:rsidR="00724034" w14:paraId="630FBD24" w14:textId="77777777">
        <w:trPr>
          <w:trHeight w:val="225"/>
        </w:trPr>
        <w:tc>
          <w:tcPr>
            <w:tcW w:w="180" w:type="dxa"/>
            <w:tcBorders>
              <w:top w:val="nil"/>
              <w:left w:val="nil"/>
              <w:bottom w:val="nil"/>
              <w:right w:val="nil"/>
              <w:tl2br w:val="nil"/>
              <w:tr2bl w:val="nil"/>
            </w:tcBorders>
            <w:shd w:val="clear" w:color="auto" w:fill="FFFFFF"/>
            <w:tcMar>
              <w:left w:w="101" w:type="dxa"/>
              <w:right w:w="101" w:type="dxa"/>
            </w:tcMar>
            <w:vAlign w:val="bottom"/>
          </w:tcPr>
          <w:p w14:paraId="387C206C" w14:textId="77777777" w:rsidR="003F0EEA" w:rsidRDefault="003F0EEA">
            <w:pPr>
              <w:rPr>
                <w:rFonts w:ascii="Arial" w:eastAsia="Arial" w:hAnsi="Arial" w:cs="Arial"/>
                <w:color w:val="000000"/>
                <w:sz w:val="16"/>
              </w:rPr>
            </w:pPr>
          </w:p>
        </w:tc>
        <w:tc>
          <w:tcPr>
            <w:tcW w:w="2280" w:type="dxa"/>
            <w:tcBorders>
              <w:top w:val="nil"/>
              <w:left w:val="nil"/>
              <w:bottom w:val="nil"/>
              <w:right w:val="nil"/>
              <w:tl2br w:val="nil"/>
              <w:tr2bl w:val="nil"/>
            </w:tcBorders>
            <w:shd w:val="clear" w:color="auto" w:fill="FFFFFF"/>
            <w:tcMar>
              <w:left w:w="101" w:type="dxa"/>
              <w:right w:w="101" w:type="dxa"/>
            </w:tcMar>
            <w:vAlign w:val="bottom"/>
          </w:tcPr>
          <w:p w14:paraId="0CF4A5DB" w14:textId="77777777" w:rsidR="003F0EEA" w:rsidRDefault="00FB7D0B">
            <w:pPr>
              <w:rPr>
                <w:rFonts w:ascii="Arial" w:eastAsia="Arial" w:hAnsi="Arial" w:cs="Arial"/>
                <w:color w:val="000000"/>
                <w:sz w:val="16"/>
              </w:rPr>
            </w:pPr>
            <w:r>
              <w:rPr>
                <w:rFonts w:ascii="Arial" w:eastAsia="Arial" w:hAnsi="Arial" w:cs="Arial"/>
                <w:color w:val="000000"/>
                <w:sz w:val="16"/>
              </w:rPr>
              <w:t>Departmental expenses</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208B7523" w14:textId="77777777" w:rsidR="003F0EEA" w:rsidRDefault="003F0EEA">
            <w:pPr>
              <w:jc w:val="center"/>
              <w:rPr>
                <w:rFonts w:ascii="Arial" w:eastAsia="Arial" w:hAnsi="Arial" w:cs="Arial"/>
                <w:color w:val="000000"/>
                <w:sz w:val="16"/>
                <w:vertAlign w:val="superscript"/>
              </w:rPr>
            </w:pPr>
          </w:p>
        </w:tc>
        <w:tc>
          <w:tcPr>
            <w:tcW w:w="1005" w:type="dxa"/>
            <w:tcBorders>
              <w:top w:val="nil"/>
              <w:left w:val="nil"/>
              <w:bottom w:val="nil"/>
              <w:right w:val="nil"/>
              <w:tl2br w:val="nil"/>
              <w:tr2bl w:val="nil"/>
            </w:tcBorders>
            <w:shd w:val="clear" w:color="auto" w:fill="FFFF00"/>
            <w:tcMar>
              <w:left w:w="101" w:type="dxa"/>
              <w:right w:w="101" w:type="dxa"/>
            </w:tcMar>
            <w:vAlign w:val="bottom"/>
          </w:tcPr>
          <w:p w14:paraId="21198A7F" w14:textId="77777777" w:rsidR="003F0EEA" w:rsidRDefault="00FB7D0B">
            <w:pPr>
              <w:jc w:val="right"/>
              <w:rPr>
                <w:rFonts w:ascii="Arial" w:eastAsia="Arial" w:hAnsi="Arial" w:cs="Arial"/>
                <w:color w:val="000000"/>
                <w:sz w:val="16"/>
                <w:vertAlign w:val="superscript"/>
              </w:rPr>
            </w:pPr>
            <w:r>
              <w:rPr>
                <w:rFonts w:ascii="Arial" w:eastAsia="Arial" w:hAnsi="Arial" w:cs="Arial"/>
                <w:color w:val="000000"/>
                <w:sz w:val="16"/>
              </w:rPr>
              <w:t xml:space="preserve"> - </w:t>
            </w:r>
          </w:p>
        </w:tc>
        <w:tc>
          <w:tcPr>
            <w:tcW w:w="1005" w:type="dxa"/>
            <w:tcBorders>
              <w:top w:val="nil"/>
              <w:left w:val="nil"/>
              <w:bottom w:val="nil"/>
              <w:right w:val="nil"/>
              <w:tl2br w:val="nil"/>
              <w:tr2bl w:val="nil"/>
            </w:tcBorders>
            <w:shd w:val="clear" w:color="auto" w:fill="FFFFFF"/>
            <w:tcMar>
              <w:left w:w="101" w:type="dxa"/>
              <w:right w:w="101" w:type="dxa"/>
            </w:tcMar>
            <w:vAlign w:val="bottom"/>
          </w:tcPr>
          <w:p w14:paraId="6BE2E840" w14:textId="77777777" w:rsidR="003F0EEA" w:rsidRDefault="00FB7D0B">
            <w:pPr>
              <w:jc w:val="right"/>
              <w:rPr>
                <w:rFonts w:ascii="Arial" w:eastAsia="Arial" w:hAnsi="Arial" w:cs="Arial"/>
                <w:color w:val="000000"/>
                <w:sz w:val="16"/>
              </w:rPr>
            </w:pPr>
            <w:r>
              <w:rPr>
                <w:rFonts w:ascii="Arial" w:eastAsia="Arial" w:hAnsi="Arial" w:cs="Arial"/>
                <w:color w:val="000000"/>
                <w:sz w:val="16"/>
              </w:rPr>
              <w:t>85  </w:t>
            </w:r>
          </w:p>
        </w:tc>
        <w:tc>
          <w:tcPr>
            <w:tcW w:w="1005" w:type="dxa"/>
            <w:tcBorders>
              <w:top w:val="nil"/>
              <w:left w:val="nil"/>
              <w:bottom w:val="nil"/>
              <w:right w:val="nil"/>
              <w:tl2br w:val="nil"/>
              <w:tr2bl w:val="nil"/>
            </w:tcBorders>
            <w:shd w:val="clear" w:color="auto" w:fill="FFFF00"/>
            <w:tcMar>
              <w:left w:w="101" w:type="dxa"/>
              <w:right w:w="101" w:type="dxa"/>
            </w:tcMar>
            <w:vAlign w:val="bottom"/>
          </w:tcPr>
          <w:p w14:paraId="7AF4CF57" w14:textId="77777777" w:rsidR="003F0EEA" w:rsidRDefault="00FB7D0B">
            <w:pPr>
              <w:jc w:val="right"/>
              <w:rPr>
                <w:rFonts w:ascii="Arial" w:eastAsia="Arial" w:hAnsi="Arial" w:cs="Arial"/>
                <w:color w:val="000000"/>
                <w:sz w:val="16"/>
              </w:rPr>
            </w:pPr>
            <w:r>
              <w:rPr>
                <w:rFonts w:ascii="Arial" w:eastAsia="Arial" w:hAnsi="Arial" w:cs="Arial"/>
                <w:color w:val="000000"/>
                <w:sz w:val="16"/>
              </w:rPr>
              <w:t>51  </w:t>
            </w:r>
          </w:p>
        </w:tc>
        <w:tc>
          <w:tcPr>
            <w:tcW w:w="1005" w:type="dxa"/>
            <w:tcBorders>
              <w:top w:val="nil"/>
              <w:left w:val="nil"/>
              <w:bottom w:val="nil"/>
              <w:right w:val="nil"/>
              <w:tl2br w:val="nil"/>
              <w:tr2bl w:val="nil"/>
            </w:tcBorders>
            <w:shd w:val="clear" w:color="auto" w:fill="FFFFFF"/>
            <w:tcMar>
              <w:left w:w="101" w:type="dxa"/>
              <w:right w:w="101" w:type="dxa"/>
            </w:tcMar>
            <w:vAlign w:val="bottom"/>
          </w:tcPr>
          <w:p w14:paraId="1CC3329F" w14:textId="77777777" w:rsidR="003F0EEA" w:rsidRDefault="00FB7D0B">
            <w:pPr>
              <w:jc w:val="right"/>
              <w:rPr>
                <w:rFonts w:ascii="Arial" w:eastAsia="Arial" w:hAnsi="Arial" w:cs="Arial"/>
                <w:color w:val="000000"/>
                <w:sz w:val="16"/>
              </w:rPr>
            </w:pPr>
            <w:r>
              <w:rPr>
                <w:rFonts w:ascii="Arial" w:eastAsia="Arial" w:hAnsi="Arial" w:cs="Arial"/>
                <w:color w:val="000000"/>
                <w:sz w:val="16"/>
              </w:rPr>
              <w:t>67  </w:t>
            </w:r>
          </w:p>
        </w:tc>
        <w:tc>
          <w:tcPr>
            <w:tcW w:w="1005" w:type="dxa"/>
            <w:tcBorders>
              <w:top w:val="nil"/>
              <w:left w:val="nil"/>
              <w:bottom w:val="nil"/>
              <w:right w:val="nil"/>
              <w:tl2br w:val="nil"/>
              <w:tr2bl w:val="nil"/>
            </w:tcBorders>
            <w:shd w:val="clear" w:color="auto" w:fill="FFFF00"/>
            <w:tcMar>
              <w:left w:w="101" w:type="dxa"/>
              <w:right w:w="101" w:type="dxa"/>
            </w:tcMar>
            <w:vAlign w:val="bottom"/>
          </w:tcPr>
          <w:p w14:paraId="0779B48A" w14:textId="77777777" w:rsidR="003F0EEA" w:rsidRDefault="00FB7D0B">
            <w:pPr>
              <w:jc w:val="right"/>
              <w:rPr>
                <w:rFonts w:ascii="Arial" w:eastAsia="Arial" w:hAnsi="Arial" w:cs="Arial"/>
                <w:color w:val="000000"/>
                <w:sz w:val="16"/>
              </w:rPr>
            </w:pPr>
            <w:r>
              <w:rPr>
                <w:rFonts w:ascii="Arial" w:eastAsia="Arial" w:hAnsi="Arial" w:cs="Arial"/>
                <w:color w:val="000000"/>
                <w:sz w:val="16"/>
              </w:rPr>
              <w:t>83  </w:t>
            </w:r>
          </w:p>
        </w:tc>
      </w:tr>
      <w:tr w:rsidR="00FB7D0B" w14:paraId="5FEC3C61" w14:textId="77777777" w:rsidTr="00FB7D0B">
        <w:trPr>
          <w:trHeight w:val="225"/>
        </w:trPr>
        <w:tc>
          <w:tcPr>
            <w:tcW w:w="2460" w:type="dxa"/>
            <w:gridSpan w:val="2"/>
            <w:tcBorders>
              <w:top w:val="nil"/>
              <w:left w:val="nil"/>
              <w:bottom w:val="nil"/>
              <w:right w:val="nil"/>
              <w:tl2br w:val="nil"/>
              <w:tr2bl w:val="nil"/>
            </w:tcBorders>
            <w:shd w:val="clear" w:color="auto" w:fill="FFFFFF"/>
            <w:tcMar>
              <w:left w:w="101" w:type="dxa"/>
              <w:right w:w="101" w:type="dxa"/>
            </w:tcMar>
            <w:vAlign w:val="bottom"/>
          </w:tcPr>
          <w:p w14:paraId="6DD7F1F4" w14:textId="77777777" w:rsidR="003F0EEA" w:rsidRDefault="00FB7D0B">
            <w:pPr>
              <w:rPr>
                <w:rFonts w:ascii="Arial" w:eastAsia="Arial" w:hAnsi="Arial" w:cs="Arial"/>
                <w:color w:val="000000"/>
                <w:sz w:val="16"/>
              </w:rPr>
            </w:pPr>
            <w:r>
              <w:rPr>
                <w:rFonts w:ascii="Arial" w:eastAsia="Arial" w:hAnsi="Arial" w:cs="Arial"/>
                <w:b/>
                <w:color w:val="000000"/>
                <w:sz w:val="16"/>
              </w:rPr>
              <w:t xml:space="preserve">Total </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106A22B7" w14:textId="77777777" w:rsidR="003F0EEA" w:rsidRDefault="003F0EEA">
            <w:pPr>
              <w:jc w:val="center"/>
              <w:rPr>
                <w:rFonts w:ascii="Arial" w:eastAsia="Arial" w:hAnsi="Arial" w:cs="Arial"/>
                <w:b/>
                <w:color w:val="000000"/>
                <w:sz w:val="16"/>
                <w:vertAlign w:val="superscript"/>
              </w:rPr>
            </w:pPr>
          </w:p>
        </w:tc>
        <w:tc>
          <w:tcPr>
            <w:tcW w:w="1005" w:type="dxa"/>
            <w:tcBorders>
              <w:top w:val="nil"/>
              <w:left w:val="nil"/>
              <w:bottom w:val="single" w:sz="6" w:space="0" w:color="000000"/>
              <w:right w:val="nil"/>
              <w:tl2br w:val="nil"/>
              <w:tr2bl w:val="nil"/>
            </w:tcBorders>
            <w:shd w:val="clear" w:color="auto" w:fill="FFFF00"/>
            <w:tcMar>
              <w:left w:w="101" w:type="dxa"/>
              <w:right w:w="101" w:type="dxa"/>
            </w:tcMar>
            <w:vAlign w:val="bottom"/>
          </w:tcPr>
          <w:p w14:paraId="52C290BC" w14:textId="77777777" w:rsidR="003F0EEA" w:rsidRDefault="00FB7D0B">
            <w:pPr>
              <w:jc w:val="right"/>
              <w:rPr>
                <w:rFonts w:ascii="Arial" w:eastAsia="Arial" w:hAnsi="Arial" w:cs="Arial"/>
                <w:color w:val="000000"/>
                <w:sz w:val="16"/>
                <w:vertAlign w:val="superscript"/>
              </w:rPr>
            </w:pPr>
            <w:r>
              <w:rPr>
                <w:rFonts w:ascii="Arial" w:eastAsia="Arial" w:hAnsi="Arial" w:cs="Arial"/>
                <w:b/>
                <w:color w:val="000000"/>
                <w:sz w:val="16"/>
              </w:rPr>
              <w:t xml:space="preserve"> - </w:t>
            </w:r>
          </w:p>
        </w:tc>
        <w:tc>
          <w:tcPr>
            <w:tcW w:w="1005"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0D37565D" w14:textId="77777777" w:rsidR="003F0EEA" w:rsidRDefault="00FB7D0B">
            <w:pPr>
              <w:jc w:val="right"/>
              <w:rPr>
                <w:rFonts w:ascii="Arial" w:eastAsia="Arial" w:hAnsi="Arial" w:cs="Arial"/>
                <w:b/>
                <w:color w:val="000000"/>
                <w:sz w:val="16"/>
              </w:rPr>
            </w:pPr>
            <w:r>
              <w:rPr>
                <w:rFonts w:ascii="Arial" w:eastAsia="Arial" w:hAnsi="Arial" w:cs="Arial"/>
                <w:b/>
                <w:color w:val="000000"/>
                <w:sz w:val="16"/>
              </w:rPr>
              <w:t>277  </w:t>
            </w:r>
          </w:p>
        </w:tc>
        <w:tc>
          <w:tcPr>
            <w:tcW w:w="1005" w:type="dxa"/>
            <w:tcBorders>
              <w:top w:val="nil"/>
              <w:left w:val="nil"/>
              <w:bottom w:val="single" w:sz="6" w:space="0" w:color="000000"/>
              <w:right w:val="nil"/>
              <w:tl2br w:val="nil"/>
              <w:tr2bl w:val="nil"/>
            </w:tcBorders>
            <w:shd w:val="clear" w:color="auto" w:fill="FFFF00"/>
            <w:tcMar>
              <w:left w:w="101" w:type="dxa"/>
              <w:right w:w="101" w:type="dxa"/>
            </w:tcMar>
            <w:vAlign w:val="bottom"/>
          </w:tcPr>
          <w:p w14:paraId="1EF8EE00" w14:textId="77777777" w:rsidR="003F0EEA" w:rsidRDefault="00FB7D0B">
            <w:pPr>
              <w:jc w:val="right"/>
              <w:rPr>
                <w:rFonts w:ascii="Arial" w:eastAsia="Arial" w:hAnsi="Arial" w:cs="Arial"/>
                <w:b/>
                <w:color w:val="000000"/>
                <w:sz w:val="16"/>
              </w:rPr>
            </w:pPr>
            <w:r>
              <w:rPr>
                <w:rFonts w:ascii="Arial" w:eastAsia="Arial" w:hAnsi="Arial" w:cs="Arial"/>
                <w:b/>
                <w:color w:val="000000"/>
                <w:sz w:val="16"/>
              </w:rPr>
              <w:t>386  </w:t>
            </w:r>
          </w:p>
        </w:tc>
        <w:tc>
          <w:tcPr>
            <w:tcW w:w="1005"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4ECF4307" w14:textId="77777777" w:rsidR="003F0EEA" w:rsidRDefault="00FB7D0B">
            <w:pPr>
              <w:jc w:val="right"/>
              <w:rPr>
                <w:rFonts w:ascii="Arial" w:eastAsia="Arial" w:hAnsi="Arial" w:cs="Arial"/>
                <w:b/>
                <w:color w:val="000000"/>
                <w:sz w:val="16"/>
              </w:rPr>
            </w:pPr>
            <w:r>
              <w:rPr>
                <w:rFonts w:ascii="Arial" w:eastAsia="Arial" w:hAnsi="Arial" w:cs="Arial"/>
                <w:b/>
                <w:color w:val="000000"/>
                <w:sz w:val="16"/>
              </w:rPr>
              <w:t>558  </w:t>
            </w:r>
          </w:p>
        </w:tc>
        <w:tc>
          <w:tcPr>
            <w:tcW w:w="1005" w:type="dxa"/>
            <w:tcBorders>
              <w:top w:val="nil"/>
              <w:left w:val="nil"/>
              <w:bottom w:val="single" w:sz="6" w:space="0" w:color="000000"/>
              <w:right w:val="nil"/>
              <w:tl2br w:val="nil"/>
              <w:tr2bl w:val="nil"/>
            </w:tcBorders>
            <w:shd w:val="clear" w:color="auto" w:fill="FFFF00"/>
            <w:tcMar>
              <w:left w:w="101" w:type="dxa"/>
              <w:right w:w="101" w:type="dxa"/>
            </w:tcMar>
            <w:vAlign w:val="bottom"/>
          </w:tcPr>
          <w:p w14:paraId="004B32E5" w14:textId="77777777" w:rsidR="003F0EEA" w:rsidRDefault="00FB7D0B">
            <w:pPr>
              <w:jc w:val="right"/>
              <w:rPr>
                <w:rFonts w:ascii="Arial" w:eastAsia="Arial" w:hAnsi="Arial" w:cs="Arial"/>
                <w:b/>
                <w:color w:val="000000"/>
                <w:sz w:val="16"/>
              </w:rPr>
            </w:pPr>
            <w:r>
              <w:rPr>
                <w:rFonts w:ascii="Arial" w:eastAsia="Arial" w:hAnsi="Arial" w:cs="Arial"/>
                <w:b/>
                <w:color w:val="000000"/>
                <w:sz w:val="16"/>
              </w:rPr>
              <w:t>728  </w:t>
            </w:r>
          </w:p>
        </w:tc>
      </w:tr>
      <w:tr w:rsidR="00FB7D0B" w14:paraId="67560FA6" w14:textId="77777777" w:rsidTr="00FB7D0B">
        <w:trPr>
          <w:trHeight w:val="225"/>
        </w:trPr>
        <w:tc>
          <w:tcPr>
            <w:tcW w:w="180" w:type="dxa"/>
            <w:tcBorders>
              <w:top w:val="nil"/>
              <w:left w:val="nil"/>
              <w:bottom w:val="nil"/>
              <w:right w:val="nil"/>
              <w:tl2br w:val="nil"/>
              <w:tr2bl w:val="nil"/>
            </w:tcBorders>
            <w:shd w:val="clear" w:color="auto" w:fill="FFFFFF"/>
            <w:tcMar>
              <w:left w:w="101" w:type="dxa"/>
              <w:right w:w="101" w:type="dxa"/>
            </w:tcMar>
            <w:vAlign w:val="bottom"/>
          </w:tcPr>
          <w:p w14:paraId="04D53022" w14:textId="77777777" w:rsidR="003F0EEA" w:rsidRDefault="003F0EEA">
            <w:pPr>
              <w:rPr>
                <w:rFonts w:ascii="Arial" w:eastAsia="Arial" w:hAnsi="Arial" w:cs="Arial"/>
                <w:b/>
                <w:color w:val="000000"/>
                <w:sz w:val="16"/>
              </w:rPr>
            </w:pPr>
          </w:p>
        </w:tc>
        <w:tc>
          <w:tcPr>
            <w:tcW w:w="2280" w:type="dxa"/>
            <w:tcBorders>
              <w:top w:val="nil"/>
              <w:left w:val="nil"/>
              <w:bottom w:val="nil"/>
              <w:right w:val="nil"/>
              <w:tl2br w:val="nil"/>
              <w:tr2bl w:val="nil"/>
            </w:tcBorders>
            <w:shd w:val="clear" w:color="auto" w:fill="FFFFFF"/>
            <w:tcMar>
              <w:left w:w="101" w:type="dxa"/>
              <w:right w:w="101" w:type="dxa"/>
            </w:tcMar>
            <w:vAlign w:val="bottom"/>
          </w:tcPr>
          <w:p w14:paraId="01A43084" w14:textId="77777777" w:rsidR="003F0EEA" w:rsidRDefault="003F0EEA">
            <w:pPr>
              <w:rPr>
                <w:rFonts w:ascii="Arial" w:eastAsia="Arial" w:hAnsi="Arial" w:cs="Arial"/>
                <w:color w:val="000000"/>
                <w:sz w:val="16"/>
              </w:rPr>
            </w:pP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12E5F938" w14:textId="77777777" w:rsidR="003F0EEA" w:rsidRDefault="003F0EEA">
            <w:pPr>
              <w:rPr>
                <w:rFonts w:ascii="Arial" w:eastAsia="Arial" w:hAnsi="Arial" w:cs="Arial"/>
                <w:color w:val="000000"/>
                <w:sz w:val="16"/>
                <w:vertAlign w:val="superscript"/>
              </w:rPr>
            </w:pPr>
          </w:p>
        </w:tc>
        <w:tc>
          <w:tcPr>
            <w:tcW w:w="100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1B9694D7" w14:textId="77777777" w:rsidR="003F0EEA" w:rsidRDefault="003F0EEA">
            <w:pPr>
              <w:rPr>
                <w:rFonts w:ascii="Arial" w:eastAsia="Arial" w:hAnsi="Arial" w:cs="Arial"/>
                <w:color w:val="000000"/>
                <w:sz w:val="16"/>
                <w:vertAlign w:val="superscript"/>
              </w:rPr>
            </w:pPr>
          </w:p>
        </w:tc>
        <w:tc>
          <w:tcPr>
            <w:tcW w:w="100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7AD8C39F" w14:textId="77777777" w:rsidR="003F0EEA" w:rsidRDefault="003F0EEA">
            <w:pPr>
              <w:rPr>
                <w:rFonts w:ascii="Arial" w:eastAsia="Arial" w:hAnsi="Arial" w:cs="Arial"/>
                <w:color w:val="000000"/>
                <w:sz w:val="16"/>
                <w:vertAlign w:val="superscript"/>
              </w:rPr>
            </w:pPr>
          </w:p>
        </w:tc>
        <w:tc>
          <w:tcPr>
            <w:tcW w:w="3015" w:type="dxa"/>
            <w:gridSpan w:val="3"/>
            <w:tcBorders>
              <w:top w:val="single" w:sz="6" w:space="0" w:color="000000"/>
              <w:left w:val="nil"/>
              <w:bottom w:val="nil"/>
              <w:right w:val="nil"/>
              <w:tl2br w:val="nil"/>
              <w:tr2bl w:val="nil"/>
            </w:tcBorders>
            <w:shd w:val="clear" w:color="auto" w:fill="FFFFFF"/>
            <w:tcMar>
              <w:left w:w="101" w:type="dxa"/>
              <w:right w:w="101" w:type="dxa"/>
            </w:tcMar>
            <w:vAlign w:val="bottom"/>
          </w:tcPr>
          <w:p w14:paraId="68D5A634" w14:textId="77777777" w:rsidR="003F0EEA" w:rsidRDefault="00FB7D0B">
            <w:pPr>
              <w:jc w:val="right"/>
              <w:rPr>
                <w:rFonts w:ascii="Arial" w:eastAsia="Arial" w:hAnsi="Arial" w:cs="Arial"/>
                <w:color w:val="000000"/>
                <w:sz w:val="16"/>
                <w:vertAlign w:val="superscript"/>
              </w:rPr>
            </w:pPr>
            <w:r>
              <w:rPr>
                <w:rFonts w:ascii="Arial" w:eastAsia="Arial" w:hAnsi="Arial" w:cs="Arial"/>
                <w:color w:val="000000"/>
                <w:sz w:val="16"/>
              </w:rPr>
              <w:t>Continued on next page</w:t>
            </w:r>
          </w:p>
        </w:tc>
      </w:tr>
      <w:tr w:rsidR="00FB7D0B" w14:paraId="34C32BC6" w14:textId="77777777" w:rsidTr="00FB7D0B">
        <w:trPr>
          <w:trHeight w:val="225"/>
        </w:trPr>
        <w:tc>
          <w:tcPr>
            <w:tcW w:w="5385" w:type="dxa"/>
            <w:gridSpan w:val="5"/>
            <w:tcBorders>
              <w:top w:val="nil"/>
              <w:left w:val="nil"/>
              <w:bottom w:val="nil"/>
              <w:right w:val="nil"/>
              <w:tl2br w:val="nil"/>
              <w:tr2bl w:val="nil"/>
            </w:tcBorders>
            <w:shd w:val="clear" w:color="auto" w:fill="FFFFFF"/>
            <w:tcMar>
              <w:left w:w="101" w:type="dxa"/>
              <w:right w:w="101" w:type="dxa"/>
            </w:tcMar>
            <w:vAlign w:val="bottom"/>
          </w:tcPr>
          <w:p w14:paraId="6BA34FAF" w14:textId="77777777" w:rsidR="003F0EEA" w:rsidRDefault="00FB7D0B">
            <w:pPr>
              <w:rPr>
                <w:rFonts w:ascii="Arial" w:eastAsia="Arial" w:hAnsi="Arial" w:cs="Arial"/>
                <w:color w:val="000000"/>
                <w:sz w:val="16"/>
              </w:rPr>
            </w:pPr>
            <w:r>
              <w:rPr>
                <w:rFonts w:ascii="Arial" w:eastAsia="Arial" w:hAnsi="Arial" w:cs="Arial"/>
                <w:color w:val="000000"/>
                <w:sz w:val="16"/>
              </w:rPr>
              <w:t>Prepared on a Government Finance Statistics (fiscal) basis</w:t>
            </w:r>
          </w:p>
        </w:tc>
        <w:tc>
          <w:tcPr>
            <w:tcW w:w="1005" w:type="dxa"/>
            <w:tcBorders>
              <w:top w:val="nil"/>
              <w:left w:val="nil"/>
              <w:bottom w:val="nil"/>
              <w:right w:val="nil"/>
              <w:tl2br w:val="nil"/>
              <w:tr2bl w:val="nil"/>
            </w:tcBorders>
            <w:shd w:val="clear" w:color="auto" w:fill="FFFFFF"/>
            <w:tcMar>
              <w:left w:w="101" w:type="dxa"/>
              <w:right w:w="101" w:type="dxa"/>
            </w:tcMar>
            <w:vAlign w:val="bottom"/>
          </w:tcPr>
          <w:p w14:paraId="7334DA7E" w14:textId="77777777" w:rsidR="003F0EEA" w:rsidRDefault="003F0EEA">
            <w:pPr>
              <w:rPr>
                <w:rFonts w:ascii="Arial" w:eastAsia="Arial" w:hAnsi="Arial" w:cs="Arial"/>
                <w:color w:val="000000"/>
                <w:sz w:val="16"/>
              </w:rPr>
            </w:pPr>
          </w:p>
        </w:tc>
        <w:tc>
          <w:tcPr>
            <w:tcW w:w="1005" w:type="dxa"/>
            <w:tcBorders>
              <w:top w:val="nil"/>
              <w:left w:val="nil"/>
              <w:bottom w:val="nil"/>
              <w:right w:val="nil"/>
              <w:tl2br w:val="nil"/>
              <w:tr2bl w:val="nil"/>
            </w:tcBorders>
            <w:shd w:val="clear" w:color="auto" w:fill="FFFFFF"/>
            <w:tcMar>
              <w:left w:w="101" w:type="dxa"/>
              <w:right w:w="101" w:type="dxa"/>
            </w:tcMar>
            <w:vAlign w:val="bottom"/>
          </w:tcPr>
          <w:p w14:paraId="4DAEFF98" w14:textId="77777777" w:rsidR="003F0EEA" w:rsidRDefault="003F0EEA">
            <w:pPr>
              <w:rPr>
                <w:rFonts w:ascii="Arial" w:eastAsia="Arial" w:hAnsi="Arial" w:cs="Arial"/>
                <w:color w:val="000000"/>
                <w:sz w:val="16"/>
              </w:rPr>
            </w:pPr>
          </w:p>
        </w:tc>
        <w:tc>
          <w:tcPr>
            <w:tcW w:w="1005" w:type="dxa"/>
            <w:tcBorders>
              <w:top w:val="nil"/>
              <w:left w:val="nil"/>
              <w:bottom w:val="nil"/>
              <w:right w:val="nil"/>
              <w:tl2br w:val="nil"/>
              <w:tr2bl w:val="nil"/>
            </w:tcBorders>
            <w:shd w:val="clear" w:color="auto" w:fill="FFFFFF"/>
            <w:tcMar>
              <w:left w:w="101" w:type="dxa"/>
              <w:right w:w="101" w:type="dxa"/>
            </w:tcMar>
            <w:vAlign w:val="bottom"/>
          </w:tcPr>
          <w:p w14:paraId="4D9052BE" w14:textId="77777777" w:rsidR="003F0EEA" w:rsidRDefault="003F0EEA">
            <w:pPr>
              <w:rPr>
                <w:rFonts w:ascii="Arial" w:eastAsia="Arial" w:hAnsi="Arial" w:cs="Arial"/>
                <w:color w:val="000000"/>
                <w:sz w:val="16"/>
              </w:rPr>
            </w:pPr>
          </w:p>
        </w:tc>
      </w:tr>
    </w:tbl>
    <w:p w14:paraId="3E732239" w14:textId="77777777" w:rsidR="003F0EEA" w:rsidRDefault="00FB7D0B">
      <w:pPr>
        <w:spacing w:line="14" w:lineRule="exact"/>
        <w:rPr>
          <w:rFonts w:ascii="Arial" w:hAnsi="Arial" w:cs="Arial"/>
        </w:rPr>
      </w:pPr>
      <w:r>
        <w:rPr>
          <w:rFonts w:ascii="Arial" w:hAnsi="Arial" w:cs="Arial"/>
        </w:rPr>
        <w:br w:type="page"/>
      </w:r>
    </w:p>
    <w:p w14:paraId="61F4AFA2" w14:textId="77777777" w:rsidR="003F0EEA" w:rsidRPr="00E734E5" w:rsidRDefault="00FB7D0B" w:rsidP="003F0EEA">
      <w:pPr>
        <w:pStyle w:val="TableHeadingcontinued4"/>
        <w:spacing w:after="0"/>
        <w:rPr>
          <w:rFonts w:eastAsia="Calibri"/>
        </w:rPr>
      </w:pPr>
      <w:r w:rsidRPr="00B54316">
        <w:rPr>
          <w:rFonts w:eastAsia="Calibri"/>
        </w:rPr>
        <w:t xml:space="preserve">Table 1.2: </w:t>
      </w:r>
      <w:r>
        <w:rPr>
          <w:rFonts w:eastAsia="Calibri"/>
        </w:rPr>
        <w:t xml:space="preserve">Department of Veterans' Affairs </w:t>
      </w:r>
      <w:r w:rsidRPr="00B54316">
        <w:rPr>
          <w:rFonts w:eastAsia="Calibri"/>
        </w:rPr>
        <w:t xml:space="preserve">2014-15 </w:t>
      </w:r>
      <w:r>
        <w:rPr>
          <w:rFonts w:eastAsia="Calibri"/>
        </w:rPr>
        <w:t xml:space="preserve">Budget measures </w:t>
      </w:r>
      <w:r w:rsidRPr="00A61101">
        <w:rPr>
          <w:rFonts w:eastAsia="Calibri"/>
        </w:rPr>
        <w:t>(continued)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0"/>
        <w:gridCol w:w="2280"/>
        <w:gridCol w:w="915"/>
        <w:gridCol w:w="1005"/>
        <w:gridCol w:w="1005"/>
        <w:gridCol w:w="1005"/>
        <w:gridCol w:w="1005"/>
        <w:gridCol w:w="1005"/>
      </w:tblGrid>
      <w:tr w:rsidR="00FB7D0B" w14:paraId="7D855B6A" w14:textId="77777777" w:rsidTr="00FB7D0B">
        <w:trPr>
          <w:trHeight w:val="225"/>
        </w:trPr>
        <w:tc>
          <w:tcPr>
            <w:tcW w:w="180"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0302CC45" w14:textId="77777777" w:rsidR="003F0EEA" w:rsidRPr="00E734E5" w:rsidRDefault="003F0EEA">
            <w:pPr>
              <w:rPr>
                <w:rFonts w:cs="Times New Roman"/>
              </w:rPr>
            </w:pPr>
          </w:p>
        </w:tc>
        <w:tc>
          <w:tcPr>
            <w:tcW w:w="3195" w:type="dxa"/>
            <w:gridSpan w:val="2"/>
            <w:tcBorders>
              <w:top w:val="single" w:sz="6" w:space="0" w:color="000000"/>
              <w:left w:val="nil"/>
              <w:bottom w:val="nil"/>
              <w:right w:val="nil"/>
              <w:tl2br w:val="nil"/>
              <w:tr2bl w:val="nil"/>
            </w:tcBorders>
            <w:shd w:val="clear" w:color="auto" w:fill="FFFFFF"/>
            <w:tcMar>
              <w:left w:w="115" w:type="dxa"/>
              <w:right w:w="115" w:type="dxa"/>
            </w:tcMar>
            <w:vAlign w:val="bottom"/>
          </w:tcPr>
          <w:p w14:paraId="1D63348E" w14:textId="77777777" w:rsidR="003F0EEA" w:rsidRPr="00E734E5" w:rsidRDefault="00FB7D0B">
            <w:pPr>
              <w:jc w:val="right"/>
              <w:rPr>
                <w:rFonts w:ascii="Arial" w:eastAsia="Arial" w:hAnsi="Arial" w:cs="Arial"/>
                <w:color w:val="000000"/>
                <w:sz w:val="16"/>
              </w:rPr>
            </w:pPr>
            <w:r w:rsidRPr="00E734E5">
              <w:rPr>
                <w:rFonts w:ascii="Arial" w:eastAsia="Arial" w:hAnsi="Arial" w:cs="Arial"/>
                <w:color w:val="000000"/>
                <w:sz w:val="16"/>
              </w:rPr>
              <w:t>Programme</w:t>
            </w:r>
          </w:p>
        </w:tc>
        <w:tc>
          <w:tcPr>
            <w:tcW w:w="1005" w:type="dxa"/>
            <w:tcBorders>
              <w:top w:val="single" w:sz="6" w:space="0" w:color="000000"/>
              <w:left w:val="nil"/>
              <w:bottom w:val="nil"/>
              <w:right w:val="nil"/>
              <w:tl2br w:val="nil"/>
              <w:tr2bl w:val="nil"/>
            </w:tcBorders>
            <w:shd w:val="clear" w:color="auto" w:fill="FFFF00"/>
            <w:tcMar>
              <w:left w:w="115" w:type="dxa"/>
              <w:right w:w="115" w:type="dxa"/>
            </w:tcMar>
            <w:vAlign w:val="bottom"/>
          </w:tcPr>
          <w:p w14:paraId="01E3FBFE" w14:textId="77777777" w:rsidR="003F0EEA" w:rsidRPr="00E734E5" w:rsidRDefault="00FB7D0B">
            <w:pPr>
              <w:jc w:val="right"/>
              <w:rPr>
                <w:rFonts w:ascii="Arial" w:eastAsia="Arial" w:hAnsi="Arial" w:cs="Arial"/>
                <w:color w:val="000000"/>
                <w:sz w:val="16"/>
              </w:rPr>
            </w:pPr>
            <w:r w:rsidRPr="00E734E5">
              <w:rPr>
                <w:rFonts w:ascii="Arial" w:eastAsia="Arial" w:hAnsi="Arial" w:cs="Arial"/>
                <w:color w:val="000000"/>
                <w:sz w:val="16"/>
              </w:rPr>
              <w:t>2013-14</w:t>
            </w:r>
          </w:p>
        </w:tc>
        <w:tc>
          <w:tcPr>
            <w:tcW w:w="1005"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2246DF92" w14:textId="77777777" w:rsidR="003F0EEA" w:rsidRPr="00E734E5" w:rsidRDefault="00FB7D0B">
            <w:pPr>
              <w:jc w:val="right"/>
              <w:rPr>
                <w:rFonts w:ascii="Arial" w:eastAsia="Arial" w:hAnsi="Arial" w:cs="Arial"/>
                <w:color w:val="000000"/>
                <w:sz w:val="16"/>
              </w:rPr>
            </w:pPr>
            <w:r w:rsidRPr="00E734E5">
              <w:rPr>
                <w:rFonts w:ascii="Arial" w:eastAsia="Arial" w:hAnsi="Arial" w:cs="Arial"/>
                <w:color w:val="000000"/>
                <w:sz w:val="16"/>
              </w:rPr>
              <w:t>2014-15</w:t>
            </w:r>
          </w:p>
        </w:tc>
        <w:tc>
          <w:tcPr>
            <w:tcW w:w="1005" w:type="dxa"/>
            <w:tcBorders>
              <w:top w:val="single" w:sz="6" w:space="0" w:color="000000"/>
              <w:left w:val="nil"/>
              <w:bottom w:val="nil"/>
              <w:right w:val="nil"/>
              <w:tl2br w:val="nil"/>
              <w:tr2bl w:val="nil"/>
            </w:tcBorders>
            <w:shd w:val="clear" w:color="auto" w:fill="FFFF00"/>
            <w:tcMar>
              <w:left w:w="115" w:type="dxa"/>
              <w:right w:w="115" w:type="dxa"/>
            </w:tcMar>
            <w:vAlign w:val="bottom"/>
          </w:tcPr>
          <w:p w14:paraId="13FBA289" w14:textId="77777777" w:rsidR="003F0EEA" w:rsidRPr="00E734E5" w:rsidRDefault="00FB7D0B">
            <w:pPr>
              <w:jc w:val="right"/>
              <w:rPr>
                <w:rFonts w:ascii="Arial" w:eastAsia="Arial" w:hAnsi="Arial" w:cs="Arial"/>
                <w:color w:val="000000"/>
                <w:sz w:val="16"/>
              </w:rPr>
            </w:pPr>
            <w:r w:rsidRPr="00E734E5">
              <w:rPr>
                <w:rFonts w:ascii="Arial" w:eastAsia="Arial" w:hAnsi="Arial" w:cs="Arial"/>
                <w:color w:val="000000"/>
                <w:sz w:val="16"/>
              </w:rPr>
              <w:t>2015-16</w:t>
            </w:r>
          </w:p>
        </w:tc>
        <w:tc>
          <w:tcPr>
            <w:tcW w:w="1005"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3797189E" w14:textId="77777777" w:rsidR="003F0EEA" w:rsidRPr="00E734E5" w:rsidRDefault="00FB7D0B">
            <w:pPr>
              <w:jc w:val="right"/>
              <w:rPr>
                <w:rFonts w:ascii="Arial" w:eastAsia="Arial" w:hAnsi="Arial" w:cs="Arial"/>
                <w:color w:val="000000"/>
                <w:sz w:val="16"/>
              </w:rPr>
            </w:pPr>
            <w:r w:rsidRPr="00E734E5">
              <w:rPr>
                <w:rFonts w:ascii="Arial" w:eastAsia="Arial" w:hAnsi="Arial" w:cs="Arial"/>
                <w:color w:val="000000"/>
                <w:sz w:val="16"/>
              </w:rPr>
              <w:t>2016-17</w:t>
            </w:r>
          </w:p>
        </w:tc>
        <w:tc>
          <w:tcPr>
            <w:tcW w:w="1005" w:type="dxa"/>
            <w:tcBorders>
              <w:top w:val="single" w:sz="6" w:space="0" w:color="000000"/>
              <w:left w:val="nil"/>
              <w:bottom w:val="nil"/>
              <w:right w:val="nil"/>
              <w:tl2br w:val="nil"/>
              <w:tr2bl w:val="nil"/>
            </w:tcBorders>
            <w:shd w:val="clear" w:color="auto" w:fill="FFFF00"/>
            <w:tcMar>
              <w:left w:w="115" w:type="dxa"/>
              <w:right w:w="115" w:type="dxa"/>
            </w:tcMar>
            <w:vAlign w:val="bottom"/>
          </w:tcPr>
          <w:p w14:paraId="3A983DBD" w14:textId="77777777" w:rsidR="003F0EEA" w:rsidRPr="00E734E5" w:rsidRDefault="00FB7D0B">
            <w:pPr>
              <w:jc w:val="right"/>
              <w:rPr>
                <w:rFonts w:ascii="Arial" w:eastAsia="Arial" w:hAnsi="Arial" w:cs="Arial"/>
                <w:color w:val="000000"/>
                <w:sz w:val="16"/>
              </w:rPr>
            </w:pPr>
            <w:r w:rsidRPr="00E734E5">
              <w:rPr>
                <w:rFonts w:ascii="Arial" w:eastAsia="Arial" w:hAnsi="Arial" w:cs="Arial"/>
                <w:color w:val="000000"/>
                <w:sz w:val="16"/>
              </w:rPr>
              <w:t>2017-18</w:t>
            </w:r>
          </w:p>
        </w:tc>
      </w:tr>
      <w:tr w:rsidR="00724034" w14:paraId="4AB542FF" w14:textId="77777777">
        <w:trPr>
          <w:trHeight w:val="225"/>
        </w:trPr>
        <w:tc>
          <w:tcPr>
            <w:tcW w:w="180" w:type="dxa"/>
            <w:tcBorders>
              <w:top w:val="nil"/>
              <w:left w:val="nil"/>
              <w:bottom w:val="nil"/>
              <w:right w:val="nil"/>
              <w:tl2br w:val="nil"/>
              <w:tr2bl w:val="nil"/>
            </w:tcBorders>
            <w:shd w:val="clear" w:color="auto" w:fill="FFFFFF"/>
            <w:tcMar>
              <w:left w:w="115" w:type="dxa"/>
              <w:right w:w="115" w:type="dxa"/>
            </w:tcMar>
            <w:vAlign w:val="bottom"/>
          </w:tcPr>
          <w:p w14:paraId="0010F6F6" w14:textId="77777777" w:rsidR="003F0EEA" w:rsidRPr="00E734E5" w:rsidRDefault="003F0EEA">
            <w:pPr>
              <w:rPr>
                <w:rFonts w:ascii="Arial" w:eastAsia="Arial" w:hAnsi="Arial" w:cs="Arial"/>
                <w:color w:val="000000"/>
                <w:sz w:val="16"/>
              </w:rPr>
            </w:pPr>
          </w:p>
        </w:tc>
        <w:tc>
          <w:tcPr>
            <w:tcW w:w="2280" w:type="dxa"/>
            <w:tcBorders>
              <w:top w:val="nil"/>
              <w:left w:val="nil"/>
              <w:bottom w:val="nil"/>
              <w:right w:val="nil"/>
              <w:tl2br w:val="nil"/>
              <w:tr2bl w:val="nil"/>
            </w:tcBorders>
            <w:shd w:val="clear" w:color="auto" w:fill="FFFFFF"/>
            <w:tcMar>
              <w:left w:w="115" w:type="dxa"/>
              <w:right w:w="115" w:type="dxa"/>
            </w:tcMar>
            <w:vAlign w:val="bottom"/>
          </w:tcPr>
          <w:p w14:paraId="25DEDBD0" w14:textId="77777777" w:rsidR="003F0EEA" w:rsidRPr="00E734E5" w:rsidRDefault="003F0EEA">
            <w:pPr>
              <w:rPr>
                <w:rFonts w:ascii="Arial" w:eastAsia="Arial" w:hAnsi="Arial" w:cs="Arial"/>
                <w:color w:val="000000"/>
                <w:sz w:val="16"/>
              </w:rPr>
            </w:pPr>
          </w:p>
        </w:tc>
        <w:tc>
          <w:tcPr>
            <w:tcW w:w="915" w:type="dxa"/>
            <w:tcBorders>
              <w:top w:val="nil"/>
              <w:left w:val="nil"/>
              <w:bottom w:val="nil"/>
              <w:right w:val="nil"/>
              <w:tl2br w:val="nil"/>
              <w:tr2bl w:val="nil"/>
            </w:tcBorders>
            <w:shd w:val="clear" w:color="auto" w:fill="FFFFFF"/>
            <w:tcMar>
              <w:left w:w="115" w:type="dxa"/>
              <w:right w:w="115" w:type="dxa"/>
            </w:tcMar>
            <w:vAlign w:val="bottom"/>
          </w:tcPr>
          <w:p w14:paraId="71A386FD" w14:textId="77777777" w:rsidR="003F0EEA" w:rsidRPr="00E734E5" w:rsidRDefault="003F0EEA">
            <w:pPr>
              <w:rPr>
                <w:rFonts w:ascii="Arial" w:eastAsia="Arial" w:hAnsi="Arial" w:cs="Arial"/>
                <w:color w:val="000000"/>
                <w:sz w:val="16"/>
                <w:vertAlign w:val="superscript"/>
              </w:rPr>
            </w:pPr>
          </w:p>
        </w:tc>
        <w:tc>
          <w:tcPr>
            <w:tcW w:w="1005" w:type="dxa"/>
            <w:tcBorders>
              <w:top w:val="nil"/>
              <w:left w:val="nil"/>
              <w:bottom w:val="single" w:sz="6" w:space="0" w:color="000000"/>
              <w:right w:val="nil"/>
              <w:tl2br w:val="nil"/>
              <w:tr2bl w:val="nil"/>
            </w:tcBorders>
            <w:shd w:val="clear" w:color="auto" w:fill="FFFF00"/>
            <w:tcMar>
              <w:left w:w="115" w:type="dxa"/>
              <w:right w:w="115" w:type="dxa"/>
            </w:tcMar>
            <w:vAlign w:val="bottom"/>
          </w:tcPr>
          <w:p w14:paraId="297E89E1" w14:textId="77777777" w:rsidR="003F0EEA" w:rsidRPr="00E734E5" w:rsidRDefault="00FB7D0B">
            <w:pPr>
              <w:jc w:val="right"/>
              <w:rPr>
                <w:rFonts w:ascii="Arial" w:eastAsia="Arial" w:hAnsi="Arial" w:cs="Arial"/>
                <w:color w:val="000000"/>
                <w:sz w:val="16"/>
                <w:vertAlign w:val="superscript"/>
              </w:rPr>
            </w:pPr>
            <w:r w:rsidRPr="00E734E5">
              <w:rPr>
                <w:rFonts w:ascii="Arial" w:eastAsia="Arial" w:hAnsi="Arial" w:cs="Arial"/>
                <w:color w:val="000000"/>
                <w:sz w:val="16"/>
              </w:rPr>
              <w:t>$'000</w:t>
            </w:r>
          </w:p>
        </w:tc>
        <w:tc>
          <w:tcPr>
            <w:tcW w:w="1005"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767C3ADA" w14:textId="77777777" w:rsidR="003F0EEA" w:rsidRPr="00E734E5" w:rsidRDefault="00FB7D0B">
            <w:pPr>
              <w:jc w:val="right"/>
              <w:rPr>
                <w:rFonts w:ascii="Arial" w:eastAsia="Arial" w:hAnsi="Arial" w:cs="Arial"/>
                <w:color w:val="000000"/>
                <w:sz w:val="16"/>
              </w:rPr>
            </w:pPr>
            <w:r w:rsidRPr="00E734E5">
              <w:rPr>
                <w:rFonts w:ascii="Arial" w:eastAsia="Arial" w:hAnsi="Arial" w:cs="Arial"/>
                <w:color w:val="000000"/>
                <w:sz w:val="16"/>
              </w:rPr>
              <w:t>$'000</w:t>
            </w:r>
          </w:p>
        </w:tc>
        <w:tc>
          <w:tcPr>
            <w:tcW w:w="1005" w:type="dxa"/>
            <w:tcBorders>
              <w:top w:val="nil"/>
              <w:left w:val="nil"/>
              <w:bottom w:val="single" w:sz="6" w:space="0" w:color="000000"/>
              <w:right w:val="nil"/>
              <w:tl2br w:val="nil"/>
              <w:tr2bl w:val="nil"/>
            </w:tcBorders>
            <w:shd w:val="clear" w:color="auto" w:fill="FFFF00"/>
            <w:tcMar>
              <w:left w:w="115" w:type="dxa"/>
              <w:right w:w="115" w:type="dxa"/>
            </w:tcMar>
            <w:vAlign w:val="bottom"/>
          </w:tcPr>
          <w:p w14:paraId="16EAAD4A" w14:textId="77777777" w:rsidR="003F0EEA" w:rsidRPr="00E734E5" w:rsidRDefault="00FB7D0B">
            <w:pPr>
              <w:jc w:val="right"/>
              <w:rPr>
                <w:rFonts w:ascii="Arial" w:eastAsia="Arial" w:hAnsi="Arial" w:cs="Arial"/>
                <w:color w:val="000000"/>
                <w:sz w:val="16"/>
              </w:rPr>
            </w:pPr>
            <w:r w:rsidRPr="00E734E5">
              <w:rPr>
                <w:rFonts w:ascii="Arial" w:eastAsia="Arial" w:hAnsi="Arial" w:cs="Arial"/>
                <w:color w:val="000000"/>
                <w:sz w:val="16"/>
              </w:rPr>
              <w:t>$'000</w:t>
            </w:r>
          </w:p>
        </w:tc>
        <w:tc>
          <w:tcPr>
            <w:tcW w:w="1005"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4406BF88" w14:textId="77777777" w:rsidR="003F0EEA" w:rsidRPr="00E734E5" w:rsidRDefault="00FB7D0B">
            <w:pPr>
              <w:jc w:val="right"/>
              <w:rPr>
                <w:rFonts w:ascii="Arial" w:eastAsia="Arial" w:hAnsi="Arial" w:cs="Arial"/>
                <w:color w:val="000000"/>
                <w:sz w:val="16"/>
              </w:rPr>
            </w:pPr>
            <w:r w:rsidRPr="00E734E5">
              <w:rPr>
                <w:rFonts w:ascii="Arial" w:eastAsia="Arial" w:hAnsi="Arial" w:cs="Arial"/>
                <w:color w:val="000000"/>
                <w:sz w:val="16"/>
              </w:rPr>
              <w:t>$'000</w:t>
            </w:r>
          </w:p>
        </w:tc>
        <w:tc>
          <w:tcPr>
            <w:tcW w:w="1005" w:type="dxa"/>
            <w:tcBorders>
              <w:top w:val="nil"/>
              <w:left w:val="nil"/>
              <w:bottom w:val="single" w:sz="6" w:space="0" w:color="000000"/>
              <w:right w:val="nil"/>
              <w:tl2br w:val="nil"/>
              <w:tr2bl w:val="nil"/>
            </w:tcBorders>
            <w:shd w:val="clear" w:color="auto" w:fill="FFFF00"/>
            <w:tcMar>
              <w:left w:w="115" w:type="dxa"/>
              <w:right w:w="115" w:type="dxa"/>
            </w:tcMar>
            <w:vAlign w:val="bottom"/>
          </w:tcPr>
          <w:p w14:paraId="51EEA177" w14:textId="77777777" w:rsidR="003F0EEA" w:rsidRPr="00E734E5" w:rsidRDefault="00FB7D0B">
            <w:pPr>
              <w:jc w:val="right"/>
              <w:rPr>
                <w:rFonts w:ascii="Arial" w:eastAsia="Arial" w:hAnsi="Arial" w:cs="Arial"/>
                <w:color w:val="000000"/>
                <w:sz w:val="16"/>
              </w:rPr>
            </w:pPr>
            <w:r w:rsidRPr="00E734E5">
              <w:rPr>
                <w:rFonts w:ascii="Arial" w:eastAsia="Arial" w:hAnsi="Arial" w:cs="Arial"/>
                <w:color w:val="000000"/>
                <w:sz w:val="16"/>
              </w:rPr>
              <w:t>$'000</w:t>
            </w:r>
          </w:p>
        </w:tc>
      </w:tr>
      <w:tr w:rsidR="00724034" w14:paraId="1260CA76" w14:textId="77777777">
        <w:trPr>
          <w:trHeight w:val="225"/>
        </w:trPr>
        <w:tc>
          <w:tcPr>
            <w:tcW w:w="180" w:type="dxa"/>
            <w:tcBorders>
              <w:top w:val="nil"/>
              <w:left w:val="nil"/>
              <w:bottom w:val="nil"/>
              <w:right w:val="nil"/>
              <w:tl2br w:val="nil"/>
              <w:tr2bl w:val="nil"/>
            </w:tcBorders>
            <w:shd w:val="clear" w:color="auto" w:fill="FFFFFF"/>
            <w:tcMar>
              <w:left w:w="115" w:type="dxa"/>
              <w:right w:w="115" w:type="dxa"/>
            </w:tcMar>
            <w:vAlign w:val="bottom"/>
          </w:tcPr>
          <w:p w14:paraId="26D818A4" w14:textId="77777777" w:rsidR="003F0EEA" w:rsidRPr="00E734E5" w:rsidRDefault="003F0EEA">
            <w:pPr>
              <w:rPr>
                <w:rFonts w:ascii="Arial" w:eastAsia="Arial" w:hAnsi="Arial" w:cs="Arial"/>
                <w:color w:val="000000"/>
                <w:sz w:val="16"/>
              </w:rPr>
            </w:pPr>
          </w:p>
        </w:tc>
        <w:tc>
          <w:tcPr>
            <w:tcW w:w="2280" w:type="dxa"/>
            <w:tcBorders>
              <w:top w:val="nil"/>
              <w:left w:val="nil"/>
              <w:bottom w:val="nil"/>
              <w:right w:val="nil"/>
              <w:tl2br w:val="nil"/>
              <w:tr2bl w:val="nil"/>
            </w:tcBorders>
            <w:shd w:val="clear" w:color="auto" w:fill="FFFFFF"/>
            <w:tcMar>
              <w:left w:w="115" w:type="dxa"/>
              <w:right w:w="115" w:type="dxa"/>
            </w:tcMar>
            <w:vAlign w:val="bottom"/>
          </w:tcPr>
          <w:p w14:paraId="4B36038D" w14:textId="77777777" w:rsidR="003F0EEA" w:rsidRPr="00E734E5" w:rsidRDefault="003F0EEA">
            <w:pPr>
              <w:rPr>
                <w:rFonts w:ascii="Arial" w:eastAsia="Arial" w:hAnsi="Arial" w:cs="Arial"/>
                <w:b/>
                <w:color w:val="000000"/>
                <w:sz w:val="16"/>
              </w:rPr>
            </w:pPr>
          </w:p>
        </w:tc>
        <w:tc>
          <w:tcPr>
            <w:tcW w:w="915" w:type="dxa"/>
            <w:tcBorders>
              <w:top w:val="nil"/>
              <w:left w:val="nil"/>
              <w:bottom w:val="nil"/>
              <w:right w:val="nil"/>
              <w:tl2br w:val="nil"/>
              <w:tr2bl w:val="nil"/>
            </w:tcBorders>
            <w:shd w:val="clear" w:color="auto" w:fill="FFFFFF"/>
            <w:tcMar>
              <w:left w:w="115" w:type="dxa"/>
              <w:right w:w="115" w:type="dxa"/>
            </w:tcMar>
            <w:vAlign w:val="bottom"/>
          </w:tcPr>
          <w:p w14:paraId="723305FF" w14:textId="77777777" w:rsidR="003F0EEA" w:rsidRPr="00E734E5" w:rsidRDefault="003F0EEA">
            <w:pPr>
              <w:jc w:val="center"/>
              <w:rPr>
                <w:rFonts w:ascii="Arial" w:eastAsia="Arial" w:hAnsi="Arial" w:cs="Arial"/>
                <w:b/>
                <w:color w:val="000000"/>
                <w:sz w:val="16"/>
                <w:vertAlign w:val="superscript"/>
              </w:rPr>
            </w:pPr>
          </w:p>
        </w:tc>
        <w:tc>
          <w:tcPr>
            <w:tcW w:w="1005" w:type="dxa"/>
            <w:tcBorders>
              <w:top w:val="single" w:sz="6" w:space="0" w:color="000000"/>
              <w:left w:val="nil"/>
              <w:bottom w:val="nil"/>
              <w:right w:val="nil"/>
              <w:tl2br w:val="nil"/>
              <w:tr2bl w:val="nil"/>
            </w:tcBorders>
            <w:shd w:val="clear" w:color="auto" w:fill="FFFF00"/>
            <w:tcMar>
              <w:left w:w="115" w:type="dxa"/>
              <w:right w:w="115" w:type="dxa"/>
            </w:tcMar>
            <w:vAlign w:val="bottom"/>
          </w:tcPr>
          <w:p w14:paraId="2A79F64F" w14:textId="77777777" w:rsidR="003F0EEA" w:rsidRPr="00E734E5" w:rsidRDefault="003F0EEA">
            <w:pPr>
              <w:jc w:val="right"/>
              <w:rPr>
                <w:rFonts w:ascii="Arial" w:eastAsia="Arial" w:hAnsi="Arial" w:cs="Arial"/>
                <w:color w:val="000000"/>
                <w:sz w:val="16"/>
                <w:vertAlign w:val="superscript"/>
              </w:rPr>
            </w:pPr>
          </w:p>
        </w:tc>
        <w:tc>
          <w:tcPr>
            <w:tcW w:w="1005"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23EAF31E" w14:textId="77777777" w:rsidR="003F0EEA" w:rsidRPr="00E734E5" w:rsidRDefault="003F0EEA">
            <w:pPr>
              <w:jc w:val="right"/>
              <w:rPr>
                <w:rFonts w:ascii="Arial" w:eastAsia="Arial" w:hAnsi="Arial" w:cs="Arial"/>
                <w:b/>
                <w:color w:val="000000"/>
                <w:sz w:val="16"/>
                <w:vertAlign w:val="superscript"/>
              </w:rPr>
            </w:pPr>
          </w:p>
        </w:tc>
        <w:tc>
          <w:tcPr>
            <w:tcW w:w="1005" w:type="dxa"/>
            <w:tcBorders>
              <w:top w:val="single" w:sz="6" w:space="0" w:color="000000"/>
              <w:left w:val="nil"/>
              <w:bottom w:val="nil"/>
              <w:right w:val="nil"/>
              <w:tl2br w:val="nil"/>
              <w:tr2bl w:val="nil"/>
            </w:tcBorders>
            <w:shd w:val="clear" w:color="auto" w:fill="FFFF00"/>
            <w:tcMar>
              <w:left w:w="115" w:type="dxa"/>
              <w:right w:w="115" w:type="dxa"/>
            </w:tcMar>
            <w:vAlign w:val="bottom"/>
          </w:tcPr>
          <w:p w14:paraId="077D8524" w14:textId="77777777" w:rsidR="003F0EEA" w:rsidRPr="00E734E5" w:rsidRDefault="003F0EEA">
            <w:pPr>
              <w:jc w:val="right"/>
              <w:rPr>
                <w:rFonts w:ascii="Arial" w:eastAsia="Arial" w:hAnsi="Arial" w:cs="Arial"/>
                <w:b/>
                <w:color w:val="000000"/>
                <w:sz w:val="16"/>
                <w:vertAlign w:val="superscript"/>
              </w:rPr>
            </w:pPr>
          </w:p>
        </w:tc>
        <w:tc>
          <w:tcPr>
            <w:tcW w:w="1005"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7569753D" w14:textId="77777777" w:rsidR="003F0EEA" w:rsidRPr="00E734E5" w:rsidRDefault="003F0EEA">
            <w:pPr>
              <w:jc w:val="right"/>
              <w:rPr>
                <w:rFonts w:ascii="Arial" w:eastAsia="Arial" w:hAnsi="Arial" w:cs="Arial"/>
                <w:b/>
                <w:color w:val="000000"/>
                <w:sz w:val="16"/>
                <w:vertAlign w:val="superscript"/>
              </w:rPr>
            </w:pPr>
          </w:p>
        </w:tc>
        <w:tc>
          <w:tcPr>
            <w:tcW w:w="1005" w:type="dxa"/>
            <w:tcBorders>
              <w:top w:val="single" w:sz="6" w:space="0" w:color="000000"/>
              <w:left w:val="nil"/>
              <w:bottom w:val="nil"/>
              <w:right w:val="nil"/>
              <w:tl2br w:val="nil"/>
              <w:tr2bl w:val="nil"/>
            </w:tcBorders>
            <w:shd w:val="clear" w:color="auto" w:fill="FFFF00"/>
            <w:tcMar>
              <w:left w:w="115" w:type="dxa"/>
              <w:right w:w="115" w:type="dxa"/>
            </w:tcMar>
            <w:vAlign w:val="bottom"/>
          </w:tcPr>
          <w:p w14:paraId="69C3AA15" w14:textId="77777777" w:rsidR="003F0EEA" w:rsidRPr="00E734E5" w:rsidRDefault="003F0EEA">
            <w:pPr>
              <w:jc w:val="right"/>
              <w:rPr>
                <w:rFonts w:ascii="Arial" w:eastAsia="Arial" w:hAnsi="Arial" w:cs="Arial"/>
                <w:b/>
                <w:color w:val="000000"/>
                <w:sz w:val="16"/>
                <w:vertAlign w:val="superscript"/>
              </w:rPr>
            </w:pPr>
          </w:p>
        </w:tc>
      </w:tr>
      <w:tr w:rsidR="00FB7D0B" w14:paraId="59B1B8D6" w14:textId="77777777" w:rsidTr="00FB7D0B">
        <w:trPr>
          <w:trHeight w:val="450"/>
        </w:trPr>
        <w:tc>
          <w:tcPr>
            <w:tcW w:w="2460" w:type="dxa"/>
            <w:gridSpan w:val="2"/>
            <w:tcBorders>
              <w:top w:val="nil"/>
              <w:left w:val="nil"/>
              <w:bottom w:val="nil"/>
              <w:right w:val="nil"/>
              <w:tl2br w:val="nil"/>
              <w:tr2bl w:val="nil"/>
            </w:tcBorders>
            <w:shd w:val="clear" w:color="auto" w:fill="FFFFFF"/>
            <w:tcMar>
              <w:left w:w="115" w:type="dxa"/>
              <w:right w:w="115" w:type="dxa"/>
            </w:tcMar>
            <w:vAlign w:val="bottom"/>
          </w:tcPr>
          <w:p w14:paraId="2643DAC0" w14:textId="77777777" w:rsidR="003F0EEA" w:rsidRPr="00E734E5" w:rsidRDefault="00FB7D0B">
            <w:pPr>
              <w:rPr>
                <w:rFonts w:ascii="Arial" w:eastAsia="Arial" w:hAnsi="Arial" w:cs="Arial"/>
                <w:b/>
                <w:color w:val="000000"/>
                <w:sz w:val="16"/>
                <w:vertAlign w:val="superscript"/>
              </w:rPr>
            </w:pPr>
            <w:r w:rsidRPr="00E734E5">
              <w:rPr>
                <w:rFonts w:ascii="Arial" w:eastAsia="Arial" w:hAnsi="Arial" w:cs="Arial"/>
                <w:color w:val="000000"/>
                <w:sz w:val="16"/>
              </w:rPr>
              <w:t>Cease Indexation of the Clean Energy Supplement</w:t>
            </w:r>
            <w:r w:rsidRPr="00E734E5">
              <w:rPr>
                <w:rFonts w:ascii="Arial" w:eastAsia="Arial" w:hAnsi="Arial" w:cs="Arial"/>
                <w:color w:val="000000"/>
                <w:sz w:val="16"/>
                <w:vertAlign w:val="superscript"/>
              </w:rPr>
              <w:t>1 </w:t>
            </w:r>
          </w:p>
        </w:tc>
        <w:tc>
          <w:tcPr>
            <w:tcW w:w="915" w:type="dxa"/>
            <w:tcBorders>
              <w:top w:val="nil"/>
              <w:left w:val="nil"/>
              <w:bottom w:val="nil"/>
              <w:right w:val="nil"/>
              <w:tl2br w:val="nil"/>
              <w:tr2bl w:val="nil"/>
            </w:tcBorders>
            <w:shd w:val="clear" w:color="auto" w:fill="FFFFFF"/>
            <w:tcMar>
              <w:left w:w="115" w:type="dxa"/>
              <w:right w:w="115" w:type="dxa"/>
            </w:tcMar>
            <w:vAlign w:val="bottom"/>
          </w:tcPr>
          <w:p w14:paraId="142BAEFA" w14:textId="77777777" w:rsidR="003F0EEA" w:rsidRPr="00E734E5" w:rsidRDefault="00FB7D0B">
            <w:pPr>
              <w:jc w:val="center"/>
              <w:rPr>
                <w:rFonts w:ascii="Arial" w:eastAsia="Arial" w:hAnsi="Arial" w:cs="Arial"/>
                <w:color w:val="000000"/>
                <w:sz w:val="16"/>
                <w:vertAlign w:val="superscript"/>
              </w:rPr>
            </w:pPr>
            <w:r w:rsidRPr="00E734E5">
              <w:rPr>
                <w:rFonts w:ascii="Arial" w:eastAsia="Arial" w:hAnsi="Arial" w:cs="Arial"/>
                <w:color w:val="000000"/>
                <w:sz w:val="16"/>
              </w:rPr>
              <w:t>1.1, 1.2</w:t>
            </w:r>
          </w:p>
        </w:tc>
        <w:tc>
          <w:tcPr>
            <w:tcW w:w="1005" w:type="dxa"/>
            <w:tcBorders>
              <w:top w:val="nil"/>
              <w:left w:val="nil"/>
              <w:bottom w:val="nil"/>
              <w:right w:val="nil"/>
              <w:tl2br w:val="nil"/>
              <w:tr2bl w:val="nil"/>
            </w:tcBorders>
            <w:shd w:val="clear" w:color="auto" w:fill="FFFF00"/>
            <w:tcMar>
              <w:left w:w="115" w:type="dxa"/>
              <w:right w:w="115" w:type="dxa"/>
            </w:tcMar>
            <w:vAlign w:val="bottom"/>
          </w:tcPr>
          <w:p w14:paraId="6AE45B46" w14:textId="77777777" w:rsidR="003F0EEA" w:rsidRPr="00E734E5" w:rsidRDefault="003F0EEA">
            <w:pPr>
              <w:jc w:val="right"/>
              <w:rPr>
                <w:rFonts w:ascii="Arial" w:eastAsia="Arial" w:hAnsi="Arial" w:cs="Arial"/>
                <w:color w:val="000000"/>
                <w:sz w:val="16"/>
              </w:rPr>
            </w:pPr>
          </w:p>
        </w:tc>
        <w:tc>
          <w:tcPr>
            <w:tcW w:w="1005" w:type="dxa"/>
            <w:tcBorders>
              <w:top w:val="nil"/>
              <w:left w:val="nil"/>
              <w:bottom w:val="nil"/>
              <w:right w:val="nil"/>
              <w:tl2br w:val="nil"/>
              <w:tr2bl w:val="nil"/>
            </w:tcBorders>
            <w:shd w:val="clear" w:color="auto" w:fill="FFFFFF"/>
            <w:tcMar>
              <w:left w:w="115" w:type="dxa"/>
              <w:right w:w="115" w:type="dxa"/>
            </w:tcMar>
            <w:vAlign w:val="bottom"/>
          </w:tcPr>
          <w:p w14:paraId="558E7DF2" w14:textId="77777777" w:rsidR="003F0EEA" w:rsidRPr="00E734E5" w:rsidRDefault="003F0EEA">
            <w:pPr>
              <w:jc w:val="right"/>
              <w:rPr>
                <w:rFonts w:ascii="Arial" w:eastAsia="Arial" w:hAnsi="Arial" w:cs="Arial"/>
                <w:b/>
                <w:color w:val="000000"/>
                <w:sz w:val="16"/>
              </w:rPr>
            </w:pPr>
          </w:p>
        </w:tc>
        <w:tc>
          <w:tcPr>
            <w:tcW w:w="1005" w:type="dxa"/>
            <w:tcBorders>
              <w:top w:val="nil"/>
              <w:left w:val="nil"/>
              <w:bottom w:val="nil"/>
              <w:right w:val="nil"/>
              <w:tl2br w:val="nil"/>
              <w:tr2bl w:val="nil"/>
            </w:tcBorders>
            <w:shd w:val="clear" w:color="auto" w:fill="FFFF00"/>
            <w:tcMar>
              <w:left w:w="115" w:type="dxa"/>
              <w:right w:w="115" w:type="dxa"/>
            </w:tcMar>
            <w:vAlign w:val="bottom"/>
          </w:tcPr>
          <w:p w14:paraId="56828DF2" w14:textId="77777777" w:rsidR="003F0EEA" w:rsidRPr="00E734E5" w:rsidRDefault="003F0EEA">
            <w:pPr>
              <w:jc w:val="right"/>
              <w:rPr>
                <w:rFonts w:ascii="Arial" w:eastAsia="Arial" w:hAnsi="Arial" w:cs="Arial"/>
                <w:b/>
                <w:color w:val="000000"/>
                <w:sz w:val="16"/>
              </w:rPr>
            </w:pPr>
          </w:p>
        </w:tc>
        <w:tc>
          <w:tcPr>
            <w:tcW w:w="1005" w:type="dxa"/>
            <w:tcBorders>
              <w:top w:val="nil"/>
              <w:left w:val="nil"/>
              <w:bottom w:val="nil"/>
              <w:right w:val="nil"/>
              <w:tl2br w:val="nil"/>
              <w:tr2bl w:val="nil"/>
            </w:tcBorders>
            <w:shd w:val="clear" w:color="auto" w:fill="FFFFFF"/>
            <w:tcMar>
              <w:left w:w="115" w:type="dxa"/>
              <w:right w:w="115" w:type="dxa"/>
            </w:tcMar>
            <w:vAlign w:val="bottom"/>
          </w:tcPr>
          <w:p w14:paraId="698C5F5E" w14:textId="77777777" w:rsidR="003F0EEA" w:rsidRPr="00E734E5" w:rsidRDefault="003F0EEA">
            <w:pPr>
              <w:jc w:val="right"/>
              <w:rPr>
                <w:rFonts w:ascii="Arial" w:eastAsia="Arial" w:hAnsi="Arial" w:cs="Arial"/>
                <w:b/>
                <w:color w:val="000000"/>
                <w:sz w:val="16"/>
              </w:rPr>
            </w:pPr>
          </w:p>
        </w:tc>
        <w:tc>
          <w:tcPr>
            <w:tcW w:w="1005" w:type="dxa"/>
            <w:tcBorders>
              <w:top w:val="nil"/>
              <w:left w:val="nil"/>
              <w:bottom w:val="nil"/>
              <w:right w:val="nil"/>
              <w:tl2br w:val="nil"/>
              <w:tr2bl w:val="nil"/>
            </w:tcBorders>
            <w:shd w:val="clear" w:color="auto" w:fill="FFFF00"/>
            <w:tcMar>
              <w:left w:w="115" w:type="dxa"/>
              <w:right w:w="115" w:type="dxa"/>
            </w:tcMar>
            <w:vAlign w:val="bottom"/>
          </w:tcPr>
          <w:p w14:paraId="49338CEA" w14:textId="77777777" w:rsidR="003F0EEA" w:rsidRPr="00E734E5" w:rsidRDefault="003F0EEA">
            <w:pPr>
              <w:jc w:val="right"/>
              <w:rPr>
                <w:rFonts w:ascii="Arial" w:eastAsia="Arial" w:hAnsi="Arial" w:cs="Arial"/>
                <w:b/>
                <w:color w:val="000000"/>
                <w:sz w:val="16"/>
              </w:rPr>
            </w:pPr>
          </w:p>
        </w:tc>
      </w:tr>
      <w:tr w:rsidR="00724034" w14:paraId="5581E7BB" w14:textId="77777777">
        <w:trPr>
          <w:trHeight w:val="225"/>
        </w:trPr>
        <w:tc>
          <w:tcPr>
            <w:tcW w:w="180" w:type="dxa"/>
            <w:tcBorders>
              <w:top w:val="nil"/>
              <w:left w:val="nil"/>
              <w:bottom w:val="nil"/>
              <w:right w:val="nil"/>
              <w:tl2br w:val="nil"/>
              <w:tr2bl w:val="nil"/>
            </w:tcBorders>
            <w:shd w:val="clear" w:color="auto" w:fill="FFFFFF"/>
            <w:tcMar>
              <w:left w:w="115" w:type="dxa"/>
              <w:right w:w="115" w:type="dxa"/>
            </w:tcMar>
            <w:vAlign w:val="bottom"/>
          </w:tcPr>
          <w:p w14:paraId="120CBCB1" w14:textId="77777777" w:rsidR="003F0EEA" w:rsidRPr="00E734E5" w:rsidRDefault="003F0EEA">
            <w:pPr>
              <w:rPr>
                <w:rFonts w:ascii="Arial" w:eastAsia="Arial" w:hAnsi="Arial" w:cs="Arial"/>
                <w:b/>
                <w:color w:val="000000"/>
                <w:sz w:val="16"/>
              </w:rPr>
            </w:pPr>
          </w:p>
        </w:tc>
        <w:tc>
          <w:tcPr>
            <w:tcW w:w="2280" w:type="dxa"/>
            <w:tcBorders>
              <w:top w:val="nil"/>
              <w:left w:val="nil"/>
              <w:bottom w:val="nil"/>
              <w:right w:val="nil"/>
              <w:tl2br w:val="nil"/>
              <w:tr2bl w:val="nil"/>
            </w:tcBorders>
            <w:shd w:val="clear" w:color="auto" w:fill="FFFFFF"/>
            <w:tcMar>
              <w:left w:w="115" w:type="dxa"/>
              <w:right w:w="115" w:type="dxa"/>
            </w:tcMar>
            <w:vAlign w:val="bottom"/>
          </w:tcPr>
          <w:p w14:paraId="0DAF88B4" w14:textId="77777777" w:rsidR="003F0EEA" w:rsidRPr="00E734E5" w:rsidRDefault="00FB7D0B">
            <w:pPr>
              <w:rPr>
                <w:rFonts w:ascii="Arial" w:eastAsia="Arial" w:hAnsi="Arial" w:cs="Arial"/>
                <w:color w:val="000000"/>
                <w:sz w:val="16"/>
              </w:rPr>
            </w:pPr>
            <w:r w:rsidRPr="00E734E5">
              <w:rPr>
                <w:rFonts w:ascii="Arial" w:eastAsia="Arial" w:hAnsi="Arial" w:cs="Arial"/>
                <w:color w:val="000000"/>
                <w:sz w:val="16"/>
              </w:rPr>
              <w:t>Administered expenses</w:t>
            </w:r>
          </w:p>
        </w:tc>
        <w:tc>
          <w:tcPr>
            <w:tcW w:w="915" w:type="dxa"/>
            <w:tcBorders>
              <w:top w:val="nil"/>
              <w:left w:val="nil"/>
              <w:bottom w:val="nil"/>
              <w:right w:val="nil"/>
              <w:tl2br w:val="nil"/>
              <w:tr2bl w:val="nil"/>
            </w:tcBorders>
            <w:shd w:val="clear" w:color="auto" w:fill="FFFFFF"/>
            <w:tcMar>
              <w:left w:w="115" w:type="dxa"/>
              <w:right w:w="115" w:type="dxa"/>
            </w:tcMar>
            <w:vAlign w:val="bottom"/>
          </w:tcPr>
          <w:p w14:paraId="221C0FEC" w14:textId="77777777" w:rsidR="003F0EEA" w:rsidRPr="00E734E5" w:rsidRDefault="00FB7D0B">
            <w:pPr>
              <w:jc w:val="center"/>
              <w:rPr>
                <w:rFonts w:ascii="Arial" w:eastAsia="Arial" w:hAnsi="Arial" w:cs="Arial"/>
                <w:color w:val="000000"/>
                <w:sz w:val="16"/>
                <w:vertAlign w:val="superscript"/>
              </w:rPr>
            </w:pPr>
            <w:r w:rsidRPr="00E734E5">
              <w:rPr>
                <w:rFonts w:ascii="Arial" w:eastAsia="Arial" w:hAnsi="Arial" w:cs="Arial"/>
                <w:color w:val="000000"/>
                <w:sz w:val="16"/>
              </w:rPr>
              <w:t>1.3, 1.5</w:t>
            </w:r>
          </w:p>
        </w:tc>
        <w:tc>
          <w:tcPr>
            <w:tcW w:w="1005" w:type="dxa"/>
            <w:tcBorders>
              <w:top w:val="nil"/>
              <w:left w:val="nil"/>
              <w:bottom w:val="nil"/>
              <w:right w:val="nil"/>
              <w:tl2br w:val="nil"/>
              <w:tr2bl w:val="nil"/>
            </w:tcBorders>
            <w:shd w:val="clear" w:color="auto" w:fill="FFFF00"/>
            <w:tcMar>
              <w:left w:w="115" w:type="dxa"/>
              <w:right w:w="115" w:type="dxa"/>
            </w:tcMar>
            <w:vAlign w:val="bottom"/>
          </w:tcPr>
          <w:p w14:paraId="299BA2DC" w14:textId="77777777" w:rsidR="003F0EEA" w:rsidRPr="00E734E5" w:rsidRDefault="00FB7D0B">
            <w:pPr>
              <w:jc w:val="right"/>
              <w:rPr>
                <w:rFonts w:ascii="Arial" w:eastAsia="Arial" w:hAnsi="Arial" w:cs="Arial"/>
                <w:color w:val="000000"/>
                <w:sz w:val="16"/>
              </w:rPr>
            </w:pPr>
            <w:r w:rsidRPr="00E734E5">
              <w:rPr>
                <w:rFonts w:ascii="Arial" w:eastAsia="Arial" w:hAnsi="Arial" w:cs="Arial"/>
                <w:color w:val="000000"/>
                <w:sz w:val="16"/>
              </w:rPr>
              <w:t xml:space="preserve"> - </w:t>
            </w:r>
          </w:p>
        </w:tc>
        <w:tc>
          <w:tcPr>
            <w:tcW w:w="1005" w:type="dxa"/>
            <w:tcBorders>
              <w:top w:val="nil"/>
              <w:left w:val="nil"/>
              <w:bottom w:val="nil"/>
              <w:right w:val="nil"/>
              <w:tl2br w:val="nil"/>
              <w:tr2bl w:val="nil"/>
            </w:tcBorders>
            <w:shd w:val="clear" w:color="auto" w:fill="FFFFFF"/>
            <w:tcMar>
              <w:left w:w="115" w:type="dxa"/>
              <w:right w:w="115" w:type="dxa"/>
            </w:tcMar>
            <w:vAlign w:val="bottom"/>
          </w:tcPr>
          <w:p w14:paraId="52C38865" w14:textId="77777777" w:rsidR="003F0EEA" w:rsidRPr="00E734E5" w:rsidRDefault="00FB7D0B">
            <w:pPr>
              <w:jc w:val="right"/>
              <w:rPr>
                <w:rFonts w:ascii="Arial" w:eastAsia="Arial" w:hAnsi="Arial" w:cs="Arial"/>
                <w:color w:val="000000"/>
                <w:sz w:val="16"/>
              </w:rPr>
            </w:pPr>
            <w:r w:rsidRPr="00E734E5">
              <w:rPr>
                <w:rFonts w:ascii="Arial" w:eastAsia="Arial" w:hAnsi="Arial" w:cs="Arial"/>
                <w:color w:val="000000"/>
                <w:sz w:val="16"/>
              </w:rPr>
              <w:t>(2,812)</w:t>
            </w:r>
          </w:p>
        </w:tc>
        <w:tc>
          <w:tcPr>
            <w:tcW w:w="1005" w:type="dxa"/>
            <w:tcBorders>
              <w:top w:val="nil"/>
              <w:left w:val="nil"/>
              <w:bottom w:val="nil"/>
              <w:right w:val="nil"/>
              <w:tl2br w:val="nil"/>
              <w:tr2bl w:val="nil"/>
            </w:tcBorders>
            <w:shd w:val="clear" w:color="auto" w:fill="FFFF00"/>
            <w:tcMar>
              <w:left w:w="115" w:type="dxa"/>
              <w:right w:w="115" w:type="dxa"/>
            </w:tcMar>
            <w:vAlign w:val="bottom"/>
          </w:tcPr>
          <w:p w14:paraId="3254668E" w14:textId="77777777" w:rsidR="003F0EEA" w:rsidRPr="00E734E5" w:rsidRDefault="00FB7D0B">
            <w:pPr>
              <w:jc w:val="right"/>
              <w:rPr>
                <w:rFonts w:ascii="Arial" w:eastAsia="Arial" w:hAnsi="Arial" w:cs="Arial"/>
                <w:color w:val="000000"/>
                <w:sz w:val="16"/>
              </w:rPr>
            </w:pPr>
            <w:r w:rsidRPr="00E734E5">
              <w:rPr>
                <w:rFonts w:ascii="Arial" w:eastAsia="Arial" w:hAnsi="Arial" w:cs="Arial"/>
                <w:color w:val="000000"/>
                <w:sz w:val="16"/>
              </w:rPr>
              <w:t>(5,157)</w:t>
            </w:r>
          </w:p>
        </w:tc>
        <w:tc>
          <w:tcPr>
            <w:tcW w:w="1005" w:type="dxa"/>
            <w:tcBorders>
              <w:top w:val="nil"/>
              <w:left w:val="nil"/>
              <w:bottom w:val="nil"/>
              <w:right w:val="nil"/>
              <w:tl2br w:val="nil"/>
              <w:tr2bl w:val="nil"/>
            </w:tcBorders>
            <w:shd w:val="clear" w:color="auto" w:fill="FFFFFF"/>
            <w:tcMar>
              <w:left w:w="115" w:type="dxa"/>
              <w:right w:w="115" w:type="dxa"/>
            </w:tcMar>
            <w:vAlign w:val="bottom"/>
          </w:tcPr>
          <w:p w14:paraId="6AEF2396" w14:textId="77777777" w:rsidR="003F0EEA" w:rsidRPr="00E734E5" w:rsidRDefault="00FB7D0B">
            <w:pPr>
              <w:jc w:val="right"/>
              <w:rPr>
                <w:rFonts w:ascii="Arial" w:eastAsia="Arial" w:hAnsi="Arial" w:cs="Arial"/>
                <w:color w:val="000000"/>
                <w:sz w:val="16"/>
              </w:rPr>
            </w:pPr>
            <w:r w:rsidRPr="00E734E5">
              <w:rPr>
                <w:rFonts w:ascii="Arial" w:eastAsia="Arial" w:hAnsi="Arial" w:cs="Arial"/>
                <w:color w:val="000000"/>
                <w:sz w:val="16"/>
              </w:rPr>
              <w:t>(7,301)</w:t>
            </w:r>
          </w:p>
        </w:tc>
        <w:tc>
          <w:tcPr>
            <w:tcW w:w="1005" w:type="dxa"/>
            <w:tcBorders>
              <w:top w:val="nil"/>
              <w:left w:val="nil"/>
              <w:bottom w:val="nil"/>
              <w:right w:val="nil"/>
              <w:tl2br w:val="nil"/>
              <w:tr2bl w:val="nil"/>
            </w:tcBorders>
            <w:shd w:val="clear" w:color="auto" w:fill="FFFF00"/>
            <w:tcMar>
              <w:left w:w="115" w:type="dxa"/>
              <w:right w:w="115" w:type="dxa"/>
            </w:tcMar>
            <w:vAlign w:val="bottom"/>
          </w:tcPr>
          <w:p w14:paraId="73350EB3" w14:textId="77777777" w:rsidR="003F0EEA" w:rsidRPr="00E734E5" w:rsidRDefault="00FB7D0B">
            <w:pPr>
              <w:jc w:val="right"/>
              <w:rPr>
                <w:rFonts w:ascii="Arial" w:eastAsia="Arial" w:hAnsi="Arial" w:cs="Arial"/>
                <w:color w:val="000000"/>
                <w:sz w:val="16"/>
              </w:rPr>
            </w:pPr>
            <w:r w:rsidRPr="00E734E5">
              <w:rPr>
                <w:rFonts w:ascii="Arial" w:eastAsia="Arial" w:hAnsi="Arial" w:cs="Arial"/>
                <w:color w:val="000000"/>
                <w:sz w:val="16"/>
              </w:rPr>
              <w:t>(9,205)</w:t>
            </w:r>
          </w:p>
        </w:tc>
      </w:tr>
      <w:tr w:rsidR="00724034" w14:paraId="362A8E65" w14:textId="77777777">
        <w:trPr>
          <w:trHeight w:val="210"/>
        </w:trPr>
        <w:tc>
          <w:tcPr>
            <w:tcW w:w="180" w:type="dxa"/>
            <w:tcBorders>
              <w:top w:val="nil"/>
              <w:left w:val="nil"/>
              <w:bottom w:val="nil"/>
              <w:right w:val="nil"/>
              <w:tl2br w:val="nil"/>
              <w:tr2bl w:val="nil"/>
            </w:tcBorders>
            <w:shd w:val="clear" w:color="auto" w:fill="FFFFFF"/>
            <w:tcMar>
              <w:left w:w="115" w:type="dxa"/>
              <w:right w:w="115" w:type="dxa"/>
            </w:tcMar>
            <w:vAlign w:val="bottom"/>
          </w:tcPr>
          <w:p w14:paraId="73A3D0C4" w14:textId="77777777" w:rsidR="003F0EEA" w:rsidRPr="00E734E5" w:rsidRDefault="003F0EEA">
            <w:pPr>
              <w:rPr>
                <w:rFonts w:ascii="Arial" w:eastAsia="Arial" w:hAnsi="Arial" w:cs="Arial"/>
                <w:color w:val="000000"/>
                <w:sz w:val="16"/>
              </w:rPr>
            </w:pPr>
          </w:p>
        </w:tc>
        <w:tc>
          <w:tcPr>
            <w:tcW w:w="2280" w:type="dxa"/>
            <w:tcBorders>
              <w:top w:val="nil"/>
              <w:left w:val="nil"/>
              <w:bottom w:val="nil"/>
              <w:right w:val="nil"/>
              <w:tl2br w:val="nil"/>
              <w:tr2bl w:val="nil"/>
            </w:tcBorders>
            <w:shd w:val="clear" w:color="auto" w:fill="FFFFFF"/>
            <w:tcMar>
              <w:left w:w="115" w:type="dxa"/>
              <w:right w:w="115" w:type="dxa"/>
            </w:tcMar>
            <w:vAlign w:val="bottom"/>
          </w:tcPr>
          <w:p w14:paraId="6E8CD541" w14:textId="77777777" w:rsidR="003F0EEA" w:rsidRPr="00E734E5" w:rsidRDefault="00FB7D0B">
            <w:pPr>
              <w:rPr>
                <w:rFonts w:ascii="Arial" w:eastAsia="Arial" w:hAnsi="Arial" w:cs="Arial"/>
                <w:color w:val="000000"/>
                <w:sz w:val="16"/>
              </w:rPr>
            </w:pPr>
            <w:r w:rsidRPr="00E734E5">
              <w:rPr>
                <w:rFonts w:ascii="Arial" w:eastAsia="Arial" w:hAnsi="Arial" w:cs="Arial"/>
                <w:color w:val="000000"/>
                <w:sz w:val="16"/>
              </w:rPr>
              <w:t>Departmental expenses</w:t>
            </w:r>
          </w:p>
        </w:tc>
        <w:tc>
          <w:tcPr>
            <w:tcW w:w="915" w:type="dxa"/>
            <w:tcBorders>
              <w:top w:val="nil"/>
              <w:left w:val="nil"/>
              <w:bottom w:val="nil"/>
              <w:right w:val="nil"/>
              <w:tl2br w:val="nil"/>
              <w:tr2bl w:val="nil"/>
            </w:tcBorders>
            <w:shd w:val="clear" w:color="auto" w:fill="FFFFFF"/>
            <w:tcMar>
              <w:left w:w="115" w:type="dxa"/>
              <w:right w:w="115" w:type="dxa"/>
            </w:tcMar>
            <w:vAlign w:val="bottom"/>
          </w:tcPr>
          <w:p w14:paraId="2BDE07BD" w14:textId="77777777" w:rsidR="003F0EEA" w:rsidRPr="00E734E5" w:rsidRDefault="00FB7D0B">
            <w:pPr>
              <w:jc w:val="center"/>
              <w:rPr>
                <w:rFonts w:ascii="Arial" w:eastAsia="Arial" w:hAnsi="Arial" w:cs="Arial"/>
                <w:color w:val="000000"/>
                <w:sz w:val="16"/>
                <w:vertAlign w:val="superscript"/>
              </w:rPr>
            </w:pPr>
            <w:r w:rsidRPr="00E734E5">
              <w:rPr>
                <w:rFonts w:ascii="Arial" w:eastAsia="Arial" w:hAnsi="Arial" w:cs="Arial"/>
                <w:color w:val="000000"/>
                <w:sz w:val="16"/>
              </w:rPr>
              <w:t>1.6 </w:t>
            </w:r>
          </w:p>
        </w:tc>
        <w:tc>
          <w:tcPr>
            <w:tcW w:w="1005" w:type="dxa"/>
            <w:tcBorders>
              <w:top w:val="nil"/>
              <w:left w:val="nil"/>
              <w:bottom w:val="nil"/>
              <w:right w:val="nil"/>
              <w:tl2br w:val="nil"/>
              <w:tr2bl w:val="nil"/>
            </w:tcBorders>
            <w:shd w:val="clear" w:color="auto" w:fill="FFFF00"/>
            <w:tcMar>
              <w:left w:w="115" w:type="dxa"/>
              <w:right w:w="115" w:type="dxa"/>
            </w:tcMar>
            <w:vAlign w:val="bottom"/>
          </w:tcPr>
          <w:p w14:paraId="7FDBB180" w14:textId="77777777" w:rsidR="003F0EEA" w:rsidRPr="00E734E5" w:rsidRDefault="00FB7D0B">
            <w:pPr>
              <w:jc w:val="right"/>
              <w:rPr>
                <w:rFonts w:ascii="Arial" w:eastAsia="Arial" w:hAnsi="Arial" w:cs="Arial"/>
                <w:color w:val="000000"/>
                <w:sz w:val="16"/>
              </w:rPr>
            </w:pPr>
            <w:r w:rsidRPr="00E734E5">
              <w:rPr>
                <w:rFonts w:ascii="Arial" w:eastAsia="Arial" w:hAnsi="Arial" w:cs="Arial"/>
                <w:color w:val="000000"/>
                <w:sz w:val="16"/>
              </w:rPr>
              <w:t xml:space="preserve"> - </w:t>
            </w:r>
          </w:p>
        </w:tc>
        <w:tc>
          <w:tcPr>
            <w:tcW w:w="1005" w:type="dxa"/>
            <w:tcBorders>
              <w:top w:val="nil"/>
              <w:left w:val="nil"/>
              <w:bottom w:val="nil"/>
              <w:right w:val="nil"/>
              <w:tl2br w:val="nil"/>
              <w:tr2bl w:val="nil"/>
            </w:tcBorders>
            <w:shd w:val="clear" w:color="auto" w:fill="FFFFFF"/>
            <w:tcMar>
              <w:left w:w="115" w:type="dxa"/>
              <w:right w:w="115" w:type="dxa"/>
            </w:tcMar>
            <w:vAlign w:val="bottom"/>
          </w:tcPr>
          <w:p w14:paraId="2A358585" w14:textId="77777777" w:rsidR="003F0EEA" w:rsidRPr="00E734E5" w:rsidRDefault="00FB7D0B">
            <w:pPr>
              <w:jc w:val="right"/>
              <w:rPr>
                <w:rFonts w:ascii="Arial" w:eastAsia="Arial" w:hAnsi="Arial" w:cs="Arial"/>
                <w:color w:val="000000"/>
                <w:sz w:val="16"/>
              </w:rPr>
            </w:pPr>
            <w:r w:rsidRPr="00E734E5">
              <w:rPr>
                <w:rFonts w:ascii="Arial" w:eastAsia="Arial" w:hAnsi="Arial" w:cs="Arial"/>
                <w:color w:val="000000"/>
                <w:sz w:val="16"/>
              </w:rPr>
              <w:t xml:space="preserve"> - </w:t>
            </w:r>
          </w:p>
        </w:tc>
        <w:tc>
          <w:tcPr>
            <w:tcW w:w="1005" w:type="dxa"/>
            <w:tcBorders>
              <w:top w:val="nil"/>
              <w:left w:val="nil"/>
              <w:bottom w:val="nil"/>
              <w:right w:val="nil"/>
              <w:tl2br w:val="nil"/>
              <w:tr2bl w:val="nil"/>
            </w:tcBorders>
            <w:shd w:val="clear" w:color="auto" w:fill="FFFF00"/>
            <w:tcMar>
              <w:left w:w="115" w:type="dxa"/>
              <w:right w:w="115" w:type="dxa"/>
            </w:tcMar>
            <w:vAlign w:val="bottom"/>
          </w:tcPr>
          <w:p w14:paraId="62500945" w14:textId="77777777" w:rsidR="003F0EEA" w:rsidRPr="00E734E5" w:rsidRDefault="00FB7D0B">
            <w:pPr>
              <w:jc w:val="right"/>
              <w:rPr>
                <w:rFonts w:ascii="Arial" w:eastAsia="Arial" w:hAnsi="Arial" w:cs="Arial"/>
                <w:color w:val="000000"/>
                <w:sz w:val="16"/>
              </w:rPr>
            </w:pPr>
            <w:r w:rsidRPr="00E734E5">
              <w:rPr>
                <w:rFonts w:ascii="Arial" w:eastAsia="Arial" w:hAnsi="Arial" w:cs="Arial"/>
                <w:color w:val="000000"/>
                <w:sz w:val="16"/>
              </w:rPr>
              <w:t xml:space="preserve"> - </w:t>
            </w:r>
          </w:p>
        </w:tc>
        <w:tc>
          <w:tcPr>
            <w:tcW w:w="1005" w:type="dxa"/>
            <w:tcBorders>
              <w:top w:val="nil"/>
              <w:left w:val="nil"/>
              <w:bottom w:val="nil"/>
              <w:right w:val="nil"/>
              <w:tl2br w:val="nil"/>
              <w:tr2bl w:val="nil"/>
            </w:tcBorders>
            <w:shd w:val="clear" w:color="auto" w:fill="FFFFFF"/>
            <w:tcMar>
              <w:left w:w="115" w:type="dxa"/>
              <w:right w:w="115" w:type="dxa"/>
            </w:tcMar>
            <w:vAlign w:val="bottom"/>
          </w:tcPr>
          <w:p w14:paraId="3380809F" w14:textId="77777777" w:rsidR="003F0EEA" w:rsidRPr="00E734E5" w:rsidRDefault="00FB7D0B">
            <w:pPr>
              <w:jc w:val="right"/>
              <w:rPr>
                <w:rFonts w:ascii="Arial" w:eastAsia="Arial" w:hAnsi="Arial" w:cs="Arial"/>
                <w:color w:val="000000"/>
                <w:sz w:val="16"/>
              </w:rPr>
            </w:pPr>
            <w:r w:rsidRPr="00E734E5">
              <w:rPr>
                <w:rFonts w:ascii="Arial" w:eastAsia="Arial" w:hAnsi="Arial" w:cs="Arial"/>
                <w:color w:val="000000"/>
                <w:sz w:val="16"/>
              </w:rPr>
              <w:t xml:space="preserve"> - </w:t>
            </w:r>
          </w:p>
        </w:tc>
        <w:tc>
          <w:tcPr>
            <w:tcW w:w="1005" w:type="dxa"/>
            <w:tcBorders>
              <w:top w:val="nil"/>
              <w:left w:val="nil"/>
              <w:bottom w:val="nil"/>
              <w:right w:val="nil"/>
              <w:tl2br w:val="nil"/>
              <w:tr2bl w:val="nil"/>
            </w:tcBorders>
            <w:shd w:val="clear" w:color="auto" w:fill="FFFF00"/>
            <w:tcMar>
              <w:left w:w="115" w:type="dxa"/>
              <w:right w:w="115" w:type="dxa"/>
            </w:tcMar>
            <w:vAlign w:val="bottom"/>
          </w:tcPr>
          <w:p w14:paraId="63D32475" w14:textId="77777777" w:rsidR="003F0EEA" w:rsidRPr="00E734E5" w:rsidRDefault="00FB7D0B">
            <w:pPr>
              <w:jc w:val="right"/>
              <w:rPr>
                <w:rFonts w:ascii="Arial" w:eastAsia="Arial" w:hAnsi="Arial" w:cs="Arial"/>
                <w:color w:val="000000"/>
                <w:sz w:val="16"/>
              </w:rPr>
            </w:pPr>
            <w:r w:rsidRPr="00E734E5">
              <w:rPr>
                <w:rFonts w:ascii="Arial" w:eastAsia="Arial" w:hAnsi="Arial" w:cs="Arial"/>
                <w:color w:val="000000"/>
                <w:sz w:val="16"/>
              </w:rPr>
              <w:t xml:space="preserve"> - </w:t>
            </w:r>
          </w:p>
        </w:tc>
      </w:tr>
      <w:tr w:rsidR="00724034" w14:paraId="33A279B5" w14:textId="77777777">
        <w:trPr>
          <w:trHeight w:val="225"/>
        </w:trPr>
        <w:tc>
          <w:tcPr>
            <w:tcW w:w="180" w:type="dxa"/>
            <w:tcBorders>
              <w:top w:val="nil"/>
              <w:left w:val="nil"/>
              <w:bottom w:val="nil"/>
              <w:right w:val="nil"/>
              <w:tl2br w:val="nil"/>
              <w:tr2bl w:val="nil"/>
            </w:tcBorders>
            <w:shd w:val="clear" w:color="auto" w:fill="FFFFFF"/>
            <w:tcMar>
              <w:left w:w="115" w:type="dxa"/>
              <w:right w:w="115" w:type="dxa"/>
            </w:tcMar>
            <w:vAlign w:val="bottom"/>
          </w:tcPr>
          <w:p w14:paraId="19A59621" w14:textId="77777777" w:rsidR="003F0EEA" w:rsidRPr="00E734E5" w:rsidRDefault="003F0EEA">
            <w:pPr>
              <w:rPr>
                <w:rFonts w:ascii="Arial" w:eastAsia="Arial" w:hAnsi="Arial" w:cs="Arial"/>
                <w:color w:val="000000"/>
                <w:sz w:val="16"/>
              </w:rPr>
            </w:pPr>
          </w:p>
        </w:tc>
        <w:tc>
          <w:tcPr>
            <w:tcW w:w="2280" w:type="dxa"/>
            <w:tcBorders>
              <w:top w:val="nil"/>
              <w:left w:val="nil"/>
              <w:bottom w:val="nil"/>
              <w:right w:val="nil"/>
              <w:tl2br w:val="nil"/>
              <w:tr2bl w:val="nil"/>
            </w:tcBorders>
            <w:shd w:val="clear" w:color="auto" w:fill="FFFFFF"/>
            <w:tcMar>
              <w:left w:w="115" w:type="dxa"/>
              <w:right w:w="115" w:type="dxa"/>
            </w:tcMar>
            <w:vAlign w:val="bottom"/>
          </w:tcPr>
          <w:p w14:paraId="007D36E0" w14:textId="77777777" w:rsidR="003F0EEA" w:rsidRPr="00E734E5" w:rsidRDefault="00FB7D0B">
            <w:pPr>
              <w:rPr>
                <w:rFonts w:ascii="Arial" w:eastAsia="Arial" w:hAnsi="Arial" w:cs="Arial"/>
                <w:color w:val="000000"/>
                <w:sz w:val="16"/>
              </w:rPr>
            </w:pPr>
            <w:r w:rsidRPr="00E734E5">
              <w:rPr>
                <w:rFonts w:ascii="Arial" w:eastAsia="Arial" w:hAnsi="Arial" w:cs="Arial"/>
                <w:b/>
                <w:color w:val="000000"/>
                <w:sz w:val="16"/>
              </w:rPr>
              <w:t>Total</w:t>
            </w:r>
          </w:p>
        </w:tc>
        <w:tc>
          <w:tcPr>
            <w:tcW w:w="915" w:type="dxa"/>
            <w:tcBorders>
              <w:top w:val="nil"/>
              <w:left w:val="nil"/>
              <w:bottom w:val="nil"/>
              <w:right w:val="nil"/>
              <w:tl2br w:val="nil"/>
              <w:tr2bl w:val="nil"/>
            </w:tcBorders>
            <w:shd w:val="clear" w:color="auto" w:fill="FFFFFF"/>
            <w:tcMar>
              <w:left w:w="115" w:type="dxa"/>
              <w:right w:w="115" w:type="dxa"/>
            </w:tcMar>
            <w:vAlign w:val="bottom"/>
          </w:tcPr>
          <w:p w14:paraId="5EAEDC68" w14:textId="77777777" w:rsidR="003F0EEA" w:rsidRPr="00E734E5" w:rsidRDefault="003F0EEA">
            <w:pPr>
              <w:jc w:val="center"/>
              <w:rPr>
                <w:rFonts w:ascii="Arial" w:eastAsia="Arial" w:hAnsi="Arial" w:cs="Arial"/>
                <w:b/>
                <w:color w:val="000000"/>
                <w:sz w:val="16"/>
                <w:vertAlign w:val="superscript"/>
              </w:rPr>
            </w:pPr>
          </w:p>
        </w:tc>
        <w:tc>
          <w:tcPr>
            <w:tcW w:w="1005" w:type="dxa"/>
            <w:tcBorders>
              <w:top w:val="nil"/>
              <w:left w:val="nil"/>
              <w:bottom w:val="single" w:sz="6" w:space="0" w:color="000000"/>
              <w:right w:val="nil"/>
              <w:tl2br w:val="nil"/>
              <w:tr2bl w:val="nil"/>
            </w:tcBorders>
            <w:shd w:val="clear" w:color="auto" w:fill="FFFF00"/>
            <w:tcMar>
              <w:left w:w="115" w:type="dxa"/>
              <w:right w:w="115" w:type="dxa"/>
            </w:tcMar>
            <w:vAlign w:val="bottom"/>
          </w:tcPr>
          <w:p w14:paraId="754A61FD" w14:textId="77777777" w:rsidR="003F0EEA" w:rsidRPr="00E734E5" w:rsidRDefault="00FB7D0B">
            <w:pPr>
              <w:jc w:val="right"/>
              <w:rPr>
                <w:rFonts w:ascii="Arial" w:eastAsia="Arial" w:hAnsi="Arial" w:cs="Arial"/>
                <w:color w:val="000000"/>
                <w:sz w:val="16"/>
                <w:vertAlign w:val="superscript"/>
              </w:rPr>
            </w:pPr>
            <w:r w:rsidRPr="00E734E5">
              <w:rPr>
                <w:rFonts w:ascii="Arial" w:eastAsia="Arial" w:hAnsi="Arial" w:cs="Arial"/>
                <w:b/>
                <w:color w:val="000000"/>
                <w:sz w:val="16"/>
              </w:rPr>
              <w:t xml:space="preserve"> - </w:t>
            </w:r>
          </w:p>
        </w:tc>
        <w:tc>
          <w:tcPr>
            <w:tcW w:w="1005"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419E14E8" w14:textId="77777777" w:rsidR="003F0EEA" w:rsidRPr="00E734E5" w:rsidRDefault="00FB7D0B">
            <w:pPr>
              <w:jc w:val="right"/>
              <w:rPr>
                <w:rFonts w:ascii="Arial" w:eastAsia="Arial" w:hAnsi="Arial" w:cs="Arial"/>
                <w:b/>
                <w:color w:val="000000"/>
                <w:sz w:val="16"/>
              </w:rPr>
            </w:pPr>
            <w:r w:rsidRPr="00E734E5">
              <w:rPr>
                <w:rFonts w:ascii="Arial" w:eastAsia="Arial" w:hAnsi="Arial" w:cs="Arial"/>
                <w:b/>
                <w:color w:val="000000"/>
                <w:sz w:val="16"/>
              </w:rPr>
              <w:t>(2,812)</w:t>
            </w:r>
          </w:p>
        </w:tc>
        <w:tc>
          <w:tcPr>
            <w:tcW w:w="1005" w:type="dxa"/>
            <w:tcBorders>
              <w:top w:val="nil"/>
              <w:left w:val="nil"/>
              <w:bottom w:val="single" w:sz="6" w:space="0" w:color="000000"/>
              <w:right w:val="nil"/>
              <w:tl2br w:val="nil"/>
              <w:tr2bl w:val="nil"/>
            </w:tcBorders>
            <w:shd w:val="clear" w:color="auto" w:fill="FFFF00"/>
            <w:tcMar>
              <w:left w:w="115" w:type="dxa"/>
              <w:right w:w="115" w:type="dxa"/>
            </w:tcMar>
            <w:vAlign w:val="bottom"/>
          </w:tcPr>
          <w:p w14:paraId="6894D4A2" w14:textId="77777777" w:rsidR="003F0EEA" w:rsidRPr="00E734E5" w:rsidRDefault="00FB7D0B">
            <w:pPr>
              <w:jc w:val="right"/>
              <w:rPr>
                <w:rFonts w:ascii="Arial" w:eastAsia="Arial" w:hAnsi="Arial" w:cs="Arial"/>
                <w:b/>
                <w:color w:val="000000"/>
                <w:sz w:val="16"/>
              </w:rPr>
            </w:pPr>
            <w:r w:rsidRPr="00E734E5">
              <w:rPr>
                <w:rFonts w:ascii="Arial" w:eastAsia="Arial" w:hAnsi="Arial" w:cs="Arial"/>
                <w:b/>
                <w:color w:val="000000"/>
                <w:sz w:val="16"/>
              </w:rPr>
              <w:t>(5,157)</w:t>
            </w:r>
          </w:p>
        </w:tc>
        <w:tc>
          <w:tcPr>
            <w:tcW w:w="1005"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30AE2837" w14:textId="77777777" w:rsidR="003F0EEA" w:rsidRPr="00E734E5" w:rsidRDefault="00FB7D0B">
            <w:pPr>
              <w:jc w:val="right"/>
              <w:rPr>
                <w:rFonts w:ascii="Arial" w:eastAsia="Arial" w:hAnsi="Arial" w:cs="Arial"/>
                <w:b/>
                <w:color w:val="000000"/>
                <w:sz w:val="16"/>
              </w:rPr>
            </w:pPr>
            <w:r w:rsidRPr="00E734E5">
              <w:rPr>
                <w:rFonts w:ascii="Arial" w:eastAsia="Arial" w:hAnsi="Arial" w:cs="Arial"/>
                <w:b/>
                <w:color w:val="000000"/>
                <w:sz w:val="16"/>
              </w:rPr>
              <w:t>(7,301)</w:t>
            </w:r>
          </w:p>
        </w:tc>
        <w:tc>
          <w:tcPr>
            <w:tcW w:w="1005" w:type="dxa"/>
            <w:tcBorders>
              <w:top w:val="nil"/>
              <w:left w:val="nil"/>
              <w:bottom w:val="single" w:sz="6" w:space="0" w:color="000000"/>
              <w:right w:val="nil"/>
              <w:tl2br w:val="nil"/>
              <w:tr2bl w:val="nil"/>
            </w:tcBorders>
            <w:shd w:val="clear" w:color="auto" w:fill="FFFF00"/>
            <w:tcMar>
              <w:left w:w="115" w:type="dxa"/>
              <w:right w:w="115" w:type="dxa"/>
            </w:tcMar>
            <w:vAlign w:val="bottom"/>
          </w:tcPr>
          <w:p w14:paraId="244985E5" w14:textId="77777777" w:rsidR="003F0EEA" w:rsidRPr="00E734E5" w:rsidRDefault="00FB7D0B">
            <w:pPr>
              <w:jc w:val="right"/>
              <w:rPr>
                <w:rFonts w:ascii="Arial" w:eastAsia="Arial" w:hAnsi="Arial" w:cs="Arial"/>
                <w:b/>
                <w:color w:val="000000"/>
                <w:sz w:val="16"/>
              </w:rPr>
            </w:pPr>
            <w:r w:rsidRPr="00E734E5">
              <w:rPr>
                <w:rFonts w:ascii="Arial" w:eastAsia="Arial" w:hAnsi="Arial" w:cs="Arial"/>
                <w:b/>
                <w:color w:val="000000"/>
                <w:sz w:val="16"/>
              </w:rPr>
              <w:t>(9,205)</w:t>
            </w:r>
          </w:p>
        </w:tc>
      </w:tr>
      <w:tr w:rsidR="00724034" w14:paraId="08CBE4AD" w14:textId="77777777">
        <w:trPr>
          <w:trHeight w:val="225"/>
        </w:trPr>
        <w:tc>
          <w:tcPr>
            <w:tcW w:w="180" w:type="dxa"/>
            <w:tcBorders>
              <w:top w:val="nil"/>
              <w:left w:val="nil"/>
              <w:bottom w:val="nil"/>
              <w:right w:val="nil"/>
              <w:tl2br w:val="nil"/>
              <w:tr2bl w:val="nil"/>
            </w:tcBorders>
            <w:shd w:val="clear" w:color="auto" w:fill="FFFFFF"/>
            <w:tcMar>
              <w:left w:w="115" w:type="dxa"/>
              <w:right w:w="115" w:type="dxa"/>
            </w:tcMar>
            <w:vAlign w:val="bottom"/>
          </w:tcPr>
          <w:p w14:paraId="7B23F495" w14:textId="77777777" w:rsidR="003F0EEA" w:rsidRPr="00E734E5" w:rsidRDefault="003F0EEA">
            <w:pPr>
              <w:rPr>
                <w:rFonts w:ascii="Arial" w:eastAsia="Arial" w:hAnsi="Arial" w:cs="Arial"/>
                <w:b/>
                <w:color w:val="000000"/>
                <w:sz w:val="16"/>
              </w:rPr>
            </w:pPr>
          </w:p>
        </w:tc>
        <w:tc>
          <w:tcPr>
            <w:tcW w:w="2280" w:type="dxa"/>
            <w:tcBorders>
              <w:top w:val="nil"/>
              <w:left w:val="nil"/>
              <w:bottom w:val="nil"/>
              <w:right w:val="nil"/>
              <w:tl2br w:val="nil"/>
              <w:tr2bl w:val="nil"/>
            </w:tcBorders>
            <w:shd w:val="clear" w:color="auto" w:fill="FFFFFF"/>
            <w:tcMar>
              <w:left w:w="115" w:type="dxa"/>
              <w:right w:w="115" w:type="dxa"/>
            </w:tcMar>
            <w:vAlign w:val="bottom"/>
          </w:tcPr>
          <w:p w14:paraId="2D6B048C" w14:textId="77777777" w:rsidR="003F0EEA" w:rsidRPr="00E734E5" w:rsidRDefault="003F0EEA">
            <w:pPr>
              <w:rPr>
                <w:rFonts w:ascii="Arial" w:eastAsia="Arial" w:hAnsi="Arial" w:cs="Arial"/>
                <w:color w:val="000000"/>
                <w:sz w:val="16"/>
              </w:rPr>
            </w:pPr>
          </w:p>
        </w:tc>
        <w:tc>
          <w:tcPr>
            <w:tcW w:w="915" w:type="dxa"/>
            <w:tcBorders>
              <w:top w:val="nil"/>
              <w:left w:val="nil"/>
              <w:bottom w:val="nil"/>
              <w:right w:val="nil"/>
              <w:tl2br w:val="nil"/>
              <w:tr2bl w:val="nil"/>
            </w:tcBorders>
            <w:shd w:val="clear" w:color="auto" w:fill="FFFFFF"/>
            <w:tcMar>
              <w:left w:w="115" w:type="dxa"/>
              <w:right w:w="115" w:type="dxa"/>
            </w:tcMar>
            <w:vAlign w:val="bottom"/>
          </w:tcPr>
          <w:p w14:paraId="7D9A319E" w14:textId="77777777" w:rsidR="003F0EEA" w:rsidRPr="00E734E5" w:rsidRDefault="003F0EEA">
            <w:pPr>
              <w:jc w:val="center"/>
              <w:rPr>
                <w:rFonts w:ascii="Arial" w:eastAsia="Arial" w:hAnsi="Arial" w:cs="Arial"/>
                <w:b/>
                <w:color w:val="000000"/>
                <w:sz w:val="16"/>
                <w:vertAlign w:val="superscript"/>
              </w:rPr>
            </w:pPr>
          </w:p>
        </w:tc>
        <w:tc>
          <w:tcPr>
            <w:tcW w:w="1005" w:type="dxa"/>
            <w:tcBorders>
              <w:top w:val="single" w:sz="6" w:space="0" w:color="000000"/>
              <w:left w:val="nil"/>
              <w:bottom w:val="nil"/>
              <w:right w:val="nil"/>
              <w:tl2br w:val="nil"/>
              <w:tr2bl w:val="nil"/>
            </w:tcBorders>
            <w:shd w:val="clear" w:color="auto" w:fill="FFFF00"/>
            <w:tcMar>
              <w:left w:w="115" w:type="dxa"/>
              <w:right w:w="115" w:type="dxa"/>
            </w:tcMar>
            <w:vAlign w:val="bottom"/>
          </w:tcPr>
          <w:p w14:paraId="1F6E7489" w14:textId="77777777" w:rsidR="003F0EEA" w:rsidRPr="00E734E5" w:rsidRDefault="003F0EEA">
            <w:pPr>
              <w:jc w:val="right"/>
              <w:rPr>
                <w:rFonts w:ascii="Arial" w:eastAsia="Arial" w:hAnsi="Arial" w:cs="Arial"/>
                <w:color w:val="000000"/>
                <w:sz w:val="16"/>
                <w:vertAlign w:val="superscript"/>
              </w:rPr>
            </w:pPr>
          </w:p>
        </w:tc>
        <w:tc>
          <w:tcPr>
            <w:tcW w:w="1005"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6B79623D" w14:textId="77777777" w:rsidR="003F0EEA" w:rsidRPr="00E734E5" w:rsidRDefault="003F0EEA">
            <w:pPr>
              <w:jc w:val="right"/>
              <w:rPr>
                <w:rFonts w:ascii="Arial" w:eastAsia="Arial" w:hAnsi="Arial" w:cs="Arial"/>
                <w:b/>
                <w:color w:val="000000"/>
                <w:sz w:val="16"/>
                <w:vertAlign w:val="superscript"/>
              </w:rPr>
            </w:pPr>
          </w:p>
        </w:tc>
        <w:tc>
          <w:tcPr>
            <w:tcW w:w="1005" w:type="dxa"/>
            <w:tcBorders>
              <w:top w:val="single" w:sz="6" w:space="0" w:color="000000"/>
              <w:left w:val="nil"/>
              <w:bottom w:val="nil"/>
              <w:right w:val="nil"/>
              <w:tl2br w:val="nil"/>
              <w:tr2bl w:val="nil"/>
            </w:tcBorders>
            <w:shd w:val="clear" w:color="auto" w:fill="FFFF00"/>
            <w:tcMar>
              <w:left w:w="115" w:type="dxa"/>
              <w:right w:w="115" w:type="dxa"/>
            </w:tcMar>
            <w:vAlign w:val="bottom"/>
          </w:tcPr>
          <w:p w14:paraId="2ABAC063" w14:textId="77777777" w:rsidR="003F0EEA" w:rsidRPr="00E734E5" w:rsidRDefault="003F0EEA">
            <w:pPr>
              <w:jc w:val="right"/>
              <w:rPr>
                <w:rFonts w:ascii="Arial" w:eastAsia="Arial" w:hAnsi="Arial" w:cs="Arial"/>
                <w:b/>
                <w:color w:val="000000"/>
                <w:sz w:val="16"/>
                <w:vertAlign w:val="superscript"/>
              </w:rPr>
            </w:pPr>
          </w:p>
        </w:tc>
        <w:tc>
          <w:tcPr>
            <w:tcW w:w="1005"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5973641D" w14:textId="77777777" w:rsidR="003F0EEA" w:rsidRPr="00E734E5" w:rsidRDefault="003F0EEA">
            <w:pPr>
              <w:jc w:val="right"/>
              <w:rPr>
                <w:rFonts w:ascii="Arial" w:eastAsia="Arial" w:hAnsi="Arial" w:cs="Arial"/>
                <w:b/>
                <w:color w:val="000000"/>
                <w:sz w:val="16"/>
                <w:vertAlign w:val="superscript"/>
              </w:rPr>
            </w:pPr>
          </w:p>
        </w:tc>
        <w:tc>
          <w:tcPr>
            <w:tcW w:w="1005" w:type="dxa"/>
            <w:tcBorders>
              <w:top w:val="single" w:sz="6" w:space="0" w:color="000000"/>
              <w:left w:val="nil"/>
              <w:bottom w:val="nil"/>
              <w:right w:val="nil"/>
              <w:tl2br w:val="nil"/>
              <w:tr2bl w:val="nil"/>
            </w:tcBorders>
            <w:shd w:val="clear" w:color="auto" w:fill="FFFF00"/>
            <w:tcMar>
              <w:left w:w="115" w:type="dxa"/>
              <w:right w:w="115" w:type="dxa"/>
            </w:tcMar>
            <w:vAlign w:val="bottom"/>
          </w:tcPr>
          <w:p w14:paraId="3AD497AF" w14:textId="77777777" w:rsidR="003F0EEA" w:rsidRPr="00E734E5" w:rsidRDefault="003F0EEA">
            <w:pPr>
              <w:jc w:val="right"/>
              <w:rPr>
                <w:rFonts w:ascii="Arial" w:eastAsia="Arial" w:hAnsi="Arial" w:cs="Arial"/>
                <w:b/>
                <w:color w:val="000000"/>
                <w:sz w:val="16"/>
                <w:vertAlign w:val="superscript"/>
              </w:rPr>
            </w:pPr>
          </w:p>
        </w:tc>
      </w:tr>
      <w:tr w:rsidR="00FB7D0B" w14:paraId="6125533D" w14:textId="77777777" w:rsidTr="00FB7D0B">
        <w:trPr>
          <w:trHeight w:val="450"/>
        </w:trPr>
        <w:tc>
          <w:tcPr>
            <w:tcW w:w="2460" w:type="dxa"/>
            <w:gridSpan w:val="2"/>
            <w:tcBorders>
              <w:top w:val="nil"/>
              <w:left w:val="nil"/>
              <w:bottom w:val="nil"/>
              <w:right w:val="nil"/>
              <w:tl2br w:val="nil"/>
              <w:tr2bl w:val="nil"/>
            </w:tcBorders>
            <w:shd w:val="clear" w:color="auto" w:fill="FFFFFF"/>
            <w:tcMar>
              <w:left w:w="115" w:type="dxa"/>
              <w:right w:w="115" w:type="dxa"/>
            </w:tcMar>
            <w:vAlign w:val="bottom"/>
          </w:tcPr>
          <w:p w14:paraId="11107AFF" w14:textId="77777777" w:rsidR="003F0EEA" w:rsidRPr="00E734E5" w:rsidRDefault="00FB7D0B">
            <w:pPr>
              <w:rPr>
                <w:rFonts w:ascii="Arial" w:eastAsia="Arial" w:hAnsi="Arial" w:cs="Arial"/>
                <w:b/>
                <w:color w:val="000000"/>
                <w:sz w:val="16"/>
                <w:vertAlign w:val="superscript"/>
              </w:rPr>
            </w:pPr>
            <w:r w:rsidRPr="00E734E5">
              <w:rPr>
                <w:rFonts w:ascii="Arial" w:eastAsia="Arial" w:hAnsi="Arial" w:cs="Arial"/>
                <w:color w:val="000000"/>
                <w:sz w:val="16"/>
              </w:rPr>
              <w:t>Housing Help for Seniors - pilot - reversal</w:t>
            </w:r>
            <w:r w:rsidRPr="00E734E5">
              <w:rPr>
                <w:rFonts w:ascii="Arial" w:eastAsia="Arial" w:hAnsi="Arial" w:cs="Arial"/>
                <w:color w:val="000000"/>
                <w:sz w:val="16"/>
                <w:vertAlign w:val="superscript"/>
              </w:rPr>
              <w:t>1 </w:t>
            </w:r>
          </w:p>
        </w:tc>
        <w:tc>
          <w:tcPr>
            <w:tcW w:w="915" w:type="dxa"/>
            <w:tcBorders>
              <w:top w:val="nil"/>
              <w:left w:val="nil"/>
              <w:bottom w:val="nil"/>
              <w:right w:val="nil"/>
              <w:tl2br w:val="nil"/>
              <w:tr2bl w:val="nil"/>
            </w:tcBorders>
            <w:shd w:val="clear" w:color="auto" w:fill="FFFFFF"/>
            <w:tcMar>
              <w:left w:w="115" w:type="dxa"/>
              <w:right w:w="115" w:type="dxa"/>
            </w:tcMar>
            <w:vAlign w:val="bottom"/>
          </w:tcPr>
          <w:p w14:paraId="404B3A51" w14:textId="77777777" w:rsidR="003F0EEA" w:rsidRPr="00E734E5" w:rsidRDefault="00FB7D0B">
            <w:pPr>
              <w:jc w:val="center"/>
              <w:rPr>
                <w:rFonts w:ascii="Arial" w:eastAsia="Arial" w:hAnsi="Arial" w:cs="Arial"/>
                <w:color w:val="000000"/>
                <w:sz w:val="16"/>
                <w:vertAlign w:val="superscript"/>
              </w:rPr>
            </w:pPr>
            <w:r w:rsidRPr="00E734E5">
              <w:rPr>
                <w:rFonts w:ascii="Arial" w:eastAsia="Arial" w:hAnsi="Arial" w:cs="Arial"/>
                <w:color w:val="000000"/>
                <w:sz w:val="16"/>
              </w:rPr>
              <w:t>1.1 </w:t>
            </w:r>
          </w:p>
        </w:tc>
        <w:tc>
          <w:tcPr>
            <w:tcW w:w="1005" w:type="dxa"/>
            <w:tcBorders>
              <w:top w:val="nil"/>
              <w:left w:val="nil"/>
              <w:bottom w:val="nil"/>
              <w:right w:val="nil"/>
              <w:tl2br w:val="nil"/>
              <w:tr2bl w:val="nil"/>
            </w:tcBorders>
            <w:shd w:val="clear" w:color="auto" w:fill="FFFF00"/>
            <w:tcMar>
              <w:left w:w="115" w:type="dxa"/>
              <w:right w:w="115" w:type="dxa"/>
            </w:tcMar>
            <w:vAlign w:val="bottom"/>
          </w:tcPr>
          <w:p w14:paraId="2108F950" w14:textId="77777777" w:rsidR="003F0EEA" w:rsidRPr="00E734E5" w:rsidRDefault="003F0EEA">
            <w:pPr>
              <w:jc w:val="right"/>
              <w:rPr>
                <w:rFonts w:ascii="Arial" w:eastAsia="Arial" w:hAnsi="Arial" w:cs="Arial"/>
                <w:color w:val="000000"/>
                <w:sz w:val="16"/>
              </w:rPr>
            </w:pPr>
          </w:p>
        </w:tc>
        <w:tc>
          <w:tcPr>
            <w:tcW w:w="1005" w:type="dxa"/>
            <w:tcBorders>
              <w:top w:val="nil"/>
              <w:left w:val="nil"/>
              <w:bottom w:val="nil"/>
              <w:right w:val="nil"/>
              <w:tl2br w:val="nil"/>
              <w:tr2bl w:val="nil"/>
            </w:tcBorders>
            <w:shd w:val="clear" w:color="auto" w:fill="FFFFFF"/>
            <w:tcMar>
              <w:left w:w="115" w:type="dxa"/>
              <w:right w:w="115" w:type="dxa"/>
            </w:tcMar>
            <w:vAlign w:val="bottom"/>
          </w:tcPr>
          <w:p w14:paraId="70513B44" w14:textId="77777777" w:rsidR="003F0EEA" w:rsidRPr="00E734E5" w:rsidRDefault="003F0EEA">
            <w:pPr>
              <w:jc w:val="right"/>
              <w:rPr>
                <w:rFonts w:ascii="Arial" w:eastAsia="Arial" w:hAnsi="Arial" w:cs="Arial"/>
                <w:color w:val="000000"/>
                <w:sz w:val="16"/>
              </w:rPr>
            </w:pPr>
          </w:p>
        </w:tc>
        <w:tc>
          <w:tcPr>
            <w:tcW w:w="1005" w:type="dxa"/>
            <w:tcBorders>
              <w:top w:val="nil"/>
              <w:left w:val="nil"/>
              <w:bottom w:val="nil"/>
              <w:right w:val="nil"/>
              <w:tl2br w:val="nil"/>
              <w:tr2bl w:val="nil"/>
            </w:tcBorders>
            <w:shd w:val="clear" w:color="auto" w:fill="FFFF00"/>
            <w:tcMar>
              <w:left w:w="115" w:type="dxa"/>
              <w:right w:w="115" w:type="dxa"/>
            </w:tcMar>
            <w:vAlign w:val="bottom"/>
          </w:tcPr>
          <w:p w14:paraId="775B8B4C" w14:textId="77777777" w:rsidR="003F0EEA" w:rsidRPr="00E734E5" w:rsidRDefault="003F0EEA">
            <w:pPr>
              <w:jc w:val="right"/>
              <w:rPr>
                <w:rFonts w:ascii="Arial" w:eastAsia="Arial" w:hAnsi="Arial" w:cs="Arial"/>
                <w:color w:val="000000"/>
                <w:sz w:val="16"/>
              </w:rPr>
            </w:pPr>
          </w:p>
        </w:tc>
        <w:tc>
          <w:tcPr>
            <w:tcW w:w="1005" w:type="dxa"/>
            <w:tcBorders>
              <w:top w:val="nil"/>
              <w:left w:val="nil"/>
              <w:bottom w:val="nil"/>
              <w:right w:val="nil"/>
              <w:tl2br w:val="nil"/>
              <w:tr2bl w:val="nil"/>
            </w:tcBorders>
            <w:shd w:val="clear" w:color="auto" w:fill="FFFFFF"/>
            <w:tcMar>
              <w:left w:w="115" w:type="dxa"/>
              <w:right w:w="115" w:type="dxa"/>
            </w:tcMar>
            <w:vAlign w:val="bottom"/>
          </w:tcPr>
          <w:p w14:paraId="0DFBDC85" w14:textId="77777777" w:rsidR="003F0EEA" w:rsidRPr="00E734E5" w:rsidRDefault="003F0EEA">
            <w:pPr>
              <w:jc w:val="right"/>
              <w:rPr>
                <w:rFonts w:ascii="Arial" w:eastAsia="Arial" w:hAnsi="Arial" w:cs="Arial"/>
                <w:color w:val="000000"/>
                <w:sz w:val="16"/>
              </w:rPr>
            </w:pPr>
          </w:p>
        </w:tc>
        <w:tc>
          <w:tcPr>
            <w:tcW w:w="1005" w:type="dxa"/>
            <w:tcBorders>
              <w:top w:val="nil"/>
              <w:left w:val="nil"/>
              <w:bottom w:val="nil"/>
              <w:right w:val="nil"/>
              <w:tl2br w:val="nil"/>
              <w:tr2bl w:val="nil"/>
            </w:tcBorders>
            <w:shd w:val="clear" w:color="auto" w:fill="FFFF00"/>
            <w:tcMar>
              <w:left w:w="115" w:type="dxa"/>
              <w:right w:w="115" w:type="dxa"/>
            </w:tcMar>
            <w:vAlign w:val="bottom"/>
          </w:tcPr>
          <w:p w14:paraId="1247A22D" w14:textId="77777777" w:rsidR="003F0EEA" w:rsidRPr="00E734E5" w:rsidRDefault="003F0EEA">
            <w:pPr>
              <w:jc w:val="right"/>
              <w:rPr>
                <w:rFonts w:ascii="Arial" w:eastAsia="Arial" w:hAnsi="Arial" w:cs="Arial"/>
                <w:color w:val="000000"/>
                <w:sz w:val="16"/>
              </w:rPr>
            </w:pPr>
          </w:p>
        </w:tc>
      </w:tr>
      <w:tr w:rsidR="00724034" w14:paraId="0410F8AE" w14:textId="77777777">
        <w:trPr>
          <w:trHeight w:val="225"/>
        </w:trPr>
        <w:tc>
          <w:tcPr>
            <w:tcW w:w="180" w:type="dxa"/>
            <w:tcBorders>
              <w:top w:val="nil"/>
              <w:left w:val="nil"/>
              <w:bottom w:val="nil"/>
              <w:right w:val="nil"/>
              <w:tl2br w:val="nil"/>
              <w:tr2bl w:val="nil"/>
            </w:tcBorders>
            <w:shd w:val="clear" w:color="auto" w:fill="FFFFFF"/>
            <w:tcMar>
              <w:left w:w="115" w:type="dxa"/>
              <w:right w:w="115" w:type="dxa"/>
            </w:tcMar>
            <w:vAlign w:val="bottom"/>
          </w:tcPr>
          <w:p w14:paraId="6FF74285" w14:textId="77777777" w:rsidR="003F0EEA" w:rsidRPr="00E734E5" w:rsidRDefault="003F0EEA">
            <w:pPr>
              <w:rPr>
                <w:rFonts w:ascii="Arial" w:eastAsia="Arial" w:hAnsi="Arial" w:cs="Arial"/>
                <w:color w:val="000000"/>
                <w:sz w:val="16"/>
              </w:rPr>
            </w:pPr>
          </w:p>
        </w:tc>
        <w:tc>
          <w:tcPr>
            <w:tcW w:w="2280" w:type="dxa"/>
            <w:tcBorders>
              <w:top w:val="nil"/>
              <w:left w:val="nil"/>
              <w:bottom w:val="nil"/>
              <w:right w:val="nil"/>
              <w:tl2br w:val="nil"/>
              <w:tr2bl w:val="nil"/>
            </w:tcBorders>
            <w:shd w:val="clear" w:color="auto" w:fill="FFFFFF"/>
            <w:tcMar>
              <w:left w:w="115" w:type="dxa"/>
              <w:right w:w="115" w:type="dxa"/>
            </w:tcMar>
            <w:vAlign w:val="bottom"/>
          </w:tcPr>
          <w:p w14:paraId="7BBFCFB7" w14:textId="77777777" w:rsidR="003F0EEA" w:rsidRPr="00E734E5" w:rsidRDefault="00FB7D0B">
            <w:pPr>
              <w:rPr>
                <w:rFonts w:ascii="Arial" w:eastAsia="Arial" w:hAnsi="Arial" w:cs="Arial"/>
                <w:color w:val="000000"/>
                <w:sz w:val="16"/>
              </w:rPr>
            </w:pPr>
            <w:r w:rsidRPr="00E734E5">
              <w:rPr>
                <w:rFonts w:ascii="Arial" w:eastAsia="Arial" w:hAnsi="Arial" w:cs="Arial"/>
                <w:color w:val="000000"/>
                <w:sz w:val="16"/>
              </w:rPr>
              <w:t>Administered expenses</w:t>
            </w:r>
          </w:p>
        </w:tc>
        <w:tc>
          <w:tcPr>
            <w:tcW w:w="915" w:type="dxa"/>
            <w:tcBorders>
              <w:top w:val="nil"/>
              <w:left w:val="nil"/>
              <w:bottom w:val="nil"/>
              <w:right w:val="nil"/>
              <w:tl2br w:val="nil"/>
              <w:tr2bl w:val="nil"/>
            </w:tcBorders>
            <w:shd w:val="clear" w:color="auto" w:fill="FFFFFF"/>
            <w:tcMar>
              <w:left w:w="115" w:type="dxa"/>
              <w:right w:w="115" w:type="dxa"/>
            </w:tcMar>
            <w:vAlign w:val="bottom"/>
          </w:tcPr>
          <w:p w14:paraId="089092CC" w14:textId="77777777" w:rsidR="003F0EEA" w:rsidRPr="00E734E5" w:rsidRDefault="003F0EEA">
            <w:pPr>
              <w:jc w:val="center"/>
              <w:rPr>
                <w:rFonts w:ascii="Arial" w:eastAsia="Arial" w:hAnsi="Arial" w:cs="Arial"/>
                <w:color w:val="000000"/>
                <w:sz w:val="16"/>
                <w:vertAlign w:val="superscript"/>
              </w:rPr>
            </w:pPr>
          </w:p>
        </w:tc>
        <w:tc>
          <w:tcPr>
            <w:tcW w:w="1005" w:type="dxa"/>
            <w:tcBorders>
              <w:top w:val="nil"/>
              <w:left w:val="nil"/>
              <w:bottom w:val="nil"/>
              <w:right w:val="nil"/>
              <w:tl2br w:val="nil"/>
              <w:tr2bl w:val="nil"/>
            </w:tcBorders>
            <w:shd w:val="clear" w:color="auto" w:fill="FFFF00"/>
            <w:tcMar>
              <w:left w:w="115" w:type="dxa"/>
              <w:right w:w="115" w:type="dxa"/>
            </w:tcMar>
            <w:vAlign w:val="bottom"/>
          </w:tcPr>
          <w:p w14:paraId="2D5C6491" w14:textId="77777777" w:rsidR="003F0EEA" w:rsidRPr="00E734E5" w:rsidRDefault="00FB7D0B">
            <w:pPr>
              <w:jc w:val="right"/>
              <w:rPr>
                <w:rFonts w:ascii="Arial" w:eastAsia="Arial" w:hAnsi="Arial" w:cs="Arial"/>
                <w:color w:val="000000"/>
                <w:sz w:val="16"/>
                <w:vertAlign w:val="superscript"/>
              </w:rPr>
            </w:pPr>
            <w:r w:rsidRPr="00E734E5">
              <w:rPr>
                <w:rFonts w:ascii="Arial" w:eastAsia="Arial" w:hAnsi="Arial" w:cs="Arial"/>
                <w:color w:val="000000"/>
                <w:sz w:val="16"/>
              </w:rPr>
              <w:t xml:space="preserve"> - </w:t>
            </w:r>
          </w:p>
        </w:tc>
        <w:tc>
          <w:tcPr>
            <w:tcW w:w="1005" w:type="dxa"/>
            <w:tcBorders>
              <w:top w:val="nil"/>
              <w:left w:val="nil"/>
              <w:bottom w:val="nil"/>
              <w:right w:val="nil"/>
              <w:tl2br w:val="nil"/>
              <w:tr2bl w:val="nil"/>
            </w:tcBorders>
            <w:shd w:val="clear" w:color="auto" w:fill="FFFFFF"/>
            <w:tcMar>
              <w:left w:w="115" w:type="dxa"/>
              <w:right w:w="115" w:type="dxa"/>
            </w:tcMar>
            <w:vAlign w:val="bottom"/>
          </w:tcPr>
          <w:p w14:paraId="4C8ADAF4" w14:textId="77777777" w:rsidR="003F0EEA" w:rsidRPr="00E734E5" w:rsidRDefault="00FB7D0B">
            <w:pPr>
              <w:jc w:val="right"/>
              <w:rPr>
                <w:rFonts w:ascii="Arial" w:eastAsia="Arial" w:hAnsi="Arial" w:cs="Arial"/>
                <w:color w:val="000000"/>
                <w:sz w:val="16"/>
              </w:rPr>
            </w:pPr>
            <w:r w:rsidRPr="00E734E5">
              <w:rPr>
                <w:rFonts w:ascii="Arial" w:eastAsia="Arial" w:hAnsi="Arial" w:cs="Arial"/>
                <w:color w:val="000000"/>
                <w:sz w:val="16"/>
              </w:rPr>
              <w:t>(1,107)</w:t>
            </w:r>
          </w:p>
        </w:tc>
        <w:tc>
          <w:tcPr>
            <w:tcW w:w="1005" w:type="dxa"/>
            <w:tcBorders>
              <w:top w:val="nil"/>
              <w:left w:val="nil"/>
              <w:bottom w:val="nil"/>
              <w:right w:val="nil"/>
              <w:tl2br w:val="nil"/>
              <w:tr2bl w:val="nil"/>
            </w:tcBorders>
            <w:shd w:val="clear" w:color="auto" w:fill="FFFF00"/>
            <w:tcMar>
              <w:left w:w="115" w:type="dxa"/>
              <w:right w:w="115" w:type="dxa"/>
            </w:tcMar>
            <w:vAlign w:val="bottom"/>
          </w:tcPr>
          <w:p w14:paraId="05FE9909" w14:textId="77777777" w:rsidR="003F0EEA" w:rsidRPr="00E734E5" w:rsidRDefault="00FB7D0B">
            <w:pPr>
              <w:jc w:val="right"/>
              <w:rPr>
                <w:rFonts w:ascii="Arial" w:eastAsia="Arial" w:hAnsi="Arial" w:cs="Arial"/>
                <w:color w:val="000000"/>
                <w:sz w:val="16"/>
              </w:rPr>
            </w:pPr>
            <w:r w:rsidRPr="00E734E5">
              <w:rPr>
                <w:rFonts w:ascii="Arial" w:eastAsia="Arial" w:hAnsi="Arial" w:cs="Arial"/>
                <w:color w:val="000000"/>
                <w:sz w:val="16"/>
              </w:rPr>
              <w:t>(2,182)</w:t>
            </w:r>
          </w:p>
        </w:tc>
        <w:tc>
          <w:tcPr>
            <w:tcW w:w="1005" w:type="dxa"/>
            <w:tcBorders>
              <w:top w:val="nil"/>
              <w:left w:val="nil"/>
              <w:bottom w:val="nil"/>
              <w:right w:val="nil"/>
              <w:tl2br w:val="nil"/>
              <w:tr2bl w:val="nil"/>
            </w:tcBorders>
            <w:shd w:val="clear" w:color="auto" w:fill="FFFFFF"/>
            <w:tcMar>
              <w:left w:w="115" w:type="dxa"/>
              <w:right w:w="115" w:type="dxa"/>
            </w:tcMar>
            <w:vAlign w:val="bottom"/>
          </w:tcPr>
          <w:p w14:paraId="1341B24F" w14:textId="77777777" w:rsidR="003F0EEA" w:rsidRPr="00E734E5" w:rsidRDefault="00FB7D0B">
            <w:pPr>
              <w:jc w:val="right"/>
              <w:rPr>
                <w:rFonts w:ascii="Arial" w:eastAsia="Arial" w:hAnsi="Arial" w:cs="Arial"/>
                <w:color w:val="000000"/>
                <w:sz w:val="16"/>
              </w:rPr>
            </w:pPr>
            <w:r w:rsidRPr="00E734E5">
              <w:rPr>
                <w:rFonts w:ascii="Arial" w:eastAsia="Arial" w:hAnsi="Arial" w:cs="Arial"/>
                <w:color w:val="000000"/>
                <w:sz w:val="16"/>
              </w:rPr>
              <w:t>(3,189)</w:t>
            </w:r>
          </w:p>
        </w:tc>
        <w:tc>
          <w:tcPr>
            <w:tcW w:w="1005" w:type="dxa"/>
            <w:tcBorders>
              <w:top w:val="nil"/>
              <w:left w:val="nil"/>
              <w:bottom w:val="nil"/>
              <w:right w:val="nil"/>
              <w:tl2br w:val="nil"/>
              <w:tr2bl w:val="nil"/>
            </w:tcBorders>
            <w:shd w:val="clear" w:color="auto" w:fill="FFFF00"/>
            <w:tcMar>
              <w:left w:w="115" w:type="dxa"/>
              <w:right w:w="115" w:type="dxa"/>
            </w:tcMar>
            <w:vAlign w:val="bottom"/>
          </w:tcPr>
          <w:p w14:paraId="5A62317A" w14:textId="77777777" w:rsidR="003F0EEA" w:rsidRPr="00E734E5" w:rsidRDefault="00FB7D0B">
            <w:pPr>
              <w:jc w:val="right"/>
              <w:rPr>
                <w:rFonts w:ascii="Arial" w:eastAsia="Arial" w:hAnsi="Arial" w:cs="Arial"/>
                <w:color w:val="000000"/>
                <w:sz w:val="16"/>
              </w:rPr>
            </w:pPr>
            <w:r w:rsidRPr="00E734E5">
              <w:rPr>
                <w:rFonts w:ascii="Arial" w:eastAsia="Arial" w:hAnsi="Arial" w:cs="Arial"/>
                <w:color w:val="000000"/>
                <w:sz w:val="16"/>
              </w:rPr>
              <w:t>(3,061)</w:t>
            </w:r>
          </w:p>
        </w:tc>
      </w:tr>
      <w:tr w:rsidR="00724034" w14:paraId="7F9D90DE" w14:textId="77777777">
        <w:trPr>
          <w:trHeight w:val="225"/>
        </w:trPr>
        <w:tc>
          <w:tcPr>
            <w:tcW w:w="180" w:type="dxa"/>
            <w:tcBorders>
              <w:top w:val="nil"/>
              <w:left w:val="nil"/>
              <w:bottom w:val="nil"/>
              <w:right w:val="nil"/>
              <w:tl2br w:val="nil"/>
              <w:tr2bl w:val="nil"/>
            </w:tcBorders>
            <w:shd w:val="clear" w:color="auto" w:fill="FFFFFF"/>
            <w:tcMar>
              <w:left w:w="115" w:type="dxa"/>
              <w:right w:w="115" w:type="dxa"/>
            </w:tcMar>
            <w:vAlign w:val="bottom"/>
          </w:tcPr>
          <w:p w14:paraId="1A20D925" w14:textId="77777777" w:rsidR="003F0EEA" w:rsidRPr="00E734E5" w:rsidRDefault="003F0EEA">
            <w:pPr>
              <w:rPr>
                <w:rFonts w:ascii="Arial" w:eastAsia="Arial" w:hAnsi="Arial" w:cs="Arial"/>
                <w:color w:val="000000"/>
                <w:sz w:val="16"/>
              </w:rPr>
            </w:pPr>
          </w:p>
        </w:tc>
        <w:tc>
          <w:tcPr>
            <w:tcW w:w="2280" w:type="dxa"/>
            <w:tcBorders>
              <w:top w:val="nil"/>
              <w:left w:val="nil"/>
              <w:bottom w:val="nil"/>
              <w:right w:val="nil"/>
              <w:tl2br w:val="nil"/>
              <w:tr2bl w:val="nil"/>
            </w:tcBorders>
            <w:shd w:val="clear" w:color="auto" w:fill="FFFFFF"/>
            <w:tcMar>
              <w:left w:w="115" w:type="dxa"/>
              <w:right w:w="115" w:type="dxa"/>
            </w:tcMar>
            <w:vAlign w:val="bottom"/>
          </w:tcPr>
          <w:p w14:paraId="7937212D" w14:textId="77777777" w:rsidR="003F0EEA" w:rsidRPr="00E734E5" w:rsidRDefault="00FB7D0B">
            <w:pPr>
              <w:rPr>
                <w:rFonts w:ascii="Arial" w:eastAsia="Arial" w:hAnsi="Arial" w:cs="Arial"/>
                <w:color w:val="000000"/>
                <w:sz w:val="16"/>
              </w:rPr>
            </w:pPr>
            <w:r w:rsidRPr="00E734E5">
              <w:rPr>
                <w:rFonts w:ascii="Arial" w:eastAsia="Arial" w:hAnsi="Arial" w:cs="Arial"/>
                <w:color w:val="000000"/>
                <w:sz w:val="16"/>
              </w:rPr>
              <w:t>Departmental expenses</w:t>
            </w:r>
          </w:p>
        </w:tc>
        <w:tc>
          <w:tcPr>
            <w:tcW w:w="915" w:type="dxa"/>
            <w:tcBorders>
              <w:top w:val="nil"/>
              <w:left w:val="nil"/>
              <w:bottom w:val="nil"/>
              <w:right w:val="nil"/>
              <w:tl2br w:val="nil"/>
              <w:tr2bl w:val="nil"/>
            </w:tcBorders>
            <w:shd w:val="clear" w:color="auto" w:fill="FFFFFF"/>
            <w:tcMar>
              <w:left w:w="115" w:type="dxa"/>
              <w:right w:w="115" w:type="dxa"/>
            </w:tcMar>
            <w:vAlign w:val="bottom"/>
          </w:tcPr>
          <w:p w14:paraId="5300B927" w14:textId="77777777" w:rsidR="003F0EEA" w:rsidRPr="00E734E5" w:rsidRDefault="003F0EEA">
            <w:pPr>
              <w:jc w:val="center"/>
              <w:rPr>
                <w:rFonts w:ascii="Arial" w:eastAsia="Arial" w:hAnsi="Arial" w:cs="Arial"/>
                <w:color w:val="000000"/>
                <w:sz w:val="16"/>
                <w:vertAlign w:val="superscript"/>
              </w:rPr>
            </w:pPr>
          </w:p>
        </w:tc>
        <w:tc>
          <w:tcPr>
            <w:tcW w:w="1005" w:type="dxa"/>
            <w:tcBorders>
              <w:top w:val="nil"/>
              <w:left w:val="nil"/>
              <w:bottom w:val="nil"/>
              <w:right w:val="nil"/>
              <w:tl2br w:val="nil"/>
              <w:tr2bl w:val="nil"/>
            </w:tcBorders>
            <w:shd w:val="clear" w:color="auto" w:fill="FFFF00"/>
            <w:tcMar>
              <w:left w:w="115" w:type="dxa"/>
              <w:right w:w="115" w:type="dxa"/>
            </w:tcMar>
            <w:vAlign w:val="bottom"/>
          </w:tcPr>
          <w:p w14:paraId="5DCBE61B" w14:textId="77777777" w:rsidR="003F0EEA" w:rsidRPr="00E734E5" w:rsidRDefault="00FB7D0B">
            <w:pPr>
              <w:jc w:val="right"/>
              <w:rPr>
                <w:rFonts w:ascii="Arial" w:eastAsia="Arial" w:hAnsi="Arial" w:cs="Arial"/>
                <w:color w:val="000000"/>
                <w:sz w:val="16"/>
                <w:vertAlign w:val="superscript"/>
              </w:rPr>
            </w:pPr>
            <w:r w:rsidRPr="00E734E5">
              <w:rPr>
                <w:rFonts w:ascii="Arial" w:eastAsia="Arial" w:hAnsi="Arial" w:cs="Arial"/>
                <w:color w:val="000000"/>
                <w:sz w:val="16"/>
              </w:rPr>
              <w:t>(676)</w:t>
            </w:r>
          </w:p>
        </w:tc>
        <w:tc>
          <w:tcPr>
            <w:tcW w:w="1005" w:type="dxa"/>
            <w:tcBorders>
              <w:top w:val="nil"/>
              <w:left w:val="nil"/>
              <w:bottom w:val="nil"/>
              <w:right w:val="nil"/>
              <w:tl2br w:val="nil"/>
              <w:tr2bl w:val="nil"/>
            </w:tcBorders>
            <w:shd w:val="clear" w:color="auto" w:fill="FFFFFF"/>
            <w:tcMar>
              <w:left w:w="115" w:type="dxa"/>
              <w:right w:w="115" w:type="dxa"/>
            </w:tcMar>
            <w:vAlign w:val="bottom"/>
          </w:tcPr>
          <w:p w14:paraId="72478AF3" w14:textId="77777777" w:rsidR="003F0EEA" w:rsidRPr="00E734E5" w:rsidRDefault="00FB7D0B">
            <w:pPr>
              <w:jc w:val="right"/>
              <w:rPr>
                <w:rFonts w:ascii="Arial" w:eastAsia="Arial" w:hAnsi="Arial" w:cs="Arial"/>
                <w:color w:val="000000"/>
                <w:sz w:val="16"/>
              </w:rPr>
            </w:pPr>
            <w:r w:rsidRPr="00E734E5">
              <w:rPr>
                <w:rFonts w:ascii="Arial" w:eastAsia="Arial" w:hAnsi="Arial" w:cs="Arial"/>
                <w:color w:val="000000"/>
                <w:sz w:val="16"/>
              </w:rPr>
              <w:t>(420)</w:t>
            </w:r>
          </w:p>
        </w:tc>
        <w:tc>
          <w:tcPr>
            <w:tcW w:w="1005" w:type="dxa"/>
            <w:tcBorders>
              <w:top w:val="nil"/>
              <w:left w:val="nil"/>
              <w:bottom w:val="nil"/>
              <w:right w:val="nil"/>
              <w:tl2br w:val="nil"/>
              <w:tr2bl w:val="nil"/>
            </w:tcBorders>
            <w:shd w:val="clear" w:color="auto" w:fill="FFFF00"/>
            <w:tcMar>
              <w:left w:w="115" w:type="dxa"/>
              <w:right w:w="115" w:type="dxa"/>
            </w:tcMar>
            <w:vAlign w:val="bottom"/>
          </w:tcPr>
          <w:p w14:paraId="3DAA70C2" w14:textId="77777777" w:rsidR="003F0EEA" w:rsidRPr="00E734E5" w:rsidRDefault="00FB7D0B">
            <w:pPr>
              <w:jc w:val="right"/>
              <w:rPr>
                <w:rFonts w:ascii="Arial" w:eastAsia="Arial" w:hAnsi="Arial" w:cs="Arial"/>
                <w:color w:val="000000"/>
                <w:sz w:val="16"/>
              </w:rPr>
            </w:pPr>
            <w:r w:rsidRPr="00E734E5">
              <w:rPr>
                <w:rFonts w:ascii="Arial" w:eastAsia="Arial" w:hAnsi="Arial" w:cs="Arial"/>
                <w:color w:val="000000"/>
                <w:sz w:val="16"/>
              </w:rPr>
              <w:t>(403)</w:t>
            </w:r>
          </w:p>
        </w:tc>
        <w:tc>
          <w:tcPr>
            <w:tcW w:w="1005" w:type="dxa"/>
            <w:tcBorders>
              <w:top w:val="nil"/>
              <w:left w:val="nil"/>
              <w:bottom w:val="nil"/>
              <w:right w:val="nil"/>
              <w:tl2br w:val="nil"/>
              <w:tr2bl w:val="nil"/>
            </w:tcBorders>
            <w:shd w:val="clear" w:color="auto" w:fill="FFFFFF"/>
            <w:tcMar>
              <w:left w:w="115" w:type="dxa"/>
              <w:right w:w="115" w:type="dxa"/>
            </w:tcMar>
            <w:vAlign w:val="bottom"/>
          </w:tcPr>
          <w:p w14:paraId="4EB48C48" w14:textId="77777777" w:rsidR="003F0EEA" w:rsidRPr="00E734E5" w:rsidRDefault="00FB7D0B">
            <w:pPr>
              <w:jc w:val="right"/>
              <w:rPr>
                <w:rFonts w:ascii="Arial" w:eastAsia="Arial" w:hAnsi="Arial" w:cs="Arial"/>
                <w:color w:val="000000"/>
                <w:sz w:val="16"/>
              </w:rPr>
            </w:pPr>
            <w:r w:rsidRPr="00E734E5">
              <w:rPr>
                <w:rFonts w:ascii="Arial" w:eastAsia="Arial" w:hAnsi="Arial" w:cs="Arial"/>
                <w:color w:val="000000"/>
                <w:sz w:val="16"/>
              </w:rPr>
              <w:t>(404)</w:t>
            </w:r>
          </w:p>
        </w:tc>
        <w:tc>
          <w:tcPr>
            <w:tcW w:w="1005" w:type="dxa"/>
            <w:tcBorders>
              <w:top w:val="nil"/>
              <w:left w:val="nil"/>
              <w:bottom w:val="nil"/>
              <w:right w:val="nil"/>
              <w:tl2br w:val="nil"/>
              <w:tr2bl w:val="nil"/>
            </w:tcBorders>
            <w:shd w:val="clear" w:color="auto" w:fill="FFFF00"/>
            <w:tcMar>
              <w:left w:w="115" w:type="dxa"/>
              <w:right w:w="115" w:type="dxa"/>
            </w:tcMar>
            <w:vAlign w:val="bottom"/>
          </w:tcPr>
          <w:p w14:paraId="7F767CC5" w14:textId="77777777" w:rsidR="003F0EEA" w:rsidRPr="00E734E5" w:rsidRDefault="00FB7D0B">
            <w:pPr>
              <w:jc w:val="right"/>
              <w:rPr>
                <w:rFonts w:ascii="Arial" w:eastAsia="Arial" w:hAnsi="Arial" w:cs="Arial"/>
                <w:color w:val="000000"/>
                <w:sz w:val="16"/>
              </w:rPr>
            </w:pPr>
            <w:r w:rsidRPr="00E734E5">
              <w:rPr>
                <w:rFonts w:ascii="Arial" w:eastAsia="Arial" w:hAnsi="Arial" w:cs="Arial"/>
                <w:color w:val="000000"/>
                <w:sz w:val="16"/>
              </w:rPr>
              <w:t>(47)</w:t>
            </w:r>
          </w:p>
        </w:tc>
      </w:tr>
      <w:tr w:rsidR="00FB7D0B" w14:paraId="4D6B30B1" w14:textId="77777777" w:rsidTr="00FB7D0B">
        <w:trPr>
          <w:trHeight w:val="225"/>
        </w:trPr>
        <w:tc>
          <w:tcPr>
            <w:tcW w:w="2460" w:type="dxa"/>
            <w:gridSpan w:val="2"/>
            <w:tcBorders>
              <w:top w:val="nil"/>
              <w:left w:val="nil"/>
              <w:bottom w:val="nil"/>
              <w:right w:val="nil"/>
              <w:tl2br w:val="nil"/>
              <w:tr2bl w:val="nil"/>
            </w:tcBorders>
            <w:shd w:val="clear" w:color="auto" w:fill="FFFFFF"/>
            <w:tcMar>
              <w:left w:w="115" w:type="dxa"/>
              <w:right w:w="115" w:type="dxa"/>
            </w:tcMar>
            <w:vAlign w:val="bottom"/>
          </w:tcPr>
          <w:p w14:paraId="5ACB85DD" w14:textId="77777777" w:rsidR="003F0EEA" w:rsidRPr="00E734E5" w:rsidRDefault="00FB7D0B">
            <w:pPr>
              <w:rPr>
                <w:rFonts w:ascii="Arial" w:eastAsia="Arial" w:hAnsi="Arial" w:cs="Arial"/>
                <w:color w:val="000000"/>
                <w:sz w:val="16"/>
              </w:rPr>
            </w:pPr>
            <w:r w:rsidRPr="00E734E5">
              <w:rPr>
                <w:rFonts w:ascii="Arial" w:eastAsia="Arial" w:hAnsi="Arial" w:cs="Arial"/>
                <w:b/>
                <w:color w:val="000000"/>
                <w:sz w:val="16"/>
              </w:rPr>
              <w:t xml:space="preserve">Total </w:t>
            </w:r>
          </w:p>
        </w:tc>
        <w:tc>
          <w:tcPr>
            <w:tcW w:w="915" w:type="dxa"/>
            <w:tcBorders>
              <w:top w:val="nil"/>
              <w:left w:val="nil"/>
              <w:bottom w:val="nil"/>
              <w:right w:val="nil"/>
              <w:tl2br w:val="nil"/>
              <w:tr2bl w:val="nil"/>
            </w:tcBorders>
            <w:shd w:val="clear" w:color="auto" w:fill="FFFFFF"/>
            <w:tcMar>
              <w:left w:w="115" w:type="dxa"/>
              <w:right w:w="115" w:type="dxa"/>
            </w:tcMar>
            <w:vAlign w:val="bottom"/>
          </w:tcPr>
          <w:p w14:paraId="4CDB5ACF" w14:textId="77777777" w:rsidR="003F0EEA" w:rsidRPr="00E734E5" w:rsidRDefault="003F0EEA">
            <w:pPr>
              <w:jc w:val="center"/>
              <w:rPr>
                <w:rFonts w:ascii="Arial" w:eastAsia="Arial" w:hAnsi="Arial" w:cs="Arial"/>
                <w:b/>
                <w:color w:val="000000"/>
                <w:sz w:val="16"/>
                <w:vertAlign w:val="superscript"/>
              </w:rPr>
            </w:pPr>
          </w:p>
        </w:tc>
        <w:tc>
          <w:tcPr>
            <w:tcW w:w="1005" w:type="dxa"/>
            <w:tcBorders>
              <w:top w:val="nil"/>
              <w:left w:val="nil"/>
              <w:bottom w:val="single" w:sz="6" w:space="0" w:color="000000"/>
              <w:right w:val="nil"/>
              <w:tl2br w:val="nil"/>
              <w:tr2bl w:val="nil"/>
            </w:tcBorders>
            <w:shd w:val="clear" w:color="auto" w:fill="FFFF00"/>
            <w:tcMar>
              <w:left w:w="115" w:type="dxa"/>
              <w:right w:w="115" w:type="dxa"/>
            </w:tcMar>
            <w:vAlign w:val="bottom"/>
          </w:tcPr>
          <w:p w14:paraId="163783C7" w14:textId="77777777" w:rsidR="003F0EEA" w:rsidRPr="00E734E5" w:rsidRDefault="00FB7D0B">
            <w:pPr>
              <w:jc w:val="right"/>
              <w:rPr>
                <w:rFonts w:ascii="Arial" w:eastAsia="Arial" w:hAnsi="Arial" w:cs="Arial"/>
                <w:color w:val="000000"/>
                <w:sz w:val="16"/>
                <w:vertAlign w:val="superscript"/>
              </w:rPr>
            </w:pPr>
            <w:r w:rsidRPr="00E734E5">
              <w:rPr>
                <w:rFonts w:ascii="Arial" w:eastAsia="Arial" w:hAnsi="Arial" w:cs="Arial"/>
                <w:b/>
                <w:color w:val="000000"/>
                <w:sz w:val="16"/>
              </w:rPr>
              <w:t>(676)</w:t>
            </w:r>
          </w:p>
        </w:tc>
        <w:tc>
          <w:tcPr>
            <w:tcW w:w="1005"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6AC73531" w14:textId="77777777" w:rsidR="003F0EEA" w:rsidRPr="00E734E5" w:rsidRDefault="00FB7D0B">
            <w:pPr>
              <w:jc w:val="right"/>
              <w:rPr>
                <w:rFonts w:ascii="Arial" w:eastAsia="Arial" w:hAnsi="Arial" w:cs="Arial"/>
                <w:b/>
                <w:color w:val="000000"/>
                <w:sz w:val="16"/>
              </w:rPr>
            </w:pPr>
            <w:r w:rsidRPr="00E734E5">
              <w:rPr>
                <w:rFonts w:ascii="Arial" w:eastAsia="Arial" w:hAnsi="Arial" w:cs="Arial"/>
                <w:b/>
                <w:color w:val="000000"/>
                <w:sz w:val="16"/>
              </w:rPr>
              <w:t>(1,527)</w:t>
            </w:r>
          </w:p>
        </w:tc>
        <w:tc>
          <w:tcPr>
            <w:tcW w:w="1005" w:type="dxa"/>
            <w:tcBorders>
              <w:top w:val="nil"/>
              <w:left w:val="nil"/>
              <w:bottom w:val="single" w:sz="6" w:space="0" w:color="000000"/>
              <w:right w:val="nil"/>
              <w:tl2br w:val="nil"/>
              <w:tr2bl w:val="nil"/>
            </w:tcBorders>
            <w:shd w:val="clear" w:color="auto" w:fill="FFFF00"/>
            <w:tcMar>
              <w:left w:w="115" w:type="dxa"/>
              <w:right w:w="115" w:type="dxa"/>
            </w:tcMar>
            <w:vAlign w:val="bottom"/>
          </w:tcPr>
          <w:p w14:paraId="77509913" w14:textId="77777777" w:rsidR="003F0EEA" w:rsidRPr="00E734E5" w:rsidRDefault="00FB7D0B">
            <w:pPr>
              <w:jc w:val="right"/>
              <w:rPr>
                <w:rFonts w:ascii="Arial" w:eastAsia="Arial" w:hAnsi="Arial" w:cs="Arial"/>
                <w:b/>
                <w:color w:val="000000"/>
                <w:sz w:val="16"/>
              </w:rPr>
            </w:pPr>
            <w:r w:rsidRPr="00E734E5">
              <w:rPr>
                <w:rFonts w:ascii="Arial" w:eastAsia="Arial" w:hAnsi="Arial" w:cs="Arial"/>
                <w:b/>
                <w:color w:val="000000"/>
                <w:sz w:val="16"/>
              </w:rPr>
              <w:t>(2,585)</w:t>
            </w:r>
          </w:p>
        </w:tc>
        <w:tc>
          <w:tcPr>
            <w:tcW w:w="1005"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6A0D6CE7" w14:textId="77777777" w:rsidR="003F0EEA" w:rsidRPr="00E734E5" w:rsidRDefault="00FB7D0B">
            <w:pPr>
              <w:jc w:val="right"/>
              <w:rPr>
                <w:rFonts w:ascii="Arial" w:eastAsia="Arial" w:hAnsi="Arial" w:cs="Arial"/>
                <w:b/>
                <w:color w:val="000000"/>
                <w:sz w:val="16"/>
              </w:rPr>
            </w:pPr>
            <w:r w:rsidRPr="00E734E5">
              <w:rPr>
                <w:rFonts w:ascii="Arial" w:eastAsia="Arial" w:hAnsi="Arial" w:cs="Arial"/>
                <w:b/>
                <w:color w:val="000000"/>
                <w:sz w:val="16"/>
              </w:rPr>
              <w:t>(3,593)</w:t>
            </w:r>
          </w:p>
        </w:tc>
        <w:tc>
          <w:tcPr>
            <w:tcW w:w="1005" w:type="dxa"/>
            <w:tcBorders>
              <w:top w:val="nil"/>
              <w:left w:val="nil"/>
              <w:bottom w:val="single" w:sz="6" w:space="0" w:color="000000"/>
              <w:right w:val="nil"/>
              <w:tl2br w:val="nil"/>
              <w:tr2bl w:val="nil"/>
            </w:tcBorders>
            <w:shd w:val="clear" w:color="auto" w:fill="FFFF00"/>
            <w:tcMar>
              <w:left w:w="115" w:type="dxa"/>
              <w:right w:w="115" w:type="dxa"/>
            </w:tcMar>
            <w:vAlign w:val="bottom"/>
          </w:tcPr>
          <w:p w14:paraId="2017D5A0" w14:textId="77777777" w:rsidR="003F0EEA" w:rsidRPr="00E734E5" w:rsidRDefault="00FB7D0B">
            <w:pPr>
              <w:jc w:val="right"/>
              <w:rPr>
                <w:rFonts w:ascii="Arial" w:eastAsia="Arial" w:hAnsi="Arial" w:cs="Arial"/>
                <w:b/>
                <w:color w:val="000000"/>
                <w:sz w:val="16"/>
              </w:rPr>
            </w:pPr>
            <w:r w:rsidRPr="00E734E5">
              <w:rPr>
                <w:rFonts w:ascii="Arial" w:eastAsia="Arial" w:hAnsi="Arial" w:cs="Arial"/>
                <w:b/>
                <w:color w:val="000000"/>
                <w:sz w:val="16"/>
              </w:rPr>
              <w:t>(3,108)</w:t>
            </w:r>
          </w:p>
        </w:tc>
      </w:tr>
      <w:tr w:rsidR="00724034" w14:paraId="25D6522F" w14:textId="77777777">
        <w:trPr>
          <w:trHeight w:val="225"/>
        </w:trPr>
        <w:tc>
          <w:tcPr>
            <w:tcW w:w="180" w:type="dxa"/>
            <w:tcBorders>
              <w:top w:val="nil"/>
              <w:left w:val="nil"/>
              <w:bottom w:val="nil"/>
              <w:right w:val="nil"/>
              <w:tl2br w:val="nil"/>
              <w:tr2bl w:val="nil"/>
            </w:tcBorders>
            <w:shd w:val="clear" w:color="auto" w:fill="FFFFFF"/>
            <w:tcMar>
              <w:left w:w="115" w:type="dxa"/>
              <w:right w:w="115" w:type="dxa"/>
            </w:tcMar>
            <w:vAlign w:val="bottom"/>
          </w:tcPr>
          <w:p w14:paraId="2437E0C7" w14:textId="77777777" w:rsidR="003F0EEA" w:rsidRPr="00E734E5" w:rsidRDefault="003F0EEA">
            <w:pPr>
              <w:rPr>
                <w:rFonts w:ascii="Arial" w:eastAsia="Arial" w:hAnsi="Arial" w:cs="Arial"/>
                <w:b/>
                <w:color w:val="000000"/>
                <w:sz w:val="16"/>
              </w:rPr>
            </w:pPr>
          </w:p>
        </w:tc>
        <w:tc>
          <w:tcPr>
            <w:tcW w:w="2280" w:type="dxa"/>
            <w:tcBorders>
              <w:top w:val="nil"/>
              <w:left w:val="nil"/>
              <w:bottom w:val="nil"/>
              <w:right w:val="nil"/>
              <w:tl2br w:val="nil"/>
              <w:tr2bl w:val="nil"/>
            </w:tcBorders>
            <w:shd w:val="clear" w:color="auto" w:fill="FFFFFF"/>
            <w:tcMar>
              <w:left w:w="115" w:type="dxa"/>
              <w:right w:w="115" w:type="dxa"/>
            </w:tcMar>
            <w:vAlign w:val="bottom"/>
          </w:tcPr>
          <w:p w14:paraId="0EB6EA0B" w14:textId="77777777" w:rsidR="003F0EEA" w:rsidRPr="00E734E5" w:rsidRDefault="003F0EEA">
            <w:pPr>
              <w:rPr>
                <w:rFonts w:ascii="Arial" w:eastAsia="Arial" w:hAnsi="Arial" w:cs="Arial"/>
                <w:b/>
                <w:color w:val="000000"/>
                <w:sz w:val="16"/>
              </w:rPr>
            </w:pPr>
          </w:p>
        </w:tc>
        <w:tc>
          <w:tcPr>
            <w:tcW w:w="915" w:type="dxa"/>
            <w:tcBorders>
              <w:top w:val="nil"/>
              <w:left w:val="nil"/>
              <w:bottom w:val="nil"/>
              <w:right w:val="nil"/>
              <w:tl2br w:val="nil"/>
              <w:tr2bl w:val="nil"/>
            </w:tcBorders>
            <w:shd w:val="clear" w:color="auto" w:fill="FFFFFF"/>
            <w:tcMar>
              <w:left w:w="115" w:type="dxa"/>
              <w:right w:w="115" w:type="dxa"/>
            </w:tcMar>
            <w:vAlign w:val="bottom"/>
          </w:tcPr>
          <w:p w14:paraId="1A3D60DF" w14:textId="77777777" w:rsidR="003F0EEA" w:rsidRPr="00E734E5" w:rsidRDefault="003F0EEA">
            <w:pPr>
              <w:jc w:val="center"/>
              <w:rPr>
                <w:rFonts w:ascii="Arial" w:eastAsia="Arial" w:hAnsi="Arial" w:cs="Arial"/>
                <w:b/>
                <w:color w:val="000000"/>
                <w:sz w:val="16"/>
                <w:vertAlign w:val="superscript"/>
              </w:rPr>
            </w:pPr>
          </w:p>
        </w:tc>
        <w:tc>
          <w:tcPr>
            <w:tcW w:w="1005" w:type="dxa"/>
            <w:tcBorders>
              <w:top w:val="single" w:sz="6" w:space="0" w:color="000000"/>
              <w:left w:val="nil"/>
              <w:bottom w:val="nil"/>
              <w:right w:val="nil"/>
              <w:tl2br w:val="nil"/>
              <w:tr2bl w:val="nil"/>
            </w:tcBorders>
            <w:shd w:val="clear" w:color="auto" w:fill="FFFF00"/>
            <w:tcMar>
              <w:left w:w="115" w:type="dxa"/>
              <w:right w:w="115" w:type="dxa"/>
            </w:tcMar>
            <w:vAlign w:val="bottom"/>
          </w:tcPr>
          <w:p w14:paraId="3FB9F951" w14:textId="77777777" w:rsidR="003F0EEA" w:rsidRPr="00E734E5" w:rsidRDefault="003F0EEA">
            <w:pPr>
              <w:jc w:val="right"/>
              <w:rPr>
                <w:rFonts w:ascii="Arial" w:eastAsia="Arial" w:hAnsi="Arial" w:cs="Arial"/>
                <w:color w:val="000000"/>
                <w:sz w:val="16"/>
                <w:vertAlign w:val="superscript"/>
              </w:rPr>
            </w:pPr>
          </w:p>
        </w:tc>
        <w:tc>
          <w:tcPr>
            <w:tcW w:w="1005"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5C9E7C01" w14:textId="77777777" w:rsidR="003F0EEA" w:rsidRPr="00E734E5" w:rsidRDefault="003F0EEA">
            <w:pPr>
              <w:jc w:val="right"/>
              <w:rPr>
                <w:rFonts w:ascii="Arial" w:eastAsia="Arial" w:hAnsi="Arial" w:cs="Arial"/>
                <w:b/>
                <w:color w:val="000000"/>
                <w:sz w:val="16"/>
                <w:vertAlign w:val="superscript"/>
              </w:rPr>
            </w:pPr>
          </w:p>
        </w:tc>
        <w:tc>
          <w:tcPr>
            <w:tcW w:w="1005" w:type="dxa"/>
            <w:tcBorders>
              <w:top w:val="single" w:sz="6" w:space="0" w:color="000000"/>
              <w:left w:val="nil"/>
              <w:bottom w:val="nil"/>
              <w:right w:val="nil"/>
              <w:tl2br w:val="nil"/>
              <w:tr2bl w:val="nil"/>
            </w:tcBorders>
            <w:shd w:val="clear" w:color="auto" w:fill="FFFF00"/>
            <w:tcMar>
              <w:left w:w="115" w:type="dxa"/>
              <w:right w:w="115" w:type="dxa"/>
            </w:tcMar>
            <w:vAlign w:val="bottom"/>
          </w:tcPr>
          <w:p w14:paraId="47081B90" w14:textId="77777777" w:rsidR="003F0EEA" w:rsidRPr="00E734E5" w:rsidRDefault="003F0EEA">
            <w:pPr>
              <w:jc w:val="right"/>
              <w:rPr>
                <w:rFonts w:ascii="Arial" w:eastAsia="Arial" w:hAnsi="Arial" w:cs="Arial"/>
                <w:b/>
                <w:color w:val="000000"/>
                <w:sz w:val="16"/>
                <w:vertAlign w:val="superscript"/>
              </w:rPr>
            </w:pPr>
          </w:p>
        </w:tc>
        <w:tc>
          <w:tcPr>
            <w:tcW w:w="1005"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1D163E0E" w14:textId="77777777" w:rsidR="003F0EEA" w:rsidRPr="00E734E5" w:rsidRDefault="003F0EEA">
            <w:pPr>
              <w:jc w:val="right"/>
              <w:rPr>
                <w:rFonts w:ascii="Arial" w:eastAsia="Arial" w:hAnsi="Arial" w:cs="Arial"/>
                <w:b/>
                <w:color w:val="000000"/>
                <w:sz w:val="16"/>
                <w:vertAlign w:val="superscript"/>
              </w:rPr>
            </w:pPr>
          </w:p>
        </w:tc>
        <w:tc>
          <w:tcPr>
            <w:tcW w:w="1005" w:type="dxa"/>
            <w:tcBorders>
              <w:top w:val="single" w:sz="6" w:space="0" w:color="000000"/>
              <w:left w:val="nil"/>
              <w:bottom w:val="nil"/>
              <w:right w:val="nil"/>
              <w:tl2br w:val="nil"/>
              <w:tr2bl w:val="nil"/>
            </w:tcBorders>
            <w:shd w:val="clear" w:color="auto" w:fill="FFFF00"/>
            <w:tcMar>
              <w:left w:w="115" w:type="dxa"/>
              <w:right w:w="115" w:type="dxa"/>
            </w:tcMar>
            <w:vAlign w:val="bottom"/>
          </w:tcPr>
          <w:p w14:paraId="79575149" w14:textId="77777777" w:rsidR="003F0EEA" w:rsidRPr="00E734E5" w:rsidRDefault="003F0EEA">
            <w:pPr>
              <w:jc w:val="right"/>
              <w:rPr>
                <w:rFonts w:ascii="Arial" w:eastAsia="Arial" w:hAnsi="Arial" w:cs="Arial"/>
                <w:b/>
                <w:color w:val="000000"/>
                <w:sz w:val="16"/>
                <w:vertAlign w:val="superscript"/>
              </w:rPr>
            </w:pPr>
          </w:p>
        </w:tc>
      </w:tr>
      <w:tr w:rsidR="00FB7D0B" w14:paraId="2CF54BF3" w14:textId="77777777" w:rsidTr="00FB7D0B">
        <w:trPr>
          <w:trHeight w:val="645"/>
        </w:trPr>
        <w:tc>
          <w:tcPr>
            <w:tcW w:w="2460" w:type="dxa"/>
            <w:gridSpan w:val="2"/>
            <w:tcBorders>
              <w:top w:val="nil"/>
              <w:left w:val="nil"/>
              <w:bottom w:val="nil"/>
              <w:right w:val="nil"/>
              <w:tl2br w:val="nil"/>
              <w:tr2bl w:val="nil"/>
            </w:tcBorders>
            <w:shd w:val="clear" w:color="auto" w:fill="FFFFFF"/>
            <w:tcMar>
              <w:left w:w="115" w:type="dxa"/>
              <w:right w:w="115" w:type="dxa"/>
            </w:tcMar>
            <w:vAlign w:val="bottom"/>
          </w:tcPr>
          <w:p w14:paraId="2A1BA7DF" w14:textId="77777777" w:rsidR="003F0EEA" w:rsidRPr="00E734E5" w:rsidRDefault="00FB7D0B">
            <w:pPr>
              <w:rPr>
                <w:rFonts w:ascii="Arial" w:eastAsia="Arial" w:hAnsi="Arial" w:cs="Arial"/>
                <w:b/>
                <w:color w:val="000000"/>
                <w:sz w:val="16"/>
                <w:vertAlign w:val="superscript"/>
              </w:rPr>
            </w:pPr>
            <w:r w:rsidRPr="00E734E5">
              <w:rPr>
                <w:rFonts w:ascii="Arial" w:eastAsia="Arial" w:hAnsi="Arial" w:cs="Arial"/>
                <w:color w:val="000000"/>
                <w:sz w:val="16"/>
              </w:rPr>
              <w:t>Cessation of the Seniors Supplement - Commonwealth Seniors Health Card holders</w:t>
            </w:r>
            <w:r w:rsidRPr="00E734E5">
              <w:rPr>
                <w:rFonts w:ascii="Arial" w:eastAsia="Arial" w:hAnsi="Arial" w:cs="Arial"/>
                <w:color w:val="000000"/>
                <w:sz w:val="16"/>
                <w:vertAlign w:val="superscript"/>
              </w:rPr>
              <w:t>1 </w:t>
            </w:r>
          </w:p>
        </w:tc>
        <w:tc>
          <w:tcPr>
            <w:tcW w:w="915" w:type="dxa"/>
            <w:tcBorders>
              <w:top w:val="nil"/>
              <w:left w:val="nil"/>
              <w:bottom w:val="nil"/>
              <w:right w:val="nil"/>
              <w:tl2br w:val="nil"/>
              <w:tr2bl w:val="nil"/>
            </w:tcBorders>
            <w:shd w:val="clear" w:color="auto" w:fill="FFFFFF"/>
            <w:tcMar>
              <w:left w:w="115" w:type="dxa"/>
              <w:right w:w="115" w:type="dxa"/>
            </w:tcMar>
            <w:vAlign w:val="bottom"/>
          </w:tcPr>
          <w:p w14:paraId="0203E4D7" w14:textId="77777777" w:rsidR="003F0EEA" w:rsidRPr="00E734E5" w:rsidRDefault="00FB7D0B">
            <w:pPr>
              <w:jc w:val="center"/>
              <w:rPr>
                <w:rFonts w:ascii="Arial" w:eastAsia="Arial" w:hAnsi="Arial" w:cs="Arial"/>
                <w:color w:val="000000"/>
                <w:sz w:val="16"/>
                <w:vertAlign w:val="superscript"/>
              </w:rPr>
            </w:pPr>
            <w:r w:rsidRPr="00E734E5">
              <w:rPr>
                <w:rFonts w:ascii="Arial" w:eastAsia="Arial" w:hAnsi="Arial" w:cs="Arial"/>
                <w:color w:val="000000"/>
                <w:sz w:val="16"/>
              </w:rPr>
              <w:t>1.1 </w:t>
            </w:r>
          </w:p>
        </w:tc>
        <w:tc>
          <w:tcPr>
            <w:tcW w:w="1005" w:type="dxa"/>
            <w:tcBorders>
              <w:top w:val="nil"/>
              <w:left w:val="nil"/>
              <w:bottom w:val="nil"/>
              <w:right w:val="nil"/>
              <w:tl2br w:val="nil"/>
              <w:tr2bl w:val="nil"/>
            </w:tcBorders>
            <w:shd w:val="clear" w:color="auto" w:fill="FFFF00"/>
            <w:tcMar>
              <w:left w:w="115" w:type="dxa"/>
              <w:right w:w="115" w:type="dxa"/>
            </w:tcMar>
            <w:vAlign w:val="bottom"/>
          </w:tcPr>
          <w:p w14:paraId="6A6EC2E0" w14:textId="77777777" w:rsidR="003F0EEA" w:rsidRPr="00E734E5" w:rsidRDefault="003F0EEA">
            <w:pPr>
              <w:jc w:val="right"/>
              <w:rPr>
                <w:rFonts w:ascii="Arial" w:eastAsia="Arial" w:hAnsi="Arial" w:cs="Arial"/>
                <w:color w:val="000000"/>
                <w:sz w:val="16"/>
              </w:rPr>
            </w:pPr>
          </w:p>
        </w:tc>
        <w:tc>
          <w:tcPr>
            <w:tcW w:w="1005" w:type="dxa"/>
            <w:tcBorders>
              <w:top w:val="nil"/>
              <w:left w:val="nil"/>
              <w:bottom w:val="nil"/>
              <w:right w:val="nil"/>
              <w:tl2br w:val="nil"/>
              <w:tr2bl w:val="nil"/>
            </w:tcBorders>
            <w:shd w:val="clear" w:color="auto" w:fill="FFFFFF"/>
            <w:tcMar>
              <w:left w:w="115" w:type="dxa"/>
              <w:right w:w="115" w:type="dxa"/>
            </w:tcMar>
            <w:vAlign w:val="bottom"/>
          </w:tcPr>
          <w:p w14:paraId="3637031D" w14:textId="77777777" w:rsidR="003F0EEA" w:rsidRPr="00E734E5" w:rsidRDefault="003F0EEA">
            <w:pPr>
              <w:jc w:val="right"/>
              <w:rPr>
                <w:rFonts w:ascii="Arial" w:eastAsia="Arial" w:hAnsi="Arial" w:cs="Arial"/>
                <w:color w:val="000000"/>
                <w:sz w:val="16"/>
              </w:rPr>
            </w:pPr>
          </w:p>
        </w:tc>
        <w:tc>
          <w:tcPr>
            <w:tcW w:w="1005" w:type="dxa"/>
            <w:tcBorders>
              <w:top w:val="nil"/>
              <w:left w:val="nil"/>
              <w:bottom w:val="nil"/>
              <w:right w:val="nil"/>
              <w:tl2br w:val="nil"/>
              <w:tr2bl w:val="nil"/>
            </w:tcBorders>
            <w:shd w:val="clear" w:color="auto" w:fill="FFFF00"/>
            <w:tcMar>
              <w:left w:w="115" w:type="dxa"/>
              <w:right w:w="115" w:type="dxa"/>
            </w:tcMar>
            <w:vAlign w:val="bottom"/>
          </w:tcPr>
          <w:p w14:paraId="777F440D" w14:textId="77777777" w:rsidR="003F0EEA" w:rsidRPr="00E734E5" w:rsidRDefault="003F0EEA">
            <w:pPr>
              <w:jc w:val="right"/>
              <w:rPr>
                <w:rFonts w:ascii="Arial" w:eastAsia="Arial" w:hAnsi="Arial" w:cs="Arial"/>
                <w:color w:val="000000"/>
                <w:sz w:val="16"/>
              </w:rPr>
            </w:pPr>
          </w:p>
        </w:tc>
        <w:tc>
          <w:tcPr>
            <w:tcW w:w="1005" w:type="dxa"/>
            <w:tcBorders>
              <w:top w:val="nil"/>
              <w:left w:val="nil"/>
              <w:bottom w:val="nil"/>
              <w:right w:val="nil"/>
              <w:tl2br w:val="nil"/>
              <w:tr2bl w:val="nil"/>
            </w:tcBorders>
            <w:shd w:val="clear" w:color="auto" w:fill="FFFFFF"/>
            <w:tcMar>
              <w:left w:w="115" w:type="dxa"/>
              <w:right w:w="115" w:type="dxa"/>
            </w:tcMar>
            <w:vAlign w:val="bottom"/>
          </w:tcPr>
          <w:p w14:paraId="6862A2BA" w14:textId="77777777" w:rsidR="003F0EEA" w:rsidRPr="00E734E5" w:rsidRDefault="003F0EEA">
            <w:pPr>
              <w:jc w:val="right"/>
              <w:rPr>
                <w:rFonts w:ascii="Arial" w:eastAsia="Arial" w:hAnsi="Arial" w:cs="Arial"/>
                <w:color w:val="000000"/>
                <w:sz w:val="16"/>
              </w:rPr>
            </w:pPr>
          </w:p>
        </w:tc>
        <w:tc>
          <w:tcPr>
            <w:tcW w:w="1005" w:type="dxa"/>
            <w:tcBorders>
              <w:top w:val="nil"/>
              <w:left w:val="nil"/>
              <w:bottom w:val="nil"/>
              <w:right w:val="nil"/>
              <w:tl2br w:val="nil"/>
              <w:tr2bl w:val="nil"/>
            </w:tcBorders>
            <w:shd w:val="clear" w:color="auto" w:fill="FFFF00"/>
            <w:tcMar>
              <w:left w:w="115" w:type="dxa"/>
              <w:right w:w="115" w:type="dxa"/>
            </w:tcMar>
            <w:vAlign w:val="bottom"/>
          </w:tcPr>
          <w:p w14:paraId="2B09AB17" w14:textId="77777777" w:rsidR="003F0EEA" w:rsidRPr="00E734E5" w:rsidRDefault="003F0EEA">
            <w:pPr>
              <w:jc w:val="right"/>
              <w:rPr>
                <w:rFonts w:ascii="Arial" w:eastAsia="Arial" w:hAnsi="Arial" w:cs="Arial"/>
                <w:color w:val="000000"/>
                <w:sz w:val="16"/>
              </w:rPr>
            </w:pPr>
          </w:p>
        </w:tc>
      </w:tr>
      <w:tr w:rsidR="00724034" w14:paraId="1683B10D" w14:textId="77777777">
        <w:trPr>
          <w:trHeight w:val="225"/>
        </w:trPr>
        <w:tc>
          <w:tcPr>
            <w:tcW w:w="180" w:type="dxa"/>
            <w:tcBorders>
              <w:top w:val="nil"/>
              <w:left w:val="nil"/>
              <w:bottom w:val="nil"/>
              <w:right w:val="nil"/>
              <w:tl2br w:val="nil"/>
              <w:tr2bl w:val="nil"/>
            </w:tcBorders>
            <w:shd w:val="clear" w:color="auto" w:fill="FFFFFF"/>
            <w:tcMar>
              <w:left w:w="115" w:type="dxa"/>
              <w:right w:w="115" w:type="dxa"/>
            </w:tcMar>
            <w:vAlign w:val="bottom"/>
          </w:tcPr>
          <w:p w14:paraId="596F84C3" w14:textId="77777777" w:rsidR="003F0EEA" w:rsidRPr="00E734E5" w:rsidRDefault="003F0EEA">
            <w:pPr>
              <w:rPr>
                <w:rFonts w:ascii="Arial" w:eastAsia="Arial" w:hAnsi="Arial" w:cs="Arial"/>
                <w:color w:val="000000"/>
                <w:sz w:val="16"/>
              </w:rPr>
            </w:pPr>
          </w:p>
        </w:tc>
        <w:tc>
          <w:tcPr>
            <w:tcW w:w="2280" w:type="dxa"/>
            <w:tcBorders>
              <w:top w:val="nil"/>
              <w:left w:val="nil"/>
              <w:bottom w:val="nil"/>
              <w:right w:val="nil"/>
              <w:tl2br w:val="nil"/>
              <w:tr2bl w:val="nil"/>
            </w:tcBorders>
            <w:shd w:val="clear" w:color="auto" w:fill="FFFFFF"/>
            <w:tcMar>
              <w:left w:w="115" w:type="dxa"/>
              <w:right w:w="115" w:type="dxa"/>
            </w:tcMar>
            <w:vAlign w:val="bottom"/>
          </w:tcPr>
          <w:p w14:paraId="264524BA" w14:textId="77777777" w:rsidR="003F0EEA" w:rsidRPr="00E734E5" w:rsidRDefault="00FB7D0B">
            <w:pPr>
              <w:rPr>
                <w:rFonts w:ascii="Arial" w:eastAsia="Arial" w:hAnsi="Arial" w:cs="Arial"/>
                <w:color w:val="000000"/>
                <w:sz w:val="16"/>
              </w:rPr>
            </w:pPr>
            <w:r w:rsidRPr="00E734E5">
              <w:rPr>
                <w:rFonts w:ascii="Arial" w:eastAsia="Arial" w:hAnsi="Arial" w:cs="Arial"/>
                <w:color w:val="000000"/>
                <w:sz w:val="16"/>
              </w:rPr>
              <w:t>Administered expenses</w:t>
            </w:r>
          </w:p>
        </w:tc>
        <w:tc>
          <w:tcPr>
            <w:tcW w:w="915" w:type="dxa"/>
            <w:tcBorders>
              <w:top w:val="nil"/>
              <w:left w:val="nil"/>
              <w:bottom w:val="nil"/>
              <w:right w:val="nil"/>
              <w:tl2br w:val="nil"/>
              <w:tr2bl w:val="nil"/>
            </w:tcBorders>
            <w:shd w:val="clear" w:color="auto" w:fill="FFFFFF"/>
            <w:tcMar>
              <w:left w:w="115" w:type="dxa"/>
              <w:right w:w="115" w:type="dxa"/>
            </w:tcMar>
            <w:vAlign w:val="bottom"/>
          </w:tcPr>
          <w:p w14:paraId="459EBF06" w14:textId="77777777" w:rsidR="003F0EEA" w:rsidRPr="00E734E5" w:rsidRDefault="003F0EEA">
            <w:pPr>
              <w:jc w:val="center"/>
              <w:rPr>
                <w:rFonts w:ascii="Arial" w:eastAsia="Arial" w:hAnsi="Arial" w:cs="Arial"/>
                <w:color w:val="000000"/>
                <w:sz w:val="16"/>
                <w:vertAlign w:val="superscript"/>
              </w:rPr>
            </w:pPr>
          </w:p>
        </w:tc>
        <w:tc>
          <w:tcPr>
            <w:tcW w:w="1005" w:type="dxa"/>
            <w:tcBorders>
              <w:top w:val="nil"/>
              <w:left w:val="nil"/>
              <w:bottom w:val="nil"/>
              <w:right w:val="nil"/>
              <w:tl2br w:val="nil"/>
              <w:tr2bl w:val="nil"/>
            </w:tcBorders>
            <w:shd w:val="clear" w:color="auto" w:fill="FFFF00"/>
            <w:tcMar>
              <w:left w:w="115" w:type="dxa"/>
              <w:right w:w="115" w:type="dxa"/>
            </w:tcMar>
            <w:vAlign w:val="bottom"/>
          </w:tcPr>
          <w:p w14:paraId="76131FA5" w14:textId="77777777" w:rsidR="003F0EEA" w:rsidRPr="00E734E5" w:rsidRDefault="00FB7D0B">
            <w:pPr>
              <w:jc w:val="right"/>
              <w:rPr>
                <w:rFonts w:ascii="Arial" w:eastAsia="Arial" w:hAnsi="Arial" w:cs="Arial"/>
                <w:color w:val="000000"/>
                <w:sz w:val="16"/>
                <w:vertAlign w:val="superscript"/>
              </w:rPr>
            </w:pPr>
            <w:r w:rsidRPr="00E734E5">
              <w:rPr>
                <w:rFonts w:ascii="Arial" w:eastAsia="Arial" w:hAnsi="Arial" w:cs="Arial"/>
                <w:color w:val="000000"/>
                <w:sz w:val="16"/>
              </w:rPr>
              <w:t xml:space="preserve"> - </w:t>
            </w:r>
          </w:p>
        </w:tc>
        <w:tc>
          <w:tcPr>
            <w:tcW w:w="1005" w:type="dxa"/>
            <w:tcBorders>
              <w:top w:val="nil"/>
              <w:left w:val="nil"/>
              <w:bottom w:val="nil"/>
              <w:right w:val="nil"/>
              <w:tl2br w:val="nil"/>
              <w:tr2bl w:val="nil"/>
            </w:tcBorders>
            <w:shd w:val="clear" w:color="auto" w:fill="FFFFFF"/>
            <w:tcMar>
              <w:left w:w="115" w:type="dxa"/>
              <w:right w:w="115" w:type="dxa"/>
            </w:tcMar>
            <w:vAlign w:val="bottom"/>
          </w:tcPr>
          <w:p w14:paraId="56B1EE4F" w14:textId="77777777" w:rsidR="003F0EEA" w:rsidRPr="00E734E5" w:rsidRDefault="00FB7D0B">
            <w:pPr>
              <w:jc w:val="right"/>
              <w:rPr>
                <w:rFonts w:ascii="Arial" w:eastAsia="Arial" w:hAnsi="Arial" w:cs="Arial"/>
                <w:color w:val="000000"/>
                <w:sz w:val="16"/>
              </w:rPr>
            </w:pPr>
            <w:r w:rsidRPr="00E734E5">
              <w:rPr>
                <w:rFonts w:ascii="Arial" w:eastAsia="Arial" w:hAnsi="Arial" w:cs="Arial"/>
                <w:color w:val="000000"/>
                <w:sz w:val="16"/>
              </w:rPr>
              <w:t>(25,052)</w:t>
            </w:r>
          </w:p>
        </w:tc>
        <w:tc>
          <w:tcPr>
            <w:tcW w:w="1005" w:type="dxa"/>
            <w:tcBorders>
              <w:top w:val="nil"/>
              <w:left w:val="nil"/>
              <w:bottom w:val="nil"/>
              <w:right w:val="nil"/>
              <w:tl2br w:val="nil"/>
              <w:tr2bl w:val="nil"/>
            </w:tcBorders>
            <w:shd w:val="clear" w:color="auto" w:fill="FFFF00"/>
            <w:tcMar>
              <w:left w:w="115" w:type="dxa"/>
              <w:right w:w="115" w:type="dxa"/>
            </w:tcMar>
            <w:vAlign w:val="bottom"/>
          </w:tcPr>
          <w:p w14:paraId="03101FCC" w14:textId="77777777" w:rsidR="003F0EEA" w:rsidRPr="00E734E5" w:rsidRDefault="00FB7D0B">
            <w:pPr>
              <w:jc w:val="right"/>
              <w:rPr>
                <w:rFonts w:ascii="Arial" w:eastAsia="Arial" w:hAnsi="Arial" w:cs="Arial"/>
                <w:color w:val="000000"/>
                <w:sz w:val="16"/>
              </w:rPr>
            </w:pPr>
            <w:r w:rsidRPr="00E734E5">
              <w:rPr>
                <w:rFonts w:ascii="Arial" w:eastAsia="Arial" w:hAnsi="Arial" w:cs="Arial"/>
                <w:color w:val="000000"/>
                <w:sz w:val="16"/>
              </w:rPr>
              <w:t>(23,903)</w:t>
            </w:r>
          </w:p>
        </w:tc>
        <w:tc>
          <w:tcPr>
            <w:tcW w:w="1005" w:type="dxa"/>
            <w:tcBorders>
              <w:top w:val="nil"/>
              <w:left w:val="nil"/>
              <w:bottom w:val="nil"/>
              <w:right w:val="nil"/>
              <w:tl2br w:val="nil"/>
              <w:tr2bl w:val="nil"/>
            </w:tcBorders>
            <w:shd w:val="clear" w:color="auto" w:fill="FFFFFF"/>
            <w:tcMar>
              <w:left w:w="115" w:type="dxa"/>
              <w:right w:w="115" w:type="dxa"/>
            </w:tcMar>
            <w:vAlign w:val="bottom"/>
          </w:tcPr>
          <w:p w14:paraId="1CA09972" w14:textId="77777777" w:rsidR="003F0EEA" w:rsidRPr="00E734E5" w:rsidRDefault="00FB7D0B">
            <w:pPr>
              <w:jc w:val="right"/>
              <w:rPr>
                <w:rFonts w:ascii="Arial" w:eastAsia="Arial" w:hAnsi="Arial" w:cs="Arial"/>
                <w:color w:val="000000"/>
                <w:sz w:val="16"/>
              </w:rPr>
            </w:pPr>
            <w:r w:rsidRPr="00E734E5">
              <w:rPr>
                <w:rFonts w:ascii="Arial" w:eastAsia="Arial" w:hAnsi="Arial" w:cs="Arial"/>
                <w:color w:val="000000"/>
                <w:sz w:val="16"/>
              </w:rPr>
              <w:t>(22,879)</w:t>
            </w:r>
          </w:p>
        </w:tc>
        <w:tc>
          <w:tcPr>
            <w:tcW w:w="1005" w:type="dxa"/>
            <w:tcBorders>
              <w:top w:val="nil"/>
              <w:left w:val="nil"/>
              <w:bottom w:val="nil"/>
              <w:right w:val="nil"/>
              <w:tl2br w:val="nil"/>
              <w:tr2bl w:val="nil"/>
            </w:tcBorders>
            <w:shd w:val="clear" w:color="auto" w:fill="FFFF00"/>
            <w:tcMar>
              <w:left w:w="115" w:type="dxa"/>
              <w:right w:w="115" w:type="dxa"/>
            </w:tcMar>
            <w:vAlign w:val="bottom"/>
          </w:tcPr>
          <w:p w14:paraId="582B7711" w14:textId="77777777" w:rsidR="003F0EEA" w:rsidRPr="00E734E5" w:rsidRDefault="00FB7D0B">
            <w:pPr>
              <w:jc w:val="right"/>
              <w:rPr>
                <w:rFonts w:ascii="Arial" w:eastAsia="Arial" w:hAnsi="Arial" w:cs="Arial"/>
                <w:color w:val="000000"/>
                <w:sz w:val="16"/>
              </w:rPr>
            </w:pPr>
            <w:r w:rsidRPr="00E734E5">
              <w:rPr>
                <w:rFonts w:ascii="Arial" w:eastAsia="Arial" w:hAnsi="Arial" w:cs="Arial"/>
                <w:color w:val="000000"/>
                <w:sz w:val="16"/>
              </w:rPr>
              <w:t>(21,797)</w:t>
            </w:r>
          </w:p>
        </w:tc>
      </w:tr>
      <w:tr w:rsidR="00724034" w14:paraId="5FE7415D" w14:textId="77777777">
        <w:trPr>
          <w:trHeight w:val="225"/>
        </w:trPr>
        <w:tc>
          <w:tcPr>
            <w:tcW w:w="180" w:type="dxa"/>
            <w:tcBorders>
              <w:top w:val="nil"/>
              <w:left w:val="nil"/>
              <w:bottom w:val="nil"/>
              <w:right w:val="nil"/>
              <w:tl2br w:val="nil"/>
              <w:tr2bl w:val="nil"/>
            </w:tcBorders>
            <w:shd w:val="clear" w:color="auto" w:fill="FFFFFF"/>
            <w:tcMar>
              <w:left w:w="115" w:type="dxa"/>
              <w:right w:w="115" w:type="dxa"/>
            </w:tcMar>
            <w:vAlign w:val="bottom"/>
          </w:tcPr>
          <w:p w14:paraId="552C0C73" w14:textId="77777777" w:rsidR="003F0EEA" w:rsidRPr="00E734E5" w:rsidRDefault="003F0EEA">
            <w:pPr>
              <w:rPr>
                <w:rFonts w:ascii="Arial" w:eastAsia="Arial" w:hAnsi="Arial" w:cs="Arial"/>
                <w:color w:val="000000"/>
                <w:sz w:val="16"/>
              </w:rPr>
            </w:pPr>
          </w:p>
        </w:tc>
        <w:tc>
          <w:tcPr>
            <w:tcW w:w="2280" w:type="dxa"/>
            <w:tcBorders>
              <w:top w:val="nil"/>
              <w:left w:val="nil"/>
              <w:bottom w:val="nil"/>
              <w:right w:val="nil"/>
              <w:tl2br w:val="nil"/>
              <w:tr2bl w:val="nil"/>
            </w:tcBorders>
            <w:shd w:val="clear" w:color="auto" w:fill="FFFFFF"/>
            <w:tcMar>
              <w:left w:w="115" w:type="dxa"/>
              <w:right w:w="115" w:type="dxa"/>
            </w:tcMar>
            <w:vAlign w:val="bottom"/>
          </w:tcPr>
          <w:p w14:paraId="15E6719F" w14:textId="77777777" w:rsidR="003F0EEA" w:rsidRPr="00E734E5" w:rsidRDefault="00FB7D0B">
            <w:pPr>
              <w:rPr>
                <w:rFonts w:ascii="Arial" w:eastAsia="Arial" w:hAnsi="Arial" w:cs="Arial"/>
                <w:color w:val="000000"/>
                <w:sz w:val="16"/>
              </w:rPr>
            </w:pPr>
            <w:r w:rsidRPr="00E734E5">
              <w:rPr>
                <w:rFonts w:ascii="Arial" w:eastAsia="Arial" w:hAnsi="Arial" w:cs="Arial"/>
                <w:color w:val="000000"/>
                <w:sz w:val="16"/>
              </w:rPr>
              <w:t>Departmental expenses</w:t>
            </w:r>
          </w:p>
        </w:tc>
        <w:tc>
          <w:tcPr>
            <w:tcW w:w="915" w:type="dxa"/>
            <w:tcBorders>
              <w:top w:val="nil"/>
              <w:left w:val="nil"/>
              <w:bottom w:val="nil"/>
              <w:right w:val="nil"/>
              <w:tl2br w:val="nil"/>
              <w:tr2bl w:val="nil"/>
            </w:tcBorders>
            <w:shd w:val="clear" w:color="auto" w:fill="FFFFFF"/>
            <w:tcMar>
              <w:left w:w="115" w:type="dxa"/>
              <w:right w:w="115" w:type="dxa"/>
            </w:tcMar>
            <w:vAlign w:val="bottom"/>
          </w:tcPr>
          <w:p w14:paraId="44A18C12" w14:textId="77777777" w:rsidR="003F0EEA" w:rsidRPr="00E734E5" w:rsidRDefault="003F0EEA">
            <w:pPr>
              <w:jc w:val="center"/>
              <w:rPr>
                <w:rFonts w:ascii="Arial" w:eastAsia="Arial" w:hAnsi="Arial" w:cs="Arial"/>
                <w:color w:val="000000"/>
                <w:sz w:val="16"/>
                <w:vertAlign w:val="superscript"/>
              </w:rPr>
            </w:pPr>
          </w:p>
        </w:tc>
        <w:tc>
          <w:tcPr>
            <w:tcW w:w="1005" w:type="dxa"/>
            <w:tcBorders>
              <w:top w:val="nil"/>
              <w:left w:val="nil"/>
              <w:bottom w:val="nil"/>
              <w:right w:val="nil"/>
              <w:tl2br w:val="nil"/>
              <w:tr2bl w:val="nil"/>
            </w:tcBorders>
            <w:shd w:val="clear" w:color="auto" w:fill="FFFF00"/>
            <w:tcMar>
              <w:left w:w="115" w:type="dxa"/>
              <w:right w:w="115" w:type="dxa"/>
            </w:tcMar>
            <w:vAlign w:val="bottom"/>
          </w:tcPr>
          <w:p w14:paraId="048767EF" w14:textId="77777777" w:rsidR="003F0EEA" w:rsidRPr="00E734E5" w:rsidRDefault="00FB7D0B">
            <w:pPr>
              <w:jc w:val="right"/>
              <w:rPr>
                <w:rFonts w:ascii="Arial" w:eastAsia="Arial" w:hAnsi="Arial" w:cs="Arial"/>
                <w:color w:val="000000"/>
                <w:sz w:val="16"/>
                <w:vertAlign w:val="superscript"/>
              </w:rPr>
            </w:pPr>
            <w:r w:rsidRPr="00E734E5">
              <w:rPr>
                <w:rFonts w:ascii="Arial" w:eastAsia="Arial" w:hAnsi="Arial" w:cs="Arial"/>
                <w:color w:val="000000"/>
                <w:sz w:val="16"/>
              </w:rPr>
              <w:t xml:space="preserve"> - </w:t>
            </w:r>
          </w:p>
        </w:tc>
        <w:tc>
          <w:tcPr>
            <w:tcW w:w="1005" w:type="dxa"/>
            <w:tcBorders>
              <w:top w:val="nil"/>
              <w:left w:val="nil"/>
              <w:bottom w:val="nil"/>
              <w:right w:val="nil"/>
              <w:tl2br w:val="nil"/>
              <w:tr2bl w:val="nil"/>
            </w:tcBorders>
            <w:shd w:val="clear" w:color="auto" w:fill="FFFFFF"/>
            <w:tcMar>
              <w:left w:w="115" w:type="dxa"/>
              <w:right w:w="115" w:type="dxa"/>
            </w:tcMar>
            <w:vAlign w:val="bottom"/>
          </w:tcPr>
          <w:p w14:paraId="59AAE3AF" w14:textId="77777777" w:rsidR="003F0EEA" w:rsidRPr="00E734E5" w:rsidRDefault="00FB7D0B">
            <w:pPr>
              <w:jc w:val="right"/>
              <w:rPr>
                <w:rFonts w:ascii="Arial" w:eastAsia="Arial" w:hAnsi="Arial" w:cs="Arial"/>
                <w:color w:val="000000"/>
                <w:sz w:val="16"/>
              </w:rPr>
            </w:pPr>
            <w:r w:rsidRPr="00E734E5">
              <w:rPr>
                <w:rFonts w:ascii="Arial" w:eastAsia="Arial" w:hAnsi="Arial" w:cs="Arial"/>
                <w:color w:val="000000"/>
                <w:sz w:val="16"/>
              </w:rPr>
              <w:t>117  </w:t>
            </w:r>
          </w:p>
        </w:tc>
        <w:tc>
          <w:tcPr>
            <w:tcW w:w="1005" w:type="dxa"/>
            <w:tcBorders>
              <w:top w:val="nil"/>
              <w:left w:val="nil"/>
              <w:bottom w:val="nil"/>
              <w:right w:val="nil"/>
              <w:tl2br w:val="nil"/>
              <w:tr2bl w:val="nil"/>
            </w:tcBorders>
            <w:shd w:val="clear" w:color="auto" w:fill="FFFF00"/>
            <w:tcMar>
              <w:left w:w="115" w:type="dxa"/>
              <w:right w:w="115" w:type="dxa"/>
            </w:tcMar>
            <w:vAlign w:val="bottom"/>
          </w:tcPr>
          <w:p w14:paraId="0BEDA2B2" w14:textId="77777777" w:rsidR="003F0EEA" w:rsidRPr="00E734E5" w:rsidRDefault="00FB7D0B">
            <w:pPr>
              <w:jc w:val="right"/>
              <w:rPr>
                <w:rFonts w:ascii="Arial" w:eastAsia="Arial" w:hAnsi="Arial" w:cs="Arial"/>
                <w:color w:val="000000"/>
                <w:sz w:val="16"/>
              </w:rPr>
            </w:pPr>
            <w:r w:rsidRPr="00E734E5">
              <w:rPr>
                <w:rFonts w:ascii="Arial" w:eastAsia="Arial" w:hAnsi="Arial" w:cs="Arial"/>
                <w:color w:val="000000"/>
                <w:sz w:val="16"/>
              </w:rPr>
              <w:t xml:space="preserve"> - </w:t>
            </w:r>
          </w:p>
        </w:tc>
        <w:tc>
          <w:tcPr>
            <w:tcW w:w="1005" w:type="dxa"/>
            <w:tcBorders>
              <w:top w:val="nil"/>
              <w:left w:val="nil"/>
              <w:bottom w:val="nil"/>
              <w:right w:val="nil"/>
              <w:tl2br w:val="nil"/>
              <w:tr2bl w:val="nil"/>
            </w:tcBorders>
            <w:shd w:val="clear" w:color="auto" w:fill="FFFFFF"/>
            <w:tcMar>
              <w:left w:w="115" w:type="dxa"/>
              <w:right w:w="115" w:type="dxa"/>
            </w:tcMar>
            <w:vAlign w:val="bottom"/>
          </w:tcPr>
          <w:p w14:paraId="36872C47" w14:textId="77777777" w:rsidR="003F0EEA" w:rsidRPr="00E734E5" w:rsidRDefault="00FB7D0B">
            <w:pPr>
              <w:jc w:val="right"/>
              <w:rPr>
                <w:rFonts w:ascii="Arial" w:eastAsia="Arial" w:hAnsi="Arial" w:cs="Arial"/>
                <w:color w:val="000000"/>
                <w:sz w:val="16"/>
              </w:rPr>
            </w:pPr>
            <w:r w:rsidRPr="00E734E5">
              <w:rPr>
                <w:rFonts w:ascii="Arial" w:eastAsia="Arial" w:hAnsi="Arial" w:cs="Arial"/>
                <w:color w:val="000000"/>
                <w:sz w:val="16"/>
              </w:rPr>
              <w:t xml:space="preserve"> - </w:t>
            </w:r>
          </w:p>
        </w:tc>
        <w:tc>
          <w:tcPr>
            <w:tcW w:w="1005" w:type="dxa"/>
            <w:tcBorders>
              <w:top w:val="nil"/>
              <w:left w:val="nil"/>
              <w:bottom w:val="nil"/>
              <w:right w:val="nil"/>
              <w:tl2br w:val="nil"/>
              <w:tr2bl w:val="nil"/>
            </w:tcBorders>
            <w:shd w:val="clear" w:color="auto" w:fill="FFFF00"/>
            <w:tcMar>
              <w:left w:w="115" w:type="dxa"/>
              <w:right w:w="115" w:type="dxa"/>
            </w:tcMar>
            <w:vAlign w:val="bottom"/>
          </w:tcPr>
          <w:p w14:paraId="7ABA80AC" w14:textId="77777777" w:rsidR="003F0EEA" w:rsidRPr="00E734E5" w:rsidRDefault="00FB7D0B">
            <w:pPr>
              <w:jc w:val="right"/>
              <w:rPr>
                <w:rFonts w:ascii="Arial" w:eastAsia="Arial" w:hAnsi="Arial" w:cs="Arial"/>
                <w:color w:val="000000"/>
                <w:sz w:val="16"/>
              </w:rPr>
            </w:pPr>
            <w:r w:rsidRPr="00E734E5">
              <w:rPr>
                <w:rFonts w:ascii="Arial" w:eastAsia="Arial" w:hAnsi="Arial" w:cs="Arial"/>
                <w:color w:val="000000"/>
                <w:sz w:val="16"/>
              </w:rPr>
              <w:t xml:space="preserve"> - </w:t>
            </w:r>
          </w:p>
        </w:tc>
      </w:tr>
      <w:tr w:rsidR="00FB7D0B" w14:paraId="0D7C250B" w14:textId="77777777" w:rsidTr="00FB7D0B">
        <w:trPr>
          <w:trHeight w:val="225"/>
        </w:trPr>
        <w:tc>
          <w:tcPr>
            <w:tcW w:w="2460" w:type="dxa"/>
            <w:gridSpan w:val="2"/>
            <w:tcBorders>
              <w:top w:val="nil"/>
              <w:left w:val="nil"/>
              <w:bottom w:val="nil"/>
              <w:right w:val="nil"/>
              <w:tl2br w:val="nil"/>
              <w:tr2bl w:val="nil"/>
            </w:tcBorders>
            <w:shd w:val="clear" w:color="auto" w:fill="FFFFFF"/>
            <w:tcMar>
              <w:left w:w="115" w:type="dxa"/>
              <w:right w:w="115" w:type="dxa"/>
            </w:tcMar>
            <w:vAlign w:val="bottom"/>
          </w:tcPr>
          <w:p w14:paraId="45C388CB" w14:textId="77777777" w:rsidR="003F0EEA" w:rsidRPr="00E734E5" w:rsidRDefault="00FB7D0B">
            <w:pPr>
              <w:rPr>
                <w:rFonts w:ascii="Arial" w:eastAsia="Arial" w:hAnsi="Arial" w:cs="Arial"/>
                <w:color w:val="000000"/>
                <w:sz w:val="16"/>
              </w:rPr>
            </w:pPr>
            <w:r w:rsidRPr="00E734E5">
              <w:rPr>
                <w:rFonts w:ascii="Arial" w:eastAsia="Arial" w:hAnsi="Arial" w:cs="Arial"/>
                <w:b/>
                <w:color w:val="000000"/>
                <w:sz w:val="16"/>
              </w:rPr>
              <w:t xml:space="preserve">Total </w:t>
            </w:r>
          </w:p>
        </w:tc>
        <w:tc>
          <w:tcPr>
            <w:tcW w:w="915" w:type="dxa"/>
            <w:tcBorders>
              <w:top w:val="nil"/>
              <w:left w:val="nil"/>
              <w:bottom w:val="nil"/>
              <w:right w:val="nil"/>
              <w:tl2br w:val="nil"/>
              <w:tr2bl w:val="nil"/>
            </w:tcBorders>
            <w:shd w:val="clear" w:color="auto" w:fill="FFFFFF"/>
            <w:tcMar>
              <w:left w:w="115" w:type="dxa"/>
              <w:right w:w="115" w:type="dxa"/>
            </w:tcMar>
            <w:vAlign w:val="bottom"/>
          </w:tcPr>
          <w:p w14:paraId="79639ED2" w14:textId="77777777" w:rsidR="003F0EEA" w:rsidRPr="00E734E5" w:rsidRDefault="003F0EEA">
            <w:pPr>
              <w:jc w:val="center"/>
              <w:rPr>
                <w:rFonts w:ascii="Arial" w:eastAsia="Arial" w:hAnsi="Arial" w:cs="Arial"/>
                <w:b/>
                <w:color w:val="000000"/>
                <w:sz w:val="16"/>
                <w:vertAlign w:val="superscript"/>
              </w:rPr>
            </w:pPr>
          </w:p>
        </w:tc>
        <w:tc>
          <w:tcPr>
            <w:tcW w:w="1005" w:type="dxa"/>
            <w:tcBorders>
              <w:top w:val="nil"/>
              <w:left w:val="nil"/>
              <w:bottom w:val="single" w:sz="6" w:space="0" w:color="000000"/>
              <w:right w:val="nil"/>
              <w:tl2br w:val="nil"/>
              <w:tr2bl w:val="nil"/>
            </w:tcBorders>
            <w:shd w:val="clear" w:color="auto" w:fill="FFFF00"/>
            <w:tcMar>
              <w:left w:w="115" w:type="dxa"/>
              <w:right w:w="115" w:type="dxa"/>
            </w:tcMar>
            <w:vAlign w:val="bottom"/>
          </w:tcPr>
          <w:p w14:paraId="7DD0DEA3" w14:textId="77777777" w:rsidR="003F0EEA" w:rsidRPr="00E734E5" w:rsidRDefault="00FB7D0B">
            <w:pPr>
              <w:jc w:val="right"/>
              <w:rPr>
                <w:rFonts w:ascii="Arial" w:eastAsia="Arial" w:hAnsi="Arial" w:cs="Arial"/>
                <w:color w:val="000000"/>
                <w:sz w:val="16"/>
                <w:vertAlign w:val="superscript"/>
              </w:rPr>
            </w:pPr>
            <w:r w:rsidRPr="00E734E5">
              <w:rPr>
                <w:rFonts w:ascii="Arial" w:eastAsia="Arial" w:hAnsi="Arial" w:cs="Arial"/>
                <w:b/>
                <w:color w:val="000000"/>
                <w:sz w:val="16"/>
              </w:rPr>
              <w:t xml:space="preserve"> - </w:t>
            </w:r>
          </w:p>
        </w:tc>
        <w:tc>
          <w:tcPr>
            <w:tcW w:w="1005"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50FA1943" w14:textId="77777777" w:rsidR="003F0EEA" w:rsidRPr="00E734E5" w:rsidRDefault="00FB7D0B">
            <w:pPr>
              <w:jc w:val="right"/>
              <w:rPr>
                <w:rFonts w:ascii="Arial" w:eastAsia="Arial" w:hAnsi="Arial" w:cs="Arial"/>
                <w:b/>
                <w:color w:val="000000"/>
                <w:sz w:val="16"/>
              </w:rPr>
            </w:pPr>
            <w:r w:rsidRPr="00E734E5">
              <w:rPr>
                <w:rFonts w:ascii="Arial" w:eastAsia="Arial" w:hAnsi="Arial" w:cs="Arial"/>
                <w:b/>
                <w:color w:val="000000"/>
                <w:sz w:val="16"/>
              </w:rPr>
              <w:t>(24,935)</w:t>
            </w:r>
          </w:p>
        </w:tc>
        <w:tc>
          <w:tcPr>
            <w:tcW w:w="1005" w:type="dxa"/>
            <w:tcBorders>
              <w:top w:val="nil"/>
              <w:left w:val="nil"/>
              <w:bottom w:val="single" w:sz="6" w:space="0" w:color="000000"/>
              <w:right w:val="nil"/>
              <w:tl2br w:val="nil"/>
              <w:tr2bl w:val="nil"/>
            </w:tcBorders>
            <w:shd w:val="clear" w:color="auto" w:fill="FFFF00"/>
            <w:tcMar>
              <w:left w:w="115" w:type="dxa"/>
              <w:right w:w="115" w:type="dxa"/>
            </w:tcMar>
            <w:vAlign w:val="bottom"/>
          </w:tcPr>
          <w:p w14:paraId="25A7F788" w14:textId="77777777" w:rsidR="003F0EEA" w:rsidRPr="00E734E5" w:rsidRDefault="00FB7D0B">
            <w:pPr>
              <w:jc w:val="right"/>
              <w:rPr>
                <w:rFonts w:ascii="Arial" w:eastAsia="Arial" w:hAnsi="Arial" w:cs="Arial"/>
                <w:b/>
                <w:color w:val="000000"/>
                <w:sz w:val="16"/>
              </w:rPr>
            </w:pPr>
            <w:r w:rsidRPr="00E734E5">
              <w:rPr>
                <w:rFonts w:ascii="Arial" w:eastAsia="Arial" w:hAnsi="Arial" w:cs="Arial"/>
                <w:b/>
                <w:color w:val="000000"/>
                <w:sz w:val="16"/>
              </w:rPr>
              <w:t>(23,903)</w:t>
            </w:r>
          </w:p>
        </w:tc>
        <w:tc>
          <w:tcPr>
            <w:tcW w:w="1005"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37CFEE3B" w14:textId="77777777" w:rsidR="003F0EEA" w:rsidRPr="00E734E5" w:rsidRDefault="00FB7D0B">
            <w:pPr>
              <w:jc w:val="right"/>
              <w:rPr>
                <w:rFonts w:ascii="Arial" w:eastAsia="Arial" w:hAnsi="Arial" w:cs="Arial"/>
                <w:b/>
                <w:color w:val="000000"/>
                <w:sz w:val="16"/>
              </w:rPr>
            </w:pPr>
            <w:r w:rsidRPr="00E734E5">
              <w:rPr>
                <w:rFonts w:ascii="Arial" w:eastAsia="Arial" w:hAnsi="Arial" w:cs="Arial"/>
                <w:b/>
                <w:color w:val="000000"/>
                <w:sz w:val="16"/>
              </w:rPr>
              <w:t>(22,879)</w:t>
            </w:r>
          </w:p>
        </w:tc>
        <w:tc>
          <w:tcPr>
            <w:tcW w:w="1005" w:type="dxa"/>
            <w:tcBorders>
              <w:top w:val="nil"/>
              <w:left w:val="nil"/>
              <w:bottom w:val="single" w:sz="6" w:space="0" w:color="000000"/>
              <w:right w:val="nil"/>
              <w:tl2br w:val="nil"/>
              <w:tr2bl w:val="nil"/>
            </w:tcBorders>
            <w:shd w:val="clear" w:color="auto" w:fill="FFFF00"/>
            <w:tcMar>
              <w:left w:w="115" w:type="dxa"/>
              <w:right w:w="115" w:type="dxa"/>
            </w:tcMar>
            <w:vAlign w:val="bottom"/>
          </w:tcPr>
          <w:p w14:paraId="3EF30E66" w14:textId="77777777" w:rsidR="003F0EEA" w:rsidRPr="00E734E5" w:rsidRDefault="00FB7D0B">
            <w:pPr>
              <w:jc w:val="right"/>
              <w:rPr>
                <w:rFonts w:ascii="Arial" w:eastAsia="Arial" w:hAnsi="Arial" w:cs="Arial"/>
                <w:b/>
                <w:color w:val="000000"/>
                <w:sz w:val="16"/>
              </w:rPr>
            </w:pPr>
            <w:r w:rsidRPr="00E734E5">
              <w:rPr>
                <w:rFonts w:ascii="Arial" w:eastAsia="Arial" w:hAnsi="Arial" w:cs="Arial"/>
                <w:b/>
                <w:color w:val="000000"/>
                <w:sz w:val="16"/>
              </w:rPr>
              <w:t>(21,797)</w:t>
            </w:r>
          </w:p>
        </w:tc>
      </w:tr>
      <w:tr w:rsidR="00724034" w14:paraId="019E6A83" w14:textId="77777777">
        <w:trPr>
          <w:trHeight w:val="225"/>
        </w:trPr>
        <w:tc>
          <w:tcPr>
            <w:tcW w:w="180" w:type="dxa"/>
            <w:tcBorders>
              <w:top w:val="nil"/>
              <w:left w:val="nil"/>
              <w:bottom w:val="nil"/>
              <w:right w:val="nil"/>
              <w:tl2br w:val="nil"/>
              <w:tr2bl w:val="nil"/>
            </w:tcBorders>
            <w:shd w:val="clear" w:color="auto" w:fill="FFFFFF"/>
            <w:tcMar>
              <w:left w:w="115" w:type="dxa"/>
              <w:right w:w="115" w:type="dxa"/>
            </w:tcMar>
            <w:vAlign w:val="bottom"/>
          </w:tcPr>
          <w:p w14:paraId="6EA5BD22" w14:textId="77777777" w:rsidR="003F0EEA" w:rsidRPr="00E734E5" w:rsidRDefault="003F0EEA">
            <w:pPr>
              <w:rPr>
                <w:rFonts w:ascii="Arial" w:eastAsia="Arial" w:hAnsi="Arial" w:cs="Arial"/>
                <w:b/>
                <w:color w:val="000000"/>
                <w:sz w:val="16"/>
              </w:rPr>
            </w:pPr>
          </w:p>
        </w:tc>
        <w:tc>
          <w:tcPr>
            <w:tcW w:w="2280" w:type="dxa"/>
            <w:tcBorders>
              <w:top w:val="nil"/>
              <w:left w:val="nil"/>
              <w:bottom w:val="nil"/>
              <w:right w:val="nil"/>
              <w:tl2br w:val="nil"/>
              <w:tr2bl w:val="nil"/>
            </w:tcBorders>
            <w:shd w:val="clear" w:color="auto" w:fill="FFFFFF"/>
            <w:tcMar>
              <w:left w:w="115" w:type="dxa"/>
              <w:right w:w="115" w:type="dxa"/>
            </w:tcMar>
            <w:vAlign w:val="bottom"/>
          </w:tcPr>
          <w:p w14:paraId="6755ACA6" w14:textId="77777777" w:rsidR="003F0EEA" w:rsidRPr="00E734E5" w:rsidRDefault="003F0EEA">
            <w:pPr>
              <w:rPr>
                <w:rFonts w:ascii="Arial" w:eastAsia="Arial" w:hAnsi="Arial" w:cs="Arial"/>
                <w:b/>
                <w:color w:val="000000"/>
                <w:sz w:val="16"/>
              </w:rPr>
            </w:pPr>
          </w:p>
        </w:tc>
        <w:tc>
          <w:tcPr>
            <w:tcW w:w="915" w:type="dxa"/>
            <w:tcBorders>
              <w:top w:val="nil"/>
              <w:left w:val="nil"/>
              <w:bottom w:val="nil"/>
              <w:right w:val="nil"/>
              <w:tl2br w:val="nil"/>
              <w:tr2bl w:val="nil"/>
            </w:tcBorders>
            <w:shd w:val="clear" w:color="auto" w:fill="FFFFFF"/>
            <w:tcMar>
              <w:left w:w="115" w:type="dxa"/>
              <w:right w:w="115" w:type="dxa"/>
            </w:tcMar>
            <w:vAlign w:val="bottom"/>
          </w:tcPr>
          <w:p w14:paraId="5CCD3A57" w14:textId="77777777" w:rsidR="003F0EEA" w:rsidRPr="00E734E5" w:rsidRDefault="003F0EEA">
            <w:pPr>
              <w:jc w:val="center"/>
              <w:rPr>
                <w:rFonts w:ascii="Arial" w:eastAsia="Arial" w:hAnsi="Arial" w:cs="Arial"/>
                <w:b/>
                <w:color w:val="000000"/>
                <w:sz w:val="16"/>
                <w:vertAlign w:val="superscript"/>
              </w:rPr>
            </w:pPr>
          </w:p>
        </w:tc>
        <w:tc>
          <w:tcPr>
            <w:tcW w:w="1005" w:type="dxa"/>
            <w:tcBorders>
              <w:top w:val="single" w:sz="6" w:space="0" w:color="000000"/>
              <w:left w:val="nil"/>
              <w:bottom w:val="nil"/>
              <w:right w:val="nil"/>
              <w:tl2br w:val="nil"/>
              <w:tr2bl w:val="nil"/>
            </w:tcBorders>
            <w:shd w:val="clear" w:color="auto" w:fill="FFFF00"/>
            <w:tcMar>
              <w:left w:w="115" w:type="dxa"/>
              <w:right w:w="115" w:type="dxa"/>
            </w:tcMar>
            <w:vAlign w:val="bottom"/>
          </w:tcPr>
          <w:p w14:paraId="4843F3DF" w14:textId="77777777" w:rsidR="003F0EEA" w:rsidRPr="00E734E5" w:rsidRDefault="003F0EEA">
            <w:pPr>
              <w:jc w:val="right"/>
              <w:rPr>
                <w:rFonts w:ascii="Arial" w:eastAsia="Arial" w:hAnsi="Arial" w:cs="Arial"/>
                <w:color w:val="000000"/>
                <w:sz w:val="16"/>
                <w:vertAlign w:val="superscript"/>
              </w:rPr>
            </w:pPr>
          </w:p>
        </w:tc>
        <w:tc>
          <w:tcPr>
            <w:tcW w:w="1005"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71EF8ACD" w14:textId="77777777" w:rsidR="003F0EEA" w:rsidRPr="00E734E5" w:rsidRDefault="003F0EEA">
            <w:pPr>
              <w:jc w:val="right"/>
              <w:rPr>
                <w:rFonts w:ascii="Arial" w:eastAsia="Arial" w:hAnsi="Arial" w:cs="Arial"/>
                <w:b/>
                <w:color w:val="000000"/>
                <w:sz w:val="16"/>
                <w:vertAlign w:val="superscript"/>
              </w:rPr>
            </w:pPr>
          </w:p>
        </w:tc>
        <w:tc>
          <w:tcPr>
            <w:tcW w:w="1005" w:type="dxa"/>
            <w:tcBorders>
              <w:top w:val="single" w:sz="6" w:space="0" w:color="000000"/>
              <w:left w:val="nil"/>
              <w:bottom w:val="nil"/>
              <w:right w:val="nil"/>
              <w:tl2br w:val="nil"/>
              <w:tr2bl w:val="nil"/>
            </w:tcBorders>
            <w:shd w:val="clear" w:color="auto" w:fill="FFFF00"/>
            <w:tcMar>
              <w:left w:w="115" w:type="dxa"/>
              <w:right w:w="115" w:type="dxa"/>
            </w:tcMar>
            <w:vAlign w:val="bottom"/>
          </w:tcPr>
          <w:p w14:paraId="0DACBDAE" w14:textId="77777777" w:rsidR="003F0EEA" w:rsidRPr="00E734E5" w:rsidRDefault="003F0EEA">
            <w:pPr>
              <w:jc w:val="right"/>
              <w:rPr>
                <w:rFonts w:ascii="Arial" w:eastAsia="Arial" w:hAnsi="Arial" w:cs="Arial"/>
                <w:b/>
                <w:color w:val="000000"/>
                <w:sz w:val="16"/>
                <w:vertAlign w:val="superscript"/>
              </w:rPr>
            </w:pPr>
          </w:p>
        </w:tc>
        <w:tc>
          <w:tcPr>
            <w:tcW w:w="1005"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36F58292" w14:textId="77777777" w:rsidR="003F0EEA" w:rsidRPr="00E734E5" w:rsidRDefault="003F0EEA">
            <w:pPr>
              <w:jc w:val="right"/>
              <w:rPr>
                <w:rFonts w:ascii="Arial" w:eastAsia="Arial" w:hAnsi="Arial" w:cs="Arial"/>
                <w:b/>
                <w:color w:val="000000"/>
                <w:sz w:val="16"/>
                <w:vertAlign w:val="superscript"/>
              </w:rPr>
            </w:pPr>
          </w:p>
        </w:tc>
        <w:tc>
          <w:tcPr>
            <w:tcW w:w="1005" w:type="dxa"/>
            <w:tcBorders>
              <w:top w:val="single" w:sz="6" w:space="0" w:color="000000"/>
              <w:left w:val="nil"/>
              <w:bottom w:val="nil"/>
              <w:right w:val="nil"/>
              <w:tl2br w:val="nil"/>
              <w:tr2bl w:val="nil"/>
            </w:tcBorders>
            <w:shd w:val="clear" w:color="auto" w:fill="FFFF00"/>
            <w:tcMar>
              <w:left w:w="115" w:type="dxa"/>
              <w:right w:w="115" w:type="dxa"/>
            </w:tcMar>
            <w:vAlign w:val="bottom"/>
          </w:tcPr>
          <w:p w14:paraId="039EE406" w14:textId="77777777" w:rsidR="003F0EEA" w:rsidRPr="00E734E5" w:rsidRDefault="003F0EEA">
            <w:pPr>
              <w:jc w:val="right"/>
              <w:rPr>
                <w:rFonts w:ascii="Arial" w:eastAsia="Arial" w:hAnsi="Arial" w:cs="Arial"/>
                <w:b/>
                <w:color w:val="000000"/>
                <w:sz w:val="16"/>
                <w:vertAlign w:val="superscript"/>
              </w:rPr>
            </w:pPr>
          </w:p>
        </w:tc>
      </w:tr>
      <w:tr w:rsidR="00FB7D0B" w14:paraId="5C7BC441" w14:textId="77777777" w:rsidTr="00FB7D0B">
        <w:trPr>
          <w:trHeight w:val="675"/>
        </w:trPr>
        <w:tc>
          <w:tcPr>
            <w:tcW w:w="2460" w:type="dxa"/>
            <w:gridSpan w:val="2"/>
            <w:tcBorders>
              <w:top w:val="nil"/>
              <w:left w:val="nil"/>
              <w:bottom w:val="nil"/>
              <w:right w:val="nil"/>
              <w:tl2br w:val="nil"/>
              <w:tr2bl w:val="nil"/>
            </w:tcBorders>
            <w:shd w:val="clear" w:color="auto" w:fill="FFFFFF"/>
            <w:tcMar>
              <w:left w:w="115" w:type="dxa"/>
              <w:right w:w="115" w:type="dxa"/>
            </w:tcMar>
            <w:vAlign w:val="bottom"/>
          </w:tcPr>
          <w:p w14:paraId="3568DD23" w14:textId="77777777" w:rsidR="003F0EEA" w:rsidRPr="00E734E5" w:rsidRDefault="00FB7D0B">
            <w:pPr>
              <w:rPr>
                <w:rFonts w:ascii="Arial" w:eastAsia="Arial" w:hAnsi="Arial" w:cs="Arial"/>
                <w:b/>
                <w:color w:val="000000"/>
                <w:sz w:val="16"/>
                <w:vertAlign w:val="superscript"/>
              </w:rPr>
            </w:pPr>
            <w:r w:rsidRPr="00E734E5">
              <w:rPr>
                <w:rFonts w:ascii="Arial" w:eastAsia="Arial" w:hAnsi="Arial" w:cs="Arial"/>
                <w:color w:val="000000"/>
                <w:sz w:val="16"/>
              </w:rPr>
              <w:t>Maintain eligibility thresholds for Australian Government payments for three years</w:t>
            </w:r>
            <w:r w:rsidRPr="00E734E5">
              <w:rPr>
                <w:rFonts w:ascii="Arial" w:eastAsia="Arial" w:hAnsi="Arial" w:cs="Arial"/>
                <w:color w:val="000000"/>
                <w:sz w:val="16"/>
                <w:vertAlign w:val="superscript"/>
              </w:rPr>
              <w:t>1 </w:t>
            </w:r>
          </w:p>
        </w:tc>
        <w:tc>
          <w:tcPr>
            <w:tcW w:w="915" w:type="dxa"/>
            <w:tcBorders>
              <w:top w:val="nil"/>
              <w:left w:val="nil"/>
              <w:bottom w:val="nil"/>
              <w:right w:val="nil"/>
              <w:tl2br w:val="nil"/>
              <w:tr2bl w:val="nil"/>
            </w:tcBorders>
            <w:shd w:val="clear" w:color="auto" w:fill="FFFFFF"/>
            <w:tcMar>
              <w:left w:w="115" w:type="dxa"/>
              <w:right w:w="115" w:type="dxa"/>
            </w:tcMar>
            <w:vAlign w:val="bottom"/>
          </w:tcPr>
          <w:p w14:paraId="12F84E60" w14:textId="77777777" w:rsidR="003F0EEA" w:rsidRPr="00E734E5" w:rsidRDefault="00FB7D0B">
            <w:pPr>
              <w:jc w:val="center"/>
              <w:rPr>
                <w:rFonts w:ascii="Arial" w:eastAsia="Arial" w:hAnsi="Arial" w:cs="Arial"/>
                <w:color w:val="000000"/>
                <w:sz w:val="16"/>
                <w:vertAlign w:val="superscript"/>
              </w:rPr>
            </w:pPr>
            <w:r w:rsidRPr="00E734E5">
              <w:rPr>
                <w:rFonts w:ascii="Arial" w:eastAsia="Arial" w:hAnsi="Arial" w:cs="Arial"/>
                <w:color w:val="000000"/>
                <w:sz w:val="16"/>
              </w:rPr>
              <w:t>1.1 </w:t>
            </w:r>
          </w:p>
        </w:tc>
        <w:tc>
          <w:tcPr>
            <w:tcW w:w="1005" w:type="dxa"/>
            <w:tcBorders>
              <w:top w:val="nil"/>
              <w:left w:val="nil"/>
              <w:bottom w:val="nil"/>
              <w:right w:val="nil"/>
              <w:tl2br w:val="nil"/>
              <w:tr2bl w:val="nil"/>
            </w:tcBorders>
            <w:shd w:val="clear" w:color="auto" w:fill="FFFF00"/>
            <w:tcMar>
              <w:left w:w="115" w:type="dxa"/>
              <w:right w:w="115" w:type="dxa"/>
            </w:tcMar>
            <w:vAlign w:val="bottom"/>
          </w:tcPr>
          <w:p w14:paraId="5AE382D4" w14:textId="77777777" w:rsidR="003F0EEA" w:rsidRPr="00E734E5" w:rsidRDefault="003F0EEA">
            <w:pPr>
              <w:jc w:val="right"/>
              <w:rPr>
                <w:rFonts w:ascii="Arial" w:eastAsia="Arial" w:hAnsi="Arial" w:cs="Arial"/>
                <w:color w:val="000000"/>
                <w:sz w:val="16"/>
              </w:rPr>
            </w:pPr>
          </w:p>
        </w:tc>
        <w:tc>
          <w:tcPr>
            <w:tcW w:w="1005" w:type="dxa"/>
            <w:tcBorders>
              <w:top w:val="nil"/>
              <w:left w:val="nil"/>
              <w:bottom w:val="nil"/>
              <w:right w:val="nil"/>
              <w:tl2br w:val="nil"/>
              <w:tr2bl w:val="nil"/>
            </w:tcBorders>
            <w:shd w:val="clear" w:color="auto" w:fill="FFFFFF"/>
            <w:tcMar>
              <w:left w:w="115" w:type="dxa"/>
              <w:right w:w="115" w:type="dxa"/>
            </w:tcMar>
            <w:vAlign w:val="bottom"/>
          </w:tcPr>
          <w:p w14:paraId="651EE391" w14:textId="77777777" w:rsidR="003F0EEA" w:rsidRPr="00E734E5" w:rsidRDefault="003F0EEA">
            <w:pPr>
              <w:jc w:val="right"/>
              <w:rPr>
                <w:rFonts w:ascii="Arial" w:eastAsia="Arial" w:hAnsi="Arial" w:cs="Arial"/>
                <w:color w:val="000000"/>
                <w:sz w:val="16"/>
              </w:rPr>
            </w:pPr>
          </w:p>
        </w:tc>
        <w:tc>
          <w:tcPr>
            <w:tcW w:w="1005" w:type="dxa"/>
            <w:tcBorders>
              <w:top w:val="nil"/>
              <w:left w:val="nil"/>
              <w:bottom w:val="nil"/>
              <w:right w:val="nil"/>
              <w:tl2br w:val="nil"/>
              <w:tr2bl w:val="nil"/>
            </w:tcBorders>
            <w:shd w:val="clear" w:color="auto" w:fill="FFFF00"/>
            <w:tcMar>
              <w:left w:w="115" w:type="dxa"/>
              <w:right w:w="115" w:type="dxa"/>
            </w:tcMar>
            <w:vAlign w:val="bottom"/>
          </w:tcPr>
          <w:p w14:paraId="6D0D28BC" w14:textId="77777777" w:rsidR="003F0EEA" w:rsidRPr="00E734E5" w:rsidRDefault="003F0EEA">
            <w:pPr>
              <w:jc w:val="right"/>
              <w:rPr>
                <w:rFonts w:ascii="Arial" w:eastAsia="Arial" w:hAnsi="Arial" w:cs="Arial"/>
                <w:color w:val="000000"/>
                <w:sz w:val="16"/>
              </w:rPr>
            </w:pPr>
          </w:p>
        </w:tc>
        <w:tc>
          <w:tcPr>
            <w:tcW w:w="1005" w:type="dxa"/>
            <w:tcBorders>
              <w:top w:val="nil"/>
              <w:left w:val="nil"/>
              <w:bottom w:val="nil"/>
              <w:right w:val="nil"/>
              <w:tl2br w:val="nil"/>
              <w:tr2bl w:val="nil"/>
            </w:tcBorders>
            <w:shd w:val="clear" w:color="auto" w:fill="FFFFFF"/>
            <w:tcMar>
              <w:left w:w="115" w:type="dxa"/>
              <w:right w:w="115" w:type="dxa"/>
            </w:tcMar>
            <w:vAlign w:val="bottom"/>
          </w:tcPr>
          <w:p w14:paraId="2CE0A630" w14:textId="77777777" w:rsidR="003F0EEA" w:rsidRPr="00E734E5" w:rsidRDefault="003F0EEA">
            <w:pPr>
              <w:jc w:val="right"/>
              <w:rPr>
                <w:rFonts w:ascii="Arial" w:eastAsia="Arial" w:hAnsi="Arial" w:cs="Arial"/>
                <w:color w:val="000000"/>
                <w:sz w:val="16"/>
              </w:rPr>
            </w:pPr>
          </w:p>
        </w:tc>
        <w:tc>
          <w:tcPr>
            <w:tcW w:w="1005" w:type="dxa"/>
            <w:tcBorders>
              <w:top w:val="nil"/>
              <w:left w:val="nil"/>
              <w:bottom w:val="nil"/>
              <w:right w:val="nil"/>
              <w:tl2br w:val="nil"/>
              <w:tr2bl w:val="nil"/>
            </w:tcBorders>
            <w:shd w:val="clear" w:color="auto" w:fill="FFFF00"/>
            <w:tcMar>
              <w:left w:w="115" w:type="dxa"/>
              <w:right w:w="115" w:type="dxa"/>
            </w:tcMar>
            <w:vAlign w:val="bottom"/>
          </w:tcPr>
          <w:p w14:paraId="41545CE0" w14:textId="77777777" w:rsidR="003F0EEA" w:rsidRPr="00E734E5" w:rsidRDefault="003F0EEA">
            <w:pPr>
              <w:jc w:val="right"/>
              <w:rPr>
                <w:rFonts w:ascii="Arial" w:eastAsia="Arial" w:hAnsi="Arial" w:cs="Arial"/>
                <w:color w:val="000000"/>
                <w:sz w:val="16"/>
              </w:rPr>
            </w:pPr>
          </w:p>
        </w:tc>
      </w:tr>
      <w:tr w:rsidR="00724034" w14:paraId="55C2FE40" w14:textId="77777777">
        <w:trPr>
          <w:trHeight w:val="225"/>
        </w:trPr>
        <w:tc>
          <w:tcPr>
            <w:tcW w:w="180" w:type="dxa"/>
            <w:tcBorders>
              <w:top w:val="nil"/>
              <w:left w:val="nil"/>
              <w:bottom w:val="nil"/>
              <w:right w:val="nil"/>
              <w:tl2br w:val="nil"/>
              <w:tr2bl w:val="nil"/>
            </w:tcBorders>
            <w:shd w:val="clear" w:color="auto" w:fill="FFFFFF"/>
            <w:tcMar>
              <w:left w:w="115" w:type="dxa"/>
              <w:right w:w="115" w:type="dxa"/>
            </w:tcMar>
            <w:vAlign w:val="bottom"/>
          </w:tcPr>
          <w:p w14:paraId="1324EB60" w14:textId="77777777" w:rsidR="003F0EEA" w:rsidRPr="00E734E5" w:rsidRDefault="003F0EEA">
            <w:pPr>
              <w:rPr>
                <w:rFonts w:ascii="Arial" w:eastAsia="Arial" w:hAnsi="Arial" w:cs="Arial"/>
                <w:color w:val="000000"/>
                <w:sz w:val="16"/>
              </w:rPr>
            </w:pPr>
          </w:p>
        </w:tc>
        <w:tc>
          <w:tcPr>
            <w:tcW w:w="2280" w:type="dxa"/>
            <w:tcBorders>
              <w:top w:val="nil"/>
              <w:left w:val="nil"/>
              <w:bottom w:val="nil"/>
              <w:right w:val="nil"/>
              <w:tl2br w:val="nil"/>
              <w:tr2bl w:val="nil"/>
            </w:tcBorders>
            <w:shd w:val="clear" w:color="auto" w:fill="FFFFFF"/>
            <w:tcMar>
              <w:left w:w="115" w:type="dxa"/>
              <w:right w:w="115" w:type="dxa"/>
            </w:tcMar>
            <w:vAlign w:val="bottom"/>
          </w:tcPr>
          <w:p w14:paraId="0A667BB9" w14:textId="77777777" w:rsidR="003F0EEA" w:rsidRPr="00E734E5" w:rsidRDefault="00FB7D0B">
            <w:pPr>
              <w:rPr>
                <w:rFonts w:ascii="Arial" w:eastAsia="Arial" w:hAnsi="Arial" w:cs="Arial"/>
                <w:color w:val="000000"/>
                <w:sz w:val="16"/>
              </w:rPr>
            </w:pPr>
            <w:r w:rsidRPr="00E734E5">
              <w:rPr>
                <w:rFonts w:ascii="Arial" w:eastAsia="Arial" w:hAnsi="Arial" w:cs="Arial"/>
                <w:color w:val="000000"/>
                <w:sz w:val="16"/>
              </w:rPr>
              <w:t>Administered expenses</w:t>
            </w:r>
          </w:p>
        </w:tc>
        <w:tc>
          <w:tcPr>
            <w:tcW w:w="915" w:type="dxa"/>
            <w:tcBorders>
              <w:top w:val="nil"/>
              <w:left w:val="nil"/>
              <w:bottom w:val="nil"/>
              <w:right w:val="nil"/>
              <w:tl2br w:val="nil"/>
              <w:tr2bl w:val="nil"/>
            </w:tcBorders>
            <w:shd w:val="clear" w:color="auto" w:fill="FFFFFF"/>
            <w:tcMar>
              <w:left w:w="115" w:type="dxa"/>
              <w:right w:w="115" w:type="dxa"/>
            </w:tcMar>
            <w:vAlign w:val="bottom"/>
          </w:tcPr>
          <w:p w14:paraId="18A52461" w14:textId="77777777" w:rsidR="003F0EEA" w:rsidRPr="00E734E5" w:rsidRDefault="003F0EEA">
            <w:pPr>
              <w:jc w:val="center"/>
              <w:rPr>
                <w:rFonts w:ascii="Arial" w:eastAsia="Arial" w:hAnsi="Arial" w:cs="Arial"/>
                <w:color w:val="000000"/>
                <w:sz w:val="16"/>
                <w:vertAlign w:val="superscript"/>
              </w:rPr>
            </w:pPr>
          </w:p>
        </w:tc>
        <w:tc>
          <w:tcPr>
            <w:tcW w:w="1005" w:type="dxa"/>
            <w:tcBorders>
              <w:top w:val="nil"/>
              <w:left w:val="nil"/>
              <w:bottom w:val="nil"/>
              <w:right w:val="nil"/>
              <w:tl2br w:val="nil"/>
              <w:tr2bl w:val="nil"/>
            </w:tcBorders>
            <w:shd w:val="clear" w:color="auto" w:fill="FFFF00"/>
            <w:tcMar>
              <w:left w:w="115" w:type="dxa"/>
              <w:right w:w="115" w:type="dxa"/>
            </w:tcMar>
            <w:vAlign w:val="bottom"/>
          </w:tcPr>
          <w:p w14:paraId="12714B3F" w14:textId="77777777" w:rsidR="003F0EEA" w:rsidRPr="00E734E5" w:rsidRDefault="00FB7D0B">
            <w:pPr>
              <w:jc w:val="right"/>
              <w:rPr>
                <w:rFonts w:ascii="Arial" w:eastAsia="Arial" w:hAnsi="Arial" w:cs="Arial"/>
                <w:color w:val="000000"/>
                <w:sz w:val="16"/>
                <w:vertAlign w:val="superscript"/>
              </w:rPr>
            </w:pPr>
            <w:r w:rsidRPr="00E734E5">
              <w:rPr>
                <w:rFonts w:ascii="Arial" w:eastAsia="Arial" w:hAnsi="Arial" w:cs="Arial"/>
                <w:color w:val="000000"/>
                <w:sz w:val="16"/>
              </w:rPr>
              <w:t xml:space="preserve"> - </w:t>
            </w:r>
          </w:p>
        </w:tc>
        <w:tc>
          <w:tcPr>
            <w:tcW w:w="1005" w:type="dxa"/>
            <w:tcBorders>
              <w:top w:val="nil"/>
              <w:left w:val="nil"/>
              <w:bottom w:val="nil"/>
              <w:right w:val="nil"/>
              <w:tl2br w:val="nil"/>
              <w:tr2bl w:val="nil"/>
            </w:tcBorders>
            <w:shd w:val="clear" w:color="auto" w:fill="FFFFFF"/>
            <w:tcMar>
              <w:left w:w="115" w:type="dxa"/>
              <w:right w:w="115" w:type="dxa"/>
            </w:tcMar>
            <w:vAlign w:val="bottom"/>
          </w:tcPr>
          <w:p w14:paraId="1F607798" w14:textId="77777777" w:rsidR="003F0EEA" w:rsidRPr="00E734E5" w:rsidRDefault="00FB7D0B">
            <w:pPr>
              <w:jc w:val="right"/>
              <w:rPr>
                <w:rFonts w:ascii="Arial" w:eastAsia="Arial" w:hAnsi="Arial" w:cs="Arial"/>
                <w:color w:val="000000"/>
                <w:sz w:val="16"/>
              </w:rPr>
            </w:pPr>
            <w:r w:rsidRPr="00E734E5">
              <w:rPr>
                <w:rFonts w:ascii="Arial" w:eastAsia="Arial" w:hAnsi="Arial" w:cs="Arial"/>
                <w:color w:val="000000"/>
                <w:sz w:val="16"/>
              </w:rPr>
              <w:t xml:space="preserve"> - </w:t>
            </w:r>
          </w:p>
        </w:tc>
        <w:tc>
          <w:tcPr>
            <w:tcW w:w="1005" w:type="dxa"/>
            <w:tcBorders>
              <w:top w:val="nil"/>
              <w:left w:val="nil"/>
              <w:bottom w:val="nil"/>
              <w:right w:val="nil"/>
              <w:tl2br w:val="nil"/>
              <w:tr2bl w:val="nil"/>
            </w:tcBorders>
            <w:shd w:val="clear" w:color="auto" w:fill="FFFF00"/>
            <w:tcMar>
              <w:left w:w="115" w:type="dxa"/>
              <w:right w:w="115" w:type="dxa"/>
            </w:tcMar>
            <w:vAlign w:val="bottom"/>
          </w:tcPr>
          <w:p w14:paraId="52D8D58A" w14:textId="77777777" w:rsidR="003F0EEA" w:rsidRPr="00E734E5" w:rsidRDefault="00FB7D0B">
            <w:pPr>
              <w:jc w:val="right"/>
              <w:rPr>
                <w:rFonts w:ascii="Arial" w:eastAsia="Arial" w:hAnsi="Arial" w:cs="Arial"/>
                <w:color w:val="000000"/>
                <w:sz w:val="16"/>
              </w:rPr>
            </w:pPr>
            <w:r w:rsidRPr="00E734E5">
              <w:rPr>
                <w:rFonts w:ascii="Arial" w:eastAsia="Arial" w:hAnsi="Arial" w:cs="Arial"/>
                <w:color w:val="000000"/>
                <w:sz w:val="16"/>
              </w:rPr>
              <w:t xml:space="preserve"> - </w:t>
            </w:r>
          </w:p>
        </w:tc>
        <w:tc>
          <w:tcPr>
            <w:tcW w:w="1005" w:type="dxa"/>
            <w:tcBorders>
              <w:top w:val="nil"/>
              <w:left w:val="nil"/>
              <w:bottom w:val="nil"/>
              <w:right w:val="nil"/>
              <w:tl2br w:val="nil"/>
              <w:tr2bl w:val="nil"/>
            </w:tcBorders>
            <w:shd w:val="clear" w:color="auto" w:fill="FFFFFF"/>
            <w:tcMar>
              <w:left w:w="115" w:type="dxa"/>
              <w:right w:w="115" w:type="dxa"/>
            </w:tcMar>
            <w:vAlign w:val="bottom"/>
          </w:tcPr>
          <w:p w14:paraId="6384E85F" w14:textId="77777777" w:rsidR="003F0EEA" w:rsidRPr="00E734E5" w:rsidRDefault="00FB7D0B">
            <w:pPr>
              <w:jc w:val="right"/>
              <w:rPr>
                <w:rFonts w:ascii="Arial" w:eastAsia="Arial" w:hAnsi="Arial" w:cs="Arial"/>
                <w:color w:val="000000"/>
                <w:sz w:val="16"/>
              </w:rPr>
            </w:pPr>
            <w:r w:rsidRPr="00E734E5">
              <w:rPr>
                <w:rFonts w:ascii="Arial" w:eastAsia="Arial" w:hAnsi="Arial" w:cs="Arial"/>
                <w:color w:val="000000"/>
                <w:sz w:val="16"/>
              </w:rPr>
              <w:t xml:space="preserve"> - </w:t>
            </w:r>
          </w:p>
        </w:tc>
        <w:tc>
          <w:tcPr>
            <w:tcW w:w="1005" w:type="dxa"/>
            <w:tcBorders>
              <w:top w:val="nil"/>
              <w:left w:val="nil"/>
              <w:bottom w:val="nil"/>
              <w:right w:val="nil"/>
              <w:tl2br w:val="nil"/>
              <w:tr2bl w:val="nil"/>
            </w:tcBorders>
            <w:shd w:val="clear" w:color="auto" w:fill="FFFF00"/>
            <w:tcMar>
              <w:left w:w="115" w:type="dxa"/>
              <w:right w:w="115" w:type="dxa"/>
            </w:tcMar>
            <w:vAlign w:val="bottom"/>
          </w:tcPr>
          <w:p w14:paraId="7CD36B29" w14:textId="77777777" w:rsidR="003F0EEA" w:rsidRPr="00E734E5" w:rsidRDefault="00FB7D0B">
            <w:pPr>
              <w:jc w:val="right"/>
              <w:rPr>
                <w:rFonts w:ascii="Arial" w:eastAsia="Arial" w:hAnsi="Arial" w:cs="Arial"/>
                <w:color w:val="000000"/>
                <w:sz w:val="16"/>
              </w:rPr>
            </w:pPr>
            <w:r w:rsidRPr="00E734E5">
              <w:rPr>
                <w:rFonts w:ascii="Arial" w:eastAsia="Arial" w:hAnsi="Arial" w:cs="Arial"/>
                <w:color w:val="000000"/>
                <w:sz w:val="16"/>
              </w:rPr>
              <w:t>(4,890)</w:t>
            </w:r>
          </w:p>
        </w:tc>
      </w:tr>
      <w:tr w:rsidR="00724034" w14:paraId="7437B3BF" w14:textId="77777777">
        <w:trPr>
          <w:trHeight w:val="225"/>
        </w:trPr>
        <w:tc>
          <w:tcPr>
            <w:tcW w:w="180" w:type="dxa"/>
            <w:tcBorders>
              <w:top w:val="nil"/>
              <w:left w:val="nil"/>
              <w:bottom w:val="nil"/>
              <w:right w:val="nil"/>
              <w:tl2br w:val="nil"/>
              <w:tr2bl w:val="nil"/>
            </w:tcBorders>
            <w:shd w:val="clear" w:color="auto" w:fill="FFFFFF"/>
            <w:tcMar>
              <w:left w:w="115" w:type="dxa"/>
              <w:right w:w="115" w:type="dxa"/>
            </w:tcMar>
            <w:vAlign w:val="bottom"/>
          </w:tcPr>
          <w:p w14:paraId="34A0CEEB" w14:textId="77777777" w:rsidR="003F0EEA" w:rsidRPr="00E734E5" w:rsidRDefault="003F0EEA">
            <w:pPr>
              <w:rPr>
                <w:rFonts w:ascii="Arial" w:eastAsia="Arial" w:hAnsi="Arial" w:cs="Arial"/>
                <w:color w:val="000000"/>
                <w:sz w:val="16"/>
              </w:rPr>
            </w:pPr>
          </w:p>
        </w:tc>
        <w:tc>
          <w:tcPr>
            <w:tcW w:w="2280" w:type="dxa"/>
            <w:tcBorders>
              <w:top w:val="nil"/>
              <w:left w:val="nil"/>
              <w:bottom w:val="nil"/>
              <w:right w:val="nil"/>
              <w:tl2br w:val="nil"/>
              <w:tr2bl w:val="nil"/>
            </w:tcBorders>
            <w:shd w:val="clear" w:color="auto" w:fill="FFFFFF"/>
            <w:tcMar>
              <w:left w:w="115" w:type="dxa"/>
              <w:right w:w="115" w:type="dxa"/>
            </w:tcMar>
            <w:vAlign w:val="bottom"/>
          </w:tcPr>
          <w:p w14:paraId="182ED5E8" w14:textId="77777777" w:rsidR="003F0EEA" w:rsidRPr="00E734E5" w:rsidRDefault="00FB7D0B">
            <w:pPr>
              <w:rPr>
                <w:rFonts w:ascii="Arial" w:eastAsia="Arial" w:hAnsi="Arial" w:cs="Arial"/>
                <w:color w:val="000000"/>
                <w:sz w:val="16"/>
              </w:rPr>
            </w:pPr>
            <w:r w:rsidRPr="00E734E5">
              <w:rPr>
                <w:rFonts w:ascii="Arial" w:eastAsia="Arial" w:hAnsi="Arial" w:cs="Arial"/>
                <w:color w:val="000000"/>
                <w:sz w:val="16"/>
              </w:rPr>
              <w:t>Departmental expenses</w:t>
            </w:r>
          </w:p>
        </w:tc>
        <w:tc>
          <w:tcPr>
            <w:tcW w:w="915" w:type="dxa"/>
            <w:tcBorders>
              <w:top w:val="nil"/>
              <w:left w:val="nil"/>
              <w:bottom w:val="nil"/>
              <w:right w:val="nil"/>
              <w:tl2br w:val="nil"/>
              <w:tr2bl w:val="nil"/>
            </w:tcBorders>
            <w:shd w:val="clear" w:color="auto" w:fill="FFFFFF"/>
            <w:tcMar>
              <w:left w:w="115" w:type="dxa"/>
              <w:right w:w="115" w:type="dxa"/>
            </w:tcMar>
            <w:vAlign w:val="bottom"/>
          </w:tcPr>
          <w:p w14:paraId="57D0D22A" w14:textId="77777777" w:rsidR="003F0EEA" w:rsidRPr="00E734E5" w:rsidRDefault="003F0EEA">
            <w:pPr>
              <w:jc w:val="center"/>
              <w:rPr>
                <w:rFonts w:ascii="Arial" w:eastAsia="Arial" w:hAnsi="Arial" w:cs="Arial"/>
                <w:color w:val="000000"/>
                <w:sz w:val="16"/>
                <w:vertAlign w:val="superscript"/>
              </w:rPr>
            </w:pPr>
          </w:p>
        </w:tc>
        <w:tc>
          <w:tcPr>
            <w:tcW w:w="1005" w:type="dxa"/>
            <w:tcBorders>
              <w:top w:val="nil"/>
              <w:left w:val="nil"/>
              <w:bottom w:val="nil"/>
              <w:right w:val="nil"/>
              <w:tl2br w:val="nil"/>
              <w:tr2bl w:val="nil"/>
            </w:tcBorders>
            <w:shd w:val="clear" w:color="auto" w:fill="FFFF00"/>
            <w:tcMar>
              <w:left w:w="115" w:type="dxa"/>
              <w:right w:w="115" w:type="dxa"/>
            </w:tcMar>
            <w:vAlign w:val="bottom"/>
          </w:tcPr>
          <w:p w14:paraId="011B6789" w14:textId="77777777" w:rsidR="003F0EEA" w:rsidRPr="00E734E5" w:rsidRDefault="00FB7D0B">
            <w:pPr>
              <w:jc w:val="right"/>
              <w:rPr>
                <w:rFonts w:ascii="Arial" w:eastAsia="Arial" w:hAnsi="Arial" w:cs="Arial"/>
                <w:color w:val="000000"/>
                <w:sz w:val="16"/>
                <w:vertAlign w:val="superscript"/>
              </w:rPr>
            </w:pPr>
            <w:r w:rsidRPr="00E734E5">
              <w:rPr>
                <w:rFonts w:ascii="Arial" w:eastAsia="Arial" w:hAnsi="Arial" w:cs="Arial"/>
                <w:color w:val="000000"/>
                <w:sz w:val="16"/>
              </w:rPr>
              <w:t xml:space="preserve"> - </w:t>
            </w:r>
          </w:p>
        </w:tc>
        <w:tc>
          <w:tcPr>
            <w:tcW w:w="1005" w:type="dxa"/>
            <w:tcBorders>
              <w:top w:val="nil"/>
              <w:left w:val="nil"/>
              <w:bottom w:val="nil"/>
              <w:right w:val="nil"/>
              <w:tl2br w:val="nil"/>
              <w:tr2bl w:val="nil"/>
            </w:tcBorders>
            <w:shd w:val="clear" w:color="auto" w:fill="FFFFFF"/>
            <w:tcMar>
              <w:left w:w="115" w:type="dxa"/>
              <w:right w:w="115" w:type="dxa"/>
            </w:tcMar>
            <w:vAlign w:val="bottom"/>
          </w:tcPr>
          <w:p w14:paraId="135F90D2" w14:textId="77777777" w:rsidR="003F0EEA" w:rsidRPr="00E734E5" w:rsidRDefault="00FB7D0B">
            <w:pPr>
              <w:jc w:val="right"/>
              <w:rPr>
                <w:rFonts w:ascii="Arial" w:eastAsia="Arial" w:hAnsi="Arial" w:cs="Arial"/>
                <w:color w:val="000000"/>
                <w:sz w:val="16"/>
              </w:rPr>
            </w:pPr>
            <w:r w:rsidRPr="00E734E5">
              <w:rPr>
                <w:rFonts w:ascii="Arial" w:eastAsia="Arial" w:hAnsi="Arial" w:cs="Arial"/>
                <w:color w:val="000000"/>
                <w:sz w:val="16"/>
              </w:rPr>
              <w:t xml:space="preserve"> - </w:t>
            </w:r>
          </w:p>
        </w:tc>
        <w:tc>
          <w:tcPr>
            <w:tcW w:w="1005" w:type="dxa"/>
            <w:tcBorders>
              <w:top w:val="nil"/>
              <w:left w:val="nil"/>
              <w:bottom w:val="nil"/>
              <w:right w:val="nil"/>
              <w:tl2br w:val="nil"/>
              <w:tr2bl w:val="nil"/>
            </w:tcBorders>
            <w:shd w:val="clear" w:color="auto" w:fill="FFFF00"/>
            <w:tcMar>
              <w:left w:w="115" w:type="dxa"/>
              <w:right w:w="115" w:type="dxa"/>
            </w:tcMar>
            <w:vAlign w:val="bottom"/>
          </w:tcPr>
          <w:p w14:paraId="5443758C" w14:textId="77777777" w:rsidR="003F0EEA" w:rsidRPr="00E734E5" w:rsidRDefault="00FB7D0B">
            <w:pPr>
              <w:jc w:val="right"/>
              <w:rPr>
                <w:rFonts w:ascii="Arial" w:eastAsia="Arial" w:hAnsi="Arial" w:cs="Arial"/>
                <w:color w:val="000000"/>
                <w:sz w:val="16"/>
              </w:rPr>
            </w:pPr>
            <w:r w:rsidRPr="00E734E5">
              <w:rPr>
                <w:rFonts w:ascii="Arial" w:eastAsia="Arial" w:hAnsi="Arial" w:cs="Arial"/>
                <w:color w:val="000000"/>
                <w:sz w:val="16"/>
              </w:rPr>
              <w:t xml:space="preserve"> - </w:t>
            </w:r>
          </w:p>
        </w:tc>
        <w:tc>
          <w:tcPr>
            <w:tcW w:w="1005" w:type="dxa"/>
            <w:tcBorders>
              <w:top w:val="nil"/>
              <w:left w:val="nil"/>
              <w:bottom w:val="nil"/>
              <w:right w:val="nil"/>
              <w:tl2br w:val="nil"/>
              <w:tr2bl w:val="nil"/>
            </w:tcBorders>
            <w:shd w:val="clear" w:color="auto" w:fill="FFFFFF"/>
            <w:tcMar>
              <w:left w:w="115" w:type="dxa"/>
              <w:right w:w="115" w:type="dxa"/>
            </w:tcMar>
            <w:vAlign w:val="bottom"/>
          </w:tcPr>
          <w:p w14:paraId="3B01561C" w14:textId="77777777" w:rsidR="003F0EEA" w:rsidRPr="00E734E5" w:rsidRDefault="00FB7D0B">
            <w:pPr>
              <w:jc w:val="right"/>
              <w:rPr>
                <w:rFonts w:ascii="Arial" w:eastAsia="Arial" w:hAnsi="Arial" w:cs="Arial"/>
                <w:color w:val="000000"/>
                <w:sz w:val="16"/>
              </w:rPr>
            </w:pPr>
            <w:r w:rsidRPr="00E734E5">
              <w:rPr>
                <w:rFonts w:ascii="Arial" w:eastAsia="Arial" w:hAnsi="Arial" w:cs="Arial"/>
                <w:color w:val="000000"/>
                <w:sz w:val="16"/>
              </w:rPr>
              <w:t xml:space="preserve"> - </w:t>
            </w:r>
          </w:p>
        </w:tc>
        <w:tc>
          <w:tcPr>
            <w:tcW w:w="1005" w:type="dxa"/>
            <w:tcBorders>
              <w:top w:val="nil"/>
              <w:left w:val="nil"/>
              <w:bottom w:val="nil"/>
              <w:right w:val="nil"/>
              <w:tl2br w:val="nil"/>
              <w:tr2bl w:val="nil"/>
            </w:tcBorders>
            <w:shd w:val="clear" w:color="auto" w:fill="FFFF00"/>
            <w:tcMar>
              <w:left w:w="115" w:type="dxa"/>
              <w:right w:w="115" w:type="dxa"/>
            </w:tcMar>
            <w:vAlign w:val="bottom"/>
          </w:tcPr>
          <w:p w14:paraId="3D515507" w14:textId="77777777" w:rsidR="003F0EEA" w:rsidRPr="00E734E5" w:rsidRDefault="00FB7D0B">
            <w:pPr>
              <w:jc w:val="right"/>
              <w:rPr>
                <w:rFonts w:ascii="Arial" w:eastAsia="Arial" w:hAnsi="Arial" w:cs="Arial"/>
                <w:color w:val="000000"/>
                <w:sz w:val="16"/>
              </w:rPr>
            </w:pPr>
            <w:r w:rsidRPr="00E734E5">
              <w:rPr>
                <w:rFonts w:ascii="Arial" w:eastAsia="Arial" w:hAnsi="Arial" w:cs="Arial"/>
                <w:color w:val="000000"/>
                <w:sz w:val="16"/>
              </w:rPr>
              <w:t>205  </w:t>
            </w:r>
          </w:p>
        </w:tc>
      </w:tr>
      <w:tr w:rsidR="00FB7D0B" w14:paraId="5558AA06" w14:textId="77777777" w:rsidTr="00FB7D0B">
        <w:trPr>
          <w:trHeight w:val="225"/>
        </w:trPr>
        <w:tc>
          <w:tcPr>
            <w:tcW w:w="2460" w:type="dxa"/>
            <w:gridSpan w:val="2"/>
            <w:tcBorders>
              <w:top w:val="nil"/>
              <w:left w:val="nil"/>
              <w:bottom w:val="nil"/>
              <w:right w:val="nil"/>
              <w:tl2br w:val="nil"/>
              <w:tr2bl w:val="nil"/>
            </w:tcBorders>
            <w:shd w:val="clear" w:color="auto" w:fill="FFFFFF"/>
            <w:tcMar>
              <w:left w:w="115" w:type="dxa"/>
              <w:right w:w="115" w:type="dxa"/>
            </w:tcMar>
            <w:vAlign w:val="bottom"/>
          </w:tcPr>
          <w:p w14:paraId="17F7AE29" w14:textId="77777777" w:rsidR="003F0EEA" w:rsidRPr="00E734E5" w:rsidRDefault="00FB7D0B">
            <w:pPr>
              <w:rPr>
                <w:rFonts w:ascii="Arial" w:eastAsia="Arial" w:hAnsi="Arial" w:cs="Arial"/>
                <w:color w:val="000000"/>
                <w:sz w:val="16"/>
              </w:rPr>
            </w:pPr>
            <w:r w:rsidRPr="00E734E5">
              <w:rPr>
                <w:rFonts w:ascii="Arial" w:eastAsia="Arial" w:hAnsi="Arial" w:cs="Arial"/>
                <w:b/>
                <w:color w:val="000000"/>
                <w:sz w:val="16"/>
              </w:rPr>
              <w:t xml:space="preserve">Total </w:t>
            </w:r>
          </w:p>
        </w:tc>
        <w:tc>
          <w:tcPr>
            <w:tcW w:w="915" w:type="dxa"/>
            <w:tcBorders>
              <w:top w:val="nil"/>
              <w:left w:val="nil"/>
              <w:bottom w:val="nil"/>
              <w:right w:val="nil"/>
              <w:tl2br w:val="nil"/>
              <w:tr2bl w:val="nil"/>
            </w:tcBorders>
            <w:shd w:val="clear" w:color="auto" w:fill="FFFFFF"/>
            <w:tcMar>
              <w:left w:w="115" w:type="dxa"/>
              <w:right w:w="115" w:type="dxa"/>
            </w:tcMar>
            <w:vAlign w:val="bottom"/>
          </w:tcPr>
          <w:p w14:paraId="13E11378" w14:textId="77777777" w:rsidR="003F0EEA" w:rsidRPr="00E734E5" w:rsidRDefault="003F0EEA">
            <w:pPr>
              <w:jc w:val="center"/>
              <w:rPr>
                <w:rFonts w:ascii="Arial" w:eastAsia="Arial" w:hAnsi="Arial" w:cs="Arial"/>
                <w:b/>
                <w:color w:val="000000"/>
                <w:sz w:val="16"/>
                <w:vertAlign w:val="superscript"/>
              </w:rPr>
            </w:pPr>
          </w:p>
        </w:tc>
        <w:tc>
          <w:tcPr>
            <w:tcW w:w="1005" w:type="dxa"/>
            <w:tcBorders>
              <w:top w:val="nil"/>
              <w:left w:val="nil"/>
              <w:bottom w:val="single" w:sz="6" w:space="0" w:color="000000"/>
              <w:right w:val="nil"/>
              <w:tl2br w:val="nil"/>
              <w:tr2bl w:val="nil"/>
            </w:tcBorders>
            <w:shd w:val="clear" w:color="auto" w:fill="FFFF00"/>
            <w:tcMar>
              <w:left w:w="115" w:type="dxa"/>
              <w:right w:w="115" w:type="dxa"/>
            </w:tcMar>
            <w:vAlign w:val="bottom"/>
          </w:tcPr>
          <w:p w14:paraId="3CB49B64" w14:textId="77777777" w:rsidR="003F0EEA" w:rsidRPr="00E734E5" w:rsidRDefault="00FB7D0B">
            <w:pPr>
              <w:jc w:val="right"/>
              <w:rPr>
                <w:rFonts w:ascii="Arial" w:eastAsia="Arial" w:hAnsi="Arial" w:cs="Arial"/>
                <w:color w:val="000000"/>
                <w:sz w:val="16"/>
                <w:vertAlign w:val="superscript"/>
              </w:rPr>
            </w:pPr>
            <w:r w:rsidRPr="00E734E5">
              <w:rPr>
                <w:rFonts w:ascii="Arial" w:eastAsia="Arial" w:hAnsi="Arial" w:cs="Arial"/>
                <w:b/>
                <w:color w:val="000000"/>
                <w:sz w:val="16"/>
              </w:rPr>
              <w:t xml:space="preserve"> - </w:t>
            </w:r>
          </w:p>
        </w:tc>
        <w:tc>
          <w:tcPr>
            <w:tcW w:w="1005"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77BA1907" w14:textId="77777777" w:rsidR="003F0EEA" w:rsidRPr="00E734E5" w:rsidRDefault="00FB7D0B">
            <w:pPr>
              <w:jc w:val="right"/>
              <w:rPr>
                <w:rFonts w:ascii="Arial" w:eastAsia="Arial" w:hAnsi="Arial" w:cs="Arial"/>
                <w:b/>
                <w:color w:val="000000"/>
                <w:sz w:val="16"/>
              </w:rPr>
            </w:pPr>
            <w:r w:rsidRPr="00E734E5">
              <w:rPr>
                <w:rFonts w:ascii="Arial" w:eastAsia="Arial" w:hAnsi="Arial" w:cs="Arial"/>
                <w:b/>
                <w:color w:val="000000"/>
                <w:sz w:val="16"/>
              </w:rPr>
              <w:t xml:space="preserve"> - </w:t>
            </w:r>
          </w:p>
        </w:tc>
        <w:tc>
          <w:tcPr>
            <w:tcW w:w="1005" w:type="dxa"/>
            <w:tcBorders>
              <w:top w:val="nil"/>
              <w:left w:val="nil"/>
              <w:bottom w:val="single" w:sz="6" w:space="0" w:color="000000"/>
              <w:right w:val="nil"/>
              <w:tl2br w:val="nil"/>
              <w:tr2bl w:val="nil"/>
            </w:tcBorders>
            <w:shd w:val="clear" w:color="auto" w:fill="FFFF00"/>
            <w:tcMar>
              <w:left w:w="115" w:type="dxa"/>
              <w:right w:w="115" w:type="dxa"/>
            </w:tcMar>
            <w:vAlign w:val="bottom"/>
          </w:tcPr>
          <w:p w14:paraId="395F093F" w14:textId="77777777" w:rsidR="003F0EEA" w:rsidRPr="00E734E5" w:rsidRDefault="00FB7D0B">
            <w:pPr>
              <w:jc w:val="right"/>
              <w:rPr>
                <w:rFonts w:ascii="Arial" w:eastAsia="Arial" w:hAnsi="Arial" w:cs="Arial"/>
                <w:b/>
                <w:color w:val="000000"/>
                <w:sz w:val="16"/>
              </w:rPr>
            </w:pPr>
            <w:r w:rsidRPr="00E734E5">
              <w:rPr>
                <w:rFonts w:ascii="Arial" w:eastAsia="Arial" w:hAnsi="Arial" w:cs="Arial"/>
                <w:b/>
                <w:color w:val="000000"/>
                <w:sz w:val="16"/>
              </w:rPr>
              <w:t xml:space="preserve"> - </w:t>
            </w:r>
          </w:p>
        </w:tc>
        <w:tc>
          <w:tcPr>
            <w:tcW w:w="1005"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0DF2785A" w14:textId="77777777" w:rsidR="003F0EEA" w:rsidRPr="00E734E5" w:rsidRDefault="00FB7D0B">
            <w:pPr>
              <w:jc w:val="right"/>
              <w:rPr>
                <w:rFonts w:ascii="Arial" w:eastAsia="Arial" w:hAnsi="Arial" w:cs="Arial"/>
                <w:b/>
                <w:color w:val="000000"/>
                <w:sz w:val="16"/>
              </w:rPr>
            </w:pPr>
            <w:r w:rsidRPr="00E734E5">
              <w:rPr>
                <w:rFonts w:ascii="Arial" w:eastAsia="Arial" w:hAnsi="Arial" w:cs="Arial"/>
                <w:b/>
                <w:color w:val="000000"/>
                <w:sz w:val="16"/>
              </w:rPr>
              <w:t xml:space="preserve"> - </w:t>
            </w:r>
          </w:p>
        </w:tc>
        <w:tc>
          <w:tcPr>
            <w:tcW w:w="1005" w:type="dxa"/>
            <w:tcBorders>
              <w:top w:val="nil"/>
              <w:left w:val="nil"/>
              <w:bottom w:val="single" w:sz="6" w:space="0" w:color="000000"/>
              <w:right w:val="nil"/>
              <w:tl2br w:val="nil"/>
              <w:tr2bl w:val="nil"/>
            </w:tcBorders>
            <w:shd w:val="clear" w:color="auto" w:fill="FFFF00"/>
            <w:tcMar>
              <w:left w:w="115" w:type="dxa"/>
              <w:right w:w="115" w:type="dxa"/>
            </w:tcMar>
            <w:vAlign w:val="bottom"/>
          </w:tcPr>
          <w:p w14:paraId="29FFCC98" w14:textId="77777777" w:rsidR="003F0EEA" w:rsidRPr="00E734E5" w:rsidRDefault="00FB7D0B">
            <w:pPr>
              <w:jc w:val="right"/>
              <w:rPr>
                <w:rFonts w:ascii="Arial" w:eastAsia="Arial" w:hAnsi="Arial" w:cs="Arial"/>
                <w:b/>
                <w:color w:val="000000"/>
                <w:sz w:val="16"/>
              </w:rPr>
            </w:pPr>
            <w:r w:rsidRPr="00E734E5">
              <w:rPr>
                <w:rFonts w:ascii="Arial" w:eastAsia="Arial" w:hAnsi="Arial" w:cs="Arial"/>
                <w:b/>
                <w:color w:val="000000"/>
                <w:sz w:val="16"/>
              </w:rPr>
              <w:t>(4,685)</w:t>
            </w:r>
          </w:p>
        </w:tc>
      </w:tr>
      <w:tr w:rsidR="00724034" w14:paraId="3883AC3F" w14:textId="77777777">
        <w:trPr>
          <w:trHeight w:val="225"/>
        </w:trPr>
        <w:tc>
          <w:tcPr>
            <w:tcW w:w="180" w:type="dxa"/>
            <w:tcBorders>
              <w:top w:val="nil"/>
              <w:left w:val="nil"/>
              <w:bottom w:val="nil"/>
              <w:right w:val="nil"/>
              <w:tl2br w:val="nil"/>
              <w:tr2bl w:val="nil"/>
            </w:tcBorders>
            <w:shd w:val="clear" w:color="auto" w:fill="FFFFFF"/>
            <w:tcMar>
              <w:left w:w="115" w:type="dxa"/>
              <w:right w:w="115" w:type="dxa"/>
            </w:tcMar>
            <w:vAlign w:val="bottom"/>
          </w:tcPr>
          <w:p w14:paraId="457F9AF8" w14:textId="77777777" w:rsidR="003F0EEA" w:rsidRPr="00E734E5" w:rsidRDefault="003F0EEA">
            <w:pPr>
              <w:rPr>
                <w:rFonts w:ascii="Arial" w:eastAsia="Arial" w:hAnsi="Arial" w:cs="Arial"/>
                <w:b/>
                <w:color w:val="000000"/>
                <w:sz w:val="16"/>
              </w:rPr>
            </w:pPr>
          </w:p>
        </w:tc>
        <w:tc>
          <w:tcPr>
            <w:tcW w:w="2280" w:type="dxa"/>
            <w:tcBorders>
              <w:top w:val="nil"/>
              <w:left w:val="nil"/>
              <w:bottom w:val="nil"/>
              <w:right w:val="nil"/>
              <w:tl2br w:val="nil"/>
              <w:tr2bl w:val="nil"/>
            </w:tcBorders>
            <w:shd w:val="clear" w:color="auto" w:fill="FFFFFF"/>
            <w:tcMar>
              <w:left w:w="115" w:type="dxa"/>
              <w:right w:w="115" w:type="dxa"/>
            </w:tcMar>
            <w:vAlign w:val="bottom"/>
          </w:tcPr>
          <w:p w14:paraId="4B69006C" w14:textId="77777777" w:rsidR="003F0EEA" w:rsidRPr="00E734E5" w:rsidRDefault="003F0EEA">
            <w:pPr>
              <w:rPr>
                <w:rFonts w:ascii="Arial" w:eastAsia="Arial" w:hAnsi="Arial" w:cs="Arial"/>
                <w:b/>
                <w:color w:val="000000"/>
                <w:sz w:val="16"/>
              </w:rPr>
            </w:pPr>
          </w:p>
        </w:tc>
        <w:tc>
          <w:tcPr>
            <w:tcW w:w="915" w:type="dxa"/>
            <w:tcBorders>
              <w:top w:val="nil"/>
              <w:left w:val="nil"/>
              <w:bottom w:val="nil"/>
              <w:right w:val="nil"/>
              <w:tl2br w:val="nil"/>
              <w:tr2bl w:val="nil"/>
            </w:tcBorders>
            <w:shd w:val="clear" w:color="auto" w:fill="FFFFFF"/>
            <w:tcMar>
              <w:left w:w="115" w:type="dxa"/>
              <w:right w:w="115" w:type="dxa"/>
            </w:tcMar>
            <w:vAlign w:val="bottom"/>
          </w:tcPr>
          <w:p w14:paraId="16421165" w14:textId="77777777" w:rsidR="003F0EEA" w:rsidRPr="00E734E5" w:rsidRDefault="003F0EEA">
            <w:pPr>
              <w:jc w:val="center"/>
              <w:rPr>
                <w:rFonts w:ascii="Arial" w:eastAsia="Arial" w:hAnsi="Arial" w:cs="Arial"/>
                <w:b/>
                <w:color w:val="000000"/>
                <w:sz w:val="16"/>
                <w:vertAlign w:val="superscript"/>
              </w:rPr>
            </w:pPr>
          </w:p>
        </w:tc>
        <w:tc>
          <w:tcPr>
            <w:tcW w:w="1005" w:type="dxa"/>
            <w:tcBorders>
              <w:top w:val="single" w:sz="6" w:space="0" w:color="000000"/>
              <w:left w:val="nil"/>
              <w:bottom w:val="nil"/>
              <w:right w:val="nil"/>
              <w:tl2br w:val="nil"/>
              <w:tr2bl w:val="nil"/>
            </w:tcBorders>
            <w:shd w:val="clear" w:color="auto" w:fill="FFFF00"/>
            <w:tcMar>
              <w:left w:w="115" w:type="dxa"/>
              <w:right w:w="115" w:type="dxa"/>
            </w:tcMar>
            <w:vAlign w:val="bottom"/>
          </w:tcPr>
          <w:p w14:paraId="7FA20137" w14:textId="77777777" w:rsidR="003F0EEA" w:rsidRPr="00E734E5" w:rsidRDefault="003F0EEA">
            <w:pPr>
              <w:jc w:val="right"/>
              <w:rPr>
                <w:rFonts w:ascii="Arial" w:eastAsia="Arial" w:hAnsi="Arial" w:cs="Arial"/>
                <w:color w:val="000000"/>
                <w:sz w:val="16"/>
                <w:vertAlign w:val="superscript"/>
              </w:rPr>
            </w:pPr>
          </w:p>
        </w:tc>
        <w:tc>
          <w:tcPr>
            <w:tcW w:w="1005"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05159DA9" w14:textId="77777777" w:rsidR="003F0EEA" w:rsidRPr="00E734E5" w:rsidRDefault="003F0EEA">
            <w:pPr>
              <w:jc w:val="right"/>
              <w:rPr>
                <w:rFonts w:ascii="Arial" w:eastAsia="Arial" w:hAnsi="Arial" w:cs="Arial"/>
                <w:b/>
                <w:color w:val="000000"/>
                <w:sz w:val="16"/>
                <w:vertAlign w:val="superscript"/>
              </w:rPr>
            </w:pPr>
          </w:p>
        </w:tc>
        <w:tc>
          <w:tcPr>
            <w:tcW w:w="1005" w:type="dxa"/>
            <w:tcBorders>
              <w:top w:val="single" w:sz="6" w:space="0" w:color="000000"/>
              <w:left w:val="nil"/>
              <w:bottom w:val="nil"/>
              <w:right w:val="nil"/>
              <w:tl2br w:val="nil"/>
              <w:tr2bl w:val="nil"/>
            </w:tcBorders>
            <w:shd w:val="clear" w:color="auto" w:fill="FFFF00"/>
            <w:tcMar>
              <w:left w:w="115" w:type="dxa"/>
              <w:right w:w="115" w:type="dxa"/>
            </w:tcMar>
            <w:vAlign w:val="bottom"/>
          </w:tcPr>
          <w:p w14:paraId="294E077B" w14:textId="77777777" w:rsidR="003F0EEA" w:rsidRPr="00E734E5" w:rsidRDefault="003F0EEA">
            <w:pPr>
              <w:jc w:val="right"/>
              <w:rPr>
                <w:rFonts w:ascii="Arial" w:eastAsia="Arial" w:hAnsi="Arial" w:cs="Arial"/>
                <w:b/>
                <w:color w:val="000000"/>
                <w:sz w:val="16"/>
                <w:vertAlign w:val="superscript"/>
              </w:rPr>
            </w:pPr>
          </w:p>
        </w:tc>
        <w:tc>
          <w:tcPr>
            <w:tcW w:w="1005"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3181BE2B" w14:textId="77777777" w:rsidR="003F0EEA" w:rsidRPr="00E734E5" w:rsidRDefault="003F0EEA">
            <w:pPr>
              <w:jc w:val="right"/>
              <w:rPr>
                <w:rFonts w:ascii="Arial" w:eastAsia="Arial" w:hAnsi="Arial" w:cs="Arial"/>
                <w:b/>
                <w:color w:val="000000"/>
                <w:sz w:val="16"/>
                <w:vertAlign w:val="superscript"/>
              </w:rPr>
            </w:pPr>
          </w:p>
        </w:tc>
        <w:tc>
          <w:tcPr>
            <w:tcW w:w="1005" w:type="dxa"/>
            <w:tcBorders>
              <w:top w:val="single" w:sz="6" w:space="0" w:color="000000"/>
              <w:left w:val="nil"/>
              <w:bottom w:val="nil"/>
              <w:right w:val="nil"/>
              <w:tl2br w:val="nil"/>
              <w:tr2bl w:val="nil"/>
            </w:tcBorders>
            <w:shd w:val="clear" w:color="auto" w:fill="FFFF00"/>
            <w:tcMar>
              <w:left w:w="115" w:type="dxa"/>
              <w:right w:w="115" w:type="dxa"/>
            </w:tcMar>
            <w:vAlign w:val="bottom"/>
          </w:tcPr>
          <w:p w14:paraId="59695235" w14:textId="77777777" w:rsidR="003F0EEA" w:rsidRPr="00E734E5" w:rsidRDefault="003F0EEA">
            <w:pPr>
              <w:jc w:val="right"/>
              <w:rPr>
                <w:rFonts w:ascii="Arial" w:eastAsia="Arial" w:hAnsi="Arial" w:cs="Arial"/>
                <w:b/>
                <w:color w:val="000000"/>
                <w:sz w:val="16"/>
                <w:vertAlign w:val="superscript"/>
              </w:rPr>
            </w:pPr>
          </w:p>
        </w:tc>
      </w:tr>
      <w:tr w:rsidR="00FB7D0B" w14:paraId="2411280D" w14:textId="77777777" w:rsidTr="00FB7D0B">
        <w:trPr>
          <w:trHeight w:val="450"/>
        </w:trPr>
        <w:tc>
          <w:tcPr>
            <w:tcW w:w="2460" w:type="dxa"/>
            <w:gridSpan w:val="2"/>
            <w:tcBorders>
              <w:top w:val="nil"/>
              <w:left w:val="nil"/>
              <w:bottom w:val="nil"/>
              <w:right w:val="nil"/>
              <w:tl2br w:val="nil"/>
              <w:tr2bl w:val="nil"/>
            </w:tcBorders>
            <w:shd w:val="clear" w:color="auto" w:fill="FFFFFF"/>
            <w:tcMar>
              <w:left w:w="115" w:type="dxa"/>
              <w:right w:w="115" w:type="dxa"/>
            </w:tcMar>
            <w:vAlign w:val="bottom"/>
          </w:tcPr>
          <w:p w14:paraId="2E73C36E" w14:textId="77777777" w:rsidR="003F0EEA" w:rsidRPr="00E734E5" w:rsidRDefault="00FB7D0B">
            <w:pPr>
              <w:rPr>
                <w:rFonts w:ascii="Arial" w:eastAsia="Arial" w:hAnsi="Arial" w:cs="Arial"/>
                <w:b/>
                <w:color w:val="000000"/>
                <w:sz w:val="16"/>
                <w:vertAlign w:val="superscript"/>
              </w:rPr>
            </w:pPr>
            <w:r w:rsidRPr="00E734E5">
              <w:rPr>
                <w:rFonts w:ascii="Arial" w:eastAsia="Arial" w:hAnsi="Arial" w:cs="Arial"/>
                <w:color w:val="000000"/>
                <w:sz w:val="16"/>
              </w:rPr>
              <w:t>Reset the Assets Test Deeming Rate Thresholds</w:t>
            </w:r>
            <w:r w:rsidRPr="00E734E5">
              <w:rPr>
                <w:rFonts w:ascii="Arial" w:eastAsia="Arial" w:hAnsi="Arial" w:cs="Arial"/>
                <w:color w:val="000000"/>
                <w:sz w:val="16"/>
                <w:vertAlign w:val="superscript"/>
              </w:rPr>
              <w:t>1 </w:t>
            </w:r>
          </w:p>
        </w:tc>
        <w:tc>
          <w:tcPr>
            <w:tcW w:w="915" w:type="dxa"/>
            <w:tcBorders>
              <w:top w:val="nil"/>
              <w:left w:val="nil"/>
              <w:bottom w:val="nil"/>
              <w:right w:val="nil"/>
              <w:tl2br w:val="nil"/>
              <w:tr2bl w:val="nil"/>
            </w:tcBorders>
            <w:shd w:val="clear" w:color="auto" w:fill="FFFFFF"/>
            <w:tcMar>
              <w:left w:w="115" w:type="dxa"/>
              <w:right w:w="115" w:type="dxa"/>
            </w:tcMar>
            <w:vAlign w:val="bottom"/>
          </w:tcPr>
          <w:p w14:paraId="2A1D24EF" w14:textId="77777777" w:rsidR="003F0EEA" w:rsidRPr="00E734E5" w:rsidRDefault="00FB7D0B">
            <w:pPr>
              <w:jc w:val="center"/>
              <w:rPr>
                <w:rFonts w:ascii="Arial" w:eastAsia="Arial" w:hAnsi="Arial" w:cs="Arial"/>
                <w:color w:val="000000"/>
                <w:sz w:val="16"/>
                <w:vertAlign w:val="superscript"/>
              </w:rPr>
            </w:pPr>
            <w:r w:rsidRPr="00E734E5">
              <w:rPr>
                <w:rFonts w:ascii="Arial" w:eastAsia="Arial" w:hAnsi="Arial" w:cs="Arial"/>
                <w:color w:val="000000"/>
                <w:sz w:val="16"/>
              </w:rPr>
              <w:t>1.1 </w:t>
            </w:r>
          </w:p>
        </w:tc>
        <w:tc>
          <w:tcPr>
            <w:tcW w:w="1005" w:type="dxa"/>
            <w:tcBorders>
              <w:top w:val="nil"/>
              <w:left w:val="nil"/>
              <w:bottom w:val="nil"/>
              <w:right w:val="nil"/>
              <w:tl2br w:val="nil"/>
              <w:tr2bl w:val="nil"/>
            </w:tcBorders>
            <w:shd w:val="clear" w:color="auto" w:fill="FFFF00"/>
            <w:tcMar>
              <w:left w:w="115" w:type="dxa"/>
              <w:right w:w="115" w:type="dxa"/>
            </w:tcMar>
            <w:vAlign w:val="bottom"/>
          </w:tcPr>
          <w:p w14:paraId="3B1EB3B9" w14:textId="77777777" w:rsidR="003F0EEA" w:rsidRPr="00E734E5" w:rsidRDefault="003F0EEA">
            <w:pPr>
              <w:jc w:val="right"/>
              <w:rPr>
                <w:rFonts w:ascii="Arial" w:eastAsia="Arial" w:hAnsi="Arial" w:cs="Arial"/>
                <w:color w:val="000000"/>
                <w:sz w:val="16"/>
              </w:rPr>
            </w:pPr>
          </w:p>
        </w:tc>
        <w:tc>
          <w:tcPr>
            <w:tcW w:w="1005" w:type="dxa"/>
            <w:tcBorders>
              <w:top w:val="nil"/>
              <w:left w:val="nil"/>
              <w:bottom w:val="nil"/>
              <w:right w:val="nil"/>
              <w:tl2br w:val="nil"/>
              <w:tr2bl w:val="nil"/>
            </w:tcBorders>
            <w:shd w:val="clear" w:color="auto" w:fill="FFFFFF"/>
            <w:tcMar>
              <w:left w:w="115" w:type="dxa"/>
              <w:right w:w="115" w:type="dxa"/>
            </w:tcMar>
            <w:vAlign w:val="bottom"/>
          </w:tcPr>
          <w:p w14:paraId="23E1A450" w14:textId="77777777" w:rsidR="003F0EEA" w:rsidRPr="00E734E5" w:rsidRDefault="003F0EEA">
            <w:pPr>
              <w:jc w:val="right"/>
              <w:rPr>
                <w:rFonts w:ascii="Arial" w:eastAsia="Arial" w:hAnsi="Arial" w:cs="Arial"/>
                <w:color w:val="000000"/>
                <w:sz w:val="16"/>
              </w:rPr>
            </w:pPr>
          </w:p>
        </w:tc>
        <w:tc>
          <w:tcPr>
            <w:tcW w:w="1005" w:type="dxa"/>
            <w:tcBorders>
              <w:top w:val="nil"/>
              <w:left w:val="nil"/>
              <w:bottom w:val="nil"/>
              <w:right w:val="nil"/>
              <w:tl2br w:val="nil"/>
              <w:tr2bl w:val="nil"/>
            </w:tcBorders>
            <w:shd w:val="clear" w:color="auto" w:fill="FFFF00"/>
            <w:tcMar>
              <w:left w:w="115" w:type="dxa"/>
              <w:right w:w="115" w:type="dxa"/>
            </w:tcMar>
            <w:vAlign w:val="bottom"/>
          </w:tcPr>
          <w:p w14:paraId="22695E51" w14:textId="77777777" w:rsidR="003F0EEA" w:rsidRPr="00E734E5" w:rsidRDefault="003F0EEA">
            <w:pPr>
              <w:jc w:val="right"/>
              <w:rPr>
                <w:rFonts w:ascii="Arial" w:eastAsia="Arial" w:hAnsi="Arial" w:cs="Arial"/>
                <w:color w:val="000000"/>
                <w:sz w:val="16"/>
              </w:rPr>
            </w:pPr>
          </w:p>
        </w:tc>
        <w:tc>
          <w:tcPr>
            <w:tcW w:w="1005" w:type="dxa"/>
            <w:tcBorders>
              <w:top w:val="nil"/>
              <w:left w:val="nil"/>
              <w:bottom w:val="nil"/>
              <w:right w:val="nil"/>
              <w:tl2br w:val="nil"/>
              <w:tr2bl w:val="nil"/>
            </w:tcBorders>
            <w:shd w:val="clear" w:color="auto" w:fill="FFFFFF"/>
            <w:tcMar>
              <w:left w:w="115" w:type="dxa"/>
              <w:right w:w="115" w:type="dxa"/>
            </w:tcMar>
            <w:vAlign w:val="bottom"/>
          </w:tcPr>
          <w:p w14:paraId="3F540751" w14:textId="77777777" w:rsidR="003F0EEA" w:rsidRPr="00E734E5" w:rsidRDefault="003F0EEA">
            <w:pPr>
              <w:jc w:val="right"/>
              <w:rPr>
                <w:rFonts w:ascii="Arial" w:eastAsia="Arial" w:hAnsi="Arial" w:cs="Arial"/>
                <w:color w:val="000000"/>
                <w:sz w:val="16"/>
              </w:rPr>
            </w:pPr>
          </w:p>
        </w:tc>
        <w:tc>
          <w:tcPr>
            <w:tcW w:w="1005" w:type="dxa"/>
            <w:tcBorders>
              <w:top w:val="nil"/>
              <w:left w:val="nil"/>
              <w:bottom w:val="nil"/>
              <w:right w:val="nil"/>
              <w:tl2br w:val="nil"/>
              <w:tr2bl w:val="nil"/>
            </w:tcBorders>
            <w:shd w:val="clear" w:color="auto" w:fill="FFFF00"/>
            <w:tcMar>
              <w:left w:w="115" w:type="dxa"/>
              <w:right w:w="115" w:type="dxa"/>
            </w:tcMar>
            <w:vAlign w:val="bottom"/>
          </w:tcPr>
          <w:p w14:paraId="15A9899E" w14:textId="77777777" w:rsidR="003F0EEA" w:rsidRPr="00E734E5" w:rsidRDefault="003F0EEA">
            <w:pPr>
              <w:jc w:val="right"/>
              <w:rPr>
                <w:rFonts w:ascii="Arial" w:eastAsia="Arial" w:hAnsi="Arial" w:cs="Arial"/>
                <w:color w:val="000000"/>
                <w:sz w:val="16"/>
              </w:rPr>
            </w:pPr>
          </w:p>
        </w:tc>
      </w:tr>
      <w:tr w:rsidR="00724034" w14:paraId="39E73FD2" w14:textId="77777777">
        <w:trPr>
          <w:trHeight w:val="225"/>
        </w:trPr>
        <w:tc>
          <w:tcPr>
            <w:tcW w:w="180" w:type="dxa"/>
            <w:tcBorders>
              <w:top w:val="nil"/>
              <w:left w:val="nil"/>
              <w:bottom w:val="nil"/>
              <w:right w:val="nil"/>
              <w:tl2br w:val="nil"/>
              <w:tr2bl w:val="nil"/>
            </w:tcBorders>
            <w:shd w:val="clear" w:color="auto" w:fill="FFFFFF"/>
            <w:tcMar>
              <w:left w:w="115" w:type="dxa"/>
              <w:right w:w="115" w:type="dxa"/>
            </w:tcMar>
            <w:vAlign w:val="bottom"/>
          </w:tcPr>
          <w:p w14:paraId="413A304C" w14:textId="77777777" w:rsidR="003F0EEA" w:rsidRPr="00E734E5" w:rsidRDefault="003F0EEA">
            <w:pPr>
              <w:rPr>
                <w:rFonts w:ascii="Arial" w:eastAsia="Arial" w:hAnsi="Arial" w:cs="Arial"/>
                <w:color w:val="000000"/>
                <w:sz w:val="16"/>
              </w:rPr>
            </w:pPr>
          </w:p>
        </w:tc>
        <w:tc>
          <w:tcPr>
            <w:tcW w:w="2280" w:type="dxa"/>
            <w:tcBorders>
              <w:top w:val="nil"/>
              <w:left w:val="nil"/>
              <w:bottom w:val="nil"/>
              <w:right w:val="nil"/>
              <w:tl2br w:val="nil"/>
              <w:tr2bl w:val="nil"/>
            </w:tcBorders>
            <w:shd w:val="clear" w:color="auto" w:fill="FFFFFF"/>
            <w:tcMar>
              <w:left w:w="115" w:type="dxa"/>
              <w:right w:w="115" w:type="dxa"/>
            </w:tcMar>
            <w:vAlign w:val="bottom"/>
          </w:tcPr>
          <w:p w14:paraId="705BA893" w14:textId="77777777" w:rsidR="003F0EEA" w:rsidRPr="00E734E5" w:rsidRDefault="00FB7D0B">
            <w:pPr>
              <w:rPr>
                <w:rFonts w:ascii="Arial" w:eastAsia="Arial" w:hAnsi="Arial" w:cs="Arial"/>
                <w:color w:val="000000"/>
                <w:sz w:val="16"/>
              </w:rPr>
            </w:pPr>
            <w:r w:rsidRPr="00E734E5">
              <w:rPr>
                <w:rFonts w:ascii="Arial" w:eastAsia="Arial" w:hAnsi="Arial" w:cs="Arial"/>
                <w:color w:val="000000"/>
                <w:sz w:val="16"/>
              </w:rPr>
              <w:t>Administered expenses</w:t>
            </w:r>
          </w:p>
        </w:tc>
        <w:tc>
          <w:tcPr>
            <w:tcW w:w="915" w:type="dxa"/>
            <w:tcBorders>
              <w:top w:val="nil"/>
              <w:left w:val="nil"/>
              <w:bottom w:val="nil"/>
              <w:right w:val="nil"/>
              <w:tl2br w:val="nil"/>
              <w:tr2bl w:val="nil"/>
            </w:tcBorders>
            <w:shd w:val="clear" w:color="auto" w:fill="FFFFFF"/>
            <w:tcMar>
              <w:left w:w="115" w:type="dxa"/>
              <w:right w:w="115" w:type="dxa"/>
            </w:tcMar>
            <w:vAlign w:val="bottom"/>
          </w:tcPr>
          <w:p w14:paraId="075F0EDC" w14:textId="77777777" w:rsidR="003F0EEA" w:rsidRPr="00E734E5" w:rsidRDefault="003F0EEA">
            <w:pPr>
              <w:jc w:val="center"/>
              <w:rPr>
                <w:rFonts w:ascii="Arial" w:eastAsia="Arial" w:hAnsi="Arial" w:cs="Arial"/>
                <w:color w:val="000000"/>
                <w:sz w:val="16"/>
                <w:vertAlign w:val="superscript"/>
              </w:rPr>
            </w:pPr>
          </w:p>
        </w:tc>
        <w:tc>
          <w:tcPr>
            <w:tcW w:w="1005" w:type="dxa"/>
            <w:tcBorders>
              <w:top w:val="nil"/>
              <w:left w:val="nil"/>
              <w:bottom w:val="nil"/>
              <w:right w:val="nil"/>
              <w:tl2br w:val="nil"/>
              <w:tr2bl w:val="nil"/>
            </w:tcBorders>
            <w:shd w:val="clear" w:color="auto" w:fill="FFFF00"/>
            <w:tcMar>
              <w:left w:w="115" w:type="dxa"/>
              <w:right w:w="115" w:type="dxa"/>
            </w:tcMar>
            <w:vAlign w:val="bottom"/>
          </w:tcPr>
          <w:p w14:paraId="64C9C059" w14:textId="77777777" w:rsidR="003F0EEA" w:rsidRPr="00E734E5" w:rsidRDefault="00FB7D0B">
            <w:pPr>
              <w:jc w:val="right"/>
              <w:rPr>
                <w:rFonts w:ascii="Arial" w:eastAsia="Arial" w:hAnsi="Arial" w:cs="Arial"/>
                <w:color w:val="000000"/>
                <w:sz w:val="16"/>
                <w:vertAlign w:val="superscript"/>
              </w:rPr>
            </w:pPr>
            <w:r w:rsidRPr="00E734E5">
              <w:rPr>
                <w:rFonts w:ascii="Arial" w:eastAsia="Arial" w:hAnsi="Arial" w:cs="Arial"/>
                <w:color w:val="000000"/>
                <w:sz w:val="16"/>
              </w:rPr>
              <w:t xml:space="preserve"> - </w:t>
            </w:r>
          </w:p>
        </w:tc>
        <w:tc>
          <w:tcPr>
            <w:tcW w:w="1005" w:type="dxa"/>
            <w:tcBorders>
              <w:top w:val="nil"/>
              <w:left w:val="nil"/>
              <w:bottom w:val="nil"/>
              <w:right w:val="nil"/>
              <w:tl2br w:val="nil"/>
              <w:tr2bl w:val="nil"/>
            </w:tcBorders>
            <w:shd w:val="clear" w:color="auto" w:fill="FFFFFF"/>
            <w:tcMar>
              <w:left w:w="115" w:type="dxa"/>
              <w:right w:w="115" w:type="dxa"/>
            </w:tcMar>
            <w:vAlign w:val="bottom"/>
          </w:tcPr>
          <w:p w14:paraId="2AE4F98A" w14:textId="77777777" w:rsidR="003F0EEA" w:rsidRPr="00E734E5" w:rsidRDefault="00FB7D0B">
            <w:pPr>
              <w:jc w:val="right"/>
              <w:rPr>
                <w:rFonts w:ascii="Arial" w:eastAsia="Arial" w:hAnsi="Arial" w:cs="Arial"/>
                <w:color w:val="000000"/>
                <w:sz w:val="16"/>
              </w:rPr>
            </w:pPr>
            <w:r w:rsidRPr="00E734E5">
              <w:rPr>
                <w:rFonts w:ascii="Arial" w:eastAsia="Arial" w:hAnsi="Arial" w:cs="Arial"/>
                <w:color w:val="000000"/>
                <w:sz w:val="16"/>
              </w:rPr>
              <w:t xml:space="preserve"> - </w:t>
            </w:r>
          </w:p>
        </w:tc>
        <w:tc>
          <w:tcPr>
            <w:tcW w:w="1005" w:type="dxa"/>
            <w:tcBorders>
              <w:top w:val="nil"/>
              <w:left w:val="nil"/>
              <w:bottom w:val="nil"/>
              <w:right w:val="nil"/>
              <w:tl2br w:val="nil"/>
              <w:tr2bl w:val="nil"/>
            </w:tcBorders>
            <w:shd w:val="clear" w:color="auto" w:fill="FFFF00"/>
            <w:tcMar>
              <w:left w:w="115" w:type="dxa"/>
              <w:right w:w="115" w:type="dxa"/>
            </w:tcMar>
            <w:vAlign w:val="bottom"/>
          </w:tcPr>
          <w:p w14:paraId="2D45E97E" w14:textId="77777777" w:rsidR="003F0EEA" w:rsidRPr="00E734E5" w:rsidRDefault="00FB7D0B">
            <w:pPr>
              <w:jc w:val="right"/>
              <w:rPr>
                <w:rFonts w:ascii="Arial" w:eastAsia="Arial" w:hAnsi="Arial" w:cs="Arial"/>
                <w:color w:val="000000"/>
                <w:sz w:val="16"/>
              </w:rPr>
            </w:pPr>
            <w:r w:rsidRPr="00E734E5">
              <w:rPr>
                <w:rFonts w:ascii="Arial" w:eastAsia="Arial" w:hAnsi="Arial" w:cs="Arial"/>
                <w:color w:val="000000"/>
                <w:sz w:val="16"/>
              </w:rPr>
              <w:t xml:space="preserve"> - </w:t>
            </w:r>
          </w:p>
        </w:tc>
        <w:tc>
          <w:tcPr>
            <w:tcW w:w="1005" w:type="dxa"/>
            <w:tcBorders>
              <w:top w:val="nil"/>
              <w:left w:val="nil"/>
              <w:bottom w:val="nil"/>
              <w:right w:val="nil"/>
              <w:tl2br w:val="nil"/>
              <w:tr2bl w:val="nil"/>
            </w:tcBorders>
            <w:shd w:val="clear" w:color="auto" w:fill="FFFFFF"/>
            <w:tcMar>
              <w:left w:w="115" w:type="dxa"/>
              <w:right w:w="115" w:type="dxa"/>
            </w:tcMar>
            <w:vAlign w:val="bottom"/>
          </w:tcPr>
          <w:p w14:paraId="6E1B4FC0" w14:textId="77777777" w:rsidR="003F0EEA" w:rsidRPr="00E734E5" w:rsidRDefault="00FB7D0B">
            <w:pPr>
              <w:jc w:val="right"/>
              <w:rPr>
                <w:rFonts w:ascii="Arial" w:eastAsia="Arial" w:hAnsi="Arial" w:cs="Arial"/>
                <w:color w:val="000000"/>
                <w:sz w:val="16"/>
              </w:rPr>
            </w:pPr>
            <w:r w:rsidRPr="00E734E5">
              <w:rPr>
                <w:rFonts w:ascii="Arial" w:eastAsia="Arial" w:hAnsi="Arial" w:cs="Arial"/>
                <w:color w:val="000000"/>
                <w:sz w:val="16"/>
              </w:rPr>
              <w:t xml:space="preserve"> - </w:t>
            </w:r>
          </w:p>
        </w:tc>
        <w:tc>
          <w:tcPr>
            <w:tcW w:w="1005" w:type="dxa"/>
            <w:tcBorders>
              <w:top w:val="nil"/>
              <w:left w:val="nil"/>
              <w:bottom w:val="nil"/>
              <w:right w:val="nil"/>
              <w:tl2br w:val="nil"/>
              <w:tr2bl w:val="nil"/>
            </w:tcBorders>
            <w:shd w:val="clear" w:color="auto" w:fill="FFFF00"/>
            <w:tcMar>
              <w:left w:w="115" w:type="dxa"/>
              <w:right w:w="115" w:type="dxa"/>
            </w:tcMar>
            <w:vAlign w:val="bottom"/>
          </w:tcPr>
          <w:p w14:paraId="28CF75CF" w14:textId="77777777" w:rsidR="003F0EEA" w:rsidRPr="00E734E5" w:rsidRDefault="00FB7D0B">
            <w:pPr>
              <w:jc w:val="right"/>
              <w:rPr>
                <w:rFonts w:ascii="Arial" w:eastAsia="Arial" w:hAnsi="Arial" w:cs="Arial"/>
                <w:color w:val="000000"/>
                <w:sz w:val="16"/>
              </w:rPr>
            </w:pPr>
            <w:r w:rsidRPr="00E734E5">
              <w:rPr>
                <w:rFonts w:ascii="Arial" w:eastAsia="Arial" w:hAnsi="Arial" w:cs="Arial"/>
                <w:color w:val="000000"/>
                <w:sz w:val="16"/>
              </w:rPr>
              <w:t>(4,709)</w:t>
            </w:r>
          </w:p>
        </w:tc>
      </w:tr>
      <w:tr w:rsidR="00724034" w14:paraId="76F25527" w14:textId="77777777">
        <w:trPr>
          <w:trHeight w:val="225"/>
        </w:trPr>
        <w:tc>
          <w:tcPr>
            <w:tcW w:w="180" w:type="dxa"/>
            <w:tcBorders>
              <w:top w:val="nil"/>
              <w:left w:val="nil"/>
              <w:bottom w:val="nil"/>
              <w:right w:val="nil"/>
              <w:tl2br w:val="nil"/>
              <w:tr2bl w:val="nil"/>
            </w:tcBorders>
            <w:shd w:val="clear" w:color="auto" w:fill="FFFFFF"/>
            <w:tcMar>
              <w:left w:w="115" w:type="dxa"/>
              <w:right w:w="115" w:type="dxa"/>
            </w:tcMar>
            <w:vAlign w:val="bottom"/>
          </w:tcPr>
          <w:p w14:paraId="778828E9" w14:textId="77777777" w:rsidR="003F0EEA" w:rsidRPr="00E734E5" w:rsidRDefault="003F0EEA">
            <w:pPr>
              <w:rPr>
                <w:rFonts w:ascii="Arial" w:eastAsia="Arial" w:hAnsi="Arial" w:cs="Arial"/>
                <w:color w:val="000000"/>
                <w:sz w:val="16"/>
              </w:rPr>
            </w:pPr>
          </w:p>
        </w:tc>
        <w:tc>
          <w:tcPr>
            <w:tcW w:w="2280" w:type="dxa"/>
            <w:tcBorders>
              <w:top w:val="nil"/>
              <w:left w:val="nil"/>
              <w:bottom w:val="nil"/>
              <w:right w:val="nil"/>
              <w:tl2br w:val="nil"/>
              <w:tr2bl w:val="nil"/>
            </w:tcBorders>
            <w:shd w:val="clear" w:color="auto" w:fill="FFFFFF"/>
            <w:tcMar>
              <w:left w:w="115" w:type="dxa"/>
              <w:right w:w="115" w:type="dxa"/>
            </w:tcMar>
            <w:vAlign w:val="bottom"/>
          </w:tcPr>
          <w:p w14:paraId="3D9679BE" w14:textId="77777777" w:rsidR="003F0EEA" w:rsidRPr="00E734E5" w:rsidRDefault="00FB7D0B">
            <w:pPr>
              <w:rPr>
                <w:rFonts w:ascii="Arial" w:eastAsia="Arial" w:hAnsi="Arial" w:cs="Arial"/>
                <w:color w:val="000000"/>
                <w:sz w:val="16"/>
              </w:rPr>
            </w:pPr>
            <w:r w:rsidRPr="00E734E5">
              <w:rPr>
                <w:rFonts w:ascii="Arial" w:eastAsia="Arial" w:hAnsi="Arial" w:cs="Arial"/>
                <w:color w:val="000000"/>
                <w:sz w:val="16"/>
              </w:rPr>
              <w:t>Departmental expenses</w:t>
            </w:r>
          </w:p>
        </w:tc>
        <w:tc>
          <w:tcPr>
            <w:tcW w:w="915" w:type="dxa"/>
            <w:tcBorders>
              <w:top w:val="nil"/>
              <w:left w:val="nil"/>
              <w:bottom w:val="nil"/>
              <w:right w:val="nil"/>
              <w:tl2br w:val="nil"/>
              <w:tr2bl w:val="nil"/>
            </w:tcBorders>
            <w:shd w:val="clear" w:color="auto" w:fill="FFFFFF"/>
            <w:tcMar>
              <w:left w:w="115" w:type="dxa"/>
              <w:right w:w="115" w:type="dxa"/>
            </w:tcMar>
            <w:vAlign w:val="bottom"/>
          </w:tcPr>
          <w:p w14:paraId="50C934AE" w14:textId="77777777" w:rsidR="003F0EEA" w:rsidRPr="00E734E5" w:rsidRDefault="003F0EEA">
            <w:pPr>
              <w:jc w:val="center"/>
              <w:rPr>
                <w:rFonts w:ascii="Arial" w:eastAsia="Arial" w:hAnsi="Arial" w:cs="Arial"/>
                <w:color w:val="000000"/>
                <w:sz w:val="16"/>
                <w:vertAlign w:val="superscript"/>
              </w:rPr>
            </w:pPr>
          </w:p>
        </w:tc>
        <w:tc>
          <w:tcPr>
            <w:tcW w:w="1005" w:type="dxa"/>
            <w:tcBorders>
              <w:top w:val="nil"/>
              <w:left w:val="nil"/>
              <w:bottom w:val="nil"/>
              <w:right w:val="nil"/>
              <w:tl2br w:val="nil"/>
              <w:tr2bl w:val="nil"/>
            </w:tcBorders>
            <w:shd w:val="clear" w:color="auto" w:fill="FFFF00"/>
            <w:tcMar>
              <w:left w:w="115" w:type="dxa"/>
              <w:right w:w="115" w:type="dxa"/>
            </w:tcMar>
            <w:vAlign w:val="bottom"/>
          </w:tcPr>
          <w:p w14:paraId="51F6DC10" w14:textId="77777777" w:rsidR="003F0EEA" w:rsidRPr="00E734E5" w:rsidRDefault="00FB7D0B">
            <w:pPr>
              <w:jc w:val="right"/>
              <w:rPr>
                <w:rFonts w:ascii="Arial" w:eastAsia="Arial" w:hAnsi="Arial" w:cs="Arial"/>
                <w:color w:val="000000"/>
                <w:sz w:val="16"/>
                <w:vertAlign w:val="superscript"/>
              </w:rPr>
            </w:pPr>
            <w:r w:rsidRPr="00E734E5">
              <w:rPr>
                <w:rFonts w:ascii="Arial" w:eastAsia="Arial" w:hAnsi="Arial" w:cs="Arial"/>
                <w:color w:val="000000"/>
                <w:sz w:val="16"/>
              </w:rPr>
              <w:t xml:space="preserve"> - </w:t>
            </w:r>
          </w:p>
        </w:tc>
        <w:tc>
          <w:tcPr>
            <w:tcW w:w="1005" w:type="dxa"/>
            <w:tcBorders>
              <w:top w:val="nil"/>
              <w:left w:val="nil"/>
              <w:bottom w:val="nil"/>
              <w:right w:val="nil"/>
              <w:tl2br w:val="nil"/>
              <w:tr2bl w:val="nil"/>
            </w:tcBorders>
            <w:shd w:val="clear" w:color="auto" w:fill="FFFFFF"/>
            <w:tcMar>
              <w:left w:w="115" w:type="dxa"/>
              <w:right w:w="115" w:type="dxa"/>
            </w:tcMar>
            <w:vAlign w:val="bottom"/>
          </w:tcPr>
          <w:p w14:paraId="06653E63" w14:textId="77777777" w:rsidR="003F0EEA" w:rsidRPr="00E734E5" w:rsidRDefault="00FB7D0B">
            <w:pPr>
              <w:jc w:val="right"/>
              <w:rPr>
                <w:rFonts w:ascii="Arial" w:eastAsia="Arial" w:hAnsi="Arial" w:cs="Arial"/>
                <w:color w:val="000000"/>
                <w:sz w:val="16"/>
              </w:rPr>
            </w:pPr>
            <w:r w:rsidRPr="00E734E5">
              <w:rPr>
                <w:rFonts w:ascii="Arial" w:eastAsia="Arial" w:hAnsi="Arial" w:cs="Arial"/>
                <w:color w:val="000000"/>
                <w:sz w:val="16"/>
              </w:rPr>
              <w:t xml:space="preserve"> - </w:t>
            </w:r>
          </w:p>
        </w:tc>
        <w:tc>
          <w:tcPr>
            <w:tcW w:w="1005" w:type="dxa"/>
            <w:tcBorders>
              <w:top w:val="nil"/>
              <w:left w:val="nil"/>
              <w:bottom w:val="nil"/>
              <w:right w:val="nil"/>
              <w:tl2br w:val="nil"/>
              <w:tr2bl w:val="nil"/>
            </w:tcBorders>
            <w:shd w:val="clear" w:color="auto" w:fill="FFFF00"/>
            <w:tcMar>
              <w:left w:w="115" w:type="dxa"/>
              <w:right w:w="115" w:type="dxa"/>
            </w:tcMar>
            <w:vAlign w:val="bottom"/>
          </w:tcPr>
          <w:p w14:paraId="75171701" w14:textId="77777777" w:rsidR="003F0EEA" w:rsidRPr="00E734E5" w:rsidRDefault="00FB7D0B">
            <w:pPr>
              <w:jc w:val="right"/>
              <w:rPr>
                <w:rFonts w:ascii="Arial" w:eastAsia="Arial" w:hAnsi="Arial" w:cs="Arial"/>
                <w:color w:val="000000"/>
                <w:sz w:val="16"/>
              </w:rPr>
            </w:pPr>
            <w:r w:rsidRPr="00E734E5">
              <w:rPr>
                <w:rFonts w:ascii="Arial" w:eastAsia="Arial" w:hAnsi="Arial" w:cs="Arial"/>
                <w:color w:val="000000"/>
                <w:sz w:val="16"/>
              </w:rPr>
              <w:t xml:space="preserve"> - </w:t>
            </w:r>
          </w:p>
        </w:tc>
        <w:tc>
          <w:tcPr>
            <w:tcW w:w="1005" w:type="dxa"/>
            <w:tcBorders>
              <w:top w:val="nil"/>
              <w:left w:val="nil"/>
              <w:bottom w:val="nil"/>
              <w:right w:val="nil"/>
              <w:tl2br w:val="nil"/>
              <w:tr2bl w:val="nil"/>
            </w:tcBorders>
            <w:shd w:val="clear" w:color="auto" w:fill="FFFFFF"/>
            <w:tcMar>
              <w:left w:w="115" w:type="dxa"/>
              <w:right w:w="115" w:type="dxa"/>
            </w:tcMar>
            <w:vAlign w:val="bottom"/>
          </w:tcPr>
          <w:p w14:paraId="11DA86AA" w14:textId="77777777" w:rsidR="003F0EEA" w:rsidRPr="00E734E5" w:rsidRDefault="00FB7D0B">
            <w:pPr>
              <w:jc w:val="right"/>
              <w:rPr>
                <w:rFonts w:ascii="Arial" w:eastAsia="Arial" w:hAnsi="Arial" w:cs="Arial"/>
                <w:color w:val="000000"/>
                <w:sz w:val="16"/>
              </w:rPr>
            </w:pPr>
            <w:r w:rsidRPr="00E734E5">
              <w:rPr>
                <w:rFonts w:ascii="Arial" w:eastAsia="Arial" w:hAnsi="Arial" w:cs="Arial"/>
                <w:color w:val="000000"/>
                <w:sz w:val="16"/>
              </w:rPr>
              <w:t xml:space="preserve"> - </w:t>
            </w:r>
          </w:p>
        </w:tc>
        <w:tc>
          <w:tcPr>
            <w:tcW w:w="1005" w:type="dxa"/>
            <w:tcBorders>
              <w:top w:val="nil"/>
              <w:left w:val="nil"/>
              <w:bottom w:val="nil"/>
              <w:right w:val="nil"/>
              <w:tl2br w:val="nil"/>
              <w:tr2bl w:val="nil"/>
            </w:tcBorders>
            <w:shd w:val="clear" w:color="auto" w:fill="FFFF00"/>
            <w:tcMar>
              <w:left w:w="115" w:type="dxa"/>
              <w:right w:w="115" w:type="dxa"/>
            </w:tcMar>
            <w:vAlign w:val="bottom"/>
          </w:tcPr>
          <w:p w14:paraId="076CE0A2" w14:textId="77777777" w:rsidR="003F0EEA" w:rsidRPr="00E734E5" w:rsidRDefault="00FB7D0B">
            <w:pPr>
              <w:jc w:val="right"/>
              <w:rPr>
                <w:rFonts w:ascii="Arial" w:eastAsia="Arial" w:hAnsi="Arial" w:cs="Arial"/>
                <w:color w:val="000000"/>
                <w:sz w:val="16"/>
              </w:rPr>
            </w:pPr>
            <w:r w:rsidRPr="00E734E5">
              <w:rPr>
                <w:rFonts w:ascii="Arial" w:eastAsia="Arial" w:hAnsi="Arial" w:cs="Arial"/>
                <w:color w:val="000000"/>
                <w:sz w:val="16"/>
              </w:rPr>
              <w:t>77  </w:t>
            </w:r>
          </w:p>
        </w:tc>
      </w:tr>
      <w:tr w:rsidR="00FB7D0B" w14:paraId="3937938F" w14:textId="77777777" w:rsidTr="00FB7D0B">
        <w:trPr>
          <w:trHeight w:val="225"/>
        </w:trPr>
        <w:tc>
          <w:tcPr>
            <w:tcW w:w="2460" w:type="dxa"/>
            <w:gridSpan w:val="2"/>
            <w:tcBorders>
              <w:top w:val="nil"/>
              <w:left w:val="nil"/>
              <w:bottom w:val="nil"/>
              <w:right w:val="nil"/>
              <w:tl2br w:val="nil"/>
              <w:tr2bl w:val="nil"/>
            </w:tcBorders>
            <w:shd w:val="clear" w:color="auto" w:fill="FFFFFF"/>
            <w:tcMar>
              <w:left w:w="115" w:type="dxa"/>
              <w:right w:w="115" w:type="dxa"/>
            </w:tcMar>
            <w:vAlign w:val="bottom"/>
          </w:tcPr>
          <w:p w14:paraId="49B9C31C" w14:textId="77777777" w:rsidR="003F0EEA" w:rsidRPr="00E734E5" w:rsidRDefault="00FB7D0B">
            <w:pPr>
              <w:rPr>
                <w:rFonts w:ascii="Arial" w:eastAsia="Arial" w:hAnsi="Arial" w:cs="Arial"/>
                <w:color w:val="000000"/>
                <w:sz w:val="16"/>
              </w:rPr>
            </w:pPr>
            <w:r w:rsidRPr="00E734E5">
              <w:rPr>
                <w:rFonts w:ascii="Arial" w:eastAsia="Arial" w:hAnsi="Arial" w:cs="Arial"/>
                <w:b/>
                <w:color w:val="000000"/>
                <w:sz w:val="16"/>
              </w:rPr>
              <w:t xml:space="preserve">Total </w:t>
            </w:r>
          </w:p>
        </w:tc>
        <w:tc>
          <w:tcPr>
            <w:tcW w:w="915" w:type="dxa"/>
            <w:tcBorders>
              <w:top w:val="nil"/>
              <w:left w:val="nil"/>
              <w:bottom w:val="nil"/>
              <w:right w:val="nil"/>
              <w:tl2br w:val="nil"/>
              <w:tr2bl w:val="nil"/>
            </w:tcBorders>
            <w:shd w:val="clear" w:color="auto" w:fill="FFFFFF"/>
            <w:tcMar>
              <w:left w:w="115" w:type="dxa"/>
              <w:right w:w="115" w:type="dxa"/>
            </w:tcMar>
            <w:vAlign w:val="bottom"/>
          </w:tcPr>
          <w:p w14:paraId="767EF271" w14:textId="77777777" w:rsidR="003F0EEA" w:rsidRPr="00E734E5" w:rsidRDefault="003F0EEA">
            <w:pPr>
              <w:jc w:val="center"/>
              <w:rPr>
                <w:rFonts w:ascii="Arial" w:eastAsia="Arial" w:hAnsi="Arial" w:cs="Arial"/>
                <w:b/>
                <w:color w:val="000000"/>
                <w:sz w:val="16"/>
                <w:vertAlign w:val="superscript"/>
              </w:rPr>
            </w:pPr>
          </w:p>
        </w:tc>
        <w:tc>
          <w:tcPr>
            <w:tcW w:w="1005" w:type="dxa"/>
            <w:tcBorders>
              <w:top w:val="nil"/>
              <w:left w:val="nil"/>
              <w:bottom w:val="single" w:sz="6" w:space="0" w:color="000000"/>
              <w:right w:val="nil"/>
              <w:tl2br w:val="nil"/>
              <w:tr2bl w:val="nil"/>
            </w:tcBorders>
            <w:shd w:val="clear" w:color="auto" w:fill="FFFF00"/>
            <w:tcMar>
              <w:left w:w="115" w:type="dxa"/>
              <w:right w:w="115" w:type="dxa"/>
            </w:tcMar>
            <w:vAlign w:val="bottom"/>
          </w:tcPr>
          <w:p w14:paraId="7F27E11E" w14:textId="77777777" w:rsidR="003F0EEA" w:rsidRPr="00E734E5" w:rsidRDefault="00FB7D0B">
            <w:pPr>
              <w:jc w:val="right"/>
              <w:rPr>
                <w:rFonts w:ascii="Arial" w:eastAsia="Arial" w:hAnsi="Arial" w:cs="Arial"/>
                <w:color w:val="000000"/>
                <w:sz w:val="16"/>
                <w:vertAlign w:val="superscript"/>
              </w:rPr>
            </w:pPr>
            <w:r w:rsidRPr="00E734E5">
              <w:rPr>
                <w:rFonts w:ascii="Arial" w:eastAsia="Arial" w:hAnsi="Arial" w:cs="Arial"/>
                <w:b/>
                <w:color w:val="000000"/>
                <w:sz w:val="16"/>
              </w:rPr>
              <w:t xml:space="preserve"> - </w:t>
            </w:r>
          </w:p>
        </w:tc>
        <w:tc>
          <w:tcPr>
            <w:tcW w:w="1005"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37F436B5" w14:textId="77777777" w:rsidR="003F0EEA" w:rsidRPr="00E734E5" w:rsidRDefault="00FB7D0B">
            <w:pPr>
              <w:jc w:val="right"/>
              <w:rPr>
                <w:rFonts w:ascii="Arial" w:eastAsia="Arial" w:hAnsi="Arial" w:cs="Arial"/>
                <w:b/>
                <w:color w:val="000000"/>
                <w:sz w:val="16"/>
              </w:rPr>
            </w:pPr>
            <w:r w:rsidRPr="00E734E5">
              <w:rPr>
                <w:rFonts w:ascii="Arial" w:eastAsia="Arial" w:hAnsi="Arial" w:cs="Arial"/>
                <w:b/>
                <w:color w:val="000000"/>
                <w:sz w:val="16"/>
              </w:rPr>
              <w:t xml:space="preserve"> - </w:t>
            </w:r>
          </w:p>
        </w:tc>
        <w:tc>
          <w:tcPr>
            <w:tcW w:w="1005" w:type="dxa"/>
            <w:tcBorders>
              <w:top w:val="nil"/>
              <w:left w:val="nil"/>
              <w:bottom w:val="single" w:sz="6" w:space="0" w:color="000000"/>
              <w:right w:val="nil"/>
              <w:tl2br w:val="nil"/>
              <w:tr2bl w:val="nil"/>
            </w:tcBorders>
            <w:shd w:val="clear" w:color="auto" w:fill="FFFF00"/>
            <w:tcMar>
              <w:left w:w="115" w:type="dxa"/>
              <w:right w:w="115" w:type="dxa"/>
            </w:tcMar>
            <w:vAlign w:val="bottom"/>
          </w:tcPr>
          <w:p w14:paraId="2EE38C81" w14:textId="77777777" w:rsidR="003F0EEA" w:rsidRPr="00E734E5" w:rsidRDefault="00FB7D0B">
            <w:pPr>
              <w:jc w:val="right"/>
              <w:rPr>
                <w:rFonts w:ascii="Arial" w:eastAsia="Arial" w:hAnsi="Arial" w:cs="Arial"/>
                <w:b/>
                <w:color w:val="000000"/>
                <w:sz w:val="16"/>
              </w:rPr>
            </w:pPr>
            <w:r w:rsidRPr="00E734E5">
              <w:rPr>
                <w:rFonts w:ascii="Arial" w:eastAsia="Arial" w:hAnsi="Arial" w:cs="Arial"/>
                <w:b/>
                <w:color w:val="000000"/>
                <w:sz w:val="16"/>
              </w:rPr>
              <w:t xml:space="preserve"> - </w:t>
            </w:r>
          </w:p>
        </w:tc>
        <w:tc>
          <w:tcPr>
            <w:tcW w:w="1005"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6A920707" w14:textId="77777777" w:rsidR="003F0EEA" w:rsidRPr="00E734E5" w:rsidRDefault="00FB7D0B">
            <w:pPr>
              <w:jc w:val="right"/>
              <w:rPr>
                <w:rFonts w:ascii="Arial" w:eastAsia="Arial" w:hAnsi="Arial" w:cs="Arial"/>
                <w:b/>
                <w:color w:val="000000"/>
                <w:sz w:val="16"/>
              </w:rPr>
            </w:pPr>
            <w:r w:rsidRPr="00E734E5">
              <w:rPr>
                <w:rFonts w:ascii="Arial" w:eastAsia="Arial" w:hAnsi="Arial" w:cs="Arial"/>
                <w:b/>
                <w:color w:val="000000"/>
                <w:sz w:val="16"/>
              </w:rPr>
              <w:t xml:space="preserve"> - </w:t>
            </w:r>
          </w:p>
        </w:tc>
        <w:tc>
          <w:tcPr>
            <w:tcW w:w="1005" w:type="dxa"/>
            <w:tcBorders>
              <w:top w:val="nil"/>
              <w:left w:val="nil"/>
              <w:bottom w:val="single" w:sz="6" w:space="0" w:color="000000"/>
              <w:right w:val="nil"/>
              <w:tl2br w:val="nil"/>
              <w:tr2bl w:val="nil"/>
            </w:tcBorders>
            <w:shd w:val="clear" w:color="auto" w:fill="FFFF00"/>
            <w:tcMar>
              <w:left w:w="115" w:type="dxa"/>
              <w:right w:w="115" w:type="dxa"/>
            </w:tcMar>
            <w:vAlign w:val="bottom"/>
          </w:tcPr>
          <w:p w14:paraId="7F249365" w14:textId="77777777" w:rsidR="003F0EEA" w:rsidRPr="00E734E5" w:rsidRDefault="00FB7D0B">
            <w:pPr>
              <w:jc w:val="right"/>
              <w:rPr>
                <w:rFonts w:ascii="Arial" w:eastAsia="Arial" w:hAnsi="Arial" w:cs="Arial"/>
                <w:b/>
                <w:color w:val="000000"/>
                <w:sz w:val="16"/>
              </w:rPr>
            </w:pPr>
            <w:r w:rsidRPr="00E734E5">
              <w:rPr>
                <w:rFonts w:ascii="Arial" w:eastAsia="Arial" w:hAnsi="Arial" w:cs="Arial"/>
                <w:b/>
                <w:color w:val="000000"/>
                <w:sz w:val="16"/>
              </w:rPr>
              <w:t>(4,632)</w:t>
            </w:r>
          </w:p>
        </w:tc>
      </w:tr>
      <w:tr w:rsidR="00724034" w14:paraId="5C027E9A" w14:textId="77777777">
        <w:trPr>
          <w:trHeight w:val="225"/>
        </w:trPr>
        <w:tc>
          <w:tcPr>
            <w:tcW w:w="180" w:type="dxa"/>
            <w:tcBorders>
              <w:top w:val="nil"/>
              <w:left w:val="nil"/>
              <w:bottom w:val="nil"/>
              <w:right w:val="nil"/>
              <w:tl2br w:val="nil"/>
              <w:tr2bl w:val="nil"/>
            </w:tcBorders>
            <w:shd w:val="clear" w:color="auto" w:fill="FFFFFF"/>
            <w:tcMar>
              <w:left w:w="115" w:type="dxa"/>
              <w:right w:w="115" w:type="dxa"/>
            </w:tcMar>
            <w:vAlign w:val="bottom"/>
          </w:tcPr>
          <w:p w14:paraId="2424B72F" w14:textId="77777777" w:rsidR="003F0EEA" w:rsidRPr="00E734E5" w:rsidRDefault="003F0EEA">
            <w:pPr>
              <w:rPr>
                <w:rFonts w:ascii="Arial" w:eastAsia="Arial" w:hAnsi="Arial" w:cs="Arial"/>
                <w:b/>
                <w:color w:val="000000"/>
                <w:sz w:val="16"/>
              </w:rPr>
            </w:pPr>
          </w:p>
        </w:tc>
        <w:tc>
          <w:tcPr>
            <w:tcW w:w="2280" w:type="dxa"/>
            <w:tcBorders>
              <w:top w:val="nil"/>
              <w:left w:val="nil"/>
              <w:bottom w:val="nil"/>
              <w:right w:val="nil"/>
              <w:tl2br w:val="nil"/>
              <w:tr2bl w:val="nil"/>
            </w:tcBorders>
            <w:shd w:val="clear" w:color="auto" w:fill="FFFFFF"/>
            <w:tcMar>
              <w:left w:w="115" w:type="dxa"/>
              <w:right w:w="115" w:type="dxa"/>
            </w:tcMar>
            <w:vAlign w:val="bottom"/>
          </w:tcPr>
          <w:p w14:paraId="2F943E92" w14:textId="77777777" w:rsidR="003F0EEA" w:rsidRPr="00E734E5" w:rsidRDefault="003F0EEA">
            <w:pPr>
              <w:rPr>
                <w:rFonts w:ascii="Arial" w:eastAsia="Arial" w:hAnsi="Arial" w:cs="Arial"/>
                <w:b/>
                <w:color w:val="000000"/>
                <w:sz w:val="16"/>
              </w:rPr>
            </w:pPr>
          </w:p>
        </w:tc>
        <w:tc>
          <w:tcPr>
            <w:tcW w:w="915" w:type="dxa"/>
            <w:tcBorders>
              <w:top w:val="nil"/>
              <w:left w:val="nil"/>
              <w:bottom w:val="nil"/>
              <w:right w:val="nil"/>
              <w:tl2br w:val="nil"/>
              <w:tr2bl w:val="nil"/>
            </w:tcBorders>
            <w:shd w:val="clear" w:color="auto" w:fill="FFFFFF"/>
            <w:tcMar>
              <w:left w:w="115" w:type="dxa"/>
              <w:right w:w="115" w:type="dxa"/>
            </w:tcMar>
            <w:vAlign w:val="bottom"/>
          </w:tcPr>
          <w:p w14:paraId="65313F3A" w14:textId="77777777" w:rsidR="003F0EEA" w:rsidRPr="00E734E5" w:rsidRDefault="003F0EEA">
            <w:pPr>
              <w:jc w:val="center"/>
              <w:rPr>
                <w:rFonts w:ascii="Arial" w:eastAsia="Arial" w:hAnsi="Arial" w:cs="Arial"/>
                <w:b/>
                <w:color w:val="000000"/>
                <w:sz w:val="16"/>
                <w:vertAlign w:val="superscript"/>
              </w:rPr>
            </w:pPr>
          </w:p>
        </w:tc>
        <w:tc>
          <w:tcPr>
            <w:tcW w:w="1005" w:type="dxa"/>
            <w:tcBorders>
              <w:top w:val="single" w:sz="6" w:space="0" w:color="000000"/>
              <w:left w:val="nil"/>
              <w:bottom w:val="nil"/>
              <w:right w:val="nil"/>
              <w:tl2br w:val="nil"/>
              <w:tr2bl w:val="nil"/>
            </w:tcBorders>
            <w:shd w:val="clear" w:color="auto" w:fill="FFFF00"/>
            <w:tcMar>
              <w:left w:w="115" w:type="dxa"/>
              <w:right w:w="115" w:type="dxa"/>
            </w:tcMar>
            <w:vAlign w:val="bottom"/>
          </w:tcPr>
          <w:p w14:paraId="2D538C42" w14:textId="77777777" w:rsidR="003F0EEA" w:rsidRPr="00E734E5" w:rsidRDefault="003F0EEA">
            <w:pPr>
              <w:jc w:val="right"/>
              <w:rPr>
                <w:rFonts w:ascii="Arial" w:eastAsia="Arial" w:hAnsi="Arial" w:cs="Arial"/>
                <w:color w:val="000000"/>
                <w:sz w:val="16"/>
                <w:vertAlign w:val="superscript"/>
              </w:rPr>
            </w:pPr>
          </w:p>
        </w:tc>
        <w:tc>
          <w:tcPr>
            <w:tcW w:w="1005"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793880F0" w14:textId="77777777" w:rsidR="003F0EEA" w:rsidRPr="00E734E5" w:rsidRDefault="003F0EEA">
            <w:pPr>
              <w:jc w:val="right"/>
              <w:rPr>
                <w:rFonts w:ascii="Arial" w:eastAsia="Arial" w:hAnsi="Arial" w:cs="Arial"/>
                <w:b/>
                <w:color w:val="000000"/>
                <w:sz w:val="16"/>
                <w:vertAlign w:val="superscript"/>
              </w:rPr>
            </w:pPr>
          </w:p>
        </w:tc>
        <w:tc>
          <w:tcPr>
            <w:tcW w:w="1005" w:type="dxa"/>
            <w:tcBorders>
              <w:top w:val="single" w:sz="6" w:space="0" w:color="000000"/>
              <w:left w:val="nil"/>
              <w:bottom w:val="nil"/>
              <w:right w:val="nil"/>
              <w:tl2br w:val="nil"/>
              <w:tr2bl w:val="nil"/>
            </w:tcBorders>
            <w:shd w:val="clear" w:color="auto" w:fill="FFFF00"/>
            <w:tcMar>
              <w:left w:w="115" w:type="dxa"/>
              <w:right w:w="115" w:type="dxa"/>
            </w:tcMar>
            <w:vAlign w:val="bottom"/>
          </w:tcPr>
          <w:p w14:paraId="07B7638A" w14:textId="77777777" w:rsidR="003F0EEA" w:rsidRPr="00E734E5" w:rsidRDefault="003F0EEA">
            <w:pPr>
              <w:jc w:val="right"/>
              <w:rPr>
                <w:rFonts w:ascii="Arial" w:eastAsia="Arial" w:hAnsi="Arial" w:cs="Arial"/>
                <w:b/>
                <w:color w:val="000000"/>
                <w:sz w:val="16"/>
                <w:vertAlign w:val="superscript"/>
              </w:rPr>
            </w:pPr>
          </w:p>
        </w:tc>
        <w:tc>
          <w:tcPr>
            <w:tcW w:w="1005"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21724B6C" w14:textId="77777777" w:rsidR="003F0EEA" w:rsidRPr="00E734E5" w:rsidRDefault="003F0EEA">
            <w:pPr>
              <w:jc w:val="right"/>
              <w:rPr>
                <w:rFonts w:ascii="Arial" w:eastAsia="Arial" w:hAnsi="Arial" w:cs="Arial"/>
                <w:b/>
                <w:color w:val="000000"/>
                <w:sz w:val="16"/>
                <w:vertAlign w:val="superscript"/>
              </w:rPr>
            </w:pPr>
          </w:p>
        </w:tc>
        <w:tc>
          <w:tcPr>
            <w:tcW w:w="1005" w:type="dxa"/>
            <w:tcBorders>
              <w:top w:val="single" w:sz="6" w:space="0" w:color="000000"/>
              <w:left w:val="nil"/>
              <w:bottom w:val="nil"/>
              <w:right w:val="nil"/>
              <w:tl2br w:val="nil"/>
              <w:tr2bl w:val="nil"/>
            </w:tcBorders>
            <w:shd w:val="clear" w:color="auto" w:fill="FFFF00"/>
            <w:tcMar>
              <w:left w:w="115" w:type="dxa"/>
              <w:right w:w="115" w:type="dxa"/>
            </w:tcMar>
            <w:vAlign w:val="bottom"/>
          </w:tcPr>
          <w:p w14:paraId="38C4411B" w14:textId="77777777" w:rsidR="003F0EEA" w:rsidRPr="00E734E5" w:rsidRDefault="003F0EEA">
            <w:pPr>
              <w:jc w:val="right"/>
              <w:rPr>
                <w:rFonts w:ascii="Arial" w:eastAsia="Arial" w:hAnsi="Arial" w:cs="Arial"/>
                <w:b/>
                <w:color w:val="000000"/>
                <w:sz w:val="16"/>
                <w:vertAlign w:val="superscript"/>
              </w:rPr>
            </w:pPr>
          </w:p>
        </w:tc>
      </w:tr>
      <w:tr w:rsidR="00FB7D0B" w14:paraId="4BF885BD" w14:textId="77777777" w:rsidTr="00FB7D0B">
        <w:trPr>
          <w:trHeight w:val="660"/>
        </w:trPr>
        <w:tc>
          <w:tcPr>
            <w:tcW w:w="2460" w:type="dxa"/>
            <w:gridSpan w:val="2"/>
            <w:tcBorders>
              <w:top w:val="nil"/>
              <w:left w:val="nil"/>
              <w:bottom w:val="nil"/>
              <w:right w:val="nil"/>
              <w:tl2br w:val="nil"/>
              <w:tr2bl w:val="nil"/>
            </w:tcBorders>
            <w:shd w:val="clear" w:color="auto" w:fill="FFFFFF"/>
            <w:tcMar>
              <w:left w:w="115" w:type="dxa"/>
              <w:right w:w="115" w:type="dxa"/>
            </w:tcMar>
            <w:vAlign w:val="bottom"/>
          </w:tcPr>
          <w:p w14:paraId="66BFB2F5" w14:textId="77777777" w:rsidR="003F0EEA" w:rsidRPr="00E734E5" w:rsidRDefault="00FB7D0B">
            <w:pPr>
              <w:rPr>
                <w:rFonts w:ascii="Arial" w:eastAsia="Arial" w:hAnsi="Arial" w:cs="Arial"/>
                <w:b/>
                <w:color w:val="000000"/>
                <w:sz w:val="16"/>
                <w:vertAlign w:val="superscript"/>
              </w:rPr>
            </w:pPr>
            <w:r w:rsidRPr="00E734E5">
              <w:rPr>
                <w:rFonts w:ascii="Arial" w:eastAsia="Arial" w:hAnsi="Arial" w:cs="Arial"/>
                <w:color w:val="000000"/>
                <w:sz w:val="16"/>
              </w:rPr>
              <w:t>Index Pension and Pension Equivalent Payments by the Consumer Price Index</w:t>
            </w:r>
            <w:r w:rsidRPr="00E734E5">
              <w:rPr>
                <w:rFonts w:ascii="Arial" w:eastAsia="Arial" w:hAnsi="Arial" w:cs="Arial"/>
                <w:color w:val="000000"/>
                <w:sz w:val="16"/>
                <w:vertAlign w:val="superscript"/>
              </w:rPr>
              <w:t>1 </w:t>
            </w:r>
          </w:p>
        </w:tc>
        <w:tc>
          <w:tcPr>
            <w:tcW w:w="915" w:type="dxa"/>
            <w:tcBorders>
              <w:top w:val="nil"/>
              <w:left w:val="nil"/>
              <w:bottom w:val="nil"/>
              <w:right w:val="nil"/>
              <w:tl2br w:val="nil"/>
              <w:tr2bl w:val="nil"/>
            </w:tcBorders>
            <w:shd w:val="clear" w:color="auto" w:fill="FFFFFF"/>
            <w:tcMar>
              <w:left w:w="115" w:type="dxa"/>
              <w:right w:w="115" w:type="dxa"/>
            </w:tcMar>
            <w:vAlign w:val="bottom"/>
          </w:tcPr>
          <w:p w14:paraId="6341591D" w14:textId="77777777" w:rsidR="003F0EEA" w:rsidRPr="00E734E5" w:rsidRDefault="00FB7D0B">
            <w:pPr>
              <w:jc w:val="center"/>
              <w:rPr>
                <w:rFonts w:ascii="Arial" w:eastAsia="Arial" w:hAnsi="Arial" w:cs="Arial"/>
                <w:color w:val="000000"/>
                <w:sz w:val="16"/>
                <w:vertAlign w:val="superscript"/>
              </w:rPr>
            </w:pPr>
            <w:r w:rsidRPr="00E734E5">
              <w:rPr>
                <w:rFonts w:ascii="Arial" w:eastAsia="Arial" w:hAnsi="Arial" w:cs="Arial"/>
                <w:color w:val="000000"/>
                <w:sz w:val="16"/>
              </w:rPr>
              <w:t>1.1,1.2</w:t>
            </w:r>
          </w:p>
        </w:tc>
        <w:tc>
          <w:tcPr>
            <w:tcW w:w="1005" w:type="dxa"/>
            <w:tcBorders>
              <w:top w:val="nil"/>
              <w:left w:val="nil"/>
              <w:bottom w:val="nil"/>
              <w:right w:val="nil"/>
              <w:tl2br w:val="nil"/>
              <w:tr2bl w:val="nil"/>
            </w:tcBorders>
            <w:shd w:val="clear" w:color="auto" w:fill="FFFF00"/>
            <w:tcMar>
              <w:left w:w="115" w:type="dxa"/>
              <w:right w:w="115" w:type="dxa"/>
            </w:tcMar>
            <w:vAlign w:val="bottom"/>
          </w:tcPr>
          <w:p w14:paraId="5D048DE4" w14:textId="77777777" w:rsidR="003F0EEA" w:rsidRPr="00E734E5" w:rsidRDefault="003F0EEA">
            <w:pPr>
              <w:jc w:val="right"/>
              <w:rPr>
                <w:rFonts w:ascii="Arial" w:eastAsia="Arial" w:hAnsi="Arial" w:cs="Arial"/>
                <w:color w:val="000000"/>
                <w:sz w:val="16"/>
              </w:rPr>
            </w:pPr>
          </w:p>
        </w:tc>
        <w:tc>
          <w:tcPr>
            <w:tcW w:w="1005" w:type="dxa"/>
            <w:tcBorders>
              <w:top w:val="nil"/>
              <w:left w:val="nil"/>
              <w:bottom w:val="nil"/>
              <w:right w:val="nil"/>
              <w:tl2br w:val="nil"/>
              <w:tr2bl w:val="nil"/>
            </w:tcBorders>
            <w:shd w:val="clear" w:color="auto" w:fill="FFFFFF"/>
            <w:tcMar>
              <w:left w:w="115" w:type="dxa"/>
              <w:right w:w="115" w:type="dxa"/>
            </w:tcMar>
            <w:vAlign w:val="bottom"/>
          </w:tcPr>
          <w:p w14:paraId="12C4544C" w14:textId="77777777" w:rsidR="003F0EEA" w:rsidRPr="00E734E5" w:rsidRDefault="003F0EEA">
            <w:pPr>
              <w:jc w:val="right"/>
              <w:rPr>
                <w:rFonts w:ascii="Arial" w:eastAsia="Arial" w:hAnsi="Arial" w:cs="Arial"/>
                <w:color w:val="000000"/>
                <w:sz w:val="16"/>
              </w:rPr>
            </w:pPr>
          </w:p>
        </w:tc>
        <w:tc>
          <w:tcPr>
            <w:tcW w:w="1005" w:type="dxa"/>
            <w:tcBorders>
              <w:top w:val="nil"/>
              <w:left w:val="nil"/>
              <w:bottom w:val="nil"/>
              <w:right w:val="nil"/>
              <w:tl2br w:val="nil"/>
              <w:tr2bl w:val="nil"/>
            </w:tcBorders>
            <w:shd w:val="clear" w:color="auto" w:fill="FFFF00"/>
            <w:tcMar>
              <w:left w:w="115" w:type="dxa"/>
              <w:right w:w="115" w:type="dxa"/>
            </w:tcMar>
            <w:vAlign w:val="bottom"/>
          </w:tcPr>
          <w:p w14:paraId="10E2B3BD" w14:textId="77777777" w:rsidR="003F0EEA" w:rsidRPr="00E734E5" w:rsidRDefault="003F0EEA">
            <w:pPr>
              <w:jc w:val="right"/>
              <w:rPr>
                <w:rFonts w:ascii="Arial" w:eastAsia="Arial" w:hAnsi="Arial" w:cs="Arial"/>
                <w:color w:val="000000"/>
                <w:sz w:val="16"/>
              </w:rPr>
            </w:pPr>
          </w:p>
        </w:tc>
        <w:tc>
          <w:tcPr>
            <w:tcW w:w="1005" w:type="dxa"/>
            <w:tcBorders>
              <w:top w:val="nil"/>
              <w:left w:val="nil"/>
              <w:bottom w:val="nil"/>
              <w:right w:val="nil"/>
              <w:tl2br w:val="nil"/>
              <w:tr2bl w:val="nil"/>
            </w:tcBorders>
            <w:shd w:val="clear" w:color="auto" w:fill="FFFFFF"/>
            <w:tcMar>
              <w:left w:w="115" w:type="dxa"/>
              <w:right w:w="115" w:type="dxa"/>
            </w:tcMar>
            <w:vAlign w:val="bottom"/>
          </w:tcPr>
          <w:p w14:paraId="6416221D" w14:textId="77777777" w:rsidR="003F0EEA" w:rsidRPr="00E734E5" w:rsidRDefault="003F0EEA">
            <w:pPr>
              <w:jc w:val="right"/>
              <w:rPr>
                <w:rFonts w:ascii="Arial" w:eastAsia="Arial" w:hAnsi="Arial" w:cs="Arial"/>
                <w:color w:val="000000"/>
                <w:sz w:val="16"/>
              </w:rPr>
            </w:pPr>
          </w:p>
        </w:tc>
        <w:tc>
          <w:tcPr>
            <w:tcW w:w="1005" w:type="dxa"/>
            <w:tcBorders>
              <w:top w:val="nil"/>
              <w:left w:val="nil"/>
              <w:bottom w:val="nil"/>
              <w:right w:val="nil"/>
              <w:tl2br w:val="nil"/>
              <w:tr2bl w:val="nil"/>
            </w:tcBorders>
            <w:shd w:val="clear" w:color="auto" w:fill="FFFF00"/>
            <w:tcMar>
              <w:left w:w="115" w:type="dxa"/>
              <w:right w:w="115" w:type="dxa"/>
            </w:tcMar>
            <w:vAlign w:val="bottom"/>
          </w:tcPr>
          <w:p w14:paraId="4027A52D" w14:textId="77777777" w:rsidR="003F0EEA" w:rsidRPr="00E734E5" w:rsidRDefault="003F0EEA">
            <w:pPr>
              <w:jc w:val="right"/>
              <w:rPr>
                <w:rFonts w:ascii="Arial" w:eastAsia="Arial" w:hAnsi="Arial" w:cs="Arial"/>
                <w:color w:val="000000"/>
                <w:sz w:val="16"/>
              </w:rPr>
            </w:pPr>
          </w:p>
        </w:tc>
      </w:tr>
      <w:tr w:rsidR="00724034" w14:paraId="704B990E" w14:textId="77777777">
        <w:trPr>
          <w:trHeight w:val="225"/>
        </w:trPr>
        <w:tc>
          <w:tcPr>
            <w:tcW w:w="180" w:type="dxa"/>
            <w:tcBorders>
              <w:top w:val="nil"/>
              <w:left w:val="nil"/>
              <w:bottom w:val="nil"/>
              <w:right w:val="nil"/>
              <w:tl2br w:val="nil"/>
              <w:tr2bl w:val="nil"/>
            </w:tcBorders>
            <w:shd w:val="clear" w:color="auto" w:fill="FFFFFF"/>
            <w:tcMar>
              <w:left w:w="115" w:type="dxa"/>
              <w:right w:w="115" w:type="dxa"/>
            </w:tcMar>
            <w:vAlign w:val="bottom"/>
          </w:tcPr>
          <w:p w14:paraId="182F8E10" w14:textId="77777777" w:rsidR="003F0EEA" w:rsidRPr="00E734E5" w:rsidRDefault="003F0EEA">
            <w:pPr>
              <w:rPr>
                <w:rFonts w:ascii="Arial" w:eastAsia="Arial" w:hAnsi="Arial" w:cs="Arial"/>
                <w:color w:val="000000"/>
                <w:sz w:val="16"/>
              </w:rPr>
            </w:pPr>
          </w:p>
        </w:tc>
        <w:tc>
          <w:tcPr>
            <w:tcW w:w="2280" w:type="dxa"/>
            <w:tcBorders>
              <w:top w:val="nil"/>
              <w:left w:val="nil"/>
              <w:bottom w:val="nil"/>
              <w:right w:val="nil"/>
              <w:tl2br w:val="nil"/>
              <w:tr2bl w:val="nil"/>
            </w:tcBorders>
            <w:shd w:val="clear" w:color="auto" w:fill="FFFFFF"/>
            <w:tcMar>
              <w:left w:w="115" w:type="dxa"/>
              <w:right w:w="115" w:type="dxa"/>
            </w:tcMar>
            <w:vAlign w:val="bottom"/>
          </w:tcPr>
          <w:p w14:paraId="7369AC97" w14:textId="77777777" w:rsidR="003F0EEA" w:rsidRPr="00E734E5" w:rsidRDefault="00FB7D0B">
            <w:pPr>
              <w:rPr>
                <w:rFonts w:ascii="Arial" w:eastAsia="Arial" w:hAnsi="Arial" w:cs="Arial"/>
                <w:color w:val="000000"/>
                <w:sz w:val="16"/>
              </w:rPr>
            </w:pPr>
            <w:r w:rsidRPr="00E734E5">
              <w:rPr>
                <w:rFonts w:ascii="Arial" w:eastAsia="Arial" w:hAnsi="Arial" w:cs="Arial"/>
                <w:color w:val="000000"/>
                <w:sz w:val="16"/>
              </w:rPr>
              <w:t>Administered expenses</w:t>
            </w:r>
          </w:p>
        </w:tc>
        <w:tc>
          <w:tcPr>
            <w:tcW w:w="915" w:type="dxa"/>
            <w:tcBorders>
              <w:top w:val="nil"/>
              <w:left w:val="nil"/>
              <w:bottom w:val="nil"/>
              <w:right w:val="nil"/>
              <w:tl2br w:val="nil"/>
              <w:tr2bl w:val="nil"/>
            </w:tcBorders>
            <w:shd w:val="clear" w:color="auto" w:fill="FFFFFF"/>
            <w:tcMar>
              <w:left w:w="115" w:type="dxa"/>
              <w:right w:w="115" w:type="dxa"/>
            </w:tcMar>
            <w:vAlign w:val="bottom"/>
          </w:tcPr>
          <w:p w14:paraId="380F0036" w14:textId="77777777" w:rsidR="003F0EEA" w:rsidRPr="00E734E5" w:rsidRDefault="00FB7D0B">
            <w:pPr>
              <w:jc w:val="center"/>
              <w:rPr>
                <w:rFonts w:ascii="Arial" w:eastAsia="Arial" w:hAnsi="Arial" w:cs="Arial"/>
                <w:color w:val="000000"/>
                <w:sz w:val="16"/>
                <w:vertAlign w:val="superscript"/>
              </w:rPr>
            </w:pPr>
            <w:r w:rsidRPr="00E734E5">
              <w:rPr>
                <w:rFonts w:ascii="Arial" w:eastAsia="Arial" w:hAnsi="Arial" w:cs="Arial"/>
                <w:color w:val="000000"/>
                <w:sz w:val="16"/>
              </w:rPr>
              <w:t>1.3 </w:t>
            </w:r>
          </w:p>
        </w:tc>
        <w:tc>
          <w:tcPr>
            <w:tcW w:w="1005" w:type="dxa"/>
            <w:tcBorders>
              <w:top w:val="nil"/>
              <w:left w:val="nil"/>
              <w:bottom w:val="nil"/>
              <w:right w:val="nil"/>
              <w:tl2br w:val="nil"/>
              <w:tr2bl w:val="nil"/>
            </w:tcBorders>
            <w:shd w:val="clear" w:color="auto" w:fill="FFFF00"/>
            <w:tcMar>
              <w:left w:w="115" w:type="dxa"/>
              <w:right w:w="115" w:type="dxa"/>
            </w:tcMar>
            <w:vAlign w:val="bottom"/>
          </w:tcPr>
          <w:p w14:paraId="3287EC10" w14:textId="77777777" w:rsidR="003F0EEA" w:rsidRPr="00E734E5" w:rsidRDefault="00FB7D0B">
            <w:pPr>
              <w:jc w:val="right"/>
              <w:rPr>
                <w:rFonts w:ascii="Arial" w:eastAsia="Arial" w:hAnsi="Arial" w:cs="Arial"/>
                <w:color w:val="000000"/>
                <w:sz w:val="16"/>
              </w:rPr>
            </w:pPr>
            <w:r w:rsidRPr="00E734E5">
              <w:rPr>
                <w:rFonts w:ascii="Arial" w:eastAsia="Arial" w:hAnsi="Arial" w:cs="Arial"/>
                <w:color w:val="000000"/>
                <w:sz w:val="16"/>
              </w:rPr>
              <w:t xml:space="preserve"> - </w:t>
            </w:r>
          </w:p>
        </w:tc>
        <w:tc>
          <w:tcPr>
            <w:tcW w:w="1005" w:type="dxa"/>
            <w:tcBorders>
              <w:top w:val="nil"/>
              <w:left w:val="nil"/>
              <w:bottom w:val="nil"/>
              <w:right w:val="nil"/>
              <w:tl2br w:val="nil"/>
              <w:tr2bl w:val="nil"/>
            </w:tcBorders>
            <w:shd w:val="clear" w:color="auto" w:fill="FFFFFF"/>
            <w:tcMar>
              <w:left w:w="115" w:type="dxa"/>
              <w:right w:w="115" w:type="dxa"/>
            </w:tcMar>
            <w:vAlign w:val="bottom"/>
          </w:tcPr>
          <w:p w14:paraId="2377F07D" w14:textId="77777777" w:rsidR="003F0EEA" w:rsidRPr="00E734E5" w:rsidRDefault="00FB7D0B">
            <w:pPr>
              <w:jc w:val="right"/>
              <w:rPr>
                <w:rFonts w:ascii="Arial" w:eastAsia="Arial" w:hAnsi="Arial" w:cs="Arial"/>
                <w:color w:val="000000"/>
                <w:sz w:val="16"/>
              </w:rPr>
            </w:pPr>
            <w:r w:rsidRPr="00E734E5">
              <w:rPr>
                <w:rFonts w:ascii="Arial" w:eastAsia="Arial" w:hAnsi="Arial" w:cs="Arial"/>
                <w:color w:val="000000"/>
                <w:sz w:val="16"/>
              </w:rPr>
              <w:t xml:space="preserve"> - </w:t>
            </w:r>
          </w:p>
        </w:tc>
        <w:tc>
          <w:tcPr>
            <w:tcW w:w="1005" w:type="dxa"/>
            <w:tcBorders>
              <w:top w:val="nil"/>
              <w:left w:val="nil"/>
              <w:bottom w:val="nil"/>
              <w:right w:val="nil"/>
              <w:tl2br w:val="nil"/>
              <w:tr2bl w:val="nil"/>
            </w:tcBorders>
            <w:shd w:val="clear" w:color="auto" w:fill="FFFF00"/>
            <w:tcMar>
              <w:left w:w="115" w:type="dxa"/>
              <w:right w:w="115" w:type="dxa"/>
            </w:tcMar>
            <w:vAlign w:val="bottom"/>
          </w:tcPr>
          <w:p w14:paraId="4B51BA9C" w14:textId="77777777" w:rsidR="003F0EEA" w:rsidRPr="00E734E5" w:rsidRDefault="00FB7D0B">
            <w:pPr>
              <w:jc w:val="right"/>
              <w:rPr>
                <w:rFonts w:ascii="Arial" w:eastAsia="Arial" w:hAnsi="Arial" w:cs="Arial"/>
                <w:color w:val="000000"/>
                <w:sz w:val="16"/>
              </w:rPr>
            </w:pPr>
            <w:r w:rsidRPr="00E734E5">
              <w:rPr>
                <w:rFonts w:ascii="Arial" w:eastAsia="Arial" w:hAnsi="Arial" w:cs="Arial"/>
                <w:color w:val="000000"/>
                <w:sz w:val="16"/>
              </w:rPr>
              <w:t xml:space="preserve"> - </w:t>
            </w:r>
          </w:p>
        </w:tc>
        <w:tc>
          <w:tcPr>
            <w:tcW w:w="1005" w:type="dxa"/>
            <w:tcBorders>
              <w:top w:val="nil"/>
              <w:left w:val="nil"/>
              <w:bottom w:val="nil"/>
              <w:right w:val="nil"/>
              <w:tl2br w:val="nil"/>
              <w:tr2bl w:val="nil"/>
            </w:tcBorders>
            <w:shd w:val="clear" w:color="auto" w:fill="FFFFFF"/>
            <w:tcMar>
              <w:left w:w="115" w:type="dxa"/>
              <w:right w:w="115" w:type="dxa"/>
            </w:tcMar>
            <w:vAlign w:val="bottom"/>
          </w:tcPr>
          <w:p w14:paraId="1970CC4A" w14:textId="77777777" w:rsidR="003F0EEA" w:rsidRPr="00E734E5" w:rsidRDefault="00FB7D0B">
            <w:pPr>
              <w:jc w:val="right"/>
              <w:rPr>
                <w:rFonts w:ascii="Arial" w:eastAsia="Arial" w:hAnsi="Arial" w:cs="Arial"/>
                <w:color w:val="000000"/>
                <w:sz w:val="16"/>
              </w:rPr>
            </w:pPr>
            <w:r w:rsidRPr="00E734E5">
              <w:rPr>
                <w:rFonts w:ascii="Arial" w:eastAsia="Arial" w:hAnsi="Arial" w:cs="Arial"/>
                <w:color w:val="000000"/>
                <w:sz w:val="16"/>
              </w:rPr>
              <w:t xml:space="preserve"> - </w:t>
            </w:r>
          </w:p>
        </w:tc>
        <w:tc>
          <w:tcPr>
            <w:tcW w:w="1005" w:type="dxa"/>
            <w:tcBorders>
              <w:top w:val="nil"/>
              <w:left w:val="nil"/>
              <w:bottom w:val="nil"/>
              <w:right w:val="nil"/>
              <w:tl2br w:val="nil"/>
              <w:tr2bl w:val="nil"/>
            </w:tcBorders>
            <w:shd w:val="clear" w:color="auto" w:fill="FFFF00"/>
            <w:tcMar>
              <w:left w:w="115" w:type="dxa"/>
              <w:right w:w="115" w:type="dxa"/>
            </w:tcMar>
            <w:vAlign w:val="bottom"/>
          </w:tcPr>
          <w:p w14:paraId="1759EFA7" w14:textId="77777777" w:rsidR="003F0EEA" w:rsidRPr="00E734E5" w:rsidRDefault="00FB7D0B">
            <w:pPr>
              <w:jc w:val="right"/>
              <w:rPr>
                <w:rFonts w:ascii="Arial" w:eastAsia="Arial" w:hAnsi="Arial" w:cs="Arial"/>
                <w:color w:val="000000"/>
                <w:sz w:val="16"/>
              </w:rPr>
            </w:pPr>
            <w:r w:rsidRPr="00E734E5">
              <w:rPr>
                <w:rFonts w:ascii="Arial" w:eastAsia="Arial" w:hAnsi="Arial" w:cs="Arial"/>
                <w:color w:val="000000"/>
                <w:sz w:val="16"/>
              </w:rPr>
              <w:t>(65,050)</w:t>
            </w:r>
          </w:p>
        </w:tc>
      </w:tr>
      <w:tr w:rsidR="00724034" w14:paraId="1F5384AA" w14:textId="77777777">
        <w:trPr>
          <w:trHeight w:val="225"/>
        </w:trPr>
        <w:tc>
          <w:tcPr>
            <w:tcW w:w="180" w:type="dxa"/>
            <w:tcBorders>
              <w:top w:val="nil"/>
              <w:left w:val="nil"/>
              <w:bottom w:val="nil"/>
              <w:right w:val="nil"/>
              <w:tl2br w:val="nil"/>
              <w:tr2bl w:val="nil"/>
            </w:tcBorders>
            <w:shd w:val="clear" w:color="auto" w:fill="FFFFFF"/>
            <w:tcMar>
              <w:left w:w="115" w:type="dxa"/>
              <w:right w:w="115" w:type="dxa"/>
            </w:tcMar>
            <w:vAlign w:val="bottom"/>
          </w:tcPr>
          <w:p w14:paraId="1F3BA18E" w14:textId="77777777" w:rsidR="003F0EEA" w:rsidRPr="00E734E5" w:rsidRDefault="003F0EEA">
            <w:pPr>
              <w:rPr>
                <w:rFonts w:ascii="Arial" w:eastAsia="Arial" w:hAnsi="Arial" w:cs="Arial"/>
                <w:color w:val="000000"/>
                <w:sz w:val="16"/>
              </w:rPr>
            </w:pPr>
          </w:p>
        </w:tc>
        <w:tc>
          <w:tcPr>
            <w:tcW w:w="2280" w:type="dxa"/>
            <w:tcBorders>
              <w:top w:val="nil"/>
              <w:left w:val="nil"/>
              <w:bottom w:val="nil"/>
              <w:right w:val="nil"/>
              <w:tl2br w:val="nil"/>
              <w:tr2bl w:val="nil"/>
            </w:tcBorders>
            <w:shd w:val="clear" w:color="auto" w:fill="FFFFFF"/>
            <w:tcMar>
              <w:left w:w="115" w:type="dxa"/>
              <w:right w:w="115" w:type="dxa"/>
            </w:tcMar>
            <w:vAlign w:val="bottom"/>
          </w:tcPr>
          <w:p w14:paraId="4DB1749D" w14:textId="77777777" w:rsidR="003F0EEA" w:rsidRPr="00E734E5" w:rsidRDefault="00FB7D0B">
            <w:pPr>
              <w:rPr>
                <w:rFonts w:ascii="Arial" w:eastAsia="Arial" w:hAnsi="Arial" w:cs="Arial"/>
                <w:color w:val="000000"/>
                <w:sz w:val="16"/>
              </w:rPr>
            </w:pPr>
            <w:r w:rsidRPr="00E734E5">
              <w:rPr>
                <w:rFonts w:ascii="Arial" w:eastAsia="Arial" w:hAnsi="Arial" w:cs="Arial"/>
                <w:color w:val="000000"/>
                <w:sz w:val="16"/>
              </w:rPr>
              <w:t>Departmental expenses</w:t>
            </w:r>
          </w:p>
        </w:tc>
        <w:tc>
          <w:tcPr>
            <w:tcW w:w="915" w:type="dxa"/>
            <w:tcBorders>
              <w:top w:val="nil"/>
              <w:left w:val="nil"/>
              <w:bottom w:val="nil"/>
              <w:right w:val="nil"/>
              <w:tl2br w:val="nil"/>
              <w:tr2bl w:val="nil"/>
            </w:tcBorders>
            <w:shd w:val="clear" w:color="auto" w:fill="FFFFFF"/>
            <w:tcMar>
              <w:left w:w="115" w:type="dxa"/>
              <w:right w:w="115" w:type="dxa"/>
            </w:tcMar>
            <w:vAlign w:val="bottom"/>
          </w:tcPr>
          <w:p w14:paraId="2BD3956F" w14:textId="77777777" w:rsidR="003F0EEA" w:rsidRPr="00E734E5" w:rsidRDefault="003F0EEA">
            <w:pPr>
              <w:jc w:val="center"/>
              <w:rPr>
                <w:rFonts w:ascii="Arial" w:eastAsia="Arial" w:hAnsi="Arial" w:cs="Arial"/>
                <w:color w:val="000000"/>
                <w:sz w:val="16"/>
                <w:vertAlign w:val="superscript"/>
              </w:rPr>
            </w:pPr>
          </w:p>
        </w:tc>
        <w:tc>
          <w:tcPr>
            <w:tcW w:w="1005" w:type="dxa"/>
            <w:tcBorders>
              <w:top w:val="nil"/>
              <w:left w:val="nil"/>
              <w:bottom w:val="nil"/>
              <w:right w:val="nil"/>
              <w:tl2br w:val="nil"/>
              <w:tr2bl w:val="nil"/>
            </w:tcBorders>
            <w:shd w:val="clear" w:color="auto" w:fill="FFFF00"/>
            <w:tcMar>
              <w:left w:w="115" w:type="dxa"/>
              <w:right w:w="115" w:type="dxa"/>
            </w:tcMar>
            <w:vAlign w:val="bottom"/>
          </w:tcPr>
          <w:p w14:paraId="6F189A77" w14:textId="77777777" w:rsidR="003F0EEA" w:rsidRPr="00E734E5" w:rsidRDefault="00FB7D0B">
            <w:pPr>
              <w:jc w:val="right"/>
              <w:rPr>
                <w:rFonts w:ascii="Arial" w:eastAsia="Arial" w:hAnsi="Arial" w:cs="Arial"/>
                <w:color w:val="000000"/>
                <w:sz w:val="16"/>
                <w:vertAlign w:val="superscript"/>
              </w:rPr>
            </w:pPr>
            <w:r w:rsidRPr="00E734E5">
              <w:rPr>
                <w:rFonts w:ascii="Arial" w:eastAsia="Arial" w:hAnsi="Arial" w:cs="Arial"/>
                <w:color w:val="000000"/>
                <w:sz w:val="16"/>
              </w:rPr>
              <w:t xml:space="preserve"> - </w:t>
            </w:r>
          </w:p>
        </w:tc>
        <w:tc>
          <w:tcPr>
            <w:tcW w:w="1005" w:type="dxa"/>
            <w:tcBorders>
              <w:top w:val="nil"/>
              <w:left w:val="nil"/>
              <w:bottom w:val="nil"/>
              <w:right w:val="nil"/>
              <w:tl2br w:val="nil"/>
              <w:tr2bl w:val="nil"/>
            </w:tcBorders>
            <w:shd w:val="clear" w:color="auto" w:fill="FFFFFF"/>
            <w:tcMar>
              <w:left w:w="115" w:type="dxa"/>
              <w:right w:w="115" w:type="dxa"/>
            </w:tcMar>
            <w:vAlign w:val="bottom"/>
          </w:tcPr>
          <w:p w14:paraId="1DEAAA96" w14:textId="77777777" w:rsidR="003F0EEA" w:rsidRPr="00E734E5" w:rsidRDefault="00FB7D0B">
            <w:pPr>
              <w:jc w:val="right"/>
              <w:rPr>
                <w:rFonts w:ascii="Arial" w:eastAsia="Arial" w:hAnsi="Arial" w:cs="Arial"/>
                <w:color w:val="000000"/>
                <w:sz w:val="16"/>
              </w:rPr>
            </w:pPr>
            <w:r w:rsidRPr="00E734E5">
              <w:rPr>
                <w:rFonts w:ascii="Arial" w:eastAsia="Arial" w:hAnsi="Arial" w:cs="Arial"/>
                <w:color w:val="000000"/>
                <w:sz w:val="16"/>
              </w:rPr>
              <w:t xml:space="preserve"> - </w:t>
            </w:r>
          </w:p>
        </w:tc>
        <w:tc>
          <w:tcPr>
            <w:tcW w:w="1005" w:type="dxa"/>
            <w:tcBorders>
              <w:top w:val="nil"/>
              <w:left w:val="nil"/>
              <w:bottom w:val="nil"/>
              <w:right w:val="nil"/>
              <w:tl2br w:val="nil"/>
              <w:tr2bl w:val="nil"/>
            </w:tcBorders>
            <w:shd w:val="clear" w:color="auto" w:fill="FFFF00"/>
            <w:tcMar>
              <w:left w:w="115" w:type="dxa"/>
              <w:right w:w="115" w:type="dxa"/>
            </w:tcMar>
            <w:vAlign w:val="bottom"/>
          </w:tcPr>
          <w:p w14:paraId="4E9F10F0" w14:textId="77777777" w:rsidR="003F0EEA" w:rsidRPr="00E734E5" w:rsidRDefault="00FB7D0B">
            <w:pPr>
              <w:jc w:val="right"/>
              <w:rPr>
                <w:rFonts w:ascii="Arial" w:eastAsia="Arial" w:hAnsi="Arial" w:cs="Arial"/>
                <w:color w:val="000000"/>
                <w:sz w:val="16"/>
              </w:rPr>
            </w:pPr>
            <w:r w:rsidRPr="00E734E5">
              <w:rPr>
                <w:rFonts w:ascii="Arial" w:eastAsia="Arial" w:hAnsi="Arial" w:cs="Arial"/>
                <w:color w:val="000000"/>
                <w:sz w:val="16"/>
              </w:rPr>
              <w:t xml:space="preserve"> - </w:t>
            </w:r>
          </w:p>
        </w:tc>
        <w:tc>
          <w:tcPr>
            <w:tcW w:w="1005" w:type="dxa"/>
            <w:tcBorders>
              <w:top w:val="nil"/>
              <w:left w:val="nil"/>
              <w:bottom w:val="nil"/>
              <w:right w:val="nil"/>
              <w:tl2br w:val="nil"/>
              <w:tr2bl w:val="nil"/>
            </w:tcBorders>
            <w:shd w:val="clear" w:color="auto" w:fill="FFFFFF"/>
            <w:tcMar>
              <w:left w:w="115" w:type="dxa"/>
              <w:right w:w="115" w:type="dxa"/>
            </w:tcMar>
            <w:vAlign w:val="bottom"/>
          </w:tcPr>
          <w:p w14:paraId="475995DD" w14:textId="77777777" w:rsidR="003F0EEA" w:rsidRPr="00E734E5" w:rsidRDefault="00FB7D0B">
            <w:pPr>
              <w:jc w:val="right"/>
              <w:rPr>
                <w:rFonts w:ascii="Arial" w:eastAsia="Arial" w:hAnsi="Arial" w:cs="Arial"/>
                <w:color w:val="000000"/>
                <w:sz w:val="16"/>
              </w:rPr>
            </w:pPr>
            <w:r w:rsidRPr="00E734E5">
              <w:rPr>
                <w:rFonts w:ascii="Arial" w:eastAsia="Arial" w:hAnsi="Arial" w:cs="Arial"/>
                <w:color w:val="000000"/>
                <w:sz w:val="16"/>
              </w:rPr>
              <w:t xml:space="preserve"> - </w:t>
            </w:r>
          </w:p>
        </w:tc>
        <w:tc>
          <w:tcPr>
            <w:tcW w:w="1005" w:type="dxa"/>
            <w:tcBorders>
              <w:top w:val="nil"/>
              <w:left w:val="nil"/>
              <w:bottom w:val="nil"/>
              <w:right w:val="nil"/>
              <w:tl2br w:val="nil"/>
              <w:tr2bl w:val="nil"/>
            </w:tcBorders>
            <w:shd w:val="clear" w:color="auto" w:fill="FFFF00"/>
            <w:tcMar>
              <w:left w:w="115" w:type="dxa"/>
              <w:right w:w="115" w:type="dxa"/>
            </w:tcMar>
            <w:vAlign w:val="bottom"/>
          </w:tcPr>
          <w:p w14:paraId="52D70E7C" w14:textId="77777777" w:rsidR="003F0EEA" w:rsidRPr="00E734E5" w:rsidRDefault="00FB7D0B">
            <w:pPr>
              <w:jc w:val="right"/>
              <w:rPr>
                <w:rFonts w:ascii="Arial" w:eastAsia="Arial" w:hAnsi="Arial" w:cs="Arial"/>
                <w:color w:val="000000"/>
                <w:sz w:val="16"/>
              </w:rPr>
            </w:pPr>
            <w:r w:rsidRPr="00E734E5">
              <w:rPr>
                <w:rFonts w:ascii="Arial" w:eastAsia="Arial" w:hAnsi="Arial" w:cs="Arial"/>
                <w:color w:val="000000"/>
                <w:sz w:val="16"/>
              </w:rPr>
              <w:t xml:space="preserve"> - </w:t>
            </w:r>
          </w:p>
        </w:tc>
      </w:tr>
      <w:tr w:rsidR="00FB7D0B" w14:paraId="00852DCC" w14:textId="77777777" w:rsidTr="00FB7D0B">
        <w:trPr>
          <w:trHeight w:val="225"/>
        </w:trPr>
        <w:tc>
          <w:tcPr>
            <w:tcW w:w="2460" w:type="dxa"/>
            <w:gridSpan w:val="2"/>
            <w:tcBorders>
              <w:top w:val="nil"/>
              <w:left w:val="nil"/>
              <w:bottom w:val="nil"/>
              <w:right w:val="nil"/>
              <w:tl2br w:val="nil"/>
              <w:tr2bl w:val="nil"/>
            </w:tcBorders>
            <w:shd w:val="clear" w:color="auto" w:fill="FFFFFF"/>
            <w:tcMar>
              <w:left w:w="115" w:type="dxa"/>
              <w:right w:w="115" w:type="dxa"/>
            </w:tcMar>
            <w:vAlign w:val="bottom"/>
          </w:tcPr>
          <w:p w14:paraId="62152A86" w14:textId="77777777" w:rsidR="003F0EEA" w:rsidRPr="00E734E5" w:rsidRDefault="00FB7D0B">
            <w:pPr>
              <w:rPr>
                <w:rFonts w:ascii="Arial" w:eastAsia="Arial" w:hAnsi="Arial" w:cs="Arial"/>
                <w:color w:val="000000"/>
                <w:sz w:val="16"/>
              </w:rPr>
            </w:pPr>
            <w:r w:rsidRPr="00E734E5">
              <w:rPr>
                <w:rFonts w:ascii="Arial" w:eastAsia="Arial" w:hAnsi="Arial" w:cs="Arial"/>
                <w:b/>
                <w:color w:val="000000"/>
                <w:sz w:val="16"/>
              </w:rPr>
              <w:t xml:space="preserve">Total </w:t>
            </w:r>
          </w:p>
        </w:tc>
        <w:tc>
          <w:tcPr>
            <w:tcW w:w="915" w:type="dxa"/>
            <w:tcBorders>
              <w:top w:val="nil"/>
              <w:left w:val="nil"/>
              <w:bottom w:val="nil"/>
              <w:right w:val="nil"/>
              <w:tl2br w:val="nil"/>
              <w:tr2bl w:val="nil"/>
            </w:tcBorders>
            <w:shd w:val="clear" w:color="auto" w:fill="FFFFFF"/>
            <w:tcMar>
              <w:left w:w="115" w:type="dxa"/>
              <w:right w:w="115" w:type="dxa"/>
            </w:tcMar>
            <w:vAlign w:val="bottom"/>
          </w:tcPr>
          <w:p w14:paraId="610D3C6E" w14:textId="77777777" w:rsidR="003F0EEA" w:rsidRPr="00E734E5" w:rsidRDefault="003F0EEA">
            <w:pPr>
              <w:jc w:val="center"/>
              <w:rPr>
                <w:rFonts w:ascii="Arial" w:eastAsia="Arial" w:hAnsi="Arial" w:cs="Arial"/>
                <w:b/>
                <w:color w:val="000000"/>
                <w:sz w:val="16"/>
                <w:vertAlign w:val="superscript"/>
              </w:rPr>
            </w:pPr>
          </w:p>
        </w:tc>
        <w:tc>
          <w:tcPr>
            <w:tcW w:w="1005" w:type="dxa"/>
            <w:tcBorders>
              <w:top w:val="nil"/>
              <w:left w:val="nil"/>
              <w:bottom w:val="single" w:sz="6" w:space="0" w:color="000000"/>
              <w:right w:val="nil"/>
              <w:tl2br w:val="nil"/>
              <w:tr2bl w:val="nil"/>
            </w:tcBorders>
            <w:shd w:val="clear" w:color="auto" w:fill="FFFF00"/>
            <w:tcMar>
              <w:left w:w="115" w:type="dxa"/>
              <w:right w:w="115" w:type="dxa"/>
            </w:tcMar>
            <w:vAlign w:val="bottom"/>
          </w:tcPr>
          <w:p w14:paraId="53D43B6D" w14:textId="77777777" w:rsidR="003F0EEA" w:rsidRPr="00E734E5" w:rsidRDefault="00FB7D0B">
            <w:pPr>
              <w:jc w:val="right"/>
              <w:rPr>
                <w:rFonts w:ascii="Arial" w:eastAsia="Arial" w:hAnsi="Arial" w:cs="Arial"/>
                <w:color w:val="000000"/>
                <w:sz w:val="16"/>
                <w:vertAlign w:val="superscript"/>
              </w:rPr>
            </w:pPr>
            <w:r w:rsidRPr="00E734E5">
              <w:rPr>
                <w:rFonts w:ascii="Arial" w:eastAsia="Arial" w:hAnsi="Arial" w:cs="Arial"/>
                <w:b/>
                <w:color w:val="000000"/>
                <w:sz w:val="16"/>
              </w:rPr>
              <w:t xml:space="preserve"> - </w:t>
            </w:r>
          </w:p>
        </w:tc>
        <w:tc>
          <w:tcPr>
            <w:tcW w:w="1005"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0FF89AEB" w14:textId="77777777" w:rsidR="003F0EEA" w:rsidRPr="00E734E5" w:rsidRDefault="00FB7D0B">
            <w:pPr>
              <w:jc w:val="right"/>
              <w:rPr>
                <w:rFonts w:ascii="Arial" w:eastAsia="Arial" w:hAnsi="Arial" w:cs="Arial"/>
                <w:b/>
                <w:color w:val="000000"/>
                <w:sz w:val="16"/>
              </w:rPr>
            </w:pPr>
            <w:r w:rsidRPr="00E734E5">
              <w:rPr>
                <w:rFonts w:ascii="Arial" w:eastAsia="Arial" w:hAnsi="Arial" w:cs="Arial"/>
                <w:b/>
                <w:color w:val="000000"/>
                <w:sz w:val="16"/>
              </w:rPr>
              <w:t xml:space="preserve"> - </w:t>
            </w:r>
          </w:p>
        </w:tc>
        <w:tc>
          <w:tcPr>
            <w:tcW w:w="1005" w:type="dxa"/>
            <w:tcBorders>
              <w:top w:val="nil"/>
              <w:left w:val="nil"/>
              <w:bottom w:val="single" w:sz="6" w:space="0" w:color="000000"/>
              <w:right w:val="nil"/>
              <w:tl2br w:val="nil"/>
              <w:tr2bl w:val="nil"/>
            </w:tcBorders>
            <w:shd w:val="clear" w:color="auto" w:fill="FFFF00"/>
            <w:tcMar>
              <w:left w:w="115" w:type="dxa"/>
              <w:right w:w="115" w:type="dxa"/>
            </w:tcMar>
            <w:vAlign w:val="bottom"/>
          </w:tcPr>
          <w:p w14:paraId="4F5BE670" w14:textId="77777777" w:rsidR="003F0EEA" w:rsidRPr="00E734E5" w:rsidRDefault="00FB7D0B">
            <w:pPr>
              <w:jc w:val="right"/>
              <w:rPr>
                <w:rFonts w:ascii="Arial" w:eastAsia="Arial" w:hAnsi="Arial" w:cs="Arial"/>
                <w:b/>
                <w:color w:val="000000"/>
                <w:sz w:val="16"/>
              </w:rPr>
            </w:pPr>
            <w:r w:rsidRPr="00E734E5">
              <w:rPr>
                <w:rFonts w:ascii="Arial" w:eastAsia="Arial" w:hAnsi="Arial" w:cs="Arial"/>
                <w:b/>
                <w:color w:val="000000"/>
                <w:sz w:val="16"/>
              </w:rPr>
              <w:t xml:space="preserve"> - </w:t>
            </w:r>
          </w:p>
        </w:tc>
        <w:tc>
          <w:tcPr>
            <w:tcW w:w="1005"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13A431F4" w14:textId="77777777" w:rsidR="003F0EEA" w:rsidRPr="00E734E5" w:rsidRDefault="00FB7D0B">
            <w:pPr>
              <w:jc w:val="right"/>
              <w:rPr>
                <w:rFonts w:ascii="Arial" w:eastAsia="Arial" w:hAnsi="Arial" w:cs="Arial"/>
                <w:b/>
                <w:color w:val="000000"/>
                <w:sz w:val="16"/>
              </w:rPr>
            </w:pPr>
            <w:r w:rsidRPr="00E734E5">
              <w:rPr>
                <w:rFonts w:ascii="Arial" w:eastAsia="Arial" w:hAnsi="Arial" w:cs="Arial"/>
                <w:b/>
                <w:color w:val="000000"/>
                <w:sz w:val="16"/>
              </w:rPr>
              <w:t xml:space="preserve"> - </w:t>
            </w:r>
          </w:p>
        </w:tc>
        <w:tc>
          <w:tcPr>
            <w:tcW w:w="1005" w:type="dxa"/>
            <w:tcBorders>
              <w:top w:val="nil"/>
              <w:left w:val="nil"/>
              <w:bottom w:val="single" w:sz="6" w:space="0" w:color="000000"/>
              <w:right w:val="nil"/>
              <w:tl2br w:val="nil"/>
              <w:tr2bl w:val="nil"/>
            </w:tcBorders>
            <w:shd w:val="clear" w:color="auto" w:fill="FFFF00"/>
            <w:tcMar>
              <w:left w:w="115" w:type="dxa"/>
              <w:right w:w="115" w:type="dxa"/>
            </w:tcMar>
            <w:vAlign w:val="bottom"/>
          </w:tcPr>
          <w:p w14:paraId="1D1D1A43" w14:textId="77777777" w:rsidR="003F0EEA" w:rsidRPr="00E734E5" w:rsidRDefault="00FB7D0B">
            <w:pPr>
              <w:jc w:val="right"/>
              <w:rPr>
                <w:rFonts w:ascii="Arial" w:eastAsia="Arial" w:hAnsi="Arial" w:cs="Arial"/>
                <w:b/>
                <w:color w:val="000000"/>
                <w:sz w:val="16"/>
              </w:rPr>
            </w:pPr>
            <w:r w:rsidRPr="00E734E5">
              <w:rPr>
                <w:rFonts w:ascii="Arial" w:eastAsia="Arial" w:hAnsi="Arial" w:cs="Arial"/>
                <w:b/>
                <w:color w:val="000000"/>
                <w:sz w:val="16"/>
              </w:rPr>
              <w:t>(65,050)</w:t>
            </w:r>
          </w:p>
        </w:tc>
      </w:tr>
      <w:tr w:rsidR="00FB7D0B" w14:paraId="37C549D3" w14:textId="77777777" w:rsidTr="00FB7D0B">
        <w:trPr>
          <w:trHeight w:val="225"/>
        </w:trPr>
        <w:tc>
          <w:tcPr>
            <w:tcW w:w="180" w:type="dxa"/>
            <w:tcBorders>
              <w:top w:val="nil"/>
              <w:left w:val="nil"/>
              <w:bottom w:val="nil"/>
              <w:right w:val="nil"/>
              <w:tl2br w:val="nil"/>
              <w:tr2bl w:val="nil"/>
            </w:tcBorders>
            <w:shd w:val="clear" w:color="auto" w:fill="FFFFFF"/>
            <w:tcMar>
              <w:left w:w="115" w:type="dxa"/>
              <w:right w:w="115" w:type="dxa"/>
            </w:tcMar>
            <w:vAlign w:val="bottom"/>
          </w:tcPr>
          <w:p w14:paraId="103A9A18" w14:textId="77777777" w:rsidR="003F0EEA" w:rsidRPr="00E734E5" w:rsidRDefault="003F0EEA">
            <w:pPr>
              <w:rPr>
                <w:rFonts w:ascii="Arial" w:eastAsia="Arial" w:hAnsi="Arial" w:cs="Arial"/>
                <w:b/>
                <w:color w:val="000000"/>
                <w:sz w:val="16"/>
              </w:rPr>
            </w:pPr>
          </w:p>
        </w:tc>
        <w:tc>
          <w:tcPr>
            <w:tcW w:w="2280" w:type="dxa"/>
            <w:tcBorders>
              <w:top w:val="nil"/>
              <w:left w:val="nil"/>
              <w:bottom w:val="nil"/>
              <w:right w:val="nil"/>
              <w:tl2br w:val="nil"/>
              <w:tr2bl w:val="nil"/>
            </w:tcBorders>
            <w:shd w:val="clear" w:color="auto" w:fill="FFFFFF"/>
            <w:tcMar>
              <w:left w:w="115" w:type="dxa"/>
              <w:right w:w="115" w:type="dxa"/>
            </w:tcMar>
            <w:vAlign w:val="bottom"/>
          </w:tcPr>
          <w:p w14:paraId="333639ED" w14:textId="77777777" w:rsidR="003F0EEA" w:rsidRPr="00E734E5" w:rsidRDefault="003F0EEA">
            <w:pPr>
              <w:rPr>
                <w:rFonts w:ascii="Arial" w:eastAsia="Arial" w:hAnsi="Arial" w:cs="Arial"/>
                <w:color w:val="000000"/>
                <w:sz w:val="16"/>
              </w:rPr>
            </w:pPr>
          </w:p>
        </w:tc>
        <w:tc>
          <w:tcPr>
            <w:tcW w:w="915" w:type="dxa"/>
            <w:tcBorders>
              <w:top w:val="nil"/>
              <w:left w:val="nil"/>
              <w:bottom w:val="nil"/>
              <w:right w:val="nil"/>
              <w:tl2br w:val="nil"/>
              <w:tr2bl w:val="nil"/>
            </w:tcBorders>
            <w:shd w:val="clear" w:color="auto" w:fill="FFFFFF"/>
            <w:tcMar>
              <w:left w:w="115" w:type="dxa"/>
              <w:right w:w="115" w:type="dxa"/>
            </w:tcMar>
            <w:vAlign w:val="bottom"/>
          </w:tcPr>
          <w:p w14:paraId="425908B6" w14:textId="77777777" w:rsidR="003F0EEA" w:rsidRPr="00E734E5" w:rsidRDefault="003F0EEA">
            <w:pPr>
              <w:rPr>
                <w:rFonts w:ascii="Arial" w:eastAsia="Arial" w:hAnsi="Arial" w:cs="Arial"/>
                <w:color w:val="000000"/>
                <w:sz w:val="16"/>
                <w:vertAlign w:val="superscript"/>
              </w:rPr>
            </w:pPr>
          </w:p>
        </w:tc>
        <w:tc>
          <w:tcPr>
            <w:tcW w:w="1005"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6CAFF483" w14:textId="77777777" w:rsidR="003F0EEA" w:rsidRPr="00E734E5" w:rsidRDefault="003F0EEA">
            <w:pPr>
              <w:rPr>
                <w:rFonts w:ascii="Arial" w:eastAsia="Arial" w:hAnsi="Arial" w:cs="Arial"/>
                <w:color w:val="000000"/>
                <w:sz w:val="16"/>
                <w:vertAlign w:val="superscript"/>
              </w:rPr>
            </w:pPr>
          </w:p>
        </w:tc>
        <w:tc>
          <w:tcPr>
            <w:tcW w:w="1005"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35442533" w14:textId="77777777" w:rsidR="003F0EEA" w:rsidRPr="00E734E5" w:rsidRDefault="003F0EEA">
            <w:pPr>
              <w:rPr>
                <w:rFonts w:ascii="Arial" w:eastAsia="Arial" w:hAnsi="Arial" w:cs="Arial"/>
                <w:color w:val="000000"/>
                <w:sz w:val="16"/>
                <w:vertAlign w:val="superscript"/>
              </w:rPr>
            </w:pPr>
          </w:p>
        </w:tc>
        <w:tc>
          <w:tcPr>
            <w:tcW w:w="3015" w:type="dxa"/>
            <w:gridSpan w:val="3"/>
            <w:tcBorders>
              <w:top w:val="single" w:sz="6" w:space="0" w:color="000000"/>
              <w:left w:val="nil"/>
              <w:bottom w:val="nil"/>
              <w:right w:val="nil"/>
              <w:tl2br w:val="nil"/>
              <w:tr2bl w:val="nil"/>
            </w:tcBorders>
            <w:shd w:val="clear" w:color="auto" w:fill="FFFFFF"/>
            <w:tcMar>
              <w:left w:w="115" w:type="dxa"/>
              <w:right w:w="115" w:type="dxa"/>
            </w:tcMar>
            <w:vAlign w:val="bottom"/>
          </w:tcPr>
          <w:p w14:paraId="1253E6AE" w14:textId="77777777" w:rsidR="003F0EEA" w:rsidRPr="00E734E5" w:rsidRDefault="00FB7D0B">
            <w:pPr>
              <w:jc w:val="right"/>
              <w:rPr>
                <w:rFonts w:ascii="Arial" w:eastAsia="Arial" w:hAnsi="Arial" w:cs="Arial"/>
                <w:color w:val="000000"/>
                <w:sz w:val="16"/>
                <w:vertAlign w:val="superscript"/>
              </w:rPr>
            </w:pPr>
            <w:r w:rsidRPr="00E734E5">
              <w:rPr>
                <w:rFonts w:ascii="Arial" w:eastAsia="Arial" w:hAnsi="Arial" w:cs="Arial"/>
                <w:color w:val="000000"/>
                <w:sz w:val="16"/>
              </w:rPr>
              <w:t>Continued on next page</w:t>
            </w:r>
          </w:p>
        </w:tc>
      </w:tr>
      <w:tr w:rsidR="00FB7D0B" w14:paraId="26F39661" w14:textId="77777777" w:rsidTr="00FB7D0B">
        <w:trPr>
          <w:trHeight w:val="225"/>
        </w:trPr>
        <w:tc>
          <w:tcPr>
            <w:tcW w:w="5385" w:type="dxa"/>
            <w:gridSpan w:val="5"/>
            <w:tcBorders>
              <w:top w:val="nil"/>
              <w:left w:val="nil"/>
              <w:bottom w:val="nil"/>
              <w:right w:val="nil"/>
              <w:tl2br w:val="nil"/>
              <w:tr2bl w:val="nil"/>
            </w:tcBorders>
            <w:shd w:val="clear" w:color="auto" w:fill="FFFFFF"/>
            <w:tcMar>
              <w:left w:w="115" w:type="dxa"/>
              <w:right w:w="115" w:type="dxa"/>
            </w:tcMar>
            <w:vAlign w:val="bottom"/>
          </w:tcPr>
          <w:p w14:paraId="26ADE85D" w14:textId="77777777" w:rsidR="003F0EEA" w:rsidRPr="00E734E5" w:rsidRDefault="00FB7D0B">
            <w:pPr>
              <w:rPr>
                <w:rFonts w:ascii="Arial" w:eastAsia="Arial" w:hAnsi="Arial" w:cs="Arial"/>
                <w:color w:val="000000"/>
                <w:sz w:val="16"/>
              </w:rPr>
            </w:pPr>
            <w:r w:rsidRPr="00E734E5">
              <w:rPr>
                <w:rFonts w:ascii="Arial" w:eastAsia="Arial" w:hAnsi="Arial" w:cs="Arial"/>
                <w:color w:val="000000"/>
                <w:sz w:val="16"/>
              </w:rPr>
              <w:t>Prepared on a Government Finance Statistics (fiscal) basis</w:t>
            </w:r>
          </w:p>
        </w:tc>
        <w:tc>
          <w:tcPr>
            <w:tcW w:w="1005" w:type="dxa"/>
            <w:tcBorders>
              <w:top w:val="nil"/>
              <w:left w:val="nil"/>
              <w:bottom w:val="nil"/>
              <w:right w:val="nil"/>
              <w:tl2br w:val="nil"/>
              <w:tr2bl w:val="nil"/>
            </w:tcBorders>
            <w:shd w:val="clear" w:color="auto" w:fill="FFFFFF"/>
            <w:tcMar>
              <w:left w:w="115" w:type="dxa"/>
              <w:right w:w="115" w:type="dxa"/>
            </w:tcMar>
            <w:vAlign w:val="bottom"/>
          </w:tcPr>
          <w:p w14:paraId="78B800E9" w14:textId="77777777" w:rsidR="003F0EEA" w:rsidRPr="00E734E5" w:rsidRDefault="003F0EEA">
            <w:pPr>
              <w:rPr>
                <w:rFonts w:ascii="Arial" w:eastAsia="Arial" w:hAnsi="Arial" w:cs="Arial"/>
                <w:color w:val="000000"/>
                <w:sz w:val="16"/>
              </w:rPr>
            </w:pPr>
          </w:p>
        </w:tc>
        <w:tc>
          <w:tcPr>
            <w:tcW w:w="1005" w:type="dxa"/>
            <w:tcBorders>
              <w:top w:val="nil"/>
              <w:left w:val="nil"/>
              <w:bottom w:val="nil"/>
              <w:right w:val="nil"/>
              <w:tl2br w:val="nil"/>
              <w:tr2bl w:val="nil"/>
            </w:tcBorders>
            <w:shd w:val="clear" w:color="auto" w:fill="FFFFFF"/>
            <w:tcMar>
              <w:left w:w="115" w:type="dxa"/>
              <w:right w:w="115" w:type="dxa"/>
            </w:tcMar>
            <w:vAlign w:val="bottom"/>
          </w:tcPr>
          <w:p w14:paraId="4607F5A3" w14:textId="77777777" w:rsidR="003F0EEA" w:rsidRPr="00E734E5" w:rsidRDefault="003F0EEA">
            <w:pPr>
              <w:rPr>
                <w:rFonts w:ascii="Arial" w:eastAsia="Arial" w:hAnsi="Arial" w:cs="Arial"/>
                <w:color w:val="000000"/>
                <w:sz w:val="16"/>
              </w:rPr>
            </w:pPr>
          </w:p>
        </w:tc>
        <w:tc>
          <w:tcPr>
            <w:tcW w:w="1005" w:type="dxa"/>
            <w:tcBorders>
              <w:top w:val="nil"/>
              <w:left w:val="nil"/>
              <w:bottom w:val="nil"/>
              <w:right w:val="nil"/>
              <w:tl2br w:val="nil"/>
              <w:tr2bl w:val="nil"/>
            </w:tcBorders>
            <w:shd w:val="clear" w:color="auto" w:fill="FFFFFF"/>
            <w:tcMar>
              <w:left w:w="115" w:type="dxa"/>
              <w:right w:w="115" w:type="dxa"/>
            </w:tcMar>
            <w:vAlign w:val="bottom"/>
          </w:tcPr>
          <w:p w14:paraId="3A6745F5" w14:textId="77777777" w:rsidR="003F0EEA" w:rsidRPr="00E734E5" w:rsidRDefault="003F0EEA">
            <w:pPr>
              <w:rPr>
                <w:rFonts w:ascii="Arial" w:eastAsia="Arial" w:hAnsi="Arial" w:cs="Arial"/>
                <w:color w:val="000000"/>
                <w:sz w:val="16"/>
              </w:rPr>
            </w:pPr>
          </w:p>
        </w:tc>
      </w:tr>
    </w:tbl>
    <w:p w14:paraId="69DCE0ED" w14:textId="77777777" w:rsidR="003F0EEA" w:rsidRPr="00E734E5" w:rsidRDefault="00FB7D0B">
      <w:pPr>
        <w:spacing w:line="14" w:lineRule="exact"/>
        <w:rPr>
          <w:rFonts w:cs="Times New Roman"/>
        </w:rPr>
      </w:pPr>
      <w:r w:rsidRPr="00E734E5">
        <w:rPr>
          <w:rFonts w:cs="Times New Roman"/>
        </w:rPr>
        <w:br w:type="page"/>
      </w:r>
    </w:p>
    <w:p w14:paraId="59ADCE32" w14:textId="77777777" w:rsidR="003F0EEA" w:rsidRPr="00D403DC" w:rsidRDefault="00FB7D0B" w:rsidP="003F0EEA">
      <w:pPr>
        <w:pStyle w:val="TableHeadingcontinued5"/>
        <w:spacing w:after="0"/>
        <w:rPr>
          <w:rFonts w:eastAsia="Calibri"/>
        </w:rPr>
      </w:pPr>
      <w:r w:rsidRPr="00B54316">
        <w:rPr>
          <w:rFonts w:eastAsia="Calibri"/>
        </w:rPr>
        <w:t xml:space="preserve">Table 1.2: </w:t>
      </w:r>
      <w:r>
        <w:rPr>
          <w:rFonts w:eastAsia="Calibri"/>
        </w:rPr>
        <w:t xml:space="preserve">Department of Veterans' Affairs </w:t>
      </w:r>
      <w:r w:rsidRPr="00B54316">
        <w:rPr>
          <w:rFonts w:eastAsia="Calibri"/>
        </w:rPr>
        <w:t xml:space="preserve">2014-15 </w:t>
      </w:r>
      <w:r>
        <w:rPr>
          <w:rFonts w:eastAsia="Calibri"/>
        </w:rPr>
        <w:t>Budget measures (</w:t>
      </w:r>
      <w:r w:rsidRPr="00A61101">
        <w:rPr>
          <w:rFonts w:eastAsia="Calibri"/>
        </w:rPr>
        <w:t>continued)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0"/>
        <w:gridCol w:w="2280"/>
        <w:gridCol w:w="915"/>
        <w:gridCol w:w="1005"/>
        <w:gridCol w:w="1005"/>
        <w:gridCol w:w="1005"/>
        <w:gridCol w:w="1005"/>
        <w:gridCol w:w="1005"/>
      </w:tblGrid>
      <w:tr w:rsidR="00FB7D0B" w14:paraId="44E5E8ED" w14:textId="77777777" w:rsidTr="00FB7D0B">
        <w:trPr>
          <w:trHeight w:val="225"/>
        </w:trPr>
        <w:tc>
          <w:tcPr>
            <w:tcW w:w="3375" w:type="dxa"/>
            <w:gridSpan w:val="3"/>
            <w:tcBorders>
              <w:top w:val="single" w:sz="6" w:space="0" w:color="000000"/>
              <w:left w:val="nil"/>
              <w:bottom w:val="nil"/>
              <w:right w:val="nil"/>
              <w:tl2br w:val="nil"/>
              <w:tr2bl w:val="nil"/>
            </w:tcBorders>
            <w:shd w:val="clear" w:color="auto" w:fill="FFFFFF"/>
            <w:tcMar>
              <w:left w:w="115" w:type="dxa"/>
              <w:right w:w="115" w:type="dxa"/>
            </w:tcMar>
            <w:vAlign w:val="bottom"/>
          </w:tcPr>
          <w:p w14:paraId="7BCC35CB" w14:textId="77777777" w:rsidR="003F0EEA" w:rsidRPr="00D403DC" w:rsidRDefault="00FB7D0B">
            <w:pPr>
              <w:jc w:val="right"/>
              <w:rPr>
                <w:rFonts w:cs="Times New Roman"/>
              </w:rPr>
            </w:pPr>
            <w:r w:rsidRPr="00D403DC">
              <w:rPr>
                <w:rFonts w:ascii="Arial" w:eastAsia="Arial" w:hAnsi="Arial" w:cs="Arial"/>
                <w:color w:val="000000"/>
                <w:sz w:val="16"/>
              </w:rPr>
              <w:t>Programme</w:t>
            </w:r>
          </w:p>
        </w:tc>
        <w:tc>
          <w:tcPr>
            <w:tcW w:w="1005" w:type="dxa"/>
            <w:tcBorders>
              <w:top w:val="single" w:sz="6" w:space="0" w:color="000000"/>
              <w:left w:val="nil"/>
              <w:bottom w:val="nil"/>
              <w:right w:val="nil"/>
              <w:tl2br w:val="nil"/>
              <w:tr2bl w:val="nil"/>
            </w:tcBorders>
            <w:shd w:val="clear" w:color="auto" w:fill="FFFF00"/>
            <w:tcMar>
              <w:left w:w="115" w:type="dxa"/>
              <w:right w:w="115" w:type="dxa"/>
            </w:tcMar>
            <w:vAlign w:val="bottom"/>
          </w:tcPr>
          <w:p w14:paraId="6438A095" w14:textId="77777777" w:rsidR="003F0EEA" w:rsidRPr="00D403DC" w:rsidRDefault="00FB7D0B">
            <w:pPr>
              <w:jc w:val="right"/>
              <w:rPr>
                <w:rFonts w:ascii="Arial" w:eastAsia="Arial" w:hAnsi="Arial" w:cs="Arial"/>
                <w:color w:val="000000"/>
                <w:sz w:val="16"/>
              </w:rPr>
            </w:pPr>
            <w:r w:rsidRPr="00D403DC">
              <w:rPr>
                <w:rFonts w:ascii="Arial" w:eastAsia="Arial" w:hAnsi="Arial" w:cs="Arial"/>
                <w:color w:val="000000"/>
                <w:sz w:val="16"/>
              </w:rPr>
              <w:t>2013-14</w:t>
            </w:r>
          </w:p>
        </w:tc>
        <w:tc>
          <w:tcPr>
            <w:tcW w:w="1005"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6B756D6F" w14:textId="77777777" w:rsidR="003F0EEA" w:rsidRPr="00D403DC" w:rsidRDefault="00FB7D0B">
            <w:pPr>
              <w:jc w:val="right"/>
              <w:rPr>
                <w:rFonts w:ascii="Arial" w:eastAsia="Arial" w:hAnsi="Arial" w:cs="Arial"/>
                <w:color w:val="000000"/>
                <w:sz w:val="16"/>
              </w:rPr>
            </w:pPr>
            <w:r w:rsidRPr="00D403DC">
              <w:rPr>
                <w:rFonts w:ascii="Arial" w:eastAsia="Arial" w:hAnsi="Arial" w:cs="Arial"/>
                <w:color w:val="000000"/>
                <w:sz w:val="16"/>
              </w:rPr>
              <w:t>2014-15</w:t>
            </w:r>
          </w:p>
        </w:tc>
        <w:tc>
          <w:tcPr>
            <w:tcW w:w="1005" w:type="dxa"/>
            <w:tcBorders>
              <w:top w:val="single" w:sz="6" w:space="0" w:color="000000"/>
              <w:left w:val="nil"/>
              <w:bottom w:val="nil"/>
              <w:right w:val="nil"/>
              <w:tl2br w:val="nil"/>
              <w:tr2bl w:val="nil"/>
            </w:tcBorders>
            <w:shd w:val="clear" w:color="auto" w:fill="FFFF00"/>
            <w:tcMar>
              <w:left w:w="115" w:type="dxa"/>
              <w:right w:w="115" w:type="dxa"/>
            </w:tcMar>
            <w:vAlign w:val="bottom"/>
          </w:tcPr>
          <w:p w14:paraId="12F43E74" w14:textId="77777777" w:rsidR="003F0EEA" w:rsidRPr="00D403DC" w:rsidRDefault="00FB7D0B">
            <w:pPr>
              <w:jc w:val="right"/>
              <w:rPr>
                <w:rFonts w:ascii="Arial" w:eastAsia="Arial" w:hAnsi="Arial" w:cs="Arial"/>
                <w:color w:val="000000"/>
                <w:sz w:val="16"/>
              </w:rPr>
            </w:pPr>
            <w:r w:rsidRPr="00D403DC">
              <w:rPr>
                <w:rFonts w:ascii="Arial" w:eastAsia="Arial" w:hAnsi="Arial" w:cs="Arial"/>
                <w:color w:val="000000"/>
                <w:sz w:val="16"/>
              </w:rPr>
              <w:t>2015-16</w:t>
            </w:r>
          </w:p>
        </w:tc>
        <w:tc>
          <w:tcPr>
            <w:tcW w:w="1005"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3F0C96D2" w14:textId="77777777" w:rsidR="003F0EEA" w:rsidRPr="00D403DC" w:rsidRDefault="00FB7D0B">
            <w:pPr>
              <w:jc w:val="right"/>
              <w:rPr>
                <w:rFonts w:ascii="Arial" w:eastAsia="Arial" w:hAnsi="Arial" w:cs="Arial"/>
                <w:color w:val="000000"/>
                <w:sz w:val="16"/>
              </w:rPr>
            </w:pPr>
            <w:r w:rsidRPr="00D403DC">
              <w:rPr>
                <w:rFonts w:ascii="Arial" w:eastAsia="Arial" w:hAnsi="Arial" w:cs="Arial"/>
                <w:color w:val="000000"/>
                <w:sz w:val="16"/>
              </w:rPr>
              <w:t>2016-17</w:t>
            </w:r>
          </w:p>
        </w:tc>
        <w:tc>
          <w:tcPr>
            <w:tcW w:w="1005" w:type="dxa"/>
            <w:tcBorders>
              <w:top w:val="single" w:sz="6" w:space="0" w:color="000000"/>
              <w:left w:val="nil"/>
              <w:bottom w:val="nil"/>
              <w:right w:val="nil"/>
              <w:tl2br w:val="nil"/>
              <w:tr2bl w:val="nil"/>
            </w:tcBorders>
            <w:shd w:val="clear" w:color="auto" w:fill="FFFF00"/>
            <w:tcMar>
              <w:left w:w="115" w:type="dxa"/>
              <w:right w:w="115" w:type="dxa"/>
            </w:tcMar>
            <w:vAlign w:val="bottom"/>
          </w:tcPr>
          <w:p w14:paraId="6102D658" w14:textId="77777777" w:rsidR="003F0EEA" w:rsidRPr="00D403DC" w:rsidRDefault="00FB7D0B">
            <w:pPr>
              <w:jc w:val="right"/>
              <w:rPr>
                <w:rFonts w:ascii="Arial" w:eastAsia="Arial" w:hAnsi="Arial" w:cs="Arial"/>
                <w:color w:val="000000"/>
                <w:sz w:val="16"/>
              </w:rPr>
            </w:pPr>
            <w:r w:rsidRPr="00D403DC">
              <w:rPr>
                <w:rFonts w:ascii="Arial" w:eastAsia="Arial" w:hAnsi="Arial" w:cs="Arial"/>
                <w:color w:val="000000"/>
                <w:sz w:val="16"/>
              </w:rPr>
              <w:t>2017-18</w:t>
            </w:r>
          </w:p>
        </w:tc>
      </w:tr>
      <w:tr w:rsidR="00724034" w14:paraId="3297D6E2" w14:textId="77777777">
        <w:trPr>
          <w:trHeight w:val="225"/>
        </w:trPr>
        <w:tc>
          <w:tcPr>
            <w:tcW w:w="180" w:type="dxa"/>
            <w:tcBorders>
              <w:top w:val="nil"/>
              <w:left w:val="nil"/>
              <w:bottom w:val="nil"/>
              <w:right w:val="nil"/>
              <w:tl2br w:val="nil"/>
              <w:tr2bl w:val="nil"/>
            </w:tcBorders>
            <w:shd w:val="clear" w:color="auto" w:fill="FFFFFF"/>
            <w:tcMar>
              <w:left w:w="115" w:type="dxa"/>
              <w:right w:w="115" w:type="dxa"/>
            </w:tcMar>
            <w:vAlign w:val="bottom"/>
          </w:tcPr>
          <w:p w14:paraId="4325A8B6" w14:textId="77777777" w:rsidR="003F0EEA" w:rsidRPr="00D403DC" w:rsidRDefault="003F0EEA">
            <w:pPr>
              <w:rPr>
                <w:rFonts w:ascii="Arial" w:eastAsia="Arial" w:hAnsi="Arial" w:cs="Arial"/>
                <w:color w:val="000000"/>
                <w:sz w:val="16"/>
              </w:rPr>
            </w:pPr>
          </w:p>
        </w:tc>
        <w:tc>
          <w:tcPr>
            <w:tcW w:w="2280" w:type="dxa"/>
            <w:tcBorders>
              <w:top w:val="nil"/>
              <w:left w:val="nil"/>
              <w:bottom w:val="nil"/>
              <w:right w:val="nil"/>
              <w:tl2br w:val="nil"/>
              <w:tr2bl w:val="nil"/>
            </w:tcBorders>
            <w:shd w:val="clear" w:color="auto" w:fill="FFFFFF"/>
            <w:tcMar>
              <w:left w:w="115" w:type="dxa"/>
              <w:right w:w="115" w:type="dxa"/>
            </w:tcMar>
            <w:vAlign w:val="bottom"/>
          </w:tcPr>
          <w:p w14:paraId="16C61514" w14:textId="77777777" w:rsidR="003F0EEA" w:rsidRPr="00D403DC" w:rsidRDefault="003F0EEA">
            <w:pPr>
              <w:rPr>
                <w:rFonts w:ascii="Arial" w:eastAsia="Arial" w:hAnsi="Arial" w:cs="Arial"/>
                <w:color w:val="000000"/>
                <w:sz w:val="16"/>
              </w:rPr>
            </w:pPr>
          </w:p>
        </w:tc>
        <w:tc>
          <w:tcPr>
            <w:tcW w:w="915" w:type="dxa"/>
            <w:tcBorders>
              <w:top w:val="nil"/>
              <w:left w:val="nil"/>
              <w:bottom w:val="nil"/>
              <w:right w:val="nil"/>
              <w:tl2br w:val="nil"/>
              <w:tr2bl w:val="nil"/>
            </w:tcBorders>
            <w:shd w:val="clear" w:color="auto" w:fill="FFFFFF"/>
            <w:tcMar>
              <w:left w:w="115" w:type="dxa"/>
              <w:right w:w="115" w:type="dxa"/>
            </w:tcMar>
            <w:vAlign w:val="bottom"/>
          </w:tcPr>
          <w:p w14:paraId="48235444" w14:textId="77777777" w:rsidR="003F0EEA" w:rsidRPr="00D403DC" w:rsidRDefault="003F0EEA">
            <w:pPr>
              <w:rPr>
                <w:rFonts w:ascii="Arial" w:eastAsia="Arial" w:hAnsi="Arial" w:cs="Arial"/>
                <w:color w:val="000000"/>
                <w:sz w:val="16"/>
                <w:vertAlign w:val="superscript"/>
              </w:rPr>
            </w:pPr>
          </w:p>
        </w:tc>
        <w:tc>
          <w:tcPr>
            <w:tcW w:w="1005" w:type="dxa"/>
            <w:tcBorders>
              <w:top w:val="nil"/>
              <w:left w:val="nil"/>
              <w:bottom w:val="single" w:sz="6" w:space="0" w:color="000000"/>
              <w:right w:val="nil"/>
              <w:tl2br w:val="nil"/>
              <w:tr2bl w:val="nil"/>
            </w:tcBorders>
            <w:shd w:val="clear" w:color="auto" w:fill="FFFF00"/>
            <w:tcMar>
              <w:left w:w="115" w:type="dxa"/>
              <w:right w:w="115" w:type="dxa"/>
            </w:tcMar>
            <w:vAlign w:val="bottom"/>
          </w:tcPr>
          <w:p w14:paraId="0E6490CB" w14:textId="77777777" w:rsidR="003F0EEA" w:rsidRPr="00D403DC" w:rsidRDefault="00FB7D0B">
            <w:pPr>
              <w:jc w:val="right"/>
              <w:rPr>
                <w:rFonts w:ascii="Arial" w:eastAsia="Arial" w:hAnsi="Arial" w:cs="Arial"/>
                <w:color w:val="000000"/>
                <w:sz w:val="16"/>
                <w:vertAlign w:val="superscript"/>
              </w:rPr>
            </w:pPr>
            <w:r w:rsidRPr="00D403DC">
              <w:rPr>
                <w:rFonts w:ascii="Arial" w:eastAsia="Arial" w:hAnsi="Arial" w:cs="Arial"/>
                <w:color w:val="000000"/>
                <w:sz w:val="16"/>
              </w:rPr>
              <w:t>$'000</w:t>
            </w:r>
          </w:p>
        </w:tc>
        <w:tc>
          <w:tcPr>
            <w:tcW w:w="1005"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4313784A" w14:textId="77777777" w:rsidR="003F0EEA" w:rsidRPr="00D403DC" w:rsidRDefault="00FB7D0B">
            <w:pPr>
              <w:jc w:val="right"/>
              <w:rPr>
                <w:rFonts w:ascii="Arial" w:eastAsia="Arial" w:hAnsi="Arial" w:cs="Arial"/>
                <w:color w:val="000000"/>
                <w:sz w:val="16"/>
              </w:rPr>
            </w:pPr>
            <w:r w:rsidRPr="00D403DC">
              <w:rPr>
                <w:rFonts w:ascii="Arial" w:eastAsia="Arial" w:hAnsi="Arial" w:cs="Arial"/>
                <w:color w:val="000000"/>
                <w:sz w:val="16"/>
              </w:rPr>
              <w:t>$'000</w:t>
            </w:r>
          </w:p>
        </w:tc>
        <w:tc>
          <w:tcPr>
            <w:tcW w:w="1005" w:type="dxa"/>
            <w:tcBorders>
              <w:top w:val="nil"/>
              <w:left w:val="nil"/>
              <w:bottom w:val="single" w:sz="6" w:space="0" w:color="000000"/>
              <w:right w:val="nil"/>
              <w:tl2br w:val="nil"/>
              <w:tr2bl w:val="nil"/>
            </w:tcBorders>
            <w:shd w:val="clear" w:color="auto" w:fill="FFFF00"/>
            <w:tcMar>
              <w:left w:w="115" w:type="dxa"/>
              <w:right w:w="115" w:type="dxa"/>
            </w:tcMar>
            <w:vAlign w:val="bottom"/>
          </w:tcPr>
          <w:p w14:paraId="5CFA7FBB" w14:textId="77777777" w:rsidR="003F0EEA" w:rsidRPr="00D403DC" w:rsidRDefault="00FB7D0B">
            <w:pPr>
              <w:jc w:val="right"/>
              <w:rPr>
                <w:rFonts w:ascii="Arial" w:eastAsia="Arial" w:hAnsi="Arial" w:cs="Arial"/>
                <w:color w:val="000000"/>
                <w:sz w:val="16"/>
              </w:rPr>
            </w:pPr>
            <w:r w:rsidRPr="00D403DC">
              <w:rPr>
                <w:rFonts w:ascii="Arial" w:eastAsia="Arial" w:hAnsi="Arial" w:cs="Arial"/>
                <w:color w:val="000000"/>
                <w:sz w:val="16"/>
              </w:rPr>
              <w:t>$'000</w:t>
            </w:r>
          </w:p>
        </w:tc>
        <w:tc>
          <w:tcPr>
            <w:tcW w:w="1005"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11030267" w14:textId="77777777" w:rsidR="003F0EEA" w:rsidRPr="00D403DC" w:rsidRDefault="00FB7D0B">
            <w:pPr>
              <w:jc w:val="right"/>
              <w:rPr>
                <w:rFonts w:ascii="Arial" w:eastAsia="Arial" w:hAnsi="Arial" w:cs="Arial"/>
                <w:color w:val="000000"/>
                <w:sz w:val="16"/>
              </w:rPr>
            </w:pPr>
            <w:r w:rsidRPr="00D403DC">
              <w:rPr>
                <w:rFonts w:ascii="Arial" w:eastAsia="Arial" w:hAnsi="Arial" w:cs="Arial"/>
                <w:color w:val="000000"/>
                <w:sz w:val="16"/>
              </w:rPr>
              <w:t>$'000</w:t>
            </w:r>
          </w:p>
        </w:tc>
        <w:tc>
          <w:tcPr>
            <w:tcW w:w="1005" w:type="dxa"/>
            <w:tcBorders>
              <w:top w:val="nil"/>
              <w:left w:val="nil"/>
              <w:bottom w:val="single" w:sz="6" w:space="0" w:color="000000"/>
              <w:right w:val="nil"/>
              <w:tl2br w:val="nil"/>
              <w:tr2bl w:val="nil"/>
            </w:tcBorders>
            <w:shd w:val="clear" w:color="auto" w:fill="FFFF00"/>
            <w:tcMar>
              <w:left w:w="115" w:type="dxa"/>
              <w:right w:w="115" w:type="dxa"/>
            </w:tcMar>
            <w:vAlign w:val="bottom"/>
          </w:tcPr>
          <w:p w14:paraId="3B7FD840" w14:textId="77777777" w:rsidR="003F0EEA" w:rsidRPr="00D403DC" w:rsidRDefault="00FB7D0B">
            <w:pPr>
              <w:jc w:val="right"/>
              <w:rPr>
                <w:rFonts w:ascii="Arial" w:eastAsia="Arial" w:hAnsi="Arial" w:cs="Arial"/>
                <w:color w:val="000000"/>
                <w:sz w:val="16"/>
              </w:rPr>
            </w:pPr>
            <w:r w:rsidRPr="00D403DC">
              <w:rPr>
                <w:rFonts w:ascii="Arial" w:eastAsia="Arial" w:hAnsi="Arial" w:cs="Arial"/>
                <w:color w:val="000000"/>
                <w:sz w:val="16"/>
              </w:rPr>
              <w:t>$'000</w:t>
            </w:r>
          </w:p>
        </w:tc>
      </w:tr>
      <w:tr w:rsidR="00724034" w14:paraId="7F4AB561" w14:textId="77777777">
        <w:trPr>
          <w:trHeight w:val="75"/>
        </w:trPr>
        <w:tc>
          <w:tcPr>
            <w:tcW w:w="180" w:type="dxa"/>
            <w:tcBorders>
              <w:top w:val="nil"/>
              <w:left w:val="nil"/>
              <w:bottom w:val="nil"/>
              <w:right w:val="nil"/>
              <w:tl2br w:val="nil"/>
              <w:tr2bl w:val="nil"/>
            </w:tcBorders>
            <w:shd w:val="clear" w:color="auto" w:fill="FFFFFF"/>
            <w:tcMar>
              <w:left w:w="115" w:type="dxa"/>
              <w:right w:w="115" w:type="dxa"/>
            </w:tcMar>
            <w:vAlign w:val="bottom"/>
          </w:tcPr>
          <w:p w14:paraId="061B6875" w14:textId="77777777" w:rsidR="003F0EEA" w:rsidRPr="00D403DC" w:rsidRDefault="003F0EEA">
            <w:pPr>
              <w:rPr>
                <w:rFonts w:ascii="Arial" w:eastAsia="Arial" w:hAnsi="Arial" w:cs="Arial"/>
                <w:color w:val="000000"/>
                <w:sz w:val="16"/>
              </w:rPr>
            </w:pPr>
          </w:p>
        </w:tc>
        <w:tc>
          <w:tcPr>
            <w:tcW w:w="2280" w:type="dxa"/>
            <w:tcBorders>
              <w:top w:val="nil"/>
              <w:left w:val="nil"/>
              <w:bottom w:val="nil"/>
              <w:right w:val="nil"/>
              <w:tl2br w:val="nil"/>
              <w:tr2bl w:val="nil"/>
            </w:tcBorders>
            <w:shd w:val="clear" w:color="auto" w:fill="FFFFFF"/>
            <w:tcMar>
              <w:left w:w="115" w:type="dxa"/>
              <w:right w:w="115" w:type="dxa"/>
            </w:tcMar>
            <w:vAlign w:val="bottom"/>
          </w:tcPr>
          <w:p w14:paraId="64830780" w14:textId="77777777" w:rsidR="003F0EEA" w:rsidRPr="00D403DC" w:rsidRDefault="003F0EEA">
            <w:pPr>
              <w:rPr>
                <w:rFonts w:ascii="Arial" w:eastAsia="Arial" w:hAnsi="Arial" w:cs="Arial"/>
                <w:color w:val="000000"/>
                <w:sz w:val="16"/>
              </w:rPr>
            </w:pPr>
          </w:p>
        </w:tc>
        <w:tc>
          <w:tcPr>
            <w:tcW w:w="915" w:type="dxa"/>
            <w:tcBorders>
              <w:top w:val="nil"/>
              <w:left w:val="nil"/>
              <w:bottom w:val="nil"/>
              <w:right w:val="nil"/>
              <w:tl2br w:val="nil"/>
              <w:tr2bl w:val="nil"/>
            </w:tcBorders>
            <w:shd w:val="clear" w:color="auto" w:fill="FFFFFF"/>
            <w:tcMar>
              <w:left w:w="115" w:type="dxa"/>
              <w:right w:w="115" w:type="dxa"/>
            </w:tcMar>
            <w:vAlign w:val="bottom"/>
          </w:tcPr>
          <w:p w14:paraId="11C39FC8" w14:textId="77777777" w:rsidR="003F0EEA" w:rsidRPr="00D403DC" w:rsidRDefault="003F0EEA">
            <w:pPr>
              <w:rPr>
                <w:rFonts w:ascii="Arial" w:eastAsia="Arial" w:hAnsi="Arial" w:cs="Arial"/>
                <w:color w:val="000000"/>
                <w:sz w:val="16"/>
                <w:vertAlign w:val="superscript"/>
              </w:rPr>
            </w:pPr>
          </w:p>
        </w:tc>
        <w:tc>
          <w:tcPr>
            <w:tcW w:w="1005" w:type="dxa"/>
            <w:tcBorders>
              <w:top w:val="single" w:sz="6" w:space="0" w:color="000000"/>
              <w:left w:val="nil"/>
              <w:bottom w:val="nil"/>
              <w:right w:val="nil"/>
              <w:tl2br w:val="nil"/>
              <w:tr2bl w:val="nil"/>
            </w:tcBorders>
            <w:shd w:val="clear" w:color="auto" w:fill="FFFF00"/>
            <w:tcMar>
              <w:left w:w="115" w:type="dxa"/>
              <w:right w:w="115" w:type="dxa"/>
            </w:tcMar>
            <w:vAlign w:val="bottom"/>
          </w:tcPr>
          <w:p w14:paraId="18D56CD0" w14:textId="77777777" w:rsidR="003F0EEA" w:rsidRPr="00D403DC" w:rsidRDefault="003F0EEA">
            <w:pPr>
              <w:jc w:val="right"/>
              <w:rPr>
                <w:rFonts w:ascii="Arial" w:eastAsia="Arial" w:hAnsi="Arial" w:cs="Arial"/>
                <w:color w:val="000000"/>
                <w:sz w:val="16"/>
                <w:vertAlign w:val="superscript"/>
              </w:rPr>
            </w:pPr>
          </w:p>
        </w:tc>
        <w:tc>
          <w:tcPr>
            <w:tcW w:w="1005"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4EBC2108" w14:textId="77777777" w:rsidR="003F0EEA" w:rsidRPr="00D403DC" w:rsidRDefault="003F0EEA">
            <w:pPr>
              <w:jc w:val="right"/>
              <w:rPr>
                <w:rFonts w:ascii="Arial" w:eastAsia="Arial" w:hAnsi="Arial" w:cs="Arial"/>
                <w:color w:val="000000"/>
                <w:sz w:val="16"/>
                <w:vertAlign w:val="superscript"/>
              </w:rPr>
            </w:pPr>
          </w:p>
        </w:tc>
        <w:tc>
          <w:tcPr>
            <w:tcW w:w="1005" w:type="dxa"/>
            <w:tcBorders>
              <w:top w:val="single" w:sz="6" w:space="0" w:color="000000"/>
              <w:left w:val="nil"/>
              <w:bottom w:val="nil"/>
              <w:right w:val="nil"/>
              <w:tl2br w:val="nil"/>
              <w:tr2bl w:val="nil"/>
            </w:tcBorders>
            <w:shd w:val="clear" w:color="auto" w:fill="FFFF00"/>
            <w:tcMar>
              <w:left w:w="115" w:type="dxa"/>
              <w:right w:w="115" w:type="dxa"/>
            </w:tcMar>
            <w:vAlign w:val="bottom"/>
          </w:tcPr>
          <w:p w14:paraId="224C15F6" w14:textId="77777777" w:rsidR="003F0EEA" w:rsidRPr="00D403DC" w:rsidRDefault="003F0EEA">
            <w:pPr>
              <w:jc w:val="right"/>
              <w:rPr>
                <w:rFonts w:ascii="Arial" w:eastAsia="Arial" w:hAnsi="Arial" w:cs="Arial"/>
                <w:color w:val="000000"/>
                <w:sz w:val="16"/>
                <w:vertAlign w:val="superscript"/>
              </w:rPr>
            </w:pPr>
          </w:p>
        </w:tc>
        <w:tc>
          <w:tcPr>
            <w:tcW w:w="1005"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5BF340FA" w14:textId="77777777" w:rsidR="003F0EEA" w:rsidRPr="00D403DC" w:rsidRDefault="003F0EEA">
            <w:pPr>
              <w:jc w:val="right"/>
              <w:rPr>
                <w:rFonts w:ascii="Arial" w:eastAsia="Arial" w:hAnsi="Arial" w:cs="Arial"/>
                <w:color w:val="000000"/>
                <w:sz w:val="16"/>
                <w:vertAlign w:val="superscript"/>
              </w:rPr>
            </w:pPr>
          </w:p>
        </w:tc>
        <w:tc>
          <w:tcPr>
            <w:tcW w:w="1005" w:type="dxa"/>
            <w:tcBorders>
              <w:top w:val="single" w:sz="6" w:space="0" w:color="000000"/>
              <w:left w:val="nil"/>
              <w:bottom w:val="nil"/>
              <w:right w:val="nil"/>
              <w:tl2br w:val="nil"/>
              <w:tr2bl w:val="nil"/>
            </w:tcBorders>
            <w:shd w:val="clear" w:color="auto" w:fill="FFFF00"/>
            <w:tcMar>
              <w:left w:w="115" w:type="dxa"/>
              <w:right w:w="115" w:type="dxa"/>
            </w:tcMar>
            <w:vAlign w:val="bottom"/>
          </w:tcPr>
          <w:p w14:paraId="1E10A305" w14:textId="77777777" w:rsidR="003F0EEA" w:rsidRPr="00D403DC" w:rsidRDefault="003F0EEA">
            <w:pPr>
              <w:jc w:val="right"/>
              <w:rPr>
                <w:rFonts w:ascii="Arial" w:eastAsia="Arial" w:hAnsi="Arial" w:cs="Arial"/>
                <w:color w:val="000000"/>
                <w:sz w:val="16"/>
                <w:vertAlign w:val="superscript"/>
              </w:rPr>
            </w:pPr>
          </w:p>
        </w:tc>
      </w:tr>
      <w:tr w:rsidR="00FB7D0B" w14:paraId="1F9F634B" w14:textId="77777777" w:rsidTr="00FB7D0B">
        <w:trPr>
          <w:trHeight w:val="765"/>
        </w:trPr>
        <w:tc>
          <w:tcPr>
            <w:tcW w:w="2460" w:type="dxa"/>
            <w:gridSpan w:val="2"/>
            <w:tcBorders>
              <w:top w:val="nil"/>
              <w:left w:val="nil"/>
              <w:bottom w:val="nil"/>
              <w:right w:val="nil"/>
              <w:tl2br w:val="nil"/>
              <w:tr2bl w:val="nil"/>
            </w:tcBorders>
            <w:shd w:val="clear" w:color="auto" w:fill="FFFFFF"/>
            <w:tcMar>
              <w:left w:w="115" w:type="dxa"/>
              <w:right w:w="115" w:type="dxa"/>
            </w:tcMar>
            <w:vAlign w:val="bottom"/>
          </w:tcPr>
          <w:p w14:paraId="701D3DC6" w14:textId="77777777" w:rsidR="003F0EEA" w:rsidRPr="00D403DC" w:rsidRDefault="00FB7D0B">
            <w:pPr>
              <w:rPr>
                <w:rFonts w:ascii="Arial" w:eastAsia="Arial" w:hAnsi="Arial" w:cs="Arial"/>
                <w:color w:val="000000"/>
                <w:sz w:val="16"/>
                <w:vertAlign w:val="superscript"/>
              </w:rPr>
            </w:pPr>
            <w:r w:rsidRPr="00D403DC">
              <w:rPr>
                <w:rFonts w:ascii="Arial" w:eastAsia="Arial" w:hAnsi="Arial" w:cs="Arial"/>
                <w:color w:val="000000"/>
                <w:sz w:val="16"/>
              </w:rPr>
              <w:t>Commonwealth Seniors Health Card - include untaxed superannuation income in the eligibility assessment</w:t>
            </w:r>
            <w:r w:rsidRPr="00D403DC">
              <w:rPr>
                <w:rFonts w:ascii="Arial" w:eastAsia="Arial" w:hAnsi="Arial" w:cs="Arial"/>
                <w:color w:val="000000"/>
                <w:sz w:val="16"/>
                <w:vertAlign w:val="superscript"/>
              </w:rPr>
              <w:t>1 </w:t>
            </w:r>
          </w:p>
        </w:tc>
        <w:tc>
          <w:tcPr>
            <w:tcW w:w="915" w:type="dxa"/>
            <w:tcBorders>
              <w:top w:val="nil"/>
              <w:left w:val="nil"/>
              <w:bottom w:val="nil"/>
              <w:right w:val="nil"/>
              <w:tl2br w:val="nil"/>
              <w:tr2bl w:val="nil"/>
            </w:tcBorders>
            <w:shd w:val="clear" w:color="auto" w:fill="FFFFFF"/>
            <w:tcMar>
              <w:left w:w="115" w:type="dxa"/>
              <w:right w:w="115" w:type="dxa"/>
            </w:tcMar>
            <w:vAlign w:val="bottom"/>
          </w:tcPr>
          <w:p w14:paraId="2CD7D8BB" w14:textId="77777777" w:rsidR="003F0EEA" w:rsidRPr="00D403DC" w:rsidRDefault="00FB7D0B">
            <w:pPr>
              <w:jc w:val="center"/>
              <w:rPr>
                <w:rFonts w:ascii="Arial" w:eastAsia="Arial" w:hAnsi="Arial" w:cs="Arial"/>
                <w:color w:val="000000"/>
                <w:sz w:val="16"/>
                <w:vertAlign w:val="superscript"/>
              </w:rPr>
            </w:pPr>
            <w:r w:rsidRPr="00D403DC">
              <w:rPr>
                <w:rFonts w:ascii="Arial" w:eastAsia="Arial" w:hAnsi="Arial" w:cs="Arial"/>
                <w:color w:val="000000"/>
                <w:sz w:val="16"/>
              </w:rPr>
              <w:t>1.1 </w:t>
            </w:r>
          </w:p>
        </w:tc>
        <w:tc>
          <w:tcPr>
            <w:tcW w:w="1005" w:type="dxa"/>
            <w:tcBorders>
              <w:top w:val="nil"/>
              <w:left w:val="nil"/>
              <w:bottom w:val="nil"/>
              <w:right w:val="nil"/>
              <w:tl2br w:val="nil"/>
              <w:tr2bl w:val="nil"/>
            </w:tcBorders>
            <w:shd w:val="clear" w:color="auto" w:fill="FFFF00"/>
            <w:tcMar>
              <w:left w:w="115" w:type="dxa"/>
              <w:right w:w="115" w:type="dxa"/>
            </w:tcMar>
            <w:vAlign w:val="bottom"/>
          </w:tcPr>
          <w:p w14:paraId="6FA244E3" w14:textId="77777777" w:rsidR="003F0EEA" w:rsidRPr="00D403DC" w:rsidRDefault="003F0EEA">
            <w:pPr>
              <w:jc w:val="right"/>
              <w:rPr>
                <w:rFonts w:ascii="Arial" w:eastAsia="Arial" w:hAnsi="Arial" w:cs="Arial"/>
                <w:color w:val="000000"/>
                <w:sz w:val="16"/>
              </w:rPr>
            </w:pPr>
          </w:p>
        </w:tc>
        <w:tc>
          <w:tcPr>
            <w:tcW w:w="1005" w:type="dxa"/>
            <w:tcBorders>
              <w:top w:val="nil"/>
              <w:left w:val="nil"/>
              <w:bottom w:val="nil"/>
              <w:right w:val="nil"/>
              <w:tl2br w:val="nil"/>
              <w:tr2bl w:val="nil"/>
            </w:tcBorders>
            <w:shd w:val="clear" w:color="auto" w:fill="FFFFFF"/>
            <w:tcMar>
              <w:left w:w="115" w:type="dxa"/>
              <w:right w:w="115" w:type="dxa"/>
            </w:tcMar>
            <w:vAlign w:val="bottom"/>
          </w:tcPr>
          <w:p w14:paraId="3F39B931" w14:textId="77777777" w:rsidR="003F0EEA" w:rsidRPr="00D403DC" w:rsidRDefault="003F0EEA">
            <w:pPr>
              <w:jc w:val="right"/>
              <w:rPr>
                <w:rFonts w:ascii="Arial" w:eastAsia="Arial" w:hAnsi="Arial" w:cs="Arial"/>
                <w:color w:val="000000"/>
                <w:sz w:val="16"/>
              </w:rPr>
            </w:pPr>
          </w:p>
        </w:tc>
        <w:tc>
          <w:tcPr>
            <w:tcW w:w="1005" w:type="dxa"/>
            <w:tcBorders>
              <w:top w:val="nil"/>
              <w:left w:val="nil"/>
              <w:bottom w:val="nil"/>
              <w:right w:val="nil"/>
              <w:tl2br w:val="nil"/>
              <w:tr2bl w:val="nil"/>
            </w:tcBorders>
            <w:shd w:val="clear" w:color="auto" w:fill="FFFF00"/>
            <w:tcMar>
              <w:left w:w="115" w:type="dxa"/>
              <w:right w:w="115" w:type="dxa"/>
            </w:tcMar>
            <w:vAlign w:val="bottom"/>
          </w:tcPr>
          <w:p w14:paraId="2482690A" w14:textId="77777777" w:rsidR="003F0EEA" w:rsidRPr="00D403DC" w:rsidRDefault="003F0EEA">
            <w:pPr>
              <w:jc w:val="right"/>
              <w:rPr>
                <w:rFonts w:ascii="Arial" w:eastAsia="Arial" w:hAnsi="Arial" w:cs="Arial"/>
                <w:color w:val="000000"/>
                <w:sz w:val="16"/>
              </w:rPr>
            </w:pPr>
          </w:p>
        </w:tc>
        <w:tc>
          <w:tcPr>
            <w:tcW w:w="1005" w:type="dxa"/>
            <w:tcBorders>
              <w:top w:val="nil"/>
              <w:left w:val="nil"/>
              <w:bottom w:val="nil"/>
              <w:right w:val="nil"/>
              <w:tl2br w:val="nil"/>
              <w:tr2bl w:val="nil"/>
            </w:tcBorders>
            <w:shd w:val="clear" w:color="auto" w:fill="FFFFFF"/>
            <w:tcMar>
              <w:left w:w="115" w:type="dxa"/>
              <w:right w:w="115" w:type="dxa"/>
            </w:tcMar>
            <w:vAlign w:val="bottom"/>
          </w:tcPr>
          <w:p w14:paraId="3A046F1D" w14:textId="77777777" w:rsidR="003F0EEA" w:rsidRPr="00D403DC" w:rsidRDefault="003F0EEA">
            <w:pPr>
              <w:jc w:val="right"/>
              <w:rPr>
                <w:rFonts w:ascii="Arial" w:eastAsia="Arial" w:hAnsi="Arial" w:cs="Arial"/>
                <w:color w:val="000000"/>
                <w:sz w:val="16"/>
              </w:rPr>
            </w:pPr>
          </w:p>
        </w:tc>
        <w:tc>
          <w:tcPr>
            <w:tcW w:w="1005" w:type="dxa"/>
            <w:tcBorders>
              <w:top w:val="nil"/>
              <w:left w:val="nil"/>
              <w:bottom w:val="nil"/>
              <w:right w:val="nil"/>
              <w:tl2br w:val="nil"/>
              <w:tr2bl w:val="nil"/>
            </w:tcBorders>
            <w:shd w:val="clear" w:color="auto" w:fill="FFFF00"/>
            <w:tcMar>
              <w:left w:w="115" w:type="dxa"/>
              <w:right w:w="115" w:type="dxa"/>
            </w:tcMar>
            <w:vAlign w:val="bottom"/>
          </w:tcPr>
          <w:p w14:paraId="57277424" w14:textId="77777777" w:rsidR="003F0EEA" w:rsidRPr="00D403DC" w:rsidRDefault="003F0EEA">
            <w:pPr>
              <w:jc w:val="right"/>
              <w:rPr>
                <w:rFonts w:ascii="Arial" w:eastAsia="Arial" w:hAnsi="Arial" w:cs="Arial"/>
                <w:color w:val="000000"/>
                <w:sz w:val="16"/>
              </w:rPr>
            </w:pPr>
          </w:p>
        </w:tc>
      </w:tr>
      <w:tr w:rsidR="00724034" w14:paraId="3A08F403" w14:textId="77777777">
        <w:trPr>
          <w:trHeight w:val="225"/>
        </w:trPr>
        <w:tc>
          <w:tcPr>
            <w:tcW w:w="180" w:type="dxa"/>
            <w:tcBorders>
              <w:top w:val="nil"/>
              <w:left w:val="nil"/>
              <w:bottom w:val="nil"/>
              <w:right w:val="nil"/>
              <w:tl2br w:val="nil"/>
              <w:tr2bl w:val="nil"/>
            </w:tcBorders>
            <w:shd w:val="clear" w:color="auto" w:fill="FFFFFF"/>
            <w:tcMar>
              <w:left w:w="115" w:type="dxa"/>
              <w:right w:w="115" w:type="dxa"/>
            </w:tcMar>
            <w:vAlign w:val="bottom"/>
          </w:tcPr>
          <w:p w14:paraId="40B10266" w14:textId="77777777" w:rsidR="003F0EEA" w:rsidRPr="00D403DC" w:rsidRDefault="003F0EEA">
            <w:pPr>
              <w:rPr>
                <w:rFonts w:ascii="Arial" w:eastAsia="Arial" w:hAnsi="Arial" w:cs="Arial"/>
                <w:color w:val="000000"/>
                <w:sz w:val="16"/>
              </w:rPr>
            </w:pPr>
          </w:p>
        </w:tc>
        <w:tc>
          <w:tcPr>
            <w:tcW w:w="2280" w:type="dxa"/>
            <w:tcBorders>
              <w:top w:val="nil"/>
              <w:left w:val="nil"/>
              <w:bottom w:val="nil"/>
              <w:right w:val="nil"/>
              <w:tl2br w:val="nil"/>
              <w:tr2bl w:val="nil"/>
            </w:tcBorders>
            <w:shd w:val="clear" w:color="auto" w:fill="FFFFFF"/>
            <w:tcMar>
              <w:left w:w="115" w:type="dxa"/>
              <w:right w:w="115" w:type="dxa"/>
            </w:tcMar>
            <w:vAlign w:val="bottom"/>
          </w:tcPr>
          <w:p w14:paraId="61B5C7D6" w14:textId="77777777" w:rsidR="003F0EEA" w:rsidRPr="00D403DC" w:rsidRDefault="00FB7D0B">
            <w:pPr>
              <w:rPr>
                <w:rFonts w:ascii="Arial" w:eastAsia="Arial" w:hAnsi="Arial" w:cs="Arial"/>
                <w:color w:val="000000"/>
                <w:sz w:val="16"/>
              </w:rPr>
            </w:pPr>
            <w:r w:rsidRPr="00D403DC">
              <w:rPr>
                <w:rFonts w:ascii="Arial" w:eastAsia="Arial" w:hAnsi="Arial" w:cs="Arial"/>
                <w:color w:val="000000"/>
                <w:sz w:val="16"/>
              </w:rPr>
              <w:t>Administered expenses</w:t>
            </w:r>
          </w:p>
        </w:tc>
        <w:tc>
          <w:tcPr>
            <w:tcW w:w="915" w:type="dxa"/>
            <w:tcBorders>
              <w:top w:val="nil"/>
              <w:left w:val="nil"/>
              <w:bottom w:val="nil"/>
              <w:right w:val="nil"/>
              <w:tl2br w:val="nil"/>
              <w:tr2bl w:val="nil"/>
            </w:tcBorders>
            <w:shd w:val="clear" w:color="auto" w:fill="FFFFFF"/>
            <w:tcMar>
              <w:left w:w="115" w:type="dxa"/>
              <w:right w:w="115" w:type="dxa"/>
            </w:tcMar>
            <w:vAlign w:val="bottom"/>
          </w:tcPr>
          <w:p w14:paraId="15C05335" w14:textId="77777777" w:rsidR="003F0EEA" w:rsidRPr="00D403DC" w:rsidRDefault="003F0EEA">
            <w:pPr>
              <w:jc w:val="center"/>
              <w:rPr>
                <w:rFonts w:ascii="Arial" w:eastAsia="Arial" w:hAnsi="Arial" w:cs="Arial"/>
                <w:color w:val="000000"/>
                <w:sz w:val="16"/>
                <w:vertAlign w:val="superscript"/>
              </w:rPr>
            </w:pPr>
          </w:p>
        </w:tc>
        <w:tc>
          <w:tcPr>
            <w:tcW w:w="1005" w:type="dxa"/>
            <w:tcBorders>
              <w:top w:val="nil"/>
              <w:left w:val="nil"/>
              <w:bottom w:val="nil"/>
              <w:right w:val="nil"/>
              <w:tl2br w:val="nil"/>
              <w:tr2bl w:val="nil"/>
            </w:tcBorders>
            <w:shd w:val="clear" w:color="auto" w:fill="FFFF00"/>
            <w:tcMar>
              <w:left w:w="115" w:type="dxa"/>
              <w:right w:w="115" w:type="dxa"/>
            </w:tcMar>
            <w:vAlign w:val="bottom"/>
          </w:tcPr>
          <w:p w14:paraId="0E44D267" w14:textId="77777777" w:rsidR="003F0EEA" w:rsidRPr="00D403DC" w:rsidRDefault="00FB7D0B">
            <w:pPr>
              <w:jc w:val="right"/>
              <w:rPr>
                <w:rFonts w:ascii="Arial" w:eastAsia="Arial" w:hAnsi="Arial" w:cs="Arial"/>
                <w:color w:val="000000"/>
                <w:sz w:val="16"/>
                <w:vertAlign w:val="superscript"/>
              </w:rPr>
            </w:pPr>
            <w:r w:rsidRPr="00D403DC">
              <w:rPr>
                <w:rFonts w:ascii="Arial" w:eastAsia="Arial" w:hAnsi="Arial" w:cs="Arial"/>
                <w:color w:val="000000"/>
                <w:sz w:val="16"/>
              </w:rPr>
              <w:t xml:space="preserve"> - </w:t>
            </w:r>
          </w:p>
        </w:tc>
        <w:tc>
          <w:tcPr>
            <w:tcW w:w="1005" w:type="dxa"/>
            <w:tcBorders>
              <w:top w:val="nil"/>
              <w:left w:val="nil"/>
              <w:bottom w:val="nil"/>
              <w:right w:val="nil"/>
              <w:tl2br w:val="nil"/>
              <w:tr2bl w:val="nil"/>
            </w:tcBorders>
            <w:shd w:val="clear" w:color="auto" w:fill="FFFFFF"/>
            <w:tcMar>
              <w:left w:w="115" w:type="dxa"/>
              <w:right w:w="115" w:type="dxa"/>
            </w:tcMar>
            <w:vAlign w:val="bottom"/>
          </w:tcPr>
          <w:p w14:paraId="01486B19" w14:textId="77777777" w:rsidR="003F0EEA" w:rsidRPr="00D403DC" w:rsidRDefault="00FB7D0B">
            <w:pPr>
              <w:jc w:val="right"/>
              <w:rPr>
                <w:rFonts w:ascii="Arial" w:eastAsia="Arial" w:hAnsi="Arial" w:cs="Arial"/>
                <w:color w:val="000000"/>
                <w:sz w:val="16"/>
              </w:rPr>
            </w:pPr>
            <w:r w:rsidRPr="00D403DC">
              <w:rPr>
                <w:rFonts w:ascii="Arial" w:eastAsia="Arial" w:hAnsi="Arial" w:cs="Arial"/>
                <w:color w:val="000000"/>
                <w:sz w:val="16"/>
              </w:rPr>
              <w:t>(3)</w:t>
            </w:r>
          </w:p>
        </w:tc>
        <w:tc>
          <w:tcPr>
            <w:tcW w:w="1005" w:type="dxa"/>
            <w:tcBorders>
              <w:top w:val="nil"/>
              <w:left w:val="nil"/>
              <w:bottom w:val="nil"/>
              <w:right w:val="nil"/>
              <w:tl2br w:val="nil"/>
              <w:tr2bl w:val="nil"/>
            </w:tcBorders>
            <w:shd w:val="clear" w:color="auto" w:fill="FFFF00"/>
            <w:tcMar>
              <w:left w:w="115" w:type="dxa"/>
              <w:right w:w="115" w:type="dxa"/>
            </w:tcMar>
            <w:vAlign w:val="bottom"/>
          </w:tcPr>
          <w:p w14:paraId="524161F7" w14:textId="77777777" w:rsidR="003F0EEA" w:rsidRPr="00D403DC" w:rsidRDefault="00FB7D0B">
            <w:pPr>
              <w:jc w:val="right"/>
              <w:rPr>
                <w:rFonts w:ascii="Arial" w:eastAsia="Arial" w:hAnsi="Arial" w:cs="Arial"/>
                <w:color w:val="000000"/>
                <w:sz w:val="16"/>
              </w:rPr>
            </w:pPr>
            <w:r w:rsidRPr="00D403DC">
              <w:rPr>
                <w:rFonts w:ascii="Arial" w:eastAsia="Arial" w:hAnsi="Arial" w:cs="Arial"/>
                <w:color w:val="000000"/>
                <w:sz w:val="16"/>
              </w:rPr>
              <w:t>(60)</w:t>
            </w:r>
          </w:p>
        </w:tc>
        <w:tc>
          <w:tcPr>
            <w:tcW w:w="1005" w:type="dxa"/>
            <w:tcBorders>
              <w:top w:val="nil"/>
              <w:left w:val="nil"/>
              <w:bottom w:val="nil"/>
              <w:right w:val="nil"/>
              <w:tl2br w:val="nil"/>
              <w:tr2bl w:val="nil"/>
            </w:tcBorders>
            <w:shd w:val="clear" w:color="auto" w:fill="FFFFFF"/>
            <w:tcMar>
              <w:left w:w="115" w:type="dxa"/>
              <w:right w:w="115" w:type="dxa"/>
            </w:tcMar>
            <w:vAlign w:val="bottom"/>
          </w:tcPr>
          <w:p w14:paraId="3158304D" w14:textId="77777777" w:rsidR="003F0EEA" w:rsidRPr="00D403DC" w:rsidRDefault="00FB7D0B">
            <w:pPr>
              <w:jc w:val="right"/>
              <w:rPr>
                <w:rFonts w:ascii="Arial" w:eastAsia="Arial" w:hAnsi="Arial" w:cs="Arial"/>
                <w:color w:val="000000"/>
                <w:sz w:val="16"/>
              </w:rPr>
            </w:pPr>
            <w:r w:rsidRPr="00D403DC">
              <w:rPr>
                <w:rFonts w:ascii="Arial" w:eastAsia="Arial" w:hAnsi="Arial" w:cs="Arial"/>
                <w:color w:val="000000"/>
                <w:sz w:val="16"/>
              </w:rPr>
              <w:t>(90)</w:t>
            </w:r>
          </w:p>
        </w:tc>
        <w:tc>
          <w:tcPr>
            <w:tcW w:w="1005" w:type="dxa"/>
            <w:tcBorders>
              <w:top w:val="nil"/>
              <w:left w:val="nil"/>
              <w:bottom w:val="nil"/>
              <w:right w:val="nil"/>
              <w:tl2br w:val="nil"/>
              <w:tr2bl w:val="nil"/>
            </w:tcBorders>
            <w:shd w:val="clear" w:color="auto" w:fill="FFFF00"/>
            <w:tcMar>
              <w:left w:w="115" w:type="dxa"/>
              <w:right w:w="115" w:type="dxa"/>
            </w:tcMar>
            <w:vAlign w:val="bottom"/>
          </w:tcPr>
          <w:p w14:paraId="1F41CAAC" w14:textId="77777777" w:rsidR="003F0EEA" w:rsidRPr="00D403DC" w:rsidRDefault="00FB7D0B">
            <w:pPr>
              <w:jc w:val="right"/>
              <w:rPr>
                <w:rFonts w:ascii="Arial" w:eastAsia="Arial" w:hAnsi="Arial" w:cs="Arial"/>
                <w:color w:val="000000"/>
                <w:sz w:val="16"/>
              </w:rPr>
            </w:pPr>
            <w:r w:rsidRPr="00D403DC">
              <w:rPr>
                <w:rFonts w:ascii="Arial" w:eastAsia="Arial" w:hAnsi="Arial" w:cs="Arial"/>
                <w:color w:val="000000"/>
                <w:sz w:val="16"/>
              </w:rPr>
              <w:t>(125)</w:t>
            </w:r>
          </w:p>
        </w:tc>
      </w:tr>
      <w:tr w:rsidR="00724034" w14:paraId="7305809A" w14:textId="77777777">
        <w:trPr>
          <w:trHeight w:val="225"/>
        </w:trPr>
        <w:tc>
          <w:tcPr>
            <w:tcW w:w="180" w:type="dxa"/>
            <w:tcBorders>
              <w:top w:val="nil"/>
              <w:left w:val="nil"/>
              <w:bottom w:val="nil"/>
              <w:right w:val="nil"/>
              <w:tl2br w:val="nil"/>
              <w:tr2bl w:val="nil"/>
            </w:tcBorders>
            <w:shd w:val="clear" w:color="auto" w:fill="FFFFFF"/>
            <w:tcMar>
              <w:left w:w="115" w:type="dxa"/>
              <w:right w:w="115" w:type="dxa"/>
            </w:tcMar>
            <w:vAlign w:val="bottom"/>
          </w:tcPr>
          <w:p w14:paraId="0485F488" w14:textId="77777777" w:rsidR="003F0EEA" w:rsidRPr="00D403DC" w:rsidRDefault="003F0EEA">
            <w:pPr>
              <w:rPr>
                <w:rFonts w:ascii="Arial" w:eastAsia="Arial" w:hAnsi="Arial" w:cs="Arial"/>
                <w:color w:val="000000"/>
                <w:sz w:val="16"/>
              </w:rPr>
            </w:pPr>
          </w:p>
        </w:tc>
        <w:tc>
          <w:tcPr>
            <w:tcW w:w="2280" w:type="dxa"/>
            <w:tcBorders>
              <w:top w:val="nil"/>
              <w:left w:val="nil"/>
              <w:bottom w:val="nil"/>
              <w:right w:val="nil"/>
              <w:tl2br w:val="nil"/>
              <w:tr2bl w:val="nil"/>
            </w:tcBorders>
            <w:shd w:val="clear" w:color="auto" w:fill="FFFFFF"/>
            <w:tcMar>
              <w:left w:w="115" w:type="dxa"/>
              <w:right w:w="115" w:type="dxa"/>
            </w:tcMar>
            <w:vAlign w:val="bottom"/>
          </w:tcPr>
          <w:p w14:paraId="2202A5ED" w14:textId="77777777" w:rsidR="003F0EEA" w:rsidRPr="00D403DC" w:rsidRDefault="00FB7D0B">
            <w:pPr>
              <w:rPr>
                <w:rFonts w:ascii="Arial" w:eastAsia="Arial" w:hAnsi="Arial" w:cs="Arial"/>
                <w:color w:val="000000"/>
                <w:sz w:val="16"/>
              </w:rPr>
            </w:pPr>
            <w:r w:rsidRPr="00D403DC">
              <w:rPr>
                <w:rFonts w:ascii="Arial" w:eastAsia="Arial" w:hAnsi="Arial" w:cs="Arial"/>
                <w:color w:val="000000"/>
                <w:sz w:val="16"/>
              </w:rPr>
              <w:t>Departmental expenses</w:t>
            </w:r>
          </w:p>
        </w:tc>
        <w:tc>
          <w:tcPr>
            <w:tcW w:w="915" w:type="dxa"/>
            <w:tcBorders>
              <w:top w:val="nil"/>
              <w:left w:val="nil"/>
              <w:bottom w:val="nil"/>
              <w:right w:val="nil"/>
              <w:tl2br w:val="nil"/>
              <w:tr2bl w:val="nil"/>
            </w:tcBorders>
            <w:shd w:val="clear" w:color="auto" w:fill="FFFFFF"/>
            <w:tcMar>
              <w:left w:w="115" w:type="dxa"/>
              <w:right w:w="115" w:type="dxa"/>
            </w:tcMar>
            <w:vAlign w:val="bottom"/>
          </w:tcPr>
          <w:p w14:paraId="5AA4487E" w14:textId="77777777" w:rsidR="003F0EEA" w:rsidRPr="00D403DC" w:rsidRDefault="003F0EEA">
            <w:pPr>
              <w:jc w:val="center"/>
              <w:rPr>
                <w:rFonts w:ascii="Arial" w:eastAsia="Arial" w:hAnsi="Arial" w:cs="Arial"/>
                <w:color w:val="000000"/>
                <w:sz w:val="16"/>
                <w:vertAlign w:val="superscript"/>
              </w:rPr>
            </w:pPr>
          </w:p>
        </w:tc>
        <w:tc>
          <w:tcPr>
            <w:tcW w:w="1005" w:type="dxa"/>
            <w:tcBorders>
              <w:top w:val="nil"/>
              <w:left w:val="nil"/>
              <w:bottom w:val="nil"/>
              <w:right w:val="nil"/>
              <w:tl2br w:val="nil"/>
              <w:tr2bl w:val="nil"/>
            </w:tcBorders>
            <w:shd w:val="clear" w:color="auto" w:fill="FFFF00"/>
            <w:tcMar>
              <w:left w:w="115" w:type="dxa"/>
              <w:right w:w="115" w:type="dxa"/>
            </w:tcMar>
            <w:vAlign w:val="bottom"/>
          </w:tcPr>
          <w:p w14:paraId="6B7DE9FB" w14:textId="77777777" w:rsidR="003F0EEA" w:rsidRPr="00D403DC" w:rsidRDefault="00FB7D0B">
            <w:pPr>
              <w:jc w:val="right"/>
              <w:rPr>
                <w:rFonts w:ascii="Arial" w:eastAsia="Arial" w:hAnsi="Arial" w:cs="Arial"/>
                <w:color w:val="000000"/>
                <w:sz w:val="16"/>
                <w:vertAlign w:val="superscript"/>
              </w:rPr>
            </w:pPr>
            <w:r w:rsidRPr="00D403DC">
              <w:rPr>
                <w:rFonts w:ascii="Arial" w:eastAsia="Arial" w:hAnsi="Arial" w:cs="Arial"/>
                <w:color w:val="000000"/>
                <w:sz w:val="16"/>
              </w:rPr>
              <w:t xml:space="preserve"> - </w:t>
            </w:r>
          </w:p>
        </w:tc>
        <w:tc>
          <w:tcPr>
            <w:tcW w:w="1005" w:type="dxa"/>
            <w:tcBorders>
              <w:top w:val="nil"/>
              <w:left w:val="nil"/>
              <w:bottom w:val="nil"/>
              <w:right w:val="nil"/>
              <w:tl2br w:val="nil"/>
              <w:tr2bl w:val="nil"/>
            </w:tcBorders>
            <w:shd w:val="clear" w:color="auto" w:fill="FFFFFF"/>
            <w:tcMar>
              <w:left w:w="115" w:type="dxa"/>
              <w:right w:w="115" w:type="dxa"/>
            </w:tcMar>
            <w:vAlign w:val="bottom"/>
          </w:tcPr>
          <w:p w14:paraId="588624B7" w14:textId="77777777" w:rsidR="003F0EEA" w:rsidRPr="00D403DC" w:rsidRDefault="00FB7D0B">
            <w:pPr>
              <w:jc w:val="right"/>
              <w:rPr>
                <w:rFonts w:ascii="Arial" w:eastAsia="Arial" w:hAnsi="Arial" w:cs="Arial"/>
                <w:color w:val="000000"/>
                <w:sz w:val="16"/>
              </w:rPr>
            </w:pPr>
            <w:r w:rsidRPr="00D403DC">
              <w:rPr>
                <w:rFonts w:ascii="Arial" w:eastAsia="Arial" w:hAnsi="Arial" w:cs="Arial"/>
                <w:color w:val="000000"/>
                <w:sz w:val="16"/>
              </w:rPr>
              <w:t>88  </w:t>
            </w:r>
          </w:p>
        </w:tc>
        <w:tc>
          <w:tcPr>
            <w:tcW w:w="1005" w:type="dxa"/>
            <w:tcBorders>
              <w:top w:val="nil"/>
              <w:left w:val="nil"/>
              <w:bottom w:val="nil"/>
              <w:right w:val="nil"/>
              <w:tl2br w:val="nil"/>
              <w:tr2bl w:val="nil"/>
            </w:tcBorders>
            <w:shd w:val="clear" w:color="auto" w:fill="FFFF00"/>
            <w:tcMar>
              <w:left w:w="115" w:type="dxa"/>
              <w:right w:w="115" w:type="dxa"/>
            </w:tcMar>
            <w:vAlign w:val="bottom"/>
          </w:tcPr>
          <w:p w14:paraId="2D3B54ED" w14:textId="77777777" w:rsidR="003F0EEA" w:rsidRPr="00D403DC" w:rsidRDefault="00FB7D0B">
            <w:pPr>
              <w:jc w:val="right"/>
              <w:rPr>
                <w:rFonts w:ascii="Arial" w:eastAsia="Arial" w:hAnsi="Arial" w:cs="Arial"/>
                <w:color w:val="000000"/>
                <w:sz w:val="16"/>
              </w:rPr>
            </w:pPr>
            <w:r w:rsidRPr="00D403DC">
              <w:rPr>
                <w:rFonts w:ascii="Arial" w:eastAsia="Arial" w:hAnsi="Arial" w:cs="Arial"/>
                <w:color w:val="000000"/>
                <w:sz w:val="16"/>
              </w:rPr>
              <w:t xml:space="preserve"> - </w:t>
            </w:r>
          </w:p>
        </w:tc>
        <w:tc>
          <w:tcPr>
            <w:tcW w:w="1005" w:type="dxa"/>
            <w:tcBorders>
              <w:top w:val="nil"/>
              <w:left w:val="nil"/>
              <w:bottom w:val="nil"/>
              <w:right w:val="nil"/>
              <w:tl2br w:val="nil"/>
              <w:tr2bl w:val="nil"/>
            </w:tcBorders>
            <w:shd w:val="clear" w:color="auto" w:fill="FFFFFF"/>
            <w:tcMar>
              <w:left w:w="115" w:type="dxa"/>
              <w:right w:w="115" w:type="dxa"/>
            </w:tcMar>
            <w:vAlign w:val="bottom"/>
          </w:tcPr>
          <w:p w14:paraId="5835D6C5" w14:textId="77777777" w:rsidR="003F0EEA" w:rsidRPr="00D403DC" w:rsidRDefault="00FB7D0B">
            <w:pPr>
              <w:jc w:val="right"/>
              <w:rPr>
                <w:rFonts w:ascii="Arial" w:eastAsia="Arial" w:hAnsi="Arial" w:cs="Arial"/>
                <w:color w:val="000000"/>
                <w:sz w:val="16"/>
              </w:rPr>
            </w:pPr>
            <w:r w:rsidRPr="00D403DC">
              <w:rPr>
                <w:rFonts w:ascii="Arial" w:eastAsia="Arial" w:hAnsi="Arial" w:cs="Arial"/>
                <w:color w:val="000000"/>
                <w:sz w:val="16"/>
              </w:rPr>
              <w:t xml:space="preserve"> - </w:t>
            </w:r>
          </w:p>
        </w:tc>
        <w:tc>
          <w:tcPr>
            <w:tcW w:w="1005" w:type="dxa"/>
            <w:tcBorders>
              <w:top w:val="nil"/>
              <w:left w:val="nil"/>
              <w:bottom w:val="nil"/>
              <w:right w:val="nil"/>
              <w:tl2br w:val="nil"/>
              <w:tr2bl w:val="nil"/>
            </w:tcBorders>
            <w:shd w:val="clear" w:color="auto" w:fill="FFFF00"/>
            <w:tcMar>
              <w:left w:w="115" w:type="dxa"/>
              <w:right w:w="115" w:type="dxa"/>
            </w:tcMar>
            <w:vAlign w:val="bottom"/>
          </w:tcPr>
          <w:p w14:paraId="247D3922" w14:textId="77777777" w:rsidR="003F0EEA" w:rsidRPr="00D403DC" w:rsidRDefault="00FB7D0B">
            <w:pPr>
              <w:jc w:val="right"/>
              <w:rPr>
                <w:rFonts w:ascii="Arial" w:eastAsia="Arial" w:hAnsi="Arial" w:cs="Arial"/>
                <w:color w:val="000000"/>
                <w:sz w:val="16"/>
              </w:rPr>
            </w:pPr>
            <w:r w:rsidRPr="00D403DC">
              <w:rPr>
                <w:rFonts w:ascii="Arial" w:eastAsia="Arial" w:hAnsi="Arial" w:cs="Arial"/>
                <w:color w:val="000000"/>
                <w:sz w:val="16"/>
              </w:rPr>
              <w:t xml:space="preserve"> - </w:t>
            </w:r>
          </w:p>
        </w:tc>
      </w:tr>
      <w:tr w:rsidR="00FB7D0B" w14:paraId="027B527B" w14:textId="77777777" w:rsidTr="00FB7D0B">
        <w:trPr>
          <w:trHeight w:val="225"/>
        </w:trPr>
        <w:tc>
          <w:tcPr>
            <w:tcW w:w="2460" w:type="dxa"/>
            <w:gridSpan w:val="2"/>
            <w:tcBorders>
              <w:top w:val="nil"/>
              <w:left w:val="nil"/>
              <w:bottom w:val="nil"/>
              <w:right w:val="nil"/>
              <w:tl2br w:val="nil"/>
              <w:tr2bl w:val="nil"/>
            </w:tcBorders>
            <w:shd w:val="clear" w:color="auto" w:fill="FFFFFF"/>
            <w:tcMar>
              <w:left w:w="115" w:type="dxa"/>
              <w:right w:w="115" w:type="dxa"/>
            </w:tcMar>
            <w:vAlign w:val="bottom"/>
          </w:tcPr>
          <w:p w14:paraId="35237714" w14:textId="77777777" w:rsidR="003F0EEA" w:rsidRPr="00D403DC" w:rsidRDefault="00FB7D0B">
            <w:pPr>
              <w:rPr>
                <w:rFonts w:ascii="Arial" w:eastAsia="Arial" w:hAnsi="Arial" w:cs="Arial"/>
                <w:color w:val="000000"/>
                <w:sz w:val="16"/>
              </w:rPr>
            </w:pPr>
            <w:r w:rsidRPr="00D403DC">
              <w:rPr>
                <w:rFonts w:ascii="Arial" w:eastAsia="Arial" w:hAnsi="Arial" w:cs="Arial"/>
                <w:b/>
                <w:color w:val="000000"/>
                <w:sz w:val="16"/>
              </w:rPr>
              <w:t xml:space="preserve">Total </w:t>
            </w:r>
          </w:p>
        </w:tc>
        <w:tc>
          <w:tcPr>
            <w:tcW w:w="915" w:type="dxa"/>
            <w:tcBorders>
              <w:top w:val="nil"/>
              <w:left w:val="nil"/>
              <w:bottom w:val="nil"/>
              <w:right w:val="nil"/>
              <w:tl2br w:val="nil"/>
              <w:tr2bl w:val="nil"/>
            </w:tcBorders>
            <w:shd w:val="clear" w:color="auto" w:fill="FFFFFF"/>
            <w:tcMar>
              <w:left w:w="115" w:type="dxa"/>
              <w:right w:w="115" w:type="dxa"/>
            </w:tcMar>
            <w:vAlign w:val="bottom"/>
          </w:tcPr>
          <w:p w14:paraId="2C9BF9BB" w14:textId="77777777" w:rsidR="003F0EEA" w:rsidRPr="00D403DC" w:rsidRDefault="003F0EEA">
            <w:pPr>
              <w:jc w:val="center"/>
              <w:rPr>
                <w:rFonts w:ascii="Arial" w:eastAsia="Arial" w:hAnsi="Arial" w:cs="Arial"/>
                <w:b/>
                <w:color w:val="000000"/>
                <w:sz w:val="16"/>
                <w:vertAlign w:val="superscript"/>
              </w:rPr>
            </w:pPr>
          </w:p>
        </w:tc>
        <w:tc>
          <w:tcPr>
            <w:tcW w:w="1005" w:type="dxa"/>
            <w:tcBorders>
              <w:top w:val="nil"/>
              <w:left w:val="nil"/>
              <w:bottom w:val="single" w:sz="6" w:space="0" w:color="000000"/>
              <w:right w:val="nil"/>
              <w:tl2br w:val="nil"/>
              <w:tr2bl w:val="nil"/>
            </w:tcBorders>
            <w:shd w:val="clear" w:color="auto" w:fill="FFFF00"/>
            <w:tcMar>
              <w:left w:w="115" w:type="dxa"/>
              <w:right w:w="115" w:type="dxa"/>
            </w:tcMar>
            <w:vAlign w:val="bottom"/>
          </w:tcPr>
          <w:p w14:paraId="76C84F00" w14:textId="77777777" w:rsidR="003F0EEA" w:rsidRPr="00D403DC" w:rsidRDefault="00FB7D0B">
            <w:pPr>
              <w:jc w:val="right"/>
              <w:rPr>
                <w:rFonts w:ascii="Arial" w:eastAsia="Arial" w:hAnsi="Arial" w:cs="Arial"/>
                <w:color w:val="000000"/>
                <w:sz w:val="16"/>
                <w:vertAlign w:val="superscript"/>
              </w:rPr>
            </w:pPr>
            <w:r w:rsidRPr="00D403DC">
              <w:rPr>
                <w:rFonts w:ascii="Arial" w:eastAsia="Arial" w:hAnsi="Arial" w:cs="Arial"/>
                <w:b/>
                <w:color w:val="000000"/>
                <w:sz w:val="16"/>
              </w:rPr>
              <w:t xml:space="preserve"> - </w:t>
            </w:r>
          </w:p>
        </w:tc>
        <w:tc>
          <w:tcPr>
            <w:tcW w:w="1005"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7D8BAB8E" w14:textId="77777777" w:rsidR="003F0EEA" w:rsidRPr="00D403DC" w:rsidRDefault="00FB7D0B">
            <w:pPr>
              <w:jc w:val="right"/>
              <w:rPr>
                <w:rFonts w:ascii="Arial" w:eastAsia="Arial" w:hAnsi="Arial" w:cs="Arial"/>
                <w:b/>
                <w:color w:val="000000"/>
                <w:sz w:val="16"/>
              </w:rPr>
            </w:pPr>
            <w:r w:rsidRPr="00D403DC">
              <w:rPr>
                <w:rFonts w:ascii="Arial" w:eastAsia="Arial" w:hAnsi="Arial" w:cs="Arial"/>
                <w:b/>
                <w:color w:val="000000"/>
                <w:sz w:val="16"/>
              </w:rPr>
              <w:t>85  </w:t>
            </w:r>
          </w:p>
        </w:tc>
        <w:tc>
          <w:tcPr>
            <w:tcW w:w="1005" w:type="dxa"/>
            <w:tcBorders>
              <w:top w:val="nil"/>
              <w:left w:val="nil"/>
              <w:bottom w:val="single" w:sz="6" w:space="0" w:color="000000"/>
              <w:right w:val="nil"/>
              <w:tl2br w:val="nil"/>
              <w:tr2bl w:val="nil"/>
            </w:tcBorders>
            <w:shd w:val="clear" w:color="auto" w:fill="FFFF00"/>
            <w:tcMar>
              <w:left w:w="115" w:type="dxa"/>
              <w:right w:w="115" w:type="dxa"/>
            </w:tcMar>
            <w:vAlign w:val="bottom"/>
          </w:tcPr>
          <w:p w14:paraId="724170D3" w14:textId="77777777" w:rsidR="003F0EEA" w:rsidRPr="00D403DC" w:rsidRDefault="00FB7D0B">
            <w:pPr>
              <w:jc w:val="right"/>
              <w:rPr>
                <w:rFonts w:ascii="Arial" w:eastAsia="Arial" w:hAnsi="Arial" w:cs="Arial"/>
                <w:b/>
                <w:color w:val="000000"/>
                <w:sz w:val="16"/>
              </w:rPr>
            </w:pPr>
            <w:r w:rsidRPr="00D403DC">
              <w:rPr>
                <w:rFonts w:ascii="Arial" w:eastAsia="Arial" w:hAnsi="Arial" w:cs="Arial"/>
                <w:b/>
                <w:color w:val="000000"/>
                <w:sz w:val="16"/>
              </w:rPr>
              <w:t>(60)</w:t>
            </w:r>
          </w:p>
        </w:tc>
        <w:tc>
          <w:tcPr>
            <w:tcW w:w="1005"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539253CD" w14:textId="77777777" w:rsidR="003F0EEA" w:rsidRPr="00D403DC" w:rsidRDefault="00FB7D0B">
            <w:pPr>
              <w:jc w:val="right"/>
              <w:rPr>
                <w:rFonts w:ascii="Arial" w:eastAsia="Arial" w:hAnsi="Arial" w:cs="Arial"/>
                <w:b/>
                <w:color w:val="000000"/>
                <w:sz w:val="16"/>
              </w:rPr>
            </w:pPr>
            <w:r w:rsidRPr="00D403DC">
              <w:rPr>
                <w:rFonts w:ascii="Arial" w:eastAsia="Arial" w:hAnsi="Arial" w:cs="Arial"/>
                <w:b/>
                <w:color w:val="000000"/>
                <w:sz w:val="16"/>
              </w:rPr>
              <w:t>(90)</w:t>
            </w:r>
          </w:p>
        </w:tc>
        <w:tc>
          <w:tcPr>
            <w:tcW w:w="1005" w:type="dxa"/>
            <w:tcBorders>
              <w:top w:val="nil"/>
              <w:left w:val="nil"/>
              <w:bottom w:val="single" w:sz="6" w:space="0" w:color="000000"/>
              <w:right w:val="nil"/>
              <w:tl2br w:val="nil"/>
              <w:tr2bl w:val="nil"/>
            </w:tcBorders>
            <w:shd w:val="clear" w:color="auto" w:fill="FFFF00"/>
            <w:tcMar>
              <w:left w:w="115" w:type="dxa"/>
              <w:right w:w="115" w:type="dxa"/>
            </w:tcMar>
            <w:vAlign w:val="bottom"/>
          </w:tcPr>
          <w:p w14:paraId="2FA5B0C5" w14:textId="77777777" w:rsidR="003F0EEA" w:rsidRPr="00D403DC" w:rsidRDefault="00FB7D0B">
            <w:pPr>
              <w:jc w:val="right"/>
              <w:rPr>
                <w:rFonts w:ascii="Arial" w:eastAsia="Arial" w:hAnsi="Arial" w:cs="Arial"/>
                <w:b/>
                <w:color w:val="000000"/>
                <w:sz w:val="16"/>
              </w:rPr>
            </w:pPr>
            <w:r w:rsidRPr="00D403DC">
              <w:rPr>
                <w:rFonts w:ascii="Arial" w:eastAsia="Arial" w:hAnsi="Arial" w:cs="Arial"/>
                <w:b/>
                <w:color w:val="000000"/>
                <w:sz w:val="16"/>
              </w:rPr>
              <w:t>(125)</w:t>
            </w:r>
          </w:p>
        </w:tc>
      </w:tr>
      <w:tr w:rsidR="00724034" w14:paraId="014E7343" w14:textId="77777777">
        <w:trPr>
          <w:trHeight w:val="225"/>
        </w:trPr>
        <w:tc>
          <w:tcPr>
            <w:tcW w:w="180" w:type="dxa"/>
            <w:tcBorders>
              <w:top w:val="nil"/>
              <w:left w:val="nil"/>
              <w:bottom w:val="nil"/>
              <w:right w:val="nil"/>
              <w:tl2br w:val="nil"/>
              <w:tr2bl w:val="nil"/>
            </w:tcBorders>
            <w:shd w:val="clear" w:color="auto" w:fill="FFFFFF"/>
            <w:tcMar>
              <w:left w:w="115" w:type="dxa"/>
              <w:right w:w="115" w:type="dxa"/>
            </w:tcMar>
            <w:vAlign w:val="bottom"/>
          </w:tcPr>
          <w:p w14:paraId="5017F526" w14:textId="77777777" w:rsidR="003F0EEA" w:rsidRPr="00D403DC" w:rsidRDefault="003F0EEA">
            <w:pPr>
              <w:rPr>
                <w:rFonts w:ascii="Arial" w:eastAsia="Arial" w:hAnsi="Arial" w:cs="Arial"/>
                <w:b/>
                <w:color w:val="000000"/>
                <w:sz w:val="16"/>
              </w:rPr>
            </w:pPr>
          </w:p>
        </w:tc>
        <w:tc>
          <w:tcPr>
            <w:tcW w:w="2280" w:type="dxa"/>
            <w:tcBorders>
              <w:top w:val="nil"/>
              <w:left w:val="nil"/>
              <w:bottom w:val="nil"/>
              <w:right w:val="nil"/>
              <w:tl2br w:val="nil"/>
              <w:tr2bl w:val="nil"/>
            </w:tcBorders>
            <w:shd w:val="clear" w:color="auto" w:fill="FFFFFF"/>
            <w:tcMar>
              <w:left w:w="115" w:type="dxa"/>
              <w:right w:w="115" w:type="dxa"/>
            </w:tcMar>
            <w:vAlign w:val="bottom"/>
          </w:tcPr>
          <w:p w14:paraId="4224A30D" w14:textId="77777777" w:rsidR="003F0EEA" w:rsidRPr="00D403DC" w:rsidRDefault="003F0EEA">
            <w:pPr>
              <w:rPr>
                <w:rFonts w:ascii="Arial" w:eastAsia="Arial" w:hAnsi="Arial" w:cs="Arial"/>
                <w:color w:val="000000"/>
                <w:sz w:val="16"/>
              </w:rPr>
            </w:pPr>
          </w:p>
        </w:tc>
        <w:tc>
          <w:tcPr>
            <w:tcW w:w="915" w:type="dxa"/>
            <w:tcBorders>
              <w:top w:val="nil"/>
              <w:left w:val="nil"/>
              <w:bottom w:val="nil"/>
              <w:right w:val="nil"/>
              <w:tl2br w:val="nil"/>
              <w:tr2bl w:val="nil"/>
            </w:tcBorders>
            <w:shd w:val="clear" w:color="auto" w:fill="FFFFFF"/>
            <w:tcMar>
              <w:left w:w="115" w:type="dxa"/>
              <w:right w:w="115" w:type="dxa"/>
            </w:tcMar>
            <w:vAlign w:val="bottom"/>
          </w:tcPr>
          <w:p w14:paraId="128FF7F3" w14:textId="77777777" w:rsidR="003F0EEA" w:rsidRPr="00D403DC" w:rsidRDefault="003F0EEA">
            <w:pPr>
              <w:rPr>
                <w:rFonts w:ascii="Arial" w:eastAsia="Arial" w:hAnsi="Arial" w:cs="Arial"/>
                <w:color w:val="000000"/>
                <w:sz w:val="16"/>
                <w:vertAlign w:val="superscript"/>
              </w:rPr>
            </w:pPr>
          </w:p>
        </w:tc>
        <w:tc>
          <w:tcPr>
            <w:tcW w:w="1005" w:type="dxa"/>
            <w:tcBorders>
              <w:top w:val="single" w:sz="6" w:space="0" w:color="000000"/>
              <w:left w:val="nil"/>
              <w:bottom w:val="nil"/>
              <w:right w:val="nil"/>
              <w:tl2br w:val="nil"/>
              <w:tr2bl w:val="nil"/>
            </w:tcBorders>
            <w:shd w:val="clear" w:color="auto" w:fill="FFFF00"/>
            <w:tcMar>
              <w:left w:w="115" w:type="dxa"/>
              <w:right w:w="115" w:type="dxa"/>
            </w:tcMar>
            <w:vAlign w:val="bottom"/>
          </w:tcPr>
          <w:p w14:paraId="3827F108" w14:textId="77777777" w:rsidR="003F0EEA" w:rsidRPr="00D403DC" w:rsidRDefault="003F0EEA">
            <w:pPr>
              <w:jc w:val="right"/>
              <w:rPr>
                <w:rFonts w:ascii="Arial" w:eastAsia="Arial" w:hAnsi="Arial" w:cs="Arial"/>
                <w:color w:val="000000"/>
                <w:sz w:val="16"/>
                <w:vertAlign w:val="superscript"/>
              </w:rPr>
            </w:pPr>
          </w:p>
        </w:tc>
        <w:tc>
          <w:tcPr>
            <w:tcW w:w="1005"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6F568BE2" w14:textId="77777777" w:rsidR="003F0EEA" w:rsidRPr="00D403DC" w:rsidRDefault="003F0EEA">
            <w:pPr>
              <w:jc w:val="right"/>
              <w:rPr>
                <w:rFonts w:ascii="Arial" w:eastAsia="Arial" w:hAnsi="Arial" w:cs="Arial"/>
                <w:color w:val="000000"/>
                <w:sz w:val="16"/>
                <w:vertAlign w:val="superscript"/>
              </w:rPr>
            </w:pPr>
          </w:p>
        </w:tc>
        <w:tc>
          <w:tcPr>
            <w:tcW w:w="1005" w:type="dxa"/>
            <w:tcBorders>
              <w:top w:val="single" w:sz="6" w:space="0" w:color="000000"/>
              <w:left w:val="nil"/>
              <w:bottom w:val="nil"/>
              <w:right w:val="nil"/>
              <w:tl2br w:val="nil"/>
              <w:tr2bl w:val="nil"/>
            </w:tcBorders>
            <w:shd w:val="clear" w:color="auto" w:fill="FFFF00"/>
            <w:tcMar>
              <w:left w:w="115" w:type="dxa"/>
              <w:right w:w="115" w:type="dxa"/>
            </w:tcMar>
            <w:vAlign w:val="bottom"/>
          </w:tcPr>
          <w:p w14:paraId="66413DFB" w14:textId="77777777" w:rsidR="003F0EEA" w:rsidRPr="00D403DC" w:rsidRDefault="003F0EEA">
            <w:pPr>
              <w:jc w:val="right"/>
              <w:rPr>
                <w:rFonts w:ascii="Arial" w:eastAsia="Arial" w:hAnsi="Arial" w:cs="Arial"/>
                <w:color w:val="000000"/>
                <w:sz w:val="16"/>
                <w:vertAlign w:val="superscript"/>
              </w:rPr>
            </w:pPr>
          </w:p>
        </w:tc>
        <w:tc>
          <w:tcPr>
            <w:tcW w:w="1005"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6FF3C123" w14:textId="77777777" w:rsidR="003F0EEA" w:rsidRPr="00D403DC" w:rsidRDefault="003F0EEA">
            <w:pPr>
              <w:jc w:val="right"/>
              <w:rPr>
                <w:rFonts w:ascii="Arial" w:eastAsia="Arial" w:hAnsi="Arial" w:cs="Arial"/>
                <w:color w:val="000000"/>
                <w:sz w:val="16"/>
                <w:vertAlign w:val="superscript"/>
              </w:rPr>
            </w:pPr>
          </w:p>
        </w:tc>
        <w:tc>
          <w:tcPr>
            <w:tcW w:w="1005" w:type="dxa"/>
            <w:tcBorders>
              <w:top w:val="single" w:sz="6" w:space="0" w:color="000000"/>
              <w:left w:val="nil"/>
              <w:bottom w:val="nil"/>
              <w:right w:val="nil"/>
              <w:tl2br w:val="nil"/>
              <w:tr2bl w:val="nil"/>
            </w:tcBorders>
            <w:shd w:val="clear" w:color="auto" w:fill="FFFF00"/>
            <w:tcMar>
              <w:left w:w="115" w:type="dxa"/>
              <w:right w:w="115" w:type="dxa"/>
            </w:tcMar>
            <w:vAlign w:val="bottom"/>
          </w:tcPr>
          <w:p w14:paraId="75455EB0" w14:textId="77777777" w:rsidR="003F0EEA" w:rsidRPr="00D403DC" w:rsidRDefault="003F0EEA">
            <w:pPr>
              <w:jc w:val="right"/>
              <w:rPr>
                <w:rFonts w:ascii="Arial" w:eastAsia="Arial" w:hAnsi="Arial" w:cs="Arial"/>
                <w:color w:val="000000"/>
                <w:sz w:val="16"/>
                <w:vertAlign w:val="superscript"/>
              </w:rPr>
            </w:pPr>
          </w:p>
        </w:tc>
      </w:tr>
      <w:tr w:rsidR="00FB7D0B" w14:paraId="14DAF5A0" w14:textId="77777777" w:rsidTr="00FB7D0B">
        <w:trPr>
          <w:trHeight w:val="450"/>
        </w:trPr>
        <w:tc>
          <w:tcPr>
            <w:tcW w:w="2460" w:type="dxa"/>
            <w:gridSpan w:val="2"/>
            <w:tcBorders>
              <w:top w:val="nil"/>
              <w:left w:val="nil"/>
              <w:bottom w:val="nil"/>
              <w:right w:val="nil"/>
              <w:tl2br w:val="nil"/>
              <w:tr2bl w:val="nil"/>
            </w:tcBorders>
            <w:shd w:val="clear" w:color="auto" w:fill="FFFFFF"/>
            <w:tcMar>
              <w:left w:w="115" w:type="dxa"/>
              <w:right w:w="115" w:type="dxa"/>
            </w:tcMar>
            <w:vAlign w:val="bottom"/>
          </w:tcPr>
          <w:p w14:paraId="39A8856A" w14:textId="77777777" w:rsidR="003F0EEA" w:rsidRPr="00D403DC" w:rsidRDefault="00FB7D0B">
            <w:pPr>
              <w:rPr>
                <w:rFonts w:ascii="Arial" w:eastAsia="Arial" w:hAnsi="Arial" w:cs="Arial"/>
                <w:color w:val="000000"/>
                <w:sz w:val="16"/>
                <w:vertAlign w:val="superscript"/>
              </w:rPr>
            </w:pPr>
            <w:r w:rsidRPr="00D403DC">
              <w:rPr>
                <w:rFonts w:ascii="Arial" w:eastAsia="Arial" w:hAnsi="Arial" w:cs="Arial"/>
                <w:color w:val="000000"/>
                <w:sz w:val="16"/>
              </w:rPr>
              <w:t>Building Excellence in Support and Training - additional funding</w:t>
            </w:r>
            <w:r w:rsidRPr="00D403DC">
              <w:rPr>
                <w:rFonts w:ascii="Arial" w:eastAsia="Arial" w:hAnsi="Arial" w:cs="Arial"/>
                <w:color w:val="000000"/>
                <w:sz w:val="16"/>
                <w:vertAlign w:val="superscript"/>
              </w:rPr>
              <w:t>1 </w:t>
            </w:r>
          </w:p>
        </w:tc>
        <w:tc>
          <w:tcPr>
            <w:tcW w:w="915" w:type="dxa"/>
            <w:tcBorders>
              <w:top w:val="nil"/>
              <w:left w:val="nil"/>
              <w:bottom w:val="nil"/>
              <w:right w:val="nil"/>
              <w:tl2br w:val="nil"/>
              <w:tr2bl w:val="nil"/>
            </w:tcBorders>
            <w:shd w:val="clear" w:color="auto" w:fill="FFFFFF"/>
            <w:tcMar>
              <w:left w:w="115" w:type="dxa"/>
              <w:right w:w="115" w:type="dxa"/>
            </w:tcMar>
            <w:vAlign w:val="bottom"/>
          </w:tcPr>
          <w:p w14:paraId="11131691" w14:textId="77777777" w:rsidR="003F0EEA" w:rsidRPr="00D403DC" w:rsidRDefault="00FB7D0B">
            <w:pPr>
              <w:jc w:val="center"/>
              <w:rPr>
                <w:rFonts w:ascii="Arial" w:eastAsia="Arial" w:hAnsi="Arial" w:cs="Arial"/>
                <w:color w:val="000000"/>
                <w:sz w:val="16"/>
                <w:vertAlign w:val="superscript"/>
              </w:rPr>
            </w:pPr>
            <w:r w:rsidRPr="00D403DC">
              <w:rPr>
                <w:rFonts w:ascii="Arial" w:eastAsia="Arial" w:hAnsi="Arial" w:cs="Arial"/>
                <w:color w:val="000000"/>
                <w:sz w:val="16"/>
              </w:rPr>
              <w:t>1.4 </w:t>
            </w:r>
          </w:p>
        </w:tc>
        <w:tc>
          <w:tcPr>
            <w:tcW w:w="1005" w:type="dxa"/>
            <w:tcBorders>
              <w:top w:val="nil"/>
              <w:left w:val="nil"/>
              <w:bottom w:val="nil"/>
              <w:right w:val="nil"/>
              <w:tl2br w:val="nil"/>
              <w:tr2bl w:val="nil"/>
            </w:tcBorders>
            <w:shd w:val="clear" w:color="auto" w:fill="FFFF00"/>
            <w:tcMar>
              <w:left w:w="115" w:type="dxa"/>
              <w:right w:w="115" w:type="dxa"/>
            </w:tcMar>
            <w:vAlign w:val="bottom"/>
          </w:tcPr>
          <w:p w14:paraId="24557C90" w14:textId="77777777" w:rsidR="003F0EEA" w:rsidRPr="00D403DC" w:rsidRDefault="003F0EEA">
            <w:pPr>
              <w:jc w:val="right"/>
              <w:rPr>
                <w:rFonts w:ascii="Arial" w:eastAsia="Arial" w:hAnsi="Arial" w:cs="Arial"/>
                <w:color w:val="000000"/>
                <w:sz w:val="16"/>
              </w:rPr>
            </w:pPr>
          </w:p>
        </w:tc>
        <w:tc>
          <w:tcPr>
            <w:tcW w:w="1005" w:type="dxa"/>
            <w:tcBorders>
              <w:top w:val="nil"/>
              <w:left w:val="nil"/>
              <w:bottom w:val="nil"/>
              <w:right w:val="nil"/>
              <w:tl2br w:val="nil"/>
              <w:tr2bl w:val="nil"/>
            </w:tcBorders>
            <w:shd w:val="clear" w:color="auto" w:fill="FFFFFF"/>
            <w:tcMar>
              <w:left w:w="115" w:type="dxa"/>
              <w:right w:w="115" w:type="dxa"/>
            </w:tcMar>
            <w:vAlign w:val="bottom"/>
          </w:tcPr>
          <w:p w14:paraId="7E986984" w14:textId="77777777" w:rsidR="003F0EEA" w:rsidRPr="00D403DC" w:rsidRDefault="003F0EEA">
            <w:pPr>
              <w:jc w:val="right"/>
              <w:rPr>
                <w:rFonts w:ascii="Arial" w:eastAsia="Arial" w:hAnsi="Arial" w:cs="Arial"/>
                <w:color w:val="000000"/>
                <w:sz w:val="16"/>
              </w:rPr>
            </w:pPr>
          </w:p>
        </w:tc>
        <w:tc>
          <w:tcPr>
            <w:tcW w:w="1005" w:type="dxa"/>
            <w:tcBorders>
              <w:top w:val="nil"/>
              <w:left w:val="nil"/>
              <w:bottom w:val="nil"/>
              <w:right w:val="nil"/>
              <w:tl2br w:val="nil"/>
              <w:tr2bl w:val="nil"/>
            </w:tcBorders>
            <w:shd w:val="clear" w:color="auto" w:fill="FFFF00"/>
            <w:tcMar>
              <w:left w:w="115" w:type="dxa"/>
              <w:right w:w="115" w:type="dxa"/>
            </w:tcMar>
            <w:vAlign w:val="bottom"/>
          </w:tcPr>
          <w:p w14:paraId="3814D88D" w14:textId="77777777" w:rsidR="003F0EEA" w:rsidRPr="00D403DC" w:rsidRDefault="003F0EEA">
            <w:pPr>
              <w:jc w:val="right"/>
              <w:rPr>
                <w:rFonts w:ascii="Arial" w:eastAsia="Arial" w:hAnsi="Arial" w:cs="Arial"/>
                <w:color w:val="000000"/>
                <w:sz w:val="16"/>
              </w:rPr>
            </w:pPr>
          </w:p>
        </w:tc>
        <w:tc>
          <w:tcPr>
            <w:tcW w:w="1005" w:type="dxa"/>
            <w:tcBorders>
              <w:top w:val="nil"/>
              <w:left w:val="nil"/>
              <w:bottom w:val="nil"/>
              <w:right w:val="nil"/>
              <w:tl2br w:val="nil"/>
              <w:tr2bl w:val="nil"/>
            </w:tcBorders>
            <w:shd w:val="clear" w:color="auto" w:fill="FFFFFF"/>
            <w:tcMar>
              <w:left w:w="115" w:type="dxa"/>
              <w:right w:w="115" w:type="dxa"/>
            </w:tcMar>
            <w:vAlign w:val="bottom"/>
          </w:tcPr>
          <w:p w14:paraId="12C46CC5" w14:textId="77777777" w:rsidR="003F0EEA" w:rsidRPr="00D403DC" w:rsidRDefault="003F0EEA">
            <w:pPr>
              <w:jc w:val="right"/>
              <w:rPr>
                <w:rFonts w:ascii="Arial" w:eastAsia="Arial" w:hAnsi="Arial" w:cs="Arial"/>
                <w:color w:val="000000"/>
                <w:sz w:val="16"/>
              </w:rPr>
            </w:pPr>
          </w:p>
        </w:tc>
        <w:tc>
          <w:tcPr>
            <w:tcW w:w="1005" w:type="dxa"/>
            <w:tcBorders>
              <w:top w:val="nil"/>
              <w:left w:val="nil"/>
              <w:bottom w:val="nil"/>
              <w:right w:val="nil"/>
              <w:tl2br w:val="nil"/>
              <w:tr2bl w:val="nil"/>
            </w:tcBorders>
            <w:shd w:val="clear" w:color="auto" w:fill="FFFF00"/>
            <w:tcMar>
              <w:left w:w="115" w:type="dxa"/>
              <w:right w:w="115" w:type="dxa"/>
            </w:tcMar>
            <w:vAlign w:val="bottom"/>
          </w:tcPr>
          <w:p w14:paraId="148D895A" w14:textId="77777777" w:rsidR="003F0EEA" w:rsidRPr="00D403DC" w:rsidRDefault="003F0EEA">
            <w:pPr>
              <w:jc w:val="right"/>
              <w:rPr>
                <w:rFonts w:ascii="Arial" w:eastAsia="Arial" w:hAnsi="Arial" w:cs="Arial"/>
                <w:color w:val="000000"/>
                <w:sz w:val="16"/>
              </w:rPr>
            </w:pPr>
          </w:p>
        </w:tc>
      </w:tr>
      <w:tr w:rsidR="00724034" w14:paraId="59EE3FC6" w14:textId="77777777">
        <w:trPr>
          <w:trHeight w:val="225"/>
        </w:trPr>
        <w:tc>
          <w:tcPr>
            <w:tcW w:w="180" w:type="dxa"/>
            <w:tcBorders>
              <w:top w:val="nil"/>
              <w:left w:val="nil"/>
              <w:bottom w:val="nil"/>
              <w:right w:val="nil"/>
              <w:tl2br w:val="nil"/>
              <w:tr2bl w:val="nil"/>
            </w:tcBorders>
            <w:shd w:val="clear" w:color="auto" w:fill="FFFFFF"/>
            <w:tcMar>
              <w:left w:w="115" w:type="dxa"/>
              <w:right w:w="115" w:type="dxa"/>
            </w:tcMar>
            <w:vAlign w:val="bottom"/>
          </w:tcPr>
          <w:p w14:paraId="2F0DA9E2" w14:textId="77777777" w:rsidR="003F0EEA" w:rsidRPr="00D403DC" w:rsidRDefault="003F0EEA">
            <w:pPr>
              <w:rPr>
                <w:rFonts w:ascii="Arial" w:eastAsia="Arial" w:hAnsi="Arial" w:cs="Arial"/>
                <w:color w:val="000000"/>
                <w:sz w:val="16"/>
              </w:rPr>
            </w:pPr>
          </w:p>
        </w:tc>
        <w:tc>
          <w:tcPr>
            <w:tcW w:w="2280" w:type="dxa"/>
            <w:tcBorders>
              <w:top w:val="nil"/>
              <w:left w:val="nil"/>
              <w:bottom w:val="nil"/>
              <w:right w:val="nil"/>
              <w:tl2br w:val="nil"/>
              <w:tr2bl w:val="nil"/>
            </w:tcBorders>
            <w:shd w:val="clear" w:color="auto" w:fill="FFFFFF"/>
            <w:tcMar>
              <w:left w:w="115" w:type="dxa"/>
              <w:right w:w="115" w:type="dxa"/>
            </w:tcMar>
            <w:vAlign w:val="bottom"/>
          </w:tcPr>
          <w:p w14:paraId="3A3B03C4" w14:textId="77777777" w:rsidR="003F0EEA" w:rsidRPr="00D403DC" w:rsidRDefault="00FB7D0B">
            <w:pPr>
              <w:rPr>
                <w:rFonts w:ascii="Arial" w:eastAsia="Arial" w:hAnsi="Arial" w:cs="Arial"/>
                <w:color w:val="000000"/>
                <w:sz w:val="16"/>
              </w:rPr>
            </w:pPr>
            <w:r w:rsidRPr="00D403DC">
              <w:rPr>
                <w:rFonts w:ascii="Arial" w:eastAsia="Arial" w:hAnsi="Arial" w:cs="Arial"/>
                <w:color w:val="000000"/>
                <w:sz w:val="16"/>
              </w:rPr>
              <w:t>Administered expenses</w:t>
            </w:r>
          </w:p>
        </w:tc>
        <w:tc>
          <w:tcPr>
            <w:tcW w:w="915" w:type="dxa"/>
            <w:tcBorders>
              <w:top w:val="nil"/>
              <w:left w:val="nil"/>
              <w:bottom w:val="nil"/>
              <w:right w:val="nil"/>
              <w:tl2br w:val="nil"/>
              <w:tr2bl w:val="nil"/>
            </w:tcBorders>
            <w:shd w:val="clear" w:color="auto" w:fill="FFFFFF"/>
            <w:tcMar>
              <w:left w:w="115" w:type="dxa"/>
              <w:right w:w="115" w:type="dxa"/>
            </w:tcMar>
            <w:vAlign w:val="bottom"/>
          </w:tcPr>
          <w:p w14:paraId="050C46AE" w14:textId="77777777" w:rsidR="003F0EEA" w:rsidRPr="00D403DC" w:rsidRDefault="003F0EEA">
            <w:pPr>
              <w:jc w:val="center"/>
              <w:rPr>
                <w:rFonts w:ascii="Arial" w:eastAsia="Arial" w:hAnsi="Arial" w:cs="Arial"/>
                <w:color w:val="000000"/>
                <w:sz w:val="16"/>
                <w:vertAlign w:val="superscript"/>
              </w:rPr>
            </w:pPr>
          </w:p>
        </w:tc>
        <w:tc>
          <w:tcPr>
            <w:tcW w:w="1005" w:type="dxa"/>
            <w:tcBorders>
              <w:top w:val="nil"/>
              <w:left w:val="nil"/>
              <w:bottom w:val="nil"/>
              <w:right w:val="nil"/>
              <w:tl2br w:val="nil"/>
              <w:tr2bl w:val="nil"/>
            </w:tcBorders>
            <w:shd w:val="clear" w:color="auto" w:fill="FFFF00"/>
            <w:tcMar>
              <w:left w:w="115" w:type="dxa"/>
              <w:right w:w="115" w:type="dxa"/>
            </w:tcMar>
            <w:vAlign w:val="bottom"/>
          </w:tcPr>
          <w:p w14:paraId="430037D5" w14:textId="77777777" w:rsidR="003F0EEA" w:rsidRPr="00D403DC" w:rsidRDefault="00FB7D0B">
            <w:pPr>
              <w:jc w:val="right"/>
              <w:rPr>
                <w:rFonts w:ascii="Arial" w:eastAsia="Arial" w:hAnsi="Arial" w:cs="Arial"/>
                <w:color w:val="000000"/>
                <w:sz w:val="16"/>
                <w:vertAlign w:val="superscript"/>
              </w:rPr>
            </w:pPr>
            <w:r w:rsidRPr="00D403DC">
              <w:rPr>
                <w:rFonts w:ascii="Arial" w:eastAsia="Arial" w:hAnsi="Arial" w:cs="Arial"/>
                <w:color w:val="000000"/>
                <w:sz w:val="16"/>
              </w:rPr>
              <w:t xml:space="preserve"> - </w:t>
            </w:r>
          </w:p>
        </w:tc>
        <w:tc>
          <w:tcPr>
            <w:tcW w:w="1005" w:type="dxa"/>
            <w:tcBorders>
              <w:top w:val="nil"/>
              <w:left w:val="nil"/>
              <w:bottom w:val="nil"/>
              <w:right w:val="nil"/>
              <w:tl2br w:val="nil"/>
              <w:tr2bl w:val="nil"/>
            </w:tcBorders>
            <w:shd w:val="clear" w:color="auto" w:fill="FFFFFF"/>
            <w:tcMar>
              <w:left w:w="115" w:type="dxa"/>
              <w:right w:w="115" w:type="dxa"/>
            </w:tcMar>
            <w:vAlign w:val="bottom"/>
          </w:tcPr>
          <w:p w14:paraId="7A6AD02D" w14:textId="77777777" w:rsidR="003F0EEA" w:rsidRPr="00D403DC" w:rsidRDefault="00FB7D0B">
            <w:pPr>
              <w:jc w:val="right"/>
              <w:rPr>
                <w:rFonts w:ascii="Arial" w:eastAsia="Arial" w:hAnsi="Arial" w:cs="Arial"/>
                <w:color w:val="000000"/>
                <w:sz w:val="16"/>
              </w:rPr>
            </w:pPr>
            <w:r w:rsidRPr="00D403DC">
              <w:rPr>
                <w:rFonts w:ascii="Arial" w:eastAsia="Arial" w:hAnsi="Arial" w:cs="Arial"/>
                <w:color w:val="000000"/>
                <w:sz w:val="16"/>
              </w:rPr>
              <w:t xml:space="preserve"> - </w:t>
            </w:r>
          </w:p>
        </w:tc>
        <w:tc>
          <w:tcPr>
            <w:tcW w:w="1005" w:type="dxa"/>
            <w:tcBorders>
              <w:top w:val="nil"/>
              <w:left w:val="nil"/>
              <w:bottom w:val="nil"/>
              <w:right w:val="nil"/>
              <w:tl2br w:val="nil"/>
              <w:tr2bl w:val="nil"/>
            </w:tcBorders>
            <w:shd w:val="clear" w:color="auto" w:fill="FFFF00"/>
            <w:tcMar>
              <w:left w:w="115" w:type="dxa"/>
              <w:right w:w="115" w:type="dxa"/>
            </w:tcMar>
            <w:vAlign w:val="bottom"/>
          </w:tcPr>
          <w:p w14:paraId="6EC13A77" w14:textId="77777777" w:rsidR="003F0EEA" w:rsidRPr="00D403DC" w:rsidRDefault="00FB7D0B">
            <w:pPr>
              <w:jc w:val="right"/>
              <w:rPr>
                <w:rFonts w:ascii="Arial" w:eastAsia="Arial" w:hAnsi="Arial" w:cs="Arial"/>
                <w:color w:val="000000"/>
                <w:sz w:val="16"/>
              </w:rPr>
            </w:pPr>
            <w:r w:rsidRPr="00D403DC">
              <w:rPr>
                <w:rFonts w:ascii="Arial" w:eastAsia="Arial" w:hAnsi="Arial" w:cs="Arial"/>
                <w:color w:val="000000"/>
                <w:sz w:val="16"/>
              </w:rPr>
              <w:t xml:space="preserve"> - </w:t>
            </w:r>
          </w:p>
        </w:tc>
        <w:tc>
          <w:tcPr>
            <w:tcW w:w="1005" w:type="dxa"/>
            <w:tcBorders>
              <w:top w:val="nil"/>
              <w:left w:val="nil"/>
              <w:bottom w:val="nil"/>
              <w:right w:val="nil"/>
              <w:tl2br w:val="nil"/>
              <w:tr2bl w:val="nil"/>
            </w:tcBorders>
            <w:shd w:val="clear" w:color="auto" w:fill="FFFFFF"/>
            <w:tcMar>
              <w:left w:w="115" w:type="dxa"/>
              <w:right w:w="115" w:type="dxa"/>
            </w:tcMar>
            <w:vAlign w:val="bottom"/>
          </w:tcPr>
          <w:p w14:paraId="05ECEBA2" w14:textId="77777777" w:rsidR="003F0EEA" w:rsidRPr="00D403DC" w:rsidRDefault="00FB7D0B">
            <w:pPr>
              <w:jc w:val="right"/>
              <w:rPr>
                <w:rFonts w:ascii="Arial" w:eastAsia="Arial" w:hAnsi="Arial" w:cs="Arial"/>
                <w:color w:val="000000"/>
                <w:sz w:val="16"/>
              </w:rPr>
            </w:pPr>
            <w:r w:rsidRPr="00D403DC">
              <w:rPr>
                <w:rFonts w:ascii="Arial" w:eastAsia="Arial" w:hAnsi="Arial" w:cs="Arial"/>
                <w:color w:val="000000"/>
                <w:sz w:val="16"/>
              </w:rPr>
              <w:t xml:space="preserve"> - </w:t>
            </w:r>
          </w:p>
        </w:tc>
        <w:tc>
          <w:tcPr>
            <w:tcW w:w="1005" w:type="dxa"/>
            <w:tcBorders>
              <w:top w:val="nil"/>
              <w:left w:val="nil"/>
              <w:bottom w:val="nil"/>
              <w:right w:val="nil"/>
              <w:tl2br w:val="nil"/>
              <w:tr2bl w:val="nil"/>
            </w:tcBorders>
            <w:shd w:val="clear" w:color="auto" w:fill="FFFF00"/>
            <w:tcMar>
              <w:left w:w="115" w:type="dxa"/>
              <w:right w:w="115" w:type="dxa"/>
            </w:tcMar>
            <w:vAlign w:val="bottom"/>
          </w:tcPr>
          <w:p w14:paraId="6D1857D4" w14:textId="77777777" w:rsidR="003F0EEA" w:rsidRPr="00D403DC" w:rsidRDefault="00FB7D0B">
            <w:pPr>
              <w:jc w:val="right"/>
              <w:rPr>
                <w:rFonts w:ascii="Arial" w:eastAsia="Arial" w:hAnsi="Arial" w:cs="Arial"/>
                <w:color w:val="000000"/>
                <w:sz w:val="16"/>
              </w:rPr>
            </w:pPr>
            <w:r w:rsidRPr="00D403DC">
              <w:rPr>
                <w:rFonts w:ascii="Arial" w:eastAsia="Arial" w:hAnsi="Arial" w:cs="Arial"/>
                <w:color w:val="000000"/>
                <w:sz w:val="16"/>
              </w:rPr>
              <w:t>1,000  </w:t>
            </w:r>
          </w:p>
        </w:tc>
      </w:tr>
      <w:tr w:rsidR="00724034" w14:paraId="6F0181C3" w14:textId="77777777">
        <w:trPr>
          <w:trHeight w:val="225"/>
        </w:trPr>
        <w:tc>
          <w:tcPr>
            <w:tcW w:w="180" w:type="dxa"/>
            <w:tcBorders>
              <w:top w:val="nil"/>
              <w:left w:val="nil"/>
              <w:bottom w:val="nil"/>
              <w:right w:val="nil"/>
              <w:tl2br w:val="nil"/>
              <w:tr2bl w:val="nil"/>
            </w:tcBorders>
            <w:shd w:val="clear" w:color="auto" w:fill="FFFFFF"/>
            <w:tcMar>
              <w:left w:w="115" w:type="dxa"/>
              <w:right w:w="115" w:type="dxa"/>
            </w:tcMar>
            <w:vAlign w:val="bottom"/>
          </w:tcPr>
          <w:p w14:paraId="24116E2A" w14:textId="77777777" w:rsidR="003F0EEA" w:rsidRPr="00D403DC" w:rsidRDefault="003F0EEA">
            <w:pPr>
              <w:rPr>
                <w:rFonts w:ascii="Arial" w:eastAsia="Arial" w:hAnsi="Arial" w:cs="Arial"/>
                <w:color w:val="000000"/>
                <w:sz w:val="16"/>
              </w:rPr>
            </w:pPr>
          </w:p>
        </w:tc>
        <w:tc>
          <w:tcPr>
            <w:tcW w:w="2280" w:type="dxa"/>
            <w:tcBorders>
              <w:top w:val="nil"/>
              <w:left w:val="nil"/>
              <w:bottom w:val="nil"/>
              <w:right w:val="nil"/>
              <w:tl2br w:val="nil"/>
              <w:tr2bl w:val="nil"/>
            </w:tcBorders>
            <w:shd w:val="clear" w:color="auto" w:fill="FFFFFF"/>
            <w:tcMar>
              <w:left w:w="115" w:type="dxa"/>
              <w:right w:w="115" w:type="dxa"/>
            </w:tcMar>
            <w:vAlign w:val="bottom"/>
          </w:tcPr>
          <w:p w14:paraId="4BBC15ED" w14:textId="77777777" w:rsidR="003F0EEA" w:rsidRPr="00D403DC" w:rsidRDefault="00FB7D0B">
            <w:pPr>
              <w:rPr>
                <w:rFonts w:ascii="Arial" w:eastAsia="Arial" w:hAnsi="Arial" w:cs="Arial"/>
                <w:color w:val="000000"/>
                <w:sz w:val="16"/>
              </w:rPr>
            </w:pPr>
            <w:r w:rsidRPr="00D403DC">
              <w:rPr>
                <w:rFonts w:ascii="Arial" w:eastAsia="Arial" w:hAnsi="Arial" w:cs="Arial"/>
                <w:color w:val="000000"/>
                <w:sz w:val="16"/>
              </w:rPr>
              <w:t>Departmental expenses</w:t>
            </w:r>
          </w:p>
        </w:tc>
        <w:tc>
          <w:tcPr>
            <w:tcW w:w="915" w:type="dxa"/>
            <w:tcBorders>
              <w:top w:val="nil"/>
              <w:left w:val="nil"/>
              <w:bottom w:val="nil"/>
              <w:right w:val="nil"/>
              <w:tl2br w:val="nil"/>
              <w:tr2bl w:val="nil"/>
            </w:tcBorders>
            <w:shd w:val="clear" w:color="auto" w:fill="FFFFFF"/>
            <w:tcMar>
              <w:left w:w="115" w:type="dxa"/>
              <w:right w:w="115" w:type="dxa"/>
            </w:tcMar>
            <w:vAlign w:val="bottom"/>
          </w:tcPr>
          <w:p w14:paraId="09A208AE" w14:textId="77777777" w:rsidR="003F0EEA" w:rsidRPr="00D403DC" w:rsidRDefault="003F0EEA">
            <w:pPr>
              <w:jc w:val="center"/>
              <w:rPr>
                <w:rFonts w:ascii="Arial" w:eastAsia="Arial" w:hAnsi="Arial" w:cs="Arial"/>
                <w:color w:val="000000"/>
                <w:sz w:val="16"/>
                <w:vertAlign w:val="superscript"/>
              </w:rPr>
            </w:pPr>
          </w:p>
        </w:tc>
        <w:tc>
          <w:tcPr>
            <w:tcW w:w="1005" w:type="dxa"/>
            <w:tcBorders>
              <w:top w:val="nil"/>
              <w:left w:val="nil"/>
              <w:bottom w:val="nil"/>
              <w:right w:val="nil"/>
              <w:tl2br w:val="nil"/>
              <w:tr2bl w:val="nil"/>
            </w:tcBorders>
            <w:shd w:val="clear" w:color="auto" w:fill="FFFF00"/>
            <w:tcMar>
              <w:left w:w="115" w:type="dxa"/>
              <w:right w:w="115" w:type="dxa"/>
            </w:tcMar>
            <w:vAlign w:val="bottom"/>
          </w:tcPr>
          <w:p w14:paraId="2833BE0C" w14:textId="77777777" w:rsidR="003F0EEA" w:rsidRPr="00D403DC" w:rsidRDefault="00FB7D0B">
            <w:pPr>
              <w:jc w:val="right"/>
              <w:rPr>
                <w:rFonts w:ascii="Arial" w:eastAsia="Arial" w:hAnsi="Arial" w:cs="Arial"/>
                <w:color w:val="000000"/>
                <w:sz w:val="16"/>
                <w:vertAlign w:val="superscript"/>
              </w:rPr>
            </w:pPr>
            <w:r w:rsidRPr="00D403DC">
              <w:rPr>
                <w:rFonts w:ascii="Arial" w:eastAsia="Arial" w:hAnsi="Arial" w:cs="Arial"/>
                <w:color w:val="000000"/>
                <w:sz w:val="16"/>
              </w:rPr>
              <w:t xml:space="preserve"> - </w:t>
            </w:r>
          </w:p>
        </w:tc>
        <w:tc>
          <w:tcPr>
            <w:tcW w:w="1005" w:type="dxa"/>
            <w:tcBorders>
              <w:top w:val="nil"/>
              <w:left w:val="nil"/>
              <w:bottom w:val="nil"/>
              <w:right w:val="nil"/>
              <w:tl2br w:val="nil"/>
              <w:tr2bl w:val="nil"/>
            </w:tcBorders>
            <w:shd w:val="clear" w:color="auto" w:fill="FFFFFF"/>
            <w:tcMar>
              <w:left w:w="115" w:type="dxa"/>
              <w:right w:w="115" w:type="dxa"/>
            </w:tcMar>
            <w:vAlign w:val="bottom"/>
          </w:tcPr>
          <w:p w14:paraId="640EAD18" w14:textId="77777777" w:rsidR="003F0EEA" w:rsidRPr="00D403DC" w:rsidRDefault="00FB7D0B">
            <w:pPr>
              <w:jc w:val="right"/>
              <w:rPr>
                <w:rFonts w:ascii="Arial" w:eastAsia="Arial" w:hAnsi="Arial" w:cs="Arial"/>
                <w:color w:val="000000"/>
                <w:sz w:val="16"/>
              </w:rPr>
            </w:pPr>
            <w:r w:rsidRPr="00D403DC">
              <w:rPr>
                <w:rFonts w:ascii="Arial" w:eastAsia="Arial" w:hAnsi="Arial" w:cs="Arial"/>
                <w:color w:val="000000"/>
                <w:sz w:val="16"/>
              </w:rPr>
              <w:t xml:space="preserve"> - </w:t>
            </w:r>
          </w:p>
        </w:tc>
        <w:tc>
          <w:tcPr>
            <w:tcW w:w="1005" w:type="dxa"/>
            <w:tcBorders>
              <w:top w:val="nil"/>
              <w:left w:val="nil"/>
              <w:bottom w:val="nil"/>
              <w:right w:val="nil"/>
              <w:tl2br w:val="nil"/>
              <w:tr2bl w:val="nil"/>
            </w:tcBorders>
            <w:shd w:val="clear" w:color="auto" w:fill="FFFF00"/>
            <w:tcMar>
              <w:left w:w="115" w:type="dxa"/>
              <w:right w:w="115" w:type="dxa"/>
            </w:tcMar>
            <w:vAlign w:val="bottom"/>
          </w:tcPr>
          <w:p w14:paraId="221370A6" w14:textId="77777777" w:rsidR="003F0EEA" w:rsidRPr="00D403DC" w:rsidRDefault="00FB7D0B">
            <w:pPr>
              <w:jc w:val="right"/>
              <w:rPr>
                <w:rFonts w:ascii="Arial" w:eastAsia="Arial" w:hAnsi="Arial" w:cs="Arial"/>
                <w:color w:val="000000"/>
                <w:sz w:val="16"/>
              </w:rPr>
            </w:pPr>
            <w:r w:rsidRPr="00D403DC">
              <w:rPr>
                <w:rFonts w:ascii="Arial" w:eastAsia="Arial" w:hAnsi="Arial" w:cs="Arial"/>
                <w:color w:val="000000"/>
                <w:sz w:val="16"/>
              </w:rPr>
              <w:t xml:space="preserve"> - </w:t>
            </w:r>
          </w:p>
        </w:tc>
        <w:tc>
          <w:tcPr>
            <w:tcW w:w="1005" w:type="dxa"/>
            <w:tcBorders>
              <w:top w:val="nil"/>
              <w:left w:val="nil"/>
              <w:bottom w:val="nil"/>
              <w:right w:val="nil"/>
              <w:tl2br w:val="nil"/>
              <w:tr2bl w:val="nil"/>
            </w:tcBorders>
            <w:shd w:val="clear" w:color="auto" w:fill="FFFFFF"/>
            <w:tcMar>
              <w:left w:w="115" w:type="dxa"/>
              <w:right w:w="115" w:type="dxa"/>
            </w:tcMar>
            <w:vAlign w:val="bottom"/>
          </w:tcPr>
          <w:p w14:paraId="5ED55E9A" w14:textId="77777777" w:rsidR="003F0EEA" w:rsidRPr="00D403DC" w:rsidRDefault="00FB7D0B">
            <w:pPr>
              <w:jc w:val="right"/>
              <w:rPr>
                <w:rFonts w:ascii="Arial" w:eastAsia="Arial" w:hAnsi="Arial" w:cs="Arial"/>
                <w:color w:val="000000"/>
                <w:sz w:val="16"/>
              </w:rPr>
            </w:pPr>
            <w:r w:rsidRPr="00D403DC">
              <w:rPr>
                <w:rFonts w:ascii="Arial" w:eastAsia="Arial" w:hAnsi="Arial" w:cs="Arial"/>
                <w:color w:val="000000"/>
                <w:sz w:val="16"/>
              </w:rPr>
              <w:t xml:space="preserve"> - </w:t>
            </w:r>
          </w:p>
        </w:tc>
        <w:tc>
          <w:tcPr>
            <w:tcW w:w="1005" w:type="dxa"/>
            <w:tcBorders>
              <w:top w:val="nil"/>
              <w:left w:val="nil"/>
              <w:bottom w:val="nil"/>
              <w:right w:val="nil"/>
              <w:tl2br w:val="nil"/>
              <w:tr2bl w:val="nil"/>
            </w:tcBorders>
            <w:shd w:val="clear" w:color="auto" w:fill="FFFF00"/>
            <w:tcMar>
              <w:left w:w="115" w:type="dxa"/>
              <w:right w:w="115" w:type="dxa"/>
            </w:tcMar>
            <w:vAlign w:val="bottom"/>
          </w:tcPr>
          <w:p w14:paraId="3A9B3308" w14:textId="77777777" w:rsidR="003F0EEA" w:rsidRPr="00D403DC" w:rsidRDefault="00FB7D0B">
            <w:pPr>
              <w:jc w:val="right"/>
              <w:rPr>
                <w:rFonts w:ascii="Arial" w:eastAsia="Arial" w:hAnsi="Arial" w:cs="Arial"/>
                <w:color w:val="000000"/>
                <w:sz w:val="16"/>
              </w:rPr>
            </w:pPr>
            <w:r w:rsidRPr="00D403DC">
              <w:rPr>
                <w:rFonts w:ascii="Arial" w:eastAsia="Arial" w:hAnsi="Arial" w:cs="Arial"/>
                <w:color w:val="000000"/>
                <w:sz w:val="16"/>
              </w:rPr>
              <w:t xml:space="preserve"> - </w:t>
            </w:r>
          </w:p>
        </w:tc>
      </w:tr>
      <w:tr w:rsidR="00FB7D0B" w14:paraId="302AE887" w14:textId="77777777" w:rsidTr="00FB7D0B">
        <w:trPr>
          <w:trHeight w:val="225"/>
        </w:trPr>
        <w:tc>
          <w:tcPr>
            <w:tcW w:w="2460" w:type="dxa"/>
            <w:gridSpan w:val="2"/>
            <w:tcBorders>
              <w:top w:val="nil"/>
              <w:left w:val="nil"/>
              <w:bottom w:val="nil"/>
              <w:right w:val="nil"/>
              <w:tl2br w:val="nil"/>
              <w:tr2bl w:val="nil"/>
            </w:tcBorders>
            <w:shd w:val="clear" w:color="auto" w:fill="FFFFFF"/>
            <w:tcMar>
              <w:left w:w="115" w:type="dxa"/>
              <w:right w:w="115" w:type="dxa"/>
            </w:tcMar>
            <w:vAlign w:val="bottom"/>
          </w:tcPr>
          <w:p w14:paraId="27DBF719" w14:textId="77777777" w:rsidR="003F0EEA" w:rsidRPr="00D403DC" w:rsidRDefault="00FB7D0B">
            <w:pPr>
              <w:rPr>
                <w:rFonts w:ascii="Arial" w:eastAsia="Arial" w:hAnsi="Arial" w:cs="Arial"/>
                <w:color w:val="000000"/>
                <w:sz w:val="16"/>
              </w:rPr>
            </w:pPr>
            <w:r w:rsidRPr="00D403DC">
              <w:rPr>
                <w:rFonts w:ascii="Arial" w:eastAsia="Arial" w:hAnsi="Arial" w:cs="Arial"/>
                <w:b/>
                <w:color w:val="000000"/>
                <w:sz w:val="16"/>
              </w:rPr>
              <w:t xml:space="preserve">Total </w:t>
            </w:r>
          </w:p>
        </w:tc>
        <w:tc>
          <w:tcPr>
            <w:tcW w:w="915" w:type="dxa"/>
            <w:tcBorders>
              <w:top w:val="nil"/>
              <w:left w:val="nil"/>
              <w:bottom w:val="nil"/>
              <w:right w:val="nil"/>
              <w:tl2br w:val="nil"/>
              <w:tr2bl w:val="nil"/>
            </w:tcBorders>
            <w:shd w:val="clear" w:color="auto" w:fill="FFFFFF"/>
            <w:tcMar>
              <w:left w:w="115" w:type="dxa"/>
              <w:right w:w="115" w:type="dxa"/>
            </w:tcMar>
            <w:vAlign w:val="bottom"/>
          </w:tcPr>
          <w:p w14:paraId="3CA34B3B" w14:textId="77777777" w:rsidR="003F0EEA" w:rsidRPr="00D403DC" w:rsidRDefault="003F0EEA">
            <w:pPr>
              <w:jc w:val="center"/>
              <w:rPr>
                <w:rFonts w:ascii="Arial" w:eastAsia="Arial" w:hAnsi="Arial" w:cs="Arial"/>
                <w:b/>
                <w:color w:val="000000"/>
                <w:sz w:val="16"/>
                <w:vertAlign w:val="superscript"/>
              </w:rPr>
            </w:pPr>
          </w:p>
        </w:tc>
        <w:tc>
          <w:tcPr>
            <w:tcW w:w="1005" w:type="dxa"/>
            <w:tcBorders>
              <w:top w:val="nil"/>
              <w:left w:val="nil"/>
              <w:bottom w:val="single" w:sz="6" w:space="0" w:color="000000"/>
              <w:right w:val="nil"/>
              <w:tl2br w:val="nil"/>
              <w:tr2bl w:val="nil"/>
            </w:tcBorders>
            <w:shd w:val="clear" w:color="auto" w:fill="FFFF00"/>
            <w:tcMar>
              <w:left w:w="115" w:type="dxa"/>
              <w:right w:w="115" w:type="dxa"/>
            </w:tcMar>
            <w:vAlign w:val="bottom"/>
          </w:tcPr>
          <w:p w14:paraId="5F89E568" w14:textId="77777777" w:rsidR="003F0EEA" w:rsidRPr="00D403DC" w:rsidRDefault="00FB7D0B">
            <w:pPr>
              <w:jc w:val="right"/>
              <w:rPr>
                <w:rFonts w:ascii="Arial" w:eastAsia="Arial" w:hAnsi="Arial" w:cs="Arial"/>
                <w:color w:val="000000"/>
                <w:sz w:val="16"/>
                <w:vertAlign w:val="superscript"/>
              </w:rPr>
            </w:pPr>
            <w:r w:rsidRPr="00D403DC">
              <w:rPr>
                <w:rFonts w:ascii="Arial" w:eastAsia="Arial" w:hAnsi="Arial" w:cs="Arial"/>
                <w:b/>
                <w:color w:val="000000"/>
                <w:sz w:val="16"/>
              </w:rPr>
              <w:t xml:space="preserve"> - </w:t>
            </w:r>
          </w:p>
        </w:tc>
        <w:tc>
          <w:tcPr>
            <w:tcW w:w="1005"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4832B1DB" w14:textId="77777777" w:rsidR="003F0EEA" w:rsidRPr="00D403DC" w:rsidRDefault="00FB7D0B">
            <w:pPr>
              <w:jc w:val="right"/>
              <w:rPr>
                <w:rFonts w:ascii="Arial" w:eastAsia="Arial" w:hAnsi="Arial" w:cs="Arial"/>
                <w:b/>
                <w:color w:val="000000"/>
                <w:sz w:val="16"/>
              </w:rPr>
            </w:pPr>
            <w:r w:rsidRPr="00D403DC">
              <w:rPr>
                <w:rFonts w:ascii="Arial" w:eastAsia="Arial" w:hAnsi="Arial" w:cs="Arial"/>
                <w:b/>
                <w:color w:val="000000"/>
                <w:sz w:val="16"/>
              </w:rPr>
              <w:t xml:space="preserve"> - </w:t>
            </w:r>
          </w:p>
        </w:tc>
        <w:tc>
          <w:tcPr>
            <w:tcW w:w="1005" w:type="dxa"/>
            <w:tcBorders>
              <w:top w:val="nil"/>
              <w:left w:val="nil"/>
              <w:bottom w:val="single" w:sz="6" w:space="0" w:color="000000"/>
              <w:right w:val="nil"/>
              <w:tl2br w:val="nil"/>
              <w:tr2bl w:val="nil"/>
            </w:tcBorders>
            <w:shd w:val="clear" w:color="auto" w:fill="FFFF00"/>
            <w:tcMar>
              <w:left w:w="115" w:type="dxa"/>
              <w:right w:w="115" w:type="dxa"/>
            </w:tcMar>
            <w:vAlign w:val="bottom"/>
          </w:tcPr>
          <w:p w14:paraId="5BDDE7B0" w14:textId="77777777" w:rsidR="003F0EEA" w:rsidRPr="00D403DC" w:rsidRDefault="00FB7D0B">
            <w:pPr>
              <w:jc w:val="right"/>
              <w:rPr>
                <w:rFonts w:ascii="Arial" w:eastAsia="Arial" w:hAnsi="Arial" w:cs="Arial"/>
                <w:b/>
                <w:color w:val="000000"/>
                <w:sz w:val="16"/>
              </w:rPr>
            </w:pPr>
            <w:r w:rsidRPr="00D403DC">
              <w:rPr>
                <w:rFonts w:ascii="Arial" w:eastAsia="Arial" w:hAnsi="Arial" w:cs="Arial"/>
                <w:b/>
                <w:color w:val="000000"/>
                <w:sz w:val="16"/>
              </w:rPr>
              <w:t xml:space="preserve"> - </w:t>
            </w:r>
          </w:p>
        </w:tc>
        <w:tc>
          <w:tcPr>
            <w:tcW w:w="1005"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6B0E2F90" w14:textId="77777777" w:rsidR="003F0EEA" w:rsidRPr="00D403DC" w:rsidRDefault="00FB7D0B">
            <w:pPr>
              <w:jc w:val="right"/>
              <w:rPr>
                <w:rFonts w:ascii="Arial" w:eastAsia="Arial" w:hAnsi="Arial" w:cs="Arial"/>
                <w:b/>
                <w:color w:val="000000"/>
                <w:sz w:val="16"/>
              </w:rPr>
            </w:pPr>
            <w:r w:rsidRPr="00D403DC">
              <w:rPr>
                <w:rFonts w:ascii="Arial" w:eastAsia="Arial" w:hAnsi="Arial" w:cs="Arial"/>
                <w:b/>
                <w:color w:val="000000"/>
                <w:sz w:val="16"/>
              </w:rPr>
              <w:t xml:space="preserve"> - </w:t>
            </w:r>
          </w:p>
        </w:tc>
        <w:tc>
          <w:tcPr>
            <w:tcW w:w="1005" w:type="dxa"/>
            <w:tcBorders>
              <w:top w:val="nil"/>
              <w:left w:val="nil"/>
              <w:bottom w:val="single" w:sz="6" w:space="0" w:color="000000"/>
              <w:right w:val="nil"/>
              <w:tl2br w:val="nil"/>
              <w:tr2bl w:val="nil"/>
            </w:tcBorders>
            <w:shd w:val="clear" w:color="auto" w:fill="FFFF00"/>
            <w:tcMar>
              <w:left w:w="115" w:type="dxa"/>
              <w:right w:w="115" w:type="dxa"/>
            </w:tcMar>
            <w:vAlign w:val="bottom"/>
          </w:tcPr>
          <w:p w14:paraId="1A43A558" w14:textId="77777777" w:rsidR="003F0EEA" w:rsidRPr="00D403DC" w:rsidRDefault="00FB7D0B">
            <w:pPr>
              <w:jc w:val="right"/>
              <w:rPr>
                <w:rFonts w:ascii="Arial" w:eastAsia="Arial" w:hAnsi="Arial" w:cs="Arial"/>
                <w:b/>
                <w:color w:val="000000"/>
                <w:sz w:val="16"/>
              </w:rPr>
            </w:pPr>
            <w:r w:rsidRPr="00D403DC">
              <w:rPr>
                <w:rFonts w:ascii="Arial" w:eastAsia="Arial" w:hAnsi="Arial" w:cs="Arial"/>
                <w:b/>
                <w:color w:val="000000"/>
                <w:sz w:val="16"/>
              </w:rPr>
              <w:t>1,000  </w:t>
            </w:r>
          </w:p>
        </w:tc>
      </w:tr>
      <w:tr w:rsidR="00724034" w14:paraId="356D3CB4" w14:textId="77777777">
        <w:trPr>
          <w:trHeight w:val="225"/>
        </w:trPr>
        <w:tc>
          <w:tcPr>
            <w:tcW w:w="180" w:type="dxa"/>
            <w:tcBorders>
              <w:top w:val="nil"/>
              <w:left w:val="nil"/>
              <w:bottom w:val="nil"/>
              <w:right w:val="nil"/>
              <w:tl2br w:val="nil"/>
              <w:tr2bl w:val="nil"/>
            </w:tcBorders>
            <w:shd w:val="clear" w:color="auto" w:fill="FFFFFF"/>
            <w:tcMar>
              <w:left w:w="115" w:type="dxa"/>
              <w:right w:w="115" w:type="dxa"/>
            </w:tcMar>
            <w:vAlign w:val="bottom"/>
          </w:tcPr>
          <w:p w14:paraId="7927486C" w14:textId="77777777" w:rsidR="003F0EEA" w:rsidRPr="00D403DC" w:rsidRDefault="003F0EEA">
            <w:pPr>
              <w:rPr>
                <w:rFonts w:ascii="Arial" w:eastAsia="Arial" w:hAnsi="Arial" w:cs="Arial"/>
                <w:b/>
                <w:color w:val="000000"/>
                <w:sz w:val="16"/>
              </w:rPr>
            </w:pPr>
          </w:p>
        </w:tc>
        <w:tc>
          <w:tcPr>
            <w:tcW w:w="2280" w:type="dxa"/>
            <w:tcBorders>
              <w:top w:val="nil"/>
              <w:left w:val="nil"/>
              <w:bottom w:val="nil"/>
              <w:right w:val="nil"/>
              <w:tl2br w:val="nil"/>
              <w:tr2bl w:val="nil"/>
            </w:tcBorders>
            <w:shd w:val="clear" w:color="auto" w:fill="FFFFFF"/>
            <w:tcMar>
              <w:left w:w="115" w:type="dxa"/>
              <w:right w:w="115" w:type="dxa"/>
            </w:tcMar>
            <w:vAlign w:val="bottom"/>
          </w:tcPr>
          <w:p w14:paraId="73125F14" w14:textId="77777777" w:rsidR="003F0EEA" w:rsidRPr="00D403DC" w:rsidRDefault="003F0EEA">
            <w:pPr>
              <w:rPr>
                <w:rFonts w:ascii="Arial" w:eastAsia="Arial" w:hAnsi="Arial" w:cs="Arial"/>
                <w:color w:val="000000"/>
                <w:sz w:val="16"/>
              </w:rPr>
            </w:pPr>
          </w:p>
        </w:tc>
        <w:tc>
          <w:tcPr>
            <w:tcW w:w="915" w:type="dxa"/>
            <w:tcBorders>
              <w:top w:val="nil"/>
              <w:left w:val="nil"/>
              <w:bottom w:val="nil"/>
              <w:right w:val="nil"/>
              <w:tl2br w:val="nil"/>
              <w:tr2bl w:val="nil"/>
            </w:tcBorders>
            <w:shd w:val="clear" w:color="auto" w:fill="FFFFFF"/>
            <w:tcMar>
              <w:left w:w="115" w:type="dxa"/>
              <w:right w:w="115" w:type="dxa"/>
            </w:tcMar>
            <w:vAlign w:val="bottom"/>
          </w:tcPr>
          <w:p w14:paraId="22D6683F" w14:textId="77777777" w:rsidR="003F0EEA" w:rsidRPr="00D403DC" w:rsidRDefault="003F0EEA">
            <w:pPr>
              <w:rPr>
                <w:rFonts w:ascii="Arial" w:eastAsia="Arial" w:hAnsi="Arial" w:cs="Arial"/>
                <w:color w:val="000000"/>
                <w:sz w:val="16"/>
                <w:vertAlign w:val="superscript"/>
              </w:rPr>
            </w:pPr>
          </w:p>
        </w:tc>
        <w:tc>
          <w:tcPr>
            <w:tcW w:w="1005" w:type="dxa"/>
            <w:tcBorders>
              <w:top w:val="single" w:sz="6" w:space="0" w:color="000000"/>
              <w:left w:val="nil"/>
              <w:bottom w:val="nil"/>
              <w:right w:val="nil"/>
              <w:tl2br w:val="nil"/>
              <w:tr2bl w:val="nil"/>
            </w:tcBorders>
            <w:shd w:val="clear" w:color="auto" w:fill="FFFF00"/>
            <w:tcMar>
              <w:left w:w="115" w:type="dxa"/>
              <w:right w:w="115" w:type="dxa"/>
            </w:tcMar>
            <w:vAlign w:val="bottom"/>
          </w:tcPr>
          <w:p w14:paraId="1669F49C" w14:textId="77777777" w:rsidR="003F0EEA" w:rsidRPr="00D403DC" w:rsidRDefault="003F0EEA">
            <w:pPr>
              <w:jc w:val="right"/>
              <w:rPr>
                <w:rFonts w:ascii="Arial" w:eastAsia="Arial" w:hAnsi="Arial" w:cs="Arial"/>
                <w:color w:val="000000"/>
                <w:sz w:val="16"/>
                <w:vertAlign w:val="superscript"/>
              </w:rPr>
            </w:pPr>
          </w:p>
        </w:tc>
        <w:tc>
          <w:tcPr>
            <w:tcW w:w="1005"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79D9AF3A" w14:textId="77777777" w:rsidR="003F0EEA" w:rsidRPr="00D403DC" w:rsidRDefault="003F0EEA">
            <w:pPr>
              <w:jc w:val="right"/>
              <w:rPr>
                <w:rFonts w:ascii="Arial" w:eastAsia="Arial" w:hAnsi="Arial" w:cs="Arial"/>
                <w:color w:val="000000"/>
                <w:sz w:val="16"/>
                <w:vertAlign w:val="superscript"/>
              </w:rPr>
            </w:pPr>
          </w:p>
        </w:tc>
        <w:tc>
          <w:tcPr>
            <w:tcW w:w="1005" w:type="dxa"/>
            <w:tcBorders>
              <w:top w:val="single" w:sz="6" w:space="0" w:color="000000"/>
              <w:left w:val="nil"/>
              <w:bottom w:val="nil"/>
              <w:right w:val="nil"/>
              <w:tl2br w:val="nil"/>
              <w:tr2bl w:val="nil"/>
            </w:tcBorders>
            <w:shd w:val="clear" w:color="auto" w:fill="FFFF00"/>
            <w:tcMar>
              <w:left w:w="115" w:type="dxa"/>
              <w:right w:w="115" w:type="dxa"/>
            </w:tcMar>
            <w:vAlign w:val="bottom"/>
          </w:tcPr>
          <w:p w14:paraId="2F244ADE" w14:textId="77777777" w:rsidR="003F0EEA" w:rsidRPr="00D403DC" w:rsidRDefault="003F0EEA">
            <w:pPr>
              <w:jc w:val="right"/>
              <w:rPr>
                <w:rFonts w:ascii="Arial" w:eastAsia="Arial" w:hAnsi="Arial" w:cs="Arial"/>
                <w:color w:val="000000"/>
                <w:sz w:val="16"/>
                <w:vertAlign w:val="superscript"/>
              </w:rPr>
            </w:pPr>
          </w:p>
        </w:tc>
        <w:tc>
          <w:tcPr>
            <w:tcW w:w="1005"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1E58F7CC" w14:textId="77777777" w:rsidR="003F0EEA" w:rsidRPr="00D403DC" w:rsidRDefault="003F0EEA">
            <w:pPr>
              <w:jc w:val="right"/>
              <w:rPr>
                <w:rFonts w:ascii="Arial" w:eastAsia="Arial" w:hAnsi="Arial" w:cs="Arial"/>
                <w:color w:val="000000"/>
                <w:sz w:val="16"/>
                <w:vertAlign w:val="superscript"/>
              </w:rPr>
            </w:pPr>
          </w:p>
        </w:tc>
        <w:tc>
          <w:tcPr>
            <w:tcW w:w="1005" w:type="dxa"/>
            <w:tcBorders>
              <w:top w:val="single" w:sz="6" w:space="0" w:color="000000"/>
              <w:left w:val="nil"/>
              <w:bottom w:val="nil"/>
              <w:right w:val="nil"/>
              <w:tl2br w:val="nil"/>
              <w:tr2bl w:val="nil"/>
            </w:tcBorders>
            <w:shd w:val="clear" w:color="auto" w:fill="FFFF00"/>
            <w:tcMar>
              <w:left w:w="115" w:type="dxa"/>
              <w:right w:w="115" w:type="dxa"/>
            </w:tcMar>
            <w:vAlign w:val="bottom"/>
          </w:tcPr>
          <w:p w14:paraId="56271C15" w14:textId="77777777" w:rsidR="003F0EEA" w:rsidRPr="00D403DC" w:rsidRDefault="003F0EEA">
            <w:pPr>
              <w:jc w:val="right"/>
              <w:rPr>
                <w:rFonts w:ascii="Arial" w:eastAsia="Arial" w:hAnsi="Arial" w:cs="Arial"/>
                <w:color w:val="000000"/>
                <w:sz w:val="16"/>
                <w:vertAlign w:val="superscript"/>
              </w:rPr>
            </w:pPr>
          </w:p>
        </w:tc>
      </w:tr>
      <w:tr w:rsidR="00FB7D0B" w14:paraId="2C8ED065" w14:textId="77777777" w:rsidTr="00FB7D0B">
        <w:trPr>
          <w:trHeight w:val="225"/>
        </w:trPr>
        <w:tc>
          <w:tcPr>
            <w:tcW w:w="2460" w:type="dxa"/>
            <w:gridSpan w:val="2"/>
            <w:tcBorders>
              <w:top w:val="nil"/>
              <w:left w:val="nil"/>
              <w:bottom w:val="nil"/>
              <w:right w:val="nil"/>
              <w:tl2br w:val="nil"/>
              <w:tr2bl w:val="nil"/>
            </w:tcBorders>
            <w:shd w:val="clear" w:color="auto" w:fill="FFFFFF"/>
            <w:tcMar>
              <w:left w:w="115" w:type="dxa"/>
              <w:right w:w="115" w:type="dxa"/>
            </w:tcMar>
            <w:vAlign w:val="bottom"/>
          </w:tcPr>
          <w:p w14:paraId="3ABE8E85" w14:textId="77777777" w:rsidR="003F0EEA" w:rsidRPr="00D403DC" w:rsidRDefault="00FB7D0B">
            <w:pPr>
              <w:rPr>
                <w:rFonts w:ascii="Arial" w:eastAsia="Arial" w:hAnsi="Arial" w:cs="Arial"/>
                <w:color w:val="000000"/>
                <w:sz w:val="16"/>
                <w:vertAlign w:val="superscript"/>
              </w:rPr>
            </w:pPr>
            <w:r w:rsidRPr="00D403DC">
              <w:rPr>
                <w:rFonts w:ascii="Arial" w:eastAsia="Arial" w:hAnsi="Arial" w:cs="Arial"/>
                <w:b/>
                <w:color w:val="000000"/>
                <w:sz w:val="16"/>
              </w:rPr>
              <w:t>Total Outcome 1</w:t>
            </w:r>
          </w:p>
        </w:tc>
        <w:tc>
          <w:tcPr>
            <w:tcW w:w="915" w:type="dxa"/>
            <w:tcBorders>
              <w:top w:val="nil"/>
              <w:left w:val="nil"/>
              <w:bottom w:val="nil"/>
              <w:right w:val="nil"/>
              <w:tl2br w:val="nil"/>
              <w:tr2bl w:val="nil"/>
            </w:tcBorders>
            <w:shd w:val="clear" w:color="auto" w:fill="FFFFFF"/>
            <w:tcMar>
              <w:left w:w="115" w:type="dxa"/>
              <w:right w:w="115" w:type="dxa"/>
            </w:tcMar>
            <w:vAlign w:val="bottom"/>
          </w:tcPr>
          <w:p w14:paraId="3B6E68F2" w14:textId="77777777" w:rsidR="003F0EEA" w:rsidRPr="00D403DC" w:rsidRDefault="003F0EEA">
            <w:pPr>
              <w:jc w:val="center"/>
              <w:rPr>
                <w:rFonts w:ascii="Arial" w:eastAsia="Arial" w:hAnsi="Arial" w:cs="Arial"/>
                <w:b/>
                <w:color w:val="000000"/>
                <w:sz w:val="16"/>
                <w:vertAlign w:val="superscript"/>
              </w:rPr>
            </w:pPr>
          </w:p>
        </w:tc>
        <w:tc>
          <w:tcPr>
            <w:tcW w:w="1005" w:type="dxa"/>
            <w:tcBorders>
              <w:top w:val="nil"/>
              <w:left w:val="nil"/>
              <w:bottom w:val="nil"/>
              <w:right w:val="nil"/>
              <w:tl2br w:val="nil"/>
              <w:tr2bl w:val="nil"/>
            </w:tcBorders>
            <w:shd w:val="clear" w:color="auto" w:fill="FFFF00"/>
            <w:tcMar>
              <w:left w:w="115" w:type="dxa"/>
              <w:right w:w="115" w:type="dxa"/>
            </w:tcMar>
            <w:vAlign w:val="bottom"/>
          </w:tcPr>
          <w:p w14:paraId="15BCE395" w14:textId="77777777" w:rsidR="003F0EEA" w:rsidRPr="00D403DC" w:rsidRDefault="003F0EEA">
            <w:pPr>
              <w:jc w:val="right"/>
              <w:rPr>
                <w:rFonts w:ascii="Arial" w:eastAsia="Arial" w:hAnsi="Arial" w:cs="Arial"/>
                <w:color w:val="000000"/>
                <w:sz w:val="16"/>
                <w:vertAlign w:val="superscript"/>
              </w:rPr>
            </w:pPr>
          </w:p>
        </w:tc>
        <w:tc>
          <w:tcPr>
            <w:tcW w:w="1005" w:type="dxa"/>
            <w:tcBorders>
              <w:top w:val="nil"/>
              <w:left w:val="nil"/>
              <w:bottom w:val="nil"/>
              <w:right w:val="nil"/>
              <w:tl2br w:val="nil"/>
              <w:tr2bl w:val="nil"/>
            </w:tcBorders>
            <w:shd w:val="clear" w:color="auto" w:fill="FFFFFF"/>
            <w:tcMar>
              <w:left w:w="115" w:type="dxa"/>
              <w:right w:w="115" w:type="dxa"/>
            </w:tcMar>
            <w:vAlign w:val="bottom"/>
          </w:tcPr>
          <w:p w14:paraId="0A73928A" w14:textId="77777777" w:rsidR="003F0EEA" w:rsidRPr="00D403DC" w:rsidRDefault="003F0EEA">
            <w:pPr>
              <w:jc w:val="right"/>
              <w:rPr>
                <w:rFonts w:ascii="Arial" w:eastAsia="Arial" w:hAnsi="Arial" w:cs="Arial"/>
                <w:b/>
                <w:color w:val="000000"/>
                <w:sz w:val="16"/>
                <w:vertAlign w:val="superscript"/>
              </w:rPr>
            </w:pPr>
          </w:p>
        </w:tc>
        <w:tc>
          <w:tcPr>
            <w:tcW w:w="1005" w:type="dxa"/>
            <w:tcBorders>
              <w:top w:val="nil"/>
              <w:left w:val="nil"/>
              <w:bottom w:val="nil"/>
              <w:right w:val="nil"/>
              <w:tl2br w:val="nil"/>
              <w:tr2bl w:val="nil"/>
            </w:tcBorders>
            <w:shd w:val="clear" w:color="auto" w:fill="FFFF00"/>
            <w:tcMar>
              <w:left w:w="115" w:type="dxa"/>
              <w:right w:w="115" w:type="dxa"/>
            </w:tcMar>
            <w:vAlign w:val="bottom"/>
          </w:tcPr>
          <w:p w14:paraId="0EC96F95" w14:textId="77777777" w:rsidR="003F0EEA" w:rsidRPr="00D403DC" w:rsidRDefault="003F0EEA">
            <w:pPr>
              <w:jc w:val="right"/>
              <w:rPr>
                <w:rFonts w:ascii="Arial" w:eastAsia="Arial" w:hAnsi="Arial" w:cs="Arial"/>
                <w:b/>
                <w:color w:val="000000"/>
                <w:sz w:val="16"/>
                <w:vertAlign w:val="superscript"/>
              </w:rPr>
            </w:pPr>
          </w:p>
        </w:tc>
        <w:tc>
          <w:tcPr>
            <w:tcW w:w="1005" w:type="dxa"/>
            <w:tcBorders>
              <w:top w:val="nil"/>
              <w:left w:val="nil"/>
              <w:bottom w:val="nil"/>
              <w:right w:val="nil"/>
              <w:tl2br w:val="nil"/>
              <w:tr2bl w:val="nil"/>
            </w:tcBorders>
            <w:shd w:val="clear" w:color="auto" w:fill="FFFFFF"/>
            <w:tcMar>
              <w:left w:w="115" w:type="dxa"/>
              <w:right w:w="115" w:type="dxa"/>
            </w:tcMar>
            <w:vAlign w:val="bottom"/>
          </w:tcPr>
          <w:p w14:paraId="60CA6A7D" w14:textId="77777777" w:rsidR="003F0EEA" w:rsidRPr="00D403DC" w:rsidRDefault="003F0EEA">
            <w:pPr>
              <w:jc w:val="right"/>
              <w:rPr>
                <w:rFonts w:ascii="Arial" w:eastAsia="Arial" w:hAnsi="Arial" w:cs="Arial"/>
                <w:b/>
                <w:color w:val="000000"/>
                <w:sz w:val="16"/>
                <w:vertAlign w:val="superscript"/>
              </w:rPr>
            </w:pPr>
          </w:p>
        </w:tc>
        <w:tc>
          <w:tcPr>
            <w:tcW w:w="1005" w:type="dxa"/>
            <w:tcBorders>
              <w:top w:val="nil"/>
              <w:left w:val="nil"/>
              <w:bottom w:val="nil"/>
              <w:right w:val="nil"/>
              <w:tl2br w:val="nil"/>
              <w:tr2bl w:val="nil"/>
            </w:tcBorders>
            <w:shd w:val="clear" w:color="auto" w:fill="FFFF00"/>
            <w:tcMar>
              <w:left w:w="115" w:type="dxa"/>
              <w:right w:w="115" w:type="dxa"/>
            </w:tcMar>
            <w:vAlign w:val="bottom"/>
          </w:tcPr>
          <w:p w14:paraId="50642290" w14:textId="77777777" w:rsidR="003F0EEA" w:rsidRPr="00D403DC" w:rsidRDefault="003F0EEA">
            <w:pPr>
              <w:jc w:val="right"/>
              <w:rPr>
                <w:rFonts w:ascii="Arial" w:eastAsia="Arial" w:hAnsi="Arial" w:cs="Arial"/>
                <w:b/>
                <w:color w:val="000000"/>
                <w:sz w:val="16"/>
                <w:vertAlign w:val="superscript"/>
              </w:rPr>
            </w:pPr>
          </w:p>
        </w:tc>
      </w:tr>
      <w:tr w:rsidR="00724034" w14:paraId="69F2368E" w14:textId="77777777">
        <w:trPr>
          <w:trHeight w:val="225"/>
        </w:trPr>
        <w:tc>
          <w:tcPr>
            <w:tcW w:w="180" w:type="dxa"/>
            <w:tcBorders>
              <w:top w:val="nil"/>
              <w:left w:val="nil"/>
              <w:bottom w:val="nil"/>
              <w:right w:val="nil"/>
              <w:tl2br w:val="nil"/>
              <w:tr2bl w:val="nil"/>
            </w:tcBorders>
            <w:shd w:val="clear" w:color="auto" w:fill="FFFFFF"/>
            <w:tcMar>
              <w:left w:w="115" w:type="dxa"/>
              <w:right w:w="115" w:type="dxa"/>
            </w:tcMar>
            <w:vAlign w:val="bottom"/>
          </w:tcPr>
          <w:p w14:paraId="7DDD839C" w14:textId="77777777" w:rsidR="003F0EEA" w:rsidRPr="00D403DC" w:rsidRDefault="003F0EEA">
            <w:pPr>
              <w:rPr>
                <w:rFonts w:ascii="Arial" w:eastAsia="Arial" w:hAnsi="Arial" w:cs="Arial"/>
                <w:b/>
                <w:color w:val="000000"/>
                <w:sz w:val="16"/>
                <w:vertAlign w:val="superscript"/>
              </w:rPr>
            </w:pPr>
          </w:p>
        </w:tc>
        <w:tc>
          <w:tcPr>
            <w:tcW w:w="2280" w:type="dxa"/>
            <w:tcBorders>
              <w:top w:val="nil"/>
              <w:left w:val="nil"/>
              <w:bottom w:val="nil"/>
              <w:right w:val="nil"/>
              <w:tl2br w:val="nil"/>
              <w:tr2bl w:val="nil"/>
            </w:tcBorders>
            <w:shd w:val="clear" w:color="auto" w:fill="FFFFFF"/>
            <w:tcMar>
              <w:left w:w="115" w:type="dxa"/>
              <w:right w:w="115" w:type="dxa"/>
            </w:tcMar>
            <w:vAlign w:val="bottom"/>
          </w:tcPr>
          <w:p w14:paraId="360EFE78" w14:textId="77777777" w:rsidR="003F0EEA" w:rsidRPr="00D403DC" w:rsidRDefault="00FB7D0B">
            <w:pPr>
              <w:rPr>
                <w:rFonts w:ascii="Arial" w:eastAsia="Arial" w:hAnsi="Arial" w:cs="Arial"/>
                <w:color w:val="000000"/>
                <w:sz w:val="16"/>
                <w:vertAlign w:val="superscript"/>
              </w:rPr>
            </w:pPr>
            <w:r w:rsidRPr="00D403DC">
              <w:rPr>
                <w:rFonts w:ascii="Arial" w:eastAsia="Arial" w:hAnsi="Arial" w:cs="Arial"/>
                <w:color w:val="000000"/>
                <w:sz w:val="16"/>
              </w:rPr>
              <w:t xml:space="preserve">                   Administered</w:t>
            </w:r>
          </w:p>
        </w:tc>
        <w:tc>
          <w:tcPr>
            <w:tcW w:w="915" w:type="dxa"/>
            <w:tcBorders>
              <w:top w:val="nil"/>
              <w:left w:val="nil"/>
              <w:bottom w:val="nil"/>
              <w:right w:val="nil"/>
              <w:tl2br w:val="nil"/>
              <w:tr2bl w:val="nil"/>
            </w:tcBorders>
            <w:shd w:val="clear" w:color="auto" w:fill="FFFFFF"/>
            <w:tcMar>
              <w:left w:w="115" w:type="dxa"/>
              <w:right w:w="115" w:type="dxa"/>
            </w:tcMar>
            <w:vAlign w:val="bottom"/>
          </w:tcPr>
          <w:p w14:paraId="784512BD" w14:textId="77777777" w:rsidR="003F0EEA" w:rsidRPr="00D403DC" w:rsidRDefault="003F0EEA">
            <w:pPr>
              <w:jc w:val="center"/>
              <w:rPr>
                <w:rFonts w:ascii="Arial" w:eastAsia="Arial" w:hAnsi="Arial" w:cs="Arial"/>
                <w:color w:val="000000"/>
                <w:sz w:val="16"/>
                <w:vertAlign w:val="superscript"/>
              </w:rPr>
            </w:pPr>
          </w:p>
        </w:tc>
        <w:tc>
          <w:tcPr>
            <w:tcW w:w="1005" w:type="dxa"/>
            <w:tcBorders>
              <w:top w:val="nil"/>
              <w:left w:val="nil"/>
              <w:bottom w:val="nil"/>
              <w:right w:val="nil"/>
              <w:tl2br w:val="nil"/>
              <w:tr2bl w:val="nil"/>
            </w:tcBorders>
            <w:shd w:val="clear" w:color="auto" w:fill="FFFF00"/>
            <w:tcMar>
              <w:left w:w="115" w:type="dxa"/>
              <w:right w:w="115" w:type="dxa"/>
            </w:tcMar>
            <w:vAlign w:val="bottom"/>
          </w:tcPr>
          <w:p w14:paraId="0CECD200" w14:textId="77777777" w:rsidR="003F0EEA" w:rsidRPr="00D403DC" w:rsidRDefault="00FB7D0B">
            <w:pPr>
              <w:jc w:val="right"/>
              <w:rPr>
                <w:rFonts w:ascii="Arial" w:eastAsia="Arial" w:hAnsi="Arial" w:cs="Arial"/>
                <w:color w:val="000000"/>
                <w:sz w:val="16"/>
                <w:vertAlign w:val="superscript"/>
              </w:rPr>
            </w:pPr>
            <w:r w:rsidRPr="00D403DC">
              <w:rPr>
                <w:rFonts w:ascii="Arial" w:eastAsia="Arial" w:hAnsi="Arial" w:cs="Arial"/>
                <w:color w:val="000000"/>
                <w:sz w:val="16"/>
              </w:rPr>
              <w:t xml:space="preserve"> - </w:t>
            </w:r>
          </w:p>
        </w:tc>
        <w:tc>
          <w:tcPr>
            <w:tcW w:w="1005" w:type="dxa"/>
            <w:tcBorders>
              <w:top w:val="nil"/>
              <w:left w:val="nil"/>
              <w:bottom w:val="nil"/>
              <w:right w:val="nil"/>
              <w:tl2br w:val="nil"/>
              <w:tr2bl w:val="nil"/>
            </w:tcBorders>
            <w:shd w:val="clear" w:color="auto" w:fill="FFFFFF"/>
            <w:tcMar>
              <w:left w:w="115" w:type="dxa"/>
              <w:right w:w="115" w:type="dxa"/>
            </w:tcMar>
            <w:vAlign w:val="bottom"/>
          </w:tcPr>
          <w:p w14:paraId="74410EDB" w14:textId="77777777" w:rsidR="003F0EEA" w:rsidRPr="00D403DC" w:rsidRDefault="00FB7D0B">
            <w:pPr>
              <w:jc w:val="right"/>
              <w:rPr>
                <w:rFonts w:ascii="Arial" w:eastAsia="Arial" w:hAnsi="Arial" w:cs="Arial"/>
                <w:color w:val="000000"/>
                <w:sz w:val="16"/>
              </w:rPr>
            </w:pPr>
            <w:r w:rsidRPr="00D403DC">
              <w:rPr>
                <w:rFonts w:ascii="Arial" w:eastAsia="Arial" w:hAnsi="Arial" w:cs="Arial"/>
                <w:color w:val="000000"/>
                <w:sz w:val="16"/>
              </w:rPr>
              <w:t>(39,443)</w:t>
            </w:r>
          </w:p>
        </w:tc>
        <w:tc>
          <w:tcPr>
            <w:tcW w:w="1005" w:type="dxa"/>
            <w:tcBorders>
              <w:top w:val="nil"/>
              <w:left w:val="nil"/>
              <w:bottom w:val="nil"/>
              <w:right w:val="nil"/>
              <w:tl2br w:val="nil"/>
              <w:tr2bl w:val="nil"/>
            </w:tcBorders>
            <w:shd w:val="clear" w:color="auto" w:fill="FFFF00"/>
            <w:tcMar>
              <w:left w:w="115" w:type="dxa"/>
              <w:right w:w="115" w:type="dxa"/>
            </w:tcMar>
            <w:vAlign w:val="bottom"/>
          </w:tcPr>
          <w:p w14:paraId="7EE3E4FC" w14:textId="77777777" w:rsidR="003F0EEA" w:rsidRPr="00D403DC" w:rsidRDefault="00FB7D0B">
            <w:pPr>
              <w:jc w:val="right"/>
              <w:rPr>
                <w:rFonts w:ascii="Arial" w:eastAsia="Arial" w:hAnsi="Arial" w:cs="Arial"/>
                <w:color w:val="000000"/>
                <w:sz w:val="16"/>
              </w:rPr>
            </w:pPr>
            <w:r w:rsidRPr="00D403DC">
              <w:rPr>
                <w:rFonts w:ascii="Arial" w:eastAsia="Arial" w:hAnsi="Arial" w:cs="Arial"/>
                <w:color w:val="000000"/>
                <w:sz w:val="16"/>
              </w:rPr>
              <w:t>(55,868)</w:t>
            </w:r>
          </w:p>
        </w:tc>
        <w:tc>
          <w:tcPr>
            <w:tcW w:w="1005" w:type="dxa"/>
            <w:tcBorders>
              <w:top w:val="nil"/>
              <w:left w:val="nil"/>
              <w:bottom w:val="nil"/>
              <w:right w:val="nil"/>
              <w:tl2br w:val="nil"/>
              <w:tr2bl w:val="nil"/>
            </w:tcBorders>
            <w:shd w:val="clear" w:color="auto" w:fill="FFFFFF"/>
            <w:tcMar>
              <w:left w:w="115" w:type="dxa"/>
              <w:right w:w="115" w:type="dxa"/>
            </w:tcMar>
            <w:vAlign w:val="bottom"/>
          </w:tcPr>
          <w:p w14:paraId="07D49A73" w14:textId="77777777" w:rsidR="003F0EEA" w:rsidRPr="00D403DC" w:rsidRDefault="00FB7D0B">
            <w:pPr>
              <w:jc w:val="right"/>
              <w:rPr>
                <w:rFonts w:ascii="Arial" w:eastAsia="Arial" w:hAnsi="Arial" w:cs="Arial"/>
                <w:color w:val="000000"/>
                <w:sz w:val="16"/>
              </w:rPr>
            </w:pPr>
            <w:r w:rsidRPr="00D403DC">
              <w:rPr>
                <w:rFonts w:ascii="Arial" w:eastAsia="Arial" w:hAnsi="Arial" w:cs="Arial"/>
                <w:color w:val="000000"/>
                <w:sz w:val="16"/>
              </w:rPr>
              <w:t>(62,865)</w:t>
            </w:r>
          </w:p>
        </w:tc>
        <w:tc>
          <w:tcPr>
            <w:tcW w:w="1005" w:type="dxa"/>
            <w:tcBorders>
              <w:top w:val="nil"/>
              <w:left w:val="nil"/>
              <w:bottom w:val="nil"/>
              <w:right w:val="nil"/>
              <w:tl2br w:val="nil"/>
              <w:tr2bl w:val="nil"/>
            </w:tcBorders>
            <w:shd w:val="clear" w:color="auto" w:fill="FFFF00"/>
            <w:tcMar>
              <w:left w:w="115" w:type="dxa"/>
              <w:right w:w="115" w:type="dxa"/>
            </w:tcMar>
            <w:vAlign w:val="bottom"/>
          </w:tcPr>
          <w:p w14:paraId="0235EDD8" w14:textId="77777777" w:rsidR="003F0EEA" w:rsidRPr="00D403DC" w:rsidRDefault="00FB7D0B">
            <w:pPr>
              <w:jc w:val="right"/>
              <w:rPr>
                <w:rFonts w:ascii="Arial" w:eastAsia="Arial" w:hAnsi="Arial" w:cs="Arial"/>
                <w:color w:val="000000"/>
                <w:sz w:val="16"/>
              </w:rPr>
            </w:pPr>
            <w:r w:rsidRPr="00D403DC">
              <w:rPr>
                <w:rFonts w:ascii="Arial" w:eastAsia="Arial" w:hAnsi="Arial" w:cs="Arial"/>
                <w:color w:val="000000"/>
                <w:sz w:val="16"/>
              </w:rPr>
              <w:t>(138,644)</w:t>
            </w:r>
          </w:p>
        </w:tc>
      </w:tr>
      <w:tr w:rsidR="00724034" w14:paraId="5CA429EB" w14:textId="77777777">
        <w:trPr>
          <w:trHeight w:val="210"/>
        </w:trPr>
        <w:tc>
          <w:tcPr>
            <w:tcW w:w="180" w:type="dxa"/>
            <w:tcBorders>
              <w:top w:val="nil"/>
              <w:left w:val="nil"/>
              <w:bottom w:val="nil"/>
              <w:right w:val="nil"/>
              <w:tl2br w:val="nil"/>
              <w:tr2bl w:val="nil"/>
            </w:tcBorders>
            <w:shd w:val="clear" w:color="auto" w:fill="FFFFFF"/>
            <w:tcMar>
              <w:left w:w="115" w:type="dxa"/>
              <w:right w:w="115" w:type="dxa"/>
            </w:tcMar>
            <w:vAlign w:val="bottom"/>
          </w:tcPr>
          <w:p w14:paraId="0C23E38C" w14:textId="77777777" w:rsidR="003F0EEA" w:rsidRPr="00D403DC" w:rsidRDefault="003F0EEA">
            <w:pPr>
              <w:rPr>
                <w:rFonts w:ascii="Arial" w:eastAsia="Arial" w:hAnsi="Arial" w:cs="Arial"/>
                <w:color w:val="000000"/>
                <w:sz w:val="16"/>
              </w:rPr>
            </w:pPr>
          </w:p>
        </w:tc>
        <w:tc>
          <w:tcPr>
            <w:tcW w:w="2280" w:type="dxa"/>
            <w:tcBorders>
              <w:top w:val="nil"/>
              <w:left w:val="nil"/>
              <w:bottom w:val="nil"/>
              <w:right w:val="nil"/>
              <w:tl2br w:val="nil"/>
              <w:tr2bl w:val="nil"/>
            </w:tcBorders>
            <w:shd w:val="clear" w:color="auto" w:fill="FFFFFF"/>
            <w:tcMar>
              <w:left w:w="115" w:type="dxa"/>
              <w:right w:w="115" w:type="dxa"/>
            </w:tcMar>
            <w:vAlign w:val="bottom"/>
          </w:tcPr>
          <w:p w14:paraId="57DD22F0" w14:textId="77777777" w:rsidR="003F0EEA" w:rsidRPr="00D403DC" w:rsidRDefault="00FB7D0B">
            <w:pPr>
              <w:rPr>
                <w:rFonts w:ascii="Arial" w:eastAsia="Arial" w:hAnsi="Arial" w:cs="Arial"/>
                <w:color w:val="000000"/>
                <w:sz w:val="16"/>
              </w:rPr>
            </w:pPr>
            <w:r w:rsidRPr="00D403DC">
              <w:rPr>
                <w:rFonts w:ascii="Arial" w:eastAsia="Arial" w:hAnsi="Arial" w:cs="Arial"/>
                <w:color w:val="000000"/>
                <w:sz w:val="16"/>
              </w:rPr>
              <w:t xml:space="preserve">                   Departmental</w:t>
            </w:r>
          </w:p>
        </w:tc>
        <w:tc>
          <w:tcPr>
            <w:tcW w:w="915" w:type="dxa"/>
            <w:tcBorders>
              <w:top w:val="nil"/>
              <w:left w:val="nil"/>
              <w:bottom w:val="nil"/>
              <w:right w:val="nil"/>
              <w:tl2br w:val="nil"/>
              <w:tr2bl w:val="nil"/>
            </w:tcBorders>
            <w:shd w:val="clear" w:color="auto" w:fill="FFFFFF"/>
            <w:tcMar>
              <w:left w:w="115" w:type="dxa"/>
              <w:right w:w="115" w:type="dxa"/>
            </w:tcMar>
            <w:vAlign w:val="bottom"/>
          </w:tcPr>
          <w:p w14:paraId="59922A0D" w14:textId="77777777" w:rsidR="003F0EEA" w:rsidRPr="00D403DC" w:rsidRDefault="003F0EEA">
            <w:pPr>
              <w:jc w:val="center"/>
              <w:rPr>
                <w:rFonts w:ascii="Arial" w:eastAsia="Arial" w:hAnsi="Arial" w:cs="Arial"/>
                <w:color w:val="000000"/>
                <w:sz w:val="16"/>
                <w:vertAlign w:val="superscript"/>
              </w:rPr>
            </w:pPr>
          </w:p>
        </w:tc>
        <w:tc>
          <w:tcPr>
            <w:tcW w:w="1005" w:type="dxa"/>
            <w:tcBorders>
              <w:top w:val="nil"/>
              <w:left w:val="nil"/>
              <w:bottom w:val="single" w:sz="6" w:space="0" w:color="000000"/>
              <w:right w:val="nil"/>
              <w:tl2br w:val="nil"/>
              <w:tr2bl w:val="nil"/>
            </w:tcBorders>
            <w:shd w:val="clear" w:color="auto" w:fill="FFFF00"/>
            <w:tcMar>
              <w:left w:w="115" w:type="dxa"/>
              <w:right w:w="115" w:type="dxa"/>
            </w:tcMar>
            <w:vAlign w:val="bottom"/>
          </w:tcPr>
          <w:p w14:paraId="57641EE5" w14:textId="77777777" w:rsidR="003F0EEA" w:rsidRPr="00D403DC" w:rsidRDefault="00FB7D0B">
            <w:pPr>
              <w:jc w:val="right"/>
              <w:rPr>
                <w:rFonts w:ascii="Arial" w:eastAsia="Arial" w:hAnsi="Arial" w:cs="Arial"/>
                <w:color w:val="000000"/>
                <w:sz w:val="16"/>
                <w:vertAlign w:val="superscript"/>
              </w:rPr>
            </w:pPr>
            <w:r w:rsidRPr="00D403DC">
              <w:rPr>
                <w:rFonts w:ascii="Arial" w:eastAsia="Arial" w:hAnsi="Arial" w:cs="Arial"/>
                <w:color w:val="000000"/>
                <w:sz w:val="16"/>
              </w:rPr>
              <w:t>(676)</w:t>
            </w:r>
          </w:p>
        </w:tc>
        <w:tc>
          <w:tcPr>
            <w:tcW w:w="1005"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37021FCB" w14:textId="77777777" w:rsidR="003F0EEA" w:rsidRPr="00D403DC" w:rsidRDefault="00FB7D0B">
            <w:pPr>
              <w:jc w:val="right"/>
              <w:rPr>
                <w:rFonts w:ascii="Arial" w:eastAsia="Arial" w:hAnsi="Arial" w:cs="Arial"/>
                <w:color w:val="000000"/>
                <w:sz w:val="16"/>
              </w:rPr>
            </w:pPr>
            <w:r w:rsidRPr="00D403DC">
              <w:rPr>
                <w:rFonts w:ascii="Arial" w:eastAsia="Arial" w:hAnsi="Arial" w:cs="Arial"/>
                <w:color w:val="000000"/>
                <w:sz w:val="16"/>
              </w:rPr>
              <w:t>744  </w:t>
            </w:r>
          </w:p>
        </w:tc>
        <w:tc>
          <w:tcPr>
            <w:tcW w:w="1005" w:type="dxa"/>
            <w:tcBorders>
              <w:top w:val="nil"/>
              <w:left w:val="nil"/>
              <w:bottom w:val="single" w:sz="6" w:space="0" w:color="000000"/>
              <w:right w:val="nil"/>
              <w:tl2br w:val="nil"/>
              <w:tr2bl w:val="nil"/>
            </w:tcBorders>
            <w:shd w:val="clear" w:color="auto" w:fill="FFFF00"/>
            <w:tcMar>
              <w:left w:w="115" w:type="dxa"/>
              <w:right w:w="115" w:type="dxa"/>
            </w:tcMar>
            <w:vAlign w:val="bottom"/>
          </w:tcPr>
          <w:p w14:paraId="678A7819" w14:textId="77777777" w:rsidR="003F0EEA" w:rsidRPr="00D403DC" w:rsidRDefault="00FB7D0B">
            <w:pPr>
              <w:jc w:val="right"/>
              <w:rPr>
                <w:rFonts w:ascii="Arial" w:eastAsia="Arial" w:hAnsi="Arial" w:cs="Arial"/>
                <w:color w:val="000000"/>
                <w:sz w:val="16"/>
              </w:rPr>
            </w:pPr>
            <w:r w:rsidRPr="00D403DC">
              <w:rPr>
                <w:rFonts w:ascii="Arial" w:eastAsia="Arial" w:hAnsi="Arial" w:cs="Arial"/>
                <w:color w:val="000000"/>
                <w:sz w:val="16"/>
              </w:rPr>
              <w:t>288  </w:t>
            </w:r>
          </w:p>
        </w:tc>
        <w:tc>
          <w:tcPr>
            <w:tcW w:w="1005"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462E509E" w14:textId="77777777" w:rsidR="003F0EEA" w:rsidRPr="00D403DC" w:rsidRDefault="00FB7D0B">
            <w:pPr>
              <w:jc w:val="right"/>
              <w:rPr>
                <w:rFonts w:ascii="Arial" w:eastAsia="Arial" w:hAnsi="Arial" w:cs="Arial"/>
                <w:color w:val="000000"/>
                <w:sz w:val="16"/>
              </w:rPr>
            </w:pPr>
            <w:r w:rsidRPr="00D403DC">
              <w:rPr>
                <w:rFonts w:ascii="Arial" w:eastAsia="Arial" w:hAnsi="Arial" w:cs="Arial"/>
                <w:color w:val="000000"/>
                <w:sz w:val="16"/>
              </w:rPr>
              <w:t>104  </w:t>
            </w:r>
          </w:p>
        </w:tc>
        <w:tc>
          <w:tcPr>
            <w:tcW w:w="1005" w:type="dxa"/>
            <w:tcBorders>
              <w:top w:val="nil"/>
              <w:left w:val="nil"/>
              <w:bottom w:val="single" w:sz="6" w:space="0" w:color="000000"/>
              <w:right w:val="nil"/>
              <w:tl2br w:val="nil"/>
              <w:tr2bl w:val="nil"/>
            </w:tcBorders>
            <w:shd w:val="clear" w:color="auto" w:fill="FFFF00"/>
            <w:tcMar>
              <w:left w:w="115" w:type="dxa"/>
              <w:right w:w="115" w:type="dxa"/>
            </w:tcMar>
            <w:vAlign w:val="bottom"/>
          </w:tcPr>
          <w:p w14:paraId="79D788B3" w14:textId="77777777" w:rsidR="003F0EEA" w:rsidRPr="00D403DC" w:rsidRDefault="00FB7D0B">
            <w:pPr>
              <w:jc w:val="right"/>
              <w:rPr>
                <w:rFonts w:ascii="Arial" w:eastAsia="Arial" w:hAnsi="Arial" w:cs="Arial"/>
                <w:color w:val="000000"/>
                <w:sz w:val="16"/>
              </w:rPr>
            </w:pPr>
            <w:r w:rsidRPr="00D403DC">
              <w:rPr>
                <w:rFonts w:ascii="Arial" w:eastAsia="Arial" w:hAnsi="Arial" w:cs="Arial"/>
                <w:color w:val="000000"/>
                <w:sz w:val="16"/>
              </w:rPr>
              <w:t>763  </w:t>
            </w:r>
          </w:p>
        </w:tc>
      </w:tr>
      <w:tr w:rsidR="00724034" w14:paraId="2CEDC6AB" w14:textId="77777777">
        <w:trPr>
          <w:trHeight w:val="225"/>
        </w:trPr>
        <w:tc>
          <w:tcPr>
            <w:tcW w:w="180" w:type="dxa"/>
            <w:tcBorders>
              <w:top w:val="nil"/>
              <w:left w:val="nil"/>
              <w:bottom w:val="nil"/>
              <w:right w:val="nil"/>
              <w:tl2br w:val="nil"/>
              <w:tr2bl w:val="nil"/>
            </w:tcBorders>
            <w:shd w:val="clear" w:color="auto" w:fill="FFFFFF"/>
            <w:tcMar>
              <w:left w:w="115" w:type="dxa"/>
              <w:right w:w="115" w:type="dxa"/>
            </w:tcMar>
            <w:vAlign w:val="bottom"/>
          </w:tcPr>
          <w:p w14:paraId="20E915FB" w14:textId="77777777" w:rsidR="003F0EEA" w:rsidRPr="00D403DC" w:rsidRDefault="003F0EEA">
            <w:pPr>
              <w:rPr>
                <w:rFonts w:ascii="Arial" w:eastAsia="Arial" w:hAnsi="Arial" w:cs="Arial"/>
                <w:color w:val="000000"/>
                <w:sz w:val="16"/>
              </w:rPr>
            </w:pPr>
          </w:p>
        </w:tc>
        <w:tc>
          <w:tcPr>
            <w:tcW w:w="2280" w:type="dxa"/>
            <w:tcBorders>
              <w:top w:val="nil"/>
              <w:left w:val="nil"/>
              <w:bottom w:val="nil"/>
              <w:right w:val="nil"/>
              <w:tl2br w:val="nil"/>
              <w:tr2bl w:val="nil"/>
            </w:tcBorders>
            <w:shd w:val="clear" w:color="auto" w:fill="FFFFFF"/>
            <w:tcMar>
              <w:left w:w="115" w:type="dxa"/>
              <w:right w:w="115" w:type="dxa"/>
            </w:tcMar>
            <w:vAlign w:val="bottom"/>
          </w:tcPr>
          <w:p w14:paraId="28FD1075" w14:textId="77777777" w:rsidR="003F0EEA" w:rsidRPr="00D403DC" w:rsidRDefault="00FB7D0B">
            <w:pPr>
              <w:rPr>
                <w:rFonts w:ascii="Arial" w:eastAsia="Arial" w:hAnsi="Arial" w:cs="Arial"/>
                <w:color w:val="000000"/>
                <w:sz w:val="16"/>
              </w:rPr>
            </w:pPr>
            <w:r w:rsidRPr="00D403DC">
              <w:rPr>
                <w:rFonts w:ascii="Arial" w:eastAsia="Arial" w:hAnsi="Arial" w:cs="Arial"/>
                <w:b/>
                <w:color w:val="000000"/>
                <w:sz w:val="16"/>
              </w:rPr>
              <w:t xml:space="preserve">                   Total</w:t>
            </w:r>
          </w:p>
        </w:tc>
        <w:tc>
          <w:tcPr>
            <w:tcW w:w="915" w:type="dxa"/>
            <w:tcBorders>
              <w:top w:val="nil"/>
              <w:left w:val="nil"/>
              <w:bottom w:val="nil"/>
              <w:right w:val="nil"/>
              <w:tl2br w:val="nil"/>
              <w:tr2bl w:val="nil"/>
            </w:tcBorders>
            <w:shd w:val="clear" w:color="auto" w:fill="FFFFFF"/>
            <w:tcMar>
              <w:left w:w="115" w:type="dxa"/>
              <w:right w:w="115" w:type="dxa"/>
            </w:tcMar>
            <w:vAlign w:val="bottom"/>
          </w:tcPr>
          <w:p w14:paraId="0F6D1CEB" w14:textId="77777777" w:rsidR="003F0EEA" w:rsidRPr="00D403DC" w:rsidRDefault="003F0EEA">
            <w:pPr>
              <w:jc w:val="center"/>
              <w:rPr>
                <w:rFonts w:ascii="Arial" w:eastAsia="Arial" w:hAnsi="Arial" w:cs="Arial"/>
                <w:b/>
                <w:color w:val="000000"/>
                <w:sz w:val="16"/>
                <w:vertAlign w:val="superscript"/>
              </w:rPr>
            </w:pPr>
          </w:p>
        </w:tc>
        <w:tc>
          <w:tcPr>
            <w:tcW w:w="1005" w:type="dxa"/>
            <w:tcBorders>
              <w:top w:val="single" w:sz="6" w:space="0" w:color="000000"/>
              <w:left w:val="nil"/>
              <w:bottom w:val="single" w:sz="6" w:space="0" w:color="000000"/>
              <w:right w:val="nil"/>
              <w:tl2br w:val="nil"/>
              <w:tr2bl w:val="nil"/>
            </w:tcBorders>
            <w:shd w:val="clear" w:color="auto" w:fill="FFFF00"/>
            <w:tcMar>
              <w:left w:w="115" w:type="dxa"/>
              <w:right w:w="115" w:type="dxa"/>
            </w:tcMar>
            <w:vAlign w:val="bottom"/>
          </w:tcPr>
          <w:p w14:paraId="67FB10A0" w14:textId="77777777" w:rsidR="003F0EEA" w:rsidRPr="00D403DC" w:rsidRDefault="00FB7D0B">
            <w:pPr>
              <w:jc w:val="right"/>
              <w:rPr>
                <w:rFonts w:ascii="Arial" w:eastAsia="Arial" w:hAnsi="Arial" w:cs="Arial"/>
                <w:color w:val="000000"/>
                <w:sz w:val="16"/>
                <w:vertAlign w:val="superscript"/>
              </w:rPr>
            </w:pPr>
            <w:r w:rsidRPr="00D403DC">
              <w:rPr>
                <w:rFonts w:ascii="Arial" w:eastAsia="Arial" w:hAnsi="Arial" w:cs="Arial"/>
                <w:b/>
                <w:color w:val="000000"/>
                <w:sz w:val="16"/>
              </w:rPr>
              <w:t>(676)</w:t>
            </w:r>
          </w:p>
        </w:tc>
        <w:tc>
          <w:tcPr>
            <w:tcW w:w="1005" w:type="dxa"/>
            <w:tcBorders>
              <w:top w:val="single" w:sz="6" w:space="0" w:color="000000"/>
              <w:left w:val="nil"/>
              <w:bottom w:val="single" w:sz="6" w:space="0" w:color="000000"/>
              <w:right w:val="nil"/>
              <w:tl2br w:val="nil"/>
              <w:tr2bl w:val="nil"/>
            </w:tcBorders>
            <w:shd w:val="clear" w:color="auto" w:fill="FFFFFF"/>
            <w:tcMar>
              <w:left w:w="115" w:type="dxa"/>
              <w:right w:w="115" w:type="dxa"/>
            </w:tcMar>
            <w:vAlign w:val="bottom"/>
          </w:tcPr>
          <w:p w14:paraId="25B9BF3D" w14:textId="77777777" w:rsidR="003F0EEA" w:rsidRPr="00D403DC" w:rsidRDefault="00FB7D0B">
            <w:pPr>
              <w:jc w:val="right"/>
              <w:rPr>
                <w:rFonts w:ascii="Arial" w:eastAsia="Arial" w:hAnsi="Arial" w:cs="Arial"/>
                <w:b/>
                <w:color w:val="000000"/>
                <w:sz w:val="16"/>
              </w:rPr>
            </w:pPr>
            <w:r w:rsidRPr="00D403DC">
              <w:rPr>
                <w:rFonts w:ascii="Arial" w:eastAsia="Arial" w:hAnsi="Arial" w:cs="Arial"/>
                <w:b/>
                <w:color w:val="000000"/>
                <w:sz w:val="16"/>
              </w:rPr>
              <w:t>(38,699)</w:t>
            </w:r>
          </w:p>
        </w:tc>
        <w:tc>
          <w:tcPr>
            <w:tcW w:w="1005" w:type="dxa"/>
            <w:tcBorders>
              <w:top w:val="single" w:sz="6" w:space="0" w:color="000000"/>
              <w:left w:val="nil"/>
              <w:bottom w:val="single" w:sz="6" w:space="0" w:color="000000"/>
              <w:right w:val="nil"/>
              <w:tl2br w:val="nil"/>
              <w:tr2bl w:val="nil"/>
            </w:tcBorders>
            <w:shd w:val="clear" w:color="auto" w:fill="FFFF00"/>
            <w:tcMar>
              <w:left w:w="115" w:type="dxa"/>
              <w:right w:w="115" w:type="dxa"/>
            </w:tcMar>
            <w:vAlign w:val="bottom"/>
          </w:tcPr>
          <w:p w14:paraId="61EA5D53" w14:textId="77777777" w:rsidR="003F0EEA" w:rsidRPr="00D403DC" w:rsidRDefault="00FB7D0B">
            <w:pPr>
              <w:jc w:val="right"/>
              <w:rPr>
                <w:rFonts w:ascii="Arial" w:eastAsia="Arial" w:hAnsi="Arial" w:cs="Arial"/>
                <w:b/>
                <w:color w:val="000000"/>
                <w:sz w:val="16"/>
              </w:rPr>
            </w:pPr>
            <w:r w:rsidRPr="00D403DC">
              <w:rPr>
                <w:rFonts w:ascii="Arial" w:eastAsia="Arial" w:hAnsi="Arial" w:cs="Arial"/>
                <w:b/>
                <w:color w:val="000000"/>
                <w:sz w:val="16"/>
              </w:rPr>
              <w:t>(55,580)</w:t>
            </w:r>
          </w:p>
        </w:tc>
        <w:tc>
          <w:tcPr>
            <w:tcW w:w="1005" w:type="dxa"/>
            <w:tcBorders>
              <w:top w:val="single" w:sz="6" w:space="0" w:color="000000"/>
              <w:left w:val="nil"/>
              <w:bottom w:val="single" w:sz="6" w:space="0" w:color="000000"/>
              <w:right w:val="nil"/>
              <w:tl2br w:val="nil"/>
              <w:tr2bl w:val="nil"/>
            </w:tcBorders>
            <w:shd w:val="clear" w:color="auto" w:fill="FFFFFF"/>
            <w:tcMar>
              <w:left w:w="115" w:type="dxa"/>
              <w:right w:w="115" w:type="dxa"/>
            </w:tcMar>
            <w:vAlign w:val="bottom"/>
          </w:tcPr>
          <w:p w14:paraId="770B3501" w14:textId="77777777" w:rsidR="003F0EEA" w:rsidRPr="00D403DC" w:rsidRDefault="00FB7D0B">
            <w:pPr>
              <w:jc w:val="right"/>
              <w:rPr>
                <w:rFonts w:ascii="Arial" w:eastAsia="Arial" w:hAnsi="Arial" w:cs="Arial"/>
                <w:b/>
                <w:color w:val="000000"/>
                <w:sz w:val="16"/>
              </w:rPr>
            </w:pPr>
            <w:r w:rsidRPr="00D403DC">
              <w:rPr>
                <w:rFonts w:ascii="Arial" w:eastAsia="Arial" w:hAnsi="Arial" w:cs="Arial"/>
                <w:b/>
                <w:color w:val="000000"/>
                <w:sz w:val="16"/>
              </w:rPr>
              <w:t>(62,761)</w:t>
            </w:r>
          </w:p>
        </w:tc>
        <w:tc>
          <w:tcPr>
            <w:tcW w:w="1005" w:type="dxa"/>
            <w:tcBorders>
              <w:top w:val="single" w:sz="6" w:space="0" w:color="000000"/>
              <w:left w:val="nil"/>
              <w:bottom w:val="single" w:sz="6" w:space="0" w:color="000000"/>
              <w:right w:val="nil"/>
              <w:tl2br w:val="nil"/>
              <w:tr2bl w:val="nil"/>
            </w:tcBorders>
            <w:shd w:val="clear" w:color="auto" w:fill="FFFF00"/>
            <w:tcMar>
              <w:left w:w="115" w:type="dxa"/>
              <w:right w:w="115" w:type="dxa"/>
            </w:tcMar>
            <w:vAlign w:val="bottom"/>
          </w:tcPr>
          <w:p w14:paraId="03FD713C" w14:textId="77777777" w:rsidR="003F0EEA" w:rsidRPr="00D403DC" w:rsidRDefault="00FB7D0B">
            <w:pPr>
              <w:jc w:val="right"/>
              <w:rPr>
                <w:rFonts w:ascii="Arial" w:eastAsia="Arial" w:hAnsi="Arial" w:cs="Arial"/>
                <w:b/>
                <w:color w:val="000000"/>
                <w:sz w:val="16"/>
              </w:rPr>
            </w:pPr>
            <w:r w:rsidRPr="00D403DC">
              <w:rPr>
                <w:rFonts w:ascii="Arial" w:eastAsia="Arial" w:hAnsi="Arial" w:cs="Arial"/>
                <w:b/>
                <w:color w:val="000000"/>
                <w:sz w:val="16"/>
              </w:rPr>
              <w:t>(137,881)</w:t>
            </w:r>
          </w:p>
        </w:tc>
      </w:tr>
      <w:tr w:rsidR="00724034" w14:paraId="6775311F" w14:textId="77777777">
        <w:trPr>
          <w:trHeight w:val="225"/>
        </w:trPr>
        <w:tc>
          <w:tcPr>
            <w:tcW w:w="180" w:type="dxa"/>
            <w:tcBorders>
              <w:top w:val="nil"/>
              <w:left w:val="nil"/>
              <w:bottom w:val="nil"/>
              <w:right w:val="nil"/>
              <w:tl2br w:val="nil"/>
              <w:tr2bl w:val="nil"/>
            </w:tcBorders>
            <w:shd w:val="clear" w:color="auto" w:fill="FFFFFF"/>
            <w:tcMar>
              <w:left w:w="115" w:type="dxa"/>
              <w:right w:w="115" w:type="dxa"/>
            </w:tcMar>
            <w:vAlign w:val="bottom"/>
          </w:tcPr>
          <w:p w14:paraId="38EB469E" w14:textId="77777777" w:rsidR="003F0EEA" w:rsidRPr="00D403DC" w:rsidRDefault="003F0EEA">
            <w:pPr>
              <w:rPr>
                <w:rFonts w:ascii="Arial" w:eastAsia="Arial" w:hAnsi="Arial" w:cs="Arial"/>
                <w:b/>
                <w:color w:val="000000"/>
                <w:sz w:val="16"/>
              </w:rPr>
            </w:pPr>
          </w:p>
        </w:tc>
        <w:tc>
          <w:tcPr>
            <w:tcW w:w="2280" w:type="dxa"/>
            <w:tcBorders>
              <w:top w:val="nil"/>
              <w:left w:val="nil"/>
              <w:bottom w:val="nil"/>
              <w:right w:val="nil"/>
              <w:tl2br w:val="nil"/>
              <w:tr2bl w:val="nil"/>
            </w:tcBorders>
            <w:shd w:val="clear" w:color="auto" w:fill="FFFFFF"/>
            <w:tcMar>
              <w:left w:w="115" w:type="dxa"/>
              <w:right w:w="115" w:type="dxa"/>
            </w:tcMar>
            <w:vAlign w:val="bottom"/>
          </w:tcPr>
          <w:p w14:paraId="3500F397" w14:textId="77777777" w:rsidR="003F0EEA" w:rsidRPr="00D403DC" w:rsidRDefault="003F0EEA">
            <w:pPr>
              <w:rPr>
                <w:rFonts w:ascii="Arial" w:eastAsia="Arial" w:hAnsi="Arial" w:cs="Arial"/>
                <w:color w:val="000000"/>
                <w:sz w:val="16"/>
              </w:rPr>
            </w:pPr>
          </w:p>
        </w:tc>
        <w:tc>
          <w:tcPr>
            <w:tcW w:w="915" w:type="dxa"/>
            <w:tcBorders>
              <w:top w:val="nil"/>
              <w:left w:val="nil"/>
              <w:bottom w:val="nil"/>
              <w:right w:val="nil"/>
              <w:tl2br w:val="nil"/>
              <w:tr2bl w:val="nil"/>
            </w:tcBorders>
            <w:shd w:val="clear" w:color="auto" w:fill="FFFFFF"/>
            <w:tcMar>
              <w:left w:w="115" w:type="dxa"/>
              <w:right w:w="115" w:type="dxa"/>
            </w:tcMar>
            <w:vAlign w:val="bottom"/>
          </w:tcPr>
          <w:p w14:paraId="008DB9AE" w14:textId="77777777" w:rsidR="003F0EEA" w:rsidRPr="00D403DC" w:rsidRDefault="003F0EEA">
            <w:pPr>
              <w:rPr>
                <w:rFonts w:ascii="Arial" w:eastAsia="Arial" w:hAnsi="Arial" w:cs="Arial"/>
                <w:color w:val="000000"/>
                <w:sz w:val="16"/>
                <w:vertAlign w:val="superscript"/>
              </w:rPr>
            </w:pPr>
          </w:p>
        </w:tc>
        <w:tc>
          <w:tcPr>
            <w:tcW w:w="1005" w:type="dxa"/>
            <w:tcBorders>
              <w:top w:val="single" w:sz="6" w:space="0" w:color="000000"/>
              <w:left w:val="nil"/>
              <w:bottom w:val="nil"/>
              <w:right w:val="nil"/>
              <w:tl2br w:val="nil"/>
              <w:tr2bl w:val="nil"/>
            </w:tcBorders>
            <w:shd w:val="clear" w:color="auto" w:fill="FFFF00"/>
            <w:tcMar>
              <w:left w:w="115" w:type="dxa"/>
              <w:right w:w="115" w:type="dxa"/>
            </w:tcMar>
            <w:vAlign w:val="bottom"/>
          </w:tcPr>
          <w:p w14:paraId="5819092C" w14:textId="77777777" w:rsidR="003F0EEA" w:rsidRPr="00D403DC" w:rsidRDefault="003F0EEA">
            <w:pPr>
              <w:jc w:val="right"/>
              <w:rPr>
                <w:rFonts w:ascii="Arial" w:eastAsia="Arial" w:hAnsi="Arial" w:cs="Arial"/>
                <w:color w:val="000000"/>
                <w:sz w:val="16"/>
                <w:vertAlign w:val="superscript"/>
              </w:rPr>
            </w:pPr>
          </w:p>
        </w:tc>
        <w:tc>
          <w:tcPr>
            <w:tcW w:w="1005"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5381C955" w14:textId="77777777" w:rsidR="003F0EEA" w:rsidRPr="00D403DC" w:rsidRDefault="003F0EEA">
            <w:pPr>
              <w:jc w:val="right"/>
              <w:rPr>
                <w:rFonts w:ascii="Arial" w:eastAsia="Arial" w:hAnsi="Arial" w:cs="Arial"/>
                <w:color w:val="000000"/>
                <w:sz w:val="16"/>
                <w:vertAlign w:val="superscript"/>
              </w:rPr>
            </w:pPr>
          </w:p>
        </w:tc>
        <w:tc>
          <w:tcPr>
            <w:tcW w:w="1005" w:type="dxa"/>
            <w:tcBorders>
              <w:top w:val="single" w:sz="6" w:space="0" w:color="000000"/>
              <w:left w:val="nil"/>
              <w:bottom w:val="nil"/>
              <w:right w:val="nil"/>
              <w:tl2br w:val="nil"/>
              <w:tr2bl w:val="nil"/>
            </w:tcBorders>
            <w:shd w:val="clear" w:color="auto" w:fill="FFFF00"/>
            <w:tcMar>
              <w:left w:w="115" w:type="dxa"/>
              <w:right w:w="115" w:type="dxa"/>
            </w:tcMar>
            <w:vAlign w:val="bottom"/>
          </w:tcPr>
          <w:p w14:paraId="351599D9" w14:textId="77777777" w:rsidR="003F0EEA" w:rsidRPr="00D403DC" w:rsidRDefault="003F0EEA">
            <w:pPr>
              <w:jc w:val="right"/>
              <w:rPr>
                <w:rFonts w:ascii="Arial" w:eastAsia="Arial" w:hAnsi="Arial" w:cs="Arial"/>
                <w:color w:val="000000"/>
                <w:sz w:val="16"/>
                <w:vertAlign w:val="superscript"/>
              </w:rPr>
            </w:pPr>
          </w:p>
        </w:tc>
        <w:tc>
          <w:tcPr>
            <w:tcW w:w="1005"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18BBD6C0" w14:textId="77777777" w:rsidR="003F0EEA" w:rsidRPr="00D403DC" w:rsidRDefault="003F0EEA">
            <w:pPr>
              <w:jc w:val="right"/>
              <w:rPr>
                <w:rFonts w:ascii="Arial" w:eastAsia="Arial" w:hAnsi="Arial" w:cs="Arial"/>
                <w:color w:val="000000"/>
                <w:sz w:val="16"/>
                <w:vertAlign w:val="superscript"/>
              </w:rPr>
            </w:pPr>
          </w:p>
        </w:tc>
        <w:tc>
          <w:tcPr>
            <w:tcW w:w="1005" w:type="dxa"/>
            <w:tcBorders>
              <w:top w:val="single" w:sz="6" w:space="0" w:color="000000"/>
              <w:left w:val="nil"/>
              <w:bottom w:val="nil"/>
              <w:right w:val="nil"/>
              <w:tl2br w:val="nil"/>
              <w:tr2bl w:val="nil"/>
            </w:tcBorders>
            <w:shd w:val="clear" w:color="auto" w:fill="FFFF00"/>
            <w:tcMar>
              <w:left w:w="115" w:type="dxa"/>
              <w:right w:w="115" w:type="dxa"/>
            </w:tcMar>
            <w:vAlign w:val="bottom"/>
          </w:tcPr>
          <w:p w14:paraId="792A5113" w14:textId="77777777" w:rsidR="003F0EEA" w:rsidRPr="00D403DC" w:rsidRDefault="003F0EEA">
            <w:pPr>
              <w:jc w:val="right"/>
              <w:rPr>
                <w:rFonts w:ascii="Arial" w:eastAsia="Arial" w:hAnsi="Arial" w:cs="Arial"/>
                <w:color w:val="000000"/>
                <w:sz w:val="16"/>
                <w:vertAlign w:val="superscript"/>
              </w:rPr>
            </w:pPr>
          </w:p>
        </w:tc>
      </w:tr>
      <w:tr w:rsidR="00FB7D0B" w14:paraId="3BC9F8F0" w14:textId="77777777" w:rsidTr="00FB7D0B">
        <w:trPr>
          <w:trHeight w:val="225"/>
        </w:trPr>
        <w:tc>
          <w:tcPr>
            <w:tcW w:w="2460" w:type="dxa"/>
            <w:gridSpan w:val="2"/>
            <w:tcBorders>
              <w:top w:val="nil"/>
              <w:left w:val="nil"/>
              <w:bottom w:val="nil"/>
              <w:right w:val="nil"/>
              <w:tl2br w:val="nil"/>
              <w:tr2bl w:val="nil"/>
            </w:tcBorders>
            <w:shd w:val="clear" w:color="auto" w:fill="FFFFFF"/>
            <w:tcMar>
              <w:left w:w="115" w:type="dxa"/>
              <w:right w:w="115" w:type="dxa"/>
            </w:tcMar>
            <w:vAlign w:val="bottom"/>
          </w:tcPr>
          <w:p w14:paraId="15EA6FC5" w14:textId="77777777" w:rsidR="003F0EEA" w:rsidRPr="00D403DC" w:rsidRDefault="00FB7D0B">
            <w:pPr>
              <w:rPr>
                <w:rFonts w:ascii="Arial" w:eastAsia="Arial" w:hAnsi="Arial" w:cs="Arial"/>
                <w:color w:val="000000"/>
                <w:sz w:val="16"/>
                <w:vertAlign w:val="superscript"/>
              </w:rPr>
            </w:pPr>
            <w:r w:rsidRPr="00D403DC">
              <w:rPr>
                <w:rFonts w:ascii="Arial" w:eastAsia="Arial" w:hAnsi="Arial" w:cs="Arial"/>
                <w:b/>
                <w:color w:val="000000"/>
                <w:sz w:val="16"/>
              </w:rPr>
              <w:t>Outcome 2</w:t>
            </w:r>
          </w:p>
        </w:tc>
        <w:tc>
          <w:tcPr>
            <w:tcW w:w="915" w:type="dxa"/>
            <w:tcBorders>
              <w:top w:val="nil"/>
              <w:left w:val="nil"/>
              <w:bottom w:val="nil"/>
              <w:right w:val="nil"/>
              <w:tl2br w:val="nil"/>
              <w:tr2bl w:val="nil"/>
            </w:tcBorders>
            <w:shd w:val="clear" w:color="auto" w:fill="FFFFFF"/>
            <w:tcMar>
              <w:left w:w="115" w:type="dxa"/>
              <w:right w:w="115" w:type="dxa"/>
            </w:tcMar>
            <w:vAlign w:val="bottom"/>
          </w:tcPr>
          <w:p w14:paraId="5DCE958E" w14:textId="77777777" w:rsidR="003F0EEA" w:rsidRPr="00D403DC" w:rsidRDefault="003F0EEA">
            <w:pPr>
              <w:jc w:val="center"/>
              <w:rPr>
                <w:rFonts w:ascii="Arial" w:eastAsia="Arial" w:hAnsi="Arial" w:cs="Arial"/>
                <w:b/>
                <w:color w:val="000000"/>
                <w:sz w:val="16"/>
                <w:vertAlign w:val="superscript"/>
              </w:rPr>
            </w:pPr>
          </w:p>
        </w:tc>
        <w:tc>
          <w:tcPr>
            <w:tcW w:w="1005" w:type="dxa"/>
            <w:tcBorders>
              <w:top w:val="nil"/>
              <w:left w:val="nil"/>
              <w:bottom w:val="nil"/>
              <w:right w:val="nil"/>
              <w:tl2br w:val="nil"/>
              <w:tr2bl w:val="nil"/>
            </w:tcBorders>
            <w:shd w:val="clear" w:color="auto" w:fill="FFFF00"/>
            <w:tcMar>
              <w:left w:w="115" w:type="dxa"/>
              <w:right w:w="115" w:type="dxa"/>
            </w:tcMar>
            <w:vAlign w:val="bottom"/>
          </w:tcPr>
          <w:p w14:paraId="594C633E" w14:textId="77777777" w:rsidR="003F0EEA" w:rsidRPr="00D403DC" w:rsidRDefault="003F0EEA">
            <w:pPr>
              <w:jc w:val="right"/>
              <w:rPr>
                <w:rFonts w:ascii="Arial" w:eastAsia="Arial" w:hAnsi="Arial" w:cs="Arial"/>
                <w:color w:val="000000"/>
                <w:sz w:val="16"/>
                <w:vertAlign w:val="superscript"/>
              </w:rPr>
            </w:pPr>
          </w:p>
        </w:tc>
        <w:tc>
          <w:tcPr>
            <w:tcW w:w="1005" w:type="dxa"/>
            <w:tcBorders>
              <w:top w:val="nil"/>
              <w:left w:val="nil"/>
              <w:bottom w:val="nil"/>
              <w:right w:val="nil"/>
              <w:tl2br w:val="nil"/>
              <w:tr2bl w:val="nil"/>
            </w:tcBorders>
            <w:shd w:val="clear" w:color="auto" w:fill="FFFFFF"/>
            <w:tcMar>
              <w:left w:w="115" w:type="dxa"/>
              <w:right w:w="115" w:type="dxa"/>
            </w:tcMar>
            <w:vAlign w:val="bottom"/>
          </w:tcPr>
          <w:p w14:paraId="6288289F" w14:textId="77777777" w:rsidR="003F0EEA" w:rsidRPr="00D403DC" w:rsidRDefault="003F0EEA">
            <w:pPr>
              <w:jc w:val="right"/>
              <w:rPr>
                <w:rFonts w:ascii="Arial" w:eastAsia="Arial" w:hAnsi="Arial" w:cs="Arial"/>
                <w:b/>
                <w:color w:val="000000"/>
                <w:sz w:val="16"/>
                <w:vertAlign w:val="superscript"/>
              </w:rPr>
            </w:pPr>
          </w:p>
        </w:tc>
        <w:tc>
          <w:tcPr>
            <w:tcW w:w="1005" w:type="dxa"/>
            <w:tcBorders>
              <w:top w:val="nil"/>
              <w:left w:val="nil"/>
              <w:bottom w:val="nil"/>
              <w:right w:val="nil"/>
              <w:tl2br w:val="nil"/>
              <w:tr2bl w:val="nil"/>
            </w:tcBorders>
            <w:shd w:val="clear" w:color="auto" w:fill="FFFF00"/>
            <w:tcMar>
              <w:left w:w="115" w:type="dxa"/>
              <w:right w:w="115" w:type="dxa"/>
            </w:tcMar>
            <w:vAlign w:val="bottom"/>
          </w:tcPr>
          <w:p w14:paraId="1C8B5992" w14:textId="77777777" w:rsidR="003F0EEA" w:rsidRPr="00D403DC" w:rsidRDefault="003F0EEA">
            <w:pPr>
              <w:jc w:val="right"/>
              <w:rPr>
                <w:rFonts w:ascii="Arial" w:eastAsia="Arial" w:hAnsi="Arial" w:cs="Arial"/>
                <w:b/>
                <w:color w:val="000000"/>
                <w:sz w:val="16"/>
                <w:vertAlign w:val="superscript"/>
              </w:rPr>
            </w:pPr>
          </w:p>
        </w:tc>
        <w:tc>
          <w:tcPr>
            <w:tcW w:w="1005" w:type="dxa"/>
            <w:tcBorders>
              <w:top w:val="nil"/>
              <w:left w:val="nil"/>
              <w:bottom w:val="nil"/>
              <w:right w:val="nil"/>
              <w:tl2br w:val="nil"/>
              <w:tr2bl w:val="nil"/>
            </w:tcBorders>
            <w:shd w:val="clear" w:color="auto" w:fill="FFFFFF"/>
            <w:tcMar>
              <w:left w:w="115" w:type="dxa"/>
              <w:right w:w="115" w:type="dxa"/>
            </w:tcMar>
            <w:vAlign w:val="bottom"/>
          </w:tcPr>
          <w:p w14:paraId="28F7E88B" w14:textId="77777777" w:rsidR="003F0EEA" w:rsidRPr="00D403DC" w:rsidRDefault="003F0EEA">
            <w:pPr>
              <w:jc w:val="right"/>
              <w:rPr>
                <w:rFonts w:ascii="Arial" w:eastAsia="Arial" w:hAnsi="Arial" w:cs="Arial"/>
                <w:b/>
                <w:color w:val="000000"/>
                <w:sz w:val="16"/>
                <w:vertAlign w:val="superscript"/>
              </w:rPr>
            </w:pPr>
          </w:p>
        </w:tc>
        <w:tc>
          <w:tcPr>
            <w:tcW w:w="1005" w:type="dxa"/>
            <w:tcBorders>
              <w:top w:val="nil"/>
              <w:left w:val="nil"/>
              <w:bottom w:val="nil"/>
              <w:right w:val="nil"/>
              <w:tl2br w:val="nil"/>
              <w:tr2bl w:val="nil"/>
            </w:tcBorders>
            <w:shd w:val="clear" w:color="auto" w:fill="FFFF00"/>
            <w:tcMar>
              <w:left w:w="115" w:type="dxa"/>
              <w:right w:w="115" w:type="dxa"/>
            </w:tcMar>
            <w:vAlign w:val="bottom"/>
          </w:tcPr>
          <w:p w14:paraId="49A0E04E" w14:textId="77777777" w:rsidR="003F0EEA" w:rsidRPr="00D403DC" w:rsidRDefault="003F0EEA">
            <w:pPr>
              <w:jc w:val="right"/>
              <w:rPr>
                <w:rFonts w:ascii="Arial" w:eastAsia="Arial" w:hAnsi="Arial" w:cs="Arial"/>
                <w:b/>
                <w:color w:val="000000"/>
                <w:sz w:val="16"/>
                <w:vertAlign w:val="superscript"/>
              </w:rPr>
            </w:pPr>
          </w:p>
        </w:tc>
      </w:tr>
      <w:tr w:rsidR="00724034" w14:paraId="1193BE4F" w14:textId="77777777">
        <w:trPr>
          <w:trHeight w:val="225"/>
        </w:trPr>
        <w:tc>
          <w:tcPr>
            <w:tcW w:w="180" w:type="dxa"/>
            <w:tcBorders>
              <w:top w:val="nil"/>
              <w:left w:val="nil"/>
              <w:bottom w:val="nil"/>
              <w:right w:val="nil"/>
              <w:tl2br w:val="nil"/>
              <w:tr2bl w:val="nil"/>
            </w:tcBorders>
            <w:shd w:val="clear" w:color="auto" w:fill="FFFFFF"/>
            <w:tcMar>
              <w:left w:w="115" w:type="dxa"/>
              <w:right w:w="115" w:type="dxa"/>
            </w:tcMar>
            <w:vAlign w:val="bottom"/>
          </w:tcPr>
          <w:p w14:paraId="4E5FD88B" w14:textId="77777777" w:rsidR="003F0EEA" w:rsidRPr="00D403DC" w:rsidRDefault="003F0EEA">
            <w:pPr>
              <w:rPr>
                <w:rFonts w:ascii="Arial" w:eastAsia="Arial" w:hAnsi="Arial" w:cs="Arial"/>
                <w:b/>
                <w:color w:val="000000"/>
                <w:sz w:val="16"/>
                <w:vertAlign w:val="superscript"/>
              </w:rPr>
            </w:pPr>
          </w:p>
        </w:tc>
        <w:tc>
          <w:tcPr>
            <w:tcW w:w="2280" w:type="dxa"/>
            <w:tcBorders>
              <w:top w:val="nil"/>
              <w:left w:val="nil"/>
              <w:bottom w:val="nil"/>
              <w:right w:val="nil"/>
              <w:tl2br w:val="nil"/>
              <w:tr2bl w:val="nil"/>
            </w:tcBorders>
            <w:shd w:val="clear" w:color="auto" w:fill="FFFFFF"/>
            <w:tcMar>
              <w:left w:w="115" w:type="dxa"/>
              <w:right w:w="115" w:type="dxa"/>
            </w:tcMar>
            <w:vAlign w:val="bottom"/>
          </w:tcPr>
          <w:p w14:paraId="4E031FAA" w14:textId="77777777" w:rsidR="003F0EEA" w:rsidRPr="00D403DC" w:rsidRDefault="003F0EEA">
            <w:pPr>
              <w:rPr>
                <w:rFonts w:ascii="Arial" w:eastAsia="Arial" w:hAnsi="Arial" w:cs="Arial"/>
                <w:b/>
                <w:color w:val="000000"/>
                <w:sz w:val="16"/>
                <w:vertAlign w:val="superscript"/>
              </w:rPr>
            </w:pPr>
          </w:p>
        </w:tc>
        <w:tc>
          <w:tcPr>
            <w:tcW w:w="915" w:type="dxa"/>
            <w:tcBorders>
              <w:top w:val="nil"/>
              <w:left w:val="nil"/>
              <w:bottom w:val="nil"/>
              <w:right w:val="nil"/>
              <w:tl2br w:val="nil"/>
              <w:tr2bl w:val="nil"/>
            </w:tcBorders>
            <w:shd w:val="clear" w:color="auto" w:fill="FFFFFF"/>
            <w:tcMar>
              <w:left w:w="115" w:type="dxa"/>
              <w:right w:w="115" w:type="dxa"/>
            </w:tcMar>
            <w:vAlign w:val="bottom"/>
          </w:tcPr>
          <w:p w14:paraId="68E2AE6C" w14:textId="77777777" w:rsidR="003F0EEA" w:rsidRPr="00D403DC" w:rsidRDefault="003F0EEA">
            <w:pPr>
              <w:jc w:val="center"/>
              <w:rPr>
                <w:rFonts w:ascii="Arial" w:eastAsia="Arial" w:hAnsi="Arial" w:cs="Arial"/>
                <w:b/>
                <w:color w:val="000000"/>
                <w:sz w:val="16"/>
                <w:vertAlign w:val="superscript"/>
              </w:rPr>
            </w:pPr>
          </w:p>
        </w:tc>
        <w:tc>
          <w:tcPr>
            <w:tcW w:w="1005" w:type="dxa"/>
            <w:tcBorders>
              <w:top w:val="nil"/>
              <w:left w:val="nil"/>
              <w:bottom w:val="nil"/>
              <w:right w:val="nil"/>
              <w:tl2br w:val="nil"/>
              <w:tr2bl w:val="nil"/>
            </w:tcBorders>
            <w:shd w:val="clear" w:color="auto" w:fill="FFFF00"/>
            <w:tcMar>
              <w:left w:w="115" w:type="dxa"/>
              <w:right w:w="115" w:type="dxa"/>
            </w:tcMar>
            <w:vAlign w:val="bottom"/>
          </w:tcPr>
          <w:p w14:paraId="5B4A5420" w14:textId="77777777" w:rsidR="003F0EEA" w:rsidRPr="00D403DC" w:rsidRDefault="003F0EEA">
            <w:pPr>
              <w:jc w:val="right"/>
              <w:rPr>
                <w:rFonts w:ascii="Arial" w:eastAsia="Arial" w:hAnsi="Arial" w:cs="Arial"/>
                <w:color w:val="000000"/>
                <w:sz w:val="16"/>
                <w:vertAlign w:val="superscript"/>
              </w:rPr>
            </w:pPr>
          </w:p>
        </w:tc>
        <w:tc>
          <w:tcPr>
            <w:tcW w:w="1005" w:type="dxa"/>
            <w:tcBorders>
              <w:top w:val="nil"/>
              <w:left w:val="nil"/>
              <w:bottom w:val="nil"/>
              <w:right w:val="nil"/>
              <w:tl2br w:val="nil"/>
              <w:tr2bl w:val="nil"/>
            </w:tcBorders>
            <w:shd w:val="clear" w:color="auto" w:fill="FFFFFF"/>
            <w:tcMar>
              <w:left w:w="115" w:type="dxa"/>
              <w:right w:w="115" w:type="dxa"/>
            </w:tcMar>
            <w:vAlign w:val="bottom"/>
          </w:tcPr>
          <w:p w14:paraId="4D8A493C" w14:textId="77777777" w:rsidR="003F0EEA" w:rsidRPr="00D403DC" w:rsidRDefault="003F0EEA">
            <w:pPr>
              <w:jc w:val="right"/>
              <w:rPr>
                <w:rFonts w:ascii="Arial" w:eastAsia="Arial" w:hAnsi="Arial" w:cs="Arial"/>
                <w:b/>
                <w:color w:val="000000"/>
                <w:sz w:val="16"/>
                <w:vertAlign w:val="superscript"/>
              </w:rPr>
            </w:pPr>
          </w:p>
        </w:tc>
        <w:tc>
          <w:tcPr>
            <w:tcW w:w="1005" w:type="dxa"/>
            <w:tcBorders>
              <w:top w:val="nil"/>
              <w:left w:val="nil"/>
              <w:bottom w:val="nil"/>
              <w:right w:val="nil"/>
              <w:tl2br w:val="nil"/>
              <w:tr2bl w:val="nil"/>
            </w:tcBorders>
            <w:shd w:val="clear" w:color="auto" w:fill="FFFF00"/>
            <w:tcMar>
              <w:left w:w="115" w:type="dxa"/>
              <w:right w:w="115" w:type="dxa"/>
            </w:tcMar>
            <w:vAlign w:val="bottom"/>
          </w:tcPr>
          <w:p w14:paraId="4D285511" w14:textId="77777777" w:rsidR="003F0EEA" w:rsidRPr="00D403DC" w:rsidRDefault="003F0EEA">
            <w:pPr>
              <w:jc w:val="right"/>
              <w:rPr>
                <w:rFonts w:ascii="Arial" w:eastAsia="Arial" w:hAnsi="Arial" w:cs="Arial"/>
                <w:b/>
                <w:color w:val="000000"/>
                <w:sz w:val="16"/>
                <w:vertAlign w:val="superscript"/>
              </w:rPr>
            </w:pPr>
          </w:p>
        </w:tc>
        <w:tc>
          <w:tcPr>
            <w:tcW w:w="1005" w:type="dxa"/>
            <w:tcBorders>
              <w:top w:val="nil"/>
              <w:left w:val="nil"/>
              <w:bottom w:val="nil"/>
              <w:right w:val="nil"/>
              <w:tl2br w:val="nil"/>
              <w:tr2bl w:val="nil"/>
            </w:tcBorders>
            <w:shd w:val="clear" w:color="auto" w:fill="FFFFFF"/>
            <w:tcMar>
              <w:left w:w="115" w:type="dxa"/>
              <w:right w:w="115" w:type="dxa"/>
            </w:tcMar>
            <w:vAlign w:val="bottom"/>
          </w:tcPr>
          <w:p w14:paraId="1F5457F3" w14:textId="77777777" w:rsidR="003F0EEA" w:rsidRPr="00D403DC" w:rsidRDefault="003F0EEA">
            <w:pPr>
              <w:jc w:val="right"/>
              <w:rPr>
                <w:rFonts w:ascii="Arial" w:eastAsia="Arial" w:hAnsi="Arial" w:cs="Arial"/>
                <w:b/>
                <w:color w:val="000000"/>
                <w:sz w:val="16"/>
                <w:vertAlign w:val="superscript"/>
              </w:rPr>
            </w:pPr>
          </w:p>
        </w:tc>
        <w:tc>
          <w:tcPr>
            <w:tcW w:w="1005" w:type="dxa"/>
            <w:tcBorders>
              <w:top w:val="nil"/>
              <w:left w:val="nil"/>
              <w:bottom w:val="nil"/>
              <w:right w:val="nil"/>
              <w:tl2br w:val="nil"/>
              <w:tr2bl w:val="nil"/>
            </w:tcBorders>
            <w:shd w:val="clear" w:color="auto" w:fill="FFFF00"/>
            <w:tcMar>
              <w:left w:w="115" w:type="dxa"/>
              <w:right w:w="115" w:type="dxa"/>
            </w:tcMar>
            <w:vAlign w:val="bottom"/>
          </w:tcPr>
          <w:p w14:paraId="01BED8E7" w14:textId="77777777" w:rsidR="003F0EEA" w:rsidRPr="00D403DC" w:rsidRDefault="003F0EEA">
            <w:pPr>
              <w:jc w:val="right"/>
              <w:rPr>
                <w:rFonts w:ascii="Arial" w:eastAsia="Arial" w:hAnsi="Arial" w:cs="Arial"/>
                <w:b/>
                <w:color w:val="000000"/>
                <w:sz w:val="16"/>
                <w:vertAlign w:val="superscript"/>
              </w:rPr>
            </w:pPr>
          </w:p>
        </w:tc>
      </w:tr>
      <w:tr w:rsidR="00FB7D0B" w14:paraId="77CCDAB0" w14:textId="77777777" w:rsidTr="00FB7D0B">
        <w:trPr>
          <w:trHeight w:val="435"/>
        </w:trPr>
        <w:tc>
          <w:tcPr>
            <w:tcW w:w="2460" w:type="dxa"/>
            <w:gridSpan w:val="2"/>
            <w:tcBorders>
              <w:top w:val="nil"/>
              <w:left w:val="nil"/>
              <w:bottom w:val="nil"/>
              <w:right w:val="nil"/>
              <w:tl2br w:val="nil"/>
              <w:tr2bl w:val="nil"/>
            </w:tcBorders>
            <w:shd w:val="clear" w:color="auto" w:fill="FFFFFF"/>
            <w:tcMar>
              <w:left w:w="115" w:type="dxa"/>
              <w:right w:w="115" w:type="dxa"/>
            </w:tcMar>
            <w:vAlign w:val="bottom"/>
          </w:tcPr>
          <w:p w14:paraId="6BF88C81" w14:textId="77777777" w:rsidR="003F0EEA" w:rsidRPr="00D403DC" w:rsidRDefault="00FB7D0B">
            <w:pPr>
              <w:rPr>
                <w:rFonts w:ascii="Arial" w:eastAsia="Arial" w:hAnsi="Arial" w:cs="Arial"/>
                <w:b/>
                <w:color w:val="000000"/>
                <w:sz w:val="16"/>
                <w:vertAlign w:val="superscript"/>
              </w:rPr>
            </w:pPr>
            <w:r w:rsidRPr="00D403DC">
              <w:rPr>
                <w:rFonts w:ascii="Arial" w:eastAsia="Arial" w:hAnsi="Arial" w:cs="Arial"/>
                <w:color w:val="000000"/>
                <w:sz w:val="16"/>
              </w:rPr>
              <w:t>Dental and Allied Health Provider Fees - defer and align indexation</w:t>
            </w:r>
          </w:p>
        </w:tc>
        <w:tc>
          <w:tcPr>
            <w:tcW w:w="915" w:type="dxa"/>
            <w:tcBorders>
              <w:top w:val="nil"/>
              <w:left w:val="nil"/>
              <w:bottom w:val="nil"/>
              <w:right w:val="nil"/>
              <w:tl2br w:val="nil"/>
              <w:tr2bl w:val="nil"/>
            </w:tcBorders>
            <w:shd w:val="clear" w:color="auto" w:fill="FFFFFF"/>
            <w:tcMar>
              <w:left w:w="115" w:type="dxa"/>
              <w:right w:w="115" w:type="dxa"/>
            </w:tcMar>
            <w:vAlign w:val="bottom"/>
          </w:tcPr>
          <w:p w14:paraId="39331D5C" w14:textId="77777777" w:rsidR="003F0EEA" w:rsidRPr="00D403DC" w:rsidRDefault="00FB7D0B">
            <w:pPr>
              <w:jc w:val="center"/>
              <w:rPr>
                <w:rFonts w:ascii="Arial" w:eastAsia="Arial" w:hAnsi="Arial" w:cs="Arial"/>
                <w:color w:val="000000"/>
                <w:sz w:val="16"/>
                <w:vertAlign w:val="superscript"/>
              </w:rPr>
            </w:pPr>
            <w:r w:rsidRPr="00D403DC">
              <w:rPr>
                <w:rFonts w:ascii="Arial" w:eastAsia="Arial" w:hAnsi="Arial" w:cs="Arial"/>
                <w:color w:val="000000"/>
                <w:sz w:val="16"/>
              </w:rPr>
              <w:t>2.1, 2.5</w:t>
            </w:r>
          </w:p>
        </w:tc>
        <w:tc>
          <w:tcPr>
            <w:tcW w:w="1005" w:type="dxa"/>
            <w:tcBorders>
              <w:top w:val="nil"/>
              <w:left w:val="nil"/>
              <w:bottom w:val="nil"/>
              <w:right w:val="nil"/>
              <w:tl2br w:val="nil"/>
              <w:tr2bl w:val="nil"/>
            </w:tcBorders>
            <w:shd w:val="clear" w:color="auto" w:fill="FFFF00"/>
            <w:tcMar>
              <w:left w:w="115" w:type="dxa"/>
              <w:right w:w="115" w:type="dxa"/>
            </w:tcMar>
            <w:vAlign w:val="bottom"/>
          </w:tcPr>
          <w:p w14:paraId="78FA2CDB" w14:textId="77777777" w:rsidR="003F0EEA" w:rsidRPr="00D403DC" w:rsidRDefault="003F0EEA">
            <w:pPr>
              <w:jc w:val="right"/>
              <w:rPr>
                <w:rFonts w:ascii="Arial" w:eastAsia="Arial" w:hAnsi="Arial" w:cs="Arial"/>
                <w:color w:val="000000"/>
                <w:sz w:val="16"/>
              </w:rPr>
            </w:pPr>
          </w:p>
        </w:tc>
        <w:tc>
          <w:tcPr>
            <w:tcW w:w="1005" w:type="dxa"/>
            <w:tcBorders>
              <w:top w:val="nil"/>
              <w:left w:val="nil"/>
              <w:bottom w:val="nil"/>
              <w:right w:val="nil"/>
              <w:tl2br w:val="nil"/>
              <w:tr2bl w:val="nil"/>
            </w:tcBorders>
            <w:shd w:val="clear" w:color="auto" w:fill="FFFFFF"/>
            <w:tcMar>
              <w:left w:w="115" w:type="dxa"/>
              <w:right w:w="115" w:type="dxa"/>
            </w:tcMar>
            <w:vAlign w:val="bottom"/>
          </w:tcPr>
          <w:p w14:paraId="3097D6FA" w14:textId="77777777" w:rsidR="003F0EEA" w:rsidRPr="00D403DC" w:rsidRDefault="003F0EEA">
            <w:pPr>
              <w:jc w:val="right"/>
              <w:rPr>
                <w:rFonts w:ascii="Arial" w:eastAsia="Arial" w:hAnsi="Arial" w:cs="Arial"/>
                <w:color w:val="000000"/>
                <w:sz w:val="16"/>
              </w:rPr>
            </w:pPr>
          </w:p>
        </w:tc>
        <w:tc>
          <w:tcPr>
            <w:tcW w:w="1005" w:type="dxa"/>
            <w:tcBorders>
              <w:top w:val="nil"/>
              <w:left w:val="nil"/>
              <w:bottom w:val="nil"/>
              <w:right w:val="nil"/>
              <w:tl2br w:val="nil"/>
              <w:tr2bl w:val="nil"/>
            </w:tcBorders>
            <w:shd w:val="clear" w:color="auto" w:fill="FFFF00"/>
            <w:tcMar>
              <w:left w:w="115" w:type="dxa"/>
              <w:right w:w="115" w:type="dxa"/>
            </w:tcMar>
            <w:vAlign w:val="bottom"/>
          </w:tcPr>
          <w:p w14:paraId="4C1F13C1" w14:textId="77777777" w:rsidR="003F0EEA" w:rsidRPr="00D403DC" w:rsidRDefault="003F0EEA">
            <w:pPr>
              <w:jc w:val="right"/>
              <w:rPr>
                <w:rFonts w:ascii="Arial" w:eastAsia="Arial" w:hAnsi="Arial" w:cs="Arial"/>
                <w:color w:val="000000"/>
                <w:sz w:val="16"/>
              </w:rPr>
            </w:pPr>
          </w:p>
        </w:tc>
        <w:tc>
          <w:tcPr>
            <w:tcW w:w="1005" w:type="dxa"/>
            <w:tcBorders>
              <w:top w:val="nil"/>
              <w:left w:val="nil"/>
              <w:bottom w:val="nil"/>
              <w:right w:val="nil"/>
              <w:tl2br w:val="nil"/>
              <w:tr2bl w:val="nil"/>
            </w:tcBorders>
            <w:shd w:val="clear" w:color="auto" w:fill="FFFFFF"/>
            <w:tcMar>
              <w:left w:w="115" w:type="dxa"/>
              <w:right w:w="115" w:type="dxa"/>
            </w:tcMar>
            <w:vAlign w:val="bottom"/>
          </w:tcPr>
          <w:p w14:paraId="5F45B245" w14:textId="77777777" w:rsidR="003F0EEA" w:rsidRPr="00D403DC" w:rsidRDefault="003F0EEA">
            <w:pPr>
              <w:jc w:val="right"/>
              <w:rPr>
                <w:rFonts w:ascii="Arial" w:eastAsia="Arial" w:hAnsi="Arial" w:cs="Arial"/>
                <w:color w:val="000000"/>
                <w:sz w:val="16"/>
              </w:rPr>
            </w:pPr>
          </w:p>
        </w:tc>
        <w:tc>
          <w:tcPr>
            <w:tcW w:w="1005" w:type="dxa"/>
            <w:tcBorders>
              <w:top w:val="nil"/>
              <w:left w:val="nil"/>
              <w:bottom w:val="nil"/>
              <w:right w:val="nil"/>
              <w:tl2br w:val="nil"/>
              <w:tr2bl w:val="nil"/>
            </w:tcBorders>
            <w:shd w:val="clear" w:color="auto" w:fill="FFFF00"/>
            <w:tcMar>
              <w:left w:w="115" w:type="dxa"/>
              <w:right w:w="115" w:type="dxa"/>
            </w:tcMar>
            <w:vAlign w:val="bottom"/>
          </w:tcPr>
          <w:p w14:paraId="0FD4F522" w14:textId="77777777" w:rsidR="003F0EEA" w:rsidRPr="00D403DC" w:rsidRDefault="003F0EEA">
            <w:pPr>
              <w:jc w:val="right"/>
              <w:rPr>
                <w:rFonts w:ascii="Arial" w:eastAsia="Arial" w:hAnsi="Arial" w:cs="Arial"/>
                <w:color w:val="000000"/>
                <w:sz w:val="16"/>
              </w:rPr>
            </w:pPr>
          </w:p>
        </w:tc>
      </w:tr>
      <w:tr w:rsidR="00724034" w14:paraId="1BBEA911" w14:textId="77777777">
        <w:trPr>
          <w:trHeight w:val="225"/>
        </w:trPr>
        <w:tc>
          <w:tcPr>
            <w:tcW w:w="180" w:type="dxa"/>
            <w:tcBorders>
              <w:top w:val="nil"/>
              <w:left w:val="nil"/>
              <w:bottom w:val="nil"/>
              <w:right w:val="nil"/>
              <w:tl2br w:val="nil"/>
              <w:tr2bl w:val="nil"/>
            </w:tcBorders>
            <w:shd w:val="clear" w:color="auto" w:fill="FFFFFF"/>
            <w:tcMar>
              <w:left w:w="115" w:type="dxa"/>
              <w:right w:w="115" w:type="dxa"/>
            </w:tcMar>
            <w:vAlign w:val="bottom"/>
          </w:tcPr>
          <w:p w14:paraId="08EE7AC4" w14:textId="77777777" w:rsidR="003F0EEA" w:rsidRPr="00D403DC" w:rsidRDefault="003F0EEA">
            <w:pPr>
              <w:rPr>
                <w:rFonts w:ascii="Arial" w:eastAsia="Arial" w:hAnsi="Arial" w:cs="Arial"/>
                <w:color w:val="000000"/>
                <w:sz w:val="16"/>
              </w:rPr>
            </w:pPr>
          </w:p>
        </w:tc>
        <w:tc>
          <w:tcPr>
            <w:tcW w:w="2280" w:type="dxa"/>
            <w:tcBorders>
              <w:top w:val="nil"/>
              <w:left w:val="nil"/>
              <w:bottom w:val="nil"/>
              <w:right w:val="nil"/>
              <w:tl2br w:val="nil"/>
              <w:tr2bl w:val="nil"/>
            </w:tcBorders>
            <w:shd w:val="clear" w:color="auto" w:fill="FFFFFF"/>
            <w:tcMar>
              <w:left w:w="115" w:type="dxa"/>
              <w:right w:w="115" w:type="dxa"/>
            </w:tcMar>
            <w:vAlign w:val="bottom"/>
          </w:tcPr>
          <w:p w14:paraId="3FE8692D" w14:textId="77777777" w:rsidR="003F0EEA" w:rsidRPr="00D403DC" w:rsidRDefault="00FB7D0B">
            <w:pPr>
              <w:rPr>
                <w:rFonts w:ascii="Arial" w:eastAsia="Arial" w:hAnsi="Arial" w:cs="Arial"/>
                <w:color w:val="000000"/>
                <w:sz w:val="16"/>
              </w:rPr>
            </w:pPr>
            <w:r w:rsidRPr="00D403DC">
              <w:rPr>
                <w:rFonts w:ascii="Arial" w:eastAsia="Arial" w:hAnsi="Arial" w:cs="Arial"/>
                <w:color w:val="000000"/>
                <w:sz w:val="16"/>
              </w:rPr>
              <w:t>Administered expenses</w:t>
            </w:r>
          </w:p>
        </w:tc>
        <w:tc>
          <w:tcPr>
            <w:tcW w:w="915" w:type="dxa"/>
            <w:tcBorders>
              <w:top w:val="nil"/>
              <w:left w:val="nil"/>
              <w:bottom w:val="nil"/>
              <w:right w:val="nil"/>
              <w:tl2br w:val="nil"/>
              <w:tr2bl w:val="nil"/>
            </w:tcBorders>
            <w:shd w:val="clear" w:color="auto" w:fill="FFFFFF"/>
            <w:tcMar>
              <w:left w:w="115" w:type="dxa"/>
              <w:right w:w="115" w:type="dxa"/>
            </w:tcMar>
            <w:vAlign w:val="bottom"/>
          </w:tcPr>
          <w:p w14:paraId="5217B11F" w14:textId="77777777" w:rsidR="003F0EEA" w:rsidRPr="00D403DC" w:rsidRDefault="003F0EEA">
            <w:pPr>
              <w:jc w:val="center"/>
              <w:rPr>
                <w:rFonts w:ascii="Arial" w:eastAsia="Arial" w:hAnsi="Arial" w:cs="Arial"/>
                <w:color w:val="000000"/>
                <w:sz w:val="16"/>
                <w:vertAlign w:val="superscript"/>
              </w:rPr>
            </w:pPr>
          </w:p>
        </w:tc>
        <w:tc>
          <w:tcPr>
            <w:tcW w:w="1005" w:type="dxa"/>
            <w:tcBorders>
              <w:top w:val="nil"/>
              <w:left w:val="nil"/>
              <w:bottom w:val="nil"/>
              <w:right w:val="nil"/>
              <w:tl2br w:val="nil"/>
              <w:tr2bl w:val="nil"/>
            </w:tcBorders>
            <w:shd w:val="clear" w:color="auto" w:fill="FFFF00"/>
            <w:tcMar>
              <w:left w:w="115" w:type="dxa"/>
              <w:right w:w="115" w:type="dxa"/>
            </w:tcMar>
            <w:vAlign w:val="bottom"/>
          </w:tcPr>
          <w:p w14:paraId="71F2E0EE" w14:textId="77777777" w:rsidR="003F0EEA" w:rsidRPr="00D403DC" w:rsidRDefault="00FB7D0B">
            <w:pPr>
              <w:jc w:val="right"/>
              <w:rPr>
                <w:rFonts w:ascii="Arial" w:eastAsia="Arial" w:hAnsi="Arial" w:cs="Arial"/>
                <w:color w:val="000000"/>
                <w:sz w:val="16"/>
                <w:vertAlign w:val="superscript"/>
              </w:rPr>
            </w:pPr>
            <w:r w:rsidRPr="00D403DC">
              <w:rPr>
                <w:rFonts w:ascii="Arial" w:eastAsia="Arial" w:hAnsi="Arial" w:cs="Arial"/>
                <w:color w:val="000000"/>
                <w:sz w:val="16"/>
              </w:rPr>
              <w:t xml:space="preserve"> - </w:t>
            </w:r>
          </w:p>
        </w:tc>
        <w:tc>
          <w:tcPr>
            <w:tcW w:w="1005" w:type="dxa"/>
            <w:tcBorders>
              <w:top w:val="nil"/>
              <w:left w:val="nil"/>
              <w:bottom w:val="nil"/>
              <w:right w:val="nil"/>
              <w:tl2br w:val="nil"/>
              <w:tr2bl w:val="nil"/>
            </w:tcBorders>
            <w:shd w:val="clear" w:color="auto" w:fill="FFFFFF"/>
            <w:tcMar>
              <w:left w:w="115" w:type="dxa"/>
              <w:right w:w="115" w:type="dxa"/>
            </w:tcMar>
            <w:vAlign w:val="bottom"/>
          </w:tcPr>
          <w:p w14:paraId="0DABEF2B" w14:textId="77777777" w:rsidR="003F0EEA" w:rsidRPr="00D403DC" w:rsidRDefault="00FB7D0B">
            <w:pPr>
              <w:jc w:val="right"/>
              <w:rPr>
                <w:rFonts w:ascii="Arial" w:eastAsia="Arial" w:hAnsi="Arial" w:cs="Arial"/>
                <w:color w:val="000000"/>
                <w:sz w:val="16"/>
              </w:rPr>
            </w:pPr>
            <w:r w:rsidRPr="00D403DC">
              <w:rPr>
                <w:rFonts w:ascii="Arial" w:eastAsia="Arial" w:hAnsi="Arial" w:cs="Arial"/>
                <w:color w:val="000000"/>
                <w:sz w:val="16"/>
              </w:rPr>
              <w:t>(4,429)</w:t>
            </w:r>
          </w:p>
        </w:tc>
        <w:tc>
          <w:tcPr>
            <w:tcW w:w="1005" w:type="dxa"/>
            <w:tcBorders>
              <w:top w:val="nil"/>
              <w:left w:val="nil"/>
              <w:bottom w:val="nil"/>
              <w:right w:val="nil"/>
              <w:tl2br w:val="nil"/>
              <w:tr2bl w:val="nil"/>
            </w:tcBorders>
            <w:shd w:val="clear" w:color="auto" w:fill="FFFF00"/>
            <w:tcMar>
              <w:left w:w="115" w:type="dxa"/>
              <w:right w:w="115" w:type="dxa"/>
            </w:tcMar>
            <w:vAlign w:val="bottom"/>
          </w:tcPr>
          <w:p w14:paraId="1802FCE5" w14:textId="77777777" w:rsidR="003F0EEA" w:rsidRPr="00D403DC" w:rsidRDefault="00FB7D0B">
            <w:pPr>
              <w:jc w:val="right"/>
              <w:rPr>
                <w:rFonts w:ascii="Arial" w:eastAsia="Arial" w:hAnsi="Arial" w:cs="Arial"/>
                <w:color w:val="000000"/>
                <w:sz w:val="16"/>
              </w:rPr>
            </w:pPr>
            <w:r w:rsidRPr="00D403DC">
              <w:rPr>
                <w:rFonts w:ascii="Arial" w:eastAsia="Arial" w:hAnsi="Arial" w:cs="Arial"/>
                <w:color w:val="000000"/>
                <w:sz w:val="16"/>
              </w:rPr>
              <w:t>(9,433)</w:t>
            </w:r>
          </w:p>
        </w:tc>
        <w:tc>
          <w:tcPr>
            <w:tcW w:w="1005" w:type="dxa"/>
            <w:tcBorders>
              <w:top w:val="nil"/>
              <w:left w:val="nil"/>
              <w:bottom w:val="nil"/>
              <w:right w:val="nil"/>
              <w:tl2br w:val="nil"/>
              <w:tr2bl w:val="nil"/>
            </w:tcBorders>
            <w:shd w:val="clear" w:color="auto" w:fill="FFFFFF"/>
            <w:tcMar>
              <w:left w:w="115" w:type="dxa"/>
              <w:right w:w="115" w:type="dxa"/>
            </w:tcMar>
            <w:vAlign w:val="bottom"/>
          </w:tcPr>
          <w:p w14:paraId="45ACA07A" w14:textId="77777777" w:rsidR="003F0EEA" w:rsidRPr="00D403DC" w:rsidRDefault="00FB7D0B">
            <w:pPr>
              <w:jc w:val="right"/>
              <w:rPr>
                <w:rFonts w:ascii="Arial" w:eastAsia="Arial" w:hAnsi="Arial" w:cs="Arial"/>
                <w:color w:val="000000"/>
                <w:sz w:val="16"/>
              </w:rPr>
            </w:pPr>
            <w:r w:rsidRPr="00D403DC">
              <w:rPr>
                <w:rFonts w:ascii="Arial" w:eastAsia="Arial" w:hAnsi="Arial" w:cs="Arial"/>
                <w:color w:val="000000"/>
                <w:sz w:val="16"/>
              </w:rPr>
              <w:t>(9,035)</w:t>
            </w:r>
          </w:p>
        </w:tc>
        <w:tc>
          <w:tcPr>
            <w:tcW w:w="1005" w:type="dxa"/>
            <w:tcBorders>
              <w:top w:val="nil"/>
              <w:left w:val="nil"/>
              <w:bottom w:val="nil"/>
              <w:right w:val="nil"/>
              <w:tl2br w:val="nil"/>
              <w:tr2bl w:val="nil"/>
            </w:tcBorders>
            <w:shd w:val="clear" w:color="auto" w:fill="FFFF00"/>
            <w:tcMar>
              <w:left w:w="115" w:type="dxa"/>
              <w:right w:w="115" w:type="dxa"/>
            </w:tcMar>
            <w:vAlign w:val="bottom"/>
          </w:tcPr>
          <w:p w14:paraId="0A954682" w14:textId="77777777" w:rsidR="003F0EEA" w:rsidRPr="00D403DC" w:rsidRDefault="00FB7D0B">
            <w:pPr>
              <w:jc w:val="right"/>
              <w:rPr>
                <w:rFonts w:ascii="Arial" w:eastAsia="Arial" w:hAnsi="Arial" w:cs="Arial"/>
                <w:color w:val="000000"/>
                <w:sz w:val="16"/>
              </w:rPr>
            </w:pPr>
            <w:r w:rsidRPr="00D403DC">
              <w:rPr>
                <w:rFonts w:ascii="Arial" w:eastAsia="Arial" w:hAnsi="Arial" w:cs="Arial"/>
                <w:color w:val="000000"/>
                <w:sz w:val="16"/>
              </w:rPr>
              <w:t>(12,830)</w:t>
            </w:r>
          </w:p>
        </w:tc>
      </w:tr>
      <w:tr w:rsidR="00724034" w14:paraId="50CEE330" w14:textId="77777777">
        <w:trPr>
          <w:trHeight w:val="225"/>
        </w:trPr>
        <w:tc>
          <w:tcPr>
            <w:tcW w:w="180" w:type="dxa"/>
            <w:tcBorders>
              <w:top w:val="nil"/>
              <w:left w:val="nil"/>
              <w:bottom w:val="nil"/>
              <w:right w:val="nil"/>
              <w:tl2br w:val="nil"/>
              <w:tr2bl w:val="nil"/>
            </w:tcBorders>
            <w:shd w:val="clear" w:color="auto" w:fill="FFFFFF"/>
            <w:tcMar>
              <w:left w:w="115" w:type="dxa"/>
              <w:right w:w="115" w:type="dxa"/>
            </w:tcMar>
            <w:vAlign w:val="bottom"/>
          </w:tcPr>
          <w:p w14:paraId="7C68C1B8" w14:textId="77777777" w:rsidR="003F0EEA" w:rsidRPr="00D403DC" w:rsidRDefault="003F0EEA">
            <w:pPr>
              <w:rPr>
                <w:rFonts w:ascii="Arial" w:eastAsia="Arial" w:hAnsi="Arial" w:cs="Arial"/>
                <w:color w:val="000000"/>
                <w:sz w:val="16"/>
              </w:rPr>
            </w:pPr>
          </w:p>
        </w:tc>
        <w:tc>
          <w:tcPr>
            <w:tcW w:w="2280" w:type="dxa"/>
            <w:tcBorders>
              <w:top w:val="nil"/>
              <w:left w:val="nil"/>
              <w:bottom w:val="nil"/>
              <w:right w:val="nil"/>
              <w:tl2br w:val="nil"/>
              <w:tr2bl w:val="nil"/>
            </w:tcBorders>
            <w:shd w:val="clear" w:color="auto" w:fill="FFFFFF"/>
            <w:tcMar>
              <w:left w:w="115" w:type="dxa"/>
              <w:right w:w="115" w:type="dxa"/>
            </w:tcMar>
            <w:vAlign w:val="bottom"/>
          </w:tcPr>
          <w:p w14:paraId="59DCBA29" w14:textId="77777777" w:rsidR="003F0EEA" w:rsidRPr="00D403DC" w:rsidRDefault="00FB7D0B">
            <w:pPr>
              <w:rPr>
                <w:rFonts w:ascii="Arial" w:eastAsia="Arial" w:hAnsi="Arial" w:cs="Arial"/>
                <w:color w:val="000000"/>
                <w:sz w:val="16"/>
              </w:rPr>
            </w:pPr>
            <w:r w:rsidRPr="00D403DC">
              <w:rPr>
                <w:rFonts w:ascii="Arial" w:eastAsia="Arial" w:hAnsi="Arial" w:cs="Arial"/>
                <w:color w:val="000000"/>
                <w:sz w:val="16"/>
              </w:rPr>
              <w:t>Departmental expenses</w:t>
            </w:r>
          </w:p>
        </w:tc>
        <w:tc>
          <w:tcPr>
            <w:tcW w:w="915" w:type="dxa"/>
            <w:tcBorders>
              <w:top w:val="nil"/>
              <w:left w:val="nil"/>
              <w:bottom w:val="nil"/>
              <w:right w:val="nil"/>
              <w:tl2br w:val="nil"/>
              <w:tr2bl w:val="nil"/>
            </w:tcBorders>
            <w:shd w:val="clear" w:color="auto" w:fill="FFFFFF"/>
            <w:tcMar>
              <w:left w:w="115" w:type="dxa"/>
              <w:right w:w="115" w:type="dxa"/>
            </w:tcMar>
            <w:vAlign w:val="bottom"/>
          </w:tcPr>
          <w:p w14:paraId="03DE9CBA" w14:textId="77777777" w:rsidR="003F0EEA" w:rsidRPr="00D403DC" w:rsidRDefault="003F0EEA">
            <w:pPr>
              <w:jc w:val="center"/>
              <w:rPr>
                <w:rFonts w:ascii="Arial" w:eastAsia="Arial" w:hAnsi="Arial" w:cs="Arial"/>
                <w:color w:val="000000"/>
                <w:sz w:val="16"/>
                <w:vertAlign w:val="superscript"/>
              </w:rPr>
            </w:pPr>
          </w:p>
        </w:tc>
        <w:tc>
          <w:tcPr>
            <w:tcW w:w="1005" w:type="dxa"/>
            <w:tcBorders>
              <w:top w:val="nil"/>
              <w:left w:val="nil"/>
              <w:bottom w:val="nil"/>
              <w:right w:val="nil"/>
              <w:tl2br w:val="nil"/>
              <w:tr2bl w:val="nil"/>
            </w:tcBorders>
            <w:shd w:val="clear" w:color="auto" w:fill="FFFF00"/>
            <w:tcMar>
              <w:left w:w="115" w:type="dxa"/>
              <w:right w:w="115" w:type="dxa"/>
            </w:tcMar>
            <w:vAlign w:val="bottom"/>
          </w:tcPr>
          <w:p w14:paraId="0E2F3948" w14:textId="77777777" w:rsidR="003F0EEA" w:rsidRPr="00D403DC" w:rsidRDefault="00FB7D0B">
            <w:pPr>
              <w:jc w:val="right"/>
              <w:rPr>
                <w:rFonts w:ascii="Arial" w:eastAsia="Arial" w:hAnsi="Arial" w:cs="Arial"/>
                <w:color w:val="000000"/>
                <w:sz w:val="16"/>
                <w:vertAlign w:val="superscript"/>
              </w:rPr>
            </w:pPr>
            <w:r w:rsidRPr="00D403DC">
              <w:rPr>
                <w:rFonts w:ascii="Arial" w:eastAsia="Arial" w:hAnsi="Arial" w:cs="Arial"/>
                <w:color w:val="000000"/>
                <w:sz w:val="16"/>
              </w:rPr>
              <w:t xml:space="preserve"> - </w:t>
            </w:r>
          </w:p>
        </w:tc>
        <w:tc>
          <w:tcPr>
            <w:tcW w:w="1005" w:type="dxa"/>
            <w:tcBorders>
              <w:top w:val="nil"/>
              <w:left w:val="nil"/>
              <w:bottom w:val="nil"/>
              <w:right w:val="nil"/>
              <w:tl2br w:val="nil"/>
              <w:tr2bl w:val="nil"/>
            </w:tcBorders>
            <w:shd w:val="clear" w:color="auto" w:fill="FFFFFF"/>
            <w:tcMar>
              <w:left w:w="115" w:type="dxa"/>
              <w:right w:w="115" w:type="dxa"/>
            </w:tcMar>
            <w:vAlign w:val="bottom"/>
          </w:tcPr>
          <w:p w14:paraId="44B52AFD" w14:textId="77777777" w:rsidR="003F0EEA" w:rsidRPr="00D403DC" w:rsidRDefault="00FB7D0B">
            <w:pPr>
              <w:jc w:val="right"/>
              <w:rPr>
                <w:rFonts w:ascii="Arial" w:eastAsia="Arial" w:hAnsi="Arial" w:cs="Arial"/>
                <w:color w:val="000000"/>
                <w:sz w:val="16"/>
              </w:rPr>
            </w:pPr>
            <w:r w:rsidRPr="00D403DC">
              <w:rPr>
                <w:rFonts w:ascii="Arial" w:eastAsia="Arial" w:hAnsi="Arial" w:cs="Arial"/>
                <w:color w:val="000000"/>
                <w:sz w:val="16"/>
              </w:rPr>
              <w:t xml:space="preserve"> - </w:t>
            </w:r>
          </w:p>
        </w:tc>
        <w:tc>
          <w:tcPr>
            <w:tcW w:w="1005" w:type="dxa"/>
            <w:tcBorders>
              <w:top w:val="nil"/>
              <w:left w:val="nil"/>
              <w:bottom w:val="nil"/>
              <w:right w:val="nil"/>
              <w:tl2br w:val="nil"/>
              <w:tr2bl w:val="nil"/>
            </w:tcBorders>
            <w:shd w:val="clear" w:color="auto" w:fill="FFFF00"/>
            <w:tcMar>
              <w:left w:w="115" w:type="dxa"/>
              <w:right w:w="115" w:type="dxa"/>
            </w:tcMar>
            <w:vAlign w:val="bottom"/>
          </w:tcPr>
          <w:p w14:paraId="753F0FB6" w14:textId="77777777" w:rsidR="003F0EEA" w:rsidRPr="00D403DC" w:rsidRDefault="00FB7D0B">
            <w:pPr>
              <w:jc w:val="right"/>
              <w:rPr>
                <w:rFonts w:ascii="Arial" w:eastAsia="Arial" w:hAnsi="Arial" w:cs="Arial"/>
                <w:color w:val="000000"/>
                <w:sz w:val="16"/>
              </w:rPr>
            </w:pPr>
            <w:r w:rsidRPr="00D403DC">
              <w:rPr>
                <w:rFonts w:ascii="Arial" w:eastAsia="Arial" w:hAnsi="Arial" w:cs="Arial"/>
                <w:color w:val="000000"/>
                <w:sz w:val="16"/>
              </w:rPr>
              <w:t xml:space="preserve"> - </w:t>
            </w:r>
          </w:p>
        </w:tc>
        <w:tc>
          <w:tcPr>
            <w:tcW w:w="1005" w:type="dxa"/>
            <w:tcBorders>
              <w:top w:val="nil"/>
              <w:left w:val="nil"/>
              <w:bottom w:val="nil"/>
              <w:right w:val="nil"/>
              <w:tl2br w:val="nil"/>
              <w:tr2bl w:val="nil"/>
            </w:tcBorders>
            <w:shd w:val="clear" w:color="auto" w:fill="FFFFFF"/>
            <w:tcMar>
              <w:left w:w="115" w:type="dxa"/>
              <w:right w:w="115" w:type="dxa"/>
            </w:tcMar>
            <w:vAlign w:val="bottom"/>
          </w:tcPr>
          <w:p w14:paraId="0F4AB73A" w14:textId="77777777" w:rsidR="003F0EEA" w:rsidRPr="00D403DC" w:rsidRDefault="00FB7D0B">
            <w:pPr>
              <w:jc w:val="right"/>
              <w:rPr>
                <w:rFonts w:ascii="Arial" w:eastAsia="Arial" w:hAnsi="Arial" w:cs="Arial"/>
                <w:color w:val="000000"/>
                <w:sz w:val="16"/>
              </w:rPr>
            </w:pPr>
            <w:r w:rsidRPr="00D403DC">
              <w:rPr>
                <w:rFonts w:ascii="Arial" w:eastAsia="Arial" w:hAnsi="Arial" w:cs="Arial"/>
                <w:color w:val="000000"/>
                <w:sz w:val="16"/>
              </w:rPr>
              <w:t xml:space="preserve"> - </w:t>
            </w:r>
          </w:p>
        </w:tc>
        <w:tc>
          <w:tcPr>
            <w:tcW w:w="1005" w:type="dxa"/>
            <w:tcBorders>
              <w:top w:val="nil"/>
              <w:left w:val="nil"/>
              <w:bottom w:val="nil"/>
              <w:right w:val="nil"/>
              <w:tl2br w:val="nil"/>
              <w:tr2bl w:val="nil"/>
            </w:tcBorders>
            <w:shd w:val="clear" w:color="auto" w:fill="FFFF00"/>
            <w:tcMar>
              <w:left w:w="115" w:type="dxa"/>
              <w:right w:w="115" w:type="dxa"/>
            </w:tcMar>
            <w:vAlign w:val="bottom"/>
          </w:tcPr>
          <w:p w14:paraId="4063D428" w14:textId="77777777" w:rsidR="003F0EEA" w:rsidRPr="00D403DC" w:rsidRDefault="00FB7D0B">
            <w:pPr>
              <w:jc w:val="right"/>
              <w:rPr>
                <w:rFonts w:ascii="Arial" w:eastAsia="Arial" w:hAnsi="Arial" w:cs="Arial"/>
                <w:color w:val="000000"/>
                <w:sz w:val="16"/>
              </w:rPr>
            </w:pPr>
            <w:r w:rsidRPr="00D403DC">
              <w:rPr>
                <w:rFonts w:ascii="Arial" w:eastAsia="Arial" w:hAnsi="Arial" w:cs="Arial"/>
                <w:color w:val="000000"/>
                <w:sz w:val="16"/>
              </w:rPr>
              <w:t xml:space="preserve"> - </w:t>
            </w:r>
          </w:p>
        </w:tc>
      </w:tr>
      <w:tr w:rsidR="00FB7D0B" w14:paraId="17C10B26" w14:textId="77777777" w:rsidTr="00FB7D0B">
        <w:trPr>
          <w:trHeight w:val="225"/>
        </w:trPr>
        <w:tc>
          <w:tcPr>
            <w:tcW w:w="2460" w:type="dxa"/>
            <w:gridSpan w:val="2"/>
            <w:tcBorders>
              <w:top w:val="nil"/>
              <w:left w:val="nil"/>
              <w:bottom w:val="nil"/>
              <w:right w:val="nil"/>
              <w:tl2br w:val="nil"/>
              <w:tr2bl w:val="nil"/>
            </w:tcBorders>
            <w:shd w:val="clear" w:color="auto" w:fill="FFFFFF"/>
            <w:tcMar>
              <w:left w:w="115" w:type="dxa"/>
              <w:right w:w="115" w:type="dxa"/>
            </w:tcMar>
            <w:vAlign w:val="bottom"/>
          </w:tcPr>
          <w:p w14:paraId="2BEE8E6B" w14:textId="77777777" w:rsidR="003F0EEA" w:rsidRPr="00D403DC" w:rsidRDefault="00FB7D0B">
            <w:pPr>
              <w:rPr>
                <w:rFonts w:ascii="Arial" w:eastAsia="Arial" w:hAnsi="Arial" w:cs="Arial"/>
                <w:color w:val="000000"/>
                <w:sz w:val="16"/>
              </w:rPr>
            </w:pPr>
            <w:r w:rsidRPr="00D403DC">
              <w:rPr>
                <w:rFonts w:ascii="Arial" w:eastAsia="Arial" w:hAnsi="Arial" w:cs="Arial"/>
                <w:b/>
                <w:color w:val="000000"/>
                <w:sz w:val="16"/>
              </w:rPr>
              <w:t xml:space="preserve">Total </w:t>
            </w:r>
          </w:p>
        </w:tc>
        <w:tc>
          <w:tcPr>
            <w:tcW w:w="915" w:type="dxa"/>
            <w:tcBorders>
              <w:top w:val="nil"/>
              <w:left w:val="nil"/>
              <w:bottom w:val="nil"/>
              <w:right w:val="nil"/>
              <w:tl2br w:val="nil"/>
              <w:tr2bl w:val="nil"/>
            </w:tcBorders>
            <w:shd w:val="clear" w:color="auto" w:fill="FFFFFF"/>
            <w:tcMar>
              <w:left w:w="115" w:type="dxa"/>
              <w:right w:w="115" w:type="dxa"/>
            </w:tcMar>
            <w:vAlign w:val="bottom"/>
          </w:tcPr>
          <w:p w14:paraId="79DA5A83" w14:textId="77777777" w:rsidR="003F0EEA" w:rsidRPr="00D403DC" w:rsidRDefault="003F0EEA">
            <w:pPr>
              <w:jc w:val="center"/>
              <w:rPr>
                <w:rFonts w:ascii="Arial" w:eastAsia="Arial" w:hAnsi="Arial" w:cs="Arial"/>
                <w:b/>
                <w:color w:val="000000"/>
                <w:sz w:val="16"/>
                <w:vertAlign w:val="superscript"/>
              </w:rPr>
            </w:pPr>
          </w:p>
        </w:tc>
        <w:tc>
          <w:tcPr>
            <w:tcW w:w="1005" w:type="dxa"/>
            <w:tcBorders>
              <w:top w:val="nil"/>
              <w:left w:val="nil"/>
              <w:bottom w:val="single" w:sz="6" w:space="0" w:color="000000"/>
              <w:right w:val="nil"/>
              <w:tl2br w:val="nil"/>
              <w:tr2bl w:val="nil"/>
            </w:tcBorders>
            <w:shd w:val="clear" w:color="auto" w:fill="FFFF00"/>
            <w:tcMar>
              <w:left w:w="115" w:type="dxa"/>
              <w:right w:w="115" w:type="dxa"/>
            </w:tcMar>
            <w:vAlign w:val="bottom"/>
          </w:tcPr>
          <w:p w14:paraId="48CF43E8" w14:textId="77777777" w:rsidR="003F0EEA" w:rsidRPr="00D403DC" w:rsidRDefault="00FB7D0B">
            <w:pPr>
              <w:jc w:val="right"/>
              <w:rPr>
                <w:rFonts w:ascii="Arial" w:eastAsia="Arial" w:hAnsi="Arial" w:cs="Arial"/>
                <w:color w:val="000000"/>
                <w:sz w:val="16"/>
                <w:vertAlign w:val="superscript"/>
              </w:rPr>
            </w:pPr>
            <w:r w:rsidRPr="00D403DC">
              <w:rPr>
                <w:rFonts w:ascii="Arial" w:eastAsia="Arial" w:hAnsi="Arial" w:cs="Arial"/>
                <w:b/>
                <w:color w:val="000000"/>
                <w:sz w:val="16"/>
              </w:rPr>
              <w:t xml:space="preserve"> - </w:t>
            </w:r>
          </w:p>
        </w:tc>
        <w:tc>
          <w:tcPr>
            <w:tcW w:w="1005"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526CFFE9" w14:textId="77777777" w:rsidR="003F0EEA" w:rsidRPr="00D403DC" w:rsidRDefault="00FB7D0B">
            <w:pPr>
              <w:jc w:val="right"/>
              <w:rPr>
                <w:rFonts w:ascii="Arial" w:eastAsia="Arial" w:hAnsi="Arial" w:cs="Arial"/>
                <w:b/>
                <w:color w:val="000000"/>
                <w:sz w:val="16"/>
              </w:rPr>
            </w:pPr>
            <w:r w:rsidRPr="00D403DC">
              <w:rPr>
                <w:rFonts w:ascii="Arial" w:eastAsia="Arial" w:hAnsi="Arial" w:cs="Arial"/>
                <w:b/>
                <w:color w:val="000000"/>
                <w:sz w:val="16"/>
              </w:rPr>
              <w:t>(4,429)</w:t>
            </w:r>
          </w:p>
        </w:tc>
        <w:tc>
          <w:tcPr>
            <w:tcW w:w="1005" w:type="dxa"/>
            <w:tcBorders>
              <w:top w:val="nil"/>
              <w:left w:val="nil"/>
              <w:bottom w:val="single" w:sz="6" w:space="0" w:color="000000"/>
              <w:right w:val="nil"/>
              <w:tl2br w:val="nil"/>
              <w:tr2bl w:val="nil"/>
            </w:tcBorders>
            <w:shd w:val="clear" w:color="auto" w:fill="FFFF00"/>
            <w:tcMar>
              <w:left w:w="115" w:type="dxa"/>
              <w:right w:w="115" w:type="dxa"/>
            </w:tcMar>
            <w:vAlign w:val="bottom"/>
          </w:tcPr>
          <w:p w14:paraId="3AA26550" w14:textId="77777777" w:rsidR="003F0EEA" w:rsidRPr="00D403DC" w:rsidRDefault="00FB7D0B">
            <w:pPr>
              <w:jc w:val="right"/>
              <w:rPr>
                <w:rFonts w:ascii="Arial" w:eastAsia="Arial" w:hAnsi="Arial" w:cs="Arial"/>
                <w:b/>
                <w:color w:val="000000"/>
                <w:sz w:val="16"/>
              </w:rPr>
            </w:pPr>
            <w:r w:rsidRPr="00D403DC">
              <w:rPr>
                <w:rFonts w:ascii="Arial" w:eastAsia="Arial" w:hAnsi="Arial" w:cs="Arial"/>
                <w:b/>
                <w:color w:val="000000"/>
                <w:sz w:val="16"/>
              </w:rPr>
              <w:t>(9,433)</w:t>
            </w:r>
          </w:p>
        </w:tc>
        <w:tc>
          <w:tcPr>
            <w:tcW w:w="1005"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03157579" w14:textId="77777777" w:rsidR="003F0EEA" w:rsidRPr="00D403DC" w:rsidRDefault="00FB7D0B">
            <w:pPr>
              <w:jc w:val="right"/>
              <w:rPr>
                <w:rFonts w:ascii="Arial" w:eastAsia="Arial" w:hAnsi="Arial" w:cs="Arial"/>
                <w:b/>
                <w:color w:val="000000"/>
                <w:sz w:val="16"/>
              </w:rPr>
            </w:pPr>
            <w:r w:rsidRPr="00D403DC">
              <w:rPr>
                <w:rFonts w:ascii="Arial" w:eastAsia="Arial" w:hAnsi="Arial" w:cs="Arial"/>
                <w:b/>
                <w:color w:val="000000"/>
                <w:sz w:val="16"/>
              </w:rPr>
              <w:t>(9,035)</w:t>
            </w:r>
          </w:p>
        </w:tc>
        <w:tc>
          <w:tcPr>
            <w:tcW w:w="1005" w:type="dxa"/>
            <w:tcBorders>
              <w:top w:val="nil"/>
              <w:left w:val="nil"/>
              <w:bottom w:val="single" w:sz="6" w:space="0" w:color="000000"/>
              <w:right w:val="nil"/>
              <w:tl2br w:val="nil"/>
              <w:tr2bl w:val="nil"/>
            </w:tcBorders>
            <w:shd w:val="clear" w:color="auto" w:fill="FFFF00"/>
            <w:tcMar>
              <w:left w:w="115" w:type="dxa"/>
              <w:right w:w="115" w:type="dxa"/>
            </w:tcMar>
            <w:vAlign w:val="bottom"/>
          </w:tcPr>
          <w:p w14:paraId="69485A67" w14:textId="77777777" w:rsidR="003F0EEA" w:rsidRPr="00D403DC" w:rsidRDefault="00FB7D0B">
            <w:pPr>
              <w:jc w:val="right"/>
              <w:rPr>
                <w:rFonts w:ascii="Arial" w:eastAsia="Arial" w:hAnsi="Arial" w:cs="Arial"/>
                <w:b/>
                <w:color w:val="000000"/>
                <w:sz w:val="16"/>
              </w:rPr>
            </w:pPr>
            <w:r w:rsidRPr="00D403DC">
              <w:rPr>
                <w:rFonts w:ascii="Arial" w:eastAsia="Arial" w:hAnsi="Arial" w:cs="Arial"/>
                <w:b/>
                <w:color w:val="000000"/>
                <w:sz w:val="16"/>
              </w:rPr>
              <w:t>(12,830)</w:t>
            </w:r>
          </w:p>
        </w:tc>
      </w:tr>
      <w:tr w:rsidR="00724034" w14:paraId="354B1CA0" w14:textId="77777777">
        <w:trPr>
          <w:trHeight w:val="225"/>
        </w:trPr>
        <w:tc>
          <w:tcPr>
            <w:tcW w:w="180" w:type="dxa"/>
            <w:tcBorders>
              <w:top w:val="nil"/>
              <w:left w:val="nil"/>
              <w:bottom w:val="nil"/>
              <w:right w:val="nil"/>
              <w:tl2br w:val="nil"/>
              <w:tr2bl w:val="nil"/>
            </w:tcBorders>
            <w:shd w:val="clear" w:color="auto" w:fill="FFFFFF"/>
            <w:tcMar>
              <w:left w:w="115" w:type="dxa"/>
              <w:right w:w="115" w:type="dxa"/>
            </w:tcMar>
            <w:vAlign w:val="bottom"/>
          </w:tcPr>
          <w:p w14:paraId="63D5603C" w14:textId="77777777" w:rsidR="003F0EEA" w:rsidRPr="00D403DC" w:rsidRDefault="003F0EEA">
            <w:pPr>
              <w:rPr>
                <w:rFonts w:ascii="Arial" w:eastAsia="Arial" w:hAnsi="Arial" w:cs="Arial"/>
                <w:b/>
                <w:color w:val="000000"/>
                <w:sz w:val="16"/>
              </w:rPr>
            </w:pPr>
          </w:p>
        </w:tc>
        <w:tc>
          <w:tcPr>
            <w:tcW w:w="2280" w:type="dxa"/>
            <w:tcBorders>
              <w:top w:val="nil"/>
              <w:left w:val="nil"/>
              <w:bottom w:val="nil"/>
              <w:right w:val="nil"/>
              <w:tl2br w:val="nil"/>
              <w:tr2bl w:val="nil"/>
            </w:tcBorders>
            <w:shd w:val="clear" w:color="auto" w:fill="FFFFFF"/>
            <w:tcMar>
              <w:left w:w="115" w:type="dxa"/>
              <w:right w:w="115" w:type="dxa"/>
            </w:tcMar>
            <w:vAlign w:val="bottom"/>
          </w:tcPr>
          <w:p w14:paraId="0BD9B6D1" w14:textId="77777777" w:rsidR="003F0EEA" w:rsidRPr="00D403DC" w:rsidRDefault="003F0EEA">
            <w:pPr>
              <w:rPr>
                <w:rFonts w:ascii="Arial" w:eastAsia="Arial" w:hAnsi="Arial" w:cs="Arial"/>
                <w:b/>
                <w:color w:val="000000"/>
                <w:sz w:val="16"/>
              </w:rPr>
            </w:pPr>
          </w:p>
        </w:tc>
        <w:tc>
          <w:tcPr>
            <w:tcW w:w="915" w:type="dxa"/>
            <w:tcBorders>
              <w:top w:val="nil"/>
              <w:left w:val="nil"/>
              <w:bottom w:val="nil"/>
              <w:right w:val="nil"/>
              <w:tl2br w:val="nil"/>
              <w:tr2bl w:val="nil"/>
            </w:tcBorders>
            <w:shd w:val="clear" w:color="auto" w:fill="FFFFFF"/>
            <w:tcMar>
              <w:left w:w="115" w:type="dxa"/>
              <w:right w:w="115" w:type="dxa"/>
            </w:tcMar>
            <w:vAlign w:val="bottom"/>
          </w:tcPr>
          <w:p w14:paraId="3A471B4F" w14:textId="77777777" w:rsidR="003F0EEA" w:rsidRPr="00D403DC" w:rsidRDefault="003F0EEA">
            <w:pPr>
              <w:jc w:val="center"/>
              <w:rPr>
                <w:rFonts w:ascii="Arial" w:eastAsia="Arial" w:hAnsi="Arial" w:cs="Arial"/>
                <w:b/>
                <w:color w:val="000000"/>
                <w:sz w:val="16"/>
                <w:vertAlign w:val="superscript"/>
              </w:rPr>
            </w:pPr>
          </w:p>
        </w:tc>
        <w:tc>
          <w:tcPr>
            <w:tcW w:w="1005" w:type="dxa"/>
            <w:tcBorders>
              <w:top w:val="single" w:sz="6" w:space="0" w:color="000000"/>
              <w:left w:val="nil"/>
              <w:bottom w:val="nil"/>
              <w:right w:val="nil"/>
              <w:tl2br w:val="nil"/>
              <w:tr2bl w:val="nil"/>
            </w:tcBorders>
            <w:shd w:val="clear" w:color="auto" w:fill="FFFF00"/>
            <w:tcMar>
              <w:left w:w="115" w:type="dxa"/>
              <w:right w:w="115" w:type="dxa"/>
            </w:tcMar>
            <w:vAlign w:val="bottom"/>
          </w:tcPr>
          <w:p w14:paraId="54EF860E" w14:textId="77777777" w:rsidR="003F0EEA" w:rsidRPr="00D403DC" w:rsidRDefault="003F0EEA">
            <w:pPr>
              <w:jc w:val="right"/>
              <w:rPr>
                <w:rFonts w:ascii="Arial" w:eastAsia="Arial" w:hAnsi="Arial" w:cs="Arial"/>
                <w:color w:val="000000"/>
                <w:sz w:val="16"/>
                <w:vertAlign w:val="superscript"/>
              </w:rPr>
            </w:pPr>
          </w:p>
        </w:tc>
        <w:tc>
          <w:tcPr>
            <w:tcW w:w="1005"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03F6B78F" w14:textId="77777777" w:rsidR="003F0EEA" w:rsidRPr="00D403DC" w:rsidRDefault="003F0EEA">
            <w:pPr>
              <w:jc w:val="right"/>
              <w:rPr>
                <w:rFonts w:ascii="Arial" w:eastAsia="Arial" w:hAnsi="Arial" w:cs="Arial"/>
                <w:b/>
                <w:color w:val="000000"/>
                <w:sz w:val="16"/>
                <w:vertAlign w:val="superscript"/>
              </w:rPr>
            </w:pPr>
          </w:p>
        </w:tc>
        <w:tc>
          <w:tcPr>
            <w:tcW w:w="1005" w:type="dxa"/>
            <w:tcBorders>
              <w:top w:val="single" w:sz="6" w:space="0" w:color="000000"/>
              <w:left w:val="nil"/>
              <w:bottom w:val="nil"/>
              <w:right w:val="nil"/>
              <w:tl2br w:val="nil"/>
              <w:tr2bl w:val="nil"/>
            </w:tcBorders>
            <w:shd w:val="clear" w:color="auto" w:fill="FFFF00"/>
            <w:tcMar>
              <w:left w:w="115" w:type="dxa"/>
              <w:right w:w="115" w:type="dxa"/>
            </w:tcMar>
            <w:vAlign w:val="bottom"/>
          </w:tcPr>
          <w:p w14:paraId="2AEC8EB7" w14:textId="77777777" w:rsidR="003F0EEA" w:rsidRPr="00D403DC" w:rsidRDefault="003F0EEA">
            <w:pPr>
              <w:jc w:val="right"/>
              <w:rPr>
                <w:rFonts w:ascii="Arial" w:eastAsia="Arial" w:hAnsi="Arial" w:cs="Arial"/>
                <w:b/>
                <w:color w:val="000000"/>
                <w:sz w:val="16"/>
                <w:vertAlign w:val="superscript"/>
              </w:rPr>
            </w:pPr>
          </w:p>
        </w:tc>
        <w:tc>
          <w:tcPr>
            <w:tcW w:w="1005"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502BCAEF" w14:textId="77777777" w:rsidR="003F0EEA" w:rsidRPr="00D403DC" w:rsidRDefault="003F0EEA">
            <w:pPr>
              <w:jc w:val="right"/>
              <w:rPr>
                <w:rFonts w:ascii="Arial" w:eastAsia="Arial" w:hAnsi="Arial" w:cs="Arial"/>
                <w:b/>
                <w:color w:val="000000"/>
                <w:sz w:val="16"/>
                <w:vertAlign w:val="superscript"/>
              </w:rPr>
            </w:pPr>
          </w:p>
        </w:tc>
        <w:tc>
          <w:tcPr>
            <w:tcW w:w="1005" w:type="dxa"/>
            <w:tcBorders>
              <w:top w:val="single" w:sz="6" w:space="0" w:color="000000"/>
              <w:left w:val="nil"/>
              <w:bottom w:val="nil"/>
              <w:right w:val="nil"/>
              <w:tl2br w:val="nil"/>
              <w:tr2bl w:val="nil"/>
            </w:tcBorders>
            <w:shd w:val="clear" w:color="auto" w:fill="FFFF00"/>
            <w:tcMar>
              <w:left w:w="115" w:type="dxa"/>
              <w:right w:w="115" w:type="dxa"/>
            </w:tcMar>
            <w:vAlign w:val="bottom"/>
          </w:tcPr>
          <w:p w14:paraId="3B152577" w14:textId="77777777" w:rsidR="003F0EEA" w:rsidRPr="00D403DC" w:rsidRDefault="003F0EEA">
            <w:pPr>
              <w:jc w:val="right"/>
              <w:rPr>
                <w:rFonts w:ascii="Arial" w:eastAsia="Arial" w:hAnsi="Arial" w:cs="Arial"/>
                <w:b/>
                <w:color w:val="000000"/>
                <w:sz w:val="16"/>
                <w:vertAlign w:val="superscript"/>
              </w:rPr>
            </w:pPr>
          </w:p>
        </w:tc>
      </w:tr>
      <w:tr w:rsidR="00FB7D0B" w14:paraId="48E9D50B" w14:textId="77777777" w:rsidTr="00FB7D0B">
        <w:trPr>
          <w:trHeight w:val="435"/>
        </w:trPr>
        <w:tc>
          <w:tcPr>
            <w:tcW w:w="2460" w:type="dxa"/>
            <w:gridSpan w:val="2"/>
            <w:tcBorders>
              <w:top w:val="nil"/>
              <w:left w:val="nil"/>
              <w:bottom w:val="nil"/>
              <w:right w:val="nil"/>
              <w:tl2br w:val="nil"/>
              <w:tr2bl w:val="nil"/>
            </w:tcBorders>
            <w:shd w:val="clear" w:color="auto" w:fill="FFFFFF"/>
            <w:tcMar>
              <w:left w:w="115" w:type="dxa"/>
              <w:right w:w="115" w:type="dxa"/>
            </w:tcMar>
            <w:vAlign w:val="bottom"/>
          </w:tcPr>
          <w:p w14:paraId="1D95EA2A" w14:textId="77777777" w:rsidR="003F0EEA" w:rsidRPr="00D403DC" w:rsidRDefault="00FB7D0B">
            <w:pPr>
              <w:rPr>
                <w:rFonts w:ascii="Arial" w:eastAsia="Arial" w:hAnsi="Arial" w:cs="Arial"/>
                <w:b/>
                <w:color w:val="000000"/>
                <w:sz w:val="16"/>
                <w:vertAlign w:val="superscript"/>
              </w:rPr>
            </w:pPr>
            <w:r w:rsidRPr="00D403DC">
              <w:rPr>
                <w:rFonts w:ascii="Arial" w:eastAsia="Arial" w:hAnsi="Arial" w:cs="Arial"/>
                <w:color w:val="000000"/>
                <w:sz w:val="16"/>
              </w:rPr>
              <w:t xml:space="preserve">Aged Care Payroll Tax Supplement - cessation </w:t>
            </w:r>
            <w:r w:rsidRPr="00D403DC">
              <w:rPr>
                <w:rFonts w:ascii="Arial" w:eastAsia="Arial" w:hAnsi="Arial" w:cs="Arial"/>
                <w:color w:val="000000"/>
                <w:sz w:val="16"/>
                <w:vertAlign w:val="superscript"/>
              </w:rPr>
              <w:t>1 </w:t>
            </w:r>
          </w:p>
        </w:tc>
        <w:tc>
          <w:tcPr>
            <w:tcW w:w="915" w:type="dxa"/>
            <w:tcBorders>
              <w:top w:val="nil"/>
              <w:left w:val="nil"/>
              <w:bottom w:val="nil"/>
              <w:right w:val="nil"/>
              <w:tl2br w:val="nil"/>
              <w:tr2bl w:val="nil"/>
            </w:tcBorders>
            <w:shd w:val="clear" w:color="auto" w:fill="FFFFFF"/>
            <w:tcMar>
              <w:left w:w="115" w:type="dxa"/>
              <w:right w:w="115" w:type="dxa"/>
            </w:tcMar>
            <w:vAlign w:val="bottom"/>
          </w:tcPr>
          <w:p w14:paraId="1B44FE0A" w14:textId="77777777" w:rsidR="003F0EEA" w:rsidRPr="00D403DC" w:rsidRDefault="00FB7D0B">
            <w:pPr>
              <w:jc w:val="center"/>
              <w:rPr>
                <w:rFonts w:ascii="Arial" w:eastAsia="Arial" w:hAnsi="Arial" w:cs="Arial"/>
                <w:color w:val="000000"/>
                <w:sz w:val="16"/>
                <w:vertAlign w:val="superscript"/>
              </w:rPr>
            </w:pPr>
            <w:r w:rsidRPr="00D403DC">
              <w:rPr>
                <w:rFonts w:ascii="Arial" w:eastAsia="Arial" w:hAnsi="Arial" w:cs="Arial"/>
                <w:color w:val="000000"/>
                <w:sz w:val="16"/>
              </w:rPr>
              <w:t>2.4 </w:t>
            </w:r>
          </w:p>
        </w:tc>
        <w:tc>
          <w:tcPr>
            <w:tcW w:w="1005" w:type="dxa"/>
            <w:tcBorders>
              <w:top w:val="nil"/>
              <w:left w:val="nil"/>
              <w:bottom w:val="nil"/>
              <w:right w:val="nil"/>
              <w:tl2br w:val="nil"/>
              <w:tr2bl w:val="nil"/>
            </w:tcBorders>
            <w:shd w:val="clear" w:color="auto" w:fill="FFFF00"/>
            <w:tcMar>
              <w:left w:w="115" w:type="dxa"/>
              <w:right w:w="115" w:type="dxa"/>
            </w:tcMar>
            <w:vAlign w:val="bottom"/>
          </w:tcPr>
          <w:p w14:paraId="40D282A0" w14:textId="77777777" w:rsidR="003F0EEA" w:rsidRPr="00D403DC" w:rsidRDefault="003F0EEA">
            <w:pPr>
              <w:jc w:val="right"/>
              <w:rPr>
                <w:rFonts w:ascii="Arial" w:eastAsia="Arial" w:hAnsi="Arial" w:cs="Arial"/>
                <w:color w:val="000000"/>
                <w:sz w:val="16"/>
              </w:rPr>
            </w:pPr>
          </w:p>
        </w:tc>
        <w:tc>
          <w:tcPr>
            <w:tcW w:w="1005" w:type="dxa"/>
            <w:tcBorders>
              <w:top w:val="nil"/>
              <w:left w:val="nil"/>
              <w:bottom w:val="nil"/>
              <w:right w:val="nil"/>
              <w:tl2br w:val="nil"/>
              <w:tr2bl w:val="nil"/>
            </w:tcBorders>
            <w:shd w:val="clear" w:color="auto" w:fill="FFFFFF"/>
            <w:tcMar>
              <w:left w:w="115" w:type="dxa"/>
              <w:right w:w="115" w:type="dxa"/>
            </w:tcMar>
            <w:vAlign w:val="bottom"/>
          </w:tcPr>
          <w:p w14:paraId="66EA086B" w14:textId="77777777" w:rsidR="003F0EEA" w:rsidRPr="00D403DC" w:rsidRDefault="003F0EEA">
            <w:pPr>
              <w:jc w:val="right"/>
              <w:rPr>
                <w:rFonts w:ascii="Arial" w:eastAsia="Arial" w:hAnsi="Arial" w:cs="Arial"/>
                <w:color w:val="000000"/>
                <w:sz w:val="16"/>
              </w:rPr>
            </w:pPr>
          </w:p>
        </w:tc>
        <w:tc>
          <w:tcPr>
            <w:tcW w:w="1005" w:type="dxa"/>
            <w:tcBorders>
              <w:top w:val="nil"/>
              <w:left w:val="nil"/>
              <w:bottom w:val="nil"/>
              <w:right w:val="nil"/>
              <w:tl2br w:val="nil"/>
              <w:tr2bl w:val="nil"/>
            </w:tcBorders>
            <w:shd w:val="clear" w:color="auto" w:fill="FFFF00"/>
            <w:tcMar>
              <w:left w:w="115" w:type="dxa"/>
              <w:right w:w="115" w:type="dxa"/>
            </w:tcMar>
            <w:vAlign w:val="bottom"/>
          </w:tcPr>
          <w:p w14:paraId="3B51D7F9" w14:textId="77777777" w:rsidR="003F0EEA" w:rsidRPr="00D403DC" w:rsidRDefault="003F0EEA">
            <w:pPr>
              <w:jc w:val="right"/>
              <w:rPr>
                <w:rFonts w:ascii="Arial" w:eastAsia="Arial" w:hAnsi="Arial" w:cs="Arial"/>
                <w:color w:val="000000"/>
                <w:sz w:val="16"/>
              </w:rPr>
            </w:pPr>
          </w:p>
        </w:tc>
        <w:tc>
          <w:tcPr>
            <w:tcW w:w="1005" w:type="dxa"/>
            <w:tcBorders>
              <w:top w:val="nil"/>
              <w:left w:val="nil"/>
              <w:bottom w:val="nil"/>
              <w:right w:val="nil"/>
              <w:tl2br w:val="nil"/>
              <w:tr2bl w:val="nil"/>
            </w:tcBorders>
            <w:shd w:val="clear" w:color="auto" w:fill="FFFFFF"/>
            <w:tcMar>
              <w:left w:w="115" w:type="dxa"/>
              <w:right w:w="115" w:type="dxa"/>
            </w:tcMar>
            <w:vAlign w:val="bottom"/>
          </w:tcPr>
          <w:p w14:paraId="4DD742E6" w14:textId="77777777" w:rsidR="003F0EEA" w:rsidRPr="00D403DC" w:rsidRDefault="003F0EEA">
            <w:pPr>
              <w:jc w:val="right"/>
              <w:rPr>
                <w:rFonts w:ascii="Arial" w:eastAsia="Arial" w:hAnsi="Arial" w:cs="Arial"/>
                <w:color w:val="000000"/>
                <w:sz w:val="16"/>
              </w:rPr>
            </w:pPr>
          </w:p>
        </w:tc>
        <w:tc>
          <w:tcPr>
            <w:tcW w:w="1005" w:type="dxa"/>
            <w:tcBorders>
              <w:top w:val="nil"/>
              <w:left w:val="nil"/>
              <w:bottom w:val="nil"/>
              <w:right w:val="nil"/>
              <w:tl2br w:val="nil"/>
              <w:tr2bl w:val="nil"/>
            </w:tcBorders>
            <w:shd w:val="clear" w:color="auto" w:fill="FFFF00"/>
            <w:tcMar>
              <w:left w:w="115" w:type="dxa"/>
              <w:right w:w="115" w:type="dxa"/>
            </w:tcMar>
            <w:vAlign w:val="bottom"/>
          </w:tcPr>
          <w:p w14:paraId="562E4A6B" w14:textId="77777777" w:rsidR="003F0EEA" w:rsidRPr="00D403DC" w:rsidRDefault="003F0EEA">
            <w:pPr>
              <w:jc w:val="right"/>
              <w:rPr>
                <w:rFonts w:ascii="Arial" w:eastAsia="Arial" w:hAnsi="Arial" w:cs="Arial"/>
                <w:color w:val="000000"/>
                <w:sz w:val="16"/>
              </w:rPr>
            </w:pPr>
          </w:p>
        </w:tc>
      </w:tr>
      <w:tr w:rsidR="00724034" w14:paraId="208D912F" w14:textId="77777777">
        <w:trPr>
          <w:trHeight w:val="210"/>
        </w:trPr>
        <w:tc>
          <w:tcPr>
            <w:tcW w:w="180" w:type="dxa"/>
            <w:tcBorders>
              <w:top w:val="nil"/>
              <w:left w:val="nil"/>
              <w:bottom w:val="nil"/>
              <w:right w:val="nil"/>
              <w:tl2br w:val="nil"/>
              <w:tr2bl w:val="nil"/>
            </w:tcBorders>
            <w:shd w:val="clear" w:color="auto" w:fill="FFFFFF"/>
            <w:tcMar>
              <w:left w:w="115" w:type="dxa"/>
              <w:right w:w="115" w:type="dxa"/>
            </w:tcMar>
            <w:vAlign w:val="bottom"/>
          </w:tcPr>
          <w:p w14:paraId="4D9EEF98" w14:textId="77777777" w:rsidR="003F0EEA" w:rsidRPr="00D403DC" w:rsidRDefault="003F0EEA">
            <w:pPr>
              <w:rPr>
                <w:rFonts w:ascii="Arial" w:eastAsia="Arial" w:hAnsi="Arial" w:cs="Arial"/>
                <w:color w:val="000000"/>
                <w:sz w:val="16"/>
              </w:rPr>
            </w:pPr>
          </w:p>
        </w:tc>
        <w:tc>
          <w:tcPr>
            <w:tcW w:w="2280" w:type="dxa"/>
            <w:tcBorders>
              <w:top w:val="nil"/>
              <w:left w:val="nil"/>
              <w:bottom w:val="nil"/>
              <w:right w:val="nil"/>
              <w:tl2br w:val="nil"/>
              <w:tr2bl w:val="nil"/>
            </w:tcBorders>
            <w:shd w:val="clear" w:color="auto" w:fill="FFFFFF"/>
            <w:tcMar>
              <w:left w:w="115" w:type="dxa"/>
              <w:right w:w="115" w:type="dxa"/>
            </w:tcMar>
            <w:vAlign w:val="bottom"/>
          </w:tcPr>
          <w:p w14:paraId="655A89EF" w14:textId="77777777" w:rsidR="003F0EEA" w:rsidRPr="00D403DC" w:rsidRDefault="00FB7D0B">
            <w:pPr>
              <w:rPr>
                <w:rFonts w:ascii="Arial" w:eastAsia="Arial" w:hAnsi="Arial" w:cs="Arial"/>
                <w:color w:val="000000"/>
                <w:sz w:val="16"/>
              </w:rPr>
            </w:pPr>
            <w:r w:rsidRPr="00D403DC">
              <w:rPr>
                <w:rFonts w:ascii="Arial" w:eastAsia="Arial" w:hAnsi="Arial" w:cs="Arial"/>
                <w:color w:val="000000"/>
                <w:sz w:val="16"/>
              </w:rPr>
              <w:t>Administered expenses</w:t>
            </w:r>
          </w:p>
        </w:tc>
        <w:tc>
          <w:tcPr>
            <w:tcW w:w="915" w:type="dxa"/>
            <w:tcBorders>
              <w:top w:val="nil"/>
              <w:left w:val="nil"/>
              <w:bottom w:val="nil"/>
              <w:right w:val="nil"/>
              <w:tl2br w:val="nil"/>
              <w:tr2bl w:val="nil"/>
            </w:tcBorders>
            <w:shd w:val="clear" w:color="auto" w:fill="FFFFFF"/>
            <w:tcMar>
              <w:left w:w="115" w:type="dxa"/>
              <w:right w:w="115" w:type="dxa"/>
            </w:tcMar>
            <w:vAlign w:val="bottom"/>
          </w:tcPr>
          <w:p w14:paraId="5D6A8F5B" w14:textId="77777777" w:rsidR="003F0EEA" w:rsidRPr="00D403DC" w:rsidRDefault="003F0EEA">
            <w:pPr>
              <w:jc w:val="center"/>
              <w:rPr>
                <w:rFonts w:ascii="Arial" w:eastAsia="Arial" w:hAnsi="Arial" w:cs="Arial"/>
                <w:color w:val="000000"/>
                <w:sz w:val="16"/>
                <w:vertAlign w:val="superscript"/>
              </w:rPr>
            </w:pPr>
          </w:p>
        </w:tc>
        <w:tc>
          <w:tcPr>
            <w:tcW w:w="1005" w:type="dxa"/>
            <w:tcBorders>
              <w:top w:val="nil"/>
              <w:left w:val="nil"/>
              <w:bottom w:val="nil"/>
              <w:right w:val="nil"/>
              <w:tl2br w:val="nil"/>
              <w:tr2bl w:val="nil"/>
            </w:tcBorders>
            <w:shd w:val="clear" w:color="auto" w:fill="FFFF00"/>
            <w:tcMar>
              <w:left w:w="115" w:type="dxa"/>
              <w:right w:w="115" w:type="dxa"/>
            </w:tcMar>
            <w:vAlign w:val="bottom"/>
          </w:tcPr>
          <w:p w14:paraId="5C0A87B9" w14:textId="77777777" w:rsidR="003F0EEA" w:rsidRPr="00D403DC" w:rsidRDefault="00FB7D0B">
            <w:pPr>
              <w:jc w:val="right"/>
              <w:rPr>
                <w:rFonts w:ascii="Arial" w:eastAsia="Arial" w:hAnsi="Arial" w:cs="Arial"/>
                <w:color w:val="000000"/>
                <w:sz w:val="16"/>
                <w:vertAlign w:val="superscript"/>
              </w:rPr>
            </w:pPr>
            <w:r w:rsidRPr="00D403DC">
              <w:rPr>
                <w:rFonts w:ascii="Arial" w:eastAsia="Arial" w:hAnsi="Arial" w:cs="Arial"/>
                <w:color w:val="000000"/>
                <w:sz w:val="16"/>
              </w:rPr>
              <w:t xml:space="preserve"> - </w:t>
            </w:r>
          </w:p>
        </w:tc>
        <w:tc>
          <w:tcPr>
            <w:tcW w:w="1005" w:type="dxa"/>
            <w:tcBorders>
              <w:top w:val="nil"/>
              <w:left w:val="nil"/>
              <w:bottom w:val="nil"/>
              <w:right w:val="nil"/>
              <w:tl2br w:val="nil"/>
              <w:tr2bl w:val="nil"/>
            </w:tcBorders>
            <w:shd w:val="clear" w:color="auto" w:fill="FFFFFF"/>
            <w:tcMar>
              <w:left w:w="115" w:type="dxa"/>
              <w:right w:w="115" w:type="dxa"/>
            </w:tcMar>
            <w:vAlign w:val="bottom"/>
          </w:tcPr>
          <w:p w14:paraId="1B05B31A" w14:textId="77777777" w:rsidR="003F0EEA" w:rsidRPr="00D403DC" w:rsidRDefault="00FB7D0B">
            <w:pPr>
              <w:jc w:val="right"/>
              <w:rPr>
                <w:rFonts w:ascii="Arial" w:eastAsia="Arial" w:hAnsi="Arial" w:cs="Arial"/>
                <w:color w:val="000000"/>
                <w:sz w:val="16"/>
              </w:rPr>
            </w:pPr>
            <w:r w:rsidRPr="00D403DC">
              <w:rPr>
                <w:rFonts w:ascii="Arial" w:eastAsia="Arial" w:hAnsi="Arial" w:cs="Arial"/>
                <w:color w:val="000000"/>
                <w:sz w:val="16"/>
              </w:rPr>
              <w:t>(12,162)</w:t>
            </w:r>
          </w:p>
        </w:tc>
        <w:tc>
          <w:tcPr>
            <w:tcW w:w="1005" w:type="dxa"/>
            <w:tcBorders>
              <w:top w:val="nil"/>
              <w:left w:val="nil"/>
              <w:bottom w:val="nil"/>
              <w:right w:val="nil"/>
              <w:tl2br w:val="nil"/>
              <w:tr2bl w:val="nil"/>
            </w:tcBorders>
            <w:shd w:val="clear" w:color="auto" w:fill="FFFF00"/>
            <w:tcMar>
              <w:left w:w="115" w:type="dxa"/>
              <w:right w:w="115" w:type="dxa"/>
            </w:tcMar>
            <w:vAlign w:val="bottom"/>
          </w:tcPr>
          <w:p w14:paraId="44B4BFB1" w14:textId="77777777" w:rsidR="003F0EEA" w:rsidRPr="00D403DC" w:rsidRDefault="00FB7D0B">
            <w:pPr>
              <w:jc w:val="right"/>
              <w:rPr>
                <w:rFonts w:ascii="Arial" w:eastAsia="Arial" w:hAnsi="Arial" w:cs="Arial"/>
                <w:color w:val="000000"/>
                <w:sz w:val="16"/>
              </w:rPr>
            </w:pPr>
            <w:r w:rsidRPr="00D403DC">
              <w:rPr>
                <w:rFonts w:ascii="Arial" w:eastAsia="Arial" w:hAnsi="Arial" w:cs="Arial"/>
                <w:color w:val="000000"/>
                <w:sz w:val="16"/>
              </w:rPr>
              <w:t>(25,742)</w:t>
            </w:r>
          </w:p>
        </w:tc>
        <w:tc>
          <w:tcPr>
            <w:tcW w:w="1005" w:type="dxa"/>
            <w:tcBorders>
              <w:top w:val="nil"/>
              <w:left w:val="nil"/>
              <w:bottom w:val="nil"/>
              <w:right w:val="nil"/>
              <w:tl2br w:val="nil"/>
              <w:tr2bl w:val="nil"/>
            </w:tcBorders>
            <w:shd w:val="clear" w:color="auto" w:fill="FFFFFF"/>
            <w:tcMar>
              <w:left w:w="115" w:type="dxa"/>
              <w:right w:w="115" w:type="dxa"/>
            </w:tcMar>
            <w:vAlign w:val="bottom"/>
          </w:tcPr>
          <w:p w14:paraId="652ABB92" w14:textId="77777777" w:rsidR="003F0EEA" w:rsidRPr="00D403DC" w:rsidRDefault="00FB7D0B">
            <w:pPr>
              <w:jc w:val="right"/>
              <w:rPr>
                <w:rFonts w:ascii="Arial" w:eastAsia="Arial" w:hAnsi="Arial" w:cs="Arial"/>
                <w:color w:val="000000"/>
                <w:sz w:val="16"/>
              </w:rPr>
            </w:pPr>
            <w:r w:rsidRPr="00D403DC">
              <w:rPr>
                <w:rFonts w:ascii="Arial" w:eastAsia="Arial" w:hAnsi="Arial" w:cs="Arial"/>
                <w:color w:val="000000"/>
                <w:sz w:val="16"/>
              </w:rPr>
              <w:t>(26,914)</w:t>
            </w:r>
          </w:p>
        </w:tc>
        <w:tc>
          <w:tcPr>
            <w:tcW w:w="1005" w:type="dxa"/>
            <w:tcBorders>
              <w:top w:val="nil"/>
              <w:left w:val="nil"/>
              <w:bottom w:val="nil"/>
              <w:right w:val="nil"/>
              <w:tl2br w:val="nil"/>
              <w:tr2bl w:val="nil"/>
            </w:tcBorders>
            <w:shd w:val="clear" w:color="auto" w:fill="FFFF00"/>
            <w:tcMar>
              <w:left w:w="115" w:type="dxa"/>
              <w:right w:w="115" w:type="dxa"/>
            </w:tcMar>
            <w:vAlign w:val="bottom"/>
          </w:tcPr>
          <w:p w14:paraId="336ABAD0" w14:textId="77777777" w:rsidR="003F0EEA" w:rsidRPr="00D403DC" w:rsidRDefault="00FB7D0B">
            <w:pPr>
              <w:jc w:val="right"/>
              <w:rPr>
                <w:rFonts w:ascii="Arial" w:eastAsia="Arial" w:hAnsi="Arial" w:cs="Arial"/>
                <w:color w:val="000000"/>
                <w:sz w:val="16"/>
              </w:rPr>
            </w:pPr>
            <w:r w:rsidRPr="00D403DC">
              <w:rPr>
                <w:rFonts w:ascii="Arial" w:eastAsia="Arial" w:hAnsi="Arial" w:cs="Arial"/>
                <w:color w:val="000000"/>
                <w:sz w:val="16"/>
              </w:rPr>
              <w:t>(28,492)</w:t>
            </w:r>
          </w:p>
        </w:tc>
      </w:tr>
      <w:tr w:rsidR="00724034" w14:paraId="78B99ED1" w14:textId="77777777">
        <w:trPr>
          <w:trHeight w:val="225"/>
        </w:trPr>
        <w:tc>
          <w:tcPr>
            <w:tcW w:w="180" w:type="dxa"/>
            <w:tcBorders>
              <w:top w:val="nil"/>
              <w:left w:val="nil"/>
              <w:bottom w:val="nil"/>
              <w:right w:val="nil"/>
              <w:tl2br w:val="nil"/>
              <w:tr2bl w:val="nil"/>
            </w:tcBorders>
            <w:shd w:val="clear" w:color="auto" w:fill="FFFFFF"/>
            <w:tcMar>
              <w:left w:w="115" w:type="dxa"/>
              <w:right w:w="115" w:type="dxa"/>
            </w:tcMar>
            <w:vAlign w:val="bottom"/>
          </w:tcPr>
          <w:p w14:paraId="720786D2" w14:textId="77777777" w:rsidR="003F0EEA" w:rsidRPr="00D403DC" w:rsidRDefault="003F0EEA">
            <w:pPr>
              <w:rPr>
                <w:rFonts w:ascii="Arial" w:eastAsia="Arial" w:hAnsi="Arial" w:cs="Arial"/>
                <w:color w:val="000000"/>
                <w:sz w:val="16"/>
              </w:rPr>
            </w:pPr>
          </w:p>
        </w:tc>
        <w:tc>
          <w:tcPr>
            <w:tcW w:w="2280" w:type="dxa"/>
            <w:tcBorders>
              <w:top w:val="nil"/>
              <w:left w:val="nil"/>
              <w:bottom w:val="nil"/>
              <w:right w:val="nil"/>
              <w:tl2br w:val="nil"/>
              <w:tr2bl w:val="nil"/>
            </w:tcBorders>
            <w:shd w:val="clear" w:color="auto" w:fill="FFFFFF"/>
            <w:tcMar>
              <w:left w:w="115" w:type="dxa"/>
              <w:right w:w="115" w:type="dxa"/>
            </w:tcMar>
            <w:vAlign w:val="bottom"/>
          </w:tcPr>
          <w:p w14:paraId="25CC22D2" w14:textId="77777777" w:rsidR="003F0EEA" w:rsidRPr="00D403DC" w:rsidRDefault="00FB7D0B">
            <w:pPr>
              <w:rPr>
                <w:rFonts w:ascii="Arial" w:eastAsia="Arial" w:hAnsi="Arial" w:cs="Arial"/>
                <w:color w:val="000000"/>
                <w:sz w:val="16"/>
              </w:rPr>
            </w:pPr>
            <w:r w:rsidRPr="00D403DC">
              <w:rPr>
                <w:rFonts w:ascii="Arial" w:eastAsia="Arial" w:hAnsi="Arial" w:cs="Arial"/>
                <w:color w:val="000000"/>
                <w:sz w:val="16"/>
              </w:rPr>
              <w:t>Departmental expenses</w:t>
            </w:r>
          </w:p>
        </w:tc>
        <w:tc>
          <w:tcPr>
            <w:tcW w:w="915" w:type="dxa"/>
            <w:tcBorders>
              <w:top w:val="nil"/>
              <w:left w:val="nil"/>
              <w:bottom w:val="nil"/>
              <w:right w:val="nil"/>
              <w:tl2br w:val="nil"/>
              <w:tr2bl w:val="nil"/>
            </w:tcBorders>
            <w:shd w:val="clear" w:color="auto" w:fill="FFFFFF"/>
            <w:tcMar>
              <w:left w:w="115" w:type="dxa"/>
              <w:right w:w="115" w:type="dxa"/>
            </w:tcMar>
            <w:vAlign w:val="bottom"/>
          </w:tcPr>
          <w:p w14:paraId="2360A7EF" w14:textId="77777777" w:rsidR="003F0EEA" w:rsidRPr="00D403DC" w:rsidRDefault="003F0EEA">
            <w:pPr>
              <w:jc w:val="center"/>
              <w:rPr>
                <w:rFonts w:ascii="Arial" w:eastAsia="Arial" w:hAnsi="Arial" w:cs="Arial"/>
                <w:color w:val="000000"/>
                <w:sz w:val="16"/>
                <w:vertAlign w:val="superscript"/>
              </w:rPr>
            </w:pPr>
          </w:p>
        </w:tc>
        <w:tc>
          <w:tcPr>
            <w:tcW w:w="1005" w:type="dxa"/>
            <w:tcBorders>
              <w:top w:val="nil"/>
              <w:left w:val="nil"/>
              <w:bottom w:val="nil"/>
              <w:right w:val="nil"/>
              <w:tl2br w:val="nil"/>
              <w:tr2bl w:val="nil"/>
            </w:tcBorders>
            <w:shd w:val="clear" w:color="auto" w:fill="FFFF00"/>
            <w:tcMar>
              <w:left w:w="115" w:type="dxa"/>
              <w:right w:w="115" w:type="dxa"/>
            </w:tcMar>
            <w:vAlign w:val="bottom"/>
          </w:tcPr>
          <w:p w14:paraId="4E1746E7" w14:textId="77777777" w:rsidR="003F0EEA" w:rsidRPr="00D403DC" w:rsidRDefault="00FB7D0B">
            <w:pPr>
              <w:jc w:val="right"/>
              <w:rPr>
                <w:rFonts w:ascii="Arial" w:eastAsia="Arial" w:hAnsi="Arial" w:cs="Arial"/>
                <w:color w:val="000000"/>
                <w:sz w:val="16"/>
                <w:vertAlign w:val="superscript"/>
              </w:rPr>
            </w:pPr>
            <w:r w:rsidRPr="00D403DC">
              <w:rPr>
                <w:rFonts w:ascii="Arial" w:eastAsia="Arial" w:hAnsi="Arial" w:cs="Arial"/>
                <w:color w:val="000000"/>
                <w:sz w:val="16"/>
              </w:rPr>
              <w:t xml:space="preserve"> - </w:t>
            </w:r>
          </w:p>
        </w:tc>
        <w:tc>
          <w:tcPr>
            <w:tcW w:w="1005" w:type="dxa"/>
            <w:tcBorders>
              <w:top w:val="nil"/>
              <w:left w:val="nil"/>
              <w:bottom w:val="nil"/>
              <w:right w:val="nil"/>
              <w:tl2br w:val="nil"/>
              <w:tr2bl w:val="nil"/>
            </w:tcBorders>
            <w:shd w:val="clear" w:color="auto" w:fill="FFFFFF"/>
            <w:tcMar>
              <w:left w:w="115" w:type="dxa"/>
              <w:right w:w="115" w:type="dxa"/>
            </w:tcMar>
            <w:vAlign w:val="bottom"/>
          </w:tcPr>
          <w:p w14:paraId="6E07E5E8" w14:textId="77777777" w:rsidR="003F0EEA" w:rsidRPr="00D403DC" w:rsidRDefault="00FB7D0B">
            <w:pPr>
              <w:jc w:val="right"/>
              <w:rPr>
                <w:rFonts w:ascii="Arial" w:eastAsia="Arial" w:hAnsi="Arial" w:cs="Arial"/>
                <w:color w:val="000000"/>
                <w:sz w:val="16"/>
              </w:rPr>
            </w:pPr>
            <w:r w:rsidRPr="00D403DC">
              <w:rPr>
                <w:rFonts w:ascii="Arial" w:eastAsia="Arial" w:hAnsi="Arial" w:cs="Arial"/>
                <w:color w:val="000000"/>
                <w:sz w:val="16"/>
              </w:rPr>
              <w:t xml:space="preserve"> - </w:t>
            </w:r>
          </w:p>
        </w:tc>
        <w:tc>
          <w:tcPr>
            <w:tcW w:w="1005" w:type="dxa"/>
            <w:tcBorders>
              <w:top w:val="nil"/>
              <w:left w:val="nil"/>
              <w:bottom w:val="nil"/>
              <w:right w:val="nil"/>
              <w:tl2br w:val="nil"/>
              <w:tr2bl w:val="nil"/>
            </w:tcBorders>
            <w:shd w:val="clear" w:color="auto" w:fill="FFFF00"/>
            <w:tcMar>
              <w:left w:w="115" w:type="dxa"/>
              <w:right w:w="115" w:type="dxa"/>
            </w:tcMar>
            <w:vAlign w:val="bottom"/>
          </w:tcPr>
          <w:p w14:paraId="400BD4E4" w14:textId="77777777" w:rsidR="003F0EEA" w:rsidRPr="00D403DC" w:rsidRDefault="00FB7D0B">
            <w:pPr>
              <w:jc w:val="right"/>
              <w:rPr>
                <w:rFonts w:ascii="Arial" w:eastAsia="Arial" w:hAnsi="Arial" w:cs="Arial"/>
                <w:color w:val="000000"/>
                <w:sz w:val="16"/>
              </w:rPr>
            </w:pPr>
            <w:r w:rsidRPr="00D403DC">
              <w:rPr>
                <w:rFonts w:ascii="Arial" w:eastAsia="Arial" w:hAnsi="Arial" w:cs="Arial"/>
                <w:color w:val="000000"/>
                <w:sz w:val="16"/>
              </w:rPr>
              <w:t xml:space="preserve"> - </w:t>
            </w:r>
          </w:p>
        </w:tc>
        <w:tc>
          <w:tcPr>
            <w:tcW w:w="1005" w:type="dxa"/>
            <w:tcBorders>
              <w:top w:val="nil"/>
              <w:left w:val="nil"/>
              <w:bottom w:val="nil"/>
              <w:right w:val="nil"/>
              <w:tl2br w:val="nil"/>
              <w:tr2bl w:val="nil"/>
            </w:tcBorders>
            <w:shd w:val="clear" w:color="auto" w:fill="FFFFFF"/>
            <w:tcMar>
              <w:left w:w="115" w:type="dxa"/>
              <w:right w:w="115" w:type="dxa"/>
            </w:tcMar>
            <w:vAlign w:val="bottom"/>
          </w:tcPr>
          <w:p w14:paraId="20F2FFFA" w14:textId="77777777" w:rsidR="003F0EEA" w:rsidRPr="00D403DC" w:rsidRDefault="00FB7D0B">
            <w:pPr>
              <w:jc w:val="right"/>
              <w:rPr>
                <w:rFonts w:ascii="Arial" w:eastAsia="Arial" w:hAnsi="Arial" w:cs="Arial"/>
                <w:color w:val="000000"/>
                <w:sz w:val="16"/>
              </w:rPr>
            </w:pPr>
            <w:r w:rsidRPr="00D403DC">
              <w:rPr>
                <w:rFonts w:ascii="Arial" w:eastAsia="Arial" w:hAnsi="Arial" w:cs="Arial"/>
                <w:color w:val="000000"/>
                <w:sz w:val="16"/>
              </w:rPr>
              <w:t xml:space="preserve"> - </w:t>
            </w:r>
          </w:p>
        </w:tc>
        <w:tc>
          <w:tcPr>
            <w:tcW w:w="1005" w:type="dxa"/>
            <w:tcBorders>
              <w:top w:val="nil"/>
              <w:left w:val="nil"/>
              <w:bottom w:val="nil"/>
              <w:right w:val="nil"/>
              <w:tl2br w:val="nil"/>
              <w:tr2bl w:val="nil"/>
            </w:tcBorders>
            <w:shd w:val="clear" w:color="auto" w:fill="FFFF00"/>
            <w:tcMar>
              <w:left w:w="115" w:type="dxa"/>
              <w:right w:w="115" w:type="dxa"/>
            </w:tcMar>
            <w:vAlign w:val="bottom"/>
          </w:tcPr>
          <w:p w14:paraId="2552E8CC" w14:textId="77777777" w:rsidR="003F0EEA" w:rsidRPr="00D403DC" w:rsidRDefault="00FB7D0B">
            <w:pPr>
              <w:jc w:val="right"/>
              <w:rPr>
                <w:rFonts w:ascii="Arial" w:eastAsia="Arial" w:hAnsi="Arial" w:cs="Arial"/>
                <w:color w:val="000000"/>
                <w:sz w:val="16"/>
              </w:rPr>
            </w:pPr>
            <w:r w:rsidRPr="00D403DC">
              <w:rPr>
                <w:rFonts w:ascii="Arial" w:eastAsia="Arial" w:hAnsi="Arial" w:cs="Arial"/>
                <w:color w:val="000000"/>
                <w:sz w:val="16"/>
              </w:rPr>
              <w:t xml:space="preserve"> - </w:t>
            </w:r>
          </w:p>
        </w:tc>
      </w:tr>
      <w:tr w:rsidR="00FB7D0B" w14:paraId="30CFD543" w14:textId="77777777" w:rsidTr="00FB7D0B">
        <w:trPr>
          <w:trHeight w:val="225"/>
        </w:trPr>
        <w:tc>
          <w:tcPr>
            <w:tcW w:w="2460" w:type="dxa"/>
            <w:gridSpan w:val="2"/>
            <w:tcBorders>
              <w:top w:val="nil"/>
              <w:left w:val="nil"/>
              <w:bottom w:val="nil"/>
              <w:right w:val="nil"/>
              <w:tl2br w:val="nil"/>
              <w:tr2bl w:val="nil"/>
            </w:tcBorders>
            <w:shd w:val="clear" w:color="auto" w:fill="FFFFFF"/>
            <w:tcMar>
              <w:left w:w="115" w:type="dxa"/>
              <w:right w:w="115" w:type="dxa"/>
            </w:tcMar>
            <w:vAlign w:val="bottom"/>
          </w:tcPr>
          <w:p w14:paraId="040EA76C" w14:textId="77777777" w:rsidR="003F0EEA" w:rsidRPr="00D403DC" w:rsidRDefault="00FB7D0B">
            <w:pPr>
              <w:rPr>
                <w:rFonts w:ascii="Arial" w:eastAsia="Arial" w:hAnsi="Arial" w:cs="Arial"/>
                <w:color w:val="000000"/>
                <w:sz w:val="16"/>
              </w:rPr>
            </w:pPr>
            <w:r w:rsidRPr="00D403DC">
              <w:rPr>
                <w:rFonts w:ascii="Arial" w:eastAsia="Arial" w:hAnsi="Arial" w:cs="Arial"/>
                <w:b/>
                <w:color w:val="000000"/>
                <w:sz w:val="16"/>
              </w:rPr>
              <w:t xml:space="preserve">Total </w:t>
            </w:r>
          </w:p>
        </w:tc>
        <w:tc>
          <w:tcPr>
            <w:tcW w:w="915" w:type="dxa"/>
            <w:tcBorders>
              <w:top w:val="nil"/>
              <w:left w:val="nil"/>
              <w:bottom w:val="nil"/>
              <w:right w:val="nil"/>
              <w:tl2br w:val="nil"/>
              <w:tr2bl w:val="nil"/>
            </w:tcBorders>
            <w:shd w:val="clear" w:color="auto" w:fill="FFFFFF"/>
            <w:tcMar>
              <w:left w:w="115" w:type="dxa"/>
              <w:right w:w="115" w:type="dxa"/>
            </w:tcMar>
            <w:vAlign w:val="bottom"/>
          </w:tcPr>
          <w:p w14:paraId="41399880" w14:textId="77777777" w:rsidR="003F0EEA" w:rsidRPr="00D403DC" w:rsidRDefault="003F0EEA">
            <w:pPr>
              <w:jc w:val="center"/>
              <w:rPr>
                <w:rFonts w:ascii="Arial" w:eastAsia="Arial" w:hAnsi="Arial" w:cs="Arial"/>
                <w:b/>
                <w:color w:val="000000"/>
                <w:sz w:val="16"/>
                <w:vertAlign w:val="superscript"/>
              </w:rPr>
            </w:pPr>
          </w:p>
        </w:tc>
        <w:tc>
          <w:tcPr>
            <w:tcW w:w="1005" w:type="dxa"/>
            <w:tcBorders>
              <w:top w:val="nil"/>
              <w:left w:val="nil"/>
              <w:bottom w:val="single" w:sz="6" w:space="0" w:color="000000"/>
              <w:right w:val="nil"/>
              <w:tl2br w:val="nil"/>
              <w:tr2bl w:val="nil"/>
            </w:tcBorders>
            <w:shd w:val="clear" w:color="auto" w:fill="FFFF00"/>
            <w:tcMar>
              <w:left w:w="115" w:type="dxa"/>
              <w:right w:w="115" w:type="dxa"/>
            </w:tcMar>
            <w:vAlign w:val="bottom"/>
          </w:tcPr>
          <w:p w14:paraId="599C3E2A" w14:textId="77777777" w:rsidR="003F0EEA" w:rsidRPr="00D403DC" w:rsidRDefault="00FB7D0B">
            <w:pPr>
              <w:jc w:val="right"/>
              <w:rPr>
                <w:rFonts w:ascii="Arial" w:eastAsia="Arial" w:hAnsi="Arial" w:cs="Arial"/>
                <w:color w:val="000000"/>
                <w:sz w:val="16"/>
                <w:vertAlign w:val="superscript"/>
              </w:rPr>
            </w:pPr>
            <w:r w:rsidRPr="00D403DC">
              <w:rPr>
                <w:rFonts w:ascii="Arial" w:eastAsia="Arial" w:hAnsi="Arial" w:cs="Arial"/>
                <w:b/>
                <w:color w:val="000000"/>
                <w:sz w:val="16"/>
              </w:rPr>
              <w:t xml:space="preserve"> - </w:t>
            </w:r>
          </w:p>
        </w:tc>
        <w:tc>
          <w:tcPr>
            <w:tcW w:w="1005"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5A09BF07" w14:textId="77777777" w:rsidR="003F0EEA" w:rsidRPr="00D403DC" w:rsidRDefault="00FB7D0B">
            <w:pPr>
              <w:jc w:val="right"/>
              <w:rPr>
                <w:rFonts w:ascii="Arial" w:eastAsia="Arial" w:hAnsi="Arial" w:cs="Arial"/>
                <w:b/>
                <w:color w:val="000000"/>
                <w:sz w:val="16"/>
              </w:rPr>
            </w:pPr>
            <w:r w:rsidRPr="00D403DC">
              <w:rPr>
                <w:rFonts w:ascii="Arial" w:eastAsia="Arial" w:hAnsi="Arial" w:cs="Arial"/>
                <w:b/>
                <w:color w:val="000000"/>
                <w:sz w:val="16"/>
              </w:rPr>
              <w:t>(12,162)</w:t>
            </w:r>
          </w:p>
        </w:tc>
        <w:tc>
          <w:tcPr>
            <w:tcW w:w="1005" w:type="dxa"/>
            <w:tcBorders>
              <w:top w:val="nil"/>
              <w:left w:val="nil"/>
              <w:bottom w:val="single" w:sz="6" w:space="0" w:color="000000"/>
              <w:right w:val="nil"/>
              <w:tl2br w:val="nil"/>
              <w:tr2bl w:val="nil"/>
            </w:tcBorders>
            <w:shd w:val="clear" w:color="auto" w:fill="FFFF00"/>
            <w:tcMar>
              <w:left w:w="115" w:type="dxa"/>
              <w:right w:w="115" w:type="dxa"/>
            </w:tcMar>
            <w:vAlign w:val="bottom"/>
          </w:tcPr>
          <w:p w14:paraId="42F24D5A" w14:textId="77777777" w:rsidR="003F0EEA" w:rsidRPr="00D403DC" w:rsidRDefault="00FB7D0B">
            <w:pPr>
              <w:jc w:val="right"/>
              <w:rPr>
                <w:rFonts w:ascii="Arial" w:eastAsia="Arial" w:hAnsi="Arial" w:cs="Arial"/>
                <w:b/>
                <w:color w:val="000000"/>
                <w:sz w:val="16"/>
              </w:rPr>
            </w:pPr>
            <w:r w:rsidRPr="00D403DC">
              <w:rPr>
                <w:rFonts w:ascii="Arial" w:eastAsia="Arial" w:hAnsi="Arial" w:cs="Arial"/>
                <w:b/>
                <w:color w:val="000000"/>
                <w:sz w:val="16"/>
              </w:rPr>
              <w:t>(25,742)</w:t>
            </w:r>
          </w:p>
        </w:tc>
        <w:tc>
          <w:tcPr>
            <w:tcW w:w="1005"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648E5F6B" w14:textId="77777777" w:rsidR="003F0EEA" w:rsidRPr="00D403DC" w:rsidRDefault="00FB7D0B">
            <w:pPr>
              <w:jc w:val="right"/>
              <w:rPr>
                <w:rFonts w:ascii="Arial" w:eastAsia="Arial" w:hAnsi="Arial" w:cs="Arial"/>
                <w:b/>
                <w:color w:val="000000"/>
                <w:sz w:val="16"/>
              </w:rPr>
            </w:pPr>
            <w:r w:rsidRPr="00D403DC">
              <w:rPr>
                <w:rFonts w:ascii="Arial" w:eastAsia="Arial" w:hAnsi="Arial" w:cs="Arial"/>
                <w:b/>
                <w:color w:val="000000"/>
                <w:sz w:val="16"/>
              </w:rPr>
              <w:t>(26,914)</w:t>
            </w:r>
          </w:p>
        </w:tc>
        <w:tc>
          <w:tcPr>
            <w:tcW w:w="1005" w:type="dxa"/>
            <w:tcBorders>
              <w:top w:val="nil"/>
              <w:left w:val="nil"/>
              <w:bottom w:val="single" w:sz="6" w:space="0" w:color="000000"/>
              <w:right w:val="nil"/>
              <w:tl2br w:val="nil"/>
              <w:tr2bl w:val="nil"/>
            </w:tcBorders>
            <w:shd w:val="clear" w:color="auto" w:fill="FFFF00"/>
            <w:tcMar>
              <w:left w:w="115" w:type="dxa"/>
              <w:right w:w="115" w:type="dxa"/>
            </w:tcMar>
            <w:vAlign w:val="bottom"/>
          </w:tcPr>
          <w:p w14:paraId="44EF7106" w14:textId="77777777" w:rsidR="003F0EEA" w:rsidRPr="00D403DC" w:rsidRDefault="00FB7D0B">
            <w:pPr>
              <w:jc w:val="right"/>
              <w:rPr>
                <w:rFonts w:ascii="Arial" w:eastAsia="Arial" w:hAnsi="Arial" w:cs="Arial"/>
                <w:b/>
                <w:color w:val="000000"/>
                <w:sz w:val="16"/>
              </w:rPr>
            </w:pPr>
            <w:r w:rsidRPr="00D403DC">
              <w:rPr>
                <w:rFonts w:ascii="Arial" w:eastAsia="Arial" w:hAnsi="Arial" w:cs="Arial"/>
                <w:b/>
                <w:color w:val="000000"/>
                <w:sz w:val="16"/>
              </w:rPr>
              <w:t>(28,492)</w:t>
            </w:r>
          </w:p>
        </w:tc>
      </w:tr>
      <w:tr w:rsidR="00724034" w14:paraId="7DB94469" w14:textId="77777777">
        <w:trPr>
          <w:trHeight w:val="225"/>
        </w:trPr>
        <w:tc>
          <w:tcPr>
            <w:tcW w:w="180" w:type="dxa"/>
            <w:tcBorders>
              <w:top w:val="nil"/>
              <w:left w:val="nil"/>
              <w:bottom w:val="nil"/>
              <w:right w:val="nil"/>
              <w:tl2br w:val="nil"/>
              <w:tr2bl w:val="nil"/>
            </w:tcBorders>
            <w:shd w:val="clear" w:color="auto" w:fill="FFFFFF"/>
            <w:tcMar>
              <w:left w:w="115" w:type="dxa"/>
              <w:right w:w="115" w:type="dxa"/>
            </w:tcMar>
            <w:vAlign w:val="bottom"/>
          </w:tcPr>
          <w:p w14:paraId="30353C44" w14:textId="77777777" w:rsidR="003F0EEA" w:rsidRPr="00D403DC" w:rsidRDefault="003F0EEA">
            <w:pPr>
              <w:rPr>
                <w:rFonts w:ascii="Arial" w:eastAsia="Arial" w:hAnsi="Arial" w:cs="Arial"/>
                <w:b/>
                <w:color w:val="000000"/>
                <w:sz w:val="16"/>
              </w:rPr>
            </w:pPr>
          </w:p>
        </w:tc>
        <w:tc>
          <w:tcPr>
            <w:tcW w:w="2280" w:type="dxa"/>
            <w:tcBorders>
              <w:top w:val="nil"/>
              <w:left w:val="nil"/>
              <w:bottom w:val="nil"/>
              <w:right w:val="nil"/>
              <w:tl2br w:val="nil"/>
              <w:tr2bl w:val="nil"/>
            </w:tcBorders>
            <w:shd w:val="clear" w:color="auto" w:fill="FFFFFF"/>
            <w:tcMar>
              <w:left w:w="115" w:type="dxa"/>
              <w:right w:w="115" w:type="dxa"/>
            </w:tcMar>
            <w:vAlign w:val="bottom"/>
          </w:tcPr>
          <w:p w14:paraId="0555B6C7" w14:textId="77777777" w:rsidR="003F0EEA" w:rsidRPr="00D403DC" w:rsidRDefault="003F0EEA">
            <w:pPr>
              <w:rPr>
                <w:rFonts w:ascii="Arial" w:eastAsia="Arial" w:hAnsi="Arial" w:cs="Arial"/>
                <w:b/>
                <w:color w:val="000000"/>
                <w:sz w:val="16"/>
              </w:rPr>
            </w:pPr>
          </w:p>
        </w:tc>
        <w:tc>
          <w:tcPr>
            <w:tcW w:w="915" w:type="dxa"/>
            <w:tcBorders>
              <w:top w:val="nil"/>
              <w:left w:val="nil"/>
              <w:bottom w:val="nil"/>
              <w:right w:val="nil"/>
              <w:tl2br w:val="nil"/>
              <w:tr2bl w:val="nil"/>
            </w:tcBorders>
            <w:shd w:val="clear" w:color="auto" w:fill="FFFFFF"/>
            <w:tcMar>
              <w:left w:w="115" w:type="dxa"/>
              <w:right w:w="115" w:type="dxa"/>
            </w:tcMar>
            <w:vAlign w:val="bottom"/>
          </w:tcPr>
          <w:p w14:paraId="44519B01" w14:textId="77777777" w:rsidR="003F0EEA" w:rsidRPr="00D403DC" w:rsidRDefault="003F0EEA">
            <w:pPr>
              <w:jc w:val="center"/>
              <w:rPr>
                <w:rFonts w:ascii="Arial" w:eastAsia="Arial" w:hAnsi="Arial" w:cs="Arial"/>
                <w:b/>
                <w:color w:val="000000"/>
                <w:sz w:val="16"/>
                <w:vertAlign w:val="superscript"/>
              </w:rPr>
            </w:pPr>
          </w:p>
        </w:tc>
        <w:tc>
          <w:tcPr>
            <w:tcW w:w="1005" w:type="dxa"/>
            <w:tcBorders>
              <w:top w:val="single" w:sz="6" w:space="0" w:color="000000"/>
              <w:left w:val="nil"/>
              <w:bottom w:val="nil"/>
              <w:right w:val="nil"/>
              <w:tl2br w:val="nil"/>
              <w:tr2bl w:val="nil"/>
            </w:tcBorders>
            <w:shd w:val="clear" w:color="auto" w:fill="FFFF00"/>
            <w:tcMar>
              <w:left w:w="115" w:type="dxa"/>
              <w:right w:w="115" w:type="dxa"/>
            </w:tcMar>
            <w:vAlign w:val="bottom"/>
          </w:tcPr>
          <w:p w14:paraId="09B43D5F" w14:textId="77777777" w:rsidR="003F0EEA" w:rsidRPr="00D403DC" w:rsidRDefault="003F0EEA">
            <w:pPr>
              <w:jc w:val="right"/>
              <w:rPr>
                <w:rFonts w:ascii="Arial" w:eastAsia="Arial" w:hAnsi="Arial" w:cs="Arial"/>
                <w:color w:val="000000"/>
                <w:sz w:val="16"/>
                <w:vertAlign w:val="superscript"/>
              </w:rPr>
            </w:pPr>
          </w:p>
        </w:tc>
        <w:tc>
          <w:tcPr>
            <w:tcW w:w="1005"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62A32E57" w14:textId="77777777" w:rsidR="003F0EEA" w:rsidRPr="00D403DC" w:rsidRDefault="003F0EEA">
            <w:pPr>
              <w:jc w:val="right"/>
              <w:rPr>
                <w:rFonts w:ascii="Arial" w:eastAsia="Arial" w:hAnsi="Arial" w:cs="Arial"/>
                <w:b/>
                <w:color w:val="000000"/>
                <w:sz w:val="16"/>
                <w:vertAlign w:val="superscript"/>
              </w:rPr>
            </w:pPr>
          </w:p>
        </w:tc>
        <w:tc>
          <w:tcPr>
            <w:tcW w:w="1005" w:type="dxa"/>
            <w:tcBorders>
              <w:top w:val="single" w:sz="6" w:space="0" w:color="000000"/>
              <w:left w:val="nil"/>
              <w:bottom w:val="nil"/>
              <w:right w:val="nil"/>
              <w:tl2br w:val="nil"/>
              <w:tr2bl w:val="nil"/>
            </w:tcBorders>
            <w:shd w:val="clear" w:color="auto" w:fill="FFFF00"/>
            <w:tcMar>
              <w:left w:w="115" w:type="dxa"/>
              <w:right w:w="115" w:type="dxa"/>
            </w:tcMar>
            <w:vAlign w:val="bottom"/>
          </w:tcPr>
          <w:p w14:paraId="2935AEBA" w14:textId="77777777" w:rsidR="003F0EEA" w:rsidRPr="00D403DC" w:rsidRDefault="003F0EEA">
            <w:pPr>
              <w:jc w:val="right"/>
              <w:rPr>
                <w:rFonts w:ascii="Arial" w:eastAsia="Arial" w:hAnsi="Arial" w:cs="Arial"/>
                <w:b/>
                <w:color w:val="000000"/>
                <w:sz w:val="16"/>
                <w:vertAlign w:val="superscript"/>
              </w:rPr>
            </w:pPr>
          </w:p>
        </w:tc>
        <w:tc>
          <w:tcPr>
            <w:tcW w:w="1005"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0B7CD75C" w14:textId="77777777" w:rsidR="003F0EEA" w:rsidRPr="00D403DC" w:rsidRDefault="003F0EEA">
            <w:pPr>
              <w:jc w:val="right"/>
              <w:rPr>
                <w:rFonts w:ascii="Arial" w:eastAsia="Arial" w:hAnsi="Arial" w:cs="Arial"/>
                <w:b/>
                <w:color w:val="000000"/>
                <w:sz w:val="16"/>
                <w:vertAlign w:val="superscript"/>
              </w:rPr>
            </w:pPr>
          </w:p>
        </w:tc>
        <w:tc>
          <w:tcPr>
            <w:tcW w:w="1005" w:type="dxa"/>
            <w:tcBorders>
              <w:top w:val="single" w:sz="6" w:space="0" w:color="000000"/>
              <w:left w:val="nil"/>
              <w:bottom w:val="nil"/>
              <w:right w:val="nil"/>
              <w:tl2br w:val="nil"/>
              <w:tr2bl w:val="nil"/>
            </w:tcBorders>
            <w:shd w:val="clear" w:color="auto" w:fill="FFFF00"/>
            <w:tcMar>
              <w:left w:w="115" w:type="dxa"/>
              <w:right w:w="115" w:type="dxa"/>
            </w:tcMar>
            <w:vAlign w:val="bottom"/>
          </w:tcPr>
          <w:p w14:paraId="4F5EAA54" w14:textId="77777777" w:rsidR="003F0EEA" w:rsidRPr="00D403DC" w:rsidRDefault="003F0EEA">
            <w:pPr>
              <w:jc w:val="right"/>
              <w:rPr>
                <w:rFonts w:ascii="Arial" w:eastAsia="Arial" w:hAnsi="Arial" w:cs="Arial"/>
                <w:b/>
                <w:color w:val="000000"/>
                <w:sz w:val="16"/>
                <w:vertAlign w:val="superscript"/>
              </w:rPr>
            </w:pPr>
          </w:p>
        </w:tc>
      </w:tr>
      <w:tr w:rsidR="00FB7D0B" w14:paraId="1CFACF9C" w14:textId="77777777" w:rsidTr="00FB7D0B">
        <w:trPr>
          <w:trHeight w:val="480"/>
        </w:trPr>
        <w:tc>
          <w:tcPr>
            <w:tcW w:w="2460" w:type="dxa"/>
            <w:gridSpan w:val="2"/>
            <w:tcBorders>
              <w:top w:val="nil"/>
              <w:left w:val="nil"/>
              <w:bottom w:val="nil"/>
              <w:right w:val="nil"/>
              <w:tl2br w:val="nil"/>
              <w:tr2bl w:val="nil"/>
            </w:tcBorders>
            <w:shd w:val="clear" w:color="auto" w:fill="FFFFFF"/>
            <w:tcMar>
              <w:left w:w="115" w:type="dxa"/>
              <w:right w:w="115" w:type="dxa"/>
            </w:tcMar>
            <w:vAlign w:val="bottom"/>
          </w:tcPr>
          <w:p w14:paraId="47825F90" w14:textId="77777777" w:rsidR="003F0EEA" w:rsidRPr="00D403DC" w:rsidRDefault="00FB7D0B">
            <w:pPr>
              <w:rPr>
                <w:rFonts w:ascii="Arial" w:eastAsia="Arial" w:hAnsi="Arial" w:cs="Arial"/>
                <w:b/>
                <w:color w:val="000000"/>
                <w:sz w:val="16"/>
                <w:vertAlign w:val="superscript"/>
              </w:rPr>
            </w:pPr>
            <w:r w:rsidRPr="00D403DC">
              <w:rPr>
                <w:rFonts w:ascii="Arial" w:eastAsia="Arial" w:hAnsi="Arial" w:cs="Arial"/>
                <w:color w:val="000000"/>
                <w:sz w:val="16"/>
              </w:rPr>
              <w:t>Reprioritising the Aged Care Workforce Supplement</w:t>
            </w:r>
            <w:r w:rsidRPr="00D403DC">
              <w:rPr>
                <w:rFonts w:ascii="Arial" w:eastAsia="Arial" w:hAnsi="Arial" w:cs="Arial"/>
                <w:color w:val="000000"/>
                <w:sz w:val="16"/>
                <w:vertAlign w:val="superscript"/>
              </w:rPr>
              <w:t>1 </w:t>
            </w:r>
          </w:p>
        </w:tc>
        <w:tc>
          <w:tcPr>
            <w:tcW w:w="915" w:type="dxa"/>
            <w:tcBorders>
              <w:top w:val="nil"/>
              <w:left w:val="nil"/>
              <w:bottom w:val="nil"/>
              <w:right w:val="nil"/>
              <w:tl2br w:val="nil"/>
              <w:tr2bl w:val="nil"/>
            </w:tcBorders>
            <w:shd w:val="clear" w:color="auto" w:fill="FFFFFF"/>
            <w:tcMar>
              <w:left w:w="115" w:type="dxa"/>
              <w:right w:w="115" w:type="dxa"/>
            </w:tcMar>
            <w:vAlign w:val="bottom"/>
          </w:tcPr>
          <w:p w14:paraId="6F98F50C" w14:textId="77777777" w:rsidR="003F0EEA" w:rsidRPr="00D403DC" w:rsidRDefault="00FB7D0B">
            <w:pPr>
              <w:jc w:val="center"/>
              <w:rPr>
                <w:rFonts w:ascii="Arial" w:eastAsia="Arial" w:hAnsi="Arial" w:cs="Arial"/>
                <w:color w:val="000000"/>
                <w:sz w:val="16"/>
                <w:vertAlign w:val="superscript"/>
              </w:rPr>
            </w:pPr>
            <w:r w:rsidRPr="00D403DC">
              <w:rPr>
                <w:rFonts w:ascii="Arial" w:eastAsia="Arial" w:hAnsi="Arial" w:cs="Arial"/>
                <w:color w:val="000000"/>
                <w:sz w:val="16"/>
              </w:rPr>
              <w:t>2.4 </w:t>
            </w:r>
          </w:p>
        </w:tc>
        <w:tc>
          <w:tcPr>
            <w:tcW w:w="1005" w:type="dxa"/>
            <w:tcBorders>
              <w:top w:val="nil"/>
              <w:left w:val="nil"/>
              <w:bottom w:val="nil"/>
              <w:right w:val="nil"/>
              <w:tl2br w:val="nil"/>
              <w:tr2bl w:val="nil"/>
            </w:tcBorders>
            <w:shd w:val="clear" w:color="auto" w:fill="FFFF00"/>
            <w:tcMar>
              <w:left w:w="115" w:type="dxa"/>
              <w:right w:w="115" w:type="dxa"/>
            </w:tcMar>
            <w:vAlign w:val="bottom"/>
          </w:tcPr>
          <w:p w14:paraId="59FDB01D" w14:textId="77777777" w:rsidR="003F0EEA" w:rsidRPr="00D403DC" w:rsidRDefault="003F0EEA">
            <w:pPr>
              <w:jc w:val="right"/>
              <w:rPr>
                <w:rFonts w:ascii="Arial" w:eastAsia="Arial" w:hAnsi="Arial" w:cs="Arial"/>
                <w:color w:val="000000"/>
                <w:sz w:val="16"/>
              </w:rPr>
            </w:pPr>
          </w:p>
        </w:tc>
        <w:tc>
          <w:tcPr>
            <w:tcW w:w="1005" w:type="dxa"/>
            <w:tcBorders>
              <w:top w:val="nil"/>
              <w:left w:val="nil"/>
              <w:bottom w:val="nil"/>
              <w:right w:val="nil"/>
              <w:tl2br w:val="nil"/>
              <w:tr2bl w:val="nil"/>
            </w:tcBorders>
            <w:shd w:val="clear" w:color="auto" w:fill="FFFFFF"/>
            <w:tcMar>
              <w:left w:w="115" w:type="dxa"/>
              <w:right w:w="115" w:type="dxa"/>
            </w:tcMar>
            <w:vAlign w:val="bottom"/>
          </w:tcPr>
          <w:p w14:paraId="745A31F5" w14:textId="77777777" w:rsidR="003F0EEA" w:rsidRPr="00D403DC" w:rsidRDefault="003F0EEA">
            <w:pPr>
              <w:jc w:val="right"/>
              <w:rPr>
                <w:rFonts w:ascii="Arial" w:eastAsia="Arial" w:hAnsi="Arial" w:cs="Arial"/>
                <w:color w:val="000000"/>
                <w:sz w:val="16"/>
              </w:rPr>
            </w:pPr>
          </w:p>
        </w:tc>
        <w:tc>
          <w:tcPr>
            <w:tcW w:w="1005" w:type="dxa"/>
            <w:tcBorders>
              <w:top w:val="nil"/>
              <w:left w:val="nil"/>
              <w:bottom w:val="nil"/>
              <w:right w:val="nil"/>
              <w:tl2br w:val="nil"/>
              <w:tr2bl w:val="nil"/>
            </w:tcBorders>
            <w:shd w:val="clear" w:color="auto" w:fill="FFFF00"/>
            <w:tcMar>
              <w:left w:w="115" w:type="dxa"/>
              <w:right w:w="115" w:type="dxa"/>
            </w:tcMar>
            <w:vAlign w:val="bottom"/>
          </w:tcPr>
          <w:p w14:paraId="433B73A6" w14:textId="77777777" w:rsidR="003F0EEA" w:rsidRPr="00D403DC" w:rsidRDefault="003F0EEA">
            <w:pPr>
              <w:jc w:val="right"/>
              <w:rPr>
                <w:rFonts w:ascii="Arial" w:eastAsia="Arial" w:hAnsi="Arial" w:cs="Arial"/>
                <w:color w:val="000000"/>
                <w:sz w:val="16"/>
              </w:rPr>
            </w:pPr>
          </w:p>
        </w:tc>
        <w:tc>
          <w:tcPr>
            <w:tcW w:w="1005" w:type="dxa"/>
            <w:tcBorders>
              <w:top w:val="nil"/>
              <w:left w:val="nil"/>
              <w:bottom w:val="nil"/>
              <w:right w:val="nil"/>
              <w:tl2br w:val="nil"/>
              <w:tr2bl w:val="nil"/>
            </w:tcBorders>
            <w:shd w:val="clear" w:color="auto" w:fill="FFFFFF"/>
            <w:tcMar>
              <w:left w:w="115" w:type="dxa"/>
              <w:right w:w="115" w:type="dxa"/>
            </w:tcMar>
            <w:vAlign w:val="bottom"/>
          </w:tcPr>
          <w:p w14:paraId="5AD073A8" w14:textId="77777777" w:rsidR="003F0EEA" w:rsidRPr="00D403DC" w:rsidRDefault="003F0EEA">
            <w:pPr>
              <w:jc w:val="right"/>
              <w:rPr>
                <w:rFonts w:ascii="Arial" w:eastAsia="Arial" w:hAnsi="Arial" w:cs="Arial"/>
                <w:color w:val="000000"/>
                <w:sz w:val="16"/>
              </w:rPr>
            </w:pPr>
          </w:p>
        </w:tc>
        <w:tc>
          <w:tcPr>
            <w:tcW w:w="1005" w:type="dxa"/>
            <w:tcBorders>
              <w:top w:val="nil"/>
              <w:left w:val="nil"/>
              <w:bottom w:val="nil"/>
              <w:right w:val="nil"/>
              <w:tl2br w:val="nil"/>
              <w:tr2bl w:val="nil"/>
            </w:tcBorders>
            <w:shd w:val="clear" w:color="auto" w:fill="FFFF00"/>
            <w:tcMar>
              <w:left w:w="115" w:type="dxa"/>
              <w:right w:w="115" w:type="dxa"/>
            </w:tcMar>
            <w:vAlign w:val="bottom"/>
          </w:tcPr>
          <w:p w14:paraId="09F1D165" w14:textId="77777777" w:rsidR="003F0EEA" w:rsidRPr="00D403DC" w:rsidRDefault="003F0EEA">
            <w:pPr>
              <w:jc w:val="right"/>
              <w:rPr>
                <w:rFonts w:ascii="Arial" w:eastAsia="Arial" w:hAnsi="Arial" w:cs="Arial"/>
                <w:color w:val="000000"/>
                <w:sz w:val="16"/>
              </w:rPr>
            </w:pPr>
          </w:p>
        </w:tc>
      </w:tr>
      <w:tr w:rsidR="00724034" w14:paraId="4F10BF97" w14:textId="77777777">
        <w:trPr>
          <w:trHeight w:val="210"/>
        </w:trPr>
        <w:tc>
          <w:tcPr>
            <w:tcW w:w="180" w:type="dxa"/>
            <w:tcBorders>
              <w:top w:val="nil"/>
              <w:left w:val="nil"/>
              <w:bottom w:val="nil"/>
              <w:right w:val="nil"/>
              <w:tl2br w:val="nil"/>
              <w:tr2bl w:val="nil"/>
            </w:tcBorders>
            <w:shd w:val="clear" w:color="auto" w:fill="FFFFFF"/>
            <w:tcMar>
              <w:left w:w="115" w:type="dxa"/>
              <w:right w:w="115" w:type="dxa"/>
            </w:tcMar>
            <w:vAlign w:val="bottom"/>
          </w:tcPr>
          <w:p w14:paraId="5CFB44D3" w14:textId="77777777" w:rsidR="003F0EEA" w:rsidRPr="00D403DC" w:rsidRDefault="003F0EEA">
            <w:pPr>
              <w:rPr>
                <w:rFonts w:ascii="Arial" w:eastAsia="Arial" w:hAnsi="Arial" w:cs="Arial"/>
                <w:color w:val="000000"/>
                <w:sz w:val="16"/>
              </w:rPr>
            </w:pPr>
          </w:p>
        </w:tc>
        <w:tc>
          <w:tcPr>
            <w:tcW w:w="2280" w:type="dxa"/>
            <w:tcBorders>
              <w:top w:val="nil"/>
              <w:left w:val="nil"/>
              <w:bottom w:val="nil"/>
              <w:right w:val="nil"/>
              <w:tl2br w:val="nil"/>
              <w:tr2bl w:val="nil"/>
            </w:tcBorders>
            <w:shd w:val="clear" w:color="auto" w:fill="FFFFFF"/>
            <w:tcMar>
              <w:left w:w="115" w:type="dxa"/>
              <w:right w:w="115" w:type="dxa"/>
            </w:tcMar>
            <w:vAlign w:val="bottom"/>
          </w:tcPr>
          <w:p w14:paraId="2E8C327D" w14:textId="77777777" w:rsidR="003F0EEA" w:rsidRPr="00D403DC" w:rsidRDefault="00FB7D0B">
            <w:pPr>
              <w:rPr>
                <w:rFonts w:ascii="Arial" w:eastAsia="Arial" w:hAnsi="Arial" w:cs="Arial"/>
                <w:color w:val="000000"/>
                <w:sz w:val="16"/>
              </w:rPr>
            </w:pPr>
            <w:r w:rsidRPr="00D403DC">
              <w:rPr>
                <w:rFonts w:ascii="Arial" w:eastAsia="Arial" w:hAnsi="Arial" w:cs="Arial"/>
                <w:color w:val="000000"/>
                <w:sz w:val="16"/>
              </w:rPr>
              <w:t>Administered expenses</w:t>
            </w:r>
          </w:p>
        </w:tc>
        <w:tc>
          <w:tcPr>
            <w:tcW w:w="915" w:type="dxa"/>
            <w:tcBorders>
              <w:top w:val="nil"/>
              <w:left w:val="nil"/>
              <w:bottom w:val="nil"/>
              <w:right w:val="nil"/>
              <w:tl2br w:val="nil"/>
              <w:tr2bl w:val="nil"/>
            </w:tcBorders>
            <w:shd w:val="clear" w:color="auto" w:fill="FFFFFF"/>
            <w:tcMar>
              <w:left w:w="115" w:type="dxa"/>
              <w:right w:w="115" w:type="dxa"/>
            </w:tcMar>
            <w:vAlign w:val="bottom"/>
          </w:tcPr>
          <w:p w14:paraId="5379A519" w14:textId="77777777" w:rsidR="003F0EEA" w:rsidRPr="00D403DC" w:rsidRDefault="003F0EEA">
            <w:pPr>
              <w:jc w:val="center"/>
              <w:rPr>
                <w:rFonts w:ascii="Arial" w:eastAsia="Arial" w:hAnsi="Arial" w:cs="Arial"/>
                <w:color w:val="000000"/>
                <w:sz w:val="16"/>
                <w:vertAlign w:val="superscript"/>
              </w:rPr>
            </w:pPr>
          </w:p>
        </w:tc>
        <w:tc>
          <w:tcPr>
            <w:tcW w:w="1005" w:type="dxa"/>
            <w:tcBorders>
              <w:top w:val="nil"/>
              <w:left w:val="nil"/>
              <w:bottom w:val="nil"/>
              <w:right w:val="nil"/>
              <w:tl2br w:val="nil"/>
              <w:tr2bl w:val="nil"/>
            </w:tcBorders>
            <w:shd w:val="clear" w:color="auto" w:fill="FFFF00"/>
            <w:tcMar>
              <w:left w:w="115" w:type="dxa"/>
              <w:right w:w="115" w:type="dxa"/>
            </w:tcMar>
            <w:vAlign w:val="bottom"/>
          </w:tcPr>
          <w:p w14:paraId="7CBF990E" w14:textId="77777777" w:rsidR="003F0EEA" w:rsidRPr="00D403DC" w:rsidRDefault="00FB7D0B">
            <w:pPr>
              <w:jc w:val="right"/>
              <w:rPr>
                <w:rFonts w:ascii="Arial" w:eastAsia="Arial" w:hAnsi="Arial" w:cs="Arial"/>
                <w:color w:val="000000"/>
                <w:sz w:val="16"/>
                <w:vertAlign w:val="superscript"/>
              </w:rPr>
            </w:pPr>
            <w:r w:rsidRPr="00D403DC">
              <w:rPr>
                <w:rFonts w:ascii="Arial" w:eastAsia="Arial" w:hAnsi="Arial" w:cs="Arial"/>
                <w:color w:val="000000"/>
                <w:sz w:val="16"/>
              </w:rPr>
              <w:t>(10,816)</w:t>
            </w:r>
          </w:p>
        </w:tc>
        <w:tc>
          <w:tcPr>
            <w:tcW w:w="1005" w:type="dxa"/>
            <w:tcBorders>
              <w:top w:val="nil"/>
              <w:left w:val="nil"/>
              <w:bottom w:val="nil"/>
              <w:right w:val="nil"/>
              <w:tl2br w:val="nil"/>
              <w:tr2bl w:val="nil"/>
            </w:tcBorders>
            <w:shd w:val="clear" w:color="auto" w:fill="FFFFFF"/>
            <w:tcMar>
              <w:left w:w="115" w:type="dxa"/>
              <w:right w:w="115" w:type="dxa"/>
            </w:tcMar>
            <w:vAlign w:val="bottom"/>
          </w:tcPr>
          <w:p w14:paraId="5D5F9A48" w14:textId="77777777" w:rsidR="003F0EEA" w:rsidRPr="00D403DC" w:rsidRDefault="00FB7D0B">
            <w:pPr>
              <w:jc w:val="right"/>
              <w:rPr>
                <w:rFonts w:ascii="Arial" w:eastAsia="Arial" w:hAnsi="Arial" w:cs="Arial"/>
                <w:color w:val="000000"/>
                <w:sz w:val="16"/>
              </w:rPr>
            </w:pPr>
            <w:r w:rsidRPr="00D403DC">
              <w:rPr>
                <w:rFonts w:ascii="Arial" w:eastAsia="Arial" w:hAnsi="Arial" w:cs="Arial"/>
                <w:color w:val="000000"/>
                <w:sz w:val="16"/>
              </w:rPr>
              <w:t>14,581  </w:t>
            </w:r>
          </w:p>
        </w:tc>
        <w:tc>
          <w:tcPr>
            <w:tcW w:w="1005" w:type="dxa"/>
            <w:tcBorders>
              <w:top w:val="nil"/>
              <w:left w:val="nil"/>
              <w:bottom w:val="nil"/>
              <w:right w:val="nil"/>
              <w:tl2br w:val="nil"/>
              <w:tr2bl w:val="nil"/>
            </w:tcBorders>
            <w:shd w:val="clear" w:color="auto" w:fill="FFFF00"/>
            <w:tcMar>
              <w:left w:w="115" w:type="dxa"/>
              <w:right w:w="115" w:type="dxa"/>
            </w:tcMar>
            <w:vAlign w:val="bottom"/>
          </w:tcPr>
          <w:p w14:paraId="37AEA116" w14:textId="77777777" w:rsidR="003F0EEA" w:rsidRPr="00D403DC" w:rsidRDefault="00FB7D0B">
            <w:pPr>
              <w:jc w:val="right"/>
              <w:rPr>
                <w:rFonts w:ascii="Arial" w:eastAsia="Arial" w:hAnsi="Arial" w:cs="Arial"/>
                <w:color w:val="000000"/>
                <w:sz w:val="16"/>
              </w:rPr>
            </w:pPr>
            <w:r w:rsidRPr="00D403DC">
              <w:rPr>
                <w:rFonts w:ascii="Arial" w:eastAsia="Arial" w:hAnsi="Arial" w:cs="Arial"/>
                <w:color w:val="000000"/>
                <w:sz w:val="16"/>
              </w:rPr>
              <w:t>(312)</w:t>
            </w:r>
          </w:p>
        </w:tc>
        <w:tc>
          <w:tcPr>
            <w:tcW w:w="1005" w:type="dxa"/>
            <w:tcBorders>
              <w:top w:val="nil"/>
              <w:left w:val="nil"/>
              <w:bottom w:val="nil"/>
              <w:right w:val="nil"/>
              <w:tl2br w:val="nil"/>
              <w:tr2bl w:val="nil"/>
            </w:tcBorders>
            <w:shd w:val="clear" w:color="auto" w:fill="FFFFFF"/>
            <w:tcMar>
              <w:left w:w="115" w:type="dxa"/>
              <w:right w:w="115" w:type="dxa"/>
            </w:tcMar>
            <w:vAlign w:val="bottom"/>
          </w:tcPr>
          <w:p w14:paraId="4166962B" w14:textId="77777777" w:rsidR="003F0EEA" w:rsidRPr="00D403DC" w:rsidRDefault="00FB7D0B">
            <w:pPr>
              <w:jc w:val="right"/>
              <w:rPr>
                <w:rFonts w:ascii="Arial" w:eastAsia="Arial" w:hAnsi="Arial" w:cs="Arial"/>
                <w:color w:val="000000"/>
                <w:sz w:val="16"/>
              </w:rPr>
            </w:pPr>
            <w:r w:rsidRPr="00D403DC">
              <w:rPr>
                <w:rFonts w:ascii="Arial" w:eastAsia="Arial" w:hAnsi="Arial" w:cs="Arial"/>
                <w:color w:val="000000"/>
                <w:sz w:val="16"/>
              </w:rPr>
              <w:t>(10,466)</w:t>
            </w:r>
          </w:p>
        </w:tc>
        <w:tc>
          <w:tcPr>
            <w:tcW w:w="1005" w:type="dxa"/>
            <w:tcBorders>
              <w:top w:val="nil"/>
              <w:left w:val="nil"/>
              <w:bottom w:val="nil"/>
              <w:right w:val="nil"/>
              <w:tl2br w:val="nil"/>
              <w:tr2bl w:val="nil"/>
            </w:tcBorders>
            <w:shd w:val="clear" w:color="auto" w:fill="FFFF00"/>
            <w:tcMar>
              <w:left w:w="115" w:type="dxa"/>
              <w:right w:w="115" w:type="dxa"/>
            </w:tcMar>
            <w:vAlign w:val="bottom"/>
          </w:tcPr>
          <w:p w14:paraId="179BCCE9" w14:textId="77777777" w:rsidR="003F0EEA" w:rsidRPr="00D403DC" w:rsidRDefault="00FB7D0B">
            <w:pPr>
              <w:jc w:val="right"/>
              <w:rPr>
                <w:rFonts w:ascii="Arial" w:eastAsia="Arial" w:hAnsi="Arial" w:cs="Arial"/>
                <w:color w:val="000000"/>
                <w:sz w:val="16"/>
              </w:rPr>
            </w:pPr>
            <w:r w:rsidRPr="00D403DC">
              <w:rPr>
                <w:rFonts w:ascii="Arial" w:eastAsia="Arial" w:hAnsi="Arial" w:cs="Arial"/>
                <w:color w:val="000000"/>
                <w:sz w:val="16"/>
              </w:rPr>
              <w:t>(12,016)</w:t>
            </w:r>
          </w:p>
        </w:tc>
      </w:tr>
      <w:tr w:rsidR="00724034" w14:paraId="6F10CC76" w14:textId="77777777">
        <w:trPr>
          <w:trHeight w:val="225"/>
        </w:trPr>
        <w:tc>
          <w:tcPr>
            <w:tcW w:w="180" w:type="dxa"/>
            <w:tcBorders>
              <w:top w:val="nil"/>
              <w:left w:val="nil"/>
              <w:bottom w:val="nil"/>
              <w:right w:val="nil"/>
              <w:tl2br w:val="nil"/>
              <w:tr2bl w:val="nil"/>
            </w:tcBorders>
            <w:shd w:val="clear" w:color="auto" w:fill="FFFFFF"/>
            <w:tcMar>
              <w:left w:w="115" w:type="dxa"/>
              <w:right w:w="115" w:type="dxa"/>
            </w:tcMar>
            <w:vAlign w:val="bottom"/>
          </w:tcPr>
          <w:p w14:paraId="5092DF7E" w14:textId="77777777" w:rsidR="003F0EEA" w:rsidRPr="00D403DC" w:rsidRDefault="003F0EEA">
            <w:pPr>
              <w:rPr>
                <w:rFonts w:ascii="Arial" w:eastAsia="Arial" w:hAnsi="Arial" w:cs="Arial"/>
                <w:color w:val="000000"/>
                <w:sz w:val="16"/>
              </w:rPr>
            </w:pPr>
          </w:p>
        </w:tc>
        <w:tc>
          <w:tcPr>
            <w:tcW w:w="2280" w:type="dxa"/>
            <w:tcBorders>
              <w:top w:val="nil"/>
              <w:left w:val="nil"/>
              <w:bottom w:val="nil"/>
              <w:right w:val="nil"/>
              <w:tl2br w:val="nil"/>
              <w:tr2bl w:val="nil"/>
            </w:tcBorders>
            <w:shd w:val="clear" w:color="auto" w:fill="FFFFFF"/>
            <w:tcMar>
              <w:left w:w="115" w:type="dxa"/>
              <w:right w:w="115" w:type="dxa"/>
            </w:tcMar>
            <w:vAlign w:val="bottom"/>
          </w:tcPr>
          <w:p w14:paraId="2D94C43C" w14:textId="77777777" w:rsidR="003F0EEA" w:rsidRPr="00D403DC" w:rsidRDefault="00FB7D0B">
            <w:pPr>
              <w:rPr>
                <w:rFonts w:ascii="Arial" w:eastAsia="Arial" w:hAnsi="Arial" w:cs="Arial"/>
                <w:color w:val="000000"/>
                <w:sz w:val="16"/>
              </w:rPr>
            </w:pPr>
            <w:r w:rsidRPr="00D403DC">
              <w:rPr>
                <w:rFonts w:ascii="Arial" w:eastAsia="Arial" w:hAnsi="Arial" w:cs="Arial"/>
                <w:color w:val="000000"/>
                <w:sz w:val="16"/>
              </w:rPr>
              <w:t>Departmental expenses</w:t>
            </w:r>
          </w:p>
        </w:tc>
        <w:tc>
          <w:tcPr>
            <w:tcW w:w="915" w:type="dxa"/>
            <w:tcBorders>
              <w:top w:val="nil"/>
              <w:left w:val="nil"/>
              <w:bottom w:val="nil"/>
              <w:right w:val="nil"/>
              <w:tl2br w:val="nil"/>
              <w:tr2bl w:val="nil"/>
            </w:tcBorders>
            <w:shd w:val="clear" w:color="auto" w:fill="FFFFFF"/>
            <w:tcMar>
              <w:left w:w="115" w:type="dxa"/>
              <w:right w:w="115" w:type="dxa"/>
            </w:tcMar>
            <w:vAlign w:val="bottom"/>
          </w:tcPr>
          <w:p w14:paraId="3F38F502" w14:textId="77777777" w:rsidR="003F0EEA" w:rsidRPr="00D403DC" w:rsidRDefault="003F0EEA">
            <w:pPr>
              <w:jc w:val="center"/>
              <w:rPr>
                <w:rFonts w:ascii="Arial" w:eastAsia="Arial" w:hAnsi="Arial" w:cs="Arial"/>
                <w:color w:val="000000"/>
                <w:sz w:val="16"/>
                <w:vertAlign w:val="superscript"/>
              </w:rPr>
            </w:pPr>
          </w:p>
        </w:tc>
        <w:tc>
          <w:tcPr>
            <w:tcW w:w="1005" w:type="dxa"/>
            <w:tcBorders>
              <w:top w:val="nil"/>
              <w:left w:val="nil"/>
              <w:bottom w:val="nil"/>
              <w:right w:val="nil"/>
              <w:tl2br w:val="nil"/>
              <w:tr2bl w:val="nil"/>
            </w:tcBorders>
            <w:shd w:val="clear" w:color="auto" w:fill="FFFF00"/>
            <w:tcMar>
              <w:left w:w="115" w:type="dxa"/>
              <w:right w:w="115" w:type="dxa"/>
            </w:tcMar>
            <w:vAlign w:val="bottom"/>
          </w:tcPr>
          <w:p w14:paraId="071C24F2" w14:textId="77777777" w:rsidR="003F0EEA" w:rsidRPr="00D403DC" w:rsidRDefault="00FB7D0B">
            <w:pPr>
              <w:jc w:val="right"/>
              <w:rPr>
                <w:rFonts w:ascii="Arial" w:eastAsia="Arial" w:hAnsi="Arial" w:cs="Arial"/>
                <w:color w:val="000000"/>
                <w:sz w:val="16"/>
                <w:vertAlign w:val="superscript"/>
              </w:rPr>
            </w:pPr>
            <w:r w:rsidRPr="00D403DC">
              <w:rPr>
                <w:rFonts w:ascii="Arial" w:eastAsia="Arial" w:hAnsi="Arial" w:cs="Arial"/>
                <w:color w:val="000000"/>
                <w:sz w:val="16"/>
              </w:rPr>
              <w:t xml:space="preserve"> - </w:t>
            </w:r>
          </w:p>
        </w:tc>
        <w:tc>
          <w:tcPr>
            <w:tcW w:w="1005" w:type="dxa"/>
            <w:tcBorders>
              <w:top w:val="nil"/>
              <w:left w:val="nil"/>
              <w:bottom w:val="nil"/>
              <w:right w:val="nil"/>
              <w:tl2br w:val="nil"/>
              <w:tr2bl w:val="nil"/>
            </w:tcBorders>
            <w:shd w:val="clear" w:color="auto" w:fill="FFFFFF"/>
            <w:tcMar>
              <w:left w:w="115" w:type="dxa"/>
              <w:right w:w="115" w:type="dxa"/>
            </w:tcMar>
            <w:vAlign w:val="bottom"/>
          </w:tcPr>
          <w:p w14:paraId="5DC21BDF" w14:textId="77777777" w:rsidR="003F0EEA" w:rsidRPr="00D403DC" w:rsidRDefault="00FB7D0B">
            <w:pPr>
              <w:jc w:val="right"/>
              <w:rPr>
                <w:rFonts w:ascii="Arial" w:eastAsia="Arial" w:hAnsi="Arial" w:cs="Arial"/>
                <w:color w:val="000000"/>
                <w:sz w:val="16"/>
              </w:rPr>
            </w:pPr>
            <w:r w:rsidRPr="00D403DC">
              <w:rPr>
                <w:rFonts w:ascii="Arial" w:eastAsia="Arial" w:hAnsi="Arial" w:cs="Arial"/>
                <w:color w:val="000000"/>
                <w:sz w:val="16"/>
              </w:rPr>
              <w:t>(358)</w:t>
            </w:r>
          </w:p>
        </w:tc>
        <w:tc>
          <w:tcPr>
            <w:tcW w:w="1005" w:type="dxa"/>
            <w:tcBorders>
              <w:top w:val="nil"/>
              <w:left w:val="nil"/>
              <w:bottom w:val="nil"/>
              <w:right w:val="nil"/>
              <w:tl2br w:val="nil"/>
              <w:tr2bl w:val="nil"/>
            </w:tcBorders>
            <w:shd w:val="clear" w:color="auto" w:fill="FFFF00"/>
            <w:tcMar>
              <w:left w:w="115" w:type="dxa"/>
              <w:right w:w="115" w:type="dxa"/>
            </w:tcMar>
            <w:vAlign w:val="bottom"/>
          </w:tcPr>
          <w:p w14:paraId="7AB4308C" w14:textId="77777777" w:rsidR="003F0EEA" w:rsidRPr="00D403DC" w:rsidRDefault="00FB7D0B">
            <w:pPr>
              <w:jc w:val="right"/>
              <w:rPr>
                <w:rFonts w:ascii="Arial" w:eastAsia="Arial" w:hAnsi="Arial" w:cs="Arial"/>
                <w:color w:val="000000"/>
                <w:sz w:val="16"/>
              </w:rPr>
            </w:pPr>
            <w:r w:rsidRPr="00D403DC">
              <w:rPr>
                <w:rFonts w:ascii="Arial" w:eastAsia="Arial" w:hAnsi="Arial" w:cs="Arial"/>
                <w:color w:val="000000"/>
                <w:sz w:val="16"/>
              </w:rPr>
              <w:t>(21)</w:t>
            </w:r>
          </w:p>
        </w:tc>
        <w:tc>
          <w:tcPr>
            <w:tcW w:w="1005" w:type="dxa"/>
            <w:tcBorders>
              <w:top w:val="nil"/>
              <w:left w:val="nil"/>
              <w:bottom w:val="nil"/>
              <w:right w:val="nil"/>
              <w:tl2br w:val="nil"/>
              <w:tr2bl w:val="nil"/>
            </w:tcBorders>
            <w:shd w:val="clear" w:color="auto" w:fill="FFFFFF"/>
            <w:tcMar>
              <w:left w:w="115" w:type="dxa"/>
              <w:right w:w="115" w:type="dxa"/>
            </w:tcMar>
            <w:vAlign w:val="bottom"/>
          </w:tcPr>
          <w:p w14:paraId="6DB75255" w14:textId="77777777" w:rsidR="003F0EEA" w:rsidRPr="00D403DC" w:rsidRDefault="00FB7D0B">
            <w:pPr>
              <w:jc w:val="right"/>
              <w:rPr>
                <w:rFonts w:ascii="Arial" w:eastAsia="Arial" w:hAnsi="Arial" w:cs="Arial"/>
                <w:color w:val="000000"/>
                <w:sz w:val="16"/>
              </w:rPr>
            </w:pPr>
            <w:r w:rsidRPr="00D403DC">
              <w:rPr>
                <w:rFonts w:ascii="Arial" w:eastAsia="Arial" w:hAnsi="Arial" w:cs="Arial"/>
                <w:color w:val="000000"/>
                <w:sz w:val="16"/>
              </w:rPr>
              <w:t xml:space="preserve"> - </w:t>
            </w:r>
          </w:p>
        </w:tc>
        <w:tc>
          <w:tcPr>
            <w:tcW w:w="1005" w:type="dxa"/>
            <w:tcBorders>
              <w:top w:val="nil"/>
              <w:left w:val="nil"/>
              <w:bottom w:val="nil"/>
              <w:right w:val="nil"/>
              <w:tl2br w:val="nil"/>
              <w:tr2bl w:val="nil"/>
            </w:tcBorders>
            <w:shd w:val="clear" w:color="auto" w:fill="FFFF00"/>
            <w:tcMar>
              <w:left w:w="115" w:type="dxa"/>
              <w:right w:w="115" w:type="dxa"/>
            </w:tcMar>
            <w:vAlign w:val="bottom"/>
          </w:tcPr>
          <w:p w14:paraId="2CDE813D" w14:textId="77777777" w:rsidR="003F0EEA" w:rsidRPr="00D403DC" w:rsidRDefault="00FB7D0B">
            <w:pPr>
              <w:jc w:val="right"/>
              <w:rPr>
                <w:rFonts w:ascii="Arial" w:eastAsia="Arial" w:hAnsi="Arial" w:cs="Arial"/>
                <w:color w:val="000000"/>
                <w:sz w:val="16"/>
              </w:rPr>
            </w:pPr>
            <w:r w:rsidRPr="00D403DC">
              <w:rPr>
                <w:rFonts w:ascii="Arial" w:eastAsia="Arial" w:hAnsi="Arial" w:cs="Arial"/>
                <w:color w:val="000000"/>
                <w:sz w:val="16"/>
              </w:rPr>
              <w:t xml:space="preserve"> - </w:t>
            </w:r>
          </w:p>
        </w:tc>
      </w:tr>
      <w:tr w:rsidR="00FB7D0B" w14:paraId="63B5E750" w14:textId="77777777" w:rsidTr="00FB7D0B">
        <w:trPr>
          <w:trHeight w:val="225"/>
        </w:trPr>
        <w:tc>
          <w:tcPr>
            <w:tcW w:w="2460" w:type="dxa"/>
            <w:gridSpan w:val="2"/>
            <w:tcBorders>
              <w:top w:val="nil"/>
              <w:left w:val="nil"/>
              <w:bottom w:val="nil"/>
              <w:right w:val="nil"/>
              <w:tl2br w:val="nil"/>
              <w:tr2bl w:val="nil"/>
            </w:tcBorders>
            <w:shd w:val="clear" w:color="auto" w:fill="FFFFFF"/>
            <w:tcMar>
              <w:left w:w="115" w:type="dxa"/>
              <w:right w:w="115" w:type="dxa"/>
            </w:tcMar>
            <w:vAlign w:val="bottom"/>
          </w:tcPr>
          <w:p w14:paraId="7280B9C2" w14:textId="77777777" w:rsidR="003F0EEA" w:rsidRPr="00D403DC" w:rsidRDefault="00FB7D0B">
            <w:pPr>
              <w:rPr>
                <w:rFonts w:ascii="Arial" w:eastAsia="Arial" w:hAnsi="Arial" w:cs="Arial"/>
                <w:color w:val="000000"/>
                <w:sz w:val="16"/>
              </w:rPr>
            </w:pPr>
            <w:r w:rsidRPr="00D403DC">
              <w:rPr>
                <w:rFonts w:ascii="Arial" w:eastAsia="Arial" w:hAnsi="Arial" w:cs="Arial"/>
                <w:b/>
                <w:color w:val="000000"/>
                <w:sz w:val="16"/>
              </w:rPr>
              <w:t xml:space="preserve">Total </w:t>
            </w:r>
          </w:p>
        </w:tc>
        <w:tc>
          <w:tcPr>
            <w:tcW w:w="915" w:type="dxa"/>
            <w:tcBorders>
              <w:top w:val="nil"/>
              <w:left w:val="nil"/>
              <w:bottom w:val="nil"/>
              <w:right w:val="nil"/>
              <w:tl2br w:val="nil"/>
              <w:tr2bl w:val="nil"/>
            </w:tcBorders>
            <w:shd w:val="clear" w:color="auto" w:fill="FFFFFF"/>
            <w:tcMar>
              <w:left w:w="115" w:type="dxa"/>
              <w:right w:w="115" w:type="dxa"/>
            </w:tcMar>
            <w:vAlign w:val="bottom"/>
          </w:tcPr>
          <w:p w14:paraId="4F634116" w14:textId="77777777" w:rsidR="003F0EEA" w:rsidRPr="00D403DC" w:rsidRDefault="003F0EEA">
            <w:pPr>
              <w:jc w:val="center"/>
              <w:rPr>
                <w:rFonts w:ascii="Arial" w:eastAsia="Arial" w:hAnsi="Arial" w:cs="Arial"/>
                <w:b/>
                <w:color w:val="000000"/>
                <w:sz w:val="16"/>
                <w:vertAlign w:val="superscript"/>
              </w:rPr>
            </w:pPr>
          </w:p>
        </w:tc>
        <w:tc>
          <w:tcPr>
            <w:tcW w:w="1005" w:type="dxa"/>
            <w:tcBorders>
              <w:top w:val="nil"/>
              <w:left w:val="nil"/>
              <w:bottom w:val="single" w:sz="6" w:space="0" w:color="000000"/>
              <w:right w:val="nil"/>
              <w:tl2br w:val="nil"/>
              <w:tr2bl w:val="nil"/>
            </w:tcBorders>
            <w:shd w:val="clear" w:color="auto" w:fill="FFFF00"/>
            <w:tcMar>
              <w:left w:w="115" w:type="dxa"/>
              <w:right w:w="115" w:type="dxa"/>
            </w:tcMar>
            <w:vAlign w:val="bottom"/>
          </w:tcPr>
          <w:p w14:paraId="2DC4BB57" w14:textId="77777777" w:rsidR="003F0EEA" w:rsidRPr="00D403DC" w:rsidRDefault="00FB7D0B">
            <w:pPr>
              <w:jc w:val="right"/>
              <w:rPr>
                <w:rFonts w:ascii="Arial" w:eastAsia="Arial" w:hAnsi="Arial" w:cs="Arial"/>
                <w:color w:val="000000"/>
                <w:sz w:val="16"/>
                <w:vertAlign w:val="superscript"/>
              </w:rPr>
            </w:pPr>
            <w:r w:rsidRPr="00D403DC">
              <w:rPr>
                <w:rFonts w:ascii="Arial" w:eastAsia="Arial" w:hAnsi="Arial" w:cs="Arial"/>
                <w:b/>
                <w:color w:val="000000"/>
                <w:sz w:val="16"/>
              </w:rPr>
              <w:t>(10,816)</w:t>
            </w:r>
          </w:p>
        </w:tc>
        <w:tc>
          <w:tcPr>
            <w:tcW w:w="1005"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6F53C3FB" w14:textId="77777777" w:rsidR="003F0EEA" w:rsidRPr="00D403DC" w:rsidRDefault="00FB7D0B">
            <w:pPr>
              <w:jc w:val="right"/>
              <w:rPr>
                <w:rFonts w:ascii="Arial" w:eastAsia="Arial" w:hAnsi="Arial" w:cs="Arial"/>
                <w:b/>
                <w:color w:val="000000"/>
                <w:sz w:val="16"/>
              </w:rPr>
            </w:pPr>
            <w:r w:rsidRPr="00D403DC">
              <w:rPr>
                <w:rFonts w:ascii="Arial" w:eastAsia="Arial" w:hAnsi="Arial" w:cs="Arial"/>
                <w:b/>
                <w:color w:val="000000"/>
                <w:sz w:val="16"/>
              </w:rPr>
              <w:t>14,223  </w:t>
            </w:r>
          </w:p>
        </w:tc>
        <w:tc>
          <w:tcPr>
            <w:tcW w:w="1005" w:type="dxa"/>
            <w:tcBorders>
              <w:top w:val="nil"/>
              <w:left w:val="nil"/>
              <w:bottom w:val="single" w:sz="6" w:space="0" w:color="000000"/>
              <w:right w:val="nil"/>
              <w:tl2br w:val="nil"/>
              <w:tr2bl w:val="nil"/>
            </w:tcBorders>
            <w:shd w:val="clear" w:color="auto" w:fill="FFFF00"/>
            <w:tcMar>
              <w:left w:w="115" w:type="dxa"/>
              <w:right w:w="115" w:type="dxa"/>
            </w:tcMar>
            <w:vAlign w:val="bottom"/>
          </w:tcPr>
          <w:p w14:paraId="7B926A0B" w14:textId="77777777" w:rsidR="003F0EEA" w:rsidRPr="00D403DC" w:rsidRDefault="00FB7D0B">
            <w:pPr>
              <w:jc w:val="right"/>
              <w:rPr>
                <w:rFonts w:ascii="Arial" w:eastAsia="Arial" w:hAnsi="Arial" w:cs="Arial"/>
                <w:b/>
                <w:color w:val="000000"/>
                <w:sz w:val="16"/>
              </w:rPr>
            </w:pPr>
            <w:r w:rsidRPr="00D403DC">
              <w:rPr>
                <w:rFonts w:ascii="Arial" w:eastAsia="Arial" w:hAnsi="Arial" w:cs="Arial"/>
                <w:b/>
                <w:color w:val="000000"/>
                <w:sz w:val="16"/>
              </w:rPr>
              <w:t>(333)</w:t>
            </w:r>
          </w:p>
        </w:tc>
        <w:tc>
          <w:tcPr>
            <w:tcW w:w="1005"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3AFB1D8F" w14:textId="77777777" w:rsidR="003F0EEA" w:rsidRPr="00D403DC" w:rsidRDefault="00FB7D0B">
            <w:pPr>
              <w:jc w:val="right"/>
              <w:rPr>
                <w:rFonts w:ascii="Arial" w:eastAsia="Arial" w:hAnsi="Arial" w:cs="Arial"/>
                <w:b/>
                <w:color w:val="000000"/>
                <w:sz w:val="16"/>
              </w:rPr>
            </w:pPr>
            <w:r w:rsidRPr="00D403DC">
              <w:rPr>
                <w:rFonts w:ascii="Arial" w:eastAsia="Arial" w:hAnsi="Arial" w:cs="Arial"/>
                <w:b/>
                <w:color w:val="000000"/>
                <w:sz w:val="16"/>
              </w:rPr>
              <w:t>(10,466)</w:t>
            </w:r>
          </w:p>
        </w:tc>
        <w:tc>
          <w:tcPr>
            <w:tcW w:w="1005" w:type="dxa"/>
            <w:tcBorders>
              <w:top w:val="nil"/>
              <w:left w:val="nil"/>
              <w:bottom w:val="single" w:sz="6" w:space="0" w:color="000000"/>
              <w:right w:val="nil"/>
              <w:tl2br w:val="nil"/>
              <w:tr2bl w:val="nil"/>
            </w:tcBorders>
            <w:shd w:val="clear" w:color="auto" w:fill="FFFF00"/>
            <w:tcMar>
              <w:left w:w="115" w:type="dxa"/>
              <w:right w:w="115" w:type="dxa"/>
            </w:tcMar>
            <w:vAlign w:val="bottom"/>
          </w:tcPr>
          <w:p w14:paraId="4EA9D0A3" w14:textId="77777777" w:rsidR="003F0EEA" w:rsidRPr="00D403DC" w:rsidRDefault="00FB7D0B">
            <w:pPr>
              <w:jc w:val="right"/>
              <w:rPr>
                <w:rFonts w:ascii="Arial" w:eastAsia="Arial" w:hAnsi="Arial" w:cs="Arial"/>
                <w:b/>
                <w:color w:val="000000"/>
                <w:sz w:val="16"/>
              </w:rPr>
            </w:pPr>
            <w:r w:rsidRPr="00D403DC">
              <w:rPr>
                <w:rFonts w:ascii="Arial" w:eastAsia="Arial" w:hAnsi="Arial" w:cs="Arial"/>
                <w:b/>
                <w:color w:val="000000"/>
                <w:sz w:val="16"/>
              </w:rPr>
              <w:t>(12,016)</w:t>
            </w:r>
          </w:p>
        </w:tc>
      </w:tr>
      <w:tr w:rsidR="00724034" w14:paraId="6102F9AD" w14:textId="77777777">
        <w:trPr>
          <w:trHeight w:val="225"/>
        </w:trPr>
        <w:tc>
          <w:tcPr>
            <w:tcW w:w="180" w:type="dxa"/>
            <w:tcBorders>
              <w:top w:val="nil"/>
              <w:left w:val="nil"/>
              <w:bottom w:val="nil"/>
              <w:right w:val="nil"/>
              <w:tl2br w:val="nil"/>
              <w:tr2bl w:val="nil"/>
            </w:tcBorders>
            <w:shd w:val="clear" w:color="auto" w:fill="FFFFFF"/>
            <w:tcMar>
              <w:left w:w="115" w:type="dxa"/>
              <w:right w:w="115" w:type="dxa"/>
            </w:tcMar>
            <w:vAlign w:val="bottom"/>
          </w:tcPr>
          <w:p w14:paraId="5477C9B1" w14:textId="77777777" w:rsidR="003F0EEA" w:rsidRPr="00D403DC" w:rsidRDefault="003F0EEA">
            <w:pPr>
              <w:rPr>
                <w:rFonts w:ascii="Arial" w:eastAsia="Arial" w:hAnsi="Arial" w:cs="Arial"/>
                <w:b/>
                <w:color w:val="000000"/>
                <w:sz w:val="16"/>
              </w:rPr>
            </w:pPr>
          </w:p>
        </w:tc>
        <w:tc>
          <w:tcPr>
            <w:tcW w:w="2280" w:type="dxa"/>
            <w:tcBorders>
              <w:top w:val="nil"/>
              <w:left w:val="nil"/>
              <w:bottom w:val="nil"/>
              <w:right w:val="nil"/>
              <w:tl2br w:val="nil"/>
              <w:tr2bl w:val="nil"/>
            </w:tcBorders>
            <w:shd w:val="clear" w:color="auto" w:fill="FFFFFF"/>
            <w:tcMar>
              <w:left w:w="115" w:type="dxa"/>
              <w:right w:w="115" w:type="dxa"/>
            </w:tcMar>
            <w:vAlign w:val="bottom"/>
          </w:tcPr>
          <w:p w14:paraId="12817F25" w14:textId="77777777" w:rsidR="003F0EEA" w:rsidRPr="00D403DC" w:rsidRDefault="003F0EEA">
            <w:pPr>
              <w:rPr>
                <w:rFonts w:ascii="Arial" w:eastAsia="Arial" w:hAnsi="Arial" w:cs="Arial"/>
                <w:b/>
                <w:color w:val="000000"/>
                <w:sz w:val="16"/>
              </w:rPr>
            </w:pPr>
          </w:p>
        </w:tc>
        <w:tc>
          <w:tcPr>
            <w:tcW w:w="915" w:type="dxa"/>
            <w:tcBorders>
              <w:top w:val="nil"/>
              <w:left w:val="nil"/>
              <w:bottom w:val="nil"/>
              <w:right w:val="nil"/>
              <w:tl2br w:val="nil"/>
              <w:tr2bl w:val="nil"/>
            </w:tcBorders>
            <w:shd w:val="clear" w:color="auto" w:fill="FFFFFF"/>
            <w:tcMar>
              <w:left w:w="115" w:type="dxa"/>
              <w:right w:w="115" w:type="dxa"/>
            </w:tcMar>
            <w:vAlign w:val="bottom"/>
          </w:tcPr>
          <w:p w14:paraId="0CF75AE1" w14:textId="77777777" w:rsidR="003F0EEA" w:rsidRPr="00D403DC" w:rsidRDefault="003F0EEA">
            <w:pPr>
              <w:jc w:val="center"/>
              <w:rPr>
                <w:rFonts w:ascii="Arial" w:eastAsia="Arial" w:hAnsi="Arial" w:cs="Arial"/>
                <w:b/>
                <w:color w:val="000000"/>
                <w:sz w:val="16"/>
                <w:vertAlign w:val="superscript"/>
              </w:rPr>
            </w:pPr>
          </w:p>
        </w:tc>
        <w:tc>
          <w:tcPr>
            <w:tcW w:w="1005" w:type="dxa"/>
            <w:tcBorders>
              <w:top w:val="single" w:sz="6" w:space="0" w:color="000000"/>
              <w:left w:val="nil"/>
              <w:bottom w:val="nil"/>
              <w:right w:val="nil"/>
              <w:tl2br w:val="nil"/>
              <w:tr2bl w:val="nil"/>
            </w:tcBorders>
            <w:shd w:val="clear" w:color="auto" w:fill="FFFF00"/>
            <w:tcMar>
              <w:left w:w="115" w:type="dxa"/>
              <w:right w:w="115" w:type="dxa"/>
            </w:tcMar>
            <w:vAlign w:val="bottom"/>
          </w:tcPr>
          <w:p w14:paraId="08661234" w14:textId="77777777" w:rsidR="003F0EEA" w:rsidRPr="00D403DC" w:rsidRDefault="003F0EEA">
            <w:pPr>
              <w:jc w:val="right"/>
              <w:rPr>
                <w:rFonts w:ascii="Arial" w:eastAsia="Arial" w:hAnsi="Arial" w:cs="Arial"/>
                <w:color w:val="000000"/>
                <w:sz w:val="16"/>
                <w:vertAlign w:val="superscript"/>
              </w:rPr>
            </w:pPr>
          </w:p>
        </w:tc>
        <w:tc>
          <w:tcPr>
            <w:tcW w:w="1005"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4ED50BAA" w14:textId="77777777" w:rsidR="003F0EEA" w:rsidRPr="00D403DC" w:rsidRDefault="003F0EEA">
            <w:pPr>
              <w:jc w:val="right"/>
              <w:rPr>
                <w:rFonts w:ascii="Arial" w:eastAsia="Arial" w:hAnsi="Arial" w:cs="Arial"/>
                <w:b/>
                <w:color w:val="000000"/>
                <w:sz w:val="16"/>
                <w:vertAlign w:val="superscript"/>
              </w:rPr>
            </w:pPr>
          </w:p>
        </w:tc>
        <w:tc>
          <w:tcPr>
            <w:tcW w:w="1005" w:type="dxa"/>
            <w:tcBorders>
              <w:top w:val="single" w:sz="6" w:space="0" w:color="000000"/>
              <w:left w:val="nil"/>
              <w:bottom w:val="nil"/>
              <w:right w:val="nil"/>
              <w:tl2br w:val="nil"/>
              <w:tr2bl w:val="nil"/>
            </w:tcBorders>
            <w:shd w:val="clear" w:color="auto" w:fill="FFFF00"/>
            <w:tcMar>
              <w:left w:w="115" w:type="dxa"/>
              <w:right w:w="115" w:type="dxa"/>
            </w:tcMar>
            <w:vAlign w:val="bottom"/>
          </w:tcPr>
          <w:p w14:paraId="5E2D4A21" w14:textId="77777777" w:rsidR="003F0EEA" w:rsidRPr="00D403DC" w:rsidRDefault="003F0EEA">
            <w:pPr>
              <w:jc w:val="right"/>
              <w:rPr>
                <w:rFonts w:ascii="Arial" w:eastAsia="Arial" w:hAnsi="Arial" w:cs="Arial"/>
                <w:b/>
                <w:color w:val="000000"/>
                <w:sz w:val="16"/>
                <w:vertAlign w:val="superscript"/>
              </w:rPr>
            </w:pPr>
          </w:p>
        </w:tc>
        <w:tc>
          <w:tcPr>
            <w:tcW w:w="1005"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0A81B7DF" w14:textId="77777777" w:rsidR="003F0EEA" w:rsidRPr="00D403DC" w:rsidRDefault="003F0EEA">
            <w:pPr>
              <w:jc w:val="right"/>
              <w:rPr>
                <w:rFonts w:ascii="Arial" w:eastAsia="Arial" w:hAnsi="Arial" w:cs="Arial"/>
                <w:b/>
                <w:color w:val="000000"/>
                <w:sz w:val="16"/>
                <w:vertAlign w:val="superscript"/>
              </w:rPr>
            </w:pPr>
          </w:p>
        </w:tc>
        <w:tc>
          <w:tcPr>
            <w:tcW w:w="1005" w:type="dxa"/>
            <w:tcBorders>
              <w:top w:val="single" w:sz="6" w:space="0" w:color="000000"/>
              <w:left w:val="nil"/>
              <w:bottom w:val="nil"/>
              <w:right w:val="nil"/>
              <w:tl2br w:val="nil"/>
              <w:tr2bl w:val="nil"/>
            </w:tcBorders>
            <w:shd w:val="clear" w:color="auto" w:fill="FFFF00"/>
            <w:tcMar>
              <w:left w:w="115" w:type="dxa"/>
              <w:right w:w="115" w:type="dxa"/>
            </w:tcMar>
            <w:vAlign w:val="bottom"/>
          </w:tcPr>
          <w:p w14:paraId="2D779E5C" w14:textId="77777777" w:rsidR="003F0EEA" w:rsidRPr="00D403DC" w:rsidRDefault="003F0EEA">
            <w:pPr>
              <w:jc w:val="right"/>
              <w:rPr>
                <w:rFonts w:ascii="Arial" w:eastAsia="Arial" w:hAnsi="Arial" w:cs="Arial"/>
                <w:b/>
                <w:color w:val="000000"/>
                <w:sz w:val="16"/>
                <w:vertAlign w:val="superscript"/>
              </w:rPr>
            </w:pPr>
          </w:p>
        </w:tc>
      </w:tr>
      <w:tr w:rsidR="00FB7D0B" w14:paraId="0A94699E" w14:textId="77777777" w:rsidTr="00FB7D0B">
        <w:trPr>
          <w:trHeight w:val="645"/>
        </w:trPr>
        <w:tc>
          <w:tcPr>
            <w:tcW w:w="2460" w:type="dxa"/>
            <w:gridSpan w:val="2"/>
            <w:tcBorders>
              <w:top w:val="nil"/>
              <w:left w:val="nil"/>
              <w:bottom w:val="nil"/>
              <w:right w:val="nil"/>
              <w:tl2br w:val="nil"/>
              <w:tr2bl w:val="nil"/>
            </w:tcBorders>
            <w:shd w:val="clear" w:color="auto" w:fill="FFFFFF"/>
            <w:tcMar>
              <w:left w:w="115" w:type="dxa"/>
              <w:right w:w="115" w:type="dxa"/>
            </w:tcMar>
            <w:vAlign w:val="bottom"/>
          </w:tcPr>
          <w:p w14:paraId="4A313BE9" w14:textId="77777777" w:rsidR="003F0EEA" w:rsidRPr="00D403DC" w:rsidRDefault="00FB7D0B">
            <w:pPr>
              <w:rPr>
                <w:rFonts w:ascii="Arial" w:eastAsia="Arial" w:hAnsi="Arial" w:cs="Arial"/>
                <w:b/>
                <w:color w:val="000000"/>
                <w:sz w:val="16"/>
                <w:vertAlign w:val="superscript"/>
              </w:rPr>
            </w:pPr>
            <w:r w:rsidRPr="00D403DC">
              <w:rPr>
                <w:rFonts w:ascii="Arial" w:eastAsia="Arial" w:hAnsi="Arial" w:cs="Arial"/>
                <w:color w:val="000000"/>
                <w:sz w:val="16"/>
              </w:rPr>
              <w:t>Personally Controlled Electronic Health Record System - continuation</w:t>
            </w:r>
            <w:r w:rsidRPr="00D403DC">
              <w:rPr>
                <w:rFonts w:ascii="Arial" w:eastAsia="Arial" w:hAnsi="Arial" w:cs="Arial"/>
                <w:color w:val="000000"/>
                <w:sz w:val="16"/>
                <w:vertAlign w:val="superscript"/>
              </w:rPr>
              <w:t>2 </w:t>
            </w:r>
          </w:p>
        </w:tc>
        <w:tc>
          <w:tcPr>
            <w:tcW w:w="915" w:type="dxa"/>
            <w:tcBorders>
              <w:top w:val="nil"/>
              <w:left w:val="nil"/>
              <w:bottom w:val="nil"/>
              <w:right w:val="nil"/>
              <w:tl2br w:val="nil"/>
              <w:tr2bl w:val="nil"/>
            </w:tcBorders>
            <w:shd w:val="clear" w:color="auto" w:fill="FFFFFF"/>
            <w:tcMar>
              <w:left w:w="115" w:type="dxa"/>
              <w:right w:w="115" w:type="dxa"/>
            </w:tcMar>
            <w:vAlign w:val="bottom"/>
          </w:tcPr>
          <w:p w14:paraId="5DD44038" w14:textId="77777777" w:rsidR="003F0EEA" w:rsidRPr="00D403DC" w:rsidRDefault="00FB7D0B">
            <w:pPr>
              <w:jc w:val="center"/>
              <w:rPr>
                <w:rFonts w:ascii="Arial" w:eastAsia="Arial" w:hAnsi="Arial" w:cs="Arial"/>
                <w:color w:val="000000"/>
                <w:sz w:val="16"/>
                <w:vertAlign w:val="superscript"/>
              </w:rPr>
            </w:pPr>
            <w:r w:rsidRPr="00D403DC">
              <w:rPr>
                <w:rFonts w:ascii="Arial" w:eastAsia="Arial" w:hAnsi="Arial" w:cs="Arial"/>
                <w:color w:val="000000"/>
                <w:sz w:val="16"/>
              </w:rPr>
              <w:t>2.1 </w:t>
            </w:r>
          </w:p>
        </w:tc>
        <w:tc>
          <w:tcPr>
            <w:tcW w:w="1005" w:type="dxa"/>
            <w:tcBorders>
              <w:top w:val="nil"/>
              <w:left w:val="nil"/>
              <w:bottom w:val="nil"/>
              <w:right w:val="nil"/>
              <w:tl2br w:val="nil"/>
              <w:tr2bl w:val="nil"/>
            </w:tcBorders>
            <w:shd w:val="clear" w:color="auto" w:fill="FFFF00"/>
            <w:tcMar>
              <w:left w:w="115" w:type="dxa"/>
              <w:right w:w="115" w:type="dxa"/>
            </w:tcMar>
            <w:vAlign w:val="bottom"/>
          </w:tcPr>
          <w:p w14:paraId="32B097BC" w14:textId="77777777" w:rsidR="003F0EEA" w:rsidRPr="00D403DC" w:rsidRDefault="003F0EEA">
            <w:pPr>
              <w:jc w:val="right"/>
              <w:rPr>
                <w:rFonts w:ascii="Arial" w:eastAsia="Arial" w:hAnsi="Arial" w:cs="Arial"/>
                <w:color w:val="000000"/>
                <w:sz w:val="16"/>
              </w:rPr>
            </w:pPr>
          </w:p>
        </w:tc>
        <w:tc>
          <w:tcPr>
            <w:tcW w:w="1005" w:type="dxa"/>
            <w:tcBorders>
              <w:top w:val="nil"/>
              <w:left w:val="nil"/>
              <w:bottom w:val="nil"/>
              <w:right w:val="nil"/>
              <w:tl2br w:val="nil"/>
              <w:tr2bl w:val="nil"/>
            </w:tcBorders>
            <w:shd w:val="clear" w:color="auto" w:fill="FFFFFF"/>
            <w:tcMar>
              <w:left w:w="115" w:type="dxa"/>
              <w:right w:w="115" w:type="dxa"/>
            </w:tcMar>
            <w:vAlign w:val="bottom"/>
          </w:tcPr>
          <w:p w14:paraId="3BB9D6A6" w14:textId="77777777" w:rsidR="003F0EEA" w:rsidRPr="00D403DC" w:rsidRDefault="003F0EEA">
            <w:pPr>
              <w:jc w:val="right"/>
              <w:rPr>
                <w:rFonts w:ascii="Arial" w:eastAsia="Arial" w:hAnsi="Arial" w:cs="Arial"/>
                <w:color w:val="000000"/>
                <w:sz w:val="16"/>
              </w:rPr>
            </w:pPr>
          </w:p>
        </w:tc>
        <w:tc>
          <w:tcPr>
            <w:tcW w:w="1005" w:type="dxa"/>
            <w:tcBorders>
              <w:top w:val="nil"/>
              <w:left w:val="nil"/>
              <w:bottom w:val="nil"/>
              <w:right w:val="nil"/>
              <w:tl2br w:val="nil"/>
              <w:tr2bl w:val="nil"/>
            </w:tcBorders>
            <w:shd w:val="clear" w:color="auto" w:fill="FFFF00"/>
            <w:tcMar>
              <w:left w:w="115" w:type="dxa"/>
              <w:right w:w="115" w:type="dxa"/>
            </w:tcMar>
            <w:vAlign w:val="bottom"/>
          </w:tcPr>
          <w:p w14:paraId="636C5F7E" w14:textId="77777777" w:rsidR="003F0EEA" w:rsidRPr="00D403DC" w:rsidRDefault="003F0EEA">
            <w:pPr>
              <w:jc w:val="right"/>
              <w:rPr>
                <w:rFonts w:ascii="Arial" w:eastAsia="Arial" w:hAnsi="Arial" w:cs="Arial"/>
                <w:color w:val="000000"/>
                <w:sz w:val="16"/>
              </w:rPr>
            </w:pPr>
          </w:p>
        </w:tc>
        <w:tc>
          <w:tcPr>
            <w:tcW w:w="1005" w:type="dxa"/>
            <w:tcBorders>
              <w:top w:val="nil"/>
              <w:left w:val="nil"/>
              <w:bottom w:val="nil"/>
              <w:right w:val="nil"/>
              <w:tl2br w:val="nil"/>
              <w:tr2bl w:val="nil"/>
            </w:tcBorders>
            <w:shd w:val="clear" w:color="auto" w:fill="FFFFFF"/>
            <w:tcMar>
              <w:left w:w="115" w:type="dxa"/>
              <w:right w:w="115" w:type="dxa"/>
            </w:tcMar>
            <w:vAlign w:val="bottom"/>
          </w:tcPr>
          <w:p w14:paraId="4F983FA9" w14:textId="77777777" w:rsidR="003F0EEA" w:rsidRPr="00D403DC" w:rsidRDefault="003F0EEA">
            <w:pPr>
              <w:jc w:val="right"/>
              <w:rPr>
                <w:rFonts w:ascii="Arial" w:eastAsia="Arial" w:hAnsi="Arial" w:cs="Arial"/>
                <w:color w:val="000000"/>
                <w:sz w:val="16"/>
              </w:rPr>
            </w:pPr>
          </w:p>
        </w:tc>
        <w:tc>
          <w:tcPr>
            <w:tcW w:w="1005" w:type="dxa"/>
            <w:tcBorders>
              <w:top w:val="nil"/>
              <w:left w:val="nil"/>
              <w:bottom w:val="nil"/>
              <w:right w:val="nil"/>
              <w:tl2br w:val="nil"/>
              <w:tr2bl w:val="nil"/>
            </w:tcBorders>
            <w:shd w:val="clear" w:color="auto" w:fill="FFFF00"/>
            <w:tcMar>
              <w:left w:w="115" w:type="dxa"/>
              <w:right w:w="115" w:type="dxa"/>
            </w:tcMar>
            <w:vAlign w:val="bottom"/>
          </w:tcPr>
          <w:p w14:paraId="1ECF1CE6" w14:textId="77777777" w:rsidR="003F0EEA" w:rsidRPr="00D403DC" w:rsidRDefault="003F0EEA">
            <w:pPr>
              <w:jc w:val="right"/>
              <w:rPr>
                <w:rFonts w:ascii="Arial" w:eastAsia="Arial" w:hAnsi="Arial" w:cs="Arial"/>
                <w:color w:val="000000"/>
                <w:sz w:val="16"/>
              </w:rPr>
            </w:pPr>
          </w:p>
        </w:tc>
      </w:tr>
      <w:tr w:rsidR="00724034" w14:paraId="2E056613" w14:textId="77777777">
        <w:trPr>
          <w:trHeight w:val="210"/>
        </w:trPr>
        <w:tc>
          <w:tcPr>
            <w:tcW w:w="180" w:type="dxa"/>
            <w:tcBorders>
              <w:top w:val="nil"/>
              <w:left w:val="nil"/>
              <w:bottom w:val="nil"/>
              <w:right w:val="nil"/>
              <w:tl2br w:val="nil"/>
              <w:tr2bl w:val="nil"/>
            </w:tcBorders>
            <w:shd w:val="clear" w:color="auto" w:fill="FFFFFF"/>
            <w:tcMar>
              <w:left w:w="115" w:type="dxa"/>
              <w:right w:w="115" w:type="dxa"/>
            </w:tcMar>
            <w:vAlign w:val="bottom"/>
          </w:tcPr>
          <w:p w14:paraId="7AA47F81" w14:textId="77777777" w:rsidR="003F0EEA" w:rsidRPr="00D403DC" w:rsidRDefault="003F0EEA">
            <w:pPr>
              <w:rPr>
                <w:rFonts w:ascii="Arial" w:eastAsia="Arial" w:hAnsi="Arial" w:cs="Arial"/>
                <w:color w:val="000000"/>
                <w:sz w:val="16"/>
              </w:rPr>
            </w:pPr>
          </w:p>
        </w:tc>
        <w:tc>
          <w:tcPr>
            <w:tcW w:w="2280" w:type="dxa"/>
            <w:tcBorders>
              <w:top w:val="nil"/>
              <w:left w:val="nil"/>
              <w:bottom w:val="nil"/>
              <w:right w:val="nil"/>
              <w:tl2br w:val="nil"/>
              <w:tr2bl w:val="nil"/>
            </w:tcBorders>
            <w:shd w:val="clear" w:color="auto" w:fill="FFFFFF"/>
            <w:tcMar>
              <w:left w:w="115" w:type="dxa"/>
              <w:right w:w="115" w:type="dxa"/>
            </w:tcMar>
            <w:vAlign w:val="bottom"/>
          </w:tcPr>
          <w:p w14:paraId="13BC5F0B" w14:textId="77777777" w:rsidR="003F0EEA" w:rsidRPr="00D403DC" w:rsidRDefault="00FB7D0B">
            <w:pPr>
              <w:rPr>
                <w:rFonts w:ascii="Arial" w:eastAsia="Arial" w:hAnsi="Arial" w:cs="Arial"/>
                <w:color w:val="000000"/>
                <w:sz w:val="16"/>
              </w:rPr>
            </w:pPr>
            <w:r w:rsidRPr="00D403DC">
              <w:rPr>
                <w:rFonts w:ascii="Arial" w:eastAsia="Arial" w:hAnsi="Arial" w:cs="Arial"/>
                <w:color w:val="000000"/>
                <w:sz w:val="16"/>
              </w:rPr>
              <w:t>Administered expenses</w:t>
            </w:r>
          </w:p>
        </w:tc>
        <w:tc>
          <w:tcPr>
            <w:tcW w:w="915" w:type="dxa"/>
            <w:tcBorders>
              <w:top w:val="nil"/>
              <w:left w:val="nil"/>
              <w:bottom w:val="nil"/>
              <w:right w:val="nil"/>
              <w:tl2br w:val="nil"/>
              <w:tr2bl w:val="nil"/>
            </w:tcBorders>
            <w:shd w:val="clear" w:color="auto" w:fill="FFFFFF"/>
            <w:tcMar>
              <w:left w:w="115" w:type="dxa"/>
              <w:right w:w="115" w:type="dxa"/>
            </w:tcMar>
            <w:vAlign w:val="bottom"/>
          </w:tcPr>
          <w:p w14:paraId="3C96E11E" w14:textId="77777777" w:rsidR="003F0EEA" w:rsidRPr="00D403DC" w:rsidRDefault="003F0EEA">
            <w:pPr>
              <w:jc w:val="center"/>
              <w:rPr>
                <w:rFonts w:ascii="Arial" w:eastAsia="Arial" w:hAnsi="Arial" w:cs="Arial"/>
                <w:color w:val="000000"/>
                <w:sz w:val="16"/>
                <w:vertAlign w:val="superscript"/>
              </w:rPr>
            </w:pPr>
          </w:p>
        </w:tc>
        <w:tc>
          <w:tcPr>
            <w:tcW w:w="1005" w:type="dxa"/>
            <w:tcBorders>
              <w:top w:val="nil"/>
              <w:left w:val="nil"/>
              <w:bottom w:val="nil"/>
              <w:right w:val="nil"/>
              <w:tl2br w:val="nil"/>
              <w:tr2bl w:val="nil"/>
            </w:tcBorders>
            <w:shd w:val="clear" w:color="auto" w:fill="FFFF00"/>
            <w:tcMar>
              <w:left w:w="115" w:type="dxa"/>
              <w:right w:w="115" w:type="dxa"/>
            </w:tcMar>
            <w:vAlign w:val="bottom"/>
          </w:tcPr>
          <w:p w14:paraId="0347179D" w14:textId="77777777" w:rsidR="003F0EEA" w:rsidRPr="00D403DC" w:rsidRDefault="00FB7D0B">
            <w:pPr>
              <w:jc w:val="right"/>
              <w:rPr>
                <w:rFonts w:ascii="Arial" w:eastAsia="Arial" w:hAnsi="Arial" w:cs="Arial"/>
                <w:color w:val="000000"/>
                <w:sz w:val="16"/>
                <w:vertAlign w:val="superscript"/>
              </w:rPr>
            </w:pPr>
            <w:r w:rsidRPr="00D403DC">
              <w:rPr>
                <w:rFonts w:ascii="Arial" w:eastAsia="Arial" w:hAnsi="Arial" w:cs="Arial"/>
                <w:color w:val="000000"/>
                <w:sz w:val="16"/>
              </w:rPr>
              <w:t xml:space="preserve"> - </w:t>
            </w:r>
          </w:p>
        </w:tc>
        <w:tc>
          <w:tcPr>
            <w:tcW w:w="1005" w:type="dxa"/>
            <w:tcBorders>
              <w:top w:val="nil"/>
              <w:left w:val="nil"/>
              <w:bottom w:val="nil"/>
              <w:right w:val="nil"/>
              <w:tl2br w:val="nil"/>
              <w:tr2bl w:val="nil"/>
            </w:tcBorders>
            <w:shd w:val="clear" w:color="auto" w:fill="FFFFFF"/>
            <w:tcMar>
              <w:left w:w="115" w:type="dxa"/>
              <w:right w:w="115" w:type="dxa"/>
            </w:tcMar>
            <w:vAlign w:val="bottom"/>
          </w:tcPr>
          <w:p w14:paraId="5961A219" w14:textId="77777777" w:rsidR="003F0EEA" w:rsidRPr="00D403DC" w:rsidRDefault="00FB7D0B">
            <w:pPr>
              <w:jc w:val="right"/>
              <w:rPr>
                <w:rFonts w:ascii="Arial" w:eastAsia="Arial" w:hAnsi="Arial" w:cs="Arial"/>
                <w:color w:val="000000"/>
                <w:sz w:val="16"/>
              </w:rPr>
            </w:pPr>
            <w:r w:rsidRPr="00D403DC">
              <w:rPr>
                <w:rFonts w:ascii="Arial" w:eastAsia="Arial" w:hAnsi="Arial" w:cs="Arial"/>
                <w:color w:val="000000"/>
                <w:sz w:val="16"/>
              </w:rPr>
              <w:t xml:space="preserve"> - </w:t>
            </w:r>
          </w:p>
        </w:tc>
        <w:tc>
          <w:tcPr>
            <w:tcW w:w="1005" w:type="dxa"/>
            <w:tcBorders>
              <w:top w:val="nil"/>
              <w:left w:val="nil"/>
              <w:bottom w:val="nil"/>
              <w:right w:val="nil"/>
              <w:tl2br w:val="nil"/>
              <w:tr2bl w:val="nil"/>
            </w:tcBorders>
            <w:shd w:val="clear" w:color="auto" w:fill="FFFF00"/>
            <w:tcMar>
              <w:left w:w="115" w:type="dxa"/>
              <w:right w:w="115" w:type="dxa"/>
            </w:tcMar>
            <w:vAlign w:val="bottom"/>
          </w:tcPr>
          <w:p w14:paraId="11947E8A" w14:textId="77777777" w:rsidR="003F0EEA" w:rsidRPr="00D403DC" w:rsidRDefault="00FB7D0B">
            <w:pPr>
              <w:jc w:val="right"/>
              <w:rPr>
                <w:rFonts w:ascii="Arial" w:eastAsia="Arial" w:hAnsi="Arial" w:cs="Arial"/>
                <w:color w:val="000000"/>
                <w:sz w:val="16"/>
              </w:rPr>
            </w:pPr>
            <w:r w:rsidRPr="00D403DC">
              <w:rPr>
                <w:rFonts w:ascii="Arial" w:eastAsia="Arial" w:hAnsi="Arial" w:cs="Arial"/>
                <w:color w:val="000000"/>
                <w:sz w:val="16"/>
              </w:rPr>
              <w:t xml:space="preserve"> - </w:t>
            </w:r>
          </w:p>
        </w:tc>
        <w:tc>
          <w:tcPr>
            <w:tcW w:w="1005" w:type="dxa"/>
            <w:tcBorders>
              <w:top w:val="nil"/>
              <w:left w:val="nil"/>
              <w:bottom w:val="nil"/>
              <w:right w:val="nil"/>
              <w:tl2br w:val="nil"/>
              <w:tr2bl w:val="nil"/>
            </w:tcBorders>
            <w:shd w:val="clear" w:color="auto" w:fill="FFFFFF"/>
            <w:tcMar>
              <w:left w:w="115" w:type="dxa"/>
              <w:right w:w="115" w:type="dxa"/>
            </w:tcMar>
            <w:vAlign w:val="bottom"/>
          </w:tcPr>
          <w:p w14:paraId="08C73C5E" w14:textId="77777777" w:rsidR="003F0EEA" w:rsidRPr="00D403DC" w:rsidRDefault="00FB7D0B">
            <w:pPr>
              <w:jc w:val="right"/>
              <w:rPr>
                <w:rFonts w:ascii="Arial" w:eastAsia="Arial" w:hAnsi="Arial" w:cs="Arial"/>
                <w:color w:val="000000"/>
                <w:sz w:val="16"/>
              </w:rPr>
            </w:pPr>
            <w:r w:rsidRPr="00D403DC">
              <w:rPr>
                <w:rFonts w:ascii="Arial" w:eastAsia="Arial" w:hAnsi="Arial" w:cs="Arial"/>
                <w:color w:val="000000"/>
                <w:sz w:val="16"/>
              </w:rPr>
              <w:t xml:space="preserve"> - </w:t>
            </w:r>
          </w:p>
        </w:tc>
        <w:tc>
          <w:tcPr>
            <w:tcW w:w="1005" w:type="dxa"/>
            <w:tcBorders>
              <w:top w:val="nil"/>
              <w:left w:val="nil"/>
              <w:bottom w:val="nil"/>
              <w:right w:val="nil"/>
              <w:tl2br w:val="nil"/>
              <w:tr2bl w:val="nil"/>
            </w:tcBorders>
            <w:shd w:val="clear" w:color="auto" w:fill="FFFF00"/>
            <w:tcMar>
              <w:left w:w="115" w:type="dxa"/>
              <w:right w:w="115" w:type="dxa"/>
            </w:tcMar>
            <w:vAlign w:val="bottom"/>
          </w:tcPr>
          <w:p w14:paraId="5E639985" w14:textId="77777777" w:rsidR="003F0EEA" w:rsidRPr="00D403DC" w:rsidRDefault="00FB7D0B">
            <w:pPr>
              <w:jc w:val="right"/>
              <w:rPr>
                <w:rFonts w:ascii="Arial" w:eastAsia="Arial" w:hAnsi="Arial" w:cs="Arial"/>
                <w:color w:val="000000"/>
                <w:sz w:val="16"/>
              </w:rPr>
            </w:pPr>
            <w:r w:rsidRPr="00D403DC">
              <w:rPr>
                <w:rFonts w:ascii="Arial" w:eastAsia="Arial" w:hAnsi="Arial" w:cs="Arial"/>
                <w:color w:val="000000"/>
                <w:sz w:val="16"/>
              </w:rPr>
              <w:t xml:space="preserve"> - </w:t>
            </w:r>
          </w:p>
        </w:tc>
      </w:tr>
      <w:tr w:rsidR="00724034" w14:paraId="1056E0B1" w14:textId="77777777">
        <w:trPr>
          <w:trHeight w:val="225"/>
        </w:trPr>
        <w:tc>
          <w:tcPr>
            <w:tcW w:w="180" w:type="dxa"/>
            <w:tcBorders>
              <w:top w:val="nil"/>
              <w:left w:val="nil"/>
              <w:bottom w:val="nil"/>
              <w:right w:val="nil"/>
              <w:tl2br w:val="nil"/>
              <w:tr2bl w:val="nil"/>
            </w:tcBorders>
            <w:shd w:val="clear" w:color="auto" w:fill="FFFFFF"/>
            <w:tcMar>
              <w:left w:w="115" w:type="dxa"/>
              <w:right w:w="115" w:type="dxa"/>
            </w:tcMar>
            <w:vAlign w:val="bottom"/>
          </w:tcPr>
          <w:p w14:paraId="2029A9D1" w14:textId="77777777" w:rsidR="003F0EEA" w:rsidRPr="00D403DC" w:rsidRDefault="003F0EEA">
            <w:pPr>
              <w:rPr>
                <w:rFonts w:ascii="Arial" w:eastAsia="Arial" w:hAnsi="Arial" w:cs="Arial"/>
                <w:color w:val="000000"/>
                <w:sz w:val="16"/>
              </w:rPr>
            </w:pPr>
          </w:p>
        </w:tc>
        <w:tc>
          <w:tcPr>
            <w:tcW w:w="2280" w:type="dxa"/>
            <w:tcBorders>
              <w:top w:val="nil"/>
              <w:left w:val="nil"/>
              <w:bottom w:val="nil"/>
              <w:right w:val="nil"/>
              <w:tl2br w:val="nil"/>
              <w:tr2bl w:val="nil"/>
            </w:tcBorders>
            <w:shd w:val="clear" w:color="auto" w:fill="FFFFFF"/>
            <w:tcMar>
              <w:left w:w="115" w:type="dxa"/>
              <w:right w:w="115" w:type="dxa"/>
            </w:tcMar>
            <w:vAlign w:val="bottom"/>
          </w:tcPr>
          <w:p w14:paraId="79647244" w14:textId="77777777" w:rsidR="003F0EEA" w:rsidRPr="00D403DC" w:rsidRDefault="00FB7D0B">
            <w:pPr>
              <w:rPr>
                <w:rFonts w:ascii="Arial" w:eastAsia="Arial" w:hAnsi="Arial" w:cs="Arial"/>
                <w:color w:val="000000"/>
                <w:sz w:val="16"/>
              </w:rPr>
            </w:pPr>
            <w:r w:rsidRPr="00D403DC">
              <w:rPr>
                <w:rFonts w:ascii="Arial" w:eastAsia="Arial" w:hAnsi="Arial" w:cs="Arial"/>
                <w:color w:val="000000"/>
                <w:sz w:val="16"/>
              </w:rPr>
              <w:t>Departmental expenses</w:t>
            </w:r>
          </w:p>
        </w:tc>
        <w:tc>
          <w:tcPr>
            <w:tcW w:w="915" w:type="dxa"/>
            <w:tcBorders>
              <w:top w:val="nil"/>
              <w:left w:val="nil"/>
              <w:bottom w:val="nil"/>
              <w:right w:val="nil"/>
              <w:tl2br w:val="nil"/>
              <w:tr2bl w:val="nil"/>
            </w:tcBorders>
            <w:shd w:val="clear" w:color="auto" w:fill="FFFFFF"/>
            <w:tcMar>
              <w:left w:w="115" w:type="dxa"/>
              <w:right w:w="115" w:type="dxa"/>
            </w:tcMar>
            <w:vAlign w:val="bottom"/>
          </w:tcPr>
          <w:p w14:paraId="1D809583" w14:textId="77777777" w:rsidR="003F0EEA" w:rsidRPr="00D403DC" w:rsidRDefault="003F0EEA">
            <w:pPr>
              <w:jc w:val="center"/>
              <w:rPr>
                <w:rFonts w:ascii="Arial" w:eastAsia="Arial" w:hAnsi="Arial" w:cs="Arial"/>
                <w:color w:val="000000"/>
                <w:sz w:val="16"/>
                <w:vertAlign w:val="superscript"/>
              </w:rPr>
            </w:pPr>
          </w:p>
        </w:tc>
        <w:tc>
          <w:tcPr>
            <w:tcW w:w="1005" w:type="dxa"/>
            <w:tcBorders>
              <w:top w:val="nil"/>
              <w:left w:val="nil"/>
              <w:bottom w:val="nil"/>
              <w:right w:val="nil"/>
              <w:tl2br w:val="nil"/>
              <w:tr2bl w:val="nil"/>
            </w:tcBorders>
            <w:shd w:val="clear" w:color="auto" w:fill="FFFF00"/>
            <w:tcMar>
              <w:left w:w="115" w:type="dxa"/>
              <w:right w:w="115" w:type="dxa"/>
            </w:tcMar>
            <w:vAlign w:val="bottom"/>
          </w:tcPr>
          <w:p w14:paraId="68F49156" w14:textId="77777777" w:rsidR="003F0EEA" w:rsidRPr="00D403DC" w:rsidRDefault="00FB7D0B">
            <w:pPr>
              <w:jc w:val="right"/>
              <w:rPr>
                <w:rFonts w:ascii="Arial" w:eastAsia="Arial" w:hAnsi="Arial" w:cs="Arial"/>
                <w:color w:val="000000"/>
                <w:sz w:val="16"/>
                <w:vertAlign w:val="superscript"/>
              </w:rPr>
            </w:pPr>
            <w:r w:rsidRPr="00D403DC">
              <w:rPr>
                <w:rFonts w:ascii="Arial" w:eastAsia="Arial" w:hAnsi="Arial" w:cs="Arial"/>
                <w:color w:val="000000"/>
                <w:sz w:val="16"/>
              </w:rPr>
              <w:t xml:space="preserve"> - </w:t>
            </w:r>
          </w:p>
        </w:tc>
        <w:tc>
          <w:tcPr>
            <w:tcW w:w="1005" w:type="dxa"/>
            <w:tcBorders>
              <w:top w:val="nil"/>
              <w:left w:val="nil"/>
              <w:bottom w:val="nil"/>
              <w:right w:val="nil"/>
              <w:tl2br w:val="nil"/>
              <w:tr2bl w:val="nil"/>
            </w:tcBorders>
            <w:shd w:val="clear" w:color="auto" w:fill="FFFFFF"/>
            <w:tcMar>
              <w:left w:w="115" w:type="dxa"/>
              <w:right w:w="115" w:type="dxa"/>
            </w:tcMar>
            <w:vAlign w:val="bottom"/>
          </w:tcPr>
          <w:p w14:paraId="09788CC7" w14:textId="77777777" w:rsidR="003F0EEA" w:rsidRPr="00D403DC" w:rsidRDefault="00FB7D0B">
            <w:pPr>
              <w:jc w:val="right"/>
              <w:rPr>
                <w:rFonts w:ascii="Arial" w:eastAsia="Arial" w:hAnsi="Arial" w:cs="Arial"/>
                <w:color w:val="000000"/>
                <w:sz w:val="16"/>
              </w:rPr>
            </w:pPr>
            <w:r w:rsidRPr="00D403DC">
              <w:rPr>
                <w:rFonts w:ascii="Arial" w:eastAsia="Arial" w:hAnsi="Arial" w:cs="Arial"/>
                <w:color w:val="000000"/>
                <w:sz w:val="16"/>
              </w:rPr>
              <w:t>104  </w:t>
            </w:r>
          </w:p>
        </w:tc>
        <w:tc>
          <w:tcPr>
            <w:tcW w:w="1005" w:type="dxa"/>
            <w:tcBorders>
              <w:top w:val="nil"/>
              <w:left w:val="nil"/>
              <w:bottom w:val="nil"/>
              <w:right w:val="nil"/>
              <w:tl2br w:val="nil"/>
              <w:tr2bl w:val="nil"/>
            </w:tcBorders>
            <w:shd w:val="clear" w:color="auto" w:fill="FFFF00"/>
            <w:tcMar>
              <w:left w:w="115" w:type="dxa"/>
              <w:right w:w="115" w:type="dxa"/>
            </w:tcMar>
            <w:vAlign w:val="bottom"/>
          </w:tcPr>
          <w:p w14:paraId="70BD5D6C" w14:textId="77777777" w:rsidR="003F0EEA" w:rsidRPr="00D403DC" w:rsidRDefault="00FB7D0B">
            <w:pPr>
              <w:jc w:val="right"/>
              <w:rPr>
                <w:rFonts w:ascii="Arial" w:eastAsia="Arial" w:hAnsi="Arial" w:cs="Arial"/>
                <w:color w:val="000000"/>
                <w:sz w:val="16"/>
              </w:rPr>
            </w:pPr>
            <w:r w:rsidRPr="00D403DC">
              <w:rPr>
                <w:rFonts w:ascii="Arial" w:eastAsia="Arial" w:hAnsi="Arial" w:cs="Arial"/>
                <w:color w:val="000000"/>
                <w:sz w:val="16"/>
              </w:rPr>
              <w:t xml:space="preserve"> - </w:t>
            </w:r>
          </w:p>
        </w:tc>
        <w:tc>
          <w:tcPr>
            <w:tcW w:w="1005" w:type="dxa"/>
            <w:tcBorders>
              <w:top w:val="nil"/>
              <w:left w:val="nil"/>
              <w:bottom w:val="nil"/>
              <w:right w:val="nil"/>
              <w:tl2br w:val="nil"/>
              <w:tr2bl w:val="nil"/>
            </w:tcBorders>
            <w:shd w:val="clear" w:color="auto" w:fill="FFFFFF"/>
            <w:tcMar>
              <w:left w:w="115" w:type="dxa"/>
              <w:right w:w="115" w:type="dxa"/>
            </w:tcMar>
            <w:vAlign w:val="bottom"/>
          </w:tcPr>
          <w:p w14:paraId="2BB5DBBE" w14:textId="77777777" w:rsidR="003F0EEA" w:rsidRPr="00D403DC" w:rsidRDefault="00FB7D0B">
            <w:pPr>
              <w:jc w:val="right"/>
              <w:rPr>
                <w:rFonts w:ascii="Arial" w:eastAsia="Arial" w:hAnsi="Arial" w:cs="Arial"/>
                <w:color w:val="000000"/>
                <w:sz w:val="16"/>
              </w:rPr>
            </w:pPr>
            <w:r w:rsidRPr="00D403DC">
              <w:rPr>
                <w:rFonts w:ascii="Arial" w:eastAsia="Arial" w:hAnsi="Arial" w:cs="Arial"/>
                <w:color w:val="000000"/>
                <w:sz w:val="16"/>
              </w:rPr>
              <w:t xml:space="preserve"> - </w:t>
            </w:r>
          </w:p>
        </w:tc>
        <w:tc>
          <w:tcPr>
            <w:tcW w:w="1005" w:type="dxa"/>
            <w:tcBorders>
              <w:top w:val="nil"/>
              <w:left w:val="nil"/>
              <w:bottom w:val="nil"/>
              <w:right w:val="nil"/>
              <w:tl2br w:val="nil"/>
              <w:tr2bl w:val="nil"/>
            </w:tcBorders>
            <w:shd w:val="clear" w:color="auto" w:fill="FFFF00"/>
            <w:tcMar>
              <w:left w:w="115" w:type="dxa"/>
              <w:right w:w="115" w:type="dxa"/>
            </w:tcMar>
            <w:vAlign w:val="bottom"/>
          </w:tcPr>
          <w:p w14:paraId="7ABBC3E3" w14:textId="77777777" w:rsidR="003F0EEA" w:rsidRPr="00D403DC" w:rsidRDefault="00FB7D0B">
            <w:pPr>
              <w:jc w:val="right"/>
              <w:rPr>
                <w:rFonts w:ascii="Arial" w:eastAsia="Arial" w:hAnsi="Arial" w:cs="Arial"/>
                <w:color w:val="000000"/>
                <w:sz w:val="16"/>
              </w:rPr>
            </w:pPr>
            <w:r w:rsidRPr="00D403DC">
              <w:rPr>
                <w:rFonts w:ascii="Arial" w:eastAsia="Arial" w:hAnsi="Arial" w:cs="Arial"/>
                <w:color w:val="000000"/>
                <w:sz w:val="16"/>
              </w:rPr>
              <w:t xml:space="preserve"> - </w:t>
            </w:r>
          </w:p>
        </w:tc>
      </w:tr>
      <w:tr w:rsidR="00FB7D0B" w14:paraId="06F8A0FA" w14:textId="77777777" w:rsidTr="00FB7D0B">
        <w:trPr>
          <w:trHeight w:val="225"/>
        </w:trPr>
        <w:tc>
          <w:tcPr>
            <w:tcW w:w="2460" w:type="dxa"/>
            <w:gridSpan w:val="2"/>
            <w:tcBorders>
              <w:top w:val="nil"/>
              <w:left w:val="nil"/>
              <w:bottom w:val="nil"/>
              <w:right w:val="nil"/>
              <w:tl2br w:val="nil"/>
              <w:tr2bl w:val="nil"/>
            </w:tcBorders>
            <w:shd w:val="clear" w:color="auto" w:fill="FFFFFF"/>
            <w:tcMar>
              <w:left w:w="115" w:type="dxa"/>
              <w:right w:w="115" w:type="dxa"/>
            </w:tcMar>
            <w:vAlign w:val="bottom"/>
          </w:tcPr>
          <w:p w14:paraId="6FF69846" w14:textId="77777777" w:rsidR="003F0EEA" w:rsidRPr="00D403DC" w:rsidRDefault="00FB7D0B">
            <w:pPr>
              <w:rPr>
                <w:rFonts w:ascii="Arial" w:eastAsia="Arial" w:hAnsi="Arial" w:cs="Arial"/>
                <w:color w:val="000000"/>
                <w:sz w:val="16"/>
              </w:rPr>
            </w:pPr>
            <w:r w:rsidRPr="00D403DC">
              <w:rPr>
                <w:rFonts w:ascii="Arial" w:eastAsia="Arial" w:hAnsi="Arial" w:cs="Arial"/>
                <w:b/>
                <w:color w:val="000000"/>
                <w:sz w:val="16"/>
              </w:rPr>
              <w:t xml:space="preserve">Total </w:t>
            </w:r>
          </w:p>
        </w:tc>
        <w:tc>
          <w:tcPr>
            <w:tcW w:w="915" w:type="dxa"/>
            <w:tcBorders>
              <w:top w:val="nil"/>
              <w:left w:val="nil"/>
              <w:bottom w:val="nil"/>
              <w:right w:val="nil"/>
              <w:tl2br w:val="nil"/>
              <w:tr2bl w:val="nil"/>
            </w:tcBorders>
            <w:shd w:val="clear" w:color="auto" w:fill="FFFFFF"/>
            <w:tcMar>
              <w:left w:w="115" w:type="dxa"/>
              <w:right w:w="115" w:type="dxa"/>
            </w:tcMar>
            <w:vAlign w:val="bottom"/>
          </w:tcPr>
          <w:p w14:paraId="623CBB8D" w14:textId="77777777" w:rsidR="003F0EEA" w:rsidRPr="00D403DC" w:rsidRDefault="003F0EEA">
            <w:pPr>
              <w:jc w:val="center"/>
              <w:rPr>
                <w:rFonts w:ascii="Arial" w:eastAsia="Arial" w:hAnsi="Arial" w:cs="Arial"/>
                <w:b/>
                <w:color w:val="000000"/>
                <w:sz w:val="16"/>
                <w:vertAlign w:val="superscript"/>
              </w:rPr>
            </w:pPr>
          </w:p>
        </w:tc>
        <w:tc>
          <w:tcPr>
            <w:tcW w:w="1005" w:type="dxa"/>
            <w:tcBorders>
              <w:top w:val="nil"/>
              <w:left w:val="nil"/>
              <w:bottom w:val="single" w:sz="6" w:space="0" w:color="000000"/>
              <w:right w:val="nil"/>
              <w:tl2br w:val="nil"/>
              <w:tr2bl w:val="nil"/>
            </w:tcBorders>
            <w:shd w:val="clear" w:color="auto" w:fill="FFFF00"/>
            <w:tcMar>
              <w:left w:w="115" w:type="dxa"/>
              <w:right w:w="115" w:type="dxa"/>
            </w:tcMar>
            <w:vAlign w:val="bottom"/>
          </w:tcPr>
          <w:p w14:paraId="4EF3EF75" w14:textId="77777777" w:rsidR="003F0EEA" w:rsidRPr="00D403DC" w:rsidRDefault="00FB7D0B">
            <w:pPr>
              <w:jc w:val="right"/>
              <w:rPr>
                <w:rFonts w:ascii="Arial" w:eastAsia="Arial" w:hAnsi="Arial" w:cs="Arial"/>
                <w:color w:val="000000"/>
                <w:sz w:val="16"/>
                <w:vertAlign w:val="superscript"/>
              </w:rPr>
            </w:pPr>
            <w:r w:rsidRPr="00D403DC">
              <w:rPr>
                <w:rFonts w:ascii="Arial" w:eastAsia="Arial" w:hAnsi="Arial" w:cs="Arial"/>
                <w:b/>
                <w:color w:val="000000"/>
                <w:sz w:val="16"/>
              </w:rPr>
              <w:t xml:space="preserve"> - </w:t>
            </w:r>
          </w:p>
        </w:tc>
        <w:tc>
          <w:tcPr>
            <w:tcW w:w="1005"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7F36302B" w14:textId="77777777" w:rsidR="003F0EEA" w:rsidRPr="00D403DC" w:rsidRDefault="00FB7D0B">
            <w:pPr>
              <w:jc w:val="right"/>
              <w:rPr>
                <w:rFonts w:ascii="Arial" w:eastAsia="Arial" w:hAnsi="Arial" w:cs="Arial"/>
                <w:b/>
                <w:color w:val="000000"/>
                <w:sz w:val="16"/>
              </w:rPr>
            </w:pPr>
            <w:r w:rsidRPr="00D403DC">
              <w:rPr>
                <w:rFonts w:ascii="Arial" w:eastAsia="Arial" w:hAnsi="Arial" w:cs="Arial"/>
                <w:b/>
                <w:color w:val="000000"/>
                <w:sz w:val="16"/>
              </w:rPr>
              <w:t>104  </w:t>
            </w:r>
          </w:p>
        </w:tc>
        <w:tc>
          <w:tcPr>
            <w:tcW w:w="1005" w:type="dxa"/>
            <w:tcBorders>
              <w:top w:val="nil"/>
              <w:left w:val="nil"/>
              <w:bottom w:val="single" w:sz="6" w:space="0" w:color="000000"/>
              <w:right w:val="nil"/>
              <w:tl2br w:val="nil"/>
              <w:tr2bl w:val="nil"/>
            </w:tcBorders>
            <w:shd w:val="clear" w:color="auto" w:fill="FFFF00"/>
            <w:tcMar>
              <w:left w:w="115" w:type="dxa"/>
              <w:right w:w="115" w:type="dxa"/>
            </w:tcMar>
            <w:vAlign w:val="bottom"/>
          </w:tcPr>
          <w:p w14:paraId="5CE2EB90" w14:textId="77777777" w:rsidR="003F0EEA" w:rsidRPr="00D403DC" w:rsidRDefault="00FB7D0B">
            <w:pPr>
              <w:jc w:val="right"/>
              <w:rPr>
                <w:rFonts w:ascii="Arial" w:eastAsia="Arial" w:hAnsi="Arial" w:cs="Arial"/>
                <w:b/>
                <w:color w:val="000000"/>
                <w:sz w:val="16"/>
              </w:rPr>
            </w:pPr>
            <w:r w:rsidRPr="00D403DC">
              <w:rPr>
                <w:rFonts w:ascii="Arial" w:eastAsia="Arial" w:hAnsi="Arial" w:cs="Arial"/>
                <w:b/>
                <w:color w:val="000000"/>
                <w:sz w:val="16"/>
              </w:rPr>
              <w:t xml:space="preserve"> - </w:t>
            </w:r>
          </w:p>
        </w:tc>
        <w:tc>
          <w:tcPr>
            <w:tcW w:w="1005"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0873DC97" w14:textId="77777777" w:rsidR="003F0EEA" w:rsidRPr="00D403DC" w:rsidRDefault="00FB7D0B">
            <w:pPr>
              <w:jc w:val="right"/>
              <w:rPr>
                <w:rFonts w:ascii="Arial" w:eastAsia="Arial" w:hAnsi="Arial" w:cs="Arial"/>
                <w:b/>
                <w:color w:val="000000"/>
                <w:sz w:val="16"/>
              </w:rPr>
            </w:pPr>
            <w:r w:rsidRPr="00D403DC">
              <w:rPr>
                <w:rFonts w:ascii="Arial" w:eastAsia="Arial" w:hAnsi="Arial" w:cs="Arial"/>
                <w:b/>
                <w:color w:val="000000"/>
                <w:sz w:val="16"/>
              </w:rPr>
              <w:t xml:space="preserve"> - </w:t>
            </w:r>
          </w:p>
        </w:tc>
        <w:tc>
          <w:tcPr>
            <w:tcW w:w="1005" w:type="dxa"/>
            <w:tcBorders>
              <w:top w:val="nil"/>
              <w:left w:val="nil"/>
              <w:bottom w:val="single" w:sz="6" w:space="0" w:color="000000"/>
              <w:right w:val="nil"/>
              <w:tl2br w:val="nil"/>
              <w:tr2bl w:val="nil"/>
            </w:tcBorders>
            <w:shd w:val="clear" w:color="auto" w:fill="FFFF00"/>
            <w:tcMar>
              <w:left w:w="115" w:type="dxa"/>
              <w:right w:w="115" w:type="dxa"/>
            </w:tcMar>
            <w:vAlign w:val="bottom"/>
          </w:tcPr>
          <w:p w14:paraId="5FE24832" w14:textId="77777777" w:rsidR="003F0EEA" w:rsidRPr="00D403DC" w:rsidRDefault="00FB7D0B">
            <w:pPr>
              <w:jc w:val="right"/>
              <w:rPr>
                <w:rFonts w:ascii="Arial" w:eastAsia="Arial" w:hAnsi="Arial" w:cs="Arial"/>
                <w:b/>
                <w:color w:val="000000"/>
                <w:sz w:val="16"/>
              </w:rPr>
            </w:pPr>
            <w:r w:rsidRPr="00D403DC">
              <w:rPr>
                <w:rFonts w:ascii="Arial" w:eastAsia="Arial" w:hAnsi="Arial" w:cs="Arial"/>
                <w:b/>
                <w:color w:val="000000"/>
                <w:sz w:val="16"/>
              </w:rPr>
              <w:t xml:space="preserve"> - </w:t>
            </w:r>
          </w:p>
        </w:tc>
      </w:tr>
      <w:tr w:rsidR="00FB7D0B" w14:paraId="484432A8" w14:textId="77777777" w:rsidTr="00FB7D0B">
        <w:trPr>
          <w:trHeight w:val="225"/>
        </w:trPr>
        <w:tc>
          <w:tcPr>
            <w:tcW w:w="180" w:type="dxa"/>
            <w:tcBorders>
              <w:top w:val="nil"/>
              <w:left w:val="nil"/>
              <w:bottom w:val="nil"/>
              <w:right w:val="nil"/>
              <w:tl2br w:val="nil"/>
              <w:tr2bl w:val="nil"/>
            </w:tcBorders>
            <w:shd w:val="clear" w:color="auto" w:fill="FFFFFF"/>
            <w:tcMar>
              <w:left w:w="115" w:type="dxa"/>
              <w:right w:w="115" w:type="dxa"/>
            </w:tcMar>
            <w:vAlign w:val="bottom"/>
          </w:tcPr>
          <w:p w14:paraId="0B443F23" w14:textId="77777777" w:rsidR="003F0EEA" w:rsidRPr="00D403DC" w:rsidRDefault="003F0EEA">
            <w:pPr>
              <w:rPr>
                <w:rFonts w:ascii="Arial" w:eastAsia="Arial" w:hAnsi="Arial" w:cs="Arial"/>
                <w:b/>
                <w:color w:val="000000"/>
                <w:sz w:val="16"/>
              </w:rPr>
            </w:pPr>
          </w:p>
        </w:tc>
        <w:tc>
          <w:tcPr>
            <w:tcW w:w="2280" w:type="dxa"/>
            <w:tcBorders>
              <w:top w:val="nil"/>
              <w:left w:val="nil"/>
              <w:bottom w:val="nil"/>
              <w:right w:val="nil"/>
              <w:tl2br w:val="nil"/>
              <w:tr2bl w:val="nil"/>
            </w:tcBorders>
            <w:shd w:val="clear" w:color="auto" w:fill="FFFFFF"/>
            <w:tcMar>
              <w:left w:w="115" w:type="dxa"/>
              <w:right w:w="115" w:type="dxa"/>
            </w:tcMar>
            <w:vAlign w:val="bottom"/>
          </w:tcPr>
          <w:p w14:paraId="5436CA8D" w14:textId="77777777" w:rsidR="003F0EEA" w:rsidRPr="00D403DC" w:rsidRDefault="003F0EEA">
            <w:pPr>
              <w:rPr>
                <w:rFonts w:ascii="Arial" w:eastAsia="Arial" w:hAnsi="Arial" w:cs="Arial"/>
                <w:color w:val="000000"/>
                <w:sz w:val="16"/>
              </w:rPr>
            </w:pPr>
          </w:p>
        </w:tc>
        <w:tc>
          <w:tcPr>
            <w:tcW w:w="915" w:type="dxa"/>
            <w:tcBorders>
              <w:top w:val="nil"/>
              <w:left w:val="nil"/>
              <w:bottom w:val="nil"/>
              <w:right w:val="nil"/>
              <w:tl2br w:val="nil"/>
              <w:tr2bl w:val="nil"/>
            </w:tcBorders>
            <w:shd w:val="clear" w:color="auto" w:fill="FFFFFF"/>
            <w:tcMar>
              <w:left w:w="115" w:type="dxa"/>
              <w:right w:w="115" w:type="dxa"/>
            </w:tcMar>
            <w:vAlign w:val="bottom"/>
          </w:tcPr>
          <w:p w14:paraId="55055CD6" w14:textId="77777777" w:rsidR="003F0EEA" w:rsidRPr="00D403DC" w:rsidRDefault="003F0EEA">
            <w:pPr>
              <w:rPr>
                <w:rFonts w:ascii="Arial" w:eastAsia="Arial" w:hAnsi="Arial" w:cs="Arial"/>
                <w:color w:val="000000"/>
                <w:sz w:val="16"/>
                <w:vertAlign w:val="superscript"/>
              </w:rPr>
            </w:pPr>
          </w:p>
        </w:tc>
        <w:tc>
          <w:tcPr>
            <w:tcW w:w="1005"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49C760DF" w14:textId="77777777" w:rsidR="003F0EEA" w:rsidRPr="00D403DC" w:rsidRDefault="003F0EEA">
            <w:pPr>
              <w:rPr>
                <w:rFonts w:ascii="Arial" w:eastAsia="Arial" w:hAnsi="Arial" w:cs="Arial"/>
                <w:color w:val="000000"/>
                <w:sz w:val="16"/>
                <w:vertAlign w:val="superscript"/>
              </w:rPr>
            </w:pPr>
          </w:p>
        </w:tc>
        <w:tc>
          <w:tcPr>
            <w:tcW w:w="1005"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00DC30C5" w14:textId="77777777" w:rsidR="003F0EEA" w:rsidRPr="00D403DC" w:rsidRDefault="003F0EEA">
            <w:pPr>
              <w:rPr>
                <w:rFonts w:ascii="Arial" w:eastAsia="Arial" w:hAnsi="Arial" w:cs="Arial"/>
                <w:color w:val="000000"/>
                <w:sz w:val="16"/>
                <w:vertAlign w:val="superscript"/>
              </w:rPr>
            </w:pPr>
          </w:p>
        </w:tc>
        <w:tc>
          <w:tcPr>
            <w:tcW w:w="3015" w:type="dxa"/>
            <w:gridSpan w:val="3"/>
            <w:tcBorders>
              <w:top w:val="single" w:sz="6" w:space="0" w:color="000000"/>
              <w:left w:val="nil"/>
              <w:bottom w:val="nil"/>
              <w:right w:val="nil"/>
              <w:tl2br w:val="nil"/>
              <w:tr2bl w:val="nil"/>
            </w:tcBorders>
            <w:shd w:val="clear" w:color="auto" w:fill="FFFFFF"/>
            <w:tcMar>
              <w:left w:w="115" w:type="dxa"/>
              <w:right w:w="115" w:type="dxa"/>
            </w:tcMar>
            <w:vAlign w:val="bottom"/>
          </w:tcPr>
          <w:p w14:paraId="1A479C4F" w14:textId="77777777" w:rsidR="003F0EEA" w:rsidRPr="00D403DC" w:rsidRDefault="00FB7D0B">
            <w:pPr>
              <w:jc w:val="right"/>
              <w:rPr>
                <w:rFonts w:ascii="Arial" w:eastAsia="Arial" w:hAnsi="Arial" w:cs="Arial"/>
                <w:color w:val="000000"/>
                <w:sz w:val="16"/>
                <w:vertAlign w:val="superscript"/>
              </w:rPr>
            </w:pPr>
            <w:r w:rsidRPr="00D403DC">
              <w:rPr>
                <w:rFonts w:ascii="Arial" w:eastAsia="Arial" w:hAnsi="Arial" w:cs="Arial"/>
                <w:color w:val="000000"/>
                <w:sz w:val="16"/>
              </w:rPr>
              <w:t>Continued on next page</w:t>
            </w:r>
          </w:p>
        </w:tc>
      </w:tr>
      <w:tr w:rsidR="00FB7D0B" w14:paraId="68C1DEF4" w14:textId="77777777" w:rsidTr="00FB7D0B">
        <w:trPr>
          <w:trHeight w:val="225"/>
        </w:trPr>
        <w:tc>
          <w:tcPr>
            <w:tcW w:w="5385" w:type="dxa"/>
            <w:gridSpan w:val="5"/>
            <w:tcBorders>
              <w:top w:val="nil"/>
              <w:left w:val="nil"/>
              <w:bottom w:val="nil"/>
              <w:right w:val="nil"/>
              <w:tl2br w:val="nil"/>
              <w:tr2bl w:val="nil"/>
            </w:tcBorders>
            <w:shd w:val="clear" w:color="auto" w:fill="FFFFFF"/>
            <w:tcMar>
              <w:left w:w="115" w:type="dxa"/>
              <w:right w:w="115" w:type="dxa"/>
            </w:tcMar>
            <w:vAlign w:val="bottom"/>
          </w:tcPr>
          <w:p w14:paraId="7B581F99" w14:textId="77777777" w:rsidR="003F0EEA" w:rsidRPr="00D403DC" w:rsidRDefault="00FB7D0B">
            <w:pPr>
              <w:rPr>
                <w:rFonts w:ascii="Arial" w:eastAsia="Arial" w:hAnsi="Arial" w:cs="Arial"/>
                <w:color w:val="000000"/>
                <w:sz w:val="16"/>
              </w:rPr>
            </w:pPr>
            <w:r w:rsidRPr="00D403DC">
              <w:rPr>
                <w:rFonts w:ascii="Arial" w:eastAsia="Arial" w:hAnsi="Arial" w:cs="Arial"/>
                <w:color w:val="000000"/>
                <w:sz w:val="16"/>
              </w:rPr>
              <w:t>Prepared on a Government Finance Statistics (fiscal) basis</w:t>
            </w:r>
          </w:p>
        </w:tc>
        <w:tc>
          <w:tcPr>
            <w:tcW w:w="1005" w:type="dxa"/>
            <w:tcBorders>
              <w:top w:val="nil"/>
              <w:left w:val="nil"/>
              <w:bottom w:val="nil"/>
              <w:right w:val="nil"/>
              <w:tl2br w:val="nil"/>
              <w:tr2bl w:val="nil"/>
            </w:tcBorders>
            <w:shd w:val="clear" w:color="auto" w:fill="FFFFFF"/>
            <w:tcMar>
              <w:left w:w="115" w:type="dxa"/>
              <w:right w:w="115" w:type="dxa"/>
            </w:tcMar>
            <w:vAlign w:val="bottom"/>
          </w:tcPr>
          <w:p w14:paraId="7EC11A87" w14:textId="77777777" w:rsidR="003F0EEA" w:rsidRPr="00D403DC" w:rsidRDefault="003F0EEA">
            <w:pPr>
              <w:rPr>
                <w:rFonts w:ascii="Arial" w:eastAsia="Arial" w:hAnsi="Arial" w:cs="Arial"/>
                <w:color w:val="000000"/>
                <w:sz w:val="16"/>
              </w:rPr>
            </w:pPr>
          </w:p>
        </w:tc>
        <w:tc>
          <w:tcPr>
            <w:tcW w:w="1005" w:type="dxa"/>
            <w:tcBorders>
              <w:top w:val="nil"/>
              <w:left w:val="nil"/>
              <w:bottom w:val="nil"/>
              <w:right w:val="nil"/>
              <w:tl2br w:val="nil"/>
              <w:tr2bl w:val="nil"/>
            </w:tcBorders>
            <w:shd w:val="clear" w:color="auto" w:fill="FFFFFF"/>
            <w:tcMar>
              <w:left w:w="115" w:type="dxa"/>
              <w:right w:w="115" w:type="dxa"/>
            </w:tcMar>
            <w:vAlign w:val="bottom"/>
          </w:tcPr>
          <w:p w14:paraId="5123A740" w14:textId="77777777" w:rsidR="003F0EEA" w:rsidRPr="00D403DC" w:rsidRDefault="003F0EEA">
            <w:pPr>
              <w:rPr>
                <w:rFonts w:ascii="Arial" w:eastAsia="Arial" w:hAnsi="Arial" w:cs="Arial"/>
                <w:color w:val="000000"/>
                <w:sz w:val="16"/>
              </w:rPr>
            </w:pPr>
          </w:p>
        </w:tc>
        <w:tc>
          <w:tcPr>
            <w:tcW w:w="1005" w:type="dxa"/>
            <w:tcBorders>
              <w:top w:val="nil"/>
              <w:left w:val="nil"/>
              <w:bottom w:val="nil"/>
              <w:right w:val="nil"/>
              <w:tl2br w:val="nil"/>
              <w:tr2bl w:val="nil"/>
            </w:tcBorders>
            <w:shd w:val="clear" w:color="auto" w:fill="FFFFFF"/>
            <w:tcMar>
              <w:left w:w="115" w:type="dxa"/>
              <w:right w:w="115" w:type="dxa"/>
            </w:tcMar>
            <w:vAlign w:val="bottom"/>
          </w:tcPr>
          <w:p w14:paraId="5FD425FA" w14:textId="77777777" w:rsidR="003F0EEA" w:rsidRPr="00D403DC" w:rsidRDefault="003F0EEA">
            <w:pPr>
              <w:rPr>
                <w:rFonts w:ascii="Arial" w:eastAsia="Arial" w:hAnsi="Arial" w:cs="Arial"/>
                <w:color w:val="000000"/>
                <w:sz w:val="16"/>
              </w:rPr>
            </w:pPr>
          </w:p>
        </w:tc>
      </w:tr>
    </w:tbl>
    <w:p w14:paraId="70932F7F" w14:textId="77777777" w:rsidR="003F0EEA" w:rsidRPr="00D403DC" w:rsidRDefault="00FB7D0B">
      <w:pPr>
        <w:spacing w:line="14" w:lineRule="exact"/>
        <w:rPr>
          <w:rFonts w:cs="Times New Roman"/>
        </w:rPr>
      </w:pPr>
      <w:r w:rsidRPr="00D403DC">
        <w:rPr>
          <w:rFonts w:cs="Times New Roman"/>
        </w:rPr>
        <w:br w:type="page"/>
      </w:r>
    </w:p>
    <w:p w14:paraId="59921AD0" w14:textId="77777777" w:rsidR="003F0EEA" w:rsidRPr="00246AE0" w:rsidRDefault="00FB7D0B" w:rsidP="003F0EEA">
      <w:pPr>
        <w:pStyle w:val="TableHeadingcontinued6"/>
        <w:spacing w:after="0"/>
      </w:pPr>
      <w:r w:rsidRPr="00B54316">
        <w:t xml:space="preserve">Table 1.2: </w:t>
      </w:r>
      <w:r>
        <w:t xml:space="preserve">Department of Veterans' Affairs </w:t>
      </w:r>
      <w:r w:rsidRPr="00B54316">
        <w:t xml:space="preserve">2014-15 </w:t>
      </w:r>
      <w:r>
        <w:t xml:space="preserve">Budget measures </w:t>
      </w:r>
      <w:r w:rsidRPr="00A61101">
        <w:t>(continued)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0"/>
        <w:gridCol w:w="2280"/>
        <w:gridCol w:w="915"/>
        <w:gridCol w:w="1005"/>
        <w:gridCol w:w="1005"/>
        <w:gridCol w:w="1005"/>
        <w:gridCol w:w="1005"/>
        <w:gridCol w:w="1005"/>
      </w:tblGrid>
      <w:tr w:rsidR="00FB7D0B" w14:paraId="566E8A14" w14:textId="77777777" w:rsidTr="00FB7D0B">
        <w:trPr>
          <w:trHeight w:val="300"/>
        </w:trPr>
        <w:tc>
          <w:tcPr>
            <w:tcW w:w="3375" w:type="dxa"/>
            <w:gridSpan w:val="3"/>
            <w:tcBorders>
              <w:top w:val="single" w:sz="6" w:space="0" w:color="000000"/>
              <w:left w:val="nil"/>
              <w:bottom w:val="nil"/>
              <w:right w:val="nil"/>
              <w:tl2br w:val="nil"/>
              <w:tr2bl w:val="nil"/>
            </w:tcBorders>
            <w:shd w:val="clear" w:color="auto" w:fill="FFFFFF"/>
            <w:tcMar>
              <w:left w:w="115" w:type="dxa"/>
              <w:right w:w="115" w:type="dxa"/>
            </w:tcMar>
            <w:vAlign w:val="bottom"/>
          </w:tcPr>
          <w:p w14:paraId="551B8B2E" w14:textId="77777777" w:rsidR="003F0EEA" w:rsidRPr="00246AE0" w:rsidRDefault="00FB7D0B">
            <w:pPr>
              <w:jc w:val="right"/>
              <w:rPr>
                <w:rFonts w:eastAsia="Times New Roman" w:cs="Times New Roman"/>
              </w:rPr>
            </w:pPr>
            <w:r w:rsidRPr="00246AE0">
              <w:rPr>
                <w:rFonts w:ascii="Arial" w:eastAsia="Arial" w:hAnsi="Arial" w:cs="Arial"/>
                <w:color w:val="000000"/>
                <w:sz w:val="16"/>
              </w:rPr>
              <w:t>Programme</w:t>
            </w:r>
          </w:p>
        </w:tc>
        <w:tc>
          <w:tcPr>
            <w:tcW w:w="1005" w:type="dxa"/>
            <w:tcBorders>
              <w:top w:val="single" w:sz="6" w:space="0" w:color="000000"/>
              <w:left w:val="nil"/>
              <w:bottom w:val="nil"/>
              <w:right w:val="nil"/>
              <w:tl2br w:val="nil"/>
              <w:tr2bl w:val="nil"/>
            </w:tcBorders>
            <w:shd w:val="clear" w:color="auto" w:fill="FFFF00"/>
            <w:tcMar>
              <w:left w:w="115" w:type="dxa"/>
              <w:right w:w="115" w:type="dxa"/>
            </w:tcMar>
            <w:vAlign w:val="bottom"/>
          </w:tcPr>
          <w:p w14:paraId="1CB759F3" w14:textId="77777777" w:rsidR="003F0EEA" w:rsidRPr="00246AE0" w:rsidRDefault="00FB7D0B">
            <w:pPr>
              <w:jc w:val="right"/>
              <w:rPr>
                <w:rFonts w:ascii="Arial" w:eastAsia="Arial" w:hAnsi="Arial" w:cs="Arial"/>
                <w:color w:val="000000"/>
                <w:sz w:val="16"/>
              </w:rPr>
            </w:pPr>
            <w:r w:rsidRPr="00246AE0">
              <w:rPr>
                <w:rFonts w:ascii="Arial" w:eastAsia="Arial" w:hAnsi="Arial" w:cs="Arial"/>
                <w:color w:val="000000"/>
                <w:sz w:val="16"/>
              </w:rPr>
              <w:t>2013-14</w:t>
            </w:r>
          </w:p>
        </w:tc>
        <w:tc>
          <w:tcPr>
            <w:tcW w:w="1005"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41028AE1" w14:textId="77777777" w:rsidR="003F0EEA" w:rsidRPr="00246AE0" w:rsidRDefault="00FB7D0B">
            <w:pPr>
              <w:jc w:val="right"/>
              <w:rPr>
                <w:rFonts w:ascii="Arial" w:eastAsia="Arial" w:hAnsi="Arial" w:cs="Arial"/>
                <w:color w:val="000000"/>
                <w:sz w:val="16"/>
              </w:rPr>
            </w:pPr>
            <w:r w:rsidRPr="00246AE0">
              <w:rPr>
                <w:rFonts w:ascii="Arial" w:eastAsia="Arial" w:hAnsi="Arial" w:cs="Arial"/>
                <w:color w:val="000000"/>
                <w:sz w:val="16"/>
              </w:rPr>
              <w:t>2014-15</w:t>
            </w:r>
          </w:p>
        </w:tc>
        <w:tc>
          <w:tcPr>
            <w:tcW w:w="1005" w:type="dxa"/>
            <w:tcBorders>
              <w:top w:val="single" w:sz="6" w:space="0" w:color="000000"/>
              <w:left w:val="nil"/>
              <w:bottom w:val="nil"/>
              <w:right w:val="nil"/>
              <w:tl2br w:val="nil"/>
              <w:tr2bl w:val="nil"/>
            </w:tcBorders>
            <w:shd w:val="clear" w:color="auto" w:fill="FFFF00"/>
            <w:tcMar>
              <w:left w:w="115" w:type="dxa"/>
              <w:right w:w="115" w:type="dxa"/>
            </w:tcMar>
            <w:vAlign w:val="bottom"/>
          </w:tcPr>
          <w:p w14:paraId="1996BE25" w14:textId="77777777" w:rsidR="003F0EEA" w:rsidRPr="00246AE0" w:rsidRDefault="00FB7D0B">
            <w:pPr>
              <w:jc w:val="right"/>
              <w:rPr>
                <w:rFonts w:ascii="Arial" w:eastAsia="Arial" w:hAnsi="Arial" w:cs="Arial"/>
                <w:color w:val="000000"/>
                <w:sz w:val="16"/>
              </w:rPr>
            </w:pPr>
            <w:r w:rsidRPr="00246AE0">
              <w:rPr>
                <w:rFonts w:ascii="Arial" w:eastAsia="Arial" w:hAnsi="Arial" w:cs="Arial"/>
                <w:color w:val="000000"/>
                <w:sz w:val="16"/>
              </w:rPr>
              <w:t>2015-16</w:t>
            </w:r>
          </w:p>
        </w:tc>
        <w:tc>
          <w:tcPr>
            <w:tcW w:w="1005"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47095434" w14:textId="77777777" w:rsidR="003F0EEA" w:rsidRPr="00246AE0" w:rsidRDefault="00FB7D0B">
            <w:pPr>
              <w:jc w:val="right"/>
              <w:rPr>
                <w:rFonts w:ascii="Arial" w:eastAsia="Arial" w:hAnsi="Arial" w:cs="Arial"/>
                <w:color w:val="000000"/>
                <w:sz w:val="16"/>
              </w:rPr>
            </w:pPr>
            <w:r w:rsidRPr="00246AE0">
              <w:rPr>
                <w:rFonts w:ascii="Arial" w:eastAsia="Arial" w:hAnsi="Arial" w:cs="Arial"/>
                <w:color w:val="000000"/>
                <w:sz w:val="16"/>
              </w:rPr>
              <w:t>2016-17</w:t>
            </w:r>
          </w:p>
        </w:tc>
        <w:tc>
          <w:tcPr>
            <w:tcW w:w="1005" w:type="dxa"/>
            <w:tcBorders>
              <w:top w:val="single" w:sz="6" w:space="0" w:color="000000"/>
              <w:left w:val="nil"/>
              <w:bottom w:val="nil"/>
              <w:right w:val="nil"/>
              <w:tl2br w:val="nil"/>
              <w:tr2bl w:val="nil"/>
            </w:tcBorders>
            <w:shd w:val="clear" w:color="auto" w:fill="FFFF00"/>
            <w:tcMar>
              <w:left w:w="115" w:type="dxa"/>
              <w:right w:w="115" w:type="dxa"/>
            </w:tcMar>
            <w:vAlign w:val="bottom"/>
          </w:tcPr>
          <w:p w14:paraId="4BF022A9" w14:textId="77777777" w:rsidR="003F0EEA" w:rsidRPr="00246AE0" w:rsidRDefault="00FB7D0B">
            <w:pPr>
              <w:jc w:val="right"/>
              <w:rPr>
                <w:rFonts w:ascii="Arial" w:eastAsia="Arial" w:hAnsi="Arial" w:cs="Arial"/>
                <w:color w:val="000000"/>
                <w:sz w:val="16"/>
              </w:rPr>
            </w:pPr>
            <w:r w:rsidRPr="00246AE0">
              <w:rPr>
                <w:rFonts w:ascii="Arial" w:eastAsia="Arial" w:hAnsi="Arial" w:cs="Arial"/>
                <w:color w:val="000000"/>
                <w:sz w:val="16"/>
              </w:rPr>
              <w:t>2017-18</w:t>
            </w:r>
          </w:p>
        </w:tc>
      </w:tr>
      <w:tr w:rsidR="00724034" w14:paraId="5BDCC114" w14:textId="77777777">
        <w:trPr>
          <w:trHeight w:val="225"/>
        </w:trPr>
        <w:tc>
          <w:tcPr>
            <w:tcW w:w="180" w:type="dxa"/>
            <w:tcBorders>
              <w:top w:val="nil"/>
              <w:left w:val="nil"/>
              <w:bottom w:val="nil"/>
              <w:right w:val="nil"/>
              <w:tl2br w:val="nil"/>
              <w:tr2bl w:val="nil"/>
            </w:tcBorders>
            <w:shd w:val="clear" w:color="auto" w:fill="FFFFFF"/>
            <w:tcMar>
              <w:left w:w="115" w:type="dxa"/>
              <w:right w:w="115" w:type="dxa"/>
            </w:tcMar>
            <w:vAlign w:val="bottom"/>
          </w:tcPr>
          <w:p w14:paraId="69B4158D" w14:textId="77777777" w:rsidR="003F0EEA" w:rsidRPr="00246AE0" w:rsidRDefault="003F0EEA">
            <w:pPr>
              <w:rPr>
                <w:rFonts w:ascii="Arial" w:eastAsia="Arial" w:hAnsi="Arial" w:cs="Arial"/>
                <w:color w:val="000000"/>
                <w:sz w:val="16"/>
              </w:rPr>
            </w:pPr>
          </w:p>
        </w:tc>
        <w:tc>
          <w:tcPr>
            <w:tcW w:w="2280" w:type="dxa"/>
            <w:tcBorders>
              <w:top w:val="nil"/>
              <w:left w:val="nil"/>
              <w:bottom w:val="nil"/>
              <w:right w:val="nil"/>
              <w:tl2br w:val="nil"/>
              <w:tr2bl w:val="nil"/>
            </w:tcBorders>
            <w:shd w:val="clear" w:color="auto" w:fill="FFFFFF"/>
            <w:tcMar>
              <w:left w:w="115" w:type="dxa"/>
              <w:right w:w="115" w:type="dxa"/>
            </w:tcMar>
            <w:vAlign w:val="bottom"/>
          </w:tcPr>
          <w:p w14:paraId="3CABBED4" w14:textId="77777777" w:rsidR="003F0EEA" w:rsidRPr="00246AE0" w:rsidRDefault="003F0EEA">
            <w:pPr>
              <w:rPr>
                <w:rFonts w:ascii="Arial" w:eastAsia="Arial" w:hAnsi="Arial" w:cs="Arial"/>
                <w:color w:val="000000"/>
                <w:sz w:val="16"/>
              </w:rPr>
            </w:pPr>
          </w:p>
        </w:tc>
        <w:tc>
          <w:tcPr>
            <w:tcW w:w="915" w:type="dxa"/>
            <w:tcBorders>
              <w:top w:val="nil"/>
              <w:left w:val="nil"/>
              <w:bottom w:val="nil"/>
              <w:right w:val="nil"/>
              <w:tl2br w:val="nil"/>
              <w:tr2bl w:val="nil"/>
            </w:tcBorders>
            <w:shd w:val="clear" w:color="auto" w:fill="FFFFFF"/>
            <w:tcMar>
              <w:left w:w="115" w:type="dxa"/>
              <w:right w:w="115" w:type="dxa"/>
            </w:tcMar>
            <w:vAlign w:val="bottom"/>
          </w:tcPr>
          <w:p w14:paraId="23C4A77B" w14:textId="77777777" w:rsidR="003F0EEA" w:rsidRPr="00246AE0" w:rsidRDefault="003F0EEA">
            <w:pPr>
              <w:rPr>
                <w:rFonts w:ascii="Arial" w:eastAsia="Arial" w:hAnsi="Arial" w:cs="Arial"/>
                <w:color w:val="000000"/>
                <w:sz w:val="16"/>
                <w:vertAlign w:val="superscript"/>
              </w:rPr>
            </w:pPr>
          </w:p>
        </w:tc>
        <w:tc>
          <w:tcPr>
            <w:tcW w:w="1005" w:type="dxa"/>
            <w:tcBorders>
              <w:top w:val="nil"/>
              <w:left w:val="nil"/>
              <w:bottom w:val="single" w:sz="6" w:space="0" w:color="000000"/>
              <w:right w:val="nil"/>
              <w:tl2br w:val="nil"/>
              <w:tr2bl w:val="nil"/>
            </w:tcBorders>
            <w:shd w:val="clear" w:color="auto" w:fill="FFFF00"/>
            <w:tcMar>
              <w:left w:w="115" w:type="dxa"/>
              <w:right w:w="115" w:type="dxa"/>
            </w:tcMar>
            <w:vAlign w:val="bottom"/>
          </w:tcPr>
          <w:p w14:paraId="4A59D2B4" w14:textId="77777777" w:rsidR="003F0EEA" w:rsidRPr="00246AE0" w:rsidRDefault="00FB7D0B">
            <w:pPr>
              <w:jc w:val="right"/>
              <w:rPr>
                <w:rFonts w:ascii="Arial" w:eastAsia="Arial" w:hAnsi="Arial" w:cs="Arial"/>
                <w:color w:val="000000"/>
                <w:sz w:val="16"/>
                <w:vertAlign w:val="superscript"/>
              </w:rPr>
            </w:pPr>
            <w:r w:rsidRPr="00246AE0">
              <w:rPr>
                <w:rFonts w:ascii="Arial" w:eastAsia="Arial" w:hAnsi="Arial" w:cs="Arial"/>
                <w:color w:val="000000"/>
                <w:sz w:val="16"/>
              </w:rPr>
              <w:t>$'000</w:t>
            </w:r>
          </w:p>
        </w:tc>
        <w:tc>
          <w:tcPr>
            <w:tcW w:w="1005"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72F525FE" w14:textId="77777777" w:rsidR="003F0EEA" w:rsidRPr="00246AE0" w:rsidRDefault="00FB7D0B">
            <w:pPr>
              <w:jc w:val="right"/>
              <w:rPr>
                <w:rFonts w:ascii="Arial" w:eastAsia="Arial" w:hAnsi="Arial" w:cs="Arial"/>
                <w:color w:val="000000"/>
                <w:sz w:val="16"/>
              </w:rPr>
            </w:pPr>
            <w:r w:rsidRPr="00246AE0">
              <w:rPr>
                <w:rFonts w:ascii="Arial" w:eastAsia="Arial" w:hAnsi="Arial" w:cs="Arial"/>
                <w:color w:val="000000"/>
                <w:sz w:val="16"/>
              </w:rPr>
              <w:t>$'000</w:t>
            </w:r>
          </w:p>
        </w:tc>
        <w:tc>
          <w:tcPr>
            <w:tcW w:w="1005" w:type="dxa"/>
            <w:tcBorders>
              <w:top w:val="nil"/>
              <w:left w:val="nil"/>
              <w:bottom w:val="single" w:sz="6" w:space="0" w:color="000000"/>
              <w:right w:val="nil"/>
              <w:tl2br w:val="nil"/>
              <w:tr2bl w:val="nil"/>
            </w:tcBorders>
            <w:shd w:val="clear" w:color="auto" w:fill="FFFF00"/>
            <w:tcMar>
              <w:left w:w="115" w:type="dxa"/>
              <w:right w:w="115" w:type="dxa"/>
            </w:tcMar>
            <w:vAlign w:val="bottom"/>
          </w:tcPr>
          <w:p w14:paraId="41BF82F9" w14:textId="77777777" w:rsidR="003F0EEA" w:rsidRPr="00246AE0" w:rsidRDefault="00FB7D0B">
            <w:pPr>
              <w:jc w:val="right"/>
              <w:rPr>
                <w:rFonts w:ascii="Arial" w:eastAsia="Arial" w:hAnsi="Arial" w:cs="Arial"/>
                <w:color w:val="000000"/>
                <w:sz w:val="16"/>
              </w:rPr>
            </w:pPr>
            <w:r w:rsidRPr="00246AE0">
              <w:rPr>
                <w:rFonts w:ascii="Arial" w:eastAsia="Arial" w:hAnsi="Arial" w:cs="Arial"/>
                <w:color w:val="000000"/>
                <w:sz w:val="16"/>
              </w:rPr>
              <w:t>$'000</w:t>
            </w:r>
          </w:p>
        </w:tc>
        <w:tc>
          <w:tcPr>
            <w:tcW w:w="1005"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6B10747A" w14:textId="77777777" w:rsidR="003F0EEA" w:rsidRPr="00246AE0" w:rsidRDefault="00FB7D0B">
            <w:pPr>
              <w:jc w:val="right"/>
              <w:rPr>
                <w:rFonts w:ascii="Arial" w:eastAsia="Arial" w:hAnsi="Arial" w:cs="Arial"/>
                <w:color w:val="000000"/>
                <w:sz w:val="16"/>
              </w:rPr>
            </w:pPr>
            <w:r w:rsidRPr="00246AE0">
              <w:rPr>
                <w:rFonts w:ascii="Arial" w:eastAsia="Arial" w:hAnsi="Arial" w:cs="Arial"/>
                <w:color w:val="000000"/>
                <w:sz w:val="16"/>
              </w:rPr>
              <w:t>$'000</w:t>
            </w:r>
          </w:p>
        </w:tc>
        <w:tc>
          <w:tcPr>
            <w:tcW w:w="1005" w:type="dxa"/>
            <w:tcBorders>
              <w:top w:val="nil"/>
              <w:left w:val="nil"/>
              <w:bottom w:val="single" w:sz="6" w:space="0" w:color="000000"/>
              <w:right w:val="nil"/>
              <w:tl2br w:val="nil"/>
              <w:tr2bl w:val="nil"/>
            </w:tcBorders>
            <w:shd w:val="clear" w:color="auto" w:fill="FFFF00"/>
            <w:tcMar>
              <w:left w:w="115" w:type="dxa"/>
              <w:right w:w="115" w:type="dxa"/>
            </w:tcMar>
            <w:vAlign w:val="bottom"/>
          </w:tcPr>
          <w:p w14:paraId="71516D58" w14:textId="77777777" w:rsidR="003F0EEA" w:rsidRPr="00246AE0" w:rsidRDefault="00FB7D0B">
            <w:pPr>
              <w:jc w:val="right"/>
              <w:rPr>
                <w:rFonts w:ascii="Arial" w:eastAsia="Arial" w:hAnsi="Arial" w:cs="Arial"/>
                <w:color w:val="000000"/>
                <w:sz w:val="16"/>
              </w:rPr>
            </w:pPr>
            <w:r w:rsidRPr="00246AE0">
              <w:rPr>
                <w:rFonts w:ascii="Arial" w:eastAsia="Arial" w:hAnsi="Arial" w:cs="Arial"/>
                <w:color w:val="000000"/>
                <w:sz w:val="16"/>
              </w:rPr>
              <w:t>$'000</w:t>
            </w:r>
          </w:p>
        </w:tc>
      </w:tr>
      <w:tr w:rsidR="00FB7D0B" w14:paraId="45D2E3AC" w14:textId="77777777" w:rsidTr="00FB7D0B">
        <w:trPr>
          <w:trHeight w:val="675"/>
        </w:trPr>
        <w:tc>
          <w:tcPr>
            <w:tcW w:w="2460" w:type="dxa"/>
            <w:gridSpan w:val="2"/>
            <w:tcBorders>
              <w:top w:val="nil"/>
              <w:left w:val="nil"/>
              <w:bottom w:val="nil"/>
              <w:right w:val="nil"/>
              <w:tl2br w:val="nil"/>
              <w:tr2bl w:val="nil"/>
            </w:tcBorders>
            <w:shd w:val="clear" w:color="auto" w:fill="FFFFFF"/>
            <w:tcMar>
              <w:left w:w="115" w:type="dxa"/>
              <w:right w:w="115" w:type="dxa"/>
            </w:tcMar>
            <w:vAlign w:val="bottom"/>
          </w:tcPr>
          <w:p w14:paraId="3EE7FCB3" w14:textId="77777777" w:rsidR="003F0EEA" w:rsidRPr="00246AE0" w:rsidRDefault="00FB7D0B">
            <w:pPr>
              <w:rPr>
                <w:rFonts w:ascii="Arial" w:eastAsia="Arial" w:hAnsi="Arial" w:cs="Arial"/>
                <w:color w:val="000000"/>
                <w:sz w:val="16"/>
              </w:rPr>
            </w:pPr>
            <w:r w:rsidRPr="00246AE0">
              <w:rPr>
                <w:rFonts w:ascii="Arial" w:eastAsia="Arial" w:hAnsi="Arial" w:cs="Arial"/>
                <w:color w:val="000000"/>
                <w:sz w:val="16"/>
              </w:rPr>
              <w:t>Full implementation of National Bowel Cancer Screening Programme</w:t>
            </w:r>
            <w:r w:rsidRPr="00246AE0">
              <w:rPr>
                <w:rFonts w:ascii="Arial" w:eastAsia="Arial" w:hAnsi="Arial" w:cs="Arial"/>
                <w:color w:val="000000"/>
                <w:sz w:val="16"/>
                <w:vertAlign w:val="superscript"/>
              </w:rPr>
              <w:t>2 </w:t>
            </w:r>
          </w:p>
        </w:tc>
        <w:tc>
          <w:tcPr>
            <w:tcW w:w="915" w:type="dxa"/>
            <w:tcBorders>
              <w:top w:val="nil"/>
              <w:left w:val="nil"/>
              <w:bottom w:val="nil"/>
              <w:right w:val="nil"/>
              <w:tl2br w:val="nil"/>
              <w:tr2bl w:val="nil"/>
            </w:tcBorders>
            <w:shd w:val="clear" w:color="auto" w:fill="FFFFFF"/>
            <w:tcMar>
              <w:left w:w="115" w:type="dxa"/>
              <w:right w:w="115" w:type="dxa"/>
            </w:tcMar>
            <w:vAlign w:val="bottom"/>
          </w:tcPr>
          <w:p w14:paraId="64D63019" w14:textId="77777777" w:rsidR="003F0EEA" w:rsidRPr="00246AE0" w:rsidRDefault="00FB7D0B">
            <w:pPr>
              <w:jc w:val="center"/>
              <w:rPr>
                <w:rFonts w:ascii="Arial" w:eastAsia="Arial" w:hAnsi="Arial" w:cs="Arial"/>
                <w:color w:val="000000"/>
                <w:sz w:val="16"/>
                <w:vertAlign w:val="superscript"/>
              </w:rPr>
            </w:pPr>
            <w:r w:rsidRPr="00246AE0">
              <w:rPr>
                <w:rFonts w:ascii="Arial" w:eastAsia="Arial" w:hAnsi="Arial" w:cs="Arial"/>
                <w:color w:val="000000"/>
                <w:sz w:val="16"/>
              </w:rPr>
              <w:t>2.1 </w:t>
            </w:r>
          </w:p>
        </w:tc>
        <w:tc>
          <w:tcPr>
            <w:tcW w:w="1005" w:type="dxa"/>
            <w:tcBorders>
              <w:top w:val="single" w:sz="6" w:space="0" w:color="000000"/>
              <w:left w:val="nil"/>
              <w:bottom w:val="nil"/>
              <w:right w:val="nil"/>
              <w:tl2br w:val="nil"/>
              <w:tr2bl w:val="nil"/>
            </w:tcBorders>
            <w:shd w:val="clear" w:color="auto" w:fill="FFFF00"/>
            <w:tcMar>
              <w:left w:w="115" w:type="dxa"/>
              <w:right w:w="115" w:type="dxa"/>
            </w:tcMar>
            <w:vAlign w:val="bottom"/>
          </w:tcPr>
          <w:p w14:paraId="08001D75" w14:textId="77777777" w:rsidR="003F0EEA" w:rsidRPr="00246AE0" w:rsidRDefault="003F0EEA">
            <w:pPr>
              <w:jc w:val="right"/>
              <w:rPr>
                <w:rFonts w:ascii="Arial" w:eastAsia="Arial" w:hAnsi="Arial" w:cs="Arial"/>
                <w:color w:val="000000"/>
                <w:sz w:val="16"/>
              </w:rPr>
            </w:pPr>
          </w:p>
        </w:tc>
        <w:tc>
          <w:tcPr>
            <w:tcW w:w="1005"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0776B3FA" w14:textId="77777777" w:rsidR="003F0EEA" w:rsidRPr="00246AE0" w:rsidRDefault="003F0EEA">
            <w:pPr>
              <w:jc w:val="right"/>
              <w:rPr>
                <w:rFonts w:ascii="Arial" w:eastAsia="Arial" w:hAnsi="Arial" w:cs="Arial"/>
                <w:color w:val="000000"/>
                <w:sz w:val="16"/>
              </w:rPr>
            </w:pPr>
          </w:p>
        </w:tc>
        <w:tc>
          <w:tcPr>
            <w:tcW w:w="1005" w:type="dxa"/>
            <w:tcBorders>
              <w:top w:val="single" w:sz="6" w:space="0" w:color="000000"/>
              <w:left w:val="nil"/>
              <w:bottom w:val="nil"/>
              <w:right w:val="nil"/>
              <w:tl2br w:val="nil"/>
              <w:tr2bl w:val="nil"/>
            </w:tcBorders>
            <w:shd w:val="clear" w:color="auto" w:fill="FFFF00"/>
            <w:tcMar>
              <w:left w:w="115" w:type="dxa"/>
              <w:right w:w="115" w:type="dxa"/>
            </w:tcMar>
            <w:vAlign w:val="bottom"/>
          </w:tcPr>
          <w:p w14:paraId="6FE32036" w14:textId="77777777" w:rsidR="003F0EEA" w:rsidRPr="00246AE0" w:rsidRDefault="003F0EEA">
            <w:pPr>
              <w:jc w:val="right"/>
              <w:rPr>
                <w:rFonts w:ascii="Arial" w:eastAsia="Arial" w:hAnsi="Arial" w:cs="Arial"/>
                <w:color w:val="000000"/>
                <w:sz w:val="16"/>
              </w:rPr>
            </w:pPr>
          </w:p>
        </w:tc>
        <w:tc>
          <w:tcPr>
            <w:tcW w:w="1005"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77579FC4" w14:textId="77777777" w:rsidR="003F0EEA" w:rsidRPr="00246AE0" w:rsidRDefault="003F0EEA">
            <w:pPr>
              <w:jc w:val="right"/>
              <w:rPr>
                <w:rFonts w:ascii="Arial" w:eastAsia="Arial" w:hAnsi="Arial" w:cs="Arial"/>
                <w:color w:val="000000"/>
                <w:sz w:val="16"/>
              </w:rPr>
            </w:pPr>
          </w:p>
        </w:tc>
        <w:tc>
          <w:tcPr>
            <w:tcW w:w="1005" w:type="dxa"/>
            <w:tcBorders>
              <w:top w:val="single" w:sz="6" w:space="0" w:color="000000"/>
              <w:left w:val="nil"/>
              <w:bottom w:val="nil"/>
              <w:right w:val="nil"/>
              <w:tl2br w:val="nil"/>
              <w:tr2bl w:val="nil"/>
            </w:tcBorders>
            <w:shd w:val="clear" w:color="auto" w:fill="FFFF00"/>
            <w:tcMar>
              <w:left w:w="115" w:type="dxa"/>
              <w:right w:w="115" w:type="dxa"/>
            </w:tcMar>
            <w:vAlign w:val="bottom"/>
          </w:tcPr>
          <w:p w14:paraId="77990E9F" w14:textId="77777777" w:rsidR="003F0EEA" w:rsidRPr="00246AE0" w:rsidRDefault="003F0EEA">
            <w:pPr>
              <w:jc w:val="right"/>
              <w:rPr>
                <w:rFonts w:ascii="Arial" w:eastAsia="Arial" w:hAnsi="Arial" w:cs="Arial"/>
                <w:color w:val="000000"/>
                <w:sz w:val="16"/>
              </w:rPr>
            </w:pPr>
          </w:p>
        </w:tc>
      </w:tr>
      <w:tr w:rsidR="00724034" w14:paraId="5B200825" w14:textId="77777777">
        <w:trPr>
          <w:trHeight w:val="210"/>
        </w:trPr>
        <w:tc>
          <w:tcPr>
            <w:tcW w:w="180" w:type="dxa"/>
            <w:tcBorders>
              <w:top w:val="nil"/>
              <w:left w:val="nil"/>
              <w:bottom w:val="nil"/>
              <w:right w:val="nil"/>
              <w:tl2br w:val="nil"/>
              <w:tr2bl w:val="nil"/>
            </w:tcBorders>
            <w:shd w:val="clear" w:color="auto" w:fill="FFFFFF"/>
            <w:tcMar>
              <w:left w:w="115" w:type="dxa"/>
              <w:right w:w="115" w:type="dxa"/>
            </w:tcMar>
            <w:vAlign w:val="bottom"/>
          </w:tcPr>
          <w:p w14:paraId="46750557" w14:textId="77777777" w:rsidR="003F0EEA" w:rsidRPr="00246AE0" w:rsidRDefault="003F0EEA">
            <w:pPr>
              <w:rPr>
                <w:rFonts w:ascii="Arial" w:eastAsia="Arial" w:hAnsi="Arial" w:cs="Arial"/>
                <w:color w:val="000000"/>
                <w:sz w:val="16"/>
              </w:rPr>
            </w:pPr>
          </w:p>
        </w:tc>
        <w:tc>
          <w:tcPr>
            <w:tcW w:w="2280" w:type="dxa"/>
            <w:tcBorders>
              <w:top w:val="nil"/>
              <w:left w:val="nil"/>
              <w:bottom w:val="nil"/>
              <w:right w:val="nil"/>
              <w:tl2br w:val="nil"/>
              <w:tr2bl w:val="nil"/>
            </w:tcBorders>
            <w:shd w:val="clear" w:color="auto" w:fill="FFFFFF"/>
            <w:tcMar>
              <w:left w:w="115" w:type="dxa"/>
              <w:right w:w="115" w:type="dxa"/>
            </w:tcMar>
            <w:vAlign w:val="bottom"/>
          </w:tcPr>
          <w:p w14:paraId="125ABBDE" w14:textId="77777777" w:rsidR="003F0EEA" w:rsidRPr="00246AE0" w:rsidRDefault="00FB7D0B">
            <w:pPr>
              <w:rPr>
                <w:rFonts w:ascii="Arial" w:eastAsia="Arial" w:hAnsi="Arial" w:cs="Arial"/>
                <w:color w:val="000000"/>
                <w:sz w:val="16"/>
              </w:rPr>
            </w:pPr>
            <w:r w:rsidRPr="00246AE0">
              <w:rPr>
                <w:rFonts w:ascii="Arial" w:eastAsia="Arial" w:hAnsi="Arial" w:cs="Arial"/>
                <w:color w:val="000000"/>
                <w:sz w:val="16"/>
              </w:rPr>
              <w:t>Administered expenses</w:t>
            </w:r>
          </w:p>
        </w:tc>
        <w:tc>
          <w:tcPr>
            <w:tcW w:w="915" w:type="dxa"/>
            <w:tcBorders>
              <w:top w:val="nil"/>
              <w:left w:val="nil"/>
              <w:bottom w:val="nil"/>
              <w:right w:val="nil"/>
              <w:tl2br w:val="nil"/>
              <w:tr2bl w:val="nil"/>
            </w:tcBorders>
            <w:shd w:val="clear" w:color="auto" w:fill="FFFFFF"/>
            <w:tcMar>
              <w:left w:w="115" w:type="dxa"/>
              <w:right w:w="115" w:type="dxa"/>
            </w:tcMar>
            <w:vAlign w:val="bottom"/>
          </w:tcPr>
          <w:p w14:paraId="3DE5DE48" w14:textId="77777777" w:rsidR="003F0EEA" w:rsidRPr="00246AE0" w:rsidRDefault="003F0EEA">
            <w:pPr>
              <w:jc w:val="center"/>
              <w:rPr>
                <w:rFonts w:ascii="Arial" w:eastAsia="Arial" w:hAnsi="Arial" w:cs="Arial"/>
                <w:color w:val="000000"/>
                <w:sz w:val="16"/>
                <w:vertAlign w:val="superscript"/>
              </w:rPr>
            </w:pPr>
          </w:p>
        </w:tc>
        <w:tc>
          <w:tcPr>
            <w:tcW w:w="1005" w:type="dxa"/>
            <w:tcBorders>
              <w:top w:val="nil"/>
              <w:left w:val="nil"/>
              <w:bottom w:val="nil"/>
              <w:right w:val="nil"/>
              <w:tl2br w:val="nil"/>
              <w:tr2bl w:val="nil"/>
            </w:tcBorders>
            <w:shd w:val="clear" w:color="auto" w:fill="FFFF00"/>
            <w:tcMar>
              <w:left w:w="115" w:type="dxa"/>
              <w:right w:w="115" w:type="dxa"/>
            </w:tcMar>
            <w:vAlign w:val="bottom"/>
          </w:tcPr>
          <w:p w14:paraId="368D578F" w14:textId="77777777" w:rsidR="003F0EEA" w:rsidRPr="00246AE0" w:rsidRDefault="00FB7D0B">
            <w:pPr>
              <w:jc w:val="right"/>
              <w:rPr>
                <w:rFonts w:ascii="Arial" w:eastAsia="Arial" w:hAnsi="Arial" w:cs="Arial"/>
                <w:color w:val="000000"/>
                <w:sz w:val="16"/>
                <w:vertAlign w:val="superscript"/>
              </w:rPr>
            </w:pPr>
            <w:r w:rsidRPr="00246AE0">
              <w:rPr>
                <w:rFonts w:ascii="Arial" w:eastAsia="Arial" w:hAnsi="Arial" w:cs="Arial"/>
                <w:color w:val="000000"/>
                <w:sz w:val="16"/>
              </w:rPr>
              <w:t xml:space="preserve"> - </w:t>
            </w:r>
          </w:p>
        </w:tc>
        <w:tc>
          <w:tcPr>
            <w:tcW w:w="1005" w:type="dxa"/>
            <w:tcBorders>
              <w:top w:val="nil"/>
              <w:left w:val="nil"/>
              <w:bottom w:val="nil"/>
              <w:right w:val="nil"/>
              <w:tl2br w:val="nil"/>
              <w:tr2bl w:val="nil"/>
            </w:tcBorders>
            <w:shd w:val="clear" w:color="auto" w:fill="FFFFFF"/>
            <w:tcMar>
              <w:left w:w="115" w:type="dxa"/>
              <w:right w:w="115" w:type="dxa"/>
            </w:tcMar>
            <w:vAlign w:val="bottom"/>
          </w:tcPr>
          <w:p w14:paraId="6764D5E6" w14:textId="77777777" w:rsidR="003F0EEA" w:rsidRPr="00246AE0" w:rsidRDefault="00FB7D0B">
            <w:pPr>
              <w:jc w:val="right"/>
              <w:rPr>
                <w:rFonts w:ascii="Arial" w:eastAsia="Arial" w:hAnsi="Arial" w:cs="Arial"/>
                <w:color w:val="000000"/>
                <w:sz w:val="16"/>
              </w:rPr>
            </w:pPr>
            <w:r w:rsidRPr="00246AE0">
              <w:rPr>
                <w:rFonts w:ascii="Arial" w:eastAsia="Arial" w:hAnsi="Arial" w:cs="Arial"/>
                <w:color w:val="000000"/>
                <w:sz w:val="16"/>
              </w:rPr>
              <w:t xml:space="preserve"> - </w:t>
            </w:r>
          </w:p>
        </w:tc>
        <w:tc>
          <w:tcPr>
            <w:tcW w:w="1005" w:type="dxa"/>
            <w:tcBorders>
              <w:top w:val="nil"/>
              <w:left w:val="nil"/>
              <w:bottom w:val="nil"/>
              <w:right w:val="nil"/>
              <w:tl2br w:val="nil"/>
              <w:tr2bl w:val="nil"/>
            </w:tcBorders>
            <w:shd w:val="clear" w:color="auto" w:fill="FFFF00"/>
            <w:tcMar>
              <w:left w:w="115" w:type="dxa"/>
              <w:right w:w="115" w:type="dxa"/>
            </w:tcMar>
            <w:vAlign w:val="bottom"/>
          </w:tcPr>
          <w:p w14:paraId="226EC74D" w14:textId="77777777" w:rsidR="003F0EEA" w:rsidRPr="00246AE0" w:rsidRDefault="00FB7D0B">
            <w:pPr>
              <w:jc w:val="right"/>
              <w:rPr>
                <w:rFonts w:ascii="Arial" w:eastAsia="Arial" w:hAnsi="Arial" w:cs="Arial"/>
                <w:color w:val="000000"/>
                <w:sz w:val="16"/>
              </w:rPr>
            </w:pPr>
            <w:r w:rsidRPr="00246AE0">
              <w:rPr>
                <w:rFonts w:ascii="Arial" w:eastAsia="Arial" w:hAnsi="Arial" w:cs="Arial"/>
                <w:color w:val="000000"/>
                <w:sz w:val="16"/>
              </w:rPr>
              <w:t>37  </w:t>
            </w:r>
          </w:p>
        </w:tc>
        <w:tc>
          <w:tcPr>
            <w:tcW w:w="1005" w:type="dxa"/>
            <w:tcBorders>
              <w:top w:val="nil"/>
              <w:left w:val="nil"/>
              <w:bottom w:val="nil"/>
              <w:right w:val="nil"/>
              <w:tl2br w:val="nil"/>
              <w:tr2bl w:val="nil"/>
            </w:tcBorders>
            <w:shd w:val="clear" w:color="auto" w:fill="FFFFFF"/>
            <w:tcMar>
              <w:left w:w="115" w:type="dxa"/>
              <w:right w:w="115" w:type="dxa"/>
            </w:tcMar>
            <w:vAlign w:val="bottom"/>
          </w:tcPr>
          <w:p w14:paraId="0EE09A49" w14:textId="77777777" w:rsidR="003F0EEA" w:rsidRPr="00246AE0" w:rsidRDefault="00FB7D0B">
            <w:pPr>
              <w:jc w:val="right"/>
              <w:rPr>
                <w:rFonts w:ascii="Arial" w:eastAsia="Arial" w:hAnsi="Arial" w:cs="Arial"/>
                <w:color w:val="000000"/>
                <w:sz w:val="16"/>
              </w:rPr>
            </w:pPr>
            <w:r w:rsidRPr="00246AE0">
              <w:rPr>
                <w:rFonts w:ascii="Arial" w:eastAsia="Arial" w:hAnsi="Arial" w:cs="Arial"/>
                <w:color w:val="000000"/>
                <w:sz w:val="16"/>
              </w:rPr>
              <w:t>172  </w:t>
            </w:r>
          </w:p>
        </w:tc>
        <w:tc>
          <w:tcPr>
            <w:tcW w:w="1005" w:type="dxa"/>
            <w:tcBorders>
              <w:top w:val="nil"/>
              <w:left w:val="nil"/>
              <w:bottom w:val="nil"/>
              <w:right w:val="nil"/>
              <w:tl2br w:val="nil"/>
              <w:tr2bl w:val="nil"/>
            </w:tcBorders>
            <w:shd w:val="clear" w:color="auto" w:fill="FFFF00"/>
            <w:tcMar>
              <w:left w:w="115" w:type="dxa"/>
              <w:right w:w="115" w:type="dxa"/>
            </w:tcMar>
            <w:vAlign w:val="bottom"/>
          </w:tcPr>
          <w:p w14:paraId="598B96AB" w14:textId="77777777" w:rsidR="003F0EEA" w:rsidRPr="00246AE0" w:rsidRDefault="00FB7D0B">
            <w:pPr>
              <w:jc w:val="right"/>
              <w:rPr>
                <w:rFonts w:ascii="Arial" w:eastAsia="Arial" w:hAnsi="Arial" w:cs="Arial"/>
                <w:color w:val="000000"/>
                <w:sz w:val="16"/>
              </w:rPr>
            </w:pPr>
            <w:r w:rsidRPr="00246AE0">
              <w:rPr>
                <w:rFonts w:ascii="Arial" w:eastAsia="Arial" w:hAnsi="Arial" w:cs="Arial"/>
                <w:color w:val="000000"/>
                <w:sz w:val="16"/>
              </w:rPr>
              <w:t>255  </w:t>
            </w:r>
          </w:p>
        </w:tc>
      </w:tr>
      <w:tr w:rsidR="00724034" w14:paraId="4A8FBEA3" w14:textId="77777777">
        <w:trPr>
          <w:trHeight w:val="225"/>
        </w:trPr>
        <w:tc>
          <w:tcPr>
            <w:tcW w:w="180" w:type="dxa"/>
            <w:tcBorders>
              <w:top w:val="nil"/>
              <w:left w:val="nil"/>
              <w:bottom w:val="nil"/>
              <w:right w:val="nil"/>
              <w:tl2br w:val="nil"/>
              <w:tr2bl w:val="nil"/>
            </w:tcBorders>
            <w:shd w:val="clear" w:color="auto" w:fill="FFFFFF"/>
            <w:tcMar>
              <w:left w:w="115" w:type="dxa"/>
              <w:right w:w="115" w:type="dxa"/>
            </w:tcMar>
            <w:vAlign w:val="bottom"/>
          </w:tcPr>
          <w:p w14:paraId="76E54E1A" w14:textId="77777777" w:rsidR="003F0EEA" w:rsidRPr="00246AE0" w:rsidRDefault="003F0EEA">
            <w:pPr>
              <w:rPr>
                <w:rFonts w:ascii="Arial" w:eastAsia="Arial" w:hAnsi="Arial" w:cs="Arial"/>
                <w:color w:val="000000"/>
                <w:sz w:val="16"/>
              </w:rPr>
            </w:pPr>
          </w:p>
        </w:tc>
        <w:tc>
          <w:tcPr>
            <w:tcW w:w="2280" w:type="dxa"/>
            <w:tcBorders>
              <w:top w:val="nil"/>
              <w:left w:val="nil"/>
              <w:bottom w:val="nil"/>
              <w:right w:val="nil"/>
              <w:tl2br w:val="nil"/>
              <w:tr2bl w:val="nil"/>
            </w:tcBorders>
            <w:shd w:val="clear" w:color="auto" w:fill="FFFFFF"/>
            <w:tcMar>
              <w:left w:w="115" w:type="dxa"/>
              <w:right w:w="115" w:type="dxa"/>
            </w:tcMar>
            <w:vAlign w:val="bottom"/>
          </w:tcPr>
          <w:p w14:paraId="55F23368" w14:textId="77777777" w:rsidR="003F0EEA" w:rsidRPr="00246AE0" w:rsidRDefault="00FB7D0B">
            <w:pPr>
              <w:rPr>
                <w:rFonts w:ascii="Arial" w:eastAsia="Arial" w:hAnsi="Arial" w:cs="Arial"/>
                <w:color w:val="000000"/>
                <w:sz w:val="16"/>
              </w:rPr>
            </w:pPr>
            <w:r w:rsidRPr="00246AE0">
              <w:rPr>
                <w:rFonts w:ascii="Arial" w:eastAsia="Arial" w:hAnsi="Arial" w:cs="Arial"/>
                <w:color w:val="000000"/>
                <w:sz w:val="16"/>
              </w:rPr>
              <w:t>Departmental expenses</w:t>
            </w:r>
          </w:p>
        </w:tc>
        <w:tc>
          <w:tcPr>
            <w:tcW w:w="915" w:type="dxa"/>
            <w:tcBorders>
              <w:top w:val="nil"/>
              <w:left w:val="nil"/>
              <w:bottom w:val="nil"/>
              <w:right w:val="nil"/>
              <w:tl2br w:val="nil"/>
              <w:tr2bl w:val="nil"/>
            </w:tcBorders>
            <w:shd w:val="clear" w:color="auto" w:fill="FFFFFF"/>
            <w:tcMar>
              <w:left w:w="115" w:type="dxa"/>
              <w:right w:w="115" w:type="dxa"/>
            </w:tcMar>
            <w:vAlign w:val="bottom"/>
          </w:tcPr>
          <w:p w14:paraId="47AAEF47" w14:textId="77777777" w:rsidR="003F0EEA" w:rsidRPr="00246AE0" w:rsidRDefault="003F0EEA">
            <w:pPr>
              <w:jc w:val="center"/>
              <w:rPr>
                <w:rFonts w:ascii="Arial" w:eastAsia="Arial" w:hAnsi="Arial" w:cs="Arial"/>
                <w:color w:val="000000"/>
                <w:sz w:val="16"/>
                <w:vertAlign w:val="superscript"/>
              </w:rPr>
            </w:pPr>
          </w:p>
        </w:tc>
        <w:tc>
          <w:tcPr>
            <w:tcW w:w="1005" w:type="dxa"/>
            <w:tcBorders>
              <w:top w:val="nil"/>
              <w:left w:val="nil"/>
              <w:bottom w:val="nil"/>
              <w:right w:val="nil"/>
              <w:tl2br w:val="nil"/>
              <w:tr2bl w:val="nil"/>
            </w:tcBorders>
            <w:shd w:val="clear" w:color="auto" w:fill="FFFF00"/>
            <w:tcMar>
              <w:left w:w="115" w:type="dxa"/>
              <w:right w:w="115" w:type="dxa"/>
            </w:tcMar>
            <w:vAlign w:val="bottom"/>
          </w:tcPr>
          <w:p w14:paraId="03AA501D" w14:textId="77777777" w:rsidR="003F0EEA" w:rsidRPr="00246AE0" w:rsidRDefault="00FB7D0B">
            <w:pPr>
              <w:jc w:val="right"/>
              <w:rPr>
                <w:rFonts w:ascii="Arial" w:eastAsia="Arial" w:hAnsi="Arial" w:cs="Arial"/>
                <w:color w:val="000000"/>
                <w:sz w:val="16"/>
                <w:vertAlign w:val="superscript"/>
              </w:rPr>
            </w:pPr>
            <w:r w:rsidRPr="00246AE0">
              <w:rPr>
                <w:rFonts w:ascii="Arial" w:eastAsia="Arial" w:hAnsi="Arial" w:cs="Arial"/>
                <w:color w:val="000000"/>
                <w:sz w:val="16"/>
              </w:rPr>
              <w:t xml:space="preserve"> - </w:t>
            </w:r>
          </w:p>
        </w:tc>
        <w:tc>
          <w:tcPr>
            <w:tcW w:w="1005" w:type="dxa"/>
            <w:tcBorders>
              <w:top w:val="nil"/>
              <w:left w:val="nil"/>
              <w:bottom w:val="nil"/>
              <w:right w:val="nil"/>
              <w:tl2br w:val="nil"/>
              <w:tr2bl w:val="nil"/>
            </w:tcBorders>
            <w:shd w:val="clear" w:color="auto" w:fill="FFFFFF"/>
            <w:tcMar>
              <w:left w:w="115" w:type="dxa"/>
              <w:right w:w="115" w:type="dxa"/>
            </w:tcMar>
            <w:vAlign w:val="bottom"/>
          </w:tcPr>
          <w:p w14:paraId="37D0096E" w14:textId="77777777" w:rsidR="003F0EEA" w:rsidRPr="00246AE0" w:rsidRDefault="00FB7D0B">
            <w:pPr>
              <w:jc w:val="right"/>
              <w:rPr>
                <w:rFonts w:ascii="Arial" w:eastAsia="Arial" w:hAnsi="Arial" w:cs="Arial"/>
                <w:color w:val="000000"/>
                <w:sz w:val="16"/>
              </w:rPr>
            </w:pPr>
            <w:r w:rsidRPr="00246AE0">
              <w:rPr>
                <w:rFonts w:ascii="Arial" w:eastAsia="Arial" w:hAnsi="Arial" w:cs="Arial"/>
                <w:color w:val="000000"/>
                <w:sz w:val="16"/>
              </w:rPr>
              <w:t xml:space="preserve"> - </w:t>
            </w:r>
          </w:p>
        </w:tc>
        <w:tc>
          <w:tcPr>
            <w:tcW w:w="1005" w:type="dxa"/>
            <w:tcBorders>
              <w:top w:val="nil"/>
              <w:left w:val="nil"/>
              <w:bottom w:val="nil"/>
              <w:right w:val="nil"/>
              <w:tl2br w:val="nil"/>
              <w:tr2bl w:val="nil"/>
            </w:tcBorders>
            <w:shd w:val="clear" w:color="auto" w:fill="FFFF00"/>
            <w:tcMar>
              <w:left w:w="115" w:type="dxa"/>
              <w:right w:w="115" w:type="dxa"/>
            </w:tcMar>
            <w:vAlign w:val="bottom"/>
          </w:tcPr>
          <w:p w14:paraId="430690D6" w14:textId="77777777" w:rsidR="003F0EEA" w:rsidRPr="00246AE0" w:rsidRDefault="00FB7D0B">
            <w:pPr>
              <w:jc w:val="right"/>
              <w:rPr>
                <w:rFonts w:ascii="Arial" w:eastAsia="Arial" w:hAnsi="Arial" w:cs="Arial"/>
                <w:color w:val="000000"/>
                <w:sz w:val="16"/>
              </w:rPr>
            </w:pPr>
            <w:r w:rsidRPr="00246AE0">
              <w:rPr>
                <w:rFonts w:ascii="Arial" w:eastAsia="Arial" w:hAnsi="Arial" w:cs="Arial"/>
                <w:color w:val="000000"/>
                <w:sz w:val="16"/>
              </w:rPr>
              <w:t xml:space="preserve"> - </w:t>
            </w:r>
          </w:p>
        </w:tc>
        <w:tc>
          <w:tcPr>
            <w:tcW w:w="1005" w:type="dxa"/>
            <w:tcBorders>
              <w:top w:val="nil"/>
              <w:left w:val="nil"/>
              <w:bottom w:val="nil"/>
              <w:right w:val="nil"/>
              <w:tl2br w:val="nil"/>
              <w:tr2bl w:val="nil"/>
            </w:tcBorders>
            <w:shd w:val="clear" w:color="auto" w:fill="FFFFFF"/>
            <w:tcMar>
              <w:left w:w="115" w:type="dxa"/>
              <w:right w:w="115" w:type="dxa"/>
            </w:tcMar>
            <w:vAlign w:val="bottom"/>
          </w:tcPr>
          <w:p w14:paraId="6DEF2D58" w14:textId="77777777" w:rsidR="003F0EEA" w:rsidRPr="00246AE0" w:rsidRDefault="00FB7D0B">
            <w:pPr>
              <w:jc w:val="right"/>
              <w:rPr>
                <w:rFonts w:ascii="Arial" w:eastAsia="Arial" w:hAnsi="Arial" w:cs="Arial"/>
                <w:color w:val="000000"/>
                <w:sz w:val="16"/>
              </w:rPr>
            </w:pPr>
            <w:r w:rsidRPr="00246AE0">
              <w:rPr>
                <w:rFonts w:ascii="Arial" w:eastAsia="Arial" w:hAnsi="Arial" w:cs="Arial"/>
                <w:color w:val="000000"/>
                <w:sz w:val="16"/>
              </w:rPr>
              <w:t xml:space="preserve"> - </w:t>
            </w:r>
          </w:p>
        </w:tc>
        <w:tc>
          <w:tcPr>
            <w:tcW w:w="1005" w:type="dxa"/>
            <w:tcBorders>
              <w:top w:val="nil"/>
              <w:left w:val="nil"/>
              <w:bottom w:val="nil"/>
              <w:right w:val="nil"/>
              <w:tl2br w:val="nil"/>
              <w:tr2bl w:val="nil"/>
            </w:tcBorders>
            <w:shd w:val="clear" w:color="auto" w:fill="FFFF00"/>
            <w:tcMar>
              <w:left w:w="115" w:type="dxa"/>
              <w:right w:w="115" w:type="dxa"/>
            </w:tcMar>
            <w:vAlign w:val="bottom"/>
          </w:tcPr>
          <w:p w14:paraId="0BAB6D60" w14:textId="77777777" w:rsidR="003F0EEA" w:rsidRPr="00246AE0" w:rsidRDefault="00FB7D0B">
            <w:pPr>
              <w:jc w:val="right"/>
              <w:rPr>
                <w:rFonts w:ascii="Arial" w:eastAsia="Arial" w:hAnsi="Arial" w:cs="Arial"/>
                <w:color w:val="000000"/>
                <w:sz w:val="16"/>
              </w:rPr>
            </w:pPr>
            <w:r w:rsidRPr="00246AE0">
              <w:rPr>
                <w:rFonts w:ascii="Arial" w:eastAsia="Arial" w:hAnsi="Arial" w:cs="Arial"/>
                <w:color w:val="000000"/>
                <w:sz w:val="16"/>
              </w:rPr>
              <w:t xml:space="preserve"> - </w:t>
            </w:r>
          </w:p>
        </w:tc>
      </w:tr>
      <w:tr w:rsidR="00FB7D0B" w14:paraId="57F96AFC" w14:textId="77777777" w:rsidTr="00FB7D0B">
        <w:trPr>
          <w:trHeight w:val="225"/>
        </w:trPr>
        <w:tc>
          <w:tcPr>
            <w:tcW w:w="2460" w:type="dxa"/>
            <w:gridSpan w:val="2"/>
            <w:tcBorders>
              <w:top w:val="nil"/>
              <w:left w:val="nil"/>
              <w:bottom w:val="nil"/>
              <w:right w:val="nil"/>
              <w:tl2br w:val="nil"/>
              <w:tr2bl w:val="nil"/>
            </w:tcBorders>
            <w:shd w:val="clear" w:color="auto" w:fill="FFFFFF"/>
            <w:tcMar>
              <w:left w:w="115" w:type="dxa"/>
              <w:right w:w="115" w:type="dxa"/>
            </w:tcMar>
            <w:vAlign w:val="bottom"/>
          </w:tcPr>
          <w:p w14:paraId="079146FD" w14:textId="77777777" w:rsidR="003F0EEA" w:rsidRPr="00246AE0" w:rsidRDefault="00FB7D0B">
            <w:pPr>
              <w:rPr>
                <w:rFonts w:ascii="Arial" w:eastAsia="Arial" w:hAnsi="Arial" w:cs="Arial"/>
                <w:color w:val="000000"/>
                <w:sz w:val="16"/>
              </w:rPr>
            </w:pPr>
            <w:r w:rsidRPr="00246AE0">
              <w:rPr>
                <w:rFonts w:ascii="Arial" w:eastAsia="Arial" w:hAnsi="Arial" w:cs="Arial"/>
                <w:b/>
                <w:color w:val="000000"/>
                <w:sz w:val="16"/>
              </w:rPr>
              <w:t xml:space="preserve">Total </w:t>
            </w:r>
          </w:p>
        </w:tc>
        <w:tc>
          <w:tcPr>
            <w:tcW w:w="915" w:type="dxa"/>
            <w:tcBorders>
              <w:top w:val="nil"/>
              <w:left w:val="nil"/>
              <w:bottom w:val="nil"/>
              <w:right w:val="nil"/>
              <w:tl2br w:val="nil"/>
              <w:tr2bl w:val="nil"/>
            </w:tcBorders>
            <w:shd w:val="clear" w:color="auto" w:fill="FFFFFF"/>
            <w:tcMar>
              <w:left w:w="115" w:type="dxa"/>
              <w:right w:w="115" w:type="dxa"/>
            </w:tcMar>
            <w:vAlign w:val="bottom"/>
          </w:tcPr>
          <w:p w14:paraId="6B5D0E3B" w14:textId="77777777" w:rsidR="003F0EEA" w:rsidRPr="00246AE0" w:rsidRDefault="003F0EEA">
            <w:pPr>
              <w:jc w:val="center"/>
              <w:rPr>
                <w:rFonts w:ascii="Arial" w:eastAsia="Arial" w:hAnsi="Arial" w:cs="Arial"/>
                <w:b/>
                <w:color w:val="000000"/>
                <w:sz w:val="16"/>
                <w:vertAlign w:val="superscript"/>
              </w:rPr>
            </w:pPr>
          </w:p>
        </w:tc>
        <w:tc>
          <w:tcPr>
            <w:tcW w:w="1005" w:type="dxa"/>
            <w:tcBorders>
              <w:top w:val="nil"/>
              <w:left w:val="nil"/>
              <w:bottom w:val="single" w:sz="6" w:space="0" w:color="000000"/>
              <w:right w:val="nil"/>
              <w:tl2br w:val="nil"/>
              <w:tr2bl w:val="nil"/>
            </w:tcBorders>
            <w:shd w:val="clear" w:color="auto" w:fill="FFFF00"/>
            <w:tcMar>
              <w:left w:w="115" w:type="dxa"/>
              <w:right w:w="115" w:type="dxa"/>
            </w:tcMar>
            <w:vAlign w:val="bottom"/>
          </w:tcPr>
          <w:p w14:paraId="6BF7E1B8" w14:textId="77777777" w:rsidR="003F0EEA" w:rsidRPr="00246AE0" w:rsidRDefault="00FB7D0B">
            <w:pPr>
              <w:jc w:val="right"/>
              <w:rPr>
                <w:rFonts w:ascii="Arial" w:eastAsia="Arial" w:hAnsi="Arial" w:cs="Arial"/>
                <w:color w:val="000000"/>
                <w:sz w:val="16"/>
                <w:vertAlign w:val="superscript"/>
              </w:rPr>
            </w:pPr>
            <w:r w:rsidRPr="00246AE0">
              <w:rPr>
                <w:rFonts w:ascii="Arial" w:eastAsia="Arial" w:hAnsi="Arial" w:cs="Arial"/>
                <w:b/>
                <w:color w:val="000000"/>
                <w:sz w:val="16"/>
              </w:rPr>
              <w:t xml:space="preserve"> - </w:t>
            </w:r>
          </w:p>
        </w:tc>
        <w:tc>
          <w:tcPr>
            <w:tcW w:w="1005"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1F9B4C74" w14:textId="77777777" w:rsidR="003F0EEA" w:rsidRPr="00246AE0" w:rsidRDefault="00FB7D0B">
            <w:pPr>
              <w:jc w:val="right"/>
              <w:rPr>
                <w:rFonts w:ascii="Arial" w:eastAsia="Arial" w:hAnsi="Arial" w:cs="Arial"/>
                <w:b/>
                <w:color w:val="000000"/>
                <w:sz w:val="16"/>
              </w:rPr>
            </w:pPr>
            <w:r w:rsidRPr="00246AE0">
              <w:rPr>
                <w:rFonts w:ascii="Arial" w:eastAsia="Arial" w:hAnsi="Arial" w:cs="Arial"/>
                <w:b/>
                <w:color w:val="000000"/>
                <w:sz w:val="16"/>
              </w:rPr>
              <w:t xml:space="preserve"> - </w:t>
            </w:r>
          </w:p>
        </w:tc>
        <w:tc>
          <w:tcPr>
            <w:tcW w:w="1005" w:type="dxa"/>
            <w:tcBorders>
              <w:top w:val="nil"/>
              <w:left w:val="nil"/>
              <w:bottom w:val="single" w:sz="6" w:space="0" w:color="000000"/>
              <w:right w:val="nil"/>
              <w:tl2br w:val="nil"/>
              <w:tr2bl w:val="nil"/>
            </w:tcBorders>
            <w:shd w:val="clear" w:color="auto" w:fill="FFFF00"/>
            <w:tcMar>
              <w:left w:w="115" w:type="dxa"/>
              <w:right w:w="115" w:type="dxa"/>
            </w:tcMar>
            <w:vAlign w:val="bottom"/>
          </w:tcPr>
          <w:p w14:paraId="23D0B451" w14:textId="77777777" w:rsidR="003F0EEA" w:rsidRPr="00246AE0" w:rsidRDefault="00FB7D0B">
            <w:pPr>
              <w:jc w:val="right"/>
              <w:rPr>
                <w:rFonts w:ascii="Arial" w:eastAsia="Arial" w:hAnsi="Arial" w:cs="Arial"/>
                <w:b/>
                <w:color w:val="000000"/>
                <w:sz w:val="16"/>
              </w:rPr>
            </w:pPr>
            <w:r w:rsidRPr="00246AE0">
              <w:rPr>
                <w:rFonts w:ascii="Arial" w:eastAsia="Arial" w:hAnsi="Arial" w:cs="Arial"/>
                <w:b/>
                <w:color w:val="000000"/>
                <w:sz w:val="16"/>
              </w:rPr>
              <w:t>37  </w:t>
            </w:r>
          </w:p>
        </w:tc>
        <w:tc>
          <w:tcPr>
            <w:tcW w:w="1005"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18A2476B" w14:textId="77777777" w:rsidR="003F0EEA" w:rsidRPr="00246AE0" w:rsidRDefault="00FB7D0B">
            <w:pPr>
              <w:jc w:val="right"/>
              <w:rPr>
                <w:rFonts w:ascii="Arial" w:eastAsia="Arial" w:hAnsi="Arial" w:cs="Arial"/>
                <w:b/>
                <w:color w:val="000000"/>
                <w:sz w:val="16"/>
              </w:rPr>
            </w:pPr>
            <w:r w:rsidRPr="00246AE0">
              <w:rPr>
                <w:rFonts w:ascii="Arial" w:eastAsia="Arial" w:hAnsi="Arial" w:cs="Arial"/>
                <w:b/>
                <w:color w:val="000000"/>
                <w:sz w:val="16"/>
              </w:rPr>
              <w:t>172  </w:t>
            </w:r>
          </w:p>
        </w:tc>
        <w:tc>
          <w:tcPr>
            <w:tcW w:w="1005" w:type="dxa"/>
            <w:tcBorders>
              <w:top w:val="nil"/>
              <w:left w:val="nil"/>
              <w:bottom w:val="single" w:sz="6" w:space="0" w:color="000000"/>
              <w:right w:val="nil"/>
              <w:tl2br w:val="nil"/>
              <w:tr2bl w:val="nil"/>
            </w:tcBorders>
            <w:shd w:val="clear" w:color="auto" w:fill="FFFF00"/>
            <w:tcMar>
              <w:left w:w="115" w:type="dxa"/>
              <w:right w:w="115" w:type="dxa"/>
            </w:tcMar>
            <w:vAlign w:val="bottom"/>
          </w:tcPr>
          <w:p w14:paraId="249A8BFF" w14:textId="77777777" w:rsidR="003F0EEA" w:rsidRPr="00246AE0" w:rsidRDefault="00FB7D0B">
            <w:pPr>
              <w:jc w:val="right"/>
              <w:rPr>
                <w:rFonts w:ascii="Arial" w:eastAsia="Arial" w:hAnsi="Arial" w:cs="Arial"/>
                <w:b/>
                <w:color w:val="000000"/>
                <w:sz w:val="16"/>
              </w:rPr>
            </w:pPr>
            <w:r w:rsidRPr="00246AE0">
              <w:rPr>
                <w:rFonts w:ascii="Arial" w:eastAsia="Arial" w:hAnsi="Arial" w:cs="Arial"/>
                <w:b/>
                <w:color w:val="000000"/>
                <w:sz w:val="16"/>
              </w:rPr>
              <w:t>255  </w:t>
            </w:r>
          </w:p>
        </w:tc>
      </w:tr>
      <w:tr w:rsidR="00724034" w14:paraId="08C5D7BA" w14:textId="77777777">
        <w:trPr>
          <w:trHeight w:val="225"/>
        </w:trPr>
        <w:tc>
          <w:tcPr>
            <w:tcW w:w="180" w:type="dxa"/>
            <w:tcBorders>
              <w:top w:val="nil"/>
              <w:left w:val="nil"/>
              <w:bottom w:val="nil"/>
              <w:right w:val="nil"/>
              <w:tl2br w:val="nil"/>
              <w:tr2bl w:val="nil"/>
            </w:tcBorders>
            <w:shd w:val="clear" w:color="auto" w:fill="FFFFFF"/>
            <w:tcMar>
              <w:left w:w="115" w:type="dxa"/>
              <w:right w:w="115" w:type="dxa"/>
            </w:tcMar>
            <w:vAlign w:val="bottom"/>
          </w:tcPr>
          <w:p w14:paraId="168A2BFA" w14:textId="77777777" w:rsidR="003F0EEA" w:rsidRPr="00246AE0" w:rsidRDefault="003F0EEA">
            <w:pPr>
              <w:rPr>
                <w:rFonts w:ascii="Arial" w:eastAsia="Arial" w:hAnsi="Arial" w:cs="Arial"/>
                <w:b/>
                <w:color w:val="000000"/>
                <w:sz w:val="16"/>
              </w:rPr>
            </w:pPr>
          </w:p>
        </w:tc>
        <w:tc>
          <w:tcPr>
            <w:tcW w:w="2280" w:type="dxa"/>
            <w:tcBorders>
              <w:top w:val="nil"/>
              <w:left w:val="nil"/>
              <w:bottom w:val="nil"/>
              <w:right w:val="nil"/>
              <w:tl2br w:val="nil"/>
              <w:tr2bl w:val="nil"/>
            </w:tcBorders>
            <w:shd w:val="clear" w:color="auto" w:fill="FFFFFF"/>
            <w:tcMar>
              <w:left w:w="115" w:type="dxa"/>
              <w:right w:w="115" w:type="dxa"/>
            </w:tcMar>
            <w:vAlign w:val="bottom"/>
          </w:tcPr>
          <w:p w14:paraId="4DC5D4E9" w14:textId="77777777" w:rsidR="003F0EEA" w:rsidRPr="00246AE0" w:rsidRDefault="003F0EEA">
            <w:pPr>
              <w:rPr>
                <w:rFonts w:ascii="Arial" w:eastAsia="Arial" w:hAnsi="Arial" w:cs="Arial"/>
                <w:b/>
                <w:color w:val="000000"/>
                <w:sz w:val="16"/>
              </w:rPr>
            </w:pPr>
          </w:p>
        </w:tc>
        <w:tc>
          <w:tcPr>
            <w:tcW w:w="915" w:type="dxa"/>
            <w:tcBorders>
              <w:top w:val="nil"/>
              <w:left w:val="nil"/>
              <w:bottom w:val="nil"/>
              <w:right w:val="nil"/>
              <w:tl2br w:val="nil"/>
              <w:tr2bl w:val="nil"/>
            </w:tcBorders>
            <w:shd w:val="clear" w:color="auto" w:fill="FFFFFF"/>
            <w:tcMar>
              <w:left w:w="115" w:type="dxa"/>
              <w:right w:w="115" w:type="dxa"/>
            </w:tcMar>
            <w:vAlign w:val="bottom"/>
          </w:tcPr>
          <w:p w14:paraId="3985C63D" w14:textId="77777777" w:rsidR="003F0EEA" w:rsidRPr="00246AE0" w:rsidRDefault="003F0EEA">
            <w:pPr>
              <w:jc w:val="center"/>
              <w:rPr>
                <w:rFonts w:ascii="Arial" w:eastAsia="Arial" w:hAnsi="Arial" w:cs="Arial"/>
                <w:b/>
                <w:color w:val="000000"/>
                <w:sz w:val="16"/>
                <w:vertAlign w:val="superscript"/>
              </w:rPr>
            </w:pPr>
          </w:p>
        </w:tc>
        <w:tc>
          <w:tcPr>
            <w:tcW w:w="1005" w:type="dxa"/>
            <w:tcBorders>
              <w:top w:val="single" w:sz="6" w:space="0" w:color="000000"/>
              <w:left w:val="nil"/>
              <w:bottom w:val="nil"/>
              <w:right w:val="nil"/>
              <w:tl2br w:val="nil"/>
              <w:tr2bl w:val="nil"/>
            </w:tcBorders>
            <w:shd w:val="clear" w:color="auto" w:fill="FFFF00"/>
            <w:tcMar>
              <w:left w:w="115" w:type="dxa"/>
              <w:right w:w="115" w:type="dxa"/>
            </w:tcMar>
            <w:vAlign w:val="bottom"/>
          </w:tcPr>
          <w:p w14:paraId="5C12D299" w14:textId="77777777" w:rsidR="003F0EEA" w:rsidRPr="00246AE0" w:rsidRDefault="003F0EEA">
            <w:pPr>
              <w:jc w:val="right"/>
              <w:rPr>
                <w:rFonts w:ascii="Arial" w:eastAsia="Arial" w:hAnsi="Arial" w:cs="Arial"/>
                <w:color w:val="000000"/>
                <w:sz w:val="16"/>
                <w:vertAlign w:val="superscript"/>
              </w:rPr>
            </w:pPr>
          </w:p>
        </w:tc>
        <w:tc>
          <w:tcPr>
            <w:tcW w:w="1005"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59261983" w14:textId="77777777" w:rsidR="003F0EEA" w:rsidRPr="00246AE0" w:rsidRDefault="003F0EEA">
            <w:pPr>
              <w:jc w:val="right"/>
              <w:rPr>
                <w:rFonts w:ascii="Arial" w:eastAsia="Arial" w:hAnsi="Arial" w:cs="Arial"/>
                <w:b/>
                <w:color w:val="000000"/>
                <w:sz w:val="16"/>
                <w:vertAlign w:val="superscript"/>
              </w:rPr>
            </w:pPr>
          </w:p>
        </w:tc>
        <w:tc>
          <w:tcPr>
            <w:tcW w:w="1005" w:type="dxa"/>
            <w:tcBorders>
              <w:top w:val="single" w:sz="6" w:space="0" w:color="000000"/>
              <w:left w:val="nil"/>
              <w:bottom w:val="nil"/>
              <w:right w:val="nil"/>
              <w:tl2br w:val="nil"/>
              <w:tr2bl w:val="nil"/>
            </w:tcBorders>
            <w:shd w:val="clear" w:color="auto" w:fill="FFFF00"/>
            <w:tcMar>
              <w:left w:w="115" w:type="dxa"/>
              <w:right w:w="115" w:type="dxa"/>
            </w:tcMar>
            <w:vAlign w:val="bottom"/>
          </w:tcPr>
          <w:p w14:paraId="25AD9FF1" w14:textId="77777777" w:rsidR="003F0EEA" w:rsidRPr="00246AE0" w:rsidRDefault="003F0EEA">
            <w:pPr>
              <w:jc w:val="right"/>
              <w:rPr>
                <w:rFonts w:ascii="Arial" w:eastAsia="Arial" w:hAnsi="Arial" w:cs="Arial"/>
                <w:b/>
                <w:color w:val="000000"/>
                <w:sz w:val="16"/>
                <w:vertAlign w:val="superscript"/>
              </w:rPr>
            </w:pPr>
          </w:p>
        </w:tc>
        <w:tc>
          <w:tcPr>
            <w:tcW w:w="1005"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10DDA2DE" w14:textId="77777777" w:rsidR="003F0EEA" w:rsidRPr="00246AE0" w:rsidRDefault="003F0EEA">
            <w:pPr>
              <w:jc w:val="right"/>
              <w:rPr>
                <w:rFonts w:ascii="Arial" w:eastAsia="Arial" w:hAnsi="Arial" w:cs="Arial"/>
                <w:b/>
                <w:color w:val="000000"/>
                <w:sz w:val="16"/>
                <w:vertAlign w:val="superscript"/>
              </w:rPr>
            </w:pPr>
          </w:p>
        </w:tc>
        <w:tc>
          <w:tcPr>
            <w:tcW w:w="1005" w:type="dxa"/>
            <w:tcBorders>
              <w:top w:val="single" w:sz="6" w:space="0" w:color="000000"/>
              <w:left w:val="nil"/>
              <w:bottom w:val="nil"/>
              <w:right w:val="nil"/>
              <w:tl2br w:val="nil"/>
              <w:tr2bl w:val="nil"/>
            </w:tcBorders>
            <w:shd w:val="clear" w:color="auto" w:fill="FFFF00"/>
            <w:tcMar>
              <w:left w:w="115" w:type="dxa"/>
              <w:right w:w="115" w:type="dxa"/>
            </w:tcMar>
            <w:vAlign w:val="bottom"/>
          </w:tcPr>
          <w:p w14:paraId="21BDC89C" w14:textId="77777777" w:rsidR="003F0EEA" w:rsidRPr="00246AE0" w:rsidRDefault="003F0EEA">
            <w:pPr>
              <w:jc w:val="right"/>
              <w:rPr>
                <w:rFonts w:ascii="Arial" w:eastAsia="Arial" w:hAnsi="Arial" w:cs="Arial"/>
                <w:b/>
                <w:color w:val="000000"/>
                <w:sz w:val="16"/>
                <w:vertAlign w:val="superscript"/>
              </w:rPr>
            </w:pPr>
          </w:p>
        </w:tc>
      </w:tr>
      <w:tr w:rsidR="00FB7D0B" w14:paraId="51E67DEC" w14:textId="77777777" w:rsidTr="00FB7D0B">
        <w:trPr>
          <w:trHeight w:val="1125"/>
        </w:trPr>
        <w:tc>
          <w:tcPr>
            <w:tcW w:w="2460" w:type="dxa"/>
            <w:gridSpan w:val="2"/>
            <w:tcBorders>
              <w:top w:val="nil"/>
              <w:left w:val="nil"/>
              <w:bottom w:val="nil"/>
              <w:right w:val="nil"/>
              <w:tl2br w:val="nil"/>
              <w:tr2bl w:val="nil"/>
            </w:tcBorders>
            <w:shd w:val="clear" w:color="auto" w:fill="FFFFFF"/>
            <w:tcMar>
              <w:left w:w="115" w:type="dxa"/>
              <w:right w:w="115" w:type="dxa"/>
            </w:tcMar>
            <w:vAlign w:val="bottom"/>
          </w:tcPr>
          <w:p w14:paraId="28F19FE3" w14:textId="77777777" w:rsidR="003F0EEA" w:rsidRPr="00246AE0" w:rsidRDefault="00FB7D0B">
            <w:pPr>
              <w:rPr>
                <w:rFonts w:ascii="Arial" w:eastAsia="Arial" w:hAnsi="Arial" w:cs="Arial"/>
                <w:b/>
                <w:color w:val="000000"/>
                <w:sz w:val="16"/>
                <w:vertAlign w:val="superscript"/>
              </w:rPr>
            </w:pPr>
            <w:r w:rsidRPr="00246AE0">
              <w:rPr>
                <w:rFonts w:ascii="Arial" w:eastAsia="Arial" w:hAnsi="Arial" w:cs="Arial"/>
                <w:color w:val="000000"/>
                <w:sz w:val="16"/>
              </w:rPr>
              <w:t>Pausing indexation of some Medicare Benefits Schedule fees and the Medicare Levy Surcharge and Private Health Insurance Rebate thresholds</w:t>
            </w:r>
            <w:r w:rsidRPr="00246AE0">
              <w:rPr>
                <w:rFonts w:ascii="Arial" w:eastAsia="Arial" w:hAnsi="Arial" w:cs="Arial"/>
                <w:color w:val="000000"/>
                <w:sz w:val="16"/>
                <w:vertAlign w:val="superscript"/>
              </w:rPr>
              <w:t>2 </w:t>
            </w:r>
          </w:p>
        </w:tc>
        <w:tc>
          <w:tcPr>
            <w:tcW w:w="915" w:type="dxa"/>
            <w:tcBorders>
              <w:top w:val="nil"/>
              <w:left w:val="nil"/>
              <w:bottom w:val="nil"/>
              <w:right w:val="nil"/>
              <w:tl2br w:val="nil"/>
              <w:tr2bl w:val="nil"/>
            </w:tcBorders>
            <w:shd w:val="clear" w:color="auto" w:fill="FFFFFF"/>
            <w:tcMar>
              <w:left w:w="115" w:type="dxa"/>
              <w:right w:w="115" w:type="dxa"/>
            </w:tcMar>
            <w:vAlign w:val="bottom"/>
          </w:tcPr>
          <w:p w14:paraId="588F8C79" w14:textId="77777777" w:rsidR="003F0EEA" w:rsidRPr="00246AE0" w:rsidRDefault="00FB7D0B">
            <w:pPr>
              <w:jc w:val="center"/>
              <w:rPr>
                <w:rFonts w:ascii="Arial" w:eastAsia="Arial" w:hAnsi="Arial" w:cs="Arial"/>
                <w:color w:val="000000"/>
                <w:sz w:val="16"/>
                <w:vertAlign w:val="superscript"/>
              </w:rPr>
            </w:pPr>
            <w:r w:rsidRPr="00246AE0">
              <w:rPr>
                <w:rFonts w:ascii="Arial" w:eastAsia="Arial" w:hAnsi="Arial" w:cs="Arial"/>
                <w:color w:val="000000"/>
                <w:sz w:val="16"/>
              </w:rPr>
              <w:t>2.1 </w:t>
            </w:r>
          </w:p>
        </w:tc>
        <w:tc>
          <w:tcPr>
            <w:tcW w:w="1005" w:type="dxa"/>
            <w:tcBorders>
              <w:top w:val="nil"/>
              <w:left w:val="nil"/>
              <w:bottom w:val="nil"/>
              <w:right w:val="nil"/>
              <w:tl2br w:val="nil"/>
              <w:tr2bl w:val="nil"/>
            </w:tcBorders>
            <w:shd w:val="clear" w:color="auto" w:fill="FFFF00"/>
            <w:tcMar>
              <w:left w:w="115" w:type="dxa"/>
              <w:right w:w="115" w:type="dxa"/>
            </w:tcMar>
            <w:vAlign w:val="bottom"/>
          </w:tcPr>
          <w:p w14:paraId="160CE2F7" w14:textId="77777777" w:rsidR="003F0EEA" w:rsidRPr="00246AE0" w:rsidRDefault="003F0EEA">
            <w:pPr>
              <w:jc w:val="right"/>
              <w:rPr>
                <w:rFonts w:ascii="Arial" w:eastAsia="Arial" w:hAnsi="Arial" w:cs="Arial"/>
                <w:color w:val="000000"/>
                <w:sz w:val="16"/>
              </w:rPr>
            </w:pPr>
          </w:p>
        </w:tc>
        <w:tc>
          <w:tcPr>
            <w:tcW w:w="1005" w:type="dxa"/>
            <w:tcBorders>
              <w:top w:val="nil"/>
              <w:left w:val="nil"/>
              <w:bottom w:val="nil"/>
              <w:right w:val="nil"/>
              <w:tl2br w:val="nil"/>
              <w:tr2bl w:val="nil"/>
            </w:tcBorders>
            <w:shd w:val="clear" w:color="auto" w:fill="FFFFFF"/>
            <w:tcMar>
              <w:left w:w="115" w:type="dxa"/>
              <w:right w:w="115" w:type="dxa"/>
            </w:tcMar>
            <w:vAlign w:val="bottom"/>
          </w:tcPr>
          <w:p w14:paraId="076BCB84" w14:textId="77777777" w:rsidR="003F0EEA" w:rsidRPr="00246AE0" w:rsidRDefault="003F0EEA">
            <w:pPr>
              <w:jc w:val="right"/>
              <w:rPr>
                <w:rFonts w:ascii="Arial" w:eastAsia="Arial" w:hAnsi="Arial" w:cs="Arial"/>
                <w:color w:val="000000"/>
                <w:sz w:val="16"/>
              </w:rPr>
            </w:pPr>
          </w:p>
        </w:tc>
        <w:tc>
          <w:tcPr>
            <w:tcW w:w="1005" w:type="dxa"/>
            <w:tcBorders>
              <w:top w:val="nil"/>
              <w:left w:val="nil"/>
              <w:bottom w:val="nil"/>
              <w:right w:val="nil"/>
              <w:tl2br w:val="nil"/>
              <w:tr2bl w:val="nil"/>
            </w:tcBorders>
            <w:shd w:val="clear" w:color="auto" w:fill="FFFF00"/>
            <w:tcMar>
              <w:left w:w="115" w:type="dxa"/>
              <w:right w:w="115" w:type="dxa"/>
            </w:tcMar>
            <w:vAlign w:val="bottom"/>
          </w:tcPr>
          <w:p w14:paraId="4D6B39C1" w14:textId="77777777" w:rsidR="003F0EEA" w:rsidRPr="00246AE0" w:rsidRDefault="003F0EEA">
            <w:pPr>
              <w:jc w:val="right"/>
              <w:rPr>
                <w:rFonts w:ascii="Arial" w:eastAsia="Arial" w:hAnsi="Arial" w:cs="Arial"/>
                <w:color w:val="000000"/>
                <w:sz w:val="16"/>
              </w:rPr>
            </w:pPr>
          </w:p>
        </w:tc>
        <w:tc>
          <w:tcPr>
            <w:tcW w:w="1005" w:type="dxa"/>
            <w:tcBorders>
              <w:top w:val="nil"/>
              <w:left w:val="nil"/>
              <w:bottom w:val="nil"/>
              <w:right w:val="nil"/>
              <w:tl2br w:val="nil"/>
              <w:tr2bl w:val="nil"/>
            </w:tcBorders>
            <w:shd w:val="clear" w:color="auto" w:fill="FFFFFF"/>
            <w:tcMar>
              <w:left w:w="115" w:type="dxa"/>
              <w:right w:w="115" w:type="dxa"/>
            </w:tcMar>
            <w:vAlign w:val="bottom"/>
          </w:tcPr>
          <w:p w14:paraId="259380CC" w14:textId="77777777" w:rsidR="003F0EEA" w:rsidRPr="00246AE0" w:rsidRDefault="003F0EEA">
            <w:pPr>
              <w:jc w:val="right"/>
              <w:rPr>
                <w:rFonts w:ascii="Arial" w:eastAsia="Arial" w:hAnsi="Arial" w:cs="Arial"/>
                <w:color w:val="000000"/>
                <w:sz w:val="16"/>
              </w:rPr>
            </w:pPr>
          </w:p>
        </w:tc>
        <w:tc>
          <w:tcPr>
            <w:tcW w:w="1005" w:type="dxa"/>
            <w:tcBorders>
              <w:top w:val="nil"/>
              <w:left w:val="nil"/>
              <w:bottom w:val="nil"/>
              <w:right w:val="nil"/>
              <w:tl2br w:val="nil"/>
              <w:tr2bl w:val="nil"/>
            </w:tcBorders>
            <w:shd w:val="clear" w:color="auto" w:fill="FFFF00"/>
            <w:tcMar>
              <w:left w:w="115" w:type="dxa"/>
              <w:right w:w="115" w:type="dxa"/>
            </w:tcMar>
            <w:vAlign w:val="bottom"/>
          </w:tcPr>
          <w:p w14:paraId="26C0EA3A" w14:textId="77777777" w:rsidR="003F0EEA" w:rsidRPr="00246AE0" w:rsidRDefault="003F0EEA">
            <w:pPr>
              <w:jc w:val="right"/>
              <w:rPr>
                <w:rFonts w:ascii="Arial" w:eastAsia="Arial" w:hAnsi="Arial" w:cs="Arial"/>
                <w:b/>
                <w:color w:val="000000"/>
                <w:sz w:val="16"/>
              </w:rPr>
            </w:pPr>
          </w:p>
        </w:tc>
      </w:tr>
      <w:tr w:rsidR="00724034" w14:paraId="2FFF5BC5" w14:textId="77777777">
        <w:trPr>
          <w:trHeight w:val="225"/>
        </w:trPr>
        <w:tc>
          <w:tcPr>
            <w:tcW w:w="180" w:type="dxa"/>
            <w:tcBorders>
              <w:top w:val="nil"/>
              <w:left w:val="nil"/>
              <w:bottom w:val="nil"/>
              <w:right w:val="nil"/>
              <w:tl2br w:val="nil"/>
              <w:tr2bl w:val="nil"/>
            </w:tcBorders>
            <w:shd w:val="clear" w:color="auto" w:fill="FFFFFF"/>
            <w:tcMar>
              <w:left w:w="115" w:type="dxa"/>
              <w:right w:w="115" w:type="dxa"/>
            </w:tcMar>
            <w:vAlign w:val="bottom"/>
          </w:tcPr>
          <w:p w14:paraId="1279B22F" w14:textId="77777777" w:rsidR="003F0EEA" w:rsidRPr="00246AE0" w:rsidRDefault="003F0EEA">
            <w:pPr>
              <w:rPr>
                <w:rFonts w:ascii="Arial" w:eastAsia="Arial" w:hAnsi="Arial" w:cs="Arial"/>
                <w:color w:val="000000"/>
                <w:sz w:val="16"/>
              </w:rPr>
            </w:pPr>
          </w:p>
        </w:tc>
        <w:tc>
          <w:tcPr>
            <w:tcW w:w="2280" w:type="dxa"/>
            <w:tcBorders>
              <w:top w:val="nil"/>
              <w:left w:val="nil"/>
              <w:bottom w:val="nil"/>
              <w:right w:val="nil"/>
              <w:tl2br w:val="nil"/>
              <w:tr2bl w:val="nil"/>
            </w:tcBorders>
            <w:shd w:val="clear" w:color="auto" w:fill="FFFFFF"/>
            <w:tcMar>
              <w:left w:w="115" w:type="dxa"/>
              <w:right w:w="115" w:type="dxa"/>
            </w:tcMar>
            <w:vAlign w:val="bottom"/>
          </w:tcPr>
          <w:p w14:paraId="61B57AAE" w14:textId="77777777" w:rsidR="003F0EEA" w:rsidRPr="00246AE0" w:rsidRDefault="00FB7D0B">
            <w:pPr>
              <w:rPr>
                <w:rFonts w:ascii="Arial" w:eastAsia="Arial" w:hAnsi="Arial" w:cs="Arial"/>
                <w:color w:val="000000"/>
                <w:sz w:val="16"/>
              </w:rPr>
            </w:pPr>
            <w:r w:rsidRPr="00246AE0">
              <w:rPr>
                <w:rFonts w:ascii="Arial" w:eastAsia="Arial" w:hAnsi="Arial" w:cs="Arial"/>
                <w:color w:val="000000"/>
                <w:sz w:val="16"/>
              </w:rPr>
              <w:t>Administered expenses</w:t>
            </w:r>
          </w:p>
        </w:tc>
        <w:tc>
          <w:tcPr>
            <w:tcW w:w="915" w:type="dxa"/>
            <w:tcBorders>
              <w:top w:val="nil"/>
              <w:left w:val="nil"/>
              <w:bottom w:val="nil"/>
              <w:right w:val="nil"/>
              <w:tl2br w:val="nil"/>
              <w:tr2bl w:val="nil"/>
            </w:tcBorders>
            <w:shd w:val="clear" w:color="auto" w:fill="FFFFFF"/>
            <w:tcMar>
              <w:left w:w="115" w:type="dxa"/>
              <w:right w:w="115" w:type="dxa"/>
            </w:tcMar>
            <w:vAlign w:val="bottom"/>
          </w:tcPr>
          <w:p w14:paraId="0A305B9A" w14:textId="77777777" w:rsidR="003F0EEA" w:rsidRPr="00246AE0" w:rsidRDefault="003F0EEA">
            <w:pPr>
              <w:jc w:val="center"/>
              <w:rPr>
                <w:rFonts w:ascii="Arial" w:eastAsia="Arial" w:hAnsi="Arial" w:cs="Arial"/>
                <w:color w:val="000000"/>
                <w:sz w:val="16"/>
                <w:vertAlign w:val="superscript"/>
              </w:rPr>
            </w:pPr>
          </w:p>
        </w:tc>
        <w:tc>
          <w:tcPr>
            <w:tcW w:w="1005" w:type="dxa"/>
            <w:tcBorders>
              <w:top w:val="nil"/>
              <w:left w:val="nil"/>
              <w:bottom w:val="nil"/>
              <w:right w:val="nil"/>
              <w:tl2br w:val="nil"/>
              <w:tr2bl w:val="nil"/>
            </w:tcBorders>
            <w:shd w:val="clear" w:color="auto" w:fill="FFFF00"/>
            <w:tcMar>
              <w:left w:w="115" w:type="dxa"/>
              <w:right w:w="115" w:type="dxa"/>
            </w:tcMar>
            <w:vAlign w:val="bottom"/>
          </w:tcPr>
          <w:p w14:paraId="7C36D61E" w14:textId="77777777" w:rsidR="003F0EEA" w:rsidRPr="00246AE0" w:rsidRDefault="00FB7D0B">
            <w:pPr>
              <w:jc w:val="right"/>
              <w:rPr>
                <w:rFonts w:ascii="Arial" w:eastAsia="Arial" w:hAnsi="Arial" w:cs="Arial"/>
                <w:color w:val="000000"/>
                <w:sz w:val="16"/>
                <w:vertAlign w:val="superscript"/>
              </w:rPr>
            </w:pPr>
            <w:r w:rsidRPr="00246AE0">
              <w:rPr>
                <w:rFonts w:ascii="Arial" w:eastAsia="Arial" w:hAnsi="Arial" w:cs="Arial"/>
                <w:color w:val="000000"/>
                <w:sz w:val="16"/>
              </w:rPr>
              <w:t xml:space="preserve"> - </w:t>
            </w:r>
          </w:p>
        </w:tc>
        <w:tc>
          <w:tcPr>
            <w:tcW w:w="1005" w:type="dxa"/>
            <w:tcBorders>
              <w:top w:val="nil"/>
              <w:left w:val="nil"/>
              <w:bottom w:val="nil"/>
              <w:right w:val="nil"/>
              <w:tl2br w:val="nil"/>
              <w:tr2bl w:val="nil"/>
            </w:tcBorders>
            <w:shd w:val="clear" w:color="auto" w:fill="FFFFFF"/>
            <w:tcMar>
              <w:left w:w="115" w:type="dxa"/>
              <w:right w:w="115" w:type="dxa"/>
            </w:tcMar>
            <w:vAlign w:val="bottom"/>
          </w:tcPr>
          <w:p w14:paraId="5EC13F6C" w14:textId="77777777" w:rsidR="003F0EEA" w:rsidRPr="00246AE0" w:rsidRDefault="00FB7D0B">
            <w:pPr>
              <w:jc w:val="right"/>
              <w:rPr>
                <w:rFonts w:ascii="Arial" w:eastAsia="Arial" w:hAnsi="Arial" w:cs="Arial"/>
                <w:color w:val="000000"/>
                <w:sz w:val="16"/>
              </w:rPr>
            </w:pPr>
            <w:r w:rsidRPr="00246AE0">
              <w:rPr>
                <w:rFonts w:ascii="Arial" w:eastAsia="Arial" w:hAnsi="Arial" w:cs="Arial"/>
                <w:color w:val="000000"/>
                <w:sz w:val="16"/>
              </w:rPr>
              <w:t>(10,191)</w:t>
            </w:r>
          </w:p>
        </w:tc>
        <w:tc>
          <w:tcPr>
            <w:tcW w:w="1005" w:type="dxa"/>
            <w:tcBorders>
              <w:top w:val="nil"/>
              <w:left w:val="nil"/>
              <w:bottom w:val="nil"/>
              <w:right w:val="nil"/>
              <w:tl2br w:val="nil"/>
              <w:tr2bl w:val="nil"/>
            </w:tcBorders>
            <w:shd w:val="clear" w:color="auto" w:fill="FFFF00"/>
            <w:tcMar>
              <w:left w:w="115" w:type="dxa"/>
              <w:right w:w="115" w:type="dxa"/>
            </w:tcMar>
            <w:vAlign w:val="bottom"/>
          </w:tcPr>
          <w:p w14:paraId="36AAFC42" w14:textId="77777777" w:rsidR="003F0EEA" w:rsidRPr="00246AE0" w:rsidRDefault="00FB7D0B">
            <w:pPr>
              <w:jc w:val="right"/>
              <w:rPr>
                <w:rFonts w:ascii="Arial" w:eastAsia="Arial" w:hAnsi="Arial" w:cs="Arial"/>
                <w:color w:val="000000"/>
                <w:sz w:val="16"/>
              </w:rPr>
            </w:pPr>
            <w:r w:rsidRPr="00246AE0">
              <w:rPr>
                <w:rFonts w:ascii="Arial" w:eastAsia="Arial" w:hAnsi="Arial" w:cs="Arial"/>
                <w:color w:val="000000"/>
                <w:sz w:val="16"/>
              </w:rPr>
              <w:t>(16,029)</w:t>
            </w:r>
          </w:p>
        </w:tc>
        <w:tc>
          <w:tcPr>
            <w:tcW w:w="1005" w:type="dxa"/>
            <w:tcBorders>
              <w:top w:val="nil"/>
              <w:left w:val="nil"/>
              <w:bottom w:val="nil"/>
              <w:right w:val="nil"/>
              <w:tl2br w:val="nil"/>
              <w:tr2bl w:val="nil"/>
            </w:tcBorders>
            <w:shd w:val="clear" w:color="auto" w:fill="FFFFFF"/>
            <w:tcMar>
              <w:left w:w="115" w:type="dxa"/>
              <w:right w:w="115" w:type="dxa"/>
            </w:tcMar>
            <w:vAlign w:val="bottom"/>
          </w:tcPr>
          <w:p w14:paraId="589C4AA3" w14:textId="77777777" w:rsidR="003F0EEA" w:rsidRPr="00246AE0" w:rsidRDefault="00FB7D0B">
            <w:pPr>
              <w:jc w:val="right"/>
              <w:rPr>
                <w:rFonts w:ascii="Arial" w:eastAsia="Arial" w:hAnsi="Arial" w:cs="Arial"/>
                <w:color w:val="000000"/>
                <w:sz w:val="16"/>
              </w:rPr>
            </w:pPr>
            <w:r w:rsidRPr="00246AE0">
              <w:rPr>
                <w:rFonts w:ascii="Arial" w:eastAsia="Arial" w:hAnsi="Arial" w:cs="Arial"/>
                <w:color w:val="000000"/>
                <w:sz w:val="16"/>
              </w:rPr>
              <w:t>(16,832)</w:t>
            </w:r>
          </w:p>
        </w:tc>
        <w:tc>
          <w:tcPr>
            <w:tcW w:w="1005" w:type="dxa"/>
            <w:tcBorders>
              <w:top w:val="nil"/>
              <w:left w:val="nil"/>
              <w:bottom w:val="nil"/>
              <w:right w:val="nil"/>
              <w:tl2br w:val="nil"/>
              <w:tr2bl w:val="nil"/>
            </w:tcBorders>
            <w:shd w:val="clear" w:color="auto" w:fill="FFFF00"/>
            <w:tcMar>
              <w:left w:w="115" w:type="dxa"/>
              <w:right w:w="115" w:type="dxa"/>
            </w:tcMar>
            <w:vAlign w:val="bottom"/>
          </w:tcPr>
          <w:p w14:paraId="7EE8472C" w14:textId="77777777" w:rsidR="003F0EEA" w:rsidRPr="00246AE0" w:rsidRDefault="00FB7D0B">
            <w:pPr>
              <w:jc w:val="right"/>
              <w:rPr>
                <w:rFonts w:ascii="Arial" w:eastAsia="Arial" w:hAnsi="Arial" w:cs="Arial"/>
                <w:color w:val="000000"/>
                <w:sz w:val="16"/>
              </w:rPr>
            </w:pPr>
            <w:r w:rsidRPr="00246AE0">
              <w:rPr>
                <w:rFonts w:ascii="Arial" w:eastAsia="Arial" w:hAnsi="Arial" w:cs="Arial"/>
                <w:color w:val="000000"/>
                <w:sz w:val="16"/>
              </w:rPr>
              <w:t>(23,519)</w:t>
            </w:r>
          </w:p>
        </w:tc>
      </w:tr>
      <w:tr w:rsidR="00724034" w14:paraId="333C008F" w14:textId="77777777">
        <w:trPr>
          <w:trHeight w:val="225"/>
        </w:trPr>
        <w:tc>
          <w:tcPr>
            <w:tcW w:w="180" w:type="dxa"/>
            <w:tcBorders>
              <w:top w:val="nil"/>
              <w:left w:val="nil"/>
              <w:bottom w:val="nil"/>
              <w:right w:val="nil"/>
              <w:tl2br w:val="nil"/>
              <w:tr2bl w:val="nil"/>
            </w:tcBorders>
            <w:shd w:val="clear" w:color="auto" w:fill="FFFFFF"/>
            <w:tcMar>
              <w:left w:w="115" w:type="dxa"/>
              <w:right w:w="115" w:type="dxa"/>
            </w:tcMar>
            <w:vAlign w:val="bottom"/>
          </w:tcPr>
          <w:p w14:paraId="727066E9" w14:textId="77777777" w:rsidR="003F0EEA" w:rsidRPr="00246AE0" w:rsidRDefault="003F0EEA">
            <w:pPr>
              <w:rPr>
                <w:rFonts w:ascii="Arial" w:eastAsia="Arial" w:hAnsi="Arial" w:cs="Arial"/>
                <w:color w:val="000000"/>
                <w:sz w:val="16"/>
              </w:rPr>
            </w:pPr>
          </w:p>
        </w:tc>
        <w:tc>
          <w:tcPr>
            <w:tcW w:w="2280" w:type="dxa"/>
            <w:tcBorders>
              <w:top w:val="nil"/>
              <w:left w:val="nil"/>
              <w:bottom w:val="nil"/>
              <w:right w:val="nil"/>
              <w:tl2br w:val="nil"/>
              <w:tr2bl w:val="nil"/>
            </w:tcBorders>
            <w:shd w:val="clear" w:color="auto" w:fill="FFFFFF"/>
            <w:tcMar>
              <w:left w:w="115" w:type="dxa"/>
              <w:right w:w="115" w:type="dxa"/>
            </w:tcMar>
            <w:vAlign w:val="bottom"/>
          </w:tcPr>
          <w:p w14:paraId="5D28EA62" w14:textId="77777777" w:rsidR="003F0EEA" w:rsidRPr="00246AE0" w:rsidRDefault="00FB7D0B">
            <w:pPr>
              <w:rPr>
                <w:rFonts w:ascii="Arial" w:eastAsia="Arial" w:hAnsi="Arial" w:cs="Arial"/>
                <w:color w:val="000000"/>
                <w:sz w:val="16"/>
              </w:rPr>
            </w:pPr>
            <w:r w:rsidRPr="00246AE0">
              <w:rPr>
                <w:rFonts w:ascii="Arial" w:eastAsia="Arial" w:hAnsi="Arial" w:cs="Arial"/>
                <w:color w:val="000000"/>
                <w:sz w:val="16"/>
              </w:rPr>
              <w:t>Departmental expenses</w:t>
            </w:r>
          </w:p>
        </w:tc>
        <w:tc>
          <w:tcPr>
            <w:tcW w:w="915" w:type="dxa"/>
            <w:tcBorders>
              <w:top w:val="nil"/>
              <w:left w:val="nil"/>
              <w:bottom w:val="nil"/>
              <w:right w:val="nil"/>
              <w:tl2br w:val="nil"/>
              <w:tr2bl w:val="nil"/>
            </w:tcBorders>
            <w:shd w:val="clear" w:color="auto" w:fill="FFFFFF"/>
            <w:tcMar>
              <w:left w:w="115" w:type="dxa"/>
              <w:right w:w="115" w:type="dxa"/>
            </w:tcMar>
            <w:vAlign w:val="bottom"/>
          </w:tcPr>
          <w:p w14:paraId="05B4A79E" w14:textId="77777777" w:rsidR="003F0EEA" w:rsidRPr="00246AE0" w:rsidRDefault="003F0EEA">
            <w:pPr>
              <w:jc w:val="center"/>
              <w:rPr>
                <w:rFonts w:ascii="Arial" w:eastAsia="Arial" w:hAnsi="Arial" w:cs="Arial"/>
                <w:b/>
                <w:color w:val="000000"/>
                <w:sz w:val="16"/>
                <w:vertAlign w:val="superscript"/>
              </w:rPr>
            </w:pPr>
          </w:p>
        </w:tc>
        <w:tc>
          <w:tcPr>
            <w:tcW w:w="1005" w:type="dxa"/>
            <w:tcBorders>
              <w:top w:val="nil"/>
              <w:left w:val="nil"/>
              <w:bottom w:val="nil"/>
              <w:right w:val="nil"/>
              <w:tl2br w:val="nil"/>
              <w:tr2bl w:val="nil"/>
            </w:tcBorders>
            <w:shd w:val="clear" w:color="auto" w:fill="FFFF00"/>
            <w:tcMar>
              <w:left w:w="115" w:type="dxa"/>
              <w:right w:w="115" w:type="dxa"/>
            </w:tcMar>
            <w:vAlign w:val="bottom"/>
          </w:tcPr>
          <w:p w14:paraId="7E8F0F18" w14:textId="77777777" w:rsidR="003F0EEA" w:rsidRPr="00246AE0" w:rsidRDefault="00FB7D0B">
            <w:pPr>
              <w:jc w:val="right"/>
              <w:rPr>
                <w:rFonts w:ascii="Arial" w:eastAsia="Arial" w:hAnsi="Arial" w:cs="Arial"/>
                <w:color w:val="000000"/>
                <w:sz w:val="16"/>
                <w:vertAlign w:val="superscript"/>
              </w:rPr>
            </w:pPr>
            <w:r w:rsidRPr="00246AE0">
              <w:rPr>
                <w:rFonts w:ascii="Arial" w:eastAsia="Arial" w:hAnsi="Arial" w:cs="Arial"/>
                <w:color w:val="000000"/>
                <w:sz w:val="16"/>
              </w:rPr>
              <w:t xml:space="preserve"> - </w:t>
            </w:r>
          </w:p>
        </w:tc>
        <w:tc>
          <w:tcPr>
            <w:tcW w:w="1005" w:type="dxa"/>
            <w:tcBorders>
              <w:top w:val="nil"/>
              <w:left w:val="nil"/>
              <w:bottom w:val="nil"/>
              <w:right w:val="nil"/>
              <w:tl2br w:val="nil"/>
              <w:tr2bl w:val="nil"/>
            </w:tcBorders>
            <w:shd w:val="clear" w:color="auto" w:fill="FFFFFF"/>
            <w:tcMar>
              <w:left w:w="115" w:type="dxa"/>
              <w:right w:w="115" w:type="dxa"/>
            </w:tcMar>
            <w:vAlign w:val="bottom"/>
          </w:tcPr>
          <w:p w14:paraId="5142FC7C" w14:textId="77777777" w:rsidR="003F0EEA" w:rsidRPr="00246AE0" w:rsidRDefault="00FB7D0B">
            <w:pPr>
              <w:jc w:val="right"/>
              <w:rPr>
                <w:rFonts w:ascii="Arial" w:eastAsia="Arial" w:hAnsi="Arial" w:cs="Arial"/>
                <w:color w:val="000000"/>
                <w:sz w:val="16"/>
              </w:rPr>
            </w:pPr>
            <w:r w:rsidRPr="00246AE0">
              <w:rPr>
                <w:rFonts w:ascii="Arial" w:eastAsia="Arial" w:hAnsi="Arial" w:cs="Arial"/>
                <w:color w:val="000000"/>
                <w:sz w:val="16"/>
              </w:rPr>
              <w:t xml:space="preserve"> - </w:t>
            </w:r>
          </w:p>
        </w:tc>
        <w:tc>
          <w:tcPr>
            <w:tcW w:w="1005" w:type="dxa"/>
            <w:tcBorders>
              <w:top w:val="nil"/>
              <w:left w:val="nil"/>
              <w:bottom w:val="nil"/>
              <w:right w:val="nil"/>
              <w:tl2br w:val="nil"/>
              <w:tr2bl w:val="nil"/>
            </w:tcBorders>
            <w:shd w:val="clear" w:color="auto" w:fill="FFFF00"/>
            <w:tcMar>
              <w:left w:w="115" w:type="dxa"/>
              <w:right w:w="115" w:type="dxa"/>
            </w:tcMar>
            <w:vAlign w:val="bottom"/>
          </w:tcPr>
          <w:p w14:paraId="11DD0920" w14:textId="77777777" w:rsidR="003F0EEA" w:rsidRPr="00246AE0" w:rsidRDefault="00FB7D0B">
            <w:pPr>
              <w:jc w:val="right"/>
              <w:rPr>
                <w:rFonts w:ascii="Arial" w:eastAsia="Arial" w:hAnsi="Arial" w:cs="Arial"/>
                <w:color w:val="000000"/>
                <w:sz w:val="16"/>
              </w:rPr>
            </w:pPr>
            <w:r w:rsidRPr="00246AE0">
              <w:rPr>
                <w:rFonts w:ascii="Arial" w:eastAsia="Arial" w:hAnsi="Arial" w:cs="Arial"/>
                <w:color w:val="000000"/>
                <w:sz w:val="16"/>
              </w:rPr>
              <w:t xml:space="preserve"> - </w:t>
            </w:r>
          </w:p>
        </w:tc>
        <w:tc>
          <w:tcPr>
            <w:tcW w:w="1005" w:type="dxa"/>
            <w:tcBorders>
              <w:top w:val="nil"/>
              <w:left w:val="nil"/>
              <w:bottom w:val="nil"/>
              <w:right w:val="nil"/>
              <w:tl2br w:val="nil"/>
              <w:tr2bl w:val="nil"/>
            </w:tcBorders>
            <w:shd w:val="clear" w:color="auto" w:fill="FFFFFF"/>
            <w:tcMar>
              <w:left w:w="115" w:type="dxa"/>
              <w:right w:w="115" w:type="dxa"/>
            </w:tcMar>
            <w:vAlign w:val="bottom"/>
          </w:tcPr>
          <w:p w14:paraId="67B3CF90" w14:textId="77777777" w:rsidR="003F0EEA" w:rsidRPr="00246AE0" w:rsidRDefault="00FB7D0B">
            <w:pPr>
              <w:jc w:val="right"/>
              <w:rPr>
                <w:rFonts w:ascii="Arial" w:eastAsia="Arial" w:hAnsi="Arial" w:cs="Arial"/>
                <w:color w:val="000000"/>
                <w:sz w:val="16"/>
              </w:rPr>
            </w:pPr>
            <w:r w:rsidRPr="00246AE0">
              <w:rPr>
                <w:rFonts w:ascii="Arial" w:eastAsia="Arial" w:hAnsi="Arial" w:cs="Arial"/>
                <w:color w:val="000000"/>
                <w:sz w:val="16"/>
              </w:rPr>
              <w:t xml:space="preserve"> - </w:t>
            </w:r>
          </w:p>
        </w:tc>
        <w:tc>
          <w:tcPr>
            <w:tcW w:w="1005" w:type="dxa"/>
            <w:tcBorders>
              <w:top w:val="nil"/>
              <w:left w:val="nil"/>
              <w:bottom w:val="nil"/>
              <w:right w:val="nil"/>
              <w:tl2br w:val="nil"/>
              <w:tr2bl w:val="nil"/>
            </w:tcBorders>
            <w:shd w:val="clear" w:color="auto" w:fill="FFFF00"/>
            <w:tcMar>
              <w:left w:w="115" w:type="dxa"/>
              <w:right w:w="115" w:type="dxa"/>
            </w:tcMar>
            <w:vAlign w:val="bottom"/>
          </w:tcPr>
          <w:p w14:paraId="782EB754" w14:textId="77777777" w:rsidR="003F0EEA" w:rsidRPr="00246AE0" w:rsidRDefault="00FB7D0B">
            <w:pPr>
              <w:jc w:val="right"/>
              <w:rPr>
                <w:rFonts w:ascii="Arial" w:eastAsia="Arial" w:hAnsi="Arial" w:cs="Arial"/>
                <w:color w:val="000000"/>
                <w:sz w:val="16"/>
              </w:rPr>
            </w:pPr>
            <w:r w:rsidRPr="00246AE0">
              <w:rPr>
                <w:rFonts w:ascii="Arial" w:eastAsia="Arial" w:hAnsi="Arial" w:cs="Arial"/>
                <w:color w:val="000000"/>
                <w:sz w:val="16"/>
              </w:rPr>
              <w:t xml:space="preserve"> - </w:t>
            </w:r>
          </w:p>
        </w:tc>
      </w:tr>
      <w:tr w:rsidR="00FB7D0B" w14:paraId="11C8B308" w14:textId="77777777" w:rsidTr="00FB7D0B">
        <w:trPr>
          <w:trHeight w:val="225"/>
        </w:trPr>
        <w:tc>
          <w:tcPr>
            <w:tcW w:w="2460" w:type="dxa"/>
            <w:gridSpan w:val="2"/>
            <w:tcBorders>
              <w:top w:val="nil"/>
              <w:left w:val="nil"/>
              <w:bottom w:val="nil"/>
              <w:right w:val="nil"/>
              <w:tl2br w:val="nil"/>
              <w:tr2bl w:val="nil"/>
            </w:tcBorders>
            <w:shd w:val="clear" w:color="auto" w:fill="FFFFFF"/>
            <w:tcMar>
              <w:left w:w="115" w:type="dxa"/>
              <w:right w:w="115" w:type="dxa"/>
            </w:tcMar>
            <w:vAlign w:val="bottom"/>
          </w:tcPr>
          <w:p w14:paraId="1FEE4F49" w14:textId="77777777" w:rsidR="003F0EEA" w:rsidRPr="00246AE0" w:rsidRDefault="00FB7D0B">
            <w:pPr>
              <w:rPr>
                <w:rFonts w:ascii="Arial" w:eastAsia="Arial" w:hAnsi="Arial" w:cs="Arial"/>
                <w:color w:val="000000"/>
                <w:sz w:val="16"/>
              </w:rPr>
            </w:pPr>
            <w:r w:rsidRPr="00246AE0">
              <w:rPr>
                <w:rFonts w:ascii="Arial" w:eastAsia="Arial" w:hAnsi="Arial" w:cs="Arial"/>
                <w:b/>
                <w:color w:val="000000"/>
                <w:sz w:val="16"/>
              </w:rPr>
              <w:t xml:space="preserve">Total </w:t>
            </w:r>
          </w:p>
        </w:tc>
        <w:tc>
          <w:tcPr>
            <w:tcW w:w="915" w:type="dxa"/>
            <w:tcBorders>
              <w:top w:val="nil"/>
              <w:left w:val="nil"/>
              <w:bottom w:val="nil"/>
              <w:right w:val="nil"/>
              <w:tl2br w:val="nil"/>
              <w:tr2bl w:val="nil"/>
            </w:tcBorders>
            <w:shd w:val="clear" w:color="auto" w:fill="FFFFFF"/>
            <w:tcMar>
              <w:left w:w="115" w:type="dxa"/>
              <w:right w:w="115" w:type="dxa"/>
            </w:tcMar>
            <w:vAlign w:val="bottom"/>
          </w:tcPr>
          <w:p w14:paraId="14645520" w14:textId="77777777" w:rsidR="003F0EEA" w:rsidRPr="00246AE0" w:rsidRDefault="003F0EEA">
            <w:pPr>
              <w:jc w:val="center"/>
              <w:rPr>
                <w:rFonts w:ascii="Arial" w:eastAsia="Arial" w:hAnsi="Arial" w:cs="Arial"/>
                <w:b/>
                <w:color w:val="000000"/>
                <w:sz w:val="16"/>
                <w:vertAlign w:val="superscript"/>
              </w:rPr>
            </w:pPr>
          </w:p>
        </w:tc>
        <w:tc>
          <w:tcPr>
            <w:tcW w:w="1005" w:type="dxa"/>
            <w:tcBorders>
              <w:top w:val="nil"/>
              <w:left w:val="nil"/>
              <w:bottom w:val="single" w:sz="6" w:space="0" w:color="000000"/>
              <w:right w:val="nil"/>
              <w:tl2br w:val="nil"/>
              <w:tr2bl w:val="nil"/>
            </w:tcBorders>
            <w:shd w:val="clear" w:color="auto" w:fill="FFFF00"/>
            <w:tcMar>
              <w:left w:w="115" w:type="dxa"/>
              <w:right w:w="115" w:type="dxa"/>
            </w:tcMar>
            <w:vAlign w:val="bottom"/>
          </w:tcPr>
          <w:p w14:paraId="6822698A" w14:textId="77777777" w:rsidR="003F0EEA" w:rsidRPr="00246AE0" w:rsidRDefault="00FB7D0B">
            <w:pPr>
              <w:jc w:val="right"/>
              <w:rPr>
                <w:rFonts w:ascii="Arial" w:eastAsia="Arial" w:hAnsi="Arial" w:cs="Arial"/>
                <w:color w:val="000000"/>
                <w:sz w:val="16"/>
                <w:vertAlign w:val="superscript"/>
              </w:rPr>
            </w:pPr>
            <w:r w:rsidRPr="00246AE0">
              <w:rPr>
                <w:rFonts w:ascii="Arial" w:eastAsia="Arial" w:hAnsi="Arial" w:cs="Arial"/>
                <w:b/>
                <w:color w:val="000000"/>
                <w:sz w:val="16"/>
              </w:rPr>
              <w:t xml:space="preserve"> - </w:t>
            </w:r>
          </w:p>
        </w:tc>
        <w:tc>
          <w:tcPr>
            <w:tcW w:w="1005"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0B37C6D3" w14:textId="77777777" w:rsidR="003F0EEA" w:rsidRPr="00246AE0" w:rsidRDefault="00FB7D0B">
            <w:pPr>
              <w:jc w:val="right"/>
              <w:rPr>
                <w:rFonts w:ascii="Arial" w:eastAsia="Arial" w:hAnsi="Arial" w:cs="Arial"/>
                <w:b/>
                <w:color w:val="000000"/>
                <w:sz w:val="16"/>
              </w:rPr>
            </w:pPr>
            <w:r w:rsidRPr="00246AE0">
              <w:rPr>
                <w:rFonts w:ascii="Arial" w:eastAsia="Arial" w:hAnsi="Arial" w:cs="Arial"/>
                <w:b/>
                <w:color w:val="000000"/>
                <w:sz w:val="16"/>
              </w:rPr>
              <w:t>(10,191)</w:t>
            </w:r>
          </w:p>
        </w:tc>
        <w:tc>
          <w:tcPr>
            <w:tcW w:w="1005" w:type="dxa"/>
            <w:tcBorders>
              <w:top w:val="nil"/>
              <w:left w:val="nil"/>
              <w:bottom w:val="single" w:sz="6" w:space="0" w:color="000000"/>
              <w:right w:val="nil"/>
              <w:tl2br w:val="nil"/>
              <w:tr2bl w:val="nil"/>
            </w:tcBorders>
            <w:shd w:val="clear" w:color="auto" w:fill="FFFF00"/>
            <w:tcMar>
              <w:left w:w="115" w:type="dxa"/>
              <w:right w:w="115" w:type="dxa"/>
            </w:tcMar>
            <w:vAlign w:val="bottom"/>
          </w:tcPr>
          <w:p w14:paraId="75D35182" w14:textId="77777777" w:rsidR="003F0EEA" w:rsidRPr="00246AE0" w:rsidRDefault="00FB7D0B">
            <w:pPr>
              <w:jc w:val="right"/>
              <w:rPr>
                <w:rFonts w:ascii="Arial" w:eastAsia="Arial" w:hAnsi="Arial" w:cs="Arial"/>
                <w:b/>
                <w:color w:val="000000"/>
                <w:sz w:val="16"/>
              </w:rPr>
            </w:pPr>
            <w:r w:rsidRPr="00246AE0">
              <w:rPr>
                <w:rFonts w:ascii="Arial" w:eastAsia="Arial" w:hAnsi="Arial" w:cs="Arial"/>
                <w:b/>
                <w:color w:val="000000"/>
                <w:sz w:val="16"/>
              </w:rPr>
              <w:t>(16,029)</w:t>
            </w:r>
          </w:p>
        </w:tc>
        <w:tc>
          <w:tcPr>
            <w:tcW w:w="1005"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46EAE5A8" w14:textId="77777777" w:rsidR="003F0EEA" w:rsidRPr="00246AE0" w:rsidRDefault="00FB7D0B">
            <w:pPr>
              <w:jc w:val="right"/>
              <w:rPr>
                <w:rFonts w:ascii="Arial" w:eastAsia="Arial" w:hAnsi="Arial" w:cs="Arial"/>
                <w:b/>
                <w:color w:val="000000"/>
                <w:sz w:val="16"/>
              </w:rPr>
            </w:pPr>
            <w:r w:rsidRPr="00246AE0">
              <w:rPr>
                <w:rFonts w:ascii="Arial" w:eastAsia="Arial" w:hAnsi="Arial" w:cs="Arial"/>
                <w:b/>
                <w:color w:val="000000"/>
                <w:sz w:val="16"/>
              </w:rPr>
              <w:t>(16,832)</w:t>
            </w:r>
          </w:p>
        </w:tc>
        <w:tc>
          <w:tcPr>
            <w:tcW w:w="1005" w:type="dxa"/>
            <w:tcBorders>
              <w:top w:val="nil"/>
              <w:left w:val="nil"/>
              <w:bottom w:val="single" w:sz="6" w:space="0" w:color="000000"/>
              <w:right w:val="nil"/>
              <w:tl2br w:val="nil"/>
              <w:tr2bl w:val="nil"/>
            </w:tcBorders>
            <w:shd w:val="clear" w:color="auto" w:fill="FFFF00"/>
            <w:tcMar>
              <w:left w:w="115" w:type="dxa"/>
              <w:right w:w="115" w:type="dxa"/>
            </w:tcMar>
            <w:vAlign w:val="bottom"/>
          </w:tcPr>
          <w:p w14:paraId="3C793A91" w14:textId="77777777" w:rsidR="003F0EEA" w:rsidRPr="00246AE0" w:rsidRDefault="00FB7D0B">
            <w:pPr>
              <w:jc w:val="right"/>
              <w:rPr>
                <w:rFonts w:ascii="Arial" w:eastAsia="Arial" w:hAnsi="Arial" w:cs="Arial"/>
                <w:b/>
                <w:color w:val="000000"/>
                <w:sz w:val="16"/>
              </w:rPr>
            </w:pPr>
            <w:r w:rsidRPr="00246AE0">
              <w:rPr>
                <w:rFonts w:ascii="Arial" w:eastAsia="Arial" w:hAnsi="Arial" w:cs="Arial"/>
                <w:b/>
                <w:color w:val="000000"/>
                <w:sz w:val="16"/>
              </w:rPr>
              <w:t>(23,519)</w:t>
            </w:r>
          </w:p>
        </w:tc>
      </w:tr>
      <w:tr w:rsidR="00724034" w14:paraId="53074664" w14:textId="77777777">
        <w:trPr>
          <w:trHeight w:val="225"/>
        </w:trPr>
        <w:tc>
          <w:tcPr>
            <w:tcW w:w="180" w:type="dxa"/>
            <w:tcBorders>
              <w:top w:val="nil"/>
              <w:left w:val="nil"/>
              <w:bottom w:val="nil"/>
              <w:right w:val="nil"/>
              <w:tl2br w:val="nil"/>
              <w:tr2bl w:val="nil"/>
            </w:tcBorders>
            <w:shd w:val="clear" w:color="auto" w:fill="FFFFFF"/>
            <w:tcMar>
              <w:left w:w="115" w:type="dxa"/>
              <w:right w:w="115" w:type="dxa"/>
            </w:tcMar>
            <w:vAlign w:val="bottom"/>
          </w:tcPr>
          <w:p w14:paraId="5B88F207" w14:textId="77777777" w:rsidR="003F0EEA" w:rsidRPr="00246AE0" w:rsidRDefault="003F0EEA">
            <w:pPr>
              <w:rPr>
                <w:rFonts w:ascii="Arial" w:eastAsia="Arial" w:hAnsi="Arial" w:cs="Arial"/>
                <w:b/>
                <w:color w:val="000000"/>
                <w:sz w:val="16"/>
              </w:rPr>
            </w:pPr>
          </w:p>
        </w:tc>
        <w:tc>
          <w:tcPr>
            <w:tcW w:w="2280" w:type="dxa"/>
            <w:tcBorders>
              <w:top w:val="nil"/>
              <w:left w:val="nil"/>
              <w:bottom w:val="nil"/>
              <w:right w:val="nil"/>
              <w:tl2br w:val="nil"/>
              <w:tr2bl w:val="nil"/>
            </w:tcBorders>
            <w:shd w:val="clear" w:color="auto" w:fill="FFFFFF"/>
            <w:tcMar>
              <w:left w:w="115" w:type="dxa"/>
              <w:right w:w="115" w:type="dxa"/>
            </w:tcMar>
            <w:vAlign w:val="bottom"/>
          </w:tcPr>
          <w:p w14:paraId="2FB9D242" w14:textId="77777777" w:rsidR="003F0EEA" w:rsidRPr="00246AE0" w:rsidRDefault="003F0EEA">
            <w:pPr>
              <w:rPr>
                <w:rFonts w:ascii="Arial" w:eastAsia="Arial" w:hAnsi="Arial" w:cs="Arial"/>
                <w:b/>
                <w:color w:val="000000"/>
                <w:sz w:val="16"/>
              </w:rPr>
            </w:pPr>
          </w:p>
        </w:tc>
        <w:tc>
          <w:tcPr>
            <w:tcW w:w="915" w:type="dxa"/>
            <w:tcBorders>
              <w:top w:val="nil"/>
              <w:left w:val="nil"/>
              <w:bottom w:val="nil"/>
              <w:right w:val="nil"/>
              <w:tl2br w:val="nil"/>
              <w:tr2bl w:val="nil"/>
            </w:tcBorders>
            <w:shd w:val="clear" w:color="auto" w:fill="FFFFFF"/>
            <w:tcMar>
              <w:left w:w="115" w:type="dxa"/>
              <w:right w:w="115" w:type="dxa"/>
            </w:tcMar>
            <w:vAlign w:val="bottom"/>
          </w:tcPr>
          <w:p w14:paraId="06C3EE0B" w14:textId="77777777" w:rsidR="003F0EEA" w:rsidRPr="00246AE0" w:rsidRDefault="003F0EEA">
            <w:pPr>
              <w:jc w:val="center"/>
              <w:rPr>
                <w:rFonts w:ascii="Arial" w:eastAsia="Arial" w:hAnsi="Arial" w:cs="Arial"/>
                <w:b/>
                <w:color w:val="000000"/>
                <w:sz w:val="16"/>
                <w:vertAlign w:val="superscript"/>
              </w:rPr>
            </w:pPr>
          </w:p>
        </w:tc>
        <w:tc>
          <w:tcPr>
            <w:tcW w:w="1005" w:type="dxa"/>
            <w:tcBorders>
              <w:top w:val="single" w:sz="6" w:space="0" w:color="000000"/>
              <w:left w:val="nil"/>
              <w:bottom w:val="nil"/>
              <w:right w:val="nil"/>
              <w:tl2br w:val="nil"/>
              <w:tr2bl w:val="nil"/>
            </w:tcBorders>
            <w:shd w:val="clear" w:color="auto" w:fill="FFFF00"/>
            <w:tcMar>
              <w:left w:w="115" w:type="dxa"/>
              <w:right w:w="115" w:type="dxa"/>
            </w:tcMar>
            <w:vAlign w:val="bottom"/>
          </w:tcPr>
          <w:p w14:paraId="258FDB16" w14:textId="77777777" w:rsidR="003F0EEA" w:rsidRPr="00246AE0" w:rsidRDefault="003F0EEA">
            <w:pPr>
              <w:jc w:val="right"/>
              <w:rPr>
                <w:rFonts w:ascii="Arial" w:eastAsia="Arial" w:hAnsi="Arial" w:cs="Arial"/>
                <w:color w:val="000000"/>
                <w:sz w:val="16"/>
                <w:vertAlign w:val="superscript"/>
              </w:rPr>
            </w:pPr>
          </w:p>
        </w:tc>
        <w:tc>
          <w:tcPr>
            <w:tcW w:w="1005"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1AD4B296" w14:textId="77777777" w:rsidR="003F0EEA" w:rsidRPr="00246AE0" w:rsidRDefault="003F0EEA">
            <w:pPr>
              <w:jc w:val="right"/>
              <w:rPr>
                <w:rFonts w:ascii="Arial" w:eastAsia="Arial" w:hAnsi="Arial" w:cs="Arial"/>
                <w:b/>
                <w:color w:val="000000"/>
                <w:sz w:val="16"/>
                <w:vertAlign w:val="superscript"/>
              </w:rPr>
            </w:pPr>
          </w:p>
        </w:tc>
        <w:tc>
          <w:tcPr>
            <w:tcW w:w="1005" w:type="dxa"/>
            <w:tcBorders>
              <w:top w:val="single" w:sz="6" w:space="0" w:color="000000"/>
              <w:left w:val="nil"/>
              <w:bottom w:val="nil"/>
              <w:right w:val="nil"/>
              <w:tl2br w:val="nil"/>
              <w:tr2bl w:val="nil"/>
            </w:tcBorders>
            <w:shd w:val="clear" w:color="auto" w:fill="FFFF00"/>
            <w:tcMar>
              <w:left w:w="115" w:type="dxa"/>
              <w:right w:w="115" w:type="dxa"/>
            </w:tcMar>
            <w:vAlign w:val="bottom"/>
          </w:tcPr>
          <w:p w14:paraId="6CD3E4EE" w14:textId="77777777" w:rsidR="003F0EEA" w:rsidRPr="00246AE0" w:rsidRDefault="003F0EEA">
            <w:pPr>
              <w:jc w:val="right"/>
              <w:rPr>
                <w:rFonts w:ascii="Arial" w:eastAsia="Arial" w:hAnsi="Arial" w:cs="Arial"/>
                <w:b/>
                <w:color w:val="000000"/>
                <w:sz w:val="16"/>
                <w:vertAlign w:val="superscript"/>
              </w:rPr>
            </w:pPr>
          </w:p>
        </w:tc>
        <w:tc>
          <w:tcPr>
            <w:tcW w:w="1005"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18026065" w14:textId="77777777" w:rsidR="003F0EEA" w:rsidRPr="00246AE0" w:rsidRDefault="003F0EEA">
            <w:pPr>
              <w:jc w:val="right"/>
              <w:rPr>
                <w:rFonts w:ascii="Arial" w:eastAsia="Arial" w:hAnsi="Arial" w:cs="Arial"/>
                <w:b/>
                <w:color w:val="000000"/>
                <w:sz w:val="16"/>
                <w:vertAlign w:val="superscript"/>
              </w:rPr>
            </w:pPr>
          </w:p>
        </w:tc>
        <w:tc>
          <w:tcPr>
            <w:tcW w:w="1005" w:type="dxa"/>
            <w:tcBorders>
              <w:top w:val="single" w:sz="6" w:space="0" w:color="000000"/>
              <w:left w:val="nil"/>
              <w:bottom w:val="nil"/>
              <w:right w:val="nil"/>
              <w:tl2br w:val="nil"/>
              <w:tr2bl w:val="nil"/>
            </w:tcBorders>
            <w:shd w:val="clear" w:color="auto" w:fill="FFFF00"/>
            <w:tcMar>
              <w:left w:w="115" w:type="dxa"/>
              <w:right w:w="115" w:type="dxa"/>
            </w:tcMar>
            <w:vAlign w:val="bottom"/>
          </w:tcPr>
          <w:p w14:paraId="2E38C5C1" w14:textId="77777777" w:rsidR="003F0EEA" w:rsidRPr="00246AE0" w:rsidRDefault="003F0EEA">
            <w:pPr>
              <w:jc w:val="right"/>
              <w:rPr>
                <w:rFonts w:ascii="Arial" w:eastAsia="Arial" w:hAnsi="Arial" w:cs="Arial"/>
                <w:b/>
                <w:color w:val="000000"/>
                <w:sz w:val="16"/>
                <w:vertAlign w:val="superscript"/>
              </w:rPr>
            </w:pPr>
          </w:p>
        </w:tc>
      </w:tr>
      <w:tr w:rsidR="00FB7D0B" w14:paraId="1C4092F7" w14:textId="77777777" w:rsidTr="00FB7D0B">
        <w:trPr>
          <w:trHeight w:val="435"/>
        </w:trPr>
        <w:tc>
          <w:tcPr>
            <w:tcW w:w="2460" w:type="dxa"/>
            <w:gridSpan w:val="2"/>
            <w:tcBorders>
              <w:top w:val="nil"/>
              <w:left w:val="nil"/>
              <w:bottom w:val="nil"/>
              <w:right w:val="nil"/>
              <w:tl2br w:val="nil"/>
              <w:tr2bl w:val="nil"/>
            </w:tcBorders>
            <w:shd w:val="clear" w:color="auto" w:fill="FFFFFF"/>
            <w:tcMar>
              <w:left w:w="115" w:type="dxa"/>
              <w:right w:w="115" w:type="dxa"/>
            </w:tcMar>
            <w:vAlign w:val="bottom"/>
          </w:tcPr>
          <w:p w14:paraId="59245CE4" w14:textId="77777777" w:rsidR="003F0EEA" w:rsidRPr="00246AE0" w:rsidRDefault="00FB7D0B">
            <w:pPr>
              <w:rPr>
                <w:rFonts w:ascii="Arial" w:eastAsia="Arial" w:hAnsi="Arial" w:cs="Arial"/>
                <w:b/>
                <w:color w:val="000000"/>
                <w:sz w:val="16"/>
                <w:vertAlign w:val="superscript"/>
              </w:rPr>
            </w:pPr>
            <w:r w:rsidRPr="00246AE0">
              <w:rPr>
                <w:rFonts w:ascii="Arial" w:eastAsia="Arial" w:hAnsi="Arial" w:cs="Arial"/>
                <w:color w:val="000000"/>
                <w:sz w:val="16"/>
              </w:rPr>
              <w:t>Pharmaceutical Benefits Scheme - new and amended listings</w:t>
            </w:r>
            <w:r w:rsidRPr="00246AE0">
              <w:rPr>
                <w:rFonts w:ascii="Arial" w:eastAsia="Arial" w:hAnsi="Arial" w:cs="Arial"/>
                <w:color w:val="000000"/>
                <w:sz w:val="16"/>
                <w:vertAlign w:val="superscript"/>
              </w:rPr>
              <w:t>2 </w:t>
            </w:r>
          </w:p>
        </w:tc>
        <w:tc>
          <w:tcPr>
            <w:tcW w:w="915" w:type="dxa"/>
            <w:tcBorders>
              <w:top w:val="nil"/>
              <w:left w:val="nil"/>
              <w:bottom w:val="nil"/>
              <w:right w:val="nil"/>
              <w:tl2br w:val="nil"/>
              <w:tr2bl w:val="nil"/>
            </w:tcBorders>
            <w:shd w:val="clear" w:color="auto" w:fill="FFFFFF"/>
            <w:tcMar>
              <w:left w:w="115" w:type="dxa"/>
              <w:right w:w="115" w:type="dxa"/>
            </w:tcMar>
            <w:vAlign w:val="bottom"/>
          </w:tcPr>
          <w:p w14:paraId="630C8C9D" w14:textId="77777777" w:rsidR="003F0EEA" w:rsidRPr="00246AE0" w:rsidRDefault="00FB7D0B">
            <w:pPr>
              <w:jc w:val="center"/>
              <w:rPr>
                <w:rFonts w:ascii="Arial" w:eastAsia="Arial" w:hAnsi="Arial" w:cs="Arial"/>
                <w:color w:val="000000"/>
                <w:sz w:val="16"/>
                <w:vertAlign w:val="superscript"/>
              </w:rPr>
            </w:pPr>
            <w:r w:rsidRPr="00246AE0">
              <w:rPr>
                <w:rFonts w:ascii="Arial" w:eastAsia="Arial" w:hAnsi="Arial" w:cs="Arial"/>
                <w:color w:val="000000"/>
                <w:sz w:val="16"/>
              </w:rPr>
              <w:t>2.3 </w:t>
            </w:r>
          </w:p>
        </w:tc>
        <w:tc>
          <w:tcPr>
            <w:tcW w:w="1005" w:type="dxa"/>
            <w:tcBorders>
              <w:top w:val="nil"/>
              <w:left w:val="nil"/>
              <w:bottom w:val="nil"/>
              <w:right w:val="nil"/>
              <w:tl2br w:val="nil"/>
              <w:tr2bl w:val="nil"/>
            </w:tcBorders>
            <w:shd w:val="clear" w:color="auto" w:fill="FFFF00"/>
            <w:tcMar>
              <w:left w:w="115" w:type="dxa"/>
              <w:right w:w="115" w:type="dxa"/>
            </w:tcMar>
            <w:vAlign w:val="bottom"/>
          </w:tcPr>
          <w:p w14:paraId="737B518D" w14:textId="77777777" w:rsidR="003F0EEA" w:rsidRPr="00246AE0" w:rsidRDefault="003F0EEA">
            <w:pPr>
              <w:jc w:val="right"/>
              <w:rPr>
                <w:rFonts w:ascii="Arial" w:eastAsia="Arial" w:hAnsi="Arial" w:cs="Arial"/>
                <w:color w:val="000000"/>
                <w:sz w:val="16"/>
              </w:rPr>
            </w:pPr>
          </w:p>
        </w:tc>
        <w:tc>
          <w:tcPr>
            <w:tcW w:w="1005" w:type="dxa"/>
            <w:tcBorders>
              <w:top w:val="nil"/>
              <w:left w:val="nil"/>
              <w:bottom w:val="nil"/>
              <w:right w:val="nil"/>
              <w:tl2br w:val="nil"/>
              <w:tr2bl w:val="nil"/>
            </w:tcBorders>
            <w:shd w:val="clear" w:color="auto" w:fill="FFFFFF"/>
            <w:tcMar>
              <w:left w:w="115" w:type="dxa"/>
              <w:right w:w="115" w:type="dxa"/>
            </w:tcMar>
            <w:vAlign w:val="bottom"/>
          </w:tcPr>
          <w:p w14:paraId="5CF48B5A" w14:textId="77777777" w:rsidR="003F0EEA" w:rsidRPr="00246AE0" w:rsidRDefault="003F0EEA">
            <w:pPr>
              <w:jc w:val="right"/>
              <w:rPr>
                <w:rFonts w:ascii="Arial" w:eastAsia="Arial" w:hAnsi="Arial" w:cs="Arial"/>
                <w:color w:val="000000"/>
                <w:sz w:val="16"/>
              </w:rPr>
            </w:pPr>
          </w:p>
        </w:tc>
        <w:tc>
          <w:tcPr>
            <w:tcW w:w="1005" w:type="dxa"/>
            <w:tcBorders>
              <w:top w:val="nil"/>
              <w:left w:val="nil"/>
              <w:bottom w:val="nil"/>
              <w:right w:val="nil"/>
              <w:tl2br w:val="nil"/>
              <w:tr2bl w:val="nil"/>
            </w:tcBorders>
            <w:shd w:val="clear" w:color="auto" w:fill="FFFF00"/>
            <w:tcMar>
              <w:left w:w="115" w:type="dxa"/>
              <w:right w:w="115" w:type="dxa"/>
            </w:tcMar>
            <w:vAlign w:val="bottom"/>
          </w:tcPr>
          <w:p w14:paraId="2C92E2B9" w14:textId="77777777" w:rsidR="003F0EEA" w:rsidRPr="00246AE0" w:rsidRDefault="003F0EEA">
            <w:pPr>
              <w:jc w:val="right"/>
              <w:rPr>
                <w:rFonts w:ascii="Arial" w:eastAsia="Arial" w:hAnsi="Arial" w:cs="Arial"/>
                <w:color w:val="000000"/>
                <w:sz w:val="16"/>
              </w:rPr>
            </w:pPr>
          </w:p>
        </w:tc>
        <w:tc>
          <w:tcPr>
            <w:tcW w:w="1005" w:type="dxa"/>
            <w:tcBorders>
              <w:top w:val="nil"/>
              <w:left w:val="nil"/>
              <w:bottom w:val="nil"/>
              <w:right w:val="nil"/>
              <w:tl2br w:val="nil"/>
              <w:tr2bl w:val="nil"/>
            </w:tcBorders>
            <w:shd w:val="clear" w:color="auto" w:fill="FFFFFF"/>
            <w:tcMar>
              <w:left w:w="115" w:type="dxa"/>
              <w:right w:w="115" w:type="dxa"/>
            </w:tcMar>
            <w:vAlign w:val="bottom"/>
          </w:tcPr>
          <w:p w14:paraId="1A10A3AF" w14:textId="77777777" w:rsidR="003F0EEA" w:rsidRPr="00246AE0" w:rsidRDefault="003F0EEA">
            <w:pPr>
              <w:jc w:val="right"/>
              <w:rPr>
                <w:rFonts w:ascii="Arial" w:eastAsia="Arial" w:hAnsi="Arial" w:cs="Arial"/>
                <w:color w:val="000000"/>
                <w:sz w:val="16"/>
              </w:rPr>
            </w:pPr>
          </w:p>
        </w:tc>
        <w:tc>
          <w:tcPr>
            <w:tcW w:w="1005" w:type="dxa"/>
            <w:tcBorders>
              <w:top w:val="nil"/>
              <w:left w:val="nil"/>
              <w:bottom w:val="nil"/>
              <w:right w:val="nil"/>
              <w:tl2br w:val="nil"/>
              <w:tr2bl w:val="nil"/>
            </w:tcBorders>
            <w:shd w:val="clear" w:color="auto" w:fill="FFFF00"/>
            <w:tcMar>
              <w:left w:w="115" w:type="dxa"/>
              <w:right w:w="115" w:type="dxa"/>
            </w:tcMar>
            <w:vAlign w:val="bottom"/>
          </w:tcPr>
          <w:p w14:paraId="0B642733" w14:textId="77777777" w:rsidR="003F0EEA" w:rsidRPr="00246AE0" w:rsidRDefault="003F0EEA">
            <w:pPr>
              <w:jc w:val="right"/>
              <w:rPr>
                <w:rFonts w:ascii="Arial" w:eastAsia="Arial" w:hAnsi="Arial" w:cs="Arial"/>
                <w:b/>
                <w:color w:val="000000"/>
                <w:sz w:val="16"/>
              </w:rPr>
            </w:pPr>
          </w:p>
        </w:tc>
      </w:tr>
      <w:tr w:rsidR="00724034" w14:paraId="2E3C85BD" w14:textId="77777777">
        <w:trPr>
          <w:trHeight w:val="225"/>
        </w:trPr>
        <w:tc>
          <w:tcPr>
            <w:tcW w:w="180" w:type="dxa"/>
            <w:tcBorders>
              <w:top w:val="nil"/>
              <w:left w:val="nil"/>
              <w:bottom w:val="nil"/>
              <w:right w:val="nil"/>
              <w:tl2br w:val="nil"/>
              <w:tr2bl w:val="nil"/>
            </w:tcBorders>
            <w:shd w:val="clear" w:color="auto" w:fill="FFFFFF"/>
            <w:tcMar>
              <w:left w:w="115" w:type="dxa"/>
              <w:right w:w="115" w:type="dxa"/>
            </w:tcMar>
            <w:vAlign w:val="bottom"/>
          </w:tcPr>
          <w:p w14:paraId="7452D37C" w14:textId="77777777" w:rsidR="003F0EEA" w:rsidRPr="00246AE0" w:rsidRDefault="003F0EEA">
            <w:pPr>
              <w:rPr>
                <w:rFonts w:ascii="Arial" w:eastAsia="Arial" w:hAnsi="Arial" w:cs="Arial"/>
                <w:color w:val="000000"/>
                <w:sz w:val="16"/>
              </w:rPr>
            </w:pPr>
          </w:p>
        </w:tc>
        <w:tc>
          <w:tcPr>
            <w:tcW w:w="2280" w:type="dxa"/>
            <w:tcBorders>
              <w:top w:val="nil"/>
              <w:left w:val="nil"/>
              <w:bottom w:val="nil"/>
              <w:right w:val="nil"/>
              <w:tl2br w:val="nil"/>
              <w:tr2bl w:val="nil"/>
            </w:tcBorders>
            <w:shd w:val="clear" w:color="auto" w:fill="FFFFFF"/>
            <w:tcMar>
              <w:left w:w="115" w:type="dxa"/>
              <w:right w:w="115" w:type="dxa"/>
            </w:tcMar>
            <w:vAlign w:val="bottom"/>
          </w:tcPr>
          <w:p w14:paraId="2888405F" w14:textId="77777777" w:rsidR="003F0EEA" w:rsidRPr="00246AE0" w:rsidRDefault="00FB7D0B">
            <w:pPr>
              <w:rPr>
                <w:rFonts w:ascii="Arial" w:eastAsia="Arial" w:hAnsi="Arial" w:cs="Arial"/>
                <w:color w:val="000000"/>
                <w:sz w:val="16"/>
              </w:rPr>
            </w:pPr>
            <w:r w:rsidRPr="00246AE0">
              <w:rPr>
                <w:rFonts w:ascii="Arial" w:eastAsia="Arial" w:hAnsi="Arial" w:cs="Arial"/>
                <w:color w:val="000000"/>
                <w:sz w:val="16"/>
              </w:rPr>
              <w:t>Administered expenses</w:t>
            </w:r>
          </w:p>
        </w:tc>
        <w:tc>
          <w:tcPr>
            <w:tcW w:w="915" w:type="dxa"/>
            <w:tcBorders>
              <w:top w:val="nil"/>
              <w:left w:val="nil"/>
              <w:bottom w:val="nil"/>
              <w:right w:val="nil"/>
              <w:tl2br w:val="nil"/>
              <w:tr2bl w:val="nil"/>
            </w:tcBorders>
            <w:shd w:val="clear" w:color="auto" w:fill="FFFFFF"/>
            <w:tcMar>
              <w:left w:w="115" w:type="dxa"/>
              <w:right w:w="115" w:type="dxa"/>
            </w:tcMar>
            <w:vAlign w:val="bottom"/>
          </w:tcPr>
          <w:p w14:paraId="0E1A4DF6" w14:textId="77777777" w:rsidR="003F0EEA" w:rsidRPr="00246AE0" w:rsidRDefault="003F0EEA">
            <w:pPr>
              <w:jc w:val="center"/>
              <w:rPr>
                <w:rFonts w:ascii="Arial" w:eastAsia="Arial" w:hAnsi="Arial" w:cs="Arial"/>
                <w:color w:val="000000"/>
                <w:sz w:val="16"/>
                <w:vertAlign w:val="superscript"/>
              </w:rPr>
            </w:pPr>
          </w:p>
        </w:tc>
        <w:tc>
          <w:tcPr>
            <w:tcW w:w="1005" w:type="dxa"/>
            <w:tcBorders>
              <w:top w:val="nil"/>
              <w:left w:val="nil"/>
              <w:bottom w:val="nil"/>
              <w:right w:val="nil"/>
              <w:tl2br w:val="nil"/>
              <w:tr2bl w:val="nil"/>
            </w:tcBorders>
            <w:shd w:val="clear" w:color="auto" w:fill="FFFF00"/>
            <w:tcMar>
              <w:left w:w="115" w:type="dxa"/>
              <w:right w:w="115" w:type="dxa"/>
            </w:tcMar>
            <w:vAlign w:val="bottom"/>
          </w:tcPr>
          <w:p w14:paraId="222D9ADB" w14:textId="77777777" w:rsidR="003F0EEA" w:rsidRPr="00246AE0" w:rsidRDefault="00FB7D0B">
            <w:pPr>
              <w:jc w:val="right"/>
              <w:rPr>
                <w:rFonts w:ascii="Arial" w:eastAsia="Arial" w:hAnsi="Arial" w:cs="Arial"/>
                <w:color w:val="000000"/>
                <w:sz w:val="16"/>
                <w:vertAlign w:val="superscript"/>
              </w:rPr>
            </w:pPr>
            <w:r w:rsidRPr="00246AE0">
              <w:rPr>
                <w:rFonts w:ascii="Arial" w:eastAsia="Arial" w:hAnsi="Arial" w:cs="Arial"/>
                <w:color w:val="000000"/>
                <w:sz w:val="16"/>
              </w:rPr>
              <w:t>132  </w:t>
            </w:r>
          </w:p>
        </w:tc>
        <w:tc>
          <w:tcPr>
            <w:tcW w:w="1005" w:type="dxa"/>
            <w:tcBorders>
              <w:top w:val="nil"/>
              <w:left w:val="nil"/>
              <w:bottom w:val="nil"/>
              <w:right w:val="nil"/>
              <w:tl2br w:val="nil"/>
              <w:tr2bl w:val="nil"/>
            </w:tcBorders>
            <w:shd w:val="clear" w:color="auto" w:fill="FFFFFF"/>
            <w:tcMar>
              <w:left w:w="115" w:type="dxa"/>
              <w:right w:w="115" w:type="dxa"/>
            </w:tcMar>
            <w:vAlign w:val="bottom"/>
          </w:tcPr>
          <w:p w14:paraId="4A9A77C9" w14:textId="77777777" w:rsidR="003F0EEA" w:rsidRPr="00246AE0" w:rsidRDefault="00FB7D0B">
            <w:pPr>
              <w:jc w:val="right"/>
              <w:rPr>
                <w:rFonts w:ascii="Arial" w:eastAsia="Arial" w:hAnsi="Arial" w:cs="Arial"/>
                <w:color w:val="000000"/>
                <w:sz w:val="16"/>
              </w:rPr>
            </w:pPr>
            <w:r w:rsidRPr="00246AE0">
              <w:rPr>
                <w:rFonts w:ascii="Arial" w:eastAsia="Arial" w:hAnsi="Arial" w:cs="Arial"/>
                <w:color w:val="000000"/>
                <w:sz w:val="16"/>
              </w:rPr>
              <w:t>2,185  </w:t>
            </w:r>
          </w:p>
        </w:tc>
        <w:tc>
          <w:tcPr>
            <w:tcW w:w="1005" w:type="dxa"/>
            <w:tcBorders>
              <w:top w:val="nil"/>
              <w:left w:val="nil"/>
              <w:bottom w:val="nil"/>
              <w:right w:val="nil"/>
              <w:tl2br w:val="nil"/>
              <w:tr2bl w:val="nil"/>
            </w:tcBorders>
            <w:shd w:val="clear" w:color="auto" w:fill="FFFF00"/>
            <w:tcMar>
              <w:left w:w="115" w:type="dxa"/>
              <w:right w:w="115" w:type="dxa"/>
            </w:tcMar>
            <w:vAlign w:val="bottom"/>
          </w:tcPr>
          <w:p w14:paraId="22F224A6" w14:textId="77777777" w:rsidR="003F0EEA" w:rsidRPr="00246AE0" w:rsidRDefault="00FB7D0B">
            <w:pPr>
              <w:jc w:val="right"/>
              <w:rPr>
                <w:rFonts w:ascii="Arial" w:eastAsia="Arial" w:hAnsi="Arial" w:cs="Arial"/>
                <w:color w:val="000000"/>
                <w:sz w:val="16"/>
              </w:rPr>
            </w:pPr>
            <w:r w:rsidRPr="00246AE0">
              <w:rPr>
                <w:rFonts w:ascii="Arial" w:eastAsia="Arial" w:hAnsi="Arial" w:cs="Arial"/>
                <w:color w:val="000000"/>
                <w:sz w:val="16"/>
              </w:rPr>
              <w:t>2,445  </w:t>
            </w:r>
          </w:p>
        </w:tc>
        <w:tc>
          <w:tcPr>
            <w:tcW w:w="1005" w:type="dxa"/>
            <w:tcBorders>
              <w:top w:val="nil"/>
              <w:left w:val="nil"/>
              <w:bottom w:val="nil"/>
              <w:right w:val="nil"/>
              <w:tl2br w:val="nil"/>
              <w:tr2bl w:val="nil"/>
            </w:tcBorders>
            <w:shd w:val="clear" w:color="auto" w:fill="FFFFFF"/>
            <w:tcMar>
              <w:left w:w="115" w:type="dxa"/>
              <w:right w:w="115" w:type="dxa"/>
            </w:tcMar>
            <w:vAlign w:val="bottom"/>
          </w:tcPr>
          <w:p w14:paraId="3E74CAD9" w14:textId="77777777" w:rsidR="003F0EEA" w:rsidRPr="00246AE0" w:rsidRDefault="00FB7D0B">
            <w:pPr>
              <w:jc w:val="right"/>
              <w:rPr>
                <w:rFonts w:ascii="Arial" w:eastAsia="Arial" w:hAnsi="Arial" w:cs="Arial"/>
                <w:color w:val="000000"/>
                <w:sz w:val="16"/>
              </w:rPr>
            </w:pPr>
            <w:r w:rsidRPr="00246AE0">
              <w:rPr>
                <w:rFonts w:ascii="Arial" w:eastAsia="Arial" w:hAnsi="Arial" w:cs="Arial"/>
                <w:color w:val="000000"/>
                <w:sz w:val="16"/>
              </w:rPr>
              <w:t>2,691  </w:t>
            </w:r>
          </w:p>
        </w:tc>
        <w:tc>
          <w:tcPr>
            <w:tcW w:w="1005" w:type="dxa"/>
            <w:tcBorders>
              <w:top w:val="nil"/>
              <w:left w:val="nil"/>
              <w:bottom w:val="nil"/>
              <w:right w:val="nil"/>
              <w:tl2br w:val="nil"/>
              <w:tr2bl w:val="nil"/>
            </w:tcBorders>
            <w:shd w:val="clear" w:color="auto" w:fill="FFFF00"/>
            <w:tcMar>
              <w:left w:w="115" w:type="dxa"/>
              <w:right w:w="115" w:type="dxa"/>
            </w:tcMar>
            <w:vAlign w:val="bottom"/>
          </w:tcPr>
          <w:p w14:paraId="2196B8CE" w14:textId="77777777" w:rsidR="003F0EEA" w:rsidRPr="00246AE0" w:rsidRDefault="00FB7D0B">
            <w:pPr>
              <w:jc w:val="right"/>
              <w:rPr>
                <w:rFonts w:ascii="Arial" w:eastAsia="Arial" w:hAnsi="Arial" w:cs="Arial"/>
                <w:color w:val="000000"/>
                <w:sz w:val="16"/>
              </w:rPr>
            </w:pPr>
            <w:r w:rsidRPr="00246AE0">
              <w:rPr>
                <w:rFonts w:ascii="Arial" w:eastAsia="Arial" w:hAnsi="Arial" w:cs="Arial"/>
                <w:color w:val="000000"/>
                <w:sz w:val="16"/>
              </w:rPr>
              <w:t>3,027  </w:t>
            </w:r>
          </w:p>
        </w:tc>
      </w:tr>
      <w:tr w:rsidR="00724034" w14:paraId="026C13BE" w14:textId="77777777">
        <w:trPr>
          <w:trHeight w:val="225"/>
        </w:trPr>
        <w:tc>
          <w:tcPr>
            <w:tcW w:w="180" w:type="dxa"/>
            <w:tcBorders>
              <w:top w:val="nil"/>
              <w:left w:val="nil"/>
              <w:bottom w:val="nil"/>
              <w:right w:val="nil"/>
              <w:tl2br w:val="nil"/>
              <w:tr2bl w:val="nil"/>
            </w:tcBorders>
            <w:shd w:val="clear" w:color="auto" w:fill="FFFFFF"/>
            <w:tcMar>
              <w:left w:w="115" w:type="dxa"/>
              <w:right w:w="115" w:type="dxa"/>
            </w:tcMar>
            <w:vAlign w:val="bottom"/>
          </w:tcPr>
          <w:p w14:paraId="62E36166" w14:textId="77777777" w:rsidR="003F0EEA" w:rsidRPr="00246AE0" w:rsidRDefault="003F0EEA">
            <w:pPr>
              <w:rPr>
                <w:rFonts w:ascii="Arial" w:eastAsia="Arial" w:hAnsi="Arial" w:cs="Arial"/>
                <w:color w:val="000000"/>
                <w:sz w:val="16"/>
              </w:rPr>
            </w:pPr>
          </w:p>
        </w:tc>
        <w:tc>
          <w:tcPr>
            <w:tcW w:w="2280" w:type="dxa"/>
            <w:tcBorders>
              <w:top w:val="nil"/>
              <w:left w:val="nil"/>
              <w:bottom w:val="nil"/>
              <w:right w:val="nil"/>
              <w:tl2br w:val="nil"/>
              <w:tr2bl w:val="nil"/>
            </w:tcBorders>
            <w:shd w:val="clear" w:color="auto" w:fill="FFFFFF"/>
            <w:tcMar>
              <w:left w:w="115" w:type="dxa"/>
              <w:right w:w="115" w:type="dxa"/>
            </w:tcMar>
            <w:vAlign w:val="bottom"/>
          </w:tcPr>
          <w:p w14:paraId="481C79AB" w14:textId="77777777" w:rsidR="003F0EEA" w:rsidRPr="00246AE0" w:rsidRDefault="00FB7D0B">
            <w:pPr>
              <w:rPr>
                <w:rFonts w:ascii="Arial" w:eastAsia="Arial" w:hAnsi="Arial" w:cs="Arial"/>
                <w:color w:val="000000"/>
                <w:sz w:val="16"/>
              </w:rPr>
            </w:pPr>
            <w:r w:rsidRPr="00246AE0">
              <w:rPr>
                <w:rFonts w:ascii="Arial" w:eastAsia="Arial" w:hAnsi="Arial" w:cs="Arial"/>
                <w:color w:val="000000"/>
                <w:sz w:val="16"/>
              </w:rPr>
              <w:t>Departmental expenses</w:t>
            </w:r>
          </w:p>
        </w:tc>
        <w:tc>
          <w:tcPr>
            <w:tcW w:w="915" w:type="dxa"/>
            <w:tcBorders>
              <w:top w:val="nil"/>
              <w:left w:val="nil"/>
              <w:bottom w:val="nil"/>
              <w:right w:val="nil"/>
              <w:tl2br w:val="nil"/>
              <w:tr2bl w:val="nil"/>
            </w:tcBorders>
            <w:shd w:val="clear" w:color="auto" w:fill="FFFFFF"/>
            <w:tcMar>
              <w:left w:w="115" w:type="dxa"/>
              <w:right w:w="115" w:type="dxa"/>
            </w:tcMar>
            <w:vAlign w:val="bottom"/>
          </w:tcPr>
          <w:p w14:paraId="07747961" w14:textId="77777777" w:rsidR="003F0EEA" w:rsidRPr="00246AE0" w:rsidRDefault="003F0EEA">
            <w:pPr>
              <w:jc w:val="center"/>
              <w:rPr>
                <w:rFonts w:ascii="Arial" w:eastAsia="Arial" w:hAnsi="Arial" w:cs="Arial"/>
                <w:color w:val="000000"/>
                <w:sz w:val="16"/>
                <w:vertAlign w:val="superscript"/>
              </w:rPr>
            </w:pPr>
          </w:p>
        </w:tc>
        <w:tc>
          <w:tcPr>
            <w:tcW w:w="1005" w:type="dxa"/>
            <w:tcBorders>
              <w:top w:val="nil"/>
              <w:left w:val="nil"/>
              <w:bottom w:val="nil"/>
              <w:right w:val="nil"/>
              <w:tl2br w:val="nil"/>
              <w:tr2bl w:val="nil"/>
            </w:tcBorders>
            <w:shd w:val="clear" w:color="auto" w:fill="FFFF00"/>
            <w:tcMar>
              <w:left w:w="115" w:type="dxa"/>
              <w:right w:w="115" w:type="dxa"/>
            </w:tcMar>
            <w:vAlign w:val="bottom"/>
          </w:tcPr>
          <w:p w14:paraId="1A613311" w14:textId="77777777" w:rsidR="003F0EEA" w:rsidRPr="00246AE0" w:rsidRDefault="00FB7D0B">
            <w:pPr>
              <w:jc w:val="right"/>
              <w:rPr>
                <w:rFonts w:ascii="Arial" w:eastAsia="Arial" w:hAnsi="Arial" w:cs="Arial"/>
                <w:color w:val="000000"/>
                <w:sz w:val="16"/>
                <w:vertAlign w:val="superscript"/>
              </w:rPr>
            </w:pPr>
            <w:r w:rsidRPr="00246AE0">
              <w:rPr>
                <w:rFonts w:ascii="Arial" w:eastAsia="Arial" w:hAnsi="Arial" w:cs="Arial"/>
                <w:color w:val="000000"/>
                <w:sz w:val="16"/>
              </w:rPr>
              <w:t xml:space="preserve"> - </w:t>
            </w:r>
          </w:p>
        </w:tc>
        <w:tc>
          <w:tcPr>
            <w:tcW w:w="1005" w:type="dxa"/>
            <w:tcBorders>
              <w:top w:val="nil"/>
              <w:left w:val="nil"/>
              <w:bottom w:val="nil"/>
              <w:right w:val="nil"/>
              <w:tl2br w:val="nil"/>
              <w:tr2bl w:val="nil"/>
            </w:tcBorders>
            <w:shd w:val="clear" w:color="auto" w:fill="FFFFFF"/>
            <w:tcMar>
              <w:left w:w="115" w:type="dxa"/>
              <w:right w:w="115" w:type="dxa"/>
            </w:tcMar>
            <w:vAlign w:val="bottom"/>
          </w:tcPr>
          <w:p w14:paraId="1DF0C8D4" w14:textId="77777777" w:rsidR="003F0EEA" w:rsidRPr="00246AE0" w:rsidRDefault="00FB7D0B">
            <w:pPr>
              <w:jc w:val="right"/>
              <w:rPr>
                <w:rFonts w:ascii="Arial" w:eastAsia="Arial" w:hAnsi="Arial" w:cs="Arial"/>
                <w:color w:val="000000"/>
                <w:sz w:val="16"/>
              </w:rPr>
            </w:pPr>
            <w:r w:rsidRPr="00246AE0">
              <w:rPr>
                <w:rFonts w:ascii="Arial" w:eastAsia="Arial" w:hAnsi="Arial" w:cs="Arial"/>
                <w:color w:val="000000"/>
                <w:sz w:val="16"/>
              </w:rPr>
              <w:t xml:space="preserve"> - </w:t>
            </w:r>
          </w:p>
        </w:tc>
        <w:tc>
          <w:tcPr>
            <w:tcW w:w="1005" w:type="dxa"/>
            <w:tcBorders>
              <w:top w:val="nil"/>
              <w:left w:val="nil"/>
              <w:bottom w:val="nil"/>
              <w:right w:val="nil"/>
              <w:tl2br w:val="nil"/>
              <w:tr2bl w:val="nil"/>
            </w:tcBorders>
            <w:shd w:val="clear" w:color="auto" w:fill="FFFF00"/>
            <w:tcMar>
              <w:left w:w="115" w:type="dxa"/>
              <w:right w:w="115" w:type="dxa"/>
            </w:tcMar>
            <w:vAlign w:val="bottom"/>
          </w:tcPr>
          <w:p w14:paraId="39552297" w14:textId="77777777" w:rsidR="003F0EEA" w:rsidRPr="00246AE0" w:rsidRDefault="00FB7D0B">
            <w:pPr>
              <w:jc w:val="right"/>
              <w:rPr>
                <w:rFonts w:ascii="Arial" w:eastAsia="Arial" w:hAnsi="Arial" w:cs="Arial"/>
                <w:color w:val="000000"/>
                <w:sz w:val="16"/>
              </w:rPr>
            </w:pPr>
            <w:r w:rsidRPr="00246AE0">
              <w:rPr>
                <w:rFonts w:ascii="Arial" w:eastAsia="Arial" w:hAnsi="Arial" w:cs="Arial"/>
                <w:color w:val="000000"/>
                <w:sz w:val="16"/>
              </w:rPr>
              <w:t xml:space="preserve"> - </w:t>
            </w:r>
          </w:p>
        </w:tc>
        <w:tc>
          <w:tcPr>
            <w:tcW w:w="1005" w:type="dxa"/>
            <w:tcBorders>
              <w:top w:val="nil"/>
              <w:left w:val="nil"/>
              <w:bottom w:val="nil"/>
              <w:right w:val="nil"/>
              <w:tl2br w:val="nil"/>
              <w:tr2bl w:val="nil"/>
            </w:tcBorders>
            <w:shd w:val="clear" w:color="auto" w:fill="FFFFFF"/>
            <w:tcMar>
              <w:left w:w="115" w:type="dxa"/>
              <w:right w:w="115" w:type="dxa"/>
            </w:tcMar>
            <w:vAlign w:val="bottom"/>
          </w:tcPr>
          <w:p w14:paraId="121CCFD4" w14:textId="77777777" w:rsidR="003F0EEA" w:rsidRPr="00246AE0" w:rsidRDefault="00FB7D0B">
            <w:pPr>
              <w:jc w:val="right"/>
              <w:rPr>
                <w:rFonts w:ascii="Arial" w:eastAsia="Arial" w:hAnsi="Arial" w:cs="Arial"/>
                <w:color w:val="000000"/>
                <w:sz w:val="16"/>
              </w:rPr>
            </w:pPr>
            <w:r w:rsidRPr="00246AE0">
              <w:rPr>
                <w:rFonts w:ascii="Arial" w:eastAsia="Arial" w:hAnsi="Arial" w:cs="Arial"/>
                <w:color w:val="000000"/>
                <w:sz w:val="16"/>
              </w:rPr>
              <w:t xml:space="preserve"> - </w:t>
            </w:r>
          </w:p>
        </w:tc>
        <w:tc>
          <w:tcPr>
            <w:tcW w:w="1005" w:type="dxa"/>
            <w:tcBorders>
              <w:top w:val="nil"/>
              <w:left w:val="nil"/>
              <w:bottom w:val="nil"/>
              <w:right w:val="nil"/>
              <w:tl2br w:val="nil"/>
              <w:tr2bl w:val="nil"/>
            </w:tcBorders>
            <w:shd w:val="clear" w:color="auto" w:fill="FFFF00"/>
            <w:tcMar>
              <w:left w:w="115" w:type="dxa"/>
              <w:right w:w="115" w:type="dxa"/>
            </w:tcMar>
            <w:vAlign w:val="bottom"/>
          </w:tcPr>
          <w:p w14:paraId="765DAABD" w14:textId="77777777" w:rsidR="003F0EEA" w:rsidRPr="00246AE0" w:rsidRDefault="00FB7D0B">
            <w:pPr>
              <w:jc w:val="right"/>
              <w:rPr>
                <w:rFonts w:ascii="Arial" w:eastAsia="Arial" w:hAnsi="Arial" w:cs="Arial"/>
                <w:color w:val="000000"/>
                <w:sz w:val="16"/>
              </w:rPr>
            </w:pPr>
            <w:r w:rsidRPr="00246AE0">
              <w:rPr>
                <w:rFonts w:ascii="Arial" w:eastAsia="Arial" w:hAnsi="Arial" w:cs="Arial"/>
                <w:color w:val="000000"/>
                <w:sz w:val="16"/>
              </w:rPr>
              <w:t xml:space="preserve"> - </w:t>
            </w:r>
          </w:p>
        </w:tc>
      </w:tr>
      <w:tr w:rsidR="00FB7D0B" w14:paraId="505CB655" w14:textId="77777777" w:rsidTr="00FB7D0B">
        <w:trPr>
          <w:trHeight w:val="225"/>
        </w:trPr>
        <w:tc>
          <w:tcPr>
            <w:tcW w:w="2460" w:type="dxa"/>
            <w:gridSpan w:val="2"/>
            <w:tcBorders>
              <w:top w:val="nil"/>
              <w:left w:val="nil"/>
              <w:bottom w:val="nil"/>
              <w:right w:val="nil"/>
              <w:tl2br w:val="nil"/>
              <w:tr2bl w:val="nil"/>
            </w:tcBorders>
            <w:shd w:val="clear" w:color="auto" w:fill="FFFFFF"/>
            <w:tcMar>
              <w:left w:w="115" w:type="dxa"/>
              <w:right w:w="115" w:type="dxa"/>
            </w:tcMar>
            <w:vAlign w:val="bottom"/>
          </w:tcPr>
          <w:p w14:paraId="073E15E7" w14:textId="77777777" w:rsidR="003F0EEA" w:rsidRPr="00246AE0" w:rsidRDefault="00FB7D0B">
            <w:pPr>
              <w:rPr>
                <w:rFonts w:ascii="Arial" w:eastAsia="Arial" w:hAnsi="Arial" w:cs="Arial"/>
                <w:color w:val="000000"/>
                <w:sz w:val="16"/>
              </w:rPr>
            </w:pPr>
            <w:r w:rsidRPr="00246AE0">
              <w:rPr>
                <w:rFonts w:ascii="Arial" w:eastAsia="Arial" w:hAnsi="Arial" w:cs="Arial"/>
                <w:b/>
                <w:color w:val="000000"/>
                <w:sz w:val="16"/>
              </w:rPr>
              <w:t xml:space="preserve">Total </w:t>
            </w:r>
          </w:p>
        </w:tc>
        <w:tc>
          <w:tcPr>
            <w:tcW w:w="915" w:type="dxa"/>
            <w:tcBorders>
              <w:top w:val="nil"/>
              <w:left w:val="nil"/>
              <w:bottom w:val="nil"/>
              <w:right w:val="nil"/>
              <w:tl2br w:val="nil"/>
              <w:tr2bl w:val="nil"/>
            </w:tcBorders>
            <w:shd w:val="clear" w:color="auto" w:fill="FFFFFF"/>
            <w:tcMar>
              <w:left w:w="115" w:type="dxa"/>
              <w:right w:w="115" w:type="dxa"/>
            </w:tcMar>
            <w:vAlign w:val="bottom"/>
          </w:tcPr>
          <w:p w14:paraId="73DAE308" w14:textId="77777777" w:rsidR="003F0EEA" w:rsidRPr="00246AE0" w:rsidRDefault="003F0EEA">
            <w:pPr>
              <w:jc w:val="center"/>
              <w:rPr>
                <w:rFonts w:ascii="Arial" w:eastAsia="Arial" w:hAnsi="Arial" w:cs="Arial"/>
                <w:b/>
                <w:color w:val="000000"/>
                <w:sz w:val="16"/>
                <w:vertAlign w:val="superscript"/>
              </w:rPr>
            </w:pPr>
          </w:p>
        </w:tc>
        <w:tc>
          <w:tcPr>
            <w:tcW w:w="1005" w:type="dxa"/>
            <w:tcBorders>
              <w:top w:val="nil"/>
              <w:left w:val="nil"/>
              <w:bottom w:val="single" w:sz="6" w:space="0" w:color="000000"/>
              <w:right w:val="nil"/>
              <w:tl2br w:val="nil"/>
              <w:tr2bl w:val="nil"/>
            </w:tcBorders>
            <w:shd w:val="clear" w:color="auto" w:fill="FFFF00"/>
            <w:tcMar>
              <w:left w:w="115" w:type="dxa"/>
              <w:right w:w="115" w:type="dxa"/>
            </w:tcMar>
            <w:vAlign w:val="bottom"/>
          </w:tcPr>
          <w:p w14:paraId="2F44AFDF" w14:textId="77777777" w:rsidR="003F0EEA" w:rsidRPr="00246AE0" w:rsidRDefault="00FB7D0B">
            <w:pPr>
              <w:jc w:val="right"/>
              <w:rPr>
                <w:rFonts w:ascii="Arial" w:eastAsia="Arial" w:hAnsi="Arial" w:cs="Arial"/>
                <w:color w:val="000000"/>
                <w:sz w:val="16"/>
                <w:vertAlign w:val="superscript"/>
              </w:rPr>
            </w:pPr>
            <w:r w:rsidRPr="00246AE0">
              <w:rPr>
                <w:rFonts w:ascii="Arial" w:eastAsia="Arial" w:hAnsi="Arial" w:cs="Arial"/>
                <w:b/>
                <w:color w:val="000000"/>
                <w:sz w:val="16"/>
              </w:rPr>
              <w:t>132  </w:t>
            </w:r>
          </w:p>
        </w:tc>
        <w:tc>
          <w:tcPr>
            <w:tcW w:w="1005"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791BC005" w14:textId="77777777" w:rsidR="003F0EEA" w:rsidRPr="00246AE0" w:rsidRDefault="00FB7D0B">
            <w:pPr>
              <w:jc w:val="right"/>
              <w:rPr>
                <w:rFonts w:ascii="Arial" w:eastAsia="Arial" w:hAnsi="Arial" w:cs="Arial"/>
                <w:b/>
                <w:color w:val="000000"/>
                <w:sz w:val="16"/>
              </w:rPr>
            </w:pPr>
            <w:r w:rsidRPr="00246AE0">
              <w:rPr>
                <w:rFonts w:ascii="Arial" w:eastAsia="Arial" w:hAnsi="Arial" w:cs="Arial"/>
                <w:b/>
                <w:color w:val="000000"/>
                <w:sz w:val="16"/>
              </w:rPr>
              <w:t>2,185  </w:t>
            </w:r>
          </w:p>
        </w:tc>
        <w:tc>
          <w:tcPr>
            <w:tcW w:w="1005" w:type="dxa"/>
            <w:tcBorders>
              <w:top w:val="nil"/>
              <w:left w:val="nil"/>
              <w:bottom w:val="single" w:sz="6" w:space="0" w:color="000000"/>
              <w:right w:val="nil"/>
              <w:tl2br w:val="nil"/>
              <w:tr2bl w:val="nil"/>
            </w:tcBorders>
            <w:shd w:val="clear" w:color="auto" w:fill="FFFF00"/>
            <w:tcMar>
              <w:left w:w="115" w:type="dxa"/>
              <w:right w:w="115" w:type="dxa"/>
            </w:tcMar>
            <w:vAlign w:val="bottom"/>
          </w:tcPr>
          <w:p w14:paraId="38A280FE" w14:textId="77777777" w:rsidR="003F0EEA" w:rsidRPr="00246AE0" w:rsidRDefault="00FB7D0B">
            <w:pPr>
              <w:jc w:val="right"/>
              <w:rPr>
                <w:rFonts w:ascii="Arial" w:eastAsia="Arial" w:hAnsi="Arial" w:cs="Arial"/>
                <w:b/>
                <w:color w:val="000000"/>
                <w:sz w:val="16"/>
              </w:rPr>
            </w:pPr>
            <w:r w:rsidRPr="00246AE0">
              <w:rPr>
                <w:rFonts w:ascii="Arial" w:eastAsia="Arial" w:hAnsi="Arial" w:cs="Arial"/>
                <w:b/>
                <w:color w:val="000000"/>
                <w:sz w:val="16"/>
              </w:rPr>
              <w:t>2,445  </w:t>
            </w:r>
          </w:p>
        </w:tc>
        <w:tc>
          <w:tcPr>
            <w:tcW w:w="1005"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4D3B6FCE" w14:textId="77777777" w:rsidR="003F0EEA" w:rsidRPr="00246AE0" w:rsidRDefault="00FB7D0B">
            <w:pPr>
              <w:jc w:val="right"/>
              <w:rPr>
                <w:rFonts w:ascii="Arial" w:eastAsia="Arial" w:hAnsi="Arial" w:cs="Arial"/>
                <w:b/>
                <w:color w:val="000000"/>
                <w:sz w:val="16"/>
              </w:rPr>
            </w:pPr>
            <w:r w:rsidRPr="00246AE0">
              <w:rPr>
                <w:rFonts w:ascii="Arial" w:eastAsia="Arial" w:hAnsi="Arial" w:cs="Arial"/>
                <w:b/>
                <w:color w:val="000000"/>
                <w:sz w:val="16"/>
              </w:rPr>
              <w:t>2,691  </w:t>
            </w:r>
          </w:p>
        </w:tc>
        <w:tc>
          <w:tcPr>
            <w:tcW w:w="1005" w:type="dxa"/>
            <w:tcBorders>
              <w:top w:val="nil"/>
              <w:left w:val="nil"/>
              <w:bottom w:val="single" w:sz="6" w:space="0" w:color="000000"/>
              <w:right w:val="nil"/>
              <w:tl2br w:val="nil"/>
              <w:tr2bl w:val="nil"/>
            </w:tcBorders>
            <w:shd w:val="clear" w:color="auto" w:fill="FFFF00"/>
            <w:tcMar>
              <w:left w:w="115" w:type="dxa"/>
              <w:right w:w="115" w:type="dxa"/>
            </w:tcMar>
            <w:vAlign w:val="bottom"/>
          </w:tcPr>
          <w:p w14:paraId="7C3D2260" w14:textId="77777777" w:rsidR="003F0EEA" w:rsidRPr="00246AE0" w:rsidRDefault="00FB7D0B">
            <w:pPr>
              <w:jc w:val="right"/>
              <w:rPr>
                <w:rFonts w:ascii="Arial" w:eastAsia="Arial" w:hAnsi="Arial" w:cs="Arial"/>
                <w:b/>
                <w:color w:val="000000"/>
                <w:sz w:val="16"/>
              </w:rPr>
            </w:pPr>
            <w:r w:rsidRPr="00246AE0">
              <w:rPr>
                <w:rFonts w:ascii="Arial" w:eastAsia="Arial" w:hAnsi="Arial" w:cs="Arial"/>
                <w:b/>
                <w:color w:val="000000"/>
                <w:sz w:val="16"/>
              </w:rPr>
              <w:t>3,027  </w:t>
            </w:r>
          </w:p>
        </w:tc>
      </w:tr>
      <w:tr w:rsidR="00724034" w14:paraId="5B9D8A73" w14:textId="77777777">
        <w:trPr>
          <w:trHeight w:val="225"/>
        </w:trPr>
        <w:tc>
          <w:tcPr>
            <w:tcW w:w="180" w:type="dxa"/>
            <w:tcBorders>
              <w:top w:val="nil"/>
              <w:left w:val="nil"/>
              <w:bottom w:val="nil"/>
              <w:right w:val="nil"/>
              <w:tl2br w:val="nil"/>
              <w:tr2bl w:val="nil"/>
            </w:tcBorders>
            <w:shd w:val="clear" w:color="auto" w:fill="FFFFFF"/>
            <w:tcMar>
              <w:left w:w="115" w:type="dxa"/>
              <w:right w:w="115" w:type="dxa"/>
            </w:tcMar>
            <w:vAlign w:val="bottom"/>
          </w:tcPr>
          <w:p w14:paraId="0FCBC5A8" w14:textId="77777777" w:rsidR="003F0EEA" w:rsidRPr="00246AE0" w:rsidRDefault="003F0EEA">
            <w:pPr>
              <w:rPr>
                <w:rFonts w:ascii="Arial" w:eastAsia="Arial" w:hAnsi="Arial" w:cs="Arial"/>
                <w:b/>
                <w:color w:val="000000"/>
                <w:sz w:val="16"/>
              </w:rPr>
            </w:pPr>
          </w:p>
        </w:tc>
        <w:tc>
          <w:tcPr>
            <w:tcW w:w="2280" w:type="dxa"/>
            <w:tcBorders>
              <w:top w:val="nil"/>
              <w:left w:val="nil"/>
              <w:bottom w:val="nil"/>
              <w:right w:val="nil"/>
              <w:tl2br w:val="nil"/>
              <w:tr2bl w:val="nil"/>
            </w:tcBorders>
            <w:shd w:val="clear" w:color="auto" w:fill="FFFFFF"/>
            <w:tcMar>
              <w:left w:w="115" w:type="dxa"/>
              <w:right w:w="115" w:type="dxa"/>
            </w:tcMar>
            <w:vAlign w:val="bottom"/>
          </w:tcPr>
          <w:p w14:paraId="176A6B4A" w14:textId="77777777" w:rsidR="003F0EEA" w:rsidRPr="00246AE0" w:rsidRDefault="003F0EEA">
            <w:pPr>
              <w:rPr>
                <w:rFonts w:ascii="Arial" w:eastAsia="Arial" w:hAnsi="Arial" w:cs="Arial"/>
                <w:b/>
                <w:color w:val="000000"/>
                <w:sz w:val="16"/>
              </w:rPr>
            </w:pPr>
          </w:p>
        </w:tc>
        <w:tc>
          <w:tcPr>
            <w:tcW w:w="915" w:type="dxa"/>
            <w:tcBorders>
              <w:top w:val="nil"/>
              <w:left w:val="nil"/>
              <w:bottom w:val="nil"/>
              <w:right w:val="nil"/>
              <w:tl2br w:val="nil"/>
              <w:tr2bl w:val="nil"/>
            </w:tcBorders>
            <w:shd w:val="clear" w:color="auto" w:fill="FFFFFF"/>
            <w:tcMar>
              <w:left w:w="115" w:type="dxa"/>
              <w:right w:w="115" w:type="dxa"/>
            </w:tcMar>
            <w:vAlign w:val="bottom"/>
          </w:tcPr>
          <w:p w14:paraId="68A2C4A1" w14:textId="77777777" w:rsidR="003F0EEA" w:rsidRPr="00246AE0" w:rsidRDefault="003F0EEA">
            <w:pPr>
              <w:jc w:val="center"/>
              <w:rPr>
                <w:rFonts w:ascii="Arial" w:eastAsia="Arial" w:hAnsi="Arial" w:cs="Arial"/>
                <w:b/>
                <w:color w:val="000000"/>
                <w:sz w:val="16"/>
                <w:vertAlign w:val="superscript"/>
              </w:rPr>
            </w:pPr>
          </w:p>
        </w:tc>
        <w:tc>
          <w:tcPr>
            <w:tcW w:w="1005" w:type="dxa"/>
            <w:tcBorders>
              <w:top w:val="single" w:sz="6" w:space="0" w:color="000000"/>
              <w:left w:val="nil"/>
              <w:bottom w:val="nil"/>
              <w:right w:val="nil"/>
              <w:tl2br w:val="nil"/>
              <w:tr2bl w:val="nil"/>
            </w:tcBorders>
            <w:shd w:val="clear" w:color="auto" w:fill="FFFF00"/>
            <w:tcMar>
              <w:left w:w="115" w:type="dxa"/>
              <w:right w:w="115" w:type="dxa"/>
            </w:tcMar>
            <w:vAlign w:val="bottom"/>
          </w:tcPr>
          <w:p w14:paraId="475E5105" w14:textId="77777777" w:rsidR="003F0EEA" w:rsidRPr="00246AE0" w:rsidRDefault="003F0EEA">
            <w:pPr>
              <w:jc w:val="right"/>
              <w:rPr>
                <w:rFonts w:ascii="Arial" w:eastAsia="Arial" w:hAnsi="Arial" w:cs="Arial"/>
                <w:color w:val="000000"/>
                <w:sz w:val="16"/>
                <w:vertAlign w:val="superscript"/>
              </w:rPr>
            </w:pPr>
          </w:p>
        </w:tc>
        <w:tc>
          <w:tcPr>
            <w:tcW w:w="1005"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08570250" w14:textId="77777777" w:rsidR="003F0EEA" w:rsidRPr="00246AE0" w:rsidRDefault="003F0EEA">
            <w:pPr>
              <w:jc w:val="right"/>
              <w:rPr>
                <w:rFonts w:ascii="Arial" w:eastAsia="Arial" w:hAnsi="Arial" w:cs="Arial"/>
                <w:b/>
                <w:color w:val="000000"/>
                <w:sz w:val="16"/>
                <w:vertAlign w:val="superscript"/>
              </w:rPr>
            </w:pPr>
          </w:p>
        </w:tc>
        <w:tc>
          <w:tcPr>
            <w:tcW w:w="1005" w:type="dxa"/>
            <w:tcBorders>
              <w:top w:val="single" w:sz="6" w:space="0" w:color="000000"/>
              <w:left w:val="nil"/>
              <w:bottom w:val="nil"/>
              <w:right w:val="nil"/>
              <w:tl2br w:val="nil"/>
              <w:tr2bl w:val="nil"/>
            </w:tcBorders>
            <w:shd w:val="clear" w:color="auto" w:fill="FFFF00"/>
            <w:tcMar>
              <w:left w:w="115" w:type="dxa"/>
              <w:right w:w="115" w:type="dxa"/>
            </w:tcMar>
            <w:vAlign w:val="bottom"/>
          </w:tcPr>
          <w:p w14:paraId="0D007435" w14:textId="77777777" w:rsidR="003F0EEA" w:rsidRPr="00246AE0" w:rsidRDefault="003F0EEA">
            <w:pPr>
              <w:jc w:val="right"/>
              <w:rPr>
                <w:rFonts w:ascii="Arial" w:eastAsia="Arial" w:hAnsi="Arial" w:cs="Arial"/>
                <w:b/>
                <w:color w:val="000000"/>
                <w:sz w:val="16"/>
                <w:vertAlign w:val="superscript"/>
              </w:rPr>
            </w:pPr>
          </w:p>
        </w:tc>
        <w:tc>
          <w:tcPr>
            <w:tcW w:w="1005"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6576D11F" w14:textId="77777777" w:rsidR="003F0EEA" w:rsidRPr="00246AE0" w:rsidRDefault="003F0EEA">
            <w:pPr>
              <w:jc w:val="right"/>
              <w:rPr>
                <w:rFonts w:ascii="Arial" w:eastAsia="Arial" w:hAnsi="Arial" w:cs="Arial"/>
                <w:b/>
                <w:color w:val="000000"/>
                <w:sz w:val="16"/>
                <w:vertAlign w:val="superscript"/>
              </w:rPr>
            </w:pPr>
          </w:p>
        </w:tc>
        <w:tc>
          <w:tcPr>
            <w:tcW w:w="1005" w:type="dxa"/>
            <w:tcBorders>
              <w:top w:val="single" w:sz="6" w:space="0" w:color="000000"/>
              <w:left w:val="nil"/>
              <w:bottom w:val="nil"/>
              <w:right w:val="nil"/>
              <w:tl2br w:val="nil"/>
              <w:tr2bl w:val="nil"/>
            </w:tcBorders>
            <w:shd w:val="clear" w:color="auto" w:fill="FFFF00"/>
            <w:tcMar>
              <w:left w:w="115" w:type="dxa"/>
              <w:right w:w="115" w:type="dxa"/>
            </w:tcMar>
            <w:vAlign w:val="bottom"/>
          </w:tcPr>
          <w:p w14:paraId="1A417120" w14:textId="77777777" w:rsidR="003F0EEA" w:rsidRPr="00246AE0" w:rsidRDefault="003F0EEA">
            <w:pPr>
              <w:jc w:val="right"/>
              <w:rPr>
                <w:rFonts w:ascii="Arial" w:eastAsia="Arial" w:hAnsi="Arial" w:cs="Arial"/>
                <w:b/>
                <w:color w:val="000000"/>
                <w:sz w:val="16"/>
                <w:vertAlign w:val="superscript"/>
              </w:rPr>
            </w:pPr>
          </w:p>
        </w:tc>
      </w:tr>
      <w:tr w:rsidR="00FB7D0B" w14:paraId="3D66F118" w14:textId="77777777" w:rsidTr="00FB7D0B">
        <w:trPr>
          <w:trHeight w:val="435"/>
        </w:trPr>
        <w:tc>
          <w:tcPr>
            <w:tcW w:w="2460" w:type="dxa"/>
            <w:gridSpan w:val="2"/>
            <w:tcBorders>
              <w:top w:val="nil"/>
              <w:left w:val="nil"/>
              <w:bottom w:val="nil"/>
              <w:right w:val="nil"/>
              <w:tl2br w:val="nil"/>
              <w:tr2bl w:val="nil"/>
            </w:tcBorders>
            <w:shd w:val="clear" w:color="auto" w:fill="FFFFFF"/>
            <w:tcMar>
              <w:left w:w="115" w:type="dxa"/>
              <w:right w:w="115" w:type="dxa"/>
            </w:tcMar>
            <w:vAlign w:val="bottom"/>
          </w:tcPr>
          <w:p w14:paraId="45D555F6" w14:textId="77777777" w:rsidR="003F0EEA" w:rsidRPr="00246AE0" w:rsidRDefault="00FB7D0B">
            <w:pPr>
              <w:rPr>
                <w:rFonts w:ascii="Arial" w:eastAsia="Arial" w:hAnsi="Arial" w:cs="Arial"/>
                <w:b/>
                <w:color w:val="000000"/>
                <w:sz w:val="16"/>
                <w:vertAlign w:val="superscript"/>
              </w:rPr>
            </w:pPr>
            <w:r w:rsidRPr="00246AE0">
              <w:rPr>
                <w:rFonts w:ascii="Arial" w:eastAsia="Arial" w:hAnsi="Arial" w:cs="Arial"/>
                <w:color w:val="000000"/>
                <w:sz w:val="16"/>
              </w:rPr>
              <w:t>Pharmaceutical Benefits Scheme - price amendments</w:t>
            </w:r>
            <w:r w:rsidRPr="00246AE0">
              <w:rPr>
                <w:rFonts w:ascii="Arial" w:eastAsia="Arial" w:hAnsi="Arial" w:cs="Arial"/>
                <w:color w:val="000000"/>
                <w:sz w:val="16"/>
                <w:vertAlign w:val="superscript"/>
              </w:rPr>
              <w:t>2 </w:t>
            </w:r>
          </w:p>
        </w:tc>
        <w:tc>
          <w:tcPr>
            <w:tcW w:w="915" w:type="dxa"/>
            <w:tcBorders>
              <w:top w:val="nil"/>
              <w:left w:val="nil"/>
              <w:bottom w:val="nil"/>
              <w:right w:val="nil"/>
              <w:tl2br w:val="nil"/>
              <w:tr2bl w:val="nil"/>
            </w:tcBorders>
            <w:shd w:val="clear" w:color="auto" w:fill="FFFFFF"/>
            <w:tcMar>
              <w:left w:w="115" w:type="dxa"/>
              <w:right w:w="115" w:type="dxa"/>
            </w:tcMar>
            <w:vAlign w:val="bottom"/>
          </w:tcPr>
          <w:p w14:paraId="244FA5B2" w14:textId="77777777" w:rsidR="003F0EEA" w:rsidRPr="00246AE0" w:rsidRDefault="00FB7D0B">
            <w:pPr>
              <w:jc w:val="center"/>
              <w:rPr>
                <w:rFonts w:ascii="Arial" w:eastAsia="Arial" w:hAnsi="Arial" w:cs="Arial"/>
                <w:color w:val="000000"/>
                <w:sz w:val="16"/>
                <w:vertAlign w:val="superscript"/>
              </w:rPr>
            </w:pPr>
            <w:r w:rsidRPr="00246AE0">
              <w:rPr>
                <w:rFonts w:ascii="Arial" w:eastAsia="Arial" w:hAnsi="Arial" w:cs="Arial"/>
                <w:color w:val="000000"/>
                <w:sz w:val="16"/>
              </w:rPr>
              <w:t>2.3 </w:t>
            </w:r>
          </w:p>
        </w:tc>
        <w:tc>
          <w:tcPr>
            <w:tcW w:w="1005" w:type="dxa"/>
            <w:tcBorders>
              <w:top w:val="nil"/>
              <w:left w:val="nil"/>
              <w:bottom w:val="nil"/>
              <w:right w:val="nil"/>
              <w:tl2br w:val="nil"/>
              <w:tr2bl w:val="nil"/>
            </w:tcBorders>
            <w:shd w:val="clear" w:color="auto" w:fill="FFFF00"/>
            <w:tcMar>
              <w:left w:w="115" w:type="dxa"/>
              <w:right w:w="115" w:type="dxa"/>
            </w:tcMar>
            <w:vAlign w:val="bottom"/>
          </w:tcPr>
          <w:p w14:paraId="1E9463A6" w14:textId="77777777" w:rsidR="003F0EEA" w:rsidRPr="00246AE0" w:rsidRDefault="003F0EEA">
            <w:pPr>
              <w:jc w:val="right"/>
              <w:rPr>
                <w:rFonts w:ascii="Arial" w:eastAsia="Arial" w:hAnsi="Arial" w:cs="Arial"/>
                <w:color w:val="000000"/>
                <w:sz w:val="16"/>
              </w:rPr>
            </w:pPr>
          </w:p>
        </w:tc>
        <w:tc>
          <w:tcPr>
            <w:tcW w:w="1005" w:type="dxa"/>
            <w:tcBorders>
              <w:top w:val="nil"/>
              <w:left w:val="nil"/>
              <w:bottom w:val="nil"/>
              <w:right w:val="nil"/>
              <w:tl2br w:val="nil"/>
              <w:tr2bl w:val="nil"/>
            </w:tcBorders>
            <w:shd w:val="clear" w:color="auto" w:fill="FFFFFF"/>
            <w:tcMar>
              <w:left w:w="115" w:type="dxa"/>
              <w:right w:w="115" w:type="dxa"/>
            </w:tcMar>
            <w:vAlign w:val="bottom"/>
          </w:tcPr>
          <w:p w14:paraId="3DBFA3CF" w14:textId="77777777" w:rsidR="003F0EEA" w:rsidRPr="00246AE0" w:rsidRDefault="003F0EEA">
            <w:pPr>
              <w:jc w:val="right"/>
              <w:rPr>
                <w:rFonts w:ascii="Arial" w:eastAsia="Arial" w:hAnsi="Arial" w:cs="Arial"/>
                <w:color w:val="000000"/>
                <w:sz w:val="16"/>
              </w:rPr>
            </w:pPr>
          </w:p>
        </w:tc>
        <w:tc>
          <w:tcPr>
            <w:tcW w:w="1005" w:type="dxa"/>
            <w:tcBorders>
              <w:top w:val="nil"/>
              <w:left w:val="nil"/>
              <w:bottom w:val="nil"/>
              <w:right w:val="nil"/>
              <w:tl2br w:val="nil"/>
              <w:tr2bl w:val="nil"/>
            </w:tcBorders>
            <w:shd w:val="clear" w:color="auto" w:fill="FFFF00"/>
            <w:tcMar>
              <w:left w:w="115" w:type="dxa"/>
              <w:right w:w="115" w:type="dxa"/>
            </w:tcMar>
            <w:vAlign w:val="bottom"/>
          </w:tcPr>
          <w:p w14:paraId="7BFC0121" w14:textId="77777777" w:rsidR="003F0EEA" w:rsidRPr="00246AE0" w:rsidRDefault="003F0EEA">
            <w:pPr>
              <w:jc w:val="right"/>
              <w:rPr>
                <w:rFonts w:ascii="Arial" w:eastAsia="Arial" w:hAnsi="Arial" w:cs="Arial"/>
                <w:color w:val="000000"/>
                <w:sz w:val="16"/>
              </w:rPr>
            </w:pPr>
          </w:p>
        </w:tc>
        <w:tc>
          <w:tcPr>
            <w:tcW w:w="1005" w:type="dxa"/>
            <w:tcBorders>
              <w:top w:val="nil"/>
              <w:left w:val="nil"/>
              <w:bottom w:val="nil"/>
              <w:right w:val="nil"/>
              <w:tl2br w:val="nil"/>
              <w:tr2bl w:val="nil"/>
            </w:tcBorders>
            <w:shd w:val="clear" w:color="auto" w:fill="FFFFFF"/>
            <w:tcMar>
              <w:left w:w="115" w:type="dxa"/>
              <w:right w:w="115" w:type="dxa"/>
            </w:tcMar>
            <w:vAlign w:val="bottom"/>
          </w:tcPr>
          <w:p w14:paraId="0DC45364" w14:textId="77777777" w:rsidR="003F0EEA" w:rsidRPr="00246AE0" w:rsidRDefault="003F0EEA">
            <w:pPr>
              <w:jc w:val="right"/>
              <w:rPr>
                <w:rFonts w:ascii="Arial" w:eastAsia="Arial" w:hAnsi="Arial" w:cs="Arial"/>
                <w:color w:val="000000"/>
                <w:sz w:val="16"/>
              </w:rPr>
            </w:pPr>
          </w:p>
        </w:tc>
        <w:tc>
          <w:tcPr>
            <w:tcW w:w="1005" w:type="dxa"/>
            <w:tcBorders>
              <w:top w:val="nil"/>
              <w:left w:val="nil"/>
              <w:bottom w:val="nil"/>
              <w:right w:val="nil"/>
              <w:tl2br w:val="nil"/>
              <w:tr2bl w:val="nil"/>
            </w:tcBorders>
            <w:shd w:val="clear" w:color="auto" w:fill="FFFF00"/>
            <w:tcMar>
              <w:left w:w="115" w:type="dxa"/>
              <w:right w:w="115" w:type="dxa"/>
            </w:tcMar>
            <w:vAlign w:val="bottom"/>
          </w:tcPr>
          <w:p w14:paraId="3FBFD54E" w14:textId="77777777" w:rsidR="003F0EEA" w:rsidRPr="00246AE0" w:rsidRDefault="003F0EEA">
            <w:pPr>
              <w:jc w:val="right"/>
              <w:rPr>
                <w:rFonts w:ascii="Arial" w:eastAsia="Arial" w:hAnsi="Arial" w:cs="Arial"/>
                <w:b/>
                <w:color w:val="000000"/>
                <w:sz w:val="16"/>
              </w:rPr>
            </w:pPr>
          </w:p>
        </w:tc>
      </w:tr>
      <w:tr w:rsidR="00724034" w14:paraId="5784FB34" w14:textId="77777777">
        <w:trPr>
          <w:trHeight w:val="225"/>
        </w:trPr>
        <w:tc>
          <w:tcPr>
            <w:tcW w:w="180" w:type="dxa"/>
            <w:tcBorders>
              <w:top w:val="nil"/>
              <w:left w:val="nil"/>
              <w:bottom w:val="nil"/>
              <w:right w:val="nil"/>
              <w:tl2br w:val="nil"/>
              <w:tr2bl w:val="nil"/>
            </w:tcBorders>
            <w:shd w:val="clear" w:color="auto" w:fill="FFFFFF"/>
            <w:tcMar>
              <w:left w:w="115" w:type="dxa"/>
              <w:right w:w="115" w:type="dxa"/>
            </w:tcMar>
            <w:vAlign w:val="bottom"/>
          </w:tcPr>
          <w:p w14:paraId="313C04CE" w14:textId="77777777" w:rsidR="003F0EEA" w:rsidRPr="00246AE0" w:rsidRDefault="003F0EEA">
            <w:pPr>
              <w:rPr>
                <w:rFonts w:ascii="Arial" w:eastAsia="Arial" w:hAnsi="Arial" w:cs="Arial"/>
                <w:color w:val="000000"/>
                <w:sz w:val="16"/>
              </w:rPr>
            </w:pPr>
          </w:p>
        </w:tc>
        <w:tc>
          <w:tcPr>
            <w:tcW w:w="2280" w:type="dxa"/>
            <w:tcBorders>
              <w:top w:val="nil"/>
              <w:left w:val="nil"/>
              <w:bottom w:val="nil"/>
              <w:right w:val="nil"/>
              <w:tl2br w:val="nil"/>
              <w:tr2bl w:val="nil"/>
            </w:tcBorders>
            <w:shd w:val="clear" w:color="auto" w:fill="FFFFFF"/>
            <w:tcMar>
              <w:left w:w="115" w:type="dxa"/>
              <w:right w:w="115" w:type="dxa"/>
            </w:tcMar>
            <w:vAlign w:val="bottom"/>
          </w:tcPr>
          <w:p w14:paraId="66911991" w14:textId="77777777" w:rsidR="003F0EEA" w:rsidRPr="00246AE0" w:rsidRDefault="00FB7D0B">
            <w:pPr>
              <w:rPr>
                <w:rFonts w:ascii="Arial" w:eastAsia="Arial" w:hAnsi="Arial" w:cs="Arial"/>
                <w:color w:val="000000"/>
                <w:sz w:val="16"/>
              </w:rPr>
            </w:pPr>
            <w:r w:rsidRPr="00246AE0">
              <w:rPr>
                <w:rFonts w:ascii="Arial" w:eastAsia="Arial" w:hAnsi="Arial" w:cs="Arial"/>
                <w:color w:val="000000"/>
                <w:sz w:val="16"/>
              </w:rPr>
              <w:t>Administered expenses</w:t>
            </w:r>
          </w:p>
        </w:tc>
        <w:tc>
          <w:tcPr>
            <w:tcW w:w="915" w:type="dxa"/>
            <w:tcBorders>
              <w:top w:val="nil"/>
              <w:left w:val="nil"/>
              <w:bottom w:val="nil"/>
              <w:right w:val="nil"/>
              <w:tl2br w:val="nil"/>
              <w:tr2bl w:val="nil"/>
            </w:tcBorders>
            <w:shd w:val="clear" w:color="auto" w:fill="FFFFFF"/>
            <w:tcMar>
              <w:left w:w="115" w:type="dxa"/>
              <w:right w:w="115" w:type="dxa"/>
            </w:tcMar>
            <w:vAlign w:val="bottom"/>
          </w:tcPr>
          <w:p w14:paraId="678EBB7F" w14:textId="77777777" w:rsidR="003F0EEA" w:rsidRPr="00246AE0" w:rsidRDefault="003F0EEA">
            <w:pPr>
              <w:jc w:val="center"/>
              <w:rPr>
                <w:rFonts w:ascii="Arial" w:eastAsia="Arial" w:hAnsi="Arial" w:cs="Arial"/>
                <w:color w:val="000000"/>
                <w:sz w:val="16"/>
                <w:vertAlign w:val="superscript"/>
              </w:rPr>
            </w:pPr>
          </w:p>
        </w:tc>
        <w:tc>
          <w:tcPr>
            <w:tcW w:w="1005" w:type="dxa"/>
            <w:tcBorders>
              <w:top w:val="nil"/>
              <w:left w:val="nil"/>
              <w:bottom w:val="nil"/>
              <w:right w:val="nil"/>
              <w:tl2br w:val="nil"/>
              <w:tr2bl w:val="nil"/>
            </w:tcBorders>
            <w:shd w:val="clear" w:color="auto" w:fill="FFFF00"/>
            <w:tcMar>
              <w:left w:w="115" w:type="dxa"/>
              <w:right w:w="115" w:type="dxa"/>
            </w:tcMar>
            <w:vAlign w:val="bottom"/>
          </w:tcPr>
          <w:p w14:paraId="69BBDF96" w14:textId="77777777" w:rsidR="003F0EEA" w:rsidRPr="00246AE0" w:rsidRDefault="00FB7D0B">
            <w:pPr>
              <w:jc w:val="right"/>
              <w:rPr>
                <w:rFonts w:ascii="Arial" w:eastAsia="Arial" w:hAnsi="Arial" w:cs="Arial"/>
                <w:color w:val="000000"/>
                <w:sz w:val="16"/>
                <w:vertAlign w:val="superscript"/>
              </w:rPr>
            </w:pPr>
            <w:r w:rsidRPr="00246AE0">
              <w:rPr>
                <w:rFonts w:ascii="Arial" w:eastAsia="Arial" w:hAnsi="Arial" w:cs="Arial"/>
                <w:color w:val="000000"/>
                <w:sz w:val="16"/>
              </w:rPr>
              <w:t>14  </w:t>
            </w:r>
          </w:p>
        </w:tc>
        <w:tc>
          <w:tcPr>
            <w:tcW w:w="1005" w:type="dxa"/>
            <w:tcBorders>
              <w:top w:val="nil"/>
              <w:left w:val="nil"/>
              <w:bottom w:val="nil"/>
              <w:right w:val="nil"/>
              <w:tl2br w:val="nil"/>
              <w:tr2bl w:val="nil"/>
            </w:tcBorders>
            <w:shd w:val="clear" w:color="auto" w:fill="FFFFFF"/>
            <w:tcMar>
              <w:left w:w="115" w:type="dxa"/>
              <w:right w:w="115" w:type="dxa"/>
            </w:tcMar>
            <w:vAlign w:val="bottom"/>
          </w:tcPr>
          <w:p w14:paraId="677D5F46" w14:textId="77777777" w:rsidR="003F0EEA" w:rsidRPr="00246AE0" w:rsidRDefault="00FB7D0B">
            <w:pPr>
              <w:jc w:val="right"/>
              <w:rPr>
                <w:rFonts w:ascii="Arial" w:eastAsia="Arial" w:hAnsi="Arial" w:cs="Arial"/>
                <w:color w:val="000000"/>
                <w:sz w:val="16"/>
              </w:rPr>
            </w:pPr>
            <w:r w:rsidRPr="00246AE0">
              <w:rPr>
                <w:rFonts w:ascii="Arial" w:eastAsia="Arial" w:hAnsi="Arial" w:cs="Arial"/>
                <w:color w:val="000000"/>
                <w:sz w:val="16"/>
              </w:rPr>
              <w:t>52  </w:t>
            </w:r>
          </w:p>
        </w:tc>
        <w:tc>
          <w:tcPr>
            <w:tcW w:w="1005" w:type="dxa"/>
            <w:tcBorders>
              <w:top w:val="nil"/>
              <w:left w:val="nil"/>
              <w:bottom w:val="nil"/>
              <w:right w:val="nil"/>
              <w:tl2br w:val="nil"/>
              <w:tr2bl w:val="nil"/>
            </w:tcBorders>
            <w:shd w:val="clear" w:color="auto" w:fill="FFFF00"/>
            <w:tcMar>
              <w:left w:w="115" w:type="dxa"/>
              <w:right w:w="115" w:type="dxa"/>
            </w:tcMar>
            <w:vAlign w:val="bottom"/>
          </w:tcPr>
          <w:p w14:paraId="4FBCDBD7" w14:textId="77777777" w:rsidR="003F0EEA" w:rsidRPr="00246AE0" w:rsidRDefault="00FB7D0B">
            <w:pPr>
              <w:jc w:val="right"/>
              <w:rPr>
                <w:rFonts w:ascii="Arial" w:eastAsia="Arial" w:hAnsi="Arial" w:cs="Arial"/>
                <w:color w:val="000000"/>
                <w:sz w:val="16"/>
              </w:rPr>
            </w:pPr>
            <w:r w:rsidRPr="00246AE0">
              <w:rPr>
                <w:rFonts w:ascii="Arial" w:eastAsia="Arial" w:hAnsi="Arial" w:cs="Arial"/>
                <w:color w:val="000000"/>
                <w:sz w:val="16"/>
              </w:rPr>
              <w:t>42  </w:t>
            </w:r>
          </w:p>
        </w:tc>
        <w:tc>
          <w:tcPr>
            <w:tcW w:w="1005" w:type="dxa"/>
            <w:tcBorders>
              <w:top w:val="nil"/>
              <w:left w:val="nil"/>
              <w:bottom w:val="nil"/>
              <w:right w:val="nil"/>
              <w:tl2br w:val="nil"/>
              <w:tr2bl w:val="nil"/>
            </w:tcBorders>
            <w:shd w:val="clear" w:color="auto" w:fill="FFFFFF"/>
            <w:tcMar>
              <w:left w:w="115" w:type="dxa"/>
              <w:right w:w="115" w:type="dxa"/>
            </w:tcMar>
            <w:vAlign w:val="bottom"/>
          </w:tcPr>
          <w:p w14:paraId="1B4AB806" w14:textId="77777777" w:rsidR="003F0EEA" w:rsidRPr="00246AE0" w:rsidRDefault="00FB7D0B">
            <w:pPr>
              <w:jc w:val="right"/>
              <w:rPr>
                <w:rFonts w:ascii="Arial" w:eastAsia="Arial" w:hAnsi="Arial" w:cs="Arial"/>
                <w:color w:val="000000"/>
                <w:sz w:val="16"/>
              </w:rPr>
            </w:pPr>
            <w:r w:rsidRPr="00246AE0">
              <w:rPr>
                <w:rFonts w:ascii="Arial" w:eastAsia="Arial" w:hAnsi="Arial" w:cs="Arial"/>
                <w:color w:val="000000"/>
                <w:sz w:val="16"/>
              </w:rPr>
              <w:t>42  </w:t>
            </w:r>
          </w:p>
        </w:tc>
        <w:tc>
          <w:tcPr>
            <w:tcW w:w="1005" w:type="dxa"/>
            <w:tcBorders>
              <w:top w:val="nil"/>
              <w:left w:val="nil"/>
              <w:bottom w:val="nil"/>
              <w:right w:val="nil"/>
              <w:tl2br w:val="nil"/>
              <w:tr2bl w:val="nil"/>
            </w:tcBorders>
            <w:shd w:val="clear" w:color="auto" w:fill="FFFF00"/>
            <w:tcMar>
              <w:left w:w="115" w:type="dxa"/>
              <w:right w:w="115" w:type="dxa"/>
            </w:tcMar>
            <w:vAlign w:val="bottom"/>
          </w:tcPr>
          <w:p w14:paraId="1C828DC2" w14:textId="77777777" w:rsidR="003F0EEA" w:rsidRPr="00246AE0" w:rsidRDefault="00FB7D0B">
            <w:pPr>
              <w:jc w:val="right"/>
              <w:rPr>
                <w:rFonts w:ascii="Arial" w:eastAsia="Arial" w:hAnsi="Arial" w:cs="Arial"/>
                <w:color w:val="000000"/>
                <w:sz w:val="16"/>
              </w:rPr>
            </w:pPr>
            <w:r w:rsidRPr="00246AE0">
              <w:rPr>
                <w:rFonts w:ascii="Arial" w:eastAsia="Arial" w:hAnsi="Arial" w:cs="Arial"/>
                <w:color w:val="000000"/>
                <w:sz w:val="16"/>
              </w:rPr>
              <w:t>42  </w:t>
            </w:r>
          </w:p>
        </w:tc>
      </w:tr>
      <w:tr w:rsidR="00724034" w14:paraId="5FFDC21F" w14:textId="77777777">
        <w:trPr>
          <w:trHeight w:val="225"/>
        </w:trPr>
        <w:tc>
          <w:tcPr>
            <w:tcW w:w="180" w:type="dxa"/>
            <w:tcBorders>
              <w:top w:val="nil"/>
              <w:left w:val="nil"/>
              <w:bottom w:val="nil"/>
              <w:right w:val="nil"/>
              <w:tl2br w:val="nil"/>
              <w:tr2bl w:val="nil"/>
            </w:tcBorders>
            <w:shd w:val="clear" w:color="auto" w:fill="FFFFFF"/>
            <w:tcMar>
              <w:left w:w="115" w:type="dxa"/>
              <w:right w:w="115" w:type="dxa"/>
            </w:tcMar>
            <w:vAlign w:val="bottom"/>
          </w:tcPr>
          <w:p w14:paraId="23A5EEC8" w14:textId="77777777" w:rsidR="003F0EEA" w:rsidRPr="00246AE0" w:rsidRDefault="003F0EEA">
            <w:pPr>
              <w:rPr>
                <w:rFonts w:ascii="Arial" w:eastAsia="Arial" w:hAnsi="Arial" w:cs="Arial"/>
                <w:color w:val="000000"/>
                <w:sz w:val="16"/>
              </w:rPr>
            </w:pPr>
          </w:p>
        </w:tc>
        <w:tc>
          <w:tcPr>
            <w:tcW w:w="2280" w:type="dxa"/>
            <w:tcBorders>
              <w:top w:val="nil"/>
              <w:left w:val="nil"/>
              <w:bottom w:val="nil"/>
              <w:right w:val="nil"/>
              <w:tl2br w:val="nil"/>
              <w:tr2bl w:val="nil"/>
            </w:tcBorders>
            <w:shd w:val="clear" w:color="auto" w:fill="FFFFFF"/>
            <w:tcMar>
              <w:left w:w="115" w:type="dxa"/>
              <w:right w:w="115" w:type="dxa"/>
            </w:tcMar>
            <w:vAlign w:val="bottom"/>
          </w:tcPr>
          <w:p w14:paraId="2FC62FEC" w14:textId="77777777" w:rsidR="003F0EEA" w:rsidRPr="00246AE0" w:rsidRDefault="00FB7D0B">
            <w:pPr>
              <w:rPr>
                <w:rFonts w:ascii="Arial" w:eastAsia="Arial" w:hAnsi="Arial" w:cs="Arial"/>
                <w:color w:val="000000"/>
                <w:sz w:val="16"/>
              </w:rPr>
            </w:pPr>
            <w:r w:rsidRPr="00246AE0">
              <w:rPr>
                <w:rFonts w:ascii="Arial" w:eastAsia="Arial" w:hAnsi="Arial" w:cs="Arial"/>
                <w:color w:val="000000"/>
                <w:sz w:val="16"/>
              </w:rPr>
              <w:t>Departmental expenses</w:t>
            </w:r>
          </w:p>
        </w:tc>
        <w:tc>
          <w:tcPr>
            <w:tcW w:w="915" w:type="dxa"/>
            <w:tcBorders>
              <w:top w:val="nil"/>
              <w:left w:val="nil"/>
              <w:bottom w:val="nil"/>
              <w:right w:val="nil"/>
              <w:tl2br w:val="nil"/>
              <w:tr2bl w:val="nil"/>
            </w:tcBorders>
            <w:shd w:val="clear" w:color="auto" w:fill="FFFFFF"/>
            <w:tcMar>
              <w:left w:w="115" w:type="dxa"/>
              <w:right w:w="115" w:type="dxa"/>
            </w:tcMar>
            <w:vAlign w:val="bottom"/>
          </w:tcPr>
          <w:p w14:paraId="61292C3A" w14:textId="77777777" w:rsidR="003F0EEA" w:rsidRPr="00246AE0" w:rsidRDefault="003F0EEA">
            <w:pPr>
              <w:jc w:val="center"/>
              <w:rPr>
                <w:rFonts w:ascii="Arial" w:eastAsia="Arial" w:hAnsi="Arial" w:cs="Arial"/>
                <w:color w:val="000000"/>
                <w:sz w:val="16"/>
                <w:vertAlign w:val="superscript"/>
              </w:rPr>
            </w:pPr>
          </w:p>
        </w:tc>
        <w:tc>
          <w:tcPr>
            <w:tcW w:w="1005" w:type="dxa"/>
            <w:tcBorders>
              <w:top w:val="nil"/>
              <w:left w:val="nil"/>
              <w:bottom w:val="nil"/>
              <w:right w:val="nil"/>
              <w:tl2br w:val="nil"/>
              <w:tr2bl w:val="nil"/>
            </w:tcBorders>
            <w:shd w:val="clear" w:color="auto" w:fill="FFFF00"/>
            <w:tcMar>
              <w:left w:w="115" w:type="dxa"/>
              <w:right w:w="115" w:type="dxa"/>
            </w:tcMar>
            <w:vAlign w:val="bottom"/>
          </w:tcPr>
          <w:p w14:paraId="03928F75" w14:textId="77777777" w:rsidR="003F0EEA" w:rsidRPr="00246AE0" w:rsidRDefault="00FB7D0B">
            <w:pPr>
              <w:jc w:val="right"/>
              <w:rPr>
                <w:rFonts w:ascii="Arial" w:eastAsia="Arial" w:hAnsi="Arial" w:cs="Arial"/>
                <w:color w:val="000000"/>
                <w:sz w:val="16"/>
                <w:vertAlign w:val="superscript"/>
              </w:rPr>
            </w:pPr>
            <w:r w:rsidRPr="00246AE0">
              <w:rPr>
                <w:rFonts w:ascii="Arial" w:eastAsia="Arial" w:hAnsi="Arial" w:cs="Arial"/>
                <w:color w:val="000000"/>
                <w:sz w:val="16"/>
              </w:rPr>
              <w:t xml:space="preserve"> - </w:t>
            </w:r>
          </w:p>
        </w:tc>
        <w:tc>
          <w:tcPr>
            <w:tcW w:w="1005" w:type="dxa"/>
            <w:tcBorders>
              <w:top w:val="nil"/>
              <w:left w:val="nil"/>
              <w:bottom w:val="nil"/>
              <w:right w:val="nil"/>
              <w:tl2br w:val="nil"/>
              <w:tr2bl w:val="nil"/>
            </w:tcBorders>
            <w:shd w:val="clear" w:color="auto" w:fill="FFFFFF"/>
            <w:tcMar>
              <w:left w:w="115" w:type="dxa"/>
              <w:right w:w="115" w:type="dxa"/>
            </w:tcMar>
            <w:vAlign w:val="bottom"/>
          </w:tcPr>
          <w:p w14:paraId="28961B93" w14:textId="77777777" w:rsidR="003F0EEA" w:rsidRPr="00246AE0" w:rsidRDefault="00FB7D0B">
            <w:pPr>
              <w:jc w:val="right"/>
              <w:rPr>
                <w:rFonts w:ascii="Arial" w:eastAsia="Arial" w:hAnsi="Arial" w:cs="Arial"/>
                <w:color w:val="000000"/>
                <w:sz w:val="16"/>
              </w:rPr>
            </w:pPr>
            <w:r w:rsidRPr="00246AE0">
              <w:rPr>
                <w:rFonts w:ascii="Arial" w:eastAsia="Arial" w:hAnsi="Arial" w:cs="Arial"/>
                <w:color w:val="000000"/>
                <w:sz w:val="16"/>
              </w:rPr>
              <w:t xml:space="preserve"> - </w:t>
            </w:r>
          </w:p>
        </w:tc>
        <w:tc>
          <w:tcPr>
            <w:tcW w:w="1005" w:type="dxa"/>
            <w:tcBorders>
              <w:top w:val="nil"/>
              <w:left w:val="nil"/>
              <w:bottom w:val="nil"/>
              <w:right w:val="nil"/>
              <w:tl2br w:val="nil"/>
              <w:tr2bl w:val="nil"/>
            </w:tcBorders>
            <w:shd w:val="clear" w:color="auto" w:fill="FFFF00"/>
            <w:tcMar>
              <w:left w:w="115" w:type="dxa"/>
              <w:right w:w="115" w:type="dxa"/>
            </w:tcMar>
            <w:vAlign w:val="bottom"/>
          </w:tcPr>
          <w:p w14:paraId="21ACA65A" w14:textId="77777777" w:rsidR="003F0EEA" w:rsidRPr="00246AE0" w:rsidRDefault="00FB7D0B">
            <w:pPr>
              <w:jc w:val="right"/>
              <w:rPr>
                <w:rFonts w:ascii="Arial" w:eastAsia="Arial" w:hAnsi="Arial" w:cs="Arial"/>
                <w:color w:val="000000"/>
                <w:sz w:val="16"/>
              </w:rPr>
            </w:pPr>
            <w:r w:rsidRPr="00246AE0">
              <w:rPr>
                <w:rFonts w:ascii="Arial" w:eastAsia="Arial" w:hAnsi="Arial" w:cs="Arial"/>
                <w:color w:val="000000"/>
                <w:sz w:val="16"/>
              </w:rPr>
              <w:t xml:space="preserve"> - </w:t>
            </w:r>
          </w:p>
        </w:tc>
        <w:tc>
          <w:tcPr>
            <w:tcW w:w="1005" w:type="dxa"/>
            <w:tcBorders>
              <w:top w:val="nil"/>
              <w:left w:val="nil"/>
              <w:bottom w:val="nil"/>
              <w:right w:val="nil"/>
              <w:tl2br w:val="nil"/>
              <w:tr2bl w:val="nil"/>
            </w:tcBorders>
            <w:shd w:val="clear" w:color="auto" w:fill="FFFFFF"/>
            <w:tcMar>
              <w:left w:w="115" w:type="dxa"/>
              <w:right w:w="115" w:type="dxa"/>
            </w:tcMar>
            <w:vAlign w:val="bottom"/>
          </w:tcPr>
          <w:p w14:paraId="77769D43" w14:textId="77777777" w:rsidR="003F0EEA" w:rsidRPr="00246AE0" w:rsidRDefault="00FB7D0B">
            <w:pPr>
              <w:jc w:val="right"/>
              <w:rPr>
                <w:rFonts w:ascii="Arial" w:eastAsia="Arial" w:hAnsi="Arial" w:cs="Arial"/>
                <w:color w:val="000000"/>
                <w:sz w:val="16"/>
              </w:rPr>
            </w:pPr>
            <w:r w:rsidRPr="00246AE0">
              <w:rPr>
                <w:rFonts w:ascii="Arial" w:eastAsia="Arial" w:hAnsi="Arial" w:cs="Arial"/>
                <w:color w:val="000000"/>
                <w:sz w:val="16"/>
              </w:rPr>
              <w:t xml:space="preserve"> - </w:t>
            </w:r>
          </w:p>
        </w:tc>
        <w:tc>
          <w:tcPr>
            <w:tcW w:w="1005" w:type="dxa"/>
            <w:tcBorders>
              <w:top w:val="nil"/>
              <w:left w:val="nil"/>
              <w:bottom w:val="nil"/>
              <w:right w:val="nil"/>
              <w:tl2br w:val="nil"/>
              <w:tr2bl w:val="nil"/>
            </w:tcBorders>
            <w:shd w:val="clear" w:color="auto" w:fill="FFFF00"/>
            <w:tcMar>
              <w:left w:w="115" w:type="dxa"/>
              <w:right w:w="115" w:type="dxa"/>
            </w:tcMar>
            <w:vAlign w:val="bottom"/>
          </w:tcPr>
          <w:p w14:paraId="1C7C19FD" w14:textId="77777777" w:rsidR="003F0EEA" w:rsidRPr="00246AE0" w:rsidRDefault="00FB7D0B">
            <w:pPr>
              <w:jc w:val="right"/>
              <w:rPr>
                <w:rFonts w:ascii="Arial" w:eastAsia="Arial" w:hAnsi="Arial" w:cs="Arial"/>
                <w:color w:val="000000"/>
                <w:sz w:val="16"/>
              </w:rPr>
            </w:pPr>
            <w:r w:rsidRPr="00246AE0">
              <w:rPr>
                <w:rFonts w:ascii="Arial" w:eastAsia="Arial" w:hAnsi="Arial" w:cs="Arial"/>
                <w:color w:val="000000"/>
                <w:sz w:val="16"/>
              </w:rPr>
              <w:t xml:space="preserve"> - </w:t>
            </w:r>
          </w:p>
        </w:tc>
      </w:tr>
      <w:tr w:rsidR="00FB7D0B" w14:paraId="65FCACF7" w14:textId="77777777" w:rsidTr="00FB7D0B">
        <w:trPr>
          <w:trHeight w:val="225"/>
        </w:trPr>
        <w:tc>
          <w:tcPr>
            <w:tcW w:w="2460" w:type="dxa"/>
            <w:gridSpan w:val="2"/>
            <w:tcBorders>
              <w:top w:val="nil"/>
              <w:left w:val="nil"/>
              <w:bottom w:val="nil"/>
              <w:right w:val="nil"/>
              <w:tl2br w:val="nil"/>
              <w:tr2bl w:val="nil"/>
            </w:tcBorders>
            <w:shd w:val="clear" w:color="auto" w:fill="FFFFFF"/>
            <w:tcMar>
              <w:left w:w="115" w:type="dxa"/>
              <w:right w:w="115" w:type="dxa"/>
            </w:tcMar>
            <w:vAlign w:val="bottom"/>
          </w:tcPr>
          <w:p w14:paraId="250CF67B" w14:textId="77777777" w:rsidR="003F0EEA" w:rsidRPr="00246AE0" w:rsidRDefault="00FB7D0B">
            <w:pPr>
              <w:rPr>
                <w:rFonts w:ascii="Arial" w:eastAsia="Arial" w:hAnsi="Arial" w:cs="Arial"/>
                <w:color w:val="000000"/>
                <w:sz w:val="16"/>
              </w:rPr>
            </w:pPr>
            <w:r w:rsidRPr="00246AE0">
              <w:rPr>
                <w:rFonts w:ascii="Arial" w:eastAsia="Arial" w:hAnsi="Arial" w:cs="Arial"/>
                <w:b/>
                <w:color w:val="000000"/>
                <w:sz w:val="16"/>
              </w:rPr>
              <w:t xml:space="preserve">Total </w:t>
            </w:r>
          </w:p>
        </w:tc>
        <w:tc>
          <w:tcPr>
            <w:tcW w:w="915" w:type="dxa"/>
            <w:tcBorders>
              <w:top w:val="nil"/>
              <w:left w:val="nil"/>
              <w:bottom w:val="nil"/>
              <w:right w:val="nil"/>
              <w:tl2br w:val="nil"/>
              <w:tr2bl w:val="nil"/>
            </w:tcBorders>
            <w:shd w:val="clear" w:color="auto" w:fill="FFFFFF"/>
            <w:tcMar>
              <w:left w:w="115" w:type="dxa"/>
              <w:right w:w="115" w:type="dxa"/>
            </w:tcMar>
            <w:vAlign w:val="bottom"/>
          </w:tcPr>
          <w:p w14:paraId="7D5890A4" w14:textId="77777777" w:rsidR="003F0EEA" w:rsidRPr="00246AE0" w:rsidRDefault="003F0EEA">
            <w:pPr>
              <w:jc w:val="center"/>
              <w:rPr>
                <w:rFonts w:ascii="Arial" w:eastAsia="Arial" w:hAnsi="Arial" w:cs="Arial"/>
                <w:b/>
                <w:color w:val="000000"/>
                <w:sz w:val="16"/>
                <w:vertAlign w:val="superscript"/>
              </w:rPr>
            </w:pPr>
          </w:p>
        </w:tc>
        <w:tc>
          <w:tcPr>
            <w:tcW w:w="1005" w:type="dxa"/>
            <w:tcBorders>
              <w:top w:val="nil"/>
              <w:left w:val="nil"/>
              <w:bottom w:val="single" w:sz="6" w:space="0" w:color="000000"/>
              <w:right w:val="nil"/>
              <w:tl2br w:val="nil"/>
              <w:tr2bl w:val="nil"/>
            </w:tcBorders>
            <w:shd w:val="clear" w:color="auto" w:fill="FFFF00"/>
            <w:tcMar>
              <w:left w:w="115" w:type="dxa"/>
              <w:right w:w="115" w:type="dxa"/>
            </w:tcMar>
            <w:vAlign w:val="bottom"/>
          </w:tcPr>
          <w:p w14:paraId="49B1DA1D" w14:textId="77777777" w:rsidR="003F0EEA" w:rsidRPr="00246AE0" w:rsidRDefault="00FB7D0B">
            <w:pPr>
              <w:jc w:val="right"/>
              <w:rPr>
                <w:rFonts w:ascii="Arial" w:eastAsia="Arial" w:hAnsi="Arial" w:cs="Arial"/>
                <w:color w:val="000000"/>
                <w:sz w:val="16"/>
                <w:vertAlign w:val="superscript"/>
              </w:rPr>
            </w:pPr>
            <w:r w:rsidRPr="00246AE0">
              <w:rPr>
                <w:rFonts w:ascii="Arial" w:eastAsia="Arial" w:hAnsi="Arial" w:cs="Arial"/>
                <w:b/>
                <w:color w:val="000000"/>
                <w:sz w:val="16"/>
              </w:rPr>
              <w:t>14  </w:t>
            </w:r>
          </w:p>
        </w:tc>
        <w:tc>
          <w:tcPr>
            <w:tcW w:w="1005"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47097229" w14:textId="77777777" w:rsidR="003F0EEA" w:rsidRPr="00246AE0" w:rsidRDefault="00FB7D0B">
            <w:pPr>
              <w:jc w:val="right"/>
              <w:rPr>
                <w:rFonts w:ascii="Arial" w:eastAsia="Arial" w:hAnsi="Arial" w:cs="Arial"/>
                <w:b/>
                <w:color w:val="000000"/>
                <w:sz w:val="16"/>
              </w:rPr>
            </w:pPr>
            <w:r w:rsidRPr="00246AE0">
              <w:rPr>
                <w:rFonts w:ascii="Arial" w:eastAsia="Arial" w:hAnsi="Arial" w:cs="Arial"/>
                <w:b/>
                <w:color w:val="000000"/>
                <w:sz w:val="16"/>
              </w:rPr>
              <w:t>52  </w:t>
            </w:r>
          </w:p>
        </w:tc>
        <w:tc>
          <w:tcPr>
            <w:tcW w:w="1005" w:type="dxa"/>
            <w:tcBorders>
              <w:top w:val="nil"/>
              <w:left w:val="nil"/>
              <w:bottom w:val="single" w:sz="6" w:space="0" w:color="000000"/>
              <w:right w:val="nil"/>
              <w:tl2br w:val="nil"/>
              <w:tr2bl w:val="nil"/>
            </w:tcBorders>
            <w:shd w:val="clear" w:color="auto" w:fill="FFFF00"/>
            <w:tcMar>
              <w:left w:w="115" w:type="dxa"/>
              <w:right w:w="115" w:type="dxa"/>
            </w:tcMar>
            <w:vAlign w:val="bottom"/>
          </w:tcPr>
          <w:p w14:paraId="506D70C0" w14:textId="77777777" w:rsidR="003F0EEA" w:rsidRPr="00246AE0" w:rsidRDefault="00FB7D0B">
            <w:pPr>
              <w:jc w:val="right"/>
              <w:rPr>
                <w:rFonts w:ascii="Arial" w:eastAsia="Arial" w:hAnsi="Arial" w:cs="Arial"/>
                <w:b/>
                <w:color w:val="000000"/>
                <w:sz w:val="16"/>
              </w:rPr>
            </w:pPr>
            <w:r w:rsidRPr="00246AE0">
              <w:rPr>
                <w:rFonts w:ascii="Arial" w:eastAsia="Arial" w:hAnsi="Arial" w:cs="Arial"/>
                <w:b/>
                <w:color w:val="000000"/>
                <w:sz w:val="16"/>
              </w:rPr>
              <w:t>42  </w:t>
            </w:r>
          </w:p>
        </w:tc>
        <w:tc>
          <w:tcPr>
            <w:tcW w:w="1005"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118B5822" w14:textId="77777777" w:rsidR="003F0EEA" w:rsidRPr="00246AE0" w:rsidRDefault="00FB7D0B">
            <w:pPr>
              <w:jc w:val="right"/>
              <w:rPr>
                <w:rFonts w:ascii="Arial" w:eastAsia="Arial" w:hAnsi="Arial" w:cs="Arial"/>
                <w:b/>
                <w:color w:val="000000"/>
                <w:sz w:val="16"/>
              </w:rPr>
            </w:pPr>
            <w:r w:rsidRPr="00246AE0">
              <w:rPr>
                <w:rFonts w:ascii="Arial" w:eastAsia="Arial" w:hAnsi="Arial" w:cs="Arial"/>
                <w:b/>
                <w:color w:val="000000"/>
                <w:sz w:val="16"/>
              </w:rPr>
              <w:t>42  </w:t>
            </w:r>
          </w:p>
        </w:tc>
        <w:tc>
          <w:tcPr>
            <w:tcW w:w="1005" w:type="dxa"/>
            <w:tcBorders>
              <w:top w:val="nil"/>
              <w:left w:val="nil"/>
              <w:bottom w:val="single" w:sz="6" w:space="0" w:color="000000"/>
              <w:right w:val="nil"/>
              <w:tl2br w:val="nil"/>
              <w:tr2bl w:val="nil"/>
            </w:tcBorders>
            <w:shd w:val="clear" w:color="auto" w:fill="FFFF00"/>
            <w:tcMar>
              <w:left w:w="115" w:type="dxa"/>
              <w:right w:w="115" w:type="dxa"/>
            </w:tcMar>
            <w:vAlign w:val="bottom"/>
          </w:tcPr>
          <w:p w14:paraId="29C0D6C9" w14:textId="77777777" w:rsidR="003F0EEA" w:rsidRPr="00246AE0" w:rsidRDefault="00FB7D0B">
            <w:pPr>
              <w:jc w:val="right"/>
              <w:rPr>
                <w:rFonts w:ascii="Arial" w:eastAsia="Arial" w:hAnsi="Arial" w:cs="Arial"/>
                <w:b/>
                <w:color w:val="000000"/>
                <w:sz w:val="16"/>
              </w:rPr>
            </w:pPr>
            <w:r w:rsidRPr="00246AE0">
              <w:rPr>
                <w:rFonts w:ascii="Arial" w:eastAsia="Arial" w:hAnsi="Arial" w:cs="Arial"/>
                <w:b/>
                <w:color w:val="000000"/>
                <w:sz w:val="16"/>
              </w:rPr>
              <w:t>42  </w:t>
            </w:r>
          </w:p>
        </w:tc>
      </w:tr>
      <w:tr w:rsidR="00724034" w14:paraId="0634CF59" w14:textId="77777777">
        <w:trPr>
          <w:trHeight w:val="225"/>
        </w:trPr>
        <w:tc>
          <w:tcPr>
            <w:tcW w:w="180" w:type="dxa"/>
            <w:tcBorders>
              <w:top w:val="nil"/>
              <w:left w:val="nil"/>
              <w:bottom w:val="nil"/>
              <w:right w:val="nil"/>
              <w:tl2br w:val="nil"/>
              <w:tr2bl w:val="nil"/>
            </w:tcBorders>
            <w:shd w:val="clear" w:color="auto" w:fill="FFFFFF"/>
            <w:tcMar>
              <w:left w:w="115" w:type="dxa"/>
              <w:right w:w="115" w:type="dxa"/>
            </w:tcMar>
            <w:vAlign w:val="bottom"/>
          </w:tcPr>
          <w:p w14:paraId="298478AB" w14:textId="77777777" w:rsidR="003F0EEA" w:rsidRPr="00246AE0" w:rsidRDefault="003F0EEA">
            <w:pPr>
              <w:rPr>
                <w:rFonts w:ascii="Arial" w:eastAsia="Arial" w:hAnsi="Arial" w:cs="Arial"/>
                <w:b/>
                <w:color w:val="000000"/>
                <w:sz w:val="16"/>
              </w:rPr>
            </w:pPr>
          </w:p>
        </w:tc>
        <w:tc>
          <w:tcPr>
            <w:tcW w:w="2280" w:type="dxa"/>
            <w:tcBorders>
              <w:top w:val="nil"/>
              <w:left w:val="nil"/>
              <w:bottom w:val="nil"/>
              <w:right w:val="nil"/>
              <w:tl2br w:val="nil"/>
              <w:tr2bl w:val="nil"/>
            </w:tcBorders>
            <w:shd w:val="clear" w:color="auto" w:fill="FFFFFF"/>
            <w:tcMar>
              <w:left w:w="115" w:type="dxa"/>
              <w:right w:w="115" w:type="dxa"/>
            </w:tcMar>
            <w:vAlign w:val="bottom"/>
          </w:tcPr>
          <w:p w14:paraId="5A15F20A" w14:textId="77777777" w:rsidR="003F0EEA" w:rsidRPr="00246AE0" w:rsidRDefault="003F0EEA">
            <w:pPr>
              <w:rPr>
                <w:rFonts w:ascii="Arial" w:eastAsia="Arial" w:hAnsi="Arial" w:cs="Arial"/>
                <w:b/>
                <w:color w:val="000000"/>
                <w:sz w:val="16"/>
              </w:rPr>
            </w:pPr>
          </w:p>
        </w:tc>
        <w:tc>
          <w:tcPr>
            <w:tcW w:w="915" w:type="dxa"/>
            <w:tcBorders>
              <w:top w:val="nil"/>
              <w:left w:val="nil"/>
              <w:bottom w:val="nil"/>
              <w:right w:val="nil"/>
              <w:tl2br w:val="nil"/>
              <w:tr2bl w:val="nil"/>
            </w:tcBorders>
            <w:shd w:val="clear" w:color="auto" w:fill="FFFFFF"/>
            <w:tcMar>
              <w:left w:w="115" w:type="dxa"/>
              <w:right w:w="115" w:type="dxa"/>
            </w:tcMar>
            <w:vAlign w:val="bottom"/>
          </w:tcPr>
          <w:p w14:paraId="16F35322" w14:textId="77777777" w:rsidR="003F0EEA" w:rsidRPr="00246AE0" w:rsidRDefault="003F0EEA">
            <w:pPr>
              <w:rPr>
                <w:rFonts w:ascii="Arial" w:eastAsia="Arial" w:hAnsi="Arial" w:cs="Arial"/>
                <w:color w:val="000000"/>
                <w:sz w:val="16"/>
                <w:vertAlign w:val="superscript"/>
              </w:rPr>
            </w:pPr>
          </w:p>
        </w:tc>
        <w:tc>
          <w:tcPr>
            <w:tcW w:w="1005" w:type="dxa"/>
            <w:tcBorders>
              <w:top w:val="single" w:sz="6" w:space="0" w:color="000000"/>
              <w:left w:val="nil"/>
              <w:bottom w:val="nil"/>
              <w:right w:val="nil"/>
              <w:tl2br w:val="nil"/>
              <w:tr2bl w:val="nil"/>
            </w:tcBorders>
            <w:shd w:val="clear" w:color="auto" w:fill="FFFF00"/>
            <w:tcMar>
              <w:left w:w="115" w:type="dxa"/>
              <w:right w:w="115" w:type="dxa"/>
            </w:tcMar>
            <w:vAlign w:val="bottom"/>
          </w:tcPr>
          <w:p w14:paraId="0FC90F9A" w14:textId="77777777" w:rsidR="003F0EEA" w:rsidRPr="00246AE0" w:rsidRDefault="003F0EEA">
            <w:pPr>
              <w:jc w:val="right"/>
              <w:rPr>
                <w:rFonts w:ascii="Arial" w:eastAsia="Arial" w:hAnsi="Arial" w:cs="Arial"/>
                <w:color w:val="000000"/>
                <w:sz w:val="16"/>
                <w:vertAlign w:val="superscript"/>
              </w:rPr>
            </w:pPr>
          </w:p>
        </w:tc>
        <w:tc>
          <w:tcPr>
            <w:tcW w:w="1005"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2F684F07" w14:textId="77777777" w:rsidR="003F0EEA" w:rsidRPr="00246AE0" w:rsidRDefault="003F0EEA">
            <w:pPr>
              <w:jc w:val="right"/>
              <w:rPr>
                <w:rFonts w:ascii="Arial" w:eastAsia="Arial" w:hAnsi="Arial" w:cs="Arial"/>
                <w:color w:val="000000"/>
                <w:sz w:val="16"/>
                <w:vertAlign w:val="superscript"/>
              </w:rPr>
            </w:pPr>
          </w:p>
        </w:tc>
        <w:tc>
          <w:tcPr>
            <w:tcW w:w="1005" w:type="dxa"/>
            <w:tcBorders>
              <w:top w:val="single" w:sz="6" w:space="0" w:color="000000"/>
              <w:left w:val="nil"/>
              <w:bottom w:val="nil"/>
              <w:right w:val="nil"/>
              <w:tl2br w:val="nil"/>
              <w:tr2bl w:val="nil"/>
            </w:tcBorders>
            <w:shd w:val="clear" w:color="auto" w:fill="FFFF00"/>
            <w:tcMar>
              <w:left w:w="115" w:type="dxa"/>
              <w:right w:w="115" w:type="dxa"/>
            </w:tcMar>
            <w:vAlign w:val="bottom"/>
          </w:tcPr>
          <w:p w14:paraId="4FAC8F57" w14:textId="77777777" w:rsidR="003F0EEA" w:rsidRPr="00246AE0" w:rsidRDefault="003F0EEA">
            <w:pPr>
              <w:jc w:val="right"/>
              <w:rPr>
                <w:rFonts w:ascii="Arial" w:eastAsia="Arial" w:hAnsi="Arial" w:cs="Arial"/>
                <w:color w:val="000000"/>
                <w:sz w:val="16"/>
                <w:vertAlign w:val="superscript"/>
              </w:rPr>
            </w:pPr>
          </w:p>
        </w:tc>
        <w:tc>
          <w:tcPr>
            <w:tcW w:w="1005"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2A03E79B" w14:textId="77777777" w:rsidR="003F0EEA" w:rsidRPr="00246AE0" w:rsidRDefault="003F0EEA">
            <w:pPr>
              <w:jc w:val="right"/>
              <w:rPr>
                <w:rFonts w:ascii="Arial" w:eastAsia="Arial" w:hAnsi="Arial" w:cs="Arial"/>
                <w:color w:val="000000"/>
                <w:sz w:val="16"/>
                <w:vertAlign w:val="superscript"/>
              </w:rPr>
            </w:pPr>
          </w:p>
        </w:tc>
        <w:tc>
          <w:tcPr>
            <w:tcW w:w="1005" w:type="dxa"/>
            <w:tcBorders>
              <w:top w:val="single" w:sz="6" w:space="0" w:color="000000"/>
              <w:left w:val="nil"/>
              <w:bottom w:val="nil"/>
              <w:right w:val="nil"/>
              <w:tl2br w:val="nil"/>
              <w:tr2bl w:val="nil"/>
            </w:tcBorders>
            <w:shd w:val="clear" w:color="auto" w:fill="FFFF00"/>
            <w:tcMar>
              <w:left w:w="115" w:type="dxa"/>
              <w:right w:w="115" w:type="dxa"/>
            </w:tcMar>
            <w:vAlign w:val="bottom"/>
          </w:tcPr>
          <w:p w14:paraId="72D8E778" w14:textId="77777777" w:rsidR="003F0EEA" w:rsidRPr="00246AE0" w:rsidRDefault="003F0EEA">
            <w:pPr>
              <w:jc w:val="right"/>
              <w:rPr>
                <w:rFonts w:ascii="Arial" w:eastAsia="Arial" w:hAnsi="Arial" w:cs="Arial"/>
                <w:color w:val="000000"/>
                <w:sz w:val="16"/>
                <w:vertAlign w:val="superscript"/>
              </w:rPr>
            </w:pPr>
          </w:p>
        </w:tc>
      </w:tr>
      <w:tr w:rsidR="00FB7D0B" w14:paraId="35826DD9" w14:textId="77777777" w:rsidTr="00FB7D0B">
        <w:trPr>
          <w:trHeight w:val="510"/>
        </w:trPr>
        <w:tc>
          <w:tcPr>
            <w:tcW w:w="2460" w:type="dxa"/>
            <w:gridSpan w:val="2"/>
            <w:tcBorders>
              <w:top w:val="nil"/>
              <w:left w:val="nil"/>
              <w:bottom w:val="nil"/>
              <w:right w:val="nil"/>
              <w:tl2br w:val="nil"/>
              <w:tr2bl w:val="nil"/>
            </w:tcBorders>
            <w:shd w:val="clear" w:color="auto" w:fill="FFFFFF"/>
            <w:tcMar>
              <w:left w:w="115" w:type="dxa"/>
              <w:right w:w="115" w:type="dxa"/>
            </w:tcMar>
            <w:vAlign w:val="bottom"/>
          </w:tcPr>
          <w:p w14:paraId="33033A69" w14:textId="77777777" w:rsidR="003F0EEA" w:rsidRPr="00246AE0" w:rsidRDefault="00FB7D0B">
            <w:pPr>
              <w:rPr>
                <w:rFonts w:ascii="Arial" w:eastAsia="Arial" w:hAnsi="Arial" w:cs="Arial"/>
                <w:color w:val="000000"/>
                <w:sz w:val="16"/>
                <w:vertAlign w:val="superscript"/>
              </w:rPr>
            </w:pPr>
            <w:r w:rsidRPr="00246AE0">
              <w:rPr>
                <w:rFonts w:ascii="Arial" w:eastAsia="Arial" w:hAnsi="Arial" w:cs="Arial"/>
                <w:color w:val="000000"/>
                <w:sz w:val="16"/>
              </w:rPr>
              <w:t>Medicare Benefits Schedule - new and amended listings</w:t>
            </w:r>
            <w:r w:rsidRPr="00246AE0">
              <w:rPr>
                <w:rFonts w:ascii="Arial" w:eastAsia="Arial" w:hAnsi="Arial" w:cs="Arial"/>
                <w:color w:val="000000"/>
                <w:sz w:val="16"/>
                <w:vertAlign w:val="superscript"/>
              </w:rPr>
              <w:t>2 </w:t>
            </w:r>
          </w:p>
        </w:tc>
        <w:tc>
          <w:tcPr>
            <w:tcW w:w="915" w:type="dxa"/>
            <w:tcBorders>
              <w:top w:val="nil"/>
              <w:left w:val="nil"/>
              <w:bottom w:val="nil"/>
              <w:right w:val="nil"/>
              <w:tl2br w:val="nil"/>
              <w:tr2bl w:val="nil"/>
            </w:tcBorders>
            <w:shd w:val="clear" w:color="auto" w:fill="FFFFFF"/>
            <w:tcMar>
              <w:left w:w="115" w:type="dxa"/>
              <w:right w:w="115" w:type="dxa"/>
            </w:tcMar>
            <w:vAlign w:val="bottom"/>
          </w:tcPr>
          <w:p w14:paraId="1DE4A703" w14:textId="77777777" w:rsidR="003F0EEA" w:rsidRPr="00246AE0" w:rsidRDefault="00FB7D0B">
            <w:pPr>
              <w:jc w:val="center"/>
              <w:rPr>
                <w:rFonts w:ascii="Arial" w:eastAsia="Arial" w:hAnsi="Arial" w:cs="Arial"/>
                <w:color w:val="000000"/>
                <w:sz w:val="16"/>
                <w:vertAlign w:val="superscript"/>
              </w:rPr>
            </w:pPr>
            <w:r w:rsidRPr="00246AE0">
              <w:rPr>
                <w:rFonts w:ascii="Arial" w:eastAsia="Arial" w:hAnsi="Arial" w:cs="Arial"/>
                <w:color w:val="000000"/>
                <w:sz w:val="16"/>
              </w:rPr>
              <w:t>2.1 </w:t>
            </w:r>
          </w:p>
        </w:tc>
        <w:tc>
          <w:tcPr>
            <w:tcW w:w="1005" w:type="dxa"/>
            <w:tcBorders>
              <w:top w:val="nil"/>
              <w:left w:val="nil"/>
              <w:bottom w:val="nil"/>
              <w:right w:val="nil"/>
              <w:tl2br w:val="nil"/>
              <w:tr2bl w:val="nil"/>
            </w:tcBorders>
            <w:shd w:val="clear" w:color="auto" w:fill="FFFF00"/>
            <w:tcMar>
              <w:left w:w="115" w:type="dxa"/>
              <w:right w:w="115" w:type="dxa"/>
            </w:tcMar>
            <w:vAlign w:val="bottom"/>
          </w:tcPr>
          <w:p w14:paraId="67E7E1E6" w14:textId="77777777" w:rsidR="003F0EEA" w:rsidRPr="00246AE0" w:rsidRDefault="003F0EEA">
            <w:pPr>
              <w:jc w:val="right"/>
              <w:rPr>
                <w:rFonts w:ascii="Arial" w:eastAsia="Arial" w:hAnsi="Arial" w:cs="Arial"/>
                <w:color w:val="000000"/>
                <w:sz w:val="16"/>
              </w:rPr>
            </w:pPr>
          </w:p>
        </w:tc>
        <w:tc>
          <w:tcPr>
            <w:tcW w:w="1005" w:type="dxa"/>
            <w:tcBorders>
              <w:top w:val="nil"/>
              <w:left w:val="nil"/>
              <w:bottom w:val="nil"/>
              <w:right w:val="nil"/>
              <w:tl2br w:val="nil"/>
              <w:tr2bl w:val="nil"/>
            </w:tcBorders>
            <w:shd w:val="clear" w:color="auto" w:fill="FFFFFF"/>
            <w:tcMar>
              <w:left w:w="115" w:type="dxa"/>
              <w:right w:w="115" w:type="dxa"/>
            </w:tcMar>
            <w:vAlign w:val="bottom"/>
          </w:tcPr>
          <w:p w14:paraId="45D21D28" w14:textId="77777777" w:rsidR="003F0EEA" w:rsidRPr="00246AE0" w:rsidRDefault="003F0EEA">
            <w:pPr>
              <w:jc w:val="right"/>
              <w:rPr>
                <w:rFonts w:ascii="Arial" w:eastAsia="Arial" w:hAnsi="Arial" w:cs="Arial"/>
                <w:color w:val="000000"/>
                <w:sz w:val="16"/>
              </w:rPr>
            </w:pPr>
          </w:p>
        </w:tc>
        <w:tc>
          <w:tcPr>
            <w:tcW w:w="1005" w:type="dxa"/>
            <w:tcBorders>
              <w:top w:val="nil"/>
              <w:left w:val="nil"/>
              <w:bottom w:val="nil"/>
              <w:right w:val="nil"/>
              <w:tl2br w:val="nil"/>
              <w:tr2bl w:val="nil"/>
            </w:tcBorders>
            <w:shd w:val="clear" w:color="auto" w:fill="FFFF00"/>
            <w:tcMar>
              <w:left w:w="115" w:type="dxa"/>
              <w:right w:w="115" w:type="dxa"/>
            </w:tcMar>
            <w:vAlign w:val="bottom"/>
          </w:tcPr>
          <w:p w14:paraId="28B550E3" w14:textId="77777777" w:rsidR="003F0EEA" w:rsidRPr="00246AE0" w:rsidRDefault="003F0EEA">
            <w:pPr>
              <w:jc w:val="right"/>
              <w:rPr>
                <w:rFonts w:ascii="Arial" w:eastAsia="Arial" w:hAnsi="Arial" w:cs="Arial"/>
                <w:color w:val="000000"/>
                <w:sz w:val="16"/>
              </w:rPr>
            </w:pPr>
          </w:p>
        </w:tc>
        <w:tc>
          <w:tcPr>
            <w:tcW w:w="1005" w:type="dxa"/>
            <w:tcBorders>
              <w:top w:val="nil"/>
              <w:left w:val="nil"/>
              <w:bottom w:val="nil"/>
              <w:right w:val="nil"/>
              <w:tl2br w:val="nil"/>
              <w:tr2bl w:val="nil"/>
            </w:tcBorders>
            <w:shd w:val="clear" w:color="auto" w:fill="FFFFFF"/>
            <w:tcMar>
              <w:left w:w="115" w:type="dxa"/>
              <w:right w:w="115" w:type="dxa"/>
            </w:tcMar>
            <w:vAlign w:val="bottom"/>
          </w:tcPr>
          <w:p w14:paraId="4EECE7A2" w14:textId="77777777" w:rsidR="003F0EEA" w:rsidRPr="00246AE0" w:rsidRDefault="003F0EEA">
            <w:pPr>
              <w:jc w:val="right"/>
              <w:rPr>
                <w:rFonts w:ascii="Arial" w:eastAsia="Arial" w:hAnsi="Arial" w:cs="Arial"/>
                <w:color w:val="000000"/>
                <w:sz w:val="16"/>
              </w:rPr>
            </w:pPr>
          </w:p>
        </w:tc>
        <w:tc>
          <w:tcPr>
            <w:tcW w:w="1005" w:type="dxa"/>
            <w:tcBorders>
              <w:top w:val="nil"/>
              <w:left w:val="nil"/>
              <w:bottom w:val="nil"/>
              <w:right w:val="nil"/>
              <w:tl2br w:val="nil"/>
              <w:tr2bl w:val="nil"/>
            </w:tcBorders>
            <w:shd w:val="clear" w:color="auto" w:fill="FFFF00"/>
            <w:tcMar>
              <w:left w:w="115" w:type="dxa"/>
              <w:right w:w="115" w:type="dxa"/>
            </w:tcMar>
            <w:vAlign w:val="bottom"/>
          </w:tcPr>
          <w:p w14:paraId="717F2384" w14:textId="77777777" w:rsidR="003F0EEA" w:rsidRPr="00246AE0" w:rsidRDefault="003F0EEA">
            <w:pPr>
              <w:jc w:val="right"/>
              <w:rPr>
                <w:rFonts w:ascii="Arial" w:eastAsia="Arial" w:hAnsi="Arial" w:cs="Arial"/>
                <w:b/>
                <w:color w:val="000000"/>
                <w:sz w:val="16"/>
              </w:rPr>
            </w:pPr>
          </w:p>
        </w:tc>
      </w:tr>
      <w:tr w:rsidR="00724034" w14:paraId="08457D2C" w14:textId="77777777">
        <w:trPr>
          <w:trHeight w:val="225"/>
        </w:trPr>
        <w:tc>
          <w:tcPr>
            <w:tcW w:w="180" w:type="dxa"/>
            <w:tcBorders>
              <w:top w:val="nil"/>
              <w:left w:val="nil"/>
              <w:bottom w:val="nil"/>
              <w:right w:val="nil"/>
              <w:tl2br w:val="nil"/>
              <w:tr2bl w:val="nil"/>
            </w:tcBorders>
            <w:shd w:val="clear" w:color="auto" w:fill="FFFFFF"/>
            <w:tcMar>
              <w:left w:w="115" w:type="dxa"/>
              <w:right w:w="115" w:type="dxa"/>
            </w:tcMar>
            <w:vAlign w:val="bottom"/>
          </w:tcPr>
          <w:p w14:paraId="67BCF113" w14:textId="77777777" w:rsidR="003F0EEA" w:rsidRPr="00246AE0" w:rsidRDefault="003F0EEA">
            <w:pPr>
              <w:rPr>
                <w:rFonts w:ascii="Arial" w:eastAsia="Arial" w:hAnsi="Arial" w:cs="Arial"/>
                <w:color w:val="000000"/>
                <w:sz w:val="16"/>
              </w:rPr>
            </w:pPr>
          </w:p>
        </w:tc>
        <w:tc>
          <w:tcPr>
            <w:tcW w:w="2280" w:type="dxa"/>
            <w:tcBorders>
              <w:top w:val="nil"/>
              <w:left w:val="nil"/>
              <w:bottom w:val="nil"/>
              <w:right w:val="nil"/>
              <w:tl2br w:val="nil"/>
              <w:tr2bl w:val="nil"/>
            </w:tcBorders>
            <w:shd w:val="clear" w:color="auto" w:fill="FFFFFF"/>
            <w:tcMar>
              <w:left w:w="115" w:type="dxa"/>
              <w:right w:w="115" w:type="dxa"/>
            </w:tcMar>
            <w:vAlign w:val="bottom"/>
          </w:tcPr>
          <w:p w14:paraId="56795E89" w14:textId="77777777" w:rsidR="003F0EEA" w:rsidRPr="00246AE0" w:rsidRDefault="00FB7D0B">
            <w:pPr>
              <w:rPr>
                <w:rFonts w:ascii="Arial" w:eastAsia="Arial" w:hAnsi="Arial" w:cs="Arial"/>
                <w:color w:val="000000"/>
                <w:sz w:val="16"/>
              </w:rPr>
            </w:pPr>
            <w:r w:rsidRPr="00246AE0">
              <w:rPr>
                <w:rFonts w:ascii="Arial" w:eastAsia="Arial" w:hAnsi="Arial" w:cs="Arial"/>
                <w:color w:val="000000"/>
                <w:sz w:val="16"/>
              </w:rPr>
              <w:t>Administered expenses</w:t>
            </w:r>
          </w:p>
        </w:tc>
        <w:tc>
          <w:tcPr>
            <w:tcW w:w="915" w:type="dxa"/>
            <w:tcBorders>
              <w:top w:val="nil"/>
              <w:left w:val="nil"/>
              <w:bottom w:val="nil"/>
              <w:right w:val="nil"/>
              <w:tl2br w:val="nil"/>
              <w:tr2bl w:val="nil"/>
            </w:tcBorders>
            <w:shd w:val="clear" w:color="auto" w:fill="FFFFFF"/>
            <w:tcMar>
              <w:left w:w="115" w:type="dxa"/>
              <w:right w:w="115" w:type="dxa"/>
            </w:tcMar>
            <w:vAlign w:val="bottom"/>
          </w:tcPr>
          <w:p w14:paraId="092C988C" w14:textId="77777777" w:rsidR="003F0EEA" w:rsidRPr="00246AE0" w:rsidRDefault="003F0EEA">
            <w:pPr>
              <w:jc w:val="center"/>
              <w:rPr>
                <w:rFonts w:ascii="Arial" w:eastAsia="Arial" w:hAnsi="Arial" w:cs="Arial"/>
                <w:color w:val="000000"/>
                <w:sz w:val="16"/>
                <w:vertAlign w:val="superscript"/>
              </w:rPr>
            </w:pPr>
          </w:p>
        </w:tc>
        <w:tc>
          <w:tcPr>
            <w:tcW w:w="1005" w:type="dxa"/>
            <w:tcBorders>
              <w:top w:val="nil"/>
              <w:left w:val="nil"/>
              <w:bottom w:val="nil"/>
              <w:right w:val="nil"/>
              <w:tl2br w:val="nil"/>
              <w:tr2bl w:val="nil"/>
            </w:tcBorders>
            <w:shd w:val="clear" w:color="auto" w:fill="FFFF00"/>
            <w:tcMar>
              <w:left w:w="115" w:type="dxa"/>
              <w:right w:w="115" w:type="dxa"/>
            </w:tcMar>
            <w:vAlign w:val="bottom"/>
          </w:tcPr>
          <w:p w14:paraId="0EE4E01F" w14:textId="77777777" w:rsidR="003F0EEA" w:rsidRPr="00246AE0" w:rsidRDefault="00FB7D0B">
            <w:pPr>
              <w:jc w:val="right"/>
              <w:rPr>
                <w:rFonts w:ascii="Arial" w:eastAsia="Arial" w:hAnsi="Arial" w:cs="Arial"/>
                <w:color w:val="000000"/>
                <w:sz w:val="16"/>
                <w:vertAlign w:val="superscript"/>
              </w:rPr>
            </w:pPr>
            <w:r w:rsidRPr="00246AE0">
              <w:rPr>
                <w:rFonts w:ascii="Arial" w:eastAsia="Arial" w:hAnsi="Arial" w:cs="Arial"/>
                <w:color w:val="000000"/>
                <w:sz w:val="16"/>
              </w:rPr>
              <w:t xml:space="preserve"> - </w:t>
            </w:r>
          </w:p>
        </w:tc>
        <w:tc>
          <w:tcPr>
            <w:tcW w:w="1005" w:type="dxa"/>
            <w:tcBorders>
              <w:top w:val="nil"/>
              <w:left w:val="nil"/>
              <w:bottom w:val="nil"/>
              <w:right w:val="nil"/>
              <w:tl2br w:val="nil"/>
              <w:tr2bl w:val="nil"/>
            </w:tcBorders>
            <w:shd w:val="clear" w:color="auto" w:fill="FFFFFF"/>
            <w:tcMar>
              <w:left w:w="115" w:type="dxa"/>
              <w:right w:w="115" w:type="dxa"/>
            </w:tcMar>
            <w:vAlign w:val="bottom"/>
          </w:tcPr>
          <w:p w14:paraId="7D76ADA5" w14:textId="77777777" w:rsidR="003F0EEA" w:rsidRPr="00246AE0" w:rsidRDefault="00FB7D0B">
            <w:pPr>
              <w:jc w:val="right"/>
              <w:rPr>
                <w:rFonts w:ascii="Arial" w:eastAsia="Arial" w:hAnsi="Arial" w:cs="Arial"/>
                <w:color w:val="000000"/>
                <w:sz w:val="16"/>
              </w:rPr>
            </w:pPr>
            <w:r w:rsidRPr="00246AE0">
              <w:rPr>
                <w:rFonts w:ascii="Arial" w:eastAsia="Arial" w:hAnsi="Arial" w:cs="Arial"/>
                <w:color w:val="000000"/>
                <w:sz w:val="16"/>
              </w:rPr>
              <w:t>768  </w:t>
            </w:r>
          </w:p>
        </w:tc>
        <w:tc>
          <w:tcPr>
            <w:tcW w:w="1005" w:type="dxa"/>
            <w:tcBorders>
              <w:top w:val="nil"/>
              <w:left w:val="nil"/>
              <w:bottom w:val="nil"/>
              <w:right w:val="nil"/>
              <w:tl2br w:val="nil"/>
              <w:tr2bl w:val="nil"/>
            </w:tcBorders>
            <w:shd w:val="clear" w:color="auto" w:fill="FFFF00"/>
            <w:tcMar>
              <w:left w:w="115" w:type="dxa"/>
              <w:right w:w="115" w:type="dxa"/>
            </w:tcMar>
            <w:vAlign w:val="bottom"/>
          </w:tcPr>
          <w:p w14:paraId="4CF08F79" w14:textId="77777777" w:rsidR="003F0EEA" w:rsidRPr="00246AE0" w:rsidRDefault="00FB7D0B">
            <w:pPr>
              <w:jc w:val="right"/>
              <w:rPr>
                <w:rFonts w:ascii="Arial" w:eastAsia="Arial" w:hAnsi="Arial" w:cs="Arial"/>
                <w:color w:val="000000"/>
                <w:sz w:val="16"/>
              </w:rPr>
            </w:pPr>
            <w:r w:rsidRPr="00246AE0">
              <w:rPr>
                <w:rFonts w:ascii="Arial" w:eastAsia="Arial" w:hAnsi="Arial" w:cs="Arial"/>
                <w:color w:val="000000"/>
                <w:sz w:val="16"/>
              </w:rPr>
              <w:t>1,478  </w:t>
            </w:r>
          </w:p>
        </w:tc>
        <w:tc>
          <w:tcPr>
            <w:tcW w:w="1005" w:type="dxa"/>
            <w:tcBorders>
              <w:top w:val="nil"/>
              <w:left w:val="nil"/>
              <w:bottom w:val="nil"/>
              <w:right w:val="nil"/>
              <w:tl2br w:val="nil"/>
              <w:tr2bl w:val="nil"/>
            </w:tcBorders>
            <w:shd w:val="clear" w:color="auto" w:fill="FFFFFF"/>
            <w:tcMar>
              <w:left w:w="115" w:type="dxa"/>
              <w:right w:w="115" w:type="dxa"/>
            </w:tcMar>
            <w:vAlign w:val="bottom"/>
          </w:tcPr>
          <w:p w14:paraId="43BCEA9A" w14:textId="77777777" w:rsidR="003F0EEA" w:rsidRPr="00246AE0" w:rsidRDefault="00FB7D0B">
            <w:pPr>
              <w:jc w:val="right"/>
              <w:rPr>
                <w:rFonts w:ascii="Arial" w:eastAsia="Arial" w:hAnsi="Arial" w:cs="Arial"/>
                <w:color w:val="000000"/>
                <w:sz w:val="16"/>
              </w:rPr>
            </w:pPr>
            <w:r w:rsidRPr="00246AE0">
              <w:rPr>
                <w:rFonts w:ascii="Arial" w:eastAsia="Arial" w:hAnsi="Arial" w:cs="Arial"/>
                <w:color w:val="000000"/>
                <w:sz w:val="16"/>
              </w:rPr>
              <w:t>1,744  </w:t>
            </w:r>
          </w:p>
        </w:tc>
        <w:tc>
          <w:tcPr>
            <w:tcW w:w="1005" w:type="dxa"/>
            <w:tcBorders>
              <w:top w:val="nil"/>
              <w:left w:val="nil"/>
              <w:bottom w:val="nil"/>
              <w:right w:val="nil"/>
              <w:tl2br w:val="nil"/>
              <w:tr2bl w:val="nil"/>
            </w:tcBorders>
            <w:shd w:val="clear" w:color="auto" w:fill="FFFF00"/>
            <w:tcMar>
              <w:left w:w="115" w:type="dxa"/>
              <w:right w:w="115" w:type="dxa"/>
            </w:tcMar>
            <w:vAlign w:val="bottom"/>
          </w:tcPr>
          <w:p w14:paraId="4180E106" w14:textId="77777777" w:rsidR="003F0EEA" w:rsidRPr="00246AE0" w:rsidRDefault="00FB7D0B">
            <w:pPr>
              <w:jc w:val="right"/>
              <w:rPr>
                <w:rFonts w:ascii="Arial" w:eastAsia="Arial" w:hAnsi="Arial" w:cs="Arial"/>
                <w:color w:val="000000"/>
                <w:sz w:val="16"/>
              </w:rPr>
            </w:pPr>
            <w:r w:rsidRPr="00246AE0">
              <w:rPr>
                <w:rFonts w:ascii="Arial" w:eastAsia="Arial" w:hAnsi="Arial" w:cs="Arial"/>
                <w:color w:val="000000"/>
                <w:sz w:val="16"/>
              </w:rPr>
              <w:t>2,210  </w:t>
            </w:r>
          </w:p>
        </w:tc>
      </w:tr>
      <w:tr w:rsidR="00724034" w14:paraId="0057016E" w14:textId="77777777">
        <w:trPr>
          <w:trHeight w:val="225"/>
        </w:trPr>
        <w:tc>
          <w:tcPr>
            <w:tcW w:w="180" w:type="dxa"/>
            <w:tcBorders>
              <w:top w:val="nil"/>
              <w:left w:val="nil"/>
              <w:bottom w:val="nil"/>
              <w:right w:val="nil"/>
              <w:tl2br w:val="nil"/>
              <w:tr2bl w:val="nil"/>
            </w:tcBorders>
            <w:shd w:val="clear" w:color="auto" w:fill="FFFFFF"/>
            <w:tcMar>
              <w:left w:w="115" w:type="dxa"/>
              <w:right w:w="115" w:type="dxa"/>
            </w:tcMar>
            <w:vAlign w:val="bottom"/>
          </w:tcPr>
          <w:p w14:paraId="6CDFBA3A" w14:textId="77777777" w:rsidR="003F0EEA" w:rsidRPr="00246AE0" w:rsidRDefault="003F0EEA">
            <w:pPr>
              <w:rPr>
                <w:rFonts w:ascii="Arial" w:eastAsia="Arial" w:hAnsi="Arial" w:cs="Arial"/>
                <w:color w:val="000000"/>
                <w:sz w:val="16"/>
              </w:rPr>
            </w:pPr>
          </w:p>
        </w:tc>
        <w:tc>
          <w:tcPr>
            <w:tcW w:w="2280" w:type="dxa"/>
            <w:tcBorders>
              <w:top w:val="nil"/>
              <w:left w:val="nil"/>
              <w:bottom w:val="nil"/>
              <w:right w:val="nil"/>
              <w:tl2br w:val="nil"/>
              <w:tr2bl w:val="nil"/>
            </w:tcBorders>
            <w:shd w:val="clear" w:color="auto" w:fill="FFFFFF"/>
            <w:tcMar>
              <w:left w:w="115" w:type="dxa"/>
              <w:right w:w="115" w:type="dxa"/>
            </w:tcMar>
            <w:vAlign w:val="bottom"/>
          </w:tcPr>
          <w:p w14:paraId="5DF83A94" w14:textId="77777777" w:rsidR="003F0EEA" w:rsidRPr="00246AE0" w:rsidRDefault="00FB7D0B">
            <w:pPr>
              <w:rPr>
                <w:rFonts w:ascii="Arial" w:eastAsia="Arial" w:hAnsi="Arial" w:cs="Arial"/>
                <w:color w:val="000000"/>
                <w:sz w:val="16"/>
              </w:rPr>
            </w:pPr>
            <w:r w:rsidRPr="00246AE0">
              <w:rPr>
                <w:rFonts w:ascii="Arial" w:eastAsia="Arial" w:hAnsi="Arial" w:cs="Arial"/>
                <w:color w:val="000000"/>
                <w:sz w:val="16"/>
              </w:rPr>
              <w:t>Departmental expenses</w:t>
            </w:r>
          </w:p>
        </w:tc>
        <w:tc>
          <w:tcPr>
            <w:tcW w:w="915" w:type="dxa"/>
            <w:tcBorders>
              <w:top w:val="nil"/>
              <w:left w:val="nil"/>
              <w:bottom w:val="nil"/>
              <w:right w:val="nil"/>
              <w:tl2br w:val="nil"/>
              <w:tr2bl w:val="nil"/>
            </w:tcBorders>
            <w:shd w:val="clear" w:color="auto" w:fill="FFFFFF"/>
            <w:tcMar>
              <w:left w:w="115" w:type="dxa"/>
              <w:right w:w="115" w:type="dxa"/>
            </w:tcMar>
            <w:vAlign w:val="bottom"/>
          </w:tcPr>
          <w:p w14:paraId="16EC352E" w14:textId="77777777" w:rsidR="003F0EEA" w:rsidRPr="00246AE0" w:rsidRDefault="003F0EEA">
            <w:pPr>
              <w:jc w:val="center"/>
              <w:rPr>
                <w:rFonts w:ascii="Arial" w:eastAsia="Arial" w:hAnsi="Arial" w:cs="Arial"/>
                <w:b/>
                <w:color w:val="000000"/>
                <w:sz w:val="16"/>
                <w:vertAlign w:val="superscript"/>
              </w:rPr>
            </w:pPr>
          </w:p>
        </w:tc>
        <w:tc>
          <w:tcPr>
            <w:tcW w:w="1005" w:type="dxa"/>
            <w:tcBorders>
              <w:top w:val="nil"/>
              <w:left w:val="nil"/>
              <w:bottom w:val="nil"/>
              <w:right w:val="nil"/>
              <w:tl2br w:val="nil"/>
              <w:tr2bl w:val="nil"/>
            </w:tcBorders>
            <w:shd w:val="clear" w:color="auto" w:fill="FFFF00"/>
            <w:tcMar>
              <w:left w:w="115" w:type="dxa"/>
              <w:right w:w="115" w:type="dxa"/>
            </w:tcMar>
            <w:vAlign w:val="bottom"/>
          </w:tcPr>
          <w:p w14:paraId="7EC0F163" w14:textId="77777777" w:rsidR="003F0EEA" w:rsidRPr="00246AE0" w:rsidRDefault="00FB7D0B">
            <w:pPr>
              <w:jc w:val="right"/>
              <w:rPr>
                <w:rFonts w:ascii="Arial" w:eastAsia="Arial" w:hAnsi="Arial" w:cs="Arial"/>
                <w:color w:val="000000"/>
                <w:sz w:val="16"/>
                <w:vertAlign w:val="superscript"/>
              </w:rPr>
            </w:pPr>
            <w:r w:rsidRPr="00246AE0">
              <w:rPr>
                <w:rFonts w:ascii="Arial" w:eastAsia="Arial" w:hAnsi="Arial" w:cs="Arial"/>
                <w:color w:val="000000"/>
                <w:sz w:val="16"/>
              </w:rPr>
              <w:t xml:space="preserve"> - </w:t>
            </w:r>
          </w:p>
        </w:tc>
        <w:tc>
          <w:tcPr>
            <w:tcW w:w="1005" w:type="dxa"/>
            <w:tcBorders>
              <w:top w:val="nil"/>
              <w:left w:val="nil"/>
              <w:bottom w:val="nil"/>
              <w:right w:val="nil"/>
              <w:tl2br w:val="nil"/>
              <w:tr2bl w:val="nil"/>
            </w:tcBorders>
            <w:shd w:val="clear" w:color="auto" w:fill="FFFFFF"/>
            <w:tcMar>
              <w:left w:w="115" w:type="dxa"/>
              <w:right w:w="115" w:type="dxa"/>
            </w:tcMar>
            <w:vAlign w:val="bottom"/>
          </w:tcPr>
          <w:p w14:paraId="4AF94E56" w14:textId="77777777" w:rsidR="003F0EEA" w:rsidRPr="00246AE0" w:rsidRDefault="00FB7D0B">
            <w:pPr>
              <w:jc w:val="right"/>
              <w:rPr>
                <w:rFonts w:ascii="Arial" w:eastAsia="Arial" w:hAnsi="Arial" w:cs="Arial"/>
                <w:color w:val="000000"/>
                <w:sz w:val="16"/>
              </w:rPr>
            </w:pPr>
            <w:r w:rsidRPr="00246AE0">
              <w:rPr>
                <w:rFonts w:ascii="Arial" w:eastAsia="Arial" w:hAnsi="Arial" w:cs="Arial"/>
                <w:color w:val="000000"/>
                <w:sz w:val="16"/>
              </w:rPr>
              <w:t xml:space="preserve"> - </w:t>
            </w:r>
          </w:p>
        </w:tc>
        <w:tc>
          <w:tcPr>
            <w:tcW w:w="1005" w:type="dxa"/>
            <w:tcBorders>
              <w:top w:val="nil"/>
              <w:left w:val="nil"/>
              <w:bottom w:val="nil"/>
              <w:right w:val="nil"/>
              <w:tl2br w:val="nil"/>
              <w:tr2bl w:val="nil"/>
            </w:tcBorders>
            <w:shd w:val="clear" w:color="auto" w:fill="FFFF00"/>
            <w:tcMar>
              <w:left w:w="115" w:type="dxa"/>
              <w:right w:w="115" w:type="dxa"/>
            </w:tcMar>
            <w:vAlign w:val="bottom"/>
          </w:tcPr>
          <w:p w14:paraId="593F1E52" w14:textId="77777777" w:rsidR="003F0EEA" w:rsidRPr="00246AE0" w:rsidRDefault="00FB7D0B">
            <w:pPr>
              <w:jc w:val="right"/>
              <w:rPr>
                <w:rFonts w:ascii="Arial" w:eastAsia="Arial" w:hAnsi="Arial" w:cs="Arial"/>
                <w:color w:val="000000"/>
                <w:sz w:val="16"/>
              </w:rPr>
            </w:pPr>
            <w:r w:rsidRPr="00246AE0">
              <w:rPr>
                <w:rFonts w:ascii="Arial" w:eastAsia="Arial" w:hAnsi="Arial" w:cs="Arial"/>
                <w:color w:val="000000"/>
                <w:sz w:val="16"/>
              </w:rPr>
              <w:t xml:space="preserve"> - </w:t>
            </w:r>
          </w:p>
        </w:tc>
        <w:tc>
          <w:tcPr>
            <w:tcW w:w="1005" w:type="dxa"/>
            <w:tcBorders>
              <w:top w:val="nil"/>
              <w:left w:val="nil"/>
              <w:bottom w:val="nil"/>
              <w:right w:val="nil"/>
              <w:tl2br w:val="nil"/>
              <w:tr2bl w:val="nil"/>
            </w:tcBorders>
            <w:shd w:val="clear" w:color="auto" w:fill="FFFFFF"/>
            <w:tcMar>
              <w:left w:w="115" w:type="dxa"/>
              <w:right w:w="115" w:type="dxa"/>
            </w:tcMar>
            <w:vAlign w:val="bottom"/>
          </w:tcPr>
          <w:p w14:paraId="657B0AE6" w14:textId="77777777" w:rsidR="003F0EEA" w:rsidRPr="00246AE0" w:rsidRDefault="00FB7D0B">
            <w:pPr>
              <w:jc w:val="right"/>
              <w:rPr>
                <w:rFonts w:ascii="Arial" w:eastAsia="Arial" w:hAnsi="Arial" w:cs="Arial"/>
                <w:color w:val="000000"/>
                <w:sz w:val="16"/>
              </w:rPr>
            </w:pPr>
            <w:r w:rsidRPr="00246AE0">
              <w:rPr>
                <w:rFonts w:ascii="Arial" w:eastAsia="Arial" w:hAnsi="Arial" w:cs="Arial"/>
                <w:color w:val="000000"/>
                <w:sz w:val="16"/>
              </w:rPr>
              <w:t xml:space="preserve"> - </w:t>
            </w:r>
          </w:p>
        </w:tc>
        <w:tc>
          <w:tcPr>
            <w:tcW w:w="1005" w:type="dxa"/>
            <w:tcBorders>
              <w:top w:val="nil"/>
              <w:left w:val="nil"/>
              <w:bottom w:val="nil"/>
              <w:right w:val="nil"/>
              <w:tl2br w:val="nil"/>
              <w:tr2bl w:val="nil"/>
            </w:tcBorders>
            <w:shd w:val="clear" w:color="auto" w:fill="FFFF00"/>
            <w:tcMar>
              <w:left w:w="115" w:type="dxa"/>
              <w:right w:w="115" w:type="dxa"/>
            </w:tcMar>
            <w:vAlign w:val="bottom"/>
          </w:tcPr>
          <w:p w14:paraId="3C5E14F6" w14:textId="77777777" w:rsidR="003F0EEA" w:rsidRPr="00246AE0" w:rsidRDefault="00FB7D0B">
            <w:pPr>
              <w:jc w:val="right"/>
              <w:rPr>
                <w:rFonts w:ascii="Arial" w:eastAsia="Arial" w:hAnsi="Arial" w:cs="Arial"/>
                <w:color w:val="000000"/>
                <w:sz w:val="16"/>
              </w:rPr>
            </w:pPr>
            <w:r w:rsidRPr="00246AE0">
              <w:rPr>
                <w:rFonts w:ascii="Arial" w:eastAsia="Arial" w:hAnsi="Arial" w:cs="Arial"/>
                <w:color w:val="000000"/>
                <w:sz w:val="16"/>
              </w:rPr>
              <w:t xml:space="preserve"> - </w:t>
            </w:r>
          </w:p>
        </w:tc>
      </w:tr>
      <w:tr w:rsidR="00FB7D0B" w14:paraId="7BF12816" w14:textId="77777777" w:rsidTr="00FB7D0B">
        <w:trPr>
          <w:trHeight w:val="225"/>
        </w:trPr>
        <w:tc>
          <w:tcPr>
            <w:tcW w:w="2460" w:type="dxa"/>
            <w:gridSpan w:val="2"/>
            <w:tcBorders>
              <w:top w:val="nil"/>
              <w:left w:val="nil"/>
              <w:bottom w:val="nil"/>
              <w:right w:val="nil"/>
              <w:tl2br w:val="nil"/>
              <w:tr2bl w:val="nil"/>
            </w:tcBorders>
            <w:shd w:val="clear" w:color="auto" w:fill="FFFFFF"/>
            <w:tcMar>
              <w:left w:w="115" w:type="dxa"/>
              <w:right w:w="115" w:type="dxa"/>
            </w:tcMar>
            <w:vAlign w:val="bottom"/>
          </w:tcPr>
          <w:p w14:paraId="24DE8732" w14:textId="77777777" w:rsidR="003F0EEA" w:rsidRPr="00246AE0" w:rsidRDefault="00FB7D0B">
            <w:pPr>
              <w:rPr>
                <w:rFonts w:ascii="Arial" w:eastAsia="Arial" w:hAnsi="Arial" w:cs="Arial"/>
                <w:color w:val="000000"/>
                <w:sz w:val="16"/>
              </w:rPr>
            </w:pPr>
            <w:r w:rsidRPr="00246AE0">
              <w:rPr>
                <w:rFonts w:ascii="Arial" w:eastAsia="Arial" w:hAnsi="Arial" w:cs="Arial"/>
                <w:b/>
                <w:color w:val="000000"/>
                <w:sz w:val="16"/>
              </w:rPr>
              <w:t xml:space="preserve">Total </w:t>
            </w:r>
          </w:p>
        </w:tc>
        <w:tc>
          <w:tcPr>
            <w:tcW w:w="915" w:type="dxa"/>
            <w:tcBorders>
              <w:top w:val="nil"/>
              <w:left w:val="nil"/>
              <w:bottom w:val="nil"/>
              <w:right w:val="nil"/>
              <w:tl2br w:val="nil"/>
              <w:tr2bl w:val="nil"/>
            </w:tcBorders>
            <w:shd w:val="clear" w:color="auto" w:fill="FFFFFF"/>
            <w:tcMar>
              <w:left w:w="115" w:type="dxa"/>
              <w:right w:w="115" w:type="dxa"/>
            </w:tcMar>
            <w:vAlign w:val="bottom"/>
          </w:tcPr>
          <w:p w14:paraId="07F53F6B" w14:textId="77777777" w:rsidR="003F0EEA" w:rsidRPr="00246AE0" w:rsidRDefault="003F0EEA">
            <w:pPr>
              <w:jc w:val="center"/>
              <w:rPr>
                <w:rFonts w:ascii="Arial" w:eastAsia="Arial" w:hAnsi="Arial" w:cs="Arial"/>
                <w:b/>
                <w:color w:val="000000"/>
                <w:sz w:val="16"/>
                <w:vertAlign w:val="superscript"/>
              </w:rPr>
            </w:pPr>
          </w:p>
        </w:tc>
        <w:tc>
          <w:tcPr>
            <w:tcW w:w="1005" w:type="dxa"/>
            <w:tcBorders>
              <w:top w:val="nil"/>
              <w:left w:val="nil"/>
              <w:bottom w:val="single" w:sz="6" w:space="0" w:color="000000"/>
              <w:right w:val="nil"/>
              <w:tl2br w:val="nil"/>
              <w:tr2bl w:val="nil"/>
            </w:tcBorders>
            <w:shd w:val="clear" w:color="auto" w:fill="FFFF00"/>
            <w:tcMar>
              <w:left w:w="115" w:type="dxa"/>
              <w:right w:w="115" w:type="dxa"/>
            </w:tcMar>
            <w:vAlign w:val="bottom"/>
          </w:tcPr>
          <w:p w14:paraId="668E9AD9" w14:textId="77777777" w:rsidR="003F0EEA" w:rsidRPr="00246AE0" w:rsidRDefault="00FB7D0B">
            <w:pPr>
              <w:jc w:val="right"/>
              <w:rPr>
                <w:rFonts w:ascii="Arial" w:eastAsia="Arial" w:hAnsi="Arial" w:cs="Arial"/>
                <w:color w:val="000000"/>
                <w:sz w:val="16"/>
                <w:vertAlign w:val="superscript"/>
              </w:rPr>
            </w:pPr>
            <w:r w:rsidRPr="00246AE0">
              <w:rPr>
                <w:rFonts w:ascii="Arial" w:eastAsia="Arial" w:hAnsi="Arial" w:cs="Arial"/>
                <w:b/>
                <w:color w:val="000000"/>
                <w:sz w:val="16"/>
              </w:rPr>
              <w:t xml:space="preserve"> - </w:t>
            </w:r>
          </w:p>
        </w:tc>
        <w:tc>
          <w:tcPr>
            <w:tcW w:w="1005"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07D772C4" w14:textId="77777777" w:rsidR="003F0EEA" w:rsidRPr="00246AE0" w:rsidRDefault="00FB7D0B">
            <w:pPr>
              <w:jc w:val="right"/>
              <w:rPr>
                <w:rFonts w:ascii="Arial" w:eastAsia="Arial" w:hAnsi="Arial" w:cs="Arial"/>
                <w:b/>
                <w:color w:val="000000"/>
                <w:sz w:val="16"/>
              </w:rPr>
            </w:pPr>
            <w:r w:rsidRPr="00246AE0">
              <w:rPr>
                <w:rFonts w:ascii="Arial" w:eastAsia="Arial" w:hAnsi="Arial" w:cs="Arial"/>
                <w:b/>
                <w:color w:val="000000"/>
                <w:sz w:val="16"/>
              </w:rPr>
              <w:t>768  </w:t>
            </w:r>
          </w:p>
        </w:tc>
        <w:tc>
          <w:tcPr>
            <w:tcW w:w="1005" w:type="dxa"/>
            <w:tcBorders>
              <w:top w:val="nil"/>
              <w:left w:val="nil"/>
              <w:bottom w:val="single" w:sz="6" w:space="0" w:color="000000"/>
              <w:right w:val="nil"/>
              <w:tl2br w:val="nil"/>
              <w:tr2bl w:val="nil"/>
            </w:tcBorders>
            <w:shd w:val="clear" w:color="auto" w:fill="FFFF00"/>
            <w:tcMar>
              <w:left w:w="115" w:type="dxa"/>
              <w:right w:w="115" w:type="dxa"/>
            </w:tcMar>
            <w:vAlign w:val="bottom"/>
          </w:tcPr>
          <w:p w14:paraId="6F5A8D4F" w14:textId="77777777" w:rsidR="003F0EEA" w:rsidRPr="00246AE0" w:rsidRDefault="00FB7D0B">
            <w:pPr>
              <w:jc w:val="right"/>
              <w:rPr>
                <w:rFonts w:ascii="Arial" w:eastAsia="Arial" w:hAnsi="Arial" w:cs="Arial"/>
                <w:b/>
                <w:color w:val="000000"/>
                <w:sz w:val="16"/>
              </w:rPr>
            </w:pPr>
            <w:r w:rsidRPr="00246AE0">
              <w:rPr>
                <w:rFonts w:ascii="Arial" w:eastAsia="Arial" w:hAnsi="Arial" w:cs="Arial"/>
                <w:b/>
                <w:color w:val="000000"/>
                <w:sz w:val="16"/>
              </w:rPr>
              <w:t>1,478  </w:t>
            </w:r>
          </w:p>
        </w:tc>
        <w:tc>
          <w:tcPr>
            <w:tcW w:w="1005"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7FEC142B" w14:textId="77777777" w:rsidR="003F0EEA" w:rsidRPr="00246AE0" w:rsidRDefault="00FB7D0B">
            <w:pPr>
              <w:jc w:val="right"/>
              <w:rPr>
                <w:rFonts w:ascii="Arial" w:eastAsia="Arial" w:hAnsi="Arial" w:cs="Arial"/>
                <w:b/>
                <w:color w:val="000000"/>
                <w:sz w:val="16"/>
              </w:rPr>
            </w:pPr>
            <w:r w:rsidRPr="00246AE0">
              <w:rPr>
                <w:rFonts w:ascii="Arial" w:eastAsia="Arial" w:hAnsi="Arial" w:cs="Arial"/>
                <w:b/>
                <w:color w:val="000000"/>
                <w:sz w:val="16"/>
              </w:rPr>
              <w:t>1,744  </w:t>
            </w:r>
          </w:p>
        </w:tc>
        <w:tc>
          <w:tcPr>
            <w:tcW w:w="1005" w:type="dxa"/>
            <w:tcBorders>
              <w:top w:val="nil"/>
              <w:left w:val="nil"/>
              <w:bottom w:val="single" w:sz="6" w:space="0" w:color="000000"/>
              <w:right w:val="nil"/>
              <w:tl2br w:val="nil"/>
              <w:tr2bl w:val="nil"/>
            </w:tcBorders>
            <w:shd w:val="clear" w:color="auto" w:fill="FFFF00"/>
            <w:tcMar>
              <w:left w:w="115" w:type="dxa"/>
              <w:right w:w="115" w:type="dxa"/>
            </w:tcMar>
            <w:vAlign w:val="bottom"/>
          </w:tcPr>
          <w:p w14:paraId="1ECEBB38" w14:textId="77777777" w:rsidR="003F0EEA" w:rsidRPr="00246AE0" w:rsidRDefault="00FB7D0B">
            <w:pPr>
              <w:jc w:val="right"/>
              <w:rPr>
                <w:rFonts w:ascii="Arial" w:eastAsia="Arial" w:hAnsi="Arial" w:cs="Arial"/>
                <w:b/>
                <w:color w:val="000000"/>
                <w:sz w:val="16"/>
              </w:rPr>
            </w:pPr>
            <w:r w:rsidRPr="00246AE0">
              <w:rPr>
                <w:rFonts w:ascii="Arial" w:eastAsia="Arial" w:hAnsi="Arial" w:cs="Arial"/>
                <w:b/>
                <w:color w:val="000000"/>
                <w:sz w:val="16"/>
              </w:rPr>
              <w:t>2,210  </w:t>
            </w:r>
          </w:p>
        </w:tc>
      </w:tr>
      <w:tr w:rsidR="00724034" w14:paraId="3BCC164C" w14:textId="77777777">
        <w:trPr>
          <w:trHeight w:val="225"/>
        </w:trPr>
        <w:tc>
          <w:tcPr>
            <w:tcW w:w="180" w:type="dxa"/>
            <w:tcBorders>
              <w:top w:val="nil"/>
              <w:left w:val="nil"/>
              <w:bottom w:val="nil"/>
              <w:right w:val="nil"/>
              <w:tl2br w:val="nil"/>
              <w:tr2bl w:val="nil"/>
            </w:tcBorders>
            <w:shd w:val="clear" w:color="auto" w:fill="FFFFFF"/>
            <w:tcMar>
              <w:left w:w="115" w:type="dxa"/>
              <w:right w:w="115" w:type="dxa"/>
            </w:tcMar>
            <w:vAlign w:val="bottom"/>
          </w:tcPr>
          <w:p w14:paraId="6D9BBE8A" w14:textId="77777777" w:rsidR="003F0EEA" w:rsidRPr="00246AE0" w:rsidRDefault="003F0EEA">
            <w:pPr>
              <w:rPr>
                <w:rFonts w:ascii="Arial" w:eastAsia="Arial" w:hAnsi="Arial" w:cs="Arial"/>
                <w:b/>
                <w:color w:val="000000"/>
                <w:sz w:val="16"/>
              </w:rPr>
            </w:pPr>
          </w:p>
        </w:tc>
        <w:tc>
          <w:tcPr>
            <w:tcW w:w="2280" w:type="dxa"/>
            <w:tcBorders>
              <w:top w:val="nil"/>
              <w:left w:val="nil"/>
              <w:bottom w:val="nil"/>
              <w:right w:val="nil"/>
              <w:tl2br w:val="nil"/>
              <w:tr2bl w:val="nil"/>
            </w:tcBorders>
            <w:shd w:val="clear" w:color="auto" w:fill="FFFFFF"/>
            <w:tcMar>
              <w:left w:w="115" w:type="dxa"/>
              <w:right w:w="115" w:type="dxa"/>
            </w:tcMar>
            <w:vAlign w:val="bottom"/>
          </w:tcPr>
          <w:p w14:paraId="0AE9995D" w14:textId="77777777" w:rsidR="003F0EEA" w:rsidRPr="00246AE0" w:rsidRDefault="003F0EEA">
            <w:pPr>
              <w:rPr>
                <w:rFonts w:ascii="Arial" w:eastAsia="Arial" w:hAnsi="Arial" w:cs="Arial"/>
                <w:b/>
                <w:color w:val="000000"/>
                <w:sz w:val="16"/>
              </w:rPr>
            </w:pPr>
          </w:p>
        </w:tc>
        <w:tc>
          <w:tcPr>
            <w:tcW w:w="915" w:type="dxa"/>
            <w:tcBorders>
              <w:top w:val="nil"/>
              <w:left w:val="nil"/>
              <w:bottom w:val="nil"/>
              <w:right w:val="nil"/>
              <w:tl2br w:val="nil"/>
              <w:tr2bl w:val="nil"/>
            </w:tcBorders>
            <w:shd w:val="clear" w:color="auto" w:fill="FFFFFF"/>
            <w:tcMar>
              <w:left w:w="115" w:type="dxa"/>
              <w:right w:w="115" w:type="dxa"/>
            </w:tcMar>
            <w:vAlign w:val="bottom"/>
          </w:tcPr>
          <w:p w14:paraId="3EAD478C" w14:textId="77777777" w:rsidR="003F0EEA" w:rsidRPr="00246AE0" w:rsidRDefault="003F0EEA">
            <w:pPr>
              <w:jc w:val="center"/>
              <w:rPr>
                <w:rFonts w:ascii="Arial" w:eastAsia="Arial" w:hAnsi="Arial" w:cs="Arial"/>
                <w:b/>
                <w:color w:val="000000"/>
                <w:sz w:val="16"/>
                <w:vertAlign w:val="superscript"/>
              </w:rPr>
            </w:pPr>
          </w:p>
        </w:tc>
        <w:tc>
          <w:tcPr>
            <w:tcW w:w="1005" w:type="dxa"/>
            <w:tcBorders>
              <w:top w:val="single" w:sz="6" w:space="0" w:color="000000"/>
              <w:left w:val="nil"/>
              <w:bottom w:val="nil"/>
              <w:right w:val="nil"/>
              <w:tl2br w:val="nil"/>
              <w:tr2bl w:val="nil"/>
            </w:tcBorders>
            <w:shd w:val="clear" w:color="auto" w:fill="FFFF00"/>
            <w:tcMar>
              <w:left w:w="115" w:type="dxa"/>
              <w:right w:w="115" w:type="dxa"/>
            </w:tcMar>
            <w:vAlign w:val="bottom"/>
          </w:tcPr>
          <w:p w14:paraId="189E99A2" w14:textId="77777777" w:rsidR="003F0EEA" w:rsidRPr="00246AE0" w:rsidRDefault="003F0EEA">
            <w:pPr>
              <w:jc w:val="right"/>
              <w:rPr>
                <w:rFonts w:ascii="Arial" w:eastAsia="Arial" w:hAnsi="Arial" w:cs="Arial"/>
                <w:color w:val="000000"/>
                <w:sz w:val="16"/>
                <w:vertAlign w:val="superscript"/>
              </w:rPr>
            </w:pPr>
          </w:p>
        </w:tc>
        <w:tc>
          <w:tcPr>
            <w:tcW w:w="1005"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1778922D" w14:textId="77777777" w:rsidR="003F0EEA" w:rsidRPr="00246AE0" w:rsidRDefault="003F0EEA">
            <w:pPr>
              <w:jc w:val="right"/>
              <w:rPr>
                <w:rFonts w:ascii="Arial" w:eastAsia="Arial" w:hAnsi="Arial" w:cs="Arial"/>
                <w:b/>
                <w:color w:val="000000"/>
                <w:sz w:val="16"/>
                <w:vertAlign w:val="superscript"/>
              </w:rPr>
            </w:pPr>
          </w:p>
        </w:tc>
        <w:tc>
          <w:tcPr>
            <w:tcW w:w="1005" w:type="dxa"/>
            <w:tcBorders>
              <w:top w:val="single" w:sz="6" w:space="0" w:color="000000"/>
              <w:left w:val="nil"/>
              <w:bottom w:val="nil"/>
              <w:right w:val="nil"/>
              <w:tl2br w:val="nil"/>
              <w:tr2bl w:val="nil"/>
            </w:tcBorders>
            <w:shd w:val="clear" w:color="auto" w:fill="FFFF00"/>
            <w:tcMar>
              <w:left w:w="115" w:type="dxa"/>
              <w:right w:w="115" w:type="dxa"/>
            </w:tcMar>
            <w:vAlign w:val="bottom"/>
          </w:tcPr>
          <w:p w14:paraId="078C9647" w14:textId="77777777" w:rsidR="003F0EEA" w:rsidRPr="00246AE0" w:rsidRDefault="003F0EEA">
            <w:pPr>
              <w:jc w:val="right"/>
              <w:rPr>
                <w:rFonts w:ascii="Arial" w:eastAsia="Arial" w:hAnsi="Arial" w:cs="Arial"/>
                <w:b/>
                <w:color w:val="000000"/>
                <w:sz w:val="16"/>
                <w:vertAlign w:val="superscript"/>
              </w:rPr>
            </w:pPr>
          </w:p>
        </w:tc>
        <w:tc>
          <w:tcPr>
            <w:tcW w:w="1005"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376DD1AC" w14:textId="77777777" w:rsidR="003F0EEA" w:rsidRPr="00246AE0" w:rsidRDefault="003F0EEA">
            <w:pPr>
              <w:jc w:val="right"/>
              <w:rPr>
                <w:rFonts w:ascii="Arial" w:eastAsia="Arial" w:hAnsi="Arial" w:cs="Arial"/>
                <w:b/>
                <w:color w:val="000000"/>
                <w:sz w:val="16"/>
                <w:vertAlign w:val="superscript"/>
              </w:rPr>
            </w:pPr>
          </w:p>
        </w:tc>
        <w:tc>
          <w:tcPr>
            <w:tcW w:w="1005" w:type="dxa"/>
            <w:tcBorders>
              <w:top w:val="single" w:sz="6" w:space="0" w:color="000000"/>
              <w:left w:val="nil"/>
              <w:bottom w:val="nil"/>
              <w:right w:val="nil"/>
              <w:tl2br w:val="nil"/>
              <w:tr2bl w:val="nil"/>
            </w:tcBorders>
            <w:shd w:val="clear" w:color="auto" w:fill="FFFF00"/>
            <w:tcMar>
              <w:left w:w="115" w:type="dxa"/>
              <w:right w:w="115" w:type="dxa"/>
            </w:tcMar>
            <w:vAlign w:val="bottom"/>
          </w:tcPr>
          <w:p w14:paraId="0B118FF3" w14:textId="77777777" w:rsidR="003F0EEA" w:rsidRPr="00246AE0" w:rsidRDefault="003F0EEA">
            <w:pPr>
              <w:jc w:val="right"/>
              <w:rPr>
                <w:rFonts w:ascii="Arial" w:eastAsia="Arial" w:hAnsi="Arial" w:cs="Arial"/>
                <w:b/>
                <w:color w:val="000000"/>
                <w:sz w:val="16"/>
                <w:vertAlign w:val="superscript"/>
              </w:rPr>
            </w:pPr>
          </w:p>
        </w:tc>
      </w:tr>
      <w:tr w:rsidR="00FB7D0B" w14:paraId="747792D7" w14:textId="77777777" w:rsidTr="00FB7D0B">
        <w:trPr>
          <w:trHeight w:val="885"/>
        </w:trPr>
        <w:tc>
          <w:tcPr>
            <w:tcW w:w="2460" w:type="dxa"/>
            <w:gridSpan w:val="2"/>
            <w:tcBorders>
              <w:top w:val="nil"/>
              <w:left w:val="nil"/>
              <w:bottom w:val="nil"/>
              <w:right w:val="nil"/>
              <w:tl2br w:val="nil"/>
              <w:tr2bl w:val="nil"/>
            </w:tcBorders>
            <w:shd w:val="clear" w:color="auto" w:fill="FFFFFF"/>
            <w:tcMar>
              <w:left w:w="115" w:type="dxa"/>
              <w:right w:w="115" w:type="dxa"/>
            </w:tcMar>
            <w:vAlign w:val="bottom"/>
          </w:tcPr>
          <w:p w14:paraId="1F804438" w14:textId="77777777" w:rsidR="003F0EEA" w:rsidRPr="00246AE0" w:rsidRDefault="00FB7D0B">
            <w:pPr>
              <w:rPr>
                <w:rFonts w:ascii="Arial" w:eastAsia="Arial" w:hAnsi="Arial" w:cs="Arial"/>
                <w:b/>
                <w:color w:val="000000"/>
                <w:sz w:val="16"/>
                <w:vertAlign w:val="superscript"/>
              </w:rPr>
            </w:pPr>
            <w:r w:rsidRPr="00246AE0">
              <w:rPr>
                <w:rFonts w:ascii="Arial" w:eastAsia="Arial" w:hAnsi="Arial" w:cs="Arial"/>
                <w:color w:val="000000"/>
                <w:sz w:val="16"/>
              </w:rPr>
              <w:t>Medicare Benefits Schedule - Revised Capital Sensitivity Provisions for Diagnostic Imaging Equipment</w:t>
            </w:r>
            <w:r w:rsidRPr="00246AE0">
              <w:rPr>
                <w:rFonts w:ascii="Arial" w:eastAsia="Arial" w:hAnsi="Arial" w:cs="Arial"/>
                <w:color w:val="000000"/>
                <w:sz w:val="16"/>
                <w:vertAlign w:val="superscript"/>
              </w:rPr>
              <w:t>2 </w:t>
            </w:r>
          </w:p>
        </w:tc>
        <w:tc>
          <w:tcPr>
            <w:tcW w:w="915" w:type="dxa"/>
            <w:tcBorders>
              <w:top w:val="nil"/>
              <w:left w:val="nil"/>
              <w:bottom w:val="nil"/>
              <w:right w:val="nil"/>
              <w:tl2br w:val="nil"/>
              <w:tr2bl w:val="nil"/>
            </w:tcBorders>
            <w:shd w:val="clear" w:color="auto" w:fill="FFFFFF"/>
            <w:tcMar>
              <w:left w:w="115" w:type="dxa"/>
              <w:right w:w="115" w:type="dxa"/>
            </w:tcMar>
            <w:vAlign w:val="bottom"/>
          </w:tcPr>
          <w:p w14:paraId="16C5CD52" w14:textId="77777777" w:rsidR="003F0EEA" w:rsidRPr="00246AE0" w:rsidRDefault="00FB7D0B">
            <w:pPr>
              <w:jc w:val="center"/>
              <w:rPr>
                <w:rFonts w:ascii="Arial" w:eastAsia="Arial" w:hAnsi="Arial" w:cs="Arial"/>
                <w:color w:val="000000"/>
                <w:sz w:val="16"/>
                <w:vertAlign w:val="superscript"/>
              </w:rPr>
            </w:pPr>
            <w:r w:rsidRPr="00246AE0">
              <w:rPr>
                <w:rFonts w:ascii="Arial" w:eastAsia="Arial" w:hAnsi="Arial" w:cs="Arial"/>
                <w:color w:val="000000"/>
                <w:sz w:val="16"/>
              </w:rPr>
              <w:t>2.1 </w:t>
            </w:r>
          </w:p>
        </w:tc>
        <w:tc>
          <w:tcPr>
            <w:tcW w:w="1005" w:type="dxa"/>
            <w:tcBorders>
              <w:top w:val="nil"/>
              <w:left w:val="nil"/>
              <w:bottom w:val="nil"/>
              <w:right w:val="nil"/>
              <w:tl2br w:val="nil"/>
              <w:tr2bl w:val="nil"/>
            </w:tcBorders>
            <w:shd w:val="clear" w:color="auto" w:fill="FFFF00"/>
            <w:tcMar>
              <w:left w:w="115" w:type="dxa"/>
              <w:right w:w="115" w:type="dxa"/>
            </w:tcMar>
            <w:vAlign w:val="bottom"/>
          </w:tcPr>
          <w:p w14:paraId="3D628660" w14:textId="77777777" w:rsidR="003F0EEA" w:rsidRPr="00246AE0" w:rsidRDefault="003F0EEA">
            <w:pPr>
              <w:jc w:val="right"/>
              <w:rPr>
                <w:rFonts w:ascii="Arial" w:eastAsia="Arial" w:hAnsi="Arial" w:cs="Arial"/>
                <w:color w:val="000000"/>
                <w:sz w:val="16"/>
              </w:rPr>
            </w:pPr>
          </w:p>
        </w:tc>
        <w:tc>
          <w:tcPr>
            <w:tcW w:w="1005" w:type="dxa"/>
            <w:tcBorders>
              <w:top w:val="nil"/>
              <w:left w:val="nil"/>
              <w:bottom w:val="nil"/>
              <w:right w:val="nil"/>
              <w:tl2br w:val="nil"/>
              <w:tr2bl w:val="nil"/>
            </w:tcBorders>
            <w:shd w:val="clear" w:color="auto" w:fill="FFFFFF"/>
            <w:tcMar>
              <w:left w:w="115" w:type="dxa"/>
              <w:right w:w="115" w:type="dxa"/>
            </w:tcMar>
            <w:vAlign w:val="bottom"/>
          </w:tcPr>
          <w:p w14:paraId="07C9E493" w14:textId="77777777" w:rsidR="003F0EEA" w:rsidRPr="00246AE0" w:rsidRDefault="003F0EEA">
            <w:pPr>
              <w:jc w:val="right"/>
              <w:rPr>
                <w:rFonts w:ascii="Arial" w:eastAsia="Arial" w:hAnsi="Arial" w:cs="Arial"/>
                <w:color w:val="000000"/>
                <w:sz w:val="16"/>
              </w:rPr>
            </w:pPr>
          </w:p>
        </w:tc>
        <w:tc>
          <w:tcPr>
            <w:tcW w:w="1005" w:type="dxa"/>
            <w:tcBorders>
              <w:top w:val="nil"/>
              <w:left w:val="nil"/>
              <w:bottom w:val="nil"/>
              <w:right w:val="nil"/>
              <w:tl2br w:val="nil"/>
              <w:tr2bl w:val="nil"/>
            </w:tcBorders>
            <w:shd w:val="clear" w:color="auto" w:fill="FFFF00"/>
            <w:tcMar>
              <w:left w:w="115" w:type="dxa"/>
              <w:right w:w="115" w:type="dxa"/>
            </w:tcMar>
            <w:vAlign w:val="bottom"/>
          </w:tcPr>
          <w:p w14:paraId="67528AC1" w14:textId="77777777" w:rsidR="003F0EEA" w:rsidRPr="00246AE0" w:rsidRDefault="003F0EEA">
            <w:pPr>
              <w:jc w:val="right"/>
              <w:rPr>
                <w:rFonts w:ascii="Arial" w:eastAsia="Arial" w:hAnsi="Arial" w:cs="Arial"/>
                <w:color w:val="000000"/>
                <w:sz w:val="16"/>
              </w:rPr>
            </w:pPr>
          </w:p>
        </w:tc>
        <w:tc>
          <w:tcPr>
            <w:tcW w:w="1005" w:type="dxa"/>
            <w:tcBorders>
              <w:top w:val="nil"/>
              <w:left w:val="nil"/>
              <w:bottom w:val="nil"/>
              <w:right w:val="nil"/>
              <w:tl2br w:val="nil"/>
              <w:tr2bl w:val="nil"/>
            </w:tcBorders>
            <w:shd w:val="clear" w:color="auto" w:fill="FFFFFF"/>
            <w:tcMar>
              <w:left w:w="115" w:type="dxa"/>
              <w:right w:w="115" w:type="dxa"/>
            </w:tcMar>
            <w:vAlign w:val="bottom"/>
          </w:tcPr>
          <w:p w14:paraId="64A20685" w14:textId="77777777" w:rsidR="003F0EEA" w:rsidRPr="00246AE0" w:rsidRDefault="003F0EEA">
            <w:pPr>
              <w:jc w:val="right"/>
              <w:rPr>
                <w:rFonts w:ascii="Arial" w:eastAsia="Arial" w:hAnsi="Arial" w:cs="Arial"/>
                <w:color w:val="000000"/>
                <w:sz w:val="16"/>
              </w:rPr>
            </w:pPr>
          </w:p>
        </w:tc>
        <w:tc>
          <w:tcPr>
            <w:tcW w:w="1005" w:type="dxa"/>
            <w:tcBorders>
              <w:top w:val="nil"/>
              <w:left w:val="nil"/>
              <w:bottom w:val="nil"/>
              <w:right w:val="nil"/>
              <w:tl2br w:val="nil"/>
              <w:tr2bl w:val="nil"/>
            </w:tcBorders>
            <w:shd w:val="clear" w:color="auto" w:fill="FFFF00"/>
            <w:tcMar>
              <w:left w:w="115" w:type="dxa"/>
              <w:right w:w="115" w:type="dxa"/>
            </w:tcMar>
            <w:vAlign w:val="bottom"/>
          </w:tcPr>
          <w:p w14:paraId="36E1188C" w14:textId="77777777" w:rsidR="003F0EEA" w:rsidRPr="00246AE0" w:rsidRDefault="003F0EEA">
            <w:pPr>
              <w:jc w:val="right"/>
              <w:rPr>
                <w:rFonts w:ascii="Arial" w:eastAsia="Arial" w:hAnsi="Arial" w:cs="Arial"/>
                <w:b/>
                <w:color w:val="000000"/>
                <w:sz w:val="16"/>
              </w:rPr>
            </w:pPr>
          </w:p>
        </w:tc>
      </w:tr>
      <w:tr w:rsidR="00724034" w14:paraId="7801A66D" w14:textId="77777777">
        <w:trPr>
          <w:trHeight w:val="225"/>
        </w:trPr>
        <w:tc>
          <w:tcPr>
            <w:tcW w:w="180" w:type="dxa"/>
            <w:tcBorders>
              <w:top w:val="nil"/>
              <w:left w:val="nil"/>
              <w:bottom w:val="nil"/>
              <w:right w:val="nil"/>
              <w:tl2br w:val="nil"/>
              <w:tr2bl w:val="nil"/>
            </w:tcBorders>
            <w:shd w:val="clear" w:color="auto" w:fill="FFFFFF"/>
            <w:tcMar>
              <w:left w:w="115" w:type="dxa"/>
              <w:right w:w="115" w:type="dxa"/>
            </w:tcMar>
            <w:vAlign w:val="bottom"/>
          </w:tcPr>
          <w:p w14:paraId="2A493619" w14:textId="77777777" w:rsidR="003F0EEA" w:rsidRPr="00246AE0" w:rsidRDefault="003F0EEA">
            <w:pPr>
              <w:rPr>
                <w:rFonts w:ascii="Arial" w:eastAsia="Arial" w:hAnsi="Arial" w:cs="Arial"/>
                <w:color w:val="000000"/>
                <w:sz w:val="16"/>
              </w:rPr>
            </w:pPr>
          </w:p>
        </w:tc>
        <w:tc>
          <w:tcPr>
            <w:tcW w:w="2280" w:type="dxa"/>
            <w:tcBorders>
              <w:top w:val="nil"/>
              <w:left w:val="nil"/>
              <w:bottom w:val="nil"/>
              <w:right w:val="nil"/>
              <w:tl2br w:val="nil"/>
              <w:tr2bl w:val="nil"/>
            </w:tcBorders>
            <w:shd w:val="clear" w:color="auto" w:fill="FFFFFF"/>
            <w:tcMar>
              <w:left w:w="115" w:type="dxa"/>
              <w:right w:w="115" w:type="dxa"/>
            </w:tcMar>
            <w:vAlign w:val="bottom"/>
          </w:tcPr>
          <w:p w14:paraId="55AD1773" w14:textId="77777777" w:rsidR="003F0EEA" w:rsidRPr="00246AE0" w:rsidRDefault="00FB7D0B">
            <w:pPr>
              <w:rPr>
                <w:rFonts w:ascii="Arial" w:eastAsia="Arial" w:hAnsi="Arial" w:cs="Arial"/>
                <w:color w:val="000000"/>
                <w:sz w:val="16"/>
              </w:rPr>
            </w:pPr>
            <w:r w:rsidRPr="00246AE0">
              <w:rPr>
                <w:rFonts w:ascii="Arial" w:eastAsia="Arial" w:hAnsi="Arial" w:cs="Arial"/>
                <w:color w:val="000000"/>
                <w:sz w:val="16"/>
              </w:rPr>
              <w:t>Administered expenses</w:t>
            </w:r>
          </w:p>
        </w:tc>
        <w:tc>
          <w:tcPr>
            <w:tcW w:w="915" w:type="dxa"/>
            <w:tcBorders>
              <w:top w:val="nil"/>
              <w:left w:val="nil"/>
              <w:bottom w:val="nil"/>
              <w:right w:val="nil"/>
              <w:tl2br w:val="nil"/>
              <w:tr2bl w:val="nil"/>
            </w:tcBorders>
            <w:shd w:val="clear" w:color="auto" w:fill="FFFFFF"/>
            <w:tcMar>
              <w:left w:w="115" w:type="dxa"/>
              <w:right w:w="115" w:type="dxa"/>
            </w:tcMar>
            <w:vAlign w:val="bottom"/>
          </w:tcPr>
          <w:p w14:paraId="6C6983B8" w14:textId="77777777" w:rsidR="003F0EEA" w:rsidRPr="00246AE0" w:rsidRDefault="003F0EEA">
            <w:pPr>
              <w:jc w:val="center"/>
              <w:rPr>
                <w:rFonts w:ascii="Arial" w:eastAsia="Arial" w:hAnsi="Arial" w:cs="Arial"/>
                <w:color w:val="000000"/>
                <w:sz w:val="16"/>
                <w:vertAlign w:val="superscript"/>
              </w:rPr>
            </w:pPr>
          </w:p>
        </w:tc>
        <w:tc>
          <w:tcPr>
            <w:tcW w:w="1005" w:type="dxa"/>
            <w:tcBorders>
              <w:top w:val="nil"/>
              <w:left w:val="nil"/>
              <w:bottom w:val="nil"/>
              <w:right w:val="nil"/>
              <w:tl2br w:val="nil"/>
              <w:tr2bl w:val="nil"/>
            </w:tcBorders>
            <w:shd w:val="clear" w:color="auto" w:fill="FFFF00"/>
            <w:tcMar>
              <w:left w:w="115" w:type="dxa"/>
              <w:right w:w="115" w:type="dxa"/>
            </w:tcMar>
            <w:vAlign w:val="bottom"/>
          </w:tcPr>
          <w:p w14:paraId="26EF2E18" w14:textId="77777777" w:rsidR="003F0EEA" w:rsidRPr="00246AE0" w:rsidRDefault="00FB7D0B">
            <w:pPr>
              <w:jc w:val="right"/>
              <w:rPr>
                <w:rFonts w:ascii="Arial" w:eastAsia="Arial" w:hAnsi="Arial" w:cs="Arial"/>
                <w:color w:val="000000"/>
                <w:sz w:val="16"/>
                <w:vertAlign w:val="superscript"/>
              </w:rPr>
            </w:pPr>
            <w:r w:rsidRPr="00246AE0">
              <w:rPr>
                <w:rFonts w:ascii="Arial" w:eastAsia="Arial" w:hAnsi="Arial" w:cs="Arial"/>
                <w:color w:val="000000"/>
                <w:sz w:val="16"/>
              </w:rPr>
              <w:t xml:space="preserve"> - </w:t>
            </w:r>
          </w:p>
        </w:tc>
        <w:tc>
          <w:tcPr>
            <w:tcW w:w="1005" w:type="dxa"/>
            <w:tcBorders>
              <w:top w:val="nil"/>
              <w:left w:val="nil"/>
              <w:bottom w:val="nil"/>
              <w:right w:val="nil"/>
              <w:tl2br w:val="nil"/>
              <w:tr2bl w:val="nil"/>
            </w:tcBorders>
            <w:shd w:val="clear" w:color="auto" w:fill="FFFFFF"/>
            <w:tcMar>
              <w:left w:w="115" w:type="dxa"/>
              <w:right w:w="115" w:type="dxa"/>
            </w:tcMar>
            <w:vAlign w:val="bottom"/>
          </w:tcPr>
          <w:p w14:paraId="40C8191F" w14:textId="77777777" w:rsidR="003F0EEA" w:rsidRPr="00246AE0" w:rsidRDefault="00FB7D0B">
            <w:pPr>
              <w:jc w:val="right"/>
              <w:rPr>
                <w:rFonts w:ascii="Arial" w:eastAsia="Arial" w:hAnsi="Arial" w:cs="Arial"/>
                <w:color w:val="000000"/>
                <w:sz w:val="16"/>
              </w:rPr>
            </w:pPr>
            <w:r w:rsidRPr="00246AE0">
              <w:rPr>
                <w:rFonts w:ascii="Arial" w:eastAsia="Arial" w:hAnsi="Arial" w:cs="Arial"/>
                <w:color w:val="000000"/>
                <w:sz w:val="16"/>
              </w:rPr>
              <w:t>2  </w:t>
            </w:r>
          </w:p>
        </w:tc>
        <w:tc>
          <w:tcPr>
            <w:tcW w:w="1005" w:type="dxa"/>
            <w:tcBorders>
              <w:top w:val="nil"/>
              <w:left w:val="nil"/>
              <w:bottom w:val="nil"/>
              <w:right w:val="nil"/>
              <w:tl2br w:val="nil"/>
              <w:tr2bl w:val="nil"/>
            </w:tcBorders>
            <w:shd w:val="clear" w:color="auto" w:fill="FFFF00"/>
            <w:tcMar>
              <w:left w:w="115" w:type="dxa"/>
              <w:right w:w="115" w:type="dxa"/>
            </w:tcMar>
            <w:vAlign w:val="bottom"/>
          </w:tcPr>
          <w:p w14:paraId="5778A243" w14:textId="77777777" w:rsidR="003F0EEA" w:rsidRPr="00246AE0" w:rsidRDefault="00FB7D0B">
            <w:pPr>
              <w:jc w:val="right"/>
              <w:rPr>
                <w:rFonts w:ascii="Arial" w:eastAsia="Arial" w:hAnsi="Arial" w:cs="Arial"/>
                <w:color w:val="000000"/>
                <w:sz w:val="16"/>
              </w:rPr>
            </w:pPr>
            <w:r w:rsidRPr="00246AE0">
              <w:rPr>
                <w:rFonts w:ascii="Arial" w:eastAsia="Arial" w:hAnsi="Arial" w:cs="Arial"/>
                <w:color w:val="000000"/>
                <w:sz w:val="16"/>
              </w:rPr>
              <w:t>4  </w:t>
            </w:r>
          </w:p>
        </w:tc>
        <w:tc>
          <w:tcPr>
            <w:tcW w:w="1005" w:type="dxa"/>
            <w:tcBorders>
              <w:top w:val="nil"/>
              <w:left w:val="nil"/>
              <w:bottom w:val="nil"/>
              <w:right w:val="nil"/>
              <w:tl2br w:val="nil"/>
              <w:tr2bl w:val="nil"/>
            </w:tcBorders>
            <w:shd w:val="clear" w:color="auto" w:fill="FFFFFF"/>
            <w:tcMar>
              <w:left w:w="115" w:type="dxa"/>
              <w:right w:w="115" w:type="dxa"/>
            </w:tcMar>
            <w:vAlign w:val="bottom"/>
          </w:tcPr>
          <w:p w14:paraId="49F5C2AD" w14:textId="77777777" w:rsidR="003F0EEA" w:rsidRPr="00246AE0" w:rsidRDefault="00FB7D0B">
            <w:pPr>
              <w:jc w:val="right"/>
              <w:rPr>
                <w:rFonts w:ascii="Arial" w:eastAsia="Arial" w:hAnsi="Arial" w:cs="Arial"/>
                <w:color w:val="000000"/>
                <w:sz w:val="16"/>
              </w:rPr>
            </w:pPr>
            <w:r w:rsidRPr="00246AE0">
              <w:rPr>
                <w:rFonts w:ascii="Arial" w:eastAsia="Arial" w:hAnsi="Arial" w:cs="Arial"/>
                <w:color w:val="000000"/>
                <w:sz w:val="16"/>
              </w:rPr>
              <w:t>4  </w:t>
            </w:r>
          </w:p>
        </w:tc>
        <w:tc>
          <w:tcPr>
            <w:tcW w:w="1005" w:type="dxa"/>
            <w:tcBorders>
              <w:top w:val="nil"/>
              <w:left w:val="nil"/>
              <w:bottom w:val="nil"/>
              <w:right w:val="nil"/>
              <w:tl2br w:val="nil"/>
              <w:tr2bl w:val="nil"/>
            </w:tcBorders>
            <w:shd w:val="clear" w:color="auto" w:fill="FFFF00"/>
            <w:tcMar>
              <w:left w:w="115" w:type="dxa"/>
              <w:right w:w="115" w:type="dxa"/>
            </w:tcMar>
            <w:vAlign w:val="bottom"/>
          </w:tcPr>
          <w:p w14:paraId="743A349F" w14:textId="77777777" w:rsidR="003F0EEA" w:rsidRPr="00246AE0" w:rsidRDefault="00FB7D0B">
            <w:pPr>
              <w:jc w:val="right"/>
              <w:rPr>
                <w:rFonts w:ascii="Arial" w:eastAsia="Arial" w:hAnsi="Arial" w:cs="Arial"/>
                <w:color w:val="000000"/>
                <w:sz w:val="16"/>
              </w:rPr>
            </w:pPr>
            <w:r w:rsidRPr="00246AE0">
              <w:rPr>
                <w:rFonts w:ascii="Arial" w:eastAsia="Arial" w:hAnsi="Arial" w:cs="Arial"/>
                <w:color w:val="000000"/>
                <w:sz w:val="16"/>
              </w:rPr>
              <w:t>4  </w:t>
            </w:r>
          </w:p>
        </w:tc>
      </w:tr>
      <w:tr w:rsidR="00724034" w14:paraId="43A552FD" w14:textId="77777777">
        <w:trPr>
          <w:trHeight w:val="225"/>
        </w:trPr>
        <w:tc>
          <w:tcPr>
            <w:tcW w:w="180" w:type="dxa"/>
            <w:tcBorders>
              <w:top w:val="nil"/>
              <w:left w:val="nil"/>
              <w:bottom w:val="nil"/>
              <w:right w:val="nil"/>
              <w:tl2br w:val="nil"/>
              <w:tr2bl w:val="nil"/>
            </w:tcBorders>
            <w:shd w:val="clear" w:color="auto" w:fill="FFFFFF"/>
            <w:tcMar>
              <w:left w:w="115" w:type="dxa"/>
              <w:right w:w="115" w:type="dxa"/>
            </w:tcMar>
            <w:vAlign w:val="bottom"/>
          </w:tcPr>
          <w:p w14:paraId="725AAEBD" w14:textId="77777777" w:rsidR="003F0EEA" w:rsidRPr="00246AE0" w:rsidRDefault="003F0EEA">
            <w:pPr>
              <w:rPr>
                <w:rFonts w:ascii="Arial" w:eastAsia="Arial" w:hAnsi="Arial" w:cs="Arial"/>
                <w:color w:val="000000"/>
                <w:sz w:val="16"/>
              </w:rPr>
            </w:pPr>
          </w:p>
        </w:tc>
        <w:tc>
          <w:tcPr>
            <w:tcW w:w="2280" w:type="dxa"/>
            <w:tcBorders>
              <w:top w:val="nil"/>
              <w:left w:val="nil"/>
              <w:bottom w:val="nil"/>
              <w:right w:val="nil"/>
              <w:tl2br w:val="nil"/>
              <w:tr2bl w:val="nil"/>
            </w:tcBorders>
            <w:shd w:val="clear" w:color="auto" w:fill="FFFFFF"/>
            <w:tcMar>
              <w:left w:w="115" w:type="dxa"/>
              <w:right w:w="115" w:type="dxa"/>
            </w:tcMar>
            <w:vAlign w:val="bottom"/>
          </w:tcPr>
          <w:p w14:paraId="1BEE6E57" w14:textId="77777777" w:rsidR="003F0EEA" w:rsidRPr="00246AE0" w:rsidRDefault="00FB7D0B">
            <w:pPr>
              <w:rPr>
                <w:rFonts w:ascii="Arial" w:eastAsia="Arial" w:hAnsi="Arial" w:cs="Arial"/>
                <w:color w:val="000000"/>
                <w:sz w:val="16"/>
              </w:rPr>
            </w:pPr>
            <w:r w:rsidRPr="00246AE0">
              <w:rPr>
                <w:rFonts w:ascii="Arial" w:eastAsia="Arial" w:hAnsi="Arial" w:cs="Arial"/>
                <w:color w:val="000000"/>
                <w:sz w:val="16"/>
              </w:rPr>
              <w:t>Departmental expenses</w:t>
            </w:r>
          </w:p>
        </w:tc>
        <w:tc>
          <w:tcPr>
            <w:tcW w:w="915" w:type="dxa"/>
            <w:tcBorders>
              <w:top w:val="nil"/>
              <w:left w:val="nil"/>
              <w:bottom w:val="nil"/>
              <w:right w:val="nil"/>
              <w:tl2br w:val="nil"/>
              <w:tr2bl w:val="nil"/>
            </w:tcBorders>
            <w:shd w:val="clear" w:color="auto" w:fill="FFFFFF"/>
            <w:tcMar>
              <w:left w:w="115" w:type="dxa"/>
              <w:right w:w="115" w:type="dxa"/>
            </w:tcMar>
            <w:vAlign w:val="bottom"/>
          </w:tcPr>
          <w:p w14:paraId="250BC5D1" w14:textId="77777777" w:rsidR="003F0EEA" w:rsidRPr="00246AE0" w:rsidRDefault="003F0EEA">
            <w:pPr>
              <w:jc w:val="center"/>
              <w:rPr>
                <w:rFonts w:ascii="Arial" w:eastAsia="Arial" w:hAnsi="Arial" w:cs="Arial"/>
                <w:b/>
                <w:color w:val="000000"/>
                <w:sz w:val="16"/>
                <w:vertAlign w:val="superscript"/>
              </w:rPr>
            </w:pPr>
          </w:p>
        </w:tc>
        <w:tc>
          <w:tcPr>
            <w:tcW w:w="1005" w:type="dxa"/>
            <w:tcBorders>
              <w:top w:val="nil"/>
              <w:left w:val="nil"/>
              <w:bottom w:val="nil"/>
              <w:right w:val="nil"/>
              <w:tl2br w:val="nil"/>
              <w:tr2bl w:val="nil"/>
            </w:tcBorders>
            <w:shd w:val="clear" w:color="auto" w:fill="FFFF00"/>
            <w:tcMar>
              <w:left w:w="115" w:type="dxa"/>
              <w:right w:w="115" w:type="dxa"/>
            </w:tcMar>
            <w:vAlign w:val="bottom"/>
          </w:tcPr>
          <w:p w14:paraId="4FB09DF8" w14:textId="77777777" w:rsidR="003F0EEA" w:rsidRPr="00246AE0" w:rsidRDefault="00FB7D0B">
            <w:pPr>
              <w:jc w:val="right"/>
              <w:rPr>
                <w:rFonts w:ascii="Arial" w:eastAsia="Arial" w:hAnsi="Arial" w:cs="Arial"/>
                <w:color w:val="000000"/>
                <w:sz w:val="16"/>
                <w:vertAlign w:val="superscript"/>
              </w:rPr>
            </w:pPr>
            <w:r w:rsidRPr="00246AE0">
              <w:rPr>
                <w:rFonts w:ascii="Arial" w:eastAsia="Arial" w:hAnsi="Arial" w:cs="Arial"/>
                <w:color w:val="000000"/>
                <w:sz w:val="16"/>
              </w:rPr>
              <w:t xml:space="preserve"> - </w:t>
            </w:r>
          </w:p>
        </w:tc>
        <w:tc>
          <w:tcPr>
            <w:tcW w:w="1005" w:type="dxa"/>
            <w:tcBorders>
              <w:top w:val="nil"/>
              <w:left w:val="nil"/>
              <w:bottom w:val="nil"/>
              <w:right w:val="nil"/>
              <w:tl2br w:val="nil"/>
              <w:tr2bl w:val="nil"/>
            </w:tcBorders>
            <w:shd w:val="clear" w:color="auto" w:fill="FFFFFF"/>
            <w:tcMar>
              <w:left w:w="115" w:type="dxa"/>
              <w:right w:w="115" w:type="dxa"/>
            </w:tcMar>
            <w:vAlign w:val="bottom"/>
          </w:tcPr>
          <w:p w14:paraId="45A91207" w14:textId="77777777" w:rsidR="003F0EEA" w:rsidRPr="00246AE0" w:rsidRDefault="00FB7D0B">
            <w:pPr>
              <w:jc w:val="right"/>
              <w:rPr>
                <w:rFonts w:ascii="Arial" w:eastAsia="Arial" w:hAnsi="Arial" w:cs="Arial"/>
                <w:color w:val="000000"/>
                <w:sz w:val="16"/>
              </w:rPr>
            </w:pPr>
            <w:r w:rsidRPr="00246AE0">
              <w:rPr>
                <w:rFonts w:ascii="Arial" w:eastAsia="Arial" w:hAnsi="Arial" w:cs="Arial"/>
                <w:color w:val="000000"/>
                <w:sz w:val="16"/>
              </w:rPr>
              <w:t xml:space="preserve"> - </w:t>
            </w:r>
          </w:p>
        </w:tc>
        <w:tc>
          <w:tcPr>
            <w:tcW w:w="1005" w:type="dxa"/>
            <w:tcBorders>
              <w:top w:val="nil"/>
              <w:left w:val="nil"/>
              <w:bottom w:val="nil"/>
              <w:right w:val="nil"/>
              <w:tl2br w:val="nil"/>
              <w:tr2bl w:val="nil"/>
            </w:tcBorders>
            <w:shd w:val="clear" w:color="auto" w:fill="FFFF00"/>
            <w:tcMar>
              <w:left w:w="115" w:type="dxa"/>
              <w:right w:w="115" w:type="dxa"/>
            </w:tcMar>
            <w:vAlign w:val="bottom"/>
          </w:tcPr>
          <w:p w14:paraId="022575B5" w14:textId="77777777" w:rsidR="003F0EEA" w:rsidRPr="00246AE0" w:rsidRDefault="00FB7D0B">
            <w:pPr>
              <w:jc w:val="right"/>
              <w:rPr>
                <w:rFonts w:ascii="Arial" w:eastAsia="Arial" w:hAnsi="Arial" w:cs="Arial"/>
                <w:color w:val="000000"/>
                <w:sz w:val="16"/>
              </w:rPr>
            </w:pPr>
            <w:r w:rsidRPr="00246AE0">
              <w:rPr>
                <w:rFonts w:ascii="Arial" w:eastAsia="Arial" w:hAnsi="Arial" w:cs="Arial"/>
                <w:color w:val="000000"/>
                <w:sz w:val="16"/>
              </w:rPr>
              <w:t xml:space="preserve"> - </w:t>
            </w:r>
          </w:p>
        </w:tc>
        <w:tc>
          <w:tcPr>
            <w:tcW w:w="1005" w:type="dxa"/>
            <w:tcBorders>
              <w:top w:val="nil"/>
              <w:left w:val="nil"/>
              <w:bottom w:val="nil"/>
              <w:right w:val="nil"/>
              <w:tl2br w:val="nil"/>
              <w:tr2bl w:val="nil"/>
            </w:tcBorders>
            <w:shd w:val="clear" w:color="auto" w:fill="FFFFFF"/>
            <w:tcMar>
              <w:left w:w="115" w:type="dxa"/>
              <w:right w:w="115" w:type="dxa"/>
            </w:tcMar>
            <w:vAlign w:val="bottom"/>
          </w:tcPr>
          <w:p w14:paraId="72214817" w14:textId="77777777" w:rsidR="003F0EEA" w:rsidRPr="00246AE0" w:rsidRDefault="00FB7D0B">
            <w:pPr>
              <w:jc w:val="right"/>
              <w:rPr>
                <w:rFonts w:ascii="Arial" w:eastAsia="Arial" w:hAnsi="Arial" w:cs="Arial"/>
                <w:color w:val="000000"/>
                <w:sz w:val="16"/>
              </w:rPr>
            </w:pPr>
            <w:r w:rsidRPr="00246AE0">
              <w:rPr>
                <w:rFonts w:ascii="Arial" w:eastAsia="Arial" w:hAnsi="Arial" w:cs="Arial"/>
                <w:color w:val="000000"/>
                <w:sz w:val="16"/>
              </w:rPr>
              <w:t xml:space="preserve"> - </w:t>
            </w:r>
          </w:p>
        </w:tc>
        <w:tc>
          <w:tcPr>
            <w:tcW w:w="1005" w:type="dxa"/>
            <w:tcBorders>
              <w:top w:val="nil"/>
              <w:left w:val="nil"/>
              <w:bottom w:val="nil"/>
              <w:right w:val="nil"/>
              <w:tl2br w:val="nil"/>
              <w:tr2bl w:val="nil"/>
            </w:tcBorders>
            <w:shd w:val="clear" w:color="auto" w:fill="FFFF00"/>
            <w:tcMar>
              <w:left w:w="115" w:type="dxa"/>
              <w:right w:w="115" w:type="dxa"/>
            </w:tcMar>
            <w:vAlign w:val="bottom"/>
          </w:tcPr>
          <w:p w14:paraId="01D78210" w14:textId="77777777" w:rsidR="003F0EEA" w:rsidRPr="00246AE0" w:rsidRDefault="00FB7D0B">
            <w:pPr>
              <w:jc w:val="right"/>
              <w:rPr>
                <w:rFonts w:ascii="Arial" w:eastAsia="Arial" w:hAnsi="Arial" w:cs="Arial"/>
                <w:color w:val="000000"/>
                <w:sz w:val="16"/>
              </w:rPr>
            </w:pPr>
            <w:r w:rsidRPr="00246AE0">
              <w:rPr>
                <w:rFonts w:ascii="Arial" w:eastAsia="Arial" w:hAnsi="Arial" w:cs="Arial"/>
                <w:color w:val="000000"/>
                <w:sz w:val="16"/>
              </w:rPr>
              <w:t xml:space="preserve"> - </w:t>
            </w:r>
          </w:p>
        </w:tc>
      </w:tr>
      <w:tr w:rsidR="00FB7D0B" w14:paraId="1C2CAA61" w14:textId="77777777" w:rsidTr="00FB7D0B">
        <w:trPr>
          <w:trHeight w:val="225"/>
        </w:trPr>
        <w:tc>
          <w:tcPr>
            <w:tcW w:w="2460" w:type="dxa"/>
            <w:gridSpan w:val="2"/>
            <w:tcBorders>
              <w:top w:val="nil"/>
              <w:left w:val="nil"/>
              <w:bottom w:val="nil"/>
              <w:right w:val="nil"/>
              <w:tl2br w:val="nil"/>
              <w:tr2bl w:val="nil"/>
            </w:tcBorders>
            <w:shd w:val="clear" w:color="auto" w:fill="FFFFFF"/>
            <w:tcMar>
              <w:left w:w="115" w:type="dxa"/>
              <w:right w:w="115" w:type="dxa"/>
            </w:tcMar>
            <w:vAlign w:val="bottom"/>
          </w:tcPr>
          <w:p w14:paraId="386D9013" w14:textId="77777777" w:rsidR="003F0EEA" w:rsidRPr="00246AE0" w:rsidRDefault="00FB7D0B">
            <w:pPr>
              <w:rPr>
                <w:rFonts w:ascii="Arial" w:eastAsia="Arial" w:hAnsi="Arial" w:cs="Arial"/>
                <w:color w:val="000000"/>
                <w:sz w:val="16"/>
              </w:rPr>
            </w:pPr>
            <w:r w:rsidRPr="00246AE0">
              <w:rPr>
                <w:rFonts w:ascii="Arial" w:eastAsia="Arial" w:hAnsi="Arial" w:cs="Arial"/>
                <w:b/>
                <w:color w:val="000000"/>
                <w:sz w:val="16"/>
              </w:rPr>
              <w:t xml:space="preserve">Total </w:t>
            </w:r>
          </w:p>
        </w:tc>
        <w:tc>
          <w:tcPr>
            <w:tcW w:w="915" w:type="dxa"/>
            <w:tcBorders>
              <w:top w:val="nil"/>
              <w:left w:val="nil"/>
              <w:bottom w:val="nil"/>
              <w:right w:val="nil"/>
              <w:tl2br w:val="nil"/>
              <w:tr2bl w:val="nil"/>
            </w:tcBorders>
            <w:shd w:val="clear" w:color="auto" w:fill="FFFFFF"/>
            <w:tcMar>
              <w:left w:w="115" w:type="dxa"/>
              <w:right w:w="115" w:type="dxa"/>
            </w:tcMar>
            <w:vAlign w:val="bottom"/>
          </w:tcPr>
          <w:p w14:paraId="5E3D036A" w14:textId="77777777" w:rsidR="003F0EEA" w:rsidRPr="00246AE0" w:rsidRDefault="003F0EEA">
            <w:pPr>
              <w:jc w:val="center"/>
              <w:rPr>
                <w:rFonts w:ascii="Arial" w:eastAsia="Arial" w:hAnsi="Arial" w:cs="Arial"/>
                <w:b/>
                <w:color w:val="000000"/>
                <w:sz w:val="16"/>
                <w:vertAlign w:val="superscript"/>
              </w:rPr>
            </w:pPr>
          </w:p>
        </w:tc>
        <w:tc>
          <w:tcPr>
            <w:tcW w:w="1005" w:type="dxa"/>
            <w:tcBorders>
              <w:top w:val="nil"/>
              <w:left w:val="nil"/>
              <w:bottom w:val="single" w:sz="6" w:space="0" w:color="000000"/>
              <w:right w:val="nil"/>
              <w:tl2br w:val="nil"/>
              <w:tr2bl w:val="nil"/>
            </w:tcBorders>
            <w:shd w:val="clear" w:color="auto" w:fill="FFFF00"/>
            <w:tcMar>
              <w:left w:w="115" w:type="dxa"/>
              <w:right w:w="115" w:type="dxa"/>
            </w:tcMar>
            <w:vAlign w:val="bottom"/>
          </w:tcPr>
          <w:p w14:paraId="65B8E388" w14:textId="77777777" w:rsidR="003F0EEA" w:rsidRPr="00246AE0" w:rsidRDefault="00FB7D0B">
            <w:pPr>
              <w:jc w:val="right"/>
              <w:rPr>
                <w:rFonts w:ascii="Arial" w:eastAsia="Arial" w:hAnsi="Arial" w:cs="Arial"/>
                <w:color w:val="000000"/>
                <w:sz w:val="16"/>
                <w:vertAlign w:val="superscript"/>
              </w:rPr>
            </w:pPr>
            <w:r w:rsidRPr="00246AE0">
              <w:rPr>
                <w:rFonts w:ascii="Arial" w:eastAsia="Arial" w:hAnsi="Arial" w:cs="Arial"/>
                <w:b/>
                <w:color w:val="000000"/>
                <w:sz w:val="16"/>
              </w:rPr>
              <w:t xml:space="preserve"> - </w:t>
            </w:r>
          </w:p>
        </w:tc>
        <w:tc>
          <w:tcPr>
            <w:tcW w:w="1005"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00FDB313" w14:textId="77777777" w:rsidR="003F0EEA" w:rsidRPr="00246AE0" w:rsidRDefault="00FB7D0B">
            <w:pPr>
              <w:jc w:val="right"/>
              <w:rPr>
                <w:rFonts w:ascii="Arial" w:eastAsia="Arial" w:hAnsi="Arial" w:cs="Arial"/>
                <w:b/>
                <w:color w:val="000000"/>
                <w:sz w:val="16"/>
              </w:rPr>
            </w:pPr>
            <w:r w:rsidRPr="00246AE0">
              <w:rPr>
                <w:rFonts w:ascii="Arial" w:eastAsia="Arial" w:hAnsi="Arial" w:cs="Arial"/>
                <w:b/>
                <w:color w:val="000000"/>
                <w:sz w:val="16"/>
              </w:rPr>
              <w:t>2  </w:t>
            </w:r>
          </w:p>
        </w:tc>
        <w:tc>
          <w:tcPr>
            <w:tcW w:w="1005" w:type="dxa"/>
            <w:tcBorders>
              <w:top w:val="nil"/>
              <w:left w:val="nil"/>
              <w:bottom w:val="single" w:sz="6" w:space="0" w:color="000000"/>
              <w:right w:val="nil"/>
              <w:tl2br w:val="nil"/>
              <w:tr2bl w:val="nil"/>
            </w:tcBorders>
            <w:shd w:val="clear" w:color="auto" w:fill="FFFF00"/>
            <w:tcMar>
              <w:left w:w="115" w:type="dxa"/>
              <w:right w:w="115" w:type="dxa"/>
            </w:tcMar>
            <w:vAlign w:val="bottom"/>
          </w:tcPr>
          <w:p w14:paraId="1FCB8B23" w14:textId="77777777" w:rsidR="003F0EEA" w:rsidRPr="00246AE0" w:rsidRDefault="00FB7D0B">
            <w:pPr>
              <w:jc w:val="right"/>
              <w:rPr>
                <w:rFonts w:ascii="Arial" w:eastAsia="Arial" w:hAnsi="Arial" w:cs="Arial"/>
                <w:b/>
                <w:color w:val="000000"/>
                <w:sz w:val="16"/>
              </w:rPr>
            </w:pPr>
            <w:r w:rsidRPr="00246AE0">
              <w:rPr>
                <w:rFonts w:ascii="Arial" w:eastAsia="Arial" w:hAnsi="Arial" w:cs="Arial"/>
                <w:b/>
                <w:color w:val="000000"/>
                <w:sz w:val="16"/>
              </w:rPr>
              <w:t>4  </w:t>
            </w:r>
          </w:p>
        </w:tc>
        <w:tc>
          <w:tcPr>
            <w:tcW w:w="1005"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5EA59023" w14:textId="77777777" w:rsidR="003F0EEA" w:rsidRPr="00246AE0" w:rsidRDefault="00FB7D0B">
            <w:pPr>
              <w:jc w:val="right"/>
              <w:rPr>
                <w:rFonts w:ascii="Arial" w:eastAsia="Arial" w:hAnsi="Arial" w:cs="Arial"/>
                <w:b/>
                <w:color w:val="000000"/>
                <w:sz w:val="16"/>
              </w:rPr>
            </w:pPr>
            <w:r w:rsidRPr="00246AE0">
              <w:rPr>
                <w:rFonts w:ascii="Arial" w:eastAsia="Arial" w:hAnsi="Arial" w:cs="Arial"/>
                <w:b/>
                <w:color w:val="000000"/>
                <w:sz w:val="16"/>
              </w:rPr>
              <w:t>4  </w:t>
            </w:r>
          </w:p>
        </w:tc>
        <w:tc>
          <w:tcPr>
            <w:tcW w:w="1005" w:type="dxa"/>
            <w:tcBorders>
              <w:top w:val="nil"/>
              <w:left w:val="nil"/>
              <w:bottom w:val="single" w:sz="6" w:space="0" w:color="000000"/>
              <w:right w:val="nil"/>
              <w:tl2br w:val="nil"/>
              <w:tr2bl w:val="nil"/>
            </w:tcBorders>
            <w:shd w:val="clear" w:color="auto" w:fill="FFFF00"/>
            <w:tcMar>
              <w:left w:w="115" w:type="dxa"/>
              <w:right w:w="115" w:type="dxa"/>
            </w:tcMar>
            <w:vAlign w:val="bottom"/>
          </w:tcPr>
          <w:p w14:paraId="10976C91" w14:textId="77777777" w:rsidR="003F0EEA" w:rsidRPr="00246AE0" w:rsidRDefault="00FB7D0B">
            <w:pPr>
              <w:jc w:val="right"/>
              <w:rPr>
                <w:rFonts w:ascii="Arial" w:eastAsia="Arial" w:hAnsi="Arial" w:cs="Arial"/>
                <w:b/>
                <w:color w:val="000000"/>
                <w:sz w:val="16"/>
              </w:rPr>
            </w:pPr>
            <w:r w:rsidRPr="00246AE0">
              <w:rPr>
                <w:rFonts w:ascii="Arial" w:eastAsia="Arial" w:hAnsi="Arial" w:cs="Arial"/>
                <w:b/>
                <w:color w:val="000000"/>
                <w:sz w:val="16"/>
              </w:rPr>
              <w:t>4  </w:t>
            </w:r>
          </w:p>
        </w:tc>
      </w:tr>
      <w:tr w:rsidR="00FB7D0B" w14:paraId="29178294" w14:textId="77777777" w:rsidTr="00FB7D0B">
        <w:trPr>
          <w:trHeight w:val="225"/>
        </w:trPr>
        <w:tc>
          <w:tcPr>
            <w:tcW w:w="180" w:type="dxa"/>
            <w:tcBorders>
              <w:top w:val="nil"/>
              <w:left w:val="nil"/>
              <w:bottom w:val="nil"/>
              <w:right w:val="nil"/>
              <w:tl2br w:val="nil"/>
              <w:tr2bl w:val="nil"/>
            </w:tcBorders>
            <w:shd w:val="clear" w:color="auto" w:fill="FFFFFF"/>
            <w:tcMar>
              <w:left w:w="115" w:type="dxa"/>
              <w:right w:w="115" w:type="dxa"/>
            </w:tcMar>
            <w:vAlign w:val="bottom"/>
          </w:tcPr>
          <w:p w14:paraId="78910B73" w14:textId="77777777" w:rsidR="003F0EEA" w:rsidRPr="00246AE0" w:rsidRDefault="003F0EEA">
            <w:pPr>
              <w:rPr>
                <w:rFonts w:ascii="Arial" w:eastAsia="Arial" w:hAnsi="Arial" w:cs="Arial"/>
                <w:b/>
                <w:color w:val="000000"/>
                <w:sz w:val="16"/>
              </w:rPr>
            </w:pPr>
          </w:p>
        </w:tc>
        <w:tc>
          <w:tcPr>
            <w:tcW w:w="2280" w:type="dxa"/>
            <w:tcBorders>
              <w:top w:val="nil"/>
              <w:left w:val="nil"/>
              <w:bottom w:val="nil"/>
              <w:right w:val="nil"/>
              <w:tl2br w:val="nil"/>
              <w:tr2bl w:val="nil"/>
            </w:tcBorders>
            <w:shd w:val="clear" w:color="auto" w:fill="FFFFFF"/>
            <w:tcMar>
              <w:left w:w="115" w:type="dxa"/>
              <w:right w:w="115" w:type="dxa"/>
            </w:tcMar>
            <w:vAlign w:val="bottom"/>
          </w:tcPr>
          <w:p w14:paraId="6F712E2A" w14:textId="77777777" w:rsidR="003F0EEA" w:rsidRPr="00246AE0" w:rsidRDefault="003F0EEA">
            <w:pPr>
              <w:rPr>
                <w:rFonts w:ascii="Arial" w:eastAsia="Arial" w:hAnsi="Arial" w:cs="Arial"/>
                <w:color w:val="000000"/>
                <w:sz w:val="16"/>
              </w:rPr>
            </w:pPr>
          </w:p>
        </w:tc>
        <w:tc>
          <w:tcPr>
            <w:tcW w:w="915" w:type="dxa"/>
            <w:tcBorders>
              <w:top w:val="nil"/>
              <w:left w:val="nil"/>
              <w:bottom w:val="nil"/>
              <w:right w:val="nil"/>
              <w:tl2br w:val="nil"/>
              <w:tr2bl w:val="nil"/>
            </w:tcBorders>
            <w:shd w:val="clear" w:color="auto" w:fill="FFFFFF"/>
            <w:tcMar>
              <w:left w:w="115" w:type="dxa"/>
              <w:right w:w="115" w:type="dxa"/>
            </w:tcMar>
            <w:vAlign w:val="bottom"/>
          </w:tcPr>
          <w:p w14:paraId="6404F6F8" w14:textId="77777777" w:rsidR="003F0EEA" w:rsidRPr="00246AE0" w:rsidRDefault="003F0EEA">
            <w:pPr>
              <w:rPr>
                <w:rFonts w:ascii="Arial" w:eastAsia="Arial" w:hAnsi="Arial" w:cs="Arial"/>
                <w:color w:val="000000"/>
                <w:sz w:val="16"/>
                <w:vertAlign w:val="superscript"/>
              </w:rPr>
            </w:pPr>
          </w:p>
        </w:tc>
        <w:tc>
          <w:tcPr>
            <w:tcW w:w="1005"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2D836FB9" w14:textId="77777777" w:rsidR="003F0EEA" w:rsidRPr="00246AE0" w:rsidRDefault="003F0EEA">
            <w:pPr>
              <w:rPr>
                <w:rFonts w:ascii="Arial" w:eastAsia="Arial" w:hAnsi="Arial" w:cs="Arial"/>
                <w:color w:val="000000"/>
                <w:sz w:val="16"/>
                <w:vertAlign w:val="superscript"/>
              </w:rPr>
            </w:pPr>
          </w:p>
        </w:tc>
        <w:tc>
          <w:tcPr>
            <w:tcW w:w="1005"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2661C7B4" w14:textId="77777777" w:rsidR="003F0EEA" w:rsidRPr="00246AE0" w:rsidRDefault="003F0EEA">
            <w:pPr>
              <w:rPr>
                <w:rFonts w:ascii="Arial" w:eastAsia="Arial" w:hAnsi="Arial" w:cs="Arial"/>
                <w:color w:val="000000"/>
                <w:sz w:val="16"/>
                <w:vertAlign w:val="superscript"/>
              </w:rPr>
            </w:pPr>
          </w:p>
        </w:tc>
        <w:tc>
          <w:tcPr>
            <w:tcW w:w="3015" w:type="dxa"/>
            <w:gridSpan w:val="3"/>
            <w:tcBorders>
              <w:top w:val="single" w:sz="6" w:space="0" w:color="000000"/>
              <w:left w:val="nil"/>
              <w:bottom w:val="nil"/>
              <w:right w:val="nil"/>
              <w:tl2br w:val="nil"/>
              <w:tr2bl w:val="nil"/>
            </w:tcBorders>
            <w:shd w:val="clear" w:color="auto" w:fill="FFFFFF"/>
            <w:tcMar>
              <w:left w:w="115" w:type="dxa"/>
              <w:right w:w="115" w:type="dxa"/>
            </w:tcMar>
            <w:vAlign w:val="bottom"/>
          </w:tcPr>
          <w:p w14:paraId="10370069" w14:textId="77777777" w:rsidR="003F0EEA" w:rsidRPr="00246AE0" w:rsidRDefault="00FB7D0B">
            <w:pPr>
              <w:jc w:val="right"/>
              <w:rPr>
                <w:rFonts w:ascii="Arial" w:eastAsia="Arial" w:hAnsi="Arial" w:cs="Arial"/>
                <w:color w:val="000000"/>
                <w:sz w:val="16"/>
                <w:vertAlign w:val="superscript"/>
              </w:rPr>
            </w:pPr>
            <w:r w:rsidRPr="00246AE0">
              <w:rPr>
                <w:rFonts w:ascii="Arial" w:eastAsia="Arial" w:hAnsi="Arial" w:cs="Arial"/>
                <w:color w:val="000000"/>
                <w:sz w:val="16"/>
              </w:rPr>
              <w:t>Continued on next page</w:t>
            </w:r>
          </w:p>
        </w:tc>
      </w:tr>
      <w:tr w:rsidR="00FB7D0B" w14:paraId="68292E88" w14:textId="77777777" w:rsidTr="00FB7D0B">
        <w:trPr>
          <w:trHeight w:val="225"/>
        </w:trPr>
        <w:tc>
          <w:tcPr>
            <w:tcW w:w="5385" w:type="dxa"/>
            <w:gridSpan w:val="5"/>
            <w:tcBorders>
              <w:top w:val="nil"/>
              <w:left w:val="nil"/>
              <w:bottom w:val="nil"/>
              <w:right w:val="nil"/>
              <w:tl2br w:val="nil"/>
              <w:tr2bl w:val="nil"/>
            </w:tcBorders>
            <w:shd w:val="clear" w:color="auto" w:fill="FFFFFF"/>
            <w:tcMar>
              <w:left w:w="115" w:type="dxa"/>
              <w:right w:w="115" w:type="dxa"/>
            </w:tcMar>
            <w:vAlign w:val="bottom"/>
          </w:tcPr>
          <w:p w14:paraId="05F937B8" w14:textId="77777777" w:rsidR="003F0EEA" w:rsidRPr="00246AE0" w:rsidRDefault="00FB7D0B">
            <w:pPr>
              <w:rPr>
                <w:rFonts w:ascii="Arial" w:eastAsia="Arial" w:hAnsi="Arial" w:cs="Arial"/>
                <w:color w:val="000000"/>
                <w:sz w:val="16"/>
              </w:rPr>
            </w:pPr>
            <w:r w:rsidRPr="00246AE0">
              <w:rPr>
                <w:rFonts w:ascii="Arial" w:eastAsia="Arial" w:hAnsi="Arial" w:cs="Arial"/>
                <w:color w:val="000000"/>
                <w:sz w:val="16"/>
              </w:rPr>
              <w:t>Prepared on a Government Finance Statistics (fiscal) basis</w:t>
            </w:r>
          </w:p>
        </w:tc>
        <w:tc>
          <w:tcPr>
            <w:tcW w:w="1005" w:type="dxa"/>
            <w:tcBorders>
              <w:top w:val="nil"/>
              <w:left w:val="nil"/>
              <w:bottom w:val="nil"/>
              <w:right w:val="nil"/>
              <w:tl2br w:val="nil"/>
              <w:tr2bl w:val="nil"/>
            </w:tcBorders>
            <w:shd w:val="clear" w:color="auto" w:fill="FFFFFF"/>
            <w:tcMar>
              <w:left w:w="115" w:type="dxa"/>
              <w:right w:w="115" w:type="dxa"/>
            </w:tcMar>
            <w:vAlign w:val="bottom"/>
          </w:tcPr>
          <w:p w14:paraId="44DB3A0D" w14:textId="77777777" w:rsidR="003F0EEA" w:rsidRPr="00246AE0" w:rsidRDefault="003F0EEA">
            <w:pPr>
              <w:rPr>
                <w:rFonts w:ascii="Arial" w:eastAsia="Arial" w:hAnsi="Arial" w:cs="Arial"/>
                <w:color w:val="000000"/>
                <w:sz w:val="16"/>
              </w:rPr>
            </w:pPr>
          </w:p>
        </w:tc>
        <w:tc>
          <w:tcPr>
            <w:tcW w:w="1005" w:type="dxa"/>
            <w:tcBorders>
              <w:top w:val="nil"/>
              <w:left w:val="nil"/>
              <w:bottom w:val="nil"/>
              <w:right w:val="nil"/>
              <w:tl2br w:val="nil"/>
              <w:tr2bl w:val="nil"/>
            </w:tcBorders>
            <w:shd w:val="clear" w:color="auto" w:fill="FFFFFF"/>
            <w:tcMar>
              <w:left w:w="115" w:type="dxa"/>
              <w:right w:w="115" w:type="dxa"/>
            </w:tcMar>
            <w:vAlign w:val="bottom"/>
          </w:tcPr>
          <w:p w14:paraId="294EE502" w14:textId="77777777" w:rsidR="003F0EEA" w:rsidRPr="00246AE0" w:rsidRDefault="003F0EEA">
            <w:pPr>
              <w:rPr>
                <w:rFonts w:ascii="Arial" w:eastAsia="Arial" w:hAnsi="Arial" w:cs="Arial"/>
                <w:color w:val="000000"/>
                <w:sz w:val="16"/>
              </w:rPr>
            </w:pPr>
          </w:p>
        </w:tc>
        <w:tc>
          <w:tcPr>
            <w:tcW w:w="1005" w:type="dxa"/>
            <w:tcBorders>
              <w:top w:val="nil"/>
              <w:left w:val="nil"/>
              <w:bottom w:val="nil"/>
              <w:right w:val="nil"/>
              <w:tl2br w:val="nil"/>
              <w:tr2bl w:val="nil"/>
            </w:tcBorders>
            <w:shd w:val="clear" w:color="auto" w:fill="FFFFFF"/>
            <w:tcMar>
              <w:left w:w="115" w:type="dxa"/>
              <w:right w:w="115" w:type="dxa"/>
            </w:tcMar>
            <w:vAlign w:val="bottom"/>
          </w:tcPr>
          <w:p w14:paraId="52B440DD" w14:textId="77777777" w:rsidR="003F0EEA" w:rsidRPr="00246AE0" w:rsidRDefault="003F0EEA">
            <w:pPr>
              <w:rPr>
                <w:rFonts w:ascii="Arial" w:eastAsia="Arial" w:hAnsi="Arial" w:cs="Arial"/>
                <w:color w:val="000000"/>
                <w:sz w:val="16"/>
              </w:rPr>
            </w:pPr>
          </w:p>
        </w:tc>
      </w:tr>
    </w:tbl>
    <w:p w14:paraId="0EEB05DB" w14:textId="77777777" w:rsidR="003F0EEA" w:rsidRPr="00246AE0" w:rsidRDefault="00FB7D0B">
      <w:pPr>
        <w:spacing w:line="14" w:lineRule="exact"/>
        <w:rPr>
          <w:rFonts w:eastAsia="Times New Roman" w:cs="Times New Roman"/>
        </w:rPr>
      </w:pPr>
      <w:r w:rsidRPr="00246AE0">
        <w:rPr>
          <w:rFonts w:eastAsia="Times New Roman" w:cs="Times New Roman"/>
        </w:rPr>
        <w:br w:type="page"/>
      </w:r>
    </w:p>
    <w:p w14:paraId="694C4BFE" w14:textId="77777777" w:rsidR="003F0EEA" w:rsidRPr="007114D9" w:rsidRDefault="00FB7D0B" w:rsidP="003F0EEA">
      <w:pPr>
        <w:pStyle w:val="TableHeadingcontinued7"/>
        <w:spacing w:after="0"/>
      </w:pPr>
      <w:r w:rsidRPr="00B54316">
        <w:t xml:space="preserve">Table 1.2: </w:t>
      </w:r>
      <w:r>
        <w:t xml:space="preserve">Department of Veterans' Affairs </w:t>
      </w:r>
      <w:r w:rsidRPr="00B54316">
        <w:t xml:space="preserve">2014-15 </w:t>
      </w:r>
      <w:r>
        <w:t xml:space="preserve">Budget measures </w:t>
      </w:r>
      <w:r w:rsidRPr="00A61101">
        <w:t>(continued)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0"/>
        <w:gridCol w:w="2280"/>
        <w:gridCol w:w="915"/>
        <w:gridCol w:w="1005"/>
        <w:gridCol w:w="1005"/>
        <w:gridCol w:w="1005"/>
        <w:gridCol w:w="1005"/>
        <w:gridCol w:w="1005"/>
      </w:tblGrid>
      <w:tr w:rsidR="00FB7D0B" w14:paraId="757F5BC0" w14:textId="77777777" w:rsidTr="00FB7D0B">
        <w:trPr>
          <w:trHeight w:val="300"/>
        </w:trPr>
        <w:tc>
          <w:tcPr>
            <w:tcW w:w="3375" w:type="dxa"/>
            <w:gridSpan w:val="3"/>
            <w:tcBorders>
              <w:top w:val="single" w:sz="6" w:space="0" w:color="000000"/>
              <w:left w:val="nil"/>
              <w:bottom w:val="nil"/>
              <w:right w:val="nil"/>
              <w:tl2br w:val="nil"/>
              <w:tr2bl w:val="nil"/>
            </w:tcBorders>
            <w:shd w:val="clear" w:color="auto" w:fill="FFFFFF"/>
            <w:tcMar>
              <w:left w:w="115" w:type="dxa"/>
              <w:right w:w="115" w:type="dxa"/>
            </w:tcMar>
            <w:vAlign w:val="bottom"/>
          </w:tcPr>
          <w:p w14:paraId="2F0C3A46" w14:textId="77777777" w:rsidR="003F0EEA" w:rsidRPr="007114D9" w:rsidRDefault="00FB7D0B">
            <w:pPr>
              <w:jc w:val="right"/>
              <w:rPr>
                <w:rFonts w:eastAsia="Times New Roman" w:cs="Times New Roman"/>
              </w:rPr>
            </w:pPr>
            <w:r w:rsidRPr="007114D9">
              <w:rPr>
                <w:rFonts w:ascii="Arial" w:eastAsia="Arial" w:hAnsi="Arial" w:cs="Arial"/>
                <w:color w:val="000000"/>
                <w:sz w:val="16"/>
              </w:rPr>
              <w:t>Programme</w:t>
            </w:r>
          </w:p>
        </w:tc>
        <w:tc>
          <w:tcPr>
            <w:tcW w:w="1005" w:type="dxa"/>
            <w:tcBorders>
              <w:top w:val="single" w:sz="6" w:space="0" w:color="000000"/>
              <w:left w:val="nil"/>
              <w:bottom w:val="nil"/>
              <w:right w:val="nil"/>
              <w:tl2br w:val="nil"/>
              <w:tr2bl w:val="nil"/>
            </w:tcBorders>
            <w:shd w:val="clear" w:color="auto" w:fill="FFFF00"/>
            <w:tcMar>
              <w:left w:w="115" w:type="dxa"/>
              <w:right w:w="115" w:type="dxa"/>
            </w:tcMar>
            <w:vAlign w:val="bottom"/>
          </w:tcPr>
          <w:p w14:paraId="03245198" w14:textId="77777777" w:rsidR="003F0EEA" w:rsidRPr="007114D9" w:rsidRDefault="00FB7D0B">
            <w:pPr>
              <w:jc w:val="right"/>
              <w:rPr>
                <w:rFonts w:ascii="Arial" w:eastAsia="Arial" w:hAnsi="Arial" w:cs="Arial"/>
                <w:color w:val="000000"/>
                <w:sz w:val="16"/>
              </w:rPr>
            </w:pPr>
            <w:r w:rsidRPr="007114D9">
              <w:rPr>
                <w:rFonts w:ascii="Arial" w:eastAsia="Arial" w:hAnsi="Arial" w:cs="Arial"/>
                <w:color w:val="000000"/>
                <w:sz w:val="16"/>
              </w:rPr>
              <w:t>2013-14</w:t>
            </w:r>
          </w:p>
        </w:tc>
        <w:tc>
          <w:tcPr>
            <w:tcW w:w="1005"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235AF69B" w14:textId="77777777" w:rsidR="003F0EEA" w:rsidRPr="007114D9" w:rsidRDefault="00FB7D0B">
            <w:pPr>
              <w:jc w:val="right"/>
              <w:rPr>
                <w:rFonts w:ascii="Arial" w:eastAsia="Arial" w:hAnsi="Arial" w:cs="Arial"/>
                <w:color w:val="000000"/>
                <w:sz w:val="16"/>
              </w:rPr>
            </w:pPr>
            <w:r w:rsidRPr="007114D9">
              <w:rPr>
                <w:rFonts w:ascii="Arial" w:eastAsia="Arial" w:hAnsi="Arial" w:cs="Arial"/>
                <w:color w:val="000000"/>
                <w:sz w:val="16"/>
              </w:rPr>
              <w:t>2014-15</w:t>
            </w:r>
          </w:p>
        </w:tc>
        <w:tc>
          <w:tcPr>
            <w:tcW w:w="1005" w:type="dxa"/>
            <w:tcBorders>
              <w:top w:val="single" w:sz="6" w:space="0" w:color="000000"/>
              <w:left w:val="nil"/>
              <w:bottom w:val="nil"/>
              <w:right w:val="nil"/>
              <w:tl2br w:val="nil"/>
              <w:tr2bl w:val="nil"/>
            </w:tcBorders>
            <w:shd w:val="clear" w:color="auto" w:fill="FFFF00"/>
            <w:tcMar>
              <w:left w:w="115" w:type="dxa"/>
              <w:right w:w="115" w:type="dxa"/>
            </w:tcMar>
            <w:vAlign w:val="bottom"/>
          </w:tcPr>
          <w:p w14:paraId="73B36F99" w14:textId="77777777" w:rsidR="003F0EEA" w:rsidRPr="007114D9" w:rsidRDefault="00FB7D0B">
            <w:pPr>
              <w:jc w:val="right"/>
              <w:rPr>
                <w:rFonts w:ascii="Arial" w:eastAsia="Arial" w:hAnsi="Arial" w:cs="Arial"/>
                <w:color w:val="000000"/>
                <w:sz w:val="16"/>
              </w:rPr>
            </w:pPr>
            <w:r w:rsidRPr="007114D9">
              <w:rPr>
                <w:rFonts w:ascii="Arial" w:eastAsia="Arial" w:hAnsi="Arial" w:cs="Arial"/>
                <w:color w:val="000000"/>
                <w:sz w:val="16"/>
              </w:rPr>
              <w:t>2015-16</w:t>
            </w:r>
          </w:p>
        </w:tc>
        <w:tc>
          <w:tcPr>
            <w:tcW w:w="1005"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45CD48E0" w14:textId="77777777" w:rsidR="003F0EEA" w:rsidRPr="007114D9" w:rsidRDefault="00FB7D0B">
            <w:pPr>
              <w:jc w:val="right"/>
              <w:rPr>
                <w:rFonts w:ascii="Arial" w:eastAsia="Arial" w:hAnsi="Arial" w:cs="Arial"/>
                <w:color w:val="000000"/>
                <w:sz w:val="16"/>
              </w:rPr>
            </w:pPr>
            <w:r w:rsidRPr="007114D9">
              <w:rPr>
                <w:rFonts w:ascii="Arial" w:eastAsia="Arial" w:hAnsi="Arial" w:cs="Arial"/>
                <w:color w:val="000000"/>
                <w:sz w:val="16"/>
              </w:rPr>
              <w:t>2016-17</w:t>
            </w:r>
          </w:p>
        </w:tc>
        <w:tc>
          <w:tcPr>
            <w:tcW w:w="1005" w:type="dxa"/>
            <w:tcBorders>
              <w:top w:val="single" w:sz="6" w:space="0" w:color="000000"/>
              <w:left w:val="nil"/>
              <w:bottom w:val="nil"/>
              <w:right w:val="nil"/>
              <w:tl2br w:val="nil"/>
              <w:tr2bl w:val="nil"/>
            </w:tcBorders>
            <w:shd w:val="clear" w:color="auto" w:fill="FFFF00"/>
            <w:tcMar>
              <w:left w:w="115" w:type="dxa"/>
              <w:right w:w="115" w:type="dxa"/>
            </w:tcMar>
            <w:vAlign w:val="bottom"/>
          </w:tcPr>
          <w:p w14:paraId="6F71A2CC" w14:textId="77777777" w:rsidR="003F0EEA" w:rsidRPr="007114D9" w:rsidRDefault="00FB7D0B">
            <w:pPr>
              <w:jc w:val="right"/>
              <w:rPr>
                <w:rFonts w:ascii="Arial" w:eastAsia="Arial" w:hAnsi="Arial" w:cs="Arial"/>
                <w:color w:val="000000"/>
                <w:sz w:val="16"/>
              </w:rPr>
            </w:pPr>
            <w:r w:rsidRPr="007114D9">
              <w:rPr>
                <w:rFonts w:ascii="Arial" w:eastAsia="Arial" w:hAnsi="Arial" w:cs="Arial"/>
                <w:color w:val="000000"/>
                <w:sz w:val="16"/>
              </w:rPr>
              <w:t>2017-18</w:t>
            </w:r>
          </w:p>
        </w:tc>
      </w:tr>
      <w:tr w:rsidR="00724034" w14:paraId="701FAB30" w14:textId="77777777">
        <w:trPr>
          <w:trHeight w:val="225"/>
        </w:trPr>
        <w:tc>
          <w:tcPr>
            <w:tcW w:w="180" w:type="dxa"/>
            <w:tcBorders>
              <w:top w:val="nil"/>
              <w:left w:val="nil"/>
              <w:bottom w:val="nil"/>
              <w:right w:val="nil"/>
              <w:tl2br w:val="nil"/>
              <w:tr2bl w:val="nil"/>
            </w:tcBorders>
            <w:shd w:val="clear" w:color="auto" w:fill="FFFFFF"/>
            <w:tcMar>
              <w:left w:w="115" w:type="dxa"/>
              <w:right w:w="115" w:type="dxa"/>
            </w:tcMar>
            <w:vAlign w:val="bottom"/>
          </w:tcPr>
          <w:p w14:paraId="31EFC777" w14:textId="77777777" w:rsidR="003F0EEA" w:rsidRPr="007114D9" w:rsidRDefault="003F0EEA">
            <w:pPr>
              <w:rPr>
                <w:rFonts w:ascii="Arial" w:eastAsia="Arial" w:hAnsi="Arial" w:cs="Arial"/>
                <w:color w:val="000000"/>
                <w:sz w:val="16"/>
              </w:rPr>
            </w:pPr>
          </w:p>
        </w:tc>
        <w:tc>
          <w:tcPr>
            <w:tcW w:w="2280" w:type="dxa"/>
            <w:tcBorders>
              <w:top w:val="nil"/>
              <w:left w:val="nil"/>
              <w:bottom w:val="nil"/>
              <w:right w:val="nil"/>
              <w:tl2br w:val="nil"/>
              <w:tr2bl w:val="nil"/>
            </w:tcBorders>
            <w:shd w:val="clear" w:color="auto" w:fill="FFFFFF"/>
            <w:tcMar>
              <w:left w:w="115" w:type="dxa"/>
              <w:right w:w="115" w:type="dxa"/>
            </w:tcMar>
            <w:vAlign w:val="bottom"/>
          </w:tcPr>
          <w:p w14:paraId="56C3FDAA" w14:textId="77777777" w:rsidR="003F0EEA" w:rsidRPr="007114D9" w:rsidRDefault="003F0EEA">
            <w:pPr>
              <w:rPr>
                <w:rFonts w:ascii="Arial" w:eastAsia="Arial" w:hAnsi="Arial" w:cs="Arial"/>
                <w:color w:val="000000"/>
                <w:sz w:val="16"/>
              </w:rPr>
            </w:pPr>
          </w:p>
        </w:tc>
        <w:tc>
          <w:tcPr>
            <w:tcW w:w="915" w:type="dxa"/>
            <w:tcBorders>
              <w:top w:val="nil"/>
              <w:left w:val="nil"/>
              <w:bottom w:val="nil"/>
              <w:right w:val="nil"/>
              <w:tl2br w:val="nil"/>
              <w:tr2bl w:val="nil"/>
            </w:tcBorders>
            <w:shd w:val="clear" w:color="auto" w:fill="FFFFFF"/>
            <w:tcMar>
              <w:left w:w="115" w:type="dxa"/>
              <w:right w:w="115" w:type="dxa"/>
            </w:tcMar>
            <w:vAlign w:val="bottom"/>
          </w:tcPr>
          <w:p w14:paraId="37E75001" w14:textId="77777777" w:rsidR="003F0EEA" w:rsidRPr="007114D9" w:rsidRDefault="003F0EEA">
            <w:pPr>
              <w:rPr>
                <w:rFonts w:ascii="Arial" w:eastAsia="Arial" w:hAnsi="Arial" w:cs="Arial"/>
                <w:color w:val="000000"/>
                <w:sz w:val="16"/>
                <w:vertAlign w:val="superscript"/>
              </w:rPr>
            </w:pPr>
          </w:p>
        </w:tc>
        <w:tc>
          <w:tcPr>
            <w:tcW w:w="1005" w:type="dxa"/>
            <w:tcBorders>
              <w:top w:val="nil"/>
              <w:left w:val="nil"/>
              <w:bottom w:val="single" w:sz="6" w:space="0" w:color="000000"/>
              <w:right w:val="nil"/>
              <w:tl2br w:val="nil"/>
              <w:tr2bl w:val="nil"/>
            </w:tcBorders>
            <w:shd w:val="clear" w:color="auto" w:fill="FFFF00"/>
            <w:tcMar>
              <w:left w:w="115" w:type="dxa"/>
              <w:right w:w="115" w:type="dxa"/>
            </w:tcMar>
            <w:vAlign w:val="bottom"/>
          </w:tcPr>
          <w:p w14:paraId="3FF509C2" w14:textId="77777777" w:rsidR="003F0EEA" w:rsidRPr="007114D9" w:rsidRDefault="00FB7D0B">
            <w:pPr>
              <w:jc w:val="right"/>
              <w:rPr>
                <w:rFonts w:ascii="Arial" w:eastAsia="Arial" w:hAnsi="Arial" w:cs="Arial"/>
                <w:color w:val="000000"/>
                <w:sz w:val="16"/>
                <w:vertAlign w:val="superscript"/>
              </w:rPr>
            </w:pPr>
            <w:r w:rsidRPr="007114D9">
              <w:rPr>
                <w:rFonts w:ascii="Arial" w:eastAsia="Arial" w:hAnsi="Arial" w:cs="Arial"/>
                <w:color w:val="000000"/>
                <w:sz w:val="16"/>
              </w:rPr>
              <w:t>$'000</w:t>
            </w:r>
          </w:p>
        </w:tc>
        <w:tc>
          <w:tcPr>
            <w:tcW w:w="1005"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368437AF" w14:textId="77777777" w:rsidR="003F0EEA" w:rsidRPr="007114D9" w:rsidRDefault="00FB7D0B">
            <w:pPr>
              <w:jc w:val="right"/>
              <w:rPr>
                <w:rFonts w:ascii="Arial" w:eastAsia="Arial" w:hAnsi="Arial" w:cs="Arial"/>
                <w:color w:val="000000"/>
                <w:sz w:val="16"/>
              </w:rPr>
            </w:pPr>
            <w:r w:rsidRPr="007114D9">
              <w:rPr>
                <w:rFonts w:ascii="Arial" w:eastAsia="Arial" w:hAnsi="Arial" w:cs="Arial"/>
                <w:color w:val="000000"/>
                <w:sz w:val="16"/>
              </w:rPr>
              <w:t>$'000</w:t>
            </w:r>
          </w:p>
        </w:tc>
        <w:tc>
          <w:tcPr>
            <w:tcW w:w="1005" w:type="dxa"/>
            <w:tcBorders>
              <w:top w:val="nil"/>
              <w:left w:val="nil"/>
              <w:bottom w:val="single" w:sz="6" w:space="0" w:color="000000"/>
              <w:right w:val="nil"/>
              <w:tl2br w:val="nil"/>
              <w:tr2bl w:val="nil"/>
            </w:tcBorders>
            <w:shd w:val="clear" w:color="auto" w:fill="FFFF00"/>
            <w:tcMar>
              <w:left w:w="115" w:type="dxa"/>
              <w:right w:w="115" w:type="dxa"/>
            </w:tcMar>
            <w:vAlign w:val="bottom"/>
          </w:tcPr>
          <w:p w14:paraId="0959171C" w14:textId="77777777" w:rsidR="003F0EEA" w:rsidRPr="007114D9" w:rsidRDefault="00FB7D0B">
            <w:pPr>
              <w:jc w:val="right"/>
              <w:rPr>
                <w:rFonts w:ascii="Arial" w:eastAsia="Arial" w:hAnsi="Arial" w:cs="Arial"/>
                <w:color w:val="000000"/>
                <w:sz w:val="16"/>
              </w:rPr>
            </w:pPr>
            <w:r w:rsidRPr="007114D9">
              <w:rPr>
                <w:rFonts w:ascii="Arial" w:eastAsia="Arial" w:hAnsi="Arial" w:cs="Arial"/>
                <w:color w:val="000000"/>
                <w:sz w:val="16"/>
              </w:rPr>
              <w:t>$'000</w:t>
            </w:r>
          </w:p>
        </w:tc>
        <w:tc>
          <w:tcPr>
            <w:tcW w:w="1005"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39D83B2E" w14:textId="77777777" w:rsidR="003F0EEA" w:rsidRPr="007114D9" w:rsidRDefault="00FB7D0B">
            <w:pPr>
              <w:jc w:val="right"/>
              <w:rPr>
                <w:rFonts w:ascii="Arial" w:eastAsia="Arial" w:hAnsi="Arial" w:cs="Arial"/>
                <w:color w:val="000000"/>
                <w:sz w:val="16"/>
              </w:rPr>
            </w:pPr>
            <w:r w:rsidRPr="007114D9">
              <w:rPr>
                <w:rFonts w:ascii="Arial" w:eastAsia="Arial" w:hAnsi="Arial" w:cs="Arial"/>
                <w:color w:val="000000"/>
                <w:sz w:val="16"/>
              </w:rPr>
              <w:t>$'000</w:t>
            </w:r>
          </w:p>
        </w:tc>
        <w:tc>
          <w:tcPr>
            <w:tcW w:w="1005" w:type="dxa"/>
            <w:tcBorders>
              <w:top w:val="nil"/>
              <w:left w:val="nil"/>
              <w:bottom w:val="single" w:sz="6" w:space="0" w:color="000000"/>
              <w:right w:val="nil"/>
              <w:tl2br w:val="nil"/>
              <w:tr2bl w:val="nil"/>
            </w:tcBorders>
            <w:shd w:val="clear" w:color="auto" w:fill="FFFF00"/>
            <w:tcMar>
              <w:left w:w="115" w:type="dxa"/>
              <w:right w:w="115" w:type="dxa"/>
            </w:tcMar>
            <w:vAlign w:val="bottom"/>
          </w:tcPr>
          <w:p w14:paraId="37631B6B" w14:textId="77777777" w:rsidR="003F0EEA" w:rsidRPr="007114D9" w:rsidRDefault="00FB7D0B">
            <w:pPr>
              <w:jc w:val="right"/>
              <w:rPr>
                <w:rFonts w:ascii="Arial" w:eastAsia="Arial" w:hAnsi="Arial" w:cs="Arial"/>
                <w:color w:val="000000"/>
                <w:sz w:val="16"/>
              </w:rPr>
            </w:pPr>
            <w:r w:rsidRPr="007114D9">
              <w:rPr>
                <w:rFonts w:ascii="Arial" w:eastAsia="Arial" w:hAnsi="Arial" w:cs="Arial"/>
                <w:color w:val="000000"/>
                <w:sz w:val="16"/>
              </w:rPr>
              <w:t>$'000</w:t>
            </w:r>
          </w:p>
        </w:tc>
      </w:tr>
      <w:tr w:rsidR="00FB7D0B" w14:paraId="42F56E5E" w14:textId="77777777" w:rsidTr="00FB7D0B">
        <w:trPr>
          <w:trHeight w:val="675"/>
        </w:trPr>
        <w:tc>
          <w:tcPr>
            <w:tcW w:w="2460" w:type="dxa"/>
            <w:gridSpan w:val="2"/>
            <w:tcBorders>
              <w:top w:val="nil"/>
              <w:left w:val="nil"/>
              <w:bottom w:val="nil"/>
              <w:right w:val="nil"/>
              <w:tl2br w:val="nil"/>
              <w:tr2bl w:val="nil"/>
            </w:tcBorders>
            <w:shd w:val="clear" w:color="auto" w:fill="FFFFFF"/>
            <w:tcMar>
              <w:left w:w="115" w:type="dxa"/>
              <w:right w:w="115" w:type="dxa"/>
            </w:tcMar>
            <w:vAlign w:val="bottom"/>
          </w:tcPr>
          <w:p w14:paraId="09F7500B" w14:textId="77777777" w:rsidR="003F0EEA" w:rsidRPr="007114D9" w:rsidRDefault="00FB7D0B">
            <w:pPr>
              <w:rPr>
                <w:rFonts w:ascii="Arial" w:eastAsia="Arial" w:hAnsi="Arial" w:cs="Arial"/>
                <w:color w:val="000000"/>
                <w:sz w:val="16"/>
              </w:rPr>
            </w:pPr>
            <w:r w:rsidRPr="007114D9">
              <w:rPr>
                <w:rFonts w:ascii="Arial" w:eastAsia="Arial" w:hAnsi="Arial" w:cs="Arial"/>
                <w:color w:val="000000"/>
                <w:sz w:val="16"/>
              </w:rPr>
              <w:t>Pharmaceutical Benefits Scheme - increase in co-payments and safety net thresholds</w:t>
            </w:r>
            <w:r w:rsidRPr="007114D9">
              <w:rPr>
                <w:rFonts w:ascii="Arial" w:eastAsia="Arial" w:hAnsi="Arial" w:cs="Arial"/>
                <w:color w:val="000000"/>
                <w:sz w:val="16"/>
                <w:vertAlign w:val="superscript"/>
              </w:rPr>
              <w:t>2 </w:t>
            </w:r>
          </w:p>
        </w:tc>
        <w:tc>
          <w:tcPr>
            <w:tcW w:w="915" w:type="dxa"/>
            <w:tcBorders>
              <w:top w:val="nil"/>
              <w:left w:val="nil"/>
              <w:bottom w:val="nil"/>
              <w:right w:val="nil"/>
              <w:tl2br w:val="nil"/>
              <w:tr2bl w:val="nil"/>
            </w:tcBorders>
            <w:shd w:val="clear" w:color="auto" w:fill="FFFFFF"/>
            <w:tcMar>
              <w:left w:w="115" w:type="dxa"/>
              <w:right w:w="115" w:type="dxa"/>
            </w:tcMar>
            <w:vAlign w:val="bottom"/>
          </w:tcPr>
          <w:p w14:paraId="6FC6765B" w14:textId="77777777" w:rsidR="003F0EEA" w:rsidRPr="007114D9" w:rsidRDefault="00FB7D0B">
            <w:pPr>
              <w:jc w:val="center"/>
              <w:rPr>
                <w:rFonts w:ascii="Arial" w:eastAsia="Arial" w:hAnsi="Arial" w:cs="Arial"/>
                <w:color w:val="000000"/>
                <w:sz w:val="16"/>
                <w:vertAlign w:val="superscript"/>
              </w:rPr>
            </w:pPr>
            <w:r w:rsidRPr="007114D9">
              <w:rPr>
                <w:rFonts w:ascii="Arial" w:eastAsia="Arial" w:hAnsi="Arial" w:cs="Arial"/>
                <w:color w:val="000000"/>
                <w:sz w:val="16"/>
              </w:rPr>
              <w:t>2.3 </w:t>
            </w:r>
          </w:p>
        </w:tc>
        <w:tc>
          <w:tcPr>
            <w:tcW w:w="1005" w:type="dxa"/>
            <w:tcBorders>
              <w:top w:val="single" w:sz="6" w:space="0" w:color="000000"/>
              <w:left w:val="nil"/>
              <w:bottom w:val="nil"/>
              <w:right w:val="nil"/>
              <w:tl2br w:val="nil"/>
              <w:tr2bl w:val="nil"/>
            </w:tcBorders>
            <w:shd w:val="clear" w:color="auto" w:fill="FFFF00"/>
            <w:tcMar>
              <w:left w:w="115" w:type="dxa"/>
              <w:right w:w="115" w:type="dxa"/>
            </w:tcMar>
            <w:vAlign w:val="bottom"/>
          </w:tcPr>
          <w:p w14:paraId="2BB78263" w14:textId="77777777" w:rsidR="003F0EEA" w:rsidRPr="007114D9" w:rsidRDefault="003F0EEA">
            <w:pPr>
              <w:jc w:val="right"/>
              <w:rPr>
                <w:rFonts w:ascii="Arial" w:eastAsia="Arial" w:hAnsi="Arial" w:cs="Arial"/>
                <w:color w:val="000000"/>
                <w:sz w:val="16"/>
              </w:rPr>
            </w:pPr>
          </w:p>
        </w:tc>
        <w:tc>
          <w:tcPr>
            <w:tcW w:w="1005"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3A11D739" w14:textId="77777777" w:rsidR="003F0EEA" w:rsidRPr="007114D9" w:rsidRDefault="003F0EEA">
            <w:pPr>
              <w:jc w:val="right"/>
              <w:rPr>
                <w:rFonts w:ascii="Arial" w:eastAsia="Arial" w:hAnsi="Arial" w:cs="Arial"/>
                <w:color w:val="000000"/>
                <w:sz w:val="16"/>
              </w:rPr>
            </w:pPr>
          </w:p>
        </w:tc>
        <w:tc>
          <w:tcPr>
            <w:tcW w:w="1005" w:type="dxa"/>
            <w:tcBorders>
              <w:top w:val="single" w:sz="6" w:space="0" w:color="000000"/>
              <w:left w:val="nil"/>
              <w:bottom w:val="nil"/>
              <w:right w:val="nil"/>
              <w:tl2br w:val="nil"/>
              <w:tr2bl w:val="nil"/>
            </w:tcBorders>
            <w:shd w:val="clear" w:color="auto" w:fill="FFFF00"/>
            <w:tcMar>
              <w:left w:w="115" w:type="dxa"/>
              <w:right w:w="115" w:type="dxa"/>
            </w:tcMar>
            <w:vAlign w:val="bottom"/>
          </w:tcPr>
          <w:p w14:paraId="597A7594" w14:textId="77777777" w:rsidR="003F0EEA" w:rsidRPr="007114D9" w:rsidRDefault="003F0EEA">
            <w:pPr>
              <w:jc w:val="right"/>
              <w:rPr>
                <w:rFonts w:ascii="Arial" w:eastAsia="Arial" w:hAnsi="Arial" w:cs="Arial"/>
                <w:color w:val="000000"/>
                <w:sz w:val="16"/>
              </w:rPr>
            </w:pPr>
          </w:p>
        </w:tc>
        <w:tc>
          <w:tcPr>
            <w:tcW w:w="1005"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49FDA0BB" w14:textId="77777777" w:rsidR="003F0EEA" w:rsidRPr="007114D9" w:rsidRDefault="003F0EEA">
            <w:pPr>
              <w:jc w:val="right"/>
              <w:rPr>
                <w:rFonts w:ascii="Arial" w:eastAsia="Arial" w:hAnsi="Arial" w:cs="Arial"/>
                <w:color w:val="000000"/>
                <w:sz w:val="16"/>
              </w:rPr>
            </w:pPr>
          </w:p>
        </w:tc>
        <w:tc>
          <w:tcPr>
            <w:tcW w:w="1005" w:type="dxa"/>
            <w:tcBorders>
              <w:top w:val="single" w:sz="6" w:space="0" w:color="000000"/>
              <w:left w:val="nil"/>
              <w:bottom w:val="nil"/>
              <w:right w:val="nil"/>
              <w:tl2br w:val="nil"/>
              <w:tr2bl w:val="nil"/>
            </w:tcBorders>
            <w:shd w:val="clear" w:color="auto" w:fill="FFFF00"/>
            <w:tcMar>
              <w:left w:w="115" w:type="dxa"/>
              <w:right w:w="115" w:type="dxa"/>
            </w:tcMar>
            <w:vAlign w:val="bottom"/>
          </w:tcPr>
          <w:p w14:paraId="220C0A57" w14:textId="77777777" w:rsidR="003F0EEA" w:rsidRPr="007114D9" w:rsidRDefault="003F0EEA">
            <w:pPr>
              <w:jc w:val="right"/>
              <w:rPr>
                <w:rFonts w:ascii="Arial" w:eastAsia="Arial" w:hAnsi="Arial" w:cs="Arial"/>
                <w:b/>
                <w:color w:val="000000"/>
                <w:sz w:val="16"/>
              </w:rPr>
            </w:pPr>
          </w:p>
        </w:tc>
      </w:tr>
      <w:tr w:rsidR="00724034" w14:paraId="36302AEA" w14:textId="77777777">
        <w:trPr>
          <w:trHeight w:val="225"/>
        </w:trPr>
        <w:tc>
          <w:tcPr>
            <w:tcW w:w="180" w:type="dxa"/>
            <w:tcBorders>
              <w:top w:val="nil"/>
              <w:left w:val="nil"/>
              <w:bottom w:val="nil"/>
              <w:right w:val="nil"/>
              <w:tl2br w:val="nil"/>
              <w:tr2bl w:val="nil"/>
            </w:tcBorders>
            <w:shd w:val="clear" w:color="auto" w:fill="FFFFFF"/>
            <w:tcMar>
              <w:left w:w="115" w:type="dxa"/>
              <w:right w:w="115" w:type="dxa"/>
            </w:tcMar>
            <w:vAlign w:val="bottom"/>
          </w:tcPr>
          <w:p w14:paraId="5C97DFEB" w14:textId="77777777" w:rsidR="003F0EEA" w:rsidRPr="007114D9" w:rsidRDefault="003F0EEA">
            <w:pPr>
              <w:rPr>
                <w:rFonts w:ascii="Arial" w:eastAsia="Arial" w:hAnsi="Arial" w:cs="Arial"/>
                <w:color w:val="000000"/>
                <w:sz w:val="16"/>
              </w:rPr>
            </w:pPr>
          </w:p>
        </w:tc>
        <w:tc>
          <w:tcPr>
            <w:tcW w:w="2280" w:type="dxa"/>
            <w:tcBorders>
              <w:top w:val="nil"/>
              <w:left w:val="nil"/>
              <w:bottom w:val="nil"/>
              <w:right w:val="nil"/>
              <w:tl2br w:val="nil"/>
              <w:tr2bl w:val="nil"/>
            </w:tcBorders>
            <w:shd w:val="clear" w:color="auto" w:fill="FFFFFF"/>
            <w:tcMar>
              <w:left w:w="115" w:type="dxa"/>
              <w:right w:w="115" w:type="dxa"/>
            </w:tcMar>
            <w:vAlign w:val="bottom"/>
          </w:tcPr>
          <w:p w14:paraId="4976170F" w14:textId="77777777" w:rsidR="003F0EEA" w:rsidRPr="007114D9" w:rsidRDefault="00FB7D0B">
            <w:pPr>
              <w:rPr>
                <w:rFonts w:ascii="Arial" w:eastAsia="Arial" w:hAnsi="Arial" w:cs="Arial"/>
                <w:color w:val="000000"/>
                <w:sz w:val="16"/>
              </w:rPr>
            </w:pPr>
            <w:r w:rsidRPr="007114D9">
              <w:rPr>
                <w:rFonts w:ascii="Arial" w:eastAsia="Arial" w:hAnsi="Arial" w:cs="Arial"/>
                <w:color w:val="000000"/>
                <w:sz w:val="16"/>
              </w:rPr>
              <w:t>Administered expenses</w:t>
            </w:r>
          </w:p>
        </w:tc>
        <w:tc>
          <w:tcPr>
            <w:tcW w:w="915" w:type="dxa"/>
            <w:tcBorders>
              <w:top w:val="nil"/>
              <w:left w:val="nil"/>
              <w:bottom w:val="nil"/>
              <w:right w:val="nil"/>
              <w:tl2br w:val="nil"/>
              <w:tr2bl w:val="nil"/>
            </w:tcBorders>
            <w:shd w:val="clear" w:color="auto" w:fill="FFFFFF"/>
            <w:tcMar>
              <w:left w:w="115" w:type="dxa"/>
              <w:right w:w="115" w:type="dxa"/>
            </w:tcMar>
            <w:vAlign w:val="bottom"/>
          </w:tcPr>
          <w:p w14:paraId="525F6860" w14:textId="77777777" w:rsidR="003F0EEA" w:rsidRPr="007114D9" w:rsidRDefault="003F0EEA">
            <w:pPr>
              <w:jc w:val="center"/>
              <w:rPr>
                <w:rFonts w:ascii="Arial" w:eastAsia="Arial" w:hAnsi="Arial" w:cs="Arial"/>
                <w:color w:val="000000"/>
                <w:sz w:val="16"/>
                <w:vertAlign w:val="superscript"/>
              </w:rPr>
            </w:pPr>
          </w:p>
        </w:tc>
        <w:tc>
          <w:tcPr>
            <w:tcW w:w="1005" w:type="dxa"/>
            <w:tcBorders>
              <w:top w:val="nil"/>
              <w:left w:val="nil"/>
              <w:bottom w:val="nil"/>
              <w:right w:val="nil"/>
              <w:tl2br w:val="nil"/>
              <w:tr2bl w:val="nil"/>
            </w:tcBorders>
            <w:shd w:val="clear" w:color="auto" w:fill="FFFF00"/>
            <w:tcMar>
              <w:left w:w="115" w:type="dxa"/>
              <w:right w:w="115" w:type="dxa"/>
            </w:tcMar>
            <w:vAlign w:val="bottom"/>
          </w:tcPr>
          <w:p w14:paraId="3134011E" w14:textId="77777777" w:rsidR="003F0EEA" w:rsidRPr="007114D9" w:rsidRDefault="00FB7D0B">
            <w:pPr>
              <w:jc w:val="right"/>
              <w:rPr>
                <w:rFonts w:ascii="Arial" w:eastAsia="Arial" w:hAnsi="Arial" w:cs="Arial"/>
                <w:color w:val="000000"/>
                <w:sz w:val="16"/>
                <w:vertAlign w:val="superscript"/>
              </w:rPr>
            </w:pPr>
            <w:r w:rsidRPr="007114D9">
              <w:rPr>
                <w:rFonts w:ascii="Arial" w:eastAsia="Arial" w:hAnsi="Arial" w:cs="Arial"/>
                <w:color w:val="000000"/>
                <w:sz w:val="16"/>
              </w:rPr>
              <w:t xml:space="preserve"> - </w:t>
            </w:r>
          </w:p>
        </w:tc>
        <w:tc>
          <w:tcPr>
            <w:tcW w:w="1005" w:type="dxa"/>
            <w:tcBorders>
              <w:top w:val="nil"/>
              <w:left w:val="nil"/>
              <w:bottom w:val="nil"/>
              <w:right w:val="nil"/>
              <w:tl2br w:val="nil"/>
              <w:tr2bl w:val="nil"/>
            </w:tcBorders>
            <w:shd w:val="clear" w:color="auto" w:fill="FFFFFF"/>
            <w:tcMar>
              <w:left w:w="115" w:type="dxa"/>
              <w:right w:w="115" w:type="dxa"/>
            </w:tcMar>
            <w:vAlign w:val="bottom"/>
          </w:tcPr>
          <w:p w14:paraId="331BB85C" w14:textId="77777777" w:rsidR="003F0EEA" w:rsidRPr="007114D9" w:rsidRDefault="00FB7D0B">
            <w:pPr>
              <w:jc w:val="right"/>
              <w:rPr>
                <w:rFonts w:ascii="Arial" w:eastAsia="Arial" w:hAnsi="Arial" w:cs="Arial"/>
                <w:color w:val="000000"/>
                <w:sz w:val="16"/>
              </w:rPr>
            </w:pPr>
            <w:r w:rsidRPr="007114D9">
              <w:rPr>
                <w:rFonts w:ascii="Arial" w:eastAsia="Arial" w:hAnsi="Arial" w:cs="Arial"/>
                <w:color w:val="000000"/>
                <w:sz w:val="16"/>
              </w:rPr>
              <w:t>(1,925)</w:t>
            </w:r>
          </w:p>
        </w:tc>
        <w:tc>
          <w:tcPr>
            <w:tcW w:w="1005" w:type="dxa"/>
            <w:tcBorders>
              <w:top w:val="nil"/>
              <w:left w:val="nil"/>
              <w:bottom w:val="nil"/>
              <w:right w:val="nil"/>
              <w:tl2br w:val="nil"/>
              <w:tr2bl w:val="nil"/>
            </w:tcBorders>
            <w:shd w:val="clear" w:color="auto" w:fill="FFFF00"/>
            <w:tcMar>
              <w:left w:w="115" w:type="dxa"/>
              <w:right w:w="115" w:type="dxa"/>
            </w:tcMar>
            <w:vAlign w:val="bottom"/>
          </w:tcPr>
          <w:p w14:paraId="497C80CE" w14:textId="77777777" w:rsidR="003F0EEA" w:rsidRPr="007114D9" w:rsidRDefault="00FB7D0B">
            <w:pPr>
              <w:jc w:val="right"/>
              <w:rPr>
                <w:rFonts w:ascii="Arial" w:eastAsia="Arial" w:hAnsi="Arial" w:cs="Arial"/>
                <w:color w:val="000000"/>
                <w:sz w:val="16"/>
              </w:rPr>
            </w:pPr>
            <w:r w:rsidRPr="007114D9">
              <w:rPr>
                <w:rFonts w:ascii="Arial" w:eastAsia="Arial" w:hAnsi="Arial" w:cs="Arial"/>
                <w:color w:val="000000"/>
                <w:sz w:val="16"/>
              </w:rPr>
              <w:t>(4,448)</w:t>
            </w:r>
          </w:p>
        </w:tc>
        <w:tc>
          <w:tcPr>
            <w:tcW w:w="1005" w:type="dxa"/>
            <w:tcBorders>
              <w:top w:val="nil"/>
              <w:left w:val="nil"/>
              <w:bottom w:val="nil"/>
              <w:right w:val="nil"/>
              <w:tl2br w:val="nil"/>
              <w:tr2bl w:val="nil"/>
            </w:tcBorders>
            <w:shd w:val="clear" w:color="auto" w:fill="FFFFFF"/>
            <w:tcMar>
              <w:left w:w="115" w:type="dxa"/>
              <w:right w:w="115" w:type="dxa"/>
            </w:tcMar>
            <w:vAlign w:val="bottom"/>
          </w:tcPr>
          <w:p w14:paraId="48664171" w14:textId="77777777" w:rsidR="003F0EEA" w:rsidRPr="007114D9" w:rsidRDefault="00FB7D0B">
            <w:pPr>
              <w:jc w:val="right"/>
              <w:rPr>
                <w:rFonts w:ascii="Arial" w:eastAsia="Arial" w:hAnsi="Arial" w:cs="Arial"/>
                <w:color w:val="000000"/>
                <w:sz w:val="16"/>
              </w:rPr>
            </w:pPr>
            <w:r w:rsidRPr="007114D9">
              <w:rPr>
                <w:rFonts w:ascii="Arial" w:eastAsia="Arial" w:hAnsi="Arial" w:cs="Arial"/>
                <w:color w:val="000000"/>
                <w:sz w:val="16"/>
              </w:rPr>
              <w:t>(4,183)</w:t>
            </w:r>
          </w:p>
        </w:tc>
        <w:tc>
          <w:tcPr>
            <w:tcW w:w="1005" w:type="dxa"/>
            <w:tcBorders>
              <w:top w:val="nil"/>
              <w:left w:val="nil"/>
              <w:bottom w:val="nil"/>
              <w:right w:val="nil"/>
              <w:tl2br w:val="nil"/>
              <w:tr2bl w:val="nil"/>
            </w:tcBorders>
            <w:shd w:val="clear" w:color="auto" w:fill="FFFF00"/>
            <w:tcMar>
              <w:left w:w="115" w:type="dxa"/>
              <w:right w:w="115" w:type="dxa"/>
            </w:tcMar>
            <w:vAlign w:val="bottom"/>
          </w:tcPr>
          <w:p w14:paraId="15E96764" w14:textId="77777777" w:rsidR="003F0EEA" w:rsidRPr="007114D9" w:rsidRDefault="00FB7D0B">
            <w:pPr>
              <w:jc w:val="right"/>
              <w:rPr>
                <w:rFonts w:ascii="Arial" w:eastAsia="Arial" w:hAnsi="Arial" w:cs="Arial"/>
                <w:color w:val="000000"/>
                <w:sz w:val="16"/>
              </w:rPr>
            </w:pPr>
            <w:r w:rsidRPr="007114D9">
              <w:rPr>
                <w:rFonts w:ascii="Arial" w:eastAsia="Arial" w:hAnsi="Arial" w:cs="Arial"/>
                <w:color w:val="000000"/>
                <w:sz w:val="16"/>
              </w:rPr>
              <w:t>(4,171)</w:t>
            </w:r>
          </w:p>
        </w:tc>
      </w:tr>
      <w:tr w:rsidR="00724034" w14:paraId="7DBD0428" w14:textId="77777777">
        <w:trPr>
          <w:trHeight w:val="225"/>
        </w:trPr>
        <w:tc>
          <w:tcPr>
            <w:tcW w:w="180" w:type="dxa"/>
            <w:tcBorders>
              <w:top w:val="nil"/>
              <w:left w:val="nil"/>
              <w:bottom w:val="nil"/>
              <w:right w:val="nil"/>
              <w:tl2br w:val="nil"/>
              <w:tr2bl w:val="nil"/>
            </w:tcBorders>
            <w:shd w:val="clear" w:color="auto" w:fill="FFFFFF"/>
            <w:tcMar>
              <w:left w:w="115" w:type="dxa"/>
              <w:right w:w="115" w:type="dxa"/>
            </w:tcMar>
            <w:vAlign w:val="bottom"/>
          </w:tcPr>
          <w:p w14:paraId="70EB26B3" w14:textId="77777777" w:rsidR="003F0EEA" w:rsidRPr="007114D9" w:rsidRDefault="003F0EEA">
            <w:pPr>
              <w:rPr>
                <w:rFonts w:ascii="Arial" w:eastAsia="Arial" w:hAnsi="Arial" w:cs="Arial"/>
                <w:color w:val="000000"/>
                <w:sz w:val="16"/>
              </w:rPr>
            </w:pPr>
          </w:p>
        </w:tc>
        <w:tc>
          <w:tcPr>
            <w:tcW w:w="2280" w:type="dxa"/>
            <w:tcBorders>
              <w:top w:val="nil"/>
              <w:left w:val="nil"/>
              <w:bottom w:val="nil"/>
              <w:right w:val="nil"/>
              <w:tl2br w:val="nil"/>
              <w:tr2bl w:val="nil"/>
            </w:tcBorders>
            <w:shd w:val="clear" w:color="auto" w:fill="FFFFFF"/>
            <w:tcMar>
              <w:left w:w="115" w:type="dxa"/>
              <w:right w:w="115" w:type="dxa"/>
            </w:tcMar>
            <w:vAlign w:val="bottom"/>
          </w:tcPr>
          <w:p w14:paraId="08389D1D" w14:textId="77777777" w:rsidR="003F0EEA" w:rsidRPr="007114D9" w:rsidRDefault="00FB7D0B">
            <w:pPr>
              <w:rPr>
                <w:rFonts w:ascii="Arial" w:eastAsia="Arial" w:hAnsi="Arial" w:cs="Arial"/>
                <w:color w:val="000000"/>
                <w:sz w:val="16"/>
              </w:rPr>
            </w:pPr>
            <w:r w:rsidRPr="007114D9">
              <w:rPr>
                <w:rFonts w:ascii="Arial" w:eastAsia="Arial" w:hAnsi="Arial" w:cs="Arial"/>
                <w:color w:val="000000"/>
                <w:sz w:val="16"/>
              </w:rPr>
              <w:t>Departmental expenses</w:t>
            </w:r>
          </w:p>
        </w:tc>
        <w:tc>
          <w:tcPr>
            <w:tcW w:w="915" w:type="dxa"/>
            <w:tcBorders>
              <w:top w:val="nil"/>
              <w:left w:val="nil"/>
              <w:bottom w:val="nil"/>
              <w:right w:val="nil"/>
              <w:tl2br w:val="nil"/>
              <w:tr2bl w:val="nil"/>
            </w:tcBorders>
            <w:shd w:val="clear" w:color="auto" w:fill="FFFFFF"/>
            <w:tcMar>
              <w:left w:w="115" w:type="dxa"/>
              <w:right w:w="115" w:type="dxa"/>
            </w:tcMar>
            <w:vAlign w:val="bottom"/>
          </w:tcPr>
          <w:p w14:paraId="7EF00D37" w14:textId="77777777" w:rsidR="003F0EEA" w:rsidRPr="007114D9" w:rsidRDefault="003F0EEA">
            <w:pPr>
              <w:jc w:val="center"/>
              <w:rPr>
                <w:rFonts w:ascii="Arial" w:eastAsia="Arial" w:hAnsi="Arial" w:cs="Arial"/>
                <w:b/>
                <w:color w:val="000000"/>
                <w:sz w:val="16"/>
                <w:vertAlign w:val="superscript"/>
              </w:rPr>
            </w:pPr>
          </w:p>
        </w:tc>
        <w:tc>
          <w:tcPr>
            <w:tcW w:w="1005" w:type="dxa"/>
            <w:tcBorders>
              <w:top w:val="nil"/>
              <w:left w:val="nil"/>
              <w:bottom w:val="nil"/>
              <w:right w:val="nil"/>
              <w:tl2br w:val="nil"/>
              <w:tr2bl w:val="nil"/>
            </w:tcBorders>
            <w:shd w:val="clear" w:color="auto" w:fill="FFFF00"/>
            <w:tcMar>
              <w:left w:w="115" w:type="dxa"/>
              <w:right w:w="115" w:type="dxa"/>
            </w:tcMar>
            <w:vAlign w:val="bottom"/>
          </w:tcPr>
          <w:p w14:paraId="5A37F336" w14:textId="77777777" w:rsidR="003F0EEA" w:rsidRPr="007114D9" w:rsidRDefault="00FB7D0B">
            <w:pPr>
              <w:jc w:val="right"/>
              <w:rPr>
                <w:rFonts w:ascii="Arial" w:eastAsia="Arial" w:hAnsi="Arial" w:cs="Arial"/>
                <w:color w:val="000000"/>
                <w:sz w:val="16"/>
                <w:vertAlign w:val="superscript"/>
              </w:rPr>
            </w:pPr>
            <w:r w:rsidRPr="007114D9">
              <w:rPr>
                <w:rFonts w:ascii="Arial" w:eastAsia="Arial" w:hAnsi="Arial" w:cs="Arial"/>
                <w:color w:val="000000"/>
                <w:sz w:val="16"/>
              </w:rPr>
              <w:t xml:space="preserve"> - </w:t>
            </w:r>
          </w:p>
        </w:tc>
        <w:tc>
          <w:tcPr>
            <w:tcW w:w="1005" w:type="dxa"/>
            <w:tcBorders>
              <w:top w:val="nil"/>
              <w:left w:val="nil"/>
              <w:bottom w:val="nil"/>
              <w:right w:val="nil"/>
              <w:tl2br w:val="nil"/>
              <w:tr2bl w:val="nil"/>
            </w:tcBorders>
            <w:shd w:val="clear" w:color="auto" w:fill="FFFFFF"/>
            <w:tcMar>
              <w:left w:w="115" w:type="dxa"/>
              <w:right w:w="115" w:type="dxa"/>
            </w:tcMar>
            <w:vAlign w:val="bottom"/>
          </w:tcPr>
          <w:p w14:paraId="2F7A3EC0" w14:textId="77777777" w:rsidR="003F0EEA" w:rsidRPr="007114D9" w:rsidRDefault="00FB7D0B">
            <w:pPr>
              <w:jc w:val="right"/>
              <w:rPr>
                <w:rFonts w:ascii="Arial" w:eastAsia="Arial" w:hAnsi="Arial" w:cs="Arial"/>
                <w:color w:val="000000"/>
                <w:sz w:val="16"/>
              </w:rPr>
            </w:pPr>
            <w:r w:rsidRPr="007114D9">
              <w:rPr>
                <w:rFonts w:ascii="Arial" w:eastAsia="Arial" w:hAnsi="Arial" w:cs="Arial"/>
                <w:color w:val="000000"/>
                <w:sz w:val="16"/>
              </w:rPr>
              <w:t xml:space="preserve"> - </w:t>
            </w:r>
          </w:p>
        </w:tc>
        <w:tc>
          <w:tcPr>
            <w:tcW w:w="1005" w:type="dxa"/>
            <w:tcBorders>
              <w:top w:val="nil"/>
              <w:left w:val="nil"/>
              <w:bottom w:val="nil"/>
              <w:right w:val="nil"/>
              <w:tl2br w:val="nil"/>
              <w:tr2bl w:val="nil"/>
            </w:tcBorders>
            <w:shd w:val="clear" w:color="auto" w:fill="FFFF00"/>
            <w:tcMar>
              <w:left w:w="115" w:type="dxa"/>
              <w:right w:w="115" w:type="dxa"/>
            </w:tcMar>
            <w:vAlign w:val="bottom"/>
          </w:tcPr>
          <w:p w14:paraId="7FC6274F" w14:textId="77777777" w:rsidR="003F0EEA" w:rsidRPr="007114D9" w:rsidRDefault="00FB7D0B">
            <w:pPr>
              <w:jc w:val="right"/>
              <w:rPr>
                <w:rFonts w:ascii="Arial" w:eastAsia="Arial" w:hAnsi="Arial" w:cs="Arial"/>
                <w:color w:val="000000"/>
                <w:sz w:val="16"/>
              </w:rPr>
            </w:pPr>
            <w:r w:rsidRPr="007114D9">
              <w:rPr>
                <w:rFonts w:ascii="Arial" w:eastAsia="Arial" w:hAnsi="Arial" w:cs="Arial"/>
                <w:color w:val="000000"/>
                <w:sz w:val="16"/>
              </w:rPr>
              <w:t xml:space="preserve"> - </w:t>
            </w:r>
          </w:p>
        </w:tc>
        <w:tc>
          <w:tcPr>
            <w:tcW w:w="1005" w:type="dxa"/>
            <w:tcBorders>
              <w:top w:val="nil"/>
              <w:left w:val="nil"/>
              <w:bottom w:val="nil"/>
              <w:right w:val="nil"/>
              <w:tl2br w:val="nil"/>
              <w:tr2bl w:val="nil"/>
            </w:tcBorders>
            <w:shd w:val="clear" w:color="auto" w:fill="FFFFFF"/>
            <w:tcMar>
              <w:left w:w="115" w:type="dxa"/>
              <w:right w:w="115" w:type="dxa"/>
            </w:tcMar>
            <w:vAlign w:val="bottom"/>
          </w:tcPr>
          <w:p w14:paraId="6FDF008D" w14:textId="77777777" w:rsidR="003F0EEA" w:rsidRPr="007114D9" w:rsidRDefault="00FB7D0B">
            <w:pPr>
              <w:jc w:val="right"/>
              <w:rPr>
                <w:rFonts w:ascii="Arial" w:eastAsia="Arial" w:hAnsi="Arial" w:cs="Arial"/>
                <w:color w:val="000000"/>
                <w:sz w:val="16"/>
              </w:rPr>
            </w:pPr>
            <w:r w:rsidRPr="007114D9">
              <w:rPr>
                <w:rFonts w:ascii="Arial" w:eastAsia="Arial" w:hAnsi="Arial" w:cs="Arial"/>
                <w:color w:val="000000"/>
                <w:sz w:val="16"/>
              </w:rPr>
              <w:t xml:space="preserve"> - </w:t>
            </w:r>
          </w:p>
        </w:tc>
        <w:tc>
          <w:tcPr>
            <w:tcW w:w="1005" w:type="dxa"/>
            <w:tcBorders>
              <w:top w:val="nil"/>
              <w:left w:val="nil"/>
              <w:bottom w:val="nil"/>
              <w:right w:val="nil"/>
              <w:tl2br w:val="nil"/>
              <w:tr2bl w:val="nil"/>
            </w:tcBorders>
            <w:shd w:val="clear" w:color="auto" w:fill="FFFF00"/>
            <w:tcMar>
              <w:left w:w="115" w:type="dxa"/>
              <w:right w:w="115" w:type="dxa"/>
            </w:tcMar>
            <w:vAlign w:val="bottom"/>
          </w:tcPr>
          <w:p w14:paraId="59250EFE" w14:textId="77777777" w:rsidR="003F0EEA" w:rsidRPr="007114D9" w:rsidRDefault="00FB7D0B">
            <w:pPr>
              <w:jc w:val="right"/>
              <w:rPr>
                <w:rFonts w:ascii="Arial" w:eastAsia="Arial" w:hAnsi="Arial" w:cs="Arial"/>
                <w:color w:val="000000"/>
                <w:sz w:val="16"/>
              </w:rPr>
            </w:pPr>
            <w:r w:rsidRPr="007114D9">
              <w:rPr>
                <w:rFonts w:ascii="Arial" w:eastAsia="Arial" w:hAnsi="Arial" w:cs="Arial"/>
                <w:color w:val="000000"/>
                <w:sz w:val="16"/>
              </w:rPr>
              <w:t xml:space="preserve"> - </w:t>
            </w:r>
          </w:p>
        </w:tc>
      </w:tr>
      <w:tr w:rsidR="00FB7D0B" w14:paraId="22A46E4B" w14:textId="77777777" w:rsidTr="00FB7D0B">
        <w:trPr>
          <w:trHeight w:val="225"/>
        </w:trPr>
        <w:tc>
          <w:tcPr>
            <w:tcW w:w="2460" w:type="dxa"/>
            <w:gridSpan w:val="2"/>
            <w:tcBorders>
              <w:top w:val="nil"/>
              <w:left w:val="nil"/>
              <w:bottom w:val="nil"/>
              <w:right w:val="nil"/>
              <w:tl2br w:val="nil"/>
              <w:tr2bl w:val="nil"/>
            </w:tcBorders>
            <w:shd w:val="clear" w:color="auto" w:fill="FFFFFF"/>
            <w:tcMar>
              <w:left w:w="115" w:type="dxa"/>
              <w:right w:w="115" w:type="dxa"/>
            </w:tcMar>
            <w:vAlign w:val="bottom"/>
          </w:tcPr>
          <w:p w14:paraId="57556339" w14:textId="77777777" w:rsidR="003F0EEA" w:rsidRPr="007114D9" w:rsidRDefault="00FB7D0B">
            <w:pPr>
              <w:rPr>
                <w:rFonts w:ascii="Arial" w:eastAsia="Arial" w:hAnsi="Arial" w:cs="Arial"/>
                <w:color w:val="000000"/>
                <w:sz w:val="16"/>
              </w:rPr>
            </w:pPr>
            <w:r w:rsidRPr="007114D9">
              <w:rPr>
                <w:rFonts w:ascii="Arial" w:eastAsia="Arial" w:hAnsi="Arial" w:cs="Arial"/>
                <w:b/>
                <w:color w:val="000000"/>
                <w:sz w:val="16"/>
              </w:rPr>
              <w:t xml:space="preserve">Total </w:t>
            </w:r>
          </w:p>
        </w:tc>
        <w:tc>
          <w:tcPr>
            <w:tcW w:w="915" w:type="dxa"/>
            <w:tcBorders>
              <w:top w:val="nil"/>
              <w:left w:val="nil"/>
              <w:bottom w:val="nil"/>
              <w:right w:val="nil"/>
              <w:tl2br w:val="nil"/>
              <w:tr2bl w:val="nil"/>
            </w:tcBorders>
            <w:shd w:val="clear" w:color="auto" w:fill="FFFFFF"/>
            <w:tcMar>
              <w:left w:w="115" w:type="dxa"/>
              <w:right w:w="115" w:type="dxa"/>
            </w:tcMar>
            <w:vAlign w:val="bottom"/>
          </w:tcPr>
          <w:p w14:paraId="01CC62BE" w14:textId="77777777" w:rsidR="003F0EEA" w:rsidRPr="007114D9" w:rsidRDefault="003F0EEA">
            <w:pPr>
              <w:jc w:val="center"/>
              <w:rPr>
                <w:rFonts w:ascii="Arial" w:eastAsia="Arial" w:hAnsi="Arial" w:cs="Arial"/>
                <w:b/>
                <w:color w:val="000000"/>
                <w:sz w:val="16"/>
                <w:vertAlign w:val="superscript"/>
              </w:rPr>
            </w:pPr>
          </w:p>
        </w:tc>
        <w:tc>
          <w:tcPr>
            <w:tcW w:w="1005" w:type="dxa"/>
            <w:tcBorders>
              <w:top w:val="nil"/>
              <w:left w:val="nil"/>
              <w:bottom w:val="single" w:sz="6" w:space="0" w:color="000000"/>
              <w:right w:val="nil"/>
              <w:tl2br w:val="nil"/>
              <w:tr2bl w:val="nil"/>
            </w:tcBorders>
            <w:shd w:val="clear" w:color="auto" w:fill="FFFF00"/>
            <w:tcMar>
              <w:left w:w="115" w:type="dxa"/>
              <w:right w:w="115" w:type="dxa"/>
            </w:tcMar>
            <w:vAlign w:val="bottom"/>
          </w:tcPr>
          <w:p w14:paraId="18F4CF1E" w14:textId="77777777" w:rsidR="003F0EEA" w:rsidRPr="007114D9" w:rsidRDefault="00FB7D0B">
            <w:pPr>
              <w:jc w:val="right"/>
              <w:rPr>
                <w:rFonts w:ascii="Arial" w:eastAsia="Arial" w:hAnsi="Arial" w:cs="Arial"/>
                <w:color w:val="000000"/>
                <w:sz w:val="16"/>
                <w:vertAlign w:val="superscript"/>
              </w:rPr>
            </w:pPr>
            <w:r w:rsidRPr="007114D9">
              <w:rPr>
                <w:rFonts w:ascii="Arial" w:eastAsia="Arial" w:hAnsi="Arial" w:cs="Arial"/>
                <w:b/>
                <w:color w:val="000000"/>
                <w:sz w:val="16"/>
              </w:rPr>
              <w:t xml:space="preserve"> - </w:t>
            </w:r>
          </w:p>
        </w:tc>
        <w:tc>
          <w:tcPr>
            <w:tcW w:w="1005"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02BA7F4E" w14:textId="77777777" w:rsidR="003F0EEA" w:rsidRPr="007114D9" w:rsidRDefault="00FB7D0B">
            <w:pPr>
              <w:jc w:val="right"/>
              <w:rPr>
                <w:rFonts w:ascii="Arial" w:eastAsia="Arial" w:hAnsi="Arial" w:cs="Arial"/>
                <w:b/>
                <w:color w:val="000000"/>
                <w:sz w:val="16"/>
              </w:rPr>
            </w:pPr>
            <w:r w:rsidRPr="007114D9">
              <w:rPr>
                <w:rFonts w:ascii="Arial" w:eastAsia="Arial" w:hAnsi="Arial" w:cs="Arial"/>
                <w:b/>
                <w:color w:val="000000"/>
                <w:sz w:val="16"/>
              </w:rPr>
              <w:t>(1,925)</w:t>
            </w:r>
          </w:p>
        </w:tc>
        <w:tc>
          <w:tcPr>
            <w:tcW w:w="1005" w:type="dxa"/>
            <w:tcBorders>
              <w:top w:val="nil"/>
              <w:left w:val="nil"/>
              <w:bottom w:val="single" w:sz="6" w:space="0" w:color="000000"/>
              <w:right w:val="nil"/>
              <w:tl2br w:val="nil"/>
              <w:tr2bl w:val="nil"/>
            </w:tcBorders>
            <w:shd w:val="clear" w:color="auto" w:fill="FFFF00"/>
            <w:tcMar>
              <w:left w:w="115" w:type="dxa"/>
              <w:right w:w="115" w:type="dxa"/>
            </w:tcMar>
            <w:vAlign w:val="bottom"/>
          </w:tcPr>
          <w:p w14:paraId="47B28FCE" w14:textId="77777777" w:rsidR="003F0EEA" w:rsidRPr="007114D9" w:rsidRDefault="00FB7D0B">
            <w:pPr>
              <w:jc w:val="right"/>
              <w:rPr>
                <w:rFonts w:ascii="Arial" w:eastAsia="Arial" w:hAnsi="Arial" w:cs="Arial"/>
                <w:b/>
                <w:color w:val="000000"/>
                <w:sz w:val="16"/>
              </w:rPr>
            </w:pPr>
            <w:r w:rsidRPr="007114D9">
              <w:rPr>
                <w:rFonts w:ascii="Arial" w:eastAsia="Arial" w:hAnsi="Arial" w:cs="Arial"/>
                <w:b/>
                <w:color w:val="000000"/>
                <w:sz w:val="16"/>
              </w:rPr>
              <w:t>(4,448)</w:t>
            </w:r>
          </w:p>
        </w:tc>
        <w:tc>
          <w:tcPr>
            <w:tcW w:w="1005"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28439BB8" w14:textId="77777777" w:rsidR="003F0EEA" w:rsidRPr="007114D9" w:rsidRDefault="00FB7D0B">
            <w:pPr>
              <w:jc w:val="right"/>
              <w:rPr>
                <w:rFonts w:ascii="Arial" w:eastAsia="Arial" w:hAnsi="Arial" w:cs="Arial"/>
                <w:b/>
                <w:color w:val="000000"/>
                <w:sz w:val="16"/>
              </w:rPr>
            </w:pPr>
            <w:r w:rsidRPr="007114D9">
              <w:rPr>
                <w:rFonts w:ascii="Arial" w:eastAsia="Arial" w:hAnsi="Arial" w:cs="Arial"/>
                <w:b/>
                <w:color w:val="000000"/>
                <w:sz w:val="16"/>
              </w:rPr>
              <w:t>(4,183)</w:t>
            </w:r>
          </w:p>
        </w:tc>
        <w:tc>
          <w:tcPr>
            <w:tcW w:w="1005" w:type="dxa"/>
            <w:tcBorders>
              <w:top w:val="nil"/>
              <w:left w:val="nil"/>
              <w:bottom w:val="single" w:sz="6" w:space="0" w:color="000000"/>
              <w:right w:val="nil"/>
              <w:tl2br w:val="nil"/>
              <w:tr2bl w:val="nil"/>
            </w:tcBorders>
            <w:shd w:val="clear" w:color="auto" w:fill="FFFF00"/>
            <w:tcMar>
              <w:left w:w="115" w:type="dxa"/>
              <w:right w:w="115" w:type="dxa"/>
            </w:tcMar>
            <w:vAlign w:val="bottom"/>
          </w:tcPr>
          <w:p w14:paraId="44B9B012" w14:textId="77777777" w:rsidR="003F0EEA" w:rsidRPr="007114D9" w:rsidRDefault="00FB7D0B">
            <w:pPr>
              <w:jc w:val="right"/>
              <w:rPr>
                <w:rFonts w:ascii="Arial" w:eastAsia="Arial" w:hAnsi="Arial" w:cs="Arial"/>
                <w:b/>
                <w:color w:val="000000"/>
                <w:sz w:val="16"/>
              </w:rPr>
            </w:pPr>
            <w:r w:rsidRPr="007114D9">
              <w:rPr>
                <w:rFonts w:ascii="Arial" w:eastAsia="Arial" w:hAnsi="Arial" w:cs="Arial"/>
                <w:b/>
                <w:color w:val="000000"/>
                <w:sz w:val="16"/>
              </w:rPr>
              <w:t>(4,171)</w:t>
            </w:r>
          </w:p>
        </w:tc>
      </w:tr>
      <w:tr w:rsidR="00FB7D0B" w14:paraId="18EF1370" w14:textId="77777777" w:rsidTr="00FB7D0B">
        <w:trPr>
          <w:trHeight w:val="675"/>
        </w:trPr>
        <w:tc>
          <w:tcPr>
            <w:tcW w:w="2460" w:type="dxa"/>
            <w:gridSpan w:val="2"/>
            <w:tcBorders>
              <w:top w:val="nil"/>
              <w:left w:val="nil"/>
              <w:bottom w:val="nil"/>
              <w:right w:val="nil"/>
              <w:tl2br w:val="nil"/>
              <w:tr2bl w:val="nil"/>
            </w:tcBorders>
            <w:shd w:val="clear" w:color="auto" w:fill="FFFFFF"/>
            <w:tcMar>
              <w:left w:w="115" w:type="dxa"/>
              <w:right w:w="115" w:type="dxa"/>
            </w:tcMar>
            <w:vAlign w:val="bottom"/>
          </w:tcPr>
          <w:p w14:paraId="1927FF3A" w14:textId="77777777" w:rsidR="003F0EEA" w:rsidRPr="007114D9" w:rsidRDefault="00FB7D0B">
            <w:pPr>
              <w:rPr>
                <w:rFonts w:ascii="Arial" w:eastAsia="Arial" w:hAnsi="Arial" w:cs="Arial"/>
                <w:b/>
                <w:color w:val="000000"/>
                <w:sz w:val="16"/>
              </w:rPr>
            </w:pPr>
            <w:r w:rsidRPr="007114D9">
              <w:rPr>
                <w:rFonts w:ascii="Arial" w:eastAsia="Arial" w:hAnsi="Arial" w:cs="Arial"/>
                <w:color w:val="000000"/>
                <w:sz w:val="16"/>
              </w:rPr>
              <w:t>Medicare Benefits Schedule - comprehensive eye examination</w:t>
            </w:r>
            <w:r w:rsidRPr="007114D9">
              <w:rPr>
                <w:rFonts w:ascii="Arial" w:eastAsia="Arial" w:hAnsi="Arial" w:cs="Arial"/>
                <w:color w:val="000000"/>
                <w:sz w:val="16"/>
                <w:vertAlign w:val="superscript"/>
              </w:rPr>
              <w:t>2 </w:t>
            </w:r>
          </w:p>
        </w:tc>
        <w:tc>
          <w:tcPr>
            <w:tcW w:w="915" w:type="dxa"/>
            <w:tcBorders>
              <w:top w:val="nil"/>
              <w:left w:val="nil"/>
              <w:bottom w:val="nil"/>
              <w:right w:val="nil"/>
              <w:tl2br w:val="nil"/>
              <w:tr2bl w:val="nil"/>
            </w:tcBorders>
            <w:shd w:val="clear" w:color="auto" w:fill="FFFFFF"/>
            <w:tcMar>
              <w:left w:w="115" w:type="dxa"/>
              <w:right w:w="115" w:type="dxa"/>
            </w:tcMar>
            <w:vAlign w:val="bottom"/>
          </w:tcPr>
          <w:p w14:paraId="2E770E97" w14:textId="77777777" w:rsidR="003F0EEA" w:rsidRPr="007114D9" w:rsidRDefault="00FB7D0B">
            <w:pPr>
              <w:jc w:val="center"/>
              <w:rPr>
                <w:rFonts w:ascii="Arial" w:eastAsia="Arial" w:hAnsi="Arial" w:cs="Arial"/>
                <w:color w:val="000000"/>
                <w:sz w:val="16"/>
                <w:vertAlign w:val="superscript"/>
              </w:rPr>
            </w:pPr>
            <w:r w:rsidRPr="007114D9">
              <w:rPr>
                <w:rFonts w:ascii="Arial" w:eastAsia="Arial" w:hAnsi="Arial" w:cs="Arial"/>
                <w:color w:val="000000"/>
                <w:sz w:val="16"/>
              </w:rPr>
              <w:t>2.3 </w:t>
            </w:r>
          </w:p>
        </w:tc>
        <w:tc>
          <w:tcPr>
            <w:tcW w:w="1005" w:type="dxa"/>
            <w:tcBorders>
              <w:top w:val="single" w:sz="6" w:space="0" w:color="000000"/>
              <w:left w:val="nil"/>
              <w:bottom w:val="nil"/>
              <w:right w:val="nil"/>
              <w:tl2br w:val="nil"/>
              <w:tr2bl w:val="nil"/>
            </w:tcBorders>
            <w:shd w:val="clear" w:color="auto" w:fill="FFFF00"/>
            <w:tcMar>
              <w:left w:w="115" w:type="dxa"/>
              <w:right w:w="115" w:type="dxa"/>
            </w:tcMar>
            <w:vAlign w:val="bottom"/>
          </w:tcPr>
          <w:p w14:paraId="28778B60" w14:textId="77777777" w:rsidR="003F0EEA" w:rsidRPr="007114D9" w:rsidRDefault="003F0EEA">
            <w:pPr>
              <w:jc w:val="right"/>
              <w:rPr>
                <w:rFonts w:ascii="Arial" w:eastAsia="Arial" w:hAnsi="Arial" w:cs="Arial"/>
                <w:color w:val="000000"/>
                <w:sz w:val="16"/>
              </w:rPr>
            </w:pPr>
          </w:p>
        </w:tc>
        <w:tc>
          <w:tcPr>
            <w:tcW w:w="1005"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0D2AB785" w14:textId="77777777" w:rsidR="003F0EEA" w:rsidRPr="007114D9" w:rsidRDefault="003F0EEA">
            <w:pPr>
              <w:jc w:val="right"/>
              <w:rPr>
                <w:rFonts w:ascii="Arial" w:eastAsia="Arial" w:hAnsi="Arial" w:cs="Arial"/>
                <w:color w:val="000000"/>
                <w:sz w:val="16"/>
              </w:rPr>
            </w:pPr>
          </w:p>
        </w:tc>
        <w:tc>
          <w:tcPr>
            <w:tcW w:w="1005" w:type="dxa"/>
            <w:tcBorders>
              <w:top w:val="single" w:sz="6" w:space="0" w:color="000000"/>
              <w:left w:val="nil"/>
              <w:bottom w:val="nil"/>
              <w:right w:val="nil"/>
              <w:tl2br w:val="nil"/>
              <w:tr2bl w:val="nil"/>
            </w:tcBorders>
            <w:shd w:val="clear" w:color="auto" w:fill="FFFF00"/>
            <w:tcMar>
              <w:left w:w="115" w:type="dxa"/>
              <w:right w:w="115" w:type="dxa"/>
            </w:tcMar>
            <w:vAlign w:val="bottom"/>
          </w:tcPr>
          <w:p w14:paraId="3ACF3465" w14:textId="77777777" w:rsidR="003F0EEA" w:rsidRPr="007114D9" w:rsidRDefault="003F0EEA">
            <w:pPr>
              <w:jc w:val="right"/>
              <w:rPr>
                <w:rFonts w:ascii="Arial" w:eastAsia="Arial" w:hAnsi="Arial" w:cs="Arial"/>
                <w:color w:val="000000"/>
                <w:sz w:val="16"/>
              </w:rPr>
            </w:pPr>
          </w:p>
        </w:tc>
        <w:tc>
          <w:tcPr>
            <w:tcW w:w="1005"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3A19E0AE" w14:textId="77777777" w:rsidR="003F0EEA" w:rsidRPr="007114D9" w:rsidRDefault="003F0EEA">
            <w:pPr>
              <w:jc w:val="right"/>
              <w:rPr>
                <w:rFonts w:ascii="Arial" w:eastAsia="Arial" w:hAnsi="Arial" w:cs="Arial"/>
                <w:color w:val="000000"/>
                <w:sz w:val="16"/>
              </w:rPr>
            </w:pPr>
          </w:p>
        </w:tc>
        <w:tc>
          <w:tcPr>
            <w:tcW w:w="1005" w:type="dxa"/>
            <w:tcBorders>
              <w:top w:val="single" w:sz="6" w:space="0" w:color="000000"/>
              <w:left w:val="nil"/>
              <w:bottom w:val="nil"/>
              <w:right w:val="nil"/>
              <w:tl2br w:val="nil"/>
              <w:tr2bl w:val="nil"/>
            </w:tcBorders>
            <w:shd w:val="clear" w:color="auto" w:fill="FFFF00"/>
            <w:tcMar>
              <w:left w:w="115" w:type="dxa"/>
              <w:right w:w="115" w:type="dxa"/>
            </w:tcMar>
            <w:vAlign w:val="bottom"/>
          </w:tcPr>
          <w:p w14:paraId="0DCD52D3" w14:textId="77777777" w:rsidR="003F0EEA" w:rsidRPr="007114D9" w:rsidRDefault="003F0EEA">
            <w:pPr>
              <w:jc w:val="right"/>
              <w:rPr>
                <w:rFonts w:ascii="Arial" w:eastAsia="Arial" w:hAnsi="Arial" w:cs="Arial"/>
                <w:b/>
                <w:color w:val="000000"/>
                <w:sz w:val="16"/>
              </w:rPr>
            </w:pPr>
          </w:p>
        </w:tc>
      </w:tr>
      <w:tr w:rsidR="00724034" w14:paraId="3B2501A4" w14:textId="77777777">
        <w:trPr>
          <w:trHeight w:val="225"/>
        </w:trPr>
        <w:tc>
          <w:tcPr>
            <w:tcW w:w="180" w:type="dxa"/>
            <w:tcBorders>
              <w:top w:val="nil"/>
              <w:left w:val="nil"/>
              <w:bottom w:val="nil"/>
              <w:right w:val="nil"/>
              <w:tl2br w:val="nil"/>
              <w:tr2bl w:val="nil"/>
            </w:tcBorders>
            <w:shd w:val="clear" w:color="auto" w:fill="FFFFFF"/>
            <w:tcMar>
              <w:left w:w="115" w:type="dxa"/>
              <w:right w:w="115" w:type="dxa"/>
            </w:tcMar>
            <w:vAlign w:val="bottom"/>
          </w:tcPr>
          <w:p w14:paraId="26C97EAA" w14:textId="77777777" w:rsidR="003F0EEA" w:rsidRPr="007114D9" w:rsidRDefault="003F0EEA">
            <w:pPr>
              <w:rPr>
                <w:rFonts w:ascii="Arial" w:eastAsia="Arial" w:hAnsi="Arial" w:cs="Arial"/>
                <w:color w:val="000000"/>
                <w:sz w:val="16"/>
              </w:rPr>
            </w:pPr>
          </w:p>
        </w:tc>
        <w:tc>
          <w:tcPr>
            <w:tcW w:w="2280" w:type="dxa"/>
            <w:tcBorders>
              <w:top w:val="nil"/>
              <w:left w:val="nil"/>
              <w:bottom w:val="nil"/>
              <w:right w:val="nil"/>
              <w:tl2br w:val="nil"/>
              <w:tr2bl w:val="nil"/>
            </w:tcBorders>
            <w:shd w:val="clear" w:color="auto" w:fill="FFFFFF"/>
            <w:tcMar>
              <w:left w:w="115" w:type="dxa"/>
              <w:right w:w="115" w:type="dxa"/>
            </w:tcMar>
            <w:vAlign w:val="bottom"/>
          </w:tcPr>
          <w:p w14:paraId="1B0D0478" w14:textId="77777777" w:rsidR="003F0EEA" w:rsidRPr="007114D9" w:rsidRDefault="00FB7D0B">
            <w:pPr>
              <w:rPr>
                <w:rFonts w:ascii="Arial" w:eastAsia="Arial" w:hAnsi="Arial" w:cs="Arial"/>
                <w:color w:val="000000"/>
                <w:sz w:val="16"/>
              </w:rPr>
            </w:pPr>
            <w:r w:rsidRPr="007114D9">
              <w:rPr>
                <w:rFonts w:ascii="Arial" w:eastAsia="Arial" w:hAnsi="Arial" w:cs="Arial"/>
                <w:color w:val="000000"/>
                <w:sz w:val="16"/>
              </w:rPr>
              <w:t>Administered expenses</w:t>
            </w:r>
          </w:p>
        </w:tc>
        <w:tc>
          <w:tcPr>
            <w:tcW w:w="915" w:type="dxa"/>
            <w:tcBorders>
              <w:top w:val="nil"/>
              <w:left w:val="nil"/>
              <w:bottom w:val="nil"/>
              <w:right w:val="nil"/>
              <w:tl2br w:val="nil"/>
              <w:tr2bl w:val="nil"/>
            </w:tcBorders>
            <w:shd w:val="clear" w:color="auto" w:fill="FFFFFF"/>
            <w:tcMar>
              <w:left w:w="115" w:type="dxa"/>
              <w:right w:w="115" w:type="dxa"/>
            </w:tcMar>
            <w:vAlign w:val="bottom"/>
          </w:tcPr>
          <w:p w14:paraId="5D7138B9" w14:textId="77777777" w:rsidR="003F0EEA" w:rsidRPr="007114D9" w:rsidRDefault="003F0EEA">
            <w:pPr>
              <w:jc w:val="center"/>
              <w:rPr>
                <w:rFonts w:ascii="Arial" w:eastAsia="Arial" w:hAnsi="Arial" w:cs="Arial"/>
                <w:color w:val="000000"/>
                <w:sz w:val="16"/>
                <w:vertAlign w:val="superscript"/>
              </w:rPr>
            </w:pPr>
          </w:p>
        </w:tc>
        <w:tc>
          <w:tcPr>
            <w:tcW w:w="1005" w:type="dxa"/>
            <w:tcBorders>
              <w:top w:val="nil"/>
              <w:left w:val="nil"/>
              <w:bottom w:val="nil"/>
              <w:right w:val="nil"/>
              <w:tl2br w:val="nil"/>
              <w:tr2bl w:val="nil"/>
            </w:tcBorders>
            <w:shd w:val="clear" w:color="auto" w:fill="FFFF00"/>
            <w:tcMar>
              <w:left w:w="115" w:type="dxa"/>
              <w:right w:w="115" w:type="dxa"/>
            </w:tcMar>
            <w:vAlign w:val="bottom"/>
          </w:tcPr>
          <w:p w14:paraId="5B99F5D6" w14:textId="77777777" w:rsidR="003F0EEA" w:rsidRPr="007114D9" w:rsidRDefault="00FB7D0B">
            <w:pPr>
              <w:jc w:val="right"/>
              <w:rPr>
                <w:rFonts w:ascii="Arial" w:eastAsia="Arial" w:hAnsi="Arial" w:cs="Arial"/>
                <w:color w:val="000000"/>
                <w:sz w:val="16"/>
                <w:vertAlign w:val="superscript"/>
              </w:rPr>
            </w:pPr>
            <w:r w:rsidRPr="007114D9">
              <w:rPr>
                <w:rFonts w:ascii="Arial" w:eastAsia="Arial" w:hAnsi="Arial" w:cs="Arial"/>
                <w:color w:val="000000"/>
                <w:sz w:val="16"/>
              </w:rPr>
              <w:t xml:space="preserve"> - </w:t>
            </w:r>
          </w:p>
        </w:tc>
        <w:tc>
          <w:tcPr>
            <w:tcW w:w="1005" w:type="dxa"/>
            <w:tcBorders>
              <w:top w:val="nil"/>
              <w:left w:val="nil"/>
              <w:bottom w:val="nil"/>
              <w:right w:val="nil"/>
              <w:tl2br w:val="nil"/>
              <w:tr2bl w:val="nil"/>
            </w:tcBorders>
            <w:shd w:val="clear" w:color="auto" w:fill="FFFFFF"/>
            <w:tcMar>
              <w:left w:w="115" w:type="dxa"/>
              <w:right w:w="115" w:type="dxa"/>
            </w:tcMar>
            <w:vAlign w:val="bottom"/>
          </w:tcPr>
          <w:p w14:paraId="3C78EA69" w14:textId="77777777" w:rsidR="003F0EEA" w:rsidRPr="007114D9" w:rsidRDefault="00FB7D0B">
            <w:pPr>
              <w:jc w:val="right"/>
              <w:rPr>
                <w:rFonts w:ascii="Arial" w:eastAsia="Arial" w:hAnsi="Arial" w:cs="Arial"/>
                <w:color w:val="000000"/>
                <w:sz w:val="16"/>
              </w:rPr>
            </w:pPr>
            <w:r w:rsidRPr="007114D9">
              <w:rPr>
                <w:rFonts w:ascii="Arial" w:eastAsia="Arial" w:hAnsi="Arial" w:cs="Arial"/>
                <w:color w:val="000000"/>
                <w:sz w:val="16"/>
              </w:rPr>
              <w:t>472  </w:t>
            </w:r>
          </w:p>
        </w:tc>
        <w:tc>
          <w:tcPr>
            <w:tcW w:w="1005" w:type="dxa"/>
            <w:tcBorders>
              <w:top w:val="nil"/>
              <w:left w:val="nil"/>
              <w:bottom w:val="nil"/>
              <w:right w:val="nil"/>
              <w:tl2br w:val="nil"/>
              <w:tr2bl w:val="nil"/>
            </w:tcBorders>
            <w:shd w:val="clear" w:color="auto" w:fill="FFFF00"/>
            <w:tcMar>
              <w:left w:w="115" w:type="dxa"/>
              <w:right w:w="115" w:type="dxa"/>
            </w:tcMar>
            <w:vAlign w:val="bottom"/>
          </w:tcPr>
          <w:p w14:paraId="05C5858E" w14:textId="77777777" w:rsidR="003F0EEA" w:rsidRPr="007114D9" w:rsidRDefault="00FB7D0B">
            <w:pPr>
              <w:jc w:val="right"/>
              <w:rPr>
                <w:rFonts w:ascii="Arial" w:eastAsia="Arial" w:hAnsi="Arial" w:cs="Arial"/>
                <w:color w:val="000000"/>
                <w:sz w:val="16"/>
              </w:rPr>
            </w:pPr>
            <w:r w:rsidRPr="007114D9">
              <w:rPr>
                <w:rFonts w:ascii="Arial" w:eastAsia="Arial" w:hAnsi="Arial" w:cs="Arial"/>
                <w:color w:val="000000"/>
                <w:sz w:val="16"/>
              </w:rPr>
              <w:t>1,318  </w:t>
            </w:r>
          </w:p>
        </w:tc>
        <w:tc>
          <w:tcPr>
            <w:tcW w:w="1005" w:type="dxa"/>
            <w:tcBorders>
              <w:top w:val="nil"/>
              <w:left w:val="nil"/>
              <w:bottom w:val="nil"/>
              <w:right w:val="nil"/>
              <w:tl2br w:val="nil"/>
              <w:tr2bl w:val="nil"/>
            </w:tcBorders>
            <w:shd w:val="clear" w:color="auto" w:fill="FFFFFF"/>
            <w:tcMar>
              <w:left w:w="115" w:type="dxa"/>
              <w:right w:w="115" w:type="dxa"/>
            </w:tcMar>
            <w:vAlign w:val="bottom"/>
          </w:tcPr>
          <w:p w14:paraId="05A15009" w14:textId="77777777" w:rsidR="003F0EEA" w:rsidRPr="007114D9" w:rsidRDefault="00FB7D0B">
            <w:pPr>
              <w:jc w:val="right"/>
              <w:rPr>
                <w:rFonts w:ascii="Arial" w:eastAsia="Arial" w:hAnsi="Arial" w:cs="Arial"/>
                <w:color w:val="000000"/>
                <w:sz w:val="16"/>
              </w:rPr>
            </w:pPr>
            <w:r w:rsidRPr="007114D9">
              <w:rPr>
                <w:rFonts w:ascii="Arial" w:eastAsia="Arial" w:hAnsi="Arial" w:cs="Arial"/>
                <w:color w:val="000000"/>
                <w:sz w:val="16"/>
              </w:rPr>
              <w:t>867  </w:t>
            </w:r>
          </w:p>
        </w:tc>
        <w:tc>
          <w:tcPr>
            <w:tcW w:w="1005" w:type="dxa"/>
            <w:tcBorders>
              <w:top w:val="nil"/>
              <w:left w:val="nil"/>
              <w:bottom w:val="nil"/>
              <w:right w:val="nil"/>
              <w:tl2br w:val="nil"/>
              <w:tr2bl w:val="nil"/>
            </w:tcBorders>
            <w:shd w:val="clear" w:color="auto" w:fill="FFFF00"/>
            <w:tcMar>
              <w:left w:w="115" w:type="dxa"/>
              <w:right w:w="115" w:type="dxa"/>
            </w:tcMar>
            <w:vAlign w:val="bottom"/>
          </w:tcPr>
          <w:p w14:paraId="18882CA2" w14:textId="77777777" w:rsidR="003F0EEA" w:rsidRPr="007114D9" w:rsidRDefault="00FB7D0B">
            <w:pPr>
              <w:jc w:val="right"/>
              <w:rPr>
                <w:rFonts w:ascii="Arial" w:eastAsia="Arial" w:hAnsi="Arial" w:cs="Arial"/>
                <w:color w:val="000000"/>
                <w:sz w:val="16"/>
              </w:rPr>
            </w:pPr>
            <w:r w:rsidRPr="007114D9">
              <w:rPr>
                <w:rFonts w:ascii="Arial" w:eastAsia="Arial" w:hAnsi="Arial" w:cs="Arial"/>
                <w:color w:val="000000"/>
                <w:sz w:val="16"/>
              </w:rPr>
              <w:t>718  </w:t>
            </w:r>
          </w:p>
        </w:tc>
      </w:tr>
      <w:tr w:rsidR="00724034" w14:paraId="30B0F75A" w14:textId="77777777">
        <w:trPr>
          <w:trHeight w:val="225"/>
        </w:trPr>
        <w:tc>
          <w:tcPr>
            <w:tcW w:w="180" w:type="dxa"/>
            <w:tcBorders>
              <w:top w:val="nil"/>
              <w:left w:val="nil"/>
              <w:bottom w:val="nil"/>
              <w:right w:val="nil"/>
              <w:tl2br w:val="nil"/>
              <w:tr2bl w:val="nil"/>
            </w:tcBorders>
            <w:shd w:val="clear" w:color="auto" w:fill="FFFFFF"/>
            <w:tcMar>
              <w:left w:w="115" w:type="dxa"/>
              <w:right w:w="115" w:type="dxa"/>
            </w:tcMar>
            <w:vAlign w:val="bottom"/>
          </w:tcPr>
          <w:p w14:paraId="15BCD2AA" w14:textId="77777777" w:rsidR="003F0EEA" w:rsidRPr="007114D9" w:rsidRDefault="003F0EEA">
            <w:pPr>
              <w:rPr>
                <w:rFonts w:ascii="Arial" w:eastAsia="Arial" w:hAnsi="Arial" w:cs="Arial"/>
                <w:color w:val="000000"/>
                <w:sz w:val="16"/>
              </w:rPr>
            </w:pPr>
          </w:p>
        </w:tc>
        <w:tc>
          <w:tcPr>
            <w:tcW w:w="2280" w:type="dxa"/>
            <w:tcBorders>
              <w:top w:val="nil"/>
              <w:left w:val="nil"/>
              <w:bottom w:val="nil"/>
              <w:right w:val="nil"/>
              <w:tl2br w:val="nil"/>
              <w:tr2bl w:val="nil"/>
            </w:tcBorders>
            <w:shd w:val="clear" w:color="auto" w:fill="FFFFFF"/>
            <w:tcMar>
              <w:left w:w="115" w:type="dxa"/>
              <w:right w:w="115" w:type="dxa"/>
            </w:tcMar>
            <w:vAlign w:val="bottom"/>
          </w:tcPr>
          <w:p w14:paraId="07EA6E52" w14:textId="77777777" w:rsidR="003F0EEA" w:rsidRPr="007114D9" w:rsidRDefault="00FB7D0B">
            <w:pPr>
              <w:rPr>
                <w:rFonts w:ascii="Arial" w:eastAsia="Arial" w:hAnsi="Arial" w:cs="Arial"/>
                <w:color w:val="000000"/>
                <w:sz w:val="16"/>
              </w:rPr>
            </w:pPr>
            <w:r w:rsidRPr="007114D9">
              <w:rPr>
                <w:rFonts w:ascii="Arial" w:eastAsia="Arial" w:hAnsi="Arial" w:cs="Arial"/>
                <w:color w:val="000000"/>
                <w:sz w:val="16"/>
              </w:rPr>
              <w:t>Departmental expenses</w:t>
            </w:r>
          </w:p>
        </w:tc>
        <w:tc>
          <w:tcPr>
            <w:tcW w:w="915" w:type="dxa"/>
            <w:tcBorders>
              <w:top w:val="nil"/>
              <w:left w:val="nil"/>
              <w:bottom w:val="nil"/>
              <w:right w:val="nil"/>
              <w:tl2br w:val="nil"/>
              <w:tr2bl w:val="nil"/>
            </w:tcBorders>
            <w:shd w:val="clear" w:color="auto" w:fill="FFFFFF"/>
            <w:tcMar>
              <w:left w:w="115" w:type="dxa"/>
              <w:right w:w="115" w:type="dxa"/>
            </w:tcMar>
            <w:vAlign w:val="bottom"/>
          </w:tcPr>
          <w:p w14:paraId="4796F9DC" w14:textId="77777777" w:rsidR="003F0EEA" w:rsidRPr="007114D9" w:rsidRDefault="003F0EEA">
            <w:pPr>
              <w:jc w:val="center"/>
              <w:rPr>
                <w:rFonts w:ascii="Arial" w:eastAsia="Arial" w:hAnsi="Arial" w:cs="Arial"/>
                <w:b/>
                <w:color w:val="000000"/>
                <w:sz w:val="16"/>
                <w:vertAlign w:val="superscript"/>
              </w:rPr>
            </w:pPr>
          </w:p>
        </w:tc>
        <w:tc>
          <w:tcPr>
            <w:tcW w:w="1005" w:type="dxa"/>
            <w:tcBorders>
              <w:top w:val="nil"/>
              <w:left w:val="nil"/>
              <w:bottom w:val="nil"/>
              <w:right w:val="nil"/>
              <w:tl2br w:val="nil"/>
              <w:tr2bl w:val="nil"/>
            </w:tcBorders>
            <w:shd w:val="clear" w:color="auto" w:fill="FFFF00"/>
            <w:tcMar>
              <w:left w:w="115" w:type="dxa"/>
              <w:right w:w="115" w:type="dxa"/>
            </w:tcMar>
            <w:vAlign w:val="bottom"/>
          </w:tcPr>
          <w:p w14:paraId="05FC3E00" w14:textId="77777777" w:rsidR="003F0EEA" w:rsidRPr="007114D9" w:rsidRDefault="00FB7D0B">
            <w:pPr>
              <w:jc w:val="right"/>
              <w:rPr>
                <w:rFonts w:ascii="Arial" w:eastAsia="Arial" w:hAnsi="Arial" w:cs="Arial"/>
                <w:color w:val="000000"/>
                <w:sz w:val="16"/>
                <w:vertAlign w:val="superscript"/>
              </w:rPr>
            </w:pPr>
            <w:r w:rsidRPr="007114D9">
              <w:rPr>
                <w:rFonts w:ascii="Arial" w:eastAsia="Arial" w:hAnsi="Arial" w:cs="Arial"/>
                <w:color w:val="000000"/>
                <w:sz w:val="16"/>
              </w:rPr>
              <w:t xml:space="preserve"> - </w:t>
            </w:r>
          </w:p>
        </w:tc>
        <w:tc>
          <w:tcPr>
            <w:tcW w:w="1005" w:type="dxa"/>
            <w:tcBorders>
              <w:top w:val="nil"/>
              <w:left w:val="nil"/>
              <w:bottom w:val="nil"/>
              <w:right w:val="nil"/>
              <w:tl2br w:val="nil"/>
              <w:tr2bl w:val="nil"/>
            </w:tcBorders>
            <w:shd w:val="clear" w:color="auto" w:fill="FFFFFF"/>
            <w:tcMar>
              <w:left w:w="115" w:type="dxa"/>
              <w:right w:w="115" w:type="dxa"/>
            </w:tcMar>
            <w:vAlign w:val="bottom"/>
          </w:tcPr>
          <w:p w14:paraId="38E327A5" w14:textId="77777777" w:rsidR="003F0EEA" w:rsidRPr="007114D9" w:rsidRDefault="00FB7D0B">
            <w:pPr>
              <w:jc w:val="right"/>
              <w:rPr>
                <w:rFonts w:ascii="Arial" w:eastAsia="Arial" w:hAnsi="Arial" w:cs="Arial"/>
                <w:color w:val="000000"/>
                <w:sz w:val="16"/>
              </w:rPr>
            </w:pPr>
            <w:r w:rsidRPr="007114D9">
              <w:rPr>
                <w:rFonts w:ascii="Arial" w:eastAsia="Arial" w:hAnsi="Arial" w:cs="Arial"/>
                <w:color w:val="000000"/>
                <w:sz w:val="16"/>
              </w:rPr>
              <w:t xml:space="preserve"> - </w:t>
            </w:r>
          </w:p>
        </w:tc>
        <w:tc>
          <w:tcPr>
            <w:tcW w:w="1005" w:type="dxa"/>
            <w:tcBorders>
              <w:top w:val="nil"/>
              <w:left w:val="nil"/>
              <w:bottom w:val="nil"/>
              <w:right w:val="nil"/>
              <w:tl2br w:val="nil"/>
              <w:tr2bl w:val="nil"/>
            </w:tcBorders>
            <w:shd w:val="clear" w:color="auto" w:fill="FFFF00"/>
            <w:tcMar>
              <w:left w:w="115" w:type="dxa"/>
              <w:right w:w="115" w:type="dxa"/>
            </w:tcMar>
            <w:vAlign w:val="bottom"/>
          </w:tcPr>
          <w:p w14:paraId="7D74ADC5" w14:textId="77777777" w:rsidR="003F0EEA" w:rsidRPr="007114D9" w:rsidRDefault="00FB7D0B">
            <w:pPr>
              <w:jc w:val="right"/>
              <w:rPr>
                <w:rFonts w:ascii="Arial" w:eastAsia="Arial" w:hAnsi="Arial" w:cs="Arial"/>
                <w:color w:val="000000"/>
                <w:sz w:val="16"/>
              </w:rPr>
            </w:pPr>
            <w:r w:rsidRPr="007114D9">
              <w:rPr>
                <w:rFonts w:ascii="Arial" w:eastAsia="Arial" w:hAnsi="Arial" w:cs="Arial"/>
                <w:color w:val="000000"/>
                <w:sz w:val="16"/>
              </w:rPr>
              <w:t xml:space="preserve"> - </w:t>
            </w:r>
          </w:p>
        </w:tc>
        <w:tc>
          <w:tcPr>
            <w:tcW w:w="1005" w:type="dxa"/>
            <w:tcBorders>
              <w:top w:val="nil"/>
              <w:left w:val="nil"/>
              <w:bottom w:val="nil"/>
              <w:right w:val="nil"/>
              <w:tl2br w:val="nil"/>
              <w:tr2bl w:val="nil"/>
            </w:tcBorders>
            <w:shd w:val="clear" w:color="auto" w:fill="FFFFFF"/>
            <w:tcMar>
              <w:left w:w="115" w:type="dxa"/>
              <w:right w:w="115" w:type="dxa"/>
            </w:tcMar>
            <w:vAlign w:val="bottom"/>
          </w:tcPr>
          <w:p w14:paraId="003B4DB0" w14:textId="77777777" w:rsidR="003F0EEA" w:rsidRPr="007114D9" w:rsidRDefault="00FB7D0B">
            <w:pPr>
              <w:jc w:val="right"/>
              <w:rPr>
                <w:rFonts w:ascii="Arial" w:eastAsia="Arial" w:hAnsi="Arial" w:cs="Arial"/>
                <w:color w:val="000000"/>
                <w:sz w:val="16"/>
              </w:rPr>
            </w:pPr>
            <w:r w:rsidRPr="007114D9">
              <w:rPr>
                <w:rFonts w:ascii="Arial" w:eastAsia="Arial" w:hAnsi="Arial" w:cs="Arial"/>
                <w:color w:val="000000"/>
                <w:sz w:val="16"/>
              </w:rPr>
              <w:t xml:space="preserve"> - </w:t>
            </w:r>
          </w:p>
        </w:tc>
        <w:tc>
          <w:tcPr>
            <w:tcW w:w="1005" w:type="dxa"/>
            <w:tcBorders>
              <w:top w:val="nil"/>
              <w:left w:val="nil"/>
              <w:bottom w:val="nil"/>
              <w:right w:val="nil"/>
              <w:tl2br w:val="nil"/>
              <w:tr2bl w:val="nil"/>
            </w:tcBorders>
            <w:shd w:val="clear" w:color="auto" w:fill="FFFF00"/>
            <w:tcMar>
              <w:left w:w="115" w:type="dxa"/>
              <w:right w:w="115" w:type="dxa"/>
            </w:tcMar>
            <w:vAlign w:val="bottom"/>
          </w:tcPr>
          <w:p w14:paraId="7E201ACC" w14:textId="77777777" w:rsidR="003F0EEA" w:rsidRPr="007114D9" w:rsidRDefault="00FB7D0B">
            <w:pPr>
              <w:jc w:val="right"/>
              <w:rPr>
                <w:rFonts w:ascii="Arial" w:eastAsia="Arial" w:hAnsi="Arial" w:cs="Arial"/>
                <w:color w:val="000000"/>
                <w:sz w:val="16"/>
              </w:rPr>
            </w:pPr>
            <w:r w:rsidRPr="007114D9">
              <w:rPr>
                <w:rFonts w:ascii="Arial" w:eastAsia="Arial" w:hAnsi="Arial" w:cs="Arial"/>
                <w:color w:val="000000"/>
                <w:sz w:val="16"/>
              </w:rPr>
              <w:t xml:space="preserve"> - </w:t>
            </w:r>
          </w:p>
        </w:tc>
      </w:tr>
      <w:tr w:rsidR="00FB7D0B" w14:paraId="6DCC60F2" w14:textId="77777777" w:rsidTr="00FB7D0B">
        <w:trPr>
          <w:trHeight w:val="225"/>
        </w:trPr>
        <w:tc>
          <w:tcPr>
            <w:tcW w:w="2460" w:type="dxa"/>
            <w:gridSpan w:val="2"/>
            <w:tcBorders>
              <w:top w:val="nil"/>
              <w:left w:val="nil"/>
              <w:bottom w:val="nil"/>
              <w:right w:val="nil"/>
              <w:tl2br w:val="nil"/>
              <w:tr2bl w:val="nil"/>
            </w:tcBorders>
            <w:shd w:val="clear" w:color="auto" w:fill="FFFFFF"/>
            <w:tcMar>
              <w:left w:w="115" w:type="dxa"/>
              <w:right w:w="115" w:type="dxa"/>
            </w:tcMar>
            <w:vAlign w:val="bottom"/>
          </w:tcPr>
          <w:p w14:paraId="100E077F" w14:textId="77777777" w:rsidR="003F0EEA" w:rsidRPr="007114D9" w:rsidRDefault="00FB7D0B">
            <w:pPr>
              <w:rPr>
                <w:rFonts w:ascii="Arial" w:eastAsia="Arial" w:hAnsi="Arial" w:cs="Arial"/>
                <w:color w:val="000000"/>
                <w:sz w:val="16"/>
              </w:rPr>
            </w:pPr>
            <w:r w:rsidRPr="007114D9">
              <w:rPr>
                <w:rFonts w:ascii="Arial" w:eastAsia="Arial" w:hAnsi="Arial" w:cs="Arial"/>
                <w:b/>
                <w:color w:val="000000"/>
                <w:sz w:val="16"/>
              </w:rPr>
              <w:t xml:space="preserve">Total </w:t>
            </w:r>
          </w:p>
        </w:tc>
        <w:tc>
          <w:tcPr>
            <w:tcW w:w="915" w:type="dxa"/>
            <w:tcBorders>
              <w:top w:val="nil"/>
              <w:left w:val="nil"/>
              <w:bottom w:val="nil"/>
              <w:right w:val="nil"/>
              <w:tl2br w:val="nil"/>
              <w:tr2bl w:val="nil"/>
            </w:tcBorders>
            <w:shd w:val="clear" w:color="auto" w:fill="FFFFFF"/>
            <w:tcMar>
              <w:left w:w="115" w:type="dxa"/>
              <w:right w:w="115" w:type="dxa"/>
            </w:tcMar>
            <w:vAlign w:val="bottom"/>
          </w:tcPr>
          <w:p w14:paraId="054257C6" w14:textId="77777777" w:rsidR="003F0EEA" w:rsidRPr="007114D9" w:rsidRDefault="003F0EEA">
            <w:pPr>
              <w:jc w:val="center"/>
              <w:rPr>
                <w:rFonts w:ascii="Arial" w:eastAsia="Arial" w:hAnsi="Arial" w:cs="Arial"/>
                <w:b/>
                <w:color w:val="000000"/>
                <w:sz w:val="16"/>
                <w:vertAlign w:val="superscript"/>
              </w:rPr>
            </w:pPr>
          </w:p>
        </w:tc>
        <w:tc>
          <w:tcPr>
            <w:tcW w:w="1005" w:type="dxa"/>
            <w:tcBorders>
              <w:top w:val="nil"/>
              <w:left w:val="nil"/>
              <w:bottom w:val="single" w:sz="6" w:space="0" w:color="000000"/>
              <w:right w:val="nil"/>
              <w:tl2br w:val="nil"/>
              <w:tr2bl w:val="nil"/>
            </w:tcBorders>
            <w:shd w:val="clear" w:color="auto" w:fill="FFFF00"/>
            <w:tcMar>
              <w:left w:w="115" w:type="dxa"/>
              <w:right w:w="115" w:type="dxa"/>
            </w:tcMar>
            <w:vAlign w:val="bottom"/>
          </w:tcPr>
          <w:p w14:paraId="5D2E0917" w14:textId="77777777" w:rsidR="003F0EEA" w:rsidRPr="007114D9" w:rsidRDefault="00FB7D0B">
            <w:pPr>
              <w:jc w:val="right"/>
              <w:rPr>
                <w:rFonts w:ascii="Arial" w:eastAsia="Arial" w:hAnsi="Arial" w:cs="Arial"/>
                <w:color w:val="000000"/>
                <w:sz w:val="16"/>
                <w:vertAlign w:val="superscript"/>
              </w:rPr>
            </w:pPr>
            <w:r w:rsidRPr="007114D9">
              <w:rPr>
                <w:rFonts w:ascii="Arial" w:eastAsia="Arial" w:hAnsi="Arial" w:cs="Arial"/>
                <w:b/>
                <w:color w:val="000000"/>
                <w:sz w:val="16"/>
              </w:rPr>
              <w:t xml:space="preserve"> - </w:t>
            </w:r>
          </w:p>
        </w:tc>
        <w:tc>
          <w:tcPr>
            <w:tcW w:w="1005"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4A1FA01B" w14:textId="77777777" w:rsidR="003F0EEA" w:rsidRPr="007114D9" w:rsidRDefault="00FB7D0B">
            <w:pPr>
              <w:jc w:val="right"/>
              <w:rPr>
                <w:rFonts w:ascii="Arial" w:eastAsia="Arial" w:hAnsi="Arial" w:cs="Arial"/>
                <w:b/>
                <w:color w:val="000000"/>
                <w:sz w:val="16"/>
              </w:rPr>
            </w:pPr>
            <w:r w:rsidRPr="007114D9">
              <w:rPr>
                <w:rFonts w:ascii="Arial" w:eastAsia="Arial" w:hAnsi="Arial" w:cs="Arial"/>
                <w:b/>
                <w:color w:val="000000"/>
                <w:sz w:val="16"/>
              </w:rPr>
              <w:t>472  </w:t>
            </w:r>
          </w:p>
        </w:tc>
        <w:tc>
          <w:tcPr>
            <w:tcW w:w="1005" w:type="dxa"/>
            <w:tcBorders>
              <w:top w:val="nil"/>
              <w:left w:val="nil"/>
              <w:bottom w:val="single" w:sz="6" w:space="0" w:color="000000"/>
              <w:right w:val="nil"/>
              <w:tl2br w:val="nil"/>
              <w:tr2bl w:val="nil"/>
            </w:tcBorders>
            <w:shd w:val="clear" w:color="auto" w:fill="FFFF00"/>
            <w:tcMar>
              <w:left w:w="115" w:type="dxa"/>
              <w:right w:w="115" w:type="dxa"/>
            </w:tcMar>
            <w:vAlign w:val="bottom"/>
          </w:tcPr>
          <w:p w14:paraId="3A4E031A" w14:textId="77777777" w:rsidR="003F0EEA" w:rsidRPr="007114D9" w:rsidRDefault="00FB7D0B">
            <w:pPr>
              <w:jc w:val="right"/>
              <w:rPr>
                <w:rFonts w:ascii="Arial" w:eastAsia="Arial" w:hAnsi="Arial" w:cs="Arial"/>
                <w:b/>
                <w:color w:val="000000"/>
                <w:sz w:val="16"/>
              </w:rPr>
            </w:pPr>
            <w:r w:rsidRPr="007114D9">
              <w:rPr>
                <w:rFonts w:ascii="Arial" w:eastAsia="Arial" w:hAnsi="Arial" w:cs="Arial"/>
                <w:b/>
                <w:color w:val="000000"/>
                <w:sz w:val="16"/>
              </w:rPr>
              <w:t>1,318  </w:t>
            </w:r>
          </w:p>
        </w:tc>
        <w:tc>
          <w:tcPr>
            <w:tcW w:w="1005"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5DD9C75F" w14:textId="77777777" w:rsidR="003F0EEA" w:rsidRPr="007114D9" w:rsidRDefault="00FB7D0B">
            <w:pPr>
              <w:jc w:val="right"/>
              <w:rPr>
                <w:rFonts w:ascii="Arial" w:eastAsia="Arial" w:hAnsi="Arial" w:cs="Arial"/>
                <w:b/>
                <w:color w:val="000000"/>
                <w:sz w:val="16"/>
              </w:rPr>
            </w:pPr>
            <w:r w:rsidRPr="007114D9">
              <w:rPr>
                <w:rFonts w:ascii="Arial" w:eastAsia="Arial" w:hAnsi="Arial" w:cs="Arial"/>
                <w:b/>
                <w:color w:val="000000"/>
                <w:sz w:val="16"/>
              </w:rPr>
              <w:t>867  </w:t>
            </w:r>
          </w:p>
        </w:tc>
        <w:tc>
          <w:tcPr>
            <w:tcW w:w="1005" w:type="dxa"/>
            <w:tcBorders>
              <w:top w:val="nil"/>
              <w:left w:val="nil"/>
              <w:bottom w:val="single" w:sz="6" w:space="0" w:color="000000"/>
              <w:right w:val="nil"/>
              <w:tl2br w:val="nil"/>
              <w:tr2bl w:val="nil"/>
            </w:tcBorders>
            <w:shd w:val="clear" w:color="auto" w:fill="FFFF00"/>
            <w:tcMar>
              <w:left w:w="115" w:type="dxa"/>
              <w:right w:w="115" w:type="dxa"/>
            </w:tcMar>
            <w:vAlign w:val="bottom"/>
          </w:tcPr>
          <w:p w14:paraId="06C279EE" w14:textId="77777777" w:rsidR="003F0EEA" w:rsidRPr="007114D9" w:rsidRDefault="00FB7D0B">
            <w:pPr>
              <w:jc w:val="right"/>
              <w:rPr>
                <w:rFonts w:ascii="Arial" w:eastAsia="Arial" w:hAnsi="Arial" w:cs="Arial"/>
                <w:b/>
                <w:color w:val="000000"/>
                <w:sz w:val="16"/>
              </w:rPr>
            </w:pPr>
            <w:r w:rsidRPr="007114D9">
              <w:rPr>
                <w:rFonts w:ascii="Arial" w:eastAsia="Arial" w:hAnsi="Arial" w:cs="Arial"/>
                <w:b/>
                <w:color w:val="000000"/>
                <w:sz w:val="16"/>
              </w:rPr>
              <w:t>718  </w:t>
            </w:r>
          </w:p>
        </w:tc>
      </w:tr>
      <w:tr w:rsidR="00724034" w14:paraId="3FF1A3F8" w14:textId="77777777">
        <w:trPr>
          <w:trHeight w:val="225"/>
        </w:trPr>
        <w:tc>
          <w:tcPr>
            <w:tcW w:w="180" w:type="dxa"/>
            <w:tcBorders>
              <w:top w:val="nil"/>
              <w:left w:val="nil"/>
              <w:bottom w:val="nil"/>
              <w:right w:val="nil"/>
              <w:tl2br w:val="nil"/>
              <w:tr2bl w:val="nil"/>
            </w:tcBorders>
            <w:shd w:val="clear" w:color="auto" w:fill="FFFFFF"/>
            <w:tcMar>
              <w:left w:w="115" w:type="dxa"/>
              <w:right w:w="115" w:type="dxa"/>
            </w:tcMar>
            <w:vAlign w:val="bottom"/>
          </w:tcPr>
          <w:p w14:paraId="54B01AAD" w14:textId="77777777" w:rsidR="003F0EEA" w:rsidRPr="007114D9" w:rsidRDefault="003F0EEA">
            <w:pPr>
              <w:rPr>
                <w:rFonts w:ascii="Arial" w:eastAsia="Arial" w:hAnsi="Arial" w:cs="Arial"/>
                <w:b/>
                <w:color w:val="000000"/>
                <w:sz w:val="16"/>
              </w:rPr>
            </w:pPr>
          </w:p>
        </w:tc>
        <w:tc>
          <w:tcPr>
            <w:tcW w:w="2280" w:type="dxa"/>
            <w:tcBorders>
              <w:top w:val="nil"/>
              <w:left w:val="nil"/>
              <w:bottom w:val="nil"/>
              <w:right w:val="nil"/>
              <w:tl2br w:val="nil"/>
              <w:tr2bl w:val="nil"/>
            </w:tcBorders>
            <w:shd w:val="clear" w:color="auto" w:fill="FFFFFF"/>
            <w:tcMar>
              <w:left w:w="115" w:type="dxa"/>
              <w:right w:w="115" w:type="dxa"/>
            </w:tcMar>
            <w:vAlign w:val="bottom"/>
          </w:tcPr>
          <w:p w14:paraId="02FC34F2" w14:textId="77777777" w:rsidR="003F0EEA" w:rsidRPr="007114D9" w:rsidRDefault="003F0EEA">
            <w:pPr>
              <w:rPr>
                <w:rFonts w:ascii="Arial" w:eastAsia="Arial" w:hAnsi="Arial" w:cs="Arial"/>
                <w:b/>
                <w:color w:val="000000"/>
                <w:sz w:val="16"/>
              </w:rPr>
            </w:pPr>
          </w:p>
        </w:tc>
        <w:tc>
          <w:tcPr>
            <w:tcW w:w="915" w:type="dxa"/>
            <w:tcBorders>
              <w:top w:val="nil"/>
              <w:left w:val="nil"/>
              <w:bottom w:val="nil"/>
              <w:right w:val="nil"/>
              <w:tl2br w:val="nil"/>
              <w:tr2bl w:val="nil"/>
            </w:tcBorders>
            <w:shd w:val="clear" w:color="auto" w:fill="FFFFFF"/>
            <w:tcMar>
              <w:left w:w="115" w:type="dxa"/>
              <w:right w:w="115" w:type="dxa"/>
            </w:tcMar>
            <w:vAlign w:val="bottom"/>
          </w:tcPr>
          <w:p w14:paraId="2087D014" w14:textId="77777777" w:rsidR="003F0EEA" w:rsidRPr="007114D9" w:rsidRDefault="003F0EEA">
            <w:pPr>
              <w:jc w:val="center"/>
              <w:rPr>
                <w:rFonts w:ascii="Arial" w:eastAsia="Arial" w:hAnsi="Arial" w:cs="Arial"/>
                <w:b/>
                <w:color w:val="000000"/>
                <w:sz w:val="16"/>
                <w:vertAlign w:val="superscript"/>
              </w:rPr>
            </w:pPr>
          </w:p>
        </w:tc>
        <w:tc>
          <w:tcPr>
            <w:tcW w:w="1005" w:type="dxa"/>
            <w:tcBorders>
              <w:top w:val="single" w:sz="6" w:space="0" w:color="000000"/>
              <w:left w:val="nil"/>
              <w:bottom w:val="nil"/>
              <w:right w:val="nil"/>
              <w:tl2br w:val="nil"/>
              <w:tr2bl w:val="nil"/>
            </w:tcBorders>
            <w:shd w:val="clear" w:color="auto" w:fill="FFFF00"/>
            <w:tcMar>
              <w:left w:w="115" w:type="dxa"/>
              <w:right w:w="115" w:type="dxa"/>
            </w:tcMar>
            <w:vAlign w:val="bottom"/>
          </w:tcPr>
          <w:p w14:paraId="15465089" w14:textId="77777777" w:rsidR="003F0EEA" w:rsidRPr="007114D9" w:rsidRDefault="003F0EEA">
            <w:pPr>
              <w:jc w:val="right"/>
              <w:rPr>
                <w:rFonts w:ascii="Arial" w:eastAsia="Arial" w:hAnsi="Arial" w:cs="Arial"/>
                <w:color w:val="000000"/>
                <w:sz w:val="16"/>
                <w:vertAlign w:val="superscript"/>
              </w:rPr>
            </w:pPr>
          </w:p>
        </w:tc>
        <w:tc>
          <w:tcPr>
            <w:tcW w:w="1005"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458C43E7" w14:textId="77777777" w:rsidR="003F0EEA" w:rsidRPr="007114D9" w:rsidRDefault="003F0EEA">
            <w:pPr>
              <w:jc w:val="right"/>
              <w:rPr>
                <w:rFonts w:ascii="Arial" w:eastAsia="Arial" w:hAnsi="Arial" w:cs="Arial"/>
                <w:b/>
                <w:color w:val="000000"/>
                <w:sz w:val="16"/>
                <w:vertAlign w:val="superscript"/>
              </w:rPr>
            </w:pPr>
          </w:p>
        </w:tc>
        <w:tc>
          <w:tcPr>
            <w:tcW w:w="1005" w:type="dxa"/>
            <w:tcBorders>
              <w:top w:val="single" w:sz="6" w:space="0" w:color="000000"/>
              <w:left w:val="nil"/>
              <w:bottom w:val="nil"/>
              <w:right w:val="nil"/>
              <w:tl2br w:val="nil"/>
              <w:tr2bl w:val="nil"/>
            </w:tcBorders>
            <w:shd w:val="clear" w:color="auto" w:fill="FFFF00"/>
            <w:tcMar>
              <w:left w:w="115" w:type="dxa"/>
              <w:right w:w="115" w:type="dxa"/>
            </w:tcMar>
            <w:vAlign w:val="bottom"/>
          </w:tcPr>
          <w:p w14:paraId="3115CE3C" w14:textId="77777777" w:rsidR="003F0EEA" w:rsidRPr="007114D9" w:rsidRDefault="003F0EEA">
            <w:pPr>
              <w:jc w:val="right"/>
              <w:rPr>
                <w:rFonts w:ascii="Arial" w:eastAsia="Arial" w:hAnsi="Arial" w:cs="Arial"/>
                <w:b/>
                <w:color w:val="000000"/>
                <w:sz w:val="16"/>
                <w:vertAlign w:val="superscript"/>
              </w:rPr>
            </w:pPr>
          </w:p>
        </w:tc>
        <w:tc>
          <w:tcPr>
            <w:tcW w:w="1005"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2C959B0E" w14:textId="77777777" w:rsidR="003F0EEA" w:rsidRPr="007114D9" w:rsidRDefault="003F0EEA">
            <w:pPr>
              <w:jc w:val="right"/>
              <w:rPr>
                <w:rFonts w:ascii="Arial" w:eastAsia="Arial" w:hAnsi="Arial" w:cs="Arial"/>
                <w:b/>
                <w:color w:val="000000"/>
                <w:sz w:val="16"/>
                <w:vertAlign w:val="superscript"/>
              </w:rPr>
            </w:pPr>
          </w:p>
        </w:tc>
        <w:tc>
          <w:tcPr>
            <w:tcW w:w="1005" w:type="dxa"/>
            <w:tcBorders>
              <w:top w:val="single" w:sz="6" w:space="0" w:color="000000"/>
              <w:left w:val="nil"/>
              <w:bottom w:val="nil"/>
              <w:right w:val="nil"/>
              <w:tl2br w:val="nil"/>
              <w:tr2bl w:val="nil"/>
            </w:tcBorders>
            <w:shd w:val="clear" w:color="auto" w:fill="FFFF00"/>
            <w:tcMar>
              <w:left w:w="115" w:type="dxa"/>
              <w:right w:w="115" w:type="dxa"/>
            </w:tcMar>
            <w:vAlign w:val="bottom"/>
          </w:tcPr>
          <w:p w14:paraId="026A37F7" w14:textId="77777777" w:rsidR="003F0EEA" w:rsidRPr="007114D9" w:rsidRDefault="003F0EEA">
            <w:pPr>
              <w:jc w:val="right"/>
              <w:rPr>
                <w:rFonts w:ascii="Arial" w:eastAsia="Arial" w:hAnsi="Arial" w:cs="Arial"/>
                <w:b/>
                <w:color w:val="000000"/>
                <w:sz w:val="16"/>
                <w:vertAlign w:val="superscript"/>
              </w:rPr>
            </w:pPr>
          </w:p>
        </w:tc>
      </w:tr>
      <w:tr w:rsidR="00FB7D0B" w14:paraId="77C57196" w14:textId="77777777" w:rsidTr="00FB7D0B">
        <w:trPr>
          <w:trHeight w:val="675"/>
        </w:trPr>
        <w:tc>
          <w:tcPr>
            <w:tcW w:w="2460" w:type="dxa"/>
            <w:gridSpan w:val="2"/>
            <w:tcBorders>
              <w:top w:val="nil"/>
              <w:left w:val="nil"/>
              <w:bottom w:val="nil"/>
              <w:right w:val="nil"/>
              <w:tl2br w:val="nil"/>
              <w:tr2bl w:val="nil"/>
            </w:tcBorders>
            <w:shd w:val="clear" w:color="auto" w:fill="FFFFFF"/>
            <w:tcMar>
              <w:left w:w="115" w:type="dxa"/>
              <w:right w:w="115" w:type="dxa"/>
            </w:tcMar>
            <w:vAlign w:val="bottom"/>
          </w:tcPr>
          <w:p w14:paraId="342C4580" w14:textId="77777777" w:rsidR="003F0EEA" w:rsidRPr="007114D9" w:rsidRDefault="00FB7D0B">
            <w:pPr>
              <w:rPr>
                <w:rFonts w:ascii="Arial" w:eastAsia="Arial" w:hAnsi="Arial" w:cs="Arial"/>
                <w:b/>
                <w:color w:val="000000"/>
                <w:sz w:val="16"/>
                <w:vertAlign w:val="superscript"/>
              </w:rPr>
            </w:pPr>
            <w:r w:rsidRPr="007114D9">
              <w:rPr>
                <w:rFonts w:ascii="Arial" w:eastAsia="Arial" w:hAnsi="Arial" w:cs="Arial"/>
                <w:color w:val="000000"/>
                <w:sz w:val="16"/>
              </w:rPr>
              <w:t>Repatriation Pharmaceutical Benefits Scheme - new listings and price amendments</w:t>
            </w:r>
          </w:p>
        </w:tc>
        <w:tc>
          <w:tcPr>
            <w:tcW w:w="915" w:type="dxa"/>
            <w:tcBorders>
              <w:top w:val="nil"/>
              <w:left w:val="nil"/>
              <w:bottom w:val="nil"/>
              <w:right w:val="nil"/>
              <w:tl2br w:val="nil"/>
              <w:tr2bl w:val="nil"/>
            </w:tcBorders>
            <w:shd w:val="clear" w:color="auto" w:fill="FFFFFF"/>
            <w:tcMar>
              <w:left w:w="115" w:type="dxa"/>
              <w:right w:w="115" w:type="dxa"/>
            </w:tcMar>
            <w:vAlign w:val="bottom"/>
          </w:tcPr>
          <w:p w14:paraId="21731944" w14:textId="77777777" w:rsidR="003F0EEA" w:rsidRPr="007114D9" w:rsidRDefault="00FB7D0B">
            <w:pPr>
              <w:jc w:val="center"/>
              <w:rPr>
                <w:rFonts w:ascii="Arial" w:eastAsia="Arial" w:hAnsi="Arial" w:cs="Arial"/>
                <w:color w:val="000000"/>
                <w:sz w:val="16"/>
                <w:vertAlign w:val="superscript"/>
              </w:rPr>
            </w:pPr>
            <w:r w:rsidRPr="007114D9">
              <w:rPr>
                <w:rFonts w:ascii="Arial" w:eastAsia="Arial" w:hAnsi="Arial" w:cs="Arial"/>
                <w:color w:val="000000"/>
                <w:sz w:val="16"/>
              </w:rPr>
              <w:t>2.3 </w:t>
            </w:r>
          </w:p>
        </w:tc>
        <w:tc>
          <w:tcPr>
            <w:tcW w:w="1005" w:type="dxa"/>
            <w:tcBorders>
              <w:top w:val="nil"/>
              <w:left w:val="nil"/>
              <w:bottom w:val="nil"/>
              <w:right w:val="nil"/>
              <w:tl2br w:val="nil"/>
              <w:tr2bl w:val="nil"/>
            </w:tcBorders>
            <w:shd w:val="clear" w:color="auto" w:fill="FFFF00"/>
            <w:tcMar>
              <w:left w:w="115" w:type="dxa"/>
              <w:right w:w="115" w:type="dxa"/>
            </w:tcMar>
            <w:vAlign w:val="bottom"/>
          </w:tcPr>
          <w:p w14:paraId="579D1068" w14:textId="77777777" w:rsidR="003F0EEA" w:rsidRPr="007114D9" w:rsidRDefault="003F0EEA">
            <w:pPr>
              <w:jc w:val="right"/>
              <w:rPr>
                <w:rFonts w:ascii="Arial" w:eastAsia="Arial" w:hAnsi="Arial" w:cs="Arial"/>
                <w:color w:val="000000"/>
                <w:sz w:val="16"/>
              </w:rPr>
            </w:pPr>
          </w:p>
        </w:tc>
        <w:tc>
          <w:tcPr>
            <w:tcW w:w="1005" w:type="dxa"/>
            <w:tcBorders>
              <w:top w:val="nil"/>
              <w:left w:val="nil"/>
              <w:bottom w:val="nil"/>
              <w:right w:val="nil"/>
              <w:tl2br w:val="nil"/>
              <w:tr2bl w:val="nil"/>
            </w:tcBorders>
            <w:shd w:val="clear" w:color="auto" w:fill="FFFFFF"/>
            <w:tcMar>
              <w:left w:w="115" w:type="dxa"/>
              <w:right w:w="115" w:type="dxa"/>
            </w:tcMar>
            <w:vAlign w:val="bottom"/>
          </w:tcPr>
          <w:p w14:paraId="3F8B434B" w14:textId="77777777" w:rsidR="003F0EEA" w:rsidRPr="007114D9" w:rsidRDefault="003F0EEA">
            <w:pPr>
              <w:jc w:val="right"/>
              <w:rPr>
                <w:rFonts w:ascii="Arial" w:eastAsia="Arial" w:hAnsi="Arial" w:cs="Arial"/>
                <w:color w:val="000000"/>
                <w:sz w:val="16"/>
              </w:rPr>
            </w:pPr>
          </w:p>
        </w:tc>
        <w:tc>
          <w:tcPr>
            <w:tcW w:w="1005" w:type="dxa"/>
            <w:tcBorders>
              <w:top w:val="nil"/>
              <w:left w:val="nil"/>
              <w:bottom w:val="nil"/>
              <w:right w:val="nil"/>
              <w:tl2br w:val="nil"/>
              <w:tr2bl w:val="nil"/>
            </w:tcBorders>
            <w:shd w:val="clear" w:color="auto" w:fill="FFFF00"/>
            <w:tcMar>
              <w:left w:w="115" w:type="dxa"/>
              <w:right w:w="115" w:type="dxa"/>
            </w:tcMar>
            <w:vAlign w:val="bottom"/>
          </w:tcPr>
          <w:p w14:paraId="5CA16218" w14:textId="77777777" w:rsidR="003F0EEA" w:rsidRPr="007114D9" w:rsidRDefault="003F0EEA">
            <w:pPr>
              <w:jc w:val="right"/>
              <w:rPr>
                <w:rFonts w:ascii="Arial" w:eastAsia="Arial" w:hAnsi="Arial" w:cs="Arial"/>
                <w:color w:val="000000"/>
                <w:sz w:val="16"/>
              </w:rPr>
            </w:pPr>
          </w:p>
        </w:tc>
        <w:tc>
          <w:tcPr>
            <w:tcW w:w="1005" w:type="dxa"/>
            <w:tcBorders>
              <w:top w:val="nil"/>
              <w:left w:val="nil"/>
              <w:bottom w:val="nil"/>
              <w:right w:val="nil"/>
              <w:tl2br w:val="nil"/>
              <w:tr2bl w:val="nil"/>
            </w:tcBorders>
            <w:shd w:val="clear" w:color="auto" w:fill="FFFFFF"/>
            <w:tcMar>
              <w:left w:w="115" w:type="dxa"/>
              <w:right w:w="115" w:type="dxa"/>
            </w:tcMar>
            <w:vAlign w:val="bottom"/>
          </w:tcPr>
          <w:p w14:paraId="363D285B" w14:textId="77777777" w:rsidR="003F0EEA" w:rsidRPr="007114D9" w:rsidRDefault="003F0EEA">
            <w:pPr>
              <w:jc w:val="right"/>
              <w:rPr>
                <w:rFonts w:ascii="Arial" w:eastAsia="Arial" w:hAnsi="Arial" w:cs="Arial"/>
                <w:color w:val="000000"/>
                <w:sz w:val="16"/>
              </w:rPr>
            </w:pPr>
          </w:p>
        </w:tc>
        <w:tc>
          <w:tcPr>
            <w:tcW w:w="1005" w:type="dxa"/>
            <w:tcBorders>
              <w:top w:val="nil"/>
              <w:left w:val="nil"/>
              <w:bottom w:val="nil"/>
              <w:right w:val="nil"/>
              <w:tl2br w:val="nil"/>
              <w:tr2bl w:val="nil"/>
            </w:tcBorders>
            <w:shd w:val="clear" w:color="auto" w:fill="FFFF00"/>
            <w:tcMar>
              <w:left w:w="115" w:type="dxa"/>
              <w:right w:w="115" w:type="dxa"/>
            </w:tcMar>
            <w:vAlign w:val="bottom"/>
          </w:tcPr>
          <w:p w14:paraId="63420BA4" w14:textId="77777777" w:rsidR="003F0EEA" w:rsidRPr="007114D9" w:rsidRDefault="003F0EEA">
            <w:pPr>
              <w:jc w:val="right"/>
              <w:rPr>
                <w:rFonts w:ascii="Arial" w:eastAsia="Arial" w:hAnsi="Arial" w:cs="Arial"/>
                <w:b/>
                <w:color w:val="000000"/>
                <w:sz w:val="16"/>
              </w:rPr>
            </w:pPr>
          </w:p>
        </w:tc>
      </w:tr>
      <w:tr w:rsidR="00724034" w14:paraId="1E1F56F4" w14:textId="77777777">
        <w:trPr>
          <w:trHeight w:val="225"/>
        </w:trPr>
        <w:tc>
          <w:tcPr>
            <w:tcW w:w="180" w:type="dxa"/>
            <w:tcBorders>
              <w:top w:val="nil"/>
              <w:left w:val="nil"/>
              <w:bottom w:val="nil"/>
              <w:right w:val="nil"/>
              <w:tl2br w:val="nil"/>
              <w:tr2bl w:val="nil"/>
            </w:tcBorders>
            <w:shd w:val="clear" w:color="auto" w:fill="FFFFFF"/>
            <w:tcMar>
              <w:left w:w="115" w:type="dxa"/>
              <w:right w:w="115" w:type="dxa"/>
            </w:tcMar>
            <w:vAlign w:val="bottom"/>
          </w:tcPr>
          <w:p w14:paraId="6CA36D9E" w14:textId="77777777" w:rsidR="003F0EEA" w:rsidRPr="007114D9" w:rsidRDefault="003F0EEA">
            <w:pPr>
              <w:rPr>
                <w:rFonts w:ascii="Arial" w:eastAsia="Arial" w:hAnsi="Arial" w:cs="Arial"/>
                <w:color w:val="000000"/>
                <w:sz w:val="16"/>
              </w:rPr>
            </w:pPr>
          </w:p>
        </w:tc>
        <w:tc>
          <w:tcPr>
            <w:tcW w:w="2280" w:type="dxa"/>
            <w:tcBorders>
              <w:top w:val="nil"/>
              <w:left w:val="nil"/>
              <w:bottom w:val="nil"/>
              <w:right w:val="nil"/>
              <w:tl2br w:val="nil"/>
              <w:tr2bl w:val="nil"/>
            </w:tcBorders>
            <w:shd w:val="clear" w:color="auto" w:fill="FFFFFF"/>
            <w:tcMar>
              <w:left w:w="115" w:type="dxa"/>
              <w:right w:w="115" w:type="dxa"/>
            </w:tcMar>
            <w:vAlign w:val="bottom"/>
          </w:tcPr>
          <w:p w14:paraId="54B1366A" w14:textId="77777777" w:rsidR="003F0EEA" w:rsidRPr="007114D9" w:rsidRDefault="00FB7D0B">
            <w:pPr>
              <w:rPr>
                <w:rFonts w:ascii="Arial" w:eastAsia="Arial" w:hAnsi="Arial" w:cs="Arial"/>
                <w:color w:val="000000"/>
                <w:sz w:val="16"/>
              </w:rPr>
            </w:pPr>
            <w:r w:rsidRPr="007114D9">
              <w:rPr>
                <w:rFonts w:ascii="Arial" w:eastAsia="Arial" w:hAnsi="Arial" w:cs="Arial"/>
                <w:color w:val="000000"/>
                <w:sz w:val="16"/>
              </w:rPr>
              <w:t>Administered expenses</w:t>
            </w:r>
          </w:p>
        </w:tc>
        <w:tc>
          <w:tcPr>
            <w:tcW w:w="915" w:type="dxa"/>
            <w:tcBorders>
              <w:top w:val="nil"/>
              <w:left w:val="nil"/>
              <w:bottom w:val="nil"/>
              <w:right w:val="nil"/>
              <w:tl2br w:val="nil"/>
              <w:tr2bl w:val="nil"/>
            </w:tcBorders>
            <w:shd w:val="clear" w:color="auto" w:fill="FFFFFF"/>
            <w:tcMar>
              <w:left w:w="115" w:type="dxa"/>
              <w:right w:w="115" w:type="dxa"/>
            </w:tcMar>
            <w:vAlign w:val="bottom"/>
          </w:tcPr>
          <w:p w14:paraId="2D816FA1" w14:textId="77777777" w:rsidR="003F0EEA" w:rsidRPr="007114D9" w:rsidRDefault="003F0EEA">
            <w:pPr>
              <w:jc w:val="center"/>
              <w:rPr>
                <w:rFonts w:ascii="Arial" w:eastAsia="Arial" w:hAnsi="Arial" w:cs="Arial"/>
                <w:color w:val="000000"/>
                <w:sz w:val="16"/>
                <w:vertAlign w:val="superscript"/>
              </w:rPr>
            </w:pPr>
          </w:p>
        </w:tc>
        <w:tc>
          <w:tcPr>
            <w:tcW w:w="1005" w:type="dxa"/>
            <w:tcBorders>
              <w:top w:val="nil"/>
              <w:left w:val="nil"/>
              <w:bottom w:val="nil"/>
              <w:right w:val="nil"/>
              <w:tl2br w:val="nil"/>
              <w:tr2bl w:val="nil"/>
            </w:tcBorders>
            <w:shd w:val="clear" w:color="auto" w:fill="FFFF00"/>
            <w:tcMar>
              <w:left w:w="115" w:type="dxa"/>
              <w:right w:w="115" w:type="dxa"/>
            </w:tcMar>
            <w:vAlign w:val="bottom"/>
          </w:tcPr>
          <w:p w14:paraId="59A43546" w14:textId="77777777" w:rsidR="003F0EEA" w:rsidRPr="007114D9" w:rsidRDefault="00FB7D0B">
            <w:pPr>
              <w:jc w:val="right"/>
              <w:rPr>
                <w:rFonts w:ascii="Arial" w:eastAsia="Arial" w:hAnsi="Arial" w:cs="Arial"/>
                <w:color w:val="000000"/>
                <w:sz w:val="16"/>
                <w:vertAlign w:val="superscript"/>
              </w:rPr>
            </w:pPr>
            <w:r w:rsidRPr="007114D9">
              <w:rPr>
                <w:rFonts w:ascii="Arial" w:eastAsia="Arial" w:hAnsi="Arial" w:cs="Arial"/>
                <w:color w:val="000000"/>
                <w:sz w:val="16"/>
              </w:rPr>
              <w:t>8  </w:t>
            </w:r>
          </w:p>
        </w:tc>
        <w:tc>
          <w:tcPr>
            <w:tcW w:w="1005" w:type="dxa"/>
            <w:tcBorders>
              <w:top w:val="nil"/>
              <w:left w:val="nil"/>
              <w:bottom w:val="nil"/>
              <w:right w:val="nil"/>
              <w:tl2br w:val="nil"/>
              <w:tr2bl w:val="nil"/>
            </w:tcBorders>
            <w:shd w:val="clear" w:color="auto" w:fill="FFFFFF"/>
            <w:tcMar>
              <w:left w:w="115" w:type="dxa"/>
              <w:right w:w="115" w:type="dxa"/>
            </w:tcMar>
            <w:vAlign w:val="bottom"/>
          </w:tcPr>
          <w:p w14:paraId="0B9CAAB4" w14:textId="77777777" w:rsidR="003F0EEA" w:rsidRPr="007114D9" w:rsidRDefault="00FB7D0B">
            <w:pPr>
              <w:jc w:val="right"/>
              <w:rPr>
                <w:rFonts w:ascii="Arial" w:eastAsia="Arial" w:hAnsi="Arial" w:cs="Arial"/>
                <w:color w:val="000000"/>
                <w:sz w:val="16"/>
              </w:rPr>
            </w:pPr>
            <w:r w:rsidRPr="007114D9">
              <w:rPr>
                <w:rFonts w:ascii="Arial" w:eastAsia="Arial" w:hAnsi="Arial" w:cs="Arial"/>
                <w:color w:val="000000"/>
                <w:sz w:val="16"/>
              </w:rPr>
              <w:t>(44)</w:t>
            </w:r>
          </w:p>
        </w:tc>
        <w:tc>
          <w:tcPr>
            <w:tcW w:w="1005" w:type="dxa"/>
            <w:tcBorders>
              <w:top w:val="nil"/>
              <w:left w:val="nil"/>
              <w:bottom w:val="nil"/>
              <w:right w:val="nil"/>
              <w:tl2br w:val="nil"/>
              <w:tr2bl w:val="nil"/>
            </w:tcBorders>
            <w:shd w:val="clear" w:color="auto" w:fill="FFFF00"/>
            <w:tcMar>
              <w:left w:w="115" w:type="dxa"/>
              <w:right w:w="115" w:type="dxa"/>
            </w:tcMar>
            <w:vAlign w:val="bottom"/>
          </w:tcPr>
          <w:p w14:paraId="144D80ED" w14:textId="77777777" w:rsidR="003F0EEA" w:rsidRPr="007114D9" w:rsidRDefault="00FB7D0B">
            <w:pPr>
              <w:jc w:val="right"/>
              <w:rPr>
                <w:rFonts w:ascii="Arial" w:eastAsia="Arial" w:hAnsi="Arial" w:cs="Arial"/>
                <w:color w:val="000000"/>
                <w:sz w:val="16"/>
              </w:rPr>
            </w:pPr>
            <w:r w:rsidRPr="007114D9">
              <w:rPr>
                <w:rFonts w:ascii="Arial" w:eastAsia="Arial" w:hAnsi="Arial" w:cs="Arial"/>
                <w:color w:val="000000"/>
                <w:sz w:val="16"/>
              </w:rPr>
              <w:t>(140)</w:t>
            </w:r>
          </w:p>
        </w:tc>
        <w:tc>
          <w:tcPr>
            <w:tcW w:w="1005" w:type="dxa"/>
            <w:tcBorders>
              <w:top w:val="nil"/>
              <w:left w:val="nil"/>
              <w:bottom w:val="nil"/>
              <w:right w:val="nil"/>
              <w:tl2br w:val="nil"/>
              <w:tr2bl w:val="nil"/>
            </w:tcBorders>
            <w:shd w:val="clear" w:color="auto" w:fill="FFFFFF"/>
            <w:tcMar>
              <w:left w:w="115" w:type="dxa"/>
              <w:right w:w="115" w:type="dxa"/>
            </w:tcMar>
            <w:vAlign w:val="bottom"/>
          </w:tcPr>
          <w:p w14:paraId="7C57CD26" w14:textId="77777777" w:rsidR="003F0EEA" w:rsidRPr="007114D9" w:rsidRDefault="00FB7D0B">
            <w:pPr>
              <w:jc w:val="right"/>
              <w:rPr>
                <w:rFonts w:ascii="Arial" w:eastAsia="Arial" w:hAnsi="Arial" w:cs="Arial"/>
                <w:color w:val="000000"/>
                <w:sz w:val="16"/>
              </w:rPr>
            </w:pPr>
            <w:r w:rsidRPr="007114D9">
              <w:rPr>
                <w:rFonts w:ascii="Arial" w:eastAsia="Arial" w:hAnsi="Arial" w:cs="Arial"/>
                <w:color w:val="000000"/>
                <w:sz w:val="16"/>
              </w:rPr>
              <w:t>(296)</w:t>
            </w:r>
          </w:p>
        </w:tc>
        <w:tc>
          <w:tcPr>
            <w:tcW w:w="1005" w:type="dxa"/>
            <w:tcBorders>
              <w:top w:val="nil"/>
              <w:left w:val="nil"/>
              <w:bottom w:val="nil"/>
              <w:right w:val="nil"/>
              <w:tl2br w:val="nil"/>
              <w:tr2bl w:val="nil"/>
            </w:tcBorders>
            <w:shd w:val="clear" w:color="auto" w:fill="FFFF00"/>
            <w:tcMar>
              <w:left w:w="115" w:type="dxa"/>
              <w:right w:w="115" w:type="dxa"/>
            </w:tcMar>
            <w:vAlign w:val="bottom"/>
          </w:tcPr>
          <w:p w14:paraId="4F662ED4" w14:textId="77777777" w:rsidR="003F0EEA" w:rsidRPr="007114D9" w:rsidRDefault="00FB7D0B">
            <w:pPr>
              <w:jc w:val="right"/>
              <w:rPr>
                <w:rFonts w:ascii="Arial" w:eastAsia="Arial" w:hAnsi="Arial" w:cs="Arial"/>
                <w:color w:val="000000"/>
                <w:sz w:val="16"/>
              </w:rPr>
            </w:pPr>
            <w:r w:rsidRPr="007114D9">
              <w:rPr>
                <w:rFonts w:ascii="Arial" w:eastAsia="Arial" w:hAnsi="Arial" w:cs="Arial"/>
                <w:color w:val="000000"/>
                <w:sz w:val="16"/>
              </w:rPr>
              <w:t>(445)</w:t>
            </w:r>
          </w:p>
        </w:tc>
      </w:tr>
      <w:tr w:rsidR="00724034" w14:paraId="59ADD412" w14:textId="77777777">
        <w:trPr>
          <w:trHeight w:val="225"/>
        </w:trPr>
        <w:tc>
          <w:tcPr>
            <w:tcW w:w="180" w:type="dxa"/>
            <w:tcBorders>
              <w:top w:val="nil"/>
              <w:left w:val="nil"/>
              <w:bottom w:val="nil"/>
              <w:right w:val="nil"/>
              <w:tl2br w:val="nil"/>
              <w:tr2bl w:val="nil"/>
            </w:tcBorders>
            <w:shd w:val="clear" w:color="auto" w:fill="FFFFFF"/>
            <w:tcMar>
              <w:left w:w="115" w:type="dxa"/>
              <w:right w:w="115" w:type="dxa"/>
            </w:tcMar>
            <w:vAlign w:val="bottom"/>
          </w:tcPr>
          <w:p w14:paraId="3357A39C" w14:textId="77777777" w:rsidR="003F0EEA" w:rsidRPr="007114D9" w:rsidRDefault="003F0EEA">
            <w:pPr>
              <w:rPr>
                <w:rFonts w:ascii="Arial" w:eastAsia="Arial" w:hAnsi="Arial" w:cs="Arial"/>
                <w:color w:val="000000"/>
                <w:sz w:val="16"/>
              </w:rPr>
            </w:pPr>
          </w:p>
        </w:tc>
        <w:tc>
          <w:tcPr>
            <w:tcW w:w="2280" w:type="dxa"/>
            <w:tcBorders>
              <w:top w:val="nil"/>
              <w:left w:val="nil"/>
              <w:bottom w:val="nil"/>
              <w:right w:val="nil"/>
              <w:tl2br w:val="nil"/>
              <w:tr2bl w:val="nil"/>
            </w:tcBorders>
            <w:shd w:val="clear" w:color="auto" w:fill="FFFFFF"/>
            <w:tcMar>
              <w:left w:w="115" w:type="dxa"/>
              <w:right w:w="115" w:type="dxa"/>
            </w:tcMar>
            <w:vAlign w:val="bottom"/>
          </w:tcPr>
          <w:p w14:paraId="442C70C3" w14:textId="77777777" w:rsidR="003F0EEA" w:rsidRPr="007114D9" w:rsidRDefault="00FB7D0B">
            <w:pPr>
              <w:rPr>
                <w:rFonts w:ascii="Arial" w:eastAsia="Arial" w:hAnsi="Arial" w:cs="Arial"/>
                <w:color w:val="000000"/>
                <w:sz w:val="16"/>
              </w:rPr>
            </w:pPr>
            <w:r w:rsidRPr="007114D9">
              <w:rPr>
                <w:rFonts w:ascii="Arial" w:eastAsia="Arial" w:hAnsi="Arial" w:cs="Arial"/>
                <w:color w:val="000000"/>
                <w:sz w:val="16"/>
              </w:rPr>
              <w:t>Departmental expenses</w:t>
            </w:r>
          </w:p>
        </w:tc>
        <w:tc>
          <w:tcPr>
            <w:tcW w:w="915" w:type="dxa"/>
            <w:tcBorders>
              <w:top w:val="nil"/>
              <w:left w:val="nil"/>
              <w:bottom w:val="nil"/>
              <w:right w:val="nil"/>
              <w:tl2br w:val="nil"/>
              <w:tr2bl w:val="nil"/>
            </w:tcBorders>
            <w:shd w:val="clear" w:color="auto" w:fill="FFFFFF"/>
            <w:tcMar>
              <w:left w:w="115" w:type="dxa"/>
              <w:right w:w="115" w:type="dxa"/>
            </w:tcMar>
            <w:vAlign w:val="bottom"/>
          </w:tcPr>
          <w:p w14:paraId="77EEC18D" w14:textId="77777777" w:rsidR="003F0EEA" w:rsidRPr="007114D9" w:rsidRDefault="003F0EEA">
            <w:pPr>
              <w:jc w:val="center"/>
              <w:rPr>
                <w:rFonts w:ascii="Arial" w:eastAsia="Arial" w:hAnsi="Arial" w:cs="Arial"/>
                <w:b/>
                <w:color w:val="000000"/>
                <w:sz w:val="16"/>
                <w:vertAlign w:val="superscript"/>
              </w:rPr>
            </w:pPr>
          </w:p>
        </w:tc>
        <w:tc>
          <w:tcPr>
            <w:tcW w:w="1005" w:type="dxa"/>
            <w:tcBorders>
              <w:top w:val="nil"/>
              <w:left w:val="nil"/>
              <w:bottom w:val="nil"/>
              <w:right w:val="nil"/>
              <w:tl2br w:val="nil"/>
              <w:tr2bl w:val="nil"/>
            </w:tcBorders>
            <w:shd w:val="clear" w:color="auto" w:fill="FFFF00"/>
            <w:tcMar>
              <w:left w:w="115" w:type="dxa"/>
              <w:right w:w="115" w:type="dxa"/>
            </w:tcMar>
            <w:vAlign w:val="bottom"/>
          </w:tcPr>
          <w:p w14:paraId="1D8440D3" w14:textId="77777777" w:rsidR="003F0EEA" w:rsidRPr="007114D9" w:rsidRDefault="00FB7D0B">
            <w:pPr>
              <w:jc w:val="right"/>
              <w:rPr>
                <w:rFonts w:ascii="Arial" w:eastAsia="Arial" w:hAnsi="Arial" w:cs="Arial"/>
                <w:color w:val="000000"/>
                <w:sz w:val="16"/>
                <w:vertAlign w:val="superscript"/>
              </w:rPr>
            </w:pPr>
            <w:r w:rsidRPr="007114D9">
              <w:rPr>
                <w:rFonts w:ascii="Arial" w:eastAsia="Arial" w:hAnsi="Arial" w:cs="Arial"/>
                <w:color w:val="000000"/>
                <w:sz w:val="16"/>
              </w:rPr>
              <w:t xml:space="preserve"> - </w:t>
            </w:r>
          </w:p>
        </w:tc>
        <w:tc>
          <w:tcPr>
            <w:tcW w:w="1005" w:type="dxa"/>
            <w:tcBorders>
              <w:top w:val="nil"/>
              <w:left w:val="nil"/>
              <w:bottom w:val="nil"/>
              <w:right w:val="nil"/>
              <w:tl2br w:val="nil"/>
              <w:tr2bl w:val="nil"/>
            </w:tcBorders>
            <w:shd w:val="clear" w:color="auto" w:fill="FFFFFF"/>
            <w:tcMar>
              <w:left w:w="115" w:type="dxa"/>
              <w:right w:w="115" w:type="dxa"/>
            </w:tcMar>
            <w:vAlign w:val="bottom"/>
          </w:tcPr>
          <w:p w14:paraId="75B7A934" w14:textId="77777777" w:rsidR="003F0EEA" w:rsidRPr="007114D9" w:rsidRDefault="00FB7D0B">
            <w:pPr>
              <w:jc w:val="right"/>
              <w:rPr>
                <w:rFonts w:ascii="Arial" w:eastAsia="Arial" w:hAnsi="Arial" w:cs="Arial"/>
                <w:color w:val="000000"/>
                <w:sz w:val="16"/>
              </w:rPr>
            </w:pPr>
            <w:r w:rsidRPr="007114D9">
              <w:rPr>
                <w:rFonts w:ascii="Arial" w:eastAsia="Arial" w:hAnsi="Arial" w:cs="Arial"/>
                <w:color w:val="000000"/>
                <w:sz w:val="16"/>
              </w:rPr>
              <w:t xml:space="preserve"> - </w:t>
            </w:r>
          </w:p>
        </w:tc>
        <w:tc>
          <w:tcPr>
            <w:tcW w:w="1005" w:type="dxa"/>
            <w:tcBorders>
              <w:top w:val="nil"/>
              <w:left w:val="nil"/>
              <w:bottom w:val="nil"/>
              <w:right w:val="nil"/>
              <w:tl2br w:val="nil"/>
              <w:tr2bl w:val="nil"/>
            </w:tcBorders>
            <w:shd w:val="clear" w:color="auto" w:fill="FFFF00"/>
            <w:tcMar>
              <w:left w:w="115" w:type="dxa"/>
              <w:right w:w="115" w:type="dxa"/>
            </w:tcMar>
            <w:vAlign w:val="bottom"/>
          </w:tcPr>
          <w:p w14:paraId="21E325D4" w14:textId="77777777" w:rsidR="003F0EEA" w:rsidRPr="007114D9" w:rsidRDefault="00FB7D0B">
            <w:pPr>
              <w:jc w:val="right"/>
              <w:rPr>
                <w:rFonts w:ascii="Arial" w:eastAsia="Arial" w:hAnsi="Arial" w:cs="Arial"/>
                <w:color w:val="000000"/>
                <w:sz w:val="16"/>
              </w:rPr>
            </w:pPr>
            <w:r w:rsidRPr="007114D9">
              <w:rPr>
                <w:rFonts w:ascii="Arial" w:eastAsia="Arial" w:hAnsi="Arial" w:cs="Arial"/>
                <w:color w:val="000000"/>
                <w:sz w:val="16"/>
              </w:rPr>
              <w:t xml:space="preserve"> - </w:t>
            </w:r>
          </w:p>
        </w:tc>
        <w:tc>
          <w:tcPr>
            <w:tcW w:w="1005" w:type="dxa"/>
            <w:tcBorders>
              <w:top w:val="nil"/>
              <w:left w:val="nil"/>
              <w:bottom w:val="nil"/>
              <w:right w:val="nil"/>
              <w:tl2br w:val="nil"/>
              <w:tr2bl w:val="nil"/>
            </w:tcBorders>
            <w:shd w:val="clear" w:color="auto" w:fill="FFFFFF"/>
            <w:tcMar>
              <w:left w:w="115" w:type="dxa"/>
              <w:right w:w="115" w:type="dxa"/>
            </w:tcMar>
            <w:vAlign w:val="bottom"/>
          </w:tcPr>
          <w:p w14:paraId="222F0C43" w14:textId="77777777" w:rsidR="003F0EEA" w:rsidRPr="007114D9" w:rsidRDefault="00FB7D0B">
            <w:pPr>
              <w:jc w:val="right"/>
              <w:rPr>
                <w:rFonts w:ascii="Arial" w:eastAsia="Arial" w:hAnsi="Arial" w:cs="Arial"/>
                <w:color w:val="000000"/>
                <w:sz w:val="16"/>
              </w:rPr>
            </w:pPr>
            <w:r w:rsidRPr="007114D9">
              <w:rPr>
                <w:rFonts w:ascii="Arial" w:eastAsia="Arial" w:hAnsi="Arial" w:cs="Arial"/>
                <w:color w:val="000000"/>
                <w:sz w:val="16"/>
              </w:rPr>
              <w:t xml:space="preserve"> - </w:t>
            </w:r>
          </w:p>
        </w:tc>
        <w:tc>
          <w:tcPr>
            <w:tcW w:w="1005" w:type="dxa"/>
            <w:tcBorders>
              <w:top w:val="nil"/>
              <w:left w:val="nil"/>
              <w:bottom w:val="nil"/>
              <w:right w:val="nil"/>
              <w:tl2br w:val="nil"/>
              <w:tr2bl w:val="nil"/>
            </w:tcBorders>
            <w:shd w:val="clear" w:color="auto" w:fill="FFFF00"/>
            <w:tcMar>
              <w:left w:w="115" w:type="dxa"/>
              <w:right w:w="115" w:type="dxa"/>
            </w:tcMar>
            <w:vAlign w:val="bottom"/>
          </w:tcPr>
          <w:p w14:paraId="01F61C71" w14:textId="77777777" w:rsidR="003F0EEA" w:rsidRPr="007114D9" w:rsidRDefault="00FB7D0B">
            <w:pPr>
              <w:jc w:val="right"/>
              <w:rPr>
                <w:rFonts w:ascii="Arial" w:eastAsia="Arial" w:hAnsi="Arial" w:cs="Arial"/>
                <w:color w:val="000000"/>
                <w:sz w:val="16"/>
              </w:rPr>
            </w:pPr>
            <w:r w:rsidRPr="007114D9">
              <w:rPr>
                <w:rFonts w:ascii="Arial" w:eastAsia="Arial" w:hAnsi="Arial" w:cs="Arial"/>
                <w:color w:val="000000"/>
                <w:sz w:val="16"/>
              </w:rPr>
              <w:t xml:space="preserve"> - </w:t>
            </w:r>
          </w:p>
        </w:tc>
      </w:tr>
      <w:tr w:rsidR="00FB7D0B" w14:paraId="5613F199" w14:textId="77777777" w:rsidTr="00FB7D0B">
        <w:trPr>
          <w:trHeight w:val="225"/>
        </w:trPr>
        <w:tc>
          <w:tcPr>
            <w:tcW w:w="2460" w:type="dxa"/>
            <w:gridSpan w:val="2"/>
            <w:tcBorders>
              <w:top w:val="nil"/>
              <w:left w:val="nil"/>
              <w:bottom w:val="nil"/>
              <w:right w:val="nil"/>
              <w:tl2br w:val="nil"/>
              <w:tr2bl w:val="nil"/>
            </w:tcBorders>
            <w:shd w:val="clear" w:color="auto" w:fill="FFFFFF"/>
            <w:tcMar>
              <w:left w:w="115" w:type="dxa"/>
              <w:right w:w="115" w:type="dxa"/>
            </w:tcMar>
            <w:vAlign w:val="bottom"/>
          </w:tcPr>
          <w:p w14:paraId="7CAD9925" w14:textId="77777777" w:rsidR="003F0EEA" w:rsidRPr="007114D9" w:rsidRDefault="00FB7D0B">
            <w:pPr>
              <w:rPr>
                <w:rFonts w:ascii="Arial" w:eastAsia="Arial" w:hAnsi="Arial" w:cs="Arial"/>
                <w:color w:val="000000"/>
                <w:sz w:val="16"/>
              </w:rPr>
            </w:pPr>
            <w:r w:rsidRPr="007114D9">
              <w:rPr>
                <w:rFonts w:ascii="Arial" w:eastAsia="Arial" w:hAnsi="Arial" w:cs="Arial"/>
                <w:b/>
                <w:color w:val="000000"/>
                <w:sz w:val="16"/>
              </w:rPr>
              <w:t xml:space="preserve">Total </w:t>
            </w:r>
          </w:p>
        </w:tc>
        <w:tc>
          <w:tcPr>
            <w:tcW w:w="915" w:type="dxa"/>
            <w:tcBorders>
              <w:top w:val="nil"/>
              <w:left w:val="nil"/>
              <w:bottom w:val="nil"/>
              <w:right w:val="nil"/>
              <w:tl2br w:val="nil"/>
              <w:tr2bl w:val="nil"/>
            </w:tcBorders>
            <w:shd w:val="clear" w:color="auto" w:fill="FFFFFF"/>
            <w:tcMar>
              <w:left w:w="115" w:type="dxa"/>
              <w:right w:w="115" w:type="dxa"/>
            </w:tcMar>
            <w:vAlign w:val="bottom"/>
          </w:tcPr>
          <w:p w14:paraId="2AD912C9" w14:textId="77777777" w:rsidR="003F0EEA" w:rsidRPr="007114D9" w:rsidRDefault="003F0EEA">
            <w:pPr>
              <w:jc w:val="center"/>
              <w:rPr>
                <w:rFonts w:ascii="Arial" w:eastAsia="Arial" w:hAnsi="Arial" w:cs="Arial"/>
                <w:b/>
                <w:color w:val="000000"/>
                <w:sz w:val="16"/>
                <w:vertAlign w:val="superscript"/>
              </w:rPr>
            </w:pPr>
          </w:p>
        </w:tc>
        <w:tc>
          <w:tcPr>
            <w:tcW w:w="1005" w:type="dxa"/>
            <w:tcBorders>
              <w:top w:val="nil"/>
              <w:left w:val="nil"/>
              <w:bottom w:val="single" w:sz="6" w:space="0" w:color="000000"/>
              <w:right w:val="nil"/>
              <w:tl2br w:val="nil"/>
              <w:tr2bl w:val="nil"/>
            </w:tcBorders>
            <w:shd w:val="clear" w:color="auto" w:fill="FFFF00"/>
            <w:tcMar>
              <w:left w:w="115" w:type="dxa"/>
              <w:right w:w="115" w:type="dxa"/>
            </w:tcMar>
            <w:vAlign w:val="bottom"/>
          </w:tcPr>
          <w:p w14:paraId="64B263B0" w14:textId="77777777" w:rsidR="003F0EEA" w:rsidRPr="007114D9" w:rsidRDefault="00FB7D0B">
            <w:pPr>
              <w:jc w:val="right"/>
              <w:rPr>
                <w:rFonts w:ascii="Arial" w:eastAsia="Arial" w:hAnsi="Arial" w:cs="Arial"/>
                <w:color w:val="000000"/>
                <w:sz w:val="16"/>
                <w:vertAlign w:val="superscript"/>
              </w:rPr>
            </w:pPr>
            <w:r w:rsidRPr="007114D9">
              <w:rPr>
                <w:rFonts w:ascii="Arial" w:eastAsia="Arial" w:hAnsi="Arial" w:cs="Arial"/>
                <w:b/>
                <w:color w:val="000000"/>
                <w:sz w:val="16"/>
              </w:rPr>
              <w:t>8  </w:t>
            </w:r>
          </w:p>
        </w:tc>
        <w:tc>
          <w:tcPr>
            <w:tcW w:w="1005"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2AA73965" w14:textId="77777777" w:rsidR="003F0EEA" w:rsidRPr="007114D9" w:rsidRDefault="00FB7D0B">
            <w:pPr>
              <w:jc w:val="right"/>
              <w:rPr>
                <w:rFonts w:ascii="Arial" w:eastAsia="Arial" w:hAnsi="Arial" w:cs="Arial"/>
                <w:b/>
                <w:color w:val="000000"/>
                <w:sz w:val="16"/>
              </w:rPr>
            </w:pPr>
            <w:r w:rsidRPr="007114D9">
              <w:rPr>
                <w:rFonts w:ascii="Arial" w:eastAsia="Arial" w:hAnsi="Arial" w:cs="Arial"/>
                <w:b/>
                <w:color w:val="000000"/>
                <w:sz w:val="16"/>
              </w:rPr>
              <w:t>(44)</w:t>
            </w:r>
          </w:p>
        </w:tc>
        <w:tc>
          <w:tcPr>
            <w:tcW w:w="1005" w:type="dxa"/>
            <w:tcBorders>
              <w:top w:val="nil"/>
              <w:left w:val="nil"/>
              <w:bottom w:val="single" w:sz="6" w:space="0" w:color="000000"/>
              <w:right w:val="nil"/>
              <w:tl2br w:val="nil"/>
              <w:tr2bl w:val="nil"/>
            </w:tcBorders>
            <w:shd w:val="clear" w:color="auto" w:fill="FFFF00"/>
            <w:tcMar>
              <w:left w:w="115" w:type="dxa"/>
              <w:right w:w="115" w:type="dxa"/>
            </w:tcMar>
            <w:vAlign w:val="bottom"/>
          </w:tcPr>
          <w:p w14:paraId="6C51A517" w14:textId="77777777" w:rsidR="003F0EEA" w:rsidRPr="007114D9" w:rsidRDefault="00FB7D0B">
            <w:pPr>
              <w:jc w:val="right"/>
              <w:rPr>
                <w:rFonts w:ascii="Arial" w:eastAsia="Arial" w:hAnsi="Arial" w:cs="Arial"/>
                <w:b/>
                <w:color w:val="000000"/>
                <w:sz w:val="16"/>
              </w:rPr>
            </w:pPr>
            <w:r w:rsidRPr="007114D9">
              <w:rPr>
                <w:rFonts w:ascii="Arial" w:eastAsia="Arial" w:hAnsi="Arial" w:cs="Arial"/>
                <w:b/>
                <w:color w:val="000000"/>
                <w:sz w:val="16"/>
              </w:rPr>
              <w:t>(140)</w:t>
            </w:r>
          </w:p>
        </w:tc>
        <w:tc>
          <w:tcPr>
            <w:tcW w:w="1005"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1337558D" w14:textId="77777777" w:rsidR="003F0EEA" w:rsidRPr="007114D9" w:rsidRDefault="00FB7D0B">
            <w:pPr>
              <w:jc w:val="right"/>
              <w:rPr>
                <w:rFonts w:ascii="Arial" w:eastAsia="Arial" w:hAnsi="Arial" w:cs="Arial"/>
                <w:b/>
                <w:color w:val="000000"/>
                <w:sz w:val="16"/>
              </w:rPr>
            </w:pPr>
            <w:r w:rsidRPr="007114D9">
              <w:rPr>
                <w:rFonts w:ascii="Arial" w:eastAsia="Arial" w:hAnsi="Arial" w:cs="Arial"/>
                <w:b/>
                <w:color w:val="000000"/>
                <w:sz w:val="16"/>
              </w:rPr>
              <w:t>(296)</w:t>
            </w:r>
          </w:p>
        </w:tc>
        <w:tc>
          <w:tcPr>
            <w:tcW w:w="1005" w:type="dxa"/>
            <w:tcBorders>
              <w:top w:val="nil"/>
              <w:left w:val="nil"/>
              <w:bottom w:val="single" w:sz="6" w:space="0" w:color="000000"/>
              <w:right w:val="nil"/>
              <w:tl2br w:val="nil"/>
              <w:tr2bl w:val="nil"/>
            </w:tcBorders>
            <w:shd w:val="clear" w:color="auto" w:fill="FFFF00"/>
            <w:tcMar>
              <w:left w:w="115" w:type="dxa"/>
              <w:right w:w="115" w:type="dxa"/>
            </w:tcMar>
            <w:vAlign w:val="bottom"/>
          </w:tcPr>
          <w:p w14:paraId="4CD9AECE" w14:textId="77777777" w:rsidR="003F0EEA" w:rsidRPr="007114D9" w:rsidRDefault="00FB7D0B">
            <w:pPr>
              <w:jc w:val="right"/>
              <w:rPr>
                <w:rFonts w:ascii="Arial" w:eastAsia="Arial" w:hAnsi="Arial" w:cs="Arial"/>
                <w:b/>
                <w:color w:val="000000"/>
                <w:sz w:val="16"/>
              </w:rPr>
            </w:pPr>
            <w:r w:rsidRPr="007114D9">
              <w:rPr>
                <w:rFonts w:ascii="Arial" w:eastAsia="Arial" w:hAnsi="Arial" w:cs="Arial"/>
                <w:b/>
                <w:color w:val="000000"/>
                <w:sz w:val="16"/>
              </w:rPr>
              <w:t>(445)</w:t>
            </w:r>
          </w:p>
        </w:tc>
      </w:tr>
      <w:tr w:rsidR="00724034" w14:paraId="577D6C6D" w14:textId="77777777">
        <w:trPr>
          <w:trHeight w:val="225"/>
        </w:trPr>
        <w:tc>
          <w:tcPr>
            <w:tcW w:w="180" w:type="dxa"/>
            <w:tcBorders>
              <w:top w:val="nil"/>
              <w:left w:val="nil"/>
              <w:bottom w:val="nil"/>
              <w:right w:val="nil"/>
              <w:tl2br w:val="nil"/>
              <w:tr2bl w:val="nil"/>
            </w:tcBorders>
            <w:shd w:val="clear" w:color="auto" w:fill="FFFFFF"/>
            <w:tcMar>
              <w:left w:w="115" w:type="dxa"/>
              <w:right w:w="115" w:type="dxa"/>
            </w:tcMar>
            <w:vAlign w:val="bottom"/>
          </w:tcPr>
          <w:p w14:paraId="56284F7A" w14:textId="77777777" w:rsidR="003F0EEA" w:rsidRPr="007114D9" w:rsidRDefault="003F0EEA">
            <w:pPr>
              <w:rPr>
                <w:rFonts w:ascii="Arial" w:eastAsia="Arial" w:hAnsi="Arial" w:cs="Arial"/>
                <w:b/>
                <w:color w:val="000000"/>
                <w:sz w:val="16"/>
              </w:rPr>
            </w:pPr>
          </w:p>
        </w:tc>
        <w:tc>
          <w:tcPr>
            <w:tcW w:w="2280" w:type="dxa"/>
            <w:tcBorders>
              <w:top w:val="nil"/>
              <w:left w:val="nil"/>
              <w:bottom w:val="nil"/>
              <w:right w:val="nil"/>
              <w:tl2br w:val="nil"/>
              <w:tr2bl w:val="nil"/>
            </w:tcBorders>
            <w:shd w:val="clear" w:color="auto" w:fill="FFFFFF"/>
            <w:tcMar>
              <w:left w:w="115" w:type="dxa"/>
              <w:right w:w="115" w:type="dxa"/>
            </w:tcMar>
            <w:vAlign w:val="bottom"/>
          </w:tcPr>
          <w:p w14:paraId="637DCD71" w14:textId="77777777" w:rsidR="003F0EEA" w:rsidRPr="007114D9" w:rsidRDefault="003F0EEA">
            <w:pPr>
              <w:rPr>
                <w:rFonts w:ascii="Arial" w:eastAsia="Arial" w:hAnsi="Arial" w:cs="Arial"/>
                <w:b/>
                <w:color w:val="000000"/>
                <w:sz w:val="16"/>
              </w:rPr>
            </w:pPr>
          </w:p>
        </w:tc>
        <w:tc>
          <w:tcPr>
            <w:tcW w:w="915" w:type="dxa"/>
            <w:tcBorders>
              <w:top w:val="nil"/>
              <w:left w:val="nil"/>
              <w:bottom w:val="nil"/>
              <w:right w:val="nil"/>
              <w:tl2br w:val="nil"/>
              <w:tr2bl w:val="nil"/>
            </w:tcBorders>
            <w:shd w:val="clear" w:color="auto" w:fill="FFFFFF"/>
            <w:tcMar>
              <w:left w:w="115" w:type="dxa"/>
              <w:right w:w="115" w:type="dxa"/>
            </w:tcMar>
            <w:vAlign w:val="bottom"/>
          </w:tcPr>
          <w:p w14:paraId="6C3F44E2" w14:textId="77777777" w:rsidR="003F0EEA" w:rsidRPr="007114D9" w:rsidRDefault="003F0EEA">
            <w:pPr>
              <w:jc w:val="center"/>
              <w:rPr>
                <w:rFonts w:ascii="Arial" w:eastAsia="Arial" w:hAnsi="Arial" w:cs="Arial"/>
                <w:b/>
                <w:color w:val="000000"/>
                <w:sz w:val="16"/>
                <w:vertAlign w:val="superscript"/>
              </w:rPr>
            </w:pPr>
          </w:p>
        </w:tc>
        <w:tc>
          <w:tcPr>
            <w:tcW w:w="1005" w:type="dxa"/>
            <w:tcBorders>
              <w:top w:val="single" w:sz="6" w:space="0" w:color="000000"/>
              <w:left w:val="nil"/>
              <w:bottom w:val="nil"/>
              <w:right w:val="nil"/>
              <w:tl2br w:val="nil"/>
              <w:tr2bl w:val="nil"/>
            </w:tcBorders>
            <w:shd w:val="clear" w:color="auto" w:fill="FFFF00"/>
            <w:tcMar>
              <w:left w:w="115" w:type="dxa"/>
              <w:right w:w="115" w:type="dxa"/>
            </w:tcMar>
            <w:vAlign w:val="bottom"/>
          </w:tcPr>
          <w:p w14:paraId="52429453" w14:textId="77777777" w:rsidR="003F0EEA" w:rsidRPr="007114D9" w:rsidRDefault="003F0EEA">
            <w:pPr>
              <w:jc w:val="right"/>
              <w:rPr>
                <w:rFonts w:ascii="Arial" w:eastAsia="Arial" w:hAnsi="Arial" w:cs="Arial"/>
                <w:color w:val="000000"/>
                <w:sz w:val="16"/>
                <w:vertAlign w:val="superscript"/>
              </w:rPr>
            </w:pPr>
          </w:p>
        </w:tc>
        <w:tc>
          <w:tcPr>
            <w:tcW w:w="1005"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5F4128AA" w14:textId="77777777" w:rsidR="003F0EEA" w:rsidRPr="007114D9" w:rsidRDefault="003F0EEA">
            <w:pPr>
              <w:jc w:val="right"/>
              <w:rPr>
                <w:rFonts w:ascii="Arial" w:eastAsia="Arial" w:hAnsi="Arial" w:cs="Arial"/>
                <w:b/>
                <w:color w:val="000000"/>
                <w:sz w:val="16"/>
                <w:vertAlign w:val="superscript"/>
              </w:rPr>
            </w:pPr>
          </w:p>
        </w:tc>
        <w:tc>
          <w:tcPr>
            <w:tcW w:w="1005" w:type="dxa"/>
            <w:tcBorders>
              <w:top w:val="single" w:sz="6" w:space="0" w:color="000000"/>
              <w:left w:val="nil"/>
              <w:bottom w:val="nil"/>
              <w:right w:val="nil"/>
              <w:tl2br w:val="nil"/>
              <w:tr2bl w:val="nil"/>
            </w:tcBorders>
            <w:shd w:val="clear" w:color="auto" w:fill="FFFF00"/>
            <w:tcMar>
              <w:left w:w="115" w:type="dxa"/>
              <w:right w:w="115" w:type="dxa"/>
            </w:tcMar>
            <w:vAlign w:val="bottom"/>
          </w:tcPr>
          <w:p w14:paraId="61C1ECE7" w14:textId="77777777" w:rsidR="003F0EEA" w:rsidRPr="007114D9" w:rsidRDefault="003F0EEA">
            <w:pPr>
              <w:jc w:val="right"/>
              <w:rPr>
                <w:rFonts w:ascii="Arial" w:eastAsia="Arial" w:hAnsi="Arial" w:cs="Arial"/>
                <w:b/>
                <w:color w:val="000000"/>
                <w:sz w:val="16"/>
                <w:vertAlign w:val="superscript"/>
              </w:rPr>
            </w:pPr>
          </w:p>
        </w:tc>
        <w:tc>
          <w:tcPr>
            <w:tcW w:w="1005"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67AA5061" w14:textId="77777777" w:rsidR="003F0EEA" w:rsidRPr="007114D9" w:rsidRDefault="003F0EEA">
            <w:pPr>
              <w:jc w:val="right"/>
              <w:rPr>
                <w:rFonts w:ascii="Arial" w:eastAsia="Arial" w:hAnsi="Arial" w:cs="Arial"/>
                <w:b/>
                <w:color w:val="000000"/>
                <w:sz w:val="16"/>
                <w:vertAlign w:val="superscript"/>
              </w:rPr>
            </w:pPr>
          </w:p>
        </w:tc>
        <w:tc>
          <w:tcPr>
            <w:tcW w:w="1005" w:type="dxa"/>
            <w:tcBorders>
              <w:top w:val="single" w:sz="6" w:space="0" w:color="000000"/>
              <w:left w:val="nil"/>
              <w:bottom w:val="nil"/>
              <w:right w:val="nil"/>
              <w:tl2br w:val="nil"/>
              <w:tr2bl w:val="nil"/>
            </w:tcBorders>
            <w:shd w:val="clear" w:color="auto" w:fill="FFFF00"/>
            <w:tcMar>
              <w:left w:w="115" w:type="dxa"/>
              <w:right w:w="115" w:type="dxa"/>
            </w:tcMar>
            <w:vAlign w:val="bottom"/>
          </w:tcPr>
          <w:p w14:paraId="0BDA79C0" w14:textId="77777777" w:rsidR="003F0EEA" w:rsidRPr="007114D9" w:rsidRDefault="003F0EEA">
            <w:pPr>
              <w:jc w:val="right"/>
              <w:rPr>
                <w:rFonts w:ascii="Arial" w:eastAsia="Arial" w:hAnsi="Arial" w:cs="Arial"/>
                <w:b/>
                <w:color w:val="000000"/>
                <w:sz w:val="16"/>
                <w:vertAlign w:val="superscript"/>
              </w:rPr>
            </w:pPr>
          </w:p>
        </w:tc>
      </w:tr>
      <w:tr w:rsidR="00FB7D0B" w14:paraId="4B44C209" w14:textId="77777777" w:rsidTr="00FB7D0B">
        <w:trPr>
          <w:trHeight w:val="225"/>
        </w:trPr>
        <w:tc>
          <w:tcPr>
            <w:tcW w:w="2460" w:type="dxa"/>
            <w:gridSpan w:val="2"/>
            <w:tcBorders>
              <w:top w:val="nil"/>
              <w:left w:val="nil"/>
              <w:bottom w:val="nil"/>
              <w:right w:val="nil"/>
              <w:tl2br w:val="nil"/>
              <w:tr2bl w:val="nil"/>
            </w:tcBorders>
            <w:shd w:val="clear" w:color="auto" w:fill="FFFFFF"/>
            <w:tcMar>
              <w:left w:w="115" w:type="dxa"/>
              <w:right w:w="115" w:type="dxa"/>
            </w:tcMar>
            <w:vAlign w:val="bottom"/>
          </w:tcPr>
          <w:p w14:paraId="01B57BDA" w14:textId="77777777" w:rsidR="003F0EEA" w:rsidRPr="007114D9" w:rsidRDefault="00FB7D0B">
            <w:pPr>
              <w:rPr>
                <w:rFonts w:ascii="Arial" w:eastAsia="Arial" w:hAnsi="Arial" w:cs="Arial"/>
                <w:b/>
                <w:color w:val="000000"/>
                <w:sz w:val="16"/>
                <w:vertAlign w:val="superscript"/>
              </w:rPr>
            </w:pPr>
            <w:r w:rsidRPr="007114D9">
              <w:rPr>
                <w:rFonts w:ascii="Arial" w:eastAsia="Arial" w:hAnsi="Arial" w:cs="Arial"/>
                <w:b/>
                <w:color w:val="000000"/>
                <w:sz w:val="16"/>
              </w:rPr>
              <w:t>Total Outcome 2</w:t>
            </w:r>
          </w:p>
        </w:tc>
        <w:tc>
          <w:tcPr>
            <w:tcW w:w="915" w:type="dxa"/>
            <w:tcBorders>
              <w:top w:val="nil"/>
              <w:left w:val="nil"/>
              <w:bottom w:val="nil"/>
              <w:right w:val="nil"/>
              <w:tl2br w:val="nil"/>
              <w:tr2bl w:val="nil"/>
            </w:tcBorders>
            <w:shd w:val="clear" w:color="auto" w:fill="FFFFFF"/>
            <w:tcMar>
              <w:left w:w="115" w:type="dxa"/>
              <w:right w:w="115" w:type="dxa"/>
            </w:tcMar>
            <w:vAlign w:val="bottom"/>
          </w:tcPr>
          <w:p w14:paraId="2A5CFD0A" w14:textId="77777777" w:rsidR="003F0EEA" w:rsidRPr="007114D9" w:rsidRDefault="003F0EEA">
            <w:pPr>
              <w:jc w:val="center"/>
              <w:rPr>
                <w:rFonts w:ascii="Arial" w:eastAsia="Arial" w:hAnsi="Arial" w:cs="Arial"/>
                <w:b/>
                <w:color w:val="000000"/>
                <w:sz w:val="16"/>
                <w:vertAlign w:val="superscript"/>
              </w:rPr>
            </w:pPr>
          </w:p>
        </w:tc>
        <w:tc>
          <w:tcPr>
            <w:tcW w:w="1005" w:type="dxa"/>
            <w:tcBorders>
              <w:top w:val="nil"/>
              <w:left w:val="nil"/>
              <w:bottom w:val="nil"/>
              <w:right w:val="nil"/>
              <w:tl2br w:val="nil"/>
              <w:tr2bl w:val="nil"/>
            </w:tcBorders>
            <w:shd w:val="clear" w:color="auto" w:fill="FFFF00"/>
            <w:tcMar>
              <w:left w:w="115" w:type="dxa"/>
              <w:right w:w="115" w:type="dxa"/>
            </w:tcMar>
            <w:vAlign w:val="bottom"/>
          </w:tcPr>
          <w:p w14:paraId="4C642DDE" w14:textId="77777777" w:rsidR="003F0EEA" w:rsidRPr="007114D9" w:rsidRDefault="003F0EEA">
            <w:pPr>
              <w:rPr>
                <w:rFonts w:ascii="Arial" w:eastAsia="Arial" w:hAnsi="Arial" w:cs="Arial"/>
                <w:color w:val="000000"/>
                <w:sz w:val="16"/>
                <w:vertAlign w:val="superscript"/>
              </w:rPr>
            </w:pPr>
          </w:p>
        </w:tc>
        <w:tc>
          <w:tcPr>
            <w:tcW w:w="1005" w:type="dxa"/>
            <w:tcBorders>
              <w:top w:val="nil"/>
              <w:left w:val="nil"/>
              <w:bottom w:val="nil"/>
              <w:right w:val="nil"/>
              <w:tl2br w:val="nil"/>
              <w:tr2bl w:val="nil"/>
            </w:tcBorders>
            <w:shd w:val="clear" w:color="auto" w:fill="FFFFFF"/>
            <w:tcMar>
              <w:left w:w="115" w:type="dxa"/>
              <w:right w:w="115" w:type="dxa"/>
            </w:tcMar>
            <w:vAlign w:val="bottom"/>
          </w:tcPr>
          <w:p w14:paraId="3A408832" w14:textId="77777777" w:rsidR="003F0EEA" w:rsidRPr="007114D9" w:rsidRDefault="003F0EEA">
            <w:pPr>
              <w:jc w:val="right"/>
              <w:rPr>
                <w:rFonts w:ascii="Arial" w:eastAsia="Arial" w:hAnsi="Arial" w:cs="Arial"/>
                <w:color w:val="000000"/>
                <w:sz w:val="16"/>
                <w:vertAlign w:val="superscript"/>
              </w:rPr>
            </w:pPr>
          </w:p>
        </w:tc>
        <w:tc>
          <w:tcPr>
            <w:tcW w:w="1005" w:type="dxa"/>
            <w:tcBorders>
              <w:top w:val="nil"/>
              <w:left w:val="nil"/>
              <w:bottom w:val="nil"/>
              <w:right w:val="nil"/>
              <w:tl2br w:val="nil"/>
              <w:tr2bl w:val="nil"/>
            </w:tcBorders>
            <w:shd w:val="clear" w:color="auto" w:fill="FFFF00"/>
            <w:tcMar>
              <w:left w:w="115" w:type="dxa"/>
              <w:right w:w="115" w:type="dxa"/>
            </w:tcMar>
            <w:vAlign w:val="bottom"/>
          </w:tcPr>
          <w:p w14:paraId="58B5CB3E" w14:textId="77777777" w:rsidR="003F0EEA" w:rsidRPr="007114D9" w:rsidRDefault="003F0EEA">
            <w:pPr>
              <w:jc w:val="right"/>
              <w:rPr>
                <w:rFonts w:ascii="Arial" w:eastAsia="Arial" w:hAnsi="Arial" w:cs="Arial"/>
                <w:color w:val="000000"/>
                <w:sz w:val="16"/>
                <w:vertAlign w:val="superscript"/>
              </w:rPr>
            </w:pPr>
          </w:p>
        </w:tc>
        <w:tc>
          <w:tcPr>
            <w:tcW w:w="1005" w:type="dxa"/>
            <w:tcBorders>
              <w:top w:val="nil"/>
              <w:left w:val="nil"/>
              <w:bottom w:val="nil"/>
              <w:right w:val="nil"/>
              <w:tl2br w:val="nil"/>
              <w:tr2bl w:val="nil"/>
            </w:tcBorders>
            <w:shd w:val="clear" w:color="auto" w:fill="FFFFFF"/>
            <w:tcMar>
              <w:left w:w="115" w:type="dxa"/>
              <w:right w:w="115" w:type="dxa"/>
            </w:tcMar>
            <w:vAlign w:val="bottom"/>
          </w:tcPr>
          <w:p w14:paraId="5142E4A3" w14:textId="77777777" w:rsidR="003F0EEA" w:rsidRPr="007114D9" w:rsidRDefault="003F0EEA">
            <w:pPr>
              <w:jc w:val="right"/>
              <w:rPr>
                <w:rFonts w:ascii="Arial" w:eastAsia="Arial" w:hAnsi="Arial" w:cs="Arial"/>
                <w:color w:val="000000"/>
                <w:sz w:val="16"/>
                <w:vertAlign w:val="superscript"/>
              </w:rPr>
            </w:pPr>
          </w:p>
        </w:tc>
        <w:tc>
          <w:tcPr>
            <w:tcW w:w="1005" w:type="dxa"/>
            <w:tcBorders>
              <w:top w:val="nil"/>
              <w:left w:val="nil"/>
              <w:bottom w:val="nil"/>
              <w:right w:val="nil"/>
              <w:tl2br w:val="nil"/>
              <w:tr2bl w:val="nil"/>
            </w:tcBorders>
            <w:shd w:val="clear" w:color="auto" w:fill="FFFF00"/>
            <w:tcMar>
              <w:left w:w="115" w:type="dxa"/>
              <w:right w:w="115" w:type="dxa"/>
            </w:tcMar>
            <w:vAlign w:val="bottom"/>
          </w:tcPr>
          <w:p w14:paraId="0E4A1643" w14:textId="77777777" w:rsidR="003F0EEA" w:rsidRPr="007114D9" w:rsidRDefault="003F0EEA">
            <w:pPr>
              <w:jc w:val="right"/>
              <w:rPr>
                <w:rFonts w:ascii="Arial" w:eastAsia="Arial" w:hAnsi="Arial" w:cs="Arial"/>
                <w:color w:val="000000"/>
                <w:sz w:val="16"/>
                <w:vertAlign w:val="superscript"/>
              </w:rPr>
            </w:pPr>
          </w:p>
        </w:tc>
      </w:tr>
      <w:tr w:rsidR="00724034" w14:paraId="56306D56" w14:textId="77777777">
        <w:trPr>
          <w:trHeight w:val="225"/>
        </w:trPr>
        <w:tc>
          <w:tcPr>
            <w:tcW w:w="180" w:type="dxa"/>
            <w:tcBorders>
              <w:top w:val="nil"/>
              <w:left w:val="nil"/>
              <w:bottom w:val="nil"/>
              <w:right w:val="nil"/>
              <w:tl2br w:val="nil"/>
              <w:tr2bl w:val="nil"/>
            </w:tcBorders>
            <w:shd w:val="clear" w:color="auto" w:fill="FFFFFF"/>
            <w:tcMar>
              <w:left w:w="115" w:type="dxa"/>
              <w:right w:w="115" w:type="dxa"/>
            </w:tcMar>
            <w:vAlign w:val="bottom"/>
          </w:tcPr>
          <w:p w14:paraId="27D4A7DE" w14:textId="77777777" w:rsidR="003F0EEA" w:rsidRPr="007114D9" w:rsidRDefault="003F0EEA">
            <w:pPr>
              <w:rPr>
                <w:rFonts w:ascii="Arial" w:eastAsia="Arial" w:hAnsi="Arial" w:cs="Arial"/>
                <w:color w:val="000000"/>
                <w:sz w:val="16"/>
                <w:vertAlign w:val="superscript"/>
              </w:rPr>
            </w:pPr>
          </w:p>
        </w:tc>
        <w:tc>
          <w:tcPr>
            <w:tcW w:w="2280" w:type="dxa"/>
            <w:tcBorders>
              <w:top w:val="nil"/>
              <w:left w:val="nil"/>
              <w:bottom w:val="nil"/>
              <w:right w:val="nil"/>
              <w:tl2br w:val="nil"/>
              <w:tr2bl w:val="nil"/>
            </w:tcBorders>
            <w:shd w:val="clear" w:color="auto" w:fill="FFFFFF"/>
            <w:tcMar>
              <w:left w:w="115" w:type="dxa"/>
              <w:right w:w="115" w:type="dxa"/>
            </w:tcMar>
            <w:vAlign w:val="bottom"/>
          </w:tcPr>
          <w:p w14:paraId="2438A5E6" w14:textId="77777777" w:rsidR="003F0EEA" w:rsidRPr="007114D9" w:rsidRDefault="00FB7D0B">
            <w:pPr>
              <w:rPr>
                <w:rFonts w:ascii="Arial" w:eastAsia="Arial" w:hAnsi="Arial" w:cs="Arial"/>
                <w:color w:val="000000"/>
                <w:sz w:val="16"/>
                <w:vertAlign w:val="superscript"/>
              </w:rPr>
            </w:pPr>
            <w:r w:rsidRPr="007114D9">
              <w:rPr>
                <w:rFonts w:ascii="Arial" w:eastAsia="Arial" w:hAnsi="Arial" w:cs="Arial"/>
                <w:color w:val="000000"/>
                <w:sz w:val="16"/>
              </w:rPr>
              <w:t xml:space="preserve">                   Administered</w:t>
            </w:r>
          </w:p>
        </w:tc>
        <w:tc>
          <w:tcPr>
            <w:tcW w:w="915" w:type="dxa"/>
            <w:tcBorders>
              <w:top w:val="nil"/>
              <w:left w:val="nil"/>
              <w:bottom w:val="nil"/>
              <w:right w:val="nil"/>
              <w:tl2br w:val="nil"/>
              <w:tr2bl w:val="nil"/>
            </w:tcBorders>
            <w:shd w:val="clear" w:color="auto" w:fill="FFFFFF"/>
            <w:tcMar>
              <w:left w:w="115" w:type="dxa"/>
              <w:right w:w="115" w:type="dxa"/>
            </w:tcMar>
            <w:vAlign w:val="bottom"/>
          </w:tcPr>
          <w:p w14:paraId="2C412F83" w14:textId="77777777" w:rsidR="003F0EEA" w:rsidRPr="007114D9" w:rsidRDefault="003F0EEA">
            <w:pPr>
              <w:jc w:val="center"/>
              <w:rPr>
                <w:rFonts w:ascii="Arial" w:eastAsia="Arial" w:hAnsi="Arial" w:cs="Arial"/>
                <w:color w:val="000000"/>
                <w:sz w:val="16"/>
                <w:vertAlign w:val="superscript"/>
              </w:rPr>
            </w:pPr>
          </w:p>
        </w:tc>
        <w:tc>
          <w:tcPr>
            <w:tcW w:w="1005" w:type="dxa"/>
            <w:tcBorders>
              <w:top w:val="nil"/>
              <w:left w:val="nil"/>
              <w:bottom w:val="nil"/>
              <w:right w:val="nil"/>
              <w:tl2br w:val="nil"/>
              <w:tr2bl w:val="nil"/>
            </w:tcBorders>
            <w:shd w:val="clear" w:color="auto" w:fill="FFFF00"/>
            <w:tcMar>
              <w:left w:w="115" w:type="dxa"/>
              <w:right w:w="115" w:type="dxa"/>
            </w:tcMar>
            <w:vAlign w:val="bottom"/>
          </w:tcPr>
          <w:p w14:paraId="5BC88EF4" w14:textId="77777777" w:rsidR="003F0EEA" w:rsidRPr="007114D9" w:rsidRDefault="00FB7D0B">
            <w:pPr>
              <w:jc w:val="right"/>
              <w:rPr>
                <w:rFonts w:ascii="Arial" w:eastAsia="Arial" w:hAnsi="Arial" w:cs="Arial"/>
                <w:color w:val="000000"/>
                <w:sz w:val="16"/>
                <w:vertAlign w:val="superscript"/>
              </w:rPr>
            </w:pPr>
            <w:r w:rsidRPr="007114D9">
              <w:rPr>
                <w:rFonts w:ascii="Arial" w:eastAsia="Arial" w:hAnsi="Arial" w:cs="Arial"/>
                <w:color w:val="000000"/>
                <w:sz w:val="16"/>
              </w:rPr>
              <w:t>(10,662)</w:t>
            </w:r>
          </w:p>
        </w:tc>
        <w:tc>
          <w:tcPr>
            <w:tcW w:w="1005" w:type="dxa"/>
            <w:tcBorders>
              <w:top w:val="nil"/>
              <w:left w:val="nil"/>
              <w:bottom w:val="nil"/>
              <w:right w:val="nil"/>
              <w:tl2br w:val="nil"/>
              <w:tr2bl w:val="nil"/>
            </w:tcBorders>
            <w:shd w:val="clear" w:color="auto" w:fill="FFFFFF"/>
            <w:tcMar>
              <w:left w:w="115" w:type="dxa"/>
              <w:right w:w="115" w:type="dxa"/>
            </w:tcMar>
            <w:vAlign w:val="bottom"/>
          </w:tcPr>
          <w:p w14:paraId="382102BA" w14:textId="77777777" w:rsidR="003F0EEA" w:rsidRPr="007114D9" w:rsidRDefault="00FB7D0B">
            <w:pPr>
              <w:jc w:val="right"/>
              <w:rPr>
                <w:rFonts w:ascii="Arial" w:eastAsia="Arial" w:hAnsi="Arial" w:cs="Arial"/>
                <w:color w:val="000000"/>
                <w:sz w:val="16"/>
              </w:rPr>
            </w:pPr>
            <w:r w:rsidRPr="007114D9">
              <w:rPr>
                <w:rFonts w:ascii="Arial" w:eastAsia="Arial" w:hAnsi="Arial" w:cs="Arial"/>
                <w:color w:val="000000"/>
                <w:sz w:val="16"/>
              </w:rPr>
              <w:t>(10,691)</w:t>
            </w:r>
          </w:p>
        </w:tc>
        <w:tc>
          <w:tcPr>
            <w:tcW w:w="1005" w:type="dxa"/>
            <w:tcBorders>
              <w:top w:val="nil"/>
              <w:left w:val="nil"/>
              <w:bottom w:val="nil"/>
              <w:right w:val="nil"/>
              <w:tl2br w:val="nil"/>
              <w:tr2bl w:val="nil"/>
            </w:tcBorders>
            <w:shd w:val="clear" w:color="auto" w:fill="FFFF00"/>
            <w:tcMar>
              <w:left w:w="115" w:type="dxa"/>
              <w:right w:w="115" w:type="dxa"/>
            </w:tcMar>
            <w:vAlign w:val="bottom"/>
          </w:tcPr>
          <w:p w14:paraId="65727C79" w14:textId="77777777" w:rsidR="003F0EEA" w:rsidRPr="007114D9" w:rsidRDefault="00FB7D0B">
            <w:pPr>
              <w:jc w:val="right"/>
              <w:rPr>
                <w:rFonts w:ascii="Arial" w:eastAsia="Arial" w:hAnsi="Arial" w:cs="Arial"/>
                <w:color w:val="000000"/>
                <w:sz w:val="16"/>
              </w:rPr>
            </w:pPr>
            <w:r w:rsidRPr="007114D9">
              <w:rPr>
                <w:rFonts w:ascii="Arial" w:eastAsia="Arial" w:hAnsi="Arial" w:cs="Arial"/>
                <w:color w:val="000000"/>
                <w:sz w:val="16"/>
              </w:rPr>
              <w:t>(50,780)</w:t>
            </w:r>
          </w:p>
        </w:tc>
        <w:tc>
          <w:tcPr>
            <w:tcW w:w="1005" w:type="dxa"/>
            <w:tcBorders>
              <w:top w:val="nil"/>
              <w:left w:val="nil"/>
              <w:bottom w:val="nil"/>
              <w:right w:val="nil"/>
              <w:tl2br w:val="nil"/>
              <w:tr2bl w:val="nil"/>
            </w:tcBorders>
            <w:shd w:val="clear" w:color="auto" w:fill="FFFFFF"/>
            <w:tcMar>
              <w:left w:w="115" w:type="dxa"/>
              <w:right w:w="115" w:type="dxa"/>
            </w:tcMar>
            <w:vAlign w:val="bottom"/>
          </w:tcPr>
          <w:p w14:paraId="741E252A" w14:textId="77777777" w:rsidR="003F0EEA" w:rsidRPr="007114D9" w:rsidRDefault="00FB7D0B">
            <w:pPr>
              <w:jc w:val="right"/>
              <w:rPr>
                <w:rFonts w:ascii="Arial" w:eastAsia="Arial" w:hAnsi="Arial" w:cs="Arial"/>
                <w:color w:val="000000"/>
                <w:sz w:val="16"/>
              </w:rPr>
            </w:pPr>
            <w:r w:rsidRPr="007114D9">
              <w:rPr>
                <w:rFonts w:ascii="Arial" w:eastAsia="Arial" w:hAnsi="Arial" w:cs="Arial"/>
                <w:color w:val="000000"/>
                <w:sz w:val="16"/>
              </w:rPr>
              <w:t>(62,206)</w:t>
            </w:r>
          </w:p>
        </w:tc>
        <w:tc>
          <w:tcPr>
            <w:tcW w:w="1005" w:type="dxa"/>
            <w:tcBorders>
              <w:top w:val="nil"/>
              <w:left w:val="nil"/>
              <w:bottom w:val="nil"/>
              <w:right w:val="nil"/>
              <w:tl2br w:val="nil"/>
              <w:tr2bl w:val="nil"/>
            </w:tcBorders>
            <w:shd w:val="clear" w:color="auto" w:fill="FFFF00"/>
            <w:tcMar>
              <w:left w:w="115" w:type="dxa"/>
              <w:right w:w="115" w:type="dxa"/>
            </w:tcMar>
            <w:vAlign w:val="bottom"/>
          </w:tcPr>
          <w:p w14:paraId="4384BC16" w14:textId="77777777" w:rsidR="003F0EEA" w:rsidRPr="007114D9" w:rsidRDefault="00FB7D0B">
            <w:pPr>
              <w:jc w:val="right"/>
              <w:rPr>
                <w:rFonts w:ascii="Arial" w:eastAsia="Arial" w:hAnsi="Arial" w:cs="Arial"/>
                <w:color w:val="000000"/>
                <w:sz w:val="16"/>
              </w:rPr>
            </w:pPr>
            <w:r w:rsidRPr="007114D9">
              <w:rPr>
                <w:rFonts w:ascii="Arial" w:eastAsia="Arial" w:hAnsi="Arial" w:cs="Arial"/>
                <w:color w:val="000000"/>
                <w:sz w:val="16"/>
              </w:rPr>
              <w:t>(75,217)</w:t>
            </w:r>
          </w:p>
        </w:tc>
      </w:tr>
      <w:tr w:rsidR="00724034" w14:paraId="50BF7528" w14:textId="77777777">
        <w:trPr>
          <w:trHeight w:val="210"/>
        </w:trPr>
        <w:tc>
          <w:tcPr>
            <w:tcW w:w="180" w:type="dxa"/>
            <w:tcBorders>
              <w:top w:val="nil"/>
              <w:left w:val="nil"/>
              <w:bottom w:val="nil"/>
              <w:right w:val="nil"/>
              <w:tl2br w:val="nil"/>
              <w:tr2bl w:val="nil"/>
            </w:tcBorders>
            <w:shd w:val="clear" w:color="auto" w:fill="FFFFFF"/>
            <w:tcMar>
              <w:left w:w="115" w:type="dxa"/>
              <w:right w:w="115" w:type="dxa"/>
            </w:tcMar>
            <w:vAlign w:val="bottom"/>
          </w:tcPr>
          <w:p w14:paraId="1ADF51D0" w14:textId="77777777" w:rsidR="003F0EEA" w:rsidRPr="007114D9" w:rsidRDefault="003F0EEA">
            <w:pPr>
              <w:rPr>
                <w:rFonts w:ascii="Arial" w:eastAsia="Arial" w:hAnsi="Arial" w:cs="Arial"/>
                <w:color w:val="000000"/>
                <w:sz w:val="16"/>
              </w:rPr>
            </w:pPr>
          </w:p>
        </w:tc>
        <w:tc>
          <w:tcPr>
            <w:tcW w:w="2280" w:type="dxa"/>
            <w:tcBorders>
              <w:top w:val="nil"/>
              <w:left w:val="nil"/>
              <w:bottom w:val="nil"/>
              <w:right w:val="nil"/>
              <w:tl2br w:val="nil"/>
              <w:tr2bl w:val="nil"/>
            </w:tcBorders>
            <w:shd w:val="clear" w:color="auto" w:fill="FFFFFF"/>
            <w:tcMar>
              <w:left w:w="115" w:type="dxa"/>
              <w:right w:w="115" w:type="dxa"/>
            </w:tcMar>
            <w:vAlign w:val="bottom"/>
          </w:tcPr>
          <w:p w14:paraId="04525CAD" w14:textId="77777777" w:rsidR="003F0EEA" w:rsidRPr="007114D9" w:rsidRDefault="00FB7D0B">
            <w:pPr>
              <w:rPr>
                <w:rFonts w:ascii="Arial" w:eastAsia="Arial" w:hAnsi="Arial" w:cs="Arial"/>
                <w:color w:val="000000"/>
                <w:sz w:val="16"/>
              </w:rPr>
            </w:pPr>
            <w:r w:rsidRPr="007114D9">
              <w:rPr>
                <w:rFonts w:ascii="Arial" w:eastAsia="Arial" w:hAnsi="Arial" w:cs="Arial"/>
                <w:color w:val="000000"/>
                <w:sz w:val="16"/>
              </w:rPr>
              <w:t xml:space="preserve">                   Departmental</w:t>
            </w:r>
          </w:p>
        </w:tc>
        <w:tc>
          <w:tcPr>
            <w:tcW w:w="915" w:type="dxa"/>
            <w:tcBorders>
              <w:top w:val="nil"/>
              <w:left w:val="nil"/>
              <w:bottom w:val="nil"/>
              <w:right w:val="nil"/>
              <w:tl2br w:val="nil"/>
              <w:tr2bl w:val="nil"/>
            </w:tcBorders>
            <w:shd w:val="clear" w:color="auto" w:fill="FFFFFF"/>
            <w:tcMar>
              <w:left w:w="115" w:type="dxa"/>
              <w:right w:w="115" w:type="dxa"/>
            </w:tcMar>
            <w:vAlign w:val="bottom"/>
          </w:tcPr>
          <w:p w14:paraId="66BA1098" w14:textId="77777777" w:rsidR="003F0EEA" w:rsidRPr="007114D9" w:rsidRDefault="003F0EEA">
            <w:pPr>
              <w:jc w:val="center"/>
              <w:rPr>
                <w:rFonts w:ascii="Arial" w:eastAsia="Arial" w:hAnsi="Arial" w:cs="Arial"/>
                <w:color w:val="000000"/>
                <w:sz w:val="16"/>
                <w:vertAlign w:val="superscript"/>
              </w:rPr>
            </w:pPr>
          </w:p>
        </w:tc>
        <w:tc>
          <w:tcPr>
            <w:tcW w:w="1005" w:type="dxa"/>
            <w:tcBorders>
              <w:top w:val="nil"/>
              <w:left w:val="nil"/>
              <w:bottom w:val="single" w:sz="6" w:space="0" w:color="000000"/>
              <w:right w:val="nil"/>
              <w:tl2br w:val="nil"/>
              <w:tr2bl w:val="nil"/>
            </w:tcBorders>
            <w:shd w:val="clear" w:color="auto" w:fill="FFFF00"/>
            <w:tcMar>
              <w:left w:w="115" w:type="dxa"/>
              <w:right w:w="115" w:type="dxa"/>
            </w:tcMar>
            <w:vAlign w:val="bottom"/>
          </w:tcPr>
          <w:p w14:paraId="0B1B7675" w14:textId="77777777" w:rsidR="003F0EEA" w:rsidRPr="007114D9" w:rsidRDefault="00FB7D0B">
            <w:pPr>
              <w:jc w:val="right"/>
              <w:rPr>
                <w:rFonts w:ascii="Arial" w:eastAsia="Arial" w:hAnsi="Arial" w:cs="Arial"/>
                <w:color w:val="000000"/>
                <w:sz w:val="16"/>
                <w:vertAlign w:val="superscript"/>
              </w:rPr>
            </w:pPr>
            <w:r w:rsidRPr="007114D9">
              <w:rPr>
                <w:rFonts w:ascii="Arial" w:eastAsia="Arial" w:hAnsi="Arial" w:cs="Arial"/>
                <w:color w:val="000000"/>
                <w:sz w:val="16"/>
              </w:rPr>
              <w:t xml:space="preserve"> - </w:t>
            </w:r>
          </w:p>
        </w:tc>
        <w:tc>
          <w:tcPr>
            <w:tcW w:w="1005"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379C14CF" w14:textId="77777777" w:rsidR="003F0EEA" w:rsidRPr="007114D9" w:rsidRDefault="00FB7D0B">
            <w:pPr>
              <w:jc w:val="right"/>
              <w:rPr>
                <w:rFonts w:ascii="Arial" w:eastAsia="Arial" w:hAnsi="Arial" w:cs="Arial"/>
                <w:color w:val="000000"/>
                <w:sz w:val="16"/>
              </w:rPr>
            </w:pPr>
            <w:r w:rsidRPr="007114D9">
              <w:rPr>
                <w:rFonts w:ascii="Arial" w:eastAsia="Arial" w:hAnsi="Arial" w:cs="Arial"/>
                <w:color w:val="000000"/>
                <w:sz w:val="16"/>
              </w:rPr>
              <w:t>(254)</w:t>
            </w:r>
          </w:p>
        </w:tc>
        <w:tc>
          <w:tcPr>
            <w:tcW w:w="1005" w:type="dxa"/>
            <w:tcBorders>
              <w:top w:val="nil"/>
              <w:left w:val="nil"/>
              <w:bottom w:val="single" w:sz="6" w:space="0" w:color="000000"/>
              <w:right w:val="nil"/>
              <w:tl2br w:val="nil"/>
              <w:tr2bl w:val="nil"/>
            </w:tcBorders>
            <w:shd w:val="clear" w:color="auto" w:fill="FFFF00"/>
            <w:tcMar>
              <w:left w:w="115" w:type="dxa"/>
              <w:right w:w="115" w:type="dxa"/>
            </w:tcMar>
            <w:vAlign w:val="bottom"/>
          </w:tcPr>
          <w:p w14:paraId="79D72CC7" w14:textId="77777777" w:rsidR="003F0EEA" w:rsidRPr="007114D9" w:rsidRDefault="00FB7D0B">
            <w:pPr>
              <w:jc w:val="right"/>
              <w:rPr>
                <w:rFonts w:ascii="Arial" w:eastAsia="Arial" w:hAnsi="Arial" w:cs="Arial"/>
                <w:color w:val="000000"/>
                <w:sz w:val="16"/>
              </w:rPr>
            </w:pPr>
            <w:r w:rsidRPr="007114D9">
              <w:rPr>
                <w:rFonts w:ascii="Arial" w:eastAsia="Arial" w:hAnsi="Arial" w:cs="Arial"/>
                <w:color w:val="000000"/>
                <w:sz w:val="16"/>
              </w:rPr>
              <w:t>(21)</w:t>
            </w:r>
          </w:p>
        </w:tc>
        <w:tc>
          <w:tcPr>
            <w:tcW w:w="1005"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4EDDB77E" w14:textId="77777777" w:rsidR="003F0EEA" w:rsidRPr="007114D9" w:rsidRDefault="00FB7D0B">
            <w:pPr>
              <w:jc w:val="right"/>
              <w:rPr>
                <w:rFonts w:ascii="Arial" w:eastAsia="Arial" w:hAnsi="Arial" w:cs="Arial"/>
                <w:color w:val="000000"/>
                <w:sz w:val="16"/>
              </w:rPr>
            </w:pPr>
            <w:r w:rsidRPr="007114D9">
              <w:rPr>
                <w:rFonts w:ascii="Arial" w:eastAsia="Arial" w:hAnsi="Arial" w:cs="Arial"/>
                <w:color w:val="000000"/>
                <w:sz w:val="16"/>
              </w:rPr>
              <w:t xml:space="preserve"> - </w:t>
            </w:r>
          </w:p>
        </w:tc>
        <w:tc>
          <w:tcPr>
            <w:tcW w:w="1005" w:type="dxa"/>
            <w:tcBorders>
              <w:top w:val="nil"/>
              <w:left w:val="nil"/>
              <w:bottom w:val="single" w:sz="6" w:space="0" w:color="000000"/>
              <w:right w:val="nil"/>
              <w:tl2br w:val="nil"/>
              <w:tr2bl w:val="nil"/>
            </w:tcBorders>
            <w:shd w:val="clear" w:color="auto" w:fill="FFFF00"/>
            <w:tcMar>
              <w:left w:w="115" w:type="dxa"/>
              <w:right w:w="115" w:type="dxa"/>
            </w:tcMar>
            <w:vAlign w:val="bottom"/>
          </w:tcPr>
          <w:p w14:paraId="2AD53783" w14:textId="77777777" w:rsidR="003F0EEA" w:rsidRPr="007114D9" w:rsidRDefault="00FB7D0B">
            <w:pPr>
              <w:jc w:val="right"/>
              <w:rPr>
                <w:rFonts w:ascii="Arial" w:eastAsia="Arial" w:hAnsi="Arial" w:cs="Arial"/>
                <w:color w:val="000000"/>
                <w:sz w:val="16"/>
              </w:rPr>
            </w:pPr>
            <w:r w:rsidRPr="007114D9">
              <w:rPr>
                <w:rFonts w:ascii="Arial" w:eastAsia="Arial" w:hAnsi="Arial" w:cs="Arial"/>
                <w:color w:val="000000"/>
                <w:sz w:val="16"/>
              </w:rPr>
              <w:t xml:space="preserve"> - </w:t>
            </w:r>
          </w:p>
        </w:tc>
      </w:tr>
      <w:tr w:rsidR="00724034" w14:paraId="52DA3482" w14:textId="77777777">
        <w:trPr>
          <w:trHeight w:val="225"/>
        </w:trPr>
        <w:tc>
          <w:tcPr>
            <w:tcW w:w="180" w:type="dxa"/>
            <w:tcBorders>
              <w:top w:val="nil"/>
              <w:left w:val="nil"/>
              <w:bottom w:val="nil"/>
              <w:right w:val="nil"/>
              <w:tl2br w:val="nil"/>
              <w:tr2bl w:val="nil"/>
            </w:tcBorders>
            <w:shd w:val="clear" w:color="auto" w:fill="FFFFFF"/>
            <w:tcMar>
              <w:left w:w="115" w:type="dxa"/>
              <w:right w:w="115" w:type="dxa"/>
            </w:tcMar>
            <w:vAlign w:val="bottom"/>
          </w:tcPr>
          <w:p w14:paraId="5BFE4DD4" w14:textId="77777777" w:rsidR="003F0EEA" w:rsidRPr="007114D9" w:rsidRDefault="003F0EEA">
            <w:pPr>
              <w:rPr>
                <w:rFonts w:ascii="Arial" w:eastAsia="Arial" w:hAnsi="Arial" w:cs="Arial"/>
                <w:color w:val="000000"/>
                <w:sz w:val="16"/>
              </w:rPr>
            </w:pPr>
          </w:p>
        </w:tc>
        <w:tc>
          <w:tcPr>
            <w:tcW w:w="2280" w:type="dxa"/>
            <w:tcBorders>
              <w:top w:val="nil"/>
              <w:left w:val="nil"/>
              <w:bottom w:val="nil"/>
              <w:right w:val="nil"/>
              <w:tl2br w:val="nil"/>
              <w:tr2bl w:val="nil"/>
            </w:tcBorders>
            <w:shd w:val="clear" w:color="auto" w:fill="FFFFFF"/>
            <w:tcMar>
              <w:left w:w="115" w:type="dxa"/>
              <w:right w:w="115" w:type="dxa"/>
            </w:tcMar>
            <w:vAlign w:val="bottom"/>
          </w:tcPr>
          <w:p w14:paraId="45FCB71A" w14:textId="77777777" w:rsidR="003F0EEA" w:rsidRPr="007114D9" w:rsidRDefault="00FB7D0B">
            <w:pPr>
              <w:rPr>
                <w:rFonts w:ascii="Arial" w:eastAsia="Arial" w:hAnsi="Arial" w:cs="Arial"/>
                <w:color w:val="000000"/>
                <w:sz w:val="16"/>
              </w:rPr>
            </w:pPr>
            <w:r w:rsidRPr="007114D9">
              <w:rPr>
                <w:rFonts w:ascii="Arial" w:eastAsia="Arial" w:hAnsi="Arial" w:cs="Arial"/>
                <w:b/>
                <w:color w:val="000000"/>
                <w:sz w:val="16"/>
              </w:rPr>
              <w:t xml:space="preserve">                   Total</w:t>
            </w:r>
          </w:p>
        </w:tc>
        <w:tc>
          <w:tcPr>
            <w:tcW w:w="915" w:type="dxa"/>
            <w:tcBorders>
              <w:top w:val="nil"/>
              <w:left w:val="nil"/>
              <w:bottom w:val="nil"/>
              <w:right w:val="nil"/>
              <w:tl2br w:val="nil"/>
              <w:tr2bl w:val="nil"/>
            </w:tcBorders>
            <w:shd w:val="clear" w:color="auto" w:fill="FFFFFF"/>
            <w:tcMar>
              <w:left w:w="115" w:type="dxa"/>
              <w:right w:w="115" w:type="dxa"/>
            </w:tcMar>
            <w:vAlign w:val="bottom"/>
          </w:tcPr>
          <w:p w14:paraId="0B09284E" w14:textId="77777777" w:rsidR="003F0EEA" w:rsidRPr="007114D9" w:rsidRDefault="003F0EEA">
            <w:pPr>
              <w:jc w:val="center"/>
              <w:rPr>
                <w:rFonts w:ascii="Arial" w:eastAsia="Arial" w:hAnsi="Arial" w:cs="Arial"/>
                <w:b/>
                <w:color w:val="000000"/>
                <w:sz w:val="16"/>
                <w:vertAlign w:val="superscript"/>
              </w:rPr>
            </w:pPr>
          </w:p>
        </w:tc>
        <w:tc>
          <w:tcPr>
            <w:tcW w:w="1005" w:type="dxa"/>
            <w:tcBorders>
              <w:top w:val="single" w:sz="6" w:space="0" w:color="000000"/>
              <w:left w:val="nil"/>
              <w:bottom w:val="single" w:sz="6" w:space="0" w:color="000000"/>
              <w:right w:val="nil"/>
              <w:tl2br w:val="nil"/>
              <w:tr2bl w:val="nil"/>
            </w:tcBorders>
            <w:shd w:val="clear" w:color="auto" w:fill="FFFF00"/>
            <w:tcMar>
              <w:left w:w="115" w:type="dxa"/>
              <w:right w:w="115" w:type="dxa"/>
            </w:tcMar>
            <w:vAlign w:val="bottom"/>
          </w:tcPr>
          <w:p w14:paraId="795BF33A" w14:textId="77777777" w:rsidR="003F0EEA" w:rsidRPr="007114D9" w:rsidRDefault="00FB7D0B">
            <w:pPr>
              <w:jc w:val="right"/>
              <w:rPr>
                <w:rFonts w:ascii="Arial" w:eastAsia="Arial" w:hAnsi="Arial" w:cs="Arial"/>
                <w:color w:val="000000"/>
                <w:sz w:val="16"/>
                <w:vertAlign w:val="superscript"/>
              </w:rPr>
            </w:pPr>
            <w:r w:rsidRPr="007114D9">
              <w:rPr>
                <w:rFonts w:ascii="Arial" w:eastAsia="Arial" w:hAnsi="Arial" w:cs="Arial"/>
                <w:b/>
                <w:color w:val="000000"/>
                <w:sz w:val="16"/>
              </w:rPr>
              <w:t>(10,662)</w:t>
            </w:r>
          </w:p>
        </w:tc>
        <w:tc>
          <w:tcPr>
            <w:tcW w:w="1005" w:type="dxa"/>
            <w:tcBorders>
              <w:top w:val="single" w:sz="6" w:space="0" w:color="000000"/>
              <w:left w:val="nil"/>
              <w:bottom w:val="single" w:sz="6" w:space="0" w:color="000000"/>
              <w:right w:val="nil"/>
              <w:tl2br w:val="nil"/>
              <w:tr2bl w:val="nil"/>
            </w:tcBorders>
            <w:shd w:val="clear" w:color="auto" w:fill="FFFFFF"/>
            <w:tcMar>
              <w:left w:w="115" w:type="dxa"/>
              <w:right w:w="115" w:type="dxa"/>
            </w:tcMar>
            <w:vAlign w:val="bottom"/>
          </w:tcPr>
          <w:p w14:paraId="578EEF6E" w14:textId="77777777" w:rsidR="003F0EEA" w:rsidRPr="007114D9" w:rsidRDefault="00FB7D0B">
            <w:pPr>
              <w:jc w:val="right"/>
              <w:rPr>
                <w:rFonts w:ascii="Arial" w:eastAsia="Arial" w:hAnsi="Arial" w:cs="Arial"/>
                <w:b/>
                <w:color w:val="000000"/>
                <w:sz w:val="16"/>
              </w:rPr>
            </w:pPr>
            <w:r w:rsidRPr="007114D9">
              <w:rPr>
                <w:rFonts w:ascii="Arial" w:eastAsia="Arial" w:hAnsi="Arial" w:cs="Arial"/>
                <w:b/>
                <w:color w:val="000000"/>
                <w:sz w:val="16"/>
              </w:rPr>
              <w:t>(10,945)</w:t>
            </w:r>
          </w:p>
        </w:tc>
        <w:tc>
          <w:tcPr>
            <w:tcW w:w="1005" w:type="dxa"/>
            <w:tcBorders>
              <w:top w:val="single" w:sz="6" w:space="0" w:color="000000"/>
              <w:left w:val="nil"/>
              <w:bottom w:val="single" w:sz="6" w:space="0" w:color="000000"/>
              <w:right w:val="nil"/>
              <w:tl2br w:val="nil"/>
              <w:tr2bl w:val="nil"/>
            </w:tcBorders>
            <w:shd w:val="clear" w:color="auto" w:fill="FFFF00"/>
            <w:tcMar>
              <w:left w:w="115" w:type="dxa"/>
              <w:right w:w="115" w:type="dxa"/>
            </w:tcMar>
            <w:vAlign w:val="bottom"/>
          </w:tcPr>
          <w:p w14:paraId="21843670" w14:textId="77777777" w:rsidR="003F0EEA" w:rsidRPr="007114D9" w:rsidRDefault="00FB7D0B">
            <w:pPr>
              <w:jc w:val="right"/>
              <w:rPr>
                <w:rFonts w:ascii="Arial" w:eastAsia="Arial" w:hAnsi="Arial" w:cs="Arial"/>
                <w:b/>
                <w:color w:val="000000"/>
                <w:sz w:val="16"/>
              </w:rPr>
            </w:pPr>
            <w:r w:rsidRPr="007114D9">
              <w:rPr>
                <w:rFonts w:ascii="Arial" w:eastAsia="Arial" w:hAnsi="Arial" w:cs="Arial"/>
                <w:b/>
                <w:color w:val="000000"/>
                <w:sz w:val="16"/>
              </w:rPr>
              <w:t>(50,801)</w:t>
            </w:r>
          </w:p>
        </w:tc>
        <w:tc>
          <w:tcPr>
            <w:tcW w:w="1005" w:type="dxa"/>
            <w:tcBorders>
              <w:top w:val="single" w:sz="6" w:space="0" w:color="000000"/>
              <w:left w:val="nil"/>
              <w:bottom w:val="single" w:sz="6" w:space="0" w:color="000000"/>
              <w:right w:val="nil"/>
              <w:tl2br w:val="nil"/>
              <w:tr2bl w:val="nil"/>
            </w:tcBorders>
            <w:shd w:val="clear" w:color="auto" w:fill="FFFFFF"/>
            <w:tcMar>
              <w:left w:w="115" w:type="dxa"/>
              <w:right w:w="115" w:type="dxa"/>
            </w:tcMar>
            <w:vAlign w:val="bottom"/>
          </w:tcPr>
          <w:p w14:paraId="68293A9B" w14:textId="77777777" w:rsidR="003F0EEA" w:rsidRPr="007114D9" w:rsidRDefault="00FB7D0B">
            <w:pPr>
              <w:jc w:val="right"/>
              <w:rPr>
                <w:rFonts w:ascii="Arial" w:eastAsia="Arial" w:hAnsi="Arial" w:cs="Arial"/>
                <w:b/>
                <w:color w:val="000000"/>
                <w:sz w:val="16"/>
              </w:rPr>
            </w:pPr>
            <w:r w:rsidRPr="007114D9">
              <w:rPr>
                <w:rFonts w:ascii="Arial" w:eastAsia="Arial" w:hAnsi="Arial" w:cs="Arial"/>
                <w:b/>
                <w:color w:val="000000"/>
                <w:sz w:val="16"/>
              </w:rPr>
              <w:t>(62,206)</w:t>
            </w:r>
          </w:p>
        </w:tc>
        <w:tc>
          <w:tcPr>
            <w:tcW w:w="1005" w:type="dxa"/>
            <w:tcBorders>
              <w:top w:val="single" w:sz="6" w:space="0" w:color="000000"/>
              <w:left w:val="nil"/>
              <w:bottom w:val="single" w:sz="6" w:space="0" w:color="000000"/>
              <w:right w:val="nil"/>
              <w:tl2br w:val="nil"/>
              <w:tr2bl w:val="nil"/>
            </w:tcBorders>
            <w:shd w:val="clear" w:color="auto" w:fill="FFFF00"/>
            <w:tcMar>
              <w:left w:w="115" w:type="dxa"/>
              <w:right w:w="115" w:type="dxa"/>
            </w:tcMar>
            <w:vAlign w:val="bottom"/>
          </w:tcPr>
          <w:p w14:paraId="10BA36EF" w14:textId="77777777" w:rsidR="003F0EEA" w:rsidRPr="007114D9" w:rsidRDefault="00FB7D0B">
            <w:pPr>
              <w:jc w:val="right"/>
              <w:rPr>
                <w:rFonts w:ascii="Arial" w:eastAsia="Arial" w:hAnsi="Arial" w:cs="Arial"/>
                <w:b/>
                <w:color w:val="000000"/>
                <w:sz w:val="16"/>
              </w:rPr>
            </w:pPr>
            <w:r w:rsidRPr="007114D9">
              <w:rPr>
                <w:rFonts w:ascii="Arial" w:eastAsia="Arial" w:hAnsi="Arial" w:cs="Arial"/>
                <w:b/>
                <w:color w:val="000000"/>
                <w:sz w:val="16"/>
              </w:rPr>
              <w:t>(75,217)</w:t>
            </w:r>
          </w:p>
        </w:tc>
      </w:tr>
      <w:tr w:rsidR="00FB7D0B" w14:paraId="6464D99D" w14:textId="77777777" w:rsidTr="00FB7D0B">
        <w:trPr>
          <w:trHeight w:val="225"/>
        </w:trPr>
        <w:tc>
          <w:tcPr>
            <w:tcW w:w="2460" w:type="dxa"/>
            <w:gridSpan w:val="2"/>
            <w:tcBorders>
              <w:top w:val="nil"/>
              <w:left w:val="nil"/>
              <w:bottom w:val="nil"/>
              <w:right w:val="nil"/>
              <w:tl2br w:val="nil"/>
              <w:tr2bl w:val="nil"/>
            </w:tcBorders>
            <w:shd w:val="clear" w:color="auto" w:fill="FFFFFF"/>
            <w:tcMar>
              <w:left w:w="115" w:type="dxa"/>
              <w:right w:w="115" w:type="dxa"/>
            </w:tcMar>
            <w:vAlign w:val="bottom"/>
          </w:tcPr>
          <w:p w14:paraId="181D3639" w14:textId="77777777" w:rsidR="003F0EEA" w:rsidRPr="007114D9" w:rsidRDefault="00FB7D0B">
            <w:pPr>
              <w:rPr>
                <w:rFonts w:ascii="Arial" w:eastAsia="Arial" w:hAnsi="Arial" w:cs="Arial"/>
                <w:b/>
                <w:color w:val="000000"/>
                <w:sz w:val="16"/>
              </w:rPr>
            </w:pPr>
            <w:r w:rsidRPr="007114D9">
              <w:rPr>
                <w:rFonts w:ascii="Arial" w:eastAsia="Arial" w:hAnsi="Arial" w:cs="Arial"/>
                <w:b/>
                <w:color w:val="000000"/>
                <w:sz w:val="16"/>
              </w:rPr>
              <w:t>Outcome 3</w:t>
            </w:r>
          </w:p>
        </w:tc>
        <w:tc>
          <w:tcPr>
            <w:tcW w:w="915" w:type="dxa"/>
            <w:tcBorders>
              <w:top w:val="nil"/>
              <w:left w:val="nil"/>
              <w:bottom w:val="nil"/>
              <w:right w:val="nil"/>
              <w:tl2br w:val="nil"/>
              <w:tr2bl w:val="nil"/>
            </w:tcBorders>
            <w:shd w:val="clear" w:color="auto" w:fill="FFFFFF"/>
            <w:tcMar>
              <w:left w:w="115" w:type="dxa"/>
              <w:right w:w="115" w:type="dxa"/>
            </w:tcMar>
            <w:vAlign w:val="bottom"/>
          </w:tcPr>
          <w:p w14:paraId="33B5D7C3" w14:textId="77777777" w:rsidR="003F0EEA" w:rsidRPr="007114D9" w:rsidRDefault="003F0EEA">
            <w:pPr>
              <w:jc w:val="center"/>
              <w:rPr>
                <w:rFonts w:ascii="Arial" w:eastAsia="Arial" w:hAnsi="Arial" w:cs="Arial"/>
                <w:b/>
                <w:color w:val="000000"/>
                <w:sz w:val="16"/>
                <w:vertAlign w:val="superscript"/>
              </w:rPr>
            </w:pPr>
          </w:p>
        </w:tc>
        <w:tc>
          <w:tcPr>
            <w:tcW w:w="1005" w:type="dxa"/>
            <w:tcBorders>
              <w:top w:val="single" w:sz="6" w:space="0" w:color="000000"/>
              <w:left w:val="nil"/>
              <w:bottom w:val="nil"/>
              <w:right w:val="nil"/>
              <w:tl2br w:val="nil"/>
              <w:tr2bl w:val="nil"/>
            </w:tcBorders>
            <w:shd w:val="clear" w:color="auto" w:fill="FFFF00"/>
            <w:tcMar>
              <w:left w:w="115" w:type="dxa"/>
              <w:right w:w="115" w:type="dxa"/>
            </w:tcMar>
            <w:vAlign w:val="bottom"/>
          </w:tcPr>
          <w:p w14:paraId="62233060" w14:textId="77777777" w:rsidR="003F0EEA" w:rsidRPr="007114D9" w:rsidRDefault="003F0EEA">
            <w:pPr>
              <w:jc w:val="right"/>
              <w:rPr>
                <w:rFonts w:ascii="Arial" w:eastAsia="Arial" w:hAnsi="Arial" w:cs="Arial"/>
                <w:color w:val="000000"/>
                <w:sz w:val="16"/>
                <w:vertAlign w:val="superscript"/>
              </w:rPr>
            </w:pPr>
          </w:p>
        </w:tc>
        <w:tc>
          <w:tcPr>
            <w:tcW w:w="1005"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7B03B939" w14:textId="77777777" w:rsidR="003F0EEA" w:rsidRPr="007114D9" w:rsidRDefault="003F0EEA">
            <w:pPr>
              <w:jc w:val="right"/>
              <w:rPr>
                <w:rFonts w:ascii="Arial" w:eastAsia="Arial" w:hAnsi="Arial" w:cs="Arial"/>
                <w:b/>
                <w:color w:val="000000"/>
                <w:sz w:val="16"/>
                <w:vertAlign w:val="superscript"/>
              </w:rPr>
            </w:pPr>
          </w:p>
        </w:tc>
        <w:tc>
          <w:tcPr>
            <w:tcW w:w="1005" w:type="dxa"/>
            <w:tcBorders>
              <w:top w:val="single" w:sz="6" w:space="0" w:color="000000"/>
              <w:left w:val="nil"/>
              <w:bottom w:val="nil"/>
              <w:right w:val="nil"/>
              <w:tl2br w:val="nil"/>
              <w:tr2bl w:val="nil"/>
            </w:tcBorders>
            <w:shd w:val="clear" w:color="auto" w:fill="FFFF00"/>
            <w:tcMar>
              <w:left w:w="115" w:type="dxa"/>
              <w:right w:w="115" w:type="dxa"/>
            </w:tcMar>
            <w:vAlign w:val="bottom"/>
          </w:tcPr>
          <w:p w14:paraId="58E5C48E" w14:textId="77777777" w:rsidR="003F0EEA" w:rsidRPr="007114D9" w:rsidRDefault="003F0EEA">
            <w:pPr>
              <w:jc w:val="right"/>
              <w:rPr>
                <w:rFonts w:ascii="Arial" w:eastAsia="Arial" w:hAnsi="Arial" w:cs="Arial"/>
                <w:b/>
                <w:color w:val="000000"/>
                <w:sz w:val="16"/>
                <w:vertAlign w:val="superscript"/>
              </w:rPr>
            </w:pPr>
          </w:p>
        </w:tc>
        <w:tc>
          <w:tcPr>
            <w:tcW w:w="1005"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01B25761" w14:textId="77777777" w:rsidR="003F0EEA" w:rsidRPr="007114D9" w:rsidRDefault="003F0EEA">
            <w:pPr>
              <w:jc w:val="right"/>
              <w:rPr>
                <w:rFonts w:ascii="Arial" w:eastAsia="Arial" w:hAnsi="Arial" w:cs="Arial"/>
                <w:b/>
                <w:color w:val="000000"/>
                <w:sz w:val="16"/>
                <w:vertAlign w:val="superscript"/>
              </w:rPr>
            </w:pPr>
          </w:p>
        </w:tc>
        <w:tc>
          <w:tcPr>
            <w:tcW w:w="1005" w:type="dxa"/>
            <w:tcBorders>
              <w:top w:val="single" w:sz="6" w:space="0" w:color="000000"/>
              <w:left w:val="nil"/>
              <w:bottom w:val="nil"/>
              <w:right w:val="nil"/>
              <w:tl2br w:val="nil"/>
              <w:tr2bl w:val="nil"/>
            </w:tcBorders>
            <w:shd w:val="clear" w:color="auto" w:fill="FFFF00"/>
            <w:tcMar>
              <w:left w:w="115" w:type="dxa"/>
              <w:right w:w="115" w:type="dxa"/>
            </w:tcMar>
            <w:vAlign w:val="bottom"/>
          </w:tcPr>
          <w:p w14:paraId="31CEC4E9" w14:textId="77777777" w:rsidR="003F0EEA" w:rsidRPr="007114D9" w:rsidRDefault="003F0EEA">
            <w:pPr>
              <w:jc w:val="right"/>
              <w:rPr>
                <w:rFonts w:ascii="Arial" w:eastAsia="Arial" w:hAnsi="Arial" w:cs="Arial"/>
                <w:b/>
                <w:color w:val="000000"/>
                <w:sz w:val="16"/>
                <w:vertAlign w:val="superscript"/>
              </w:rPr>
            </w:pPr>
          </w:p>
        </w:tc>
      </w:tr>
      <w:tr w:rsidR="00FB7D0B" w14:paraId="66E09EFC" w14:textId="77777777" w:rsidTr="00FB7D0B">
        <w:trPr>
          <w:trHeight w:val="660"/>
        </w:trPr>
        <w:tc>
          <w:tcPr>
            <w:tcW w:w="2460" w:type="dxa"/>
            <w:gridSpan w:val="2"/>
            <w:tcBorders>
              <w:top w:val="nil"/>
              <w:left w:val="nil"/>
              <w:bottom w:val="nil"/>
              <w:right w:val="nil"/>
              <w:tl2br w:val="nil"/>
              <w:tr2bl w:val="nil"/>
            </w:tcBorders>
            <w:shd w:val="clear" w:color="auto" w:fill="FFFFFF"/>
            <w:tcMar>
              <w:left w:w="115" w:type="dxa"/>
              <w:right w:w="115" w:type="dxa"/>
            </w:tcMar>
            <w:vAlign w:val="bottom"/>
          </w:tcPr>
          <w:p w14:paraId="0BFD4B02" w14:textId="77777777" w:rsidR="003F0EEA" w:rsidRPr="007114D9" w:rsidRDefault="00FB7D0B">
            <w:pPr>
              <w:rPr>
                <w:rFonts w:ascii="Arial" w:eastAsia="Arial" w:hAnsi="Arial" w:cs="Arial"/>
                <w:b/>
                <w:color w:val="000000"/>
                <w:sz w:val="16"/>
                <w:vertAlign w:val="superscript"/>
              </w:rPr>
            </w:pPr>
            <w:r w:rsidRPr="007114D9">
              <w:rPr>
                <w:rFonts w:ascii="Arial" w:eastAsia="Arial" w:hAnsi="Arial" w:cs="Arial"/>
                <w:color w:val="000000"/>
                <w:sz w:val="16"/>
              </w:rPr>
              <w:t>Western Front Interpretive Centre - Villers-Bretonneux, France - initial funding</w:t>
            </w:r>
          </w:p>
        </w:tc>
        <w:tc>
          <w:tcPr>
            <w:tcW w:w="915" w:type="dxa"/>
            <w:tcBorders>
              <w:top w:val="nil"/>
              <w:left w:val="nil"/>
              <w:bottom w:val="nil"/>
              <w:right w:val="nil"/>
              <w:tl2br w:val="nil"/>
              <w:tr2bl w:val="nil"/>
            </w:tcBorders>
            <w:shd w:val="clear" w:color="auto" w:fill="FFFFFF"/>
            <w:tcMar>
              <w:left w:w="115" w:type="dxa"/>
              <w:right w:w="115" w:type="dxa"/>
            </w:tcMar>
            <w:vAlign w:val="bottom"/>
          </w:tcPr>
          <w:p w14:paraId="0F333F95" w14:textId="77777777" w:rsidR="003F0EEA" w:rsidRPr="007114D9" w:rsidRDefault="00FB7D0B">
            <w:pPr>
              <w:jc w:val="center"/>
              <w:rPr>
                <w:rFonts w:ascii="Arial" w:eastAsia="Arial" w:hAnsi="Arial" w:cs="Arial"/>
                <w:color w:val="000000"/>
                <w:sz w:val="16"/>
                <w:vertAlign w:val="superscript"/>
              </w:rPr>
            </w:pPr>
            <w:r w:rsidRPr="007114D9">
              <w:rPr>
                <w:rFonts w:ascii="Arial" w:eastAsia="Arial" w:hAnsi="Arial" w:cs="Arial"/>
                <w:color w:val="000000"/>
                <w:sz w:val="16"/>
              </w:rPr>
              <w:t>3.1 </w:t>
            </w:r>
          </w:p>
        </w:tc>
        <w:tc>
          <w:tcPr>
            <w:tcW w:w="1005" w:type="dxa"/>
            <w:tcBorders>
              <w:top w:val="nil"/>
              <w:left w:val="nil"/>
              <w:bottom w:val="nil"/>
              <w:right w:val="nil"/>
              <w:tl2br w:val="nil"/>
              <w:tr2bl w:val="nil"/>
            </w:tcBorders>
            <w:shd w:val="clear" w:color="auto" w:fill="FFFF00"/>
            <w:tcMar>
              <w:left w:w="115" w:type="dxa"/>
              <w:right w:w="115" w:type="dxa"/>
            </w:tcMar>
            <w:vAlign w:val="bottom"/>
          </w:tcPr>
          <w:p w14:paraId="3C1ADEEB" w14:textId="77777777" w:rsidR="003F0EEA" w:rsidRPr="007114D9" w:rsidRDefault="003F0EEA">
            <w:pPr>
              <w:jc w:val="right"/>
              <w:rPr>
                <w:rFonts w:ascii="Arial" w:eastAsia="Arial" w:hAnsi="Arial" w:cs="Arial"/>
                <w:color w:val="000000"/>
                <w:sz w:val="16"/>
              </w:rPr>
            </w:pPr>
          </w:p>
        </w:tc>
        <w:tc>
          <w:tcPr>
            <w:tcW w:w="1005" w:type="dxa"/>
            <w:tcBorders>
              <w:top w:val="nil"/>
              <w:left w:val="nil"/>
              <w:bottom w:val="nil"/>
              <w:right w:val="nil"/>
              <w:tl2br w:val="nil"/>
              <w:tr2bl w:val="nil"/>
            </w:tcBorders>
            <w:shd w:val="clear" w:color="auto" w:fill="FFFFFF"/>
            <w:tcMar>
              <w:left w:w="115" w:type="dxa"/>
              <w:right w:w="115" w:type="dxa"/>
            </w:tcMar>
            <w:vAlign w:val="bottom"/>
          </w:tcPr>
          <w:p w14:paraId="6DE6A227" w14:textId="77777777" w:rsidR="003F0EEA" w:rsidRPr="007114D9" w:rsidRDefault="003F0EEA">
            <w:pPr>
              <w:jc w:val="right"/>
              <w:rPr>
                <w:rFonts w:ascii="Arial" w:eastAsia="Arial" w:hAnsi="Arial" w:cs="Arial"/>
                <w:color w:val="000000"/>
                <w:sz w:val="16"/>
              </w:rPr>
            </w:pPr>
          </w:p>
        </w:tc>
        <w:tc>
          <w:tcPr>
            <w:tcW w:w="1005" w:type="dxa"/>
            <w:tcBorders>
              <w:top w:val="nil"/>
              <w:left w:val="nil"/>
              <w:bottom w:val="nil"/>
              <w:right w:val="nil"/>
              <w:tl2br w:val="nil"/>
              <w:tr2bl w:val="nil"/>
            </w:tcBorders>
            <w:shd w:val="clear" w:color="auto" w:fill="FFFF00"/>
            <w:tcMar>
              <w:left w:w="115" w:type="dxa"/>
              <w:right w:w="115" w:type="dxa"/>
            </w:tcMar>
            <w:vAlign w:val="bottom"/>
          </w:tcPr>
          <w:p w14:paraId="43E7A8A1" w14:textId="77777777" w:rsidR="003F0EEA" w:rsidRPr="007114D9" w:rsidRDefault="003F0EEA">
            <w:pPr>
              <w:jc w:val="right"/>
              <w:rPr>
                <w:rFonts w:ascii="Arial" w:eastAsia="Arial" w:hAnsi="Arial" w:cs="Arial"/>
                <w:color w:val="000000"/>
                <w:sz w:val="16"/>
              </w:rPr>
            </w:pPr>
          </w:p>
        </w:tc>
        <w:tc>
          <w:tcPr>
            <w:tcW w:w="1005" w:type="dxa"/>
            <w:tcBorders>
              <w:top w:val="nil"/>
              <w:left w:val="nil"/>
              <w:bottom w:val="nil"/>
              <w:right w:val="nil"/>
              <w:tl2br w:val="nil"/>
              <w:tr2bl w:val="nil"/>
            </w:tcBorders>
            <w:shd w:val="clear" w:color="auto" w:fill="FFFFFF"/>
            <w:tcMar>
              <w:left w:w="115" w:type="dxa"/>
              <w:right w:w="115" w:type="dxa"/>
            </w:tcMar>
            <w:vAlign w:val="bottom"/>
          </w:tcPr>
          <w:p w14:paraId="293D0913" w14:textId="77777777" w:rsidR="003F0EEA" w:rsidRPr="007114D9" w:rsidRDefault="003F0EEA">
            <w:pPr>
              <w:jc w:val="right"/>
              <w:rPr>
                <w:rFonts w:ascii="Arial" w:eastAsia="Arial" w:hAnsi="Arial" w:cs="Arial"/>
                <w:color w:val="000000"/>
                <w:sz w:val="16"/>
              </w:rPr>
            </w:pPr>
          </w:p>
        </w:tc>
        <w:tc>
          <w:tcPr>
            <w:tcW w:w="1005" w:type="dxa"/>
            <w:tcBorders>
              <w:top w:val="nil"/>
              <w:left w:val="nil"/>
              <w:bottom w:val="nil"/>
              <w:right w:val="nil"/>
              <w:tl2br w:val="nil"/>
              <w:tr2bl w:val="nil"/>
            </w:tcBorders>
            <w:shd w:val="clear" w:color="auto" w:fill="FFFF00"/>
            <w:tcMar>
              <w:left w:w="115" w:type="dxa"/>
              <w:right w:w="115" w:type="dxa"/>
            </w:tcMar>
            <w:vAlign w:val="bottom"/>
          </w:tcPr>
          <w:p w14:paraId="2591D68D" w14:textId="77777777" w:rsidR="003F0EEA" w:rsidRPr="007114D9" w:rsidRDefault="003F0EEA">
            <w:pPr>
              <w:jc w:val="right"/>
              <w:rPr>
                <w:rFonts w:ascii="Arial" w:eastAsia="Arial" w:hAnsi="Arial" w:cs="Arial"/>
                <w:b/>
                <w:color w:val="000000"/>
                <w:sz w:val="16"/>
              </w:rPr>
            </w:pPr>
          </w:p>
        </w:tc>
      </w:tr>
      <w:tr w:rsidR="00724034" w14:paraId="6141C2E4" w14:textId="77777777">
        <w:trPr>
          <w:trHeight w:val="225"/>
        </w:trPr>
        <w:tc>
          <w:tcPr>
            <w:tcW w:w="180" w:type="dxa"/>
            <w:tcBorders>
              <w:top w:val="nil"/>
              <w:left w:val="nil"/>
              <w:bottom w:val="nil"/>
              <w:right w:val="nil"/>
              <w:tl2br w:val="nil"/>
              <w:tr2bl w:val="nil"/>
            </w:tcBorders>
            <w:shd w:val="clear" w:color="auto" w:fill="FFFFFF"/>
            <w:tcMar>
              <w:left w:w="115" w:type="dxa"/>
              <w:right w:w="115" w:type="dxa"/>
            </w:tcMar>
            <w:vAlign w:val="bottom"/>
          </w:tcPr>
          <w:p w14:paraId="5240197D" w14:textId="77777777" w:rsidR="003F0EEA" w:rsidRPr="007114D9" w:rsidRDefault="003F0EEA">
            <w:pPr>
              <w:rPr>
                <w:rFonts w:ascii="Arial" w:eastAsia="Arial" w:hAnsi="Arial" w:cs="Arial"/>
                <w:color w:val="000000"/>
                <w:sz w:val="16"/>
              </w:rPr>
            </w:pPr>
          </w:p>
        </w:tc>
        <w:tc>
          <w:tcPr>
            <w:tcW w:w="2280" w:type="dxa"/>
            <w:tcBorders>
              <w:top w:val="nil"/>
              <w:left w:val="nil"/>
              <w:bottom w:val="nil"/>
              <w:right w:val="nil"/>
              <w:tl2br w:val="nil"/>
              <w:tr2bl w:val="nil"/>
            </w:tcBorders>
            <w:shd w:val="clear" w:color="auto" w:fill="FFFFFF"/>
            <w:tcMar>
              <w:left w:w="115" w:type="dxa"/>
              <w:right w:w="115" w:type="dxa"/>
            </w:tcMar>
            <w:vAlign w:val="bottom"/>
          </w:tcPr>
          <w:p w14:paraId="001EB87D" w14:textId="77777777" w:rsidR="003F0EEA" w:rsidRPr="007114D9" w:rsidRDefault="00FB7D0B">
            <w:pPr>
              <w:rPr>
                <w:rFonts w:ascii="Arial" w:eastAsia="Arial" w:hAnsi="Arial" w:cs="Arial"/>
                <w:color w:val="000000"/>
                <w:sz w:val="16"/>
              </w:rPr>
            </w:pPr>
            <w:r w:rsidRPr="007114D9">
              <w:rPr>
                <w:rFonts w:ascii="Arial" w:eastAsia="Arial" w:hAnsi="Arial" w:cs="Arial"/>
                <w:color w:val="000000"/>
                <w:sz w:val="16"/>
              </w:rPr>
              <w:t>Administered expenses</w:t>
            </w:r>
          </w:p>
        </w:tc>
        <w:tc>
          <w:tcPr>
            <w:tcW w:w="915" w:type="dxa"/>
            <w:tcBorders>
              <w:top w:val="nil"/>
              <w:left w:val="nil"/>
              <w:bottom w:val="nil"/>
              <w:right w:val="nil"/>
              <w:tl2br w:val="nil"/>
              <w:tr2bl w:val="nil"/>
            </w:tcBorders>
            <w:shd w:val="clear" w:color="auto" w:fill="FFFFFF"/>
            <w:tcMar>
              <w:left w:w="115" w:type="dxa"/>
              <w:right w:w="115" w:type="dxa"/>
            </w:tcMar>
            <w:vAlign w:val="bottom"/>
          </w:tcPr>
          <w:p w14:paraId="3598525A" w14:textId="77777777" w:rsidR="003F0EEA" w:rsidRPr="007114D9" w:rsidRDefault="003F0EEA">
            <w:pPr>
              <w:jc w:val="center"/>
              <w:rPr>
                <w:rFonts w:ascii="Arial" w:eastAsia="Arial" w:hAnsi="Arial" w:cs="Arial"/>
                <w:color w:val="000000"/>
                <w:sz w:val="16"/>
                <w:vertAlign w:val="superscript"/>
              </w:rPr>
            </w:pPr>
          </w:p>
        </w:tc>
        <w:tc>
          <w:tcPr>
            <w:tcW w:w="1005" w:type="dxa"/>
            <w:tcBorders>
              <w:top w:val="nil"/>
              <w:left w:val="nil"/>
              <w:bottom w:val="nil"/>
              <w:right w:val="nil"/>
              <w:tl2br w:val="nil"/>
              <w:tr2bl w:val="nil"/>
            </w:tcBorders>
            <w:shd w:val="clear" w:color="auto" w:fill="FFFF00"/>
            <w:tcMar>
              <w:left w:w="115" w:type="dxa"/>
              <w:right w:w="115" w:type="dxa"/>
            </w:tcMar>
            <w:vAlign w:val="bottom"/>
          </w:tcPr>
          <w:p w14:paraId="2F9C105A" w14:textId="77777777" w:rsidR="003F0EEA" w:rsidRPr="007114D9" w:rsidRDefault="00FB7D0B">
            <w:pPr>
              <w:jc w:val="right"/>
              <w:rPr>
                <w:rFonts w:ascii="Arial" w:eastAsia="Arial" w:hAnsi="Arial" w:cs="Arial"/>
                <w:color w:val="000000"/>
                <w:sz w:val="16"/>
                <w:vertAlign w:val="superscript"/>
              </w:rPr>
            </w:pPr>
            <w:r w:rsidRPr="007114D9">
              <w:rPr>
                <w:rFonts w:ascii="Arial" w:eastAsia="Arial" w:hAnsi="Arial" w:cs="Arial"/>
                <w:color w:val="000000"/>
                <w:sz w:val="16"/>
              </w:rPr>
              <w:t xml:space="preserve"> - </w:t>
            </w:r>
          </w:p>
        </w:tc>
        <w:tc>
          <w:tcPr>
            <w:tcW w:w="1005" w:type="dxa"/>
            <w:tcBorders>
              <w:top w:val="nil"/>
              <w:left w:val="nil"/>
              <w:bottom w:val="nil"/>
              <w:right w:val="nil"/>
              <w:tl2br w:val="nil"/>
              <w:tr2bl w:val="nil"/>
            </w:tcBorders>
            <w:shd w:val="clear" w:color="auto" w:fill="FFFFFF"/>
            <w:tcMar>
              <w:left w:w="115" w:type="dxa"/>
              <w:right w:w="115" w:type="dxa"/>
            </w:tcMar>
            <w:vAlign w:val="bottom"/>
          </w:tcPr>
          <w:p w14:paraId="112C23C4" w14:textId="77777777" w:rsidR="003F0EEA" w:rsidRPr="007114D9" w:rsidRDefault="00FB7D0B">
            <w:pPr>
              <w:jc w:val="right"/>
              <w:rPr>
                <w:rFonts w:ascii="Arial" w:eastAsia="Arial" w:hAnsi="Arial" w:cs="Arial"/>
                <w:color w:val="000000"/>
                <w:sz w:val="16"/>
              </w:rPr>
            </w:pPr>
            <w:r w:rsidRPr="007114D9">
              <w:rPr>
                <w:rFonts w:ascii="Arial" w:eastAsia="Arial" w:hAnsi="Arial" w:cs="Arial"/>
                <w:color w:val="000000"/>
                <w:sz w:val="16"/>
              </w:rPr>
              <w:t xml:space="preserve"> - </w:t>
            </w:r>
          </w:p>
        </w:tc>
        <w:tc>
          <w:tcPr>
            <w:tcW w:w="1005" w:type="dxa"/>
            <w:tcBorders>
              <w:top w:val="nil"/>
              <w:left w:val="nil"/>
              <w:bottom w:val="nil"/>
              <w:right w:val="nil"/>
              <w:tl2br w:val="nil"/>
              <w:tr2bl w:val="nil"/>
            </w:tcBorders>
            <w:shd w:val="clear" w:color="auto" w:fill="FFFF00"/>
            <w:tcMar>
              <w:left w:w="115" w:type="dxa"/>
              <w:right w:w="115" w:type="dxa"/>
            </w:tcMar>
            <w:vAlign w:val="bottom"/>
          </w:tcPr>
          <w:p w14:paraId="6564CC39" w14:textId="77777777" w:rsidR="003F0EEA" w:rsidRPr="007114D9" w:rsidRDefault="00FB7D0B">
            <w:pPr>
              <w:jc w:val="right"/>
              <w:rPr>
                <w:rFonts w:ascii="Arial" w:eastAsia="Arial" w:hAnsi="Arial" w:cs="Arial"/>
                <w:color w:val="000000"/>
                <w:sz w:val="16"/>
              </w:rPr>
            </w:pPr>
            <w:r w:rsidRPr="007114D9">
              <w:rPr>
                <w:rFonts w:ascii="Arial" w:eastAsia="Arial" w:hAnsi="Arial" w:cs="Arial"/>
                <w:color w:val="000000"/>
                <w:sz w:val="16"/>
              </w:rPr>
              <w:t xml:space="preserve"> - </w:t>
            </w:r>
          </w:p>
        </w:tc>
        <w:tc>
          <w:tcPr>
            <w:tcW w:w="1005" w:type="dxa"/>
            <w:tcBorders>
              <w:top w:val="nil"/>
              <w:left w:val="nil"/>
              <w:bottom w:val="nil"/>
              <w:right w:val="nil"/>
              <w:tl2br w:val="nil"/>
              <w:tr2bl w:val="nil"/>
            </w:tcBorders>
            <w:shd w:val="clear" w:color="auto" w:fill="FFFFFF"/>
            <w:tcMar>
              <w:left w:w="115" w:type="dxa"/>
              <w:right w:w="115" w:type="dxa"/>
            </w:tcMar>
            <w:vAlign w:val="bottom"/>
          </w:tcPr>
          <w:p w14:paraId="66FBA57C" w14:textId="77777777" w:rsidR="003F0EEA" w:rsidRPr="007114D9" w:rsidRDefault="00FB7D0B">
            <w:pPr>
              <w:jc w:val="right"/>
              <w:rPr>
                <w:rFonts w:ascii="Arial" w:eastAsia="Arial" w:hAnsi="Arial" w:cs="Arial"/>
                <w:color w:val="000000"/>
                <w:sz w:val="16"/>
              </w:rPr>
            </w:pPr>
            <w:r w:rsidRPr="007114D9">
              <w:rPr>
                <w:rFonts w:ascii="Arial" w:eastAsia="Arial" w:hAnsi="Arial" w:cs="Arial"/>
                <w:color w:val="000000"/>
                <w:sz w:val="16"/>
              </w:rPr>
              <w:t xml:space="preserve"> - </w:t>
            </w:r>
          </w:p>
        </w:tc>
        <w:tc>
          <w:tcPr>
            <w:tcW w:w="1005" w:type="dxa"/>
            <w:tcBorders>
              <w:top w:val="nil"/>
              <w:left w:val="nil"/>
              <w:bottom w:val="nil"/>
              <w:right w:val="nil"/>
              <w:tl2br w:val="nil"/>
              <w:tr2bl w:val="nil"/>
            </w:tcBorders>
            <w:shd w:val="clear" w:color="auto" w:fill="FFFF00"/>
            <w:tcMar>
              <w:left w:w="115" w:type="dxa"/>
              <w:right w:w="115" w:type="dxa"/>
            </w:tcMar>
            <w:vAlign w:val="bottom"/>
          </w:tcPr>
          <w:p w14:paraId="5F086CC6" w14:textId="77777777" w:rsidR="003F0EEA" w:rsidRPr="007114D9" w:rsidRDefault="00FB7D0B">
            <w:pPr>
              <w:jc w:val="right"/>
              <w:rPr>
                <w:rFonts w:ascii="Arial" w:eastAsia="Arial" w:hAnsi="Arial" w:cs="Arial"/>
                <w:color w:val="000000"/>
                <w:sz w:val="16"/>
              </w:rPr>
            </w:pPr>
            <w:r w:rsidRPr="007114D9">
              <w:rPr>
                <w:rFonts w:ascii="Arial" w:eastAsia="Arial" w:hAnsi="Arial" w:cs="Arial"/>
                <w:color w:val="000000"/>
                <w:sz w:val="16"/>
              </w:rPr>
              <w:t xml:space="preserve"> - </w:t>
            </w:r>
          </w:p>
        </w:tc>
      </w:tr>
      <w:tr w:rsidR="00724034" w14:paraId="57AB3546" w14:textId="77777777">
        <w:trPr>
          <w:trHeight w:val="225"/>
        </w:trPr>
        <w:tc>
          <w:tcPr>
            <w:tcW w:w="180" w:type="dxa"/>
            <w:tcBorders>
              <w:top w:val="nil"/>
              <w:left w:val="nil"/>
              <w:bottom w:val="nil"/>
              <w:right w:val="nil"/>
              <w:tl2br w:val="nil"/>
              <w:tr2bl w:val="nil"/>
            </w:tcBorders>
            <w:shd w:val="clear" w:color="auto" w:fill="FFFFFF"/>
            <w:tcMar>
              <w:left w:w="115" w:type="dxa"/>
              <w:right w:w="115" w:type="dxa"/>
            </w:tcMar>
            <w:vAlign w:val="bottom"/>
          </w:tcPr>
          <w:p w14:paraId="32DE924D" w14:textId="77777777" w:rsidR="003F0EEA" w:rsidRPr="007114D9" w:rsidRDefault="003F0EEA">
            <w:pPr>
              <w:rPr>
                <w:rFonts w:ascii="Arial" w:eastAsia="Arial" w:hAnsi="Arial" w:cs="Arial"/>
                <w:color w:val="000000"/>
                <w:sz w:val="16"/>
              </w:rPr>
            </w:pPr>
          </w:p>
        </w:tc>
        <w:tc>
          <w:tcPr>
            <w:tcW w:w="2280" w:type="dxa"/>
            <w:tcBorders>
              <w:top w:val="nil"/>
              <w:left w:val="nil"/>
              <w:bottom w:val="nil"/>
              <w:right w:val="nil"/>
              <w:tl2br w:val="nil"/>
              <w:tr2bl w:val="nil"/>
            </w:tcBorders>
            <w:shd w:val="clear" w:color="auto" w:fill="FFFFFF"/>
            <w:tcMar>
              <w:left w:w="115" w:type="dxa"/>
              <w:right w:w="115" w:type="dxa"/>
            </w:tcMar>
            <w:vAlign w:val="bottom"/>
          </w:tcPr>
          <w:p w14:paraId="1F9F55E9" w14:textId="77777777" w:rsidR="003F0EEA" w:rsidRPr="007114D9" w:rsidRDefault="00FB7D0B">
            <w:pPr>
              <w:rPr>
                <w:rFonts w:ascii="Arial" w:eastAsia="Arial" w:hAnsi="Arial" w:cs="Arial"/>
                <w:color w:val="000000"/>
                <w:sz w:val="16"/>
              </w:rPr>
            </w:pPr>
            <w:r w:rsidRPr="007114D9">
              <w:rPr>
                <w:rFonts w:ascii="Arial" w:eastAsia="Arial" w:hAnsi="Arial" w:cs="Arial"/>
                <w:color w:val="000000"/>
                <w:sz w:val="16"/>
              </w:rPr>
              <w:t>Departmental expenses</w:t>
            </w:r>
          </w:p>
        </w:tc>
        <w:tc>
          <w:tcPr>
            <w:tcW w:w="915" w:type="dxa"/>
            <w:tcBorders>
              <w:top w:val="nil"/>
              <w:left w:val="nil"/>
              <w:bottom w:val="nil"/>
              <w:right w:val="nil"/>
              <w:tl2br w:val="nil"/>
              <w:tr2bl w:val="nil"/>
            </w:tcBorders>
            <w:shd w:val="clear" w:color="auto" w:fill="FFFFFF"/>
            <w:tcMar>
              <w:left w:w="115" w:type="dxa"/>
              <w:right w:w="115" w:type="dxa"/>
            </w:tcMar>
            <w:vAlign w:val="bottom"/>
          </w:tcPr>
          <w:p w14:paraId="3EAF9F7D" w14:textId="77777777" w:rsidR="003F0EEA" w:rsidRPr="007114D9" w:rsidRDefault="003F0EEA">
            <w:pPr>
              <w:jc w:val="center"/>
              <w:rPr>
                <w:rFonts w:ascii="Arial" w:eastAsia="Arial" w:hAnsi="Arial" w:cs="Arial"/>
                <w:b/>
                <w:color w:val="000000"/>
                <w:sz w:val="16"/>
                <w:vertAlign w:val="superscript"/>
              </w:rPr>
            </w:pPr>
          </w:p>
        </w:tc>
        <w:tc>
          <w:tcPr>
            <w:tcW w:w="1005" w:type="dxa"/>
            <w:tcBorders>
              <w:top w:val="nil"/>
              <w:left w:val="nil"/>
              <w:bottom w:val="nil"/>
              <w:right w:val="nil"/>
              <w:tl2br w:val="nil"/>
              <w:tr2bl w:val="nil"/>
            </w:tcBorders>
            <w:shd w:val="clear" w:color="auto" w:fill="FFFF00"/>
            <w:tcMar>
              <w:left w:w="115" w:type="dxa"/>
              <w:right w:w="115" w:type="dxa"/>
            </w:tcMar>
            <w:vAlign w:val="bottom"/>
          </w:tcPr>
          <w:p w14:paraId="72866210" w14:textId="77777777" w:rsidR="003F0EEA" w:rsidRPr="007114D9" w:rsidRDefault="00FB7D0B">
            <w:pPr>
              <w:jc w:val="right"/>
              <w:rPr>
                <w:rFonts w:ascii="Arial" w:eastAsia="Arial" w:hAnsi="Arial" w:cs="Arial"/>
                <w:color w:val="000000"/>
                <w:sz w:val="16"/>
                <w:vertAlign w:val="superscript"/>
              </w:rPr>
            </w:pPr>
            <w:r w:rsidRPr="007114D9">
              <w:rPr>
                <w:rFonts w:ascii="Arial" w:eastAsia="Arial" w:hAnsi="Arial" w:cs="Arial"/>
                <w:color w:val="000000"/>
                <w:sz w:val="16"/>
              </w:rPr>
              <w:t xml:space="preserve"> - </w:t>
            </w:r>
          </w:p>
        </w:tc>
        <w:tc>
          <w:tcPr>
            <w:tcW w:w="1005" w:type="dxa"/>
            <w:tcBorders>
              <w:top w:val="nil"/>
              <w:left w:val="nil"/>
              <w:bottom w:val="nil"/>
              <w:right w:val="nil"/>
              <w:tl2br w:val="nil"/>
              <w:tr2bl w:val="nil"/>
            </w:tcBorders>
            <w:shd w:val="clear" w:color="auto" w:fill="FFFFFF"/>
            <w:tcMar>
              <w:left w:w="115" w:type="dxa"/>
              <w:right w:w="115" w:type="dxa"/>
            </w:tcMar>
            <w:vAlign w:val="bottom"/>
          </w:tcPr>
          <w:p w14:paraId="286CEFFB" w14:textId="77777777" w:rsidR="003F0EEA" w:rsidRPr="007114D9" w:rsidRDefault="00FB7D0B">
            <w:pPr>
              <w:jc w:val="right"/>
              <w:rPr>
                <w:rFonts w:ascii="Arial" w:eastAsia="Arial" w:hAnsi="Arial" w:cs="Arial"/>
                <w:color w:val="000000"/>
                <w:sz w:val="16"/>
              </w:rPr>
            </w:pPr>
            <w:r w:rsidRPr="007114D9">
              <w:rPr>
                <w:rFonts w:ascii="Arial" w:eastAsia="Arial" w:hAnsi="Arial" w:cs="Arial"/>
                <w:color w:val="000000"/>
                <w:sz w:val="16"/>
              </w:rPr>
              <w:t>831  </w:t>
            </w:r>
          </w:p>
        </w:tc>
        <w:tc>
          <w:tcPr>
            <w:tcW w:w="1005" w:type="dxa"/>
            <w:tcBorders>
              <w:top w:val="nil"/>
              <w:left w:val="nil"/>
              <w:bottom w:val="nil"/>
              <w:right w:val="nil"/>
              <w:tl2br w:val="nil"/>
              <w:tr2bl w:val="nil"/>
            </w:tcBorders>
            <w:shd w:val="clear" w:color="auto" w:fill="FFFF00"/>
            <w:tcMar>
              <w:left w:w="115" w:type="dxa"/>
              <w:right w:w="115" w:type="dxa"/>
            </w:tcMar>
            <w:vAlign w:val="bottom"/>
          </w:tcPr>
          <w:p w14:paraId="763F46DF" w14:textId="77777777" w:rsidR="003F0EEA" w:rsidRPr="007114D9" w:rsidRDefault="00FB7D0B">
            <w:pPr>
              <w:jc w:val="right"/>
              <w:rPr>
                <w:rFonts w:ascii="Arial" w:eastAsia="Arial" w:hAnsi="Arial" w:cs="Arial"/>
                <w:color w:val="000000"/>
                <w:sz w:val="16"/>
              </w:rPr>
            </w:pPr>
            <w:r w:rsidRPr="007114D9">
              <w:rPr>
                <w:rFonts w:ascii="Arial" w:eastAsia="Arial" w:hAnsi="Arial" w:cs="Arial"/>
                <w:color w:val="000000"/>
                <w:sz w:val="16"/>
              </w:rPr>
              <w:t xml:space="preserve"> - </w:t>
            </w:r>
          </w:p>
        </w:tc>
        <w:tc>
          <w:tcPr>
            <w:tcW w:w="1005" w:type="dxa"/>
            <w:tcBorders>
              <w:top w:val="nil"/>
              <w:left w:val="nil"/>
              <w:bottom w:val="nil"/>
              <w:right w:val="nil"/>
              <w:tl2br w:val="nil"/>
              <w:tr2bl w:val="nil"/>
            </w:tcBorders>
            <w:shd w:val="clear" w:color="auto" w:fill="FFFFFF"/>
            <w:tcMar>
              <w:left w:w="115" w:type="dxa"/>
              <w:right w:w="115" w:type="dxa"/>
            </w:tcMar>
            <w:vAlign w:val="bottom"/>
          </w:tcPr>
          <w:p w14:paraId="748EDF48" w14:textId="77777777" w:rsidR="003F0EEA" w:rsidRPr="007114D9" w:rsidRDefault="00FB7D0B">
            <w:pPr>
              <w:jc w:val="right"/>
              <w:rPr>
                <w:rFonts w:ascii="Arial" w:eastAsia="Arial" w:hAnsi="Arial" w:cs="Arial"/>
                <w:color w:val="000000"/>
                <w:sz w:val="16"/>
              </w:rPr>
            </w:pPr>
            <w:r w:rsidRPr="007114D9">
              <w:rPr>
                <w:rFonts w:ascii="Arial" w:eastAsia="Arial" w:hAnsi="Arial" w:cs="Arial"/>
                <w:color w:val="000000"/>
                <w:sz w:val="16"/>
              </w:rPr>
              <w:t xml:space="preserve"> - </w:t>
            </w:r>
          </w:p>
        </w:tc>
        <w:tc>
          <w:tcPr>
            <w:tcW w:w="1005" w:type="dxa"/>
            <w:tcBorders>
              <w:top w:val="nil"/>
              <w:left w:val="nil"/>
              <w:bottom w:val="nil"/>
              <w:right w:val="nil"/>
              <w:tl2br w:val="nil"/>
              <w:tr2bl w:val="nil"/>
            </w:tcBorders>
            <w:shd w:val="clear" w:color="auto" w:fill="FFFF00"/>
            <w:tcMar>
              <w:left w:w="115" w:type="dxa"/>
              <w:right w:w="115" w:type="dxa"/>
            </w:tcMar>
            <w:vAlign w:val="bottom"/>
          </w:tcPr>
          <w:p w14:paraId="2818BA2E" w14:textId="77777777" w:rsidR="003F0EEA" w:rsidRPr="007114D9" w:rsidRDefault="00FB7D0B">
            <w:pPr>
              <w:jc w:val="right"/>
              <w:rPr>
                <w:rFonts w:ascii="Arial" w:eastAsia="Arial" w:hAnsi="Arial" w:cs="Arial"/>
                <w:color w:val="000000"/>
                <w:sz w:val="16"/>
              </w:rPr>
            </w:pPr>
            <w:r w:rsidRPr="007114D9">
              <w:rPr>
                <w:rFonts w:ascii="Arial" w:eastAsia="Arial" w:hAnsi="Arial" w:cs="Arial"/>
                <w:color w:val="000000"/>
                <w:sz w:val="16"/>
              </w:rPr>
              <w:t xml:space="preserve"> - </w:t>
            </w:r>
          </w:p>
        </w:tc>
      </w:tr>
      <w:tr w:rsidR="00FB7D0B" w14:paraId="0CB08691" w14:textId="77777777" w:rsidTr="00FB7D0B">
        <w:trPr>
          <w:trHeight w:val="225"/>
        </w:trPr>
        <w:tc>
          <w:tcPr>
            <w:tcW w:w="2460" w:type="dxa"/>
            <w:gridSpan w:val="2"/>
            <w:tcBorders>
              <w:top w:val="nil"/>
              <w:left w:val="nil"/>
              <w:bottom w:val="nil"/>
              <w:right w:val="nil"/>
              <w:tl2br w:val="nil"/>
              <w:tr2bl w:val="nil"/>
            </w:tcBorders>
            <w:shd w:val="clear" w:color="auto" w:fill="FFFFFF"/>
            <w:tcMar>
              <w:left w:w="115" w:type="dxa"/>
              <w:right w:w="115" w:type="dxa"/>
            </w:tcMar>
            <w:vAlign w:val="bottom"/>
          </w:tcPr>
          <w:p w14:paraId="5E27B1F8" w14:textId="77777777" w:rsidR="003F0EEA" w:rsidRPr="007114D9" w:rsidRDefault="00FB7D0B">
            <w:pPr>
              <w:rPr>
                <w:rFonts w:ascii="Arial" w:eastAsia="Arial" w:hAnsi="Arial" w:cs="Arial"/>
                <w:color w:val="000000"/>
                <w:sz w:val="16"/>
              </w:rPr>
            </w:pPr>
            <w:r w:rsidRPr="007114D9">
              <w:rPr>
                <w:rFonts w:ascii="Arial" w:eastAsia="Arial" w:hAnsi="Arial" w:cs="Arial"/>
                <w:b/>
                <w:color w:val="000000"/>
                <w:sz w:val="16"/>
              </w:rPr>
              <w:t xml:space="preserve">Total </w:t>
            </w:r>
          </w:p>
        </w:tc>
        <w:tc>
          <w:tcPr>
            <w:tcW w:w="915" w:type="dxa"/>
            <w:tcBorders>
              <w:top w:val="nil"/>
              <w:left w:val="nil"/>
              <w:bottom w:val="nil"/>
              <w:right w:val="nil"/>
              <w:tl2br w:val="nil"/>
              <w:tr2bl w:val="nil"/>
            </w:tcBorders>
            <w:shd w:val="clear" w:color="auto" w:fill="FFFFFF"/>
            <w:tcMar>
              <w:left w:w="115" w:type="dxa"/>
              <w:right w:w="115" w:type="dxa"/>
            </w:tcMar>
            <w:vAlign w:val="bottom"/>
          </w:tcPr>
          <w:p w14:paraId="33E35461" w14:textId="77777777" w:rsidR="003F0EEA" w:rsidRPr="007114D9" w:rsidRDefault="003F0EEA">
            <w:pPr>
              <w:jc w:val="center"/>
              <w:rPr>
                <w:rFonts w:ascii="Arial" w:eastAsia="Arial" w:hAnsi="Arial" w:cs="Arial"/>
                <w:b/>
                <w:color w:val="000000"/>
                <w:sz w:val="16"/>
                <w:vertAlign w:val="superscript"/>
              </w:rPr>
            </w:pPr>
          </w:p>
        </w:tc>
        <w:tc>
          <w:tcPr>
            <w:tcW w:w="1005" w:type="dxa"/>
            <w:tcBorders>
              <w:top w:val="nil"/>
              <w:left w:val="nil"/>
              <w:bottom w:val="single" w:sz="6" w:space="0" w:color="000000"/>
              <w:right w:val="nil"/>
              <w:tl2br w:val="nil"/>
              <w:tr2bl w:val="nil"/>
            </w:tcBorders>
            <w:shd w:val="clear" w:color="auto" w:fill="FFFF00"/>
            <w:tcMar>
              <w:left w:w="115" w:type="dxa"/>
              <w:right w:w="115" w:type="dxa"/>
            </w:tcMar>
            <w:vAlign w:val="bottom"/>
          </w:tcPr>
          <w:p w14:paraId="3328EC8C" w14:textId="77777777" w:rsidR="003F0EEA" w:rsidRPr="007114D9" w:rsidRDefault="00FB7D0B">
            <w:pPr>
              <w:jc w:val="right"/>
              <w:rPr>
                <w:rFonts w:ascii="Arial" w:eastAsia="Arial" w:hAnsi="Arial" w:cs="Arial"/>
                <w:color w:val="000000"/>
                <w:sz w:val="16"/>
                <w:vertAlign w:val="superscript"/>
              </w:rPr>
            </w:pPr>
            <w:r w:rsidRPr="007114D9">
              <w:rPr>
                <w:rFonts w:ascii="Arial" w:eastAsia="Arial" w:hAnsi="Arial" w:cs="Arial"/>
                <w:b/>
                <w:color w:val="000000"/>
                <w:sz w:val="16"/>
              </w:rPr>
              <w:t xml:space="preserve"> - </w:t>
            </w:r>
          </w:p>
        </w:tc>
        <w:tc>
          <w:tcPr>
            <w:tcW w:w="1005"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4407927F" w14:textId="77777777" w:rsidR="003F0EEA" w:rsidRPr="007114D9" w:rsidRDefault="00FB7D0B">
            <w:pPr>
              <w:jc w:val="right"/>
              <w:rPr>
                <w:rFonts w:ascii="Arial" w:eastAsia="Arial" w:hAnsi="Arial" w:cs="Arial"/>
                <w:b/>
                <w:color w:val="000000"/>
                <w:sz w:val="16"/>
              </w:rPr>
            </w:pPr>
            <w:r w:rsidRPr="007114D9">
              <w:rPr>
                <w:rFonts w:ascii="Arial" w:eastAsia="Arial" w:hAnsi="Arial" w:cs="Arial"/>
                <w:b/>
                <w:color w:val="000000"/>
                <w:sz w:val="16"/>
              </w:rPr>
              <w:t>831  </w:t>
            </w:r>
          </w:p>
        </w:tc>
        <w:tc>
          <w:tcPr>
            <w:tcW w:w="1005" w:type="dxa"/>
            <w:tcBorders>
              <w:top w:val="nil"/>
              <w:left w:val="nil"/>
              <w:bottom w:val="single" w:sz="6" w:space="0" w:color="000000"/>
              <w:right w:val="nil"/>
              <w:tl2br w:val="nil"/>
              <w:tr2bl w:val="nil"/>
            </w:tcBorders>
            <w:shd w:val="clear" w:color="auto" w:fill="FFFF00"/>
            <w:tcMar>
              <w:left w:w="115" w:type="dxa"/>
              <w:right w:w="115" w:type="dxa"/>
            </w:tcMar>
            <w:vAlign w:val="bottom"/>
          </w:tcPr>
          <w:p w14:paraId="718BF198" w14:textId="77777777" w:rsidR="003F0EEA" w:rsidRPr="007114D9" w:rsidRDefault="00FB7D0B">
            <w:pPr>
              <w:jc w:val="right"/>
              <w:rPr>
                <w:rFonts w:ascii="Arial" w:eastAsia="Arial" w:hAnsi="Arial" w:cs="Arial"/>
                <w:b/>
                <w:color w:val="000000"/>
                <w:sz w:val="16"/>
              </w:rPr>
            </w:pPr>
            <w:r w:rsidRPr="007114D9">
              <w:rPr>
                <w:rFonts w:ascii="Arial" w:eastAsia="Arial" w:hAnsi="Arial" w:cs="Arial"/>
                <w:b/>
                <w:color w:val="000000"/>
                <w:sz w:val="16"/>
              </w:rPr>
              <w:t xml:space="preserve"> - </w:t>
            </w:r>
          </w:p>
        </w:tc>
        <w:tc>
          <w:tcPr>
            <w:tcW w:w="1005"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20C03DCC" w14:textId="77777777" w:rsidR="003F0EEA" w:rsidRPr="007114D9" w:rsidRDefault="00FB7D0B">
            <w:pPr>
              <w:jc w:val="right"/>
              <w:rPr>
                <w:rFonts w:ascii="Arial" w:eastAsia="Arial" w:hAnsi="Arial" w:cs="Arial"/>
                <w:b/>
                <w:color w:val="000000"/>
                <w:sz w:val="16"/>
              </w:rPr>
            </w:pPr>
            <w:r w:rsidRPr="007114D9">
              <w:rPr>
                <w:rFonts w:ascii="Arial" w:eastAsia="Arial" w:hAnsi="Arial" w:cs="Arial"/>
                <w:b/>
                <w:color w:val="000000"/>
                <w:sz w:val="16"/>
              </w:rPr>
              <w:t xml:space="preserve"> - </w:t>
            </w:r>
          </w:p>
        </w:tc>
        <w:tc>
          <w:tcPr>
            <w:tcW w:w="1005" w:type="dxa"/>
            <w:tcBorders>
              <w:top w:val="nil"/>
              <w:left w:val="nil"/>
              <w:bottom w:val="single" w:sz="6" w:space="0" w:color="000000"/>
              <w:right w:val="nil"/>
              <w:tl2br w:val="nil"/>
              <w:tr2bl w:val="nil"/>
            </w:tcBorders>
            <w:shd w:val="clear" w:color="auto" w:fill="FFFF00"/>
            <w:tcMar>
              <w:left w:w="115" w:type="dxa"/>
              <w:right w:w="115" w:type="dxa"/>
            </w:tcMar>
            <w:vAlign w:val="bottom"/>
          </w:tcPr>
          <w:p w14:paraId="0A0F6C0B" w14:textId="77777777" w:rsidR="003F0EEA" w:rsidRPr="007114D9" w:rsidRDefault="00FB7D0B">
            <w:pPr>
              <w:jc w:val="right"/>
              <w:rPr>
                <w:rFonts w:ascii="Arial" w:eastAsia="Arial" w:hAnsi="Arial" w:cs="Arial"/>
                <w:b/>
                <w:color w:val="000000"/>
                <w:sz w:val="16"/>
              </w:rPr>
            </w:pPr>
            <w:r w:rsidRPr="007114D9">
              <w:rPr>
                <w:rFonts w:ascii="Arial" w:eastAsia="Arial" w:hAnsi="Arial" w:cs="Arial"/>
                <w:b/>
                <w:color w:val="000000"/>
                <w:sz w:val="16"/>
              </w:rPr>
              <w:t xml:space="preserve"> - </w:t>
            </w:r>
          </w:p>
        </w:tc>
      </w:tr>
      <w:tr w:rsidR="00724034" w14:paraId="4757B676" w14:textId="77777777">
        <w:trPr>
          <w:trHeight w:val="225"/>
        </w:trPr>
        <w:tc>
          <w:tcPr>
            <w:tcW w:w="180" w:type="dxa"/>
            <w:tcBorders>
              <w:top w:val="nil"/>
              <w:left w:val="nil"/>
              <w:bottom w:val="nil"/>
              <w:right w:val="nil"/>
              <w:tl2br w:val="nil"/>
              <w:tr2bl w:val="nil"/>
            </w:tcBorders>
            <w:shd w:val="clear" w:color="auto" w:fill="FFFFFF"/>
            <w:tcMar>
              <w:left w:w="115" w:type="dxa"/>
              <w:right w:w="115" w:type="dxa"/>
            </w:tcMar>
            <w:vAlign w:val="bottom"/>
          </w:tcPr>
          <w:p w14:paraId="6B270E5D" w14:textId="77777777" w:rsidR="003F0EEA" w:rsidRPr="007114D9" w:rsidRDefault="003F0EEA">
            <w:pPr>
              <w:rPr>
                <w:rFonts w:ascii="Arial" w:eastAsia="Arial" w:hAnsi="Arial" w:cs="Arial"/>
                <w:b/>
                <w:color w:val="000000"/>
                <w:sz w:val="16"/>
              </w:rPr>
            </w:pPr>
          </w:p>
        </w:tc>
        <w:tc>
          <w:tcPr>
            <w:tcW w:w="2280" w:type="dxa"/>
            <w:tcBorders>
              <w:top w:val="nil"/>
              <w:left w:val="nil"/>
              <w:bottom w:val="nil"/>
              <w:right w:val="nil"/>
              <w:tl2br w:val="nil"/>
              <w:tr2bl w:val="nil"/>
            </w:tcBorders>
            <w:shd w:val="clear" w:color="auto" w:fill="FFFFFF"/>
            <w:tcMar>
              <w:left w:w="115" w:type="dxa"/>
              <w:right w:w="115" w:type="dxa"/>
            </w:tcMar>
            <w:vAlign w:val="bottom"/>
          </w:tcPr>
          <w:p w14:paraId="545EEDA3" w14:textId="77777777" w:rsidR="003F0EEA" w:rsidRPr="007114D9" w:rsidRDefault="003F0EEA">
            <w:pPr>
              <w:rPr>
                <w:rFonts w:ascii="Arial" w:eastAsia="Arial" w:hAnsi="Arial" w:cs="Arial"/>
                <w:b/>
                <w:color w:val="000000"/>
                <w:sz w:val="16"/>
              </w:rPr>
            </w:pPr>
          </w:p>
        </w:tc>
        <w:tc>
          <w:tcPr>
            <w:tcW w:w="915" w:type="dxa"/>
            <w:tcBorders>
              <w:top w:val="nil"/>
              <w:left w:val="nil"/>
              <w:bottom w:val="nil"/>
              <w:right w:val="nil"/>
              <w:tl2br w:val="nil"/>
              <w:tr2bl w:val="nil"/>
            </w:tcBorders>
            <w:shd w:val="clear" w:color="auto" w:fill="FFFFFF"/>
            <w:tcMar>
              <w:left w:w="115" w:type="dxa"/>
              <w:right w:w="115" w:type="dxa"/>
            </w:tcMar>
            <w:vAlign w:val="bottom"/>
          </w:tcPr>
          <w:p w14:paraId="58CF56C3" w14:textId="77777777" w:rsidR="003F0EEA" w:rsidRPr="007114D9" w:rsidRDefault="003F0EEA">
            <w:pPr>
              <w:jc w:val="center"/>
              <w:rPr>
                <w:rFonts w:ascii="Arial" w:eastAsia="Arial" w:hAnsi="Arial" w:cs="Arial"/>
                <w:b/>
                <w:color w:val="000000"/>
                <w:sz w:val="16"/>
                <w:vertAlign w:val="superscript"/>
              </w:rPr>
            </w:pPr>
          </w:p>
        </w:tc>
        <w:tc>
          <w:tcPr>
            <w:tcW w:w="1005" w:type="dxa"/>
            <w:tcBorders>
              <w:top w:val="single" w:sz="6" w:space="0" w:color="000000"/>
              <w:left w:val="nil"/>
              <w:bottom w:val="nil"/>
              <w:right w:val="nil"/>
              <w:tl2br w:val="nil"/>
              <w:tr2bl w:val="nil"/>
            </w:tcBorders>
            <w:shd w:val="clear" w:color="auto" w:fill="FFFF00"/>
            <w:tcMar>
              <w:left w:w="115" w:type="dxa"/>
              <w:right w:w="115" w:type="dxa"/>
            </w:tcMar>
            <w:vAlign w:val="bottom"/>
          </w:tcPr>
          <w:p w14:paraId="25405ACC" w14:textId="77777777" w:rsidR="003F0EEA" w:rsidRPr="007114D9" w:rsidRDefault="003F0EEA">
            <w:pPr>
              <w:jc w:val="right"/>
              <w:rPr>
                <w:rFonts w:ascii="Arial" w:eastAsia="Arial" w:hAnsi="Arial" w:cs="Arial"/>
                <w:color w:val="000000"/>
                <w:sz w:val="16"/>
                <w:vertAlign w:val="superscript"/>
              </w:rPr>
            </w:pPr>
          </w:p>
        </w:tc>
        <w:tc>
          <w:tcPr>
            <w:tcW w:w="1005"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30E8036D" w14:textId="77777777" w:rsidR="003F0EEA" w:rsidRPr="007114D9" w:rsidRDefault="003F0EEA">
            <w:pPr>
              <w:jc w:val="right"/>
              <w:rPr>
                <w:rFonts w:ascii="Arial" w:eastAsia="Arial" w:hAnsi="Arial" w:cs="Arial"/>
                <w:b/>
                <w:color w:val="000000"/>
                <w:sz w:val="16"/>
                <w:vertAlign w:val="superscript"/>
              </w:rPr>
            </w:pPr>
          </w:p>
        </w:tc>
        <w:tc>
          <w:tcPr>
            <w:tcW w:w="1005" w:type="dxa"/>
            <w:tcBorders>
              <w:top w:val="single" w:sz="6" w:space="0" w:color="000000"/>
              <w:left w:val="nil"/>
              <w:bottom w:val="nil"/>
              <w:right w:val="nil"/>
              <w:tl2br w:val="nil"/>
              <w:tr2bl w:val="nil"/>
            </w:tcBorders>
            <w:shd w:val="clear" w:color="auto" w:fill="FFFF00"/>
            <w:tcMar>
              <w:left w:w="115" w:type="dxa"/>
              <w:right w:w="115" w:type="dxa"/>
            </w:tcMar>
            <w:vAlign w:val="bottom"/>
          </w:tcPr>
          <w:p w14:paraId="4FD832BB" w14:textId="77777777" w:rsidR="003F0EEA" w:rsidRPr="007114D9" w:rsidRDefault="003F0EEA">
            <w:pPr>
              <w:jc w:val="right"/>
              <w:rPr>
                <w:rFonts w:ascii="Arial" w:eastAsia="Arial" w:hAnsi="Arial" w:cs="Arial"/>
                <w:b/>
                <w:color w:val="000000"/>
                <w:sz w:val="16"/>
                <w:vertAlign w:val="superscript"/>
              </w:rPr>
            </w:pPr>
          </w:p>
        </w:tc>
        <w:tc>
          <w:tcPr>
            <w:tcW w:w="1005"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341F0A60" w14:textId="77777777" w:rsidR="003F0EEA" w:rsidRPr="007114D9" w:rsidRDefault="003F0EEA">
            <w:pPr>
              <w:jc w:val="right"/>
              <w:rPr>
                <w:rFonts w:ascii="Arial" w:eastAsia="Arial" w:hAnsi="Arial" w:cs="Arial"/>
                <w:b/>
                <w:color w:val="000000"/>
                <w:sz w:val="16"/>
                <w:vertAlign w:val="superscript"/>
              </w:rPr>
            </w:pPr>
          </w:p>
        </w:tc>
        <w:tc>
          <w:tcPr>
            <w:tcW w:w="1005" w:type="dxa"/>
            <w:tcBorders>
              <w:top w:val="single" w:sz="6" w:space="0" w:color="000000"/>
              <w:left w:val="nil"/>
              <w:bottom w:val="nil"/>
              <w:right w:val="nil"/>
              <w:tl2br w:val="nil"/>
              <w:tr2bl w:val="nil"/>
            </w:tcBorders>
            <w:shd w:val="clear" w:color="auto" w:fill="FFFF00"/>
            <w:tcMar>
              <w:left w:w="115" w:type="dxa"/>
              <w:right w:w="115" w:type="dxa"/>
            </w:tcMar>
            <w:vAlign w:val="bottom"/>
          </w:tcPr>
          <w:p w14:paraId="25DDC192" w14:textId="77777777" w:rsidR="003F0EEA" w:rsidRPr="007114D9" w:rsidRDefault="003F0EEA">
            <w:pPr>
              <w:jc w:val="right"/>
              <w:rPr>
                <w:rFonts w:ascii="Arial" w:eastAsia="Arial" w:hAnsi="Arial" w:cs="Arial"/>
                <w:b/>
                <w:color w:val="000000"/>
                <w:sz w:val="16"/>
                <w:vertAlign w:val="superscript"/>
              </w:rPr>
            </w:pPr>
          </w:p>
        </w:tc>
      </w:tr>
      <w:tr w:rsidR="00FB7D0B" w14:paraId="44D00719" w14:textId="77777777" w:rsidTr="00FB7D0B">
        <w:trPr>
          <w:trHeight w:val="225"/>
        </w:trPr>
        <w:tc>
          <w:tcPr>
            <w:tcW w:w="2460" w:type="dxa"/>
            <w:gridSpan w:val="2"/>
            <w:tcBorders>
              <w:top w:val="nil"/>
              <w:left w:val="nil"/>
              <w:bottom w:val="nil"/>
              <w:right w:val="nil"/>
              <w:tl2br w:val="nil"/>
              <w:tr2bl w:val="nil"/>
            </w:tcBorders>
            <w:shd w:val="clear" w:color="auto" w:fill="FFFFFF"/>
            <w:tcMar>
              <w:left w:w="115" w:type="dxa"/>
              <w:right w:w="115" w:type="dxa"/>
            </w:tcMar>
            <w:vAlign w:val="bottom"/>
          </w:tcPr>
          <w:p w14:paraId="0AFF9E18" w14:textId="77777777" w:rsidR="003F0EEA" w:rsidRPr="007114D9" w:rsidRDefault="00FB7D0B">
            <w:pPr>
              <w:rPr>
                <w:rFonts w:ascii="Arial" w:eastAsia="Arial" w:hAnsi="Arial" w:cs="Arial"/>
                <w:b/>
                <w:color w:val="000000"/>
                <w:sz w:val="16"/>
                <w:vertAlign w:val="superscript"/>
              </w:rPr>
            </w:pPr>
            <w:r w:rsidRPr="007114D9">
              <w:rPr>
                <w:rFonts w:ascii="Arial" w:eastAsia="Arial" w:hAnsi="Arial" w:cs="Arial"/>
                <w:b/>
                <w:color w:val="000000"/>
                <w:sz w:val="16"/>
              </w:rPr>
              <w:t>Total Outcome 3</w:t>
            </w:r>
          </w:p>
        </w:tc>
        <w:tc>
          <w:tcPr>
            <w:tcW w:w="915" w:type="dxa"/>
            <w:tcBorders>
              <w:top w:val="nil"/>
              <w:left w:val="nil"/>
              <w:bottom w:val="nil"/>
              <w:right w:val="nil"/>
              <w:tl2br w:val="nil"/>
              <w:tr2bl w:val="nil"/>
            </w:tcBorders>
            <w:shd w:val="clear" w:color="auto" w:fill="FFFFFF"/>
            <w:tcMar>
              <w:left w:w="115" w:type="dxa"/>
              <w:right w:w="115" w:type="dxa"/>
            </w:tcMar>
            <w:vAlign w:val="bottom"/>
          </w:tcPr>
          <w:p w14:paraId="0B60AE4D" w14:textId="77777777" w:rsidR="003F0EEA" w:rsidRPr="007114D9" w:rsidRDefault="003F0EEA">
            <w:pPr>
              <w:jc w:val="center"/>
              <w:rPr>
                <w:rFonts w:ascii="Arial" w:eastAsia="Arial" w:hAnsi="Arial" w:cs="Arial"/>
                <w:b/>
                <w:color w:val="000000"/>
                <w:sz w:val="16"/>
                <w:vertAlign w:val="superscript"/>
              </w:rPr>
            </w:pPr>
          </w:p>
        </w:tc>
        <w:tc>
          <w:tcPr>
            <w:tcW w:w="1005" w:type="dxa"/>
            <w:tcBorders>
              <w:top w:val="nil"/>
              <w:left w:val="nil"/>
              <w:bottom w:val="nil"/>
              <w:right w:val="nil"/>
              <w:tl2br w:val="nil"/>
              <w:tr2bl w:val="nil"/>
            </w:tcBorders>
            <w:shd w:val="clear" w:color="auto" w:fill="FFFF00"/>
            <w:tcMar>
              <w:left w:w="115" w:type="dxa"/>
              <w:right w:w="115" w:type="dxa"/>
            </w:tcMar>
            <w:vAlign w:val="bottom"/>
          </w:tcPr>
          <w:p w14:paraId="170B8090" w14:textId="77777777" w:rsidR="003F0EEA" w:rsidRPr="007114D9" w:rsidRDefault="003F0EEA">
            <w:pPr>
              <w:jc w:val="right"/>
              <w:rPr>
                <w:rFonts w:ascii="Arial" w:eastAsia="Arial" w:hAnsi="Arial" w:cs="Arial"/>
                <w:color w:val="000000"/>
                <w:sz w:val="16"/>
                <w:vertAlign w:val="superscript"/>
              </w:rPr>
            </w:pPr>
          </w:p>
        </w:tc>
        <w:tc>
          <w:tcPr>
            <w:tcW w:w="1005" w:type="dxa"/>
            <w:tcBorders>
              <w:top w:val="nil"/>
              <w:left w:val="nil"/>
              <w:bottom w:val="nil"/>
              <w:right w:val="nil"/>
              <w:tl2br w:val="nil"/>
              <w:tr2bl w:val="nil"/>
            </w:tcBorders>
            <w:shd w:val="clear" w:color="auto" w:fill="FFFFFF"/>
            <w:tcMar>
              <w:left w:w="115" w:type="dxa"/>
              <w:right w:w="115" w:type="dxa"/>
            </w:tcMar>
            <w:vAlign w:val="bottom"/>
          </w:tcPr>
          <w:p w14:paraId="2F4FDDD2" w14:textId="77777777" w:rsidR="003F0EEA" w:rsidRPr="007114D9" w:rsidRDefault="003F0EEA">
            <w:pPr>
              <w:jc w:val="right"/>
              <w:rPr>
                <w:rFonts w:ascii="Arial" w:eastAsia="Arial" w:hAnsi="Arial" w:cs="Arial"/>
                <w:b/>
                <w:color w:val="000000"/>
                <w:sz w:val="16"/>
                <w:vertAlign w:val="superscript"/>
              </w:rPr>
            </w:pPr>
          </w:p>
        </w:tc>
        <w:tc>
          <w:tcPr>
            <w:tcW w:w="1005" w:type="dxa"/>
            <w:tcBorders>
              <w:top w:val="nil"/>
              <w:left w:val="nil"/>
              <w:bottom w:val="nil"/>
              <w:right w:val="nil"/>
              <w:tl2br w:val="nil"/>
              <w:tr2bl w:val="nil"/>
            </w:tcBorders>
            <w:shd w:val="clear" w:color="auto" w:fill="FFFF00"/>
            <w:tcMar>
              <w:left w:w="115" w:type="dxa"/>
              <w:right w:w="115" w:type="dxa"/>
            </w:tcMar>
            <w:vAlign w:val="bottom"/>
          </w:tcPr>
          <w:p w14:paraId="25FD7C09" w14:textId="77777777" w:rsidR="003F0EEA" w:rsidRPr="007114D9" w:rsidRDefault="003F0EEA">
            <w:pPr>
              <w:jc w:val="right"/>
              <w:rPr>
                <w:rFonts w:ascii="Arial" w:eastAsia="Arial" w:hAnsi="Arial" w:cs="Arial"/>
                <w:b/>
                <w:color w:val="000000"/>
                <w:sz w:val="16"/>
                <w:vertAlign w:val="superscript"/>
              </w:rPr>
            </w:pPr>
          </w:p>
        </w:tc>
        <w:tc>
          <w:tcPr>
            <w:tcW w:w="1005" w:type="dxa"/>
            <w:tcBorders>
              <w:top w:val="nil"/>
              <w:left w:val="nil"/>
              <w:bottom w:val="nil"/>
              <w:right w:val="nil"/>
              <w:tl2br w:val="nil"/>
              <w:tr2bl w:val="nil"/>
            </w:tcBorders>
            <w:shd w:val="clear" w:color="auto" w:fill="FFFFFF"/>
            <w:tcMar>
              <w:left w:w="115" w:type="dxa"/>
              <w:right w:w="115" w:type="dxa"/>
            </w:tcMar>
            <w:vAlign w:val="bottom"/>
          </w:tcPr>
          <w:p w14:paraId="088C2856" w14:textId="77777777" w:rsidR="003F0EEA" w:rsidRPr="007114D9" w:rsidRDefault="003F0EEA">
            <w:pPr>
              <w:jc w:val="right"/>
              <w:rPr>
                <w:rFonts w:ascii="Arial" w:eastAsia="Arial" w:hAnsi="Arial" w:cs="Arial"/>
                <w:b/>
                <w:color w:val="000000"/>
                <w:sz w:val="16"/>
                <w:vertAlign w:val="superscript"/>
              </w:rPr>
            </w:pPr>
          </w:p>
        </w:tc>
        <w:tc>
          <w:tcPr>
            <w:tcW w:w="1005" w:type="dxa"/>
            <w:tcBorders>
              <w:top w:val="nil"/>
              <w:left w:val="nil"/>
              <w:bottom w:val="nil"/>
              <w:right w:val="nil"/>
              <w:tl2br w:val="nil"/>
              <w:tr2bl w:val="nil"/>
            </w:tcBorders>
            <w:shd w:val="clear" w:color="auto" w:fill="FFFF00"/>
            <w:tcMar>
              <w:left w:w="115" w:type="dxa"/>
              <w:right w:w="115" w:type="dxa"/>
            </w:tcMar>
            <w:vAlign w:val="bottom"/>
          </w:tcPr>
          <w:p w14:paraId="03F40E2A" w14:textId="77777777" w:rsidR="003F0EEA" w:rsidRPr="007114D9" w:rsidRDefault="003F0EEA">
            <w:pPr>
              <w:jc w:val="right"/>
              <w:rPr>
                <w:rFonts w:ascii="Arial" w:eastAsia="Arial" w:hAnsi="Arial" w:cs="Arial"/>
                <w:b/>
                <w:color w:val="000000"/>
                <w:sz w:val="16"/>
                <w:vertAlign w:val="superscript"/>
              </w:rPr>
            </w:pPr>
          </w:p>
        </w:tc>
      </w:tr>
      <w:tr w:rsidR="00724034" w14:paraId="1DED761B" w14:textId="77777777">
        <w:trPr>
          <w:trHeight w:val="225"/>
        </w:trPr>
        <w:tc>
          <w:tcPr>
            <w:tcW w:w="180" w:type="dxa"/>
            <w:tcBorders>
              <w:top w:val="nil"/>
              <w:left w:val="nil"/>
              <w:bottom w:val="nil"/>
              <w:right w:val="nil"/>
              <w:tl2br w:val="nil"/>
              <w:tr2bl w:val="nil"/>
            </w:tcBorders>
            <w:shd w:val="clear" w:color="auto" w:fill="FFFFFF"/>
            <w:tcMar>
              <w:left w:w="115" w:type="dxa"/>
              <w:right w:w="115" w:type="dxa"/>
            </w:tcMar>
            <w:vAlign w:val="bottom"/>
          </w:tcPr>
          <w:p w14:paraId="7BAD1981" w14:textId="77777777" w:rsidR="003F0EEA" w:rsidRPr="007114D9" w:rsidRDefault="003F0EEA">
            <w:pPr>
              <w:rPr>
                <w:rFonts w:ascii="Arial" w:eastAsia="Arial" w:hAnsi="Arial" w:cs="Arial"/>
                <w:b/>
                <w:color w:val="000000"/>
                <w:sz w:val="16"/>
                <w:vertAlign w:val="superscript"/>
              </w:rPr>
            </w:pPr>
          </w:p>
        </w:tc>
        <w:tc>
          <w:tcPr>
            <w:tcW w:w="2280" w:type="dxa"/>
            <w:tcBorders>
              <w:top w:val="nil"/>
              <w:left w:val="nil"/>
              <w:bottom w:val="nil"/>
              <w:right w:val="nil"/>
              <w:tl2br w:val="nil"/>
              <w:tr2bl w:val="nil"/>
            </w:tcBorders>
            <w:shd w:val="clear" w:color="auto" w:fill="FFFFFF"/>
            <w:tcMar>
              <w:left w:w="115" w:type="dxa"/>
              <w:right w:w="115" w:type="dxa"/>
            </w:tcMar>
            <w:vAlign w:val="bottom"/>
          </w:tcPr>
          <w:p w14:paraId="3AB85862" w14:textId="77777777" w:rsidR="003F0EEA" w:rsidRPr="007114D9" w:rsidRDefault="00FB7D0B">
            <w:pPr>
              <w:rPr>
                <w:rFonts w:ascii="Arial" w:eastAsia="Arial" w:hAnsi="Arial" w:cs="Arial"/>
                <w:color w:val="000000"/>
                <w:sz w:val="16"/>
                <w:vertAlign w:val="superscript"/>
              </w:rPr>
            </w:pPr>
            <w:r w:rsidRPr="007114D9">
              <w:rPr>
                <w:rFonts w:ascii="Arial" w:eastAsia="Arial" w:hAnsi="Arial" w:cs="Arial"/>
                <w:color w:val="000000"/>
                <w:sz w:val="16"/>
              </w:rPr>
              <w:t xml:space="preserve">                   Administered</w:t>
            </w:r>
          </w:p>
        </w:tc>
        <w:tc>
          <w:tcPr>
            <w:tcW w:w="915" w:type="dxa"/>
            <w:tcBorders>
              <w:top w:val="nil"/>
              <w:left w:val="nil"/>
              <w:bottom w:val="nil"/>
              <w:right w:val="nil"/>
              <w:tl2br w:val="nil"/>
              <w:tr2bl w:val="nil"/>
            </w:tcBorders>
            <w:shd w:val="clear" w:color="auto" w:fill="FFFFFF"/>
            <w:tcMar>
              <w:left w:w="115" w:type="dxa"/>
              <w:right w:w="115" w:type="dxa"/>
            </w:tcMar>
            <w:vAlign w:val="bottom"/>
          </w:tcPr>
          <w:p w14:paraId="4D237E71" w14:textId="77777777" w:rsidR="003F0EEA" w:rsidRPr="007114D9" w:rsidRDefault="003F0EEA">
            <w:pPr>
              <w:jc w:val="center"/>
              <w:rPr>
                <w:rFonts w:ascii="Arial" w:eastAsia="Arial" w:hAnsi="Arial" w:cs="Arial"/>
                <w:color w:val="000000"/>
                <w:sz w:val="16"/>
                <w:vertAlign w:val="superscript"/>
              </w:rPr>
            </w:pPr>
          </w:p>
        </w:tc>
        <w:tc>
          <w:tcPr>
            <w:tcW w:w="1005" w:type="dxa"/>
            <w:tcBorders>
              <w:top w:val="nil"/>
              <w:left w:val="nil"/>
              <w:bottom w:val="nil"/>
              <w:right w:val="nil"/>
              <w:tl2br w:val="nil"/>
              <w:tr2bl w:val="nil"/>
            </w:tcBorders>
            <w:shd w:val="clear" w:color="auto" w:fill="FFFF00"/>
            <w:tcMar>
              <w:left w:w="115" w:type="dxa"/>
              <w:right w:w="115" w:type="dxa"/>
            </w:tcMar>
            <w:vAlign w:val="bottom"/>
          </w:tcPr>
          <w:p w14:paraId="65B6A2E5" w14:textId="77777777" w:rsidR="003F0EEA" w:rsidRPr="007114D9" w:rsidRDefault="00FB7D0B">
            <w:pPr>
              <w:jc w:val="right"/>
              <w:rPr>
                <w:rFonts w:ascii="Arial" w:eastAsia="Arial" w:hAnsi="Arial" w:cs="Arial"/>
                <w:color w:val="000000"/>
                <w:sz w:val="16"/>
                <w:vertAlign w:val="superscript"/>
              </w:rPr>
            </w:pPr>
            <w:r w:rsidRPr="007114D9">
              <w:rPr>
                <w:rFonts w:ascii="Arial" w:eastAsia="Arial" w:hAnsi="Arial" w:cs="Arial"/>
                <w:color w:val="000000"/>
                <w:sz w:val="16"/>
              </w:rPr>
              <w:t xml:space="preserve"> - </w:t>
            </w:r>
          </w:p>
        </w:tc>
        <w:tc>
          <w:tcPr>
            <w:tcW w:w="1005" w:type="dxa"/>
            <w:tcBorders>
              <w:top w:val="nil"/>
              <w:left w:val="nil"/>
              <w:bottom w:val="nil"/>
              <w:right w:val="nil"/>
              <w:tl2br w:val="nil"/>
              <w:tr2bl w:val="nil"/>
            </w:tcBorders>
            <w:shd w:val="clear" w:color="auto" w:fill="FFFFFF"/>
            <w:tcMar>
              <w:left w:w="115" w:type="dxa"/>
              <w:right w:w="115" w:type="dxa"/>
            </w:tcMar>
            <w:vAlign w:val="bottom"/>
          </w:tcPr>
          <w:p w14:paraId="2A940FF9" w14:textId="77777777" w:rsidR="003F0EEA" w:rsidRPr="007114D9" w:rsidRDefault="00FB7D0B">
            <w:pPr>
              <w:jc w:val="right"/>
              <w:rPr>
                <w:rFonts w:ascii="Arial" w:eastAsia="Arial" w:hAnsi="Arial" w:cs="Arial"/>
                <w:color w:val="000000"/>
                <w:sz w:val="16"/>
              </w:rPr>
            </w:pPr>
            <w:r w:rsidRPr="007114D9">
              <w:rPr>
                <w:rFonts w:ascii="Arial" w:eastAsia="Arial" w:hAnsi="Arial" w:cs="Arial"/>
                <w:color w:val="000000"/>
                <w:sz w:val="16"/>
              </w:rPr>
              <w:t xml:space="preserve"> - </w:t>
            </w:r>
          </w:p>
        </w:tc>
        <w:tc>
          <w:tcPr>
            <w:tcW w:w="1005" w:type="dxa"/>
            <w:tcBorders>
              <w:top w:val="nil"/>
              <w:left w:val="nil"/>
              <w:bottom w:val="nil"/>
              <w:right w:val="nil"/>
              <w:tl2br w:val="nil"/>
              <w:tr2bl w:val="nil"/>
            </w:tcBorders>
            <w:shd w:val="clear" w:color="auto" w:fill="FFFF00"/>
            <w:tcMar>
              <w:left w:w="115" w:type="dxa"/>
              <w:right w:w="115" w:type="dxa"/>
            </w:tcMar>
            <w:vAlign w:val="bottom"/>
          </w:tcPr>
          <w:p w14:paraId="0D3582B3" w14:textId="77777777" w:rsidR="003F0EEA" w:rsidRPr="007114D9" w:rsidRDefault="00FB7D0B">
            <w:pPr>
              <w:jc w:val="right"/>
              <w:rPr>
                <w:rFonts w:ascii="Arial" w:eastAsia="Arial" w:hAnsi="Arial" w:cs="Arial"/>
                <w:color w:val="000000"/>
                <w:sz w:val="16"/>
              </w:rPr>
            </w:pPr>
            <w:r w:rsidRPr="007114D9">
              <w:rPr>
                <w:rFonts w:ascii="Arial" w:eastAsia="Arial" w:hAnsi="Arial" w:cs="Arial"/>
                <w:color w:val="000000"/>
                <w:sz w:val="16"/>
              </w:rPr>
              <w:t xml:space="preserve"> - </w:t>
            </w:r>
          </w:p>
        </w:tc>
        <w:tc>
          <w:tcPr>
            <w:tcW w:w="1005" w:type="dxa"/>
            <w:tcBorders>
              <w:top w:val="nil"/>
              <w:left w:val="nil"/>
              <w:bottom w:val="nil"/>
              <w:right w:val="nil"/>
              <w:tl2br w:val="nil"/>
              <w:tr2bl w:val="nil"/>
            </w:tcBorders>
            <w:shd w:val="clear" w:color="auto" w:fill="FFFFFF"/>
            <w:tcMar>
              <w:left w:w="115" w:type="dxa"/>
              <w:right w:w="115" w:type="dxa"/>
            </w:tcMar>
            <w:vAlign w:val="bottom"/>
          </w:tcPr>
          <w:p w14:paraId="58E3CC31" w14:textId="77777777" w:rsidR="003F0EEA" w:rsidRPr="007114D9" w:rsidRDefault="00FB7D0B">
            <w:pPr>
              <w:jc w:val="right"/>
              <w:rPr>
                <w:rFonts w:ascii="Arial" w:eastAsia="Arial" w:hAnsi="Arial" w:cs="Arial"/>
                <w:color w:val="000000"/>
                <w:sz w:val="16"/>
              </w:rPr>
            </w:pPr>
            <w:r w:rsidRPr="007114D9">
              <w:rPr>
                <w:rFonts w:ascii="Arial" w:eastAsia="Arial" w:hAnsi="Arial" w:cs="Arial"/>
                <w:color w:val="000000"/>
                <w:sz w:val="16"/>
              </w:rPr>
              <w:t xml:space="preserve"> - </w:t>
            </w:r>
          </w:p>
        </w:tc>
        <w:tc>
          <w:tcPr>
            <w:tcW w:w="1005" w:type="dxa"/>
            <w:tcBorders>
              <w:top w:val="nil"/>
              <w:left w:val="nil"/>
              <w:bottom w:val="nil"/>
              <w:right w:val="nil"/>
              <w:tl2br w:val="nil"/>
              <w:tr2bl w:val="nil"/>
            </w:tcBorders>
            <w:shd w:val="clear" w:color="auto" w:fill="FFFF00"/>
            <w:tcMar>
              <w:left w:w="115" w:type="dxa"/>
              <w:right w:w="115" w:type="dxa"/>
            </w:tcMar>
            <w:vAlign w:val="bottom"/>
          </w:tcPr>
          <w:p w14:paraId="361D525C" w14:textId="77777777" w:rsidR="003F0EEA" w:rsidRPr="007114D9" w:rsidRDefault="00FB7D0B">
            <w:pPr>
              <w:jc w:val="right"/>
              <w:rPr>
                <w:rFonts w:ascii="Arial" w:eastAsia="Arial" w:hAnsi="Arial" w:cs="Arial"/>
                <w:color w:val="000000"/>
                <w:sz w:val="16"/>
              </w:rPr>
            </w:pPr>
            <w:r w:rsidRPr="007114D9">
              <w:rPr>
                <w:rFonts w:ascii="Arial" w:eastAsia="Arial" w:hAnsi="Arial" w:cs="Arial"/>
                <w:color w:val="000000"/>
                <w:sz w:val="16"/>
              </w:rPr>
              <w:t xml:space="preserve"> - </w:t>
            </w:r>
          </w:p>
        </w:tc>
      </w:tr>
      <w:tr w:rsidR="00724034" w14:paraId="5A5DB67D" w14:textId="77777777">
        <w:trPr>
          <w:trHeight w:val="210"/>
        </w:trPr>
        <w:tc>
          <w:tcPr>
            <w:tcW w:w="180" w:type="dxa"/>
            <w:tcBorders>
              <w:top w:val="nil"/>
              <w:left w:val="nil"/>
              <w:bottom w:val="nil"/>
              <w:right w:val="nil"/>
              <w:tl2br w:val="nil"/>
              <w:tr2bl w:val="nil"/>
            </w:tcBorders>
            <w:shd w:val="clear" w:color="auto" w:fill="FFFFFF"/>
            <w:tcMar>
              <w:left w:w="115" w:type="dxa"/>
              <w:right w:w="115" w:type="dxa"/>
            </w:tcMar>
            <w:vAlign w:val="bottom"/>
          </w:tcPr>
          <w:p w14:paraId="39D8A5C0" w14:textId="77777777" w:rsidR="003F0EEA" w:rsidRPr="007114D9" w:rsidRDefault="003F0EEA">
            <w:pPr>
              <w:rPr>
                <w:rFonts w:ascii="Arial" w:eastAsia="Arial" w:hAnsi="Arial" w:cs="Arial"/>
                <w:color w:val="000000"/>
                <w:sz w:val="16"/>
              </w:rPr>
            </w:pPr>
          </w:p>
        </w:tc>
        <w:tc>
          <w:tcPr>
            <w:tcW w:w="2280" w:type="dxa"/>
            <w:tcBorders>
              <w:top w:val="nil"/>
              <w:left w:val="nil"/>
              <w:bottom w:val="nil"/>
              <w:right w:val="nil"/>
              <w:tl2br w:val="nil"/>
              <w:tr2bl w:val="nil"/>
            </w:tcBorders>
            <w:shd w:val="clear" w:color="auto" w:fill="FFFFFF"/>
            <w:tcMar>
              <w:left w:w="115" w:type="dxa"/>
              <w:right w:w="115" w:type="dxa"/>
            </w:tcMar>
            <w:vAlign w:val="bottom"/>
          </w:tcPr>
          <w:p w14:paraId="475B9C94" w14:textId="77777777" w:rsidR="003F0EEA" w:rsidRPr="007114D9" w:rsidRDefault="00FB7D0B">
            <w:pPr>
              <w:rPr>
                <w:rFonts w:ascii="Arial" w:eastAsia="Arial" w:hAnsi="Arial" w:cs="Arial"/>
                <w:color w:val="000000"/>
                <w:sz w:val="16"/>
              </w:rPr>
            </w:pPr>
            <w:r w:rsidRPr="007114D9">
              <w:rPr>
                <w:rFonts w:ascii="Arial" w:eastAsia="Arial" w:hAnsi="Arial" w:cs="Arial"/>
                <w:color w:val="000000"/>
                <w:sz w:val="16"/>
              </w:rPr>
              <w:t xml:space="preserve">                   Departmental</w:t>
            </w:r>
          </w:p>
        </w:tc>
        <w:tc>
          <w:tcPr>
            <w:tcW w:w="915" w:type="dxa"/>
            <w:tcBorders>
              <w:top w:val="nil"/>
              <w:left w:val="nil"/>
              <w:bottom w:val="nil"/>
              <w:right w:val="nil"/>
              <w:tl2br w:val="nil"/>
              <w:tr2bl w:val="nil"/>
            </w:tcBorders>
            <w:shd w:val="clear" w:color="auto" w:fill="FFFFFF"/>
            <w:tcMar>
              <w:left w:w="115" w:type="dxa"/>
              <w:right w:w="115" w:type="dxa"/>
            </w:tcMar>
            <w:vAlign w:val="bottom"/>
          </w:tcPr>
          <w:p w14:paraId="2092ADD6" w14:textId="77777777" w:rsidR="003F0EEA" w:rsidRPr="007114D9" w:rsidRDefault="003F0EEA">
            <w:pPr>
              <w:jc w:val="center"/>
              <w:rPr>
                <w:rFonts w:ascii="Arial" w:eastAsia="Arial" w:hAnsi="Arial" w:cs="Arial"/>
                <w:color w:val="000000"/>
                <w:sz w:val="16"/>
                <w:vertAlign w:val="superscript"/>
              </w:rPr>
            </w:pPr>
          </w:p>
        </w:tc>
        <w:tc>
          <w:tcPr>
            <w:tcW w:w="1005" w:type="dxa"/>
            <w:tcBorders>
              <w:top w:val="nil"/>
              <w:left w:val="nil"/>
              <w:bottom w:val="single" w:sz="6" w:space="0" w:color="000000"/>
              <w:right w:val="nil"/>
              <w:tl2br w:val="nil"/>
              <w:tr2bl w:val="nil"/>
            </w:tcBorders>
            <w:shd w:val="clear" w:color="auto" w:fill="FFFF00"/>
            <w:tcMar>
              <w:left w:w="115" w:type="dxa"/>
              <w:right w:w="115" w:type="dxa"/>
            </w:tcMar>
            <w:vAlign w:val="bottom"/>
          </w:tcPr>
          <w:p w14:paraId="3623BCF0" w14:textId="77777777" w:rsidR="003F0EEA" w:rsidRPr="007114D9" w:rsidRDefault="00FB7D0B">
            <w:pPr>
              <w:jc w:val="right"/>
              <w:rPr>
                <w:rFonts w:ascii="Arial" w:eastAsia="Arial" w:hAnsi="Arial" w:cs="Arial"/>
                <w:color w:val="000000"/>
                <w:sz w:val="16"/>
                <w:vertAlign w:val="superscript"/>
              </w:rPr>
            </w:pPr>
            <w:r w:rsidRPr="007114D9">
              <w:rPr>
                <w:rFonts w:ascii="Arial" w:eastAsia="Arial" w:hAnsi="Arial" w:cs="Arial"/>
                <w:color w:val="000000"/>
                <w:sz w:val="16"/>
              </w:rPr>
              <w:t xml:space="preserve"> - </w:t>
            </w:r>
          </w:p>
        </w:tc>
        <w:tc>
          <w:tcPr>
            <w:tcW w:w="1005"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141426FF" w14:textId="77777777" w:rsidR="003F0EEA" w:rsidRPr="007114D9" w:rsidRDefault="00FB7D0B">
            <w:pPr>
              <w:jc w:val="right"/>
              <w:rPr>
                <w:rFonts w:ascii="Arial" w:eastAsia="Arial" w:hAnsi="Arial" w:cs="Arial"/>
                <w:color w:val="000000"/>
                <w:sz w:val="16"/>
              </w:rPr>
            </w:pPr>
            <w:r w:rsidRPr="007114D9">
              <w:rPr>
                <w:rFonts w:ascii="Arial" w:eastAsia="Arial" w:hAnsi="Arial" w:cs="Arial"/>
                <w:color w:val="000000"/>
                <w:sz w:val="16"/>
              </w:rPr>
              <w:t>831  </w:t>
            </w:r>
          </w:p>
        </w:tc>
        <w:tc>
          <w:tcPr>
            <w:tcW w:w="1005" w:type="dxa"/>
            <w:tcBorders>
              <w:top w:val="nil"/>
              <w:left w:val="nil"/>
              <w:bottom w:val="single" w:sz="6" w:space="0" w:color="000000"/>
              <w:right w:val="nil"/>
              <w:tl2br w:val="nil"/>
              <w:tr2bl w:val="nil"/>
            </w:tcBorders>
            <w:shd w:val="clear" w:color="auto" w:fill="FFFF00"/>
            <w:tcMar>
              <w:left w:w="115" w:type="dxa"/>
              <w:right w:w="115" w:type="dxa"/>
            </w:tcMar>
            <w:vAlign w:val="bottom"/>
          </w:tcPr>
          <w:p w14:paraId="6428B603" w14:textId="77777777" w:rsidR="003F0EEA" w:rsidRPr="007114D9" w:rsidRDefault="00FB7D0B">
            <w:pPr>
              <w:jc w:val="right"/>
              <w:rPr>
                <w:rFonts w:ascii="Arial" w:eastAsia="Arial" w:hAnsi="Arial" w:cs="Arial"/>
                <w:color w:val="000000"/>
                <w:sz w:val="16"/>
              </w:rPr>
            </w:pPr>
            <w:r w:rsidRPr="007114D9">
              <w:rPr>
                <w:rFonts w:ascii="Arial" w:eastAsia="Arial" w:hAnsi="Arial" w:cs="Arial"/>
                <w:color w:val="000000"/>
                <w:sz w:val="16"/>
              </w:rPr>
              <w:t xml:space="preserve"> - </w:t>
            </w:r>
          </w:p>
        </w:tc>
        <w:tc>
          <w:tcPr>
            <w:tcW w:w="1005"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08DB85D5" w14:textId="77777777" w:rsidR="003F0EEA" w:rsidRPr="007114D9" w:rsidRDefault="00FB7D0B">
            <w:pPr>
              <w:jc w:val="right"/>
              <w:rPr>
                <w:rFonts w:ascii="Arial" w:eastAsia="Arial" w:hAnsi="Arial" w:cs="Arial"/>
                <w:color w:val="000000"/>
                <w:sz w:val="16"/>
              </w:rPr>
            </w:pPr>
            <w:r w:rsidRPr="007114D9">
              <w:rPr>
                <w:rFonts w:ascii="Arial" w:eastAsia="Arial" w:hAnsi="Arial" w:cs="Arial"/>
                <w:color w:val="000000"/>
                <w:sz w:val="16"/>
              </w:rPr>
              <w:t xml:space="preserve"> - </w:t>
            </w:r>
          </w:p>
        </w:tc>
        <w:tc>
          <w:tcPr>
            <w:tcW w:w="1005" w:type="dxa"/>
            <w:tcBorders>
              <w:top w:val="nil"/>
              <w:left w:val="nil"/>
              <w:bottom w:val="single" w:sz="6" w:space="0" w:color="000000"/>
              <w:right w:val="nil"/>
              <w:tl2br w:val="nil"/>
              <w:tr2bl w:val="nil"/>
            </w:tcBorders>
            <w:shd w:val="clear" w:color="auto" w:fill="FFFF00"/>
            <w:tcMar>
              <w:left w:w="115" w:type="dxa"/>
              <w:right w:w="115" w:type="dxa"/>
            </w:tcMar>
            <w:vAlign w:val="bottom"/>
          </w:tcPr>
          <w:p w14:paraId="68A9EFB4" w14:textId="77777777" w:rsidR="003F0EEA" w:rsidRPr="007114D9" w:rsidRDefault="00FB7D0B">
            <w:pPr>
              <w:jc w:val="right"/>
              <w:rPr>
                <w:rFonts w:ascii="Arial" w:eastAsia="Arial" w:hAnsi="Arial" w:cs="Arial"/>
                <w:color w:val="000000"/>
                <w:sz w:val="16"/>
              </w:rPr>
            </w:pPr>
            <w:r w:rsidRPr="007114D9">
              <w:rPr>
                <w:rFonts w:ascii="Arial" w:eastAsia="Arial" w:hAnsi="Arial" w:cs="Arial"/>
                <w:color w:val="000000"/>
                <w:sz w:val="16"/>
              </w:rPr>
              <w:t xml:space="preserve"> - </w:t>
            </w:r>
          </w:p>
        </w:tc>
      </w:tr>
      <w:tr w:rsidR="00724034" w14:paraId="41A4DAA6" w14:textId="77777777">
        <w:trPr>
          <w:trHeight w:val="225"/>
        </w:trPr>
        <w:tc>
          <w:tcPr>
            <w:tcW w:w="180" w:type="dxa"/>
            <w:tcBorders>
              <w:top w:val="nil"/>
              <w:left w:val="nil"/>
              <w:bottom w:val="nil"/>
              <w:right w:val="nil"/>
              <w:tl2br w:val="nil"/>
              <w:tr2bl w:val="nil"/>
            </w:tcBorders>
            <w:shd w:val="clear" w:color="auto" w:fill="FFFFFF"/>
            <w:tcMar>
              <w:left w:w="115" w:type="dxa"/>
              <w:right w:w="115" w:type="dxa"/>
            </w:tcMar>
            <w:vAlign w:val="bottom"/>
          </w:tcPr>
          <w:p w14:paraId="582EBB0A" w14:textId="77777777" w:rsidR="003F0EEA" w:rsidRPr="007114D9" w:rsidRDefault="003F0EEA">
            <w:pPr>
              <w:rPr>
                <w:rFonts w:ascii="Arial" w:eastAsia="Arial" w:hAnsi="Arial" w:cs="Arial"/>
                <w:color w:val="000000"/>
                <w:sz w:val="16"/>
              </w:rPr>
            </w:pPr>
          </w:p>
        </w:tc>
        <w:tc>
          <w:tcPr>
            <w:tcW w:w="2280" w:type="dxa"/>
            <w:tcBorders>
              <w:top w:val="nil"/>
              <w:left w:val="nil"/>
              <w:bottom w:val="nil"/>
              <w:right w:val="nil"/>
              <w:tl2br w:val="nil"/>
              <w:tr2bl w:val="nil"/>
            </w:tcBorders>
            <w:shd w:val="clear" w:color="auto" w:fill="FFFFFF"/>
            <w:tcMar>
              <w:left w:w="115" w:type="dxa"/>
              <w:right w:w="115" w:type="dxa"/>
            </w:tcMar>
            <w:vAlign w:val="bottom"/>
          </w:tcPr>
          <w:p w14:paraId="13CA627A" w14:textId="77777777" w:rsidR="003F0EEA" w:rsidRPr="007114D9" w:rsidRDefault="00FB7D0B">
            <w:pPr>
              <w:rPr>
                <w:rFonts w:ascii="Arial" w:eastAsia="Arial" w:hAnsi="Arial" w:cs="Arial"/>
                <w:color w:val="000000"/>
                <w:sz w:val="16"/>
              </w:rPr>
            </w:pPr>
            <w:r w:rsidRPr="007114D9">
              <w:rPr>
                <w:rFonts w:ascii="Arial" w:eastAsia="Arial" w:hAnsi="Arial" w:cs="Arial"/>
                <w:b/>
                <w:color w:val="000000"/>
                <w:sz w:val="16"/>
              </w:rPr>
              <w:t xml:space="preserve">                   Total</w:t>
            </w:r>
          </w:p>
        </w:tc>
        <w:tc>
          <w:tcPr>
            <w:tcW w:w="915" w:type="dxa"/>
            <w:tcBorders>
              <w:top w:val="nil"/>
              <w:left w:val="nil"/>
              <w:bottom w:val="nil"/>
              <w:right w:val="nil"/>
              <w:tl2br w:val="nil"/>
              <w:tr2bl w:val="nil"/>
            </w:tcBorders>
            <w:shd w:val="clear" w:color="auto" w:fill="FFFFFF"/>
            <w:tcMar>
              <w:left w:w="115" w:type="dxa"/>
              <w:right w:w="115" w:type="dxa"/>
            </w:tcMar>
            <w:vAlign w:val="bottom"/>
          </w:tcPr>
          <w:p w14:paraId="56308EC0" w14:textId="77777777" w:rsidR="003F0EEA" w:rsidRPr="007114D9" w:rsidRDefault="003F0EEA">
            <w:pPr>
              <w:jc w:val="center"/>
              <w:rPr>
                <w:rFonts w:ascii="Arial" w:eastAsia="Arial" w:hAnsi="Arial" w:cs="Arial"/>
                <w:b/>
                <w:color w:val="000000"/>
                <w:sz w:val="16"/>
                <w:vertAlign w:val="superscript"/>
              </w:rPr>
            </w:pPr>
          </w:p>
        </w:tc>
        <w:tc>
          <w:tcPr>
            <w:tcW w:w="1005" w:type="dxa"/>
            <w:tcBorders>
              <w:top w:val="single" w:sz="6" w:space="0" w:color="000000"/>
              <w:left w:val="nil"/>
              <w:bottom w:val="single" w:sz="6" w:space="0" w:color="000000"/>
              <w:right w:val="nil"/>
              <w:tl2br w:val="nil"/>
              <w:tr2bl w:val="nil"/>
            </w:tcBorders>
            <w:shd w:val="clear" w:color="auto" w:fill="FFFF00"/>
            <w:tcMar>
              <w:left w:w="115" w:type="dxa"/>
              <w:right w:w="115" w:type="dxa"/>
            </w:tcMar>
            <w:vAlign w:val="bottom"/>
          </w:tcPr>
          <w:p w14:paraId="1FE150F1" w14:textId="77777777" w:rsidR="003F0EEA" w:rsidRPr="007114D9" w:rsidRDefault="00FB7D0B">
            <w:pPr>
              <w:jc w:val="right"/>
              <w:rPr>
                <w:rFonts w:ascii="Arial" w:eastAsia="Arial" w:hAnsi="Arial" w:cs="Arial"/>
                <w:color w:val="000000"/>
                <w:sz w:val="16"/>
                <w:vertAlign w:val="superscript"/>
              </w:rPr>
            </w:pPr>
            <w:r w:rsidRPr="007114D9">
              <w:rPr>
                <w:rFonts w:ascii="Arial" w:eastAsia="Arial" w:hAnsi="Arial" w:cs="Arial"/>
                <w:b/>
                <w:color w:val="000000"/>
                <w:sz w:val="16"/>
              </w:rPr>
              <w:t xml:space="preserve"> - </w:t>
            </w:r>
          </w:p>
        </w:tc>
        <w:tc>
          <w:tcPr>
            <w:tcW w:w="1005" w:type="dxa"/>
            <w:tcBorders>
              <w:top w:val="single" w:sz="6" w:space="0" w:color="000000"/>
              <w:left w:val="nil"/>
              <w:bottom w:val="single" w:sz="6" w:space="0" w:color="000000"/>
              <w:right w:val="nil"/>
              <w:tl2br w:val="nil"/>
              <w:tr2bl w:val="nil"/>
            </w:tcBorders>
            <w:shd w:val="clear" w:color="auto" w:fill="FFFFFF"/>
            <w:tcMar>
              <w:left w:w="115" w:type="dxa"/>
              <w:right w:w="115" w:type="dxa"/>
            </w:tcMar>
            <w:vAlign w:val="bottom"/>
          </w:tcPr>
          <w:p w14:paraId="21EAE453" w14:textId="77777777" w:rsidR="003F0EEA" w:rsidRPr="007114D9" w:rsidRDefault="00FB7D0B">
            <w:pPr>
              <w:jc w:val="right"/>
              <w:rPr>
                <w:rFonts w:ascii="Arial" w:eastAsia="Arial" w:hAnsi="Arial" w:cs="Arial"/>
                <w:b/>
                <w:color w:val="000000"/>
                <w:sz w:val="16"/>
              </w:rPr>
            </w:pPr>
            <w:r w:rsidRPr="007114D9">
              <w:rPr>
                <w:rFonts w:ascii="Arial" w:eastAsia="Arial" w:hAnsi="Arial" w:cs="Arial"/>
                <w:b/>
                <w:color w:val="000000"/>
                <w:sz w:val="16"/>
              </w:rPr>
              <w:t>831  </w:t>
            </w:r>
          </w:p>
        </w:tc>
        <w:tc>
          <w:tcPr>
            <w:tcW w:w="1005" w:type="dxa"/>
            <w:tcBorders>
              <w:top w:val="single" w:sz="6" w:space="0" w:color="000000"/>
              <w:left w:val="nil"/>
              <w:bottom w:val="single" w:sz="6" w:space="0" w:color="000000"/>
              <w:right w:val="nil"/>
              <w:tl2br w:val="nil"/>
              <w:tr2bl w:val="nil"/>
            </w:tcBorders>
            <w:shd w:val="clear" w:color="auto" w:fill="FFFF00"/>
            <w:tcMar>
              <w:left w:w="115" w:type="dxa"/>
              <w:right w:w="115" w:type="dxa"/>
            </w:tcMar>
            <w:vAlign w:val="bottom"/>
          </w:tcPr>
          <w:p w14:paraId="4B461586" w14:textId="77777777" w:rsidR="003F0EEA" w:rsidRPr="007114D9" w:rsidRDefault="00FB7D0B">
            <w:pPr>
              <w:jc w:val="right"/>
              <w:rPr>
                <w:rFonts w:ascii="Arial" w:eastAsia="Arial" w:hAnsi="Arial" w:cs="Arial"/>
                <w:b/>
                <w:color w:val="000000"/>
                <w:sz w:val="16"/>
              </w:rPr>
            </w:pPr>
            <w:r w:rsidRPr="007114D9">
              <w:rPr>
                <w:rFonts w:ascii="Arial" w:eastAsia="Arial" w:hAnsi="Arial" w:cs="Arial"/>
                <w:b/>
                <w:color w:val="000000"/>
                <w:sz w:val="16"/>
              </w:rPr>
              <w:t xml:space="preserve"> - </w:t>
            </w:r>
          </w:p>
        </w:tc>
        <w:tc>
          <w:tcPr>
            <w:tcW w:w="1005" w:type="dxa"/>
            <w:tcBorders>
              <w:top w:val="single" w:sz="6" w:space="0" w:color="000000"/>
              <w:left w:val="nil"/>
              <w:bottom w:val="single" w:sz="6" w:space="0" w:color="000000"/>
              <w:right w:val="nil"/>
              <w:tl2br w:val="nil"/>
              <w:tr2bl w:val="nil"/>
            </w:tcBorders>
            <w:shd w:val="clear" w:color="auto" w:fill="FFFFFF"/>
            <w:tcMar>
              <w:left w:w="115" w:type="dxa"/>
              <w:right w:w="115" w:type="dxa"/>
            </w:tcMar>
            <w:vAlign w:val="bottom"/>
          </w:tcPr>
          <w:p w14:paraId="5AB4998F" w14:textId="77777777" w:rsidR="003F0EEA" w:rsidRPr="007114D9" w:rsidRDefault="00FB7D0B">
            <w:pPr>
              <w:jc w:val="right"/>
              <w:rPr>
                <w:rFonts w:ascii="Arial" w:eastAsia="Arial" w:hAnsi="Arial" w:cs="Arial"/>
                <w:b/>
                <w:color w:val="000000"/>
                <w:sz w:val="16"/>
              </w:rPr>
            </w:pPr>
            <w:r w:rsidRPr="007114D9">
              <w:rPr>
                <w:rFonts w:ascii="Arial" w:eastAsia="Arial" w:hAnsi="Arial" w:cs="Arial"/>
                <w:b/>
                <w:color w:val="000000"/>
                <w:sz w:val="16"/>
              </w:rPr>
              <w:t xml:space="preserve"> - </w:t>
            </w:r>
          </w:p>
        </w:tc>
        <w:tc>
          <w:tcPr>
            <w:tcW w:w="1005" w:type="dxa"/>
            <w:tcBorders>
              <w:top w:val="single" w:sz="6" w:space="0" w:color="000000"/>
              <w:left w:val="nil"/>
              <w:bottom w:val="single" w:sz="6" w:space="0" w:color="000000"/>
              <w:right w:val="nil"/>
              <w:tl2br w:val="nil"/>
              <w:tr2bl w:val="nil"/>
            </w:tcBorders>
            <w:shd w:val="clear" w:color="auto" w:fill="FFFF00"/>
            <w:tcMar>
              <w:left w:w="115" w:type="dxa"/>
              <w:right w:w="115" w:type="dxa"/>
            </w:tcMar>
            <w:vAlign w:val="bottom"/>
          </w:tcPr>
          <w:p w14:paraId="5D73E1A8" w14:textId="77777777" w:rsidR="003F0EEA" w:rsidRPr="007114D9" w:rsidRDefault="00FB7D0B">
            <w:pPr>
              <w:jc w:val="right"/>
              <w:rPr>
                <w:rFonts w:ascii="Arial" w:eastAsia="Arial" w:hAnsi="Arial" w:cs="Arial"/>
                <w:b/>
                <w:color w:val="000000"/>
                <w:sz w:val="16"/>
              </w:rPr>
            </w:pPr>
            <w:r w:rsidRPr="007114D9">
              <w:rPr>
                <w:rFonts w:ascii="Arial" w:eastAsia="Arial" w:hAnsi="Arial" w:cs="Arial"/>
                <w:b/>
                <w:color w:val="000000"/>
                <w:sz w:val="16"/>
              </w:rPr>
              <w:t xml:space="preserve"> - </w:t>
            </w:r>
          </w:p>
        </w:tc>
      </w:tr>
      <w:tr w:rsidR="00FB7D0B" w14:paraId="67F08FE4" w14:textId="77777777" w:rsidTr="00FB7D0B">
        <w:trPr>
          <w:trHeight w:val="225"/>
        </w:trPr>
        <w:tc>
          <w:tcPr>
            <w:tcW w:w="180" w:type="dxa"/>
            <w:tcBorders>
              <w:top w:val="nil"/>
              <w:left w:val="nil"/>
              <w:bottom w:val="nil"/>
              <w:right w:val="nil"/>
              <w:tl2br w:val="nil"/>
              <w:tr2bl w:val="nil"/>
            </w:tcBorders>
            <w:shd w:val="clear" w:color="auto" w:fill="FFFFFF"/>
            <w:tcMar>
              <w:left w:w="115" w:type="dxa"/>
              <w:right w:w="115" w:type="dxa"/>
            </w:tcMar>
            <w:vAlign w:val="bottom"/>
          </w:tcPr>
          <w:p w14:paraId="6C64EC5E" w14:textId="77777777" w:rsidR="003F0EEA" w:rsidRPr="007114D9" w:rsidRDefault="003F0EEA">
            <w:pPr>
              <w:rPr>
                <w:rFonts w:ascii="Arial" w:eastAsia="Arial" w:hAnsi="Arial" w:cs="Arial"/>
                <w:b/>
                <w:color w:val="000000"/>
                <w:sz w:val="16"/>
              </w:rPr>
            </w:pPr>
          </w:p>
        </w:tc>
        <w:tc>
          <w:tcPr>
            <w:tcW w:w="2280" w:type="dxa"/>
            <w:tcBorders>
              <w:top w:val="nil"/>
              <w:left w:val="nil"/>
              <w:bottom w:val="nil"/>
              <w:right w:val="nil"/>
              <w:tl2br w:val="nil"/>
              <w:tr2bl w:val="nil"/>
            </w:tcBorders>
            <w:shd w:val="clear" w:color="auto" w:fill="FFFFFF"/>
            <w:tcMar>
              <w:left w:w="115" w:type="dxa"/>
              <w:right w:w="115" w:type="dxa"/>
            </w:tcMar>
            <w:vAlign w:val="bottom"/>
          </w:tcPr>
          <w:p w14:paraId="76CCB8B9" w14:textId="77777777" w:rsidR="003F0EEA" w:rsidRPr="007114D9" w:rsidRDefault="003F0EEA">
            <w:pPr>
              <w:rPr>
                <w:rFonts w:ascii="Arial" w:eastAsia="Arial" w:hAnsi="Arial" w:cs="Arial"/>
                <w:color w:val="000000"/>
                <w:sz w:val="16"/>
              </w:rPr>
            </w:pPr>
          </w:p>
        </w:tc>
        <w:tc>
          <w:tcPr>
            <w:tcW w:w="915" w:type="dxa"/>
            <w:tcBorders>
              <w:top w:val="nil"/>
              <w:left w:val="nil"/>
              <w:bottom w:val="nil"/>
              <w:right w:val="nil"/>
              <w:tl2br w:val="nil"/>
              <w:tr2bl w:val="nil"/>
            </w:tcBorders>
            <w:shd w:val="clear" w:color="auto" w:fill="FFFFFF"/>
            <w:tcMar>
              <w:left w:w="115" w:type="dxa"/>
              <w:right w:w="115" w:type="dxa"/>
            </w:tcMar>
            <w:vAlign w:val="bottom"/>
          </w:tcPr>
          <w:p w14:paraId="26D784AC" w14:textId="77777777" w:rsidR="003F0EEA" w:rsidRPr="007114D9" w:rsidRDefault="003F0EEA">
            <w:pPr>
              <w:rPr>
                <w:rFonts w:ascii="Arial" w:eastAsia="Arial" w:hAnsi="Arial" w:cs="Arial"/>
                <w:color w:val="000000"/>
                <w:sz w:val="16"/>
                <w:vertAlign w:val="superscript"/>
              </w:rPr>
            </w:pPr>
          </w:p>
        </w:tc>
        <w:tc>
          <w:tcPr>
            <w:tcW w:w="1005"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350990E1" w14:textId="77777777" w:rsidR="003F0EEA" w:rsidRPr="007114D9" w:rsidRDefault="003F0EEA">
            <w:pPr>
              <w:rPr>
                <w:rFonts w:ascii="Arial" w:eastAsia="Arial" w:hAnsi="Arial" w:cs="Arial"/>
                <w:color w:val="000000"/>
                <w:sz w:val="16"/>
                <w:vertAlign w:val="superscript"/>
              </w:rPr>
            </w:pPr>
          </w:p>
        </w:tc>
        <w:tc>
          <w:tcPr>
            <w:tcW w:w="1005"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4B07CBC6" w14:textId="77777777" w:rsidR="003F0EEA" w:rsidRPr="007114D9" w:rsidRDefault="003F0EEA">
            <w:pPr>
              <w:rPr>
                <w:rFonts w:ascii="Arial" w:eastAsia="Arial" w:hAnsi="Arial" w:cs="Arial"/>
                <w:color w:val="000000"/>
                <w:sz w:val="16"/>
                <w:vertAlign w:val="superscript"/>
              </w:rPr>
            </w:pPr>
          </w:p>
        </w:tc>
        <w:tc>
          <w:tcPr>
            <w:tcW w:w="3015" w:type="dxa"/>
            <w:gridSpan w:val="3"/>
            <w:tcBorders>
              <w:top w:val="single" w:sz="6" w:space="0" w:color="000000"/>
              <w:left w:val="nil"/>
              <w:bottom w:val="nil"/>
              <w:right w:val="nil"/>
              <w:tl2br w:val="nil"/>
              <w:tr2bl w:val="nil"/>
            </w:tcBorders>
            <w:shd w:val="clear" w:color="auto" w:fill="FFFFFF"/>
            <w:tcMar>
              <w:left w:w="115" w:type="dxa"/>
              <w:right w:w="115" w:type="dxa"/>
            </w:tcMar>
            <w:vAlign w:val="bottom"/>
          </w:tcPr>
          <w:p w14:paraId="05214213" w14:textId="77777777" w:rsidR="003F0EEA" w:rsidRPr="007114D9" w:rsidRDefault="00FB7D0B">
            <w:pPr>
              <w:jc w:val="right"/>
              <w:rPr>
                <w:rFonts w:ascii="Arial" w:eastAsia="Arial" w:hAnsi="Arial" w:cs="Arial"/>
                <w:color w:val="000000"/>
                <w:sz w:val="16"/>
                <w:vertAlign w:val="superscript"/>
              </w:rPr>
            </w:pPr>
            <w:r w:rsidRPr="007114D9">
              <w:rPr>
                <w:rFonts w:ascii="Arial" w:eastAsia="Arial" w:hAnsi="Arial" w:cs="Arial"/>
                <w:color w:val="000000"/>
                <w:sz w:val="16"/>
              </w:rPr>
              <w:t>Continued on next page</w:t>
            </w:r>
          </w:p>
        </w:tc>
      </w:tr>
      <w:tr w:rsidR="00FB7D0B" w14:paraId="1B60C9ED" w14:textId="77777777" w:rsidTr="00FB7D0B">
        <w:trPr>
          <w:trHeight w:val="225"/>
        </w:trPr>
        <w:tc>
          <w:tcPr>
            <w:tcW w:w="5385" w:type="dxa"/>
            <w:gridSpan w:val="5"/>
            <w:tcBorders>
              <w:top w:val="nil"/>
              <w:left w:val="nil"/>
              <w:bottom w:val="nil"/>
              <w:right w:val="nil"/>
              <w:tl2br w:val="nil"/>
              <w:tr2bl w:val="nil"/>
            </w:tcBorders>
            <w:shd w:val="clear" w:color="auto" w:fill="FFFFFF"/>
            <w:tcMar>
              <w:left w:w="115" w:type="dxa"/>
              <w:right w:w="115" w:type="dxa"/>
            </w:tcMar>
            <w:vAlign w:val="bottom"/>
          </w:tcPr>
          <w:p w14:paraId="12CD187D" w14:textId="77777777" w:rsidR="003F0EEA" w:rsidRPr="007114D9" w:rsidRDefault="00FB7D0B">
            <w:pPr>
              <w:rPr>
                <w:rFonts w:ascii="Arial" w:eastAsia="Arial" w:hAnsi="Arial" w:cs="Arial"/>
                <w:color w:val="000000"/>
                <w:sz w:val="16"/>
              </w:rPr>
            </w:pPr>
            <w:r w:rsidRPr="007114D9">
              <w:rPr>
                <w:rFonts w:ascii="Arial" w:eastAsia="Arial" w:hAnsi="Arial" w:cs="Arial"/>
                <w:color w:val="000000"/>
                <w:sz w:val="16"/>
              </w:rPr>
              <w:t>Prepared on a Government Finance Statistics (fiscal) basis</w:t>
            </w:r>
          </w:p>
        </w:tc>
        <w:tc>
          <w:tcPr>
            <w:tcW w:w="1005" w:type="dxa"/>
            <w:tcBorders>
              <w:top w:val="nil"/>
              <w:left w:val="nil"/>
              <w:bottom w:val="nil"/>
              <w:right w:val="nil"/>
              <w:tl2br w:val="nil"/>
              <w:tr2bl w:val="nil"/>
            </w:tcBorders>
            <w:shd w:val="clear" w:color="auto" w:fill="FFFFFF"/>
            <w:tcMar>
              <w:left w:w="115" w:type="dxa"/>
              <w:right w:w="115" w:type="dxa"/>
            </w:tcMar>
            <w:vAlign w:val="bottom"/>
          </w:tcPr>
          <w:p w14:paraId="61313426" w14:textId="77777777" w:rsidR="003F0EEA" w:rsidRPr="007114D9" w:rsidRDefault="003F0EEA">
            <w:pPr>
              <w:rPr>
                <w:rFonts w:ascii="Arial" w:eastAsia="Arial" w:hAnsi="Arial" w:cs="Arial"/>
                <w:color w:val="000000"/>
                <w:sz w:val="16"/>
              </w:rPr>
            </w:pPr>
          </w:p>
        </w:tc>
        <w:tc>
          <w:tcPr>
            <w:tcW w:w="1005" w:type="dxa"/>
            <w:tcBorders>
              <w:top w:val="nil"/>
              <w:left w:val="nil"/>
              <w:bottom w:val="nil"/>
              <w:right w:val="nil"/>
              <w:tl2br w:val="nil"/>
              <w:tr2bl w:val="nil"/>
            </w:tcBorders>
            <w:shd w:val="clear" w:color="auto" w:fill="FFFFFF"/>
            <w:tcMar>
              <w:left w:w="115" w:type="dxa"/>
              <w:right w:w="115" w:type="dxa"/>
            </w:tcMar>
            <w:vAlign w:val="bottom"/>
          </w:tcPr>
          <w:p w14:paraId="37AA6D3F" w14:textId="77777777" w:rsidR="003F0EEA" w:rsidRPr="007114D9" w:rsidRDefault="003F0EEA">
            <w:pPr>
              <w:rPr>
                <w:rFonts w:ascii="Arial" w:eastAsia="Arial" w:hAnsi="Arial" w:cs="Arial"/>
                <w:color w:val="000000"/>
                <w:sz w:val="16"/>
              </w:rPr>
            </w:pPr>
          </w:p>
        </w:tc>
        <w:tc>
          <w:tcPr>
            <w:tcW w:w="1005" w:type="dxa"/>
            <w:tcBorders>
              <w:top w:val="nil"/>
              <w:left w:val="nil"/>
              <w:bottom w:val="nil"/>
              <w:right w:val="nil"/>
              <w:tl2br w:val="nil"/>
              <w:tr2bl w:val="nil"/>
            </w:tcBorders>
            <w:shd w:val="clear" w:color="auto" w:fill="FFFFFF"/>
            <w:tcMar>
              <w:left w:w="115" w:type="dxa"/>
              <w:right w:w="115" w:type="dxa"/>
            </w:tcMar>
            <w:vAlign w:val="bottom"/>
          </w:tcPr>
          <w:p w14:paraId="202DE2C1" w14:textId="77777777" w:rsidR="003F0EEA" w:rsidRPr="007114D9" w:rsidRDefault="003F0EEA">
            <w:pPr>
              <w:rPr>
                <w:rFonts w:ascii="Arial" w:eastAsia="Arial" w:hAnsi="Arial" w:cs="Arial"/>
                <w:color w:val="000000"/>
                <w:sz w:val="16"/>
              </w:rPr>
            </w:pPr>
          </w:p>
        </w:tc>
      </w:tr>
    </w:tbl>
    <w:p w14:paraId="6B2F4B55" w14:textId="77777777" w:rsidR="003F0EEA" w:rsidRPr="007114D9" w:rsidRDefault="00FB7D0B">
      <w:pPr>
        <w:spacing w:line="14" w:lineRule="exact"/>
        <w:rPr>
          <w:rFonts w:eastAsia="Times New Roman" w:cs="Times New Roman"/>
        </w:rPr>
      </w:pPr>
      <w:r w:rsidRPr="007114D9">
        <w:rPr>
          <w:rFonts w:eastAsia="Times New Roman" w:cs="Times New Roman"/>
        </w:rPr>
        <w:br w:type="page"/>
      </w:r>
    </w:p>
    <w:p w14:paraId="1069EB9A" w14:textId="77777777" w:rsidR="003F0EEA" w:rsidRPr="00250775" w:rsidRDefault="00FB7D0B" w:rsidP="003F0EEA">
      <w:pPr>
        <w:pStyle w:val="TableHeadingcontinued8"/>
        <w:spacing w:after="0"/>
      </w:pPr>
      <w:r w:rsidRPr="00B54316">
        <w:t xml:space="preserve">Table 1.2: </w:t>
      </w:r>
      <w:r>
        <w:t xml:space="preserve">Department of Veterans' Affairs </w:t>
      </w:r>
      <w:r w:rsidRPr="00B54316">
        <w:t xml:space="preserve">2014-15 </w:t>
      </w:r>
      <w:r>
        <w:t xml:space="preserve">Budget measures </w:t>
      </w:r>
      <w:r w:rsidRPr="00A61101">
        <w:t>(continued)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0"/>
        <w:gridCol w:w="2280"/>
        <w:gridCol w:w="915"/>
        <w:gridCol w:w="1005"/>
        <w:gridCol w:w="1005"/>
        <w:gridCol w:w="1005"/>
        <w:gridCol w:w="1005"/>
        <w:gridCol w:w="1005"/>
      </w:tblGrid>
      <w:tr w:rsidR="00FB7D0B" w14:paraId="488886AA" w14:textId="77777777" w:rsidTr="00FB7D0B">
        <w:trPr>
          <w:trHeight w:val="300"/>
        </w:trPr>
        <w:tc>
          <w:tcPr>
            <w:tcW w:w="3375" w:type="dxa"/>
            <w:gridSpan w:val="3"/>
            <w:tcBorders>
              <w:top w:val="single" w:sz="6" w:space="0" w:color="000000"/>
              <w:left w:val="nil"/>
              <w:bottom w:val="nil"/>
              <w:right w:val="nil"/>
              <w:tl2br w:val="nil"/>
              <w:tr2bl w:val="nil"/>
            </w:tcBorders>
            <w:shd w:val="clear" w:color="auto" w:fill="FFFFFF"/>
            <w:tcMar>
              <w:left w:w="115" w:type="dxa"/>
              <w:right w:w="115" w:type="dxa"/>
            </w:tcMar>
            <w:vAlign w:val="bottom"/>
          </w:tcPr>
          <w:p w14:paraId="4A801FD4" w14:textId="77777777" w:rsidR="003F0EEA" w:rsidRPr="00250775" w:rsidRDefault="00FB7D0B">
            <w:pPr>
              <w:jc w:val="right"/>
              <w:rPr>
                <w:rFonts w:eastAsia="Times New Roman" w:cs="Times New Roman"/>
              </w:rPr>
            </w:pPr>
            <w:r w:rsidRPr="00250775">
              <w:rPr>
                <w:rFonts w:ascii="Arial" w:eastAsia="Arial" w:hAnsi="Arial" w:cs="Arial"/>
                <w:color w:val="000000"/>
                <w:sz w:val="16"/>
              </w:rPr>
              <w:t>Programme</w:t>
            </w:r>
          </w:p>
        </w:tc>
        <w:tc>
          <w:tcPr>
            <w:tcW w:w="1005" w:type="dxa"/>
            <w:tcBorders>
              <w:top w:val="single" w:sz="6" w:space="0" w:color="000000"/>
              <w:left w:val="nil"/>
              <w:bottom w:val="nil"/>
              <w:right w:val="nil"/>
              <w:tl2br w:val="nil"/>
              <w:tr2bl w:val="nil"/>
            </w:tcBorders>
            <w:shd w:val="clear" w:color="auto" w:fill="FFFF00"/>
            <w:tcMar>
              <w:left w:w="115" w:type="dxa"/>
              <w:right w:w="115" w:type="dxa"/>
            </w:tcMar>
            <w:vAlign w:val="bottom"/>
          </w:tcPr>
          <w:p w14:paraId="3051DA4A" w14:textId="77777777" w:rsidR="003F0EEA" w:rsidRPr="00250775" w:rsidRDefault="00FB7D0B">
            <w:pPr>
              <w:jc w:val="right"/>
              <w:rPr>
                <w:rFonts w:ascii="Arial" w:eastAsia="Arial" w:hAnsi="Arial" w:cs="Arial"/>
                <w:color w:val="000000"/>
                <w:sz w:val="16"/>
              </w:rPr>
            </w:pPr>
            <w:r w:rsidRPr="00250775">
              <w:rPr>
                <w:rFonts w:ascii="Arial" w:eastAsia="Arial" w:hAnsi="Arial" w:cs="Arial"/>
                <w:color w:val="000000"/>
                <w:sz w:val="16"/>
              </w:rPr>
              <w:t>2013-14</w:t>
            </w:r>
          </w:p>
        </w:tc>
        <w:tc>
          <w:tcPr>
            <w:tcW w:w="1005"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4F300D4B" w14:textId="77777777" w:rsidR="003F0EEA" w:rsidRPr="00250775" w:rsidRDefault="00FB7D0B">
            <w:pPr>
              <w:jc w:val="right"/>
              <w:rPr>
                <w:rFonts w:ascii="Arial" w:eastAsia="Arial" w:hAnsi="Arial" w:cs="Arial"/>
                <w:color w:val="000000"/>
                <w:sz w:val="16"/>
              </w:rPr>
            </w:pPr>
            <w:r w:rsidRPr="00250775">
              <w:rPr>
                <w:rFonts w:ascii="Arial" w:eastAsia="Arial" w:hAnsi="Arial" w:cs="Arial"/>
                <w:color w:val="000000"/>
                <w:sz w:val="16"/>
              </w:rPr>
              <w:t>2014-15</w:t>
            </w:r>
          </w:p>
        </w:tc>
        <w:tc>
          <w:tcPr>
            <w:tcW w:w="1005" w:type="dxa"/>
            <w:tcBorders>
              <w:top w:val="single" w:sz="6" w:space="0" w:color="000000"/>
              <w:left w:val="nil"/>
              <w:bottom w:val="nil"/>
              <w:right w:val="nil"/>
              <w:tl2br w:val="nil"/>
              <w:tr2bl w:val="nil"/>
            </w:tcBorders>
            <w:shd w:val="clear" w:color="auto" w:fill="FFFF00"/>
            <w:tcMar>
              <w:left w:w="115" w:type="dxa"/>
              <w:right w:w="115" w:type="dxa"/>
            </w:tcMar>
            <w:vAlign w:val="bottom"/>
          </w:tcPr>
          <w:p w14:paraId="017AC9DF" w14:textId="77777777" w:rsidR="003F0EEA" w:rsidRPr="00250775" w:rsidRDefault="00FB7D0B">
            <w:pPr>
              <w:jc w:val="right"/>
              <w:rPr>
                <w:rFonts w:ascii="Arial" w:eastAsia="Arial" w:hAnsi="Arial" w:cs="Arial"/>
                <w:color w:val="000000"/>
                <w:sz w:val="16"/>
              </w:rPr>
            </w:pPr>
            <w:r w:rsidRPr="00250775">
              <w:rPr>
                <w:rFonts w:ascii="Arial" w:eastAsia="Arial" w:hAnsi="Arial" w:cs="Arial"/>
                <w:color w:val="000000"/>
                <w:sz w:val="16"/>
              </w:rPr>
              <w:t>2015-16</w:t>
            </w:r>
          </w:p>
        </w:tc>
        <w:tc>
          <w:tcPr>
            <w:tcW w:w="1005"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5E9F1866" w14:textId="77777777" w:rsidR="003F0EEA" w:rsidRPr="00250775" w:rsidRDefault="00FB7D0B">
            <w:pPr>
              <w:jc w:val="right"/>
              <w:rPr>
                <w:rFonts w:ascii="Arial" w:eastAsia="Arial" w:hAnsi="Arial" w:cs="Arial"/>
                <w:color w:val="000000"/>
                <w:sz w:val="16"/>
              </w:rPr>
            </w:pPr>
            <w:r w:rsidRPr="00250775">
              <w:rPr>
                <w:rFonts w:ascii="Arial" w:eastAsia="Arial" w:hAnsi="Arial" w:cs="Arial"/>
                <w:color w:val="000000"/>
                <w:sz w:val="16"/>
              </w:rPr>
              <w:t>2016-17</w:t>
            </w:r>
          </w:p>
        </w:tc>
        <w:tc>
          <w:tcPr>
            <w:tcW w:w="1005" w:type="dxa"/>
            <w:tcBorders>
              <w:top w:val="single" w:sz="6" w:space="0" w:color="000000"/>
              <w:left w:val="nil"/>
              <w:bottom w:val="nil"/>
              <w:right w:val="nil"/>
              <w:tl2br w:val="nil"/>
              <w:tr2bl w:val="nil"/>
            </w:tcBorders>
            <w:shd w:val="clear" w:color="auto" w:fill="FFFF00"/>
            <w:tcMar>
              <w:left w:w="115" w:type="dxa"/>
              <w:right w:w="115" w:type="dxa"/>
            </w:tcMar>
            <w:vAlign w:val="bottom"/>
          </w:tcPr>
          <w:p w14:paraId="1877D73A" w14:textId="77777777" w:rsidR="003F0EEA" w:rsidRPr="00250775" w:rsidRDefault="00FB7D0B">
            <w:pPr>
              <w:jc w:val="right"/>
              <w:rPr>
                <w:rFonts w:ascii="Arial" w:eastAsia="Arial" w:hAnsi="Arial" w:cs="Arial"/>
                <w:color w:val="000000"/>
                <w:sz w:val="16"/>
              </w:rPr>
            </w:pPr>
            <w:r w:rsidRPr="00250775">
              <w:rPr>
                <w:rFonts w:ascii="Arial" w:eastAsia="Arial" w:hAnsi="Arial" w:cs="Arial"/>
                <w:color w:val="000000"/>
                <w:sz w:val="16"/>
              </w:rPr>
              <w:t>2017-18</w:t>
            </w:r>
          </w:p>
        </w:tc>
      </w:tr>
      <w:tr w:rsidR="00724034" w14:paraId="43149D59" w14:textId="77777777">
        <w:trPr>
          <w:trHeight w:val="225"/>
        </w:trPr>
        <w:tc>
          <w:tcPr>
            <w:tcW w:w="180" w:type="dxa"/>
            <w:tcBorders>
              <w:top w:val="nil"/>
              <w:left w:val="nil"/>
              <w:bottom w:val="nil"/>
              <w:right w:val="nil"/>
              <w:tl2br w:val="nil"/>
              <w:tr2bl w:val="nil"/>
            </w:tcBorders>
            <w:shd w:val="clear" w:color="auto" w:fill="FFFFFF"/>
            <w:tcMar>
              <w:left w:w="115" w:type="dxa"/>
              <w:right w:w="115" w:type="dxa"/>
            </w:tcMar>
            <w:vAlign w:val="bottom"/>
          </w:tcPr>
          <w:p w14:paraId="38A3033F" w14:textId="77777777" w:rsidR="003F0EEA" w:rsidRPr="00250775" w:rsidRDefault="003F0EEA">
            <w:pPr>
              <w:rPr>
                <w:rFonts w:ascii="Arial" w:eastAsia="Arial" w:hAnsi="Arial" w:cs="Arial"/>
                <w:color w:val="000000"/>
                <w:sz w:val="16"/>
              </w:rPr>
            </w:pPr>
          </w:p>
        </w:tc>
        <w:tc>
          <w:tcPr>
            <w:tcW w:w="2280" w:type="dxa"/>
            <w:tcBorders>
              <w:top w:val="nil"/>
              <w:left w:val="nil"/>
              <w:bottom w:val="nil"/>
              <w:right w:val="nil"/>
              <w:tl2br w:val="nil"/>
              <w:tr2bl w:val="nil"/>
            </w:tcBorders>
            <w:shd w:val="clear" w:color="auto" w:fill="FFFFFF"/>
            <w:tcMar>
              <w:left w:w="115" w:type="dxa"/>
              <w:right w:w="115" w:type="dxa"/>
            </w:tcMar>
            <w:vAlign w:val="bottom"/>
          </w:tcPr>
          <w:p w14:paraId="60C05968" w14:textId="77777777" w:rsidR="003F0EEA" w:rsidRPr="00250775" w:rsidRDefault="003F0EEA">
            <w:pPr>
              <w:rPr>
                <w:rFonts w:ascii="Arial" w:eastAsia="Arial" w:hAnsi="Arial" w:cs="Arial"/>
                <w:color w:val="000000"/>
                <w:sz w:val="16"/>
              </w:rPr>
            </w:pPr>
          </w:p>
        </w:tc>
        <w:tc>
          <w:tcPr>
            <w:tcW w:w="915" w:type="dxa"/>
            <w:tcBorders>
              <w:top w:val="nil"/>
              <w:left w:val="nil"/>
              <w:bottom w:val="nil"/>
              <w:right w:val="nil"/>
              <w:tl2br w:val="nil"/>
              <w:tr2bl w:val="nil"/>
            </w:tcBorders>
            <w:shd w:val="clear" w:color="auto" w:fill="FFFFFF"/>
            <w:tcMar>
              <w:left w:w="115" w:type="dxa"/>
              <w:right w:w="115" w:type="dxa"/>
            </w:tcMar>
            <w:vAlign w:val="bottom"/>
          </w:tcPr>
          <w:p w14:paraId="4E32DC99" w14:textId="77777777" w:rsidR="003F0EEA" w:rsidRPr="00250775" w:rsidRDefault="003F0EEA">
            <w:pPr>
              <w:rPr>
                <w:rFonts w:ascii="Arial" w:eastAsia="Arial" w:hAnsi="Arial" w:cs="Arial"/>
                <w:color w:val="000000"/>
                <w:sz w:val="16"/>
                <w:vertAlign w:val="superscript"/>
              </w:rPr>
            </w:pPr>
          </w:p>
        </w:tc>
        <w:tc>
          <w:tcPr>
            <w:tcW w:w="1005" w:type="dxa"/>
            <w:tcBorders>
              <w:top w:val="nil"/>
              <w:left w:val="nil"/>
              <w:bottom w:val="single" w:sz="6" w:space="0" w:color="000000"/>
              <w:right w:val="nil"/>
              <w:tl2br w:val="nil"/>
              <w:tr2bl w:val="nil"/>
            </w:tcBorders>
            <w:shd w:val="clear" w:color="auto" w:fill="FFFF00"/>
            <w:tcMar>
              <w:left w:w="115" w:type="dxa"/>
              <w:right w:w="115" w:type="dxa"/>
            </w:tcMar>
            <w:vAlign w:val="bottom"/>
          </w:tcPr>
          <w:p w14:paraId="1045B00D" w14:textId="77777777" w:rsidR="003F0EEA" w:rsidRPr="00250775" w:rsidRDefault="00FB7D0B">
            <w:pPr>
              <w:jc w:val="right"/>
              <w:rPr>
                <w:rFonts w:ascii="Arial" w:eastAsia="Arial" w:hAnsi="Arial" w:cs="Arial"/>
                <w:color w:val="000000"/>
                <w:sz w:val="16"/>
                <w:vertAlign w:val="superscript"/>
              </w:rPr>
            </w:pPr>
            <w:r w:rsidRPr="00250775">
              <w:rPr>
                <w:rFonts w:ascii="Arial" w:eastAsia="Arial" w:hAnsi="Arial" w:cs="Arial"/>
                <w:color w:val="000000"/>
                <w:sz w:val="16"/>
              </w:rPr>
              <w:t>$'000</w:t>
            </w:r>
          </w:p>
        </w:tc>
        <w:tc>
          <w:tcPr>
            <w:tcW w:w="1005"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5C7FADB9" w14:textId="77777777" w:rsidR="003F0EEA" w:rsidRPr="00250775" w:rsidRDefault="00FB7D0B">
            <w:pPr>
              <w:jc w:val="right"/>
              <w:rPr>
                <w:rFonts w:ascii="Arial" w:eastAsia="Arial" w:hAnsi="Arial" w:cs="Arial"/>
                <w:color w:val="000000"/>
                <w:sz w:val="16"/>
              </w:rPr>
            </w:pPr>
            <w:r w:rsidRPr="00250775">
              <w:rPr>
                <w:rFonts w:ascii="Arial" w:eastAsia="Arial" w:hAnsi="Arial" w:cs="Arial"/>
                <w:color w:val="000000"/>
                <w:sz w:val="16"/>
              </w:rPr>
              <w:t>$'000</w:t>
            </w:r>
          </w:p>
        </w:tc>
        <w:tc>
          <w:tcPr>
            <w:tcW w:w="1005" w:type="dxa"/>
            <w:tcBorders>
              <w:top w:val="nil"/>
              <w:left w:val="nil"/>
              <w:bottom w:val="single" w:sz="6" w:space="0" w:color="000000"/>
              <w:right w:val="nil"/>
              <w:tl2br w:val="nil"/>
              <w:tr2bl w:val="nil"/>
            </w:tcBorders>
            <w:shd w:val="clear" w:color="auto" w:fill="FFFF00"/>
            <w:tcMar>
              <w:left w:w="115" w:type="dxa"/>
              <w:right w:w="115" w:type="dxa"/>
            </w:tcMar>
            <w:vAlign w:val="bottom"/>
          </w:tcPr>
          <w:p w14:paraId="29388B98" w14:textId="77777777" w:rsidR="003F0EEA" w:rsidRPr="00250775" w:rsidRDefault="00FB7D0B">
            <w:pPr>
              <w:jc w:val="right"/>
              <w:rPr>
                <w:rFonts w:ascii="Arial" w:eastAsia="Arial" w:hAnsi="Arial" w:cs="Arial"/>
                <w:color w:val="000000"/>
                <w:sz w:val="16"/>
              </w:rPr>
            </w:pPr>
            <w:r w:rsidRPr="00250775">
              <w:rPr>
                <w:rFonts w:ascii="Arial" w:eastAsia="Arial" w:hAnsi="Arial" w:cs="Arial"/>
                <w:color w:val="000000"/>
                <w:sz w:val="16"/>
              </w:rPr>
              <w:t>$'000</w:t>
            </w:r>
          </w:p>
        </w:tc>
        <w:tc>
          <w:tcPr>
            <w:tcW w:w="1005"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79500395" w14:textId="77777777" w:rsidR="003F0EEA" w:rsidRPr="00250775" w:rsidRDefault="00FB7D0B">
            <w:pPr>
              <w:jc w:val="right"/>
              <w:rPr>
                <w:rFonts w:ascii="Arial" w:eastAsia="Arial" w:hAnsi="Arial" w:cs="Arial"/>
                <w:color w:val="000000"/>
                <w:sz w:val="16"/>
              </w:rPr>
            </w:pPr>
            <w:r w:rsidRPr="00250775">
              <w:rPr>
                <w:rFonts w:ascii="Arial" w:eastAsia="Arial" w:hAnsi="Arial" w:cs="Arial"/>
                <w:color w:val="000000"/>
                <w:sz w:val="16"/>
              </w:rPr>
              <w:t>$'000</w:t>
            </w:r>
          </w:p>
        </w:tc>
        <w:tc>
          <w:tcPr>
            <w:tcW w:w="1005" w:type="dxa"/>
            <w:tcBorders>
              <w:top w:val="nil"/>
              <w:left w:val="nil"/>
              <w:bottom w:val="single" w:sz="6" w:space="0" w:color="000000"/>
              <w:right w:val="nil"/>
              <w:tl2br w:val="nil"/>
              <w:tr2bl w:val="nil"/>
            </w:tcBorders>
            <w:shd w:val="clear" w:color="auto" w:fill="FFFF00"/>
            <w:tcMar>
              <w:left w:w="115" w:type="dxa"/>
              <w:right w:w="115" w:type="dxa"/>
            </w:tcMar>
            <w:vAlign w:val="bottom"/>
          </w:tcPr>
          <w:p w14:paraId="0DA66245" w14:textId="77777777" w:rsidR="003F0EEA" w:rsidRPr="00250775" w:rsidRDefault="00FB7D0B">
            <w:pPr>
              <w:jc w:val="right"/>
              <w:rPr>
                <w:rFonts w:ascii="Arial" w:eastAsia="Arial" w:hAnsi="Arial" w:cs="Arial"/>
                <w:color w:val="000000"/>
                <w:sz w:val="16"/>
              </w:rPr>
            </w:pPr>
            <w:r w:rsidRPr="00250775">
              <w:rPr>
                <w:rFonts w:ascii="Arial" w:eastAsia="Arial" w:hAnsi="Arial" w:cs="Arial"/>
                <w:color w:val="000000"/>
                <w:sz w:val="16"/>
              </w:rPr>
              <w:t>$'000</w:t>
            </w:r>
          </w:p>
        </w:tc>
      </w:tr>
      <w:tr w:rsidR="00FB7D0B" w14:paraId="6F585B40" w14:textId="77777777" w:rsidTr="00FB7D0B">
        <w:trPr>
          <w:trHeight w:val="690"/>
        </w:trPr>
        <w:tc>
          <w:tcPr>
            <w:tcW w:w="2460" w:type="dxa"/>
            <w:gridSpan w:val="2"/>
            <w:tcBorders>
              <w:top w:val="nil"/>
              <w:left w:val="nil"/>
              <w:bottom w:val="nil"/>
              <w:right w:val="nil"/>
              <w:tl2br w:val="nil"/>
              <w:tr2bl w:val="nil"/>
            </w:tcBorders>
            <w:shd w:val="clear" w:color="auto" w:fill="FFFFFF"/>
            <w:tcMar>
              <w:left w:w="115" w:type="dxa"/>
              <w:right w:w="115" w:type="dxa"/>
            </w:tcMar>
            <w:vAlign w:val="bottom"/>
          </w:tcPr>
          <w:p w14:paraId="08E54696" w14:textId="77777777" w:rsidR="003F0EEA" w:rsidRPr="00250775" w:rsidRDefault="00FB7D0B">
            <w:pPr>
              <w:rPr>
                <w:rFonts w:ascii="Arial" w:eastAsia="Arial" w:hAnsi="Arial" w:cs="Arial"/>
                <w:color w:val="000000"/>
                <w:sz w:val="16"/>
              </w:rPr>
            </w:pPr>
            <w:r w:rsidRPr="00250775">
              <w:rPr>
                <w:rFonts w:ascii="Arial" w:eastAsia="Arial" w:hAnsi="Arial" w:cs="Arial"/>
                <w:color w:val="000000"/>
                <w:sz w:val="16"/>
              </w:rPr>
              <w:t>Efficiency Dividend - a further temporary increase of 0.25 per cent</w:t>
            </w:r>
          </w:p>
        </w:tc>
        <w:tc>
          <w:tcPr>
            <w:tcW w:w="915" w:type="dxa"/>
            <w:tcBorders>
              <w:top w:val="nil"/>
              <w:left w:val="nil"/>
              <w:bottom w:val="nil"/>
              <w:right w:val="nil"/>
              <w:tl2br w:val="nil"/>
              <w:tr2bl w:val="nil"/>
            </w:tcBorders>
            <w:shd w:val="clear" w:color="auto" w:fill="FFFFFF"/>
            <w:tcMar>
              <w:left w:w="115" w:type="dxa"/>
              <w:right w:w="115" w:type="dxa"/>
            </w:tcMar>
            <w:vAlign w:val="bottom"/>
          </w:tcPr>
          <w:p w14:paraId="5ED1A781" w14:textId="77777777" w:rsidR="003F0EEA" w:rsidRPr="00250775" w:rsidRDefault="00FB7D0B">
            <w:pPr>
              <w:jc w:val="center"/>
              <w:rPr>
                <w:rFonts w:ascii="Arial" w:eastAsia="Arial" w:hAnsi="Arial" w:cs="Arial"/>
                <w:b/>
                <w:color w:val="000000"/>
                <w:sz w:val="16"/>
                <w:vertAlign w:val="superscript"/>
              </w:rPr>
            </w:pPr>
            <w:r w:rsidRPr="00250775">
              <w:rPr>
                <w:rFonts w:ascii="Arial" w:eastAsia="Arial" w:hAnsi="Arial" w:cs="Arial"/>
                <w:color w:val="000000"/>
                <w:sz w:val="16"/>
              </w:rPr>
              <w:t>All</w:t>
            </w:r>
          </w:p>
        </w:tc>
        <w:tc>
          <w:tcPr>
            <w:tcW w:w="1005" w:type="dxa"/>
            <w:tcBorders>
              <w:top w:val="single" w:sz="6" w:space="0" w:color="000000"/>
              <w:left w:val="nil"/>
              <w:bottom w:val="nil"/>
              <w:right w:val="nil"/>
              <w:tl2br w:val="nil"/>
              <w:tr2bl w:val="nil"/>
            </w:tcBorders>
            <w:shd w:val="clear" w:color="auto" w:fill="FFFF00"/>
            <w:tcMar>
              <w:left w:w="115" w:type="dxa"/>
              <w:right w:w="115" w:type="dxa"/>
            </w:tcMar>
            <w:vAlign w:val="bottom"/>
          </w:tcPr>
          <w:p w14:paraId="2C13F6DA" w14:textId="77777777" w:rsidR="003F0EEA" w:rsidRPr="00250775" w:rsidRDefault="003F0EEA">
            <w:pPr>
              <w:jc w:val="right"/>
              <w:rPr>
                <w:rFonts w:ascii="Arial" w:eastAsia="Arial" w:hAnsi="Arial" w:cs="Arial"/>
                <w:color w:val="000000"/>
                <w:sz w:val="16"/>
              </w:rPr>
            </w:pPr>
          </w:p>
        </w:tc>
        <w:tc>
          <w:tcPr>
            <w:tcW w:w="1005"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14F1CDC2" w14:textId="77777777" w:rsidR="003F0EEA" w:rsidRPr="00250775" w:rsidRDefault="003F0EEA">
            <w:pPr>
              <w:jc w:val="right"/>
              <w:rPr>
                <w:rFonts w:ascii="Arial" w:eastAsia="Arial" w:hAnsi="Arial" w:cs="Arial"/>
                <w:b/>
                <w:color w:val="000000"/>
                <w:sz w:val="16"/>
              </w:rPr>
            </w:pPr>
          </w:p>
        </w:tc>
        <w:tc>
          <w:tcPr>
            <w:tcW w:w="1005" w:type="dxa"/>
            <w:tcBorders>
              <w:top w:val="single" w:sz="6" w:space="0" w:color="000000"/>
              <w:left w:val="nil"/>
              <w:bottom w:val="nil"/>
              <w:right w:val="nil"/>
              <w:tl2br w:val="nil"/>
              <w:tr2bl w:val="nil"/>
            </w:tcBorders>
            <w:shd w:val="clear" w:color="auto" w:fill="FFFF00"/>
            <w:tcMar>
              <w:left w:w="115" w:type="dxa"/>
              <w:right w:w="115" w:type="dxa"/>
            </w:tcMar>
            <w:vAlign w:val="bottom"/>
          </w:tcPr>
          <w:p w14:paraId="1B6F46AC" w14:textId="77777777" w:rsidR="003F0EEA" w:rsidRPr="00250775" w:rsidRDefault="003F0EEA">
            <w:pPr>
              <w:jc w:val="right"/>
              <w:rPr>
                <w:rFonts w:ascii="Arial" w:eastAsia="Arial" w:hAnsi="Arial" w:cs="Arial"/>
                <w:b/>
                <w:color w:val="000000"/>
                <w:sz w:val="16"/>
              </w:rPr>
            </w:pPr>
          </w:p>
        </w:tc>
        <w:tc>
          <w:tcPr>
            <w:tcW w:w="1005"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16F6FAFF" w14:textId="77777777" w:rsidR="003F0EEA" w:rsidRPr="00250775" w:rsidRDefault="003F0EEA">
            <w:pPr>
              <w:jc w:val="right"/>
              <w:rPr>
                <w:rFonts w:ascii="Arial" w:eastAsia="Arial" w:hAnsi="Arial" w:cs="Arial"/>
                <w:b/>
                <w:color w:val="000000"/>
                <w:sz w:val="16"/>
              </w:rPr>
            </w:pPr>
          </w:p>
        </w:tc>
        <w:tc>
          <w:tcPr>
            <w:tcW w:w="1005" w:type="dxa"/>
            <w:tcBorders>
              <w:top w:val="single" w:sz="6" w:space="0" w:color="000000"/>
              <w:left w:val="nil"/>
              <w:bottom w:val="nil"/>
              <w:right w:val="nil"/>
              <w:tl2br w:val="nil"/>
              <w:tr2bl w:val="nil"/>
            </w:tcBorders>
            <w:shd w:val="clear" w:color="auto" w:fill="FFFF00"/>
            <w:tcMar>
              <w:left w:w="115" w:type="dxa"/>
              <w:right w:w="115" w:type="dxa"/>
            </w:tcMar>
            <w:vAlign w:val="bottom"/>
          </w:tcPr>
          <w:p w14:paraId="1C07B931" w14:textId="77777777" w:rsidR="003F0EEA" w:rsidRPr="00250775" w:rsidRDefault="003F0EEA">
            <w:pPr>
              <w:jc w:val="right"/>
              <w:rPr>
                <w:rFonts w:ascii="Arial" w:eastAsia="Arial" w:hAnsi="Arial" w:cs="Arial"/>
                <w:b/>
                <w:color w:val="000000"/>
                <w:sz w:val="16"/>
              </w:rPr>
            </w:pPr>
          </w:p>
        </w:tc>
      </w:tr>
      <w:tr w:rsidR="00724034" w14:paraId="3CE3C457" w14:textId="77777777">
        <w:trPr>
          <w:trHeight w:val="225"/>
        </w:trPr>
        <w:tc>
          <w:tcPr>
            <w:tcW w:w="180" w:type="dxa"/>
            <w:tcBorders>
              <w:top w:val="nil"/>
              <w:left w:val="nil"/>
              <w:bottom w:val="nil"/>
              <w:right w:val="nil"/>
              <w:tl2br w:val="nil"/>
              <w:tr2bl w:val="nil"/>
            </w:tcBorders>
            <w:shd w:val="clear" w:color="auto" w:fill="FFFFFF"/>
            <w:tcMar>
              <w:left w:w="115" w:type="dxa"/>
              <w:right w:w="115" w:type="dxa"/>
            </w:tcMar>
            <w:vAlign w:val="bottom"/>
          </w:tcPr>
          <w:p w14:paraId="2BB186E9" w14:textId="77777777" w:rsidR="003F0EEA" w:rsidRPr="00250775" w:rsidRDefault="003F0EEA">
            <w:pPr>
              <w:rPr>
                <w:rFonts w:ascii="Arial" w:eastAsia="Arial" w:hAnsi="Arial" w:cs="Arial"/>
                <w:b/>
                <w:color w:val="000000"/>
                <w:sz w:val="16"/>
              </w:rPr>
            </w:pPr>
          </w:p>
        </w:tc>
        <w:tc>
          <w:tcPr>
            <w:tcW w:w="2280" w:type="dxa"/>
            <w:tcBorders>
              <w:top w:val="nil"/>
              <w:left w:val="nil"/>
              <w:bottom w:val="nil"/>
              <w:right w:val="nil"/>
              <w:tl2br w:val="nil"/>
              <w:tr2bl w:val="nil"/>
            </w:tcBorders>
            <w:shd w:val="clear" w:color="auto" w:fill="FFFFFF"/>
            <w:tcMar>
              <w:left w:w="115" w:type="dxa"/>
              <w:right w:w="115" w:type="dxa"/>
            </w:tcMar>
            <w:vAlign w:val="bottom"/>
          </w:tcPr>
          <w:p w14:paraId="54915868" w14:textId="77777777" w:rsidR="003F0EEA" w:rsidRPr="00250775" w:rsidRDefault="00FB7D0B">
            <w:pPr>
              <w:rPr>
                <w:rFonts w:ascii="Arial" w:eastAsia="Arial" w:hAnsi="Arial" w:cs="Arial"/>
                <w:color w:val="000000"/>
                <w:sz w:val="16"/>
              </w:rPr>
            </w:pPr>
            <w:r w:rsidRPr="00250775">
              <w:rPr>
                <w:rFonts w:ascii="Arial" w:eastAsia="Arial" w:hAnsi="Arial" w:cs="Arial"/>
                <w:color w:val="000000"/>
                <w:sz w:val="16"/>
              </w:rPr>
              <w:t>Administered expenses</w:t>
            </w:r>
          </w:p>
        </w:tc>
        <w:tc>
          <w:tcPr>
            <w:tcW w:w="915" w:type="dxa"/>
            <w:tcBorders>
              <w:top w:val="nil"/>
              <w:left w:val="nil"/>
              <w:bottom w:val="nil"/>
              <w:right w:val="nil"/>
              <w:tl2br w:val="nil"/>
              <w:tr2bl w:val="nil"/>
            </w:tcBorders>
            <w:shd w:val="clear" w:color="auto" w:fill="FFFFFF"/>
            <w:tcMar>
              <w:left w:w="115" w:type="dxa"/>
              <w:right w:w="115" w:type="dxa"/>
            </w:tcMar>
            <w:vAlign w:val="bottom"/>
          </w:tcPr>
          <w:p w14:paraId="66F97DB9" w14:textId="77777777" w:rsidR="003F0EEA" w:rsidRPr="00250775" w:rsidRDefault="003F0EEA">
            <w:pPr>
              <w:jc w:val="center"/>
              <w:rPr>
                <w:rFonts w:ascii="Arial" w:eastAsia="Arial" w:hAnsi="Arial" w:cs="Arial"/>
                <w:color w:val="000000"/>
                <w:sz w:val="16"/>
                <w:vertAlign w:val="superscript"/>
              </w:rPr>
            </w:pPr>
          </w:p>
        </w:tc>
        <w:tc>
          <w:tcPr>
            <w:tcW w:w="1005" w:type="dxa"/>
            <w:tcBorders>
              <w:top w:val="nil"/>
              <w:left w:val="nil"/>
              <w:bottom w:val="nil"/>
              <w:right w:val="nil"/>
              <w:tl2br w:val="nil"/>
              <w:tr2bl w:val="nil"/>
            </w:tcBorders>
            <w:shd w:val="clear" w:color="auto" w:fill="FFFF00"/>
            <w:tcMar>
              <w:left w:w="115" w:type="dxa"/>
              <w:right w:w="115" w:type="dxa"/>
            </w:tcMar>
            <w:vAlign w:val="bottom"/>
          </w:tcPr>
          <w:p w14:paraId="0C590A49" w14:textId="77777777" w:rsidR="003F0EEA" w:rsidRPr="00250775" w:rsidRDefault="00FB7D0B">
            <w:pPr>
              <w:jc w:val="right"/>
              <w:rPr>
                <w:rFonts w:ascii="Arial" w:eastAsia="Arial" w:hAnsi="Arial" w:cs="Arial"/>
                <w:color w:val="000000"/>
                <w:sz w:val="16"/>
                <w:vertAlign w:val="superscript"/>
              </w:rPr>
            </w:pPr>
            <w:r w:rsidRPr="00250775">
              <w:rPr>
                <w:rFonts w:ascii="Arial" w:eastAsia="Arial" w:hAnsi="Arial" w:cs="Arial"/>
                <w:color w:val="000000"/>
                <w:sz w:val="16"/>
              </w:rPr>
              <w:t xml:space="preserve"> - </w:t>
            </w:r>
          </w:p>
        </w:tc>
        <w:tc>
          <w:tcPr>
            <w:tcW w:w="1005" w:type="dxa"/>
            <w:tcBorders>
              <w:top w:val="nil"/>
              <w:left w:val="nil"/>
              <w:bottom w:val="nil"/>
              <w:right w:val="nil"/>
              <w:tl2br w:val="nil"/>
              <w:tr2bl w:val="nil"/>
            </w:tcBorders>
            <w:shd w:val="clear" w:color="auto" w:fill="FFFFFF"/>
            <w:tcMar>
              <w:left w:w="115" w:type="dxa"/>
              <w:right w:w="115" w:type="dxa"/>
            </w:tcMar>
            <w:vAlign w:val="bottom"/>
          </w:tcPr>
          <w:p w14:paraId="4EEC5175" w14:textId="77777777" w:rsidR="003F0EEA" w:rsidRPr="00250775" w:rsidRDefault="00FB7D0B">
            <w:pPr>
              <w:jc w:val="right"/>
              <w:rPr>
                <w:rFonts w:ascii="Arial" w:eastAsia="Arial" w:hAnsi="Arial" w:cs="Arial"/>
                <w:color w:val="000000"/>
                <w:sz w:val="16"/>
              </w:rPr>
            </w:pPr>
            <w:r w:rsidRPr="00250775">
              <w:rPr>
                <w:rFonts w:ascii="Arial" w:eastAsia="Arial" w:hAnsi="Arial" w:cs="Arial"/>
                <w:color w:val="000000"/>
                <w:sz w:val="16"/>
              </w:rPr>
              <w:t xml:space="preserve"> - </w:t>
            </w:r>
          </w:p>
        </w:tc>
        <w:tc>
          <w:tcPr>
            <w:tcW w:w="1005" w:type="dxa"/>
            <w:tcBorders>
              <w:top w:val="nil"/>
              <w:left w:val="nil"/>
              <w:bottom w:val="nil"/>
              <w:right w:val="nil"/>
              <w:tl2br w:val="nil"/>
              <w:tr2bl w:val="nil"/>
            </w:tcBorders>
            <w:shd w:val="clear" w:color="auto" w:fill="FFFF00"/>
            <w:tcMar>
              <w:left w:w="115" w:type="dxa"/>
              <w:right w:w="115" w:type="dxa"/>
            </w:tcMar>
            <w:vAlign w:val="bottom"/>
          </w:tcPr>
          <w:p w14:paraId="5AFDE585" w14:textId="77777777" w:rsidR="003F0EEA" w:rsidRPr="00250775" w:rsidRDefault="00FB7D0B">
            <w:pPr>
              <w:jc w:val="right"/>
              <w:rPr>
                <w:rFonts w:ascii="Arial" w:eastAsia="Arial" w:hAnsi="Arial" w:cs="Arial"/>
                <w:color w:val="000000"/>
                <w:sz w:val="16"/>
              </w:rPr>
            </w:pPr>
            <w:r w:rsidRPr="00250775">
              <w:rPr>
                <w:rFonts w:ascii="Arial" w:eastAsia="Arial" w:hAnsi="Arial" w:cs="Arial"/>
                <w:color w:val="000000"/>
                <w:sz w:val="16"/>
              </w:rPr>
              <w:t xml:space="preserve"> - </w:t>
            </w:r>
          </w:p>
        </w:tc>
        <w:tc>
          <w:tcPr>
            <w:tcW w:w="1005" w:type="dxa"/>
            <w:tcBorders>
              <w:top w:val="nil"/>
              <w:left w:val="nil"/>
              <w:bottom w:val="nil"/>
              <w:right w:val="nil"/>
              <w:tl2br w:val="nil"/>
              <w:tr2bl w:val="nil"/>
            </w:tcBorders>
            <w:shd w:val="clear" w:color="auto" w:fill="FFFFFF"/>
            <w:tcMar>
              <w:left w:w="115" w:type="dxa"/>
              <w:right w:w="115" w:type="dxa"/>
            </w:tcMar>
            <w:vAlign w:val="bottom"/>
          </w:tcPr>
          <w:p w14:paraId="595B0E5C" w14:textId="77777777" w:rsidR="003F0EEA" w:rsidRPr="00250775" w:rsidRDefault="00FB7D0B">
            <w:pPr>
              <w:jc w:val="right"/>
              <w:rPr>
                <w:rFonts w:ascii="Arial" w:eastAsia="Arial" w:hAnsi="Arial" w:cs="Arial"/>
                <w:color w:val="000000"/>
                <w:sz w:val="16"/>
              </w:rPr>
            </w:pPr>
            <w:r w:rsidRPr="00250775">
              <w:rPr>
                <w:rFonts w:ascii="Arial" w:eastAsia="Arial" w:hAnsi="Arial" w:cs="Arial"/>
                <w:color w:val="000000"/>
                <w:sz w:val="16"/>
              </w:rPr>
              <w:t xml:space="preserve"> - </w:t>
            </w:r>
          </w:p>
        </w:tc>
        <w:tc>
          <w:tcPr>
            <w:tcW w:w="1005" w:type="dxa"/>
            <w:tcBorders>
              <w:top w:val="nil"/>
              <w:left w:val="nil"/>
              <w:bottom w:val="nil"/>
              <w:right w:val="nil"/>
              <w:tl2br w:val="nil"/>
              <w:tr2bl w:val="nil"/>
            </w:tcBorders>
            <w:shd w:val="clear" w:color="auto" w:fill="FFFF00"/>
            <w:tcMar>
              <w:left w:w="115" w:type="dxa"/>
              <w:right w:w="115" w:type="dxa"/>
            </w:tcMar>
            <w:vAlign w:val="bottom"/>
          </w:tcPr>
          <w:p w14:paraId="1542C09B" w14:textId="77777777" w:rsidR="003F0EEA" w:rsidRPr="00250775" w:rsidRDefault="00FB7D0B">
            <w:pPr>
              <w:jc w:val="right"/>
              <w:rPr>
                <w:rFonts w:ascii="Arial" w:eastAsia="Arial" w:hAnsi="Arial" w:cs="Arial"/>
                <w:color w:val="000000"/>
                <w:sz w:val="16"/>
              </w:rPr>
            </w:pPr>
            <w:r w:rsidRPr="00250775">
              <w:rPr>
                <w:rFonts w:ascii="Arial" w:eastAsia="Arial" w:hAnsi="Arial" w:cs="Arial"/>
                <w:color w:val="000000"/>
                <w:sz w:val="16"/>
              </w:rPr>
              <w:t xml:space="preserve"> - </w:t>
            </w:r>
          </w:p>
        </w:tc>
      </w:tr>
      <w:tr w:rsidR="00724034" w14:paraId="20530D32" w14:textId="77777777">
        <w:trPr>
          <w:trHeight w:val="225"/>
        </w:trPr>
        <w:tc>
          <w:tcPr>
            <w:tcW w:w="180" w:type="dxa"/>
            <w:tcBorders>
              <w:top w:val="nil"/>
              <w:left w:val="nil"/>
              <w:bottom w:val="nil"/>
              <w:right w:val="nil"/>
              <w:tl2br w:val="nil"/>
              <w:tr2bl w:val="nil"/>
            </w:tcBorders>
            <w:shd w:val="clear" w:color="auto" w:fill="FFFFFF"/>
            <w:tcMar>
              <w:left w:w="115" w:type="dxa"/>
              <w:right w:w="115" w:type="dxa"/>
            </w:tcMar>
            <w:vAlign w:val="bottom"/>
          </w:tcPr>
          <w:p w14:paraId="08F002C5" w14:textId="77777777" w:rsidR="003F0EEA" w:rsidRPr="00250775" w:rsidRDefault="003F0EEA">
            <w:pPr>
              <w:rPr>
                <w:rFonts w:ascii="Arial" w:eastAsia="Arial" w:hAnsi="Arial" w:cs="Arial"/>
                <w:color w:val="000000"/>
                <w:sz w:val="16"/>
              </w:rPr>
            </w:pPr>
          </w:p>
        </w:tc>
        <w:tc>
          <w:tcPr>
            <w:tcW w:w="2280" w:type="dxa"/>
            <w:tcBorders>
              <w:top w:val="nil"/>
              <w:left w:val="nil"/>
              <w:bottom w:val="nil"/>
              <w:right w:val="nil"/>
              <w:tl2br w:val="nil"/>
              <w:tr2bl w:val="nil"/>
            </w:tcBorders>
            <w:shd w:val="clear" w:color="auto" w:fill="FFFFFF"/>
            <w:tcMar>
              <w:left w:w="115" w:type="dxa"/>
              <w:right w:w="115" w:type="dxa"/>
            </w:tcMar>
            <w:vAlign w:val="bottom"/>
          </w:tcPr>
          <w:p w14:paraId="7AA6E5C7" w14:textId="77777777" w:rsidR="003F0EEA" w:rsidRPr="00250775" w:rsidRDefault="00FB7D0B">
            <w:pPr>
              <w:rPr>
                <w:rFonts w:ascii="Arial" w:eastAsia="Arial" w:hAnsi="Arial" w:cs="Arial"/>
                <w:color w:val="000000"/>
                <w:sz w:val="16"/>
              </w:rPr>
            </w:pPr>
            <w:r w:rsidRPr="00250775">
              <w:rPr>
                <w:rFonts w:ascii="Arial" w:eastAsia="Arial" w:hAnsi="Arial" w:cs="Arial"/>
                <w:color w:val="000000"/>
                <w:sz w:val="16"/>
              </w:rPr>
              <w:t>Departmental expenses</w:t>
            </w:r>
          </w:p>
        </w:tc>
        <w:tc>
          <w:tcPr>
            <w:tcW w:w="915" w:type="dxa"/>
            <w:tcBorders>
              <w:top w:val="nil"/>
              <w:left w:val="nil"/>
              <w:bottom w:val="nil"/>
              <w:right w:val="nil"/>
              <w:tl2br w:val="nil"/>
              <w:tr2bl w:val="nil"/>
            </w:tcBorders>
            <w:shd w:val="clear" w:color="auto" w:fill="FFFFFF"/>
            <w:tcMar>
              <w:left w:w="115" w:type="dxa"/>
              <w:right w:w="115" w:type="dxa"/>
            </w:tcMar>
            <w:vAlign w:val="bottom"/>
          </w:tcPr>
          <w:p w14:paraId="6FC9F58E" w14:textId="77777777" w:rsidR="003F0EEA" w:rsidRPr="00250775" w:rsidRDefault="003F0EEA">
            <w:pPr>
              <w:jc w:val="center"/>
              <w:rPr>
                <w:rFonts w:ascii="Arial" w:eastAsia="Arial" w:hAnsi="Arial" w:cs="Arial"/>
                <w:b/>
                <w:color w:val="000000"/>
                <w:sz w:val="16"/>
                <w:vertAlign w:val="superscript"/>
              </w:rPr>
            </w:pPr>
          </w:p>
        </w:tc>
        <w:tc>
          <w:tcPr>
            <w:tcW w:w="1005" w:type="dxa"/>
            <w:tcBorders>
              <w:top w:val="nil"/>
              <w:left w:val="nil"/>
              <w:bottom w:val="nil"/>
              <w:right w:val="nil"/>
              <w:tl2br w:val="nil"/>
              <w:tr2bl w:val="nil"/>
            </w:tcBorders>
            <w:shd w:val="clear" w:color="auto" w:fill="FFFF00"/>
            <w:tcMar>
              <w:left w:w="115" w:type="dxa"/>
              <w:right w:w="115" w:type="dxa"/>
            </w:tcMar>
            <w:vAlign w:val="bottom"/>
          </w:tcPr>
          <w:p w14:paraId="31DE48F0" w14:textId="77777777" w:rsidR="003F0EEA" w:rsidRPr="00250775" w:rsidRDefault="00FB7D0B">
            <w:pPr>
              <w:jc w:val="right"/>
              <w:rPr>
                <w:rFonts w:ascii="Arial" w:eastAsia="Arial" w:hAnsi="Arial" w:cs="Arial"/>
                <w:color w:val="000000"/>
                <w:sz w:val="16"/>
                <w:vertAlign w:val="superscript"/>
              </w:rPr>
            </w:pPr>
            <w:r w:rsidRPr="00250775">
              <w:rPr>
                <w:rFonts w:ascii="Arial" w:eastAsia="Arial" w:hAnsi="Arial" w:cs="Arial"/>
                <w:color w:val="000000"/>
                <w:sz w:val="16"/>
              </w:rPr>
              <w:t xml:space="preserve"> - </w:t>
            </w:r>
          </w:p>
        </w:tc>
        <w:tc>
          <w:tcPr>
            <w:tcW w:w="1005" w:type="dxa"/>
            <w:tcBorders>
              <w:top w:val="nil"/>
              <w:left w:val="nil"/>
              <w:bottom w:val="nil"/>
              <w:right w:val="nil"/>
              <w:tl2br w:val="nil"/>
              <w:tr2bl w:val="nil"/>
            </w:tcBorders>
            <w:shd w:val="clear" w:color="auto" w:fill="FFFFFF"/>
            <w:tcMar>
              <w:left w:w="115" w:type="dxa"/>
              <w:right w:w="115" w:type="dxa"/>
            </w:tcMar>
            <w:vAlign w:val="bottom"/>
          </w:tcPr>
          <w:p w14:paraId="37A0FEDF" w14:textId="77777777" w:rsidR="003F0EEA" w:rsidRPr="00250775" w:rsidRDefault="00FB7D0B">
            <w:pPr>
              <w:jc w:val="right"/>
              <w:rPr>
                <w:rFonts w:ascii="Arial" w:eastAsia="Arial" w:hAnsi="Arial" w:cs="Arial"/>
                <w:color w:val="000000"/>
                <w:sz w:val="16"/>
              </w:rPr>
            </w:pPr>
            <w:r w:rsidRPr="00250775">
              <w:rPr>
                <w:rFonts w:ascii="Arial" w:eastAsia="Arial" w:hAnsi="Arial" w:cs="Arial"/>
                <w:color w:val="000000"/>
                <w:sz w:val="16"/>
              </w:rPr>
              <w:t>(723)</w:t>
            </w:r>
          </w:p>
        </w:tc>
        <w:tc>
          <w:tcPr>
            <w:tcW w:w="1005" w:type="dxa"/>
            <w:tcBorders>
              <w:top w:val="nil"/>
              <w:left w:val="nil"/>
              <w:bottom w:val="nil"/>
              <w:right w:val="nil"/>
              <w:tl2br w:val="nil"/>
              <w:tr2bl w:val="nil"/>
            </w:tcBorders>
            <w:shd w:val="clear" w:color="auto" w:fill="FFFF00"/>
            <w:tcMar>
              <w:left w:w="115" w:type="dxa"/>
              <w:right w:w="115" w:type="dxa"/>
            </w:tcMar>
            <w:vAlign w:val="bottom"/>
          </w:tcPr>
          <w:p w14:paraId="365E8921" w14:textId="77777777" w:rsidR="003F0EEA" w:rsidRPr="00250775" w:rsidRDefault="00FB7D0B">
            <w:pPr>
              <w:jc w:val="right"/>
              <w:rPr>
                <w:rFonts w:ascii="Arial" w:eastAsia="Arial" w:hAnsi="Arial" w:cs="Arial"/>
                <w:color w:val="000000"/>
                <w:sz w:val="16"/>
              </w:rPr>
            </w:pPr>
            <w:r w:rsidRPr="00250775">
              <w:rPr>
                <w:rFonts w:ascii="Arial" w:eastAsia="Arial" w:hAnsi="Arial" w:cs="Arial"/>
                <w:color w:val="000000"/>
                <w:sz w:val="16"/>
              </w:rPr>
              <w:t>(1,403)</w:t>
            </w:r>
          </w:p>
        </w:tc>
        <w:tc>
          <w:tcPr>
            <w:tcW w:w="1005" w:type="dxa"/>
            <w:tcBorders>
              <w:top w:val="nil"/>
              <w:left w:val="nil"/>
              <w:bottom w:val="nil"/>
              <w:right w:val="nil"/>
              <w:tl2br w:val="nil"/>
              <w:tr2bl w:val="nil"/>
            </w:tcBorders>
            <w:shd w:val="clear" w:color="auto" w:fill="FFFFFF"/>
            <w:tcMar>
              <w:left w:w="115" w:type="dxa"/>
              <w:right w:w="115" w:type="dxa"/>
            </w:tcMar>
            <w:vAlign w:val="bottom"/>
          </w:tcPr>
          <w:p w14:paraId="63BF81D7" w14:textId="77777777" w:rsidR="003F0EEA" w:rsidRPr="00250775" w:rsidRDefault="00FB7D0B">
            <w:pPr>
              <w:jc w:val="right"/>
              <w:rPr>
                <w:rFonts w:ascii="Arial" w:eastAsia="Arial" w:hAnsi="Arial" w:cs="Arial"/>
                <w:color w:val="000000"/>
                <w:sz w:val="16"/>
              </w:rPr>
            </w:pPr>
            <w:r w:rsidRPr="00250775">
              <w:rPr>
                <w:rFonts w:ascii="Arial" w:eastAsia="Arial" w:hAnsi="Arial" w:cs="Arial"/>
                <w:color w:val="000000"/>
                <w:sz w:val="16"/>
              </w:rPr>
              <w:t>(2,084)</w:t>
            </w:r>
          </w:p>
        </w:tc>
        <w:tc>
          <w:tcPr>
            <w:tcW w:w="1005" w:type="dxa"/>
            <w:tcBorders>
              <w:top w:val="nil"/>
              <w:left w:val="nil"/>
              <w:bottom w:val="nil"/>
              <w:right w:val="nil"/>
              <w:tl2br w:val="nil"/>
              <w:tr2bl w:val="nil"/>
            </w:tcBorders>
            <w:shd w:val="clear" w:color="auto" w:fill="FFFF00"/>
            <w:tcMar>
              <w:left w:w="115" w:type="dxa"/>
              <w:right w:w="115" w:type="dxa"/>
            </w:tcMar>
            <w:vAlign w:val="bottom"/>
          </w:tcPr>
          <w:p w14:paraId="44E5008D" w14:textId="77777777" w:rsidR="003F0EEA" w:rsidRPr="00250775" w:rsidRDefault="00FB7D0B">
            <w:pPr>
              <w:jc w:val="right"/>
              <w:rPr>
                <w:rFonts w:ascii="Arial" w:eastAsia="Arial" w:hAnsi="Arial" w:cs="Arial"/>
                <w:color w:val="000000"/>
                <w:sz w:val="16"/>
              </w:rPr>
            </w:pPr>
            <w:r w:rsidRPr="00250775">
              <w:rPr>
                <w:rFonts w:ascii="Arial" w:eastAsia="Arial" w:hAnsi="Arial" w:cs="Arial"/>
                <w:color w:val="000000"/>
                <w:sz w:val="16"/>
              </w:rPr>
              <w:t>(2,095)</w:t>
            </w:r>
          </w:p>
        </w:tc>
      </w:tr>
      <w:tr w:rsidR="00724034" w14:paraId="472BB68A" w14:textId="77777777">
        <w:trPr>
          <w:trHeight w:val="225"/>
        </w:trPr>
        <w:tc>
          <w:tcPr>
            <w:tcW w:w="180" w:type="dxa"/>
            <w:tcBorders>
              <w:top w:val="nil"/>
              <w:left w:val="nil"/>
              <w:bottom w:val="nil"/>
              <w:right w:val="nil"/>
              <w:tl2br w:val="nil"/>
              <w:tr2bl w:val="nil"/>
            </w:tcBorders>
            <w:shd w:val="clear" w:color="auto" w:fill="FFFFFF"/>
            <w:tcMar>
              <w:left w:w="115" w:type="dxa"/>
              <w:right w:w="115" w:type="dxa"/>
            </w:tcMar>
            <w:vAlign w:val="bottom"/>
          </w:tcPr>
          <w:p w14:paraId="2D2E0730" w14:textId="77777777" w:rsidR="003F0EEA" w:rsidRPr="00250775" w:rsidRDefault="003F0EEA">
            <w:pPr>
              <w:rPr>
                <w:rFonts w:ascii="Arial" w:eastAsia="Arial" w:hAnsi="Arial" w:cs="Arial"/>
                <w:color w:val="000000"/>
                <w:sz w:val="16"/>
              </w:rPr>
            </w:pPr>
          </w:p>
        </w:tc>
        <w:tc>
          <w:tcPr>
            <w:tcW w:w="2280" w:type="dxa"/>
            <w:tcBorders>
              <w:top w:val="nil"/>
              <w:left w:val="nil"/>
              <w:bottom w:val="nil"/>
              <w:right w:val="nil"/>
              <w:tl2br w:val="nil"/>
              <w:tr2bl w:val="nil"/>
            </w:tcBorders>
            <w:shd w:val="clear" w:color="auto" w:fill="FFFFFF"/>
            <w:tcMar>
              <w:left w:w="115" w:type="dxa"/>
              <w:right w:w="115" w:type="dxa"/>
            </w:tcMar>
            <w:vAlign w:val="bottom"/>
          </w:tcPr>
          <w:p w14:paraId="59D695FA" w14:textId="77777777" w:rsidR="003F0EEA" w:rsidRPr="00250775" w:rsidRDefault="00FB7D0B">
            <w:pPr>
              <w:rPr>
                <w:rFonts w:ascii="Arial" w:eastAsia="Arial" w:hAnsi="Arial" w:cs="Arial"/>
                <w:color w:val="000000"/>
                <w:sz w:val="16"/>
              </w:rPr>
            </w:pPr>
            <w:r w:rsidRPr="00250775">
              <w:rPr>
                <w:rFonts w:ascii="Arial" w:eastAsia="Arial" w:hAnsi="Arial" w:cs="Arial"/>
                <w:b/>
                <w:color w:val="000000"/>
                <w:sz w:val="16"/>
              </w:rPr>
              <w:t xml:space="preserve">                   Total</w:t>
            </w:r>
          </w:p>
        </w:tc>
        <w:tc>
          <w:tcPr>
            <w:tcW w:w="915" w:type="dxa"/>
            <w:tcBorders>
              <w:top w:val="nil"/>
              <w:left w:val="nil"/>
              <w:bottom w:val="nil"/>
              <w:right w:val="nil"/>
              <w:tl2br w:val="nil"/>
              <w:tr2bl w:val="nil"/>
            </w:tcBorders>
            <w:shd w:val="clear" w:color="auto" w:fill="FFFFFF"/>
            <w:tcMar>
              <w:left w:w="115" w:type="dxa"/>
              <w:right w:w="115" w:type="dxa"/>
            </w:tcMar>
            <w:vAlign w:val="bottom"/>
          </w:tcPr>
          <w:p w14:paraId="184473FC" w14:textId="77777777" w:rsidR="003F0EEA" w:rsidRPr="00250775" w:rsidRDefault="003F0EEA">
            <w:pPr>
              <w:jc w:val="center"/>
              <w:rPr>
                <w:rFonts w:ascii="Arial" w:eastAsia="Arial" w:hAnsi="Arial" w:cs="Arial"/>
                <w:b/>
                <w:color w:val="000000"/>
                <w:sz w:val="16"/>
                <w:vertAlign w:val="superscript"/>
              </w:rPr>
            </w:pPr>
          </w:p>
        </w:tc>
        <w:tc>
          <w:tcPr>
            <w:tcW w:w="1005" w:type="dxa"/>
            <w:tcBorders>
              <w:top w:val="single" w:sz="6" w:space="0" w:color="000000"/>
              <w:left w:val="nil"/>
              <w:bottom w:val="single" w:sz="6" w:space="0" w:color="000000"/>
              <w:right w:val="nil"/>
              <w:tl2br w:val="nil"/>
              <w:tr2bl w:val="nil"/>
            </w:tcBorders>
            <w:shd w:val="clear" w:color="auto" w:fill="FFFF00"/>
            <w:tcMar>
              <w:left w:w="115" w:type="dxa"/>
              <w:right w:w="115" w:type="dxa"/>
            </w:tcMar>
            <w:vAlign w:val="bottom"/>
          </w:tcPr>
          <w:p w14:paraId="15224E0F" w14:textId="77777777" w:rsidR="003F0EEA" w:rsidRPr="00250775" w:rsidRDefault="00FB7D0B">
            <w:pPr>
              <w:jc w:val="right"/>
              <w:rPr>
                <w:rFonts w:ascii="Arial" w:eastAsia="Arial" w:hAnsi="Arial" w:cs="Arial"/>
                <w:color w:val="000000"/>
                <w:sz w:val="16"/>
                <w:vertAlign w:val="superscript"/>
              </w:rPr>
            </w:pPr>
            <w:r w:rsidRPr="00250775">
              <w:rPr>
                <w:rFonts w:ascii="Arial" w:eastAsia="Arial" w:hAnsi="Arial" w:cs="Arial"/>
                <w:b/>
                <w:color w:val="000000"/>
                <w:sz w:val="16"/>
              </w:rPr>
              <w:t xml:space="preserve"> - </w:t>
            </w:r>
          </w:p>
        </w:tc>
        <w:tc>
          <w:tcPr>
            <w:tcW w:w="1005" w:type="dxa"/>
            <w:tcBorders>
              <w:top w:val="single" w:sz="6" w:space="0" w:color="000000"/>
              <w:left w:val="nil"/>
              <w:bottom w:val="single" w:sz="6" w:space="0" w:color="000000"/>
              <w:right w:val="nil"/>
              <w:tl2br w:val="nil"/>
              <w:tr2bl w:val="nil"/>
            </w:tcBorders>
            <w:shd w:val="clear" w:color="auto" w:fill="FFFFFF"/>
            <w:tcMar>
              <w:left w:w="115" w:type="dxa"/>
              <w:right w:w="115" w:type="dxa"/>
            </w:tcMar>
            <w:vAlign w:val="bottom"/>
          </w:tcPr>
          <w:p w14:paraId="6019622D" w14:textId="77777777" w:rsidR="003F0EEA" w:rsidRPr="00250775" w:rsidRDefault="00FB7D0B">
            <w:pPr>
              <w:jc w:val="right"/>
              <w:rPr>
                <w:rFonts w:ascii="Arial" w:eastAsia="Arial" w:hAnsi="Arial" w:cs="Arial"/>
                <w:b/>
                <w:color w:val="000000"/>
                <w:sz w:val="16"/>
              </w:rPr>
            </w:pPr>
            <w:r w:rsidRPr="00250775">
              <w:rPr>
                <w:rFonts w:ascii="Arial" w:eastAsia="Arial" w:hAnsi="Arial" w:cs="Arial"/>
                <w:b/>
                <w:color w:val="000000"/>
                <w:sz w:val="16"/>
              </w:rPr>
              <w:t>(723)</w:t>
            </w:r>
          </w:p>
        </w:tc>
        <w:tc>
          <w:tcPr>
            <w:tcW w:w="1005" w:type="dxa"/>
            <w:tcBorders>
              <w:top w:val="single" w:sz="6" w:space="0" w:color="000000"/>
              <w:left w:val="nil"/>
              <w:bottom w:val="single" w:sz="6" w:space="0" w:color="000000"/>
              <w:right w:val="nil"/>
              <w:tl2br w:val="nil"/>
              <w:tr2bl w:val="nil"/>
            </w:tcBorders>
            <w:shd w:val="clear" w:color="auto" w:fill="FFFF00"/>
            <w:tcMar>
              <w:left w:w="115" w:type="dxa"/>
              <w:right w:w="115" w:type="dxa"/>
            </w:tcMar>
            <w:vAlign w:val="bottom"/>
          </w:tcPr>
          <w:p w14:paraId="48D83230" w14:textId="77777777" w:rsidR="003F0EEA" w:rsidRPr="00250775" w:rsidRDefault="00FB7D0B">
            <w:pPr>
              <w:jc w:val="right"/>
              <w:rPr>
                <w:rFonts w:ascii="Arial" w:eastAsia="Arial" w:hAnsi="Arial" w:cs="Arial"/>
                <w:b/>
                <w:color w:val="000000"/>
                <w:sz w:val="16"/>
              </w:rPr>
            </w:pPr>
            <w:r w:rsidRPr="00250775">
              <w:rPr>
                <w:rFonts w:ascii="Arial" w:eastAsia="Arial" w:hAnsi="Arial" w:cs="Arial"/>
                <w:b/>
                <w:color w:val="000000"/>
                <w:sz w:val="16"/>
              </w:rPr>
              <w:t>(1,403)</w:t>
            </w:r>
          </w:p>
        </w:tc>
        <w:tc>
          <w:tcPr>
            <w:tcW w:w="1005" w:type="dxa"/>
            <w:tcBorders>
              <w:top w:val="single" w:sz="6" w:space="0" w:color="000000"/>
              <w:left w:val="nil"/>
              <w:bottom w:val="single" w:sz="6" w:space="0" w:color="000000"/>
              <w:right w:val="nil"/>
              <w:tl2br w:val="nil"/>
              <w:tr2bl w:val="nil"/>
            </w:tcBorders>
            <w:shd w:val="clear" w:color="auto" w:fill="FFFFFF"/>
            <w:tcMar>
              <w:left w:w="115" w:type="dxa"/>
              <w:right w:w="115" w:type="dxa"/>
            </w:tcMar>
            <w:vAlign w:val="bottom"/>
          </w:tcPr>
          <w:p w14:paraId="290A2D1C" w14:textId="77777777" w:rsidR="003F0EEA" w:rsidRPr="00250775" w:rsidRDefault="00FB7D0B">
            <w:pPr>
              <w:jc w:val="right"/>
              <w:rPr>
                <w:rFonts w:ascii="Arial" w:eastAsia="Arial" w:hAnsi="Arial" w:cs="Arial"/>
                <w:b/>
                <w:color w:val="000000"/>
                <w:sz w:val="16"/>
              </w:rPr>
            </w:pPr>
            <w:r w:rsidRPr="00250775">
              <w:rPr>
                <w:rFonts w:ascii="Arial" w:eastAsia="Arial" w:hAnsi="Arial" w:cs="Arial"/>
                <w:b/>
                <w:color w:val="000000"/>
                <w:sz w:val="16"/>
              </w:rPr>
              <w:t>(2,084)</w:t>
            </w:r>
          </w:p>
        </w:tc>
        <w:tc>
          <w:tcPr>
            <w:tcW w:w="1005" w:type="dxa"/>
            <w:tcBorders>
              <w:top w:val="single" w:sz="6" w:space="0" w:color="000000"/>
              <w:left w:val="nil"/>
              <w:bottom w:val="single" w:sz="6" w:space="0" w:color="000000"/>
              <w:right w:val="nil"/>
              <w:tl2br w:val="nil"/>
              <w:tr2bl w:val="nil"/>
            </w:tcBorders>
            <w:shd w:val="clear" w:color="auto" w:fill="FFFF00"/>
            <w:tcMar>
              <w:left w:w="115" w:type="dxa"/>
              <w:right w:w="115" w:type="dxa"/>
            </w:tcMar>
            <w:vAlign w:val="bottom"/>
          </w:tcPr>
          <w:p w14:paraId="06716491" w14:textId="77777777" w:rsidR="003F0EEA" w:rsidRPr="00250775" w:rsidRDefault="00FB7D0B">
            <w:pPr>
              <w:jc w:val="right"/>
              <w:rPr>
                <w:rFonts w:ascii="Arial" w:eastAsia="Arial" w:hAnsi="Arial" w:cs="Arial"/>
                <w:b/>
                <w:color w:val="000000"/>
                <w:sz w:val="16"/>
              </w:rPr>
            </w:pPr>
            <w:r w:rsidRPr="00250775">
              <w:rPr>
                <w:rFonts w:ascii="Arial" w:eastAsia="Arial" w:hAnsi="Arial" w:cs="Arial"/>
                <w:b/>
                <w:color w:val="000000"/>
                <w:sz w:val="16"/>
              </w:rPr>
              <w:t>(2,095)</w:t>
            </w:r>
          </w:p>
        </w:tc>
      </w:tr>
      <w:tr w:rsidR="00724034" w14:paraId="4DC4FC57" w14:textId="77777777">
        <w:trPr>
          <w:trHeight w:val="225"/>
        </w:trPr>
        <w:tc>
          <w:tcPr>
            <w:tcW w:w="180" w:type="dxa"/>
            <w:tcBorders>
              <w:top w:val="nil"/>
              <w:left w:val="nil"/>
              <w:bottom w:val="nil"/>
              <w:right w:val="nil"/>
              <w:tl2br w:val="nil"/>
              <w:tr2bl w:val="nil"/>
            </w:tcBorders>
            <w:shd w:val="clear" w:color="auto" w:fill="FFFFFF"/>
            <w:tcMar>
              <w:left w:w="115" w:type="dxa"/>
              <w:right w:w="115" w:type="dxa"/>
            </w:tcMar>
            <w:vAlign w:val="bottom"/>
          </w:tcPr>
          <w:p w14:paraId="730697E2" w14:textId="77777777" w:rsidR="003F0EEA" w:rsidRPr="00250775" w:rsidRDefault="003F0EEA">
            <w:pPr>
              <w:rPr>
                <w:rFonts w:ascii="Arial" w:eastAsia="Arial" w:hAnsi="Arial" w:cs="Arial"/>
                <w:b/>
                <w:color w:val="000000"/>
                <w:sz w:val="16"/>
              </w:rPr>
            </w:pPr>
          </w:p>
        </w:tc>
        <w:tc>
          <w:tcPr>
            <w:tcW w:w="2280" w:type="dxa"/>
            <w:tcBorders>
              <w:top w:val="nil"/>
              <w:left w:val="nil"/>
              <w:bottom w:val="nil"/>
              <w:right w:val="nil"/>
              <w:tl2br w:val="nil"/>
              <w:tr2bl w:val="nil"/>
            </w:tcBorders>
            <w:shd w:val="clear" w:color="auto" w:fill="FFFFFF"/>
            <w:tcMar>
              <w:left w:w="115" w:type="dxa"/>
              <w:right w:w="115" w:type="dxa"/>
            </w:tcMar>
            <w:vAlign w:val="bottom"/>
          </w:tcPr>
          <w:p w14:paraId="5EFDAB71" w14:textId="77777777" w:rsidR="003F0EEA" w:rsidRPr="00250775" w:rsidRDefault="003F0EEA">
            <w:pPr>
              <w:rPr>
                <w:rFonts w:ascii="Arial" w:eastAsia="Arial" w:hAnsi="Arial" w:cs="Arial"/>
                <w:color w:val="000000"/>
                <w:sz w:val="16"/>
              </w:rPr>
            </w:pPr>
          </w:p>
        </w:tc>
        <w:tc>
          <w:tcPr>
            <w:tcW w:w="915" w:type="dxa"/>
            <w:tcBorders>
              <w:top w:val="nil"/>
              <w:left w:val="nil"/>
              <w:bottom w:val="nil"/>
              <w:right w:val="nil"/>
              <w:tl2br w:val="nil"/>
              <w:tr2bl w:val="nil"/>
            </w:tcBorders>
            <w:shd w:val="clear" w:color="auto" w:fill="FFFFFF"/>
            <w:tcMar>
              <w:left w:w="115" w:type="dxa"/>
              <w:right w:w="115" w:type="dxa"/>
            </w:tcMar>
            <w:vAlign w:val="bottom"/>
          </w:tcPr>
          <w:p w14:paraId="44A6EF15" w14:textId="77777777" w:rsidR="003F0EEA" w:rsidRPr="00250775" w:rsidRDefault="003F0EEA">
            <w:pPr>
              <w:jc w:val="center"/>
              <w:rPr>
                <w:rFonts w:ascii="Arial" w:eastAsia="Arial" w:hAnsi="Arial" w:cs="Arial"/>
                <w:b/>
                <w:color w:val="000000"/>
                <w:sz w:val="16"/>
                <w:vertAlign w:val="superscript"/>
              </w:rPr>
            </w:pPr>
          </w:p>
        </w:tc>
        <w:tc>
          <w:tcPr>
            <w:tcW w:w="1005" w:type="dxa"/>
            <w:tcBorders>
              <w:top w:val="single" w:sz="6" w:space="0" w:color="000000"/>
              <w:left w:val="nil"/>
              <w:bottom w:val="nil"/>
              <w:right w:val="nil"/>
              <w:tl2br w:val="nil"/>
              <w:tr2bl w:val="nil"/>
            </w:tcBorders>
            <w:shd w:val="clear" w:color="auto" w:fill="FFFF00"/>
            <w:tcMar>
              <w:left w:w="115" w:type="dxa"/>
              <w:right w:w="115" w:type="dxa"/>
            </w:tcMar>
            <w:vAlign w:val="bottom"/>
          </w:tcPr>
          <w:p w14:paraId="532EDB15" w14:textId="77777777" w:rsidR="003F0EEA" w:rsidRPr="00250775" w:rsidRDefault="003F0EEA">
            <w:pPr>
              <w:jc w:val="right"/>
              <w:rPr>
                <w:rFonts w:ascii="Arial" w:eastAsia="Arial" w:hAnsi="Arial" w:cs="Arial"/>
                <w:color w:val="000000"/>
                <w:sz w:val="16"/>
                <w:vertAlign w:val="superscript"/>
              </w:rPr>
            </w:pPr>
          </w:p>
        </w:tc>
        <w:tc>
          <w:tcPr>
            <w:tcW w:w="1005"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4797A865" w14:textId="77777777" w:rsidR="003F0EEA" w:rsidRPr="00250775" w:rsidRDefault="003F0EEA">
            <w:pPr>
              <w:jc w:val="right"/>
              <w:rPr>
                <w:rFonts w:ascii="Arial" w:eastAsia="Arial" w:hAnsi="Arial" w:cs="Arial"/>
                <w:color w:val="000000"/>
                <w:sz w:val="16"/>
                <w:vertAlign w:val="superscript"/>
              </w:rPr>
            </w:pPr>
          </w:p>
        </w:tc>
        <w:tc>
          <w:tcPr>
            <w:tcW w:w="1005" w:type="dxa"/>
            <w:tcBorders>
              <w:top w:val="single" w:sz="6" w:space="0" w:color="000000"/>
              <w:left w:val="nil"/>
              <w:bottom w:val="nil"/>
              <w:right w:val="nil"/>
              <w:tl2br w:val="nil"/>
              <w:tr2bl w:val="nil"/>
            </w:tcBorders>
            <w:shd w:val="clear" w:color="auto" w:fill="FFFF00"/>
            <w:tcMar>
              <w:left w:w="115" w:type="dxa"/>
              <w:right w:w="115" w:type="dxa"/>
            </w:tcMar>
            <w:vAlign w:val="bottom"/>
          </w:tcPr>
          <w:p w14:paraId="2023F685" w14:textId="77777777" w:rsidR="003F0EEA" w:rsidRPr="00250775" w:rsidRDefault="003F0EEA">
            <w:pPr>
              <w:jc w:val="right"/>
              <w:rPr>
                <w:rFonts w:ascii="Arial" w:eastAsia="Arial" w:hAnsi="Arial" w:cs="Arial"/>
                <w:color w:val="000000"/>
                <w:sz w:val="16"/>
                <w:vertAlign w:val="superscript"/>
              </w:rPr>
            </w:pPr>
          </w:p>
        </w:tc>
        <w:tc>
          <w:tcPr>
            <w:tcW w:w="1005"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1EB51F44" w14:textId="77777777" w:rsidR="003F0EEA" w:rsidRPr="00250775" w:rsidRDefault="003F0EEA">
            <w:pPr>
              <w:jc w:val="right"/>
              <w:rPr>
                <w:rFonts w:ascii="Arial" w:eastAsia="Arial" w:hAnsi="Arial" w:cs="Arial"/>
                <w:color w:val="000000"/>
                <w:sz w:val="16"/>
                <w:vertAlign w:val="superscript"/>
              </w:rPr>
            </w:pPr>
          </w:p>
        </w:tc>
        <w:tc>
          <w:tcPr>
            <w:tcW w:w="1005" w:type="dxa"/>
            <w:tcBorders>
              <w:top w:val="single" w:sz="6" w:space="0" w:color="000000"/>
              <w:left w:val="nil"/>
              <w:bottom w:val="nil"/>
              <w:right w:val="nil"/>
              <w:tl2br w:val="nil"/>
              <w:tr2bl w:val="nil"/>
            </w:tcBorders>
            <w:shd w:val="clear" w:color="auto" w:fill="FFFF00"/>
            <w:tcMar>
              <w:left w:w="115" w:type="dxa"/>
              <w:right w:w="115" w:type="dxa"/>
            </w:tcMar>
            <w:vAlign w:val="bottom"/>
          </w:tcPr>
          <w:p w14:paraId="257D2A1A" w14:textId="77777777" w:rsidR="003F0EEA" w:rsidRPr="00250775" w:rsidRDefault="003F0EEA">
            <w:pPr>
              <w:jc w:val="right"/>
              <w:rPr>
                <w:rFonts w:ascii="Arial" w:eastAsia="Arial" w:hAnsi="Arial" w:cs="Arial"/>
                <w:color w:val="000000"/>
                <w:sz w:val="16"/>
                <w:vertAlign w:val="superscript"/>
              </w:rPr>
            </w:pPr>
          </w:p>
        </w:tc>
      </w:tr>
      <w:tr w:rsidR="00FB7D0B" w14:paraId="1173ECD5" w14:textId="77777777" w:rsidTr="00FB7D0B">
        <w:trPr>
          <w:trHeight w:val="225"/>
        </w:trPr>
        <w:tc>
          <w:tcPr>
            <w:tcW w:w="2460" w:type="dxa"/>
            <w:gridSpan w:val="2"/>
            <w:tcBorders>
              <w:top w:val="nil"/>
              <w:left w:val="nil"/>
              <w:bottom w:val="nil"/>
              <w:right w:val="nil"/>
              <w:tl2br w:val="nil"/>
              <w:tr2bl w:val="nil"/>
            </w:tcBorders>
            <w:shd w:val="clear" w:color="auto" w:fill="FFFFFF"/>
            <w:tcMar>
              <w:left w:w="115" w:type="dxa"/>
              <w:right w:w="115" w:type="dxa"/>
            </w:tcMar>
            <w:vAlign w:val="bottom"/>
          </w:tcPr>
          <w:p w14:paraId="191167BB" w14:textId="77777777" w:rsidR="003F0EEA" w:rsidRPr="00250775" w:rsidRDefault="00FB7D0B">
            <w:pPr>
              <w:rPr>
                <w:rFonts w:ascii="Arial" w:eastAsia="Arial" w:hAnsi="Arial" w:cs="Arial"/>
                <w:color w:val="000000"/>
                <w:sz w:val="16"/>
                <w:vertAlign w:val="superscript"/>
              </w:rPr>
            </w:pPr>
            <w:r w:rsidRPr="00250775">
              <w:rPr>
                <w:rFonts w:ascii="Arial" w:eastAsia="Arial" w:hAnsi="Arial" w:cs="Arial"/>
                <w:b/>
                <w:color w:val="000000"/>
                <w:sz w:val="16"/>
              </w:rPr>
              <w:t>Total Expense Measures</w:t>
            </w:r>
          </w:p>
        </w:tc>
        <w:tc>
          <w:tcPr>
            <w:tcW w:w="915" w:type="dxa"/>
            <w:tcBorders>
              <w:top w:val="nil"/>
              <w:left w:val="nil"/>
              <w:bottom w:val="nil"/>
              <w:right w:val="nil"/>
              <w:tl2br w:val="nil"/>
              <w:tr2bl w:val="nil"/>
            </w:tcBorders>
            <w:shd w:val="clear" w:color="auto" w:fill="FFFFFF"/>
            <w:tcMar>
              <w:left w:w="115" w:type="dxa"/>
              <w:right w:w="115" w:type="dxa"/>
            </w:tcMar>
            <w:vAlign w:val="bottom"/>
          </w:tcPr>
          <w:p w14:paraId="4BC52768" w14:textId="77777777" w:rsidR="003F0EEA" w:rsidRPr="00250775" w:rsidRDefault="003F0EEA">
            <w:pPr>
              <w:jc w:val="center"/>
              <w:rPr>
                <w:rFonts w:ascii="Arial" w:eastAsia="Arial" w:hAnsi="Arial" w:cs="Arial"/>
                <w:b/>
                <w:color w:val="000000"/>
                <w:sz w:val="16"/>
                <w:vertAlign w:val="superscript"/>
              </w:rPr>
            </w:pPr>
          </w:p>
        </w:tc>
        <w:tc>
          <w:tcPr>
            <w:tcW w:w="1005" w:type="dxa"/>
            <w:tcBorders>
              <w:top w:val="nil"/>
              <w:left w:val="nil"/>
              <w:bottom w:val="nil"/>
              <w:right w:val="nil"/>
              <w:tl2br w:val="nil"/>
              <w:tr2bl w:val="nil"/>
            </w:tcBorders>
            <w:shd w:val="clear" w:color="auto" w:fill="FFFF00"/>
            <w:tcMar>
              <w:left w:w="115" w:type="dxa"/>
              <w:right w:w="115" w:type="dxa"/>
            </w:tcMar>
            <w:vAlign w:val="bottom"/>
          </w:tcPr>
          <w:p w14:paraId="65859CA4" w14:textId="77777777" w:rsidR="003F0EEA" w:rsidRPr="00250775" w:rsidRDefault="003F0EEA">
            <w:pPr>
              <w:jc w:val="right"/>
              <w:rPr>
                <w:rFonts w:ascii="Arial" w:eastAsia="Arial" w:hAnsi="Arial" w:cs="Arial"/>
                <w:color w:val="000000"/>
                <w:sz w:val="16"/>
                <w:vertAlign w:val="superscript"/>
              </w:rPr>
            </w:pPr>
          </w:p>
        </w:tc>
        <w:tc>
          <w:tcPr>
            <w:tcW w:w="1005" w:type="dxa"/>
            <w:tcBorders>
              <w:top w:val="nil"/>
              <w:left w:val="nil"/>
              <w:bottom w:val="nil"/>
              <w:right w:val="nil"/>
              <w:tl2br w:val="nil"/>
              <w:tr2bl w:val="nil"/>
            </w:tcBorders>
            <w:shd w:val="clear" w:color="auto" w:fill="FFFFFF"/>
            <w:tcMar>
              <w:left w:w="115" w:type="dxa"/>
              <w:right w:w="115" w:type="dxa"/>
            </w:tcMar>
            <w:vAlign w:val="bottom"/>
          </w:tcPr>
          <w:p w14:paraId="51D733F1" w14:textId="77777777" w:rsidR="003F0EEA" w:rsidRPr="00250775" w:rsidRDefault="003F0EEA">
            <w:pPr>
              <w:jc w:val="right"/>
              <w:rPr>
                <w:rFonts w:ascii="Arial" w:eastAsia="Arial" w:hAnsi="Arial" w:cs="Arial"/>
                <w:b/>
                <w:color w:val="000000"/>
                <w:sz w:val="16"/>
                <w:vertAlign w:val="superscript"/>
              </w:rPr>
            </w:pPr>
          </w:p>
        </w:tc>
        <w:tc>
          <w:tcPr>
            <w:tcW w:w="1005" w:type="dxa"/>
            <w:tcBorders>
              <w:top w:val="nil"/>
              <w:left w:val="nil"/>
              <w:bottom w:val="nil"/>
              <w:right w:val="nil"/>
              <w:tl2br w:val="nil"/>
              <w:tr2bl w:val="nil"/>
            </w:tcBorders>
            <w:shd w:val="clear" w:color="auto" w:fill="FFFF00"/>
            <w:tcMar>
              <w:left w:w="115" w:type="dxa"/>
              <w:right w:w="115" w:type="dxa"/>
            </w:tcMar>
            <w:vAlign w:val="bottom"/>
          </w:tcPr>
          <w:p w14:paraId="47F081C3" w14:textId="77777777" w:rsidR="003F0EEA" w:rsidRPr="00250775" w:rsidRDefault="003F0EEA">
            <w:pPr>
              <w:jc w:val="right"/>
              <w:rPr>
                <w:rFonts w:ascii="Arial" w:eastAsia="Arial" w:hAnsi="Arial" w:cs="Arial"/>
                <w:b/>
                <w:color w:val="000000"/>
                <w:sz w:val="16"/>
                <w:vertAlign w:val="superscript"/>
              </w:rPr>
            </w:pPr>
          </w:p>
        </w:tc>
        <w:tc>
          <w:tcPr>
            <w:tcW w:w="1005" w:type="dxa"/>
            <w:tcBorders>
              <w:top w:val="nil"/>
              <w:left w:val="nil"/>
              <w:bottom w:val="nil"/>
              <w:right w:val="nil"/>
              <w:tl2br w:val="nil"/>
              <w:tr2bl w:val="nil"/>
            </w:tcBorders>
            <w:shd w:val="clear" w:color="auto" w:fill="FFFFFF"/>
            <w:tcMar>
              <w:left w:w="115" w:type="dxa"/>
              <w:right w:w="115" w:type="dxa"/>
            </w:tcMar>
            <w:vAlign w:val="bottom"/>
          </w:tcPr>
          <w:p w14:paraId="70AEEE2D" w14:textId="77777777" w:rsidR="003F0EEA" w:rsidRPr="00250775" w:rsidRDefault="003F0EEA">
            <w:pPr>
              <w:jc w:val="right"/>
              <w:rPr>
                <w:rFonts w:ascii="Arial" w:eastAsia="Arial" w:hAnsi="Arial" w:cs="Arial"/>
                <w:b/>
                <w:color w:val="000000"/>
                <w:sz w:val="16"/>
                <w:vertAlign w:val="superscript"/>
              </w:rPr>
            </w:pPr>
          </w:p>
        </w:tc>
        <w:tc>
          <w:tcPr>
            <w:tcW w:w="1005" w:type="dxa"/>
            <w:tcBorders>
              <w:top w:val="nil"/>
              <w:left w:val="nil"/>
              <w:bottom w:val="nil"/>
              <w:right w:val="nil"/>
              <w:tl2br w:val="nil"/>
              <w:tr2bl w:val="nil"/>
            </w:tcBorders>
            <w:shd w:val="clear" w:color="auto" w:fill="FFFF00"/>
            <w:tcMar>
              <w:left w:w="115" w:type="dxa"/>
              <w:right w:w="115" w:type="dxa"/>
            </w:tcMar>
            <w:vAlign w:val="bottom"/>
          </w:tcPr>
          <w:p w14:paraId="01F43A79" w14:textId="77777777" w:rsidR="003F0EEA" w:rsidRPr="00250775" w:rsidRDefault="003F0EEA">
            <w:pPr>
              <w:jc w:val="right"/>
              <w:rPr>
                <w:rFonts w:ascii="Arial" w:eastAsia="Arial" w:hAnsi="Arial" w:cs="Arial"/>
                <w:b/>
                <w:color w:val="000000"/>
                <w:sz w:val="16"/>
                <w:vertAlign w:val="superscript"/>
              </w:rPr>
            </w:pPr>
          </w:p>
        </w:tc>
      </w:tr>
      <w:tr w:rsidR="00724034" w14:paraId="116FCC4C" w14:textId="77777777">
        <w:trPr>
          <w:trHeight w:val="225"/>
        </w:trPr>
        <w:tc>
          <w:tcPr>
            <w:tcW w:w="180" w:type="dxa"/>
            <w:tcBorders>
              <w:top w:val="nil"/>
              <w:left w:val="nil"/>
              <w:bottom w:val="nil"/>
              <w:right w:val="nil"/>
              <w:tl2br w:val="nil"/>
              <w:tr2bl w:val="nil"/>
            </w:tcBorders>
            <w:shd w:val="clear" w:color="auto" w:fill="FFFFFF"/>
            <w:tcMar>
              <w:left w:w="115" w:type="dxa"/>
              <w:right w:w="115" w:type="dxa"/>
            </w:tcMar>
            <w:vAlign w:val="bottom"/>
          </w:tcPr>
          <w:p w14:paraId="275155B0" w14:textId="77777777" w:rsidR="003F0EEA" w:rsidRPr="00250775" w:rsidRDefault="003F0EEA">
            <w:pPr>
              <w:rPr>
                <w:rFonts w:ascii="Arial" w:eastAsia="Arial" w:hAnsi="Arial" w:cs="Arial"/>
                <w:b/>
                <w:color w:val="000000"/>
                <w:sz w:val="16"/>
                <w:vertAlign w:val="superscript"/>
              </w:rPr>
            </w:pPr>
          </w:p>
        </w:tc>
        <w:tc>
          <w:tcPr>
            <w:tcW w:w="2280" w:type="dxa"/>
            <w:tcBorders>
              <w:top w:val="nil"/>
              <w:left w:val="nil"/>
              <w:bottom w:val="nil"/>
              <w:right w:val="nil"/>
              <w:tl2br w:val="nil"/>
              <w:tr2bl w:val="nil"/>
            </w:tcBorders>
            <w:shd w:val="clear" w:color="auto" w:fill="FFFFFF"/>
            <w:tcMar>
              <w:left w:w="115" w:type="dxa"/>
              <w:right w:w="115" w:type="dxa"/>
            </w:tcMar>
            <w:vAlign w:val="bottom"/>
          </w:tcPr>
          <w:p w14:paraId="76511527" w14:textId="77777777" w:rsidR="003F0EEA" w:rsidRPr="00250775" w:rsidRDefault="00FB7D0B">
            <w:pPr>
              <w:rPr>
                <w:rFonts w:ascii="Arial" w:eastAsia="Arial" w:hAnsi="Arial" w:cs="Arial"/>
                <w:color w:val="000000"/>
                <w:sz w:val="16"/>
                <w:vertAlign w:val="superscript"/>
              </w:rPr>
            </w:pPr>
            <w:r w:rsidRPr="00250775">
              <w:rPr>
                <w:rFonts w:ascii="Arial" w:eastAsia="Arial" w:hAnsi="Arial" w:cs="Arial"/>
                <w:color w:val="000000"/>
                <w:sz w:val="16"/>
              </w:rPr>
              <w:t xml:space="preserve">                   Administered</w:t>
            </w:r>
          </w:p>
        </w:tc>
        <w:tc>
          <w:tcPr>
            <w:tcW w:w="915" w:type="dxa"/>
            <w:tcBorders>
              <w:top w:val="nil"/>
              <w:left w:val="nil"/>
              <w:bottom w:val="nil"/>
              <w:right w:val="nil"/>
              <w:tl2br w:val="nil"/>
              <w:tr2bl w:val="nil"/>
            </w:tcBorders>
            <w:shd w:val="clear" w:color="auto" w:fill="FFFFFF"/>
            <w:tcMar>
              <w:left w:w="115" w:type="dxa"/>
              <w:right w:w="115" w:type="dxa"/>
            </w:tcMar>
            <w:vAlign w:val="bottom"/>
          </w:tcPr>
          <w:p w14:paraId="1FA57FAB" w14:textId="77777777" w:rsidR="003F0EEA" w:rsidRPr="00250775" w:rsidRDefault="003F0EEA">
            <w:pPr>
              <w:jc w:val="center"/>
              <w:rPr>
                <w:rFonts w:ascii="Arial" w:eastAsia="Arial" w:hAnsi="Arial" w:cs="Arial"/>
                <w:color w:val="000000"/>
                <w:sz w:val="16"/>
                <w:vertAlign w:val="superscript"/>
              </w:rPr>
            </w:pPr>
          </w:p>
        </w:tc>
        <w:tc>
          <w:tcPr>
            <w:tcW w:w="1005" w:type="dxa"/>
            <w:tcBorders>
              <w:top w:val="nil"/>
              <w:left w:val="nil"/>
              <w:bottom w:val="nil"/>
              <w:right w:val="nil"/>
              <w:tl2br w:val="nil"/>
              <w:tr2bl w:val="nil"/>
            </w:tcBorders>
            <w:shd w:val="clear" w:color="auto" w:fill="FFFF00"/>
            <w:tcMar>
              <w:left w:w="115" w:type="dxa"/>
              <w:right w:w="115" w:type="dxa"/>
            </w:tcMar>
            <w:vAlign w:val="bottom"/>
          </w:tcPr>
          <w:p w14:paraId="2B1F7866" w14:textId="77777777" w:rsidR="003F0EEA" w:rsidRPr="00250775" w:rsidRDefault="00FB7D0B">
            <w:pPr>
              <w:jc w:val="right"/>
              <w:rPr>
                <w:rFonts w:ascii="Arial" w:eastAsia="Arial" w:hAnsi="Arial" w:cs="Arial"/>
                <w:color w:val="000000"/>
                <w:sz w:val="16"/>
                <w:vertAlign w:val="superscript"/>
              </w:rPr>
            </w:pPr>
            <w:r w:rsidRPr="00250775">
              <w:rPr>
                <w:rFonts w:ascii="Arial" w:eastAsia="Arial" w:hAnsi="Arial" w:cs="Arial"/>
                <w:color w:val="000000"/>
                <w:sz w:val="16"/>
              </w:rPr>
              <w:t>(10,662)</w:t>
            </w:r>
          </w:p>
        </w:tc>
        <w:tc>
          <w:tcPr>
            <w:tcW w:w="1005" w:type="dxa"/>
            <w:tcBorders>
              <w:top w:val="nil"/>
              <w:left w:val="nil"/>
              <w:bottom w:val="nil"/>
              <w:right w:val="nil"/>
              <w:tl2br w:val="nil"/>
              <w:tr2bl w:val="nil"/>
            </w:tcBorders>
            <w:shd w:val="clear" w:color="auto" w:fill="FFFFFF"/>
            <w:tcMar>
              <w:left w:w="115" w:type="dxa"/>
              <w:right w:w="115" w:type="dxa"/>
            </w:tcMar>
            <w:vAlign w:val="bottom"/>
          </w:tcPr>
          <w:p w14:paraId="715A9A26" w14:textId="77777777" w:rsidR="003F0EEA" w:rsidRPr="00250775" w:rsidRDefault="00FB7D0B">
            <w:pPr>
              <w:jc w:val="right"/>
              <w:rPr>
                <w:rFonts w:ascii="Arial" w:eastAsia="Arial" w:hAnsi="Arial" w:cs="Arial"/>
                <w:color w:val="000000"/>
                <w:sz w:val="16"/>
              </w:rPr>
            </w:pPr>
            <w:r w:rsidRPr="00250775">
              <w:rPr>
                <w:rFonts w:ascii="Arial" w:eastAsia="Arial" w:hAnsi="Arial" w:cs="Arial"/>
                <w:color w:val="000000"/>
                <w:sz w:val="16"/>
              </w:rPr>
              <w:t>(50,134)</w:t>
            </w:r>
          </w:p>
        </w:tc>
        <w:tc>
          <w:tcPr>
            <w:tcW w:w="1005" w:type="dxa"/>
            <w:tcBorders>
              <w:top w:val="nil"/>
              <w:left w:val="nil"/>
              <w:bottom w:val="nil"/>
              <w:right w:val="nil"/>
              <w:tl2br w:val="nil"/>
              <w:tr2bl w:val="nil"/>
            </w:tcBorders>
            <w:shd w:val="clear" w:color="auto" w:fill="FFFF00"/>
            <w:tcMar>
              <w:left w:w="115" w:type="dxa"/>
              <w:right w:w="115" w:type="dxa"/>
            </w:tcMar>
            <w:vAlign w:val="bottom"/>
          </w:tcPr>
          <w:p w14:paraId="3BD88D61" w14:textId="77777777" w:rsidR="003F0EEA" w:rsidRPr="00250775" w:rsidRDefault="00FB7D0B">
            <w:pPr>
              <w:jc w:val="right"/>
              <w:rPr>
                <w:rFonts w:ascii="Arial" w:eastAsia="Arial" w:hAnsi="Arial" w:cs="Arial"/>
                <w:color w:val="000000"/>
                <w:sz w:val="16"/>
              </w:rPr>
            </w:pPr>
            <w:r w:rsidRPr="00250775">
              <w:rPr>
                <w:rFonts w:ascii="Arial" w:eastAsia="Arial" w:hAnsi="Arial" w:cs="Arial"/>
                <w:color w:val="000000"/>
                <w:sz w:val="16"/>
              </w:rPr>
              <w:t>(106,648)</w:t>
            </w:r>
          </w:p>
        </w:tc>
        <w:tc>
          <w:tcPr>
            <w:tcW w:w="1005" w:type="dxa"/>
            <w:tcBorders>
              <w:top w:val="nil"/>
              <w:left w:val="nil"/>
              <w:bottom w:val="nil"/>
              <w:right w:val="nil"/>
              <w:tl2br w:val="nil"/>
              <w:tr2bl w:val="nil"/>
            </w:tcBorders>
            <w:shd w:val="clear" w:color="auto" w:fill="FFFFFF"/>
            <w:tcMar>
              <w:left w:w="115" w:type="dxa"/>
              <w:right w:w="115" w:type="dxa"/>
            </w:tcMar>
            <w:vAlign w:val="bottom"/>
          </w:tcPr>
          <w:p w14:paraId="7DB49987" w14:textId="77777777" w:rsidR="003F0EEA" w:rsidRPr="00250775" w:rsidRDefault="00FB7D0B">
            <w:pPr>
              <w:jc w:val="right"/>
              <w:rPr>
                <w:rFonts w:ascii="Arial" w:eastAsia="Arial" w:hAnsi="Arial" w:cs="Arial"/>
                <w:color w:val="000000"/>
                <w:sz w:val="16"/>
              </w:rPr>
            </w:pPr>
            <w:r w:rsidRPr="00250775">
              <w:rPr>
                <w:rFonts w:ascii="Arial" w:eastAsia="Arial" w:hAnsi="Arial" w:cs="Arial"/>
                <w:color w:val="000000"/>
                <w:sz w:val="16"/>
              </w:rPr>
              <w:t>(125,071)</w:t>
            </w:r>
          </w:p>
        </w:tc>
        <w:tc>
          <w:tcPr>
            <w:tcW w:w="1005" w:type="dxa"/>
            <w:tcBorders>
              <w:top w:val="nil"/>
              <w:left w:val="nil"/>
              <w:bottom w:val="nil"/>
              <w:right w:val="nil"/>
              <w:tl2br w:val="nil"/>
              <w:tr2bl w:val="nil"/>
            </w:tcBorders>
            <w:shd w:val="clear" w:color="auto" w:fill="FFFF00"/>
            <w:tcMar>
              <w:left w:w="115" w:type="dxa"/>
              <w:right w:w="115" w:type="dxa"/>
            </w:tcMar>
            <w:vAlign w:val="bottom"/>
          </w:tcPr>
          <w:p w14:paraId="1472C156" w14:textId="77777777" w:rsidR="003F0EEA" w:rsidRPr="00250775" w:rsidRDefault="00FB7D0B">
            <w:pPr>
              <w:jc w:val="right"/>
              <w:rPr>
                <w:rFonts w:ascii="Arial" w:eastAsia="Arial" w:hAnsi="Arial" w:cs="Arial"/>
                <w:color w:val="000000"/>
                <w:sz w:val="16"/>
              </w:rPr>
            </w:pPr>
            <w:r w:rsidRPr="00250775">
              <w:rPr>
                <w:rFonts w:ascii="Arial" w:eastAsia="Arial" w:hAnsi="Arial" w:cs="Arial"/>
                <w:color w:val="000000"/>
                <w:sz w:val="16"/>
              </w:rPr>
              <w:t>(213,861)</w:t>
            </w:r>
          </w:p>
        </w:tc>
      </w:tr>
      <w:tr w:rsidR="00724034" w14:paraId="778528D2" w14:textId="77777777">
        <w:trPr>
          <w:trHeight w:val="210"/>
        </w:trPr>
        <w:tc>
          <w:tcPr>
            <w:tcW w:w="180" w:type="dxa"/>
            <w:tcBorders>
              <w:top w:val="nil"/>
              <w:left w:val="nil"/>
              <w:bottom w:val="nil"/>
              <w:right w:val="nil"/>
              <w:tl2br w:val="nil"/>
              <w:tr2bl w:val="nil"/>
            </w:tcBorders>
            <w:shd w:val="clear" w:color="auto" w:fill="FFFFFF"/>
            <w:tcMar>
              <w:left w:w="115" w:type="dxa"/>
              <w:right w:w="115" w:type="dxa"/>
            </w:tcMar>
            <w:vAlign w:val="bottom"/>
          </w:tcPr>
          <w:p w14:paraId="08FD411A" w14:textId="77777777" w:rsidR="003F0EEA" w:rsidRPr="00250775" w:rsidRDefault="003F0EEA">
            <w:pPr>
              <w:rPr>
                <w:rFonts w:ascii="Arial" w:eastAsia="Arial" w:hAnsi="Arial" w:cs="Arial"/>
                <w:color w:val="000000"/>
                <w:sz w:val="16"/>
              </w:rPr>
            </w:pPr>
          </w:p>
        </w:tc>
        <w:tc>
          <w:tcPr>
            <w:tcW w:w="2280" w:type="dxa"/>
            <w:tcBorders>
              <w:top w:val="nil"/>
              <w:left w:val="nil"/>
              <w:bottom w:val="nil"/>
              <w:right w:val="nil"/>
              <w:tl2br w:val="nil"/>
              <w:tr2bl w:val="nil"/>
            </w:tcBorders>
            <w:shd w:val="clear" w:color="auto" w:fill="FFFFFF"/>
            <w:tcMar>
              <w:left w:w="115" w:type="dxa"/>
              <w:right w:w="115" w:type="dxa"/>
            </w:tcMar>
            <w:vAlign w:val="bottom"/>
          </w:tcPr>
          <w:p w14:paraId="76B72C7A" w14:textId="77777777" w:rsidR="003F0EEA" w:rsidRPr="00250775" w:rsidRDefault="00FB7D0B">
            <w:pPr>
              <w:rPr>
                <w:rFonts w:ascii="Arial" w:eastAsia="Arial" w:hAnsi="Arial" w:cs="Arial"/>
                <w:color w:val="000000"/>
                <w:sz w:val="16"/>
              </w:rPr>
            </w:pPr>
            <w:r w:rsidRPr="00250775">
              <w:rPr>
                <w:rFonts w:ascii="Arial" w:eastAsia="Arial" w:hAnsi="Arial" w:cs="Arial"/>
                <w:color w:val="000000"/>
                <w:sz w:val="16"/>
              </w:rPr>
              <w:t xml:space="preserve">                   Departmental</w:t>
            </w:r>
          </w:p>
        </w:tc>
        <w:tc>
          <w:tcPr>
            <w:tcW w:w="915" w:type="dxa"/>
            <w:tcBorders>
              <w:top w:val="nil"/>
              <w:left w:val="nil"/>
              <w:bottom w:val="nil"/>
              <w:right w:val="nil"/>
              <w:tl2br w:val="nil"/>
              <w:tr2bl w:val="nil"/>
            </w:tcBorders>
            <w:shd w:val="clear" w:color="auto" w:fill="FFFFFF"/>
            <w:tcMar>
              <w:left w:w="115" w:type="dxa"/>
              <w:right w:w="115" w:type="dxa"/>
            </w:tcMar>
            <w:vAlign w:val="bottom"/>
          </w:tcPr>
          <w:p w14:paraId="6C3240B3" w14:textId="77777777" w:rsidR="003F0EEA" w:rsidRPr="00250775" w:rsidRDefault="003F0EEA">
            <w:pPr>
              <w:jc w:val="center"/>
              <w:rPr>
                <w:rFonts w:ascii="Arial" w:eastAsia="Arial" w:hAnsi="Arial" w:cs="Arial"/>
                <w:color w:val="000000"/>
                <w:sz w:val="16"/>
                <w:vertAlign w:val="superscript"/>
              </w:rPr>
            </w:pPr>
          </w:p>
        </w:tc>
        <w:tc>
          <w:tcPr>
            <w:tcW w:w="1005" w:type="dxa"/>
            <w:tcBorders>
              <w:top w:val="nil"/>
              <w:left w:val="nil"/>
              <w:bottom w:val="single" w:sz="6" w:space="0" w:color="000000"/>
              <w:right w:val="nil"/>
              <w:tl2br w:val="nil"/>
              <w:tr2bl w:val="nil"/>
            </w:tcBorders>
            <w:shd w:val="clear" w:color="auto" w:fill="FFFF00"/>
            <w:tcMar>
              <w:left w:w="115" w:type="dxa"/>
              <w:right w:w="115" w:type="dxa"/>
            </w:tcMar>
            <w:vAlign w:val="bottom"/>
          </w:tcPr>
          <w:p w14:paraId="5EE900F2" w14:textId="77777777" w:rsidR="003F0EEA" w:rsidRPr="00250775" w:rsidRDefault="00FB7D0B">
            <w:pPr>
              <w:jc w:val="right"/>
              <w:rPr>
                <w:rFonts w:ascii="Arial" w:eastAsia="Arial" w:hAnsi="Arial" w:cs="Arial"/>
                <w:color w:val="000000"/>
                <w:sz w:val="16"/>
                <w:vertAlign w:val="superscript"/>
              </w:rPr>
            </w:pPr>
            <w:r w:rsidRPr="00250775">
              <w:rPr>
                <w:rFonts w:ascii="Arial" w:eastAsia="Arial" w:hAnsi="Arial" w:cs="Arial"/>
                <w:color w:val="000000"/>
                <w:sz w:val="16"/>
              </w:rPr>
              <w:t>(676)</w:t>
            </w:r>
          </w:p>
        </w:tc>
        <w:tc>
          <w:tcPr>
            <w:tcW w:w="1005"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2BD62FBD" w14:textId="77777777" w:rsidR="003F0EEA" w:rsidRPr="00250775" w:rsidRDefault="00FB7D0B">
            <w:pPr>
              <w:jc w:val="right"/>
              <w:rPr>
                <w:rFonts w:ascii="Arial" w:eastAsia="Arial" w:hAnsi="Arial" w:cs="Arial"/>
                <w:color w:val="000000"/>
                <w:sz w:val="16"/>
              </w:rPr>
            </w:pPr>
            <w:r w:rsidRPr="00250775">
              <w:rPr>
                <w:rFonts w:ascii="Arial" w:eastAsia="Arial" w:hAnsi="Arial" w:cs="Arial"/>
                <w:color w:val="000000"/>
                <w:sz w:val="16"/>
              </w:rPr>
              <w:t>598  </w:t>
            </w:r>
          </w:p>
        </w:tc>
        <w:tc>
          <w:tcPr>
            <w:tcW w:w="1005" w:type="dxa"/>
            <w:tcBorders>
              <w:top w:val="nil"/>
              <w:left w:val="nil"/>
              <w:bottom w:val="single" w:sz="6" w:space="0" w:color="000000"/>
              <w:right w:val="nil"/>
              <w:tl2br w:val="nil"/>
              <w:tr2bl w:val="nil"/>
            </w:tcBorders>
            <w:shd w:val="clear" w:color="auto" w:fill="FFFF00"/>
            <w:tcMar>
              <w:left w:w="115" w:type="dxa"/>
              <w:right w:w="115" w:type="dxa"/>
            </w:tcMar>
            <w:vAlign w:val="bottom"/>
          </w:tcPr>
          <w:p w14:paraId="52F227BF" w14:textId="77777777" w:rsidR="003F0EEA" w:rsidRPr="00250775" w:rsidRDefault="00FB7D0B">
            <w:pPr>
              <w:jc w:val="right"/>
              <w:rPr>
                <w:rFonts w:ascii="Arial" w:eastAsia="Arial" w:hAnsi="Arial" w:cs="Arial"/>
                <w:color w:val="000000"/>
                <w:sz w:val="16"/>
              </w:rPr>
            </w:pPr>
            <w:r w:rsidRPr="00250775">
              <w:rPr>
                <w:rFonts w:ascii="Arial" w:eastAsia="Arial" w:hAnsi="Arial" w:cs="Arial"/>
                <w:color w:val="000000"/>
                <w:sz w:val="16"/>
              </w:rPr>
              <w:t>(1,136)</w:t>
            </w:r>
          </w:p>
        </w:tc>
        <w:tc>
          <w:tcPr>
            <w:tcW w:w="1005"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2EEBAC2B" w14:textId="77777777" w:rsidR="003F0EEA" w:rsidRPr="00250775" w:rsidRDefault="00FB7D0B">
            <w:pPr>
              <w:jc w:val="right"/>
              <w:rPr>
                <w:rFonts w:ascii="Arial" w:eastAsia="Arial" w:hAnsi="Arial" w:cs="Arial"/>
                <w:color w:val="000000"/>
                <w:sz w:val="16"/>
              </w:rPr>
            </w:pPr>
            <w:r w:rsidRPr="00250775">
              <w:rPr>
                <w:rFonts w:ascii="Arial" w:eastAsia="Arial" w:hAnsi="Arial" w:cs="Arial"/>
                <w:color w:val="000000"/>
                <w:sz w:val="16"/>
              </w:rPr>
              <w:t>(1,980)</w:t>
            </w:r>
          </w:p>
        </w:tc>
        <w:tc>
          <w:tcPr>
            <w:tcW w:w="1005" w:type="dxa"/>
            <w:tcBorders>
              <w:top w:val="nil"/>
              <w:left w:val="nil"/>
              <w:bottom w:val="single" w:sz="6" w:space="0" w:color="000000"/>
              <w:right w:val="nil"/>
              <w:tl2br w:val="nil"/>
              <w:tr2bl w:val="nil"/>
            </w:tcBorders>
            <w:shd w:val="clear" w:color="auto" w:fill="FFFF00"/>
            <w:tcMar>
              <w:left w:w="115" w:type="dxa"/>
              <w:right w:w="115" w:type="dxa"/>
            </w:tcMar>
            <w:vAlign w:val="bottom"/>
          </w:tcPr>
          <w:p w14:paraId="2238C909" w14:textId="77777777" w:rsidR="003F0EEA" w:rsidRPr="00250775" w:rsidRDefault="00FB7D0B">
            <w:pPr>
              <w:jc w:val="right"/>
              <w:rPr>
                <w:rFonts w:ascii="Arial" w:eastAsia="Arial" w:hAnsi="Arial" w:cs="Arial"/>
                <w:color w:val="000000"/>
                <w:sz w:val="16"/>
              </w:rPr>
            </w:pPr>
            <w:r w:rsidRPr="00250775">
              <w:rPr>
                <w:rFonts w:ascii="Arial" w:eastAsia="Arial" w:hAnsi="Arial" w:cs="Arial"/>
                <w:color w:val="000000"/>
                <w:sz w:val="16"/>
              </w:rPr>
              <w:t>(1,332)</w:t>
            </w:r>
          </w:p>
        </w:tc>
      </w:tr>
      <w:tr w:rsidR="00724034" w14:paraId="4EEE2D1A" w14:textId="77777777">
        <w:trPr>
          <w:trHeight w:val="225"/>
        </w:trPr>
        <w:tc>
          <w:tcPr>
            <w:tcW w:w="180" w:type="dxa"/>
            <w:tcBorders>
              <w:top w:val="nil"/>
              <w:left w:val="nil"/>
              <w:bottom w:val="nil"/>
              <w:right w:val="nil"/>
              <w:tl2br w:val="nil"/>
              <w:tr2bl w:val="nil"/>
            </w:tcBorders>
            <w:shd w:val="clear" w:color="auto" w:fill="FFFFFF"/>
            <w:tcMar>
              <w:left w:w="115" w:type="dxa"/>
              <w:right w:w="115" w:type="dxa"/>
            </w:tcMar>
            <w:vAlign w:val="bottom"/>
          </w:tcPr>
          <w:p w14:paraId="4A7BF63A" w14:textId="77777777" w:rsidR="003F0EEA" w:rsidRPr="00250775" w:rsidRDefault="003F0EEA">
            <w:pPr>
              <w:rPr>
                <w:rFonts w:ascii="Arial" w:eastAsia="Arial" w:hAnsi="Arial" w:cs="Arial"/>
                <w:color w:val="000000"/>
                <w:sz w:val="16"/>
              </w:rPr>
            </w:pPr>
          </w:p>
        </w:tc>
        <w:tc>
          <w:tcPr>
            <w:tcW w:w="2280" w:type="dxa"/>
            <w:tcBorders>
              <w:top w:val="nil"/>
              <w:left w:val="nil"/>
              <w:bottom w:val="nil"/>
              <w:right w:val="nil"/>
              <w:tl2br w:val="nil"/>
              <w:tr2bl w:val="nil"/>
            </w:tcBorders>
            <w:shd w:val="clear" w:color="auto" w:fill="FFFFFF"/>
            <w:tcMar>
              <w:left w:w="115" w:type="dxa"/>
              <w:right w:w="115" w:type="dxa"/>
            </w:tcMar>
            <w:vAlign w:val="bottom"/>
          </w:tcPr>
          <w:p w14:paraId="10A1E551" w14:textId="77777777" w:rsidR="003F0EEA" w:rsidRPr="00250775" w:rsidRDefault="00FB7D0B">
            <w:pPr>
              <w:rPr>
                <w:rFonts w:ascii="Arial" w:eastAsia="Arial" w:hAnsi="Arial" w:cs="Arial"/>
                <w:color w:val="000000"/>
                <w:sz w:val="16"/>
              </w:rPr>
            </w:pPr>
            <w:r w:rsidRPr="00250775">
              <w:rPr>
                <w:rFonts w:ascii="Arial" w:eastAsia="Arial" w:hAnsi="Arial" w:cs="Arial"/>
                <w:b/>
                <w:color w:val="000000"/>
                <w:sz w:val="16"/>
              </w:rPr>
              <w:t xml:space="preserve">                   Total</w:t>
            </w:r>
          </w:p>
        </w:tc>
        <w:tc>
          <w:tcPr>
            <w:tcW w:w="915" w:type="dxa"/>
            <w:tcBorders>
              <w:top w:val="nil"/>
              <w:left w:val="nil"/>
              <w:bottom w:val="nil"/>
              <w:right w:val="nil"/>
              <w:tl2br w:val="nil"/>
              <w:tr2bl w:val="nil"/>
            </w:tcBorders>
            <w:shd w:val="clear" w:color="auto" w:fill="FFFFFF"/>
            <w:tcMar>
              <w:left w:w="115" w:type="dxa"/>
              <w:right w:w="115" w:type="dxa"/>
            </w:tcMar>
            <w:vAlign w:val="bottom"/>
          </w:tcPr>
          <w:p w14:paraId="2DE70A87" w14:textId="77777777" w:rsidR="003F0EEA" w:rsidRPr="00250775" w:rsidRDefault="003F0EEA">
            <w:pPr>
              <w:jc w:val="center"/>
              <w:rPr>
                <w:rFonts w:ascii="Arial" w:eastAsia="Arial" w:hAnsi="Arial" w:cs="Arial"/>
                <w:b/>
                <w:color w:val="000000"/>
                <w:sz w:val="16"/>
                <w:vertAlign w:val="superscript"/>
              </w:rPr>
            </w:pPr>
          </w:p>
        </w:tc>
        <w:tc>
          <w:tcPr>
            <w:tcW w:w="1005" w:type="dxa"/>
            <w:tcBorders>
              <w:top w:val="single" w:sz="6" w:space="0" w:color="000000"/>
              <w:left w:val="nil"/>
              <w:bottom w:val="single" w:sz="6" w:space="0" w:color="000000"/>
              <w:right w:val="nil"/>
              <w:tl2br w:val="nil"/>
              <w:tr2bl w:val="nil"/>
            </w:tcBorders>
            <w:shd w:val="clear" w:color="auto" w:fill="FFFF00"/>
            <w:tcMar>
              <w:left w:w="115" w:type="dxa"/>
              <w:right w:w="115" w:type="dxa"/>
            </w:tcMar>
            <w:vAlign w:val="bottom"/>
          </w:tcPr>
          <w:p w14:paraId="138B9611" w14:textId="77777777" w:rsidR="003F0EEA" w:rsidRPr="00250775" w:rsidRDefault="00FB7D0B">
            <w:pPr>
              <w:jc w:val="right"/>
              <w:rPr>
                <w:rFonts w:ascii="Arial" w:eastAsia="Arial" w:hAnsi="Arial" w:cs="Arial"/>
                <w:color w:val="000000"/>
                <w:sz w:val="16"/>
                <w:vertAlign w:val="superscript"/>
              </w:rPr>
            </w:pPr>
            <w:r w:rsidRPr="00250775">
              <w:rPr>
                <w:rFonts w:ascii="Arial" w:eastAsia="Arial" w:hAnsi="Arial" w:cs="Arial"/>
                <w:b/>
                <w:color w:val="000000"/>
                <w:sz w:val="16"/>
              </w:rPr>
              <w:t>(11,338)</w:t>
            </w:r>
          </w:p>
        </w:tc>
        <w:tc>
          <w:tcPr>
            <w:tcW w:w="1005" w:type="dxa"/>
            <w:tcBorders>
              <w:top w:val="single" w:sz="6" w:space="0" w:color="000000"/>
              <w:left w:val="nil"/>
              <w:bottom w:val="single" w:sz="6" w:space="0" w:color="000000"/>
              <w:right w:val="nil"/>
              <w:tl2br w:val="nil"/>
              <w:tr2bl w:val="nil"/>
            </w:tcBorders>
            <w:shd w:val="clear" w:color="auto" w:fill="FFFFFF"/>
            <w:tcMar>
              <w:left w:w="115" w:type="dxa"/>
              <w:right w:w="115" w:type="dxa"/>
            </w:tcMar>
            <w:vAlign w:val="bottom"/>
          </w:tcPr>
          <w:p w14:paraId="6D08C66A" w14:textId="77777777" w:rsidR="003F0EEA" w:rsidRPr="00250775" w:rsidRDefault="00FB7D0B">
            <w:pPr>
              <w:jc w:val="right"/>
              <w:rPr>
                <w:rFonts w:ascii="Arial" w:eastAsia="Arial" w:hAnsi="Arial" w:cs="Arial"/>
                <w:b/>
                <w:color w:val="000000"/>
                <w:sz w:val="16"/>
              </w:rPr>
            </w:pPr>
            <w:r w:rsidRPr="00250775">
              <w:rPr>
                <w:rFonts w:ascii="Arial" w:eastAsia="Arial" w:hAnsi="Arial" w:cs="Arial"/>
                <w:b/>
                <w:color w:val="000000"/>
                <w:sz w:val="16"/>
              </w:rPr>
              <w:t>(49,536)</w:t>
            </w:r>
          </w:p>
        </w:tc>
        <w:tc>
          <w:tcPr>
            <w:tcW w:w="1005" w:type="dxa"/>
            <w:tcBorders>
              <w:top w:val="single" w:sz="6" w:space="0" w:color="000000"/>
              <w:left w:val="nil"/>
              <w:bottom w:val="single" w:sz="6" w:space="0" w:color="000000"/>
              <w:right w:val="nil"/>
              <w:tl2br w:val="nil"/>
              <w:tr2bl w:val="nil"/>
            </w:tcBorders>
            <w:shd w:val="clear" w:color="auto" w:fill="FFFF00"/>
            <w:tcMar>
              <w:left w:w="115" w:type="dxa"/>
              <w:right w:w="115" w:type="dxa"/>
            </w:tcMar>
            <w:vAlign w:val="bottom"/>
          </w:tcPr>
          <w:p w14:paraId="04B0D236" w14:textId="77777777" w:rsidR="003F0EEA" w:rsidRPr="00250775" w:rsidRDefault="00FB7D0B">
            <w:pPr>
              <w:jc w:val="right"/>
              <w:rPr>
                <w:rFonts w:ascii="Arial" w:eastAsia="Arial" w:hAnsi="Arial" w:cs="Arial"/>
                <w:b/>
                <w:color w:val="000000"/>
                <w:sz w:val="16"/>
              </w:rPr>
            </w:pPr>
            <w:r w:rsidRPr="00250775">
              <w:rPr>
                <w:rFonts w:ascii="Arial" w:eastAsia="Arial" w:hAnsi="Arial" w:cs="Arial"/>
                <w:b/>
                <w:color w:val="000000"/>
                <w:sz w:val="16"/>
              </w:rPr>
              <w:t>(107,784)</w:t>
            </w:r>
          </w:p>
        </w:tc>
        <w:tc>
          <w:tcPr>
            <w:tcW w:w="1005" w:type="dxa"/>
            <w:tcBorders>
              <w:top w:val="single" w:sz="6" w:space="0" w:color="000000"/>
              <w:left w:val="nil"/>
              <w:bottom w:val="single" w:sz="6" w:space="0" w:color="000000"/>
              <w:right w:val="nil"/>
              <w:tl2br w:val="nil"/>
              <w:tr2bl w:val="nil"/>
            </w:tcBorders>
            <w:shd w:val="clear" w:color="auto" w:fill="FFFFFF"/>
            <w:tcMar>
              <w:left w:w="115" w:type="dxa"/>
              <w:right w:w="115" w:type="dxa"/>
            </w:tcMar>
            <w:vAlign w:val="bottom"/>
          </w:tcPr>
          <w:p w14:paraId="0E7D2548" w14:textId="77777777" w:rsidR="003F0EEA" w:rsidRPr="00250775" w:rsidRDefault="00FB7D0B">
            <w:pPr>
              <w:jc w:val="right"/>
              <w:rPr>
                <w:rFonts w:ascii="Arial" w:eastAsia="Arial" w:hAnsi="Arial" w:cs="Arial"/>
                <w:b/>
                <w:color w:val="000000"/>
                <w:sz w:val="16"/>
              </w:rPr>
            </w:pPr>
            <w:r w:rsidRPr="00250775">
              <w:rPr>
                <w:rFonts w:ascii="Arial" w:eastAsia="Arial" w:hAnsi="Arial" w:cs="Arial"/>
                <w:b/>
                <w:color w:val="000000"/>
                <w:sz w:val="16"/>
              </w:rPr>
              <w:t>(127,051)</w:t>
            </w:r>
          </w:p>
        </w:tc>
        <w:tc>
          <w:tcPr>
            <w:tcW w:w="1005" w:type="dxa"/>
            <w:tcBorders>
              <w:top w:val="single" w:sz="6" w:space="0" w:color="000000"/>
              <w:left w:val="nil"/>
              <w:bottom w:val="single" w:sz="6" w:space="0" w:color="000000"/>
              <w:right w:val="nil"/>
              <w:tl2br w:val="nil"/>
              <w:tr2bl w:val="nil"/>
            </w:tcBorders>
            <w:shd w:val="clear" w:color="auto" w:fill="FFFF00"/>
            <w:tcMar>
              <w:left w:w="115" w:type="dxa"/>
              <w:right w:w="115" w:type="dxa"/>
            </w:tcMar>
            <w:vAlign w:val="bottom"/>
          </w:tcPr>
          <w:p w14:paraId="720BEF74" w14:textId="77777777" w:rsidR="003F0EEA" w:rsidRPr="00250775" w:rsidRDefault="00FB7D0B">
            <w:pPr>
              <w:jc w:val="right"/>
              <w:rPr>
                <w:rFonts w:ascii="Arial" w:eastAsia="Arial" w:hAnsi="Arial" w:cs="Arial"/>
                <w:b/>
                <w:color w:val="000000"/>
                <w:sz w:val="16"/>
              </w:rPr>
            </w:pPr>
            <w:r w:rsidRPr="00250775">
              <w:rPr>
                <w:rFonts w:ascii="Arial" w:eastAsia="Arial" w:hAnsi="Arial" w:cs="Arial"/>
                <w:b/>
                <w:color w:val="000000"/>
                <w:sz w:val="16"/>
              </w:rPr>
              <w:t>(215,193)</w:t>
            </w:r>
          </w:p>
        </w:tc>
      </w:tr>
      <w:tr w:rsidR="00724034" w14:paraId="3CCDAA26" w14:textId="77777777">
        <w:trPr>
          <w:trHeight w:val="225"/>
        </w:trPr>
        <w:tc>
          <w:tcPr>
            <w:tcW w:w="180" w:type="dxa"/>
            <w:tcBorders>
              <w:top w:val="nil"/>
              <w:left w:val="nil"/>
              <w:bottom w:val="nil"/>
              <w:right w:val="nil"/>
              <w:tl2br w:val="nil"/>
              <w:tr2bl w:val="nil"/>
            </w:tcBorders>
            <w:shd w:val="clear" w:color="auto" w:fill="FFFFFF"/>
            <w:tcMar>
              <w:left w:w="115" w:type="dxa"/>
              <w:right w:w="115" w:type="dxa"/>
            </w:tcMar>
            <w:vAlign w:val="bottom"/>
          </w:tcPr>
          <w:p w14:paraId="224510F2" w14:textId="77777777" w:rsidR="003F0EEA" w:rsidRPr="00250775" w:rsidRDefault="003F0EEA">
            <w:pPr>
              <w:rPr>
                <w:rFonts w:ascii="Arial" w:eastAsia="Arial" w:hAnsi="Arial" w:cs="Arial"/>
                <w:b/>
                <w:color w:val="000000"/>
                <w:sz w:val="16"/>
              </w:rPr>
            </w:pPr>
          </w:p>
        </w:tc>
        <w:tc>
          <w:tcPr>
            <w:tcW w:w="2280" w:type="dxa"/>
            <w:tcBorders>
              <w:top w:val="nil"/>
              <w:left w:val="nil"/>
              <w:bottom w:val="nil"/>
              <w:right w:val="nil"/>
              <w:tl2br w:val="nil"/>
              <w:tr2bl w:val="nil"/>
            </w:tcBorders>
            <w:shd w:val="clear" w:color="auto" w:fill="FFFFFF"/>
            <w:tcMar>
              <w:left w:w="115" w:type="dxa"/>
              <w:right w:w="115" w:type="dxa"/>
            </w:tcMar>
            <w:vAlign w:val="bottom"/>
          </w:tcPr>
          <w:p w14:paraId="4EA7C6DD" w14:textId="77777777" w:rsidR="003F0EEA" w:rsidRPr="00250775" w:rsidRDefault="003F0EEA">
            <w:pPr>
              <w:rPr>
                <w:rFonts w:ascii="Arial" w:eastAsia="Arial" w:hAnsi="Arial" w:cs="Arial"/>
                <w:b/>
                <w:color w:val="000000"/>
                <w:sz w:val="16"/>
              </w:rPr>
            </w:pPr>
          </w:p>
        </w:tc>
        <w:tc>
          <w:tcPr>
            <w:tcW w:w="915" w:type="dxa"/>
            <w:tcBorders>
              <w:top w:val="nil"/>
              <w:left w:val="nil"/>
              <w:bottom w:val="nil"/>
              <w:right w:val="nil"/>
              <w:tl2br w:val="nil"/>
              <w:tr2bl w:val="nil"/>
            </w:tcBorders>
            <w:shd w:val="clear" w:color="auto" w:fill="FFFFFF"/>
            <w:tcMar>
              <w:left w:w="115" w:type="dxa"/>
              <w:right w:w="115" w:type="dxa"/>
            </w:tcMar>
            <w:vAlign w:val="bottom"/>
          </w:tcPr>
          <w:p w14:paraId="1584F9E8" w14:textId="77777777" w:rsidR="003F0EEA" w:rsidRPr="00250775" w:rsidRDefault="003F0EEA">
            <w:pPr>
              <w:rPr>
                <w:rFonts w:ascii="Arial" w:eastAsia="Arial" w:hAnsi="Arial" w:cs="Arial"/>
                <w:color w:val="000000"/>
                <w:sz w:val="16"/>
                <w:vertAlign w:val="superscript"/>
              </w:rPr>
            </w:pPr>
          </w:p>
        </w:tc>
        <w:tc>
          <w:tcPr>
            <w:tcW w:w="1005" w:type="dxa"/>
            <w:tcBorders>
              <w:top w:val="single" w:sz="6" w:space="0" w:color="000000"/>
              <w:left w:val="nil"/>
              <w:bottom w:val="nil"/>
              <w:right w:val="nil"/>
              <w:tl2br w:val="nil"/>
              <w:tr2bl w:val="nil"/>
            </w:tcBorders>
            <w:shd w:val="clear" w:color="auto" w:fill="FFFF00"/>
            <w:tcMar>
              <w:left w:w="115" w:type="dxa"/>
              <w:right w:w="115" w:type="dxa"/>
            </w:tcMar>
            <w:vAlign w:val="bottom"/>
          </w:tcPr>
          <w:p w14:paraId="29740928" w14:textId="77777777" w:rsidR="003F0EEA" w:rsidRPr="00250775" w:rsidRDefault="003F0EEA">
            <w:pPr>
              <w:rPr>
                <w:rFonts w:ascii="Arial" w:eastAsia="Arial" w:hAnsi="Arial" w:cs="Arial"/>
                <w:color w:val="000000"/>
                <w:sz w:val="16"/>
                <w:vertAlign w:val="superscript"/>
              </w:rPr>
            </w:pPr>
          </w:p>
        </w:tc>
        <w:tc>
          <w:tcPr>
            <w:tcW w:w="1005"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63900F22" w14:textId="77777777" w:rsidR="003F0EEA" w:rsidRPr="00250775" w:rsidRDefault="003F0EEA">
            <w:pPr>
              <w:rPr>
                <w:rFonts w:ascii="Arial" w:eastAsia="Arial" w:hAnsi="Arial" w:cs="Arial"/>
                <w:color w:val="000000"/>
                <w:sz w:val="16"/>
                <w:vertAlign w:val="superscript"/>
              </w:rPr>
            </w:pPr>
          </w:p>
        </w:tc>
        <w:tc>
          <w:tcPr>
            <w:tcW w:w="1005" w:type="dxa"/>
            <w:tcBorders>
              <w:top w:val="single" w:sz="6" w:space="0" w:color="000000"/>
              <w:left w:val="nil"/>
              <w:bottom w:val="nil"/>
              <w:right w:val="nil"/>
              <w:tl2br w:val="nil"/>
              <w:tr2bl w:val="nil"/>
            </w:tcBorders>
            <w:shd w:val="clear" w:color="auto" w:fill="FFFF00"/>
            <w:tcMar>
              <w:left w:w="115" w:type="dxa"/>
              <w:right w:w="115" w:type="dxa"/>
            </w:tcMar>
            <w:vAlign w:val="bottom"/>
          </w:tcPr>
          <w:p w14:paraId="28A16FC2" w14:textId="77777777" w:rsidR="003F0EEA" w:rsidRPr="00250775" w:rsidRDefault="003F0EEA">
            <w:pPr>
              <w:rPr>
                <w:rFonts w:ascii="Arial" w:eastAsia="Arial" w:hAnsi="Arial" w:cs="Arial"/>
                <w:color w:val="000000"/>
                <w:sz w:val="16"/>
                <w:vertAlign w:val="superscript"/>
              </w:rPr>
            </w:pPr>
          </w:p>
        </w:tc>
        <w:tc>
          <w:tcPr>
            <w:tcW w:w="1005"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5449283D" w14:textId="77777777" w:rsidR="003F0EEA" w:rsidRPr="00250775" w:rsidRDefault="003F0EEA">
            <w:pPr>
              <w:rPr>
                <w:rFonts w:ascii="Arial" w:eastAsia="Arial" w:hAnsi="Arial" w:cs="Arial"/>
                <w:color w:val="000000"/>
                <w:sz w:val="16"/>
                <w:vertAlign w:val="superscript"/>
              </w:rPr>
            </w:pPr>
          </w:p>
        </w:tc>
        <w:tc>
          <w:tcPr>
            <w:tcW w:w="1005" w:type="dxa"/>
            <w:tcBorders>
              <w:top w:val="single" w:sz="6" w:space="0" w:color="000000"/>
              <w:left w:val="nil"/>
              <w:bottom w:val="nil"/>
              <w:right w:val="nil"/>
              <w:tl2br w:val="nil"/>
              <w:tr2bl w:val="nil"/>
            </w:tcBorders>
            <w:shd w:val="clear" w:color="auto" w:fill="FFFF00"/>
            <w:tcMar>
              <w:left w:w="115" w:type="dxa"/>
              <w:right w:w="115" w:type="dxa"/>
            </w:tcMar>
            <w:vAlign w:val="bottom"/>
          </w:tcPr>
          <w:p w14:paraId="15997FEF" w14:textId="77777777" w:rsidR="003F0EEA" w:rsidRPr="00250775" w:rsidRDefault="003F0EEA">
            <w:pPr>
              <w:rPr>
                <w:rFonts w:ascii="Arial" w:eastAsia="Arial" w:hAnsi="Arial" w:cs="Arial"/>
                <w:color w:val="000000"/>
                <w:sz w:val="16"/>
                <w:vertAlign w:val="superscript"/>
              </w:rPr>
            </w:pPr>
          </w:p>
        </w:tc>
      </w:tr>
      <w:tr w:rsidR="00FB7D0B" w14:paraId="4B19102B" w14:textId="77777777" w:rsidTr="00FB7D0B">
        <w:trPr>
          <w:trHeight w:val="225"/>
        </w:trPr>
        <w:tc>
          <w:tcPr>
            <w:tcW w:w="2460" w:type="dxa"/>
            <w:gridSpan w:val="2"/>
            <w:tcBorders>
              <w:top w:val="nil"/>
              <w:left w:val="nil"/>
              <w:bottom w:val="nil"/>
              <w:right w:val="nil"/>
              <w:tl2br w:val="nil"/>
              <w:tr2bl w:val="nil"/>
            </w:tcBorders>
            <w:shd w:val="clear" w:color="auto" w:fill="FFFFFF"/>
            <w:tcMar>
              <w:left w:w="115" w:type="dxa"/>
              <w:right w:w="115" w:type="dxa"/>
            </w:tcMar>
            <w:vAlign w:val="bottom"/>
          </w:tcPr>
          <w:p w14:paraId="390541BB" w14:textId="77777777" w:rsidR="003F0EEA" w:rsidRPr="00250775" w:rsidRDefault="00FB7D0B">
            <w:pPr>
              <w:rPr>
                <w:rFonts w:ascii="Arial" w:eastAsia="Arial" w:hAnsi="Arial" w:cs="Arial"/>
                <w:color w:val="000000"/>
                <w:sz w:val="16"/>
                <w:vertAlign w:val="superscript"/>
              </w:rPr>
            </w:pPr>
            <w:r w:rsidRPr="00250775">
              <w:rPr>
                <w:rFonts w:ascii="Arial" w:eastAsia="Arial" w:hAnsi="Arial" w:cs="Arial"/>
                <w:b/>
                <w:color w:val="000000"/>
                <w:sz w:val="16"/>
              </w:rPr>
              <w:t>Capital Measures</w:t>
            </w:r>
          </w:p>
        </w:tc>
        <w:tc>
          <w:tcPr>
            <w:tcW w:w="915" w:type="dxa"/>
            <w:tcBorders>
              <w:top w:val="nil"/>
              <w:left w:val="nil"/>
              <w:bottom w:val="nil"/>
              <w:right w:val="nil"/>
              <w:tl2br w:val="nil"/>
              <w:tr2bl w:val="nil"/>
            </w:tcBorders>
            <w:shd w:val="clear" w:color="auto" w:fill="FFFFFF"/>
            <w:tcMar>
              <w:left w:w="115" w:type="dxa"/>
              <w:right w:w="115" w:type="dxa"/>
            </w:tcMar>
            <w:vAlign w:val="bottom"/>
          </w:tcPr>
          <w:p w14:paraId="19B7792E" w14:textId="77777777" w:rsidR="003F0EEA" w:rsidRPr="00250775" w:rsidRDefault="003F0EEA">
            <w:pPr>
              <w:rPr>
                <w:rFonts w:ascii="Arial" w:eastAsia="Arial" w:hAnsi="Arial" w:cs="Arial"/>
                <w:color w:val="000000"/>
                <w:sz w:val="16"/>
                <w:vertAlign w:val="superscript"/>
              </w:rPr>
            </w:pPr>
          </w:p>
        </w:tc>
        <w:tc>
          <w:tcPr>
            <w:tcW w:w="1005" w:type="dxa"/>
            <w:tcBorders>
              <w:top w:val="nil"/>
              <w:left w:val="nil"/>
              <w:bottom w:val="nil"/>
              <w:right w:val="nil"/>
              <w:tl2br w:val="nil"/>
              <w:tr2bl w:val="nil"/>
            </w:tcBorders>
            <w:shd w:val="clear" w:color="auto" w:fill="FFFF00"/>
            <w:tcMar>
              <w:left w:w="115" w:type="dxa"/>
              <w:right w:w="115" w:type="dxa"/>
            </w:tcMar>
            <w:vAlign w:val="bottom"/>
          </w:tcPr>
          <w:p w14:paraId="2EB08FD0" w14:textId="77777777" w:rsidR="003F0EEA" w:rsidRPr="00250775" w:rsidRDefault="003F0EEA">
            <w:pPr>
              <w:rPr>
                <w:rFonts w:ascii="Arial" w:eastAsia="Arial" w:hAnsi="Arial" w:cs="Arial"/>
                <w:color w:val="000000"/>
                <w:sz w:val="16"/>
                <w:vertAlign w:val="superscript"/>
              </w:rPr>
            </w:pPr>
          </w:p>
        </w:tc>
        <w:tc>
          <w:tcPr>
            <w:tcW w:w="1005" w:type="dxa"/>
            <w:tcBorders>
              <w:top w:val="nil"/>
              <w:left w:val="nil"/>
              <w:bottom w:val="nil"/>
              <w:right w:val="nil"/>
              <w:tl2br w:val="nil"/>
              <w:tr2bl w:val="nil"/>
            </w:tcBorders>
            <w:shd w:val="clear" w:color="auto" w:fill="FFFFFF"/>
            <w:tcMar>
              <w:left w:w="115" w:type="dxa"/>
              <w:right w:w="115" w:type="dxa"/>
            </w:tcMar>
            <w:vAlign w:val="bottom"/>
          </w:tcPr>
          <w:p w14:paraId="4689D795" w14:textId="77777777" w:rsidR="003F0EEA" w:rsidRPr="00250775" w:rsidRDefault="003F0EEA">
            <w:pPr>
              <w:rPr>
                <w:rFonts w:ascii="Arial" w:eastAsia="Arial" w:hAnsi="Arial" w:cs="Arial"/>
                <w:color w:val="000000"/>
                <w:sz w:val="16"/>
                <w:vertAlign w:val="superscript"/>
              </w:rPr>
            </w:pPr>
          </w:p>
        </w:tc>
        <w:tc>
          <w:tcPr>
            <w:tcW w:w="1005" w:type="dxa"/>
            <w:tcBorders>
              <w:top w:val="nil"/>
              <w:left w:val="nil"/>
              <w:bottom w:val="nil"/>
              <w:right w:val="nil"/>
              <w:tl2br w:val="nil"/>
              <w:tr2bl w:val="nil"/>
            </w:tcBorders>
            <w:shd w:val="clear" w:color="auto" w:fill="FFFF00"/>
            <w:tcMar>
              <w:left w:w="115" w:type="dxa"/>
              <w:right w:w="115" w:type="dxa"/>
            </w:tcMar>
            <w:vAlign w:val="bottom"/>
          </w:tcPr>
          <w:p w14:paraId="312051BC" w14:textId="77777777" w:rsidR="003F0EEA" w:rsidRPr="00250775" w:rsidRDefault="003F0EEA">
            <w:pPr>
              <w:rPr>
                <w:rFonts w:ascii="Arial" w:eastAsia="Arial" w:hAnsi="Arial" w:cs="Arial"/>
                <w:color w:val="000000"/>
                <w:sz w:val="16"/>
                <w:vertAlign w:val="superscript"/>
              </w:rPr>
            </w:pPr>
          </w:p>
        </w:tc>
        <w:tc>
          <w:tcPr>
            <w:tcW w:w="1005" w:type="dxa"/>
            <w:tcBorders>
              <w:top w:val="nil"/>
              <w:left w:val="nil"/>
              <w:bottom w:val="nil"/>
              <w:right w:val="nil"/>
              <w:tl2br w:val="nil"/>
              <w:tr2bl w:val="nil"/>
            </w:tcBorders>
            <w:shd w:val="clear" w:color="auto" w:fill="FFFFFF"/>
            <w:tcMar>
              <w:left w:w="115" w:type="dxa"/>
              <w:right w:w="115" w:type="dxa"/>
            </w:tcMar>
            <w:vAlign w:val="bottom"/>
          </w:tcPr>
          <w:p w14:paraId="3FEC74A3" w14:textId="77777777" w:rsidR="003F0EEA" w:rsidRPr="00250775" w:rsidRDefault="003F0EEA">
            <w:pPr>
              <w:rPr>
                <w:rFonts w:ascii="Arial" w:eastAsia="Arial" w:hAnsi="Arial" w:cs="Arial"/>
                <w:color w:val="000000"/>
                <w:sz w:val="16"/>
                <w:vertAlign w:val="superscript"/>
              </w:rPr>
            </w:pPr>
          </w:p>
        </w:tc>
        <w:tc>
          <w:tcPr>
            <w:tcW w:w="1005" w:type="dxa"/>
            <w:tcBorders>
              <w:top w:val="nil"/>
              <w:left w:val="nil"/>
              <w:bottom w:val="nil"/>
              <w:right w:val="nil"/>
              <w:tl2br w:val="nil"/>
              <w:tr2bl w:val="nil"/>
            </w:tcBorders>
            <w:shd w:val="clear" w:color="auto" w:fill="FFFF00"/>
            <w:tcMar>
              <w:left w:w="115" w:type="dxa"/>
              <w:right w:w="115" w:type="dxa"/>
            </w:tcMar>
            <w:vAlign w:val="bottom"/>
          </w:tcPr>
          <w:p w14:paraId="6D4354CC" w14:textId="77777777" w:rsidR="003F0EEA" w:rsidRPr="00250775" w:rsidRDefault="003F0EEA">
            <w:pPr>
              <w:rPr>
                <w:rFonts w:ascii="Arial" w:eastAsia="Arial" w:hAnsi="Arial" w:cs="Arial"/>
                <w:color w:val="000000"/>
                <w:sz w:val="16"/>
                <w:vertAlign w:val="superscript"/>
              </w:rPr>
            </w:pPr>
          </w:p>
        </w:tc>
      </w:tr>
      <w:tr w:rsidR="00FB7D0B" w14:paraId="495BFEA5" w14:textId="77777777" w:rsidTr="00FB7D0B">
        <w:trPr>
          <w:trHeight w:val="705"/>
        </w:trPr>
        <w:tc>
          <w:tcPr>
            <w:tcW w:w="2460" w:type="dxa"/>
            <w:gridSpan w:val="2"/>
            <w:tcBorders>
              <w:top w:val="nil"/>
              <w:left w:val="nil"/>
              <w:bottom w:val="nil"/>
              <w:right w:val="nil"/>
              <w:tl2br w:val="nil"/>
              <w:tr2bl w:val="nil"/>
            </w:tcBorders>
            <w:shd w:val="clear" w:color="auto" w:fill="FFFFFF"/>
            <w:tcMar>
              <w:left w:w="115" w:type="dxa"/>
              <w:right w:w="115" w:type="dxa"/>
            </w:tcMar>
            <w:vAlign w:val="bottom"/>
          </w:tcPr>
          <w:p w14:paraId="1B8E176B" w14:textId="77777777" w:rsidR="003F0EEA" w:rsidRPr="00250775" w:rsidRDefault="00FB7D0B">
            <w:pPr>
              <w:rPr>
                <w:rFonts w:ascii="Arial" w:eastAsia="Arial" w:hAnsi="Arial" w:cs="Arial"/>
                <w:color w:val="000000"/>
                <w:sz w:val="16"/>
                <w:vertAlign w:val="superscript"/>
              </w:rPr>
            </w:pPr>
            <w:r w:rsidRPr="00250775">
              <w:rPr>
                <w:rFonts w:ascii="Arial" w:eastAsia="Arial" w:hAnsi="Arial" w:cs="Arial"/>
                <w:color w:val="000000"/>
                <w:sz w:val="16"/>
              </w:rPr>
              <w:t>Western Front Interpretive Centre - Villers-Bretonneux, France - initial funding</w:t>
            </w:r>
          </w:p>
        </w:tc>
        <w:tc>
          <w:tcPr>
            <w:tcW w:w="915" w:type="dxa"/>
            <w:tcBorders>
              <w:top w:val="nil"/>
              <w:left w:val="nil"/>
              <w:bottom w:val="nil"/>
              <w:right w:val="nil"/>
              <w:tl2br w:val="nil"/>
              <w:tr2bl w:val="nil"/>
            </w:tcBorders>
            <w:shd w:val="clear" w:color="auto" w:fill="FFFFFF"/>
            <w:tcMar>
              <w:left w:w="115" w:type="dxa"/>
              <w:right w:w="115" w:type="dxa"/>
            </w:tcMar>
            <w:vAlign w:val="bottom"/>
          </w:tcPr>
          <w:p w14:paraId="35251686" w14:textId="77777777" w:rsidR="003F0EEA" w:rsidRPr="00250775" w:rsidRDefault="00FB7D0B">
            <w:pPr>
              <w:jc w:val="center"/>
              <w:rPr>
                <w:rFonts w:ascii="Arial" w:eastAsia="Arial" w:hAnsi="Arial" w:cs="Arial"/>
                <w:color w:val="000000"/>
                <w:sz w:val="16"/>
                <w:vertAlign w:val="superscript"/>
              </w:rPr>
            </w:pPr>
            <w:r w:rsidRPr="00250775">
              <w:rPr>
                <w:rFonts w:ascii="Arial" w:eastAsia="Arial" w:hAnsi="Arial" w:cs="Arial"/>
                <w:color w:val="000000"/>
                <w:sz w:val="16"/>
              </w:rPr>
              <w:t>3.1 </w:t>
            </w:r>
          </w:p>
        </w:tc>
        <w:tc>
          <w:tcPr>
            <w:tcW w:w="1005" w:type="dxa"/>
            <w:tcBorders>
              <w:top w:val="nil"/>
              <w:left w:val="nil"/>
              <w:bottom w:val="nil"/>
              <w:right w:val="nil"/>
              <w:tl2br w:val="nil"/>
              <w:tr2bl w:val="nil"/>
            </w:tcBorders>
            <w:shd w:val="clear" w:color="auto" w:fill="FFFF00"/>
            <w:tcMar>
              <w:left w:w="115" w:type="dxa"/>
              <w:right w:w="115" w:type="dxa"/>
            </w:tcMar>
            <w:vAlign w:val="bottom"/>
          </w:tcPr>
          <w:p w14:paraId="6ADDE46D" w14:textId="77777777" w:rsidR="003F0EEA" w:rsidRPr="00250775" w:rsidRDefault="003F0EEA">
            <w:pPr>
              <w:rPr>
                <w:rFonts w:ascii="Arial" w:eastAsia="Arial" w:hAnsi="Arial" w:cs="Arial"/>
                <w:color w:val="000000"/>
                <w:sz w:val="16"/>
              </w:rPr>
            </w:pPr>
          </w:p>
        </w:tc>
        <w:tc>
          <w:tcPr>
            <w:tcW w:w="1005" w:type="dxa"/>
            <w:tcBorders>
              <w:top w:val="nil"/>
              <w:left w:val="nil"/>
              <w:bottom w:val="nil"/>
              <w:right w:val="nil"/>
              <w:tl2br w:val="nil"/>
              <w:tr2bl w:val="nil"/>
            </w:tcBorders>
            <w:shd w:val="clear" w:color="auto" w:fill="FFFFFF"/>
            <w:tcMar>
              <w:left w:w="115" w:type="dxa"/>
              <w:right w:w="115" w:type="dxa"/>
            </w:tcMar>
            <w:vAlign w:val="bottom"/>
          </w:tcPr>
          <w:p w14:paraId="5D9109F4" w14:textId="77777777" w:rsidR="003F0EEA" w:rsidRPr="00250775" w:rsidRDefault="003F0EEA">
            <w:pPr>
              <w:rPr>
                <w:rFonts w:ascii="Arial" w:eastAsia="Arial" w:hAnsi="Arial" w:cs="Arial"/>
                <w:color w:val="000000"/>
                <w:sz w:val="16"/>
              </w:rPr>
            </w:pPr>
          </w:p>
        </w:tc>
        <w:tc>
          <w:tcPr>
            <w:tcW w:w="1005" w:type="dxa"/>
            <w:tcBorders>
              <w:top w:val="nil"/>
              <w:left w:val="nil"/>
              <w:bottom w:val="nil"/>
              <w:right w:val="nil"/>
              <w:tl2br w:val="nil"/>
              <w:tr2bl w:val="nil"/>
            </w:tcBorders>
            <w:shd w:val="clear" w:color="auto" w:fill="FFFF00"/>
            <w:tcMar>
              <w:left w:w="115" w:type="dxa"/>
              <w:right w:w="115" w:type="dxa"/>
            </w:tcMar>
            <w:vAlign w:val="bottom"/>
          </w:tcPr>
          <w:p w14:paraId="2037C643" w14:textId="77777777" w:rsidR="003F0EEA" w:rsidRPr="00250775" w:rsidRDefault="003F0EEA">
            <w:pPr>
              <w:rPr>
                <w:rFonts w:ascii="Arial" w:eastAsia="Arial" w:hAnsi="Arial" w:cs="Arial"/>
                <w:color w:val="000000"/>
                <w:sz w:val="16"/>
              </w:rPr>
            </w:pPr>
          </w:p>
        </w:tc>
        <w:tc>
          <w:tcPr>
            <w:tcW w:w="1005" w:type="dxa"/>
            <w:tcBorders>
              <w:top w:val="nil"/>
              <w:left w:val="nil"/>
              <w:bottom w:val="nil"/>
              <w:right w:val="nil"/>
              <w:tl2br w:val="nil"/>
              <w:tr2bl w:val="nil"/>
            </w:tcBorders>
            <w:shd w:val="clear" w:color="auto" w:fill="FFFFFF"/>
            <w:tcMar>
              <w:left w:w="115" w:type="dxa"/>
              <w:right w:w="115" w:type="dxa"/>
            </w:tcMar>
            <w:vAlign w:val="bottom"/>
          </w:tcPr>
          <w:p w14:paraId="16BDAC0B" w14:textId="77777777" w:rsidR="003F0EEA" w:rsidRPr="00250775" w:rsidRDefault="003F0EEA">
            <w:pPr>
              <w:rPr>
                <w:rFonts w:ascii="Arial" w:eastAsia="Arial" w:hAnsi="Arial" w:cs="Arial"/>
                <w:color w:val="000000"/>
                <w:sz w:val="16"/>
              </w:rPr>
            </w:pPr>
          </w:p>
        </w:tc>
        <w:tc>
          <w:tcPr>
            <w:tcW w:w="1005" w:type="dxa"/>
            <w:tcBorders>
              <w:top w:val="nil"/>
              <w:left w:val="nil"/>
              <w:bottom w:val="nil"/>
              <w:right w:val="nil"/>
              <w:tl2br w:val="nil"/>
              <w:tr2bl w:val="nil"/>
            </w:tcBorders>
            <w:shd w:val="clear" w:color="auto" w:fill="FFFF00"/>
            <w:tcMar>
              <w:left w:w="115" w:type="dxa"/>
              <w:right w:w="115" w:type="dxa"/>
            </w:tcMar>
            <w:vAlign w:val="bottom"/>
          </w:tcPr>
          <w:p w14:paraId="057DE237" w14:textId="77777777" w:rsidR="003F0EEA" w:rsidRPr="00250775" w:rsidRDefault="003F0EEA">
            <w:pPr>
              <w:rPr>
                <w:rFonts w:ascii="Arial" w:eastAsia="Arial" w:hAnsi="Arial" w:cs="Arial"/>
                <w:color w:val="000000"/>
                <w:sz w:val="16"/>
              </w:rPr>
            </w:pPr>
          </w:p>
        </w:tc>
      </w:tr>
      <w:tr w:rsidR="00724034" w14:paraId="594547CE" w14:textId="77777777">
        <w:trPr>
          <w:trHeight w:val="225"/>
        </w:trPr>
        <w:tc>
          <w:tcPr>
            <w:tcW w:w="180" w:type="dxa"/>
            <w:tcBorders>
              <w:top w:val="nil"/>
              <w:left w:val="nil"/>
              <w:bottom w:val="nil"/>
              <w:right w:val="nil"/>
              <w:tl2br w:val="nil"/>
              <w:tr2bl w:val="nil"/>
            </w:tcBorders>
            <w:shd w:val="clear" w:color="auto" w:fill="FFFFFF"/>
            <w:tcMar>
              <w:left w:w="115" w:type="dxa"/>
              <w:right w:w="115" w:type="dxa"/>
            </w:tcMar>
            <w:vAlign w:val="bottom"/>
          </w:tcPr>
          <w:p w14:paraId="6944CF4A" w14:textId="77777777" w:rsidR="003F0EEA" w:rsidRPr="00250775" w:rsidRDefault="003F0EEA">
            <w:pPr>
              <w:rPr>
                <w:rFonts w:ascii="Arial" w:eastAsia="Arial" w:hAnsi="Arial" w:cs="Arial"/>
                <w:color w:val="000000"/>
                <w:sz w:val="16"/>
              </w:rPr>
            </w:pPr>
          </w:p>
        </w:tc>
        <w:tc>
          <w:tcPr>
            <w:tcW w:w="2280" w:type="dxa"/>
            <w:tcBorders>
              <w:top w:val="nil"/>
              <w:left w:val="nil"/>
              <w:bottom w:val="nil"/>
              <w:right w:val="nil"/>
              <w:tl2br w:val="nil"/>
              <w:tr2bl w:val="nil"/>
            </w:tcBorders>
            <w:shd w:val="clear" w:color="auto" w:fill="FFFFFF"/>
            <w:tcMar>
              <w:left w:w="115" w:type="dxa"/>
              <w:right w:w="115" w:type="dxa"/>
            </w:tcMar>
            <w:vAlign w:val="bottom"/>
          </w:tcPr>
          <w:p w14:paraId="0FD13170" w14:textId="77777777" w:rsidR="003F0EEA" w:rsidRPr="00250775" w:rsidRDefault="00FB7D0B">
            <w:pPr>
              <w:rPr>
                <w:rFonts w:ascii="Arial" w:eastAsia="Arial" w:hAnsi="Arial" w:cs="Arial"/>
                <w:color w:val="000000"/>
                <w:sz w:val="16"/>
              </w:rPr>
            </w:pPr>
            <w:r w:rsidRPr="00250775">
              <w:rPr>
                <w:rFonts w:ascii="Arial" w:eastAsia="Arial" w:hAnsi="Arial" w:cs="Arial"/>
                <w:color w:val="000000"/>
                <w:sz w:val="16"/>
              </w:rPr>
              <w:t>Administered Capital</w:t>
            </w:r>
          </w:p>
        </w:tc>
        <w:tc>
          <w:tcPr>
            <w:tcW w:w="915" w:type="dxa"/>
            <w:tcBorders>
              <w:top w:val="nil"/>
              <w:left w:val="nil"/>
              <w:bottom w:val="nil"/>
              <w:right w:val="nil"/>
              <w:tl2br w:val="nil"/>
              <w:tr2bl w:val="nil"/>
            </w:tcBorders>
            <w:shd w:val="clear" w:color="auto" w:fill="FFFFFF"/>
            <w:tcMar>
              <w:left w:w="115" w:type="dxa"/>
              <w:right w:w="115" w:type="dxa"/>
            </w:tcMar>
            <w:vAlign w:val="bottom"/>
          </w:tcPr>
          <w:p w14:paraId="67624A36" w14:textId="77777777" w:rsidR="003F0EEA" w:rsidRPr="00250775" w:rsidRDefault="003F0EEA">
            <w:pPr>
              <w:rPr>
                <w:rFonts w:ascii="Arial" w:eastAsia="Arial" w:hAnsi="Arial" w:cs="Arial"/>
                <w:color w:val="000000"/>
                <w:sz w:val="16"/>
                <w:vertAlign w:val="superscript"/>
              </w:rPr>
            </w:pPr>
          </w:p>
        </w:tc>
        <w:tc>
          <w:tcPr>
            <w:tcW w:w="1005" w:type="dxa"/>
            <w:tcBorders>
              <w:top w:val="nil"/>
              <w:left w:val="nil"/>
              <w:bottom w:val="nil"/>
              <w:right w:val="nil"/>
              <w:tl2br w:val="nil"/>
              <w:tr2bl w:val="nil"/>
            </w:tcBorders>
            <w:shd w:val="clear" w:color="auto" w:fill="FFFF00"/>
            <w:tcMar>
              <w:left w:w="115" w:type="dxa"/>
              <w:right w:w="115" w:type="dxa"/>
            </w:tcMar>
            <w:vAlign w:val="bottom"/>
          </w:tcPr>
          <w:p w14:paraId="40C5E01F" w14:textId="77777777" w:rsidR="003F0EEA" w:rsidRPr="00250775" w:rsidRDefault="00FB7D0B">
            <w:pPr>
              <w:jc w:val="right"/>
              <w:rPr>
                <w:rFonts w:ascii="Arial" w:eastAsia="Arial" w:hAnsi="Arial" w:cs="Arial"/>
                <w:color w:val="000000"/>
                <w:sz w:val="16"/>
                <w:vertAlign w:val="superscript"/>
              </w:rPr>
            </w:pPr>
            <w:r w:rsidRPr="00250775">
              <w:rPr>
                <w:rFonts w:ascii="Arial" w:eastAsia="Arial" w:hAnsi="Arial" w:cs="Arial"/>
                <w:color w:val="000000"/>
                <w:sz w:val="16"/>
              </w:rPr>
              <w:t xml:space="preserve"> - </w:t>
            </w:r>
          </w:p>
        </w:tc>
        <w:tc>
          <w:tcPr>
            <w:tcW w:w="1005" w:type="dxa"/>
            <w:tcBorders>
              <w:top w:val="nil"/>
              <w:left w:val="nil"/>
              <w:bottom w:val="nil"/>
              <w:right w:val="nil"/>
              <w:tl2br w:val="nil"/>
              <w:tr2bl w:val="nil"/>
            </w:tcBorders>
            <w:shd w:val="clear" w:color="auto" w:fill="FFFFFF"/>
            <w:tcMar>
              <w:left w:w="115" w:type="dxa"/>
              <w:right w:w="115" w:type="dxa"/>
            </w:tcMar>
            <w:vAlign w:val="bottom"/>
          </w:tcPr>
          <w:p w14:paraId="0233CB53" w14:textId="77777777" w:rsidR="003F0EEA" w:rsidRPr="00250775" w:rsidRDefault="00FB7D0B">
            <w:pPr>
              <w:jc w:val="right"/>
              <w:rPr>
                <w:rFonts w:ascii="Arial" w:eastAsia="Arial" w:hAnsi="Arial" w:cs="Arial"/>
                <w:color w:val="000000"/>
                <w:sz w:val="16"/>
              </w:rPr>
            </w:pPr>
            <w:r w:rsidRPr="00250775">
              <w:rPr>
                <w:rFonts w:ascii="Arial" w:eastAsia="Arial" w:hAnsi="Arial" w:cs="Arial"/>
                <w:color w:val="000000"/>
                <w:sz w:val="16"/>
              </w:rPr>
              <w:t>6,061  </w:t>
            </w:r>
          </w:p>
        </w:tc>
        <w:tc>
          <w:tcPr>
            <w:tcW w:w="1005" w:type="dxa"/>
            <w:tcBorders>
              <w:top w:val="nil"/>
              <w:left w:val="nil"/>
              <w:bottom w:val="nil"/>
              <w:right w:val="nil"/>
              <w:tl2br w:val="nil"/>
              <w:tr2bl w:val="nil"/>
            </w:tcBorders>
            <w:shd w:val="clear" w:color="auto" w:fill="FFFF00"/>
            <w:tcMar>
              <w:left w:w="115" w:type="dxa"/>
              <w:right w:w="115" w:type="dxa"/>
            </w:tcMar>
            <w:vAlign w:val="bottom"/>
          </w:tcPr>
          <w:p w14:paraId="180BDC43" w14:textId="77777777" w:rsidR="003F0EEA" w:rsidRPr="00250775" w:rsidRDefault="00FB7D0B">
            <w:pPr>
              <w:jc w:val="right"/>
              <w:rPr>
                <w:rFonts w:ascii="Arial" w:eastAsia="Arial" w:hAnsi="Arial" w:cs="Arial"/>
                <w:color w:val="000000"/>
                <w:sz w:val="16"/>
              </w:rPr>
            </w:pPr>
            <w:r w:rsidRPr="00250775">
              <w:rPr>
                <w:rFonts w:ascii="Arial" w:eastAsia="Arial" w:hAnsi="Arial" w:cs="Arial"/>
                <w:color w:val="000000"/>
                <w:sz w:val="16"/>
              </w:rPr>
              <w:t xml:space="preserve"> - </w:t>
            </w:r>
          </w:p>
        </w:tc>
        <w:tc>
          <w:tcPr>
            <w:tcW w:w="1005" w:type="dxa"/>
            <w:tcBorders>
              <w:top w:val="nil"/>
              <w:left w:val="nil"/>
              <w:bottom w:val="nil"/>
              <w:right w:val="nil"/>
              <w:tl2br w:val="nil"/>
              <w:tr2bl w:val="nil"/>
            </w:tcBorders>
            <w:shd w:val="clear" w:color="auto" w:fill="FFFFFF"/>
            <w:tcMar>
              <w:left w:w="115" w:type="dxa"/>
              <w:right w:w="115" w:type="dxa"/>
            </w:tcMar>
            <w:vAlign w:val="bottom"/>
          </w:tcPr>
          <w:p w14:paraId="1A0DB728" w14:textId="77777777" w:rsidR="003F0EEA" w:rsidRPr="00250775" w:rsidRDefault="00FB7D0B">
            <w:pPr>
              <w:jc w:val="right"/>
              <w:rPr>
                <w:rFonts w:ascii="Arial" w:eastAsia="Arial" w:hAnsi="Arial" w:cs="Arial"/>
                <w:color w:val="000000"/>
                <w:sz w:val="16"/>
              </w:rPr>
            </w:pPr>
            <w:r w:rsidRPr="00250775">
              <w:rPr>
                <w:rFonts w:ascii="Arial" w:eastAsia="Arial" w:hAnsi="Arial" w:cs="Arial"/>
                <w:color w:val="000000"/>
                <w:sz w:val="16"/>
              </w:rPr>
              <w:t xml:space="preserve"> - </w:t>
            </w:r>
          </w:p>
        </w:tc>
        <w:tc>
          <w:tcPr>
            <w:tcW w:w="1005" w:type="dxa"/>
            <w:tcBorders>
              <w:top w:val="nil"/>
              <w:left w:val="nil"/>
              <w:bottom w:val="nil"/>
              <w:right w:val="nil"/>
              <w:tl2br w:val="nil"/>
              <w:tr2bl w:val="nil"/>
            </w:tcBorders>
            <w:shd w:val="clear" w:color="auto" w:fill="FFFF00"/>
            <w:tcMar>
              <w:left w:w="115" w:type="dxa"/>
              <w:right w:w="115" w:type="dxa"/>
            </w:tcMar>
            <w:vAlign w:val="bottom"/>
          </w:tcPr>
          <w:p w14:paraId="1B384895" w14:textId="77777777" w:rsidR="003F0EEA" w:rsidRPr="00250775" w:rsidRDefault="00FB7D0B">
            <w:pPr>
              <w:jc w:val="right"/>
              <w:rPr>
                <w:rFonts w:ascii="Arial" w:eastAsia="Arial" w:hAnsi="Arial" w:cs="Arial"/>
                <w:color w:val="000000"/>
                <w:sz w:val="16"/>
              </w:rPr>
            </w:pPr>
            <w:r w:rsidRPr="00250775">
              <w:rPr>
                <w:rFonts w:ascii="Arial" w:eastAsia="Arial" w:hAnsi="Arial" w:cs="Arial"/>
                <w:color w:val="000000"/>
                <w:sz w:val="16"/>
              </w:rPr>
              <w:t xml:space="preserve"> - </w:t>
            </w:r>
          </w:p>
        </w:tc>
      </w:tr>
      <w:tr w:rsidR="00FB7D0B" w14:paraId="7017D77E" w14:textId="77777777" w:rsidTr="00FB7D0B">
        <w:trPr>
          <w:trHeight w:val="225"/>
        </w:trPr>
        <w:tc>
          <w:tcPr>
            <w:tcW w:w="2460" w:type="dxa"/>
            <w:gridSpan w:val="2"/>
            <w:tcBorders>
              <w:top w:val="nil"/>
              <w:left w:val="nil"/>
              <w:bottom w:val="nil"/>
              <w:right w:val="nil"/>
              <w:tl2br w:val="nil"/>
              <w:tr2bl w:val="nil"/>
            </w:tcBorders>
            <w:shd w:val="clear" w:color="auto" w:fill="FFFFFF"/>
            <w:tcMar>
              <w:left w:w="115" w:type="dxa"/>
              <w:right w:w="115" w:type="dxa"/>
            </w:tcMar>
            <w:vAlign w:val="bottom"/>
          </w:tcPr>
          <w:p w14:paraId="51E09535" w14:textId="77777777" w:rsidR="003F0EEA" w:rsidRPr="00250775" w:rsidRDefault="00FB7D0B">
            <w:pPr>
              <w:rPr>
                <w:rFonts w:ascii="Arial" w:eastAsia="Arial" w:hAnsi="Arial" w:cs="Arial"/>
                <w:color w:val="000000"/>
                <w:sz w:val="16"/>
              </w:rPr>
            </w:pPr>
            <w:r w:rsidRPr="00250775">
              <w:rPr>
                <w:rFonts w:ascii="Arial" w:eastAsia="Arial" w:hAnsi="Arial" w:cs="Arial"/>
                <w:b/>
                <w:color w:val="000000"/>
                <w:sz w:val="16"/>
              </w:rPr>
              <w:t xml:space="preserve">Total </w:t>
            </w:r>
          </w:p>
        </w:tc>
        <w:tc>
          <w:tcPr>
            <w:tcW w:w="915" w:type="dxa"/>
            <w:tcBorders>
              <w:top w:val="nil"/>
              <w:left w:val="nil"/>
              <w:bottom w:val="nil"/>
              <w:right w:val="nil"/>
              <w:tl2br w:val="nil"/>
              <w:tr2bl w:val="nil"/>
            </w:tcBorders>
            <w:shd w:val="clear" w:color="auto" w:fill="FFFFFF"/>
            <w:tcMar>
              <w:left w:w="115" w:type="dxa"/>
              <w:right w:w="115" w:type="dxa"/>
            </w:tcMar>
            <w:vAlign w:val="bottom"/>
          </w:tcPr>
          <w:p w14:paraId="2FC8F742" w14:textId="77777777" w:rsidR="003F0EEA" w:rsidRPr="00250775" w:rsidRDefault="003F0EEA">
            <w:pPr>
              <w:rPr>
                <w:rFonts w:ascii="Arial" w:eastAsia="Arial" w:hAnsi="Arial" w:cs="Arial"/>
                <w:color w:val="000000"/>
                <w:sz w:val="16"/>
                <w:vertAlign w:val="superscript"/>
              </w:rPr>
            </w:pPr>
          </w:p>
        </w:tc>
        <w:tc>
          <w:tcPr>
            <w:tcW w:w="1005" w:type="dxa"/>
            <w:tcBorders>
              <w:top w:val="nil"/>
              <w:left w:val="nil"/>
              <w:bottom w:val="single" w:sz="6" w:space="0" w:color="000000"/>
              <w:right w:val="nil"/>
              <w:tl2br w:val="nil"/>
              <w:tr2bl w:val="nil"/>
            </w:tcBorders>
            <w:shd w:val="clear" w:color="auto" w:fill="FFFF00"/>
            <w:tcMar>
              <w:left w:w="115" w:type="dxa"/>
              <w:right w:w="115" w:type="dxa"/>
            </w:tcMar>
            <w:vAlign w:val="bottom"/>
          </w:tcPr>
          <w:p w14:paraId="4BC2731F" w14:textId="77777777" w:rsidR="003F0EEA" w:rsidRPr="00250775" w:rsidRDefault="00FB7D0B">
            <w:pPr>
              <w:jc w:val="right"/>
              <w:rPr>
                <w:rFonts w:ascii="Arial" w:eastAsia="Arial" w:hAnsi="Arial" w:cs="Arial"/>
                <w:color w:val="000000"/>
                <w:sz w:val="16"/>
                <w:vertAlign w:val="superscript"/>
              </w:rPr>
            </w:pPr>
            <w:r w:rsidRPr="00250775">
              <w:rPr>
                <w:rFonts w:ascii="Arial" w:eastAsia="Arial" w:hAnsi="Arial" w:cs="Arial"/>
                <w:b/>
                <w:color w:val="000000"/>
                <w:sz w:val="16"/>
              </w:rPr>
              <w:t xml:space="preserve"> - </w:t>
            </w:r>
          </w:p>
        </w:tc>
        <w:tc>
          <w:tcPr>
            <w:tcW w:w="1005"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7DC7456C" w14:textId="77777777" w:rsidR="003F0EEA" w:rsidRPr="00250775" w:rsidRDefault="00FB7D0B">
            <w:pPr>
              <w:jc w:val="right"/>
              <w:rPr>
                <w:rFonts w:ascii="Arial" w:eastAsia="Arial" w:hAnsi="Arial" w:cs="Arial"/>
                <w:b/>
                <w:color w:val="000000"/>
                <w:sz w:val="16"/>
              </w:rPr>
            </w:pPr>
            <w:r w:rsidRPr="00250775">
              <w:rPr>
                <w:rFonts w:ascii="Arial" w:eastAsia="Arial" w:hAnsi="Arial" w:cs="Arial"/>
                <w:b/>
                <w:color w:val="000000"/>
                <w:sz w:val="16"/>
              </w:rPr>
              <w:t>6,061  </w:t>
            </w:r>
          </w:p>
        </w:tc>
        <w:tc>
          <w:tcPr>
            <w:tcW w:w="1005" w:type="dxa"/>
            <w:tcBorders>
              <w:top w:val="nil"/>
              <w:left w:val="nil"/>
              <w:bottom w:val="single" w:sz="6" w:space="0" w:color="000000"/>
              <w:right w:val="nil"/>
              <w:tl2br w:val="nil"/>
              <w:tr2bl w:val="nil"/>
            </w:tcBorders>
            <w:shd w:val="clear" w:color="auto" w:fill="FFFF00"/>
            <w:tcMar>
              <w:left w:w="115" w:type="dxa"/>
              <w:right w:w="115" w:type="dxa"/>
            </w:tcMar>
            <w:vAlign w:val="bottom"/>
          </w:tcPr>
          <w:p w14:paraId="60BF4648" w14:textId="77777777" w:rsidR="003F0EEA" w:rsidRPr="00250775" w:rsidRDefault="00FB7D0B">
            <w:pPr>
              <w:jc w:val="right"/>
              <w:rPr>
                <w:rFonts w:ascii="Arial" w:eastAsia="Arial" w:hAnsi="Arial" w:cs="Arial"/>
                <w:b/>
                <w:color w:val="000000"/>
                <w:sz w:val="16"/>
              </w:rPr>
            </w:pPr>
            <w:r w:rsidRPr="00250775">
              <w:rPr>
                <w:rFonts w:ascii="Arial" w:eastAsia="Arial" w:hAnsi="Arial" w:cs="Arial"/>
                <w:b/>
                <w:color w:val="000000"/>
                <w:sz w:val="16"/>
              </w:rPr>
              <w:t xml:space="preserve"> - </w:t>
            </w:r>
          </w:p>
        </w:tc>
        <w:tc>
          <w:tcPr>
            <w:tcW w:w="1005"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24F81059" w14:textId="77777777" w:rsidR="003F0EEA" w:rsidRPr="00250775" w:rsidRDefault="00FB7D0B">
            <w:pPr>
              <w:jc w:val="right"/>
              <w:rPr>
                <w:rFonts w:ascii="Arial" w:eastAsia="Arial" w:hAnsi="Arial" w:cs="Arial"/>
                <w:b/>
                <w:color w:val="000000"/>
                <w:sz w:val="16"/>
              </w:rPr>
            </w:pPr>
            <w:r w:rsidRPr="00250775">
              <w:rPr>
                <w:rFonts w:ascii="Arial" w:eastAsia="Arial" w:hAnsi="Arial" w:cs="Arial"/>
                <w:b/>
                <w:color w:val="000000"/>
                <w:sz w:val="16"/>
              </w:rPr>
              <w:t xml:space="preserve"> - </w:t>
            </w:r>
          </w:p>
        </w:tc>
        <w:tc>
          <w:tcPr>
            <w:tcW w:w="1005" w:type="dxa"/>
            <w:tcBorders>
              <w:top w:val="nil"/>
              <w:left w:val="nil"/>
              <w:bottom w:val="single" w:sz="6" w:space="0" w:color="000000"/>
              <w:right w:val="nil"/>
              <w:tl2br w:val="nil"/>
              <w:tr2bl w:val="nil"/>
            </w:tcBorders>
            <w:shd w:val="clear" w:color="auto" w:fill="FFFF00"/>
            <w:tcMar>
              <w:left w:w="115" w:type="dxa"/>
              <w:right w:w="115" w:type="dxa"/>
            </w:tcMar>
            <w:vAlign w:val="bottom"/>
          </w:tcPr>
          <w:p w14:paraId="5B97F827" w14:textId="77777777" w:rsidR="003F0EEA" w:rsidRPr="00250775" w:rsidRDefault="00FB7D0B">
            <w:pPr>
              <w:jc w:val="right"/>
              <w:rPr>
                <w:rFonts w:ascii="Arial" w:eastAsia="Arial" w:hAnsi="Arial" w:cs="Arial"/>
                <w:b/>
                <w:color w:val="000000"/>
                <w:sz w:val="16"/>
              </w:rPr>
            </w:pPr>
            <w:r w:rsidRPr="00250775">
              <w:rPr>
                <w:rFonts w:ascii="Arial" w:eastAsia="Arial" w:hAnsi="Arial" w:cs="Arial"/>
                <w:b/>
                <w:color w:val="000000"/>
                <w:sz w:val="16"/>
              </w:rPr>
              <w:t xml:space="preserve"> - </w:t>
            </w:r>
          </w:p>
        </w:tc>
      </w:tr>
      <w:tr w:rsidR="00724034" w14:paraId="77EE4712" w14:textId="77777777">
        <w:trPr>
          <w:trHeight w:val="225"/>
        </w:trPr>
        <w:tc>
          <w:tcPr>
            <w:tcW w:w="180" w:type="dxa"/>
            <w:tcBorders>
              <w:top w:val="nil"/>
              <w:left w:val="nil"/>
              <w:bottom w:val="nil"/>
              <w:right w:val="nil"/>
              <w:tl2br w:val="nil"/>
              <w:tr2bl w:val="nil"/>
            </w:tcBorders>
            <w:shd w:val="clear" w:color="auto" w:fill="FFFFFF"/>
            <w:tcMar>
              <w:left w:w="115" w:type="dxa"/>
              <w:right w:w="115" w:type="dxa"/>
            </w:tcMar>
            <w:vAlign w:val="bottom"/>
          </w:tcPr>
          <w:p w14:paraId="5DB2E91E" w14:textId="77777777" w:rsidR="003F0EEA" w:rsidRPr="00250775" w:rsidRDefault="003F0EEA">
            <w:pPr>
              <w:rPr>
                <w:rFonts w:ascii="Arial" w:eastAsia="Arial" w:hAnsi="Arial" w:cs="Arial"/>
                <w:b/>
                <w:color w:val="000000"/>
                <w:sz w:val="16"/>
              </w:rPr>
            </w:pPr>
          </w:p>
        </w:tc>
        <w:tc>
          <w:tcPr>
            <w:tcW w:w="2280" w:type="dxa"/>
            <w:tcBorders>
              <w:top w:val="nil"/>
              <w:left w:val="nil"/>
              <w:bottom w:val="nil"/>
              <w:right w:val="nil"/>
              <w:tl2br w:val="nil"/>
              <w:tr2bl w:val="nil"/>
            </w:tcBorders>
            <w:shd w:val="clear" w:color="auto" w:fill="FFFFFF"/>
            <w:tcMar>
              <w:left w:w="115" w:type="dxa"/>
              <w:right w:w="115" w:type="dxa"/>
            </w:tcMar>
            <w:vAlign w:val="bottom"/>
          </w:tcPr>
          <w:p w14:paraId="33A616EA" w14:textId="77777777" w:rsidR="003F0EEA" w:rsidRPr="00250775" w:rsidRDefault="003F0EEA">
            <w:pPr>
              <w:rPr>
                <w:rFonts w:ascii="Arial" w:eastAsia="Arial" w:hAnsi="Arial" w:cs="Arial"/>
                <w:b/>
                <w:color w:val="000000"/>
                <w:sz w:val="16"/>
              </w:rPr>
            </w:pPr>
          </w:p>
        </w:tc>
        <w:tc>
          <w:tcPr>
            <w:tcW w:w="915" w:type="dxa"/>
            <w:tcBorders>
              <w:top w:val="nil"/>
              <w:left w:val="nil"/>
              <w:bottom w:val="nil"/>
              <w:right w:val="nil"/>
              <w:tl2br w:val="nil"/>
              <w:tr2bl w:val="nil"/>
            </w:tcBorders>
            <w:shd w:val="clear" w:color="auto" w:fill="FFFFFF"/>
            <w:tcMar>
              <w:left w:w="115" w:type="dxa"/>
              <w:right w:w="115" w:type="dxa"/>
            </w:tcMar>
            <w:vAlign w:val="bottom"/>
          </w:tcPr>
          <w:p w14:paraId="05C9E1E2" w14:textId="77777777" w:rsidR="003F0EEA" w:rsidRPr="00250775" w:rsidRDefault="003F0EEA">
            <w:pPr>
              <w:rPr>
                <w:rFonts w:ascii="Arial" w:eastAsia="Arial" w:hAnsi="Arial" w:cs="Arial"/>
                <w:color w:val="000000"/>
                <w:sz w:val="16"/>
                <w:vertAlign w:val="superscript"/>
              </w:rPr>
            </w:pPr>
          </w:p>
        </w:tc>
        <w:tc>
          <w:tcPr>
            <w:tcW w:w="1005" w:type="dxa"/>
            <w:tcBorders>
              <w:top w:val="single" w:sz="6" w:space="0" w:color="000000"/>
              <w:left w:val="nil"/>
              <w:bottom w:val="nil"/>
              <w:right w:val="nil"/>
              <w:tl2br w:val="nil"/>
              <w:tr2bl w:val="nil"/>
            </w:tcBorders>
            <w:shd w:val="clear" w:color="auto" w:fill="FFFF00"/>
            <w:tcMar>
              <w:left w:w="115" w:type="dxa"/>
              <w:right w:w="115" w:type="dxa"/>
            </w:tcMar>
            <w:vAlign w:val="bottom"/>
          </w:tcPr>
          <w:p w14:paraId="2CEB4A88" w14:textId="77777777" w:rsidR="003F0EEA" w:rsidRPr="00250775" w:rsidRDefault="003F0EEA">
            <w:pPr>
              <w:rPr>
                <w:rFonts w:ascii="Arial" w:eastAsia="Arial" w:hAnsi="Arial" w:cs="Arial"/>
                <w:color w:val="000000"/>
                <w:sz w:val="16"/>
                <w:vertAlign w:val="superscript"/>
              </w:rPr>
            </w:pPr>
          </w:p>
        </w:tc>
        <w:tc>
          <w:tcPr>
            <w:tcW w:w="1005"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59971C6B" w14:textId="77777777" w:rsidR="003F0EEA" w:rsidRPr="00250775" w:rsidRDefault="003F0EEA">
            <w:pPr>
              <w:rPr>
                <w:rFonts w:ascii="Arial" w:eastAsia="Arial" w:hAnsi="Arial" w:cs="Arial"/>
                <w:color w:val="000000"/>
                <w:sz w:val="16"/>
                <w:vertAlign w:val="superscript"/>
              </w:rPr>
            </w:pPr>
          </w:p>
        </w:tc>
        <w:tc>
          <w:tcPr>
            <w:tcW w:w="1005" w:type="dxa"/>
            <w:tcBorders>
              <w:top w:val="single" w:sz="6" w:space="0" w:color="000000"/>
              <w:left w:val="nil"/>
              <w:bottom w:val="nil"/>
              <w:right w:val="nil"/>
              <w:tl2br w:val="nil"/>
              <w:tr2bl w:val="nil"/>
            </w:tcBorders>
            <w:shd w:val="clear" w:color="auto" w:fill="FFFF00"/>
            <w:tcMar>
              <w:left w:w="115" w:type="dxa"/>
              <w:right w:w="115" w:type="dxa"/>
            </w:tcMar>
            <w:vAlign w:val="bottom"/>
          </w:tcPr>
          <w:p w14:paraId="152A2CFC" w14:textId="77777777" w:rsidR="003F0EEA" w:rsidRPr="00250775" w:rsidRDefault="003F0EEA">
            <w:pPr>
              <w:rPr>
                <w:rFonts w:ascii="Arial" w:eastAsia="Arial" w:hAnsi="Arial" w:cs="Arial"/>
                <w:color w:val="000000"/>
                <w:sz w:val="16"/>
                <w:vertAlign w:val="superscript"/>
              </w:rPr>
            </w:pPr>
          </w:p>
        </w:tc>
        <w:tc>
          <w:tcPr>
            <w:tcW w:w="1005"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0E0C798B" w14:textId="77777777" w:rsidR="003F0EEA" w:rsidRPr="00250775" w:rsidRDefault="003F0EEA">
            <w:pPr>
              <w:rPr>
                <w:rFonts w:ascii="Arial" w:eastAsia="Arial" w:hAnsi="Arial" w:cs="Arial"/>
                <w:color w:val="000000"/>
                <w:sz w:val="16"/>
                <w:vertAlign w:val="superscript"/>
              </w:rPr>
            </w:pPr>
          </w:p>
        </w:tc>
        <w:tc>
          <w:tcPr>
            <w:tcW w:w="1005" w:type="dxa"/>
            <w:tcBorders>
              <w:top w:val="single" w:sz="6" w:space="0" w:color="000000"/>
              <w:left w:val="nil"/>
              <w:bottom w:val="nil"/>
              <w:right w:val="nil"/>
              <w:tl2br w:val="nil"/>
              <w:tr2bl w:val="nil"/>
            </w:tcBorders>
            <w:shd w:val="clear" w:color="auto" w:fill="FFFF00"/>
            <w:tcMar>
              <w:left w:w="115" w:type="dxa"/>
              <w:right w:w="115" w:type="dxa"/>
            </w:tcMar>
            <w:vAlign w:val="bottom"/>
          </w:tcPr>
          <w:p w14:paraId="0F9F939A" w14:textId="77777777" w:rsidR="003F0EEA" w:rsidRPr="00250775" w:rsidRDefault="003F0EEA">
            <w:pPr>
              <w:rPr>
                <w:rFonts w:ascii="Arial" w:eastAsia="Arial" w:hAnsi="Arial" w:cs="Arial"/>
                <w:color w:val="000000"/>
                <w:sz w:val="16"/>
                <w:vertAlign w:val="superscript"/>
              </w:rPr>
            </w:pPr>
          </w:p>
        </w:tc>
      </w:tr>
      <w:tr w:rsidR="00FB7D0B" w14:paraId="540529FC" w14:textId="77777777" w:rsidTr="00FB7D0B">
        <w:trPr>
          <w:trHeight w:val="405"/>
        </w:trPr>
        <w:tc>
          <w:tcPr>
            <w:tcW w:w="2460" w:type="dxa"/>
            <w:gridSpan w:val="2"/>
            <w:tcBorders>
              <w:top w:val="nil"/>
              <w:left w:val="nil"/>
              <w:bottom w:val="nil"/>
              <w:right w:val="nil"/>
              <w:tl2br w:val="nil"/>
              <w:tr2bl w:val="nil"/>
            </w:tcBorders>
            <w:shd w:val="clear" w:color="auto" w:fill="FFFFFF"/>
            <w:tcMar>
              <w:left w:w="115" w:type="dxa"/>
              <w:right w:w="115" w:type="dxa"/>
            </w:tcMar>
            <w:vAlign w:val="bottom"/>
          </w:tcPr>
          <w:p w14:paraId="0B296C5D" w14:textId="77777777" w:rsidR="003F0EEA" w:rsidRPr="00250775" w:rsidRDefault="00FB7D0B">
            <w:pPr>
              <w:rPr>
                <w:rFonts w:ascii="Arial" w:eastAsia="Arial" w:hAnsi="Arial" w:cs="Arial"/>
                <w:color w:val="000000"/>
                <w:sz w:val="16"/>
                <w:vertAlign w:val="superscript"/>
              </w:rPr>
            </w:pPr>
            <w:r w:rsidRPr="00250775">
              <w:rPr>
                <w:rFonts w:ascii="Arial" w:eastAsia="Arial" w:hAnsi="Arial" w:cs="Arial"/>
                <w:color w:val="000000"/>
                <w:sz w:val="16"/>
              </w:rPr>
              <w:t>Housing Help for Seniors - pilot - reversal</w:t>
            </w:r>
            <w:r w:rsidRPr="00250775">
              <w:rPr>
                <w:rFonts w:ascii="Arial" w:eastAsia="Arial" w:hAnsi="Arial" w:cs="Arial"/>
                <w:color w:val="000000"/>
                <w:sz w:val="16"/>
                <w:vertAlign w:val="superscript"/>
              </w:rPr>
              <w:t>1 </w:t>
            </w:r>
          </w:p>
        </w:tc>
        <w:tc>
          <w:tcPr>
            <w:tcW w:w="915" w:type="dxa"/>
            <w:tcBorders>
              <w:top w:val="nil"/>
              <w:left w:val="nil"/>
              <w:bottom w:val="nil"/>
              <w:right w:val="nil"/>
              <w:tl2br w:val="nil"/>
              <w:tr2bl w:val="nil"/>
            </w:tcBorders>
            <w:shd w:val="clear" w:color="auto" w:fill="FFFFFF"/>
            <w:tcMar>
              <w:left w:w="115" w:type="dxa"/>
              <w:right w:w="115" w:type="dxa"/>
            </w:tcMar>
            <w:vAlign w:val="bottom"/>
          </w:tcPr>
          <w:p w14:paraId="4F2ED1C6" w14:textId="77777777" w:rsidR="003F0EEA" w:rsidRPr="00250775" w:rsidRDefault="00FB7D0B">
            <w:pPr>
              <w:jc w:val="center"/>
              <w:rPr>
                <w:rFonts w:ascii="Arial" w:eastAsia="Arial" w:hAnsi="Arial" w:cs="Arial"/>
                <w:color w:val="000000"/>
                <w:sz w:val="16"/>
                <w:vertAlign w:val="superscript"/>
              </w:rPr>
            </w:pPr>
            <w:r w:rsidRPr="00250775">
              <w:rPr>
                <w:rFonts w:ascii="Arial" w:eastAsia="Arial" w:hAnsi="Arial" w:cs="Arial"/>
                <w:color w:val="000000"/>
                <w:sz w:val="16"/>
              </w:rPr>
              <w:t>1.1 </w:t>
            </w:r>
          </w:p>
        </w:tc>
        <w:tc>
          <w:tcPr>
            <w:tcW w:w="1005" w:type="dxa"/>
            <w:tcBorders>
              <w:top w:val="nil"/>
              <w:left w:val="nil"/>
              <w:bottom w:val="nil"/>
              <w:right w:val="nil"/>
              <w:tl2br w:val="nil"/>
              <w:tr2bl w:val="nil"/>
            </w:tcBorders>
            <w:shd w:val="clear" w:color="auto" w:fill="FFFF00"/>
            <w:tcMar>
              <w:left w:w="115" w:type="dxa"/>
              <w:right w:w="115" w:type="dxa"/>
            </w:tcMar>
            <w:vAlign w:val="bottom"/>
          </w:tcPr>
          <w:p w14:paraId="5232764A" w14:textId="77777777" w:rsidR="003F0EEA" w:rsidRPr="00250775" w:rsidRDefault="003F0EEA">
            <w:pPr>
              <w:rPr>
                <w:rFonts w:ascii="Arial" w:eastAsia="Arial" w:hAnsi="Arial" w:cs="Arial"/>
                <w:color w:val="000000"/>
                <w:sz w:val="16"/>
              </w:rPr>
            </w:pPr>
          </w:p>
        </w:tc>
        <w:tc>
          <w:tcPr>
            <w:tcW w:w="1005" w:type="dxa"/>
            <w:tcBorders>
              <w:top w:val="nil"/>
              <w:left w:val="nil"/>
              <w:bottom w:val="nil"/>
              <w:right w:val="nil"/>
              <w:tl2br w:val="nil"/>
              <w:tr2bl w:val="nil"/>
            </w:tcBorders>
            <w:shd w:val="clear" w:color="auto" w:fill="FFFFFF"/>
            <w:tcMar>
              <w:left w:w="115" w:type="dxa"/>
              <w:right w:w="115" w:type="dxa"/>
            </w:tcMar>
            <w:vAlign w:val="bottom"/>
          </w:tcPr>
          <w:p w14:paraId="74F0DB28" w14:textId="77777777" w:rsidR="003F0EEA" w:rsidRPr="00250775" w:rsidRDefault="003F0EEA">
            <w:pPr>
              <w:rPr>
                <w:rFonts w:ascii="Arial" w:eastAsia="Arial" w:hAnsi="Arial" w:cs="Arial"/>
                <w:color w:val="000000"/>
                <w:sz w:val="16"/>
              </w:rPr>
            </w:pPr>
          </w:p>
        </w:tc>
        <w:tc>
          <w:tcPr>
            <w:tcW w:w="1005" w:type="dxa"/>
            <w:tcBorders>
              <w:top w:val="nil"/>
              <w:left w:val="nil"/>
              <w:bottom w:val="nil"/>
              <w:right w:val="nil"/>
              <w:tl2br w:val="nil"/>
              <w:tr2bl w:val="nil"/>
            </w:tcBorders>
            <w:shd w:val="clear" w:color="auto" w:fill="FFFF00"/>
            <w:tcMar>
              <w:left w:w="115" w:type="dxa"/>
              <w:right w:w="115" w:type="dxa"/>
            </w:tcMar>
            <w:vAlign w:val="bottom"/>
          </w:tcPr>
          <w:p w14:paraId="57148B69" w14:textId="77777777" w:rsidR="003F0EEA" w:rsidRPr="00250775" w:rsidRDefault="003F0EEA">
            <w:pPr>
              <w:rPr>
                <w:rFonts w:ascii="Arial" w:eastAsia="Arial" w:hAnsi="Arial" w:cs="Arial"/>
                <w:color w:val="000000"/>
                <w:sz w:val="16"/>
              </w:rPr>
            </w:pPr>
          </w:p>
        </w:tc>
        <w:tc>
          <w:tcPr>
            <w:tcW w:w="1005" w:type="dxa"/>
            <w:tcBorders>
              <w:top w:val="nil"/>
              <w:left w:val="nil"/>
              <w:bottom w:val="nil"/>
              <w:right w:val="nil"/>
              <w:tl2br w:val="nil"/>
              <w:tr2bl w:val="nil"/>
            </w:tcBorders>
            <w:shd w:val="clear" w:color="auto" w:fill="FFFFFF"/>
            <w:tcMar>
              <w:left w:w="115" w:type="dxa"/>
              <w:right w:w="115" w:type="dxa"/>
            </w:tcMar>
            <w:vAlign w:val="bottom"/>
          </w:tcPr>
          <w:p w14:paraId="4A351AFA" w14:textId="77777777" w:rsidR="003F0EEA" w:rsidRPr="00250775" w:rsidRDefault="003F0EEA">
            <w:pPr>
              <w:rPr>
                <w:rFonts w:ascii="Arial" w:eastAsia="Arial" w:hAnsi="Arial" w:cs="Arial"/>
                <w:color w:val="000000"/>
                <w:sz w:val="16"/>
              </w:rPr>
            </w:pPr>
          </w:p>
        </w:tc>
        <w:tc>
          <w:tcPr>
            <w:tcW w:w="1005" w:type="dxa"/>
            <w:tcBorders>
              <w:top w:val="nil"/>
              <w:left w:val="nil"/>
              <w:bottom w:val="nil"/>
              <w:right w:val="nil"/>
              <w:tl2br w:val="nil"/>
              <w:tr2bl w:val="nil"/>
            </w:tcBorders>
            <w:shd w:val="clear" w:color="auto" w:fill="FFFF00"/>
            <w:tcMar>
              <w:left w:w="115" w:type="dxa"/>
              <w:right w:w="115" w:type="dxa"/>
            </w:tcMar>
            <w:vAlign w:val="bottom"/>
          </w:tcPr>
          <w:p w14:paraId="7258CEDF" w14:textId="77777777" w:rsidR="003F0EEA" w:rsidRPr="00250775" w:rsidRDefault="003F0EEA">
            <w:pPr>
              <w:rPr>
                <w:rFonts w:ascii="Arial" w:eastAsia="Arial" w:hAnsi="Arial" w:cs="Arial"/>
                <w:color w:val="000000"/>
                <w:sz w:val="16"/>
              </w:rPr>
            </w:pPr>
          </w:p>
        </w:tc>
      </w:tr>
      <w:tr w:rsidR="00724034" w14:paraId="75381EF3" w14:textId="77777777">
        <w:trPr>
          <w:trHeight w:val="225"/>
        </w:trPr>
        <w:tc>
          <w:tcPr>
            <w:tcW w:w="180" w:type="dxa"/>
            <w:tcBorders>
              <w:top w:val="nil"/>
              <w:left w:val="nil"/>
              <w:bottom w:val="nil"/>
              <w:right w:val="nil"/>
              <w:tl2br w:val="nil"/>
              <w:tr2bl w:val="nil"/>
            </w:tcBorders>
            <w:shd w:val="clear" w:color="auto" w:fill="FFFFFF"/>
            <w:tcMar>
              <w:left w:w="115" w:type="dxa"/>
              <w:right w:w="115" w:type="dxa"/>
            </w:tcMar>
            <w:vAlign w:val="bottom"/>
          </w:tcPr>
          <w:p w14:paraId="652894D1" w14:textId="77777777" w:rsidR="003F0EEA" w:rsidRPr="00250775" w:rsidRDefault="003F0EEA">
            <w:pPr>
              <w:rPr>
                <w:rFonts w:ascii="Arial" w:eastAsia="Arial" w:hAnsi="Arial" w:cs="Arial"/>
                <w:color w:val="000000"/>
                <w:sz w:val="16"/>
              </w:rPr>
            </w:pPr>
          </w:p>
        </w:tc>
        <w:tc>
          <w:tcPr>
            <w:tcW w:w="2280" w:type="dxa"/>
            <w:tcBorders>
              <w:top w:val="nil"/>
              <w:left w:val="nil"/>
              <w:bottom w:val="nil"/>
              <w:right w:val="nil"/>
              <w:tl2br w:val="nil"/>
              <w:tr2bl w:val="nil"/>
            </w:tcBorders>
            <w:shd w:val="clear" w:color="auto" w:fill="FFFFFF"/>
            <w:tcMar>
              <w:left w:w="115" w:type="dxa"/>
              <w:right w:w="115" w:type="dxa"/>
            </w:tcMar>
            <w:vAlign w:val="bottom"/>
          </w:tcPr>
          <w:p w14:paraId="60E201D2" w14:textId="77777777" w:rsidR="003F0EEA" w:rsidRPr="00250775" w:rsidRDefault="00FB7D0B">
            <w:pPr>
              <w:rPr>
                <w:rFonts w:ascii="Arial" w:eastAsia="Arial" w:hAnsi="Arial" w:cs="Arial"/>
                <w:color w:val="000000"/>
                <w:sz w:val="16"/>
              </w:rPr>
            </w:pPr>
            <w:r w:rsidRPr="00250775">
              <w:rPr>
                <w:rFonts w:ascii="Arial" w:eastAsia="Arial" w:hAnsi="Arial" w:cs="Arial"/>
                <w:color w:val="000000"/>
                <w:sz w:val="16"/>
              </w:rPr>
              <w:t>Departmental Capital</w:t>
            </w:r>
          </w:p>
        </w:tc>
        <w:tc>
          <w:tcPr>
            <w:tcW w:w="915" w:type="dxa"/>
            <w:tcBorders>
              <w:top w:val="nil"/>
              <w:left w:val="nil"/>
              <w:bottom w:val="nil"/>
              <w:right w:val="nil"/>
              <w:tl2br w:val="nil"/>
              <w:tr2bl w:val="nil"/>
            </w:tcBorders>
            <w:shd w:val="clear" w:color="auto" w:fill="FFFFFF"/>
            <w:tcMar>
              <w:left w:w="115" w:type="dxa"/>
              <w:right w:w="115" w:type="dxa"/>
            </w:tcMar>
            <w:vAlign w:val="bottom"/>
          </w:tcPr>
          <w:p w14:paraId="596CC4B5" w14:textId="77777777" w:rsidR="003F0EEA" w:rsidRPr="00250775" w:rsidRDefault="003F0EEA">
            <w:pPr>
              <w:rPr>
                <w:rFonts w:ascii="Arial" w:eastAsia="Arial" w:hAnsi="Arial" w:cs="Arial"/>
                <w:color w:val="000000"/>
                <w:sz w:val="16"/>
                <w:vertAlign w:val="superscript"/>
              </w:rPr>
            </w:pPr>
          </w:p>
        </w:tc>
        <w:tc>
          <w:tcPr>
            <w:tcW w:w="1005" w:type="dxa"/>
            <w:tcBorders>
              <w:top w:val="nil"/>
              <w:left w:val="nil"/>
              <w:bottom w:val="nil"/>
              <w:right w:val="nil"/>
              <w:tl2br w:val="nil"/>
              <w:tr2bl w:val="nil"/>
            </w:tcBorders>
            <w:shd w:val="clear" w:color="auto" w:fill="FFFF00"/>
            <w:tcMar>
              <w:left w:w="115" w:type="dxa"/>
              <w:right w:w="115" w:type="dxa"/>
            </w:tcMar>
            <w:vAlign w:val="bottom"/>
          </w:tcPr>
          <w:p w14:paraId="3CC3316A" w14:textId="77777777" w:rsidR="003F0EEA" w:rsidRPr="00250775" w:rsidRDefault="00FB7D0B">
            <w:pPr>
              <w:jc w:val="right"/>
              <w:rPr>
                <w:rFonts w:ascii="Arial" w:eastAsia="Arial" w:hAnsi="Arial" w:cs="Arial"/>
                <w:color w:val="000000"/>
                <w:sz w:val="16"/>
                <w:vertAlign w:val="superscript"/>
              </w:rPr>
            </w:pPr>
            <w:r w:rsidRPr="00250775">
              <w:rPr>
                <w:rFonts w:ascii="Arial" w:eastAsia="Arial" w:hAnsi="Arial" w:cs="Arial"/>
                <w:color w:val="000000"/>
                <w:sz w:val="16"/>
              </w:rPr>
              <w:t>(1,522)</w:t>
            </w:r>
          </w:p>
        </w:tc>
        <w:tc>
          <w:tcPr>
            <w:tcW w:w="1005" w:type="dxa"/>
            <w:tcBorders>
              <w:top w:val="nil"/>
              <w:left w:val="nil"/>
              <w:bottom w:val="nil"/>
              <w:right w:val="nil"/>
              <w:tl2br w:val="nil"/>
              <w:tr2bl w:val="nil"/>
            </w:tcBorders>
            <w:shd w:val="clear" w:color="auto" w:fill="FFFFFF"/>
            <w:tcMar>
              <w:left w:w="115" w:type="dxa"/>
              <w:right w:w="115" w:type="dxa"/>
            </w:tcMar>
            <w:vAlign w:val="bottom"/>
          </w:tcPr>
          <w:p w14:paraId="274B8B4C" w14:textId="77777777" w:rsidR="003F0EEA" w:rsidRPr="00250775" w:rsidRDefault="00FB7D0B">
            <w:pPr>
              <w:jc w:val="right"/>
              <w:rPr>
                <w:rFonts w:ascii="Arial" w:eastAsia="Arial" w:hAnsi="Arial" w:cs="Arial"/>
                <w:color w:val="000000"/>
                <w:sz w:val="16"/>
              </w:rPr>
            </w:pPr>
            <w:r w:rsidRPr="00250775">
              <w:rPr>
                <w:rFonts w:ascii="Arial" w:eastAsia="Arial" w:hAnsi="Arial" w:cs="Arial"/>
                <w:color w:val="000000"/>
                <w:sz w:val="16"/>
              </w:rPr>
              <w:t xml:space="preserve"> - </w:t>
            </w:r>
          </w:p>
        </w:tc>
        <w:tc>
          <w:tcPr>
            <w:tcW w:w="1005" w:type="dxa"/>
            <w:tcBorders>
              <w:top w:val="nil"/>
              <w:left w:val="nil"/>
              <w:bottom w:val="nil"/>
              <w:right w:val="nil"/>
              <w:tl2br w:val="nil"/>
              <w:tr2bl w:val="nil"/>
            </w:tcBorders>
            <w:shd w:val="clear" w:color="auto" w:fill="FFFF00"/>
            <w:tcMar>
              <w:left w:w="115" w:type="dxa"/>
              <w:right w:w="115" w:type="dxa"/>
            </w:tcMar>
            <w:vAlign w:val="bottom"/>
          </w:tcPr>
          <w:p w14:paraId="182BA9A5" w14:textId="77777777" w:rsidR="003F0EEA" w:rsidRPr="00250775" w:rsidRDefault="00FB7D0B">
            <w:pPr>
              <w:jc w:val="right"/>
              <w:rPr>
                <w:rFonts w:ascii="Arial" w:eastAsia="Arial" w:hAnsi="Arial" w:cs="Arial"/>
                <w:color w:val="000000"/>
                <w:sz w:val="16"/>
              </w:rPr>
            </w:pPr>
            <w:r w:rsidRPr="00250775">
              <w:rPr>
                <w:rFonts w:ascii="Arial" w:eastAsia="Arial" w:hAnsi="Arial" w:cs="Arial"/>
                <w:color w:val="000000"/>
                <w:sz w:val="16"/>
              </w:rPr>
              <w:t xml:space="preserve"> - </w:t>
            </w:r>
          </w:p>
        </w:tc>
        <w:tc>
          <w:tcPr>
            <w:tcW w:w="1005" w:type="dxa"/>
            <w:tcBorders>
              <w:top w:val="nil"/>
              <w:left w:val="nil"/>
              <w:bottom w:val="nil"/>
              <w:right w:val="nil"/>
              <w:tl2br w:val="nil"/>
              <w:tr2bl w:val="nil"/>
            </w:tcBorders>
            <w:shd w:val="clear" w:color="auto" w:fill="FFFFFF"/>
            <w:tcMar>
              <w:left w:w="115" w:type="dxa"/>
              <w:right w:w="115" w:type="dxa"/>
            </w:tcMar>
            <w:vAlign w:val="bottom"/>
          </w:tcPr>
          <w:p w14:paraId="5E17D9E9" w14:textId="77777777" w:rsidR="003F0EEA" w:rsidRPr="00250775" w:rsidRDefault="00FB7D0B">
            <w:pPr>
              <w:jc w:val="right"/>
              <w:rPr>
                <w:rFonts w:ascii="Arial" w:eastAsia="Arial" w:hAnsi="Arial" w:cs="Arial"/>
                <w:color w:val="000000"/>
                <w:sz w:val="16"/>
              </w:rPr>
            </w:pPr>
            <w:r w:rsidRPr="00250775">
              <w:rPr>
                <w:rFonts w:ascii="Arial" w:eastAsia="Arial" w:hAnsi="Arial" w:cs="Arial"/>
                <w:color w:val="000000"/>
                <w:sz w:val="16"/>
              </w:rPr>
              <w:t xml:space="preserve"> - </w:t>
            </w:r>
          </w:p>
        </w:tc>
        <w:tc>
          <w:tcPr>
            <w:tcW w:w="1005" w:type="dxa"/>
            <w:tcBorders>
              <w:top w:val="nil"/>
              <w:left w:val="nil"/>
              <w:bottom w:val="nil"/>
              <w:right w:val="nil"/>
              <w:tl2br w:val="nil"/>
              <w:tr2bl w:val="nil"/>
            </w:tcBorders>
            <w:shd w:val="clear" w:color="auto" w:fill="FFFF00"/>
            <w:tcMar>
              <w:left w:w="115" w:type="dxa"/>
              <w:right w:w="115" w:type="dxa"/>
            </w:tcMar>
            <w:vAlign w:val="bottom"/>
          </w:tcPr>
          <w:p w14:paraId="540F979C" w14:textId="77777777" w:rsidR="003F0EEA" w:rsidRPr="00250775" w:rsidRDefault="00FB7D0B">
            <w:pPr>
              <w:jc w:val="right"/>
              <w:rPr>
                <w:rFonts w:ascii="Arial" w:eastAsia="Arial" w:hAnsi="Arial" w:cs="Arial"/>
                <w:color w:val="000000"/>
                <w:sz w:val="16"/>
              </w:rPr>
            </w:pPr>
            <w:r w:rsidRPr="00250775">
              <w:rPr>
                <w:rFonts w:ascii="Arial" w:eastAsia="Arial" w:hAnsi="Arial" w:cs="Arial"/>
                <w:color w:val="000000"/>
                <w:sz w:val="16"/>
              </w:rPr>
              <w:t xml:space="preserve"> - </w:t>
            </w:r>
          </w:p>
        </w:tc>
      </w:tr>
      <w:tr w:rsidR="00FB7D0B" w14:paraId="51073E8A" w14:textId="77777777" w:rsidTr="00FB7D0B">
        <w:trPr>
          <w:trHeight w:val="225"/>
        </w:trPr>
        <w:tc>
          <w:tcPr>
            <w:tcW w:w="2460" w:type="dxa"/>
            <w:gridSpan w:val="2"/>
            <w:tcBorders>
              <w:top w:val="nil"/>
              <w:left w:val="nil"/>
              <w:bottom w:val="nil"/>
              <w:right w:val="nil"/>
              <w:tl2br w:val="nil"/>
              <w:tr2bl w:val="nil"/>
            </w:tcBorders>
            <w:shd w:val="clear" w:color="auto" w:fill="FFFFFF"/>
            <w:tcMar>
              <w:left w:w="115" w:type="dxa"/>
              <w:right w:w="115" w:type="dxa"/>
            </w:tcMar>
            <w:vAlign w:val="bottom"/>
          </w:tcPr>
          <w:p w14:paraId="050843F8" w14:textId="77777777" w:rsidR="003F0EEA" w:rsidRPr="00250775" w:rsidRDefault="00FB7D0B">
            <w:pPr>
              <w:rPr>
                <w:rFonts w:ascii="Arial" w:eastAsia="Arial" w:hAnsi="Arial" w:cs="Arial"/>
                <w:color w:val="000000"/>
                <w:sz w:val="16"/>
              </w:rPr>
            </w:pPr>
            <w:r w:rsidRPr="00250775">
              <w:rPr>
                <w:rFonts w:ascii="Arial" w:eastAsia="Arial" w:hAnsi="Arial" w:cs="Arial"/>
                <w:b/>
                <w:color w:val="000000"/>
                <w:sz w:val="16"/>
              </w:rPr>
              <w:t xml:space="preserve">Total </w:t>
            </w:r>
          </w:p>
        </w:tc>
        <w:tc>
          <w:tcPr>
            <w:tcW w:w="915" w:type="dxa"/>
            <w:tcBorders>
              <w:top w:val="nil"/>
              <w:left w:val="nil"/>
              <w:bottom w:val="nil"/>
              <w:right w:val="nil"/>
              <w:tl2br w:val="nil"/>
              <w:tr2bl w:val="nil"/>
            </w:tcBorders>
            <w:shd w:val="clear" w:color="auto" w:fill="FFFFFF"/>
            <w:tcMar>
              <w:left w:w="115" w:type="dxa"/>
              <w:right w:w="115" w:type="dxa"/>
            </w:tcMar>
            <w:vAlign w:val="bottom"/>
          </w:tcPr>
          <w:p w14:paraId="292445F4" w14:textId="77777777" w:rsidR="003F0EEA" w:rsidRPr="00250775" w:rsidRDefault="003F0EEA">
            <w:pPr>
              <w:rPr>
                <w:rFonts w:ascii="Arial" w:eastAsia="Arial" w:hAnsi="Arial" w:cs="Arial"/>
                <w:color w:val="000000"/>
                <w:sz w:val="16"/>
                <w:vertAlign w:val="superscript"/>
              </w:rPr>
            </w:pPr>
          </w:p>
        </w:tc>
        <w:tc>
          <w:tcPr>
            <w:tcW w:w="1005" w:type="dxa"/>
            <w:tcBorders>
              <w:top w:val="nil"/>
              <w:left w:val="nil"/>
              <w:bottom w:val="single" w:sz="6" w:space="0" w:color="000000"/>
              <w:right w:val="nil"/>
              <w:tl2br w:val="nil"/>
              <w:tr2bl w:val="nil"/>
            </w:tcBorders>
            <w:shd w:val="clear" w:color="auto" w:fill="FFFF00"/>
            <w:tcMar>
              <w:left w:w="115" w:type="dxa"/>
              <w:right w:w="115" w:type="dxa"/>
            </w:tcMar>
            <w:vAlign w:val="bottom"/>
          </w:tcPr>
          <w:p w14:paraId="6F9C78B4" w14:textId="77777777" w:rsidR="003F0EEA" w:rsidRPr="00250775" w:rsidRDefault="00FB7D0B">
            <w:pPr>
              <w:jc w:val="right"/>
              <w:rPr>
                <w:rFonts w:ascii="Arial" w:eastAsia="Arial" w:hAnsi="Arial" w:cs="Arial"/>
                <w:color w:val="000000"/>
                <w:sz w:val="16"/>
                <w:vertAlign w:val="superscript"/>
              </w:rPr>
            </w:pPr>
            <w:r w:rsidRPr="00250775">
              <w:rPr>
                <w:rFonts w:ascii="Arial" w:eastAsia="Arial" w:hAnsi="Arial" w:cs="Arial"/>
                <w:b/>
                <w:color w:val="000000"/>
                <w:sz w:val="16"/>
              </w:rPr>
              <w:t>(1,522)</w:t>
            </w:r>
          </w:p>
        </w:tc>
        <w:tc>
          <w:tcPr>
            <w:tcW w:w="1005"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60CF9424" w14:textId="77777777" w:rsidR="003F0EEA" w:rsidRPr="00250775" w:rsidRDefault="00FB7D0B">
            <w:pPr>
              <w:jc w:val="right"/>
              <w:rPr>
                <w:rFonts w:ascii="Arial" w:eastAsia="Arial" w:hAnsi="Arial" w:cs="Arial"/>
                <w:b/>
                <w:color w:val="000000"/>
                <w:sz w:val="16"/>
              </w:rPr>
            </w:pPr>
            <w:r w:rsidRPr="00250775">
              <w:rPr>
                <w:rFonts w:ascii="Arial" w:eastAsia="Arial" w:hAnsi="Arial" w:cs="Arial"/>
                <w:b/>
                <w:color w:val="000000"/>
                <w:sz w:val="16"/>
              </w:rPr>
              <w:t xml:space="preserve"> - </w:t>
            </w:r>
          </w:p>
        </w:tc>
        <w:tc>
          <w:tcPr>
            <w:tcW w:w="1005" w:type="dxa"/>
            <w:tcBorders>
              <w:top w:val="nil"/>
              <w:left w:val="nil"/>
              <w:bottom w:val="single" w:sz="6" w:space="0" w:color="000000"/>
              <w:right w:val="nil"/>
              <w:tl2br w:val="nil"/>
              <w:tr2bl w:val="nil"/>
            </w:tcBorders>
            <w:shd w:val="clear" w:color="auto" w:fill="FFFF00"/>
            <w:tcMar>
              <w:left w:w="115" w:type="dxa"/>
              <w:right w:w="115" w:type="dxa"/>
            </w:tcMar>
            <w:vAlign w:val="bottom"/>
          </w:tcPr>
          <w:p w14:paraId="16730192" w14:textId="77777777" w:rsidR="003F0EEA" w:rsidRPr="00250775" w:rsidRDefault="00FB7D0B">
            <w:pPr>
              <w:jc w:val="right"/>
              <w:rPr>
                <w:rFonts w:ascii="Arial" w:eastAsia="Arial" w:hAnsi="Arial" w:cs="Arial"/>
                <w:b/>
                <w:color w:val="000000"/>
                <w:sz w:val="16"/>
              </w:rPr>
            </w:pPr>
            <w:r w:rsidRPr="00250775">
              <w:rPr>
                <w:rFonts w:ascii="Arial" w:eastAsia="Arial" w:hAnsi="Arial" w:cs="Arial"/>
                <w:b/>
                <w:color w:val="000000"/>
                <w:sz w:val="16"/>
              </w:rPr>
              <w:t xml:space="preserve"> - </w:t>
            </w:r>
          </w:p>
        </w:tc>
        <w:tc>
          <w:tcPr>
            <w:tcW w:w="1005"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5510055F" w14:textId="77777777" w:rsidR="003F0EEA" w:rsidRPr="00250775" w:rsidRDefault="00FB7D0B">
            <w:pPr>
              <w:jc w:val="right"/>
              <w:rPr>
                <w:rFonts w:ascii="Arial" w:eastAsia="Arial" w:hAnsi="Arial" w:cs="Arial"/>
                <w:b/>
                <w:color w:val="000000"/>
                <w:sz w:val="16"/>
              </w:rPr>
            </w:pPr>
            <w:r w:rsidRPr="00250775">
              <w:rPr>
                <w:rFonts w:ascii="Arial" w:eastAsia="Arial" w:hAnsi="Arial" w:cs="Arial"/>
                <w:b/>
                <w:color w:val="000000"/>
                <w:sz w:val="16"/>
              </w:rPr>
              <w:t xml:space="preserve"> - </w:t>
            </w:r>
          </w:p>
        </w:tc>
        <w:tc>
          <w:tcPr>
            <w:tcW w:w="1005" w:type="dxa"/>
            <w:tcBorders>
              <w:top w:val="nil"/>
              <w:left w:val="nil"/>
              <w:bottom w:val="single" w:sz="6" w:space="0" w:color="000000"/>
              <w:right w:val="nil"/>
              <w:tl2br w:val="nil"/>
              <w:tr2bl w:val="nil"/>
            </w:tcBorders>
            <w:shd w:val="clear" w:color="auto" w:fill="FFFF00"/>
            <w:tcMar>
              <w:left w:w="115" w:type="dxa"/>
              <w:right w:w="115" w:type="dxa"/>
            </w:tcMar>
            <w:vAlign w:val="bottom"/>
          </w:tcPr>
          <w:p w14:paraId="62AAE45A" w14:textId="77777777" w:rsidR="003F0EEA" w:rsidRPr="00250775" w:rsidRDefault="00FB7D0B">
            <w:pPr>
              <w:jc w:val="right"/>
              <w:rPr>
                <w:rFonts w:ascii="Arial" w:eastAsia="Arial" w:hAnsi="Arial" w:cs="Arial"/>
                <w:b/>
                <w:color w:val="000000"/>
                <w:sz w:val="16"/>
              </w:rPr>
            </w:pPr>
            <w:r w:rsidRPr="00250775">
              <w:rPr>
                <w:rFonts w:ascii="Arial" w:eastAsia="Arial" w:hAnsi="Arial" w:cs="Arial"/>
                <w:b/>
                <w:color w:val="000000"/>
                <w:sz w:val="16"/>
              </w:rPr>
              <w:t xml:space="preserve"> - </w:t>
            </w:r>
          </w:p>
        </w:tc>
      </w:tr>
      <w:tr w:rsidR="00724034" w14:paraId="1717AC84" w14:textId="77777777">
        <w:trPr>
          <w:trHeight w:val="225"/>
        </w:trPr>
        <w:tc>
          <w:tcPr>
            <w:tcW w:w="180" w:type="dxa"/>
            <w:tcBorders>
              <w:top w:val="nil"/>
              <w:left w:val="nil"/>
              <w:bottom w:val="nil"/>
              <w:right w:val="nil"/>
              <w:tl2br w:val="nil"/>
              <w:tr2bl w:val="nil"/>
            </w:tcBorders>
            <w:shd w:val="clear" w:color="auto" w:fill="FFFFFF"/>
            <w:tcMar>
              <w:left w:w="115" w:type="dxa"/>
              <w:right w:w="115" w:type="dxa"/>
            </w:tcMar>
            <w:vAlign w:val="bottom"/>
          </w:tcPr>
          <w:p w14:paraId="1DF718EA" w14:textId="77777777" w:rsidR="003F0EEA" w:rsidRPr="00250775" w:rsidRDefault="003F0EEA">
            <w:pPr>
              <w:rPr>
                <w:rFonts w:ascii="Arial" w:eastAsia="Arial" w:hAnsi="Arial" w:cs="Arial"/>
                <w:b/>
                <w:color w:val="000000"/>
                <w:sz w:val="16"/>
              </w:rPr>
            </w:pPr>
          </w:p>
        </w:tc>
        <w:tc>
          <w:tcPr>
            <w:tcW w:w="2280" w:type="dxa"/>
            <w:tcBorders>
              <w:top w:val="nil"/>
              <w:left w:val="nil"/>
              <w:bottom w:val="nil"/>
              <w:right w:val="nil"/>
              <w:tl2br w:val="nil"/>
              <w:tr2bl w:val="nil"/>
            </w:tcBorders>
            <w:shd w:val="clear" w:color="auto" w:fill="FFFFFF"/>
            <w:tcMar>
              <w:left w:w="115" w:type="dxa"/>
              <w:right w:w="115" w:type="dxa"/>
            </w:tcMar>
            <w:vAlign w:val="bottom"/>
          </w:tcPr>
          <w:p w14:paraId="2B838840" w14:textId="77777777" w:rsidR="003F0EEA" w:rsidRPr="00250775" w:rsidRDefault="003F0EEA">
            <w:pPr>
              <w:rPr>
                <w:rFonts w:ascii="Arial" w:eastAsia="Arial" w:hAnsi="Arial" w:cs="Arial"/>
                <w:b/>
                <w:color w:val="000000"/>
                <w:sz w:val="16"/>
              </w:rPr>
            </w:pPr>
          </w:p>
        </w:tc>
        <w:tc>
          <w:tcPr>
            <w:tcW w:w="915" w:type="dxa"/>
            <w:tcBorders>
              <w:top w:val="nil"/>
              <w:left w:val="nil"/>
              <w:bottom w:val="nil"/>
              <w:right w:val="nil"/>
              <w:tl2br w:val="nil"/>
              <w:tr2bl w:val="nil"/>
            </w:tcBorders>
            <w:shd w:val="clear" w:color="auto" w:fill="FFFFFF"/>
            <w:tcMar>
              <w:left w:w="115" w:type="dxa"/>
              <w:right w:w="115" w:type="dxa"/>
            </w:tcMar>
            <w:vAlign w:val="bottom"/>
          </w:tcPr>
          <w:p w14:paraId="700EBE69" w14:textId="77777777" w:rsidR="003F0EEA" w:rsidRPr="00250775" w:rsidRDefault="003F0EEA">
            <w:pPr>
              <w:rPr>
                <w:rFonts w:ascii="Arial" w:eastAsia="Arial" w:hAnsi="Arial" w:cs="Arial"/>
                <w:color w:val="000000"/>
                <w:sz w:val="16"/>
                <w:vertAlign w:val="superscript"/>
              </w:rPr>
            </w:pPr>
          </w:p>
        </w:tc>
        <w:tc>
          <w:tcPr>
            <w:tcW w:w="1005" w:type="dxa"/>
            <w:tcBorders>
              <w:top w:val="single" w:sz="6" w:space="0" w:color="000000"/>
              <w:left w:val="nil"/>
              <w:bottom w:val="nil"/>
              <w:right w:val="nil"/>
              <w:tl2br w:val="nil"/>
              <w:tr2bl w:val="nil"/>
            </w:tcBorders>
            <w:shd w:val="clear" w:color="auto" w:fill="FFFF00"/>
            <w:tcMar>
              <w:left w:w="115" w:type="dxa"/>
              <w:right w:w="115" w:type="dxa"/>
            </w:tcMar>
            <w:vAlign w:val="bottom"/>
          </w:tcPr>
          <w:p w14:paraId="00ABC712" w14:textId="77777777" w:rsidR="003F0EEA" w:rsidRPr="00250775" w:rsidRDefault="003F0EEA">
            <w:pPr>
              <w:rPr>
                <w:rFonts w:ascii="Arial" w:eastAsia="Arial" w:hAnsi="Arial" w:cs="Arial"/>
                <w:color w:val="000000"/>
                <w:sz w:val="16"/>
                <w:vertAlign w:val="superscript"/>
              </w:rPr>
            </w:pPr>
          </w:p>
        </w:tc>
        <w:tc>
          <w:tcPr>
            <w:tcW w:w="1005"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5900BA01" w14:textId="77777777" w:rsidR="003F0EEA" w:rsidRPr="00250775" w:rsidRDefault="003F0EEA">
            <w:pPr>
              <w:rPr>
                <w:rFonts w:ascii="Arial" w:eastAsia="Arial" w:hAnsi="Arial" w:cs="Arial"/>
                <w:color w:val="000000"/>
                <w:sz w:val="16"/>
                <w:vertAlign w:val="superscript"/>
              </w:rPr>
            </w:pPr>
          </w:p>
        </w:tc>
        <w:tc>
          <w:tcPr>
            <w:tcW w:w="1005" w:type="dxa"/>
            <w:tcBorders>
              <w:top w:val="single" w:sz="6" w:space="0" w:color="000000"/>
              <w:left w:val="nil"/>
              <w:bottom w:val="nil"/>
              <w:right w:val="nil"/>
              <w:tl2br w:val="nil"/>
              <w:tr2bl w:val="nil"/>
            </w:tcBorders>
            <w:shd w:val="clear" w:color="auto" w:fill="FFFF00"/>
            <w:tcMar>
              <w:left w:w="115" w:type="dxa"/>
              <w:right w:w="115" w:type="dxa"/>
            </w:tcMar>
            <w:vAlign w:val="bottom"/>
          </w:tcPr>
          <w:p w14:paraId="0BECA89C" w14:textId="77777777" w:rsidR="003F0EEA" w:rsidRPr="00250775" w:rsidRDefault="003F0EEA">
            <w:pPr>
              <w:rPr>
                <w:rFonts w:ascii="Arial" w:eastAsia="Arial" w:hAnsi="Arial" w:cs="Arial"/>
                <w:color w:val="000000"/>
                <w:sz w:val="16"/>
                <w:vertAlign w:val="superscript"/>
              </w:rPr>
            </w:pPr>
          </w:p>
        </w:tc>
        <w:tc>
          <w:tcPr>
            <w:tcW w:w="1005"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110D2B5C" w14:textId="77777777" w:rsidR="003F0EEA" w:rsidRPr="00250775" w:rsidRDefault="003F0EEA">
            <w:pPr>
              <w:rPr>
                <w:rFonts w:ascii="Arial" w:eastAsia="Arial" w:hAnsi="Arial" w:cs="Arial"/>
                <w:color w:val="000000"/>
                <w:sz w:val="16"/>
                <w:vertAlign w:val="superscript"/>
              </w:rPr>
            </w:pPr>
          </w:p>
        </w:tc>
        <w:tc>
          <w:tcPr>
            <w:tcW w:w="1005" w:type="dxa"/>
            <w:tcBorders>
              <w:top w:val="single" w:sz="6" w:space="0" w:color="000000"/>
              <w:left w:val="nil"/>
              <w:bottom w:val="nil"/>
              <w:right w:val="nil"/>
              <w:tl2br w:val="nil"/>
              <w:tr2bl w:val="nil"/>
            </w:tcBorders>
            <w:shd w:val="clear" w:color="auto" w:fill="FFFF00"/>
            <w:tcMar>
              <w:left w:w="115" w:type="dxa"/>
              <w:right w:w="115" w:type="dxa"/>
            </w:tcMar>
            <w:vAlign w:val="bottom"/>
          </w:tcPr>
          <w:p w14:paraId="41453539" w14:textId="77777777" w:rsidR="003F0EEA" w:rsidRPr="00250775" w:rsidRDefault="003F0EEA">
            <w:pPr>
              <w:rPr>
                <w:rFonts w:ascii="Arial" w:eastAsia="Arial" w:hAnsi="Arial" w:cs="Arial"/>
                <w:color w:val="000000"/>
                <w:sz w:val="16"/>
                <w:vertAlign w:val="superscript"/>
              </w:rPr>
            </w:pPr>
          </w:p>
        </w:tc>
      </w:tr>
      <w:tr w:rsidR="00FB7D0B" w14:paraId="277B5CEB" w14:textId="77777777" w:rsidTr="00FB7D0B">
        <w:trPr>
          <w:trHeight w:val="855"/>
        </w:trPr>
        <w:tc>
          <w:tcPr>
            <w:tcW w:w="2460" w:type="dxa"/>
            <w:gridSpan w:val="2"/>
            <w:tcBorders>
              <w:top w:val="nil"/>
              <w:left w:val="nil"/>
              <w:bottom w:val="nil"/>
              <w:right w:val="nil"/>
              <w:tl2br w:val="nil"/>
              <w:tr2bl w:val="nil"/>
            </w:tcBorders>
            <w:shd w:val="clear" w:color="auto" w:fill="FFFFFF"/>
            <w:tcMar>
              <w:left w:w="115" w:type="dxa"/>
              <w:right w:w="115" w:type="dxa"/>
            </w:tcMar>
            <w:vAlign w:val="bottom"/>
          </w:tcPr>
          <w:p w14:paraId="02421182" w14:textId="77777777" w:rsidR="003F0EEA" w:rsidRPr="00250775" w:rsidRDefault="00FB7D0B">
            <w:pPr>
              <w:rPr>
                <w:rFonts w:ascii="Arial" w:eastAsia="Arial" w:hAnsi="Arial" w:cs="Arial"/>
                <w:color w:val="000000"/>
                <w:sz w:val="16"/>
                <w:vertAlign w:val="superscript"/>
              </w:rPr>
            </w:pPr>
            <w:r w:rsidRPr="00250775">
              <w:rPr>
                <w:rFonts w:ascii="Arial" w:eastAsia="Arial" w:hAnsi="Arial" w:cs="Arial"/>
                <w:color w:val="000000"/>
                <w:sz w:val="16"/>
              </w:rPr>
              <w:t>Commonwealth Seniors Health Card - include untaxed superannuation income in the eligibility assessment</w:t>
            </w:r>
            <w:r w:rsidRPr="00250775">
              <w:rPr>
                <w:rFonts w:ascii="Arial" w:eastAsia="Arial" w:hAnsi="Arial" w:cs="Arial"/>
                <w:color w:val="000000"/>
                <w:sz w:val="16"/>
                <w:vertAlign w:val="superscript"/>
              </w:rPr>
              <w:t>1 </w:t>
            </w:r>
          </w:p>
        </w:tc>
        <w:tc>
          <w:tcPr>
            <w:tcW w:w="915" w:type="dxa"/>
            <w:tcBorders>
              <w:top w:val="nil"/>
              <w:left w:val="nil"/>
              <w:bottom w:val="nil"/>
              <w:right w:val="nil"/>
              <w:tl2br w:val="nil"/>
              <w:tr2bl w:val="nil"/>
            </w:tcBorders>
            <w:shd w:val="clear" w:color="auto" w:fill="FFFFFF"/>
            <w:tcMar>
              <w:left w:w="115" w:type="dxa"/>
              <w:right w:w="115" w:type="dxa"/>
            </w:tcMar>
            <w:vAlign w:val="bottom"/>
          </w:tcPr>
          <w:p w14:paraId="3BA65BA1" w14:textId="77777777" w:rsidR="003F0EEA" w:rsidRPr="00250775" w:rsidRDefault="00FB7D0B">
            <w:pPr>
              <w:jc w:val="center"/>
              <w:rPr>
                <w:rFonts w:ascii="Arial" w:eastAsia="Arial" w:hAnsi="Arial" w:cs="Arial"/>
                <w:color w:val="000000"/>
                <w:sz w:val="16"/>
                <w:vertAlign w:val="superscript"/>
              </w:rPr>
            </w:pPr>
            <w:r w:rsidRPr="00250775">
              <w:rPr>
                <w:rFonts w:ascii="Arial" w:eastAsia="Arial" w:hAnsi="Arial" w:cs="Arial"/>
                <w:color w:val="000000"/>
                <w:sz w:val="16"/>
              </w:rPr>
              <w:t>1.1 </w:t>
            </w:r>
          </w:p>
        </w:tc>
        <w:tc>
          <w:tcPr>
            <w:tcW w:w="1005" w:type="dxa"/>
            <w:tcBorders>
              <w:top w:val="nil"/>
              <w:left w:val="nil"/>
              <w:bottom w:val="nil"/>
              <w:right w:val="nil"/>
              <w:tl2br w:val="nil"/>
              <w:tr2bl w:val="nil"/>
            </w:tcBorders>
            <w:shd w:val="clear" w:color="auto" w:fill="FFFF00"/>
            <w:tcMar>
              <w:left w:w="115" w:type="dxa"/>
              <w:right w:w="115" w:type="dxa"/>
            </w:tcMar>
            <w:vAlign w:val="bottom"/>
          </w:tcPr>
          <w:p w14:paraId="7815FA31" w14:textId="77777777" w:rsidR="003F0EEA" w:rsidRPr="00250775" w:rsidRDefault="003F0EEA">
            <w:pPr>
              <w:rPr>
                <w:rFonts w:ascii="Arial" w:eastAsia="Arial" w:hAnsi="Arial" w:cs="Arial"/>
                <w:color w:val="000000"/>
                <w:sz w:val="16"/>
              </w:rPr>
            </w:pPr>
          </w:p>
        </w:tc>
        <w:tc>
          <w:tcPr>
            <w:tcW w:w="1005" w:type="dxa"/>
            <w:tcBorders>
              <w:top w:val="nil"/>
              <w:left w:val="nil"/>
              <w:bottom w:val="nil"/>
              <w:right w:val="nil"/>
              <w:tl2br w:val="nil"/>
              <w:tr2bl w:val="nil"/>
            </w:tcBorders>
            <w:shd w:val="clear" w:color="auto" w:fill="FFFFFF"/>
            <w:tcMar>
              <w:left w:w="115" w:type="dxa"/>
              <w:right w:w="115" w:type="dxa"/>
            </w:tcMar>
            <w:vAlign w:val="bottom"/>
          </w:tcPr>
          <w:p w14:paraId="7E2C1E50" w14:textId="77777777" w:rsidR="003F0EEA" w:rsidRPr="00250775" w:rsidRDefault="003F0EEA">
            <w:pPr>
              <w:rPr>
                <w:rFonts w:ascii="Arial" w:eastAsia="Arial" w:hAnsi="Arial" w:cs="Arial"/>
                <w:color w:val="000000"/>
                <w:sz w:val="16"/>
              </w:rPr>
            </w:pPr>
          </w:p>
        </w:tc>
        <w:tc>
          <w:tcPr>
            <w:tcW w:w="1005" w:type="dxa"/>
            <w:tcBorders>
              <w:top w:val="nil"/>
              <w:left w:val="nil"/>
              <w:bottom w:val="nil"/>
              <w:right w:val="nil"/>
              <w:tl2br w:val="nil"/>
              <w:tr2bl w:val="nil"/>
            </w:tcBorders>
            <w:shd w:val="clear" w:color="auto" w:fill="FFFF00"/>
            <w:tcMar>
              <w:left w:w="115" w:type="dxa"/>
              <w:right w:w="115" w:type="dxa"/>
            </w:tcMar>
            <w:vAlign w:val="bottom"/>
          </w:tcPr>
          <w:p w14:paraId="7D93CE48" w14:textId="77777777" w:rsidR="003F0EEA" w:rsidRPr="00250775" w:rsidRDefault="003F0EEA">
            <w:pPr>
              <w:rPr>
                <w:rFonts w:ascii="Arial" w:eastAsia="Arial" w:hAnsi="Arial" w:cs="Arial"/>
                <w:color w:val="000000"/>
                <w:sz w:val="16"/>
              </w:rPr>
            </w:pPr>
          </w:p>
        </w:tc>
        <w:tc>
          <w:tcPr>
            <w:tcW w:w="1005" w:type="dxa"/>
            <w:tcBorders>
              <w:top w:val="nil"/>
              <w:left w:val="nil"/>
              <w:bottom w:val="nil"/>
              <w:right w:val="nil"/>
              <w:tl2br w:val="nil"/>
              <w:tr2bl w:val="nil"/>
            </w:tcBorders>
            <w:shd w:val="clear" w:color="auto" w:fill="FFFFFF"/>
            <w:tcMar>
              <w:left w:w="115" w:type="dxa"/>
              <w:right w:w="115" w:type="dxa"/>
            </w:tcMar>
            <w:vAlign w:val="bottom"/>
          </w:tcPr>
          <w:p w14:paraId="2A5D9DAA" w14:textId="77777777" w:rsidR="003F0EEA" w:rsidRPr="00250775" w:rsidRDefault="003F0EEA">
            <w:pPr>
              <w:rPr>
                <w:rFonts w:ascii="Arial" w:eastAsia="Arial" w:hAnsi="Arial" w:cs="Arial"/>
                <w:color w:val="000000"/>
                <w:sz w:val="16"/>
              </w:rPr>
            </w:pPr>
          </w:p>
        </w:tc>
        <w:tc>
          <w:tcPr>
            <w:tcW w:w="1005" w:type="dxa"/>
            <w:tcBorders>
              <w:top w:val="nil"/>
              <w:left w:val="nil"/>
              <w:bottom w:val="nil"/>
              <w:right w:val="nil"/>
              <w:tl2br w:val="nil"/>
              <w:tr2bl w:val="nil"/>
            </w:tcBorders>
            <w:shd w:val="clear" w:color="auto" w:fill="FFFF00"/>
            <w:tcMar>
              <w:left w:w="115" w:type="dxa"/>
              <w:right w:w="115" w:type="dxa"/>
            </w:tcMar>
            <w:vAlign w:val="bottom"/>
          </w:tcPr>
          <w:p w14:paraId="64763FD3" w14:textId="77777777" w:rsidR="003F0EEA" w:rsidRPr="00250775" w:rsidRDefault="003F0EEA">
            <w:pPr>
              <w:rPr>
                <w:rFonts w:ascii="Arial" w:eastAsia="Arial" w:hAnsi="Arial" w:cs="Arial"/>
                <w:color w:val="000000"/>
                <w:sz w:val="16"/>
              </w:rPr>
            </w:pPr>
          </w:p>
        </w:tc>
      </w:tr>
      <w:tr w:rsidR="00724034" w14:paraId="7B334E6E" w14:textId="77777777">
        <w:trPr>
          <w:trHeight w:val="225"/>
        </w:trPr>
        <w:tc>
          <w:tcPr>
            <w:tcW w:w="180" w:type="dxa"/>
            <w:tcBorders>
              <w:top w:val="nil"/>
              <w:left w:val="nil"/>
              <w:bottom w:val="nil"/>
              <w:right w:val="nil"/>
              <w:tl2br w:val="nil"/>
              <w:tr2bl w:val="nil"/>
            </w:tcBorders>
            <w:shd w:val="clear" w:color="auto" w:fill="FFFFFF"/>
            <w:tcMar>
              <w:left w:w="115" w:type="dxa"/>
              <w:right w:w="115" w:type="dxa"/>
            </w:tcMar>
            <w:vAlign w:val="bottom"/>
          </w:tcPr>
          <w:p w14:paraId="42A85FFD" w14:textId="77777777" w:rsidR="003F0EEA" w:rsidRPr="00250775" w:rsidRDefault="003F0EEA">
            <w:pPr>
              <w:rPr>
                <w:rFonts w:ascii="Arial" w:eastAsia="Arial" w:hAnsi="Arial" w:cs="Arial"/>
                <w:color w:val="000000"/>
                <w:sz w:val="16"/>
              </w:rPr>
            </w:pPr>
          </w:p>
        </w:tc>
        <w:tc>
          <w:tcPr>
            <w:tcW w:w="2280" w:type="dxa"/>
            <w:tcBorders>
              <w:top w:val="nil"/>
              <w:left w:val="nil"/>
              <w:bottom w:val="nil"/>
              <w:right w:val="nil"/>
              <w:tl2br w:val="nil"/>
              <w:tr2bl w:val="nil"/>
            </w:tcBorders>
            <w:shd w:val="clear" w:color="auto" w:fill="FFFFFF"/>
            <w:tcMar>
              <w:left w:w="115" w:type="dxa"/>
              <w:right w:w="115" w:type="dxa"/>
            </w:tcMar>
            <w:vAlign w:val="bottom"/>
          </w:tcPr>
          <w:p w14:paraId="507744BA" w14:textId="77777777" w:rsidR="003F0EEA" w:rsidRPr="00250775" w:rsidRDefault="00FB7D0B">
            <w:pPr>
              <w:rPr>
                <w:rFonts w:ascii="Arial" w:eastAsia="Arial" w:hAnsi="Arial" w:cs="Arial"/>
                <w:color w:val="000000"/>
                <w:sz w:val="16"/>
              </w:rPr>
            </w:pPr>
            <w:r w:rsidRPr="00250775">
              <w:rPr>
                <w:rFonts w:ascii="Arial" w:eastAsia="Arial" w:hAnsi="Arial" w:cs="Arial"/>
                <w:color w:val="000000"/>
                <w:sz w:val="16"/>
              </w:rPr>
              <w:t>Departmental Capital</w:t>
            </w:r>
          </w:p>
        </w:tc>
        <w:tc>
          <w:tcPr>
            <w:tcW w:w="915" w:type="dxa"/>
            <w:tcBorders>
              <w:top w:val="nil"/>
              <w:left w:val="nil"/>
              <w:bottom w:val="nil"/>
              <w:right w:val="nil"/>
              <w:tl2br w:val="nil"/>
              <w:tr2bl w:val="nil"/>
            </w:tcBorders>
            <w:shd w:val="clear" w:color="auto" w:fill="FFFFFF"/>
            <w:tcMar>
              <w:left w:w="115" w:type="dxa"/>
              <w:right w:w="115" w:type="dxa"/>
            </w:tcMar>
            <w:vAlign w:val="bottom"/>
          </w:tcPr>
          <w:p w14:paraId="0A9468EB" w14:textId="77777777" w:rsidR="003F0EEA" w:rsidRPr="00250775" w:rsidRDefault="003F0EEA">
            <w:pPr>
              <w:rPr>
                <w:rFonts w:ascii="Arial" w:eastAsia="Arial" w:hAnsi="Arial" w:cs="Arial"/>
                <w:color w:val="000000"/>
                <w:sz w:val="16"/>
                <w:vertAlign w:val="superscript"/>
              </w:rPr>
            </w:pPr>
          </w:p>
        </w:tc>
        <w:tc>
          <w:tcPr>
            <w:tcW w:w="1005" w:type="dxa"/>
            <w:tcBorders>
              <w:top w:val="nil"/>
              <w:left w:val="nil"/>
              <w:bottom w:val="nil"/>
              <w:right w:val="nil"/>
              <w:tl2br w:val="nil"/>
              <w:tr2bl w:val="nil"/>
            </w:tcBorders>
            <w:shd w:val="clear" w:color="auto" w:fill="FFFF00"/>
            <w:tcMar>
              <w:left w:w="115" w:type="dxa"/>
              <w:right w:w="115" w:type="dxa"/>
            </w:tcMar>
            <w:vAlign w:val="bottom"/>
          </w:tcPr>
          <w:p w14:paraId="7A89AE93" w14:textId="77777777" w:rsidR="003F0EEA" w:rsidRPr="00250775" w:rsidRDefault="00FB7D0B">
            <w:pPr>
              <w:jc w:val="right"/>
              <w:rPr>
                <w:rFonts w:ascii="Arial" w:eastAsia="Arial" w:hAnsi="Arial" w:cs="Arial"/>
                <w:color w:val="000000"/>
                <w:sz w:val="16"/>
                <w:vertAlign w:val="superscript"/>
              </w:rPr>
            </w:pPr>
            <w:r w:rsidRPr="00250775">
              <w:rPr>
                <w:rFonts w:ascii="Arial" w:eastAsia="Arial" w:hAnsi="Arial" w:cs="Arial"/>
                <w:color w:val="000000"/>
                <w:sz w:val="16"/>
              </w:rPr>
              <w:t xml:space="preserve"> - </w:t>
            </w:r>
          </w:p>
        </w:tc>
        <w:tc>
          <w:tcPr>
            <w:tcW w:w="1005" w:type="dxa"/>
            <w:tcBorders>
              <w:top w:val="nil"/>
              <w:left w:val="nil"/>
              <w:bottom w:val="nil"/>
              <w:right w:val="nil"/>
              <w:tl2br w:val="nil"/>
              <w:tr2bl w:val="nil"/>
            </w:tcBorders>
            <w:shd w:val="clear" w:color="auto" w:fill="FFFFFF"/>
            <w:tcMar>
              <w:left w:w="115" w:type="dxa"/>
              <w:right w:w="115" w:type="dxa"/>
            </w:tcMar>
            <w:vAlign w:val="bottom"/>
          </w:tcPr>
          <w:p w14:paraId="0EFB27E1" w14:textId="77777777" w:rsidR="003F0EEA" w:rsidRPr="00250775" w:rsidRDefault="00FB7D0B">
            <w:pPr>
              <w:jc w:val="right"/>
              <w:rPr>
                <w:rFonts w:ascii="Arial" w:eastAsia="Arial" w:hAnsi="Arial" w:cs="Arial"/>
                <w:color w:val="000000"/>
                <w:sz w:val="16"/>
              </w:rPr>
            </w:pPr>
            <w:r w:rsidRPr="00250775">
              <w:rPr>
                <w:rFonts w:ascii="Arial" w:eastAsia="Arial" w:hAnsi="Arial" w:cs="Arial"/>
                <w:color w:val="000000"/>
                <w:sz w:val="16"/>
              </w:rPr>
              <w:t>548  </w:t>
            </w:r>
          </w:p>
        </w:tc>
        <w:tc>
          <w:tcPr>
            <w:tcW w:w="1005" w:type="dxa"/>
            <w:tcBorders>
              <w:top w:val="nil"/>
              <w:left w:val="nil"/>
              <w:bottom w:val="nil"/>
              <w:right w:val="nil"/>
              <w:tl2br w:val="nil"/>
              <w:tr2bl w:val="nil"/>
            </w:tcBorders>
            <w:shd w:val="clear" w:color="auto" w:fill="FFFF00"/>
            <w:tcMar>
              <w:left w:w="115" w:type="dxa"/>
              <w:right w:w="115" w:type="dxa"/>
            </w:tcMar>
            <w:vAlign w:val="bottom"/>
          </w:tcPr>
          <w:p w14:paraId="54359A8F" w14:textId="77777777" w:rsidR="003F0EEA" w:rsidRPr="00250775" w:rsidRDefault="00FB7D0B">
            <w:pPr>
              <w:jc w:val="right"/>
              <w:rPr>
                <w:rFonts w:ascii="Arial" w:eastAsia="Arial" w:hAnsi="Arial" w:cs="Arial"/>
                <w:color w:val="000000"/>
                <w:sz w:val="16"/>
              </w:rPr>
            </w:pPr>
            <w:r w:rsidRPr="00250775">
              <w:rPr>
                <w:rFonts w:ascii="Arial" w:eastAsia="Arial" w:hAnsi="Arial" w:cs="Arial"/>
                <w:color w:val="000000"/>
                <w:sz w:val="16"/>
              </w:rPr>
              <w:t xml:space="preserve"> - </w:t>
            </w:r>
          </w:p>
        </w:tc>
        <w:tc>
          <w:tcPr>
            <w:tcW w:w="1005" w:type="dxa"/>
            <w:tcBorders>
              <w:top w:val="nil"/>
              <w:left w:val="nil"/>
              <w:bottom w:val="nil"/>
              <w:right w:val="nil"/>
              <w:tl2br w:val="nil"/>
              <w:tr2bl w:val="nil"/>
            </w:tcBorders>
            <w:shd w:val="clear" w:color="auto" w:fill="FFFFFF"/>
            <w:tcMar>
              <w:left w:w="115" w:type="dxa"/>
              <w:right w:w="115" w:type="dxa"/>
            </w:tcMar>
            <w:vAlign w:val="bottom"/>
          </w:tcPr>
          <w:p w14:paraId="27774627" w14:textId="77777777" w:rsidR="003F0EEA" w:rsidRPr="00250775" w:rsidRDefault="00FB7D0B">
            <w:pPr>
              <w:jc w:val="right"/>
              <w:rPr>
                <w:rFonts w:ascii="Arial" w:eastAsia="Arial" w:hAnsi="Arial" w:cs="Arial"/>
                <w:color w:val="000000"/>
                <w:sz w:val="16"/>
              </w:rPr>
            </w:pPr>
            <w:r w:rsidRPr="00250775">
              <w:rPr>
                <w:rFonts w:ascii="Arial" w:eastAsia="Arial" w:hAnsi="Arial" w:cs="Arial"/>
                <w:color w:val="000000"/>
                <w:sz w:val="16"/>
              </w:rPr>
              <w:t xml:space="preserve"> - </w:t>
            </w:r>
          </w:p>
        </w:tc>
        <w:tc>
          <w:tcPr>
            <w:tcW w:w="1005" w:type="dxa"/>
            <w:tcBorders>
              <w:top w:val="nil"/>
              <w:left w:val="nil"/>
              <w:bottom w:val="nil"/>
              <w:right w:val="nil"/>
              <w:tl2br w:val="nil"/>
              <w:tr2bl w:val="nil"/>
            </w:tcBorders>
            <w:shd w:val="clear" w:color="auto" w:fill="FFFF00"/>
            <w:tcMar>
              <w:left w:w="115" w:type="dxa"/>
              <w:right w:w="115" w:type="dxa"/>
            </w:tcMar>
            <w:vAlign w:val="bottom"/>
          </w:tcPr>
          <w:p w14:paraId="25CB16B8" w14:textId="77777777" w:rsidR="003F0EEA" w:rsidRPr="00250775" w:rsidRDefault="00FB7D0B">
            <w:pPr>
              <w:jc w:val="right"/>
              <w:rPr>
                <w:rFonts w:ascii="Arial" w:eastAsia="Arial" w:hAnsi="Arial" w:cs="Arial"/>
                <w:color w:val="000000"/>
                <w:sz w:val="16"/>
              </w:rPr>
            </w:pPr>
            <w:r w:rsidRPr="00250775">
              <w:rPr>
                <w:rFonts w:ascii="Arial" w:eastAsia="Arial" w:hAnsi="Arial" w:cs="Arial"/>
                <w:color w:val="000000"/>
                <w:sz w:val="16"/>
              </w:rPr>
              <w:t xml:space="preserve"> - </w:t>
            </w:r>
          </w:p>
        </w:tc>
      </w:tr>
      <w:tr w:rsidR="00FB7D0B" w14:paraId="75EDDD80" w14:textId="77777777" w:rsidTr="00FB7D0B">
        <w:trPr>
          <w:trHeight w:val="225"/>
        </w:trPr>
        <w:tc>
          <w:tcPr>
            <w:tcW w:w="2460" w:type="dxa"/>
            <w:gridSpan w:val="2"/>
            <w:tcBorders>
              <w:top w:val="nil"/>
              <w:left w:val="nil"/>
              <w:bottom w:val="nil"/>
              <w:right w:val="nil"/>
              <w:tl2br w:val="nil"/>
              <w:tr2bl w:val="nil"/>
            </w:tcBorders>
            <w:shd w:val="clear" w:color="auto" w:fill="FFFFFF"/>
            <w:tcMar>
              <w:left w:w="115" w:type="dxa"/>
              <w:right w:w="115" w:type="dxa"/>
            </w:tcMar>
            <w:vAlign w:val="bottom"/>
          </w:tcPr>
          <w:p w14:paraId="7A54DE00" w14:textId="77777777" w:rsidR="003F0EEA" w:rsidRPr="00250775" w:rsidRDefault="00FB7D0B">
            <w:pPr>
              <w:rPr>
                <w:rFonts w:ascii="Arial" w:eastAsia="Arial" w:hAnsi="Arial" w:cs="Arial"/>
                <w:color w:val="000000"/>
                <w:sz w:val="16"/>
              </w:rPr>
            </w:pPr>
            <w:r w:rsidRPr="00250775">
              <w:rPr>
                <w:rFonts w:ascii="Arial" w:eastAsia="Arial" w:hAnsi="Arial" w:cs="Arial"/>
                <w:b/>
                <w:color w:val="000000"/>
                <w:sz w:val="16"/>
              </w:rPr>
              <w:t xml:space="preserve">Total </w:t>
            </w:r>
          </w:p>
        </w:tc>
        <w:tc>
          <w:tcPr>
            <w:tcW w:w="915" w:type="dxa"/>
            <w:tcBorders>
              <w:top w:val="nil"/>
              <w:left w:val="nil"/>
              <w:bottom w:val="nil"/>
              <w:right w:val="nil"/>
              <w:tl2br w:val="nil"/>
              <w:tr2bl w:val="nil"/>
            </w:tcBorders>
            <w:shd w:val="clear" w:color="auto" w:fill="FFFFFF"/>
            <w:tcMar>
              <w:left w:w="115" w:type="dxa"/>
              <w:right w:w="115" w:type="dxa"/>
            </w:tcMar>
            <w:vAlign w:val="bottom"/>
          </w:tcPr>
          <w:p w14:paraId="24D59293" w14:textId="77777777" w:rsidR="003F0EEA" w:rsidRPr="00250775" w:rsidRDefault="003F0EEA">
            <w:pPr>
              <w:rPr>
                <w:rFonts w:ascii="Arial" w:eastAsia="Arial" w:hAnsi="Arial" w:cs="Arial"/>
                <w:color w:val="000000"/>
                <w:sz w:val="16"/>
                <w:vertAlign w:val="superscript"/>
              </w:rPr>
            </w:pPr>
          </w:p>
        </w:tc>
        <w:tc>
          <w:tcPr>
            <w:tcW w:w="1005" w:type="dxa"/>
            <w:tcBorders>
              <w:top w:val="nil"/>
              <w:left w:val="nil"/>
              <w:bottom w:val="single" w:sz="6" w:space="0" w:color="000000"/>
              <w:right w:val="nil"/>
              <w:tl2br w:val="nil"/>
              <w:tr2bl w:val="nil"/>
            </w:tcBorders>
            <w:shd w:val="clear" w:color="auto" w:fill="FFFF00"/>
            <w:tcMar>
              <w:left w:w="115" w:type="dxa"/>
              <w:right w:w="115" w:type="dxa"/>
            </w:tcMar>
            <w:vAlign w:val="bottom"/>
          </w:tcPr>
          <w:p w14:paraId="3064CC86" w14:textId="77777777" w:rsidR="003F0EEA" w:rsidRPr="00250775" w:rsidRDefault="00FB7D0B">
            <w:pPr>
              <w:jc w:val="right"/>
              <w:rPr>
                <w:rFonts w:ascii="Arial" w:eastAsia="Arial" w:hAnsi="Arial" w:cs="Arial"/>
                <w:color w:val="000000"/>
                <w:sz w:val="16"/>
                <w:vertAlign w:val="superscript"/>
              </w:rPr>
            </w:pPr>
            <w:r w:rsidRPr="00250775">
              <w:rPr>
                <w:rFonts w:ascii="Arial" w:eastAsia="Arial" w:hAnsi="Arial" w:cs="Arial"/>
                <w:b/>
                <w:color w:val="000000"/>
                <w:sz w:val="16"/>
              </w:rPr>
              <w:t xml:space="preserve"> - </w:t>
            </w:r>
          </w:p>
        </w:tc>
        <w:tc>
          <w:tcPr>
            <w:tcW w:w="1005"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2606F039" w14:textId="77777777" w:rsidR="003F0EEA" w:rsidRPr="00250775" w:rsidRDefault="00FB7D0B">
            <w:pPr>
              <w:jc w:val="right"/>
              <w:rPr>
                <w:rFonts w:ascii="Arial" w:eastAsia="Arial" w:hAnsi="Arial" w:cs="Arial"/>
                <w:b/>
                <w:color w:val="000000"/>
                <w:sz w:val="16"/>
              </w:rPr>
            </w:pPr>
            <w:r w:rsidRPr="00250775">
              <w:rPr>
                <w:rFonts w:ascii="Arial" w:eastAsia="Arial" w:hAnsi="Arial" w:cs="Arial"/>
                <w:b/>
                <w:color w:val="000000"/>
                <w:sz w:val="16"/>
              </w:rPr>
              <w:t>548  </w:t>
            </w:r>
          </w:p>
        </w:tc>
        <w:tc>
          <w:tcPr>
            <w:tcW w:w="1005" w:type="dxa"/>
            <w:tcBorders>
              <w:top w:val="nil"/>
              <w:left w:val="nil"/>
              <w:bottom w:val="single" w:sz="6" w:space="0" w:color="000000"/>
              <w:right w:val="nil"/>
              <w:tl2br w:val="nil"/>
              <w:tr2bl w:val="nil"/>
            </w:tcBorders>
            <w:shd w:val="clear" w:color="auto" w:fill="FFFF00"/>
            <w:tcMar>
              <w:left w:w="115" w:type="dxa"/>
              <w:right w:w="115" w:type="dxa"/>
            </w:tcMar>
            <w:vAlign w:val="bottom"/>
          </w:tcPr>
          <w:p w14:paraId="733A6F61" w14:textId="77777777" w:rsidR="003F0EEA" w:rsidRPr="00250775" w:rsidRDefault="00FB7D0B">
            <w:pPr>
              <w:jc w:val="right"/>
              <w:rPr>
                <w:rFonts w:ascii="Arial" w:eastAsia="Arial" w:hAnsi="Arial" w:cs="Arial"/>
                <w:b/>
                <w:color w:val="000000"/>
                <w:sz w:val="16"/>
              </w:rPr>
            </w:pPr>
            <w:r w:rsidRPr="00250775">
              <w:rPr>
                <w:rFonts w:ascii="Arial" w:eastAsia="Arial" w:hAnsi="Arial" w:cs="Arial"/>
                <w:b/>
                <w:color w:val="000000"/>
                <w:sz w:val="16"/>
              </w:rPr>
              <w:t xml:space="preserve"> - </w:t>
            </w:r>
          </w:p>
        </w:tc>
        <w:tc>
          <w:tcPr>
            <w:tcW w:w="1005"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23CFD0AE" w14:textId="77777777" w:rsidR="003F0EEA" w:rsidRPr="00250775" w:rsidRDefault="00FB7D0B">
            <w:pPr>
              <w:jc w:val="right"/>
              <w:rPr>
                <w:rFonts w:ascii="Arial" w:eastAsia="Arial" w:hAnsi="Arial" w:cs="Arial"/>
                <w:b/>
                <w:color w:val="000000"/>
                <w:sz w:val="16"/>
              </w:rPr>
            </w:pPr>
            <w:r w:rsidRPr="00250775">
              <w:rPr>
                <w:rFonts w:ascii="Arial" w:eastAsia="Arial" w:hAnsi="Arial" w:cs="Arial"/>
                <w:b/>
                <w:color w:val="000000"/>
                <w:sz w:val="16"/>
              </w:rPr>
              <w:t xml:space="preserve"> - </w:t>
            </w:r>
          </w:p>
        </w:tc>
        <w:tc>
          <w:tcPr>
            <w:tcW w:w="1005" w:type="dxa"/>
            <w:tcBorders>
              <w:top w:val="nil"/>
              <w:left w:val="nil"/>
              <w:bottom w:val="single" w:sz="6" w:space="0" w:color="000000"/>
              <w:right w:val="nil"/>
              <w:tl2br w:val="nil"/>
              <w:tr2bl w:val="nil"/>
            </w:tcBorders>
            <w:shd w:val="clear" w:color="auto" w:fill="FFFF00"/>
            <w:tcMar>
              <w:left w:w="115" w:type="dxa"/>
              <w:right w:w="115" w:type="dxa"/>
            </w:tcMar>
            <w:vAlign w:val="bottom"/>
          </w:tcPr>
          <w:p w14:paraId="7685612C" w14:textId="77777777" w:rsidR="003F0EEA" w:rsidRPr="00250775" w:rsidRDefault="00FB7D0B">
            <w:pPr>
              <w:jc w:val="right"/>
              <w:rPr>
                <w:rFonts w:ascii="Arial" w:eastAsia="Arial" w:hAnsi="Arial" w:cs="Arial"/>
                <w:b/>
                <w:color w:val="000000"/>
                <w:sz w:val="16"/>
              </w:rPr>
            </w:pPr>
            <w:r w:rsidRPr="00250775">
              <w:rPr>
                <w:rFonts w:ascii="Arial" w:eastAsia="Arial" w:hAnsi="Arial" w:cs="Arial"/>
                <w:b/>
                <w:color w:val="000000"/>
                <w:sz w:val="16"/>
              </w:rPr>
              <w:t xml:space="preserve"> - </w:t>
            </w:r>
          </w:p>
        </w:tc>
      </w:tr>
      <w:tr w:rsidR="00724034" w14:paraId="3EFB0E7A" w14:textId="77777777">
        <w:trPr>
          <w:trHeight w:val="225"/>
        </w:trPr>
        <w:tc>
          <w:tcPr>
            <w:tcW w:w="180" w:type="dxa"/>
            <w:tcBorders>
              <w:top w:val="nil"/>
              <w:left w:val="nil"/>
              <w:bottom w:val="nil"/>
              <w:right w:val="nil"/>
              <w:tl2br w:val="nil"/>
              <w:tr2bl w:val="nil"/>
            </w:tcBorders>
            <w:shd w:val="clear" w:color="auto" w:fill="FFFFFF"/>
            <w:tcMar>
              <w:left w:w="115" w:type="dxa"/>
              <w:right w:w="115" w:type="dxa"/>
            </w:tcMar>
            <w:vAlign w:val="bottom"/>
          </w:tcPr>
          <w:p w14:paraId="415775E7" w14:textId="77777777" w:rsidR="003F0EEA" w:rsidRPr="00250775" w:rsidRDefault="003F0EEA">
            <w:pPr>
              <w:rPr>
                <w:rFonts w:ascii="Arial" w:eastAsia="Arial" w:hAnsi="Arial" w:cs="Arial"/>
                <w:b/>
                <w:color w:val="000000"/>
                <w:sz w:val="16"/>
              </w:rPr>
            </w:pPr>
          </w:p>
        </w:tc>
        <w:tc>
          <w:tcPr>
            <w:tcW w:w="2280" w:type="dxa"/>
            <w:tcBorders>
              <w:top w:val="nil"/>
              <w:left w:val="nil"/>
              <w:bottom w:val="nil"/>
              <w:right w:val="nil"/>
              <w:tl2br w:val="nil"/>
              <w:tr2bl w:val="nil"/>
            </w:tcBorders>
            <w:shd w:val="clear" w:color="auto" w:fill="FFFFFF"/>
            <w:tcMar>
              <w:left w:w="115" w:type="dxa"/>
              <w:right w:w="115" w:type="dxa"/>
            </w:tcMar>
            <w:vAlign w:val="bottom"/>
          </w:tcPr>
          <w:p w14:paraId="5353093E" w14:textId="77777777" w:rsidR="003F0EEA" w:rsidRPr="00250775" w:rsidRDefault="003F0EEA">
            <w:pPr>
              <w:rPr>
                <w:rFonts w:ascii="Arial" w:eastAsia="Arial" w:hAnsi="Arial" w:cs="Arial"/>
                <w:b/>
                <w:color w:val="000000"/>
                <w:sz w:val="16"/>
              </w:rPr>
            </w:pPr>
          </w:p>
        </w:tc>
        <w:tc>
          <w:tcPr>
            <w:tcW w:w="915" w:type="dxa"/>
            <w:tcBorders>
              <w:top w:val="nil"/>
              <w:left w:val="nil"/>
              <w:bottom w:val="nil"/>
              <w:right w:val="nil"/>
              <w:tl2br w:val="nil"/>
              <w:tr2bl w:val="nil"/>
            </w:tcBorders>
            <w:shd w:val="clear" w:color="auto" w:fill="FFFFFF"/>
            <w:tcMar>
              <w:left w:w="115" w:type="dxa"/>
              <w:right w:w="115" w:type="dxa"/>
            </w:tcMar>
            <w:vAlign w:val="bottom"/>
          </w:tcPr>
          <w:p w14:paraId="33965FB3" w14:textId="77777777" w:rsidR="003F0EEA" w:rsidRPr="00250775" w:rsidRDefault="003F0EEA">
            <w:pPr>
              <w:rPr>
                <w:rFonts w:ascii="Arial" w:eastAsia="Arial" w:hAnsi="Arial" w:cs="Arial"/>
                <w:color w:val="000000"/>
                <w:sz w:val="16"/>
                <w:vertAlign w:val="superscript"/>
              </w:rPr>
            </w:pPr>
          </w:p>
        </w:tc>
        <w:tc>
          <w:tcPr>
            <w:tcW w:w="1005" w:type="dxa"/>
            <w:tcBorders>
              <w:top w:val="single" w:sz="6" w:space="0" w:color="000000"/>
              <w:left w:val="nil"/>
              <w:bottom w:val="nil"/>
              <w:right w:val="nil"/>
              <w:tl2br w:val="nil"/>
              <w:tr2bl w:val="nil"/>
            </w:tcBorders>
            <w:shd w:val="clear" w:color="auto" w:fill="FFFF00"/>
            <w:tcMar>
              <w:left w:w="115" w:type="dxa"/>
              <w:right w:w="115" w:type="dxa"/>
            </w:tcMar>
            <w:vAlign w:val="bottom"/>
          </w:tcPr>
          <w:p w14:paraId="2AE21724" w14:textId="77777777" w:rsidR="003F0EEA" w:rsidRPr="00250775" w:rsidRDefault="003F0EEA">
            <w:pPr>
              <w:rPr>
                <w:rFonts w:ascii="Arial" w:eastAsia="Arial" w:hAnsi="Arial" w:cs="Arial"/>
                <w:color w:val="000000"/>
                <w:sz w:val="16"/>
                <w:vertAlign w:val="superscript"/>
              </w:rPr>
            </w:pPr>
          </w:p>
        </w:tc>
        <w:tc>
          <w:tcPr>
            <w:tcW w:w="1005"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3E9E9400" w14:textId="77777777" w:rsidR="003F0EEA" w:rsidRPr="00250775" w:rsidRDefault="003F0EEA">
            <w:pPr>
              <w:rPr>
                <w:rFonts w:ascii="Arial" w:eastAsia="Arial" w:hAnsi="Arial" w:cs="Arial"/>
                <w:b/>
                <w:color w:val="000000"/>
                <w:sz w:val="16"/>
                <w:vertAlign w:val="superscript"/>
              </w:rPr>
            </w:pPr>
          </w:p>
        </w:tc>
        <w:tc>
          <w:tcPr>
            <w:tcW w:w="1005" w:type="dxa"/>
            <w:tcBorders>
              <w:top w:val="single" w:sz="6" w:space="0" w:color="000000"/>
              <w:left w:val="nil"/>
              <w:bottom w:val="nil"/>
              <w:right w:val="nil"/>
              <w:tl2br w:val="nil"/>
              <w:tr2bl w:val="nil"/>
            </w:tcBorders>
            <w:shd w:val="clear" w:color="auto" w:fill="FFFF00"/>
            <w:tcMar>
              <w:left w:w="115" w:type="dxa"/>
              <w:right w:w="115" w:type="dxa"/>
            </w:tcMar>
            <w:vAlign w:val="bottom"/>
          </w:tcPr>
          <w:p w14:paraId="64A08842" w14:textId="77777777" w:rsidR="003F0EEA" w:rsidRPr="00250775" w:rsidRDefault="003F0EEA">
            <w:pPr>
              <w:rPr>
                <w:rFonts w:ascii="Arial" w:eastAsia="Arial" w:hAnsi="Arial" w:cs="Arial"/>
                <w:b/>
                <w:color w:val="000000"/>
                <w:sz w:val="16"/>
                <w:vertAlign w:val="superscript"/>
              </w:rPr>
            </w:pPr>
          </w:p>
        </w:tc>
        <w:tc>
          <w:tcPr>
            <w:tcW w:w="1005"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7D983805" w14:textId="77777777" w:rsidR="003F0EEA" w:rsidRPr="00250775" w:rsidRDefault="003F0EEA">
            <w:pPr>
              <w:rPr>
                <w:rFonts w:ascii="Arial" w:eastAsia="Arial" w:hAnsi="Arial" w:cs="Arial"/>
                <w:b/>
                <w:color w:val="000000"/>
                <w:sz w:val="16"/>
                <w:vertAlign w:val="superscript"/>
              </w:rPr>
            </w:pPr>
          </w:p>
        </w:tc>
        <w:tc>
          <w:tcPr>
            <w:tcW w:w="1005" w:type="dxa"/>
            <w:tcBorders>
              <w:top w:val="single" w:sz="6" w:space="0" w:color="000000"/>
              <w:left w:val="nil"/>
              <w:bottom w:val="nil"/>
              <w:right w:val="nil"/>
              <w:tl2br w:val="nil"/>
              <w:tr2bl w:val="nil"/>
            </w:tcBorders>
            <w:shd w:val="clear" w:color="auto" w:fill="FFFF00"/>
            <w:tcMar>
              <w:left w:w="115" w:type="dxa"/>
              <w:right w:w="115" w:type="dxa"/>
            </w:tcMar>
            <w:vAlign w:val="bottom"/>
          </w:tcPr>
          <w:p w14:paraId="53AA152C" w14:textId="77777777" w:rsidR="003F0EEA" w:rsidRPr="00250775" w:rsidRDefault="003F0EEA">
            <w:pPr>
              <w:rPr>
                <w:rFonts w:ascii="Arial" w:eastAsia="Arial" w:hAnsi="Arial" w:cs="Arial"/>
                <w:b/>
                <w:color w:val="000000"/>
                <w:sz w:val="16"/>
                <w:vertAlign w:val="superscript"/>
              </w:rPr>
            </w:pPr>
          </w:p>
        </w:tc>
      </w:tr>
      <w:tr w:rsidR="00FB7D0B" w14:paraId="752292D9" w14:textId="77777777" w:rsidTr="00FB7D0B">
        <w:trPr>
          <w:trHeight w:val="420"/>
        </w:trPr>
        <w:tc>
          <w:tcPr>
            <w:tcW w:w="2460" w:type="dxa"/>
            <w:gridSpan w:val="2"/>
            <w:tcBorders>
              <w:top w:val="nil"/>
              <w:left w:val="nil"/>
              <w:bottom w:val="nil"/>
              <w:right w:val="nil"/>
              <w:tl2br w:val="nil"/>
              <w:tr2bl w:val="nil"/>
            </w:tcBorders>
            <w:shd w:val="clear" w:color="auto" w:fill="FFFFFF"/>
            <w:tcMar>
              <w:left w:w="115" w:type="dxa"/>
              <w:right w:w="115" w:type="dxa"/>
            </w:tcMar>
            <w:vAlign w:val="bottom"/>
          </w:tcPr>
          <w:p w14:paraId="406741D3" w14:textId="77777777" w:rsidR="003F0EEA" w:rsidRPr="00250775" w:rsidRDefault="00FB7D0B">
            <w:pPr>
              <w:rPr>
                <w:rFonts w:ascii="Arial" w:eastAsia="Arial" w:hAnsi="Arial" w:cs="Arial"/>
                <w:b/>
                <w:color w:val="000000"/>
                <w:sz w:val="16"/>
                <w:vertAlign w:val="superscript"/>
              </w:rPr>
            </w:pPr>
            <w:r w:rsidRPr="00250775">
              <w:rPr>
                <w:rFonts w:ascii="Arial" w:eastAsia="Arial" w:hAnsi="Arial" w:cs="Arial"/>
                <w:color w:val="000000"/>
                <w:sz w:val="16"/>
              </w:rPr>
              <w:t>Efficiency Dividend - a further temporary increase of 0.25 per cent</w:t>
            </w:r>
          </w:p>
        </w:tc>
        <w:tc>
          <w:tcPr>
            <w:tcW w:w="915" w:type="dxa"/>
            <w:tcBorders>
              <w:top w:val="nil"/>
              <w:left w:val="nil"/>
              <w:bottom w:val="nil"/>
              <w:right w:val="nil"/>
              <w:tl2br w:val="nil"/>
              <w:tr2bl w:val="nil"/>
            </w:tcBorders>
            <w:shd w:val="clear" w:color="auto" w:fill="FFFFFF"/>
            <w:tcMar>
              <w:left w:w="115" w:type="dxa"/>
              <w:right w:w="115" w:type="dxa"/>
            </w:tcMar>
            <w:vAlign w:val="bottom"/>
          </w:tcPr>
          <w:p w14:paraId="54551DE2" w14:textId="77777777" w:rsidR="003F0EEA" w:rsidRPr="00250775" w:rsidRDefault="00FB7D0B">
            <w:pPr>
              <w:jc w:val="center"/>
              <w:rPr>
                <w:rFonts w:ascii="Arial" w:eastAsia="Arial" w:hAnsi="Arial" w:cs="Arial"/>
                <w:color w:val="000000"/>
                <w:sz w:val="16"/>
                <w:vertAlign w:val="superscript"/>
              </w:rPr>
            </w:pPr>
            <w:r w:rsidRPr="00250775">
              <w:rPr>
                <w:rFonts w:ascii="Arial" w:eastAsia="Arial" w:hAnsi="Arial" w:cs="Arial"/>
                <w:color w:val="000000"/>
                <w:sz w:val="16"/>
              </w:rPr>
              <w:t>All</w:t>
            </w:r>
          </w:p>
        </w:tc>
        <w:tc>
          <w:tcPr>
            <w:tcW w:w="1005" w:type="dxa"/>
            <w:tcBorders>
              <w:top w:val="nil"/>
              <w:left w:val="nil"/>
              <w:bottom w:val="nil"/>
              <w:right w:val="nil"/>
              <w:tl2br w:val="nil"/>
              <w:tr2bl w:val="nil"/>
            </w:tcBorders>
            <w:shd w:val="clear" w:color="auto" w:fill="FFFF00"/>
            <w:tcMar>
              <w:left w:w="115" w:type="dxa"/>
              <w:right w:w="115" w:type="dxa"/>
            </w:tcMar>
            <w:vAlign w:val="bottom"/>
          </w:tcPr>
          <w:p w14:paraId="606845F6" w14:textId="77777777" w:rsidR="003F0EEA" w:rsidRPr="00250775" w:rsidRDefault="003F0EEA">
            <w:pPr>
              <w:rPr>
                <w:rFonts w:ascii="Arial" w:eastAsia="Arial" w:hAnsi="Arial" w:cs="Arial"/>
                <w:color w:val="000000"/>
                <w:sz w:val="16"/>
              </w:rPr>
            </w:pPr>
          </w:p>
        </w:tc>
        <w:tc>
          <w:tcPr>
            <w:tcW w:w="1005" w:type="dxa"/>
            <w:tcBorders>
              <w:top w:val="nil"/>
              <w:left w:val="nil"/>
              <w:bottom w:val="nil"/>
              <w:right w:val="nil"/>
              <w:tl2br w:val="nil"/>
              <w:tr2bl w:val="nil"/>
            </w:tcBorders>
            <w:shd w:val="clear" w:color="auto" w:fill="FFFFFF"/>
            <w:tcMar>
              <w:left w:w="115" w:type="dxa"/>
              <w:right w:w="115" w:type="dxa"/>
            </w:tcMar>
            <w:vAlign w:val="bottom"/>
          </w:tcPr>
          <w:p w14:paraId="1B50C68F" w14:textId="77777777" w:rsidR="003F0EEA" w:rsidRPr="00250775" w:rsidRDefault="003F0EEA">
            <w:pPr>
              <w:rPr>
                <w:rFonts w:ascii="Arial" w:eastAsia="Arial" w:hAnsi="Arial" w:cs="Arial"/>
                <w:color w:val="000000"/>
                <w:sz w:val="16"/>
              </w:rPr>
            </w:pPr>
          </w:p>
        </w:tc>
        <w:tc>
          <w:tcPr>
            <w:tcW w:w="1005" w:type="dxa"/>
            <w:tcBorders>
              <w:top w:val="nil"/>
              <w:left w:val="nil"/>
              <w:bottom w:val="nil"/>
              <w:right w:val="nil"/>
              <w:tl2br w:val="nil"/>
              <w:tr2bl w:val="nil"/>
            </w:tcBorders>
            <w:shd w:val="clear" w:color="auto" w:fill="FFFF00"/>
            <w:tcMar>
              <w:left w:w="115" w:type="dxa"/>
              <w:right w:w="115" w:type="dxa"/>
            </w:tcMar>
            <w:vAlign w:val="bottom"/>
          </w:tcPr>
          <w:p w14:paraId="04DE2DC6" w14:textId="77777777" w:rsidR="003F0EEA" w:rsidRPr="00250775" w:rsidRDefault="003F0EEA">
            <w:pPr>
              <w:rPr>
                <w:rFonts w:ascii="Arial" w:eastAsia="Arial" w:hAnsi="Arial" w:cs="Arial"/>
                <w:color w:val="000000"/>
                <w:sz w:val="16"/>
              </w:rPr>
            </w:pPr>
          </w:p>
        </w:tc>
        <w:tc>
          <w:tcPr>
            <w:tcW w:w="1005" w:type="dxa"/>
            <w:tcBorders>
              <w:top w:val="nil"/>
              <w:left w:val="nil"/>
              <w:bottom w:val="nil"/>
              <w:right w:val="nil"/>
              <w:tl2br w:val="nil"/>
              <w:tr2bl w:val="nil"/>
            </w:tcBorders>
            <w:shd w:val="clear" w:color="auto" w:fill="FFFFFF"/>
            <w:tcMar>
              <w:left w:w="115" w:type="dxa"/>
              <w:right w:w="115" w:type="dxa"/>
            </w:tcMar>
            <w:vAlign w:val="bottom"/>
          </w:tcPr>
          <w:p w14:paraId="5A8EC5E4" w14:textId="77777777" w:rsidR="003F0EEA" w:rsidRPr="00250775" w:rsidRDefault="003F0EEA">
            <w:pPr>
              <w:rPr>
                <w:rFonts w:ascii="Arial" w:eastAsia="Arial" w:hAnsi="Arial" w:cs="Arial"/>
                <w:color w:val="000000"/>
                <w:sz w:val="16"/>
              </w:rPr>
            </w:pPr>
          </w:p>
        </w:tc>
        <w:tc>
          <w:tcPr>
            <w:tcW w:w="1005" w:type="dxa"/>
            <w:tcBorders>
              <w:top w:val="nil"/>
              <w:left w:val="nil"/>
              <w:bottom w:val="nil"/>
              <w:right w:val="nil"/>
              <w:tl2br w:val="nil"/>
              <w:tr2bl w:val="nil"/>
            </w:tcBorders>
            <w:shd w:val="clear" w:color="auto" w:fill="FFFF00"/>
            <w:tcMar>
              <w:left w:w="115" w:type="dxa"/>
              <w:right w:w="115" w:type="dxa"/>
            </w:tcMar>
            <w:vAlign w:val="bottom"/>
          </w:tcPr>
          <w:p w14:paraId="324AA82D" w14:textId="77777777" w:rsidR="003F0EEA" w:rsidRPr="00250775" w:rsidRDefault="003F0EEA">
            <w:pPr>
              <w:rPr>
                <w:rFonts w:ascii="Arial" w:eastAsia="Arial" w:hAnsi="Arial" w:cs="Arial"/>
                <w:color w:val="000000"/>
                <w:sz w:val="16"/>
              </w:rPr>
            </w:pPr>
          </w:p>
        </w:tc>
      </w:tr>
      <w:tr w:rsidR="00724034" w14:paraId="24A54962" w14:textId="77777777">
        <w:trPr>
          <w:trHeight w:val="255"/>
        </w:trPr>
        <w:tc>
          <w:tcPr>
            <w:tcW w:w="180" w:type="dxa"/>
            <w:tcBorders>
              <w:top w:val="nil"/>
              <w:left w:val="nil"/>
              <w:bottom w:val="nil"/>
              <w:right w:val="nil"/>
              <w:tl2br w:val="nil"/>
              <w:tr2bl w:val="nil"/>
            </w:tcBorders>
            <w:shd w:val="clear" w:color="auto" w:fill="FFFFFF"/>
            <w:tcMar>
              <w:left w:w="115" w:type="dxa"/>
              <w:right w:w="115" w:type="dxa"/>
            </w:tcMar>
            <w:vAlign w:val="bottom"/>
          </w:tcPr>
          <w:p w14:paraId="4A687A21" w14:textId="77777777" w:rsidR="003F0EEA" w:rsidRPr="00250775" w:rsidRDefault="003F0EEA">
            <w:pPr>
              <w:rPr>
                <w:rFonts w:ascii="Arial" w:eastAsia="Arial" w:hAnsi="Arial" w:cs="Arial"/>
                <w:color w:val="000000"/>
                <w:sz w:val="16"/>
              </w:rPr>
            </w:pPr>
          </w:p>
        </w:tc>
        <w:tc>
          <w:tcPr>
            <w:tcW w:w="2280" w:type="dxa"/>
            <w:tcBorders>
              <w:top w:val="nil"/>
              <w:left w:val="nil"/>
              <w:bottom w:val="nil"/>
              <w:right w:val="nil"/>
              <w:tl2br w:val="nil"/>
              <w:tr2bl w:val="nil"/>
            </w:tcBorders>
            <w:shd w:val="clear" w:color="auto" w:fill="FFFFFF"/>
            <w:tcMar>
              <w:left w:w="115" w:type="dxa"/>
              <w:right w:w="115" w:type="dxa"/>
            </w:tcMar>
            <w:vAlign w:val="bottom"/>
          </w:tcPr>
          <w:p w14:paraId="25222206" w14:textId="77777777" w:rsidR="003F0EEA" w:rsidRPr="00250775" w:rsidRDefault="00FB7D0B">
            <w:pPr>
              <w:rPr>
                <w:rFonts w:ascii="Arial" w:eastAsia="Arial" w:hAnsi="Arial" w:cs="Arial"/>
                <w:color w:val="000000"/>
                <w:sz w:val="16"/>
              </w:rPr>
            </w:pPr>
            <w:r w:rsidRPr="00250775">
              <w:rPr>
                <w:rFonts w:ascii="Arial" w:eastAsia="Arial" w:hAnsi="Arial" w:cs="Arial"/>
                <w:color w:val="000000"/>
                <w:sz w:val="16"/>
              </w:rPr>
              <w:t>Departmental Capital</w:t>
            </w:r>
          </w:p>
        </w:tc>
        <w:tc>
          <w:tcPr>
            <w:tcW w:w="915" w:type="dxa"/>
            <w:tcBorders>
              <w:top w:val="nil"/>
              <w:left w:val="nil"/>
              <w:bottom w:val="nil"/>
              <w:right w:val="nil"/>
              <w:tl2br w:val="nil"/>
              <w:tr2bl w:val="nil"/>
            </w:tcBorders>
            <w:shd w:val="clear" w:color="auto" w:fill="FFFFFF"/>
            <w:tcMar>
              <w:left w:w="115" w:type="dxa"/>
              <w:right w:w="115" w:type="dxa"/>
            </w:tcMar>
            <w:vAlign w:val="bottom"/>
          </w:tcPr>
          <w:p w14:paraId="29801872" w14:textId="77777777" w:rsidR="003F0EEA" w:rsidRPr="00250775" w:rsidRDefault="003F0EEA">
            <w:pPr>
              <w:jc w:val="center"/>
              <w:rPr>
                <w:rFonts w:ascii="Arial" w:eastAsia="Arial" w:hAnsi="Arial" w:cs="Arial"/>
                <w:color w:val="000000"/>
                <w:sz w:val="16"/>
                <w:vertAlign w:val="superscript"/>
              </w:rPr>
            </w:pPr>
          </w:p>
        </w:tc>
        <w:tc>
          <w:tcPr>
            <w:tcW w:w="1005" w:type="dxa"/>
            <w:tcBorders>
              <w:top w:val="nil"/>
              <w:left w:val="nil"/>
              <w:bottom w:val="nil"/>
              <w:right w:val="nil"/>
              <w:tl2br w:val="nil"/>
              <w:tr2bl w:val="nil"/>
            </w:tcBorders>
            <w:shd w:val="clear" w:color="auto" w:fill="FFFF00"/>
            <w:tcMar>
              <w:left w:w="115" w:type="dxa"/>
              <w:right w:w="115" w:type="dxa"/>
            </w:tcMar>
            <w:vAlign w:val="bottom"/>
          </w:tcPr>
          <w:p w14:paraId="3236A635" w14:textId="77777777" w:rsidR="003F0EEA" w:rsidRPr="00250775" w:rsidRDefault="00FB7D0B">
            <w:pPr>
              <w:jc w:val="right"/>
              <w:rPr>
                <w:rFonts w:ascii="Arial" w:eastAsia="Arial" w:hAnsi="Arial" w:cs="Arial"/>
                <w:color w:val="000000"/>
                <w:sz w:val="16"/>
                <w:vertAlign w:val="superscript"/>
              </w:rPr>
            </w:pPr>
            <w:r w:rsidRPr="00250775">
              <w:rPr>
                <w:rFonts w:ascii="Arial" w:eastAsia="Arial" w:hAnsi="Arial" w:cs="Arial"/>
                <w:color w:val="000000"/>
                <w:sz w:val="16"/>
              </w:rPr>
              <w:t xml:space="preserve"> - </w:t>
            </w:r>
          </w:p>
        </w:tc>
        <w:tc>
          <w:tcPr>
            <w:tcW w:w="1005" w:type="dxa"/>
            <w:tcBorders>
              <w:top w:val="nil"/>
              <w:left w:val="nil"/>
              <w:bottom w:val="nil"/>
              <w:right w:val="nil"/>
              <w:tl2br w:val="nil"/>
              <w:tr2bl w:val="nil"/>
            </w:tcBorders>
            <w:shd w:val="clear" w:color="auto" w:fill="FFFFFF"/>
            <w:tcMar>
              <w:left w:w="115" w:type="dxa"/>
              <w:right w:w="115" w:type="dxa"/>
            </w:tcMar>
            <w:vAlign w:val="bottom"/>
          </w:tcPr>
          <w:p w14:paraId="7592FC18" w14:textId="77777777" w:rsidR="003F0EEA" w:rsidRPr="00250775" w:rsidRDefault="00FB7D0B">
            <w:pPr>
              <w:jc w:val="right"/>
              <w:rPr>
                <w:rFonts w:ascii="Arial" w:eastAsia="Arial" w:hAnsi="Arial" w:cs="Arial"/>
                <w:color w:val="000000"/>
                <w:sz w:val="16"/>
              </w:rPr>
            </w:pPr>
            <w:r w:rsidRPr="00250775">
              <w:rPr>
                <w:rFonts w:ascii="Arial" w:eastAsia="Arial" w:hAnsi="Arial" w:cs="Arial"/>
                <w:color w:val="000000"/>
                <w:sz w:val="16"/>
              </w:rPr>
              <w:t>(35)</w:t>
            </w:r>
          </w:p>
        </w:tc>
        <w:tc>
          <w:tcPr>
            <w:tcW w:w="1005" w:type="dxa"/>
            <w:tcBorders>
              <w:top w:val="nil"/>
              <w:left w:val="nil"/>
              <w:bottom w:val="nil"/>
              <w:right w:val="nil"/>
              <w:tl2br w:val="nil"/>
              <w:tr2bl w:val="nil"/>
            </w:tcBorders>
            <w:shd w:val="clear" w:color="auto" w:fill="FFFF00"/>
            <w:tcMar>
              <w:left w:w="115" w:type="dxa"/>
              <w:right w:w="115" w:type="dxa"/>
            </w:tcMar>
            <w:vAlign w:val="bottom"/>
          </w:tcPr>
          <w:p w14:paraId="22DE1171" w14:textId="77777777" w:rsidR="003F0EEA" w:rsidRPr="00250775" w:rsidRDefault="00FB7D0B">
            <w:pPr>
              <w:jc w:val="right"/>
              <w:rPr>
                <w:rFonts w:ascii="Arial" w:eastAsia="Arial" w:hAnsi="Arial" w:cs="Arial"/>
                <w:color w:val="000000"/>
                <w:sz w:val="16"/>
              </w:rPr>
            </w:pPr>
            <w:r w:rsidRPr="00250775">
              <w:rPr>
                <w:rFonts w:ascii="Arial" w:eastAsia="Arial" w:hAnsi="Arial" w:cs="Arial"/>
                <w:color w:val="000000"/>
                <w:sz w:val="16"/>
              </w:rPr>
              <w:t>(69)</w:t>
            </w:r>
          </w:p>
        </w:tc>
        <w:tc>
          <w:tcPr>
            <w:tcW w:w="1005" w:type="dxa"/>
            <w:tcBorders>
              <w:top w:val="nil"/>
              <w:left w:val="nil"/>
              <w:bottom w:val="nil"/>
              <w:right w:val="nil"/>
              <w:tl2br w:val="nil"/>
              <w:tr2bl w:val="nil"/>
            </w:tcBorders>
            <w:shd w:val="clear" w:color="auto" w:fill="FFFFFF"/>
            <w:tcMar>
              <w:left w:w="115" w:type="dxa"/>
              <w:right w:w="115" w:type="dxa"/>
            </w:tcMar>
            <w:vAlign w:val="bottom"/>
          </w:tcPr>
          <w:p w14:paraId="3C4FE51B" w14:textId="77777777" w:rsidR="003F0EEA" w:rsidRPr="00250775" w:rsidRDefault="00FB7D0B">
            <w:pPr>
              <w:jc w:val="right"/>
              <w:rPr>
                <w:rFonts w:ascii="Arial" w:eastAsia="Arial" w:hAnsi="Arial" w:cs="Arial"/>
                <w:color w:val="000000"/>
                <w:sz w:val="16"/>
              </w:rPr>
            </w:pPr>
            <w:r w:rsidRPr="00250775">
              <w:rPr>
                <w:rFonts w:ascii="Arial" w:eastAsia="Arial" w:hAnsi="Arial" w:cs="Arial"/>
                <w:color w:val="000000"/>
                <w:sz w:val="16"/>
              </w:rPr>
              <w:t>(103)</w:t>
            </w:r>
          </w:p>
        </w:tc>
        <w:tc>
          <w:tcPr>
            <w:tcW w:w="1005" w:type="dxa"/>
            <w:tcBorders>
              <w:top w:val="nil"/>
              <w:left w:val="nil"/>
              <w:bottom w:val="nil"/>
              <w:right w:val="nil"/>
              <w:tl2br w:val="nil"/>
              <w:tr2bl w:val="nil"/>
            </w:tcBorders>
            <w:shd w:val="clear" w:color="auto" w:fill="FFFF00"/>
            <w:tcMar>
              <w:left w:w="115" w:type="dxa"/>
              <w:right w:w="115" w:type="dxa"/>
            </w:tcMar>
            <w:vAlign w:val="bottom"/>
          </w:tcPr>
          <w:p w14:paraId="60151A78" w14:textId="77777777" w:rsidR="003F0EEA" w:rsidRPr="00250775" w:rsidRDefault="00FB7D0B">
            <w:pPr>
              <w:jc w:val="right"/>
              <w:rPr>
                <w:rFonts w:ascii="Arial" w:eastAsia="Arial" w:hAnsi="Arial" w:cs="Arial"/>
                <w:color w:val="000000"/>
                <w:sz w:val="16"/>
              </w:rPr>
            </w:pPr>
            <w:r w:rsidRPr="00250775">
              <w:rPr>
                <w:rFonts w:ascii="Arial" w:eastAsia="Arial" w:hAnsi="Arial" w:cs="Arial"/>
                <w:color w:val="000000"/>
                <w:sz w:val="16"/>
              </w:rPr>
              <w:t>(108)</w:t>
            </w:r>
          </w:p>
        </w:tc>
      </w:tr>
      <w:tr w:rsidR="00FB7D0B" w14:paraId="76AEF2E1" w14:textId="77777777" w:rsidTr="00FB7D0B">
        <w:trPr>
          <w:trHeight w:val="225"/>
        </w:trPr>
        <w:tc>
          <w:tcPr>
            <w:tcW w:w="2460" w:type="dxa"/>
            <w:gridSpan w:val="2"/>
            <w:tcBorders>
              <w:top w:val="nil"/>
              <w:left w:val="nil"/>
              <w:bottom w:val="nil"/>
              <w:right w:val="nil"/>
              <w:tl2br w:val="nil"/>
              <w:tr2bl w:val="nil"/>
            </w:tcBorders>
            <w:shd w:val="clear" w:color="auto" w:fill="FFFFFF"/>
            <w:tcMar>
              <w:left w:w="115" w:type="dxa"/>
              <w:right w:w="115" w:type="dxa"/>
            </w:tcMar>
            <w:vAlign w:val="bottom"/>
          </w:tcPr>
          <w:p w14:paraId="73FCFBA1" w14:textId="77777777" w:rsidR="003F0EEA" w:rsidRPr="00250775" w:rsidRDefault="00FB7D0B">
            <w:pPr>
              <w:rPr>
                <w:rFonts w:ascii="Arial" w:eastAsia="Arial" w:hAnsi="Arial" w:cs="Arial"/>
                <w:color w:val="000000"/>
                <w:sz w:val="16"/>
              </w:rPr>
            </w:pPr>
            <w:r w:rsidRPr="00250775">
              <w:rPr>
                <w:rFonts w:ascii="Arial" w:eastAsia="Arial" w:hAnsi="Arial" w:cs="Arial"/>
                <w:b/>
                <w:color w:val="000000"/>
                <w:sz w:val="16"/>
              </w:rPr>
              <w:t xml:space="preserve">Total </w:t>
            </w:r>
          </w:p>
        </w:tc>
        <w:tc>
          <w:tcPr>
            <w:tcW w:w="915" w:type="dxa"/>
            <w:tcBorders>
              <w:top w:val="nil"/>
              <w:left w:val="nil"/>
              <w:bottom w:val="nil"/>
              <w:right w:val="nil"/>
              <w:tl2br w:val="nil"/>
              <w:tr2bl w:val="nil"/>
            </w:tcBorders>
            <w:shd w:val="clear" w:color="auto" w:fill="FFFFFF"/>
            <w:tcMar>
              <w:left w:w="115" w:type="dxa"/>
              <w:right w:w="115" w:type="dxa"/>
            </w:tcMar>
            <w:vAlign w:val="bottom"/>
          </w:tcPr>
          <w:p w14:paraId="4B4E572F" w14:textId="77777777" w:rsidR="003F0EEA" w:rsidRPr="00250775" w:rsidRDefault="003F0EEA">
            <w:pPr>
              <w:rPr>
                <w:rFonts w:ascii="Arial" w:eastAsia="Arial" w:hAnsi="Arial" w:cs="Arial"/>
                <w:color w:val="000000"/>
                <w:sz w:val="16"/>
                <w:vertAlign w:val="superscript"/>
              </w:rPr>
            </w:pPr>
          </w:p>
        </w:tc>
        <w:tc>
          <w:tcPr>
            <w:tcW w:w="1005" w:type="dxa"/>
            <w:tcBorders>
              <w:top w:val="nil"/>
              <w:left w:val="nil"/>
              <w:bottom w:val="single" w:sz="6" w:space="0" w:color="000000"/>
              <w:right w:val="nil"/>
              <w:tl2br w:val="nil"/>
              <w:tr2bl w:val="nil"/>
            </w:tcBorders>
            <w:shd w:val="clear" w:color="auto" w:fill="FFFF00"/>
            <w:tcMar>
              <w:left w:w="115" w:type="dxa"/>
              <w:right w:w="115" w:type="dxa"/>
            </w:tcMar>
            <w:vAlign w:val="bottom"/>
          </w:tcPr>
          <w:p w14:paraId="17737E1E" w14:textId="77777777" w:rsidR="003F0EEA" w:rsidRPr="00250775" w:rsidRDefault="00FB7D0B">
            <w:pPr>
              <w:jc w:val="right"/>
              <w:rPr>
                <w:rFonts w:ascii="Arial" w:eastAsia="Arial" w:hAnsi="Arial" w:cs="Arial"/>
                <w:color w:val="000000"/>
                <w:sz w:val="16"/>
                <w:vertAlign w:val="superscript"/>
              </w:rPr>
            </w:pPr>
            <w:r w:rsidRPr="00250775">
              <w:rPr>
                <w:rFonts w:ascii="Arial" w:eastAsia="Arial" w:hAnsi="Arial" w:cs="Arial"/>
                <w:b/>
                <w:color w:val="000000"/>
                <w:sz w:val="16"/>
              </w:rPr>
              <w:t xml:space="preserve"> - </w:t>
            </w:r>
          </w:p>
        </w:tc>
        <w:tc>
          <w:tcPr>
            <w:tcW w:w="1005"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44BA08C9" w14:textId="77777777" w:rsidR="003F0EEA" w:rsidRPr="00250775" w:rsidRDefault="00FB7D0B">
            <w:pPr>
              <w:jc w:val="right"/>
              <w:rPr>
                <w:rFonts w:ascii="Arial" w:eastAsia="Arial" w:hAnsi="Arial" w:cs="Arial"/>
                <w:b/>
                <w:color w:val="000000"/>
                <w:sz w:val="16"/>
              </w:rPr>
            </w:pPr>
            <w:r w:rsidRPr="00250775">
              <w:rPr>
                <w:rFonts w:ascii="Arial" w:eastAsia="Arial" w:hAnsi="Arial" w:cs="Arial"/>
                <w:b/>
                <w:color w:val="000000"/>
                <w:sz w:val="16"/>
              </w:rPr>
              <w:t>(35)</w:t>
            </w:r>
          </w:p>
        </w:tc>
        <w:tc>
          <w:tcPr>
            <w:tcW w:w="1005" w:type="dxa"/>
            <w:tcBorders>
              <w:top w:val="nil"/>
              <w:left w:val="nil"/>
              <w:bottom w:val="single" w:sz="6" w:space="0" w:color="000000"/>
              <w:right w:val="nil"/>
              <w:tl2br w:val="nil"/>
              <w:tr2bl w:val="nil"/>
            </w:tcBorders>
            <w:shd w:val="clear" w:color="auto" w:fill="FFFF00"/>
            <w:tcMar>
              <w:left w:w="115" w:type="dxa"/>
              <w:right w:w="115" w:type="dxa"/>
            </w:tcMar>
            <w:vAlign w:val="bottom"/>
          </w:tcPr>
          <w:p w14:paraId="2FEFD03A" w14:textId="77777777" w:rsidR="003F0EEA" w:rsidRPr="00250775" w:rsidRDefault="00FB7D0B">
            <w:pPr>
              <w:jc w:val="right"/>
              <w:rPr>
                <w:rFonts w:ascii="Arial" w:eastAsia="Arial" w:hAnsi="Arial" w:cs="Arial"/>
                <w:b/>
                <w:color w:val="000000"/>
                <w:sz w:val="16"/>
              </w:rPr>
            </w:pPr>
            <w:r w:rsidRPr="00250775">
              <w:rPr>
                <w:rFonts w:ascii="Arial" w:eastAsia="Arial" w:hAnsi="Arial" w:cs="Arial"/>
                <w:b/>
                <w:color w:val="000000"/>
                <w:sz w:val="16"/>
              </w:rPr>
              <w:t>(69)</w:t>
            </w:r>
          </w:p>
        </w:tc>
        <w:tc>
          <w:tcPr>
            <w:tcW w:w="1005"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1E14064E" w14:textId="77777777" w:rsidR="003F0EEA" w:rsidRPr="00250775" w:rsidRDefault="00FB7D0B">
            <w:pPr>
              <w:jc w:val="right"/>
              <w:rPr>
                <w:rFonts w:ascii="Arial" w:eastAsia="Arial" w:hAnsi="Arial" w:cs="Arial"/>
                <w:b/>
                <w:color w:val="000000"/>
                <w:sz w:val="16"/>
              </w:rPr>
            </w:pPr>
            <w:r w:rsidRPr="00250775">
              <w:rPr>
                <w:rFonts w:ascii="Arial" w:eastAsia="Arial" w:hAnsi="Arial" w:cs="Arial"/>
                <w:b/>
                <w:color w:val="000000"/>
                <w:sz w:val="16"/>
              </w:rPr>
              <w:t>(103)</w:t>
            </w:r>
          </w:p>
        </w:tc>
        <w:tc>
          <w:tcPr>
            <w:tcW w:w="1005" w:type="dxa"/>
            <w:tcBorders>
              <w:top w:val="nil"/>
              <w:left w:val="nil"/>
              <w:bottom w:val="single" w:sz="6" w:space="0" w:color="000000"/>
              <w:right w:val="nil"/>
              <w:tl2br w:val="nil"/>
              <w:tr2bl w:val="nil"/>
            </w:tcBorders>
            <w:shd w:val="clear" w:color="auto" w:fill="FFFF00"/>
            <w:tcMar>
              <w:left w:w="115" w:type="dxa"/>
              <w:right w:w="115" w:type="dxa"/>
            </w:tcMar>
            <w:vAlign w:val="bottom"/>
          </w:tcPr>
          <w:p w14:paraId="0142B1E3" w14:textId="77777777" w:rsidR="003F0EEA" w:rsidRPr="00250775" w:rsidRDefault="00FB7D0B">
            <w:pPr>
              <w:jc w:val="right"/>
              <w:rPr>
                <w:rFonts w:ascii="Arial" w:eastAsia="Arial" w:hAnsi="Arial" w:cs="Arial"/>
                <w:b/>
                <w:color w:val="000000"/>
                <w:sz w:val="16"/>
              </w:rPr>
            </w:pPr>
            <w:r w:rsidRPr="00250775">
              <w:rPr>
                <w:rFonts w:ascii="Arial" w:eastAsia="Arial" w:hAnsi="Arial" w:cs="Arial"/>
                <w:b/>
                <w:color w:val="000000"/>
                <w:sz w:val="16"/>
              </w:rPr>
              <w:t>(108)</w:t>
            </w:r>
          </w:p>
        </w:tc>
      </w:tr>
      <w:tr w:rsidR="00724034" w14:paraId="51300ADC" w14:textId="77777777">
        <w:trPr>
          <w:trHeight w:val="225"/>
        </w:trPr>
        <w:tc>
          <w:tcPr>
            <w:tcW w:w="180" w:type="dxa"/>
            <w:tcBorders>
              <w:top w:val="nil"/>
              <w:left w:val="nil"/>
              <w:bottom w:val="nil"/>
              <w:right w:val="nil"/>
              <w:tl2br w:val="nil"/>
              <w:tr2bl w:val="nil"/>
            </w:tcBorders>
            <w:shd w:val="clear" w:color="auto" w:fill="FFFFFF"/>
            <w:tcMar>
              <w:left w:w="115" w:type="dxa"/>
              <w:right w:w="115" w:type="dxa"/>
            </w:tcMar>
            <w:vAlign w:val="bottom"/>
          </w:tcPr>
          <w:p w14:paraId="30A8A265" w14:textId="77777777" w:rsidR="003F0EEA" w:rsidRPr="00250775" w:rsidRDefault="003F0EEA">
            <w:pPr>
              <w:rPr>
                <w:rFonts w:ascii="Arial" w:eastAsia="Arial" w:hAnsi="Arial" w:cs="Arial"/>
                <w:b/>
                <w:color w:val="000000"/>
                <w:sz w:val="16"/>
              </w:rPr>
            </w:pPr>
          </w:p>
        </w:tc>
        <w:tc>
          <w:tcPr>
            <w:tcW w:w="2280" w:type="dxa"/>
            <w:tcBorders>
              <w:top w:val="nil"/>
              <w:left w:val="nil"/>
              <w:bottom w:val="nil"/>
              <w:right w:val="nil"/>
              <w:tl2br w:val="nil"/>
              <w:tr2bl w:val="nil"/>
            </w:tcBorders>
            <w:shd w:val="clear" w:color="auto" w:fill="FFFFFF"/>
            <w:tcMar>
              <w:left w:w="115" w:type="dxa"/>
              <w:right w:w="115" w:type="dxa"/>
            </w:tcMar>
            <w:vAlign w:val="bottom"/>
          </w:tcPr>
          <w:p w14:paraId="506AB70F" w14:textId="77777777" w:rsidR="003F0EEA" w:rsidRPr="00250775" w:rsidRDefault="003F0EEA">
            <w:pPr>
              <w:rPr>
                <w:rFonts w:ascii="Arial" w:eastAsia="Arial" w:hAnsi="Arial" w:cs="Arial"/>
                <w:b/>
                <w:color w:val="000000"/>
                <w:sz w:val="16"/>
              </w:rPr>
            </w:pPr>
          </w:p>
        </w:tc>
        <w:tc>
          <w:tcPr>
            <w:tcW w:w="915" w:type="dxa"/>
            <w:tcBorders>
              <w:top w:val="nil"/>
              <w:left w:val="nil"/>
              <w:bottom w:val="nil"/>
              <w:right w:val="nil"/>
              <w:tl2br w:val="nil"/>
              <w:tr2bl w:val="nil"/>
            </w:tcBorders>
            <w:shd w:val="clear" w:color="auto" w:fill="FFFFFF"/>
            <w:tcMar>
              <w:left w:w="115" w:type="dxa"/>
              <w:right w:w="115" w:type="dxa"/>
            </w:tcMar>
            <w:vAlign w:val="bottom"/>
          </w:tcPr>
          <w:p w14:paraId="28FDA766" w14:textId="77777777" w:rsidR="003F0EEA" w:rsidRPr="00250775" w:rsidRDefault="003F0EEA">
            <w:pPr>
              <w:rPr>
                <w:rFonts w:ascii="Arial" w:eastAsia="Arial" w:hAnsi="Arial" w:cs="Arial"/>
                <w:color w:val="000000"/>
                <w:sz w:val="16"/>
                <w:vertAlign w:val="superscript"/>
              </w:rPr>
            </w:pPr>
          </w:p>
        </w:tc>
        <w:tc>
          <w:tcPr>
            <w:tcW w:w="1005" w:type="dxa"/>
            <w:tcBorders>
              <w:top w:val="single" w:sz="6" w:space="0" w:color="000000"/>
              <w:left w:val="nil"/>
              <w:bottom w:val="nil"/>
              <w:right w:val="nil"/>
              <w:tl2br w:val="nil"/>
              <w:tr2bl w:val="nil"/>
            </w:tcBorders>
            <w:shd w:val="clear" w:color="auto" w:fill="FFFF00"/>
            <w:tcMar>
              <w:left w:w="115" w:type="dxa"/>
              <w:right w:w="115" w:type="dxa"/>
            </w:tcMar>
            <w:vAlign w:val="bottom"/>
          </w:tcPr>
          <w:p w14:paraId="260BAB94" w14:textId="77777777" w:rsidR="003F0EEA" w:rsidRPr="00250775" w:rsidRDefault="003F0EEA">
            <w:pPr>
              <w:rPr>
                <w:rFonts w:ascii="Arial" w:eastAsia="Arial" w:hAnsi="Arial" w:cs="Arial"/>
                <w:color w:val="000000"/>
                <w:sz w:val="16"/>
                <w:vertAlign w:val="superscript"/>
              </w:rPr>
            </w:pPr>
          </w:p>
        </w:tc>
        <w:tc>
          <w:tcPr>
            <w:tcW w:w="1005"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28C21719" w14:textId="77777777" w:rsidR="003F0EEA" w:rsidRPr="00250775" w:rsidRDefault="003F0EEA">
            <w:pPr>
              <w:rPr>
                <w:rFonts w:ascii="Arial" w:eastAsia="Arial" w:hAnsi="Arial" w:cs="Arial"/>
                <w:b/>
                <w:color w:val="000000"/>
                <w:sz w:val="16"/>
                <w:vertAlign w:val="superscript"/>
              </w:rPr>
            </w:pPr>
          </w:p>
        </w:tc>
        <w:tc>
          <w:tcPr>
            <w:tcW w:w="1005" w:type="dxa"/>
            <w:tcBorders>
              <w:top w:val="single" w:sz="6" w:space="0" w:color="000000"/>
              <w:left w:val="nil"/>
              <w:bottom w:val="nil"/>
              <w:right w:val="nil"/>
              <w:tl2br w:val="nil"/>
              <w:tr2bl w:val="nil"/>
            </w:tcBorders>
            <w:shd w:val="clear" w:color="auto" w:fill="FFFF00"/>
            <w:tcMar>
              <w:left w:w="115" w:type="dxa"/>
              <w:right w:w="115" w:type="dxa"/>
            </w:tcMar>
            <w:vAlign w:val="bottom"/>
          </w:tcPr>
          <w:p w14:paraId="38FCD4C0" w14:textId="77777777" w:rsidR="003F0EEA" w:rsidRPr="00250775" w:rsidRDefault="003F0EEA">
            <w:pPr>
              <w:rPr>
                <w:rFonts w:ascii="Arial" w:eastAsia="Arial" w:hAnsi="Arial" w:cs="Arial"/>
                <w:b/>
                <w:color w:val="000000"/>
                <w:sz w:val="16"/>
                <w:vertAlign w:val="superscript"/>
              </w:rPr>
            </w:pPr>
          </w:p>
        </w:tc>
        <w:tc>
          <w:tcPr>
            <w:tcW w:w="1005"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567AAC34" w14:textId="77777777" w:rsidR="003F0EEA" w:rsidRPr="00250775" w:rsidRDefault="003F0EEA">
            <w:pPr>
              <w:rPr>
                <w:rFonts w:ascii="Arial" w:eastAsia="Arial" w:hAnsi="Arial" w:cs="Arial"/>
                <w:b/>
                <w:color w:val="000000"/>
                <w:sz w:val="16"/>
                <w:vertAlign w:val="superscript"/>
              </w:rPr>
            </w:pPr>
          </w:p>
        </w:tc>
        <w:tc>
          <w:tcPr>
            <w:tcW w:w="1005" w:type="dxa"/>
            <w:tcBorders>
              <w:top w:val="single" w:sz="6" w:space="0" w:color="000000"/>
              <w:left w:val="nil"/>
              <w:bottom w:val="nil"/>
              <w:right w:val="nil"/>
              <w:tl2br w:val="nil"/>
              <w:tr2bl w:val="nil"/>
            </w:tcBorders>
            <w:shd w:val="clear" w:color="auto" w:fill="FFFF00"/>
            <w:tcMar>
              <w:left w:w="115" w:type="dxa"/>
              <w:right w:w="115" w:type="dxa"/>
            </w:tcMar>
            <w:vAlign w:val="bottom"/>
          </w:tcPr>
          <w:p w14:paraId="3B2D3AA8" w14:textId="77777777" w:rsidR="003F0EEA" w:rsidRPr="00250775" w:rsidRDefault="003F0EEA">
            <w:pPr>
              <w:rPr>
                <w:rFonts w:ascii="Arial" w:eastAsia="Arial" w:hAnsi="Arial" w:cs="Arial"/>
                <w:b/>
                <w:color w:val="000000"/>
                <w:sz w:val="16"/>
                <w:vertAlign w:val="superscript"/>
              </w:rPr>
            </w:pPr>
          </w:p>
        </w:tc>
      </w:tr>
      <w:tr w:rsidR="00FB7D0B" w14:paraId="73956BB7" w14:textId="77777777" w:rsidTr="00FB7D0B">
        <w:trPr>
          <w:trHeight w:val="225"/>
        </w:trPr>
        <w:tc>
          <w:tcPr>
            <w:tcW w:w="2460" w:type="dxa"/>
            <w:gridSpan w:val="2"/>
            <w:tcBorders>
              <w:top w:val="nil"/>
              <w:left w:val="nil"/>
              <w:bottom w:val="nil"/>
              <w:right w:val="nil"/>
              <w:tl2br w:val="nil"/>
              <w:tr2bl w:val="nil"/>
            </w:tcBorders>
            <w:shd w:val="clear" w:color="auto" w:fill="FFFFFF"/>
            <w:tcMar>
              <w:left w:w="115" w:type="dxa"/>
              <w:right w:w="115" w:type="dxa"/>
            </w:tcMar>
            <w:vAlign w:val="bottom"/>
          </w:tcPr>
          <w:p w14:paraId="3B1D6CDE" w14:textId="77777777" w:rsidR="003F0EEA" w:rsidRPr="00250775" w:rsidRDefault="00FB7D0B">
            <w:pPr>
              <w:rPr>
                <w:rFonts w:ascii="Arial" w:eastAsia="Arial" w:hAnsi="Arial" w:cs="Arial"/>
                <w:b/>
                <w:color w:val="000000"/>
                <w:sz w:val="16"/>
                <w:vertAlign w:val="superscript"/>
              </w:rPr>
            </w:pPr>
            <w:r w:rsidRPr="00250775">
              <w:rPr>
                <w:rFonts w:ascii="Arial" w:eastAsia="Arial" w:hAnsi="Arial" w:cs="Arial"/>
                <w:b/>
                <w:color w:val="000000"/>
                <w:sz w:val="16"/>
              </w:rPr>
              <w:t>Total capital measures</w:t>
            </w:r>
          </w:p>
        </w:tc>
        <w:tc>
          <w:tcPr>
            <w:tcW w:w="915" w:type="dxa"/>
            <w:tcBorders>
              <w:top w:val="nil"/>
              <w:left w:val="nil"/>
              <w:bottom w:val="nil"/>
              <w:right w:val="nil"/>
              <w:tl2br w:val="nil"/>
              <w:tr2bl w:val="nil"/>
            </w:tcBorders>
            <w:shd w:val="clear" w:color="auto" w:fill="FFFFFF"/>
            <w:tcMar>
              <w:left w:w="115" w:type="dxa"/>
              <w:right w:w="115" w:type="dxa"/>
            </w:tcMar>
            <w:vAlign w:val="bottom"/>
          </w:tcPr>
          <w:p w14:paraId="72E65D68" w14:textId="77777777" w:rsidR="003F0EEA" w:rsidRPr="00250775" w:rsidRDefault="003F0EEA">
            <w:pPr>
              <w:rPr>
                <w:rFonts w:ascii="Arial" w:eastAsia="Arial" w:hAnsi="Arial" w:cs="Arial"/>
                <w:color w:val="000000"/>
                <w:sz w:val="16"/>
                <w:vertAlign w:val="superscript"/>
              </w:rPr>
            </w:pPr>
          </w:p>
        </w:tc>
        <w:tc>
          <w:tcPr>
            <w:tcW w:w="1005" w:type="dxa"/>
            <w:tcBorders>
              <w:top w:val="nil"/>
              <w:left w:val="nil"/>
              <w:bottom w:val="nil"/>
              <w:right w:val="nil"/>
              <w:tl2br w:val="nil"/>
              <w:tr2bl w:val="nil"/>
            </w:tcBorders>
            <w:shd w:val="clear" w:color="auto" w:fill="FFFF00"/>
            <w:tcMar>
              <w:left w:w="115" w:type="dxa"/>
              <w:right w:w="115" w:type="dxa"/>
            </w:tcMar>
            <w:vAlign w:val="bottom"/>
          </w:tcPr>
          <w:p w14:paraId="0A9A5A0B" w14:textId="77777777" w:rsidR="003F0EEA" w:rsidRPr="00250775" w:rsidRDefault="003F0EEA">
            <w:pPr>
              <w:rPr>
                <w:rFonts w:ascii="Arial" w:eastAsia="Arial" w:hAnsi="Arial" w:cs="Arial"/>
                <w:color w:val="000000"/>
                <w:sz w:val="16"/>
                <w:vertAlign w:val="superscript"/>
              </w:rPr>
            </w:pPr>
          </w:p>
        </w:tc>
        <w:tc>
          <w:tcPr>
            <w:tcW w:w="1005" w:type="dxa"/>
            <w:tcBorders>
              <w:top w:val="nil"/>
              <w:left w:val="nil"/>
              <w:bottom w:val="nil"/>
              <w:right w:val="nil"/>
              <w:tl2br w:val="nil"/>
              <w:tr2bl w:val="nil"/>
            </w:tcBorders>
            <w:shd w:val="clear" w:color="auto" w:fill="FFFFFF"/>
            <w:tcMar>
              <w:left w:w="115" w:type="dxa"/>
              <w:right w:w="115" w:type="dxa"/>
            </w:tcMar>
            <w:vAlign w:val="bottom"/>
          </w:tcPr>
          <w:p w14:paraId="5E7D03D4" w14:textId="77777777" w:rsidR="003F0EEA" w:rsidRPr="00250775" w:rsidRDefault="003F0EEA">
            <w:pPr>
              <w:rPr>
                <w:rFonts w:ascii="Arial" w:eastAsia="Arial" w:hAnsi="Arial" w:cs="Arial"/>
                <w:color w:val="000000"/>
                <w:sz w:val="16"/>
                <w:vertAlign w:val="superscript"/>
              </w:rPr>
            </w:pPr>
          </w:p>
        </w:tc>
        <w:tc>
          <w:tcPr>
            <w:tcW w:w="1005" w:type="dxa"/>
            <w:tcBorders>
              <w:top w:val="nil"/>
              <w:left w:val="nil"/>
              <w:bottom w:val="nil"/>
              <w:right w:val="nil"/>
              <w:tl2br w:val="nil"/>
              <w:tr2bl w:val="nil"/>
            </w:tcBorders>
            <w:shd w:val="clear" w:color="auto" w:fill="FFFF00"/>
            <w:tcMar>
              <w:left w:w="115" w:type="dxa"/>
              <w:right w:w="115" w:type="dxa"/>
            </w:tcMar>
            <w:vAlign w:val="bottom"/>
          </w:tcPr>
          <w:p w14:paraId="7D08BFD1" w14:textId="77777777" w:rsidR="003F0EEA" w:rsidRPr="00250775" w:rsidRDefault="003F0EEA">
            <w:pPr>
              <w:rPr>
                <w:rFonts w:ascii="Arial" w:eastAsia="Arial" w:hAnsi="Arial" w:cs="Arial"/>
                <w:color w:val="000000"/>
                <w:sz w:val="16"/>
                <w:vertAlign w:val="superscript"/>
              </w:rPr>
            </w:pPr>
          </w:p>
        </w:tc>
        <w:tc>
          <w:tcPr>
            <w:tcW w:w="1005" w:type="dxa"/>
            <w:tcBorders>
              <w:top w:val="nil"/>
              <w:left w:val="nil"/>
              <w:bottom w:val="nil"/>
              <w:right w:val="nil"/>
              <w:tl2br w:val="nil"/>
              <w:tr2bl w:val="nil"/>
            </w:tcBorders>
            <w:shd w:val="clear" w:color="auto" w:fill="FFFFFF"/>
            <w:tcMar>
              <w:left w:w="115" w:type="dxa"/>
              <w:right w:w="115" w:type="dxa"/>
            </w:tcMar>
            <w:vAlign w:val="bottom"/>
          </w:tcPr>
          <w:p w14:paraId="53B3B307" w14:textId="77777777" w:rsidR="003F0EEA" w:rsidRPr="00250775" w:rsidRDefault="003F0EEA">
            <w:pPr>
              <w:rPr>
                <w:rFonts w:ascii="Arial" w:eastAsia="Arial" w:hAnsi="Arial" w:cs="Arial"/>
                <w:color w:val="000000"/>
                <w:sz w:val="16"/>
                <w:vertAlign w:val="superscript"/>
              </w:rPr>
            </w:pPr>
          </w:p>
        </w:tc>
        <w:tc>
          <w:tcPr>
            <w:tcW w:w="1005" w:type="dxa"/>
            <w:tcBorders>
              <w:top w:val="nil"/>
              <w:left w:val="nil"/>
              <w:bottom w:val="nil"/>
              <w:right w:val="nil"/>
              <w:tl2br w:val="nil"/>
              <w:tr2bl w:val="nil"/>
            </w:tcBorders>
            <w:shd w:val="clear" w:color="auto" w:fill="FFFF00"/>
            <w:tcMar>
              <w:left w:w="115" w:type="dxa"/>
              <w:right w:w="115" w:type="dxa"/>
            </w:tcMar>
            <w:vAlign w:val="bottom"/>
          </w:tcPr>
          <w:p w14:paraId="2FE8085C" w14:textId="77777777" w:rsidR="003F0EEA" w:rsidRPr="00250775" w:rsidRDefault="003F0EEA">
            <w:pPr>
              <w:rPr>
                <w:rFonts w:ascii="Arial" w:eastAsia="Arial" w:hAnsi="Arial" w:cs="Arial"/>
                <w:color w:val="000000"/>
                <w:sz w:val="16"/>
                <w:vertAlign w:val="superscript"/>
              </w:rPr>
            </w:pPr>
          </w:p>
        </w:tc>
      </w:tr>
      <w:tr w:rsidR="00724034" w14:paraId="599E58F8" w14:textId="77777777">
        <w:trPr>
          <w:trHeight w:val="225"/>
        </w:trPr>
        <w:tc>
          <w:tcPr>
            <w:tcW w:w="180" w:type="dxa"/>
            <w:tcBorders>
              <w:top w:val="nil"/>
              <w:left w:val="nil"/>
              <w:bottom w:val="nil"/>
              <w:right w:val="nil"/>
              <w:tl2br w:val="nil"/>
              <w:tr2bl w:val="nil"/>
            </w:tcBorders>
            <w:shd w:val="clear" w:color="auto" w:fill="FFFFFF"/>
            <w:tcMar>
              <w:left w:w="115" w:type="dxa"/>
              <w:right w:w="115" w:type="dxa"/>
            </w:tcMar>
            <w:vAlign w:val="bottom"/>
          </w:tcPr>
          <w:p w14:paraId="46523175" w14:textId="77777777" w:rsidR="003F0EEA" w:rsidRPr="00250775" w:rsidRDefault="003F0EEA">
            <w:pPr>
              <w:rPr>
                <w:rFonts w:ascii="Arial" w:eastAsia="Arial" w:hAnsi="Arial" w:cs="Arial"/>
                <w:color w:val="000000"/>
                <w:sz w:val="16"/>
                <w:vertAlign w:val="superscript"/>
              </w:rPr>
            </w:pPr>
          </w:p>
        </w:tc>
        <w:tc>
          <w:tcPr>
            <w:tcW w:w="2280" w:type="dxa"/>
            <w:tcBorders>
              <w:top w:val="nil"/>
              <w:left w:val="nil"/>
              <w:bottom w:val="nil"/>
              <w:right w:val="nil"/>
              <w:tl2br w:val="nil"/>
              <w:tr2bl w:val="nil"/>
            </w:tcBorders>
            <w:shd w:val="clear" w:color="auto" w:fill="FFFFFF"/>
            <w:tcMar>
              <w:left w:w="115" w:type="dxa"/>
              <w:right w:w="115" w:type="dxa"/>
            </w:tcMar>
            <w:vAlign w:val="bottom"/>
          </w:tcPr>
          <w:p w14:paraId="5A403795" w14:textId="77777777" w:rsidR="003F0EEA" w:rsidRPr="00250775" w:rsidRDefault="00FB7D0B">
            <w:pPr>
              <w:rPr>
                <w:rFonts w:ascii="Arial" w:eastAsia="Arial" w:hAnsi="Arial" w:cs="Arial"/>
                <w:b/>
                <w:color w:val="000000"/>
                <w:sz w:val="16"/>
                <w:vertAlign w:val="superscript"/>
              </w:rPr>
            </w:pPr>
            <w:r w:rsidRPr="00250775">
              <w:rPr>
                <w:rFonts w:ascii="Arial" w:eastAsia="Arial" w:hAnsi="Arial" w:cs="Arial"/>
                <w:color w:val="000000"/>
                <w:sz w:val="16"/>
              </w:rPr>
              <w:t xml:space="preserve">                            Administered</w:t>
            </w:r>
          </w:p>
        </w:tc>
        <w:tc>
          <w:tcPr>
            <w:tcW w:w="915" w:type="dxa"/>
            <w:tcBorders>
              <w:top w:val="nil"/>
              <w:left w:val="nil"/>
              <w:bottom w:val="nil"/>
              <w:right w:val="nil"/>
              <w:tl2br w:val="nil"/>
              <w:tr2bl w:val="nil"/>
            </w:tcBorders>
            <w:shd w:val="clear" w:color="auto" w:fill="FFFFFF"/>
            <w:tcMar>
              <w:left w:w="115" w:type="dxa"/>
              <w:right w:w="115" w:type="dxa"/>
            </w:tcMar>
            <w:vAlign w:val="bottom"/>
          </w:tcPr>
          <w:p w14:paraId="6CA1466A" w14:textId="77777777" w:rsidR="003F0EEA" w:rsidRPr="00250775" w:rsidRDefault="003F0EEA">
            <w:pPr>
              <w:rPr>
                <w:rFonts w:ascii="Arial" w:eastAsia="Arial" w:hAnsi="Arial" w:cs="Arial"/>
                <w:color w:val="000000"/>
                <w:sz w:val="16"/>
                <w:vertAlign w:val="superscript"/>
              </w:rPr>
            </w:pPr>
          </w:p>
        </w:tc>
        <w:tc>
          <w:tcPr>
            <w:tcW w:w="1005" w:type="dxa"/>
            <w:tcBorders>
              <w:top w:val="nil"/>
              <w:left w:val="nil"/>
              <w:bottom w:val="nil"/>
              <w:right w:val="nil"/>
              <w:tl2br w:val="nil"/>
              <w:tr2bl w:val="nil"/>
            </w:tcBorders>
            <w:shd w:val="clear" w:color="auto" w:fill="FFFF00"/>
            <w:tcMar>
              <w:left w:w="115" w:type="dxa"/>
              <w:right w:w="115" w:type="dxa"/>
            </w:tcMar>
            <w:vAlign w:val="bottom"/>
          </w:tcPr>
          <w:p w14:paraId="021730F2" w14:textId="77777777" w:rsidR="003F0EEA" w:rsidRPr="00250775" w:rsidRDefault="00FB7D0B">
            <w:pPr>
              <w:jc w:val="right"/>
              <w:rPr>
                <w:rFonts w:ascii="Arial" w:eastAsia="Arial" w:hAnsi="Arial" w:cs="Arial"/>
                <w:color w:val="000000"/>
                <w:sz w:val="16"/>
                <w:vertAlign w:val="superscript"/>
              </w:rPr>
            </w:pPr>
            <w:r w:rsidRPr="00250775">
              <w:rPr>
                <w:rFonts w:ascii="Arial" w:eastAsia="Arial" w:hAnsi="Arial" w:cs="Arial"/>
                <w:color w:val="000000"/>
                <w:sz w:val="16"/>
              </w:rPr>
              <w:t xml:space="preserve"> - </w:t>
            </w:r>
          </w:p>
        </w:tc>
        <w:tc>
          <w:tcPr>
            <w:tcW w:w="1005" w:type="dxa"/>
            <w:tcBorders>
              <w:top w:val="nil"/>
              <w:left w:val="nil"/>
              <w:bottom w:val="nil"/>
              <w:right w:val="nil"/>
              <w:tl2br w:val="nil"/>
              <w:tr2bl w:val="nil"/>
            </w:tcBorders>
            <w:shd w:val="clear" w:color="auto" w:fill="FFFFFF"/>
            <w:tcMar>
              <w:left w:w="115" w:type="dxa"/>
              <w:right w:w="115" w:type="dxa"/>
            </w:tcMar>
            <w:vAlign w:val="bottom"/>
          </w:tcPr>
          <w:p w14:paraId="4EBD5EB3" w14:textId="77777777" w:rsidR="003F0EEA" w:rsidRPr="00250775" w:rsidRDefault="00FB7D0B">
            <w:pPr>
              <w:jc w:val="right"/>
              <w:rPr>
                <w:rFonts w:ascii="Arial" w:eastAsia="Arial" w:hAnsi="Arial" w:cs="Arial"/>
                <w:color w:val="000000"/>
                <w:sz w:val="16"/>
              </w:rPr>
            </w:pPr>
            <w:r w:rsidRPr="00250775">
              <w:rPr>
                <w:rFonts w:ascii="Arial" w:eastAsia="Arial" w:hAnsi="Arial" w:cs="Arial"/>
                <w:color w:val="000000"/>
                <w:sz w:val="16"/>
              </w:rPr>
              <w:t>6,061  </w:t>
            </w:r>
          </w:p>
        </w:tc>
        <w:tc>
          <w:tcPr>
            <w:tcW w:w="1005" w:type="dxa"/>
            <w:tcBorders>
              <w:top w:val="nil"/>
              <w:left w:val="nil"/>
              <w:bottom w:val="nil"/>
              <w:right w:val="nil"/>
              <w:tl2br w:val="nil"/>
              <w:tr2bl w:val="nil"/>
            </w:tcBorders>
            <w:shd w:val="clear" w:color="auto" w:fill="FFFF00"/>
            <w:tcMar>
              <w:left w:w="115" w:type="dxa"/>
              <w:right w:w="115" w:type="dxa"/>
            </w:tcMar>
            <w:vAlign w:val="bottom"/>
          </w:tcPr>
          <w:p w14:paraId="51E6C801" w14:textId="77777777" w:rsidR="003F0EEA" w:rsidRPr="00250775" w:rsidRDefault="00FB7D0B">
            <w:pPr>
              <w:jc w:val="right"/>
              <w:rPr>
                <w:rFonts w:ascii="Arial" w:eastAsia="Arial" w:hAnsi="Arial" w:cs="Arial"/>
                <w:color w:val="000000"/>
                <w:sz w:val="16"/>
              </w:rPr>
            </w:pPr>
            <w:r w:rsidRPr="00250775">
              <w:rPr>
                <w:rFonts w:ascii="Arial" w:eastAsia="Arial" w:hAnsi="Arial" w:cs="Arial"/>
                <w:color w:val="000000"/>
                <w:sz w:val="16"/>
              </w:rPr>
              <w:t xml:space="preserve"> - </w:t>
            </w:r>
          </w:p>
        </w:tc>
        <w:tc>
          <w:tcPr>
            <w:tcW w:w="1005" w:type="dxa"/>
            <w:tcBorders>
              <w:top w:val="nil"/>
              <w:left w:val="nil"/>
              <w:bottom w:val="nil"/>
              <w:right w:val="nil"/>
              <w:tl2br w:val="nil"/>
              <w:tr2bl w:val="nil"/>
            </w:tcBorders>
            <w:shd w:val="clear" w:color="auto" w:fill="FFFFFF"/>
            <w:tcMar>
              <w:left w:w="115" w:type="dxa"/>
              <w:right w:w="115" w:type="dxa"/>
            </w:tcMar>
            <w:vAlign w:val="bottom"/>
          </w:tcPr>
          <w:p w14:paraId="1D93AA14" w14:textId="77777777" w:rsidR="003F0EEA" w:rsidRPr="00250775" w:rsidRDefault="00FB7D0B">
            <w:pPr>
              <w:jc w:val="right"/>
              <w:rPr>
                <w:rFonts w:ascii="Arial" w:eastAsia="Arial" w:hAnsi="Arial" w:cs="Arial"/>
                <w:color w:val="000000"/>
                <w:sz w:val="16"/>
              </w:rPr>
            </w:pPr>
            <w:r w:rsidRPr="00250775">
              <w:rPr>
                <w:rFonts w:ascii="Arial" w:eastAsia="Arial" w:hAnsi="Arial" w:cs="Arial"/>
                <w:color w:val="000000"/>
                <w:sz w:val="16"/>
              </w:rPr>
              <w:t xml:space="preserve"> - </w:t>
            </w:r>
          </w:p>
        </w:tc>
        <w:tc>
          <w:tcPr>
            <w:tcW w:w="1005" w:type="dxa"/>
            <w:tcBorders>
              <w:top w:val="nil"/>
              <w:left w:val="nil"/>
              <w:bottom w:val="nil"/>
              <w:right w:val="nil"/>
              <w:tl2br w:val="nil"/>
              <w:tr2bl w:val="nil"/>
            </w:tcBorders>
            <w:shd w:val="clear" w:color="auto" w:fill="FFFF00"/>
            <w:tcMar>
              <w:left w:w="115" w:type="dxa"/>
              <w:right w:w="115" w:type="dxa"/>
            </w:tcMar>
            <w:vAlign w:val="bottom"/>
          </w:tcPr>
          <w:p w14:paraId="44F08154" w14:textId="77777777" w:rsidR="003F0EEA" w:rsidRPr="00250775" w:rsidRDefault="00FB7D0B">
            <w:pPr>
              <w:jc w:val="right"/>
              <w:rPr>
                <w:rFonts w:ascii="Arial" w:eastAsia="Arial" w:hAnsi="Arial" w:cs="Arial"/>
                <w:color w:val="000000"/>
                <w:sz w:val="16"/>
              </w:rPr>
            </w:pPr>
            <w:r w:rsidRPr="00250775">
              <w:rPr>
                <w:rFonts w:ascii="Arial" w:eastAsia="Arial" w:hAnsi="Arial" w:cs="Arial"/>
                <w:color w:val="000000"/>
                <w:sz w:val="16"/>
              </w:rPr>
              <w:t xml:space="preserve"> - </w:t>
            </w:r>
          </w:p>
        </w:tc>
      </w:tr>
      <w:tr w:rsidR="00724034" w14:paraId="3E95EFCC" w14:textId="77777777">
        <w:trPr>
          <w:trHeight w:val="225"/>
        </w:trPr>
        <w:tc>
          <w:tcPr>
            <w:tcW w:w="180" w:type="dxa"/>
            <w:tcBorders>
              <w:top w:val="nil"/>
              <w:left w:val="nil"/>
              <w:bottom w:val="nil"/>
              <w:right w:val="nil"/>
              <w:tl2br w:val="nil"/>
              <w:tr2bl w:val="nil"/>
            </w:tcBorders>
            <w:shd w:val="clear" w:color="auto" w:fill="FFFFFF"/>
            <w:tcMar>
              <w:left w:w="115" w:type="dxa"/>
              <w:right w:w="115" w:type="dxa"/>
            </w:tcMar>
            <w:vAlign w:val="bottom"/>
          </w:tcPr>
          <w:p w14:paraId="2AC7F9B0" w14:textId="77777777" w:rsidR="003F0EEA" w:rsidRPr="00250775" w:rsidRDefault="003F0EEA">
            <w:pPr>
              <w:rPr>
                <w:rFonts w:ascii="Arial" w:eastAsia="Arial" w:hAnsi="Arial" w:cs="Arial"/>
                <w:color w:val="000000"/>
                <w:sz w:val="16"/>
              </w:rPr>
            </w:pPr>
          </w:p>
        </w:tc>
        <w:tc>
          <w:tcPr>
            <w:tcW w:w="2280" w:type="dxa"/>
            <w:tcBorders>
              <w:top w:val="nil"/>
              <w:left w:val="nil"/>
              <w:bottom w:val="nil"/>
              <w:right w:val="nil"/>
              <w:tl2br w:val="nil"/>
              <w:tr2bl w:val="nil"/>
            </w:tcBorders>
            <w:shd w:val="clear" w:color="auto" w:fill="FFFFFF"/>
            <w:tcMar>
              <w:left w:w="115" w:type="dxa"/>
              <w:right w:w="115" w:type="dxa"/>
            </w:tcMar>
            <w:vAlign w:val="bottom"/>
          </w:tcPr>
          <w:p w14:paraId="54C29560" w14:textId="77777777" w:rsidR="003F0EEA" w:rsidRPr="00250775" w:rsidRDefault="00FB7D0B">
            <w:pPr>
              <w:rPr>
                <w:rFonts w:ascii="Arial" w:eastAsia="Arial" w:hAnsi="Arial" w:cs="Arial"/>
                <w:color w:val="000000"/>
                <w:sz w:val="16"/>
              </w:rPr>
            </w:pPr>
            <w:r w:rsidRPr="00250775">
              <w:rPr>
                <w:rFonts w:ascii="Arial" w:eastAsia="Arial" w:hAnsi="Arial" w:cs="Arial"/>
                <w:color w:val="000000"/>
                <w:sz w:val="16"/>
              </w:rPr>
              <w:t xml:space="preserve">                            Departmental</w:t>
            </w:r>
          </w:p>
        </w:tc>
        <w:tc>
          <w:tcPr>
            <w:tcW w:w="915" w:type="dxa"/>
            <w:tcBorders>
              <w:top w:val="nil"/>
              <w:left w:val="nil"/>
              <w:bottom w:val="nil"/>
              <w:right w:val="nil"/>
              <w:tl2br w:val="nil"/>
              <w:tr2bl w:val="nil"/>
            </w:tcBorders>
            <w:shd w:val="clear" w:color="auto" w:fill="FFFFFF"/>
            <w:tcMar>
              <w:left w:w="115" w:type="dxa"/>
              <w:right w:w="115" w:type="dxa"/>
            </w:tcMar>
            <w:vAlign w:val="bottom"/>
          </w:tcPr>
          <w:p w14:paraId="47E965CE" w14:textId="77777777" w:rsidR="003F0EEA" w:rsidRPr="00250775" w:rsidRDefault="003F0EEA">
            <w:pPr>
              <w:rPr>
                <w:rFonts w:ascii="Arial" w:eastAsia="Arial" w:hAnsi="Arial" w:cs="Arial"/>
                <w:color w:val="000000"/>
                <w:sz w:val="16"/>
                <w:vertAlign w:val="superscript"/>
              </w:rPr>
            </w:pPr>
          </w:p>
        </w:tc>
        <w:tc>
          <w:tcPr>
            <w:tcW w:w="1005" w:type="dxa"/>
            <w:tcBorders>
              <w:top w:val="nil"/>
              <w:left w:val="nil"/>
              <w:bottom w:val="nil"/>
              <w:right w:val="nil"/>
              <w:tl2br w:val="nil"/>
              <w:tr2bl w:val="nil"/>
            </w:tcBorders>
            <w:shd w:val="clear" w:color="auto" w:fill="FFFF00"/>
            <w:tcMar>
              <w:left w:w="115" w:type="dxa"/>
              <w:right w:w="115" w:type="dxa"/>
            </w:tcMar>
            <w:vAlign w:val="bottom"/>
          </w:tcPr>
          <w:p w14:paraId="5FF3792F" w14:textId="77777777" w:rsidR="003F0EEA" w:rsidRPr="00250775" w:rsidRDefault="00FB7D0B">
            <w:pPr>
              <w:jc w:val="right"/>
              <w:rPr>
                <w:rFonts w:ascii="Arial" w:eastAsia="Arial" w:hAnsi="Arial" w:cs="Arial"/>
                <w:color w:val="000000"/>
                <w:sz w:val="16"/>
                <w:vertAlign w:val="superscript"/>
              </w:rPr>
            </w:pPr>
            <w:r w:rsidRPr="00250775">
              <w:rPr>
                <w:rFonts w:ascii="Arial" w:eastAsia="Arial" w:hAnsi="Arial" w:cs="Arial"/>
                <w:color w:val="000000"/>
                <w:sz w:val="16"/>
              </w:rPr>
              <w:t>(1,522)</w:t>
            </w:r>
          </w:p>
        </w:tc>
        <w:tc>
          <w:tcPr>
            <w:tcW w:w="1005" w:type="dxa"/>
            <w:tcBorders>
              <w:top w:val="nil"/>
              <w:left w:val="nil"/>
              <w:bottom w:val="nil"/>
              <w:right w:val="nil"/>
              <w:tl2br w:val="nil"/>
              <w:tr2bl w:val="nil"/>
            </w:tcBorders>
            <w:shd w:val="clear" w:color="auto" w:fill="FFFFFF"/>
            <w:tcMar>
              <w:left w:w="115" w:type="dxa"/>
              <w:right w:w="115" w:type="dxa"/>
            </w:tcMar>
            <w:vAlign w:val="bottom"/>
          </w:tcPr>
          <w:p w14:paraId="1A7CE8C0" w14:textId="77777777" w:rsidR="003F0EEA" w:rsidRPr="00250775" w:rsidRDefault="00FB7D0B">
            <w:pPr>
              <w:jc w:val="right"/>
              <w:rPr>
                <w:rFonts w:ascii="Arial" w:eastAsia="Arial" w:hAnsi="Arial" w:cs="Arial"/>
                <w:color w:val="000000"/>
                <w:sz w:val="16"/>
              </w:rPr>
            </w:pPr>
            <w:r w:rsidRPr="00250775">
              <w:rPr>
                <w:rFonts w:ascii="Arial" w:eastAsia="Arial" w:hAnsi="Arial" w:cs="Arial"/>
                <w:color w:val="000000"/>
                <w:sz w:val="16"/>
              </w:rPr>
              <w:t>513  </w:t>
            </w:r>
          </w:p>
        </w:tc>
        <w:tc>
          <w:tcPr>
            <w:tcW w:w="1005" w:type="dxa"/>
            <w:tcBorders>
              <w:top w:val="nil"/>
              <w:left w:val="nil"/>
              <w:bottom w:val="nil"/>
              <w:right w:val="nil"/>
              <w:tl2br w:val="nil"/>
              <w:tr2bl w:val="nil"/>
            </w:tcBorders>
            <w:shd w:val="clear" w:color="auto" w:fill="FFFF00"/>
            <w:tcMar>
              <w:left w:w="115" w:type="dxa"/>
              <w:right w:w="115" w:type="dxa"/>
            </w:tcMar>
            <w:vAlign w:val="bottom"/>
          </w:tcPr>
          <w:p w14:paraId="44F9DE13" w14:textId="77777777" w:rsidR="003F0EEA" w:rsidRPr="00250775" w:rsidRDefault="00FB7D0B">
            <w:pPr>
              <w:jc w:val="right"/>
              <w:rPr>
                <w:rFonts w:ascii="Arial" w:eastAsia="Arial" w:hAnsi="Arial" w:cs="Arial"/>
                <w:color w:val="000000"/>
                <w:sz w:val="16"/>
              </w:rPr>
            </w:pPr>
            <w:r w:rsidRPr="00250775">
              <w:rPr>
                <w:rFonts w:ascii="Arial" w:eastAsia="Arial" w:hAnsi="Arial" w:cs="Arial"/>
                <w:color w:val="000000"/>
                <w:sz w:val="16"/>
              </w:rPr>
              <w:t>(69)</w:t>
            </w:r>
          </w:p>
        </w:tc>
        <w:tc>
          <w:tcPr>
            <w:tcW w:w="1005" w:type="dxa"/>
            <w:tcBorders>
              <w:top w:val="nil"/>
              <w:left w:val="nil"/>
              <w:bottom w:val="nil"/>
              <w:right w:val="nil"/>
              <w:tl2br w:val="nil"/>
              <w:tr2bl w:val="nil"/>
            </w:tcBorders>
            <w:shd w:val="clear" w:color="auto" w:fill="FFFFFF"/>
            <w:tcMar>
              <w:left w:w="115" w:type="dxa"/>
              <w:right w:w="115" w:type="dxa"/>
            </w:tcMar>
            <w:vAlign w:val="bottom"/>
          </w:tcPr>
          <w:p w14:paraId="40C94DF4" w14:textId="77777777" w:rsidR="003F0EEA" w:rsidRPr="00250775" w:rsidRDefault="00FB7D0B">
            <w:pPr>
              <w:jc w:val="right"/>
              <w:rPr>
                <w:rFonts w:ascii="Arial" w:eastAsia="Arial" w:hAnsi="Arial" w:cs="Arial"/>
                <w:color w:val="000000"/>
                <w:sz w:val="16"/>
              </w:rPr>
            </w:pPr>
            <w:r w:rsidRPr="00250775">
              <w:rPr>
                <w:rFonts w:ascii="Arial" w:eastAsia="Arial" w:hAnsi="Arial" w:cs="Arial"/>
                <w:color w:val="000000"/>
                <w:sz w:val="16"/>
              </w:rPr>
              <w:t>(103)</w:t>
            </w:r>
          </w:p>
        </w:tc>
        <w:tc>
          <w:tcPr>
            <w:tcW w:w="1005" w:type="dxa"/>
            <w:tcBorders>
              <w:top w:val="nil"/>
              <w:left w:val="nil"/>
              <w:bottom w:val="nil"/>
              <w:right w:val="nil"/>
              <w:tl2br w:val="nil"/>
              <w:tr2bl w:val="nil"/>
            </w:tcBorders>
            <w:shd w:val="clear" w:color="auto" w:fill="FFFF00"/>
            <w:tcMar>
              <w:left w:w="115" w:type="dxa"/>
              <w:right w:w="115" w:type="dxa"/>
            </w:tcMar>
            <w:vAlign w:val="bottom"/>
          </w:tcPr>
          <w:p w14:paraId="05C05552" w14:textId="77777777" w:rsidR="003F0EEA" w:rsidRPr="00250775" w:rsidRDefault="00FB7D0B">
            <w:pPr>
              <w:jc w:val="right"/>
              <w:rPr>
                <w:rFonts w:ascii="Arial" w:eastAsia="Arial" w:hAnsi="Arial" w:cs="Arial"/>
                <w:color w:val="000000"/>
                <w:sz w:val="16"/>
              </w:rPr>
            </w:pPr>
            <w:r w:rsidRPr="00250775">
              <w:rPr>
                <w:rFonts w:ascii="Arial" w:eastAsia="Arial" w:hAnsi="Arial" w:cs="Arial"/>
                <w:color w:val="000000"/>
                <w:sz w:val="16"/>
              </w:rPr>
              <w:t>(108)</w:t>
            </w:r>
          </w:p>
        </w:tc>
      </w:tr>
      <w:tr w:rsidR="00724034" w14:paraId="64192320" w14:textId="77777777">
        <w:trPr>
          <w:trHeight w:val="225"/>
        </w:trPr>
        <w:tc>
          <w:tcPr>
            <w:tcW w:w="180"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191D4A1E" w14:textId="77777777" w:rsidR="003F0EEA" w:rsidRPr="00250775" w:rsidRDefault="003F0EEA">
            <w:pPr>
              <w:rPr>
                <w:rFonts w:ascii="Arial" w:eastAsia="Arial" w:hAnsi="Arial" w:cs="Arial"/>
                <w:color w:val="000000"/>
                <w:sz w:val="16"/>
              </w:rPr>
            </w:pPr>
          </w:p>
        </w:tc>
        <w:tc>
          <w:tcPr>
            <w:tcW w:w="2280"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13B10EAF" w14:textId="77777777" w:rsidR="003F0EEA" w:rsidRPr="00250775" w:rsidRDefault="003F0EEA">
            <w:pPr>
              <w:rPr>
                <w:rFonts w:ascii="Arial" w:eastAsia="Arial" w:hAnsi="Arial" w:cs="Arial"/>
                <w:color w:val="000000"/>
                <w:sz w:val="16"/>
              </w:rPr>
            </w:pPr>
          </w:p>
        </w:tc>
        <w:tc>
          <w:tcPr>
            <w:tcW w:w="915"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0A8D0261" w14:textId="77777777" w:rsidR="003F0EEA" w:rsidRPr="00250775" w:rsidRDefault="00FB7D0B">
            <w:pPr>
              <w:rPr>
                <w:rFonts w:ascii="Arial" w:eastAsia="Arial" w:hAnsi="Arial" w:cs="Arial"/>
                <w:color w:val="000000"/>
                <w:sz w:val="16"/>
                <w:vertAlign w:val="superscript"/>
              </w:rPr>
            </w:pPr>
            <w:r w:rsidRPr="00250775">
              <w:rPr>
                <w:rFonts w:ascii="Arial" w:eastAsia="Arial" w:hAnsi="Arial" w:cs="Arial"/>
                <w:b/>
                <w:color w:val="000000"/>
                <w:sz w:val="16"/>
              </w:rPr>
              <w:t>Total</w:t>
            </w:r>
          </w:p>
        </w:tc>
        <w:tc>
          <w:tcPr>
            <w:tcW w:w="1005" w:type="dxa"/>
            <w:tcBorders>
              <w:top w:val="nil"/>
              <w:left w:val="nil"/>
              <w:bottom w:val="single" w:sz="6" w:space="0" w:color="000000"/>
              <w:right w:val="nil"/>
              <w:tl2br w:val="nil"/>
              <w:tr2bl w:val="nil"/>
            </w:tcBorders>
            <w:shd w:val="clear" w:color="auto" w:fill="FFFF00"/>
            <w:tcMar>
              <w:left w:w="115" w:type="dxa"/>
              <w:right w:w="115" w:type="dxa"/>
            </w:tcMar>
            <w:vAlign w:val="bottom"/>
          </w:tcPr>
          <w:p w14:paraId="5EA0FC8F" w14:textId="77777777" w:rsidR="003F0EEA" w:rsidRPr="00250775" w:rsidRDefault="00FB7D0B">
            <w:pPr>
              <w:jc w:val="right"/>
              <w:rPr>
                <w:rFonts w:ascii="Arial" w:eastAsia="Arial" w:hAnsi="Arial" w:cs="Arial"/>
                <w:b/>
                <w:color w:val="000000"/>
                <w:sz w:val="16"/>
              </w:rPr>
            </w:pPr>
            <w:r w:rsidRPr="00250775">
              <w:rPr>
                <w:rFonts w:ascii="Arial" w:eastAsia="Arial" w:hAnsi="Arial" w:cs="Arial"/>
                <w:b/>
                <w:color w:val="000000"/>
                <w:sz w:val="16"/>
              </w:rPr>
              <w:t>(1,522)</w:t>
            </w:r>
          </w:p>
        </w:tc>
        <w:tc>
          <w:tcPr>
            <w:tcW w:w="1005"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6105D210" w14:textId="77777777" w:rsidR="003F0EEA" w:rsidRPr="00250775" w:rsidRDefault="00FB7D0B">
            <w:pPr>
              <w:jc w:val="right"/>
              <w:rPr>
                <w:rFonts w:ascii="Arial" w:eastAsia="Arial" w:hAnsi="Arial" w:cs="Arial"/>
                <w:b/>
                <w:color w:val="000000"/>
                <w:sz w:val="16"/>
              </w:rPr>
            </w:pPr>
            <w:r w:rsidRPr="00250775">
              <w:rPr>
                <w:rFonts w:ascii="Arial" w:eastAsia="Arial" w:hAnsi="Arial" w:cs="Arial"/>
                <w:b/>
                <w:color w:val="000000"/>
                <w:sz w:val="16"/>
              </w:rPr>
              <w:t>6,574  </w:t>
            </w:r>
          </w:p>
        </w:tc>
        <w:tc>
          <w:tcPr>
            <w:tcW w:w="1005" w:type="dxa"/>
            <w:tcBorders>
              <w:top w:val="nil"/>
              <w:left w:val="nil"/>
              <w:bottom w:val="single" w:sz="6" w:space="0" w:color="000000"/>
              <w:right w:val="nil"/>
              <w:tl2br w:val="nil"/>
              <w:tr2bl w:val="nil"/>
            </w:tcBorders>
            <w:shd w:val="clear" w:color="auto" w:fill="FFFF00"/>
            <w:tcMar>
              <w:left w:w="115" w:type="dxa"/>
              <w:right w:w="115" w:type="dxa"/>
            </w:tcMar>
            <w:vAlign w:val="bottom"/>
          </w:tcPr>
          <w:p w14:paraId="3758A108" w14:textId="77777777" w:rsidR="003F0EEA" w:rsidRPr="00250775" w:rsidRDefault="00FB7D0B">
            <w:pPr>
              <w:jc w:val="right"/>
              <w:rPr>
                <w:rFonts w:ascii="Arial" w:eastAsia="Arial" w:hAnsi="Arial" w:cs="Arial"/>
                <w:b/>
                <w:color w:val="000000"/>
                <w:sz w:val="16"/>
              </w:rPr>
            </w:pPr>
            <w:r w:rsidRPr="00250775">
              <w:rPr>
                <w:rFonts w:ascii="Arial" w:eastAsia="Arial" w:hAnsi="Arial" w:cs="Arial"/>
                <w:b/>
                <w:color w:val="000000"/>
                <w:sz w:val="16"/>
              </w:rPr>
              <w:t>(69)</w:t>
            </w:r>
          </w:p>
        </w:tc>
        <w:tc>
          <w:tcPr>
            <w:tcW w:w="1005"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5E2674FD" w14:textId="77777777" w:rsidR="003F0EEA" w:rsidRPr="00250775" w:rsidRDefault="00FB7D0B">
            <w:pPr>
              <w:jc w:val="right"/>
              <w:rPr>
                <w:rFonts w:ascii="Arial" w:eastAsia="Arial" w:hAnsi="Arial" w:cs="Arial"/>
                <w:b/>
                <w:color w:val="000000"/>
                <w:sz w:val="16"/>
              </w:rPr>
            </w:pPr>
            <w:r w:rsidRPr="00250775">
              <w:rPr>
                <w:rFonts w:ascii="Arial" w:eastAsia="Arial" w:hAnsi="Arial" w:cs="Arial"/>
                <w:b/>
                <w:color w:val="000000"/>
                <w:sz w:val="16"/>
              </w:rPr>
              <w:t>(103)</w:t>
            </w:r>
          </w:p>
        </w:tc>
        <w:tc>
          <w:tcPr>
            <w:tcW w:w="1005" w:type="dxa"/>
            <w:tcBorders>
              <w:top w:val="nil"/>
              <w:left w:val="nil"/>
              <w:bottom w:val="single" w:sz="6" w:space="0" w:color="000000"/>
              <w:right w:val="nil"/>
              <w:tl2br w:val="nil"/>
              <w:tr2bl w:val="nil"/>
            </w:tcBorders>
            <w:shd w:val="clear" w:color="auto" w:fill="FFFF00"/>
            <w:tcMar>
              <w:left w:w="115" w:type="dxa"/>
              <w:right w:w="115" w:type="dxa"/>
            </w:tcMar>
            <w:vAlign w:val="bottom"/>
          </w:tcPr>
          <w:p w14:paraId="0462F9E3" w14:textId="77777777" w:rsidR="003F0EEA" w:rsidRPr="00250775" w:rsidRDefault="00FB7D0B">
            <w:pPr>
              <w:jc w:val="right"/>
              <w:rPr>
                <w:rFonts w:ascii="Arial" w:eastAsia="Arial" w:hAnsi="Arial" w:cs="Arial"/>
                <w:b/>
                <w:color w:val="000000"/>
                <w:sz w:val="16"/>
              </w:rPr>
            </w:pPr>
            <w:r w:rsidRPr="00250775">
              <w:rPr>
                <w:rFonts w:ascii="Arial" w:eastAsia="Arial" w:hAnsi="Arial" w:cs="Arial"/>
                <w:b/>
                <w:color w:val="000000"/>
                <w:sz w:val="16"/>
              </w:rPr>
              <w:t>(108)</w:t>
            </w:r>
          </w:p>
        </w:tc>
      </w:tr>
      <w:tr w:rsidR="00FB7D0B" w14:paraId="4448C11D" w14:textId="77777777" w:rsidTr="00FB7D0B">
        <w:trPr>
          <w:trHeight w:val="225"/>
        </w:trPr>
        <w:tc>
          <w:tcPr>
            <w:tcW w:w="6390" w:type="dxa"/>
            <w:gridSpan w:val="6"/>
            <w:tcBorders>
              <w:top w:val="single" w:sz="6" w:space="0" w:color="000000"/>
              <w:left w:val="nil"/>
              <w:bottom w:val="nil"/>
              <w:right w:val="nil"/>
              <w:tl2br w:val="nil"/>
              <w:tr2bl w:val="nil"/>
            </w:tcBorders>
            <w:shd w:val="clear" w:color="auto" w:fill="FFFFFF"/>
            <w:tcMar>
              <w:left w:w="115" w:type="dxa"/>
              <w:right w:w="115" w:type="dxa"/>
            </w:tcMar>
            <w:vAlign w:val="bottom"/>
          </w:tcPr>
          <w:p w14:paraId="33655C2A" w14:textId="77777777" w:rsidR="003F0EEA" w:rsidRPr="00250775" w:rsidRDefault="00FB7D0B">
            <w:pPr>
              <w:rPr>
                <w:rFonts w:ascii="Arial" w:eastAsia="Arial" w:hAnsi="Arial" w:cs="Arial"/>
                <w:b/>
                <w:color w:val="000000"/>
                <w:sz w:val="16"/>
              </w:rPr>
            </w:pPr>
            <w:r w:rsidRPr="00250775">
              <w:rPr>
                <w:rFonts w:ascii="Arial" w:eastAsia="Arial" w:hAnsi="Arial" w:cs="Arial"/>
                <w:color w:val="000000"/>
                <w:sz w:val="16"/>
              </w:rPr>
              <w:t>Prepared on a Government Finance Statistics (fiscal) basis</w:t>
            </w:r>
          </w:p>
        </w:tc>
        <w:tc>
          <w:tcPr>
            <w:tcW w:w="1005"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528D936B" w14:textId="77777777" w:rsidR="003F0EEA" w:rsidRPr="00250775" w:rsidRDefault="003F0EEA">
            <w:pPr>
              <w:rPr>
                <w:rFonts w:ascii="Arial" w:eastAsia="Arial" w:hAnsi="Arial" w:cs="Arial"/>
                <w:color w:val="000000"/>
                <w:sz w:val="16"/>
              </w:rPr>
            </w:pPr>
          </w:p>
        </w:tc>
        <w:tc>
          <w:tcPr>
            <w:tcW w:w="1005"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1C5D59BF" w14:textId="77777777" w:rsidR="003F0EEA" w:rsidRPr="00250775" w:rsidRDefault="003F0EEA">
            <w:pPr>
              <w:jc w:val="right"/>
              <w:rPr>
                <w:rFonts w:ascii="Arial" w:eastAsia="Arial" w:hAnsi="Arial" w:cs="Arial"/>
                <w:color w:val="000000"/>
                <w:sz w:val="16"/>
              </w:rPr>
            </w:pPr>
          </w:p>
        </w:tc>
      </w:tr>
    </w:tbl>
    <w:p w14:paraId="36254F60" w14:textId="77777777" w:rsidR="003F0EEA" w:rsidRDefault="003F0EEA" w:rsidP="003F0EEA">
      <w:pPr>
        <w:pStyle w:val="Normal80"/>
        <w:spacing w:after="0" w:line="240" w:lineRule="auto"/>
        <w:ind w:right="566"/>
        <w:rPr>
          <w:rFonts w:ascii="Arial" w:eastAsia="Calibri" w:hAnsi="Arial" w:cs="Arial"/>
          <w:sz w:val="16"/>
          <w:szCs w:val="16"/>
        </w:rPr>
      </w:pPr>
    </w:p>
    <w:p w14:paraId="5062E78C" w14:textId="77777777" w:rsidR="003F0EEA" w:rsidRDefault="00FB7D0B" w:rsidP="003F0EEA">
      <w:pPr>
        <w:pStyle w:val="ListParagraph2"/>
        <w:numPr>
          <w:ilvl w:val="0"/>
          <w:numId w:val="7"/>
        </w:numPr>
        <w:spacing w:after="0" w:line="240" w:lineRule="auto"/>
        <w:ind w:left="357" w:right="566" w:hanging="357"/>
        <w:rPr>
          <w:rFonts w:ascii="Arial" w:eastAsia="Calibri" w:hAnsi="Arial" w:cs="Arial"/>
          <w:sz w:val="16"/>
          <w:szCs w:val="16"/>
        </w:rPr>
      </w:pPr>
      <w:r>
        <w:rPr>
          <w:rFonts w:ascii="Arial" w:eastAsia="Calibri" w:hAnsi="Arial" w:cs="Arial"/>
          <w:sz w:val="16"/>
          <w:szCs w:val="16"/>
        </w:rPr>
        <w:t>The lead agency for this measure is the Department Social Services (DSS). The full measure description and package details appear in BP 2 under the DSS portfolio.</w:t>
      </w:r>
    </w:p>
    <w:p w14:paraId="7D59BF3F" w14:textId="77777777" w:rsidR="003F0EEA" w:rsidRDefault="00FB7D0B" w:rsidP="003F0EEA">
      <w:pPr>
        <w:pStyle w:val="ListParagraph2"/>
        <w:numPr>
          <w:ilvl w:val="0"/>
          <w:numId w:val="7"/>
        </w:numPr>
        <w:spacing w:after="0" w:line="240" w:lineRule="auto"/>
        <w:ind w:left="357" w:right="566" w:hanging="357"/>
        <w:rPr>
          <w:rFonts w:ascii="Arial" w:eastAsia="Calibri" w:hAnsi="Arial" w:cs="Arial"/>
          <w:sz w:val="16"/>
          <w:szCs w:val="16"/>
        </w:rPr>
      </w:pPr>
      <w:r w:rsidRPr="007A046B">
        <w:rPr>
          <w:rFonts w:ascii="Arial" w:eastAsia="Calibri" w:hAnsi="Arial" w:cs="Arial"/>
          <w:sz w:val="16"/>
          <w:szCs w:val="16"/>
        </w:rPr>
        <w:t xml:space="preserve">The lead agency for this measure is the Department of Health </w:t>
      </w:r>
      <w:r>
        <w:rPr>
          <w:rFonts w:ascii="Arial" w:eastAsia="Calibri" w:hAnsi="Arial" w:cs="Arial"/>
          <w:sz w:val="16"/>
          <w:szCs w:val="16"/>
        </w:rPr>
        <w:t>(DoH). The full measure description and package details appear in BP 2 under the DoH portfolio.</w:t>
      </w:r>
    </w:p>
    <w:p w14:paraId="770AC879" w14:textId="77777777" w:rsidR="003F0EEA" w:rsidRDefault="003F0EEA">
      <w:pPr>
        <w:rPr>
          <w:rFonts w:ascii="Arial" w:hAnsi="Arial" w:cs="Arial"/>
          <w:sz w:val="16"/>
          <w:szCs w:val="16"/>
        </w:rPr>
        <w:sectPr w:rsidR="003F0EEA">
          <w:pgSz w:w="10319" w:h="14572"/>
          <w:pgMar w:top="1077" w:right="1077" w:bottom="1134" w:left="1134" w:header="709" w:footer="709" w:gutter="0"/>
          <w:cols w:space="708"/>
        </w:sectPr>
      </w:pPr>
    </w:p>
    <w:p w14:paraId="73B9BC12" w14:textId="77777777" w:rsidR="003F0EEA" w:rsidRPr="00FB0D7B" w:rsidRDefault="00FB7D0B" w:rsidP="003F0EEA">
      <w:pPr>
        <w:pStyle w:val="Heading20"/>
      </w:pPr>
      <w:r w:rsidRPr="006328A2">
        <w:lastRenderedPageBreak/>
        <w:t xml:space="preserve">Section 2: </w:t>
      </w:r>
      <w:r>
        <w:t>Outcomes and Planned Performance</w:t>
      </w:r>
    </w:p>
    <w:p w14:paraId="3770F0F5" w14:textId="77777777" w:rsidR="003F0EEA" w:rsidRDefault="00FB7D0B" w:rsidP="003F0EEA">
      <w:pPr>
        <w:pStyle w:val="Heading36"/>
      </w:pPr>
      <w:r>
        <w:t>2.1</w:t>
      </w:r>
      <w:r>
        <w:tab/>
        <w:t>Outcomes and Performance Information</w:t>
      </w:r>
    </w:p>
    <w:p w14:paraId="02D8A892" w14:textId="77777777" w:rsidR="003F0EEA" w:rsidRPr="00FB0D7B" w:rsidRDefault="00FB7D0B" w:rsidP="003F0EEA">
      <w:pPr>
        <w:pStyle w:val="Normal81"/>
        <w:jc w:val="both"/>
        <w:rPr>
          <w:rFonts w:ascii="Book Antiqua" w:eastAsia="Calibri" w:hAnsi="Book Antiqua"/>
          <w:sz w:val="20"/>
          <w:szCs w:val="20"/>
        </w:rPr>
      </w:pPr>
      <w:r w:rsidRPr="00FB0D7B">
        <w:rPr>
          <w:rFonts w:ascii="Book Antiqua" w:eastAsia="Calibri" w:hAnsi="Book Antiqua"/>
          <w:sz w:val="20"/>
          <w:szCs w:val="20"/>
        </w:rPr>
        <w:t xml:space="preserve">Government outcomes are the intended results, impacts or consequences of actions by the Government on the Australian community. Commonwealth </w:t>
      </w:r>
      <w:r>
        <w:rPr>
          <w:rFonts w:ascii="Book Antiqua" w:eastAsia="Calibri" w:hAnsi="Book Antiqua"/>
          <w:sz w:val="20"/>
          <w:szCs w:val="20"/>
        </w:rPr>
        <w:t>programmes</w:t>
      </w:r>
      <w:r w:rsidRPr="00FB0D7B">
        <w:rPr>
          <w:rFonts w:ascii="Book Antiqua" w:eastAsia="Calibri" w:hAnsi="Book Antiqua"/>
          <w:sz w:val="20"/>
          <w:szCs w:val="20"/>
        </w:rPr>
        <w:t xml:space="preserve"> are the primary vehicle by which government agencies achieve the intended results of their outcome statements. Agencies are required to identify the </w:t>
      </w:r>
      <w:r>
        <w:rPr>
          <w:rFonts w:ascii="Book Antiqua" w:eastAsia="Calibri" w:hAnsi="Book Antiqua"/>
          <w:sz w:val="20"/>
          <w:szCs w:val="20"/>
        </w:rPr>
        <w:t>programmes</w:t>
      </w:r>
      <w:r w:rsidRPr="00FB0D7B">
        <w:rPr>
          <w:rFonts w:ascii="Book Antiqua" w:eastAsia="Calibri" w:hAnsi="Book Antiqua"/>
          <w:sz w:val="20"/>
          <w:szCs w:val="20"/>
        </w:rPr>
        <w:t xml:space="preserve"> which contribute to Government outcomes over the Budget and forward years.</w:t>
      </w:r>
    </w:p>
    <w:p w14:paraId="4CC79A0B" w14:textId="77777777" w:rsidR="003F0EEA" w:rsidRDefault="00FB7D0B" w:rsidP="003F0EEA">
      <w:pPr>
        <w:pStyle w:val="Normal81"/>
        <w:jc w:val="both"/>
        <w:rPr>
          <w:rFonts w:ascii="Book Antiqua" w:eastAsia="Calibri" w:hAnsi="Book Antiqua"/>
          <w:sz w:val="20"/>
          <w:szCs w:val="20"/>
        </w:rPr>
      </w:pPr>
      <w:r w:rsidRPr="00FB0D7B">
        <w:rPr>
          <w:rFonts w:ascii="Book Antiqua" w:eastAsia="Calibri" w:hAnsi="Book Antiqua"/>
          <w:sz w:val="20"/>
          <w:szCs w:val="20"/>
        </w:rPr>
        <w:t xml:space="preserve">Each outcome is described below together with its related </w:t>
      </w:r>
      <w:r>
        <w:rPr>
          <w:rFonts w:ascii="Book Antiqua" w:eastAsia="Calibri" w:hAnsi="Book Antiqua"/>
          <w:sz w:val="20"/>
          <w:szCs w:val="20"/>
        </w:rPr>
        <w:t>programmes</w:t>
      </w:r>
      <w:r w:rsidRPr="00FB0D7B">
        <w:rPr>
          <w:rFonts w:ascii="Book Antiqua" w:eastAsia="Calibri" w:hAnsi="Book Antiqua"/>
          <w:sz w:val="20"/>
          <w:szCs w:val="20"/>
        </w:rPr>
        <w:t>, specifying the performance indicators and targets used to assess and monitor the performance of</w:t>
      </w:r>
      <w:r>
        <w:rPr>
          <w:rFonts w:ascii="Book Antiqua" w:eastAsia="Calibri" w:hAnsi="Book Antiqua"/>
          <w:sz w:val="20"/>
          <w:szCs w:val="20"/>
        </w:rPr>
        <w:t xml:space="preserve"> Department of Veterans' Affairs </w:t>
      </w:r>
      <w:r w:rsidRPr="00FB0D7B">
        <w:rPr>
          <w:rFonts w:ascii="Book Antiqua" w:eastAsia="Calibri" w:hAnsi="Book Antiqua"/>
          <w:sz w:val="20"/>
          <w:szCs w:val="20"/>
        </w:rPr>
        <w:t>in achieving Government outcomes.</w:t>
      </w:r>
    </w:p>
    <w:p w14:paraId="206D69E6" w14:textId="77777777" w:rsidR="003F0EEA" w:rsidRPr="00EE349A" w:rsidRDefault="00FB7D0B" w:rsidP="003F0EEA">
      <w:pPr>
        <w:pStyle w:val="Heading36"/>
      </w:pPr>
      <w:r>
        <w:t>Outcome 1</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8324"/>
      </w:tblGrid>
      <w:tr w:rsidR="00724034" w14:paraId="0FC28BCA" w14:textId="77777777" w:rsidTr="003F0EEA">
        <w:tc>
          <w:tcPr>
            <w:tcW w:w="9000" w:type="dxa"/>
            <w:tcBorders>
              <w:top w:val="single" w:sz="2" w:space="0" w:color="auto"/>
              <w:left w:val="single" w:sz="2" w:space="0" w:color="auto"/>
              <w:bottom w:val="single" w:sz="2" w:space="0" w:color="auto"/>
              <w:right w:val="single" w:sz="2" w:space="0" w:color="auto"/>
            </w:tcBorders>
            <w:shd w:val="clear" w:color="auto" w:fill="E6E6E6"/>
          </w:tcPr>
          <w:p w14:paraId="20845521" w14:textId="77777777" w:rsidR="003F0EEA" w:rsidRDefault="00FB7D0B">
            <w:pPr>
              <w:pStyle w:val="BoxHeading"/>
            </w:pPr>
            <w:r>
              <w:rPr>
                <w:rFonts w:cs="Arial"/>
              </w:rPr>
              <w:t>Outcome 1: Maintain and enhance the financial wellbeing and self-sufficiency of eligible persons and their dependants through access to income support, compensation, and other support services, including advice and information about entitlements.</w:t>
            </w:r>
          </w:p>
        </w:tc>
      </w:tr>
    </w:tbl>
    <w:p w14:paraId="35796BB9" w14:textId="77777777" w:rsidR="003F0EEA" w:rsidRDefault="00FB7D0B" w:rsidP="003F0EEA">
      <w:pPr>
        <w:pStyle w:val="Heading40"/>
        <w:spacing w:before="240"/>
      </w:pPr>
      <w:r>
        <w:rPr>
          <w:rFonts w:cs="Arial"/>
        </w:rPr>
        <w:t>Outcome 1 Strategy</w:t>
      </w:r>
    </w:p>
    <w:p w14:paraId="0E26598C" w14:textId="77777777" w:rsidR="003F0EEA" w:rsidRDefault="00FB7D0B" w:rsidP="003F0EEA">
      <w:pPr>
        <w:pStyle w:val="Bullet0"/>
      </w:pPr>
      <w:r>
        <w:t xml:space="preserve">Increase awareness and understanding of compensation, rehabilitation and income support schemes among </w:t>
      </w:r>
      <w:r>
        <w:rPr>
          <w:lang w:val="en-GB"/>
        </w:rPr>
        <w:t>veterans, war widow/ers, serving members, former defence force members, and their families</w:t>
      </w:r>
      <w:r>
        <w:t xml:space="preserve"> and advocates.</w:t>
      </w:r>
    </w:p>
    <w:p w14:paraId="70461251" w14:textId="77777777" w:rsidR="003F0EEA" w:rsidRDefault="00FB7D0B" w:rsidP="003F0EEA">
      <w:pPr>
        <w:pStyle w:val="Bullet0"/>
      </w:pPr>
      <w:r>
        <w:t>Assist eligible persons and their dependants to receive their correct entitlements through effective advice and efficient claims determinations and review.</w:t>
      </w:r>
    </w:p>
    <w:p w14:paraId="4B39B20C" w14:textId="77777777" w:rsidR="003F0EEA" w:rsidRDefault="00FB7D0B" w:rsidP="003F0EEA">
      <w:pPr>
        <w:pStyle w:val="Bullet0"/>
      </w:pPr>
      <w:r>
        <w:t>Integrate rehabilitation as a key consideration in compensation policy and decision making.</w:t>
      </w:r>
    </w:p>
    <w:p w14:paraId="7F7063AD" w14:textId="77777777" w:rsidR="003F0EEA" w:rsidRDefault="00FB7D0B" w:rsidP="003F0EEA">
      <w:pPr>
        <w:pStyle w:val="Bullet0"/>
      </w:pPr>
      <w:r>
        <w:t>Engage younger veterans and Australian Defence Force members in policy development and review.</w:t>
      </w:r>
    </w:p>
    <w:p w14:paraId="15ACE494" w14:textId="77777777" w:rsidR="003F0EEA" w:rsidRDefault="00FB7D0B" w:rsidP="003F0EEA">
      <w:pPr>
        <w:pStyle w:val="Bullet0"/>
      </w:pPr>
      <w:r>
        <w:t>Ensure that the changing needs of eligible veterans, especially those with complex needs or severe disabilities, are addressed.</w:t>
      </w:r>
    </w:p>
    <w:p w14:paraId="24C9B7A4" w14:textId="77777777" w:rsidR="003F0EEA" w:rsidRDefault="00FB7D0B" w:rsidP="003F0EEA">
      <w:pPr>
        <w:pStyle w:val="Bullet0"/>
      </w:pPr>
      <w:r>
        <w:t>Continue access to home loan and insurance services for eligible members of the veteran and defence force communities and undertake a scoping study of the insurance scheme that provides information to assist considerations relating to the future operations and management of the scheme.</w:t>
      </w:r>
    </w:p>
    <w:p w14:paraId="6996D90E" w14:textId="77777777" w:rsidR="003F0EEA" w:rsidRDefault="00FB7D0B">
      <w:pPr>
        <w:spacing w:line="14" w:lineRule="exact"/>
        <w:rPr>
          <w:rFonts w:cs="Times New Roman"/>
        </w:rPr>
      </w:pPr>
      <w:r>
        <w:rPr>
          <w:rFonts w:cs="Times New Roman"/>
        </w:rPr>
        <w:br w:type="page"/>
      </w:r>
    </w:p>
    <w:p w14:paraId="5B11DD0E" w14:textId="77777777" w:rsidR="003F0EEA" w:rsidRDefault="00FB7D0B" w:rsidP="003F0EEA">
      <w:pPr>
        <w:pStyle w:val="Bullet1"/>
      </w:pPr>
      <w:r>
        <w:t xml:space="preserve">In conjunction with the Department of Defence, continue to implement the recommendations accepted by Government in its response to the Review of Military Compensation Arrangements. </w:t>
      </w:r>
    </w:p>
    <w:p w14:paraId="575A3C4C" w14:textId="77777777" w:rsidR="003F0EEA" w:rsidRDefault="00FB7D0B" w:rsidP="003F0EEA">
      <w:pPr>
        <w:pStyle w:val="Bullet1"/>
      </w:pPr>
      <w:r>
        <w:t>In addition, the Department will implement a number of cross-portfolio measures (refer Table 1.2).</w:t>
      </w:r>
    </w:p>
    <w:p w14:paraId="3BC82420" w14:textId="77777777" w:rsidR="003F0EEA" w:rsidRDefault="00FB7D0B" w:rsidP="003F0EEA">
      <w:pPr>
        <w:pStyle w:val="Heading41"/>
        <w:spacing w:before="0"/>
      </w:pPr>
      <w:r>
        <w:rPr>
          <w:rFonts w:cs="Arial"/>
        </w:rPr>
        <w:t>Outcome 1 Expense Statement</w:t>
      </w:r>
    </w:p>
    <w:p w14:paraId="081EA46A" w14:textId="77777777" w:rsidR="003F0EEA" w:rsidRDefault="00FB7D0B" w:rsidP="003F0EEA">
      <w:pPr>
        <w:pStyle w:val="TableGraphic0"/>
      </w:pPr>
      <w:r>
        <w:t xml:space="preserve">Table 2.1 provides an overview of the total expenses for Outcome 1, by programme.  </w:t>
      </w:r>
    </w:p>
    <w:p w14:paraId="1A96203F" w14:textId="77777777" w:rsidR="003F0EEA" w:rsidRDefault="00FB7D0B" w:rsidP="003F0EEA">
      <w:pPr>
        <w:pStyle w:val="TableHeading3"/>
      </w:pPr>
      <w:r>
        <w:t>Table 2.1: Budgeted Expenses for Outcome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0"/>
        <w:gridCol w:w="5400"/>
        <w:gridCol w:w="1275"/>
        <w:gridCol w:w="1275"/>
      </w:tblGrid>
      <w:tr w:rsidR="00FB7D0B" w14:paraId="3FA39B77" w14:textId="77777777" w:rsidTr="00FB7D0B">
        <w:trPr>
          <w:trHeight w:val="225"/>
        </w:trPr>
        <w:tc>
          <w:tcPr>
            <w:tcW w:w="5700" w:type="dxa"/>
            <w:gridSpan w:val="2"/>
            <w:vMerge w:val="restart"/>
            <w:tcBorders>
              <w:top w:val="single" w:sz="6" w:space="0" w:color="000000"/>
              <w:left w:val="nil"/>
              <w:bottom w:val="nil"/>
              <w:right w:val="nil"/>
              <w:tl2br w:val="nil"/>
              <w:tr2bl w:val="nil"/>
            </w:tcBorders>
            <w:shd w:val="clear" w:color="auto" w:fill="FFFFFF"/>
            <w:tcMar>
              <w:left w:w="101" w:type="dxa"/>
              <w:right w:w="101" w:type="dxa"/>
            </w:tcMar>
          </w:tcPr>
          <w:p w14:paraId="0C5FCB09" w14:textId="77777777" w:rsidR="003F0EEA" w:rsidRDefault="00FB7D0B">
            <w:pPr>
              <w:rPr>
                <w:rFonts w:eastAsia="Times New Roman"/>
              </w:rPr>
            </w:pPr>
            <w:r>
              <w:rPr>
                <w:rFonts w:ascii="Arial" w:eastAsia="Arial" w:hAnsi="Arial" w:cs="Arial"/>
                <w:b/>
                <w:color w:val="000000"/>
                <w:sz w:val="16"/>
              </w:rPr>
              <w:t>Outcome 1</w:t>
            </w:r>
            <w:r>
              <w:rPr>
                <w:rFonts w:ascii="Arial" w:eastAsia="Arial" w:hAnsi="Arial" w:cs="Arial"/>
                <w:color w:val="000000"/>
                <w:sz w:val="16"/>
              </w:rPr>
              <w:t>:   Maintain and enhance the financial wellbeing and self sufficiency of eligible persons and their dependants through access to income support, compensation, and other support services, including advice and information about entitlements.</w:t>
            </w:r>
          </w:p>
        </w:tc>
        <w:tc>
          <w:tcPr>
            <w:tcW w:w="127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51FCC9F2" w14:textId="77777777" w:rsidR="003F0EEA" w:rsidRDefault="00FB7D0B">
            <w:pPr>
              <w:jc w:val="right"/>
              <w:rPr>
                <w:rFonts w:ascii="Arial" w:eastAsia="Arial" w:hAnsi="Arial" w:cs="Arial"/>
                <w:b/>
                <w:color w:val="000000"/>
                <w:sz w:val="16"/>
                <w:vertAlign w:val="superscript"/>
              </w:rPr>
            </w:pPr>
            <w:r>
              <w:rPr>
                <w:rFonts w:ascii="Arial" w:eastAsia="Arial" w:hAnsi="Arial" w:cs="Arial"/>
                <w:color w:val="000000"/>
                <w:sz w:val="16"/>
              </w:rPr>
              <w:t>2013-14</w:t>
            </w:r>
          </w:p>
        </w:tc>
        <w:tc>
          <w:tcPr>
            <w:tcW w:w="1275" w:type="dxa"/>
            <w:tcBorders>
              <w:top w:val="single" w:sz="6" w:space="0" w:color="000000"/>
              <w:left w:val="nil"/>
              <w:bottom w:val="nil"/>
              <w:right w:val="nil"/>
              <w:tl2br w:val="nil"/>
              <w:tr2bl w:val="nil"/>
            </w:tcBorders>
            <w:shd w:val="clear" w:color="auto" w:fill="FFFF00"/>
            <w:tcMar>
              <w:left w:w="101" w:type="dxa"/>
              <w:right w:w="101" w:type="dxa"/>
            </w:tcMar>
            <w:vAlign w:val="bottom"/>
          </w:tcPr>
          <w:p w14:paraId="69DC3329" w14:textId="77777777" w:rsidR="003F0EEA" w:rsidRDefault="00FB7D0B">
            <w:pPr>
              <w:jc w:val="right"/>
              <w:rPr>
                <w:rFonts w:ascii="Arial" w:eastAsia="Arial" w:hAnsi="Arial" w:cs="Arial"/>
                <w:color w:val="000000"/>
                <w:sz w:val="16"/>
              </w:rPr>
            </w:pPr>
            <w:r>
              <w:rPr>
                <w:rFonts w:ascii="Arial" w:eastAsia="Arial" w:hAnsi="Arial" w:cs="Arial"/>
                <w:color w:val="000000"/>
                <w:sz w:val="16"/>
              </w:rPr>
              <w:t>2014-15</w:t>
            </w:r>
          </w:p>
        </w:tc>
      </w:tr>
      <w:tr w:rsidR="00FB7D0B" w14:paraId="17573132" w14:textId="77777777" w:rsidTr="00FB7D0B">
        <w:trPr>
          <w:trHeight w:val="225"/>
        </w:trPr>
        <w:tc>
          <w:tcPr>
            <w:tcW w:w="5700" w:type="dxa"/>
            <w:gridSpan w:val="2"/>
            <w:vMerge/>
            <w:tcBorders>
              <w:top w:val="nil"/>
              <w:left w:val="nil"/>
              <w:bottom w:val="nil"/>
              <w:right w:val="nil"/>
              <w:tl2br w:val="nil"/>
              <w:tr2bl w:val="nil"/>
            </w:tcBorders>
            <w:shd w:val="clear" w:color="auto" w:fill="FFFF00"/>
            <w:tcMar>
              <w:left w:w="101" w:type="dxa"/>
              <w:right w:w="101" w:type="dxa"/>
            </w:tcMar>
            <w:vAlign w:val="bottom"/>
          </w:tcPr>
          <w:p w14:paraId="028FE978" w14:textId="77777777" w:rsidR="003F0EEA" w:rsidRDefault="003F0EEA">
            <w:pPr>
              <w:jc w:val="right"/>
              <w:rPr>
                <w:rFonts w:ascii="Arial" w:eastAsia="Arial" w:hAnsi="Arial" w:cs="Arial"/>
                <w:color w:val="000000"/>
                <w:sz w:val="16"/>
              </w:rPr>
            </w:pPr>
          </w:p>
        </w:tc>
        <w:tc>
          <w:tcPr>
            <w:tcW w:w="1275" w:type="dxa"/>
            <w:tcBorders>
              <w:top w:val="nil"/>
              <w:left w:val="nil"/>
              <w:bottom w:val="nil"/>
              <w:right w:val="nil"/>
              <w:tl2br w:val="nil"/>
              <w:tr2bl w:val="nil"/>
            </w:tcBorders>
            <w:shd w:val="clear" w:color="auto" w:fill="FFFFFF"/>
            <w:tcMar>
              <w:left w:w="101" w:type="dxa"/>
              <w:right w:w="101" w:type="dxa"/>
            </w:tcMar>
            <w:vAlign w:val="bottom"/>
          </w:tcPr>
          <w:p w14:paraId="65FC4DC6" w14:textId="77777777" w:rsidR="003F0EEA" w:rsidRDefault="00FB7D0B">
            <w:pPr>
              <w:jc w:val="right"/>
              <w:rPr>
                <w:rFonts w:ascii="Arial" w:eastAsia="Arial" w:hAnsi="Arial" w:cs="Arial"/>
                <w:color w:val="000000"/>
                <w:sz w:val="16"/>
              </w:rPr>
            </w:pPr>
            <w:r>
              <w:rPr>
                <w:rFonts w:ascii="Arial" w:eastAsia="Arial" w:hAnsi="Arial" w:cs="Arial"/>
                <w:color w:val="000000"/>
                <w:sz w:val="16"/>
              </w:rPr>
              <w:t>Estimated</w:t>
            </w:r>
          </w:p>
        </w:tc>
        <w:tc>
          <w:tcPr>
            <w:tcW w:w="1275" w:type="dxa"/>
            <w:tcBorders>
              <w:top w:val="nil"/>
              <w:left w:val="nil"/>
              <w:bottom w:val="nil"/>
              <w:right w:val="nil"/>
              <w:tl2br w:val="nil"/>
              <w:tr2bl w:val="nil"/>
            </w:tcBorders>
            <w:shd w:val="clear" w:color="auto" w:fill="FFFF00"/>
            <w:tcMar>
              <w:left w:w="101" w:type="dxa"/>
              <w:right w:w="101" w:type="dxa"/>
            </w:tcMar>
            <w:vAlign w:val="bottom"/>
          </w:tcPr>
          <w:p w14:paraId="1B409314" w14:textId="77777777" w:rsidR="003F0EEA" w:rsidRDefault="00FB7D0B">
            <w:pPr>
              <w:jc w:val="right"/>
              <w:rPr>
                <w:rFonts w:ascii="Arial" w:eastAsia="Arial" w:hAnsi="Arial" w:cs="Arial"/>
                <w:color w:val="000000"/>
                <w:sz w:val="16"/>
              </w:rPr>
            </w:pPr>
            <w:r>
              <w:rPr>
                <w:rFonts w:ascii="Arial" w:eastAsia="Arial" w:hAnsi="Arial" w:cs="Arial"/>
                <w:color w:val="000000"/>
                <w:sz w:val="16"/>
              </w:rPr>
              <w:t>Estimated</w:t>
            </w:r>
          </w:p>
        </w:tc>
      </w:tr>
      <w:tr w:rsidR="00FB7D0B" w14:paraId="3B331750" w14:textId="77777777" w:rsidTr="00FB7D0B">
        <w:trPr>
          <w:trHeight w:val="225"/>
        </w:trPr>
        <w:tc>
          <w:tcPr>
            <w:tcW w:w="5700" w:type="dxa"/>
            <w:gridSpan w:val="2"/>
            <w:vMerge/>
            <w:tcBorders>
              <w:top w:val="nil"/>
              <w:left w:val="nil"/>
              <w:bottom w:val="nil"/>
              <w:right w:val="nil"/>
              <w:tl2br w:val="nil"/>
              <w:tr2bl w:val="nil"/>
            </w:tcBorders>
            <w:shd w:val="clear" w:color="auto" w:fill="FFFF00"/>
            <w:tcMar>
              <w:left w:w="101" w:type="dxa"/>
              <w:right w:w="101" w:type="dxa"/>
            </w:tcMar>
            <w:vAlign w:val="bottom"/>
          </w:tcPr>
          <w:p w14:paraId="07071738" w14:textId="77777777" w:rsidR="003F0EEA" w:rsidRDefault="003F0EEA">
            <w:pPr>
              <w:jc w:val="right"/>
              <w:rPr>
                <w:rFonts w:ascii="Arial" w:eastAsia="Arial" w:hAnsi="Arial" w:cs="Arial"/>
                <w:color w:val="000000"/>
                <w:sz w:val="16"/>
              </w:rPr>
            </w:pPr>
          </w:p>
        </w:tc>
        <w:tc>
          <w:tcPr>
            <w:tcW w:w="1275" w:type="dxa"/>
            <w:tcBorders>
              <w:top w:val="nil"/>
              <w:left w:val="nil"/>
              <w:bottom w:val="nil"/>
              <w:right w:val="nil"/>
              <w:tl2br w:val="nil"/>
              <w:tr2bl w:val="nil"/>
            </w:tcBorders>
            <w:shd w:val="clear" w:color="auto" w:fill="FFFFFF"/>
            <w:tcMar>
              <w:left w:w="101" w:type="dxa"/>
              <w:right w:w="101" w:type="dxa"/>
            </w:tcMar>
            <w:vAlign w:val="bottom"/>
          </w:tcPr>
          <w:p w14:paraId="361280D5" w14:textId="77777777" w:rsidR="003F0EEA" w:rsidRDefault="00FB7D0B">
            <w:pPr>
              <w:jc w:val="right"/>
              <w:rPr>
                <w:rFonts w:ascii="Arial" w:eastAsia="Arial" w:hAnsi="Arial" w:cs="Arial"/>
                <w:color w:val="000000"/>
                <w:sz w:val="16"/>
              </w:rPr>
            </w:pPr>
            <w:r>
              <w:rPr>
                <w:rFonts w:ascii="Arial" w:eastAsia="Arial" w:hAnsi="Arial" w:cs="Arial"/>
                <w:color w:val="000000"/>
                <w:sz w:val="16"/>
              </w:rPr>
              <w:t>actual</w:t>
            </w:r>
          </w:p>
        </w:tc>
        <w:tc>
          <w:tcPr>
            <w:tcW w:w="1275" w:type="dxa"/>
            <w:tcBorders>
              <w:top w:val="nil"/>
              <w:left w:val="nil"/>
              <w:bottom w:val="nil"/>
              <w:right w:val="nil"/>
              <w:tl2br w:val="nil"/>
              <w:tr2bl w:val="nil"/>
            </w:tcBorders>
            <w:shd w:val="clear" w:color="auto" w:fill="FFFF00"/>
            <w:tcMar>
              <w:left w:w="101" w:type="dxa"/>
              <w:right w:w="101" w:type="dxa"/>
            </w:tcMar>
            <w:vAlign w:val="bottom"/>
          </w:tcPr>
          <w:p w14:paraId="7EE53BC6" w14:textId="77777777" w:rsidR="003F0EEA" w:rsidRDefault="00FB7D0B">
            <w:pPr>
              <w:jc w:val="right"/>
              <w:rPr>
                <w:rFonts w:ascii="Arial" w:eastAsia="Arial" w:hAnsi="Arial" w:cs="Arial"/>
                <w:color w:val="000000"/>
                <w:sz w:val="16"/>
              </w:rPr>
            </w:pPr>
            <w:r>
              <w:rPr>
                <w:rFonts w:ascii="Arial" w:eastAsia="Arial" w:hAnsi="Arial" w:cs="Arial"/>
                <w:color w:val="000000"/>
                <w:sz w:val="16"/>
              </w:rPr>
              <w:t>expenses</w:t>
            </w:r>
          </w:p>
        </w:tc>
      </w:tr>
      <w:tr w:rsidR="00FB7D0B" w14:paraId="582D3BB6" w14:textId="77777777" w:rsidTr="00FB7D0B">
        <w:trPr>
          <w:trHeight w:val="225"/>
        </w:trPr>
        <w:tc>
          <w:tcPr>
            <w:tcW w:w="5700" w:type="dxa"/>
            <w:gridSpan w:val="2"/>
            <w:vMerge/>
            <w:tcBorders>
              <w:top w:val="nil"/>
              <w:left w:val="nil"/>
              <w:bottom w:val="nil"/>
              <w:right w:val="nil"/>
              <w:tl2br w:val="nil"/>
              <w:tr2bl w:val="nil"/>
            </w:tcBorders>
            <w:shd w:val="clear" w:color="auto" w:fill="FFFF00"/>
            <w:tcMar>
              <w:left w:w="101" w:type="dxa"/>
              <w:right w:w="101" w:type="dxa"/>
            </w:tcMar>
            <w:vAlign w:val="bottom"/>
          </w:tcPr>
          <w:p w14:paraId="32121F9F" w14:textId="77777777" w:rsidR="003F0EEA" w:rsidRDefault="003F0EEA">
            <w:pPr>
              <w:jc w:val="right"/>
              <w:rPr>
                <w:rFonts w:ascii="Arial" w:eastAsia="Arial" w:hAnsi="Arial" w:cs="Arial"/>
                <w:color w:val="000000"/>
                <w:sz w:val="16"/>
              </w:rPr>
            </w:pPr>
          </w:p>
        </w:tc>
        <w:tc>
          <w:tcPr>
            <w:tcW w:w="1275" w:type="dxa"/>
            <w:tcBorders>
              <w:top w:val="nil"/>
              <w:left w:val="nil"/>
              <w:bottom w:val="nil"/>
              <w:right w:val="nil"/>
              <w:tl2br w:val="nil"/>
              <w:tr2bl w:val="nil"/>
            </w:tcBorders>
            <w:shd w:val="clear" w:color="auto" w:fill="FFFFFF"/>
            <w:tcMar>
              <w:left w:w="101" w:type="dxa"/>
              <w:right w:w="101" w:type="dxa"/>
            </w:tcMar>
            <w:vAlign w:val="bottom"/>
          </w:tcPr>
          <w:p w14:paraId="7C53DC24" w14:textId="77777777" w:rsidR="003F0EEA" w:rsidRDefault="00FB7D0B">
            <w:pPr>
              <w:jc w:val="right"/>
              <w:rPr>
                <w:rFonts w:ascii="Arial" w:eastAsia="Arial" w:hAnsi="Arial" w:cs="Arial"/>
                <w:color w:val="000000"/>
                <w:sz w:val="16"/>
              </w:rPr>
            </w:pPr>
            <w:r>
              <w:rPr>
                <w:rFonts w:ascii="Arial" w:eastAsia="Arial" w:hAnsi="Arial" w:cs="Arial"/>
                <w:color w:val="000000"/>
                <w:sz w:val="16"/>
              </w:rPr>
              <w:t>expenses</w:t>
            </w:r>
          </w:p>
        </w:tc>
        <w:tc>
          <w:tcPr>
            <w:tcW w:w="1275" w:type="dxa"/>
            <w:tcBorders>
              <w:top w:val="nil"/>
              <w:left w:val="nil"/>
              <w:bottom w:val="nil"/>
              <w:right w:val="nil"/>
              <w:tl2br w:val="nil"/>
              <w:tr2bl w:val="nil"/>
            </w:tcBorders>
            <w:shd w:val="clear" w:color="auto" w:fill="FFFF00"/>
            <w:tcMar>
              <w:left w:w="101" w:type="dxa"/>
              <w:right w:w="101" w:type="dxa"/>
            </w:tcMar>
            <w:vAlign w:val="bottom"/>
          </w:tcPr>
          <w:p w14:paraId="383158ED" w14:textId="77777777" w:rsidR="003F0EEA" w:rsidRDefault="003F0EEA">
            <w:pPr>
              <w:jc w:val="right"/>
              <w:rPr>
                <w:rFonts w:ascii="Arial" w:eastAsia="Arial" w:hAnsi="Arial" w:cs="Arial"/>
                <w:color w:val="000000"/>
                <w:sz w:val="16"/>
              </w:rPr>
            </w:pPr>
          </w:p>
        </w:tc>
      </w:tr>
      <w:tr w:rsidR="00FB7D0B" w14:paraId="0104947E" w14:textId="77777777" w:rsidTr="00FB7D0B">
        <w:trPr>
          <w:trHeight w:val="225"/>
        </w:trPr>
        <w:tc>
          <w:tcPr>
            <w:tcW w:w="5700" w:type="dxa"/>
            <w:gridSpan w:val="2"/>
            <w:vMerge/>
            <w:tcBorders>
              <w:top w:val="nil"/>
              <w:left w:val="nil"/>
              <w:bottom w:val="nil"/>
              <w:right w:val="nil"/>
              <w:tl2br w:val="nil"/>
              <w:tr2bl w:val="nil"/>
            </w:tcBorders>
            <w:shd w:val="clear" w:color="auto" w:fill="FFFF00"/>
            <w:tcMar>
              <w:left w:w="101" w:type="dxa"/>
              <w:right w:w="101" w:type="dxa"/>
            </w:tcMar>
            <w:vAlign w:val="bottom"/>
          </w:tcPr>
          <w:p w14:paraId="5A58971F" w14:textId="77777777" w:rsidR="003F0EEA" w:rsidRDefault="003F0EEA">
            <w:pPr>
              <w:jc w:val="right"/>
              <w:rPr>
                <w:rFonts w:ascii="Arial" w:eastAsia="Arial" w:hAnsi="Arial" w:cs="Arial"/>
                <w:color w:val="000000"/>
                <w:sz w:val="16"/>
              </w:rPr>
            </w:pPr>
          </w:p>
        </w:tc>
        <w:tc>
          <w:tcPr>
            <w:tcW w:w="1275"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13AA7095" w14:textId="77777777" w:rsidR="003F0EEA" w:rsidRDefault="00FB7D0B">
            <w:pPr>
              <w:jc w:val="right"/>
              <w:rPr>
                <w:rFonts w:ascii="Arial" w:eastAsia="Arial" w:hAnsi="Arial" w:cs="Arial"/>
                <w:color w:val="000000"/>
                <w:sz w:val="16"/>
              </w:rPr>
            </w:pPr>
            <w:r>
              <w:rPr>
                <w:rFonts w:ascii="Arial" w:eastAsia="Arial" w:hAnsi="Arial" w:cs="Arial"/>
                <w:color w:val="000000"/>
                <w:sz w:val="16"/>
              </w:rPr>
              <w:t>$'000</w:t>
            </w:r>
          </w:p>
        </w:tc>
        <w:tc>
          <w:tcPr>
            <w:tcW w:w="1275" w:type="dxa"/>
            <w:tcBorders>
              <w:top w:val="nil"/>
              <w:left w:val="nil"/>
              <w:bottom w:val="single" w:sz="6" w:space="0" w:color="000000"/>
              <w:right w:val="nil"/>
              <w:tl2br w:val="nil"/>
              <w:tr2bl w:val="nil"/>
            </w:tcBorders>
            <w:shd w:val="clear" w:color="auto" w:fill="FFFF00"/>
            <w:tcMar>
              <w:left w:w="101" w:type="dxa"/>
              <w:right w:w="101" w:type="dxa"/>
            </w:tcMar>
            <w:vAlign w:val="bottom"/>
          </w:tcPr>
          <w:p w14:paraId="0CADC253" w14:textId="77777777" w:rsidR="003F0EEA" w:rsidRDefault="00FB7D0B">
            <w:pPr>
              <w:jc w:val="right"/>
              <w:rPr>
                <w:rFonts w:ascii="Arial" w:eastAsia="Arial" w:hAnsi="Arial" w:cs="Arial"/>
                <w:color w:val="000000"/>
                <w:sz w:val="16"/>
              </w:rPr>
            </w:pPr>
            <w:r>
              <w:rPr>
                <w:rFonts w:ascii="Arial" w:eastAsia="Arial" w:hAnsi="Arial" w:cs="Arial"/>
                <w:color w:val="000000"/>
                <w:sz w:val="16"/>
              </w:rPr>
              <w:t>$'000</w:t>
            </w:r>
          </w:p>
        </w:tc>
      </w:tr>
      <w:tr w:rsidR="00FB7D0B" w14:paraId="46375F3C" w14:textId="77777777" w:rsidTr="00FB7D0B">
        <w:trPr>
          <w:trHeight w:val="225"/>
        </w:trPr>
        <w:tc>
          <w:tcPr>
            <w:tcW w:w="5700" w:type="dxa"/>
            <w:gridSpan w:val="2"/>
            <w:tcBorders>
              <w:top w:val="nil"/>
              <w:left w:val="nil"/>
              <w:bottom w:val="nil"/>
              <w:right w:val="nil"/>
              <w:tl2br w:val="nil"/>
              <w:tr2bl w:val="nil"/>
            </w:tcBorders>
            <w:shd w:val="clear" w:color="auto" w:fill="FFFFFF"/>
            <w:tcMar>
              <w:left w:w="101" w:type="dxa"/>
              <w:right w:w="101" w:type="dxa"/>
            </w:tcMar>
            <w:vAlign w:val="bottom"/>
          </w:tcPr>
          <w:p w14:paraId="27C14AF1" w14:textId="77777777" w:rsidR="003F0EEA" w:rsidRDefault="00FB7D0B">
            <w:pPr>
              <w:rPr>
                <w:rFonts w:ascii="Arial" w:eastAsia="Arial" w:hAnsi="Arial" w:cs="Arial"/>
                <w:color w:val="000000"/>
                <w:sz w:val="16"/>
              </w:rPr>
            </w:pPr>
            <w:r>
              <w:rPr>
                <w:rFonts w:ascii="Arial" w:eastAsia="Arial" w:hAnsi="Arial" w:cs="Arial"/>
                <w:b/>
                <w:color w:val="000000"/>
                <w:sz w:val="16"/>
              </w:rPr>
              <w:t>Programme 1.1:  Veterans' Income Support and Allowances</w:t>
            </w:r>
          </w:p>
        </w:tc>
        <w:tc>
          <w:tcPr>
            <w:tcW w:w="127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3D64B6A0" w14:textId="77777777" w:rsidR="003F0EEA" w:rsidRDefault="003F0EEA">
            <w:pPr>
              <w:jc w:val="right"/>
              <w:rPr>
                <w:rFonts w:ascii="Arial" w:eastAsia="Arial" w:hAnsi="Arial" w:cs="Arial"/>
                <w:color w:val="000000"/>
                <w:sz w:val="16"/>
                <w:vertAlign w:val="superscript"/>
              </w:rPr>
            </w:pPr>
          </w:p>
        </w:tc>
        <w:tc>
          <w:tcPr>
            <w:tcW w:w="1275" w:type="dxa"/>
            <w:tcBorders>
              <w:top w:val="single" w:sz="6" w:space="0" w:color="000000"/>
              <w:left w:val="nil"/>
              <w:bottom w:val="nil"/>
              <w:right w:val="nil"/>
              <w:tl2br w:val="nil"/>
              <w:tr2bl w:val="nil"/>
            </w:tcBorders>
            <w:shd w:val="clear" w:color="auto" w:fill="FFFF00"/>
            <w:tcMar>
              <w:left w:w="101" w:type="dxa"/>
              <w:right w:w="101" w:type="dxa"/>
            </w:tcMar>
            <w:vAlign w:val="bottom"/>
          </w:tcPr>
          <w:p w14:paraId="5BBEEA82" w14:textId="77777777" w:rsidR="003F0EEA" w:rsidRDefault="003F0EEA">
            <w:pPr>
              <w:jc w:val="right"/>
              <w:rPr>
                <w:rFonts w:ascii="Arial" w:eastAsia="Arial" w:hAnsi="Arial" w:cs="Arial"/>
                <w:color w:val="000000"/>
                <w:sz w:val="16"/>
                <w:vertAlign w:val="superscript"/>
              </w:rPr>
            </w:pPr>
          </w:p>
        </w:tc>
      </w:tr>
      <w:tr w:rsidR="00FB7D0B" w14:paraId="0CA5EDCD" w14:textId="77777777" w:rsidTr="00FB7D0B">
        <w:trPr>
          <w:trHeight w:val="225"/>
        </w:trPr>
        <w:tc>
          <w:tcPr>
            <w:tcW w:w="5700" w:type="dxa"/>
            <w:gridSpan w:val="2"/>
            <w:tcBorders>
              <w:top w:val="nil"/>
              <w:left w:val="nil"/>
              <w:bottom w:val="nil"/>
              <w:right w:val="nil"/>
              <w:tl2br w:val="nil"/>
              <w:tr2bl w:val="nil"/>
            </w:tcBorders>
            <w:shd w:val="clear" w:color="auto" w:fill="FFFFFF"/>
            <w:tcMar>
              <w:left w:w="101" w:type="dxa"/>
              <w:right w:w="101" w:type="dxa"/>
            </w:tcMar>
            <w:vAlign w:val="bottom"/>
          </w:tcPr>
          <w:p w14:paraId="554D4AC0" w14:textId="77777777" w:rsidR="003F0EEA" w:rsidRDefault="00FB7D0B">
            <w:pPr>
              <w:rPr>
                <w:rFonts w:ascii="Arial" w:eastAsia="Arial" w:hAnsi="Arial" w:cs="Arial"/>
                <w:color w:val="000000"/>
                <w:sz w:val="16"/>
                <w:vertAlign w:val="superscript"/>
              </w:rPr>
            </w:pPr>
            <w:r>
              <w:rPr>
                <w:rFonts w:ascii="Arial" w:eastAsia="Arial" w:hAnsi="Arial" w:cs="Arial"/>
                <w:color w:val="000000"/>
                <w:sz w:val="16"/>
              </w:rPr>
              <w:t>Administered Expenses</w:t>
            </w:r>
          </w:p>
        </w:tc>
        <w:tc>
          <w:tcPr>
            <w:tcW w:w="1275" w:type="dxa"/>
            <w:tcBorders>
              <w:top w:val="nil"/>
              <w:left w:val="nil"/>
              <w:bottom w:val="nil"/>
              <w:right w:val="nil"/>
              <w:tl2br w:val="nil"/>
              <w:tr2bl w:val="nil"/>
            </w:tcBorders>
            <w:shd w:val="clear" w:color="auto" w:fill="FFFFFF"/>
            <w:tcMar>
              <w:left w:w="101" w:type="dxa"/>
              <w:right w:w="101" w:type="dxa"/>
            </w:tcMar>
            <w:vAlign w:val="bottom"/>
          </w:tcPr>
          <w:p w14:paraId="11398C4F" w14:textId="77777777" w:rsidR="003F0EEA" w:rsidRDefault="003F0EEA">
            <w:pPr>
              <w:jc w:val="right"/>
              <w:rPr>
                <w:rFonts w:ascii="Arial" w:eastAsia="Arial" w:hAnsi="Arial" w:cs="Arial"/>
                <w:color w:val="000000"/>
                <w:sz w:val="16"/>
                <w:vertAlign w:val="superscript"/>
              </w:rPr>
            </w:pPr>
          </w:p>
        </w:tc>
        <w:tc>
          <w:tcPr>
            <w:tcW w:w="1275" w:type="dxa"/>
            <w:tcBorders>
              <w:top w:val="nil"/>
              <w:left w:val="nil"/>
              <w:bottom w:val="nil"/>
              <w:right w:val="nil"/>
              <w:tl2br w:val="nil"/>
              <w:tr2bl w:val="nil"/>
            </w:tcBorders>
            <w:shd w:val="clear" w:color="auto" w:fill="FFFF00"/>
            <w:tcMar>
              <w:left w:w="101" w:type="dxa"/>
              <w:right w:w="101" w:type="dxa"/>
            </w:tcMar>
            <w:vAlign w:val="bottom"/>
          </w:tcPr>
          <w:p w14:paraId="67C85D08" w14:textId="77777777" w:rsidR="003F0EEA" w:rsidRDefault="003F0EEA">
            <w:pPr>
              <w:jc w:val="right"/>
              <w:rPr>
                <w:rFonts w:ascii="Arial" w:eastAsia="Arial" w:hAnsi="Arial" w:cs="Arial"/>
                <w:color w:val="000000"/>
                <w:sz w:val="16"/>
                <w:vertAlign w:val="superscript"/>
              </w:rPr>
            </w:pPr>
          </w:p>
        </w:tc>
      </w:tr>
      <w:tr w:rsidR="00724034" w14:paraId="6AE6FFCB" w14:textId="77777777">
        <w:trPr>
          <w:trHeight w:val="225"/>
        </w:trPr>
        <w:tc>
          <w:tcPr>
            <w:tcW w:w="300" w:type="dxa"/>
            <w:tcBorders>
              <w:top w:val="nil"/>
              <w:left w:val="nil"/>
              <w:bottom w:val="nil"/>
              <w:right w:val="nil"/>
              <w:tl2br w:val="nil"/>
              <w:tr2bl w:val="nil"/>
            </w:tcBorders>
            <w:shd w:val="clear" w:color="auto" w:fill="FFFFFF"/>
            <w:tcMar>
              <w:left w:w="101" w:type="dxa"/>
              <w:right w:w="101" w:type="dxa"/>
            </w:tcMar>
            <w:vAlign w:val="bottom"/>
          </w:tcPr>
          <w:p w14:paraId="54A0888B" w14:textId="77777777" w:rsidR="003F0EEA" w:rsidRDefault="003F0EEA">
            <w:pPr>
              <w:rPr>
                <w:rFonts w:ascii="Arial" w:eastAsia="Arial" w:hAnsi="Arial" w:cs="Arial"/>
                <w:color w:val="000000"/>
                <w:sz w:val="16"/>
                <w:vertAlign w:val="superscript"/>
              </w:rPr>
            </w:pPr>
          </w:p>
        </w:tc>
        <w:tc>
          <w:tcPr>
            <w:tcW w:w="5400" w:type="dxa"/>
            <w:tcBorders>
              <w:top w:val="nil"/>
              <w:left w:val="nil"/>
              <w:bottom w:val="nil"/>
              <w:right w:val="nil"/>
              <w:tl2br w:val="nil"/>
              <w:tr2bl w:val="nil"/>
            </w:tcBorders>
            <w:shd w:val="clear" w:color="auto" w:fill="FFFFFF"/>
            <w:tcMar>
              <w:left w:w="101" w:type="dxa"/>
              <w:right w:w="101" w:type="dxa"/>
            </w:tcMar>
            <w:vAlign w:val="bottom"/>
          </w:tcPr>
          <w:p w14:paraId="2DA329BE" w14:textId="77777777" w:rsidR="003F0EEA" w:rsidRDefault="00FB7D0B">
            <w:pPr>
              <w:rPr>
                <w:rFonts w:ascii="Arial" w:eastAsia="Arial" w:hAnsi="Arial" w:cs="Arial"/>
                <w:color w:val="000000"/>
                <w:sz w:val="16"/>
                <w:vertAlign w:val="superscript"/>
              </w:rPr>
            </w:pPr>
            <w:r>
              <w:rPr>
                <w:rFonts w:ascii="Arial" w:eastAsia="Arial" w:hAnsi="Arial" w:cs="Arial"/>
                <w:color w:val="000000"/>
                <w:sz w:val="16"/>
              </w:rPr>
              <w:t>Ordinary annual services (Appropriation Bill No. 1)</w:t>
            </w:r>
          </w:p>
        </w:tc>
        <w:tc>
          <w:tcPr>
            <w:tcW w:w="1275" w:type="dxa"/>
            <w:tcBorders>
              <w:top w:val="nil"/>
              <w:left w:val="nil"/>
              <w:bottom w:val="nil"/>
              <w:right w:val="nil"/>
              <w:tl2br w:val="nil"/>
              <w:tr2bl w:val="nil"/>
            </w:tcBorders>
            <w:shd w:val="clear" w:color="auto" w:fill="FFFFFF"/>
            <w:tcMar>
              <w:left w:w="101" w:type="dxa"/>
              <w:right w:w="101" w:type="dxa"/>
            </w:tcMar>
            <w:vAlign w:val="bottom"/>
          </w:tcPr>
          <w:p w14:paraId="6785316B" w14:textId="77777777" w:rsidR="003F0EEA" w:rsidRDefault="00FB7D0B">
            <w:pPr>
              <w:jc w:val="right"/>
              <w:rPr>
                <w:rFonts w:ascii="Arial" w:eastAsia="Arial" w:hAnsi="Arial" w:cs="Arial"/>
                <w:color w:val="000000"/>
                <w:sz w:val="16"/>
                <w:vertAlign w:val="superscript"/>
              </w:rPr>
            </w:pPr>
            <w:r>
              <w:rPr>
                <w:rFonts w:ascii="Arial" w:eastAsia="Arial" w:hAnsi="Arial" w:cs="Arial"/>
                <w:color w:val="000000"/>
                <w:sz w:val="16"/>
              </w:rPr>
              <w:t xml:space="preserve"> - </w:t>
            </w:r>
          </w:p>
        </w:tc>
        <w:tc>
          <w:tcPr>
            <w:tcW w:w="1275" w:type="dxa"/>
            <w:tcBorders>
              <w:top w:val="nil"/>
              <w:left w:val="nil"/>
              <w:bottom w:val="nil"/>
              <w:right w:val="nil"/>
              <w:tl2br w:val="nil"/>
              <w:tr2bl w:val="nil"/>
            </w:tcBorders>
            <w:shd w:val="clear" w:color="auto" w:fill="FFFF00"/>
            <w:tcMar>
              <w:left w:w="101" w:type="dxa"/>
              <w:right w:w="101" w:type="dxa"/>
            </w:tcMar>
            <w:vAlign w:val="bottom"/>
          </w:tcPr>
          <w:p w14:paraId="7BC5B613" w14:textId="77777777" w:rsidR="003F0EEA" w:rsidRDefault="00FB7D0B">
            <w:pPr>
              <w:jc w:val="right"/>
              <w:rPr>
                <w:rFonts w:ascii="Arial" w:eastAsia="Arial" w:hAnsi="Arial" w:cs="Arial"/>
                <w:color w:val="000000"/>
                <w:sz w:val="16"/>
              </w:rPr>
            </w:pPr>
            <w:r>
              <w:rPr>
                <w:rFonts w:ascii="Arial" w:eastAsia="Arial" w:hAnsi="Arial" w:cs="Arial"/>
                <w:color w:val="000000"/>
                <w:sz w:val="16"/>
              </w:rPr>
              <w:t xml:space="preserve"> - </w:t>
            </w:r>
          </w:p>
        </w:tc>
      </w:tr>
      <w:tr w:rsidR="00724034" w14:paraId="1A4405B9" w14:textId="77777777">
        <w:trPr>
          <w:trHeight w:val="225"/>
        </w:trPr>
        <w:tc>
          <w:tcPr>
            <w:tcW w:w="300" w:type="dxa"/>
            <w:tcBorders>
              <w:top w:val="nil"/>
              <w:left w:val="nil"/>
              <w:bottom w:val="nil"/>
              <w:right w:val="nil"/>
              <w:tl2br w:val="nil"/>
              <w:tr2bl w:val="nil"/>
            </w:tcBorders>
            <w:shd w:val="clear" w:color="auto" w:fill="FFFFFF"/>
            <w:tcMar>
              <w:left w:w="101" w:type="dxa"/>
              <w:right w:w="101" w:type="dxa"/>
            </w:tcMar>
            <w:vAlign w:val="bottom"/>
          </w:tcPr>
          <w:p w14:paraId="3AF0098E" w14:textId="77777777" w:rsidR="003F0EEA" w:rsidRDefault="003F0EEA">
            <w:pPr>
              <w:rPr>
                <w:rFonts w:ascii="Arial" w:eastAsia="Arial" w:hAnsi="Arial" w:cs="Arial"/>
                <w:color w:val="000000"/>
                <w:sz w:val="16"/>
              </w:rPr>
            </w:pPr>
          </w:p>
        </w:tc>
        <w:tc>
          <w:tcPr>
            <w:tcW w:w="5400" w:type="dxa"/>
            <w:tcBorders>
              <w:top w:val="nil"/>
              <w:left w:val="nil"/>
              <w:bottom w:val="nil"/>
              <w:right w:val="nil"/>
              <w:tl2br w:val="nil"/>
              <w:tr2bl w:val="nil"/>
            </w:tcBorders>
            <w:shd w:val="clear" w:color="auto" w:fill="FFFFFF"/>
            <w:tcMar>
              <w:left w:w="101" w:type="dxa"/>
              <w:right w:w="101" w:type="dxa"/>
            </w:tcMar>
            <w:vAlign w:val="bottom"/>
          </w:tcPr>
          <w:p w14:paraId="25AB5B56" w14:textId="77777777" w:rsidR="003F0EEA" w:rsidRDefault="00FB7D0B">
            <w:pPr>
              <w:rPr>
                <w:rFonts w:ascii="Arial" w:eastAsia="Arial" w:hAnsi="Arial" w:cs="Arial"/>
                <w:color w:val="000000"/>
                <w:sz w:val="16"/>
              </w:rPr>
            </w:pPr>
            <w:r>
              <w:rPr>
                <w:rFonts w:ascii="Arial" w:eastAsia="Arial" w:hAnsi="Arial" w:cs="Arial"/>
                <w:color w:val="000000"/>
                <w:sz w:val="16"/>
              </w:rPr>
              <w:t>Other services (Appropriation Bill No. 2)</w:t>
            </w:r>
          </w:p>
        </w:tc>
        <w:tc>
          <w:tcPr>
            <w:tcW w:w="1275" w:type="dxa"/>
            <w:tcBorders>
              <w:top w:val="nil"/>
              <w:left w:val="nil"/>
              <w:bottom w:val="nil"/>
              <w:right w:val="nil"/>
              <w:tl2br w:val="nil"/>
              <w:tr2bl w:val="nil"/>
            </w:tcBorders>
            <w:shd w:val="clear" w:color="auto" w:fill="FFFFFF"/>
            <w:tcMar>
              <w:left w:w="101" w:type="dxa"/>
              <w:right w:w="101" w:type="dxa"/>
            </w:tcMar>
            <w:vAlign w:val="bottom"/>
          </w:tcPr>
          <w:p w14:paraId="39DBC869" w14:textId="77777777" w:rsidR="003F0EEA" w:rsidRDefault="00FB7D0B">
            <w:pPr>
              <w:jc w:val="right"/>
              <w:rPr>
                <w:rFonts w:ascii="Arial" w:eastAsia="Arial" w:hAnsi="Arial" w:cs="Arial"/>
                <w:color w:val="000000"/>
                <w:sz w:val="16"/>
                <w:vertAlign w:val="superscript"/>
              </w:rPr>
            </w:pPr>
            <w:r>
              <w:rPr>
                <w:rFonts w:ascii="Arial" w:eastAsia="Arial" w:hAnsi="Arial" w:cs="Arial"/>
                <w:color w:val="000000"/>
                <w:sz w:val="16"/>
              </w:rPr>
              <w:t xml:space="preserve"> - </w:t>
            </w:r>
          </w:p>
        </w:tc>
        <w:tc>
          <w:tcPr>
            <w:tcW w:w="1275" w:type="dxa"/>
            <w:tcBorders>
              <w:top w:val="nil"/>
              <w:left w:val="nil"/>
              <w:bottom w:val="nil"/>
              <w:right w:val="nil"/>
              <w:tl2br w:val="nil"/>
              <w:tr2bl w:val="nil"/>
            </w:tcBorders>
            <w:shd w:val="clear" w:color="auto" w:fill="FFFF00"/>
            <w:tcMar>
              <w:left w:w="101" w:type="dxa"/>
              <w:right w:w="101" w:type="dxa"/>
            </w:tcMar>
            <w:vAlign w:val="bottom"/>
          </w:tcPr>
          <w:p w14:paraId="3FA439A3" w14:textId="77777777" w:rsidR="003F0EEA" w:rsidRDefault="00FB7D0B">
            <w:pPr>
              <w:jc w:val="right"/>
              <w:rPr>
                <w:rFonts w:ascii="Arial" w:eastAsia="Arial" w:hAnsi="Arial" w:cs="Arial"/>
                <w:color w:val="000000"/>
                <w:sz w:val="16"/>
              </w:rPr>
            </w:pPr>
            <w:r>
              <w:rPr>
                <w:rFonts w:ascii="Arial" w:eastAsia="Arial" w:hAnsi="Arial" w:cs="Arial"/>
                <w:color w:val="000000"/>
                <w:sz w:val="16"/>
              </w:rPr>
              <w:t xml:space="preserve"> - </w:t>
            </w:r>
          </w:p>
        </w:tc>
      </w:tr>
      <w:tr w:rsidR="00724034" w14:paraId="76724CE5" w14:textId="77777777">
        <w:trPr>
          <w:trHeight w:val="225"/>
        </w:trPr>
        <w:tc>
          <w:tcPr>
            <w:tcW w:w="300" w:type="dxa"/>
            <w:tcBorders>
              <w:top w:val="nil"/>
              <w:left w:val="nil"/>
              <w:bottom w:val="nil"/>
              <w:right w:val="nil"/>
              <w:tl2br w:val="nil"/>
              <w:tr2bl w:val="nil"/>
            </w:tcBorders>
            <w:shd w:val="clear" w:color="auto" w:fill="FFFFFF"/>
            <w:tcMar>
              <w:left w:w="101" w:type="dxa"/>
              <w:right w:w="101" w:type="dxa"/>
            </w:tcMar>
            <w:vAlign w:val="bottom"/>
          </w:tcPr>
          <w:p w14:paraId="3E9C4613" w14:textId="77777777" w:rsidR="003F0EEA" w:rsidRDefault="003F0EEA">
            <w:pPr>
              <w:rPr>
                <w:rFonts w:ascii="Arial" w:eastAsia="Arial" w:hAnsi="Arial" w:cs="Arial"/>
                <w:color w:val="000000"/>
                <w:sz w:val="16"/>
              </w:rPr>
            </w:pPr>
          </w:p>
        </w:tc>
        <w:tc>
          <w:tcPr>
            <w:tcW w:w="5400" w:type="dxa"/>
            <w:tcBorders>
              <w:top w:val="nil"/>
              <w:left w:val="nil"/>
              <w:bottom w:val="nil"/>
              <w:right w:val="nil"/>
              <w:tl2br w:val="nil"/>
              <w:tr2bl w:val="nil"/>
            </w:tcBorders>
            <w:shd w:val="clear" w:color="auto" w:fill="FFFFFF"/>
            <w:tcMar>
              <w:left w:w="101" w:type="dxa"/>
              <w:right w:w="101" w:type="dxa"/>
            </w:tcMar>
            <w:vAlign w:val="bottom"/>
          </w:tcPr>
          <w:p w14:paraId="0C3925C4" w14:textId="77777777" w:rsidR="003F0EEA" w:rsidRDefault="00FB7D0B">
            <w:pPr>
              <w:rPr>
                <w:rFonts w:ascii="Arial" w:eastAsia="Arial" w:hAnsi="Arial" w:cs="Arial"/>
                <w:color w:val="000000"/>
                <w:sz w:val="16"/>
              </w:rPr>
            </w:pPr>
            <w:r>
              <w:rPr>
                <w:rFonts w:ascii="Arial" w:eastAsia="Arial" w:hAnsi="Arial" w:cs="Arial"/>
                <w:color w:val="000000"/>
                <w:sz w:val="16"/>
              </w:rPr>
              <w:t>Special Appropriations</w:t>
            </w:r>
          </w:p>
        </w:tc>
        <w:tc>
          <w:tcPr>
            <w:tcW w:w="1275" w:type="dxa"/>
            <w:tcBorders>
              <w:top w:val="nil"/>
              <w:left w:val="nil"/>
              <w:bottom w:val="nil"/>
              <w:right w:val="nil"/>
              <w:tl2br w:val="nil"/>
              <w:tr2bl w:val="nil"/>
            </w:tcBorders>
            <w:shd w:val="clear" w:color="auto" w:fill="FFFFFF"/>
            <w:tcMar>
              <w:left w:w="101" w:type="dxa"/>
              <w:right w:w="101" w:type="dxa"/>
            </w:tcMar>
            <w:vAlign w:val="bottom"/>
          </w:tcPr>
          <w:p w14:paraId="076A8209" w14:textId="77777777" w:rsidR="003F0EEA" w:rsidRDefault="00FB7D0B">
            <w:pPr>
              <w:jc w:val="right"/>
              <w:rPr>
                <w:rFonts w:ascii="Arial" w:eastAsia="Arial" w:hAnsi="Arial" w:cs="Arial"/>
                <w:color w:val="000000"/>
                <w:sz w:val="16"/>
                <w:vertAlign w:val="superscript"/>
              </w:rPr>
            </w:pPr>
            <w:r>
              <w:rPr>
                <w:rFonts w:ascii="Arial" w:eastAsia="Arial" w:hAnsi="Arial" w:cs="Arial"/>
                <w:color w:val="000000"/>
                <w:sz w:val="16"/>
              </w:rPr>
              <w:t xml:space="preserve"> 2,784,598 </w:t>
            </w:r>
          </w:p>
        </w:tc>
        <w:tc>
          <w:tcPr>
            <w:tcW w:w="1275" w:type="dxa"/>
            <w:tcBorders>
              <w:top w:val="nil"/>
              <w:left w:val="nil"/>
              <w:bottom w:val="nil"/>
              <w:right w:val="nil"/>
              <w:tl2br w:val="nil"/>
              <w:tr2bl w:val="nil"/>
            </w:tcBorders>
            <w:shd w:val="clear" w:color="auto" w:fill="FFFF00"/>
            <w:tcMar>
              <w:left w:w="101" w:type="dxa"/>
              <w:right w:w="101" w:type="dxa"/>
            </w:tcMar>
            <w:vAlign w:val="bottom"/>
          </w:tcPr>
          <w:p w14:paraId="1C0B3EBB" w14:textId="77777777" w:rsidR="003F0EEA" w:rsidRDefault="00FB7D0B">
            <w:pPr>
              <w:jc w:val="right"/>
              <w:rPr>
                <w:rFonts w:ascii="Arial" w:eastAsia="Arial" w:hAnsi="Arial" w:cs="Arial"/>
                <w:color w:val="000000"/>
                <w:sz w:val="16"/>
              </w:rPr>
            </w:pPr>
            <w:r>
              <w:rPr>
                <w:rFonts w:ascii="Arial" w:eastAsia="Arial" w:hAnsi="Arial" w:cs="Arial"/>
                <w:color w:val="000000"/>
                <w:sz w:val="16"/>
              </w:rPr>
              <w:t xml:space="preserve"> 2,709,533 </w:t>
            </w:r>
          </w:p>
        </w:tc>
      </w:tr>
      <w:tr w:rsidR="00724034" w14:paraId="1C8F70C7" w14:textId="77777777">
        <w:trPr>
          <w:trHeight w:val="225"/>
        </w:trPr>
        <w:tc>
          <w:tcPr>
            <w:tcW w:w="300" w:type="dxa"/>
            <w:tcBorders>
              <w:top w:val="nil"/>
              <w:left w:val="nil"/>
              <w:bottom w:val="nil"/>
              <w:right w:val="nil"/>
              <w:tl2br w:val="nil"/>
              <w:tr2bl w:val="nil"/>
            </w:tcBorders>
            <w:shd w:val="clear" w:color="auto" w:fill="FFFFFF"/>
            <w:tcMar>
              <w:left w:w="101" w:type="dxa"/>
              <w:right w:w="101" w:type="dxa"/>
            </w:tcMar>
            <w:vAlign w:val="bottom"/>
          </w:tcPr>
          <w:p w14:paraId="19FCD98A" w14:textId="77777777" w:rsidR="003F0EEA" w:rsidRDefault="003F0EEA">
            <w:pPr>
              <w:rPr>
                <w:rFonts w:ascii="Arial" w:eastAsia="Arial" w:hAnsi="Arial" w:cs="Arial"/>
                <w:color w:val="000000"/>
                <w:sz w:val="16"/>
              </w:rPr>
            </w:pPr>
          </w:p>
        </w:tc>
        <w:tc>
          <w:tcPr>
            <w:tcW w:w="5400" w:type="dxa"/>
            <w:tcBorders>
              <w:top w:val="nil"/>
              <w:left w:val="nil"/>
              <w:bottom w:val="nil"/>
              <w:right w:val="nil"/>
              <w:tl2br w:val="nil"/>
              <w:tr2bl w:val="nil"/>
            </w:tcBorders>
            <w:shd w:val="clear" w:color="auto" w:fill="FFFFFF"/>
            <w:tcMar>
              <w:left w:w="101" w:type="dxa"/>
              <w:right w:w="101" w:type="dxa"/>
            </w:tcMar>
            <w:vAlign w:val="bottom"/>
          </w:tcPr>
          <w:p w14:paraId="14324FCA" w14:textId="77777777" w:rsidR="003F0EEA" w:rsidRDefault="00FB7D0B">
            <w:pPr>
              <w:rPr>
                <w:rFonts w:ascii="Arial" w:eastAsia="Arial" w:hAnsi="Arial" w:cs="Arial"/>
                <w:color w:val="000000"/>
                <w:sz w:val="16"/>
              </w:rPr>
            </w:pPr>
            <w:r>
              <w:rPr>
                <w:rFonts w:ascii="Arial" w:eastAsia="Arial" w:hAnsi="Arial" w:cs="Arial"/>
                <w:color w:val="000000"/>
                <w:sz w:val="16"/>
              </w:rPr>
              <w:t>Special Accounts</w:t>
            </w:r>
          </w:p>
        </w:tc>
        <w:tc>
          <w:tcPr>
            <w:tcW w:w="1275" w:type="dxa"/>
            <w:tcBorders>
              <w:top w:val="nil"/>
              <w:left w:val="nil"/>
              <w:bottom w:val="nil"/>
              <w:right w:val="nil"/>
              <w:tl2br w:val="nil"/>
              <w:tr2bl w:val="nil"/>
            </w:tcBorders>
            <w:shd w:val="clear" w:color="auto" w:fill="FFFFFF"/>
            <w:tcMar>
              <w:left w:w="101" w:type="dxa"/>
              <w:right w:w="101" w:type="dxa"/>
            </w:tcMar>
            <w:vAlign w:val="bottom"/>
          </w:tcPr>
          <w:p w14:paraId="692BA4E3" w14:textId="77777777" w:rsidR="003F0EEA" w:rsidRDefault="00FB7D0B">
            <w:pPr>
              <w:jc w:val="right"/>
              <w:rPr>
                <w:rFonts w:ascii="Arial" w:eastAsia="Arial" w:hAnsi="Arial" w:cs="Arial"/>
                <w:color w:val="000000"/>
                <w:sz w:val="16"/>
                <w:vertAlign w:val="superscript"/>
              </w:rPr>
            </w:pPr>
            <w:r>
              <w:rPr>
                <w:rFonts w:ascii="Arial" w:eastAsia="Arial" w:hAnsi="Arial" w:cs="Arial"/>
                <w:color w:val="000000"/>
                <w:sz w:val="16"/>
              </w:rPr>
              <w:t xml:space="preserve"> - </w:t>
            </w:r>
          </w:p>
        </w:tc>
        <w:tc>
          <w:tcPr>
            <w:tcW w:w="1275" w:type="dxa"/>
            <w:tcBorders>
              <w:top w:val="nil"/>
              <w:left w:val="nil"/>
              <w:bottom w:val="nil"/>
              <w:right w:val="nil"/>
              <w:tl2br w:val="nil"/>
              <w:tr2bl w:val="nil"/>
            </w:tcBorders>
            <w:shd w:val="clear" w:color="auto" w:fill="FFFF00"/>
            <w:tcMar>
              <w:left w:w="101" w:type="dxa"/>
              <w:right w:w="101" w:type="dxa"/>
            </w:tcMar>
            <w:vAlign w:val="bottom"/>
          </w:tcPr>
          <w:p w14:paraId="4A61949F" w14:textId="77777777" w:rsidR="003F0EEA" w:rsidRDefault="00FB7D0B">
            <w:pPr>
              <w:jc w:val="right"/>
              <w:rPr>
                <w:rFonts w:ascii="Arial" w:eastAsia="Arial" w:hAnsi="Arial" w:cs="Arial"/>
                <w:color w:val="000000"/>
                <w:sz w:val="16"/>
              </w:rPr>
            </w:pPr>
            <w:r>
              <w:rPr>
                <w:rFonts w:ascii="Arial" w:eastAsia="Arial" w:hAnsi="Arial" w:cs="Arial"/>
                <w:color w:val="000000"/>
                <w:sz w:val="16"/>
              </w:rPr>
              <w:t xml:space="preserve"> - </w:t>
            </w:r>
          </w:p>
        </w:tc>
      </w:tr>
      <w:tr w:rsidR="00FB7D0B" w14:paraId="4F7BC25D" w14:textId="77777777" w:rsidTr="00FB7D0B">
        <w:trPr>
          <w:trHeight w:val="225"/>
        </w:trPr>
        <w:tc>
          <w:tcPr>
            <w:tcW w:w="5700" w:type="dxa"/>
            <w:gridSpan w:val="2"/>
            <w:tcBorders>
              <w:top w:val="nil"/>
              <w:left w:val="nil"/>
              <w:bottom w:val="nil"/>
              <w:right w:val="nil"/>
              <w:tl2br w:val="nil"/>
              <w:tr2bl w:val="nil"/>
            </w:tcBorders>
            <w:shd w:val="clear" w:color="auto" w:fill="FFFFFF"/>
            <w:tcMar>
              <w:left w:w="101" w:type="dxa"/>
              <w:right w:w="101" w:type="dxa"/>
            </w:tcMar>
            <w:vAlign w:val="bottom"/>
          </w:tcPr>
          <w:p w14:paraId="45E6540A" w14:textId="77777777" w:rsidR="003F0EEA" w:rsidRDefault="00FB7D0B">
            <w:pPr>
              <w:rPr>
                <w:rFonts w:ascii="Arial" w:eastAsia="Arial" w:hAnsi="Arial" w:cs="Arial"/>
                <w:color w:val="000000"/>
                <w:sz w:val="16"/>
              </w:rPr>
            </w:pPr>
            <w:r>
              <w:rPr>
                <w:rFonts w:ascii="Arial" w:eastAsia="Arial" w:hAnsi="Arial" w:cs="Arial"/>
                <w:color w:val="000000"/>
                <w:sz w:val="16"/>
              </w:rPr>
              <w:t>Departmental Expenses</w:t>
            </w:r>
          </w:p>
        </w:tc>
        <w:tc>
          <w:tcPr>
            <w:tcW w:w="1275" w:type="dxa"/>
            <w:tcBorders>
              <w:top w:val="nil"/>
              <w:left w:val="nil"/>
              <w:bottom w:val="nil"/>
              <w:right w:val="nil"/>
              <w:tl2br w:val="nil"/>
              <w:tr2bl w:val="nil"/>
            </w:tcBorders>
            <w:shd w:val="clear" w:color="auto" w:fill="FFFFFF"/>
            <w:tcMar>
              <w:left w:w="101" w:type="dxa"/>
              <w:right w:w="101" w:type="dxa"/>
            </w:tcMar>
            <w:vAlign w:val="bottom"/>
          </w:tcPr>
          <w:p w14:paraId="3032E3FE" w14:textId="77777777" w:rsidR="003F0EEA" w:rsidRDefault="003F0EEA">
            <w:pPr>
              <w:jc w:val="right"/>
              <w:rPr>
                <w:rFonts w:ascii="Arial" w:eastAsia="Arial" w:hAnsi="Arial" w:cs="Arial"/>
                <w:color w:val="000000"/>
                <w:sz w:val="12"/>
                <w:vertAlign w:val="superscript"/>
              </w:rPr>
            </w:pPr>
          </w:p>
        </w:tc>
        <w:tc>
          <w:tcPr>
            <w:tcW w:w="1275" w:type="dxa"/>
            <w:tcBorders>
              <w:top w:val="nil"/>
              <w:left w:val="nil"/>
              <w:bottom w:val="nil"/>
              <w:right w:val="nil"/>
              <w:tl2br w:val="nil"/>
              <w:tr2bl w:val="nil"/>
            </w:tcBorders>
            <w:shd w:val="clear" w:color="auto" w:fill="FFFF00"/>
            <w:tcMar>
              <w:left w:w="101" w:type="dxa"/>
              <w:right w:w="101" w:type="dxa"/>
            </w:tcMar>
            <w:vAlign w:val="bottom"/>
          </w:tcPr>
          <w:p w14:paraId="2B615161" w14:textId="77777777" w:rsidR="003F0EEA" w:rsidRDefault="003F0EEA">
            <w:pPr>
              <w:jc w:val="right"/>
              <w:rPr>
                <w:rFonts w:ascii="Arial" w:eastAsia="Arial" w:hAnsi="Arial" w:cs="Arial"/>
                <w:color w:val="000000"/>
                <w:sz w:val="16"/>
                <w:vertAlign w:val="superscript"/>
              </w:rPr>
            </w:pPr>
          </w:p>
        </w:tc>
      </w:tr>
      <w:tr w:rsidR="00724034" w14:paraId="204B5384" w14:textId="77777777">
        <w:trPr>
          <w:trHeight w:val="225"/>
        </w:trPr>
        <w:tc>
          <w:tcPr>
            <w:tcW w:w="300" w:type="dxa"/>
            <w:tcBorders>
              <w:top w:val="nil"/>
              <w:left w:val="nil"/>
              <w:bottom w:val="nil"/>
              <w:right w:val="nil"/>
              <w:tl2br w:val="nil"/>
              <w:tr2bl w:val="nil"/>
            </w:tcBorders>
            <w:shd w:val="clear" w:color="auto" w:fill="FFFFFF"/>
            <w:tcMar>
              <w:left w:w="101" w:type="dxa"/>
              <w:right w:w="101" w:type="dxa"/>
            </w:tcMar>
            <w:vAlign w:val="bottom"/>
          </w:tcPr>
          <w:p w14:paraId="59DC589A" w14:textId="77777777" w:rsidR="003F0EEA" w:rsidRDefault="003F0EEA">
            <w:pPr>
              <w:rPr>
                <w:rFonts w:ascii="Arial" w:eastAsia="Arial" w:hAnsi="Arial" w:cs="Arial"/>
                <w:color w:val="000000"/>
                <w:sz w:val="16"/>
                <w:vertAlign w:val="superscript"/>
              </w:rPr>
            </w:pPr>
          </w:p>
        </w:tc>
        <w:tc>
          <w:tcPr>
            <w:tcW w:w="5400" w:type="dxa"/>
            <w:tcBorders>
              <w:top w:val="nil"/>
              <w:left w:val="nil"/>
              <w:bottom w:val="nil"/>
              <w:right w:val="nil"/>
              <w:tl2br w:val="nil"/>
              <w:tr2bl w:val="nil"/>
            </w:tcBorders>
            <w:shd w:val="clear" w:color="auto" w:fill="FFFFFF"/>
            <w:tcMar>
              <w:left w:w="101" w:type="dxa"/>
              <w:right w:w="101" w:type="dxa"/>
            </w:tcMar>
            <w:vAlign w:val="bottom"/>
          </w:tcPr>
          <w:p w14:paraId="753FFE95" w14:textId="77777777" w:rsidR="003F0EEA" w:rsidRDefault="00FB7D0B">
            <w:pPr>
              <w:rPr>
                <w:rFonts w:ascii="Arial" w:eastAsia="Arial" w:hAnsi="Arial" w:cs="Arial"/>
                <w:color w:val="000000"/>
                <w:sz w:val="16"/>
                <w:vertAlign w:val="superscript"/>
              </w:rPr>
            </w:pPr>
            <w:r>
              <w:rPr>
                <w:rFonts w:ascii="Arial" w:eastAsia="Arial" w:hAnsi="Arial" w:cs="Arial"/>
                <w:color w:val="000000"/>
                <w:sz w:val="16"/>
              </w:rPr>
              <w:t>Departmental appropriation</w:t>
            </w:r>
            <w:r>
              <w:rPr>
                <w:rFonts w:ascii="Arial" w:eastAsia="Arial" w:hAnsi="Arial" w:cs="Arial"/>
                <w:color w:val="000000"/>
                <w:sz w:val="12"/>
                <w:vertAlign w:val="superscript"/>
              </w:rPr>
              <w:t>1 </w:t>
            </w:r>
          </w:p>
        </w:tc>
        <w:tc>
          <w:tcPr>
            <w:tcW w:w="1275" w:type="dxa"/>
            <w:tcBorders>
              <w:top w:val="nil"/>
              <w:left w:val="nil"/>
              <w:bottom w:val="nil"/>
              <w:right w:val="nil"/>
              <w:tl2br w:val="nil"/>
              <w:tr2bl w:val="nil"/>
            </w:tcBorders>
            <w:shd w:val="clear" w:color="auto" w:fill="FFFFFF"/>
            <w:tcMar>
              <w:left w:w="101" w:type="dxa"/>
              <w:right w:w="101" w:type="dxa"/>
            </w:tcMar>
            <w:vAlign w:val="bottom"/>
          </w:tcPr>
          <w:p w14:paraId="331696E3" w14:textId="77777777" w:rsidR="003F0EEA" w:rsidRDefault="00FB7D0B">
            <w:pPr>
              <w:jc w:val="right"/>
              <w:rPr>
                <w:rFonts w:ascii="Arial" w:eastAsia="Arial" w:hAnsi="Arial" w:cs="Arial"/>
                <w:color w:val="000000"/>
                <w:sz w:val="12"/>
                <w:vertAlign w:val="superscript"/>
              </w:rPr>
            </w:pPr>
            <w:r>
              <w:rPr>
                <w:rFonts w:ascii="Arial" w:eastAsia="Arial" w:hAnsi="Arial" w:cs="Arial"/>
                <w:color w:val="000000"/>
                <w:sz w:val="16"/>
              </w:rPr>
              <w:t xml:space="preserve"> 48,313 </w:t>
            </w:r>
          </w:p>
        </w:tc>
        <w:tc>
          <w:tcPr>
            <w:tcW w:w="1275" w:type="dxa"/>
            <w:tcBorders>
              <w:top w:val="nil"/>
              <w:left w:val="nil"/>
              <w:bottom w:val="nil"/>
              <w:right w:val="nil"/>
              <w:tl2br w:val="nil"/>
              <w:tr2bl w:val="nil"/>
            </w:tcBorders>
            <w:shd w:val="clear" w:color="auto" w:fill="FFFF00"/>
            <w:tcMar>
              <w:left w:w="101" w:type="dxa"/>
              <w:right w:w="101" w:type="dxa"/>
            </w:tcMar>
            <w:vAlign w:val="bottom"/>
          </w:tcPr>
          <w:p w14:paraId="04A74694" w14:textId="77777777" w:rsidR="003F0EEA" w:rsidRDefault="00FB7D0B">
            <w:pPr>
              <w:jc w:val="right"/>
              <w:rPr>
                <w:rFonts w:ascii="Arial" w:eastAsia="Arial" w:hAnsi="Arial" w:cs="Arial"/>
                <w:color w:val="000000"/>
                <w:sz w:val="16"/>
              </w:rPr>
            </w:pPr>
            <w:r>
              <w:rPr>
                <w:rFonts w:ascii="Arial" w:eastAsia="Arial" w:hAnsi="Arial" w:cs="Arial"/>
                <w:color w:val="000000"/>
                <w:sz w:val="16"/>
              </w:rPr>
              <w:t xml:space="preserve"> 47,212 </w:t>
            </w:r>
          </w:p>
        </w:tc>
      </w:tr>
      <w:tr w:rsidR="00724034" w14:paraId="4A2EBF12" w14:textId="77777777">
        <w:trPr>
          <w:trHeight w:val="225"/>
        </w:trPr>
        <w:tc>
          <w:tcPr>
            <w:tcW w:w="300" w:type="dxa"/>
            <w:tcBorders>
              <w:top w:val="nil"/>
              <w:left w:val="nil"/>
              <w:bottom w:val="nil"/>
              <w:right w:val="nil"/>
              <w:tl2br w:val="nil"/>
              <w:tr2bl w:val="nil"/>
            </w:tcBorders>
            <w:shd w:val="clear" w:color="auto" w:fill="FFFFFF"/>
            <w:tcMar>
              <w:left w:w="101" w:type="dxa"/>
              <w:right w:w="101" w:type="dxa"/>
            </w:tcMar>
            <w:vAlign w:val="bottom"/>
          </w:tcPr>
          <w:p w14:paraId="04CFA7D4" w14:textId="77777777" w:rsidR="003F0EEA" w:rsidRDefault="003F0EEA">
            <w:pPr>
              <w:rPr>
                <w:rFonts w:ascii="Arial" w:eastAsia="Arial" w:hAnsi="Arial" w:cs="Arial"/>
                <w:color w:val="000000"/>
                <w:sz w:val="16"/>
              </w:rPr>
            </w:pPr>
          </w:p>
        </w:tc>
        <w:tc>
          <w:tcPr>
            <w:tcW w:w="5400" w:type="dxa"/>
            <w:tcBorders>
              <w:top w:val="nil"/>
              <w:left w:val="nil"/>
              <w:bottom w:val="nil"/>
              <w:right w:val="nil"/>
              <w:tl2br w:val="nil"/>
              <w:tr2bl w:val="nil"/>
            </w:tcBorders>
            <w:shd w:val="clear" w:color="auto" w:fill="FFFFFF"/>
            <w:tcMar>
              <w:left w:w="101" w:type="dxa"/>
              <w:right w:w="101" w:type="dxa"/>
            </w:tcMar>
            <w:vAlign w:val="bottom"/>
          </w:tcPr>
          <w:p w14:paraId="2D661E53" w14:textId="77777777" w:rsidR="003F0EEA" w:rsidRDefault="00FB7D0B">
            <w:pPr>
              <w:rPr>
                <w:rFonts w:ascii="Arial" w:eastAsia="Arial" w:hAnsi="Arial" w:cs="Arial"/>
                <w:color w:val="000000"/>
                <w:sz w:val="20"/>
              </w:rPr>
            </w:pPr>
            <w:r>
              <w:rPr>
                <w:rFonts w:ascii="Arial" w:eastAsia="Arial" w:hAnsi="Arial" w:cs="Arial"/>
                <w:color w:val="000000"/>
                <w:sz w:val="16"/>
              </w:rPr>
              <w:t>Expenses not requiring appropriation in the Budget year</w:t>
            </w:r>
            <w:r>
              <w:rPr>
                <w:rFonts w:ascii="Arial" w:eastAsia="Arial" w:hAnsi="Arial" w:cs="Arial"/>
                <w:color w:val="000000"/>
                <w:sz w:val="12"/>
                <w:vertAlign w:val="superscript"/>
              </w:rPr>
              <w:t>2 </w:t>
            </w:r>
          </w:p>
        </w:tc>
        <w:tc>
          <w:tcPr>
            <w:tcW w:w="1275"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41A6135E" w14:textId="77777777" w:rsidR="003F0EEA" w:rsidRDefault="00FB7D0B">
            <w:pPr>
              <w:jc w:val="right"/>
              <w:rPr>
                <w:rFonts w:ascii="Arial" w:eastAsia="Arial" w:hAnsi="Arial" w:cs="Arial"/>
                <w:color w:val="000000"/>
                <w:sz w:val="12"/>
                <w:vertAlign w:val="superscript"/>
              </w:rPr>
            </w:pPr>
            <w:r>
              <w:rPr>
                <w:rFonts w:ascii="Arial" w:eastAsia="Arial" w:hAnsi="Arial" w:cs="Arial"/>
                <w:color w:val="000000"/>
                <w:sz w:val="16"/>
              </w:rPr>
              <w:t xml:space="preserve"> 4,950 </w:t>
            </w:r>
          </w:p>
        </w:tc>
        <w:tc>
          <w:tcPr>
            <w:tcW w:w="1275" w:type="dxa"/>
            <w:tcBorders>
              <w:top w:val="nil"/>
              <w:left w:val="nil"/>
              <w:bottom w:val="single" w:sz="6" w:space="0" w:color="000000"/>
              <w:right w:val="nil"/>
              <w:tl2br w:val="nil"/>
              <w:tr2bl w:val="nil"/>
            </w:tcBorders>
            <w:shd w:val="clear" w:color="auto" w:fill="FFFF00"/>
            <w:tcMar>
              <w:left w:w="101" w:type="dxa"/>
              <w:right w:w="101" w:type="dxa"/>
            </w:tcMar>
            <w:vAlign w:val="bottom"/>
          </w:tcPr>
          <w:p w14:paraId="1B41E65A" w14:textId="77777777" w:rsidR="003F0EEA" w:rsidRDefault="00FB7D0B">
            <w:pPr>
              <w:jc w:val="right"/>
              <w:rPr>
                <w:rFonts w:ascii="Arial" w:eastAsia="Arial" w:hAnsi="Arial" w:cs="Arial"/>
                <w:color w:val="000000"/>
                <w:sz w:val="16"/>
              </w:rPr>
            </w:pPr>
            <w:r>
              <w:rPr>
                <w:rFonts w:ascii="Arial" w:eastAsia="Arial" w:hAnsi="Arial" w:cs="Arial"/>
                <w:color w:val="000000"/>
                <w:sz w:val="16"/>
              </w:rPr>
              <w:t xml:space="preserve"> 5,561 </w:t>
            </w:r>
          </w:p>
        </w:tc>
      </w:tr>
      <w:tr w:rsidR="00724034" w14:paraId="1F43EBF9" w14:textId="77777777">
        <w:trPr>
          <w:trHeight w:val="225"/>
        </w:trPr>
        <w:tc>
          <w:tcPr>
            <w:tcW w:w="300" w:type="dxa"/>
            <w:tcBorders>
              <w:top w:val="nil"/>
              <w:left w:val="nil"/>
              <w:bottom w:val="nil"/>
              <w:right w:val="nil"/>
              <w:tl2br w:val="nil"/>
              <w:tr2bl w:val="nil"/>
            </w:tcBorders>
            <w:shd w:val="clear" w:color="auto" w:fill="FFFFFF"/>
            <w:tcMar>
              <w:left w:w="101" w:type="dxa"/>
              <w:right w:w="101" w:type="dxa"/>
            </w:tcMar>
            <w:vAlign w:val="bottom"/>
          </w:tcPr>
          <w:p w14:paraId="7E64EE1A" w14:textId="77777777" w:rsidR="003F0EEA" w:rsidRDefault="003F0EEA">
            <w:pPr>
              <w:rPr>
                <w:rFonts w:ascii="Arial" w:eastAsia="Arial" w:hAnsi="Arial" w:cs="Arial"/>
                <w:color w:val="000000"/>
                <w:sz w:val="16"/>
              </w:rPr>
            </w:pPr>
          </w:p>
        </w:tc>
        <w:tc>
          <w:tcPr>
            <w:tcW w:w="5400" w:type="dxa"/>
            <w:tcBorders>
              <w:top w:val="nil"/>
              <w:left w:val="nil"/>
              <w:bottom w:val="nil"/>
              <w:right w:val="nil"/>
              <w:tl2br w:val="nil"/>
              <w:tr2bl w:val="nil"/>
            </w:tcBorders>
            <w:shd w:val="clear" w:color="auto" w:fill="FFFFFF"/>
            <w:tcMar>
              <w:left w:w="101" w:type="dxa"/>
              <w:right w:w="101" w:type="dxa"/>
            </w:tcMar>
            <w:vAlign w:val="bottom"/>
          </w:tcPr>
          <w:p w14:paraId="010F501D" w14:textId="77777777" w:rsidR="003F0EEA" w:rsidRDefault="00FB7D0B">
            <w:pPr>
              <w:rPr>
                <w:rFonts w:ascii="Arial" w:eastAsia="Arial" w:hAnsi="Arial" w:cs="Arial"/>
                <w:color w:val="000000"/>
                <w:sz w:val="16"/>
              </w:rPr>
            </w:pPr>
            <w:r>
              <w:rPr>
                <w:rFonts w:ascii="Arial" w:eastAsia="Arial" w:hAnsi="Arial" w:cs="Arial"/>
                <w:b/>
                <w:color w:val="000000"/>
                <w:sz w:val="16"/>
              </w:rPr>
              <w:t>Total for Programme 1.1</w:t>
            </w:r>
          </w:p>
        </w:tc>
        <w:tc>
          <w:tcPr>
            <w:tcW w:w="1275"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438114F8" w14:textId="77777777" w:rsidR="003F0EEA" w:rsidRDefault="00FB7D0B">
            <w:pPr>
              <w:jc w:val="right"/>
              <w:rPr>
                <w:rFonts w:ascii="Arial" w:eastAsia="Arial" w:hAnsi="Arial" w:cs="Arial"/>
                <w:color w:val="000000"/>
                <w:sz w:val="12"/>
                <w:vertAlign w:val="superscript"/>
              </w:rPr>
            </w:pPr>
            <w:r>
              <w:rPr>
                <w:rFonts w:ascii="Arial" w:eastAsia="Arial" w:hAnsi="Arial" w:cs="Arial"/>
                <w:b/>
                <w:color w:val="000000"/>
                <w:sz w:val="16"/>
              </w:rPr>
              <w:t xml:space="preserve"> 2,837,861 </w:t>
            </w:r>
          </w:p>
        </w:tc>
        <w:tc>
          <w:tcPr>
            <w:tcW w:w="1275" w:type="dxa"/>
            <w:tcBorders>
              <w:top w:val="single" w:sz="6" w:space="0" w:color="000000"/>
              <w:left w:val="nil"/>
              <w:bottom w:val="single" w:sz="6" w:space="0" w:color="000000"/>
              <w:right w:val="nil"/>
              <w:tl2br w:val="nil"/>
              <w:tr2bl w:val="nil"/>
            </w:tcBorders>
            <w:shd w:val="clear" w:color="auto" w:fill="FFFF00"/>
            <w:tcMar>
              <w:left w:w="101" w:type="dxa"/>
              <w:right w:w="101" w:type="dxa"/>
            </w:tcMar>
            <w:vAlign w:val="bottom"/>
          </w:tcPr>
          <w:p w14:paraId="4A0E3CEB" w14:textId="77777777" w:rsidR="003F0EEA" w:rsidRDefault="00FB7D0B">
            <w:pPr>
              <w:jc w:val="right"/>
              <w:rPr>
                <w:rFonts w:ascii="Arial" w:eastAsia="Arial" w:hAnsi="Arial" w:cs="Arial"/>
                <w:b/>
                <w:color w:val="000000"/>
                <w:sz w:val="16"/>
              </w:rPr>
            </w:pPr>
            <w:r>
              <w:rPr>
                <w:rFonts w:ascii="Arial" w:eastAsia="Arial" w:hAnsi="Arial" w:cs="Arial"/>
                <w:b/>
                <w:color w:val="000000"/>
                <w:sz w:val="16"/>
              </w:rPr>
              <w:t xml:space="preserve"> 2,762,306 </w:t>
            </w:r>
          </w:p>
        </w:tc>
      </w:tr>
      <w:tr w:rsidR="00724034" w14:paraId="6D0BC46F" w14:textId="77777777">
        <w:trPr>
          <w:trHeight w:val="225"/>
        </w:trPr>
        <w:tc>
          <w:tcPr>
            <w:tcW w:w="300" w:type="dxa"/>
            <w:tcBorders>
              <w:top w:val="nil"/>
              <w:left w:val="nil"/>
              <w:bottom w:val="nil"/>
              <w:right w:val="nil"/>
              <w:tl2br w:val="nil"/>
              <w:tr2bl w:val="nil"/>
            </w:tcBorders>
            <w:shd w:val="clear" w:color="auto" w:fill="FFFFFF"/>
            <w:tcMar>
              <w:left w:w="101" w:type="dxa"/>
              <w:right w:w="101" w:type="dxa"/>
            </w:tcMar>
            <w:vAlign w:val="bottom"/>
          </w:tcPr>
          <w:p w14:paraId="0BC078D1" w14:textId="77777777" w:rsidR="003F0EEA" w:rsidRDefault="003F0EEA">
            <w:pPr>
              <w:rPr>
                <w:rFonts w:ascii="Arial" w:eastAsia="Arial" w:hAnsi="Arial" w:cs="Arial"/>
                <w:b/>
                <w:color w:val="000000"/>
                <w:sz w:val="16"/>
              </w:rPr>
            </w:pPr>
          </w:p>
        </w:tc>
        <w:tc>
          <w:tcPr>
            <w:tcW w:w="5400" w:type="dxa"/>
            <w:tcBorders>
              <w:top w:val="nil"/>
              <w:left w:val="nil"/>
              <w:bottom w:val="nil"/>
              <w:right w:val="nil"/>
              <w:tl2br w:val="nil"/>
              <w:tr2bl w:val="nil"/>
            </w:tcBorders>
            <w:shd w:val="clear" w:color="auto" w:fill="FFFFFF"/>
            <w:tcMar>
              <w:left w:w="101" w:type="dxa"/>
              <w:right w:w="101" w:type="dxa"/>
            </w:tcMar>
            <w:vAlign w:val="bottom"/>
          </w:tcPr>
          <w:p w14:paraId="71E796BB" w14:textId="77777777" w:rsidR="003F0EEA" w:rsidRDefault="003F0EEA">
            <w:pPr>
              <w:rPr>
                <w:rFonts w:ascii="Arial" w:eastAsia="Arial" w:hAnsi="Arial" w:cs="Arial"/>
                <w:color w:val="000000"/>
                <w:sz w:val="16"/>
              </w:rPr>
            </w:pPr>
          </w:p>
        </w:tc>
        <w:tc>
          <w:tcPr>
            <w:tcW w:w="127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5C8E7599" w14:textId="77777777" w:rsidR="003F0EEA" w:rsidRDefault="003F0EEA">
            <w:pPr>
              <w:jc w:val="right"/>
              <w:rPr>
                <w:rFonts w:ascii="Arial" w:eastAsia="Arial" w:hAnsi="Arial" w:cs="Arial"/>
                <w:color w:val="000000"/>
                <w:sz w:val="12"/>
                <w:vertAlign w:val="superscript"/>
              </w:rPr>
            </w:pPr>
          </w:p>
        </w:tc>
        <w:tc>
          <w:tcPr>
            <w:tcW w:w="1275" w:type="dxa"/>
            <w:tcBorders>
              <w:top w:val="single" w:sz="6" w:space="0" w:color="000000"/>
              <w:left w:val="nil"/>
              <w:bottom w:val="nil"/>
              <w:right w:val="nil"/>
              <w:tl2br w:val="nil"/>
              <w:tr2bl w:val="nil"/>
            </w:tcBorders>
            <w:shd w:val="clear" w:color="auto" w:fill="FFFF00"/>
            <w:tcMar>
              <w:left w:w="101" w:type="dxa"/>
              <w:right w:w="101" w:type="dxa"/>
            </w:tcMar>
            <w:vAlign w:val="bottom"/>
          </w:tcPr>
          <w:p w14:paraId="60425D8D" w14:textId="77777777" w:rsidR="003F0EEA" w:rsidRDefault="003F0EEA">
            <w:pPr>
              <w:jc w:val="right"/>
              <w:rPr>
                <w:rFonts w:ascii="Arial" w:eastAsia="Arial" w:hAnsi="Arial" w:cs="Arial"/>
                <w:color w:val="000000"/>
                <w:sz w:val="16"/>
                <w:vertAlign w:val="superscript"/>
              </w:rPr>
            </w:pPr>
          </w:p>
        </w:tc>
      </w:tr>
      <w:tr w:rsidR="00FB7D0B" w14:paraId="7C3F4E5D" w14:textId="77777777" w:rsidTr="00FB7D0B">
        <w:trPr>
          <w:trHeight w:val="225"/>
        </w:trPr>
        <w:tc>
          <w:tcPr>
            <w:tcW w:w="5700" w:type="dxa"/>
            <w:gridSpan w:val="2"/>
            <w:tcBorders>
              <w:top w:val="nil"/>
              <w:left w:val="nil"/>
              <w:bottom w:val="nil"/>
              <w:right w:val="nil"/>
              <w:tl2br w:val="nil"/>
              <w:tr2bl w:val="nil"/>
            </w:tcBorders>
            <w:shd w:val="clear" w:color="auto" w:fill="FFFFFF"/>
            <w:tcMar>
              <w:left w:w="101" w:type="dxa"/>
              <w:right w:w="101" w:type="dxa"/>
            </w:tcMar>
            <w:vAlign w:val="bottom"/>
          </w:tcPr>
          <w:p w14:paraId="777BCAD6" w14:textId="77777777" w:rsidR="003F0EEA" w:rsidRDefault="00FB7D0B">
            <w:pPr>
              <w:rPr>
                <w:rFonts w:ascii="Arial" w:eastAsia="Arial" w:hAnsi="Arial" w:cs="Arial"/>
                <w:color w:val="000000"/>
                <w:sz w:val="16"/>
                <w:vertAlign w:val="superscript"/>
              </w:rPr>
            </w:pPr>
            <w:r>
              <w:rPr>
                <w:rFonts w:ascii="Arial" w:eastAsia="Arial" w:hAnsi="Arial" w:cs="Arial"/>
                <w:b/>
                <w:color w:val="000000"/>
                <w:sz w:val="16"/>
              </w:rPr>
              <w:t>Programme 1.2:  Veterans' Disability Support</w:t>
            </w:r>
          </w:p>
        </w:tc>
        <w:tc>
          <w:tcPr>
            <w:tcW w:w="1275" w:type="dxa"/>
            <w:tcBorders>
              <w:top w:val="nil"/>
              <w:left w:val="nil"/>
              <w:bottom w:val="nil"/>
              <w:right w:val="nil"/>
              <w:tl2br w:val="nil"/>
              <w:tr2bl w:val="nil"/>
            </w:tcBorders>
            <w:shd w:val="clear" w:color="auto" w:fill="FFFFFF"/>
            <w:tcMar>
              <w:left w:w="101" w:type="dxa"/>
              <w:right w:w="101" w:type="dxa"/>
            </w:tcMar>
            <w:vAlign w:val="bottom"/>
          </w:tcPr>
          <w:p w14:paraId="63215EF6" w14:textId="77777777" w:rsidR="003F0EEA" w:rsidRDefault="003F0EEA">
            <w:pPr>
              <w:jc w:val="right"/>
              <w:rPr>
                <w:rFonts w:ascii="Arial" w:eastAsia="Arial" w:hAnsi="Arial" w:cs="Arial"/>
                <w:color w:val="000000"/>
                <w:sz w:val="12"/>
                <w:vertAlign w:val="superscript"/>
              </w:rPr>
            </w:pPr>
          </w:p>
        </w:tc>
        <w:tc>
          <w:tcPr>
            <w:tcW w:w="1275" w:type="dxa"/>
            <w:tcBorders>
              <w:top w:val="nil"/>
              <w:left w:val="nil"/>
              <w:bottom w:val="nil"/>
              <w:right w:val="nil"/>
              <w:tl2br w:val="nil"/>
              <w:tr2bl w:val="nil"/>
            </w:tcBorders>
            <w:shd w:val="clear" w:color="auto" w:fill="FFFF00"/>
            <w:tcMar>
              <w:left w:w="101" w:type="dxa"/>
              <w:right w:w="101" w:type="dxa"/>
            </w:tcMar>
            <w:vAlign w:val="bottom"/>
          </w:tcPr>
          <w:p w14:paraId="124500E0" w14:textId="77777777" w:rsidR="003F0EEA" w:rsidRDefault="003F0EEA">
            <w:pPr>
              <w:jc w:val="right"/>
              <w:rPr>
                <w:rFonts w:ascii="Arial" w:eastAsia="Arial" w:hAnsi="Arial" w:cs="Arial"/>
                <w:color w:val="000000"/>
                <w:sz w:val="16"/>
                <w:vertAlign w:val="superscript"/>
              </w:rPr>
            </w:pPr>
          </w:p>
        </w:tc>
      </w:tr>
      <w:tr w:rsidR="00FB7D0B" w14:paraId="35007C6E" w14:textId="77777777" w:rsidTr="00FB7D0B">
        <w:trPr>
          <w:trHeight w:val="225"/>
        </w:trPr>
        <w:tc>
          <w:tcPr>
            <w:tcW w:w="5700" w:type="dxa"/>
            <w:gridSpan w:val="2"/>
            <w:tcBorders>
              <w:top w:val="nil"/>
              <w:left w:val="nil"/>
              <w:bottom w:val="nil"/>
              <w:right w:val="nil"/>
              <w:tl2br w:val="nil"/>
              <w:tr2bl w:val="nil"/>
            </w:tcBorders>
            <w:shd w:val="clear" w:color="auto" w:fill="FFFFFF"/>
            <w:tcMar>
              <w:left w:w="101" w:type="dxa"/>
              <w:right w:w="101" w:type="dxa"/>
            </w:tcMar>
            <w:vAlign w:val="bottom"/>
          </w:tcPr>
          <w:p w14:paraId="23AE4072" w14:textId="77777777" w:rsidR="003F0EEA" w:rsidRDefault="00FB7D0B">
            <w:pPr>
              <w:rPr>
                <w:rFonts w:ascii="Arial" w:eastAsia="Arial" w:hAnsi="Arial" w:cs="Arial"/>
                <w:color w:val="000000"/>
                <w:sz w:val="16"/>
                <w:vertAlign w:val="superscript"/>
              </w:rPr>
            </w:pPr>
            <w:r>
              <w:rPr>
                <w:rFonts w:ascii="Arial" w:eastAsia="Arial" w:hAnsi="Arial" w:cs="Arial"/>
                <w:color w:val="000000"/>
                <w:sz w:val="16"/>
              </w:rPr>
              <w:t>Administered Expenses</w:t>
            </w:r>
          </w:p>
        </w:tc>
        <w:tc>
          <w:tcPr>
            <w:tcW w:w="1275" w:type="dxa"/>
            <w:tcBorders>
              <w:top w:val="nil"/>
              <w:left w:val="nil"/>
              <w:bottom w:val="nil"/>
              <w:right w:val="nil"/>
              <w:tl2br w:val="nil"/>
              <w:tr2bl w:val="nil"/>
            </w:tcBorders>
            <w:shd w:val="clear" w:color="auto" w:fill="FFFFFF"/>
            <w:tcMar>
              <w:left w:w="101" w:type="dxa"/>
              <w:right w:w="101" w:type="dxa"/>
            </w:tcMar>
            <w:vAlign w:val="bottom"/>
          </w:tcPr>
          <w:p w14:paraId="6EEB1639" w14:textId="77777777" w:rsidR="003F0EEA" w:rsidRDefault="003F0EEA">
            <w:pPr>
              <w:jc w:val="right"/>
              <w:rPr>
                <w:rFonts w:ascii="Arial" w:eastAsia="Arial" w:hAnsi="Arial" w:cs="Arial"/>
                <w:color w:val="000000"/>
                <w:sz w:val="12"/>
                <w:vertAlign w:val="superscript"/>
              </w:rPr>
            </w:pPr>
          </w:p>
        </w:tc>
        <w:tc>
          <w:tcPr>
            <w:tcW w:w="1275" w:type="dxa"/>
            <w:tcBorders>
              <w:top w:val="nil"/>
              <w:left w:val="nil"/>
              <w:bottom w:val="nil"/>
              <w:right w:val="nil"/>
              <w:tl2br w:val="nil"/>
              <w:tr2bl w:val="nil"/>
            </w:tcBorders>
            <w:shd w:val="clear" w:color="auto" w:fill="FFFF00"/>
            <w:tcMar>
              <w:left w:w="101" w:type="dxa"/>
              <w:right w:w="101" w:type="dxa"/>
            </w:tcMar>
            <w:vAlign w:val="bottom"/>
          </w:tcPr>
          <w:p w14:paraId="4BC08D7B" w14:textId="77777777" w:rsidR="003F0EEA" w:rsidRDefault="003F0EEA">
            <w:pPr>
              <w:jc w:val="right"/>
              <w:rPr>
                <w:rFonts w:ascii="Arial" w:eastAsia="Arial" w:hAnsi="Arial" w:cs="Arial"/>
                <w:color w:val="000000"/>
                <w:sz w:val="16"/>
                <w:vertAlign w:val="superscript"/>
              </w:rPr>
            </w:pPr>
          </w:p>
        </w:tc>
      </w:tr>
      <w:tr w:rsidR="00724034" w14:paraId="1022EA51" w14:textId="77777777">
        <w:trPr>
          <w:trHeight w:val="225"/>
        </w:trPr>
        <w:tc>
          <w:tcPr>
            <w:tcW w:w="300" w:type="dxa"/>
            <w:tcBorders>
              <w:top w:val="nil"/>
              <w:left w:val="nil"/>
              <w:bottom w:val="nil"/>
              <w:right w:val="nil"/>
              <w:tl2br w:val="nil"/>
              <w:tr2bl w:val="nil"/>
            </w:tcBorders>
            <w:shd w:val="clear" w:color="auto" w:fill="FFFFFF"/>
            <w:tcMar>
              <w:left w:w="101" w:type="dxa"/>
              <w:right w:w="101" w:type="dxa"/>
            </w:tcMar>
            <w:vAlign w:val="bottom"/>
          </w:tcPr>
          <w:p w14:paraId="6EB24C25" w14:textId="77777777" w:rsidR="003F0EEA" w:rsidRDefault="003F0EEA">
            <w:pPr>
              <w:rPr>
                <w:rFonts w:ascii="Arial" w:eastAsia="Arial" w:hAnsi="Arial" w:cs="Arial"/>
                <w:color w:val="000000"/>
                <w:sz w:val="16"/>
                <w:vertAlign w:val="superscript"/>
              </w:rPr>
            </w:pPr>
          </w:p>
        </w:tc>
        <w:tc>
          <w:tcPr>
            <w:tcW w:w="5400" w:type="dxa"/>
            <w:tcBorders>
              <w:top w:val="nil"/>
              <w:left w:val="nil"/>
              <w:bottom w:val="nil"/>
              <w:right w:val="nil"/>
              <w:tl2br w:val="nil"/>
              <w:tr2bl w:val="nil"/>
            </w:tcBorders>
            <w:shd w:val="clear" w:color="auto" w:fill="FFFFFF"/>
            <w:tcMar>
              <w:left w:w="101" w:type="dxa"/>
              <w:right w:w="101" w:type="dxa"/>
            </w:tcMar>
            <w:vAlign w:val="bottom"/>
          </w:tcPr>
          <w:p w14:paraId="49200C85" w14:textId="77777777" w:rsidR="003F0EEA" w:rsidRDefault="00FB7D0B">
            <w:pPr>
              <w:rPr>
                <w:rFonts w:ascii="Arial" w:eastAsia="Arial" w:hAnsi="Arial" w:cs="Arial"/>
                <w:color w:val="000000"/>
                <w:sz w:val="16"/>
                <w:vertAlign w:val="superscript"/>
              </w:rPr>
            </w:pPr>
            <w:r>
              <w:rPr>
                <w:rFonts w:ascii="Arial" w:eastAsia="Arial" w:hAnsi="Arial" w:cs="Arial"/>
                <w:color w:val="000000"/>
                <w:sz w:val="16"/>
              </w:rPr>
              <w:t>Ordinary annual services (Appropriation Bill No. 1)</w:t>
            </w:r>
          </w:p>
        </w:tc>
        <w:tc>
          <w:tcPr>
            <w:tcW w:w="1275" w:type="dxa"/>
            <w:tcBorders>
              <w:top w:val="nil"/>
              <w:left w:val="nil"/>
              <w:bottom w:val="nil"/>
              <w:right w:val="nil"/>
              <w:tl2br w:val="nil"/>
              <w:tr2bl w:val="nil"/>
            </w:tcBorders>
            <w:shd w:val="clear" w:color="auto" w:fill="FFFFFF"/>
            <w:tcMar>
              <w:left w:w="101" w:type="dxa"/>
              <w:right w:w="101" w:type="dxa"/>
            </w:tcMar>
            <w:vAlign w:val="bottom"/>
          </w:tcPr>
          <w:p w14:paraId="6D8D2580" w14:textId="77777777" w:rsidR="003F0EEA" w:rsidRDefault="00FB7D0B">
            <w:pPr>
              <w:jc w:val="right"/>
              <w:rPr>
                <w:rFonts w:ascii="Arial" w:eastAsia="Arial" w:hAnsi="Arial" w:cs="Arial"/>
                <w:color w:val="000000"/>
                <w:sz w:val="12"/>
                <w:vertAlign w:val="superscript"/>
              </w:rPr>
            </w:pPr>
            <w:r>
              <w:rPr>
                <w:rFonts w:ascii="Arial" w:eastAsia="Arial" w:hAnsi="Arial" w:cs="Arial"/>
                <w:color w:val="000000"/>
                <w:sz w:val="16"/>
              </w:rPr>
              <w:t xml:space="preserve"> 12,092 </w:t>
            </w:r>
          </w:p>
        </w:tc>
        <w:tc>
          <w:tcPr>
            <w:tcW w:w="1275" w:type="dxa"/>
            <w:tcBorders>
              <w:top w:val="nil"/>
              <w:left w:val="nil"/>
              <w:bottom w:val="nil"/>
              <w:right w:val="nil"/>
              <w:tl2br w:val="nil"/>
              <w:tr2bl w:val="nil"/>
            </w:tcBorders>
            <w:shd w:val="clear" w:color="auto" w:fill="FFFF00"/>
            <w:tcMar>
              <w:left w:w="101" w:type="dxa"/>
              <w:right w:w="101" w:type="dxa"/>
            </w:tcMar>
            <w:vAlign w:val="bottom"/>
          </w:tcPr>
          <w:p w14:paraId="5AE4A1E0" w14:textId="77777777" w:rsidR="003F0EEA" w:rsidRDefault="00FB7D0B">
            <w:pPr>
              <w:jc w:val="right"/>
              <w:rPr>
                <w:rFonts w:ascii="Arial" w:eastAsia="Arial" w:hAnsi="Arial" w:cs="Arial"/>
                <w:color w:val="000000"/>
                <w:sz w:val="16"/>
              </w:rPr>
            </w:pPr>
            <w:r>
              <w:rPr>
                <w:rFonts w:ascii="Arial" w:eastAsia="Arial" w:hAnsi="Arial" w:cs="Arial"/>
                <w:color w:val="000000"/>
                <w:sz w:val="16"/>
              </w:rPr>
              <w:t xml:space="preserve"> 13,039 </w:t>
            </w:r>
          </w:p>
        </w:tc>
      </w:tr>
      <w:tr w:rsidR="00724034" w14:paraId="27C6A54E" w14:textId="77777777">
        <w:trPr>
          <w:trHeight w:val="225"/>
        </w:trPr>
        <w:tc>
          <w:tcPr>
            <w:tcW w:w="300" w:type="dxa"/>
            <w:tcBorders>
              <w:top w:val="nil"/>
              <w:left w:val="nil"/>
              <w:bottom w:val="nil"/>
              <w:right w:val="nil"/>
              <w:tl2br w:val="nil"/>
              <w:tr2bl w:val="nil"/>
            </w:tcBorders>
            <w:shd w:val="clear" w:color="auto" w:fill="FFFFFF"/>
            <w:tcMar>
              <w:left w:w="101" w:type="dxa"/>
              <w:right w:w="101" w:type="dxa"/>
            </w:tcMar>
            <w:vAlign w:val="bottom"/>
          </w:tcPr>
          <w:p w14:paraId="2683D408" w14:textId="77777777" w:rsidR="003F0EEA" w:rsidRDefault="003F0EEA">
            <w:pPr>
              <w:rPr>
                <w:rFonts w:ascii="Arial" w:eastAsia="Arial" w:hAnsi="Arial" w:cs="Arial"/>
                <w:color w:val="000000"/>
                <w:sz w:val="16"/>
              </w:rPr>
            </w:pPr>
          </w:p>
        </w:tc>
        <w:tc>
          <w:tcPr>
            <w:tcW w:w="5400" w:type="dxa"/>
            <w:tcBorders>
              <w:top w:val="nil"/>
              <w:left w:val="nil"/>
              <w:bottom w:val="nil"/>
              <w:right w:val="nil"/>
              <w:tl2br w:val="nil"/>
              <w:tr2bl w:val="nil"/>
            </w:tcBorders>
            <w:shd w:val="clear" w:color="auto" w:fill="FFFFFF"/>
            <w:tcMar>
              <w:left w:w="101" w:type="dxa"/>
              <w:right w:w="101" w:type="dxa"/>
            </w:tcMar>
            <w:vAlign w:val="bottom"/>
          </w:tcPr>
          <w:p w14:paraId="2A6A0FFF" w14:textId="77777777" w:rsidR="003F0EEA" w:rsidRDefault="00FB7D0B">
            <w:pPr>
              <w:rPr>
                <w:rFonts w:ascii="Arial" w:eastAsia="Arial" w:hAnsi="Arial" w:cs="Arial"/>
                <w:color w:val="000000"/>
                <w:sz w:val="16"/>
              </w:rPr>
            </w:pPr>
            <w:r>
              <w:rPr>
                <w:rFonts w:ascii="Arial" w:eastAsia="Arial" w:hAnsi="Arial" w:cs="Arial"/>
                <w:color w:val="000000"/>
                <w:sz w:val="16"/>
              </w:rPr>
              <w:t>Other services (Appropriation Bill No. 2)</w:t>
            </w:r>
          </w:p>
        </w:tc>
        <w:tc>
          <w:tcPr>
            <w:tcW w:w="1275" w:type="dxa"/>
            <w:tcBorders>
              <w:top w:val="nil"/>
              <w:left w:val="nil"/>
              <w:bottom w:val="nil"/>
              <w:right w:val="nil"/>
              <w:tl2br w:val="nil"/>
              <w:tr2bl w:val="nil"/>
            </w:tcBorders>
            <w:shd w:val="clear" w:color="auto" w:fill="FFFFFF"/>
            <w:tcMar>
              <w:left w:w="101" w:type="dxa"/>
              <w:right w:w="101" w:type="dxa"/>
            </w:tcMar>
            <w:vAlign w:val="bottom"/>
          </w:tcPr>
          <w:p w14:paraId="41F4825A" w14:textId="77777777" w:rsidR="003F0EEA" w:rsidRDefault="00FB7D0B">
            <w:pPr>
              <w:jc w:val="right"/>
              <w:rPr>
                <w:rFonts w:ascii="Arial" w:eastAsia="Arial" w:hAnsi="Arial" w:cs="Arial"/>
                <w:color w:val="000000"/>
                <w:sz w:val="12"/>
                <w:vertAlign w:val="superscript"/>
              </w:rPr>
            </w:pPr>
            <w:r>
              <w:rPr>
                <w:rFonts w:ascii="Arial" w:eastAsia="Arial" w:hAnsi="Arial" w:cs="Arial"/>
                <w:color w:val="000000"/>
                <w:sz w:val="16"/>
              </w:rPr>
              <w:t xml:space="preserve"> - </w:t>
            </w:r>
          </w:p>
        </w:tc>
        <w:tc>
          <w:tcPr>
            <w:tcW w:w="1275" w:type="dxa"/>
            <w:tcBorders>
              <w:top w:val="nil"/>
              <w:left w:val="nil"/>
              <w:bottom w:val="nil"/>
              <w:right w:val="nil"/>
              <w:tl2br w:val="nil"/>
              <w:tr2bl w:val="nil"/>
            </w:tcBorders>
            <w:shd w:val="clear" w:color="auto" w:fill="FFFF00"/>
            <w:tcMar>
              <w:left w:w="101" w:type="dxa"/>
              <w:right w:w="101" w:type="dxa"/>
            </w:tcMar>
            <w:vAlign w:val="bottom"/>
          </w:tcPr>
          <w:p w14:paraId="5C3992EE" w14:textId="77777777" w:rsidR="003F0EEA" w:rsidRDefault="00FB7D0B">
            <w:pPr>
              <w:jc w:val="right"/>
              <w:rPr>
                <w:rFonts w:ascii="Arial" w:eastAsia="Arial" w:hAnsi="Arial" w:cs="Arial"/>
                <w:color w:val="000000"/>
                <w:sz w:val="16"/>
              </w:rPr>
            </w:pPr>
            <w:r>
              <w:rPr>
                <w:rFonts w:ascii="Arial" w:eastAsia="Arial" w:hAnsi="Arial" w:cs="Arial"/>
                <w:color w:val="000000"/>
                <w:sz w:val="16"/>
              </w:rPr>
              <w:t xml:space="preserve"> - </w:t>
            </w:r>
          </w:p>
        </w:tc>
      </w:tr>
      <w:tr w:rsidR="00724034" w14:paraId="18A67A92" w14:textId="77777777">
        <w:trPr>
          <w:trHeight w:val="225"/>
        </w:trPr>
        <w:tc>
          <w:tcPr>
            <w:tcW w:w="300" w:type="dxa"/>
            <w:tcBorders>
              <w:top w:val="nil"/>
              <w:left w:val="nil"/>
              <w:bottom w:val="nil"/>
              <w:right w:val="nil"/>
              <w:tl2br w:val="nil"/>
              <w:tr2bl w:val="nil"/>
            </w:tcBorders>
            <w:shd w:val="clear" w:color="auto" w:fill="FFFFFF"/>
            <w:tcMar>
              <w:left w:w="101" w:type="dxa"/>
              <w:right w:w="101" w:type="dxa"/>
            </w:tcMar>
            <w:vAlign w:val="bottom"/>
          </w:tcPr>
          <w:p w14:paraId="0AC069F2" w14:textId="77777777" w:rsidR="003F0EEA" w:rsidRDefault="003F0EEA">
            <w:pPr>
              <w:rPr>
                <w:rFonts w:ascii="Arial" w:eastAsia="Arial" w:hAnsi="Arial" w:cs="Arial"/>
                <w:color w:val="000000"/>
                <w:sz w:val="16"/>
              </w:rPr>
            </w:pPr>
          </w:p>
        </w:tc>
        <w:tc>
          <w:tcPr>
            <w:tcW w:w="5400" w:type="dxa"/>
            <w:tcBorders>
              <w:top w:val="nil"/>
              <w:left w:val="nil"/>
              <w:bottom w:val="nil"/>
              <w:right w:val="nil"/>
              <w:tl2br w:val="nil"/>
              <w:tr2bl w:val="nil"/>
            </w:tcBorders>
            <w:shd w:val="clear" w:color="auto" w:fill="FFFFFF"/>
            <w:tcMar>
              <w:left w:w="101" w:type="dxa"/>
              <w:right w:w="101" w:type="dxa"/>
            </w:tcMar>
            <w:vAlign w:val="bottom"/>
          </w:tcPr>
          <w:p w14:paraId="12AD1CC4" w14:textId="77777777" w:rsidR="003F0EEA" w:rsidRDefault="00FB7D0B">
            <w:pPr>
              <w:rPr>
                <w:rFonts w:ascii="Arial" w:eastAsia="Arial" w:hAnsi="Arial" w:cs="Arial"/>
                <w:color w:val="000000"/>
                <w:sz w:val="16"/>
              </w:rPr>
            </w:pPr>
            <w:r>
              <w:rPr>
                <w:rFonts w:ascii="Arial" w:eastAsia="Arial" w:hAnsi="Arial" w:cs="Arial"/>
                <w:color w:val="000000"/>
                <w:sz w:val="16"/>
              </w:rPr>
              <w:t>Special Appropriations</w:t>
            </w:r>
          </w:p>
        </w:tc>
        <w:tc>
          <w:tcPr>
            <w:tcW w:w="1275" w:type="dxa"/>
            <w:tcBorders>
              <w:top w:val="nil"/>
              <w:left w:val="nil"/>
              <w:bottom w:val="nil"/>
              <w:right w:val="nil"/>
              <w:tl2br w:val="nil"/>
              <w:tr2bl w:val="nil"/>
            </w:tcBorders>
            <w:shd w:val="clear" w:color="auto" w:fill="FFFFFF"/>
            <w:tcMar>
              <w:left w:w="101" w:type="dxa"/>
              <w:right w:w="101" w:type="dxa"/>
            </w:tcMar>
            <w:vAlign w:val="bottom"/>
          </w:tcPr>
          <w:p w14:paraId="1635595B" w14:textId="77777777" w:rsidR="003F0EEA" w:rsidRDefault="00FB7D0B">
            <w:pPr>
              <w:jc w:val="right"/>
              <w:rPr>
                <w:rFonts w:ascii="Arial" w:eastAsia="Arial" w:hAnsi="Arial" w:cs="Arial"/>
                <w:color w:val="000000"/>
                <w:sz w:val="12"/>
                <w:vertAlign w:val="superscript"/>
              </w:rPr>
            </w:pPr>
            <w:r>
              <w:rPr>
                <w:rFonts w:ascii="Arial" w:eastAsia="Arial" w:hAnsi="Arial" w:cs="Arial"/>
                <w:color w:val="000000"/>
                <w:sz w:val="16"/>
              </w:rPr>
              <w:t xml:space="preserve"> 1,573,707 </w:t>
            </w:r>
          </w:p>
        </w:tc>
        <w:tc>
          <w:tcPr>
            <w:tcW w:w="1275" w:type="dxa"/>
            <w:tcBorders>
              <w:top w:val="nil"/>
              <w:left w:val="nil"/>
              <w:bottom w:val="nil"/>
              <w:right w:val="nil"/>
              <w:tl2br w:val="nil"/>
              <w:tr2bl w:val="nil"/>
            </w:tcBorders>
            <w:shd w:val="clear" w:color="auto" w:fill="FFFF00"/>
            <w:tcMar>
              <w:left w:w="101" w:type="dxa"/>
              <w:right w:w="101" w:type="dxa"/>
            </w:tcMar>
            <w:vAlign w:val="bottom"/>
          </w:tcPr>
          <w:p w14:paraId="17B1BCD8" w14:textId="77777777" w:rsidR="003F0EEA" w:rsidRDefault="00FB7D0B">
            <w:pPr>
              <w:jc w:val="right"/>
              <w:rPr>
                <w:rFonts w:ascii="Arial" w:eastAsia="Arial" w:hAnsi="Arial" w:cs="Arial"/>
                <w:color w:val="000000"/>
                <w:sz w:val="16"/>
              </w:rPr>
            </w:pPr>
            <w:r>
              <w:rPr>
                <w:rFonts w:ascii="Arial" w:eastAsia="Arial" w:hAnsi="Arial" w:cs="Arial"/>
                <w:color w:val="000000"/>
                <w:sz w:val="16"/>
              </w:rPr>
              <w:t xml:space="preserve"> 1,574,429 </w:t>
            </w:r>
          </w:p>
        </w:tc>
      </w:tr>
      <w:tr w:rsidR="00724034" w14:paraId="31727C61" w14:textId="77777777">
        <w:trPr>
          <w:trHeight w:val="225"/>
        </w:trPr>
        <w:tc>
          <w:tcPr>
            <w:tcW w:w="300" w:type="dxa"/>
            <w:tcBorders>
              <w:top w:val="nil"/>
              <w:left w:val="nil"/>
              <w:bottom w:val="nil"/>
              <w:right w:val="nil"/>
              <w:tl2br w:val="nil"/>
              <w:tr2bl w:val="nil"/>
            </w:tcBorders>
            <w:shd w:val="clear" w:color="auto" w:fill="FFFFFF"/>
            <w:tcMar>
              <w:left w:w="101" w:type="dxa"/>
              <w:right w:w="101" w:type="dxa"/>
            </w:tcMar>
            <w:vAlign w:val="bottom"/>
          </w:tcPr>
          <w:p w14:paraId="45B8ED2F" w14:textId="77777777" w:rsidR="003F0EEA" w:rsidRDefault="003F0EEA">
            <w:pPr>
              <w:rPr>
                <w:rFonts w:ascii="Arial" w:eastAsia="Arial" w:hAnsi="Arial" w:cs="Arial"/>
                <w:color w:val="000000"/>
                <w:sz w:val="16"/>
              </w:rPr>
            </w:pPr>
          </w:p>
        </w:tc>
        <w:tc>
          <w:tcPr>
            <w:tcW w:w="5400" w:type="dxa"/>
            <w:tcBorders>
              <w:top w:val="nil"/>
              <w:left w:val="nil"/>
              <w:bottom w:val="nil"/>
              <w:right w:val="nil"/>
              <w:tl2br w:val="nil"/>
              <w:tr2bl w:val="nil"/>
            </w:tcBorders>
            <w:shd w:val="clear" w:color="auto" w:fill="FFFFFF"/>
            <w:tcMar>
              <w:left w:w="101" w:type="dxa"/>
              <w:right w:w="101" w:type="dxa"/>
            </w:tcMar>
            <w:vAlign w:val="bottom"/>
          </w:tcPr>
          <w:p w14:paraId="626FFC1D" w14:textId="77777777" w:rsidR="003F0EEA" w:rsidRDefault="00FB7D0B">
            <w:pPr>
              <w:rPr>
                <w:rFonts w:ascii="Arial" w:eastAsia="Arial" w:hAnsi="Arial" w:cs="Arial"/>
                <w:color w:val="000000"/>
                <w:sz w:val="16"/>
              </w:rPr>
            </w:pPr>
            <w:r>
              <w:rPr>
                <w:rFonts w:ascii="Arial" w:eastAsia="Arial" w:hAnsi="Arial" w:cs="Arial"/>
                <w:color w:val="000000"/>
                <w:sz w:val="16"/>
              </w:rPr>
              <w:t>Special Accounts</w:t>
            </w:r>
          </w:p>
        </w:tc>
        <w:tc>
          <w:tcPr>
            <w:tcW w:w="1275" w:type="dxa"/>
            <w:tcBorders>
              <w:top w:val="nil"/>
              <w:left w:val="nil"/>
              <w:bottom w:val="nil"/>
              <w:right w:val="nil"/>
              <w:tl2br w:val="nil"/>
              <w:tr2bl w:val="nil"/>
            </w:tcBorders>
            <w:shd w:val="clear" w:color="auto" w:fill="FFFFFF"/>
            <w:tcMar>
              <w:left w:w="101" w:type="dxa"/>
              <w:right w:w="101" w:type="dxa"/>
            </w:tcMar>
            <w:vAlign w:val="bottom"/>
          </w:tcPr>
          <w:p w14:paraId="7D27CEC8" w14:textId="77777777" w:rsidR="003F0EEA" w:rsidRDefault="00FB7D0B">
            <w:pPr>
              <w:jc w:val="right"/>
              <w:rPr>
                <w:rFonts w:ascii="Arial" w:eastAsia="Arial" w:hAnsi="Arial" w:cs="Arial"/>
                <w:color w:val="000000"/>
                <w:sz w:val="12"/>
                <w:vertAlign w:val="superscript"/>
              </w:rPr>
            </w:pPr>
            <w:r>
              <w:rPr>
                <w:rFonts w:ascii="Arial" w:eastAsia="Arial" w:hAnsi="Arial" w:cs="Arial"/>
                <w:color w:val="000000"/>
                <w:sz w:val="16"/>
              </w:rPr>
              <w:t xml:space="preserve"> - </w:t>
            </w:r>
          </w:p>
        </w:tc>
        <w:tc>
          <w:tcPr>
            <w:tcW w:w="1275" w:type="dxa"/>
            <w:tcBorders>
              <w:top w:val="nil"/>
              <w:left w:val="nil"/>
              <w:bottom w:val="nil"/>
              <w:right w:val="nil"/>
              <w:tl2br w:val="nil"/>
              <w:tr2bl w:val="nil"/>
            </w:tcBorders>
            <w:shd w:val="clear" w:color="auto" w:fill="FFFF00"/>
            <w:tcMar>
              <w:left w:w="101" w:type="dxa"/>
              <w:right w:w="101" w:type="dxa"/>
            </w:tcMar>
            <w:vAlign w:val="bottom"/>
          </w:tcPr>
          <w:p w14:paraId="7B34BE39" w14:textId="77777777" w:rsidR="003F0EEA" w:rsidRDefault="00FB7D0B">
            <w:pPr>
              <w:jc w:val="right"/>
              <w:rPr>
                <w:rFonts w:ascii="Arial" w:eastAsia="Arial" w:hAnsi="Arial" w:cs="Arial"/>
                <w:color w:val="000000"/>
                <w:sz w:val="16"/>
              </w:rPr>
            </w:pPr>
            <w:r>
              <w:rPr>
                <w:rFonts w:ascii="Arial" w:eastAsia="Arial" w:hAnsi="Arial" w:cs="Arial"/>
                <w:color w:val="000000"/>
                <w:sz w:val="16"/>
              </w:rPr>
              <w:t xml:space="preserve"> - </w:t>
            </w:r>
          </w:p>
        </w:tc>
      </w:tr>
      <w:tr w:rsidR="00FB7D0B" w14:paraId="6BF02904" w14:textId="77777777" w:rsidTr="00FB7D0B">
        <w:trPr>
          <w:trHeight w:val="225"/>
        </w:trPr>
        <w:tc>
          <w:tcPr>
            <w:tcW w:w="5700" w:type="dxa"/>
            <w:gridSpan w:val="2"/>
            <w:tcBorders>
              <w:top w:val="nil"/>
              <w:left w:val="nil"/>
              <w:bottom w:val="nil"/>
              <w:right w:val="nil"/>
              <w:tl2br w:val="nil"/>
              <w:tr2bl w:val="nil"/>
            </w:tcBorders>
            <w:shd w:val="clear" w:color="auto" w:fill="FFFFFF"/>
            <w:tcMar>
              <w:left w:w="101" w:type="dxa"/>
              <w:right w:w="101" w:type="dxa"/>
            </w:tcMar>
            <w:vAlign w:val="bottom"/>
          </w:tcPr>
          <w:p w14:paraId="101A6FD4" w14:textId="77777777" w:rsidR="003F0EEA" w:rsidRDefault="00FB7D0B">
            <w:pPr>
              <w:rPr>
                <w:rFonts w:ascii="Arial" w:eastAsia="Arial" w:hAnsi="Arial" w:cs="Arial"/>
                <w:color w:val="000000"/>
                <w:sz w:val="16"/>
              </w:rPr>
            </w:pPr>
            <w:r>
              <w:rPr>
                <w:rFonts w:ascii="Arial" w:eastAsia="Arial" w:hAnsi="Arial" w:cs="Arial"/>
                <w:color w:val="000000"/>
                <w:sz w:val="16"/>
              </w:rPr>
              <w:t>Departmental Expenses</w:t>
            </w:r>
          </w:p>
        </w:tc>
        <w:tc>
          <w:tcPr>
            <w:tcW w:w="1275" w:type="dxa"/>
            <w:tcBorders>
              <w:top w:val="nil"/>
              <w:left w:val="nil"/>
              <w:bottom w:val="nil"/>
              <w:right w:val="nil"/>
              <w:tl2br w:val="nil"/>
              <w:tr2bl w:val="nil"/>
            </w:tcBorders>
            <w:shd w:val="clear" w:color="auto" w:fill="FFFFFF"/>
            <w:tcMar>
              <w:left w:w="101" w:type="dxa"/>
              <w:right w:w="101" w:type="dxa"/>
            </w:tcMar>
            <w:vAlign w:val="bottom"/>
          </w:tcPr>
          <w:p w14:paraId="6140E2A4" w14:textId="77777777" w:rsidR="003F0EEA" w:rsidRDefault="003F0EEA">
            <w:pPr>
              <w:jc w:val="right"/>
              <w:rPr>
                <w:rFonts w:ascii="Arial" w:eastAsia="Arial" w:hAnsi="Arial" w:cs="Arial"/>
                <w:color w:val="000000"/>
                <w:sz w:val="12"/>
                <w:vertAlign w:val="superscript"/>
              </w:rPr>
            </w:pPr>
          </w:p>
        </w:tc>
        <w:tc>
          <w:tcPr>
            <w:tcW w:w="1275" w:type="dxa"/>
            <w:tcBorders>
              <w:top w:val="nil"/>
              <w:left w:val="nil"/>
              <w:bottom w:val="nil"/>
              <w:right w:val="nil"/>
              <w:tl2br w:val="nil"/>
              <w:tr2bl w:val="nil"/>
            </w:tcBorders>
            <w:shd w:val="clear" w:color="auto" w:fill="FFFF00"/>
            <w:tcMar>
              <w:left w:w="101" w:type="dxa"/>
              <w:right w:w="101" w:type="dxa"/>
            </w:tcMar>
            <w:vAlign w:val="bottom"/>
          </w:tcPr>
          <w:p w14:paraId="1143AA7D" w14:textId="77777777" w:rsidR="003F0EEA" w:rsidRDefault="003F0EEA">
            <w:pPr>
              <w:jc w:val="right"/>
              <w:rPr>
                <w:rFonts w:ascii="Arial" w:eastAsia="Arial" w:hAnsi="Arial" w:cs="Arial"/>
                <w:color w:val="000000"/>
                <w:sz w:val="16"/>
                <w:vertAlign w:val="superscript"/>
              </w:rPr>
            </w:pPr>
          </w:p>
        </w:tc>
      </w:tr>
      <w:tr w:rsidR="00724034" w14:paraId="4B8B3413" w14:textId="77777777">
        <w:trPr>
          <w:trHeight w:val="225"/>
        </w:trPr>
        <w:tc>
          <w:tcPr>
            <w:tcW w:w="300" w:type="dxa"/>
            <w:tcBorders>
              <w:top w:val="nil"/>
              <w:left w:val="nil"/>
              <w:bottom w:val="nil"/>
              <w:right w:val="nil"/>
              <w:tl2br w:val="nil"/>
              <w:tr2bl w:val="nil"/>
            </w:tcBorders>
            <w:shd w:val="clear" w:color="auto" w:fill="FFFFFF"/>
            <w:tcMar>
              <w:left w:w="101" w:type="dxa"/>
              <w:right w:w="101" w:type="dxa"/>
            </w:tcMar>
            <w:vAlign w:val="bottom"/>
          </w:tcPr>
          <w:p w14:paraId="776273B6" w14:textId="77777777" w:rsidR="003F0EEA" w:rsidRDefault="003F0EEA">
            <w:pPr>
              <w:rPr>
                <w:rFonts w:ascii="Arial" w:eastAsia="Arial" w:hAnsi="Arial" w:cs="Arial"/>
                <w:color w:val="000000"/>
                <w:sz w:val="16"/>
                <w:vertAlign w:val="superscript"/>
              </w:rPr>
            </w:pPr>
          </w:p>
        </w:tc>
        <w:tc>
          <w:tcPr>
            <w:tcW w:w="5400" w:type="dxa"/>
            <w:tcBorders>
              <w:top w:val="nil"/>
              <w:left w:val="nil"/>
              <w:bottom w:val="nil"/>
              <w:right w:val="nil"/>
              <w:tl2br w:val="nil"/>
              <w:tr2bl w:val="nil"/>
            </w:tcBorders>
            <w:shd w:val="clear" w:color="auto" w:fill="FFFFFF"/>
            <w:tcMar>
              <w:left w:w="101" w:type="dxa"/>
              <w:right w:w="101" w:type="dxa"/>
            </w:tcMar>
            <w:vAlign w:val="bottom"/>
          </w:tcPr>
          <w:p w14:paraId="16FE17AA" w14:textId="77777777" w:rsidR="003F0EEA" w:rsidRDefault="00FB7D0B">
            <w:pPr>
              <w:rPr>
                <w:rFonts w:ascii="Arial" w:eastAsia="Arial" w:hAnsi="Arial" w:cs="Arial"/>
                <w:color w:val="000000"/>
                <w:sz w:val="16"/>
                <w:vertAlign w:val="superscript"/>
              </w:rPr>
            </w:pPr>
            <w:r>
              <w:rPr>
                <w:rFonts w:ascii="Arial" w:eastAsia="Arial" w:hAnsi="Arial" w:cs="Arial"/>
                <w:color w:val="000000"/>
                <w:sz w:val="16"/>
              </w:rPr>
              <w:t>Departmental appropriation</w:t>
            </w:r>
            <w:r>
              <w:rPr>
                <w:rFonts w:ascii="Arial" w:eastAsia="Arial" w:hAnsi="Arial" w:cs="Arial"/>
                <w:color w:val="000000"/>
                <w:sz w:val="12"/>
                <w:vertAlign w:val="superscript"/>
              </w:rPr>
              <w:t>1 </w:t>
            </w:r>
          </w:p>
        </w:tc>
        <w:tc>
          <w:tcPr>
            <w:tcW w:w="1275" w:type="dxa"/>
            <w:tcBorders>
              <w:top w:val="nil"/>
              <w:left w:val="nil"/>
              <w:bottom w:val="nil"/>
              <w:right w:val="nil"/>
              <w:tl2br w:val="nil"/>
              <w:tr2bl w:val="nil"/>
            </w:tcBorders>
            <w:shd w:val="clear" w:color="auto" w:fill="FFFFFF"/>
            <w:tcMar>
              <w:left w:w="101" w:type="dxa"/>
              <w:right w:w="101" w:type="dxa"/>
            </w:tcMar>
            <w:vAlign w:val="bottom"/>
          </w:tcPr>
          <w:p w14:paraId="2CDE82B1" w14:textId="77777777" w:rsidR="003F0EEA" w:rsidRDefault="00FB7D0B">
            <w:pPr>
              <w:jc w:val="right"/>
              <w:rPr>
                <w:rFonts w:ascii="Arial" w:eastAsia="Arial" w:hAnsi="Arial" w:cs="Arial"/>
                <w:color w:val="000000"/>
                <w:sz w:val="12"/>
                <w:vertAlign w:val="superscript"/>
              </w:rPr>
            </w:pPr>
            <w:r>
              <w:rPr>
                <w:rFonts w:ascii="Arial" w:eastAsia="Arial" w:hAnsi="Arial" w:cs="Arial"/>
                <w:color w:val="000000"/>
                <w:sz w:val="16"/>
              </w:rPr>
              <w:t xml:space="preserve"> 38,685 </w:t>
            </w:r>
          </w:p>
        </w:tc>
        <w:tc>
          <w:tcPr>
            <w:tcW w:w="1275" w:type="dxa"/>
            <w:tcBorders>
              <w:top w:val="nil"/>
              <w:left w:val="nil"/>
              <w:bottom w:val="nil"/>
              <w:right w:val="nil"/>
              <w:tl2br w:val="nil"/>
              <w:tr2bl w:val="nil"/>
            </w:tcBorders>
            <w:shd w:val="clear" w:color="auto" w:fill="FFFF00"/>
            <w:tcMar>
              <w:left w:w="101" w:type="dxa"/>
              <w:right w:w="101" w:type="dxa"/>
            </w:tcMar>
            <w:vAlign w:val="bottom"/>
          </w:tcPr>
          <w:p w14:paraId="6F488109" w14:textId="77777777" w:rsidR="003F0EEA" w:rsidRDefault="00FB7D0B">
            <w:pPr>
              <w:jc w:val="right"/>
              <w:rPr>
                <w:rFonts w:ascii="Arial" w:eastAsia="Arial" w:hAnsi="Arial" w:cs="Arial"/>
                <w:color w:val="000000"/>
                <w:sz w:val="16"/>
              </w:rPr>
            </w:pPr>
            <w:r>
              <w:rPr>
                <w:rFonts w:ascii="Arial" w:eastAsia="Arial" w:hAnsi="Arial" w:cs="Arial"/>
                <w:color w:val="000000"/>
                <w:sz w:val="16"/>
              </w:rPr>
              <w:t xml:space="preserve"> 38,041 </w:t>
            </w:r>
          </w:p>
        </w:tc>
      </w:tr>
      <w:tr w:rsidR="00724034" w14:paraId="4254B963" w14:textId="77777777">
        <w:trPr>
          <w:trHeight w:val="225"/>
        </w:trPr>
        <w:tc>
          <w:tcPr>
            <w:tcW w:w="300" w:type="dxa"/>
            <w:tcBorders>
              <w:top w:val="nil"/>
              <w:left w:val="nil"/>
              <w:bottom w:val="nil"/>
              <w:right w:val="nil"/>
              <w:tl2br w:val="nil"/>
              <w:tr2bl w:val="nil"/>
            </w:tcBorders>
            <w:shd w:val="clear" w:color="auto" w:fill="FFFFFF"/>
            <w:tcMar>
              <w:left w:w="101" w:type="dxa"/>
              <w:right w:w="101" w:type="dxa"/>
            </w:tcMar>
            <w:vAlign w:val="bottom"/>
          </w:tcPr>
          <w:p w14:paraId="365995D8" w14:textId="77777777" w:rsidR="003F0EEA" w:rsidRDefault="003F0EEA">
            <w:pPr>
              <w:rPr>
                <w:rFonts w:ascii="Arial" w:eastAsia="Arial" w:hAnsi="Arial" w:cs="Arial"/>
                <w:color w:val="000000"/>
                <w:sz w:val="16"/>
              </w:rPr>
            </w:pPr>
          </w:p>
        </w:tc>
        <w:tc>
          <w:tcPr>
            <w:tcW w:w="5400" w:type="dxa"/>
            <w:tcBorders>
              <w:top w:val="nil"/>
              <w:left w:val="nil"/>
              <w:bottom w:val="nil"/>
              <w:right w:val="nil"/>
              <w:tl2br w:val="nil"/>
              <w:tr2bl w:val="nil"/>
            </w:tcBorders>
            <w:shd w:val="clear" w:color="auto" w:fill="FFFFFF"/>
            <w:tcMar>
              <w:left w:w="101" w:type="dxa"/>
              <w:right w:w="101" w:type="dxa"/>
            </w:tcMar>
            <w:vAlign w:val="bottom"/>
          </w:tcPr>
          <w:p w14:paraId="25D64A40" w14:textId="77777777" w:rsidR="003F0EEA" w:rsidRDefault="00FB7D0B">
            <w:pPr>
              <w:rPr>
                <w:rFonts w:ascii="Arial" w:eastAsia="Arial" w:hAnsi="Arial" w:cs="Arial"/>
                <w:color w:val="000000"/>
                <w:sz w:val="20"/>
              </w:rPr>
            </w:pPr>
            <w:r>
              <w:rPr>
                <w:rFonts w:ascii="Arial" w:eastAsia="Arial" w:hAnsi="Arial" w:cs="Arial"/>
                <w:color w:val="000000"/>
                <w:sz w:val="16"/>
              </w:rPr>
              <w:t>Expenses not requiring appropriation in the Budget year</w:t>
            </w:r>
            <w:r>
              <w:rPr>
                <w:rFonts w:ascii="Arial" w:eastAsia="Arial" w:hAnsi="Arial" w:cs="Arial"/>
                <w:color w:val="000000"/>
                <w:sz w:val="12"/>
                <w:vertAlign w:val="superscript"/>
              </w:rPr>
              <w:t>2 </w:t>
            </w:r>
          </w:p>
        </w:tc>
        <w:tc>
          <w:tcPr>
            <w:tcW w:w="1275"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28EB375E" w14:textId="77777777" w:rsidR="003F0EEA" w:rsidRDefault="00FB7D0B">
            <w:pPr>
              <w:jc w:val="right"/>
              <w:rPr>
                <w:rFonts w:ascii="Arial" w:eastAsia="Arial" w:hAnsi="Arial" w:cs="Arial"/>
                <w:color w:val="000000"/>
                <w:sz w:val="12"/>
                <w:vertAlign w:val="superscript"/>
              </w:rPr>
            </w:pPr>
            <w:r>
              <w:rPr>
                <w:rFonts w:ascii="Arial" w:eastAsia="Arial" w:hAnsi="Arial" w:cs="Arial"/>
                <w:color w:val="000000"/>
                <w:sz w:val="16"/>
              </w:rPr>
              <w:t xml:space="preserve"> 4,088 </w:t>
            </w:r>
          </w:p>
        </w:tc>
        <w:tc>
          <w:tcPr>
            <w:tcW w:w="1275" w:type="dxa"/>
            <w:tcBorders>
              <w:top w:val="nil"/>
              <w:left w:val="nil"/>
              <w:bottom w:val="single" w:sz="6" w:space="0" w:color="000000"/>
              <w:right w:val="nil"/>
              <w:tl2br w:val="nil"/>
              <w:tr2bl w:val="nil"/>
            </w:tcBorders>
            <w:shd w:val="clear" w:color="auto" w:fill="FFFF00"/>
            <w:tcMar>
              <w:left w:w="101" w:type="dxa"/>
              <w:right w:w="101" w:type="dxa"/>
            </w:tcMar>
            <w:vAlign w:val="bottom"/>
          </w:tcPr>
          <w:p w14:paraId="62B7DAE0" w14:textId="77777777" w:rsidR="003F0EEA" w:rsidRDefault="00FB7D0B">
            <w:pPr>
              <w:jc w:val="right"/>
              <w:rPr>
                <w:rFonts w:ascii="Arial" w:eastAsia="Arial" w:hAnsi="Arial" w:cs="Arial"/>
                <w:color w:val="000000"/>
                <w:sz w:val="16"/>
              </w:rPr>
            </w:pPr>
            <w:r>
              <w:rPr>
                <w:rFonts w:ascii="Arial" w:eastAsia="Arial" w:hAnsi="Arial" w:cs="Arial"/>
                <w:color w:val="000000"/>
                <w:sz w:val="16"/>
              </w:rPr>
              <w:t xml:space="preserve"> 4,592 </w:t>
            </w:r>
          </w:p>
        </w:tc>
      </w:tr>
      <w:tr w:rsidR="00724034" w14:paraId="11BA29BF" w14:textId="77777777">
        <w:trPr>
          <w:trHeight w:val="225"/>
        </w:trPr>
        <w:tc>
          <w:tcPr>
            <w:tcW w:w="300"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4758E807" w14:textId="77777777" w:rsidR="003F0EEA" w:rsidRDefault="003F0EEA">
            <w:pPr>
              <w:rPr>
                <w:rFonts w:ascii="Arial" w:eastAsia="Arial" w:hAnsi="Arial" w:cs="Arial"/>
                <w:color w:val="000000"/>
                <w:sz w:val="16"/>
              </w:rPr>
            </w:pPr>
          </w:p>
        </w:tc>
        <w:tc>
          <w:tcPr>
            <w:tcW w:w="5400"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38CA1EF3" w14:textId="77777777" w:rsidR="003F0EEA" w:rsidRDefault="00FB7D0B">
            <w:pPr>
              <w:rPr>
                <w:rFonts w:ascii="Arial" w:eastAsia="Arial" w:hAnsi="Arial" w:cs="Arial"/>
                <w:color w:val="000000"/>
                <w:sz w:val="16"/>
              </w:rPr>
            </w:pPr>
            <w:r>
              <w:rPr>
                <w:rFonts w:ascii="Arial" w:eastAsia="Arial" w:hAnsi="Arial" w:cs="Arial"/>
                <w:b/>
                <w:color w:val="000000"/>
                <w:sz w:val="16"/>
              </w:rPr>
              <w:t>Total for Programme 1.2</w:t>
            </w:r>
          </w:p>
        </w:tc>
        <w:tc>
          <w:tcPr>
            <w:tcW w:w="1275"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3D1211EA" w14:textId="77777777" w:rsidR="003F0EEA" w:rsidRDefault="00FB7D0B">
            <w:pPr>
              <w:jc w:val="right"/>
              <w:rPr>
                <w:rFonts w:ascii="Arial" w:eastAsia="Arial" w:hAnsi="Arial" w:cs="Arial"/>
                <w:color w:val="000000"/>
                <w:sz w:val="12"/>
                <w:vertAlign w:val="superscript"/>
              </w:rPr>
            </w:pPr>
            <w:r>
              <w:rPr>
                <w:rFonts w:ascii="Arial" w:eastAsia="Arial" w:hAnsi="Arial" w:cs="Arial"/>
                <w:b/>
                <w:color w:val="000000"/>
                <w:sz w:val="16"/>
              </w:rPr>
              <w:t>1,628,572 </w:t>
            </w:r>
          </w:p>
        </w:tc>
        <w:tc>
          <w:tcPr>
            <w:tcW w:w="1275" w:type="dxa"/>
            <w:tcBorders>
              <w:top w:val="single" w:sz="6" w:space="0" w:color="000000"/>
              <w:left w:val="nil"/>
              <w:bottom w:val="single" w:sz="6" w:space="0" w:color="000000"/>
              <w:right w:val="nil"/>
              <w:tl2br w:val="nil"/>
              <w:tr2bl w:val="nil"/>
            </w:tcBorders>
            <w:shd w:val="clear" w:color="auto" w:fill="FFFF00"/>
            <w:tcMar>
              <w:left w:w="101" w:type="dxa"/>
              <w:right w:w="101" w:type="dxa"/>
            </w:tcMar>
            <w:vAlign w:val="bottom"/>
          </w:tcPr>
          <w:p w14:paraId="79461C57" w14:textId="77777777" w:rsidR="003F0EEA" w:rsidRDefault="00FB7D0B">
            <w:pPr>
              <w:jc w:val="right"/>
              <w:rPr>
                <w:rFonts w:ascii="Arial" w:eastAsia="Arial" w:hAnsi="Arial" w:cs="Arial"/>
                <w:b/>
                <w:color w:val="000000"/>
                <w:sz w:val="16"/>
              </w:rPr>
            </w:pPr>
            <w:r>
              <w:rPr>
                <w:rFonts w:ascii="Arial" w:eastAsia="Arial" w:hAnsi="Arial" w:cs="Arial"/>
                <w:b/>
                <w:color w:val="000000"/>
                <w:sz w:val="16"/>
              </w:rPr>
              <w:t>1,630,101 </w:t>
            </w:r>
          </w:p>
        </w:tc>
      </w:tr>
      <w:tr w:rsidR="00FB7D0B" w14:paraId="69D1B3B0" w14:textId="77777777" w:rsidTr="00FB7D0B">
        <w:trPr>
          <w:trHeight w:val="255"/>
        </w:trPr>
        <w:tc>
          <w:tcPr>
            <w:tcW w:w="300"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2DE04CD8" w14:textId="77777777" w:rsidR="003F0EEA" w:rsidRDefault="003F0EEA">
            <w:pPr>
              <w:rPr>
                <w:rFonts w:ascii="Arial" w:eastAsia="Arial" w:hAnsi="Arial" w:cs="Arial"/>
                <w:b/>
                <w:color w:val="000000"/>
                <w:sz w:val="16"/>
              </w:rPr>
            </w:pPr>
          </w:p>
        </w:tc>
        <w:tc>
          <w:tcPr>
            <w:tcW w:w="5400"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10F0C6C0" w14:textId="77777777" w:rsidR="003F0EEA" w:rsidRDefault="003F0EEA">
            <w:pPr>
              <w:rPr>
                <w:rFonts w:ascii="Arial" w:eastAsia="Arial" w:hAnsi="Arial" w:cs="Arial"/>
                <w:color w:val="000000"/>
                <w:sz w:val="16"/>
              </w:rPr>
            </w:pPr>
          </w:p>
        </w:tc>
        <w:tc>
          <w:tcPr>
            <w:tcW w:w="2550" w:type="dxa"/>
            <w:gridSpan w:val="2"/>
            <w:tcBorders>
              <w:top w:val="single" w:sz="6" w:space="0" w:color="000000"/>
              <w:left w:val="nil"/>
              <w:bottom w:val="nil"/>
              <w:right w:val="nil"/>
              <w:tl2br w:val="nil"/>
              <w:tr2bl w:val="nil"/>
            </w:tcBorders>
            <w:shd w:val="clear" w:color="auto" w:fill="FFFFFF"/>
            <w:tcMar>
              <w:left w:w="101" w:type="dxa"/>
              <w:right w:w="101" w:type="dxa"/>
            </w:tcMar>
            <w:vAlign w:val="bottom"/>
          </w:tcPr>
          <w:p w14:paraId="000563C9" w14:textId="77777777" w:rsidR="003F0EEA" w:rsidRDefault="00FB7D0B">
            <w:pPr>
              <w:jc w:val="right"/>
              <w:rPr>
                <w:rFonts w:ascii="Arial" w:eastAsia="Arial" w:hAnsi="Arial" w:cs="Arial"/>
                <w:color w:val="000000"/>
                <w:sz w:val="12"/>
                <w:vertAlign w:val="superscript"/>
              </w:rPr>
            </w:pPr>
            <w:r>
              <w:rPr>
                <w:rFonts w:ascii="Arial" w:eastAsia="Arial" w:hAnsi="Arial" w:cs="Arial"/>
                <w:color w:val="000000"/>
                <w:sz w:val="16"/>
              </w:rPr>
              <w:t>Continued on next page</w:t>
            </w:r>
          </w:p>
        </w:tc>
      </w:tr>
    </w:tbl>
    <w:p w14:paraId="2CE76472" w14:textId="77777777" w:rsidR="003F0EEA" w:rsidRDefault="00FB7D0B">
      <w:pPr>
        <w:spacing w:line="14" w:lineRule="exact"/>
        <w:rPr>
          <w:rFonts w:eastAsia="Times New Roman"/>
        </w:rPr>
      </w:pPr>
      <w:r>
        <w:rPr>
          <w:rFonts w:eastAsia="Times New Roman"/>
        </w:rPr>
        <w:br w:type="page"/>
      </w:r>
    </w:p>
    <w:p w14:paraId="44053444" w14:textId="77777777" w:rsidR="003F0EEA" w:rsidRDefault="00FB7D0B" w:rsidP="003F0EEA">
      <w:pPr>
        <w:pStyle w:val="TableHeading4"/>
        <w:ind w:right="-99"/>
      </w:pPr>
      <w:r>
        <w:t>Table 2.1: Budgeted Expenses for Outcome 1 (continued)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0"/>
        <w:gridCol w:w="5400"/>
        <w:gridCol w:w="1275"/>
        <w:gridCol w:w="1275"/>
      </w:tblGrid>
      <w:tr w:rsidR="00FB7D0B" w14:paraId="39A71BF7" w14:textId="77777777" w:rsidTr="00FB7D0B">
        <w:trPr>
          <w:trHeight w:val="225"/>
        </w:trPr>
        <w:tc>
          <w:tcPr>
            <w:tcW w:w="5700" w:type="dxa"/>
            <w:gridSpan w:val="2"/>
            <w:vMerge w:val="restart"/>
            <w:tcBorders>
              <w:top w:val="single" w:sz="6" w:space="0" w:color="000000"/>
              <w:left w:val="nil"/>
              <w:bottom w:val="nil"/>
              <w:right w:val="nil"/>
              <w:tl2br w:val="nil"/>
              <w:tr2bl w:val="nil"/>
            </w:tcBorders>
            <w:shd w:val="clear" w:color="auto" w:fill="FFFFFF"/>
            <w:tcMar>
              <w:left w:w="101" w:type="dxa"/>
              <w:right w:w="101" w:type="dxa"/>
            </w:tcMar>
            <w:vAlign w:val="bottom"/>
          </w:tcPr>
          <w:p w14:paraId="16B30027" w14:textId="77777777" w:rsidR="003F0EEA" w:rsidRDefault="00FB7D0B">
            <w:pPr>
              <w:rPr>
                <w:rFonts w:eastAsia="Times New Roman" w:cs="Times New Roman"/>
              </w:rPr>
            </w:pPr>
            <w:r>
              <w:rPr>
                <w:rFonts w:ascii="Arial" w:eastAsia="Arial" w:hAnsi="Arial" w:cs="Arial"/>
                <w:b/>
                <w:color w:val="000000"/>
                <w:sz w:val="16"/>
              </w:rPr>
              <w:t>Outcome 1:</w:t>
            </w:r>
          </w:p>
        </w:tc>
        <w:tc>
          <w:tcPr>
            <w:tcW w:w="127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6C199DC6" w14:textId="77777777" w:rsidR="003F0EEA" w:rsidRDefault="00FB7D0B">
            <w:pPr>
              <w:jc w:val="right"/>
              <w:rPr>
                <w:rFonts w:ascii="Arial" w:eastAsia="Arial" w:hAnsi="Arial" w:cs="Arial"/>
                <w:b/>
                <w:color w:val="000000"/>
                <w:sz w:val="16"/>
                <w:vertAlign w:val="superscript"/>
              </w:rPr>
            </w:pPr>
            <w:r>
              <w:rPr>
                <w:rFonts w:ascii="Arial" w:eastAsia="Arial" w:hAnsi="Arial" w:cs="Arial"/>
                <w:color w:val="000000"/>
                <w:sz w:val="16"/>
              </w:rPr>
              <w:t>2013-14</w:t>
            </w:r>
          </w:p>
        </w:tc>
        <w:tc>
          <w:tcPr>
            <w:tcW w:w="1275" w:type="dxa"/>
            <w:tcBorders>
              <w:top w:val="single" w:sz="6" w:space="0" w:color="000000"/>
              <w:left w:val="nil"/>
              <w:bottom w:val="nil"/>
              <w:right w:val="nil"/>
              <w:tl2br w:val="nil"/>
              <w:tr2bl w:val="nil"/>
            </w:tcBorders>
            <w:shd w:val="clear" w:color="auto" w:fill="FFFF00"/>
            <w:tcMar>
              <w:left w:w="101" w:type="dxa"/>
              <w:right w:w="101" w:type="dxa"/>
            </w:tcMar>
            <w:vAlign w:val="bottom"/>
          </w:tcPr>
          <w:p w14:paraId="2DC6AB51" w14:textId="77777777" w:rsidR="003F0EEA" w:rsidRDefault="00FB7D0B">
            <w:pPr>
              <w:jc w:val="right"/>
              <w:rPr>
                <w:rFonts w:ascii="Arial" w:eastAsia="Arial" w:hAnsi="Arial" w:cs="Arial"/>
                <w:color w:val="000000"/>
                <w:sz w:val="16"/>
              </w:rPr>
            </w:pPr>
            <w:r>
              <w:rPr>
                <w:rFonts w:ascii="Arial" w:eastAsia="Arial" w:hAnsi="Arial" w:cs="Arial"/>
                <w:color w:val="000000"/>
                <w:sz w:val="16"/>
              </w:rPr>
              <w:t>2014-15</w:t>
            </w:r>
          </w:p>
        </w:tc>
      </w:tr>
      <w:tr w:rsidR="00FB7D0B" w14:paraId="5E1E60BC" w14:textId="77777777" w:rsidTr="00FB7D0B">
        <w:trPr>
          <w:trHeight w:val="225"/>
        </w:trPr>
        <w:tc>
          <w:tcPr>
            <w:tcW w:w="5700" w:type="dxa"/>
            <w:gridSpan w:val="2"/>
            <w:vMerge/>
            <w:tcBorders>
              <w:top w:val="nil"/>
              <w:left w:val="nil"/>
              <w:bottom w:val="nil"/>
              <w:right w:val="nil"/>
              <w:tl2br w:val="nil"/>
              <w:tr2bl w:val="nil"/>
            </w:tcBorders>
            <w:shd w:val="clear" w:color="auto" w:fill="FFFF00"/>
            <w:tcMar>
              <w:left w:w="101" w:type="dxa"/>
              <w:right w:w="101" w:type="dxa"/>
            </w:tcMar>
            <w:vAlign w:val="bottom"/>
          </w:tcPr>
          <w:p w14:paraId="5AE8AEE4" w14:textId="77777777" w:rsidR="003F0EEA" w:rsidRDefault="003F0EEA">
            <w:pPr>
              <w:jc w:val="right"/>
              <w:rPr>
                <w:rFonts w:ascii="Arial" w:eastAsia="Arial" w:hAnsi="Arial" w:cs="Arial"/>
                <w:color w:val="000000"/>
                <w:sz w:val="16"/>
              </w:rPr>
            </w:pPr>
          </w:p>
        </w:tc>
        <w:tc>
          <w:tcPr>
            <w:tcW w:w="1275" w:type="dxa"/>
            <w:tcBorders>
              <w:top w:val="nil"/>
              <w:left w:val="nil"/>
              <w:bottom w:val="nil"/>
              <w:right w:val="nil"/>
              <w:tl2br w:val="nil"/>
              <w:tr2bl w:val="nil"/>
            </w:tcBorders>
            <w:shd w:val="clear" w:color="auto" w:fill="FFFFFF"/>
            <w:tcMar>
              <w:left w:w="101" w:type="dxa"/>
              <w:right w:w="101" w:type="dxa"/>
            </w:tcMar>
            <w:vAlign w:val="bottom"/>
          </w:tcPr>
          <w:p w14:paraId="2B8A4AB4" w14:textId="77777777" w:rsidR="003F0EEA" w:rsidRDefault="00FB7D0B">
            <w:pPr>
              <w:jc w:val="right"/>
              <w:rPr>
                <w:rFonts w:ascii="Arial" w:eastAsia="Arial" w:hAnsi="Arial" w:cs="Arial"/>
                <w:color w:val="000000"/>
                <w:sz w:val="16"/>
              </w:rPr>
            </w:pPr>
            <w:r>
              <w:rPr>
                <w:rFonts w:ascii="Arial" w:eastAsia="Arial" w:hAnsi="Arial" w:cs="Arial"/>
                <w:color w:val="000000"/>
                <w:sz w:val="16"/>
              </w:rPr>
              <w:t>Estimated</w:t>
            </w:r>
          </w:p>
        </w:tc>
        <w:tc>
          <w:tcPr>
            <w:tcW w:w="1275" w:type="dxa"/>
            <w:tcBorders>
              <w:top w:val="nil"/>
              <w:left w:val="nil"/>
              <w:bottom w:val="nil"/>
              <w:right w:val="nil"/>
              <w:tl2br w:val="nil"/>
              <w:tr2bl w:val="nil"/>
            </w:tcBorders>
            <w:shd w:val="clear" w:color="auto" w:fill="FFFF00"/>
            <w:tcMar>
              <w:left w:w="101" w:type="dxa"/>
              <w:right w:w="101" w:type="dxa"/>
            </w:tcMar>
            <w:vAlign w:val="bottom"/>
          </w:tcPr>
          <w:p w14:paraId="7360A81D" w14:textId="77777777" w:rsidR="003F0EEA" w:rsidRDefault="00FB7D0B">
            <w:pPr>
              <w:jc w:val="right"/>
              <w:rPr>
                <w:rFonts w:ascii="Arial" w:eastAsia="Arial" w:hAnsi="Arial" w:cs="Arial"/>
                <w:color w:val="000000"/>
                <w:sz w:val="16"/>
              </w:rPr>
            </w:pPr>
            <w:r>
              <w:rPr>
                <w:rFonts w:ascii="Arial" w:eastAsia="Arial" w:hAnsi="Arial" w:cs="Arial"/>
                <w:color w:val="000000"/>
                <w:sz w:val="16"/>
              </w:rPr>
              <w:t>Estimated</w:t>
            </w:r>
          </w:p>
        </w:tc>
      </w:tr>
      <w:tr w:rsidR="00FB7D0B" w14:paraId="6179A433" w14:textId="77777777" w:rsidTr="00FB7D0B">
        <w:trPr>
          <w:trHeight w:val="225"/>
        </w:trPr>
        <w:tc>
          <w:tcPr>
            <w:tcW w:w="5700" w:type="dxa"/>
            <w:gridSpan w:val="2"/>
            <w:vMerge/>
            <w:tcBorders>
              <w:top w:val="nil"/>
              <w:left w:val="nil"/>
              <w:bottom w:val="nil"/>
              <w:right w:val="nil"/>
              <w:tl2br w:val="nil"/>
              <w:tr2bl w:val="nil"/>
            </w:tcBorders>
            <w:shd w:val="clear" w:color="auto" w:fill="FFFF00"/>
            <w:tcMar>
              <w:left w:w="101" w:type="dxa"/>
              <w:right w:w="101" w:type="dxa"/>
            </w:tcMar>
            <w:vAlign w:val="bottom"/>
          </w:tcPr>
          <w:p w14:paraId="4E720468" w14:textId="77777777" w:rsidR="003F0EEA" w:rsidRDefault="003F0EEA">
            <w:pPr>
              <w:jc w:val="right"/>
              <w:rPr>
                <w:rFonts w:ascii="Arial" w:eastAsia="Arial" w:hAnsi="Arial" w:cs="Arial"/>
                <w:color w:val="000000"/>
                <w:sz w:val="16"/>
              </w:rPr>
            </w:pPr>
          </w:p>
        </w:tc>
        <w:tc>
          <w:tcPr>
            <w:tcW w:w="1275" w:type="dxa"/>
            <w:tcBorders>
              <w:top w:val="nil"/>
              <w:left w:val="nil"/>
              <w:bottom w:val="nil"/>
              <w:right w:val="nil"/>
              <w:tl2br w:val="nil"/>
              <w:tr2bl w:val="nil"/>
            </w:tcBorders>
            <w:shd w:val="clear" w:color="auto" w:fill="FFFFFF"/>
            <w:tcMar>
              <w:left w:w="101" w:type="dxa"/>
              <w:right w:w="101" w:type="dxa"/>
            </w:tcMar>
            <w:vAlign w:val="bottom"/>
          </w:tcPr>
          <w:p w14:paraId="071FEA25" w14:textId="77777777" w:rsidR="003F0EEA" w:rsidRDefault="00FB7D0B">
            <w:pPr>
              <w:jc w:val="right"/>
              <w:rPr>
                <w:rFonts w:ascii="Arial" w:eastAsia="Arial" w:hAnsi="Arial" w:cs="Arial"/>
                <w:color w:val="000000"/>
                <w:sz w:val="16"/>
              </w:rPr>
            </w:pPr>
            <w:r>
              <w:rPr>
                <w:rFonts w:ascii="Arial" w:eastAsia="Arial" w:hAnsi="Arial" w:cs="Arial"/>
                <w:color w:val="000000"/>
                <w:sz w:val="16"/>
              </w:rPr>
              <w:t>actual</w:t>
            </w:r>
          </w:p>
        </w:tc>
        <w:tc>
          <w:tcPr>
            <w:tcW w:w="1275" w:type="dxa"/>
            <w:tcBorders>
              <w:top w:val="nil"/>
              <w:left w:val="nil"/>
              <w:bottom w:val="nil"/>
              <w:right w:val="nil"/>
              <w:tl2br w:val="nil"/>
              <w:tr2bl w:val="nil"/>
            </w:tcBorders>
            <w:shd w:val="clear" w:color="auto" w:fill="FFFF00"/>
            <w:tcMar>
              <w:left w:w="101" w:type="dxa"/>
              <w:right w:w="101" w:type="dxa"/>
            </w:tcMar>
            <w:vAlign w:val="bottom"/>
          </w:tcPr>
          <w:p w14:paraId="6E66312E" w14:textId="77777777" w:rsidR="003F0EEA" w:rsidRDefault="00FB7D0B">
            <w:pPr>
              <w:jc w:val="right"/>
              <w:rPr>
                <w:rFonts w:ascii="Arial" w:eastAsia="Arial" w:hAnsi="Arial" w:cs="Arial"/>
                <w:color w:val="000000"/>
                <w:sz w:val="16"/>
              </w:rPr>
            </w:pPr>
            <w:r>
              <w:rPr>
                <w:rFonts w:ascii="Arial" w:eastAsia="Arial" w:hAnsi="Arial" w:cs="Arial"/>
                <w:color w:val="000000"/>
                <w:sz w:val="16"/>
              </w:rPr>
              <w:t>expenses</w:t>
            </w:r>
          </w:p>
        </w:tc>
      </w:tr>
      <w:tr w:rsidR="00FB7D0B" w14:paraId="1089C037" w14:textId="77777777" w:rsidTr="00FB7D0B">
        <w:trPr>
          <w:trHeight w:val="225"/>
        </w:trPr>
        <w:tc>
          <w:tcPr>
            <w:tcW w:w="5700" w:type="dxa"/>
            <w:gridSpan w:val="2"/>
            <w:vMerge/>
            <w:tcBorders>
              <w:top w:val="nil"/>
              <w:left w:val="nil"/>
              <w:bottom w:val="nil"/>
              <w:right w:val="nil"/>
              <w:tl2br w:val="nil"/>
              <w:tr2bl w:val="nil"/>
            </w:tcBorders>
            <w:shd w:val="clear" w:color="auto" w:fill="FFFF00"/>
            <w:tcMar>
              <w:left w:w="101" w:type="dxa"/>
              <w:right w:w="101" w:type="dxa"/>
            </w:tcMar>
            <w:vAlign w:val="bottom"/>
          </w:tcPr>
          <w:p w14:paraId="129D2759" w14:textId="77777777" w:rsidR="003F0EEA" w:rsidRDefault="003F0EEA">
            <w:pPr>
              <w:jc w:val="right"/>
              <w:rPr>
                <w:rFonts w:ascii="Arial" w:eastAsia="Arial" w:hAnsi="Arial" w:cs="Arial"/>
                <w:color w:val="000000"/>
                <w:sz w:val="16"/>
              </w:rPr>
            </w:pPr>
          </w:p>
        </w:tc>
        <w:tc>
          <w:tcPr>
            <w:tcW w:w="1275" w:type="dxa"/>
            <w:tcBorders>
              <w:top w:val="nil"/>
              <w:left w:val="nil"/>
              <w:bottom w:val="nil"/>
              <w:right w:val="nil"/>
              <w:tl2br w:val="nil"/>
              <w:tr2bl w:val="nil"/>
            </w:tcBorders>
            <w:shd w:val="clear" w:color="auto" w:fill="FFFFFF"/>
            <w:tcMar>
              <w:left w:w="101" w:type="dxa"/>
              <w:right w:w="101" w:type="dxa"/>
            </w:tcMar>
            <w:vAlign w:val="bottom"/>
          </w:tcPr>
          <w:p w14:paraId="31FB4D9C" w14:textId="77777777" w:rsidR="003F0EEA" w:rsidRDefault="00FB7D0B">
            <w:pPr>
              <w:jc w:val="right"/>
              <w:rPr>
                <w:rFonts w:ascii="Arial" w:eastAsia="Arial" w:hAnsi="Arial" w:cs="Arial"/>
                <w:color w:val="000000"/>
                <w:sz w:val="16"/>
              </w:rPr>
            </w:pPr>
            <w:r>
              <w:rPr>
                <w:rFonts w:ascii="Arial" w:eastAsia="Arial" w:hAnsi="Arial" w:cs="Arial"/>
                <w:color w:val="000000"/>
                <w:sz w:val="16"/>
              </w:rPr>
              <w:t>expenses</w:t>
            </w:r>
          </w:p>
        </w:tc>
        <w:tc>
          <w:tcPr>
            <w:tcW w:w="1275" w:type="dxa"/>
            <w:tcBorders>
              <w:top w:val="nil"/>
              <w:left w:val="nil"/>
              <w:bottom w:val="nil"/>
              <w:right w:val="nil"/>
              <w:tl2br w:val="nil"/>
              <w:tr2bl w:val="nil"/>
            </w:tcBorders>
            <w:shd w:val="clear" w:color="auto" w:fill="FFFF00"/>
            <w:tcMar>
              <w:left w:w="101" w:type="dxa"/>
              <w:right w:w="101" w:type="dxa"/>
            </w:tcMar>
            <w:vAlign w:val="bottom"/>
          </w:tcPr>
          <w:p w14:paraId="10DD3011" w14:textId="77777777" w:rsidR="003F0EEA" w:rsidRDefault="003F0EEA">
            <w:pPr>
              <w:jc w:val="right"/>
              <w:rPr>
                <w:rFonts w:ascii="Arial" w:eastAsia="Arial" w:hAnsi="Arial" w:cs="Arial"/>
                <w:color w:val="000000"/>
                <w:sz w:val="16"/>
              </w:rPr>
            </w:pPr>
          </w:p>
        </w:tc>
      </w:tr>
      <w:tr w:rsidR="00FB7D0B" w14:paraId="2FA2D3A9" w14:textId="77777777" w:rsidTr="00FB7D0B">
        <w:trPr>
          <w:trHeight w:val="225"/>
        </w:trPr>
        <w:tc>
          <w:tcPr>
            <w:tcW w:w="5700" w:type="dxa"/>
            <w:gridSpan w:val="2"/>
            <w:vMerge/>
            <w:tcBorders>
              <w:top w:val="nil"/>
              <w:left w:val="nil"/>
              <w:bottom w:val="nil"/>
              <w:right w:val="nil"/>
              <w:tl2br w:val="nil"/>
              <w:tr2bl w:val="nil"/>
            </w:tcBorders>
            <w:shd w:val="clear" w:color="auto" w:fill="FFFF00"/>
            <w:tcMar>
              <w:left w:w="101" w:type="dxa"/>
              <w:right w:w="101" w:type="dxa"/>
            </w:tcMar>
            <w:vAlign w:val="bottom"/>
          </w:tcPr>
          <w:p w14:paraId="0F9FAEC3" w14:textId="77777777" w:rsidR="003F0EEA" w:rsidRDefault="003F0EEA">
            <w:pPr>
              <w:jc w:val="right"/>
              <w:rPr>
                <w:rFonts w:ascii="Arial" w:eastAsia="Arial" w:hAnsi="Arial" w:cs="Arial"/>
                <w:color w:val="000000"/>
                <w:sz w:val="16"/>
              </w:rPr>
            </w:pPr>
          </w:p>
        </w:tc>
        <w:tc>
          <w:tcPr>
            <w:tcW w:w="1275" w:type="dxa"/>
            <w:tcBorders>
              <w:top w:val="nil"/>
              <w:left w:val="nil"/>
              <w:bottom w:val="none" w:sz="2" w:space="0" w:color="000000"/>
              <w:right w:val="nil"/>
              <w:tl2br w:val="nil"/>
              <w:tr2bl w:val="nil"/>
            </w:tcBorders>
            <w:shd w:val="clear" w:color="auto" w:fill="FFFFFF"/>
            <w:tcMar>
              <w:left w:w="101" w:type="dxa"/>
              <w:right w:w="101" w:type="dxa"/>
            </w:tcMar>
            <w:vAlign w:val="bottom"/>
          </w:tcPr>
          <w:p w14:paraId="7C002BD4" w14:textId="77777777" w:rsidR="003F0EEA" w:rsidRDefault="00FB7D0B">
            <w:pPr>
              <w:jc w:val="right"/>
              <w:rPr>
                <w:rFonts w:ascii="Arial" w:eastAsia="Arial" w:hAnsi="Arial" w:cs="Arial"/>
                <w:color w:val="000000"/>
                <w:sz w:val="16"/>
              </w:rPr>
            </w:pPr>
            <w:r>
              <w:rPr>
                <w:rFonts w:ascii="Arial" w:eastAsia="Arial" w:hAnsi="Arial" w:cs="Arial"/>
                <w:color w:val="000000"/>
                <w:sz w:val="16"/>
              </w:rPr>
              <w:t>$'000</w:t>
            </w:r>
          </w:p>
        </w:tc>
        <w:tc>
          <w:tcPr>
            <w:tcW w:w="1275" w:type="dxa"/>
            <w:tcBorders>
              <w:top w:val="nil"/>
              <w:left w:val="nil"/>
              <w:bottom w:val="none" w:sz="2" w:space="0" w:color="000000"/>
              <w:right w:val="nil"/>
              <w:tl2br w:val="nil"/>
              <w:tr2bl w:val="nil"/>
            </w:tcBorders>
            <w:shd w:val="clear" w:color="auto" w:fill="FFFF00"/>
            <w:tcMar>
              <w:left w:w="101" w:type="dxa"/>
              <w:right w:w="101" w:type="dxa"/>
            </w:tcMar>
            <w:vAlign w:val="bottom"/>
          </w:tcPr>
          <w:p w14:paraId="2D9E5EAD" w14:textId="77777777" w:rsidR="003F0EEA" w:rsidRDefault="00FB7D0B">
            <w:pPr>
              <w:jc w:val="right"/>
              <w:rPr>
                <w:rFonts w:ascii="Arial" w:eastAsia="Arial" w:hAnsi="Arial" w:cs="Arial"/>
                <w:color w:val="000000"/>
                <w:sz w:val="16"/>
              </w:rPr>
            </w:pPr>
            <w:r>
              <w:rPr>
                <w:rFonts w:ascii="Arial" w:eastAsia="Arial" w:hAnsi="Arial" w:cs="Arial"/>
                <w:color w:val="000000"/>
                <w:sz w:val="16"/>
              </w:rPr>
              <w:t>$'000</w:t>
            </w:r>
          </w:p>
        </w:tc>
      </w:tr>
      <w:tr w:rsidR="00FB7D0B" w14:paraId="59B95D24" w14:textId="77777777" w:rsidTr="00FB7D0B">
        <w:trPr>
          <w:trHeight w:val="510"/>
        </w:trPr>
        <w:tc>
          <w:tcPr>
            <w:tcW w:w="5700" w:type="dxa"/>
            <w:gridSpan w:val="2"/>
            <w:tcBorders>
              <w:top w:val="nil"/>
              <w:left w:val="nil"/>
              <w:bottom w:val="nil"/>
              <w:right w:val="nil"/>
              <w:tl2br w:val="nil"/>
              <w:tr2bl w:val="nil"/>
            </w:tcBorders>
            <w:shd w:val="clear" w:color="auto" w:fill="FFFFFF"/>
            <w:tcMar>
              <w:left w:w="101" w:type="dxa"/>
              <w:right w:w="101" w:type="dxa"/>
            </w:tcMar>
            <w:vAlign w:val="bottom"/>
          </w:tcPr>
          <w:p w14:paraId="149ED8CF" w14:textId="77777777" w:rsidR="003F0EEA" w:rsidRDefault="00FB7D0B">
            <w:pPr>
              <w:rPr>
                <w:rFonts w:ascii="Arial" w:eastAsia="Arial" w:hAnsi="Arial" w:cs="Arial"/>
                <w:color w:val="000000"/>
                <w:sz w:val="16"/>
              </w:rPr>
            </w:pPr>
            <w:r>
              <w:rPr>
                <w:rFonts w:ascii="Arial" w:eastAsia="Arial" w:hAnsi="Arial" w:cs="Arial"/>
                <w:b/>
                <w:color w:val="000000"/>
                <w:sz w:val="16"/>
              </w:rPr>
              <w:t>Programme 1.3:  Assistance to Defence Widow/ers and Dependants</w:t>
            </w:r>
          </w:p>
        </w:tc>
        <w:tc>
          <w:tcPr>
            <w:tcW w:w="127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2CF02B95" w14:textId="77777777" w:rsidR="003F0EEA" w:rsidRDefault="003F0EEA">
            <w:pPr>
              <w:jc w:val="right"/>
              <w:rPr>
                <w:rFonts w:ascii="Arial" w:eastAsia="Arial" w:hAnsi="Arial" w:cs="Arial"/>
                <w:color w:val="000000"/>
                <w:sz w:val="16"/>
                <w:vertAlign w:val="superscript"/>
              </w:rPr>
            </w:pPr>
          </w:p>
        </w:tc>
        <w:tc>
          <w:tcPr>
            <w:tcW w:w="1275" w:type="dxa"/>
            <w:tcBorders>
              <w:top w:val="single" w:sz="6" w:space="0" w:color="000000"/>
              <w:left w:val="nil"/>
              <w:bottom w:val="nil"/>
              <w:right w:val="nil"/>
              <w:tl2br w:val="nil"/>
              <w:tr2bl w:val="nil"/>
            </w:tcBorders>
            <w:shd w:val="clear" w:color="auto" w:fill="FFFF00"/>
            <w:tcMar>
              <w:left w:w="101" w:type="dxa"/>
              <w:right w:w="101" w:type="dxa"/>
            </w:tcMar>
            <w:vAlign w:val="bottom"/>
          </w:tcPr>
          <w:p w14:paraId="14C4B751" w14:textId="77777777" w:rsidR="003F0EEA" w:rsidRDefault="003F0EEA">
            <w:pPr>
              <w:jc w:val="right"/>
              <w:rPr>
                <w:rFonts w:ascii="Arial" w:eastAsia="Arial" w:hAnsi="Arial" w:cs="Arial"/>
                <w:color w:val="000000"/>
                <w:sz w:val="16"/>
                <w:vertAlign w:val="superscript"/>
              </w:rPr>
            </w:pPr>
          </w:p>
        </w:tc>
      </w:tr>
      <w:tr w:rsidR="00FB7D0B" w14:paraId="2B324EA3" w14:textId="77777777" w:rsidTr="00FB7D0B">
        <w:trPr>
          <w:trHeight w:val="225"/>
        </w:trPr>
        <w:tc>
          <w:tcPr>
            <w:tcW w:w="5700" w:type="dxa"/>
            <w:gridSpan w:val="2"/>
            <w:tcBorders>
              <w:top w:val="nil"/>
              <w:left w:val="nil"/>
              <w:bottom w:val="nil"/>
              <w:right w:val="nil"/>
              <w:tl2br w:val="nil"/>
              <w:tr2bl w:val="nil"/>
            </w:tcBorders>
            <w:shd w:val="clear" w:color="auto" w:fill="FFFFFF"/>
            <w:tcMar>
              <w:left w:w="101" w:type="dxa"/>
              <w:right w:w="101" w:type="dxa"/>
            </w:tcMar>
            <w:vAlign w:val="bottom"/>
          </w:tcPr>
          <w:p w14:paraId="37370931" w14:textId="77777777" w:rsidR="003F0EEA" w:rsidRDefault="00FB7D0B">
            <w:pPr>
              <w:rPr>
                <w:rFonts w:ascii="Arial" w:eastAsia="Arial" w:hAnsi="Arial" w:cs="Arial"/>
                <w:color w:val="000000"/>
                <w:sz w:val="16"/>
                <w:vertAlign w:val="superscript"/>
              </w:rPr>
            </w:pPr>
            <w:r>
              <w:rPr>
                <w:rFonts w:ascii="Arial" w:eastAsia="Arial" w:hAnsi="Arial" w:cs="Arial"/>
                <w:color w:val="000000"/>
                <w:sz w:val="16"/>
              </w:rPr>
              <w:t>Administered Expenses</w:t>
            </w:r>
          </w:p>
        </w:tc>
        <w:tc>
          <w:tcPr>
            <w:tcW w:w="1275" w:type="dxa"/>
            <w:tcBorders>
              <w:top w:val="nil"/>
              <w:left w:val="nil"/>
              <w:bottom w:val="nil"/>
              <w:right w:val="nil"/>
              <w:tl2br w:val="nil"/>
              <w:tr2bl w:val="nil"/>
            </w:tcBorders>
            <w:shd w:val="clear" w:color="auto" w:fill="FFFFFF"/>
            <w:tcMar>
              <w:left w:w="101" w:type="dxa"/>
              <w:right w:w="101" w:type="dxa"/>
            </w:tcMar>
            <w:vAlign w:val="bottom"/>
          </w:tcPr>
          <w:p w14:paraId="556871D8" w14:textId="77777777" w:rsidR="003F0EEA" w:rsidRDefault="003F0EEA">
            <w:pPr>
              <w:jc w:val="right"/>
              <w:rPr>
                <w:rFonts w:ascii="Arial" w:eastAsia="Arial" w:hAnsi="Arial" w:cs="Arial"/>
                <w:color w:val="000000"/>
                <w:sz w:val="16"/>
                <w:vertAlign w:val="superscript"/>
              </w:rPr>
            </w:pPr>
          </w:p>
        </w:tc>
        <w:tc>
          <w:tcPr>
            <w:tcW w:w="1275" w:type="dxa"/>
            <w:tcBorders>
              <w:top w:val="nil"/>
              <w:left w:val="nil"/>
              <w:bottom w:val="nil"/>
              <w:right w:val="nil"/>
              <w:tl2br w:val="nil"/>
              <w:tr2bl w:val="nil"/>
            </w:tcBorders>
            <w:shd w:val="clear" w:color="auto" w:fill="FFFF00"/>
            <w:tcMar>
              <w:left w:w="101" w:type="dxa"/>
              <w:right w:w="101" w:type="dxa"/>
            </w:tcMar>
            <w:vAlign w:val="bottom"/>
          </w:tcPr>
          <w:p w14:paraId="22E44B87" w14:textId="77777777" w:rsidR="003F0EEA" w:rsidRDefault="003F0EEA">
            <w:pPr>
              <w:jc w:val="right"/>
              <w:rPr>
                <w:rFonts w:ascii="Arial" w:eastAsia="Arial" w:hAnsi="Arial" w:cs="Arial"/>
                <w:color w:val="000000"/>
                <w:sz w:val="16"/>
                <w:vertAlign w:val="superscript"/>
              </w:rPr>
            </w:pPr>
          </w:p>
        </w:tc>
      </w:tr>
      <w:tr w:rsidR="00724034" w14:paraId="6A3349C7" w14:textId="77777777">
        <w:trPr>
          <w:trHeight w:val="225"/>
        </w:trPr>
        <w:tc>
          <w:tcPr>
            <w:tcW w:w="300" w:type="dxa"/>
            <w:tcBorders>
              <w:top w:val="nil"/>
              <w:left w:val="nil"/>
              <w:bottom w:val="nil"/>
              <w:right w:val="nil"/>
              <w:tl2br w:val="nil"/>
              <w:tr2bl w:val="nil"/>
            </w:tcBorders>
            <w:shd w:val="clear" w:color="auto" w:fill="FFFFFF"/>
            <w:tcMar>
              <w:left w:w="101" w:type="dxa"/>
              <w:right w:w="101" w:type="dxa"/>
            </w:tcMar>
            <w:vAlign w:val="bottom"/>
          </w:tcPr>
          <w:p w14:paraId="43FF9FD4" w14:textId="77777777" w:rsidR="003F0EEA" w:rsidRDefault="003F0EEA">
            <w:pPr>
              <w:rPr>
                <w:rFonts w:ascii="Arial" w:eastAsia="Arial" w:hAnsi="Arial" w:cs="Arial"/>
                <w:color w:val="000000"/>
                <w:sz w:val="16"/>
                <w:vertAlign w:val="superscript"/>
              </w:rPr>
            </w:pPr>
          </w:p>
        </w:tc>
        <w:tc>
          <w:tcPr>
            <w:tcW w:w="5400" w:type="dxa"/>
            <w:tcBorders>
              <w:top w:val="nil"/>
              <w:left w:val="nil"/>
              <w:bottom w:val="nil"/>
              <w:right w:val="nil"/>
              <w:tl2br w:val="nil"/>
              <w:tr2bl w:val="nil"/>
            </w:tcBorders>
            <w:shd w:val="clear" w:color="auto" w:fill="FFFFFF"/>
            <w:tcMar>
              <w:left w:w="101" w:type="dxa"/>
              <w:right w:w="101" w:type="dxa"/>
            </w:tcMar>
            <w:vAlign w:val="bottom"/>
          </w:tcPr>
          <w:p w14:paraId="40A34EF9" w14:textId="77777777" w:rsidR="003F0EEA" w:rsidRDefault="00FB7D0B">
            <w:pPr>
              <w:rPr>
                <w:rFonts w:ascii="Arial" w:eastAsia="Arial" w:hAnsi="Arial" w:cs="Arial"/>
                <w:color w:val="000000"/>
                <w:sz w:val="16"/>
                <w:vertAlign w:val="superscript"/>
              </w:rPr>
            </w:pPr>
            <w:r>
              <w:rPr>
                <w:rFonts w:ascii="Arial" w:eastAsia="Arial" w:hAnsi="Arial" w:cs="Arial"/>
                <w:color w:val="000000"/>
                <w:sz w:val="16"/>
              </w:rPr>
              <w:t>Ordinary annual services (Appropriation Bill No. 1)</w:t>
            </w:r>
          </w:p>
        </w:tc>
        <w:tc>
          <w:tcPr>
            <w:tcW w:w="1275" w:type="dxa"/>
            <w:tcBorders>
              <w:top w:val="nil"/>
              <w:left w:val="nil"/>
              <w:bottom w:val="nil"/>
              <w:right w:val="nil"/>
              <w:tl2br w:val="nil"/>
              <w:tr2bl w:val="nil"/>
            </w:tcBorders>
            <w:shd w:val="clear" w:color="auto" w:fill="FFFFFF"/>
            <w:tcMar>
              <w:left w:w="101" w:type="dxa"/>
              <w:right w:w="101" w:type="dxa"/>
            </w:tcMar>
            <w:vAlign w:val="bottom"/>
          </w:tcPr>
          <w:p w14:paraId="541980D2" w14:textId="77777777" w:rsidR="003F0EEA" w:rsidRDefault="00FB7D0B">
            <w:pPr>
              <w:jc w:val="right"/>
              <w:rPr>
                <w:rFonts w:ascii="Arial" w:eastAsia="Arial" w:hAnsi="Arial" w:cs="Arial"/>
                <w:color w:val="000000"/>
                <w:sz w:val="16"/>
                <w:vertAlign w:val="superscript"/>
              </w:rPr>
            </w:pPr>
            <w:r>
              <w:rPr>
                <w:rFonts w:ascii="Arial" w:eastAsia="Arial" w:hAnsi="Arial" w:cs="Arial"/>
                <w:color w:val="000000"/>
                <w:sz w:val="16"/>
              </w:rPr>
              <w:t xml:space="preserve"> - </w:t>
            </w:r>
          </w:p>
        </w:tc>
        <w:tc>
          <w:tcPr>
            <w:tcW w:w="1275" w:type="dxa"/>
            <w:tcBorders>
              <w:top w:val="nil"/>
              <w:left w:val="nil"/>
              <w:bottom w:val="nil"/>
              <w:right w:val="nil"/>
              <w:tl2br w:val="nil"/>
              <w:tr2bl w:val="nil"/>
            </w:tcBorders>
            <w:shd w:val="clear" w:color="auto" w:fill="FFFF00"/>
            <w:tcMar>
              <w:left w:w="101" w:type="dxa"/>
              <w:right w:w="101" w:type="dxa"/>
            </w:tcMar>
            <w:vAlign w:val="bottom"/>
          </w:tcPr>
          <w:p w14:paraId="716FD460" w14:textId="77777777" w:rsidR="003F0EEA" w:rsidRDefault="00FB7D0B">
            <w:pPr>
              <w:jc w:val="right"/>
              <w:rPr>
                <w:rFonts w:ascii="Arial" w:eastAsia="Arial" w:hAnsi="Arial" w:cs="Arial"/>
                <w:color w:val="000000"/>
                <w:sz w:val="16"/>
              </w:rPr>
            </w:pPr>
            <w:r>
              <w:rPr>
                <w:rFonts w:ascii="Arial" w:eastAsia="Arial" w:hAnsi="Arial" w:cs="Arial"/>
                <w:color w:val="000000"/>
                <w:sz w:val="16"/>
              </w:rPr>
              <w:t xml:space="preserve"> - </w:t>
            </w:r>
          </w:p>
        </w:tc>
      </w:tr>
      <w:tr w:rsidR="00724034" w14:paraId="7E0CE219" w14:textId="77777777">
        <w:trPr>
          <w:trHeight w:val="225"/>
        </w:trPr>
        <w:tc>
          <w:tcPr>
            <w:tcW w:w="300" w:type="dxa"/>
            <w:tcBorders>
              <w:top w:val="nil"/>
              <w:left w:val="nil"/>
              <w:bottom w:val="nil"/>
              <w:right w:val="nil"/>
              <w:tl2br w:val="nil"/>
              <w:tr2bl w:val="nil"/>
            </w:tcBorders>
            <w:shd w:val="clear" w:color="auto" w:fill="FFFFFF"/>
            <w:tcMar>
              <w:left w:w="101" w:type="dxa"/>
              <w:right w:w="101" w:type="dxa"/>
            </w:tcMar>
            <w:vAlign w:val="bottom"/>
          </w:tcPr>
          <w:p w14:paraId="4CA24E81" w14:textId="77777777" w:rsidR="003F0EEA" w:rsidRDefault="003F0EEA">
            <w:pPr>
              <w:rPr>
                <w:rFonts w:ascii="Arial" w:eastAsia="Arial" w:hAnsi="Arial" w:cs="Arial"/>
                <w:color w:val="000000"/>
                <w:sz w:val="16"/>
              </w:rPr>
            </w:pPr>
          </w:p>
        </w:tc>
        <w:tc>
          <w:tcPr>
            <w:tcW w:w="5400" w:type="dxa"/>
            <w:tcBorders>
              <w:top w:val="nil"/>
              <w:left w:val="nil"/>
              <w:bottom w:val="nil"/>
              <w:right w:val="nil"/>
              <w:tl2br w:val="nil"/>
              <w:tr2bl w:val="nil"/>
            </w:tcBorders>
            <w:shd w:val="clear" w:color="auto" w:fill="FFFFFF"/>
            <w:tcMar>
              <w:left w:w="101" w:type="dxa"/>
              <w:right w:w="101" w:type="dxa"/>
            </w:tcMar>
            <w:vAlign w:val="bottom"/>
          </w:tcPr>
          <w:p w14:paraId="09AA8455" w14:textId="77777777" w:rsidR="003F0EEA" w:rsidRDefault="00FB7D0B">
            <w:pPr>
              <w:rPr>
                <w:rFonts w:ascii="Arial" w:eastAsia="Arial" w:hAnsi="Arial" w:cs="Arial"/>
                <w:color w:val="000000"/>
                <w:sz w:val="16"/>
              </w:rPr>
            </w:pPr>
            <w:r>
              <w:rPr>
                <w:rFonts w:ascii="Arial" w:eastAsia="Arial" w:hAnsi="Arial" w:cs="Arial"/>
                <w:color w:val="000000"/>
                <w:sz w:val="16"/>
              </w:rPr>
              <w:t>Other services (Appropriation Bill No. 2)</w:t>
            </w:r>
          </w:p>
        </w:tc>
        <w:tc>
          <w:tcPr>
            <w:tcW w:w="1275" w:type="dxa"/>
            <w:tcBorders>
              <w:top w:val="nil"/>
              <w:left w:val="nil"/>
              <w:bottom w:val="nil"/>
              <w:right w:val="nil"/>
              <w:tl2br w:val="nil"/>
              <w:tr2bl w:val="nil"/>
            </w:tcBorders>
            <w:shd w:val="clear" w:color="auto" w:fill="FFFFFF"/>
            <w:tcMar>
              <w:left w:w="101" w:type="dxa"/>
              <w:right w:w="101" w:type="dxa"/>
            </w:tcMar>
            <w:vAlign w:val="bottom"/>
          </w:tcPr>
          <w:p w14:paraId="6DA35FB5" w14:textId="77777777" w:rsidR="003F0EEA" w:rsidRDefault="00FB7D0B">
            <w:pPr>
              <w:jc w:val="right"/>
              <w:rPr>
                <w:rFonts w:ascii="Arial" w:eastAsia="Arial" w:hAnsi="Arial" w:cs="Arial"/>
                <w:color w:val="000000"/>
                <w:sz w:val="16"/>
                <w:vertAlign w:val="superscript"/>
              </w:rPr>
            </w:pPr>
            <w:r>
              <w:rPr>
                <w:rFonts w:ascii="Arial" w:eastAsia="Arial" w:hAnsi="Arial" w:cs="Arial"/>
                <w:color w:val="000000"/>
                <w:sz w:val="16"/>
              </w:rPr>
              <w:t xml:space="preserve"> - </w:t>
            </w:r>
          </w:p>
        </w:tc>
        <w:tc>
          <w:tcPr>
            <w:tcW w:w="1275" w:type="dxa"/>
            <w:tcBorders>
              <w:top w:val="nil"/>
              <w:left w:val="nil"/>
              <w:bottom w:val="nil"/>
              <w:right w:val="nil"/>
              <w:tl2br w:val="nil"/>
              <w:tr2bl w:val="nil"/>
            </w:tcBorders>
            <w:shd w:val="clear" w:color="auto" w:fill="FFFF00"/>
            <w:tcMar>
              <w:left w:w="101" w:type="dxa"/>
              <w:right w:w="101" w:type="dxa"/>
            </w:tcMar>
            <w:vAlign w:val="bottom"/>
          </w:tcPr>
          <w:p w14:paraId="2F9B90C0" w14:textId="77777777" w:rsidR="003F0EEA" w:rsidRDefault="00FB7D0B">
            <w:pPr>
              <w:jc w:val="right"/>
              <w:rPr>
                <w:rFonts w:ascii="Arial" w:eastAsia="Arial" w:hAnsi="Arial" w:cs="Arial"/>
                <w:color w:val="000000"/>
                <w:sz w:val="16"/>
              </w:rPr>
            </w:pPr>
            <w:r>
              <w:rPr>
                <w:rFonts w:ascii="Arial" w:eastAsia="Arial" w:hAnsi="Arial" w:cs="Arial"/>
                <w:color w:val="000000"/>
                <w:sz w:val="16"/>
              </w:rPr>
              <w:t xml:space="preserve"> - </w:t>
            </w:r>
          </w:p>
        </w:tc>
      </w:tr>
      <w:tr w:rsidR="00724034" w14:paraId="5D9C3D0B" w14:textId="77777777">
        <w:trPr>
          <w:trHeight w:val="225"/>
        </w:trPr>
        <w:tc>
          <w:tcPr>
            <w:tcW w:w="300" w:type="dxa"/>
            <w:tcBorders>
              <w:top w:val="nil"/>
              <w:left w:val="nil"/>
              <w:bottom w:val="nil"/>
              <w:right w:val="nil"/>
              <w:tl2br w:val="nil"/>
              <w:tr2bl w:val="nil"/>
            </w:tcBorders>
            <w:shd w:val="clear" w:color="auto" w:fill="FFFFFF"/>
            <w:tcMar>
              <w:left w:w="101" w:type="dxa"/>
              <w:right w:w="101" w:type="dxa"/>
            </w:tcMar>
            <w:vAlign w:val="bottom"/>
          </w:tcPr>
          <w:p w14:paraId="4F4ADCCE" w14:textId="77777777" w:rsidR="003F0EEA" w:rsidRDefault="003F0EEA">
            <w:pPr>
              <w:rPr>
                <w:rFonts w:ascii="Arial" w:eastAsia="Arial" w:hAnsi="Arial" w:cs="Arial"/>
                <w:color w:val="000000"/>
                <w:sz w:val="16"/>
              </w:rPr>
            </w:pPr>
          </w:p>
        </w:tc>
        <w:tc>
          <w:tcPr>
            <w:tcW w:w="5400" w:type="dxa"/>
            <w:tcBorders>
              <w:top w:val="nil"/>
              <w:left w:val="nil"/>
              <w:bottom w:val="nil"/>
              <w:right w:val="nil"/>
              <w:tl2br w:val="nil"/>
              <w:tr2bl w:val="nil"/>
            </w:tcBorders>
            <w:shd w:val="clear" w:color="auto" w:fill="FFFFFF"/>
            <w:tcMar>
              <w:left w:w="101" w:type="dxa"/>
              <w:right w:w="101" w:type="dxa"/>
            </w:tcMar>
            <w:vAlign w:val="bottom"/>
          </w:tcPr>
          <w:p w14:paraId="0605B144" w14:textId="77777777" w:rsidR="003F0EEA" w:rsidRDefault="00FB7D0B">
            <w:pPr>
              <w:rPr>
                <w:rFonts w:ascii="Arial" w:eastAsia="Arial" w:hAnsi="Arial" w:cs="Arial"/>
                <w:color w:val="000000"/>
                <w:sz w:val="16"/>
              </w:rPr>
            </w:pPr>
            <w:r>
              <w:rPr>
                <w:rFonts w:ascii="Arial" w:eastAsia="Arial" w:hAnsi="Arial" w:cs="Arial"/>
                <w:color w:val="000000"/>
                <w:sz w:val="16"/>
              </w:rPr>
              <w:t>Special Appropriations</w:t>
            </w:r>
          </w:p>
        </w:tc>
        <w:tc>
          <w:tcPr>
            <w:tcW w:w="1275" w:type="dxa"/>
            <w:tcBorders>
              <w:top w:val="nil"/>
              <w:left w:val="nil"/>
              <w:bottom w:val="nil"/>
              <w:right w:val="nil"/>
              <w:tl2br w:val="nil"/>
              <w:tr2bl w:val="nil"/>
            </w:tcBorders>
            <w:shd w:val="clear" w:color="auto" w:fill="FFFFFF"/>
            <w:tcMar>
              <w:left w:w="101" w:type="dxa"/>
              <w:right w:w="101" w:type="dxa"/>
            </w:tcMar>
            <w:vAlign w:val="bottom"/>
          </w:tcPr>
          <w:p w14:paraId="236E3CCB" w14:textId="77777777" w:rsidR="003F0EEA" w:rsidRDefault="00FB7D0B">
            <w:pPr>
              <w:jc w:val="right"/>
              <w:rPr>
                <w:rFonts w:ascii="Arial" w:eastAsia="Arial" w:hAnsi="Arial" w:cs="Arial"/>
                <w:color w:val="000000"/>
                <w:sz w:val="16"/>
                <w:vertAlign w:val="superscript"/>
              </w:rPr>
            </w:pPr>
            <w:r>
              <w:rPr>
                <w:rFonts w:ascii="Arial" w:eastAsia="Arial" w:hAnsi="Arial" w:cs="Arial"/>
                <w:color w:val="000000"/>
                <w:sz w:val="16"/>
              </w:rPr>
              <w:t xml:space="preserve"> 1,845,971 </w:t>
            </w:r>
          </w:p>
        </w:tc>
        <w:tc>
          <w:tcPr>
            <w:tcW w:w="1275" w:type="dxa"/>
            <w:tcBorders>
              <w:top w:val="nil"/>
              <w:left w:val="nil"/>
              <w:bottom w:val="nil"/>
              <w:right w:val="nil"/>
              <w:tl2br w:val="nil"/>
              <w:tr2bl w:val="nil"/>
            </w:tcBorders>
            <w:shd w:val="clear" w:color="auto" w:fill="FFFF00"/>
            <w:tcMar>
              <w:left w:w="101" w:type="dxa"/>
              <w:right w:w="101" w:type="dxa"/>
            </w:tcMar>
            <w:vAlign w:val="bottom"/>
          </w:tcPr>
          <w:p w14:paraId="571F0F56" w14:textId="77777777" w:rsidR="003F0EEA" w:rsidRDefault="00FB7D0B">
            <w:pPr>
              <w:jc w:val="right"/>
              <w:rPr>
                <w:rFonts w:ascii="Arial" w:eastAsia="Arial" w:hAnsi="Arial" w:cs="Arial"/>
                <w:color w:val="000000"/>
                <w:sz w:val="16"/>
              </w:rPr>
            </w:pPr>
            <w:r>
              <w:rPr>
                <w:rFonts w:ascii="Arial" w:eastAsia="Arial" w:hAnsi="Arial" w:cs="Arial"/>
                <w:color w:val="000000"/>
                <w:sz w:val="16"/>
              </w:rPr>
              <w:t xml:space="preserve"> 1,811,869 </w:t>
            </w:r>
          </w:p>
        </w:tc>
      </w:tr>
      <w:tr w:rsidR="00724034" w14:paraId="2AA7FB22" w14:textId="77777777">
        <w:trPr>
          <w:trHeight w:val="225"/>
        </w:trPr>
        <w:tc>
          <w:tcPr>
            <w:tcW w:w="300" w:type="dxa"/>
            <w:tcBorders>
              <w:top w:val="nil"/>
              <w:left w:val="nil"/>
              <w:bottom w:val="nil"/>
              <w:right w:val="nil"/>
              <w:tl2br w:val="nil"/>
              <w:tr2bl w:val="nil"/>
            </w:tcBorders>
            <w:shd w:val="clear" w:color="auto" w:fill="FFFFFF"/>
            <w:tcMar>
              <w:left w:w="101" w:type="dxa"/>
              <w:right w:w="101" w:type="dxa"/>
            </w:tcMar>
            <w:vAlign w:val="bottom"/>
          </w:tcPr>
          <w:p w14:paraId="4DDEB0ED" w14:textId="77777777" w:rsidR="003F0EEA" w:rsidRDefault="003F0EEA">
            <w:pPr>
              <w:rPr>
                <w:rFonts w:ascii="Arial" w:eastAsia="Arial" w:hAnsi="Arial" w:cs="Arial"/>
                <w:color w:val="000000"/>
                <w:sz w:val="16"/>
              </w:rPr>
            </w:pPr>
          </w:p>
        </w:tc>
        <w:tc>
          <w:tcPr>
            <w:tcW w:w="5400" w:type="dxa"/>
            <w:tcBorders>
              <w:top w:val="nil"/>
              <w:left w:val="nil"/>
              <w:bottom w:val="nil"/>
              <w:right w:val="nil"/>
              <w:tl2br w:val="nil"/>
              <w:tr2bl w:val="nil"/>
            </w:tcBorders>
            <w:shd w:val="clear" w:color="auto" w:fill="FFFFFF"/>
            <w:tcMar>
              <w:left w:w="101" w:type="dxa"/>
              <w:right w:w="101" w:type="dxa"/>
            </w:tcMar>
            <w:vAlign w:val="bottom"/>
          </w:tcPr>
          <w:p w14:paraId="73365D72" w14:textId="77777777" w:rsidR="003F0EEA" w:rsidRDefault="00FB7D0B">
            <w:pPr>
              <w:rPr>
                <w:rFonts w:ascii="Arial" w:eastAsia="Arial" w:hAnsi="Arial" w:cs="Arial"/>
                <w:color w:val="000000"/>
                <w:sz w:val="16"/>
              </w:rPr>
            </w:pPr>
            <w:r>
              <w:rPr>
                <w:rFonts w:ascii="Arial" w:eastAsia="Arial" w:hAnsi="Arial" w:cs="Arial"/>
                <w:color w:val="000000"/>
                <w:sz w:val="16"/>
              </w:rPr>
              <w:t>Special Accounts</w:t>
            </w:r>
          </w:p>
        </w:tc>
        <w:tc>
          <w:tcPr>
            <w:tcW w:w="1275" w:type="dxa"/>
            <w:tcBorders>
              <w:top w:val="nil"/>
              <w:left w:val="nil"/>
              <w:bottom w:val="nil"/>
              <w:right w:val="nil"/>
              <w:tl2br w:val="nil"/>
              <w:tr2bl w:val="nil"/>
            </w:tcBorders>
            <w:shd w:val="clear" w:color="auto" w:fill="FFFFFF"/>
            <w:tcMar>
              <w:left w:w="101" w:type="dxa"/>
              <w:right w:w="101" w:type="dxa"/>
            </w:tcMar>
            <w:vAlign w:val="bottom"/>
          </w:tcPr>
          <w:p w14:paraId="07ABC718" w14:textId="77777777" w:rsidR="003F0EEA" w:rsidRDefault="00FB7D0B">
            <w:pPr>
              <w:jc w:val="right"/>
              <w:rPr>
                <w:rFonts w:ascii="Arial" w:eastAsia="Arial" w:hAnsi="Arial" w:cs="Arial"/>
                <w:color w:val="000000"/>
                <w:sz w:val="16"/>
                <w:vertAlign w:val="superscript"/>
              </w:rPr>
            </w:pPr>
            <w:r>
              <w:rPr>
                <w:rFonts w:ascii="Arial" w:eastAsia="Arial" w:hAnsi="Arial" w:cs="Arial"/>
                <w:color w:val="000000"/>
                <w:sz w:val="16"/>
              </w:rPr>
              <w:t xml:space="preserve"> - </w:t>
            </w:r>
          </w:p>
        </w:tc>
        <w:tc>
          <w:tcPr>
            <w:tcW w:w="1275" w:type="dxa"/>
            <w:tcBorders>
              <w:top w:val="nil"/>
              <w:left w:val="nil"/>
              <w:bottom w:val="nil"/>
              <w:right w:val="nil"/>
              <w:tl2br w:val="nil"/>
              <w:tr2bl w:val="nil"/>
            </w:tcBorders>
            <w:shd w:val="clear" w:color="auto" w:fill="FFFF00"/>
            <w:tcMar>
              <w:left w:w="101" w:type="dxa"/>
              <w:right w:w="101" w:type="dxa"/>
            </w:tcMar>
            <w:vAlign w:val="bottom"/>
          </w:tcPr>
          <w:p w14:paraId="64018DC0" w14:textId="77777777" w:rsidR="003F0EEA" w:rsidRDefault="00FB7D0B">
            <w:pPr>
              <w:jc w:val="right"/>
              <w:rPr>
                <w:rFonts w:ascii="Arial" w:eastAsia="Arial" w:hAnsi="Arial" w:cs="Arial"/>
                <w:color w:val="000000"/>
                <w:sz w:val="16"/>
              </w:rPr>
            </w:pPr>
            <w:r>
              <w:rPr>
                <w:rFonts w:ascii="Arial" w:eastAsia="Arial" w:hAnsi="Arial" w:cs="Arial"/>
                <w:color w:val="000000"/>
                <w:sz w:val="16"/>
              </w:rPr>
              <w:t xml:space="preserve"> - </w:t>
            </w:r>
          </w:p>
        </w:tc>
      </w:tr>
      <w:tr w:rsidR="00FB7D0B" w14:paraId="7184B814" w14:textId="77777777" w:rsidTr="00FB7D0B">
        <w:trPr>
          <w:trHeight w:val="225"/>
        </w:trPr>
        <w:tc>
          <w:tcPr>
            <w:tcW w:w="5700" w:type="dxa"/>
            <w:gridSpan w:val="2"/>
            <w:tcBorders>
              <w:top w:val="nil"/>
              <w:left w:val="nil"/>
              <w:bottom w:val="nil"/>
              <w:right w:val="nil"/>
              <w:tl2br w:val="nil"/>
              <w:tr2bl w:val="nil"/>
            </w:tcBorders>
            <w:shd w:val="clear" w:color="auto" w:fill="FFFFFF"/>
            <w:tcMar>
              <w:left w:w="101" w:type="dxa"/>
              <w:right w:w="101" w:type="dxa"/>
            </w:tcMar>
            <w:vAlign w:val="bottom"/>
          </w:tcPr>
          <w:p w14:paraId="095A0EE9" w14:textId="77777777" w:rsidR="003F0EEA" w:rsidRDefault="00FB7D0B">
            <w:pPr>
              <w:rPr>
                <w:rFonts w:ascii="Arial" w:eastAsia="Arial" w:hAnsi="Arial" w:cs="Arial"/>
                <w:color w:val="000000"/>
                <w:sz w:val="16"/>
              </w:rPr>
            </w:pPr>
            <w:r>
              <w:rPr>
                <w:rFonts w:ascii="Arial" w:eastAsia="Arial" w:hAnsi="Arial" w:cs="Arial"/>
                <w:color w:val="000000"/>
                <w:sz w:val="16"/>
              </w:rPr>
              <w:t>Departmental Expenses</w:t>
            </w:r>
          </w:p>
        </w:tc>
        <w:tc>
          <w:tcPr>
            <w:tcW w:w="1275" w:type="dxa"/>
            <w:tcBorders>
              <w:top w:val="nil"/>
              <w:left w:val="nil"/>
              <w:bottom w:val="nil"/>
              <w:right w:val="nil"/>
              <w:tl2br w:val="nil"/>
              <w:tr2bl w:val="nil"/>
            </w:tcBorders>
            <w:shd w:val="clear" w:color="auto" w:fill="FFFFFF"/>
            <w:tcMar>
              <w:left w:w="101" w:type="dxa"/>
              <w:right w:w="101" w:type="dxa"/>
            </w:tcMar>
            <w:vAlign w:val="bottom"/>
          </w:tcPr>
          <w:p w14:paraId="5EFAC607" w14:textId="77777777" w:rsidR="003F0EEA" w:rsidRDefault="003F0EEA">
            <w:pPr>
              <w:jc w:val="right"/>
              <w:rPr>
                <w:rFonts w:ascii="Arial" w:eastAsia="Arial" w:hAnsi="Arial" w:cs="Arial"/>
                <w:color w:val="000000"/>
                <w:sz w:val="16"/>
                <w:vertAlign w:val="superscript"/>
              </w:rPr>
            </w:pPr>
          </w:p>
        </w:tc>
        <w:tc>
          <w:tcPr>
            <w:tcW w:w="1275" w:type="dxa"/>
            <w:tcBorders>
              <w:top w:val="nil"/>
              <w:left w:val="nil"/>
              <w:bottom w:val="nil"/>
              <w:right w:val="nil"/>
              <w:tl2br w:val="nil"/>
              <w:tr2bl w:val="nil"/>
            </w:tcBorders>
            <w:shd w:val="clear" w:color="auto" w:fill="FFFF00"/>
            <w:tcMar>
              <w:left w:w="101" w:type="dxa"/>
              <w:right w:w="101" w:type="dxa"/>
            </w:tcMar>
            <w:vAlign w:val="bottom"/>
          </w:tcPr>
          <w:p w14:paraId="558BDC06" w14:textId="77777777" w:rsidR="003F0EEA" w:rsidRDefault="003F0EEA">
            <w:pPr>
              <w:jc w:val="right"/>
              <w:rPr>
                <w:rFonts w:ascii="Arial" w:eastAsia="Arial" w:hAnsi="Arial" w:cs="Arial"/>
                <w:color w:val="000000"/>
                <w:sz w:val="16"/>
                <w:vertAlign w:val="superscript"/>
              </w:rPr>
            </w:pPr>
          </w:p>
        </w:tc>
      </w:tr>
      <w:tr w:rsidR="00724034" w14:paraId="1F8545C7" w14:textId="77777777">
        <w:trPr>
          <w:trHeight w:val="225"/>
        </w:trPr>
        <w:tc>
          <w:tcPr>
            <w:tcW w:w="300" w:type="dxa"/>
            <w:tcBorders>
              <w:top w:val="nil"/>
              <w:left w:val="nil"/>
              <w:bottom w:val="nil"/>
              <w:right w:val="nil"/>
              <w:tl2br w:val="nil"/>
              <w:tr2bl w:val="nil"/>
            </w:tcBorders>
            <w:shd w:val="clear" w:color="auto" w:fill="FFFFFF"/>
            <w:tcMar>
              <w:left w:w="101" w:type="dxa"/>
              <w:right w:w="101" w:type="dxa"/>
            </w:tcMar>
            <w:vAlign w:val="bottom"/>
          </w:tcPr>
          <w:p w14:paraId="0B96D8AC" w14:textId="77777777" w:rsidR="003F0EEA" w:rsidRDefault="003F0EEA">
            <w:pPr>
              <w:rPr>
                <w:rFonts w:ascii="Arial" w:eastAsia="Arial" w:hAnsi="Arial" w:cs="Arial"/>
                <w:color w:val="000000"/>
                <w:sz w:val="16"/>
                <w:vertAlign w:val="superscript"/>
              </w:rPr>
            </w:pPr>
          </w:p>
        </w:tc>
        <w:tc>
          <w:tcPr>
            <w:tcW w:w="5400" w:type="dxa"/>
            <w:tcBorders>
              <w:top w:val="nil"/>
              <w:left w:val="nil"/>
              <w:bottom w:val="nil"/>
              <w:right w:val="nil"/>
              <w:tl2br w:val="nil"/>
              <w:tr2bl w:val="nil"/>
            </w:tcBorders>
            <w:shd w:val="clear" w:color="auto" w:fill="FFFFFF"/>
            <w:tcMar>
              <w:left w:w="101" w:type="dxa"/>
              <w:right w:w="101" w:type="dxa"/>
            </w:tcMar>
            <w:vAlign w:val="bottom"/>
          </w:tcPr>
          <w:p w14:paraId="3502E646" w14:textId="77777777" w:rsidR="003F0EEA" w:rsidRDefault="00FB7D0B">
            <w:pPr>
              <w:rPr>
                <w:rFonts w:ascii="Arial" w:eastAsia="Arial" w:hAnsi="Arial" w:cs="Arial"/>
                <w:color w:val="000000"/>
                <w:sz w:val="16"/>
                <w:vertAlign w:val="superscript"/>
              </w:rPr>
            </w:pPr>
            <w:r>
              <w:rPr>
                <w:rFonts w:ascii="Arial" w:eastAsia="Arial" w:hAnsi="Arial" w:cs="Arial"/>
                <w:color w:val="000000"/>
                <w:sz w:val="16"/>
              </w:rPr>
              <w:t>Departmental appropriation</w:t>
            </w:r>
            <w:r>
              <w:rPr>
                <w:rFonts w:ascii="Arial" w:eastAsia="Arial" w:hAnsi="Arial" w:cs="Arial"/>
                <w:color w:val="000000"/>
                <w:sz w:val="16"/>
                <w:vertAlign w:val="superscript"/>
              </w:rPr>
              <w:t>1 </w:t>
            </w:r>
          </w:p>
        </w:tc>
        <w:tc>
          <w:tcPr>
            <w:tcW w:w="1275" w:type="dxa"/>
            <w:tcBorders>
              <w:top w:val="nil"/>
              <w:left w:val="nil"/>
              <w:bottom w:val="nil"/>
              <w:right w:val="nil"/>
              <w:tl2br w:val="nil"/>
              <w:tr2bl w:val="nil"/>
            </w:tcBorders>
            <w:shd w:val="clear" w:color="auto" w:fill="FFFFFF"/>
            <w:tcMar>
              <w:left w:w="101" w:type="dxa"/>
              <w:right w:w="101" w:type="dxa"/>
            </w:tcMar>
            <w:vAlign w:val="bottom"/>
          </w:tcPr>
          <w:p w14:paraId="4B48D037" w14:textId="77777777" w:rsidR="003F0EEA" w:rsidRDefault="00FB7D0B">
            <w:pPr>
              <w:jc w:val="right"/>
              <w:rPr>
                <w:rFonts w:ascii="Arial" w:eastAsia="Arial" w:hAnsi="Arial" w:cs="Arial"/>
                <w:color w:val="000000"/>
                <w:sz w:val="16"/>
                <w:vertAlign w:val="superscript"/>
              </w:rPr>
            </w:pPr>
            <w:r>
              <w:rPr>
                <w:rFonts w:ascii="Arial" w:eastAsia="Arial" w:hAnsi="Arial" w:cs="Arial"/>
                <w:color w:val="000000"/>
                <w:sz w:val="16"/>
              </w:rPr>
              <w:t xml:space="preserve"> 10,523 </w:t>
            </w:r>
          </w:p>
        </w:tc>
        <w:tc>
          <w:tcPr>
            <w:tcW w:w="1275" w:type="dxa"/>
            <w:tcBorders>
              <w:top w:val="nil"/>
              <w:left w:val="nil"/>
              <w:bottom w:val="nil"/>
              <w:right w:val="nil"/>
              <w:tl2br w:val="nil"/>
              <w:tr2bl w:val="nil"/>
            </w:tcBorders>
            <w:shd w:val="clear" w:color="auto" w:fill="FFFF00"/>
            <w:tcMar>
              <w:left w:w="101" w:type="dxa"/>
              <w:right w:w="101" w:type="dxa"/>
            </w:tcMar>
            <w:vAlign w:val="bottom"/>
          </w:tcPr>
          <w:p w14:paraId="43689E14" w14:textId="77777777" w:rsidR="003F0EEA" w:rsidRDefault="00FB7D0B">
            <w:pPr>
              <w:jc w:val="right"/>
              <w:rPr>
                <w:rFonts w:ascii="Arial" w:eastAsia="Arial" w:hAnsi="Arial" w:cs="Arial"/>
                <w:color w:val="000000"/>
                <w:sz w:val="16"/>
              </w:rPr>
            </w:pPr>
            <w:r>
              <w:rPr>
                <w:rFonts w:ascii="Arial" w:eastAsia="Arial" w:hAnsi="Arial" w:cs="Arial"/>
                <w:color w:val="000000"/>
                <w:sz w:val="16"/>
              </w:rPr>
              <w:t xml:space="preserve"> 10,323 </w:t>
            </w:r>
          </w:p>
        </w:tc>
      </w:tr>
      <w:tr w:rsidR="00724034" w14:paraId="50F677AC" w14:textId="77777777">
        <w:trPr>
          <w:trHeight w:val="225"/>
        </w:trPr>
        <w:tc>
          <w:tcPr>
            <w:tcW w:w="300" w:type="dxa"/>
            <w:tcBorders>
              <w:top w:val="nil"/>
              <w:left w:val="nil"/>
              <w:bottom w:val="nil"/>
              <w:right w:val="nil"/>
              <w:tl2br w:val="nil"/>
              <w:tr2bl w:val="nil"/>
            </w:tcBorders>
            <w:shd w:val="clear" w:color="auto" w:fill="FFFFFF"/>
            <w:tcMar>
              <w:left w:w="101" w:type="dxa"/>
              <w:right w:w="101" w:type="dxa"/>
            </w:tcMar>
            <w:vAlign w:val="bottom"/>
          </w:tcPr>
          <w:p w14:paraId="56D294F8" w14:textId="77777777" w:rsidR="003F0EEA" w:rsidRDefault="003F0EEA">
            <w:pPr>
              <w:rPr>
                <w:rFonts w:ascii="Arial" w:eastAsia="Arial" w:hAnsi="Arial" w:cs="Arial"/>
                <w:color w:val="000000"/>
                <w:sz w:val="16"/>
              </w:rPr>
            </w:pPr>
          </w:p>
        </w:tc>
        <w:tc>
          <w:tcPr>
            <w:tcW w:w="5400" w:type="dxa"/>
            <w:tcBorders>
              <w:top w:val="nil"/>
              <w:left w:val="nil"/>
              <w:bottom w:val="nil"/>
              <w:right w:val="nil"/>
              <w:tl2br w:val="nil"/>
              <w:tr2bl w:val="nil"/>
            </w:tcBorders>
            <w:shd w:val="clear" w:color="auto" w:fill="FFFFFF"/>
            <w:tcMar>
              <w:left w:w="101" w:type="dxa"/>
              <w:right w:w="101" w:type="dxa"/>
            </w:tcMar>
            <w:vAlign w:val="bottom"/>
          </w:tcPr>
          <w:p w14:paraId="67A9D857" w14:textId="77777777" w:rsidR="003F0EEA" w:rsidRDefault="00FB7D0B">
            <w:pPr>
              <w:rPr>
                <w:rFonts w:ascii="Arial" w:eastAsia="Arial" w:hAnsi="Arial" w:cs="Arial"/>
                <w:color w:val="000000"/>
                <w:sz w:val="16"/>
              </w:rPr>
            </w:pPr>
            <w:r>
              <w:rPr>
                <w:rFonts w:ascii="Arial" w:eastAsia="Arial" w:hAnsi="Arial" w:cs="Arial"/>
                <w:color w:val="000000"/>
                <w:sz w:val="16"/>
              </w:rPr>
              <w:t>Expenses not requiring appropriation in the Budget year</w:t>
            </w:r>
            <w:r>
              <w:rPr>
                <w:rFonts w:ascii="Arial" w:eastAsia="Arial" w:hAnsi="Arial" w:cs="Arial"/>
                <w:color w:val="000000"/>
                <w:sz w:val="16"/>
                <w:vertAlign w:val="superscript"/>
              </w:rPr>
              <w:t>2 </w:t>
            </w:r>
          </w:p>
        </w:tc>
        <w:tc>
          <w:tcPr>
            <w:tcW w:w="1275"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79DD712C" w14:textId="77777777" w:rsidR="003F0EEA" w:rsidRDefault="00FB7D0B">
            <w:pPr>
              <w:jc w:val="right"/>
              <w:rPr>
                <w:rFonts w:ascii="Arial" w:eastAsia="Arial" w:hAnsi="Arial" w:cs="Arial"/>
                <w:color w:val="000000"/>
                <w:sz w:val="16"/>
                <w:vertAlign w:val="superscript"/>
              </w:rPr>
            </w:pPr>
            <w:r>
              <w:rPr>
                <w:rFonts w:ascii="Arial" w:eastAsia="Arial" w:hAnsi="Arial" w:cs="Arial"/>
                <w:color w:val="000000"/>
                <w:sz w:val="16"/>
              </w:rPr>
              <w:t xml:space="preserve"> 1,116 </w:t>
            </w:r>
          </w:p>
        </w:tc>
        <w:tc>
          <w:tcPr>
            <w:tcW w:w="1275" w:type="dxa"/>
            <w:tcBorders>
              <w:top w:val="nil"/>
              <w:left w:val="nil"/>
              <w:bottom w:val="single" w:sz="6" w:space="0" w:color="000000"/>
              <w:right w:val="nil"/>
              <w:tl2br w:val="nil"/>
              <w:tr2bl w:val="nil"/>
            </w:tcBorders>
            <w:shd w:val="clear" w:color="auto" w:fill="FFFF00"/>
            <w:tcMar>
              <w:left w:w="101" w:type="dxa"/>
              <w:right w:w="101" w:type="dxa"/>
            </w:tcMar>
            <w:vAlign w:val="bottom"/>
          </w:tcPr>
          <w:p w14:paraId="3F4B9095" w14:textId="77777777" w:rsidR="003F0EEA" w:rsidRDefault="00FB7D0B">
            <w:pPr>
              <w:jc w:val="right"/>
              <w:rPr>
                <w:rFonts w:ascii="Arial" w:eastAsia="Arial" w:hAnsi="Arial" w:cs="Arial"/>
                <w:color w:val="000000"/>
                <w:sz w:val="16"/>
              </w:rPr>
            </w:pPr>
            <w:r>
              <w:rPr>
                <w:rFonts w:ascii="Arial" w:eastAsia="Arial" w:hAnsi="Arial" w:cs="Arial"/>
                <w:color w:val="000000"/>
                <w:sz w:val="16"/>
              </w:rPr>
              <w:t xml:space="preserve"> 1,254 </w:t>
            </w:r>
          </w:p>
        </w:tc>
      </w:tr>
      <w:tr w:rsidR="00724034" w14:paraId="2B12BF75" w14:textId="77777777">
        <w:trPr>
          <w:trHeight w:val="225"/>
        </w:trPr>
        <w:tc>
          <w:tcPr>
            <w:tcW w:w="300" w:type="dxa"/>
            <w:tcBorders>
              <w:top w:val="nil"/>
              <w:left w:val="nil"/>
              <w:bottom w:val="nil"/>
              <w:right w:val="nil"/>
              <w:tl2br w:val="nil"/>
              <w:tr2bl w:val="nil"/>
            </w:tcBorders>
            <w:shd w:val="clear" w:color="auto" w:fill="FFFFFF"/>
            <w:tcMar>
              <w:left w:w="101" w:type="dxa"/>
              <w:right w:w="101" w:type="dxa"/>
            </w:tcMar>
            <w:vAlign w:val="bottom"/>
          </w:tcPr>
          <w:p w14:paraId="1A59EFA2" w14:textId="77777777" w:rsidR="003F0EEA" w:rsidRDefault="003F0EEA">
            <w:pPr>
              <w:rPr>
                <w:rFonts w:ascii="Arial" w:eastAsia="Arial" w:hAnsi="Arial" w:cs="Arial"/>
                <w:color w:val="000000"/>
                <w:sz w:val="16"/>
              </w:rPr>
            </w:pPr>
          </w:p>
        </w:tc>
        <w:tc>
          <w:tcPr>
            <w:tcW w:w="5400" w:type="dxa"/>
            <w:tcBorders>
              <w:top w:val="nil"/>
              <w:left w:val="nil"/>
              <w:bottom w:val="nil"/>
              <w:right w:val="nil"/>
              <w:tl2br w:val="nil"/>
              <w:tr2bl w:val="nil"/>
            </w:tcBorders>
            <w:shd w:val="clear" w:color="auto" w:fill="FFFFFF"/>
            <w:tcMar>
              <w:left w:w="101" w:type="dxa"/>
              <w:right w:w="101" w:type="dxa"/>
            </w:tcMar>
            <w:vAlign w:val="bottom"/>
          </w:tcPr>
          <w:p w14:paraId="074ACDC8" w14:textId="77777777" w:rsidR="003F0EEA" w:rsidRDefault="00FB7D0B">
            <w:pPr>
              <w:rPr>
                <w:rFonts w:ascii="Arial" w:eastAsia="Arial" w:hAnsi="Arial" w:cs="Arial"/>
                <w:color w:val="000000"/>
                <w:sz w:val="16"/>
              </w:rPr>
            </w:pPr>
            <w:r>
              <w:rPr>
                <w:rFonts w:ascii="Arial" w:eastAsia="Arial" w:hAnsi="Arial" w:cs="Arial"/>
                <w:b/>
                <w:color w:val="000000"/>
                <w:sz w:val="16"/>
              </w:rPr>
              <w:t>Total for Programme 1.3</w:t>
            </w:r>
          </w:p>
        </w:tc>
        <w:tc>
          <w:tcPr>
            <w:tcW w:w="1275"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5BC52069" w14:textId="77777777" w:rsidR="003F0EEA" w:rsidRDefault="00FB7D0B">
            <w:pPr>
              <w:jc w:val="right"/>
              <w:rPr>
                <w:rFonts w:ascii="Arial" w:eastAsia="Arial" w:hAnsi="Arial" w:cs="Arial"/>
                <w:color w:val="000000"/>
                <w:sz w:val="16"/>
                <w:vertAlign w:val="superscript"/>
              </w:rPr>
            </w:pPr>
            <w:r>
              <w:rPr>
                <w:rFonts w:ascii="Arial" w:eastAsia="Arial" w:hAnsi="Arial" w:cs="Arial"/>
                <w:b/>
                <w:color w:val="000000"/>
                <w:sz w:val="16"/>
              </w:rPr>
              <w:t xml:space="preserve"> 1,857,610 </w:t>
            </w:r>
          </w:p>
        </w:tc>
        <w:tc>
          <w:tcPr>
            <w:tcW w:w="1275" w:type="dxa"/>
            <w:tcBorders>
              <w:top w:val="single" w:sz="6" w:space="0" w:color="000000"/>
              <w:left w:val="nil"/>
              <w:bottom w:val="single" w:sz="6" w:space="0" w:color="000000"/>
              <w:right w:val="nil"/>
              <w:tl2br w:val="nil"/>
              <w:tr2bl w:val="nil"/>
            </w:tcBorders>
            <w:shd w:val="clear" w:color="auto" w:fill="FFFF00"/>
            <w:tcMar>
              <w:left w:w="101" w:type="dxa"/>
              <w:right w:w="101" w:type="dxa"/>
            </w:tcMar>
            <w:vAlign w:val="bottom"/>
          </w:tcPr>
          <w:p w14:paraId="3479432C" w14:textId="77777777" w:rsidR="003F0EEA" w:rsidRDefault="00FB7D0B">
            <w:pPr>
              <w:jc w:val="right"/>
              <w:rPr>
                <w:rFonts w:ascii="Arial" w:eastAsia="Arial" w:hAnsi="Arial" w:cs="Arial"/>
                <w:b/>
                <w:color w:val="000000"/>
                <w:sz w:val="16"/>
              </w:rPr>
            </w:pPr>
            <w:r>
              <w:rPr>
                <w:rFonts w:ascii="Arial" w:eastAsia="Arial" w:hAnsi="Arial" w:cs="Arial"/>
                <w:b/>
                <w:color w:val="000000"/>
                <w:sz w:val="16"/>
              </w:rPr>
              <w:t xml:space="preserve"> 1,823,446 </w:t>
            </w:r>
          </w:p>
        </w:tc>
      </w:tr>
      <w:tr w:rsidR="00724034" w14:paraId="41B6290A" w14:textId="77777777">
        <w:trPr>
          <w:trHeight w:val="120"/>
        </w:trPr>
        <w:tc>
          <w:tcPr>
            <w:tcW w:w="300" w:type="dxa"/>
            <w:tcBorders>
              <w:top w:val="nil"/>
              <w:left w:val="nil"/>
              <w:bottom w:val="nil"/>
              <w:right w:val="nil"/>
              <w:tl2br w:val="nil"/>
              <w:tr2bl w:val="nil"/>
            </w:tcBorders>
            <w:shd w:val="clear" w:color="auto" w:fill="FFFFFF"/>
            <w:tcMar>
              <w:left w:w="101" w:type="dxa"/>
              <w:right w:w="101" w:type="dxa"/>
            </w:tcMar>
            <w:vAlign w:val="bottom"/>
          </w:tcPr>
          <w:p w14:paraId="0947C87E" w14:textId="77777777" w:rsidR="003F0EEA" w:rsidRDefault="003F0EEA">
            <w:pPr>
              <w:rPr>
                <w:rFonts w:ascii="Arial" w:eastAsia="Arial" w:hAnsi="Arial" w:cs="Arial"/>
                <w:b/>
                <w:color w:val="000000"/>
                <w:sz w:val="16"/>
              </w:rPr>
            </w:pPr>
          </w:p>
        </w:tc>
        <w:tc>
          <w:tcPr>
            <w:tcW w:w="5400" w:type="dxa"/>
            <w:tcBorders>
              <w:top w:val="nil"/>
              <w:left w:val="nil"/>
              <w:bottom w:val="nil"/>
              <w:right w:val="nil"/>
              <w:tl2br w:val="nil"/>
              <w:tr2bl w:val="nil"/>
            </w:tcBorders>
            <w:shd w:val="clear" w:color="auto" w:fill="FFFFFF"/>
            <w:tcMar>
              <w:left w:w="101" w:type="dxa"/>
              <w:right w:w="101" w:type="dxa"/>
            </w:tcMar>
            <w:vAlign w:val="bottom"/>
          </w:tcPr>
          <w:p w14:paraId="21E34D36" w14:textId="77777777" w:rsidR="003F0EEA" w:rsidRDefault="003F0EEA">
            <w:pPr>
              <w:rPr>
                <w:rFonts w:ascii="Arial" w:eastAsia="Arial" w:hAnsi="Arial" w:cs="Arial"/>
                <w:color w:val="000000"/>
                <w:sz w:val="16"/>
              </w:rPr>
            </w:pPr>
          </w:p>
        </w:tc>
        <w:tc>
          <w:tcPr>
            <w:tcW w:w="127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2815D661" w14:textId="77777777" w:rsidR="003F0EEA" w:rsidRDefault="003F0EEA">
            <w:pPr>
              <w:jc w:val="right"/>
              <w:rPr>
                <w:rFonts w:ascii="Arial" w:eastAsia="Arial" w:hAnsi="Arial" w:cs="Arial"/>
                <w:color w:val="000000"/>
                <w:sz w:val="16"/>
                <w:vertAlign w:val="superscript"/>
              </w:rPr>
            </w:pPr>
          </w:p>
        </w:tc>
        <w:tc>
          <w:tcPr>
            <w:tcW w:w="1275" w:type="dxa"/>
            <w:tcBorders>
              <w:top w:val="single" w:sz="6" w:space="0" w:color="000000"/>
              <w:left w:val="nil"/>
              <w:bottom w:val="nil"/>
              <w:right w:val="nil"/>
              <w:tl2br w:val="nil"/>
              <w:tr2bl w:val="nil"/>
            </w:tcBorders>
            <w:shd w:val="clear" w:color="auto" w:fill="FFFF00"/>
            <w:tcMar>
              <w:left w:w="101" w:type="dxa"/>
              <w:right w:w="101" w:type="dxa"/>
            </w:tcMar>
            <w:vAlign w:val="bottom"/>
          </w:tcPr>
          <w:p w14:paraId="68CDFED5" w14:textId="77777777" w:rsidR="003F0EEA" w:rsidRDefault="003F0EEA">
            <w:pPr>
              <w:jc w:val="right"/>
              <w:rPr>
                <w:rFonts w:ascii="Arial" w:eastAsia="Arial" w:hAnsi="Arial" w:cs="Arial"/>
                <w:color w:val="000000"/>
                <w:sz w:val="16"/>
                <w:vertAlign w:val="superscript"/>
              </w:rPr>
            </w:pPr>
          </w:p>
        </w:tc>
      </w:tr>
      <w:tr w:rsidR="00FB7D0B" w14:paraId="1585D448" w14:textId="77777777" w:rsidTr="00FB7D0B">
        <w:trPr>
          <w:trHeight w:val="510"/>
        </w:trPr>
        <w:tc>
          <w:tcPr>
            <w:tcW w:w="5700" w:type="dxa"/>
            <w:gridSpan w:val="2"/>
            <w:tcBorders>
              <w:top w:val="nil"/>
              <w:left w:val="nil"/>
              <w:bottom w:val="nil"/>
              <w:right w:val="nil"/>
              <w:tl2br w:val="nil"/>
              <w:tr2bl w:val="nil"/>
            </w:tcBorders>
            <w:shd w:val="clear" w:color="auto" w:fill="FFFFFF"/>
            <w:tcMar>
              <w:left w:w="101" w:type="dxa"/>
              <w:right w:w="101" w:type="dxa"/>
            </w:tcMar>
            <w:vAlign w:val="bottom"/>
          </w:tcPr>
          <w:p w14:paraId="0451418C" w14:textId="77777777" w:rsidR="003F0EEA" w:rsidRDefault="00FB7D0B">
            <w:pPr>
              <w:rPr>
                <w:rFonts w:ascii="Arial" w:eastAsia="Arial" w:hAnsi="Arial" w:cs="Arial"/>
                <w:color w:val="000000"/>
                <w:sz w:val="16"/>
                <w:vertAlign w:val="superscript"/>
              </w:rPr>
            </w:pPr>
            <w:r>
              <w:rPr>
                <w:rFonts w:ascii="Arial" w:eastAsia="Arial" w:hAnsi="Arial" w:cs="Arial"/>
                <w:b/>
                <w:color w:val="000000"/>
                <w:sz w:val="16"/>
              </w:rPr>
              <w:t>Programme 1.4:  Assistance and Other Compensation for Veterans and Dependants</w:t>
            </w:r>
          </w:p>
        </w:tc>
        <w:tc>
          <w:tcPr>
            <w:tcW w:w="1275" w:type="dxa"/>
            <w:tcBorders>
              <w:top w:val="nil"/>
              <w:left w:val="nil"/>
              <w:bottom w:val="nil"/>
              <w:right w:val="nil"/>
              <w:tl2br w:val="nil"/>
              <w:tr2bl w:val="nil"/>
            </w:tcBorders>
            <w:shd w:val="clear" w:color="auto" w:fill="FFFFFF"/>
            <w:tcMar>
              <w:left w:w="101" w:type="dxa"/>
              <w:right w:w="101" w:type="dxa"/>
            </w:tcMar>
            <w:vAlign w:val="bottom"/>
          </w:tcPr>
          <w:p w14:paraId="3C4C5454" w14:textId="77777777" w:rsidR="003F0EEA" w:rsidRDefault="003F0EEA">
            <w:pPr>
              <w:jc w:val="right"/>
              <w:rPr>
                <w:rFonts w:ascii="Arial" w:eastAsia="Arial" w:hAnsi="Arial" w:cs="Arial"/>
                <w:color w:val="000000"/>
                <w:sz w:val="16"/>
                <w:vertAlign w:val="superscript"/>
              </w:rPr>
            </w:pPr>
          </w:p>
        </w:tc>
        <w:tc>
          <w:tcPr>
            <w:tcW w:w="1275" w:type="dxa"/>
            <w:tcBorders>
              <w:top w:val="nil"/>
              <w:left w:val="nil"/>
              <w:bottom w:val="nil"/>
              <w:right w:val="nil"/>
              <w:tl2br w:val="nil"/>
              <w:tr2bl w:val="nil"/>
            </w:tcBorders>
            <w:shd w:val="clear" w:color="auto" w:fill="FFFF00"/>
            <w:tcMar>
              <w:left w:w="101" w:type="dxa"/>
              <w:right w:w="101" w:type="dxa"/>
            </w:tcMar>
            <w:vAlign w:val="bottom"/>
          </w:tcPr>
          <w:p w14:paraId="574BE465" w14:textId="77777777" w:rsidR="003F0EEA" w:rsidRDefault="003F0EEA">
            <w:pPr>
              <w:jc w:val="right"/>
              <w:rPr>
                <w:rFonts w:ascii="Arial" w:eastAsia="Arial" w:hAnsi="Arial" w:cs="Arial"/>
                <w:color w:val="000000"/>
                <w:sz w:val="16"/>
                <w:vertAlign w:val="superscript"/>
              </w:rPr>
            </w:pPr>
          </w:p>
        </w:tc>
      </w:tr>
      <w:tr w:rsidR="00FB7D0B" w14:paraId="69E4562D" w14:textId="77777777" w:rsidTr="00FB7D0B">
        <w:trPr>
          <w:trHeight w:val="225"/>
        </w:trPr>
        <w:tc>
          <w:tcPr>
            <w:tcW w:w="5700" w:type="dxa"/>
            <w:gridSpan w:val="2"/>
            <w:tcBorders>
              <w:top w:val="nil"/>
              <w:left w:val="nil"/>
              <w:bottom w:val="nil"/>
              <w:right w:val="nil"/>
              <w:tl2br w:val="nil"/>
              <w:tr2bl w:val="nil"/>
            </w:tcBorders>
            <w:shd w:val="clear" w:color="auto" w:fill="FFFFFF"/>
            <w:tcMar>
              <w:left w:w="101" w:type="dxa"/>
              <w:right w:w="101" w:type="dxa"/>
            </w:tcMar>
            <w:vAlign w:val="bottom"/>
          </w:tcPr>
          <w:p w14:paraId="4A2D7C9D" w14:textId="77777777" w:rsidR="003F0EEA" w:rsidRDefault="00FB7D0B">
            <w:pPr>
              <w:rPr>
                <w:rFonts w:ascii="Arial" w:eastAsia="Arial" w:hAnsi="Arial" w:cs="Arial"/>
                <w:color w:val="000000"/>
                <w:sz w:val="16"/>
                <w:vertAlign w:val="superscript"/>
              </w:rPr>
            </w:pPr>
            <w:r>
              <w:rPr>
                <w:rFonts w:ascii="Arial" w:eastAsia="Arial" w:hAnsi="Arial" w:cs="Arial"/>
                <w:color w:val="000000"/>
                <w:sz w:val="16"/>
              </w:rPr>
              <w:t>Administered Expenses</w:t>
            </w:r>
          </w:p>
        </w:tc>
        <w:tc>
          <w:tcPr>
            <w:tcW w:w="1275" w:type="dxa"/>
            <w:tcBorders>
              <w:top w:val="nil"/>
              <w:left w:val="nil"/>
              <w:bottom w:val="nil"/>
              <w:right w:val="nil"/>
              <w:tl2br w:val="nil"/>
              <w:tr2bl w:val="nil"/>
            </w:tcBorders>
            <w:shd w:val="clear" w:color="auto" w:fill="FFFFFF"/>
            <w:tcMar>
              <w:left w:w="101" w:type="dxa"/>
              <w:right w:w="101" w:type="dxa"/>
            </w:tcMar>
            <w:vAlign w:val="bottom"/>
          </w:tcPr>
          <w:p w14:paraId="4E125E30" w14:textId="77777777" w:rsidR="003F0EEA" w:rsidRDefault="003F0EEA">
            <w:pPr>
              <w:jc w:val="right"/>
              <w:rPr>
                <w:rFonts w:ascii="Arial" w:eastAsia="Arial" w:hAnsi="Arial" w:cs="Arial"/>
                <w:color w:val="000000"/>
                <w:sz w:val="16"/>
                <w:vertAlign w:val="superscript"/>
              </w:rPr>
            </w:pPr>
          </w:p>
        </w:tc>
        <w:tc>
          <w:tcPr>
            <w:tcW w:w="1275" w:type="dxa"/>
            <w:tcBorders>
              <w:top w:val="nil"/>
              <w:left w:val="nil"/>
              <w:bottom w:val="nil"/>
              <w:right w:val="nil"/>
              <w:tl2br w:val="nil"/>
              <w:tr2bl w:val="nil"/>
            </w:tcBorders>
            <w:shd w:val="clear" w:color="auto" w:fill="FFFF00"/>
            <w:tcMar>
              <w:left w:w="101" w:type="dxa"/>
              <w:right w:w="101" w:type="dxa"/>
            </w:tcMar>
            <w:vAlign w:val="bottom"/>
          </w:tcPr>
          <w:p w14:paraId="31B43865" w14:textId="77777777" w:rsidR="003F0EEA" w:rsidRDefault="003F0EEA">
            <w:pPr>
              <w:jc w:val="right"/>
              <w:rPr>
                <w:rFonts w:ascii="Arial" w:eastAsia="Arial" w:hAnsi="Arial" w:cs="Arial"/>
                <w:color w:val="000000"/>
                <w:sz w:val="16"/>
                <w:vertAlign w:val="superscript"/>
              </w:rPr>
            </w:pPr>
          </w:p>
        </w:tc>
      </w:tr>
      <w:tr w:rsidR="00724034" w14:paraId="375240BE" w14:textId="77777777">
        <w:trPr>
          <w:trHeight w:val="225"/>
        </w:trPr>
        <w:tc>
          <w:tcPr>
            <w:tcW w:w="300" w:type="dxa"/>
            <w:tcBorders>
              <w:top w:val="nil"/>
              <w:left w:val="nil"/>
              <w:bottom w:val="nil"/>
              <w:right w:val="nil"/>
              <w:tl2br w:val="nil"/>
              <w:tr2bl w:val="nil"/>
            </w:tcBorders>
            <w:shd w:val="clear" w:color="auto" w:fill="FFFFFF"/>
            <w:tcMar>
              <w:left w:w="101" w:type="dxa"/>
              <w:right w:w="101" w:type="dxa"/>
            </w:tcMar>
            <w:vAlign w:val="bottom"/>
          </w:tcPr>
          <w:p w14:paraId="77CAF43B" w14:textId="77777777" w:rsidR="003F0EEA" w:rsidRDefault="003F0EEA">
            <w:pPr>
              <w:rPr>
                <w:rFonts w:ascii="Arial" w:eastAsia="Arial" w:hAnsi="Arial" w:cs="Arial"/>
                <w:color w:val="000000"/>
                <w:sz w:val="16"/>
                <w:vertAlign w:val="superscript"/>
              </w:rPr>
            </w:pPr>
          </w:p>
        </w:tc>
        <w:tc>
          <w:tcPr>
            <w:tcW w:w="5400" w:type="dxa"/>
            <w:tcBorders>
              <w:top w:val="nil"/>
              <w:left w:val="nil"/>
              <w:bottom w:val="nil"/>
              <w:right w:val="nil"/>
              <w:tl2br w:val="nil"/>
              <w:tr2bl w:val="nil"/>
            </w:tcBorders>
            <w:shd w:val="clear" w:color="auto" w:fill="FFFFFF"/>
            <w:tcMar>
              <w:left w:w="101" w:type="dxa"/>
              <w:right w:w="101" w:type="dxa"/>
            </w:tcMar>
            <w:vAlign w:val="bottom"/>
          </w:tcPr>
          <w:p w14:paraId="40086D40" w14:textId="77777777" w:rsidR="003F0EEA" w:rsidRDefault="00FB7D0B">
            <w:pPr>
              <w:rPr>
                <w:rFonts w:ascii="Arial" w:eastAsia="Arial" w:hAnsi="Arial" w:cs="Arial"/>
                <w:color w:val="000000"/>
                <w:sz w:val="16"/>
                <w:vertAlign w:val="superscript"/>
              </w:rPr>
            </w:pPr>
            <w:r>
              <w:rPr>
                <w:rFonts w:ascii="Arial" w:eastAsia="Arial" w:hAnsi="Arial" w:cs="Arial"/>
                <w:color w:val="000000"/>
                <w:sz w:val="16"/>
              </w:rPr>
              <w:t>Ordinary annual services (Appropriation Bill No. 1)</w:t>
            </w:r>
          </w:p>
        </w:tc>
        <w:tc>
          <w:tcPr>
            <w:tcW w:w="1275" w:type="dxa"/>
            <w:tcBorders>
              <w:top w:val="nil"/>
              <w:left w:val="nil"/>
              <w:bottom w:val="nil"/>
              <w:right w:val="nil"/>
              <w:tl2br w:val="nil"/>
              <w:tr2bl w:val="nil"/>
            </w:tcBorders>
            <w:shd w:val="clear" w:color="auto" w:fill="FFFFFF"/>
            <w:tcMar>
              <w:left w:w="101" w:type="dxa"/>
              <w:right w:w="101" w:type="dxa"/>
            </w:tcMar>
            <w:vAlign w:val="bottom"/>
          </w:tcPr>
          <w:p w14:paraId="1E5406CB" w14:textId="77777777" w:rsidR="003F0EEA" w:rsidRDefault="00FB7D0B">
            <w:pPr>
              <w:jc w:val="right"/>
              <w:rPr>
                <w:rFonts w:ascii="Arial" w:eastAsia="Arial" w:hAnsi="Arial" w:cs="Arial"/>
                <w:color w:val="000000"/>
                <w:sz w:val="16"/>
                <w:vertAlign w:val="superscript"/>
              </w:rPr>
            </w:pPr>
            <w:r>
              <w:rPr>
                <w:rFonts w:ascii="Arial" w:eastAsia="Arial" w:hAnsi="Arial" w:cs="Arial"/>
                <w:color w:val="000000"/>
                <w:sz w:val="16"/>
              </w:rPr>
              <w:t xml:space="preserve"> 7,398 </w:t>
            </w:r>
          </w:p>
        </w:tc>
        <w:tc>
          <w:tcPr>
            <w:tcW w:w="1275" w:type="dxa"/>
            <w:tcBorders>
              <w:top w:val="nil"/>
              <w:left w:val="nil"/>
              <w:bottom w:val="nil"/>
              <w:right w:val="nil"/>
              <w:tl2br w:val="nil"/>
              <w:tr2bl w:val="nil"/>
            </w:tcBorders>
            <w:shd w:val="clear" w:color="auto" w:fill="FFFF00"/>
            <w:tcMar>
              <w:left w:w="101" w:type="dxa"/>
              <w:right w:w="101" w:type="dxa"/>
            </w:tcMar>
            <w:vAlign w:val="bottom"/>
          </w:tcPr>
          <w:p w14:paraId="18956BB8" w14:textId="77777777" w:rsidR="003F0EEA" w:rsidRDefault="00FB7D0B">
            <w:pPr>
              <w:jc w:val="right"/>
              <w:rPr>
                <w:rFonts w:ascii="Arial" w:eastAsia="Arial" w:hAnsi="Arial" w:cs="Arial"/>
                <w:color w:val="000000"/>
                <w:sz w:val="16"/>
              </w:rPr>
            </w:pPr>
            <w:r>
              <w:rPr>
                <w:rFonts w:ascii="Arial" w:eastAsia="Arial" w:hAnsi="Arial" w:cs="Arial"/>
                <w:color w:val="000000"/>
                <w:sz w:val="16"/>
              </w:rPr>
              <w:t xml:space="preserve"> 8,034 </w:t>
            </w:r>
          </w:p>
        </w:tc>
      </w:tr>
      <w:tr w:rsidR="00724034" w14:paraId="19C061AE" w14:textId="77777777">
        <w:trPr>
          <w:trHeight w:val="225"/>
        </w:trPr>
        <w:tc>
          <w:tcPr>
            <w:tcW w:w="300" w:type="dxa"/>
            <w:tcBorders>
              <w:top w:val="nil"/>
              <w:left w:val="nil"/>
              <w:bottom w:val="nil"/>
              <w:right w:val="nil"/>
              <w:tl2br w:val="nil"/>
              <w:tr2bl w:val="nil"/>
            </w:tcBorders>
            <w:shd w:val="clear" w:color="auto" w:fill="FFFFFF"/>
            <w:tcMar>
              <w:left w:w="101" w:type="dxa"/>
              <w:right w:w="101" w:type="dxa"/>
            </w:tcMar>
            <w:vAlign w:val="bottom"/>
          </w:tcPr>
          <w:p w14:paraId="698A9D20" w14:textId="77777777" w:rsidR="003F0EEA" w:rsidRDefault="003F0EEA">
            <w:pPr>
              <w:rPr>
                <w:rFonts w:ascii="Arial" w:eastAsia="Arial" w:hAnsi="Arial" w:cs="Arial"/>
                <w:color w:val="000000"/>
                <w:sz w:val="16"/>
              </w:rPr>
            </w:pPr>
          </w:p>
        </w:tc>
        <w:tc>
          <w:tcPr>
            <w:tcW w:w="5400" w:type="dxa"/>
            <w:tcBorders>
              <w:top w:val="nil"/>
              <w:left w:val="nil"/>
              <w:bottom w:val="nil"/>
              <w:right w:val="nil"/>
              <w:tl2br w:val="nil"/>
              <w:tr2bl w:val="nil"/>
            </w:tcBorders>
            <w:shd w:val="clear" w:color="auto" w:fill="FFFFFF"/>
            <w:tcMar>
              <w:left w:w="101" w:type="dxa"/>
              <w:right w:w="101" w:type="dxa"/>
            </w:tcMar>
            <w:vAlign w:val="bottom"/>
          </w:tcPr>
          <w:p w14:paraId="05BAC83E" w14:textId="77777777" w:rsidR="003F0EEA" w:rsidRDefault="00FB7D0B">
            <w:pPr>
              <w:rPr>
                <w:rFonts w:ascii="Arial" w:eastAsia="Arial" w:hAnsi="Arial" w:cs="Arial"/>
                <w:color w:val="000000"/>
                <w:sz w:val="16"/>
              </w:rPr>
            </w:pPr>
            <w:r>
              <w:rPr>
                <w:rFonts w:ascii="Arial" w:eastAsia="Arial" w:hAnsi="Arial" w:cs="Arial"/>
                <w:color w:val="000000"/>
                <w:sz w:val="16"/>
              </w:rPr>
              <w:t>Other services (Appropriation Bill No. 2)</w:t>
            </w:r>
          </w:p>
        </w:tc>
        <w:tc>
          <w:tcPr>
            <w:tcW w:w="1275" w:type="dxa"/>
            <w:tcBorders>
              <w:top w:val="nil"/>
              <w:left w:val="nil"/>
              <w:bottom w:val="nil"/>
              <w:right w:val="nil"/>
              <w:tl2br w:val="nil"/>
              <w:tr2bl w:val="nil"/>
            </w:tcBorders>
            <w:shd w:val="clear" w:color="auto" w:fill="FFFFFF"/>
            <w:tcMar>
              <w:left w:w="101" w:type="dxa"/>
              <w:right w:w="101" w:type="dxa"/>
            </w:tcMar>
            <w:vAlign w:val="bottom"/>
          </w:tcPr>
          <w:p w14:paraId="69A0B069" w14:textId="77777777" w:rsidR="003F0EEA" w:rsidRDefault="00FB7D0B">
            <w:pPr>
              <w:jc w:val="right"/>
              <w:rPr>
                <w:rFonts w:ascii="Arial" w:eastAsia="Arial" w:hAnsi="Arial" w:cs="Arial"/>
                <w:color w:val="000000"/>
                <w:sz w:val="16"/>
                <w:vertAlign w:val="superscript"/>
              </w:rPr>
            </w:pPr>
            <w:r>
              <w:rPr>
                <w:rFonts w:ascii="Arial" w:eastAsia="Arial" w:hAnsi="Arial" w:cs="Arial"/>
                <w:color w:val="000000"/>
                <w:sz w:val="16"/>
              </w:rPr>
              <w:t xml:space="preserve"> - </w:t>
            </w:r>
          </w:p>
        </w:tc>
        <w:tc>
          <w:tcPr>
            <w:tcW w:w="1275" w:type="dxa"/>
            <w:tcBorders>
              <w:top w:val="nil"/>
              <w:left w:val="nil"/>
              <w:bottom w:val="nil"/>
              <w:right w:val="nil"/>
              <w:tl2br w:val="nil"/>
              <w:tr2bl w:val="nil"/>
            </w:tcBorders>
            <w:shd w:val="clear" w:color="auto" w:fill="FFFF00"/>
            <w:tcMar>
              <w:left w:w="101" w:type="dxa"/>
              <w:right w:w="101" w:type="dxa"/>
            </w:tcMar>
            <w:vAlign w:val="bottom"/>
          </w:tcPr>
          <w:p w14:paraId="549CADB2" w14:textId="77777777" w:rsidR="003F0EEA" w:rsidRDefault="00FB7D0B">
            <w:pPr>
              <w:jc w:val="right"/>
              <w:rPr>
                <w:rFonts w:ascii="Arial" w:eastAsia="Arial" w:hAnsi="Arial" w:cs="Arial"/>
                <w:color w:val="000000"/>
                <w:sz w:val="16"/>
              </w:rPr>
            </w:pPr>
            <w:r>
              <w:rPr>
                <w:rFonts w:ascii="Arial" w:eastAsia="Arial" w:hAnsi="Arial" w:cs="Arial"/>
                <w:color w:val="000000"/>
                <w:sz w:val="16"/>
              </w:rPr>
              <w:t xml:space="preserve"> - </w:t>
            </w:r>
          </w:p>
        </w:tc>
      </w:tr>
      <w:tr w:rsidR="00724034" w14:paraId="58DAAFB7" w14:textId="77777777">
        <w:trPr>
          <w:trHeight w:val="225"/>
        </w:trPr>
        <w:tc>
          <w:tcPr>
            <w:tcW w:w="300" w:type="dxa"/>
            <w:tcBorders>
              <w:top w:val="nil"/>
              <w:left w:val="nil"/>
              <w:bottom w:val="nil"/>
              <w:right w:val="nil"/>
              <w:tl2br w:val="nil"/>
              <w:tr2bl w:val="nil"/>
            </w:tcBorders>
            <w:shd w:val="clear" w:color="auto" w:fill="FFFFFF"/>
            <w:tcMar>
              <w:left w:w="101" w:type="dxa"/>
              <w:right w:w="101" w:type="dxa"/>
            </w:tcMar>
            <w:vAlign w:val="bottom"/>
          </w:tcPr>
          <w:p w14:paraId="047005CA" w14:textId="77777777" w:rsidR="003F0EEA" w:rsidRDefault="003F0EEA">
            <w:pPr>
              <w:rPr>
                <w:rFonts w:ascii="Arial" w:eastAsia="Arial" w:hAnsi="Arial" w:cs="Arial"/>
                <w:color w:val="000000"/>
                <w:sz w:val="16"/>
              </w:rPr>
            </w:pPr>
          </w:p>
        </w:tc>
        <w:tc>
          <w:tcPr>
            <w:tcW w:w="5400" w:type="dxa"/>
            <w:tcBorders>
              <w:top w:val="nil"/>
              <w:left w:val="nil"/>
              <w:bottom w:val="nil"/>
              <w:right w:val="nil"/>
              <w:tl2br w:val="nil"/>
              <w:tr2bl w:val="nil"/>
            </w:tcBorders>
            <w:shd w:val="clear" w:color="auto" w:fill="FFFFFF"/>
            <w:tcMar>
              <w:left w:w="101" w:type="dxa"/>
              <w:right w:w="101" w:type="dxa"/>
            </w:tcMar>
            <w:vAlign w:val="bottom"/>
          </w:tcPr>
          <w:p w14:paraId="589AC4FD" w14:textId="77777777" w:rsidR="003F0EEA" w:rsidRDefault="00FB7D0B">
            <w:pPr>
              <w:rPr>
                <w:rFonts w:ascii="Arial" w:eastAsia="Arial" w:hAnsi="Arial" w:cs="Arial"/>
                <w:color w:val="000000"/>
                <w:sz w:val="16"/>
              </w:rPr>
            </w:pPr>
            <w:r>
              <w:rPr>
                <w:rFonts w:ascii="Arial" w:eastAsia="Arial" w:hAnsi="Arial" w:cs="Arial"/>
                <w:color w:val="000000"/>
                <w:sz w:val="16"/>
              </w:rPr>
              <w:t>Special Appropriations</w:t>
            </w:r>
          </w:p>
        </w:tc>
        <w:tc>
          <w:tcPr>
            <w:tcW w:w="1275" w:type="dxa"/>
            <w:tcBorders>
              <w:top w:val="nil"/>
              <w:left w:val="nil"/>
              <w:bottom w:val="nil"/>
              <w:right w:val="nil"/>
              <w:tl2br w:val="nil"/>
              <w:tr2bl w:val="nil"/>
            </w:tcBorders>
            <w:shd w:val="clear" w:color="auto" w:fill="FFFFFF"/>
            <w:tcMar>
              <w:left w:w="101" w:type="dxa"/>
              <w:right w:w="101" w:type="dxa"/>
            </w:tcMar>
            <w:vAlign w:val="bottom"/>
          </w:tcPr>
          <w:p w14:paraId="4483F700" w14:textId="77777777" w:rsidR="003F0EEA" w:rsidRDefault="00FB7D0B">
            <w:pPr>
              <w:jc w:val="right"/>
              <w:rPr>
                <w:rFonts w:ascii="Arial" w:eastAsia="Arial" w:hAnsi="Arial" w:cs="Arial"/>
                <w:color w:val="000000"/>
                <w:sz w:val="16"/>
                <w:vertAlign w:val="superscript"/>
              </w:rPr>
            </w:pPr>
            <w:r>
              <w:rPr>
                <w:rFonts w:ascii="Arial" w:eastAsia="Arial" w:hAnsi="Arial" w:cs="Arial"/>
                <w:color w:val="000000"/>
                <w:sz w:val="16"/>
              </w:rPr>
              <w:t xml:space="preserve"> 22,832 </w:t>
            </w:r>
          </w:p>
        </w:tc>
        <w:tc>
          <w:tcPr>
            <w:tcW w:w="1275" w:type="dxa"/>
            <w:tcBorders>
              <w:top w:val="nil"/>
              <w:left w:val="nil"/>
              <w:bottom w:val="nil"/>
              <w:right w:val="nil"/>
              <w:tl2br w:val="nil"/>
              <w:tr2bl w:val="nil"/>
            </w:tcBorders>
            <w:shd w:val="clear" w:color="auto" w:fill="FFFF00"/>
            <w:tcMar>
              <w:left w:w="101" w:type="dxa"/>
              <w:right w:w="101" w:type="dxa"/>
            </w:tcMar>
            <w:vAlign w:val="bottom"/>
          </w:tcPr>
          <w:p w14:paraId="15A793B8" w14:textId="77777777" w:rsidR="003F0EEA" w:rsidRDefault="00FB7D0B">
            <w:pPr>
              <w:jc w:val="right"/>
              <w:rPr>
                <w:rFonts w:ascii="Arial" w:eastAsia="Arial" w:hAnsi="Arial" w:cs="Arial"/>
                <w:color w:val="000000"/>
                <w:sz w:val="16"/>
              </w:rPr>
            </w:pPr>
            <w:r>
              <w:rPr>
                <w:rFonts w:ascii="Arial" w:eastAsia="Arial" w:hAnsi="Arial" w:cs="Arial"/>
                <w:color w:val="000000"/>
                <w:sz w:val="16"/>
              </w:rPr>
              <w:t xml:space="preserve"> 20,195 </w:t>
            </w:r>
          </w:p>
        </w:tc>
      </w:tr>
      <w:tr w:rsidR="00FB7D0B" w14:paraId="7DF2B873" w14:textId="77777777" w:rsidTr="00FB7D0B">
        <w:trPr>
          <w:trHeight w:val="225"/>
        </w:trPr>
        <w:tc>
          <w:tcPr>
            <w:tcW w:w="5700" w:type="dxa"/>
            <w:gridSpan w:val="2"/>
            <w:tcBorders>
              <w:top w:val="nil"/>
              <w:left w:val="nil"/>
              <w:bottom w:val="nil"/>
              <w:right w:val="nil"/>
              <w:tl2br w:val="nil"/>
              <w:tr2bl w:val="nil"/>
            </w:tcBorders>
            <w:shd w:val="clear" w:color="auto" w:fill="FFFFFF"/>
            <w:tcMar>
              <w:left w:w="101" w:type="dxa"/>
              <w:right w:w="101" w:type="dxa"/>
            </w:tcMar>
            <w:vAlign w:val="bottom"/>
          </w:tcPr>
          <w:p w14:paraId="5893F052" w14:textId="77777777" w:rsidR="003F0EEA" w:rsidRDefault="00FB7D0B">
            <w:pPr>
              <w:rPr>
                <w:rFonts w:ascii="Arial" w:eastAsia="Arial" w:hAnsi="Arial" w:cs="Arial"/>
                <w:color w:val="000000"/>
                <w:sz w:val="16"/>
              </w:rPr>
            </w:pPr>
            <w:r>
              <w:rPr>
                <w:rFonts w:ascii="Arial" w:eastAsia="Arial" w:hAnsi="Arial" w:cs="Arial"/>
                <w:color w:val="000000"/>
                <w:sz w:val="16"/>
              </w:rPr>
              <w:t>Departmental Expenses</w:t>
            </w:r>
          </w:p>
        </w:tc>
        <w:tc>
          <w:tcPr>
            <w:tcW w:w="1275" w:type="dxa"/>
            <w:tcBorders>
              <w:top w:val="nil"/>
              <w:left w:val="nil"/>
              <w:bottom w:val="nil"/>
              <w:right w:val="nil"/>
              <w:tl2br w:val="nil"/>
              <w:tr2bl w:val="nil"/>
            </w:tcBorders>
            <w:shd w:val="clear" w:color="auto" w:fill="FFFFFF"/>
            <w:tcMar>
              <w:left w:w="101" w:type="dxa"/>
              <w:right w:w="101" w:type="dxa"/>
            </w:tcMar>
            <w:vAlign w:val="bottom"/>
          </w:tcPr>
          <w:p w14:paraId="3E7768C2" w14:textId="77777777" w:rsidR="003F0EEA" w:rsidRDefault="003F0EEA">
            <w:pPr>
              <w:jc w:val="right"/>
              <w:rPr>
                <w:rFonts w:ascii="Arial" w:eastAsia="Arial" w:hAnsi="Arial" w:cs="Arial"/>
                <w:color w:val="000000"/>
                <w:sz w:val="16"/>
                <w:vertAlign w:val="superscript"/>
              </w:rPr>
            </w:pPr>
          </w:p>
        </w:tc>
        <w:tc>
          <w:tcPr>
            <w:tcW w:w="1275" w:type="dxa"/>
            <w:tcBorders>
              <w:top w:val="nil"/>
              <w:left w:val="nil"/>
              <w:bottom w:val="nil"/>
              <w:right w:val="nil"/>
              <w:tl2br w:val="nil"/>
              <w:tr2bl w:val="nil"/>
            </w:tcBorders>
            <w:shd w:val="clear" w:color="auto" w:fill="FFFF00"/>
            <w:tcMar>
              <w:left w:w="101" w:type="dxa"/>
              <w:right w:w="101" w:type="dxa"/>
            </w:tcMar>
            <w:vAlign w:val="bottom"/>
          </w:tcPr>
          <w:p w14:paraId="05FAB4B2" w14:textId="77777777" w:rsidR="003F0EEA" w:rsidRDefault="003F0EEA">
            <w:pPr>
              <w:jc w:val="right"/>
              <w:rPr>
                <w:rFonts w:ascii="Arial" w:eastAsia="Arial" w:hAnsi="Arial" w:cs="Arial"/>
                <w:color w:val="000000"/>
                <w:sz w:val="16"/>
                <w:vertAlign w:val="superscript"/>
              </w:rPr>
            </w:pPr>
          </w:p>
        </w:tc>
      </w:tr>
      <w:tr w:rsidR="00724034" w14:paraId="1BE5D556" w14:textId="77777777">
        <w:trPr>
          <w:trHeight w:val="225"/>
        </w:trPr>
        <w:tc>
          <w:tcPr>
            <w:tcW w:w="300" w:type="dxa"/>
            <w:tcBorders>
              <w:top w:val="nil"/>
              <w:left w:val="nil"/>
              <w:bottom w:val="nil"/>
              <w:right w:val="nil"/>
              <w:tl2br w:val="nil"/>
              <w:tr2bl w:val="nil"/>
            </w:tcBorders>
            <w:shd w:val="clear" w:color="auto" w:fill="FFFFFF"/>
            <w:tcMar>
              <w:left w:w="101" w:type="dxa"/>
              <w:right w:w="101" w:type="dxa"/>
            </w:tcMar>
            <w:vAlign w:val="bottom"/>
          </w:tcPr>
          <w:p w14:paraId="639AFEEC" w14:textId="77777777" w:rsidR="003F0EEA" w:rsidRDefault="003F0EEA">
            <w:pPr>
              <w:rPr>
                <w:rFonts w:ascii="Arial" w:eastAsia="Arial" w:hAnsi="Arial" w:cs="Arial"/>
                <w:color w:val="000000"/>
                <w:sz w:val="16"/>
                <w:vertAlign w:val="superscript"/>
              </w:rPr>
            </w:pPr>
          </w:p>
        </w:tc>
        <w:tc>
          <w:tcPr>
            <w:tcW w:w="5400" w:type="dxa"/>
            <w:tcBorders>
              <w:top w:val="nil"/>
              <w:left w:val="nil"/>
              <w:bottom w:val="nil"/>
              <w:right w:val="nil"/>
              <w:tl2br w:val="nil"/>
              <w:tr2bl w:val="nil"/>
            </w:tcBorders>
            <w:shd w:val="clear" w:color="auto" w:fill="FFFFFF"/>
            <w:tcMar>
              <w:left w:w="101" w:type="dxa"/>
              <w:right w:w="101" w:type="dxa"/>
            </w:tcMar>
            <w:vAlign w:val="bottom"/>
          </w:tcPr>
          <w:p w14:paraId="4C329A58" w14:textId="77777777" w:rsidR="003F0EEA" w:rsidRDefault="00FB7D0B">
            <w:pPr>
              <w:rPr>
                <w:rFonts w:ascii="Arial" w:eastAsia="Arial" w:hAnsi="Arial" w:cs="Arial"/>
                <w:color w:val="000000"/>
                <w:sz w:val="16"/>
                <w:vertAlign w:val="superscript"/>
              </w:rPr>
            </w:pPr>
            <w:r>
              <w:rPr>
                <w:rFonts w:ascii="Arial" w:eastAsia="Arial" w:hAnsi="Arial" w:cs="Arial"/>
                <w:color w:val="000000"/>
                <w:sz w:val="16"/>
              </w:rPr>
              <w:t>Special Accounts</w:t>
            </w:r>
            <w:r>
              <w:rPr>
                <w:rFonts w:ascii="Arial" w:eastAsia="Arial" w:hAnsi="Arial" w:cs="Arial"/>
                <w:color w:val="000000"/>
                <w:sz w:val="16"/>
                <w:vertAlign w:val="superscript"/>
              </w:rPr>
              <w:t>3 </w:t>
            </w:r>
          </w:p>
        </w:tc>
        <w:tc>
          <w:tcPr>
            <w:tcW w:w="1275" w:type="dxa"/>
            <w:tcBorders>
              <w:top w:val="nil"/>
              <w:left w:val="nil"/>
              <w:bottom w:val="nil"/>
              <w:right w:val="nil"/>
              <w:tl2br w:val="nil"/>
              <w:tr2bl w:val="nil"/>
            </w:tcBorders>
            <w:shd w:val="clear" w:color="auto" w:fill="FFFFFF"/>
            <w:tcMar>
              <w:left w:w="101" w:type="dxa"/>
              <w:right w:w="101" w:type="dxa"/>
            </w:tcMar>
            <w:vAlign w:val="bottom"/>
          </w:tcPr>
          <w:p w14:paraId="4C58106A" w14:textId="77777777" w:rsidR="003F0EEA" w:rsidRDefault="00FB7D0B">
            <w:pPr>
              <w:jc w:val="right"/>
              <w:rPr>
                <w:rFonts w:ascii="Arial" w:eastAsia="Arial" w:hAnsi="Arial" w:cs="Arial"/>
                <w:color w:val="000000"/>
                <w:sz w:val="16"/>
                <w:vertAlign w:val="superscript"/>
              </w:rPr>
            </w:pPr>
            <w:r>
              <w:rPr>
                <w:rFonts w:ascii="Arial" w:eastAsia="Arial" w:hAnsi="Arial" w:cs="Arial"/>
                <w:color w:val="000000"/>
                <w:sz w:val="16"/>
              </w:rPr>
              <w:t xml:space="preserve"> 34,248 </w:t>
            </w:r>
          </w:p>
        </w:tc>
        <w:tc>
          <w:tcPr>
            <w:tcW w:w="1275" w:type="dxa"/>
            <w:tcBorders>
              <w:top w:val="nil"/>
              <w:left w:val="nil"/>
              <w:bottom w:val="nil"/>
              <w:right w:val="nil"/>
              <w:tl2br w:val="nil"/>
              <w:tr2bl w:val="nil"/>
            </w:tcBorders>
            <w:shd w:val="clear" w:color="auto" w:fill="FFFF00"/>
            <w:tcMar>
              <w:left w:w="101" w:type="dxa"/>
              <w:right w:w="101" w:type="dxa"/>
            </w:tcMar>
            <w:vAlign w:val="bottom"/>
          </w:tcPr>
          <w:p w14:paraId="697A824E" w14:textId="77777777" w:rsidR="003F0EEA" w:rsidRDefault="00FB7D0B">
            <w:pPr>
              <w:jc w:val="right"/>
              <w:rPr>
                <w:rFonts w:ascii="Arial" w:eastAsia="Arial" w:hAnsi="Arial" w:cs="Arial"/>
                <w:color w:val="000000"/>
                <w:sz w:val="16"/>
              </w:rPr>
            </w:pPr>
            <w:r>
              <w:rPr>
                <w:rFonts w:ascii="Arial" w:eastAsia="Arial" w:hAnsi="Arial" w:cs="Arial"/>
                <w:color w:val="000000"/>
                <w:sz w:val="16"/>
              </w:rPr>
              <w:t xml:space="preserve"> 36,757 </w:t>
            </w:r>
          </w:p>
        </w:tc>
      </w:tr>
      <w:tr w:rsidR="00724034" w14:paraId="7433783D" w14:textId="77777777">
        <w:trPr>
          <w:trHeight w:val="225"/>
        </w:trPr>
        <w:tc>
          <w:tcPr>
            <w:tcW w:w="300" w:type="dxa"/>
            <w:tcBorders>
              <w:top w:val="nil"/>
              <w:left w:val="nil"/>
              <w:bottom w:val="nil"/>
              <w:right w:val="nil"/>
              <w:tl2br w:val="nil"/>
              <w:tr2bl w:val="nil"/>
            </w:tcBorders>
            <w:shd w:val="clear" w:color="auto" w:fill="FFFFFF"/>
            <w:tcMar>
              <w:left w:w="101" w:type="dxa"/>
              <w:right w:w="101" w:type="dxa"/>
            </w:tcMar>
            <w:vAlign w:val="bottom"/>
          </w:tcPr>
          <w:p w14:paraId="5B360667" w14:textId="77777777" w:rsidR="003F0EEA" w:rsidRDefault="003F0EEA">
            <w:pPr>
              <w:rPr>
                <w:rFonts w:ascii="Arial" w:eastAsia="Arial" w:hAnsi="Arial" w:cs="Arial"/>
                <w:color w:val="000000"/>
                <w:sz w:val="16"/>
              </w:rPr>
            </w:pPr>
          </w:p>
        </w:tc>
        <w:tc>
          <w:tcPr>
            <w:tcW w:w="5400" w:type="dxa"/>
            <w:tcBorders>
              <w:top w:val="nil"/>
              <w:left w:val="nil"/>
              <w:bottom w:val="nil"/>
              <w:right w:val="nil"/>
              <w:tl2br w:val="nil"/>
              <w:tr2bl w:val="nil"/>
            </w:tcBorders>
            <w:shd w:val="clear" w:color="auto" w:fill="FFFFFF"/>
            <w:tcMar>
              <w:left w:w="101" w:type="dxa"/>
              <w:right w:w="101" w:type="dxa"/>
            </w:tcMar>
            <w:vAlign w:val="bottom"/>
          </w:tcPr>
          <w:p w14:paraId="42A0862B" w14:textId="77777777" w:rsidR="003F0EEA" w:rsidRDefault="00FB7D0B">
            <w:pPr>
              <w:rPr>
                <w:rFonts w:ascii="Arial" w:eastAsia="Arial" w:hAnsi="Arial" w:cs="Arial"/>
                <w:color w:val="000000"/>
                <w:sz w:val="16"/>
              </w:rPr>
            </w:pPr>
            <w:r>
              <w:rPr>
                <w:rFonts w:ascii="Arial" w:eastAsia="Arial" w:hAnsi="Arial" w:cs="Arial"/>
                <w:color w:val="000000"/>
                <w:sz w:val="16"/>
              </w:rPr>
              <w:t>Departmental appropriation</w:t>
            </w:r>
            <w:r>
              <w:rPr>
                <w:rFonts w:ascii="Arial" w:eastAsia="Arial" w:hAnsi="Arial" w:cs="Arial"/>
                <w:color w:val="000000"/>
                <w:sz w:val="16"/>
                <w:vertAlign w:val="superscript"/>
              </w:rPr>
              <w:t>1 </w:t>
            </w:r>
          </w:p>
        </w:tc>
        <w:tc>
          <w:tcPr>
            <w:tcW w:w="1275" w:type="dxa"/>
            <w:tcBorders>
              <w:top w:val="nil"/>
              <w:left w:val="nil"/>
              <w:bottom w:val="nil"/>
              <w:right w:val="nil"/>
              <w:tl2br w:val="nil"/>
              <w:tr2bl w:val="nil"/>
            </w:tcBorders>
            <w:shd w:val="clear" w:color="auto" w:fill="FFFFFF"/>
            <w:tcMar>
              <w:left w:w="101" w:type="dxa"/>
              <w:right w:w="101" w:type="dxa"/>
            </w:tcMar>
            <w:vAlign w:val="bottom"/>
          </w:tcPr>
          <w:p w14:paraId="2347F6EA" w14:textId="77777777" w:rsidR="003F0EEA" w:rsidRDefault="00FB7D0B">
            <w:pPr>
              <w:jc w:val="right"/>
              <w:rPr>
                <w:rFonts w:ascii="Arial" w:eastAsia="Arial" w:hAnsi="Arial" w:cs="Arial"/>
                <w:color w:val="000000"/>
                <w:sz w:val="16"/>
                <w:vertAlign w:val="superscript"/>
              </w:rPr>
            </w:pPr>
            <w:r>
              <w:rPr>
                <w:rFonts w:ascii="Arial" w:eastAsia="Arial" w:hAnsi="Arial" w:cs="Arial"/>
                <w:color w:val="000000"/>
                <w:sz w:val="16"/>
              </w:rPr>
              <w:t xml:space="preserve"> 18,338 </w:t>
            </w:r>
          </w:p>
        </w:tc>
        <w:tc>
          <w:tcPr>
            <w:tcW w:w="1275" w:type="dxa"/>
            <w:tcBorders>
              <w:top w:val="nil"/>
              <w:left w:val="nil"/>
              <w:bottom w:val="nil"/>
              <w:right w:val="nil"/>
              <w:tl2br w:val="nil"/>
              <w:tr2bl w:val="nil"/>
            </w:tcBorders>
            <w:shd w:val="clear" w:color="auto" w:fill="FFFF00"/>
            <w:tcMar>
              <w:left w:w="101" w:type="dxa"/>
              <w:right w:w="101" w:type="dxa"/>
            </w:tcMar>
            <w:vAlign w:val="bottom"/>
          </w:tcPr>
          <w:p w14:paraId="1AD839F0" w14:textId="77777777" w:rsidR="003F0EEA" w:rsidRDefault="00FB7D0B">
            <w:pPr>
              <w:jc w:val="right"/>
              <w:rPr>
                <w:rFonts w:ascii="Arial" w:eastAsia="Arial" w:hAnsi="Arial" w:cs="Arial"/>
                <w:color w:val="000000"/>
                <w:sz w:val="16"/>
              </w:rPr>
            </w:pPr>
            <w:r>
              <w:rPr>
                <w:rFonts w:ascii="Arial" w:eastAsia="Arial" w:hAnsi="Arial" w:cs="Arial"/>
                <w:color w:val="000000"/>
                <w:sz w:val="16"/>
              </w:rPr>
              <w:t xml:space="preserve"> 18,675 </w:t>
            </w:r>
          </w:p>
        </w:tc>
      </w:tr>
      <w:tr w:rsidR="00724034" w14:paraId="12A000DF" w14:textId="77777777">
        <w:trPr>
          <w:trHeight w:val="225"/>
        </w:trPr>
        <w:tc>
          <w:tcPr>
            <w:tcW w:w="300" w:type="dxa"/>
            <w:tcBorders>
              <w:top w:val="nil"/>
              <w:left w:val="nil"/>
              <w:bottom w:val="nil"/>
              <w:right w:val="nil"/>
              <w:tl2br w:val="nil"/>
              <w:tr2bl w:val="nil"/>
            </w:tcBorders>
            <w:shd w:val="clear" w:color="auto" w:fill="FFFFFF"/>
            <w:tcMar>
              <w:left w:w="101" w:type="dxa"/>
              <w:right w:w="101" w:type="dxa"/>
            </w:tcMar>
            <w:vAlign w:val="bottom"/>
          </w:tcPr>
          <w:p w14:paraId="7598A402" w14:textId="77777777" w:rsidR="003F0EEA" w:rsidRDefault="003F0EEA">
            <w:pPr>
              <w:rPr>
                <w:rFonts w:ascii="Arial" w:eastAsia="Arial" w:hAnsi="Arial" w:cs="Arial"/>
                <w:color w:val="000000"/>
                <w:sz w:val="16"/>
              </w:rPr>
            </w:pPr>
          </w:p>
        </w:tc>
        <w:tc>
          <w:tcPr>
            <w:tcW w:w="5400" w:type="dxa"/>
            <w:tcBorders>
              <w:top w:val="nil"/>
              <w:left w:val="nil"/>
              <w:bottom w:val="nil"/>
              <w:right w:val="nil"/>
              <w:tl2br w:val="nil"/>
              <w:tr2bl w:val="nil"/>
            </w:tcBorders>
            <w:shd w:val="clear" w:color="auto" w:fill="FFFFFF"/>
            <w:tcMar>
              <w:left w:w="101" w:type="dxa"/>
              <w:right w:w="101" w:type="dxa"/>
            </w:tcMar>
            <w:vAlign w:val="bottom"/>
          </w:tcPr>
          <w:p w14:paraId="7BD8D7A2" w14:textId="77777777" w:rsidR="003F0EEA" w:rsidRDefault="00FB7D0B">
            <w:pPr>
              <w:rPr>
                <w:rFonts w:ascii="Arial" w:eastAsia="Arial" w:hAnsi="Arial" w:cs="Arial"/>
                <w:color w:val="000000"/>
                <w:sz w:val="16"/>
              </w:rPr>
            </w:pPr>
            <w:r>
              <w:rPr>
                <w:rFonts w:ascii="Arial" w:eastAsia="Arial" w:hAnsi="Arial" w:cs="Arial"/>
                <w:color w:val="000000"/>
                <w:sz w:val="16"/>
              </w:rPr>
              <w:t>Expenses not requiring appropriation in the Budget year</w:t>
            </w:r>
            <w:r>
              <w:rPr>
                <w:rFonts w:ascii="Arial" w:eastAsia="Arial" w:hAnsi="Arial" w:cs="Arial"/>
                <w:color w:val="000000"/>
                <w:sz w:val="16"/>
                <w:vertAlign w:val="superscript"/>
              </w:rPr>
              <w:t>2 </w:t>
            </w:r>
          </w:p>
        </w:tc>
        <w:tc>
          <w:tcPr>
            <w:tcW w:w="1275"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48D56C3E" w14:textId="77777777" w:rsidR="003F0EEA" w:rsidRDefault="00FB7D0B">
            <w:pPr>
              <w:jc w:val="right"/>
              <w:rPr>
                <w:rFonts w:ascii="Arial" w:eastAsia="Arial" w:hAnsi="Arial" w:cs="Arial"/>
                <w:color w:val="000000"/>
                <w:sz w:val="16"/>
                <w:vertAlign w:val="superscript"/>
              </w:rPr>
            </w:pPr>
            <w:r>
              <w:rPr>
                <w:rFonts w:ascii="Arial" w:eastAsia="Arial" w:hAnsi="Arial" w:cs="Arial"/>
                <w:color w:val="000000"/>
                <w:sz w:val="16"/>
              </w:rPr>
              <w:t xml:space="preserve"> 1,060 </w:t>
            </w:r>
          </w:p>
        </w:tc>
        <w:tc>
          <w:tcPr>
            <w:tcW w:w="1275" w:type="dxa"/>
            <w:tcBorders>
              <w:top w:val="nil"/>
              <w:left w:val="nil"/>
              <w:bottom w:val="single" w:sz="6" w:space="0" w:color="000000"/>
              <w:right w:val="nil"/>
              <w:tl2br w:val="nil"/>
              <w:tr2bl w:val="nil"/>
            </w:tcBorders>
            <w:shd w:val="clear" w:color="auto" w:fill="FFFF00"/>
            <w:tcMar>
              <w:left w:w="101" w:type="dxa"/>
              <w:right w:w="101" w:type="dxa"/>
            </w:tcMar>
            <w:vAlign w:val="bottom"/>
          </w:tcPr>
          <w:p w14:paraId="3EA6733F" w14:textId="77777777" w:rsidR="003F0EEA" w:rsidRDefault="00FB7D0B">
            <w:pPr>
              <w:jc w:val="right"/>
              <w:rPr>
                <w:rFonts w:ascii="Arial" w:eastAsia="Arial" w:hAnsi="Arial" w:cs="Arial"/>
                <w:color w:val="000000"/>
                <w:sz w:val="16"/>
              </w:rPr>
            </w:pPr>
            <w:r>
              <w:rPr>
                <w:rFonts w:ascii="Arial" w:eastAsia="Arial" w:hAnsi="Arial" w:cs="Arial"/>
                <w:color w:val="000000"/>
                <w:sz w:val="16"/>
              </w:rPr>
              <w:t xml:space="preserve"> 1,190 </w:t>
            </w:r>
          </w:p>
        </w:tc>
      </w:tr>
      <w:tr w:rsidR="00724034" w14:paraId="4D1C2840" w14:textId="77777777">
        <w:trPr>
          <w:trHeight w:val="225"/>
        </w:trPr>
        <w:tc>
          <w:tcPr>
            <w:tcW w:w="300" w:type="dxa"/>
            <w:tcBorders>
              <w:top w:val="nil"/>
              <w:left w:val="nil"/>
              <w:bottom w:val="nil"/>
              <w:right w:val="nil"/>
              <w:tl2br w:val="nil"/>
              <w:tr2bl w:val="nil"/>
            </w:tcBorders>
            <w:shd w:val="clear" w:color="auto" w:fill="FFFFFF"/>
            <w:tcMar>
              <w:left w:w="101" w:type="dxa"/>
              <w:right w:w="101" w:type="dxa"/>
            </w:tcMar>
            <w:vAlign w:val="bottom"/>
          </w:tcPr>
          <w:p w14:paraId="1F4E1B58" w14:textId="77777777" w:rsidR="003F0EEA" w:rsidRDefault="003F0EEA">
            <w:pPr>
              <w:rPr>
                <w:rFonts w:ascii="Arial" w:eastAsia="Arial" w:hAnsi="Arial" w:cs="Arial"/>
                <w:color w:val="000000"/>
                <w:sz w:val="16"/>
              </w:rPr>
            </w:pPr>
          </w:p>
        </w:tc>
        <w:tc>
          <w:tcPr>
            <w:tcW w:w="5400" w:type="dxa"/>
            <w:tcBorders>
              <w:top w:val="nil"/>
              <w:left w:val="nil"/>
              <w:bottom w:val="nil"/>
              <w:right w:val="nil"/>
              <w:tl2br w:val="nil"/>
              <w:tr2bl w:val="nil"/>
            </w:tcBorders>
            <w:shd w:val="clear" w:color="auto" w:fill="FFFFFF"/>
            <w:tcMar>
              <w:left w:w="101" w:type="dxa"/>
              <w:right w:w="101" w:type="dxa"/>
            </w:tcMar>
            <w:vAlign w:val="bottom"/>
          </w:tcPr>
          <w:p w14:paraId="127BB884" w14:textId="77777777" w:rsidR="003F0EEA" w:rsidRDefault="00FB7D0B">
            <w:pPr>
              <w:rPr>
                <w:rFonts w:ascii="Arial" w:eastAsia="Arial" w:hAnsi="Arial" w:cs="Arial"/>
                <w:color w:val="000000"/>
                <w:sz w:val="16"/>
              </w:rPr>
            </w:pPr>
            <w:r>
              <w:rPr>
                <w:rFonts w:ascii="Arial" w:eastAsia="Arial" w:hAnsi="Arial" w:cs="Arial"/>
                <w:b/>
                <w:color w:val="000000"/>
                <w:sz w:val="16"/>
              </w:rPr>
              <w:t>Total for Programme 1.4</w:t>
            </w:r>
          </w:p>
        </w:tc>
        <w:tc>
          <w:tcPr>
            <w:tcW w:w="1275"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2F62669D" w14:textId="77777777" w:rsidR="003F0EEA" w:rsidRDefault="00FB7D0B">
            <w:pPr>
              <w:jc w:val="right"/>
              <w:rPr>
                <w:rFonts w:ascii="Arial" w:eastAsia="Arial" w:hAnsi="Arial" w:cs="Arial"/>
                <w:color w:val="000000"/>
                <w:sz w:val="16"/>
                <w:vertAlign w:val="superscript"/>
              </w:rPr>
            </w:pPr>
            <w:r>
              <w:rPr>
                <w:rFonts w:ascii="Arial" w:eastAsia="Arial" w:hAnsi="Arial" w:cs="Arial"/>
                <w:b/>
                <w:color w:val="000000"/>
                <w:sz w:val="16"/>
              </w:rPr>
              <w:t xml:space="preserve"> 83,876 </w:t>
            </w:r>
          </w:p>
        </w:tc>
        <w:tc>
          <w:tcPr>
            <w:tcW w:w="1275" w:type="dxa"/>
            <w:tcBorders>
              <w:top w:val="single" w:sz="6" w:space="0" w:color="000000"/>
              <w:left w:val="nil"/>
              <w:bottom w:val="single" w:sz="6" w:space="0" w:color="000000"/>
              <w:right w:val="nil"/>
              <w:tl2br w:val="nil"/>
              <w:tr2bl w:val="nil"/>
            </w:tcBorders>
            <w:shd w:val="clear" w:color="auto" w:fill="FFFF00"/>
            <w:tcMar>
              <w:left w:w="101" w:type="dxa"/>
              <w:right w:w="101" w:type="dxa"/>
            </w:tcMar>
            <w:vAlign w:val="bottom"/>
          </w:tcPr>
          <w:p w14:paraId="6D075386" w14:textId="77777777" w:rsidR="003F0EEA" w:rsidRDefault="00FB7D0B">
            <w:pPr>
              <w:jc w:val="right"/>
              <w:rPr>
                <w:rFonts w:ascii="Arial" w:eastAsia="Arial" w:hAnsi="Arial" w:cs="Arial"/>
                <w:b/>
                <w:color w:val="000000"/>
                <w:sz w:val="16"/>
              </w:rPr>
            </w:pPr>
            <w:r>
              <w:rPr>
                <w:rFonts w:ascii="Arial" w:eastAsia="Arial" w:hAnsi="Arial" w:cs="Arial"/>
                <w:b/>
                <w:color w:val="000000"/>
                <w:sz w:val="16"/>
              </w:rPr>
              <w:t xml:space="preserve"> 84,851 </w:t>
            </w:r>
          </w:p>
        </w:tc>
      </w:tr>
      <w:tr w:rsidR="00724034" w14:paraId="00109AFD" w14:textId="77777777">
        <w:trPr>
          <w:trHeight w:val="120"/>
        </w:trPr>
        <w:tc>
          <w:tcPr>
            <w:tcW w:w="300" w:type="dxa"/>
            <w:tcBorders>
              <w:top w:val="nil"/>
              <w:left w:val="nil"/>
              <w:bottom w:val="nil"/>
              <w:right w:val="nil"/>
              <w:tl2br w:val="nil"/>
              <w:tr2bl w:val="nil"/>
            </w:tcBorders>
            <w:shd w:val="clear" w:color="auto" w:fill="FFFFFF"/>
            <w:tcMar>
              <w:left w:w="101" w:type="dxa"/>
              <w:right w:w="101" w:type="dxa"/>
            </w:tcMar>
            <w:vAlign w:val="bottom"/>
          </w:tcPr>
          <w:p w14:paraId="4C4100BB" w14:textId="77777777" w:rsidR="003F0EEA" w:rsidRDefault="003F0EEA">
            <w:pPr>
              <w:rPr>
                <w:rFonts w:ascii="Arial" w:eastAsia="Arial" w:hAnsi="Arial" w:cs="Arial"/>
                <w:b/>
                <w:color w:val="000000"/>
                <w:sz w:val="16"/>
              </w:rPr>
            </w:pPr>
          </w:p>
        </w:tc>
        <w:tc>
          <w:tcPr>
            <w:tcW w:w="5400" w:type="dxa"/>
            <w:tcBorders>
              <w:top w:val="nil"/>
              <w:left w:val="nil"/>
              <w:bottom w:val="nil"/>
              <w:right w:val="nil"/>
              <w:tl2br w:val="nil"/>
              <w:tr2bl w:val="nil"/>
            </w:tcBorders>
            <w:shd w:val="clear" w:color="auto" w:fill="FFFFFF"/>
            <w:tcMar>
              <w:left w:w="101" w:type="dxa"/>
              <w:right w:w="101" w:type="dxa"/>
            </w:tcMar>
            <w:vAlign w:val="bottom"/>
          </w:tcPr>
          <w:p w14:paraId="74C5EBD5" w14:textId="77777777" w:rsidR="003F0EEA" w:rsidRDefault="003F0EEA">
            <w:pPr>
              <w:rPr>
                <w:rFonts w:ascii="Arial" w:eastAsia="Arial" w:hAnsi="Arial" w:cs="Arial"/>
                <w:color w:val="000000"/>
                <w:sz w:val="16"/>
              </w:rPr>
            </w:pPr>
          </w:p>
        </w:tc>
        <w:tc>
          <w:tcPr>
            <w:tcW w:w="127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67F54BC7" w14:textId="77777777" w:rsidR="003F0EEA" w:rsidRDefault="003F0EEA">
            <w:pPr>
              <w:jc w:val="right"/>
              <w:rPr>
                <w:rFonts w:ascii="Arial" w:eastAsia="Arial" w:hAnsi="Arial" w:cs="Arial"/>
                <w:color w:val="000000"/>
                <w:sz w:val="16"/>
                <w:vertAlign w:val="superscript"/>
              </w:rPr>
            </w:pPr>
          </w:p>
        </w:tc>
        <w:tc>
          <w:tcPr>
            <w:tcW w:w="1275" w:type="dxa"/>
            <w:tcBorders>
              <w:top w:val="single" w:sz="6" w:space="0" w:color="000000"/>
              <w:left w:val="nil"/>
              <w:bottom w:val="nil"/>
              <w:right w:val="nil"/>
              <w:tl2br w:val="nil"/>
              <w:tr2bl w:val="nil"/>
            </w:tcBorders>
            <w:shd w:val="clear" w:color="auto" w:fill="FFFF00"/>
            <w:tcMar>
              <w:left w:w="101" w:type="dxa"/>
              <w:right w:w="101" w:type="dxa"/>
            </w:tcMar>
            <w:vAlign w:val="bottom"/>
          </w:tcPr>
          <w:p w14:paraId="486905CE" w14:textId="77777777" w:rsidR="003F0EEA" w:rsidRDefault="003F0EEA">
            <w:pPr>
              <w:jc w:val="right"/>
              <w:rPr>
                <w:rFonts w:ascii="Arial" w:eastAsia="Arial" w:hAnsi="Arial" w:cs="Arial"/>
                <w:color w:val="000000"/>
                <w:sz w:val="16"/>
                <w:vertAlign w:val="superscript"/>
              </w:rPr>
            </w:pPr>
          </w:p>
        </w:tc>
      </w:tr>
      <w:tr w:rsidR="00FB7D0B" w14:paraId="16878697" w14:textId="77777777" w:rsidTr="00FB7D0B">
        <w:trPr>
          <w:trHeight w:val="225"/>
        </w:trPr>
        <w:tc>
          <w:tcPr>
            <w:tcW w:w="5700" w:type="dxa"/>
            <w:gridSpan w:val="2"/>
            <w:tcBorders>
              <w:top w:val="nil"/>
              <w:left w:val="nil"/>
              <w:bottom w:val="nil"/>
              <w:right w:val="nil"/>
              <w:tl2br w:val="nil"/>
              <w:tr2bl w:val="nil"/>
            </w:tcBorders>
            <w:shd w:val="clear" w:color="auto" w:fill="FFFFFF"/>
            <w:tcMar>
              <w:left w:w="101" w:type="dxa"/>
              <w:right w:w="101" w:type="dxa"/>
            </w:tcMar>
            <w:vAlign w:val="bottom"/>
          </w:tcPr>
          <w:p w14:paraId="181685A6" w14:textId="77777777" w:rsidR="003F0EEA" w:rsidRDefault="00FB7D0B">
            <w:pPr>
              <w:rPr>
                <w:rFonts w:ascii="Arial" w:eastAsia="Arial" w:hAnsi="Arial" w:cs="Arial"/>
                <w:color w:val="000000"/>
                <w:sz w:val="16"/>
                <w:vertAlign w:val="superscript"/>
              </w:rPr>
            </w:pPr>
            <w:r>
              <w:rPr>
                <w:rFonts w:ascii="Arial" w:eastAsia="Arial" w:hAnsi="Arial" w:cs="Arial"/>
                <w:b/>
                <w:color w:val="000000"/>
                <w:sz w:val="16"/>
              </w:rPr>
              <w:t>Programme 1.5:  Veterans' Children Education Scheme</w:t>
            </w:r>
          </w:p>
        </w:tc>
        <w:tc>
          <w:tcPr>
            <w:tcW w:w="1275" w:type="dxa"/>
            <w:tcBorders>
              <w:top w:val="nil"/>
              <w:left w:val="nil"/>
              <w:bottom w:val="nil"/>
              <w:right w:val="nil"/>
              <w:tl2br w:val="nil"/>
              <w:tr2bl w:val="nil"/>
            </w:tcBorders>
            <w:shd w:val="clear" w:color="auto" w:fill="FFFFFF"/>
            <w:tcMar>
              <w:left w:w="101" w:type="dxa"/>
              <w:right w:w="101" w:type="dxa"/>
            </w:tcMar>
            <w:vAlign w:val="bottom"/>
          </w:tcPr>
          <w:p w14:paraId="3311EB74" w14:textId="77777777" w:rsidR="003F0EEA" w:rsidRDefault="003F0EEA">
            <w:pPr>
              <w:jc w:val="right"/>
              <w:rPr>
                <w:rFonts w:ascii="Arial" w:eastAsia="Arial" w:hAnsi="Arial" w:cs="Arial"/>
                <w:color w:val="000000"/>
                <w:sz w:val="16"/>
                <w:vertAlign w:val="superscript"/>
              </w:rPr>
            </w:pPr>
          </w:p>
        </w:tc>
        <w:tc>
          <w:tcPr>
            <w:tcW w:w="1275" w:type="dxa"/>
            <w:tcBorders>
              <w:top w:val="nil"/>
              <w:left w:val="nil"/>
              <w:bottom w:val="nil"/>
              <w:right w:val="nil"/>
              <w:tl2br w:val="nil"/>
              <w:tr2bl w:val="nil"/>
            </w:tcBorders>
            <w:shd w:val="clear" w:color="auto" w:fill="FFFF00"/>
            <w:tcMar>
              <w:left w:w="101" w:type="dxa"/>
              <w:right w:w="101" w:type="dxa"/>
            </w:tcMar>
            <w:vAlign w:val="bottom"/>
          </w:tcPr>
          <w:p w14:paraId="51828079" w14:textId="77777777" w:rsidR="003F0EEA" w:rsidRDefault="003F0EEA">
            <w:pPr>
              <w:jc w:val="right"/>
              <w:rPr>
                <w:rFonts w:ascii="Arial" w:eastAsia="Arial" w:hAnsi="Arial" w:cs="Arial"/>
                <w:color w:val="000000"/>
                <w:sz w:val="16"/>
                <w:vertAlign w:val="superscript"/>
              </w:rPr>
            </w:pPr>
          </w:p>
        </w:tc>
      </w:tr>
      <w:tr w:rsidR="00FB7D0B" w14:paraId="41B89961" w14:textId="77777777" w:rsidTr="00FB7D0B">
        <w:trPr>
          <w:trHeight w:val="225"/>
        </w:trPr>
        <w:tc>
          <w:tcPr>
            <w:tcW w:w="5700" w:type="dxa"/>
            <w:gridSpan w:val="2"/>
            <w:tcBorders>
              <w:top w:val="nil"/>
              <w:left w:val="nil"/>
              <w:bottom w:val="nil"/>
              <w:right w:val="nil"/>
              <w:tl2br w:val="nil"/>
              <w:tr2bl w:val="nil"/>
            </w:tcBorders>
            <w:shd w:val="clear" w:color="auto" w:fill="FFFFFF"/>
            <w:tcMar>
              <w:left w:w="101" w:type="dxa"/>
              <w:right w:w="101" w:type="dxa"/>
            </w:tcMar>
            <w:vAlign w:val="bottom"/>
          </w:tcPr>
          <w:p w14:paraId="68430028" w14:textId="77777777" w:rsidR="003F0EEA" w:rsidRDefault="00FB7D0B">
            <w:pPr>
              <w:rPr>
                <w:rFonts w:ascii="Arial" w:eastAsia="Arial" w:hAnsi="Arial" w:cs="Arial"/>
                <w:color w:val="000000"/>
                <w:sz w:val="16"/>
                <w:vertAlign w:val="superscript"/>
              </w:rPr>
            </w:pPr>
            <w:r>
              <w:rPr>
                <w:rFonts w:ascii="Arial" w:eastAsia="Arial" w:hAnsi="Arial" w:cs="Arial"/>
                <w:color w:val="000000"/>
                <w:sz w:val="16"/>
              </w:rPr>
              <w:t>Administered Expenses</w:t>
            </w:r>
          </w:p>
        </w:tc>
        <w:tc>
          <w:tcPr>
            <w:tcW w:w="1275" w:type="dxa"/>
            <w:tcBorders>
              <w:top w:val="nil"/>
              <w:left w:val="nil"/>
              <w:bottom w:val="nil"/>
              <w:right w:val="nil"/>
              <w:tl2br w:val="nil"/>
              <w:tr2bl w:val="nil"/>
            </w:tcBorders>
            <w:shd w:val="clear" w:color="auto" w:fill="FFFFFF"/>
            <w:tcMar>
              <w:left w:w="101" w:type="dxa"/>
              <w:right w:w="101" w:type="dxa"/>
            </w:tcMar>
            <w:vAlign w:val="bottom"/>
          </w:tcPr>
          <w:p w14:paraId="6D69EC4C" w14:textId="77777777" w:rsidR="003F0EEA" w:rsidRDefault="003F0EEA">
            <w:pPr>
              <w:jc w:val="right"/>
              <w:rPr>
                <w:rFonts w:ascii="Arial" w:eastAsia="Arial" w:hAnsi="Arial" w:cs="Arial"/>
                <w:color w:val="000000"/>
                <w:sz w:val="16"/>
                <w:vertAlign w:val="superscript"/>
              </w:rPr>
            </w:pPr>
          </w:p>
        </w:tc>
        <w:tc>
          <w:tcPr>
            <w:tcW w:w="1275" w:type="dxa"/>
            <w:tcBorders>
              <w:top w:val="nil"/>
              <w:left w:val="nil"/>
              <w:bottom w:val="nil"/>
              <w:right w:val="nil"/>
              <w:tl2br w:val="nil"/>
              <w:tr2bl w:val="nil"/>
            </w:tcBorders>
            <w:shd w:val="clear" w:color="auto" w:fill="FFFF00"/>
            <w:tcMar>
              <w:left w:w="101" w:type="dxa"/>
              <w:right w:w="101" w:type="dxa"/>
            </w:tcMar>
            <w:vAlign w:val="bottom"/>
          </w:tcPr>
          <w:p w14:paraId="139B23C9" w14:textId="77777777" w:rsidR="003F0EEA" w:rsidRDefault="003F0EEA">
            <w:pPr>
              <w:jc w:val="right"/>
              <w:rPr>
                <w:rFonts w:ascii="Arial" w:eastAsia="Arial" w:hAnsi="Arial" w:cs="Arial"/>
                <w:color w:val="000000"/>
                <w:sz w:val="16"/>
                <w:vertAlign w:val="superscript"/>
              </w:rPr>
            </w:pPr>
          </w:p>
        </w:tc>
      </w:tr>
      <w:tr w:rsidR="00724034" w14:paraId="622DEBBE" w14:textId="77777777">
        <w:trPr>
          <w:trHeight w:val="225"/>
        </w:trPr>
        <w:tc>
          <w:tcPr>
            <w:tcW w:w="300" w:type="dxa"/>
            <w:tcBorders>
              <w:top w:val="nil"/>
              <w:left w:val="nil"/>
              <w:bottom w:val="nil"/>
              <w:right w:val="nil"/>
              <w:tl2br w:val="nil"/>
              <w:tr2bl w:val="nil"/>
            </w:tcBorders>
            <w:shd w:val="clear" w:color="auto" w:fill="FFFFFF"/>
            <w:tcMar>
              <w:left w:w="101" w:type="dxa"/>
              <w:right w:w="101" w:type="dxa"/>
            </w:tcMar>
            <w:vAlign w:val="bottom"/>
          </w:tcPr>
          <w:p w14:paraId="61E10364" w14:textId="77777777" w:rsidR="003F0EEA" w:rsidRDefault="003F0EEA">
            <w:pPr>
              <w:rPr>
                <w:rFonts w:ascii="Arial" w:eastAsia="Arial" w:hAnsi="Arial" w:cs="Arial"/>
                <w:color w:val="000000"/>
                <w:sz w:val="16"/>
                <w:vertAlign w:val="superscript"/>
              </w:rPr>
            </w:pPr>
          </w:p>
        </w:tc>
        <w:tc>
          <w:tcPr>
            <w:tcW w:w="5400" w:type="dxa"/>
            <w:tcBorders>
              <w:top w:val="nil"/>
              <w:left w:val="nil"/>
              <w:bottom w:val="nil"/>
              <w:right w:val="nil"/>
              <w:tl2br w:val="nil"/>
              <w:tr2bl w:val="nil"/>
            </w:tcBorders>
            <w:shd w:val="clear" w:color="auto" w:fill="FFFFFF"/>
            <w:tcMar>
              <w:left w:w="101" w:type="dxa"/>
              <w:right w:w="101" w:type="dxa"/>
            </w:tcMar>
            <w:vAlign w:val="bottom"/>
          </w:tcPr>
          <w:p w14:paraId="104BF56A" w14:textId="77777777" w:rsidR="003F0EEA" w:rsidRDefault="00FB7D0B">
            <w:pPr>
              <w:rPr>
                <w:rFonts w:ascii="Arial" w:eastAsia="Arial" w:hAnsi="Arial" w:cs="Arial"/>
                <w:color w:val="000000"/>
                <w:sz w:val="16"/>
                <w:vertAlign w:val="superscript"/>
              </w:rPr>
            </w:pPr>
            <w:r>
              <w:rPr>
                <w:rFonts w:ascii="Arial" w:eastAsia="Arial" w:hAnsi="Arial" w:cs="Arial"/>
                <w:color w:val="000000"/>
                <w:sz w:val="16"/>
              </w:rPr>
              <w:t>Ordinary annual services (Appropriation Bill No. 1)</w:t>
            </w:r>
          </w:p>
        </w:tc>
        <w:tc>
          <w:tcPr>
            <w:tcW w:w="1275" w:type="dxa"/>
            <w:tcBorders>
              <w:top w:val="nil"/>
              <w:left w:val="nil"/>
              <w:bottom w:val="nil"/>
              <w:right w:val="nil"/>
              <w:tl2br w:val="nil"/>
              <w:tr2bl w:val="nil"/>
            </w:tcBorders>
            <w:shd w:val="clear" w:color="auto" w:fill="FFFFFF"/>
            <w:tcMar>
              <w:left w:w="101" w:type="dxa"/>
              <w:right w:w="101" w:type="dxa"/>
            </w:tcMar>
            <w:vAlign w:val="bottom"/>
          </w:tcPr>
          <w:p w14:paraId="4D128E11" w14:textId="77777777" w:rsidR="003F0EEA" w:rsidRDefault="00FB7D0B">
            <w:pPr>
              <w:jc w:val="right"/>
              <w:rPr>
                <w:rFonts w:ascii="Arial" w:eastAsia="Arial" w:hAnsi="Arial" w:cs="Arial"/>
                <w:color w:val="000000"/>
                <w:sz w:val="16"/>
                <w:vertAlign w:val="superscript"/>
              </w:rPr>
            </w:pPr>
            <w:r>
              <w:rPr>
                <w:rFonts w:ascii="Arial" w:eastAsia="Arial" w:hAnsi="Arial" w:cs="Arial"/>
                <w:color w:val="000000"/>
                <w:sz w:val="16"/>
              </w:rPr>
              <w:t xml:space="preserve"> 15,954 </w:t>
            </w:r>
          </w:p>
        </w:tc>
        <w:tc>
          <w:tcPr>
            <w:tcW w:w="1275" w:type="dxa"/>
            <w:tcBorders>
              <w:top w:val="nil"/>
              <w:left w:val="nil"/>
              <w:bottom w:val="nil"/>
              <w:right w:val="nil"/>
              <w:tl2br w:val="nil"/>
              <w:tr2bl w:val="nil"/>
            </w:tcBorders>
            <w:shd w:val="clear" w:color="auto" w:fill="FFFF00"/>
            <w:tcMar>
              <w:left w:w="101" w:type="dxa"/>
              <w:right w:w="101" w:type="dxa"/>
            </w:tcMar>
            <w:vAlign w:val="bottom"/>
          </w:tcPr>
          <w:p w14:paraId="5BE1029B" w14:textId="77777777" w:rsidR="003F0EEA" w:rsidRDefault="00FB7D0B">
            <w:pPr>
              <w:jc w:val="right"/>
              <w:rPr>
                <w:rFonts w:ascii="Arial" w:eastAsia="Arial" w:hAnsi="Arial" w:cs="Arial"/>
                <w:color w:val="000000"/>
                <w:sz w:val="16"/>
              </w:rPr>
            </w:pPr>
            <w:r>
              <w:rPr>
                <w:rFonts w:ascii="Arial" w:eastAsia="Arial" w:hAnsi="Arial" w:cs="Arial"/>
                <w:color w:val="000000"/>
                <w:sz w:val="16"/>
              </w:rPr>
              <w:t xml:space="preserve"> 15,634 </w:t>
            </w:r>
          </w:p>
        </w:tc>
      </w:tr>
      <w:tr w:rsidR="00724034" w14:paraId="5EC7D219" w14:textId="77777777">
        <w:trPr>
          <w:trHeight w:val="225"/>
        </w:trPr>
        <w:tc>
          <w:tcPr>
            <w:tcW w:w="300" w:type="dxa"/>
            <w:tcBorders>
              <w:top w:val="nil"/>
              <w:left w:val="nil"/>
              <w:bottom w:val="nil"/>
              <w:right w:val="nil"/>
              <w:tl2br w:val="nil"/>
              <w:tr2bl w:val="nil"/>
            </w:tcBorders>
            <w:shd w:val="clear" w:color="auto" w:fill="FFFFFF"/>
            <w:tcMar>
              <w:left w:w="101" w:type="dxa"/>
              <w:right w:w="101" w:type="dxa"/>
            </w:tcMar>
            <w:vAlign w:val="bottom"/>
          </w:tcPr>
          <w:p w14:paraId="16B9C665" w14:textId="77777777" w:rsidR="003F0EEA" w:rsidRDefault="003F0EEA">
            <w:pPr>
              <w:rPr>
                <w:rFonts w:ascii="Arial" w:eastAsia="Arial" w:hAnsi="Arial" w:cs="Arial"/>
                <w:color w:val="000000"/>
                <w:sz w:val="16"/>
              </w:rPr>
            </w:pPr>
          </w:p>
        </w:tc>
        <w:tc>
          <w:tcPr>
            <w:tcW w:w="5400" w:type="dxa"/>
            <w:tcBorders>
              <w:top w:val="nil"/>
              <w:left w:val="nil"/>
              <w:bottom w:val="nil"/>
              <w:right w:val="nil"/>
              <w:tl2br w:val="nil"/>
              <w:tr2bl w:val="nil"/>
            </w:tcBorders>
            <w:shd w:val="clear" w:color="auto" w:fill="FFFFFF"/>
            <w:tcMar>
              <w:left w:w="101" w:type="dxa"/>
              <w:right w:w="101" w:type="dxa"/>
            </w:tcMar>
            <w:vAlign w:val="bottom"/>
          </w:tcPr>
          <w:p w14:paraId="6FFCD985" w14:textId="77777777" w:rsidR="003F0EEA" w:rsidRDefault="00FB7D0B">
            <w:pPr>
              <w:rPr>
                <w:rFonts w:ascii="Arial" w:eastAsia="Arial" w:hAnsi="Arial" w:cs="Arial"/>
                <w:color w:val="000000"/>
                <w:sz w:val="16"/>
              </w:rPr>
            </w:pPr>
            <w:r>
              <w:rPr>
                <w:rFonts w:ascii="Arial" w:eastAsia="Arial" w:hAnsi="Arial" w:cs="Arial"/>
                <w:color w:val="000000"/>
                <w:sz w:val="16"/>
              </w:rPr>
              <w:t>Other services (Appropriation Bill No. 2)</w:t>
            </w:r>
          </w:p>
        </w:tc>
        <w:tc>
          <w:tcPr>
            <w:tcW w:w="1275" w:type="dxa"/>
            <w:tcBorders>
              <w:top w:val="nil"/>
              <w:left w:val="nil"/>
              <w:bottom w:val="nil"/>
              <w:right w:val="nil"/>
              <w:tl2br w:val="nil"/>
              <w:tr2bl w:val="nil"/>
            </w:tcBorders>
            <w:shd w:val="clear" w:color="auto" w:fill="FFFFFF"/>
            <w:tcMar>
              <w:left w:w="101" w:type="dxa"/>
              <w:right w:w="101" w:type="dxa"/>
            </w:tcMar>
            <w:vAlign w:val="bottom"/>
          </w:tcPr>
          <w:p w14:paraId="5231B26F" w14:textId="77777777" w:rsidR="003F0EEA" w:rsidRDefault="00FB7D0B">
            <w:pPr>
              <w:jc w:val="right"/>
              <w:rPr>
                <w:rFonts w:ascii="Arial" w:eastAsia="Arial" w:hAnsi="Arial" w:cs="Arial"/>
                <w:color w:val="000000"/>
                <w:sz w:val="16"/>
                <w:vertAlign w:val="superscript"/>
              </w:rPr>
            </w:pPr>
            <w:r>
              <w:rPr>
                <w:rFonts w:ascii="Arial" w:eastAsia="Arial" w:hAnsi="Arial" w:cs="Arial"/>
                <w:color w:val="000000"/>
                <w:sz w:val="16"/>
              </w:rPr>
              <w:t xml:space="preserve"> - </w:t>
            </w:r>
          </w:p>
        </w:tc>
        <w:tc>
          <w:tcPr>
            <w:tcW w:w="1275" w:type="dxa"/>
            <w:tcBorders>
              <w:top w:val="nil"/>
              <w:left w:val="nil"/>
              <w:bottom w:val="nil"/>
              <w:right w:val="nil"/>
              <w:tl2br w:val="nil"/>
              <w:tr2bl w:val="nil"/>
            </w:tcBorders>
            <w:shd w:val="clear" w:color="auto" w:fill="FFFF00"/>
            <w:tcMar>
              <w:left w:w="101" w:type="dxa"/>
              <w:right w:w="101" w:type="dxa"/>
            </w:tcMar>
            <w:vAlign w:val="bottom"/>
          </w:tcPr>
          <w:p w14:paraId="5797348C" w14:textId="77777777" w:rsidR="003F0EEA" w:rsidRDefault="00FB7D0B">
            <w:pPr>
              <w:jc w:val="right"/>
              <w:rPr>
                <w:rFonts w:ascii="Arial" w:eastAsia="Arial" w:hAnsi="Arial" w:cs="Arial"/>
                <w:color w:val="000000"/>
                <w:sz w:val="16"/>
              </w:rPr>
            </w:pPr>
            <w:r>
              <w:rPr>
                <w:rFonts w:ascii="Arial" w:eastAsia="Arial" w:hAnsi="Arial" w:cs="Arial"/>
                <w:color w:val="000000"/>
                <w:sz w:val="16"/>
              </w:rPr>
              <w:t xml:space="preserve"> - </w:t>
            </w:r>
          </w:p>
        </w:tc>
      </w:tr>
      <w:tr w:rsidR="00724034" w14:paraId="23FA0001" w14:textId="77777777">
        <w:trPr>
          <w:trHeight w:val="225"/>
        </w:trPr>
        <w:tc>
          <w:tcPr>
            <w:tcW w:w="300" w:type="dxa"/>
            <w:tcBorders>
              <w:top w:val="nil"/>
              <w:left w:val="nil"/>
              <w:bottom w:val="nil"/>
              <w:right w:val="nil"/>
              <w:tl2br w:val="nil"/>
              <w:tr2bl w:val="nil"/>
            </w:tcBorders>
            <w:shd w:val="clear" w:color="auto" w:fill="FFFFFF"/>
            <w:tcMar>
              <w:left w:w="101" w:type="dxa"/>
              <w:right w:w="101" w:type="dxa"/>
            </w:tcMar>
            <w:vAlign w:val="bottom"/>
          </w:tcPr>
          <w:p w14:paraId="32D3F0DC" w14:textId="77777777" w:rsidR="003F0EEA" w:rsidRDefault="003F0EEA">
            <w:pPr>
              <w:rPr>
                <w:rFonts w:ascii="Arial" w:eastAsia="Arial" w:hAnsi="Arial" w:cs="Arial"/>
                <w:color w:val="000000"/>
                <w:sz w:val="16"/>
              </w:rPr>
            </w:pPr>
          </w:p>
        </w:tc>
        <w:tc>
          <w:tcPr>
            <w:tcW w:w="5400" w:type="dxa"/>
            <w:tcBorders>
              <w:top w:val="nil"/>
              <w:left w:val="nil"/>
              <w:bottom w:val="nil"/>
              <w:right w:val="nil"/>
              <w:tl2br w:val="nil"/>
              <w:tr2bl w:val="nil"/>
            </w:tcBorders>
            <w:shd w:val="clear" w:color="auto" w:fill="FFFFFF"/>
            <w:tcMar>
              <w:left w:w="101" w:type="dxa"/>
              <w:right w:w="101" w:type="dxa"/>
            </w:tcMar>
            <w:vAlign w:val="bottom"/>
          </w:tcPr>
          <w:p w14:paraId="07CBF15B" w14:textId="77777777" w:rsidR="003F0EEA" w:rsidRDefault="00FB7D0B">
            <w:pPr>
              <w:rPr>
                <w:rFonts w:ascii="Arial" w:eastAsia="Arial" w:hAnsi="Arial" w:cs="Arial"/>
                <w:color w:val="000000"/>
                <w:sz w:val="16"/>
              </w:rPr>
            </w:pPr>
            <w:r>
              <w:rPr>
                <w:rFonts w:ascii="Arial" w:eastAsia="Arial" w:hAnsi="Arial" w:cs="Arial"/>
                <w:color w:val="000000"/>
                <w:sz w:val="16"/>
              </w:rPr>
              <w:t>Special Appropriations</w:t>
            </w:r>
          </w:p>
        </w:tc>
        <w:tc>
          <w:tcPr>
            <w:tcW w:w="1275" w:type="dxa"/>
            <w:tcBorders>
              <w:top w:val="nil"/>
              <w:left w:val="nil"/>
              <w:bottom w:val="nil"/>
              <w:right w:val="nil"/>
              <w:tl2br w:val="nil"/>
              <w:tr2bl w:val="nil"/>
            </w:tcBorders>
            <w:shd w:val="clear" w:color="auto" w:fill="FFFFFF"/>
            <w:tcMar>
              <w:left w:w="101" w:type="dxa"/>
              <w:right w:w="101" w:type="dxa"/>
            </w:tcMar>
            <w:vAlign w:val="bottom"/>
          </w:tcPr>
          <w:p w14:paraId="35F6E3D6" w14:textId="77777777" w:rsidR="003F0EEA" w:rsidRDefault="00FB7D0B">
            <w:pPr>
              <w:jc w:val="right"/>
              <w:rPr>
                <w:rFonts w:ascii="Arial" w:eastAsia="Arial" w:hAnsi="Arial" w:cs="Arial"/>
                <w:color w:val="000000"/>
                <w:sz w:val="16"/>
                <w:vertAlign w:val="superscript"/>
              </w:rPr>
            </w:pPr>
            <w:r>
              <w:rPr>
                <w:rFonts w:ascii="Arial" w:eastAsia="Arial" w:hAnsi="Arial" w:cs="Arial"/>
                <w:color w:val="000000"/>
                <w:sz w:val="16"/>
              </w:rPr>
              <w:t xml:space="preserve"> - </w:t>
            </w:r>
          </w:p>
        </w:tc>
        <w:tc>
          <w:tcPr>
            <w:tcW w:w="1275" w:type="dxa"/>
            <w:tcBorders>
              <w:top w:val="nil"/>
              <w:left w:val="nil"/>
              <w:bottom w:val="nil"/>
              <w:right w:val="nil"/>
              <w:tl2br w:val="nil"/>
              <w:tr2bl w:val="nil"/>
            </w:tcBorders>
            <w:shd w:val="clear" w:color="auto" w:fill="FFFF00"/>
            <w:tcMar>
              <w:left w:w="101" w:type="dxa"/>
              <w:right w:w="101" w:type="dxa"/>
            </w:tcMar>
            <w:vAlign w:val="bottom"/>
          </w:tcPr>
          <w:p w14:paraId="5B8F4FEC" w14:textId="77777777" w:rsidR="003F0EEA" w:rsidRDefault="00FB7D0B">
            <w:pPr>
              <w:jc w:val="right"/>
              <w:rPr>
                <w:rFonts w:ascii="Arial" w:eastAsia="Arial" w:hAnsi="Arial" w:cs="Arial"/>
                <w:color w:val="000000"/>
                <w:sz w:val="16"/>
              </w:rPr>
            </w:pPr>
            <w:r>
              <w:rPr>
                <w:rFonts w:ascii="Arial" w:eastAsia="Arial" w:hAnsi="Arial" w:cs="Arial"/>
                <w:color w:val="000000"/>
                <w:sz w:val="16"/>
              </w:rPr>
              <w:t xml:space="preserve"> - </w:t>
            </w:r>
          </w:p>
        </w:tc>
      </w:tr>
      <w:tr w:rsidR="00724034" w14:paraId="5926D256" w14:textId="77777777">
        <w:trPr>
          <w:trHeight w:val="225"/>
        </w:trPr>
        <w:tc>
          <w:tcPr>
            <w:tcW w:w="300" w:type="dxa"/>
            <w:tcBorders>
              <w:top w:val="nil"/>
              <w:left w:val="nil"/>
              <w:bottom w:val="nil"/>
              <w:right w:val="nil"/>
              <w:tl2br w:val="nil"/>
              <w:tr2bl w:val="nil"/>
            </w:tcBorders>
            <w:shd w:val="clear" w:color="auto" w:fill="FFFFFF"/>
            <w:tcMar>
              <w:left w:w="101" w:type="dxa"/>
              <w:right w:w="101" w:type="dxa"/>
            </w:tcMar>
            <w:vAlign w:val="bottom"/>
          </w:tcPr>
          <w:p w14:paraId="48DEF616" w14:textId="77777777" w:rsidR="003F0EEA" w:rsidRDefault="003F0EEA">
            <w:pPr>
              <w:rPr>
                <w:rFonts w:ascii="Arial" w:eastAsia="Arial" w:hAnsi="Arial" w:cs="Arial"/>
                <w:color w:val="000000"/>
                <w:sz w:val="16"/>
              </w:rPr>
            </w:pPr>
          </w:p>
        </w:tc>
        <w:tc>
          <w:tcPr>
            <w:tcW w:w="5400" w:type="dxa"/>
            <w:tcBorders>
              <w:top w:val="nil"/>
              <w:left w:val="nil"/>
              <w:bottom w:val="nil"/>
              <w:right w:val="nil"/>
              <w:tl2br w:val="nil"/>
              <w:tr2bl w:val="nil"/>
            </w:tcBorders>
            <w:shd w:val="clear" w:color="auto" w:fill="FFFFFF"/>
            <w:tcMar>
              <w:left w:w="101" w:type="dxa"/>
              <w:right w:w="101" w:type="dxa"/>
            </w:tcMar>
            <w:vAlign w:val="bottom"/>
          </w:tcPr>
          <w:p w14:paraId="2C938E06" w14:textId="77777777" w:rsidR="003F0EEA" w:rsidRDefault="00FB7D0B">
            <w:pPr>
              <w:rPr>
                <w:rFonts w:ascii="Arial" w:eastAsia="Arial" w:hAnsi="Arial" w:cs="Arial"/>
                <w:color w:val="000000"/>
                <w:sz w:val="16"/>
              </w:rPr>
            </w:pPr>
            <w:r>
              <w:rPr>
                <w:rFonts w:ascii="Arial" w:eastAsia="Arial" w:hAnsi="Arial" w:cs="Arial"/>
                <w:color w:val="000000"/>
                <w:sz w:val="16"/>
              </w:rPr>
              <w:t>Special Accounts</w:t>
            </w:r>
          </w:p>
        </w:tc>
        <w:tc>
          <w:tcPr>
            <w:tcW w:w="1275" w:type="dxa"/>
            <w:tcBorders>
              <w:top w:val="nil"/>
              <w:left w:val="nil"/>
              <w:bottom w:val="nil"/>
              <w:right w:val="nil"/>
              <w:tl2br w:val="nil"/>
              <w:tr2bl w:val="nil"/>
            </w:tcBorders>
            <w:shd w:val="clear" w:color="auto" w:fill="FFFFFF"/>
            <w:tcMar>
              <w:left w:w="101" w:type="dxa"/>
              <w:right w:w="101" w:type="dxa"/>
            </w:tcMar>
            <w:vAlign w:val="bottom"/>
          </w:tcPr>
          <w:p w14:paraId="33BC4277" w14:textId="77777777" w:rsidR="003F0EEA" w:rsidRDefault="00FB7D0B">
            <w:pPr>
              <w:jc w:val="right"/>
              <w:rPr>
                <w:rFonts w:ascii="Arial" w:eastAsia="Arial" w:hAnsi="Arial" w:cs="Arial"/>
                <w:color w:val="000000"/>
                <w:sz w:val="16"/>
                <w:vertAlign w:val="superscript"/>
              </w:rPr>
            </w:pPr>
            <w:r>
              <w:rPr>
                <w:rFonts w:ascii="Arial" w:eastAsia="Arial" w:hAnsi="Arial" w:cs="Arial"/>
                <w:color w:val="000000"/>
                <w:sz w:val="16"/>
              </w:rPr>
              <w:t xml:space="preserve"> - </w:t>
            </w:r>
          </w:p>
        </w:tc>
        <w:tc>
          <w:tcPr>
            <w:tcW w:w="1275" w:type="dxa"/>
            <w:tcBorders>
              <w:top w:val="nil"/>
              <w:left w:val="nil"/>
              <w:bottom w:val="nil"/>
              <w:right w:val="nil"/>
              <w:tl2br w:val="nil"/>
              <w:tr2bl w:val="nil"/>
            </w:tcBorders>
            <w:shd w:val="clear" w:color="auto" w:fill="FFFF00"/>
            <w:tcMar>
              <w:left w:w="101" w:type="dxa"/>
              <w:right w:w="101" w:type="dxa"/>
            </w:tcMar>
            <w:vAlign w:val="bottom"/>
          </w:tcPr>
          <w:p w14:paraId="584E913E" w14:textId="77777777" w:rsidR="003F0EEA" w:rsidRDefault="00FB7D0B">
            <w:pPr>
              <w:jc w:val="right"/>
              <w:rPr>
                <w:rFonts w:ascii="Arial" w:eastAsia="Arial" w:hAnsi="Arial" w:cs="Arial"/>
                <w:color w:val="000000"/>
                <w:sz w:val="16"/>
              </w:rPr>
            </w:pPr>
            <w:r>
              <w:rPr>
                <w:rFonts w:ascii="Arial" w:eastAsia="Arial" w:hAnsi="Arial" w:cs="Arial"/>
                <w:color w:val="000000"/>
                <w:sz w:val="16"/>
              </w:rPr>
              <w:t xml:space="preserve"> - </w:t>
            </w:r>
          </w:p>
        </w:tc>
      </w:tr>
      <w:tr w:rsidR="00FB7D0B" w14:paraId="6F8C966B" w14:textId="77777777" w:rsidTr="00FB7D0B">
        <w:trPr>
          <w:trHeight w:val="225"/>
        </w:trPr>
        <w:tc>
          <w:tcPr>
            <w:tcW w:w="5700" w:type="dxa"/>
            <w:gridSpan w:val="2"/>
            <w:tcBorders>
              <w:top w:val="nil"/>
              <w:left w:val="nil"/>
              <w:bottom w:val="nil"/>
              <w:right w:val="nil"/>
              <w:tl2br w:val="nil"/>
              <w:tr2bl w:val="nil"/>
            </w:tcBorders>
            <w:shd w:val="clear" w:color="auto" w:fill="FFFFFF"/>
            <w:tcMar>
              <w:left w:w="101" w:type="dxa"/>
              <w:right w:w="101" w:type="dxa"/>
            </w:tcMar>
            <w:vAlign w:val="bottom"/>
          </w:tcPr>
          <w:p w14:paraId="41600CC7" w14:textId="77777777" w:rsidR="003F0EEA" w:rsidRDefault="00FB7D0B">
            <w:pPr>
              <w:rPr>
                <w:rFonts w:ascii="Arial" w:eastAsia="Arial" w:hAnsi="Arial" w:cs="Arial"/>
                <w:color w:val="000000"/>
                <w:sz w:val="16"/>
              </w:rPr>
            </w:pPr>
            <w:r>
              <w:rPr>
                <w:rFonts w:ascii="Arial" w:eastAsia="Arial" w:hAnsi="Arial" w:cs="Arial"/>
                <w:color w:val="000000"/>
                <w:sz w:val="16"/>
              </w:rPr>
              <w:t>Departmental Expenses</w:t>
            </w:r>
          </w:p>
        </w:tc>
        <w:tc>
          <w:tcPr>
            <w:tcW w:w="1275" w:type="dxa"/>
            <w:tcBorders>
              <w:top w:val="nil"/>
              <w:left w:val="nil"/>
              <w:bottom w:val="nil"/>
              <w:right w:val="nil"/>
              <w:tl2br w:val="nil"/>
              <w:tr2bl w:val="nil"/>
            </w:tcBorders>
            <w:shd w:val="clear" w:color="auto" w:fill="FFFFFF"/>
            <w:tcMar>
              <w:left w:w="101" w:type="dxa"/>
              <w:right w:w="101" w:type="dxa"/>
            </w:tcMar>
            <w:vAlign w:val="bottom"/>
          </w:tcPr>
          <w:p w14:paraId="1CD6F879" w14:textId="77777777" w:rsidR="003F0EEA" w:rsidRDefault="003F0EEA">
            <w:pPr>
              <w:jc w:val="right"/>
              <w:rPr>
                <w:rFonts w:ascii="Arial" w:eastAsia="Arial" w:hAnsi="Arial" w:cs="Arial"/>
                <w:color w:val="000000"/>
                <w:sz w:val="16"/>
                <w:vertAlign w:val="superscript"/>
              </w:rPr>
            </w:pPr>
          </w:p>
        </w:tc>
        <w:tc>
          <w:tcPr>
            <w:tcW w:w="1275" w:type="dxa"/>
            <w:tcBorders>
              <w:top w:val="nil"/>
              <w:left w:val="nil"/>
              <w:bottom w:val="nil"/>
              <w:right w:val="nil"/>
              <w:tl2br w:val="nil"/>
              <w:tr2bl w:val="nil"/>
            </w:tcBorders>
            <w:shd w:val="clear" w:color="auto" w:fill="FFFF00"/>
            <w:tcMar>
              <w:left w:w="101" w:type="dxa"/>
              <w:right w:w="101" w:type="dxa"/>
            </w:tcMar>
            <w:vAlign w:val="bottom"/>
          </w:tcPr>
          <w:p w14:paraId="7E070D0D" w14:textId="77777777" w:rsidR="003F0EEA" w:rsidRDefault="003F0EEA">
            <w:pPr>
              <w:jc w:val="right"/>
              <w:rPr>
                <w:rFonts w:ascii="Arial" w:eastAsia="Arial" w:hAnsi="Arial" w:cs="Arial"/>
                <w:color w:val="000000"/>
                <w:sz w:val="16"/>
                <w:vertAlign w:val="superscript"/>
              </w:rPr>
            </w:pPr>
          </w:p>
        </w:tc>
      </w:tr>
      <w:tr w:rsidR="00724034" w14:paraId="3FDCE35C" w14:textId="77777777">
        <w:trPr>
          <w:trHeight w:val="225"/>
        </w:trPr>
        <w:tc>
          <w:tcPr>
            <w:tcW w:w="300" w:type="dxa"/>
            <w:tcBorders>
              <w:top w:val="nil"/>
              <w:left w:val="nil"/>
              <w:bottom w:val="nil"/>
              <w:right w:val="nil"/>
              <w:tl2br w:val="nil"/>
              <w:tr2bl w:val="nil"/>
            </w:tcBorders>
            <w:shd w:val="clear" w:color="auto" w:fill="FFFFFF"/>
            <w:tcMar>
              <w:left w:w="101" w:type="dxa"/>
              <w:right w:w="101" w:type="dxa"/>
            </w:tcMar>
            <w:vAlign w:val="bottom"/>
          </w:tcPr>
          <w:p w14:paraId="7F7379E2" w14:textId="77777777" w:rsidR="003F0EEA" w:rsidRDefault="003F0EEA">
            <w:pPr>
              <w:rPr>
                <w:rFonts w:ascii="Arial" w:eastAsia="Arial" w:hAnsi="Arial" w:cs="Arial"/>
                <w:color w:val="000000"/>
                <w:sz w:val="16"/>
                <w:vertAlign w:val="superscript"/>
              </w:rPr>
            </w:pPr>
          </w:p>
        </w:tc>
        <w:tc>
          <w:tcPr>
            <w:tcW w:w="5400" w:type="dxa"/>
            <w:tcBorders>
              <w:top w:val="nil"/>
              <w:left w:val="nil"/>
              <w:bottom w:val="nil"/>
              <w:right w:val="nil"/>
              <w:tl2br w:val="nil"/>
              <w:tr2bl w:val="nil"/>
            </w:tcBorders>
            <w:shd w:val="clear" w:color="auto" w:fill="FFFFFF"/>
            <w:tcMar>
              <w:left w:w="101" w:type="dxa"/>
              <w:right w:w="101" w:type="dxa"/>
            </w:tcMar>
            <w:vAlign w:val="bottom"/>
          </w:tcPr>
          <w:p w14:paraId="0C17CC6A" w14:textId="77777777" w:rsidR="003F0EEA" w:rsidRDefault="00FB7D0B">
            <w:pPr>
              <w:rPr>
                <w:rFonts w:ascii="Arial" w:eastAsia="Arial" w:hAnsi="Arial" w:cs="Arial"/>
                <w:color w:val="000000"/>
                <w:sz w:val="16"/>
                <w:vertAlign w:val="superscript"/>
              </w:rPr>
            </w:pPr>
            <w:r>
              <w:rPr>
                <w:rFonts w:ascii="Arial" w:eastAsia="Arial" w:hAnsi="Arial" w:cs="Arial"/>
                <w:color w:val="000000"/>
                <w:sz w:val="16"/>
              </w:rPr>
              <w:t>Departmental appropriation</w:t>
            </w:r>
            <w:r>
              <w:rPr>
                <w:rFonts w:ascii="Arial" w:eastAsia="Arial" w:hAnsi="Arial" w:cs="Arial"/>
                <w:color w:val="000000"/>
                <w:sz w:val="16"/>
                <w:vertAlign w:val="superscript"/>
              </w:rPr>
              <w:t>1 </w:t>
            </w:r>
          </w:p>
        </w:tc>
        <w:tc>
          <w:tcPr>
            <w:tcW w:w="1275" w:type="dxa"/>
            <w:tcBorders>
              <w:top w:val="nil"/>
              <w:left w:val="nil"/>
              <w:bottom w:val="nil"/>
              <w:right w:val="nil"/>
              <w:tl2br w:val="nil"/>
              <w:tr2bl w:val="nil"/>
            </w:tcBorders>
            <w:shd w:val="clear" w:color="auto" w:fill="FFFFFF"/>
            <w:tcMar>
              <w:left w:w="101" w:type="dxa"/>
              <w:right w:w="101" w:type="dxa"/>
            </w:tcMar>
            <w:vAlign w:val="bottom"/>
          </w:tcPr>
          <w:p w14:paraId="0809B4FC" w14:textId="77777777" w:rsidR="003F0EEA" w:rsidRDefault="00FB7D0B">
            <w:pPr>
              <w:jc w:val="right"/>
              <w:rPr>
                <w:rFonts w:ascii="Arial" w:eastAsia="Arial" w:hAnsi="Arial" w:cs="Arial"/>
                <w:color w:val="000000"/>
                <w:sz w:val="16"/>
                <w:vertAlign w:val="superscript"/>
              </w:rPr>
            </w:pPr>
            <w:r>
              <w:rPr>
                <w:rFonts w:ascii="Arial" w:eastAsia="Arial" w:hAnsi="Arial" w:cs="Arial"/>
                <w:color w:val="000000"/>
                <w:sz w:val="16"/>
              </w:rPr>
              <w:t xml:space="preserve"> 2,515 </w:t>
            </w:r>
          </w:p>
        </w:tc>
        <w:tc>
          <w:tcPr>
            <w:tcW w:w="1275" w:type="dxa"/>
            <w:tcBorders>
              <w:top w:val="nil"/>
              <w:left w:val="nil"/>
              <w:bottom w:val="nil"/>
              <w:right w:val="nil"/>
              <w:tl2br w:val="nil"/>
              <w:tr2bl w:val="nil"/>
            </w:tcBorders>
            <w:shd w:val="clear" w:color="auto" w:fill="FFFF00"/>
            <w:tcMar>
              <w:left w:w="101" w:type="dxa"/>
              <w:right w:w="101" w:type="dxa"/>
            </w:tcMar>
            <w:vAlign w:val="bottom"/>
          </w:tcPr>
          <w:p w14:paraId="7770DD0B" w14:textId="77777777" w:rsidR="003F0EEA" w:rsidRDefault="00FB7D0B">
            <w:pPr>
              <w:jc w:val="right"/>
              <w:rPr>
                <w:rFonts w:ascii="Arial" w:eastAsia="Arial" w:hAnsi="Arial" w:cs="Arial"/>
                <w:color w:val="000000"/>
                <w:sz w:val="16"/>
              </w:rPr>
            </w:pPr>
            <w:r>
              <w:rPr>
                <w:rFonts w:ascii="Arial" w:eastAsia="Arial" w:hAnsi="Arial" w:cs="Arial"/>
                <w:color w:val="000000"/>
                <w:sz w:val="16"/>
              </w:rPr>
              <w:t xml:space="preserve"> 2,468 </w:t>
            </w:r>
          </w:p>
        </w:tc>
      </w:tr>
      <w:tr w:rsidR="00724034" w14:paraId="1BBF473E" w14:textId="77777777">
        <w:trPr>
          <w:trHeight w:val="225"/>
        </w:trPr>
        <w:tc>
          <w:tcPr>
            <w:tcW w:w="300" w:type="dxa"/>
            <w:tcBorders>
              <w:top w:val="nil"/>
              <w:left w:val="nil"/>
              <w:bottom w:val="nil"/>
              <w:right w:val="nil"/>
              <w:tl2br w:val="nil"/>
              <w:tr2bl w:val="nil"/>
            </w:tcBorders>
            <w:shd w:val="clear" w:color="auto" w:fill="FFFFFF"/>
            <w:tcMar>
              <w:left w:w="101" w:type="dxa"/>
              <w:right w:w="101" w:type="dxa"/>
            </w:tcMar>
            <w:vAlign w:val="bottom"/>
          </w:tcPr>
          <w:p w14:paraId="180B1DB6" w14:textId="77777777" w:rsidR="003F0EEA" w:rsidRDefault="003F0EEA">
            <w:pPr>
              <w:rPr>
                <w:rFonts w:ascii="Arial" w:eastAsia="Arial" w:hAnsi="Arial" w:cs="Arial"/>
                <w:color w:val="000000"/>
                <w:sz w:val="16"/>
              </w:rPr>
            </w:pPr>
          </w:p>
        </w:tc>
        <w:tc>
          <w:tcPr>
            <w:tcW w:w="5400" w:type="dxa"/>
            <w:tcBorders>
              <w:top w:val="nil"/>
              <w:left w:val="nil"/>
              <w:bottom w:val="nil"/>
              <w:right w:val="nil"/>
              <w:tl2br w:val="nil"/>
              <w:tr2bl w:val="nil"/>
            </w:tcBorders>
            <w:shd w:val="clear" w:color="auto" w:fill="FFFFFF"/>
            <w:tcMar>
              <w:left w:w="101" w:type="dxa"/>
              <w:right w:w="101" w:type="dxa"/>
            </w:tcMar>
            <w:vAlign w:val="bottom"/>
          </w:tcPr>
          <w:p w14:paraId="7D7F880F" w14:textId="77777777" w:rsidR="003F0EEA" w:rsidRDefault="00FB7D0B">
            <w:pPr>
              <w:rPr>
                <w:rFonts w:ascii="Arial" w:eastAsia="Arial" w:hAnsi="Arial" w:cs="Arial"/>
                <w:color w:val="000000"/>
                <w:sz w:val="16"/>
              </w:rPr>
            </w:pPr>
            <w:r>
              <w:rPr>
                <w:rFonts w:ascii="Arial" w:eastAsia="Arial" w:hAnsi="Arial" w:cs="Arial"/>
                <w:color w:val="000000"/>
                <w:sz w:val="16"/>
              </w:rPr>
              <w:t>Expenses not requiring appropriation in the Budget year</w:t>
            </w:r>
            <w:r>
              <w:rPr>
                <w:rFonts w:ascii="Arial" w:eastAsia="Arial" w:hAnsi="Arial" w:cs="Arial"/>
                <w:color w:val="000000"/>
                <w:sz w:val="16"/>
                <w:vertAlign w:val="superscript"/>
              </w:rPr>
              <w:t>2 </w:t>
            </w:r>
          </w:p>
        </w:tc>
        <w:tc>
          <w:tcPr>
            <w:tcW w:w="1275"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2093A974" w14:textId="77777777" w:rsidR="003F0EEA" w:rsidRDefault="00FB7D0B">
            <w:pPr>
              <w:jc w:val="right"/>
              <w:rPr>
                <w:rFonts w:ascii="Arial" w:eastAsia="Arial" w:hAnsi="Arial" w:cs="Arial"/>
                <w:color w:val="000000"/>
                <w:sz w:val="16"/>
                <w:vertAlign w:val="superscript"/>
              </w:rPr>
            </w:pPr>
            <w:r>
              <w:rPr>
                <w:rFonts w:ascii="Arial" w:eastAsia="Arial" w:hAnsi="Arial" w:cs="Arial"/>
                <w:color w:val="000000"/>
                <w:sz w:val="16"/>
              </w:rPr>
              <w:t xml:space="preserve"> 309 </w:t>
            </w:r>
          </w:p>
        </w:tc>
        <w:tc>
          <w:tcPr>
            <w:tcW w:w="1275" w:type="dxa"/>
            <w:tcBorders>
              <w:top w:val="nil"/>
              <w:left w:val="nil"/>
              <w:bottom w:val="single" w:sz="6" w:space="0" w:color="000000"/>
              <w:right w:val="nil"/>
              <w:tl2br w:val="nil"/>
              <w:tr2bl w:val="nil"/>
            </w:tcBorders>
            <w:shd w:val="clear" w:color="auto" w:fill="FFFF00"/>
            <w:tcMar>
              <w:left w:w="101" w:type="dxa"/>
              <w:right w:w="101" w:type="dxa"/>
            </w:tcMar>
            <w:vAlign w:val="bottom"/>
          </w:tcPr>
          <w:p w14:paraId="5BD8804F" w14:textId="77777777" w:rsidR="003F0EEA" w:rsidRDefault="00FB7D0B">
            <w:pPr>
              <w:jc w:val="right"/>
              <w:rPr>
                <w:rFonts w:ascii="Arial" w:eastAsia="Arial" w:hAnsi="Arial" w:cs="Arial"/>
                <w:color w:val="000000"/>
                <w:sz w:val="16"/>
              </w:rPr>
            </w:pPr>
            <w:r>
              <w:rPr>
                <w:rFonts w:ascii="Arial" w:eastAsia="Arial" w:hAnsi="Arial" w:cs="Arial"/>
                <w:color w:val="000000"/>
                <w:sz w:val="16"/>
              </w:rPr>
              <w:t xml:space="preserve"> 347 </w:t>
            </w:r>
          </w:p>
        </w:tc>
      </w:tr>
      <w:tr w:rsidR="00724034" w14:paraId="2DD66D6A" w14:textId="77777777">
        <w:trPr>
          <w:trHeight w:val="225"/>
        </w:trPr>
        <w:tc>
          <w:tcPr>
            <w:tcW w:w="300"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141CE89F" w14:textId="77777777" w:rsidR="003F0EEA" w:rsidRDefault="003F0EEA">
            <w:pPr>
              <w:rPr>
                <w:rFonts w:ascii="Arial" w:eastAsia="Arial" w:hAnsi="Arial" w:cs="Arial"/>
                <w:color w:val="000000"/>
                <w:sz w:val="16"/>
              </w:rPr>
            </w:pPr>
          </w:p>
        </w:tc>
        <w:tc>
          <w:tcPr>
            <w:tcW w:w="5400"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3414E019" w14:textId="77777777" w:rsidR="003F0EEA" w:rsidRDefault="00FB7D0B">
            <w:pPr>
              <w:rPr>
                <w:rFonts w:ascii="Arial" w:eastAsia="Arial" w:hAnsi="Arial" w:cs="Arial"/>
                <w:color w:val="000000"/>
                <w:sz w:val="16"/>
              </w:rPr>
            </w:pPr>
            <w:r>
              <w:rPr>
                <w:rFonts w:ascii="Arial" w:eastAsia="Arial" w:hAnsi="Arial" w:cs="Arial"/>
                <w:b/>
                <w:color w:val="000000"/>
                <w:sz w:val="16"/>
              </w:rPr>
              <w:t>Total for Programme 1.5</w:t>
            </w:r>
          </w:p>
        </w:tc>
        <w:tc>
          <w:tcPr>
            <w:tcW w:w="1275"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1FE5EBBC" w14:textId="77777777" w:rsidR="003F0EEA" w:rsidRDefault="00FB7D0B">
            <w:pPr>
              <w:jc w:val="right"/>
              <w:rPr>
                <w:rFonts w:ascii="Arial" w:eastAsia="Arial" w:hAnsi="Arial" w:cs="Arial"/>
                <w:color w:val="000000"/>
                <w:sz w:val="16"/>
                <w:vertAlign w:val="superscript"/>
              </w:rPr>
            </w:pPr>
            <w:r>
              <w:rPr>
                <w:rFonts w:ascii="Arial" w:eastAsia="Arial" w:hAnsi="Arial" w:cs="Arial"/>
                <w:b/>
                <w:color w:val="000000"/>
                <w:sz w:val="16"/>
              </w:rPr>
              <w:t xml:space="preserve"> 18,778 </w:t>
            </w:r>
          </w:p>
        </w:tc>
        <w:tc>
          <w:tcPr>
            <w:tcW w:w="1275" w:type="dxa"/>
            <w:tcBorders>
              <w:top w:val="single" w:sz="6" w:space="0" w:color="000000"/>
              <w:left w:val="nil"/>
              <w:bottom w:val="single" w:sz="6" w:space="0" w:color="000000"/>
              <w:right w:val="nil"/>
              <w:tl2br w:val="nil"/>
              <w:tr2bl w:val="nil"/>
            </w:tcBorders>
            <w:shd w:val="clear" w:color="auto" w:fill="FFFF00"/>
            <w:tcMar>
              <w:left w:w="101" w:type="dxa"/>
              <w:right w:w="101" w:type="dxa"/>
            </w:tcMar>
            <w:vAlign w:val="bottom"/>
          </w:tcPr>
          <w:p w14:paraId="52915E2B" w14:textId="77777777" w:rsidR="003F0EEA" w:rsidRDefault="00FB7D0B">
            <w:pPr>
              <w:jc w:val="right"/>
              <w:rPr>
                <w:rFonts w:ascii="Arial" w:eastAsia="Arial" w:hAnsi="Arial" w:cs="Arial"/>
                <w:b/>
                <w:color w:val="000000"/>
                <w:sz w:val="16"/>
              </w:rPr>
            </w:pPr>
            <w:r>
              <w:rPr>
                <w:rFonts w:ascii="Arial" w:eastAsia="Arial" w:hAnsi="Arial" w:cs="Arial"/>
                <w:b/>
                <w:color w:val="000000"/>
                <w:sz w:val="16"/>
              </w:rPr>
              <w:t xml:space="preserve"> 18,449 </w:t>
            </w:r>
          </w:p>
        </w:tc>
      </w:tr>
      <w:tr w:rsidR="00FB7D0B" w14:paraId="67DFFC1B" w14:textId="77777777" w:rsidTr="00FB7D0B">
        <w:trPr>
          <w:trHeight w:val="225"/>
        </w:trPr>
        <w:tc>
          <w:tcPr>
            <w:tcW w:w="300"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16305487" w14:textId="77777777" w:rsidR="003F0EEA" w:rsidRDefault="003F0EEA">
            <w:pPr>
              <w:rPr>
                <w:rFonts w:ascii="Arial" w:eastAsia="Arial" w:hAnsi="Arial" w:cs="Arial"/>
                <w:b/>
                <w:color w:val="000000"/>
                <w:sz w:val="16"/>
              </w:rPr>
            </w:pPr>
          </w:p>
        </w:tc>
        <w:tc>
          <w:tcPr>
            <w:tcW w:w="5400"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57276A6D" w14:textId="77777777" w:rsidR="003F0EEA" w:rsidRDefault="003F0EEA">
            <w:pPr>
              <w:rPr>
                <w:rFonts w:ascii="Arial" w:eastAsia="Arial" w:hAnsi="Arial" w:cs="Arial"/>
                <w:color w:val="000000"/>
                <w:sz w:val="16"/>
              </w:rPr>
            </w:pPr>
          </w:p>
        </w:tc>
        <w:tc>
          <w:tcPr>
            <w:tcW w:w="2550" w:type="dxa"/>
            <w:gridSpan w:val="2"/>
            <w:tcBorders>
              <w:top w:val="single" w:sz="6" w:space="0" w:color="000000"/>
              <w:left w:val="nil"/>
              <w:bottom w:val="nil"/>
              <w:right w:val="nil"/>
              <w:tl2br w:val="nil"/>
              <w:tr2bl w:val="nil"/>
            </w:tcBorders>
            <w:shd w:val="clear" w:color="auto" w:fill="FFFFFF"/>
            <w:tcMar>
              <w:left w:w="101" w:type="dxa"/>
              <w:right w:w="101" w:type="dxa"/>
            </w:tcMar>
            <w:vAlign w:val="bottom"/>
          </w:tcPr>
          <w:p w14:paraId="1E2AB7F5" w14:textId="77777777" w:rsidR="003F0EEA" w:rsidRDefault="00FB7D0B">
            <w:pPr>
              <w:jc w:val="right"/>
              <w:rPr>
                <w:rFonts w:ascii="Arial" w:eastAsia="Arial" w:hAnsi="Arial" w:cs="Arial"/>
                <w:color w:val="000000"/>
                <w:sz w:val="16"/>
                <w:vertAlign w:val="superscript"/>
              </w:rPr>
            </w:pPr>
            <w:r>
              <w:rPr>
                <w:rFonts w:ascii="Arial" w:eastAsia="Arial" w:hAnsi="Arial" w:cs="Arial"/>
                <w:color w:val="000000"/>
                <w:sz w:val="16"/>
              </w:rPr>
              <w:t>Continued on next page</w:t>
            </w:r>
          </w:p>
        </w:tc>
      </w:tr>
    </w:tbl>
    <w:p w14:paraId="16D78A4D" w14:textId="77777777" w:rsidR="003F0EEA" w:rsidRDefault="00FB7D0B">
      <w:pPr>
        <w:spacing w:line="14" w:lineRule="exact"/>
        <w:rPr>
          <w:rFonts w:eastAsia="Times New Roman" w:cs="Times New Roman"/>
        </w:rPr>
      </w:pPr>
      <w:r>
        <w:rPr>
          <w:rFonts w:eastAsia="Times New Roman" w:cs="Times New Roman"/>
        </w:rPr>
        <w:br w:type="page"/>
      </w:r>
    </w:p>
    <w:p w14:paraId="65E1746D" w14:textId="77777777" w:rsidR="003F0EEA" w:rsidRDefault="00FB7D0B" w:rsidP="003F0EEA">
      <w:pPr>
        <w:pStyle w:val="TableHeading5"/>
        <w:ind w:right="-99"/>
      </w:pPr>
      <w:r>
        <w:t>Table 2.1: Budgeted Expenses for Outcome 1 (continued)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0"/>
        <w:gridCol w:w="5400"/>
        <w:gridCol w:w="1275"/>
        <w:gridCol w:w="1275"/>
      </w:tblGrid>
      <w:tr w:rsidR="00FB7D0B" w14:paraId="2A860FE8" w14:textId="77777777" w:rsidTr="00FB7D0B">
        <w:trPr>
          <w:trHeight w:val="225"/>
        </w:trPr>
        <w:tc>
          <w:tcPr>
            <w:tcW w:w="5700" w:type="dxa"/>
            <w:gridSpan w:val="2"/>
            <w:vMerge w:val="restart"/>
            <w:tcBorders>
              <w:top w:val="single" w:sz="6" w:space="0" w:color="000000"/>
              <w:left w:val="nil"/>
              <w:bottom w:val="nil"/>
              <w:right w:val="nil"/>
              <w:tl2br w:val="nil"/>
              <w:tr2bl w:val="nil"/>
            </w:tcBorders>
            <w:shd w:val="clear" w:color="auto" w:fill="FFFFFF"/>
            <w:tcMar>
              <w:left w:w="101" w:type="dxa"/>
              <w:right w:w="101" w:type="dxa"/>
            </w:tcMar>
            <w:vAlign w:val="bottom"/>
          </w:tcPr>
          <w:p w14:paraId="153C6C3E" w14:textId="77777777" w:rsidR="003F0EEA" w:rsidRDefault="00FB7D0B">
            <w:pPr>
              <w:rPr>
                <w:rFonts w:eastAsia="Times New Roman" w:cs="Times New Roman"/>
              </w:rPr>
            </w:pPr>
            <w:r>
              <w:rPr>
                <w:rFonts w:ascii="Arial" w:eastAsia="Arial" w:hAnsi="Arial" w:cs="Arial"/>
                <w:b/>
                <w:color w:val="000000"/>
                <w:sz w:val="16"/>
              </w:rPr>
              <w:t xml:space="preserve">Outcome 1:   </w:t>
            </w:r>
          </w:p>
        </w:tc>
        <w:tc>
          <w:tcPr>
            <w:tcW w:w="127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4A11368D" w14:textId="77777777" w:rsidR="003F0EEA" w:rsidRDefault="00FB7D0B">
            <w:pPr>
              <w:jc w:val="right"/>
              <w:rPr>
                <w:rFonts w:ascii="Arial" w:eastAsia="Arial" w:hAnsi="Arial" w:cs="Arial"/>
                <w:b/>
                <w:color w:val="000000"/>
                <w:sz w:val="16"/>
                <w:vertAlign w:val="superscript"/>
              </w:rPr>
            </w:pPr>
            <w:r>
              <w:rPr>
                <w:rFonts w:ascii="Arial" w:eastAsia="Arial" w:hAnsi="Arial" w:cs="Arial"/>
                <w:color w:val="000000"/>
                <w:sz w:val="16"/>
              </w:rPr>
              <w:t>2013-14</w:t>
            </w:r>
          </w:p>
        </w:tc>
        <w:tc>
          <w:tcPr>
            <w:tcW w:w="1275" w:type="dxa"/>
            <w:tcBorders>
              <w:top w:val="single" w:sz="6" w:space="0" w:color="000000"/>
              <w:left w:val="nil"/>
              <w:bottom w:val="nil"/>
              <w:right w:val="nil"/>
              <w:tl2br w:val="nil"/>
              <w:tr2bl w:val="nil"/>
            </w:tcBorders>
            <w:shd w:val="clear" w:color="auto" w:fill="FFFF00"/>
            <w:tcMar>
              <w:left w:w="101" w:type="dxa"/>
              <w:right w:w="101" w:type="dxa"/>
            </w:tcMar>
            <w:vAlign w:val="bottom"/>
          </w:tcPr>
          <w:p w14:paraId="1166A9A0" w14:textId="77777777" w:rsidR="003F0EEA" w:rsidRDefault="00FB7D0B">
            <w:pPr>
              <w:jc w:val="right"/>
              <w:rPr>
                <w:rFonts w:ascii="Arial" w:eastAsia="Arial" w:hAnsi="Arial" w:cs="Arial"/>
                <w:color w:val="000000"/>
                <w:sz w:val="16"/>
              </w:rPr>
            </w:pPr>
            <w:r>
              <w:rPr>
                <w:rFonts w:ascii="Arial" w:eastAsia="Arial" w:hAnsi="Arial" w:cs="Arial"/>
                <w:color w:val="000000"/>
                <w:sz w:val="16"/>
              </w:rPr>
              <w:t>2014-15</w:t>
            </w:r>
          </w:p>
        </w:tc>
      </w:tr>
      <w:tr w:rsidR="00FB7D0B" w14:paraId="6AEA0B02" w14:textId="77777777" w:rsidTr="00FB7D0B">
        <w:trPr>
          <w:trHeight w:val="225"/>
        </w:trPr>
        <w:tc>
          <w:tcPr>
            <w:tcW w:w="5700" w:type="dxa"/>
            <w:gridSpan w:val="2"/>
            <w:vMerge/>
            <w:tcBorders>
              <w:top w:val="nil"/>
              <w:left w:val="nil"/>
              <w:bottom w:val="nil"/>
              <w:right w:val="nil"/>
              <w:tl2br w:val="nil"/>
              <w:tr2bl w:val="nil"/>
            </w:tcBorders>
            <w:shd w:val="clear" w:color="auto" w:fill="FFFF00"/>
            <w:tcMar>
              <w:left w:w="101" w:type="dxa"/>
              <w:right w:w="101" w:type="dxa"/>
            </w:tcMar>
            <w:vAlign w:val="bottom"/>
          </w:tcPr>
          <w:p w14:paraId="741CF445" w14:textId="77777777" w:rsidR="003F0EEA" w:rsidRDefault="003F0EEA">
            <w:pPr>
              <w:jc w:val="right"/>
              <w:rPr>
                <w:rFonts w:ascii="Arial" w:eastAsia="Arial" w:hAnsi="Arial" w:cs="Arial"/>
                <w:color w:val="000000"/>
                <w:sz w:val="16"/>
              </w:rPr>
            </w:pPr>
          </w:p>
        </w:tc>
        <w:tc>
          <w:tcPr>
            <w:tcW w:w="1275" w:type="dxa"/>
            <w:tcBorders>
              <w:top w:val="nil"/>
              <w:left w:val="nil"/>
              <w:bottom w:val="nil"/>
              <w:right w:val="nil"/>
              <w:tl2br w:val="nil"/>
              <w:tr2bl w:val="nil"/>
            </w:tcBorders>
            <w:shd w:val="clear" w:color="auto" w:fill="FFFFFF"/>
            <w:tcMar>
              <w:left w:w="101" w:type="dxa"/>
              <w:right w:w="101" w:type="dxa"/>
            </w:tcMar>
            <w:vAlign w:val="bottom"/>
          </w:tcPr>
          <w:p w14:paraId="15D3F5BA" w14:textId="77777777" w:rsidR="003F0EEA" w:rsidRDefault="00FB7D0B">
            <w:pPr>
              <w:jc w:val="right"/>
              <w:rPr>
                <w:rFonts w:ascii="Arial" w:eastAsia="Arial" w:hAnsi="Arial" w:cs="Arial"/>
                <w:color w:val="000000"/>
                <w:sz w:val="16"/>
              </w:rPr>
            </w:pPr>
            <w:r>
              <w:rPr>
                <w:rFonts w:ascii="Arial" w:eastAsia="Arial" w:hAnsi="Arial" w:cs="Arial"/>
                <w:color w:val="000000"/>
                <w:sz w:val="16"/>
              </w:rPr>
              <w:t>Estimated</w:t>
            </w:r>
          </w:p>
        </w:tc>
        <w:tc>
          <w:tcPr>
            <w:tcW w:w="1275" w:type="dxa"/>
            <w:tcBorders>
              <w:top w:val="nil"/>
              <w:left w:val="nil"/>
              <w:bottom w:val="nil"/>
              <w:right w:val="nil"/>
              <w:tl2br w:val="nil"/>
              <w:tr2bl w:val="nil"/>
            </w:tcBorders>
            <w:shd w:val="clear" w:color="auto" w:fill="FFFF00"/>
            <w:tcMar>
              <w:left w:w="101" w:type="dxa"/>
              <w:right w:w="101" w:type="dxa"/>
            </w:tcMar>
            <w:vAlign w:val="bottom"/>
          </w:tcPr>
          <w:p w14:paraId="7F86A161" w14:textId="77777777" w:rsidR="003F0EEA" w:rsidRDefault="00FB7D0B">
            <w:pPr>
              <w:jc w:val="right"/>
              <w:rPr>
                <w:rFonts w:ascii="Arial" w:eastAsia="Arial" w:hAnsi="Arial" w:cs="Arial"/>
                <w:color w:val="000000"/>
                <w:sz w:val="16"/>
              </w:rPr>
            </w:pPr>
            <w:r>
              <w:rPr>
                <w:rFonts w:ascii="Arial" w:eastAsia="Arial" w:hAnsi="Arial" w:cs="Arial"/>
                <w:color w:val="000000"/>
                <w:sz w:val="16"/>
              </w:rPr>
              <w:t>Estimated</w:t>
            </w:r>
          </w:p>
        </w:tc>
      </w:tr>
      <w:tr w:rsidR="00FB7D0B" w14:paraId="3334C35A" w14:textId="77777777" w:rsidTr="00FB7D0B">
        <w:trPr>
          <w:trHeight w:val="225"/>
        </w:trPr>
        <w:tc>
          <w:tcPr>
            <w:tcW w:w="5700" w:type="dxa"/>
            <w:gridSpan w:val="2"/>
            <w:vMerge/>
            <w:tcBorders>
              <w:top w:val="nil"/>
              <w:left w:val="nil"/>
              <w:bottom w:val="nil"/>
              <w:right w:val="nil"/>
              <w:tl2br w:val="nil"/>
              <w:tr2bl w:val="nil"/>
            </w:tcBorders>
            <w:shd w:val="clear" w:color="auto" w:fill="FFFF00"/>
            <w:tcMar>
              <w:left w:w="101" w:type="dxa"/>
              <w:right w:w="101" w:type="dxa"/>
            </w:tcMar>
            <w:vAlign w:val="bottom"/>
          </w:tcPr>
          <w:p w14:paraId="2FB546D6" w14:textId="77777777" w:rsidR="003F0EEA" w:rsidRDefault="003F0EEA">
            <w:pPr>
              <w:jc w:val="right"/>
              <w:rPr>
                <w:rFonts w:ascii="Arial" w:eastAsia="Arial" w:hAnsi="Arial" w:cs="Arial"/>
                <w:color w:val="000000"/>
                <w:sz w:val="16"/>
              </w:rPr>
            </w:pPr>
          </w:p>
        </w:tc>
        <w:tc>
          <w:tcPr>
            <w:tcW w:w="1275" w:type="dxa"/>
            <w:tcBorders>
              <w:top w:val="nil"/>
              <w:left w:val="nil"/>
              <w:bottom w:val="nil"/>
              <w:right w:val="nil"/>
              <w:tl2br w:val="nil"/>
              <w:tr2bl w:val="nil"/>
            </w:tcBorders>
            <w:shd w:val="clear" w:color="auto" w:fill="FFFFFF"/>
            <w:tcMar>
              <w:left w:w="101" w:type="dxa"/>
              <w:right w:w="101" w:type="dxa"/>
            </w:tcMar>
            <w:vAlign w:val="bottom"/>
          </w:tcPr>
          <w:p w14:paraId="586B4400" w14:textId="77777777" w:rsidR="003F0EEA" w:rsidRDefault="00FB7D0B">
            <w:pPr>
              <w:jc w:val="right"/>
              <w:rPr>
                <w:rFonts w:ascii="Arial" w:eastAsia="Arial" w:hAnsi="Arial" w:cs="Arial"/>
                <w:color w:val="000000"/>
                <w:sz w:val="16"/>
              </w:rPr>
            </w:pPr>
            <w:r>
              <w:rPr>
                <w:rFonts w:ascii="Arial" w:eastAsia="Arial" w:hAnsi="Arial" w:cs="Arial"/>
                <w:color w:val="000000"/>
                <w:sz w:val="16"/>
              </w:rPr>
              <w:t>actual</w:t>
            </w:r>
          </w:p>
        </w:tc>
        <w:tc>
          <w:tcPr>
            <w:tcW w:w="1275" w:type="dxa"/>
            <w:tcBorders>
              <w:top w:val="nil"/>
              <w:left w:val="nil"/>
              <w:bottom w:val="nil"/>
              <w:right w:val="nil"/>
              <w:tl2br w:val="nil"/>
              <w:tr2bl w:val="nil"/>
            </w:tcBorders>
            <w:shd w:val="clear" w:color="auto" w:fill="FFFF00"/>
            <w:tcMar>
              <w:left w:w="101" w:type="dxa"/>
              <w:right w:w="101" w:type="dxa"/>
            </w:tcMar>
            <w:vAlign w:val="bottom"/>
          </w:tcPr>
          <w:p w14:paraId="261CA00C" w14:textId="77777777" w:rsidR="003F0EEA" w:rsidRDefault="00FB7D0B">
            <w:pPr>
              <w:jc w:val="right"/>
              <w:rPr>
                <w:rFonts w:ascii="Arial" w:eastAsia="Arial" w:hAnsi="Arial" w:cs="Arial"/>
                <w:color w:val="000000"/>
                <w:sz w:val="16"/>
              </w:rPr>
            </w:pPr>
            <w:r>
              <w:rPr>
                <w:rFonts w:ascii="Arial" w:eastAsia="Arial" w:hAnsi="Arial" w:cs="Arial"/>
                <w:color w:val="000000"/>
                <w:sz w:val="16"/>
              </w:rPr>
              <w:t>expenses</w:t>
            </w:r>
          </w:p>
        </w:tc>
      </w:tr>
      <w:tr w:rsidR="00FB7D0B" w14:paraId="5628AB50" w14:textId="77777777" w:rsidTr="00FB7D0B">
        <w:trPr>
          <w:trHeight w:val="225"/>
        </w:trPr>
        <w:tc>
          <w:tcPr>
            <w:tcW w:w="5700" w:type="dxa"/>
            <w:gridSpan w:val="2"/>
            <w:vMerge/>
            <w:tcBorders>
              <w:top w:val="nil"/>
              <w:left w:val="nil"/>
              <w:bottom w:val="nil"/>
              <w:right w:val="nil"/>
              <w:tl2br w:val="nil"/>
              <w:tr2bl w:val="nil"/>
            </w:tcBorders>
            <w:shd w:val="clear" w:color="auto" w:fill="FFFF00"/>
            <w:tcMar>
              <w:left w:w="101" w:type="dxa"/>
              <w:right w:w="101" w:type="dxa"/>
            </w:tcMar>
            <w:vAlign w:val="bottom"/>
          </w:tcPr>
          <w:p w14:paraId="0A37291E" w14:textId="77777777" w:rsidR="003F0EEA" w:rsidRDefault="003F0EEA">
            <w:pPr>
              <w:jc w:val="right"/>
              <w:rPr>
                <w:rFonts w:ascii="Arial" w:eastAsia="Arial" w:hAnsi="Arial" w:cs="Arial"/>
                <w:color w:val="000000"/>
                <w:sz w:val="16"/>
              </w:rPr>
            </w:pPr>
          </w:p>
        </w:tc>
        <w:tc>
          <w:tcPr>
            <w:tcW w:w="1275" w:type="dxa"/>
            <w:tcBorders>
              <w:top w:val="nil"/>
              <w:left w:val="nil"/>
              <w:bottom w:val="nil"/>
              <w:right w:val="nil"/>
              <w:tl2br w:val="nil"/>
              <w:tr2bl w:val="nil"/>
            </w:tcBorders>
            <w:shd w:val="clear" w:color="auto" w:fill="FFFFFF"/>
            <w:tcMar>
              <w:left w:w="101" w:type="dxa"/>
              <w:right w:w="101" w:type="dxa"/>
            </w:tcMar>
            <w:vAlign w:val="bottom"/>
          </w:tcPr>
          <w:p w14:paraId="01311A13" w14:textId="77777777" w:rsidR="003F0EEA" w:rsidRDefault="00FB7D0B">
            <w:pPr>
              <w:jc w:val="right"/>
              <w:rPr>
                <w:rFonts w:ascii="Arial" w:eastAsia="Arial" w:hAnsi="Arial" w:cs="Arial"/>
                <w:color w:val="000000"/>
                <w:sz w:val="16"/>
              </w:rPr>
            </w:pPr>
            <w:r>
              <w:rPr>
                <w:rFonts w:ascii="Arial" w:eastAsia="Arial" w:hAnsi="Arial" w:cs="Arial"/>
                <w:color w:val="000000"/>
                <w:sz w:val="16"/>
              </w:rPr>
              <w:t>expenses</w:t>
            </w:r>
          </w:p>
        </w:tc>
        <w:tc>
          <w:tcPr>
            <w:tcW w:w="1275" w:type="dxa"/>
            <w:tcBorders>
              <w:top w:val="nil"/>
              <w:left w:val="nil"/>
              <w:bottom w:val="nil"/>
              <w:right w:val="nil"/>
              <w:tl2br w:val="nil"/>
              <w:tr2bl w:val="nil"/>
            </w:tcBorders>
            <w:shd w:val="clear" w:color="auto" w:fill="FFFF00"/>
            <w:tcMar>
              <w:left w:w="101" w:type="dxa"/>
              <w:right w:w="101" w:type="dxa"/>
            </w:tcMar>
            <w:vAlign w:val="bottom"/>
          </w:tcPr>
          <w:p w14:paraId="53C20AE4" w14:textId="77777777" w:rsidR="003F0EEA" w:rsidRDefault="003F0EEA">
            <w:pPr>
              <w:jc w:val="right"/>
              <w:rPr>
                <w:rFonts w:ascii="Arial" w:eastAsia="Arial" w:hAnsi="Arial" w:cs="Arial"/>
                <w:color w:val="000000"/>
                <w:sz w:val="16"/>
              </w:rPr>
            </w:pPr>
          </w:p>
        </w:tc>
      </w:tr>
      <w:tr w:rsidR="00FB7D0B" w14:paraId="19034535" w14:textId="77777777" w:rsidTr="00FB7D0B">
        <w:trPr>
          <w:trHeight w:val="225"/>
        </w:trPr>
        <w:tc>
          <w:tcPr>
            <w:tcW w:w="5700" w:type="dxa"/>
            <w:gridSpan w:val="2"/>
            <w:vMerge/>
            <w:tcBorders>
              <w:top w:val="nil"/>
              <w:left w:val="nil"/>
              <w:bottom w:val="nil"/>
              <w:right w:val="nil"/>
              <w:tl2br w:val="nil"/>
              <w:tr2bl w:val="nil"/>
            </w:tcBorders>
            <w:shd w:val="clear" w:color="auto" w:fill="FFFF00"/>
            <w:tcMar>
              <w:left w:w="101" w:type="dxa"/>
              <w:right w:w="101" w:type="dxa"/>
            </w:tcMar>
            <w:vAlign w:val="bottom"/>
          </w:tcPr>
          <w:p w14:paraId="7141033C" w14:textId="77777777" w:rsidR="003F0EEA" w:rsidRDefault="003F0EEA">
            <w:pPr>
              <w:jc w:val="right"/>
              <w:rPr>
                <w:rFonts w:ascii="Arial" w:eastAsia="Arial" w:hAnsi="Arial" w:cs="Arial"/>
                <w:color w:val="000000"/>
                <w:sz w:val="16"/>
              </w:rPr>
            </w:pPr>
          </w:p>
        </w:tc>
        <w:tc>
          <w:tcPr>
            <w:tcW w:w="1275"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66261991" w14:textId="77777777" w:rsidR="003F0EEA" w:rsidRDefault="00FB7D0B">
            <w:pPr>
              <w:jc w:val="right"/>
              <w:rPr>
                <w:rFonts w:ascii="Arial" w:eastAsia="Arial" w:hAnsi="Arial" w:cs="Arial"/>
                <w:color w:val="000000"/>
                <w:sz w:val="16"/>
              </w:rPr>
            </w:pPr>
            <w:r>
              <w:rPr>
                <w:rFonts w:ascii="Arial" w:eastAsia="Arial" w:hAnsi="Arial" w:cs="Arial"/>
                <w:color w:val="000000"/>
                <w:sz w:val="16"/>
              </w:rPr>
              <w:t>$'000</w:t>
            </w:r>
          </w:p>
        </w:tc>
        <w:tc>
          <w:tcPr>
            <w:tcW w:w="1275" w:type="dxa"/>
            <w:tcBorders>
              <w:top w:val="nil"/>
              <w:left w:val="nil"/>
              <w:bottom w:val="single" w:sz="6" w:space="0" w:color="000000"/>
              <w:right w:val="nil"/>
              <w:tl2br w:val="nil"/>
              <w:tr2bl w:val="nil"/>
            </w:tcBorders>
            <w:shd w:val="clear" w:color="auto" w:fill="FFFF00"/>
            <w:tcMar>
              <w:left w:w="101" w:type="dxa"/>
              <w:right w:w="101" w:type="dxa"/>
            </w:tcMar>
            <w:vAlign w:val="bottom"/>
          </w:tcPr>
          <w:p w14:paraId="5EAFCAC8" w14:textId="77777777" w:rsidR="003F0EEA" w:rsidRDefault="00FB7D0B">
            <w:pPr>
              <w:jc w:val="right"/>
              <w:rPr>
                <w:rFonts w:ascii="Arial" w:eastAsia="Arial" w:hAnsi="Arial" w:cs="Arial"/>
                <w:color w:val="000000"/>
                <w:sz w:val="16"/>
              </w:rPr>
            </w:pPr>
            <w:r>
              <w:rPr>
                <w:rFonts w:ascii="Arial" w:eastAsia="Arial" w:hAnsi="Arial" w:cs="Arial"/>
                <w:color w:val="000000"/>
                <w:sz w:val="16"/>
              </w:rPr>
              <w:t>$'000</w:t>
            </w:r>
          </w:p>
        </w:tc>
      </w:tr>
      <w:tr w:rsidR="00FB7D0B" w14:paraId="538CDEAB" w14:textId="77777777" w:rsidTr="00FB7D0B">
        <w:trPr>
          <w:trHeight w:val="495"/>
        </w:trPr>
        <w:tc>
          <w:tcPr>
            <w:tcW w:w="5700" w:type="dxa"/>
            <w:gridSpan w:val="2"/>
            <w:tcBorders>
              <w:top w:val="nil"/>
              <w:left w:val="nil"/>
              <w:bottom w:val="nil"/>
              <w:right w:val="nil"/>
              <w:tl2br w:val="nil"/>
              <w:tr2bl w:val="nil"/>
            </w:tcBorders>
            <w:shd w:val="clear" w:color="auto" w:fill="FFFFFF"/>
            <w:tcMar>
              <w:left w:w="101" w:type="dxa"/>
              <w:right w:w="101" w:type="dxa"/>
            </w:tcMar>
            <w:vAlign w:val="bottom"/>
          </w:tcPr>
          <w:p w14:paraId="2D82C0F8" w14:textId="77777777" w:rsidR="003F0EEA" w:rsidRDefault="00FB7D0B">
            <w:pPr>
              <w:rPr>
                <w:rFonts w:ascii="Arial" w:eastAsia="Arial" w:hAnsi="Arial" w:cs="Arial"/>
                <w:color w:val="000000"/>
                <w:sz w:val="16"/>
              </w:rPr>
            </w:pPr>
            <w:r>
              <w:rPr>
                <w:rFonts w:ascii="Arial" w:eastAsia="Arial" w:hAnsi="Arial" w:cs="Arial"/>
                <w:b/>
                <w:color w:val="000000"/>
                <w:sz w:val="16"/>
              </w:rPr>
              <w:t>Programme 1.6:  Military Rehabilitation and Compensation Acts Payments - Income Support and Compensation</w:t>
            </w:r>
          </w:p>
        </w:tc>
        <w:tc>
          <w:tcPr>
            <w:tcW w:w="127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0C31C536" w14:textId="77777777" w:rsidR="003F0EEA" w:rsidRDefault="003F0EEA">
            <w:pPr>
              <w:jc w:val="right"/>
              <w:rPr>
                <w:rFonts w:ascii="Arial" w:eastAsia="Arial" w:hAnsi="Arial" w:cs="Arial"/>
                <w:color w:val="000000"/>
                <w:sz w:val="12"/>
                <w:vertAlign w:val="superscript"/>
              </w:rPr>
            </w:pPr>
          </w:p>
        </w:tc>
        <w:tc>
          <w:tcPr>
            <w:tcW w:w="1275" w:type="dxa"/>
            <w:tcBorders>
              <w:top w:val="single" w:sz="6" w:space="0" w:color="000000"/>
              <w:left w:val="nil"/>
              <w:bottom w:val="nil"/>
              <w:right w:val="nil"/>
              <w:tl2br w:val="nil"/>
              <w:tr2bl w:val="nil"/>
            </w:tcBorders>
            <w:shd w:val="clear" w:color="auto" w:fill="FFFF00"/>
            <w:tcMar>
              <w:left w:w="101" w:type="dxa"/>
              <w:right w:w="101" w:type="dxa"/>
            </w:tcMar>
            <w:vAlign w:val="bottom"/>
          </w:tcPr>
          <w:p w14:paraId="6C67574C" w14:textId="77777777" w:rsidR="003F0EEA" w:rsidRDefault="003F0EEA">
            <w:pPr>
              <w:jc w:val="right"/>
              <w:rPr>
                <w:rFonts w:ascii="Arial" w:eastAsia="Arial" w:hAnsi="Arial" w:cs="Arial"/>
                <w:color w:val="000000"/>
                <w:sz w:val="16"/>
                <w:vertAlign w:val="superscript"/>
              </w:rPr>
            </w:pPr>
          </w:p>
        </w:tc>
      </w:tr>
      <w:tr w:rsidR="00FB7D0B" w14:paraId="3E05BD9E" w14:textId="77777777" w:rsidTr="00FB7D0B">
        <w:trPr>
          <w:trHeight w:val="225"/>
        </w:trPr>
        <w:tc>
          <w:tcPr>
            <w:tcW w:w="5700" w:type="dxa"/>
            <w:gridSpan w:val="2"/>
            <w:tcBorders>
              <w:top w:val="nil"/>
              <w:left w:val="nil"/>
              <w:bottom w:val="nil"/>
              <w:right w:val="nil"/>
              <w:tl2br w:val="nil"/>
              <w:tr2bl w:val="nil"/>
            </w:tcBorders>
            <w:shd w:val="clear" w:color="auto" w:fill="FFFFFF"/>
            <w:tcMar>
              <w:left w:w="101" w:type="dxa"/>
              <w:right w:w="101" w:type="dxa"/>
            </w:tcMar>
            <w:vAlign w:val="bottom"/>
          </w:tcPr>
          <w:p w14:paraId="5E471ADD" w14:textId="77777777" w:rsidR="003F0EEA" w:rsidRDefault="00FB7D0B">
            <w:pPr>
              <w:rPr>
                <w:rFonts w:ascii="Arial" w:eastAsia="Arial" w:hAnsi="Arial" w:cs="Arial"/>
                <w:color w:val="000000"/>
                <w:sz w:val="16"/>
                <w:vertAlign w:val="superscript"/>
              </w:rPr>
            </w:pPr>
            <w:r>
              <w:rPr>
                <w:rFonts w:ascii="Arial" w:eastAsia="Arial" w:hAnsi="Arial" w:cs="Arial"/>
                <w:color w:val="000000"/>
                <w:sz w:val="16"/>
              </w:rPr>
              <w:t>Administered Expenses</w:t>
            </w:r>
          </w:p>
        </w:tc>
        <w:tc>
          <w:tcPr>
            <w:tcW w:w="1275" w:type="dxa"/>
            <w:tcBorders>
              <w:top w:val="nil"/>
              <w:left w:val="nil"/>
              <w:bottom w:val="nil"/>
              <w:right w:val="nil"/>
              <w:tl2br w:val="nil"/>
              <w:tr2bl w:val="nil"/>
            </w:tcBorders>
            <w:shd w:val="clear" w:color="auto" w:fill="FFFFFF"/>
            <w:tcMar>
              <w:left w:w="101" w:type="dxa"/>
              <w:right w:w="101" w:type="dxa"/>
            </w:tcMar>
            <w:vAlign w:val="bottom"/>
          </w:tcPr>
          <w:p w14:paraId="68DE7AD5" w14:textId="77777777" w:rsidR="003F0EEA" w:rsidRDefault="003F0EEA">
            <w:pPr>
              <w:jc w:val="right"/>
              <w:rPr>
                <w:rFonts w:ascii="Arial" w:eastAsia="Arial" w:hAnsi="Arial" w:cs="Arial"/>
                <w:color w:val="000000"/>
                <w:sz w:val="12"/>
                <w:vertAlign w:val="superscript"/>
              </w:rPr>
            </w:pPr>
          </w:p>
        </w:tc>
        <w:tc>
          <w:tcPr>
            <w:tcW w:w="1275" w:type="dxa"/>
            <w:tcBorders>
              <w:top w:val="nil"/>
              <w:left w:val="nil"/>
              <w:bottom w:val="nil"/>
              <w:right w:val="nil"/>
              <w:tl2br w:val="nil"/>
              <w:tr2bl w:val="nil"/>
            </w:tcBorders>
            <w:shd w:val="clear" w:color="auto" w:fill="FFFF00"/>
            <w:tcMar>
              <w:left w:w="101" w:type="dxa"/>
              <w:right w:w="101" w:type="dxa"/>
            </w:tcMar>
            <w:vAlign w:val="bottom"/>
          </w:tcPr>
          <w:p w14:paraId="3A1B2275" w14:textId="77777777" w:rsidR="003F0EEA" w:rsidRDefault="003F0EEA">
            <w:pPr>
              <w:jc w:val="right"/>
              <w:rPr>
                <w:rFonts w:ascii="Arial" w:eastAsia="Arial" w:hAnsi="Arial" w:cs="Arial"/>
                <w:color w:val="000000"/>
                <w:sz w:val="16"/>
                <w:vertAlign w:val="superscript"/>
              </w:rPr>
            </w:pPr>
          </w:p>
        </w:tc>
      </w:tr>
      <w:tr w:rsidR="00724034" w14:paraId="062337AB" w14:textId="77777777">
        <w:trPr>
          <w:trHeight w:val="225"/>
        </w:trPr>
        <w:tc>
          <w:tcPr>
            <w:tcW w:w="300" w:type="dxa"/>
            <w:tcBorders>
              <w:top w:val="nil"/>
              <w:left w:val="nil"/>
              <w:bottom w:val="nil"/>
              <w:right w:val="nil"/>
              <w:tl2br w:val="nil"/>
              <w:tr2bl w:val="nil"/>
            </w:tcBorders>
            <w:shd w:val="clear" w:color="auto" w:fill="FFFFFF"/>
            <w:tcMar>
              <w:left w:w="101" w:type="dxa"/>
              <w:right w:w="101" w:type="dxa"/>
            </w:tcMar>
            <w:vAlign w:val="bottom"/>
          </w:tcPr>
          <w:p w14:paraId="7D482B70" w14:textId="77777777" w:rsidR="003F0EEA" w:rsidRDefault="003F0EEA">
            <w:pPr>
              <w:rPr>
                <w:rFonts w:ascii="Arial" w:eastAsia="Arial" w:hAnsi="Arial" w:cs="Arial"/>
                <w:color w:val="000000"/>
                <w:sz w:val="16"/>
                <w:vertAlign w:val="superscript"/>
              </w:rPr>
            </w:pPr>
          </w:p>
        </w:tc>
        <w:tc>
          <w:tcPr>
            <w:tcW w:w="5400" w:type="dxa"/>
            <w:tcBorders>
              <w:top w:val="nil"/>
              <w:left w:val="nil"/>
              <w:bottom w:val="nil"/>
              <w:right w:val="nil"/>
              <w:tl2br w:val="nil"/>
              <w:tr2bl w:val="nil"/>
            </w:tcBorders>
            <w:shd w:val="clear" w:color="auto" w:fill="FFFFFF"/>
            <w:tcMar>
              <w:left w:w="101" w:type="dxa"/>
              <w:right w:w="101" w:type="dxa"/>
            </w:tcMar>
            <w:vAlign w:val="bottom"/>
          </w:tcPr>
          <w:p w14:paraId="54B76E1C" w14:textId="77777777" w:rsidR="003F0EEA" w:rsidRDefault="00FB7D0B">
            <w:pPr>
              <w:rPr>
                <w:rFonts w:ascii="Arial" w:eastAsia="Arial" w:hAnsi="Arial" w:cs="Arial"/>
                <w:color w:val="000000"/>
                <w:sz w:val="16"/>
                <w:vertAlign w:val="superscript"/>
              </w:rPr>
            </w:pPr>
            <w:r>
              <w:rPr>
                <w:rFonts w:ascii="Arial" w:eastAsia="Arial" w:hAnsi="Arial" w:cs="Arial"/>
                <w:color w:val="000000"/>
                <w:sz w:val="16"/>
              </w:rPr>
              <w:t>Ordinary annual services (Appropriation Bill No. 1)</w:t>
            </w:r>
          </w:p>
        </w:tc>
        <w:tc>
          <w:tcPr>
            <w:tcW w:w="1275" w:type="dxa"/>
            <w:tcBorders>
              <w:top w:val="nil"/>
              <w:left w:val="nil"/>
              <w:bottom w:val="nil"/>
              <w:right w:val="nil"/>
              <w:tl2br w:val="nil"/>
              <w:tr2bl w:val="nil"/>
            </w:tcBorders>
            <w:shd w:val="clear" w:color="auto" w:fill="FFFFFF"/>
            <w:tcMar>
              <w:left w:w="101" w:type="dxa"/>
              <w:right w:w="101" w:type="dxa"/>
            </w:tcMar>
            <w:vAlign w:val="bottom"/>
          </w:tcPr>
          <w:p w14:paraId="1C07FCEB" w14:textId="77777777" w:rsidR="003F0EEA" w:rsidRDefault="00FB7D0B">
            <w:pPr>
              <w:jc w:val="right"/>
              <w:rPr>
                <w:rFonts w:ascii="Arial" w:eastAsia="Arial" w:hAnsi="Arial" w:cs="Arial"/>
                <w:color w:val="000000"/>
                <w:sz w:val="12"/>
                <w:vertAlign w:val="superscript"/>
              </w:rPr>
            </w:pPr>
            <w:r>
              <w:rPr>
                <w:rFonts w:ascii="Arial" w:eastAsia="Arial" w:hAnsi="Arial" w:cs="Arial"/>
                <w:color w:val="000000"/>
                <w:sz w:val="16"/>
              </w:rPr>
              <w:t xml:space="preserve"> 3,954 </w:t>
            </w:r>
          </w:p>
        </w:tc>
        <w:tc>
          <w:tcPr>
            <w:tcW w:w="1275" w:type="dxa"/>
            <w:tcBorders>
              <w:top w:val="nil"/>
              <w:left w:val="nil"/>
              <w:bottom w:val="nil"/>
              <w:right w:val="nil"/>
              <w:tl2br w:val="nil"/>
              <w:tr2bl w:val="nil"/>
            </w:tcBorders>
            <w:shd w:val="clear" w:color="auto" w:fill="FFFF00"/>
            <w:tcMar>
              <w:left w:w="101" w:type="dxa"/>
              <w:right w:w="101" w:type="dxa"/>
            </w:tcMar>
            <w:vAlign w:val="bottom"/>
          </w:tcPr>
          <w:p w14:paraId="797E878D" w14:textId="77777777" w:rsidR="003F0EEA" w:rsidRDefault="00FB7D0B">
            <w:pPr>
              <w:jc w:val="right"/>
              <w:rPr>
                <w:rFonts w:ascii="Arial" w:eastAsia="Arial" w:hAnsi="Arial" w:cs="Arial"/>
                <w:color w:val="000000"/>
                <w:sz w:val="16"/>
              </w:rPr>
            </w:pPr>
            <w:r>
              <w:rPr>
                <w:rFonts w:ascii="Arial" w:eastAsia="Arial" w:hAnsi="Arial" w:cs="Arial"/>
                <w:color w:val="000000"/>
                <w:sz w:val="16"/>
              </w:rPr>
              <w:t xml:space="preserve"> 4,168 </w:t>
            </w:r>
          </w:p>
        </w:tc>
      </w:tr>
      <w:tr w:rsidR="00724034" w14:paraId="322E443F" w14:textId="77777777">
        <w:trPr>
          <w:trHeight w:val="225"/>
        </w:trPr>
        <w:tc>
          <w:tcPr>
            <w:tcW w:w="300" w:type="dxa"/>
            <w:tcBorders>
              <w:top w:val="nil"/>
              <w:left w:val="nil"/>
              <w:bottom w:val="nil"/>
              <w:right w:val="nil"/>
              <w:tl2br w:val="nil"/>
              <w:tr2bl w:val="nil"/>
            </w:tcBorders>
            <w:shd w:val="clear" w:color="auto" w:fill="FFFFFF"/>
            <w:tcMar>
              <w:left w:w="101" w:type="dxa"/>
              <w:right w:w="101" w:type="dxa"/>
            </w:tcMar>
            <w:vAlign w:val="bottom"/>
          </w:tcPr>
          <w:p w14:paraId="101B4FF3" w14:textId="77777777" w:rsidR="003F0EEA" w:rsidRDefault="003F0EEA">
            <w:pPr>
              <w:rPr>
                <w:rFonts w:ascii="Arial" w:eastAsia="Arial" w:hAnsi="Arial" w:cs="Arial"/>
                <w:color w:val="000000"/>
                <w:sz w:val="16"/>
              </w:rPr>
            </w:pPr>
          </w:p>
        </w:tc>
        <w:tc>
          <w:tcPr>
            <w:tcW w:w="5400" w:type="dxa"/>
            <w:tcBorders>
              <w:top w:val="nil"/>
              <w:left w:val="nil"/>
              <w:bottom w:val="nil"/>
              <w:right w:val="nil"/>
              <w:tl2br w:val="nil"/>
              <w:tr2bl w:val="nil"/>
            </w:tcBorders>
            <w:shd w:val="clear" w:color="auto" w:fill="FFFFFF"/>
            <w:tcMar>
              <w:left w:w="101" w:type="dxa"/>
              <w:right w:w="101" w:type="dxa"/>
            </w:tcMar>
            <w:vAlign w:val="bottom"/>
          </w:tcPr>
          <w:p w14:paraId="02D6D2EE" w14:textId="77777777" w:rsidR="003F0EEA" w:rsidRDefault="00FB7D0B">
            <w:pPr>
              <w:rPr>
                <w:rFonts w:ascii="Arial" w:eastAsia="Arial" w:hAnsi="Arial" w:cs="Arial"/>
                <w:color w:val="000000"/>
                <w:sz w:val="16"/>
              </w:rPr>
            </w:pPr>
            <w:r>
              <w:rPr>
                <w:rFonts w:ascii="Arial" w:eastAsia="Arial" w:hAnsi="Arial" w:cs="Arial"/>
                <w:color w:val="000000"/>
                <w:sz w:val="16"/>
              </w:rPr>
              <w:t>Other services (Appropriation Bill No. 2)</w:t>
            </w:r>
          </w:p>
        </w:tc>
        <w:tc>
          <w:tcPr>
            <w:tcW w:w="1275" w:type="dxa"/>
            <w:tcBorders>
              <w:top w:val="nil"/>
              <w:left w:val="nil"/>
              <w:bottom w:val="nil"/>
              <w:right w:val="nil"/>
              <w:tl2br w:val="nil"/>
              <w:tr2bl w:val="nil"/>
            </w:tcBorders>
            <w:shd w:val="clear" w:color="auto" w:fill="FFFFFF"/>
            <w:tcMar>
              <w:left w:w="101" w:type="dxa"/>
              <w:right w:w="101" w:type="dxa"/>
            </w:tcMar>
            <w:vAlign w:val="bottom"/>
          </w:tcPr>
          <w:p w14:paraId="0666AA0A" w14:textId="77777777" w:rsidR="003F0EEA" w:rsidRDefault="00FB7D0B">
            <w:pPr>
              <w:jc w:val="right"/>
              <w:rPr>
                <w:rFonts w:ascii="Arial" w:eastAsia="Arial" w:hAnsi="Arial" w:cs="Arial"/>
                <w:color w:val="000000"/>
                <w:sz w:val="12"/>
                <w:vertAlign w:val="superscript"/>
              </w:rPr>
            </w:pPr>
            <w:r>
              <w:rPr>
                <w:rFonts w:ascii="Arial" w:eastAsia="Arial" w:hAnsi="Arial" w:cs="Arial"/>
                <w:color w:val="000000"/>
                <w:sz w:val="16"/>
              </w:rPr>
              <w:t xml:space="preserve"> - </w:t>
            </w:r>
          </w:p>
        </w:tc>
        <w:tc>
          <w:tcPr>
            <w:tcW w:w="1275" w:type="dxa"/>
            <w:tcBorders>
              <w:top w:val="nil"/>
              <w:left w:val="nil"/>
              <w:bottom w:val="nil"/>
              <w:right w:val="nil"/>
              <w:tl2br w:val="nil"/>
              <w:tr2bl w:val="nil"/>
            </w:tcBorders>
            <w:shd w:val="clear" w:color="auto" w:fill="FFFF00"/>
            <w:tcMar>
              <w:left w:w="101" w:type="dxa"/>
              <w:right w:w="101" w:type="dxa"/>
            </w:tcMar>
            <w:vAlign w:val="bottom"/>
          </w:tcPr>
          <w:p w14:paraId="2B95F03E" w14:textId="77777777" w:rsidR="003F0EEA" w:rsidRDefault="00FB7D0B">
            <w:pPr>
              <w:jc w:val="right"/>
              <w:rPr>
                <w:rFonts w:ascii="Arial" w:eastAsia="Arial" w:hAnsi="Arial" w:cs="Arial"/>
                <w:color w:val="000000"/>
                <w:sz w:val="16"/>
              </w:rPr>
            </w:pPr>
            <w:r>
              <w:rPr>
                <w:rFonts w:ascii="Arial" w:eastAsia="Arial" w:hAnsi="Arial" w:cs="Arial"/>
                <w:color w:val="000000"/>
                <w:sz w:val="16"/>
              </w:rPr>
              <w:t xml:space="preserve"> - </w:t>
            </w:r>
          </w:p>
        </w:tc>
      </w:tr>
      <w:tr w:rsidR="00724034" w14:paraId="364F7CD0" w14:textId="77777777">
        <w:trPr>
          <w:trHeight w:val="225"/>
        </w:trPr>
        <w:tc>
          <w:tcPr>
            <w:tcW w:w="300" w:type="dxa"/>
            <w:tcBorders>
              <w:top w:val="nil"/>
              <w:left w:val="nil"/>
              <w:bottom w:val="nil"/>
              <w:right w:val="nil"/>
              <w:tl2br w:val="nil"/>
              <w:tr2bl w:val="nil"/>
            </w:tcBorders>
            <w:shd w:val="clear" w:color="auto" w:fill="FFFFFF"/>
            <w:tcMar>
              <w:left w:w="101" w:type="dxa"/>
              <w:right w:w="101" w:type="dxa"/>
            </w:tcMar>
            <w:vAlign w:val="bottom"/>
          </w:tcPr>
          <w:p w14:paraId="33FCE54A" w14:textId="77777777" w:rsidR="003F0EEA" w:rsidRDefault="003F0EEA">
            <w:pPr>
              <w:rPr>
                <w:rFonts w:ascii="Arial" w:eastAsia="Arial" w:hAnsi="Arial" w:cs="Arial"/>
                <w:color w:val="000000"/>
                <w:sz w:val="16"/>
              </w:rPr>
            </w:pPr>
          </w:p>
        </w:tc>
        <w:tc>
          <w:tcPr>
            <w:tcW w:w="5400" w:type="dxa"/>
            <w:tcBorders>
              <w:top w:val="nil"/>
              <w:left w:val="nil"/>
              <w:bottom w:val="nil"/>
              <w:right w:val="nil"/>
              <w:tl2br w:val="nil"/>
              <w:tr2bl w:val="nil"/>
            </w:tcBorders>
            <w:shd w:val="clear" w:color="auto" w:fill="FFFFFF"/>
            <w:tcMar>
              <w:left w:w="101" w:type="dxa"/>
              <w:right w:w="101" w:type="dxa"/>
            </w:tcMar>
            <w:vAlign w:val="bottom"/>
          </w:tcPr>
          <w:p w14:paraId="07F51327" w14:textId="77777777" w:rsidR="003F0EEA" w:rsidRDefault="00FB7D0B">
            <w:pPr>
              <w:rPr>
                <w:rFonts w:ascii="Arial" w:eastAsia="Arial" w:hAnsi="Arial" w:cs="Arial"/>
                <w:color w:val="000000"/>
                <w:sz w:val="16"/>
              </w:rPr>
            </w:pPr>
            <w:r>
              <w:rPr>
                <w:rFonts w:ascii="Arial" w:eastAsia="Arial" w:hAnsi="Arial" w:cs="Arial"/>
                <w:color w:val="000000"/>
                <w:sz w:val="16"/>
              </w:rPr>
              <w:t>Special Appropriations</w:t>
            </w:r>
          </w:p>
        </w:tc>
        <w:tc>
          <w:tcPr>
            <w:tcW w:w="1275" w:type="dxa"/>
            <w:tcBorders>
              <w:top w:val="nil"/>
              <w:left w:val="nil"/>
              <w:bottom w:val="nil"/>
              <w:right w:val="nil"/>
              <w:tl2br w:val="nil"/>
              <w:tr2bl w:val="nil"/>
            </w:tcBorders>
            <w:shd w:val="clear" w:color="auto" w:fill="FFFFFF"/>
            <w:tcMar>
              <w:left w:w="101" w:type="dxa"/>
              <w:right w:w="101" w:type="dxa"/>
            </w:tcMar>
            <w:vAlign w:val="bottom"/>
          </w:tcPr>
          <w:p w14:paraId="5FEC7108" w14:textId="77777777" w:rsidR="003F0EEA" w:rsidRDefault="00FB7D0B">
            <w:pPr>
              <w:jc w:val="right"/>
              <w:rPr>
                <w:rFonts w:ascii="Arial" w:eastAsia="Arial" w:hAnsi="Arial" w:cs="Arial"/>
                <w:color w:val="000000"/>
                <w:sz w:val="12"/>
                <w:vertAlign w:val="superscript"/>
              </w:rPr>
            </w:pPr>
            <w:r>
              <w:rPr>
                <w:rFonts w:ascii="Arial" w:eastAsia="Arial" w:hAnsi="Arial" w:cs="Arial"/>
                <w:color w:val="000000"/>
                <w:sz w:val="16"/>
              </w:rPr>
              <w:t xml:space="preserve"> 365,045 </w:t>
            </w:r>
          </w:p>
        </w:tc>
        <w:tc>
          <w:tcPr>
            <w:tcW w:w="1275" w:type="dxa"/>
            <w:tcBorders>
              <w:top w:val="nil"/>
              <w:left w:val="nil"/>
              <w:bottom w:val="nil"/>
              <w:right w:val="nil"/>
              <w:tl2br w:val="nil"/>
              <w:tr2bl w:val="nil"/>
            </w:tcBorders>
            <w:shd w:val="clear" w:color="auto" w:fill="FFFF00"/>
            <w:tcMar>
              <w:left w:w="101" w:type="dxa"/>
              <w:right w:w="101" w:type="dxa"/>
            </w:tcMar>
            <w:vAlign w:val="bottom"/>
          </w:tcPr>
          <w:p w14:paraId="0CB92866" w14:textId="77777777" w:rsidR="003F0EEA" w:rsidRDefault="00FB7D0B">
            <w:pPr>
              <w:jc w:val="right"/>
              <w:rPr>
                <w:rFonts w:ascii="Arial" w:eastAsia="Arial" w:hAnsi="Arial" w:cs="Arial"/>
                <w:color w:val="000000"/>
                <w:sz w:val="16"/>
              </w:rPr>
            </w:pPr>
            <w:r>
              <w:rPr>
                <w:rFonts w:ascii="Arial" w:eastAsia="Arial" w:hAnsi="Arial" w:cs="Arial"/>
                <w:color w:val="000000"/>
                <w:sz w:val="16"/>
              </w:rPr>
              <w:t xml:space="preserve"> 357,101 </w:t>
            </w:r>
          </w:p>
        </w:tc>
      </w:tr>
      <w:tr w:rsidR="00724034" w14:paraId="05989B8D" w14:textId="77777777">
        <w:trPr>
          <w:trHeight w:val="225"/>
        </w:trPr>
        <w:tc>
          <w:tcPr>
            <w:tcW w:w="300" w:type="dxa"/>
            <w:tcBorders>
              <w:top w:val="nil"/>
              <w:left w:val="nil"/>
              <w:bottom w:val="nil"/>
              <w:right w:val="nil"/>
              <w:tl2br w:val="nil"/>
              <w:tr2bl w:val="nil"/>
            </w:tcBorders>
            <w:shd w:val="clear" w:color="auto" w:fill="FFFFFF"/>
            <w:tcMar>
              <w:left w:w="101" w:type="dxa"/>
              <w:right w:w="101" w:type="dxa"/>
            </w:tcMar>
            <w:vAlign w:val="bottom"/>
          </w:tcPr>
          <w:p w14:paraId="22741467" w14:textId="77777777" w:rsidR="003F0EEA" w:rsidRDefault="003F0EEA">
            <w:pPr>
              <w:rPr>
                <w:rFonts w:ascii="Arial" w:eastAsia="Arial" w:hAnsi="Arial" w:cs="Arial"/>
                <w:color w:val="000000"/>
                <w:sz w:val="16"/>
              </w:rPr>
            </w:pPr>
          </w:p>
        </w:tc>
        <w:tc>
          <w:tcPr>
            <w:tcW w:w="5400" w:type="dxa"/>
            <w:tcBorders>
              <w:top w:val="nil"/>
              <w:left w:val="nil"/>
              <w:bottom w:val="nil"/>
              <w:right w:val="nil"/>
              <w:tl2br w:val="nil"/>
              <w:tr2bl w:val="nil"/>
            </w:tcBorders>
            <w:shd w:val="clear" w:color="auto" w:fill="FFFFFF"/>
            <w:tcMar>
              <w:left w:w="101" w:type="dxa"/>
              <w:right w:w="101" w:type="dxa"/>
            </w:tcMar>
            <w:vAlign w:val="bottom"/>
          </w:tcPr>
          <w:p w14:paraId="5A3F68EA" w14:textId="77777777" w:rsidR="003F0EEA" w:rsidRDefault="00FB7D0B">
            <w:pPr>
              <w:rPr>
                <w:rFonts w:ascii="Arial" w:eastAsia="Arial" w:hAnsi="Arial" w:cs="Arial"/>
                <w:color w:val="000000"/>
                <w:sz w:val="16"/>
              </w:rPr>
            </w:pPr>
            <w:r>
              <w:rPr>
                <w:rFonts w:ascii="Arial" w:eastAsia="Arial" w:hAnsi="Arial" w:cs="Arial"/>
                <w:color w:val="000000"/>
                <w:sz w:val="16"/>
              </w:rPr>
              <w:t>Special Accounts</w:t>
            </w:r>
          </w:p>
        </w:tc>
        <w:tc>
          <w:tcPr>
            <w:tcW w:w="1275" w:type="dxa"/>
            <w:tcBorders>
              <w:top w:val="nil"/>
              <w:left w:val="nil"/>
              <w:bottom w:val="nil"/>
              <w:right w:val="nil"/>
              <w:tl2br w:val="nil"/>
              <w:tr2bl w:val="nil"/>
            </w:tcBorders>
            <w:shd w:val="clear" w:color="auto" w:fill="FFFFFF"/>
            <w:tcMar>
              <w:left w:w="101" w:type="dxa"/>
              <w:right w:w="101" w:type="dxa"/>
            </w:tcMar>
            <w:vAlign w:val="bottom"/>
          </w:tcPr>
          <w:p w14:paraId="4DA8CD5F" w14:textId="77777777" w:rsidR="003F0EEA" w:rsidRDefault="00FB7D0B">
            <w:pPr>
              <w:jc w:val="right"/>
              <w:rPr>
                <w:rFonts w:ascii="Arial" w:eastAsia="Arial" w:hAnsi="Arial" w:cs="Arial"/>
                <w:color w:val="000000"/>
                <w:sz w:val="12"/>
                <w:vertAlign w:val="superscript"/>
              </w:rPr>
            </w:pPr>
            <w:r>
              <w:rPr>
                <w:rFonts w:ascii="Arial" w:eastAsia="Arial" w:hAnsi="Arial" w:cs="Arial"/>
                <w:color w:val="000000"/>
                <w:sz w:val="16"/>
              </w:rPr>
              <w:t xml:space="preserve"> 780 </w:t>
            </w:r>
          </w:p>
        </w:tc>
        <w:tc>
          <w:tcPr>
            <w:tcW w:w="1275" w:type="dxa"/>
            <w:tcBorders>
              <w:top w:val="nil"/>
              <w:left w:val="nil"/>
              <w:bottom w:val="nil"/>
              <w:right w:val="nil"/>
              <w:tl2br w:val="nil"/>
              <w:tr2bl w:val="nil"/>
            </w:tcBorders>
            <w:shd w:val="clear" w:color="auto" w:fill="FFFF00"/>
            <w:tcMar>
              <w:left w:w="101" w:type="dxa"/>
              <w:right w:w="101" w:type="dxa"/>
            </w:tcMar>
            <w:vAlign w:val="bottom"/>
          </w:tcPr>
          <w:p w14:paraId="5FDB92B9" w14:textId="77777777" w:rsidR="003F0EEA" w:rsidRDefault="00FB7D0B">
            <w:pPr>
              <w:jc w:val="right"/>
              <w:rPr>
                <w:rFonts w:ascii="Arial" w:eastAsia="Arial" w:hAnsi="Arial" w:cs="Arial"/>
                <w:color w:val="000000"/>
                <w:sz w:val="16"/>
              </w:rPr>
            </w:pPr>
            <w:r>
              <w:rPr>
                <w:rFonts w:ascii="Arial" w:eastAsia="Arial" w:hAnsi="Arial" w:cs="Arial"/>
                <w:color w:val="000000"/>
                <w:sz w:val="16"/>
              </w:rPr>
              <w:t xml:space="preserve"> 215 </w:t>
            </w:r>
          </w:p>
        </w:tc>
      </w:tr>
      <w:tr w:rsidR="00FB7D0B" w14:paraId="5C0B861D" w14:textId="77777777" w:rsidTr="00FB7D0B">
        <w:trPr>
          <w:trHeight w:val="225"/>
        </w:trPr>
        <w:tc>
          <w:tcPr>
            <w:tcW w:w="5700" w:type="dxa"/>
            <w:gridSpan w:val="2"/>
            <w:tcBorders>
              <w:top w:val="nil"/>
              <w:left w:val="nil"/>
              <w:bottom w:val="nil"/>
              <w:right w:val="nil"/>
              <w:tl2br w:val="nil"/>
              <w:tr2bl w:val="nil"/>
            </w:tcBorders>
            <w:shd w:val="clear" w:color="auto" w:fill="FFFFFF"/>
            <w:tcMar>
              <w:left w:w="101" w:type="dxa"/>
              <w:right w:w="101" w:type="dxa"/>
            </w:tcMar>
            <w:vAlign w:val="bottom"/>
          </w:tcPr>
          <w:p w14:paraId="4A94299E" w14:textId="77777777" w:rsidR="003F0EEA" w:rsidRDefault="00FB7D0B">
            <w:pPr>
              <w:rPr>
                <w:rFonts w:ascii="Arial" w:eastAsia="Arial" w:hAnsi="Arial" w:cs="Arial"/>
                <w:color w:val="000000"/>
                <w:sz w:val="16"/>
              </w:rPr>
            </w:pPr>
            <w:r>
              <w:rPr>
                <w:rFonts w:ascii="Arial" w:eastAsia="Arial" w:hAnsi="Arial" w:cs="Arial"/>
                <w:color w:val="000000"/>
                <w:sz w:val="16"/>
              </w:rPr>
              <w:t>Departmental Expenses</w:t>
            </w:r>
          </w:p>
        </w:tc>
        <w:tc>
          <w:tcPr>
            <w:tcW w:w="1275" w:type="dxa"/>
            <w:tcBorders>
              <w:top w:val="nil"/>
              <w:left w:val="nil"/>
              <w:bottom w:val="nil"/>
              <w:right w:val="nil"/>
              <w:tl2br w:val="nil"/>
              <w:tr2bl w:val="nil"/>
            </w:tcBorders>
            <w:shd w:val="clear" w:color="auto" w:fill="FFFFFF"/>
            <w:tcMar>
              <w:left w:w="101" w:type="dxa"/>
              <w:right w:w="101" w:type="dxa"/>
            </w:tcMar>
            <w:vAlign w:val="bottom"/>
          </w:tcPr>
          <w:p w14:paraId="310D717C" w14:textId="77777777" w:rsidR="003F0EEA" w:rsidRDefault="003F0EEA">
            <w:pPr>
              <w:jc w:val="right"/>
              <w:rPr>
                <w:rFonts w:ascii="Arial" w:eastAsia="Arial" w:hAnsi="Arial" w:cs="Arial"/>
                <w:color w:val="000000"/>
                <w:sz w:val="12"/>
                <w:vertAlign w:val="superscript"/>
              </w:rPr>
            </w:pPr>
          </w:p>
        </w:tc>
        <w:tc>
          <w:tcPr>
            <w:tcW w:w="1275" w:type="dxa"/>
            <w:tcBorders>
              <w:top w:val="nil"/>
              <w:left w:val="nil"/>
              <w:bottom w:val="nil"/>
              <w:right w:val="nil"/>
              <w:tl2br w:val="nil"/>
              <w:tr2bl w:val="nil"/>
            </w:tcBorders>
            <w:shd w:val="clear" w:color="auto" w:fill="FFFF00"/>
            <w:tcMar>
              <w:left w:w="101" w:type="dxa"/>
              <w:right w:w="101" w:type="dxa"/>
            </w:tcMar>
            <w:vAlign w:val="bottom"/>
          </w:tcPr>
          <w:p w14:paraId="6BC768C7" w14:textId="77777777" w:rsidR="003F0EEA" w:rsidRDefault="003F0EEA">
            <w:pPr>
              <w:jc w:val="right"/>
              <w:rPr>
                <w:rFonts w:ascii="Arial" w:eastAsia="Arial" w:hAnsi="Arial" w:cs="Arial"/>
                <w:color w:val="000000"/>
                <w:sz w:val="16"/>
                <w:vertAlign w:val="superscript"/>
              </w:rPr>
            </w:pPr>
          </w:p>
        </w:tc>
      </w:tr>
      <w:tr w:rsidR="00724034" w14:paraId="74DB0165" w14:textId="77777777">
        <w:trPr>
          <w:trHeight w:val="225"/>
        </w:trPr>
        <w:tc>
          <w:tcPr>
            <w:tcW w:w="300" w:type="dxa"/>
            <w:tcBorders>
              <w:top w:val="nil"/>
              <w:left w:val="nil"/>
              <w:bottom w:val="nil"/>
              <w:right w:val="nil"/>
              <w:tl2br w:val="nil"/>
              <w:tr2bl w:val="nil"/>
            </w:tcBorders>
            <w:shd w:val="clear" w:color="auto" w:fill="FFFFFF"/>
            <w:tcMar>
              <w:left w:w="101" w:type="dxa"/>
              <w:right w:w="101" w:type="dxa"/>
            </w:tcMar>
            <w:vAlign w:val="bottom"/>
          </w:tcPr>
          <w:p w14:paraId="4124EF0F" w14:textId="77777777" w:rsidR="003F0EEA" w:rsidRDefault="003F0EEA">
            <w:pPr>
              <w:rPr>
                <w:rFonts w:ascii="Arial" w:eastAsia="Arial" w:hAnsi="Arial" w:cs="Arial"/>
                <w:color w:val="000000"/>
                <w:sz w:val="16"/>
                <w:vertAlign w:val="superscript"/>
              </w:rPr>
            </w:pPr>
          </w:p>
        </w:tc>
        <w:tc>
          <w:tcPr>
            <w:tcW w:w="5400" w:type="dxa"/>
            <w:tcBorders>
              <w:top w:val="nil"/>
              <w:left w:val="nil"/>
              <w:bottom w:val="nil"/>
              <w:right w:val="nil"/>
              <w:tl2br w:val="nil"/>
              <w:tr2bl w:val="nil"/>
            </w:tcBorders>
            <w:shd w:val="clear" w:color="auto" w:fill="FFFFFF"/>
            <w:tcMar>
              <w:left w:w="101" w:type="dxa"/>
              <w:right w:w="101" w:type="dxa"/>
            </w:tcMar>
            <w:vAlign w:val="bottom"/>
          </w:tcPr>
          <w:p w14:paraId="40F3FB33" w14:textId="77777777" w:rsidR="003F0EEA" w:rsidRDefault="00FB7D0B">
            <w:pPr>
              <w:rPr>
                <w:rFonts w:ascii="Arial" w:eastAsia="Arial" w:hAnsi="Arial" w:cs="Arial"/>
                <w:color w:val="000000"/>
                <w:sz w:val="16"/>
                <w:vertAlign w:val="superscript"/>
              </w:rPr>
            </w:pPr>
            <w:r>
              <w:rPr>
                <w:rFonts w:ascii="Arial" w:eastAsia="Arial" w:hAnsi="Arial" w:cs="Arial"/>
                <w:color w:val="000000"/>
                <w:sz w:val="16"/>
              </w:rPr>
              <w:t>Departmental appropriation</w:t>
            </w:r>
            <w:r>
              <w:rPr>
                <w:rFonts w:ascii="Arial" w:eastAsia="Arial" w:hAnsi="Arial" w:cs="Arial"/>
                <w:color w:val="000000"/>
                <w:sz w:val="12"/>
                <w:vertAlign w:val="superscript"/>
              </w:rPr>
              <w:t>1 </w:t>
            </w:r>
          </w:p>
        </w:tc>
        <w:tc>
          <w:tcPr>
            <w:tcW w:w="1275" w:type="dxa"/>
            <w:tcBorders>
              <w:top w:val="nil"/>
              <w:left w:val="nil"/>
              <w:bottom w:val="nil"/>
              <w:right w:val="nil"/>
              <w:tl2br w:val="nil"/>
              <w:tr2bl w:val="nil"/>
            </w:tcBorders>
            <w:shd w:val="clear" w:color="auto" w:fill="FFFFFF"/>
            <w:tcMar>
              <w:left w:w="101" w:type="dxa"/>
              <w:right w:w="101" w:type="dxa"/>
            </w:tcMar>
            <w:vAlign w:val="bottom"/>
          </w:tcPr>
          <w:p w14:paraId="6AF8AAD1" w14:textId="77777777" w:rsidR="003F0EEA" w:rsidRDefault="00FB7D0B">
            <w:pPr>
              <w:jc w:val="right"/>
              <w:rPr>
                <w:rFonts w:ascii="Arial" w:eastAsia="Arial" w:hAnsi="Arial" w:cs="Arial"/>
                <w:color w:val="000000"/>
                <w:sz w:val="12"/>
                <w:vertAlign w:val="superscript"/>
              </w:rPr>
            </w:pPr>
            <w:r>
              <w:rPr>
                <w:rFonts w:ascii="Arial" w:eastAsia="Arial" w:hAnsi="Arial" w:cs="Arial"/>
                <w:color w:val="000000"/>
                <w:sz w:val="16"/>
              </w:rPr>
              <w:t xml:space="preserve"> 30,577 </w:t>
            </w:r>
          </w:p>
        </w:tc>
        <w:tc>
          <w:tcPr>
            <w:tcW w:w="1275" w:type="dxa"/>
            <w:tcBorders>
              <w:top w:val="nil"/>
              <w:left w:val="nil"/>
              <w:bottom w:val="nil"/>
              <w:right w:val="nil"/>
              <w:tl2br w:val="nil"/>
              <w:tr2bl w:val="nil"/>
            </w:tcBorders>
            <w:shd w:val="clear" w:color="auto" w:fill="FFFF00"/>
            <w:tcMar>
              <w:left w:w="101" w:type="dxa"/>
              <w:right w:w="101" w:type="dxa"/>
            </w:tcMar>
            <w:vAlign w:val="bottom"/>
          </w:tcPr>
          <w:p w14:paraId="60BE0537" w14:textId="77777777" w:rsidR="003F0EEA" w:rsidRDefault="00FB7D0B">
            <w:pPr>
              <w:jc w:val="right"/>
              <w:rPr>
                <w:rFonts w:ascii="Arial" w:eastAsia="Arial" w:hAnsi="Arial" w:cs="Arial"/>
                <w:color w:val="000000"/>
                <w:sz w:val="16"/>
              </w:rPr>
            </w:pPr>
            <w:r>
              <w:rPr>
                <w:rFonts w:ascii="Arial" w:eastAsia="Arial" w:hAnsi="Arial" w:cs="Arial"/>
                <w:color w:val="000000"/>
                <w:sz w:val="16"/>
              </w:rPr>
              <w:t xml:space="preserve"> 30,761 </w:t>
            </w:r>
          </w:p>
        </w:tc>
      </w:tr>
      <w:tr w:rsidR="00724034" w14:paraId="295A1123" w14:textId="77777777">
        <w:trPr>
          <w:trHeight w:val="225"/>
        </w:trPr>
        <w:tc>
          <w:tcPr>
            <w:tcW w:w="300" w:type="dxa"/>
            <w:tcBorders>
              <w:top w:val="nil"/>
              <w:left w:val="nil"/>
              <w:bottom w:val="nil"/>
              <w:right w:val="nil"/>
              <w:tl2br w:val="nil"/>
              <w:tr2bl w:val="nil"/>
            </w:tcBorders>
            <w:shd w:val="clear" w:color="auto" w:fill="FFFFFF"/>
            <w:tcMar>
              <w:left w:w="101" w:type="dxa"/>
              <w:right w:w="101" w:type="dxa"/>
            </w:tcMar>
            <w:vAlign w:val="bottom"/>
          </w:tcPr>
          <w:p w14:paraId="10D1678C" w14:textId="77777777" w:rsidR="003F0EEA" w:rsidRDefault="003F0EEA">
            <w:pPr>
              <w:rPr>
                <w:rFonts w:ascii="Arial" w:eastAsia="Arial" w:hAnsi="Arial" w:cs="Arial"/>
                <w:color w:val="000000"/>
                <w:sz w:val="16"/>
              </w:rPr>
            </w:pPr>
          </w:p>
        </w:tc>
        <w:tc>
          <w:tcPr>
            <w:tcW w:w="5400" w:type="dxa"/>
            <w:tcBorders>
              <w:top w:val="nil"/>
              <w:left w:val="nil"/>
              <w:bottom w:val="nil"/>
              <w:right w:val="nil"/>
              <w:tl2br w:val="nil"/>
              <w:tr2bl w:val="nil"/>
            </w:tcBorders>
            <w:shd w:val="clear" w:color="auto" w:fill="FFFFFF"/>
            <w:tcMar>
              <w:left w:w="101" w:type="dxa"/>
              <w:right w:w="101" w:type="dxa"/>
            </w:tcMar>
            <w:vAlign w:val="bottom"/>
          </w:tcPr>
          <w:p w14:paraId="4C7E100B" w14:textId="77777777" w:rsidR="003F0EEA" w:rsidRDefault="00FB7D0B">
            <w:pPr>
              <w:rPr>
                <w:rFonts w:ascii="Arial" w:eastAsia="Arial" w:hAnsi="Arial" w:cs="Arial"/>
                <w:color w:val="000000"/>
                <w:sz w:val="20"/>
              </w:rPr>
            </w:pPr>
            <w:r>
              <w:rPr>
                <w:rFonts w:ascii="Arial" w:eastAsia="Arial" w:hAnsi="Arial" w:cs="Arial"/>
                <w:color w:val="000000"/>
                <w:sz w:val="16"/>
              </w:rPr>
              <w:t>Expenses not requiring appropriation in the Budget year</w:t>
            </w:r>
            <w:r>
              <w:rPr>
                <w:rFonts w:ascii="Arial" w:eastAsia="Arial" w:hAnsi="Arial" w:cs="Arial"/>
                <w:color w:val="000000"/>
                <w:sz w:val="12"/>
                <w:vertAlign w:val="superscript"/>
              </w:rPr>
              <w:t>2 </w:t>
            </w:r>
          </w:p>
        </w:tc>
        <w:tc>
          <w:tcPr>
            <w:tcW w:w="1275"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1B3A59F4" w14:textId="77777777" w:rsidR="003F0EEA" w:rsidRDefault="00FB7D0B">
            <w:pPr>
              <w:jc w:val="right"/>
              <w:rPr>
                <w:rFonts w:ascii="Arial" w:eastAsia="Arial" w:hAnsi="Arial" w:cs="Arial"/>
                <w:color w:val="000000"/>
                <w:sz w:val="12"/>
                <w:vertAlign w:val="superscript"/>
              </w:rPr>
            </w:pPr>
            <w:r>
              <w:rPr>
                <w:rFonts w:ascii="Arial" w:eastAsia="Arial" w:hAnsi="Arial" w:cs="Arial"/>
                <w:color w:val="000000"/>
                <w:sz w:val="16"/>
              </w:rPr>
              <w:t xml:space="preserve"> 3,173 </w:t>
            </w:r>
          </w:p>
        </w:tc>
        <w:tc>
          <w:tcPr>
            <w:tcW w:w="1275" w:type="dxa"/>
            <w:tcBorders>
              <w:top w:val="nil"/>
              <w:left w:val="nil"/>
              <w:bottom w:val="single" w:sz="6" w:space="0" w:color="000000"/>
              <w:right w:val="nil"/>
              <w:tl2br w:val="nil"/>
              <w:tr2bl w:val="nil"/>
            </w:tcBorders>
            <w:shd w:val="clear" w:color="auto" w:fill="FFFF00"/>
            <w:tcMar>
              <w:left w:w="101" w:type="dxa"/>
              <w:right w:w="101" w:type="dxa"/>
            </w:tcMar>
            <w:vAlign w:val="bottom"/>
          </w:tcPr>
          <w:p w14:paraId="2899A4F5" w14:textId="77777777" w:rsidR="003F0EEA" w:rsidRDefault="00FB7D0B">
            <w:pPr>
              <w:jc w:val="right"/>
              <w:rPr>
                <w:rFonts w:ascii="Arial" w:eastAsia="Arial" w:hAnsi="Arial" w:cs="Arial"/>
                <w:color w:val="000000"/>
                <w:sz w:val="16"/>
              </w:rPr>
            </w:pPr>
            <w:r>
              <w:rPr>
                <w:rFonts w:ascii="Arial" w:eastAsia="Arial" w:hAnsi="Arial" w:cs="Arial"/>
                <w:color w:val="000000"/>
                <w:sz w:val="16"/>
              </w:rPr>
              <w:t xml:space="preserve"> 3,565 </w:t>
            </w:r>
          </w:p>
        </w:tc>
      </w:tr>
      <w:tr w:rsidR="00724034" w14:paraId="372CC85D" w14:textId="77777777">
        <w:trPr>
          <w:trHeight w:val="225"/>
        </w:trPr>
        <w:tc>
          <w:tcPr>
            <w:tcW w:w="300" w:type="dxa"/>
            <w:tcBorders>
              <w:top w:val="nil"/>
              <w:left w:val="nil"/>
              <w:bottom w:val="nil"/>
              <w:right w:val="nil"/>
              <w:tl2br w:val="nil"/>
              <w:tr2bl w:val="nil"/>
            </w:tcBorders>
            <w:shd w:val="clear" w:color="auto" w:fill="FFFFFF"/>
            <w:tcMar>
              <w:left w:w="101" w:type="dxa"/>
              <w:right w:w="101" w:type="dxa"/>
            </w:tcMar>
            <w:vAlign w:val="bottom"/>
          </w:tcPr>
          <w:p w14:paraId="7F504626" w14:textId="77777777" w:rsidR="003F0EEA" w:rsidRDefault="003F0EEA">
            <w:pPr>
              <w:rPr>
                <w:rFonts w:ascii="Arial" w:eastAsia="Arial" w:hAnsi="Arial" w:cs="Arial"/>
                <w:color w:val="000000"/>
                <w:sz w:val="16"/>
              </w:rPr>
            </w:pPr>
          </w:p>
        </w:tc>
        <w:tc>
          <w:tcPr>
            <w:tcW w:w="5400" w:type="dxa"/>
            <w:tcBorders>
              <w:top w:val="nil"/>
              <w:left w:val="nil"/>
              <w:bottom w:val="nil"/>
              <w:right w:val="nil"/>
              <w:tl2br w:val="nil"/>
              <w:tr2bl w:val="nil"/>
            </w:tcBorders>
            <w:shd w:val="clear" w:color="auto" w:fill="FFFFFF"/>
            <w:tcMar>
              <w:left w:w="101" w:type="dxa"/>
              <w:right w:w="101" w:type="dxa"/>
            </w:tcMar>
            <w:vAlign w:val="bottom"/>
          </w:tcPr>
          <w:p w14:paraId="45A02939" w14:textId="77777777" w:rsidR="003F0EEA" w:rsidRDefault="00FB7D0B">
            <w:pPr>
              <w:rPr>
                <w:rFonts w:ascii="Arial" w:eastAsia="Arial" w:hAnsi="Arial" w:cs="Arial"/>
                <w:color w:val="000000"/>
                <w:sz w:val="16"/>
              </w:rPr>
            </w:pPr>
            <w:r>
              <w:rPr>
                <w:rFonts w:ascii="Arial" w:eastAsia="Arial" w:hAnsi="Arial" w:cs="Arial"/>
                <w:b/>
                <w:color w:val="000000"/>
                <w:sz w:val="16"/>
              </w:rPr>
              <w:t>Total for Programme 1.6</w:t>
            </w:r>
          </w:p>
        </w:tc>
        <w:tc>
          <w:tcPr>
            <w:tcW w:w="1275"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2C5A4EA5" w14:textId="77777777" w:rsidR="003F0EEA" w:rsidRDefault="00FB7D0B">
            <w:pPr>
              <w:jc w:val="right"/>
              <w:rPr>
                <w:rFonts w:ascii="Arial" w:eastAsia="Arial" w:hAnsi="Arial" w:cs="Arial"/>
                <w:color w:val="000000"/>
                <w:sz w:val="12"/>
                <w:vertAlign w:val="superscript"/>
              </w:rPr>
            </w:pPr>
            <w:r>
              <w:rPr>
                <w:rFonts w:ascii="Arial" w:eastAsia="Arial" w:hAnsi="Arial" w:cs="Arial"/>
                <w:b/>
                <w:color w:val="000000"/>
                <w:sz w:val="16"/>
              </w:rPr>
              <w:t xml:space="preserve"> 403,529 </w:t>
            </w:r>
          </w:p>
        </w:tc>
        <w:tc>
          <w:tcPr>
            <w:tcW w:w="1275" w:type="dxa"/>
            <w:tcBorders>
              <w:top w:val="single" w:sz="6" w:space="0" w:color="000000"/>
              <w:left w:val="nil"/>
              <w:bottom w:val="single" w:sz="6" w:space="0" w:color="000000"/>
              <w:right w:val="nil"/>
              <w:tl2br w:val="nil"/>
              <w:tr2bl w:val="nil"/>
            </w:tcBorders>
            <w:shd w:val="clear" w:color="auto" w:fill="FFFF00"/>
            <w:tcMar>
              <w:left w:w="101" w:type="dxa"/>
              <w:right w:w="101" w:type="dxa"/>
            </w:tcMar>
            <w:vAlign w:val="bottom"/>
          </w:tcPr>
          <w:p w14:paraId="1F87C8BD" w14:textId="77777777" w:rsidR="003F0EEA" w:rsidRDefault="00FB7D0B">
            <w:pPr>
              <w:jc w:val="right"/>
              <w:rPr>
                <w:rFonts w:ascii="Arial" w:eastAsia="Arial" w:hAnsi="Arial" w:cs="Arial"/>
                <w:b/>
                <w:color w:val="000000"/>
                <w:sz w:val="16"/>
              </w:rPr>
            </w:pPr>
            <w:r>
              <w:rPr>
                <w:rFonts w:ascii="Arial" w:eastAsia="Arial" w:hAnsi="Arial" w:cs="Arial"/>
                <w:b/>
                <w:color w:val="000000"/>
                <w:sz w:val="16"/>
              </w:rPr>
              <w:t xml:space="preserve"> 395,810 </w:t>
            </w:r>
          </w:p>
        </w:tc>
      </w:tr>
      <w:tr w:rsidR="00FB7D0B" w14:paraId="53A5016B" w14:textId="77777777" w:rsidTr="00FB7D0B">
        <w:trPr>
          <w:trHeight w:val="660"/>
        </w:trPr>
        <w:tc>
          <w:tcPr>
            <w:tcW w:w="5700" w:type="dxa"/>
            <w:gridSpan w:val="2"/>
            <w:tcBorders>
              <w:top w:val="nil"/>
              <w:left w:val="nil"/>
              <w:bottom w:val="nil"/>
              <w:right w:val="nil"/>
              <w:tl2br w:val="nil"/>
              <w:tr2bl w:val="nil"/>
            </w:tcBorders>
            <w:shd w:val="clear" w:color="auto" w:fill="FFFFFF"/>
            <w:tcMar>
              <w:left w:w="101" w:type="dxa"/>
              <w:right w:w="101" w:type="dxa"/>
            </w:tcMar>
            <w:vAlign w:val="bottom"/>
          </w:tcPr>
          <w:p w14:paraId="4C0F591F" w14:textId="77777777" w:rsidR="003F0EEA" w:rsidRDefault="00FB7D0B">
            <w:pPr>
              <w:rPr>
                <w:rFonts w:ascii="Arial" w:eastAsia="Arial" w:hAnsi="Arial" w:cs="Arial"/>
                <w:b/>
                <w:color w:val="000000"/>
                <w:sz w:val="16"/>
              </w:rPr>
            </w:pPr>
            <w:r>
              <w:rPr>
                <w:rFonts w:ascii="Arial" w:eastAsia="Arial" w:hAnsi="Arial" w:cs="Arial"/>
                <w:b/>
                <w:color w:val="000000"/>
                <w:sz w:val="16"/>
              </w:rPr>
              <w:t>Programme 1.7:  Adjustment to the Military Rehabilitation and Compensation Acts Liability Provision - Income Support and Compensation</w:t>
            </w:r>
          </w:p>
        </w:tc>
        <w:tc>
          <w:tcPr>
            <w:tcW w:w="127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03DAE317" w14:textId="77777777" w:rsidR="003F0EEA" w:rsidRDefault="003F0EEA">
            <w:pPr>
              <w:jc w:val="right"/>
              <w:rPr>
                <w:rFonts w:ascii="Arial" w:eastAsia="Arial" w:hAnsi="Arial" w:cs="Arial"/>
                <w:color w:val="000000"/>
                <w:sz w:val="12"/>
                <w:vertAlign w:val="superscript"/>
              </w:rPr>
            </w:pPr>
          </w:p>
        </w:tc>
        <w:tc>
          <w:tcPr>
            <w:tcW w:w="1275" w:type="dxa"/>
            <w:tcBorders>
              <w:top w:val="single" w:sz="6" w:space="0" w:color="000000"/>
              <w:left w:val="nil"/>
              <w:bottom w:val="nil"/>
              <w:right w:val="nil"/>
              <w:tl2br w:val="nil"/>
              <w:tr2bl w:val="nil"/>
            </w:tcBorders>
            <w:shd w:val="clear" w:color="auto" w:fill="FFFF00"/>
            <w:tcMar>
              <w:left w:w="101" w:type="dxa"/>
              <w:right w:w="101" w:type="dxa"/>
            </w:tcMar>
            <w:vAlign w:val="bottom"/>
          </w:tcPr>
          <w:p w14:paraId="7F46A140" w14:textId="77777777" w:rsidR="003F0EEA" w:rsidRDefault="003F0EEA">
            <w:pPr>
              <w:jc w:val="right"/>
              <w:rPr>
                <w:rFonts w:ascii="Arial" w:eastAsia="Arial" w:hAnsi="Arial" w:cs="Arial"/>
                <w:color w:val="000000"/>
                <w:sz w:val="16"/>
                <w:vertAlign w:val="superscript"/>
              </w:rPr>
            </w:pPr>
          </w:p>
        </w:tc>
      </w:tr>
      <w:tr w:rsidR="00FB7D0B" w14:paraId="6D8B4DF4" w14:textId="77777777" w:rsidTr="00FB7D0B">
        <w:trPr>
          <w:trHeight w:val="225"/>
        </w:trPr>
        <w:tc>
          <w:tcPr>
            <w:tcW w:w="5700" w:type="dxa"/>
            <w:gridSpan w:val="2"/>
            <w:tcBorders>
              <w:top w:val="nil"/>
              <w:left w:val="nil"/>
              <w:bottom w:val="nil"/>
              <w:right w:val="nil"/>
              <w:tl2br w:val="nil"/>
              <w:tr2bl w:val="nil"/>
            </w:tcBorders>
            <w:shd w:val="clear" w:color="auto" w:fill="FFFFFF"/>
            <w:tcMar>
              <w:left w:w="101" w:type="dxa"/>
              <w:right w:w="101" w:type="dxa"/>
            </w:tcMar>
            <w:vAlign w:val="bottom"/>
          </w:tcPr>
          <w:p w14:paraId="7C3458BC" w14:textId="77777777" w:rsidR="003F0EEA" w:rsidRDefault="00FB7D0B">
            <w:pPr>
              <w:rPr>
                <w:rFonts w:ascii="Arial" w:eastAsia="Arial" w:hAnsi="Arial" w:cs="Arial"/>
                <w:color w:val="000000"/>
                <w:sz w:val="16"/>
                <w:vertAlign w:val="superscript"/>
              </w:rPr>
            </w:pPr>
            <w:r>
              <w:rPr>
                <w:rFonts w:ascii="Arial" w:eastAsia="Arial" w:hAnsi="Arial" w:cs="Arial"/>
                <w:color w:val="000000"/>
                <w:sz w:val="16"/>
              </w:rPr>
              <w:t>Administered Expenses</w:t>
            </w:r>
          </w:p>
        </w:tc>
        <w:tc>
          <w:tcPr>
            <w:tcW w:w="1275" w:type="dxa"/>
            <w:tcBorders>
              <w:top w:val="nil"/>
              <w:left w:val="nil"/>
              <w:bottom w:val="nil"/>
              <w:right w:val="nil"/>
              <w:tl2br w:val="nil"/>
              <w:tr2bl w:val="nil"/>
            </w:tcBorders>
            <w:shd w:val="clear" w:color="auto" w:fill="FFFFFF"/>
            <w:tcMar>
              <w:left w:w="101" w:type="dxa"/>
              <w:right w:w="101" w:type="dxa"/>
            </w:tcMar>
            <w:vAlign w:val="bottom"/>
          </w:tcPr>
          <w:p w14:paraId="7F3D0F97" w14:textId="77777777" w:rsidR="003F0EEA" w:rsidRDefault="003F0EEA">
            <w:pPr>
              <w:jc w:val="right"/>
              <w:rPr>
                <w:rFonts w:ascii="Arial" w:eastAsia="Arial" w:hAnsi="Arial" w:cs="Arial"/>
                <w:color w:val="000000"/>
                <w:sz w:val="12"/>
                <w:vertAlign w:val="superscript"/>
              </w:rPr>
            </w:pPr>
          </w:p>
        </w:tc>
        <w:tc>
          <w:tcPr>
            <w:tcW w:w="1275" w:type="dxa"/>
            <w:tcBorders>
              <w:top w:val="nil"/>
              <w:left w:val="nil"/>
              <w:bottom w:val="nil"/>
              <w:right w:val="nil"/>
              <w:tl2br w:val="nil"/>
              <w:tr2bl w:val="nil"/>
            </w:tcBorders>
            <w:shd w:val="clear" w:color="auto" w:fill="FFFF00"/>
            <w:tcMar>
              <w:left w:w="101" w:type="dxa"/>
              <w:right w:w="101" w:type="dxa"/>
            </w:tcMar>
            <w:vAlign w:val="bottom"/>
          </w:tcPr>
          <w:p w14:paraId="648C1840" w14:textId="77777777" w:rsidR="003F0EEA" w:rsidRDefault="003F0EEA">
            <w:pPr>
              <w:jc w:val="right"/>
              <w:rPr>
                <w:rFonts w:ascii="Arial" w:eastAsia="Arial" w:hAnsi="Arial" w:cs="Arial"/>
                <w:color w:val="000000"/>
                <w:sz w:val="16"/>
                <w:vertAlign w:val="superscript"/>
              </w:rPr>
            </w:pPr>
          </w:p>
        </w:tc>
      </w:tr>
      <w:tr w:rsidR="00724034" w14:paraId="692119BF" w14:textId="77777777">
        <w:trPr>
          <w:trHeight w:val="225"/>
        </w:trPr>
        <w:tc>
          <w:tcPr>
            <w:tcW w:w="300" w:type="dxa"/>
            <w:tcBorders>
              <w:top w:val="nil"/>
              <w:left w:val="nil"/>
              <w:bottom w:val="nil"/>
              <w:right w:val="nil"/>
              <w:tl2br w:val="nil"/>
              <w:tr2bl w:val="nil"/>
            </w:tcBorders>
            <w:shd w:val="clear" w:color="auto" w:fill="FFFFFF"/>
            <w:tcMar>
              <w:left w:w="101" w:type="dxa"/>
              <w:right w:w="101" w:type="dxa"/>
            </w:tcMar>
            <w:vAlign w:val="bottom"/>
          </w:tcPr>
          <w:p w14:paraId="143A6967" w14:textId="77777777" w:rsidR="003F0EEA" w:rsidRDefault="003F0EEA">
            <w:pPr>
              <w:rPr>
                <w:rFonts w:ascii="Arial" w:eastAsia="Arial" w:hAnsi="Arial" w:cs="Arial"/>
                <w:color w:val="000000"/>
                <w:sz w:val="16"/>
                <w:vertAlign w:val="superscript"/>
              </w:rPr>
            </w:pPr>
          </w:p>
        </w:tc>
        <w:tc>
          <w:tcPr>
            <w:tcW w:w="5400" w:type="dxa"/>
            <w:tcBorders>
              <w:top w:val="nil"/>
              <w:left w:val="nil"/>
              <w:bottom w:val="nil"/>
              <w:right w:val="nil"/>
              <w:tl2br w:val="nil"/>
              <w:tr2bl w:val="nil"/>
            </w:tcBorders>
            <w:shd w:val="clear" w:color="auto" w:fill="FFFFFF"/>
            <w:tcMar>
              <w:left w:w="101" w:type="dxa"/>
              <w:right w:w="101" w:type="dxa"/>
            </w:tcMar>
            <w:vAlign w:val="bottom"/>
          </w:tcPr>
          <w:p w14:paraId="1FEA4D4A" w14:textId="77777777" w:rsidR="003F0EEA" w:rsidRDefault="00FB7D0B">
            <w:pPr>
              <w:rPr>
                <w:rFonts w:ascii="Arial" w:eastAsia="Arial" w:hAnsi="Arial" w:cs="Arial"/>
                <w:color w:val="000000"/>
                <w:sz w:val="16"/>
                <w:vertAlign w:val="superscript"/>
              </w:rPr>
            </w:pPr>
            <w:r>
              <w:rPr>
                <w:rFonts w:ascii="Arial" w:eastAsia="Arial" w:hAnsi="Arial" w:cs="Arial"/>
                <w:color w:val="000000"/>
                <w:sz w:val="16"/>
              </w:rPr>
              <w:t>Ordinary annual services (Appropriation Bill No. 1)</w:t>
            </w:r>
          </w:p>
        </w:tc>
        <w:tc>
          <w:tcPr>
            <w:tcW w:w="1275" w:type="dxa"/>
            <w:tcBorders>
              <w:top w:val="nil"/>
              <w:left w:val="nil"/>
              <w:bottom w:val="nil"/>
              <w:right w:val="nil"/>
              <w:tl2br w:val="nil"/>
              <w:tr2bl w:val="nil"/>
            </w:tcBorders>
            <w:shd w:val="clear" w:color="auto" w:fill="FFFFFF"/>
            <w:tcMar>
              <w:left w:w="101" w:type="dxa"/>
              <w:right w:w="101" w:type="dxa"/>
            </w:tcMar>
            <w:vAlign w:val="bottom"/>
          </w:tcPr>
          <w:p w14:paraId="7AA3E48C" w14:textId="77777777" w:rsidR="003F0EEA" w:rsidRDefault="00FB7D0B">
            <w:pPr>
              <w:jc w:val="right"/>
              <w:rPr>
                <w:rFonts w:ascii="Arial" w:eastAsia="Arial" w:hAnsi="Arial" w:cs="Arial"/>
                <w:color w:val="000000"/>
                <w:sz w:val="12"/>
                <w:vertAlign w:val="superscript"/>
              </w:rPr>
            </w:pPr>
            <w:r>
              <w:rPr>
                <w:rFonts w:ascii="Arial" w:eastAsia="Arial" w:hAnsi="Arial" w:cs="Arial"/>
                <w:color w:val="000000"/>
                <w:sz w:val="16"/>
              </w:rPr>
              <w:t xml:space="preserve"> - </w:t>
            </w:r>
          </w:p>
        </w:tc>
        <w:tc>
          <w:tcPr>
            <w:tcW w:w="1275" w:type="dxa"/>
            <w:tcBorders>
              <w:top w:val="nil"/>
              <w:left w:val="nil"/>
              <w:bottom w:val="nil"/>
              <w:right w:val="nil"/>
              <w:tl2br w:val="nil"/>
              <w:tr2bl w:val="nil"/>
            </w:tcBorders>
            <w:shd w:val="clear" w:color="auto" w:fill="FFFF00"/>
            <w:tcMar>
              <w:left w:w="101" w:type="dxa"/>
              <w:right w:w="101" w:type="dxa"/>
            </w:tcMar>
            <w:vAlign w:val="bottom"/>
          </w:tcPr>
          <w:p w14:paraId="7C83D8CD" w14:textId="77777777" w:rsidR="003F0EEA" w:rsidRDefault="00FB7D0B">
            <w:pPr>
              <w:jc w:val="right"/>
              <w:rPr>
                <w:rFonts w:ascii="Arial" w:eastAsia="Arial" w:hAnsi="Arial" w:cs="Arial"/>
                <w:color w:val="000000"/>
                <w:sz w:val="16"/>
              </w:rPr>
            </w:pPr>
            <w:r>
              <w:rPr>
                <w:rFonts w:ascii="Arial" w:eastAsia="Arial" w:hAnsi="Arial" w:cs="Arial"/>
                <w:color w:val="000000"/>
                <w:sz w:val="16"/>
              </w:rPr>
              <w:t xml:space="preserve"> - </w:t>
            </w:r>
          </w:p>
        </w:tc>
      </w:tr>
      <w:tr w:rsidR="00724034" w14:paraId="0FCFEF2B" w14:textId="77777777">
        <w:trPr>
          <w:trHeight w:val="225"/>
        </w:trPr>
        <w:tc>
          <w:tcPr>
            <w:tcW w:w="300" w:type="dxa"/>
            <w:tcBorders>
              <w:top w:val="nil"/>
              <w:left w:val="nil"/>
              <w:bottom w:val="nil"/>
              <w:right w:val="nil"/>
              <w:tl2br w:val="nil"/>
              <w:tr2bl w:val="nil"/>
            </w:tcBorders>
            <w:shd w:val="clear" w:color="auto" w:fill="FFFFFF"/>
            <w:tcMar>
              <w:left w:w="101" w:type="dxa"/>
              <w:right w:w="101" w:type="dxa"/>
            </w:tcMar>
            <w:vAlign w:val="bottom"/>
          </w:tcPr>
          <w:p w14:paraId="35E5962B" w14:textId="77777777" w:rsidR="003F0EEA" w:rsidRDefault="003F0EEA">
            <w:pPr>
              <w:rPr>
                <w:rFonts w:ascii="Arial" w:eastAsia="Arial" w:hAnsi="Arial" w:cs="Arial"/>
                <w:color w:val="000000"/>
                <w:sz w:val="16"/>
              </w:rPr>
            </w:pPr>
          </w:p>
        </w:tc>
        <w:tc>
          <w:tcPr>
            <w:tcW w:w="5400" w:type="dxa"/>
            <w:tcBorders>
              <w:top w:val="nil"/>
              <w:left w:val="nil"/>
              <w:bottom w:val="nil"/>
              <w:right w:val="nil"/>
              <w:tl2br w:val="nil"/>
              <w:tr2bl w:val="nil"/>
            </w:tcBorders>
            <w:shd w:val="clear" w:color="auto" w:fill="FFFFFF"/>
            <w:tcMar>
              <w:left w:w="101" w:type="dxa"/>
              <w:right w:w="101" w:type="dxa"/>
            </w:tcMar>
            <w:vAlign w:val="bottom"/>
          </w:tcPr>
          <w:p w14:paraId="43BECB09" w14:textId="77777777" w:rsidR="003F0EEA" w:rsidRDefault="00FB7D0B">
            <w:pPr>
              <w:rPr>
                <w:rFonts w:ascii="Arial" w:eastAsia="Arial" w:hAnsi="Arial" w:cs="Arial"/>
                <w:color w:val="000000"/>
                <w:sz w:val="16"/>
              </w:rPr>
            </w:pPr>
            <w:r>
              <w:rPr>
                <w:rFonts w:ascii="Arial" w:eastAsia="Arial" w:hAnsi="Arial" w:cs="Arial"/>
                <w:color w:val="000000"/>
                <w:sz w:val="16"/>
              </w:rPr>
              <w:t>Other services (Appropriation Bill No. 2)</w:t>
            </w:r>
          </w:p>
        </w:tc>
        <w:tc>
          <w:tcPr>
            <w:tcW w:w="1275" w:type="dxa"/>
            <w:tcBorders>
              <w:top w:val="nil"/>
              <w:left w:val="nil"/>
              <w:bottom w:val="nil"/>
              <w:right w:val="nil"/>
              <w:tl2br w:val="nil"/>
              <w:tr2bl w:val="nil"/>
            </w:tcBorders>
            <w:shd w:val="clear" w:color="auto" w:fill="FFFFFF"/>
            <w:tcMar>
              <w:left w:w="101" w:type="dxa"/>
              <w:right w:w="101" w:type="dxa"/>
            </w:tcMar>
            <w:vAlign w:val="bottom"/>
          </w:tcPr>
          <w:p w14:paraId="097FE2D4" w14:textId="77777777" w:rsidR="003F0EEA" w:rsidRDefault="00FB7D0B">
            <w:pPr>
              <w:jc w:val="right"/>
              <w:rPr>
                <w:rFonts w:ascii="Arial" w:eastAsia="Arial" w:hAnsi="Arial" w:cs="Arial"/>
                <w:color w:val="000000"/>
                <w:sz w:val="12"/>
                <w:vertAlign w:val="superscript"/>
              </w:rPr>
            </w:pPr>
            <w:r>
              <w:rPr>
                <w:rFonts w:ascii="Arial" w:eastAsia="Arial" w:hAnsi="Arial" w:cs="Arial"/>
                <w:color w:val="000000"/>
                <w:sz w:val="16"/>
              </w:rPr>
              <w:t xml:space="preserve"> - </w:t>
            </w:r>
          </w:p>
        </w:tc>
        <w:tc>
          <w:tcPr>
            <w:tcW w:w="1275" w:type="dxa"/>
            <w:tcBorders>
              <w:top w:val="nil"/>
              <w:left w:val="nil"/>
              <w:bottom w:val="nil"/>
              <w:right w:val="nil"/>
              <w:tl2br w:val="nil"/>
              <w:tr2bl w:val="nil"/>
            </w:tcBorders>
            <w:shd w:val="clear" w:color="auto" w:fill="FFFF00"/>
            <w:tcMar>
              <w:left w:w="101" w:type="dxa"/>
              <w:right w:w="101" w:type="dxa"/>
            </w:tcMar>
            <w:vAlign w:val="bottom"/>
          </w:tcPr>
          <w:p w14:paraId="0A2D883B" w14:textId="77777777" w:rsidR="003F0EEA" w:rsidRDefault="00FB7D0B">
            <w:pPr>
              <w:jc w:val="right"/>
              <w:rPr>
                <w:rFonts w:ascii="Arial" w:eastAsia="Arial" w:hAnsi="Arial" w:cs="Arial"/>
                <w:color w:val="000000"/>
                <w:sz w:val="16"/>
              </w:rPr>
            </w:pPr>
            <w:r>
              <w:rPr>
                <w:rFonts w:ascii="Arial" w:eastAsia="Arial" w:hAnsi="Arial" w:cs="Arial"/>
                <w:color w:val="000000"/>
                <w:sz w:val="16"/>
              </w:rPr>
              <w:t xml:space="preserve"> - </w:t>
            </w:r>
          </w:p>
        </w:tc>
      </w:tr>
      <w:tr w:rsidR="00724034" w14:paraId="56A7E163" w14:textId="77777777">
        <w:trPr>
          <w:trHeight w:val="225"/>
        </w:trPr>
        <w:tc>
          <w:tcPr>
            <w:tcW w:w="300" w:type="dxa"/>
            <w:tcBorders>
              <w:top w:val="nil"/>
              <w:left w:val="nil"/>
              <w:bottom w:val="nil"/>
              <w:right w:val="nil"/>
              <w:tl2br w:val="nil"/>
              <w:tr2bl w:val="nil"/>
            </w:tcBorders>
            <w:shd w:val="clear" w:color="auto" w:fill="FFFFFF"/>
            <w:tcMar>
              <w:left w:w="101" w:type="dxa"/>
              <w:right w:w="101" w:type="dxa"/>
            </w:tcMar>
            <w:vAlign w:val="bottom"/>
          </w:tcPr>
          <w:p w14:paraId="3716ECC9" w14:textId="77777777" w:rsidR="003F0EEA" w:rsidRDefault="003F0EEA">
            <w:pPr>
              <w:rPr>
                <w:rFonts w:ascii="Arial" w:eastAsia="Arial" w:hAnsi="Arial" w:cs="Arial"/>
                <w:color w:val="000000"/>
                <w:sz w:val="16"/>
              </w:rPr>
            </w:pPr>
          </w:p>
        </w:tc>
        <w:tc>
          <w:tcPr>
            <w:tcW w:w="5400" w:type="dxa"/>
            <w:tcBorders>
              <w:top w:val="nil"/>
              <w:left w:val="nil"/>
              <w:bottom w:val="nil"/>
              <w:right w:val="nil"/>
              <w:tl2br w:val="nil"/>
              <w:tr2bl w:val="nil"/>
            </w:tcBorders>
            <w:shd w:val="clear" w:color="auto" w:fill="FFFFFF"/>
            <w:tcMar>
              <w:left w:w="101" w:type="dxa"/>
              <w:right w:w="101" w:type="dxa"/>
            </w:tcMar>
            <w:vAlign w:val="bottom"/>
          </w:tcPr>
          <w:p w14:paraId="05869C49" w14:textId="77777777" w:rsidR="003F0EEA" w:rsidRDefault="00FB7D0B">
            <w:pPr>
              <w:rPr>
                <w:rFonts w:ascii="Arial" w:eastAsia="Arial" w:hAnsi="Arial" w:cs="Arial"/>
                <w:color w:val="000000"/>
                <w:sz w:val="16"/>
              </w:rPr>
            </w:pPr>
            <w:r>
              <w:rPr>
                <w:rFonts w:ascii="Arial" w:eastAsia="Arial" w:hAnsi="Arial" w:cs="Arial"/>
                <w:color w:val="000000"/>
                <w:sz w:val="16"/>
              </w:rPr>
              <w:t>Expenses not requiring appropriation in the Budget year</w:t>
            </w:r>
          </w:p>
        </w:tc>
        <w:tc>
          <w:tcPr>
            <w:tcW w:w="1275" w:type="dxa"/>
            <w:tcBorders>
              <w:top w:val="nil"/>
              <w:left w:val="nil"/>
              <w:bottom w:val="nil"/>
              <w:right w:val="nil"/>
              <w:tl2br w:val="nil"/>
              <w:tr2bl w:val="nil"/>
            </w:tcBorders>
            <w:shd w:val="clear" w:color="auto" w:fill="FFFFFF"/>
            <w:tcMar>
              <w:left w:w="101" w:type="dxa"/>
              <w:right w:w="101" w:type="dxa"/>
            </w:tcMar>
            <w:vAlign w:val="bottom"/>
          </w:tcPr>
          <w:p w14:paraId="18265804" w14:textId="77777777" w:rsidR="003F0EEA" w:rsidRDefault="00FB7D0B">
            <w:pPr>
              <w:jc w:val="right"/>
              <w:rPr>
                <w:rFonts w:ascii="Arial" w:eastAsia="Arial" w:hAnsi="Arial" w:cs="Arial"/>
                <w:color w:val="000000"/>
                <w:sz w:val="12"/>
                <w:vertAlign w:val="superscript"/>
              </w:rPr>
            </w:pPr>
            <w:r>
              <w:rPr>
                <w:rFonts w:ascii="Arial" w:eastAsia="Arial" w:hAnsi="Arial" w:cs="Arial"/>
                <w:color w:val="000000"/>
                <w:sz w:val="16"/>
              </w:rPr>
              <w:t xml:space="preserve"> 77,900 </w:t>
            </w:r>
          </w:p>
        </w:tc>
        <w:tc>
          <w:tcPr>
            <w:tcW w:w="1275" w:type="dxa"/>
            <w:tcBorders>
              <w:top w:val="nil"/>
              <w:left w:val="nil"/>
              <w:bottom w:val="nil"/>
              <w:right w:val="nil"/>
              <w:tl2br w:val="nil"/>
              <w:tr2bl w:val="nil"/>
            </w:tcBorders>
            <w:shd w:val="clear" w:color="auto" w:fill="FFFF00"/>
            <w:tcMar>
              <w:left w:w="101" w:type="dxa"/>
              <w:right w:w="101" w:type="dxa"/>
            </w:tcMar>
            <w:vAlign w:val="bottom"/>
          </w:tcPr>
          <w:p w14:paraId="120B4D79" w14:textId="77777777" w:rsidR="003F0EEA" w:rsidRDefault="00FB7D0B">
            <w:pPr>
              <w:jc w:val="right"/>
              <w:rPr>
                <w:rFonts w:ascii="Arial" w:eastAsia="Arial" w:hAnsi="Arial" w:cs="Arial"/>
                <w:color w:val="000000"/>
                <w:sz w:val="16"/>
              </w:rPr>
            </w:pPr>
            <w:r>
              <w:rPr>
                <w:rFonts w:ascii="Arial" w:eastAsia="Arial" w:hAnsi="Arial" w:cs="Arial"/>
                <w:color w:val="000000"/>
                <w:sz w:val="16"/>
              </w:rPr>
              <w:t xml:space="preserve"> 133,800 </w:t>
            </w:r>
          </w:p>
        </w:tc>
      </w:tr>
      <w:tr w:rsidR="00FB7D0B" w14:paraId="5DB7644A" w14:textId="77777777" w:rsidTr="00FB7D0B">
        <w:trPr>
          <w:trHeight w:val="225"/>
        </w:trPr>
        <w:tc>
          <w:tcPr>
            <w:tcW w:w="5700" w:type="dxa"/>
            <w:gridSpan w:val="2"/>
            <w:tcBorders>
              <w:top w:val="nil"/>
              <w:left w:val="nil"/>
              <w:bottom w:val="nil"/>
              <w:right w:val="nil"/>
              <w:tl2br w:val="nil"/>
              <w:tr2bl w:val="nil"/>
            </w:tcBorders>
            <w:shd w:val="clear" w:color="auto" w:fill="FFFFFF"/>
            <w:tcMar>
              <w:left w:w="101" w:type="dxa"/>
              <w:right w:w="101" w:type="dxa"/>
            </w:tcMar>
            <w:vAlign w:val="bottom"/>
          </w:tcPr>
          <w:p w14:paraId="017E8948" w14:textId="77777777" w:rsidR="003F0EEA" w:rsidRDefault="00FB7D0B">
            <w:pPr>
              <w:rPr>
                <w:rFonts w:ascii="Arial" w:eastAsia="Arial" w:hAnsi="Arial" w:cs="Arial"/>
                <w:color w:val="000000"/>
                <w:sz w:val="16"/>
              </w:rPr>
            </w:pPr>
            <w:r>
              <w:rPr>
                <w:rFonts w:ascii="Arial" w:eastAsia="Arial" w:hAnsi="Arial" w:cs="Arial"/>
                <w:color w:val="000000"/>
                <w:sz w:val="16"/>
              </w:rPr>
              <w:t>Departmental Expenses</w:t>
            </w:r>
          </w:p>
        </w:tc>
        <w:tc>
          <w:tcPr>
            <w:tcW w:w="1275" w:type="dxa"/>
            <w:tcBorders>
              <w:top w:val="nil"/>
              <w:left w:val="nil"/>
              <w:bottom w:val="nil"/>
              <w:right w:val="nil"/>
              <w:tl2br w:val="nil"/>
              <w:tr2bl w:val="nil"/>
            </w:tcBorders>
            <w:shd w:val="clear" w:color="auto" w:fill="FFFFFF"/>
            <w:tcMar>
              <w:left w:w="101" w:type="dxa"/>
              <w:right w:w="101" w:type="dxa"/>
            </w:tcMar>
            <w:vAlign w:val="bottom"/>
          </w:tcPr>
          <w:p w14:paraId="6E653B5D" w14:textId="77777777" w:rsidR="003F0EEA" w:rsidRDefault="003F0EEA">
            <w:pPr>
              <w:jc w:val="right"/>
              <w:rPr>
                <w:rFonts w:ascii="Arial" w:eastAsia="Arial" w:hAnsi="Arial" w:cs="Arial"/>
                <w:color w:val="000000"/>
                <w:sz w:val="12"/>
                <w:vertAlign w:val="superscript"/>
              </w:rPr>
            </w:pPr>
          </w:p>
        </w:tc>
        <w:tc>
          <w:tcPr>
            <w:tcW w:w="1275" w:type="dxa"/>
            <w:tcBorders>
              <w:top w:val="nil"/>
              <w:left w:val="nil"/>
              <w:bottom w:val="nil"/>
              <w:right w:val="nil"/>
              <w:tl2br w:val="nil"/>
              <w:tr2bl w:val="nil"/>
            </w:tcBorders>
            <w:shd w:val="clear" w:color="auto" w:fill="FFFF00"/>
            <w:tcMar>
              <w:left w:w="101" w:type="dxa"/>
              <w:right w:w="101" w:type="dxa"/>
            </w:tcMar>
            <w:vAlign w:val="bottom"/>
          </w:tcPr>
          <w:p w14:paraId="3CA33F12" w14:textId="77777777" w:rsidR="003F0EEA" w:rsidRDefault="003F0EEA">
            <w:pPr>
              <w:jc w:val="right"/>
              <w:rPr>
                <w:rFonts w:ascii="Arial" w:eastAsia="Arial" w:hAnsi="Arial" w:cs="Arial"/>
                <w:color w:val="000000"/>
                <w:sz w:val="16"/>
                <w:vertAlign w:val="superscript"/>
              </w:rPr>
            </w:pPr>
          </w:p>
        </w:tc>
      </w:tr>
      <w:tr w:rsidR="00724034" w14:paraId="4FC89FA7" w14:textId="77777777">
        <w:trPr>
          <w:trHeight w:val="225"/>
        </w:trPr>
        <w:tc>
          <w:tcPr>
            <w:tcW w:w="300" w:type="dxa"/>
            <w:tcBorders>
              <w:top w:val="nil"/>
              <w:left w:val="nil"/>
              <w:bottom w:val="nil"/>
              <w:right w:val="nil"/>
              <w:tl2br w:val="nil"/>
              <w:tr2bl w:val="nil"/>
            </w:tcBorders>
            <w:shd w:val="clear" w:color="auto" w:fill="FFFFFF"/>
            <w:tcMar>
              <w:left w:w="101" w:type="dxa"/>
              <w:right w:w="101" w:type="dxa"/>
            </w:tcMar>
            <w:vAlign w:val="bottom"/>
          </w:tcPr>
          <w:p w14:paraId="5F8F410C" w14:textId="77777777" w:rsidR="003F0EEA" w:rsidRDefault="003F0EEA">
            <w:pPr>
              <w:rPr>
                <w:rFonts w:ascii="Arial" w:eastAsia="Arial" w:hAnsi="Arial" w:cs="Arial"/>
                <w:color w:val="000000"/>
                <w:sz w:val="16"/>
                <w:vertAlign w:val="superscript"/>
              </w:rPr>
            </w:pPr>
          </w:p>
        </w:tc>
        <w:tc>
          <w:tcPr>
            <w:tcW w:w="5400" w:type="dxa"/>
            <w:tcBorders>
              <w:top w:val="nil"/>
              <w:left w:val="nil"/>
              <w:bottom w:val="nil"/>
              <w:right w:val="nil"/>
              <w:tl2br w:val="nil"/>
              <w:tr2bl w:val="nil"/>
            </w:tcBorders>
            <w:shd w:val="clear" w:color="auto" w:fill="FFFFFF"/>
            <w:tcMar>
              <w:left w:w="101" w:type="dxa"/>
              <w:right w:w="101" w:type="dxa"/>
            </w:tcMar>
            <w:vAlign w:val="bottom"/>
          </w:tcPr>
          <w:p w14:paraId="15BF6538" w14:textId="77777777" w:rsidR="003F0EEA" w:rsidRDefault="00FB7D0B">
            <w:pPr>
              <w:rPr>
                <w:rFonts w:ascii="Arial" w:eastAsia="Arial" w:hAnsi="Arial" w:cs="Arial"/>
                <w:color w:val="000000"/>
                <w:sz w:val="16"/>
                <w:vertAlign w:val="superscript"/>
              </w:rPr>
            </w:pPr>
            <w:r>
              <w:rPr>
                <w:rFonts w:ascii="Arial" w:eastAsia="Arial" w:hAnsi="Arial" w:cs="Arial"/>
                <w:color w:val="000000"/>
                <w:sz w:val="16"/>
              </w:rPr>
              <w:t>Departmental appropriation</w:t>
            </w:r>
            <w:r>
              <w:rPr>
                <w:rFonts w:ascii="Arial" w:eastAsia="Arial" w:hAnsi="Arial" w:cs="Arial"/>
                <w:color w:val="000000"/>
                <w:sz w:val="12"/>
                <w:vertAlign w:val="superscript"/>
              </w:rPr>
              <w:t>1 </w:t>
            </w:r>
          </w:p>
        </w:tc>
        <w:tc>
          <w:tcPr>
            <w:tcW w:w="1275" w:type="dxa"/>
            <w:tcBorders>
              <w:top w:val="nil"/>
              <w:left w:val="nil"/>
              <w:bottom w:val="nil"/>
              <w:right w:val="nil"/>
              <w:tl2br w:val="nil"/>
              <w:tr2bl w:val="nil"/>
            </w:tcBorders>
            <w:shd w:val="clear" w:color="auto" w:fill="FFFFFF"/>
            <w:tcMar>
              <w:left w:w="101" w:type="dxa"/>
              <w:right w:w="101" w:type="dxa"/>
            </w:tcMar>
            <w:vAlign w:val="bottom"/>
          </w:tcPr>
          <w:p w14:paraId="6A9AD27C" w14:textId="77777777" w:rsidR="003F0EEA" w:rsidRDefault="00FB7D0B">
            <w:pPr>
              <w:jc w:val="right"/>
              <w:rPr>
                <w:rFonts w:ascii="Arial" w:eastAsia="Arial" w:hAnsi="Arial" w:cs="Arial"/>
                <w:color w:val="000000"/>
                <w:sz w:val="12"/>
                <w:vertAlign w:val="superscript"/>
              </w:rPr>
            </w:pPr>
            <w:r>
              <w:rPr>
                <w:rFonts w:ascii="Arial" w:eastAsia="Arial" w:hAnsi="Arial" w:cs="Arial"/>
                <w:color w:val="000000"/>
                <w:sz w:val="16"/>
              </w:rPr>
              <w:t xml:space="preserve"> - </w:t>
            </w:r>
          </w:p>
        </w:tc>
        <w:tc>
          <w:tcPr>
            <w:tcW w:w="1275" w:type="dxa"/>
            <w:tcBorders>
              <w:top w:val="nil"/>
              <w:left w:val="nil"/>
              <w:bottom w:val="nil"/>
              <w:right w:val="nil"/>
              <w:tl2br w:val="nil"/>
              <w:tr2bl w:val="nil"/>
            </w:tcBorders>
            <w:shd w:val="clear" w:color="auto" w:fill="FFFF00"/>
            <w:tcMar>
              <w:left w:w="101" w:type="dxa"/>
              <w:right w:w="101" w:type="dxa"/>
            </w:tcMar>
            <w:vAlign w:val="bottom"/>
          </w:tcPr>
          <w:p w14:paraId="5089C147" w14:textId="77777777" w:rsidR="003F0EEA" w:rsidRDefault="00FB7D0B">
            <w:pPr>
              <w:jc w:val="right"/>
              <w:rPr>
                <w:rFonts w:ascii="Arial" w:eastAsia="Arial" w:hAnsi="Arial" w:cs="Arial"/>
                <w:color w:val="000000"/>
                <w:sz w:val="16"/>
              </w:rPr>
            </w:pPr>
            <w:r>
              <w:rPr>
                <w:rFonts w:ascii="Arial" w:eastAsia="Arial" w:hAnsi="Arial" w:cs="Arial"/>
                <w:color w:val="000000"/>
                <w:sz w:val="16"/>
              </w:rPr>
              <w:t xml:space="preserve"> - </w:t>
            </w:r>
          </w:p>
        </w:tc>
      </w:tr>
      <w:tr w:rsidR="00724034" w14:paraId="3A847796" w14:textId="77777777">
        <w:trPr>
          <w:trHeight w:val="225"/>
        </w:trPr>
        <w:tc>
          <w:tcPr>
            <w:tcW w:w="300" w:type="dxa"/>
            <w:tcBorders>
              <w:top w:val="nil"/>
              <w:left w:val="nil"/>
              <w:bottom w:val="nil"/>
              <w:right w:val="nil"/>
              <w:tl2br w:val="nil"/>
              <w:tr2bl w:val="nil"/>
            </w:tcBorders>
            <w:shd w:val="clear" w:color="auto" w:fill="FFFFFF"/>
            <w:tcMar>
              <w:left w:w="101" w:type="dxa"/>
              <w:right w:w="101" w:type="dxa"/>
            </w:tcMar>
            <w:vAlign w:val="bottom"/>
          </w:tcPr>
          <w:p w14:paraId="5EA1A1DB" w14:textId="77777777" w:rsidR="003F0EEA" w:rsidRDefault="003F0EEA">
            <w:pPr>
              <w:rPr>
                <w:rFonts w:ascii="Arial" w:eastAsia="Arial" w:hAnsi="Arial" w:cs="Arial"/>
                <w:color w:val="000000"/>
                <w:sz w:val="16"/>
              </w:rPr>
            </w:pPr>
          </w:p>
        </w:tc>
        <w:tc>
          <w:tcPr>
            <w:tcW w:w="5400" w:type="dxa"/>
            <w:tcBorders>
              <w:top w:val="nil"/>
              <w:left w:val="nil"/>
              <w:bottom w:val="nil"/>
              <w:right w:val="nil"/>
              <w:tl2br w:val="nil"/>
              <w:tr2bl w:val="nil"/>
            </w:tcBorders>
            <w:shd w:val="clear" w:color="auto" w:fill="FFFFFF"/>
            <w:tcMar>
              <w:left w:w="101" w:type="dxa"/>
              <w:right w:w="101" w:type="dxa"/>
            </w:tcMar>
            <w:vAlign w:val="bottom"/>
          </w:tcPr>
          <w:p w14:paraId="79CB46BE" w14:textId="77777777" w:rsidR="003F0EEA" w:rsidRDefault="00FB7D0B">
            <w:pPr>
              <w:rPr>
                <w:rFonts w:ascii="Arial" w:eastAsia="Arial" w:hAnsi="Arial" w:cs="Arial"/>
                <w:color w:val="000000"/>
                <w:sz w:val="20"/>
              </w:rPr>
            </w:pPr>
            <w:r>
              <w:rPr>
                <w:rFonts w:ascii="Arial" w:eastAsia="Arial" w:hAnsi="Arial" w:cs="Arial"/>
                <w:color w:val="000000"/>
                <w:sz w:val="16"/>
              </w:rPr>
              <w:t>Expenses not requiring appropriation in the Budget year</w:t>
            </w:r>
            <w:r>
              <w:rPr>
                <w:rFonts w:ascii="Arial" w:eastAsia="Arial" w:hAnsi="Arial" w:cs="Arial"/>
                <w:color w:val="000000"/>
                <w:sz w:val="12"/>
                <w:vertAlign w:val="superscript"/>
              </w:rPr>
              <w:t>2 </w:t>
            </w:r>
          </w:p>
        </w:tc>
        <w:tc>
          <w:tcPr>
            <w:tcW w:w="1275"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0665CE5A" w14:textId="77777777" w:rsidR="003F0EEA" w:rsidRDefault="00FB7D0B">
            <w:pPr>
              <w:jc w:val="right"/>
              <w:rPr>
                <w:rFonts w:ascii="Arial" w:eastAsia="Arial" w:hAnsi="Arial" w:cs="Arial"/>
                <w:color w:val="000000"/>
                <w:sz w:val="12"/>
                <w:vertAlign w:val="superscript"/>
              </w:rPr>
            </w:pPr>
            <w:r>
              <w:rPr>
                <w:rFonts w:ascii="Arial" w:eastAsia="Arial" w:hAnsi="Arial" w:cs="Arial"/>
                <w:color w:val="000000"/>
                <w:sz w:val="16"/>
              </w:rPr>
              <w:t xml:space="preserve"> - </w:t>
            </w:r>
          </w:p>
        </w:tc>
        <w:tc>
          <w:tcPr>
            <w:tcW w:w="1275" w:type="dxa"/>
            <w:tcBorders>
              <w:top w:val="nil"/>
              <w:left w:val="nil"/>
              <w:bottom w:val="single" w:sz="6" w:space="0" w:color="000000"/>
              <w:right w:val="nil"/>
              <w:tl2br w:val="nil"/>
              <w:tr2bl w:val="nil"/>
            </w:tcBorders>
            <w:shd w:val="clear" w:color="auto" w:fill="FFFF00"/>
            <w:tcMar>
              <w:left w:w="101" w:type="dxa"/>
              <w:right w:w="101" w:type="dxa"/>
            </w:tcMar>
            <w:vAlign w:val="bottom"/>
          </w:tcPr>
          <w:p w14:paraId="0AAA18C2" w14:textId="77777777" w:rsidR="003F0EEA" w:rsidRDefault="00FB7D0B">
            <w:pPr>
              <w:jc w:val="right"/>
              <w:rPr>
                <w:rFonts w:ascii="Arial" w:eastAsia="Arial" w:hAnsi="Arial" w:cs="Arial"/>
                <w:color w:val="000000"/>
                <w:sz w:val="16"/>
              </w:rPr>
            </w:pPr>
            <w:r>
              <w:rPr>
                <w:rFonts w:ascii="Arial" w:eastAsia="Arial" w:hAnsi="Arial" w:cs="Arial"/>
                <w:color w:val="000000"/>
                <w:sz w:val="16"/>
              </w:rPr>
              <w:t xml:space="preserve"> - </w:t>
            </w:r>
          </w:p>
        </w:tc>
      </w:tr>
      <w:tr w:rsidR="00724034" w14:paraId="5C6788D9" w14:textId="77777777">
        <w:trPr>
          <w:trHeight w:val="225"/>
        </w:trPr>
        <w:tc>
          <w:tcPr>
            <w:tcW w:w="300" w:type="dxa"/>
            <w:tcBorders>
              <w:top w:val="nil"/>
              <w:left w:val="nil"/>
              <w:bottom w:val="nil"/>
              <w:right w:val="nil"/>
              <w:tl2br w:val="nil"/>
              <w:tr2bl w:val="nil"/>
            </w:tcBorders>
            <w:shd w:val="clear" w:color="auto" w:fill="FFFFFF"/>
            <w:tcMar>
              <w:left w:w="101" w:type="dxa"/>
              <w:right w:w="101" w:type="dxa"/>
            </w:tcMar>
            <w:vAlign w:val="bottom"/>
          </w:tcPr>
          <w:p w14:paraId="06EC764F" w14:textId="77777777" w:rsidR="003F0EEA" w:rsidRDefault="003F0EEA">
            <w:pPr>
              <w:rPr>
                <w:rFonts w:ascii="Arial" w:eastAsia="Arial" w:hAnsi="Arial" w:cs="Arial"/>
                <w:color w:val="000000"/>
                <w:sz w:val="16"/>
              </w:rPr>
            </w:pPr>
          </w:p>
        </w:tc>
        <w:tc>
          <w:tcPr>
            <w:tcW w:w="5400" w:type="dxa"/>
            <w:tcBorders>
              <w:top w:val="nil"/>
              <w:left w:val="nil"/>
              <w:bottom w:val="nil"/>
              <w:right w:val="nil"/>
              <w:tl2br w:val="nil"/>
              <w:tr2bl w:val="nil"/>
            </w:tcBorders>
            <w:shd w:val="clear" w:color="auto" w:fill="FFFFFF"/>
            <w:tcMar>
              <w:left w:w="101" w:type="dxa"/>
              <w:right w:w="101" w:type="dxa"/>
            </w:tcMar>
            <w:vAlign w:val="bottom"/>
          </w:tcPr>
          <w:p w14:paraId="38836CBF" w14:textId="77777777" w:rsidR="003F0EEA" w:rsidRDefault="00FB7D0B">
            <w:pPr>
              <w:rPr>
                <w:rFonts w:ascii="Arial" w:eastAsia="Arial" w:hAnsi="Arial" w:cs="Arial"/>
                <w:color w:val="000000"/>
                <w:sz w:val="20"/>
              </w:rPr>
            </w:pPr>
            <w:r>
              <w:rPr>
                <w:rFonts w:ascii="Arial" w:eastAsia="Arial" w:hAnsi="Arial" w:cs="Arial"/>
                <w:b/>
                <w:color w:val="000000"/>
                <w:sz w:val="16"/>
              </w:rPr>
              <w:t>Total for Programme 1.7</w:t>
            </w:r>
          </w:p>
        </w:tc>
        <w:tc>
          <w:tcPr>
            <w:tcW w:w="1275"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24EFB022" w14:textId="77777777" w:rsidR="003F0EEA" w:rsidRDefault="00FB7D0B">
            <w:pPr>
              <w:jc w:val="right"/>
              <w:rPr>
                <w:rFonts w:ascii="Arial" w:eastAsia="Arial" w:hAnsi="Arial" w:cs="Arial"/>
                <w:color w:val="000000"/>
                <w:sz w:val="12"/>
                <w:vertAlign w:val="superscript"/>
              </w:rPr>
            </w:pPr>
            <w:r>
              <w:rPr>
                <w:rFonts w:ascii="Arial" w:eastAsia="Arial" w:hAnsi="Arial" w:cs="Arial"/>
                <w:b/>
                <w:color w:val="000000"/>
                <w:sz w:val="16"/>
              </w:rPr>
              <w:t xml:space="preserve"> 77,900 </w:t>
            </w:r>
          </w:p>
        </w:tc>
        <w:tc>
          <w:tcPr>
            <w:tcW w:w="1275" w:type="dxa"/>
            <w:tcBorders>
              <w:top w:val="single" w:sz="6" w:space="0" w:color="000000"/>
              <w:left w:val="nil"/>
              <w:bottom w:val="single" w:sz="6" w:space="0" w:color="000000"/>
              <w:right w:val="nil"/>
              <w:tl2br w:val="nil"/>
              <w:tr2bl w:val="nil"/>
            </w:tcBorders>
            <w:shd w:val="clear" w:color="auto" w:fill="FFFF00"/>
            <w:tcMar>
              <w:left w:w="101" w:type="dxa"/>
              <w:right w:w="101" w:type="dxa"/>
            </w:tcMar>
            <w:vAlign w:val="bottom"/>
          </w:tcPr>
          <w:p w14:paraId="1A44CC8A" w14:textId="77777777" w:rsidR="003F0EEA" w:rsidRDefault="00FB7D0B">
            <w:pPr>
              <w:jc w:val="right"/>
              <w:rPr>
                <w:rFonts w:ascii="Arial" w:eastAsia="Arial" w:hAnsi="Arial" w:cs="Arial"/>
                <w:b/>
                <w:color w:val="000000"/>
                <w:sz w:val="16"/>
              </w:rPr>
            </w:pPr>
            <w:r>
              <w:rPr>
                <w:rFonts w:ascii="Arial" w:eastAsia="Arial" w:hAnsi="Arial" w:cs="Arial"/>
                <w:b/>
                <w:color w:val="000000"/>
                <w:sz w:val="16"/>
              </w:rPr>
              <w:t xml:space="preserve"> 133,800 </w:t>
            </w:r>
          </w:p>
        </w:tc>
      </w:tr>
      <w:tr w:rsidR="00724034" w14:paraId="515D0264" w14:textId="77777777">
        <w:trPr>
          <w:trHeight w:val="90"/>
        </w:trPr>
        <w:tc>
          <w:tcPr>
            <w:tcW w:w="300" w:type="dxa"/>
            <w:tcBorders>
              <w:top w:val="nil"/>
              <w:left w:val="nil"/>
              <w:bottom w:val="nil"/>
              <w:right w:val="nil"/>
              <w:tl2br w:val="nil"/>
              <w:tr2bl w:val="nil"/>
            </w:tcBorders>
            <w:shd w:val="clear" w:color="auto" w:fill="FFFFFF"/>
            <w:tcMar>
              <w:left w:w="101" w:type="dxa"/>
              <w:right w:w="101" w:type="dxa"/>
            </w:tcMar>
            <w:vAlign w:val="bottom"/>
          </w:tcPr>
          <w:p w14:paraId="0AF9C7F3" w14:textId="77777777" w:rsidR="003F0EEA" w:rsidRDefault="003F0EEA">
            <w:pPr>
              <w:rPr>
                <w:rFonts w:ascii="Arial" w:eastAsia="Arial" w:hAnsi="Arial" w:cs="Arial"/>
                <w:b/>
                <w:color w:val="000000"/>
                <w:sz w:val="16"/>
              </w:rPr>
            </w:pPr>
          </w:p>
        </w:tc>
        <w:tc>
          <w:tcPr>
            <w:tcW w:w="5400" w:type="dxa"/>
            <w:tcBorders>
              <w:top w:val="nil"/>
              <w:left w:val="nil"/>
              <w:bottom w:val="nil"/>
              <w:right w:val="nil"/>
              <w:tl2br w:val="nil"/>
              <w:tr2bl w:val="nil"/>
            </w:tcBorders>
            <w:shd w:val="clear" w:color="auto" w:fill="FFFFFF"/>
            <w:tcMar>
              <w:left w:w="101" w:type="dxa"/>
              <w:right w:w="101" w:type="dxa"/>
            </w:tcMar>
            <w:vAlign w:val="bottom"/>
          </w:tcPr>
          <w:p w14:paraId="2B7863F6" w14:textId="77777777" w:rsidR="003F0EEA" w:rsidRDefault="003F0EEA">
            <w:pPr>
              <w:rPr>
                <w:rFonts w:ascii="Arial" w:eastAsia="Arial" w:hAnsi="Arial" w:cs="Arial"/>
                <w:color w:val="000000"/>
                <w:sz w:val="16"/>
              </w:rPr>
            </w:pPr>
          </w:p>
        </w:tc>
        <w:tc>
          <w:tcPr>
            <w:tcW w:w="127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449F8E10" w14:textId="77777777" w:rsidR="003F0EEA" w:rsidRDefault="003F0EEA">
            <w:pPr>
              <w:jc w:val="right"/>
              <w:rPr>
                <w:rFonts w:ascii="Arial" w:eastAsia="Arial" w:hAnsi="Arial" w:cs="Arial"/>
                <w:color w:val="000000"/>
                <w:sz w:val="12"/>
                <w:vertAlign w:val="superscript"/>
              </w:rPr>
            </w:pPr>
          </w:p>
        </w:tc>
        <w:tc>
          <w:tcPr>
            <w:tcW w:w="1275" w:type="dxa"/>
            <w:tcBorders>
              <w:top w:val="single" w:sz="6" w:space="0" w:color="000000"/>
              <w:left w:val="nil"/>
              <w:bottom w:val="nil"/>
              <w:right w:val="nil"/>
              <w:tl2br w:val="nil"/>
              <w:tr2bl w:val="nil"/>
            </w:tcBorders>
            <w:shd w:val="clear" w:color="auto" w:fill="FFFF00"/>
            <w:tcMar>
              <w:left w:w="101" w:type="dxa"/>
              <w:right w:w="101" w:type="dxa"/>
            </w:tcMar>
            <w:vAlign w:val="bottom"/>
          </w:tcPr>
          <w:p w14:paraId="3819D068" w14:textId="77777777" w:rsidR="003F0EEA" w:rsidRDefault="003F0EEA">
            <w:pPr>
              <w:jc w:val="right"/>
              <w:rPr>
                <w:rFonts w:ascii="Arial" w:eastAsia="Arial" w:hAnsi="Arial" w:cs="Arial"/>
                <w:color w:val="000000"/>
                <w:sz w:val="16"/>
                <w:vertAlign w:val="superscript"/>
              </w:rPr>
            </w:pPr>
          </w:p>
        </w:tc>
      </w:tr>
      <w:tr w:rsidR="00FB7D0B" w14:paraId="18BED8E7" w14:textId="77777777" w:rsidTr="00FB7D0B">
        <w:trPr>
          <w:trHeight w:val="225"/>
        </w:trPr>
        <w:tc>
          <w:tcPr>
            <w:tcW w:w="5700" w:type="dxa"/>
            <w:gridSpan w:val="2"/>
            <w:tcBorders>
              <w:top w:val="nil"/>
              <w:left w:val="nil"/>
              <w:bottom w:val="nil"/>
              <w:right w:val="nil"/>
              <w:tl2br w:val="nil"/>
              <w:tr2bl w:val="nil"/>
            </w:tcBorders>
            <w:shd w:val="clear" w:color="auto" w:fill="FFFFFF"/>
            <w:tcMar>
              <w:left w:w="101" w:type="dxa"/>
              <w:right w:w="101" w:type="dxa"/>
            </w:tcMar>
            <w:vAlign w:val="bottom"/>
          </w:tcPr>
          <w:p w14:paraId="7831A3A5" w14:textId="77777777" w:rsidR="003F0EEA" w:rsidRDefault="00FB7D0B">
            <w:pPr>
              <w:rPr>
                <w:rFonts w:ascii="Arial" w:eastAsia="Arial" w:hAnsi="Arial" w:cs="Arial"/>
                <w:color w:val="000000"/>
                <w:sz w:val="16"/>
                <w:vertAlign w:val="superscript"/>
              </w:rPr>
            </w:pPr>
            <w:r>
              <w:rPr>
                <w:rFonts w:ascii="Arial" w:eastAsia="Arial" w:hAnsi="Arial" w:cs="Arial"/>
                <w:b/>
                <w:color w:val="000000"/>
                <w:sz w:val="16"/>
              </w:rPr>
              <w:t>Outcome 1 Totals by appropriation type</w:t>
            </w:r>
          </w:p>
        </w:tc>
        <w:tc>
          <w:tcPr>
            <w:tcW w:w="1275" w:type="dxa"/>
            <w:tcBorders>
              <w:top w:val="nil"/>
              <w:left w:val="nil"/>
              <w:bottom w:val="nil"/>
              <w:right w:val="nil"/>
              <w:tl2br w:val="nil"/>
              <w:tr2bl w:val="nil"/>
            </w:tcBorders>
            <w:shd w:val="clear" w:color="auto" w:fill="FFFFFF"/>
            <w:tcMar>
              <w:left w:w="101" w:type="dxa"/>
              <w:right w:w="101" w:type="dxa"/>
            </w:tcMar>
            <w:vAlign w:val="bottom"/>
          </w:tcPr>
          <w:p w14:paraId="235FF1AC" w14:textId="77777777" w:rsidR="003F0EEA" w:rsidRDefault="003F0EEA">
            <w:pPr>
              <w:jc w:val="right"/>
              <w:rPr>
                <w:rFonts w:ascii="Arial" w:eastAsia="Arial" w:hAnsi="Arial" w:cs="Arial"/>
                <w:color w:val="000000"/>
                <w:sz w:val="12"/>
                <w:vertAlign w:val="superscript"/>
              </w:rPr>
            </w:pPr>
          </w:p>
        </w:tc>
        <w:tc>
          <w:tcPr>
            <w:tcW w:w="1275" w:type="dxa"/>
            <w:tcBorders>
              <w:top w:val="nil"/>
              <w:left w:val="nil"/>
              <w:bottom w:val="nil"/>
              <w:right w:val="nil"/>
              <w:tl2br w:val="nil"/>
              <w:tr2bl w:val="nil"/>
            </w:tcBorders>
            <w:shd w:val="clear" w:color="auto" w:fill="FFFF00"/>
            <w:tcMar>
              <w:left w:w="101" w:type="dxa"/>
              <w:right w:w="101" w:type="dxa"/>
            </w:tcMar>
            <w:vAlign w:val="bottom"/>
          </w:tcPr>
          <w:p w14:paraId="32C7095C" w14:textId="77777777" w:rsidR="003F0EEA" w:rsidRDefault="003F0EEA">
            <w:pPr>
              <w:jc w:val="right"/>
              <w:rPr>
                <w:rFonts w:ascii="Arial" w:eastAsia="Arial" w:hAnsi="Arial" w:cs="Arial"/>
                <w:color w:val="000000"/>
                <w:sz w:val="16"/>
                <w:vertAlign w:val="superscript"/>
              </w:rPr>
            </w:pPr>
          </w:p>
        </w:tc>
      </w:tr>
      <w:tr w:rsidR="00FB7D0B" w14:paraId="46B66BD4" w14:textId="77777777" w:rsidTr="00FB7D0B">
        <w:trPr>
          <w:trHeight w:val="225"/>
        </w:trPr>
        <w:tc>
          <w:tcPr>
            <w:tcW w:w="5700" w:type="dxa"/>
            <w:gridSpan w:val="2"/>
            <w:tcBorders>
              <w:top w:val="nil"/>
              <w:left w:val="nil"/>
              <w:bottom w:val="nil"/>
              <w:right w:val="nil"/>
              <w:tl2br w:val="nil"/>
              <w:tr2bl w:val="nil"/>
            </w:tcBorders>
            <w:shd w:val="clear" w:color="auto" w:fill="FFFFFF"/>
            <w:tcMar>
              <w:left w:w="101" w:type="dxa"/>
              <w:right w:w="101" w:type="dxa"/>
            </w:tcMar>
            <w:vAlign w:val="bottom"/>
          </w:tcPr>
          <w:p w14:paraId="6C93DE85" w14:textId="77777777" w:rsidR="003F0EEA" w:rsidRDefault="00FB7D0B">
            <w:pPr>
              <w:rPr>
                <w:rFonts w:ascii="Arial" w:eastAsia="Arial" w:hAnsi="Arial" w:cs="Arial"/>
                <w:color w:val="000000"/>
                <w:sz w:val="16"/>
                <w:vertAlign w:val="superscript"/>
              </w:rPr>
            </w:pPr>
            <w:r>
              <w:rPr>
                <w:rFonts w:ascii="Arial" w:eastAsia="Arial" w:hAnsi="Arial" w:cs="Arial"/>
                <w:color w:val="000000"/>
                <w:sz w:val="16"/>
              </w:rPr>
              <w:t>Administered Expenses</w:t>
            </w:r>
          </w:p>
        </w:tc>
        <w:tc>
          <w:tcPr>
            <w:tcW w:w="1275" w:type="dxa"/>
            <w:tcBorders>
              <w:top w:val="nil"/>
              <w:left w:val="nil"/>
              <w:bottom w:val="nil"/>
              <w:right w:val="nil"/>
              <w:tl2br w:val="nil"/>
              <w:tr2bl w:val="nil"/>
            </w:tcBorders>
            <w:shd w:val="clear" w:color="auto" w:fill="FFFFFF"/>
            <w:tcMar>
              <w:left w:w="101" w:type="dxa"/>
              <w:right w:w="101" w:type="dxa"/>
            </w:tcMar>
            <w:vAlign w:val="bottom"/>
          </w:tcPr>
          <w:p w14:paraId="7FCC94E4" w14:textId="77777777" w:rsidR="003F0EEA" w:rsidRDefault="003F0EEA">
            <w:pPr>
              <w:jc w:val="right"/>
              <w:rPr>
                <w:rFonts w:ascii="Arial" w:eastAsia="Arial" w:hAnsi="Arial" w:cs="Arial"/>
                <w:color w:val="000000"/>
                <w:sz w:val="12"/>
                <w:vertAlign w:val="superscript"/>
              </w:rPr>
            </w:pPr>
          </w:p>
        </w:tc>
        <w:tc>
          <w:tcPr>
            <w:tcW w:w="1275" w:type="dxa"/>
            <w:tcBorders>
              <w:top w:val="nil"/>
              <w:left w:val="nil"/>
              <w:bottom w:val="nil"/>
              <w:right w:val="nil"/>
              <w:tl2br w:val="nil"/>
              <w:tr2bl w:val="nil"/>
            </w:tcBorders>
            <w:shd w:val="clear" w:color="auto" w:fill="FFFF00"/>
            <w:tcMar>
              <w:left w:w="101" w:type="dxa"/>
              <w:right w:w="101" w:type="dxa"/>
            </w:tcMar>
            <w:vAlign w:val="bottom"/>
          </w:tcPr>
          <w:p w14:paraId="6678E357" w14:textId="77777777" w:rsidR="003F0EEA" w:rsidRDefault="003F0EEA">
            <w:pPr>
              <w:jc w:val="right"/>
              <w:rPr>
                <w:rFonts w:ascii="Arial" w:eastAsia="Arial" w:hAnsi="Arial" w:cs="Arial"/>
                <w:color w:val="000000"/>
                <w:sz w:val="16"/>
                <w:vertAlign w:val="superscript"/>
              </w:rPr>
            </w:pPr>
          </w:p>
        </w:tc>
      </w:tr>
      <w:tr w:rsidR="00724034" w14:paraId="46C20AD6" w14:textId="77777777">
        <w:trPr>
          <w:trHeight w:val="225"/>
        </w:trPr>
        <w:tc>
          <w:tcPr>
            <w:tcW w:w="300" w:type="dxa"/>
            <w:tcBorders>
              <w:top w:val="nil"/>
              <w:left w:val="nil"/>
              <w:bottom w:val="nil"/>
              <w:right w:val="nil"/>
              <w:tl2br w:val="nil"/>
              <w:tr2bl w:val="nil"/>
            </w:tcBorders>
            <w:shd w:val="clear" w:color="auto" w:fill="FFFFFF"/>
            <w:tcMar>
              <w:left w:w="101" w:type="dxa"/>
              <w:right w:w="101" w:type="dxa"/>
            </w:tcMar>
            <w:vAlign w:val="bottom"/>
          </w:tcPr>
          <w:p w14:paraId="5F537B15" w14:textId="77777777" w:rsidR="003F0EEA" w:rsidRDefault="003F0EEA">
            <w:pPr>
              <w:rPr>
                <w:rFonts w:ascii="Arial" w:eastAsia="Arial" w:hAnsi="Arial" w:cs="Arial"/>
                <w:color w:val="000000"/>
                <w:sz w:val="16"/>
                <w:vertAlign w:val="superscript"/>
              </w:rPr>
            </w:pPr>
          </w:p>
        </w:tc>
        <w:tc>
          <w:tcPr>
            <w:tcW w:w="5400" w:type="dxa"/>
            <w:tcBorders>
              <w:top w:val="nil"/>
              <w:left w:val="nil"/>
              <w:bottom w:val="nil"/>
              <w:right w:val="nil"/>
              <w:tl2br w:val="nil"/>
              <w:tr2bl w:val="nil"/>
            </w:tcBorders>
            <w:shd w:val="clear" w:color="auto" w:fill="FFFFFF"/>
            <w:tcMar>
              <w:left w:w="101" w:type="dxa"/>
              <w:right w:w="101" w:type="dxa"/>
            </w:tcMar>
            <w:vAlign w:val="bottom"/>
          </w:tcPr>
          <w:p w14:paraId="20A5B105" w14:textId="77777777" w:rsidR="003F0EEA" w:rsidRDefault="00FB7D0B">
            <w:pPr>
              <w:rPr>
                <w:rFonts w:ascii="Arial" w:eastAsia="Arial" w:hAnsi="Arial" w:cs="Arial"/>
                <w:color w:val="000000"/>
                <w:sz w:val="16"/>
                <w:vertAlign w:val="superscript"/>
              </w:rPr>
            </w:pPr>
            <w:r>
              <w:rPr>
                <w:rFonts w:ascii="Arial" w:eastAsia="Arial" w:hAnsi="Arial" w:cs="Arial"/>
                <w:color w:val="000000"/>
                <w:sz w:val="16"/>
              </w:rPr>
              <w:t>Ordinary annual services (Appropriation Bill No. 1)</w:t>
            </w:r>
          </w:p>
        </w:tc>
        <w:tc>
          <w:tcPr>
            <w:tcW w:w="1275" w:type="dxa"/>
            <w:tcBorders>
              <w:top w:val="nil"/>
              <w:left w:val="nil"/>
              <w:bottom w:val="nil"/>
              <w:right w:val="nil"/>
              <w:tl2br w:val="nil"/>
              <w:tr2bl w:val="nil"/>
            </w:tcBorders>
            <w:shd w:val="clear" w:color="auto" w:fill="FFFFFF"/>
            <w:tcMar>
              <w:left w:w="101" w:type="dxa"/>
              <w:right w:w="101" w:type="dxa"/>
            </w:tcMar>
            <w:vAlign w:val="bottom"/>
          </w:tcPr>
          <w:p w14:paraId="0F84BEDF" w14:textId="77777777" w:rsidR="003F0EEA" w:rsidRDefault="00FB7D0B">
            <w:pPr>
              <w:jc w:val="right"/>
              <w:rPr>
                <w:rFonts w:ascii="Arial" w:eastAsia="Arial" w:hAnsi="Arial" w:cs="Arial"/>
                <w:color w:val="000000"/>
                <w:sz w:val="12"/>
                <w:vertAlign w:val="superscript"/>
              </w:rPr>
            </w:pPr>
            <w:r>
              <w:rPr>
                <w:rFonts w:ascii="Arial" w:eastAsia="Arial" w:hAnsi="Arial" w:cs="Arial"/>
                <w:color w:val="000000"/>
                <w:sz w:val="16"/>
              </w:rPr>
              <w:t xml:space="preserve"> 39,398 </w:t>
            </w:r>
          </w:p>
        </w:tc>
        <w:tc>
          <w:tcPr>
            <w:tcW w:w="1275" w:type="dxa"/>
            <w:tcBorders>
              <w:top w:val="nil"/>
              <w:left w:val="nil"/>
              <w:bottom w:val="nil"/>
              <w:right w:val="nil"/>
              <w:tl2br w:val="nil"/>
              <w:tr2bl w:val="nil"/>
            </w:tcBorders>
            <w:shd w:val="clear" w:color="auto" w:fill="FFFF00"/>
            <w:tcMar>
              <w:left w:w="101" w:type="dxa"/>
              <w:right w:w="101" w:type="dxa"/>
            </w:tcMar>
            <w:vAlign w:val="bottom"/>
          </w:tcPr>
          <w:p w14:paraId="729B315F" w14:textId="77777777" w:rsidR="003F0EEA" w:rsidRDefault="00FB7D0B">
            <w:pPr>
              <w:jc w:val="right"/>
              <w:rPr>
                <w:rFonts w:ascii="Arial" w:eastAsia="Arial" w:hAnsi="Arial" w:cs="Arial"/>
                <w:color w:val="000000"/>
                <w:sz w:val="16"/>
              </w:rPr>
            </w:pPr>
            <w:r>
              <w:rPr>
                <w:rFonts w:ascii="Arial" w:eastAsia="Arial" w:hAnsi="Arial" w:cs="Arial"/>
                <w:color w:val="000000"/>
                <w:sz w:val="16"/>
              </w:rPr>
              <w:t xml:space="preserve"> 40,875 </w:t>
            </w:r>
          </w:p>
        </w:tc>
      </w:tr>
      <w:tr w:rsidR="00724034" w14:paraId="3AC5D1B4" w14:textId="77777777">
        <w:trPr>
          <w:trHeight w:val="225"/>
        </w:trPr>
        <w:tc>
          <w:tcPr>
            <w:tcW w:w="300" w:type="dxa"/>
            <w:tcBorders>
              <w:top w:val="nil"/>
              <w:left w:val="nil"/>
              <w:bottom w:val="nil"/>
              <w:right w:val="nil"/>
              <w:tl2br w:val="nil"/>
              <w:tr2bl w:val="nil"/>
            </w:tcBorders>
            <w:shd w:val="clear" w:color="auto" w:fill="FFFFFF"/>
            <w:tcMar>
              <w:left w:w="101" w:type="dxa"/>
              <w:right w:w="101" w:type="dxa"/>
            </w:tcMar>
            <w:vAlign w:val="bottom"/>
          </w:tcPr>
          <w:p w14:paraId="1D26A15D" w14:textId="77777777" w:rsidR="003F0EEA" w:rsidRDefault="003F0EEA">
            <w:pPr>
              <w:rPr>
                <w:rFonts w:ascii="Arial" w:eastAsia="Arial" w:hAnsi="Arial" w:cs="Arial"/>
                <w:color w:val="000000"/>
                <w:sz w:val="16"/>
              </w:rPr>
            </w:pPr>
          </w:p>
        </w:tc>
        <w:tc>
          <w:tcPr>
            <w:tcW w:w="5400" w:type="dxa"/>
            <w:tcBorders>
              <w:top w:val="nil"/>
              <w:left w:val="nil"/>
              <w:bottom w:val="nil"/>
              <w:right w:val="nil"/>
              <w:tl2br w:val="nil"/>
              <w:tr2bl w:val="nil"/>
            </w:tcBorders>
            <w:shd w:val="clear" w:color="auto" w:fill="FFFFFF"/>
            <w:tcMar>
              <w:left w:w="101" w:type="dxa"/>
              <w:right w:w="101" w:type="dxa"/>
            </w:tcMar>
            <w:vAlign w:val="bottom"/>
          </w:tcPr>
          <w:p w14:paraId="6E093CA8" w14:textId="77777777" w:rsidR="003F0EEA" w:rsidRDefault="00FB7D0B">
            <w:pPr>
              <w:rPr>
                <w:rFonts w:ascii="Arial" w:eastAsia="Arial" w:hAnsi="Arial" w:cs="Arial"/>
                <w:color w:val="000000"/>
                <w:sz w:val="16"/>
              </w:rPr>
            </w:pPr>
            <w:r>
              <w:rPr>
                <w:rFonts w:ascii="Arial" w:eastAsia="Arial" w:hAnsi="Arial" w:cs="Arial"/>
                <w:color w:val="000000"/>
                <w:sz w:val="16"/>
              </w:rPr>
              <w:t>Other services (Appropriation Bill No. 2)</w:t>
            </w:r>
          </w:p>
        </w:tc>
        <w:tc>
          <w:tcPr>
            <w:tcW w:w="1275" w:type="dxa"/>
            <w:tcBorders>
              <w:top w:val="nil"/>
              <w:left w:val="nil"/>
              <w:bottom w:val="nil"/>
              <w:right w:val="nil"/>
              <w:tl2br w:val="nil"/>
              <w:tr2bl w:val="nil"/>
            </w:tcBorders>
            <w:shd w:val="clear" w:color="auto" w:fill="FFFFFF"/>
            <w:tcMar>
              <w:left w:w="101" w:type="dxa"/>
              <w:right w:w="101" w:type="dxa"/>
            </w:tcMar>
            <w:vAlign w:val="bottom"/>
          </w:tcPr>
          <w:p w14:paraId="7368EAFF" w14:textId="77777777" w:rsidR="003F0EEA" w:rsidRDefault="00FB7D0B">
            <w:pPr>
              <w:jc w:val="right"/>
              <w:rPr>
                <w:rFonts w:ascii="Arial" w:eastAsia="Arial" w:hAnsi="Arial" w:cs="Arial"/>
                <w:color w:val="000000"/>
                <w:sz w:val="12"/>
                <w:vertAlign w:val="superscript"/>
              </w:rPr>
            </w:pPr>
            <w:r>
              <w:rPr>
                <w:rFonts w:ascii="Arial" w:eastAsia="Arial" w:hAnsi="Arial" w:cs="Arial"/>
                <w:color w:val="000000"/>
                <w:sz w:val="16"/>
              </w:rPr>
              <w:t xml:space="preserve"> - </w:t>
            </w:r>
          </w:p>
        </w:tc>
        <w:tc>
          <w:tcPr>
            <w:tcW w:w="1275" w:type="dxa"/>
            <w:tcBorders>
              <w:top w:val="nil"/>
              <w:left w:val="nil"/>
              <w:bottom w:val="nil"/>
              <w:right w:val="nil"/>
              <w:tl2br w:val="nil"/>
              <w:tr2bl w:val="nil"/>
            </w:tcBorders>
            <w:shd w:val="clear" w:color="auto" w:fill="FFFF00"/>
            <w:tcMar>
              <w:left w:w="101" w:type="dxa"/>
              <w:right w:w="101" w:type="dxa"/>
            </w:tcMar>
            <w:vAlign w:val="bottom"/>
          </w:tcPr>
          <w:p w14:paraId="1B0C1D1E" w14:textId="77777777" w:rsidR="003F0EEA" w:rsidRDefault="00FB7D0B">
            <w:pPr>
              <w:jc w:val="right"/>
              <w:rPr>
                <w:rFonts w:ascii="Arial" w:eastAsia="Arial" w:hAnsi="Arial" w:cs="Arial"/>
                <w:color w:val="000000"/>
                <w:sz w:val="16"/>
              </w:rPr>
            </w:pPr>
            <w:r>
              <w:rPr>
                <w:rFonts w:ascii="Arial" w:eastAsia="Arial" w:hAnsi="Arial" w:cs="Arial"/>
                <w:color w:val="000000"/>
                <w:sz w:val="16"/>
              </w:rPr>
              <w:t xml:space="preserve"> - </w:t>
            </w:r>
          </w:p>
        </w:tc>
      </w:tr>
      <w:tr w:rsidR="00724034" w14:paraId="7E4EDA76" w14:textId="77777777">
        <w:trPr>
          <w:trHeight w:val="225"/>
        </w:trPr>
        <w:tc>
          <w:tcPr>
            <w:tcW w:w="300" w:type="dxa"/>
            <w:tcBorders>
              <w:top w:val="nil"/>
              <w:left w:val="nil"/>
              <w:bottom w:val="nil"/>
              <w:right w:val="nil"/>
              <w:tl2br w:val="nil"/>
              <w:tr2bl w:val="nil"/>
            </w:tcBorders>
            <w:shd w:val="clear" w:color="auto" w:fill="FFFFFF"/>
            <w:tcMar>
              <w:left w:w="101" w:type="dxa"/>
              <w:right w:w="101" w:type="dxa"/>
            </w:tcMar>
            <w:vAlign w:val="bottom"/>
          </w:tcPr>
          <w:p w14:paraId="520ABD02" w14:textId="77777777" w:rsidR="003F0EEA" w:rsidRDefault="003F0EEA">
            <w:pPr>
              <w:rPr>
                <w:rFonts w:ascii="Arial" w:eastAsia="Arial" w:hAnsi="Arial" w:cs="Arial"/>
                <w:color w:val="000000"/>
                <w:sz w:val="16"/>
              </w:rPr>
            </w:pPr>
          </w:p>
        </w:tc>
        <w:tc>
          <w:tcPr>
            <w:tcW w:w="5400" w:type="dxa"/>
            <w:tcBorders>
              <w:top w:val="nil"/>
              <w:left w:val="nil"/>
              <w:bottom w:val="nil"/>
              <w:right w:val="nil"/>
              <w:tl2br w:val="nil"/>
              <w:tr2bl w:val="nil"/>
            </w:tcBorders>
            <w:shd w:val="clear" w:color="auto" w:fill="FFFFFF"/>
            <w:tcMar>
              <w:left w:w="101" w:type="dxa"/>
              <w:right w:w="101" w:type="dxa"/>
            </w:tcMar>
            <w:vAlign w:val="bottom"/>
          </w:tcPr>
          <w:p w14:paraId="0101CEAC" w14:textId="77777777" w:rsidR="003F0EEA" w:rsidRDefault="00FB7D0B">
            <w:pPr>
              <w:rPr>
                <w:rFonts w:ascii="Arial" w:eastAsia="Arial" w:hAnsi="Arial" w:cs="Arial"/>
                <w:color w:val="000000"/>
                <w:sz w:val="16"/>
              </w:rPr>
            </w:pPr>
            <w:r>
              <w:rPr>
                <w:rFonts w:ascii="Arial" w:eastAsia="Arial" w:hAnsi="Arial" w:cs="Arial"/>
                <w:color w:val="000000"/>
                <w:sz w:val="16"/>
              </w:rPr>
              <w:t>Special Appropriations</w:t>
            </w:r>
          </w:p>
        </w:tc>
        <w:tc>
          <w:tcPr>
            <w:tcW w:w="1275" w:type="dxa"/>
            <w:tcBorders>
              <w:top w:val="nil"/>
              <w:left w:val="nil"/>
              <w:bottom w:val="nil"/>
              <w:right w:val="nil"/>
              <w:tl2br w:val="nil"/>
              <w:tr2bl w:val="nil"/>
            </w:tcBorders>
            <w:shd w:val="clear" w:color="auto" w:fill="FFFFFF"/>
            <w:tcMar>
              <w:left w:w="101" w:type="dxa"/>
              <w:right w:w="101" w:type="dxa"/>
            </w:tcMar>
            <w:vAlign w:val="bottom"/>
          </w:tcPr>
          <w:p w14:paraId="3D6240E6" w14:textId="77777777" w:rsidR="003F0EEA" w:rsidRDefault="00FB7D0B">
            <w:pPr>
              <w:jc w:val="right"/>
              <w:rPr>
                <w:rFonts w:ascii="Arial" w:eastAsia="Arial" w:hAnsi="Arial" w:cs="Arial"/>
                <w:color w:val="000000"/>
                <w:sz w:val="12"/>
                <w:vertAlign w:val="superscript"/>
              </w:rPr>
            </w:pPr>
            <w:r>
              <w:rPr>
                <w:rFonts w:ascii="Arial" w:eastAsia="Arial" w:hAnsi="Arial" w:cs="Arial"/>
                <w:color w:val="000000"/>
                <w:sz w:val="16"/>
              </w:rPr>
              <w:t xml:space="preserve"> 6,592,153 </w:t>
            </w:r>
          </w:p>
        </w:tc>
        <w:tc>
          <w:tcPr>
            <w:tcW w:w="1275" w:type="dxa"/>
            <w:tcBorders>
              <w:top w:val="nil"/>
              <w:left w:val="nil"/>
              <w:bottom w:val="nil"/>
              <w:right w:val="nil"/>
              <w:tl2br w:val="nil"/>
              <w:tr2bl w:val="nil"/>
            </w:tcBorders>
            <w:shd w:val="clear" w:color="auto" w:fill="FFFF00"/>
            <w:tcMar>
              <w:left w:w="101" w:type="dxa"/>
              <w:right w:w="101" w:type="dxa"/>
            </w:tcMar>
            <w:vAlign w:val="bottom"/>
          </w:tcPr>
          <w:p w14:paraId="7D609C08" w14:textId="77777777" w:rsidR="003F0EEA" w:rsidRDefault="00FB7D0B">
            <w:pPr>
              <w:jc w:val="right"/>
              <w:rPr>
                <w:rFonts w:ascii="Arial" w:eastAsia="Arial" w:hAnsi="Arial" w:cs="Arial"/>
                <w:color w:val="000000"/>
                <w:sz w:val="16"/>
              </w:rPr>
            </w:pPr>
            <w:r>
              <w:rPr>
                <w:rFonts w:ascii="Arial" w:eastAsia="Arial" w:hAnsi="Arial" w:cs="Arial"/>
                <w:color w:val="000000"/>
                <w:sz w:val="16"/>
              </w:rPr>
              <w:t xml:space="preserve"> 6,473,127 </w:t>
            </w:r>
          </w:p>
        </w:tc>
      </w:tr>
      <w:tr w:rsidR="00724034" w14:paraId="7A6A054C" w14:textId="77777777">
        <w:trPr>
          <w:trHeight w:val="225"/>
        </w:trPr>
        <w:tc>
          <w:tcPr>
            <w:tcW w:w="300" w:type="dxa"/>
            <w:tcBorders>
              <w:top w:val="nil"/>
              <w:left w:val="nil"/>
              <w:bottom w:val="nil"/>
              <w:right w:val="nil"/>
              <w:tl2br w:val="nil"/>
              <w:tr2bl w:val="nil"/>
            </w:tcBorders>
            <w:shd w:val="clear" w:color="auto" w:fill="FFFFFF"/>
            <w:tcMar>
              <w:left w:w="101" w:type="dxa"/>
              <w:right w:w="101" w:type="dxa"/>
            </w:tcMar>
            <w:vAlign w:val="bottom"/>
          </w:tcPr>
          <w:p w14:paraId="321FCEF0" w14:textId="77777777" w:rsidR="003F0EEA" w:rsidRDefault="003F0EEA">
            <w:pPr>
              <w:rPr>
                <w:rFonts w:ascii="Arial" w:eastAsia="Arial" w:hAnsi="Arial" w:cs="Arial"/>
                <w:color w:val="000000"/>
                <w:sz w:val="16"/>
              </w:rPr>
            </w:pPr>
          </w:p>
        </w:tc>
        <w:tc>
          <w:tcPr>
            <w:tcW w:w="5400" w:type="dxa"/>
            <w:tcBorders>
              <w:top w:val="nil"/>
              <w:left w:val="nil"/>
              <w:bottom w:val="nil"/>
              <w:right w:val="nil"/>
              <w:tl2br w:val="nil"/>
              <w:tr2bl w:val="nil"/>
            </w:tcBorders>
            <w:shd w:val="clear" w:color="auto" w:fill="FFFFFF"/>
            <w:tcMar>
              <w:left w:w="101" w:type="dxa"/>
              <w:right w:w="101" w:type="dxa"/>
            </w:tcMar>
            <w:vAlign w:val="bottom"/>
          </w:tcPr>
          <w:p w14:paraId="0952A096" w14:textId="77777777" w:rsidR="003F0EEA" w:rsidRDefault="00FB7D0B">
            <w:pPr>
              <w:rPr>
                <w:rFonts w:ascii="Arial" w:eastAsia="Arial" w:hAnsi="Arial" w:cs="Arial"/>
                <w:color w:val="000000"/>
                <w:sz w:val="16"/>
              </w:rPr>
            </w:pPr>
            <w:r>
              <w:rPr>
                <w:rFonts w:ascii="Arial" w:eastAsia="Arial" w:hAnsi="Arial" w:cs="Arial"/>
                <w:color w:val="000000"/>
                <w:sz w:val="16"/>
              </w:rPr>
              <w:t>Special Accounts</w:t>
            </w:r>
          </w:p>
        </w:tc>
        <w:tc>
          <w:tcPr>
            <w:tcW w:w="1275" w:type="dxa"/>
            <w:tcBorders>
              <w:top w:val="nil"/>
              <w:left w:val="nil"/>
              <w:bottom w:val="nil"/>
              <w:right w:val="nil"/>
              <w:tl2br w:val="nil"/>
              <w:tr2bl w:val="nil"/>
            </w:tcBorders>
            <w:shd w:val="clear" w:color="auto" w:fill="FFFFFF"/>
            <w:tcMar>
              <w:left w:w="101" w:type="dxa"/>
              <w:right w:w="101" w:type="dxa"/>
            </w:tcMar>
            <w:vAlign w:val="bottom"/>
          </w:tcPr>
          <w:p w14:paraId="41E75456" w14:textId="77777777" w:rsidR="003F0EEA" w:rsidRDefault="00FB7D0B">
            <w:pPr>
              <w:jc w:val="right"/>
              <w:rPr>
                <w:rFonts w:ascii="Arial" w:eastAsia="Arial" w:hAnsi="Arial" w:cs="Arial"/>
                <w:color w:val="000000"/>
                <w:sz w:val="12"/>
                <w:vertAlign w:val="superscript"/>
              </w:rPr>
            </w:pPr>
            <w:r>
              <w:rPr>
                <w:rFonts w:ascii="Arial" w:eastAsia="Arial" w:hAnsi="Arial" w:cs="Arial"/>
                <w:color w:val="000000"/>
                <w:sz w:val="16"/>
              </w:rPr>
              <w:t xml:space="preserve"> 780 </w:t>
            </w:r>
          </w:p>
        </w:tc>
        <w:tc>
          <w:tcPr>
            <w:tcW w:w="1275" w:type="dxa"/>
            <w:tcBorders>
              <w:top w:val="nil"/>
              <w:left w:val="nil"/>
              <w:bottom w:val="nil"/>
              <w:right w:val="nil"/>
              <w:tl2br w:val="nil"/>
              <w:tr2bl w:val="nil"/>
            </w:tcBorders>
            <w:shd w:val="clear" w:color="auto" w:fill="FFFF00"/>
            <w:tcMar>
              <w:left w:w="101" w:type="dxa"/>
              <w:right w:w="101" w:type="dxa"/>
            </w:tcMar>
            <w:vAlign w:val="bottom"/>
          </w:tcPr>
          <w:p w14:paraId="629B49C5" w14:textId="77777777" w:rsidR="003F0EEA" w:rsidRDefault="00FB7D0B">
            <w:pPr>
              <w:jc w:val="right"/>
              <w:rPr>
                <w:rFonts w:ascii="Arial" w:eastAsia="Arial" w:hAnsi="Arial" w:cs="Arial"/>
                <w:color w:val="000000"/>
                <w:sz w:val="16"/>
              </w:rPr>
            </w:pPr>
            <w:r>
              <w:rPr>
                <w:rFonts w:ascii="Arial" w:eastAsia="Arial" w:hAnsi="Arial" w:cs="Arial"/>
                <w:color w:val="000000"/>
                <w:sz w:val="16"/>
              </w:rPr>
              <w:t xml:space="preserve"> 215 </w:t>
            </w:r>
          </w:p>
        </w:tc>
      </w:tr>
      <w:tr w:rsidR="00724034" w14:paraId="4679D56B" w14:textId="77777777">
        <w:trPr>
          <w:trHeight w:val="225"/>
        </w:trPr>
        <w:tc>
          <w:tcPr>
            <w:tcW w:w="300" w:type="dxa"/>
            <w:tcBorders>
              <w:top w:val="nil"/>
              <w:left w:val="nil"/>
              <w:bottom w:val="nil"/>
              <w:right w:val="nil"/>
              <w:tl2br w:val="nil"/>
              <w:tr2bl w:val="nil"/>
            </w:tcBorders>
            <w:shd w:val="clear" w:color="auto" w:fill="FFFFFF"/>
            <w:tcMar>
              <w:left w:w="101" w:type="dxa"/>
              <w:right w:w="101" w:type="dxa"/>
            </w:tcMar>
            <w:vAlign w:val="bottom"/>
          </w:tcPr>
          <w:p w14:paraId="505A22AE" w14:textId="77777777" w:rsidR="003F0EEA" w:rsidRDefault="003F0EEA">
            <w:pPr>
              <w:rPr>
                <w:rFonts w:ascii="Arial" w:eastAsia="Arial" w:hAnsi="Arial" w:cs="Arial"/>
                <w:color w:val="000000"/>
                <w:sz w:val="16"/>
              </w:rPr>
            </w:pPr>
          </w:p>
        </w:tc>
        <w:tc>
          <w:tcPr>
            <w:tcW w:w="5400" w:type="dxa"/>
            <w:tcBorders>
              <w:top w:val="nil"/>
              <w:left w:val="nil"/>
              <w:bottom w:val="nil"/>
              <w:right w:val="nil"/>
              <w:tl2br w:val="nil"/>
              <w:tr2bl w:val="nil"/>
            </w:tcBorders>
            <w:shd w:val="clear" w:color="auto" w:fill="FFFFFF"/>
            <w:tcMar>
              <w:left w:w="101" w:type="dxa"/>
              <w:right w:w="101" w:type="dxa"/>
            </w:tcMar>
            <w:vAlign w:val="bottom"/>
          </w:tcPr>
          <w:p w14:paraId="2CF1409C" w14:textId="77777777" w:rsidR="003F0EEA" w:rsidRDefault="00FB7D0B">
            <w:pPr>
              <w:rPr>
                <w:rFonts w:ascii="Arial" w:eastAsia="Arial" w:hAnsi="Arial" w:cs="Arial"/>
                <w:color w:val="000000"/>
                <w:sz w:val="16"/>
              </w:rPr>
            </w:pPr>
            <w:r>
              <w:rPr>
                <w:rFonts w:ascii="Arial" w:eastAsia="Arial" w:hAnsi="Arial" w:cs="Arial"/>
                <w:color w:val="000000"/>
                <w:sz w:val="16"/>
              </w:rPr>
              <w:t>Expenses not requiring appropriation in the Budget year</w:t>
            </w:r>
          </w:p>
        </w:tc>
        <w:tc>
          <w:tcPr>
            <w:tcW w:w="1275" w:type="dxa"/>
            <w:tcBorders>
              <w:top w:val="nil"/>
              <w:left w:val="nil"/>
              <w:bottom w:val="nil"/>
              <w:right w:val="nil"/>
              <w:tl2br w:val="nil"/>
              <w:tr2bl w:val="nil"/>
            </w:tcBorders>
            <w:shd w:val="clear" w:color="auto" w:fill="FFFFFF"/>
            <w:tcMar>
              <w:left w:w="101" w:type="dxa"/>
              <w:right w:w="101" w:type="dxa"/>
            </w:tcMar>
            <w:vAlign w:val="bottom"/>
          </w:tcPr>
          <w:p w14:paraId="3E485A84" w14:textId="77777777" w:rsidR="003F0EEA" w:rsidRDefault="00FB7D0B">
            <w:pPr>
              <w:jc w:val="right"/>
              <w:rPr>
                <w:rFonts w:ascii="Arial" w:eastAsia="Arial" w:hAnsi="Arial" w:cs="Arial"/>
                <w:color w:val="000000"/>
                <w:sz w:val="12"/>
                <w:vertAlign w:val="superscript"/>
              </w:rPr>
            </w:pPr>
            <w:r>
              <w:rPr>
                <w:rFonts w:ascii="Arial" w:eastAsia="Arial" w:hAnsi="Arial" w:cs="Arial"/>
                <w:color w:val="000000"/>
                <w:sz w:val="16"/>
              </w:rPr>
              <w:t xml:space="preserve"> 77,900 </w:t>
            </w:r>
          </w:p>
        </w:tc>
        <w:tc>
          <w:tcPr>
            <w:tcW w:w="1275" w:type="dxa"/>
            <w:tcBorders>
              <w:top w:val="nil"/>
              <w:left w:val="nil"/>
              <w:bottom w:val="nil"/>
              <w:right w:val="nil"/>
              <w:tl2br w:val="nil"/>
              <w:tr2bl w:val="nil"/>
            </w:tcBorders>
            <w:shd w:val="clear" w:color="auto" w:fill="FFFF00"/>
            <w:tcMar>
              <w:left w:w="101" w:type="dxa"/>
              <w:right w:w="101" w:type="dxa"/>
            </w:tcMar>
            <w:vAlign w:val="bottom"/>
          </w:tcPr>
          <w:p w14:paraId="78C55C7B" w14:textId="77777777" w:rsidR="003F0EEA" w:rsidRDefault="00FB7D0B">
            <w:pPr>
              <w:jc w:val="right"/>
              <w:rPr>
                <w:rFonts w:ascii="Arial" w:eastAsia="Arial" w:hAnsi="Arial" w:cs="Arial"/>
                <w:color w:val="000000"/>
                <w:sz w:val="16"/>
              </w:rPr>
            </w:pPr>
            <w:r>
              <w:rPr>
                <w:rFonts w:ascii="Arial" w:eastAsia="Arial" w:hAnsi="Arial" w:cs="Arial"/>
                <w:color w:val="000000"/>
                <w:sz w:val="16"/>
              </w:rPr>
              <w:t xml:space="preserve"> 133,800 </w:t>
            </w:r>
          </w:p>
        </w:tc>
      </w:tr>
      <w:tr w:rsidR="00FB7D0B" w14:paraId="697C8D90" w14:textId="77777777" w:rsidTr="00FB7D0B">
        <w:trPr>
          <w:trHeight w:val="225"/>
        </w:trPr>
        <w:tc>
          <w:tcPr>
            <w:tcW w:w="5700" w:type="dxa"/>
            <w:gridSpan w:val="2"/>
            <w:tcBorders>
              <w:top w:val="nil"/>
              <w:left w:val="nil"/>
              <w:bottom w:val="nil"/>
              <w:right w:val="nil"/>
              <w:tl2br w:val="nil"/>
              <w:tr2bl w:val="nil"/>
            </w:tcBorders>
            <w:shd w:val="clear" w:color="auto" w:fill="FFFFFF"/>
            <w:tcMar>
              <w:left w:w="101" w:type="dxa"/>
              <w:right w:w="101" w:type="dxa"/>
            </w:tcMar>
            <w:vAlign w:val="bottom"/>
          </w:tcPr>
          <w:p w14:paraId="4AFD31BA" w14:textId="77777777" w:rsidR="003F0EEA" w:rsidRDefault="00FB7D0B">
            <w:pPr>
              <w:rPr>
                <w:rFonts w:ascii="Arial" w:eastAsia="Arial" w:hAnsi="Arial" w:cs="Arial"/>
                <w:color w:val="000000"/>
                <w:sz w:val="16"/>
              </w:rPr>
            </w:pPr>
            <w:r>
              <w:rPr>
                <w:rFonts w:ascii="Arial" w:eastAsia="Arial" w:hAnsi="Arial" w:cs="Arial"/>
                <w:color w:val="000000"/>
                <w:sz w:val="16"/>
              </w:rPr>
              <w:t>Departmental Expenses</w:t>
            </w:r>
          </w:p>
        </w:tc>
        <w:tc>
          <w:tcPr>
            <w:tcW w:w="1275" w:type="dxa"/>
            <w:tcBorders>
              <w:top w:val="nil"/>
              <w:left w:val="nil"/>
              <w:bottom w:val="nil"/>
              <w:right w:val="nil"/>
              <w:tl2br w:val="nil"/>
              <w:tr2bl w:val="nil"/>
            </w:tcBorders>
            <w:shd w:val="clear" w:color="auto" w:fill="FFFFFF"/>
            <w:tcMar>
              <w:left w:w="101" w:type="dxa"/>
              <w:right w:w="101" w:type="dxa"/>
            </w:tcMar>
            <w:vAlign w:val="bottom"/>
          </w:tcPr>
          <w:p w14:paraId="6E698DD3" w14:textId="77777777" w:rsidR="003F0EEA" w:rsidRDefault="003F0EEA">
            <w:pPr>
              <w:jc w:val="right"/>
              <w:rPr>
                <w:rFonts w:ascii="Arial" w:eastAsia="Arial" w:hAnsi="Arial" w:cs="Arial"/>
                <w:color w:val="000000"/>
                <w:sz w:val="12"/>
                <w:vertAlign w:val="superscript"/>
              </w:rPr>
            </w:pPr>
          </w:p>
        </w:tc>
        <w:tc>
          <w:tcPr>
            <w:tcW w:w="1275" w:type="dxa"/>
            <w:tcBorders>
              <w:top w:val="nil"/>
              <w:left w:val="nil"/>
              <w:bottom w:val="nil"/>
              <w:right w:val="nil"/>
              <w:tl2br w:val="nil"/>
              <w:tr2bl w:val="nil"/>
            </w:tcBorders>
            <w:shd w:val="clear" w:color="auto" w:fill="FFFF00"/>
            <w:tcMar>
              <w:left w:w="101" w:type="dxa"/>
              <w:right w:w="101" w:type="dxa"/>
            </w:tcMar>
            <w:vAlign w:val="bottom"/>
          </w:tcPr>
          <w:p w14:paraId="6272CF03" w14:textId="77777777" w:rsidR="003F0EEA" w:rsidRDefault="003F0EEA">
            <w:pPr>
              <w:jc w:val="right"/>
              <w:rPr>
                <w:rFonts w:ascii="Arial" w:eastAsia="Arial" w:hAnsi="Arial" w:cs="Arial"/>
                <w:color w:val="000000"/>
                <w:sz w:val="16"/>
                <w:vertAlign w:val="superscript"/>
              </w:rPr>
            </w:pPr>
          </w:p>
        </w:tc>
      </w:tr>
      <w:tr w:rsidR="00724034" w14:paraId="4E08BD50" w14:textId="77777777">
        <w:trPr>
          <w:trHeight w:val="225"/>
        </w:trPr>
        <w:tc>
          <w:tcPr>
            <w:tcW w:w="300" w:type="dxa"/>
            <w:tcBorders>
              <w:top w:val="nil"/>
              <w:left w:val="nil"/>
              <w:bottom w:val="nil"/>
              <w:right w:val="nil"/>
              <w:tl2br w:val="nil"/>
              <w:tr2bl w:val="nil"/>
            </w:tcBorders>
            <w:shd w:val="clear" w:color="auto" w:fill="FFFFFF"/>
            <w:tcMar>
              <w:left w:w="101" w:type="dxa"/>
              <w:right w:w="101" w:type="dxa"/>
            </w:tcMar>
            <w:vAlign w:val="bottom"/>
          </w:tcPr>
          <w:p w14:paraId="6A4FC798" w14:textId="77777777" w:rsidR="003F0EEA" w:rsidRDefault="003F0EEA">
            <w:pPr>
              <w:rPr>
                <w:rFonts w:ascii="Arial" w:eastAsia="Arial" w:hAnsi="Arial" w:cs="Arial"/>
                <w:color w:val="000000"/>
                <w:sz w:val="16"/>
                <w:vertAlign w:val="superscript"/>
              </w:rPr>
            </w:pPr>
          </w:p>
        </w:tc>
        <w:tc>
          <w:tcPr>
            <w:tcW w:w="5400" w:type="dxa"/>
            <w:tcBorders>
              <w:top w:val="nil"/>
              <w:left w:val="nil"/>
              <w:bottom w:val="nil"/>
              <w:right w:val="nil"/>
              <w:tl2br w:val="nil"/>
              <w:tr2bl w:val="nil"/>
            </w:tcBorders>
            <w:shd w:val="clear" w:color="auto" w:fill="FFFFFF"/>
            <w:tcMar>
              <w:left w:w="101" w:type="dxa"/>
              <w:right w:w="101" w:type="dxa"/>
            </w:tcMar>
            <w:vAlign w:val="bottom"/>
          </w:tcPr>
          <w:p w14:paraId="11A8FCD8" w14:textId="77777777" w:rsidR="003F0EEA" w:rsidRDefault="00FB7D0B">
            <w:pPr>
              <w:rPr>
                <w:rFonts w:ascii="Arial" w:eastAsia="Arial" w:hAnsi="Arial" w:cs="Arial"/>
                <w:color w:val="000000"/>
                <w:sz w:val="16"/>
                <w:vertAlign w:val="superscript"/>
              </w:rPr>
            </w:pPr>
            <w:r>
              <w:rPr>
                <w:rFonts w:ascii="Arial" w:eastAsia="Arial" w:hAnsi="Arial" w:cs="Arial"/>
                <w:color w:val="000000"/>
                <w:sz w:val="16"/>
              </w:rPr>
              <w:t>Special Accounts</w:t>
            </w:r>
          </w:p>
        </w:tc>
        <w:tc>
          <w:tcPr>
            <w:tcW w:w="1275" w:type="dxa"/>
            <w:tcBorders>
              <w:top w:val="nil"/>
              <w:left w:val="nil"/>
              <w:bottom w:val="nil"/>
              <w:right w:val="nil"/>
              <w:tl2br w:val="nil"/>
              <w:tr2bl w:val="nil"/>
            </w:tcBorders>
            <w:shd w:val="clear" w:color="auto" w:fill="FFFFFF"/>
            <w:tcMar>
              <w:left w:w="101" w:type="dxa"/>
              <w:right w:w="101" w:type="dxa"/>
            </w:tcMar>
            <w:vAlign w:val="bottom"/>
          </w:tcPr>
          <w:p w14:paraId="1AF8B028" w14:textId="77777777" w:rsidR="003F0EEA" w:rsidRDefault="00FB7D0B">
            <w:pPr>
              <w:jc w:val="right"/>
              <w:rPr>
                <w:rFonts w:ascii="Arial" w:eastAsia="Arial" w:hAnsi="Arial" w:cs="Arial"/>
                <w:color w:val="000000"/>
                <w:sz w:val="12"/>
                <w:vertAlign w:val="superscript"/>
              </w:rPr>
            </w:pPr>
            <w:r>
              <w:rPr>
                <w:rFonts w:ascii="Arial" w:eastAsia="Arial" w:hAnsi="Arial" w:cs="Arial"/>
                <w:color w:val="000000"/>
                <w:sz w:val="16"/>
              </w:rPr>
              <w:t xml:space="preserve"> 34,248 </w:t>
            </w:r>
          </w:p>
        </w:tc>
        <w:tc>
          <w:tcPr>
            <w:tcW w:w="1275" w:type="dxa"/>
            <w:tcBorders>
              <w:top w:val="nil"/>
              <w:left w:val="nil"/>
              <w:bottom w:val="nil"/>
              <w:right w:val="nil"/>
              <w:tl2br w:val="nil"/>
              <w:tr2bl w:val="nil"/>
            </w:tcBorders>
            <w:shd w:val="clear" w:color="auto" w:fill="FFFF00"/>
            <w:tcMar>
              <w:left w:w="101" w:type="dxa"/>
              <w:right w:w="101" w:type="dxa"/>
            </w:tcMar>
            <w:vAlign w:val="bottom"/>
          </w:tcPr>
          <w:p w14:paraId="518A9F29" w14:textId="77777777" w:rsidR="003F0EEA" w:rsidRDefault="00FB7D0B">
            <w:pPr>
              <w:jc w:val="right"/>
              <w:rPr>
                <w:rFonts w:ascii="Arial" w:eastAsia="Arial" w:hAnsi="Arial" w:cs="Arial"/>
                <w:color w:val="000000"/>
                <w:sz w:val="16"/>
              </w:rPr>
            </w:pPr>
            <w:r>
              <w:rPr>
                <w:rFonts w:ascii="Arial" w:eastAsia="Arial" w:hAnsi="Arial" w:cs="Arial"/>
                <w:color w:val="000000"/>
                <w:sz w:val="16"/>
              </w:rPr>
              <w:t xml:space="preserve"> 36,757 </w:t>
            </w:r>
          </w:p>
        </w:tc>
      </w:tr>
      <w:tr w:rsidR="00724034" w14:paraId="43F3F492" w14:textId="77777777">
        <w:trPr>
          <w:trHeight w:val="225"/>
        </w:trPr>
        <w:tc>
          <w:tcPr>
            <w:tcW w:w="300" w:type="dxa"/>
            <w:tcBorders>
              <w:top w:val="nil"/>
              <w:left w:val="nil"/>
              <w:bottom w:val="nil"/>
              <w:right w:val="nil"/>
              <w:tl2br w:val="nil"/>
              <w:tr2bl w:val="nil"/>
            </w:tcBorders>
            <w:shd w:val="clear" w:color="auto" w:fill="FFFFFF"/>
            <w:tcMar>
              <w:left w:w="101" w:type="dxa"/>
              <w:right w:w="101" w:type="dxa"/>
            </w:tcMar>
            <w:vAlign w:val="bottom"/>
          </w:tcPr>
          <w:p w14:paraId="40538299" w14:textId="77777777" w:rsidR="003F0EEA" w:rsidRDefault="003F0EEA">
            <w:pPr>
              <w:rPr>
                <w:rFonts w:ascii="Arial" w:eastAsia="Arial" w:hAnsi="Arial" w:cs="Arial"/>
                <w:color w:val="000000"/>
                <w:sz w:val="16"/>
              </w:rPr>
            </w:pPr>
          </w:p>
        </w:tc>
        <w:tc>
          <w:tcPr>
            <w:tcW w:w="5400" w:type="dxa"/>
            <w:tcBorders>
              <w:top w:val="nil"/>
              <w:left w:val="nil"/>
              <w:bottom w:val="nil"/>
              <w:right w:val="nil"/>
              <w:tl2br w:val="nil"/>
              <w:tr2bl w:val="nil"/>
            </w:tcBorders>
            <w:shd w:val="clear" w:color="auto" w:fill="FFFFFF"/>
            <w:tcMar>
              <w:left w:w="101" w:type="dxa"/>
              <w:right w:w="101" w:type="dxa"/>
            </w:tcMar>
            <w:vAlign w:val="bottom"/>
          </w:tcPr>
          <w:p w14:paraId="5EC60DEF" w14:textId="77777777" w:rsidR="003F0EEA" w:rsidRDefault="00FB7D0B">
            <w:pPr>
              <w:rPr>
                <w:rFonts w:ascii="Arial" w:eastAsia="Arial" w:hAnsi="Arial" w:cs="Arial"/>
                <w:color w:val="000000"/>
                <w:sz w:val="16"/>
              </w:rPr>
            </w:pPr>
            <w:r>
              <w:rPr>
                <w:rFonts w:ascii="Arial" w:eastAsia="Arial" w:hAnsi="Arial" w:cs="Arial"/>
                <w:color w:val="000000"/>
                <w:sz w:val="16"/>
              </w:rPr>
              <w:t>Departmental appropriation</w:t>
            </w:r>
            <w:r>
              <w:rPr>
                <w:rFonts w:ascii="Arial" w:eastAsia="Arial" w:hAnsi="Arial" w:cs="Arial"/>
                <w:color w:val="000000"/>
                <w:sz w:val="12"/>
                <w:vertAlign w:val="superscript"/>
              </w:rPr>
              <w:t>1 </w:t>
            </w:r>
          </w:p>
        </w:tc>
        <w:tc>
          <w:tcPr>
            <w:tcW w:w="1275" w:type="dxa"/>
            <w:tcBorders>
              <w:top w:val="nil"/>
              <w:left w:val="nil"/>
              <w:bottom w:val="nil"/>
              <w:right w:val="nil"/>
              <w:tl2br w:val="nil"/>
              <w:tr2bl w:val="nil"/>
            </w:tcBorders>
            <w:shd w:val="clear" w:color="auto" w:fill="FFFFFF"/>
            <w:tcMar>
              <w:left w:w="101" w:type="dxa"/>
              <w:right w:w="101" w:type="dxa"/>
            </w:tcMar>
            <w:vAlign w:val="bottom"/>
          </w:tcPr>
          <w:p w14:paraId="6F11684E" w14:textId="77777777" w:rsidR="003F0EEA" w:rsidRDefault="00FB7D0B">
            <w:pPr>
              <w:jc w:val="right"/>
              <w:rPr>
                <w:rFonts w:ascii="Arial" w:eastAsia="Arial" w:hAnsi="Arial" w:cs="Arial"/>
                <w:color w:val="000000"/>
                <w:sz w:val="12"/>
                <w:vertAlign w:val="superscript"/>
              </w:rPr>
            </w:pPr>
            <w:r>
              <w:rPr>
                <w:rFonts w:ascii="Arial" w:eastAsia="Arial" w:hAnsi="Arial" w:cs="Arial"/>
                <w:color w:val="000000"/>
                <w:sz w:val="16"/>
              </w:rPr>
              <w:t xml:space="preserve"> 148,951 </w:t>
            </w:r>
          </w:p>
        </w:tc>
        <w:tc>
          <w:tcPr>
            <w:tcW w:w="1275" w:type="dxa"/>
            <w:tcBorders>
              <w:top w:val="nil"/>
              <w:left w:val="nil"/>
              <w:bottom w:val="nil"/>
              <w:right w:val="nil"/>
              <w:tl2br w:val="nil"/>
              <w:tr2bl w:val="nil"/>
            </w:tcBorders>
            <w:shd w:val="clear" w:color="auto" w:fill="FFFF00"/>
            <w:tcMar>
              <w:left w:w="101" w:type="dxa"/>
              <w:right w:w="101" w:type="dxa"/>
            </w:tcMar>
            <w:vAlign w:val="bottom"/>
          </w:tcPr>
          <w:p w14:paraId="09DB7A6A" w14:textId="77777777" w:rsidR="003F0EEA" w:rsidRDefault="00FB7D0B">
            <w:pPr>
              <w:jc w:val="right"/>
              <w:rPr>
                <w:rFonts w:ascii="Arial" w:eastAsia="Arial" w:hAnsi="Arial" w:cs="Arial"/>
                <w:color w:val="000000"/>
                <w:sz w:val="16"/>
              </w:rPr>
            </w:pPr>
            <w:r>
              <w:rPr>
                <w:rFonts w:ascii="Arial" w:eastAsia="Arial" w:hAnsi="Arial" w:cs="Arial"/>
                <w:color w:val="000000"/>
                <w:sz w:val="16"/>
              </w:rPr>
              <w:t xml:space="preserve"> 147,480 </w:t>
            </w:r>
          </w:p>
        </w:tc>
      </w:tr>
      <w:tr w:rsidR="00724034" w14:paraId="12A3EDC6" w14:textId="77777777">
        <w:trPr>
          <w:trHeight w:val="225"/>
        </w:trPr>
        <w:tc>
          <w:tcPr>
            <w:tcW w:w="300" w:type="dxa"/>
            <w:tcBorders>
              <w:top w:val="nil"/>
              <w:left w:val="nil"/>
              <w:bottom w:val="nil"/>
              <w:right w:val="nil"/>
              <w:tl2br w:val="nil"/>
              <w:tr2bl w:val="nil"/>
            </w:tcBorders>
            <w:shd w:val="clear" w:color="auto" w:fill="FFFFFF"/>
            <w:tcMar>
              <w:left w:w="101" w:type="dxa"/>
              <w:right w:w="101" w:type="dxa"/>
            </w:tcMar>
            <w:vAlign w:val="bottom"/>
          </w:tcPr>
          <w:p w14:paraId="00FA6A7F" w14:textId="77777777" w:rsidR="003F0EEA" w:rsidRDefault="003F0EEA">
            <w:pPr>
              <w:rPr>
                <w:rFonts w:ascii="Arial" w:eastAsia="Arial" w:hAnsi="Arial" w:cs="Arial"/>
                <w:color w:val="000000"/>
                <w:sz w:val="16"/>
              </w:rPr>
            </w:pPr>
          </w:p>
        </w:tc>
        <w:tc>
          <w:tcPr>
            <w:tcW w:w="5400" w:type="dxa"/>
            <w:tcBorders>
              <w:top w:val="nil"/>
              <w:left w:val="nil"/>
              <w:bottom w:val="nil"/>
              <w:right w:val="nil"/>
              <w:tl2br w:val="nil"/>
              <w:tr2bl w:val="nil"/>
            </w:tcBorders>
            <w:shd w:val="clear" w:color="auto" w:fill="FFFFFF"/>
            <w:tcMar>
              <w:left w:w="101" w:type="dxa"/>
              <w:right w:w="101" w:type="dxa"/>
            </w:tcMar>
            <w:vAlign w:val="bottom"/>
          </w:tcPr>
          <w:p w14:paraId="21D43B5E" w14:textId="77777777" w:rsidR="003F0EEA" w:rsidRDefault="00FB7D0B">
            <w:pPr>
              <w:rPr>
                <w:rFonts w:ascii="Arial" w:eastAsia="Arial" w:hAnsi="Arial" w:cs="Arial"/>
                <w:color w:val="000000"/>
                <w:sz w:val="20"/>
              </w:rPr>
            </w:pPr>
            <w:r>
              <w:rPr>
                <w:rFonts w:ascii="Arial" w:eastAsia="Arial" w:hAnsi="Arial" w:cs="Arial"/>
                <w:color w:val="000000"/>
                <w:sz w:val="16"/>
              </w:rPr>
              <w:t>Expenses not requiring appropriation in the Budget year</w:t>
            </w:r>
            <w:r>
              <w:rPr>
                <w:rFonts w:ascii="Arial" w:eastAsia="Arial" w:hAnsi="Arial" w:cs="Arial"/>
                <w:color w:val="000000"/>
                <w:sz w:val="12"/>
                <w:vertAlign w:val="superscript"/>
              </w:rPr>
              <w:t>2 </w:t>
            </w:r>
          </w:p>
        </w:tc>
        <w:tc>
          <w:tcPr>
            <w:tcW w:w="1275"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65F64596" w14:textId="77777777" w:rsidR="003F0EEA" w:rsidRDefault="00FB7D0B">
            <w:pPr>
              <w:jc w:val="right"/>
              <w:rPr>
                <w:rFonts w:ascii="Arial" w:eastAsia="Arial" w:hAnsi="Arial" w:cs="Arial"/>
                <w:color w:val="000000"/>
                <w:sz w:val="12"/>
                <w:vertAlign w:val="superscript"/>
              </w:rPr>
            </w:pPr>
            <w:r>
              <w:rPr>
                <w:rFonts w:ascii="Arial" w:eastAsia="Arial" w:hAnsi="Arial" w:cs="Arial"/>
                <w:color w:val="000000"/>
                <w:sz w:val="16"/>
              </w:rPr>
              <w:t xml:space="preserve"> 14,696 </w:t>
            </w:r>
          </w:p>
        </w:tc>
        <w:tc>
          <w:tcPr>
            <w:tcW w:w="1275" w:type="dxa"/>
            <w:tcBorders>
              <w:top w:val="nil"/>
              <w:left w:val="nil"/>
              <w:bottom w:val="single" w:sz="6" w:space="0" w:color="000000"/>
              <w:right w:val="nil"/>
              <w:tl2br w:val="nil"/>
              <w:tr2bl w:val="nil"/>
            </w:tcBorders>
            <w:shd w:val="clear" w:color="auto" w:fill="FFFF00"/>
            <w:tcMar>
              <w:left w:w="101" w:type="dxa"/>
              <w:right w:w="101" w:type="dxa"/>
            </w:tcMar>
            <w:vAlign w:val="bottom"/>
          </w:tcPr>
          <w:p w14:paraId="33D878ED" w14:textId="77777777" w:rsidR="003F0EEA" w:rsidRDefault="00FB7D0B">
            <w:pPr>
              <w:jc w:val="right"/>
              <w:rPr>
                <w:rFonts w:ascii="Arial" w:eastAsia="Arial" w:hAnsi="Arial" w:cs="Arial"/>
                <w:color w:val="000000"/>
                <w:sz w:val="16"/>
              </w:rPr>
            </w:pPr>
            <w:r>
              <w:rPr>
                <w:rFonts w:ascii="Arial" w:eastAsia="Arial" w:hAnsi="Arial" w:cs="Arial"/>
                <w:color w:val="000000"/>
                <w:sz w:val="16"/>
              </w:rPr>
              <w:t xml:space="preserve"> 16,509 </w:t>
            </w:r>
          </w:p>
        </w:tc>
      </w:tr>
      <w:tr w:rsidR="00FB7D0B" w14:paraId="33A7F46A" w14:textId="77777777" w:rsidTr="00FB7D0B">
        <w:trPr>
          <w:trHeight w:val="225"/>
        </w:trPr>
        <w:tc>
          <w:tcPr>
            <w:tcW w:w="5700" w:type="dxa"/>
            <w:gridSpan w:val="2"/>
            <w:tcBorders>
              <w:top w:val="nil"/>
              <w:left w:val="nil"/>
              <w:bottom w:val="single" w:sz="6" w:space="0" w:color="000000"/>
              <w:right w:val="nil"/>
              <w:tl2br w:val="nil"/>
              <w:tr2bl w:val="nil"/>
            </w:tcBorders>
            <w:shd w:val="clear" w:color="auto" w:fill="FFFFFF"/>
            <w:tcMar>
              <w:left w:w="101" w:type="dxa"/>
              <w:right w:w="101" w:type="dxa"/>
            </w:tcMar>
            <w:vAlign w:val="bottom"/>
          </w:tcPr>
          <w:p w14:paraId="35E577F5" w14:textId="77777777" w:rsidR="003F0EEA" w:rsidRDefault="00FB7D0B">
            <w:pPr>
              <w:rPr>
                <w:rFonts w:ascii="Arial" w:eastAsia="Arial" w:hAnsi="Arial" w:cs="Arial"/>
                <w:color w:val="000000"/>
                <w:sz w:val="16"/>
              </w:rPr>
            </w:pPr>
            <w:r>
              <w:rPr>
                <w:rFonts w:ascii="Arial" w:eastAsia="Arial" w:hAnsi="Arial" w:cs="Arial"/>
                <w:b/>
                <w:color w:val="000000"/>
                <w:sz w:val="16"/>
              </w:rPr>
              <w:t>Total Expenses for Outcome 1</w:t>
            </w:r>
          </w:p>
        </w:tc>
        <w:tc>
          <w:tcPr>
            <w:tcW w:w="1275"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3F37C03B" w14:textId="77777777" w:rsidR="003F0EEA" w:rsidRDefault="00FB7D0B">
            <w:pPr>
              <w:jc w:val="right"/>
              <w:rPr>
                <w:rFonts w:ascii="Arial" w:eastAsia="Arial" w:hAnsi="Arial" w:cs="Arial"/>
                <w:b/>
                <w:color w:val="000000"/>
                <w:sz w:val="16"/>
                <w:vertAlign w:val="superscript"/>
              </w:rPr>
            </w:pPr>
            <w:r>
              <w:rPr>
                <w:rFonts w:ascii="Arial" w:eastAsia="Arial" w:hAnsi="Arial" w:cs="Arial"/>
                <w:b/>
                <w:color w:val="000000"/>
                <w:sz w:val="16"/>
              </w:rPr>
              <w:t xml:space="preserve"> 6,908,126 </w:t>
            </w:r>
          </w:p>
        </w:tc>
        <w:tc>
          <w:tcPr>
            <w:tcW w:w="1275" w:type="dxa"/>
            <w:tcBorders>
              <w:top w:val="single" w:sz="6" w:space="0" w:color="000000"/>
              <w:left w:val="nil"/>
              <w:bottom w:val="single" w:sz="6" w:space="0" w:color="000000"/>
              <w:right w:val="nil"/>
              <w:tl2br w:val="nil"/>
              <w:tr2bl w:val="nil"/>
            </w:tcBorders>
            <w:shd w:val="clear" w:color="auto" w:fill="FFFF00"/>
            <w:tcMar>
              <w:left w:w="101" w:type="dxa"/>
              <w:right w:w="101" w:type="dxa"/>
            </w:tcMar>
            <w:vAlign w:val="bottom"/>
          </w:tcPr>
          <w:p w14:paraId="58D6632F" w14:textId="77777777" w:rsidR="003F0EEA" w:rsidRDefault="00FB7D0B">
            <w:pPr>
              <w:jc w:val="right"/>
              <w:rPr>
                <w:rFonts w:ascii="Arial" w:eastAsia="Arial" w:hAnsi="Arial" w:cs="Arial"/>
                <w:b/>
                <w:color w:val="000000"/>
                <w:sz w:val="16"/>
              </w:rPr>
            </w:pPr>
            <w:r>
              <w:rPr>
                <w:rFonts w:ascii="Arial" w:eastAsia="Arial" w:hAnsi="Arial" w:cs="Arial"/>
                <w:b/>
                <w:color w:val="000000"/>
                <w:sz w:val="16"/>
              </w:rPr>
              <w:t xml:space="preserve"> 6,848,763 </w:t>
            </w:r>
          </w:p>
        </w:tc>
      </w:tr>
      <w:tr w:rsidR="00724034" w14:paraId="52EDDB31" w14:textId="77777777">
        <w:trPr>
          <w:trHeight w:val="225"/>
        </w:trPr>
        <w:tc>
          <w:tcPr>
            <w:tcW w:w="300"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4D586764" w14:textId="77777777" w:rsidR="003F0EEA" w:rsidRDefault="003F0EEA">
            <w:pPr>
              <w:rPr>
                <w:rFonts w:ascii="Arial" w:eastAsia="Arial" w:hAnsi="Arial" w:cs="Arial"/>
                <w:b/>
                <w:color w:val="000000"/>
                <w:sz w:val="16"/>
              </w:rPr>
            </w:pPr>
          </w:p>
        </w:tc>
        <w:tc>
          <w:tcPr>
            <w:tcW w:w="5400"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53833BD9" w14:textId="77777777" w:rsidR="003F0EEA" w:rsidRDefault="003F0EEA">
            <w:pPr>
              <w:rPr>
                <w:rFonts w:ascii="Arial" w:eastAsia="Arial" w:hAnsi="Arial" w:cs="Arial"/>
                <w:color w:val="000000"/>
                <w:sz w:val="16"/>
              </w:rPr>
            </w:pPr>
          </w:p>
        </w:tc>
        <w:tc>
          <w:tcPr>
            <w:tcW w:w="1275"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6C9BC979" w14:textId="77777777" w:rsidR="003F0EEA" w:rsidRDefault="00FB7D0B">
            <w:pPr>
              <w:jc w:val="right"/>
              <w:rPr>
                <w:rFonts w:ascii="Arial" w:eastAsia="Arial" w:hAnsi="Arial" w:cs="Arial"/>
                <w:color w:val="000000"/>
                <w:sz w:val="16"/>
                <w:vertAlign w:val="superscript"/>
              </w:rPr>
            </w:pPr>
            <w:r>
              <w:rPr>
                <w:rFonts w:ascii="Arial" w:eastAsia="Arial" w:hAnsi="Arial" w:cs="Arial"/>
                <w:color w:val="000000"/>
                <w:sz w:val="16"/>
              </w:rPr>
              <w:t>2013-14</w:t>
            </w:r>
          </w:p>
        </w:tc>
        <w:tc>
          <w:tcPr>
            <w:tcW w:w="1275" w:type="dxa"/>
            <w:tcBorders>
              <w:top w:val="single" w:sz="6" w:space="0" w:color="000000"/>
              <w:left w:val="nil"/>
              <w:bottom w:val="single" w:sz="6" w:space="0" w:color="000000"/>
              <w:right w:val="nil"/>
              <w:tl2br w:val="nil"/>
              <w:tr2bl w:val="nil"/>
            </w:tcBorders>
            <w:shd w:val="clear" w:color="auto" w:fill="FFFF00"/>
            <w:tcMar>
              <w:left w:w="101" w:type="dxa"/>
              <w:right w:w="101" w:type="dxa"/>
            </w:tcMar>
            <w:vAlign w:val="bottom"/>
          </w:tcPr>
          <w:p w14:paraId="2F8D1866" w14:textId="77777777" w:rsidR="003F0EEA" w:rsidRDefault="00FB7D0B">
            <w:pPr>
              <w:jc w:val="right"/>
              <w:rPr>
                <w:rFonts w:ascii="Arial" w:eastAsia="Arial" w:hAnsi="Arial" w:cs="Arial"/>
                <w:color w:val="000000"/>
                <w:sz w:val="16"/>
              </w:rPr>
            </w:pPr>
            <w:r>
              <w:rPr>
                <w:rFonts w:ascii="Arial" w:eastAsia="Arial" w:hAnsi="Arial" w:cs="Arial"/>
                <w:color w:val="000000"/>
                <w:sz w:val="16"/>
              </w:rPr>
              <w:t>2014-15</w:t>
            </w:r>
          </w:p>
        </w:tc>
      </w:tr>
      <w:tr w:rsidR="00FB7D0B" w14:paraId="69398421" w14:textId="77777777" w:rsidTr="00FB7D0B">
        <w:trPr>
          <w:trHeight w:val="225"/>
        </w:trPr>
        <w:tc>
          <w:tcPr>
            <w:tcW w:w="5700" w:type="dxa"/>
            <w:gridSpan w:val="2"/>
            <w:tcBorders>
              <w:top w:val="nil"/>
              <w:left w:val="nil"/>
              <w:bottom w:val="single" w:sz="6" w:space="0" w:color="000000"/>
              <w:right w:val="nil"/>
              <w:tl2br w:val="nil"/>
              <w:tr2bl w:val="nil"/>
            </w:tcBorders>
            <w:shd w:val="clear" w:color="auto" w:fill="FFFFFF"/>
            <w:tcMar>
              <w:left w:w="101" w:type="dxa"/>
              <w:right w:w="101" w:type="dxa"/>
            </w:tcMar>
            <w:vAlign w:val="bottom"/>
          </w:tcPr>
          <w:p w14:paraId="09FED459" w14:textId="77777777" w:rsidR="003F0EEA" w:rsidRDefault="00FB7D0B">
            <w:pPr>
              <w:rPr>
                <w:rFonts w:ascii="Arial" w:eastAsia="Arial" w:hAnsi="Arial" w:cs="Arial"/>
                <w:color w:val="000000"/>
                <w:sz w:val="16"/>
              </w:rPr>
            </w:pPr>
            <w:r>
              <w:rPr>
                <w:rFonts w:ascii="Arial" w:eastAsia="Arial" w:hAnsi="Arial" w:cs="Arial"/>
                <w:b/>
                <w:color w:val="000000"/>
                <w:sz w:val="16"/>
              </w:rPr>
              <w:t>Average Staffing Level (number)</w:t>
            </w:r>
          </w:p>
        </w:tc>
        <w:tc>
          <w:tcPr>
            <w:tcW w:w="1275"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1025233E" w14:textId="77777777" w:rsidR="003F0EEA" w:rsidRDefault="00FB7D0B">
            <w:pPr>
              <w:jc w:val="right"/>
              <w:rPr>
                <w:rFonts w:ascii="Arial" w:eastAsia="Arial" w:hAnsi="Arial" w:cs="Arial"/>
                <w:b/>
                <w:color w:val="000000"/>
                <w:sz w:val="16"/>
                <w:vertAlign w:val="superscript"/>
              </w:rPr>
            </w:pPr>
            <w:r>
              <w:rPr>
                <w:rFonts w:ascii="Arial" w:eastAsia="Arial" w:hAnsi="Arial" w:cs="Arial"/>
                <w:color w:val="000000"/>
                <w:sz w:val="16"/>
              </w:rPr>
              <w:t xml:space="preserve"> 988 </w:t>
            </w:r>
          </w:p>
        </w:tc>
        <w:tc>
          <w:tcPr>
            <w:tcW w:w="1275" w:type="dxa"/>
            <w:tcBorders>
              <w:top w:val="single" w:sz="6" w:space="0" w:color="000000"/>
              <w:left w:val="nil"/>
              <w:bottom w:val="single" w:sz="6" w:space="0" w:color="000000"/>
              <w:right w:val="nil"/>
              <w:tl2br w:val="nil"/>
              <w:tr2bl w:val="nil"/>
            </w:tcBorders>
            <w:shd w:val="clear" w:color="auto" w:fill="FFFF00"/>
            <w:tcMar>
              <w:left w:w="101" w:type="dxa"/>
              <w:right w:w="101" w:type="dxa"/>
            </w:tcMar>
            <w:vAlign w:val="bottom"/>
          </w:tcPr>
          <w:p w14:paraId="7BC5AAE1" w14:textId="77777777" w:rsidR="003F0EEA" w:rsidRDefault="00FB7D0B">
            <w:pPr>
              <w:jc w:val="right"/>
              <w:rPr>
                <w:rFonts w:ascii="Arial" w:eastAsia="Arial" w:hAnsi="Arial" w:cs="Arial"/>
                <w:color w:val="000000"/>
                <w:sz w:val="16"/>
              </w:rPr>
            </w:pPr>
            <w:r>
              <w:rPr>
                <w:rFonts w:ascii="Arial" w:eastAsia="Arial" w:hAnsi="Arial" w:cs="Arial"/>
                <w:color w:val="000000"/>
                <w:sz w:val="16"/>
              </w:rPr>
              <w:t>960 </w:t>
            </w:r>
          </w:p>
        </w:tc>
      </w:tr>
    </w:tbl>
    <w:p w14:paraId="5E8ED2B5" w14:textId="77777777" w:rsidR="003F0EEA" w:rsidRDefault="00FB7D0B" w:rsidP="003F0EEA">
      <w:pPr>
        <w:pStyle w:val="ChartandTableFootnote0"/>
        <w:spacing w:before="240"/>
        <w:ind w:right="-22"/>
      </w:pPr>
      <w:r>
        <w:t>1.</w:t>
      </w:r>
      <w:r>
        <w:tab/>
        <w:t>Departmental Appropriation combines ‘Ordinary annual services (Appropriation Bill No. 1)’ and ‘Revenue from independent sources (s31)’.</w:t>
      </w:r>
    </w:p>
    <w:p w14:paraId="28365919" w14:textId="77777777" w:rsidR="003F0EEA" w:rsidRDefault="00FB7D0B" w:rsidP="003F0EEA">
      <w:pPr>
        <w:pStyle w:val="ChartandTableFootnote0"/>
      </w:pPr>
      <w:r>
        <w:t>2.</w:t>
      </w:r>
      <w:r>
        <w:tab/>
        <w:t>Expenses not requiring appropriation in the Budget year are made up of Depreciation Expense, Amortisation Expense and Audit Fees.</w:t>
      </w:r>
    </w:p>
    <w:p w14:paraId="4804EAC6" w14:textId="77777777" w:rsidR="003F0EEA" w:rsidRDefault="00FB7D0B" w:rsidP="003F0EEA">
      <w:pPr>
        <w:pStyle w:val="ChartandTableFootnote0"/>
      </w:pPr>
      <w:r>
        <w:t>3.</w:t>
      </w:r>
      <w:r>
        <w:tab/>
        <w:t>DSHIS expenses (Section 3, Table 3.1.2 and Table 3.2.1c refers).</w:t>
      </w:r>
    </w:p>
    <w:p w14:paraId="7FAF8DD6" w14:textId="77777777" w:rsidR="003F0EEA" w:rsidRDefault="003F0EEA" w:rsidP="003F0EEA">
      <w:pPr>
        <w:pStyle w:val="Source"/>
        <w:rPr>
          <w:rFonts w:cs="Arial"/>
          <w:sz w:val="15"/>
          <w:szCs w:val="15"/>
        </w:rPr>
      </w:pPr>
    </w:p>
    <w:p w14:paraId="0CE137C4" w14:textId="77777777" w:rsidR="003F0EEA" w:rsidRDefault="00FB7D0B" w:rsidP="003F0EEA">
      <w:pPr>
        <w:pStyle w:val="Source"/>
      </w:pPr>
      <w:r>
        <w:rPr>
          <w:rFonts w:cs="Arial"/>
        </w:rPr>
        <w:t>Note: Departmental appropriation splits and totals are indicative estimates and may change in the course of the budget year as government priorities change.</w:t>
      </w:r>
    </w:p>
    <w:p w14:paraId="372518C5" w14:textId="77777777" w:rsidR="003F0EEA" w:rsidRDefault="00FB7D0B">
      <w:pPr>
        <w:spacing w:line="14" w:lineRule="exact"/>
        <w:rPr>
          <w:rFonts w:cs="Times New Roman"/>
        </w:rPr>
      </w:pPr>
      <w:r>
        <w:rPr>
          <w:rFonts w:cs="Times New Roman"/>
        </w:rPr>
        <w:br w:type="page"/>
      </w:r>
    </w:p>
    <w:p w14:paraId="25340ABF" w14:textId="77777777" w:rsidR="003F0EEA" w:rsidRPr="00A17252" w:rsidRDefault="00FB7D0B" w:rsidP="003F0EEA">
      <w:pPr>
        <w:pStyle w:val="Heading42"/>
        <w:spacing w:before="0"/>
        <w:ind w:right="-99"/>
      </w:pPr>
      <w:r>
        <w:rPr>
          <w:rFonts w:cs="Arial"/>
        </w:rPr>
        <w:t>Contributions to Outcome 1</w:t>
      </w:r>
    </w:p>
    <w:tbl>
      <w:tblPr>
        <w:tblW w:w="8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80"/>
      </w:tblGrid>
      <w:tr w:rsidR="00724034" w14:paraId="331ECE02" w14:textId="77777777" w:rsidTr="003F0EEA">
        <w:tc>
          <w:tcPr>
            <w:tcW w:w="8080" w:type="dxa"/>
            <w:tcBorders>
              <w:top w:val="single" w:sz="4" w:space="0" w:color="auto"/>
              <w:left w:val="single" w:sz="4" w:space="0" w:color="auto"/>
              <w:bottom w:val="single" w:sz="4" w:space="0" w:color="auto"/>
              <w:right w:val="single" w:sz="4" w:space="0" w:color="auto"/>
            </w:tcBorders>
            <w:shd w:val="clear" w:color="auto" w:fill="E6E6E6"/>
          </w:tcPr>
          <w:p w14:paraId="588CF84F" w14:textId="77777777" w:rsidR="003F0EEA" w:rsidRPr="00A17252" w:rsidRDefault="00FB7D0B">
            <w:pPr>
              <w:pStyle w:val="TableTextLeft"/>
              <w:rPr>
                <w:b/>
              </w:rPr>
            </w:pPr>
            <w:r w:rsidRPr="00A17252">
              <w:rPr>
                <w:b/>
                <w:sz w:val="20"/>
              </w:rPr>
              <w:t>Program</w:t>
            </w:r>
            <w:r>
              <w:rPr>
                <w:b/>
                <w:sz w:val="20"/>
              </w:rPr>
              <w:t>me</w:t>
            </w:r>
            <w:r w:rsidRPr="00A17252">
              <w:rPr>
                <w:b/>
                <w:sz w:val="20"/>
              </w:rPr>
              <w:t xml:space="preserve"> 1.1: Veterans' Income Support and Allowances</w:t>
            </w:r>
          </w:p>
        </w:tc>
      </w:tr>
      <w:tr w:rsidR="00724034" w14:paraId="7618153E" w14:textId="77777777" w:rsidTr="003F0EEA">
        <w:tc>
          <w:tcPr>
            <w:tcW w:w="8080" w:type="dxa"/>
            <w:tcBorders>
              <w:top w:val="single" w:sz="4" w:space="0" w:color="auto"/>
              <w:left w:val="nil"/>
              <w:bottom w:val="single" w:sz="4" w:space="0" w:color="auto"/>
              <w:right w:val="nil"/>
            </w:tcBorders>
          </w:tcPr>
          <w:p w14:paraId="3FD1FE5D" w14:textId="77777777" w:rsidR="003F0EEA" w:rsidRDefault="003F0EEA">
            <w:pPr>
              <w:pStyle w:val="TableTextLeft"/>
              <w:rPr>
                <w:b/>
              </w:rPr>
            </w:pPr>
          </w:p>
        </w:tc>
      </w:tr>
      <w:tr w:rsidR="00724034" w14:paraId="5EBE8CDE" w14:textId="77777777" w:rsidTr="003F0EEA">
        <w:tc>
          <w:tcPr>
            <w:tcW w:w="8080" w:type="dxa"/>
            <w:tcBorders>
              <w:top w:val="single" w:sz="4" w:space="0" w:color="auto"/>
              <w:left w:val="single" w:sz="4" w:space="0" w:color="auto"/>
              <w:bottom w:val="single" w:sz="4" w:space="0" w:color="auto"/>
              <w:right w:val="single" w:sz="4" w:space="0" w:color="auto"/>
            </w:tcBorders>
          </w:tcPr>
          <w:p w14:paraId="14F3D51A" w14:textId="77777777" w:rsidR="003F0EEA" w:rsidRDefault="00FB7D0B" w:rsidP="003F0EEA">
            <w:pPr>
              <w:pStyle w:val="TableTextLeft"/>
              <w:rPr>
                <w:b/>
              </w:rPr>
            </w:pPr>
            <w:r>
              <w:rPr>
                <w:b/>
              </w:rPr>
              <w:t>Programme 1.1 objective</w:t>
            </w:r>
          </w:p>
          <w:p w14:paraId="6942F75F" w14:textId="77777777" w:rsidR="003F0EEA" w:rsidRDefault="00FB7D0B" w:rsidP="003F0EEA">
            <w:pPr>
              <w:pStyle w:val="Default"/>
              <w:spacing w:after="120"/>
              <w:rPr>
                <w:sz w:val="18"/>
                <w:szCs w:val="18"/>
              </w:rPr>
            </w:pPr>
            <w:r>
              <w:rPr>
                <w:sz w:val="18"/>
                <w:szCs w:val="18"/>
              </w:rPr>
              <w:t xml:space="preserve">To deliver means tested income support pensions and other allowances to eligible veterans and dependants under the </w:t>
            </w:r>
            <w:r>
              <w:rPr>
                <w:i/>
                <w:iCs/>
                <w:sz w:val="18"/>
                <w:szCs w:val="18"/>
              </w:rPr>
              <w:t>Veterans’ Entitlements Act 1986</w:t>
            </w:r>
            <w:r>
              <w:rPr>
                <w:sz w:val="18"/>
                <w:szCs w:val="18"/>
              </w:rPr>
              <w:t xml:space="preserve"> and related legislation, including: </w:t>
            </w:r>
          </w:p>
          <w:p w14:paraId="4918E8CE" w14:textId="77777777" w:rsidR="003F0EEA" w:rsidRDefault="00FB7D0B" w:rsidP="003F0EEA">
            <w:pPr>
              <w:pStyle w:val="TableTextBullet"/>
              <w:spacing w:after="120"/>
              <w:ind w:left="252" w:hanging="252"/>
              <w:rPr>
                <w:szCs w:val="18"/>
              </w:rPr>
            </w:pPr>
            <w:r w:rsidRPr="00D914C9">
              <w:rPr>
                <w:szCs w:val="18"/>
              </w:rPr>
              <w:t xml:space="preserve">Service Pension (Age) and Invalidity Service Pension, similar to Age and Disability Support pensions paid </w:t>
            </w:r>
            <w:r>
              <w:rPr>
                <w:szCs w:val="18"/>
              </w:rPr>
              <w:t>by Department of Human Services</w:t>
            </w:r>
          </w:p>
          <w:p w14:paraId="5BA7F2E3" w14:textId="77777777" w:rsidR="003F0EEA" w:rsidRDefault="00FB7D0B" w:rsidP="003F0EEA">
            <w:pPr>
              <w:pStyle w:val="TableTextBullet"/>
              <w:spacing w:after="120"/>
              <w:ind w:left="252" w:hanging="252"/>
              <w:rPr>
                <w:szCs w:val="18"/>
              </w:rPr>
            </w:pPr>
            <w:r w:rsidRPr="00D914C9">
              <w:rPr>
                <w:szCs w:val="18"/>
              </w:rPr>
              <w:t xml:space="preserve">Partner Service Pension paid to eligible partners of veterans </w:t>
            </w:r>
          </w:p>
          <w:p w14:paraId="551DD651" w14:textId="77777777" w:rsidR="003F0EEA" w:rsidRPr="00D914C9" w:rsidRDefault="00FB7D0B" w:rsidP="003F0EEA">
            <w:pPr>
              <w:pStyle w:val="TableTextBullet"/>
              <w:spacing w:after="120"/>
              <w:ind w:left="252" w:hanging="252"/>
              <w:rPr>
                <w:szCs w:val="18"/>
              </w:rPr>
            </w:pPr>
            <w:r w:rsidRPr="00D914C9">
              <w:rPr>
                <w:szCs w:val="18"/>
              </w:rPr>
              <w:t>Income Support Supplement</w:t>
            </w:r>
            <w:r>
              <w:rPr>
                <w:szCs w:val="18"/>
              </w:rPr>
              <w:t xml:space="preserve"> paid to eligible war widow/ers</w:t>
            </w:r>
          </w:p>
          <w:p w14:paraId="74B3B1D2" w14:textId="77777777" w:rsidR="003F0EEA" w:rsidRDefault="00FB7D0B" w:rsidP="003F0EEA">
            <w:pPr>
              <w:pStyle w:val="Default"/>
              <w:rPr>
                <w:sz w:val="18"/>
                <w:szCs w:val="18"/>
              </w:rPr>
            </w:pPr>
            <w:r>
              <w:rPr>
                <w:sz w:val="18"/>
                <w:szCs w:val="18"/>
              </w:rPr>
              <w:t>Other forms of income support paid to eligible veterans, members and former members of the Defence Force or Peacekeeping Force, include:</w:t>
            </w:r>
          </w:p>
          <w:p w14:paraId="2CB9C1AC" w14:textId="77777777" w:rsidR="003F0EEA" w:rsidRPr="002E59B6" w:rsidRDefault="00FB7D0B" w:rsidP="003F0EEA">
            <w:pPr>
              <w:pStyle w:val="TableTextBullet"/>
              <w:spacing w:after="120"/>
              <w:ind w:left="249" w:hanging="249"/>
              <w:rPr>
                <w:szCs w:val="18"/>
              </w:rPr>
            </w:pPr>
            <w:r w:rsidRPr="002E59B6">
              <w:rPr>
                <w:szCs w:val="18"/>
              </w:rPr>
              <w:t xml:space="preserve">Social Security Age Pension paid to eligible disability pensioners and their partners, paid by DVA as an agent of Department of </w:t>
            </w:r>
            <w:r>
              <w:rPr>
                <w:szCs w:val="18"/>
              </w:rPr>
              <w:t xml:space="preserve">Social Services. </w:t>
            </w:r>
          </w:p>
          <w:p w14:paraId="6D47AB0A" w14:textId="77777777" w:rsidR="003F0EEA" w:rsidRPr="00D914C9" w:rsidRDefault="00FB7D0B" w:rsidP="003F0EEA">
            <w:pPr>
              <w:pStyle w:val="TableTextBullet"/>
              <w:spacing w:after="120"/>
              <w:ind w:left="249" w:hanging="249"/>
              <w:rPr>
                <w:szCs w:val="18"/>
              </w:rPr>
            </w:pPr>
            <w:r w:rsidRPr="00D914C9">
              <w:rPr>
                <w:szCs w:val="18"/>
              </w:rPr>
              <w:t xml:space="preserve">Defence </w:t>
            </w:r>
            <w:r>
              <w:rPr>
                <w:szCs w:val="18"/>
              </w:rPr>
              <w:t>Force Income Support Allowance</w:t>
            </w:r>
          </w:p>
          <w:p w14:paraId="71798A61" w14:textId="77777777" w:rsidR="003F0EEA" w:rsidRDefault="00FB7D0B" w:rsidP="003F0EEA">
            <w:pPr>
              <w:pStyle w:val="TableTextLeft"/>
              <w:rPr>
                <w:b/>
              </w:rPr>
            </w:pPr>
            <w:r>
              <w:rPr>
                <w:szCs w:val="18"/>
              </w:rPr>
              <w:t>Income support payments provide a regular source of income for eligible veterans, partners, widow/ers, and other eligible people with limited means.</w:t>
            </w:r>
          </w:p>
        </w:tc>
      </w:tr>
      <w:tr w:rsidR="00724034" w14:paraId="6CA073F7" w14:textId="77777777" w:rsidTr="003F0EEA">
        <w:trPr>
          <w:trHeight w:val="1286"/>
        </w:trPr>
        <w:tc>
          <w:tcPr>
            <w:tcW w:w="8080" w:type="dxa"/>
            <w:tcBorders>
              <w:top w:val="single" w:sz="4" w:space="0" w:color="auto"/>
              <w:left w:val="single" w:sz="4" w:space="0" w:color="auto"/>
              <w:bottom w:val="single" w:sz="4" w:space="0" w:color="auto"/>
              <w:right w:val="single" w:sz="4" w:space="0" w:color="auto"/>
            </w:tcBorders>
          </w:tcPr>
          <w:p w14:paraId="4F2F1490" w14:textId="77777777" w:rsidR="003F0EEA" w:rsidRDefault="00FB7D0B">
            <w:pPr>
              <w:pStyle w:val="TableTextLeft"/>
              <w:rPr>
                <w:b/>
              </w:rPr>
            </w:pPr>
            <w:r>
              <w:rPr>
                <w:b/>
              </w:rPr>
              <w:t>Linked to:</w:t>
            </w:r>
          </w:p>
          <w:p w14:paraId="5C34B213" w14:textId="77777777" w:rsidR="003F0EEA" w:rsidRPr="00E532B5" w:rsidRDefault="00FB7D0B" w:rsidP="003F0EEA">
            <w:pPr>
              <w:pStyle w:val="TableTextLeft"/>
            </w:pPr>
            <w:r w:rsidRPr="00013873">
              <w:t>This programme is linked to the Department of Social Services Program 1.6 – Income Support for Seniors, Program</w:t>
            </w:r>
            <w:r>
              <w:t xml:space="preserve">me </w:t>
            </w:r>
            <w:r w:rsidRPr="00013873">
              <w:t>1.7 – Allowances, Concessions, Programme 2.1 – Housing Assistance and Homelessness Prevention, and Services for Seniors and Depar</w:t>
            </w:r>
            <w:r>
              <w:t>tment of Human Services Program</w:t>
            </w:r>
            <w:r w:rsidRPr="00013873">
              <w:t>me</w:t>
            </w:r>
            <w:r>
              <w:t xml:space="preserve"> </w:t>
            </w:r>
            <w:r w:rsidRPr="00013873">
              <w:t>1.1 – Services to the Community</w:t>
            </w:r>
            <w:r>
              <w:t xml:space="preserve"> – Social Security and Welfare</w:t>
            </w:r>
            <w:r w:rsidRPr="00013873">
              <w:t>.</w:t>
            </w:r>
            <w:r>
              <w:t xml:space="preserve"> </w:t>
            </w:r>
          </w:p>
        </w:tc>
      </w:tr>
      <w:tr w:rsidR="00724034" w14:paraId="753BDE28" w14:textId="77777777" w:rsidTr="003F0EEA">
        <w:tc>
          <w:tcPr>
            <w:tcW w:w="8080" w:type="dxa"/>
            <w:tcBorders>
              <w:top w:val="single" w:sz="4" w:space="0" w:color="auto"/>
              <w:left w:val="nil"/>
              <w:bottom w:val="single" w:sz="4" w:space="0" w:color="auto"/>
              <w:right w:val="nil"/>
            </w:tcBorders>
          </w:tcPr>
          <w:p w14:paraId="628DCE9A" w14:textId="77777777" w:rsidR="003F0EEA" w:rsidRDefault="003F0EEA">
            <w:pPr>
              <w:pStyle w:val="TableTextLeft"/>
              <w:rPr>
                <w:b/>
              </w:rPr>
            </w:pPr>
          </w:p>
        </w:tc>
      </w:tr>
      <w:tr w:rsidR="00724034" w14:paraId="24EC1DA5" w14:textId="77777777" w:rsidTr="003F0EEA">
        <w:trPr>
          <w:trHeight w:val="854"/>
        </w:trPr>
        <w:tc>
          <w:tcPr>
            <w:tcW w:w="8080" w:type="dxa"/>
            <w:tcBorders>
              <w:top w:val="single" w:sz="4" w:space="0" w:color="auto"/>
              <w:left w:val="single" w:sz="4" w:space="0" w:color="auto"/>
              <w:bottom w:val="single" w:sz="4" w:space="0" w:color="auto"/>
              <w:right w:val="single" w:sz="4" w:space="0" w:color="auto"/>
            </w:tcBorders>
          </w:tcPr>
          <w:p w14:paraId="14C69A2C" w14:textId="77777777" w:rsidR="003F0EEA" w:rsidRDefault="00FB7D0B" w:rsidP="003F0EEA">
            <w:pPr>
              <w:pStyle w:val="TableTextLeft"/>
              <w:rPr>
                <w:b/>
              </w:rPr>
            </w:pPr>
            <w:r>
              <w:rPr>
                <w:b/>
              </w:rPr>
              <w:t>Programme 1.1 expenses</w:t>
            </w:r>
          </w:p>
          <w:p w14:paraId="2215445B" w14:textId="77777777" w:rsidR="003F0EEA" w:rsidRPr="002E59B6" w:rsidRDefault="00FB7D0B" w:rsidP="003F0EEA">
            <w:pPr>
              <w:pStyle w:val="TableTextLeft"/>
            </w:pPr>
            <w:r>
              <w:t>As the veteran population continues to age, programme expenses are expected to fall in real terms over the forward years.</w:t>
            </w:r>
          </w:p>
        </w:tc>
      </w:tr>
    </w:tbl>
    <w:p w14:paraId="1139FA77" w14:textId="77777777" w:rsidR="00724034" w:rsidRDefault="0072403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2"/>
        <w:gridCol w:w="222"/>
        <w:gridCol w:w="2730"/>
        <w:gridCol w:w="975"/>
        <w:gridCol w:w="975"/>
        <w:gridCol w:w="975"/>
        <w:gridCol w:w="975"/>
        <w:gridCol w:w="975"/>
      </w:tblGrid>
      <w:tr w:rsidR="00724034" w14:paraId="4A5260F3" w14:textId="77777777">
        <w:trPr>
          <w:trHeight w:val="225"/>
        </w:trPr>
        <w:tc>
          <w:tcPr>
            <w:tcW w:w="180" w:type="dxa"/>
            <w:tcBorders>
              <w:top w:val="single" w:sz="6" w:space="0" w:color="000000"/>
              <w:left w:val="single" w:sz="6" w:space="0" w:color="000000"/>
              <w:bottom w:val="nil"/>
              <w:right w:val="nil"/>
              <w:tl2br w:val="nil"/>
              <w:tr2bl w:val="nil"/>
            </w:tcBorders>
            <w:shd w:val="clear" w:color="auto" w:fill="FFFFFF"/>
            <w:tcMar>
              <w:left w:w="101" w:type="dxa"/>
              <w:right w:w="101" w:type="dxa"/>
            </w:tcMar>
            <w:vAlign w:val="bottom"/>
          </w:tcPr>
          <w:p w14:paraId="784A718E" w14:textId="77777777" w:rsidR="00724034" w:rsidRDefault="00724034"/>
        </w:tc>
        <w:tc>
          <w:tcPr>
            <w:tcW w:w="180"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5AF35BFB" w14:textId="77777777" w:rsidR="00724034" w:rsidRDefault="00724034">
            <w:pPr>
              <w:rPr>
                <w:rFonts w:ascii="Arial" w:eastAsia="Arial" w:hAnsi="Arial" w:cs="Arial"/>
                <w:color w:val="000000"/>
                <w:sz w:val="16"/>
              </w:rPr>
            </w:pPr>
          </w:p>
        </w:tc>
        <w:tc>
          <w:tcPr>
            <w:tcW w:w="2730"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451C8EB7" w14:textId="77777777" w:rsidR="00724034" w:rsidRDefault="00724034">
            <w:pPr>
              <w:jc w:val="center"/>
              <w:rPr>
                <w:rFonts w:ascii="Arial" w:eastAsia="Arial" w:hAnsi="Arial" w:cs="Arial"/>
                <w:color w:val="000000"/>
                <w:sz w:val="16"/>
              </w:rPr>
            </w:pPr>
          </w:p>
        </w:tc>
        <w:tc>
          <w:tcPr>
            <w:tcW w:w="97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739BD6D9" w14:textId="77777777" w:rsidR="00724034" w:rsidRDefault="00FB7D0B">
            <w:pPr>
              <w:jc w:val="right"/>
              <w:rPr>
                <w:rFonts w:ascii="Arial" w:eastAsia="Arial" w:hAnsi="Arial" w:cs="Arial"/>
                <w:color w:val="000000"/>
                <w:sz w:val="16"/>
                <w:vertAlign w:val="superscript"/>
              </w:rPr>
            </w:pPr>
            <w:r>
              <w:rPr>
                <w:rFonts w:ascii="Arial" w:eastAsia="Arial" w:hAnsi="Arial" w:cs="Arial"/>
                <w:color w:val="000000"/>
                <w:sz w:val="16"/>
              </w:rPr>
              <w:t>2013-14</w:t>
            </w:r>
          </w:p>
        </w:tc>
        <w:tc>
          <w:tcPr>
            <w:tcW w:w="975" w:type="dxa"/>
            <w:tcBorders>
              <w:top w:val="single" w:sz="6" w:space="0" w:color="000000"/>
              <w:left w:val="nil"/>
              <w:bottom w:val="nil"/>
              <w:right w:val="nil"/>
              <w:tl2br w:val="nil"/>
              <w:tr2bl w:val="nil"/>
            </w:tcBorders>
            <w:shd w:val="clear" w:color="auto" w:fill="FFFF00"/>
            <w:tcMar>
              <w:left w:w="101" w:type="dxa"/>
              <w:right w:w="101" w:type="dxa"/>
            </w:tcMar>
            <w:vAlign w:val="bottom"/>
          </w:tcPr>
          <w:p w14:paraId="3C8E30E7" w14:textId="77777777" w:rsidR="00724034" w:rsidRDefault="00FB7D0B">
            <w:pPr>
              <w:jc w:val="right"/>
              <w:rPr>
                <w:rFonts w:ascii="Arial" w:eastAsia="Arial" w:hAnsi="Arial" w:cs="Arial"/>
                <w:color w:val="000000"/>
                <w:sz w:val="16"/>
              </w:rPr>
            </w:pPr>
            <w:r>
              <w:rPr>
                <w:rFonts w:ascii="Arial" w:eastAsia="Arial" w:hAnsi="Arial" w:cs="Arial"/>
                <w:color w:val="000000"/>
                <w:sz w:val="16"/>
              </w:rPr>
              <w:t>2014-15</w:t>
            </w:r>
          </w:p>
        </w:tc>
        <w:tc>
          <w:tcPr>
            <w:tcW w:w="97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35F6E150" w14:textId="77777777" w:rsidR="00724034" w:rsidRDefault="00FB7D0B">
            <w:pPr>
              <w:jc w:val="right"/>
              <w:rPr>
                <w:rFonts w:ascii="Arial" w:eastAsia="Arial" w:hAnsi="Arial" w:cs="Arial"/>
                <w:color w:val="000000"/>
                <w:sz w:val="16"/>
              </w:rPr>
            </w:pPr>
            <w:r>
              <w:rPr>
                <w:rFonts w:ascii="Arial" w:eastAsia="Arial" w:hAnsi="Arial" w:cs="Arial"/>
                <w:color w:val="000000"/>
                <w:sz w:val="16"/>
              </w:rPr>
              <w:t>2015-16</w:t>
            </w:r>
          </w:p>
        </w:tc>
        <w:tc>
          <w:tcPr>
            <w:tcW w:w="97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5B2E9A45" w14:textId="77777777" w:rsidR="00724034" w:rsidRDefault="00FB7D0B">
            <w:pPr>
              <w:jc w:val="right"/>
              <w:rPr>
                <w:rFonts w:ascii="Arial" w:eastAsia="Arial" w:hAnsi="Arial" w:cs="Arial"/>
                <w:color w:val="000000"/>
                <w:sz w:val="16"/>
              </w:rPr>
            </w:pPr>
            <w:r>
              <w:rPr>
                <w:rFonts w:ascii="Arial" w:eastAsia="Arial" w:hAnsi="Arial" w:cs="Arial"/>
                <w:color w:val="000000"/>
                <w:sz w:val="16"/>
              </w:rPr>
              <w:t>2016-17</w:t>
            </w:r>
          </w:p>
        </w:tc>
        <w:tc>
          <w:tcPr>
            <w:tcW w:w="975" w:type="dxa"/>
            <w:tcBorders>
              <w:top w:val="single" w:sz="6" w:space="0" w:color="000000"/>
              <w:left w:val="nil"/>
              <w:bottom w:val="nil"/>
              <w:right w:val="single" w:sz="6" w:space="0" w:color="000000"/>
              <w:tl2br w:val="nil"/>
              <w:tr2bl w:val="nil"/>
            </w:tcBorders>
            <w:shd w:val="clear" w:color="auto" w:fill="FFFFFF"/>
            <w:tcMar>
              <w:left w:w="101" w:type="dxa"/>
              <w:right w:w="101" w:type="dxa"/>
            </w:tcMar>
            <w:vAlign w:val="bottom"/>
          </w:tcPr>
          <w:p w14:paraId="25E12B99" w14:textId="77777777" w:rsidR="00724034" w:rsidRDefault="00FB7D0B">
            <w:pPr>
              <w:jc w:val="right"/>
              <w:rPr>
                <w:rFonts w:ascii="Arial" w:eastAsia="Arial" w:hAnsi="Arial" w:cs="Arial"/>
                <w:color w:val="000000"/>
                <w:sz w:val="16"/>
              </w:rPr>
            </w:pPr>
            <w:r>
              <w:rPr>
                <w:rFonts w:ascii="Arial" w:eastAsia="Arial" w:hAnsi="Arial" w:cs="Arial"/>
                <w:color w:val="000000"/>
                <w:sz w:val="16"/>
              </w:rPr>
              <w:t>2017-18</w:t>
            </w:r>
          </w:p>
        </w:tc>
      </w:tr>
      <w:tr w:rsidR="00724034" w14:paraId="6F2128DA" w14:textId="77777777">
        <w:trPr>
          <w:trHeight w:val="225"/>
        </w:trPr>
        <w:tc>
          <w:tcPr>
            <w:tcW w:w="180" w:type="dxa"/>
            <w:tcBorders>
              <w:top w:val="nil"/>
              <w:left w:val="single" w:sz="6" w:space="0" w:color="000000"/>
              <w:bottom w:val="nil"/>
              <w:right w:val="nil"/>
              <w:tl2br w:val="nil"/>
              <w:tr2bl w:val="nil"/>
            </w:tcBorders>
            <w:shd w:val="clear" w:color="auto" w:fill="FFFFFF"/>
            <w:tcMar>
              <w:left w:w="101" w:type="dxa"/>
              <w:right w:w="101" w:type="dxa"/>
            </w:tcMar>
            <w:vAlign w:val="bottom"/>
          </w:tcPr>
          <w:p w14:paraId="555E3859" w14:textId="77777777" w:rsidR="00724034" w:rsidRDefault="00724034">
            <w:pPr>
              <w:rPr>
                <w:rFonts w:ascii="Arial" w:eastAsia="Arial" w:hAnsi="Arial" w:cs="Arial"/>
                <w:color w:val="000000"/>
                <w:sz w:val="16"/>
              </w:rPr>
            </w:pPr>
          </w:p>
        </w:tc>
        <w:tc>
          <w:tcPr>
            <w:tcW w:w="180" w:type="dxa"/>
            <w:tcBorders>
              <w:top w:val="nil"/>
              <w:left w:val="nil"/>
              <w:bottom w:val="nil"/>
              <w:right w:val="nil"/>
              <w:tl2br w:val="nil"/>
              <w:tr2bl w:val="nil"/>
            </w:tcBorders>
            <w:shd w:val="clear" w:color="auto" w:fill="FFFFFF"/>
            <w:tcMar>
              <w:left w:w="101" w:type="dxa"/>
              <w:right w:w="101" w:type="dxa"/>
            </w:tcMar>
            <w:vAlign w:val="bottom"/>
          </w:tcPr>
          <w:p w14:paraId="1AA481A8" w14:textId="77777777" w:rsidR="00724034" w:rsidRDefault="00724034">
            <w:pPr>
              <w:rPr>
                <w:rFonts w:ascii="Arial" w:eastAsia="Arial" w:hAnsi="Arial" w:cs="Arial"/>
                <w:color w:val="000000"/>
                <w:sz w:val="16"/>
              </w:rPr>
            </w:pPr>
          </w:p>
        </w:tc>
        <w:tc>
          <w:tcPr>
            <w:tcW w:w="2730" w:type="dxa"/>
            <w:tcBorders>
              <w:top w:val="nil"/>
              <w:left w:val="nil"/>
              <w:bottom w:val="nil"/>
              <w:right w:val="nil"/>
              <w:tl2br w:val="nil"/>
              <w:tr2bl w:val="nil"/>
            </w:tcBorders>
            <w:shd w:val="clear" w:color="auto" w:fill="FFFFFF"/>
            <w:tcMar>
              <w:left w:w="101" w:type="dxa"/>
              <w:right w:w="101" w:type="dxa"/>
            </w:tcMar>
            <w:vAlign w:val="bottom"/>
          </w:tcPr>
          <w:p w14:paraId="340EBCE9" w14:textId="77777777" w:rsidR="00724034" w:rsidRDefault="00724034">
            <w:pPr>
              <w:rPr>
                <w:rFonts w:ascii="Arial" w:eastAsia="Arial" w:hAnsi="Arial" w:cs="Arial"/>
                <w:color w:val="000000"/>
                <w:sz w:val="16"/>
              </w:rPr>
            </w:pPr>
          </w:p>
        </w:tc>
        <w:tc>
          <w:tcPr>
            <w:tcW w:w="975" w:type="dxa"/>
            <w:tcBorders>
              <w:top w:val="nil"/>
              <w:left w:val="nil"/>
              <w:bottom w:val="nil"/>
              <w:right w:val="nil"/>
              <w:tl2br w:val="nil"/>
              <w:tr2bl w:val="nil"/>
            </w:tcBorders>
            <w:shd w:val="clear" w:color="auto" w:fill="FFFFFF"/>
            <w:tcMar>
              <w:left w:w="101" w:type="dxa"/>
              <w:right w:w="101" w:type="dxa"/>
            </w:tcMar>
            <w:vAlign w:val="bottom"/>
          </w:tcPr>
          <w:p w14:paraId="3471F6EF" w14:textId="77777777" w:rsidR="00724034" w:rsidRDefault="00FB7D0B">
            <w:pPr>
              <w:jc w:val="right"/>
              <w:rPr>
                <w:rFonts w:ascii="Arial" w:eastAsia="Arial" w:hAnsi="Arial" w:cs="Arial"/>
                <w:color w:val="000000"/>
                <w:sz w:val="16"/>
                <w:vertAlign w:val="superscript"/>
              </w:rPr>
            </w:pPr>
            <w:r>
              <w:rPr>
                <w:rFonts w:ascii="Arial" w:eastAsia="Arial" w:hAnsi="Arial" w:cs="Arial"/>
                <w:color w:val="000000"/>
                <w:sz w:val="16"/>
              </w:rPr>
              <w:t>Revised</w:t>
            </w:r>
          </w:p>
        </w:tc>
        <w:tc>
          <w:tcPr>
            <w:tcW w:w="975" w:type="dxa"/>
            <w:tcBorders>
              <w:top w:val="nil"/>
              <w:left w:val="nil"/>
              <w:bottom w:val="nil"/>
              <w:right w:val="nil"/>
              <w:tl2br w:val="nil"/>
              <w:tr2bl w:val="nil"/>
            </w:tcBorders>
            <w:shd w:val="clear" w:color="auto" w:fill="FFFF00"/>
            <w:tcMar>
              <w:left w:w="101" w:type="dxa"/>
              <w:right w:w="101" w:type="dxa"/>
            </w:tcMar>
            <w:vAlign w:val="bottom"/>
          </w:tcPr>
          <w:p w14:paraId="131B02D2" w14:textId="77777777" w:rsidR="00724034" w:rsidRDefault="00FB7D0B">
            <w:pPr>
              <w:jc w:val="right"/>
              <w:rPr>
                <w:rFonts w:ascii="Arial" w:eastAsia="Arial" w:hAnsi="Arial" w:cs="Arial"/>
                <w:color w:val="000000"/>
                <w:sz w:val="16"/>
              </w:rPr>
            </w:pPr>
            <w:r>
              <w:rPr>
                <w:rFonts w:ascii="Arial" w:eastAsia="Arial" w:hAnsi="Arial" w:cs="Arial"/>
                <w:color w:val="000000"/>
                <w:sz w:val="16"/>
              </w:rPr>
              <w:t>Budget</w:t>
            </w:r>
          </w:p>
        </w:tc>
        <w:tc>
          <w:tcPr>
            <w:tcW w:w="975" w:type="dxa"/>
            <w:tcBorders>
              <w:top w:val="nil"/>
              <w:left w:val="nil"/>
              <w:bottom w:val="nil"/>
              <w:right w:val="nil"/>
              <w:tl2br w:val="nil"/>
              <w:tr2bl w:val="nil"/>
            </w:tcBorders>
            <w:shd w:val="clear" w:color="auto" w:fill="FFFFFF"/>
            <w:tcMar>
              <w:left w:w="101" w:type="dxa"/>
              <w:right w:w="101" w:type="dxa"/>
            </w:tcMar>
            <w:vAlign w:val="bottom"/>
          </w:tcPr>
          <w:p w14:paraId="0E47FD85" w14:textId="77777777" w:rsidR="00724034" w:rsidRDefault="00FB7D0B">
            <w:pPr>
              <w:jc w:val="right"/>
              <w:rPr>
                <w:rFonts w:ascii="Arial" w:eastAsia="Arial" w:hAnsi="Arial" w:cs="Arial"/>
                <w:color w:val="000000"/>
                <w:sz w:val="16"/>
              </w:rPr>
            </w:pPr>
            <w:r>
              <w:rPr>
                <w:rFonts w:ascii="Arial" w:eastAsia="Arial" w:hAnsi="Arial" w:cs="Arial"/>
                <w:color w:val="000000"/>
                <w:sz w:val="16"/>
              </w:rPr>
              <w:t>Forward</w:t>
            </w:r>
          </w:p>
        </w:tc>
        <w:tc>
          <w:tcPr>
            <w:tcW w:w="975" w:type="dxa"/>
            <w:tcBorders>
              <w:top w:val="nil"/>
              <w:left w:val="nil"/>
              <w:bottom w:val="nil"/>
              <w:right w:val="nil"/>
              <w:tl2br w:val="nil"/>
              <w:tr2bl w:val="nil"/>
            </w:tcBorders>
            <w:shd w:val="clear" w:color="auto" w:fill="FFFFFF"/>
            <w:tcMar>
              <w:left w:w="101" w:type="dxa"/>
              <w:right w:w="101" w:type="dxa"/>
            </w:tcMar>
            <w:vAlign w:val="bottom"/>
          </w:tcPr>
          <w:p w14:paraId="7AD598E0" w14:textId="77777777" w:rsidR="00724034" w:rsidRDefault="00FB7D0B">
            <w:pPr>
              <w:jc w:val="right"/>
              <w:rPr>
                <w:rFonts w:ascii="Arial" w:eastAsia="Arial" w:hAnsi="Arial" w:cs="Arial"/>
                <w:color w:val="000000"/>
                <w:sz w:val="16"/>
              </w:rPr>
            </w:pPr>
            <w:r>
              <w:rPr>
                <w:rFonts w:ascii="Arial" w:eastAsia="Arial" w:hAnsi="Arial" w:cs="Arial"/>
                <w:color w:val="000000"/>
                <w:sz w:val="16"/>
              </w:rPr>
              <w:t>Forward</w:t>
            </w:r>
          </w:p>
        </w:tc>
        <w:tc>
          <w:tcPr>
            <w:tcW w:w="975" w:type="dxa"/>
            <w:tcBorders>
              <w:top w:val="nil"/>
              <w:left w:val="nil"/>
              <w:bottom w:val="nil"/>
              <w:right w:val="single" w:sz="6" w:space="0" w:color="000000"/>
              <w:tl2br w:val="nil"/>
              <w:tr2bl w:val="nil"/>
            </w:tcBorders>
            <w:shd w:val="clear" w:color="auto" w:fill="FFFFFF"/>
            <w:tcMar>
              <w:left w:w="101" w:type="dxa"/>
              <w:right w:w="101" w:type="dxa"/>
            </w:tcMar>
            <w:vAlign w:val="bottom"/>
          </w:tcPr>
          <w:p w14:paraId="6F56C71A" w14:textId="77777777" w:rsidR="00724034" w:rsidRDefault="00FB7D0B">
            <w:pPr>
              <w:jc w:val="right"/>
              <w:rPr>
                <w:rFonts w:ascii="Arial" w:eastAsia="Arial" w:hAnsi="Arial" w:cs="Arial"/>
                <w:color w:val="000000"/>
                <w:sz w:val="16"/>
              </w:rPr>
            </w:pPr>
            <w:r>
              <w:rPr>
                <w:rFonts w:ascii="Arial" w:eastAsia="Arial" w:hAnsi="Arial" w:cs="Arial"/>
                <w:color w:val="000000"/>
                <w:sz w:val="16"/>
              </w:rPr>
              <w:t>Forward</w:t>
            </w:r>
          </w:p>
        </w:tc>
      </w:tr>
      <w:tr w:rsidR="00FB7D0B" w14:paraId="63C92827" w14:textId="77777777" w:rsidTr="00FB7D0B">
        <w:trPr>
          <w:trHeight w:val="225"/>
        </w:trPr>
        <w:tc>
          <w:tcPr>
            <w:tcW w:w="3090" w:type="dxa"/>
            <w:gridSpan w:val="3"/>
            <w:tcBorders>
              <w:top w:val="nil"/>
              <w:left w:val="single" w:sz="6" w:space="0" w:color="000000"/>
              <w:bottom w:val="single" w:sz="6" w:space="0" w:color="000000"/>
              <w:right w:val="nil"/>
              <w:tl2br w:val="nil"/>
              <w:tr2bl w:val="nil"/>
            </w:tcBorders>
            <w:shd w:val="clear" w:color="auto" w:fill="FFFFFF"/>
            <w:tcMar>
              <w:left w:w="101" w:type="dxa"/>
              <w:right w:w="101" w:type="dxa"/>
            </w:tcMar>
            <w:vAlign w:val="bottom"/>
          </w:tcPr>
          <w:p w14:paraId="66292F80" w14:textId="77777777" w:rsidR="00724034" w:rsidRDefault="00FB7D0B">
            <w:pPr>
              <w:rPr>
                <w:rFonts w:ascii="Arial" w:eastAsia="Arial" w:hAnsi="Arial" w:cs="Arial"/>
                <w:color w:val="000000"/>
                <w:sz w:val="16"/>
              </w:rPr>
            </w:pPr>
            <w:r>
              <w:rPr>
                <w:rFonts w:ascii="Arial" w:eastAsia="Arial" w:hAnsi="Arial" w:cs="Arial"/>
                <w:color w:val="000000"/>
                <w:sz w:val="16"/>
              </w:rPr>
              <w:t>$('000)</w:t>
            </w:r>
          </w:p>
        </w:tc>
        <w:tc>
          <w:tcPr>
            <w:tcW w:w="975"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55102887" w14:textId="77777777" w:rsidR="00724034" w:rsidRDefault="00FB7D0B">
            <w:pPr>
              <w:jc w:val="right"/>
              <w:rPr>
                <w:rFonts w:ascii="Arial" w:eastAsia="Arial" w:hAnsi="Arial" w:cs="Arial"/>
                <w:color w:val="000000"/>
                <w:sz w:val="16"/>
                <w:vertAlign w:val="superscript"/>
              </w:rPr>
            </w:pPr>
            <w:r>
              <w:rPr>
                <w:rFonts w:ascii="Arial" w:eastAsia="Arial" w:hAnsi="Arial" w:cs="Arial"/>
                <w:color w:val="000000"/>
                <w:sz w:val="16"/>
              </w:rPr>
              <w:t>budget</w:t>
            </w:r>
          </w:p>
        </w:tc>
        <w:tc>
          <w:tcPr>
            <w:tcW w:w="975" w:type="dxa"/>
            <w:tcBorders>
              <w:top w:val="nil"/>
              <w:left w:val="nil"/>
              <w:bottom w:val="single" w:sz="6" w:space="0" w:color="000000"/>
              <w:right w:val="nil"/>
              <w:tl2br w:val="nil"/>
              <w:tr2bl w:val="nil"/>
            </w:tcBorders>
            <w:shd w:val="clear" w:color="auto" w:fill="FFFF00"/>
            <w:tcMar>
              <w:left w:w="101" w:type="dxa"/>
              <w:right w:w="101" w:type="dxa"/>
            </w:tcMar>
            <w:vAlign w:val="bottom"/>
          </w:tcPr>
          <w:p w14:paraId="67EF9384" w14:textId="77777777" w:rsidR="00724034" w:rsidRDefault="00724034">
            <w:pPr>
              <w:jc w:val="right"/>
              <w:rPr>
                <w:rFonts w:ascii="Arial" w:eastAsia="Arial" w:hAnsi="Arial" w:cs="Arial"/>
                <w:color w:val="000000"/>
                <w:sz w:val="16"/>
              </w:rPr>
            </w:pPr>
          </w:p>
        </w:tc>
        <w:tc>
          <w:tcPr>
            <w:tcW w:w="975"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6CFB0BF0" w14:textId="77777777" w:rsidR="00724034" w:rsidRDefault="00FB7D0B">
            <w:pPr>
              <w:jc w:val="right"/>
              <w:rPr>
                <w:rFonts w:ascii="Arial" w:eastAsia="Arial" w:hAnsi="Arial" w:cs="Arial"/>
                <w:color w:val="000000"/>
                <w:sz w:val="16"/>
              </w:rPr>
            </w:pPr>
            <w:r>
              <w:rPr>
                <w:rFonts w:ascii="Arial" w:eastAsia="Arial" w:hAnsi="Arial" w:cs="Arial"/>
                <w:color w:val="000000"/>
                <w:sz w:val="16"/>
              </w:rPr>
              <w:t>year 1</w:t>
            </w:r>
          </w:p>
        </w:tc>
        <w:tc>
          <w:tcPr>
            <w:tcW w:w="975"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7605DFFC" w14:textId="77777777" w:rsidR="00724034" w:rsidRDefault="00FB7D0B">
            <w:pPr>
              <w:jc w:val="right"/>
              <w:rPr>
                <w:rFonts w:ascii="Arial" w:eastAsia="Arial" w:hAnsi="Arial" w:cs="Arial"/>
                <w:color w:val="000000"/>
                <w:sz w:val="16"/>
              </w:rPr>
            </w:pPr>
            <w:r>
              <w:rPr>
                <w:rFonts w:ascii="Arial" w:eastAsia="Arial" w:hAnsi="Arial" w:cs="Arial"/>
                <w:color w:val="000000"/>
                <w:sz w:val="16"/>
              </w:rPr>
              <w:t>year 2</w:t>
            </w:r>
          </w:p>
        </w:tc>
        <w:tc>
          <w:tcPr>
            <w:tcW w:w="975" w:type="dxa"/>
            <w:tcBorders>
              <w:top w:val="nil"/>
              <w:left w:val="nil"/>
              <w:bottom w:val="single" w:sz="6" w:space="0" w:color="000000"/>
              <w:right w:val="single" w:sz="6" w:space="0" w:color="000000"/>
              <w:tl2br w:val="nil"/>
              <w:tr2bl w:val="nil"/>
            </w:tcBorders>
            <w:shd w:val="clear" w:color="auto" w:fill="FFFFFF"/>
            <w:tcMar>
              <w:left w:w="101" w:type="dxa"/>
              <w:right w:w="101" w:type="dxa"/>
            </w:tcMar>
            <w:vAlign w:val="bottom"/>
          </w:tcPr>
          <w:p w14:paraId="5A6EB2AB" w14:textId="77777777" w:rsidR="00724034" w:rsidRDefault="00FB7D0B">
            <w:pPr>
              <w:jc w:val="right"/>
              <w:rPr>
                <w:rFonts w:ascii="Arial" w:eastAsia="Arial" w:hAnsi="Arial" w:cs="Arial"/>
                <w:color w:val="000000"/>
                <w:sz w:val="16"/>
              </w:rPr>
            </w:pPr>
            <w:r>
              <w:rPr>
                <w:rFonts w:ascii="Arial" w:eastAsia="Arial" w:hAnsi="Arial" w:cs="Arial"/>
                <w:color w:val="000000"/>
                <w:sz w:val="16"/>
              </w:rPr>
              <w:t>year 3</w:t>
            </w:r>
          </w:p>
        </w:tc>
      </w:tr>
      <w:tr w:rsidR="00FB7D0B" w14:paraId="67F6F548" w14:textId="77777777" w:rsidTr="00FB7D0B">
        <w:trPr>
          <w:trHeight w:val="225"/>
        </w:trPr>
        <w:tc>
          <w:tcPr>
            <w:tcW w:w="3090" w:type="dxa"/>
            <w:gridSpan w:val="3"/>
            <w:tcBorders>
              <w:top w:val="single" w:sz="6" w:space="0" w:color="000000"/>
              <w:left w:val="single" w:sz="6" w:space="0" w:color="000000"/>
              <w:bottom w:val="nil"/>
              <w:right w:val="nil"/>
              <w:tl2br w:val="nil"/>
              <w:tr2bl w:val="nil"/>
            </w:tcBorders>
            <w:shd w:val="clear" w:color="auto" w:fill="FFFFFF"/>
            <w:tcMar>
              <w:left w:w="101" w:type="dxa"/>
              <w:right w:w="101" w:type="dxa"/>
            </w:tcMar>
            <w:vAlign w:val="bottom"/>
          </w:tcPr>
          <w:p w14:paraId="37165ECC" w14:textId="77777777" w:rsidR="00724034" w:rsidRDefault="00FB7D0B">
            <w:pPr>
              <w:rPr>
                <w:rFonts w:ascii="Arial" w:eastAsia="Arial" w:hAnsi="Arial" w:cs="Arial"/>
                <w:color w:val="000000"/>
                <w:sz w:val="16"/>
              </w:rPr>
            </w:pPr>
            <w:r>
              <w:rPr>
                <w:rFonts w:ascii="Arial" w:eastAsia="Arial" w:hAnsi="Arial" w:cs="Arial"/>
                <w:color w:val="000000"/>
                <w:sz w:val="16"/>
              </w:rPr>
              <w:t>Special appropriations:</w:t>
            </w:r>
          </w:p>
        </w:tc>
        <w:tc>
          <w:tcPr>
            <w:tcW w:w="97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703F90E6" w14:textId="77777777" w:rsidR="00724034" w:rsidRDefault="00724034">
            <w:pPr>
              <w:rPr>
                <w:rFonts w:ascii="Arial" w:eastAsia="Arial" w:hAnsi="Arial" w:cs="Arial"/>
                <w:color w:val="000000"/>
                <w:sz w:val="16"/>
                <w:vertAlign w:val="superscript"/>
              </w:rPr>
            </w:pPr>
          </w:p>
        </w:tc>
        <w:tc>
          <w:tcPr>
            <w:tcW w:w="975" w:type="dxa"/>
            <w:tcBorders>
              <w:top w:val="single" w:sz="6" w:space="0" w:color="000000"/>
              <w:left w:val="nil"/>
              <w:bottom w:val="nil"/>
              <w:right w:val="nil"/>
              <w:tl2br w:val="nil"/>
              <w:tr2bl w:val="nil"/>
            </w:tcBorders>
            <w:shd w:val="clear" w:color="auto" w:fill="FFFF00"/>
            <w:tcMar>
              <w:left w:w="101" w:type="dxa"/>
              <w:right w:w="101" w:type="dxa"/>
            </w:tcMar>
            <w:vAlign w:val="bottom"/>
          </w:tcPr>
          <w:p w14:paraId="51A6AAC2" w14:textId="77777777" w:rsidR="00724034" w:rsidRDefault="00724034">
            <w:pPr>
              <w:jc w:val="right"/>
              <w:rPr>
                <w:rFonts w:ascii="Arial" w:eastAsia="Arial" w:hAnsi="Arial" w:cs="Arial"/>
                <w:color w:val="000000"/>
                <w:sz w:val="16"/>
                <w:vertAlign w:val="superscript"/>
              </w:rPr>
            </w:pPr>
          </w:p>
        </w:tc>
        <w:tc>
          <w:tcPr>
            <w:tcW w:w="97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01F1C134" w14:textId="77777777" w:rsidR="00724034" w:rsidRDefault="00724034">
            <w:pPr>
              <w:jc w:val="right"/>
              <w:rPr>
                <w:rFonts w:ascii="Arial" w:eastAsia="Arial" w:hAnsi="Arial" w:cs="Arial"/>
                <w:color w:val="000000"/>
                <w:sz w:val="16"/>
                <w:vertAlign w:val="superscript"/>
              </w:rPr>
            </w:pPr>
          </w:p>
        </w:tc>
        <w:tc>
          <w:tcPr>
            <w:tcW w:w="97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328D8A82" w14:textId="77777777" w:rsidR="00724034" w:rsidRDefault="00724034">
            <w:pPr>
              <w:jc w:val="right"/>
              <w:rPr>
                <w:rFonts w:ascii="Arial" w:eastAsia="Arial" w:hAnsi="Arial" w:cs="Arial"/>
                <w:color w:val="000000"/>
                <w:sz w:val="16"/>
                <w:vertAlign w:val="superscript"/>
              </w:rPr>
            </w:pPr>
          </w:p>
        </w:tc>
        <w:tc>
          <w:tcPr>
            <w:tcW w:w="975" w:type="dxa"/>
            <w:tcBorders>
              <w:top w:val="single" w:sz="6" w:space="0" w:color="000000"/>
              <w:left w:val="nil"/>
              <w:bottom w:val="nil"/>
              <w:right w:val="single" w:sz="6" w:space="0" w:color="000000"/>
              <w:tl2br w:val="nil"/>
              <w:tr2bl w:val="nil"/>
            </w:tcBorders>
            <w:shd w:val="clear" w:color="auto" w:fill="FFFFFF"/>
            <w:tcMar>
              <w:left w:w="101" w:type="dxa"/>
              <w:right w:w="101" w:type="dxa"/>
            </w:tcMar>
            <w:vAlign w:val="bottom"/>
          </w:tcPr>
          <w:p w14:paraId="7B0773EB" w14:textId="77777777" w:rsidR="00724034" w:rsidRDefault="00724034">
            <w:pPr>
              <w:jc w:val="right"/>
              <w:rPr>
                <w:rFonts w:ascii="Arial" w:eastAsia="Arial" w:hAnsi="Arial" w:cs="Arial"/>
                <w:color w:val="000000"/>
                <w:sz w:val="16"/>
                <w:vertAlign w:val="superscript"/>
              </w:rPr>
            </w:pPr>
          </w:p>
        </w:tc>
      </w:tr>
      <w:tr w:rsidR="00FB7D0B" w14:paraId="035844DF" w14:textId="77777777" w:rsidTr="00FB7D0B">
        <w:trPr>
          <w:trHeight w:val="225"/>
        </w:trPr>
        <w:tc>
          <w:tcPr>
            <w:tcW w:w="180" w:type="dxa"/>
            <w:tcBorders>
              <w:top w:val="single" w:sz="6" w:space="0" w:color="FFFFFF"/>
              <w:left w:val="single" w:sz="6" w:space="0" w:color="000000"/>
              <w:bottom w:val="nil"/>
              <w:right w:val="nil"/>
              <w:tl2br w:val="nil"/>
              <w:tr2bl w:val="nil"/>
            </w:tcBorders>
            <w:shd w:val="clear" w:color="auto" w:fill="FFFFFF"/>
            <w:tcMar>
              <w:left w:w="101" w:type="dxa"/>
              <w:right w:w="101" w:type="dxa"/>
            </w:tcMar>
            <w:vAlign w:val="bottom"/>
          </w:tcPr>
          <w:p w14:paraId="082CAF30" w14:textId="77777777" w:rsidR="00724034" w:rsidRDefault="00724034">
            <w:pPr>
              <w:rPr>
                <w:rFonts w:ascii="Arial" w:eastAsia="Arial" w:hAnsi="Arial" w:cs="Arial"/>
                <w:color w:val="000000"/>
                <w:sz w:val="16"/>
                <w:vertAlign w:val="superscript"/>
              </w:rPr>
            </w:pPr>
          </w:p>
        </w:tc>
        <w:tc>
          <w:tcPr>
            <w:tcW w:w="2910" w:type="dxa"/>
            <w:gridSpan w:val="2"/>
            <w:tcBorders>
              <w:top w:val="single" w:sz="6" w:space="0" w:color="FFFFFF"/>
              <w:left w:val="nil"/>
              <w:bottom w:val="nil"/>
              <w:right w:val="nil"/>
              <w:tl2br w:val="nil"/>
              <w:tr2bl w:val="nil"/>
            </w:tcBorders>
            <w:shd w:val="clear" w:color="auto" w:fill="FFFFFF"/>
            <w:tcMar>
              <w:left w:w="101" w:type="dxa"/>
              <w:right w:w="101" w:type="dxa"/>
            </w:tcMar>
            <w:vAlign w:val="bottom"/>
          </w:tcPr>
          <w:p w14:paraId="35498AB9" w14:textId="77777777" w:rsidR="00724034" w:rsidRDefault="00FB7D0B">
            <w:pPr>
              <w:rPr>
                <w:rFonts w:ascii="Arial" w:eastAsia="Arial" w:hAnsi="Arial" w:cs="Arial"/>
                <w:color w:val="000000"/>
                <w:sz w:val="16"/>
                <w:vertAlign w:val="superscript"/>
              </w:rPr>
            </w:pPr>
            <w:r>
              <w:rPr>
                <w:rFonts w:ascii="Arial" w:eastAsia="Arial" w:hAnsi="Arial" w:cs="Arial"/>
                <w:i/>
                <w:color w:val="000000"/>
                <w:sz w:val="16"/>
              </w:rPr>
              <w:t>Veterans' Entitlements Act 1986 (VEA)</w:t>
            </w:r>
          </w:p>
        </w:tc>
        <w:tc>
          <w:tcPr>
            <w:tcW w:w="975" w:type="dxa"/>
            <w:tcBorders>
              <w:top w:val="nil"/>
              <w:left w:val="nil"/>
              <w:bottom w:val="nil"/>
              <w:right w:val="nil"/>
              <w:tl2br w:val="nil"/>
              <w:tr2bl w:val="nil"/>
            </w:tcBorders>
            <w:shd w:val="clear" w:color="auto" w:fill="FFFFFF"/>
            <w:tcMar>
              <w:left w:w="101" w:type="dxa"/>
              <w:right w:w="101" w:type="dxa"/>
            </w:tcMar>
            <w:vAlign w:val="bottom"/>
          </w:tcPr>
          <w:p w14:paraId="615B9D38" w14:textId="77777777" w:rsidR="00724034" w:rsidRDefault="00724034">
            <w:pPr>
              <w:rPr>
                <w:rFonts w:ascii="Arial" w:eastAsia="Arial" w:hAnsi="Arial" w:cs="Arial"/>
                <w:color w:val="000000"/>
                <w:sz w:val="16"/>
                <w:vertAlign w:val="superscript"/>
              </w:rPr>
            </w:pPr>
          </w:p>
        </w:tc>
        <w:tc>
          <w:tcPr>
            <w:tcW w:w="975" w:type="dxa"/>
            <w:tcBorders>
              <w:top w:val="nil"/>
              <w:left w:val="nil"/>
              <w:bottom w:val="nil"/>
              <w:right w:val="nil"/>
              <w:tl2br w:val="nil"/>
              <w:tr2bl w:val="nil"/>
            </w:tcBorders>
            <w:shd w:val="clear" w:color="auto" w:fill="FFFF00"/>
            <w:tcMar>
              <w:left w:w="101" w:type="dxa"/>
              <w:right w:w="101" w:type="dxa"/>
            </w:tcMar>
            <w:vAlign w:val="bottom"/>
          </w:tcPr>
          <w:p w14:paraId="12AB4829" w14:textId="77777777" w:rsidR="00724034" w:rsidRDefault="00724034">
            <w:pPr>
              <w:jc w:val="right"/>
              <w:rPr>
                <w:rFonts w:ascii="Arial" w:eastAsia="Arial" w:hAnsi="Arial" w:cs="Arial"/>
                <w:color w:val="000000"/>
                <w:sz w:val="16"/>
                <w:vertAlign w:val="superscript"/>
              </w:rPr>
            </w:pPr>
          </w:p>
        </w:tc>
        <w:tc>
          <w:tcPr>
            <w:tcW w:w="975" w:type="dxa"/>
            <w:tcBorders>
              <w:top w:val="nil"/>
              <w:left w:val="nil"/>
              <w:bottom w:val="nil"/>
              <w:right w:val="nil"/>
              <w:tl2br w:val="nil"/>
              <w:tr2bl w:val="nil"/>
            </w:tcBorders>
            <w:shd w:val="clear" w:color="auto" w:fill="FFFFFF"/>
            <w:tcMar>
              <w:left w:w="101" w:type="dxa"/>
              <w:right w:w="101" w:type="dxa"/>
            </w:tcMar>
            <w:vAlign w:val="bottom"/>
          </w:tcPr>
          <w:p w14:paraId="4FFC0610" w14:textId="77777777" w:rsidR="00724034" w:rsidRDefault="00724034">
            <w:pPr>
              <w:jc w:val="right"/>
              <w:rPr>
                <w:rFonts w:ascii="Arial" w:eastAsia="Arial" w:hAnsi="Arial" w:cs="Arial"/>
                <w:color w:val="000000"/>
                <w:sz w:val="16"/>
                <w:vertAlign w:val="superscript"/>
              </w:rPr>
            </w:pPr>
          </w:p>
        </w:tc>
        <w:tc>
          <w:tcPr>
            <w:tcW w:w="975" w:type="dxa"/>
            <w:tcBorders>
              <w:top w:val="nil"/>
              <w:left w:val="nil"/>
              <w:bottom w:val="nil"/>
              <w:right w:val="nil"/>
              <w:tl2br w:val="nil"/>
              <w:tr2bl w:val="nil"/>
            </w:tcBorders>
            <w:shd w:val="clear" w:color="auto" w:fill="FFFFFF"/>
            <w:tcMar>
              <w:left w:w="101" w:type="dxa"/>
              <w:right w:w="101" w:type="dxa"/>
            </w:tcMar>
            <w:vAlign w:val="bottom"/>
          </w:tcPr>
          <w:p w14:paraId="1281845C" w14:textId="77777777" w:rsidR="00724034" w:rsidRDefault="00724034">
            <w:pPr>
              <w:jc w:val="right"/>
              <w:rPr>
                <w:rFonts w:ascii="Arial" w:eastAsia="Arial" w:hAnsi="Arial" w:cs="Arial"/>
                <w:color w:val="000000"/>
                <w:sz w:val="16"/>
                <w:vertAlign w:val="superscript"/>
              </w:rPr>
            </w:pPr>
          </w:p>
        </w:tc>
        <w:tc>
          <w:tcPr>
            <w:tcW w:w="975" w:type="dxa"/>
            <w:tcBorders>
              <w:top w:val="nil"/>
              <w:left w:val="nil"/>
              <w:bottom w:val="nil"/>
              <w:right w:val="single" w:sz="6" w:space="0" w:color="000000"/>
              <w:tl2br w:val="nil"/>
              <w:tr2bl w:val="nil"/>
            </w:tcBorders>
            <w:shd w:val="clear" w:color="auto" w:fill="FFFFFF"/>
            <w:tcMar>
              <w:left w:w="101" w:type="dxa"/>
              <w:right w:w="101" w:type="dxa"/>
            </w:tcMar>
            <w:vAlign w:val="bottom"/>
          </w:tcPr>
          <w:p w14:paraId="0DBF6A28" w14:textId="77777777" w:rsidR="00724034" w:rsidRDefault="00724034">
            <w:pPr>
              <w:jc w:val="right"/>
              <w:rPr>
                <w:rFonts w:ascii="Arial" w:eastAsia="Arial" w:hAnsi="Arial" w:cs="Arial"/>
                <w:color w:val="000000"/>
                <w:sz w:val="16"/>
                <w:vertAlign w:val="superscript"/>
              </w:rPr>
            </w:pPr>
          </w:p>
        </w:tc>
      </w:tr>
      <w:tr w:rsidR="00724034" w14:paraId="590200CC" w14:textId="77777777">
        <w:trPr>
          <w:trHeight w:val="225"/>
        </w:trPr>
        <w:tc>
          <w:tcPr>
            <w:tcW w:w="180" w:type="dxa"/>
            <w:tcBorders>
              <w:top w:val="nil"/>
              <w:left w:val="single" w:sz="6" w:space="0" w:color="000000"/>
              <w:bottom w:val="nil"/>
              <w:right w:val="nil"/>
              <w:tl2br w:val="nil"/>
              <w:tr2bl w:val="nil"/>
            </w:tcBorders>
            <w:shd w:val="clear" w:color="auto" w:fill="FFFFFF"/>
            <w:tcMar>
              <w:left w:w="101" w:type="dxa"/>
              <w:right w:w="101" w:type="dxa"/>
            </w:tcMar>
            <w:vAlign w:val="bottom"/>
          </w:tcPr>
          <w:p w14:paraId="6C56C54C" w14:textId="77777777" w:rsidR="00724034" w:rsidRDefault="00724034">
            <w:pPr>
              <w:rPr>
                <w:rFonts w:ascii="Arial" w:eastAsia="Arial" w:hAnsi="Arial" w:cs="Arial"/>
                <w:color w:val="000000"/>
                <w:sz w:val="16"/>
                <w:vertAlign w:val="superscript"/>
              </w:rPr>
            </w:pPr>
          </w:p>
        </w:tc>
        <w:tc>
          <w:tcPr>
            <w:tcW w:w="180" w:type="dxa"/>
            <w:tcBorders>
              <w:top w:val="nil"/>
              <w:left w:val="nil"/>
              <w:bottom w:val="nil"/>
              <w:right w:val="nil"/>
              <w:tl2br w:val="nil"/>
              <w:tr2bl w:val="nil"/>
            </w:tcBorders>
            <w:shd w:val="clear" w:color="auto" w:fill="FFFFFF"/>
            <w:tcMar>
              <w:left w:w="101" w:type="dxa"/>
              <w:right w:w="101" w:type="dxa"/>
            </w:tcMar>
            <w:vAlign w:val="bottom"/>
          </w:tcPr>
          <w:p w14:paraId="57DBEDD8" w14:textId="77777777" w:rsidR="00724034" w:rsidRDefault="00724034">
            <w:pPr>
              <w:rPr>
                <w:rFonts w:ascii="Arial" w:eastAsia="Arial" w:hAnsi="Arial" w:cs="Arial"/>
                <w:color w:val="000000"/>
                <w:sz w:val="16"/>
                <w:vertAlign w:val="superscript"/>
              </w:rPr>
            </w:pPr>
          </w:p>
        </w:tc>
        <w:tc>
          <w:tcPr>
            <w:tcW w:w="2730" w:type="dxa"/>
            <w:tcBorders>
              <w:top w:val="nil"/>
              <w:left w:val="nil"/>
              <w:bottom w:val="nil"/>
              <w:right w:val="nil"/>
              <w:tl2br w:val="nil"/>
              <w:tr2bl w:val="nil"/>
            </w:tcBorders>
            <w:shd w:val="clear" w:color="auto" w:fill="FFFFFF"/>
            <w:tcMar>
              <w:left w:w="101" w:type="dxa"/>
              <w:right w:w="101" w:type="dxa"/>
            </w:tcMar>
            <w:vAlign w:val="bottom"/>
          </w:tcPr>
          <w:p w14:paraId="2B404D6A" w14:textId="77777777" w:rsidR="00724034" w:rsidRDefault="00FB7D0B">
            <w:pPr>
              <w:rPr>
                <w:rFonts w:ascii="Arial" w:eastAsia="Arial" w:hAnsi="Arial" w:cs="Arial"/>
                <w:color w:val="000000"/>
                <w:sz w:val="16"/>
                <w:vertAlign w:val="superscript"/>
              </w:rPr>
            </w:pPr>
            <w:r>
              <w:rPr>
                <w:rFonts w:ascii="Arial" w:eastAsia="Arial" w:hAnsi="Arial" w:cs="Arial"/>
                <w:color w:val="000000"/>
                <w:sz w:val="16"/>
              </w:rPr>
              <w:t>Income support pensions</w:t>
            </w:r>
          </w:p>
        </w:tc>
        <w:tc>
          <w:tcPr>
            <w:tcW w:w="975" w:type="dxa"/>
            <w:tcBorders>
              <w:top w:val="nil"/>
              <w:left w:val="nil"/>
              <w:bottom w:val="nil"/>
              <w:right w:val="nil"/>
              <w:tl2br w:val="nil"/>
              <w:tr2bl w:val="nil"/>
            </w:tcBorders>
            <w:shd w:val="clear" w:color="auto" w:fill="FFFFFF"/>
            <w:tcMar>
              <w:left w:w="101" w:type="dxa"/>
              <w:right w:w="101" w:type="dxa"/>
            </w:tcMar>
            <w:vAlign w:val="bottom"/>
          </w:tcPr>
          <w:p w14:paraId="5CE69C18" w14:textId="77777777" w:rsidR="00724034" w:rsidRDefault="00FB7D0B">
            <w:pPr>
              <w:jc w:val="right"/>
              <w:rPr>
                <w:rFonts w:ascii="Arial" w:eastAsia="Arial" w:hAnsi="Arial" w:cs="Arial"/>
                <w:color w:val="000000"/>
                <w:sz w:val="16"/>
                <w:vertAlign w:val="superscript"/>
              </w:rPr>
            </w:pPr>
            <w:r>
              <w:rPr>
                <w:rFonts w:ascii="Arial" w:eastAsia="Arial" w:hAnsi="Arial" w:cs="Arial"/>
                <w:color w:val="000000"/>
                <w:sz w:val="16"/>
              </w:rPr>
              <w:t>2,752,487 </w:t>
            </w:r>
          </w:p>
        </w:tc>
        <w:tc>
          <w:tcPr>
            <w:tcW w:w="975" w:type="dxa"/>
            <w:tcBorders>
              <w:top w:val="nil"/>
              <w:left w:val="nil"/>
              <w:bottom w:val="nil"/>
              <w:right w:val="nil"/>
              <w:tl2br w:val="nil"/>
              <w:tr2bl w:val="nil"/>
            </w:tcBorders>
            <w:shd w:val="clear" w:color="auto" w:fill="FFFF00"/>
            <w:tcMar>
              <w:left w:w="101" w:type="dxa"/>
              <w:right w:w="101" w:type="dxa"/>
            </w:tcMar>
            <w:vAlign w:val="bottom"/>
          </w:tcPr>
          <w:p w14:paraId="15FF3497" w14:textId="77777777" w:rsidR="00724034" w:rsidRDefault="00FB7D0B">
            <w:pPr>
              <w:jc w:val="right"/>
              <w:rPr>
                <w:rFonts w:ascii="Arial" w:eastAsia="Arial" w:hAnsi="Arial" w:cs="Arial"/>
                <w:color w:val="000000"/>
                <w:sz w:val="16"/>
              </w:rPr>
            </w:pPr>
            <w:r>
              <w:rPr>
                <w:rFonts w:ascii="Arial" w:eastAsia="Arial" w:hAnsi="Arial" w:cs="Arial"/>
                <w:color w:val="000000"/>
                <w:sz w:val="16"/>
              </w:rPr>
              <w:t>2,703,397 </w:t>
            </w:r>
          </w:p>
        </w:tc>
        <w:tc>
          <w:tcPr>
            <w:tcW w:w="975" w:type="dxa"/>
            <w:tcBorders>
              <w:top w:val="nil"/>
              <w:left w:val="nil"/>
              <w:bottom w:val="nil"/>
              <w:right w:val="nil"/>
              <w:tl2br w:val="nil"/>
              <w:tr2bl w:val="nil"/>
            </w:tcBorders>
            <w:shd w:val="clear" w:color="auto" w:fill="FFFFFF"/>
            <w:tcMar>
              <w:left w:w="101" w:type="dxa"/>
              <w:right w:w="101" w:type="dxa"/>
            </w:tcMar>
            <w:vAlign w:val="bottom"/>
          </w:tcPr>
          <w:p w14:paraId="7A913F99" w14:textId="77777777" w:rsidR="00724034" w:rsidRDefault="00FB7D0B">
            <w:pPr>
              <w:jc w:val="right"/>
              <w:rPr>
                <w:rFonts w:ascii="Arial" w:eastAsia="Arial" w:hAnsi="Arial" w:cs="Arial"/>
                <w:color w:val="000000"/>
                <w:sz w:val="16"/>
              </w:rPr>
            </w:pPr>
            <w:r>
              <w:rPr>
                <w:rFonts w:ascii="Arial" w:eastAsia="Arial" w:hAnsi="Arial" w:cs="Arial"/>
                <w:color w:val="000000"/>
                <w:sz w:val="16"/>
              </w:rPr>
              <w:t>2,629,824 </w:t>
            </w:r>
          </w:p>
        </w:tc>
        <w:tc>
          <w:tcPr>
            <w:tcW w:w="975" w:type="dxa"/>
            <w:tcBorders>
              <w:top w:val="nil"/>
              <w:left w:val="nil"/>
              <w:bottom w:val="nil"/>
              <w:right w:val="nil"/>
              <w:tl2br w:val="nil"/>
              <w:tr2bl w:val="nil"/>
            </w:tcBorders>
            <w:shd w:val="clear" w:color="auto" w:fill="FFFFFF"/>
            <w:tcMar>
              <w:left w:w="101" w:type="dxa"/>
              <w:right w:w="101" w:type="dxa"/>
            </w:tcMar>
            <w:vAlign w:val="bottom"/>
          </w:tcPr>
          <w:p w14:paraId="3141BA02" w14:textId="77777777" w:rsidR="00724034" w:rsidRDefault="00FB7D0B">
            <w:pPr>
              <w:jc w:val="right"/>
              <w:rPr>
                <w:rFonts w:ascii="Arial" w:eastAsia="Arial" w:hAnsi="Arial" w:cs="Arial"/>
                <w:color w:val="000000"/>
                <w:sz w:val="16"/>
              </w:rPr>
            </w:pPr>
            <w:r>
              <w:rPr>
                <w:rFonts w:ascii="Arial" w:eastAsia="Arial" w:hAnsi="Arial" w:cs="Arial"/>
                <w:color w:val="000000"/>
                <w:sz w:val="16"/>
              </w:rPr>
              <w:t>2,547,316 </w:t>
            </w:r>
          </w:p>
        </w:tc>
        <w:tc>
          <w:tcPr>
            <w:tcW w:w="975" w:type="dxa"/>
            <w:tcBorders>
              <w:top w:val="nil"/>
              <w:left w:val="nil"/>
              <w:bottom w:val="nil"/>
              <w:right w:val="single" w:sz="6" w:space="0" w:color="000000"/>
              <w:tl2br w:val="nil"/>
              <w:tr2bl w:val="nil"/>
            </w:tcBorders>
            <w:shd w:val="clear" w:color="auto" w:fill="FFFFFF"/>
            <w:tcMar>
              <w:left w:w="101" w:type="dxa"/>
              <w:right w:w="101" w:type="dxa"/>
            </w:tcMar>
            <w:vAlign w:val="bottom"/>
          </w:tcPr>
          <w:p w14:paraId="4189A815" w14:textId="77777777" w:rsidR="00724034" w:rsidRDefault="00FB7D0B">
            <w:pPr>
              <w:jc w:val="right"/>
              <w:rPr>
                <w:rFonts w:ascii="Arial" w:eastAsia="Arial" w:hAnsi="Arial" w:cs="Arial"/>
                <w:color w:val="000000"/>
                <w:sz w:val="16"/>
              </w:rPr>
            </w:pPr>
            <w:r>
              <w:rPr>
                <w:rFonts w:ascii="Arial" w:eastAsia="Arial" w:hAnsi="Arial" w:cs="Arial"/>
                <w:color w:val="000000"/>
                <w:sz w:val="16"/>
              </w:rPr>
              <w:t>2,435,514 </w:t>
            </w:r>
          </w:p>
        </w:tc>
      </w:tr>
      <w:tr w:rsidR="00724034" w14:paraId="054923F6" w14:textId="77777777">
        <w:trPr>
          <w:trHeight w:val="225"/>
        </w:trPr>
        <w:tc>
          <w:tcPr>
            <w:tcW w:w="180" w:type="dxa"/>
            <w:tcBorders>
              <w:top w:val="nil"/>
              <w:left w:val="single" w:sz="6" w:space="0" w:color="000000"/>
              <w:bottom w:val="nil"/>
              <w:right w:val="nil"/>
              <w:tl2br w:val="nil"/>
              <w:tr2bl w:val="nil"/>
            </w:tcBorders>
            <w:shd w:val="clear" w:color="auto" w:fill="FFFFFF"/>
            <w:tcMar>
              <w:left w:w="101" w:type="dxa"/>
              <w:right w:w="101" w:type="dxa"/>
            </w:tcMar>
            <w:vAlign w:val="bottom"/>
          </w:tcPr>
          <w:p w14:paraId="3CE583C7" w14:textId="77777777" w:rsidR="00724034" w:rsidRDefault="00724034">
            <w:pPr>
              <w:rPr>
                <w:rFonts w:ascii="Arial" w:eastAsia="Arial" w:hAnsi="Arial" w:cs="Arial"/>
                <w:color w:val="000000"/>
                <w:sz w:val="16"/>
              </w:rPr>
            </w:pPr>
          </w:p>
        </w:tc>
        <w:tc>
          <w:tcPr>
            <w:tcW w:w="180" w:type="dxa"/>
            <w:tcBorders>
              <w:top w:val="nil"/>
              <w:left w:val="nil"/>
              <w:bottom w:val="nil"/>
              <w:right w:val="nil"/>
              <w:tl2br w:val="nil"/>
              <w:tr2bl w:val="nil"/>
            </w:tcBorders>
            <w:shd w:val="clear" w:color="auto" w:fill="FFFFFF"/>
            <w:tcMar>
              <w:left w:w="101" w:type="dxa"/>
              <w:right w:w="101" w:type="dxa"/>
            </w:tcMar>
            <w:vAlign w:val="bottom"/>
          </w:tcPr>
          <w:p w14:paraId="4BFD31D3" w14:textId="77777777" w:rsidR="00724034" w:rsidRDefault="00724034">
            <w:pPr>
              <w:rPr>
                <w:rFonts w:ascii="Arial" w:eastAsia="Arial" w:hAnsi="Arial" w:cs="Arial"/>
                <w:color w:val="000000"/>
                <w:sz w:val="16"/>
              </w:rPr>
            </w:pPr>
          </w:p>
        </w:tc>
        <w:tc>
          <w:tcPr>
            <w:tcW w:w="2730" w:type="dxa"/>
            <w:tcBorders>
              <w:top w:val="nil"/>
              <w:left w:val="nil"/>
              <w:bottom w:val="nil"/>
              <w:right w:val="nil"/>
              <w:tl2br w:val="nil"/>
              <w:tr2bl w:val="nil"/>
            </w:tcBorders>
            <w:shd w:val="clear" w:color="auto" w:fill="FFFFFF"/>
            <w:tcMar>
              <w:left w:w="101" w:type="dxa"/>
              <w:right w:w="101" w:type="dxa"/>
            </w:tcMar>
            <w:vAlign w:val="bottom"/>
          </w:tcPr>
          <w:p w14:paraId="4B6D3EE6" w14:textId="77777777" w:rsidR="00724034" w:rsidRDefault="00FB7D0B">
            <w:pPr>
              <w:rPr>
                <w:rFonts w:ascii="Arial" w:eastAsia="Arial" w:hAnsi="Arial" w:cs="Arial"/>
                <w:color w:val="000000"/>
                <w:sz w:val="16"/>
              </w:rPr>
            </w:pPr>
            <w:r>
              <w:rPr>
                <w:rFonts w:ascii="Arial" w:eastAsia="Arial" w:hAnsi="Arial" w:cs="Arial"/>
                <w:color w:val="000000"/>
                <w:sz w:val="16"/>
              </w:rPr>
              <w:t>Other allowances</w:t>
            </w:r>
          </w:p>
        </w:tc>
        <w:tc>
          <w:tcPr>
            <w:tcW w:w="975" w:type="dxa"/>
            <w:tcBorders>
              <w:top w:val="nil"/>
              <w:left w:val="nil"/>
              <w:bottom w:val="nil"/>
              <w:right w:val="nil"/>
              <w:tl2br w:val="nil"/>
              <w:tr2bl w:val="nil"/>
            </w:tcBorders>
            <w:shd w:val="clear" w:color="auto" w:fill="FFFFFF"/>
            <w:tcMar>
              <w:left w:w="101" w:type="dxa"/>
              <w:right w:w="101" w:type="dxa"/>
            </w:tcMar>
            <w:vAlign w:val="bottom"/>
          </w:tcPr>
          <w:p w14:paraId="3912CFD4" w14:textId="77777777" w:rsidR="00724034" w:rsidRDefault="00FB7D0B">
            <w:pPr>
              <w:jc w:val="right"/>
              <w:rPr>
                <w:rFonts w:ascii="Arial" w:eastAsia="Arial" w:hAnsi="Arial" w:cs="Arial"/>
                <w:color w:val="000000"/>
                <w:sz w:val="16"/>
                <w:vertAlign w:val="superscript"/>
              </w:rPr>
            </w:pPr>
            <w:r>
              <w:rPr>
                <w:rFonts w:ascii="Arial" w:eastAsia="Arial" w:hAnsi="Arial" w:cs="Arial"/>
                <w:color w:val="000000"/>
                <w:sz w:val="16"/>
              </w:rPr>
              <w:t>32,111 </w:t>
            </w:r>
          </w:p>
        </w:tc>
        <w:tc>
          <w:tcPr>
            <w:tcW w:w="975" w:type="dxa"/>
            <w:tcBorders>
              <w:top w:val="nil"/>
              <w:left w:val="nil"/>
              <w:bottom w:val="nil"/>
              <w:right w:val="nil"/>
              <w:tl2br w:val="nil"/>
              <w:tr2bl w:val="nil"/>
            </w:tcBorders>
            <w:shd w:val="clear" w:color="auto" w:fill="FFFF00"/>
            <w:tcMar>
              <w:left w:w="101" w:type="dxa"/>
              <w:right w:w="101" w:type="dxa"/>
            </w:tcMar>
            <w:vAlign w:val="bottom"/>
          </w:tcPr>
          <w:p w14:paraId="21BBBC6D" w14:textId="77777777" w:rsidR="00724034" w:rsidRDefault="00FB7D0B">
            <w:pPr>
              <w:jc w:val="right"/>
              <w:rPr>
                <w:rFonts w:ascii="Arial" w:eastAsia="Arial" w:hAnsi="Arial" w:cs="Arial"/>
                <w:color w:val="000000"/>
                <w:sz w:val="16"/>
              </w:rPr>
            </w:pPr>
            <w:r>
              <w:rPr>
                <w:rFonts w:ascii="Arial" w:eastAsia="Arial" w:hAnsi="Arial" w:cs="Arial"/>
                <w:color w:val="000000"/>
                <w:sz w:val="16"/>
              </w:rPr>
              <w:t>6,136 </w:t>
            </w:r>
          </w:p>
        </w:tc>
        <w:tc>
          <w:tcPr>
            <w:tcW w:w="975" w:type="dxa"/>
            <w:tcBorders>
              <w:top w:val="nil"/>
              <w:left w:val="nil"/>
              <w:bottom w:val="nil"/>
              <w:right w:val="nil"/>
              <w:tl2br w:val="nil"/>
              <w:tr2bl w:val="nil"/>
            </w:tcBorders>
            <w:shd w:val="clear" w:color="auto" w:fill="FFFFFF"/>
            <w:tcMar>
              <w:left w:w="101" w:type="dxa"/>
              <w:right w:w="101" w:type="dxa"/>
            </w:tcMar>
            <w:vAlign w:val="bottom"/>
          </w:tcPr>
          <w:p w14:paraId="3A387538" w14:textId="77777777" w:rsidR="00724034" w:rsidRDefault="00FB7D0B">
            <w:pPr>
              <w:jc w:val="right"/>
              <w:rPr>
                <w:rFonts w:ascii="Arial" w:eastAsia="Arial" w:hAnsi="Arial" w:cs="Arial"/>
                <w:color w:val="000000"/>
                <w:sz w:val="16"/>
              </w:rPr>
            </w:pPr>
            <w:r>
              <w:rPr>
                <w:rFonts w:ascii="Arial" w:eastAsia="Arial" w:hAnsi="Arial" w:cs="Arial"/>
                <w:color w:val="000000"/>
                <w:sz w:val="16"/>
              </w:rPr>
              <w:t>6,502 </w:t>
            </w:r>
          </w:p>
        </w:tc>
        <w:tc>
          <w:tcPr>
            <w:tcW w:w="975" w:type="dxa"/>
            <w:tcBorders>
              <w:top w:val="nil"/>
              <w:left w:val="nil"/>
              <w:bottom w:val="nil"/>
              <w:right w:val="nil"/>
              <w:tl2br w:val="nil"/>
              <w:tr2bl w:val="nil"/>
            </w:tcBorders>
            <w:shd w:val="clear" w:color="auto" w:fill="FFFFFF"/>
            <w:tcMar>
              <w:left w:w="101" w:type="dxa"/>
              <w:right w:w="101" w:type="dxa"/>
            </w:tcMar>
            <w:vAlign w:val="bottom"/>
          </w:tcPr>
          <w:p w14:paraId="22F5B418" w14:textId="77777777" w:rsidR="00724034" w:rsidRDefault="00FB7D0B">
            <w:pPr>
              <w:jc w:val="right"/>
              <w:rPr>
                <w:rFonts w:ascii="Arial" w:eastAsia="Arial" w:hAnsi="Arial" w:cs="Arial"/>
                <w:color w:val="000000"/>
                <w:sz w:val="16"/>
              </w:rPr>
            </w:pPr>
            <w:r>
              <w:rPr>
                <w:rFonts w:ascii="Arial" w:eastAsia="Arial" w:hAnsi="Arial" w:cs="Arial"/>
                <w:color w:val="000000"/>
                <w:sz w:val="16"/>
              </w:rPr>
              <w:t>6,755 </w:t>
            </w:r>
          </w:p>
        </w:tc>
        <w:tc>
          <w:tcPr>
            <w:tcW w:w="975" w:type="dxa"/>
            <w:tcBorders>
              <w:top w:val="nil"/>
              <w:left w:val="nil"/>
              <w:bottom w:val="nil"/>
              <w:right w:val="single" w:sz="6" w:space="0" w:color="000000"/>
              <w:tl2br w:val="nil"/>
              <w:tr2bl w:val="nil"/>
            </w:tcBorders>
            <w:shd w:val="clear" w:color="auto" w:fill="FFFFFF"/>
            <w:tcMar>
              <w:left w:w="101" w:type="dxa"/>
              <w:right w:w="101" w:type="dxa"/>
            </w:tcMar>
            <w:vAlign w:val="bottom"/>
          </w:tcPr>
          <w:p w14:paraId="470AD2E3" w14:textId="77777777" w:rsidR="00724034" w:rsidRDefault="00FB7D0B">
            <w:pPr>
              <w:jc w:val="right"/>
              <w:rPr>
                <w:rFonts w:ascii="Arial" w:eastAsia="Arial" w:hAnsi="Arial" w:cs="Arial"/>
                <w:color w:val="000000"/>
                <w:sz w:val="16"/>
              </w:rPr>
            </w:pPr>
            <w:r>
              <w:rPr>
                <w:rFonts w:ascii="Arial" w:eastAsia="Arial" w:hAnsi="Arial" w:cs="Arial"/>
                <w:color w:val="000000"/>
                <w:sz w:val="16"/>
              </w:rPr>
              <w:t>7,084 </w:t>
            </w:r>
          </w:p>
        </w:tc>
      </w:tr>
      <w:tr w:rsidR="00FB7D0B" w14:paraId="6B20DD34" w14:textId="77777777" w:rsidTr="00FB7D0B">
        <w:trPr>
          <w:trHeight w:val="225"/>
        </w:trPr>
        <w:tc>
          <w:tcPr>
            <w:tcW w:w="180" w:type="dxa"/>
            <w:tcBorders>
              <w:top w:val="nil"/>
              <w:left w:val="single" w:sz="6" w:space="0" w:color="000000"/>
              <w:bottom w:val="nil"/>
              <w:right w:val="nil"/>
              <w:tl2br w:val="nil"/>
              <w:tr2bl w:val="nil"/>
            </w:tcBorders>
            <w:shd w:val="clear" w:color="auto" w:fill="FFFFFF"/>
            <w:tcMar>
              <w:left w:w="101" w:type="dxa"/>
              <w:right w:w="101" w:type="dxa"/>
            </w:tcMar>
            <w:vAlign w:val="bottom"/>
          </w:tcPr>
          <w:p w14:paraId="61F55182" w14:textId="77777777" w:rsidR="00724034" w:rsidRDefault="00724034">
            <w:pPr>
              <w:rPr>
                <w:rFonts w:ascii="Arial" w:eastAsia="Arial" w:hAnsi="Arial" w:cs="Arial"/>
                <w:color w:val="000000"/>
                <w:sz w:val="16"/>
              </w:rPr>
            </w:pPr>
          </w:p>
        </w:tc>
        <w:tc>
          <w:tcPr>
            <w:tcW w:w="2910" w:type="dxa"/>
            <w:gridSpan w:val="2"/>
            <w:tcBorders>
              <w:top w:val="nil"/>
              <w:left w:val="nil"/>
              <w:bottom w:val="nil"/>
              <w:right w:val="nil"/>
              <w:tl2br w:val="nil"/>
              <w:tr2bl w:val="nil"/>
            </w:tcBorders>
            <w:shd w:val="clear" w:color="auto" w:fill="FFFFFF"/>
            <w:tcMar>
              <w:left w:w="101" w:type="dxa"/>
              <w:right w:w="101" w:type="dxa"/>
            </w:tcMar>
            <w:vAlign w:val="bottom"/>
          </w:tcPr>
          <w:p w14:paraId="1B44CA76" w14:textId="77777777" w:rsidR="00724034" w:rsidRDefault="00FB7D0B">
            <w:pPr>
              <w:rPr>
                <w:rFonts w:ascii="Arial" w:eastAsia="Arial" w:hAnsi="Arial" w:cs="Arial"/>
                <w:color w:val="000000"/>
                <w:sz w:val="16"/>
              </w:rPr>
            </w:pPr>
            <w:r>
              <w:rPr>
                <w:rFonts w:ascii="Arial" w:eastAsia="Arial" w:hAnsi="Arial" w:cs="Arial"/>
                <w:color w:val="000000"/>
                <w:sz w:val="16"/>
              </w:rPr>
              <w:t>Programme support</w:t>
            </w:r>
          </w:p>
        </w:tc>
        <w:tc>
          <w:tcPr>
            <w:tcW w:w="975" w:type="dxa"/>
            <w:tcBorders>
              <w:top w:val="nil"/>
              <w:left w:val="nil"/>
              <w:bottom w:val="nil"/>
              <w:right w:val="nil"/>
              <w:tl2br w:val="nil"/>
              <w:tr2bl w:val="nil"/>
            </w:tcBorders>
            <w:shd w:val="clear" w:color="auto" w:fill="FFFFFF"/>
            <w:tcMar>
              <w:left w:w="101" w:type="dxa"/>
              <w:right w:w="101" w:type="dxa"/>
            </w:tcMar>
            <w:vAlign w:val="bottom"/>
          </w:tcPr>
          <w:p w14:paraId="3917C95D" w14:textId="77777777" w:rsidR="00724034" w:rsidRDefault="00FB7D0B">
            <w:pPr>
              <w:jc w:val="right"/>
              <w:rPr>
                <w:rFonts w:ascii="Arial" w:eastAsia="Arial" w:hAnsi="Arial" w:cs="Arial"/>
                <w:color w:val="000000"/>
                <w:sz w:val="16"/>
                <w:vertAlign w:val="superscript"/>
              </w:rPr>
            </w:pPr>
            <w:r>
              <w:rPr>
                <w:rFonts w:ascii="Arial" w:eastAsia="Arial" w:hAnsi="Arial" w:cs="Arial"/>
                <w:color w:val="000000"/>
                <w:sz w:val="16"/>
              </w:rPr>
              <w:t>48,313 </w:t>
            </w:r>
          </w:p>
        </w:tc>
        <w:tc>
          <w:tcPr>
            <w:tcW w:w="975" w:type="dxa"/>
            <w:tcBorders>
              <w:top w:val="nil"/>
              <w:left w:val="nil"/>
              <w:bottom w:val="nil"/>
              <w:right w:val="nil"/>
              <w:tl2br w:val="nil"/>
              <w:tr2bl w:val="nil"/>
            </w:tcBorders>
            <w:shd w:val="clear" w:color="auto" w:fill="FFFF00"/>
            <w:tcMar>
              <w:left w:w="101" w:type="dxa"/>
              <w:right w:w="101" w:type="dxa"/>
            </w:tcMar>
            <w:vAlign w:val="bottom"/>
          </w:tcPr>
          <w:p w14:paraId="6094CCF9" w14:textId="77777777" w:rsidR="00724034" w:rsidRDefault="00FB7D0B">
            <w:pPr>
              <w:jc w:val="right"/>
              <w:rPr>
                <w:rFonts w:ascii="Arial" w:eastAsia="Arial" w:hAnsi="Arial" w:cs="Arial"/>
                <w:color w:val="000000"/>
                <w:sz w:val="16"/>
              </w:rPr>
            </w:pPr>
            <w:r>
              <w:rPr>
                <w:rFonts w:ascii="Arial" w:eastAsia="Arial" w:hAnsi="Arial" w:cs="Arial"/>
                <w:color w:val="000000"/>
                <w:sz w:val="16"/>
              </w:rPr>
              <w:t>47,212 </w:t>
            </w:r>
          </w:p>
        </w:tc>
        <w:tc>
          <w:tcPr>
            <w:tcW w:w="975" w:type="dxa"/>
            <w:tcBorders>
              <w:top w:val="nil"/>
              <w:left w:val="nil"/>
              <w:bottom w:val="nil"/>
              <w:right w:val="nil"/>
              <w:tl2br w:val="nil"/>
              <w:tr2bl w:val="nil"/>
            </w:tcBorders>
            <w:shd w:val="clear" w:color="auto" w:fill="FFFFFF"/>
            <w:tcMar>
              <w:left w:w="101" w:type="dxa"/>
              <w:right w:w="101" w:type="dxa"/>
            </w:tcMar>
            <w:vAlign w:val="bottom"/>
          </w:tcPr>
          <w:p w14:paraId="478864A4" w14:textId="77777777" w:rsidR="00724034" w:rsidRDefault="00FB7D0B">
            <w:pPr>
              <w:jc w:val="right"/>
              <w:rPr>
                <w:rFonts w:ascii="Arial" w:eastAsia="Arial" w:hAnsi="Arial" w:cs="Arial"/>
                <w:color w:val="000000"/>
                <w:sz w:val="16"/>
              </w:rPr>
            </w:pPr>
            <w:r>
              <w:rPr>
                <w:rFonts w:ascii="Arial" w:eastAsia="Arial" w:hAnsi="Arial" w:cs="Arial"/>
                <w:color w:val="000000"/>
                <w:sz w:val="16"/>
              </w:rPr>
              <w:t>45,112 </w:t>
            </w:r>
          </w:p>
        </w:tc>
        <w:tc>
          <w:tcPr>
            <w:tcW w:w="975" w:type="dxa"/>
            <w:tcBorders>
              <w:top w:val="nil"/>
              <w:left w:val="nil"/>
              <w:bottom w:val="nil"/>
              <w:right w:val="nil"/>
              <w:tl2br w:val="nil"/>
              <w:tr2bl w:val="nil"/>
            </w:tcBorders>
            <w:shd w:val="clear" w:color="auto" w:fill="FFFFFF"/>
            <w:tcMar>
              <w:left w:w="101" w:type="dxa"/>
              <w:right w:w="101" w:type="dxa"/>
            </w:tcMar>
            <w:vAlign w:val="bottom"/>
          </w:tcPr>
          <w:p w14:paraId="5689CEE7" w14:textId="77777777" w:rsidR="00724034" w:rsidRDefault="00FB7D0B">
            <w:pPr>
              <w:jc w:val="right"/>
              <w:rPr>
                <w:rFonts w:ascii="Arial" w:eastAsia="Arial" w:hAnsi="Arial" w:cs="Arial"/>
                <w:color w:val="000000"/>
                <w:sz w:val="16"/>
              </w:rPr>
            </w:pPr>
            <w:r>
              <w:rPr>
                <w:rFonts w:ascii="Arial" w:eastAsia="Arial" w:hAnsi="Arial" w:cs="Arial"/>
                <w:color w:val="000000"/>
                <w:sz w:val="16"/>
              </w:rPr>
              <w:t>43,615 </w:t>
            </w:r>
          </w:p>
        </w:tc>
        <w:tc>
          <w:tcPr>
            <w:tcW w:w="975" w:type="dxa"/>
            <w:tcBorders>
              <w:top w:val="nil"/>
              <w:left w:val="nil"/>
              <w:bottom w:val="nil"/>
              <w:right w:val="single" w:sz="6" w:space="0" w:color="000000"/>
              <w:tl2br w:val="nil"/>
              <w:tr2bl w:val="nil"/>
            </w:tcBorders>
            <w:shd w:val="clear" w:color="auto" w:fill="FFFFFF"/>
            <w:tcMar>
              <w:left w:w="101" w:type="dxa"/>
              <w:right w:w="101" w:type="dxa"/>
            </w:tcMar>
            <w:vAlign w:val="bottom"/>
          </w:tcPr>
          <w:p w14:paraId="7FD36043" w14:textId="77777777" w:rsidR="00724034" w:rsidRDefault="00FB7D0B">
            <w:pPr>
              <w:jc w:val="right"/>
              <w:rPr>
                <w:rFonts w:ascii="Arial" w:eastAsia="Arial" w:hAnsi="Arial" w:cs="Arial"/>
                <w:color w:val="000000"/>
                <w:sz w:val="16"/>
              </w:rPr>
            </w:pPr>
            <w:r>
              <w:rPr>
                <w:rFonts w:ascii="Arial" w:eastAsia="Arial" w:hAnsi="Arial" w:cs="Arial"/>
                <w:color w:val="000000"/>
                <w:sz w:val="16"/>
              </w:rPr>
              <w:t>44,857 </w:t>
            </w:r>
          </w:p>
        </w:tc>
      </w:tr>
      <w:tr w:rsidR="00FB7D0B" w14:paraId="488332E8" w14:textId="77777777" w:rsidTr="00FB7D0B">
        <w:trPr>
          <w:trHeight w:val="450"/>
        </w:trPr>
        <w:tc>
          <w:tcPr>
            <w:tcW w:w="180" w:type="dxa"/>
            <w:tcBorders>
              <w:top w:val="nil"/>
              <w:left w:val="single" w:sz="6" w:space="0" w:color="000000"/>
              <w:bottom w:val="nil"/>
              <w:right w:val="nil"/>
              <w:tl2br w:val="nil"/>
              <w:tr2bl w:val="nil"/>
            </w:tcBorders>
            <w:shd w:val="clear" w:color="auto" w:fill="FFFFFF"/>
            <w:tcMar>
              <w:left w:w="101" w:type="dxa"/>
              <w:right w:w="101" w:type="dxa"/>
            </w:tcMar>
            <w:vAlign w:val="bottom"/>
          </w:tcPr>
          <w:p w14:paraId="66D2FF43" w14:textId="77777777" w:rsidR="00724034" w:rsidRDefault="00724034">
            <w:pPr>
              <w:rPr>
                <w:rFonts w:ascii="Arial" w:eastAsia="Arial" w:hAnsi="Arial" w:cs="Arial"/>
                <w:color w:val="000000"/>
                <w:sz w:val="16"/>
              </w:rPr>
            </w:pPr>
          </w:p>
        </w:tc>
        <w:tc>
          <w:tcPr>
            <w:tcW w:w="2910" w:type="dxa"/>
            <w:gridSpan w:val="2"/>
            <w:tcBorders>
              <w:top w:val="nil"/>
              <w:left w:val="nil"/>
              <w:bottom w:val="nil"/>
              <w:right w:val="nil"/>
              <w:tl2br w:val="nil"/>
              <w:tr2bl w:val="nil"/>
            </w:tcBorders>
            <w:shd w:val="clear" w:color="auto" w:fill="FFFFFF"/>
            <w:tcMar>
              <w:left w:w="101" w:type="dxa"/>
              <w:right w:w="101" w:type="dxa"/>
            </w:tcMar>
            <w:vAlign w:val="bottom"/>
          </w:tcPr>
          <w:p w14:paraId="4797926B" w14:textId="77777777" w:rsidR="00724034" w:rsidRDefault="00FB7D0B">
            <w:pPr>
              <w:rPr>
                <w:rFonts w:ascii="Arial" w:eastAsia="Arial" w:hAnsi="Arial" w:cs="Arial"/>
                <w:color w:val="000000"/>
                <w:sz w:val="16"/>
              </w:rPr>
            </w:pPr>
            <w:r>
              <w:rPr>
                <w:rFonts w:ascii="Arial" w:eastAsia="Arial" w:hAnsi="Arial" w:cs="Arial"/>
                <w:color w:val="000000"/>
                <w:sz w:val="16"/>
              </w:rPr>
              <w:t>Expenses not requiring appropriation in the Budget year</w:t>
            </w:r>
            <w:r>
              <w:rPr>
                <w:rFonts w:ascii="Arial" w:eastAsia="Arial" w:hAnsi="Arial" w:cs="Arial"/>
                <w:color w:val="000000"/>
                <w:sz w:val="16"/>
                <w:vertAlign w:val="superscript"/>
              </w:rPr>
              <w:t>1 </w:t>
            </w:r>
          </w:p>
        </w:tc>
        <w:tc>
          <w:tcPr>
            <w:tcW w:w="975" w:type="dxa"/>
            <w:tcBorders>
              <w:top w:val="nil"/>
              <w:left w:val="nil"/>
              <w:bottom w:val="nil"/>
              <w:right w:val="nil"/>
              <w:tl2br w:val="nil"/>
              <w:tr2bl w:val="nil"/>
            </w:tcBorders>
            <w:shd w:val="clear" w:color="auto" w:fill="FFFFFF"/>
            <w:tcMar>
              <w:left w:w="101" w:type="dxa"/>
              <w:right w:w="101" w:type="dxa"/>
            </w:tcMar>
            <w:vAlign w:val="bottom"/>
          </w:tcPr>
          <w:p w14:paraId="1CD8EDFD" w14:textId="77777777" w:rsidR="00724034" w:rsidRDefault="00FB7D0B">
            <w:pPr>
              <w:jc w:val="right"/>
              <w:rPr>
                <w:rFonts w:ascii="Arial" w:eastAsia="Arial" w:hAnsi="Arial" w:cs="Arial"/>
                <w:color w:val="000000"/>
                <w:sz w:val="16"/>
                <w:vertAlign w:val="superscript"/>
              </w:rPr>
            </w:pPr>
            <w:r>
              <w:rPr>
                <w:rFonts w:ascii="Arial" w:eastAsia="Arial" w:hAnsi="Arial" w:cs="Arial"/>
                <w:color w:val="000000"/>
                <w:sz w:val="16"/>
              </w:rPr>
              <w:t>4,950 </w:t>
            </w:r>
          </w:p>
        </w:tc>
        <w:tc>
          <w:tcPr>
            <w:tcW w:w="975" w:type="dxa"/>
            <w:tcBorders>
              <w:top w:val="nil"/>
              <w:left w:val="nil"/>
              <w:bottom w:val="nil"/>
              <w:right w:val="nil"/>
              <w:tl2br w:val="nil"/>
              <w:tr2bl w:val="nil"/>
            </w:tcBorders>
            <w:shd w:val="clear" w:color="auto" w:fill="FFFF00"/>
            <w:tcMar>
              <w:left w:w="101" w:type="dxa"/>
              <w:right w:w="101" w:type="dxa"/>
            </w:tcMar>
            <w:vAlign w:val="bottom"/>
          </w:tcPr>
          <w:p w14:paraId="492EB197" w14:textId="77777777" w:rsidR="00724034" w:rsidRDefault="00FB7D0B">
            <w:pPr>
              <w:jc w:val="right"/>
              <w:rPr>
                <w:rFonts w:ascii="Arial" w:eastAsia="Arial" w:hAnsi="Arial" w:cs="Arial"/>
                <w:color w:val="000000"/>
                <w:sz w:val="16"/>
              </w:rPr>
            </w:pPr>
            <w:r>
              <w:rPr>
                <w:rFonts w:ascii="Arial" w:eastAsia="Arial" w:hAnsi="Arial" w:cs="Arial"/>
                <w:color w:val="000000"/>
                <w:sz w:val="16"/>
              </w:rPr>
              <w:t>5,561 </w:t>
            </w:r>
          </w:p>
        </w:tc>
        <w:tc>
          <w:tcPr>
            <w:tcW w:w="975" w:type="dxa"/>
            <w:tcBorders>
              <w:top w:val="nil"/>
              <w:left w:val="nil"/>
              <w:bottom w:val="nil"/>
              <w:right w:val="nil"/>
              <w:tl2br w:val="nil"/>
              <w:tr2bl w:val="nil"/>
            </w:tcBorders>
            <w:shd w:val="clear" w:color="auto" w:fill="FFFFFF"/>
            <w:tcMar>
              <w:left w:w="101" w:type="dxa"/>
              <w:right w:w="101" w:type="dxa"/>
            </w:tcMar>
            <w:vAlign w:val="bottom"/>
          </w:tcPr>
          <w:p w14:paraId="1F5FCDEA" w14:textId="77777777" w:rsidR="00724034" w:rsidRDefault="00FB7D0B">
            <w:pPr>
              <w:jc w:val="right"/>
              <w:rPr>
                <w:rFonts w:ascii="Arial" w:eastAsia="Arial" w:hAnsi="Arial" w:cs="Arial"/>
                <w:color w:val="000000"/>
                <w:sz w:val="16"/>
              </w:rPr>
            </w:pPr>
            <w:r>
              <w:rPr>
                <w:rFonts w:ascii="Arial" w:eastAsia="Arial" w:hAnsi="Arial" w:cs="Arial"/>
                <w:color w:val="000000"/>
                <w:sz w:val="16"/>
              </w:rPr>
              <w:t>5,078 </w:t>
            </w:r>
          </w:p>
        </w:tc>
        <w:tc>
          <w:tcPr>
            <w:tcW w:w="975" w:type="dxa"/>
            <w:tcBorders>
              <w:top w:val="nil"/>
              <w:left w:val="nil"/>
              <w:bottom w:val="nil"/>
              <w:right w:val="nil"/>
              <w:tl2br w:val="nil"/>
              <w:tr2bl w:val="nil"/>
            </w:tcBorders>
            <w:shd w:val="clear" w:color="auto" w:fill="FFFFFF"/>
            <w:tcMar>
              <w:left w:w="101" w:type="dxa"/>
              <w:right w:w="101" w:type="dxa"/>
            </w:tcMar>
            <w:vAlign w:val="bottom"/>
          </w:tcPr>
          <w:p w14:paraId="396B5E9A" w14:textId="77777777" w:rsidR="00724034" w:rsidRDefault="00FB7D0B">
            <w:pPr>
              <w:jc w:val="right"/>
              <w:rPr>
                <w:rFonts w:ascii="Arial" w:eastAsia="Arial" w:hAnsi="Arial" w:cs="Arial"/>
                <w:color w:val="000000"/>
                <w:sz w:val="16"/>
              </w:rPr>
            </w:pPr>
            <w:r>
              <w:rPr>
                <w:rFonts w:ascii="Arial" w:eastAsia="Arial" w:hAnsi="Arial" w:cs="Arial"/>
                <w:color w:val="000000"/>
                <w:sz w:val="16"/>
              </w:rPr>
              <w:t>4,632 </w:t>
            </w:r>
          </w:p>
        </w:tc>
        <w:tc>
          <w:tcPr>
            <w:tcW w:w="975" w:type="dxa"/>
            <w:tcBorders>
              <w:top w:val="nil"/>
              <w:left w:val="nil"/>
              <w:bottom w:val="nil"/>
              <w:right w:val="single" w:sz="6" w:space="0" w:color="000000"/>
              <w:tl2br w:val="nil"/>
              <w:tr2bl w:val="nil"/>
            </w:tcBorders>
            <w:shd w:val="clear" w:color="auto" w:fill="FFFFFF"/>
            <w:tcMar>
              <w:left w:w="101" w:type="dxa"/>
              <w:right w:w="101" w:type="dxa"/>
            </w:tcMar>
            <w:vAlign w:val="bottom"/>
          </w:tcPr>
          <w:p w14:paraId="6719168E" w14:textId="77777777" w:rsidR="00724034" w:rsidRDefault="00FB7D0B">
            <w:pPr>
              <w:jc w:val="right"/>
              <w:rPr>
                <w:rFonts w:ascii="Arial" w:eastAsia="Arial" w:hAnsi="Arial" w:cs="Arial"/>
                <w:color w:val="000000"/>
                <w:sz w:val="16"/>
              </w:rPr>
            </w:pPr>
            <w:r>
              <w:rPr>
                <w:rFonts w:ascii="Arial" w:eastAsia="Arial" w:hAnsi="Arial" w:cs="Arial"/>
                <w:color w:val="000000"/>
                <w:sz w:val="16"/>
              </w:rPr>
              <w:t>3,879 </w:t>
            </w:r>
          </w:p>
        </w:tc>
      </w:tr>
      <w:tr w:rsidR="00724034" w14:paraId="078FB089" w14:textId="77777777">
        <w:trPr>
          <w:trHeight w:val="60"/>
        </w:trPr>
        <w:tc>
          <w:tcPr>
            <w:tcW w:w="180" w:type="dxa"/>
            <w:tcBorders>
              <w:top w:val="nil"/>
              <w:left w:val="single" w:sz="6" w:space="0" w:color="000000"/>
              <w:bottom w:val="nil"/>
              <w:right w:val="nil"/>
              <w:tl2br w:val="nil"/>
              <w:tr2bl w:val="nil"/>
            </w:tcBorders>
            <w:shd w:val="clear" w:color="auto" w:fill="FFFFFF"/>
            <w:tcMar>
              <w:left w:w="101" w:type="dxa"/>
              <w:right w:w="101" w:type="dxa"/>
            </w:tcMar>
            <w:vAlign w:val="bottom"/>
          </w:tcPr>
          <w:p w14:paraId="6C44C8A4" w14:textId="77777777" w:rsidR="00724034" w:rsidRDefault="00724034">
            <w:pPr>
              <w:rPr>
                <w:rFonts w:ascii="Arial" w:eastAsia="Arial" w:hAnsi="Arial" w:cs="Arial"/>
                <w:color w:val="000000"/>
                <w:sz w:val="16"/>
              </w:rPr>
            </w:pPr>
          </w:p>
        </w:tc>
        <w:tc>
          <w:tcPr>
            <w:tcW w:w="180" w:type="dxa"/>
            <w:tcBorders>
              <w:top w:val="nil"/>
              <w:left w:val="nil"/>
              <w:bottom w:val="nil"/>
              <w:right w:val="nil"/>
              <w:tl2br w:val="nil"/>
              <w:tr2bl w:val="nil"/>
            </w:tcBorders>
            <w:shd w:val="clear" w:color="auto" w:fill="FFFFFF"/>
            <w:tcMar>
              <w:left w:w="101" w:type="dxa"/>
              <w:right w:w="101" w:type="dxa"/>
            </w:tcMar>
            <w:vAlign w:val="bottom"/>
          </w:tcPr>
          <w:p w14:paraId="25D23E08" w14:textId="77777777" w:rsidR="00724034" w:rsidRDefault="00724034">
            <w:pPr>
              <w:rPr>
                <w:rFonts w:ascii="Arial" w:eastAsia="Arial" w:hAnsi="Arial" w:cs="Arial"/>
                <w:color w:val="000000"/>
                <w:sz w:val="16"/>
              </w:rPr>
            </w:pPr>
          </w:p>
        </w:tc>
        <w:tc>
          <w:tcPr>
            <w:tcW w:w="2730" w:type="dxa"/>
            <w:tcBorders>
              <w:top w:val="nil"/>
              <w:left w:val="nil"/>
              <w:bottom w:val="nil"/>
              <w:right w:val="nil"/>
              <w:tl2br w:val="nil"/>
              <w:tr2bl w:val="nil"/>
            </w:tcBorders>
            <w:shd w:val="clear" w:color="auto" w:fill="FFFFFF"/>
            <w:tcMar>
              <w:left w:w="101" w:type="dxa"/>
              <w:right w:w="101" w:type="dxa"/>
            </w:tcMar>
            <w:vAlign w:val="bottom"/>
          </w:tcPr>
          <w:p w14:paraId="0DA27587" w14:textId="77777777" w:rsidR="00724034" w:rsidRDefault="00724034">
            <w:pPr>
              <w:rPr>
                <w:rFonts w:ascii="Arial" w:eastAsia="Arial" w:hAnsi="Arial" w:cs="Arial"/>
                <w:color w:val="000000"/>
                <w:sz w:val="16"/>
              </w:rPr>
            </w:pPr>
          </w:p>
        </w:tc>
        <w:tc>
          <w:tcPr>
            <w:tcW w:w="975"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2C836D7F" w14:textId="77777777" w:rsidR="00724034" w:rsidRDefault="00724034">
            <w:pPr>
              <w:jc w:val="right"/>
              <w:rPr>
                <w:rFonts w:ascii="Arial" w:eastAsia="Arial" w:hAnsi="Arial" w:cs="Arial"/>
                <w:color w:val="000000"/>
                <w:sz w:val="16"/>
                <w:vertAlign w:val="superscript"/>
              </w:rPr>
            </w:pPr>
          </w:p>
        </w:tc>
        <w:tc>
          <w:tcPr>
            <w:tcW w:w="975" w:type="dxa"/>
            <w:tcBorders>
              <w:top w:val="nil"/>
              <w:left w:val="nil"/>
              <w:bottom w:val="single" w:sz="6" w:space="0" w:color="000000"/>
              <w:right w:val="nil"/>
              <w:tl2br w:val="nil"/>
              <w:tr2bl w:val="nil"/>
            </w:tcBorders>
            <w:shd w:val="clear" w:color="auto" w:fill="FFFF00"/>
            <w:tcMar>
              <w:left w:w="101" w:type="dxa"/>
              <w:right w:w="101" w:type="dxa"/>
            </w:tcMar>
            <w:vAlign w:val="bottom"/>
          </w:tcPr>
          <w:p w14:paraId="490C767B" w14:textId="77777777" w:rsidR="00724034" w:rsidRDefault="00724034">
            <w:pPr>
              <w:jc w:val="right"/>
              <w:rPr>
                <w:rFonts w:ascii="Arial" w:eastAsia="Arial" w:hAnsi="Arial" w:cs="Arial"/>
                <w:color w:val="000000"/>
                <w:sz w:val="16"/>
                <w:vertAlign w:val="superscript"/>
              </w:rPr>
            </w:pPr>
          </w:p>
        </w:tc>
        <w:tc>
          <w:tcPr>
            <w:tcW w:w="975"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7E2A2240" w14:textId="77777777" w:rsidR="00724034" w:rsidRDefault="00724034">
            <w:pPr>
              <w:jc w:val="right"/>
              <w:rPr>
                <w:rFonts w:ascii="Arial" w:eastAsia="Arial" w:hAnsi="Arial" w:cs="Arial"/>
                <w:color w:val="000000"/>
                <w:sz w:val="16"/>
                <w:vertAlign w:val="superscript"/>
              </w:rPr>
            </w:pPr>
          </w:p>
        </w:tc>
        <w:tc>
          <w:tcPr>
            <w:tcW w:w="975"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3170DBB9" w14:textId="77777777" w:rsidR="00724034" w:rsidRDefault="00724034">
            <w:pPr>
              <w:jc w:val="right"/>
              <w:rPr>
                <w:rFonts w:ascii="Arial" w:eastAsia="Arial" w:hAnsi="Arial" w:cs="Arial"/>
                <w:color w:val="000000"/>
                <w:sz w:val="16"/>
                <w:vertAlign w:val="superscript"/>
              </w:rPr>
            </w:pPr>
          </w:p>
        </w:tc>
        <w:tc>
          <w:tcPr>
            <w:tcW w:w="975" w:type="dxa"/>
            <w:tcBorders>
              <w:top w:val="nil"/>
              <w:left w:val="nil"/>
              <w:bottom w:val="single" w:sz="6" w:space="0" w:color="000000"/>
              <w:right w:val="single" w:sz="6" w:space="0" w:color="000000"/>
              <w:tl2br w:val="nil"/>
              <w:tr2bl w:val="nil"/>
            </w:tcBorders>
            <w:shd w:val="clear" w:color="auto" w:fill="FFFFFF"/>
            <w:tcMar>
              <w:left w:w="101" w:type="dxa"/>
              <w:right w:w="101" w:type="dxa"/>
            </w:tcMar>
            <w:vAlign w:val="bottom"/>
          </w:tcPr>
          <w:p w14:paraId="51AA2664" w14:textId="77777777" w:rsidR="00724034" w:rsidRDefault="00724034">
            <w:pPr>
              <w:jc w:val="right"/>
              <w:rPr>
                <w:rFonts w:ascii="Arial" w:eastAsia="Arial" w:hAnsi="Arial" w:cs="Arial"/>
                <w:color w:val="000000"/>
                <w:sz w:val="16"/>
                <w:vertAlign w:val="superscript"/>
              </w:rPr>
            </w:pPr>
          </w:p>
        </w:tc>
      </w:tr>
      <w:tr w:rsidR="00FB7D0B" w14:paraId="25FC6C9F" w14:textId="77777777" w:rsidTr="00FB7D0B">
        <w:trPr>
          <w:trHeight w:val="225"/>
        </w:trPr>
        <w:tc>
          <w:tcPr>
            <w:tcW w:w="3090" w:type="dxa"/>
            <w:gridSpan w:val="3"/>
            <w:tcBorders>
              <w:top w:val="nil"/>
              <w:left w:val="single" w:sz="6" w:space="0" w:color="000000"/>
              <w:bottom w:val="single" w:sz="6" w:space="0" w:color="000000"/>
              <w:right w:val="nil"/>
              <w:tl2br w:val="nil"/>
              <w:tr2bl w:val="nil"/>
            </w:tcBorders>
            <w:shd w:val="clear" w:color="auto" w:fill="FFFFFF"/>
            <w:tcMar>
              <w:left w:w="101" w:type="dxa"/>
              <w:right w:w="101" w:type="dxa"/>
            </w:tcMar>
            <w:vAlign w:val="bottom"/>
          </w:tcPr>
          <w:p w14:paraId="2E7421F5" w14:textId="77777777" w:rsidR="00724034" w:rsidRDefault="00FB7D0B">
            <w:pPr>
              <w:rPr>
                <w:rFonts w:ascii="Arial" w:eastAsia="Arial" w:hAnsi="Arial" w:cs="Arial"/>
                <w:color w:val="000000"/>
                <w:sz w:val="16"/>
                <w:vertAlign w:val="superscript"/>
              </w:rPr>
            </w:pPr>
            <w:r>
              <w:rPr>
                <w:rFonts w:ascii="Arial" w:eastAsia="Arial" w:hAnsi="Arial" w:cs="Arial"/>
                <w:b/>
                <w:color w:val="000000"/>
                <w:sz w:val="16"/>
              </w:rPr>
              <w:t xml:space="preserve">Total program expenses </w:t>
            </w:r>
          </w:p>
        </w:tc>
        <w:tc>
          <w:tcPr>
            <w:tcW w:w="975"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38477199" w14:textId="77777777" w:rsidR="00724034" w:rsidRDefault="00FB7D0B">
            <w:pPr>
              <w:jc w:val="right"/>
              <w:rPr>
                <w:rFonts w:ascii="Arial" w:eastAsia="Arial" w:hAnsi="Arial" w:cs="Arial"/>
                <w:b/>
                <w:color w:val="000000"/>
                <w:sz w:val="16"/>
                <w:vertAlign w:val="superscript"/>
              </w:rPr>
            </w:pPr>
            <w:r>
              <w:rPr>
                <w:rFonts w:ascii="Arial" w:eastAsia="Arial" w:hAnsi="Arial" w:cs="Arial"/>
                <w:b/>
                <w:color w:val="000000"/>
                <w:sz w:val="16"/>
              </w:rPr>
              <w:t>2,837,861 </w:t>
            </w:r>
          </w:p>
        </w:tc>
        <w:tc>
          <w:tcPr>
            <w:tcW w:w="975" w:type="dxa"/>
            <w:tcBorders>
              <w:top w:val="single" w:sz="6" w:space="0" w:color="000000"/>
              <w:left w:val="nil"/>
              <w:bottom w:val="single" w:sz="6" w:space="0" w:color="000000"/>
              <w:right w:val="nil"/>
              <w:tl2br w:val="nil"/>
              <w:tr2bl w:val="nil"/>
            </w:tcBorders>
            <w:shd w:val="clear" w:color="auto" w:fill="FFFF00"/>
            <w:tcMar>
              <w:left w:w="101" w:type="dxa"/>
              <w:right w:w="101" w:type="dxa"/>
            </w:tcMar>
            <w:vAlign w:val="bottom"/>
          </w:tcPr>
          <w:p w14:paraId="27DDB9E6" w14:textId="77777777" w:rsidR="00724034" w:rsidRDefault="00FB7D0B">
            <w:pPr>
              <w:jc w:val="right"/>
              <w:rPr>
                <w:rFonts w:ascii="Arial" w:eastAsia="Arial" w:hAnsi="Arial" w:cs="Arial"/>
                <w:b/>
                <w:color w:val="000000"/>
                <w:sz w:val="16"/>
              </w:rPr>
            </w:pPr>
            <w:r>
              <w:rPr>
                <w:rFonts w:ascii="Arial" w:eastAsia="Arial" w:hAnsi="Arial" w:cs="Arial"/>
                <w:b/>
                <w:color w:val="000000"/>
                <w:sz w:val="16"/>
              </w:rPr>
              <w:t>2,762,306 </w:t>
            </w:r>
          </w:p>
        </w:tc>
        <w:tc>
          <w:tcPr>
            <w:tcW w:w="975"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003172B1" w14:textId="77777777" w:rsidR="00724034" w:rsidRDefault="00FB7D0B">
            <w:pPr>
              <w:jc w:val="right"/>
              <w:rPr>
                <w:rFonts w:ascii="Arial" w:eastAsia="Arial" w:hAnsi="Arial" w:cs="Arial"/>
                <w:b/>
                <w:color w:val="000000"/>
                <w:sz w:val="16"/>
              </w:rPr>
            </w:pPr>
            <w:r>
              <w:rPr>
                <w:rFonts w:ascii="Arial" w:eastAsia="Arial" w:hAnsi="Arial" w:cs="Arial"/>
                <w:b/>
                <w:color w:val="000000"/>
                <w:sz w:val="16"/>
              </w:rPr>
              <w:t>2,686,516 </w:t>
            </w:r>
          </w:p>
        </w:tc>
        <w:tc>
          <w:tcPr>
            <w:tcW w:w="975"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0409A461" w14:textId="77777777" w:rsidR="00724034" w:rsidRDefault="00FB7D0B">
            <w:pPr>
              <w:jc w:val="right"/>
              <w:rPr>
                <w:rFonts w:ascii="Arial" w:eastAsia="Arial" w:hAnsi="Arial" w:cs="Arial"/>
                <w:b/>
                <w:color w:val="000000"/>
                <w:sz w:val="16"/>
              </w:rPr>
            </w:pPr>
            <w:r>
              <w:rPr>
                <w:rFonts w:ascii="Arial" w:eastAsia="Arial" w:hAnsi="Arial" w:cs="Arial"/>
                <w:b/>
                <w:color w:val="000000"/>
                <w:sz w:val="16"/>
              </w:rPr>
              <w:t>2,602,318 </w:t>
            </w:r>
          </w:p>
        </w:tc>
        <w:tc>
          <w:tcPr>
            <w:tcW w:w="975" w:type="dxa"/>
            <w:tcBorders>
              <w:top w:val="single" w:sz="6" w:space="0" w:color="000000"/>
              <w:left w:val="nil"/>
              <w:bottom w:val="single" w:sz="6" w:space="0" w:color="000000"/>
              <w:right w:val="single" w:sz="6" w:space="0" w:color="000000"/>
              <w:tl2br w:val="nil"/>
              <w:tr2bl w:val="nil"/>
            </w:tcBorders>
            <w:shd w:val="clear" w:color="auto" w:fill="FFFFFF"/>
            <w:tcMar>
              <w:left w:w="101" w:type="dxa"/>
              <w:right w:w="101" w:type="dxa"/>
            </w:tcMar>
            <w:vAlign w:val="bottom"/>
          </w:tcPr>
          <w:p w14:paraId="00F3D9F0" w14:textId="77777777" w:rsidR="00724034" w:rsidRDefault="00FB7D0B">
            <w:pPr>
              <w:jc w:val="right"/>
              <w:rPr>
                <w:rFonts w:ascii="Arial" w:eastAsia="Arial" w:hAnsi="Arial" w:cs="Arial"/>
                <w:b/>
                <w:color w:val="000000"/>
                <w:sz w:val="16"/>
              </w:rPr>
            </w:pPr>
            <w:r>
              <w:rPr>
                <w:rFonts w:ascii="Arial" w:eastAsia="Arial" w:hAnsi="Arial" w:cs="Arial"/>
                <w:b/>
                <w:color w:val="000000"/>
                <w:sz w:val="16"/>
              </w:rPr>
              <w:t>2,491,334 </w:t>
            </w:r>
          </w:p>
        </w:tc>
      </w:tr>
    </w:tbl>
    <w:p w14:paraId="5FDFC54D" w14:textId="77777777" w:rsidR="00724034" w:rsidRDefault="00724034">
      <w:pPr>
        <w:rPr>
          <w:rFonts w:ascii="Times New Roman" w:eastAsia="Times New Roman" w:hAnsi="Times New Roman" w:cs="Times New Roman"/>
        </w:rPr>
      </w:pPr>
    </w:p>
    <w:p w14:paraId="26A112C9" w14:textId="77777777" w:rsidR="003F0EEA" w:rsidRPr="004D4F1D" w:rsidRDefault="00FB7D0B" w:rsidP="003F0EEA">
      <w:pPr>
        <w:pStyle w:val="ListParagraph3"/>
        <w:numPr>
          <w:ilvl w:val="0"/>
          <w:numId w:val="11"/>
        </w:numPr>
        <w:spacing w:after="200" w:line="276" w:lineRule="auto"/>
        <w:ind w:left="284" w:hanging="284"/>
        <w:rPr>
          <w:rFonts w:ascii="Arial" w:eastAsia="Calibri" w:hAnsi="Arial" w:cs="Arial"/>
          <w:sz w:val="16"/>
          <w:szCs w:val="16"/>
          <w:lang w:eastAsia="en-US"/>
        </w:rPr>
      </w:pPr>
      <w:r w:rsidRPr="004D4F1D">
        <w:rPr>
          <w:rFonts w:ascii="Arial" w:eastAsia="Calibri" w:hAnsi="Arial" w:cs="Arial"/>
          <w:sz w:val="16"/>
          <w:szCs w:val="16"/>
          <w:lang w:eastAsia="en-US"/>
        </w:rPr>
        <w:t xml:space="preserve">Expenses not requiring appropriation in the Budget year is made up of Depreciation Expense, Amortisation </w:t>
      </w:r>
      <w:r w:rsidRPr="004D4F1D">
        <w:rPr>
          <w:rFonts w:ascii="Arial" w:eastAsia="Calibri" w:hAnsi="Arial" w:cs="Arial"/>
          <w:sz w:val="16"/>
          <w:szCs w:val="16"/>
          <w:lang w:eastAsia="en-US"/>
        </w:rPr>
        <w:br/>
        <w:t xml:space="preserve">Expense and Resources Received Free of Charge. </w:t>
      </w:r>
    </w:p>
    <w:p w14:paraId="0C5A6D82" w14:textId="77777777" w:rsidR="003F0EEA" w:rsidRPr="004D4F1D" w:rsidRDefault="00FB7D0B">
      <w:pPr>
        <w:rPr>
          <w:rFonts w:ascii="Arial" w:hAnsi="Arial" w:cs="Arial"/>
          <w:sz w:val="16"/>
          <w:szCs w:val="16"/>
          <w:lang w:eastAsia="en-US"/>
        </w:rPr>
      </w:pPr>
      <w:r w:rsidRPr="004D4F1D">
        <w:rPr>
          <w:rFonts w:ascii="Arial" w:hAnsi="Arial" w:cs="Arial"/>
          <w:sz w:val="16"/>
          <w:szCs w:val="16"/>
          <w:lang w:eastAsia="en-US"/>
        </w:rPr>
        <w:br w:type="page"/>
      </w:r>
    </w:p>
    <w:tbl>
      <w:tblPr>
        <w:tblW w:w="8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70"/>
        <w:gridCol w:w="860"/>
        <w:gridCol w:w="860"/>
        <w:gridCol w:w="860"/>
        <w:gridCol w:w="860"/>
        <w:gridCol w:w="860"/>
        <w:gridCol w:w="10"/>
      </w:tblGrid>
      <w:tr w:rsidR="00724034" w14:paraId="0541D4C6" w14:textId="77777777" w:rsidTr="003F0EEA">
        <w:tc>
          <w:tcPr>
            <w:tcW w:w="8080" w:type="dxa"/>
            <w:gridSpan w:val="7"/>
            <w:tcBorders>
              <w:top w:val="single" w:sz="4" w:space="0" w:color="auto"/>
              <w:left w:val="single" w:sz="4" w:space="0" w:color="auto"/>
              <w:bottom w:val="single" w:sz="4" w:space="0" w:color="auto"/>
              <w:right w:val="single" w:sz="4" w:space="0" w:color="auto"/>
            </w:tcBorders>
            <w:shd w:val="clear" w:color="auto" w:fill="E6E6E6"/>
          </w:tcPr>
          <w:p w14:paraId="0427C875" w14:textId="77777777" w:rsidR="003F0EEA" w:rsidRPr="00A17252" w:rsidRDefault="00FB7D0B" w:rsidP="003F0EEA">
            <w:pPr>
              <w:pStyle w:val="TableTextLeft0"/>
              <w:ind w:right="-108"/>
              <w:rPr>
                <w:b/>
              </w:rPr>
            </w:pPr>
            <w:r w:rsidRPr="00AE362C">
              <w:rPr>
                <w:b/>
                <w:sz w:val="20"/>
              </w:rPr>
              <w:t>Program</w:t>
            </w:r>
            <w:r>
              <w:rPr>
                <w:b/>
                <w:sz w:val="20"/>
              </w:rPr>
              <w:t>me</w:t>
            </w:r>
            <w:r w:rsidRPr="00AE362C">
              <w:rPr>
                <w:b/>
                <w:sz w:val="20"/>
              </w:rPr>
              <w:t xml:space="preserve"> 1.1: Veterans' Income Support and Allowances</w:t>
            </w:r>
            <w:r w:rsidRPr="00AE362C">
              <w:rPr>
                <w:sz w:val="20"/>
              </w:rPr>
              <w:t xml:space="preserve"> </w:t>
            </w:r>
            <w:r w:rsidRPr="00AE362C">
              <w:rPr>
                <w:b/>
                <w:sz w:val="20"/>
              </w:rPr>
              <w:t>(continued)</w:t>
            </w:r>
          </w:p>
        </w:tc>
      </w:tr>
      <w:tr w:rsidR="00724034" w14:paraId="294FE425" w14:textId="77777777" w:rsidTr="003F0EEA">
        <w:tc>
          <w:tcPr>
            <w:tcW w:w="8080" w:type="dxa"/>
            <w:gridSpan w:val="7"/>
            <w:tcBorders>
              <w:top w:val="single" w:sz="4" w:space="0" w:color="auto"/>
              <w:left w:val="nil"/>
              <w:bottom w:val="single" w:sz="4" w:space="0" w:color="auto"/>
              <w:right w:val="nil"/>
            </w:tcBorders>
          </w:tcPr>
          <w:p w14:paraId="498C601C" w14:textId="77777777" w:rsidR="003F0EEA" w:rsidRDefault="003F0EEA" w:rsidP="003F0EEA">
            <w:pPr>
              <w:pStyle w:val="TableTextLeft0"/>
              <w:rPr>
                <w:b/>
              </w:rPr>
            </w:pPr>
          </w:p>
        </w:tc>
      </w:tr>
      <w:tr w:rsidR="00724034" w14:paraId="1470DC68" w14:textId="77777777" w:rsidTr="003F0EEA">
        <w:tc>
          <w:tcPr>
            <w:tcW w:w="8080" w:type="dxa"/>
            <w:gridSpan w:val="7"/>
            <w:tcBorders>
              <w:top w:val="single" w:sz="4" w:space="0" w:color="auto"/>
              <w:left w:val="single" w:sz="4" w:space="0" w:color="auto"/>
              <w:bottom w:val="single" w:sz="4" w:space="0" w:color="auto"/>
              <w:right w:val="single" w:sz="4" w:space="0" w:color="auto"/>
            </w:tcBorders>
          </w:tcPr>
          <w:p w14:paraId="78F02E56" w14:textId="77777777" w:rsidR="003F0EEA" w:rsidRDefault="00FB7D0B" w:rsidP="003F0EEA">
            <w:pPr>
              <w:pStyle w:val="TableTextLeft0"/>
              <w:keepNext/>
              <w:rPr>
                <w:b/>
              </w:rPr>
            </w:pPr>
            <w:r>
              <w:rPr>
                <w:b/>
              </w:rPr>
              <w:t>Programme 1.1 deliverables</w:t>
            </w:r>
          </w:p>
          <w:p w14:paraId="312EA3B6" w14:textId="77777777" w:rsidR="003F0EEA" w:rsidRDefault="00FB7D0B" w:rsidP="003F0EEA">
            <w:pPr>
              <w:pStyle w:val="TableTextLeft0"/>
              <w:rPr>
                <w:rFonts w:cs="Times New Roman"/>
              </w:rPr>
            </w:pPr>
            <w:r>
              <w:t>Process claims and reviews in order to deliver means tested income support pensions, allowances and other services to veterans and their dependants.</w:t>
            </w:r>
          </w:p>
          <w:p w14:paraId="654B4A5E" w14:textId="77777777" w:rsidR="003F0EEA" w:rsidRDefault="00FB7D0B" w:rsidP="003F0EEA">
            <w:pPr>
              <w:pStyle w:val="TableTextLeft0"/>
              <w:rPr>
                <w:b/>
              </w:rPr>
            </w:pPr>
            <w:r>
              <w:t>This programme has been revised to include claims for qualifying service and the resultant card claims: Commonwealth Seniors Health Card (CSHC); Repatriation Health Card — For all Conditions (Gold Card) and Repatriation Pharmaceutical Benefits Card (Orange Card). While claims for qualifying service may not lead to immediate payment of pension or allowances, entitlement for possible future benefits is established. CSHC holders and those Gold Card holders who are age qualified are entitled to Seniors Supplement (if not already receiving Pension Supplement), whereas the remainder of Gold Card holders and all Orange Card holders receive Veterans Supplement.</w:t>
            </w:r>
          </w:p>
        </w:tc>
      </w:tr>
      <w:tr w:rsidR="00724034" w14:paraId="1D015E79" w14:textId="77777777">
        <w:tblPrEx>
          <w:tblLook w:val="04A0" w:firstRow="1" w:lastRow="0" w:firstColumn="1" w:lastColumn="0" w:noHBand="0" w:noVBand="1"/>
        </w:tblPrEx>
        <w:trPr>
          <w:gridAfter w:val="1"/>
          <w:wAfter w:w="10" w:type="dxa"/>
          <w:trHeight w:val="225"/>
        </w:trPr>
        <w:tc>
          <w:tcPr>
            <w:tcW w:w="0" w:type="auto"/>
            <w:tcBorders>
              <w:top w:val="single" w:sz="6" w:space="0" w:color="000000"/>
              <w:left w:val="single" w:sz="6" w:space="0" w:color="000000"/>
              <w:bottom w:val="nil"/>
              <w:right w:val="nil"/>
              <w:tl2br w:val="nil"/>
              <w:tr2bl w:val="nil"/>
            </w:tcBorders>
            <w:shd w:val="clear" w:color="auto" w:fill="FFFFFF"/>
            <w:tcMar>
              <w:left w:w="115" w:type="dxa"/>
              <w:right w:w="115" w:type="dxa"/>
            </w:tcMar>
            <w:vAlign w:val="bottom"/>
          </w:tcPr>
          <w:p w14:paraId="48C4369B" w14:textId="77777777" w:rsidR="00724034" w:rsidRDefault="00724034">
            <w:pPr>
              <w:jc w:val="center"/>
            </w:pPr>
          </w:p>
        </w:tc>
        <w:tc>
          <w:tcPr>
            <w:tcW w:w="0" w:type="auto"/>
            <w:tcBorders>
              <w:top w:val="single" w:sz="6" w:space="0" w:color="000000"/>
              <w:left w:val="nil"/>
              <w:bottom w:val="nil"/>
              <w:right w:val="nil"/>
              <w:tl2br w:val="nil"/>
              <w:tr2bl w:val="nil"/>
            </w:tcBorders>
            <w:shd w:val="clear" w:color="auto" w:fill="FFFFFF"/>
            <w:tcMar>
              <w:left w:w="115" w:type="dxa"/>
              <w:right w:w="115" w:type="dxa"/>
            </w:tcMar>
            <w:vAlign w:val="bottom"/>
          </w:tcPr>
          <w:p w14:paraId="2A6FB452" w14:textId="77777777" w:rsidR="00724034" w:rsidRDefault="00FB7D0B">
            <w:pPr>
              <w:jc w:val="right"/>
              <w:rPr>
                <w:rFonts w:ascii="Arial" w:eastAsia="Arial" w:hAnsi="Arial" w:cs="Arial"/>
                <w:b/>
                <w:color w:val="000000"/>
                <w:sz w:val="16"/>
                <w:vertAlign w:val="superscript"/>
              </w:rPr>
            </w:pPr>
            <w:r>
              <w:rPr>
                <w:rFonts w:ascii="Arial" w:eastAsia="Arial" w:hAnsi="Arial" w:cs="Arial"/>
                <w:color w:val="000000"/>
                <w:sz w:val="16"/>
              </w:rPr>
              <w:t>2013-14</w:t>
            </w:r>
          </w:p>
        </w:tc>
        <w:tc>
          <w:tcPr>
            <w:tcW w:w="0" w:type="auto"/>
            <w:tcBorders>
              <w:top w:val="single" w:sz="6" w:space="0" w:color="000000"/>
              <w:left w:val="nil"/>
              <w:bottom w:val="nil"/>
              <w:right w:val="nil"/>
              <w:tl2br w:val="nil"/>
              <w:tr2bl w:val="nil"/>
            </w:tcBorders>
            <w:shd w:val="clear" w:color="auto" w:fill="FFFF00"/>
            <w:tcMar>
              <w:left w:w="115" w:type="dxa"/>
              <w:right w:w="115" w:type="dxa"/>
            </w:tcMar>
            <w:vAlign w:val="bottom"/>
          </w:tcPr>
          <w:p w14:paraId="1A6589BB" w14:textId="77777777" w:rsidR="00724034" w:rsidRDefault="00FB7D0B">
            <w:pPr>
              <w:jc w:val="right"/>
              <w:rPr>
                <w:rFonts w:ascii="Arial" w:eastAsia="Arial" w:hAnsi="Arial" w:cs="Arial"/>
                <w:color w:val="000000"/>
                <w:sz w:val="16"/>
              </w:rPr>
            </w:pPr>
            <w:r>
              <w:rPr>
                <w:rFonts w:ascii="Arial" w:eastAsia="Arial" w:hAnsi="Arial" w:cs="Arial"/>
                <w:color w:val="000000"/>
                <w:sz w:val="16"/>
              </w:rPr>
              <w:t>2014-15</w:t>
            </w:r>
          </w:p>
        </w:tc>
        <w:tc>
          <w:tcPr>
            <w:tcW w:w="0" w:type="auto"/>
            <w:tcBorders>
              <w:top w:val="single" w:sz="6" w:space="0" w:color="000000"/>
              <w:left w:val="nil"/>
              <w:bottom w:val="nil"/>
              <w:right w:val="nil"/>
              <w:tl2br w:val="nil"/>
              <w:tr2bl w:val="nil"/>
            </w:tcBorders>
            <w:shd w:val="clear" w:color="auto" w:fill="FFFFFF"/>
            <w:tcMar>
              <w:left w:w="115" w:type="dxa"/>
              <w:right w:w="115" w:type="dxa"/>
            </w:tcMar>
            <w:vAlign w:val="bottom"/>
          </w:tcPr>
          <w:p w14:paraId="4461798A" w14:textId="77777777" w:rsidR="00724034" w:rsidRDefault="00FB7D0B">
            <w:pPr>
              <w:jc w:val="right"/>
              <w:rPr>
                <w:rFonts w:ascii="Arial" w:eastAsia="Arial" w:hAnsi="Arial" w:cs="Arial"/>
                <w:color w:val="000000"/>
                <w:sz w:val="16"/>
              </w:rPr>
            </w:pPr>
            <w:r>
              <w:rPr>
                <w:rFonts w:ascii="Arial" w:eastAsia="Arial" w:hAnsi="Arial" w:cs="Arial"/>
                <w:color w:val="000000"/>
                <w:sz w:val="16"/>
              </w:rPr>
              <w:t>2015-16</w:t>
            </w:r>
          </w:p>
        </w:tc>
        <w:tc>
          <w:tcPr>
            <w:tcW w:w="0" w:type="auto"/>
            <w:tcBorders>
              <w:top w:val="single" w:sz="6" w:space="0" w:color="000000"/>
              <w:left w:val="nil"/>
              <w:bottom w:val="nil"/>
              <w:right w:val="nil"/>
              <w:tl2br w:val="nil"/>
              <w:tr2bl w:val="nil"/>
            </w:tcBorders>
            <w:shd w:val="clear" w:color="auto" w:fill="FFFFFF"/>
            <w:tcMar>
              <w:left w:w="115" w:type="dxa"/>
              <w:right w:w="115" w:type="dxa"/>
            </w:tcMar>
            <w:vAlign w:val="bottom"/>
          </w:tcPr>
          <w:p w14:paraId="6A807C38" w14:textId="77777777" w:rsidR="00724034" w:rsidRDefault="00FB7D0B">
            <w:pPr>
              <w:jc w:val="right"/>
              <w:rPr>
                <w:rFonts w:ascii="Arial" w:eastAsia="Arial" w:hAnsi="Arial" w:cs="Arial"/>
                <w:color w:val="000000"/>
                <w:sz w:val="16"/>
              </w:rPr>
            </w:pPr>
            <w:r>
              <w:rPr>
                <w:rFonts w:ascii="Arial" w:eastAsia="Arial" w:hAnsi="Arial" w:cs="Arial"/>
                <w:color w:val="000000"/>
                <w:sz w:val="16"/>
              </w:rPr>
              <w:t>2016-17</w:t>
            </w:r>
          </w:p>
        </w:tc>
        <w:tc>
          <w:tcPr>
            <w:tcW w:w="0" w:type="auto"/>
            <w:tcBorders>
              <w:top w:val="single" w:sz="6" w:space="0" w:color="000000"/>
              <w:left w:val="nil"/>
              <w:bottom w:val="nil"/>
              <w:right w:val="single" w:sz="6" w:space="0" w:color="000000"/>
              <w:tl2br w:val="nil"/>
              <w:tr2bl w:val="nil"/>
            </w:tcBorders>
            <w:shd w:val="clear" w:color="auto" w:fill="FFFFFF"/>
            <w:tcMar>
              <w:left w:w="115" w:type="dxa"/>
              <w:right w:w="115" w:type="dxa"/>
            </w:tcMar>
            <w:vAlign w:val="bottom"/>
          </w:tcPr>
          <w:p w14:paraId="5E2A6F6C" w14:textId="77777777" w:rsidR="00724034" w:rsidRDefault="00FB7D0B">
            <w:pPr>
              <w:jc w:val="right"/>
              <w:rPr>
                <w:rFonts w:ascii="Arial" w:eastAsia="Arial" w:hAnsi="Arial" w:cs="Arial"/>
                <w:color w:val="000000"/>
                <w:sz w:val="16"/>
              </w:rPr>
            </w:pPr>
            <w:r>
              <w:rPr>
                <w:rFonts w:ascii="Arial" w:eastAsia="Arial" w:hAnsi="Arial" w:cs="Arial"/>
                <w:color w:val="000000"/>
                <w:sz w:val="16"/>
              </w:rPr>
              <w:t>2017-18</w:t>
            </w:r>
          </w:p>
        </w:tc>
      </w:tr>
      <w:tr w:rsidR="00724034" w14:paraId="1CEC4C82" w14:textId="77777777">
        <w:tblPrEx>
          <w:tblLook w:val="04A0" w:firstRow="1" w:lastRow="0" w:firstColumn="1" w:lastColumn="0" w:noHBand="0" w:noVBand="1"/>
        </w:tblPrEx>
        <w:trPr>
          <w:gridAfter w:val="1"/>
          <w:wAfter w:w="10" w:type="dxa"/>
          <w:trHeight w:val="225"/>
        </w:trPr>
        <w:tc>
          <w:tcPr>
            <w:tcW w:w="0" w:type="auto"/>
            <w:tcBorders>
              <w:top w:val="nil"/>
              <w:left w:val="single" w:sz="6" w:space="0" w:color="000000"/>
              <w:bottom w:val="nil"/>
              <w:right w:val="nil"/>
              <w:tl2br w:val="nil"/>
              <w:tr2bl w:val="nil"/>
            </w:tcBorders>
            <w:shd w:val="clear" w:color="auto" w:fill="FFFFFF"/>
            <w:tcMar>
              <w:left w:w="115" w:type="dxa"/>
              <w:right w:w="115" w:type="dxa"/>
            </w:tcMar>
            <w:vAlign w:val="bottom"/>
          </w:tcPr>
          <w:p w14:paraId="5892126F" w14:textId="77777777" w:rsidR="00724034" w:rsidRDefault="00724034">
            <w:pPr>
              <w:rPr>
                <w:rFonts w:ascii="Arial" w:eastAsia="Arial" w:hAnsi="Arial" w:cs="Arial"/>
                <w:color w:val="000000"/>
                <w:sz w:val="16"/>
              </w:rPr>
            </w:pPr>
          </w:p>
        </w:tc>
        <w:tc>
          <w:tcPr>
            <w:tcW w:w="0" w:type="auto"/>
            <w:tcBorders>
              <w:top w:val="nil"/>
              <w:left w:val="nil"/>
              <w:bottom w:val="nil"/>
              <w:right w:val="nil"/>
              <w:tl2br w:val="nil"/>
              <w:tr2bl w:val="nil"/>
            </w:tcBorders>
            <w:shd w:val="clear" w:color="auto" w:fill="FFFFFF"/>
            <w:tcMar>
              <w:left w:w="115" w:type="dxa"/>
              <w:right w:w="115" w:type="dxa"/>
            </w:tcMar>
            <w:vAlign w:val="bottom"/>
          </w:tcPr>
          <w:p w14:paraId="76DA1B4A" w14:textId="77777777" w:rsidR="00724034" w:rsidRDefault="00FB7D0B">
            <w:pPr>
              <w:jc w:val="right"/>
              <w:rPr>
                <w:rFonts w:ascii="Arial" w:eastAsia="Arial" w:hAnsi="Arial" w:cs="Arial"/>
                <w:color w:val="000000"/>
                <w:sz w:val="16"/>
                <w:vertAlign w:val="superscript"/>
              </w:rPr>
            </w:pPr>
            <w:r>
              <w:rPr>
                <w:rFonts w:ascii="Arial" w:eastAsia="Arial" w:hAnsi="Arial" w:cs="Arial"/>
                <w:color w:val="000000"/>
                <w:sz w:val="16"/>
              </w:rPr>
              <w:t>Revised</w:t>
            </w:r>
          </w:p>
        </w:tc>
        <w:tc>
          <w:tcPr>
            <w:tcW w:w="0" w:type="auto"/>
            <w:tcBorders>
              <w:top w:val="nil"/>
              <w:left w:val="nil"/>
              <w:bottom w:val="nil"/>
              <w:right w:val="nil"/>
              <w:tl2br w:val="nil"/>
              <w:tr2bl w:val="nil"/>
            </w:tcBorders>
            <w:shd w:val="clear" w:color="auto" w:fill="FFFF00"/>
            <w:tcMar>
              <w:left w:w="115" w:type="dxa"/>
              <w:right w:w="115" w:type="dxa"/>
            </w:tcMar>
            <w:vAlign w:val="bottom"/>
          </w:tcPr>
          <w:p w14:paraId="2855E676" w14:textId="77777777" w:rsidR="00724034" w:rsidRDefault="00FB7D0B">
            <w:pPr>
              <w:jc w:val="right"/>
              <w:rPr>
                <w:rFonts w:ascii="Arial" w:eastAsia="Arial" w:hAnsi="Arial" w:cs="Arial"/>
                <w:color w:val="000000"/>
                <w:sz w:val="16"/>
              </w:rPr>
            </w:pPr>
            <w:r>
              <w:rPr>
                <w:rFonts w:ascii="Arial" w:eastAsia="Arial" w:hAnsi="Arial" w:cs="Arial"/>
                <w:color w:val="000000"/>
                <w:sz w:val="16"/>
              </w:rPr>
              <w:t>Budget</w:t>
            </w:r>
          </w:p>
        </w:tc>
        <w:tc>
          <w:tcPr>
            <w:tcW w:w="0" w:type="auto"/>
            <w:tcBorders>
              <w:top w:val="nil"/>
              <w:left w:val="nil"/>
              <w:bottom w:val="nil"/>
              <w:right w:val="nil"/>
              <w:tl2br w:val="nil"/>
              <w:tr2bl w:val="nil"/>
            </w:tcBorders>
            <w:shd w:val="clear" w:color="auto" w:fill="FFFFFF"/>
            <w:tcMar>
              <w:left w:w="115" w:type="dxa"/>
              <w:right w:w="115" w:type="dxa"/>
            </w:tcMar>
            <w:vAlign w:val="bottom"/>
          </w:tcPr>
          <w:p w14:paraId="02770B05" w14:textId="77777777" w:rsidR="00724034" w:rsidRDefault="00FB7D0B">
            <w:pPr>
              <w:jc w:val="right"/>
              <w:rPr>
                <w:rFonts w:ascii="Arial" w:eastAsia="Arial" w:hAnsi="Arial" w:cs="Arial"/>
                <w:color w:val="000000"/>
                <w:sz w:val="16"/>
              </w:rPr>
            </w:pPr>
            <w:r>
              <w:rPr>
                <w:rFonts w:ascii="Arial" w:eastAsia="Arial" w:hAnsi="Arial" w:cs="Arial"/>
                <w:color w:val="000000"/>
                <w:sz w:val="16"/>
              </w:rPr>
              <w:t>Forward</w:t>
            </w:r>
          </w:p>
        </w:tc>
        <w:tc>
          <w:tcPr>
            <w:tcW w:w="0" w:type="auto"/>
            <w:tcBorders>
              <w:top w:val="nil"/>
              <w:left w:val="nil"/>
              <w:bottom w:val="nil"/>
              <w:right w:val="nil"/>
              <w:tl2br w:val="nil"/>
              <w:tr2bl w:val="nil"/>
            </w:tcBorders>
            <w:shd w:val="clear" w:color="auto" w:fill="FFFFFF"/>
            <w:tcMar>
              <w:left w:w="115" w:type="dxa"/>
              <w:right w:w="115" w:type="dxa"/>
            </w:tcMar>
            <w:vAlign w:val="bottom"/>
          </w:tcPr>
          <w:p w14:paraId="2BEE839A" w14:textId="77777777" w:rsidR="00724034" w:rsidRDefault="00FB7D0B">
            <w:pPr>
              <w:jc w:val="right"/>
              <w:rPr>
                <w:rFonts w:ascii="Arial" w:eastAsia="Arial" w:hAnsi="Arial" w:cs="Arial"/>
                <w:color w:val="000000"/>
                <w:sz w:val="16"/>
              </w:rPr>
            </w:pPr>
            <w:r>
              <w:rPr>
                <w:rFonts w:ascii="Arial" w:eastAsia="Arial" w:hAnsi="Arial" w:cs="Arial"/>
                <w:color w:val="000000"/>
                <w:sz w:val="16"/>
              </w:rPr>
              <w:t>Forward</w:t>
            </w:r>
          </w:p>
        </w:tc>
        <w:tc>
          <w:tcPr>
            <w:tcW w:w="0" w:type="auto"/>
            <w:tcBorders>
              <w:top w:val="nil"/>
              <w:left w:val="nil"/>
              <w:bottom w:val="nil"/>
              <w:right w:val="single" w:sz="6" w:space="0" w:color="000000"/>
              <w:tl2br w:val="nil"/>
              <w:tr2bl w:val="nil"/>
            </w:tcBorders>
            <w:shd w:val="clear" w:color="auto" w:fill="FFFFFF"/>
            <w:tcMar>
              <w:left w:w="115" w:type="dxa"/>
              <w:right w:w="115" w:type="dxa"/>
            </w:tcMar>
            <w:vAlign w:val="bottom"/>
          </w:tcPr>
          <w:p w14:paraId="783B7B0B" w14:textId="77777777" w:rsidR="00724034" w:rsidRDefault="00FB7D0B">
            <w:pPr>
              <w:jc w:val="right"/>
              <w:rPr>
                <w:rFonts w:ascii="Arial" w:eastAsia="Arial" w:hAnsi="Arial" w:cs="Arial"/>
                <w:color w:val="000000"/>
                <w:sz w:val="16"/>
              </w:rPr>
            </w:pPr>
            <w:r>
              <w:rPr>
                <w:rFonts w:ascii="Arial" w:eastAsia="Arial" w:hAnsi="Arial" w:cs="Arial"/>
                <w:color w:val="000000"/>
                <w:sz w:val="16"/>
              </w:rPr>
              <w:t>Forward</w:t>
            </w:r>
          </w:p>
        </w:tc>
      </w:tr>
      <w:tr w:rsidR="00724034" w14:paraId="64184CA9" w14:textId="77777777">
        <w:tblPrEx>
          <w:tblLook w:val="04A0" w:firstRow="1" w:lastRow="0" w:firstColumn="1" w:lastColumn="0" w:noHBand="0" w:noVBand="1"/>
        </w:tblPrEx>
        <w:trPr>
          <w:gridAfter w:val="1"/>
          <w:wAfter w:w="10" w:type="dxa"/>
          <w:trHeight w:val="225"/>
        </w:trPr>
        <w:tc>
          <w:tcPr>
            <w:tcW w:w="0" w:type="auto"/>
            <w:tcBorders>
              <w:top w:val="nil"/>
              <w:left w:val="single" w:sz="6" w:space="0" w:color="000000"/>
              <w:bottom w:val="single" w:sz="6" w:space="0" w:color="000000"/>
              <w:right w:val="nil"/>
              <w:tl2br w:val="nil"/>
              <w:tr2bl w:val="nil"/>
            </w:tcBorders>
            <w:shd w:val="clear" w:color="auto" w:fill="FFFFFF"/>
            <w:tcMar>
              <w:left w:w="115" w:type="dxa"/>
              <w:right w:w="115" w:type="dxa"/>
            </w:tcMar>
            <w:vAlign w:val="bottom"/>
          </w:tcPr>
          <w:p w14:paraId="303FE647" w14:textId="77777777" w:rsidR="00724034" w:rsidRDefault="00FB7D0B">
            <w:pPr>
              <w:rPr>
                <w:rFonts w:ascii="Arial" w:eastAsia="Arial" w:hAnsi="Arial" w:cs="Arial"/>
                <w:color w:val="000000"/>
                <w:sz w:val="16"/>
              </w:rPr>
            </w:pPr>
            <w:r>
              <w:rPr>
                <w:rFonts w:ascii="Arial" w:eastAsia="Arial" w:hAnsi="Arial" w:cs="Arial"/>
                <w:color w:val="000000"/>
                <w:sz w:val="16"/>
              </w:rPr>
              <w:t xml:space="preserve">Deliverables </w:t>
            </w:r>
          </w:p>
        </w:tc>
        <w:tc>
          <w:tcPr>
            <w:tcW w:w="0" w:type="auto"/>
            <w:tcBorders>
              <w:top w:val="nil"/>
              <w:left w:val="nil"/>
              <w:bottom w:val="single" w:sz="6" w:space="0" w:color="000000"/>
              <w:right w:val="nil"/>
              <w:tl2br w:val="nil"/>
              <w:tr2bl w:val="nil"/>
            </w:tcBorders>
            <w:shd w:val="clear" w:color="auto" w:fill="FFFFFF"/>
            <w:tcMar>
              <w:left w:w="115" w:type="dxa"/>
              <w:right w:w="115" w:type="dxa"/>
            </w:tcMar>
            <w:vAlign w:val="bottom"/>
          </w:tcPr>
          <w:p w14:paraId="1E71FD79" w14:textId="77777777" w:rsidR="00724034" w:rsidRDefault="00FB7D0B">
            <w:pPr>
              <w:jc w:val="right"/>
              <w:rPr>
                <w:rFonts w:ascii="Arial" w:eastAsia="Arial" w:hAnsi="Arial" w:cs="Arial"/>
                <w:color w:val="000000"/>
                <w:sz w:val="16"/>
                <w:vertAlign w:val="superscript"/>
              </w:rPr>
            </w:pPr>
            <w:r>
              <w:rPr>
                <w:rFonts w:ascii="Arial" w:eastAsia="Arial" w:hAnsi="Arial" w:cs="Arial"/>
                <w:color w:val="000000"/>
                <w:sz w:val="16"/>
              </w:rPr>
              <w:t>budget</w:t>
            </w:r>
          </w:p>
        </w:tc>
        <w:tc>
          <w:tcPr>
            <w:tcW w:w="0" w:type="auto"/>
            <w:tcBorders>
              <w:top w:val="nil"/>
              <w:left w:val="nil"/>
              <w:bottom w:val="single" w:sz="6" w:space="0" w:color="000000"/>
              <w:right w:val="nil"/>
              <w:tl2br w:val="nil"/>
              <w:tr2bl w:val="nil"/>
            </w:tcBorders>
            <w:shd w:val="clear" w:color="auto" w:fill="FFFF00"/>
            <w:tcMar>
              <w:left w:w="115" w:type="dxa"/>
              <w:right w:w="115" w:type="dxa"/>
            </w:tcMar>
            <w:vAlign w:val="bottom"/>
          </w:tcPr>
          <w:p w14:paraId="1615CFF8" w14:textId="77777777" w:rsidR="00724034" w:rsidRDefault="00724034">
            <w:pPr>
              <w:jc w:val="right"/>
              <w:rPr>
                <w:rFonts w:ascii="Arial" w:eastAsia="Arial" w:hAnsi="Arial" w:cs="Arial"/>
                <w:color w:val="000000"/>
                <w:sz w:val="16"/>
              </w:rPr>
            </w:pPr>
          </w:p>
        </w:tc>
        <w:tc>
          <w:tcPr>
            <w:tcW w:w="0" w:type="auto"/>
            <w:tcBorders>
              <w:top w:val="nil"/>
              <w:left w:val="nil"/>
              <w:bottom w:val="single" w:sz="6" w:space="0" w:color="000000"/>
              <w:right w:val="nil"/>
              <w:tl2br w:val="nil"/>
              <w:tr2bl w:val="nil"/>
            </w:tcBorders>
            <w:shd w:val="clear" w:color="auto" w:fill="FFFFFF"/>
            <w:tcMar>
              <w:left w:w="115" w:type="dxa"/>
              <w:right w:w="115" w:type="dxa"/>
            </w:tcMar>
            <w:vAlign w:val="bottom"/>
          </w:tcPr>
          <w:p w14:paraId="5DD81BBB" w14:textId="77777777" w:rsidR="00724034" w:rsidRDefault="00FB7D0B">
            <w:pPr>
              <w:jc w:val="right"/>
              <w:rPr>
                <w:rFonts w:ascii="Arial" w:eastAsia="Arial" w:hAnsi="Arial" w:cs="Arial"/>
                <w:color w:val="000000"/>
                <w:sz w:val="16"/>
              </w:rPr>
            </w:pPr>
            <w:r>
              <w:rPr>
                <w:rFonts w:ascii="Arial" w:eastAsia="Arial" w:hAnsi="Arial" w:cs="Arial"/>
                <w:color w:val="000000"/>
                <w:sz w:val="16"/>
              </w:rPr>
              <w:t>year 1</w:t>
            </w:r>
          </w:p>
        </w:tc>
        <w:tc>
          <w:tcPr>
            <w:tcW w:w="0" w:type="auto"/>
            <w:tcBorders>
              <w:top w:val="nil"/>
              <w:left w:val="nil"/>
              <w:bottom w:val="single" w:sz="6" w:space="0" w:color="000000"/>
              <w:right w:val="nil"/>
              <w:tl2br w:val="nil"/>
              <w:tr2bl w:val="nil"/>
            </w:tcBorders>
            <w:shd w:val="clear" w:color="auto" w:fill="FFFFFF"/>
            <w:tcMar>
              <w:left w:w="115" w:type="dxa"/>
              <w:right w:w="115" w:type="dxa"/>
            </w:tcMar>
            <w:vAlign w:val="bottom"/>
          </w:tcPr>
          <w:p w14:paraId="46ACCF71" w14:textId="77777777" w:rsidR="00724034" w:rsidRDefault="00FB7D0B">
            <w:pPr>
              <w:jc w:val="right"/>
              <w:rPr>
                <w:rFonts w:ascii="Arial" w:eastAsia="Arial" w:hAnsi="Arial" w:cs="Arial"/>
                <w:color w:val="000000"/>
                <w:sz w:val="16"/>
              </w:rPr>
            </w:pPr>
            <w:r>
              <w:rPr>
                <w:rFonts w:ascii="Arial" w:eastAsia="Arial" w:hAnsi="Arial" w:cs="Arial"/>
                <w:color w:val="000000"/>
                <w:sz w:val="16"/>
              </w:rPr>
              <w:t>year 2</w:t>
            </w:r>
          </w:p>
        </w:tc>
        <w:tc>
          <w:tcPr>
            <w:tcW w:w="0" w:type="auto"/>
            <w:tcBorders>
              <w:top w:val="nil"/>
              <w:left w:val="nil"/>
              <w:bottom w:val="single" w:sz="6" w:space="0" w:color="000000"/>
              <w:right w:val="single" w:sz="6" w:space="0" w:color="000000"/>
              <w:tl2br w:val="nil"/>
              <w:tr2bl w:val="nil"/>
            </w:tcBorders>
            <w:shd w:val="clear" w:color="auto" w:fill="FFFFFF"/>
            <w:tcMar>
              <w:left w:w="115" w:type="dxa"/>
              <w:right w:w="115" w:type="dxa"/>
            </w:tcMar>
            <w:vAlign w:val="bottom"/>
          </w:tcPr>
          <w:p w14:paraId="6E9EFB37" w14:textId="77777777" w:rsidR="00724034" w:rsidRDefault="00FB7D0B">
            <w:pPr>
              <w:jc w:val="right"/>
              <w:rPr>
                <w:rFonts w:ascii="Arial" w:eastAsia="Arial" w:hAnsi="Arial" w:cs="Arial"/>
                <w:color w:val="000000"/>
                <w:sz w:val="16"/>
              </w:rPr>
            </w:pPr>
            <w:r>
              <w:rPr>
                <w:rFonts w:ascii="Arial" w:eastAsia="Arial" w:hAnsi="Arial" w:cs="Arial"/>
                <w:color w:val="000000"/>
                <w:sz w:val="16"/>
              </w:rPr>
              <w:t>year 3</w:t>
            </w:r>
          </w:p>
        </w:tc>
      </w:tr>
      <w:tr w:rsidR="00724034" w14:paraId="72A43AC9" w14:textId="77777777">
        <w:tblPrEx>
          <w:tblLook w:val="04A0" w:firstRow="1" w:lastRow="0" w:firstColumn="1" w:lastColumn="0" w:noHBand="0" w:noVBand="1"/>
        </w:tblPrEx>
        <w:trPr>
          <w:gridAfter w:val="1"/>
          <w:wAfter w:w="10" w:type="dxa"/>
          <w:trHeight w:val="60"/>
        </w:trPr>
        <w:tc>
          <w:tcPr>
            <w:tcW w:w="0" w:type="auto"/>
            <w:tcBorders>
              <w:top w:val="single" w:sz="6" w:space="0" w:color="000000"/>
              <w:left w:val="single" w:sz="6" w:space="0" w:color="000000"/>
              <w:bottom w:val="nil"/>
              <w:right w:val="nil"/>
              <w:tl2br w:val="nil"/>
              <w:tr2bl w:val="nil"/>
            </w:tcBorders>
            <w:shd w:val="clear" w:color="auto" w:fill="FFFFFF"/>
            <w:tcMar>
              <w:left w:w="115" w:type="dxa"/>
              <w:right w:w="115" w:type="dxa"/>
            </w:tcMar>
            <w:vAlign w:val="bottom"/>
          </w:tcPr>
          <w:p w14:paraId="1341EDF4" w14:textId="77777777" w:rsidR="00724034" w:rsidRDefault="00724034">
            <w:pPr>
              <w:rPr>
                <w:rFonts w:ascii="Arial" w:eastAsia="Arial" w:hAnsi="Arial" w:cs="Arial"/>
                <w:color w:val="000000"/>
                <w:sz w:val="16"/>
              </w:rPr>
            </w:pPr>
          </w:p>
        </w:tc>
        <w:tc>
          <w:tcPr>
            <w:tcW w:w="0" w:type="auto"/>
            <w:tcBorders>
              <w:top w:val="single" w:sz="6" w:space="0" w:color="000000"/>
              <w:left w:val="nil"/>
              <w:bottom w:val="nil"/>
              <w:right w:val="nil"/>
              <w:tl2br w:val="nil"/>
              <w:tr2bl w:val="nil"/>
            </w:tcBorders>
            <w:shd w:val="clear" w:color="auto" w:fill="FFFFFF"/>
            <w:tcMar>
              <w:left w:w="115" w:type="dxa"/>
              <w:right w:w="115" w:type="dxa"/>
            </w:tcMar>
            <w:vAlign w:val="bottom"/>
          </w:tcPr>
          <w:p w14:paraId="63525519" w14:textId="77777777" w:rsidR="00724034" w:rsidRDefault="00724034">
            <w:pPr>
              <w:jc w:val="right"/>
              <w:rPr>
                <w:rFonts w:ascii="Arial" w:eastAsia="Arial" w:hAnsi="Arial" w:cs="Arial"/>
                <w:color w:val="000000"/>
                <w:sz w:val="16"/>
                <w:vertAlign w:val="superscript"/>
              </w:rPr>
            </w:pPr>
          </w:p>
        </w:tc>
        <w:tc>
          <w:tcPr>
            <w:tcW w:w="0" w:type="auto"/>
            <w:tcBorders>
              <w:top w:val="single" w:sz="6" w:space="0" w:color="000000"/>
              <w:left w:val="nil"/>
              <w:bottom w:val="nil"/>
              <w:right w:val="nil"/>
              <w:tl2br w:val="nil"/>
              <w:tr2bl w:val="nil"/>
            </w:tcBorders>
            <w:shd w:val="clear" w:color="auto" w:fill="FFFF00"/>
            <w:tcMar>
              <w:left w:w="115" w:type="dxa"/>
              <w:right w:w="115" w:type="dxa"/>
            </w:tcMar>
            <w:vAlign w:val="bottom"/>
          </w:tcPr>
          <w:p w14:paraId="68978768" w14:textId="77777777" w:rsidR="00724034" w:rsidRDefault="00724034">
            <w:pPr>
              <w:jc w:val="right"/>
              <w:rPr>
                <w:rFonts w:ascii="Arial" w:eastAsia="Arial" w:hAnsi="Arial" w:cs="Arial"/>
                <w:color w:val="000000"/>
                <w:sz w:val="16"/>
                <w:vertAlign w:val="superscript"/>
              </w:rPr>
            </w:pPr>
          </w:p>
        </w:tc>
        <w:tc>
          <w:tcPr>
            <w:tcW w:w="0" w:type="auto"/>
            <w:tcBorders>
              <w:top w:val="single" w:sz="6" w:space="0" w:color="000000"/>
              <w:left w:val="nil"/>
              <w:bottom w:val="nil"/>
              <w:right w:val="nil"/>
              <w:tl2br w:val="nil"/>
              <w:tr2bl w:val="nil"/>
            </w:tcBorders>
            <w:shd w:val="clear" w:color="auto" w:fill="FFFFFF"/>
            <w:tcMar>
              <w:left w:w="115" w:type="dxa"/>
              <w:right w:w="115" w:type="dxa"/>
            </w:tcMar>
            <w:vAlign w:val="bottom"/>
          </w:tcPr>
          <w:p w14:paraId="18328D21" w14:textId="77777777" w:rsidR="00724034" w:rsidRDefault="00724034">
            <w:pPr>
              <w:jc w:val="right"/>
              <w:rPr>
                <w:rFonts w:ascii="Arial" w:eastAsia="Arial" w:hAnsi="Arial" w:cs="Arial"/>
                <w:color w:val="000000"/>
                <w:sz w:val="16"/>
                <w:vertAlign w:val="superscript"/>
              </w:rPr>
            </w:pPr>
          </w:p>
        </w:tc>
        <w:tc>
          <w:tcPr>
            <w:tcW w:w="0" w:type="auto"/>
            <w:tcBorders>
              <w:top w:val="single" w:sz="6" w:space="0" w:color="000000"/>
              <w:left w:val="nil"/>
              <w:bottom w:val="nil"/>
              <w:right w:val="nil"/>
              <w:tl2br w:val="nil"/>
              <w:tr2bl w:val="nil"/>
            </w:tcBorders>
            <w:shd w:val="clear" w:color="auto" w:fill="FFFFFF"/>
            <w:tcMar>
              <w:left w:w="115" w:type="dxa"/>
              <w:right w:w="115" w:type="dxa"/>
            </w:tcMar>
            <w:vAlign w:val="bottom"/>
          </w:tcPr>
          <w:p w14:paraId="665CF77D" w14:textId="77777777" w:rsidR="00724034" w:rsidRDefault="00724034">
            <w:pPr>
              <w:jc w:val="right"/>
              <w:rPr>
                <w:rFonts w:ascii="Arial" w:eastAsia="Arial" w:hAnsi="Arial" w:cs="Arial"/>
                <w:color w:val="000000"/>
                <w:sz w:val="16"/>
                <w:vertAlign w:val="superscript"/>
              </w:rPr>
            </w:pPr>
          </w:p>
        </w:tc>
        <w:tc>
          <w:tcPr>
            <w:tcW w:w="0" w:type="auto"/>
            <w:tcBorders>
              <w:top w:val="single" w:sz="6" w:space="0" w:color="000000"/>
              <w:left w:val="nil"/>
              <w:bottom w:val="nil"/>
              <w:right w:val="single" w:sz="6" w:space="0" w:color="000000"/>
              <w:tl2br w:val="nil"/>
              <w:tr2bl w:val="nil"/>
            </w:tcBorders>
            <w:shd w:val="clear" w:color="auto" w:fill="FFFFFF"/>
            <w:tcMar>
              <w:left w:w="115" w:type="dxa"/>
              <w:right w:w="115" w:type="dxa"/>
            </w:tcMar>
            <w:vAlign w:val="bottom"/>
          </w:tcPr>
          <w:p w14:paraId="178F61B6" w14:textId="77777777" w:rsidR="00724034" w:rsidRDefault="00724034">
            <w:pPr>
              <w:jc w:val="right"/>
              <w:rPr>
                <w:rFonts w:ascii="Arial" w:eastAsia="Arial" w:hAnsi="Arial" w:cs="Arial"/>
                <w:color w:val="000000"/>
                <w:sz w:val="16"/>
                <w:vertAlign w:val="superscript"/>
              </w:rPr>
            </w:pPr>
          </w:p>
        </w:tc>
      </w:tr>
      <w:tr w:rsidR="00724034" w14:paraId="0E7BE962" w14:textId="77777777">
        <w:tblPrEx>
          <w:tblLook w:val="04A0" w:firstRow="1" w:lastRow="0" w:firstColumn="1" w:lastColumn="0" w:noHBand="0" w:noVBand="1"/>
        </w:tblPrEx>
        <w:trPr>
          <w:gridAfter w:val="1"/>
          <w:wAfter w:w="10" w:type="dxa"/>
          <w:trHeight w:val="225"/>
        </w:trPr>
        <w:tc>
          <w:tcPr>
            <w:tcW w:w="0" w:type="auto"/>
            <w:tcBorders>
              <w:top w:val="nil"/>
              <w:left w:val="single" w:sz="6" w:space="0" w:color="000000"/>
              <w:bottom w:val="nil"/>
              <w:right w:val="nil"/>
              <w:tl2br w:val="nil"/>
              <w:tr2bl w:val="nil"/>
            </w:tcBorders>
            <w:shd w:val="clear" w:color="auto" w:fill="FFFFFF"/>
            <w:tcMar>
              <w:left w:w="115" w:type="dxa"/>
              <w:right w:w="115" w:type="dxa"/>
            </w:tcMar>
            <w:vAlign w:val="bottom"/>
          </w:tcPr>
          <w:p w14:paraId="21702FA7" w14:textId="77777777" w:rsidR="00724034" w:rsidRDefault="00FB7D0B">
            <w:pPr>
              <w:rPr>
                <w:rFonts w:ascii="Arial" w:eastAsia="Arial" w:hAnsi="Arial" w:cs="Arial"/>
                <w:color w:val="000000"/>
                <w:sz w:val="16"/>
                <w:vertAlign w:val="superscript"/>
              </w:rPr>
            </w:pPr>
            <w:r>
              <w:rPr>
                <w:rFonts w:ascii="Arial" w:eastAsia="Arial" w:hAnsi="Arial" w:cs="Arial"/>
                <w:color w:val="000000"/>
                <w:sz w:val="16"/>
              </w:rPr>
              <w:t>New claims processed</w:t>
            </w:r>
          </w:p>
        </w:tc>
        <w:tc>
          <w:tcPr>
            <w:tcW w:w="0" w:type="auto"/>
            <w:tcBorders>
              <w:top w:val="nil"/>
              <w:left w:val="nil"/>
              <w:bottom w:val="nil"/>
              <w:right w:val="nil"/>
              <w:tl2br w:val="nil"/>
              <w:tr2bl w:val="nil"/>
            </w:tcBorders>
            <w:shd w:val="clear" w:color="auto" w:fill="FFFFFF"/>
            <w:tcMar>
              <w:left w:w="115" w:type="dxa"/>
              <w:right w:w="115" w:type="dxa"/>
            </w:tcMar>
            <w:vAlign w:val="bottom"/>
          </w:tcPr>
          <w:p w14:paraId="67E0CC3E" w14:textId="77777777" w:rsidR="00724034" w:rsidRDefault="00FB7D0B">
            <w:pPr>
              <w:jc w:val="right"/>
              <w:rPr>
                <w:rFonts w:ascii="Arial" w:eastAsia="Arial" w:hAnsi="Arial" w:cs="Arial"/>
                <w:color w:val="000000"/>
                <w:sz w:val="16"/>
                <w:vertAlign w:val="superscript"/>
              </w:rPr>
            </w:pPr>
            <w:r>
              <w:rPr>
                <w:rFonts w:ascii="Arial" w:eastAsia="Arial" w:hAnsi="Arial" w:cs="Arial"/>
                <w:color w:val="000000"/>
                <w:sz w:val="16"/>
              </w:rPr>
              <w:t xml:space="preserve"> 9,303 </w:t>
            </w:r>
          </w:p>
        </w:tc>
        <w:tc>
          <w:tcPr>
            <w:tcW w:w="0" w:type="auto"/>
            <w:tcBorders>
              <w:top w:val="nil"/>
              <w:left w:val="nil"/>
              <w:bottom w:val="nil"/>
              <w:right w:val="nil"/>
              <w:tl2br w:val="nil"/>
              <w:tr2bl w:val="nil"/>
            </w:tcBorders>
            <w:shd w:val="clear" w:color="auto" w:fill="FFFF00"/>
            <w:tcMar>
              <w:left w:w="115" w:type="dxa"/>
              <w:right w:w="115" w:type="dxa"/>
            </w:tcMar>
            <w:vAlign w:val="bottom"/>
          </w:tcPr>
          <w:p w14:paraId="360857AB" w14:textId="77777777" w:rsidR="00724034" w:rsidRDefault="00FB7D0B">
            <w:pPr>
              <w:jc w:val="right"/>
              <w:rPr>
                <w:rFonts w:ascii="Arial" w:eastAsia="Arial" w:hAnsi="Arial" w:cs="Arial"/>
                <w:color w:val="000000"/>
                <w:sz w:val="16"/>
              </w:rPr>
            </w:pPr>
            <w:r>
              <w:rPr>
                <w:rFonts w:ascii="Arial" w:eastAsia="Arial" w:hAnsi="Arial" w:cs="Arial"/>
                <w:color w:val="000000"/>
                <w:sz w:val="16"/>
              </w:rPr>
              <w:t>9,280 </w:t>
            </w:r>
          </w:p>
        </w:tc>
        <w:tc>
          <w:tcPr>
            <w:tcW w:w="0" w:type="auto"/>
            <w:tcBorders>
              <w:top w:val="nil"/>
              <w:left w:val="nil"/>
              <w:bottom w:val="nil"/>
              <w:right w:val="nil"/>
              <w:tl2br w:val="nil"/>
              <w:tr2bl w:val="nil"/>
            </w:tcBorders>
            <w:shd w:val="clear" w:color="auto" w:fill="FFFFFF"/>
            <w:tcMar>
              <w:left w:w="115" w:type="dxa"/>
              <w:right w:w="115" w:type="dxa"/>
            </w:tcMar>
            <w:vAlign w:val="bottom"/>
          </w:tcPr>
          <w:p w14:paraId="7917F93C" w14:textId="77777777" w:rsidR="00724034" w:rsidRDefault="00FB7D0B">
            <w:pPr>
              <w:jc w:val="right"/>
              <w:rPr>
                <w:rFonts w:ascii="Arial" w:eastAsia="Arial" w:hAnsi="Arial" w:cs="Arial"/>
                <w:color w:val="000000"/>
                <w:sz w:val="16"/>
              </w:rPr>
            </w:pPr>
            <w:r>
              <w:rPr>
                <w:rFonts w:ascii="Arial" w:eastAsia="Arial" w:hAnsi="Arial" w:cs="Arial"/>
                <w:color w:val="000000"/>
                <w:sz w:val="16"/>
              </w:rPr>
              <w:t xml:space="preserve"> 8,820 </w:t>
            </w:r>
          </w:p>
        </w:tc>
        <w:tc>
          <w:tcPr>
            <w:tcW w:w="0" w:type="auto"/>
            <w:tcBorders>
              <w:top w:val="nil"/>
              <w:left w:val="nil"/>
              <w:bottom w:val="nil"/>
              <w:right w:val="nil"/>
              <w:tl2br w:val="nil"/>
              <w:tr2bl w:val="nil"/>
            </w:tcBorders>
            <w:shd w:val="clear" w:color="auto" w:fill="FFFFFF"/>
            <w:tcMar>
              <w:left w:w="115" w:type="dxa"/>
              <w:right w:w="115" w:type="dxa"/>
            </w:tcMar>
            <w:vAlign w:val="bottom"/>
          </w:tcPr>
          <w:p w14:paraId="27C162E4" w14:textId="77777777" w:rsidR="00724034" w:rsidRDefault="00FB7D0B">
            <w:pPr>
              <w:jc w:val="right"/>
              <w:rPr>
                <w:rFonts w:ascii="Arial" w:eastAsia="Arial" w:hAnsi="Arial" w:cs="Arial"/>
                <w:color w:val="000000"/>
                <w:sz w:val="16"/>
              </w:rPr>
            </w:pPr>
            <w:r>
              <w:rPr>
                <w:rFonts w:ascii="Arial" w:eastAsia="Arial" w:hAnsi="Arial" w:cs="Arial"/>
                <w:color w:val="000000"/>
                <w:sz w:val="16"/>
              </w:rPr>
              <w:t xml:space="preserve"> 8,560 </w:t>
            </w:r>
          </w:p>
        </w:tc>
        <w:tc>
          <w:tcPr>
            <w:tcW w:w="0" w:type="auto"/>
            <w:tcBorders>
              <w:top w:val="nil"/>
              <w:left w:val="nil"/>
              <w:bottom w:val="nil"/>
              <w:right w:val="single" w:sz="6" w:space="0" w:color="000000"/>
              <w:tl2br w:val="nil"/>
              <w:tr2bl w:val="nil"/>
            </w:tcBorders>
            <w:shd w:val="clear" w:color="auto" w:fill="FFFFFF"/>
            <w:tcMar>
              <w:left w:w="115" w:type="dxa"/>
              <w:right w:w="115" w:type="dxa"/>
            </w:tcMar>
            <w:vAlign w:val="bottom"/>
          </w:tcPr>
          <w:p w14:paraId="40FB947A" w14:textId="77777777" w:rsidR="00724034" w:rsidRDefault="00FB7D0B">
            <w:pPr>
              <w:jc w:val="right"/>
              <w:rPr>
                <w:rFonts w:ascii="Arial" w:eastAsia="Arial" w:hAnsi="Arial" w:cs="Arial"/>
                <w:color w:val="000000"/>
                <w:sz w:val="16"/>
              </w:rPr>
            </w:pPr>
            <w:r>
              <w:rPr>
                <w:rFonts w:ascii="Arial" w:eastAsia="Arial" w:hAnsi="Arial" w:cs="Arial"/>
                <w:color w:val="000000"/>
                <w:sz w:val="16"/>
              </w:rPr>
              <w:t xml:space="preserve"> 8,130 </w:t>
            </w:r>
          </w:p>
        </w:tc>
      </w:tr>
      <w:tr w:rsidR="00724034" w14:paraId="0742C177" w14:textId="77777777">
        <w:tblPrEx>
          <w:tblLook w:val="04A0" w:firstRow="1" w:lastRow="0" w:firstColumn="1" w:lastColumn="0" w:noHBand="0" w:noVBand="1"/>
        </w:tblPrEx>
        <w:trPr>
          <w:gridAfter w:val="1"/>
          <w:wAfter w:w="10" w:type="dxa"/>
          <w:trHeight w:val="225"/>
        </w:trPr>
        <w:tc>
          <w:tcPr>
            <w:tcW w:w="0" w:type="auto"/>
            <w:tcBorders>
              <w:top w:val="nil"/>
              <w:left w:val="single" w:sz="6" w:space="0" w:color="000000"/>
              <w:bottom w:val="nil"/>
              <w:right w:val="nil"/>
              <w:tl2br w:val="nil"/>
              <w:tr2bl w:val="nil"/>
            </w:tcBorders>
            <w:shd w:val="clear" w:color="auto" w:fill="FFFFFF"/>
            <w:tcMar>
              <w:left w:w="115" w:type="dxa"/>
              <w:right w:w="115" w:type="dxa"/>
            </w:tcMar>
            <w:vAlign w:val="bottom"/>
          </w:tcPr>
          <w:p w14:paraId="42B51F01" w14:textId="77777777" w:rsidR="00724034" w:rsidRDefault="00FB7D0B">
            <w:pPr>
              <w:rPr>
                <w:rFonts w:ascii="Arial" w:eastAsia="Arial" w:hAnsi="Arial" w:cs="Arial"/>
                <w:color w:val="000000"/>
                <w:sz w:val="16"/>
              </w:rPr>
            </w:pPr>
            <w:r>
              <w:rPr>
                <w:rFonts w:ascii="Arial" w:eastAsia="Arial" w:hAnsi="Arial" w:cs="Arial"/>
                <w:color w:val="000000"/>
                <w:sz w:val="16"/>
              </w:rPr>
              <w:t>Pensioner initiated reviews processed</w:t>
            </w:r>
          </w:p>
        </w:tc>
        <w:tc>
          <w:tcPr>
            <w:tcW w:w="0" w:type="auto"/>
            <w:tcBorders>
              <w:top w:val="nil"/>
              <w:left w:val="nil"/>
              <w:bottom w:val="nil"/>
              <w:right w:val="nil"/>
              <w:tl2br w:val="nil"/>
              <w:tr2bl w:val="nil"/>
            </w:tcBorders>
            <w:shd w:val="clear" w:color="auto" w:fill="FFFFFF"/>
            <w:tcMar>
              <w:left w:w="115" w:type="dxa"/>
              <w:right w:w="115" w:type="dxa"/>
            </w:tcMar>
            <w:vAlign w:val="bottom"/>
          </w:tcPr>
          <w:p w14:paraId="3973515D" w14:textId="77777777" w:rsidR="00724034" w:rsidRDefault="00FB7D0B">
            <w:pPr>
              <w:jc w:val="right"/>
              <w:rPr>
                <w:rFonts w:ascii="Arial" w:eastAsia="Arial" w:hAnsi="Arial" w:cs="Arial"/>
                <w:color w:val="000000"/>
                <w:sz w:val="16"/>
                <w:vertAlign w:val="superscript"/>
              </w:rPr>
            </w:pPr>
            <w:r>
              <w:rPr>
                <w:rFonts w:ascii="Arial" w:eastAsia="Arial" w:hAnsi="Arial" w:cs="Arial"/>
                <w:color w:val="000000"/>
                <w:sz w:val="16"/>
              </w:rPr>
              <w:t xml:space="preserve"> 83,683 </w:t>
            </w:r>
          </w:p>
        </w:tc>
        <w:tc>
          <w:tcPr>
            <w:tcW w:w="0" w:type="auto"/>
            <w:tcBorders>
              <w:top w:val="nil"/>
              <w:left w:val="nil"/>
              <w:bottom w:val="nil"/>
              <w:right w:val="nil"/>
              <w:tl2br w:val="nil"/>
              <w:tr2bl w:val="nil"/>
            </w:tcBorders>
            <w:shd w:val="clear" w:color="auto" w:fill="FFFF00"/>
            <w:tcMar>
              <w:left w:w="115" w:type="dxa"/>
              <w:right w:w="115" w:type="dxa"/>
            </w:tcMar>
            <w:vAlign w:val="bottom"/>
          </w:tcPr>
          <w:p w14:paraId="18053B1F" w14:textId="77777777" w:rsidR="00724034" w:rsidRDefault="00FB7D0B">
            <w:pPr>
              <w:jc w:val="right"/>
              <w:rPr>
                <w:rFonts w:ascii="Arial" w:eastAsia="Arial" w:hAnsi="Arial" w:cs="Arial"/>
                <w:color w:val="000000"/>
                <w:sz w:val="16"/>
              </w:rPr>
            </w:pPr>
            <w:r>
              <w:rPr>
                <w:rFonts w:ascii="Arial" w:eastAsia="Arial" w:hAnsi="Arial" w:cs="Arial"/>
                <w:color w:val="000000"/>
                <w:sz w:val="16"/>
              </w:rPr>
              <w:t>80,960 </w:t>
            </w:r>
          </w:p>
        </w:tc>
        <w:tc>
          <w:tcPr>
            <w:tcW w:w="0" w:type="auto"/>
            <w:tcBorders>
              <w:top w:val="nil"/>
              <w:left w:val="nil"/>
              <w:bottom w:val="nil"/>
              <w:right w:val="nil"/>
              <w:tl2br w:val="nil"/>
              <w:tr2bl w:val="nil"/>
            </w:tcBorders>
            <w:shd w:val="clear" w:color="auto" w:fill="FFFFFF"/>
            <w:tcMar>
              <w:left w:w="115" w:type="dxa"/>
              <w:right w:w="115" w:type="dxa"/>
            </w:tcMar>
            <w:vAlign w:val="bottom"/>
          </w:tcPr>
          <w:p w14:paraId="1BB9E20A" w14:textId="77777777" w:rsidR="00724034" w:rsidRDefault="00FB7D0B">
            <w:pPr>
              <w:jc w:val="right"/>
              <w:rPr>
                <w:rFonts w:ascii="Arial" w:eastAsia="Arial" w:hAnsi="Arial" w:cs="Arial"/>
                <w:color w:val="000000"/>
                <w:sz w:val="16"/>
              </w:rPr>
            </w:pPr>
            <w:r>
              <w:rPr>
                <w:rFonts w:ascii="Arial" w:eastAsia="Arial" w:hAnsi="Arial" w:cs="Arial"/>
                <w:color w:val="000000"/>
                <w:sz w:val="16"/>
              </w:rPr>
              <w:t xml:space="preserve"> 74,580 </w:t>
            </w:r>
          </w:p>
        </w:tc>
        <w:tc>
          <w:tcPr>
            <w:tcW w:w="0" w:type="auto"/>
            <w:tcBorders>
              <w:top w:val="nil"/>
              <w:left w:val="nil"/>
              <w:bottom w:val="nil"/>
              <w:right w:val="nil"/>
              <w:tl2br w:val="nil"/>
              <w:tr2bl w:val="nil"/>
            </w:tcBorders>
            <w:shd w:val="clear" w:color="auto" w:fill="FFFFFF"/>
            <w:tcMar>
              <w:left w:w="115" w:type="dxa"/>
              <w:right w:w="115" w:type="dxa"/>
            </w:tcMar>
            <w:vAlign w:val="bottom"/>
          </w:tcPr>
          <w:p w14:paraId="452161F0" w14:textId="77777777" w:rsidR="00724034" w:rsidRDefault="00FB7D0B">
            <w:pPr>
              <w:jc w:val="right"/>
              <w:rPr>
                <w:rFonts w:ascii="Arial" w:eastAsia="Arial" w:hAnsi="Arial" w:cs="Arial"/>
                <w:color w:val="000000"/>
                <w:sz w:val="16"/>
              </w:rPr>
            </w:pPr>
            <w:r>
              <w:rPr>
                <w:rFonts w:ascii="Arial" w:eastAsia="Arial" w:hAnsi="Arial" w:cs="Arial"/>
                <w:color w:val="000000"/>
                <w:sz w:val="16"/>
              </w:rPr>
              <w:t xml:space="preserve"> 76,000 </w:t>
            </w:r>
          </w:p>
        </w:tc>
        <w:tc>
          <w:tcPr>
            <w:tcW w:w="0" w:type="auto"/>
            <w:tcBorders>
              <w:top w:val="nil"/>
              <w:left w:val="nil"/>
              <w:bottom w:val="nil"/>
              <w:right w:val="single" w:sz="6" w:space="0" w:color="000000"/>
              <w:tl2br w:val="nil"/>
              <w:tr2bl w:val="nil"/>
            </w:tcBorders>
            <w:shd w:val="clear" w:color="auto" w:fill="FFFFFF"/>
            <w:tcMar>
              <w:left w:w="115" w:type="dxa"/>
              <w:right w:w="115" w:type="dxa"/>
            </w:tcMar>
            <w:vAlign w:val="bottom"/>
          </w:tcPr>
          <w:p w14:paraId="2CB718E5" w14:textId="77777777" w:rsidR="00724034" w:rsidRDefault="00FB7D0B">
            <w:pPr>
              <w:jc w:val="right"/>
              <w:rPr>
                <w:rFonts w:ascii="Arial" w:eastAsia="Arial" w:hAnsi="Arial" w:cs="Arial"/>
                <w:color w:val="000000"/>
                <w:sz w:val="16"/>
              </w:rPr>
            </w:pPr>
            <w:r>
              <w:rPr>
                <w:rFonts w:ascii="Arial" w:eastAsia="Arial" w:hAnsi="Arial" w:cs="Arial"/>
                <w:color w:val="000000"/>
                <w:sz w:val="16"/>
              </w:rPr>
              <w:t xml:space="preserve"> 70,000 </w:t>
            </w:r>
          </w:p>
        </w:tc>
      </w:tr>
      <w:tr w:rsidR="00724034" w14:paraId="75542867" w14:textId="77777777">
        <w:tblPrEx>
          <w:tblLook w:val="04A0" w:firstRow="1" w:lastRow="0" w:firstColumn="1" w:lastColumn="0" w:noHBand="0" w:noVBand="1"/>
        </w:tblPrEx>
        <w:trPr>
          <w:gridAfter w:val="1"/>
          <w:wAfter w:w="10" w:type="dxa"/>
          <w:trHeight w:val="450"/>
        </w:trPr>
        <w:tc>
          <w:tcPr>
            <w:tcW w:w="0" w:type="auto"/>
            <w:tcBorders>
              <w:top w:val="nil"/>
              <w:left w:val="single" w:sz="6" w:space="0" w:color="000000"/>
              <w:bottom w:val="single" w:sz="6" w:space="0" w:color="000000"/>
              <w:right w:val="nil"/>
              <w:tl2br w:val="nil"/>
              <w:tr2bl w:val="nil"/>
            </w:tcBorders>
            <w:shd w:val="clear" w:color="auto" w:fill="FFFFFF"/>
            <w:tcMar>
              <w:left w:w="115" w:type="dxa"/>
              <w:right w:w="115" w:type="dxa"/>
            </w:tcMar>
            <w:vAlign w:val="bottom"/>
          </w:tcPr>
          <w:p w14:paraId="2704B585" w14:textId="77777777" w:rsidR="00724034" w:rsidRDefault="00FB7D0B">
            <w:pPr>
              <w:rPr>
                <w:rFonts w:ascii="Arial" w:eastAsia="Arial" w:hAnsi="Arial" w:cs="Arial"/>
                <w:color w:val="000000"/>
                <w:sz w:val="16"/>
              </w:rPr>
            </w:pPr>
            <w:r>
              <w:rPr>
                <w:rFonts w:ascii="Arial" w:eastAsia="Arial" w:hAnsi="Arial" w:cs="Arial"/>
                <w:i/>
                <w:color w:val="000000"/>
                <w:sz w:val="16"/>
              </w:rPr>
              <w:t xml:space="preserve">Quantity: </w:t>
            </w:r>
            <w:r>
              <w:rPr>
                <w:rFonts w:ascii="Arial" w:eastAsia="Arial" w:hAnsi="Arial" w:cs="Arial"/>
                <w:color w:val="000000"/>
                <w:sz w:val="16"/>
              </w:rPr>
              <w:t>Number of income support beneficiaries</w:t>
            </w:r>
          </w:p>
        </w:tc>
        <w:tc>
          <w:tcPr>
            <w:tcW w:w="0" w:type="auto"/>
            <w:tcBorders>
              <w:top w:val="nil"/>
              <w:left w:val="nil"/>
              <w:bottom w:val="single" w:sz="6" w:space="0" w:color="000000"/>
              <w:right w:val="nil"/>
              <w:tl2br w:val="nil"/>
              <w:tr2bl w:val="nil"/>
            </w:tcBorders>
            <w:shd w:val="clear" w:color="auto" w:fill="FFFFFF"/>
            <w:tcMar>
              <w:left w:w="115" w:type="dxa"/>
              <w:right w:w="115" w:type="dxa"/>
            </w:tcMar>
            <w:vAlign w:val="bottom"/>
          </w:tcPr>
          <w:p w14:paraId="7AB46722" w14:textId="77777777" w:rsidR="00724034" w:rsidRDefault="00FB7D0B">
            <w:pPr>
              <w:jc w:val="right"/>
              <w:rPr>
                <w:rFonts w:ascii="Arial" w:eastAsia="Arial" w:hAnsi="Arial" w:cs="Arial"/>
                <w:i/>
                <w:color w:val="000000"/>
                <w:sz w:val="16"/>
                <w:vertAlign w:val="superscript"/>
              </w:rPr>
            </w:pPr>
            <w:r>
              <w:rPr>
                <w:rFonts w:ascii="Arial" w:eastAsia="Arial" w:hAnsi="Arial" w:cs="Arial"/>
                <w:color w:val="000000"/>
                <w:sz w:val="16"/>
              </w:rPr>
              <w:t>220,700 </w:t>
            </w:r>
          </w:p>
        </w:tc>
        <w:tc>
          <w:tcPr>
            <w:tcW w:w="0" w:type="auto"/>
            <w:tcBorders>
              <w:top w:val="nil"/>
              <w:left w:val="nil"/>
              <w:bottom w:val="single" w:sz="6" w:space="0" w:color="000000"/>
              <w:right w:val="nil"/>
              <w:tl2br w:val="nil"/>
              <w:tr2bl w:val="nil"/>
            </w:tcBorders>
            <w:shd w:val="clear" w:color="auto" w:fill="FFFF00"/>
            <w:tcMar>
              <w:left w:w="115" w:type="dxa"/>
              <w:right w:w="115" w:type="dxa"/>
            </w:tcMar>
            <w:vAlign w:val="bottom"/>
          </w:tcPr>
          <w:p w14:paraId="75E58FEA" w14:textId="77777777" w:rsidR="00724034" w:rsidRDefault="00FB7D0B">
            <w:pPr>
              <w:jc w:val="right"/>
              <w:rPr>
                <w:rFonts w:ascii="Arial" w:eastAsia="Arial" w:hAnsi="Arial" w:cs="Arial"/>
                <w:color w:val="000000"/>
                <w:sz w:val="16"/>
              </w:rPr>
            </w:pPr>
            <w:r>
              <w:rPr>
                <w:rFonts w:ascii="Arial" w:eastAsia="Arial" w:hAnsi="Arial" w:cs="Arial"/>
                <w:color w:val="000000"/>
                <w:sz w:val="16"/>
              </w:rPr>
              <w:t>207,400 </w:t>
            </w:r>
          </w:p>
        </w:tc>
        <w:tc>
          <w:tcPr>
            <w:tcW w:w="0" w:type="auto"/>
            <w:tcBorders>
              <w:top w:val="nil"/>
              <w:left w:val="nil"/>
              <w:bottom w:val="single" w:sz="6" w:space="0" w:color="000000"/>
              <w:right w:val="nil"/>
              <w:tl2br w:val="nil"/>
              <w:tr2bl w:val="nil"/>
            </w:tcBorders>
            <w:shd w:val="clear" w:color="auto" w:fill="FFFFFF"/>
            <w:tcMar>
              <w:left w:w="115" w:type="dxa"/>
              <w:right w:w="115" w:type="dxa"/>
            </w:tcMar>
            <w:vAlign w:val="bottom"/>
          </w:tcPr>
          <w:p w14:paraId="02CEFAEC" w14:textId="77777777" w:rsidR="00724034" w:rsidRDefault="00FB7D0B">
            <w:pPr>
              <w:jc w:val="right"/>
              <w:rPr>
                <w:rFonts w:ascii="Arial" w:eastAsia="Arial" w:hAnsi="Arial" w:cs="Arial"/>
                <w:color w:val="000000"/>
                <w:sz w:val="16"/>
              </w:rPr>
            </w:pPr>
            <w:r>
              <w:rPr>
                <w:rFonts w:ascii="Arial" w:eastAsia="Arial" w:hAnsi="Arial" w:cs="Arial"/>
                <w:color w:val="000000"/>
                <w:sz w:val="16"/>
              </w:rPr>
              <w:t>194,500 </w:t>
            </w:r>
          </w:p>
        </w:tc>
        <w:tc>
          <w:tcPr>
            <w:tcW w:w="0" w:type="auto"/>
            <w:tcBorders>
              <w:top w:val="nil"/>
              <w:left w:val="nil"/>
              <w:bottom w:val="single" w:sz="6" w:space="0" w:color="000000"/>
              <w:right w:val="nil"/>
              <w:tl2br w:val="nil"/>
              <w:tr2bl w:val="nil"/>
            </w:tcBorders>
            <w:shd w:val="clear" w:color="auto" w:fill="FFFFFF"/>
            <w:tcMar>
              <w:left w:w="115" w:type="dxa"/>
              <w:right w:w="115" w:type="dxa"/>
            </w:tcMar>
            <w:vAlign w:val="bottom"/>
          </w:tcPr>
          <w:p w14:paraId="597CED66" w14:textId="77777777" w:rsidR="00724034" w:rsidRDefault="00FB7D0B">
            <w:pPr>
              <w:jc w:val="right"/>
              <w:rPr>
                <w:rFonts w:ascii="Arial" w:eastAsia="Arial" w:hAnsi="Arial" w:cs="Arial"/>
                <w:color w:val="000000"/>
                <w:sz w:val="16"/>
              </w:rPr>
            </w:pPr>
            <w:r>
              <w:rPr>
                <w:rFonts w:ascii="Arial" w:eastAsia="Arial" w:hAnsi="Arial" w:cs="Arial"/>
                <w:color w:val="000000"/>
                <w:sz w:val="16"/>
              </w:rPr>
              <w:t>182,100 </w:t>
            </w:r>
          </w:p>
        </w:tc>
        <w:tc>
          <w:tcPr>
            <w:tcW w:w="0" w:type="auto"/>
            <w:tcBorders>
              <w:top w:val="nil"/>
              <w:left w:val="nil"/>
              <w:bottom w:val="single" w:sz="6" w:space="0" w:color="000000"/>
              <w:right w:val="single" w:sz="6" w:space="0" w:color="000000"/>
              <w:tl2br w:val="nil"/>
              <w:tr2bl w:val="nil"/>
            </w:tcBorders>
            <w:shd w:val="clear" w:color="auto" w:fill="FFFFFF"/>
            <w:tcMar>
              <w:left w:w="115" w:type="dxa"/>
              <w:right w:w="115" w:type="dxa"/>
            </w:tcMar>
            <w:vAlign w:val="bottom"/>
          </w:tcPr>
          <w:p w14:paraId="28AC4EB4" w14:textId="77777777" w:rsidR="00724034" w:rsidRDefault="00FB7D0B">
            <w:pPr>
              <w:jc w:val="right"/>
              <w:rPr>
                <w:rFonts w:ascii="Arial" w:eastAsia="Arial" w:hAnsi="Arial" w:cs="Arial"/>
                <w:color w:val="000000"/>
                <w:sz w:val="16"/>
              </w:rPr>
            </w:pPr>
            <w:r>
              <w:rPr>
                <w:rFonts w:ascii="Arial" w:eastAsia="Arial" w:hAnsi="Arial" w:cs="Arial"/>
                <w:color w:val="000000"/>
                <w:sz w:val="16"/>
              </w:rPr>
              <w:t>170,500 </w:t>
            </w:r>
          </w:p>
        </w:tc>
      </w:tr>
    </w:tbl>
    <w:p w14:paraId="389EEF87" w14:textId="77777777" w:rsidR="00724034" w:rsidRDefault="00724034">
      <w:pPr>
        <w:rPr>
          <w:rFonts w:ascii="Book Antiqua" w:eastAsia="Book Antiqua" w:hAnsi="Book Antiqua" w:cs="Book Antiqu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95"/>
        <w:gridCol w:w="975"/>
        <w:gridCol w:w="975"/>
        <w:gridCol w:w="975"/>
        <w:gridCol w:w="975"/>
        <w:gridCol w:w="975"/>
        <w:gridCol w:w="10"/>
      </w:tblGrid>
      <w:tr w:rsidR="00724034" w14:paraId="38DDDDB3" w14:textId="77777777" w:rsidTr="003F0EEA">
        <w:tc>
          <w:tcPr>
            <w:tcW w:w="8080" w:type="dxa"/>
            <w:gridSpan w:val="7"/>
            <w:tcBorders>
              <w:top w:val="single" w:sz="4" w:space="0" w:color="auto"/>
              <w:left w:val="single" w:sz="4" w:space="0" w:color="auto"/>
              <w:bottom w:val="single" w:sz="4" w:space="0" w:color="auto"/>
              <w:right w:val="single" w:sz="4" w:space="0" w:color="auto"/>
            </w:tcBorders>
          </w:tcPr>
          <w:p w14:paraId="4457EE7A" w14:textId="77777777" w:rsidR="003F0EEA" w:rsidRDefault="00FB7D0B" w:rsidP="003F0EEA">
            <w:pPr>
              <w:pStyle w:val="TableTextLeft1"/>
              <w:ind w:right="-108"/>
              <w:rPr>
                <w:b/>
              </w:rPr>
            </w:pPr>
            <w:r>
              <w:rPr>
                <w:b/>
              </w:rPr>
              <w:t>Programme 1.1 key performance indicators</w:t>
            </w:r>
          </w:p>
          <w:p w14:paraId="7C648F64" w14:textId="77777777" w:rsidR="003F0EEA" w:rsidRDefault="00FB7D0B" w:rsidP="003F0EEA">
            <w:pPr>
              <w:pStyle w:val="TableTextBullet0"/>
              <w:numPr>
                <w:ilvl w:val="0"/>
                <w:numId w:val="0"/>
              </w:numPr>
              <w:ind w:left="284" w:hanging="284"/>
            </w:pPr>
            <w:r>
              <w:rPr>
                <w:rFonts w:cs="Arial"/>
              </w:rPr>
              <w:t>The following KPIs measure the impact of the Programme:</w:t>
            </w:r>
          </w:p>
        </w:tc>
      </w:tr>
      <w:tr w:rsidR="00724034" w14:paraId="419CF07B" w14:textId="77777777">
        <w:tblPrEx>
          <w:tblLook w:val="04A0" w:firstRow="1" w:lastRow="0" w:firstColumn="1" w:lastColumn="0" w:noHBand="0" w:noVBand="1"/>
        </w:tblPrEx>
        <w:trPr>
          <w:gridAfter w:val="1"/>
          <w:wAfter w:w="10" w:type="dxa"/>
          <w:trHeight w:val="225"/>
        </w:trPr>
        <w:tc>
          <w:tcPr>
            <w:tcW w:w="3195" w:type="dxa"/>
            <w:tcBorders>
              <w:top w:val="single" w:sz="6" w:space="0" w:color="000000"/>
              <w:left w:val="single" w:sz="6" w:space="0" w:color="000000"/>
              <w:bottom w:val="nil"/>
              <w:right w:val="nil"/>
              <w:tl2br w:val="nil"/>
              <w:tr2bl w:val="nil"/>
            </w:tcBorders>
            <w:shd w:val="clear" w:color="auto" w:fill="FFFFFF"/>
            <w:tcMar>
              <w:left w:w="115" w:type="dxa"/>
              <w:right w:w="115" w:type="dxa"/>
            </w:tcMar>
            <w:vAlign w:val="bottom"/>
          </w:tcPr>
          <w:p w14:paraId="328EE4EF" w14:textId="77777777" w:rsidR="00724034" w:rsidRDefault="00724034">
            <w:pPr>
              <w:jc w:val="center"/>
            </w:pPr>
          </w:p>
        </w:tc>
        <w:tc>
          <w:tcPr>
            <w:tcW w:w="975"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2EF1748D" w14:textId="77777777" w:rsidR="00724034" w:rsidRDefault="00FB7D0B">
            <w:pPr>
              <w:jc w:val="right"/>
              <w:rPr>
                <w:rFonts w:ascii="Arial" w:eastAsia="Arial" w:hAnsi="Arial" w:cs="Arial"/>
                <w:b/>
                <w:color w:val="000000"/>
                <w:sz w:val="16"/>
                <w:vertAlign w:val="superscript"/>
              </w:rPr>
            </w:pPr>
            <w:r>
              <w:rPr>
                <w:rFonts w:ascii="Arial" w:eastAsia="Arial" w:hAnsi="Arial" w:cs="Arial"/>
                <w:color w:val="000000"/>
                <w:sz w:val="16"/>
              </w:rPr>
              <w:t>2013-14</w:t>
            </w:r>
          </w:p>
        </w:tc>
        <w:tc>
          <w:tcPr>
            <w:tcW w:w="975" w:type="dxa"/>
            <w:tcBorders>
              <w:top w:val="single" w:sz="6" w:space="0" w:color="000000"/>
              <w:left w:val="nil"/>
              <w:bottom w:val="nil"/>
              <w:right w:val="nil"/>
              <w:tl2br w:val="nil"/>
              <w:tr2bl w:val="nil"/>
            </w:tcBorders>
            <w:shd w:val="clear" w:color="auto" w:fill="FFFF00"/>
            <w:tcMar>
              <w:left w:w="115" w:type="dxa"/>
              <w:right w:w="115" w:type="dxa"/>
            </w:tcMar>
            <w:vAlign w:val="bottom"/>
          </w:tcPr>
          <w:p w14:paraId="001102E5" w14:textId="77777777" w:rsidR="00724034" w:rsidRDefault="00FB7D0B">
            <w:pPr>
              <w:jc w:val="right"/>
              <w:rPr>
                <w:rFonts w:ascii="Arial" w:eastAsia="Arial" w:hAnsi="Arial" w:cs="Arial"/>
                <w:color w:val="000000"/>
                <w:sz w:val="16"/>
              </w:rPr>
            </w:pPr>
            <w:r>
              <w:rPr>
                <w:rFonts w:ascii="Arial" w:eastAsia="Arial" w:hAnsi="Arial" w:cs="Arial"/>
                <w:color w:val="000000"/>
                <w:sz w:val="16"/>
              </w:rPr>
              <w:t>2014-15</w:t>
            </w:r>
          </w:p>
        </w:tc>
        <w:tc>
          <w:tcPr>
            <w:tcW w:w="975"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27A8AB1D" w14:textId="77777777" w:rsidR="00724034" w:rsidRDefault="00FB7D0B">
            <w:pPr>
              <w:jc w:val="right"/>
              <w:rPr>
                <w:rFonts w:ascii="Arial" w:eastAsia="Arial" w:hAnsi="Arial" w:cs="Arial"/>
                <w:color w:val="000000"/>
                <w:sz w:val="16"/>
              </w:rPr>
            </w:pPr>
            <w:r>
              <w:rPr>
                <w:rFonts w:ascii="Arial" w:eastAsia="Arial" w:hAnsi="Arial" w:cs="Arial"/>
                <w:color w:val="000000"/>
                <w:sz w:val="16"/>
              </w:rPr>
              <w:t>2015-16</w:t>
            </w:r>
          </w:p>
        </w:tc>
        <w:tc>
          <w:tcPr>
            <w:tcW w:w="975"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0CB9398D" w14:textId="77777777" w:rsidR="00724034" w:rsidRDefault="00FB7D0B">
            <w:pPr>
              <w:jc w:val="right"/>
              <w:rPr>
                <w:rFonts w:ascii="Arial" w:eastAsia="Arial" w:hAnsi="Arial" w:cs="Arial"/>
                <w:color w:val="000000"/>
                <w:sz w:val="16"/>
              </w:rPr>
            </w:pPr>
            <w:r>
              <w:rPr>
                <w:rFonts w:ascii="Arial" w:eastAsia="Arial" w:hAnsi="Arial" w:cs="Arial"/>
                <w:color w:val="000000"/>
                <w:sz w:val="16"/>
              </w:rPr>
              <w:t>2016-17</w:t>
            </w:r>
          </w:p>
        </w:tc>
        <w:tc>
          <w:tcPr>
            <w:tcW w:w="975" w:type="dxa"/>
            <w:tcBorders>
              <w:top w:val="single" w:sz="6" w:space="0" w:color="000000"/>
              <w:left w:val="nil"/>
              <w:bottom w:val="nil"/>
              <w:right w:val="single" w:sz="6" w:space="0" w:color="000000"/>
              <w:tl2br w:val="nil"/>
              <w:tr2bl w:val="nil"/>
            </w:tcBorders>
            <w:shd w:val="clear" w:color="auto" w:fill="FFFFFF"/>
            <w:tcMar>
              <w:left w:w="115" w:type="dxa"/>
              <w:right w:w="115" w:type="dxa"/>
            </w:tcMar>
            <w:vAlign w:val="bottom"/>
          </w:tcPr>
          <w:p w14:paraId="38E1984F" w14:textId="77777777" w:rsidR="00724034" w:rsidRDefault="00FB7D0B">
            <w:pPr>
              <w:jc w:val="right"/>
              <w:rPr>
                <w:rFonts w:ascii="Arial" w:eastAsia="Arial" w:hAnsi="Arial" w:cs="Arial"/>
                <w:color w:val="000000"/>
                <w:sz w:val="16"/>
              </w:rPr>
            </w:pPr>
            <w:r>
              <w:rPr>
                <w:rFonts w:ascii="Arial" w:eastAsia="Arial" w:hAnsi="Arial" w:cs="Arial"/>
                <w:color w:val="000000"/>
                <w:sz w:val="16"/>
              </w:rPr>
              <w:t>2017-18</w:t>
            </w:r>
          </w:p>
        </w:tc>
      </w:tr>
      <w:tr w:rsidR="00724034" w14:paraId="1B0F7094" w14:textId="77777777">
        <w:tblPrEx>
          <w:tblLook w:val="04A0" w:firstRow="1" w:lastRow="0" w:firstColumn="1" w:lastColumn="0" w:noHBand="0" w:noVBand="1"/>
        </w:tblPrEx>
        <w:trPr>
          <w:gridAfter w:val="1"/>
          <w:wAfter w:w="10" w:type="dxa"/>
          <w:trHeight w:val="225"/>
        </w:trPr>
        <w:tc>
          <w:tcPr>
            <w:tcW w:w="3195" w:type="dxa"/>
            <w:tcBorders>
              <w:top w:val="nil"/>
              <w:left w:val="single" w:sz="6" w:space="0" w:color="000000"/>
              <w:bottom w:val="nil"/>
              <w:right w:val="nil"/>
              <w:tl2br w:val="nil"/>
              <w:tr2bl w:val="nil"/>
            </w:tcBorders>
            <w:shd w:val="clear" w:color="auto" w:fill="FFFFFF"/>
            <w:tcMar>
              <w:left w:w="115" w:type="dxa"/>
              <w:right w:w="115" w:type="dxa"/>
            </w:tcMar>
            <w:vAlign w:val="bottom"/>
          </w:tcPr>
          <w:p w14:paraId="3CC27A19" w14:textId="77777777" w:rsidR="00724034" w:rsidRDefault="00FB7D0B">
            <w:pPr>
              <w:rPr>
                <w:rFonts w:ascii="Arial" w:eastAsia="Arial" w:hAnsi="Arial" w:cs="Arial"/>
                <w:color w:val="000000"/>
                <w:sz w:val="16"/>
              </w:rPr>
            </w:pPr>
            <w:r>
              <w:rPr>
                <w:rFonts w:ascii="Arial" w:eastAsia="Arial" w:hAnsi="Arial" w:cs="Arial"/>
                <w:color w:val="000000"/>
                <w:sz w:val="16"/>
              </w:rPr>
              <w:t>Key Performance</w:t>
            </w:r>
          </w:p>
        </w:tc>
        <w:tc>
          <w:tcPr>
            <w:tcW w:w="975" w:type="dxa"/>
            <w:tcBorders>
              <w:top w:val="nil"/>
              <w:left w:val="nil"/>
              <w:bottom w:val="nil"/>
              <w:right w:val="nil"/>
              <w:tl2br w:val="nil"/>
              <w:tr2bl w:val="nil"/>
            </w:tcBorders>
            <w:shd w:val="clear" w:color="auto" w:fill="FFFFFF"/>
            <w:tcMar>
              <w:left w:w="115" w:type="dxa"/>
              <w:right w:w="115" w:type="dxa"/>
            </w:tcMar>
            <w:vAlign w:val="bottom"/>
          </w:tcPr>
          <w:p w14:paraId="0BD2DBA4" w14:textId="77777777" w:rsidR="00724034" w:rsidRDefault="00FB7D0B">
            <w:pPr>
              <w:jc w:val="right"/>
              <w:rPr>
                <w:rFonts w:ascii="Arial" w:eastAsia="Arial" w:hAnsi="Arial" w:cs="Arial"/>
                <w:color w:val="000000"/>
                <w:sz w:val="16"/>
                <w:vertAlign w:val="superscript"/>
              </w:rPr>
            </w:pPr>
            <w:r>
              <w:rPr>
                <w:rFonts w:ascii="Arial" w:eastAsia="Arial" w:hAnsi="Arial" w:cs="Arial"/>
                <w:color w:val="000000"/>
                <w:sz w:val="16"/>
              </w:rPr>
              <w:t>Revised</w:t>
            </w:r>
          </w:p>
        </w:tc>
        <w:tc>
          <w:tcPr>
            <w:tcW w:w="975" w:type="dxa"/>
            <w:tcBorders>
              <w:top w:val="nil"/>
              <w:left w:val="nil"/>
              <w:bottom w:val="nil"/>
              <w:right w:val="nil"/>
              <w:tl2br w:val="nil"/>
              <w:tr2bl w:val="nil"/>
            </w:tcBorders>
            <w:shd w:val="clear" w:color="auto" w:fill="FFFF00"/>
            <w:tcMar>
              <w:left w:w="115" w:type="dxa"/>
              <w:right w:w="115" w:type="dxa"/>
            </w:tcMar>
            <w:vAlign w:val="bottom"/>
          </w:tcPr>
          <w:p w14:paraId="3340CBCA" w14:textId="77777777" w:rsidR="00724034" w:rsidRDefault="00FB7D0B">
            <w:pPr>
              <w:jc w:val="right"/>
              <w:rPr>
                <w:rFonts w:ascii="Arial" w:eastAsia="Arial" w:hAnsi="Arial" w:cs="Arial"/>
                <w:color w:val="000000"/>
                <w:sz w:val="16"/>
              </w:rPr>
            </w:pPr>
            <w:r>
              <w:rPr>
                <w:rFonts w:ascii="Arial" w:eastAsia="Arial" w:hAnsi="Arial" w:cs="Arial"/>
                <w:color w:val="000000"/>
                <w:sz w:val="16"/>
              </w:rPr>
              <w:t>Budget</w:t>
            </w:r>
          </w:p>
        </w:tc>
        <w:tc>
          <w:tcPr>
            <w:tcW w:w="975" w:type="dxa"/>
            <w:tcBorders>
              <w:top w:val="nil"/>
              <w:left w:val="nil"/>
              <w:bottom w:val="nil"/>
              <w:right w:val="nil"/>
              <w:tl2br w:val="nil"/>
              <w:tr2bl w:val="nil"/>
            </w:tcBorders>
            <w:shd w:val="clear" w:color="auto" w:fill="FFFFFF"/>
            <w:tcMar>
              <w:left w:w="115" w:type="dxa"/>
              <w:right w:w="115" w:type="dxa"/>
            </w:tcMar>
            <w:vAlign w:val="bottom"/>
          </w:tcPr>
          <w:p w14:paraId="57D6DA79" w14:textId="77777777" w:rsidR="00724034" w:rsidRDefault="00FB7D0B">
            <w:pPr>
              <w:jc w:val="right"/>
              <w:rPr>
                <w:rFonts w:ascii="Arial" w:eastAsia="Arial" w:hAnsi="Arial" w:cs="Arial"/>
                <w:color w:val="000000"/>
                <w:sz w:val="16"/>
              </w:rPr>
            </w:pPr>
            <w:r>
              <w:rPr>
                <w:rFonts w:ascii="Arial" w:eastAsia="Arial" w:hAnsi="Arial" w:cs="Arial"/>
                <w:color w:val="000000"/>
                <w:sz w:val="16"/>
              </w:rPr>
              <w:t>Forward</w:t>
            </w:r>
          </w:p>
        </w:tc>
        <w:tc>
          <w:tcPr>
            <w:tcW w:w="975" w:type="dxa"/>
            <w:tcBorders>
              <w:top w:val="nil"/>
              <w:left w:val="nil"/>
              <w:bottom w:val="nil"/>
              <w:right w:val="nil"/>
              <w:tl2br w:val="nil"/>
              <w:tr2bl w:val="nil"/>
            </w:tcBorders>
            <w:shd w:val="clear" w:color="auto" w:fill="FFFFFF"/>
            <w:tcMar>
              <w:left w:w="115" w:type="dxa"/>
              <w:right w:w="115" w:type="dxa"/>
            </w:tcMar>
            <w:vAlign w:val="bottom"/>
          </w:tcPr>
          <w:p w14:paraId="688848D8" w14:textId="77777777" w:rsidR="00724034" w:rsidRDefault="00FB7D0B">
            <w:pPr>
              <w:jc w:val="right"/>
              <w:rPr>
                <w:rFonts w:ascii="Arial" w:eastAsia="Arial" w:hAnsi="Arial" w:cs="Arial"/>
                <w:color w:val="000000"/>
                <w:sz w:val="16"/>
              </w:rPr>
            </w:pPr>
            <w:r>
              <w:rPr>
                <w:rFonts w:ascii="Arial" w:eastAsia="Arial" w:hAnsi="Arial" w:cs="Arial"/>
                <w:color w:val="000000"/>
                <w:sz w:val="16"/>
              </w:rPr>
              <w:t>Forward</w:t>
            </w:r>
          </w:p>
        </w:tc>
        <w:tc>
          <w:tcPr>
            <w:tcW w:w="975" w:type="dxa"/>
            <w:tcBorders>
              <w:top w:val="nil"/>
              <w:left w:val="nil"/>
              <w:bottom w:val="nil"/>
              <w:right w:val="single" w:sz="6" w:space="0" w:color="000000"/>
              <w:tl2br w:val="nil"/>
              <w:tr2bl w:val="nil"/>
            </w:tcBorders>
            <w:shd w:val="clear" w:color="auto" w:fill="FFFFFF"/>
            <w:tcMar>
              <w:left w:w="115" w:type="dxa"/>
              <w:right w:w="115" w:type="dxa"/>
            </w:tcMar>
            <w:vAlign w:val="bottom"/>
          </w:tcPr>
          <w:p w14:paraId="4F5F6E18" w14:textId="77777777" w:rsidR="00724034" w:rsidRDefault="00FB7D0B">
            <w:pPr>
              <w:jc w:val="right"/>
              <w:rPr>
                <w:rFonts w:ascii="Arial" w:eastAsia="Arial" w:hAnsi="Arial" w:cs="Arial"/>
                <w:color w:val="000000"/>
                <w:sz w:val="16"/>
              </w:rPr>
            </w:pPr>
            <w:r>
              <w:rPr>
                <w:rFonts w:ascii="Arial" w:eastAsia="Arial" w:hAnsi="Arial" w:cs="Arial"/>
                <w:color w:val="000000"/>
                <w:sz w:val="16"/>
              </w:rPr>
              <w:t>Forward</w:t>
            </w:r>
          </w:p>
        </w:tc>
      </w:tr>
      <w:tr w:rsidR="00724034" w14:paraId="618808C7" w14:textId="77777777">
        <w:tblPrEx>
          <w:tblLook w:val="04A0" w:firstRow="1" w:lastRow="0" w:firstColumn="1" w:lastColumn="0" w:noHBand="0" w:noVBand="1"/>
        </w:tblPrEx>
        <w:trPr>
          <w:gridAfter w:val="1"/>
          <w:wAfter w:w="10" w:type="dxa"/>
          <w:trHeight w:val="225"/>
        </w:trPr>
        <w:tc>
          <w:tcPr>
            <w:tcW w:w="3195" w:type="dxa"/>
            <w:tcBorders>
              <w:top w:val="nil"/>
              <w:left w:val="single" w:sz="6" w:space="0" w:color="000000"/>
              <w:bottom w:val="single" w:sz="6" w:space="0" w:color="000000"/>
              <w:right w:val="nil"/>
              <w:tl2br w:val="nil"/>
              <w:tr2bl w:val="nil"/>
            </w:tcBorders>
            <w:shd w:val="clear" w:color="auto" w:fill="FFFFFF"/>
            <w:tcMar>
              <w:left w:w="115" w:type="dxa"/>
              <w:right w:w="115" w:type="dxa"/>
            </w:tcMar>
            <w:vAlign w:val="bottom"/>
          </w:tcPr>
          <w:p w14:paraId="3A5E99C9" w14:textId="77777777" w:rsidR="00724034" w:rsidRDefault="00FB7D0B">
            <w:pPr>
              <w:rPr>
                <w:rFonts w:ascii="Arial" w:eastAsia="Arial" w:hAnsi="Arial" w:cs="Arial"/>
                <w:color w:val="000000"/>
                <w:sz w:val="16"/>
              </w:rPr>
            </w:pPr>
            <w:r>
              <w:rPr>
                <w:rFonts w:ascii="Arial" w:eastAsia="Arial" w:hAnsi="Arial" w:cs="Arial"/>
                <w:color w:val="000000"/>
                <w:sz w:val="16"/>
              </w:rPr>
              <w:t>Indicators</w:t>
            </w:r>
          </w:p>
        </w:tc>
        <w:tc>
          <w:tcPr>
            <w:tcW w:w="975"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5A3E7A73" w14:textId="77777777" w:rsidR="00724034" w:rsidRDefault="00FB7D0B">
            <w:pPr>
              <w:jc w:val="right"/>
              <w:rPr>
                <w:rFonts w:ascii="Arial" w:eastAsia="Arial" w:hAnsi="Arial" w:cs="Arial"/>
                <w:color w:val="000000"/>
                <w:sz w:val="16"/>
                <w:vertAlign w:val="superscript"/>
              </w:rPr>
            </w:pPr>
            <w:r>
              <w:rPr>
                <w:rFonts w:ascii="Arial" w:eastAsia="Arial" w:hAnsi="Arial" w:cs="Arial"/>
                <w:color w:val="000000"/>
                <w:sz w:val="16"/>
              </w:rPr>
              <w:t>budget</w:t>
            </w:r>
          </w:p>
        </w:tc>
        <w:tc>
          <w:tcPr>
            <w:tcW w:w="975" w:type="dxa"/>
            <w:tcBorders>
              <w:top w:val="nil"/>
              <w:left w:val="nil"/>
              <w:bottom w:val="single" w:sz="6" w:space="0" w:color="000000"/>
              <w:right w:val="nil"/>
              <w:tl2br w:val="nil"/>
              <w:tr2bl w:val="nil"/>
            </w:tcBorders>
            <w:shd w:val="clear" w:color="auto" w:fill="FFFF00"/>
            <w:tcMar>
              <w:left w:w="115" w:type="dxa"/>
              <w:right w:w="115" w:type="dxa"/>
            </w:tcMar>
            <w:vAlign w:val="bottom"/>
          </w:tcPr>
          <w:p w14:paraId="29EC8417" w14:textId="77777777" w:rsidR="00724034" w:rsidRDefault="00FB7D0B">
            <w:pPr>
              <w:jc w:val="right"/>
              <w:rPr>
                <w:rFonts w:ascii="Arial" w:eastAsia="Arial" w:hAnsi="Arial" w:cs="Arial"/>
                <w:color w:val="000000"/>
                <w:sz w:val="16"/>
              </w:rPr>
            </w:pPr>
            <w:r>
              <w:rPr>
                <w:rFonts w:ascii="Arial" w:eastAsia="Arial" w:hAnsi="Arial" w:cs="Arial"/>
                <w:color w:val="000000"/>
                <w:sz w:val="16"/>
              </w:rPr>
              <w:t>target</w:t>
            </w:r>
          </w:p>
        </w:tc>
        <w:tc>
          <w:tcPr>
            <w:tcW w:w="975"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719438EC" w14:textId="77777777" w:rsidR="00724034" w:rsidRDefault="00FB7D0B">
            <w:pPr>
              <w:jc w:val="right"/>
              <w:rPr>
                <w:rFonts w:ascii="Arial" w:eastAsia="Arial" w:hAnsi="Arial" w:cs="Arial"/>
                <w:color w:val="000000"/>
                <w:sz w:val="16"/>
              </w:rPr>
            </w:pPr>
            <w:r>
              <w:rPr>
                <w:rFonts w:ascii="Arial" w:eastAsia="Arial" w:hAnsi="Arial" w:cs="Arial"/>
                <w:color w:val="000000"/>
                <w:sz w:val="16"/>
              </w:rPr>
              <w:t>year 1</w:t>
            </w:r>
          </w:p>
        </w:tc>
        <w:tc>
          <w:tcPr>
            <w:tcW w:w="975"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5E58BC61" w14:textId="77777777" w:rsidR="00724034" w:rsidRDefault="00FB7D0B">
            <w:pPr>
              <w:jc w:val="right"/>
              <w:rPr>
                <w:rFonts w:ascii="Arial" w:eastAsia="Arial" w:hAnsi="Arial" w:cs="Arial"/>
                <w:color w:val="000000"/>
                <w:sz w:val="16"/>
              </w:rPr>
            </w:pPr>
            <w:r>
              <w:rPr>
                <w:rFonts w:ascii="Arial" w:eastAsia="Arial" w:hAnsi="Arial" w:cs="Arial"/>
                <w:color w:val="000000"/>
                <w:sz w:val="16"/>
              </w:rPr>
              <w:t>year 2</w:t>
            </w:r>
          </w:p>
        </w:tc>
        <w:tc>
          <w:tcPr>
            <w:tcW w:w="975" w:type="dxa"/>
            <w:tcBorders>
              <w:top w:val="nil"/>
              <w:left w:val="nil"/>
              <w:bottom w:val="single" w:sz="6" w:space="0" w:color="000000"/>
              <w:right w:val="single" w:sz="6" w:space="0" w:color="000000"/>
              <w:tl2br w:val="nil"/>
              <w:tr2bl w:val="nil"/>
            </w:tcBorders>
            <w:shd w:val="clear" w:color="auto" w:fill="FFFFFF"/>
            <w:tcMar>
              <w:left w:w="115" w:type="dxa"/>
              <w:right w:w="115" w:type="dxa"/>
            </w:tcMar>
            <w:vAlign w:val="bottom"/>
          </w:tcPr>
          <w:p w14:paraId="0D3FBED1" w14:textId="77777777" w:rsidR="00724034" w:rsidRDefault="00FB7D0B">
            <w:pPr>
              <w:jc w:val="right"/>
              <w:rPr>
                <w:rFonts w:ascii="Arial" w:eastAsia="Arial" w:hAnsi="Arial" w:cs="Arial"/>
                <w:color w:val="000000"/>
                <w:sz w:val="16"/>
              </w:rPr>
            </w:pPr>
            <w:r>
              <w:rPr>
                <w:rFonts w:ascii="Arial" w:eastAsia="Arial" w:hAnsi="Arial" w:cs="Arial"/>
                <w:color w:val="000000"/>
                <w:sz w:val="16"/>
              </w:rPr>
              <w:t>year 3</w:t>
            </w:r>
          </w:p>
        </w:tc>
      </w:tr>
      <w:tr w:rsidR="00724034" w14:paraId="44F9418C" w14:textId="77777777">
        <w:tblPrEx>
          <w:tblLook w:val="04A0" w:firstRow="1" w:lastRow="0" w:firstColumn="1" w:lastColumn="0" w:noHBand="0" w:noVBand="1"/>
        </w:tblPrEx>
        <w:trPr>
          <w:gridAfter w:val="1"/>
          <w:wAfter w:w="10" w:type="dxa"/>
          <w:trHeight w:val="60"/>
        </w:trPr>
        <w:tc>
          <w:tcPr>
            <w:tcW w:w="3195" w:type="dxa"/>
            <w:tcBorders>
              <w:top w:val="single" w:sz="6" w:space="0" w:color="000000"/>
              <w:left w:val="single" w:sz="6" w:space="0" w:color="000000"/>
              <w:bottom w:val="nil"/>
              <w:right w:val="nil"/>
              <w:tl2br w:val="nil"/>
              <w:tr2bl w:val="nil"/>
            </w:tcBorders>
            <w:shd w:val="clear" w:color="auto" w:fill="FFFFFF"/>
            <w:tcMar>
              <w:left w:w="115" w:type="dxa"/>
              <w:right w:w="115" w:type="dxa"/>
            </w:tcMar>
            <w:vAlign w:val="bottom"/>
          </w:tcPr>
          <w:p w14:paraId="3AC5A49E" w14:textId="77777777" w:rsidR="00724034" w:rsidRDefault="00724034">
            <w:pPr>
              <w:rPr>
                <w:rFonts w:ascii="Arial" w:eastAsia="Arial" w:hAnsi="Arial" w:cs="Arial"/>
                <w:color w:val="000000"/>
                <w:sz w:val="16"/>
              </w:rPr>
            </w:pPr>
          </w:p>
        </w:tc>
        <w:tc>
          <w:tcPr>
            <w:tcW w:w="975"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4B491192" w14:textId="77777777" w:rsidR="00724034" w:rsidRDefault="00724034">
            <w:pPr>
              <w:jc w:val="right"/>
              <w:rPr>
                <w:rFonts w:ascii="Arial" w:eastAsia="Arial" w:hAnsi="Arial" w:cs="Arial"/>
                <w:color w:val="000000"/>
                <w:sz w:val="16"/>
                <w:vertAlign w:val="superscript"/>
              </w:rPr>
            </w:pPr>
          </w:p>
        </w:tc>
        <w:tc>
          <w:tcPr>
            <w:tcW w:w="975" w:type="dxa"/>
            <w:tcBorders>
              <w:top w:val="single" w:sz="6" w:space="0" w:color="000000"/>
              <w:left w:val="nil"/>
              <w:bottom w:val="nil"/>
              <w:right w:val="nil"/>
              <w:tl2br w:val="nil"/>
              <w:tr2bl w:val="nil"/>
            </w:tcBorders>
            <w:shd w:val="clear" w:color="auto" w:fill="FFFF00"/>
            <w:tcMar>
              <w:left w:w="115" w:type="dxa"/>
              <w:right w:w="115" w:type="dxa"/>
            </w:tcMar>
            <w:vAlign w:val="bottom"/>
          </w:tcPr>
          <w:p w14:paraId="4D33F584" w14:textId="77777777" w:rsidR="00724034" w:rsidRDefault="00724034">
            <w:pPr>
              <w:jc w:val="right"/>
              <w:rPr>
                <w:rFonts w:ascii="Arial" w:eastAsia="Arial" w:hAnsi="Arial" w:cs="Arial"/>
                <w:color w:val="000000"/>
                <w:sz w:val="16"/>
                <w:vertAlign w:val="superscript"/>
              </w:rPr>
            </w:pPr>
          </w:p>
        </w:tc>
        <w:tc>
          <w:tcPr>
            <w:tcW w:w="975"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5D5E9CDF" w14:textId="77777777" w:rsidR="00724034" w:rsidRDefault="00724034">
            <w:pPr>
              <w:jc w:val="right"/>
              <w:rPr>
                <w:rFonts w:ascii="Arial" w:eastAsia="Arial" w:hAnsi="Arial" w:cs="Arial"/>
                <w:color w:val="000000"/>
                <w:sz w:val="16"/>
                <w:vertAlign w:val="superscript"/>
              </w:rPr>
            </w:pPr>
          </w:p>
        </w:tc>
        <w:tc>
          <w:tcPr>
            <w:tcW w:w="975"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11B501A3" w14:textId="77777777" w:rsidR="00724034" w:rsidRDefault="00724034">
            <w:pPr>
              <w:jc w:val="right"/>
              <w:rPr>
                <w:rFonts w:ascii="Arial" w:eastAsia="Arial" w:hAnsi="Arial" w:cs="Arial"/>
                <w:color w:val="000000"/>
                <w:sz w:val="16"/>
                <w:vertAlign w:val="superscript"/>
              </w:rPr>
            </w:pPr>
          </w:p>
        </w:tc>
        <w:tc>
          <w:tcPr>
            <w:tcW w:w="975" w:type="dxa"/>
            <w:tcBorders>
              <w:top w:val="single" w:sz="6" w:space="0" w:color="000000"/>
              <w:left w:val="nil"/>
              <w:bottom w:val="nil"/>
              <w:right w:val="single" w:sz="6" w:space="0" w:color="000000"/>
              <w:tl2br w:val="nil"/>
              <w:tr2bl w:val="nil"/>
            </w:tcBorders>
            <w:shd w:val="clear" w:color="auto" w:fill="FFFFFF"/>
            <w:tcMar>
              <w:left w:w="115" w:type="dxa"/>
              <w:right w:w="115" w:type="dxa"/>
            </w:tcMar>
            <w:vAlign w:val="bottom"/>
          </w:tcPr>
          <w:p w14:paraId="680C8FE5" w14:textId="77777777" w:rsidR="00724034" w:rsidRDefault="00724034">
            <w:pPr>
              <w:jc w:val="right"/>
              <w:rPr>
                <w:rFonts w:ascii="Arial" w:eastAsia="Arial" w:hAnsi="Arial" w:cs="Arial"/>
                <w:color w:val="000000"/>
                <w:sz w:val="16"/>
                <w:vertAlign w:val="superscript"/>
              </w:rPr>
            </w:pPr>
          </w:p>
        </w:tc>
      </w:tr>
      <w:tr w:rsidR="00724034" w14:paraId="29AA499D" w14:textId="77777777">
        <w:tblPrEx>
          <w:tblLook w:val="04A0" w:firstRow="1" w:lastRow="0" w:firstColumn="1" w:lastColumn="0" w:noHBand="0" w:noVBand="1"/>
        </w:tblPrEx>
        <w:trPr>
          <w:gridAfter w:val="1"/>
          <w:wAfter w:w="10" w:type="dxa"/>
          <w:trHeight w:val="450"/>
        </w:trPr>
        <w:tc>
          <w:tcPr>
            <w:tcW w:w="3195" w:type="dxa"/>
            <w:tcBorders>
              <w:top w:val="nil"/>
              <w:left w:val="single" w:sz="6" w:space="0" w:color="000000"/>
              <w:bottom w:val="nil"/>
              <w:right w:val="nil"/>
              <w:tl2br w:val="nil"/>
              <w:tr2bl w:val="nil"/>
            </w:tcBorders>
            <w:shd w:val="clear" w:color="auto" w:fill="FFFFFF"/>
            <w:tcMar>
              <w:left w:w="115" w:type="dxa"/>
              <w:right w:w="115" w:type="dxa"/>
            </w:tcMar>
            <w:vAlign w:val="bottom"/>
          </w:tcPr>
          <w:p w14:paraId="29546D48" w14:textId="77777777" w:rsidR="00724034" w:rsidRDefault="00FB7D0B">
            <w:pPr>
              <w:rPr>
                <w:rFonts w:ascii="Arial" w:eastAsia="Arial" w:hAnsi="Arial" w:cs="Arial"/>
                <w:color w:val="000000"/>
                <w:sz w:val="16"/>
                <w:vertAlign w:val="superscript"/>
              </w:rPr>
            </w:pPr>
            <w:r>
              <w:rPr>
                <w:rFonts w:ascii="Arial" w:eastAsia="Arial" w:hAnsi="Arial" w:cs="Arial"/>
                <w:i/>
                <w:color w:val="000000"/>
                <w:sz w:val="16"/>
              </w:rPr>
              <w:t>Timeliness: Mean time to process new claims (days)</w:t>
            </w:r>
          </w:p>
        </w:tc>
        <w:tc>
          <w:tcPr>
            <w:tcW w:w="975" w:type="dxa"/>
            <w:tcBorders>
              <w:top w:val="nil"/>
              <w:left w:val="nil"/>
              <w:bottom w:val="nil"/>
              <w:right w:val="nil"/>
              <w:tl2br w:val="nil"/>
              <w:tr2bl w:val="nil"/>
            </w:tcBorders>
            <w:shd w:val="clear" w:color="auto" w:fill="FFFFFF"/>
            <w:tcMar>
              <w:left w:w="115" w:type="dxa"/>
              <w:right w:w="115" w:type="dxa"/>
            </w:tcMar>
            <w:vAlign w:val="bottom"/>
          </w:tcPr>
          <w:p w14:paraId="26F11955" w14:textId="77777777" w:rsidR="00724034" w:rsidRDefault="00FB7D0B">
            <w:pPr>
              <w:jc w:val="right"/>
              <w:rPr>
                <w:rFonts w:ascii="Arial" w:eastAsia="Arial" w:hAnsi="Arial" w:cs="Arial"/>
                <w:i/>
                <w:color w:val="000000"/>
                <w:sz w:val="16"/>
                <w:vertAlign w:val="superscript"/>
              </w:rPr>
            </w:pPr>
            <w:r>
              <w:rPr>
                <w:rFonts w:ascii="Arial" w:eastAsia="Arial" w:hAnsi="Arial" w:cs="Arial"/>
                <w:color w:val="000000"/>
                <w:sz w:val="16"/>
              </w:rPr>
              <w:t>32 </w:t>
            </w:r>
          </w:p>
        </w:tc>
        <w:tc>
          <w:tcPr>
            <w:tcW w:w="975" w:type="dxa"/>
            <w:tcBorders>
              <w:top w:val="nil"/>
              <w:left w:val="nil"/>
              <w:bottom w:val="nil"/>
              <w:right w:val="nil"/>
              <w:tl2br w:val="nil"/>
              <w:tr2bl w:val="nil"/>
            </w:tcBorders>
            <w:shd w:val="clear" w:color="auto" w:fill="FFFF00"/>
            <w:tcMar>
              <w:left w:w="115" w:type="dxa"/>
              <w:right w:w="115" w:type="dxa"/>
            </w:tcMar>
            <w:vAlign w:val="bottom"/>
          </w:tcPr>
          <w:p w14:paraId="0A6591DF" w14:textId="77777777" w:rsidR="00724034" w:rsidRDefault="00FB7D0B">
            <w:pPr>
              <w:jc w:val="right"/>
              <w:rPr>
                <w:rFonts w:ascii="Arial" w:eastAsia="Arial" w:hAnsi="Arial" w:cs="Arial"/>
                <w:color w:val="000000"/>
                <w:sz w:val="16"/>
              </w:rPr>
            </w:pPr>
            <w:r>
              <w:rPr>
                <w:rFonts w:ascii="Arial" w:eastAsia="Arial" w:hAnsi="Arial" w:cs="Arial"/>
                <w:color w:val="000000"/>
                <w:sz w:val="16"/>
              </w:rPr>
              <w:t>32 </w:t>
            </w:r>
          </w:p>
        </w:tc>
        <w:tc>
          <w:tcPr>
            <w:tcW w:w="975" w:type="dxa"/>
            <w:tcBorders>
              <w:top w:val="nil"/>
              <w:left w:val="nil"/>
              <w:bottom w:val="nil"/>
              <w:right w:val="nil"/>
              <w:tl2br w:val="nil"/>
              <w:tr2bl w:val="nil"/>
            </w:tcBorders>
            <w:shd w:val="clear" w:color="auto" w:fill="FFFFFF"/>
            <w:tcMar>
              <w:left w:w="115" w:type="dxa"/>
              <w:right w:w="115" w:type="dxa"/>
            </w:tcMar>
            <w:vAlign w:val="bottom"/>
          </w:tcPr>
          <w:p w14:paraId="7599D021" w14:textId="77777777" w:rsidR="00724034" w:rsidRDefault="00FB7D0B">
            <w:pPr>
              <w:jc w:val="right"/>
              <w:rPr>
                <w:rFonts w:ascii="Arial" w:eastAsia="Arial" w:hAnsi="Arial" w:cs="Arial"/>
                <w:color w:val="000000"/>
                <w:sz w:val="16"/>
              </w:rPr>
            </w:pPr>
            <w:r>
              <w:rPr>
                <w:rFonts w:ascii="Arial" w:eastAsia="Arial" w:hAnsi="Arial" w:cs="Arial"/>
                <w:color w:val="000000"/>
                <w:sz w:val="16"/>
              </w:rPr>
              <w:t>32 </w:t>
            </w:r>
          </w:p>
        </w:tc>
        <w:tc>
          <w:tcPr>
            <w:tcW w:w="975" w:type="dxa"/>
            <w:tcBorders>
              <w:top w:val="nil"/>
              <w:left w:val="nil"/>
              <w:bottom w:val="nil"/>
              <w:right w:val="nil"/>
              <w:tl2br w:val="nil"/>
              <w:tr2bl w:val="nil"/>
            </w:tcBorders>
            <w:shd w:val="clear" w:color="auto" w:fill="FFFFFF"/>
            <w:tcMar>
              <w:left w:w="115" w:type="dxa"/>
              <w:right w:w="115" w:type="dxa"/>
            </w:tcMar>
            <w:vAlign w:val="bottom"/>
          </w:tcPr>
          <w:p w14:paraId="28D28411" w14:textId="77777777" w:rsidR="00724034" w:rsidRDefault="00FB7D0B">
            <w:pPr>
              <w:jc w:val="right"/>
              <w:rPr>
                <w:rFonts w:ascii="Arial" w:eastAsia="Arial" w:hAnsi="Arial" w:cs="Arial"/>
                <w:color w:val="000000"/>
                <w:sz w:val="16"/>
              </w:rPr>
            </w:pPr>
            <w:r>
              <w:rPr>
                <w:rFonts w:ascii="Arial" w:eastAsia="Arial" w:hAnsi="Arial" w:cs="Arial"/>
                <w:color w:val="000000"/>
                <w:sz w:val="16"/>
              </w:rPr>
              <w:t>32 </w:t>
            </w:r>
          </w:p>
        </w:tc>
        <w:tc>
          <w:tcPr>
            <w:tcW w:w="975" w:type="dxa"/>
            <w:tcBorders>
              <w:top w:val="nil"/>
              <w:left w:val="nil"/>
              <w:bottom w:val="nil"/>
              <w:right w:val="single" w:sz="6" w:space="0" w:color="000000"/>
              <w:tl2br w:val="nil"/>
              <w:tr2bl w:val="nil"/>
            </w:tcBorders>
            <w:shd w:val="clear" w:color="auto" w:fill="FFFFFF"/>
            <w:tcMar>
              <w:left w:w="115" w:type="dxa"/>
              <w:right w:w="115" w:type="dxa"/>
            </w:tcMar>
            <w:vAlign w:val="bottom"/>
          </w:tcPr>
          <w:p w14:paraId="2F21403E" w14:textId="77777777" w:rsidR="00724034" w:rsidRDefault="00FB7D0B">
            <w:pPr>
              <w:jc w:val="right"/>
              <w:rPr>
                <w:rFonts w:ascii="Arial" w:eastAsia="Arial" w:hAnsi="Arial" w:cs="Arial"/>
                <w:color w:val="000000"/>
                <w:sz w:val="16"/>
              </w:rPr>
            </w:pPr>
            <w:r>
              <w:rPr>
                <w:rFonts w:ascii="Arial" w:eastAsia="Arial" w:hAnsi="Arial" w:cs="Arial"/>
                <w:color w:val="000000"/>
                <w:sz w:val="16"/>
              </w:rPr>
              <w:t>32 </w:t>
            </w:r>
          </w:p>
        </w:tc>
      </w:tr>
      <w:tr w:rsidR="00724034" w14:paraId="4086F67D" w14:textId="77777777">
        <w:tblPrEx>
          <w:tblLook w:val="04A0" w:firstRow="1" w:lastRow="0" w:firstColumn="1" w:lastColumn="0" w:noHBand="0" w:noVBand="1"/>
        </w:tblPrEx>
        <w:trPr>
          <w:gridAfter w:val="1"/>
          <w:wAfter w:w="10" w:type="dxa"/>
          <w:trHeight w:val="450"/>
        </w:trPr>
        <w:tc>
          <w:tcPr>
            <w:tcW w:w="3195" w:type="dxa"/>
            <w:tcBorders>
              <w:top w:val="nil"/>
              <w:left w:val="single" w:sz="6" w:space="0" w:color="000000"/>
              <w:bottom w:val="nil"/>
              <w:right w:val="nil"/>
              <w:tl2br w:val="nil"/>
              <w:tr2bl w:val="nil"/>
            </w:tcBorders>
            <w:shd w:val="clear" w:color="auto" w:fill="FFFFFF"/>
            <w:tcMar>
              <w:left w:w="115" w:type="dxa"/>
              <w:right w:w="115" w:type="dxa"/>
            </w:tcMar>
            <w:vAlign w:val="bottom"/>
          </w:tcPr>
          <w:p w14:paraId="04D6E3A1" w14:textId="77777777" w:rsidR="00724034" w:rsidRDefault="00FB7D0B">
            <w:pPr>
              <w:rPr>
                <w:rFonts w:ascii="Arial" w:eastAsia="Arial" w:hAnsi="Arial" w:cs="Arial"/>
                <w:color w:val="000000"/>
                <w:sz w:val="16"/>
              </w:rPr>
            </w:pPr>
            <w:r>
              <w:rPr>
                <w:rFonts w:ascii="Arial" w:eastAsia="Arial" w:hAnsi="Arial" w:cs="Arial"/>
                <w:i/>
                <w:color w:val="000000"/>
                <w:sz w:val="16"/>
              </w:rPr>
              <w:t>Timeliness: Mean time to process pensioner initiated reviews (days)</w:t>
            </w:r>
          </w:p>
        </w:tc>
        <w:tc>
          <w:tcPr>
            <w:tcW w:w="975" w:type="dxa"/>
            <w:tcBorders>
              <w:top w:val="nil"/>
              <w:left w:val="nil"/>
              <w:bottom w:val="nil"/>
              <w:right w:val="nil"/>
              <w:tl2br w:val="nil"/>
              <w:tr2bl w:val="nil"/>
            </w:tcBorders>
            <w:shd w:val="clear" w:color="auto" w:fill="FFFFFF"/>
            <w:tcMar>
              <w:left w:w="115" w:type="dxa"/>
              <w:right w:w="115" w:type="dxa"/>
            </w:tcMar>
            <w:vAlign w:val="bottom"/>
          </w:tcPr>
          <w:p w14:paraId="42E757ED" w14:textId="77777777" w:rsidR="00724034" w:rsidRDefault="00FB7D0B">
            <w:pPr>
              <w:jc w:val="right"/>
              <w:rPr>
                <w:rFonts w:ascii="Arial" w:eastAsia="Arial" w:hAnsi="Arial" w:cs="Arial"/>
                <w:i/>
                <w:color w:val="000000"/>
                <w:sz w:val="16"/>
                <w:vertAlign w:val="superscript"/>
              </w:rPr>
            </w:pPr>
            <w:r>
              <w:rPr>
                <w:rFonts w:ascii="Arial" w:eastAsia="Arial" w:hAnsi="Arial" w:cs="Arial"/>
                <w:color w:val="000000"/>
                <w:sz w:val="16"/>
              </w:rPr>
              <w:t>14 </w:t>
            </w:r>
          </w:p>
        </w:tc>
        <w:tc>
          <w:tcPr>
            <w:tcW w:w="975" w:type="dxa"/>
            <w:tcBorders>
              <w:top w:val="nil"/>
              <w:left w:val="nil"/>
              <w:bottom w:val="nil"/>
              <w:right w:val="nil"/>
              <w:tl2br w:val="nil"/>
              <w:tr2bl w:val="nil"/>
            </w:tcBorders>
            <w:shd w:val="clear" w:color="auto" w:fill="FFFF00"/>
            <w:tcMar>
              <w:left w:w="115" w:type="dxa"/>
              <w:right w:w="115" w:type="dxa"/>
            </w:tcMar>
            <w:vAlign w:val="bottom"/>
          </w:tcPr>
          <w:p w14:paraId="40250107" w14:textId="77777777" w:rsidR="00724034" w:rsidRDefault="00FB7D0B">
            <w:pPr>
              <w:jc w:val="right"/>
              <w:rPr>
                <w:rFonts w:ascii="Arial" w:eastAsia="Arial" w:hAnsi="Arial" w:cs="Arial"/>
                <w:color w:val="000000"/>
                <w:sz w:val="16"/>
              </w:rPr>
            </w:pPr>
            <w:r>
              <w:rPr>
                <w:rFonts w:ascii="Arial" w:eastAsia="Arial" w:hAnsi="Arial" w:cs="Arial"/>
                <w:color w:val="000000"/>
                <w:sz w:val="16"/>
              </w:rPr>
              <w:t>14 </w:t>
            </w:r>
          </w:p>
        </w:tc>
        <w:tc>
          <w:tcPr>
            <w:tcW w:w="975" w:type="dxa"/>
            <w:tcBorders>
              <w:top w:val="nil"/>
              <w:left w:val="nil"/>
              <w:bottom w:val="nil"/>
              <w:right w:val="nil"/>
              <w:tl2br w:val="nil"/>
              <w:tr2bl w:val="nil"/>
            </w:tcBorders>
            <w:shd w:val="clear" w:color="auto" w:fill="FFFFFF"/>
            <w:tcMar>
              <w:left w:w="115" w:type="dxa"/>
              <w:right w:w="115" w:type="dxa"/>
            </w:tcMar>
            <w:vAlign w:val="bottom"/>
          </w:tcPr>
          <w:p w14:paraId="66A552E4" w14:textId="77777777" w:rsidR="00724034" w:rsidRDefault="00FB7D0B">
            <w:pPr>
              <w:jc w:val="right"/>
              <w:rPr>
                <w:rFonts w:ascii="Arial" w:eastAsia="Arial" w:hAnsi="Arial" w:cs="Arial"/>
                <w:color w:val="000000"/>
                <w:sz w:val="16"/>
              </w:rPr>
            </w:pPr>
            <w:r>
              <w:rPr>
                <w:rFonts w:ascii="Arial" w:eastAsia="Arial" w:hAnsi="Arial" w:cs="Arial"/>
                <w:color w:val="000000"/>
                <w:sz w:val="16"/>
              </w:rPr>
              <w:t>14 </w:t>
            </w:r>
          </w:p>
        </w:tc>
        <w:tc>
          <w:tcPr>
            <w:tcW w:w="975" w:type="dxa"/>
            <w:tcBorders>
              <w:top w:val="nil"/>
              <w:left w:val="nil"/>
              <w:bottom w:val="nil"/>
              <w:right w:val="nil"/>
              <w:tl2br w:val="nil"/>
              <w:tr2bl w:val="nil"/>
            </w:tcBorders>
            <w:shd w:val="clear" w:color="auto" w:fill="FFFFFF"/>
            <w:tcMar>
              <w:left w:w="115" w:type="dxa"/>
              <w:right w:w="115" w:type="dxa"/>
            </w:tcMar>
            <w:vAlign w:val="bottom"/>
          </w:tcPr>
          <w:p w14:paraId="6F69DD80" w14:textId="77777777" w:rsidR="00724034" w:rsidRDefault="00FB7D0B">
            <w:pPr>
              <w:jc w:val="right"/>
              <w:rPr>
                <w:rFonts w:ascii="Arial" w:eastAsia="Arial" w:hAnsi="Arial" w:cs="Arial"/>
                <w:color w:val="000000"/>
                <w:sz w:val="16"/>
              </w:rPr>
            </w:pPr>
            <w:r>
              <w:rPr>
                <w:rFonts w:ascii="Arial" w:eastAsia="Arial" w:hAnsi="Arial" w:cs="Arial"/>
                <w:color w:val="000000"/>
                <w:sz w:val="16"/>
              </w:rPr>
              <w:t>14 </w:t>
            </w:r>
          </w:p>
        </w:tc>
        <w:tc>
          <w:tcPr>
            <w:tcW w:w="975" w:type="dxa"/>
            <w:tcBorders>
              <w:top w:val="nil"/>
              <w:left w:val="nil"/>
              <w:bottom w:val="nil"/>
              <w:right w:val="single" w:sz="6" w:space="0" w:color="000000"/>
              <w:tl2br w:val="nil"/>
              <w:tr2bl w:val="nil"/>
            </w:tcBorders>
            <w:shd w:val="clear" w:color="auto" w:fill="FFFFFF"/>
            <w:tcMar>
              <w:left w:w="115" w:type="dxa"/>
              <w:right w:w="115" w:type="dxa"/>
            </w:tcMar>
            <w:vAlign w:val="bottom"/>
          </w:tcPr>
          <w:p w14:paraId="4B636E30" w14:textId="77777777" w:rsidR="00724034" w:rsidRDefault="00FB7D0B">
            <w:pPr>
              <w:jc w:val="right"/>
              <w:rPr>
                <w:rFonts w:ascii="Arial" w:eastAsia="Arial" w:hAnsi="Arial" w:cs="Arial"/>
                <w:color w:val="000000"/>
                <w:sz w:val="16"/>
              </w:rPr>
            </w:pPr>
            <w:r>
              <w:rPr>
                <w:rFonts w:ascii="Arial" w:eastAsia="Arial" w:hAnsi="Arial" w:cs="Arial"/>
                <w:color w:val="000000"/>
                <w:sz w:val="16"/>
              </w:rPr>
              <w:t>14 </w:t>
            </w:r>
          </w:p>
        </w:tc>
      </w:tr>
      <w:tr w:rsidR="00724034" w14:paraId="1816EC62" w14:textId="77777777">
        <w:tblPrEx>
          <w:tblLook w:val="04A0" w:firstRow="1" w:lastRow="0" w:firstColumn="1" w:lastColumn="0" w:noHBand="0" w:noVBand="1"/>
        </w:tblPrEx>
        <w:trPr>
          <w:gridAfter w:val="1"/>
          <w:wAfter w:w="10" w:type="dxa"/>
          <w:trHeight w:val="450"/>
        </w:trPr>
        <w:tc>
          <w:tcPr>
            <w:tcW w:w="3195" w:type="dxa"/>
            <w:tcBorders>
              <w:top w:val="nil"/>
              <w:left w:val="single" w:sz="6" w:space="0" w:color="000000"/>
              <w:bottom w:val="nil"/>
              <w:right w:val="nil"/>
              <w:tl2br w:val="nil"/>
              <w:tr2bl w:val="nil"/>
            </w:tcBorders>
            <w:shd w:val="clear" w:color="auto" w:fill="FFFFFF"/>
            <w:tcMar>
              <w:left w:w="115" w:type="dxa"/>
              <w:right w:w="115" w:type="dxa"/>
            </w:tcMar>
            <w:vAlign w:val="bottom"/>
          </w:tcPr>
          <w:p w14:paraId="14AAE517" w14:textId="77777777" w:rsidR="00724034" w:rsidRDefault="00FB7D0B">
            <w:pPr>
              <w:rPr>
                <w:rFonts w:ascii="Arial" w:eastAsia="Arial" w:hAnsi="Arial" w:cs="Arial"/>
                <w:color w:val="000000"/>
                <w:sz w:val="16"/>
              </w:rPr>
            </w:pPr>
            <w:r>
              <w:rPr>
                <w:rFonts w:ascii="Arial" w:eastAsia="Arial" w:hAnsi="Arial" w:cs="Arial"/>
                <w:i/>
                <w:color w:val="000000"/>
                <w:sz w:val="16"/>
              </w:rPr>
              <w:t>Price: Cost per income support beneficiary</w:t>
            </w:r>
          </w:p>
        </w:tc>
        <w:tc>
          <w:tcPr>
            <w:tcW w:w="975" w:type="dxa"/>
            <w:tcBorders>
              <w:top w:val="nil"/>
              <w:left w:val="nil"/>
              <w:bottom w:val="nil"/>
              <w:right w:val="nil"/>
              <w:tl2br w:val="nil"/>
              <w:tr2bl w:val="nil"/>
            </w:tcBorders>
            <w:shd w:val="clear" w:color="auto" w:fill="FFFFFF"/>
            <w:tcMar>
              <w:left w:w="115" w:type="dxa"/>
              <w:right w:w="115" w:type="dxa"/>
            </w:tcMar>
            <w:vAlign w:val="bottom"/>
          </w:tcPr>
          <w:p w14:paraId="7B23685C" w14:textId="77777777" w:rsidR="00724034" w:rsidRDefault="00FB7D0B">
            <w:pPr>
              <w:jc w:val="right"/>
              <w:rPr>
                <w:rFonts w:ascii="Arial" w:eastAsia="Arial" w:hAnsi="Arial" w:cs="Arial"/>
                <w:i/>
                <w:color w:val="000000"/>
                <w:sz w:val="16"/>
                <w:vertAlign w:val="superscript"/>
              </w:rPr>
            </w:pPr>
            <w:r>
              <w:rPr>
                <w:rFonts w:ascii="Arial" w:eastAsia="Arial" w:hAnsi="Arial" w:cs="Arial"/>
                <w:color w:val="000000"/>
                <w:sz w:val="16"/>
              </w:rPr>
              <w:t>219 </w:t>
            </w:r>
          </w:p>
        </w:tc>
        <w:tc>
          <w:tcPr>
            <w:tcW w:w="975" w:type="dxa"/>
            <w:tcBorders>
              <w:top w:val="nil"/>
              <w:left w:val="nil"/>
              <w:bottom w:val="nil"/>
              <w:right w:val="nil"/>
              <w:tl2br w:val="nil"/>
              <w:tr2bl w:val="nil"/>
            </w:tcBorders>
            <w:shd w:val="clear" w:color="auto" w:fill="FFFF00"/>
            <w:tcMar>
              <w:left w:w="115" w:type="dxa"/>
              <w:right w:w="115" w:type="dxa"/>
            </w:tcMar>
            <w:vAlign w:val="bottom"/>
          </w:tcPr>
          <w:p w14:paraId="18679CCB" w14:textId="77777777" w:rsidR="00724034" w:rsidRDefault="00FB7D0B">
            <w:pPr>
              <w:jc w:val="right"/>
              <w:rPr>
                <w:rFonts w:ascii="Arial" w:eastAsia="Arial" w:hAnsi="Arial" w:cs="Arial"/>
                <w:color w:val="000000"/>
                <w:sz w:val="16"/>
              </w:rPr>
            </w:pPr>
            <w:r>
              <w:rPr>
                <w:rFonts w:ascii="Arial" w:eastAsia="Arial" w:hAnsi="Arial" w:cs="Arial"/>
                <w:color w:val="000000"/>
                <w:sz w:val="16"/>
              </w:rPr>
              <w:t>228 </w:t>
            </w:r>
          </w:p>
        </w:tc>
        <w:tc>
          <w:tcPr>
            <w:tcW w:w="975" w:type="dxa"/>
            <w:tcBorders>
              <w:top w:val="nil"/>
              <w:left w:val="nil"/>
              <w:bottom w:val="nil"/>
              <w:right w:val="nil"/>
              <w:tl2br w:val="nil"/>
              <w:tr2bl w:val="nil"/>
            </w:tcBorders>
            <w:shd w:val="clear" w:color="auto" w:fill="FFFFFF"/>
            <w:tcMar>
              <w:left w:w="115" w:type="dxa"/>
              <w:right w:w="115" w:type="dxa"/>
            </w:tcMar>
            <w:vAlign w:val="bottom"/>
          </w:tcPr>
          <w:p w14:paraId="59F6C587" w14:textId="77777777" w:rsidR="00724034" w:rsidRDefault="00FB7D0B">
            <w:pPr>
              <w:jc w:val="right"/>
              <w:rPr>
                <w:rFonts w:ascii="Arial" w:eastAsia="Arial" w:hAnsi="Arial" w:cs="Arial"/>
                <w:color w:val="000000"/>
                <w:sz w:val="16"/>
              </w:rPr>
            </w:pPr>
            <w:r>
              <w:rPr>
                <w:rFonts w:ascii="Arial" w:eastAsia="Arial" w:hAnsi="Arial" w:cs="Arial"/>
                <w:color w:val="000000"/>
                <w:sz w:val="16"/>
              </w:rPr>
              <w:t>232 </w:t>
            </w:r>
          </w:p>
        </w:tc>
        <w:tc>
          <w:tcPr>
            <w:tcW w:w="975" w:type="dxa"/>
            <w:tcBorders>
              <w:top w:val="nil"/>
              <w:left w:val="nil"/>
              <w:bottom w:val="nil"/>
              <w:right w:val="nil"/>
              <w:tl2br w:val="nil"/>
              <w:tr2bl w:val="nil"/>
            </w:tcBorders>
            <w:shd w:val="clear" w:color="auto" w:fill="FFFFFF"/>
            <w:tcMar>
              <w:left w:w="115" w:type="dxa"/>
              <w:right w:w="115" w:type="dxa"/>
            </w:tcMar>
            <w:vAlign w:val="bottom"/>
          </w:tcPr>
          <w:p w14:paraId="6B04A535" w14:textId="77777777" w:rsidR="00724034" w:rsidRDefault="00FB7D0B">
            <w:pPr>
              <w:jc w:val="right"/>
              <w:rPr>
                <w:rFonts w:ascii="Arial" w:eastAsia="Arial" w:hAnsi="Arial" w:cs="Arial"/>
                <w:color w:val="000000"/>
                <w:sz w:val="16"/>
              </w:rPr>
            </w:pPr>
            <w:r>
              <w:rPr>
                <w:rFonts w:ascii="Arial" w:eastAsia="Arial" w:hAnsi="Arial" w:cs="Arial"/>
                <w:color w:val="000000"/>
                <w:sz w:val="16"/>
              </w:rPr>
              <w:t>240 </w:t>
            </w:r>
          </w:p>
        </w:tc>
        <w:tc>
          <w:tcPr>
            <w:tcW w:w="975" w:type="dxa"/>
            <w:tcBorders>
              <w:top w:val="nil"/>
              <w:left w:val="nil"/>
              <w:bottom w:val="nil"/>
              <w:right w:val="single" w:sz="6" w:space="0" w:color="000000"/>
              <w:tl2br w:val="nil"/>
              <w:tr2bl w:val="nil"/>
            </w:tcBorders>
            <w:shd w:val="clear" w:color="auto" w:fill="FFFFFF"/>
            <w:tcMar>
              <w:left w:w="115" w:type="dxa"/>
              <w:right w:w="115" w:type="dxa"/>
            </w:tcMar>
            <w:vAlign w:val="bottom"/>
          </w:tcPr>
          <w:p w14:paraId="2C42C1F0" w14:textId="77777777" w:rsidR="00724034" w:rsidRDefault="00FB7D0B">
            <w:pPr>
              <w:jc w:val="right"/>
              <w:rPr>
                <w:rFonts w:ascii="Arial" w:eastAsia="Arial" w:hAnsi="Arial" w:cs="Arial"/>
                <w:color w:val="000000"/>
                <w:sz w:val="16"/>
              </w:rPr>
            </w:pPr>
            <w:r>
              <w:rPr>
                <w:rFonts w:ascii="Arial" w:eastAsia="Arial" w:hAnsi="Arial" w:cs="Arial"/>
                <w:color w:val="000000"/>
                <w:sz w:val="16"/>
              </w:rPr>
              <w:t xml:space="preserve"> 263 </w:t>
            </w:r>
          </w:p>
        </w:tc>
      </w:tr>
      <w:tr w:rsidR="00724034" w14:paraId="0B4C0AF9" w14:textId="77777777">
        <w:tblPrEx>
          <w:tblLook w:val="04A0" w:firstRow="1" w:lastRow="0" w:firstColumn="1" w:lastColumn="0" w:noHBand="0" w:noVBand="1"/>
        </w:tblPrEx>
        <w:trPr>
          <w:gridAfter w:val="1"/>
          <w:wAfter w:w="10" w:type="dxa"/>
          <w:trHeight w:val="450"/>
        </w:trPr>
        <w:tc>
          <w:tcPr>
            <w:tcW w:w="3195" w:type="dxa"/>
            <w:tcBorders>
              <w:top w:val="nil"/>
              <w:left w:val="single" w:sz="6" w:space="0" w:color="000000"/>
              <w:bottom w:val="single" w:sz="6" w:space="0" w:color="000000"/>
              <w:right w:val="nil"/>
              <w:tl2br w:val="nil"/>
              <w:tr2bl w:val="nil"/>
            </w:tcBorders>
            <w:shd w:val="clear" w:color="auto" w:fill="FFFFFF"/>
            <w:tcMar>
              <w:left w:w="115" w:type="dxa"/>
              <w:right w:w="115" w:type="dxa"/>
            </w:tcMar>
            <w:vAlign w:val="bottom"/>
          </w:tcPr>
          <w:p w14:paraId="4277170F" w14:textId="77777777" w:rsidR="00724034" w:rsidRDefault="00FB7D0B">
            <w:pPr>
              <w:rPr>
                <w:rFonts w:ascii="Arial" w:eastAsia="Arial" w:hAnsi="Arial" w:cs="Arial"/>
                <w:color w:val="000000"/>
                <w:sz w:val="16"/>
              </w:rPr>
            </w:pPr>
            <w:r>
              <w:rPr>
                <w:rFonts w:ascii="Arial" w:eastAsia="Arial" w:hAnsi="Arial" w:cs="Arial"/>
                <w:i/>
                <w:color w:val="000000"/>
                <w:sz w:val="16"/>
              </w:rPr>
              <w:t>Quality: Critical error rate for income support processing</w:t>
            </w:r>
          </w:p>
        </w:tc>
        <w:tc>
          <w:tcPr>
            <w:tcW w:w="975"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6DBC81C6" w14:textId="77777777" w:rsidR="00724034" w:rsidRDefault="00FB7D0B">
            <w:pPr>
              <w:jc w:val="right"/>
              <w:rPr>
                <w:rFonts w:ascii="Arial" w:eastAsia="Arial" w:hAnsi="Arial" w:cs="Arial"/>
                <w:i/>
                <w:color w:val="000000"/>
                <w:sz w:val="16"/>
                <w:vertAlign w:val="superscript"/>
              </w:rPr>
            </w:pPr>
            <w:r>
              <w:rPr>
                <w:rFonts w:ascii="Arial" w:eastAsia="Arial" w:hAnsi="Arial" w:cs="Arial"/>
                <w:color w:val="000000"/>
                <w:sz w:val="16"/>
              </w:rPr>
              <w:t>&lt;5%</w:t>
            </w:r>
          </w:p>
        </w:tc>
        <w:tc>
          <w:tcPr>
            <w:tcW w:w="975" w:type="dxa"/>
            <w:tcBorders>
              <w:top w:val="nil"/>
              <w:left w:val="nil"/>
              <w:bottom w:val="single" w:sz="6" w:space="0" w:color="000000"/>
              <w:right w:val="nil"/>
              <w:tl2br w:val="nil"/>
              <w:tr2bl w:val="nil"/>
            </w:tcBorders>
            <w:shd w:val="clear" w:color="auto" w:fill="FFFF00"/>
            <w:tcMar>
              <w:left w:w="115" w:type="dxa"/>
              <w:right w:w="115" w:type="dxa"/>
            </w:tcMar>
            <w:vAlign w:val="bottom"/>
          </w:tcPr>
          <w:p w14:paraId="73CB7546" w14:textId="77777777" w:rsidR="00724034" w:rsidRDefault="00FB7D0B">
            <w:pPr>
              <w:jc w:val="right"/>
              <w:rPr>
                <w:rFonts w:ascii="Arial" w:eastAsia="Arial" w:hAnsi="Arial" w:cs="Arial"/>
                <w:color w:val="000000"/>
                <w:sz w:val="16"/>
              </w:rPr>
            </w:pPr>
            <w:r>
              <w:rPr>
                <w:rFonts w:ascii="Arial" w:eastAsia="Arial" w:hAnsi="Arial" w:cs="Arial"/>
                <w:color w:val="000000"/>
                <w:sz w:val="16"/>
              </w:rPr>
              <w:t>&lt;5%</w:t>
            </w:r>
          </w:p>
        </w:tc>
        <w:tc>
          <w:tcPr>
            <w:tcW w:w="975"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5F5EF171" w14:textId="77777777" w:rsidR="00724034" w:rsidRDefault="00FB7D0B">
            <w:pPr>
              <w:jc w:val="right"/>
              <w:rPr>
                <w:rFonts w:ascii="Arial" w:eastAsia="Arial" w:hAnsi="Arial" w:cs="Arial"/>
                <w:color w:val="000000"/>
                <w:sz w:val="16"/>
              </w:rPr>
            </w:pPr>
            <w:r>
              <w:rPr>
                <w:rFonts w:ascii="Arial" w:eastAsia="Arial" w:hAnsi="Arial" w:cs="Arial"/>
                <w:color w:val="000000"/>
                <w:sz w:val="16"/>
              </w:rPr>
              <w:t>&lt;5%</w:t>
            </w:r>
          </w:p>
        </w:tc>
        <w:tc>
          <w:tcPr>
            <w:tcW w:w="975"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5861755C" w14:textId="77777777" w:rsidR="00724034" w:rsidRDefault="00FB7D0B">
            <w:pPr>
              <w:jc w:val="right"/>
              <w:rPr>
                <w:rFonts w:ascii="Arial" w:eastAsia="Arial" w:hAnsi="Arial" w:cs="Arial"/>
                <w:color w:val="000000"/>
                <w:sz w:val="16"/>
              </w:rPr>
            </w:pPr>
            <w:r>
              <w:rPr>
                <w:rFonts w:ascii="Arial" w:eastAsia="Arial" w:hAnsi="Arial" w:cs="Arial"/>
                <w:color w:val="000000"/>
                <w:sz w:val="16"/>
              </w:rPr>
              <w:t>&lt;5%</w:t>
            </w:r>
          </w:p>
        </w:tc>
        <w:tc>
          <w:tcPr>
            <w:tcW w:w="975" w:type="dxa"/>
            <w:tcBorders>
              <w:top w:val="nil"/>
              <w:left w:val="nil"/>
              <w:bottom w:val="single" w:sz="6" w:space="0" w:color="000000"/>
              <w:right w:val="single" w:sz="6" w:space="0" w:color="000000"/>
              <w:tl2br w:val="nil"/>
              <w:tr2bl w:val="nil"/>
            </w:tcBorders>
            <w:shd w:val="clear" w:color="auto" w:fill="FFFFFF"/>
            <w:tcMar>
              <w:left w:w="115" w:type="dxa"/>
              <w:right w:w="115" w:type="dxa"/>
            </w:tcMar>
            <w:vAlign w:val="bottom"/>
          </w:tcPr>
          <w:p w14:paraId="2DE0272F" w14:textId="77777777" w:rsidR="00724034" w:rsidRDefault="00FB7D0B">
            <w:pPr>
              <w:jc w:val="right"/>
              <w:rPr>
                <w:rFonts w:ascii="Arial" w:eastAsia="Arial" w:hAnsi="Arial" w:cs="Arial"/>
                <w:color w:val="000000"/>
                <w:sz w:val="16"/>
              </w:rPr>
            </w:pPr>
            <w:r>
              <w:rPr>
                <w:rFonts w:ascii="Arial" w:eastAsia="Arial" w:hAnsi="Arial" w:cs="Arial"/>
                <w:color w:val="000000"/>
                <w:sz w:val="16"/>
              </w:rPr>
              <w:t>&lt;5%</w:t>
            </w:r>
          </w:p>
        </w:tc>
      </w:tr>
      <w:tr w:rsidR="00724034" w14:paraId="5BACF40B" w14:textId="77777777">
        <w:tblPrEx>
          <w:tblLook w:val="04A0" w:firstRow="1" w:lastRow="0" w:firstColumn="1" w:lastColumn="0" w:noHBand="0" w:noVBand="1"/>
        </w:tblPrEx>
        <w:trPr>
          <w:gridAfter w:val="1"/>
          <w:wAfter w:w="10" w:type="dxa"/>
          <w:trHeight w:val="225"/>
        </w:trPr>
        <w:tc>
          <w:tcPr>
            <w:tcW w:w="3195"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7F4D9E36" w14:textId="77777777" w:rsidR="00724034" w:rsidRDefault="00724034">
            <w:pPr>
              <w:rPr>
                <w:rFonts w:ascii="Arial" w:eastAsia="Arial" w:hAnsi="Arial" w:cs="Arial"/>
                <w:color w:val="000000"/>
                <w:sz w:val="16"/>
              </w:rPr>
            </w:pPr>
          </w:p>
        </w:tc>
        <w:tc>
          <w:tcPr>
            <w:tcW w:w="975"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5FBB80D1" w14:textId="77777777" w:rsidR="00724034" w:rsidRDefault="00724034">
            <w:pPr>
              <w:jc w:val="right"/>
              <w:rPr>
                <w:rFonts w:ascii="Arial" w:eastAsia="Arial" w:hAnsi="Arial" w:cs="Arial"/>
                <w:i/>
                <w:color w:val="000000"/>
                <w:sz w:val="16"/>
                <w:vertAlign w:val="superscript"/>
              </w:rPr>
            </w:pPr>
          </w:p>
        </w:tc>
        <w:tc>
          <w:tcPr>
            <w:tcW w:w="975"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3749ADDD" w14:textId="77777777" w:rsidR="00724034" w:rsidRDefault="00724034">
            <w:pPr>
              <w:jc w:val="right"/>
              <w:rPr>
                <w:rFonts w:ascii="Arial" w:eastAsia="Arial" w:hAnsi="Arial" w:cs="Arial"/>
                <w:color w:val="000000"/>
                <w:sz w:val="16"/>
                <w:vertAlign w:val="superscript"/>
              </w:rPr>
            </w:pPr>
          </w:p>
        </w:tc>
        <w:tc>
          <w:tcPr>
            <w:tcW w:w="975"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209FCC42" w14:textId="77777777" w:rsidR="00724034" w:rsidRDefault="00724034">
            <w:pPr>
              <w:jc w:val="right"/>
              <w:rPr>
                <w:rFonts w:ascii="Arial" w:eastAsia="Arial" w:hAnsi="Arial" w:cs="Arial"/>
                <w:color w:val="000000"/>
                <w:sz w:val="16"/>
                <w:vertAlign w:val="superscript"/>
              </w:rPr>
            </w:pPr>
          </w:p>
        </w:tc>
        <w:tc>
          <w:tcPr>
            <w:tcW w:w="975"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2D6BB2B4" w14:textId="77777777" w:rsidR="00724034" w:rsidRDefault="00724034">
            <w:pPr>
              <w:jc w:val="right"/>
              <w:rPr>
                <w:rFonts w:ascii="Arial" w:eastAsia="Arial" w:hAnsi="Arial" w:cs="Arial"/>
                <w:color w:val="000000"/>
                <w:sz w:val="16"/>
                <w:vertAlign w:val="superscript"/>
              </w:rPr>
            </w:pPr>
          </w:p>
        </w:tc>
        <w:tc>
          <w:tcPr>
            <w:tcW w:w="975"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17B37C1C" w14:textId="77777777" w:rsidR="00724034" w:rsidRDefault="00724034">
            <w:pPr>
              <w:jc w:val="right"/>
              <w:rPr>
                <w:rFonts w:ascii="Arial" w:eastAsia="Arial" w:hAnsi="Arial" w:cs="Arial"/>
                <w:color w:val="000000"/>
                <w:sz w:val="16"/>
                <w:vertAlign w:val="superscript"/>
              </w:rPr>
            </w:pPr>
          </w:p>
        </w:tc>
      </w:tr>
    </w:tbl>
    <w:p w14:paraId="151B3AD7" w14:textId="77777777" w:rsidR="00724034" w:rsidRDefault="00FB7D0B">
      <w:pPr>
        <w:spacing w:line="14" w:lineRule="exact"/>
      </w:pPr>
      <w:r>
        <w:br w:type="page"/>
      </w:r>
    </w:p>
    <w:tbl>
      <w:tblPr>
        <w:tblW w:w="8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
        <w:gridCol w:w="227"/>
        <w:gridCol w:w="2691"/>
        <w:gridCol w:w="985"/>
        <w:gridCol w:w="985"/>
        <w:gridCol w:w="985"/>
        <w:gridCol w:w="985"/>
        <w:gridCol w:w="985"/>
        <w:gridCol w:w="10"/>
      </w:tblGrid>
      <w:tr w:rsidR="00724034" w14:paraId="1AB3AA55" w14:textId="77777777" w:rsidTr="003F0EEA">
        <w:tc>
          <w:tcPr>
            <w:tcW w:w="8080" w:type="dxa"/>
            <w:gridSpan w:val="9"/>
            <w:tcBorders>
              <w:top w:val="single" w:sz="4" w:space="0" w:color="auto"/>
              <w:left w:val="single" w:sz="4" w:space="0" w:color="auto"/>
              <w:bottom w:val="single" w:sz="4" w:space="0" w:color="auto"/>
              <w:right w:val="single" w:sz="4" w:space="0" w:color="auto"/>
            </w:tcBorders>
            <w:shd w:val="clear" w:color="auto" w:fill="E6E6E6"/>
          </w:tcPr>
          <w:p w14:paraId="50AD12B6" w14:textId="77777777" w:rsidR="003F0EEA" w:rsidRPr="00A17252" w:rsidRDefault="00FB7D0B" w:rsidP="003F0EEA">
            <w:pPr>
              <w:pStyle w:val="TableTextLeft2"/>
              <w:ind w:right="-108"/>
              <w:rPr>
                <w:b/>
              </w:rPr>
            </w:pPr>
            <w:r w:rsidRPr="00A17252">
              <w:rPr>
                <w:b/>
                <w:sz w:val="20"/>
              </w:rPr>
              <w:t>Program</w:t>
            </w:r>
            <w:r>
              <w:rPr>
                <w:b/>
                <w:sz w:val="20"/>
              </w:rPr>
              <w:t>me</w:t>
            </w:r>
            <w:r w:rsidRPr="00A17252">
              <w:rPr>
                <w:b/>
                <w:sz w:val="20"/>
              </w:rPr>
              <w:t xml:space="preserve"> 1.</w:t>
            </w:r>
            <w:r>
              <w:rPr>
                <w:b/>
                <w:sz w:val="20"/>
              </w:rPr>
              <w:t>2</w:t>
            </w:r>
            <w:r w:rsidRPr="00A17252">
              <w:rPr>
                <w:b/>
                <w:sz w:val="20"/>
              </w:rPr>
              <w:t>: Veterans' Disability Support</w:t>
            </w:r>
          </w:p>
        </w:tc>
      </w:tr>
      <w:tr w:rsidR="00724034" w14:paraId="2F89F0B1" w14:textId="77777777" w:rsidTr="003F0EEA">
        <w:tc>
          <w:tcPr>
            <w:tcW w:w="8080" w:type="dxa"/>
            <w:gridSpan w:val="9"/>
            <w:tcBorders>
              <w:top w:val="single" w:sz="4" w:space="0" w:color="auto"/>
              <w:left w:val="nil"/>
              <w:bottom w:val="single" w:sz="4" w:space="0" w:color="auto"/>
              <w:right w:val="nil"/>
            </w:tcBorders>
          </w:tcPr>
          <w:p w14:paraId="799A4D07" w14:textId="77777777" w:rsidR="003F0EEA" w:rsidRDefault="003F0EEA" w:rsidP="003F0EEA">
            <w:pPr>
              <w:pStyle w:val="TableTextLeft2"/>
              <w:rPr>
                <w:b/>
              </w:rPr>
            </w:pPr>
          </w:p>
        </w:tc>
      </w:tr>
      <w:tr w:rsidR="00724034" w14:paraId="37BF125A" w14:textId="77777777" w:rsidTr="003F0EEA">
        <w:tc>
          <w:tcPr>
            <w:tcW w:w="8080" w:type="dxa"/>
            <w:gridSpan w:val="9"/>
            <w:tcBorders>
              <w:top w:val="single" w:sz="4" w:space="0" w:color="auto"/>
              <w:left w:val="single" w:sz="4" w:space="0" w:color="auto"/>
              <w:bottom w:val="single" w:sz="4" w:space="0" w:color="auto"/>
              <w:right w:val="single" w:sz="4" w:space="0" w:color="auto"/>
            </w:tcBorders>
          </w:tcPr>
          <w:p w14:paraId="59E3868C" w14:textId="77777777" w:rsidR="003F0EEA" w:rsidRDefault="00FB7D0B" w:rsidP="003F0EEA">
            <w:pPr>
              <w:pStyle w:val="TableTextLeft2"/>
              <w:rPr>
                <w:b/>
              </w:rPr>
            </w:pPr>
            <w:r>
              <w:rPr>
                <w:b/>
              </w:rPr>
              <w:t>Programme 1.2 objective</w:t>
            </w:r>
          </w:p>
          <w:p w14:paraId="08AD974F" w14:textId="77777777" w:rsidR="003F0EEA" w:rsidRDefault="00FB7D0B" w:rsidP="003F0EEA">
            <w:pPr>
              <w:pStyle w:val="CM96"/>
              <w:spacing w:after="125" w:line="216" w:lineRule="atLeast"/>
              <w:jc w:val="both"/>
              <w:rPr>
                <w:rFonts w:cs="Arial"/>
                <w:color w:val="000000"/>
                <w:sz w:val="18"/>
                <w:szCs w:val="18"/>
              </w:rPr>
            </w:pPr>
            <w:r>
              <w:rPr>
                <w:rFonts w:cs="Arial"/>
                <w:color w:val="000000"/>
                <w:sz w:val="18"/>
                <w:szCs w:val="18"/>
              </w:rPr>
              <w:t xml:space="preserve">To deliver disability pensions, allowances and special purpose assistance to eligible veterans and members of the Defence Force or Peacekeeping Force under the </w:t>
            </w:r>
            <w:r>
              <w:rPr>
                <w:rFonts w:cs="Arial"/>
                <w:i/>
                <w:color w:val="000000"/>
                <w:sz w:val="18"/>
                <w:szCs w:val="18"/>
              </w:rPr>
              <w:t>Veterans’ Entitlements Act 1986</w:t>
            </w:r>
            <w:r>
              <w:rPr>
                <w:rFonts w:cs="Arial"/>
                <w:color w:val="000000"/>
                <w:szCs w:val="18"/>
              </w:rPr>
              <w:t xml:space="preserve"> </w:t>
            </w:r>
            <w:r>
              <w:rPr>
                <w:rFonts w:cs="Arial"/>
                <w:color w:val="000000"/>
                <w:sz w:val="18"/>
                <w:szCs w:val="18"/>
              </w:rPr>
              <w:t xml:space="preserve">and related legislation. </w:t>
            </w:r>
          </w:p>
          <w:p w14:paraId="06925B23" w14:textId="77777777" w:rsidR="003F0EEA" w:rsidRDefault="00FB7D0B" w:rsidP="003F0EEA">
            <w:pPr>
              <w:pStyle w:val="TableTextLeft2"/>
              <w:rPr>
                <w:b/>
              </w:rPr>
            </w:pPr>
            <w:r>
              <w:rPr>
                <w:color w:val="000000"/>
                <w:szCs w:val="18"/>
              </w:rPr>
              <w:t xml:space="preserve">The programme provides compensation to eligible veterans (including Australian merchant mariners) and members of the Defence Force or Peacekeeping Force for the tangible effects of war or defence service. Eligible persons receive disability pensions and ancillary benefits. </w:t>
            </w:r>
          </w:p>
        </w:tc>
      </w:tr>
      <w:tr w:rsidR="00724034" w14:paraId="607D47FD" w14:textId="77777777" w:rsidTr="003F0EEA">
        <w:tc>
          <w:tcPr>
            <w:tcW w:w="8080" w:type="dxa"/>
            <w:gridSpan w:val="9"/>
            <w:tcBorders>
              <w:top w:val="single" w:sz="4" w:space="0" w:color="auto"/>
              <w:left w:val="single" w:sz="4" w:space="0" w:color="auto"/>
              <w:bottom w:val="single" w:sz="4" w:space="0" w:color="auto"/>
              <w:right w:val="single" w:sz="4" w:space="0" w:color="auto"/>
            </w:tcBorders>
          </w:tcPr>
          <w:p w14:paraId="382FC8DC" w14:textId="77777777" w:rsidR="003F0EEA" w:rsidRDefault="00FB7D0B" w:rsidP="003F0EEA">
            <w:pPr>
              <w:pStyle w:val="TableTextLeft2"/>
              <w:rPr>
                <w:b/>
              </w:rPr>
            </w:pPr>
            <w:r>
              <w:rPr>
                <w:b/>
              </w:rPr>
              <w:t>Linked to:</w:t>
            </w:r>
          </w:p>
          <w:p w14:paraId="1C396250" w14:textId="77777777" w:rsidR="003F0EEA" w:rsidRDefault="00FB7D0B" w:rsidP="003F0EEA">
            <w:pPr>
              <w:pStyle w:val="TableTextLeft2"/>
              <w:rPr>
                <w:b/>
              </w:rPr>
            </w:pPr>
            <w:r w:rsidRPr="009448C2">
              <w:t>Department of Human Services Programme 1.1 – Services to the Community – Social Security and Welfare.</w:t>
            </w:r>
          </w:p>
        </w:tc>
      </w:tr>
      <w:tr w:rsidR="00724034" w14:paraId="41D7E4F1" w14:textId="77777777" w:rsidTr="003F0EEA">
        <w:tc>
          <w:tcPr>
            <w:tcW w:w="8080" w:type="dxa"/>
            <w:gridSpan w:val="9"/>
            <w:tcBorders>
              <w:top w:val="single" w:sz="4" w:space="0" w:color="auto"/>
              <w:left w:val="nil"/>
              <w:bottom w:val="single" w:sz="4" w:space="0" w:color="auto"/>
              <w:right w:val="nil"/>
            </w:tcBorders>
          </w:tcPr>
          <w:p w14:paraId="413FA634" w14:textId="77777777" w:rsidR="003F0EEA" w:rsidRDefault="003F0EEA" w:rsidP="003F0EEA">
            <w:pPr>
              <w:pStyle w:val="TableTextLeft2"/>
              <w:rPr>
                <w:b/>
              </w:rPr>
            </w:pPr>
          </w:p>
        </w:tc>
      </w:tr>
      <w:tr w:rsidR="00724034" w14:paraId="4A4E6BF1" w14:textId="77777777" w:rsidTr="003F0EEA">
        <w:trPr>
          <w:trHeight w:val="710"/>
        </w:trPr>
        <w:tc>
          <w:tcPr>
            <w:tcW w:w="8080" w:type="dxa"/>
            <w:gridSpan w:val="9"/>
            <w:tcBorders>
              <w:top w:val="single" w:sz="4" w:space="0" w:color="auto"/>
              <w:left w:val="single" w:sz="4" w:space="0" w:color="auto"/>
              <w:bottom w:val="single" w:sz="4" w:space="0" w:color="auto"/>
              <w:right w:val="single" w:sz="4" w:space="0" w:color="auto"/>
            </w:tcBorders>
          </w:tcPr>
          <w:p w14:paraId="1276D968" w14:textId="77777777" w:rsidR="003F0EEA" w:rsidRDefault="00FB7D0B" w:rsidP="003F0EEA">
            <w:pPr>
              <w:pStyle w:val="TableTextLeft20"/>
              <w:keepNext/>
              <w:rPr>
                <w:b/>
              </w:rPr>
            </w:pPr>
            <w:r>
              <w:rPr>
                <w:b/>
              </w:rPr>
              <w:t>Programme 1.2 expenses</w:t>
            </w:r>
          </w:p>
          <w:p w14:paraId="747F14D0" w14:textId="77777777" w:rsidR="003F0EEA" w:rsidRDefault="00FB7D0B" w:rsidP="003F0EEA">
            <w:pPr>
              <w:pStyle w:val="TableTextLeft2"/>
              <w:rPr>
                <w:b/>
              </w:rPr>
            </w:pPr>
            <w:r>
              <w:t xml:space="preserve">Numbers of disability pensioners are expected to reduce by approximately 5% per year over the forward years. </w:t>
            </w:r>
          </w:p>
        </w:tc>
      </w:tr>
      <w:tr w:rsidR="00724034" w14:paraId="28698B22" w14:textId="77777777">
        <w:tblPrEx>
          <w:tblLook w:val="04A0" w:firstRow="1" w:lastRow="0" w:firstColumn="1" w:lastColumn="0" w:noHBand="0" w:noVBand="1"/>
        </w:tblPrEx>
        <w:trPr>
          <w:gridAfter w:val="1"/>
          <w:wAfter w:w="10" w:type="dxa"/>
          <w:trHeight w:val="255"/>
        </w:trPr>
        <w:tc>
          <w:tcPr>
            <w:tcW w:w="0" w:type="auto"/>
            <w:tcBorders>
              <w:top w:val="single" w:sz="6" w:space="0" w:color="000000"/>
              <w:left w:val="single" w:sz="6" w:space="0" w:color="000000"/>
              <w:bottom w:val="nil"/>
              <w:right w:val="nil"/>
              <w:tl2br w:val="nil"/>
              <w:tr2bl w:val="nil"/>
            </w:tcBorders>
            <w:shd w:val="clear" w:color="auto" w:fill="FFFFFF"/>
            <w:tcMar>
              <w:left w:w="101" w:type="dxa"/>
              <w:right w:w="101" w:type="dxa"/>
            </w:tcMar>
            <w:vAlign w:val="bottom"/>
          </w:tcPr>
          <w:p w14:paraId="3D8FEA79" w14:textId="77777777" w:rsidR="003F0EEA" w:rsidRDefault="003F0EEA">
            <w:pPr>
              <w:rPr>
                <w:rFonts w:eastAsia="Times New Roman" w:cs="Times New Roman"/>
              </w:rPr>
            </w:pPr>
          </w:p>
        </w:tc>
        <w:tc>
          <w:tcPr>
            <w:tcW w:w="0" w:type="auto"/>
            <w:tcBorders>
              <w:top w:val="single" w:sz="6" w:space="0" w:color="000000"/>
              <w:left w:val="nil"/>
              <w:bottom w:val="nil"/>
              <w:right w:val="nil"/>
              <w:tl2br w:val="nil"/>
              <w:tr2bl w:val="nil"/>
            </w:tcBorders>
            <w:shd w:val="clear" w:color="auto" w:fill="FFFFFF"/>
            <w:tcMar>
              <w:left w:w="101" w:type="dxa"/>
              <w:right w:w="101" w:type="dxa"/>
            </w:tcMar>
            <w:vAlign w:val="bottom"/>
          </w:tcPr>
          <w:p w14:paraId="5522E957" w14:textId="77777777" w:rsidR="003F0EEA" w:rsidRDefault="003F0EEA">
            <w:pPr>
              <w:rPr>
                <w:rFonts w:ascii="Arial" w:eastAsia="Arial" w:hAnsi="Arial" w:cs="Arial"/>
                <w:color w:val="000000"/>
                <w:sz w:val="16"/>
              </w:rPr>
            </w:pPr>
          </w:p>
        </w:tc>
        <w:tc>
          <w:tcPr>
            <w:tcW w:w="0" w:type="auto"/>
            <w:tcBorders>
              <w:top w:val="single" w:sz="6" w:space="0" w:color="000000"/>
              <w:left w:val="nil"/>
              <w:bottom w:val="nil"/>
              <w:right w:val="nil"/>
              <w:tl2br w:val="nil"/>
              <w:tr2bl w:val="nil"/>
            </w:tcBorders>
            <w:shd w:val="clear" w:color="auto" w:fill="FFFFFF"/>
            <w:tcMar>
              <w:left w:w="101" w:type="dxa"/>
              <w:right w:w="101" w:type="dxa"/>
            </w:tcMar>
            <w:vAlign w:val="bottom"/>
          </w:tcPr>
          <w:p w14:paraId="375E9017" w14:textId="77777777" w:rsidR="003F0EEA" w:rsidRDefault="003F0EEA">
            <w:pPr>
              <w:jc w:val="center"/>
              <w:rPr>
                <w:rFonts w:ascii="Arial" w:eastAsia="Arial" w:hAnsi="Arial" w:cs="Arial"/>
                <w:color w:val="000000"/>
                <w:sz w:val="16"/>
              </w:rPr>
            </w:pPr>
          </w:p>
        </w:tc>
        <w:tc>
          <w:tcPr>
            <w:tcW w:w="0" w:type="auto"/>
            <w:tcBorders>
              <w:top w:val="single" w:sz="6" w:space="0" w:color="000000"/>
              <w:left w:val="nil"/>
              <w:bottom w:val="nil"/>
              <w:right w:val="nil"/>
              <w:tl2br w:val="nil"/>
              <w:tr2bl w:val="nil"/>
            </w:tcBorders>
            <w:shd w:val="clear" w:color="auto" w:fill="FFFFFF"/>
            <w:tcMar>
              <w:left w:w="101" w:type="dxa"/>
              <w:right w:w="101" w:type="dxa"/>
            </w:tcMar>
            <w:vAlign w:val="bottom"/>
          </w:tcPr>
          <w:p w14:paraId="41CA81E5" w14:textId="77777777" w:rsidR="003F0EEA" w:rsidRDefault="00FB7D0B">
            <w:pPr>
              <w:jc w:val="right"/>
              <w:rPr>
                <w:rFonts w:ascii="Arial" w:eastAsia="Arial" w:hAnsi="Arial" w:cs="Arial"/>
                <w:b/>
                <w:color w:val="000000"/>
                <w:sz w:val="16"/>
                <w:vertAlign w:val="superscript"/>
              </w:rPr>
            </w:pPr>
            <w:r>
              <w:rPr>
                <w:rFonts w:ascii="Arial" w:eastAsia="Arial" w:hAnsi="Arial" w:cs="Arial"/>
                <w:color w:val="000000"/>
                <w:sz w:val="16"/>
              </w:rPr>
              <w:t>2013-14</w:t>
            </w:r>
          </w:p>
        </w:tc>
        <w:tc>
          <w:tcPr>
            <w:tcW w:w="0" w:type="auto"/>
            <w:tcBorders>
              <w:top w:val="single" w:sz="6" w:space="0" w:color="000000"/>
              <w:left w:val="nil"/>
              <w:bottom w:val="nil"/>
              <w:right w:val="nil"/>
              <w:tl2br w:val="nil"/>
              <w:tr2bl w:val="nil"/>
            </w:tcBorders>
            <w:shd w:val="clear" w:color="auto" w:fill="FFFF00"/>
            <w:tcMar>
              <w:left w:w="101" w:type="dxa"/>
              <w:right w:w="101" w:type="dxa"/>
            </w:tcMar>
            <w:vAlign w:val="bottom"/>
          </w:tcPr>
          <w:p w14:paraId="10E6093C" w14:textId="77777777" w:rsidR="003F0EEA" w:rsidRDefault="00FB7D0B">
            <w:pPr>
              <w:jc w:val="right"/>
              <w:rPr>
                <w:rFonts w:ascii="Arial" w:eastAsia="Arial" w:hAnsi="Arial" w:cs="Arial"/>
                <w:color w:val="000000"/>
                <w:sz w:val="16"/>
              </w:rPr>
            </w:pPr>
            <w:r>
              <w:rPr>
                <w:rFonts w:ascii="Arial" w:eastAsia="Arial" w:hAnsi="Arial" w:cs="Arial"/>
                <w:color w:val="000000"/>
                <w:sz w:val="16"/>
              </w:rPr>
              <w:t>2014-15</w:t>
            </w:r>
          </w:p>
        </w:tc>
        <w:tc>
          <w:tcPr>
            <w:tcW w:w="0" w:type="auto"/>
            <w:tcBorders>
              <w:top w:val="single" w:sz="6" w:space="0" w:color="000000"/>
              <w:left w:val="nil"/>
              <w:bottom w:val="nil"/>
              <w:right w:val="nil"/>
              <w:tl2br w:val="nil"/>
              <w:tr2bl w:val="nil"/>
            </w:tcBorders>
            <w:shd w:val="clear" w:color="auto" w:fill="FFFFFF"/>
            <w:tcMar>
              <w:left w:w="101" w:type="dxa"/>
              <w:right w:w="101" w:type="dxa"/>
            </w:tcMar>
            <w:vAlign w:val="bottom"/>
          </w:tcPr>
          <w:p w14:paraId="63FCEA82" w14:textId="77777777" w:rsidR="003F0EEA" w:rsidRDefault="00FB7D0B">
            <w:pPr>
              <w:jc w:val="right"/>
              <w:rPr>
                <w:rFonts w:ascii="Arial" w:eastAsia="Arial" w:hAnsi="Arial" w:cs="Arial"/>
                <w:color w:val="000000"/>
                <w:sz w:val="16"/>
              </w:rPr>
            </w:pPr>
            <w:r>
              <w:rPr>
                <w:rFonts w:ascii="Arial" w:eastAsia="Arial" w:hAnsi="Arial" w:cs="Arial"/>
                <w:color w:val="000000"/>
                <w:sz w:val="16"/>
              </w:rPr>
              <w:t>2015-16</w:t>
            </w:r>
          </w:p>
        </w:tc>
        <w:tc>
          <w:tcPr>
            <w:tcW w:w="0" w:type="auto"/>
            <w:tcBorders>
              <w:top w:val="single" w:sz="6" w:space="0" w:color="000000"/>
              <w:left w:val="nil"/>
              <w:bottom w:val="nil"/>
              <w:right w:val="nil"/>
              <w:tl2br w:val="nil"/>
              <w:tr2bl w:val="nil"/>
            </w:tcBorders>
            <w:shd w:val="clear" w:color="auto" w:fill="FFFFFF"/>
            <w:tcMar>
              <w:left w:w="101" w:type="dxa"/>
              <w:right w:w="101" w:type="dxa"/>
            </w:tcMar>
            <w:vAlign w:val="bottom"/>
          </w:tcPr>
          <w:p w14:paraId="78BD6167" w14:textId="77777777" w:rsidR="003F0EEA" w:rsidRDefault="00FB7D0B">
            <w:pPr>
              <w:jc w:val="right"/>
              <w:rPr>
                <w:rFonts w:ascii="Arial" w:eastAsia="Arial" w:hAnsi="Arial" w:cs="Arial"/>
                <w:color w:val="000000"/>
                <w:sz w:val="16"/>
              </w:rPr>
            </w:pPr>
            <w:r>
              <w:rPr>
                <w:rFonts w:ascii="Arial" w:eastAsia="Arial" w:hAnsi="Arial" w:cs="Arial"/>
                <w:color w:val="000000"/>
                <w:sz w:val="16"/>
              </w:rPr>
              <w:t>2016-17</w:t>
            </w:r>
          </w:p>
        </w:tc>
        <w:tc>
          <w:tcPr>
            <w:tcW w:w="0" w:type="auto"/>
            <w:tcBorders>
              <w:top w:val="single" w:sz="6" w:space="0" w:color="000000"/>
              <w:left w:val="nil"/>
              <w:bottom w:val="nil"/>
              <w:right w:val="single" w:sz="6" w:space="0" w:color="000000"/>
              <w:tl2br w:val="nil"/>
              <w:tr2bl w:val="nil"/>
            </w:tcBorders>
            <w:shd w:val="clear" w:color="auto" w:fill="FFFFFF"/>
            <w:tcMar>
              <w:left w:w="101" w:type="dxa"/>
              <w:right w:w="101" w:type="dxa"/>
            </w:tcMar>
            <w:vAlign w:val="bottom"/>
          </w:tcPr>
          <w:p w14:paraId="144EA701" w14:textId="77777777" w:rsidR="003F0EEA" w:rsidRDefault="00FB7D0B">
            <w:pPr>
              <w:jc w:val="right"/>
              <w:rPr>
                <w:rFonts w:ascii="Arial" w:eastAsia="Arial" w:hAnsi="Arial" w:cs="Arial"/>
                <w:color w:val="000000"/>
                <w:sz w:val="16"/>
              </w:rPr>
            </w:pPr>
            <w:r>
              <w:rPr>
                <w:rFonts w:ascii="Arial" w:eastAsia="Arial" w:hAnsi="Arial" w:cs="Arial"/>
                <w:color w:val="000000"/>
                <w:sz w:val="16"/>
              </w:rPr>
              <w:t>2017-18</w:t>
            </w:r>
          </w:p>
        </w:tc>
      </w:tr>
      <w:tr w:rsidR="00724034" w14:paraId="4D9AF4A7" w14:textId="77777777">
        <w:tblPrEx>
          <w:tblLook w:val="04A0" w:firstRow="1" w:lastRow="0" w:firstColumn="1" w:lastColumn="0" w:noHBand="0" w:noVBand="1"/>
        </w:tblPrEx>
        <w:trPr>
          <w:gridAfter w:val="1"/>
          <w:wAfter w:w="10" w:type="dxa"/>
          <w:trHeight w:val="255"/>
        </w:trPr>
        <w:tc>
          <w:tcPr>
            <w:tcW w:w="0" w:type="auto"/>
            <w:tcBorders>
              <w:top w:val="nil"/>
              <w:left w:val="single" w:sz="6" w:space="0" w:color="000000"/>
              <w:bottom w:val="nil"/>
              <w:right w:val="nil"/>
              <w:tl2br w:val="nil"/>
              <w:tr2bl w:val="nil"/>
            </w:tcBorders>
            <w:shd w:val="clear" w:color="auto" w:fill="FFFFFF"/>
            <w:tcMar>
              <w:left w:w="101" w:type="dxa"/>
              <w:right w:w="101" w:type="dxa"/>
            </w:tcMar>
            <w:vAlign w:val="bottom"/>
          </w:tcPr>
          <w:p w14:paraId="740B72E9" w14:textId="77777777" w:rsidR="003F0EEA" w:rsidRDefault="003F0EEA">
            <w:pPr>
              <w:rPr>
                <w:rFonts w:ascii="Arial" w:eastAsia="Arial" w:hAnsi="Arial" w:cs="Arial"/>
                <w:color w:val="000000"/>
                <w:sz w:val="16"/>
              </w:rPr>
            </w:pPr>
          </w:p>
        </w:tc>
        <w:tc>
          <w:tcPr>
            <w:tcW w:w="0" w:type="auto"/>
            <w:tcBorders>
              <w:top w:val="nil"/>
              <w:left w:val="nil"/>
              <w:bottom w:val="nil"/>
              <w:right w:val="nil"/>
              <w:tl2br w:val="nil"/>
              <w:tr2bl w:val="nil"/>
            </w:tcBorders>
            <w:shd w:val="clear" w:color="auto" w:fill="FFFFFF"/>
            <w:tcMar>
              <w:left w:w="101" w:type="dxa"/>
              <w:right w:w="101" w:type="dxa"/>
            </w:tcMar>
            <w:vAlign w:val="bottom"/>
          </w:tcPr>
          <w:p w14:paraId="7644537F" w14:textId="77777777" w:rsidR="003F0EEA" w:rsidRDefault="003F0EEA">
            <w:pPr>
              <w:rPr>
                <w:rFonts w:ascii="Arial" w:eastAsia="Arial" w:hAnsi="Arial" w:cs="Arial"/>
                <w:color w:val="000000"/>
                <w:sz w:val="16"/>
              </w:rPr>
            </w:pPr>
          </w:p>
        </w:tc>
        <w:tc>
          <w:tcPr>
            <w:tcW w:w="0" w:type="auto"/>
            <w:tcBorders>
              <w:top w:val="nil"/>
              <w:left w:val="nil"/>
              <w:bottom w:val="nil"/>
              <w:right w:val="nil"/>
              <w:tl2br w:val="nil"/>
              <w:tr2bl w:val="nil"/>
            </w:tcBorders>
            <w:shd w:val="clear" w:color="auto" w:fill="FFFFFF"/>
            <w:tcMar>
              <w:left w:w="101" w:type="dxa"/>
              <w:right w:w="101" w:type="dxa"/>
            </w:tcMar>
            <w:vAlign w:val="bottom"/>
          </w:tcPr>
          <w:p w14:paraId="36441CE8" w14:textId="77777777" w:rsidR="003F0EEA" w:rsidRDefault="003F0EEA">
            <w:pPr>
              <w:rPr>
                <w:rFonts w:ascii="Arial" w:eastAsia="Arial" w:hAnsi="Arial" w:cs="Arial"/>
                <w:color w:val="000000"/>
                <w:sz w:val="16"/>
              </w:rPr>
            </w:pPr>
          </w:p>
        </w:tc>
        <w:tc>
          <w:tcPr>
            <w:tcW w:w="0" w:type="auto"/>
            <w:tcBorders>
              <w:top w:val="nil"/>
              <w:left w:val="nil"/>
              <w:bottom w:val="nil"/>
              <w:right w:val="nil"/>
              <w:tl2br w:val="nil"/>
              <w:tr2bl w:val="nil"/>
            </w:tcBorders>
            <w:shd w:val="clear" w:color="auto" w:fill="FFFFFF"/>
            <w:tcMar>
              <w:left w:w="101" w:type="dxa"/>
              <w:right w:w="101" w:type="dxa"/>
            </w:tcMar>
            <w:vAlign w:val="bottom"/>
          </w:tcPr>
          <w:p w14:paraId="6E15CE2A" w14:textId="77777777" w:rsidR="003F0EEA" w:rsidRDefault="00FB7D0B">
            <w:pPr>
              <w:jc w:val="right"/>
              <w:rPr>
                <w:rFonts w:ascii="Arial" w:eastAsia="Arial" w:hAnsi="Arial" w:cs="Arial"/>
                <w:color w:val="000000"/>
                <w:sz w:val="16"/>
                <w:vertAlign w:val="superscript"/>
              </w:rPr>
            </w:pPr>
            <w:r>
              <w:rPr>
                <w:rFonts w:ascii="Arial" w:eastAsia="Arial" w:hAnsi="Arial" w:cs="Arial"/>
                <w:color w:val="000000"/>
                <w:sz w:val="16"/>
              </w:rPr>
              <w:t>Revised</w:t>
            </w:r>
          </w:p>
        </w:tc>
        <w:tc>
          <w:tcPr>
            <w:tcW w:w="0" w:type="auto"/>
            <w:tcBorders>
              <w:top w:val="nil"/>
              <w:left w:val="nil"/>
              <w:bottom w:val="nil"/>
              <w:right w:val="nil"/>
              <w:tl2br w:val="nil"/>
              <w:tr2bl w:val="nil"/>
            </w:tcBorders>
            <w:shd w:val="clear" w:color="auto" w:fill="FFFF00"/>
            <w:tcMar>
              <w:left w:w="101" w:type="dxa"/>
              <w:right w:w="101" w:type="dxa"/>
            </w:tcMar>
            <w:vAlign w:val="bottom"/>
          </w:tcPr>
          <w:p w14:paraId="559311F3" w14:textId="77777777" w:rsidR="003F0EEA" w:rsidRDefault="00FB7D0B">
            <w:pPr>
              <w:jc w:val="right"/>
              <w:rPr>
                <w:rFonts w:ascii="Arial" w:eastAsia="Arial" w:hAnsi="Arial" w:cs="Arial"/>
                <w:color w:val="000000"/>
                <w:sz w:val="16"/>
              </w:rPr>
            </w:pPr>
            <w:r>
              <w:rPr>
                <w:rFonts w:ascii="Arial" w:eastAsia="Arial" w:hAnsi="Arial" w:cs="Arial"/>
                <w:color w:val="000000"/>
                <w:sz w:val="16"/>
              </w:rPr>
              <w:t>Budget</w:t>
            </w:r>
          </w:p>
        </w:tc>
        <w:tc>
          <w:tcPr>
            <w:tcW w:w="0" w:type="auto"/>
            <w:tcBorders>
              <w:top w:val="nil"/>
              <w:left w:val="nil"/>
              <w:bottom w:val="nil"/>
              <w:right w:val="nil"/>
              <w:tl2br w:val="nil"/>
              <w:tr2bl w:val="nil"/>
            </w:tcBorders>
            <w:shd w:val="clear" w:color="auto" w:fill="FFFFFF"/>
            <w:tcMar>
              <w:left w:w="101" w:type="dxa"/>
              <w:right w:w="101" w:type="dxa"/>
            </w:tcMar>
            <w:vAlign w:val="bottom"/>
          </w:tcPr>
          <w:p w14:paraId="06247850" w14:textId="77777777" w:rsidR="003F0EEA" w:rsidRDefault="00FB7D0B">
            <w:pPr>
              <w:jc w:val="right"/>
              <w:rPr>
                <w:rFonts w:ascii="Arial" w:eastAsia="Arial" w:hAnsi="Arial" w:cs="Arial"/>
                <w:color w:val="000000"/>
                <w:sz w:val="16"/>
              </w:rPr>
            </w:pPr>
            <w:r>
              <w:rPr>
                <w:rFonts w:ascii="Arial" w:eastAsia="Arial" w:hAnsi="Arial" w:cs="Arial"/>
                <w:color w:val="000000"/>
                <w:sz w:val="16"/>
              </w:rPr>
              <w:t>Forward</w:t>
            </w:r>
          </w:p>
        </w:tc>
        <w:tc>
          <w:tcPr>
            <w:tcW w:w="0" w:type="auto"/>
            <w:tcBorders>
              <w:top w:val="nil"/>
              <w:left w:val="nil"/>
              <w:bottom w:val="nil"/>
              <w:right w:val="nil"/>
              <w:tl2br w:val="nil"/>
              <w:tr2bl w:val="nil"/>
            </w:tcBorders>
            <w:shd w:val="clear" w:color="auto" w:fill="FFFFFF"/>
            <w:tcMar>
              <w:left w:w="101" w:type="dxa"/>
              <w:right w:w="101" w:type="dxa"/>
            </w:tcMar>
            <w:vAlign w:val="bottom"/>
          </w:tcPr>
          <w:p w14:paraId="40285128" w14:textId="77777777" w:rsidR="003F0EEA" w:rsidRDefault="00FB7D0B">
            <w:pPr>
              <w:jc w:val="right"/>
              <w:rPr>
                <w:rFonts w:ascii="Arial" w:eastAsia="Arial" w:hAnsi="Arial" w:cs="Arial"/>
                <w:color w:val="000000"/>
                <w:sz w:val="16"/>
              </w:rPr>
            </w:pPr>
            <w:r>
              <w:rPr>
                <w:rFonts w:ascii="Arial" w:eastAsia="Arial" w:hAnsi="Arial" w:cs="Arial"/>
                <w:color w:val="000000"/>
                <w:sz w:val="16"/>
              </w:rPr>
              <w:t>Forward</w:t>
            </w:r>
          </w:p>
        </w:tc>
        <w:tc>
          <w:tcPr>
            <w:tcW w:w="0" w:type="auto"/>
            <w:tcBorders>
              <w:top w:val="nil"/>
              <w:left w:val="nil"/>
              <w:bottom w:val="nil"/>
              <w:right w:val="single" w:sz="6" w:space="0" w:color="000000"/>
              <w:tl2br w:val="nil"/>
              <w:tr2bl w:val="nil"/>
            </w:tcBorders>
            <w:shd w:val="clear" w:color="auto" w:fill="FFFFFF"/>
            <w:tcMar>
              <w:left w:w="101" w:type="dxa"/>
              <w:right w:w="101" w:type="dxa"/>
            </w:tcMar>
            <w:vAlign w:val="bottom"/>
          </w:tcPr>
          <w:p w14:paraId="65BE38EE" w14:textId="77777777" w:rsidR="003F0EEA" w:rsidRDefault="00FB7D0B">
            <w:pPr>
              <w:jc w:val="right"/>
              <w:rPr>
                <w:rFonts w:ascii="Arial" w:eastAsia="Arial" w:hAnsi="Arial" w:cs="Arial"/>
                <w:color w:val="000000"/>
                <w:sz w:val="16"/>
              </w:rPr>
            </w:pPr>
            <w:r>
              <w:rPr>
                <w:rFonts w:ascii="Arial" w:eastAsia="Arial" w:hAnsi="Arial" w:cs="Arial"/>
                <w:color w:val="000000"/>
                <w:sz w:val="16"/>
              </w:rPr>
              <w:t>Forward</w:t>
            </w:r>
          </w:p>
        </w:tc>
      </w:tr>
      <w:tr w:rsidR="00FB7D0B" w14:paraId="4B52DAEF" w14:textId="77777777" w:rsidTr="00FB7D0B">
        <w:tblPrEx>
          <w:tblLook w:val="04A0" w:firstRow="1" w:lastRow="0" w:firstColumn="1" w:lastColumn="0" w:noHBand="0" w:noVBand="1"/>
        </w:tblPrEx>
        <w:trPr>
          <w:gridAfter w:val="1"/>
          <w:wAfter w:w="10" w:type="dxa"/>
          <w:trHeight w:val="255"/>
        </w:trPr>
        <w:tc>
          <w:tcPr>
            <w:tcW w:w="0" w:type="auto"/>
            <w:gridSpan w:val="3"/>
            <w:tcBorders>
              <w:top w:val="nil"/>
              <w:left w:val="single" w:sz="6" w:space="0" w:color="000000"/>
              <w:bottom w:val="single" w:sz="6" w:space="0" w:color="000000"/>
              <w:right w:val="nil"/>
              <w:tl2br w:val="nil"/>
              <w:tr2bl w:val="nil"/>
            </w:tcBorders>
            <w:shd w:val="clear" w:color="auto" w:fill="FFFFFF"/>
            <w:tcMar>
              <w:left w:w="101" w:type="dxa"/>
              <w:right w:w="101" w:type="dxa"/>
            </w:tcMar>
            <w:vAlign w:val="bottom"/>
          </w:tcPr>
          <w:p w14:paraId="4CA87D9D" w14:textId="77777777" w:rsidR="003F0EEA" w:rsidRDefault="00FB7D0B">
            <w:pPr>
              <w:rPr>
                <w:rFonts w:ascii="Arial" w:eastAsia="Arial" w:hAnsi="Arial" w:cs="Arial"/>
                <w:color w:val="000000"/>
                <w:sz w:val="16"/>
              </w:rPr>
            </w:pPr>
            <w:r>
              <w:rPr>
                <w:rFonts w:ascii="Arial" w:eastAsia="Arial" w:hAnsi="Arial" w:cs="Arial"/>
                <w:color w:val="000000"/>
                <w:sz w:val="16"/>
              </w:rPr>
              <w:t>$('000)</w:t>
            </w:r>
          </w:p>
        </w:tc>
        <w:tc>
          <w:tcPr>
            <w:tcW w:w="0" w:type="auto"/>
            <w:tcBorders>
              <w:top w:val="nil"/>
              <w:left w:val="nil"/>
              <w:bottom w:val="single" w:sz="6" w:space="0" w:color="000000"/>
              <w:right w:val="nil"/>
              <w:tl2br w:val="nil"/>
              <w:tr2bl w:val="nil"/>
            </w:tcBorders>
            <w:shd w:val="clear" w:color="auto" w:fill="FFFFFF"/>
            <w:tcMar>
              <w:left w:w="101" w:type="dxa"/>
              <w:right w:w="101" w:type="dxa"/>
            </w:tcMar>
            <w:vAlign w:val="bottom"/>
          </w:tcPr>
          <w:p w14:paraId="76E7CCCB" w14:textId="77777777" w:rsidR="003F0EEA" w:rsidRDefault="00FB7D0B">
            <w:pPr>
              <w:jc w:val="right"/>
              <w:rPr>
                <w:rFonts w:ascii="Arial" w:eastAsia="Arial" w:hAnsi="Arial" w:cs="Arial"/>
                <w:color w:val="000000"/>
                <w:sz w:val="16"/>
                <w:vertAlign w:val="superscript"/>
              </w:rPr>
            </w:pPr>
            <w:r>
              <w:rPr>
                <w:rFonts w:ascii="Arial" w:eastAsia="Arial" w:hAnsi="Arial" w:cs="Arial"/>
                <w:color w:val="000000"/>
                <w:sz w:val="16"/>
              </w:rPr>
              <w:t>budget</w:t>
            </w:r>
          </w:p>
        </w:tc>
        <w:tc>
          <w:tcPr>
            <w:tcW w:w="0" w:type="auto"/>
            <w:tcBorders>
              <w:top w:val="nil"/>
              <w:left w:val="nil"/>
              <w:bottom w:val="single" w:sz="6" w:space="0" w:color="000000"/>
              <w:right w:val="nil"/>
              <w:tl2br w:val="nil"/>
              <w:tr2bl w:val="nil"/>
            </w:tcBorders>
            <w:shd w:val="clear" w:color="auto" w:fill="FFFF00"/>
            <w:tcMar>
              <w:left w:w="101" w:type="dxa"/>
              <w:right w:w="101" w:type="dxa"/>
            </w:tcMar>
            <w:vAlign w:val="bottom"/>
          </w:tcPr>
          <w:p w14:paraId="35A88301" w14:textId="77777777" w:rsidR="003F0EEA" w:rsidRDefault="003F0EEA">
            <w:pPr>
              <w:jc w:val="right"/>
              <w:rPr>
                <w:rFonts w:ascii="Arial" w:eastAsia="Arial" w:hAnsi="Arial" w:cs="Arial"/>
                <w:color w:val="000000"/>
                <w:sz w:val="16"/>
              </w:rPr>
            </w:pPr>
          </w:p>
        </w:tc>
        <w:tc>
          <w:tcPr>
            <w:tcW w:w="0" w:type="auto"/>
            <w:tcBorders>
              <w:top w:val="nil"/>
              <w:left w:val="nil"/>
              <w:bottom w:val="single" w:sz="6" w:space="0" w:color="000000"/>
              <w:right w:val="nil"/>
              <w:tl2br w:val="nil"/>
              <w:tr2bl w:val="nil"/>
            </w:tcBorders>
            <w:shd w:val="clear" w:color="auto" w:fill="FFFFFF"/>
            <w:tcMar>
              <w:left w:w="101" w:type="dxa"/>
              <w:right w:w="101" w:type="dxa"/>
            </w:tcMar>
            <w:vAlign w:val="bottom"/>
          </w:tcPr>
          <w:p w14:paraId="1CB68F90" w14:textId="77777777" w:rsidR="003F0EEA" w:rsidRDefault="00FB7D0B">
            <w:pPr>
              <w:jc w:val="right"/>
              <w:rPr>
                <w:rFonts w:ascii="Arial" w:eastAsia="Arial" w:hAnsi="Arial" w:cs="Arial"/>
                <w:color w:val="000000"/>
                <w:sz w:val="16"/>
              </w:rPr>
            </w:pPr>
            <w:r>
              <w:rPr>
                <w:rFonts w:ascii="Arial" w:eastAsia="Arial" w:hAnsi="Arial" w:cs="Arial"/>
                <w:color w:val="000000"/>
                <w:sz w:val="16"/>
              </w:rPr>
              <w:t>year 1</w:t>
            </w:r>
          </w:p>
        </w:tc>
        <w:tc>
          <w:tcPr>
            <w:tcW w:w="0" w:type="auto"/>
            <w:tcBorders>
              <w:top w:val="nil"/>
              <w:left w:val="nil"/>
              <w:bottom w:val="single" w:sz="6" w:space="0" w:color="000000"/>
              <w:right w:val="nil"/>
              <w:tl2br w:val="nil"/>
              <w:tr2bl w:val="nil"/>
            </w:tcBorders>
            <w:shd w:val="clear" w:color="auto" w:fill="FFFFFF"/>
            <w:tcMar>
              <w:left w:w="101" w:type="dxa"/>
              <w:right w:w="101" w:type="dxa"/>
            </w:tcMar>
            <w:vAlign w:val="bottom"/>
          </w:tcPr>
          <w:p w14:paraId="22AE44C1" w14:textId="77777777" w:rsidR="003F0EEA" w:rsidRDefault="00FB7D0B">
            <w:pPr>
              <w:jc w:val="right"/>
              <w:rPr>
                <w:rFonts w:ascii="Arial" w:eastAsia="Arial" w:hAnsi="Arial" w:cs="Arial"/>
                <w:color w:val="000000"/>
                <w:sz w:val="16"/>
              </w:rPr>
            </w:pPr>
            <w:r>
              <w:rPr>
                <w:rFonts w:ascii="Arial" w:eastAsia="Arial" w:hAnsi="Arial" w:cs="Arial"/>
                <w:color w:val="000000"/>
                <w:sz w:val="16"/>
              </w:rPr>
              <w:t>year 2</w:t>
            </w:r>
          </w:p>
        </w:tc>
        <w:tc>
          <w:tcPr>
            <w:tcW w:w="0" w:type="auto"/>
            <w:tcBorders>
              <w:top w:val="nil"/>
              <w:left w:val="nil"/>
              <w:bottom w:val="single" w:sz="6" w:space="0" w:color="000000"/>
              <w:right w:val="single" w:sz="6" w:space="0" w:color="000000"/>
              <w:tl2br w:val="nil"/>
              <w:tr2bl w:val="nil"/>
            </w:tcBorders>
            <w:shd w:val="clear" w:color="auto" w:fill="FFFFFF"/>
            <w:tcMar>
              <w:left w:w="101" w:type="dxa"/>
              <w:right w:w="101" w:type="dxa"/>
            </w:tcMar>
            <w:vAlign w:val="bottom"/>
          </w:tcPr>
          <w:p w14:paraId="129077DB" w14:textId="77777777" w:rsidR="003F0EEA" w:rsidRDefault="00FB7D0B">
            <w:pPr>
              <w:jc w:val="right"/>
              <w:rPr>
                <w:rFonts w:ascii="Arial" w:eastAsia="Arial" w:hAnsi="Arial" w:cs="Arial"/>
                <w:color w:val="000000"/>
                <w:sz w:val="16"/>
              </w:rPr>
            </w:pPr>
            <w:r>
              <w:rPr>
                <w:rFonts w:ascii="Arial" w:eastAsia="Arial" w:hAnsi="Arial" w:cs="Arial"/>
                <w:color w:val="000000"/>
                <w:sz w:val="16"/>
              </w:rPr>
              <w:t>year 3</w:t>
            </w:r>
          </w:p>
        </w:tc>
      </w:tr>
      <w:tr w:rsidR="00FB7D0B" w14:paraId="4978348A" w14:textId="77777777" w:rsidTr="00FB7D0B">
        <w:tblPrEx>
          <w:tblLook w:val="04A0" w:firstRow="1" w:lastRow="0" w:firstColumn="1" w:lastColumn="0" w:noHBand="0" w:noVBand="1"/>
        </w:tblPrEx>
        <w:trPr>
          <w:gridAfter w:val="1"/>
          <w:wAfter w:w="10" w:type="dxa"/>
          <w:trHeight w:val="255"/>
        </w:trPr>
        <w:tc>
          <w:tcPr>
            <w:tcW w:w="0" w:type="auto"/>
            <w:gridSpan w:val="3"/>
            <w:tcBorders>
              <w:top w:val="single" w:sz="6" w:space="0" w:color="000000"/>
              <w:left w:val="single" w:sz="6" w:space="0" w:color="000000"/>
              <w:bottom w:val="nil"/>
              <w:right w:val="nil"/>
              <w:tl2br w:val="nil"/>
              <w:tr2bl w:val="nil"/>
            </w:tcBorders>
            <w:shd w:val="clear" w:color="auto" w:fill="FFFFFF"/>
            <w:tcMar>
              <w:left w:w="101" w:type="dxa"/>
              <w:right w:w="101" w:type="dxa"/>
            </w:tcMar>
            <w:vAlign w:val="bottom"/>
          </w:tcPr>
          <w:p w14:paraId="44A5DC83" w14:textId="77777777" w:rsidR="003F0EEA" w:rsidRDefault="00FB7D0B">
            <w:pPr>
              <w:rPr>
                <w:rFonts w:ascii="Arial" w:eastAsia="Arial" w:hAnsi="Arial" w:cs="Arial"/>
                <w:color w:val="000000"/>
                <w:sz w:val="16"/>
              </w:rPr>
            </w:pPr>
            <w:r>
              <w:rPr>
                <w:rFonts w:ascii="Arial" w:eastAsia="Arial" w:hAnsi="Arial" w:cs="Arial"/>
                <w:color w:val="000000"/>
                <w:sz w:val="16"/>
              </w:rPr>
              <w:t>Annual Administered Expenses:</w:t>
            </w:r>
          </w:p>
        </w:tc>
        <w:tc>
          <w:tcPr>
            <w:tcW w:w="0" w:type="auto"/>
            <w:tcBorders>
              <w:top w:val="single" w:sz="6" w:space="0" w:color="000000"/>
              <w:left w:val="nil"/>
              <w:bottom w:val="single" w:sz="6" w:space="0" w:color="FFFFFF"/>
              <w:right w:val="nil"/>
              <w:tl2br w:val="nil"/>
              <w:tr2bl w:val="nil"/>
            </w:tcBorders>
            <w:shd w:val="clear" w:color="auto" w:fill="FFFFFF"/>
            <w:tcMar>
              <w:left w:w="101" w:type="dxa"/>
              <w:right w:w="101" w:type="dxa"/>
            </w:tcMar>
            <w:vAlign w:val="bottom"/>
          </w:tcPr>
          <w:p w14:paraId="2A0977B1" w14:textId="77777777" w:rsidR="003F0EEA" w:rsidRDefault="003F0EEA">
            <w:pPr>
              <w:rPr>
                <w:rFonts w:ascii="Arial" w:eastAsia="Arial" w:hAnsi="Arial" w:cs="Arial"/>
                <w:color w:val="000000"/>
                <w:sz w:val="16"/>
                <w:vertAlign w:val="superscript"/>
              </w:rPr>
            </w:pPr>
          </w:p>
        </w:tc>
        <w:tc>
          <w:tcPr>
            <w:tcW w:w="0" w:type="auto"/>
            <w:tcBorders>
              <w:top w:val="single" w:sz="6" w:space="0" w:color="000000"/>
              <w:left w:val="nil"/>
              <w:bottom w:val="nil"/>
              <w:right w:val="nil"/>
              <w:tl2br w:val="nil"/>
              <w:tr2bl w:val="nil"/>
            </w:tcBorders>
            <w:shd w:val="clear" w:color="auto" w:fill="FFFF00"/>
            <w:tcMar>
              <w:left w:w="101" w:type="dxa"/>
              <w:right w:w="101" w:type="dxa"/>
            </w:tcMar>
            <w:vAlign w:val="bottom"/>
          </w:tcPr>
          <w:p w14:paraId="48417C92" w14:textId="77777777" w:rsidR="003F0EEA" w:rsidRDefault="003F0EEA">
            <w:pPr>
              <w:jc w:val="right"/>
              <w:rPr>
                <w:rFonts w:ascii="Arial" w:eastAsia="Arial" w:hAnsi="Arial" w:cs="Arial"/>
                <w:color w:val="000000"/>
                <w:sz w:val="16"/>
                <w:vertAlign w:val="superscript"/>
              </w:rPr>
            </w:pPr>
          </w:p>
        </w:tc>
        <w:tc>
          <w:tcPr>
            <w:tcW w:w="0" w:type="auto"/>
            <w:tcBorders>
              <w:top w:val="single" w:sz="6" w:space="0" w:color="000000"/>
              <w:left w:val="nil"/>
              <w:bottom w:val="single" w:sz="6" w:space="0" w:color="FFFFFF"/>
              <w:right w:val="nil"/>
              <w:tl2br w:val="nil"/>
              <w:tr2bl w:val="nil"/>
            </w:tcBorders>
            <w:shd w:val="clear" w:color="auto" w:fill="FFFFFF"/>
            <w:tcMar>
              <w:left w:w="101" w:type="dxa"/>
              <w:right w:w="101" w:type="dxa"/>
            </w:tcMar>
            <w:vAlign w:val="bottom"/>
          </w:tcPr>
          <w:p w14:paraId="1354BA85" w14:textId="77777777" w:rsidR="003F0EEA" w:rsidRDefault="003F0EEA">
            <w:pPr>
              <w:jc w:val="right"/>
              <w:rPr>
                <w:rFonts w:ascii="Arial" w:eastAsia="Arial" w:hAnsi="Arial" w:cs="Arial"/>
                <w:color w:val="000000"/>
                <w:sz w:val="16"/>
                <w:vertAlign w:val="superscript"/>
              </w:rPr>
            </w:pPr>
          </w:p>
        </w:tc>
        <w:tc>
          <w:tcPr>
            <w:tcW w:w="0" w:type="auto"/>
            <w:tcBorders>
              <w:top w:val="single" w:sz="6" w:space="0" w:color="000000"/>
              <w:left w:val="nil"/>
              <w:bottom w:val="single" w:sz="6" w:space="0" w:color="FFFFFF"/>
              <w:right w:val="nil"/>
              <w:tl2br w:val="nil"/>
              <w:tr2bl w:val="nil"/>
            </w:tcBorders>
            <w:shd w:val="clear" w:color="auto" w:fill="FFFFFF"/>
            <w:tcMar>
              <w:left w:w="101" w:type="dxa"/>
              <w:right w:w="101" w:type="dxa"/>
            </w:tcMar>
            <w:vAlign w:val="bottom"/>
          </w:tcPr>
          <w:p w14:paraId="34842CC0" w14:textId="77777777" w:rsidR="003F0EEA" w:rsidRDefault="003F0EEA">
            <w:pPr>
              <w:jc w:val="right"/>
              <w:rPr>
                <w:rFonts w:ascii="Arial" w:eastAsia="Arial" w:hAnsi="Arial" w:cs="Arial"/>
                <w:color w:val="000000"/>
                <w:sz w:val="16"/>
                <w:vertAlign w:val="superscript"/>
              </w:rPr>
            </w:pPr>
          </w:p>
        </w:tc>
        <w:tc>
          <w:tcPr>
            <w:tcW w:w="0" w:type="auto"/>
            <w:tcBorders>
              <w:top w:val="single" w:sz="6" w:space="0" w:color="000000"/>
              <w:left w:val="nil"/>
              <w:bottom w:val="single" w:sz="6" w:space="0" w:color="FFFFFF"/>
              <w:right w:val="single" w:sz="6" w:space="0" w:color="000000"/>
              <w:tl2br w:val="nil"/>
              <w:tr2bl w:val="nil"/>
            </w:tcBorders>
            <w:shd w:val="clear" w:color="auto" w:fill="FFFFFF"/>
            <w:tcMar>
              <w:left w:w="101" w:type="dxa"/>
              <w:right w:w="101" w:type="dxa"/>
            </w:tcMar>
            <w:vAlign w:val="bottom"/>
          </w:tcPr>
          <w:p w14:paraId="4DB59093" w14:textId="77777777" w:rsidR="003F0EEA" w:rsidRDefault="003F0EEA">
            <w:pPr>
              <w:jc w:val="right"/>
              <w:rPr>
                <w:rFonts w:ascii="Arial" w:eastAsia="Arial" w:hAnsi="Arial" w:cs="Arial"/>
                <w:color w:val="000000"/>
                <w:sz w:val="16"/>
                <w:vertAlign w:val="superscript"/>
              </w:rPr>
            </w:pPr>
          </w:p>
        </w:tc>
      </w:tr>
      <w:tr w:rsidR="00FB7D0B" w14:paraId="5CB38B85" w14:textId="77777777" w:rsidTr="00FB7D0B">
        <w:tblPrEx>
          <w:tblLook w:val="04A0" w:firstRow="1" w:lastRow="0" w:firstColumn="1" w:lastColumn="0" w:noHBand="0" w:noVBand="1"/>
        </w:tblPrEx>
        <w:trPr>
          <w:gridAfter w:val="1"/>
          <w:wAfter w:w="10" w:type="dxa"/>
          <w:trHeight w:val="225"/>
        </w:trPr>
        <w:tc>
          <w:tcPr>
            <w:tcW w:w="0" w:type="auto"/>
            <w:tcBorders>
              <w:top w:val="single" w:sz="6" w:space="0" w:color="FFFFFF"/>
              <w:left w:val="single" w:sz="6" w:space="0" w:color="000000"/>
              <w:bottom w:val="nil"/>
              <w:right w:val="nil"/>
              <w:tl2br w:val="nil"/>
              <w:tr2bl w:val="nil"/>
            </w:tcBorders>
            <w:shd w:val="clear" w:color="auto" w:fill="FFFFFF"/>
            <w:tcMar>
              <w:left w:w="101" w:type="dxa"/>
              <w:right w:w="101" w:type="dxa"/>
            </w:tcMar>
            <w:vAlign w:val="bottom"/>
          </w:tcPr>
          <w:p w14:paraId="23846382" w14:textId="77777777" w:rsidR="003F0EEA" w:rsidRDefault="003F0EEA">
            <w:pPr>
              <w:rPr>
                <w:rFonts w:ascii="Arial" w:eastAsia="Arial" w:hAnsi="Arial" w:cs="Arial"/>
                <w:color w:val="000000"/>
                <w:sz w:val="16"/>
                <w:vertAlign w:val="superscript"/>
              </w:rPr>
            </w:pPr>
          </w:p>
        </w:tc>
        <w:tc>
          <w:tcPr>
            <w:tcW w:w="0" w:type="auto"/>
            <w:gridSpan w:val="2"/>
            <w:tcBorders>
              <w:top w:val="single" w:sz="6" w:space="0" w:color="FFFFFF"/>
              <w:left w:val="nil"/>
              <w:bottom w:val="nil"/>
              <w:right w:val="nil"/>
              <w:tl2br w:val="nil"/>
              <w:tr2bl w:val="nil"/>
            </w:tcBorders>
            <w:shd w:val="clear" w:color="auto" w:fill="FFFFFF"/>
            <w:tcMar>
              <w:left w:w="101" w:type="dxa"/>
              <w:right w:w="101" w:type="dxa"/>
            </w:tcMar>
            <w:vAlign w:val="bottom"/>
          </w:tcPr>
          <w:p w14:paraId="28EA2FBF" w14:textId="77777777" w:rsidR="003F0EEA" w:rsidRDefault="00FB7D0B">
            <w:pPr>
              <w:rPr>
                <w:rFonts w:ascii="Arial" w:eastAsia="Arial" w:hAnsi="Arial" w:cs="Arial"/>
                <w:color w:val="000000"/>
                <w:sz w:val="16"/>
                <w:vertAlign w:val="superscript"/>
              </w:rPr>
            </w:pPr>
            <w:r>
              <w:rPr>
                <w:rFonts w:ascii="Arial" w:eastAsia="Arial" w:hAnsi="Arial" w:cs="Arial"/>
                <w:color w:val="000000"/>
                <w:sz w:val="16"/>
              </w:rPr>
              <w:t>Appropriation Bill 1</w:t>
            </w:r>
          </w:p>
        </w:tc>
        <w:tc>
          <w:tcPr>
            <w:tcW w:w="0" w:type="auto"/>
            <w:tcBorders>
              <w:top w:val="single" w:sz="6" w:space="0" w:color="FFFFFF"/>
              <w:left w:val="nil"/>
              <w:bottom w:val="nil"/>
              <w:right w:val="nil"/>
              <w:tl2br w:val="nil"/>
              <w:tr2bl w:val="nil"/>
            </w:tcBorders>
            <w:shd w:val="clear" w:color="auto" w:fill="FFFFFF"/>
            <w:tcMar>
              <w:left w:w="101" w:type="dxa"/>
              <w:right w:w="101" w:type="dxa"/>
            </w:tcMar>
            <w:vAlign w:val="bottom"/>
          </w:tcPr>
          <w:p w14:paraId="3B366ABC" w14:textId="77777777" w:rsidR="003F0EEA" w:rsidRDefault="003F0EEA">
            <w:pPr>
              <w:jc w:val="right"/>
              <w:rPr>
                <w:rFonts w:ascii="Arial" w:eastAsia="Arial" w:hAnsi="Arial" w:cs="Arial"/>
                <w:color w:val="000000"/>
                <w:sz w:val="16"/>
                <w:vertAlign w:val="superscript"/>
              </w:rPr>
            </w:pPr>
          </w:p>
        </w:tc>
        <w:tc>
          <w:tcPr>
            <w:tcW w:w="0" w:type="auto"/>
            <w:tcBorders>
              <w:top w:val="nil"/>
              <w:left w:val="nil"/>
              <w:bottom w:val="nil"/>
              <w:right w:val="nil"/>
              <w:tl2br w:val="nil"/>
              <w:tr2bl w:val="nil"/>
            </w:tcBorders>
            <w:shd w:val="clear" w:color="auto" w:fill="FFFF00"/>
            <w:tcMar>
              <w:left w:w="101" w:type="dxa"/>
              <w:right w:w="101" w:type="dxa"/>
            </w:tcMar>
            <w:vAlign w:val="bottom"/>
          </w:tcPr>
          <w:p w14:paraId="31A9788D" w14:textId="77777777" w:rsidR="003F0EEA" w:rsidRDefault="003F0EEA">
            <w:pPr>
              <w:jc w:val="right"/>
              <w:rPr>
                <w:rFonts w:ascii="Arial" w:eastAsia="Arial" w:hAnsi="Arial" w:cs="Arial"/>
                <w:color w:val="000000"/>
                <w:sz w:val="16"/>
                <w:vertAlign w:val="superscript"/>
              </w:rPr>
            </w:pPr>
          </w:p>
        </w:tc>
        <w:tc>
          <w:tcPr>
            <w:tcW w:w="0" w:type="auto"/>
            <w:tcBorders>
              <w:top w:val="single" w:sz="6" w:space="0" w:color="FFFFFF"/>
              <w:left w:val="nil"/>
              <w:bottom w:val="nil"/>
              <w:right w:val="nil"/>
              <w:tl2br w:val="nil"/>
              <w:tr2bl w:val="nil"/>
            </w:tcBorders>
            <w:shd w:val="clear" w:color="auto" w:fill="FFFFFF"/>
            <w:tcMar>
              <w:left w:w="101" w:type="dxa"/>
              <w:right w:w="101" w:type="dxa"/>
            </w:tcMar>
            <w:vAlign w:val="bottom"/>
          </w:tcPr>
          <w:p w14:paraId="4D829349" w14:textId="77777777" w:rsidR="003F0EEA" w:rsidRDefault="003F0EEA">
            <w:pPr>
              <w:jc w:val="right"/>
              <w:rPr>
                <w:rFonts w:ascii="Arial" w:eastAsia="Arial" w:hAnsi="Arial" w:cs="Arial"/>
                <w:color w:val="000000"/>
                <w:sz w:val="16"/>
                <w:vertAlign w:val="superscript"/>
              </w:rPr>
            </w:pPr>
          </w:p>
        </w:tc>
        <w:tc>
          <w:tcPr>
            <w:tcW w:w="0" w:type="auto"/>
            <w:tcBorders>
              <w:top w:val="single" w:sz="6" w:space="0" w:color="FFFFFF"/>
              <w:left w:val="nil"/>
              <w:bottom w:val="nil"/>
              <w:right w:val="nil"/>
              <w:tl2br w:val="nil"/>
              <w:tr2bl w:val="nil"/>
            </w:tcBorders>
            <w:shd w:val="clear" w:color="auto" w:fill="FFFFFF"/>
            <w:tcMar>
              <w:left w:w="101" w:type="dxa"/>
              <w:right w:w="101" w:type="dxa"/>
            </w:tcMar>
            <w:vAlign w:val="bottom"/>
          </w:tcPr>
          <w:p w14:paraId="25593E19" w14:textId="77777777" w:rsidR="003F0EEA" w:rsidRDefault="003F0EEA">
            <w:pPr>
              <w:jc w:val="right"/>
              <w:rPr>
                <w:rFonts w:ascii="Arial" w:eastAsia="Arial" w:hAnsi="Arial" w:cs="Arial"/>
                <w:color w:val="000000"/>
                <w:sz w:val="16"/>
                <w:vertAlign w:val="superscript"/>
              </w:rPr>
            </w:pPr>
          </w:p>
        </w:tc>
        <w:tc>
          <w:tcPr>
            <w:tcW w:w="0" w:type="auto"/>
            <w:tcBorders>
              <w:top w:val="single" w:sz="6" w:space="0" w:color="FFFFFF"/>
              <w:left w:val="nil"/>
              <w:bottom w:val="nil"/>
              <w:right w:val="single" w:sz="6" w:space="0" w:color="000000"/>
              <w:tl2br w:val="nil"/>
              <w:tr2bl w:val="nil"/>
            </w:tcBorders>
            <w:shd w:val="clear" w:color="auto" w:fill="FFFFFF"/>
            <w:tcMar>
              <w:left w:w="101" w:type="dxa"/>
              <w:right w:w="101" w:type="dxa"/>
            </w:tcMar>
            <w:vAlign w:val="bottom"/>
          </w:tcPr>
          <w:p w14:paraId="6BB0121B" w14:textId="77777777" w:rsidR="003F0EEA" w:rsidRDefault="003F0EEA">
            <w:pPr>
              <w:jc w:val="right"/>
              <w:rPr>
                <w:rFonts w:ascii="Arial" w:eastAsia="Arial" w:hAnsi="Arial" w:cs="Arial"/>
                <w:color w:val="000000"/>
                <w:sz w:val="16"/>
                <w:vertAlign w:val="superscript"/>
              </w:rPr>
            </w:pPr>
          </w:p>
        </w:tc>
      </w:tr>
      <w:tr w:rsidR="00724034" w14:paraId="27E03FE5" w14:textId="77777777">
        <w:tblPrEx>
          <w:tblLook w:val="04A0" w:firstRow="1" w:lastRow="0" w:firstColumn="1" w:lastColumn="0" w:noHBand="0" w:noVBand="1"/>
        </w:tblPrEx>
        <w:trPr>
          <w:gridAfter w:val="1"/>
          <w:wAfter w:w="10" w:type="dxa"/>
          <w:trHeight w:val="225"/>
        </w:trPr>
        <w:tc>
          <w:tcPr>
            <w:tcW w:w="0" w:type="auto"/>
            <w:tcBorders>
              <w:top w:val="nil"/>
              <w:left w:val="single" w:sz="6" w:space="0" w:color="000000"/>
              <w:bottom w:val="nil"/>
              <w:right w:val="nil"/>
              <w:tl2br w:val="nil"/>
              <w:tr2bl w:val="nil"/>
            </w:tcBorders>
            <w:shd w:val="clear" w:color="auto" w:fill="FFFFFF"/>
            <w:tcMar>
              <w:left w:w="101" w:type="dxa"/>
              <w:right w:w="101" w:type="dxa"/>
            </w:tcMar>
            <w:vAlign w:val="bottom"/>
          </w:tcPr>
          <w:p w14:paraId="6EFC54F1" w14:textId="77777777" w:rsidR="003F0EEA" w:rsidRDefault="003F0EEA">
            <w:pPr>
              <w:rPr>
                <w:rFonts w:ascii="Arial" w:eastAsia="Arial" w:hAnsi="Arial" w:cs="Arial"/>
                <w:color w:val="000000"/>
                <w:sz w:val="16"/>
                <w:vertAlign w:val="superscript"/>
              </w:rPr>
            </w:pPr>
          </w:p>
        </w:tc>
        <w:tc>
          <w:tcPr>
            <w:tcW w:w="0" w:type="auto"/>
            <w:tcBorders>
              <w:top w:val="nil"/>
              <w:left w:val="nil"/>
              <w:bottom w:val="nil"/>
              <w:right w:val="nil"/>
              <w:tl2br w:val="nil"/>
              <w:tr2bl w:val="nil"/>
            </w:tcBorders>
            <w:shd w:val="clear" w:color="auto" w:fill="FFFFFF"/>
            <w:tcMar>
              <w:left w:w="101" w:type="dxa"/>
              <w:right w:w="101" w:type="dxa"/>
            </w:tcMar>
            <w:vAlign w:val="bottom"/>
          </w:tcPr>
          <w:p w14:paraId="61538368" w14:textId="77777777" w:rsidR="003F0EEA" w:rsidRDefault="003F0EEA">
            <w:pPr>
              <w:rPr>
                <w:rFonts w:ascii="Arial" w:eastAsia="Arial" w:hAnsi="Arial" w:cs="Arial"/>
                <w:color w:val="000000"/>
                <w:sz w:val="16"/>
                <w:vertAlign w:val="superscript"/>
              </w:rPr>
            </w:pPr>
          </w:p>
        </w:tc>
        <w:tc>
          <w:tcPr>
            <w:tcW w:w="0" w:type="auto"/>
            <w:tcBorders>
              <w:top w:val="nil"/>
              <w:left w:val="nil"/>
              <w:bottom w:val="nil"/>
              <w:right w:val="nil"/>
              <w:tl2br w:val="nil"/>
              <w:tr2bl w:val="nil"/>
            </w:tcBorders>
            <w:shd w:val="clear" w:color="auto" w:fill="FFFFFF"/>
            <w:tcMar>
              <w:left w:w="101" w:type="dxa"/>
              <w:right w:w="101" w:type="dxa"/>
            </w:tcMar>
            <w:vAlign w:val="bottom"/>
          </w:tcPr>
          <w:p w14:paraId="5BE50F50" w14:textId="77777777" w:rsidR="003F0EEA" w:rsidRDefault="00FB7D0B">
            <w:pPr>
              <w:rPr>
                <w:rFonts w:ascii="Arial" w:eastAsia="Arial" w:hAnsi="Arial" w:cs="Arial"/>
                <w:color w:val="000000"/>
                <w:sz w:val="16"/>
                <w:vertAlign w:val="superscript"/>
              </w:rPr>
            </w:pPr>
            <w:r>
              <w:rPr>
                <w:rFonts w:ascii="Arial" w:eastAsia="Arial" w:hAnsi="Arial" w:cs="Arial"/>
                <w:color w:val="000000"/>
                <w:sz w:val="16"/>
              </w:rPr>
              <w:t>Medical examinations, fares and expenses</w:t>
            </w:r>
          </w:p>
        </w:tc>
        <w:tc>
          <w:tcPr>
            <w:tcW w:w="0" w:type="auto"/>
            <w:tcBorders>
              <w:top w:val="nil"/>
              <w:left w:val="nil"/>
              <w:bottom w:val="nil"/>
              <w:right w:val="nil"/>
              <w:tl2br w:val="nil"/>
              <w:tr2bl w:val="nil"/>
            </w:tcBorders>
            <w:shd w:val="clear" w:color="auto" w:fill="FFFFFF"/>
            <w:tcMar>
              <w:left w:w="101" w:type="dxa"/>
              <w:right w:w="101" w:type="dxa"/>
            </w:tcMar>
            <w:vAlign w:val="bottom"/>
          </w:tcPr>
          <w:p w14:paraId="7D89446E" w14:textId="77777777" w:rsidR="003F0EEA" w:rsidRDefault="00FB7D0B">
            <w:pPr>
              <w:jc w:val="right"/>
              <w:rPr>
                <w:rFonts w:ascii="Arial" w:eastAsia="Arial" w:hAnsi="Arial" w:cs="Arial"/>
                <w:color w:val="000000"/>
                <w:sz w:val="16"/>
                <w:vertAlign w:val="superscript"/>
              </w:rPr>
            </w:pPr>
            <w:r>
              <w:rPr>
                <w:rFonts w:ascii="Arial" w:eastAsia="Arial" w:hAnsi="Arial" w:cs="Arial"/>
                <w:color w:val="000000"/>
                <w:sz w:val="16"/>
              </w:rPr>
              <w:t xml:space="preserve"> 11,302 </w:t>
            </w:r>
          </w:p>
        </w:tc>
        <w:tc>
          <w:tcPr>
            <w:tcW w:w="0" w:type="auto"/>
            <w:tcBorders>
              <w:top w:val="nil"/>
              <w:left w:val="nil"/>
              <w:bottom w:val="nil"/>
              <w:right w:val="nil"/>
              <w:tl2br w:val="nil"/>
              <w:tr2bl w:val="nil"/>
            </w:tcBorders>
            <w:shd w:val="clear" w:color="auto" w:fill="FFFF00"/>
            <w:tcMar>
              <w:left w:w="101" w:type="dxa"/>
              <w:right w:w="101" w:type="dxa"/>
            </w:tcMar>
            <w:vAlign w:val="bottom"/>
          </w:tcPr>
          <w:p w14:paraId="16131E09" w14:textId="77777777" w:rsidR="003F0EEA" w:rsidRDefault="00FB7D0B">
            <w:pPr>
              <w:jc w:val="right"/>
              <w:rPr>
                <w:rFonts w:ascii="Arial" w:eastAsia="Arial" w:hAnsi="Arial" w:cs="Arial"/>
                <w:color w:val="000000"/>
                <w:sz w:val="16"/>
              </w:rPr>
            </w:pPr>
            <w:r>
              <w:rPr>
                <w:rFonts w:ascii="Arial" w:eastAsia="Arial" w:hAnsi="Arial" w:cs="Arial"/>
                <w:color w:val="000000"/>
                <w:sz w:val="16"/>
              </w:rPr>
              <w:t xml:space="preserve"> 12,247 </w:t>
            </w:r>
          </w:p>
        </w:tc>
        <w:tc>
          <w:tcPr>
            <w:tcW w:w="0" w:type="auto"/>
            <w:tcBorders>
              <w:top w:val="nil"/>
              <w:left w:val="nil"/>
              <w:bottom w:val="nil"/>
              <w:right w:val="nil"/>
              <w:tl2br w:val="nil"/>
              <w:tr2bl w:val="nil"/>
            </w:tcBorders>
            <w:shd w:val="clear" w:color="auto" w:fill="FFFFFF"/>
            <w:tcMar>
              <w:left w:w="101" w:type="dxa"/>
              <w:right w:w="101" w:type="dxa"/>
            </w:tcMar>
            <w:vAlign w:val="bottom"/>
          </w:tcPr>
          <w:p w14:paraId="7673EC4C" w14:textId="77777777" w:rsidR="003F0EEA" w:rsidRDefault="00FB7D0B">
            <w:pPr>
              <w:jc w:val="right"/>
              <w:rPr>
                <w:rFonts w:ascii="Arial" w:eastAsia="Arial" w:hAnsi="Arial" w:cs="Arial"/>
                <w:color w:val="000000"/>
                <w:sz w:val="16"/>
              </w:rPr>
            </w:pPr>
            <w:r>
              <w:rPr>
                <w:rFonts w:ascii="Arial" w:eastAsia="Arial" w:hAnsi="Arial" w:cs="Arial"/>
                <w:color w:val="000000"/>
                <w:sz w:val="16"/>
              </w:rPr>
              <w:t xml:space="preserve"> 13,169 </w:t>
            </w:r>
          </w:p>
        </w:tc>
        <w:tc>
          <w:tcPr>
            <w:tcW w:w="0" w:type="auto"/>
            <w:tcBorders>
              <w:top w:val="nil"/>
              <w:left w:val="nil"/>
              <w:bottom w:val="nil"/>
              <w:right w:val="nil"/>
              <w:tl2br w:val="nil"/>
              <w:tr2bl w:val="nil"/>
            </w:tcBorders>
            <w:shd w:val="clear" w:color="auto" w:fill="FFFFFF"/>
            <w:tcMar>
              <w:left w:w="101" w:type="dxa"/>
              <w:right w:w="101" w:type="dxa"/>
            </w:tcMar>
            <w:vAlign w:val="bottom"/>
          </w:tcPr>
          <w:p w14:paraId="583D262E" w14:textId="77777777" w:rsidR="003F0EEA" w:rsidRDefault="00FB7D0B">
            <w:pPr>
              <w:jc w:val="right"/>
              <w:rPr>
                <w:rFonts w:ascii="Arial" w:eastAsia="Arial" w:hAnsi="Arial" w:cs="Arial"/>
                <w:color w:val="000000"/>
                <w:sz w:val="16"/>
              </w:rPr>
            </w:pPr>
            <w:r>
              <w:rPr>
                <w:rFonts w:ascii="Arial" w:eastAsia="Arial" w:hAnsi="Arial" w:cs="Arial"/>
                <w:color w:val="000000"/>
                <w:sz w:val="16"/>
              </w:rPr>
              <w:t xml:space="preserve"> 14,159 </w:t>
            </w:r>
          </w:p>
        </w:tc>
        <w:tc>
          <w:tcPr>
            <w:tcW w:w="0" w:type="auto"/>
            <w:tcBorders>
              <w:top w:val="nil"/>
              <w:left w:val="nil"/>
              <w:bottom w:val="nil"/>
              <w:right w:val="single" w:sz="6" w:space="0" w:color="000000"/>
              <w:tl2br w:val="nil"/>
              <w:tr2bl w:val="nil"/>
            </w:tcBorders>
            <w:shd w:val="clear" w:color="auto" w:fill="FFFFFF"/>
            <w:tcMar>
              <w:left w:w="101" w:type="dxa"/>
              <w:right w:w="101" w:type="dxa"/>
            </w:tcMar>
            <w:vAlign w:val="bottom"/>
          </w:tcPr>
          <w:p w14:paraId="3CEE953E" w14:textId="77777777" w:rsidR="003F0EEA" w:rsidRDefault="00FB7D0B">
            <w:pPr>
              <w:jc w:val="right"/>
              <w:rPr>
                <w:rFonts w:ascii="Arial" w:eastAsia="Arial" w:hAnsi="Arial" w:cs="Arial"/>
                <w:color w:val="000000"/>
                <w:sz w:val="16"/>
              </w:rPr>
            </w:pPr>
            <w:r>
              <w:rPr>
                <w:rFonts w:ascii="Arial" w:eastAsia="Arial" w:hAnsi="Arial" w:cs="Arial"/>
                <w:color w:val="000000"/>
                <w:sz w:val="16"/>
              </w:rPr>
              <w:t xml:space="preserve"> 14,587 </w:t>
            </w:r>
          </w:p>
        </w:tc>
      </w:tr>
      <w:tr w:rsidR="00724034" w14:paraId="4BE11C62" w14:textId="77777777">
        <w:tblPrEx>
          <w:tblLook w:val="04A0" w:firstRow="1" w:lastRow="0" w:firstColumn="1" w:lastColumn="0" w:noHBand="0" w:noVBand="1"/>
        </w:tblPrEx>
        <w:trPr>
          <w:gridAfter w:val="1"/>
          <w:wAfter w:w="10" w:type="dxa"/>
          <w:trHeight w:val="225"/>
        </w:trPr>
        <w:tc>
          <w:tcPr>
            <w:tcW w:w="0" w:type="auto"/>
            <w:tcBorders>
              <w:top w:val="nil"/>
              <w:left w:val="single" w:sz="6" w:space="0" w:color="000000"/>
              <w:bottom w:val="nil"/>
              <w:right w:val="nil"/>
              <w:tl2br w:val="nil"/>
              <w:tr2bl w:val="nil"/>
            </w:tcBorders>
            <w:shd w:val="clear" w:color="auto" w:fill="FFFFFF"/>
            <w:tcMar>
              <w:left w:w="101" w:type="dxa"/>
              <w:right w:w="101" w:type="dxa"/>
            </w:tcMar>
            <w:vAlign w:val="bottom"/>
          </w:tcPr>
          <w:p w14:paraId="60FFFBE5" w14:textId="77777777" w:rsidR="003F0EEA" w:rsidRDefault="003F0EEA">
            <w:pPr>
              <w:rPr>
                <w:rFonts w:ascii="Arial" w:eastAsia="Arial" w:hAnsi="Arial" w:cs="Arial"/>
                <w:color w:val="000000"/>
                <w:sz w:val="16"/>
              </w:rPr>
            </w:pPr>
          </w:p>
        </w:tc>
        <w:tc>
          <w:tcPr>
            <w:tcW w:w="0" w:type="auto"/>
            <w:tcBorders>
              <w:top w:val="nil"/>
              <w:left w:val="nil"/>
              <w:bottom w:val="nil"/>
              <w:right w:val="nil"/>
              <w:tl2br w:val="nil"/>
              <w:tr2bl w:val="nil"/>
            </w:tcBorders>
            <w:shd w:val="clear" w:color="auto" w:fill="FFFFFF"/>
            <w:tcMar>
              <w:left w:w="101" w:type="dxa"/>
              <w:right w:w="101" w:type="dxa"/>
            </w:tcMar>
            <w:vAlign w:val="bottom"/>
          </w:tcPr>
          <w:p w14:paraId="576F79E0" w14:textId="77777777" w:rsidR="003F0EEA" w:rsidRDefault="003F0EEA">
            <w:pPr>
              <w:rPr>
                <w:rFonts w:ascii="Arial" w:eastAsia="Arial" w:hAnsi="Arial" w:cs="Arial"/>
                <w:color w:val="000000"/>
                <w:sz w:val="16"/>
              </w:rPr>
            </w:pPr>
          </w:p>
        </w:tc>
        <w:tc>
          <w:tcPr>
            <w:tcW w:w="0" w:type="auto"/>
            <w:tcBorders>
              <w:top w:val="nil"/>
              <w:left w:val="nil"/>
              <w:bottom w:val="nil"/>
              <w:right w:val="nil"/>
              <w:tl2br w:val="nil"/>
              <w:tr2bl w:val="nil"/>
            </w:tcBorders>
            <w:shd w:val="clear" w:color="auto" w:fill="FFFFFF"/>
            <w:tcMar>
              <w:left w:w="101" w:type="dxa"/>
              <w:right w:w="101" w:type="dxa"/>
            </w:tcMar>
            <w:vAlign w:val="bottom"/>
          </w:tcPr>
          <w:p w14:paraId="6AA35F9D" w14:textId="77777777" w:rsidR="003F0EEA" w:rsidRDefault="00FB7D0B">
            <w:pPr>
              <w:rPr>
                <w:rFonts w:ascii="Arial" w:eastAsia="Arial" w:hAnsi="Arial" w:cs="Arial"/>
                <w:color w:val="000000"/>
                <w:sz w:val="16"/>
              </w:rPr>
            </w:pPr>
            <w:r>
              <w:rPr>
                <w:rFonts w:ascii="Arial" w:eastAsia="Arial" w:hAnsi="Arial" w:cs="Arial"/>
                <w:color w:val="000000"/>
                <w:sz w:val="16"/>
              </w:rPr>
              <w:t>Repayments of maintenance deductions</w:t>
            </w:r>
          </w:p>
        </w:tc>
        <w:tc>
          <w:tcPr>
            <w:tcW w:w="0" w:type="auto"/>
            <w:tcBorders>
              <w:top w:val="nil"/>
              <w:left w:val="nil"/>
              <w:bottom w:val="nil"/>
              <w:right w:val="nil"/>
              <w:tl2br w:val="nil"/>
              <w:tr2bl w:val="nil"/>
            </w:tcBorders>
            <w:shd w:val="clear" w:color="auto" w:fill="FFFFFF"/>
            <w:tcMar>
              <w:left w:w="101" w:type="dxa"/>
              <w:right w:w="101" w:type="dxa"/>
            </w:tcMar>
            <w:vAlign w:val="bottom"/>
          </w:tcPr>
          <w:p w14:paraId="1897F0B1" w14:textId="77777777" w:rsidR="003F0EEA" w:rsidRDefault="00FB7D0B">
            <w:pPr>
              <w:jc w:val="right"/>
              <w:rPr>
                <w:rFonts w:ascii="Arial" w:eastAsia="Arial" w:hAnsi="Arial" w:cs="Arial"/>
                <w:color w:val="000000"/>
                <w:sz w:val="16"/>
                <w:vertAlign w:val="superscript"/>
              </w:rPr>
            </w:pPr>
            <w:r>
              <w:rPr>
                <w:rFonts w:ascii="Arial" w:eastAsia="Arial" w:hAnsi="Arial" w:cs="Arial"/>
                <w:color w:val="000000"/>
                <w:sz w:val="16"/>
              </w:rPr>
              <w:t xml:space="preserve"> 71 </w:t>
            </w:r>
          </w:p>
        </w:tc>
        <w:tc>
          <w:tcPr>
            <w:tcW w:w="0" w:type="auto"/>
            <w:tcBorders>
              <w:top w:val="nil"/>
              <w:left w:val="nil"/>
              <w:bottom w:val="nil"/>
              <w:right w:val="nil"/>
              <w:tl2br w:val="nil"/>
              <w:tr2bl w:val="nil"/>
            </w:tcBorders>
            <w:shd w:val="clear" w:color="auto" w:fill="FFFF00"/>
            <w:tcMar>
              <w:left w:w="101" w:type="dxa"/>
              <w:right w:w="101" w:type="dxa"/>
            </w:tcMar>
            <w:vAlign w:val="bottom"/>
          </w:tcPr>
          <w:p w14:paraId="17F963EF" w14:textId="77777777" w:rsidR="003F0EEA" w:rsidRDefault="00FB7D0B">
            <w:pPr>
              <w:jc w:val="right"/>
              <w:rPr>
                <w:rFonts w:ascii="Arial" w:eastAsia="Arial" w:hAnsi="Arial" w:cs="Arial"/>
                <w:color w:val="000000"/>
                <w:sz w:val="16"/>
              </w:rPr>
            </w:pPr>
            <w:r>
              <w:rPr>
                <w:rFonts w:ascii="Arial" w:eastAsia="Arial" w:hAnsi="Arial" w:cs="Arial"/>
                <w:color w:val="000000"/>
                <w:sz w:val="16"/>
              </w:rPr>
              <w:t xml:space="preserve"> 71 </w:t>
            </w:r>
          </w:p>
        </w:tc>
        <w:tc>
          <w:tcPr>
            <w:tcW w:w="0" w:type="auto"/>
            <w:tcBorders>
              <w:top w:val="nil"/>
              <w:left w:val="nil"/>
              <w:bottom w:val="nil"/>
              <w:right w:val="nil"/>
              <w:tl2br w:val="nil"/>
              <w:tr2bl w:val="nil"/>
            </w:tcBorders>
            <w:shd w:val="clear" w:color="auto" w:fill="FFFFFF"/>
            <w:tcMar>
              <w:left w:w="101" w:type="dxa"/>
              <w:right w:w="101" w:type="dxa"/>
            </w:tcMar>
            <w:vAlign w:val="bottom"/>
          </w:tcPr>
          <w:p w14:paraId="557B930D" w14:textId="77777777" w:rsidR="003F0EEA" w:rsidRDefault="00FB7D0B">
            <w:pPr>
              <w:jc w:val="right"/>
              <w:rPr>
                <w:rFonts w:ascii="Arial" w:eastAsia="Arial" w:hAnsi="Arial" w:cs="Arial"/>
                <w:color w:val="000000"/>
                <w:sz w:val="16"/>
              </w:rPr>
            </w:pPr>
            <w:r>
              <w:rPr>
                <w:rFonts w:ascii="Arial" w:eastAsia="Arial" w:hAnsi="Arial" w:cs="Arial"/>
                <w:color w:val="000000"/>
                <w:sz w:val="16"/>
              </w:rPr>
              <w:t xml:space="preserve"> 71 </w:t>
            </w:r>
          </w:p>
        </w:tc>
        <w:tc>
          <w:tcPr>
            <w:tcW w:w="0" w:type="auto"/>
            <w:tcBorders>
              <w:top w:val="nil"/>
              <w:left w:val="nil"/>
              <w:bottom w:val="nil"/>
              <w:right w:val="nil"/>
              <w:tl2br w:val="nil"/>
              <w:tr2bl w:val="nil"/>
            </w:tcBorders>
            <w:shd w:val="clear" w:color="auto" w:fill="FFFFFF"/>
            <w:tcMar>
              <w:left w:w="101" w:type="dxa"/>
              <w:right w:w="101" w:type="dxa"/>
            </w:tcMar>
            <w:vAlign w:val="bottom"/>
          </w:tcPr>
          <w:p w14:paraId="00C541A7" w14:textId="77777777" w:rsidR="003F0EEA" w:rsidRDefault="00FB7D0B">
            <w:pPr>
              <w:jc w:val="right"/>
              <w:rPr>
                <w:rFonts w:ascii="Arial" w:eastAsia="Arial" w:hAnsi="Arial" w:cs="Arial"/>
                <w:color w:val="000000"/>
                <w:sz w:val="16"/>
              </w:rPr>
            </w:pPr>
            <w:r>
              <w:rPr>
                <w:rFonts w:ascii="Arial" w:eastAsia="Arial" w:hAnsi="Arial" w:cs="Arial"/>
                <w:color w:val="000000"/>
                <w:sz w:val="16"/>
              </w:rPr>
              <w:t xml:space="preserve"> 71 </w:t>
            </w:r>
          </w:p>
        </w:tc>
        <w:tc>
          <w:tcPr>
            <w:tcW w:w="0" w:type="auto"/>
            <w:tcBorders>
              <w:top w:val="nil"/>
              <w:left w:val="nil"/>
              <w:bottom w:val="nil"/>
              <w:right w:val="single" w:sz="6" w:space="0" w:color="000000"/>
              <w:tl2br w:val="nil"/>
              <w:tr2bl w:val="nil"/>
            </w:tcBorders>
            <w:shd w:val="clear" w:color="auto" w:fill="FFFFFF"/>
            <w:tcMar>
              <w:left w:w="101" w:type="dxa"/>
              <w:right w:w="101" w:type="dxa"/>
            </w:tcMar>
            <w:vAlign w:val="bottom"/>
          </w:tcPr>
          <w:p w14:paraId="2A7454AC" w14:textId="77777777" w:rsidR="003F0EEA" w:rsidRDefault="00FB7D0B">
            <w:pPr>
              <w:jc w:val="right"/>
              <w:rPr>
                <w:rFonts w:ascii="Arial" w:eastAsia="Arial" w:hAnsi="Arial" w:cs="Arial"/>
                <w:color w:val="000000"/>
                <w:sz w:val="16"/>
              </w:rPr>
            </w:pPr>
            <w:r>
              <w:rPr>
                <w:rFonts w:ascii="Arial" w:eastAsia="Arial" w:hAnsi="Arial" w:cs="Arial"/>
                <w:color w:val="000000"/>
                <w:sz w:val="16"/>
              </w:rPr>
              <w:t xml:space="preserve"> 71 </w:t>
            </w:r>
          </w:p>
        </w:tc>
      </w:tr>
      <w:tr w:rsidR="00724034" w14:paraId="6B2855F7" w14:textId="77777777">
        <w:tblPrEx>
          <w:tblLook w:val="04A0" w:firstRow="1" w:lastRow="0" w:firstColumn="1" w:lastColumn="0" w:noHBand="0" w:noVBand="1"/>
        </w:tblPrEx>
        <w:trPr>
          <w:gridAfter w:val="1"/>
          <w:wAfter w:w="10" w:type="dxa"/>
          <w:trHeight w:val="225"/>
        </w:trPr>
        <w:tc>
          <w:tcPr>
            <w:tcW w:w="0" w:type="auto"/>
            <w:tcBorders>
              <w:top w:val="nil"/>
              <w:left w:val="single" w:sz="6" w:space="0" w:color="000000"/>
              <w:bottom w:val="nil"/>
              <w:right w:val="nil"/>
              <w:tl2br w:val="nil"/>
              <w:tr2bl w:val="nil"/>
            </w:tcBorders>
            <w:shd w:val="clear" w:color="auto" w:fill="FFFFFF"/>
            <w:tcMar>
              <w:left w:w="101" w:type="dxa"/>
              <w:right w:w="101" w:type="dxa"/>
            </w:tcMar>
            <w:vAlign w:val="bottom"/>
          </w:tcPr>
          <w:p w14:paraId="160AAF09" w14:textId="77777777" w:rsidR="003F0EEA" w:rsidRDefault="003F0EEA">
            <w:pPr>
              <w:rPr>
                <w:rFonts w:ascii="Arial" w:eastAsia="Arial" w:hAnsi="Arial" w:cs="Arial"/>
                <w:color w:val="000000"/>
                <w:sz w:val="16"/>
              </w:rPr>
            </w:pPr>
          </w:p>
        </w:tc>
        <w:tc>
          <w:tcPr>
            <w:tcW w:w="0" w:type="auto"/>
            <w:tcBorders>
              <w:top w:val="nil"/>
              <w:left w:val="nil"/>
              <w:bottom w:val="nil"/>
              <w:right w:val="nil"/>
              <w:tl2br w:val="nil"/>
              <w:tr2bl w:val="nil"/>
            </w:tcBorders>
            <w:shd w:val="clear" w:color="auto" w:fill="FFFFFF"/>
            <w:tcMar>
              <w:left w:w="101" w:type="dxa"/>
              <w:right w:w="101" w:type="dxa"/>
            </w:tcMar>
            <w:vAlign w:val="bottom"/>
          </w:tcPr>
          <w:p w14:paraId="32E9BCBE" w14:textId="77777777" w:rsidR="003F0EEA" w:rsidRDefault="003F0EEA">
            <w:pPr>
              <w:rPr>
                <w:rFonts w:ascii="Arial" w:eastAsia="Arial" w:hAnsi="Arial" w:cs="Arial"/>
                <w:color w:val="000000"/>
                <w:sz w:val="16"/>
              </w:rPr>
            </w:pPr>
          </w:p>
        </w:tc>
        <w:tc>
          <w:tcPr>
            <w:tcW w:w="0" w:type="auto"/>
            <w:tcBorders>
              <w:top w:val="nil"/>
              <w:left w:val="nil"/>
              <w:bottom w:val="nil"/>
              <w:right w:val="nil"/>
              <w:tl2br w:val="nil"/>
              <w:tr2bl w:val="nil"/>
            </w:tcBorders>
            <w:shd w:val="clear" w:color="auto" w:fill="FFFFFF"/>
            <w:tcMar>
              <w:left w:w="101" w:type="dxa"/>
              <w:right w:w="101" w:type="dxa"/>
            </w:tcMar>
            <w:vAlign w:val="bottom"/>
          </w:tcPr>
          <w:p w14:paraId="4BFAA202" w14:textId="77777777" w:rsidR="003F0EEA" w:rsidRDefault="00FB7D0B">
            <w:pPr>
              <w:rPr>
                <w:rFonts w:ascii="Arial" w:eastAsia="Arial" w:hAnsi="Arial" w:cs="Arial"/>
                <w:color w:val="000000"/>
                <w:sz w:val="16"/>
              </w:rPr>
            </w:pPr>
            <w:r>
              <w:rPr>
                <w:rFonts w:ascii="Arial" w:eastAsia="Arial" w:hAnsi="Arial" w:cs="Arial"/>
                <w:color w:val="000000"/>
                <w:sz w:val="16"/>
              </w:rPr>
              <w:t>Vehicle Assistance Scheme</w:t>
            </w:r>
          </w:p>
        </w:tc>
        <w:tc>
          <w:tcPr>
            <w:tcW w:w="0" w:type="auto"/>
            <w:tcBorders>
              <w:top w:val="nil"/>
              <w:left w:val="nil"/>
              <w:bottom w:val="nil"/>
              <w:right w:val="nil"/>
              <w:tl2br w:val="nil"/>
              <w:tr2bl w:val="nil"/>
            </w:tcBorders>
            <w:shd w:val="clear" w:color="auto" w:fill="FFFFFF"/>
            <w:tcMar>
              <w:left w:w="101" w:type="dxa"/>
              <w:right w:w="101" w:type="dxa"/>
            </w:tcMar>
            <w:vAlign w:val="bottom"/>
          </w:tcPr>
          <w:p w14:paraId="69261086" w14:textId="77777777" w:rsidR="003F0EEA" w:rsidRDefault="00FB7D0B">
            <w:pPr>
              <w:jc w:val="right"/>
              <w:rPr>
                <w:rFonts w:ascii="Arial" w:eastAsia="Arial" w:hAnsi="Arial" w:cs="Arial"/>
                <w:color w:val="000000"/>
                <w:sz w:val="16"/>
                <w:vertAlign w:val="superscript"/>
              </w:rPr>
            </w:pPr>
            <w:r>
              <w:rPr>
                <w:rFonts w:ascii="Arial" w:eastAsia="Arial" w:hAnsi="Arial" w:cs="Arial"/>
                <w:color w:val="000000"/>
                <w:sz w:val="16"/>
              </w:rPr>
              <w:t xml:space="preserve"> 719 </w:t>
            </w:r>
          </w:p>
        </w:tc>
        <w:tc>
          <w:tcPr>
            <w:tcW w:w="0" w:type="auto"/>
            <w:tcBorders>
              <w:top w:val="nil"/>
              <w:left w:val="nil"/>
              <w:bottom w:val="nil"/>
              <w:right w:val="nil"/>
              <w:tl2br w:val="nil"/>
              <w:tr2bl w:val="nil"/>
            </w:tcBorders>
            <w:shd w:val="clear" w:color="auto" w:fill="FFFF00"/>
            <w:tcMar>
              <w:left w:w="101" w:type="dxa"/>
              <w:right w:w="101" w:type="dxa"/>
            </w:tcMar>
            <w:vAlign w:val="bottom"/>
          </w:tcPr>
          <w:p w14:paraId="7454D0CC" w14:textId="77777777" w:rsidR="003F0EEA" w:rsidRDefault="00FB7D0B">
            <w:pPr>
              <w:jc w:val="right"/>
              <w:rPr>
                <w:rFonts w:ascii="Arial" w:eastAsia="Arial" w:hAnsi="Arial" w:cs="Arial"/>
                <w:color w:val="000000"/>
                <w:sz w:val="16"/>
              </w:rPr>
            </w:pPr>
            <w:r>
              <w:rPr>
                <w:rFonts w:ascii="Arial" w:eastAsia="Arial" w:hAnsi="Arial" w:cs="Arial"/>
                <w:color w:val="000000"/>
                <w:sz w:val="16"/>
              </w:rPr>
              <w:t xml:space="preserve"> 721 </w:t>
            </w:r>
          </w:p>
        </w:tc>
        <w:tc>
          <w:tcPr>
            <w:tcW w:w="0" w:type="auto"/>
            <w:tcBorders>
              <w:top w:val="nil"/>
              <w:left w:val="nil"/>
              <w:bottom w:val="nil"/>
              <w:right w:val="nil"/>
              <w:tl2br w:val="nil"/>
              <w:tr2bl w:val="nil"/>
            </w:tcBorders>
            <w:shd w:val="clear" w:color="auto" w:fill="FFFFFF"/>
            <w:tcMar>
              <w:left w:w="101" w:type="dxa"/>
              <w:right w:w="101" w:type="dxa"/>
            </w:tcMar>
            <w:vAlign w:val="bottom"/>
          </w:tcPr>
          <w:p w14:paraId="74DB266E" w14:textId="77777777" w:rsidR="003F0EEA" w:rsidRDefault="00FB7D0B">
            <w:pPr>
              <w:jc w:val="right"/>
              <w:rPr>
                <w:rFonts w:ascii="Arial" w:eastAsia="Arial" w:hAnsi="Arial" w:cs="Arial"/>
                <w:color w:val="000000"/>
                <w:sz w:val="16"/>
              </w:rPr>
            </w:pPr>
            <w:r>
              <w:rPr>
                <w:rFonts w:ascii="Arial" w:eastAsia="Arial" w:hAnsi="Arial" w:cs="Arial"/>
                <w:color w:val="000000"/>
                <w:sz w:val="16"/>
              </w:rPr>
              <w:t xml:space="preserve"> 722 </w:t>
            </w:r>
          </w:p>
        </w:tc>
        <w:tc>
          <w:tcPr>
            <w:tcW w:w="0" w:type="auto"/>
            <w:tcBorders>
              <w:top w:val="nil"/>
              <w:left w:val="nil"/>
              <w:bottom w:val="nil"/>
              <w:right w:val="nil"/>
              <w:tl2br w:val="nil"/>
              <w:tr2bl w:val="nil"/>
            </w:tcBorders>
            <w:shd w:val="clear" w:color="auto" w:fill="FFFFFF"/>
            <w:tcMar>
              <w:left w:w="101" w:type="dxa"/>
              <w:right w:w="101" w:type="dxa"/>
            </w:tcMar>
            <w:vAlign w:val="bottom"/>
          </w:tcPr>
          <w:p w14:paraId="165E41C6" w14:textId="77777777" w:rsidR="003F0EEA" w:rsidRDefault="00FB7D0B">
            <w:pPr>
              <w:jc w:val="right"/>
              <w:rPr>
                <w:rFonts w:ascii="Arial" w:eastAsia="Arial" w:hAnsi="Arial" w:cs="Arial"/>
                <w:color w:val="000000"/>
                <w:sz w:val="16"/>
              </w:rPr>
            </w:pPr>
            <w:r>
              <w:rPr>
                <w:rFonts w:ascii="Arial" w:eastAsia="Arial" w:hAnsi="Arial" w:cs="Arial"/>
                <w:color w:val="000000"/>
                <w:sz w:val="16"/>
              </w:rPr>
              <w:t xml:space="preserve"> 722 </w:t>
            </w:r>
          </w:p>
        </w:tc>
        <w:tc>
          <w:tcPr>
            <w:tcW w:w="0" w:type="auto"/>
            <w:tcBorders>
              <w:top w:val="nil"/>
              <w:left w:val="nil"/>
              <w:bottom w:val="nil"/>
              <w:right w:val="single" w:sz="6" w:space="0" w:color="000000"/>
              <w:tl2br w:val="nil"/>
              <w:tr2bl w:val="nil"/>
            </w:tcBorders>
            <w:shd w:val="clear" w:color="auto" w:fill="FFFFFF"/>
            <w:tcMar>
              <w:left w:w="101" w:type="dxa"/>
              <w:right w:w="101" w:type="dxa"/>
            </w:tcMar>
            <w:vAlign w:val="bottom"/>
          </w:tcPr>
          <w:p w14:paraId="390E0D7D" w14:textId="77777777" w:rsidR="003F0EEA" w:rsidRDefault="00FB7D0B">
            <w:pPr>
              <w:jc w:val="right"/>
              <w:rPr>
                <w:rFonts w:ascii="Arial" w:eastAsia="Arial" w:hAnsi="Arial" w:cs="Arial"/>
                <w:color w:val="000000"/>
                <w:sz w:val="16"/>
              </w:rPr>
            </w:pPr>
            <w:r>
              <w:rPr>
                <w:rFonts w:ascii="Arial" w:eastAsia="Arial" w:hAnsi="Arial" w:cs="Arial"/>
                <w:color w:val="000000"/>
                <w:sz w:val="16"/>
              </w:rPr>
              <w:t xml:space="preserve"> 740 </w:t>
            </w:r>
          </w:p>
        </w:tc>
      </w:tr>
      <w:tr w:rsidR="00FB7D0B" w14:paraId="70192EA4" w14:textId="77777777" w:rsidTr="00FB7D0B">
        <w:tblPrEx>
          <w:tblLook w:val="04A0" w:firstRow="1" w:lastRow="0" w:firstColumn="1" w:lastColumn="0" w:noHBand="0" w:noVBand="1"/>
        </w:tblPrEx>
        <w:trPr>
          <w:gridAfter w:val="1"/>
          <w:wAfter w:w="10" w:type="dxa"/>
          <w:trHeight w:val="225"/>
        </w:trPr>
        <w:tc>
          <w:tcPr>
            <w:tcW w:w="0" w:type="auto"/>
            <w:gridSpan w:val="3"/>
            <w:tcBorders>
              <w:top w:val="nil"/>
              <w:left w:val="single" w:sz="6" w:space="0" w:color="000000"/>
              <w:bottom w:val="nil"/>
              <w:right w:val="nil"/>
              <w:tl2br w:val="nil"/>
              <w:tr2bl w:val="nil"/>
            </w:tcBorders>
            <w:shd w:val="clear" w:color="auto" w:fill="FFFFFF"/>
            <w:tcMar>
              <w:left w:w="101" w:type="dxa"/>
              <w:right w:w="101" w:type="dxa"/>
            </w:tcMar>
            <w:vAlign w:val="bottom"/>
          </w:tcPr>
          <w:p w14:paraId="0576D19B" w14:textId="77777777" w:rsidR="003F0EEA" w:rsidRDefault="00FB7D0B">
            <w:pPr>
              <w:rPr>
                <w:rFonts w:ascii="Arial" w:eastAsia="Arial" w:hAnsi="Arial" w:cs="Arial"/>
                <w:color w:val="000000"/>
                <w:sz w:val="16"/>
              </w:rPr>
            </w:pPr>
            <w:r>
              <w:rPr>
                <w:rFonts w:ascii="Arial" w:eastAsia="Arial" w:hAnsi="Arial" w:cs="Arial"/>
                <w:color w:val="000000"/>
                <w:sz w:val="16"/>
              </w:rPr>
              <w:t>Special Appropriations:</w:t>
            </w:r>
          </w:p>
        </w:tc>
        <w:tc>
          <w:tcPr>
            <w:tcW w:w="0" w:type="auto"/>
            <w:tcBorders>
              <w:top w:val="nil"/>
              <w:left w:val="nil"/>
              <w:bottom w:val="single" w:sz="6" w:space="0" w:color="FFFFFF"/>
              <w:right w:val="nil"/>
              <w:tl2br w:val="nil"/>
              <w:tr2bl w:val="nil"/>
            </w:tcBorders>
            <w:shd w:val="clear" w:color="auto" w:fill="FFFFFF"/>
            <w:tcMar>
              <w:left w:w="101" w:type="dxa"/>
              <w:right w:w="101" w:type="dxa"/>
            </w:tcMar>
            <w:vAlign w:val="bottom"/>
          </w:tcPr>
          <w:p w14:paraId="3A53D7F0" w14:textId="77777777" w:rsidR="003F0EEA" w:rsidRDefault="003F0EEA">
            <w:pPr>
              <w:rPr>
                <w:rFonts w:ascii="Arial" w:eastAsia="Arial" w:hAnsi="Arial" w:cs="Arial"/>
                <w:color w:val="000000"/>
                <w:sz w:val="16"/>
                <w:vertAlign w:val="superscript"/>
              </w:rPr>
            </w:pPr>
          </w:p>
        </w:tc>
        <w:tc>
          <w:tcPr>
            <w:tcW w:w="0" w:type="auto"/>
            <w:tcBorders>
              <w:top w:val="nil"/>
              <w:left w:val="nil"/>
              <w:bottom w:val="nil"/>
              <w:right w:val="nil"/>
              <w:tl2br w:val="nil"/>
              <w:tr2bl w:val="nil"/>
            </w:tcBorders>
            <w:shd w:val="clear" w:color="auto" w:fill="FFFF00"/>
            <w:tcMar>
              <w:left w:w="101" w:type="dxa"/>
              <w:right w:w="101" w:type="dxa"/>
            </w:tcMar>
            <w:vAlign w:val="bottom"/>
          </w:tcPr>
          <w:p w14:paraId="3D8FE79B" w14:textId="77777777" w:rsidR="003F0EEA" w:rsidRDefault="003F0EEA">
            <w:pPr>
              <w:jc w:val="right"/>
              <w:rPr>
                <w:rFonts w:ascii="Arial" w:eastAsia="Arial" w:hAnsi="Arial" w:cs="Arial"/>
                <w:color w:val="000000"/>
                <w:sz w:val="16"/>
                <w:vertAlign w:val="superscript"/>
              </w:rPr>
            </w:pPr>
          </w:p>
        </w:tc>
        <w:tc>
          <w:tcPr>
            <w:tcW w:w="0" w:type="auto"/>
            <w:tcBorders>
              <w:top w:val="nil"/>
              <w:left w:val="nil"/>
              <w:bottom w:val="single" w:sz="6" w:space="0" w:color="FFFFFF"/>
              <w:right w:val="nil"/>
              <w:tl2br w:val="nil"/>
              <w:tr2bl w:val="nil"/>
            </w:tcBorders>
            <w:shd w:val="clear" w:color="auto" w:fill="FFFFFF"/>
            <w:tcMar>
              <w:left w:w="101" w:type="dxa"/>
              <w:right w:w="101" w:type="dxa"/>
            </w:tcMar>
            <w:vAlign w:val="bottom"/>
          </w:tcPr>
          <w:p w14:paraId="54B501D8" w14:textId="77777777" w:rsidR="003F0EEA" w:rsidRDefault="003F0EEA">
            <w:pPr>
              <w:jc w:val="right"/>
              <w:rPr>
                <w:rFonts w:ascii="Arial" w:eastAsia="Arial" w:hAnsi="Arial" w:cs="Arial"/>
                <w:color w:val="000000"/>
                <w:sz w:val="16"/>
                <w:vertAlign w:val="superscript"/>
              </w:rPr>
            </w:pPr>
          </w:p>
        </w:tc>
        <w:tc>
          <w:tcPr>
            <w:tcW w:w="0" w:type="auto"/>
            <w:tcBorders>
              <w:top w:val="nil"/>
              <w:left w:val="nil"/>
              <w:bottom w:val="single" w:sz="6" w:space="0" w:color="FFFFFF"/>
              <w:right w:val="nil"/>
              <w:tl2br w:val="nil"/>
              <w:tr2bl w:val="nil"/>
            </w:tcBorders>
            <w:shd w:val="clear" w:color="auto" w:fill="FFFFFF"/>
            <w:tcMar>
              <w:left w:w="101" w:type="dxa"/>
              <w:right w:w="101" w:type="dxa"/>
            </w:tcMar>
            <w:vAlign w:val="bottom"/>
          </w:tcPr>
          <w:p w14:paraId="3F14A1D2" w14:textId="77777777" w:rsidR="003F0EEA" w:rsidRDefault="003F0EEA">
            <w:pPr>
              <w:jc w:val="right"/>
              <w:rPr>
                <w:rFonts w:ascii="Arial" w:eastAsia="Arial" w:hAnsi="Arial" w:cs="Arial"/>
                <w:color w:val="000000"/>
                <w:sz w:val="16"/>
                <w:vertAlign w:val="superscript"/>
              </w:rPr>
            </w:pPr>
          </w:p>
        </w:tc>
        <w:tc>
          <w:tcPr>
            <w:tcW w:w="0" w:type="auto"/>
            <w:tcBorders>
              <w:top w:val="nil"/>
              <w:left w:val="nil"/>
              <w:bottom w:val="single" w:sz="6" w:space="0" w:color="FFFFFF"/>
              <w:right w:val="single" w:sz="6" w:space="0" w:color="000000"/>
              <w:tl2br w:val="nil"/>
              <w:tr2bl w:val="nil"/>
            </w:tcBorders>
            <w:shd w:val="clear" w:color="auto" w:fill="FFFFFF"/>
            <w:tcMar>
              <w:left w:w="101" w:type="dxa"/>
              <w:right w:w="101" w:type="dxa"/>
            </w:tcMar>
            <w:vAlign w:val="bottom"/>
          </w:tcPr>
          <w:p w14:paraId="1590D3C7" w14:textId="77777777" w:rsidR="003F0EEA" w:rsidRDefault="003F0EEA">
            <w:pPr>
              <w:jc w:val="right"/>
              <w:rPr>
                <w:rFonts w:ascii="Arial" w:eastAsia="Arial" w:hAnsi="Arial" w:cs="Arial"/>
                <w:color w:val="000000"/>
                <w:sz w:val="16"/>
                <w:vertAlign w:val="superscript"/>
              </w:rPr>
            </w:pPr>
          </w:p>
        </w:tc>
      </w:tr>
      <w:tr w:rsidR="00FB7D0B" w14:paraId="008C0429" w14:textId="77777777" w:rsidTr="00FB7D0B">
        <w:tblPrEx>
          <w:tblLook w:val="04A0" w:firstRow="1" w:lastRow="0" w:firstColumn="1" w:lastColumn="0" w:noHBand="0" w:noVBand="1"/>
        </w:tblPrEx>
        <w:trPr>
          <w:gridAfter w:val="1"/>
          <w:wAfter w:w="10" w:type="dxa"/>
          <w:trHeight w:val="225"/>
        </w:trPr>
        <w:tc>
          <w:tcPr>
            <w:tcW w:w="0" w:type="auto"/>
            <w:tcBorders>
              <w:top w:val="single" w:sz="6" w:space="0" w:color="FFFFFF"/>
              <w:left w:val="single" w:sz="6" w:space="0" w:color="000000"/>
              <w:bottom w:val="nil"/>
              <w:right w:val="nil"/>
              <w:tl2br w:val="nil"/>
              <w:tr2bl w:val="nil"/>
            </w:tcBorders>
            <w:shd w:val="clear" w:color="auto" w:fill="FFFFFF"/>
            <w:tcMar>
              <w:left w:w="101" w:type="dxa"/>
              <w:right w:w="101" w:type="dxa"/>
            </w:tcMar>
            <w:vAlign w:val="bottom"/>
          </w:tcPr>
          <w:p w14:paraId="111F3002" w14:textId="77777777" w:rsidR="003F0EEA" w:rsidRDefault="003F0EEA">
            <w:pPr>
              <w:rPr>
                <w:rFonts w:ascii="Arial" w:eastAsia="Arial" w:hAnsi="Arial" w:cs="Arial"/>
                <w:color w:val="000000"/>
                <w:sz w:val="16"/>
                <w:vertAlign w:val="superscript"/>
              </w:rPr>
            </w:pPr>
          </w:p>
        </w:tc>
        <w:tc>
          <w:tcPr>
            <w:tcW w:w="0" w:type="auto"/>
            <w:gridSpan w:val="2"/>
            <w:tcBorders>
              <w:top w:val="single" w:sz="6" w:space="0" w:color="FFFFFF"/>
              <w:left w:val="nil"/>
              <w:bottom w:val="nil"/>
              <w:right w:val="nil"/>
              <w:tl2br w:val="nil"/>
              <w:tr2bl w:val="nil"/>
            </w:tcBorders>
            <w:shd w:val="clear" w:color="auto" w:fill="FFFFFF"/>
            <w:tcMar>
              <w:left w:w="101" w:type="dxa"/>
              <w:right w:w="101" w:type="dxa"/>
            </w:tcMar>
            <w:vAlign w:val="bottom"/>
          </w:tcPr>
          <w:p w14:paraId="74817BE3" w14:textId="77777777" w:rsidR="003F0EEA" w:rsidRDefault="00FB7D0B">
            <w:pPr>
              <w:rPr>
                <w:rFonts w:ascii="Arial" w:eastAsia="Arial" w:hAnsi="Arial" w:cs="Arial"/>
                <w:color w:val="000000"/>
                <w:sz w:val="16"/>
                <w:vertAlign w:val="superscript"/>
              </w:rPr>
            </w:pPr>
            <w:r>
              <w:rPr>
                <w:rFonts w:ascii="Arial" w:eastAsia="Arial" w:hAnsi="Arial" w:cs="Arial"/>
                <w:i/>
                <w:color w:val="000000"/>
                <w:sz w:val="16"/>
              </w:rPr>
              <w:t>Veterans' Entitlements Act 1986 (VEA)</w:t>
            </w:r>
          </w:p>
        </w:tc>
        <w:tc>
          <w:tcPr>
            <w:tcW w:w="0" w:type="auto"/>
            <w:tcBorders>
              <w:top w:val="single" w:sz="6" w:space="0" w:color="FFFFFF"/>
              <w:left w:val="nil"/>
              <w:bottom w:val="nil"/>
              <w:right w:val="nil"/>
              <w:tl2br w:val="nil"/>
              <w:tr2bl w:val="nil"/>
            </w:tcBorders>
            <w:shd w:val="clear" w:color="auto" w:fill="FFFFFF"/>
            <w:tcMar>
              <w:left w:w="101" w:type="dxa"/>
              <w:right w:w="101" w:type="dxa"/>
            </w:tcMar>
            <w:vAlign w:val="bottom"/>
          </w:tcPr>
          <w:p w14:paraId="267AB864" w14:textId="77777777" w:rsidR="003F0EEA" w:rsidRDefault="003F0EEA">
            <w:pPr>
              <w:rPr>
                <w:rFonts w:ascii="Arial" w:eastAsia="Arial" w:hAnsi="Arial" w:cs="Arial"/>
                <w:i/>
                <w:color w:val="000000"/>
                <w:sz w:val="16"/>
                <w:vertAlign w:val="superscript"/>
              </w:rPr>
            </w:pPr>
          </w:p>
        </w:tc>
        <w:tc>
          <w:tcPr>
            <w:tcW w:w="0" w:type="auto"/>
            <w:tcBorders>
              <w:top w:val="nil"/>
              <w:left w:val="nil"/>
              <w:bottom w:val="nil"/>
              <w:right w:val="nil"/>
              <w:tl2br w:val="nil"/>
              <w:tr2bl w:val="nil"/>
            </w:tcBorders>
            <w:shd w:val="clear" w:color="auto" w:fill="FFFF00"/>
            <w:tcMar>
              <w:left w:w="101" w:type="dxa"/>
              <w:right w:w="101" w:type="dxa"/>
            </w:tcMar>
            <w:vAlign w:val="bottom"/>
          </w:tcPr>
          <w:p w14:paraId="4D0090CB" w14:textId="77777777" w:rsidR="003F0EEA" w:rsidRDefault="003F0EEA">
            <w:pPr>
              <w:jc w:val="right"/>
              <w:rPr>
                <w:rFonts w:ascii="Arial" w:eastAsia="Arial" w:hAnsi="Arial" w:cs="Arial"/>
                <w:color w:val="000000"/>
                <w:sz w:val="16"/>
                <w:vertAlign w:val="superscript"/>
              </w:rPr>
            </w:pPr>
          </w:p>
        </w:tc>
        <w:tc>
          <w:tcPr>
            <w:tcW w:w="0" w:type="auto"/>
            <w:tcBorders>
              <w:top w:val="single" w:sz="6" w:space="0" w:color="FFFFFF"/>
              <w:left w:val="nil"/>
              <w:bottom w:val="nil"/>
              <w:right w:val="nil"/>
              <w:tl2br w:val="nil"/>
              <w:tr2bl w:val="nil"/>
            </w:tcBorders>
            <w:shd w:val="clear" w:color="auto" w:fill="FFFFFF"/>
            <w:tcMar>
              <w:left w:w="101" w:type="dxa"/>
              <w:right w:w="101" w:type="dxa"/>
            </w:tcMar>
            <w:vAlign w:val="bottom"/>
          </w:tcPr>
          <w:p w14:paraId="29BFABFE" w14:textId="77777777" w:rsidR="003F0EEA" w:rsidRDefault="003F0EEA">
            <w:pPr>
              <w:jc w:val="right"/>
              <w:rPr>
                <w:rFonts w:ascii="Arial" w:eastAsia="Arial" w:hAnsi="Arial" w:cs="Arial"/>
                <w:color w:val="000000"/>
                <w:sz w:val="16"/>
                <w:vertAlign w:val="superscript"/>
              </w:rPr>
            </w:pPr>
          </w:p>
        </w:tc>
        <w:tc>
          <w:tcPr>
            <w:tcW w:w="0" w:type="auto"/>
            <w:tcBorders>
              <w:top w:val="single" w:sz="6" w:space="0" w:color="FFFFFF"/>
              <w:left w:val="nil"/>
              <w:bottom w:val="nil"/>
              <w:right w:val="nil"/>
              <w:tl2br w:val="nil"/>
              <w:tr2bl w:val="nil"/>
            </w:tcBorders>
            <w:shd w:val="clear" w:color="auto" w:fill="FFFFFF"/>
            <w:tcMar>
              <w:left w:w="101" w:type="dxa"/>
              <w:right w:w="101" w:type="dxa"/>
            </w:tcMar>
            <w:vAlign w:val="bottom"/>
          </w:tcPr>
          <w:p w14:paraId="3935E67F" w14:textId="77777777" w:rsidR="003F0EEA" w:rsidRDefault="003F0EEA">
            <w:pPr>
              <w:jc w:val="right"/>
              <w:rPr>
                <w:rFonts w:ascii="Arial" w:eastAsia="Arial" w:hAnsi="Arial" w:cs="Arial"/>
                <w:color w:val="000000"/>
                <w:sz w:val="16"/>
                <w:vertAlign w:val="superscript"/>
              </w:rPr>
            </w:pPr>
          </w:p>
        </w:tc>
        <w:tc>
          <w:tcPr>
            <w:tcW w:w="0" w:type="auto"/>
            <w:tcBorders>
              <w:top w:val="single" w:sz="6" w:space="0" w:color="FFFFFF"/>
              <w:left w:val="nil"/>
              <w:bottom w:val="nil"/>
              <w:right w:val="single" w:sz="6" w:space="0" w:color="000000"/>
              <w:tl2br w:val="nil"/>
              <w:tr2bl w:val="nil"/>
            </w:tcBorders>
            <w:shd w:val="clear" w:color="auto" w:fill="FFFFFF"/>
            <w:tcMar>
              <w:left w:w="101" w:type="dxa"/>
              <w:right w:w="101" w:type="dxa"/>
            </w:tcMar>
            <w:vAlign w:val="bottom"/>
          </w:tcPr>
          <w:p w14:paraId="63D86AF4" w14:textId="77777777" w:rsidR="003F0EEA" w:rsidRDefault="003F0EEA">
            <w:pPr>
              <w:jc w:val="right"/>
              <w:rPr>
                <w:rFonts w:ascii="Arial" w:eastAsia="Arial" w:hAnsi="Arial" w:cs="Arial"/>
                <w:color w:val="000000"/>
                <w:sz w:val="16"/>
                <w:vertAlign w:val="superscript"/>
              </w:rPr>
            </w:pPr>
          </w:p>
        </w:tc>
      </w:tr>
      <w:tr w:rsidR="00724034" w14:paraId="02FA9E1A" w14:textId="77777777">
        <w:tblPrEx>
          <w:tblLook w:val="04A0" w:firstRow="1" w:lastRow="0" w:firstColumn="1" w:lastColumn="0" w:noHBand="0" w:noVBand="1"/>
        </w:tblPrEx>
        <w:trPr>
          <w:gridAfter w:val="1"/>
          <w:wAfter w:w="10" w:type="dxa"/>
          <w:trHeight w:val="225"/>
        </w:trPr>
        <w:tc>
          <w:tcPr>
            <w:tcW w:w="0" w:type="auto"/>
            <w:tcBorders>
              <w:top w:val="nil"/>
              <w:left w:val="single" w:sz="6" w:space="0" w:color="000000"/>
              <w:bottom w:val="nil"/>
              <w:right w:val="nil"/>
              <w:tl2br w:val="nil"/>
              <w:tr2bl w:val="nil"/>
            </w:tcBorders>
            <w:shd w:val="clear" w:color="auto" w:fill="FFFFFF"/>
            <w:tcMar>
              <w:left w:w="101" w:type="dxa"/>
              <w:right w:w="101" w:type="dxa"/>
            </w:tcMar>
            <w:vAlign w:val="bottom"/>
          </w:tcPr>
          <w:p w14:paraId="1688537E" w14:textId="77777777" w:rsidR="003F0EEA" w:rsidRDefault="003F0EEA">
            <w:pPr>
              <w:rPr>
                <w:rFonts w:ascii="Arial" w:eastAsia="Arial" w:hAnsi="Arial" w:cs="Arial"/>
                <w:color w:val="000000"/>
                <w:sz w:val="16"/>
                <w:vertAlign w:val="superscript"/>
              </w:rPr>
            </w:pPr>
          </w:p>
        </w:tc>
        <w:tc>
          <w:tcPr>
            <w:tcW w:w="0" w:type="auto"/>
            <w:tcBorders>
              <w:top w:val="nil"/>
              <w:left w:val="nil"/>
              <w:bottom w:val="nil"/>
              <w:right w:val="nil"/>
              <w:tl2br w:val="nil"/>
              <w:tr2bl w:val="nil"/>
            </w:tcBorders>
            <w:shd w:val="clear" w:color="auto" w:fill="FFFFFF"/>
            <w:tcMar>
              <w:left w:w="101" w:type="dxa"/>
              <w:right w:w="101" w:type="dxa"/>
            </w:tcMar>
            <w:vAlign w:val="bottom"/>
          </w:tcPr>
          <w:p w14:paraId="06F7BDE7" w14:textId="77777777" w:rsidR="003F0EEA" w:rsidRDefault="003F0EEA">
            <w:pPr>
              <w:rPr>
                <w:rFonts w:ascii="Arial" w:eastAsia="Arial" w:hAnsi="Arial" w:cs="Arial"/>
                <w:color w:val="000000"/>
                <w:sz w:val="16"/>
                <w:vertAlign w:val="superscript"/>
              </w:rPr>
            </w:pPr>
          </w:p>
        </w:tc>
        <w:tc>
          <w:tcPr>
            <w:tcW w:w="0" w:type="auto"/>
            <w:tcBorders>
              <w:top w:val="nil"/>
              <w:left w:val="nil"/>
              <w:bottom w:val="nil"/>
              <w:right w:val="nil"/>
              <w:tl2br w:val="nil"/>
              <w:tr2bl w:val="nil"/>
            </w:tcBorders>
            <w:shd w:val="clear" w:color="auto" w:fill="FFFFFF"/>
            <w:tcMar>
              <w:left w:w="101" w:type="dxa"/>
              <w:right w:w="101" w:type="dxa"/>
            </w:tcMar>
            <w:vAlign w:val="bottom"/>
          </w:tcPr>
          <w:p w14:paraId="693CFD93" w14:textId="77777777" w:rsidR="003F0EEA" w:rsidRDefault="00FB7D0B">
            <w:pPr>
              <w:rPr>
                <w:rFonts w:ascii="Arial" w:eastAsia="Arial" w:hAnsi="Arial" w:cs="Arial"/>
                <w:color w:val="000000"/>
                <w:sz w:val="16"/>
                <w:vertAlign w:val="superscript"/>
              </w:rPr>
            </w:pPr>
            <w:r>
              <w:rPr>
                <w:rFonts w:ascii="Arial" w:eastAsia="Arial" w:hAnsi="Arial" w:cs="Arial"/>
                <w:color w:val="000000"/>
                <w:sz w:val="16"/>
              </w:rPr>
              <w:t>Disability pensions</w:t>
            </w:r>
          </w:p>
        </w:tc>
        <w:tc>
          <w:tcPr>
            <w:tcW w:w="0" w:type="auto"/>
            <w:tcBorders>
              <w:top w:val="nil"/>
              <w:left w:val="nil"/>
              <w:bottom w:val="nil"/>
              <w:right w:val="nil"/>
              <w:tl2br w:val="nil"/>
              <w:tr2bl w:val="nil"/>
            </w:tcBorders>
            <w:shd w:val="clear" w:color="auto" w:fill="FFFFFF"/>
            <w:tcMar>
              <w:left w:w="101" w:type="dxa"/>
              <w:right w:w="101" w:type="dxa"/>
            </w:tcMar>
            <w:vAlign w:val="bottom"/>
          </w:tcPr>
          <w:p w14:paraId="63D8F0DD" w14:textId="77777777" w:rsidR="003F0EEA" w:rsidRDefault="00FB7D0B">
            <w:pPr>
              <w:jc w:val="right"/>
              <w:rPr>
                <w:rFonts w:ascii="Arial" w:eastAsia="Arial" w:hAnsi="Arial" w:cs="Arial"/>
                <w:color w:val="000000"/>
                <w:sz w:val="16"/>
                <w:vertAlign w:val="superscript"/>
              </w:rPr>
            </w:pPr>
            <w:r>
              <w:rPr>
                <w:rFonts w:ascii="Arial" w:eastAsia="Arial" w:hAnsi="Arial" w:cs="Arial"/>
                <w:color w:val="000000"/>
                <w:sz w:val="16"/>
              </w:rPr>
              <w:t xml:space="preserve"> 1,571,080 </w:t>
            </w:r>
          </w:p>
        </w:tc>
        <w:tc>
          <w:tcPr>
            <w:tcW w:w="0" w:type="auto"/>
            <w:tcBorders>
              <w:top w:val="nil"/>
              <w:left w:val="nil"/>
              <w:bottom w:val="nil"/>
              <w:right w:val="nil"/>
              <w:tl2br w:val="nil"/>
              <w:tr2bl w:val="nil"/>
            </w:tcBorders>
            <w:shd w:val="clear" w:color="auto" w:fill="FFFF00"/>
            <w:tcMar>
              <w:left w:w="101" w:type="dxa"/>
              <w:right w:w="101" w:type="dxa"/>
            </w:tcMar>
            <w:vAlign w:val="bottom"/>
          </w:tcPr>
          <w:p w14:paraId="149D4B91" w14:textId="77777777" w:rsidR="003F0EEA" w:rsidRDefault="00FB7D0B">
            <w:pPr>
              <w:jc w:val="right"/>
              <w:rPr>
                <w:rFonts w:ascii="Arial" w:eastAsia="Arial" w:hAnsi="Arial" w:cs="Arial"/>
                <w:color w:val="000000"/>
                <w:sz w:val="16"/>
              </w:rPr>
            </w:pPr>
            <w:r>
              <w:rPr>
                <w:rFonts w:ascii="Arial" w:eastAsia="Arial" w:hAnsi="Arial" w:cs="Arial"/>
                <w:color w:val="000000"/>
                <w:sz w:val="16"/>
              </w:rPr>
              <w:t xml:space="preserve"> 1,572,055 </w:t>
            </w:r>
          </w:p>
        </w:tc>
        <w:tc>
          <w:tcPr>
            <w:tcW w:w="0" w:type="auto"/>
            <w:tcBorders>
              <w:top w:val="nil"/>
              <w:left w:val="nil"/>
              <w:bottom w:val="nil"/>
              <w:right w:val="nil"/>
              <w:tl2br w:val="nil"/>
              <w:tr2bl w:val="nil"/>
            </w:tcBorders>
            <w:shd w:val="clear" w:color="auto" w:fill="FFFFFF"/>
            <w:tcMar>
              <w:left w:w="101" w:type="dxa"/>
              <w:right w:w="101" w:type="dxa"/>
            </w:tcMar>
            <w:vAlign w:val="bottom"/>
          </w:tcPr>
          <w:p w14:paraId="7168C81F" w14:textId="77777777" w:rsidR="003F0EEA" w:rsidRDefault="00FB7D0B">
            <w:pPr>
              <w:jc w:val="right"/>
              <w:rPr>
                <w:rFonts w:ascii="Arial" w:eastAsia="Arial" w:hAnsi="Arial" w:cs="Arial"/>
                <w:color w:val="000000"/>
                <w:sz w:val="16"/>
              </w:rPr>
            </w:pPr>
            <w:r>
              <w:rPr>
                <w:rFonts w:ascii="Arial" w:eastAsia="Arial" w:hAnsi="Arial" w:cs="Arial"/>
                <w:color w:val="000000"/>
                <w:sz w:val="16"/>
              </w:rPr>
              <w:t xml:space="preserve"> 1,563,657 </w:t>
            </w:r>
          </w:p>
        </w:tc>
        <w:tc>
          <w:tcPr>
            <w:tcW w:w="0" w:type="auto"/>
            <w:tcBorders>
              <w:top w:val="nil"/>
              <w:left w:val="nil"/>
              <w:bottom w:val="nil"/>
              <w:right w:val="nil"/>
              <w:tl2br w:val="nil"/>
              <w:tr2bl w:val="nil"/>
            </w:tcBorders>
            <w:shd w:val="clear" w:color="auto" w:fill="FFFFFF"/>
            <w:tcMar>
              <w:left w:w="101" w:type="dxa"/>
              <w:right w:w="101" w:type="dxa"/>
            </w:tcMar>
            <w:vAlign w:val="bottom"/>
          </w:tcPr>
          <w:p w14:paraId="5BD25448" w14:textId="77777777" w:rsidR="003F0EEA" w:rsidRDefault="00FB7D0B">
            <w:pPr>
              <w:jc w:val="right"/>
              <w:rPr>
                <w:rFonts w:ascii="Arial" w:eastAsia="Arial" w:hAnsi="Arial" w:cs="Arial"/>
                <w:color w:val="000000"/>
                <w:sz w:val="16"/>
              </w:rPr>
            </w:pPr>
            <w:r>
              <w:rPr>
                <w:rFonts w:ascii="Arial" w:eastAsia="Arial" w:hAnsi="Arial" w:cs="Arial"/>
                <w:color w:val="000000"/>
                <w:sz w:val="16"/>
              </w:rPr>
              <w:t xml:space="preserve"> 1,559,296 </w:t>
            </w:r>
          </w:p>
        </w:tc>
        <w:tc>
          <w:tcPr>
            <w:tcW w:w="0" w:type="auto"/>
            <w:tcBorders>
              <w:top w:val="nil"/>
              <w:left w:val="nil"/>
              <w:bottom w:val="nil"/>
              <w:right w:val="single" w:sz="6" w:space="0" w:color="000000"/>
              <w:tl2br w:val="nil"/>
              <w:tr2bl w:val="nil"/>
            </w:tcBorders>
            <w:shd w:val="clear" w:color="auto" w:fill="FFFFFF"/>
            <w:tcMar>
              <w:left w:w="101" w:type="dxa"/>
              <w:right w:w="101" w:type="dxa"/>
            </w:tcMar>
            <w:vAlign w:val="bottom"/>
          </w:tcPr>
          <w:p w14:paraId="2EF83449" w14:textId="77777777" w:rsidR="003F0EEA" w:rsidRDefault="00FB7D0B">
            <w:pPr>
              <w:jc w:val="right"/>
              <w:rPr>
                <w:rFonts w:ascii="Arial" w:eastAsia="Arial" w:hAnsi="Arial" w:cs="Arial"/>
                <w:color w:val="000000"/>
                <w:sz w:val="16"/>
              </w:rPr>
            </w:pPr>
            <w:r>
              <w:rPr>
                <w:rFonts w:ascii="Arial" w:eastAsia="Arial" w:hAnsi="Arial" w:cs="Arial"/>
                <w:color w:val="000000"/>
                <w:sz w:val="16"/>
              </w:rPr>
              <w:t xml:space="preserve"> 1,539,125 </w:t>
            </w:r>
          </w:p>
        </w:tc>
      </w:tr>
      <w:tr w:rsidR="00724034" w14:paraId="74330B38" w14:textId="77777777">
        <w:tblPrEx>
          <w:tblLook w:val="04A0" w:firstRow="1" w:lastRow="0" w:firstColumn="1" w:lastColumn="0" w:noHBand="0" w:noVBand="1"/>
        </w:tblPrEx>
        <w:trPr>
          <w:gridAfter w:val="1"/>
          <w:wAfter w:w="10" w:type="dxa"/>
          <w:trHeight w:val="225"/>
        </w:trPr>
        <w:tc>
          <w:tcPr>
            <w:tcW w:w="0" w:type="auto"/>
            <w:tcBorders>
              <w:top w:val="nil"/>
              <w:left w:val="single" w:sz="6" w:space="0" w:color="000000"/>
              <w:bottom w:val="nil"/>
              <w:right w:val="nil"/>
              <w:tl2br w:val="nil"/>
              <w:tr2bl w:val="nil"/>
            </w:tcBorders>
            <w:shd w:val="clear" w:color="auto" w:fill="FFFFFF"/>
            <w:tcMar>
              <w:left w:w="101" w:type="dxa"/>
              <w:right w:w="101" w:type="dxa"/>
            </w:tcMar>
            <w:vAlign w:val="bottom"/>
          </w:tcPr>
          <w:p w14:paraId="63900D28" w14:textId="77777777" w:rsidR="003F0EEA" w:rsidRDefault="003F0EEA">
            <w:pPr>
              <w:rPr>
                <w:rFonts w:ascii="Arial" w:eastAsia="Arial" w:hAnsi="Arial" w:cs="Arial"/>
                <w:color w:val="000000"/>
                <w:sz w:val="16"/>
              </w:rPr>
            </w:pPr>
          </w:p>
        </w:tc>
        <w:tc>
          <w:tcPr>
            <w:tcW w:w="0" w:type="auto"/>
            <w:tcBorders>
              <w:top w:val="nil"/>
              <w:left w:val="nil"/>
              <w:bottom w:val="nil"/>
              <w:right w:val="nil"/>
              <w:tl2br w:val="nil"/>
              <w:tr2bl w:val="nil"/>
            </w:tcBorders>
            <w:shd w:val="clear" w:color="auto" w:fill="FFFFFF"/>
            <w:tcMar>
              <w:left w:w="101" w:type="dxa"/>
              <w:right w:w="101" w:type="dxa"/>
            </w:tcMar>
            <w:vAlign w:val="bottom"/>
          </w:tcPr>
          <w:p w14:paraId="28559CD7" w14:textId="77777777" w:rsidR="003F0EEA" w:rsidRDefault="003F0EEA">
            <w:pPr>
              <w:rPr>
                <w:rFonts w:ascii="Arial" w:eastAsia="Arial" w:hAnsi="Arial" w:cs="Arial"/>
                <w:color w:val="000000"/>
                <w:sz w:val="16"/>
              </w:rPr>
            </w:pPr>
          </w:p>
        </w:tc>
        <w:tc>
          <w:tcPr>
            <w:tcW w:w="0" w:type="auto"/>
            <w:tcBorders>
              <w:top w:val="nil"/>
              <w:left w:val="nil"/>
              <w:bottom w:val="nil"/>
              <w:right w:val="nil"/>
              <w:tl2br w:val="nil"/>
              <w:tr2bl w:val="nil"/>
            </w:tcBorders>
            <w:shd w:val="clear" w:color="auto" w:fill="FFFFFF"/>
            <w:tcMar>
              <w:left w:w="101" w:type="dxa"/>
              <w:right w:w="101" w:type="dxa"/>
            </w:tcMar>
            <w:vAlign w:val="bottom"/>
          </w:tcPr>
          <w:p w14:paraId="776E9E66" w14:textId="77777777" w:rsidR="003F0EEA" w:rsidRDefault="00FB7D0B">
            <w:pPr>
              <w:rPr>
                <w:rFonts w:ascii="Arial" w:eastAsia="Arial" w:hAnsi="Arial" w:cs="Arial"/>
                <w:color w:val="000000"/>
                <w:sz w:val="16"/>
              </w:rPr>
            </w:pPr>
            <w:r>
              <w:rPr>
                <w:rFonts w:ascii="Arial" w:eastAsia="Arial" w:hAnsi="Arial" w:cs="Arial"/>
                <w:color w:val="000000"/>
                <w:sz w:val="16"/>
              </w:rPr>
              <w:t>Loss of earnings</w:t>
            </w:r>
          </w:p>
        </w:tc>
        <w:tc>
          <w:tcPr>
            <w:tcW w:w="0" w:type="auto"/>
            <w:tcBorders>
              <w:top w:val="nil"/>
              <w:left w:val="nil"/>
              <w:bottom w:val="nil"/>
              <w:right w:val="nil"/>
              <w:tl2br w:val="nil"/>
              <w:tr2bl w:val="nil"/>
            </w:tcBorders>
            <w:shd w:val="clear" w:color="auto" w:fill="FFFFFF"/>
            <w:tcMar>
              <w:left w:w="101" w:type="dxa"/>
              <w:right w:w="101" w:type="dxa"/>
            </w:tcMar>
            <w:vAlign w:val="bottom"/>
          </w:tcPr>
          <w:p w14:paraId="69BF9508" w14:textId="77777777" w:rsidR="003F0EEA" w:rsidRDefault="00FB7D0B">
            <w:pPr>
              <w:jc w:val="right"/>
              <w:rPr>
                <w:rFonts w:ascii="Arial" w:eastAsia="Arial" w:hAnsi="Arial" w:cs="Arial"/>
                <w:color w:val="000000"/>
                <w:sz w:val="16"/>
                <w:vertAlign w:val="superscript"/>
              </w:rPr>
            </w:pPr>
            <w:r>
              <w:rPr>
                <w:rFonts w:ascii="Arial" w:eastAsia="Arial" w:hAnsi="Arial" w:cs="Arial"/>
                <w:color w:val="000000"/>
                <w:sz w:val="16"/>
              </w:rPr>
              <w:t xml:space="preserve"> 503 </w:t>
            </w:r>
          </w:p>
        </w:tc>
        <w:tc>
          <w:tcPr>
            <w:tcW w:w="0" w:type="auto"/>
            <w:tcBorders>
              <w:top w:val="nil"/>
              <w:left w:val="nil"/>
              <w:bottom w:val="nil"/>
              <w:right w:val="nil"/>
              <w:tl2br w:val="nil"/>
              <w:tr2bl w:val="nil"/>
            </w:tcBorders>
            <w:shd w:val="clear" w:color="auto" w:fill="FFFF00"/>
            <w:tcMar>
              <w:left w:w="101" w:type="dxa"/>
              <w:right w:w="101" w:type="dxa"/>
            </w:tcMar>
            <w:vAlign w:val="bottom"/>
          </w:tcPr>
          <w:p w14:paraId="75C535FC" w14:textId="77777777" w:rsidR="003F0EEA" w:rsidRDefault="00FB7D0B">
            <w:pPr>
              <w:jc w:val="right"/>
              <w:rPr>
                <w:rFonts w:ascii="Arial" w:eastAsia="Arial" w:hAnsi="Arial" w:cs="Arial"/>
                <w:color w:val="000000"/>
                <w:sz w:val="16"/>
              </w:rPr>
            </w:pPr>
            <w:r>
              <w:rPr>
                <w:rFonts w:ascii="Arial" w:eastAsia="Arial" w:hAnsi="Arial" w:cs="Arial"/>
                <w:color w:val="000000"/>
                <w:sz w:val="16"/>
              </w:rPr>
              <w:t xml:space="preserve"> 527 </w:t>
            </w:r>
          </w:p>
        </w:tc>
        <w:tc>
          <w:tcPr>
            <w:tcW w:w="0" w:type="auto"/>
            <w:tcBorders>
              <w:top w:val="nil"/>
              <w:left w:val="nil"/>
              <w:bottom w:val="nil"/>
              <w:right w:val="nil"/>
              <w:tl2br w:val="nil"/>
              <w:tr2bl w:val="nil"/>
            </w:tcBorders>
            <w:shd w:val="clear" w:color="auto" w:fill="FFFFFF"/>
            <w:tcMar>
              <w:left w:w="101" w:type="dxa"/>
              <w:right w:w="101" w:type="dxa"/>
            </w:tcMar>
            <w:vAlign w:val="bottom"/>
          </w:tcPr>
          <w:p w14:paraId="29B4FBD6" w14:textId="77777777" w:rsidR="003F0EEA" w:rsidRDefault="00FB7D0B">
            <w:pPr>
              <w:jc w:val="right"/>
              <w:rPr>
                <w:rFonts w:ascii="Arial" w:eastAsia="Arial" w:hAnsi="Arial" w:cs="Arial"/>
                <w:color w:val="000000"/>
                <w:sz w:val="16"/>
              </w:rPr>
            </w:pPr>
            <w:r>
              <w:rPr>
                <w:rFonts w:ascii="Arial" w:eastAsia="Arial" w:hAnsi="Arial" w:cs="Arial"/>
                <w:color w:val="000000"/>
                <w:sz w:val="16"/>
              </w:rPr>
              <w:t xml:space="preserve"> 555 </w:t>
            </w:r>
          </w:p>
        </w:tc>
        <w:tc>
          <w:tcPr>
            <w:tcW w:w="0" w:type="auto"/>
            <w:tcBorders>
              <w:top w:val="nil"/>
              <w:left w:val="nil"/>
              <w:bottom w:val="nil"/>
              <w:right w:val="nil"/>
              <w:tl2br w:val="nil"/>
              <w:tr2bl w:val="nil"/>
            </w:tcBorders>
            <w:shd w:val="clear" w:color="auto" w:fill="FFFFFF"/>
            <w:tcMar>
              <w:left w:w="101" w:type="dxa"/>
              <w:right w:w="101" w:type="dxa"/>
            </w:tcMar>
            <w:vAlign w:val="bottom"/>
          </w:tcPr>
          <w:p w14:paraId="1F2DFAD0" w14:textId="77777777" w:rsidR="003F0EEA" w:rsidRDefault="00FB7D0B">
            <w:pPr>
              <w:jc w:val="right"/>
              <w:rPr>
                <w:rFonts w:ascii="Arial" w:eastAsia="Arial" w:hAnsi="Arial" w:cs="Arial"/>
                <w:color w:val="000000"/>
                <w:sz w:val="16"/>
              </w:rPr>
            </w:pPr>
            <w:r>
              <w:rPr>
                <w:rFonts w:ascii="Arial" w:eastAsia="Arial" w:hAnsi="Arial" w:cs="Arial"/>
                <w:color w:val="000000"/>
                <w:sz w:val="16"/>
              </w:rPr>
              <w:t xml:space="preserve"> 582 </w:t>
            </w:r>
          </w:p>
        </w:tc>
        <w:tc>
          <w:tcPr>
            <w:tcW w:w="0" w:type="auto"/>
            <w:tcBorders>
              <w:top w:val="nil"/>
              <w:left w:val="nil"/>
              <w:bottom w:val="nil"/>
              <w:right w:val="single" w:sz="6" w:space="0" w:color="000000"/>
              <w:tl2br w:val="nil"/>
              <w:tr2bl w:val="nil"/>
            </w:tcBorders>
            <w:shd w:val="clear" w:color="auto" w:fill="FFFFFF"/>
            <w:tcMar>
              <w:left w:w="101" w:type="dxa"/>
              <w:right w:w="101" w:type="dxa"/>
            </w:tcMar>
            <w:vAlign w:val="bottom"/>
          </w:tcPr>
          <w:p w14:paraId="41FBCEA3" w14:textId="77777777" w:rsidR="003F0EEA" w:rsidRDefault="00FB7D0B">
            <w:pPr>
              <w:jc w:val="right"/>
              <w:rPr>
                <w:rFonts w:ascii="Arial" w:eastAsia="Arial" w:hAnsi="Arial" w:cs="Arial"/>
                <w:color w:val="000000"/>
                <w:sz w:val="16"/>
              </w:rPr>
            </w:pPr>
            <w:r>
              <w:rPr>
                <w:rFonts w:ascii="Arial" w:eastAsia="Arial" w:hAnsi="Arial" w:cs="Arial"/>
                <w:color w:val="000000"/>
                <w:sz w:val="16"/>
              </w:rPr>
              <w:t xml:space="preserve"> 597 </w:t>
            </w:r>
          </w:p>
        </w:tc>
      </w:tr>
      <w:tr w:rsidR="00724034" w14:paraId="045C2542" w14:textId="77777777">
        <w:tblPrEx>
          <w:tblLook w:val="04A0" w:firstRow="1" w:lastRow="0" w:firstColumn="1" w:lastColumn="0" w:noHBand="0" w:noVBand="1"/>
        </w:tblPrEx>
        <w:trPr>
          <w:gridAfter w:val="1"/>
          <w:wAfter w:w="10" w:type="dxa"/>
          <w:trHeight w:val="225"/>
        </w:trPr>
        <w:tc>
          <w:tcPr>
            <w:tcW w:w="0" w:type="auto"/>
            <w:tcBorders>
              <w:top w:val="nil"/>
              <w:left w:val="single" w:sz="6" w:space="0" w:color="000000"/>
              <w:bottom w:val="nil"/>
              <w:right w:val="nil"/>
              <w:tl2br w:val="nil"/>
              <w:tr2bl w:val="nil"/>
            </w:tcBorders>
            <w:shd w:val="clear" w:color="auto" w:fill="FFFFFF"/>
            <w:tcMar>
              <w:left w:w="101" w:type="dxa"/>
              <w:right w:w="101" w:type="dxa"/>
            </w:tcMar>
            <w:vAlign w:val="bottom"/>
          </w:tcPr>
          <w:p w14:paraId="65425289" w14:textId="77777777" w:rsidR="003F0EEA" w:rsidRDefault="003F0EEA">
            <w:pPr>
              <w:rPr>
                <w:rFonts w:ascii="Arial" w:eastAsia="Arial" w:hAnsi="Arial" w:cs="Arial"/>
                <w:color w:val="000000"/>
                <w:sz w:val="16"/>
              </w:rPr>
            </w:pPr>
          </w:p>
        </w:tc>
        <w:tc>
          <w:tcPr>
            <w:tcW w:w="0" w:type="auto"/>
            <w:tcBorders>
              <w:top w:val="nil"/>
              <w:left w:val="nil"/>
              <w:bottom w:val="nil"/>
              <w:right w:val="nil"/>
              <w:tl2br w:val="nil"/>
              <w:tr2bl w:val="nil"/>
            </w:tcBorders>
            <w:shd w:val="clear" w:color="auto" w:fill="FFFFFF"/>
            <w:tcMar>
              <w:left w:w="101" w:type="dxa"/>
              <w:right w:w="101" w:type="dxa"/>
            </w:tcMar>
            <w:vAlign w:val="bottom"/>
          </w:tcPr>
          <w:p w14:paraId="3C6540E4" w14:textId="77777777" w:rsidR="003F0EEA" w:rsidRDefault="003F0EEA">
            <w:pPr>
              <w:rPr>
                <w:rFonts w:ascii="Arial" w:eastAsia="Arial" w:hAnsi="Arial" w:cs="Arial"/>
                <w:color w:val="000000"/>
                <w:sz w:val="16"/>
              </w:rPr>
            </w:pPr>
          </w:p>
        </w:tc>
        <w:tc>
          <w:tcPr>
            <w:tcW w:w="0" w:type="auto"/>
            <w:tcBorders>
              <w:top w:val="nil"/>
              <w:left w:val="nil"/>
              <w:bottom w:val="nil"/>
              <w:right w:val="nil"/>
              <w:tl2br w:val="nil"/>
              <w:tr2bl w:val="nil"/>
            </w:tcBorders>
            <w:shd w:val="clear" w:color="auto" w:fill="FFFFFF"/>
            <w:tcMar>
              <w:left w:w="101" w:type="dxa"/>
              <w:right w:w="101" w:type="dxa"/>
            </w:tcMar>
            <w:vAlign w:val="bottom"/>
          </w:tcPr>
          <w:p w14:paraId="13772C9E" w14:textId="77777777" w:rsidR="003F0EEA" w:rsidRDefault="00FB7D0B">
            <w:pPr>
              <w:rPr>
                <w:rFonts w:ascii="Arial" w:eastAsia="Arial" w:hAnsi="Arial" w:cs="Arial"/>
                <w:color w:val="000000"/>
                <w:sz w:val="16"/>
              </w:rPr>
            </w:pPr>
            <w:r>
              <w:rPr>
                <w:rFonts w:ascii="Arial" w:eastAsia="Arial" w:hAnsi="Arial" w:cs="Arial"/>
                <w:color w:val="000000"/>
                <w:sz w:val="16"/>
              </w:rPr>
              <w:t>Recreation transport allowance</w:t>
            </w:r>
          </w:p>
        </w:tc>
        <w:tc>
          <w:tcPr>
            <w:tcW w:w="0" w:type="auto"/>
            <w:tcBorders>
              <w:top w:val="nil"/>
              <w:left w:val="nil"/>
              <w:bottom w:val="nil"/>
              <w:right w:val="nil"/>
              <w:tl2br w:val="nil"/>
              <w:tr2bl w:val="nil"/>
            </w:tcBorders>
            <w:shd w:val="clear" w:color="auto" w:fill="FFFFFF"/>
            <w:tcMar>
              <w:left w:w="101" w:type="dxa"/>
              <w:right w:w="101" w:type="dxa"/>
            </w:tcMar>
            <w:vAlign w:val="bottom"/>
          </w:tcPr>
          <w:p w14:paraId="5DF76F4E" w14:textId="77777777" w:rsidR="003F0EEA" w:rsidRDefault="00FB7D0B">
            <w:pPr>
              <w:jc w:val="right"/>
              <w:rPr>
                <w:rFonts w:ascii="Arial" w:eastAsia="Arial" w:hAnsi="Arial" w:cs="Arial"/>
                <w:color w:val="000000"/>
                <w:sz w:val="16"/>
                <w:vertAlign w:val="superscript"/>
              </w:rPr>
            </w:pPr>
            <w:r>
              <w:rPr>
                <w:rFonts w:ascii="Arial" w:eastAsia="Arial" w:hAnsi="Arial" w:cs="Arial"/>
                <w:color w:val="000000"/>
                <w:sz w:val="16"/>
              </w:rPr>
              <w:t xml:space="preserve"> 2,124 </w:t>
            </w:r>
          </w:p>
        </w:tc>
        <w:tc>
          <w:tcPr>
            <w:tcW w:w="0" w:type="auto"/>
            <w:tcBorders>
              <w:top w:val="nil"/>
              <w:left w:val="nil"/>
              <w:bottom w:val="nil"/>
              <w:right w:val="nil"/>
              <w:tl2br w:val="nil"/>
              <w:tr2bl w:val="nil"/>
            </w:tcBorders>
            <w:shd w:val="clear" w:color="auto" w:fill="FFFF00"/>
            <w:tcMar>
              <w:left w:w="101" w:type="dxa"/>
              <w:right w:w="101" w:type="dxa"/>
            </w:tcMar>
            <w:vAlign w:val="bottom"/>
          </w:tcPr>
          <w:p w14:paraId="7875EF3B" w14:textId="77777777" w:rsidR="003F0EEA" w:rsidRDefault="00FB7D0B">
            <w:pPr>
              <w:jc w:val="right"/>
              <w:rPr>
                <w:rFonts w:ascii="Arial" w:eastAsia="Arial" w:hAnsi="Arial" w:cs="Arial"/>
                <w:color w:val="000000"/>
                <w:sz w:val="16"/>
              </w:rPr>
            </w:pPr>
            <w:r>
              <w:rPr>
                <w:rFonts w:ascii="Arial" w:eastAsia="Arial" w:hAnsi="Arial" w:cs="Arial"/>
                <w:color w:val="000000"/>
                <w:sz w:val="16"/>
              </w:rPr>
              <w:t xml:space="preserve"> 1,847 </w:t>
            </w:r>
          </w:p>
        </w:tc>
        <w:tc>
          <w:tcPr>
            <w:tcW w:w="0" w:type="auto"/>
            <w:tcBorders>
              <w:top w:val="nil"/>
              <w:left w:val="nil"/>
              <w:bottom w:val="nil"/>
              <w:right w:val="nil"/>
              <w:tl2br w:val="nil"/>
              <w:tr2bl w:val="nil"/>
            </w:tcBorders>
            <w:shd w:val="clear" w:color="auto" w:fill="FFFFFF"/>
            <w:tcMar>
              <w:left w:w="101" w:type="dxa"/>
              <w:right w:w="101" w:type="dxa"/>
            </w:tcMar>
            <w:vAlign w:val="bottom"/>
          </w:tcPr>
          <w:p w14:paraId="5F6799DA" w14:textId="77777777" w:rsidR="003F0EEA" w:rsidRDefault="00FB7D0B">
            <w:pPr>
              <w:jc w:val="right"/>
              <w:rPr>
                <w:rFonts w:ascii="Arial" w:eastAsia="Arial" w:hAnsi="Arial" w:cs="Arial"/>
                <w:color w:val="000000"/>
                <w:sz w:val="16"/>
              </w:rPr>
            </w:pPr>
            <w:r>
              <w:rPr>
                <w:rFonts w:ascii="Arial" w:eastAsia="Arial" w:hAnsi="Arial" w:cs="Arial"/>
                <w:color w:val="000000"/>
                <w:sz w:val="16"/>
              </w:rPr>
              <w:t xml:space="preserve"> 1,608 </w:t>
            </w:r>
          </w:p>
        </w:tc>
        <w:tc>
          <w:tcPr>
            <w:tcW w:w="0" w:type="auto"/>
            <w:tcBorders>
              <w:top w:val="nil"/>
              <w:left w:val="nil"/>
              <w:bottom w:val="nil"/>
              <w:right w:val="nil"/>
              <w:tl2br w:val="nil"/>
              <w:tr2bl w:val="nil"/>
            </w:tcBorders>
            <w:shd w:val="clear" w:color="auto" w:fill="FFFFFF"/>
            <w:tcMar>
              <w:left w:w="101" w:type="dxa"/>
              <w:right w:w="101" w:type="dxa"/>
            </w:tcMar>
            <w:vAlign w:val="bottom"/>
          </w:tcPr>
          <w:p w14:paraId="24861DEF" w14:textId="77777777" w:rsidR="003F0EEA" w:rsidRDefault="00FB7D0B">
            <w:pPr>
              <w:jc w:val="right"/>
              <w:rPr>
                <w:rFonts w:ascii="Arial" w:eastAsia="Arial" w:hAnsi="Arial" w:cs="Arial"/>
                <w:color w:val="000000"/>
                <w:sz w:val="16"/>
              </w:rPr>
            </w:pPr>
            <w:r>
              <w:rPr>
                <w:rFonts w:ascii="Arial" w:eastAsia="Arial" w:hAnsi="Arial" w:cs="Arial"/>
                <w:color w:val="000000"/>
                <w:sz w:val="16"/>
              </w:rPr>
              <w:t xml:space="preserve"> 1,402 </w:t>
            </w:r>
          </w:p>
        </w:tc>
        <w:tc>
          <w:tcPr>
            <w:tcW w:w="0" w:type="auto"/>
            <w:tcBorders>
              <w:top w:val="nil"/>
              <w:left w:val="nil"/>
              <w:bottom w:val="nil"/>
              <w:right w:val="single" w:sz="6" w:space="0" w:color="000000"/>
              <w:tl2br w:val="nil"/>
              <w:tr2bl w:val="nil"/>
            </w:tcBorders>
            <w:shd w:val="clear" w:color="auto" w:fill="FFFFFF"/>
            <w:tcMar>
              <w:left w:w="101" w:type="dxa"/>
              <w:right w:w="101" w:type="dxa"/>
            </w:tcMar>
            <w:vAlign w:val="bottom"/>
          </w:tcPr>
          <w:p w14:paraId="48371637" w14:textId="77777777" w:rsidR="003F0EEA" w:rsidRDefault="00FB7D0B">
            <w:pPr>
              <w:jc w:val="right"/>
              <w:rPr>
                <w:rFonts w:ascii="Arial" w:eastAsia="Arial" w:hAnsi="Arial" w:cs="Arial"/>
                <w:color w:val="000000"/>
                <w:sz w:val="16"/>
              </w:rPr>
            </w:pPr>
            <w:r>
              <w:rPr>
                <w:rFonts w:ascii="Arial" w:eastAsia="Arial" w:hAnsi="Arial" w:cs="Arial"/>
                <w:color w:val="000000"/>
                <w:sz w:val="16"/>
              </w:rPr>
              <w:t xml:space="preserve"> 1,437 </w:t>
            </w:r>
          </w:p>
        </w:tc>
      </w:tr>
      <w:tr w:rsidR="00FB7D0B" w14:paraId="11D6EBDF" w14:textId="77777777" w:rsidTr="00FB7D0B">
        <w:tblPrEx>
          <w:tblLook w:val="04A0" w:firstRow="1" w:lastRow="0" w:firstColumn="1" w:lastColumn="0" w:noHBand="0" w:noVBand="1"/>
        </w:tblPrEx>
        <w:trPr>
          <w:gridAfter w:val="1"/>
          <w:wAfter w:w="10" w:type="dxa"/>
          <w:trHeight w:val="225"/>
        </w:trPr>
        <w:tc>
          <w:tcPr>
            <w:tcW w:w="0" w:type="auto"/>
            <w:gridSpan w:val="3"/>
            <w:tcBorders>
              <w:top w:val="nil"/>
              <w:left w:val="single" w:sz="6" w:space="0" w:color="000000"/>
              <w:bottom w:val="nil"/>
              <w:right w:val="nil"/>
              <w:tl2br w:val="nil"/>
              <w:tr2bl w:val="nil"/>
            </w:tcBorders>
            <w:shd w:val="clear" w:color="auto" w:fill="FFFFFF"/>
            <w:tcMar>
              <w:left w:w="101" w:type="dxa"/>
              <w:right w:w="101" w:type="dxa"/>
            </w:tcMar>
            <w:vAlign w:val="bottom"/>
          </w:tcPr>
          <w:p w14:paraId="5E0E1051" w14:textId="77777777" w:rsidR="003F0EEA" w:rsidRDefault="00FB7D0B">
            <w:pPr>
              <w:rPr>
                <w:rFonts w:ascii="Arial" w:eastAsia="Arial" w:hAnsi="Arial" w:cs="Arial"/>
                <w:color w:val="000000"/>
                <w:sz w:val="16"/>
              </w:rPr>
            </w:pPr>
            <w:r>
              <w:rPr>
                <w:rFonts w:ascii="Arial" w:eastAsia="Arial" w:hAnsi="Arial" w:cs="Arial"/>
                <w:color w:val="000000"/>
                <w:sz w:val="16"/>
              </w:rPr>
              <w:t>Programme support</w:t>
            </w:r>
          </w:p>
        </w:tc>
        <w:tc>
          <w:tcPr>
            <w:tcW w:w="0" w:type="auto"/>
            <w:tcBorders>
              <w:top w:val="nil"/>
              <w:left w:val="nil"/>
              <w:bottom w:val="single" w:sz="6" w:space="0" w:color="FFFFFF"/>
              <w:right w:val="nil"/>
              <w:tl2br w:val="nil"/>
              <w:tr2bl w:val="nil"/>
            </w:tcBorders>
            <w:shd w:val="clear" w:color="auto" w:fill="FFFFFF"/>
            <w:tcMar>
              <w:left w:w="101" w:type="dxa"/>
              <w:right w:w="101" w:type="dxa"/>
            </w:tcMar>
            <w:vAlign w:val="bottom"/>
          </w:tcPr>
          <w:p w14:paraId="5C94EE3B" w14:textId="77777777" w:rsidR="003F0EEA" w:rsidRDefault="00FB7D0B">
            <w:pPr>
              <w:jc w:val="right"/>
              <w:rPr>
                <w:rFonts w:ascii="Arial" w:eastAsia="Arial" w:hAnsi="Arial" w:cs="Arial"/>
                <w:color w:val="000000"/>
                <w:sz w:val="16"/>
                <w:vertAlign w:val="superscript"/>
              </w:rPr>
            </w:pPr>
            <w:r>
              <w:rPr>
                <w:rFonts w:ascii="Arial" w:eastAsia="Arial" w:hAnsi="Arial" w:cs="Arial"/>
                <w:color w:val="000000"/>
                <w:sz w:val="16"/>
              </w:rPr>
              <w:t xml:space="preserve"> 38,685 </w:t>
            </w:r>
          </w:p>
        </w:tc>
        <w:tc>
          <w:tcPr>
            <w:tcW w:w="0" w:type="auto"/>
            <w:tcBorders>
              <w:top w:val="nil"/>
              <w:left w:val="nil"/>
              <w:bottom w:val="nil"/>
              <w:right w:val="nil"/>
              <w:tl2br w:val="nil"/>
              <w:tr2bl w:val="nil"/>
            </w:tcBorders>
            <w:shd w:val="clear" w:color="auto" w:fill="FFFF00"/>
            <w:tcMar>
              <w:left w:w="101" w:type="dxa"/>
              <w:right w:w="101" w:type="dxa"/>
            </w:tcMar>
            <w:vAlign w:val="bottom"/>
          </w:tcPr>
          <w:p w14:paraId="58844278" w14:textId="77777777" w:rsidR="003F0EEA" w:rsidRDefault="00FB7D0B">
            <w:pPr>
              <w:jc w:val="right"/>
              <w:rPr>
                <w:rFonts w:ascii="Arial" w:eastAsia="Arial" w:hAnsi="Arial" w:cs="Arial"/>
                <w:color w:val="000000"/>
                <w:sz w:val="16"/>
              </w:rPr>
            </w:pPr>
            <w:r>
              <w:rPr>
                <w:rFonts w:ascii="Arial" w:eastAsia="Arial" w:hAnsi="Arial" w:cs="Arial"/>
                <w:color w:val="000000"/>
                <w:sz w:val="16"/>
              </w:rPr>
              <w:t xml:space="preserve"> 38,041 </w:t>
            </w:r>
          </w:p>
        </w:tc>
        <w:tc>
          <w:tcPr>
            <w:tcW w:w="0" w:type="auto"/>
            <w:tcBorders>
              <w:top w:val="nil"/>
              <w:left w:val="nil"/>
              <w:bottom w:val="single" w:sz="6" w:space="0" w:color="FFFFFF"/>
              <w:right w:val="nil"/>
              <w:tl2br w:val="nil"/>
              <w:tr2bl w:val="nil"/>
            </w:tcBorders>
            <w:shd w:val="clear" w:color="auto" w:fill="FFFFFF"/>
            <w:tcMar>
              <w:left w:w="101" w:type="dxa"/>
              <w:right w:w="101" w:type="dxa"/>
            </w:tcMar>
            <w:vAlign w:val="bottom"/>
          </w:tcPr>
          <w:p w14:paraId="64F6EB28" w14:textId="77777777" w:rsidR="003F0EEA" w:rsidRDefault="00FB7D0B">
            <w:pPr>
              <w:jc w:val="right"/>
              <w:rPr>
                <w:rFonts w:ascii="Arial" w:eastAsia="Arial" w:hAnsi="Arial" w:cs="Arial"/>
                <w:color w:val="000000"/>
                <w:sz w:val="16"/>
              </w:rPr>
            </w:pPr>
            <w:r>
              <w:rPr>
                <w:rFonts w:ascii="Arial" w:eastAsia="Arial" w:hAnsi="Arial" w:cs="Arial"/>
                <w:color w:val="000000"/>
                <w:sz w:val="16"/>
              </w:rPr>
              <w:t xml:space="preserve"> 36,959 </w:t>
            </w:r>
          </w:p>
        </w:tc>
        <w:tc>
          <w:tcPr>
            <w:tcW w:w="0" w:type="auto"/>
            <w:tcBorders>
              <w:top w:val="nil"/>
              <w:left w:val="nil"/>
              <w:bottom w:val="single" w:sz="6" w:space="0" w:color="FFFFFF"/>
              <w:right w:val="nil"/>
              <w:tl2br w:val="nil"/>
              <w:tr2bl w:val="nil"/>
            </w:tcBorders>
            <w:shd w:val="clear" w:color="auto" w:fill="FFFFFF"/>
            <w:tcMar>
              <w:left w:w="101" w:type="dxa"/>
              <w:right w:w="101" w:type="dxa"/>
            </w:tcMar>
            <w:vAlign w:val="bottom"/>
          </w:tcPr>
          <w:p w14:paraId="6FA83725" w14:textId="77777777" w:rsidR="003F0EEA" w:rsidRDefault="00FB7D0B">
            <w:pPr>
              <w:jc w:val="right"/>
              <w:rPr>
                <w:rFonts w:ascii="Arial" w:eastAsia="Arial" w:hAnsi="Arial" w:cs="Arial"/>
                <w:color w:val="000000"/>
                <w:sz w:val="16"/>
              </w:rPr>
            </w:pPr>
            <w:r>
              <w:rPr>
                <w:rFonts w:ascii="Arial" w:eastAsia="Arial" w:hAnsi="Arial" w:cs="Arial"/>
                <w:color w:val="000000"/>
                <w:sz w:val="16"/>
              </w:rPr>
              <w:t xml:space="preserve"> 35,833 </w:t>
            </w:r>
          </w:p>
        </w:tc>
        <w:tc>
          <w:tcPr>
            <w:tcW w:w="0" w:type="auto"/>
            <w:tcBorders>
              <w:top w:val="nil"/>
              <w:left w:val="nil"/>
              <w:bottom w:val="single" w:sz="6" w:space="0" w:color="FFFFFF"/>
              <w:right w:val="single" w:sz="6" w:space="0" w:color="000000"/>
              <w:tl2br w:val="nil"/>
              <w:tr2bl w:val="nil"/>
            </w:tcBorders>
            <w:shd w:val="clear" w:color="auto" w:fill="FFFFFF"/>
            <w:tcMar>
              <w:left w:w="101" w:type="dxa"/>
              <w:right w:w="101" w:type="dxa"/>
            </w:tcMar>
            <w:vAlign w:val="bottom"/>
          </w:tcPr>
          <w:p w14:paraId="23586993" w14:textId="77777777" w:rsidR="003F0EEA" w:rsidRDefault="00FB7D0B">
            <w:pPr>
              <w:jc w:val="right"/>
              <w:rPr>
                <w:rFonts w:ascii="Arial" w:eastAsia="Arial" w:hAnsi="Arial" w:cs="Arial"/>
                <w:color w:val="000000"/>
                <w:sz w:val="16"/>
              </w:rPr>
            </w:pPr>
            <w:r>
              <w:rPr>
                <w:rFonts w:ascii="Arial" w:eastAsia="Arial" w:hAnsi="Arial" w:cs="Arial"/>
                <w:color w:val="000000"/>
                <w:sz w:val="16"/>
              </w:rPr>
              <w:t xml:space="preserve"> 36,324 </w:t>
            </w:r>
          </w:p>
        </w:tc>
      </w:tr>
      <w:tr w:rsidR="00FB7D0B" w14:paraId="0993E4EF" w14:textId="77777777" w:rsidTr="00FB7D0B">
        <w:tblPrEx>
          <w:tblLook w:val="04A0" w:firstRow="1" w:lastRow="0" w:firstColumn="1" w:lastColumn="0" w:noHBand="0" w:noVBand="1"/>
        </w:tblPrEx>
        <w:trPr>
          <w:gridAfter w:val="1"/>
          <w:wAfter w:w="10" w:type="dxa"/>
          <w:trHeight w:val="450"/>
        </w:trPr>
        <w:tc>
          <w:tcPr>
            <w:tcW w:w="0" w:type="auto"/>
            <w:gridSpan w:val="3"/>
            <w:tcBorders>
              <w:top w:val="single" w:sz="6" w:space="0" w:color="FFFFFF"/>
              <w:left w:val="single" w:sz="6" w:space="0" w:color="000000"/>
              <w:bottom w:val="single" w:sz="6" w:space="0" w:color="FFFFFF"/>
              <w:right w:val="nil"/>
              <w:tl2br w:val="nil"/>
              <w:tr2bl w:val="nil"/>
            </w:tcBorders>
            <w:shd w:val="clear" w:color="auto" w:fill="FFFFFF"/>
            <w:tcMar>
              <w:left w:w="101" w:type="dxa"/>
              <w:right w:w="101" w:type="dxa"/>
            </w:tcMar>
            <w:vAlign w:val="bottom"/>
          </w:tcPr>
          <w:p w14:paraId="7D2377B7" w14:textId="77777777" w:rsidR="003F0EEA" w:rsidRDefault="00FB7D0B">
            <w:pPr>
              <w:rPr>
                <w:rFonts w:ascii="Arial" w:eastAsia="Arial" w:hAnsi="Arial" w:cs="Arial"/>
                <w:color w:val="000000"/>
                <w:sz w:val="16"/>
              </w:rPr>
            </w:pPr>
            <w:r>
              <w:rPr>
                <w:rFonts w:ascii="Arial" w:eastAsia="Arial" w:hAnsi="Arial" w:cs="Arial"/>
                <w:color w:val="000000"/>
                <w:sz w:val="16"/>
              </w:rPr>
              <w:t>Expenses not requiring appropriation in the Budget year</w:t>
            </w:r>
            <w:r>
              <w:rPr>
                <w:rFonts w:ascii="Arial" w:eastAsia="Arial" w:hAnsi="Arial" w:cs="Arial"/>
                <w:color w:val="000000"/>
                <w:sz w:val="16"/>
                <w:vertAlign w:val="superscript"/>
              </w:rPr>
              <w:t>1 </w:t>
            </w:r>
          </w:p>
        </w:tc>
        <w:tc>
          <w:tcPr>
            <w:tcW w:w="0" w:type="auto"/>
            <w:tcBorders>
              <w:top w:val="single" w:sz="6" w:space="0" w:color="FFFFFF"/>
              <w:left w:val="nil"/>
              <w:bottom w:val="single" w:sz="6" w:space="0" w:color="FFFFFF"/>
              <w:right w:val="nil"/>
              <w:tl2br w:val="nil"/>
              <w:tr2bl w:val="nil"/>
            </w:tcBorders>
            <w:shd w:val="clear" w:color="auto" w:fill="FFFFFF"/>
            <w:tcMar>
              <w:left w:w="101" w:type="dxa"/>
              <w:right w:w="101" w:type="dxa"/>
            </w:tcMar>
            <w:vAlign w:val="bottom"/>
          </w:tcPr>
          <w:p w14:paraId="54B4A00A" w14:textId="77777777" w:rsidR="003F0EEA" w:rsidRDefault="00FB7D0B">
            <w:pPr>
              <w:jc w:val="right"/>
              <w:rPr>
                <w:rFonts w:ascii="Arial" w:eastAsia="Arial" w:hAnsi="Arial" w:cs="Arial"/>
                <w:color w:val="000000"/>
                <w:sz w:val="16"/>
                <w:vertAlign w:val="superscript"/>
              </w:rPr>
            </w:pPr>
            <w:r>
              <w:rPr>
                <w:rFonts w:ascii="Arial" w:eastAsia="Arial" w:hAnsi="Arial" w:cs="Arial"/>
                <w:color w:val="000000"/>
                <w:sz w:val="16"/>
              </w:rPr>
              <w:t xml:space="preserve"> 4,088 </w:t>
            </w:r>
          </w:p>
        </w:tc>
        <w:tc>
          <w:tcPr>
            <w:tcW w:w="0" w:type="auto"/>
            <w:tcBorders>
              <w:top w:val="nil"/>
              <w:left w:val="nil"/>
              <w:bottom w:val="nil"/>
              <w:right w:val="nil"/>
              <w:tl2br w:val="nil"/>
              <w:tr2bl w:val="nil"/>
            </w:tcBorders>
            <w:shd w:val="clear" w:color="auto" w:fill="FFFF00"/>
            <w:tcMar>
              <w:left w:w="101" w:type="dxa"/>
              <w:right w:w="101" w:type="dxa"/>
            </w:tcMar>
            <w:vAlign w:val="bottom"/>
          </w:tcPr>
          <w:p w14:paraId="306C8383" w14:textId="77777777" w:rsidR="003F0EEA" w:rsidRDefault="00FB7D0B">
            <w:pPr>
              <w:jc w:val="right"/>
              <w:rPr>
                <w:rFonts w:ascii="Arial" w:eastAsia="Arial" w:hAnsi="Arial" w:cs="Arial"/>
                <w:color w:val="000000"/>
                <w:sz w:val="16"/>
              </w:rPr>
            </w:pPr>
            <w:r>
              <w:rPr>
                <w:rFonts w:ascii="Arial" w:eastAsia="Arial" w:hAnsi="Arial" w:cs="Arial"/>
                <w:color w:val="000000"/>
                <w:sz w:val="16"/>
              </w:rPr>
              <w:t xml:space="preserve"> 4,592 </w:t>
            </w:r>
          </w:p>
        </w:tc>
        <w:tc>
          <w:tcPr>
            <w:tcW w:w="0" w:type="auto"/>
            <w:tcBorders>
              <w:top w:val="single" w:sz="6" w:space="0" w:color="FFFFFF"/>
              <w:left w:val="nil"/>
              <w:bottom w:val="single" w:sz="6" w:space="0" w:color="FFFFFF"/>
              <w:right w:val="nil"/>
              <w:tl2br w:val="nil"/>
              <w:tr2bl w:val="nil"/>
            </w:tcBorders>
            <w:shd w:val="clear" w:color="auto" w:fill="FFFFFF"/>
            <w:tcMar>
              <w:left w:w="101" w:type="dxa"/>
              <w:right w:w="101" w:type="dxa"/>
            </w:tcMar>
            <w:vAlign w:val="bottom"/>
          </w:tcPr>
          <w:p w14:paraId="4DFE174C" w14:textId="77777777" w:rsidR="003F0EEA" w:rsidRDefault="00FB7D0B">
            <w:pPr>
              <w:jc w:val="right"/>
              <w:rPr>
                <w:rFonts w:ascii="Arial" w:eastAsia="Arial" w:hAnsi="Arial" w:cs="Arial"/>
                <w:color w:val="000000"/>
                <w:sz w:val="16"/>
              </w:rPr>
            </w:pPr>
            <w:r>
              <w:rPr>
                <w:rFonts w:ascii="Arial" w:eastAsia="Arial" w:hAnsi="Arial" w:cs="Arial"/>
                <w:color w:val="000000"/>
                <w:sz w:val="16"/>
              </w:rPr>
              <w:t xml:space="preserve"> 4,193 </w:t>
            </w:r>
          </w:p>
        </w:tc>
        <w:tc>
          <w:tcPr>
            <w:tcW w:w="0" w:type="auto"/>
            <w:tcBorders>
              <w:top w:val="single" w:sz="6" w:space="0" w:color="FFFFFF"/>
              <w:left w:val="nil"/>
              <w:bottom w:val="single" w:sz="6" w:space="0" w:color="FFFFFF"/>
              <w:right w:val="nil"/>
              <w:tl2br w:val="nil"/>
              <w:tr2bl w:val="nil"/>
            </w:tcBorders>
            <w:shd w:val="clear" w:color="auto" w:fill="FFFFFF"/>
            <w:tcMar>
              <w:left w:w="101" w:type="dxa"/>
              <w:right w:w="101" w:type="dxa"/>
            </w:tcMar>
            <w:vAlign w:val="bottom"/>
          </w:tcPr>
          <w:p w14:paraId="27D0AF3A" w14:textId="77777777" w:rsidR="003F0EEA" w:rsidRDefault="00FB7D0B">
            <w:pPr>
              <w:jc w:val="right"/>
              <w:rPr>
                <w:rFonts w:ascii="Arial" w:eastAsia="Arial" w:hAnsi="Arial" w:cs="Arial"/>
                <w:color w:val="000000"/>
                <w:sz w:val="16"/>
              </w:rPr>
            </w:pPr>
            <w:r>
              <w:rPr>
                <w:rFonts w:ascii="Arial" w:eastAsia="Arial" w:hAnsi="Arial" w:cs="Arial"/>
                <w:color w:val="000000"/>
                <w:sz w:val="16"/>
              </w:rPr>
              <w:t xml:space="preserve"> 3,824 </w:t>
            </w:r>
          </w:p>
        </w:tc>
        <w:tc>
          <w:tcPr>
            <w:tcW w:w="0" w:type="auto"/>
            <w:tcBorders>
              <w:top w:val="single" w:sz="6" w:space="0" w:color="FFFFFF"/>
              <w:left w:val="nil"/>
              <w:bottom w:val="single" w:sz="6" w:space="0" w:color="FFFFFF"/>
              <w:right w:val="single" w:sz="6" w:space="0" w:color="000000"/>
              <w:tl2br w:val="nil"/>
              <w:tr2bl w:val="nil"/>
            </w:tcBorders>
            <w:shd w:val="clear" w:color="auto" w:fill="FFFFFF"/>
            <w:tcMar>
              <w:left w:w="101" w:type="dxa"/>
              <w:right w:w="101" w:type="dxa"/>
            </w:tcMar>
            <w:vAlign w:val="bottom"/>
          </w:tcPr>
          <w:p w14:paraId="0BDF1E23" w14:textId="77777777" w:rsidR="003F0EEA" w:rsidRDefault="00FB7D0B">
            <w:pPr>
              <w:jc w:val="right"/>
              <w:rPr>
                <w:rFonts w:ascii="Arial" w:eastAsia="Arial" w:hAnsi="Arial" w:cs="Arial"/>
                <w:color w:val="000000"/>
                <w:sz w:val="16"/>
              </w:rPr>
            </w:pPr>
            <w:r>
              <w:rPr>
                <w:rFonts w:ascii="Arial" w:eastAsia="Arial" w:hAnsi="Arial" w:cs="Arial"/>
                <w:color w:val="000000"/>
                <w:sz w:val="16"/>
              </w:rPr>
              <w:t xml:space="preserve"> 3,202 </w:t>
            </w:r>
          </w:p>
        </w:tc>
      </w:tr>
      <w:tr w:rsidR="00724034" w14:paraId="5C494B3C" w14:textId="77777777">
        <w:tblPrEx>
          <w:tblLook w:val="04A0" w:firstRow="1" w:lastRow="0" w:firstColumn="1" w:lastColumn="0" w:noHBand="0" w:noVBand="1"/>
        </w:tblPrEx>
        <w:trPr>
          <w:gridAfter w:val="1"/>
          <w:wAfter w:w="10" w:type="dxa"/>
          <w:trHeight w:val="60"/>
        </w:trPr>
        <w:tc>
          <w:tcPr>
            <w:tcW w:w="0" w:type="auto"/>
            <w:tcBorders>
              <w:top w:val="single" w:sz="6" w:space="0" w:color="FFFFFF"/>
              <w:left w:val="single" w:sz="6" w:space="0" w:color="000000"/>
              <w:bottom w:val="nil"/>
              <w:right w:val="nil"/>
              <w:tl2br w:val="nil"/>
              <w:tr2bl w:val="nil"/>
            </w:tcBorders>
            <w:shd w:val="clear" w:color="auto" w:fill="FFFFFF"/>
            <w:tcMar>
              <w:left w:w="101" w:type="dxa"/>
              <w:right w:w="101" w:type="dxa"/>
            </w:tcMar>
            <w:vAlign w:val="bottom"/>
          </w:tcPr>
          <w:p w14:paraId="09C24B7E" w14:textId="77777777" w:rsidR="003F0EEA" w:rsidRDefault="003F0EEA">
            <w:pPr>
              <w:rPr>
                <w:rFonts w:ascii="Arial" w:eastAsia="Arial" w:hAnsi="Arial" w:cs="Arial"/>
                <w:color w:val="000000"/>
                <w:sz w:val="16"/>
              </w:rPr>
            </w:pPr>
          </w:p>
        </w:tc>
        <w:tc>
          <w:tcPr>
            <w:tcW w:w="0" w:type="auto"/>
            <w:tcBorders>
              <w:top w:val="single" w:sz="6" w:space="0" w:color="FFFFFF"/>
              <w:left w:val="nil"/>
              <w:bottom w:val="nil"/>
              <w:right w:val="nil"/>
              <w:tl2br w:val="nil"/>
              <w:tr2bl w:val="nil"/>
            </w:tcBorders>
            <w:shd w:val="clear" w:color="auto" w:fill="FFFFFF"/>
            <w:tcMar>
              <w:left w:w="101" w:type="dxa"/>
              <w:right w:w="101" w:type="dxa"/>
            </w:tcMar>
            <w:vAlign w:val="bottom"/>
          </w:tcPr>
          <w:p w14:paraId="7DD6C9C1" w14:textId="77777777" w:rsidR="003F0EEA" w:rsidRDefault="003F0EEA">
            <w:pPr>
              <w:rPr>
                <w:rFonts w:ascii="Arial" w:eastAsia="Arial" w:hAnsi="Arial" w:cs="Arial"/>
                <w:color w:val="000000"/>
                <w:sz w:val="16"/>
              </w:rPr>
            </w:pPr>
          </w:p>
        </w:tc>
        <w:tc>
          <w:tcPr>
            <w:tcW w:w="0" w:type="auto"/>
            <w:tcBorders>
              <w:top w:val="single" w:sz="6" w:space="0" w:color="FFFFFF"/>
              <w:left w:val="nil"/>
              <w:bottom w:val="nil"/>
              <w:right w:val="nil"/>
              <w:tl2br w:val="nil"/>
              <w:tr2bl w:val="nil"/>
            </w:tcBorders>
            <w:shd w:val="clear" w:color="auto" w:fill="FFFFFF"/>
            <w:tcMar>
              <w:left w:w="101" w:type="dxa"/>
              <w:right w:w="101" w:type="dxa"/>
            </w:tcMar>
            <w:vAlign w:val="bottom"/>
          </w:tcPr>
          <w:p w14:paraId="3406FF07" w14:textId="77777777" w:rsidR="003F0EEA" w:rsidRDefault="003F0EEA">
            <w:pPr>
              <w:rPr>
                <w:rFonts w:ascii="Arial" w:eastAsia="Arial" w:hAnsi="Arial" w:cs="Arial"/>
                <w:color w:val="000000"/>
                <w:sz w:val="16"/>
              </w:rPr>
            </w:pPr>
          </w:p>
        </w:tc>
        <w:tc>
          <w:tcPr>
            <w:tcW w:w="0" w:type="auto"/>
            <w:tcBorders>
              <w:top w:val="single" w:sz="6" w:space="0" w:color="FFFFFF"/>
              <w:left w:val="nil"/>
              <w:bottom w:val="single" w:sz="6" w:space="0" w:color="000000"/>
              <w:right w:val="nil"/>
              <w:tl2br w:val="nil"/>
              <w:tr2bl w:val="nil"/>
            </w:tcBorders>
            <w:shd w:val="clear" w:color="auto" w:fill="FFFFFF"/>
            <w:tcMar>
              <w:left w:w="101" w:type="dxa"/>
              <w:right w:w="101" w:type="dxa"/>
            </w:tcMar>
            <w:vAlign w:val="bottom"/>
          </w:tcPr>
          <w:p w14:paraId="0B728A96" w14:textId="77777777" w:rsidR="003F0EEA" w:rsidRDefault="003F0EEA">
            <w:pPr>
              <w:jc w:val="right"/>
              <w:rPr>
                <w:rFonts w:ascii="Arial" w:eastAsia="Arial" w:hAnsi="Arial" w:cs="Arial"/>
                <w:color w:val="000000"/>
                <w:sz w:val="16"/>
                <w:vertAlign w:val="superscript"/>
              </w:rPr>
            </w:pPr>
          </w:p>
        </w:tc>
        <w:tc>
          <w:tcPr>
            <w:tcW w:w="0" w:type="auto"/>
            <w:tcBorders>
              <w:top w:val="nil"/>
              <w:left w:val="nil"/>
              <w:bottom w:val="single" w:sz="6" w:space="0" w:color="000000"/>
              <w:right w:val="nil"/>
              <w:tl2br w:val="nil"/>
              <w:tr2bl w:val="nil"/>
            </w:tcBorders>
            <w:shd w:val="clear" w:color="auto" w:fill="FFFF00"/>
            <w:tcMar>
              <w:left w:w="101" w:type="dxa"/>
              <w:right w:w="101" w:type="dxa"/>
            </w:tcMar>
            <w:vAlign w:val="bottom"/>
          </w:tcPr>
          <w:p w14:paraId="443B4434" w14:textId="77777777" w:rsidR="003F0EEA" w:rsidRDefault="003F0EEA">
            <w:pPr>
              <w:jc w:val="right"/>
              <w:rPr>
                <w:rFonts w:ascii="Arial" w:eastAsia="Arial" w:hAnsi="Arial" w:cs="Arial"/>
                <w:color w:val="000000"/>
                <w:sz w:val="16"/>
                <w:vertAlign w:val="superscript"/>
              </w:rPr>
            </w:pPr>
          </w:p>
        </w:tc>
        <w:tc>
          <w:tcPr>
            <w:tcW w:w="0" w:type="auto"/>
            <w:tcBorders>
              <w:top w:val="single" w:sz="6" w:space="0" w:color="FFFFFF"/>
              <w:left w:val="nil"/>
              <w:bottom w:val="single" w:sz="6" w:space="0" w:color="000000"/>
              <w:right w:val="nil"/>
              <w:tl2br w:val="nil"/>
              <w:tr2bl w:val="nil"/>
            </w:tcBorders>
            <w:shd w:val="clear" w:color="auto" w:fill="FFFFFF"/>
            <w:tcMar>
              <w:left w:w="101" w:type="dxa"/>
              <w:right w:w="101" w:type="dxa"/>
            </w:tcMar>
            <w:vAlign w:val="bottom"/>
          </w:tcPr>
          <w:p w14:paraId="30B46312" w14:textId="77777777" w:rsidR="003F0EEA" w:rsidRDefault="003F0EEA">
            <w:pPr>
              <w:jc w:val="right"/>
              <w:rPr>
                <w:rFonts w:ascii="Arial" w:eastAsia="Arial" w:hAnsi="Arial" w:cs="Arial"/>
                <w:color w:val="000000"/>
                <w:sz w:val="16"/>
                <w:vertAlign w:val="superscript"/>
              </w:rPr>
            </w:pPr>
          </w:p>
        </w:tc>
        <w:tc>
          <w:tcPr>
            <w:tcW w:w="0" w:type="auto"/>
            <w:tcBorders>
              <w:top w:val="single" w:sz="6" w:space="0" w:color="FFFFFF"/>
              <w:left w:val="nil"/>
              <w:bottom w:val="single" w:sz="6" w:space="0" w:color="000000"/>
              <w:right w:val="nil"/>
              <w:tl2br w:val="nil"/>
              <w:tr2bl w:val="nil"/>
            </w:tcBorders>
            <w:shd w:val="clear" w:color="auto" w:fill="FFFFFF"/>
            <w:tcMar>
              <w:left w:w="101" w:type="dxa"/>
              <w:right w:w="101" w:type="dxa"/>
            </w:tcMar>
            <w:vAlign w:val="bottom"/>
          </w:tcPr>
          <w:p w14:paraId="13497DC3" w14:textId="77777777" w:rsidR="003F0EEA" w:rsidRDefault="003F0EEA">
            <w:pPr>
              <w:jc w:val="right"/>
              <w:rPr>
                <w:rFonts w:ascii="Arial" w:eastAsia="Arial" w:hAnsi="Arial" w:cs="Arial"/>
                <w:color w:val="000000"/>
                <w:sz w:val="16"/>
                <w:vertAlign w:val="superscript"/>
              </w:rPr>
            </w:pPr>
          </w:p>
        </w:tc>
        <w:tc>
          <w:tcPr>
            <w:tcW w:w="0" w:type="auto"/>
            <w:tcBorders>
              <w:top w:val="single" w:sz="6" w:space="0" w:color="FFFFFF"/>
              <w:left w:val="nil"/>
              <w:bottom w:val="single" w:sz="6" w:space="0" w:color="000000"/>
              <w:right w:val="single" w:sz="6" w:space="0" w:color="000000"/>
              <w:tl2br w:val="nil"/>
              <w:tr2bl w:val="nil"/>
            </w:tcBorders>
            <w:shd w:val="clear" w:color="auto" w:fill="FFFFFF"/>
            <w:tcMar>
              <w:left w:w="101" w:type="dxa"/>
              <w:right w:w="101" w:type="dxa"/>
            </w:tcMar>
            <w:vAlign w:val="bottom"/>
          </w:tcPr>
          <w:p w14:paraId="056A5B9D" w14:textId="77777777" w:rsidR="003F0EEA" w:rsidRDefault="003F0EEA">
            <w:pPr>
              <w:jc w:val="right"/>
              <w:rPr>
                <w:rFonts w:ascii="Arial" w:eastAsia="Arial" w:hAnsi="Arial" w:cs="Arial"/>
                <w:color w:val="000000"/>
                <w:sz w:val="16"/>
                <w:vertAlign w:val="superscript"/>
              </w:rPr>
            </w:pPr>
          </w:p>
        </w:tc>
      </w:tr>
      <w:tr w:rsidR="00FB7D0B" w14:paraId="6755C385" w14:textId="77777777" w:rsidTr="00FB7D0B">
        <w:tblPrEx>
          <w:tblLook w:val="04A0" w:firstRow="1" w:lastRow="0" w:firstColumn="1" w:lastColumn="0" w:noHBand="0" w:noVBand="1"/>
        </w:tblPrEx>
        <w:trPr>
          <w:gridAfter w:val="1"/>
          <w:wAfter w:w="10" w:type="dxa"/>
          <w:trHeight w:val="225"/>
        </w:trPr>
        <w:tc>
          <w:tcPr>
            <w:tcW w:w="0" w:type="auto"/>
            <w:gridSpan w:val="3"/>
            <w:tcBorders>
              <w:top w:val="nil"/>
              <w:left w:val="single" w:sz="6" w:space="0" w:color="000000"/>
              <w:bottom w:val="single" w:sz="6" w:space="0" w:color="000000"/>
              <w:right w:val="nil"/>
              <w:tl2br w:val="nil"/>
              <w:tr2bl w:val="nil"/>
            </w:tcBorders>
            <w:shd w:val="clear" w:color="auto" w:fill="FFFFFF"/>
            <w:tcMar>
              <w:left w:w="101" w:type="dxa"/>
              <w:right w:w="101" w:type="dxa"/>
            </w:tcMar>
            <w:vAlign w:val="bottom"/>
          </w:tcPr>
          <w:p w14:paraId="02D8154B" w14:textId="77777777" w:rsidR="003F0EEA" w:rsidRDefault="00FB7D0B">
            <w:pPr>
              <w:rPr>
                <w:rFonts w:ascii="Arial" w:eastAsia="Arial" w:hAnsi="Arial" w:cs="Arial"/>
                <w:color w:val="000000"/>
                <w:sz w:val="16"/>
                <w:vertAlign w:val="superscript"/>
              </w:rPr>
            </w:pPr>
            <w:r>
              <w:rPr>
                <w:rFonts w:ascii="Arial" w:eastAsia="Arial" w:hAnsi="Arial" w:cs="Arial"/>
                <w:b/>
                <w:color w:val="000000"/>
                <w:sz w:val="16"/>
              </w:rPr>
              <w:t xml:space="preserve">Total programme expenses </w:t>
            </w:r>
          </w:p>
        </w:tc>
        <w:tc>
          <w:tcPr>
            <w:tcW w:w="0" w:type="auto"/>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36B57F37" w14:textId="77777777" w:rsidR="003F0EEA" w:rsidRDefault="00FB7D0B">
            <w:pPr>
              <w:jc w:val="right"/>
              <w:rPr>
                <w:rFonts w:ascii="Arial" w:eastAsia="Arial" w:hAnsi="Arial" w:cs="Arial"/>
                <w:b/>
                <w:color w:val="000000"/>
                <w:sz w:val="16"/>
                <w:vertAlign w:val="superscript"/>
              </w:rPr>
            </w:pPr>
            <w:r>
              <w:rPr>
                <w:rFonts w:ascii="Arial" w:eastAsia="Arial" w:hAnsi="Arial" w:cs="Arial"/>
                <w:b/>
                <w:color w:val="000000"/>
                <w:sz w:val="16"/>
              </w:rPr>
              <w:t>1,628,572 </w:t>
            </w:r>
          </w:p>
        </w:tc>
        <w:tc>
          <w:tcPr>
            <w:tcW w:w="0" w:type="auto"/>
            <w:tcBorders>
              <w:top w:val="single" w:sz="6" w:space="0" w:color="000000"/>
              <w:left w:val="nil"/>
              <w:bottom w:val="single" w:sz="6" w:space="0" w:color="000000"/>
              <w:right w:val="nil"/>
              <w:tl2br w:val="nil"/>
              <w:tr2bl w:val="nil"/>
            </w:tcBorders>
            <w:shd w:val="clear" w:color="auto" w:fill="FFFF00"/>
            <w:tcMar>
              <w:left w:w="101" w:type="dxa"/>
              <w:right w:w="101" w:type="dxa"/>
            </w:tcMar>
            <w:vAlign w:val="bottom"/>
          </w:tcPr>
          <w:p w14:paraId="6BDE37D3" w14:textId="77777777" w:rsidR="003F0EEA" w:rsidRDefault="00FB7D0B">
            <w:pPr>
              <w:jc w:val="right"/>
              <w:rPr>
                <w:rFonts w:ascii="Arial" w:eastAsia="Arial" w:hAnsi="Arial" w:cs="Arial"/>
                <w:b/>
                <w:color w:val="000000"/>
                <w:sz w:val="16"/>
              </w:rPr>
            </w:pPr>
            <w:r>
              <w:rPr>
                <w:rFonts w:ascii="Arial" w:eastAsia="Arial" w:hAnsi="Arial" w:cs="Arial"/>
                <w:b/>
                <w:color w:val="000000"/>
                <w:sz w:val="16"/>
              </w:rPr>
              <w:t>1,630,101 </w:t>
            </w:r>
          </w:p>
        </w:tc>
        <w:tc>
          <w:tcPr>
            <w:tcW w:w="0" w:type="auto"/>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47107823" w14:textId="77777777" w:rsidR="003F0EEA" w:rsidRDefault="00FB7D0B">
            <w:pPr>
              <w:jc w:val="right"/>
              <w:rPr>
                <w:rFonts w:ascii="Arial" w:eastAsia="Arial" w:hAnsi="Arial" w:cs="Arial"/>
                <w:b/>
                <w:color w:val="000000"/>
                <w:sz w:val="16"/>
              </w:rPr>
            </w:pPr>
            <w:r>
              <w:rPr>
                <w:rFonts w:ascii="Arial" w:eastAsia="Arial" w:hAnsi="Arial" w:cs="Arial"/>
                <w:b/>
                <w:color w:val="000000"/>
                <w:sz w:val="16"/>
              </w:rPr>
              <w:t>1,620,934 </w:t>
            </w:r>
          </w:p>
        </w:tc>
        <w:tc>
          <w:tcPr>
            <w:tcW w:w="0" w:type="auto"/>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5DDDB280" w14:textId="77777777" w:rsidR="003F0EEA" w:rsidRDefault="00FB7D0B">
            <w:pPr>
              <w:jc w:val="right"/>
              <w:rPr>
                <w:rFonts w:ascii="Arial" w:eastAsia="Arial" w:hAnsi="Arial" w:cs="Arial"/>
                <w:b/>
                <w:color w:val="000000"/>
                <w:sz w:val="16"/>
              </w:rPr>
            </w:pPr>
            <w:r>
              <w:rPr>
                <w:rFonts w:ascii="Arial" w:eastAsia="Arial" w:hAnsi="Arial" w:cs="Arial"/>
                <w:b/>
                <w:color w:val="000000"/>
                <w:sz w:val="16"/>
              </w:rPr>
              <w:t>1,615,889 </w:t>
            </w:r>
          </w:p>
        </w:tc>
        <w:tc>
          <w:tcPr>
            <w:tcW w:w="0" w:type="auto"/>
            <w:tcBorders>
              <w:top w:val="single" w:sz="6" w:space="0" w:color="000000"/>
              <w:left w:val="nil"/>
              <w:bottom w:val="single" w:sz="6" w:space="0" w:color="000000"/>
              <w:right w:val="single" w:sz="6" w:space="0" w:color="000000"/>
              <w:tl2br w:val="nil"/>
              <w:tr2bl w:val="nil"/>
            </w:tcBorders>
            <w:shd w:val="clear" w:color="auto" w:fill="FFFFFF"/>
            <w:tcMar>
              <w:left w:w="101" w:type="dxa"/>
              <w:right w:w="101" w:type="dxa"/>
            </w:tcMar>
            <w:vAlign w:val="bottom"/>
          </w:tcPr>
          <w:p w14:paraId="1D15C5E6" w14:textId="77777777" w:rsidR="003F0EEA" w:rsidRDefault="00FB7D0B">
            <w:pPr>
              <w:jc w:val="right"/>
              <w:rPr>
                <w:rFonts w:ascii="Arial" w:eastAsia="Arial" w:hAnsi="Arial" w:cs="Arial"/>
                <w:b/>
                <w:color w:val="000000"/>
                <w:sz w:val="16"/>
              </w:rPr>
            </w:pPr>
            <w:r>
              <w:rPr>
                <w:rFonts w:ascii="Arial" w:eastAsia="Arial" w:hAnsi="Arial" w:cs="Arial"/>
                <w:b/>
                <w:color w:val="000000"/>
                <w:sz w:val="16"/>
              </w:rPr>
              <w:t>1,596,083 </w:t>
            </w:r>
          </w:p>
        </w:tc>
      </w:tr>
    </w:tbl>
    <w:p w14:paraId="603AC3A5" w14:textId="77777777" w:rsidR="003F0EEA" w:rsidRDefault="003F0EEA">
      <w:pPr>
        <w:rPr>
          <w:rFonts w:ascii="Times New Roman" w:eastAsia="Times New Roman" w:hAnsi="Times New Roman" w:cs="Times New Roman"/>
        </w:rPr>
      </w:pPr>
    </w:p>
    <w:p w14:paraId="49707439" w14:textId="77777777" w:rsidR="003F0EEA" w:rsidRPr="004D4F1D" w:rsidRDefault="00FB7D0B" w:rsidP="003F0EEA">
      <w:pPr>
        <w:pStyle w:val="ListParagraph4"/>
        <w:numPr>
          <w:ilvl w:val="0"/>
          <w:numId w:val="13"/>
        </w:numPr>
        <w:spacing w:after="200" w:line="276" w:lineRule="auto"/>
        <w:ind w:left="284" w:hanging="284"/>
        <w:rPr>
          <w:rFonts w:ascii="Arial" w:eastAsia="Calibri" w:hAnsi="Arial" w:cs="Arial"/>
          <w:sz w:val="16"/>
          <w:szCs w:val="16"/>
          <w:lang w:eastAsia="en-US"/>
        </w:rPr>
      </w:pPr>
      <w:r w:rsidRPr="004D4F1D">
        <w:rPr>
          <w:rFonts w:ascii="Arial" w:eastAsia="Calibri" w:hAnsi="Arial" w:cs="Arial"/>
          <w:sz w:val="16"/>
          <w:szCs w:val="16"/>
          <w:lang w:eastAsia="en-US"/>
        </w:rPr>
        <w:t xml:space="preserve">Expenses not requiring appropriation in the Budget year is made up of Depreciation Expense, Amortisation </w:t>
      </w:r>
      <w:r w:rsidRPr="004D4F1D">
        <w:rPr>
          <w:rFonts w:ascii="Arial" w:eastAsia="Calibri" w:hAnsi="Arial" w:cs="Arial"/>
          <w:sz w:val="16"/>
          <w:szCs w:val="16"/>
          <w:lang w:eastAsia="en-US"/>
        </w:rPr>
        <w:br/>
        <w:t xml:space="preserve">Expense and Resources Received Free of Charge. </w:t>
      </w:r>
    </w:p>
    <w:p w14:paraId="7A277C08" w14:textId="77777777" w:rsidR="003F0EEA" w:rsidRPr="004D4F1D" w:rsidRDefault="00FB7D0B">
      <w:pPr>
        <w:rPr>
          <w:rFonts w:ascii="Arial" w:hAnsi="Arial" w:cs="Arial"/>
          <w:sz w:val="16"/>
          <w:szCs w:val="16"/>
          <w:lang w:eastAsia="en-US"/>
        </w:rPr>
      </w:pPr>
      <w:r w:rsidRPr="004D4F1D">
        <w:rPr>
          <w:rFonts w:ascii="Arial" w:hAnsi="Arial" w:cs="Arial"/>
          <w:sz w:val="16"/>
          <w:szCs w:val="16"/>
          <w:lang w:eastAsia="en-US"/>
        </w:rPr>
        <w:br w:type="page"/>
      </w:r>
    </w:p>
    <w:tbl>
      <w:tblPr>
        <w:tblW w:w="8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09"/>
        <w:gridCol w:w="975"/>
        <w:gridCol w:w="974"/>
        <w:gridCol w:w="974"/>
        <w:gridCol w:w="974"/>
        <w:gridCol w:w="974"/>
      </w:tblGrid>
      <w:tr w:rsidR="00724034" w14:paraId="1B330B22" w14:textId="77777777" w:rsidTr="003F0EEA">
        <w:tc>
          <w:tcPr>
            <w:tcW w:w="8080" w:type="dxa"/>
            <w:gridSpan w:val="6"/>
            <w:tcBorders>
              <w:top w:val="single" w:sz="4" w:space="0" w:color="auto"/>
              <w:left w:val="single" w:sz="4" w:space="0" w:color="auto"/>
              <w:bottom w:val="single" w:sz="4" w:space="0" w:color="auto"/>
              <w:right w:val="single" w:sz="4" w:space="0" w:color="auto"/>
            </w:tcBorders>
            <w:shd w:val="clear" w:color="auto" w:fill="E6E6E6"/>
          </w:tcPr>
          <w:p w14:paraId="57CE2A21" w14:textId="77777777" w:rsidR="003F0EEA" w:rsidRDefault="00FB7D0B" w:rsidP="003F0EEA">
            <w:pPr>
              <w:pStyle w:val="TableTextBullet1"/>
              <w:numPr>
                <w:ilvl w:val="0"/>
                <w:numId w:val="0"/>
              </w:numPr>
              <w:ind w:left="284" w:hanging="284"/>
            </w:pPr>
            <w:r>
              <w:rPr>
                <w:b/>
                <w:sz w:val="20"/>
              </w:rPr>
              <w:t xml:space="preserve">Programme 1.2: </w:t>
            </w:r>
            <w:r w:rsidRPr="001E7B86">
              <w:rPr>
                <w:b/>
                <w:sz w:val="20"/>
              </w:rPr>
              <w:t xml:space="preserve">Veterans' Disability Support </w:t>
            </w:r>
            <w:r>
              <w:rPr>
                <w:b/>
                <w:sz w:val="20"/>
              </w:rPr>
              <w:t>(continued)</w:t>
            </w:r>
          </w:p>
        </w:tc>
      </w:tr>
      <w:tr w:rsidR="00724034" w14:paraId="55650843" w14:textId="77777777" w:rsidTr="003F0EEA">
        <w:tc>
          <w:tcPr>
            <w:tcW w:w="8080" w:type="dxa"/>
            <w:gridSpan w:val="6"/>
            <w:tcBorders>
              <w:top w:val="single" w:sz="4" w:space="0" w:color="auto"/>
              <w:left w:val="nil"/>
              <w:bottom w:val="nil"/>
              <w:right w:val="nil"/>
            </w:tcBorders>
            <w:shd w:val="clear" w:color="auto" w:fill="auto"/>
          </w:tcPr>
          <w:p w14:paraId="103ED459" w14:textId="77777777" w:rsidR="003F0EEA" w:rsidRDefault="003F0EEA" w:rsidP="003F0EEA">
            <w:pPr>
              <w:pStyle w:val="TableTextBullet1"/>
              <w:numPr>
                <w:ilvl w:val="0"/>
                <w:numId w:val="0"/>
              </w:numPr>
              <w:ind w:left="284" w:hanging="284"/>
              <w:rPr>
                <w:b/>
                <w:sz w:val="20"/>
              </w:rPr>
            </w:pPr>
          </w:p>
        </w:tc>
      </w:tr>
      <w:tr w:rsidR="00724034" w14:paraId="469D5D4E" w14:textId="77777777" w:rsidTr="003F0EEA">
        <w:tc>
          <w:tcPr>
            <w:tcW w:w="8080" w:type="dxa"/>
            <w:gridSpan w:val="6"/>
            <w:tcBorders>
              <w:top w:val="single" w:sz="4" w:space="0" w:color="auto"/>
              <w:left w:val="single" w:sz="4" w:space="0" w:color="auto"/>
              <w:bottom w:val="single" w:sz="4" w:space="0" w:color="auto"/>
              <w:right w:val="single" w:sz="4" w:space="0" w:color="auto"/>
            </w:tcBorders>
          </w:tcPr>
          <w:p w14:paraId="1FFAD972" w14:textId="77777777" w:rsidR="003F0EEA" w:rsidRDefault="00FB7D0B" w:rsidP="003F0EEA">
            <w:pPr>
              <w:pStyle w:val="TableTextLeft3"/>
              <w:keepNext/>
              <w:rPr>
                <w:b/>
              </w:rPr>
            </w:pPr>
            <w:r>
              <w:rPr>
                <w:b/>
              </w:rPr>
              <w:t>Programme 1.2 deliverables</w:t>
            </w:r>
          </w:p>
          <w:p w14:paraId="75749B7D" w14:textId="77777777" w:rsidR="003F0EEA" w:rsidRDefault="00FB7D0B" w:rsidP="003F0EEA">
            <w:pPr>
              <w:pStyle w:val="TableTextJustified"/>
            </w:pPr>
            <w:r>
              <w:rPr>
                <w:rFonts w:cs="Arial"/>
              </w:rPr>
              <w:t xml:space="preserve">Deliver disability pensions to veterans under the </w:t>
            </w:r>
            <w:r>
              <w:rPr>
                <w:rFonts w:cs="Arial"/>
                <w:i/>
              </w:rPr>
              <w:t>Veterans’ Entitlements Act 1986</w:t>
            </w:r>
            <w:r>
              <w:rPr>
                <w:rFonts w:cs="Arial"/>
              </w:rPr>
              <w:t xml:space="preserve"> and related legislation:</w:t>
            </w:r>
          </w:p>
          <w:p w14:paraId="157E09A4" w14:textId="77777777" w:rsidR="003F0EEA" w:rsidRDefault="00FB7D0B" w:rsidP="003F0EEA">
            <w:pPr>
              <w:pStyle w:val="TableTextBullet1"/>
            </w:pPr>
            <w:r>
              <w:t>Process new disability pension claims</w:t>
            </w:r>
          </w:p>
          <w:p w14:paraId="1F449C8A" w14:textId="77777777" w:rsidR="003F0EEA" w:rsidRDefault="00FB7D0B" w:rsidP="003F0EEA">
            <w:pPr>
              <w:pStyle w:val="TableTextBullet1"/>
            </w:pPr>
            <w:r>
              <w:t>Process applications for assessments of disability pension rates</w:t>
            </w:r>
          </w:p>
          <w:p w14:paraId="26362A4F" w14:textId="77777777" w:rsidR="003F0EEA" w:rsidRDefault="00FB7D0B" w:rsidP="003F0EEA">
            <w:pPr>
              <w:pStyle w:val="TableTextBullet1"/>
            </w:pPr>
            <w:r>
              <w:t>Process Loss of Earnings and Recreation Allowance</w:t>
            </w:r>
          </w:p>
          <w:p w14:paraId="0701D9D1" w14:textId="77777777" w:rsidR="003F0EEA" w:rsidRPr="00595A0D" w:rsidRDefault="00FB7D0B" w:rsidP="003F0EEA">
            <w:pPr>
              <w:pStyle w:val="TableTextBullet1"/>
              <w:rPr>
                <w:b/>
              </w:rPr>
            </w:pPr>
            <w:r>
              <w:t>Process and pay repayments of medical transport and maintenance deductions</w:t>
            </w:r>
          </w:p>
          <w:p w14:paraId="6D0DD47B" w14:textId="77777777" w:rsidR="003F0EEA" w:rsidRDefault="00FB7D0B" w:rsidP="003F0EEA">
            <w:pPr>
              <w:pStyle w:val="TableTextBullet1"/>
              <w:rPr>
                <w:b/>
              </w:rPr>
            </w:pPr>
            <w:r>
              <w:t>Deliver Vehicle Assistance Scheme.</w:t>
            </w:r>
          </w:p>
        </w:tc>
      </w:tr>
      <w:tr w:rsidR="00724034" w14:paraId="1140DD55" w14:textId="77777777">
        <w:tblPrEx>
          <w:tblLook w:val="04A0" w:firstRow="1" w:lastRow="0" w:firstColumn="1" w:lastColumn="0" w:noHBand="0" w:noVBand="1"/>
        </w:tblPrEx>
        <w:trPr>
          <w:trHeight w:val="225"/>
        </w:trPr>
        <w:tc>
          <w:tcPr>
            <w:tcW w:w="3210" w:type="dxa"/>
            <w:tcBorders>
              <w:top w:val="single" w:sz="6" w:space="0" w:color="000000"/>
              <w:left w:val="single" w:sz="6" w:space="0" w:color="000000"/>
              <w:bottom w:val="nil"/>
              <w:right w:val="nil"/>
              <w:tl2br w:val="nil"/>
              <w:tr2bl w:val="nil"/>
            </w:tcBorders>
            <w:shd w:val="clear" w:color="auto" w:fill="FFFFFF"/>
            <w:tcMar>
              <w:left w:w="101" w:type="dxa"/>
              <w:right w:w="101" w:type="dxa"/>
            </w:tcMar>
            <w:vAlign w:val="bottom"/>
          </w:tcPr>
          <w:p w14:paraId="1E116576" w14:textId="77777777" w:rsidR="00724034" w:rsidRDefault="00724034">
            <w:pPr>
              <w:jc w:val="center"/>
            </w:pPr>
          </w:p>
        </w:tc>
        <w:tc>
          <w:tcPr>
            <w:tcW w:w="97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1C6E1777" w14:textId="77777777" w:rsidR="00724034" w:rsidRDefault="00FB7D0B">
            <w:pPr>
              <w:jc w:val="right"/>
              <w:rPr>
                <w:rFonts w:ascii="Arial" w:eastAsia="Arial" w:hAnsi="Arial" w:cs="Arial"/>
                <w:b/>
                <w:color w:val="000000"/>
                <w:sz w:val="16"/>
                <w:vertAlign w:val="superscript"/>
              </w:rPr>
            </w:pPr>
            <w:r>
              <w:rPr>
                <w:rFonts w:ascii="Arial" w:eastAsia="Arial" w:hAnsi="Arial" w:cs="Arial"/>
                <w:color w:val="000000"/>
                <w:sz w:val="16"/>
              </w:rPr>
              <w:t>2013-14</w:t>
            </w:r>
          </w:p>
        </w:tc>
        <w:tc>
          <w:tcPr>
            <w:tcW w:w="975" w:type="dxa"/>
            <w:tcBorders>
              <w:top w:val="single" w:sz="6" w:space="0" w:color="000000"/>
              <w:left w:val="nil"/>
              <w:bottom w:val="nil"/>
              <w:right w:val="nil"/>
              <w:tl2br w:val="nil"/>
              <w:tr2bl w:val="nil"/>
            </w:tcBorders>
            <w:shd w:val="clear" w:color="auto" w:fill="FFFF00"/>
            <w:tcMar>
              <w:left w:w="101" w:type="dxa"/>
              <w:right w:w="101" w:type="dxa"/>
            </w:tcMar>
            <w:vAlign w:val="bottom"/>
          </w:tcPr>
          <w:p w14:paraId="46870187" w14:textId="77777777" w:rsidR="00724034" w:rsidRDefault="00FB7D0B">
            <w:pPr>
              <w:jc w:val="right"/>
              <w:rPr>
                <w:rFonts w:ascii="Arial" w:eastAsia="Arial" w:hAnsi="Arial" w:cs="Arial"/>
                <w:color w:val="000000"/>
                <w:sz w:val="16"/>
              </w:rPr>
            </w:pPr>
            <w:r>
              <w:rPr>
                <w:rFonts w:ascii="Arial" w:eastAsia="Arial" w:hAnsi="Arial" w:cs="Arial"/>
                <w:color w:val="000000"/>
                <w:sz w:val="16"/>
              </w:rPr>
              <w:t>2014-15</w:t>
            </w:r>
          </w:p>
        </w:tc>
        <w:tc>
          <w:tcPr>
            <w:tcW w:w="97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445274F4" w14:textId="77777777" w:rsidR="00724034" w:rsidRDefault="00FB7D0B">
            <w:pPr>
              <w:jc w:val="right"/>
              <w:rPr>
                <w:rFonts w:ascii="Arial" w:eastAsia="Arial" w:hAnsi="Arial" w:cs="Arial"/>
                <w:color w:val="000000"/>
                <w:sz w:val="16"/>
              </w:rPr>
            </w:pPr>
            <w:r>
              <w:rPr>
                <w:rFonts w:ascii="Arial" w:eastAsia="Arial" w:hAnsi="Arial" w:cs="Arial"/>
                <w:color w:val="000000"/>
                <w:sz w:val="16"/>
              </w:rPr>
              <w:t>2015-16</w:t>
            </w:r>
          </w:p>
        </w:tc>
        <w:tc>
          <w:tcPr>
            <w:tcW w:w="97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2A5D9779" w14:textId="77777777" w:rsidR="00724034" w:rsidRDefault="00FB7D0B">
            <w:pPr>
              <w:jc w:val="right"/>
              <w:rPr>
                <w:rFonts w:ascii="Arial" w:eastAsia="Arial" w:hAnsi="Arial" w:cs="Arial"/>
                <w:color w:val="000000"/>
                <w:sz w:val="16"/>
              </w:rPr>
            </w:pPr>
            <w:r>
              <w:rPr>
                <w:rFonts w:ascii="Arial" w:eastAsia="Arial" w:hAnsi="Arial" w:cs="Arial"/>
                <w:color w:val="000000"/>
                <w:sz w:val="16"/>
              </w:rPr>
              <w:t>2016-17</w:t>
            </w:r>
          </w:p>
        </w:tc>
        <w:tc>
          <w:tcPr>
            <w:tcW w:w="975" w:type="dxa"/>
            <w:tcBorders>
              <w:top w:val="single" w:sz="6" w:space="0" w:color="000000"/>
              <w:left w:val="nil"/>
              <w:bottom w:val="nil"/>
              <w:right w:val="single" w:sz="6" w:space="0" w:color="000000"/>
              <w:tl2br w:val="nil"/>
              <w:tr2bl w:val="nil"/>
            </w:tcBorders>
            <w:shd w:val="clear" w:color="auto" w:fill="FFFFFF"/>
            <w:tcMar>
              <w:left w:w="101" w:type="dxa"/>
              <w:right w:w="101" w:type="dxa"/>
            </w:tcMar>
            <w:vAlign w:val="bottom"/>
          </w:tcPr>
          <w:p w14:paraId="6388C6D6" w14:textId="77777777" w:rsidR="00724034" w:rsidRDefault="00FB7D0B">
            <w:pPr>
              <w:jc w:val="right"/>
              <w:rPr>
                <w:rFonts w:ascii="Arial" w:eastAsia="Arial" w:hAnsi="Arial" w:cs="Arial"/>
                <w:color w:val="000000"/>
                <w:sz w:val="16"/>
              </w:rPr>
            </w:pPr>
            <w:r>
              <w:rPr>
                <w:rFonts w:ascii="Arial" w:eastAsia="Arial" w:hAnsi="Arial" w:cs="Arial"/>
                <w:color w:val="000000"/>
                <w:sz w:val="16"/>
              </w:rPr>
              <w:t>2017-18</w:t>
            </w:r>
          </w:p>
        </w:tc>
      </w:tr>
      <w:tr w:rsidR="00724034" w14:paraId="095C13DB" w14:textId="77777777">
        <w:tblPrEx>
          <w:tblLook w:val="04A0" w:firstRow="1" w:lastRow="0" w:firstColumn="1" w:lastColumn="0" w:noHBand="0" w:noVBand="1"/>
        </w:tblPrEx>
        <w:trPr>
          <w:trHeight w:val="225"/>
        </w:trPr>
        <w:tc>
          <w:tcPr>
            <w:tcW w:w="3210" w:type="dxa"/>
            <w:tcBorders>
              <w:top w:val="nil"/>
              <w:left w:val="single" w:sz="6" w:space="0" w:color="000000"/>
              <w:bottom w:val="nil"/>
              <w:right w:val="nil"/>
              <w:tl2br w:val="nil"/>
              <w:tr2bl w:val="nil"/>
            </w:tcBorders>
            <w:shd w:val="clear" w:color="auto" w:fill="FFFFFF"/>
            <w:tcMar>
              <w:left w:w="101" w:type="dxa"/>
              <w:right w:w="101" w:type="dxa"/>
            </w:tcMar>
            <w:vAlign w:val="bottom"/>
          </w:tcPr>
          <w:p w14:paraId="0077B457" w14:textId="77777777" w:rsidR="00724034" w:rsidRDefault="00724034">
            <w:pPr>
              <w:rPr>
                <w:rFonts w:ascii="Arial" w:eastAsia="Arial" w:hAnsi="Arial" w:cs="Arial"/>
                <w:color w:val="000000"/>
                <w:sz w:val="16"/>
              </w:rPr>
            </w:pPr>
          </w:p>
        </w:tc>
        <w:tc>
          <w:tcPr>
            <w:tcW w:w="975" w:type="dxa"/>
            <w:tcBorders>
              <w:top w:val="nil"/>
              <w:left w:val="nil"/>
              <w:bottom w:val="nil"/>
              <w:right w:val="nil"/>
              <w:tl2br w:val="nil"/>
              <w:tr2bl w:val="nil"/>
            </w:tcBorders>
            <w:shd w:val="clear" w:color="auto" w:fill="FFFFFF"/>
            <w:tcMar>
              <w:left w:w="101" w:type="dxa"/>
              <w:right w:w="101" w:type="dxa"/>
            </w:tcMar>
            <w:vAlign w:val="bottom"/>
          </w:tcPr>
          <w:p w14:paraId="0B4E1266" w14:textId="77777777" w:rsidR="00724034" w:rsidRDefault="00FB7D0B">
            <w:pPr>
              <w:jc w:val="right"/>
              <w:rPr>
                <w:rFonts w:ascii="Arial" w:eastAsia="Arial" w:hAnsi="Arial" w:cs="Arial"/>
                <w:color w:val="000000"/>
                <w:sz w:val="16"/>
                <w:vertAlign w:val="superscript"/>
              </w:rPr>
            </w:pPr>
            <w:r>
              <w:rPr>
                <w:rFonts w:ascii="Arial" w:eastAsia="Arial" w:hAnsi="Arial" w:cs="Arial"/>
                <w:color w:val="000000"/>
                <w:sz w:val="16"/>
              </w:rPr>
              <w:t>Revised</w:t>
            </w:r>
          </w:p>
        </w:tc>
        <w:tc>
          <w:tcPr>
            <w:tcW w:w="975" w:type="dxa"/>
            <w:tcBorders>
              <w:top w:val="nil"/>
              <w:left w:val="nil"/>
              <w:bottom w:val="nil"/>
              <w:right w:val="nil"/>
              <w:tl2br w:val="nil"/>
              <w:tr2bl w:val="nil"/>
            </w:tcBorders>
            <w:shd w:val="clear" w:color="auto" w:fill="FFFF00"/>
            <w:tcMar>
              <w:left w:w="101" w:type="dxa"/>
              <w:right w:w="101" w:type="dxa"/>
            </w:tcMar>
            <w:vAlign w:val="bottom"/>
          </w:tcPr>
          <w:p w14:paraId="4D248DA6" w14:textId="77777777" w:rsidR="00724034" w:rsidRDefault="00FB7D0B">
            <w:pPr>
              <w:jc w:val="right"/>
              <w:rPr>
                <w:rFonts w:ascii="Arial" w:eastAsia="Arial" w:hAnsi="Arial" w:cs="Arial"/>
                <w:color w:val="000000"/>
                <w:sz w:val="16"/>
              </w:rPr>
            </w:pPr>
            <w:r>
              <w:rPr>
                <w:rFonts w:ascii="Arial" w:eastAsia="Arial" w:hAnsi="Arial" w:cs="Arial"/>
                <w:color w:val="000000"/>
                <w:sz w:val="16"/>
              </w:rPr>
              <w:t>Budget</w:t>
            </w:r>
          </w:p>
        </w:tc>
        <w:tc>
          <w:tcPr>
            <w:tcW w:w="975" w:type="dxa"/>
            <w:tcBorders>
              <w:top w:val="nil"/>
              <w:left w:val="nil"/>
              <w:bottom w:val="nil"/>
              <w:right w:val="nil"/>
              <w:tl2br w:val="nil"/>
              <w:tr2bl w:val="nil"/>
            </w:tcBorders>
            <w:shd w:val="clear" w:color="auto" w:fill="FFFFFF"/>
            <w:tcMar>
              <w:left w:w="101" w:type="dxa"/>
              <w:right w:w="101" w:type="dxa"/>
            </w:tcMar>
            <w:vAlign w:val="bottom"/>
          </w:tcPr>
          <w:p w14:paraId="0E5B004C" w14:textId="77777777" w:rsidR="00724034" w:rsidRDefault="00FB7D0B">
            <w:pPr>
              <w:jc w:val="right"/>
              <w:rPr>
                <w:rFonts w:ascii="Arial" w:eastAsia="Arial" w:hAnsi="Arial" w:cs="Arial"/>
                <w:color w:val="000000"/>
                <w:sz w:val="16"/>
              </w:rPr>
            </w:pPr>
            <w:r>
              <w:rPr>
                <w:rFonts w:ascii="Arial" w:eastAsia="Arial" w:hAnsi="Arial" w:cs="Arial"/>
                <w:color w:val="000000"/>
                <w:sz w:val="16"/>
              </w:rPr>
              <w:t>Forward</w:t>
            </w:r>
          </w:p>
        </w:tc>
        <w:tc>
          <w:tcPr>
            <w:tcW w:w="975" w:type="dxa"/>
            <w:tcBorders>
              <w:top w:val="nil"/>
              <w:left w:val="nil"/>
              <w:bottom w:val="nil"/>
              <w:right w:val="nil"/>
              <w:tl2br w:val="nil"/>
              <w:tr2bl w:val="nil"/>
            </w:tcBorders>
            <w:shd w:val="clear" w:color="auto" w:fill="FFFFFF"/>
            <w:tcMar>
              <w:left w:w="101" w:type="dxa"/>
              <w:right w:w="101" w:type="dxa"/>
            </w:tcMar>
            <w:vAlign w:val="bottom"/>
          </w:tcPr>
          <w:p w14:paraId="54271D74" w14:textId="77777777" w:rsidR="00724034" w:rsidRDefault="00FB7D0B">
            <w:pPr>
              <w:jc w:val="right"/>
              <w:rPr>
                <w:rFonts w:ascii="Arial" w:eastAsia="Arial" w:hAnsi="Arial" w:cs="Arial"/>
                <w:color w:val="000000"/>
                <w:sz w:val="16"/>
              </w:rPr>
            </w:pPr>
            <w:r>
              <w:rPr>
                <w:rFonts w:ascii="Arial" w:eastAsia="Arial" w:hAnsi="Arial" w:cs="Arial"/>
                <w:color w:val="000000"/>
                <w:sz w:val="16"/>
              </w:rPr>
              <w:t>Forward</w:t>
            </w:r>
          </w:p>
        </w:tc>
        <w:tc>
          <w:tcPr>
            <w:tcW w:w="975" w:type="dxa"/>
            <w:tcBorders>
              <w:top w:val="nil"/>
              <w:left w:val="nil"/>
              <w:bottom w:val="nil"/>
              <w:right w:val="single" w:sz="6" w:space="0" w:color="000000"/>
              <w:tl2br w:val="nil"/>
              <w:tr2bl w:val="nil"/>
            </w:tcBorders>
            <w:shd w:val="clear" w:color="auto" w:fill="FFFFFF"/>
            <w:tcMar>
              <w:left w:w="101" w:type="dxa"/>
              <w:right w:w="101" w:type="dxa"/>
            </w:tcMar>
            <w:vAlign w:val="bottom"/>
          </w:tcPr>
          <w:p w14:paraId="7BA1CDAB" w14:textId="77777777" w:rsidR="00724034" w:rsidRDefault="00FB7D0B">
            <w:pPr>
              <w:jc w:val="right"/>
              <w:rPr>
                <w:rFonts w:ascii="Arial" w:eastAsia="Arial" w:hAnsi="Arial" w:cs="Arial"/>
                <w:color w:val="000000"/>
                <w:sz w:val="16"/>
              </w:rPr>
            </w:pPr>
            <w:r>
              <w:rPr>
                <w:rFonts w:ascii="Arial" w:eastAsia="Arial" w:hAnsi="Arial" w:cs="Arial"/>
                <w:color w:val="000000"/>
                <w:sz w:val="16"/>
              </w:rPr>
              <w:t>Forward</w:t>
            </w:r>
          </w:p>
        </w:tc>
      </w:tr>
      <w:tr w:rsidR="00724034" w14:paraId="0D800F24" w14:textId="77777777">
        <w:tblPrEx>
          <w:tblLook w:val="04A0" w:firstRow="1" w:lastRow="0" w:firstColumn="1" w:lastColumn="0" w:noHBand="0" w:noVBand="1"/>
        </w:tblPrEx>
        <w:trPr>
          <w:trHeight w:val="225"/>
        </w:trPr>
        <w:tc>
          <w:tcPr>
            <w:tcW w:w="3210" w:type="dxa"/>
            <w:tcBorders>
              <w:top w:val="nil"/>
              <w:left w:val="single" w:sz="6" w:space="0" w:color="000000"/>
              <w:bottom w:val="single" w:sz="6" w:space="0" w:color="000000"/>
              <w:right w:val="nil"/>
              <w:tl2br w:val="nil"/>
              <w:tr2bl w:val="nil"/>
            </w:tcBorders>
            <w:shd w:val="clear" w:color="auto" w:fill="FFFFFF"/>
            <w:tcMar>
              <w:left w:w="101" w:type="dxa"/>
              <w:right w:w="101" w:type="dxa"/>
            </w:tcMar>
            <w:vAlign w:val="bottom"/>
          </w:tcPr>
          <w:p w14:paraId="2C72806B" w14:textId="77777777" w:rsidR="00724034" w:rsidRDefault="00FB7D0B">
            <w:pPr>
              <w:rPr>
                <w:rFonts w:ascii="Arial" w:eastAsia="Arial" w:hAnsi="Arial" w:cs="Arial"/>
                <w:color w:val="000000"/>
                <w:sz w:val="16"/>
              </w:rPr>
            </w:pPr>
            <w:r>
              <w:rPr>
                <w:rFonts w:ascii="Arial" w:eastAsia="Arial" w:hAnsi="Arial" w:cs="Arial"/>
                <w:color w:val="000000"/>
                <w:sz w:val="16"/>
              </w:rPr>
              <w:t xml:space="preserve">Deliverables </w:t>
            </w:r>
          </w:p>
        </w:tc>
        <w:tc>
          <w:tcPr>
            <w:tcW w:w="975"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3FB543C4" w14:textId="77777777" w:rsidR="00724034" w:rsidRDefault="00FB7D0B">
            <w:pPr>
              <w:jc w:val="right"/>
              <w:rPr>
                <w:rFonts w:ascii="Arial" w:eastAsia="Arial" w:hAnsi="Arial" w:cs="Arial"/>
                <w:color w:val="000000"/>
                <w:sz w:val="16"/>
                <w:vertAlign w:val="superscript"/>
              </w:rPr>
            </w:pPr>
            <w:r>
              <w:rPr>
                <w:rFonts w:ascii="Arial" w:eastAsia="Arial" w:hAnsi="Arial" w:cs="Arial"/>
                <w:color w:val="000000"/>
                <w:sz w:val="16"/>
              </w:rPr>
              <w:t>budget</w:t>
            </w:r>
          </w:p>
        </w:tc>
        <w:tc>
          <w:tcPr>
            <w:tcW w:w="975" w:type="dxa"/>
            <w:tcBorders>
              <w:top w:val="nil"/>
              <w:left w:val="nil"/>
              <w:bottom w:val="single" w:sz="6" w:space="0" w:color="000000"/>
              <w:right w:val="nil"/>
              <w:tl2br w:val="nil"/>
              <w:tr2bl w:val="nil"/>
            </w:tcBorders>
            <w:shd w:val="clear" w:color="auto" w:fill="FFFF00"/>
            <w:tcMar>
              <w:left w:w="101" w:type="dxa"/>
              <w:right w:w="101" w:type="dxa"/>
            </w:tcMar>
            <w:vAlign w:val="bottom"/>
          </w:tcPr>
          <w:p w14:paraId="27F58734" w14:textId="77777777" w:rsidR="00724034" w:rsidRDefault="00724034">
            <w:pPr>
              <w:jc w:val="right"/>
              <w:rPr>
                <w:rFonts w:ascii="Arial" w:eastAsia="Arial" w:hAnsi="Arial" w:cs="Arial"/>
                <w:color w:val="000000"/>
                <w:sz w:val="16"/>
              </w:rPr>
            </w:pPr>
          </w:p>
        </w:tc>
        <w:tc>
          <w:tcPr>
            <w:tcW w:w="975"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115096EE" w14:textId="77777777" w:rsidR="00724034" w:rsidRDefault="00FB7D0B">
            <w:pPr>
              <w:jc w:val="right"/>
              <w:rPr>
                <w:rFonts w:ascii="Arial" w:eastAsia="Arial" w:hAnsi="Arial" w:cs="Arial"/>
                <w:color w:val="000000"/>
                <w:sz w:val="16"/>
              </w:rPr>
            </w:pPr>
            <w:r>
              <w:rPr>
                <w:rFonts w:ascii="Arial" w:eastAsia="Arial" w:hAnsi="Arial" w:cs="Arial"/>
                <w:color w:val="000000"/>
                <w:sz w:val="16"/>
              </w:rPr>
              <w:t>year 1</w:t>
            </w:r>
          </w:p>
        </w:tc>
        <w:tc>
          <w:tcPr>
            <w:tcW w:w="975"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5BBAF569" w14:textId="77777777" w:rsidR="00724034" w:rsidRDefault="00FB7D0B">
            <w:pPr>
              <w:jc w:val="right"/>
              <w:rPr>
                <w:rFonts w:ascii="Arial" w:eastAsia="Arial" w:hAnsi="Arial" w:cs="Arial"/>
                <w:color w:val="000000"/>
                <w:sz w:val="16"/>
              </w:rPr>
            </w:pPr>
            <w:r>
              <w:rPr>
                <w:rFonts w:ascii="Arial" w:eastAsia="Arial" w:hAnsi="Arial" w:cs="Arial"/>
                <w:color w:val="000000"/>
                <w:sz w:val="16"/>
              </w:rPr>
              <w:t>year 2</w:t>
            </w:r>
          </w:p>
        </w:tc>
        <w:tc>
          <w:tcPr>
            <w:tcW w:w="975" w:type="dxa"/>
            <w:tcBorders>
              <w:top w:val="nil"/>
              <w:left w:val="nil"/>
              <w:bottom w:val="single" w:sz="6" w:space="0" w:color="000000"/>
              <w:right w:val="single" w:sz="6" w:space="0" w:color="000000"/>
              <w:tl2br w:val="nil"/>
              <w:tr2bl w:val="nil"/>
            </w:tcBorders>
            <w:shd w:val="clear" w:color="auto" w:fill="FFFFFF"/>
            <w:tcMar>
              <w:left w:w="101" w:type="dxa"/>
              <w:right w:w="101" w:type="dxa"/>
            </w:tcMar>
            <w:vAlign w:val="bottom"/>
          </w:tcPr>
          <w:p w14:paraId="2E65ABE4" w14:textId="77777777" w:rsidR="00724034" w:rsidRDefault="00FB7D0B">
            <w:pPr>
              <w:jc w:val="right"/>
              <w:rPr>
                <w:rFonts w:ascii="Arial" w:eastAsia="Arial" w:hAnsi="Arial" w:cs="Arial"/>
                <w:color w:val="000000"/>
                <w:sz w:val="16"/>
              </w:rPr>
            </w:pPr>
            <w:r>
              <w:rPr>
                <w:rFonts w:ascii="Arial" w:eastAsia="Arial" w:hAnsi="Arial" w:cs="Arial"/>
                <w:color w:val="000000"/>
                <w:sz w:val="16"/>
              </w:rPr>
              <w:t>year 3</w:t>
            </w:r>
          </w:p>
        </w:tc>
      </w:tr>
      <w:tr w:rsidR="00724034" w14:paraId="68CC2AA6" w14:textId="77777777">
        <w:tblPrEx>
          <w:tblLook w:val="04A0" w:firstRow="1" w:lastRow="0" w:firstColumn="1" w:lastColumn="0" w:noHBand="0" w:noVBand="1"/>
        </w:tblPrEx>
        <w:trPr>
          <w:trHeight w:val="60"/>
        </w:trPr>
        <w:tc>
          <w:tcPr>
            <w:tcW w:w="3210" w:type="dxa"/>
            <w:tcBorders>
              <w:top w:val="single" w:sz="6" w:space="0" w:color="000000"/>
              <w:left w:val="single" w:sz="6" w:space="0" w:color="000000"/>
              <w:bottom w:val="nil"/>
              <w:right w:val="nil"/>
              <w:tl2br w:val="nil"/>
              <w:tr2bl w:val="nil"/>
            </w:tcBorders>
            <w:shd w:val="clear" w:color="auto" w:fill="FFFFFF"/>
            <w:tcMar>
              <w:left w:w="101" w:type="dxa"/>
              <w:right w:w="101" w:type="dxa"/>
            </w:tcMar>
            <w:vAlign w:val="bottom"/>
          </w:tcPr>
          <w:p w14:paraId="04D18C3B" w14:textId="77777777" w:rsidR="00724034" w:rsidRDefault="00724034">
            <w:pPr>
              <w:rPr>
                <w:rFonts w:ascii="Arial" w:eastAsia="Arial" w:hAnsi="Arial" w:cs="Arial"/>
                <w:color w:val="000000"/>
                <w:sz w:val="16"/>
              </w:rPr>
            </w:pPr>
          </w:p>
        </w:tc>
        <w:tc>
          <w:tcPr>
            <w:tcW w:w="97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75FD7717" w14:textId="77777777" w:rsidR="00724034" w:rsidRDefault="00724034">
            <w:pPr>
              <w:jc w:val="right"/>
              <w:rPr>
                <w:rFonts w:ascii="Arial" w:eastAsia="Arial" w:hAnsi="Arial" w:cs="Arial"/>
                <w:color w:val="000000"/>
                <w:sz w:val="16"/>
                <w:vertAlign w:val="superscript"/>
              </w:rPr>
            </w:pPr>
          </w:p>
        </w:tc>
        <w:tc>
          <w:tcPr>
            <w:tcW w:w="975" w:type="dxa"/>
            <w:tcBorders>
              <w:top w:val="single" w:sz="6" w:space="0" w:color="000000"/>
              <w:left w:val="nil"/>
              <w:bottom w:val="nil"/>
              <w:right w:val="nil"/>
              <w:tl2br w:val="nil"/>
              <w:tr2bl w:val="nil"/>
            </w:tcBorders>
            <w:shd w:val="clear" w:color="auto" w:fill="FFFF00"/>
            <w:tcMar>
              <w:left w:w="101" w:type="dxa"/>
              <w:right w:w="101" w:type="dxa"/>
            </w:tcMar>
            <w:vAlign w:val="bottom"/>
          </w:tcPr>
          <w:p w14:paraId="17CEAE63" w14:textId="77777777" w:rsidR="00724034" w:rsidRDefault="00724034">
            <w:pPr>
              <w:jc w:val="right"/>
              <w:rPr>
                <w:rFonts w:ascii="Arial" w:eastAsia="Arial" w:hAnsi="Arial" w:cs="Arial"/>
                <w:color w:val="000000"/>
                <w:sz w:val="16"/>
                <w:vertAlign w:val="superscript"/>
              </w:rPr>
            </w:pPr>
          </w:p>
        </w:tc>
        <w:tc>
          <w:tcPr>
            <w:tcW w:w="97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6F04B759" w14:textId="77777777" w:rsidR="00724034" w:rsidRDefault="00724034">
            <w:pPr>
              <w:jc w:val="right"/>
              <w:rPr>
                <w:rFonts w:ascii="Arial" w:eastAsia="Arial" w:hAnsi="Arial" w:cs="Arial"/>
                <w:color w:val="000000"/>
                <w:sz w:val="16"/>
                <w:vertAlign w:val="superscript"/>
              </w:rPr>
            </w:pPr>
          </w:p>
        </w:tc>
        <w:tc>
          <w:tcPr>
            <w:tcW w:w="97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22FAB1B1" w14:textId="77777777" w:rsidR="00724034" w:rsidRDefault="00724034">
            <w:pPr>
              <w:jc w:val="right"/>
              <w:rPr>
                <w:rFonts w:ascii="Arial" w:eastAsia="Arial" w:hAnsi="Arial" w:cs="Arial"/>
                <w:color w:val="000000"/>
                <w:sz w:val="16"/>
                <w:vertAlign w:val="superscript"/>
              </w:rPr>
            </w:pPr>
          </w:p>
        </w:tc>
        <w:tc>
          <w:tcPr>
            <w:tcW w:w="975" w:type="dxa"/>
            <w:tcBorders>
              <w:top w:val="single" w:sz="6" w:space="0" w:color="000000"/>
              <w:left w:val="nil"/>
              <w:bottom w:val="nil"/>
              <w:right w:val="single" w:sz="6" w:space="0" w:color="000000"/>
              <w:tl2br w:val="nil"/>
              <w:tr2bl w:val="nil"/>
            </w:tcBorders>
            <w:shd w:val="clear" w:color="auto" w:fill="FFFFFF"/>
            <w:tcMar>
              <w:left w:w="101" w:type="dxa"/>
              <w:right w:w="101" w:type="dxa"/>
            </w:tcMar>
            <w:vAlign w:val="bottom"/>
          </w:tcPr>
          <w:p w14:paraId="067F9D8F" w14:textId="77777777" w:rsidR="00724034" w:rsidRDefault="00724034">
            <w:pPr>
              <w:jc w:val="right"/>
              <w:rPr>
                <w:rFonts w:ascii="Arial" w:eastAsia="Arial" w:hAnsi="Arial" w:cs="Arial"/>
                <w:color w:val="000000"/>
                <w:sz w:val="16"/>
                <w:vertAlign w:val="superscript"/>
              </w:rPr>
            </w:pPr>
          </w:p>
        </w:tc>
      </w:tr>
      <w:tr w:rsidR="00724034" w14:paraId="057BDE79" w14:textId="77777777">
        <w:tblPrEx>
          <w:tblLook w:val="04A0" w:firstRow="1" w:lastRow="0" w:firstColumn="1" w:lastColumn="0" w:noHBand="0" w:noVBand="1"/>
        </w:tblPrEx>
        <w:trPr>
          <w:trHeight w:val="225"/>
        </w:trPr>
        <w:tc>
          <w:tcPr>
            <w:tcW w:w="3210" w:type="dxa"/>
            <w:tcBorders>
              <w:top w:val="nil"/>
              <w:left w:val="single" w:sz="6" w:space="0" w:color="000000"/>
              <w:bottom w:val="single" w:sz="6" w:space="0" w:color="000000"/>
              <w:right w:val="nil"/>
              <w:tl2br w:val="nil"/>
              <w:tr2bl w:val="nil"/>
            </w:tcBorders>
            <w:shd w:val="clear" w:color="auto" w:fill="FFFFFF"/>
            <w:tcMar>
              <w:left w:w="101" w:type="dxa"/>
              <w:right w:w="101" w:type="dxa"/>
            </w:tcMar>
            <w:vAlign w:val="bottom"/>
          </w:tcPr>
          <w:p w14:paraId="7B8D08E1" w14:textId="77777777" w:rsidR="00724034" w:rsidRDefault="00FB7D0B">
            <w:pPr>
              <w:rPr>
                <w:rFonts w:ascii="Arial" w:eastAsia="Arial" w:hAnsi="Arial" w:cs="Arial"/>
                <w:color w:val="000000"/>
                <w:sz w:val="16"/>
                <w:vertAlign w:val="superscript"/>
              </w:rPr>
            </w:pPr>
            <w:r>
              <w:rPr>
                <w:rFonts w:ascii="Arial" w:eastAsia="Arial" w:hAnsi="Arial" w:cs="Arial"/>
                <w:i/>
                <w:color w:val="000000"/>
                <w:sz w:val="16"/>
              </w:rPr>
              <w:t xml:space="preserve">Quantity: </w:t>
            </w:r>
            <w:r>
              <w:rPr>
                <w:rFonts w:ascii="Arial" w:eastAsia="Arial" w:hAnsi="Arial" w:cs="Arial"/>
                <w:color w:val="000000"/>
                <w:sz w:val="16"/>
              </w:rPr>
              <w:t>Number of disability pensioners</w:t>
            </w:r>
          </w:p>
        </w:tc>
        <w:tc>
          <w:tcPr>
            <w:tcW w:w="975"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6C9A9320" w14:textId="77777777" w:rsidR="00724034" w:rsidRDefault="00FB7D0B">
            <w:pPr>
              <w:jc w:val="right"/>
              <w:rPr>
                <w:rFonts w:ascii="Arial" w:eastAsia="Arial" w:hAnsi="Arial" w:cs="Arial"/>
                <w:i/>
                <w:color w:val="000000"/>
                <w:sz w:val="16"/>
                <w:vertAlign w:val="superscript"/>
              </w:rPr>
            </w:pPr>
            <w:r>
              <w:rPr>
                <w:rFonts w:ascii="Arial" w:eastAsia="Arial" w:hAnsi="Arial" w:cs="Arial"/>
                <w:color w:val="000000"/>
                <w:sz w:val="16"/>
              </w:rPr>
              <w:t>100,700 </w:t>
            </w:r>
          </w:p>
        </w:tc>
        <w:tc>
          <w:tcPr>
            <w:tcW w:w="975" w:type="dxa"/>
            <w:tcBorders>
              <w:top w:val="nil"/>
              <w:left w:val="nil"/>
              <w:bottom w:val="single" w:sz="6" w:space="0" w:color="000000"/>
              <w:right w:val="nil"/>
              <w:tl2br w:val="nil"/>
              <w:tr2bl w:val="nil"/>
            </w:tcBorders>
            <w:shd w:val="clear" w:color="auto" w:fill="FFFF00"/>
            <w:tcMar>
              <w:left w:w="101" w:type="dxa"/>
              <w:right w:w="101" w:type="dxa"/>
            </w:tcMar>
            <w:vAlign w:val="bottom"/>
          </w:tcPr>
          <w:p w14:paraId="010B2857" w14:textId="77777777" w:rsidR="00724034" w:rsidRDefault="00FB7D0B">
            <w:pPr>
              <w:jc w:val="right"/>
              <w:rPr>
                <w:rFonts w:ascii="Arial" w:eastAsia="Arial" w:hAnsi="Arial" w:cs="Arial"/>
                <w:color w:val="000000"/>
                <w:sz w:val="16"/>
              </w:rPr>
            </w:pPr>
            <w:r>
              <w:rPr>
                <w:rFonts w:ascii="Arial" w:eastAsia="Arial" w:hAnsi="Arial" w:cs="Arial"/>
                <w:color w:val="000000"/>
                <w:sz w:val="16"/>
              </w:rPr>
              <w:t>96,200 </w:t>
            </w:r>
          </w:p>
        </w:tc>
        <w:tc>
          <w:tcPr>
            <w:tcW w:w="975"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241752DF" w14:textId="77777777" w:rsidR="00724034" w:rsidRDefault="00FB7D0B">
            <w:pPr>
              <w:jc w:val="right"/>
              <w:rPr>
                <w:rFonts w:ascii="Arial" w:eastAsia="Arial" w:hAnsi="Arial" w:cs="Arial"/>
                <w:color w:val="000000"/>
                <w:sz w:val="16"/>
              </w:rPr>
            </w:pPr>
            <w:r>
              <w:rPr>
                <w:rFonts w:ascii="Arial" w:eastAsia="Arial" w:hAnsi="Arial" w:cs="Arial"/>
                <w:color w:val="000000"/>
                <w:sz w:val="16"/>
              </w:rPr>
              <w:t>92,100 </w:t>
            </w:r>
          </w:p>
        </w:tc>
        <w:tc>
          <w:tcPr>
            <w:tcW w:w="975"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2DD2F082" w14:textId="77777777" w:rsidR="00724034" w:rsidRDefault="00FB7D0B">
            <w:pPr>
              <w:jc w:val="right"/>
              <w:rPr>
                <w:rFonts w:ascii="Arial" w:eastAsia="Arial" w:hAnsi="Arial" w:cs="Arial"/>
                <w:color w:val="000000"/>
                <w:sz w:val="16"/>
              </w:rPr>
            </w:pPr>
            <w:r>
              <w:rPr>
                <w:rFonts w:ascii="Arial" w:eastAsia="Arial" w:hAnsi="Arial" w:cs="Arial"/>
                <w:color w:val="000000"/>
                <w:sz w:val="16"/>
              </w:rPr>
              <w:t>88,400 </w:t>
            </w:r>
          </w:p>
        </w:tc>
        <w:tc>
          <w:tcPr>
            <w:tcW w:w="975" w:type="dxa"/>
            <w:tcBorders>
              <w:top w:val="nil"/>
              <w:left w:val="nil"/>
              <w:bottom w:val="single" w:sz="6" w:space="0" w:color="000000"/>
              <w:right w:val="single" w:sz="6" w:space="0" w:color="000000"/>
              <w:tl2br w:val="nil"/>
              <w:tr2bl w:val="nil"/>
            </w:tcBorders>
            <w:shd w:val="clear" w:color="auto" w:fill="FFFFFF"/>
            <w:tcMar>
              <w:left w:w="101" w:type="dxa"/>
              <w:right w:w="101" w:type="dxa"/>
            </w:tcMar>
            <w:vAlign w:val="bottom"/>
          </w:tcPr>
          <w:p w14:paraId="106172C0" w14:textId="77777777" w:rsidR="00724034" w:rsidRDefault="00FB7D0B">
            <w:pPr>
              <w:jc w:val="right"/>
              <w:rPr>
                <w:rFonts w:ascii="Arial" w:eastAsia="Arial" w:hAnsi="Arial" w:cs="Arial"/>
                <w:color w:val="000000"/>
                <w:sz w:val="16"/>
              </w:rPr>
            </w:pPr>
            <w:r>
              <w:rPr>
                <w:rFonts w:ascii="Arial" w:eastAsia="Arial" w:hAnsi="Arial" w:cs="Arial"/>
                <w:color w:val="000000"/>
                <w:sz w:val="16"/>
              </w:rPr>
              <w:t xml:space="preserve"> 85,200 </w:t>
            </w:r>
          </w:p>
        </w:tc>
      </w:tr>
    </w:tbl>
    <w:p w14:paraId="7C1271F3" w14:textId="77777777" w:rsidR="00724034" w:rsidRDefault="00724034">
      <w:pPr>
        <w:rPr>
          <w:rFonts w:ascii="Book Antiqua" w:eastAsia="Book Antiqua" w:hAnsi="Book Antiqua" w:cs="Book Antiqu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10"/>
        <w:gridCol w:w="975"/>
        <w:gridCol w:w="975"/>
        <w:gridCol w:w="975"/>
        <w:gridCol w:w="975"/>
        <w:gridCol w:w="975"/>
      </w:tblGrid>
      <w:tr w:rsidR="00724034" w14:paraId="42412B0E" w14:textId="77777777" w:rsidTr="003F0EEA">
        <w:tc>
          <w:tcPr>
            <w:tcW w:w="8080" w:type="dxa"/>
            <w:gridSpan w:val="6"/>
            <w:tcBorders>
              <w:top w:val="single" w:sz="4" w:space="0" w:color="auto"/>
              <w:left w:val="single" w:sz="4" w:space="0" w:color="auto"/>
              <w:bottom w:val="single" w:sz="4" w:space="0" w:color="auto"/>
              <w:right w:val="single" w:sz="4" w:space="0" w:color="auto"/>
            </w:tcBorders>
          </w:tcPr>
          <w:p w14:paraId="6AAA835A" w14:textId="77777777" w:rsidR="003F0EEA" w:rsidRDefault="00FB7D0B" w:rsidP="003F0EEA">
            <w:pPr>
              <w:pStyle w:val="TableTextLeft4"/>
              <w:ind w:right="-108"/>
              <w:rPr>
                <w:b/>
              </w:rPr>
            </w:pPr>
            <w:r>
              <w:rPr>
                <w:b/>
              </w:rPr>
              <w:t>Programme 1.2 key performance indicators</w:t>
            </w:r>
          </w:p>
          <w:p w14:paraId="2A7E16E5" w14:textId="77777777" w:rsidR="003F0EEA" w:rsidRDefault="00FB7D0B" w:rsidP="003F0EEA">
            <w:pPr>
              <w:pStyle w:val="TableTextBullet2"/>
            </w:pPr>
            <w:r>
              <w:rPr>
                <w:rFonts w:cs="Arial"/>
              </w:rPr>
              <w:t>The following KPIs measure the impact of the Programme:</w:t>
            </w:r>
          </w:p>
        </w:tc>
      </w:tr>
      <w:tr w:rsidR="00724034" w14:paraId="1B993FFD" w14:textId="77777777">
        <w:tblPrEx>
          <w:tblLook w:val="04A0" w:firstRow="1" w:lastRow="0" w:firstColumn="1" w:lastColumn="0" w:noHBand="0" w:noVBand="1"/>
        </w:tblPrEx>
        <w:trPr>
          <w:trHeight w:val="225"/>
        </w:trPr>
        <w:tc>
          <w:tcPr>
            <w:tcW w:w="3210" w:type="dxa"/>
            <w:tcBorders>
              <w:top w:val="single" w:sz="6" w:space="0" w:color="000000"/>
              <w:left w:val="single" w:sz="6" w:space="0" w:color="000000"/>
              <w:bottom w:val="nil"/>
              <w:right w:val="nil"/>
              <w:tl2br w:val="nil"/>
              <w:tr2bl w:val="nil"/>
            </w:tcBorders>
            <w:shd w:val="clear" w:color="auto" w:fill="FFFFFF"/>
            <w:tcMar>
              <w:left w:w="115" w:type="dxa"/>
              <w:right w:w="115" w:type="dxa"/>
            </w:tcMar>
            <w:vAlign w:val="bottom"/>
          </w:tcPr>
          <w:p w14:paraId="591D8616" w14:textId="77777777" w:rsidR="00724034" w:rsidRDefault="00724034">
            <w:pPr>
              <w:jc w:val="center"/>
            </w:pPr>
          </w:p>
        </w:tc>
        <w:tc>
          <w:tcPr>
            <w:tcW w:w="975"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5CADD734" w14:textId="77777777" w:rsidR="00724034" w:rsidRDefault="00FB7D0B">
            <w:pPr>
              <w:jc w:val="right"/>
              <w:rPr>
                <w:rFonts w:ascii="Arial" w:eastAsia="Arial" w:hAnsi="Arial" w:cs="Arial"/>
                <w:b/>
                <w:color w:val="000000"/>
                <w:sz w:val="16"/>
                <w:vertAlign w:val="superscript"/>
              </w:rPr>
            </w:pPr>
            <w:r>
              <w:rPr>
                <w:rFonts w:ascii="Arial" w:eastAsia="Arial" w:hAnsi="Arial" w:cs="Arial"/>
                <w:color w:val="000000"/>
                <w:sz w:val="16"/>
              </w:rPr>
              <w:t>2013-14</w:t>
            </w:r>
          </w:p>
        </w:tc>
        <w:tc>
          <w:tcPr>
            <w:tcW w:w="975" w:type="dxa"/>
            <w:tcBorders>
              <w:top w:val="single" w:sz="6" w:space="0" w:color="000000"/>
              <w:left w:val="nil"/>
              <w:bottom w:val="nil"/>
              <w:right w:val="nil"/>
              <w:tl2br w:val="nil"/>
              <w:tr2bl w:val="nil"/>
            </w:tcBorders>
            <w:shd w:val="clear" w:color="auto" w:fill="FFFF00"/>
            <w:tcMar>
              <w:left w:w="115" w:type="dxa"/>
              <w:right w:w="115" w:type="dxa"/>
            </w:tcMar>
            <w:vAlign w:val="bottom"/>
          </w:tcPr>
          <w:p w14:paraId="1425BE3C" w14:textId="77777777" w:rsidR="00724034" w:rsidRDefault="00FB7D0B">
            <w:pPr>
              <w:jc w:val="right"/>
              <w:rPr>
                <w:rFonts w:ascii="Arial" w:eastAsia="Arial" w:hAnsi="Arial" w:cs="Arial"/>
                <w:color w:val="000000"/>
                <w:sz w:val="16"/>
              </w:rPr>
            </w:pPr>
            <w:r>
              <w:rPr>
                <w:rFonts w:ascii="Arial" w:eastAsia="Arial" w:hAnsi="Arial" w:cs="Arial"/>
                <w:color w:val="000000"/>
                <w:sz w:val="16"/>
              </w:rPr>
              <w:t>2014-15</w:t>
            </w:r>
          </w:p>
        </w:tc>
        <w:tc>
          <w:tcPr>
            <w:tcW w:w="975"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06FFBD32" w14:textId="77777777" w:rsidR="00724034" w:rsidRDefault="00FB7D0B">
            <w:pPr>
              <w:jc w:val="right"/>
              <w:rPr>
                <w:rFonts w:ascii="Arial" w:eastAsia="Arial" w:hAnsi="Arial" w:cs="Arial"/>
                <w:color w:val="000000"/>
                <w:sz w:val="16"/>
              </w:rPr>
            </w:pPr>
            <w:r>
              <w:rPr>
                <w:rFonts w:ascii="Arial" w:eastAsia="Arial" w:hAnsi="Arial" w:cs="Arial"/>
                <w:color w:val="000000"/>
                <w:sz w:val="16"/>
              </w:rPr>
              <w:t>2015-16</w:t>
            </w:r>
          </w:p>
        </w:tc>
        <w:tc>
          <w:tcPr>
            <w:tcW w:w="975"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1C09DFE3" w14:textId="77777777" w:rsidR="00724034" w:rsidRDefault="00FB7D0B">
            <w:pPr>
              <w:jc w:val="right"/>
              <w:rPr>
                <w:rFonts w:ascii="Arial" w:eastAsia="Arial" w:hAnsi="Arial" w:cs="Arial"/>
                <w:color w:val="000000"/>
                <w:sz w:val="16"/>
              </w:rPr>
            </w:pPr>
            <w:r>
              <w:rPr>
                <w:rFonts w:ascii="Arial" w:eastAsia="Arial" w:hAnsi="Arial" w:cs="Arial"/>
                <w:color w:val="000000"/>
                <w:sz w:val="16"/>
              </w:rPr>
              <w:t>2016-17</w:t>
            </w:r>
          </w:p>
        </w:tc>
        <w:tc>
          <w:tcPr>
            <w:tcW w:w="975" w:type="dxa"/>
            <w:tcBorders>
              <w:top w:val="single" w:sz="6" w:space="0" w:color="000000"/>
              <w:left w:val="nil"/>
              <w:bottom w:val="nil"/>
              <w:right w:val="single" w:sz="6" w:space="0" w:color="000000"/>
              <w:tl2br w:val="nil"/>
              <w:tr2bl w:val="nil"/>
            </w:tcBorders>
            <w:shd w:val="clear" w:color="auto" w:fill="FFFFFF"/>
            <w:tcMar>
              <w:left w:w="115" w:type="dxa"/>
              <w:right w:w="115" w:type="dxa"/>
            </w:tcMar>
            <w:vAlign w:val="bottom"/>
          </w:tcPr>
          <w:p w14:paraId="41DECE33" w14:textId="77777777" w:rsidR="00724034" w:rsidRDefault="00FB7D0B">
            <w:pPr>
              <w:jc w:val="right"/>
              <w:rPr>
                <w:rFonts w:ascii="Arial" w:eastAsia="Arial" w:hAnsi="Arial" w:cs="Arial"/>
                <w:color w:val="000000"/>
                <w:sz w:val="16"/>
              </w:rPr>
            </w:pPr>
            <w:r>
              <w:rPr>
                <w:rFonts w:ascii="Arial" w:eastAsia="Arial" w:hAnsi="Arial" w:cs="Arial"/>
                <w:color w:val="000000"/>
                <w:sz w:val="16"/>
              </w:rPr>
              <w:t>2017-18</w:t>
            </w:r>
          </w:p>
        </w:tc>
      </w:tr>
      <w:tr w:rsidR="00724034" w14:paraId="6AE56008" w14:textId="77777777">
        <w:tblPrEx>
          <w:tblLook w:val="04A0" w:firstRow="1" w:lastRow="0" w:firstColumn="1" w:lastColumn="0" w:noHBand="0" w:noVBand="1"/>
        </w:tblPrEx>
        <w:trPr>
          <w:trHeight w:val="225"/>
        </w:trPr>
        <w:tc>
          <w:tcPr>
            <w:tcW w:w="3210" w:type="dxa"/>
            <w:tcBorders>
              <w:top w:val="nil"/>
              <w:left w:val="single" w:sz="6" w:space="0" w:color="000000"/>
              <w:bottom w:val="nil"/>
              <w:right w:val="nil"/>
              <w:tl2br w:val="nil"/>
              <w:tr2bl w:val="nil"/>
            </w:tcBorders>
            <w:shd w:val="clear" w:color="auto" w:fill="FFFFFF"/>
            <w:tcMar>
              <w:left w:w="115" w:type="dxa"/>
              <w:right w:w="115" w:type="dxa"/>
            </w:tcMar>
            <w:vAlign w:val="bottom"/>
          </w:tcPr>
          <w:p w14:paraId="61388EFF" w14:textId="77777777" w:rsidR="00724034" w:rsidRDefault="00FB7D0B">
            <w:pPr>
              <w:rPr>
                <w:rFonts w:ascii="Arial" w:eastAsia="Arial" w:hAnsi="Arial" w:cs="Arial"/>
                <w:color w:val="000000"/>
                <w:sz w:val="16"/>
              </w:rPr>
            </w:pPr>
            <w:r>
              <w:rPr>
                <w:rFonts w:ascii="Arial" w:eastAsia="Arial" w:hAnsi="Arial" w:cs="Arial"/>
                <w:color w:val="000000"/>
                <w:sz w:val="16"/>
              </w:rPr>
              <w:t>Key Performance</w:t>
            </w:r>
          </w:p>
        </w:tc>
        <w:tc>
          <w:tcPr>
            <w:tcW w:w="975" w:type="dxa"/>
            <w:tcBorders>
              <w:top w:val="nil"/>
              <w:left w:val="nil"/>
              <w:bottom w:val="nil"/>
              <w:right w:val="nil"/>
              <w:tl2br w:val="nil"/>
              <w:tr2bl w:val="nil"/>
            </w:tcBorders>
            <w:shd w:val="clear" w:color="auto" w:fill="FFFFFF"/>
            <w:tcMar>
              <w:left w:w="115" w:type="dxa"/>
              <w:right w:w="115" w:type="dxa"/>
            </w:tcMar>
            <w:vAlign w:val="bottom"/>
          </w:tcPr>
          <w:p w14:paraId="51D2AE6B" w14:textId="77777777" w:rsidR="00724034" w:rsidRDefault="00FB7D0B">
            <w:pPr>
              <w:jc w:val="right"/>
              <w:rPr>
                <w:rFonts w:ascii="Arial" w:eastAsia="Arial" w:hAnsi="Arial" w:cs="Arial"/>
                <w:color w:val="000000"/>
                <w:sz w:val="16"/>
                <w:vertAlign w:val="superscript"/>
              </w:rPr>
            </w:pPr>
            <w:r>
              <w:rPr>
                <w:rFonts w:ascii="Arial" w:eastAsia="Arial" w:hAnsi="Arial" w:cs="Arial"/>
                <w:color w:val="000000"/>
                <w:sz w:val="16"/>
              </w:rPr>
              <w:t>Revised</w:t>
            </w:r>
          </w:p>
        </w:tc>
        <w:tc>
          <w:tcPr>
            <w:tcW w:w="975" w:type="dxa"/>
            <w:tcBorders>
              <w:top w:val="nil"/>
              <w:left w:val="nil"/>
              <w:bottom w:val="nil"/>
              <w:right w:val="nil"/>
              <w:tl2br w:val="nil"/>
              <w:tr2bl w:val="nil"/>
            </w:tcBorders>
            <w:shd w:val="clear" w:color="auto" w:fill="FFFF00"/>
            <w:tcMar>
              <w:left w:w="115" w:type="dxa"/>
              <w:right w:w="115" w:type="dxa"/>
            </w:tcMar>
            <w:vAlign w:val="bottom"/>
          </w:tcPr>
          <w:p w14:paraId="1A7A1A49" w14:textId="77777777" w:rsidR="00724034" w:rsidRDefault="00FB7D0B">
            <w:pPr>
              <w:jc w:val="right"/>
              <w:rPr>
                <w:rFonts w:ascii="Arial" w:eastAsia="Arial" w:hAnsi="Arial" w:cs="Arial"/>
                <w:color w:val="000000"/>
                <w:sz w:val="16"/>
              </w:rPr>
            </w:pPr>
            <w:r>
              <w:rPr>
                <w:rFonts w:ascii="Arial" w:eastAsia="Arial" w:hAnsi="Arial" w:cs="Arial"/>
                <w:color w:val="000000"/>
                <w:sz w:val="16"/>
              </w:rPr>
              <w:t>Budget</w:t>
            </w:r>
          </w:p>
        </w:tc>
        <w:tc>
          <w:tcPr>
            <w:tcW w:w="975" w:type="dxa"/>
            <w:tcBorders>
              <w:top w:val="nil"/>
              <w:left w:val="nil"/>
              <w:bottom w:val="nil"/>
              <w:right w:val="nil"/>
              <w:tl2br w:val="nil"/>
              <w:tr2bl w:val="nil"/>
            </w:tcBorders>
            <w:shd w:val="clear" w:color="auto" w:fill="FFFFFF"/>
            <w:tcMar>
              <w:left w:w="115" w:type="dxa"/>
              <w:right w:w="115" w:type="dxa"/>
            </w:tcMar>
            <w:vAlign w:val="bottom"/>
          </w:tcPr>
          <w:p w14:paraId="594F2D12" w14:textId="77777777" w:rsidR="00724034" w:rsidRDefault="00FB7D0B">
            <w:pPr>
              <w:jc w:val="right"/>
              <w:rPr>
                <w:rFonts w:ascii="Arial" w:eastAsia="Arial" w:hAnsi="Arial" w:cs="Arial"/>
                <w:color w:val="000000"/>
                <w:sz w:val="16"/>
              </w:rPr>
            </w:pPr>
            <w:r>
              <w:rPr>
                <w:rFonts w:ascii="Arial" w:eastAsia="Arial" w:hAnsi="Arial" w:cs="Arial"/>
                <w:color w:val="000000"/>
                <w:sz w:val="16"/>
              </w:rPr>
              <w:t>Forward</w:t>
            </w:r>
          </w:p>
        </w:tc>
        <w:tc>
          <w:tcPr>
            <w:tcW w:w="975" w:type="dxa"/>
            <w:tcBorders>
              <w:top w:val="nil"/>
              <w:left w:val="nil"/>
              <w:bottom w:val="nil"/>
              <w:right w:val="nil"/>
              <w:tl2br w:val="nil"/>
              <w:tr2bl w:val="nil"/>
            </w:tcBorders>
            <w:shd w:val="clear" w:color="auto" w:fill="FFFFFF"/>
            <w:tcMar>
              <w:left w:w="115" w:type="dxa"/>
              <w:right w:w="115" w:type="dxa"/>
            </w:tcMar>
            <w:vAlign w:val="bottom"/>
          </w:tcPr>
          <w:p w14:paraId="4D81017A" w14:textId="77777777" w:rsidR="00724034" w:rsidRDefault="00FB7D0B">
            <w:pPr>
              <w:jc w:val="right"/>
              <w:rPr>
                <w:rFonts w:ascii="Arial" w:eastAsia="Arial" w:hAnsi="Arial" w:cs="Arial"/>
                <w:color w:val="000000"/>
                <w:sz w:val="16"/>
              </w:rPr>
            </w:pPr>
            <w:r>
              <w:rPr>
                <w:rFonts w:ascii="Arial" w:eastAsia="Arial" w:hAnsi="Arial" w:cs="Arial"/>
                <w:color w:val="000000"/>
                <w:sz w:val="16"/>
              </w:rPr>
              <w:t>Forward</w:t>
            </w:r>
          </w:p>
        </w:tc>
        <w:tc>
          <w:tcPr>
            <w:tcW w:w="975" w:type="dxa"/>
            <w:tcBorders>
              <w:top w:val="nil"/>
              <w:left w:val="nil"/>
              <w:bottom w:val="nil"/>
              <w:right w:val="single" w:sz="6" w:space="0" w:color="000000"/>
              <w:tl2br w:val="nil"/>
              <w:tr2bl w:val="nil"/>
            </w:tcBorders>
            <w:shd w:val="clear" w:color="auto" w:fill="FFFFFF"/>
            <w:tcMar>
              <w:left w:w="115" w:type="dxa"/>
              <w:right w:w="115" w:type="dxa"/>
            </w:tcMar>
            <w:vAlign w:val="bottom"/>
          </w:tcPr>
          <w:p w14:paraId="69227B69" w14:textId="77777777" w:rsidR="00724034" w:rsidRDefault="00FB7D0B">
            <w:pPr>
              <w:jc w:val="right"/>
              <w:rPr>
                <w:rFonts w:ascii="Arial" w:eastAsia="Arial" w:hAnsi="Arial" w:cs="Arial"/>
                <w:color w:val="000000"/>
                <w:sz w:val="16"/>
              </w:rPr>
            </w:pPr>
            <w:r>
              <w:rPr>
                <w:rFonts w:ascii="Arial" w:eastAsia="Arial" w:hAnsi="Arial" w:cs="Arial"/>
                <w:color w:val="000000"/>
                <w:sz w:val="16"/>
              </w:rPr>
              <w:t>Forward</w:t>
            </w:r>
          </w:p>
        </w:tc>
      </w:tr>
      <w:tr w:rsidR="00724034" w14:paraId="6476DDCB" w14:textId="77777777">
        <w:tblPrEx>
          <w:tblLook w:val="04A0" w:firstRow="1" w:lastRow="0" w:firstColumn="1" w:lastColumn="0" w:noHBand="0" w:noVBand="1"/>
        </w:tblPrEx>
        <w:trPr>
          <w:trHeight w:val="225"/>
        </w:trPr>
        <w:tc>
          <w:tcPr>
            <w:tcW w:w="3210" w:type="dxa"/>
            <w:tcBorders>
              <w:top w:val="nil"/>
              <w:left w:val="single" w:sz="6" w:space="0" w:color="000000"/>
              <w:bottom w:val="single" w:sz="6" w:space="0" w:color="000000"/>
              <w:right w:val="nil"/>
              <w:tl2br w:val="nil"/>
              <w:tr2bl w:val="nil"/>
            </w:tcBorders>
            <w:shd w:val="clear" w:color="auto" w:fill="FFFFFF"/>
            <w:tcMar>
              <w:left w:w="115" w:type="dxa"/>
              <w:right w:w="115" w:type="dxa"/>
            </w:tcMar>
            <w:vAlign w:val="bottom"/>
          </w:tcPr>
          <w:p w14:paraId="7CA1FA87" w14:textId="77777777" w:rsidR="00724034" w:rsidRDefault="00FB7D0B">
            <w:pPr>
              <w:rPr>
                <w:rFonts w:ascii="Arial" w:eastAsia="Arial" w:hAnsi="Arial" w:cs="Arial"/>
                <w:color w:val="000000"/>
                <w:sz w:val="16"/>
              </w:rPr>
            </w:pPr>
            <w:r>
              <w:rPr>
                <w:rFonts w:ascii="Arial" w:eastAsia="Arial" w:hAnsi="Arial" w:cs="Arial"/>
                <w:color w:val="000000"/>
                <w:sz w:val="16"/>
              </w:rPr>
              <w:t>Indicators</w:t>
            </w:r>
          </w:p>
        </w:tc>
        <w:tc>
          <w:tcPr>
            <w:tcW w:w="975"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6D151556" w14:textId="77777777" w:rsidR="00724034" w:rsidRDefault="00FB7D0B">
            <w:pPr>
              <w:jc w:val="right"/>
              <w:rPr>
                <w:rFonts w:ascii="Arial" w:eastAsia="Arial" w:hAnsi="Arial" w:cs="Arial"/>
                <w:color w:val="000000"/>
                <w:sz w:val="16"/>
                <w:vertAlign w:val="superscript"/>
              </w:rPr>
            </w:pPr>
            <w:r>
              <w:rPr>
                <w:rFonts w:ascii="Arial" w:eastAsia="Arial" w:hAnsi="Arial" w:cs="Arial"/>
                <w:color w:val="000000"/>
                <w:sz w:val="16"/>
              </w:rPr>
              <w:t>budget</w:t>
            </w:r>
          </w:p>
        </w:tc>
        <w:tc>
          <w:tcPr>
            <w:tcW w:w="975" w:type="dxa"/>
            <w:tcBorders>
              <w:top w:val="nil"/>
              <w:left w:val="nil"/>
              <w:bottom w:val="single" w:sz="6" w:space="0" w:color="000000"/>
              <w:right w:val="nil"/>
              <w:tl2br w:val="nil"/>
              <w:tr2bl w:val="nil"/>
            </w:tcBorders>
            <w:shd w:val="clear" w:color="auto" w:fill="FFFF00"/>
            <w:tcMar>
              <w:left w:w="115" w:type="dxa"/>
              <w:right w:w="115" w:type="dxa"/>
            </w:tcMar>
            <w:vAlign w:val="bottom"/>
          </w:tcPr>
          <w:p w14:paraId="5CE06DAA" w14:textId="77777777" w:rsidR="00724034" w:rsidRDefault="00FB7D0B">
            <w:pPr>
              <w:jc w:val="right"/>
              <w:rPr>
                <w:rFonts w:ascii="Arial" w:eastAsia="Arial" w:hAnsi="Arial" w:cs="Arial"/>
                <w:color w:val="000000"/>
                <w:sz w:val="16"/>
              </w:rPr>
            </w:pPr>
            <w:r>
              <w:rPr>
                <w:rFonts w:ascii="Arial" w:eastAsia="Arial" w:hAnsi="Arial" w:cs="Arial"/>
                <w:color w:val="000000"/>
                <w:sz w:val="16"/>
              </w:rPr>
              <w:t>target</w:t>
            </w:r>
          </w:p>
        </w:tc>
        <w:tc>
          <w:tcPr>
            <w:tcW w:w="975"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28DC027A" w14:textId="77777777" w:rsidR="00724034" w:rsidRDefault="00FB7D0B">
            <w:pPr>
              <w:jc w:val="right"/>
              <w:rPr>
                <w:rFonts w:ascii="Arial" w:eastAsia="Arial" w:hAnsi="Arial" w:cs="Arial"/>
                <w:color w:val="000000"/>
                <w:sz w:val="16"/>
              </w:rPr>
            </w:pPr>
            <w:r>
              <w:rPr>
                <w:rFonts w:ascii="Arial" w:eastAsia="Arial" w:hAnsi="Arial" w:cs="Arial"/>
                <w:color w:val="000000"/>
                <w:sz w:val="16"/>
              </w:rPr>
              <w:t>year 1</w:t>
            </w:r>
          </w:p>
        </w:tc>
        <w:tc>
          <w:tcPr>
            <w:tcW w:w="975"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1B57D57E" w14:textId="77777777" w:rsidR="00724034" w:rsidRDefault="00FB7D0B">
            <w:pPr>
              <w:jc w:val="right"/>
              <w:rPr>
                <w:rFonts w:ascii="Arial" w:eastAsia="Arial" w:hAnsi="Arial" w:cs="Arial"/>
                <w:color w:val="000000"/>
                <w:sz w:val="16"/>
              </w:rPr>
            </w:pPr>
            <w:r>
              <w:rPr>
                <w:rFonts w:ascii="Arial" w:eastAsia="Arial" w:hAnsi="Arial" w:cs="Arial"/>
                <w:color w:val="000000"/>
                <w:sz w:val="16"/>
              </w:rPr>
              <w:t>year 2</w:t>
            </w:r>
          </w:p>
        </w:tc>
        <w:tc>
          <w:tcPr>
            <w:tcW w:w="975" w:type="dxa"/>
            <w:tcBorders>
              <w:top w:val="nil"/>
              <w:left w:val="nil"/>
              <w:bottom w:val="single" w:sz="6" w:space="0" w:color="000000"/>
              <w:right w:val="single" w:sz="6" w:space="0" w:color="000000"/>
              <w:tl2br w:val="nil"/>
              <w:tr2bl w:val="nil"/>
            </w:tcBorders>
            <w:shd w:val="clear" w:color="auto" w:fill="FFFFFF"/>
            <w:tcMar>
              <w:left w:w="115" w:type="dxa"/>
              <w:right w:w="115" w:type="dxa"/>
            </w:tcMar>
            <w:vAlign w:val="bottom"/>
          </w:tcPr>
          <w:p w14:paraId="13A60E14" w14:textId="77777777" w:rsidR="00724034" w:rsidRDefault="00FB7D0B">
            <w:pPr>
              <w:jc w:val="right"/>
              <w:rPr>
                <w:rFonts w:ascii="Arial" w:eastAsia="Arial" w:hAnsi="Arial" w:cs="Arial"/>
                <w:color w:val="000000"/>
                <w:sz w:val="16"/>
              </w:rPr>
            </w:pPr>
            <w:r>
              <w:rPr>
                <w:rFonts w:ascii="Arial" w:eastAsia="Arial" w:hAnsi="Arial" w:cs="Arial"/>
                <w:color w:val="000000"/>
                <w:sz w:val="16"/>
              </w:rPr>
              <w:t>year 3</w:t>
            </w:r>
          </w:p>
        </w:tc>
      </w:tr>
      <w:tr w:rsidR="00724034" w14:paraId="74226695" w14:textId="77777777">
        <w:tblPrEx>
          <w:tblLook w:val="04A0" w:firstRow="1" w:lastRow="0" w:firstColumn="1" w:lastColumn="0" w:noHBand="0" w:noVBand="1"/>
        </w:tblPrEx>
        <w:trPr>
          <w:trHeight w:val="60"/>
        </w:trPr>
        <w:tc>
          <w:tcPr>
            <w:tcW w:w="3210" w:type="dxa"/>
            <w:tcBorders>
              <w:top w:val="single" w:sz="6" w:space="0" w:color="000000"/>
              <w:left w:val="single" w:sz="6" w:space="0" w:color="000000"/>
              <w:bottom w:val="nil"/>
              <w:right w:val="nil"/>
              <w:tl2br w:val="nil"/>
              <w:tr2bl w:val="nil"/>
            </w:tcBorders>
            <w:shd w:val="clear" w:color="auto" w:fill="FFFFFF"/>
            <w:tcMar>
              <w:left w:w="115" w:type="dxa"/>
              <w:right w:w="115" w:type="dxa"/>
            </w:tcMar>
            <w:vAlign w:val="bottom"/>
          </w:tcPr>
          <w:p w14:paraId="3F27AE5B" w14:textId="77777777" w:rsidR="00724034" w:rsidRDefault="00724034">
            <w:pPr>
              <w:rPr>
                <w:rFonts w:ascii="Arial" w:eastAsia="Arial" w:hAnsi="Arial" w:cs="Arial"/>
                <w:color w:val="000000"/>
                <w:sz w:val="16"/>
              </w:rPr>
            </w:pPr>
          </w:p>
        </w:tc>
        <w:tc>
          <w:tcPr>
            <w:tcW w:w="975"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7058AB54" w14:textId="77777777" w:rsidR="00724034" w:rsidRDefault="00724034">
            <w:pPr>
              <w:jc w:val="right"/>
              <w:rPr>
                <w:rFonts w:ascii="Arial" w:eastAsia="Arial" w:hAnsi="Arial" w:cs="Arial"/>
                <w:color w:val="000000"/>
                <w:sz w:val="16"/>
                <w:vertAlign w:val="superscript"/>
              </w:rPr>
            </w:pPr>
          </w:p>
        </w:tc>
        <w:tc>
          <w:tcPr>
            <w:tcW w:w="975" w:type="dxa"/>
            <w:tcBorders>
              <w:top w:val="single" w:sz="6" w:space="0" w:color="000000"/>
              <w:left w:val="nil"/>
              <w:bottom w:val="nil"/>
              <w:right w:val="nil"/>
              <w:tl2br w:val="nil"/>
              <w:tr2bl w:val="nil"/>
            </w:tcBorders>
            <w:shd w:val="clear" w:color="auto" w:fill="FFFF00"/>
            <w:tcMar>
              <w:left w:w="115" w:type="dxa"/>
              <w:right w:w="115" w:type="dxa"/>
            </w:tcMar>
            <w:vAlign w:val="bottom"/>
          </w:tcPr>
          <w:p w14:paraId="14B1A04B" w14:textId="77777777" w:rsidR="00724034" w:rsidRDefault="00724034">
            <w:pPr>
              <w:jc w:val="right"/>
              <w:rPr>
                <w:rFonts w:ascii="Arial" w:eastAsia="Arial" w:hAnsi="Arial" w:cs="Arial"/>
                <w:color w:val="000000"/>
                <w:sz w:val="16"/>
                <w:vertAlign w:val="superscript"/>
              </w:rPr>
            </w:pPr>
          </w:p>
        </w:tc>
        <w:tc>
          <w:tcPr>
            <w:tcW w:w="975"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7D5F0A93" w14:textId="77777777" w:rsidR="00724034" w:rsidRDefault="00724034">
            <w:pPr>
              <w:jc w:val="right"/>
              <w:rPr>
                <w:rFonts w:ascii="Arial" w:eastAsia="Arial" w:hAnsi="Arial" w:cs="Arial"/>
                <w:color w:val="000000"/>
                <w:sz w:val="16"/>
                <w:vertAlign w:val="superscript"/>
              </w:rPr>
            </w:pPr>
          </w:p>
        </w:tc>
        <w:tc>
          <w:tcPr>
            <w:tcW w:w="975"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4225A57C" w14:textId="77777777" w:rsidR="00724034" w:rsidRDefault="00724034">
            <w:pPr>
              <w:jc w:val="right"/>
              <w:rPr>
                <w:rFonts w:ascii="Arial" w:eastAsia="Arial" w:hAnsi="Arial" w:cs="Arial"/>
                <w:color w:val="000000"/>
                <w:sz w:val="16"/>
                <w:vertAlign w:val="superscript"/>
              </w:rPr>
            </w:pPr>
          </w:p>
        </w:tc>
        <w:tc>
          <w:tcPr>
            <w:tcW w:w="975" w:type="dxa"/>
            <w:tcBorders>
              <w:top w:val="single" w:sz="6" w:space="0" w:color="000000"/>
              <w:left w:val="nil"/>
              <w:bottom w:val="nil"/>
              <w:right w:val="single" w:sz="6" w:space="0" w:color="000000"/>
              <w:tl2br w:val="nil"/>
              <w:tr2bl w:val="nil"/>
            </w:tcBorders>
            <w:shd w:val="clear" w:color="auto" w:fill="FFFFFF"/>
            <w:tcMar>
              <w:left w:w="115" w:type="dxa"/>
              <w:right w:w="115" w:type="dxa"/>
            </w:tcMar>
            <w:vAlign w:val="bottom"/>
          </w:tcPr>
          <w:p w14:paraId="394A5818" w14:textId="77777777" w:rsidR="00724034" w:rsidRDefault="00724034">
            <w:pPr>
              <w:jc w:val="right"/>
              <w:rPr>
                <w:rFonts w:ascii="Arial" w:eastAsia="Arial" w:hAnsi="Arial" w:cs="Arial"/>
                <w:color w:val="000000"/>
                <w:sz w:val="16"/>
                <w:vertAlign w:val="superscript"/>
              </w:rPr>
            </w:pPr>
          </w:p>
        </w:tc>
      </w:tr>
      <w:tr w:rsidR="00724034" w14:paraId="6C4C821E" w14:textId="77777777">
        <w:tblPrEx>
          <w:tblLook w:val="04A0" w:firstRow="1" w:lastRow="0" w:firstColumn="1" w:lastColumn="0" w:noHBand="0" w:noVBand="1"/>
        </w:tblPrEx>
        <w:trPr>
          <w:trHeight w:val="450"/>
        </w:trPr>
        <w:tc>
          <w:tcPr>
            <w:tcW w:w="3210" w:type="dxa"/>
            <w:tcBorders>
              <w:top w:val="nil"/>
              <w:left w:val="single" w:sz="6" w:space="0" w:color="000000"/>
              <w:bottom w:val="nil"/>
              <w:right w:val="nil"/>
              <w:tl2br w:val="nil"/>
              <w:tr2bl w:val="nil"/>
            </w:tcBorders>
            <w:shd w:val="clear" w:color="auto" w:fill="FFFFFF"/>
            <w:tcMar>
              <w:left w:w="115" w:type="dxa"/>
              <w:right w:w="115" w:type="dxa"/>
            </w:tcMar>
            <w:vAlign w:val="bottom"/>
          </w:tcPr>
          <w:p w14:paraId="66C66879" w14:textId="77777777" w:rsidR="00724034" w:rsidRDefault="00FB7D0B">
            <w:pPr>
              <w:rPr>
                <w:rFonts w:ascii="Arial" w:eastAsia="Arial" w:hAnsi="Arial" w:cs="Arial"/>
                <w:color w:val="000000"/>
                <w:sz w:val="16"/>
                <w:vertAlign w:val="superscript"/>
              </w:rPr>
            </w:pPr>
            <w:r>
              <w:rPr>
                <w:rFonts w:ascii="Arial" w:eastAsia="Arial" w:hAnsi="Arial" w:cs="Arial"/>
                <w:i/>
                <w:color w:val="000000"/>
                <w:sz w:val="16"/>
              </w:rPr>
              <w:t>Timeliness Target:</w:t>
            </w:r>
            <w:r>
              <w:rPr>
                <w:rFonts w:ascii="Arial" w:eastAsia="Arial" w:hAnsi="Arial" w:cs="Arial"/>
                <w:color w:val="000000"/>
                <w:sz w:val="16"/>
              </w:rPr>
              <w:t xml:space="preserve"> Mean number of days to process a primary claim</w:t>
            </w:r>
          </w:p>
        </w:tc>
        <w:tc>
          <w:tcPr>
            <w:tcW w:w="975" w:type="dxa"/>
            <w:tcBorders>
              <w:top w:val="nil"/>
              <w:left w:val="nil"/>
              <w:bottom w:val="nil"/>
              <w:right w:val="nil"/>
              <w:tl2br w:val="nil"/>
              <w:tr2bl w:val="nil"/>
            </w:tcBorders>
            <w:shd w:val="clear" w:color="auto" w:fill="FFFFFF"/>
            <w:tcMar>
              <w:left w:w="115" w:type="dxa"/>
              <w:right w:w="115" w:type="dxa"/>
            </w:tcMar>
            <w:vAlign w:val="bottom"/>
          </w:tcPr>
          <w:p w14:paraId="64A2DE05" w14:textId="77777777" w:rsidR="00724034" w:rsidRDefault="00FB7D0B">
            <w:pPr>
              <w:jc w:val="right"/>
              <w:rPr>
                <w:rFonts w:ascii="Arial" w:eastAsia="Arial" w:hAnsi="Arial" w:cs="Arial"/>
                <w:i/>
                <w:color w:val="000000"/>
                <w:sz w:val="16"/>
                <w:vertAlign w:val="superscript"/>
              </w:rPr>
            </w:pPr>
            <w:r>
              <w:rPr>
                <w:rFonts w:ascii="Arial" w:eastAsia="Arial" w:hAnsi="Arial" w:cs="Arial"/>
                <w:color w:val="000000"/>
                <w:sz w:val="16"/>
              </w:rPr>
              <w:t>75 </w:t>
            </w:r>
          </w:p>
        </w:tc>
        <w:tc>
          <w:tcPr>
            <w:tcW w:w="975" w:type="dxa"/>
            <w:tcBorders>
              <w:top w:val="nil"/>
              <w:left w:val="nil"/>
              <w:bottom w:val="nil"/>
              <w:right w:val="nil"/>
              <w:tl2br w:val="nil"/>
              <w:tr2bl w:val="nil"/>
            </w:tcBorders>
            <w:shd w:val="clear" w:color="auto" w:fill="FFFF00"/>
            <w:tcMar>
              <w:left w:w="115" w:type="dxa"/>
              <w:right w:w="115" w:type="dxa"/>
            </w:tcMar>
            <w:vAlign w:val="bottom"/>
          </w:tcPr>
          <w:p w14:paraId="572C4D84" w14:textId="77777777" w:rsidR="00724034" w:rsidRDefault="00FB7D0B">
            <w:pPr>
              <w:jc w:val="right"/>
              <w:rPr>
                <w:rFonts w:ascii="Arial" w:eastAsia="Arial" w:hAnsi="Arial" w:cs="Arial"/>
                <w:color w:val="000000"/>
                <w:sz w:val="16"/>
              </w:rPr>
            </w:pPr>
            <w:r>
              <w:rPr>
                <w:rFonts w:ascii="Arial" w:eastAsia="Arial" w:hAnsi="Arial" w:cs="Arial"/>
                <w:color w:val="000000"/>
                <w:sz w:val="16"/>
              </w:rPr>
              <w:t>75 </w:t>
            </w:r>
          </w:p>
        </w:tc>
        <w:tc>
          <w:tcPr>
            <w:tcW w:w="975" w:type="dxa"/>
            <w:tcBorders>
              <w:top w:val="nil"/>
              <w:left w:val="nil"/>
              <w:bottom w:val="nil"/>
              <w:right w:val="nil"/>
              <w:tl2br w:val="nil"/>
              <w:tr2bl w:val="nil"/>
            </w:tcBorders>
            <w:shd w:val="clear" w:color="auto" w:fill="FFFFFF"/>
            <w:tcMar>
              <w:left w:w="115" w:type="dxa"/>
              <w:right w:w="115" w:type="dxa"/>
            </w:tcMar>
            <w:vAlign w:val="bottom"/>
          </w:tcPr>
          <w:p w14:paraId="59A6A9C7" w14:textId="77777777" w:rsidR="00724034" w:rsidRDefault="00FB7D0B">
            <w:pPr>
              <w:jc w:val="right"/>
              <w:rPr>
                <w:rFonts w:ascii="Arial" w:eastAsia="Arial" w:hAnsi="Arial" w:cs="Arial"/>
                <w:color w:val="000000"/>
                <w:sz w:val="16"/>
              </w:rPr>
            </w:pPr>
            <w:r>
              <w:rPr>
                <w:rFonts w:ascii="Arial" w:eastAsia="Arial" w:hAnsi="Arial" w:cs="Arial"/>
                <w:color w:val="000000"/>
                <w:sz w:val="16"/>
              </w:rPr>
              <w:t>75 </w:t>
            </w:r>
          </w:p>
        </w:tc>
        <w:tc>
          <w:tcPr>
            <w:tcW w:w="975" w:type="dxa"/>
            <w:tcBorders>
              <w:top w:val="nil"/>
              <w:left w:val="nil"/>
              <w:bottom w:val="nil"/>
              <w:right w:val="nil"/>
              <w:tl2br w:val="nil"/>
              <w:tr2bl w:val="nil"/>
            </w:tcBorders>
            <w:shd w:val="clear" w:color="auto" w:fill="FFFFFF"/>
            <w:tcMar>
              <w:left w:w="115" w:type="dxa"/>
              <w:right w:w="115" w:type="dxa"/>
            </w:tcMar>
            <w:vAlign w:val="bottom"/>
          </w:tcPr>
          <w:p w14:paraId="69CC158D" w14:textId="77777777" w:rsidR="00724034" w:rsidRDefault="00FB7D0B">
            <w:pPr>
              <w:jc w:val="right"/>
              <w:rPr>
                <w:rFonts w:ascii="Arial" w:eastAsia="Arial" w:hAnsi="Arial" w:cs="Arial"/>
                <w:color w:val="000000"/>
                <w:sz w:val="16"/>
              </w:rPr>
            </w:pPr>
            <w:r>
              <w:rPr>
                <w:rFonts w:ascii="Arial" w:eastAsia="Arial" w:hAnsi="Arial" w:cs="Arial"/>
                <w:color w:val="000000"/>
                <w:sz w:val="16"/>
              </w:rPr>
              <w:t>75 </w:t>
            </w:r>
          </w:p>
        </w:tc>
        <w:tc>
          <w:tcPr>
            <w:tcW w:w="975" w:type="dxa"/>
            <w:tcBorders>
              <w:top w:val="nil"/>
              <w:left w:val="nil"/>
              <w:bottom w:val="nil"/>
              <w:right w:val="single" w:sz="6" w:space="0" w:color="000000"/>
              <w:tl2br w:val="nil"/>
              <w:tr2bl w:val="nil"/>
            </w:tcBorders>
            <w:shd w:val="clear" w:color="auto" w:fill="FFFFFF"/>
            <w:tcMar>
              <w:left w:w="115" w:type="dxa"/>
              <w:right w:w="115" w:type="dxa"/>
            </w:tcMar>
            <w:vAlign w:val="bottom"/>
          </w:tcPr>
          <w:p w14:paraId="5563AF64" w14:textId="77777777" w:rsidR="00724034" w:rsidRDefault="00FB7D0B">
            <w:pPr>
              <w:jc w:val="right"/>
              <w:rPr>
                <w:rFonts w:ascii="Arial" w:eastAsia="Arial" w:hAnsi="Arial" w:cs="Arial"/>
                <w:color w:val="000000"/>
                <w:sz w:val="16"/>
              </w:rPr>
            </w:pPr>
            <w:r>
              <w:rPr>
                <w:rFonts w:ascii="Arial" w:eastAsia="Arial" w:hAnsi="Arial" w:cs="Arial"/>
                <w:color w:val="000000"/>
                <w:sz w:val="16"/>
              </w:rPr>
              <w:t>75 </w:t>
            </w:r>
          </w:p>
        </w:tc>
      </w:tr>
      <w:tr w:rsidR="00724034" w14:paraId="34F3453C" w14:textId="77777777">
        <w:tblPrEx>
          <w:tblLook w:val="04A0" w:firstRow="1" w:lastRow="0" w:firstColumn="1" w:lastColumn="0" w:noHBand="0" w:noVBand="1"/>
        </w:tblPrEx>
        <w:trPr>
          <w:trHeight w:val="450"/>
        </w:trPr>
        <w:tc>
          <w:tcPr>
            <w:tcW w:w="3210" w:type="dxa"/>
            <w:tcBorders>
              <w:top w:val="nil"/>
              <w:left w:val="single" w:sz="6" w:space="0" w:color="000000"/>
              <w:bottom w:val="nil"/>
              <w:right w:val="nil"/>
              <w:tl2br w:val="nil"/>
              <w:tr2bl w:val="nil"/>
            </w:tcBorders>
            <w:shd w:val="clear" w:color="auto" w:fill="FFFFFF"/>
            <w:tcMar>
              <w:left w:w="115" w:type="dxa"/>
              <w:right w:w="115" w:type="dxa"/>
            </w:tcMar>
            <w:vAlign w:val="bottom"/>
          </w:tcPr>
          <w:p w14:paraId="4E289D3A" w14:textId="77777777" w:rsidR="00724034" w:rsidRDefault="00FB7D0B">
            <w:pPr>
              <w:rPr>
                <w:rFonts w:ascii="Arial" w:eastAsia="Arial" w:hAnsi="Arial" w:cs="Arial"/>
                <w:color w:val="000000"/>
                <w:sz w:val="16"/>
              </w:rPr>
            </w:pPr>
            <w:r>
              <w:rPr>
                <w:rFonts w:ascii="Arial" w:eastAsia="Arial" w:hAnsi="Arial" w:cs="Arial"/>
                <w:i/>
                <w:color w:val="000000"/>
                <w:sz w:val="16"/>
              </w:rPr>
              <w:t xml:space="preserve">Timeliness Target: </w:t>
            </w:r>
            <w:r>
              <w:rPr>
                <w:rFonts w:ascii="Arial" w:eastAsia="Arial" w:hAnsi="Arial" w:cs="Arial"/>
                <w:color w:val="000000"/>
                <w:sz w:val="16"/>
              </w:rPr>
              <w:t>Mean number of days to prepare s.31 review</w:t>
            </w:r>
          </w:p>
        </w:tc>
        <w:tc>
          <w:tcPr>
            <w:tcW w:w="975" w:type="dxa"/>
            <w:tcBorders>
              <w:top w:val="nil"/>
              <w:left w:val="nil"/>
              <w:bottom w:val="nil"/>
              <w:right w:val="nil"/>
              <w:tl2br w:val="nil"/>
              <w:tr2bl w:val="nil"/>
            </w:tcBorders>
            <w:shd w:val="clear" w:color="auto" w:fill="FFFFFF"/>
            <w:tcMar>
              <w:left w:w="115" w:type="dxa"/>
              <w:right w:w="115" w:type="dxa"/>
            </w:tcMar>
            <w:vAlign w:val="bottom"/>
          </w:tcPr>
          <w:p w14:paraId="07249C4E" w14:textId="77777777" w:rsidR="00724034" w:rsidRDefault="00FB7D0B">
            <w:pPr>
              <w:jc w:val="right"/>
              <w:rPr>
                <w:rFonts w:ascii="Arial" w:eastAsia="Arial" w:hAnsi="Arial" w:cs="Arial"/>
                <w:i/>
                <w:color w:val="000000"/>
                <w:sz w:val="16"/>
                <w:vertAlign w:val="superscript"/>
              </w:rPr>
            </w:pPr>
            <w:r>
              <w:rPr>
                <w:rFonts w:ascii="Arial" w:eastAsia="Arial" w:hAnsi="Arial" w:cs="Arial"/>
                <w:color w:val="000000"/>
                <w:sz w:val="16"/>
              </w:rPr>
              <w:t>40 </w:t>
            </w:r>
          </w:p>
        </w:tc>
        <w:tc>
          <w:tcPr>
            <w:tcW w:w="975" w:type="dxa"/>
            <w:tcBorders>
              <w:top w:val="nil"/>
              <w:left w:val="nil"/>
              <w:bottom w:val="nil"/>
              <w:right w:val="nil"/>
              <w:tl2br w:val="nil"/>
              <w:tr2bl w:val="nil"/>
            </w:tcBorders>
            <w:shd w:val="clear" w:color="auto" w:fill="FFFF00"/>
            <w:tcMar>
              <w:left w:w="115" w:type="dxa"/>
              <w:right w:w="115" w:type="dxa"/>
            </w:tcMar>
            <w:vAlign w:val="bottom"/>
          </w:tcPr>
          <w:p w14:paraId="228D14D6" w14:textId="77777777" w:rsidR="00724034" w:rsidRDefault="00FB7D0B">
            <w:pPr>
              <w:jc w:val="right"/>
              <w:rPr>
                <w:rFonts w:ascii="Arial" w:eastAsia="Arial" w:hAnsi="Arial" w:cs="Arial"/>
                <w:color w:val="000000"/>
                <w:sz w:val="16"/>
              </w:rPr>
            </w:pPr>
            <w:r>
              <w:rPr>
                <w:rFonts w:ascii="Arial" w:eastAsia="Arial" w:hAnsi="Arial" w:cs="Arial"/>
                <w:color w:val="000000"/>
                <w:sz w:val="16"/>
              </w:rPr>
              <w:t>40 </w:t>
            </w:r>
          </w:p>
        </w:tc>
        <w:tc>
          <w:tcPr>
            <w:tcW w:w="975" w:type="dxa"/>
            <w:tcBorders>
              <w:top w:val="nil"/>
              <w:left w:val="nil"/>
              <w:bottom w:val="nil"/>
              <w:right w:val="nil"/>
              <w:tl2br w:val="nil"/>
              <w:tr2bl w:val="nil"/>
            </w:tcBorders>
            <w:shd w:val="clear" w:color="auto" w:fill="FFFFFF"/>
            <w:tcMar>
              <w:left w:w="115" w:type="dxa"/>
              <w:right w:w="115" w:type="dxa"/>
            </w:tcMar>
            <w:vAlign w:val="bottom"/>
          </w:tcPr>
          <w:p w14:paraId="19650792" w14:textId="77777777" w:rsidR="00724034" w:rsidRDefault="00FB7D0B">
            <w:pPr>
              <w:jc w:val="right"/>
              <w:rPr>
                <w:rFonts w:ascii="Arial" w:eastAsia="Arial" w:hAnsi="Arial" w:cs="Arial"/>
                <w:color w:val="000000"/>
                <w:sz w:val="16"/>
              </w:rPr>
            </w:pPr>
            <w:r>
              <w:rPr>
                <w:rFonts w:ascii="Arial" w:eastAsia="Arial" w:hAnsi="Arial" w:cs="Arial"/>
                <w:color w:val="000000"/>
                <w:sz w:val="16"/>
              </w:rPr>
              <w:t>40 </w:t>
            </w:r>
          </w:p>
        </w:tc>
        <w:tc>
          <w:tcPr>
            <w:tcW w:w="975" w:type="dxa"/>
            <w:tcBorders>
              <w:top w:val="nil"/>
              <w:left w:val="nil"/>
              <w:bottom w:val="nil"/>
              <w:right w:val="nil"/>
              <w:tl2br w:val="nil"/>
              <w:tr2bl w:val="nil"/>
            </w:tcBorders>
            <w:shd w:val="clear" w:color="auto" w:fill="FFFFFF"/>
            <w:tcMar>
              <w:left w:w="115" w:type="dxa"/>
              <w:right w:w="115" w:type="dxa"/>
            </w:tcMar>
            <w:vAlign w:val="bottom"/>
          </w:tcPr>
          <w:p w14:paraId="53E03DDC" w14:textId="77777777" w:rsidR="00724034" w:rsidRDefault="00FB7D0B">
            <w:pPr>
              <w:jc w:val="right"/>
              <w:rPr>
                <w:rFonts w:ascii="Arial" w:eastAsia="Arial" w:hAnsi="Arial" w:cs="Arial"/>
                <w:color w:val="000000"/>
                <w:sz w:val="16"/>
              </w:rPr>
            </w:pPr>
            <w:r>
              <w:rPr>
                <w:rFonts w:ascii="Arial" w:eastAsia="Arial" w:hAnsi="Arial" w:cs="Arial"/>
                <w:color w:val="000000"/>
                <w:sz w:val="16"/>
              </w:rPr>
              <w:t>40 </w:t>
            </w:r>
          </w:p>
        </w:tc>
        <w:tc>
          <w:tcPr>
            <w:tcW w:w="975" w:type="dxa"/>
            <w:tcBorders>
              <w:top w:val="nil"/>
              <w:left w:val="nil"/>
              <w:bottom w:val="nil"/>
              <w:right w:val="single" w:sz="6" w:space="0" w:color="000000"/>
              <w:tl2br w:val="nil"/>
              <w:tr2bl w:val="nil"/>
            </w:tcBorders>
            <w:shd w:val="clear" w:color="auto" w:fill="FFFFFF"/>
            <w:tcMar>
              <w:left w:w="115" w:type="dxa"/>
              <w:right w:w="115" w:type="dxa"/>
            </w:tcMar>
            <w:vAlign w:val="bottom"/>
          </w:tcPr>
          <w:p w14:paraId="5CB2083F" w14:textId="77777777" w:rsidR="00724034" w:rsidRDefault="00FB7D0B">
            <w:pPr>
              <w:jc w:val="right"/>
              <w:rPr>
                <w:rFonts w:ascii="Arial" w:eastAsia="Arial" w:hAnsi="Arial" w:cs="Arial"/>
                <w:color w:val="000000"/>
                <w:sz w:val="16"/>
              </w:rPr>
            </w:pPr>
            <w:r>
              <w:rPr>
                <w:rFonts w:ascii="Arial" w:eastAsia="Arial" w:hAnsi="Arial" w:cs="Arial"/>
                <w:color w:val="000000"/>
                <w:sz w:val="16"/>
              </w:rPr>
              <w:t>40 </w:t>
            </w:r>
          </w:p>
        </w:tc>
      </w:tr>
      <w:tr w:rsidR="00724034" w14:paraId="51AA94AB" w14:textId="77777777">
        <w:tblPrEx>
          <w:tblLook w:val="04A0" w:firstRow="1" w:lastRow="0" w:firstColumn="1" w:lastColumn="0" w:noHBand="0" w:noVBand="1"/>
        </w:tblPrEx>
        <w:trPr>
          <w:trHeight w:val="450"/>
        </w:trPr>
        <w:tc>
          <w:tcPr>
            <w:tcW w:w="3210" w:type="dxa"/>
            <w:tcBorders>
              <w:top w:val="nil"/>
              <w:left w:val="single" w:sz="6" w:space="0" w:color="000000"/>
              <w:bottom w:val="nil"/>
              <w:right w:val="nil"/>
              <w:tl2br w:val="nil"/>
              <w:tr2bl w:val="nil"/>
            </w:tcBorders>
            <w:shd w:val="clear" w:color="auto" w:fill="FFFFFF"/>
            <w:tcMar>
              <w:left w:w="115" w:type="dxa"/>
              <w:right w:w="115" w:type="dxa"/>
            </w:tcMar>
            <w:vAlign w:val="bottom"/>
          </w:tcPr>
          <w:p w14:paraId="73B3DB4C" w14:textId="77777777" w:rsidR="00724034" w:rsidRDefault="00FB7D0B">
            <w:pPr>
              <w:rPr>
                <w:rFonts w:ascii="Arial" w:eastAsia="Arial" w:hAnsi="Arial" w:cs="Arial"/>
                <w:color w:val="000000"/>
                <w:sz w:val="16"/>
              </w:rPr>
            </w:pPr>
            <w:r>
              <w:rPr>
                <w:rFonts w:ascii="Arial" w:eastAsia="Arial" w:hAnsi="Arial" w:cs="Arial"/>
                <w:i/>
                <w:color w:val="000000"/>
                <w:sz w:val="16"/>
              </w:rPr>
              <w:t xml:space="preserve">Price: </w:t>
            </w:r>
            <w:r>
              <w:rPr>
                <w:rFonts w:ascii="Arial" w:eastAsia="Arial" w:hAnsi="Arial" w:cs="Arial"/>
                <w:color w:val="000000"/>
                <w:sz w:val="16"/>
              </w:rPr>
              <w:t>Average cost per disability pensioner</w:t>
            </w:r>
          </w:p>
        </w:tc>
        <w:tc>
          <w:tcPr>
            <w:tcW w:w="975" w:type="dxa"/>
            <w:tcBorders>
              <w:top w:val="nil"/>
              <w:left w:val="nil"/>
              <w:bottom w:val="nil"/>
              <w:right w:val="nil"/>
              <w:tl2br w:val="nil"/>
              <w:tr2bl w:val="nil"/>
            </w:tcBorders>
            <w:shd w:val="clear" w:color="auto" w:fill="FFFFFF"/>
            <w:tcMar>
              <w:left w:w="115" w:type="dxa"/>
              <w:right w:w="115" w:type="dxa"/>
            </w:tcMar>
            <w:vAlign w:val="bottom"/>
          </w:tcPr>
          <w:p w14:paraId="55F0DDE8" w14:textId="77777777" w:rsidR="00724034" w:rsidRDefault="00FB7D0B">
            <w:pPr>
              <w:jc w:val="right"/>
              <w:rPr>
                <w:rFonts w:ascii="Arial" w:eastAsia="Arial" w:hAnsi="Arial" w:cs="Arial"/>
                <w:i/>
                <w:color w:val="000000"/>
                <w:sz w:val="16"/>
                <w:vertAlign w:val="superscript"/>
              </w:rPr>
            </w:pPr>
            <w:r>
              <w:rPr>
                <w:rFonts w:ascii="Arial" w:eastAsia="Arial" w:hAnsi="Arial" w:cs="Arial"/>
                <w:color w:val="000000"/>
                <w:sz w:val="16"/>
              </w:rPr>
              <w:t>384 </w:t>
            </w:r>
          </w:p>
        </w:tc>
        <w:tc>
          <w:tcPr>
            <w:tcW w:w="975" w:type="dxa"/>
            <w:tcBorders>
              <w:top w:val="nil"/>
              <w:left w:val="nil"/>
              <w:bottom w:val="nil"/>
              <w:right w:val="nil"/>
              <w:tl2br w:val="nil"/>
              <w:tr2bl w:val="nil"/>
            </w:tcBorders>
            <w:shd w:val="clear" w:color="auto" w:fill="FFFF00"/>
            <w:tcMar>
              <w:left w:w="115" w:type="dxa"/>
              <w:right w:w="115" w:type="dxa"/>
            </w:tcMar>
            <w:vAlign w:val="bottom"/>
          </w:tcPr>
          <w:p w14:paraId="147DEB52" w14:textId="77777777" w:rsidR="00724034" w:rsidRDefault="00FB7D0B">
            <w:pPr>
              <w:jc w:val="right"/>
              <w:rPr>
                <w:rFonts w:ascii="Arial" w:eastAsia="Arial" w:hAnsi="Arial" w:cs="Arial"/>
                <w:color w:val="000000"/>
                <w:sz w:val="16"/>
              </w:rPr>
            </w:pPr>
            <w:r>
              <w:rPr>
                <w:rFonts w:ascii="Arial" w:eastAsia="Arial" w:hAnsi="Arial" w:cs="Arial"/>
                <w:color w:val="000000"/>
                <w:sz w:val="16"/>
              </w:rPr>
              <w:t>395 </w:t>
            </w:r>
          </w:p>
        </w:tc>
        <w:tc>
          <w:tcPr>
            <w:tcW w:w="975" w:type="dxa"/>
            <w:tcBorders>
              <w:top w:val="nil"/>
              <w:left w:val="nil"/>
              <w:bottom w:val="nil"/>
              <w:right w:val="nil"/>
              <w:tl2br w:val="nil"/>
              <w:tr2bl w:val="nil"/>
            </w:tcBorders>
            <w:shd w:val="clear" w:color="auto" w:fill="FFFFFF"/>
            <w:tcMar>
              <w:left w:w="115" w:type="dxa"/>
              <w:right w:w="115" w:type="dxa"/>
            </w:tcMar>
            <w:vAlign w:val="bottom"/>
          </w:tcPr>
          <w:p w14:paraId="3DB95AB1" w14:textId="77777777" w:rsidR="00724034" w:rsidRDefault="00FB7D0B">
            <w:pPr>
              <w:jc w:val="right"/>
              <w:rPr>
                <w:rFonts w:ascii="Arial" w:eastAsia="Arial" w:hAnsi="Arial" w:cs="Arial"/>
                <w:color w:val="000000"/>
                <w:sz w:val="16"/>
              </w:rPr>
            </w:pPr>
            <w:r>
              <w:rPr>
                <w:rFonts w:ascii="Arial" w:eastAsia="Arial" w:hAnsi="Arial" w:cs="Arial"/>
                <w:color w:val="000000"/>
                <w:sz w:val="16"/>
              </w:rPr>
              <w:t>401 </w:t>
            </w:r>
          </w:p>
        </w:tc>
        <w:tc>
          <w:tcPr>
            <w:tcW w:w="975" w:type="dxa"/>
            <w:tcBorders>
              <w:top w:val="nil"/>
              <w:left w:val="nil"/>
              <w:bottom w:val="nil"/>
              <w:right w:val="nil"/>
              <w:tl2br w:val="nil"/>
              <w:tr2bl w:val="nil"/>
            </w:tcBorders>
            <w:shd w:val="clear" w:color="auto" w:fill="FFFFFF"/>
            <w:tcMar>
              <w:left w:w="115" w:type="dxa"/>
              <w:right w:w="115" w:type="dxa"/>
            </w:tcMar>
            <w:vAlign w:val="bottom"/>
          </w:tcPr>
          <w:p w14:paraId="0AD91118" w14:textId="77777777" w:rsidR="00724034" w:rsidRDefault="00FB7D0B">
            <w:pPr>
              <w:jc w:val="right"/>
              <w:rPr>
                <w:rFonts w:ascii="Arial" w:eastAsia="Arial" w:hAnsi="Arial" w:cs="Arial"/>
                <w:color w:val="000000"/>
                <w:sz w:val="16"/>
              </w:rPr>
            </w:pPr>
            <w:r>
              <w:rPr>
                <w:rFonts w:ascii="Arial" w:eastAsia="Arial" w:hAnsi="Arial" w:cs="Arial"/>
                <w:color w:val="000000"/>
                <w:sz w:val="16"/>
              </w:rPr>
              <w:t>405 </w:t>
            </w:r>
          </w:p>
        </w:tc>
        <w:tc>
          <w:tcPr>
            <w:tcW w:w="975" w:type="dxa"/>
            <w:tcBorders>
              <w:top w:val="nil"/>
              <w:left w:val="nil"/>
              <w:bottom w:val="nil"/>
              <w:right w:val="single" w:sz="6" w:space="0" w:color="000000"/>
              <w:tl2br w:val="nil"/>
              <w:tr2bl w:val="nil"/>
            </w:tcBorders>
            <w:shd w:val="clear" w:color="auto" w:fill="FFFFFF"/>
            <w:tcMar>
              <w:left w:w="115" w:type="dxa"/>
              <w:right w:w="115" w:type="dxa"/>
            </w:tcMar>
            <w:vAlign w:val="bottom"/>
          </w:tcPr>
          <w:p w14:paraId="44718290" w14:textId="77777777" w:rsidR="00724034" w:rsidRDefault="00FB7D0B">
            <w:pPr>
              <w:jc w:val="right"/>
              <w:rPr>
                <w:rFonts w:ascii="Arial" w:eastAsia="Arial" w:hAnsi="Arial" w:cs="Arial"/>
                <w:color w:val="000000"/>
                <w:sz w:val="16"/>
              </w:rPr>
            </w:pPr>
            <w:r>
              <w:rPr>
                <w:rFonts w:ascii="Arial" w:eastAsia="Arial" w:hAnsi="Arial" w:cs="Arial"/>
                <w:color w:val="000000"/>
                <w:sz w:val="16"/>
              </w:rPr>
              <w:t xml:space="preserve"> 426 </w:t>
            </w:r>
          </w:p>
        </w:tc>
      </w:tr>
      <w:tr w:rsidR="00724034" w14:paraId="4D6E216A" w14:textId="77777777">
        <w:tblPrEx>
          <w:tblLook w:val="04A0" w:firstRow="1" w:lastRow="0" w:firstColumn="1" w:lastColumn="0" w:noHBand="0" w:noVBand="1"/>
        </w:tblPrEx>
        <w:trPr>
          <w:trHeight w:val="225"/>
        </w:trPr>
        <w:tc>
          <w:tcPr>
            <w:tcW w:w="3210" w:type="dxa"/>
            <w:tcBorders>
              <w:top w:val="nil"/>
              <w:left w:val="single" w:sz="6" w:space="0" w:color="000000"/>
              <w:bottom w:val="single" w:sz="6" w:space="0" w:color="000000"/>
              <w:right w:val="nil"/>
              <w:tl2br w:val="nil"/>
              <w:tr2bl w:val="nil"/>
            </w:tcBorders>
            <w:shd w:val="clear" w:color="auto" w:fill="FFFFFF"/>
            <w:tcMar>
              <w:left w:w="115" w:type="dxa"/>
              <w:right w:w="115" w:type="dxa"/>
            </w:tcMar>
            <w:vAlign w:val="bottom"/>
          </w:tcPr>
          <w:p w14:paraId="18165378" w14:textId="77777777" w:rsidR="00724034" w:rsidRDefault="00FB7D0B">
            <w:pPr>
              <w:rPr>
                <w:rFonts w:ascii="Arial" w:eastAsia="Arial" w:hAnsi="Arial" w:cs="Arial"/>
                <w:color w:val="000000"/>
                <w:sz w:val="16"/>
              </w:rPr>
            </w:pPr>
            <w:r>
              <w:rPr>
                <w:rFonts w:ascii="Arial" w:eastAsia="Arial" w:hAnsi="Arial" w:cs="Arial"/>
                <w:i/>
                <w:color w:val="000000"/>
                <w:sz w:val="16"/>
              </w:rPr>
              <w:t>Quality</w:t>
            </w:r>
            <w:r>
              <w:rPr>
                <w:rFonts w:ascii="Arial" w:eastAsia="Arial" w:hAnsi="Arial" w:cs="Arial"/>
                <w:color w:val="000000"/>
                <w:sz w:val="16"/>
              </w:rPr>
              <w:t>: Critical errors</w:t>
            </w:r>
          </w:p>
        </w:tc>
        <w:tc>
          <w:tcPr>
            <w:tcW w:w="975"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2B8CD2ED" w14:textId="77777777" w:rsidR="00724034" w:rsidRDefault="00FB7D0B">
            <w:pPr>
              <w:jc w:val="right"/>
              <w:rPr>
                <w:rFonts w:ascii="Arial" w:eastAsia="Arial" w:hAnsi="Arial" w:cs="Arial"/>
                <w:i/>
                <w:color w:val="000000"/>
                <w:sz w:val="16"/>
                <w:vertAlign w:val="superscript"/>
              </w:rPr>
            </w:pPr>
            <w:r>
              <w:rPr>
                <w:rFonts w:ascii="Arial" w:eastAsia="Arial" w:hAnsi="Arial" w:cs="Arial"/>
                <w:color w:val="000000"/>
                <w:sz w:val="16"/>
              </w:rPr>
              <w:t>&lt;5%</w:t>
            </w:r>
          </w:p>
        </w:tc>
        <w:tc>
          <w:tcPr>
            <w:tcW w:w="975" w:type="dxa"/>
            <w:tcBorders>
              <w:top w:val="nil"/>
              <w:left w:val="nil"/>
              <w:bottom w:val="single" w:sz="6" w:space="0" w:color="000000"/>
              <w:right w:val="nil"/>
              <w:tl2br w:val="nil"/>
              <w:tr2bl w:val="nil"/>
            </w:tcBorders>
            <w:shd w:val="clear" w:color="auto" w:fill="FFFF00"/>
            <w:tcMar>
              <w:left w:w="115" w:type="dxa"/>
              <w:right w:w="115" w:type="dxa"/>
            </w:tcMar>
            <w:vAlign w:val="bottom"/>
          </w:tcPr>
          <w:p w14:paraId="548487A4" w14:textId="77777777" w:rsidR="00724034" w:rsidRDefault="00FB7D0B">
            <w:pPr>
              <w:jc w:val="right"/>
              <w:rPr>
                <w:rFonts w:ascii="Arial" w:eastAsia="Arial" w:hAnsi="Arial" w:cs="Arial"/>
                <w:color w:val="000000"/>
                <w:sz w:val="16"/>
              </w:rPr>
            </w:pPr>
            <w:r>
              <w:rPr>
                <w:rFonts w:ascii="Arial" w:eastAsia="Arial" w:hAnsi="Arial" w:cs="Arial"/>
                <w:color w:val="000000"/>
                <w:sz w:val="16"/>
              </w:rPr>
              <w:t>&lt;5%</w:t>
            </w:r>
          </w:p>
        </w:tc>
        <w:tc>
          <w:tcPr>
            <w:tcW w:w="975"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7B548B98" w14:textId="77777777" w:rsidR="00724034" w:rsidRDefault="00FB7D0B">
            <w:pPr>
              <w:jc w:val="right"/>
              <w:rPr>
                <w:rFonts w:ascii="Arial" w:eastAsia="Arial" w:hAnsi="Arial" w:cs="Arial"/>
                <w:color w:val="000000"/>
                <w:sz w:val="16"/>
              </w:rPr>
            </w:pPr>
            <w:r>
              <w:rPr>
                <w:rFonts w:ascii="Arial" w:eastAsia="Arial" w:hAnsi="Arial" w:cs="Arial"/>
                <w:color w:val="000000"/>
                <w:sz w:val="16"/>
              </w:rPr>
              <w:t>&lt;5%</w:t>
            </w:r>
          </w:p>
        </w:tc>
        <w:tc>
          <w:tcPr>
            <w:tcW w:w="975"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757C516F" w14:textId="77777777" w:rsidR="00724034" w:rsidRDefault="00FB7D0B">
            <w:pPr>
              <w:jc w:val="right"/>
              <w:rPr>
                <w:rFonts w:ascii="Arial" w:eastAsia="Arial" w:hAnsi="Arial" w:cs="Arial"/>
                <w:color w:val="000000"/>
                <w:sz w:val="16"/>
              </w:rPr>
            </w:pPr>
            <w:r>
              <w:rPr>
                <w:rFonts w:ascii="Arial" w:eastAsia="Arial" w:hAnsi="Arial" w:cs="Arial"/>
                <w:color w:val="000000"/>
                <w:sz w:val="16"/>
              </w:rPr>
              <w:t>&lt;5%</w:t>
            </w:r>
          </w:p>
        </w:tc>
        <w:tc>
          <w:tcPr>
            <w:tcW w:w="975" w:type="dxa"/>
            <w:tcBorders>
              <w:top w:val="nil"/>
              <w:left w:val="nil"/>
              <w:bottom w:val="single" w:sz="6" w:space="0" w:color="000000"/>
              <w:right w:val="single" w:sz="6" w:space="0" w:color="000000"/>
              <w:tl2br w:val="nil"/>
              <w:tr2bl w:val="nil"/>
            </w:tcBorders>
            <w:shd w:val="clear" w:color="auto" w:fill="FFFFFF"/>
            <w:tcMar>
              <w:left w:w="115" w:type="dxa"/>
              <w:right w:w="115" w:type="dxa"/>
            </w:tcMar>
            <w:vAlign w:val="bottom"/>
          </w:tcPr>
          <w:p w14:paraId="3D4CFC0C" w14:textId="77777777" w:rsidR="00724034" w:rsidRDefault="00FB7D0B">
            <w:pPr>
              <w:jc w:val="right"/>
              <w:rPr>
                <w:rFonts w:ascii="Arial" w:eastAsia="Arial" w:hAnsi="Arial" w:cs="Arial"/>
                <w:color w:val="000000"/>
                <w:sz w:val="16"/>
              </w:rPr>
            </w:pPr>
            <w:r>
              <w:rPr>
                <w:rFonts w:ascii="Arial" w:eastAsia="Arial" w:hAnsi="Arial" w:cs="Arial"/>
                <w:color w:val="000000"/>
                <w:sz w:val="16"/>
              </w:rPr>
              <w:t>&lt;5%</w:t>
            </w:r>
          </w:p>
        </w:tc>
      </w:tr>
    </w:tbl>
    <w:p w14:paraId="1504BD2C" w14:textId="77777777" w:rsidR="00724034" w:rsidRDefault="00FB7D0B">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
        <w:gridCol w:w="264"/>
        <w:gridCol w:w="2921"/>
        <w:gridCol w:w="975"/>
        <w:gridCol w:w="975"/>
        <w:gridCol w:w="975"/>
        <w:gridCol w:w="975"/>
        <w:gridCol w:w="976"/>
      </w:tblGrid>
      <w:tr w:rsidR="00724034" w14:paraId="51CEE12D" w14:textId="77777777" w:rsidTr="003F0EEA">
        <w:tc>
          <w:tcPr>
            <w:tcW w:w="8080" w:type="dxa"/>
            <w:gridSpan w:val="8"/>
            <w:tcBorders>
              <w:top w:val="single" w:sz="4" w:space="0" w:color="auto"/>
              <w:left w:val="single" w:sz="4" w:space="0" w:color="auto"/>
              <w:bottom w:val="single" w:sz="4" w:space="0" w:color="auto"/>
              <w:right w:val="single" w:sz="4" w:space="0" w:color="auto"/>
            </w:tcBorders>
            <w:shd w:val="clear" w:color="auto" w:fill="E6E6E6"/>
          </w:tcPr>
          <w:p w14:paraId="71D9F668" w14:textId="77777777" w:rsidR="003F0EEA" w:rsidRPr="00F7032A" w:rsidRDefault="00FB7D0B">
            <w:pPr>
              <w:pStyle w:val="TableTextLeft5"/>
              <w:rPr>
                <w:b/>
                <w:sz w:val="20"/>
              </w:rPr>
            </w:pPr>
            <w:r w:rsidRPr="00F7032A">
              <w:rPr>
                <w:b/>
                <w:sz w:val="20"/>
              </w:rPr>
              <w:t>Program</w:t>
            </w:r>
            <w:r>
              <w:rPr>
                <w:b/>
                <w:sz w:val="20"/>
              </w:rPr>
              <w:t>me</w:t>
            </w:r>
            <w:r w:rsidRPr="00F7032A">
              <w:rPr>
                <w:b/>
                <w:sz w:val="20"/>
              </w:rPr>
              <w:t xml:space="preserve"> 1.3: Assistance to Defence Widow/ers and Dependants</w:t>
            </w:r>
          </w:p>
        </w:tc>
      </w:tr>
      <w:tr w:rsidR="00724034" w14:paraId="316D572E" w14:textId="77777777" w:rsidTr="003F0EEA">
        <w:tc>
          <w:tcPr>
            <w:tcW w:w="8080" w:type="dxa"/>
            <w:gridSpan w:val="8"/>
            <w:tcBorders>
              <w:top w:val="single" w:sz="4" w:space="0" w:color="auto"/>
              <w:left w:val="nil"/>
              <w:bottom w:val="single" w:sz="4" w:space="0" w:color="auto"/>
              <w:right w:val="nil"/>
            </w:tcBorders>
            <w:shd w:val="clear" w:color="auto" w:fill="auto"/>
          </w:tcPr>
          <w:p w14:paraId="08A15CAF" w14:textId="77777777" w:rsidR="003F0EEA" w:rsidRDefault="003F0EEA">
            <w:pPr>
              <w:pStyle w:val="TableTextLeft5"/>
              <w:rPr>
                <w:b/>
              </w:rPr>
            </w:pPr>
          </w:p>
        </w:tc>
      </w:tr>
      <w:tr w:rsidR="00724034" w14:paraId="6A254BC8" w14:textId="77777777" w:rsidTr="003F0EEA">
        <w:tc>
          <w:tcPr>
            <w:tcW w:w="8080" w:type="dxa"/>
            <w:gridSpan w:val="8"/>
            <w:tcBorders>
              <w:top w:val="single" w:sz="4" w:space="0" w:color="auto"/>
              <w:left w:val="single" w:sz="4" w:space="0" w:color="auto"/>
              <w:bottom w:val="single" w:sz="4" w:space="0" w:color="auto"/>
              <w:right w:val="single" w:sz="4" w:space="0" w:color="auto"/>
            </w:tcBorders>
          </w:tcPr>
          <w:p w14:paraId="4AB63CA1" w14:textId="77777777" w:rsidR="003F0EEA" w:rsidRDefault="00FB7D0B" w:rsidP="003F0EEA">
            <w:pPr>
              <w:pStyle w:val="TableTextLeft5"/>
              <w:rPr>
                <w:b/>
              </w:rPr>
            </w:pPr>
            <w:r>
              <w:rPr>
                <w:b/>
              </w:rPr>
              <w:t>Programme 1.3 objective</w:t>
            </w:r>
          </w:p>
          <w:p w14:paraId="4C40B9D0" w14:textId="77777777" w:rsidR="003F0EEA" w:rsidRDefault="00FB7D0B" w:rsidP="003F0EEA">
            <w:pPr>
              <w:pStyle w:val="TableTextLeft5"/>
              <w:rPr>
                <w:b/>
              </w:rPr>
            </w:pPr>
            <w:r>
              <w:rPr>
                <w:color w:val="000000"/>
                <w:szCs w:val="18"/>
              </w:rPr>
              <w:t xml:space="preserve">Deliver war widow/ers and Defence pensions, allowances and special purpose assistance to the dependants of veterans under the </w:t>
            </w:r>
            <w:r>
              <w:rPr>
                <w:i/>
                <w:color w:val="000000"/>
                <w:szCs w:val="18"/>
              </w:rPr>
              <w:t>Veterans’ Entitlements Act 1986</w:t>
            </w:r>
            <w:r>
              <w:rPr>
                <w:color w:val="000000"/>
                <w:szCs w:val="18"/>
              </w:rPr>
              <w:t xml:space="preserve"> and related legislation including the payment of war widow/ers claims for compensation.</w:t>
            </w:r>
          </w:p>
        </w:tc>
      </w:tr>
      <w:tr w:rsidR="00724034" w14:paraId="729586A7" w14:textId="77777777" w:rsidTr="003F0EEA">
        <w:tc>
          <w:tcPr>
            <w:tcW w:w="8080" w:type="dxa"/>
            <w:gridSpan w:val="8"/>
            <w:tcBorders>
              <w:top w:val="single" w:sz="4" w:space="0" w:color="auto"/>
              <w:left w:val="single" w:sz="4" w:space="0" w:color="auto"/>
              <w:bottom w:val="single" w:sz="4" w:space="0" w:color="auto"/>
              <w:right w:val="single" w:sz="4" w:space="0" w:color="auto"/>
            </w:tcBorders>
          </w:tcPr>
          <w:p w14:paraId="33D93516" w14:textId="77777777" w:rsidR="003F0EEA" w:rsidRDefault="00FB7D0B" w:rsidP="003F0EEA">
            <w:pPr>
              <w:pStyle w:val="TableTextLeft5"/>
              <w:rPr>
                <w:b/>
              </w:rPr>
            </w:pPr>
            <w:r>
              <w:rPr>
                <w:b/>
              </w:rPr>
              <w:t>Linked to:</w:t>
            </w:r>
          </w:p>
          <w:p w14:paraId="2ED66961" w14:textId="77777777" w:rsidR="003F0EEA" w:rsidRDefault="00FB7D0B" w:rsidP="003F0EEA">
            <w:pPr>
              <w:pStyle w:val="TableTextLeft5"/>
              <w:rPr>
                <w:b/>
              </w:rPr>
            </w:pPr>
            <w:r w:rsidRPr="00D14C74">
              <w:t>Department of Human Services Program</w:t>
            </w:r>
            <w:r>
              <w:t>me</w:t>
            </w:r>
            <w:r w:rsidRPr="00D14C74">
              <w:t xml:space="preserve"> 1.1 – Services to the Community</w:t>
            </w:r>
            <w:r>
              <w:t xml:space="preserve"> – Social Security and Welfare</w:t>
            </w:r>
            <w:r w:rsidRPr="00D14C74">
              <w:t>.</w:t>
            </w:r>
          </w:p>
        </w:tc>
      </w:tr>
      <w:tr w:rsidR="00724034" w14:paraId="6E654CBA" w14:textId="77777777" w:rsidTr="003F0EEA">
        <w:tc>
          <w:tcPr>
            <w:tcW w:w="8080" w:type="dxa"/>
            <w:gridSpan w:val="8"/>
            <w:tcBorders>
              <w:top w:val="single" w:sz="4" w:space="0" w:color="auto"/>
              <w:left w:val="nil"/>
              <w:bottom w:val="nil"/>
              <w:right w:val="nil"/>
            </w:tcBorders>
          </w:tcPr>
          <w:p w14:paraId="6D5B9B64" w14:textId="77777777" w:rsidR="003F0EEA" w:rsidRDefault="003F0EEA">
            <w:pPr>
              <w:pStyle w:val="TableTextLeft5"/>
              <w:rPr>
                <w:b/>
              </w:rPr>
            </w:pPr>
          </w:p>
        </w:tc>
      </w:tr>
      <w:tr w:rsidR="00724034" w14:paraId="65504243" w14:textId="77777777" w:rsidTr="003F0EEA">
        <w:tc>
          <w:tcPr>
            <w:tcW w:w="8080" w:type="dxa"/>
            <w:gridSpan w:val="8"/>
            <w:tcBorders>
              <w:top w:val="single" w:sz="4" w:space="0" w:color="auto"/>
              <w:left w:val="single" w:sz="4" w:space="0" w:color="auto"/>
              <w:bottom w:val="single" w:sz="4" w:space="0" w:color="auto"/>
              <w:right w:val="single" w:sz="4" w:space="0" w:color="auto"/>
            </w:tcBorders>
          </w:tcPr>
          <w:p w14:paraId="3F3D7016" w14:textId="77777777" w:rsidR="003F0EEA" w:rsidRDefault="00FB7D0B" w:rsidP="003F0EEA">
            <w:pPr>
              <w:pStyle w:val="TableTextLeft5"/>
              <w:rPr>
                <w:b/>
              </w:rPr>
            </w:pPr>
            <w:r>
              <w:rPr>
                <w:b/>
              </w:rPr>
              <w:t>Programme 1.3 expenses</w:t>
            </w:r>
          </w:p>
          <w:p w14:paraId="3301C0DA" w14:textId="77777777" w:rsidR="003F0EEA" w:rsidRDefault="00FB7D0B" w:rsidP="003F0EEA">
            <w:pPr>
              <w:pStyle w:val="TableTextLeft5"/>
              <w:rPr>
                <w:b/>
              </w:rPr>
            </w:pPr>
            <w:r w:rsidRPr="0073583D">
              <w:t>N</w:t>
            </w:r>
            <w:r>
              <w:t>umbers of War and Defence widow/ers</w:t>
            </w:r>
            <w:r w:rsidRPr="0073583D">
              <w:t xml:space="preserve"> are expected to show an increasing rate of decline over the forward years. Expenses are expected to reduce as the War and Defence widow</w:t>
            </w:r>
            <w:r>
              <w:t>/ers</w:t>
            </w:r>
            <w:r w:rsidRPr="0073583D">
              <w:t xml:space="preserve"> population reduces in size.</w:t>
            </w:r>
          </w:p>
        </w:tc>
      </w:tr>
      <w:tr w:rsidR="00724034" w14:paraId="5FABD47B" w14:textId="77777777">
        <w:tblPrEx>
          <w:tblLook w:val="04A0" w:firstRow="1" w:lastRow="0" w:firstColumn="1" w:lastColumn="0" w:noHBand="0" w:noVBand="1"/>
        </w:tblPrEx>
        <w:trPr>
          <w:trHeight w:val="225"/>
        </w:trPr>
        <w:tc>
          <w:tcPr>
            <w:tcW w:w="0" w:type="auto"/>
            <w:tcBorders>
              <w:top w:val="single" w:sz="6" w:space="0" w:color="000000"/>
              <w:left w:val="single" w:sz="6" w:space="0" w:color="000000"/>
              <w:bottom w:val="nil"/>
              <w:right w:val="nil"/>
              <w:tl2br w:val="nil"/>
              <w:tr2bl w:val="nil"/>
            </w:tcBorders>
            <w:shd w:val="clear" w:color="auto" w:fill="FFFFFF"/>
            <w:tcMar>
              <w:left w:w="101" w:type="dxa"/>
              <w:right w:w="101" w:type="dxa"/>
            </w:tcMar>
            <w:vAlign w:val="bottom"/>
          </w:tcPr>
          <w:p w14:paraId="530AE0BA" w14:textId="77777777" w:rsidR="00724034" w:rsidRDefault="00724034"/>
        </w:tc>
        <w:tc>
          <w:tcPr>
            <w:tcW w:w="0" w:type="auto"/>
            <w:tcBorders>
              <w:top w:val="single" w:sz="6" w:space="0" w:color="000000"/>
              <w:left w:val="nil"/>
              <w:bottom w:val="nil"/>
              <w:right w:val="nil"/>
              <w:tl2br w:val="nil"/>
              <w:tr2bl w:val="nil"/>
            </w:tcBorders>
            <w:shd w:val="clear" w:color="auto" w:fill="FFFFFF"/>
            <w:tcMar>
              <w:left w:w="101" w:type="dxa"/>
              <w:right w:w="101" w:type="dxa"/>
            </w:tcMar>
            <w:vAlign w:val="bottom"/>
          </w:tcPr>
          <w:p w14:paraId="635C17FC" w14:textId="77777777" w:rsidR="00724034" w:rsidRDefault="00724034">
            <w:pPr>
              <w:rPr>
                <w:rFonts w:ascii="Arial" w:eastAsia="Arial" w:hAnsi="Arial" w:cs="Arial"/>
                <w:color w:val="000000"/>
                <w:sz w:val="20"/>
              </w:rPr>
            </w:pPr>
          </w:p>
        </w:tc>
        <w:tc>
          <w:tcPr>
            <w:tcW w:w="0" w:type="auto"/>
            <w:tcBorders>
              <w:top w:val="single" w:sz="6" w:space="0" w:color="000000"/>
              <w:left w:val="nil"/>
              <w:bottom w:val="nil"/>
              <w:right w:val="nil"/>
              <w:tl2br w:val="nil"/>
              <w:tr2bl w:val="nil"/>
            </w:tcBorders>
            <w:shd w:val="clear" w:color="auto" w:fill="FFFFFF"/>
            <w:tcMar>
              <w:left w:w="101" w:type="dxa"/>
              <w:right w:w="101" w:type="dxa"/>
            </w:tcMar>
            <w:vAlign w:val="bottom"/>
          </w:tcPr>
          <w:p w14:paraId="5F110546" w14:textId="77777777" w:rsidR="00724034" w:rsidRDefault="00724034">
            <w:pPr>
              <w:jc w:val="center"/>
              <w:rPr>
                <w:rFonts w:ascii="Arial" w:eastAsia="Arial" w:hAnsi="Arial" w:cs="Arial"/>
                <w:color w:val="000000"/>
                <w:sz w:val="20"/>
              </w:rPr>
            </w:pPr>
          </w:p>
        </w:tc>
        <w:tc>
          <w:tcPr>
            <w:tcW w:w="0" w:type="auto"/>
            <w:tcBorders>
              <w:top w:val="single" w:sz="6" w:space="0" w:color="000000"/>
              <w:left w:val="nil"/>
              <w:bottom w:val="nil"/>
              <w:right w:val="nil"/>
              <w:tl2br w:val="nil"/>
              <w:tr2bl w:val="nil"/>
            </w:tcBorders>
            <w:shd w:val="clear" w:color="auto" w:fill="FFFFFF"/>
            <w:tcMar>
              <w:left w:w="101" w:type="dxa"/>
              <w:right w:w="101" w:type="dxa"/>
            </w:tcMar>
            <w:vAlign w:val="bottom"/>
          </w:tcPr>
          <w:p w14:paraId="2B042965" w14:textId="77777777" w:rsidR="00724034" w:rsidRDefault="00FB7D0B">
            <w:pPr>
              <w:jc w:val="right"/>
              <w:rPr>
                <w:rFonts w:ascii="Arial" w:eastAsia="Arial" w:hAnsi="Arial" w:cs="Arial"/>
                <w:color w:val="000000"/>
                <w:sz w:val="16"/>
                <w:vertAlign w:val="superscript"/>
              </w:rPr>
            </w:pPr>
            <w:r>
              <w:rPr>
                <w:rFonts w:ascii="Arial" w:eastAsia="Arial" w:hAnsi="Arial" w:cs="Arial"/>
                <w:color w:val="000000"/>
                <w:sz w:val="16"/>
              </w:rPr>
              <w:t>2013-14</w:t>
            </w:r>
          </w:p>
        </w:tc>
        <w:tc>
          <w:tcPr>
            <w:tcW w:w="0" w:type="auto"/>
            <w:tcBorders>
              <w:top w:val="single" w:sz="6" w:space="0" w:color="000000"/>
              <w:left w:val="nil"/>
              <w:bottom w:val="nil"/>
              <w:right w:val="nil"/>
              <w:tl2br w:val="nil"/>
              <w:tr2bl w:val="nil"/>
            </w:tcBorders>
            <w:shd w:val="clear" w:color="auto" w:fill="FFFF00"/>
            <w:tcMar>
              <w:left w:w="101" w:type="dxa"/>
              <w:right w:w="101" w:type="dxa"/>
            </w:tcMar>
            <w:vAlign w:val="bottom"/>
          </w:tcPr>
          <w:p w14:paraId="59B4CECC" w14:textId="77777777" w:rsidR="00724034" w:rsidRDefault="00FB7D0B">
            <w:pPr>
              <w:jc w:val="right"/>
              <w:rPr>
                <w:rFonts w:ascii="Arial" w:eastAsia="Arial" w:hAnsi="Arial" w:cs="Arial"/>
                <w:color w:val="000000"/>
                <w:sz w:val="16"/>
              </w:rPr>
            </w:pPr>
            <w:r>
              <w:rPr>
                <w:rFonts w:ascii="Arial" w:eastAsia="Arial" w:hAnsi="Arial" w:cs="Arial"/>
                <w:color w:val="000000"/>
                <w:sz w:val="16"/>
              </w:rPr>
              <w:t>2014-15</w:t>
            </w:r>
          </w:p>
        </w:tc>
        <w:tc>
          <w:tcPr>
            <w:tcW w:w="0" w:type="auto"/>
            <w:tcBorders>
              <w:top w:val="single" w:sz="6" w:space="0" w:color="000000"/>
              <w:left w:val="nil"/>
              <w:bottom w:val="nil"/>
              <w:right w:val="nil"/>
              <w:tl2br w:val="nil"/>
              <w:tr2bl w:val="nil"/>
            </w:tcBorders>
            <w:shd w:val="clear" w:color="auto" w:fill="FFFFFF"/>
            <w:tcMar>
              <w:left w:w="101" w:type="dxa"/>
              <w:right w:w="101" w:type="dxa"/>
            </w:tcMar>
            <w:vAlign w:val="bottom"/>
          </w:tcPr>
          <w:p w14:paraId="086E506A" w14:textId="77777777" w:rsidR="00724034" w:rsidRDefault="00FB7D0B">
            <w:pPr>
              <w:jc w:val="right"/>
              <w:rPr>
                <w:rFonts w:ascii="Arial" w:eastAsia="Arial" w:hAnsi="Arial" w:cs="Arial"/>
                <w:color w:val="000000"/>
                <w:sz w:val="16"/>
              </w:rPr>
            </w:pPr>
            <w:r>
              <w:rPr>
                <w:rFonts w:ascii="Arial" w:eastAsia="Arial" w:hAnsi="Arial" w:cs="Arial"/>
                <w:color w:val="000000"/>
                <w:sz w:val="16"/>
              </w:rPr>
              <w:t>2015-16</w:t>
            </w:r>
          </w:p>
        </w:tc>
        <w:tc>
          <w:tcPr>
            <w:tcW w:w="0" w:type="auto"/>
            <w:tcBorders>
              <w:top w:val="single" w:sz="6" w:space="0" w:color="000000"/>
              <w:left w:val="nil"/>
              <w:bottom w:val="nil"/>
              <w:right w:val="nil"/>
              <w:tl2br w:val="nil"/>
              <w:tr2bl w:val="nil"/>
            </w:tcBorders>
            <w:shd w:val="clear" w:color="auto" w:fill="FFFFFF"/>
            <w:tcMar>
              <w:left w:w="101" w:type="dxa"/>
              <w:right w:w="101" w:type="dxa"/>
            </w:tcMar>
            <w:vAlign w:val="bottom"/>
          </w:tcPr>
          <w:p w14:paraId="0B0F9FFE" w14:textId="77777777" w:rsidR="00724034" w:rsidRDefault="00FB7D0B">
            <w:pPr>
              <w:jc w:val="right"/>
              <w:rPr>
                <w:rFonts w:ascii="Arial" w:eastAsia="Arial" w:hAnsi="Arial" w:cs="Arial"/>
                <w:color w:val="000000"/>
                <w:sz w:val="16"/>
              </w:rPr>
            </w:pPr>
            <w:r>
              <w:rPr>
                <w:rFonts w:ascii="Arial" w:eastAsia="Arial" w:hAnsi="Arial" w:cs="Arial"/>
                <w:color w:val="000000"/>
                <w:sz w:val="16"/>
              </w:rPr>
              <w:t>2016-17</w:t>
            </w:r>
          </w:p>
        </w:tc>
        <w:tc>
          <w:tcPr>
            <w:tcW w:w="0" w:type="auto"/>
            <w:tcBorders>
              <w:top w:val="single" w:sz="6" w:space="0" w:color="000000"/>
              <w:left w:val="nil"/>
              <w:bottom w:val="nil"/>
              <w:right w:val="single" w:sz="6" w:space="0" w:color="000000"/>
              <w:tl2br w:val="nil"/>
              <w:tr2bl w:val="nil"/>
            </w:tcBorders>
            <w:shd w:val="clear" w:color="auto" w:fill="FFFFFF"/>
            <w:tcMar>
              <w:left w:w="101" w:type="dxa"/>
              <w:right w:w="101" w:type="dxa"/>
            </w:tcMar>
            <w:vAlign w:val="bottom"/>
          </w:tcPr>
          <w:p w14:paraId="71799090" w14:textId="77777777" w:rsidR="00724034" w:rsidRDefault="00FB7D0B">
            <w:pPr>
              <w:jc w:val="right"/>
              <w:rPr>
                <w:rFonts w:ascii="Arial" w:eastAsia="Arial" w:hAnsi="Arial" w:cs="Arial"/>
                <w:color w:val="000000"/>
                <w:sz w:val="16"/>
              </w:rPr>
            </w:pPr>
            <w:r>
              <w:rPr>
                <w:rFonts w:ascii="Arial" w:eastAsia="Arial" w:hAnsi="Arial" w:cs="Arial"/>
                <w:color w:val="000000"/>
                <w:sz w:val="16"/>
              </w:rPr>
              <w:t>2017-18</w:t>
            </w:r>
          </w:p>
        </w:tc>
      </w:tr>
      <w:tr w:rsidR="00724034" w14:paraId="2F79B97D" w14:textId="77777777">
        <w:tblPrEx>
          <w:tblLook w:val="04A0" w:firstRow="1" w:lastRow="0" w:firstColumn="1" w:lastColumn="0" w:noHBand="0" w:noVBand="1"/>
        </w:tblPrEx>
        <w:trPr>
          <w:trHeight w:val="225"/>
        </w:trPr>
        <w:tc>
          <w:tcPr>
            <w:tcW w:w="0" w:type="auto"/>
            <w:tcBorders>
              <w:top w:val="nil"/>
              <w:left w:val="single" w:sz="6" w:space="0" w:color="000000"/>
              <w:bottom w:val="nil"/>
              <w:right w:val="nil"/>
              <w:tl2br w:val="nil"/>
              <w:tr2bl w:val="nil"/>
            </w:tcBorders>
            <w:shd w:val="clear" w:color="auto" w:fill="FFFFFF"/>
            <w:tcMar>
              <w:left w:w="101" w:type="dxa"/>
              <w:right w:w="101" w:type="dxa"/>
            </w:tcMar>
            <w:vAlign w:val="bottom"/>
          </w:tcPr>
          <w:p w14:paraId="5E034960" w14:textId="77777777" w:rsidR="00724034" w:rsidRDefault="00724034">
            <w:pPr>
              <w:rPr>
                <w:rFonts w:ascii="Arial" w:eastAsia="Arial" w:hAnsi="Arial" w:cs="Arial"/>
                <w:color w:val="000000"/>
                <w:sz w:val="16"/>
              </w:rPr>
            </w:pPr>
          </w:p>
        </w:tc>
        <w:tc>
          <w:tcPr>
            <w:tcW w:w="0" w:type="auto"/>
            <w:tcBorders>
              <w:top w:val="nil"/>
              <w:left w:val="nil"/>
              <w:bottom w:val="nil"/>
              <w:right w:val="nil"/>
              <w:tl2br w:val="nil"/>
              <w:tr2bl w:val="nil"/>
            </w:tcBorders>
            <w:shd w:val="clear" w:color="auto" w:fill="FFFFFF"/>
            <w:tcMar>
              <w:left w:w="101" w:type="dxa"/>
              <w:right w:w="101" w:type="dxa"/>
            </w:tcMar>
            <w:vAlign w:val="bottom"/>
          </w:tcPr>
          <w:p w14:paraId="3F22C7C9" w14:textId="77777777" w:rsidR="00724034" w:rsidRDefault="00724034">
            <w:pPr>
              <w:rPr>
                <w:rFonts w:ascii="Arial" w:eastAsia="Arial" w:hAnsi="Arial" w:cs="Arial"/>
                <w:color w:val="000000"/>
                <w:sz w:val="20"/>
              </w:rPr>
            </w:pPr>
          </w:p>
        </w:tc>
        <w:tc>
          <w:tcPr>
            <w:tcW w:w="0" w:type="auto"/>
            <w:tcBorders>
              <w:top w:val="nil"/>
              <w:left w:val="nil"/>
              <w:bottom w:val="nil"/>
              <w:right w:val="nil"/>
              <w:tl2br w:val="nil"/>
              <w:tr2bl w:val="nil"/>
            </w:tcBorders>
            <w:shd w:val="clear" w:color="auto" w:fill="FFFFFF"/>
            <w:tcMar>
              <w:left w:w="101" w:type="dxa"/>
              <w:right w:w="101" w:type="dxa"/>
            </w:tcMar>
            <w:vAlign w:val="bottom"/>
          </w:tcPr>
          <w:p w14:paraId="345730AE" w14:textId="77777777" w:rsidR="00724034" w:rsidRDefault="00724034">
            <w:pPr>
              <w:rPr>
                <w:rFonts w:ascii="Arial" w:eastAsia="Arial" w:hAnsi="Arial" w:cs="Arial"/>
                <w:color w:val="000000"/>
                <w:sz w:val="20"/>
              </w:rPr>
            </w:pPr>
          </w:p>
        </w:tc>
        <w:tc>
          <w:tcPr>
            <w:tcW w:w="0" w:type="auto"/>
            <w:tcBorders>
              <w:top w:val="nil"/>
              <w:left w:val="nil"/>
              <w:bottom w:val="nil"/>
              <w:right w:val="nil"/>
              <w:tl2br w:val="nil"/>
              <w:tr2bl w:val="nil"/>
            </w:tcBorders>
            <w:shd w:val="clear" w:color="auto" w:fill="FFFFFF"/>
            <w:tcMar>
              <w:left w:w="101" w:type="dxa"/>
              <w:right w:w="101" w:type="dxa"/>
            </w:tcMar>
            <w:vAlign w:val="bottom"/>
          </w:tcPr>
          <w:p w14:paraId="0FF341B4" w14:textId="77777777" w:rsidR="00724034" w:rsidRDefault="00FB7D0B">
            <w:pPr>
              <w:jc w:val="right"/>
              <w:rPr>
                <w:rFonts w:ascii="Arial" w:eastAsia="Arial" w:hAnsi="Arial" w:cs="Arial"/>
                <w:color w:val="000000"/>
                <w:sz w:val="16"/>
                <w:vertAlign w:val="superscript"/>
              </w:rPr>
            </w:pPr>
            <w:r>
              <w:rPr>
                <w:rFonts w:ascii="Arial" w:eastAsia="Arial" w:hAnsi="Arial" w:cs="Arial"/>
                <w:color w:val="000000"/>
                <w:sz w:val="16"/>
              </w:rPr>
              <w:t>Revised</w:t>
            </w:r>
          </w:p>
        </w:tc>
        <w:tc>
          <w:tcPr>
            <w:tcW w:w="0" w:type="auto"/>
            <w:tcBorders>
              <w:top w:val="nil"/>
              <w:left w:val="nil"/>
              <w:bottom w:val="nil"/>
              <w:right w:val="nil"/>
              <w:tl2br w:val="nil"/>
              <w:tr2bl w:val="nil"/>
            </w:tcBorders>
            <w:shd w:val="clear" w:color="auto" w:fill="FFFF00"/>
            <w:tcMar>
              <w:left w:w="101" w:type="dxa"/>
              <w:right w:w="101" w:type="dxa"/>
            </w:tcMar>
            <w:vAlign w:val="bottom"/>
          </w:tcPr>
          <w:p w14:paraId="022C5C9A" w14:textId="77777777" w:rsidR="00724034" w:rsidRDefault="00FB7D0B">
            <w:pPr>
              <w:jc w:val="right"/>
              <w:rPr>
                <w:rFonts w:ascii="Arial" w:eastAsia="Arial" w:hAnsi="Arial" w:cs="Arial"/>
                <w:color w:val="000000"/>
                <w:sz w:val="16"/>
              </w:rPr>
            </w:pPr>
            <w:r>
              <w:rPr>
                <w:rFonts w:ascii="Arial" w:eastAsia="Arial" w:hAnsi="Arial" w:cs="Arial"/>
                <w:color w:val="000000"/>
                <w:sz w:val="16"/>
              </w:rPr>
              <w:t>Budget</w:t>
            </w:r>
          </w:p>
        </w:tc>
        <w:tc>
          <w:tcPr>
            <w:tcW w:w="0" w:type="auto"/>
            <w:tcBorders>
              <w:top w:val="nil"/>
              <w:left w:val="nil"/>
              <w:bottom w:val="nil"/>
              <w:right w:val="nil"/>
              <w:tl2br w:val="nil"/>
              <w:tr2bl w:val="nil"/>
            </w:tcBorders>
            <w:shd w:val="clear" w:color="auto" w:fill="FFFFFF"/>
            <w:tcMar>
              <w:left w:w="101" w:type="dxa"/>
              <w:right w:w="101" w:type="dxa"/>
            </w:tcMar>
            <w:vAlign w:val="bottom"/>
          </w:tcPr>
          <w:p w14:paraId="7AE93AFC" w14:textId="77777777" w:rsidR="00724034" w:rsidRDefault="00FB7D0B">
            <w:pPr>
              <w:jc w:val="right"/>
              <w:rPr>
                <w:rFonts w:ascii="Arial" w:eastAsia="Arial" w:hAnsi="Arial" w:cs="Arial"/>
                <w:color w:val="000000"/>
                <w:sz w:val="16"/>
              </w:rPr>
            </w:pPr>
            <w:r>
              <w:rPr>
                <w:rFonts w:ascii="Arial" w:eastAsia="Arial" w:hAnsi="Arial" w:cs="Arial"/>
                <w:color w:val="000000"/>
                <w:sz w:val="16"/>
              </w:rPr>
              <w:t>Forward</w:t>
            </w:r>
          </w:p>
        </w:tc>
        <w:tc>
          <w:tcPr>
            <w:tcW w:w="0" w:type="auto"/>
            <w:tcBorders>
              <w:top w:val="nil"/>
              <w:left w:val="nil"/>
              <w:bottom w:val="nil"/>
              <w:right w:val="nil"/>
              <w:tl2br w:val="nil"/>
              <w:tr2bl w:val="nil"/>
            </w:tcBorders>
            <w:shd w:val="clear" w:color="auto" w:fill="FFFFFF"/>
            <w:tcMar>
              <w:left w:w="101" w:type="dxa"/>
              <w:right w:w="101" w:type="dxa"/>
            </w:tcMar>
            <w:vAlign w:val="bottom"/>
          </w:tcPr>
          <w:p w14:paraId="6088DAD8" w14:textId="77777777" w:rsidR="00724034" w:rsidRDefault="00FB7D0B">
            <w:pPr>
              <w:jc w:val="right"/>
              <w:rPr>
                <w:rFonts w:ascii="Arial" w:eastAsia="Arial" w:hAnsi="Arial" w:cs="Arial"/>
                <w:color w:val="000000"/>
                <w:sz w:val="16"/>
              </w:rPr>
            </w:pPr>
            <w:r>
              <w:rPr>
                <w:rFonts w:ascii="Arial" w:eastAsia="Arial" w:hAnsi="Arial" w:cs="Arial"/>
                <w:color w:val="000000"/>
                <w:sz w:val="16"/>
              </w:rPr>
              <w:t>Forward</w:t>
            </w:r>
          </w:p>
        </w:tc>
        <w:tc>
          <w:tcPr>
            <w:tcW w:w="0" w:type="auto"/>
            <w:tcBorders>
              <w:top w:val="nil"/>
              <w:left w:val="nil"/>
              <w:bottom w:val="nil"/>
              <w:right w:val="single" w:sz="6" w:space="0" w:color="000000"/>
              <w:tl2br w:val="nil"/>
              <w:tr2bl w:val="nil"/>
            </w:tcBorders>
            <w:shd w:val="clear" w:color="auto" w:fill="FFFFFF"/>
            <w:tcMar>
              <w:left w:w="101" w:type="dxa"/>
              <w:right w:w="101" w:type="dxa"/>
            </w:tcMar>
            <w:vAlign w:val="bottom"/>
          </w:tcPr>
          <w:p w14:paraId="7D4086A1" w14:textId="77777777" w:rsidR="00724034" w:rsidRDefault="00FB7D0B">
            <w:pPr>
              <w:jc w:val="right"/>
              <w:rPr>
                <w:rFonts w:ascii="Arial" w:eastAsia="Arial" w:hAnsi="Arial" w:cs="Arial"/>
                <w:color w:val="000000"/>
                <w:sz w:val="16"/>
              </w:rPr>
            </w:pPr>
            <w:r>
              <w:rPr>
                <w:rFonts w:ascii="Arial" w:eastAsia="Arial" w:hAnsi="Arial" w:cs="Arial"/>
                <w:color w:val="000000"/>
                <w:sz w:val="16"/>
              </w:rPr>
              <w:t>Forward</w:t>
            </w:r>
          </w:p>
        </w:tc>
      </w:tr>
      <w:tr w:rsidR="00FB7D0B" w14:paraId="76B11A34" w14:textId="77777777" w:rsidTr="00FB7D0B">
        <w:tblPrEx>
          <w:tblLook w:val="04A0" w:firstRow="1" w:lastRow="0" w:firstColumn="1" w:lastColumn="0" w:noHBand="0" w:noVBand="1"/>
        </w:tblPrEx>
        <w:trPr>
          <w:trHeight w:val="225"/>
        </w:trPr>
        <w:tc>
          <w:tcPr>
            <w:tcW w:w="0" w:type="auto"/>
            <w:gridSpan w:val="3"/>
            <w:tcBorders>
              <w:top w:val="nil"/>
              <w:left w:val="single" w:sz="6" w:space="0" w:color="000000"/>
              <w:bottom w:val="single" w:sz="6" w:space="0" w:color="000000"/>
              <w:right w:val="nil"/>
              <w:tl2br w:val="nil"/>
              <w:tr2bl w:val="nil"/>
            </w:tcBorders>
            <w:shd w:val="clear" w:color="auto" w:fill="FFFFFF"/>
            <w:tcMar>
              <w:left w:w="101" w:type="dxa"/>
              <w:right w:w="101" w:type="dxa"/>
            </w:tcMar>
            <w:vAlign w:val="bottom"/>
          </w:tcPr>
          <w:p w14:paraId="6BCDB292" w14:textId="77777777" w:rsidR="00724034" w:rsidRDefault="00FB7D0B">
            <w:pPr>
              <w:rPr>
                <w:rFonts w:ascii="Arial" w:eastAsia="Arial" w:hAnsi="Arial" w:cs="Arial"/>
                <w:color w:val="000000"/>
                <w:sz w:val="16"/>
              </w:rPr>
            </w:pPr>
            <w:r>
              <w:rPr>
                <w:rFonts w:ascii="Arial" w:eastAsia="Arial" w:hAnsi="Arial" w:cs="Arial"/>
                <w:color w:val="000000"/>
                <w:sz w:val="16"/>
              </w:rPr>
              <w:t>$('000)</w:t>
            </w:r>
          </w:p>
        </w:tc>
        <w:tc>
          <w:tcPr>
            <w:tcW w:w="0" w:type="auto"/>
            <w:tcBorders>
              <w:top w:val="nil"/>
              <w:left w:val="nil"/>
              <w:bottom w:val="single" w:sz="6" w:space="0" w:color="000000"/>
              <w:right w:val="nil"/>
              <w:tl2br w:val="nil"/>
              <w:tr2bl w:val="nil"/>
            </w:tcBorders>
            <w:shd w:val="clear" w:color="auto" w:fill="FFFFFF"/>
            <w:tcMar>
              <w:left w:w="101" w:type="dxa"/>
              <w:right w:w="101" w:type="dxa"/>
            </w:tcMar>
            <w:vAlign w:val="bottom"/>
          </w:tcPr>
          <w:p w14:paraId="4D4873CA" w14:textId="77777777" w:rsidR="00724034" w:rsidRDefault="00FB7D0B">
            <w:pPr>
              <w:jc w:val="right"/>
              <w:rPr>
                <w:rFonts w:ascii="Arial" w:eastAsia="Arial" w:hAnsi="Arial" w:cs="Arial"/>
                <w:color w:val="000000"/>
                <w:sz w:val="16"/>
                <w:vertAlign w:val="superscript"/>
              </w:rPr>
            </w:pPr>
            <w:r>
              <w:rPr>
                <w:rFonts w:ascii="Arial" w:eastAsia="Arial" w:hAnsi="Arial" w:cs="Arial"/>
                <w:color w:val="000000"/>
                <w:sz w:val="16"/>
              </w:rPr>
              <w:t>budget</w:t>
            </w:r>
          </w:p>
        </w:tc>
        <w:tc>
          <w:tcPr>
            <w:tcW w:w="0" w:type="auto"/>
            <w:tcBorders>
              <w:top w:val="nil"/>
              <w:left w:val="nil"/>
              <w:bottom w:val="single" w:sz="6" w:space="0" w:color="000000"/>
              <w:right w:val="nil"/>
              <w:tl2br w:val="nil"/>
              <w:tr2bl w:val="nil"/>
            </w:tcBorders>
            <w:shd w:val="clear" w:color="auto" w:fill="FFFF00"/>
            <w:tcMar>
              <w:left w:w="101" w:type="dxa"/>
              <w:right w:w="101" w:type="dxa"/>
            </w:tcMar>
            <w:vAlign w:val="bottom"/>
          </w:tcPr>
          <w:p w14:paraId="6F8EE3D2" w14:textId="77777777" w:rsidR="00724034" w:rsidRDefault="00724034">
            <w:pPr>
              <w:jc w:val="right"/>
              <w:rPr>
                <w:rFonts w:ascii="Arial" w:eastAsia="Arial" w:hAnsi="Arial" w:cs="Arial"/>
                <w:color w:val="000000"/>
                <w:sz w:val="16"/>
              </w:rPr>
            </w:pPr>
          </w:p>
        </w:tc>
        <w:tc>
          <w:tcPr>
            <w:tcW w:w="0" w:type="auto"/>
            <w:tcBorders>
              <w:top w:val="nil"/>
              <w:left w:val="nil"/>
              <w:bottom w:val="single" w:sz="6" w:space="0" w:color="000000"/>
              <w:right w:val="nil"/>
              <w:tl2br w:val="nil"/>
              <w:tr2bl w:val="nil"/>
            </w:tcBorders>
            <w:shd w:val="clear" w:color="auto" w:fill="FFFFFF"/>
            <w:tcMar>
              <w:left w:w="101" w:type="dxa"/>
              <w:right w:w="101" w:type="dxa"/>
            </w:tcMar>
            <w:vAlign w:val="bottom"/>
          </w:tcPr>
          <w:p w14:paraId="57C6EE84" w14:textId="77777777" w:rsidR="00724034" w:rsidRDefault="00FB7D0B">
            <w:pPr>
              <w:jc w:val="right"/>
              <w:rPr>
                <w:rFonts w:ascii="Arial" w:eastAsia="Arial" w:hAnsi="Arial" w:cs="Arial"/>
                <w:color w:val="000000"/>
                <w:sz w:val="16"/>
              </w:rPr>
            </w:pPr>
            <w:r>
              <w:rPr>
                <w:rFonts w:ascii="Arial" w:eastAsia="Arial" w:hAnsi="Arial" w:cs="Arial"/>
                <w:color w:val="000000"/>
                <w:sz w:val="16"/>
              </w:rPr>
              <w:t>year 1</w:t>
            </w:r>
          </w:p>
        </w:tc>
        <w:tc>
          <w:tcPr>
            <w:tcW w:w="0" w:type="auto"/>
            <w:tcBorders>
              <w:top w:val="nil"/>
              <w:left w:val="nil"/>
              <w:bottom w:val="single" w:sz="6" w:space="0" w:color="000000"/>
              <w:right w:val="nil"/>
              <w:tl2br w:val="nil"/>
              <w:tr2bl w:val="nil"/>
            </w:tcBorders>
            <w:shd w:val="clear" w:color="auto" w:fill="FFFFFF"/>
            <w:tcMar>
              <w:left w:w="101" w:type="dxa"/>
              <w:right w:w="101" w:type="dxa"/>
            </w:tcMar>
            <w:vAlign w:val="bottom"/>
          </w:tcPr>
          <w:p w14:paraId="05B92848" w14:textId="77777777" w:rsidR="00724034" w:rsidRDefault="00FB7D0B">
            <w:pPr>
              <w:jc w:val="right"/>
              <w:rPr>
                <w:rFonts w:ascii="Arial" w:eastAsia="Arial" w:hAnsi="Arial" w:cs="Arial"/>
                <w:color w:val="000000"/>
                <w:sz w:val="16"/>
              </w:rPr>
            </w:pPr>
            <w:r>
              <w:rPr>
                <w:rFonts w:ascii="Arial" w:eastAsia="Arial" w:hAnsi="Arial" w:cs="Arial"/>
                <w:color w:val="000000"/>
                <w:sz w:val="16"/>
              </w:rPr>
              <w:t>year 2</w:t>
            </w:r>
          </w:p>
        </w:tc>
        <w:tc>
          <w:tcPr>
            <w:tcW w:w="0" w:type="auto"/>
            <w:tcBorders>
              <w:top w:val="nil"/>
              <w:left w:val="nil"/>
              <w:bottom w:val="single" w:sz="6" w:space="0" w:color="000000"/>
              <w:right w:val="single" w:sz="6" w:space="0" w:color="000000"/>
              <w:tl2br w:val="nil"/>
              <w:tr2bl w:val="nil"/>
            </w:tcBorders>
            <w:shd w:val="clear" w:color="auto" w:fill="FFFFFF"/>
            <w:tcMar>
              <w:left w:w="101" w:type="dxa"/>
              <w:right w:w="101" w:type="dxa"/>
            </w:tcMar>
            <w:vAlign w:val="bottom"/>
          </w:tcPr>
          <w:p w14:paraId="2B4AFBF8" w14:textId="77777777" w:rsidR="00724034" w:rsidRDefault="00FB7D0B">
            <w:pPr>
              <w:jc w:val="right"/>
              <w:rPr>
                <w:rFonts w:ascii="Arial" w:eastAsia="Arial" w:hAnsi="Arial" w:cs="Arial"/>
                <w:color w:val="000000"/>
                <w:sz w:val="16"/>
              </w:rPr>
            </w:pPr>
            <w:r>
              <w:rPr>
                <w:rFonts w:ascii="Arial" w:eastAsia="Arial" w:hAnsi="Arial" w:cs="Arial"/>
                <w:color w:val="000000"/>
                <w:sz w:val="16"/>
              </w:rPr>
              <w:t>year 3</w:t>
            </w:r>
          </w:p>
        </w:tc>
      </w:tr>
      <w:tr w:rsidR="00FB7D0B" w14:paraId="360061A3" w14:textId="77777777" w:rsidTr="00FB7D0B">
        <w:tblPrEx>
          <w:tblLook w:val="04A0" w:firstRow="1" w:lastRow="0" w:firstColumn="1" w:lastColumn="0" w:noHBand="0" w:noVBand="1"/>
        </w:tblPrEx>
        <w:trPr>
          <w:trHeight w:val="225"/>
        </w:trPr>
        <w:tc>
          <w:tcPr>
            <w:tcW w:w="0" w:type="auto"/>
            <w:gridSpan w:val="3"/>
            <w:tcBorders>
              <w:top w:val="single" w:sz="6" w:space="0" w:color="000000"/>
              <w:left w:val="single" w:sz="6" w:space="0" w:color="000000"/>
              <w:bottom w:val="nil"/>
              <w:right w:val="nil"/>
              <w:tl2br w:val="nil"/>
              <w:tr2bl w:val="nil"/>
            </w:tcBorders>
            <w:shd w:val="clear" w:color="auto" w:fill="FFFFFF"/>
            <w:tcMar>
              <w:left w:w="101" w:type="dxa"/>
              <w:right w:w="101" w:type="dxa"/>
            </w:tcMar>
            <w:vAlign w:val="bottom"/>
          </w:tcPr>
          <w:p w14:paraId="0347372D" w14:textId="77777777" w:rsidR="00724034" w:rsidRDefault="00FB7D0B">
            <w:pPr>
              <w:rPr>
                <w:rFonts w:ascii="Arial" w:eastAsia="Arial" w:hAnsi="Arial" w:cs="Arial"/>
                <w:color w:val="000000"/>
                <w:sz w:val="16"/>
              </w:rPr>
            </w:pPr>
            <w:r>
              <w:rPr>
                <w:rFonts w:ascii="Arial" w:eastAsia="Arial" w:hAnsi="Arial" w:cs="Arial"/>
                <w:color w:val="000000"/>
                <w:sz w:val="16"/>
              </w:rPr>
              <w:t>Special Appropriations:</w:t>
            </w:r>
          </w:p>
        </w:tc>
        <w:tc>
          <w:tcPr>
            <w:tcW w:w="0" w:type="auto"/>
            <w:tcBorders>
              <w:top w:val="single" w:sz="6" w:space="0" w:color="000000"/>
              <w:left w:val="nil"/>
              <w:bottom w:val="nil"/>
              <w:right w:val="nil"/>
              <w:tl2br w:val="nil"/>
              <w:tr2bl w:val="nil"/>
            </w:tcBorders>
            <w:shd w:val="clear" w:color="auto" w:fill="FFFFFF"/>
            <w:tcMar>
              <w:left w:w="101" w:type="dxa"/>
              <w:right w:w="101" w:type="dxa"/>
            </w:tcMar>
            <w:vAlign w:val="bottom"/>
          </w:tcPr>
          <w:p w14:paraId="5E1C7D9B" w14:textId="77777777" w:rsidR="00724034" w:rsidRDefault="00724034">
            <w:pPr>
              <w:rPr>
                <w:rFonts w:ascii="Arial" w:eastAsia="Arial" w:hAnsi="Arial" w:cs="Arial"/>
                <w:color w:val="000000"/>
                <w:sz w:val="16"/>
                <w:vertAlign w:val="superscript"/>
              </w:rPr>
            </w:pPr>
          </w:p>
        </w:tc>
        <w:tc>
          <w:tcPr>
            <w:tcW w:w="0" w:type="auto"/>
            <w:tcBorders>
              <w:top w:val="single" w:sz="6" w:space="0" w:color="000000"/>
              <w:left w:val="nil"/>
              <w:bottom w:val="nil"/>
              <w:right w:val="nil"/>
              <w:tl2br w:val="nil"/>
              <w:tr2bl w:val="nil"/>
            </w:tcBorders>
            <w:shd w:val="clear" w:color="auto" w:fill="FFFF00"/>
            <w:tcMar>
              <w:left w:w="101" w:type="dxa"/>
              <w:right w:w="101" w:type="dxa"/>
            </w:tcMar>
            <w:vAlign w:val="bottom"/>
          </w:tcPr>
          <w:p w14:paraId="060B8F5D" w14:textId="77777777" w:rsidR="00724034" w:rsidRDefault="00724034">
            <w:pPr>
              <w:jc w:val="right"/>
              <w:rPr>
                <w:rFonts w:ascii="Arial" w:eastAsia="Arial" w:hAnsi="Arial" w:cs="Arial"/>
                <w:color w:val="000000"/>
                <w:sz w:val="16"/>
                <w:vertAlign w:val="superscript"/>
              </w:rPr>
            </w:pPr>
          </w:p>
        </w:tc>
        <w:tc>
          <w:tcPr>
            <w:tcW w:w="0" w:type="auto"/>
            <w:tcBorders>
              <w:top w:val="single" w:sz="6" w:space="0" w:color="000000"/>
              <w:left w:val="nil"/>
              <w:bottom w:val="nil"/>
              <w:right w:val="nil"/>
              <w:tl2br w:val="nil"/>
              <w:tr2bl w:val="nil"/>
            </w:tcBorders>
            <w:shd w:val="clear" w:color="auto" w:fill="FFFFFF"/>
            <w:tcMar>
              <w:left w:w="101" w:type="dxa"/>
              <w:right w:w="101" w:type="dxa"/>
            </w:tcMar>
            <w:vAlign w:val="bottom"/>
          </w:tcPr>
          <w:p w14:paraId="0487840F" w14:textId="77777777" w:rsidR="00724034" w:rsidRDefault="00724034">
            <w:pPr>
              <w:jc w:val="right"/>
              <w:rPr>
                <w:rFonts w:ascii="Arial" w:eastAsia="Arial" w:hAnsi="Arial" w:cs="Arial"/>
                <w:color w:val="000000"/>
                <w:sz w:val="16"/>
                <w:vertAlign w:val="superscript"/>
              </w:rPr>
            </w:pPr>
          </w:p>
        </w:tc>
        <w:tc>
          <w:tcPr>
            <w:tcW w:w="0" w:type="auto"/>
            <w:tcBorders>
              <w:top w:val="single" w:sz="6" w:space="0" w:color="000000"/>
              <w:left w:val="nil"/>
              <w:bottom w:val="nil"/>
              <w:right w:val="nil"/>
              <w:tl2br w:val="nil"/>
              <w:tr2bl w:val="nil"/>
            </w:tcBorders>
            <w:shd w:val="clear" w:color="auto" w:fill="FFFFFF"/>
            <w:tcMar>
              <w:left w:w="101" w:type="dxa"/>
              <w:right w:w="101" w:type="dxa"/>
            </w:tcMar>
            <w:vAlign w:val="bottom"/>
          </w:tcPr>
          <w:p w14:paraId="5DE1D970" w14:textId="77777777" w:rsidR="00724034" w:rsidRDefault="00724034">
            <w:pPr>
              <w:jc w:val="right"/>
              <w:rPr>
                <w:rFonts w:ascii="Arial" w:eastAsia="Arial" w:hAnsi="Arial" w:cs="Arial"/>
                <w:color w:val="000000"/>
                <w:sz w:val="16"/>
                <w:vertAlign w:val="superscript"/>
              </w:rPr>
            </w:pPr>
          </w:p>
        </w:tc>
        <w:tc>
          <w:tcPr>
            <w:tcW w:w="0" w:type="auto"/>
            <w:tcBorders>
              <w:top w:val="single" w:sz="6" w:space="0" w:color="000000"/>
              <w:left w:val="nil"/>
              <w:bottom w:val="nil"/>
              <w:right w:val="single" w:sz="6" w:space="0" w:color="000000"/>
              <w:tl2br w:val="nil"/>
              <w:tr2bl w:val="nil"/>
            </w:tcBorders>
            <w:shd w:val="clear" w:color="auto" w:fill="FFFFFF"/>
            <w:tcMar>
              <w:left w:w="101" w:type="dxa"/>
              <w:right w:w="101" w:type="dxa"/>
            </w:tcMar>
            <w:vAlign w:val="bottom"/>
          </w:tcPr>
          <w:p w14:paraId="3C5F7B0C" w14:textId="77777777" w:rsidR="00724034" w:rsidRDefault="00724034">
            <w:pPr>
              <w:jc w:val="right"/>
              <w:rPr>
                <w:rFonts w:ascii="Arial" w:eastAsia="Arial" w:hAnsi="Arial" w:cs="Arial"/>
                <w:color w:val="000000"/>
                <w:sz w:val="16"/>
                <w:vertAlign w:val="superscript"/>
              </w:rPr>
            </w:pPr>
          </w:p>
        </w:tc>
      </w:tr>
      <w:tr w:rsidR="00FB7D0B" w14:paraId="441B6417" w14:textId="77777777" w:rsidTr="00FB7D0B">
        <w:tblPrEx>
          <w:tblLook w:val="04A0" w:firstRow="1" w:lastRow="0" w:firstColumn="1" w:lastColumn="0" w:noHBand="0" w:noVBand="1"/>
        </w:tblPrEx>
        <w:trPr>
          <w:trHeight w:val="225"/>
        </w:trPr>
        <w:tc>
          <w:tcPr>
            <w:tcW w:w="0" w:type="auto"/>
            <w:tcBorders>
              <w:top w:val="single" w:sz="6" w:space="0" w:color="FFFFFF"/>
              <w:left w:val="single" w:sz="6" w:space="0" w:color="000000"/>
              <w:bottom w:val="nil"/>
              <w:right w:val="nil"/>
              <w:tl2br w:val="nil"/>
              <w:tr2bl w:val="nil"/>
            </w:tcBorders>
            <w:shd w:val="clear" w:color="auto" w:fill="FFFFFF"/>
            <w:tcMar>
              <w:left w:w="101" w:type="dxa"/>
              <w:right w:w="101" w:type="dxa"/>
            </w:tcMar>
            <w:vAlign w:val="bottom"/>
          </w:tcPr>
          <w:p w14:paraId="47AE81BB" w14:textId="77777777" w:rsidR="00724034" w:rsidRDefault="00724034">
            <w:pPr>
              <w:rPr>
                <w:rFonts w:ascii="Arial" w:eastAsia="Arial" w:hAnsi="Arial" w:cs="Arial"/>
                <w:color w:val="000000"/>
                <w:sz w:val="16"/>
                <w:vertAlign w:val="superscript"/>
              </w:rPr>
            </w:pPr>
          </w:p>
        </w:tc>
        <w:tc>
          <w:tcPr>
            <w:tcW w:w="0" w:type="auto"/>
            <w:gridSpan w:val="2"/>
            <w:tcBorders>
              <w:top w:val="single" w:sz="6" w:space="0" w:color="FFFFFF"/>
              <w:left w:val="nil"/>
              <w:bottom w:val="nil"/>
              <w:right w:val="nil"/>
              <w:tl2br w:val="nil"/>
              <w:tr2bl w:val="nil"/>
            </w:tcBorders>
            <w:shd w:val="clear" w:color="auto" w:fill="FFFFFF"/>
            <w:tcMar>
              <w:left w:w="101" w:type="dxa"/>
              <w:right w:w="101" w:type="dxa"/>
            </w:tcMar>
            <w:vAlign w:val="bottom"/>
          </w:tcPr>
          <w:p w14:paraId="0CB3C2C5" w14:textId="77777777" w:rsidR="00724034" w:rsidRDefault="00FB7D0B">
            <w:pPr>
              <w:rPr>
                <w:rFonts w:ascii="Arial" w:eastAsia="Arial" w:hAnsi="Arial" w:cs="Arial"/>
                <w:color w:val="000000"/>
                <w:sz w:val="20"/>
                <w:vertAlign w:val="superscript"/>
              </w:rPr>
            </w:pPr>
            <w:r>
              <w:rPr>
                <w:rFonts w:ascii="Arial" w:eastAsia="Arial" w:hAnsi="Arial" w:cs="Arial"/>
                <w:i/>
                <w:color w:val="000000"/>
                <w:sz w:val="16"/>
              </w:rPr>
              <w:t>Veterans' Entitlements Act 1986 (VEA)</w:t>
            </w:r>
          </w:p>
        </w:tc>
        <w:tc>
          <w:tcPr>
            <w:tcW w:w="0" w:type="auto"/>
            <w:tcBorders>
              <w:top w:val="nil"/>
              <w:left w:val="nil"/>
              <w:bottom w:val="nil"/>
              <w:right w:val="nil"/>
              <w:tl2br w:val="nil"/>
              <w:tr2bl w:val="nil"/>
            </w:tcBorders>
            <w:shd w:val="clear" w:color="auto" w:fill="FFFFFF"/>
            <w:tcMar>
              <w:left w:w="101" w:type="dxa"/>
              <w:right w:w="101" w:type="dxa"/>
            </w:tcMar>
            <w:vAlign w:val="bottom"/>
          </w:tcPr>
          <w:p w14:paraId="6743BF41" w14:textId="77777777" w:rsidR="00724034" w:rsidRDefault="00724034">
            <w:pPr>
              <w:jc w:val="right"/>
              <w:rPr>
                <w:rFonts w:ascii="Arial" w:eastAsia="Arial" w:hAnsi="Arial" w:cs="Arial"/>
                <w:color w:val="000000"/>
                <w:sz w:val="16"/>
                <w:vertAlign w:val="superscript"/>
              </w:rPr>
            </w:pPr>
          </w:p>
        </w:tc>
        <w:tc>
          <w:tcPr>
            <w:tcW w:w="0" w:type="auto"/>
            <w:tcBorders>
              <w:top w:val="nil"/>
              <w:left w:val="nil"/>
              <w:bottom w:val="nil"/>
              <w:right w:val="nil"/>
              <w:tl2br w:val="nil"/>
              <w:tr2bl w:val="nil"/>
            </w:tcBorders>
            <w:shd w:val="clear" w:color="auto" w:fill="FFFF00"/>
            <w:tcMar>
              <w:left w:w="101" w:type="dxa"/>
              <w:right w:w="101" w:type="dxa"/>
            </w:tcMar>
            <w:vAlign w:val="bottom"/>
          </w:tcPr>
          <w:p w14:paraId="2D0D0997" w14:textId="77777777" w:rsidR="00724034" w:rsidRDefault="00724034">
            <w:pPr>
              <w:jc w:val="right"/>
              <w:rPr>
                <w:rFonts w:ascii="Arial" w:eastAsia="Arial" w:hAnsi="Arial" w:cs="Arial"/>
                <w:color w:val="000000"/>
                <w:sz w:val="16"/>
                <w:vertAlign w:val="superscript"/>
              </w:rPr>
            </w:pPr>
          </w:p>
        </w:tc>
        <w:tc>
          <w:tcPr>
            <w:tcW w:w="0" w:type="auto"/>
            <w:tcBorders>
              <w:top w:val="nil"/>
              <w:left w:val="nil"/>
              <w:bottom w:val="nil"/>
              <w:right w:val="nil"/>
              <w:tl2br w:val="nil"/>
              <w:tr2bl w:val="nil"/>
            </w:tcBorders>
            <w:shd w:val="clear" w:color="auto" w:fill="FFFFFF"/>
            <w:tcMar>
              <w:left w:w="101" w:type="dxa"/>
              <w:right w:w="101" w:type="dxa"/>
            </w:tcMar>
            <w:vAlign w:val="bottom"/>
          </w:tcPr>
          <w:p w14:paraId="6835ABB0" w14:textId="77777777" w:rsidR="00724034" w:rsidRDefault="00724034">
            <w:pPr>
              <w:jc w:val="right"/>
              <w:rPr>
                <w:rFonts w:ascii="Arial" w:eastAsia="Arial" w:hAnsi="Arial" w:cs="Arial"/>
                <w:color w:val="000000"/>
                <w:sz w:val="16"/>
                <w:vertAlign w:val="superscript"/>
              </w:rPr>
            </w:pPr>
          </w:p>
        </w:tc>
        <w:tc>
          <w:tcPr>
            <w:tcW w:w="0" w:type="auto"/>
            <w:tcBorders>
              <w:top w:val="nil"/>
              <w:left w:val="nil"/>
              <w:bottom w:val="nil"/>
              <w:right w:val="nil"/>
              <w:tl2br w:val="nil"/>
              <w:tr2bl w:val="nil"/>
            </w:tcBorders>
            <w:shd w:val="clear" w:color="auto" w:fill="FFFFFF"/>
            <w:tcMar>
              <w:left w:w="101" w:type="dxa"/>
              <w:right w:w="101" w:type="dxa"/>
            </w:tcMar>
            <w:vAlign w:val="bottom"/>
          </w:tcPr>
          <w:p w14:paraId="6E0863DD" w14:textId="77777777" w:rsidR="00724034" w:rsidRDefault="00724034">
            <w:pPr>
              <w:jc w:val="right"/>
              <w:rPr>
                <w:rFonts w:ascii="Arial" w:eastAsia="Arial" w:hAnsi="Arial" w:cs="Arial"/>
                <w:color w:val="000000"/>
                <w:sz w:val="16"/>
                <w:vertAlign w:val="superscript"/>
              </w:rPr>
            </w:pPr>
          </w:p>
        </w:tc>
        <w:tc>
          <w:tcPr>
            <w:tcW w:w="0" w:type="auto"/>
            <w:tcBorders>
              <w:top w:val="nil"/>
              <w:left w:val="nil"/>
              <w:bottom w:val="nil"/>
              <w:right w:val="single" w:sz="6" w:space="0" w:color="000000"/>
              <w:tl2br w:val="nil"/>
              <w:tr2bl w:val="nil"/>
            </w:tcBorders>
            <w:shd w:val="clear" w:color="auto" w:fill="FFFFFF"/>
            <w:tcMar>
              <w:left w:w="101" w:type="dxa"/>
              <w:right w:w="101" w:type="dxa"/>
            </w:tcMar>
            <w:vAlign w:val="bottom"/>
          </w:tcPr>
          <w:p w14:paraId="52EC08D3" w14:textId="77777777" w:rsidR="00724034" w:rsidRDefault="00724034">
            <w:pPr>
              <w:jc w:val="right"/>
              <w:rPr>
                <w:rFonts w:ascii="Arial" w:eastAsia="Arial" w:hAnsi="Arial" w:cs="Arial"/>
                <w:color w:val="000000"/>
                <w:sz w:val="16"/>
                <w:vertAlign w:val="superscript"/>
              </w:rPr>
            </w:pPr>
          </w:p>
        </w:tc>
      </w:tr>
      <w:tr w:rsidR="00724034" w14:paraId="7BE79904" w14:textId="77777777">
        <w:tblPrEx>
          <w:tblLook w:val="04A0" w:firstRow="1" w:lastRow="0" w:firstColumn="1" w:lastColumn="0" w:noHBand="0" w:noVBand="1"/>
        </w:tblPrEx>
        <w:trPr>
          <w:trHeight w:val="225"/>
        </w:trPr>
        <w:tc>
          <w:tcPr>
            <w:tcW w:w="0" w:type="auto"/>
            <w:tcBorders>
              <w:top w:val="nil"/>
              <w:left w:val="single" w:sz="6" w:space="0" w:color="000000"/>
              <w:bottom w:val="nil"/>
              <w:right w:val="nil"/>
              <w:tl2br w:val="nil"/>
              <w:tr2bl w:val="nil"/>
            </w:tcBorders>
            <w:shd w:val="clear" w:color="auto" w:fill="FFFFFF"/>
            <w:tcMar>
              <w:left w:w="101" w:type="dxa"/>
              <w:right w:w="101" w:type="dxa"/>
            </w:tcMar>
            <w:vAlign w:val="bottom"/>
          </w:tcPr>
          <w:p w14:paraId="69DB8D3C" w14:textId="77777777" w:rsidR="00724034" w:rsidRDefault="00724034">
            <w:pPr>
              <w:rPr>
                <w:rFonts w:ascii="Arial" w:eastAsia="Arial" w:hAnsi="Arial" w:cs="Arial"/>
                <w:color w:val="000000"/>
                <w:sz w:val="16"/>
                <w:vertAlign w:val="superscript"/>
              </w:rPr>
            </w:pPr>
          </w:p>
        </w:tc>
        <w:tc>
          <w:tcPr>
            <w:tcW w:w="0" w:type="auto"/>
            <w:tcBorders>
              <w:top w:val="nil"/>
              <w:left w:val="nil"/>
              <w:bottom w:val="nil"/>
              <w:right w:val="nil"/>
              <w:tl2br w:val="nil"/>
              <w:tr2bl w:val="nil"/>
            </w:tcBorders>
            <w:shd w:val="clear" w:color="auto" w:fill="FFFFFF"/>
            <w:tcMar>
              <w:left w:w="101" w:type="dxa"/>
              <w:right w:w="101" w:type="dxa"/>
            </w:tcMar>
            <w:vAlign w:val="bottom"/>
          </w:tcPr>
          <w:p w14:paraId="26C6308F" w14:textId="77777777" w:rsidR="00724034" w:rsidRDefault="00724034">
            <w:pPr>
              <w:rPr>
                <w:rFonts w:ascii="Arial" w:eastAsia="Arial" w:hAnsi="Arial" w:cs="Arial"/>
                <w:color w:val="000000"/>
                <w:sz w:val="20"/>
                <w:vertAlign w:val="superscript"/>
              </w:rPr>
            </w:pPr>
          </w:p>
        </w:tc>
        <w:tc>
          <w:tcPr>
            <w:tcW w:w="0" w:type="auto"/>
            <w:tcBorders>
              <w:top w:val="nil"/>
              <w:left w:val="nil"/>
              <w:bottom w:val="nil"/>
              <w:right w:val="nil"/>
              <w:tl2br w:val="nil"/>
              <w:tr2bl w:val="nil"/>
            </w:tcBorders>
            <w:shd w:val="clear" w:color="auto" w:fill="FFFFFF"/>
            <w:tcMar>
              <w:left w:w="101" w:type="dxa"/>
              <w:right w:w="101" w:type="dxa"/>
            </w:tcMar>
            <w:vAlign w:val="bottom"/>
          </w:tcPr>
          <w:p w14:paraId="1C4197CC" w14:textId="77777777" w:rsidR="00724034" w:rsidRDefault="00FB7D0B">
            <w:pPr>
              <w:rPr>
                <w:rFonts w:ascii="Arial" w:eastAsia="Arial" w:hAnsi="Arial" w:cs="Arial"/>
                <w:color w:val="000000"/>
                <w:sz w:val="16"/>
                <w:vertAlign w:val="superscript"/>
              </w:rPr>
            </w:pPr>
            <w:r>
              <w:rPr>
                <w:rFonts w:ascii="Arial" w:eastAsia="Arial" w:hAnsi="Arial" w:cs="Arial"/>
                <w:color w:val="000000"/>
                <w:sz w:val="16"/>
              </w:rPr>
              <w:t>War &amp; Defence Widow/ers pension</w:t>
            </w:r>
          </w:p>
        </w:tc>
        <w:tc>
          <w:tcPr>
            <w:tcW w:w="0" w:type="auto"/>
            <w:tcBorders>
              <w:top w:val="nil"/>
              <w:left w:val="nil"/>
              <w:bottom w:val="nil"/>
              <w:right w:val="nil"/>
              <w:tl2br w:val="nil"/>
              <w:tr2bl w:val="nil"/>
            </w:tcBorders>
            <w:shd w:val="clear" w:color="auto" w:fill="FFFFFF"/>
            <w:tcMar>
              <w:left w:w="101" w:type="dxa"/>
              <w:right w:w="101" w:type="dxa"/>
            </w:tcMar>
            <w:vAlign w:val="bottom"/>
          </w:tcPr>
          <w:p w14:paraId="1B692948" w14:textId="77777777" w:rsidR="00724034" w:rsidRDefault="00FB7D0B">
            <w:pPr>
              <w:jc w:val="right"/>
              <w:rPr>
                <w:rFonts w:ascii="Arial" w:eastAsia="Arial" w:hAnsi="Arial" w:cs="Arial"/>
                <w:color w:val="000000"/>
                <w:sz w:val="16"/>
                <w:vertAlign w:val="superscript"/>
              </w:rPr>
            </w:pPr>
            <w:r>
              <w:rPr>
                <w:rFonts w:ascii="Arial" w:eastAsia="Arial" w:hAnsi="Arial" w:cs="Arial"/>
                <w:color w:val="000000"/>
                <w:sz w:val="16"/>
              </w:rPr>
              <w:t>1,845,971 </w:t>
            </w:r>
          </w:p>
        </w:tc>
        <w:tc>
          <w:tcPr>
            <w:tcW w:w="0" w:type="auto"/>
            <w:tcBorders>
              <w:top w:val="nil"/>
              <w:left w:val="nil"/>
              <w:bottom w:val="nil"/>
              <w:right w:val="nil"/>
              <w:tl2br w:val="nil"/>
              <w:tr2bl w:val="nil"/>
            </w:tcBorders>
            <w:shd w:val="clear" w:color="auto" w:fill="FFFF00"/>
            <w:tcMar>
              <w:left w:w="101" w:type="dxa"/>
              <w:right w:w="101" w:type="dxa"/>
            </w:tcMar>
            <w:vAlign w:val="bottom"/>
          </w:tcPr>
          <w:p w14:paraId="2C615D2A" w14:textId="77777777" w:rsidR="00724034" w:rsidRDefault="00FB7D0B">
            <w:pPr>
              <w:jc w:val="right"/>
              <w:rPr>
                <w:rFonts w:ascii="Arial" w:eastAsia="Arial" w:hAnsi="Arial" w:cs="Arial"/>
                <w:color w:val="000000"/>
                <w:sz w:val="16"/>
              </w:rPr>
            </w:pPr>
            <w:r>
              <w:rPr>
                <w:rFonts w:ascii="Arial" w:eastAsia="Arial" w:hAnsi="Arial" w:cs="Arial"/>
                <w:color w:val="000000"/>
                <w:sz w:val="16"/>
              </w:rPr>
              <w:t>1,811,869 </w:t>
            </w:r>
          </w:p>
        </w:tc>
        <w:tc>
          <w:tcPr>
            <w:tcW w:w="0" w:type="auto"/>
            <w:tcBorders>
              <w:top w:val="nil"/>
              <w:left w:val="nil"/>
              <w:bottom w:val="nil"/>
              <w:right w:val="nil"/>
              <w:tl2br w:val="nil"/>
              <w:tr2bl w:val="nil"/>
            </w:tcBorders>
            <w:shd w:val="clear" w:color="auto" w:fill="FFFFFF"/>
            <w:tcMar>
              <w:left w:w="101" w:type="dxa"/>
              <w:right w:w="101" w:type="dxa"/>
            </w:tcMar>
            <w:vAlign w:val="bottom"/>
          </w:tcPr>
          <w:p w14:paraId="2E3FDBF7" w14:textId="77777777" w:rsidR="00724034" w:rsidRDefault="00FB7D0B">
            <w:pPr>
              <w:jc w:val="right"/>
              <w:rPr>
                <w:rFonts w:ascii="Arial" w:eastAsia="Arial" w:hAnsi="Arial" w:cs="Arial"/>
                <w:color w:val="000000"/>
                <w:sz w:val="16"/>
              </w:rPr>
            </w:pPr>
            <w:r>
              <w:rPr>
                <w:rFonts w:ascii="Arial" w:eastAsia="Arial" w:hAnsi="Arial" w:cs="Arial"/>
                <w:color w:val="000000"/>
                <w:sz w:val="16"/>
              </w:rPr>
              <w:t>1,744,259 </w:t>
            </w:r>
          </w:p>
        </w:tc>
        <w:tc>
          <w:tcPr>
            <w:tcW w:w="0" w:type="auto"/>
            <w:tcBorders>
              <w:top w:val="nil"/>
              <w:left w:val="nil"/>
              <w:bottom w:val="nil"/>
              <w:right w:val="nil"/>
              <w:tl2br w:val="nil"/>
              <w:tr2bl w:val="nil"/>
            </w:tcBorders>
            <w:shd w:val="clear" w:color="auto" w:fill="FFFFFF"/>
            <w:tcMar>
              <w:left w:w="101" w:type="dxa"/>
              <w:right w:w="101" w:type="dxa"/>
            </w:tcMar>
            <w:vAlign w:val="bottom"/>
          </w:tcPr>
          <w:p w14:paraId="62E6660D" w14:textId="77777777" w:rsidR="00724034" w:rsidRDefault="00FB7D0B">
            <w:pPr>
              <w:jc w:val="right"/>
              <w:rPr>
                <w:rFonts w:ascii="Arial" w:eastAsia="Arial" w:hAnsi="Arial" w:cs="Arial"/>
                <w:color w:val="000000"/>
                <w:sz w:val="16"/>
              </w:rPr>
            </w:pPr>
            <w:r>
              <w:rPr>
                <w:rFonts w:ascii="Arial" w:eastAsia="Arial" w:hAnsi="Arial" w:cs="Arial"/>
                <w:color w:val="000000"/>
                <w:sz w:val="16"/>
              </w:rPr>
              <w:t>1,651,407 </w:t>
            </w:r>
          </w:p>
        </w:tc>
        <w:tc>
          <w:tcPr>
            <w:tcW w:w="0" w:type="auto"/>
            <w:tcBorders>
              <w:top w:val="nil"/>
              <w:left w:val="nil"/>
              <w:bottom w:val="nil"/>
              <w:right w:val="single" w:sz="6" w:space="0" w:color="000000"/>
              <w:tl2br w:val="nil"/>
              <w:tr2bl w:val="nil"/>
            </w:tcBorders>
            <w:shd w:val="clear" w:color="auto" w:fill="FFFFFF"/>
            <w:tcMar>
              <w:left w:w="101" w:type="dxa"/>
              <w:right w:w="101" w:type="dxa"/>
            </w:tcMar>
            <w:vAlign w:val="bottom"/>
          </w:tcPr>
          <w:p w14:paraId="3BE5D9F6" w14:textId="77777777" w:rsidR="00724034" w:rsidRDefault="00FB7D0B">
            <w:pPr>
              <w:jc w:val="right"/>
              <w:rPr>
                <w:rFonts w:ascii="Arial" w:eastAsia="Arial" w:hAnsi="Arial" w:cs="Arial"/>
                <w:color w:val="000000"/>
                <w:sz w:val="16"/>
              </w:rPr>
            </w:pPr>
            <w:r>
              <w:rPr>
                <w:rFonts w:ascii="Arial" w:eastAsia="Arial" w:hAnsi="Arial" w:cs="Arial"/>
                <w:color w:val="000000"/>
                <w:sz w:val="16"/>
              </w:rPr>
              <w:t>1,539,065 </w:t>
            </w:r>
          </w:p>
        </w:tc>
      </w:tr>
      <w:tr w:rsidR="00FB7D0B" w14:paraId="0232A4E2" w14:textId="77777777" w:rsidTr="00FB7D0B">
        <w:tblPrEx>
          <w:tblLook w:val="04A0" w:firstRow="1" w:lastRow="0" w:firstColumn="1" w:lastColumn="0" w:noHBand="0" w:noVBand="1"/>
        </w:tblPrEx>
        <w:trPr>
          <w:trHeight w:val="225"/>
        </w:trPr>
        <w:tc>
          <w:tcPr>
            <w:tcW w:w="0" w:type="auto"/>
            <w:gridSpan w:val="3"/>
            <w:tcBorders>
              <w:top w:val="nil"/>
              <w:left w:val="single" w:sz="6" w:space="0" w:color="000000"/>
              <w:bottom w:val="nil"/>
              <w:right w:val="nil"/>
              <w:tl2br w:val="nil"/>
              <w:tr2bl w:val="nil"/>
            </w:tcBorders>
            <w:shd w:val="clear" w:color="auto" w:fill="FFFFFF"/>
            <w:tcMar>
              <w:left w:w="101" w:type="dxa"/>
              <w:right w:w="101" w:type="dxa"/>
            </w:tcMar>
            <w:vAlign w:val="bottom"/>
          </w:tcPr>
          <w:p w14:paraId="7EE628CF" w14:textId="77777777" w:rsidR="00724034" w:rsidRDefault="00FB7D0B">
            <w:pPr>
              <w:rPr>
                <w:rFonts w:ascii="Arial" w:eastAsia="Arial" w:hAnsi="Arial" w:cs="Arial"/>
                <w:color w:val="000000"/>
                <w:sz w:val="16"/>
              </w:rPr>
            </w:pPr>
            <w:r>
              <w:rPr>
                <w:rFonts w:ascii="Arial" w:eastAsia="Arial" w:hAnsi="Arial" w:cs="Arial"/>
                <w:color w:val="000000"/>
                <w:sz w:val="16"/>
              </w:rPr>
              <w:t>Programme support</w:t>
            </w:r>
          </w:p>
        </w:tc>
        <w:tc>
          <w:tcPr>
            <w:tcW w:w="0" w:type="auto"/>
            <w:tcBorders>
              <w:top w:val="nil"/>
              <w:left w:val="nil"/>
              <w:bottom w:val="nil"/>
              <w:right w:val="nil"/>
              <w:tl2br w:val="nil"/>
              <w:tr2bl w:val="nil"/>
            </w:tcBorders>
            <w:shd w:val="clear" w:color="auto" w:fill="FFFFFF"/>
            <w:tcMar>
              <w:left w:w="101" w:type="dxa"/>
              <w:right w:w="101" w:type="dxa"/>
            </w:tcMar>
            <w:vAlign w:val="bottom"/>
          </w:tcPr>
          <w:p w14:paraId="5EB87EDD" w14:textId="77777777" w:rsidR="00724034" w:rsidRDefault="00FB7D0B">
            <w:pPr>
              <w:jc w:val="right"/>
              <w:rPr>
                <w:rFonts w:ascii="Arial" w:eastAsia="Arial" w:hAnsi="Arial" w:cs="Arial"/>
                <w:color w:val="000000"/>
                <w:sz w:val="16"/>
                <w:vertAlign w:val="superscript"/>
              </w:rPr>
            </w:pPr>
            <w:r>
              <w:rPr>
                <w:rFonts w:ascii="Arial" w:eastAsia="Arial" w:hAnsi="Arial" w:cs="Arial"/>
                <w:color w:val="000000"/>
                <w:sz w:val="16"/>
              </w:rPr>
              <w:t>10,523 </w:t>
            </w:r>
          </w:p>
        </w:tc>
        <w:tc>
          <w:tcPr>
            <w:tcW w:w="0" w:type="auto"/>
            <w:tcBorders>
              <w:top w:val="nil"/>
              <w:left w:val="nil"/>
              <w:bottom w:val="nil"/>
              <w:right w:val="nil"/>
              <w:tl2br w:val="nil"/>
              <w:tr2bl w:val="nil"/>
            </w:tcBorders>
            <w:shd w:val="clear" w:color="auto" w:fill="FFFF00"/>
            <w:tcMar>
              <w:left w:w="101" w:type="dxa"/>
              <w:right w:w="101" w:type="dxa"/>
            </w:tcMar>
            <w:vAlign w:val="bottom"/>
          </w:tcPr>
          <w:p w14:paraId="66E7D340" w14:textId="77777777" w:rsidR="00724034" w:rsidRDefault="00FB7D0B">
            <w:pPr>
              <w:jc w:val="right"/>
              <w:rPr>
                <w:rFonts w:ascii="Arial" w:eastAsia="Arial" w:hAnsi="Arial" w:cs="Arial"/>
                <w:color w:val="000000"/>
                <w:sz w:val="16"/>
              </w:rPr>
            </w:pPr>
            <w:r>
              <w:rPr>
                <w:rFonts w:ascii="Arial" w:eastAsia="Arial" w:hAnsi="Arial" w:cs="Arial"/>
                <w:color w:val="000000"/>
                <w:sz w:val="16"/>
              </w:rPr>
              <w:t>10,323 </w:t>
            </w:r>
          </w:p>
        </w:tc>
        <w:tc>
          <w:tcPr>
            <w:tcW w:w="0" w:type="auto"/>
            <w:tcBorders>
              <w:top w:val="nil"/>
              <w:left w:val="nil"/>
              <w:bottom w:val="nil"/>
              <w:right w:val="nil"/>
              <w:tl2br w:val="nil"/>
              <w:tr2bl w:val="nil"/>
            </w:tcBorders>
            <w:shd w:val="clear" w:color="auto" w:fill="FFFFFF"/>
            <w:tcMar>
              <w:left w:w="101" w:type="dxa"/>
              <w:right w:w="101" w:type="dxa"/>
            </w:tcMar>
            <w:vAlign w:val="bottom"/>
          </w:tcPr>
          <w:p w14:paraId="66A03ED3" w14:textId="77777777" w:rsidR="00724034" w:rsidRDefault="00FB7D0B">
            <w:pPr>
              <w:jc w:val="right"/>
              <w:rPr>
                <w:rFonts w:ascii="Arial" w:eastAsia="Arial" w:hAnsi="Arial" w:cs="Arial"/>
                <w:color w:val="000000"/>
                <w:sz w:val="16"/>
              </w:rPr>
            </w:pPr>
            <w:r>
              <w:rPr>
                <w:rFonts w:ascii="Arial" w:eastAsia="Arial" w:hAnsi="Arial" w:cs="Arial"/>
                <w:color w:val="000000"/>
                <w:sz w:val="16"/>
              </w:rPr>
              <w:t>10,038 </w:t>
            </w:r>
          </w:p>
        </w:tc>
        <w:tc>
          <w:tcPr>
            <w:tcW w:w="0" w:type="auto"/>
            <w:tcBorders>
              <w:top w:val="nil"/>
              <w:left w:val="nil"/>
              <w:bottom w:val="nil"/>
              <w:right w:val="nil"/>
              <w:tl2br w:val="nil"/>
              <w:tr2bl w:val="nil"/>
            </w:tcBorders>
            <w:shd w:val="clear" w:color="auto" w:fill="FFFFFF"/>
            <w:tcMar>
              <w:left w:w="101" w:type="dxa"/>
              <w:right w:w="101" w:type="dxa"/>
            </w:tcMar>
            <w:vAlign w:val="bottom"/>
          </w:tcPr>
          <w:p w14:paraId="2C97192B" w14:textId="77777777" w:rsidR="00724034" w:rsidRDefault="00FB7D0B">
            <w:pPr>
              <w:jc w:val="right"/>
              <w:rPr>
                <w:rFonts w:ascii="Arial" w:eastAsia="Arial" w:hAnsi="Arial" w:cs="Arial"/>
                <w:color w:val="000000"/>
                <w:sz w:val="16"/>
              </w:rPr>
            </w:pPr>
            <w:r>
              <w:rPr>
                <w:rFonts w:ascii="Arial" w:eastAsia="Arial" w:hAnsi="Arial" w:cs="Arial"/>
                <w:color w:val="000000"/>
                <w:sz w:val="16"/>
              </w:rPr>
              <w:t>9,726 </w:t>
            </w:r>
          </w:p>
        </w:tc>
        <w:tc>
          <w:tcPr>
            <w:tcW w:w="0" w:type="auto"/>
            <w:tcBorders>
              <w:top w:val="nil"/>
              <w:left w:val="nil"/>
              <w:bottom w:val="nil"/>
              <w:right w:val="single" w:sz="6" w:space="0" w:color="000000"/>
              <w:tl2br w:val="nil"/>
              <w:tr2bl w:val="nil"/>
            </w:tcBorders>
            <w:shd w:val="clear" w:color="auto" w:fill="FFFFFF"/>
            <w:tcMar>
              <w:left w:w="101" w:type="dxa"/>
              <w:right w:w="101" w:type="dxa"/>
            </w:tcMar>
            <w:vAlign w:val="bottom"/>
          </w:tcPr>
          <w:p w14:paraId="3BAD4B68" w14:textId="77777777" w:rsidR="00724034" w:rsidRDefault="00FB7D0B">
            <w:pPr>
              <w:jc w:val="right"/>
              <w:rPr>
                <w:rFonts w:ascii="Arial" w:eastAsia="Arial" w:hAnsi="Arial" w:cs="Arial"/>
                <w:color w:val="000000"/>
                <w:sz w:val="16"/>
              </w:rPr>
            </w:pPr>
            <w:r>
              <w:rPr>
                <w:rFonts w:ascii="Arial" w:eastAsia="Arial" w:hAnsi="Arial" w:cs="Arial"/>
                <w:color w:val="000000"/>
                <w:sz w:val="16"/>
              </w:rPr>
              <w:t>9,857 </w:t>
            </w:r>
          </w:p>
        </w:tc>
      </w:tr>
      <w:tr w:rsidR="00FB7D0B" w14:paraId="4768133A" w14:textId="77777777" w:rsidTr="00FB7D0B">
        <w:tblPrEx>
          <w:tblLook w:val="04A0" w:firstRow="1" w:lastRow="0" w:firstColumn="1" w:lastColumn="0" w:noHBand="0" w:noVBand="1"/>
        </w:tblPrEx>
        <w:trPr>
          <w:trHeight w:val="450"/>
        </w:trPr>
        <w:tc>
          <w:tcPr>
            <w:tcW w:w="0" w:type="auto"/>
            <w:gridSpan w:val="3"/>
            <w:tcBorders>
              <w:top w:val="single" w:sz="6" w:space="0" w:color="FFFFFF"/>
              <w:left w:val="single" w:sz="6" w:space="0" w:color="000000"/>
              <w:bottom w:val="single" w:sz="6" w:space="0" w:color="FFFFFF"/>
              <w:right w:val="nil"/>
              <w:tl2br w:val="nil"/>
              <w:tr2bl w:val="nil"/>
            </w:tcBorders>
            <w:shd w:val="clear" w:color="auto" w:fill="FFFFFF"/>
            <w:tcMar>
              <w:left w:w="101" w:type="dxa"/>
              <w:right w:w="101" w:type="dxa"/>
            </w:tcMar>
            <w:vAlign w:val="bottom"/>
          </w:tcPr>
          <w:p w14:paraId="6BEC2C3E" w14:textId="77777777" w:rsidR="00724034" w:rsidRDefault="00FB7D0B">
            <w:pPr>
              <w:rPr>
                <w:rFonts w:ascii="Arial" w:eastAsia="Arial" w:hAnsi="Arial" w:cs="Arial"/>
                <w:color w:val="000000"/>
                <w:sz w:val="16"/>
              </w:rPr>
            </w:pPr>
            <w:r>
              <w:rPr>
                <w:rFonts w:ascii="Arial" w:eastAsia="Arial" w:hAnsi="Arial" w:cs="Arial"/>
                <w:color w:val="000000"/>
                <w:sz w:val="16"/>
              </w:rPr>
              <w:t>Expenses not requiring appropriation in the Budget year</w:t>
            </w:r>
            <w:r>
              <w:rPr>
                <w:rFonts w:ascii="Arial" w:eastAsia="Arial" w:hAnsi="Arial" w:cs="Arial"/>
                <w:color w:val="000000"/>
                <w:sz w:val="16"/>
                <w:vertAlign w:val="superscript"/>
              </w:rPr>
              <w:t>1 </w:t>
            </w:r>
          </w:p>
        </w:tc>
        <w:tc>
          <w:tcPr>
            <w:tcW w:w="0" w:type="auto"/>
            <w:tcBorders>
              <w:top w:val="nil"/>
              <w:left w:val="nil"/>
              <w:bottom w:val="nil"/>
              <w:right w:val="nil"/>
              <w:tl2br w:val="nil"/>
              <w:tr2bl w:val="nil"/>
            </w:tcBorders>
            <w:shd w:val="clear" w:color="auto" w:fill="FFFFFF"/>
            <w:tcMar>
              <w:left w:w="101" w:type="dxa"/>
              <w:right w:w="101" w:type="dxa"/>
            </w:tcMar>
            <w:vAlign w:val="bottom"/>
          </w:tcPr>
          <w:p w14:paraId="5E6A44EE" w14:textId="77777777" w:rsidR="00724034" w:rsidRDefault="00FB7D0B">
            <w:pPr>
              <w:jc w:val="right"/>
              <w:rPr>
                <w:rFonts w:ascii="Arial" w:eastAsia="Arial" w:hAnsi="Arial" w:cs="Arial"/>
                <w:color w:val="000000"/>
                <w:sz w:val="16"/>
                <w:vertAlign w:val="superscript"/>
              </w:rPr>
            </w:pPr>
            <w:r>
              <w:rPr>
                <w:rFonts w:ascii="Arial" w:eastAsia="Arial" w:hAnsi="Arial" w:cs="Arial"/>
                <w:color w:val="000000"/>
                <w:sz w:val="16"/>
              </w:rPr>
              <w:t>1,116 </w:t>
            </w:r>
          </w:p>
        </w:tc>
        <w:tc>
          <w:tcPr>
            <w:tcW w:w="0" w:type="auto"/>
            <w:tcBorders>
              <w:top w:val="nil"/>
              <w:left w:val="nil"/>
              <w:bottom w:val="nil"/>
              <w:right w:val="nil"/>
              <w:tl2br w:val="nil"/>
              <w:tr2bl w:val="nil"/>
            </w:tcBorders>
            <w:shd w:val="clear" w:color="auto" w:fill="FFFF00"/>
            <w:tcMar>
              <w:left w:w="101" w:type="dxa"/>
              <w:right w:w="101" w:type="dxa"/>
            </w:tcMar>
            <w:vAlign w:val="bottom"/>
          </w:tcPr>
          <w:p w14:paraId="2DE3395A" w14:textId="77777777" w:rsidR="00724034" w:rsidRDefault="00FB7D0B">
            <w:pPr>
              <w:jc w:val="right"/>
              <w:rPr>
                <w:rFonts w:ascii="Arial" w:eastAsia="Arial" w:hAnsi="Arial" w:cs="Arial"/>
                <w:color w:val="000000"/>
                <w:sz w:val="16"/>
              </w:rPr>
            </w:pPr>
            <w:r>
              <w:rPr>
                <w:rFonts w:ascii="Arial" w:eastAsia="Arial" w:hAnsi="Arial" w:cs="Arial"/>
                <w:color w:val="000000"/>
                <w:sz w:val="16"/>
              </w:rPr>
              <w:t>1,254 </w:t>
            </w:r>
          </w:p>
        </w:tc>
        <w:tc>
          <w:tcPr>
            <w:tcW w:w="0" w:type="auto"/>
            <w:tcBorders>
              <w:top w:val="nil"/>
              <w:left w:val="nil"/>
              <w:bottom w:val="nil"/>
              <w:right w:val="nil"/>
              <w:tl2br w:val="nil"/>
              <w:tr2bl w:val="nil"/>
            </w:tcBorders>
            <w:shd w:val="clear" w:color="auto" w:fill="FFFFFF"/>
            <w:tcMar>
              <w:left w:w="101" w:type="dxa"/>
              <w:right w:w="101" w:type="dxa"/>
            </w:tcMar>
            <w:vAlign w:val="bottom"/>
          </w:tcPr>
          <w:p w14:paraId="011BF1D7" w14:textId="77777777" w:rsidR="00724034" w:rsidRDefault="00FB7D0B">
            <w:pPr>
              <w:jc w:val="right"/>
              <w:rPr>
                <w:rFonts w:ascii="Arial" w:eastAsia="Arial" w:hAnsi="Arial" w:cs="Arial"/>
                <w:color w:val="000000"/>
                <w:sz w:val="16"/>
              </w:rPr>
            </w:pPr>
            <w:r>
              <w:rPr>
                <w:rFonts w:ascii="Arial" w:eastAsia="Arial" w:hAnsi="Arial" w:cs="Arial"/>
                <w:color w:val="000000"/>
                <w:sz w:val="16"/>
              </w:rPr>
              <w:t>1,145 </w:t>
            </w:r>
          </w:p>
        </w:tc>
        <w:tc>
          <w:tcPr>
            <w:tcW w:w="0" w:type="auto"/>
            <w:tcBorders>
              <w:top w:val="nil"/>
              <w:left w:val="nil"/>
              <w:bottom w:val="nil"/>
              <w:right w:val="nil"/>
              <w:tl2br w:val="nil"/>
              <w:tr2bl w:val="nil"/>
            </w:tcBorders>
            <w:shd w:val="clear" w:color="auto" w:fill="FFFFFF"/>
            <w:tcMar>
              <w:left w:w="101" w:type="dxa"/>
              <w:right w:w="101" w:type="dxa"/>
            </w:tcMar>
            <w:vAlign w:val="bottom"/>
          </w:tcPr>
          <w:p w14:paraId="281964CD" w14:textId="77777777" w:rsidR="00724034" w:rsidRDefault="00FB7D0B">
            <w:pPr>
              <w:jc w:val="right"/>
              <w:rPr>
                <w:rFonts w:ascii="Arial" w:eastAsia="Arial" w:hAnsi="Arial" w:cs="Arial"/>
                <w:color w:val="000000"/>
                <w:sz w:val="16"/>
              </w:rPr>
            </w:pPr>
            <w:r>
              <w:rPr>
                <w:rFonts w:ascii="Arial" w:eastAsia="Arial" w:hAnsi="Arial" w:cs="Arial"/>
                <w:color w:val="000000"/>
                <w:sz w:val="16"/>
              </w:rPr>
              <w:t>1,044 </w:t>
            </w:r>
          </w:p>
        </w:tc>
        <w:tc>
          <w:tcPr>
            <w:tcW w:w="0" w:type="auto"/>
            <w:tcBorders>
              <w:top w:val="nil"/>
              <w:left w:val="nil"/>
              <w:bottom w:val="nil"/>
              <w:right w:val="single" w:sz="6" w:space="0" w:color="000000"/>
              <w:tl2br w:val="nil"/>
              <w:tr2bl w:val="nil"/>
            </w:tcBorders>
            <w:shd w:val="clear" w:color="auto" w:fill="FFFFFF"/>
            <w:tcMar>
              <w:left w:w="101" w:type="dxa"/>
              <w:right w:w="101" w:type="dxa"/>
            </w:tcMar>
            <w:vAlign w:val="bottom"/>
          </w:tcPr>
          <w:p w14:paraId="713CDFF1" w14:textId="77777777" w:rsidR="00724034" w:rsidRDefault="00FB7D0B">
            <w:pPr>
              <w:jc w:val="right"/>
              <w:rPr>
                <w:rFonts w:ascii="Arial" w:eastAsia="Arial" w:hAnsi="Arial" w:cs="Arial"/>
                <w:color w:val="000000"/>
                <w:sz w:val="16"/>
              </w:rPr>
            </w:pPr>
            <w:r>
              <w:rPr>
                <w:rFonts w:ascii="Arial" w:eastAsia="Arial" w:hAnsi="Arial" w:cs="Arial"/>
                <w:color w:val="000000"/>
                <w:sz w:val="16"/>
              </w:rPr>
              <w:t>874 </w:t>
            </w:r>
          </w:p>
        </w:tc>
      </w:tr>
      <w:tr w:rsidR="00724034" w14:paraId="70D1E800" w14:textId="77777777">
        <w:tblPrEx>
          <w:tblLook w:val="04A0" w:firstRow="1" w:lastRow="0" w:firstColumn="1" w:lastColumn="0" w:noHBand="0" w:noVBand="1"/>
        </w:tblPrEx>
        <w:trPr>
          <w:trHeight w:val="60"/>
        </w:trPr>
        <w:tc>
          <w:tcPr>
            <w:tcW w:w="0" w:type="auto"/>
            <w:tcBorders>
              <w:top w:val="single" w:sz="6" w:space="0" w:color="FFFFFF"/>
              <w:left w:val="single" w:sz="6" w:space="0" w:color="000000"/>
              <w:bottom w:val="nil"/>
              <w:right w:val="nil"/>
              <w:tl2br w:val="nil"/>
              <w:tr2bl w:val="nil"/>
            </w:tcBorders>
            <w:shd w:val="clear" w:color="auto" w:fill="FFFFFF"/>
            <w:tcMar>
              <w:left w:w="101" w:type="dxa"/>
              <w:right w:w="101" w:type="dxa"/>
            </w:tcMar>
            <w:vAlign w:val="bottom"/>
          </w:tcPr>
          <w:p w14:paraId="7EB6853D" w14:textId="77777777" w:rsidR="00724034" w:rsidRDefault="00724034">
            <w:pPr>
              <w:rPr>
                <w:rFonts w:ascii="Arial" w:eastAsia="Arial" w:hAnsi="Arial" w:cs="Arial"/>
                <w:color w:val="000000"/>
                <w:sz w:val="16"/>
              </w:rPr>
            </w:pPr>
          </w:p>
        </w:tc>
        <w:tc>
          <w:tcPr>
            <w:tcW w:w="0" w:type="auto"/>
            <w:tcBorders>
              <w:top w:val="single" w:sz="6" w:space="0" w:color="FFFFFF"/>
              <w:left w:val="nil"/>
              <w:bottom w:val="nil"/>
              <w:right w:val="nil"/>
              <w:tl2br w:val="nil"/>
              <w:tr2bl w:val="nil"/>
            </w:tcBorders>
            <w:shd w:val="clear" w:color="auto" w:fill="FFFFFF"/>
            <w:tcMar>
              <w:left w:w="101" w:type="dxa"/>
              <w:right w:w="101" w:type="dxa"/>
            </w:tcMar>
            <w:vAlign w:val="bottom"/>
          </w:tcPr>
          <w:p w14:paraId="3B2267F3" w14:textId="77777777" w:rsidR="00724034" w:rsidRDefault="00724034">
            <w:pPr>
              <w:rPr>
                <w:rFonts w:ascii="Arial" w:eastAsia="Arial" w:hAnsi="Arial" w:cs="Arial"/>
                <w:color w:val="000000"/>
                <w:sz w:val="16"/>
              </w:rPr>
            </w:pPr>
          </w:p>
        </w:tc>
        <w:tc>
          <w:tcPr>
            <w:tcW w:w="0" w:type="auto"/>
            <w:tcBorders>
              <w:top w:val="single" w:sz="6" w:space="0" w:color="FFFFFF"/>
              <w:left w:val="nil"/>
              <w:bottom w:val="nil"/>
              <w:right w:val="nil"/>
              <w:tl2br w:val="nil"/>
              <w:tr2bl w:val="nil"/>
            </w:tcBorders>
            <w:shd w:val="clear" w:color="auto" w:fill="FFFFFF"/>
            <w:tcMar>
              <w:left w:w="101" w:type="dxa"/>
              <w:right w:w="101" w:type="dxa"/>
            </w:tcMar>
            <w:vAlign w:val="bottom"/>
          </w:tcPr>
          <w:p w14:paraId="31FAB99C" w14:textId="77777777" w:rsidR="00724034" w:rsidRDefault="00724034">
            <w:pPr>
              <w:rPr>
                <w:rFonts w:ascii="Arial" w:eastAsia="Arial" w:hAnsi="Arial" w:cs="Arial"/>
                <w:color w:val="000000"/>
                <w:sz w:val="20"/>
              </w:rPr>
            </w:pPr>
          </w:p>
        </w:tc>
        <w:tc>
          <w:tcPr>
            <w:tcW w:w="0" w:type="auto"/>
            <w:tcBorders>
              <w:top w:val="nil"/>
              <w:left w:val="nil"/>
              <w:bottom w:val="single" w:sz="6" w:space="0" w:color="000000"/>
              <w:right w:val="nil"/>
              <w:tl2br w:val="nil"/>
              <w:tr2bl w:val="nil"/>
            </w:tcBorders>
            <w:shd w:val="clear" w:color="auto" w:fill="FFFFFF"/>
            <w:tcMar>
              <w:left w:w="101" w:type="dxa"/>
              <w:right w:w="101" w:type="dxa"/>
            </w:tcMar>
            <w:vAlign w:val="bottom"/>
          </w:tcPr>
          <w:p w14:paraId="7AAF5176" w14:textId="77777777" w:rsidR="00724034" w:rsidRDefault="00724034">
            <w:pPr>
              <w:jc w:val="right"/>
              <w:rPr>
                <w:rFonts w:ascii="Arial" w:eastAsia="Arial" w:hAnsi="Arial" w:cs="Arial"/>
                <w:color w:val="000000"/>
                <w:sz w:val="16"/>
                <w:vertAlign w:val="superscript"/>
              </w:rPr>
            </w:pPr>
          </w:p>
        </w:tc>
        <w:tc>
          <w:tcPr>
            <w:tcW w:w="0" w:type="auto"/>
            <w:tcBorders>
              <w:top w:val="nil"/>
              <w:left w:val="nil"/>
              <w:bottom w:val="single" w:sz="6" w:space="0" w:color="000000"/>
              <w:right w:val="nil"/>
              <w:tl2br w:val="nil"/>
              <w:tr2bl w:val="nil"/>
            </w:tcBorders>
            <w:shd w:val="clear" w:color="auto" w:fill="FFFF00"/>
            <w:tcMar>
              <w:left w:w="101" w:type="dxa"/>
              <w:right w:w="101" w:type="dxa"/>
            </w:tcMar>
            <w:vAlign w:val="bottom"/>
          </w:tcPr>
          <w:p w14:paraId="32D51A1F" w14:textId="77777777" w:rsidR="00724034" w:rsidRDefault="00724034">
            <w:pPr>
              <w:jc w:val="right"/>
              <w:rPr>
                <w:rFonts w:ascii="Arial" w:eastAsia="Arial" w:hAnsi="Arial" w:cs="Arial"/>
                <w:color w:val="000000"/>
                <w:sz w:val="16"/>
                <w:vertAlign w:val="superscript"/>
              </w:rPr>
            </w:pPr>
          </w:p>
        </w:tc>
        <w:tc>
          <w:tcPr>
            <w:tcW w:w="0" w:type="auto"/>
            <w:tcBorders>
              <w:top w:val="nil"/>
              <w:left w:val="nil"/>
              <w:bottom w:val="single" w:sz="6" w:space="0" w:color="000000"/>
              <w:right w:val="nil"/>
              <w:tl2br w:val="nil"/>
              <w:tr2bl w:val="nil"/>
            </w:tcBorders>
            <w:shd w:val="clear" w:color="auto" w:fill="FFFFFF"/>
            <w:tcMar>
              <w:left w:w="101" w:type="dxa"/>
              <w:right w:w="101" w:type="dxa"/>
            </w:tcMar>
            <w:vAlign w:val="bottom"/>
          </w:tcPr>
          <w:p w14:paraId="3457F3A6" w14:textId="77777777" w:rsidR="00724034" w:rsidRDefault="00724034">
            <w:pPr>
              <w:jc w:val="right"/>
              <w:rPr>
                <w:rFonts w:ascii="Arial" w:eastAsia="Arial" w:hAnsi="Arial" w:cs="Arial"/>
                <w:color w:val="000000"/>
                <w:sz w:val="16"/>
                <w:vertAlign w:val="superscript"/>
              </w:rPr>
            </w:pPr>
          </w:p>
        </w:tc>
        <w:tc>
          <w:tcPr>
            <w:tcW w:w="0" w:type="auto"/>
            <w:tcBorders>
              <w:top w:val="nil"/>
              <w:left w:val="nil"/>
              <w:bottom w:val="single" w:sz="6" w:space="0" w:color="000000"/>
              <w:right w:val="nil"/>
              <w:tl2br w:val="nil"/>
              <w:tr2bl w:val="nil"/>
            </w:tcBorders>
            <w:shd w:val="clear" w:color="auto" w:fill="FFFFFF"/>
            <w:tcMar>
              <w:left w:w="101" w:type="dxa"/>
              <w:right w:w="101" w:type="dxa"/>
            </w:tcMar>
            <w:vAlign w:val="bottom"/>
          </w:tcPr>
          <w:p w14:paraId="2D2AFFB9" w14:textId="77777777" w:rsidR="00724034" w:rsidRDefault="00724034">
            <w:pPr>
              <w:jc w:val="right"/>
              <w:rPr>
                <w:rFonts w:ascii="Arial" w:eastAsia="Arial" w:hAnsi="Arial" w:cs="Arial"/>
                <w:color w:val="000000"/>
                <w:sz w:val="16"/>
                <w:vertAlign w:val="superscript"/>
              </w:rPr>
            </w:pPr>
          </w:p>
        </w:tc>
        <w:tc>
          <w:tcPr>
            <w:tcW w:w="0" w:type="auto"/>
            <w:tcBorders>
              <w:top w:val="nil"/>
              <w:left w:val="nil"/>
              <w:bottom w:val="single" w:sz="6" w:space="0" w:color="000000"/>
              <w:right w:val="single" w:sz="6" w:space="0" w:color="000000"/>
              <w:tl2br w:val="nil"/>
              <w:tr2bl w:val="nil"/>
            </w:tcBorders>
            <w:shd w:val="clear" w:color="auto" w:fill="FFFFFF"/>
            <w:tcMar>
              <w:left w:w="101" w:type="dxa"/>
              <w:right w:w="101" w:type="dxa"/>
            </w:tcMar>
            <w:vAlign w:val="bottom"/>
          </w:tcPr>
          <w:p w14:paraId="65A11C92" w14:textId="77777777" w:rsidR="00724034" w:rsidRDefault="00724034">
            <w:pPr>
              <w:jc w:val="right"/>
              <w:rPr>
                <w:rFonts w:ascii="Arial" w:eastAsia="Arial" w:hAnsi="Arial" w:cs="Arial"/>
                <w:color w:val="000000"/>
                <w:sz w:val="16"/>
                <w:vertAlign w:val="superscript"/>
              </w:rPr>
            </w:pPr>
          </w:p>
        </w:tc>
      </w:tr>
      <w:tr w:rsidR="00FB7D0B" w14:paraId="0938F19F" w14:textId="77777777" w:rsidTr="00FB7D0B">
        <w:tblPrEx>
          <w:tblLook w:val="04A0" w:firstRow="1" w:lastRow="0" w:firstColumn="1" w:lastColumn="0" w:noHBand="0" w:noVBand="1"/>
        </w:tblPrEx>
        <w:trPr>
          <w:trHeight w:val="225"/>
        </w:trPr>
        <w:tc>
          <w:tcPr>
            <w:tcW w:w="0" w:type="auto"/>
            <w:gridSpan w:val="3"/>
            <w:tcBorders>
              <w:top w:val="nil"/>
              <w:left w:val="single" w:sz="6" w:space="0" w:color="000000"/>
              <w:bottom w:val="single" w:sz="6" w:space="0" w:color="000000"/>
              <w:right w:val="nil"/>
              <w:tl2br w:val="nil"/>
              <w:tr2bl w:val="nil"/>
            </w:tcBorders>
            <w:shd w:val="clear" w:color="auto" w:fill="FFFFFF"/>
            <w:tcMar>
              <w:left w:w="101" w:type="dxa"/>
              <w:right w:w="101" w:type="dxa"/>
            </w:tcMar>
            <w:vAlign w:val="bottom"/>
          </w:tcPr>
          <w:p w14:paraId="3FBE3578" w14:textId="77777777" w:rsidR="00724034" w:rsidRDefault="00FB7D0B">
            <w:pPr>
              <w:rPr>
                <w:rFonts w:ascii="Arial" w:eastAsia="Arial" w:hAnsi="Arial" w:cs="Arial"/>
                <w:color w:val="000000"/>
                <w:sz w:val="16"/>
                <w:vertAlign w:val="superscript"/>
              </w:rPr>
            </w:pPr>
            <w:r>
              <w:rPr>
                <w:rFonts w:ascii="Arial" w:eastAsia="Arial" w:hAnsi="Arial" w:cs="Arial"/>
                <w:b/>
                <w:color w:val="000000"/>
                <w:sz w:val="16"/>
              </w:rPr>
              <w:t xml:space="preserve">Total programme expenses </w:t>
            </w:r>
          </w:p>
        </w:tc>
        <w:tc>
          <w:tcPr>
            <w:tcW w:w="0" w:type="auto"/>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7F1624F7" w14:textId="77777777" w:rsidR="00724034" w:rsidRDefault="00FB7D0B">
            <w:pPr>
              <w:jc w:val="right"/>
              <w:rPr>
                <w:rFonts w:ascii="Arial" w:eastAsia="Arial" w:hAnsi="Arial" w:cs="Arial"/>
                <w:b/>
                <w:color w:val="000000"/>
                <w:sz w:val="16"/>
                <w:vertAlign w:val="superscript"/>
              </w:rPr>
            </w:pPr>
            <w:r>
              <w:rPr>
                <w:rFonts w:ascii="Arial" w:eastAsia="Arial" w:hAnsi="Arial" w:cs="Arial"/>
                <w:b/>
                <w:color w:val="000000"/>
                <w:sz w:val="16"/>
              </w:rPr>
              <w:t>1,857,610 </w:t>
            </w:r>
          </w:p>
        </w:tc>
        <w:tc>
          <w:tcPr>
            <w:tcW w:w="0" w:type="auto"/>
            <w:tcBorders>
              <w:top w:val="single" w:sz="6" w:space="0" w:color="000000"/>
              <w:left w:val="nil"/>
              <w:bottom w:val="single" w:sz="6" w:space="0" w:color="000000"/>
              <w:right w:val="nil"/>
              <w:tl2br w:val="nil"/>
              <w:tr2bl w:val="nil"/>
            </w:tcBorders>
            <w:shd w:val="clear" w:color="auto" w:fill="FFFF00"/>
            <w:tcMar>
              <w:left w:w="101" w:type="dxa"/>
              <w:right w:w="101" w:type="dxa"/>
            </w:tcMar>
            <w:vAlign w:val="bottom"/>
          </w:tcPr>
          <w:p w14:paraId="0F9518E9" w14:textId="77777777" w:rsidR="00724034" w:rsidRDefault="00FB7D0B">
            <w:pPr>
              <w:jc w:val="right"/>
              <w:rPr>
                <w:rFonts w:ascii="Arial" w:eastAsia="Arial" w:hAnsi="Arial" w:cs="Arial"/>
                <w:b/>
                <w:color w:val="000000"/>
                <w:sz w:val="16"/>
              </w:rPr>
            </w:pPr>
            <w:r>
              <w:rPr>
                <w:rFonts w:ascii="Arial" w:eastAsia="Arial" w:hAnsi="Arial" w:cs="Arial"/>
                <w:b/>
                <w:color w:val="000000"/>
                <w:sz w:val="16"/>
              </w:rPr>
              <w:t>1,823,446 </w:t>
            </w:r>
          </w:p>
        </w:tc>
        <w:tc>
          <w:tcPr>
            <w:tcW w:w="0" w:type="auto"/>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65E95BD0" w14:textId="77777777" w:rsidR="00724034" w:rsidRDefault="00FB7D0B">
            <w:pPr>
              <w:jc w:val="right"/>
              <w:rPr>
                <w:rFonts w:ascii="Arial" w:eastAsia="Arial" w:hAnsi="Arial" w:cs="Arial"/>
                <w:b/>
                <w:color w:val="000000"/>
                <w:sz w:val="16"/>
              </w:rPr>
            </w:pPr>
            <w:r>
              <w:rPr>
                <w:rFonts w:ascii="Arial" w:eastAsia="Arial" w:hAnsi="Arial" w:cs="Arial"/>
                <w:b/>
                <w:color w:val="000000"/>
                <w:sz w:val="16"/>
              </w:rPr>
              <w:t>1,755,442 </w:t>
            </w:r>
          </w:p>
        </w:tc>
        <w:tc>
          <w:tcPr>
            <w:tcW w:w="0" w:type="auto"/>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44742B1B" w14:textId="77777777" w:rsidR="00724034" w:rsidRDefault="00FB7D0B">
            <w:pPr>
              <w:jc w:val="right"/>
              <w:rPr>
                <w:rFonts w:ascii="Arial" w:eastAsia="Arial" w:hAnsi="Arial" w:cs="Arial"/>
                <w:b/>
                <w:color w:val="000000"/>
                <w:sz w:val="16"/>
              </w:rPr>
            </w:pPr>
            <w:r>
              <w:rPr>
                <w:rFonts w:ascii="Arial" w:eastAsia="Arial" w:hAnsi="Arial" w:cs="Arial"/>
                <w:b/>
                <w:color w:val="000000"/>
                <w:sz w:val="16"/>
              </w:rPr>
              <w:t>1,662,177 </w:t>
            </w:r>
          </w:p>
        </w:tc>
        <w:tc>
          <w:tcPr>
            <w:tcW w:w="0" w:type="auto"/>
            <w:tcBorders>
              <w:top w:val="single" w:sz="6" w:space="0" w:color="000000"/>
              <w:left w:val="nil"/>
              <w:bottom w:val="single" w:sz="6" w:space="0" w:color="000000"/>
              <w:right w:val="single" w:sz="6" w:space="0" w:color="000000"/>
              <w:tl2br w:val="nil"/>
              <w:tr2bl w:val="nil"/>
            </w:tcBorders>
            <w:shd w:val="clear" w:color="auto" w:fill="FFFFFF"/>
            <w:tcMar>
              <w:left w:w="101" w:type="dxa"/>
              <w:right w:w="101" w:type="dxa"/>
            </w:tcMar>
            <w:vAlign w:val="bottom"/>
          </w:tcPr>
          <w:p w14:paraId="37A67DE8" w14:textId="77777777" w:rsidR="00724034" w:rsidRDefault="00FB7D0B">
            <w:pPr>
              <w:jc w:val="right"/>
              <w:rPr>
                <w:rFonts w:ascii="Arial" w:eastAsia="Arial" w:hAnsi="Arial" w:cs="Arial"/>
                <w:b/>
                <w:color w:val="000000"/>
                <w:sz w:val="16"/>
              </w:rPr>
            </w:pPr>
            <w:r>
              <w:rPr>
                <w:rFonts w:ascii="Arial" w:eastAsia="Arial" w:hAnsi="Arial" w:cs="Arial"/>
                <w:b/>
                <w:color w:val="000000"/>
                <w:sz w:val="16"/>
              </w:rPr>
              <w:t>1,549,796 </w:t>
            </w:r>
          </w:p>
        </w:tc>
      </w:tr>
    </w:tbl>
    <w:p w14:paraId="689A070C" w14:textId="77777777" w:rsidR="00724034" w:rsidRDefault="00724034">
      <w:pPr>
        <w:rPr>
          <w:rFonts w:ascii="Times New Roman" w:eastAsia="Times New Roman" w:hAnsi="Times New Roman" w:cs="Times New Roman"/>
        </w:rPr>
      </w:pPr>
    </w:p>
    <w:p w14:paraId="780D5097" w14:textId="77777777" w:rsidR="003F0EEA" w:rsidRPr="004D4F1D" w:rsidRDefault="00FB7D0B" w:rsidP="003F0EEA">
      <w:pPr>
        <w:pStyle w:val="ListParagraph5"/>
        <w:numPr>
          <w:ilvl w:val="0"/>
          <w:numId w:val="16"/>
        </w:numPr>
        <w:spacing w:after="200" w:line="276" w:lineRule="auto"/>
        <w:ind w:left="284" w:hanging="284"/>
        <w:rPr>
          <w:rFonts w:ascii="Arial" w:eastAsia="Calibri" w:hAnsi="Arial" w:cs="Arial"/>
          <w:sz w:val="16"/>
          <w:szCs w:val="16"/>
          <w:lang w:eastAsia="en-US"/>
        </w:rPr>
      </w:pPr>
      <w:r w:rsidRPr="004D4F1D">
        <w:rPr>
          <w:rFonts w:ascii="Arial" w:eastAsia="Calibri" w:hAnsi="Arial" w:cs="Arial"/>
          <w:sz w:val="16"/>
          <w:szCs w:val="16"/>
          <w:lang w:eastAsia="en-US"/>
        </w:rPr>
        <w:t xml:space="preserve">Expenses not requiring appropriation in the Budget year is made up of Depreciation Expense, Amortisation </w:t>
      </w:r>
      <w:r w:rsidRPr="004D4F1D">
        <w:rPr>
          <w:rFonts w:ascii="Arial" w:eastAsia="Calibri" w:hAnsi="Arial" w:cs="Arial"/>
          <w:sz w:val="16"/>
          <w:szCs w:val="16"/>
          <w:lang w:eastAsia="en-US"/>
        </w:rPr>
        <w:br/>
        <w:t xml:space="preserve">Expense and Resources Received Free of Charge. </w:t>
      </w:r>
    </w:p>
    <w:p w14:paraId="31D9AD03" w14:textId="77777777" w:rsidR="003F0EEA" w:rsidRPr="004D4F1D" w:rsidRDefault="00FB7D0B">
      <w:pPr>
        <w:spacing w:line="14" w:lineRule="exact"/>
        <w:rPr>
          <w:rFonts w:ascii="Arial" w:hAnsi="Arial" w:cs="Arial"/>
          <w:sz w:val="16"/>
          <w:szCs w:val="16"/>
          <w:lang w:eastAsia="en-US"/>
        </w:rPr>
      </w:pPr>
      <w:r w:rsidRPr="004D4F1D">
        <w:rPr>
          <w:rFonts w:ascii="Arial" w:hAnsi="Arial" w:cs="Arial"/>
          <w:sz w:val="16"/>
          <w:szCs w:val="16"/>
          <w:lang w:eastAsia="en-US"/>
        </w:rPr>
        <w:br w:type="page"/>
      </w:r>
    </w:p>
    <w:tbl>
      <w:tblPr>
        <w:tblW w:w="8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80"/>
      </w:tblGrid>
      <w:tr w:rsidR="00724034" w14:paraId="53D22E6D" w14:textId="77777777" w:rsidTr="003F0EEA">
        <w:tc>
          <w:tcPr>
            <w:tcW w:w="8080" w:type="dxa"/>
            <w:tcBorders>
              <w:top w:val="single" w:sz="4" w:space="0" w:color="auto"/>
              <w:left w:val="single" w:sz="4" w:space="0" w:color="auto"/>
              <w:bottom w:val="single" w:sz="4" w:space="0" w:color="auto"/>
              <w:right w:val="single" w:sz="4" w:space="0" w:color="auto"/>
            </w:tcBorders>
            <w:shd w:val="clear" w:color="auto" w:fill="E6E6E6"/>
          </w:tcPr>
          <w:p w14:paraId="06CF252F" w14:textId="77777777" w:rsidR="003F0EEA" w:rsidRPr="00123F29" w:rsidRDefault="00FB7D0B">
            <w:pPr>
              <w:pStyle w:val="TableTextLeft6"/>
              <w:rPr>
                <w:b/>
              </w:rPr>
            </w:pPr>
            <w:r w:rsidRPr="00123F29">
              <w:rPr>
                <w:b/>
                <w:sz w:val="20"/>
              </w:rPr>
              <w:t>Program</w:t>
            </w:r>
            <w:r>
              <w:rPr>
                <w:b/>
                <w:sz w:val="20"/>
              </w:rPr>
              <w:t>me</w:t>
            </w:r>
            <w:r w:rsidRPr="00123F29">
              <w:rPr>
                <w:b/>
                <w:sz w:val="20"/>
              </w:rPr>
              <w:t xml:space="preserve"> 1.3: Assistance to Defence Widow/ers and Dependants (continued)</w:t>
            </w:r>
          </w:p>
        </w:tc>
      </w:tr>
      <w:tr w:rsidR="00724034" w14:paraId="1809C739" w14:textId="77777777" w:rsidTr="003F0EEA">
        <w:tc>
          <w:tcPr>
            <w:tcW w:w="8080" w:type="dxa"/>
            <w:tcBorders>
              <w:top w:val="single" w:sz="4" w:space="0" w:color="auto"/>
              <w:left w:val="nil"/>
              <w:bottom w:val="single" w:sz="4" w:space="0" w:color="auto"/>
              <w:right w:val="nil"/>
            </w:tcBorders>
          </w:tcPr>
          <w:p w14:paraId="414BE7D6" w14:textId="77777777" w:rsidR="003F0EEA" w:rsidRDefault="003F0EEA">
            <w:pPr>
              <w:pStyle w:val="TableTextLeft6"/>
              <w:rPr>
                <w:b/>
              </w:rPr>
            </w:pPr>
          </w:p>
        </w:tc>
      </w:tr>
      <w:tr w:rsidR="00724034" w14:paraId="32B59AF2" w14:textId="77777777" w:rsidTr="003F0EEA">
        <w:tc>
          <w:tcPr>
            <w:tcW w:w="8080" w:type="dxa"/>
            <w:tcBorders>
              <w:top w:val="single" w:sz="4" w:space="0" w:color="auto"/>
              <w:left w:val="single" w:sz="4" w:space="0" w:color="auto"/>
              <w:bottom w:val="single" w:sz="4" w:space="0" w:color="auto"/>
              <w:right w:val="single" w:sz="4" w:space="0" w:color="auto"/>
            </w:tcBorders>
          </w:tcPr>
          <w:p w14:paraId="4A2C9E50" w14:textId="77777777" w:rsidR="003F0EEA" w:rsidRDefault="00FB7D0B" w:rsidP="003F0EEA">
            <w:pPr>
              <w:pStyle w:val="TableTextLeft6"/>
              <w:rPr>
                <w:b/>
              </w:rPr>
            </w:pPr>
            <w:r>
              <w:rPr>
                <w:b/>
              </w:rPr>
              <w:t>Programme 1.3 deliverables</w:t>
            </w:r>
          </w:p>
          <w:p w14:paraId="2CC23D47" w14:textId="77777777" w:rsidR="003F0EEA" w:rsidRDefault="00FB7D0B" w:rsidP="003F0EEA">
            <w:pPr>
              <w:pStyle w:val="TableTextLeft6"/>
              <w:rPr>
                <w:b/>
              </w:rPr>
            </w:pPr>
            <w:r>
              <w:t xml:space="preserve">Process claims and pay pensions, allowances and other support to war and Defence widow/ers under the </w:t>
            </w:r>
            <w:r>
              <w:rPr>
                <w:i/>
              </w:rPr>
              <w:t>Veterans’ Entitlements Act 1986</w:t>
            </w:r>
            <w:r>
              <w:t xml:space="preserve"> and related legislation.</w:t>
            </w:r>
          </w:p>
        </w:tc>
      </w:tr>
    </w:tbl>
    <w:p w14:paraId="7C05FAB2" w14:textId="77777777" w:rsidR="003F0EEA" w:rsidRDefault="003F0EEA">
      <w:pPr>
        <w:rPr>
          <w:rFonts w:ascii="Times New Roman" w:eastAsia="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95"/>
        <w:gridCol w:w="975"/>
        <w:gridCol w:w="975"/>
        <w:gridCol w:w="975"/>
        <w:gridCol w:w="975"/>
        <w:gridCol w:w="975"/>
      </w:tblGrid>
      <w:tr w:rsidR="00724034" w14:paraId="12FD7AC1" w14:textId="77777777">
        <w:trPr>
          <w:trHeight w:val="225"/>
        </w:trPr>
        <w:tc>
          <w:tcPr>
            <w:tcW w:w="3195" w:type="dxa"/>
            <w:tcBorders>
              <w:top w:val="single" w:sz="6" w:space="0" w:color="000000"/>
              <w:left w:val="single" w:sz="6" w:space="0" w:color="000000"/>
              <w:bottom w:val="nil"/>
              <w:right w:val="nil"/>
              <w:tl2br w:val="nil"/>
              <w:tr2bl w:val="nil"/>
            </w:tcBorders>
            <w:shd w:val="clear" w:color="auto" w:fill="FFFFFF"/>
            <w:tcMar>
              <w:left w:w="101" w:type="dxa"/>
              <w:right w:w="101" w:type="dxa"/>
            </w:tcMar>
            <w:vAlign w:val="bottom"/>
          </w:tcPr>
          <w:p w14:paraId="0C6F7521" w14:textId="77777777" w:rsidR="003F0EEA" w:rsidRDefault="003F0EEA">
            <w:pPr>
              <w:jc w:val="center"/>
              <w:rPr>
                <w:rFonts w:ascii="Times New Roman" w:eastAsia="Times New Roman" w:hAnsi="Times New Roman" w:cs="Times New Roman"/>
              </w:rPr>
            </w:pPr>
          </w:p>
        </w:tc>
        <w:tc>
          <w:tcPr>
            <w:tcW w:w="97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2AED2D36" w14:textId="77777777" w:rsidR="003F0EEA" w:rsidRDefault="00FB7D0B">
            <w:pPr>
              <w:jc w:val="right"/>
              <w:rPr>
                <w:rFonts w:ascii="Arial" w:eastAsia="Arial" w:hAnsi="Arial" w:cs="Arial"/>
                <w:b/>
                <w:color w:val="000000"/>
                <w:sz w:val="16"/>
                <w:vertAlign w:val="superscript"/>
              </w:rPr>
            </w:pPr>
            <w:r>
              <w:rPr>
                <w:rFonts w:ascii="Arial" w:eastAsia="Arial" w:hAnsi="Arial" w:cs="Arial"/>
                <w:color w:val="000000"/>
                <w:sz w:val="16"/>
              </w:rPr>
              <w:t>2013-14</w:t>
            </w:r>
          </w:p>
        </w:tc>
        <w:tc>
          <w:tcPr>
            <w:tcW w:w="975" w:type="dxa"/>
            <w:tcBorders>
              <w:top w:val="single" w:sz="6" w:space="0" w:color="000000"/>
              <w:left w:val="nil"/>
              <w:bottom w:val="nil"/>
              <w:right w:val="nil"/>
              <w:tl2br w:val="nil"/>
              <w:tr2bl w:val="nil"/>
            </w:tcBorders>
            <w:shd w:val="clear" w:color="auto" w:fill="FFFF00"/>
            <w:tcMar>
              <w:left w:w="101" w:type="dxa"/>
              <w:right w:w="101" w:type="dxa"/>
            </w:tcMar>
            <w:vAlign w:val="bottom"/>
          </w:tcPr>
          <w:p w14:paraId="67EC2943" w14:textId="77777777" w:rsidR="003F0EEA" w:rsidRDefault="00FB7D0B">
            <w:pPr>
              <w:jc w:val="right"/>
              <w:rPr>
                <w:rFonts w:ascii="Arial" w:eastAsia="Arial" w:hAnsi="Arial" w:cs="Arial"/>
                <w:color w:val="000000"/>
                <w:sz w:val="16"/>
              </w:rPr>
            </w:pPr>
            <w:r>
              <w:rPr>
                <w:rFonts w:ascii="Arial" w:eastAsia="Arial" w:hAnsi="Arial" w:cs="Arial"/>
                <w:color w:val="000000"/>
                <w:sz w:val="16"/>
              </w:rPr>
              <w:t>2014-15</w:t>
            </w:r>
          </w:p>
        </w:tc>
        <w:tc>
          <w:tcPr>
            <w:tcW w:w="97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69F7D577" w14:textId="77777777" w:rsidR="003F0EEA" w:rsidRDefault="00FB7D0B">
            <w:pPr>
              <w:jc w:val="right"/>
              <w:rPr>
                <w:rFonts w:ascii="Arial" w:eastAsia="Arial" w:hAnsi="Arial" w:cs="Arial"/>
                <w:color w:val="000000"/>
                <w:sz w:val="16"/>
              </w:rPr>
            </w:pPr>
            <w:r>
              <w:rPr>
                <w:rFonts w:ascii="Arial" w:eastAsia="Arial" w:hAnsi="Arial" w:cs="Arial"/>
                <w:color w:val="000000"/>
                <w:sz w:val="16"/>
              </w:rPr>
              <w:t>2015-16</w:t>
            </w:r>
          </w:p>
        </w:tc>
        <w:tc>
          <w:tcPr>
            <w:tcW w:w="97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63C5262C" w14:textId="77777777" w:rsidR="003F0EEA" w:rsidRDefault="00FB7D0B">
            <w:pPr>
              <w:jc w:val="right"/>
              <w:rPr>
                <w:rFonts w:ascii="Arial" w:eastAsia="Arial" w:hAnsi="Arial" w:cs="Arial"/>
                <w:color w:val="000000"/>
                <w:sz w:val="16"/>
              </w:rPr>
            </w:pPr>
            <w:r>
              <w:rPr>
                <w:rFonts w:ascii="Arial" w:eastAsia="Arial" w:hAnsi="Arial" w:cs="Arial"/>
                <w:color w:val="000000"/>
                <w:sz w:val="16"/>
              </w:rPr>
              <w:t>2016-17</w:t>
            </w:r>
          </w:p>
        </w:tc>
        <w:tc>
          <w:tcPr>
            <w:tcW w:w="975" w:type="dxa"/>
            <w:tcBorders>
              <w:top w:val="single" w:sz="6" w:space="0" w:color="000000"/>
              <w:left w:val="nil"/>
              <w:bottom w:val="nil"/>
              <w:right w:val="single" w:sz="6" w:space="0" w:color="000000"/>
              <w:tl2br w:val="nil"/>
              <w:tr2bl w:val="nil"/>
            </w:tcBorders>
            <w:shd w:val="clear" w:color="auto" w:fill="FFFFFF"/>
            <w:tcMar>
              <w:left w:w="101" w:type="dxa"/>
              <w:right w:w="101" w:type="dxa"/>
            </w:tcMar>
            <w:vAlign w:val="bottom"/>
          </w:tcPr>
          <w:p w14:paraId="1D564E10" w14:textId="77777777" w:rsidR="003F0EEA" w:rsidRDefault="00FB7D0B">
            <w:pPr>
              <w:jc w:val="right"/>
              <w:rPr>
                <w:rFonts w:ascii="Arial" w:eastAsia="Arial" w:hAnsi="Arial" w:cs="Arial"/>
                <w:color w:val="000000"/>
                <w:sz w:val="16"/>
              </w:rPr>
            </w:pPr>
            <w:r>
              <w:rPr>
                <w:rFonts w:ascii="Arial" w:eastAsia="Arial" w:hAnsi="Arial" w:cs="Arial"/>
                <w:color w:val="000000"/>
                <w:sz w:val="16"/>
              </w:rPr>
              <w:t>2017-18</w:t>
            </w:r>
          </w:p>
        </w:tc>
      </w:tr>
      <w:tr w:rsidR="00724034" w14:paraId="79707DB5" w14:textId="77777777">
        <w:trPr>
          <w:trHeight w:val="225"/>
        </w:trPr>
        <w:tc>
          <w:tcPr>
            <w:tcW w:w="3195" w:type="dxa"/>
            <w:tcBorders>
              <w:top w:val="nil"/>
              <w:left w:val="single" w:sz="6" w:space="0" w:color="000000"/>
              <w:bottom w:val="nil"/>
              <w:right w:val="nil"/>
              <w:tl2br w:val="nil"/>
              <w:tr2bl w:val="nil"/>
            </w:tcBorders>
            <w:shd w:val="clear" w:color="auto" w:fill="FFFFFF"/>
            <w:tcMar>
              <w:left w:w="101" w:type="dxa"/>
              <w:right w:w="101" w:type="dxa"/>
            </w:tcMar>
            <w:vAlign w:val="bottom"/>
          </w:tcPr>
          <w:p w14:paraId="215B07C5" w14:textId="77777777" w:rsidR="003F0EEA" w:rsidRDefault="003F0EEA">
            <w:pPr>
              <w:rPr>
                <w:rFonts w:ascii="Arial" w:eastAsia="Arial" w:hAnsi="Arial" w:cs="Arial"/>
                <w:color w:val="000000"/>
                <w:sz w:val="16"/>
              </w:rPr>
            </w:pPr>
          </w:p>
        </w:tc>
        <w:tc>
          <w:tcPr>
            <w:tcW w:w="975" w:type="dxa"/>
            <w:tcBorders>
              <w:top w:val="nil"/>
              <w:left w:val="nil"/>
              <w:bottom w:val="nil"/>
              <w:right w:val="nil"/>
              <w:tl2br w:val="nil"/>
              <w:tr2bl w:val="nil"/>
            </w:tcBorders>
            <w:shd w:val="clear" w:color="auto" w:fill="FFFFFF"/>
            <w:tcMar>
              <w:left w:w="101" w:type="dxa"/>
              <w:right w:w="101" w:type="dxa"/>
            </w:tcMar>
            <w:vAlign w:val="bottom"/>
          </w:tcPr>
          <w:p w14:paraId="3C45D93F" w14:textId="77777777" w:rsidR="003F0EEA" w:rsidRDefault="00FB7D0B">
            <w:pPr>
              <w:jc w:val="right"/>
              <w:rPr>
                <w:rFonts w:ascii="Arial" w:eastAsia="Arial" w:hAnsi="Arial" w:cs="Arial"/>
                <w:color w:val="000000"/>
                <w:sz w:val="16"/>
                <w:vertAlign w:val="superscript"/>
              </w:rPr>
            </w:pPr>
            <w:r>
              <w:rPr>
                <w:rFonts w:ascii="Arial" w:eastAsia="Arial" w:hAnsi="Arial" w:cs="Arial"/>
                <w:color w:val="000000"/>
                <w:sz w:val="16"/>
              </w:rPr>
              <w:t>Revised</w:t>
            </w:r>
          </w:p>
        </w:tc>
        <w:tc>
          <w:tcPr>
            <w:tcW w:w="975" w:type="dxa"/>
            <w:tcBorders>
              <w:top w:val="nil"/>
              <w:left w:val="nil"/>
              <w:bottom w:val="nil"/>
              <w:right w:val="nil"/>
              <w:tl2br w:val="nil"/>
              <w:tr2bl w:val="nil"/>
            </w:tcBorders>
            <w:shd w:val="clear" w:color="auto" w:fill="FFFF00"/>
            <w:tcMar>
              <w:left w:w="101" w:type="dxa"/>
              <w:right w:w="101" w:type="dxa"/>
            </w:tcMar>
            <w:vAlign w:val="bottom"/>
          </w:tcPr>
          <w:p w14:paraId="5EAC2711" w14:textId="77777777" w:rsidR="003F0EEA" w:rsidRDefault="00FB7D0B">
            <w:pPr>
              <w:jc w:val="right"/>
              <w:rPr>
                <w:rFonts w:ascii="Arial" w:eastAsia="Arial" w:hAnsi="Arial" w:cs="Arial"/>
                <w:color w:val="000000"/>
                <w:sz w:val="16"/>
              </w:rPr>
            </w:pPr>
            <w:r>
              <w:rPr>
                <w:rFonts w:ascii="Arial" w:eastAsia="Arial" w:hAnsi="Arial" w:cs="Arial"/>
                <w:color w:val="000000"/>
                <w:sz w:val="16"/>
              </w:rPr>
              <w:t>Budget</w:t>
            </w:r>
          </w:p>
        </w:tc>
        <w:tc>
          <w:tcPr>
            <w:tcW w:w="975" w:type="dxa"/>
            <w:tcBorders>
              <w:top w:val="nil"/>
              <w:left w:val="nil"/>
              <w:bottom w:val="nil"/>
              <w:right w:val="nil"/>
              <w:tl2br w:val="nil"/>
              <w:tr2bl w:val="nil"/>
            </w:tcBorders>
            <w:shd w:val="clear" w:color="auto" w:fill="FFFFFF"/>
            <w:tcMar>
              <w:left w:w="101" w:type="dxa"/>
              <w:right w:w="101" w:type="dxa"/>
            </w:tcMar>
            <w:vAlign w:val="bottom"/>
          </w:tcPr>
          <w:p w14:paraId="0D63A792" w14:textId="77777777" w:rsidR="003F0EEA" w:rsidRDefault="00FB7D0B">
            <w:pPr>
              <w:jc w:val="right"/>
              <w:rPr>
                <w:rFonts w:ascii="Arial" w:eastAsia="Arial" w:hAnsi="Arial" w:cs="Arial"/>
                <w:color w:val="000000"/>
                <w:sz w:val="16"/>
              </w:rPr>
            </w:pPr>
            <w:r>
              <w:rPr>
                <w:rFonts w:ascii="Arial" w:eastAsia="Arial" w:hAnsi="Arial" w:cs="Arial"/>
                <w:color w:val="000000"/>
                <w:sz w:val="16"/>
              </w:rPr>
              <w:t>Forward</w:t>
            </w:r>
          </w:p>
        </w:tc>
        <w:tc>
          <w:tcPr>
            <w:tcW w:w="975" w:type="dxa"/>
            <w:tcBorders>
              <w:top w:val="nil"/>
              <w:left w:val="nil"/>
              <w:bottom w:val="nil"/>
              <w:right w:val="nil"/>
              <w:tl2br w:val="nil"/>
              <w:tr2bl w:val="nil"/>
            </w:tcBorders>
            <w:shd w:val="clear" w:color="auto" w:fill="FFFFFF"/>
            <w:tcMar>
              <w:left w:w="101" w:type="dxa"/>
              <w:right w:w="101" w:type="dxa"/>
            </w:tcMar>
            <w:vAlign w:val="bottom"/>
          </w:tcPr>
          <w:p w14:paraId="43205133" w14:textId="77777777" w:rsidR="003F0EEA" w:rsidRDefault="00FB7D0B">
            <w:pPr>
              <w:jc w:val="right"/>
              <w:rPr>
                <w:rFonts w:ascii="Arial" w:eastAsia="Arial" w:hAnsi="Arial" w:cs="Arial"/>
                <w:color w:val="000000"/>
                <w:sz w:val="16"/>
              </w:rPr>
            </w:pPr>
            <w:r>
              <w:rPr>
                <w:rFonts w:ascii="Arial" w:eastAsia="Arial" w:hAnsi="Arial" w:cs="Arial"/>
                <w:color w:val="000000"/>
                <w:sz w:val="16"/>
              </w:rPr>
              <w:t>Forward</w:t>
            </w:r>
          </w:p>
        </w:tc>
        <w:tc>
          <w:tcPr>
            <w:tcW w:w="975" w:type="dxa"/>
            <w:tcBorders>
              <w:top w:val="nil"/>
              <w:left w:val="nil"/>
              <w:bottom w:val="nil"/>
              <w:right w:val="single" w:sz="6" w:space="0" w:color="000000"/>
              <w:tl2br w:val="nil"/>
              <w:tr2bl w:val="nil"/>
            </w:tcBorders>
            <w:shd w:val="clear" w:color="auto" w:fill="FFFFFF"/>
            <w:tcMar>
              <w:left w:w="101" w:type="dxa"/>
              <w:right w:w="101" w:type="dxa"/>
            </w:tcMar>
            <w:vAlign w:val="bottom"/>
          </w:tcPr>
          <w:p w14:paraId="49D7DE1B" w14:textId="77777777" w:rsidR="003F0EEA" w:rsidRDefault="00FB7D0B">
            <w:pPr>
              <w:jc w:val="right"/>
              <w:rPr>
                <w:rFonts w:ascii="Arial" w:eastAsia="Arial" w:hAnsi="Arial" w:cs="Arial"/>
                <w:color w:val="000000"/>
                <w:sz w:val="16"/>
              </w:rPr>
            </w:pPr>
            <w:r>
              <w:rPr>
                <w:rFonts w:ascii="Arial" w:eastAsia="Arial" w:hAnsi="Arial" w:cs="Arial"/>
                <w:color w:val="000000"/>
                <w:sz w:val="16"/>
              </w:rPr>
              <w:t>Forward</w:t>
            </w:r>
          </w:p>
        </w:tc>
      </w:tr>
      <w:tr w:rsidR="00724034" w14:paraId="71810FB1" w14:textId="77777777">
        <w:trPr>
          <w:trHeight w:val="225"/>
        </w:trPr>
        <w:tc>
          <w:tcPr>
            <w:tcW w:w="3195" w:type="dxa"/>
            <w:tcBorders>
              <w:top w:val="nil"/>
              <w:left w:val="single" w:sz="6" w:space="0" w:color="000000"/>
              <w:bottom w:val="single" w:sz="6" w:space="0" w:color="000000"/>
              <w:right w:val="nil"/>
              <w:tl2br w:val="nil"/>
              <w:tr2bl w:val="nil"/>
            </w:tcBorders>
            <w:shd w:val="clear" w:color="auto" w:fill="FFFFFF"/>
            <w:tcMar>
              <w:left w:w="101" w:type="dxa"/>
              <w:right w:w="101" w:type="dxa"/>
            </w:tcMar>
            <w:vAlign w:val="bottom"/>
          </w:tcPr>
          <w:p w14:paraId="6B938907" w14:textId="77777777" w:rsidR="003F0EEA" w:rsidRDefault="00FB7D0B">
            <w:pPr>
              <w:rPr>
                <w:rFonts w:ascii="Arial" w:eastAsia="Arial" w:hAnsi="Arial" w:cs="Arial"/>
                <w:color w:val="000000"/>
                <w:sz w:val="16"/>
              </w:rPr>
            </w:pPr>
            <w:r>
              <w:rPr>
                <w:rFonts w:ascii="Arial" w:eastAsia="Arial" w:hAnsi="Arial" w:cs="Arial"/>
                <w:color w:val="000000"/>
                <w:sz w:val="16"/>
              </w:rPr>
              <w:t xml:space="preserve">Deliverables </w:t>
            </w:r>
          </w:p>
        </w:tc>
        <w:tc>
          <w:tcPr>
            <w:tcW w:w="975"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15FCD08D" w14:textId="77777777" w:rsidR="003F0EEA" w:rsidRDefault="00FB7D0B">
            <w:pPr>
              <w:jc w:val="right"/>
              <w:rPr>
                <w:rFonts w:ascii="Arial" w:eastAsia="Arial" w:hAnsi="Arial" w:cs="Arial"/>
                <w:color w:val="000000"/>
                <w:sz w:val="16"/>
                <w:vertAlign w:val="superscript"/>
              </w:rPr>
            </w:pPr>
            <w:r>
              <w:rPr>
                <w:rFonts w:ascii="Arial" w:eastAsia="Arial" w:hAnsi="Arial" w:cs="Arial"/>
                <w:color w:val="000000"/>
                <w:sz w:val="16"/>
              </w:rPr>
              <w:t>budget</w:t>
            </w:r>
          </w:p>
        </w:tc>
        <w:tc>
          <w:tcPr>
            <w:tcW w:w="975" w:type="dxa"/>
            <w:tcBorders>
              <w:top w:val="nil"/>
              <w:left w:val="nil"/>
              <w:bottom w:val="single" w:sz="6" w:space="0" w:color="000000"/>
              <w:right w:val="nil"/>
              <w:tl2br w:val="nil"/>
              <w:tr2bl w:val="nil"/>
            </w:tcBorders>
            <w:shd w:val="clear" w:color="auto" w:fill="FFFF00"/>
            <w:tcMar>
              <w:left w:w="101" w:type="dxa"/>
              <w:right w:w="101" w:type="dxa"/>
            </w:tcMar>
            <w:vAlign w:val="bottom"/>
          </w:tcPr>
          <w:p w14:paraId="1ED96034" w14:textId="77777777" w:rsidR="003F0EEA" w:rsidRDefault="003F0EEA">
            <w:pPr>
              <w:jc w:val="right"/>
              <w:rPr>
                <w:rFonts w:ascii="Arial" w:eastAsia="Arial" w:hAnsi="Arial" w:cs="Arial"/>
                <w:color w:val="000000"/>
                <w:sz w:val="16"/>
              </w:rPr>
            </w:pPr>
          </w:p>
        </w:tc>
        <w:tc>
          <w:tcPr>
            <w:tcW w:w="975"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144C8076" w14:textId="77777777" w:rsidR="003F0EEA" w:rsidRDefault="00FB7D0B">
            <w:pPr>
              <w:jc w:val="right"/>
              <w:rPr>
                <w:rFonts w:ascii="Arial" w:eastAsia="Arial" w:hAnsi="Arial" w:cs="Arial"/>
                <w:color w:val="000000"/>
                <w:sz w:val="16"/>
              </w:rPr>
            </w:pPr>
            <w:r>
              <w:rPr>
                <w:rFonts w:ascii="Arial" w:eastAsia="Arial" w:hAnsi="Arial" w:cs="Arial"/>
                <w:color w:val="000000"/>
                <w:sz w:val="16"/>
              </w:rPr>
              <w:t>year 1</w:t>
            </w:r>
          </w:p>
        </w:tc>
        <w:tc>
          <w:tcPr>
            <w:tcW w:w="975"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55E8F2FA" w14:textId="77777777" w:rsidR="003F0EEA" w:rsidRDefault="00FB7D0B">
            <w:pPr>
              <w:jc w:val="right"/>
              <w:rPr>
                <w:rFonts w:ascii="Arial" w:eastAsia="Arial" w:hAnsi="Arial" w:cs="Arial"/>
                <w:color w:val="000000"/>
                <w:sz w:val="16"/>
              </w:rPr>
            </w:pPr>
            <w:r>
              <w:rPr>
                <w:rFonts w:ascii="Arial" w:eastAsia="Arial" w:hAnsi="Arial" w:cs="Arial"/>
                <w:color w:val="000000"/>
                <w:sz w:val="16"/>
              </w:rPr>
              <w:t>year 2</w:t>
            </w:r>
          </w:p>
        </w:tc>
        <w:tc>
          <w:tcPr>
            <w:tcW w:w="975" w:type="dxa"/>
            <w:tcBorders>
              <w:top w:val="nil"/>
              <w:left w:val="nil"/>
              <w:bottom w:val="single" w:sz="6" w:space="0" w:color="000000"/>
              <w:right w:val="single" w:sz="6" w:space="0" w:color="000000"/>
              <w:tl2br w:val="nil"/>
              <w:tr2bl w:val="nil"/>
            </w:tcBorders>
            <w:shd w:val="clear" w:color="auto" w:fill="FFFFFF"/>
            <w:tcMar>
              <w:left w:w="101" w:type="dxa"/>
              <w:right w:w="101" w:type="dxa"/>
            </w:tcMar>
            <w:vAlign w:val="bottom"/>
          </w:tcPr>
          <w:p w14:paraId="64BE3EEE" w14:textId="77777777" w:rsidR="003F0EEA" w:rsidRDefault="00FB7D0B">
            <w:pPr>
              <w:jc w:val="right"/>
              <w:rPr>
                <w:rFonts w:ascii="Arial" w:eastAsia="Arial" w:hAnsi="Arial" w:cs="Arial"/>
                <w:color w:val="000000"/>
                <w:sz w:val="16"/>
              </w:rPr>
            </w:pPr>
            <w:r>
              <w:rPr>
                <w:rFonts w:ascii="Arial" w:eastAsia="Arial" w:hAnsi="Arial" w:cs="Arial"/>
                <w:color w:val="000000"/>
                <w:sz w:val="16"/>
              </w:rPr>
              <w:t>year 3</w:t>
            </w:r>
          </w:p>
        </w:tc>
      </w:tr>
      <w:tr w:rsidR="00724034" w14:paraId="2E561892" w14:textId="77777777">
        <w:trPr>
          <w:trHeight w:val="60"/>
        </w:trPr>
        <w:tc>
          <w:tcPr>
            <w:tcW w:w="3195" w:type="dxa"/>
            <w:tcBorders>
              <w:top w:val="single" w:sz="6" w:space="0" w:color="000000"/>
              <w:left w:val="single" w:sz="6" w:space="0" w:color="000000"/>
              <w:bottom w:val="nil"/>
              <w:right w:val="nil"/>
              <w:tl2br w:val="nil"/>
              <w:tr2bl w:val="nil"/>
            </w:tcBorders>
            <w:shd w:val="clear" w:color="auto" w:fill="FFFFFF"/>
            <w:tcMar>
              <w:left w:w="101" w:type="dxa"/>
              <w:right w:w="101" w:type="dxa"/>
            </w:tcMar>
            <w:vAlign w:val="bottom"/>
          </w:tcPr>
          <w:p w14:paraId="7F43F454" w14:textId="77777777" w:rsidR="003F0EEA" w:rsidRDefault="003F0EEA">
            <w:pPr>
              <w:rPr>
                <w:rFonts w:ascii="Arial" w:eastAsia="Arial" w:hAnsi="Arial" w:cs="Arial"/>
                <w:color w:val="000000"/>
                <w:sz w:val="16"/>
              </w:rPr>
            </w:pPr>
          </w:p>
        </w:tc>
        <w:tc>
          <w:tcPr>
            <w:tcW w:w="97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6D01449B" w14:textId="77777777" w:rsidR="003F0EEA" w:rsidRDefault="003F0EEA">
            <w:pPr>
              <w:jc w:val="right"/>
              <w:rPr>
                <w:rFonts w:ascii="Arial" w:eastAsia="Arial" w:hAnsi="Arial" w:cs="Arial"/>
                <w:color w:val="000000"/>
                <w:sz w:val="16"/>
                <w:vertAlign w:val="superscript"/>
              </w:rPr>
            </w:pPr>
          </w:p>
        </w:tc>
        <w:tc>
          <w:tcPr>
            <w:tcW w:w="975" w:type="dxa"/>
            <w:tcBorders>
              <w:top w:val="single" w:sz="6" w:space="0" w:color="000000"/>
              <w:left w:val="nil"/>
              <w:bottom w:val="nil"/>
              <w:right w:val="nil"/>
              <w:tl2br w:val="nil"/>
              <w:tr2bl w:val="nil"/>
            </w:tcBorders>
            <w:shd w:val="clear" w:color="auto" w:fill="FFFF00"/>
            <w:tcMar>
              <w:left w:w="101" w:type="dxa"/>
              <w:right w:w="101" w:type="dxa"/>
            </w:tcMar>
            <w:vAlign w:val="bottom"/>
          </w:tcPr>
          <w:p w14:paraId="64B1E585" w14:textId="77777777" w:rsidR="003F0EEA" w:rsidRDefault="003F0EEA">
            <w:pPr>
              <w:jc w:val="right"/>
              <w:rPr>
                <w:rFonts w:ascii="Arial" w:eastAsia="Arial" w:hAnsi="Arial" w:cs="Arial"/>
                <w:color w:val="000000"/>
                <w:sz w:val="16"/>
                <w:vertAlign w:val="superscript"/>
              </w:rPr>
            </w:pPr>
          </w:p>
        </w:tc>
        <w:tc>
          <w:tcPr>
            <w:tcW w:w="97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17BEF8DC" w14:textId="77777777" w:rsidR="003F0EEA" w:rsidRDefault="003F0EEA">
            <w:pPr>
              <w:jc w:val="right"/>
              <w:rPr>
                <w:rFonts w:ascii="Arial" w:eastAsia="Arial" w:hAnsi="Arial" w:cs="Arial"/>
                <w:color w:val="000000"/>
                <w:sz w:val="16"/>
                <w:vertAlign w:val="superscript"/>
              </w:rPr>
            </w:pPr>
          </w:p>
        </w:tc>
        <w:tc>
          <w:tcPr>
            <w:tcW w:w="97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145DC5B9" w14:textId="77777777" w:rsidR="003F0EEA" w:rsidRDefault="003F0EEA">
            <w:pPr>
              <w:jc w:val="right"/>
              <w:rPr>
                <w:rFonts w:ascii="Arial" w:eastAsia="Arial" w:hAnsi="Arial" w:cs="Arial"/>
                <w:color w:val="000000"/>
                <w:sz w:val="16"/>
                <w:vertAlign w:val="superscript"/>
              </w:rPr>
            </w:pPr>
          </w:p>
        </w:tc>
        <w:tc>
          <w:tcPr>
            <w:tcW w:w="975" w:type="dxa"/>
            <w:tcBorders>
              <w:top w:val="single" w:sz="6" w:space="0" w:color="000000"/>
              <w:left w:val="nil"/>
              <w:bottom w:val="nil"/>
              <w:right w:val="single" w:sz="6" w:space="0" w:color="000000"/>
              <w:tl2br w:val="nil"/>
              <w:tr2bl w:val="nil"/>
            </w:tcBorders>
            <w:shd w:val="clear" w:color="auto" w:fill="FFFFFF"/>
            <w:tcMar>
              <w:left w:w="101" w:type="dxa"/>
              <w:right w:w="101" w:type="dxa"/>
            </w:tcMar>
            <w:vAlign w:val="bottom"/>
          </w:tcPr>
          <w:p w14:paraId="6C770DB7" w14:textId="77777777" w:rsidR="003F0EEA" w:rsidRDefault="003F0EEA">
            <w:pPr>
              <w:jc w:val="right"/>
              <w:rPr>
                <w:rFonts w:ascii="Arial" w:eastAsia="Arial" w:hAnsi="Arial" w:cs="Arial"/>
                <w:color w:val="000000"/>
                <w:sz w:val="16"/>
                <w:vertAlign w:val="superscript"/>
              </w:rPr>
            </w:pPr>
          </w:p>
        </w:tc>
      </w:tr>
      <w:tr w:rsidR="00724034" w14:paraId="4EB7606C" w14:textId="77777777">
        <w:trPr>
          <w:trHeight w:val="450"/>
        </w:trPr>
        <w:tc>
          <w:tcPr>
            <w:tcW w:w="3195" w:type="dxa"/>
            <w:tcBorders>
              <w:top w:val="nil"/>
              <w:left w:val="single" w:sz="6" w:space="0" w:color="000000"/>
              <w:bottom w:val="single" w:sz="6" w:space="0" w:color="000000"/>
              <w:right w:val="nil"/>
              <w:tl2br w:val="nil"/>
              <w:tr2bl w:val="nil"/>
            </w:tcBorders>
            <w:shd w:val="clear" w:color="auto" w:fill="FFFFFF"/>
            <w:tcMar>
              <w:left w:w="101" w:type="dxa"/>
              <w:right w:w="101" w:type="dxa"/>
            </w:tcMar>
            <w:vAlign w:val="bottom"/>
          </w:tcPr>
          <w:p w14:paraId="37F972E1" w14:textId="77777777" w:rsidR="003F0EEA" w:rsidRDefault="00FB7D0B">
            <w:pPr>
              <w:rPr>
                <w:rFonts w:ascii="Arial" w:eastAsia="Arial" w:hAnsi="Arial" w:cs="Arial"/>
                <w:color w:val="000000"/>
                <w:sz w:val="16"/>
                <w:vertAlign w:val="superscript"/>
              </w:rPr>
            </w:pPr>
            <w:r>
              <w:rPr>
                <w:rFonts w:ascii="Arial" w:eastAsia="Arial" w:hAnsi="Arial" w:cs="Arial"/>
                <w:i/>
                <w:color w:val="000000"/>
                <w:sz w:val="16"/>
              </w:rPr>
              <w:t xml:space="preserve">Quantity: </w:t>
            </w:r>
            <w:r>
              <w:rPr>
                <w:rFonts w:ascii="Arial" w:eastAsia="Arial" w:hAnsi="Arial" w:cs="Arial"/>
                <w:color w:val="000000"/>
                <w:sz w:val="16"/>
              </w:rPr>
              <w:t>Number of war and Defence widows/ers pensioners</w:t>
            </w:r>
          </w:p>
        </w:tc>
        <w:tc>
          <w:tcPr>
            <w:tcW w:w="975"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77B8F368" w14:textId="77777777" w:rsidR="003F0EEA" w:rsidRDefault="00FB7D0B">
            <w:pPr>
              <w:jc w:val="right"/>
              <w:rPr>
                <w:rFonts w:ascii="Arial" w:eastAsia="Arial" w:hAnsi="Arial" w:cs="Arial"/>
                <w:i/>
                <w:color w:val="000000"/>
                <w:sz w:val="16"/>
                <w:vertAlign w:val="superscript"/>
              </w:rPr>
            </w:pPr>
            <w:r>
              <w:rPr>
                <w:rFonts w:ascii="Arial" w:eastAsia="Arial" w:hAnsi="Arial" w:cs="Arial"/>
                <w:color w:val="000000"/>
                <w:sz w:val="16"/>
              </w:rPr>
              <w:t>81,300 </w:t>
            </w:r>
          </w:p>
        </w:tc>
        <w:tc>
          <w:tcPr>
            <w:tcW w:w="975" w:type="dxa"/>
            <w:tcBorders>
              <w:top w:val="nil"/>
              <w:left w:val="nil"/>
              <w:bottom w:val="single" w:sz="6" w:space="0" w:color="000000"/>
              <w:right w:val="nil"/>
              <w:tl2br w:val="nil"/>
              <w:tr2bl w:val="nil"/>
            </w:tcBorders>
            <w:shd w:val="clear" w:color="auto" w:fill="FFFF00"/>
            <w:tcMar>
              <w:left w:w="101" w:type="dxa"/>
              <w:right w:w="101" w:type="dxa"/>
            </w:tcMar>
            <w:vAlign w:val="bottom"/>
          </w:tcPr>
          <w:p w14:paraId="0D5EDC8A" w14:textId="77777777" w:rsidR="003F0EEA" w:rsidRDefault="00FB7D0B">
            <w:pPr>
              <w:jc w:val="right"/>
              <w:rPr>
                <w:rFonts w:ascii="Arial" w:eastAsia="Arial" w:hAnsi="Arial" w:cs="Arial"/>
                <w:color w:val="000000"/>
                <w:sz w:val="16"/>
              </w:rPr>
            </w:pPr>
            <w:r>
              <w:rPr>
                <w:rFonts w:ascii="Arial" w:eastAsia="Arial" w:hAnsi="Arial" w:cs="Arial"/>
                <w:color w:val="000000"/>
                <w:sz w:val="16"/>
              </w:rPr>
              <w:t>75,600 </w:t>
            </w:r>
          </w:p>
        </w:tc>
        <w:tc>
          <w:tcPr>
            <w:tcW w:w="975"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0B3F4213" w14:textId="77777777" w:rsidR="003F0EEA" w:rsidRDefault="00FB7D0B">
            <w:pPr>
              <w:jc w:val="right"/>
              <w:rPr>
                <w:rFonts w:ascii="Arial" w:eastAsia="Arial" w:hAnsi="Arial" w:cs="Arial"/>
                <w:color w:val="000000"/>
                <w:sz w:val="16"/>
              </w:rPr>
            </w:pPr>
            <w:r>
              <w:rPr>
                <w:rFonts w:ascii="Arial" w:eastAsia="Arial" w:hAnsi="Arial" w:cs="Arial"/>
                <w:color w:val="000000"/>
                <w:sz w:val="16"/>
              </w:rPr>
              <w:t>69,700 </w:t>
            </w:r>
          </w:p>
        </w:tc>
        <w:tc>
          <w:tcPr>
            <w:tcW w:w="975"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14D67F43" w14:textId="77777777" w:rsidR="003F0EEA" w:rsidRDefault="00FB7D0B">
            <w:pPr>
              <w:jc w:val="right"/>
              <w:rPr>
                <w:rFonts w:ascii="Arial" w:eastAsia="Arial" w:hAnsi="Arial" w:cs="Arial"/>
                <w:color w:val="000000"/>
                <w:sz w:val="16"/>
              </w:rPr>
            </w:pPr>
            <w:r>
              <w:rPr>
                <w:rFonts w:ascii="Arial" w:eastAsia="Arial" w:hAnsi="Arial" w:cs="Arial"/>
                <w:color w:val="000000"/>
                <w:sz w:val="16"/>
              </w:rPr>
              <w:t>64,000 </w:t>
            </w:r>
          </w:p>
        </w:tc>
        <w:tc>
          <w:tcPr>
            <w:tcW w:w="975" w:type="dxa"/>
            <w:tcBorders>
              <w:top w:val="nil"/>
              <w:left w:val="nil"/>
              <w:bottom w:val="single" w:sz="6" w:space="0" w:color="000000"/>
              <w:right w:val="single" w:sz="6" w:space="0" w:color="000000"/>
              <w:tl2br w:val="nil"/>
              <w:tr2bl w:val="nil"/>
            </w:tcBorders>
            <w:shd w:val="clear" w:color="auto" w:fill="FFFFFF"/>
            <w:tcMar>
              <w:left w:w="101" w:type="dxa"/>
              <w:right w:w="101" w:type="dxa"/>
            </w:tcMar>
            <w:vAlign w:val="bottom"/>
          </w:tcPr>
          <w:p w14:paraId="03DCF533" w14:textId="77777777" w:rsidR="003F0EEA" w:rsidRDefault="00FB7D0B">
            <w:pPr>
              <w:jc w:val="right"/>
              <w:rPr>
                <w:rFonts w:ascii="Arial" w:eastAsia="Arial" w:hAnsi="Arial" w:cs="Arial"/>
                <w:color w:val="000000"/>
                <w:sz w:val="16"/>
              </w:rPr>
            </w:pPr>
            <w:r>
              <w:rPr>
                <w:rFonts w:ascii="Arial" w:eastAsia="Arial" w:hAnsi="Arial" w:cs="Arial"/>
                <w:color w:val="000000"/>
                <w:sz w:val="16"/>
              </w:rPr>
              <w:t xml:space="preserve"> 58,300 </w:t>
            </w:r>
          </w:p>
        </w:tc>
      </w:tr>
    </w:tbl>
    <w:p w14:paraId="6BFAE03B" w14:textId="77777777" w:rsidR="00724034" w:rsidRDefault="00724034">
      <w:pPr>
        <w:rPr>
          <w:rFonts w:ascii="Book Antiqua" w:eastAsia="Book Antiqua" w:hAnsi="Book Antiqua" w:cs="Book Antiqu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95"/>
        <w:gridCol w:w="975"/>
        <w:gridCol w:w="975"/>
        <w:gridCol w:w="975"/>
        <w:gridCol w:w="975"/>
        <w:gridCol w:w="975"/>
        <w:gridCol w:w="10"/>
      </w:tblGrid>
      <w:tr w:rsidR="00724034" w14:paraId="71A6A90B" w14:textId="77777777" w:rsidTr="003F0EEA">
        <w:tc>
          <w:tcPr>
            <w:tcW w:w="8080" w:type="dxa"/>
            <w:gridSpan w:val="7"/>
            <w:tcBorders>
              <w:top w:val="single" w:sz="4" w:space="0" w:color="auto"/>
              <w:left w:val="single" w:sz="4" w:space="0" w:color="auto"/>
              <w:bottom w:val="single" w:sz="4" w:space="0" w:color="auto"/>
              <w:right w:val="single" w:sz="4" w:space="0" w:color="auto"/>
            </w:tcBorders>
          </w:tcPr>
          <w:p w14:paraId="12791ED6" w14:textId="77777777" w:rsidR="003F0EEA" w:rsidRDefault="00FB7D0B">
            <w:pPr>
              <w:pStyle w:val="TableTextLeft7"/>
              <w:keepNext/>
              <w:rPr>
                <w:b/>
              </w:rPr>
            </w:pPr>
            <w:r>
              <w:br w:type="page"/>
            </w:r>
            <w:r>
              <w:rPr>
                <w:b/>
              </w:rPr>
              <w:t>Programme 1.3 key performance indicators</w:t>
            </w:r>
          </w:p>
          <w:p w14:paraId="4BA0C4B1" w14:textId="77777777" w:rsidR="003F0EEA" w:rsidRDefault="00FB7D0B">
            <w:pPr>
              <w:pStyle w:val="TableTextBullet3"/>
              <w:numPr>
                <w:ilvl w:val="0"/>
                <w:numId w:val="0"/>
              </w:numPr>
              <w:tabs>
                <w:tab w:val="left" w:pos="720"/>
              </w:tabs>
            </w:pPr>
            <w:r>
              <w:rPr>
                <w:rFonts w:cs="Arial"/>
              </w:rPr>
              <w:t>The following KPIs measure the impact of the Programme:</w:t>
            </w:r>
          </w:p>
        </w:tc>
      </w:tr>
      <w:tr w:rsidR="00724034" w14:paraId="00CD28D1" w14:textId="77777777">
        <w:tblPrEx>
          <w:tblLook w:val="04A0" w:firstRow="1" w:lastRow="0" w:firstColumn="1" w:lastColumn="0" w:noHBand="0" w:noVBand="1"/>
        </w:tblPrEx>
        <w:trPr>
          <w:gridAfter w:val="1"/>
          <w:wAfter w:w="10" w:type="dxa"/>
          <w:trHeight w:val="225"/>
        </w:trPr>
        <w:tc>
          <w:tcPr>
            <w:tcW w:w="3195" w:type="dxa"/>
            <w:tcBorders>
              <w:top w:val="single" w:sz="6" w:space="0" w:color="000000"/>
              <w:left w:val="single" w:sz="6" w:space="0" w:color="000000"/>
              <w:bottom w:val="nil"/>
              <w:right w:val="nil"/>
              <w:tl2br w:val="nil"/>
              <w:tr2bl w:val="nil"/>
            </w:tcBorders>
            <w:shd w:val="clear" w:color="auto" w:fill="FFFFFF"/>
            <w:tcMar>
              <w:left w:w="115" w:type="dxa"/>
              <w:right w:w="115" w:type="dxa"/>
            </w:tcMar>
            <w:vAlign w:val="bottom"/>
          </w:tcPr>
          <w:p w14:paraId="21AFF6AC" w14:textId="77777777" w:rsidR="00724034" w:rsidRDefault="00724034">
            <w:pPr>
              <w:jc w:val="center"/>
            </w:pPr>
          </w:p>
        </w:tc>
        <w:tc>
          <w:tcPr>
            <w:tcW w:w="975"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7696D8B5" w14:textId="77777777" w:rsidR="00724034" w:rsidRDefault="00FB7D0B">
            <w:pPr>
              <w:jc w:val="right"/>
              <w:rPr>
                <w:rFonts w:ascii="Arial" w:eastAsia="Arial" w:hAnsi="Arial" w:cs="Arial"/>
                <w:b/>
                <w:color w:val="000000"/>
                <w:sz w:val="16"/>
                <w:vertAlign w:val="superscript"/>
              </w:rPr>
            </w:pPr>
            <w:r>
              <w:rPr>
                <w:rFonts w:ascii="Arial" w:eastAsia="Arial" w:hAnsi="Arial" w:cs="Arial"/>
                <w:color w:val="000000"/>
                <w:sz w:val="16"/>
              </w:rPr>
              <w:t>2013-14</w:t>
            </w:r>
          </w:p>
        </w:tc>
        <w:tc>
          <w:tcPr>
            <w:tcW w:w="975" w:type="dxa"/>
            <w:tcBorders>
              <w:top w:val="single" w:sz="6" w:space="0" w:color="000000"/>
              <w:left w:val="nil"/>
              <w:bottom w:val="nil"/>
              <w:right w:val="nil"/>
              <w:tl2br w:val="nil"/>
              <w:tr2bl w:val="nil"/>
            </w:tcBorders>
            <w:shd w:val="clear" w:color="auto" w:fill="FFFF00"/>
            <w:tcMar>
              <w:left w:w="115" w:type="dxa"/>
              <w:right w:w="115" w:type="dxa"/>
            </w:tcMar>
            <w:vAlign w:val="bottom"/>
          </w:tcPr>
          <w:p w14:paraId="140488C0" w14:textId="77777777" w:rsidR="00724034" w:rsidRDefault="00FB7D0B">
            <w:pPr>
              <w:jc w:val="right"/>
              <w:rPr>
                <w:rFonts w:ascii="Arial" w:eastAsia="Arial" w:hAnsi="Arial" w:cs="Arial"/>
                <w:color w:val="000000"/>
                <w:sz w:val="16"/>
              </w:rPr>
            </w:pPr>
            <w:r>
              <w:rPr>
                <w:rFonts w:ascii="Arial" w:eastAsia="Arial" w:hAnsi="Arial" w:cs="Arial"/>
                <w:color w:val="000000"/>
                <w:sz w:val="16"/>
              </w:rPr>
              <w:t>2014-15</w:t>
            </w:r>
          </w:p>
        </w:tc>
        <w:tc>
          <w:tcPr>
            <w:tcW w:w="975"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0CFEDDEF" w14:textId="77777777" w:rsidR="00724034" w:rsidRDefault="00FB7D0B">
            <w:pPr>
              <w:jc w:val="right"/>
              <w:rPr>
                <w:rFonts w:ascii="Arial" w:eastAsia="Arial" w:hAnsi="Arial" w:cs="Arial"/>
                <w:color w:val="000000"/>
                <w:sz w:val="16"/>
              </w:rPr>
            </w:pPr>
            <w:r>
              <w:rPr>
                <w:rFonts w:ascii="Arial" w:eastAsia="Arial" w:hAnsi="Arial" w:cs="Arial"/>
                <w:color w:val="000000"/>
                <w:sz w:val="16"/>
              </w:rPr>
              <w:t>2015-16</w:t>
            </w:r>
          </w:p>
        </w:tc>
        <w:tc>
          <w:tcPr>
            <w:tcW w:w="975"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2894C56F" w14:textId="77777777" w:rsidR="00724034" w:rsidRDefault="00FB7D0B">
            <w:pPr>
              <w:jc w:val="right"/>
              <w:rPr>
                <w:rFonts w:ascii="Arial" w:eastAsia="Arial" w:hAnsi="Arial" w:cs="Arial"/>
                <w:color w:val="000000"/>
                <w:sz w:val="16"/>
              </w:rPr>
            </w:pPr>
            <w:r>
              <w:rPr>
                <w:rFonts w:ascii="Arial" w:eastAsia="Arial" w:hAnsi="Arial" w:cs="Arial"/>
                <w:color w:val="000000"/>
                <w:sz w:val="16"/>
              </w:rPr>
              <w:t>2016-17</w:t>
            </w:r>
          </w:p>
        </w:tc>
        <w:tc>
          <w:tcPr>
            <w:tcW w:w="975" w:type="dxa"/>
            <w:tcBorders>
              <w:top w:val="single" w:sz="6" w:space="0" w:color="000000"/>
              <w:left w:val="nil"/>
              <w:bottom w:val="nil"/>
              <w:right w:val="single" w:sz="6" w:space="0" w:color="000000"/>
              <w:tl2br w:val="nil"/>
              <w:tr2bl w:val="nil"/>
            </w:tcBorders>
            <w:shd w:val="clear" w:color="auto" w:fill="FFFFFF"/>
            <w:tcMar>
              <w:left w:w="115" w:type="dxa"/>
              <w:right w:w="115" w:type="dxa"/>
            </w:tcMar>
            <w:vAlign w:val="bottom"/>
          </w:tcPr>
          <w:p w14:paraId="6E670239" w14:textId="77777777" w:rsidR="00724034" w:rsidRDefault="00FB7D0B">
            <w:pPr>
              <w:jc w:val="right"/>
              <w:rPr>
                <w:rFonts w:ascii="Arial" w:eastAsia="Arial" w:hAnsi="Arial" w:cs="Arial"/>
                <w:color w:val="000000"/>
                <w:sz w:val="16"/>
              </w:rPr>
            </w:pPr>
            <w:r>
              <w:rPr>
                <w:rFonts w:ascii="Arial" w:eastAsia="Arial" w:hAnsi="Arial" w:cs="Arial"/>
                <w:color w:val="000000"/>
                <w:sz w:val="16"/>
              </w:rPr>
              <w:t>2017-18</w:t>
            </w:r>
          </w:p>
        </w:tc>
      </w:tr>
      <w:tr w:rsidR="00724034" w14:paraId="114DC538" w14:textId="77777777">
        <w:tblPrEx>
          <w:tblLook w:val="04A0" w:firstRow="1" w:lastRow="0" w:firstColumn="1" w:lastColumn="0" w:noHBand="0" w:noVBand="1"/>
        </w:tblPrEx>
        <w:trPr>
          <w:gridAfter w:val="1"/>
          <w:wAfter w:w="10" w:type="dxa"/>
          <w:trHeight w:val="225"/>
        </w:trPr>
        <w:tc>
          <w:tcPr>
            <w:tcW w:w="3195" w:type="dxa"/>
            <w:tcBorders>
              <w:top w:val="nil"/>
              <w:left w:val="single" w:sz="6" w:space="0" w:color="000000"/>
              <w:bottom w:val="nil"/>
              <w:right w:val="nil"/>
              <w:tl2br w:val="nil"/>
              <w:tr2bl w:val="nil"/>
            </w:tcBorders>
            <w:shd w:val="clear" w:color="auto" w:fill="FFFFFF"/>
            <w:tcMar>
              <w:left w:w="115" w:type="dxa"/>
              <w:right w:w="115" w:type="dxa"/>
            </w:tcMar>
            <w:vAlign w:val="bottom"/>
          </w:tcPr>
          <w:p w14:paraId="59A380D0" w14:textId="77777777" w:rsidR="00724034" w:rsidRDefault="00FB7D0B">
            <w:pPr>
              <w:rPr>
                <w:rFonts w:ascii="Arial" w:eastAsia="Arial" w:hAnsi="Arial" w:cs="Arial"/>
                <w:color w:val="000000"/>
                <w:sz w:val="16"/>
              </w:rPr>
            </w:pPr>
            <w:r>
              <w:rPr>
                <w:rFonts w:ascii="Arial" w:eastAsia="Arial" w:hAnsi="Arial" w:cs="Arial"/>
                <w:color w:val="000000"/>
                <w:sz w:val="16"/>
              </w:rPr>
              <w:t>Key Performance</w:t>
            </w:r>
          </w:p>
        </w:tc>
        <w:tc>
          <w:tcPr>
            <w:tcW w:w="975" w:type="dxa"/>
            <w:tcBorders>
              <w:top w:val="nil"/>
              <w:left w:val="nil"/>
              <w:bottom w:val="nil"/>
              <w:right w:val="nil"/>
              <w:tl2br w:val="nil"/>
              <w:tr2bl w:val="nil"/>
            </w:tcBorders>
            <w:shd w:val="clear" w:color="auto" w:fill="FFFFFF"/>
            <w:tcMar>
              <w:left w:w="115" w:type="dxa"/>
              <w:right w:w="115" w:type="dxa"/>
            </w:tcMar>
            <w:vAlign w:val="bottom"/>
          </w:tcPr>
          <w:p w14:paraId="70918FD1" w14:textId="77777777" w:rsidR="00724034" w:rsidRDefault="00FB7D0B">
            <w:pPr>
              <w:jc w:val="right"/>
              <w:rPr>
                <w:rFonts w:ascii="Arial" w:eastAsia="Arial" w:hAnsi="Arial" w:cs="Arial"/>
                <w:color w:val="000000"/>
                <w:sz w:val="16"/>
                <w:vertAlign w:val="superscript"/>
              </w:rPr>
            </w:pPr>
            <w:r>
              <w:rPr>
                <w:rFonts w:ascii="Arial" w:eastAsia="Arial" w:hAnsi="Arial" w:cs="Arial"/>
                <w:color w:val="000000"/>
                <w:sz w:val="16"/>
              </w:rPr>
              <w:t>Revised</w:t>
            </w:r>
          </w:p>
        </w:tc>
        <w:tc>
          <w:tcPr>
            <w:tcW w:w="975" w:type="dxa"/>
            <w:tcBorders>
              <w:top w:val="nil"/>
              <w:left w:val="nil"/>
              <w:bottom w:val="nil"/>
              <w:right w:val="nil"/>
              <w:tl2br w:val="nil"/>
              <w:tr2bl w:val="nil"/>
            </w:tcBorders>
            <w:shd w:val="clear" w:color="auto" w:fill="FFFF00"/>
            <w:tcMar>
              <w:left w:w="115" w:type="dxa"/>
              <w:right w:w="115" w:type="dxa"/>
            </w:tcMar>
            <w:vAlign w:val="bottom"/>
          </w:tcPr>
          <w:p w14:paraId="1B472B95" w14:textId="77777777" w:rsidR="00724034" w:rsidRDefault="00FB7D0B">
            <w:pPr>
              <w:jc w:val="right"/>
              <w:rPr>
                <w:rFonts w:ascii="Arial" w:eastAsia="Arial" w:hAnsi="Arial" w:cs="Arial"/>
                <w:color w:val="000000"/>
                <w:sz w:val="16"/>
              </w:rPr>
            </w:pPr>
            <w:r>
              <w:rPr>
                <w:rFonts w:ascii="Arial" w:eastAsia="Arial" w:hAnsi="Arial" w:cs="Arial"/>
                <w:color w:val="000000"/>
                <w:sz w:val="16"/>
              </w:rPr>
              <w:t>Budget</w:t>
            </w:r>
          </w:p>
        </w:tc>
        <w:tc>
          <w:tcPr>
            <w:tcW w:w="975" w:type="dxa"/>
            <w:tcBorders>
              <w:top w:val="nil"/>
              <w:left w:val="nil"/>
              <w:bottom w:val="nil"/>
              <w:right w:val="nil"/>
              <w:tl2br w:val="nil"/>
              <w:tr2bl w:val="nil"/>
            </w:tcBorders>
            <w:shd w:val="clear" w:color="auto" w:fill="FFFFFF"/>
            <w:tcMar>
              <w:left w:w="115" w:type="dxa"/>
              <w:right w:w="115" w:type="dxa"/>
            </w:tcMar>
            <w:vAlign w:val="bottom"/>
          </w:tcPr>
          <w:p w14:paraId="145FA0EA" w14:textId="77777777" w:rsidR="00724034" w:rsidRDefault="00FB7D0B">
            <w:pPr>
              <w:jc w:val="right"/>
              <w:rPr>
                <w:rFonts w:ascii="Arial" w:eastAsia="Arial" w:hAnsi="Arial" w:cs="Arial"/>
                <w:color w:val="000000"/>
                <w:sz w:val="16"/>
              </w:rPr>
            </w:pPr>
            <w:r>
              <w:rPr>
                <w:rFonts w:ascii="Arial" w:eastAsia="Arial" w:hAnsi="Arial" w:cs="Arial"/>
                <w:color w:val="000000"/>
                <w:sz w:val="16"/>
              </w:rPr>
              <w:t>Forward</w:t>
            </w:r>
          </w:p>
        </w:tc>
        <w:tc>
          <w:tcPr>
            <w:tcW w:w="975" w:type="dxa"/>
            <w:tcBorders>
              <w:top w:val="nil"/>
              <w:left w:val="nil"/>
              <w:bottom w:val="nil"/>
              <w:right w:val="nil"/>
              <w:tl2br w:val="nil"/>
              <w:tr2bl w:val="nil"/>
            </w:tcBorders>
            <w:shd w:val="clear" w:color="auto" w:fill="FFFFFF"/>
            <w:tcMar>
              <w:left w:w="115" w:type="dxa"/>
              <w:right w:w="115" w:type="dxa"/>
            </w:tcMar>
            <w:vAlign w:val="bottom"/>
          </w:tcPr>
          <w:p w14:paraId="33ACE3CF" w14:textId="77777777" w:rsidR="00724034" w:rsidRDefault="00FB7D0B">
            <w:pPr>
              <w:jc w:val="right"/>
              <w:rPr>
                <w:rFonts w:ascii="Arial" w:eastAsia="Arial" w:hAnsi="Arial" w:cs="Arial"/>
                <w:color w:val="000000"/>
                <w:sz w:val="16"/>
              </w:rPr>
            </w:pPr>
            <w:r>
              <w:rPr>
                <w:rFonts w:ascii="Arial" w:eastAsia="Arial" w:hAnsi="Arial" w:cs="Arial"/>
                <w:color w:val="000000"/>
                <w:sz w:val="16"/>
              </w:rPr>
              <w:t>Forward</w:t>
            </w:r>
          </w:p>
        </w:tc>
        <w:tc>
          <w:tcPr>
            <w:tcW w:w="975" w:type="dxa"/>
            <w:tcBorders>
              <w:top w:val="nil"/>
              <w:left w:val="nil"/>
              <w:bottom w:val="nil"/>
              <w:right w:val="single" w:sz="6" w:space="0" w:color="000000"/>
              <w:tl2br w:val="nil"/>
              <w:tr2bl w:val="nil"/>
            </w:tcBorders>
            <w:shd w:val="clear" w:color="auto" w:fill="FFFFFF"/>
            <w:tcMar>
              <w:left w:w="115" w:type="dxa"/>
              <w:right w:w="115" w:type="dxa"/>
            </w:tcMar>
            <w:vAlign w:val="bottom"/>
          </w:tcPr>
          <w:p w14:paraId="0AAC5BE3" w14:textId="77777777" w:rsidR="00724034" w:rsidRDefault="00FB7D0B">
            <w:pPr>
              <w:jc w:val="right"/>
              <w:rPr>
                <w:rFonts w:ascii="Arial" w:eastAsia="Arial" w:hAnsi="Arial" w:cs="Arial"/>
                <w:color w:val="000000"/>
                <w:sz w:val="16"/>
              </w:rPr>
            </w:pPr>
            <w:r>
              <w:rPr>
                <w:rFonts w:ascii="Arial" w:eastAsia="Arial" w:hAnsi="Arial" w:cs="Arial"/>
                <w:color w:val="000000"/>
                <w:sz w:val="16"/>
              </w:rPr>
              <w:t>Forward</w:t>
            </w:r>
          </w:p>
        </w:tc>
      </w:tr>
      <w:tr w:rsidR="00724034" w14:paraId="260F03AF" w14:textId="77777777">
        <w:tblPrEx>
          <w:tblLook w:val="04A0" w:firstRow="1" w:lastRow="0" w:firstColumn="1" w:lastColumn="0" w:noHBand="0" w:noVBand="1"/>
        </w:tblPrEx>
        <w:trPr>
          <w:gridAfter w:val="1"/>
          <w:wAfter w:w="10" w:type="dxa"/>
          <w:trHeight w:val="225"/>
        </w:trPr>
        <w:tc>
          <w:tcPr>
            <w:tcW w:w="3195" w:type="dxa"/>
            <w:tcBorders>
              <w:top w:val="nil"/>
              <w:left w:val="single" w:sz="6" w:space="0" w:color="000000"/>
              <w:bottom w:val="single" w:sz="6" w:space="0" w:color="000000"/>
              <w:right w:val="nil"/>
              <w:tl2br w:val="nil"/>
              <w:tr2bl w:val="nil"/>
            </w:tcBorders>
            <w:shd w:val="clear" w:color="auto" w:fill="FFFFFF"/>
            <w:tcMar>
              <w:left w:w="115" w:type="dxa"/>
              <w:right w:w="115" w:type="dxa"/>
            </w:tcMar>
            <w:vAlign w:val="bottom"/>
          </w:tcPr>
          <w:p w14:paraId="6F93C032" w14:textId="77777777" w:rsidR="00724034" w:rsidRDefault="00FB7D0B">
            <w:pPr>
              <w:rPr>
                <w:rFonts w:ascii="Arial" w:eastAsia="Arial" w:hAnsi="Arial" w:cs="Arial"/>
                <w:color w:val="000000"/>
                <w:sz w:val="16"/>
              </w:rPr>
            </w:pPr>
            <w:r>
              <w:rPr>
                <w:rFonts w:ascii="Arial" w:eastAsia="Arial" w:hAnsi="Arial" w:cs="Arial"/>
                <w:color w:val="000000"/>
                <w:sz w:val="16"/>
              </w:rPr>
              <w:t>Indicators</w:t>
            </w:r>
          </w:p>
        </w:tc>
        <w:tc>
          <w:tcPr>
            <w:tcW w:w="975"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1241299D" w14:textId="77777777" w:rsidR="00724034" w:rsidRDefault="00FB7D0B">
            <w:pPr>
              <w:jc w:val="right"/>
              <w:rPr>
                <w:rFonts w:ascii="Arial" w:eastAsia="Arial" w:hAnsi="Arial" w:cs="Arial"/>
                <w:color w:val="000000"/>
                <w:sz w:val="16"/>
                <w:vertAlign w:val="superscript"/>
              </w:rPr>
            </w:pPr>
            <w:r>
              <w:rPr>
                <w:rFonts w:ascii="Arial" w:eastAsia="Arial" w:hAnsi="Arial" w:cs="Arial"/>
                <w:color w:val="000000"/>
                <w:sz w:val="16"/>
              </w:rPr>
              <w:t>budget</w:t>
            </w:r>
          </w:p>
        </w:tc>
        <w:tc>
          <w:tcPr>
            <w:tcW w:w="975" w:type="dxa"/>
            <w:tcBorders>
              <w:top w:val="nil"/>
              <w:left w:val="nil"/>
              <w:bottom w:val="single" w:sz="6" w:space="0" w:color="000000"/>
              <w:right w:val="nil"/>
              <w:tl2br w:val="nil"/>
              <w:tr2bl w:val="nil"/>
            </w:tcBorders>
            <w:shd w:val="clear" w:color="auto" w:fill="FFFF00"/>
            <w:tcMar>
              <w:left w:w="115" w:type="dxa"/>
              <w:right w:w="115" w:type="dxa"/>
            </w:tcMar>
            <w:vAlign w:val="bottom"/>
          </w:tcPr>
          <w:p w14:paraId="68E631CB" w14:textId="77777777" w:rsidR="00724034" w:rsidRDefault="00FB7D0B">
            <w:pPr>
              <w:jc w:val="right"/>
              <w:rPr>
                <w:rFonts w:ascii="Arial" w:eastAsia="Arial" w:hAnsi="Arial" w:cs="Arial"/>
                <w:color w:val="000000"/>
                <w:sz w:val="16"/>
              </w:rPr>
            </w:pPr>
            <w:r>
              <w:rPr>
                <w:rFonts w:ascii="Arial" w:eastAsia="Arial" w:hAnsi="Arial" w:cs="Arial"/>
                <w:color w:val="000000"/>
                <w:sz w:val="16"/>
              </w:rPr>
              <w:t>target</w:t>
            </w:r>
          </w:p>
        </w:tc>
        <w:tc>
          <w:tcPr>
            <w:tcW w:w="975"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621116B4" w14:textId="77777777" w:rsidR="00724034" w:rsidRDefault="00FB7D0B">
            <w:pPr>
              <w:jc w:val="right"/>
              <w:rPr>
                <w:rFonts w:ascii="Arial" w:eastAsia="Arial" w:hAnsi="Arial" w:cs="Arial"/>
                <w:color w:val="000000"/>
                <w:sz w:val="16"/>
              </w:rPr>
            </w:pPr>
            <w:r>
              <w:rPr>
                <w:rFonts w:ascii="Arial" w:eastAsia="Arial" w:hAnsi="Arial" w:cs="Arial"/>
                <w:color w:val="000000"/>
                <w:sz w:val="16"/>
              </w:rPr>
              <w:t>year 1</w:t>
            </w:r>
          </w:p>
        </w:tc>
        <w:tc>
          <w:tcPr>
            <w:tcW w:w="975"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44A0EF0D" w14:textId="77777777" w:rsidR="00724034" w:rsidRDefault="00FB7D0B">
            <w:pPr>
              <w:jc w:val="right"/>
              <w:rPr>
                <w:rFonts w:ascii="Arial" w:eastAsia="Arial" w:hAnsi="Arial" w:cs="Arial"/>
                <w:color w:val="000000"/>
                <w:sz w:val="16"/>
              </w:rPr>
            </w:pPr>
            <w:r>
              <w:rPr>
                <w:rFonts w:ascii="Arial" w:eastAsia="Arial" w:hAnsi="Arial" w:cs="Arial"/>
                <w:color w:val="000000"/>
                <w:sz w:val="16"/>
              </w:rPr>
              <w:t>year 2</w:t>
            </w:r>
          </w:p>
        </w:tc>
        <w:tc>
          <w:tcPr>
            <w:tcW w:w="975" w:type="dxa"/>
            <w:tcBorders>
              <w:top w:val="nil"/>
              <w:left w:val="nil"/>
              <w:bottom w:val="single" w:sz="6" w:space="0" w:color="000000"/>
              <w:right w:val="single" w:sz="6" w:space="0" w:color="000000"/>
              <w:tl2br w:val="nil"/>
              <w:tr2bl w:val="nil"/>
            </w:tcBorders>
            <w:shd w:val="clear" w:color="auto" w:fill="FFFFFF"/>
            <w:tcMar>
              <w:left w:w="115" w:type="dxa"/>
              <w:right w:w="115" w:type="dxa"/>
            </w:tcMar>
            <w:vAlign w:val="bottom"/>
          </w:tcPr>
          <w:p w14:paraId="6CFFA2A2" w14:textId="77777777" w:rsidR="00724034" w:rsidRDefault="00FB7D0B">
            <w:pPr>
              <w:jc w:val="right"/>
              <w:rPr>
                <w:rFonts w:ascii="Arial" w:eastAsia="Arial" w:hAnsi="Arial" w:cs="Arial"/>
                <w:color w:val="000000"/>
                <w:sz w:val="16"/>
              </w:rPr>
            </w:pPr>
            <w:r>
              <w:rPr>
                <w:rFonts w:ascii="Arial" w:eastAsia="Arial" w:hAnsi="Arial" w:cs="Arial"/>
                <w:color w:val="000000"/>
                <w:sz w:val="16"/>
              </w:rPr>
              <w:t>year 3</w:t>
            </w:r>
          </w:p>
        </w:tc>
      </w:tr>
      <w:tr w:rsidR="00724034" w14:paraId="77C17C0D" w14:textId="77777777">
        <w:tblPrEx>
          <w:tblLook w:val="04A0" w:firstRow="1" w:lastRow="0" w:firstColumn="1" w:lastColumn="0" w:noHBand="0" w:noVBand="1"/>
        </w:tblPrEx>
        <w:trPr>
          <w:gridAfter w:val="1"/>
          <w:wAfter w:w="10" w:type="dxa"/>
          <w:trHeight w:val="60"/>
        </w:trPr>
        <w:tc>
          <w:tcPr>
            <w:tcW w:w="3195" w:type="dxa"/>
            <w:tcBorders>
              <w:top w:val="single" w:sz="6" w:space="0" w:color="000000"/>
              <w:left w:val="single" w:sz="6" w:space="0" w:color="000000"/>
              <w:bottom w:val="nil"/>
              <w:right w:val="nil"/>
              <w:tl2br w:val="nil"/>
              <w:tr2bl w:val="nil"/>
            </w:tcBorders>
            <w:shd w:val="clear" w:color="auto" w:fill="FFFFFF"/>
            <w:tcMar>
              <w:left w:w="115" w:type="dxa"/>
              <w:right w:w="115" w:type="dxa"/>
            </w:tcMar>
            <w:vAlign w:val="bottom"/>
          </w:tcPr>
          <w:p w14:paraId="290D1A88" w14:textId="77777777" w:rsidR="00724034" w:rsidRDefault="00724034">
            <w:pPr>
              <w:rPr>
                <w:rFonts w:ascii="Arial" w:eastAsia="Arial" w:hAnsi="Arial" w:cs="Arial"/>
                <w:color w:val="000000"/>
                <w:sz w:val="16"/>
              </w:rPr>
            </w:pPr>
          </w:p>
        </w:tc>
        <w:tc>
          <w:tcPr>
            <w:tcW w:w="975"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76BF9198" w14:textId="77777777" w:rsidR="00724034" w:rsidRDefault="00724034">
            <w:pPr>
              <w:jc w:val="right"/>
              <w:rPr>
                <w:rFonts w:ascii="Arial" w:eastAsia="Arial" w:hAnsi="Arial" w:cs="Arial"/>
                <w:color w:val="000000"/>
                <w:sz w:val="16"/>
                <w:vertAlign w:val="superscript"/>
              </w:rPr>
            </w:pPr>
          </w:p>
        </w:tc>
        <w:tc>
          <w:tcPr>
            <w:tcW w:w="975" w:type="dxa"/>
            <w:tcBorders>
              <w:top w:val="single" w:sz="6" w:space="0" w:color="000000"/>
              <w:left w:val="nil"/>
              <w:bottom w:val="nil"/>
              <w:right w:val="nil"/>
              <w:tl2br w:val="nil"/>
              <w:tr2bl w:val="nil"/>
            </w:tcBorders>
            <w:shd w:val="clear" w:color="auto" w:fill="FFFF00"/>
            <w:tcMar>
              <w:left w:w="115" w:type="dxa"/>
              <w:right w:w="115" w:type="dxa"/>
            </w:tcMar>
            <w:vAlign w:val="bottom"/>
          </w:tcPr>
          <w:p w14:paraId="2E416B48" w14:textId="77777777" w:rsidR="00724034" w:rsidRDefault="00724034">
            <w:pPr>
              <w:jc w:val="right"/>
              <w:rPr>
                <w:rFonts w:ascii="Arial" w:eastAsia="Arial" w:hAnsi="Arial" w:cs="Arial"/>
                <w:color w:val="000000"/>
                <w:sz w:val="16"/>
                <w:vertAlign w:val="superscript"/>
              </w:rPr>
            </w:pPr>
          </w:p>
        </w:tc>
        <w:tc>
          <w:tcPr>
            <w:tcW w:w="975"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1EBD74C3" w14:textId="77777777" w:rsidR="00724034" w:rsidRDefault="00724034">
            <w:pPr>
              <w:jc w:val="right"/>
              <w:rPr>
                <w:rFonts w:ascii="Arial" w:eastAsia="Arial" w:hAnsi="Arial" w:cs="Arial"/>
                <w:color w:val="000000"/>
                <w:sz w:val="16"/>
                <w:vertAlign w:val="superscript"/>
              </w:rPr>
            </w:pPr>
          </w:p>
        </w:tc>
        <w:tc>
          <w:tcPr>
            <w:tcW w:w="975"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65351AE1" w14:textId="77777777" w:rsidR="00724034" w:rsidRDefault="00724034">
            <w:pPr>
              <w:jc w:val="right"/>
              <w:rPr>
                <w:rFonts w:ascii="Arial" w:eastAsia="Arial" w:hAnsi="Arial" w:cs="Arial"/>
                <w:color w:val="000000"/>
                <w:sz w:val="16"/>
                <w:vertAlign w:val="superscript"/>
              </w:rPr>
            </w:pPr>
          </w:p>
        </w:tc>
        <w:tc>
          <w:tcPr>
            <w:tcW w:w="975" w:type="dxa"/>
            <w:tcBorders>
              <w:top w:val="single" w:sz="6" w:space="0" w:color="000000"/>
              <w:left w:val="nil"/>
              <w:bottom w:val="nil"/>
              <w:right w:val="single" w:sz="6" w:space="0" w:color="000000"/>
              <w:tl2br w:val="nil"/>
              <w:tr2bl w:val="nil"/>
            </w:tcBorders>
            <w:shd w:val="clear" w:color="auto" w:fill="FFFFFF"/>
            <w:tcMar>
              <w:left w:w="115" w:type="dxa"/>
              <w:right w:w="115" w:type="dxa"/>
            </w:tcMar>
            <w:vAlign w:val="bottom"/>
          </w:tcPr>
          <w:p w14:paraId="415512DD" w14:textId="77777777" w:rsidR="00724034" w:rsidRDefault="00724034">
            <w:pPr>
              <w:jc w:val="right"/>
              <w:rPr>
                <w:rFonts w:ascii="Arial" w:eastAsia="Arial" w:hAnsi="Arial" w:cs="Arial"/>
                <w:color w:val="000000"/>
                <w:sz w:val="16"/>
                <w:vertAlign w:val="superscript"/>
              </w:rPr>
            </w:pPr>
          </w:p>
        </w:tc>
      </w:tr>
      <w:tr w:rsidR="00724034" w14:paraId="1C68462B" w14:textId="77777777">
        <w:tblPrEx>
          <w:tblLook w:val="04A0" w:firstRow="1" w:lastRow="0" w:firstColumn="1" w:lastColumn="0" w:noHBand="0" w:noVBand="1"/>
        </w:tblPrEx>
        <w:trPr>
          <w:gridAfter w:val="1"/>
          <w:wAfter w:w="10" w:type="dxa"/>
          <w:trHeight w:val="450"/>
        </w:trPr>
        <w:tc>
          <w:tcPr>
            <w:tcW w:w="3195" w:type="dxa"/>
            <w:tcBorders>
              <w:top w:val="nil"/>
              <w:left w:val="single" w:sz="6" w:space="0" w:color="000000"/>
              <w:bottom w:val="nil"/>
              <w:right w:val="nil"/>
              <w:tl2br w:val="nil"/>
              <w:tr2bl w:val="nil"/>
            </w:tcBorders>
            <w:shd w:val="clear" w:color="auto" w:fill="FFFFFF"/>
            <w:tcMar>
              <w:left w:w="115" w:type="dxa"/>
              <w:right w:w="115" w:type="dxa"/>
            </w:tcMar>
            <w:vAlign w:val="bottom"/>
          </w:tcPr>
          <w:p w14:paraId="54C101C5" w14:textId="77777777" w:rsidR="00724034" w:rsidRDefault="00FB7D0B">
            <w:pPr>
              <w:rPr>
                <w:rFonts w:ascii="Arial" w:eastAsia="Arial" w:hAnsi="Arial" w:cs="Arial"/>
                <w:color w:val="000000"/>
                <w:sz w:val="16"/>
                <w:vertAlign w:val="superscript"/>
              </w:rPr>
            </w:pPr>
            <w:r>
              <w:rPr>
                <w:rFonts w:ascii="Arial" w:eastAsia="Arial" w:hAnsi="Arial" w:cs="Arial"/>
                <w:i/>
                <w:color w:val="000000"/>
                <w:sz w:val="16"/>
              </w:rPr>
              <w:t>Timeliness:</w:t>
            </w:r>
            <w:r>
              <w:rPr>
                <w:rFonts w:ascii="Arial" w:eastAsia="Arial" w:hAnsi="Arial" w:cs="Arial"/>
                <w:color w:val="000000"/>
                <w:sz w:val="16"/>
              </w:rPr>
              <w:t xml:space="preserve"> Mean number of days to process a primary claim</w:t>
            </w:r>
          </w:p>
        </w:tc>
        <w:tc>
          <w:tcPr>
            <w:tcW w:w="975" w:type="dxa"/>
            <w:tcBorders>
              <w:top w:val="nil"/>
              <w:left w:val="nil"/>
              <w:bottom w:val="nil"/>
              <w:right w:val="nil"/>
              <w:tl2br w:val="nil"/>
              <w:tr2bl w:val="nil"/>
            </w:tcBorders>
            <w:shd w:val="clear" w:color="auto" w:fill="FFFFFF"/>
            <w:tcMar>
              <w:left w:w="115" w:type="dxa"/>
              <w:right w:w="115" w:type="dxa"/>
            </w:tcMar>
            <w:vAlign w:val="bottom"/>
          </w:tcPr>
          <w:p w14:paraId="0B6DD6EF" w14:textId="77777777" w:rsidR="00724034" w:rsidRDefault="00FB7D0B">
            <w:pPr>
              <w:jc w:val="right"/>
              <w:rPr>
                <w:rFonts w:ascii="Arial" w:eastAsia="Arial" w:hAnsi="Arial" w:cs="Arial"/>
                <w:i/>
                <w:color w:val="000000"/>
                <w:sz w:val="16"/>
                <w:vertAlign w:val="superscript"/>
              </w:rPr>
            </w:pPr>
            <w:r>
              <w:rPr>
                <w:rFonts w:ascii="Arial" w:eastAsia="Arial" w:hAnsi="Arial" w:cs="Arial"/>
                <w:color w:val="000000"/>
                <w:sz w:val="16"/>
              </w:rPr>
              <w:t>75 </w:t>
            </w:r>
          </w:p>
        </w:tc>
        <w:tc>
          <w:tcPr>
            <w:tcW w:w="975" w:type="dxa"/>
            <w:tcBorders>
              <w:top w:val="nil"/>
              <w:left w:val="nil"/>
              <w:bottom w:val="nil"/>
              <w:right w:val="nil"/>
              <w:tl2br w:val="nil"/>
              <w:tr2bl w:val="nil"/>
            </w:tcBorders>
            <w:shd w:val="clear" w:color="auto" w:fill="FFFF00"/>
            <w:tcMar>
              <w:left w:w="115" w:type="dxa"/>
              <w:right w:w="115" w:type="dxa"/>
            </w:tcMar>
            <w:vAlign w:val="bottom"/>
          </w:tcPr>
          <w:p w14:paraId="0FDB45AD" w14:textId="77777777" w:rsidR="00724034" w:rsidRDefault="00FB7D0B">
            <w:pPr>
              <w:jc w:val="right"/>
              <w:rPr>
                <w:rFonts w:ascii="Arial" w:eastAsia="Arial" w:hAnsi="Arial" w:cs="Arial"/>
                <w:color w:val="000000"/>
                <w:sz w:val="16"/>
              </w:rPr>
            </w:pPr>
            <w:r>
              <w:rPr>
                <w:rFonts w:ascii="Arial" w:eastAsia="Arial" w:hAnsi="Arial" w:cs="Arial"/>
                <w:color w:val="000000"/>
                <w:sz w:val="16"/>
              </w:rPr>
              <w:t>75 </w:t>
            </w:r>
          </w:p>
        </w:tc>
        <w:tc>
          <w:tcPr>
            <w:tcW w:w="975" w:type="dxa"/>
            <w:tcBorders>
              <w:top w:val="nil"/>
              <w:left w:val="nil"/>
              <w:bottom w:val="nil"/>
              <w:right w:val="nil"/>
              <w:tl2br w:val="nil"/>
              <w:tr2bl w:val="nil"/>
            </w:tcBorders>
            <w:shd w:val="clear" w:color="auto" w:fill="FFFFFF"/>
            <w:tcMar>
              <w:left w:w="115" w:type="dxa"/>
              <w:right w:w="115" w:type="dxa"/>
            </w:tcMar>
            <w:vAlign w:val="bottom"/>
          </w:tcPr>
          <w:p w14:paraId="6A0CAFD3" w14:textId="77777777" w:rsidR="00724034" w:rsidRDefault="00FB7D0B">
            <w:pPr>
              <w:jc w:val="right"/>
              <w:rPr>
                <w:rFonts w:ascii="Arial" w:eastAsia="Arial" w:hAnsi="Arial" w:cs="Arial"/>
                <w:color w:val="000000"/>
                <w:sz w:val="16"/>
              </w:rPr>
            </w:pPr>
            <w:r>
              <w:rPr>
                <w:rFonts w:ascii="Arial" w:eastAsia="Arial" w:hAnsi="Arial" w:cs="Arial"/>
                <w:color w:val="000000"/>
                <w:sz w:val="16"/>
              </w:rPr>
              <w:t>75 </w:t>
            </w:r>
          </w:p>
        </w:tc>
        <w:tc>
          <w:tcPr>
            <w:tcW w:w="975" w:type="dxa"/>
            <w:tcBorders>
              <w:top w:val="nil"/>
              <w:left w:val="nil"/>
              <w:bottom w:val="nil"/>
              <w:right w:val="nil"/>
              <w:tl2br w:val="nil"/>
              <w:tr2bl w:val="nil"/>
            </w:tcBorders>
            <w:shd w:val="clear" w:color="auto" w:fill="FFFFFF"/>
            <w:tcMar>
              <w:left w:w="115" w:type="dxa"/>
              <w:right w:w="115" w:type="dxa"/>
            </w:tcMar>
            <w:vAlign w:val="bottom"/>
          </w:tcPr>
          <w:p w14:paraId="03C2116A" w14:textId="77777777" w:rsidR="00724034" w:rsidRDefault="00FB7D0B">
            <w:pPr>
              <w:jc w:val="right"/>
              <w:rPr>
                <w:rFonts w:ascii="Arial" w:eastAsia="Arial" w:hAnsi="Arial" w:cs="Arial"/>
                <w:color w:val="000000"/>
                <w:sz w:val="16"/>
              </w:rPr>
            </w:pPr>
            <w:r>
              <w:rPr>
                <w:rFonts w:ascii="Arial" w:eastAsia="Arial" w:hAnsi="Arial" w:cs="Arial"/>
                <w:color w:val="000000"/>
                <w:sz w:val="16"/>
              </w:rPr>
              <w:t>75 </w:t>
            </w:r>
          </w:p>
        </w:tc>
        <w:tc>
          <w:tcPr>
            <w:tcW w:w="975" w:type="dxa"/>
            <w:tcBorders>
              <w:top w:val="nil"/>
              <w:left w:val="nil"/>
              <w:bottom w:val="nil"/>
              <w:right w:val="single" w:sz="6" w:space="0" w:color="000000"/>
              <w:tl2br w:val="nil"/>
              <w:tr2bl w:val="nil"/>
            </w:tcBorders>
            <w:shd w:val="clear" w:color="auto" w:fill="FFFFFF"/>
            <w:tcMar>
              <w:left w:w="115" w:type="dxa"/>
              <w:right w:w="115" w:type="dxa"/>
            </w:tcMar>
            <w:vAlign w:val="bottom"/>
          </w:tcPr>
          <w:p w14:paraId="4722C83A" w14:textId="77777777" w:rsidR="00724034" w:rsidRDefault="00FB7D0B">
            <w:pPr>
              <w:jc w:val="right"/>
              <w:rPr>
                <w:rFonts w:ascii="Arial" w:eastAsia="Arial" w:hAnsi="Arial" w:cs="Arial"/>
                <w:color w:val="000000"/>
                <w:sz w:val="16"/>
              </w:rPr>
            </w:pPr>
            <w:r>
              <w:rPr>
                <w:rFonts w:ascii="Arial" w:eastAsia="Arial" w:hAnsi="Arial" w:cs="Arial"/>
                <w:color w:val="000000"/>
                <w:sz w:val="16"/>
              </w:rPr>
              <w:t>75 </w:t>
            </w:r>
          </w:p>
        </w:tc>
      </w:tr>
      <w:tr w:rsidR="00724034" w14:paraId="766EDAC1" w14:textId="77777777">
        <w:tblPrEx>
          <w:tblLook w:val="04A0" w:firstRow="1" w:lastRow="0" w:firstColumn="1" w:lastColumn="0" w:noHBand="0" w:noVBand="1"/>
        </w:tblPrEx>
        <w:trPr>
          <w:gridAfter w:val="1"/>
          <w:wAfter w:w="10" w:type="dxa"/>
          <w:trHeight w:val="450"/>
        </w:trPr>
        <w:tc>
          <w:tcPr>
            <w:tcW w:w="3195" w:type="dxa"/>
            <w:tcBorders>
              <w:top w:val="nil"/>
              <w:left w:val="single" w:sz="6" w:space="0" w:color="000000"/>
              <w:bottom w:val="nil"/>
              <w:right w:val="nil"/>
              <w:tl2br w:val="nil"/>
              <w:tr2bl w:val="nil"/>
            </w:tcBorders>
            <w:shd w:val="clear" w:color="auto" w:fill="FFFFFF"/>
            <w:tcMar>
              <w:left w:w="115" w:type="dxa"/>
              <w:right w:w="115" w:type="dxa"/>
            </w:tcMar>
            <w:vAlign w:val="bottom"/>
          </w:tcPr>
          <w:p w14:paraId="6758A514" w14:textId="77777777" w:rsidR="00724034" w:rsidRDefault="00FB7D0B">
            <w:pPr>
              <w:rPr>
                <w:rFonts w:ascii="Arial" w:eastAsia="Arial" w:hAnsi="Arial" w:cs="Arial"/>
                <w:color w:val="000000"/>
                <w:sz w:val="16"/>
              </w:rPr>
            </w:pPr>
            <w:r>
              <w:rPr>
                <w:rFonts w:ascii="Arial" w:eastAsia="Arial" w:hAnsi="Arial" w:cs="Arial"/>
                <w:i/>
                <w:color w:val="000000"/>
                <w:sz w:val="16"/>
              </w:rPr>
              <w:t xml:space="preserve">Timeliness: </w:t>
            </w:r>
            <w:r>
              <w:rPr>
                <w:rFonts w:ascii="Arial" w:eastAsia="Arial" w:hAnsi="Arial" w:cs="Arial"/>
                <w:color w:val="000000"/>
                <w:sz w:val="16"/>
              </w:rPr>
              <w:t>Mean number of days to prepare s.31 review</w:t>
            </w:r>
          </w:p>
        </w:tc>
        <w:tc>
          <w:tcPr>
            <w:tcW w:w="975" w:type="dxa"/>
            <w:tcBorders>
              <w:top w:val="nil"/>
              <w:left w:val="nil"/>
              <w:bottom w:val="nil"/>
              <w:right w:val="nil"/>
              <w:tl2br w:val="nil"/>
              <w:tr2bl w:val="nil"/>
            </w:tcBorders>
            <w:shd w:val="clear" w:color="auto" w:fill="FFFFFF"/>
            <w:tcMar>
              <w:left w:w="115" w:type="dxa"/>
              <w:right w:w="115" w:type="dxa"/>
            </w:tcMar>
            <w:vAlign w:val="bottom"/>
          </w:tcPr>
          <w:p w14:paraId="4EC1D8B7" w14:textId="77777777" w:rsidR="00724034" w:rsidRDefault="00FB7D0B">
            <w:pPr>
              <w:jc w:val="right"/>
              <w:rPr>
                <w:rFonts w:ascii="Arial" w:eastAsia="Arial" w:hAnsi="Arial" w:cs="Arial"/>
                <w:i/>
                <w:color w:val="000000"/>
                <w:sz w:val="16"/>
                <w:vertAlign w:val="superscript"/>
              </w:rPr>
            </w:pPr>
            <w:r>
              <w:rPr>
                <w:rFonts w:ascii="Arial" w:eastAsia="Arial" w:hAnsi="Arial" w:cs="Arial"/>
                <w:color w:val="000000"/>
                <w:sz w:val="16"/>
              </w:rPr>
              <w:t>40 </w:t>
            </w:r>
          </w:p>
        </w:tc>
        <w:tc>
          <w:tcPr>
            <w:tcW w:w="975" w:type="dxa"/>
            <w:tcBorders>
              <w:top w:val="nil"/>
              <w:left w:val="nil"/>
              <w:bottom w:val="nil"/>
              <w:right w:val="nil"/>
              <w:tl2br w:val="nil"/>
              <w:tr2bl w:val="nil"/>
            </w:tcBorders>
            <w:shd w:val="clear" w:color="auto" w:fill="FFFF00"/>
            <w:tcMar>
              <w:left w:w="115" w:type="dxa"/>
              <w:right w:w="115" w:type="dxa"/>
            </w:tcMar>
            <w:vAlign w:val="bottom"/>
          </w:tcPr>
          <w:p w14:paraId="7DA3C642" w14:textId="77777777" w:rsidR="00724034" w:rsidRDefault="00FB7D0B">
            <w:pPr>
              <w:jc w:val="right"/>
              <w:rPr>
                <w:rFonts w:ascii="Arial" w:eastAsia="Arial" w:hAnsi="Arial" w:cs="Arial"/>
                <w:color w:val="000000"/>
                <w:sz w:val="16"/>
              </w:rPr>
            </w:pPr>
            <w:r>
              <w:rPr>
                <w:rFonts w:ascii="Arial" w:eastAsia="Arial" w:hAnsi="Arial" w:cs="Arial"/>
                <w:color w:val="000000"/>
                <w:sz w:val="16"/>
              </w:rPr>
              <w:t>40 </w:t>
            </w:r>
          </w:p>
        </w:tc>
        <w:tc>
          <w:tcPr>
            <w:tcW w:w="975" w:type="dxa"/>
            <w:tcBorders>
              <w:top w:val="nil"/>
              <w:left w:val="nil"/>
              <w:bottom w:val="nil"/>
              <w:right w:val="nil"/>
              <w:tl2br w:val="nil"/>
              <w:tr2bl w:val="nil"/>
            </w:tcBorders>
            <w:shd w:val="clear" w:color="auto" w:fill="FFFFFF"/>
            <w:tcMar>
              <w:left w:w="115" w:type="dxa"/>
              <w:right w:w="115" w:type="dxa"/>
            </w:tcMar>
            <w:vAlign w:val="bottom"/>
          </w:tcPr>
          <w:p w14:paraId="0EF9D3C1" w14:textId="77777777" w:rsidR="00724034" w:rsidRDefault="00FB7D0B">
            <w:pPr>
              <w:jc w:val="right"/>
              <w:rPr>
                <w:rFonts w:ascii="Arial" w:eastAsia="Arial" w:hAnsi="Arial" w:cs="Arial"/>
                <w:color w:val="000000"/>
                <w:sz w:val="16"/>
              </w:rPr>
            </w:pPr>
            <w:r>
              <w:rPr>
                <w:rFonts w:ascii="Arial" w:eastAsia="Arial" w:hAnsi="Arial" w:cs="Arial"/>
                <w:color w:val="000000"/>
                <w:sz w:val="16"/>
              </w:rPr>
              <w:t>40 </w:t>
            </w:r>
          </w:p>
        </w:tc>
        <w:tc>
          <w:tcPr>
            <w:tcW w:w="975" w:type="dxa"/>
            <w:tcBorders>
              <w:top w:val="nil"/>
              <w:left w:val="nil"/>
              <w:bottom w:val="nil"/>
              <w:right w:val="nil"/>
              <w:tl2br w:val="nil"/>
              <w:tr2bl w:val="nil"/>
            </w:tcBorders>
            <w:shd w:val="clear" w:color="auto" w:fill="FFFFFF"/>
            <w:tcMar>
              <w:left w:w="115" w:type="dxa"/>
              <w:right w:w="115" w:type="dxa"/>
            </w:tcMar>
            <w:vAlign w:val="bottom"/>
          </w:tcPr>
          <w:p w14:paraId="213D5DAB" w14:textId="77777777" w:rsidR="00724034" w:rsidRDefault="00FB7D0B">
            <w:pPr>
              <w:jc w:val="right"/>
              <w:rPr>
                <w:rFonts w:ascii="Arial" w:eastAsia="Arial" w:hAnsi="Arial" w:cs="Arial"/>
                <w:color w:val="000000"/>
                <w:sz w:val="16"/>
              </w:rPr>
            </w:pPr>
            <w:r>
              <w:rPr>
                <w:rFonts w:ascii="Arial" w:eastAsia="Arial" w:hAnsi="Arial" w:cs="Arial"/>
                <w:color w:val="000000"/>
                <w:sz w:val="16"/>
              </w:rPr>
              <w:t>40 </w:t>
            </w:r>
          </w:p>
        </w:tc>
        <w:tc>
          <w:tcPr>
            <w:tcW w:w="975" w:type="dxa"/>
            <w:tcBorders>
              <w:top w:val="nil"/>
              <w:left w:val="nil"/>
              <w:bottom w:val="nil"/>
              <w:right w:val="single" w:sz="6" w:space="0" w:color="000000"/>
              <w:tl2br w:val="nil"/>
              <w:tr2bl w:val="nil"/>
            </w:tcBorders>
            <w:shd w:val="clear" w:color="auto" w:fill="FFFFFF"/>
            <w:tcMar>
              <w:left w:w="115" w:type="dxa"/>
              <w:right w:w="115" w:type="dxa"/>
            </w:tcMar>
            <w:vAlign w:val="bottom"/>
          </w:tcPr>
          <w:p w14:paraId="4A3F38B2" w14:textId="77777777" w:rsidR="00724034" w:rsidRDefault="00FB7D0B">
            <w:pPr>
              <w:jc w:val="right"/>
              <w:rPr>
                <w:rFonts w:ascii="Arial" w:eastAsia="Arial" w:hAnsi="Arial" w:cs="Arial"/>
                <w:color w:val="000000"/>
                <w:sz w:val="16"/>
              </w:rPr>
            </w:pPr>
            <w:r>
              <w:rPr>
                <w:rFonts w:ascii="Arial" w:eastAsia="Arial" w:hAnsi="Arial" w:cs="Arial"/>
                <w:color w:val="000000"/>
                <w:sz w:val="16"/>
              </w:rPr>
              <w:t>40 </w:t>
            </w:r>
          </w:p>
        </w:tc>
      </w:tr>
      <w:tr w:rsidR="00724034" w14:paraId="082276D6" w14:textId="77777777">
        <w:tblPrEx>
          <w:tblLook w:val="04A0" w:firstRow="1" w:lastRow="0" w:firstColumn="1" w:lastColumn="0" w:noHBand="0" w:noVBand="1"/>
        </w:tblPrEx>
        <w:trPr>
          <w:gridAfter w:val="1"/>
          <w:wAfter w:w="10" w:type="dxa"/>
          <w:trHeight w:val="450"/>
        </w:trPr>
        <w:tc>
          <w:tcPr>
            <w:tcW w:w="3195" w:type="dxa"/>
            <w:tcBorders>
              <w:top w:val="nil"/>
              <w:left w:val="single" w:sz="6" w:space="0" w:color="000000"/>
              <w:bottom w:val="nil"/>
              <w:right w:val="nil"/>
              <w:tl2br w:val="nil"/>
              <w:tr2bl w:val="nil"/>
            </w:tcBorders>
            <w:shd w:val="clear" w:color="auto" w:fill="FFFFFF"/>
            <w:tcMar>
              <w:left w:w="115" w:type="dxa"/>
              <w:right w:w="115" w:type="dxa"/>
            </w:tcMar>
            <w:vAlign w:val="bottom"/>
          </w:tcPr>
          <w:p w14:paraId="15CB1301" w14:textId="77777777" w:rsidR="00724034" w:rsidRDefault="00FB7D0B">
            <w:pPr>
              <w:rPr>
                <w:rFonts w:ascii="Arial" w:eastAsia="Arial" w:hAnsi="Arial" w:cs="Arial"/>
                <w:color w:val="000000"/>
                <w:sz w:val="16"/>
              </w:rPr>
            </w:pPr>
            <w:r>
              <w:rPr>
                <w:rFonts w:ascii="Arial" w:eastAsia="Arial" w:hAnsi="Arial" w:cs="Arial"/>
                <w:i/>
                <w:color w:val="000000"/>
                <w:sz w:val="16"/>
              </w:rPr>
              <w:t xml:space="preserve">Price: </w:t>
            </w:r>
            <w:r>
              <w:rPr>
                <w:rFonts w:ascii="Arial" w:eastAsia="Arial" w:hAnsi="Arial" w:cs="Arial"/>
                <w:color w:val="000000"/>
                <w:sz w:val="16"/>
              </w:rPr>
              <w:t>Cost per war widow/ers pensioner $/beneficiary</w:t>
            </w:r>
          </w:p>
        </w:tc>
        <w:tc>
          <w:tcPr>
            <w:tcW w:w="975" w:type="dxa"/>
            <w:tcBorders>
              <w:top w:val="nil"/>
              <w:left w:val="nil"/>
              <w:bottom w:val="nil"/>
              <w:right w:val="nil"/>
              <w:tl2br w:val="nil"/>
              <w:tr2bl w:val="nil"/>
            </w:tcBorders>
            <w:shd w:val="clear" w:color="auto" w:fill="FFFFFF"/>
            <w:tcMar>
              <w:left w:w="115" w:type="dxa"/>
              <w:right w:w="115" w:type="dxa"/>
            </w:tcMar>
            <w:vAlign w:val="bottom"/>
          </w:tcPr>
          <w:p w14:paraId="2AA4CEA1" w14:textId="77777777" w:rsidR="00724034" w:rsidRDefault="00FB7D0B">
            <w:pPr>
              <w:jc w:val="right"/>
              <w:rPr>
                <w:rFonts w:ascii="Arial" w:eastAsia="Arial" w:hAnsi="Arial" w:cs="Arial"/>
                <w:i/>
                <w:color w:val="000000"/>
                <w:sz w:val="16"/>
                <w:vertAlign w:val="superscript"/>
              </w:rPr>
            </w:pPr>
            <w:r>
              <w:rPr>
                <w:rFonts w:ascii="Arial" w:eastAsia="Arial" w:hAnsi="Arial" w:cs="Arial"/>
                <w:color w:val="000000"/>
                <w:sz w:val="16"/>
              </w:rPr>
              <w:t>129 </w:t>
            </w:r>
          </w:p>
        </w:tc>
        <w:tc>
          <w:tcPr>
            <w:tcW w:w="975" w:type="dxa"/>
            <w:tcBorders>
              <w:top w:val="nil"/>
              <w:left w:val="nil"/>
              <w:bottom w:val="nil"/>
              <w:right w:val="nil"/>
              <w:tl2br w:val="nil"/>
              <w:tr2bl w:val="nil"/>
            </w:tcBorders>
            <w:shd w:val="clear" w:color="auto" w:fill="FFFF00"/>
            <w:tcMar>
              <w:left w:w="115" w:type="dxa"/>
              <w:right w:w="115" w:type="dxa"/>
            </w:tcMar>
            <w:vAlign w:val="bottom"/>
          </w:tcPr>
          <w:p w14:paraId="0F97B1FC" w14:textId="77777777" w:rsidR="00724034" w:rsidRDefault="00FB7D0B">
            <w:pPr>
              <w:jc w:val="right"/>
              <w:rPr>
                <w:rFonts w:ascii="Arial" w:eastAsia="Arial" w:hAnsi="Arial" w:cs="Arial"/>
                <w:color w:val="000000"/>
                <w:sz w:val="16"/>
              </w:rPr>
            </w:pPr>
            <w:r>
              <w:rPr>
                <w:rFonts w:ascii="Arial" w:eastAsia="Arial" w:hAnsi="Arial" w:cs="Arial"/>
                <w:color w:val="000000"/>
                <w:sz w:val="16"/>
              </w:rPr>
              <w:t>137 </w:t>
            </w:r>
          </w:p>
        </w:tc>
        <w:tc>
          <w:tcPr>
            <w:tcW w:w="975" w:type="dxa"/>
            <w:tcBorders>
              <w:top w:val="nil"/>
              <w:left w:val="nil"/>
              <w:bottom w:val="nil"/>
              <w:right w:val="nil"/>
              <w:tl2br w:val="nil"/>
              <w:tr2bl w:val="nil"/>
            </w:tcBorders>
            <w:shd w:val="clear" w:color="auto" w:fill="FFFFFF"/>
            <w:tcMar>
              <w:left w:w="115" w:type="dxa"/>
              <w:right w:w="115" w:type="dxa"/>
            </w:tcMar>
            <w:vAlign w:val="bottom"/>
          </w:tcPr>
          <w:p w14:paraId="4993CC90" w14:textId="77777777" w:rsidR="00724034" w:rsidRDefault="00FB7D0B">
            <w:pPr>
              <w:jc w:val="right"/>
              <w:rPr>
                <w:rFonts w:ascii="Arial" w:eastAsia="Arial" w:hAnsi="Arial" w:cs="Arial"/>
                <w:color w:val="000000"/>
                <w:sz w:val="16"/>
              </w:rPr>
            </w:pPr>
            <w:r>
              <w:rPr>
                <w:rFonts w:ascii="Arial" w:eastAsia="Arial" w:hAnsi="Arial" w:cs="Arial"/>
                <w:color w:val="000000"/>
                <w:sz w:val="16"/>
              </w:rPr>
              <w:t>144 </w:t>
            </w:r>
          </w:p>
        </w:tc>
        <w:tc>
          <w:tcPr>
            <w:tcW w:w="975" w:type="dxa"/>
            <w:tcBorders>
              <w:top w:val="nil"/>
              <w:left w:val="nil"/>
              <w:bottom w:val="nil"/>
              <w:right w:val="nil"/>
              <w:tl2br w:val="nil"/>
              <w:tr2bl w:val="nil"/>
            </w:tcBorders>
            <w:shd w:val="clear" w:color="auto" w:fill="FFFFFF"/>
            <w:tcMar>
              <w:left w:w="115" w:type="dxa"/>
              <w:right w:w="115" w:type="dxa"/>
            </w:tcMar>
            <w:vAlign w:val="bottom"/>
          </w:tcPr>
          <w:p w14:paraId="461B9D1C" w14:textId="77777777" w:rsidR="00724034" w:rsidRDefault="00FB7D0B">
            <w:pPr>
              <w:jc w:val="right"/>
              <w:rPr>
                <w:rFonts w:ascii="Arial" w:eastAsia="Arial" w:hAnsi="Arial" w:cs="Arial"/>
                <w:color w:val="000000"/>
                <w:sz w:val="16"/>
              </w:rPr>
            </w:pPr>
            <w:r>
              <w:rPr>
                <w:rFonts w:ascii="Arial" w:eastAsia="Arial" w:hAnsi="Arial" w:cs="Arial"/>
                <w:color w:val="000000"/>
                <w:sz w:val="16"/>
              </w:rPr>
              <w:t>152 </w:t>
            </w:r>
          </w:p>
        </w:tc>
        <w:tc>
          <w:tcPr>
            <w:tcW w:w="975" w:type="dxa"/>
            <w:tcBorders>
              <w:top w:val="nil"/>
              <w:left w:val="nil"/>
              <w:bottom w:val="nil"/>
              <w:right w:val="single" w:sz="6" w:space="0" w:color="000000"/>
              <w:tl2br w:val="nil"/>
              <w:tr2bl w:val="nil"/>
            </w:tcBorders>
            <w:shd w:val="clear" w:color="auto" w:fill="FFFFFF"/>
            <w:tcMar>
              <w:left w:w="115" w:type="dxa"/>
              <w:right w:w="115" w:type="dxa"/>
            </w:tcMar>
            <w:vAlign w:val="bottom"/>
          </w:tcPr>
          <w:p w14:paraId="2C670B1F" w14:textId="77777777" w:rsidR="00724034" w:rsidRDefault="00FB7D0B">
            <w:pPr>
              <w:jc w:val="right"/>
              <w:rPr>
                <w:rFonts w:ascii="Arial" w:eastAsia="Arial" w:hAnsi="Arial" w:cs="Arial"/>
                <w:color w:val="000000"/>
                <w:sz w:val="16"/>
              </w:rPr>
            </w:pPr>
            <w:r>
              <w:rPr>
                <w:rFonts w:ascii="Arial" w:eastAsia="Arial" w:hAnsi="Arial" w:cs="Arial"/>
                <w:color w:val="000000"/>
                <w:sz w:val="16"/>
              </w:rPr>
              <w:t>169 </w:t>
            </w:r>
          </w:p>
        </w:tc>
      </w:tr>
      <w:tr w:rsidR="00724034" w14:paraId="730A5633" w14:textId="77777777">
        <w:tblPrEx>
          <w:tblLook w:val="04A0" w:firstRow="1" w:lastRow="0" w:firstColumn="1" w:lastColumn="0" w:noHBand="0" w:noVBand="1"/>
        </w:tblPrEx>
        <w:trPr>
          <w:gridAfter w:val="1"/>
          <w:wAfter w:w="10" w:type="dxa"/>
          <w:trHeight w:val="225"/>
        </w:trPr>
        <w:tc>
          <w:tcPr>
            <w:tcW w:w="3195" w:type="dxa"/>
            <w:tcBorders>
              <w:top w:val="nil"/>
              <w:left w:val="single" w:sz="6" w:space="0" w:color="000000"/>
              <w:bottom w:val="single" w:sz="6" w:space="0" w:color="000000"/>
              <w:right w:val="nil"/>
              <w:tl2br w:val="nil"/>
              <w:tr2bl w:val="nil"/>
            </w:tcBorders>
            <w:shd w:val="clear" w:color="auto" w:fill="FFFFFF"/>
            <w:tcMar>
              <w:left w:w="115" w:type="dxa"/>
              <w:right w:w="115" w:type="dxa"/>
            </w:tcMar>
            <w:vAlign w:val="bottom"/>
          </w:tcPr>
          <w:p w14:paraId="2D35A9AA" w14:textId="77777777" w:rsidR="00724034" w:rsidRDefault="00FB7D0B">
            <w:pPr>
              <w:rPr>
                <w:rFonts w:ascii="Arial" w:eastAsia="Arial" w:hAnsi="Arial" w:cs="Arial"/>
                <w:color w:val="000000"/>
                <w:sz w:val="16"/>
              </w:rPr>
            </w:pPr>
            <w:r>
              <w:rPr>
                <w:rFonts w:ascii="Arial" w:eastAsia="Arial" w:hAnsi="Arial" w:cs="Arial"/>
                <w:i/>
                <w:color w:val="000000"/>
                <w:sz w:val="16"/>
              </w:rPr>
              <w:t>Quality</w:t>
            </w:r>
            <w:r>
              <w:rPr>
                <w:rFonts w:ascii="Arial" w:eastAsia="Arial" w:hAnsi="Arial" w:cs="Arial"/>
                <w:color w:val="000000"/>
                <w:sz w:val="16"/>
              </w:rPr>
              <w:t>: Critical errors</w:t>
            </w:r>
          </w:p>
        </w:tc>
        <w:tc>
          <w:tcPr>
            <w:tcW w:w="975"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7EBAA1E4" w14:textId="77777777" w:rsidR="00724034" w:rsidRDefault="00FB7D0B">
            <w:pPr>
              <w:jc w:val="right"/>
              <w:rPr>
                <w:rFonts w:ascii="Arial" w:eastAsia="Arial" w:hAnsi="Arial" w:cs="Arial"/>
                <w:i/>
                <w:color w:val="000000"/>
                <w:sz w:val="16"/>
                <w:vertAlign w:val="superscript"/>
              </w:rPr>
            </w:pPr>
            <w:r>
              <w:rPr>
                <w:rFonts w:ascii="Arial" w:eastAsia="Arial" w:hAnsi="Arial" w:cs="Arial"/>
                <w:color w:val="000000"/>
                <w:sz w:val="16"/>
              </w:rPr>
              <w:t>&lt; 5%</w:t>
            </w:r>
          </w:p>
        </w:tc>
        <w:tc>
          <w:tcPr>
            <w:tcW w:w="975" w:type="dxa"/>
            <w:tcBorders>
              <w:top w:val="nil"/>
              <w:left w:val="nil"/>
              <w:bottom w:val="single" w:sz="6" w:space="0" w:color="000000"/>
              <w:right w:val="nil"/>
              <w:tl2br w:val="nil"/>
              <w:tr2bl w:val="nil"/>
            </w:tcBorders>
            <w:shd w:val="clear" w:color="auto" w:fill="FFFF00"/>
            <w:tcMar>
              <w:left w:w="115" w:type="dxa"/>
              <w:right w:w="115" w:type="dxa"/>
            </w:tcMar>
            <w:vAlign w:val="bottom"/>
          </w:tcPr>
          <w:p w14:paraId="58E19E70" w14:textId="77777777" w:rsidR="00724034" w:rsidRDefault="00FB7D0B">
            <w:pPr>
              <w:jc w:val="right"/>
              <w:rPr>
                <w:rFonts w:ascii="Arial" w:eastAsia="Arial" w:hAnsi="Arial" w:cs="Arial"/>
                <w:color w:val="000000"/>
                <w:sz w:val="16"/>
              </w:rPr>
            </w:pPr>
            <w:r>
              <w:rPr>
                <w:rFonts w:ascii="Arial" w:eastAsia="Arial" w:hAnsi="Arial" w:cs="Arial"/>
                <w:color w:val="000000"/>
                <w:sz w:val="16"/>
              </w:rPr>
              <w:t>&lt; 5%</w:t>
            </w:r>
          </w:p>
        </w:tc>
        <w:tc>
          <w:tcPr>
            <w:tcW w:w="975"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62881D34" w14:textId="77777777" w:rsidR="00724034" w:rsidRDefault="00FB7D0B">
            <w:pPr>
              <w:jc w:val="right"/>
              <w:rPr>
                <w:rFonts w:ascii="Arial" w:eastAsia="Arial" w:hAnsi="Arial" w:cs="Arial"/>
                <w:color w:val="000000"/>
                <w:sz w:val="16"/>
              </w:rPr>
            </w:pPr>
            <w:r>
              <w:rPr>
                <w:rFonts w:ascii="Arial" w:eastAsia="Arial" w:hAnsi="Arial" w:cs="Arial"/>
                <w:color w:val="000000"/>
                <w:sz w:val="16"/>
              </w:rPr>
              <w:t>&lt; 5%</w:t>
            </w:r>
          </w:p>
        </w:tc>
        <w:tc>
          <w:tcPr>
            <w:tcW w:w="975"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1AD55106" w14:textId="77777777" w:rsidR="00724034" w:rsidRDefault="00FB7D0B">
            <w:pPr>
              <w:jc w:val="right"/>
              <w:rPr>
                <w:rFonts w:ascii="Arial" w:eastAsia="Arial" w:hAnsi="Arial" w:cs="Arial"/>
                <w:color w:val="000000"/>
                <w:sz w:val="16"/>
              </w:rPr>
            </w:pPr>
            <w:r>
              <w:rPr>
                <w:rFonts w:ascii="Arial" w:eastAsia="Arial" w:hAnsi="Arial" w:cs="Arial"/>
                <w:color w:val="000000"/>
                <w:sz w:val="16"/>
              </w:rPr>
              <w:t>&lt; 5%</w:t>
            </w:r>
          </w:p>
        </w:tc>
        <w:tc>
          <w:tcPr>
            <w:tcW w:w="975" w:type="dxa"/>
            <w:tcBorders>
              <w:top w:val="nil"/>
              <w:left w:val="nil"/>
              <w:bottom w:val="single" w:sz="6" w:space="0" w:color="000000"/>
              <w:right w:val="single" w:sz="6" w:space="0" w:color="000000"/>
              <w:tl2br w:val="nil"/>
              <w:tr2bl w:val="nil"/>
            </w:tcBorders>
            <w:shd w:val="clear" w:color="auto" w:fill="FFFFFF"/>
            <w:tcMar>
              <w:left w:w="115" w:type="dxa"/>
              <w:right w:w="115" w:type="dxa"/>
            </w:tcMar>
            <w:vAlign w:val="bottom"/>
          </w:tcPr>
          <w:p w14:paraId="049213B2" w14:textId="77777777" w:rsidR="00724034" w:rsidRDefault="00FB7D0B">
            <w:pPr>
              <w:jc w:val="right"/>
              <w:rPr>
                <w:rFonts w:ascii="Arial" w:eastAsia="Arial" w:hAnsi="Arial" w:cs="Arial"/>
                <w:color w:val="000000"/>
                <w:sz w:val="16"/>
              </w:rPr>
            </w:pPr>
            <w:r>
              <w:rPr>
                <w:rFonts w:ascii="Arial" w:eastAsia="Arial" w:hAnsi="Arial" w:cs="Arial"/>
                <w:color w:val="000000"/>
                <w:sz w:val="16"/>
              </w:rPr>
              <w:t>&lt; 5%</w:t>
            </w:r>
          </w:p>
        </w:tc>
      </w:tr>
    </w:tbl>
    <w:p w14:paraId="6E99C7C1" w14:textId="77777777" w:rsidR="00724034" w:rsidRDefault="00FB7D0B">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80"/>
      </w:tblGrid>
      <w:tr w:rsidR="00724034" w14:paraId="068E9802" w14:textId="77777777" w:rsidTr="003F0EEA">
        <w:tc>
          <w:tcPr>
            <w:tcW w:w="8080" w:type="dxa"/>
            <w:tcBorders>
              <w:top w:val="single" w:sz="4" w:space="0" w:color="auto"/>
              <w:left w:val="single" w:sz="4" w:space="0" w:color="auto"/>
              <w:bottom w:val="single" w:sz="4" w:space="0" w:color="auto"/>
              <w:right w:val="single" w:sz="4" w:space="0" w:color="auto"/>
            </w:tcBorders>
            <w:shd w:val="clear" w:color="auto" w:fill="E6E6E6"/>
          </w:tcPr>
          <w:p w14:paraId="1C91203D" w14:textId="77777777" w:rsidR="003F0EEA" w:rsidRPr="00F7032A" w:rsidRDefault="00FB7D0B" w:rsidP="003F0EEA">
            <w:pPr>
              <w:pStyle w:val="TableTextLeft8"/>
              <w:ind w:right="-108"/>
              <w:rPr>
                <w:b/>
                <w:sz w:val="20"/>
              </w:rPr>
            </w:pPr>
            <w:r>
              <w:rPr>
                <w:b/>
                <w:sz w:val="20"/>
              </w:rPr>
              <w:t>Programme 1.4: Assistance and Other Compensation for Veterans and Dependants</w:t>
            </w:r>
          </w:p>
        </w:tc>
      </w:tr>
      <w:tr w:rsidR="00724034" w14:paraId="3273839F" w14:textId="77777777" w:rsidTr="003F0EEA">
        <w:tc>
          <w:tcPr>
            <w:tcW w:w="8080" w:type="dxa"/>
            <w:tcBorders>
              <w:top w:val="single" w:sz="4" w:space="0" w:color="auto"/>
              <w:left w:val="nil"/>
              <w:bottom w:val="single" w:sz="4" w:space="0" w:color="auto"/>
              <w:right w:val="nil"/>
            </w:tcBorders>
            <w:shd w:val="clear" w:color="auto" w:fill="auto"/>
          </w:tcPr>
          <w:p w14:paraId="276A4205" w14:textId="77777777" w:rsidR="003F0EEA" w:rsidRDefault="003F0EEA" w:rsidP="003F0EEA">
            <w:pPr>
              <w:pStyle w:val="TableTextLeft8"/>
              <w:rPr>
                <w:b/>
              </w:rPr>
            </w:pPr>
          </w:p>
        </w:tc>
      </w:tr>
      <w:tr w:rsidR="00724034" w14:paraId="6F77527D" w14:textId="77777777" w:rsidTr="003F0EEA">
        <w:tc>
          <w:tcPr>
            <w:tcW w:w="8080" w:type="dxa"/>
            <w:tcBorders>
              <w:top w:val="single" w:sz="4" w:space="0" w:color="auto"/>
              <w:left w:val="single" w:sz="4" w:space="0" w:color="auto"/>
              <w:bottom w:val="single" w:sz="4" w:space="0" w:color="auto"/>
              <w:right w:val="single" w:sz="4" w:space="0" w:color="auto"/>
            </w:tcBorders>
          </w:tcPr>
          <w:p w14:paraId="148D4162" w14:textId="77777777" w:rsidR="003F0EEA" w:rsidRDefault="00FB7D0B" w:rsidP="003F0EEA">
            <w:pPr>
              <w:pStyle w:val="TableTextLeft8"/>
              <w:rPr>
                <w:b/>
              </w:rPr>
            </w:pPr>
            <w:r>
              <w:rPr>
                <w:b/>
              </w:rPr>
              <w:t>Programme 1.4 objective</w:t>
            </w:r>
          </w:p>
          <w:p w14:paraId="0A11FF2F" w14:textId="77777777" w:rsidR="003F0EEA" w:rsidRDefault="00FB7D0B" w:rsidP="003F0EEA">
            <w:pPr>
              <w:pStyle w:val="TableTextLeft8"/>
              <w:rPr>
                <w:b/>
              </w:rPr>
            </w:pPr>
            <w:r>
              <w:rPr>
                <w:szCs w:val="18"/>
              </w:rPr>
              <w:t xml:space="preserve">To deliver other allowances and assistance to eligible veterans and dependants under the </w:t>
            </w:r>
            <w:r>
              <w:rPr>
                <w:i/>
                <w:color w:val="000000"/>
                <w:szCs w:val="18"/>
              </w:rPr>
              <w:t>Veterans’ Entitlements Act 1986</w:t>
            </w:r>
            <w:r>
              <w:rPr>
                <w:color w:val="000000"/>
                <w:szCs w:val="18"/>
              </w:rPr>
              <w:t xml:space="preserve"> </w:t>
            </w:r>
            <w:r>
              <w:rPr>
                <w:szCs w:val="18"/>
              </w:rPr>
              <w:t xml:space="preserve">and related legislation including home support loans, funeral benefits, prisoner of war ex gratia payments and payments on behalf of Commonwealth and allied countries. The Department also provides assistance to the Ex-Service Organisations (ESO) community through Building Excellence in Support and Training (BEST) grants and funding the Training and Information Program (TIP). </w:t>
            </w:r>
          </w:p>
        </w:tc>
      </w:tr>
      <w:tr w:rsidR="00724034" w14:paraId="34073278" w14:textId="77777777" w:rsidTr="003F0EEA">
        <w:tc>
          <w:tcPr>
            <w:tcW w:w="8080" w:type="dxa"/>
            <w:tcBorders>
              <w:top w:val="single" w:sz="4" w:space="0" w:color="auto"/>
              <w:left w:val="single" w:sz="4" w:space="0" w:color="auto"/>
              <w:bottom w:val="single" w:sz="4" w:space="0" w:color="auto"/>
              <w:right w:val="single" w:sz="4" w:space="0" w:color="auto"/>
            </w:tcBorders>
          </w:tcPr>
          <w:p w14:paraId="4FA469E3" w14:textId="77777777" w:rsidR="003F0EEA" w:rsidRDefault="00FB7D0B" w:rsidP="003F0EEA">
            <w:pPr>
              <w:pStyle w:val="TableTextLeft8"/>
              <w:rPr>
                <w:b/>
              </w:rPr>
            </w:pPr>
            <w:r>
              <w:rPr>
                <w:b/>
              </w:rPr>
              <w:t>Linked to:</w:t>
            </w:r>
          </w:p>
          <w:p w14:paraId="717F19A1" w14:textId="77777777" w:rsidR="003F0EEA" w:rsidRDefault="00FB7D0B" w:rsidP="003F0EEA">
            <w:pPr>
              <w:pStyle w:val="TableTextLeft8"/>
              <w:rPr>
                <w:b/>
              </w:rPr>
            </w:pPr>
            <w:r w:rsidRPr="00751EBD">
              <w:t>Department of Human Services Program</w:t>
            </w:r>
            <w:r>
              <w:t>me</w:t>
            </w:r>
            <w:r w:rsidRPr="00751EBD">
              <w:t xml:space="preserve"> 1.1 – Services to the Community</w:t>
            </w:r>
            <w:r>
              <w:t xml:space="preserve"> – Social Security and Welfare</w:t>
            </w:r>
            <w:r w:rsidRPr="00751EBD">
              <w:t>.</w:t>
            </w:r>
          </w:p>
        </w:tc>
      </w:tr>
      <w:tr w:rsidR="00724034" w14:paraId="005C988D" w14:textId="77777777" w:rsidTr="003F0EEA">
        <w:tc>
          <w:tcPr>
            <w:tcW w:w="8080" w:type="dxa"/>
            <w:tcBorders>
              <w:top w:val="single" w:sz="4" w:space="0" w:color="auto"/>
              <w:left w:val="nil"/>
              <w:bottom w:val="nil"/>
              <w:right w:val="nil"/>
            </w:tcBorders>
          </w:tcPr>
          <w:p w14:paraId="1327FE89" w14:textId="77777777" w:rsidR="003F0EEA" w:rsidRDefault="003F0EEA" w:rsidP="003F0EEA">
            <w:pPr>
              <w:pStyle w:val="TableTextLeft8"/>
              <w:rPr>
                <w:b/>
              </w:rPr>
            </w:pPr>
          </w:p>
        </w:tc>
      </w:tr>
      <w:tr w:rsidR="00724034" w14:paraId="2AB98E35" w14:textId="77777777" w:rsidTr="003F0EEA">
        <w:trPr>
          <w:trHeight w:val="1715"/>
        </w:trPr>
        <w:tc>
          <w:tcPr>
            <w:tcW w:w="8080" w:type="dxa"/>
            <w:tcBorders>
              <w:top w:val="single" w:sz="4" w:space="0" w:color="auto"/>
              <w:left w:val="single" w:sz="4" w:space="0" w:color="auto"/>
              <w:bottom w:val="single" w:sz="4" w:space="0" w:color="auto"/>
              <w:right w:val="single" w:sz="4" w:space="0" w:color="auto"/>
            </w:tcBorders>
          </w:tcPr>
          <w:p w14:paraId="7B551756" w14:textId="77777777" w:rsidR="003F0EEA" w:rsidRDefault="00FB7D0B" w:rsidP="003F0EEA">
            <w:pPr>
              <w:pStyle w:val="TableTextLeft8"/>
              <w:rPr>
                <w:b/>
              </w:rPr>
            </w:pPr>
            <w:r>
              <w:rPr>
                <w:b/>
              </w:rPr>
              <w:t>Programme 1.4 expenses</w:t>
            </w:r>
          </w:p>
          <w:p w14:paraId="0A6D2E57" w14:textId="77777777" w:rsidR="003F0EEA" w:rsidRPr="009D095A" w:rsidRDefault="00FB7D0B" w:rsidP="003F0EEA">
            <w:pPr>
              <w:pStyle w:val="TableTextLeft8"/>
              <w:rPr>
                <w:rFonts w:cs="Times New Roman"/>
              </w:rPr>
            </w:pPr>
            <w:r>
              <w:t>This programme is projected to move broadly in line with the forecast of the total veteran population.</w:t>
            </w:r>
            <w:r>
              <w:rPr>
                <w:rFonts w:cs="Times New Roman"/>
              </w:rPr>
              <w:t xml:space="preserve"> </w:t>
            </w:r>
            <w:r>
              <w:t>Benchmark interest rates for Defence home loans will vary depending on movement in interest rates.</w:t>
            </w:r>
          </w:p>
          <w:p w14:paraId="19977748" w14:textId="77777777" w:rsidR="003F0EEA" w:rsidRDefault="00FB7D0B" w:rsidP="003F0EEA">
            <w:pPr>
              <w:pStyle w:val="TableTextLeft8"/>
            </w:pPr>
            <w:r>
              <w:t>Forward year Defence home loans projections are based on:</w:t>
            </w:r>
          </w:p>
          <w:p w14:paraId="62C7B70F" w14:textId="77777777" w:rsidR="003F0EEA" w:rsidRDefault="00FB7D0B" w:rsidP="003F0EEA">
            <w:pPr>
              <w:pStyle w:val="TableTextBullet4"/>
            </w:pPr>
            <w:r>
              <w:t>6.44% as the anticipated benchmark interest rate</w:t>
            </w:r>
          </w:p>
          <w:p w14:paraId="22C6933E" w14:textId="77777777" w:rsidR="003F0EEA" w:rsidRDefault="00FB7D0B" w:rsidP="003F0EEA">
            <w:pPr>
              <w:pStyle w:val="TableTextBullet4"/>
            </w:pPr>
            <w:r>
              <w:t>portfolio balances reduce by an average 1.56% per month</w:t>
            </w:r>
          </w:p>
          <w:p w14:paraId="370B6E5E" w14:textId="77777777" w:rsidR="003F0EEA" w:rsidRPr="00ED444E" w:rsidRDefault="00FB7D0B" w:rsidP="003F0EEA">
            <w:pPr>
              <w:pStyle w:val="TableTextBullet4"/>
              <w:rPr>
                <w:b/>
              </w:rPr>
            </w:pPr>
            <w:r>
              <w:t>home support loans continuing to be granted at the rate of 8 per month</w:t>
            </w:r>
          </w:p>
          <w:p w14:paraId="4C95D281" w14:textId="77777777" w:rsidR="003F0EEA" w:rsidRDefault="00FB7D0B" w:rsidP="003F0EEA">
            <w:pPr>
              <w:pStyle w:val="TableTextBullet4"/>
              <w:rPr>
                <w:b/>
              </w:rPr>
            </w:pPr>
            <w:r>
              <w:t>balances of home support loans are at a stable level.</w:t>
            </w:r>
          </w:p>
        </w:tc>
      </w:tr>
    </w:tbl>
    <w:p w14:paraId="2B915DF3" w14:textId="77777777" w:rsidR="00724034" w:rsidRDefault="00FB7D0B">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90"/>
      </w:tblGrid>
      <w:tr w:rsidR="00724034" w14:paraId="31032150" w14:textId="77777777" w:rsidTr="003F0EEA">
        <w:tc>
          <w:tcPr>
            <w:tcW w:w="8090" w:type="dxa"/>
            <w:tcBorders>
              <w:top w:val="single" w:sz="4" w:space="0" w:color="auto"/>
              <w:left w:val="single" w:sz="4" w:space="0" w:color="auto"/>
              <w:bottom w:val="single" w:sz="4" w:space="0" w:color="auto"/>
              <w:right w:val="single" w:sz="4" w:space="0" w:color="auto"/>
            </w:tcBorders>
            <w:shd w:val="clear" w:color="auto" w:fill="E6E6E6"/>
          </w:tcPr>
          <w:p w14:paraId="02CDECD4" w14:textId="77777777" w:rsidR="003F0EEA" w:rsidRPr="00F7032A" w:rsidRDefault="00FB7D0B" w:rsidP="003F0EEA">
            <w:pPr>
              <w:pStyle w:val="TableTextLeft9"/>
              <w:ind w:right="-108"/>
              <w:rPr>
                <w:b/>
                <w:sz w:val="20"/>
              </w:rPr>
            </w:pPr>
            <w:r>
              <w:rPr>
                <w:b/>
                <w:sz w:val="20"/>
              </w:rPr>
              <w:t>Programme 1.4: Assistance and Other Compensation for Veterans and Dependants (continued)</w:t>
            </w:r>
          </w:p>
        </w:tc>
      </w:tr>
    </w:tbl>
    <w:p w14:paraId="6021B88E" w14:textId="77777777" w:rsidR="00724034" w:rsidRDefault="0072403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2"/>
        <w:gridCol w:w="222"/>
        <w:gridCol w:w="2730"/>
        <w:gridCol w:w="975"/>
        <w:gridCol w:w="975"/>
        <w:gridCol w:w="975"/>
        <w:gridCol w:w="975"/>
        <w:gridCol w:w="975"/>
      </w:tblGrid>
      <w:tr w:rsidR="00FB7D0B" w14:paraId="3423BAD7" w14:textId="77777777" w:rsidTr="00FB7D0B">
        <w:trPr>
          <w:trHeight w:val="255"/>
        </w:trPr>
        <w:tc>
          <w:tcPr>
            <w:tcW w:w="3090" w:type="dxa"/>
            <w:gridSpan w:val="3"/>
            <w:tcBorders>
              <w:top w:val="single" w:sz="6" w:space="0" w:color="000000"/>
              <w:left w:val="single" w:sz="6" w:space="0" w:color="000000"/>
              <w:bottom w:val="nil"/>
              <w:right w:val="nil"/>
              <w:tl2br w:val="nil"/>
              <w:tr2bl w:val="nil"/>
            </w:tcBorders>
            <w:shd w:val="clear" w:color="auto" w:fill="FFFFFF"/>
            <w:tcMar>
              <w:left w:w="101" w:type="dxa"/>
              <w:right w:w="101" w:type="dxa"/>
            </w:tcMar>
            <w:vAlign w:val="bottom"/>
          </w:tcPr>
          <w:p w14:paraId="08B1FCCD" w14:textId="77777777" w:rsidR="00724034" w:rsidRDefault="00FB7D0B">
            <w:r>
              <w:rPr>
                <w:rFonts w:ascii="Arial" w:eastAsia="Arial" w:hAnsi="Arial" w:cs="Arial"/>
                <w:b/>
                <w:color w:val="000000"/>
                <w:sz w:val="16"/>
              </w:rPr>
              <w:t>Programme 1.4 expenses</w:t>
            </w:r>
          </w:p>
        </w:tc>
        <w:tc>
          <w:tcPr>
            <w:tcW w:w="97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2F3BF674" w14:textId="77777777" w:rsidR="00724034" w:rsidRDefault="00FB7D0B">
            <w:pPr>
              <w:jc w:val="right"/>
              <w:rPr>
                <w:rFonts w:ascii="Arial" w:eastAsia="Arial" w:hAnsi="Arial" w:cs="Arial"/>
                <w:color w:val="000000"/>
                <w:sz w:val="16"/>
                <w:vertAlign w:val="superscript"/>
              </w:rPr>
            </w:pPr>
            <w:r>
              <w:rPr>
                <w:rFonts w:ascii="Arial" w:eastAsia="Arial" w:hAnsi="Arial" w:cs="Arial"/>
                <w:color w:val="000000"/>
                <w:sz w:val="16"/>
              </w:rPr>
              <w:t>2013-14</w:t>
            </w:r>
          </w:p>
        </w:tc>
        <w:tc>
          <w:tcPr>
            <w:tcW w:w="975" w:type="dxa"/>
            <w:tcBorders>
              <w:top w:val="single" w:sz="6" w:space="0" w:color="000000"/>
              <w:left w:val="nil"/>
              <w:bottom w:val="nil"/>
              <w:right w:val="nil"/>
              <w:tl2br w:val="nil"/>
              <w:tr2bl w:val="nil"/>
            </w:tcBorders>
            <w:shd w:val="clear" w:color="auto" w:fill="FFFF00"/>
            <w:tcMar>
              <w:left w:w="101" w:type="dxa"/>
              <w:right w:w="101" w:type="dxa"/>
            </w:tcMar>
            <w:vAlign w:val="bottom"/>
          </w:tcPr>
          <w:p w14:paraId="2A6A798A" w14:textId="77777777" w:rsidR="00724034" w:rsidRDefault="00FB7D0B">
            <w:pPr>
              <w:jc w:val="right"/>
              <w:rPr>
                <w:rFonts w:ascii="Arial" w:eastAsia="Arial" w:hAnsi="Arial" w:cs="Arial"/>
                <w:color w:val="000000"/>
                <w:sz w:val="16"/>
              </w:rPr>
            </w:pPr>
            <w:r>
              <w:rPr>
                <w:rFonts w:ascii="Arial" w:eastAsia="Arial" w:hAnsi="Arial" w:cs="Arial"/>
                <w:color w:val="000000"/>
                <w:sz w:val="16"/>
              </w:rPr>
              <w:t>2014-15</w:t>
            </w:r>
          </w:p>
        </w:tc>
        <w:tc>
          <w:tcPr>
            <w:tcW w:w="97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51C55BDA" w14:textId="77777777" w:rsidR="00724034" w:rsidRDefault="00FB7D0B">
            <w:pPr>
              <w:jc w:val="right"/>
              <w:rPr>
                <w:rFonts w:ascii="Arial" w:eastAsia="Arial" w:hAnsi="Arial" w:cs="Arial"/>
                <w:color w:val="000000"/>
                <w:sz w:val="16"/>
              </w:rPr>
            </w:pPr>
            <w:r>
              <w:rPr>
                <w:rFonts w:ascii="Arial" w:eastAsia="Arial" w:hAnsi="Arial" w:cs="Arial"/>
                <w:color w:val="000000"/>
                <w:sz w:val="16"/>
              </w:rPr>
              <w:t>2015-16</w:t>
            </w:r>
          </w:p>
        </w:tc>
        <w:tc>
          <w:tcPr>
            <w:tcW w:w="97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1B61A74B" w14:textId="77777777" w:rsidR="00724034" w:rsidRDefault="00FB7D0B">
            <w:pPr>
              <w:jc w:val="right"/>
              <w:rPr>
                <w:rFonts w:ascii="Arial" w:eastAsia="Arial" w:hAnsi="Arial" w:cs="Arial"/>
                <w:color w:val="000000"/>
                <w:sz w:val="16"/>
              </w:rPr>
            </w:pPr>
            <w:r>
              <w:rPr>
                <w:rFonts w:ascii="Arial" w:eastAsia="Arial" w:hAnsi="Arial" w:cs="Arial"/>
                <w:color w:val="000000"/>
                <w:sz w:val="16"/>
              </w:rPr>
              <w:t>2016-17</w:t>
            </w:r>
          </w:p>
        </w:tc>
        <w:tc>
          <w:tcPr>
            <w:tcW w:w="975" w:type="dxa"/>
            <w:tcBorders>
              <w:top w:val="single" w:sz="6" w:space="0" w:color="000000"/>
              <w:left w:val="nil"/>
              <w:bottom w:val="nil"/>
              <w:right w:val="single" w:sz="6" w:space="0" w:color="000000"/>
              <w:tl2br w:val="nil"/>
              <w:tr2bl w:val="nil"/>
            </w:tcBorders>
            <w:shd w:val="clear" w:color="auto" w:fill="FFFFFF"/>
            <w:tcMar>
              <w:left w:w="101" w:type="dxa"/>
              <w:right w:w="101" w:type="dxa"/>
            </w:tcMar>
            <w:vAlign w:val="bottom"/>
          </w:tcPr>
          <w:p w14:paraId="0C5BADB5" w14:textId="77777777" w:rsidR="00724034" w:rsidRDefault="00FB7D0B">
            <w:pPr>
              <w:jc w:val="right"/>
              <w:rPr>
                <w:rFonts w:ascii="Arial" w:eastAsia="Arial" w:hAnsi="Arial" w:cs="Arial"/>
                <w:color w:val="000000"/>
                <w:sz w:val="16"/>
              </w:rPr>
            </w:pPr>
            <w:r>
              <w:rPr>
                <w:rFonts w:ascii="Arial" w:eastAsia="Arial" w:hAnsi="Arial" w:cs="Arial"/>
                <w:color w:val="000000"/>
                <w:sz w:val="16"/>
              </w:rPr>
              <w:t>2017-18</w:t>
            </w:r>
          </w:p>
        </w:tc>
      </w:tr>
      <w:tr w:rsidR="00724034" w14:paraId="6546C4CC" w14:textId="77777777">
        <w:trPr>
          <w:trHeight w:val="255"/>
        </w:trPr>
        <w:tc>
          <w:tcPr>
            <w:tcW w:w="180" w:type="dxa"/>
            <w:tcBorders>
              <w:top w:val="single" w:sz="6" w:space="0" w:color="FFFFFF"/>
              <w:left w:val="single" w:sz="6" w:space="0" w:color="000000"/>
              <w:bottom w:val="nil"/>
              <w:right w:val="nil"/>
              <w:tl2br w:val="nil"/>
              <w:tr2bl w:val="nil"/>
            </w:tcBorders>
            <w:shd w:val="clear" w:color="auto" w:fill="FFFFFF"/>
            <w:tcMar>
              <w:left w:w="101" w:type="dxa"/>
              <w:right w:w="101" w:type="dxa"/>
            </w:tcMar>
            <w:vAlign w:val="bottom"/>
          </w:tcPr>
          <w:p w14:paraId="59C3ABE3" w14:textId="77777777" w:rsidR="00724034" w:rsidRDefault="00724034">
            <w:pPr>
              <w:rPr>
                <w:rFonts w:ascii="Arial" w:eastAsia="Arial" w:hAnsi="Arial" w:cs="Arial"/>
                <w:color w:val="000000"/>
                <w:sz w:val="16"/>
              </w:rPr>
            </w:pPr>
          </w:p>
        </w:tc>
        <w:tc>
          <w:tcPr>
            <w:tcW w:w="180" w:type="dxa"/>
            <w:tcBorders>
              <w:top w:val="single" w:sz="6" w:space="0" w:color="FFFFFF"/>
              <w:left w:val="nil"/>
              <w:bottom w:val="nil"/>
              <w:right w:val="nil"/>
              <w:tl2br w:val="nil"/>
              <w:tr2bl w:val="nil"/>
            </w:tcBorders>
            <w:shd w:val="clear" w:color="auto" w:fill="FFFFFF"/>
            <w:tcMar>
              <w:left w:w="101" w:type="dxa"/>
              <w:right w:w="101" w:type="dxa"/>
            </w:tcMar>
            <w:vAlign w:val="bottom"/>
          </w:tcPr>
          <w:p w14:paraId="42A5FEE1" w14:textId="77777777" w:rsidR="00724034" w:rsidRDefault="00724034">
            <w:pPr>
              <w:rPr>
                <w:rFonts w:ascii="Arial" w:eastAsia="Arial" w:hAnsi="Arial" w:cs="Arial"/>
                <w:color w:val="000000"/>
                <w:sz w:val="16"/>
              </w:rPr>
            </w:pPr>
          </w:p>
        </w:tc>
        <w:tc>
          <w:tcPr>
            <w:tcW w:w="2730" w:type="dxa"/>
            <w:tcBorders>
              <w:top w:val="single" w:sz="6" w:space="0" w:color="FFFFFF"/>
              <w:left w:val="nil"/>
              <w:bottom w:val="nil"/>
              <w:right w:val="nil"/>
              <w:tl2br w:val="nil"/>
              <w:tr2bl w:val="nil"/>
            </w:tcBorders>
            <w:shd w:val="clear" w:color="auto" w:fill="FFFFFF"/>
            <w:tcMar>
              <w:left w:w="101" w:type="dxa"/>
              <w:right w:w="101" w:type="dxa"/>
            </w:tcMar>
            <w:vAlign w:val="bottom"/>
          </w:tcPr>
          <w:p w14:paraId="752FC84A" w14:textId="77777777" w:rsidR="00724034" w:rsidRDefault="00724034">
            <w:pPr>
              <w:jc w:val="right"/>
              <w:rPr>
                <w:rFonts w:ascii="Arial" w:eastAsia="Arial" w:hAnsi="Arial" w:cs="Arial"/>
                <w:color w:val="000000"/>
                <w:sz w:val="16"/>
              </w:rPr>
            </w:pPr>
          </w:p>
        </w:tc>
        <w:tc>
          <w:tcPr>
            <w:tcW w:w="975" w:type="dxa"/>
            <w:tcBorders>
              <w:top w:val="nil"/>
              <w:left w:val="nil"/>
              <w:bottom w:val="nil"/>
              <w:right w:val="nil"/>
              <w:tl2br w:val="nil"/>
              <w:tr2bl w:val="nil"/>
            </w:tcBorders>
            <w:shd w:val="clear" w:color="auto" w:fill="FFFFFF"/>
            <w:tcMar>
              <w:left w:w="101" w:type="dxa"/>
              <w:right w:w="101" w:type="dxa"/>
            </w:tcMar>
            <w:vAlign w:val="bottom"/>
          </w:tcPr>
          <w:p w14:paraId="4523B4D2" w14:textId="77777777" w:rsidR="00724034" w:rsidRDefault="00FB7D0B">
            <w:pPr>
              <w:jc w:val="right"/>
              <w:rPr>
                <w:rFonts w:ascii="Arial" w:eastAsia="Arial" w:hAnsi="Arial" w:cs="Arial"/>
                <w:color w:val="000000"/>
                <w:sz w:val="16"/>
                <w:vertAlign w:val="superscript"/>
              </w:rPr>
            </w:pPr>
            <w:r>
              <w:rPr>
                <w:rFonts w:ascii="Arial" w:eastAsia="Arial" w:hAnsi="Arial" w:cs="Arial"/>
                <w:color w:val="000000"/>
                <w:sz w:val="16"/>
              </w:rPr>
              <w:t>Revised</w:t>
            </w:r>
          </w:p>
        </w:tc>
        <w:tc>
          <w:tcPr>
            <w:tcW w:w="975" w:type="dxa"/>
            <w:tcBorders>
              <w:top w:val="nil"/>
              <w:left w:val="nil"/>
              <w:bottom w:val="nil"/>
              <w:right w:val="nil"/>
              <w:tl2br w:val="nil"/>
              <w:tr2bl w:val="nil"/>
            </w:tcBorders>
            <w:shd w:val="clear" w:color="auto" w:fill="FFFF00"/>
            <w:tcMar>
              <w:left w:w="101" w:type="dxa"/>
              <w:right w:w="101" w:type="dxa"/>
            </w:tcMar>
            <w:vAlign w:val="bottom"/>
          </w:tcPr>
          <w:p w14:paraId="05DCB289" w14:textId="77777777" w:rsidR="00724034" w:rsidRDefault="00FB7D0B">
            <w:pPr>
              <w:jc w:val="right"/>
              <w:rPr>
                <w:rFonts w:ascii="Arial" w:eastAsia="Arial" w:hAnsi="Arial" w:cs="Arial"/>
                <w:color w:val="000000"/>
                <w:sz w:val="16"/>
              </w:rPr>
            </w:pPr>
            <w:r>
              <w:rPr>
                <w:rFonts w:ascii="Arial" w:eastAsia="Arial" w:hAnsi="Arial" w:cs="Arial"/>
                <w:color w:val="000000"/>
                <w:sz w:val="16"/>
              </w:rPr>
              <w:t>Budget</w:t>
            </w:r>
          </w:p>
        </w:tc>
        <w:tc>
          <w:tcPr>
            <w:tcW w:w="975" w:type="dxa"/>
            <w:tcBorders>
              <w:top w:val="nil"/>
              <w:left w:val="nil"/>
              <w:bottom w:val="nil"/>
              <w:right w:val="nil"/>
              <w:tl2br w:val="nil"/>
              <w:tr2bl w:val="nil"/>
            </w:tcBorders>
            <w:shd w:val="clear" w:color="auto" w:fill="FFFFFF"/>
            <w:tcMar>
              <w:left w:w="101" w:type="dxa"/>
              <w:right w:w="101" w:type="dxa"/>
            </w:tcMar>
            <w:vAlign w:val="bottom"/>
          </w:tcPr>
          <w:p w14:paraId="7EB9E7DD" w14:textId="77777777" w:rsidR="00724034" w:rsidRDefault="00FB7D0B">
            <w:pPr>
              <w:jc w:val="right"/>
              <w:rPr>
                <w:rFonts w:ascii="Arial" w:eastAsia="Arial" w:hAnsi="Arial" w:cs="Arial"/>
                <w:color w:val="000000"/>
                <w:sz w:val="16"/>
              </w:rPr>
            </w:pPr>
            <w:r>
              <w:rPr>
                <w:rFonts w:ascii="Arial" w:eastAsia="Arial" w:hAnsi="Arial" w:cs="Arial"/>
                <w:color w:val="000000"/>
                <w:sz w:val="16"/>
              </w:rPr>
              <w:t>Forward</w:t>
            </w:r>
          </w:p>
        </w:tc>
        <w:tc>
          <w:tcPr>
            <w:tcW w:w="975" w:type="dxa"/>
            <w:tcBorders>
              <w:top w:val="nil"/>
              <w:left w:val="nil"/>
              <w:bottom w:val="nil"/>
              <w:right w:val="nil"/>
              <w:tl2br w:val="nil"/>
              <w:tr2bl w:val="nil"/>
            </w:tcBorders>
            <w:shd w:val="clear" w:color="auto" w:fill="FFFFFF"/>
            <w:tcMar>
              <w:left w:w="101" w:type="dxa"/>
              <w:right w:w="101" w:type="dxa"/>
            </w:tcMar>
            <w:vAlign w:val="bottom"/>
          </w:tcPr>
          <w:p w14:paraId="3D010F08" w14:textId="77777777" w:rsidR="00724034" w:rsidRDefault="00FB7D0B">
            <w:pPr>
              <w:jc w:val="right"/>
              <w:rPr>
                <w:rFonts w:ascii="Arial" w:eastAsia="Arial" w:hAnsi="Arial" w:cs="Arial"/>
                <w:color w:val="000000"/>
                <w:sz w:val="16"/>
              </w:rPr>
            </w:pPr>
            <w:r>
              <w:rPr>
                <w:rFonts w:ascii="Arial" w:eastAsia="Arial" w:hAnsi="Arial" w:cs="Arial"/>
                <w:color w:val="000000"/>
                <w:sz w:val="16"/>
              </w:rPr>
              <w:t>Forward</w:t>
            </w:r>
          </w:p>
        </w:tc>
        <w:tc>
          <w:tcPr>
            <w:tcW w:w="975" w:type="dxa"/>
            <w:tcBorders>
              <w:top w:val="nil"/>
              <w:left w:val="nil"/>
              <w:bottom w:val="nil"/>
              <w:right w:val="single" w:sz="6" w:space="0" w:color="000000"/>
              <w:tl2br w:val="nil"/>
              <w:tr2bl w:val="nil"/>
            </w:tcBorders>
            <w:shd w:val="clear" w:color="auto" w:fill="FFFFFF"/>
            <w:tcMar>
              <w:left w:w="101" w:type="dxa"/>
              <w:right w:w="101" w:type="dxa"/>
            </w:tcMar>
            <w:vAlign w:val="bottom"/>
          </w:tcPr>
          <w:p w14:paraId="6CAA8896" w14:textId="77777777" w:rsidR="00724034" w:rsidRDefault="00FB7D0B">
            <w:pPr>
              <w:jc w:val="right"/>
              <w:rPr>
                <w:rFonts w:ascii="Arial" w:eastAsia="Arial" w:hAnsi="Arial" w:cs="Arial"/>
                <w:color w:val="000000"/>
                <w:sz w:val="16"/>
              </w:rPr>
            </w:pPr>
            <w:r>
              <w:rPr>
                <w:rFonts w:ascii="Arial" w:eastAsia="Arial" w:hAnsi="Arial" w:cs="Arial"/>
                <w:color w:val="000000"/>
                <w:sz w:val="16"/>
              </w:rPr>
              <w:t>Forward</w:t>
            </w:r>
          </w:p>
        </w:tc>
      </w:tr>
      <w:tr w:rsidR="00FB7D0B" w14:paraId="69937FE4" w14:textId="77777777" w:rsidTr="00FB7D0B">
        <w:trPr>
          <w:trHeight w:val="255"/>
        </w:trPr>
        <w:tc>
          <w:tcPr>
            <w:tcW w:w="3090" w:type="dxa"/>
            <w:gridSpan w:val="3"/>
            <w:tcBorders>
              <w:top w:val="nil"/>
              <w:left w:val="single" w:sz="6" w:space="0" w:color="000000"/>
              <w:bottom w:val="single" w:sz="6" w:space="0" w:color="000000"/>
              <w:right w:val="nil"/>
              <w:tl2br w:val="nil"/>
              <w:tr2bl w:val="nil"/>
            </w:tcBorders>
            <w:shd w:val="clear" w:color="auto" w:fill="FFFFFF"/>
            <w:tcMar>
              <w:left w:w="101" w:type="dxa"/>
              <w:right w:w="101" w:type="dxa"/>
            </w:tcMar>
            <w:vAlign w:val="bottom"/>
          </w:tcPr>
          <w:p w14:paraId="66F8ABEF" w14:textId="77777777" w:rsidR="00724034" w:rsidRDefault="00FB7D0B">
            <w:pPr>
              <w:rPr>
                <w:rFonts w:ascii="Arial" w:eastAsia="Arial" w:hAnsi="Arial" w:cs="Arial"/>
                <w:color w:val="000000"/>
                <w:sz w:val="16"/>
              </w:rPr>
            </w:pPr>
            <w:r>
              <w:rPr>
                <w:rFonts w:ascii="Arial" w:eastAsia="Arial" w:hAnsi="Arial" w:cs="Arial"/>
                <w:color w:val="000000"/>
                <w:sz w:val="16"/>
              </w:rPr>
              <w:t>$('000)</w:t>
            </w:r>
          </w:p>
        </w:tc>
        <w:tc>
          <w:tcPr>
            <w:tcW w:w="975"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6CE8EA41" w14:textId="77777777" w:rsidR="00724034" w:rsidRDefault="00FB7D0B">
            <w:pPr>
              <w:jc w:val="right"/>
              <w:rPr>
                <w:rFonts w:ascii="Arial" w:eastAsia="Arial" w:hAnsi="Arial" w:cs="Arial"/>
                <w:color w:val="000000"/>
                <w:sz w:val="16"/>
              </w:rPr>
            </w:pPr>
            <w:r>
              <w:rPr>
                <w:rFonts w:ascii="Arial" w:eastAsia="Arial" w:hAnsi="Arial" w:cs="Arial"/>
                <w:color w:val="000000"/>
                <w:sz w:val="16"/>
              </w:rPr>
              <w:t>budget</w:t>
            </w:r>
          </w:p>
        </w:tc>
        <w:tc>
          <w:tcPr>
            <w:tcW w:w="975" w:type="dxa"/>
            <w:tcBorders>
              <w:top w:val="nil"/>
              <w:left w:val="nil"/>
              <w:bottom w:val="single" w:sz="6" w:space="0" w:color="000000"/>
              <w:right w:val="nil"/>
              <w:tl2br w:val="nil"/>
              <w:tr2bl w:val="nil"/>
            </w:tcBorders>
            <w:shd w:val="clear" w:color="auto" w:fill="FFFF00"/>
            <w:tcMar>
              <w:left w:w="101" w:type="dxa"/>
              <w:right w:w="101" w:type="dxa"/>
            </w:tcMar>
            <w:vAlign w:val="bottom"/>
          </w:tcPr>
          <w:p w14:paraId="3E6FB82C" w14:textId="77777777" w:rsidR="00724034" w:rsidRDefault="00724034">
            <w:pPr>
              <w:jc w:val="right"/>
              <w:rPr>
                <w:rFonts w:ascii="Arial" w:eastAsia="Arial" w:hAnsi="Arial" w:cs="Arial"/>
                <w:color w:val="000000"/>
                <w:sz w:val="16"/>
              </w:rPr>
            </w:pPr>
          </w:p>
        </w:tc>
        <w:tc>
          <w:tcPr>
            <w:tcW w:w="975"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5EF953DD" w14:textId="77777777" w:rsidR="00724034" w:rsidRDefault="00FB7D0B">
            <w:pPr>
              <w:jc w:val="right"/>
              <w:rPr>
                <w:rFonts w:ascii="Arial" w:eastAsia="Arial" w:hAnsi="Arial" w:cs="Arial"/>
                <w:color w:val="000000"/>
                <w:sz w:val="16"/>
              </w:rPr>
            </w:pPr>
            <w:r>
              <w:rPr>
                <w:rFonts w:ascii="Arial" w:eastAsia="Arial" w:hAnsi="Arial" w:cs="Arial"/>
                <w:color w:val="000000"/>
                <w:sz w:val="16"/>
              </w:rPr>
              <w:t>year 1</w:t>
            </w:r>
          </w:p>
        </w:tc>
        <w:tc>
          <w:tcPr>
            <w:tcW w:w="975"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1E1323FF" w14:textId="77777777" w:rsidR="00724034" w:rsidRDefault="00FB7D0B">
            <w:pPr>
              <w:jc w:val="right"/>
              <w:rPr>
                <w:rFonts w:ascii="Arial" w:eastAsia="Arial" w:hAnsi="Arial" w:cs="Arial"/>
                <w:color w:val="000000"/>
                <w:sz w:val="16"/>
              </w:rPr>
            </w:pPr>
            <w:r>
              <w:rPr>
                <w:rFonts w:ascii="Arial" w:eastAsia="Arial" w:hAnsi="Arial" w:cs="Arial"/>
                <w:color w:val="000000"/>
                <w:sz w:val="16"/>
              </w:rPr>
              <w:t>year 2</w:t>
            </w:r>
          </w:p>
        </w:tc>
        <w:tc>
          <w:tcPr>
            <w:tcW w:w="975" w:type="dxa"/>
            <w:tcBorders>
              <w:top w:val="nil"/>
              <w:left w:val="nil"/>
              <w:bottom w:val="single" w:sz="6" w:space="0" w:color="000000"/>
              <w:right w:val="single" w:sz="6" w:space="0" w:color="000000"/>
              <w:tl2br w:val="nil"/>
              <w:tr2bl w:val="nil"/>
            </w:tcBorders>
            <w:shd w:val="clear" w:color="auto" w:fill="FFFFFF"/>
            <w:tcMar>
              <w:left w:w="101" w:type="dxa"/>
              <w:right w:w="101" w:type="dxa"/>
            </w:tcMar>
            <w:vAlign w:val="bottom"/>
          </w:tcPr>
          <w:p w14:paraId="5F58B7E4" w14:textId="77777777" w:rsidR="00724034" w:rsidRDefault="00FB7D0B">
            <w:pPr>
              <w:jc w:val="right"/>
              <w:rPr>
                <w:rFonts w:ascii="Arial" w:eastAsia="Arial" w:hAnsi="Arial" w:cs="Arial"/>
                <w:color w:val="000000"/>
                <w:sz w:val="16"/>
              </w:rPr>
            </w:pPr>
            <w:r>
              <w:rPr>
                <w:rFonts w:ascii="Arial" w:eastAsia="Arial" w:hAnsi="Arial" w:cs="Arial"/>
                <w:color w:val="000000"/>
                <w:sz w:val="16"/>
              </w:rPr>
              <w:t>year 3</w:t>
            </w:r>
          </w:p>
        </w:tc>
      </w:tr>
      <w:tr w:rsidR="00FB7D0B" w14:paraId="5F8F6EB6" w14:textId="77777777" w:rsidTr="00FB7D0B">
        <w:trPr>
          <w:trHeight w:val="225"/>
        </w:trPr>
        <w:tc>
          <w:tcPr>
            <w:tcW w:w="3090" w:type="dxa"/>
            <w:gridSpan w:val="3"/>
            <w:tcBorders>
              <w:top w:val="single" w:sz="6" w:space="0" w:color="000000"/>
              <w:left w:val="single" w:sz="6" w:space="0" w:color="000000"/>
              <w:bottom w:val="nil"/>
              <w:right w:val="nil"/>
              <w:tl2br w:val="nil"/>
              <w:tr2bl w:val="nil"/>
            </w:tcBorders>
            <w:shd w:val="clear" w:color="auto" w:fill="FFFFFF"/>
            <w:tcMar>
              <w:left w:w="101" w:type="dxa"/>
              <w:right w:w="101" w:type="dxa"/>
            </w:tcMar>
            <w:vAlign w:val="bottom"/>
          </w:tcPr>
          <w:p w14:paraId="5A9E3467" w14:textId="77777777" w:rsidR="00724034" w:rsidRDefault="00FB7D0B">
            <w:pPr>
              <w:rPr>
                <w:rFonts w:ascii="Arial" w:eastAsia="Arial" w:hAnsi="Arial" w:cs="Arial"/>
                <w:color w:val="000000"/>
                <w:sz w:val="16"/>
              </w:rPr>
            </w:pPr>
            <w:r>
              <w:rPr>
                <w:rFonts w:ascii="Arial" w:eastAsia="Arial" w:hAnsi="Arial" w:cs="Arial"/>
                <w:color w:val="000000"/>
                <w:sz w:val="16"/>
              </w:rPr>
              <w:t>Annual administered expenses:</w:t>
            </w:r>
          </w:p>
        </w:tc>
        <w:tc>
          <w:tcPr>
            <w:tcW w:w="97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024D46D0" w14:textId="77777777" w:rsidR="00724034" w:rsidRDefault="00724034">
            <w:pPr>
              <w:jc w:val="right"/>
              <w:rPr>
                <w:rFonts w:ascii="Arial" w:eastAsia="Arial" w:hAnsi="Arial" w:cs="Arial"/>
                <w:color w:val="000000"/>
                <w:sz w:val="16"/>
                <w:vertAlign w:val="superscript"/>
              </w:rPr>
            </w:pPr>
          </w:p>
        </w:tc>
        <w:tc>
          <w:tcPr>
            <w:tcW w:w="975" w:type="dxa"/>
            <w:tcBorders>
              <w:top w:val="single" w:sz="6" w:space="0" w:color="000000"/>
              <w:left w:val="nil"/>
              <w:bottom w:val="nil"/>
              <w:right w:val="nil"/>
              <w:tl2br w:val="nil"/>
              <w:tr2bl w:val="nil"/>
            </w:tcBorders>
            <w:shd w:val="clear" w:color="auto" w:fill="FFFF00"/>
            <w:tcMar>
              <w:left w:w="101" w:type="dxa"/>
              <w:right w:w="101" w:type="dxa"/>
            </w:tcMar>
            <w:vAlign w:val="bottom"/>
          </w:tcPr>
          <w:p w14:paraId="69A2428C" w14:textId="77777777" w:rsidR="00724034" w:rsidRDefault="00724034">
            <w:pPr>
              <w:rPr>
                <w:rFonts w:ascii="Arial" w:eastAsia="Arial" w:hAnsi="Arial" w:cs="Arial"/>
                <w:color w:val="000000"/>
                <w:sz w:val="16"/>
                <w:vertAlign w:val="superscript"/>
              </w:rPr>
            </w:pPr>
          </w:p>
        </w:tc>
        <w:tc>
          <w:tcPr>
            <w:tcW w:w="97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10DFDC6A" w14:textId="77777777" w:rsidR="00724034" w:rsidRDefault="00724034">
            <w:pPr>
              <w:jc w:val="right"/>
              <w:rPr>
                <w:rFonts w:ascii="Arial" w:eastAsia="Arial" w:hAnsi="Arial" w:cs="Arial"/>
                <w:color w:val="000000"/>
                <w:sz w:val="16"/>
                <w:vertAlign w:val="superscript"/>
              </w:rPr>
            </w:pPr>
          </w:p>
        </w:tc>
        <w:tc>
          <w:tcPr>
            <w:tcW w:w="97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77179A08" w14:textId="77777777" w:rsidR="00724034" w:rsidRDefault="00724034">
            <w:pPr>
              <w:jc w:val="right"/>
              <w:rPr>
                <w:rFonts w:ascii="Arial" w:eastAsia="Arial" w:hAnsi="Arial" w:cs="Arial"/>
                <w:color w:val="000000"/>
                <w:sz w:val="16"/>
                <w:vertAlign w:val="superscript"/>
              </w:rPr>
            </w:pPr>
          </w:p>
        </w:tc>
        <w:tc>
          <w:tcPr>
            <w:tcW w:w="975" w:type="dxa"/>
            <w:tcBorders>
              <w:top w:val="single" w:sz="6" w:space="0" w:color="000000"/>
              <w:left w:val="nil"/>
              <w:bottom w:val="nil"/>
              <w:right w:val="single" w:sz="6" w:space="0" w:color="000000"/>
              <w:tl2br w:val="nil"/>
              <w:tr2bl w:val="nil"/>
            </w:tcBorders>
            <w:shd w:val="clear" w:color="auto" w:fill="FFFFFF"/>
            <w:tcMar>
              <w:left w:w="101" w:type="dxa"/>
              <w:right w:w="101" w:type="dxa"/>
            </w:tcMar>
            <w:vAlign w:val="bottom"/>
          </w:tcPr>
          <w:p w14:paraId="5F7D28B4" w14:textId="77777777" w:rsidR="00724034" w:rsidRDefault="00724034">
            <w:pPr>
              <w:jc w:val="right"/>
              <w:rPr>
                <w:rFonts w:ascii="Arial" w:eastAsia="Arial" w:hAnsi="Arial" w:cs="Arial"/>
                <w:color w:val="000000"/>
                <w:sz w:val="16"/>
                <w:vertAlign w:val="superscript"/>
              </w:rPr>
            </w:pPr>
          </w:p>
        </w:tc>
      </w:tr>
      <w:tr w:rsidR="00FB7D0B" w14:paraId="557A4C66" w14:textId="77777777" w:rsidTr="00FB7D0B">
        <w:trPr>
          <w:trHeight w:val="225"/>
        </w:trPr>
        <w:tc>
          <w:tcPr>
            <w:tcW w:w="180" w:type="dxa"/>
            <w:tcBorders>
              <w:top w:val="single" w:sz="6" w:space="0" w:color="FFFFFF"/>
              <w:left w:val="single" w:sz="6" w:space="0" w:color="000000"/>
              <w:bottom w:val="nil"/>
              <w:right w:val="nil"/>
              <w:tl2br w:val="nil"/>
              <w:tr2bl w:val="nil"/>
            </w:tcBorders>
            <w:shd w:val="clear" w:color="auto" w:fill="FFFFFF"/>
            <w:tcMar>
              <w:left w:w="101" w:type="dxa"/>
              <w:right w:w="101" w:type="dxa"/>
            </w:tcMar>
            <w:vAlign w:val="bottom"/>
          </w:tcPr>
          <w:p w14:paraId="1C97167C" w14:textId="77777777" w:rsidR="00724034" w:rsidRDefault="00724034">
            <w:pPr>
              <w:rPr>
                <w:rFonts w:ascii="Arial" w:eastAsia="Arial" w:hAnsi="Arial" w:cs="Arial"/>
                <w:color w:val="000000"/>
                <w:sz w:val="16"/>
                <w:vertAlign w:val="superscript"/>
              </w:rPr>
            </w:pPr>
          </w:p>
        </w:tc>
        <w:tc>
          <w:tcPr>
            <w:tcW w:w="2910" w:type="dxa"/>
            <w:gridSpan w:val="2"/>
            <w:tcBorders>
              <w:top w:val="single" w:sz="6" w:space="0" w:color="FFFFFF"/>
              <w:left w:val="nil"/>
              <w:bottom w:val="nil"/>
              <w:right w:val="nil"/>
              <w:tl2br w:val="nil"/>
              <w:tr2bl w:val="nil"/>
            </w:tcBorders>
            <w:shd w:val="clear" w:color="auto" w:fill="FFFFFF"/>
            <w:tcMar>
              <w:left w:w="101" w:type="dxa"/>
              <w:right w:w="101" w:type="dxa"/>
            </w:tcMar>
            <w:vAlign w:val="bottom"/>
          </w:tcPr>
          <w:p w14:paraId="6B4648C5" w14:textId="77777777" w:rsidR="00724034" w:rsidRDefault="00FB7D0B">
            <w:pPr>
              <w:rPr>
                <w:rFonts w:ascii="Arial" w:eastAsia="Arial" w:hAnsi="Arial" w:cs="Arial"/>
                <w:color w:val="000000"/>
                <w:sz w:val="20"/>
                <w:vertAlign w:val="superscript"/>
              </w:rPr>
            </w:pPr>
            <w:r>
              <w:rPr>
                <w:rFonts w:ascii="Arial" w:eastAsia="Arial" w:hAnsi="Arial" w:cs="Arial"/>
                <w:color w:val="000000"/>
                <w:sz w:val="16"/>
              </w:rPr>
              <w:t>Appropriation Bill 1</w:t>
            </w:r>
          </w:p>
        </w:tc>
        <w:tc>
          <w:tcPr>
            <w:tcW w:w="975" w:type="dxa"/>
            <w:tcBorders>
              <w:top w:val="nil"/>
              <w:left w:val="nil"/>
              <w:bottom w:val="nil"/>
              <w:right w:val="nil"/>
              <w:tl2br w:val="nil"/>
              <w:tr2bl w:val="nil"/>
            </w:tcBorders>
            <w:shd w:val="clear" w:color="auto" w:fill="FFFFFF"/>
            <w:tcMar>
              <w:left w:w="101" w:type="dxa"/>
              <w:right w:w="101" w:type="dxa"/>
            </w:tcMar>
            <w:vAlign w:val="bottom"/>
          </w:tcPr>
          <w:p w14:paraId="0262907A" w14:textId="77777777" w:rsidR="00724034" w:rsidRDefault="00724034">
            <w:pPr>
              <w:jc w:val="right"/>
              <w:rPr>
                <w:rFonts w:ascii="Arial" w:eastAsia="Arial" w:hAnsi="Arial" w:cs="Arial"/>
                <w:color w:val="000000"/>
                <w:sz w:val="16"/>
                <w:vertAlign w:val="superscript"/>
              </w:rPr>
            </w:pPr>
          </w:p>
        </w:tc>
        <w:tc>
          <w:tcPr>
            <w:tcW w:w="975" w:type="dxa"/>
            <w:tcBorders>
              <w:top w:val="nil"/>
              <w:left w:val="nil"/>
              <w:bottom w:val="nil"/>
              <w:right w:val="nil"/>
              <w:tl2br w:val="nil"/>
              <w:tr2bl w:val="nil"/>
            </w:tcBorders>
            <w:shd w:val="clear" w:color="auto" w:fill="FFFF00"/>
            <w:tcMar>
              <w:left w:w="101" w:type="dxa"/>
              <w:right w:w="101" w:type="dxa"/>
            </w:tcMar>
            <w:vAlign w:val="bottom"/>
          </w:tcPr>
          <w:p w14:paraId="1A4D42CF" w14:textId="77777777" w:rsidR="00724034" w:rsidRDefault="00724034">
            <w:pPr>
              <w:jc w:val="right"/>
              <w:rPr>
                <w:rFonts w:ascii="Arial" w:eastAsia="Arial" w:hAnsi="Arial" w:cs="Arial"/>
                <w:color w:val="000000"/>
                <w:sz w:val="16"/>
                <w:vertAlign w:val="superscript"/>
              </w:rPr>
            </w:pPr>
          </w:p>
        </w:tc>
        <w:tc>
          <w:tcPr>
            <w:tcW w:w="975" w:type="dxa"/>
            <w:tcBorders>
              <w:top w:val="nil"/>
              <w:left w:val="nil"/>
              <w:bottom w:val="nil"/>
              <w:right w:val="nil"/>
              <w:tl2br w:val="nil"/>
              <w:tr2bl w:val="nil"/>
            </w:tcBorders>
            <w:shd w:val="clear" w:color="auto" w:fill="FFFFFF"/>
            <w:tcMar>
              <w:left w:w="101" w:type="dxa"/>
              <w:right w:w="101" w:type="dxa"/>
            </w:tcMar>
            <w:vAlign w:val="bottom"/>
          </w:tcPr>
          <w:p w14:paraId="2108B24E" w14:textId="77777777" w:rsidR="00724034" w:rsidRDefault="00724034">
            <w:pPr>
              <w:jc w:val="right"/>
              <w:rPr>
                <w:rFonts w:ascii="Arial" w:eastAsia="Arial" w:hAnsi="Arial" w:cs="Arial"/>
                <w:color w:val="000000"/>
                <w:sz w:val="16"/>
                <w:vertAlign w:val="superscript"/>
              </w:rPr>
            </w:pPr>
          </w:p>
        </w:tc>
        <w:tc>
          <w:tcPr>
            <w:tcW w:w="975" w:type="dxa"/>
            <w:tcBorders>
              <w:top w:val="nil"/>
              <w:left w:val="nil"/>
              <w:bottom w:val="nil"/>
              <w:right w:val="nil"/>
              <w:tl2br w:val="nil"/>
              <w:tr2bl w:val="nil"/>
            </w:tcBorders>
            <w:shd w:val="clear" w:color="auto" w:fill="FFFFFF"/>
            <w:tcMar>
              <w:left w:w="101" w:type="dxa"/>
              <w:right w:w="101" w:type="dxa"/>
            </w:tcMar>
            <w:vAlign w:val="bottom"/>
          </w:tcPr>
          <w:p w14:paraId="65AD202B" w14:textId="77777777" w:rsidR="00724034" w:rsidRDefault="00724034">
            <w:pPr>
              <w:jc w:val="right"/>
              <w:rPr>
                <w:rFonts w:ascii="Arial" w:eastAsia="Arial" w:hAnsi="Arial" w:cs="Arial"/>
                <w:color w:val="000000"/>
                <w:sz w:val="16"/>
                <w:vertAlign w:val="superscript"/>
              </w:rPr>
            </w:pPr>
          </w:p>
        </w:tc>
        <w:tc>
          <w:tcPr>
            <w:tcW w:w="975" w:type="dxa"/>
            <w:tcBorders>
              <w:top w:val="nil"/>
              <w:left w:val="nil"/>
              <w:bottom w:val="nil"/>
              <w:right w:val="single" w:sz="6" w:space="0" w:color="000000"/>
              <w:tl2br w:val="nil"/>
              <w:tr2bl w:val="nil"/>
            </w:tcBorders>
            <w:shd w:val="clear" w:color="auto" w:fill="FFFFFF"/>
            <w:tcMar>
              <w:left w:w="101" w:type="dxa"/>
              <w:right w:w="101" w:type="dxa"/>
            </w:tcMar>
            <w:vAlign w:val="bottom"/>
          </w:tcPr>
          <w:p w14:paraId="3DB7F68D" w14:textId="77777777" w:rsidR="00724034" w:rsidRDefault="00724034">
            <w:pPr>
              <w:jc w:val="right"/>
              <w:rPr>
                <w:rFonts w:ascii="Arial" w:eastAsia="Arial" w:hAnsi="Arial" w:cs="Arial"/>
                <w:color w:val="000000"/>
                <w:sz w:val="16"/>
                <w:vertAlign w:val="superscript"/>
              </w:rPr>
            </w:pPr>
          </w:p>
        </w:tc>
      </w:tr>
      <w:tr w:rsidR="00724034" w14:paraId="169FA559" w14:textId="77777777">
        <w:trPr>
          <w:trHeight w:val="225"/>
        </w:trPr>
        <w:tc>
          <w:tcPr>
            <w:tcW w:w="180" w:type="dxa"/>
            <w:tcBorders>
              <w:top w:val="nil"/>
              <w:left w:val="single" w:sz="6" w:space="0" w:color="000000"/>
              <w:bottom w:val="nil"/>
              <w:right w:val="nil"/>
              <w:tl2br w:val="nil"/>
              <w:tr2bl w:val="nil"/>
            </w:tcBorders>
            <w:shd w:val="clear" w:color="auto" w:fill="FFFFFF"/>
            <w:tcMar>
              <w:left w:w="101" w:type="dxa"/>
              <w:right w:w="101" w:type="dxa"/>
            </w:tcMar>
            <w:vAlign w:val="bottom"/>
          </w:tcPr>
          <w:p w14:paraId="4FD1C257" w14:textId="77777777" w:rsidR="00724034" w:rsidRDefault="00724034">
            <w:pPr>
              <w:rPr>
                <w:rFonts w:ascii="Arial" w:eastAsia="Arial" w:hAnsi="Arial" w:cs="Arial"/>
                <w:color w:val="000000"/>
                <w:sz w:val="16"/>
                <w:vertAlign w:val="superscript"/>
              </w:rPr>
            </w:pPr>
          </w:p>
        </w:tc>
        <w:tc>
          <w:tcPr>
            <w:tcW w:w="180" w:type="dxa"/>
            <w:tcBorders>
              <w:top w:val="nil"/>
              <w:left w:val="nil"/>
              <w:bottom w:val="nil"/>
              <w:right w:val="nil"/>
              <w:tl2br w:val="nil"/>
              <w:tr2bl w:val="nil"/>
            </w:tcBorders>
            <w:shd w:val="clear" w:color="auto" w:fill="FFFFFF"/>
            <w:tcMar>
              <w:left w:w="101" w:type="dxa"/>
              <w:right w:w="101" w:type="dxa"/>
            </w:tcMar>
            <w:vAlign w:val="bottom"/>
          </w:tcPr>
          <w:p w14:paraId="3D1962EA" w14:textId="77777777" w:rsidR="00724034" w:rsidRDefault="00724034">
            <w:pPr>
              <w:rPr>
                <w:rFonts w:ascii="Arial" w:eastAsia="Arial" w:hAnsi="Arial" w:cs="Arial"/>
                <w:color w:val="000000"/>
                <w:sz w:val="20"/>
                <w:vertAlign w:val="superscript"/>
              </w:rPr>
            </w:pPr>
          </w:p>
        </w:tc>
        <w:tc>
          <w:tcPr>
            <w:tcW w:w="2730" w:type="dxa"/>
            <w:tcBorders>
              <w:top w:val="nil"/>
              <w:left w:val="nil"/>
              <w:bottom w:val="nil"/>
              <w:right w:val="nil"/>
              <w:tl2br w:val="nil"/>
              <w:tr2bl w:val="nil"/>
            </w:tcBorders>
            <w:shd w:val="clear" w:color="auto" w:fill="FFFFFF"/>
            <w:tcMar>
              <w:left w:w="101" w:type="dxa"/>
              <w:right w:w="101" w:type="dxa"/>
            </w:tcMar>
            <w:vAlign w:val="bottom"/>
          </w:tcPr>
          <w:p w14:paraId="11F486A6" w14:textId="77777777" w:rsidR="00724034" w:rsidRDefault="00FB7D0B">
            <w:pPr>
              <w:rPr>
                <w:rFonts w:ascii="Arial" w:eastAsia="Arial" w:hAnsi="Arial" w:cs="Arial"/>
                <w:color w:val="000000"/>
                <w:sz w:val="16"/>
                <w:vertAlign w:val="superscript"/>
              </w:rPr>
            </w:pPr>
            <w:r>
              <w:rPr>
                <w:rFonts w:ascii="Arial" w:eastAsia="Arial" w:hAnsi="Arial" w:cs="Arial"/>
                <w:color w:val="000000"/>
                <w:sz w:val="16"/>
              </w:rPr>
              <w:t>Legal Expenses</w:t>
            </w:r>
          </w:p>
        </w:tc>
        <w:tc>
          <w:tcPr>
            <w:tcW w:w="975" w:type="dxa"/>
            <w:tcBorders>
              <w:top w:val="nil"/>
              <w:left w:val="nil"/>
              <w:bottom w:val="nil"/>
              <w:right w:val="nil"/>
              <w:tl2br w:val="nil"/>
              <w:tr2bl w:val="nil"/>
            </w:tcBorders>
            <w:shd w:val="clear" w:color="auto" w:fill="FFFFFF"/>
            <w:tcMar>
              <w:left w:w="101" w:type="dxa"/>
              <w:right w:w="101" w:type="dxa"/>
            </w:tcMar>
            <w:vAlign w:val="bottom"/>
          </w:tcPr>
          <w:p w14:paraId="6CDE4766" w14:textId="77777777" w:rsidR="00724034" w:rsidRDefault="00FB7D0B">
            <w:pPr>
              <w:jc w:val="right"/>
              <w:rPr>
                <w:rFonts w:ascii="Arial" w:eastAsia="Arial" w:hAnsi="Arial" w:cs="Arial"/>
                <w:color w:val="000000"/>
                <w:sz w:val="16"/>
                <w:vertAlign w:val="superscript"/>
              </w:rPr>
            </w:pPr>
            <w:r>
              <w:rPr>
                <w:rFonts w:ascii="Arial" w:eastAsia="Arial" w:hAnsi="Arial" w:cs="Arial"/>
                <w:color w:val="000000"/>
                <w:sz w:val="16"/>
              </w:rPr>
              <w:t xml:space="preserve"> 1,848 </w:t>
            </w:r>
          </w:p>
        </w:tc>
        <w:tc>
          <w:tcPr>
            <w:tcW w:w="975" w:type="dxa"/>
            <w:tcBorders>
              <w:top w:val="nil"/>
              <w:left w:val="nil"/>
              <w:bottom w:val="nil"/>
              <w:right w:val="nil"/>
              <w:tl2br w:val="nil"/>
              <w:tr2bl w:val="nil"/>
            </w:tcBorders>
            <w:shd w:val="clear" w:color="auto" w:fill="FFFF00"/>
            <w:tcMar>
              <w:left w:w="101" w:type="dxa"/>
              <w:right w:w="101" w:type="dxa"/>
            </w:tcMar>
            <w:vAlign w:val="bottom"/>
          </w:tcPr>
          <w:p w14:paraId="2665FDA1" w14:textId="77777777" w:rsidR="00724034" w:rsidRDefault="00FB7D0B">
            <w:pPr>
              <w:jc w:val="right"/>
              <w:rPr>
                <w:rFonts w:ascii="Arial" w:eastAsia="Arial" w:hAnsi="Arial" w:cs="Arial"/>
                <w:color w:val="000000"/>
                <w:sz w:val="16"/>
              </w:rPr>
            </w:pPr>
            <w:r>
              <w:rPr>
                <w:rFonts w:ascii="Arial" w:eastAsia="Arial" w:hAnsi="Arial" w:cs="Arial"/>
                <w:color w:val="000000"/>
                <w:sz w:val="16"/>
              </w:rPr>
              <w:t xml:space="preserve"> 1,597 </w:t>
            </w:r>
          </w:p>
        </w:tc>
        <w:tc>
          <w:tcPr>
            <w:tcW w:w="975" w:type="dxa"/>
            <w:tcBorders>
              <w:top w:val="nil"/>
              <w:left w:val="nil"/>
              <w:bottom w:val="nil"/>
              <w:right w:val="nil"/>
              <w:tl2br w:val="nil"/>
              <w:tr2bl w:val="nil"/>
            </w:tcBorders>
            <w:shd w:val="clear" w:color="auto" w:fill="FFFFFF"/>
            <w:tcMar>
              <w:left w:w="101" w:type="dxa"/>
              <w:right w:w="101" w:type="dxa"/>
            </w:tcMar>
            <w:vAlign w:val="bottom"/>
          </w:tcPr>
          <w:p w14:paraId="31BFE0C8" w14:textId="77777777" w:rsidR="00724034" w:rsidRDefault="00FB7D0B">
            <w:pPr>
              <w:jc w:val="right"/>
              <w:rPr>
                <w:rFonts w:ascii="Arial" w:eastAsia="Arial" w:hAnsi="Arial" w:cs="Arial"/>
                <w:color w:val="000000"/>
                <w:sz w:val="16"/>
              </w:rPr>
            </w:pPr>
            <w:r>
              <w:rPr>
                <w:rFonts w:ascii="Arial" w:eastAsia="Arial" w:hAnsi="Arial" w:cs="Arial"/>
                <w:color w:val="000000"/>
                <w:sz w:val="16"/>
              </w:rPr>
              <w:t xml:space="preserve"> 1,590 </w:t>
            </w:r>
          </w:p>
        </w:tc>
        <w:tc>
          <w:tcPr>
            <w:tcW w:w="975" w:type="dxa"/>
            <w:tcBorders>
              <w:top w:val="nil"/>
              <w:left w:val="nil"/>
              <w:bottom w:val="nil"/>
              <w:right w:val="nil"/>
              <w:tl2br w:val="nil"/>
              <w:tr2bl w:val="nil"/>
            </w:tcBorders>
            <w:shd w:val="clear" w:color="auto" w:fill="FFFFFF"/>
            <w:tcMar>
              <w:left w:w="101" w:type="dxa"/>
              <w:right w:w="101" w:type="dxa"/>
            </w:tcMar>
            <w:vAlign w:val="bottom"/>
          </w:tcPr>
          <w:p w14:paraId="291F2396" w14:textId="77777777" w:rsidR="00724034" w:rsidRDefault="00FB7D0B">
            <w:pPr>
              <w:jc w:val="right"/>
              <w:rPr>
                <w:rFonts w:ascii="Arial" w:eastAsia="Arial" w:hAnsi="Arial" w:cs="Arial"/>
                <w:color w:val="000000"/>
                <w:sz w:val="16"/>
              </w:rPr>
            </w:pPr>
            <w:r>
              <w:rPr>
                <w:rFonts w:ascii="Arial" w:eastAsia="Arial" w:hAnsi="Arial" w:cs="Arial"/>
                <w:color w:val="000000"/>
                <w:sz w:val="16"/>
              </w:rPr>
              <w:t xml:space="preserve"> 1,620 </w:t>
            </w:r>
          </w:p>
        </w:tc>
        <w:tc>
          <w:tcPr>
            <w:tcW w:w="975" w:type="dxa"/>
            <w:tcBorders>
              <w:top w:val="nil"/>
              <w:left w:val="nil"/>
              <w:bottom w:val="nil"/>
              <w:right w:val="single" w:sz="6" w:space="0" w:color="000000"/>
              <w:tl2br w:val="nil"/>
              <w:tr2bl w:val="nil"/>
            </w:tcBorders>
            <w:shd w:val="clear" w:color="auto" w:fill="FFFFFF"/>
            <w:tcMar>
              <w:left w:w="101" w:type="dxa"/>
              <w:right w:w="101" w:type="dxa"/>
            </w:tcMar>
            <w:vAlign w:val="bottom"/>
          </w:tcPr>
          <w:p w14:paraId="2AA4FD8C" w14:textId="77777777" w:rsidR="00724034" w:rsidRDefault="00FB7D0B">
            <w:pPr>
              <w:jc w:val="right"/>
              <w:rPr>
                <w:rFonts w:ascii="Arial" w:eastAsia="Arial" w:hAnsi="Arial" w:cs="Arial"/>
                <w:color w:val="000000"/>
                <w:sz w:val="16"/>
              </w:rPr>
            </w:pPr>
            <w:r>
              <w:rPr>
                <w:rFonts w:ascii="Arial" w:eastAsia="Arial" w:hAnsi="Arial" w:cs="Arial"/>
                <w:color w:val="000000"/>
                <w:sz w:val="16"/>
              </w:rPr>
              <w:t xml:space="preserve"> 1,653 </w:t>
            </w:r>
          </w:p>
        </w:tc>
      </w:tr>
      <w:tr w:rsidR="00724034" w14:paraId="54A6A692" w14:textId="77777777">
        <w:trPr>
          <w:trHeight w:val="225"/>
        </w:trPr>
        <w:tc>
          <w:tcPr>
            <w:tcW w:w="180" w:type="dxa"/>
            <w:tcBorders>
              <w:top w:val="nil"/>
              <w:left w:val="single" w:sz="6" w:space="0" w:color="000000"/>
              <w:bottom w:val="nil"/>
              <w:right w:val="nil"/>
              <w:tl2br w:val="nil"/>
              <w:tr2bl w:val="nil"/>
            </w:tcBorders>
            <w:shd w:val="clear" w:color="auto" w:fill="FFFFFF"/>
            <w:tcMar>
              <w:left w:w="101" w:type="dxa"/>
              <w:right w:w="101" w:type="dxa"/>
            </w:tcMar>
            <w:vAlign w:val="bottom"/>
          </w:tcPr>
          <w:p w14:paraId="059717BC" w14:textId="77777777" w:rsidR="00724034" w:rsidRDefault="00724034">
            <w:pPr>
              <w:rPr>
                <w:rFonts w:ascii="Arial" w:eastAsia="Arial" w:hAnsi="Arial" w:cs="Arial"/>
                <w:color w:val="000000"/>
                <w:sz w:val="16"/>
              </w:rPr>
            </w:pPr>
          </w:p>
        </w:tc>
        <w:tc>
          <w:tcPr>
            <w:tcW w:w="180" w:type="dxa"/>
            <w:tcBorders>
              <w:top w:val="nil"/>
              <w:left w:val="nil"/>
              <w:bottom w:val="nil"/>
              <w:right w:val="nil"/>
              <w:tl2br w:val="nil"/>
              <w:tr2bl w:val="nil"/>
            </w:tcBorders>
            <w:shd w:val="clear" w:color="auto" w:fill="FFFFFF"/>
            <w:tcMar>
              <w:left w:w="101" w:type="dxa"/>
              <w:right w:w="101" w:type="dxa"/>
            </w:tcMar>
            <w:vAlign w:val="bottom"/>
          </w:tcPr>
          <w:p w14:paraId="107636F4" w14:textId="77777777" w:rsidR="00724034" w:rsidRDefault="00724034">
            <w:pPr>
              <w:rPr>
                <w:rFonts w:ascii="Arial" w:eastAsia="Arial" w:hAnsi="Arial" w:cs="Arial"/>
                <w:color w:val="000000"/>
                <w:sz w:val="20"/>
              </w:rPr>
            </w:pPr>
          </w:p>
        </w:tc>
        <w:tc>
          <w:tcPr>
            <w:tcW w:w="2730" w:type="dxa"/>
            <w:tcBorders>
              <w:top w:val="nil"/>
              <w:left w:val="nil"/>
              <w:bottom w:val="nil"/>
              <w:right w:val="nil"/>
              <w:tl2br w:val="nil"/>
              <w:tr2bl w:val="nil"/>
            </w:tcBorders>
            <w:shd w:val="clear" w:color="auto" w:fill="FFFFFF"/>
            <w:tcMar>
              <w:left w:w="101" w:type="dxa"/>
              <w:right w:w="101" w:type="dxa"/>
            </w:tcMar>
            <w:vAlign w:val="bottom"/>
          </w:tcPr>
          <w:p w14:paraId="2226F633" w14:textId="77777777" w:rsidR="00724034" w:rsidRDefault="00FB7D0B">
            <w:pPr>
              <w:rPr>
                <w:rFonts w:ascii="Arial" w:eastAsia="Arial" w:hAnsi="Arial" w:cs="Arial"/>
                <w:color w:val="000000"/>
                <w:sz w:val="16"/>
              </w:rPr>
            </w:pPr>
            <w:r>
              <w:rPr>
                <w:rFonts w:ascii="Arial" w:eastAsia="Arial" w:hAnsi="Arial" w:cs="Arial"/>
                <w:color w:val="000000"/>
                <w:sz w:val="16"/>
              </w:rPr>
              <w:t>Defective Administration</w:t>
            </w:r>
          </w:p>
        </w:tc>
        <w:tc>
          <w:tcPr>
            <w:tcW w:w="975" w:type="dxa"/>
            <w:tcBorders>
              <w:top w:val="nil"/>
              <w:left w:val="nil"/>
              <w:bottom w:val="nil"/>
              <w:right w:val="nil"/>
              <w:tl2br w:val="nil"/>
              <w:tr2bl w:val="nil"/>
            </w:tcBorders>
            <w:shd w:val="clear" w:color="auto" w:fill="FFFFFF"/>
            <w:tcMar>
              <w:left w:w="101" w:type="dxa"/>
              <w:right w:w="101" w:type="dxa"/>
            </w:tcMar>
            <w:vAlign w:val="bottom"/>
          </w:tcPr>
          <w:p w14:paraId="4BBFC7E9" w14:textId="77777777" w:rsidR="00724034" w:rsidRDefault="00FB7D0B">
            <w:pPr>
              <w:jc w:val="right"/>
              <w:rPr>
                <w:rFonts w:ascii="Arial" w:eastAsia="Arial" w:hAnsi="Arial" w:cs="Arial"/>
                <w:color w:val="000000"/>
                <w:sz w:val="16"/>
                <w:vertAlign w:val="superscript"/>
              </w:rPr>
            </w:pPr>
            <w:r>
              <w:rPr>
                <w:rFonts w:ascii="Arial" w:eastAsia="Arial" w:hAnsi="Arial" w:cs="Arial"/>
                <w:color w:val="000000"/>
                <w:sz w:val="16"/>
              </w:rPr>
              <w:t xml:space="preserve"> 350 </w:t>
            </w:r>
          </w:p>
        </w:tc>
        <w:tc>
          <w:tcPr>
            <w:tcW w:w="975" w:type="dxa"/>
            <w:tcBorders>
              <w:top w:val="nil"/>
              <w:left w:val="nil"/>
              <w:bottom w:val="nil"/>
              <w:right w:val="nil"/>
              <w:tl2br w:val="nil"/>
              <w:tr2bl w:val="nil"/>
            </w:tcBorders>
            <w:shd w:val="clear" w:color="auto" w:fill="FFFF00"/>
            <w:tcMar>
              <w:left w:w="101" w:type="dxa"/>
              <w:right w:w="101" w:type="dxa"/>
            </w:tcMar>
            <w:vAlign w:val="bottom"/>
          </w:tcPr>
          <w:p w14:paraId="17651721" w14:textId="77777777" w:rsidR="00724034" w:rsidRDefault="00FB7D0B">
            <w:pPr>
              <w:jc w:val="right"/>
              <w:rPr>
                <w:rFonts w:ascii="Arial" w:eastAsia="Arial" w:hAnsi="Arial" w:cs="Arial"/>
                <w:color w:val="000000"/>
                <w:sz w:val="16"/>
              </w:rPr>
            </w:pPr>
            <w:r>
              <w:rPr>
                <w:rFonts w:ascii="Arial" w:eastAsia="Arial" w:hAnsi="Arial" w:cs="Arial"/>
                <w:color w:val="000000"/>
                <w:sz w:val="16"/>
              </w:rPr>
              <w:t xml:space="preserve"> 250 </w:t>
            </w:r>
          </w:p>
        </w:tc>
        <w:tc>
          <w:tcPr>
            <w:tcW w:w="975" w:type="dxa"/>
            <w:tcBorders>
              <w:top w:val="nil"/>
              <w:left w:val="nil"/>
              <w:bottom w:val="nil"/>
              <w:right w:val="nil"/>
              <w:tl2br w:val="nil"/>
              <w:tr2bl w:val="nil"/>
            </w:tcBorders>
            <w:shd w:val="clear" w:color="auto" w:fill="FFFFFF"/>
            <w:tcMar>
              <w:left w:w="101" w:type="dxa"/>
              <w:right w:w="101" w:type="dxa"/>
            </w:tcMar>
            <w:vAlign w:val="bottom"/>
          </w:tcPr>
          <w:p w14:paraId="1C350C88" w14:textId="77777777" w:rsidR="00724034" w:rsidRDefault="00FB7D0B">
            <w:pPr>
              <w:jc w:val="right"/>
              <w:rPr>
                <w:rFonts w:ascii="Arial" w:eastAsia="Arial" w:hAnsi="Arial" w:cs="Arial"/>
                <w:color w:val="000000"/>
                <w:sz w:val="16"/>
              </w:rPr>
            </w:pPr>
            <w:r>
              <w:rPr>
                <w:rFonts w:ascii="Arial" w:eastAsia="Arial" w:hAnsi="Arial" w:cs="Arial"/>
                <w:color w:val="000000"/>
                <w:sz w:val="16"/>
              </w:rPr>
              <w:t xml:space="preserve"> 250 </w:t>
            </w:r>
          </w:p>
        </w:tc>
        <w:tc>
          <w:tcPr>
            <w:tcW w:w="975" w:type="dxa"/>
            <w:tcBorders>
              <w:top w:val="nil"/>
              <w:left w:val="nil"/>
              <w:bottom w:val="nil"/>
              <w:right w:val="nil"/>
              <w:tl2br w:val="nil"/>
              <w:tr2bl w:val="nil"/>
            </w:tcBorders>
            <w:shd w:val="clear" w:color="auto" w:fill="FFFFFF"/>
            <w:tcMar>
              <w:left w:w="101" w:type="dxa"/>
              <w:right w:w="101" w:type="dxa"/>
            </w:tcMar>
            <w:vAlign w:val="bottom"/>
          </w:tcPr>
          <w:p w14:paraId="3A2E7215" w14:textId="77777777" w:rsidR="00724034" w:rsidRDefault="00FB7D0B">
            <w:pPr>
              <w:jc w:val="right"/>
              <w:rPr>
                <w:rFonts w:ascii="Arial" w:eastAsia="Arial" w:hAnsi="Arial" w:cs="Arial"/>
                <w:color w:val="000000"/>
                <w:sz w:val="16"/>
              </w:rPr>
            </w:pPr>
            <w:r>
              <w:rPr>
                <w:rFonts w:ascii="Arial" w:eastAsia="Arial" w:hAnsi="Arial" w:cs="Arial"/>
                <w:color w:val="000000"/>
                <w:sz w:val="16"/>
              </w:rPr>
              <w:t xml:space="preserve"> 250 </w:t>
            </w:r>
          </w:p>
        </w:tc>
        <w:tc>
          <w:tcPr>
            <w:tcW w:w="975" w:type="dxa"/>
            <w:tcBorders>
              <w:top w:val="nil"/>
              <w:left w:val="nil"/>
              <w:bottom w:val="nil"/>
              <w:right w:val="single" w:sz="6" w:space="0" w:color="000000"/>
              <w:tl2br w:val="nil"/>
              <w:tr2bl w:val="nil"/>
            </w:tcBorders>
            <w:shd w:val="clear" w:color="auto" w:fill="FFFFFF"/>
            <w:tcMar>
              <w:left w:w="101" w:type="dxa"/>
              <w:right w:w="101" w:type="dxa"/>
            </w:tcMar>
            <w:vAlign w:val="bottom"/>
          </w:tcPr>
          <w:p w14:paraId="22DB5DB5" w14:textId="77777777" w:rsidR="00724034" w:rsidRDefault="00FB7D0B">
            <w:pPr>
              <w:jc w:val="right"/>
              <w:rPr>
                <w:rFonts w:ascii="Arial" w:eastAsia="Arial" w:hAnsi="Arial" w:cs="Arial"/>
                <w:color w:val="000000"/>
                <w:sz w:val="16"/>
              </w:rPr>
            </w:pPr>
            <w:r>
              <w:rPr>
                <w:rFonts w:ascii="Arial" w:eastAsia="Arial" w:hAnsi="Arial" w:cs="Arial"/>
                <w:color w:val="000000"/>
                <w:sz w:val="16"/>
              </w:rPr>
              <w:t xml:space="preserve"> 250 </w:t>
            </w:r>
          </w:p>
        </w:tc>
      </w:tr>
      <w:tr w:rsidR="00724034" w14:paraId="61EE3C45" w14:textId="77777777">
        <w:trPr>
          <w:trHeight w:val="225"/>
        </w:trPr>
        <w:tc>
          <w:tcPr>
            <w:tcW w:w="180" w:type="dxa"/>
            <w:tcBorders>
              <w:top w:val="nil"/>
              <w:left w:val="single" w:sz="6" w:space="0" w:color="000000"/>
              <w:bottom w:val="nil"/>
              <w:right w:val="nil"/>
              <w:tl2br w:val="nil"/>
              <w:tr2bl w:val="nil"/>
            </w:tcBorders>
            <w:shd w:val="clear" w:color="auto" w:fill="FFFFFF"/>
            <w:tcMar>
              <w:left w:w="101" w:type="dxa"/>
              <w:right w:w="101" w:type="dxa"/>
            </w:tcMar>
            <w:vAlign w:val="bottom"/>
          </w:tcPr>
          <w:p w14:paraId="18510343" w14:textId="77777777" w:rsidR="00724034" w:rsidRDefault="00724034">
            <w:pPr>
              <w:rPr>
                <w:rFonts w:ascii="Arial" w:eastAsia="Arial" w:hAnsi="Arial" w:cs="Arial"/>
                <w:color w:val="000000"/>
                <w:sz w:val="16"/>
              </w:rPr>
            </w:pPr>
          </w:p>
        </w:tc>
        <w:tc>
          <w:tcPr>
            <w:tcW w:w="180" w:type="dxa"/>
            <w:tcBorders>
              <w:top w:val="nil"/>
              <w:left w:val="nil"/>
              <w:bottom w:val="nil"/>
              <w:right w:val="nil"/>
              <w:tl2br w:val="nil"/>
              <w:tr2bl w:val="nil"/>
            </w:tcBorders>
            <w:shd w:val="clear" w:color="auto" w:fill="FFFFFF"/>
            <w:tcMar>
              <w:left w:w="101" w:type="dxa"/>
              <w:right w:w="101" w:type="dxa"/>
            </w:tcMar>
            <w:vAlign w:val="bottom"/>
          </w:tcPr>
          <w:p w14:paraId="76F6DB1B" w14:textId="77777777" w:rsidR="00724034" w:rsidRDefault="00724034">
            <w:pPr>
              <w:rPr>
                <w:rFonts w:ascii="Arial" w:eastAsia="Arial" w:hAnsi="Arial" w:cs="Arial"/>
                <w:color w:val="000000"/>
                <w:sz w:val="20"/>
              </w:rPr>
            </w:pPr>
          </w:p>
        </w:tc>
        <w:tc>
          <w:tcPr>
            <w:tcW w:w="2730" w:type="dxa"/>
            <w:tcBorders>
              <w:top w:val="nil"/>
              <w:left w:val="nil"/>
              <w:bottom w:val="nil"/>
              <w:right w:val="nil"/>
              <w:tl2br w:val="nil"/>
              <w:tr2bl w:val="nil"/>
            </w:tcBorders>
            <w:shd w:val="clear" w:color="auto" w:fill="FFFFFF"/>
            <w:tcMar>
              <w:left w:w="101" w:type="dxa"/>
              <w:right w:w="101" w:type="dxa"/>
            </w:tcMar>
            <w:vAlign w:val="bottom"/>
          </w:tcPr>
          <w:p w14:paraId="77409CBB" w14:textId="77777777" w:rsidR="00724034" w:rsidRDefault="00FB7D0B">
            <w:pPr>
              <w:rPr>
                <w:rFonts w:ascii="Arial" w:eastAsia="Arial" w:hAnsi="Arial" w:cs="Arial"/>
                <w:color w:val="000000"/>
                <w:sz w:val="16"/>
              </w:rPr>
            </w:pPr>
            <w:r>
              <w:rPr>
                <w:rFonts w:ascii="Arial" w:eastAsia="Arial" w:hAnsi="Arial" w:cs="Arial"/>
                <w:color w:val="000000"/>
                <w:sz w:val="16"/>
              </w:rPr>
              <w:t>Payments to ESOs (BEST &amp; TIP)</w:t>
            </w:r>
          </w:p>
        </w:tc>
        <w:tc>
          <w:tcPr>
            <w:tcW w:w="975" w:type="dxa"/>
            <w:tcBorders>
              <w:top w:val="nil"/>
              <w:left w:val="nil"/>
              <w:bottom w:val="nil"/>
              <w:right w:val="nil"/>
              <w:tl2br w:val="nil"/>
              <w:tr2bl w:val="nil"/>
            </w:tcBorders>
            <w:shd w:val="clear" w:color="auto" w:fill="FFFFFF"/>
            <w:tcMar>
              <w:left w:w="101" w:type="dxa"/>
              <w:right w:w="101" w:type="dxa"/>
            </w:tcMar>
            <w:vAlign w:val="bottom"/>
          </w:tcPr>
          <w:p w14:paraId="04C9B0F1" w14:textId="77777777" w:rsidR="00724034" w:rsidRDefault="00FB7D0B">
            <w:pPr>
              <w:jc w:val="right"/>
              <w:rPr>
                <w:rFonts w:ascii="Arial" w:eastAsia="Arial" w:hAnsi="Arial" w:cs="Arial"/>
                <w:color w:val="000000"/>
                <w:sz w:val="16"/>
                <w:vertAlign w:val="superscript"/>
              </w:rPr>
            </w:pPr>
            <w:r>
              <w:rPr>
                <w:rFonts w:ascii="Arial" w:eastAsia="Arial" w:hAnsi="Arial" w:cs="Arial"/>
                <w:color w:val="000000"/>
                <w:sz w:val="16"/>
              </w:rPr>
              <w:t xml:space="preserve"> 4,014 </w:t>
            </w:r>
          </w:p>
        </w:tc>
        <w:tc>
          <w:tcPr>
            <w:tcW w:w="975" w:type="dxa"/>
            <w:tcBorders>
              <w:top w:val="nil"/>
              <w:left w:val="nil"/>
              <w:bottom w:val="nil"/>
              <w:right w:val="nil"/>
              <w:tl2br w:val="nil"/>
              <w:tr2bl w:val="nil"/>
            </w:tcBorders>
            <w:shd w:val="clear" w:color="auto" w:fill="FFFF00"/>
            <w:tcMar>
              <w:left w:w="101" w:type="dxa"/>
              <w:right w:w="101" w:type="dxa"/>
            </w:tcMar>
            <w:vAlign w:val="bottom"/>
          </w:tcPr>
          <w:p w14:paraId="4895BC88" w14:textId="77777777" w:rsidR="00724034" w:rsidRDefault="00FB7D0B">
            <w:pPr>
              <w:jc w:val="right"/>
              <w:rPr>
                <w:rFonts w:ascii="Arial" w:eastAsia="Arial" w:hAnsi="Arial" w:cs="Arial"/>
                <w:color w:val="000000"/>
                <w:sz w:val="16"/>
              </w:rPr>
            </w:pPr>
            <w:r>
              <w:rPr>
                <w:rFonts w:ascii="Arial" w:eastAsia="Arial" w:hAnsi="Arial" w:cs="Arial"/>
                <w:color w:val="000000"/>
                <w:sz w:val="16"/>
              </w:rPr>
              <w:t xml:space="preserve"> 5,002 </w:t>
            </w:r>
          </w:p>
        </w:tc>
        <w:tc>
          <w:tcPr>
            <w:tcW w:w="975" w:type="dxa"/>
            <w:tcBorders>
              <w:top w:val="nil"/>
              <w:left w:val="nil"/>
              <w:bottom w:val="nil"/>
              <w:right w:val="nil"/>
              <w:tl2br w:val="nil"/>
              <w:tr2bl w:val="nil"/>
            </w:tcBorders>
            <w:shd w:val="clear" w:color="auto" w:fill="FFFFFF"/>
            <w:tcMar>
              <w:left w:w="101" w:type="dxa"/>
              <w:right w:w="101" w:type="dxa"/>
            </w:tcMar>
            <w:vAlign w:val="bottom"/>
          </w:tcPr>
          <w:p w14:paraId="336E82FA" w14:textId="77777777" w:rsidR="00724034" w:rsidRDefault="00FB7D0B">
            <w:pPr>
              <w:jc w:val="right"/>
              <w:rPr>
                <w:rFonts w:ascii="Arial" w:eastAsia="Arial" w:hAnsi="Arial" w:cs="Arial"/>
                <w:color w:val="000000"/>
                <w:sz w:val="16"/>
              </w:rPr>
            </w:pPr>
            <w:r>
              <w:rPr>
                <w:rFonts w:ascii="Arial" w:eastAsia="Arial" w:hAnsi="Arial" w:cs="Arial"/>
                <w:color w:val="000000"/>
                <w:sz w:val="16"/>
              </w:rPr>
              <w:t xml:space="preserve"> 5,008 </w:t>
            </w:r>
          </w:p>
        </w:tc>
        <w:tc>
          <w:tcPr>
            <w:tcW w:w="975" w:type="dxa"/>
            <w:tcBorders>
              <w:top w:val="nil"/>
              <w:left w:val="nil"/>
              <w:bottom w:val="nil"/>
              <w:right w:val="nil"/>
              <w:tl2br w:val="nil"/>
              <w:tr2bl w:val="nil"/>
            </w:tcBorders>
            <w:shd w:val="clear" w:color="auto" w:fill="FFFFFF"/>
            <w:tcMar>
              <w:left w:w="101" w:type="dxa"/>
              <w:right w:w="101" w:type="dxa"/>
            </w:tcMar>
            <w:vAlign w:val="bottom"/>
          </w:tcPr>
          <w:p w14:paraId="31A374EE" w14:textId="77777777" w:rsidR="00724034" w:rsidRDefault="00FB7D0B">
            <w:pPr>
              <w:jc w:val="right"/>
              <w:rPr>
                <w:rFonts w:ascii="Arial" w:eastAsia="Arial" w:hAnsi="Arial" w:cs="Arial"/>
                <w:color w:val="000000"/>
                <w:sz w:val="16"/>
              </w:rPr>
            </w:pPr>
            <w:r>
              <w:rPr>
                <w:rFonts w:ascii="Arial" w:eastAsia="Arial" w:hAnsi="Arial" w:cs="Arial"/>
                <w:color w:val="000000"/>
                <w:sz w:val="16"/>
              </w:rPr>
              <w:t xml:space="preserve"> 5,103 </w:t>
            </w:r>
          </w:p>
        </w:tc>
        <w:tc>
          <w:tcPr>
            <w:tcW w:w="975" w:type="dxa"/>
            <w:tcBorders>
              <w:top w:val="nil"/>
              <w:left w:val="nil"/>
              <w:bottom w:val="nil"/>
              <w:right w:val="single" w:sz="6" w:space="0" w:color="000000"/>
              <w:tl2br w:val="nil"/>
              <w:tr2bl w:val="nil"/>
            </w:tcBorders>
            <w:shd w:val="clear" w:color="auto" w:fill="FFFFFF"/>
            <w:tcMar>
              <w:left w:w="101" w:type="dxa"/>
              <w:right w:w="101" w:type="dxa"/>
            </w:tcMar>
            <w:vAlign w:val="bottom"/>
          </w:tcPr>
          <w:p w14:paraId="66C9AC92" w14:textId="77777777" w:rsidR="00724034" w:rsidRDefault="00FB7D0B">
            <w:pPr>
              <w:jc w:val="right"/>
              <w:rPr>
                <w:rFonts w:ascii="Arial" w:eastAsia="Arial" w:hAnsi="Arial" w:cs="Arial"/>
                <w:color w:val="000000"/>
                <w:sz w:val="16"/>
              </w:rPr>
            </w:pPr>
            <w:r>
              <w:rPr>
                <w:rFonts w:ascii="Arial" w:eastAsia="Arial" w:hAnsi="Arial" w:cs="Arial"/>
                <w:color w:val="000000"/>
                <w:sz w:val="16"/>
              </w:rPr>
              <w:t xml:space="preserve"> 5,115 </w:t>
            </w:r>
          </w:p>
        </w:tc>
      </w:tr>
      <w:tr w:rsidR="00724034" w14:paraId="23413AD8" w14:textId="77777777">
        <w:trPr>
          <w:trHeight w:val="450"/>
        </w:trPr>
        <w:tc>
          <w:tcPr>
            <w:tcW w:w="180" w:type="dxa"/>
            <w:tcBorders>
              <w:top w:val="nil"/>
              <w:left w:val="single" w:sz="6" w:space="0" w:color="000000"/>
              <w:bottom w:val="nil"/>
              <w:right w:val="nil"/>
              <w:tl2br w:val="nil"/>
              <w:tr2bl w:val="nil"/>
            </w:tcBorders>
            <w:shd w:val="clear" w:color="auto" w:fill="FFFFFF"/>
            <w:tcMar>
              <w:left w:w="101" w:type="dxa"/>
              <w:right w:w="101" w:type="dxa"/>
            </w:tcMar>
            <w:vAlign w:val="bottom"/>
          </w:tcPr>
          <w:p w14:paraId="0B8B1E1A" w14:textId="77777777" w:rsidR="00724034" w:rsidRDefault="00724034">
            <w:pPr>
              <w:rPr>
                <w:rFonts w:ascii="Arial" w:eastAsia="Arial" w:hAnsi="Arial" w:cs="Arial"/>
                <w:color w:val="000000"/>
                <w:sz w:val="16"/>
              </w:rPr>
            </w:pPr>
          </w:p>
        </w:tc>
        <w:tc>
          <w:tcPr>
            <w:tcW w:w="180" w:type="dxa"/>
            <w:tcBorders>
              <w:top w:val="nil"/>
              <w:left w:val="nil"/>
              <w:bottom w:val="nil"/>
              <w:right w:val="nil"/>
              <w:tl2br w:val="nil"/>
              <w:tr2bl w:val="nil"/>
            </w:tcBorders>
            <w:shd w:val="clear" w:color="auto" w:fill="FFFFFF"/>
            <w:tcMar>
              <w:left w:w="101" w:type="dxa"/>
              <w:right w:w="101" w:type="dxa"/>
            </w:tcMar>
            <w:vAlign w:val="bottom"/>
          </w:tcPr>
          <w:p w14:paraId="730E88A9" w14:textId="77777777" w:rsidR="00724034" w:rsidRDefault="00724034">
            <w:pPr>
              <w:rPr>
                <w:rFonts w:ascii="Arial" w:eastAsia="Arial" w:hAnsi="Arial" w:cs="Arial"/>
                <w:color w:val="000000"/>
                <w:sz w:val="20"/>
              </w:rPr>
            </w:pPr>
          </w:p>
        </w:tc>
        <w:tc>
          <w:tcPr>
            <w:tcW w:w="2730" w:type="dxa"/>
            <w:tcBorders>
              <w:top w:val="nil"/>
              <w:left w:val="nil"/>
              <w:bottom w:val="nil"/>
              <w:right w:val="nil"/>
              <w:tl2br w:val="nil"/>
              <w:tr2bl w:val="nil"/>
            </w:tcBorders>
            <w:shd w:val="clear" w:color="auto" w:fill="FFFFFF"/>
            <w:tcMar>
              <w:left w:w="101" w:type="dxa"/>
              <w:right w:w="101" w:type="dxa"/>
            </w:tcMar>
            <w:vAlign w:val="bottom"/>
          </w:tcPr>
          <w:p w14:paraId="0F9DA499" w14:textId="77777777" w:rsidR="00724034" w:rsidRDefault="00FB7D0B">
            <w:pPr>
              <w:rPr>
                <w:rFonts w:ascii="Arial" w:eastAsia="Arial" w:hAnsi="Arial" w:cs="Arial"/>
                <w:color w:val="000000"/>
                <w:sz w:val="16"/>
              </w:rPr>
            </w:pPr>
            <w:r>
              <w:rPr>
                <w:rFonts w:ascii="Arial" w:eastAsia="Arial" w:hAnsi="Arial" w:cs="Arial"/>
                <w:color w:val="000000"/>
                <w:sz w:val="16"/>
              </w:rPr>
              <w:t>Veterans' Access to Community Information</w:t>
            </w:r>
          </w:p>
        </w:tc>
        <w:tc>
          <w:tcPr>
            <w:tcW w:w="975" w:type="dxa"/>
            <w:tcBorders>
              <w:top w:val="nil"/>
              <w:left w:val="nil"/>
              <w:bottom w:val="nil"/>
              <w:right w:val="nil"/>
              <w:tl2br w:val="nil"/>
              <w:tr2bl w:val="nil"/>
            </w:tcBorders>
            <w:shd w:val="clear" w:color="auto" w:fill="FFFFFF"/>
            <w:tcMar>
              <w:left w:w="101" w:type="dxa"/>
              <w:right w:w="101" w:type="dxa"/>
            </w:tcMar>
            <w:vAlign w:val="bottom"/>
          </w:tcPr>
          <w:p w14:paraId="2DC035F5" w14:textId="77777777" w:rsidR="00724034" w:rsidRDefault="00FB7D0B">
            <w:pPr>
              <w:jc w:val="right"/>
              <w:rPr>
                <w:rFonts w:ascii="Arial" w:eastAsia="Arial" w:hAnsi="Arial" w:cs="Arial"/>
                <w:color w:val="000000"/>
                <w:sz w:val="16"/>
                <w:vertAlign w:val="superscript"/>
              </w:rPr>
            </w:pPr>
            <w:r>
              <w:rPr>
                <w:rFonts w:ascii="Arial" w:eastAsia="Arial" w:hAnsi="Arial" w:cs="Arial"/>
                <w:color w:val="000000"/>
                <w:sz w:val="16"/>
              </w:rPr>
              <w:t xml:space="preserve"> 1,108 </w:t>
            </w:r>
          </w:p>
        </w:tc>
        <w:tc>
          <w:tcPr>
            <w:tcW w:w="975" w:type="dxa"/>
            <w:tcBorders>
              <w:top w:val="nil"/>
              <w:left w:val="nil"/>
              <w:bottom w:val="nil"/>
              <w:right w:val="nil"/>
              <w:tl2br w:val="nil"/>
              <w:tr2bl w:val="nil"/>
            </w:tcBorders>
            <w:shd w:val="clear" w:color="auto" w:fill="FFFF00"/>
            <w:tcMar>
              <w:left w:w="101" w:type="dxa"/>
              <w:right w:w="101" w:type="dxa"/>
            </w:tcMar>
            <w:vAlign w:val="bottom"/>
          </w:tcPr>
          <w:p w14:paraId="41E2D092" w14:textId="77777777" w:rsidR="00724034" w:rsidRDefault="00FB7D0B">
            <w:pPr>
              <w:jc w:val="right"/>
              <w:rPr>
                <w:rFonts w:ascii="Arial" w:eastAsia="Arial" w:hAnsi="Arial" w:cs="Arial"/>
                <w:color w:val="000000"/>
                <w:sz w:val="16"/>
              </w:rPr>
            </w:pPr>
            <w:r>
              <w:rPr>
                <w:rFonts w:ascii="Arial" w:eastAsia="Arial" w:hAnsi="Arial" w:cs="Arial"/>
                <w:color w:val="000000"/>
                <w:sz w:val="16"/>
              </w:rPr>
              <w:t xml:space="preserve"> 1,107 </w:t>
            </w:r>
          </w:p>
        </w:tc>
        <w:tc>
          <w:tcPr>
            <w:tcW w:w="975" w:type="dxa"/>
            <w:tcBorders>
              <w:top w:val="nil"/>
              <w:left w:val="nil"/>
              <w:bottom w:val="nil"/>
              <w:right w:val="nil"/>
              <w:tl2br w:val="nil"/>
              <w:tr2bl w:val="nil"/>
            </w:tcBorders>
            <w:shd w:val="clear" w:color="auto" w:fill="FFFFFF"/>
            <w:tcMar>
              <w:left w:w="101" w:type="dxa"/>
              <w:right w:w="101" w:type="dxa"/>
            </w:tcMar>
            <w:vAlign w:val="bottom"/>
          </w:tcPr>
          <w:p w14:paraId="35683F57" w14:textId="77777777" w:rsidR="00724034" w:rsidRDefault="00FB7D0B">
            <w:pPr>
              <w:jc w:val="right"/>
              <w:rPr>
                <w:rFonts w:ascii="Arial" w:eastAsia="Arial" w:hAnsi="Arial" w:cs="Arial"/>
                <w:color w:val="000000"/>
                <w:sz w:val="16"/>
              </w:rPr>
            </w:pPr>
            <w:r>
              <w:rPr>
                <w:rFonts w:ascii="Arial" w:eastAsia="Arial" w:hAnsi="Arial" w:cs="Arial"/>
                <w:color w:val="000000"/>
                <w:sz w:val="16"/>
              </w:rPr>
              <w:t xml:space="preserve"> 1,103 </w:t>
            </w:r>
          </w:p>
        </w:tc>
        <w:tc>
          <w:tcPr>
            <w:tcW w:w="975" w:type="dxa"/>
            <w:tcBorders>
              <w:top w:val="nil"/>
              <w:left w:val="nil"/>
              <w:bottom w:val="nil"/>
              <w:right w:val="nil"/>
              <w:tl2br w:val="nil"/>
              <w:tr2bl w:val="nil"/>
            </w:tcBorders>
            <w:shd w:val="clear" w:color="auto" w:fill="FFFFFF"/>
            <w:tcMar>
              <w:left w:w="101" w:type="dxa"/>
              <w:right w:w="101" w:type="dxa"/>
            </w:tcMar>
            <w:vAlign w:val="bottom"/>
          </w:tcPr>
          <w:p w14:paraId="7B52BF53" w14:textId="77777777" w:rsidR="00724034" w:rsidRDefault="00FB7D0B">
            <w:pPr>
              <w:jc w:val="right"/>
              <w:rPr>
                <w:rFonts w:ascii="Arial" w:eastAsia="Arial" w:hAnsi="Arial" w:cs="Arial"/>
                <w:color w:val="000000"/>
                <w:sz w:val="16"/>
              </w:rPr>
            </w:pPr>
            <w:r>
              <w:rPr>
                <w:rFonts w:ascii="Arial" w:eastAsia="Arial" w:hAnsi="Arial" w:cs="Arial"/>
                <w:color w:val="000000"/>
                <w:sz w:val="16"/>
              </w:rPr>
              <w:t xml:space="preserve"> 1,123 </w:t>
            </w:r>
          </w:p>
        </w:tc>
        <w:tc>
          <w:tcPr>
            <w:tcW w:w="975" w:type="dxa"/>
            <w:tcBorders>
              <w:top w:val="nil"/>
              <w:left w:val="nil"/>
              <w:bottom w:val="nil"/>
              <w:right w:val="single" w:sz="6" w:space="0" w:color="000000"/>
              <w:tl2br w:val="nil"/>
              <w:tr2bl w:val="nil"/>
            </w:tcBorders>
            <w:shd w:val="clear" w:color="auto" w:fill="FFFFFF"/>
            <w:tcMar>
              <w:left w:w="101" w:type="dxa"/>
              <w:right w:w="101" w:type="dxa"/>
            </w:tcMar>
            <w:vAlign w:val="bottom"/>
          </w:tcPr>
          <w:p w14:paraId="3082C160" w14:textId="77777777" w:rsidR="00724034" w:rsidRDefault="00FB7D0B">
            <w:pPr>
              <w:jc w:val="right"/>
              <w:rPr>
                <w:rFonts w:ascii="Arial" w:eastAsia="Arial" w:hAnsi="Arial" w:cs="Arial"/>
                <w:color w:val="000000"/>
                <w:sz w:val="16"/>
              </w:rPr>
            </w:pPr>
            <w:r>
              <w:rPr>
                <w:rFonts w:ascii="Arial" w:eastAsia="Arial" w:hAnsi="Arial" w:cs="Arial"/>
                <w:color w:val="000000"/>
                <w:sz w:val="16"/>
              </w:rPr>
              <w:t xml:space="preserve"> 1,147 </w:t>
            </w:r>
          </w:p>
        </w:tc>
      </w:tr>
      <w:tr w:rsidR="00724034" w14:paraId="4DF2210D" w14:textId="77777777">
        <w:trPr>
          <w:trHeight w:val="225"/>
        </w:trPr>
        <w:tc>
          <w:tcPr>
            <w:tcW w:w="180" w:type="dxa"/>
            <w:tcBorders>
              <w:top w:val="nil"/>
              <w:left w:val="single" w:sz="6" w:space="0" w:color="000000"/>
              <w:bottom w:val="nil"/>
              <w:right w:val="nil"/>
              <w:tl2br w:val="nil"/>
              <w:tr2bl w:val="nil"/>
            </w:tcBorders>
            <w:shd w:val="clear" w:color="auto" w:fill="FFFFFF"/>
            <w:tcMar>
              <w:left w:w="101" w:type="dxa"/>
              <w:right w:w="101" w:type="dxa"/>
            </w:tcMar>
            <w:vAlign w:val="bottom"/>
          </w:tcPr>
          <w:p w14:paraId="187B4870" w14:textId="77777777" w:rsidR="00724034" w:rsidRDefault="00724034">
            <w:pPr>
              <w:rPr>
                <w:rFonts w:ascii="Arial" w:eastAsia="Arial" w:hAnsi="Arial" w:cs="Arial"/>
                <w:color w:val="000000"/>
                <w:sz w:val="16"/>
              </w:rPr>
            </w:pPr>
          </w:p>
        </w:tc>
        <w:tc>
          <w:tcPr>
            <w:tcW w:w="180" w:type="dxa"/>
            <w:tcBorders>
              <w:top w:val="nil"/>
              <w:left w:val="nil"/>
              <w:bottom w:val="nil"/>
              <w:right w:val="nil"/>
              <w:tl2br w:val="nil"/>
              <w:tr2bl w:val="nil"/>
            </w:tcBorders>
            <w:shd w:val="clear" w:color="auto" w:fill="FFFFFF"/>
            <w:tcMar>
              <w:left w:w="101" w:type="dxa"/>
              <w:right w:w="101" w:type="dxa"/>
            </w:tcMar>
            <w:vAlign w:val="bottom"/>
          </w:tcPr>
          <w:p w14:paraId="4C96AD9B" w14:textId="77777777" w:rsidR="00724034" w:rsidRDefault="00724034">
            <w:pPr>
              <w:rPr>
                <w:rFonts w:ascii="Arial" w:eastAsia="Arial" w:hAnsi="Arial" w:cs="Arial"/>
                <w:color w:val="000000"/>
                <w:sz w:val="20"/>
              </w:rPr>
            </w:pPr>
          </w:p>
        </w:tc>
        <w:tc>
          <w:tcPr>
            <w:tcW w:w="2730" w:type="dxa"/>
            <w:tcBorders>
              <w:top w:val="nil"/>
              <w:left w:val="nil"/>
              <w:bottom w:val="nil"/>
              <w:right w:val="nil"/>
              <w:tl2br w:val="nil"/>
              <w:tr2bl w:val="nil"/>
            </w:tcBorders>
            <w:shd w:val="clear" w:color="auto" w:fill="FFFFFF"/>
            <w:tcMar>
              <w:left w:w="101" w:type="dxa"/>
              <w:right w:w="101" w:type="dxa"/>
            </w:tcMar>
            <w:vAlign w:val="bottom"/>
          </w:tcPr>
          <w:p w14:paraId="4B8EE0A2" w14:textId="77777777" w:rsidR="00724034" w:rsidRDefault="00FB7D0B">
            <w:pPr>
              <w:rPr>
                <w:rFonts w:ascii="Arial" w:eastAsia="Arial" w:hAnsi="Arial" w:cs="Arial"/>
                <w:color w:val="000000"/>
                <w:sz w:val="16"/>
              </w:rPr>
            </w:pPr>
            <w:r>
              <w:rPr>
                <w:rFonts w:ascii="Arial" w:eastAsia="Arial" w:hAnsi="Arial" w:cs="Arial"/>
                <w:color w:val="000000"/>
                <w:sz w:val="16"/>
              </w:rPr>
              <w:t>Act of Grace</w:t>
            </w:r>
          </w:p>
        </w:tc>
        <w:tc>
          <w:tcPr>
            <w:tcW w:w="975" w:type="dxa"/>
            <w:tcBorders>
              <w:top w:val="nil"/>
              <w:left w:val="nil"/>
              <w:bottom w:val="nil"/>
              <w:right w:val="nil"/>
              <w:tl2br w:val="nil"/>
              <w:tr2bl w:val="nil"/>
            </w:tcBorders>
            <w:shd w:val="clear" w:color="auto" w:fill="FFFFFF"/>
            <w:tcMar>
              <w:left w:w="101" w:type="dxa"/>
              <w:right w:w="101" w:type="dxa"/>
            </w:tcMar>
            <w:vAlign w:val="bottom"/>
          </w:tcPr>
          <w:p w14:paraId="434C9213" w14:textId="77777777" w:rsidR="00724034" w:rsidRDefault="00FB7D0B">
            <w:pPr>
              <w:jc w:val="right"/>
              <w:rPr>
                <w:rFonts w:ascii="Arial" w:eastAsia="Arial" w:hAnsi="Arial" w:cs="Arial"/>
                <w:color w:val="000000"/>
                <w:sz w:val="16"/>
                <w:vertAlign w:val="superscript"/>
              </w:rPr>
            </w:pPr>
            <w:r>
              <w:rPr>
                <w:rFonts w:ascii="Arial" w:eastAsia="Arial" w:hAnsi="Arial" w:cs="Arial"/>
                <w:color w:val="000000"/>
                <w:sz w:val="16"/>
              </w:rPr>
              <w:t xml:space="preserve"> 78 </w:t>
            </w:r>
          </w:p>
        </w:tc>
        <w:tc>
          <w:tcPr>
            <w:tcW w:w="975" w:type="dxa"/>
            <w:tcBorders>
              <w:top w:val="nil"/>
              <w:left w:val="nil"/>
              <w:bottom w:val="nil"/>
              <w:right w:val="nil"/>
              <w:tl2br w:val="nil"/>
              <w:tr2bl w:val="nil"/>
            </w:tcBorders>
            <w:shd w:val="clear" w:color="auto" w:fill="FFFF00"/>
            <w:tcMar>
              <w:left w:w="101" w:type="dxa"/>
              <w:right w:w="101" w:type="dxa"/>
            </w:tcMar>
            <w:vAlign w:val="bottom"/>
          </w:tcPr>
          <w:p w14:paraId="6B8CB9F7" w14:textId="77777777" w:rsidR="00724034" w:rsidRDefault="00FB7D0B">
            <w:pPr>
              <w:jc w:val="right"/>
              <w:rPr>
                <w:rFonts w:ascii="Arial" w:eastAsia="Arial" w:hAnsi="Arial" w:cs="Arial"/>
                <w:color w:val="000000"/>
                <w:sz w:val="16"/>
              </w:rPr>
            </w:pPr>
            <w:r>
              <w:rPr>
                <w:rFonts w:ascii="Arial" w:eastAsia="Arial" w:hAnsi="Arial" w:cs="Arial"/>
                <w:color w:val="000000"/>
                <w:sz w:val="16"/>
              </w:rPr>
              <w:t xml:space="preserve"> 78 </w:t>
            </w:r>
          </w:p>
        </w:tc>
        <w:tc>
          <w:tcPr>
            <w:tcW w:w="975" w:type="dxa"/>
            <w:tcBorders>
              <w:top w:val="nil"/>
              <w:left w:val="nil"/>
              <w:bottom w:val="nil"/>
              <w:right w:val="nil"/>
              <w:tl2br w:val="nil"/>
              <w:tr2bl w:val="nil"/>
            </w:tcBorders>
            <w:shd w:val="clear" w:color="auto" w:fill="FFFFFF"/>
            <w:tcMar>
              <w:left w:w="101" w:type="dxa"/>
              <w:right w:w="101" w:type="dxa"/>
            </w:tcMar>
            <w:vAlign w:val="bottom"/>
          </w:tcPr>
          <w:p w14:paraId="10C73B7C" w14:textId="77777777" w:rsidR="00724034" w:rsidRDefault="00FB7D0B">
            <w:pPr>
              <w:jc w:val="right"/>
              <w:rPr>
                <w:rFonts w:ascii="Arial" w:eastAsia="Arial" w:hAnsi="Arial" w:cs="Arial"/>
                <w:color w:val="000000"/>
                <w:sz w:val="16"/>
              </w:rPr>
            </w:pPr>
            <w:r>
              <w:rPr>
                <w:rFonts w:ascii="Arial" w:eastAsia="Arial" w:hAnsi="Arial" w:cs="Arial"/>
                <w:color w:val="000000"/>
                <w:sz w:val="16"/>
              </w:rPr>
              <w:t xml:space="preserve"> 78 </w:t>
            </w:r>
          </w:p>
        </w:tc>
        <w:tc>
          <w:tcPr>
            <w:tcW w:w="975" w:type="dxa"/>
            <w:tcBorders>
              <w:top w:val="nil"/>
              <w:left w:val="nil"/>
              <w:bottom w:val="nil"/>
              <w:right w:val="nil"/>
              <w:tl2br w:val="nil"/>
              <w:tr2bl w:val="nil"/>
            </w:tcBorders>
            <w:shd w:val="clear" w:color="auto" w:fill="FFFFFF"/>
            <w:tcMar>
              <w:left w:w="101" w:type="dxa"/>
              <w:right w:w="101" w:type="dxa"/>
            </w:tcMar>
            <w:vAlign w:val="bottom"/>
          </w:tcPr>
          <w:p w14:paraId="4641B62D" w14:textId="77777777" w:rsidR="00724034" w:rsidRDefault="00FB7D0B">
            <w:pPr>
              <w:jc w:val="right"/>
              <w:rPr>
                <w:rFonts w:ascii="Arial" w:eastAsia="Arial" w:hAnsi="Arial" w:cs="Arial"/>
                <w:color w:val="000000"/>
                <w:sz w:val="16"/>
              </w:rPr>
            </w:pPr>
            <w:r>
              <w:rPr>
                <w:rFonts w:ascii="Arial" w:eastAsia="Arial" w:hAnsi="Arial" w:cs="Arial"/>
                <w:color w:val="000000"/>
                <w:sz w:val="16"/>
              </w:rPr>
              <w:t xml:space="preserve"> 80 </w:t>
            </w:r>
          </w:p>
        </w:tc>
        <w:tc>
          <w:tcPr>
            <w:tcW w:w="975" w:type="dxa"/>
            <w:tcBorders>
              <w:top w:val="nil"/>
              <w:left w:val="nil"/>
              <w:bottom w:val="nil"/>
              <w:right w:val="single" w:sz="6" w:space="0" w:color="000000"/>
              <w:tl2br w:val="nil"/>
              <w:tr2bl w:val="nil"/>
            </w:tcBorders>
            <w:shd w:val="clear" w:color="auto" w:fill="FFFFFF"/>
            <w:tcMar>
              <w:left w:w="101" w:type="dxa"/>
              <w:right w:w="101" w:type="dxa"/>
            </w:tcMar>
            <w:vAlign w:val="bottom"/>
          </w:tcPr>
          <w:p w14:paraId="61F6A3AD" w14:textId="77777777" w:rsidR="00724034" w:rsidRDefault="00FB7D0B">
            <w:pPr>
              <w:jc w:val="right"/>
              <w:rPr>
                <w:rFonts w:ascii="Arial" w:eastAsia="Arial" w:hAnsi="Arial" w:cs="Arial"/>
                <w:color w:val="000000"/>
                <w:sz w:val="16"/>
              </w:rPr>
            </w:pPr>
            <w:r>
              <w:rPr>
                <w:rFonts w:ascii="Arial" w:eastAsia="Arial" w:hAnsi="Arial" w:cs="Arial"/>
                <w:color w:val="000000"/>
                <w:sz w:val="16"/>
              </w:rPr>
              <w:t xml:space="preserve"> 82 </w:t>
            </w:r>
          </w:p>
        </w:tc>
      </w:tr>
      <w:tr w:rsidR="00FB7D0B" w14:paraId="58FA208C" w14:textId="77777777" w:rsidTr="00FB7D0B">
        <w:trPr>
          <w:trHeight w:val="225"/>
        </w:trPr>
        <w:tc>
          <w:tcPr>
            <w:tcW w:w="3090" w:type="dxa"/>
            <w:gridSpan w:val="3"/>
            <w:tcBorders>
              <w:top w:val="nil"/>
              <w:left w:val="single" w:sz="6" w:space="0" w:color="000000"/>
              <w:bottom w:val="nil"/>
              <w:right w:val="nil"/>
              <w:tl2br w:val="nil"/>
              <w:tr2bl w:val="nil"/>
            </w:tcBorders>
            <w:shd w:val="clear" w:color="auto" w:fill="FFFFFF"/>
            <w:tcMar>
              <w:left w:w="101" w:type="dxa"/>
              <w:right w:w="101" w:type="dxa"/>
            </w:tcMar>
            <w:vAlign w:val="bottom"/>
          </w:tcPr>
          <w:p w14:paraId="5CEADD91" w14:textId="77777777" w:rsidR="00724034" w:rsidRDefault="00FB7D0B">
            <w:pPr>
              <w:rPr>
                <w:rFonts w:ascii="Arial" w:eastAsia="Arial" w:hAnsi="Arial" w:cs="Arial"/>
                <w:color w:val="000000"/>
                <w:sz w:val="16"/>
              </w:rPr>
            </w:pPr>
            <w:r>
              <w:rPr>
                <w:rFonts w:ascii="Arial" w:eastAsia="Arial" w:hAnsi="Arial" w:cs="Arial"/>
                <w:color w:val="000000"/>
                <w:sz w:val="16"/>
              </w:rPr>
              <w:t>Special Appropriations:</w:t>
            </w:r>
          </w:p>
        </w:tc>
        <w:tc>
          <w:tcPr>
            <w:tcW w:w="975" w:type="dxa"/>
            <w:tcBorders>
              <w:top w:val="nil"/>
              <w:left w:val="nil"/>
              <w:bottom w:val="nil"/>
              <w:right w:val="nil"/>
              <w:tl2br w:val="nil"/>
              <w:tr2bl w:val="nil"/>
            </w:tcBorders>
            <w:shd w:val="clear" w:color="auto" w:fill="FFFFFF"/>
            <w:tcMar>
              <w:left w:w="101" w:type="dxa"/>
              <w:right w:w="101" w:type="dxa"/>
            </w:tcMar>
            <w:vAlign w:val="bottom"/>
          </w:tcPr>
          <w:p w14:paraId="3942E874" w14:textId="77777777" w:rsidR="00724034" w:rsidRDefault="00724034">
            <w:pPr>
              <w:rPr>
                <w:rFonts w:ascii="Arial" w:eastAsia="Arial" w:hAnsi="Arial" w:cs="Arial"/>
                <w:color w:val="000000"/>
                <w:sz w:val="16"/>
                <w:vertAlign w:val="superscript"/>
              </w:rPr>
            </w:pPr>
          </w:p>
        </w:tc>
        <w:tc>
          <w:tcPr>
            <w:tcW w:w="975" w:type="dxa"/>
            <w:tcBorders>
              <w:top w:val="nil"/>
              <w:left w:val="nil"/>
              <w:bottom w:val="nil"/>
              <w:right w:val="nil"/>
              <w:tl2br w:val="nil"/>
              <w:tr2bl w:val="nil"/>
            </w:tcBorders>
            <w:shd w:val="clear" w:color="auto" w:fill="FFFF00"/>
            <w:tcMar>
              <w:left w:w="101" w:type="dxa"/>
              <w:right w:w="101" w:type="dxa"/>
            </w:tcMar>
            <w:vAlign w:val="bottom"/>
          </w:tcPr>
          <w:p w14:paraId="56DC8FBE" w14:textId="77777777" w:rsidR="00724034" w:rsidRDefault="00724034">
            <w:pPr>
              <w:jc w:val="right"/>
              <w:rPr>
                <w:rFonts w:ascii="Arial" w:eastAsia="Arial" w:hAnsi="Arial" w:cs="Arial"/>
                <w:color w:val="000000"/>
                <w:sz w:val="16"/>
                <w:vertAlign w:val="superscript"/>
              </w:rPr>
            </w:pPr>
          </w:p>
        </w:tc>
        <w:tc>
          <w:tcPr>
            <w:tcW w:w="975" w:type="dxa"/>
            <w:tcBorders>
              <w:top w:val="nil"/>
              <w:left w:val="nil"/>
              <w:bottom w:val="nil"/>
              <w:right w:val="nil"/>
              <w:tl2br w:val="nil"/>
              <w:tr2bl w:val="nil"/>
            </w:tcBorders>
            <w:shd w:val="clear" w:color="auto" w:fill="FFFFFF"/>
            <w:tcMar>
              <w:left w:w="101" w:type="dxa"/>
              <w:right w:w="101" w:type="dxa"/>
            </w:tcMar>
            <w:vAlign w:val="bottom"/>
          </w:tcPr>
          <w:p w14:paraId="6683518D" w14:textId="77777777" w:rsidR="00724034" w:rsidRDefault="00724034">
            <w:pPr>
              <w:jc w:val="right"/>
              <w:rPr>
                <w:rFonts w:ascii="Arial" w:eastAsia="Arial" w:hAnsi="Arial" w:cs="Arial"/>
                <w:color w:val="000000"/>
                <w:sz w:val="16"/>
                <w:vertAlign w:val="superscript"/>
              </w:rPr>
            </w:pPr>
          </w:p>
        </w:tc>
        <w:tc>
          <w:tcPr>
            <w:tcW w:w="975" w:type="dxa"/>
            <w:tcBorders>
              <w:top w:val="nil"/>
              <w:left w:val="nil"/>
              <w:bottom w:val="nil"/>
              <w:right w:val="nil"/>
              <w:tl2br w:val="nil"/>
              <w:tr2bl w:val="nil"/>
            </w:tcBorders>
            <w:shd w:val="clear" w:color="auto" w:fill="FFFFFF"/>
            <w:tcMar>
              <w:left w:w="101" w:type="dxa"/>
              <w:right w:w="101" w:type="dxa"/>
            </w:tcMar>
            <w:vAlign w:val="bottom"/>
          </w:tcPr>
          <w:p w14:paraId="56DC6CC8" w14:textId="77777777" w:rsidR="00724034" w:rsidRDefault="00724034">
            <w:pPr>
              <w:jc w:val="right"/>
              <w:rPr>
                <w:rFonts w:ascii="Arial" w:eastAsia="Arial" w:hAnsi="Arial" w:cs="Arial"/>
                <w:color w:val="000000"/>
                <w:sz w:val="16"/>
                <w:vertAlign w:val="superscript"/>
              </w:rPr>
            </w:pPr>
          </w:p>
        </w:tc>
        <w:tc>
          <w:tcPr>
            <w:tcW w:w="975" w:type="dxa"/>
            <w:tcBorders>
              <w:top w:val="nil"/>
              <w:left w:val="nil"/>
              <w:bottom w:val="nil"/>
              <w:right w:val="single" w:sz="6" w:space="0" w:color="000000"/>
              <w:tl2br w:val="nil"/>
              <w:tr2bl w:val="nil"/>
            </w:tcBorders>
            <w:shd w:val="clear" w:color="auto" w:fill="FFFFFF"/>
            <w:tcMar>
              <w:left w:w="101" w:type="dxa"/>
              <w:right w:w="101" w:type="dxa"/>
            </w:tcMar>
            <w:vAlign w:val="bottom"/>
          </w:tcPr>
          <w:p w14:paraId="61461756" w14:textId="77777777" w:rsidR="00724034" w:rsidRDefault="00724034">
            <w:pPr>
              <w:jc w:val="right"/>
              <w:rPr>
                <w:rFonts w:ascii="Arial" w:eastAsia="Arial" w:hAnsi="Arial" w:cs="Arial"/>
                <w:color w:val="000000"/>
                <w:sz w:val="16"/>
                <w:vertAlign w:val="superscript"/>
              </w:rPr>
            </w:pPr>
          </w:p>
        </w:tc>
      </w:tr>
      <w:tr w:rsidR="00FB7D0B" w14:paraId="12F410CA" w14:textId="77777777" w:rsidTr="00FB7D0B">
        <w:trPr>
          <w:trHeight w:val="225"/>
        </w:trPr>
        <w:tc>
          <w:tcPr>
            <w:tcW w:w="180" w:type="dxa"/>
            <w:tcBorders>
              <w:top w:val="single" w:sz="6" w:space="0" w:color="FFFFFF"/>
              <w:left w:val="single" w:sz="6" w:space="0" w:color="000000"/>
              <w:bottom w:val="nil"/>
              <w:right w:val="nil"/>
              <w:tl2br w:val="nil"/>
              <w:tr2bl w:val="nil"/>
            </w:tcBorders>
            <w:shd w:val="clear" w:color="auto" w:fill="FFFFFF"/>
            <w:tcMar>
              <w:left w:w="101" w:type="dxa"/>
              <w:right w:w="101" w:type="dxa"/>
            </w:tcMar>
            <w:vAlign w:val="bottom"/>
          </w:tcPr>
          <w:p w14:paraId="0EBF80B1" w14:textId="77777777" w:rsidR="00724034" w:rsidRDefault="00724034">
            <w:pPr>
              <w:rPr>
                <w:rFonts w:ascii="Arial" w:eastAsia="Arial" w:hAnsi="Arial" w:cs="Arial"/>
                <w:color w:val="000000"/>
                <w:sz w:val="16"/>
                <w:vertAlign w:val="superscript"/>
              </w:rPr>
            </w:pPr>
          </w:p>
        </w:tc>
        <w:tc>
          <w:tcPr>
            <w:tcW w:w="2910" w:type="dxa"/>
            <w:gridSpan w:val="2"/>
            <w:tcBorders>
              <w:top w:val="single" w:sz="6" w:space="0" w:color="FFFFFF"/>
              <w:left w:val="nil"/>
              <w:bottom w:val="nil"/>
              <w:right w:val="nil"/>
              <w:tl2br w:val="nil"/>
              <w:tr2bl w:val="nil"/>
            </w:tcBorders>
            <w:shd w:val="clear" w:color="auto" w:fill="FFFFFF"/>
            <w:tcMar>
              <w:left w:w="101" w:type="dxa"/>
              <w:right w:w="101" w:type="dxa"/>
            </w:tcMar>
            <w:vAlign w:val="bottom"/>
          </w:tcPr>
          <w:p w14:paraId="63B8B401" w14:textId="77777777" w:rsidR="00724034" w:rsidRDefault="00FB7D0B">
            <w:pPr>
              <w:rPr>
                <w:rFonts w:ascii="Arial" w:eastAsia="Arial" w:hAnsi="Arial" w:cs="Arial"/>
                <w:color w:val="000000"/>
                <w:sz w:val="20"/>
                <w:vertAlign w:val="superscript"/>
              </w:rPr>
            </w:pPr>
            <w:r>
              <w:rPr>
                <w:rFonts w:ascii="Arial" w:eastAsia="Arial" w:hAnsi="Arial" w:cs="Arial"/>
                <w:i/>
                <w:color w:val="000000"/>
                <w:sz w:val="16"/>
              </w:rPr>
              <w:t>Veterans' Entitlements Act 1986 (VEA)</w:t>
            </w:r>
          </w:p>
        </w:tc>
        <w:tc>
          <w:tcPr>
            <w:tcW w:w="975" w:type="dxa"/>
            <w:tcBorders>
              <w:top w:val="nil"/>
              <w:left w:val="nil"/>
              <w:bottom w:val="nil"/>
              <w:right w:val="nil"/>
              <w:tl2br w:val="nil"/>
              <w:tr2bl w:val="nil"/>
            </w:tcBorders>
            <w:shd w:val="clear" w:color="auto" w:fill="FFFFFF"/>
            <w:tcMar>
              <w:left w:w="101" w:type="dxa"/>
              <w:right w:w="101" w:type="dxa"/>
            </w:tcMar>
            <w:vAlign w:val="bottom"/>
          </w:tcPr>
          <w:p w14:paraId="3FDE82EC" w14:textId="77777777" w:rsidR="00724034" w:rsidRDefault="00724034">
            <w:pPr>
              <w:rPr>
                <w:rFonts w:ascii="Arial" w:eastAsia="Arial" w:hAnsi="Arial" w:cs="Arial"/>
                <w:color w:val="000000"/>
                <w:sz w:val="16"/>
                <w:vertAlign w:val="superscript"/>
              </w:rPr>
            </w:pPr>
          </w:p>
        </w:tc>
        <w:tc>
          <w:tcPr>
            <w:tcW w:w="975" w:type="dxa"/>
            <w:tcBorders>
              <w:top w:val="nil"/>
              <w:left w:val="nil"/>
              <w:bottom w:val="nil"/>
              <w:right w:val="nil"/>
              <w:tl2br w:val="nil"/>
              <w:tr2bl w:val="nil"/>
            </w:tcBorders>
            <w:shd w:val="clear" w:color="auto" w:fill="FFFF00"/>
            <w:tcMar>
              <w:left w:w="101" w:type="dxa"/>
              <w:right w:w="101" w:type="dxa"/>
            </w:tcMar>
            <w:vAlign w:val="bottom"/>
          </w:tcPr>
          <w:p w14:paraId="56517B8A" w14:textId="77777777" w:rsidR="00724034" w:rsidRDefault="00724034">
            <w:pPr>
              <w:jc w:val="right"/>
              <w:rPr>
                <w:rFonts w:ascii="Arial" w:eastAsia="Arial" w:hAnsi="Arial" w:cs="Arial"/>
                <w:color w:val="000000"/>
                <w:sz w:val="16"/>
                <w:vertAlign w:val="superscript"/>
              </w:rPr>
            </w:pPr>
          </w:p>
        </w:tc>
        <w:tc>
          <w:tcPr>
            <w:tcW w:w="975" w:type="dxa"/>
            <w:tcBorders>
              <w:top w:val="nil"/>
              <w:left w:val="nil"/>
              <w:bottom w:val="nil"/>
              <w:right w:val="nil"/>
              <w:tl2br w:val="nil"/>
              <w:tr2bl w:val="nil"/>
            </w:tcBorders>
            <w:shd w:val="clear" w:color="auto" w:fill="FFFFFF"/>
            <w:tcMar>
              <w:left w:w="101" w:type="dxa"/>
              <w:right w:w="101" w:type="dxa"/>
            </w:tcMar>
            <w:vAlign w:val="bottom"/>
          </w:tcPr>
          <w:p w14:paraId="0EFD34E1" w14:textId="77777777" w:rsidR="00724034" w:rsidRDefault="00724034">
            <w:pPr>
              <w:jc w:val="right"/>
              <w:rPr>
                <w:rFonts w:ascii="Arial" w:eastAsia="Arial" w:hAnsi="Arial" w:cs="Arial"/>
                <w:color w:val="000000"/>
                <w:sz w:val="16"/>
                <w:vertAlign w:val="superscript"/>
              </w:rPr>
            </w:pPr>
          </w:p>
        </w:tc>
        <w:tc>
          <w:tcPr>
            <w:tcW w:w="975" w:type="dxa"/>
            <w:tcBorders>
              <w:top w:val="nil"/>
              <w:left w:val="nil"/>
              <w:bottom w:val="nil"/>
              <w:right w:val="nil"/>
              <w:tl2br w:val="nil"/>
              <w:tr2bl w:val="nil"/>
            </w:tcBorders>
            <w:shd w:val="clear" w:color="auto" w:fill="FFFFFF"/>
            <w:tcMar>
              <w:left w:w="101" w:type="dxa"/>
              <w:right w:w="101" w:type="dxa"/>
            </w:tcMar>
            <w:vAlign w:val="bottom"/>
          </w:tcPr>
          <w:p w14:paraId="22E243C1" w14:textId="77777777" w:rsidR="00724034" w:rsidRDefault="00724034">
            <w:pPr>
              <w:jc w:val="right"/>
              <w:rPr>
                <w:rFonts w:ascii="Arial" w:eastAsia="Arial" w:hAnsi="Arial" w:cs="Arial"/>
                <w:color w:val="000000"/>
                <w:sz w:val="16"/>
                <w:vertAlign w:val="superscript"/>
              </w:rPr>
            </w:pPr>
          </w:p>
        </w:tc>
        <w:tc>
          <w:tcPr>
            <w:tcW w:w="975" w:type="dxa"/>
            <w:tcBorders>
              <w:top w:val="nil"/>
              <w:left w:val="nil"/>
              <w:bottom w:val="nil"/>
              <w:right w:val="single" w:sz="6" w:space="0" w:color="000000"/>
              <w:tl2br w:val="nil"/>
              <w:tr2bl w:val="nil"/>
            </w:tcBorders>
            <w:shd w:val="clear" w:color="auto" w:fill="FFFFFF"/>
            <w:tcMar>
              <w:left w:w="101" w:type="dxa"/>
              <w:right w:w="101" w:type="dxa"/>
            </w:tcMar>
            <w:vAlign w:val="bottom"/>
          </w:tcPr>
          <w:p w14:paraId="5D4DF670" w14:textId="77777777" w:rsidR="00724034" w:rsidRDefault="00724034">
            <w:pPr>
              <w:jc w:val="right"/>
              <w:rPr>
                <w:rFonts w:ascii="Arial" w:eastAsia="Arial" w:hAnsi="Arial" w:cs="Arial"/>
                <w:color w:val="000000"/>
                <w:sz w:val="16"/>
                <w:vertAlign w:val="superscript"/>
              </w:rPr>
            </w:pPr>
          </w:p>
        </w:tc>
      </w:tr>
      <w:tr w:rsidR="00724034" w14:paraId="2EF2F1A1" w14:textId="77777777">
        <w:trPr>
          <w:trHeight w:val="225"/>
        </w:trPr>
        <w:tc>
          <w:tcPr>
            <w:tcW w:w="180" w:type="dxa"/>
            <w:tcBorders>
              <w:top w:val="nil"/>
              <w:left w:val="single" w:sz="6" w:space="0" w:color="000000"/>
              <w:bottom w:val="nil"/>
              <w:right w:val="nil"/>
              <w:tl2br w:val="nil"/>
              <w:tr2bl w:val="nil"/>
            </w:tcBorders>
            <w:shd w:val="clear" w:color="auto" w:fill="FFFFFF"/>
            <w:tcMar>
              <w:left w:w="101" w:type="dxa"/>
              <w:right w:w="101" w:type="dxa"/>
            </w:tcMar>
            <w:vAlign w:val="bottom"/>
          </w:tcPr>
          <w:p w14:paraId="3834D0A7" w14:textId="77777777" w:rsidR="00724034" w:rsidRDefault="00724034">
            <w:pPr>
              <w:rPr>
                <w:rFonts w:ascii="Arial" w:eastAsia="Arial" w:hAnsi="Arial" w:cs="Arial"/>
                <w:color w:val="000000"/>
                <w:sz w:val="16"/>
                <w:vertAlign w:val="superscript"/>
              </w:rPr>
            </w:pPr>
          </w:p>
        </w:tc>
        <w:tc>
          <w:tcPr>
            <w:tcW w:w="180" w:type="dxa"/>
            <w:tcBorders>
              <w:top w:val="nil"/>
              <w:left w:val="nil"/>
              <w:bottom w:val="nil"/>
              <w:right w:val="nil"/>
              <w:tl2br w:val="nil"/>
              <w:tr2bl w:val="nil"/>
            </w:tcBorders>
            <w:shd w:val="clear" w:color="auto" w:fill="FFFFFF"/>
            <w:tcMar>
              <w:left w:w="101" w:type="dxa"/>
              <w:right w:w="101" w:type="dxa"/>
            </w:tcMar>
            <w:vAlign w:val="bottom"/>
          </w:tcPr>
          <w:p w14:paraId="5D356424" w14:textId="77777777" w:rsidR="00724034" w:rsidRDefault="00724034">
            <w:pPr>
              <w:rPr>
                <w:rFonts w:ascii="Arial" w:eastAsia="Arial" w:hAnsi="Arial" w:cs="Arial"/>
                <w:color w:val="000000"/>
                <w:sz w:val="20"/>
                <w:vertAlign w:val="superscript"/>
              </w:rPr>
            </w:pPr>
          </w:p>
        </w:tc>
        <w:tc>
          <w:tcPr>
            <w:tcW w:w="2730" w:type="dxa"/>
            <w:tcBorders>
              <w:top w:val="nil"/>
              <w:left w:val="nil"/>
              <w:bottom w:val="nil"/>
              <w:right w:val="nil"/>
              <w:tl2br w:val="nil"/>
              <w:tr2bl w:val="nil"/>
            </w:tcBorders>
            <w:shd w:val="clear" w:color="auto" w:fill="FFFFFF"/>
            <w:tcMar>
              <w:left w:w="101" w:type="dxa"/>
              <w:right w:w="101" w:type="dxa"/>
            </w:tcMar>
            <w:vAlign w:val="bottom"/>
          </w:tcPr>
          <w:p w14:paraId="644FB23C" w14:textId="77777777" w:rsidR="00724034" w:rsidRDefault="00FB7D0B">
            <w:pPr>
              <w:rPr>
                <w:rFonts w:ascii="Arial" w:eastAsia="Arial" w:hAnsi="Arial" w:cs="Arial"/>
                <w:color w:val="000000"/>
                <w:sz w:val="16"/>
                <w:vertAlign w:val="superscript"/>
              </w:rPr>
            </w:pPr>
            <w:r>
              <w:rPr>
                <w:rFonts w:ascii="Arial" w:eastAsia="Arial" w:hAnsi="Arial" w:cs="Arial"/>
                <w:color w:val="000000"/>
                <w:sz w:val="16"/>
              </w:rPr>
              <w:t>Funeral benefits</w:t>
            </w:r>
          </w:p>
        </w:tc>
        <w:tc>
          <w:tcPr>
            <w:tcW w:w="975" w:type="dxa"/>
            <w:tcBorders>
              <w:top w:val="nil"/>
              <w:left w:val="nil"/>
              <w:bottom w:val="nil"/>
              <w:right w:val="nil"/>
              <w:tl2br w:val="nil"/>
              <w:tr2bl w:val="nil"/>
            </w:tcBorders>
            <w:shd w:val="clear" w:color="auto" w:fill="FFFFFF"/>
            <w:tcMar>
              <w:left w:w="101" w:type="dxa"/>
              <w:right w:w="101" w:type="dxa"/>
            </w:tcMar>
            <w:vAlign w:val="bottom"/>
          </w:tcPr>
          <w:p w14:paraId="60759CFC" w14:textId="77777777" w:rsidR="00724034" w:rsidRDefault="00FB7D0B">
            <w:pPr>
              <w:jc w:val="right"/>
              <w:rPr>
                <w:rFonts w:ascii="Arial" w:eastAsia="Arial" w:hAnsi="Arial" w:cs="Arial"/>
                <w:color w:val="000000"/>
                <w:sz w:val="16"/>
                <w:vertAlign w:val="superscript"/>
              </w:rPr>
            </w:pPr>
            <w:r>
              <w:rPr>
                <w:rFonts w:ascii="Arial" w:eastAsia="Arial" w:hAnsi="Arial" w:cs="Arial"/>
                <w:color w:val="000000"/>
                <w:sz w:val="16"/>
              </w:rPr>
              <w:t xml:space="preserve"> 12,430 </w:t>
            </w:r>
          </w:p>
        </w:tc>
        <w:tc>
          <w:tcPr>
            <w:tcW w:w="975" w:type="dxa"/>
            <w:tcBorders>
              <w:top w:val="nil"/>
              <w:left w:val="nil"/>
              <w:bottom w:val="nil"/>
              <w:right w:val="nil"/>
              <w:tl2br w:val="nil"/>
              <w:tr2bl w:val="nil"/>
            </w:tcBorders>
            <w:shd w:val="clear" w:color="auto" w:fill="FFFF00"/>
            <w:tcMar>
              <w:left w:w="101" w:type="dxa"/>
              <w:right w:w="101" w:type="dxa"/>
            </w:tcMar>
            <w:vAlign w:val="bottom"/>
          </w:tcPr>
          <w:p w14:paraId="1B144CAF" w14:textId="77777777" w:rsidR="00724034" w:rsidRDefault="00FB7D0B">
            <w:pPr>
              <w:jc w:val="right"/>
              <w:rPr>
                <w:rFonts w:ascii="Arial" w:eastAsia="Arial" w:hAnsi="Arial" w:cs="Arial"/>
                <w:color w:val="000000"/>
                <w:sz w:val="16"/>
              </w:rPr>
            </w:pPr>
            <w:r>
              <w:rPr>
                <w:rFonts w:ascii="Arial" w:eastAsia="Arial" w:hAnsi="Arial" w:cs="Arial"/>
                <w:color w:val="000000"/>
                <w:sz w:val="16"/>
              </w:rPr>
              <w:t xml:space="preserve"> 11,674 </w:t>
            </w:r>
          </w:p>
        </w:tc>
        <w:tc>
          <w:tcPr>
            <w:tcW w:w="975" w:type="dxa"/>
            <w:tcBorders>
              <w:top w:val="nil"/>
              <w:left w:val="nil"/>
              <w:bottom w:val="nil"/>
              <w:right w:val="nil"/>
              <w:tl2br w:val="nil"/>
              <w:tr2bl w:val="nil"/>
            </w:tcBorders>
            <w:shd w:val="clear" w:color="auto" w:fill="FFFFFF"/>
            <w:tcMar>
              <w:left w:w="101" w:type="dxa"/>
              <w:right w:w="101" w:type="dxa"/>
            </w:tcMar>
            <w:vAlign w:val="bottom"/>
          </w:tcPr>
          <w:p w14:paraId="74CEA6F2" w14:textId="77777777" w:rsidR="00724034" w:rsidRDefault="00FB7D0B">
            <w:pPr>
              <w:jc w:val="right"/>
              <w:rPr>
                <w:rFonts w:ascii="Arial" w:eastAsia="Arial" w:hAnsi="Arial" w:cs="Arial"/>
                <w:color w:val="000000"/>
                <w:sz w:val="16"/>
              </w:rPr>
            </w:pPr>
            <w:r>
              <w:rPr>
                <w:rFonts w:ascii="Arial" w:eastAsia="Arial" w:hAnsi="Arial" w:cs="Arial"/>
                <w:color w:val="000000"/>
                <w:sz w:val="16"/>
              </w:rPr>
              <w:t xml:space="preserve"> 10,965 </w:t>
            </w:r>
          </w:p>
        </w:tc>
        <w:tc>
          <w:tcPr>
            <w:tcW w:w="975" w:type="dxa"/>
            <w:tcBorders>
              <w:top w:val="nil"/>
              <w:left w:val="nil"/>
              <w:bottom w:val="nil"/>
              <w:right w:val="nil"/>
              <w:tl2br w:val="nil"/>
              <w:tr2bl w:val="nil"/>
            </w:tcBorders>
            <w:shd w:val="clear" w:color="auto" w:fill="FFFFFF"/>
            <w:tcMar>
              <w:left w:w="101" w:type="dxa"/>
              <w:right w:w="101" w:type="dxa"/>
            </w:tcMar>
            <w:vAlign w:val="bottom"/>
          </w:tcPr>
          <w:p w14:paraId="36E775CB" w14:textId="77777777" w:rsidR="00724034" w:rsidRDefault="00FB7D0B">
            <w:pPr>
              <w:jc w:val="right"/>
              <w:rPr>
                <w:rFonts w:ascii="Arial" w:eastAsia="Arial" w:hAnsi="Arial" w:cs="Arial"/>
                <w:color w:val="000000"/>
                <w:sz w:val="16"/>
              </w:rPr>
            </w:pPr>
            <w:r>
              <w:rPr>
                <w:rFonts w:ascii="Arial" w:eastAsia="Arial" w:hAnsi="Arial" w:cs="Arial"/>
                <w:color w:val="000000"/>
                <w:sz w:val="16"/>
              </w:rPr>
              <w:t xml:space="preserve"> 10,299 </w:t>
            </w:r>
          </w:p>
        </w:tc>
        <w:tc>
          <w:tcPr>
            <w:tcW w:w="975" w:type="dxa"/>
            <w:tcBorders>
              <w:top w:val="nil"/>
              <w:left w:val="nil"/>
              <w:bottom w:val="nil"/>
              <w:right w:val="single" w:sz="6" w:space="0" w:color="000000"/>
              <w:tl2br w:val="nil"/>
              <w:tr2bl w:val="nil"/>
            </w:tcBorders>
            <w:shd w:val="clear" w:color="auto" w:fill="FFFFFF"/>
            <w:tcMar>
              <w:left w:w="101" w:type="dxa"/>
              <w:right w:w="101" w:type="dxa"/>
            </w:tcMar>
            <w:vAlign w:val="bottom"/>
          </w:tcPr>
          <w:p w14:paraId="689ECB87" w14:textId="77777777" w:rsidR="00724034" w:rsidRDefault="00FB7D0B">
            <w:pPr>
              <w:jc w:val="right"/>
              <w:rPr>
                <w:rFonts w:ascii="Arial" w:eastAsia="Arial" w:hAnsi="Arial" w:cs="Arial"/>
                <w:color w:val="000000"/>
                <w:sz w:val="16"/>
              </w:rPr>
            </w:pPr>
            <w:r>
              <w:rPr>
                <w:rFonts w:ascii="Arial" w:eastAsia="Arial" w:hAnsi="Arial" w:cs="Arial"/>
                <w:color w:val="000000"/>
                <w:sz w:val="16"/>
              </w:rPr>
              <w:t xml:space="preserve"> 9,673 </w:t>
            </w:r>
          </w:p>
        </w:tc>
      </w:tr>
      <w:tr w:rsidR="00724034" w14:paraId="02F655AD" w14:textId="77777777">
        <w:trPr>
          <w:trHeight w:val="225"/>
        </w:trPr>
        <w:tc>
          <w:tcPr>
            <w:tcW w:w="180" w:type="dxa"/>
            <w:tcBorders>
              <w:top w:val="nil"/>
              <w:left w:val="single" w:sz="6" w:space="0" w:color="000000"/>
              <w:bottom w:val="nil"/>
              <w:right w:val="nil"/>
              <w:tl2br w:val="nil"/>
              <w:tr2bl w:val="nil"/>
            </w:tcBorders>
            <w:shd w:val="clear" w:color="auto" w:fill="FFFFFF"/>
            <w:tcMar>
              <w:left w:w="101" w:type="dxa"/>
              <w:right w:w="101" w:type="dxa"/>
            </w:tcMar>
            <w:vAlign w:val="bottom"/>
          </w:tcPr>
          <w:p w14:paraId="392C836F" w14:textId="77777777" w:rsidR="00724034" w:rsidRDefault="00724034">
            <w:pPr>
              <w:rPr>
                <w:rFonts w:ascii="Arial" w:eastAsia="Arial" w:hAnsi="Arial" w:cs="Arial"/>
                <w:color w:val="000000"/>
                <w:sz w:val="16"/>
              </w:rPr>
            </w:pPr>
          </w:p>
        </w:tc>
        <w:tc>
          <w:tcPr>
            <w:tcW w:w="180" w:type="dxa"/>
            <w:tcBorders>
              <w:top w:val="nil"/>
              <w:left w:val="nil"/>
              <w:bottom w:val="nil"/>
              <w:right w:val="nil"/>
              <w:tl2br w:val="nil"/>
              <w:tr2bl w:val="nil"/>
            </w:tcBorders>
            <w:shd w:val="clear" w:color="auto" w:fill="FFFFFF"/>
            <w:tcMar>
              <w:left w:w="101" w:type="dxa"/>
              <w:right w:w="101" w:type="dxa"/>
            </w:tcMar>
            <w:vAlign w:val="bottom"/>
          </w:tcPr>
          <w:p w14:paraId="7BBAF9E9" w14:textId="77777777" w:rsidR="00724034" w:rsidRDefault="00724034">
            <w:pPr>
              <w:rPr>
                <w:rFonts w:ascii="Arial" w:eastAsia="Arial" w:hAnsi="Arial" w:cs="Arial"/>
                <w:color w:val="000000"/>
                <w:sz w:val="20"/>
              </w:rPr>
            </w:pPr>
          </w:p>
        </w:tc>
        <w:tc>
          <w:tcPr>
            <w:tcW w:w="2730" w:type="dxa"/>
            <w:tcBorders>
              <w:top w:val="nil"/>
              <w:left w:val="nil"/>
              <w:bottom w:val="nil"/>
              <w:right w:val="nil"/>
              <w:tl2br w:val="nil"/>
              <w:tr2bl w:val="nil"/>
            </w:tcBorders>
            <w:shd w:val="clear" w:color="auto" w:fill="FFFFFF"/>
            <w:tcMar>
              <w:left w:w="101" w:type="dxa"/>
              <w:right w:w="101" w:type="dxa"/>
            </w:tcMar>
            <w:vAlign w:val="bottom"/>
          </w:tcPr>
          <w:p w14:paraId="4F124F83" w14:textId="77777777" w:rsidR="00724034" w:rsidRDefault="00FB7D0B">
            <w:pPr>
              <w:rPr>
                <w:rFonts w:ascii="Arial" w:eastAsia="Arial" w:hAnsi="Arial" w:cs="Arial"/>
                <w:color w:val="000000"/>
                <w:sz w:val="16"/>
              </w:rPr>
            </w:pPr>
            <w:r>
              <w:rPr>
                <w:rFonts w:ascii="Arial" w:eastAsia="Arial" w:hAnsi="Arial" w:cs="Arial"/>
                <w:color w:val="000000"/>
                <w:sz w:val="16"/>
              </w:rPr>
              <w:t>POW (J)</w:t>
            </w:r>
          </w:p>
        </w:tc>
        <w:tc>
          <w:tcPr>
            <w:tcW w:w="975" w:type="dxa"/>
            <w:tcBorders>
              <w:top w:val="nil"/>
              <w:left w:val="nil"/>
              <w:bottom w:val="nil"/>
              <w:right w:val="nil"/>
              <w:tl2br w:val="nil"/>
              <w:tr2bl w:val="nil"/>
            </w:tcBorders>
            <w:shd w:val="clear" w:color="auto" w:fill="FFFFFF"/>
            <w:tcMar>
              <w:left w:w="101" w:type="dxa"/>
              <w:right w:w="101" w:type="dxa"/>
            </w:tcMar>
            <w:vAlign w:val="bottom"/>
          </w:tcPr>
          <w:p w14:paraId="0C8135C6" w14:textId="77777777" w:rsidR="00724034" w:rsidRDefault="00FB7D0B">
            <w:pPr>
              <w:jc w:val="right"/>
              <w:rPr>
                <w:rFonts w:ascii="Arial" w:eastAsia="Arial" w:hAnsi="Arial" w:cs="Arial"/>
                <w:color w:val="000000"/>
                <w:sz w:val="16"/>
                <w:vertAlign w:val="superscript"/>
              </w:rPr>
            </w:pPr>
            <w:r>
              <w:rPr>
                <w:rFonts w:ascii="Arial" w:eastAsia="Arial" w:hAnsi="Arial" w:cs="Arial"/>
                <w:color w:val="000000"/>
                <w:sz w:val="16"/>
              </w:rPr>
              <w:t xml:space="preserve"> 25 </w:t>
            </w:r>
          </w:p>
        </w:tc>
        <w:tc>
          <w:tcPr>
            <w:tcW w:w="975" w:type="dxa"/>
            <w:tcBorders>
              <w:top w:val="nil"/>
              <w:left w:val="nil"/>
              <w:bottom w:val="nil"/>
              <w:right w:val="nil"/>
              <w:tl2br w:val="nil"/>
              <w:tr2bl w:val="nil"/>
            </w:tcBorders>
            <w:shd w:val="clear" w:color="auto" w:fill="FFFF00"/>
            <w:tcMar>
              <w:left w:w="101" w:type="dxa"/>
              <w:right w:w="101" w:type="dxa"/>
            </w:tcMar>
            <w:vAlign w:val="bottom"/>
          </w:tcPr>
          <w:p w14:paraId="53F8B6F5" w14:textId="77777777" w:rsidR="00724034" w:rsidRDefault="00FB7D0B">
            <w:pPr>
              <w:jc w:val="right"/>
              <w:rPr>
                <w:rFonts w:ascii="Arial" w:eastAsia="Arial" w:hAnsi="Arial" w:cs="Arial"/>
                <w:color w:val="000000"/>
                <w:sz w:val="16"/>
              </w:rPr>
            </w:pPr>
            <w:r>
              <w:rPr>
                <w:rFonts w:ascii="Arial" w:eastAsia="Arial" w:hAnsi="Arial" w:cs="Arial"/>
                <w:color w:val="000000"/>
                <w:sz w:val="16"/>
              </w:rPr>
              <w:t xml:space="preserve"> 25 </w:t>
            </w:r>
          </w:p>
        </w:tc>
        <w:tc>
          <w:tcPr>
            <w:tcW w:w="975" w:type="dxa"/>
            <w:tcBorders>
              <w:top w:val="nil"/>
              <w:left w:val="nil"/>
              <w:bottom w:val="nil"/>
              <w:right w:val="nil"/>
              <w:tl2br w:val="nil"/>
              <w:tr2bl w:val="nil"/>
            </w:tcBorders>
            <w:shd w:val="clear" w:color="auto" w:fill="FFFFFF"/>
            <w:tcMar>
              <w:left w:w="101" w:type="dxa"/>
              <w:right w:w="101" w:type="dxa"/>
            </w:tcMar>
            <w:vAlign w:val="bottom"/>
          </w:tcPr>
          <w:p w14:paraId="078FC088" w14:textId="77777777" w:rsidR="00724034" w:rsidRDefault="00FB7D0B">
            <w:pPr>
              <w:jc w:val="right"/>
              <w:rPr>
                <w:rFonts w:ascii="Arial" w:eastAsia="Arial" w:hAnsi="Arial" w:cs="Arial"/>
                <w:color w:val="000000"/>
                <w:sz w:val="16"/>
              </w:rPr>
            </w:pPr>
            <w:r>
              <w:rPr>
                <w:rFonts w:ascii="Arial" w:eastAsia="Arial" w:hAnsi="Arial" w:cs="Arial"/>
                <w:color w:val="000000"/>
                <w:sz w:val="16"/>
              </w:rPr>
              <w:t xml:space="preserve"> 25 </w:t>
            </w:r>
          </w:p>
        </w:tc>
        <w:tc>
          <w:tcPr>
            <w:tcW w:w="975" w:type="dxa"/>
            <w:tcBorders>
              <w:top w:val="nil"/>
              <w:left w:val="nil"/>
              <w:bottom w:val="nil"/>
              <w:right w:val="nil"/>
              <w:tl2br w:val="nil"/>
              <w:tr2bl w:val="nil"/>
            </w:tcBorders>
            <w:shd w:val="clear" w:color="auto" w:fill="FFFFFF"/>
            <w:tcMar>
              <w:left w:w="101" w:type="dxa"/>
              <w:right w:w="101" w:type="dxa"/>
            </w:tcMar>
            <w:vAlign w:val="bottom"/>
          </w:tcPr>
          <w:p w14:paraId="30D9C79F" w14:textId="77777777" w:rsidR="00724034" w:rsidRDefault="00FB7D0B">
            <w:pPr>
              <w:jc w:val="right"/>
              <w:rPr>
                <w:rFonts w:ascii="Arial" w:eastAsia="Arial" w:hAnsi="Arial" w:cs="Arial"/>
                <w:color w:val="000000"/>
                <w:sz w:val="16"/>
              </w:rPr>
            </w:pPr>
            <w:r>
              <w:rPr>
                <w:rFonts w:ascii="Arial" w:eastAsia="Arial" w:hAnsi="Arial" w:cs="Arial"/>
                <w:color w:val="000000"/>
                <w:sz w:val="16"/>
              </w:rPr>
              <w:t xml:space="preserve"> 25 </w:t>
            </w:r>
          </w:p>
        </w:tc>
        <w:tc>
          <w:tcPr>
            <w:tcW w:w="975" w:type="dxa"/>
            <w:tcBorders>
              <w:top w:val="nil"/>
              <w:left w:val="nil"/>
              <w:bottom w:val="nil"/>
              <w:right w:val="single" w:sz="6" w:space="0" w:color="000000"/>
              <w:tl2br w:val="nil"/>
              <w:tr2bl w:val="nil"/>
            </w:tcBorders>
            <w:shd w:val="clear" w:color="auto" w:fill="FFFFFF"/>
            <w:tcMar>
              <w:left w:w="101" w:type="dxa"/>
              <w:right w:w="101" w:type="dxa"/>
            </w:tcMar>
            <w:vAlign w:val="bottom"/>
          </w:tcPr>
          <w:p w14:paraId="2DCBEAAA" w14:textId="77777777" w:rsidR="00724034" w:rsidRDefault="00FB7D0B">
            <w:pPr>
              <w:jc w:val="right"/>
              <w:rPr>
                <w:rFonts w:ascii="Arial" w:eastAsia="Arial" w:hAnsi="Arial" w:cs="Arial"/>
                <w:color w:val="000000"/>
                <w:sz w:val="16"/>
              </w:rPr>
            </w:pPr>
            <w:r>
              <w:rPr>
                <w:rFonts w:ascii="Arial" w:eastAsia="Arial" w:hAnsi="Arial" w:cs="Arial"/>
                <w:color w:val="000000"/>
                <w:sz w:val="16"/>
              </w:rPr>
              <w:t xml:space="preserve"> 25 </w:t>
            </w:r>
          </w:p>
        </w:tc>
      </w:tr>
      <w:tr w:rsidR="00724034" w14:paraId="124A3448" w14:textId="77777777">
        <w:trPr>
          <w:trHeight w:val="225"/>
        </w:trPr>
        <w:tc>
          <w:tcPr>
            <w:tcW w:w="180" w:type="dxa"/>
            <w:tcBorders>
              <w:top w:val="nil"/>
              <w:left w:val="single" w:sz="6" w:space="0" w:color="000000"/>
              <w:bottom w:val="nil"/>
              <w:right w:val="nil"/>
              <w:tl2br w:val="nil"/>
              <w:tr2bl w:val="nil"/>
            </w:tcBorders>
            <w:shd w:val="clear" w:color="auto" w:fill="FFFFFF"/>
            <w:tcMar>
              <w:left w:w="101" w:type="dxa"/>
              <w:right w:w="101" w:type="dxa"/>
            </w:tcMar>
            <w:vAlign w:val="bottom"/>
          </w:tcPr>
          <w:p w14:paraId="3F418020" w14:textId="77777777" w:rsidR="00724034" w:rsidRDefault="00724034">
            <w:pPr>
              <w:rPr>
                <w:rFonts w:ascii="Arial" w:eastAsia="Arial" w:hAnsi="Arial" w:cs="Arial"/>
                <w:color w:val="000000"/>
                <w:sz w:val="16"/>
              </w:rPr>
            </w:pPr>
          </w:p>
        </w:tc>
        <w:tc>
          <w:tcPr>
            <w:tcW w:w="180" w:type="dxa"/>
            <w:tcBorders>
              <w:top w:val="nil"/>
              <w:left w:val="nil"/>
              <w:bottom w:val="nil"/>
              <w:right w:val="nil"/>
              <w:tl2br w:val="nil"/>
              <w:tr2bl w:val="nil"/>
            </w:tcBorders>
            <w:shd w:val="clear" w:color="auto" w:fill="FFFFFF"/>
            <w:tcMar>
              <w:left w:w="101" w:type="dxa"/>
              <w:right w:w="101" w:type="dxa"/>
            </w:tcMar>
            <w:vAlign w:val="bottom"/>
          </w:tcPr>
          <w:p w14:paraId="4EDD20E5" w14:textId="77777777" w:rsidR="00724034" w:rsidRDefault="00724034">
            <w:pPr>
              <w:rPr>
                <w:rFonts w:ascii="Arial" w:eastAsia="Arial" w:hAnsi="Arial" w:cs="Arial"/>
                <w:color w:val="000000"/>
                <w:sz w:val="20"/>
              </w:rPr>
            </w:pPr>
          </w:p>
        </w:tc>
        <w:tc>
          <w:tcPr>
            <w:tcW w:w="2730" w:type="dxa"/>
            <w:tcBorders>
              <w:top w:val="nil"/>
              <w:left w:val="nil"/>
              <w:bottom w:val="nil"/>
              <w:right w:val="nil"/>
              <w:tl2br w:val="nil"/>
              <w:tr2bl w:val="nil"/>
            </w:tcBorders>
            <w:shd w:val="clear" w:color="auto" w:fill="FFFFFF"/>
            <w:tcMar>
              <w:left w:w="101" w:type="dxa"/>
              <w:right w:w="101" w:type="dxa"/>
            </w:tcMar>
            <w:vAlign w:val="bottom"/>
          </w:tcPr>
          <w:p w14:paraId="1443D6CC" w14:textId="77777777" w:rsidR="00724034" w:rsidRDefault="00FB7D0B">
            <w:pPr>
              <w:rPr>
                <w:rFonts w:ascii="Arial" w:eastAsia="Arial" w:hAnsi="Arial" w:cs="Arial"/>
                <w:color w:val="000000"/>
                <w:sz w:val="16"/>
              </w:rPr>
            </w:pPr>
            <w:r>
              <w:rPr>
                <w:rFonts w:ascii="Arial" w:eastAsia="Arial" w:hAnsi="Arial" w:cs="Arial"/>
                <w:color w:val="000000"/>
                <w:sz w:val="16"/>
              </w:rPr>
              <w:t>POW (E)</w:t>
            </w:r>
          </w:p>
        </w:tc>
        <w:tc>
          <w:tcPr>
            <w:tcW w:w="975" w:type="dxa"/>
            <w:tcBorders>
              <w:top w:val="nil"/>
              <w:left w:val="nil"/>
              <w:bottom w:val="nil"/>
              <w:right w:val="nil"/>
              <w:tl2br w:val="nil"/>
              <w:tr2bl w:val="nil"/>
            </w:tcBorders>
            <w:shd w:val="clear" w:color="auto" w:fill="FFFFFF"/>
            <w:tcMar>
              <w:left w:w="101" w:type="dxa"/>
              <w:right w:w="101" w:type="dxa"/>
            </w:tcMar>
            <w:vAlign w:val="bottom"/>
          </w:tcPr>
          <w:p w14:paraId="09940F47" w14:textId="77777777" w:rsidR="00724034" w:rsidRDefault="00FB7D0B">
            <w:pPr>
              <w:jc w:val="right"/>
              <w:rPr>
                <w:rFonts w:ascii="Arial" w:eastAsia="Arial" w:hAnsi="Arial" w:cs="Arial"/>
                <w:color w:val="000000"/>
                <w:sz w:val="16"/>
                <w:vertAlign w:val="superscript"/>
              </w:rPr>
            </w:pPr>
            <w:r>
              <w:rPr>
                <w:rFonts w:ascii="Arial" w:eastAsia="Arial" w:hAnsi="Arial" w:cs="Arial"/>
                <w:color w:val="000000"/>
                <w:sz w:val="16"/>
              </w:rPr>
              <w:t xml:space="preserve"> 7,628 </w:t>
            </w:r>
          </w:p>
        </w:tc>
        <w:tc>
          <w:tcPr>
            <w:tcW w:w="975" w:type="dxa"/>
            <w:tcBorders>
              <w:top w:val="nil"/>
              <w:left w:val="nil"/>
              <w:bottom w:val="nil"/>
              <w:right w:val="nil"/>
              <w:tl2br w:val="nil"/>
              <w:tr2bl w:val="nil"/>
            </w:tcBorders>
            <w:shd w:val="clear" w:color="auto" w:fill="FFFF00"/>
            <w:tcMar>
              <w:left w:w="101" w:type="dxa"/>
              <w:right w:w="101" w:type="dxa"/>
            </w:tcMar>
            <w:vAlign w:val="bottom"/>
          </w:tcPr>
          <w:p w14:paraId="101ACEFE" w14:textId="77777777" w:rsidR="00724034" w:rsidRDefault="00FB7D0B">
            <w:pPr>
              <w:jc w:val="right"/>
              <w:rPr>
                <w:rFonts w:ascii="Arial" w:eastAsia="Arial" w:hAnsi="Arial" w:cs="Arial"/>
                <w:color w:val="000000"/>
                <w:sz w:val="16"/>
              </w:rPr>
            </w:pPr>
            <w:r>
              <w:rPr>
                <w:rFonts w:ascii="Arial" w:eastAsia="Arial" w:hAnsi="Arial" w:cs="Arial"/>
                <w:color w:val="000000"/>
                <w:sz w:val="16"/>
              </w:rPr>
              <w:t xml:space="preserve"> 6,102 </w:t>
            </w:r>
          </w:p>
        </w:tc>
        <w:tc>
          <w:tcPr>
            <w:tcW w:w="975" w:type="dxa"/>
            <w:tcBorders>
              <w:top w:val="nil"/>
              <w:left w:val="nil"/>
              <w:bottom w:val="nil"/>
              <w:right w:val="nil"/>
              <w:tl2br w:val="nil"/>
              <w:tr2bl w:val="nil"/>
            </w:tcBorders>
            <w:shd w:val="clear" w:color="auto" w:fill="FFFFFF"/>
            <w:tcMar>
              <w:left w:w="101" w:type="dxa"/>
              <w:right w:w="101" w:type="dxa"/>
            </w:tcMar>
            <w:vAlign w:val="bottom"/>
          </w:tcPr>
          <w:p w14:paraId="6F83A297" w14:textId="77777777" w:rsidR="00724034" w:rsidRDefault="00FB7D0B">
            <w:pPr>
              <w:jc w:val="right"/>
              <w:rPr>
                <w:rFonts w:ascii="Arial" w:eastAsia="Arial" w:hAnsi="Arial" w:cs="Arial"/>
                <w:color w:val="000000"/>
                <w:sz w:val="16"/>
              </w:rPr>
            </w:pPr>
            <w:r>
              <w:rPr>
                <w:rFonts w:ascii="Arial" w:eastAsia="Arial" w:hAnsi="Arial" w:cs="Arial"/>
                <w:color w:val="000000"/>
                <w:sz w:val="16"/>
              </w:rPr>
              <w:t xml:space="preserve"> 4,881 </w:t>
            </w:r>
          </w:p>
        </w:tc>
        <w:tc>
          <w:tcPr>
            <w:tcW w:w="975" w:type="dxa"/>
            <w:tcBorders>
              <w:top w:val="nil"/>
              <w:left w:val="nil"/>
              <w:bottom w:val="nil"/>
              <w:right w:val="nil"/>
              <w:tl2br w:val="nil"/>
              <w:tr2bl w:val="nil"/>
            </w:tcBorders>
            <w:shd w:val="clear" w:color="auto" w:fill="FFFFFF"/>
            <w:tcMar>
              <w:left w:w="101" w:type="dxa"/>
              <w:right w:w="101" w:type="dxa"/>
            </w:tcMar>
            <w:vAlign w:val="bottom"/>
          </w:tcPr>
          <w:p w14:paraId="28015D2A" w14:textId="77777777" w:rsidR="00724034" w:rsidRDefault="00FB7D0B">
            <w:pPr>
              <w:jc w:val="right"/>
              <w:rPr>
                <w:rFonts w:ascii="Arial" w:eastAsia="Arial" w:hAnsi="Arial" w:cs="Arial"/>
                <w:color w:val="000000"/>
                <w:sz w:val="16"/>
              </w:rPr>
            </w:pPr>
            <w:r>
              <w:rPr>
                <w:rFonts w:ascii="Arial" w:eastAsia="Arial" w:hAnsi="Arial" w:cs="Arial"/>
                <w:color w:val="000000"/>
                <w:sz w:val="16"/>
              </w:rPr>
              <w:t xml:space="preserve"> 3,905 </w:t>
            </w:r>
          </w:p>
        </w:tc>
        <w:tc>
          <w:tcPr>
            <w:tcW w:w="975" w:type="dxa"/>
            <w:tcBorders>
              <w:top w:val="nil"/>
              <w:left w:val="nil"/>
              <w:bottom w:val="nil"/>
              <w:right w:val="single" w:sz="6" w:space="0" w:color="000000"/>
              <w:tl2br w:val="nil"/>
              <w:tr2bl w:val="nil"/>
            </w:tcBorders>
            <w:shd w:val="clear" w:color="auto" w:fill="FFFFFF"/>
            <w:tcMar>
              <w:left w:w="101" w:type="dxa"/>
              <w:right w:w="101" w:type="dxa"/>
            </w:tcMar>
            <w:vAlign w:val="bottom"/>
          </w:tcPr>
          <w:p w14:paraId="575FD3B9" w14:textId="77777777" w:rsidR="00724034" w:rsidRDefault="00FB7D0B">
            <w:pPr>
              <w:jc w:val="right"/>
              <w:rPr>
                <w:rFonts w:ascii="Arial" w:eastAsia="Arial" w:hAnsi="Arial" w:cs="Arial"/>
                <w:color w:val="000000"/>
                <w:sz w:val="16"/>
              </w:rPr>
            </w:pPr>
            <w:r>
              <w:rPr>
                <w:rFonts w:ascii="Arial" w:eastAsia="Arial" w:hAnsi="Arial" w:cs="Arial"/>
                <w:color w:val="000000"/>
                <w:sz w:val="16"/>
              </w:rPr>
              <w:t xml:space="preserve"> 3,124 </w:t>
            </w:r>
          </w:p>
        </w:tc>
      </w:tr>
      <w:tr w:rsidR="00724034" w14:paraId="193E2BCD" w14:textId="77777777">
        <w:trPr>
          <w:trHeight w:val="450"/>
        </w:trPr>
        <w:tc>
          <w:tcPr>
            <w:tcW w:w="180" w:type="dxa"/>
            <w:tcBorders>
              <w:top w:val="nil"/>
              <w:left w:val="single" w:sz="6" w:space="0" w:color="000000"/>
              <w:bottom w:val="nil"/>
              <w:right w:val="nil"/>
              <w:tl2br w:val="nil"/>
              <w:tr2bl w:val="nil"/>
            </w:tcBorders>
            <w:shd w:val="clear" w:color="auto" w:fill="FFFFFF"/>
            <w:tcMar>
              <w:left w:w="101" w:type="dxa"/>
              <w:right w:w="101" w:type="dxa"/>
            </w:tcMar>
            <w:vAlign w:val="bottom"/>
          </w:tcPr>
          <w:p w14:paraId="43C459FD" w14:textId="77777777" w:rsidR="00724034" w:rsidRDefault="00724034">
            <w:pPr>
              <w:rPr>
                <w:rFonts w:ascii="Arial" w:eastAsia="Arial" w:hAnsi="Arial" w:cs="Arial"/>
                <w:color w:val="000000"/>
                <w:sz w:val="16"/>
              </w:rPr>
            </w:pPr>
          </w:p>
        </w:tc>
        <w:tc>
          <w:tcPr>
            <w:tcW w:w="180" w:type="dxa"/>
            <w:tcBorders>
              <w:top w:val="nil"/>
              <w:left w:val="nil"/>
              <w:bottom w:val="nil"/>
              <w:right w:val="nil"/>
              <w:tl2br w:val="nil"/>
              <w:tr2bl w:val="nil"/>
            </w:tcBorders>
            <w:shd w:val="clear" w:color="auto" w:fill="FFFFFF"/>
            <w:tcMar>
              <w:left w:w="101" w:type="dxa"/>
              <w:right w:w="101" w:type="dxa"/>
            </w:tcMar>
            <w:vAlign w:val="bottom"/>
          </w:tcPr>
          <w:p w14:paraId="5EBD22B7" w14:textId="77777777" w:rsidR="00724034" w:rsidRDefault="00724034">
            <w:pPr>
              <w:rPr>
                <w:rFonts w:ascii="Arial" w:eastAsia="Arial" w:hAnsi="Arial" w:cs="Arial"/>
                <w:color w:val="000000"/>
                <w:sz w:val="20"/>
              </w:rPr>
            </w:pPr>
          </w:p>
        </w:tc>
        <w:tc>
          <w:tcPr>
            <w:tcW w:w="2730" w:type="dxa"/>
            <w:tcBorders>
              <w:top w:val="nil"/>
              <w:left w:val="nil"/>
              <w:bottom w:val="nil"/>
              <w:right w:val="nil"/>
              <w:tl2br w:val="nil"/>
              <w:tr2bl w:val="nil"/>
            </w:tcBorders>
            <w:shd w:val="clear" w:color="auto" w:fill="FFFFFF"/>
            <w:tcMar>
              <w:left w:w="101" w:type="dxa"/>
              <w:right w:w="101" w:type="dxa"/>
            </w:tcMar>
            <w:vAlign w:val="bottom"/>
          </w:tcPr>
          <w:p w14:paraId="18E99E39" w14:textId="77777777" w:rsidR="00724034" w:rsidRDefault="00FB7D0B">
            <w:pPr>
              <w:rPr>
                <w:rFonts w:ascii="Arial" w:eastAsia="Arial" w:hAnsi="Arial" w:cs="Arial"/>
                <w:color w:val="000000"/>
                <w:sz w:val="16"/>
              </w:rPr>
            </w:pPr>
            <w:r>
              <w:rPr>
                <w:rFonts w:ascii="Arial" w:eastAsia="Arial" w:hAnsi="Arial" w:cs="Arial"/>
                <w:color w:val="000000"/>
                <w:sz w:val="16"/>
              </w:rPr>
              <w:t>Compensation payments for BCAL veterans</w:t>
            </w:r>
          </w:p>
        </w:tc>
        <w:tc>
          <w:tcPr>
            <w:tcW w:w="975" w:type="dxa"/>
            <w:tcBorders>
              <w:top w:val="nil"/>
              <w:left w:val="nil"/>
              <w:bottom w:val="nil"/>
              <w:right w:val="nil"/>
              <w:tl2br w:val="nil"/>
              <w:tr2bl w:val="nil"/>
            </w:tcBorders>
            <w:shd w:val="clear" w:color="auto" w:fill="FFFFFF"/>
            <w:tcMar>
              <w:left w:w="101" w:type="dxa"/>
              <w:right w:w="101" w:type="dxa"/>
            </w:tcMar>
            <w:vAlign w:val="bottom"/>
          </w:tcPr>
          <w:p w14:paraId="5567BF15" w14:textId="77777777" w:rsidR="00724034" w:rsidRDefault="00FB7D0B">
            <w:pPr>
              <w:jc w:val="right"/>
              <w:rPr>
                <w:rFonts w:ascii="Arial" w:eastAsia="Arial" w:hAnsi="Arial" w:cs="Arial"/>
                <w:color w:val="000000"/>
                <w:sz w:val="16"/>
                <w:vertAlign w:val="superscript"/>
              </w:rPr>
            </w:pPr>
            <w:r>
              <w:rPr>
                <w:rFonts w:ascii="Arial" w:eastAsia="Arial" w:hAnsi="Arial" w:cs="Arial"/>
                <w:color w:val="000000"/>
                <w:sz w:val="16"/>
              </w:rPr>
              <w:t xml:space="preserve"> 932 </w:t>
            </w:r>
          </w:p>
        </w:tc>
        <w:tc>
          <w:tcPr>
            <w:tcW w:w="975" w:type="dxa"/>
            <w:tcBorders>
              <w:top w:val="nil"/>
              <w:left w:val="nil"/>
              <w:bottom w:val="nil"/>
              <w:right w:val="nil"/>
              <w:tl2br w:val="nil"/>
              <w:tr2bl w:val="nil"/>
            </w:tcBorders>
            <w:shd w:val="clear" w:color="auto" w:fill="FFFF00"/>
            <w:tcMar>
              <w:left w:w="101" w:type="dxa"/>
              <w:right w:w="101" w:type="dxa"/>
            </w:tcMar>
            <w:vAlign w:val="bottom"/>
          </w:tcPr>
          <w:p w14:paraId="081A6252" w14:textId="77777777" w:rsidR="00724034" w:rsidRDefault="00FB7D0B">
            <w:pPr>
              <w:jc w:val="right"/>
              <w:rPr>
                <w:rFonts w:ascii="Arial" w:eastAsia="Arial" w:hAnsi="Arial" w:cs="Arial"/>
                <w:color w:val="000000"/>
                <w:sz w:val="16"/>
              </w:rPr>
            </w:pPr>
            <w:r>
              <w:rPr>
                <w:rFonts w:ascii="Arial" w:eastAsia="Arial" w:hAnsi="Arial" w:cs="Arial"/>
                <w:color w:val="000000"/>
                <w:sz w:val="16"/>
              </w:rPr>
              <w:t xml:space="preserve"> 865 </w:t>
            </w:r>
          </w:p>
        </w:tc>
        <w:tc>
          <w:tcPr>
            <w:tcW w:w="975" w:type="dxa"/>
            <w:tcBorders>
              <w:top w:val="nil"/>
              <w:left w:val="nil"/>
              <w:bottom w:val="nil"/>
              <w:right w:val="nil"/>
              <w:tl2br w:val="nil"/>
              <w:tr2bl w:val="nil"/>
            </w:tcBorders>
            <w:shd w:val="clear" w:color="auto" w:fill="FFFFFF"/>
            <w:tcMar>
              <w:left w:w="101" w:type="dxa"/>
              <w:right w:w="101" w:type="dxa"/>
            </w:tcMar>
            <w:vAlign w:val="bottom"/>
          </w:tcPr>
          <w:p w14:paraId="773AA785" w14:textId="77777777" w:rsidR="00724034" w:rsidRDefault="00FB7D0B">
            <w:pPr>
              <w:jc w:val="right"/>
              <w:rPr>
                <w:rFonts w:ascii="Arial" w:eastAsia="Arial" w:hAnsi="Arial" w:cs="Arial"/>
                <w:color w:val="000000"/>
                <w:sz w:val="16"/>
              </w:rPr>
            </w:pPr>
            <w:r>
              <w:rPr>
                <w:rFonts w:ascii="Arial" w:eastAsia="Arial" w:hAnsi="Arial" w:cs="Arial"/>
                <w:color w:val="000000"/>
                <w:sz w:val="16"/>
              </w:rPr>
              <w:t xml:space="preserve"> 792 </w:t>
            </w:r>
          </w:p>
        </w:tc>
        <w:tc>
          <w:tcPr>
            <w:tcW w:w="975" w:type="dxa"/>
            <w:tcBorders>
              <w:top w:val="nil"/>
              <w:left w:val="nil"/>
              <w:bottom w:val="nil"/>
              <w:right w:val="nil"/>
              <w:tl2br w:val="nil"/>
              <w:tr2bl w:val="nil"/>
            </w:tcBorders>
            <w:shd w:val="clear" w:color="auto" w:fill="FFFFFF"/>
            <w:tcMar>
              <w:left w:w="101" w:type="dxa"/>
              <w:right w:w="101" w:type="dxa"/>
            </w:tcMar>
            <w:vAlign w:val="bottom"/>
          </w:tcPr>
          <w:p w14:paraId="2039A150" w14:textId="77777777" w:rsidR="00724034" w:rsidRDefault="00FB7D0B">
            <w:pPr>
              <w:jc w:val="right"/>
              <w:rPr>
                <w:rFonts w:ascii="Arial" w:eastAsia="Arial" w:hAnsi="Arial" w:cs="Arial"/>
                <w:color w:val="000000"/>
                <w:sz w:val="16"/>
              </w:rPr>
            </w:pPr>
            <w:r>
              <w:rPr>
                <w:rFonts w:ascii="Arial" w:eastAsia="Arial" w:hAnsi="Arial" w:cs="Arial"/>
                <w:color w:val="000000"/>
                <w:sz w:val="16"/>
              </w:rPr>
              <w:t xml:space="preserve"> 728 </w:t>
            </w:r>
          </w:p>
        </w:tc>
        <w:tc>
          <w:tcPr>
            <w:tcW w:w="975" w:type="dxa"/>
            <w:tcBorders>
              <w:top w:val="nil"/>
              <w:left w:val="nil"/>
              <w:bottom w:val="nil"/>
              <w:right w:val="single" w:sz="6" w:space="0" w:color="000000"/>
              <w:tl2br w:val="nil"/>
              <w:tr2bl w:val="nil"/>
            </w:tcBorders>
            <w:shd w:val="clear" w:color="auto" w:fill="FFFFFF"/>
            <w:tcMar>
              <w:left w:w="101" w:type="dxa"/>
              <w:right w:w="101" w:type="dxa"/>
            </w:tcMar>
            <w:vAlign w:val="bottom"/>
          </w:tcPr>
          <w:p w14:paraId="5DEE479D" w14:textId="77777777" w:rsidR="00724034" w:rsidRDefault="00FB7D0B">
            <w:pPr>
              <w:jc w:val="right"/>
              <w:rPr>
                <w:rFonts w:ascii="Arial" w:eastAsia="Arial" w:hAnsi="Arial" w:cs="Arial"/>
                <w:color w:val="000000"/>
                <w:sz w:val="16"/>
              </w:rPr>
            </w:pPr>
            <w:r>
              <w:rPr>
                <w:rFonts w:ascii="Arial" w:eastAsia="Arial" w:hAnsi="Arial" w:cs="Arial"/>
                <w:color w:val="000000"/>
                <w:sz w:val="16"/>
              </w:rPr>
              <w:t xml:space="preserve"> 671 </w:t>
            </w:r>
          </w:p>
        </w:tc>
      </w:tr>
      <w:tr w:rsidR="00FB7D0B" w14:paraId="01CD2DF6" w14:textId="77777777" w:rsidTr="00FB7D0B">
        <w:trPr>
          <w:trHeight w:val="450"/>
        </w:trPr>
        <w:tc>
          <w:tcPr>
            <w:tcW w:w="180" w:type="dxa"/>
            <w:tcBorders>
              <w:top w:val="nil"/>
              <w:left w:val="single" w:sz="6" w:space="0" w:color="000000"/>
              <w:bottom w:val="nil"/>
              <w:right w:val="nil"/>
              <w:tl2br w:val="nil"/>
              <w:tr2bl w:val="nil"/>
            </w:tcBorders>
            <w:shd w:val="clear" w:color="auto" w:fill="FFFFFF"/>
            <w:tcMar>
              <w:left w:w="101" w:type="dxa"/>
              <w:right w:w="101" w:type="dxa"/>
            </w:tcMar>
            <w:vAlign w:val="bottom"/>
          </w:tcPr>
          <w:p w14:paraId="0123222E" w14:textId="77777777" w:rsidR="00724034" w:rsidRDefault="00724034">
            <w:pPr>
              <w:rPr>
                <w:rFonts w:ascii="Arial" w:eastAsia="Arial" w:hAnsi="Arial" w:cs="Arial"/>
                <w:color w:val="000000"/>
                <w:sz w:val="16"/>
              </w:rPr>
            </w:pPr>
          </w:p>
        </w:tc>
        <w:tc>
          <w:tcPr>
            <w:tcW w:w="2910" w:type="dxa"/>
            <w:gridSpan w:val="2"/>
            <w:tcBorders>
              <w:top w:val="nil"/>
              <w:left w:val="nil"/>
              <w:bottom w:val="nil"/>
              <w:right w:val="nil"/>
              <w:tl2br w:val="nil"/>
              <w:tr2bl w:val="nil"/>
            </w:tcBorders>
            <w:shd w:val="clear" w:color="auto" w:fill="FFFFFF"/>
            <w:tcMar>
              <w:left w:w="101" w:type="dxa"/>
              <w:right w:w="101" w:type="dxa"/>
            </w:tcMar>
            <w:vAlign w:val="bottom"/>
          </w:tcPr>
          <w:p w14:paraId="3BE2F5DC" w14:textId="77777777" w:rsidR="00724034" w:rsidRDefault="00FB7D0B">
            <w:pPr>
              <w:rPr>
                <w:rFonts w:ascii="Arial" w:eastAsia="Arial" w:hAnsi="Arial" w:cs="Arial"/>
                <w:color w:val="000000"/>
                <w:sz w:val="20"/>
              </w:rPr>
            </w:pPr>
            <w:r>
              <w:rPr>
                <w:rFonts w:ascii="Arial" w:eastAsia="Arial" w:hAnsi="Arial" w:cs="Arial"/>
                <w:i/>
                <w:color w:val="000000"/>
                <w:sz w:val="16"/>
              </w:rPr>
              <w:t>Papua New Guinea (Members of the Forces Benefits) Act 1957</w:t>
            </w:r>
          </w:p>
        </w:tc>
        <w:tc>
          <w:tcPr>
            <w:tcW w:w="975" w:type="dxa"/>
            <w:tcBorders>
              <w:top w:val="nil"/>
              <w:left w:val="nil"/>
              <w:bottom w:val="nil"/>
              <w:right w:val="nil"/>
              <w:tl2br w:val="nil"/>
              <w:tr2bl w:val="nil"/>
            </w:tcBorders>
            <w:shd w:val="clear" w:color="auto" w:fill="FFFFFF"/>
            <w:tcMar>
              <w:left w:w="101" w:type="dxa"/>
              <w:right w:w="101" w:type="dxa"/>
            </w:tcMar>
            <w:vAlign w:val="bottom"/>
          </w:tcPr>
          <w:p w14:paraId="0CFEC6C7" w14:textId="77777777" w:rsidR="00724034" w:rsidRDefault="00724034">
            <w:pPr>
              <w:rPr>
                <w:rFonts w:ascii="Arial" w:eastAsia="Arial" w:hAnsi="Arial" w:cs="Arial"/>
                <w:color w:val="000000"/>
                <w:sz w:val="16"/>
                <w:vertAlign w:val="superscript"/>
              </w:rPr>
            </w:pPr>
          </w:p>
        </w:tc>
        <w:tc>
          <w:tcPr>
            <w:tcW w:w="975" w:type="dxa"/>
            <w:tcBorders>
              <w:top w:val="nil"/>
              <w:left w:val="nil"/>
              <w:bottom w:val="nil"/>
              <w:right w:val="nil"/>
              <w:tl2br w:val="nil"/>
              <w:tr2bl w:val="nil"/>
            </w:tcBorders>
            <w:shd w:val="clear" w:color="auto" w:fill="FFFF00"/>
            <w:tcMar>
              <w:left w:w="101" w:type="dxa"/>
              <w:right w:w="101" w:type="dxa"/>
            </w:tcMar>
            <w:vAlign w:val="bottom"/>
          </w:tcPr>
          <w:p w14:paraId="251C74AB" w14:textId="77777777" w:rsidR="00724034" w:rsidRDefault="00724034">
            <w:pPr>
              <w:jc w:val="right"/>
              <w:rPr>
                <w:rFonts w:ascii="Arial" w:eastAsia="Arial" w:hAnsi="Arial" w:cs="Arial"/>
                <w:color w:val="000000"/>
                <w:sz w:val="16"/>
                <w:vertAlign w:val="superscript"/>
              </w:rPr>
            </w:pPr>
          </w:p>
        </w:tc>
        <w:tc>
          <w:tcPr>
            <w:tcW w:w="975" w:type="dxa"/>
            <w:tcBorders>
              <w:top w:val="nil"/>
              <w:left w:val="nil"/>
              <w:bottom w:val="nil"/>
              <w:right w:val="nil"/>
              <w:tl2br w:val="nil"/>
              <w:tr2bl w:val="nil"/>
            </w:tcBorders>
            <w:shd w:val="clear" w:color="auto" w:fill="FFFFFF"/>
            <w:tcMar>
              <w:left w:w="101" w:type="dxa"/>
              <w:right w:w="101" w:type="dxa"/>
            </w:tcMar>
            <w:vAlign w:val="bottom"/>
          </w:tcPr>
          <w:p w14:paraId="4FB49CB0" w14:textId="77777777" w:rsidR="00724034" w:rsidRDefault="00724034">
            <w:pPr>
              <w:jc w:val="right"/>
              <w:rPr>
                <w:rFonts w:ascii="Arial" w:eastAsia="Arial" w:hAnsi="Arial" w:cs="Arial"/>
                <w:color w:val="000000"/>
                <w:sz w:val="16"/>
                <w:vertAlign w:val="superscript"/>
              </w:rPr>
            </w:pPr>
          </w:p>
        </w:tc>
        <w:tc>
          <w:tcPr>
            <w:tcW w:w="975" w:type="dxa"/>
            <w:tcBorders>
              <w:top w:val="nil"/>
              <w:left w:val="nil"/>
              <w:bottom w:val="nil"/>
              <w:right w:val="nil"/>
              <w:tl2br w:val="nil"/>
              <w:tr2bl w:val="nil"/>
            </w:tcBorders>
            <w:shd w:val="clear" w:color="auto" w:fill="FFFFFF"/>
            <w:tcMar>
              <w:left w:w="101" w:type="dxa"/>
              <w:right w:w="101" w:type="dxa"/>
            </w:tcMar>
            <w:vAlign w:val="bottom"/>
          </w:tcPr>
          <w:p w14:paraId="5EEBDA3C" w14:textId="77777777" w:rsidR="00724034" w:rsidRDefault="00724034">
            <w:pPr>
              <w:jc w:val="right"/>
              <w:rPr>
                <w:rFonts w:ascii="Arial" w:eastAsia="Arial" w:hAnsi="Arial" w:cs="Arial"/>
                <w:color w:val="000000"/>
                <w:sz w:val="16"/>
                <w:vertAlign w:val="superscript"/>
              </w:rPr>
            </w:pPr>
          </w:p>
        </w:tc>
        <w:tc>
          <w:tcPr>
            <w:tcW w:w="975" w:type="dxa"/>
            <w:tcBorders>
              <w:top w:val="nil"/>
              <w:left w:val="nil"/>
              <w:bottom w:val="nil"/>
              <w:right w:val="single" w:sz="6" w:space="0" w:color="000000"/>
              <w:tl2br w:val="nil"/>
              <w:tr2bl w:val="nil"/>
            </w:tcBorders>
            <w:shd w:val="clear" w:color="auto" w:fill="FFFFFF"/>
            <w:tcMar>
              <w:left w:w="101" w:type="dxa"/>
              <w:right w:w="101" w:type="dxa"/>
            </w:tcMar>
            <w:vAlign w:val="bottom"/>
          </w:tcPr>
          <w:p w14:paraId="192028E2" w14:textId="77777777" w:rsidR="00724034" w:rsidRDefault="00724034">
            <w:pPr>
              <w:jc w:val="right"/>
              <w:rPr>
                <w:rFonts w:ascii="Arial" w:eastAsia="Arial" w:hAnsi="Arial" w:cs="Arial"/>
                <w:color w:val="000000"/>
                <w:sz w:val="16"/>
                <w:vertAlign w:val="superscript"/>
              </w:rPr>
            </w:pPr>
          </w:p>
        </w:tc>
      </w:tr>
      <w:tr w:rsidR="00724034" w14:paraId="463E429E" w14:textId="77777777">
        <w:trPr>
          <w:trHeight w:val="225"/>
        </w:trPr>
        <w:tc>
          <w:tcPr>
            <w:tcW w:w="180" w:type="dxa"/>
            <w:tcBorders>
              <w:top w:val="nil"/>
              <w:left w:val="single" w:sz="6" w:space="0" w:color="000000"/>
              <w:bottom w:val="nil"/>
              <w:right w:val="nil"/>
              <w:tl2br w:val="nil"/>
              <w:tr2bl w:val="nil"/>
            </w:tcBorders>
            <w:shd w:val="clear" w:color="auto" w:fill="FFFFFF"/>
            <w:tcMar>
              <w:left w:w="101" w:type="dxa"/>
              <w:right w:w="101" w:type="dxa"/>
            </w:tcMar>
            <w:vAlign w:val="bottom"/>
          </w:tcPr>
          <w:p w14:paraId="3768F143" w14:textId="77777777" w:rsidR="00724034" w:rsidRDefault="00724034">
            <w:pPr>
              <w:rPr>
                <w:rFonts w:ascii="Arial" w:eastAsia="Arial" w:hAnsi="Arial" w:cs="Arial"/>
                <w:color w:val="000000"/>
                <w:sz w:val="16"/>
                <w:vertAlign w:val="superscript"/>
              </w:rPr>
            </w:pPr>
          </w:p>
        </w:tc>
        <w:tc>
          <w:tcPr>
            <w:tcW w:w="180" w:type="dxa"/>
            <w:tcBorders>
              <w:top w:val="nil"/>
              <w:left w:val="nil"/>
              <w:bottom w:val="nil"/>
              <w:right w:val="nil"/>
              <w:tl2br w:val="nil"/>
              <w:tr2bl w:val="nil"/>
            </w:tcBorders>
            <w:shd w:val="clear" w:color="auto" w:fill="FFFFFF"/>
            <w:tcMar>
              <w:left w:w="101" w:type="dxa"/>
              <w:right w:w="101" w:type="dxa"/>
            </w:tcMar>
            <w:vAlign w:val="bottom"/>
          </w:tcPr>
          <w:p w14:paraId="4FFC6857" w14:textId="77777777" w:rsidR="00724034" w:rsidRDefault="00724034">
            <w:pPr>
              <w:rPr>
                <w:rFonts w:ascii="Arial" w:eastAsia="Arial" w:hAnsi="Arial" w:cs="Arial"/>
                <w:color w:val="000000"/>
                <w:sz w:val="20"/>
                <w:vertAlign w:val="superscript"/>
              </w:rPr>
            </w:pPr>
          </w:p>
        </w:tc>
        <w:tc>
          <w:tcPr>
            <w:tcW w:w="2730" w:type="dxa"/>
            <w:tcBorders>
              <w:top w:val="nil"/>
              <w:left w:val="nil"/>
              <w:bottom w:val="nil"/>
              <w:right w:val="nil"/>
              <w:tl2br w:val="nil"/>
              <w:tr2bl w:val="nil"/>
            </w:tcBorders>
            <w:shd w:val="clear" w:color="auto" w:fill="FFFFFF"/>
            <w:tcMar>
              <w:left w:w="101" w:type="dxa"/>
              <w:right w:w="101" w:type="dxa"/>
            </w:tcMar>
            <w:vAlign w:val="bottom"/>
          </w:tcPr>
          <w:p w14:paraId="213BA9A6" w14:textId="77777777" w:rsidR="00724034" w:rsidRDefault="00FB7D0B">
            <w:pPr>
              <w:rPr>
                <w:rFonts w:ascii="Arial" w:eastAsia="Arial" w:hAnsi="Arial" w:cs="Arial"/>
                <w:color w:val="000000"/>
                <w:sz w:val="16"/>
                <w:vertAlign w:val="superscript"/>
              </w:rPr>
            </w:pPr>
            <w:r>
              <w:rPr>
                <w:rFonts w:ascii="Arial" w:eastAsia="Arial" w:hAnsi="Arial" w:cs="Arial"/>
                <w:color w:val="000000"/>
                <w:sz w:val="16"/>
              </w:rPr>
              <w:t>PNG pensions</w:t>
            </w:r>
          </w:p>
        </w:tc>
        <w:tc>
          <w:tcPr>
            <w:tcW w:w="975" w:type="dxa"/>
            <w:tcBorders>
              <w:top w:val="nil"/>
              <w:left w:val="nil"/>
              <w:bottom w:val="nil"/>
              <w:right w:val="nil"/>
              <w:tl2br w:val="nil"/>
              <w:tr2bl w:val="nil"/>
            </w:tcBorders>
            <w:shd w:val="clear" w:color="auto" w:fill="FFFFFF"/>
            <w:tcMar>
              <w:left w:w="101" w:type="dxa"/>
              <w:right w:w="101" w:type="dxa"/>
            </w:tcMar>
            <w:vAlign w:val="bottom"/>
          </w:tcPr>
          <w:p w14:paraId="08E80932" w14:textId="77777777" w:rsidR="00724034" w:rsidRDefault="00FB7D0B">
            <w:pPr>
              <w:jc w:val="right"/>
              <w:rPr>
                <w:rFonts w:ascii="Arial" w:eastAsia="Arial" w:hAnsi="Arial" w:cs="Arial"/>
                <w:color w:val="000000"/>
                <w:sz w:val="16"/>
                <w:vertAlign w:val="superscript"/>
              </w:rPr>
            </w:pPr>
            <w:r>
              <w:rPr>
                <w:rFonts w:ascii="Arial" w:eastAsia="Arial" w:hAnsi="Arial" w:cs="Arial"/>
                <w:color w:val="000000"/>
                <w:sz w:val="16"/>
              </w:rPr>
              <w:t xml:space="preserve"> 70 </w:t>
            </w:r>
          </w:p>
        </w:tc>
        <w:tc>
          <w:tcPr>
            <w:tcW w:w="975" w:type="dxa"/>
            <w:tcBorders>
              <w:top w:val="nil"/>
              <w:left w:val="nil"/>
              <w:bottom w:val="nil"/>
              <w:right w:val="nil"/>
              <w:tl2br w:val="nil"/>
              <w:tr2bl w:val="nil"/>
            </w:tcBorders>
            <w:shd w:val="clear" w:color="auto" w:fill="FFFF00"/>
            <w:tcMar>
              <w:left w:w="101" w:type="dxa"/>
              <w:right w:w="101" w:type="dxa"/>
            </w:tcMar>
            <w:vAlign w:val="bottom"/>
          </w:tcPr>
          <w:p w14:paraId="48B56601" w14:textId="77777777" w:rsidR="00724034" w:rsidRDefault="00FB7D0B">
            <w:pPr>
              <w:jc w:val="right"/>
              <w:rPr>
                <w:rFonts w:ascii="Arial" w:eastAsia="Arial" w:hAnsi="Arial" w:cs="Arial"/>
                <w:color w:val="000000"/>
                <w:sz w:val="16"/>
              </w:rPr>
            </w:pPr>
            <w:r>
              <w:rPr>
                <w:rFonts w:ascii="Arial" w:eastAsia="Arial" w:hAnsi="Arial" w:cs="Arial"/>
                <w:color w:val="000000"/>
                <w:sz w:val="16"/>
              </w:rPr>
              <w:t xml:space="preserve"> 70 </w:t>
            </w:r>
          </w:p>
        </w:tc>
        <w:tc>
          <w:tcPr>
            <w:tcW w:w="975" w:type="dxa"/>
            <w:tcBorders>
              <w:top w:val="nil"/>
              <w:left w:val="nil"/>
              <w:bottom w:val="nil"/>
              <w:right w:val="nil"/>
              <w:tl2br w:val="nil"/>
              <w:tr2bl w:val="nil"/>
            </w:tcBorders>
            <w:shd w:val="clear" w:color="auto" w:fill="FFFFFF"/>
            <w:tcMar>
              <w:left w:w="101" w:type="dxa"/>
              <w:right w:w="101" w:type="dxa"/>
            </w:tcMar>
            <w:vAlign w:val="bottom"/>
          </w:tcPr>
          <w:p w14:paraId="72171FF5" w14:textId="77777777" w:rsidR="00724034" w:rsidRDefault="00FB7D0B">
            <w:pPr>
              <w:jc w:val="right"/>
              <w:rPr>
                <w:rFonts w:ascii="Arial" w:eastAsia="Arial" w:hAnsi="Arial" w:cs="Arial"/>
                <w:color w:val="000000"/>
                <w:sz w:val="16"/>
              </w:rPr>
            </w:pPr>
            <w:r>
              <w:rPr>
                <w:rFonts w:ascii="Arial" w:eastAsia="Arial" w:hAnsi="Arial" w:cs="Arial"/>
                <w:color w:val="000000"/>
                <w:sz w:val="16"/>
              </w:rPr>
              <w:t xml:space="preserve"> 70 </w:t>
            </w:r>
          </w:p>
        </w:tc>
        <w:tc>
          <w:tcPr>
            <w:tcW w:w="975" w:type="dxa"/>
            <w:tcBorders>
              <w:top w:val="nil"/>
              <w:left w:val="nil"/>
              <w:bottom w:val="nil"/>
              <w:right w:val="nil"/>
              <w:tl2br w:val="nil"/>
              <w:tr2bl w:val="nil"/>
            </w:tcBorders>
            <w:shd w:val="clear" w:color="auto" w:fill="FFFFFF"/>
            <w:tcMar>
              <w:left w:w="101" w:type="dxa"/>
              <w:right w:w="101" w:type="dxa"/>
            </w:tcMar>
            <w:vAlign w:val="bottom"/>
          </w:tcPr>
          <w:p w14:paraId="7C31F3E9" w14:textId="77777777" w:rsidR="00724034" w:rsidRDefault="00FB7D0B">
            <w:pPr>
              <w:jc w:val="right"/>
              <w:rPr>
                <w:rFonts w:ascii="Arial" w:eastAsia="Arial" w:hAnsi="Arial" w:cs="Arial"/>
                <w:color w:val="000000"/>
                <w:sz w:val="16"/>
              </w:rPr>
            </w:pPr>
            <w:r>
              <w:rPr>
                <w:rFonts w:ascii="Arial" w:eastAsia="Arial" w:hAnsi="Arial" w:cs="Arial"/>
                <w:color w:val="000000"/>
                <w:sz w:val="16"/>
              </w:rPr>
              <w:t xml:space="preserve"> 70 </w:t>
            </w:r>
          </w:p>
        </w:tc>
        <w:tc>
          <w:tcPr>
            <w:tcW w:w="975" w:type="dxa"/>
            <w:tcBorders>
              <w:top w:val="nil"/>
              <w:left w:val="nil"/>
              <w:bottom w:val="nil"/>
              <w:right w:val="single" w:sz="6" w:space="0" w:color="000000"/>
              <w:tl2br w:val="nil"/>
              <w:tr2bl w:val="nil"/>
            </w:tcBorders>
            <w:shd w:val="clear" w:color="auto" w:fill="FFFFFF"/>
            <w:tcMar>
              <w:left w:w="101" w:type="dxa"/>
              <w:right w:w="101" w:type="dxa"/>
            </w:tcMar>
            <w:vAlign w:val="bottom"/>
          </w:tcPr>
          <w:p w14:paraId="23671FDE" w14:textId="77777777" w:rsidR="00724034" w:rsidRDefault="00FB7D0B">
            <w:pPr>
              <w:jc w:val="right"/>
              <w:rPr>
                <w:rFonts w:ascii="Arial" w:eastAsia="Arial" w:hAnsi="Arial" w:cs="Arial"/>
                <w:color w:val="000000"/>
                <w:sz w:val="16"/>
              </w:rPr>
            </w:pPr>
            <w:r>
              <w:rPr>
                <w:rFonts w:ascii="Arial" w:eastAsia="Arial" w:hAnsi="Arial" w:cs="Arial"/>
                <w:color w:val="000000"/>
                <w:sz w:val="16"/>
              </w:rPr>
              <w:t xml:space="preserve"> 70 </w:t>
            </w:r>
          </w:p>
        </w:tc>
      </w:tr>
      <w:tr w:rsidR="00FB7D0B" w14:paraId="0F7AB756" w14:textId="77777777" w:rsidTr="00FB7D0B">
        <w:trPr>
          <w:trHeight w:val="450"/>
        </w:trPr>
        <w:tc>
          <w:tcPr>
            <w:tcW w:w="180" w:type="dxa"/>
            <w:tcBorders>
              <w:top w:val="nil"/>
              <w:left w:val="single" w:sz="6" w:space="0" w:color="000000"/>
              <w:bottom w:val="nil"/>
              <w:right w:val="nil"/>
              <w:tl2br w:val="nil"/>
              <w:tr2bl w:val="nil"/>
            </w:tcBorders>
            <w:shd w:val="clear" w:color="auto" w:fill="FFFFFF"/>
            <w:tcMar>
              <w:left w:w="101" w:type="dxa"/>
              <w:right w:w="101" w:type="dxa"/>
            </w:tcMar>
            <w:vAlign w:val="bottom"/>
          </w:tcPr>
          <w:p w14:paraId="5D8E7F5D" w14:textId="77777777" w:rsidR="00724034" w:rsidRDefault="00724034">
            <w:pPr>
              <w:rPr>
                <w:rFonts w:ascii="Arial" w:eastAsia="Arial" w:hAnsi="Arial" w:cs="Arial"/>
                <w:color w:val="000000"/>
                <w:sz w:val="16"/>
              </w:rPr>
            </w:pPr>
          </w:p>
        </w:tc>
        <w:tc>
          <w:tcPr>
            <w:tcW w:w="2910" w:type="dxa"/>
            <w:gridSpan w:val="2"/>
            <w:tcBorders>
              <w:top w:val="nil"/>
              <w:left w:val="nil"/>
              <w:bottom w:val="nil"/>
              <w:right w:val="nil"/>
              <w:tl2br w:val="nil"/>
              <w:tr2bl w:val="nil"/>
            </w:tcBorders>
            <w:shd w:val="clear" w:color="auto" w:fill="FFFFFF"/>
            <w:tcMar>
              <w:left w:w="101" w:type="dxa"/>
              <w:right w:w="101" w:type="dxa"/>
            </w:tcMar>
            <w:vAlign w:val="bottom"/>
          </w:tcPr>
          <w:p w14:paraId="3EB8F611" w14:textId="77777777" w:rsidR="00724034" w:rsidRDefault="00FB7D0B">
            <w:pPr>
              <w:rPr>
                <w:rFonts w:ascii="Arial" w:eastAsia="Arial" w:hAnsi="Arial" w:cs="Arial"/>
                <w:color w:val="000000"/>
                <w:sz w:val="20"/>
              </w:rPr>
            </w:pPr>
            <w:r>
              <w:rPr>
                <w:rFonts w:ascii="Arial" w:eastAsia="Arial" w:hAnsi="Arial" w:cs="Arial"/>
                <w:i/>
                <w:color w:val="000000"/>
                <w:sz w:val="16"/>
              </w:rPr>
              <w:t>Safety, Rehabilitation and Compensation Act 1988</w:t>
            </w:r>
          </w:p>
        </w:tc>
        <w:tc>
          <w:tcPr>
            <w:tcW w:w="975" w:type="dxa"/>
            <w:tcBorders>
              <w:top w:val="nil"/>
              <w:left w:val="nil"/>
              <w:bottom w:val="nil"/>
              <w:right w:val="nil"/>
              <w:tl2br w:val="nil"/>
              <w:tr2bl w:val="nil"/>
            </w:tcBorders>
            <w:shd w:val="clear" w:color="auto" w:fill="FFFFFF"/>
            <w:tcMar>
              <w:left w:w="101" w:type="dxa"/>
              <w:right w:w="101" w:type="dxa"/>
            </w:tcMar>
            <w:vAlign w:val="bottom"/>
          </w:tcPr>
          <w:p w14:paraId="58C4B780" w14:textId="77777777" w:rsidR="00724034" w:rsidRDefault="00724034">
            <w:pPr>
              <w:rPr>
                <w:rFonts w:ascii="Arial" w:eastAsia="Arial" w:hAnsi="Arial" w:cs="Arial"/>
                <w:color w:val="000000"/>
                <w:sz w:val="16"/>
                <w:vertAlign w:val="superscript"/>
              </w:rPr>
            </w:pPr>
          </w:p>
        </w:tc>
        <w:tc>
          <w:tcPr>
            <w:tcW w:w="975" w:type="dxa"/>
            <w:tcBorders>
              <w:top w:val="nil"/>
              <w:left w:val="nil"/>
              <w:bottom w:val="nil"/>
              <w:right w:val="nil"/>
              <w:tl2br w:val="nil"/>
              <w:tr2bl w:val="nil"/>
            </w:tcBorders>
            <w:shd w:val="clear" w:color="auto" w:fill="FFFF00"/>
            <w:tcMar>
              <w:left w:w="101" w:type="dxa"/>
              <w:right w:w="101" w:type="dxa"/>
            </w:tcMar>
            <w:vAlign w:val="bottom"/>
          </w:tcPr>
          <w:p w14:paraId="0DC094BA" w14:textId="77777777" w:rsidR="00724034" w:rsidRDefault="00724034">
            <w:pPr>
              <w:jc w:val="right"/>
              <w:rPr>
                <w:rFonts w:ascii="Arial" w:eastAsia="Arial" w:hAnsi="Arial" w:cs="Arial"/>
                <w:color w:val="000000"/>
                <w:sz w:val="16"/>
                <w:vertAlign w:val="superscript"/>
              </w:rPr>
            </w:pPr>
          </w:p>
        </w:tc>
        <w:tc>
          <w:tcPr>
            <w:tcW w:w="975" w:type="dxa"/>
            <w:tcBorders>
              <w:top w:val="nil"/>
              <w:left w:val="nil"/>
              <w:bottom w:val="nil"/>
              <w:right w:val="nil"/>
              <w:tl2br w:val="nil"/>
              <w:tr2bl w:val="nil"/>
            </w:tcBorders>
            <w:shd w:val="clear" w:color="auto" w:fill="FFFFFF"/>
            <w:tcMar>
              <w:left w:w="101" w:type="dxa"/>
              <w:right w:w="101" w:type="dxa"/>
            </w:tcMar>
            <w:vAlign w:val="bottom"/>
          </w:tcPr>
          <w:p w14:paraId="30165446" w14:textId="77777777" w:rsidR="00724034" w:rsidRDefault="00724034">
            <w:pPr>
              <w:jc w:val="right"/>
              <w:rPr>
                <w:rFonts w:ascii="Arial" w:eastAsia="Arial" w:hAnsi="Arial" w:cs="Arial"/>
                <w:color w:val="000000"/>
                <w:sz w:val="16"/>
                <w:vertAlign w:val="superscript"/>
              </w:rPr>
            </w:pPr>
          </w:p>
        </w:tc>
        <w:tc>
          <w:tcPr>
            <w:tcW w:w="975" w:type="dxa"/>
            <w:tcBorders>
              <w:top w:val="nil"/>
              <w:left w:val="nil"/>
              <w:bottom w:val="nil"/>
              <w:right w:val="nil"/>
              <w:tl2br w:val="nil"/>
              <w:tr2bl w:val="nil"/>
            </w:tcBorders>
            <w:shd w:val="clear" w:color="auto" w:fill="FFFFFF"/>
            <w:tcMar>
              <w:left w:w="101" w:type="dxa"/>
              <w:right w:w="101" w:type="dxa"/>
            </w:tcMar>
            <w:vAlign w:val="bottom"/>
          </w:tcPr>
          <w:p w14:paraId="63ABDDD0" w14:textId="77777777" w:rsidR="00724034" w:rsidRDefault="00724034">
            <w:pPr>
              <w:jc w:val="right"/>
              <w:rPr>
                <w:rFonts w:ascii="Arial" w:eastAsia="Arial" w:hAnsi="Arial" w:cs="Arial"/>
                <w:color w:val="000000"/>
                <w:sz w:val="16"/>
                <w:vertAlign w:val="superscript"/>
              </w:rPr>
            </w:pPr>
          </w:p>
        </w:tc>
        <w:tc>
          <w:tcPr>
            <w:tcW w:w="975" w:type="dxa"/>
            <w:tcBorders>
              <w:top w:val="nil"/>
              <w:left w:val="nil"/>
              <w:bottom w:val="nil"/>
              <w:right w:val="single" w:sz="6" w:space="0" w:color="000000"/>
              <w:tl2br w:val="nil"/>
              <w:tr2bl w:val="nil"/>
            </w:tcBorders>
            <w:shd w:val="clear" w:color="auto" w:fill="FFFFFF"/>
            <w:tcMar>
              <w:left w:w="101" w:type="dxa"/>
              <w:right w:w="101" w:type="dxa"/>
            </w:tcMar>
            <w:vAlign w:val="bottom"/>
          </w:tcPr>
          <w:p w14:paraId="53697357" w14:textId="77777777" w:rsidR="00724034" w:rsidRDefault="00724034">
            <w:pPr>
              <w:jc w:val="right"/>
              <w:rPr>
                <w:rFonts w:ascii="Arial" w:eastAsia="Arial" w:hAnsi="Arial" w:cs="Arial"/>
                <w:color w:val="000000"/>
                <w:sz w:val="16"/>
                <w:vertAlign w:val="superscript"/>
              </w:rPr>
            </w:pPr>
          </w:p>
        </w:tc>
      </w:tr>
      <w:tr w:rsidR="00FB7D0B" w14:paraId="6072CE53" w14:textId="77777777" w:rsidTr="00FB7D0B">
        <w:trPr>
          <w:trHeight w:val="225"/>
        </w:trPr>
        <w:tc>
          <w:tcPr>
            <w:tcW w:w="180" w:type="dxa"/>
            <w:tcBorders>
              <w:top w:val="nil"/>
              <w:left w:val="single" w:sz="6" w:space="0" w:color="000000"/>
              <w:bottom w:val="nil"/>
              <w:right w:val="nil"/>
              <w:tl2br w:val="nil"/>
              <w:tr2bl w:val="nil"/>
            </w:tcBorders>
            <w:shd w:val="clear" w:color="auto" w:fill="FFFFFF"/>
            <w:tcMar>
              <w:left w:w="101" w:type="dxa"/>
              <w:right w:w="101" w:type="dxa"/>
            </w:tcMar>
            <w:vAlign w:val="bottom"/>
          </w:tcPr>
          <w:p w14:paraId="71D812D7" w14:textId="77777777" w:rsidR="00724034" w:rsidRDefault="00724034">
            <w:pPr>
              <w:rPr>
                <w:rFonts w:ascii="Arial" w:eastAsia="Arial" w:hAnsi="Arial" w:cs="Arial"/>
                <w:color w:val="000000"/>
                <w:sz w:val="16"/>
                <w:vertAlign w:val="superscript"/>
              </w:rPr>
            </w:pPr>
          </w:p>
        </w:tc>
        <w:tc>
          <w:tcPr>
            <w:tcW w:w="2910" w:type="dxa"/>
            <w:gridSpan w:val="2"/>
            <w:tcBorders>
              <w:top w:val="nil"/>
              <w:left w:val="nil"/>
              <w:bottom w:val="nil"/>
              <w:right w:val="nil"/>
              <w:tl2br w:val="nil"/>
              <w:tr2bl w:val="nil"/>
            </w:tcBorders>
            <w:shd w:val="clear" w:color="auto" w:fill="FFFFFF"/>
            <w:tcMar>
              <w:left w:w="101" w:type="dxa"/>
              <w:right w:w="101" w:type="dxa"/>
            </w:tcMar>
            <w:vAlign w:val="bottom"/>
          </w:tcPr>
          <w:p w14:paraId="0957AF94" w14:textId="77777777" w:rsidR="00724034" w:rsidRDefault="00FB7D0B">
            <w:pPr>
              <w:rPr>
                <w:rFonts w:ascii="Arial" w:eastAsia="Arial" w:hAnsi="Arial" w:cs="Arial"/>
                <w:color w:val="000000"/>
                <w:sz w:val="20"/>
                <w:vertAlign w:val="superscript"/>
              </w:rPr>
            </w:pPr>
            <w:r>
              <w:rPr>
                <w:rFonts w:ascii="Arial" w:eastAsia="Arial" w:hAnsi="Arial" w:cs="Arial"/>
                <w:i/>
                <w:color w:val="000000"/>
                <w:sz w:val="16"/>
              </w:rPr>
              <w:t>Defence Service Homes Act 1918</w:t>
            </w:r>
          </w:p>
        </w:tc>
        <w:tc>
          <w:tcPr>
            <w:tcW w:w="975" w:type="dxa"/>
            <w:tcBorders>
              <w:top w:val="nil"/>
              <w:left w:val="nil"/>
              <w:bottom w:val="nil"/>
              <w:right w:val="nil"/>
              <w:tl2br w:val="nil"/>
              <w:tr2bl w:val="nil"/>
            </w:tcBorders>
            <w:shd w:val="clear" w:color="auto" w:fill="FFFFFF"/>
            <w:tcMar>
              <w:left w:w="101" w:type="dxa"/>
              <w:right w:w="101" w:type="dxa"/>
            </w:tcMar>
            <w:vAlign w:val="bottom"/>
          </w:tcPr>
          <w:p w14:paraId="03F782C8" w14:textId="77777777" w:rsidR="00724034" w:rsidRDefault="00724034">
            <w:pPr>
              <w:rPr>
                <w:rFonts w:ascii="Arial" w:eastAsia="Arial" w:hAnsi="Arial" w:cs="Arial"/>
                <w:color w:val="000000"/>
                <w:sz w:val="16"/>
                <w:vertAlign w:val="superscript"/>
              </w:rPr>
            </w:pPr>
          </w:p>
        </w:tc>
        <w:tc>
          <w:tcPr>
            <w:tcW w:w="975" w:type="dxa"/>
            <w:tcBorders>
              <w:top w:val="nil"/>
              <w:left w:val="nil"/>
              <w:bottom w:val="nil"/>
              <w:right w:val="nil"/>
              <w:tl2br w:val="nil"/>
              <w:tr2bl w:val="nil"/>
            </w:tcBorders>
            <w:shd w:val="clear" w:color="auto" w:fill="FFFF00"/>
            <w:tcMar>
              <w:left w:w="101" w:type="dxa"/>
              <w:right w:w="101" w:type="dxa"/>
            </w:tcMar>
            <w:vAlign w:val="bottom"/>
          </w:tcPr>
          <w:p w14:paraId="4960E71B" w14:textId="77777777" w:rsidR="00724034" w:rsidRDefault="00724034">
            <w:pPr>
              <w:jc w:val="right"/>
              <w:rPr>
                <w:rFonts w:ascii="Arial" w:eastAsia="Arial" w:hAnsi="Arial" w:cs="Arial"/>
                <w:color w:val="000000"/>
                <w:sz w:val="16"/>
                <w:vertAlign w:val="superscript"/>
              </w:rPr>
            </w:pPr>
          </w:p>
        </w:tc>
        <w:tc>
          <w:tcPr>
            <w:tcW w:w="975" w:type="dxa"/>
            <w:tcBorders>
              <w:top w:val="nil"/>
              <w:left w:val="nil"/>
              <w:bottom w:val="nil"/>
              <w:right w:val="nil"/>
              <w:tl2br w:val="nil"/>
              <w:tr2bl w:val="nil"/>
            </w:tcBorders>
            <w:shd w:val="clear" w:color="auto" w:fill="FFFFFF"/>
            <w:tcMar>
              <w:left w:w="101" w:type="dxa"/>
              <w:right w:w="101" w:type="dxa"/>
            </w:tcMar>
            <w:vAlign w:val="bottom"/>
          </w:tcPr>
          <w:p w14:paraId="258ED658" w14:textId="77777777" w:rsidR="00724034" w:rsidRDefault="00724034">
            <w:pPr>
              <w:jc w:val="right"/>
              <w:rPr>
                <w:rFonts w:ascii="Arial" w:eastAsia="Arial" w:hAnsi="Arial" w:cs="Arial"/>
                <w:color w:val="000000"/>
                <w:sz w:val="16"/>
                <w:vertAlign w:val="superscript"/>
              </w:rPr>
            </w:pPr>
          </w:p>
        </w:tc>
        <w:tc>
          <w:tcPr>
            <w:tcW w:w="975" w:type="dxa"/>
            <w:tcBorders>
              <w:top w:val="nil"/>
              <w:left w:val="nil"/>
              <w:bottom w:val="nil"/>
              <w:right w:val="nil"/>
              <w:tl2br w:val="nil"/>
              <w:tr2bl w:val="nil"/>
            </w:tcBorders>
            <w:shd w:val="clear" w:color="auto" w:fill="FFFFFF"/>
            <w:tcMar>
              <w:left w:w="101" w:type="dxa"/>
              <w:right w:w="101" w:type="dxa"/>
            </w:tcMar>
            <w:vAlign w:val="bottom"/>
          </w:tcPr>
          <w:p w14:paraId="73C1B825" w14:textId="77777777" w:rsidR="00724034" w:rsidRDefault="00724034">
            <w:pPr>
              <w:jc w:val="right"/>
              <w:rPr>
                <w:rFonts w:ascii="Arial" w:eastAsia="Arial" w:hAnsi="Arial" w:cs="Arial"/>
                <w:color w:val="000000"/>
                <w:sz w:val="16"/>
                <w:vertAlign w:val="superscript"/>
              </w:rPr>
            </w:pPr>
          </w:p>
        </w:tc>
        <w:tc>
          <w:tcPr>
            <w:tcW w:w="975" w:type="dxa"/>
            <w:tcBorders>
              <w:top w:val="nil"/>
              <w:left w:val="nil"/>
              <w:bottom w:val="nil"/>
              <w:right w:val="single" w:sz="6" w:space="0" w:color="000000"/>
              <w:tl2br w:val="nil"/>
              <w:tr2bl w:val="nil"/>
            </w:tcBorders>
            <w:shd w:val="clear" w:color="auto" w:fill="FFFFFF"/>
            <w:tcMar>
              <w:left w:w="101" w:type="dxa"/>
              <w:right w:w="101" w:type="dxa"/>
            </w:tcMar>
            <w:vAlign w:val="bottom"/>
          </w:tcPr>
          <w:p w14:paraId="69C25CE6" w14:textId="77777777" w:rsidR="00724034" w:rsidRDefault="00724034">
            <w:pPr>
              <w:jc w:val="right"/>
              <w:rPr>
                <w:rFonts w:ascii="Arial" w:eastAsia="Arial" w:hAnsi="Arial" w:cs="Arial"/>
                <w:color w:val="000000"/>
                <w:sz w:val="16"/>
                <w:vertAlign w:val="superscript"/>
              </w:rPr>
            </w:pPr>
          </w:p>
        </w:tc>
      </w:tr>
      <w:tr w:rsidR="00724034" w14:paraId="3ABA4A70" w14:textId="77777777">
        <w:trPr>
          <w:trHeight w:val="225"/>
        </w:trPr>
        <w:tc>
          <w:tcPr>
            <w:tcW w:w="180" w:type="dxa"/>
            <w:tcBorders>
              <w:top w:val="nil"/>
              <w:left w:val="single" w:sz="6" w:space="0" w:color="000000"/>
              <w:bottom w:val="nil"/>
              <w:right w:val="nil"/>
              <w:tl2br w:val="nil"/>
              <w:tr2bl w:val="nil"/>
            </w:tcBorders>
            <w:shd w:val="clear" w:color="auto" w:fill="FFFFFF"/>
            <w:tcMar>
              <w:left w:w="101" w:type="dxa"/>
              <w:right w:w="101" w:type="dxa"/>
            </w:tcMar>
            <w:vAlign w:val="bottom"/>
          </w:tcPr>
          <w:p w14:paraId="2F624023" w14:textId="77777777" w:rsidR="00724034" w:rsidRDefault="00724034">
            <w:pPr>
              <w:rPr>
                <w:rFonts w:ascii="Arial" w:eastAsia="Arial" w:hAnsi="Arial" w:cs="Arial"/>
                <w:color w:val="000000"/>
                <w:sz w:val="16"/>
                <w:vertAlign w:val="superscript"/>
              </w:rPr>
            </w:pPr>
          </w:p>
        </w:tc>
        <w:tc>
          <w:tcPr>
            <w:tcW w:w="180" w:type="dxa"/>
            <w:tcBorders>
              <w:top w:val="nil"/>
              <w:left w:val="nil"/>
              <w:bottom w:val="nil"/>
              <w:right w:val="nil"/>
              <w:tl2br w:val="nil"/>
              <w:tr2bl w:val="nil"/>
            </w:tcBorders>
            <w:shd w:val="clear" w:color="auto" w:fill="FFFFFF"/>
            <w:tcMar>
              <w:left w:w="101" w:type="dxa"/>
              <w:right w:w="101" w:type="dxa"/>
            </w:tcMar>
            <w:vAlign w:val="bottom"/>
          </w:tcPr>
          <w:p w14:paraId="67434D76" w14:textId="77777777" w:rsidR="00724034" w:rsidRDefault="00724034">
            <w:pPr>
              <w:rPr>
                <w:rFonts w:ascii="Arial" w:eastAsia="Arial" w:hAnsi="Arial" w:cs="Arial"/>
                <w:color w:val="000000"/>
                <w:sz w:val="20"/>
                <w:vertAlign w:val="superscript"/>
              </w:rPr>
            </w:pPr>
          </w:p>
        </w:tc>
        <w:tc>
          <w:tcPr>
            <w:tcW w:w="2730" w:type="dxa"/>
            <w:tcBorders>
              <w:top w:val="nil"/>
              <w:left w:val="nil"/>
              <w:bottom w:val="nil"/>
              <w:right w:val="nil"/>
              <w:tl2br w:val="nil"/>
              <w:tr2bl w:val="nil"/>
            </w:tcBorders>
            <w:shd w:val="clear" w:color="auto" w:fill="FFFFFF"/>
            <w:tcMar>
              <w:left w:w="101" w:type="dxa"/>
              <w:right w:w="101" w:type="dxa"/>
            </w:tcMar>
            <w:vAlign w:val="bottom"/>
          </w:tcPr>
          <w:p w14:paraId="1BFFA467" w14:textId="77777777" w:rsidR="00724034" w:rsidRDefault="00FB7D0B">
            <w:pPr>
              <w:rPr>
                <w:rFonts w:ascii="Arial" w:eastAsia="Arial" w:hAnsi="Arial" w:cs="Arial"/>
                <w:color w:val="000000"/>
                <w:sz w:val="16"/>
                <w:vertAlign w:val="superscript"/>
              </w:rPr>
            </w:pPr>
            <w:r>
              <w:rPr>
                <w:rFonts w:ascii="Arial" w:eastAsia="Arial" w:hAnsi="Arial" w:cs="Arial"/>
                <w:color w:val="000000"/>
                <w:sz w:val="16"/>
              </w:rPr>
              <w:t>Interest subsidy</w:t>
            </w:r>
          </w:p>
        </w:tc>
        <w:tc>
          <w:tcPr>
            <w:tcW w:w="975" w:type="dxa"/>
            <w:tcBorders>
              <w:top w:val="nil"/>
              <w:left w:val="nil"/>
              <w:bottom w:val="nil"/>
              <w:right w:val="nil"/>
              <w:tl2br w:val="nil"/>
              <w:tr2bl w:val="nil"/>
            </w:tcBorders>
            <w:shd w:val="clear" w:color="auto" w:fill="FFFFFF"/>
            <w:tcMar>
              <w:left w:w="101" w:type="dxa"/>
              <w:right w:w="101" w:type="dxa"/>
            </w:tcMar>
            <w:vAlign w:val="bottom"/>
          </w:tcPr>
          <w:p w14:paraId="3952B28C" w14:textId="77777777" w:rsidR="00724034" w:rsidRDefault="00FB7D0B">
            <w:pPr>
              <w:jc w:val="right"/>
              <w:rPr>
                <w:rFonts w:ascii="Arial" w:eastAsia="Arial" w:hAnsi="Arial" w:cs="Arial"/>
                <w:color w:val="000000"/>
                <w:sz w:val="16"/>
                <w:vertAlign w:val="superscript"/>
              </w:rPr>
            </w:pPr>
            <w:r>
              <w:rPr>
                <w:rFonts w:ascii="Arial" w:eastAsia="Arial" w:hAnsi="Arial" w:cs="Arial"/>
                <w:color w:val="000000"/>
                <w:sz w:val="16"/>
              </w:rPr>
              <w:t xml:space="preserve"> 1,747 </w:t>
            </w:r>
          </w:p>
        </w:tc>
        <w:tc>
          <w:tcPr>
            <w:tcW w:w="975" w:type="dxa"/>
            <w:tcBorders>
              <w:top w:val="nil"/>
              <w:left w:val="nil"/>
              <w:bottom w:val="nil"/>
              <w:right w:val="nil"/>
              <w:tl2br w:val="nil"/>
              <w:tr2bl w:val="nil"/>
            </w:tcBorders>
            <w:shd w:val="clear" w:color="auto" w:fill="FFFF00"/>
            <w:tcMar>
              <w:left w:w="101" w:type="dxa"/>
              <w:right w:w="101" w:type="dxa"/>
            </w:tcMar>
            <w:vAlign w:val="bottom"/>
          </w:tcPr>
          <w:p w14:paraId="3498885D" w14:textId="77777777" w:rsidR="00724034" w:rsidRDefault="00FB7D0B">
            <w:pPr>
              <w:jc w:val="right"/>
              <w:rPr>
                <w:rFonts w:ascii="Arial" w:eastAsia="Arial" w:hAnsi="Arial" w:cs="Arial"/>
                <w:color w:val="000000"/>
                <w:sz w:val="16"/>
              </w:rPr>
            </w:pPr>
            <w:r>
              <w:rPr>
                <w:rFonts w:ascii="Arial" w:eastAsia="Arial" w:hAnsi="Arial" w:cs="Arial"/>
                <w:color w:val="000000"/>
                <w:sz w:val="16"/>
              </w:rPr>
              <w:t xml:space="preserve"> 1,459 </w:t>
            </w:r>
          </w:p>
        </w:tc>
        <w:tc>
          <w:tcPr>
            <w:tcW w:w="975" w:type="dxa"/>
            <w:tcBorders>
              <w:top w:val="nil"/>
              <w:left w:val="nil"/>
              <w:bottom w:val="nil"/>
              <w:right w:val="nil"/>
              <w:tl2br w:val="nil"/>
              <w:tr2bl w:val="nil"/>
            </w:tcBorders>
            <w:shd w:val="clear" w:color="auto" w:fill="FFFFFF"/>
            <w:tcMar>
              <w:left w:w="101" w:type="dxa"/>
              <w:right w:w="101" w:type="dxa"/>
            </w:tcMar>
            <w:vAlign w:val="bottom"/>
          </w:tcPr>
          <w:p w14:paraId="5AB43A04" w14:textId="77777777" w:rsidR="00724034" w:rsidRDefault="00FB7D0B">
            <w:pPr>
              <w:jc w:val="right"/>
              <w:rPr>
                <w:rFonts w:ascii="Arial" w:eastAsia="Arial" w:hAnsi="Arial" w:cs="Arial"/>
                <w:color w:val="000000"/>
                <w:sz w:val="16"/>
              </w:rPr>
            </w:pPr>
            <w:r>
              <w:rPr>
                <w:rFonts w:ascii="Arial" w:eastAsia="Arial" w:hAnsi="Arial" w:cs="Arial"/>
                <w:color w:val="000000"/>
                <w:sz w:val="16"/>
              </w:rPr>
              <w:t xml:space="preserve"> 1,225 </w:t>
            </w:r>
          </w:p>
        </w:tc>
        <w:tc>
          <w:tcPr>
            <w:tcW w:w="975" w:type="dxa"/>
            <w:tcBorders>
              <w:top w:val="nil"/>
              <w:left w:val="nil"/>
              <w:bottom w:val="nil"/>
              <w:right w:val="nil"/>
              <w:tl2br w:val="nil"/>
              <w:tr2bl w:val="nil"/>
            </w:tcBorders>
            <w:shd w:val="clear" w:color="auto" w:fill="FFFFFF"/>
            <w:tcMar>
              <w:left w:w="101" w:type="dxa"/>
              <w:right w:w="101" w:type="dxa"/>
            </w:tcMar>
            <w:vAlign w:val="bottom"/>
          </w:tcPr>
          <w:p w14:paraId="4F228A50" w14:textId="77777777" w:rsidR="00724034" w:rsidRDefault="00FB7D0B">
            <w:pPr>
              <w:jc w:val="right"/>
              <w:rPr>
                <w:rFonts w:ascii="Arial" w:eastAsia="Arial" w:hAnsi="Arial" w:cs="Arial"/>
                <w:color w:val="000000"/>
                <w:sz w:val="16"/>
              </w:rPr>
            </w:pPr>
            <w:r>
              <w:rPr>
                <w:rFonts w:ascii="Arial" w:eastAsia="Arial" w:hAnsi="Arial" w:cs="Arial"/>
                <w:color w:val="000000"/>
                <w:sz w:val="16"/>
              </w:rPr>
              <w:t xml:space="preserve"> 1,035 </w:t>
            </w:r>
          </w:p>
        </w:tc>
        <w:tc>
          <w:tcPr>
            <w:tcW w:w="975" w:type="dxa"/>
            <w:tcBorders>
              <w:top w:val="nil"/>
              <w:left w:val="nil"/>
              <w:bottom w:val="nil"/>
              <w:right w:val="single" w:sz="6" w:space="0" w:color="000000"/>
              <w:tl2br w:val="nil"/>
              <w:tr2bl w:val="nil"/>
            </w:tcBorders>
            <w:shd w:val="clear" w:color="auto" w:fill="FFFFFF"/>
            <w:tcMar>
              <w:left w:w="101" w:type="dxa"/>
              <w:right w:w="101" w:type="dxa"/>
            </w:tcMar>
            <w:vAlign w:val="bottom"/>
          </w:tcPr>
          <w:p w14:paraId="7B20F740" w14:textId="77777777" w:rsidR="00724034" w:rsidRDefault="00FB7D0B">
            <w:pPr>
              <w:jc w:val="right"/>
              <w:rPr>
                <w:rFonts w:ascii="Arial" w:eastAsia="Arial" w:hAnsi="Arial" w:cs="Arial"/>
                <w:color w:val="000000"/>
                <w:sz w:val="16"/>
              </w:rPr>
            </w:pPr>
            <w:r>
              <w:rPr>
                <w:rFonts w:ascii="Arial" w:eastAsia="Arial" w:hAnsi="Arial" w:cs="Arial"/>
                <w:color w:val="000000"/>
                <w:sz w:val="16"/>
              </w:rPr>
              <w:t xml:space="preserve"> 845 </w:t>
            </w:r>
          </w:p>
        </w:tc>
      </w:tr>
      <w:tr w:rsidR="00FB7D0B" w14:paraId="191D7627" w14:textId="77777777" w:rsidTr="00FB7D0B">
        <w:trPr>
          <w:trHeight w:val="225"/>
        </w:trPr>
        <w:tc>
          <w:tcPr>
            <w:tcW w:w="3090" w:type="dxa"/>
            <w:gridSpan w:val="3"/>
            <w:tcBorders>
              <w:top w:val="nil"/>
              <w:left w:val="single" w:sz="6" w:space="0" w:color="000000"/>
              <w:bottom w:val="nil"/>
              <w:right w:val="nil"/>
              <w:tl2br w:val="nil"/>
              <w:tr2bl w:val="nil"/>
            </w:tcBorders>
            <w:shd w:val="clear" w:color="auto" w:fill="FFFFFF"/>
            <w:tcMar>
              <w:left w:w="101" w:type="dxa"/>
              <w:right w:w="101" w:type="dxa"/>
            </w:tcMar>
            <w:vAlign w:val="bottom"/>
          </w:tcPr>
          <w:p w14:paraId="17C66BA7" w14:textId="77777777" w:rsidR="00724034" w:rsidRDefault="00FB7D0B">
            <w:pPr>
              <w:rPr>
                <w:rFonts w:ascii="Arial" w:eastAsia="Arial" w:hAnsi="Arial" w:cs="Arial"/>
                <w:color w:val="000000"/>
                <w:sz w:val="16"/>
              </w:rPr>
            </w:pPr>
            <w:r>
              <w:rPr>
                <w:rFonts w:ascii="Arial" w:eastAsia="Arial" w:hAnsi="Arial" w:cs="Arial"/>
                <w:color w:val="000000"/>
                <w:sz w:val="16"/>
              </w:rPr>
              <w:t xml:space="preserve">Special Account expenses: </w:t>
            </w:r>
          </w:p>
        </w:tc>
        <w:tc>
          <w:tcPr>
            <w:tcW w:w="975" w:type="dxa"/>
            <w:tcBorders>
              <w:top w:val="nil"/>
              <w:left w:val="nil"/>
              <w:bottom w:val="nil"/>
              <w:right w:val="nil"/>
              <w:tl2br w:val="nil"/>
              <w:tr2bl w:val="nil"/>
            </w:tcBorders>
            <w:shd w:val="clear" w:color="auto" w:fill="FFFFFF"/>
            <w:tcMar>
              <w:left w:w="101" w:type="dxa"/>
              <w:right w:w="101" w:type="dxa"/>
            </w:tcMar>
            <w:vAlign w:val="bottom"/>
          </w:tcPr>
          <w:p w14:paraId="321CABA7" w14:textId="77777777" w:rsidR="00724034" w:rsidRDefault="00724034">
            <w:pPr>
              <w:jc w:val="right"/>
              <w:rPr>
                <w:rFonts w:ascii="Arial" w:eastAsia="Arial" w:hAnsi="Arial" w:cs="Arial"/>
                <w:color w:val="000000"/>
                <w:sz w:val="16"/>
                <w:vertAlign w:val="superscript"/>
              </w:rPr>
            </w:pPr>
          </w:p>
        </w:tc>
        <w:tc>
          <w:tcPr>
            <w:tcW w:w="975" w:type="dxa"/>
            <w:tcBorders>
              <w:top w:val="nil"/>
              <w:left w:val="nil"/>
              <w:bottom w:val="nil"/>
              <w:right w:val="nil"/>
              <w:tl2br w:val="nil"/>
              <w:tr2bl w:val="nil"/>
            </w:tcBorders>
            <w:shd w:val="clear" w:color="auto" w:fill="FFFF00"/>
            <w:tcMar>
              <w:left w:w="101" w:type="dxa"/>
              <w:right w:w="101" w:type="dxa"/>
            </w:tcMar>
            <w:vAlign w:val="bottom"/>
          </w:tcPr>
          <w:p w14:paraId="10F1F22C" w14:textId="77777777" w:rsidR="00724034" w:rsidRDefault="00724034">
            <w:pPr>
              <w:jc w:val="right"/>
              <w:rPr>
                <w:rFonts w:ascii="Arial" w:eastAsia="Arial" w:hAnsi="Arial" w:cs="Arial"/>
                <w:color w:val="000000"/>
                <w:sz w:val="16"/>
                <w:vertAlign w:val="superscript"/>
              </w:rPr>
            </w:pPr>
          </w:p>
        </w:tc>
        <w:tc>
          <w:tcPr>
            <w:tcW w:w="975" w:type="dxa"/>
            <w:tcBorders>
              <w:top w:val="nil"/>
              <w:left w:val="nil"/>
              <w:bottom w:val="nil"/>
              <w:right w:val="nil"/>
              <w:tl2br w:val="nil"/>
              <w:tr2bl w:val="nil"/>
            </w:tcBorders>
            <w:shd w:val="clear" w:color="auto" w:fill="FFFFFF"/>
            <w:tcMar>
              <w:left w:w="101" w:type="dxa"/>
              <w:right w:w="101" w:type="dxa"/>
            </w:tcMar>
            <w:vAlign w:val="bottom"/>
          </w:tcPr>
          <w:p w14:paraId="2CE446EB" w14:textId="77777777" w:rsidR="00724034" w:rsidRDefault="00724034">
            <w:pPr>
              <w:jc w:val="right"/>
              <w:rPr>
                <w:rFonts w:ascii="Arial" w:eastAsia="Arial" w:hAnsi="Arial" w:cs="Arial"/>
                <w:color w:val="000000"/>
                <w:sz w:val="16"/>
                <w:vertAlign w:val="superscript"/>
              </w:rPr>
            </w:pPr>
          </w:p>
        </w:tc>
        <w:tc>
          <w:tcPr>
            <w:tcW w:w="975" w:type="dxa"/>
            <w:tcBorders>
              <w:top w:val="nil"/>
              <w:left w:val="nil"/>
              <w:bottom w:val="nil"/>
              <w:right w:val="nil"/>
              <w:tl2br w:val="nil"/>
              <w:tr2bl w:val="nil"/>
            </w:tcBorders>
            <w:shd w:val="clear" w:color="auto" w:fill="FFFFFF"/>
            <w:tcMar>
              <w:left w:w="101" w:type="dxa"/>
              <w:right w:w="101" w:type="dxa"/>
            </w:tcMar>
            <w:vAlign w:val="bottom"/>
          </w:tcPr>
          <w:p w14:paraId="4C818368" w14:textId="77777777" w:rsidR="00724034" w:rsidRDefault="00724034">
            <w:pPr>
              <w:jc w:val="right"/>
              <w:rPr>
                <w:rFonts w:ascii="Arial" w:eastAsia="Arial" w:hAnsi="Arial" w:cs="Arial"/>
                <w:color w:val="000000"/>
                <w:sz w:val="16"/>
                <w:vertAlign w:val="superscript"/>
              </w:rPr>
            </w:pPr>
          </w:p>
        </w:tc>
        <w:tc>
          <w:tcPr>
            <w:tcW w:w="975" w:type="dxa"/>
            <w:tcBorders>
              <w:top w:val="nil"/>
              <w:left w:val="nil"/>
              <w:bottom w:val="nil"/>
              <w:right w:val="single" w:sz="6" w:space="0" w:color="000000"/>
              <w:tl2br w:val="nil"/>
              <w:tr2bl w:val="nil"/>
            </w:tcBorders>
            <w:shd w:val="clear" w:color="auto" w:fill="FFFFFF"/>
            <w:tcMar>
              <w:left w:w="101" w:type="dxa"/>
              <w:right w:w="101" w:type="dxa"/>
            </w:tcMar>
            <w:vAlign w:val="bottom"/>
          </w:tcPr>
          <w:p w14:paraId="1F9B050D" w14:textId="77777777" w:rsidR="00724034" w:rsidRDefault="00724034">
            <w:pPr>
              <w:jc w:val="right"/>
              <w:rPr>
                <w:rFonts w:ascii="Arial" w:eastAsia="Arial" w:hAnsi="Arial" w:cs="Arial"/>
                <w:color w:val="000000"/>
                <w:sz w:val="16"/>
                <w:vertAlign w:val="superscript"/>
              </w:rPr>
            </w:pPr>
          </w:p>
        </w:tc>
      </w:tr>
      <w:tr w:rsidR="00724034" w14:paraId="5AB3A1EC" w14:textId="77777777">
        <w:trPr>
          <w:trHeight w:val="225"/>
        </w:trPr>
        <w:tc>
          <w:tcPr>
            <w:tcW w:w="180" w:type="dxa"/>
            <w:tcBorders>
              <w:top w:val="single" w:sz="6" w:space="0" w:color="FFFFFF"/>
              <w:left w:val="single" w:sz="6" w:space="0" w:color="000000"/>
              <w:bottom w:val="nil"/>
              <w:right w:val="nil"/>
              <w:tl2br w:val="nil"/>
              <w:tr2bl w:val="nil"/>
            </w:tcBorders>
            <w:shd w:val="clear" w:color="auto" w:fill="FFFFFF"/>
            <w:tcMar>
              <w:left w:w="101" w:type="dxa"/>
              <w:right w:w="101" w:type="dxa"/>
            </w:tcMar>
            <w:vAlign w:val="bottom"/>
          </w:tcPr>
          <w:p w14:paraId="1A4A7303" w14:textId="77777777" w:rsidR="00724034" w:rsidRDefault="00724034">
            <w:pPr>
              <w:rPr>
                <w:rFonts w:ascii="Arial" w:eastAsia="Arial" w:hAnsi="Arial" w:cs="Arial"/>
                <w:color w:val="000000"/>
                <w:sz w:val="16"/>
                <w:vertAlign w:val="superscript"/>
              </w:rPr>
            </w:pPr>
          </w:p>
        </w:tc>
        <w:tc>
          <w:tcPr>
            <w:tcW w:w="180" w:type="dxa"/>
            <w:tcBorders>
              <w:top w:val="single" w:sz="6" w:space="0" w:color="FFFFFF"/>
              <w:left w:val="nil"/>
              <w:bottom w:val="nil"/>
              <w:right w:val="nil"/>
              <w:tl2br w:val="nil"/>
              <w:tr2bl w:val="nil"/>
            </w:tcBorders>
            <w:shd w:val="clear" w:color="auto" w:fill="FFFFFF"/>
            <w:tcMar>
              <w:left w:w="101" w:type="dxa"/>
              <w:right w:w="101" w:type="dxa"/>
            </w:tcMar>
            <w:vAlign w:val="bottom"/>
          </w:tcPr>
          <w:p w14:paraId="352B0073" w14:textId="77777777" w:rsidR="00724034" w:rsidRDefault="00724034">
            <w:pPr>
              <w:rPr>
                <w:rFonts w:ascii="Arial" w:eastAsia="Arial" w:hAnsi="Arial" w:cs="Arial"/>
                <w:color w:val="000000"/>
                <w:sz w:val="20"/>
                <w:vertAlign w:val="superscript"/>
              </w:rPr>
            </w:pPr>
          </w:p>
        </w:tc>
        <w:tc>
          <w:tcPr>
            <w:tcW w:w="2730" w:type="dxa"/>
            <w:tcBorders>
              <w:top w:val="single" w:sz="6" w:space="0" w:color="FFFFFF"/>
              <w:left w:val="nil"/>
              <w:bottom w:val="nil"/>
              <w:right w:val="nil"/>
              <w:tl2br w:val="nil"/>
              <w:tr2bl w:val="nil"/>
            </w:tcBorders>
            <w:shd w:val="clear" w:color="auto" w:fill="FFFFFF"/>
            <w:tcMar>
              <w:left w:w="101" w:type="dxa"/>
              <w:right w:w="101" w:type="dxa"/>
            </w:tcMar>
            <w:vAlign w:val="bottom"/>
          </w:tcPr>
          <w:p w14:paraId="4DBD04C2" w14:textId="77777777" w:rsidR="00724034" w:rsidRDefault="00FB7D0B">
            <w:pPr>
              <w:rPr>
                <w:rFonts w:ascii="Arial" w:eastAsia="Arial" w:hAnsi="Arial" w:cs="Arial"/>
                <w:color w:val="000000"/>
                <w:sz w:val="16"/>
                <w:vertAlign w:val="superscript"/>
              </w:rPr>
            </w:pPr>
            <w:r>
              <w:rPr>
                <w:rFonts w:ascii="Arial" w:eastAsia="Arial" w:hAnsi="Arial" w:cs="Arial"/>
                <w:color w:val="000000"/>
                <w:sz w:val="16"/>
              </w:rPr>
              <w:t>DSHIS</w:t>
            </w:r>
          </w:p>
        </w:tc>
        <w:tc>
          <w:tcPr>
            <w:tcW w:w="975" w:type="dxa"/>
            <w:tcBorders>
              <w:top w:val="nil"/>
              <w:left w:val="nil"/>
              <w:bottom w:val="nil"/>
              <w:right w:val="nil"/>
              <w:tl2br w:val="nil"/>
              <w:tr2bl w:val="nil"/>
            </w:tcBorders>
            <w:shd w:val="clear" w:color="auto" w:fill="FFFFFF"/>
            <w:tcMar>
              <w:left w:w="101" w:type="dxa"/>
              <w:right w:w="101" w:type="dxa"/>
            </w:tcMar>
            <w:vAlign w:val="bottom"/>
          </w:tcPr>
          <w:p w14:paraId="676C5D2B" w14:textId="77777777" w:rsidR="00724034" w:rsidRDefault="00FB7D0B">
            <w:pPr>
              <w:jc w:val="right"/>
              <w:rPr>
                <w:rFonts w:ascii="Arial" w:eastAsia="Arial" w:hAnsi="Arial" w:cs="Arial"/>
                <w:color w:val="000000"/>
                <w:sz w:val="16"/>
                <w:vertAlign w:val="superscript"/>
              </w:rPr>
            </w:pPr>
            <w:r>
              <w:rPr>
                <w:rFonts w:ascii="Arial" w:eastAsia="Arial" w:hAnsi="Arial" w:cs="Arial"/>
                <w:color w:val="000000"/>
                <w:sz w:val="16"/>
              </w:rPr>
              <w:t xml:space="preserve"> 34,248 </w:t>
            </w:r>
          </w:p>
        </w:tc>
        <w:tc>
          <w:tcPr>
            <w:tcW w:w="975" w:type="dxa"/>
            <w:tcBorders>
              <w:top w:val="nil"/>
              <w:left w:val="nil"/>
              <w:bottom w:val="nil"/>
              <w:right w:val="nil"/>
              <w:tl2br w:val="nil"/>
              <w:tr2bl w:val="nil"/>
            </w:tcBorders>
            <w:shd w:val="clear" w:color="auto" w:fill="FFFF00"/>
            <w:tcMar>
              <w:left w:w="101" w:type="dxa"/>
              <w:right w:w="101" w:type="dxa"/>
            </w:tcMar>
            <w:vAlign w:val="bottom"/>
          </w:tcPr>
          <w:p w14:paraId="433F1A88" w14:textId="77777777" w:rsidR="00724034" w:rsidRDefault="00FB7D0B">
            <w:pPr>
              <w:jc w:val="right"/>
              <w:rPr>
                <w:rFonts w:ascii="Arial" w:eastAsia="Arial" w:hAnsi="Arial" w:cs="Arial"/>
                <w:color w:val="000000"/>
                <w:sz w:val="16"/>
              </w:rPr>
            </w:pPr>
            <w:r>
              <w:rPr>
                <w:rFonts w:ascii="Arial" w:eastAsia="Arial" w:hAnsi="Arial" w:cs="Arial"/>
                <w:color w:val="000000"/>
                <w:sz w:val="16"/>
              </w:rPr>
              <w:t xml:space="preserve"> 36,757 </w:t>
            </w:r>
          </w:p>
        </w:tc>
        <w:tc>
          <w:tcPr>
            <w:tcW w:w="975" w:type="dxa"/>
            <w:tcBorders>
              <w:top w:val="nil"/>
              <w:left w:val="nil"/>
              <w:bottom w:val="nil"/>
              <w:right w:val="nil"/>
              <w:tl2br w:val="nil"/>
              <w:tr2bl w:val="nil"/>
            </w:tcBorders>
            <w:shd w:val="clear" w:color="auto" w:fill="FFFFFF"/>
            <w:tcMar>
              <w:left w:w="101" w:type="dxa"/>
              <w:right w:w="101" w:type="dxa"/>
            </w:tcMar>
            <w:vAlign w:val="bottom"/>
          </w:tcPr>
          <w:p w14:paraId="66E99A10" w14:textId="77777777" w:rsidR="00724034" w:rsidRDefault="00FB7D0B">
            <w:pPr>
              <w:jc w:val="right"/>
              <w:rPr>
                <w:rFonts w:ascii="Arial" w:eastAsia="Arial" w:hAnsi="Arial" w:cs="Arial"/>
                <w:color w:val="000000"/>
                <w:sz w:val="16"/>
              </w:rPr>
            </w:pPr>
            <w:r>
              <w:rPr>
                <w:rFonts w:ascii="Arial" w:eastAsia="Arial" w:hAnsi="Arial" w:cs="Arial"/>
                <w:color w:val="000000"/>
                <w:sz w:val="16"/>
              </w:rPr>
              <w:t xml:space="preserve"> 39,452 </w:t>
            </w:r>
          </w:p>
        </w:tc>
        <w:tc>
          <w:tcPr>
            <w:tcW w:w="975" w:type="dxa"/>
            <w:tcBorders>
              <w:top w:val="nil"/>
              <w:left w:val="nil"/>
              <w:bottom w:val="nil"/>
              <w:right w:val="nil"/>
              <w:tl2br w:val="nil"/>
              <w:tr2bl w:val="nil"/>
            </w:tcBorders>
            <w:shd w:val="clear" w:color="auto" w:fill="FFFFFF"/>
            <w:tcMar>
              <w:left w:w="101" w:type="dxa"/>
              <w:right w:w="101" w:type="dxa"/>
            </w:tcMar>
            <w:vAlign w:val="bottom"/>
          </w:tcPr>
          <w:p w14:paraId="2AC83CAB" w14:textId="77777777" w:rsidR="00724034" w:rsidRDefault="00FB7D0B">
            <w:pPr>
              <w:jc w:val="right"/>
              <w:rPr>
                <w:rFonts w:ascii="Arial" w:eastAsia="Arial" w:hAnsi="Arial" w:cs="Arial"/>
                <w:color w:val="000000"/>
                <w:sz w:val="16"/>
              </w:rPr>
            </w:pPr>
            <w:r>
              <w:rPr>
                <w:rFonts w:ascii="Arial" w:eastAsia="Arial" w:hAnsi="Arial" w:cs="Arial"/>
                <w:color w:val="000000"/>
                <w:sz w:val="16"/>
              </w:rPr>
              <w:t xml:space="preserve"> 42,343 </w:t>
            </w:r>
          </w:p>
        </w:tc>
        <w:tc>
          <w:tcPr>
            <w:tcW w:w="975" w:type="dxa"/>
            <w:tcBorders>
              <w:top w:val="nil"/>
              <w:left w:val="nil"/>
              <w:bottom w:val="nil"/>
              <w:right w:val="single" w:sz="6" w:space="0" w:color="000000"/>
              <w:tl2br w:val="nil"/>
              <w:tr2bl w:val="nil"/>
            </w:tcBorders>
            <w:shd w:val="clear" w:color="auto" w:fill="FFFFFF"/>
            <w:tcMar>
              <w:left w:w="101" w:type="dxa"/>
              <w:right w:w="101" w:type="dxa"/>
            </w:tcMar>
            <w:vAlign w:val="bottom"/>
          </w:tcPr>
          <w:p w14:paraId="5ECC3254" w14:textId="77777777" w:rsidR="00724034" w:rsidRDefault="00FB7D0B">
            <w:pPr>
              <w:jc w:val="right"/>
              <w:rPr>
                <w:rFonts w:ascii="Arial" w:eastAsia="Arial" w:hAnsi="Arial" w:cs="Arial"/>
                <w:color w:val="000000"/>
                <w:sz w:val="16"/>
              </w:rPr>
            </w:pPr>
            <w:r>
              <w:rPr>
                <w:rFonts w:ascii="Arial" w:eastAsia="Arial" w:hAnsi="Arial" w:cs="Arial"/>
                <w:color w:val="000000"/>
                <w:sz w:val="16"/>
              </w:rPr>
              <w:t xml:space="preserve"> 45,447 </w:t>
            </w:r>
          </w:p>
        </w:tc>
      </w:tr>
      <w:tr w:rsidR="00FB7D0B" w14:paraId="14FD251B" w14:textId="77777777" w:rsidTr="00FB7D0B">
        <w:trPr>
          <w:trHeight w:val="225"/>
        </w:trPr>
        <w:tc>
          <w:tcPr>
            <w:tcW w:w="3090" w:type="dxa"/>
            <w:gridSpan w:val="3"/>
            <w:tcBorders>
              <w:top w:val="nil"/>
              <w:left w:val="single" w:sz="6" w:space="0" w:color="000000"/>
              <w:bottom w:val="nil"/>
              <w:right w:val="nil"/>
              <w:tl2br w:val="nil"/>
              <w:tr2bl w:val="nil"/>
            </w:tcBorders>
            <w:shd w:val="clear" w:color="auto" w:fill="FFFFFF"/>
            <w:tcMar>
              <w:left w:w="101" w:type="dxa"/>
              <w:right w:w="101" w:type="dxa"/>
            </w:tcMar>
            <w:vAlign w:val="bottom"/>
          </w:tcPr>
          <w:p w14:paraId="3857B9AB" w14:textId="77777777" w:rsidR="00724034" w:rsidRDefault="00FB7D0B">
            <w:pPr>
              <w:rPr>
                <w:rFonts w:ascii="Arial" w:eastAsia="Arial" w:hAnsi="Arial" w:cs="Arial"/>
                <w:color w:val="000000"/>
                <w:sz w:val="16"/>
              </w:rPr>
            </w:pPr>
            <w:r>
              <w:rPr>
                <w:rFonts w:ascii="Arial" w:eastAsia="Arial" w:hAnsi="Arial" w:cs="Arial"/>
                <w:color w:val="000000"/>
                <w:sz w:val="16"/>
              </w:rPr>
              <w:t>Programme support</w:t>
            </w:r>
          </w:p>
        </w:tc>
        <w:tc>
          <w:tcPr>
            <w:tcW w:w="975" w:type="dxa"/>
            <w:tcBorders>
              <w:top w:val="nil"/>
              <w:left w:val="nil"/>
              <w:bottom w:val="nil"/>
              <w:right w:val="nil"/>
              <w:tl2br w:val="nil"/>
              <w:tr2bl w:val="nil"/>
            </w:tcBorders>
            <w:shd w:val="clear" w:color="auto" w:fill="FFFFFF"/>
            <w:tcMar>
              <w:left w:w="101" w:type="dxa"/>
              <w:right w:w="101" w:type="dxa"/>
            </w:tcMar>
            <w:vAlign w:val="bottom"/>
          </w:tcPr>
          <w:p w14:paraId="187AB448" w14:textId="77777777" w:rsidR="00724034" w:rsidRDefault="00FB7D0B">
            <w:pPr>
              <w:jc w:val="right"/>
              <w:rPr>
                <w:rFonts w:ascii="Arial" w:eastAsia="Arial" w:hAnsi="Arial" w:cs="Arial"/>
                <w:color w:val="000000"/>
                <w:sz w:val="16"/>
                <w:vertAlign w:val="superscript"/>
              </w:rPr>
            </w:pPr>
            <w:r>
              <w:rPr>
                <w:rFonts w:ascii="Arial" w:eastAsia="Arial" w:hAnsi="Arial" w:cs="Arial"/>
                <w:color w:val="000000"/>
                <w:sz w:val="16"/>
              </w:rPr>
              <w:t xml:space="preserve"> 18,338 </w:t>
            </w:r>
          </w:p>
        </w:tc>
        <w:tc>
          <w:tcPr>
            <w:tcW w:w="975" w:type="dxa"/>
            <w:tcBorders>
              <w:top w:val="nil"/>
              <w:left w:val="nil"/>
              <w:bottom w:val="nil"/>
              <w:right w:val="nil"/>
              <w:tl2br w:val="nil"/>
              <w:tr2bl w:val="nil"/>
            </w:tcBorders>
            <w:shd w:val="clear" w:color="auto" w:fill="FFFF00"/>
            <w:tcMar>
              <w:left w:w="101" w:type="dxa"/>
              <w:right w:w="101" w:type="dxa"/>
            </w:tcMar>
            <w:vAlign w:val="bottom"/>
          </w:tcPr>
          <w:p w14:paraId="3662FBDC" w14:textId="77777777" w:rsidR="00724034" w:rsidRDefault="00FB7D0B">
            <w:pPr>
              <w:jc w:val="right"/>
              <w:rPr>
                <w:rFonts w:ascii="Arial" w:eastAsia="Arial" w:hAnsi="Arial" w:cs="Arial"/>
                <w:color w:val="000000"/>
                <w:sz w:val="16"/>
              </w:rPr>
            </w:pPr>
            <w:r>
              <w:rPr>
                <w:rFonts w:ascii="Arial" w:eastAsia="Arial" w:hAnsi="Arial" w:cs="Arial"/>
                <w:color w:val="000000"/>
                <w:sz w:val="16"/>
              </w:rPr>
              <w:t xml:space="preserve"> 18,675 </w:t>
            </w:r>
          </w:p>
        </w:tc>
        <w:tc>
          <w:tcPr>
            <w:tcW w:w="975" w:type="dxa"/>
            <w:tcBorders>
              <w:top w:val="nil"/>
              <w:left w:val="nil"/>
              <w:bottom w:val="nil"/>
              <w:right w:val="nil"/>
              <w:tl2br w:val="nil"/>
              <w:tr2bl w:val="nil"/>
            </w:tcBorders>
            <w:shd w:val="clear" w:color="auto" w:fill="FFFFFF"/>
            <w:tcMar>
              <w:left w:w="101" w:type="dxa"/>
              <w:right w:w="101" w:type="dxa"/>
            </w:tcMar>
            <w:vAlign w:val="bottom"/>
          </w:tcPr>
          <w:p w14:paraId="0E64E843" w14:textId="77777777" w:rsidR="00724034" w:rsidRDefault="00FB7D0B">
            <w:pPr>
              <w:jc w:val="right"/>
              <w:rPr>
                <w:rFonts w:ascii="Arial" w:eastAsia="Arial" w:hAnsi="Arial" w:cs="Arial"/>
                <w:color w:val="000000"/>
                <w:sz w:val="16"/>
              </w:rPr>
            </w:pPr>
            <w:r>
              <w:rPr>
                <w:rFonts w:ascii="Arial" w:eastAsia="Arial" w:hAnsi="Arial" w:cs="Arial"/>
                <w:color w:val="000000"/>
                <w:sz w:val="16"/>
              </w:rPr>
              <w:t xml:space="preserve"> 18,204 </w:t>
            </w:r>
          </w:p>
        </w:tc>
        <w:tc>
          <w:tcPr>
            <w:tcW w:w="975" w:type="dxa"/>
            <w:tcBorders>
              <w:top w:val="nil"/>
              <w:left w:val="nil"/>
              <w:bottom w:val="nil"/>
              <w:right w:val="nil"/>
              <w:tl2br w:val="nil"/>
              <w:tr2bl w:val="nil"/>
            </w:tcBorders>
            <w:shd w:val="clear" w:color="auto" w:fill="FFFFFF"/>
            <w:tcMar>
              <w:left w:w="101" w:type="dxa"/>
              <w:right w:w="101" w:type="dxa"/>
            </w:tcMar>
            <w:vAlign w:val="bottom"/>
          </w:tcPr>
          <w:p w14:paraId="502F14CD" w14:textId="77777777" w:rsidR="00724034" w:rsidRDefault="00FB7D0B">
            <w:pPr>
              <w:jc w:val="right"/>
              <w:rPr>
                <w:rFonts w:ascii="Arial" w:eastAsia="Arial" w:hAnsi="Arial" w:cs="Arial"/>
                <w:color w:val="000000"/>
                <w:sz w:val="16"/>
              </w:rPr>
            </w:pPr>
            <w:r>
              <w:rPr>
                <w:rFonts w:ascii="Arial" w:eastAsia="Arial" w:hAnsi="Arial" w:cs="Arial"/>
                <w:color w:val="000000"/>
                <w:sz w:val="16"/>
              </w:rPr>
              <w:t xml:space="preserve"> 17,882 </w:t>
            </w:r>
          </w:p>
        </w:tc>
        <w:tc>
          <w:tcPr>
            <w:tcW w:w="975" w:type="dxa"/>
            <w:tcBorders>
              <w:top w:val="nil"/>
              <w:left w:val="nil"/>
              <w:bottom w:val="nil"/>
              <w:right w:val="single" w:sz="6" w:space="0" w:color="000000"/>
              <w:tl2br w:val="nil"/>
              <w:tr2bl w:val="nil"/>
            </w:tcBorders>
            <w:shd w:val="clear" w:color="auto" w:fill="FFFFFF"/>
            <w:tcMar>
              <w:left w:w="101" w:type="dxa"/>
              <w:right w:w="101" w:type="dxa"/>
            </w:tcMar>
            <w:vAlign w:val="bottom"/>
          </w:tcPr>
          <w:p w14:paraId="393DDABC" w14:textId="77777777" w:rsidR="00724034" w:rsidRDefault="00FB7D0B">
            <w:pPr>
              <w:jc w:val="right"/>
              <w:rPr>
                <w:rFonts w:ascii="Arial" w:eastAsia="Arial" w:hAnsi="Arial" w:cs="Arial"/>
                <w:color w:val="000000"/>
                <w:sz w:val="16"/>
              </w:rPr>
            </w:pPr>
            <w:r>
              <w:rPr>
                <w:rFonts w:ascii="Arial" w:eastAsia="Arial" w:hAnsi="Arial" w:cs="Arial"/>
                <w:color w:val="000000"/>
                <w:sz w:val="16"/>
              </w:rPr>
              <w:t xml:space="preserve"> 17,765 </w:t>
            </w:r>
          </w:p>
        </w:tc>
      </w:tr>
      <w:tr w:rsidR="00FB7D0B" w14:paraId="69FB02E2" w14:textId="77777777" w:rsidTr="00FB7D0B">
        <w:trPr>
          <w:trHeight w:val="495"/>
        </w:trPr>
        <w:tc>
          <w:tcPr>
            <w:tcW w:w="3090" w:type="dxa"/>
            <w:gridSpan w:val="3"/>
            <w:tcBorders>
              <w:top w:val="single" w:sz="6" w:space="0" w:color="FFFFFF"/>
              <w:left w:val="single" w:sz="6" w:space="0" w:color="000000"/>
              <w:bottom w:val="nil"/>
              <w:right w:val="nil"/>
              <w:tl2br w:val="nil"/>
              <w:tr2bl w:val="nil"/>
            </w:tcBorders>
            <w:shd w:val="clear" w:color="auto" w:fill="FFFFFF"/>
            <w:tcMar>
              <w:left w:w="101" w:type="dxa"/>
              <w:right w:w="101" w:type="dxa"/>
            </w:tcMar>
            <w:vAlign w:val="bottom"/>
          </w:tcPr>
          <w:p w14:paraId="4E85493C" w14:textId="77777777" w:rsidR="00724034" w:rsidRDefault="00FB7D0B">
            <w:pPr>
              <w:rPr>
                <w:rFonts w:ascii="Arial" w:eastAsia="Arial" w:hAnsi="Arial" w:cs="Arial"/>
                <w:color w:val="000000"/>
                <w:sz w:val="16"/>
              </w:rPr>
            </w:pPr>
            <w:r>
              <w:rPr>
                <w:rFonts w:ascii="Arial" w:eastAsia="Arial" w:hAnsi="Arial" w:cs="Arial"/>
                <w:color w:val="000000"/>
                <w:sz w:val="16"/>
              </w:rPr>
              <w:t>Expenses not requiring appropriation in the Budget year</w:t>
            </w:r>
            <w:r>
              <w:rPr>
                <w:rFonts w:ascii="Arial" w:eastAsia="Arial" w:hAnsi="Arial" w:cs="Arial"/>
                <w:color w:val="000000"/>
                <w:sz w:val="16"/>
                <w:vertAlign w:val="superscript"/>
              </w:rPr>
              <w:t>1 </w:t>
            </w:r>
          </w:p>
        </w:tc>
        <w:tc>
          <w:tcPr>
            <w:tcW w:w="975" w:type="dxa"/>
            <w:tcBorders>
              <w:top w:val="nil"/>
              <w:left w:val="nil"/>
              <w:bottom w:val="nil"/>
              <w:right w:val="nil"/>
              <w:tl2br w:val="nil"/>
              <w:tr2bl w:val="nil"/>
            </w:tcBorders>
            <w:shd w:val="clear" w:color="auto" w:fill="FFFFFF"/>
            <w:tcMar>
              <w:left w:w="101" w:type="dxa"/>
              <w:right w:w="101" w:type="dxa"/>
            </w:tcMar>
            <w:vAlign w:val="bottom"/>
          </w:tcPr>
          <w:p w14:paraId="6A576720" w14:textId="77777777" w:rsidR="00724034" w:rsidRDefault="00FB7D0B">
            <w:pPr>
              <w:jc w:val="right"/>
              <w:rPr>
                <w:rFonts w:ascii="Arial" w:eastAsia="Arial" w:hAnsi="Arial" w:cs="Arial"/>
                <w:color w:val="000000"/>
                <w:sz w:val="16"/>
                <w:vertAlign w:val="superscript"/>
              </w:rPr>
            </w:pPr>
            <w:r>
              <w:rPr>
                <w:rFonts w:ascii="Arial" w:eastAsia="Arial" w:hAnsi="Arial" w:cs="Arial"/>
                <w:color w:val="000000"/>
                <w:sz w:val="16"/>
              </w:rPr>
              <w:t xml:space="preserve"> 1,060 </w:t>
            </w:r>
          </w:p>
        </w:tc>
        <w:tc>
          <w:tcPr>
            <w:tcW w:w="975" w:type="dxa"/>
            <w:tcBorders>
              <w:top w:val="nil"/>
              <w:left w:val="nil"/>
              <w:bottom w:val="nil"/>
              <w:right w:val="nil"/>
              <w:tl2br w:val="nil"/>
              <w:tr2bl w:val="nil"/>
            </w:tcBorders>
            <w:shd w:val="clear" w:color="auto" w:fill="FFFF00"/>
            <w:tcMar>
              <w:left w:w="101" w:type="dxa"/>
              <w:right w:w="101" w:type="dxa"/>
            </w:tcMar>
            <w:vAlign w:val="bottom"/>
          </w:tcPr>
          <w:p w14:paraId="361C18C8" w14:textId="77777777" w:rsidR="00724034" w:rsidRDefault="00FB7D0B">
            <w:pPr>
              <w:jc w:val="right"/>
              <w:rPr>
                <w:rFonts w:ascii="Arial" w:eastAsia="Arial" w:hAnsi="Arial" w:cs="Arial"/>
                <w:color w:val="000000"/>
                <w:sz w:val="16"/>
              </w:rPr>
            </w:pPr>
            <w:r>
              <w:rPr>
                <w:rFonts w:ascii="Arial" w:eastAsia="Arial" w:hAnsi="Arial" w:cs="Arial"/>
                <w:color w:val="000000"/>
                <w:sz w:val="16"/>
              </w:rPr>
              <w:t xml:space="preserve"> 1,190 </w:t>
            </w:r>
          </w:p>
        </w:tc>
        <w:tc>
          <w:tcPr>
            <w:tcW w:w="975" w:type="dxa"/>
            <w:tcBorders>
              <w:top w:val="nil"/>
              <w:left w:val="nil"/>
              <w:bottom w:val="nil"/>
              <w:right w:val="nil"/>
              <w:tl2br w:val="nil"/>
              <w:tr2bl w:val="nil"/>
            </w:tcBorders>
            <w:shd w:val="clear" w:color="auto" w:fill="FFFFFF"/>
            <w:tcMar>
              <w:left w:w="101" w:type="dxa"/>
              <w:right w:w="101" w:type="dxa"/>
            </w:tcMar>
            <w:vAlign w:val="bottom"/>
          </w:tcPr>
          <w:p w14:paraId="6EEF888B" w14:textId="77777777" w:rsidR="00724034" w:rsidRDefault="00FB7D0B">
            <w:pPr>
              <w:jc w:val="right"/>
              <w:rPr>
                <w:rFonts w:ascii="Arial" w:eastAsia="Arial" w:hAnsi="Arial" w:cs="Arial"/>
                <w:color w:val="000000"/>
                <w:sz w:val="16"/>
              </w:rPr>
            </w:pPr>
            <w:r>
              <w:rPr>
                <w:rFonts w:ascii="Arial" w:eastAsia="Arial" w:hAnsi="Arial" w:cs="Arial"/>
                <w:color w:val="000000"/>
                <w:sz w:val="16"/>
              </w:rPr>
              <w:t xml:space="preserve"> 1,087 </w:t>
            </w:r>
          </w:p>
        </w:tc>
        <w:tc>
          <w:tcPr>
            <w:tcW w:w="975" w:type="dxa"/>
            <w:tcBorders>
              <w:top w:val="nil"/>
              <w:left w:val="nil"/>
              <w:bottom w:val="nil"/>
              <w:right w:val="nil"/>
              <w:tl2br w:val="nil"/>
              <w:tr2bl w:val="nil"/>
            </w:tcBorders>
            <w:shd w:val="clear" w:color="auto" w:fill="FFFFFF"/>
            <w:tcMar>
              <w:left w:w="101" w:type="dxa"/>
              <w:right w:w="101" w:type="dxa"/>
            </w:tcMar>
            <w:vAlign w:val="bottom"/>
          </w:tcPr>
          <w:p w14:paraId="76563F2B" w14:textId="77777777" w:rsidR="00724034" w:rsidRDefault="00FB7D0B">
            <w:pPr>
              <w:jc w:val="right"/>
              <w:rPr>
                <w:rFonts w:ascii="Arial" w:eastAsia="Arial" w:hAnsi="Arial" w:cs="Arial"/>
                <w:color w:val="000000"/>
                <w:sz w:val="16"/>
              </w:rPr>
            </w:pPr>
            <w:r>
              <w:rPr>
                <w:rFonts w:ascii="Arial" w:eastAsia="Arial" w:hAnsi="Arial" w:cs="Arial"/>
                <w:color w:val="000000"/>
                <w:sz w:val="16"/>
              </w:rPr>
              <w:t xml:space="preserve"> 991 </w:t>
            </w:r>
          </w:p>
        </w:tc>
        <w:tc>
          <w:tcPr>
            <w:tcW w:w="975" w:type="dxa"/>
            <w:tcBorders>
              <w:top w:val="nil"/>
              <w:left w:val="nil"/>
              <w:bottom w:val="nil"/>
              <w:right w:val="single" w:sz="6" w:space="0" w:color="000000"/>
              <w:tl2br w:val="nil"/>
              <w:tr2bl w:val="nil"/>
            </w:tcBorders>
            <w:shd w:val="clear" w:color="auto" w:fill="FFFFFF"/>
            <w:tcMar>
              <w:left w:w="101" w:type="dxa"/>
              <w:right w:w="101" w:type="dxa"/>
            </w:tcMar>
            <w:vAlign w:val="bottom"/>
          </w:tcPr>
          <w:p w14:paraId="65C24C6E" w14:textId="77777777" w:rsidR="00724034" w:rsidRDefault="00FB7D0B">
            <w:pPr>
              <w:jc w:val="right"/>
              <w:rPr>
                <w:rFonts w:ascii="Arial" w:eastAsia="Arial" w:hAnsi="Arial" w:cs="Arial"/>
                <w:color w:val="000000"/>
                <w:sz w:val="16"/>
              </w:rPr>
            </w:pPr>
            <w:r>
              <w:rPr>
                <w:rFonts w:ascii="Arial" w:eastAsia="Arial" w:hAnsi="Arial" w:cs="Arial"/>
                <w:color w:val="000000"/>
                <w:sz w:val="16"/>
              </w:rPr>
              <w:t xml:space="preserve"> 830 </w:t>
            </w:r>
          </w:p>
        </w:tc>
      </w:tr>
      <w:tr w:rsidR="00724034" w14:paraId="3F893A2B" w14:textId="77777777">
        <w:trPr>
          <w:trHeight w:val="60"/>
        </w:trPr>
        <w:tc>
          <w:tcPr>
            <w:tcW w:w="180" w:type="dxa"/>
            <w:tcBorders>
              <w:top w:val="single" w:sz="6" w:space="0" w:color="FFFFFF"/>
              <w:left w:val="single" w:sz="6" w:space="0" w:color="000000"/>
              <w:bottom w:val="nil"/>
              <w:right w:val="nil"/>
              <w:tl2br w:val="nil"/>
              <w:tr2bl w:val="nil"/>
            </w:tcBorders>
            <w:shd w:val="clear" w:color="auto" w:fill="FFFFFF"/>
            <w:tcMar>
              <w:left w:w="101" w:type="dxa"/>
              <w:right w:w="101" w:type="dxa"/>
            </w:tcMar>
            <w:vAlign w:val="bottom"/>
          </w:tcPr>
          <w:p w14:paraId="5DAA79A8" w14:textId="77777777" w:rsidR="00724034" w:rsidRDefault="00724034">
            <w:pPr>
              <w:rPr>
                <w:rFonts w:ascii="Arial" w:eastAsia="Arial" w:hAnsi="Arial" w:cs="Arial"/>
                <w:color w:val="000000"/>
                <w:sz w:val="16"/>
              </w:rPr>
            </w:pPr>
          </w:p>
        </w:tc>
        <w:tc>
          <w:tcPr>
            <w:tcW w:w="180" w:type="dxa"/>
            <w:tcBorders>
              <w:top w:val="single" w:sz="6" w:space="0" w:color="FFFFFF"/>
              <w:left w:val="nil"/>
              <w:bottom w:val="nil"/>
              <w:right w:val="nil"/>
              <w:tl2br w:val="nil"/>
              <w:tr2bl w:val="nil"/>
            </w:tcBorders>
            <w:shd w:val="clear" w:color="auto" w:fill="FFFFFF"/>
            <w:tcMar>
              <w:left w:w="101" w:type="dxa"/>
              <w:right w:w="101" w:type="dxa"/>
            </w:tcMar>
            <w:vAlign w:val="bottom"/>
          </w:tcPr>
          <w:p w14:paraId="700A0EE6" w14:textId="77777777" w:rsidR="00724034" w:rsidRDefault="00724034">
            <w:pPr>
              <w:rPr>
                <w:rFonts w:ascii="Arial" w:eastAsia="Arial" w:hAnsi="Arial" w:cs="Arial"/>
                <w:color w:val="000000"/>
                <w:sz w:val="16"/>
              </w:rPr>
            </w:pPr>
          </w:p>
        </w:tc>
        <w:tc>
          <w:tcPr>
            <w:tcW w:w="2730" w:type="dxa"/>
            <w:tcBorders>
              <w:top w:val="single" w:sz="6" w:space="0" w:color="FFFFFF"/>
              <w:left w:val="nil"/>
              <w:bottom w:val="nil"/>
              <w:right w:val="nil"/>
              <w:tl2br w:val="nil"/>
              <w:tr2bl w:val="nil"/>
            </w:tcBorders>
            <w:shd w:val="clear" w:color="auto" w:fill="FFFFFF"/>
            <w:tcMar>
              <w:left w:w="101" w:type="dxa"/>
              <w:right w:w="101" w:type="dxa"/>
            </w:tcMar>
            <w:vAlign w:val="bottom"/>
          </w:tcPr>
          <w:p w14:paraId="4CEA8AD6" w14:textId="77777777" w:rsidR="00724034" w:rsidRDefault="00724034">
            <w:pPr>
              <w:jc w:val="right"/>
              <w:rPr>
                <w:rFonts w:ascii="Arial" w:eastAsia="Arial" w:hAnsi="Arial" w:cs="Arial"/>
                <w:color w:val="000000"/>
                <w:sz w:val="16"/>
              </w:rPr>
            </w:pPr>
          </w:p>
        </w:tc>
        <w:tc>
          <w:tcPr>
            <w:tcW w:w="975"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5CDD0231" w14:textId="77777777" w:rsidR="00724034" w:rsidRDefault="00724034">
            <w:pPr>
              <w:jc w:val="right"/>
              <w:rPr>
                <w:rFonts w:ascii="Arial" w:eastAsia="Arial" w:hAnsi="Arial" w:cs="Arial"/>
                <w:color w:val="000000"/>
                <w:sz w:val="16"/>
                <w:vertAlign w:val="superscript"/>
              </w:rPr>
            </w:pPr>
          </w:p>
        </w:tc>
        <w:tc>
          <w:tcPr>
            <w:tcW w:w="975" w:type="dxa"/>
            <w:tcBorders>
              <w:top w:val="nil"/>
              <w:left w:val="nil"/>
              <w:bottom w:val="single" w:sz="6" w:space="0" w:color="000000"/>
              <w:right w:val="nil"/>
              <w:tl2br w:val="nil"/>
              <w:tr2bl w:val="nil"/>
            </w:tcBorders>
            <w:shd w:val="clear" w:color="auto" w:fill="FFFF00"/>
            <w:tcMar>
              <w:left w:w="101" w:type="dxa"/>
              <w:right w:w="101" w:type="dxa"/>
            </w:tcMar>
            <w:vAlign w:val="bottom"/>
          </w:tcPr>
          <w:p w14:paraId="25A9F276" w14:textId="77777777" w:rsidR="00724034" w:rsidRDefault="00724034">
            <w:pPr>
              <w:jc w:val="right"/>
              <w:rPr>
                <w:rFonts w:ascii="Arial" w:eastAsia="Arial" w:hAnsi="Arial" w:cs="Arial"/>
                <w:color w:val="000000"/>
                <w:sz w:val="16"/>
                <w:vertAlign w:val="superscript"/>
              </w:rPr>
            </w:pPr>
          </w:p>
        </w:tc>
        <w:tc>
          <w:tcPr>
            <w:tcW w:w="975"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03C7587C" w14:textId="77777777" w:rsidR="00724034" w:rsidRDefault="00724034">
            <w:pPr>
              <w:jc w:val="right"/>
              <w:rPr>
                <w:rFonts w:ascii="Arial" w:eastAsia="Arial" w:hAnsi="Arial" w:cs="Arial"/>
                <w:color w:val="000000"/>
                <w:sz w:val="16"/>
                <w:vertAlign w:val="superscript"/>
              </w:rPr>
            </w:pPr>
          </w:p>
        </w:tc>
        <w:tc>
          <w:tcPr>
            <w:tcW w:w="975"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119A48B1" w14:textId="77777777" w:rsidR="00724034" w:rsidRDefault="00724034">
            <w:pPr>
              <w:jc w:val="right"/>
              <w:rPr>
                <w:rFonts w:ascii="Arial" w:eastAsia="Arial" w:hAnsi="Arial" w:cs="Arial"/>
                <w:color w:val="000000"/>
                <w:sz w:val="16"/>
                <w:vertAlign w:val="superscript"/>
              </w:rPr>
            </w:pPr>
          </w:p>
        </w:tc>
        <w:tc>
          <w:tcPr>
            <w:tcW w:w="975" w:type="dxa"/>
            <w:tcBorders>
              <w:top w:val="nil"/>
              <w:left w:val="nil"/>
              <w:bottom w:val="single" w:sz="6" w:space="0" w:color="000000"/>
              <w:right w:val="single" w:sz="6" w:space="0" w:color="000000"/>
              <w:tl2br w:val="nil"/>
              <w:tr2bl w:val="nil"/>
            </w:tcBorders>
            <w:shd w:val="clear" w:color="auto" w:fill="FFFFFF"/>
            <w:tcMar>
              <w:left w:w="101" w:type="dxa"/>
              <w:right w:w="101" w:type="dxa"/>
            </w:tcMar>
            <w:vAlign w:val="bottom"/>
          </w:tcPr>
          <w:p w14:paraId="66E37841" w14:textId="77777777" w:rsidR="00724034" w:rsidRDefault="00724034">
            <w:pPr>
              <w:jc w:val="right"/>
              <w:rPr>
                <w:rFonts w:ascii="Arial" w:eastAsia="Arial" w:hAnsi="Arial" w:cs="Arial"/>
                <w:color w:val="000000"/>
                <w:sz w:val="16"/>
                <w:vertAlign w:val="superscript"/>
              </w:rPr>
            </w:pPr>
          </w:p>
        </w:tc>
      </w:tr>
      <w:tr w:rsidR="00FB7D0B" w14:paraId="219A55CC" w14:textId="77777777" w:rsidTr="00FB7D0B">
        <w:trPr>
          <w:trHeight w:val="225"/>
        </w:trPr>
        <w:tc>
          <w:tcPr>
            <w:tcW w:w="3090" w:type="dxa"/>
            <w:gridSpan w:val="3"/>
            <w:tcBorders>
              <w:top w:val="nil"/>
              <w:left w:val="single" w:sz="6" w:space="0" w:color="000000"/>
              <w:bottom w:val="single" w:sz="6" w:space="0" w:color="000000"/>
              <w:right w:val="nil"/>
              <w:tl2br w:val="nil"/>
              <w:tr2bl w:val="nil"/>
            </w:tcBorders>
            <w:shd w:val="clear" w:color="auto" w:fill="FFFFFF"/>
            <w:tcMar>
              <w:left w:w="101" w:type="dxa"/>
              <w:right w:w="101" w:type="dxa"/>
            </w:tcMar>
            <w:vAlign w:val="bottom"/>
          </w:tcPr>
          <w:p w14:paraId="0E895452" w14:textId="77777777" w:rsidR="00724034" w:rsidRDefault="00FB7D0B">
            <w:pPr>
              <w:rPr>
                <w:rFonts w:ascii="Arial" w:eastAsia="Arial" w:hAnsi="Arial" w:cs="Arial"/>
                <w:color w:val="000000"/>
                <w:sz w:val="16"/>
                <w:vertAlign w:val="superscript"/>
              </w:rPr>
            </w:pPr>
            <w:r>
              <w:rPr>
                <w:rFonts w:ascii="Arial" w:eastAsia="Arial" w:hAnsi="Arial" w:cs="Arial"/>
                <w:b/>
                <w:color w:val="000000"/>
                <w:sz w:val="16"/>
              </w:rPr>
              <w:t xml:space="preserve">Total programme expenses </w:t>
            </w:r>
          </w:p>
        </w:tc>
        <w:tc>
          <w:tcPr>
            <w:tcW w:w="975"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45749951" w14:textId="77777777" w:rsidR="00724034" w:rsidRDefault="00FB7D0B">
            <w:pPr>
              <w:jc w:val="right"/>
              <w:rPr>
                <w:rFonts w:ascii="Arial" w:eastAsia="Arial" w:hAnsi="Arial" w:cs="Arial"/>
                <w:b/>
                <w:color w:val="000000"/>
                <w:sz w:val="16"/>
                <w:vertAlign w:val="superscript"/>
              </w:rPr>
            </w:pPr>
            <w:r>
              <w:rPr>
                <w:rFonts w:ascii="Arial" w:eastAsia="Arial" w:hAnsi="Arial" w:cs="Arial"/>
                <w:b/>
                <w:color w:val="000000"/>
                <w:sz w:val="16"/>
              </w:rPr>
              <w:t>83,876 </w:t>
            </w:r>
          </w:p>
        </w:tc>
        <w:tc>
          <w:tcPr>
            <w:tcW w:w="975" w:type="dxa"/>
            <w:tcBorders>
              <w:top w:val="single" w:sz="6" w:space="0" w:color="000000"/>
              <w:left w:val="nil"/>
              <w:bottom w:val="single" w:sz="6" w:space="0" w:color="000000"/>
              <w:right w:val="nil"/>
              <w:tl2br w:val="nil"/>
              <w:tr2bl w:val="nil"/>
            </w:tcBorders>
            <w:shd w:val="clear" w:color="auto" w:fill="FFFF00"/>
            <w:tcMar>
              <w:left w:w="101" w:type="dxa"/>
              <w:right w:w="101" w:type="dxa"/>
            </w:tcMar>
            <w:vAlign w:val="bottom"/>
          </w:tcPr>
          <w:p w14:paraId="252A95DD" w14:textId="77777777" w:rsidR="00724034" w:rsidRDefault="00FB7D0B">
            <w:pPr>
              <w:jc w:val="right"/>
              <w:rPr>
                <w:rFonts w:ascii="Arial" w:eastAsia="Arial" w:hAnsi="Arial" w:cs="Arial"/>
                <w:b/>
                <w:color w:val="000000"/>
                <w:sz w:val="16"/>
              </w:rPr>
            </w:pPr>
            <w:r>
              <w:rPr>
                <w:rFonts w:ascii="Arial" w:eastAsia="Arial" w:hAnsi="Arial" w:cs="Arial"/>
                <w:b/>
                <w:color w:val="000000"/>
                <w:sz w:val="16"/>
              </w:rPr>
              <w:t>84,851 </w:t>
            </w:r>
          </w:p>
        </w:tc>
        <w:tc>
          <w:tcPr>
            <w:tcW w:w="975"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6DC4062A" w14:textId="77777777" w:rsidR="00724034" w:rsidRDefault="00FB7D0B">
            <w:pPr>
              <w:jc w:val="right"/>
              <w:rPr>
                <w:rFonts w:ascii="Arial" w:eastAsia="Arial" w:hAnsi="Arial" w:cs="Arial"/>
                <w:b/>
                <w:color w:val="000000"/>
                <w:sz w:val="16"/>
              </w:rPr>
            </w:pPr>
            <w:r>
              <w:rPr>
                <w:rFonts w:ascii="Arial" w:eastAsia="Arial" w:hAnsi="Arial" w:cs="Arial"/>
                <w:b/>
                <w:color w:val="000000"/>
                <w:sz w:val="16"/>
              </w:rPr>
              <w:t>84,730 </w:t>
            </w:r>
          </w:p>
        </w:tc>
        <w:tc>
          <w:tcPr>
            <w:tcW w:w="975"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142D7305" w14:textId="77777777" w:rsidR="00724034" w:rsidRDefault="00FB7D0B">
            <w:pPr>
              <w:jc w:val="right"/>
              <w:rPr>
                <w:rFonts w:ascii="Arial" w:eastAsia="Arial" w:hAnsi="Arial" w:cs="Arial"/>
                <w:b/>
                <w:color w:val="000000"/>
                <w:sz w:val="16"/>
              </w:rPr>
            </w:pPr>
            <w:r>
              <w:rPr>
                <w:rFonts w:ascii="Arial" w:eastAsia="Arial" w:hAnsi="Arial" w:cs="Arial"/>
                <w:b/>
                <w:color w:val="000000"/>
                <w:sz w:val="16"/>
              </w:rPr>
              <w:t>85,454 </w:t>
            </w:r>
          </w:p>
        </w:tc>
        <w:tc>
          <w:tcPr>
            <w:tcW w:w="975" w:type="dxa"/>
            <w:tcBorders>
              <w:top w:val="single" w:sz="6" w:space="0" w:color="000000"/>
              <w:left w:val="nil"/>
              <w:bottom w:val="single" w:sz="6" w:space="0" w:color="000000"/>
              <w:right w:val="single" w:sz="6" w:space="0" w:color="000000"/>
              <w:tl2br w:val="nil"/>
              <w:tr2bl w:val="nil"/>
            </w:tcBorders>
            <w:shd w:val="clear" w:color="auto" w:fill="FFFFFF"/>
            <w:tcMar>
              <w:left w:w="101" w:type="dxa"/>
              <w:right w:w="101" w:type="dxa"/>
            </w:tcMar>
            <w:vAlign w:val="bottom"/>
          </w:tcPr>
          <w:p w14:paraId="2EA240BD" w14:textId="77777777" w:rsidR="00724034" w:rsidRDefault="00FB7D0B">
            <w:pPr>
              <w:jc w:val="right"/>
              <w:rPr>
                <w:rFonts w:ascii="Arial" w:eastAsia="Arial" w:hAnsi="Arial" w:cs="Arial"/>
                <w:b/>
                <w:color w:val="000000"/>
                <w:sz w:val="16"/>
              </w:rPr>
            </w:pPr>
            <w:r>
              <w:rPr>
                <w:rFonts w:ascii="Arial" w:eastAsia="Arial" w:hAnsi="Arial" w:cs="Arial"/>
                <w:b/>
                <w:color w:val="000000"/>
                <w:sz w:val="16"/>
              </w:rPr>
              <w:t>86,697 </w:t>
            </w:r>
          </w:p>
        </w:tc>
      </w:tr>
    </w:tbl>
    <w:p w14:paraId="38DA435C" w14:textId="77777777" w:rsidR="003F0EEA" w:rsidRDefault="003F0EEA" w:rsidP="003F0EEA">
      <w:pPr>
        <w:pStyle w:val="ChartandTableFootnote1"/>
        <w:jc w:val="left"/>
        <w:rPr>
          <w:lang w:val="en-GB"/>
        </w:rPr>
      </w:pPr>
    </w:p>
    <w:p w14:paraId="2856E881" w14:textId="77777777" w:rsidR="003F0EEA" w:rsidRDefault="00FB7D0B" w:rsidP="003F0EEA">
      <w:pPr>
        <w:pStyle w:val="ChartandTableFootnote1"/>
        <w:jc w:val="left"/>
      </w:pPr>
      <w:r>
        <w:rPr>
          <w:lang w:val="en-GB"/>
        </w:rPr>
        <w:t>1.</w:t>
      </w:r>
      <w:r>
        <w:rPr>
          <w:lang w:val="en-GB"/>
        </w:rPr>
        <w:tab/>
        <w:t xml:space="preserve">Expenses not requiring appropriation in the Budget year is made up of Depreciation Expense, Amortisation Expense and Resources Received Free of Charge. </w:t>
      </w:r>
    </w:p>
    <w:p w14:paraId="29226CAA" w14:textId="77777777" w:rsidR="003F0EEA" w:rsidRDefault="00FB7D0B">
      <w:pPr>
        <w:rPr>
          <w:rFonts w:eastAsia="Times New Roman"/>
        </w:rPr>
      </w:pPr>
      <w:r>
        <w:rPr>
          <w:rFonts w:eastAsia="Times New Roman"/>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0"/>
        <w:gridCol w:w="271"/>
        <w:gridCol w:w="940"/>
        <w:gridCol w:w="940"/>
        <w:gridCol w:w="940"/>
        <w:gridCol w:w="940"/>
        <w:gridCol w:w="940"/>
      </w:tblGrid>
      <w:tr w:rsidR="00724034" w14:paraId="6EF736DA" w14:textId="77777777" w:rsidTr="003F0EEA">
        <w:tc>
          <w:tcPr>
            <w:tcW w:w="8080" w:type="dxa"/>
            <w:gridSpan w:val="7"/>
            <w:tcBorders>
              <w:top w:val="single" w:sz="4" w:space="0" w:color="auto"/>
              <w:left w:val="single" w:sz="4" w:space="0" w:color="auto"/>
              <w:bottom w:val="single" w:sz="4" w:space="0" w:color="auto"/>
              <w:right w:val="single" w:sz="4" w:space="0" w:color="auto"/>
            </w:tcBorders>
            <w:shd w:val="clear" w:color="auto" w:fill="E6E6E6"/>
          </w:tcPr>
          <w:p w14:paraId="28AF7A65" w14:textId="77777777" w:rsidR="003F0EEA" w:rsidRPr="00F7032A" w:rsidRDefault="00FB7D0B" w:rsidP="003F0EEA">
            <w:pPr>
              <w:pStyle w:val="TableTextLeft10"/>
              <w:ind w:right="-108"/>
              <w:rPr>
                <w:b/>
                <w:sz w:val="20"/>
              </w:rPr>
            </w:pPr>
            <w:r>
              <w:rPr>
                <w:b/>
                <w:sz w:val="20"/>
              </w:rPr>
              <w:t>Programme 1.4: Assistance and Other Compensation for Veterans and Dependants (continued)</w:t>
            </w:r>
          </w:p>
        </w:tc>
      </w:tr>
      <w:tr w:rsidR="00724034" w14:paraId="2B88E85B" w14:textId="77777777" w:rsidTr="003F0EEA">
        <w:tc>
          <w:tcPr>
            <w:tcW w:w="8080" w:type="dxa"/>
            <w:gridSpan w:val="7"/>
            <w:tcBorders>
              <w:top w:val="single" w:sz="4" w:space="0" w:color="auto"/>
              <w:left w:val="nil"/>
              <w:bottom w:val="single" w:sz="4" w:space="0" w:color="auto"/>
              <w:right w:val="nil"/>
            </w:tcBorders>
            <w:shd w:val="clear" w:color="auto" w:fill="auto"/>
          </w:tcPr>
          <w:p w14:paraId="1D0031F3" w14:textId="77777777" w:rsidR="003F0EEA" w:rsidRDefault="003F0EEA" w:rsidP="003F0EEA">
            <w:pPr>
              <w:pStyle w:val="TableTextLeft10"/>
              <w:rPr>
                <w:b/>
              </w:rPr>
            </w:pPr>
          </w:p>
        </w:tc>
      </w:tr>
      <w:tr w:rsidR="00724034" w14:paraId="0A9BC027" w14:textId="77777777" w:rsidTr="003F0EEA">
        <w:tc>
          <w:tcPr>
            <w:tcW w:w="8080" w:type="dxa"/>
            <w:gridSpan w:val="7"/>
            <w:tcBorders>
              <w:top w:val="single" w:sz="4" w:space="0" w:color="auto"/>
              <w:left w:val="single" w:sz="4" w:space="0" w:color="auto"/>
              <w:bottom w:val="single" w:sz="4" w:space="0" w:color="auto"/>
              <w:right w:val="single" w:sz="4" w:space="0" w:color="auto"/>
            </w:tcBorders>
          </w:tcPr>
          <w:p w14:paraId="3E46C3ED" w14:textId="77777777" w:rsidR="003F0EEA" w:rsidRDefault="00FB7D0B" w:rsidP="003F0EEA">
            <w:pPr>
              <w:pStyle w:val="TableTextLeft10"/>
              <w:rPr>
                <w:b/>
              </w:rPr>
            </w:pPr>
            <w:r>
              <w:rPr>
                <w:b/>
              </w:rPr>
              <w:t>Programme 1.4 deliverables</w:t>
            </w:r>
          </w:p>
          <w:p w14:paraId="3BD71EE9" w14:textId="77777777" w:rsidR="003F0EEA" w:rsidRDefault="00FB7D0B" w:rsidP="003F0EEA">
            <w:pPr>
              <w:pStyle w:val="TableTextBullet5"/>
            </w:pPr>
            <w:r>
              <w:t>Process funeral benefit claims</w:t>
            </w:r>
          </w:p>
          <w:p w14:paraId="46C992E2" w14:textId="77777777" w:rsidR="003F0EEA" w:rsidRDefault="00FB7D0B" w:rsidP="003F0EEA">
            <w:pPr>
              <w:pStyle w:val="TableTextBullet5"/>
            </w:pPr>
            <w:r>
              <w:t>Process claims for and maintain housing loans</w:t>
            </w:r>
          </w:p>
          <w:p w14:paraId="3E14B175" w14:textId="77777777" w:rsidR="003F0EEA" w:rsidRPr="00334C37" w:rsidRDefault="00FB7D0B" w:rsidP="003F0EEA">
            <w:pPr>
              <w:pStyle w:val="TableTextBullet5"/>
              <w:rPr>
                <w:b/>
              </w:rPr>
            </w:pPr>
            <w:r>
              <w:t>Provide grants funding to eligible ESOs for provision of services to support the veteran community</w:t>
            </w:r>
          </w:p>
          <w:p w14:paraId="3AE8A8AD" w14:textId="77777777" w:rsidR="003F0EEA" w:rsidRDefault="00FB7D0B" w:rsidP="003F0EEA">
            <w:pPr>
              <w:pStyle w:val="TableTextBullet5"/>
              <w:rPr>
                <w:b/>
              </w:rPr>
            </w:pPr>
            <w:r>
              <w:t>Provide ESO representatives with essential skills for pension and compensation claims and welfare work</w:t>
            </w:r>
          </w:p>
        </w:tc>
      </w:tr>
      <w:tr w:rsidR="00724034" w14:paraId="45361C55" w14:textId="77777777">
        <w:tblPrEx>
          <w:tblLook w:val="04A0" w:firstRow="1" w:lastRow="0" w:firstColumn="1" w:lastColumn="0" w:noHBand="0" w:noVBand="1"/>
        </w:tblPrEx>
        <w:trPr>
          <w:trHeight w:val="225"/>
        </w:trPr>
        <w:tc>
          <w:tcPr>
            <w:tcW w:w="0" w:type="auto"/>
            <w:tcBorders>
              <w:top w:val="single" w:sz="6" w:space="0" w:color="000000"/>
              <w:left w:val="single" w:sz="6" w:space="0" w:color="000000"/>
              <w:bottom w:val="nil"/>
              <w:right w:val="nil"/>
              <w:tl2br w:val="nil"/>
              <w:tr2bl w:val="nil"/>
            </w:tcBorders>
            <w:shd w:val="clear" w:color="auto" w:fill="FFFFFF"/>
            <w:tcMar>
              <w:left w:w="115" w:type="dxa"/>
              <w:right w:w="115" w:type="dxa"/>
            </w:tcMar>
            <w:vAlign w:val="bottom"/>
          </w:tcPr>
          <w:p w14:paraId="142760B4" w14:textId="77777777" w:rsidR="00724034" w:rsidRDefault="00724034">
            <w:pPr>
              <w:jc w:val="center"/>
            </w:pPr>
          </w:p>
        </w:tc>
        <w:tc>
          <w:tcPr>
            <w:tcW w:w="0" w:type="auto"/>
            <w:tcBorders>
              <w:top w:val="single" w:sz="6" w:space="0" w:color="000000"/>
              <w:left w:val="nil"/>
              <w:bottom w:val="nil"/>
              <w:right w:val="nil"/>
              <w:tl2br w:val="nil"/>
              <w:tr2bl w:val="nil"/>
            </w:tcBorders>
            <w:shd w:val="clear" w:color="auto" w:fill="FFFFFF"/>
            <w:tcMar>
              <w:left w:w="115" w:type="dxa"/>
              <w:right w:w="115" w:type="dxa"/>
            </w:tcMar>
            <w:vAlign w:val="bottom"/>
          </w:tcPr>
          <w:p w14:paraId="45B58646" w14:textId="77777777" w:rsidR="00724034" w:rsidRDefault="00724034">
            <w:pPr>
              <w:jc w:val="center"/>
              <w:rPr>
                <w:rFonts w:ascii="Arial" w:eastAsia="Arial" w:hAnsi="Arial" w:cs="Arial"/>
                <w:b/>
                <w:color w:val="000000"/>
                <w:sz w:val="16"/>
              </w:rPr>
            </w:pPr>
          </w:p>
        </w:tc>
        <w:tc>
          <w:tcPr>
            <w:tcW w:w="0" w:type="auto"/>
            <w:tcBorders>
              <w:top w:val="single" w:sz="6" w:space="0" w:color="000000"/>
              <w:left w:val="nil"/>
              <w:bottom w:val="nil"/>
              <w:right w:val="nil"/>
              <w:tl2br w:val="nil"/>
              <w:tr2bl w:val="nil"/>
            </w:tcBorders>
            <w:shd w:val="clear" w:color="auto" w:fill="FFFFFF"/>
            <w:tcMar>
              <w:left w:w="115" w:type="dxa"/>
              <w:right w:w="115" w:type="dxa"/>
            </w:tcMar>
            <w:vAlign w:val="bottom"/>
          </w:tcPr>
          <w:p w14:paraId="5FECFDB3" w14:textId="77777777" w:rsidR="00724034" w:rsidRDefault="00FB7D0B">
            <w:pPr>
              <w:jc w:val="right"/>
              <w:rPr>
                <w:rFonts w:ascii="Arial" w:eastAsia="Arial" w:hAnsi="Arial" w:cs="Arial"/>
                <w:b/>
                <w:color w:val="000000"/>
                <w:sz w:val="16"/>
                <w:vertAlign w:val="superscript"/>
              </w:rPr>
            </w:pPr>
            <w:r>
              <w:rPr>
                <w:rFonts w:ascii="Arial" w:eastAsia="Arial" w:hAnsi="Arial" w:cs="Arial"/>
                <w:color w:val="000000"/>
                <w:sz w:val="16"/>
              </w:rPr>
              <w:t>2013-14</w:t>
            </w:r>
          </w:p>
        </w:tc>
        <w:tc>
          <w:tcPr>
            <w:tcW w:w="0" w:type="auto"/>
            <w:tcBorders>
              <w:top w:val="single" w:sz="6" w:space="0" w:color="000000"/>
              <w:left w:val="nil"/>
              <w:bottom w:val="nil"/>
              <w:right w:val="nil"/>
              <w:tl2br w:val="nil"/>
              <w:tr2bl w:val="nil"/>
            </w:tcBorders>
            <w:shd w:val="clear" w:color="auto" w:fill="FFFF00"/>
            <w:tcMar>
              <w:left w:w="115" w:type="dxa"/>
              <w:right w:w="115" w:type="dxa"/>
            </w:tcMar>
            <w:vAlign w:val="bottom"/>
          </w:tcPr>
          <w:p w14:paraId="21CDA6CD" w14:textId="77777777" w:rsidR="00724034" w:rsidRDefault="00FB7D0B">
            <w:pPr>
              <w:jc w:val="right"/>
              <w:rPr>
                <w:rFonts w:ascii="Arial" w:eastAsia="Arial" w:hAnsi="Arial" w:cs="Arial"/>
                <w:color w:val="000000"/>
                <w:sz w:val="16"/>
              </w:rPr>
            </w:pPr>
            <w:r>
              <w:rPr>
                <w:rFonts w:ascii="Arial" w:eastAsia="Arial" w:hAnsi="Arial" w:cs="Arial"/>
                <w:color w:val="000000"/>
                <w:sz w:val="16"/>
              </w:rPr>
              <w:t>2014-15</w:t>
            </w:r>
          </w:p>
        </w:tc>
        <w:tc>
          <w:tcPr>
            <w:tcW w:w="0" w:type="auto"/>
            <w:tcBorders>
              <w:top w:val="single" w:sz="6" w:space="0" w:color="000000"/>
              <w:left w:val="nil"/>
              <w:bottom w:val="nil"/>
              <w:right w:val="nil"/>
              <w:tl2br w:val="nil"/>
              <w:tr2bl w:val="nil"/>
            </w:tcBorders>
            <w:shd w:val="clear" w:color="auto" w:fill="FFFFFF"/>
            <w:tcMar>
              <w:left w:w="115" w:type="dxa"/>
              <w:right w:w="115" w:type="dxa"/>
            </w:tcMar>
            <w:vAlign w:val="bottom"/>
          </w:tcPr>
          <w:p w14:paraId="6984DA17" w14:textId="77777777" w:rsidR="00724034" w:rsidRDefault="00FB7D0B">
            <w:pPr>
              <w:jc w:val="right"/>
              <w:rPr>
                <w:rFonts w:ascii="Arial" w:eastAsia="Arial" w:hAnsi="Arial" w:cs="Arial"/>
                <w:color w:val="000000"/>
                <w:sz w:val="16"/>
              </w:rPr>
            </w:pPr>
            <w:r>
              <w:rPr>
                <w:rFonts w:ascii="Arial" w:eastAsia="Arial" w:hAnsi="Arial" w:cs="Arial"/>
                <w:color w:val="000000"/>
                <w:sz w:val="16"/>
              </w:rPr>
              <w:t>2015-16</w:t>
            </w:r>
          </w:p>
        </w:tc>
        <w:tc>
          <w:tcPr>
            <w:tcW w:w="0" w:type="auto"/>
            <w:tcBorders>
              <w:top w:val="single" w:sz="6" w:space="0" w:color="000000"/>
              <w:left w:val="nil"/>
              <w:bottom w:val="nil"/>
              <w:right w:val="nil"/>
              <w:tl2br w:val="nil"/>
              <w:tr2bl w:val="nil"/>
            </w:tcBorders>
            <w:shd w:val="clear" w:color="auto" w:fill="FFFFFF"/>
            <w:tcMar>
              <w:left w:w="115" w:type="dxa"/>
              <w:right w:w="115" w:type="dxa"/>
            </w:tcMar>
            <w:vAlign w:val="bottom"/>
          </w:tcPr>
          <w:p w14:paraId="28AF9978" w14:textId="77777777" w:rsidR="00724034" w:rsidRDefault="00FB7D0B">
            <w:pPr>
              <w:jc w:val="right"/>
              <w:rPr>
                <w:rFonts w:ascii="Arial" w:eastAsia="Arial" w:hAnsi="Arial" w:cs="Arial"/>
                <w:color w:val="000000"/>
                <w:sz w:val="16"/>
              </w:rPr>
            </w:pPr>
            <w:r>
              <w:rPr>
                <w:rFonts w:ascii="Arial" w:eastAsia="Arial" w:hAnsi="Arial" w:cs="Arial"/>
                <w:color w:val="000000"/>
                <w:sz w:val="16"/>
              </w:rPr>
              <w:t>2016-17</w:t>
            </w:r>
          </w:p>
        </w:tc>
        <w:tc>
          <w:tcPr>
            <w:tcW w:w="0" w:type="auto"/>
            <w:tcBorders>
              <w:top w:val="single" w:sz="6" w:space="0" w:color="000000"/>
              <w:left w:val="nil"/>
              <w:bottom w:val="nil"/>
              <w:right w:val="single" w:sz="6" w:space="0" w:color="000000"/>
              <w:tl2br w:val="nil"/>
              <w:tr2bl w:val="nil"/>
            </w:tcBorders>
            <w:shd w:val="clear" w:color="auto" w:fill="FFFFFF"/>
            <w:tcMar>
              <w:left w:w="115" w:type="dxa"/>
              <w:right w:w="115" w:type="dxa"/>
            </w:tcMar>
            <w:vAlign w:val="bottom"/>
          </w:tcPr>
          <w:p w14:paraId="739F66C2" w14:textId="77777777" w:rsidR="00724034" w:rsidRDefault="00FB7D0B">
            <w:pPr>
              <w:jc w:val="right"/>
              <w:rPr>
                <w:rFonts w:ascii="Arial" w:eastAsia="Arial" w:hAnsi="Arial" w:cs="Arial"/>
                <w:color w:val="000000"/>
                <w:sz w:val="16"/>
              </w:rPr>
            </w:pPr>
            <w:r>
              <w:rPr>
                <w:rFonts w:ascii="Arial" w:eastAsia="Arial" w:hAnsi="Arial" w:cs="Arial"/>
                <w:color w:val="000000"/>
                <w:sz w:val="16"/>
              </w:rPr>
              <w:t>2017-18</w:t>
            </w:r>
          </w:p>
        </w:tc>
      </w:tr>
      <w:tr w:rsidR="00724034" w14:paraId="5BCA95DF" w14:textId="77777777">
        <w:tblPrEx>
          <w:tblLook w:val="04A0" w:firstRow="1" w:lastRow="0" w:firstColumn="1" w:lastColumn="0" w:noHBand="0" w:noVBand="1"/>
        </w:tblPrEx>
        <w:trPr>
          <w:trHeight w:val="225"/>
        </w:trPr>
        <w:tc>
          <w:tcPr>
            <w:tcW w:w="0" w:type="auto"/>
            <w:tcBorders>
              <w:top w:val="nil"/>
              <w:left w:val="single" w:sz="6" w:space="0" w:color="000000"/>
              <w:bottom w:val="nil"/>
              <w:right w:val="nil"/>
              <w:tl2br w:val="nil"/>
              <w:tr2bl w:val="nil"/>
            </w:tcBorders>
            <w:shd w:val="clear" w:color="auto" w:fill="FFFFFF"/>
            <w:tcMar>
              <w:left w:w="115" w:type="dxa"/>
              <w:right w:w="115" w:type="dxa"/>
            </w:tcMar>
            <w:vAlign w:val="bottom"/>
          </w:tcPr>
          <w:p w14:paraId="47E9CC75" w14:textId="77777777" w:rsidR="00724034" w:rsidRDefault="00724034">
            <w:pPr>
              <w:rPr>
                <w:rFonts w:ascii="Arial" w:eastAsia="Arial" w:hAnsi="Arial" w:cs="Arial"/>
                <w:color w:val="000000"/>
                <w:sz w:val="16"/>
              </w:rPr>
            </w:pPr>
          </w:p>
        </w:tc>
        <w:tc>
          <w:tcPr>
            <w:tcW w:w="0" w:type="auto"/>
            <w:tcBorders>
              <w:top w:val="nil"/>
              <w:left w:val="nil"/>
              <w:bottom w:val="nil"/>
              <w:right w:val="nil"/>
              <w:tl2br w:val="nil"/>
              <w:tr2bl w:val="nil"/>
            </w:tcBorders>
            <w:shd w:val="clear" w:color="auto" w:fill="FFFFFF"/>
            <w:tcMar>
              <w:left w:w="115" w:type="dxa"/>
              <w:right w:w="115" w:type="dxa"/>
            </w:tcMar>
            <w:vAlign w:val="bottom"/>
          </w:tcPr>
          <w:p w14:paraId="6F558DB3" w14:textId="77777777" w:rsidR="00724034" w:rsidRDefault="00724034">
            <w:pPr>
              <w:rPr>
                <w:rFonts w:ascii="Arial" w:eastAsia="Arial" w:hAnsi="Arial" w:cs="Arial"/>
                <w:color w:val="000000"/>
                <w:sz w:val="16"/>
              </w:rPr>
            </w:pPr>
          </w:p>
        </w:tc>
        <w:tc>
          <w:tcPr>
            <w:tcW w:w="0" w:type="auto"/>
            <w:tcBorders>
              <w:top w:val="nil"/>
              <w:left w:val="nil"/>
              <w:bottom w:val="nil"/>
              <w:right w:val="nil"/>
              <w:tl2br w:val="nil"/>
              <w:tr2bl w:val="nil"/>
            </w:tcBorders>
            <w:shd w:val="clear" w:color="auto" w:fill="FFFFFF"/>
            <w:tcMar>
              <w:left w:w="115" w:type="dxa"/>
              <w:right w:w="115" w:type="dxa"/>
            </w:tcMar>
            <w:vAlign w:val="bottom"/>
          </w:tcPr>
          <w:p w14:paraId="402A0D21" w14:textId="77777777" w:rsidR="00724034" w:rsidRDefault="00FB7D0B">
            <w:pPr>
              <w:jc w:val="right"/>
              <w:rPr>
                <w:rFonts w:ascii="Arial" w:eastAsia="Arial" w:hAnsi="Arial" w:cs="Arial"/>
                <w:color w:val="000000"/>
                <w:sz w:val="16"/>
                <w:vertAlign w:val="superscript"/>
              </w:rPr>
            </w:pPr>
            <w:r>
              <w:rPr>
                <w:rFonts w:ascii="Arial" w:eastAsia="Arial" w:hAnsi="Arial" w:cs="Arial"/>
                <w:color w:val="000000"/>
                <w:sz w:val="16"/>
              </w:rPr>
              <w:t>Revised</w:t>
            </w:r>
          </w:p>
        </w:tc>
        <w:tc>
          <w:tcPr>
            <w:tcW w:w="0" w:type="auto"/>
            <w:tcBorders>
              <w:top w:val="nil"/>
              <w:left w:val="nil"/>
              <w:bottom w:val="nil"/>
              <w:right w:val="nil"/>
              <w:tl2br w:val="nil"/>
              <w:tr2bl w:val="nil"/>
            </w:tcBorders>
            <w:shd w:val="clear" w:color="auto" w:fill="FFFF00"/>
            <w:tcMar>
              <w:left w:w="115" w:type="dxa"/>
              <w:right w:w="115" w:type="dxa"/>
            </w:tcMar>
            <w:vAlign w:val="bottom"/>
          </w:tcPr>
          <w:p w14:paraId="284683A1" w14:textId="77777777" w:rsidR="00724034" w:rsidRDefault="00FB7D0B">
            <w:pPr>
              <w:jc w:val="right"/>
              <w:rPr>
                <w:rFonts w:ascii="Arial" w:eastAsia="Arial" w:hAnsi="Arial" w:cs="Arial"/>
                <w:color w:val="000000"/>
                <w:sz w:val="16"/>
              </w:rPr>
            </w:pPr>
            <w:r>
              <w:rPr>
                <w:rFonts w:ascii="Arial" w:eastAsia="Arial" w:hAnsi="Arial" w:cs="Arial"/>
                <w:color w:val="000000"/>
                <w:sz w:val="16"/>
              </w:rPr>
              <w:t>Budget</w:t>
            </w:r>
          </w:p>
        </w:tc>
        <w:tc>
          <w:tcPr>
            <w:tcW w:w="0" w:type="auto"/>
            <w:tcBorders>
              <w:top w:val="nil"/>
              <w:left w:val="nil"/>
              <w:bottom w:val="nil"/>
              <w:right w:val="nil"/>
              <w:tl2br w:val="nil"/>
              <w:tr2bl w:val="nil"/>
            </w:tcBorders>
            <w:shd w:val="clear" w:color="auto" w:fill="FFFFFF"/>
            <w:tcMar>
              <w:left w:w="115" w:type="dxa"/>
              <w:right w:w="115" w:type="dxa"/>
            </w:tcMar>
            <w:vAlign w:val="bottom"/>
          </w:tcPr>
          <w:p w14:paraId="34348CC2" w14:textId="77777777" w:rsidR="00724034" w:rsidRDefault="00FB7D0B">
            <w:pPr>
              <w:jc w:val="right"/>
              <w:rPr>
                <w:rFonts w:ascii="Arial" w:eastAsia="Arial" w:hAnsi="Arial" w:cs="Arial"/>
                <w:color w:val="000000"/>
                <w:sz w:val="16"/>
              </w:rPr>
            </w:pPr>
            <w:r>
              <w:rPr>
                <w:rFonts w:ascii="Arial" w:eastAsia="Arial" w:hAnsi="Arial" w:cs="Arial"/>
                <w:color w:val="000000"/>
                <w:sz w:val="16"/>
              </w:rPr>
              <w:t>Forward</w:t>
            </w:r>
          </w:p>
        </w:tc>
        <w:tc>
          <w:tcPr>
            <w:tcW w:w="0" w:type="auto"/>
            <w:tcBorders>
              <w:top w:val="nil"/>
              <w:left w:val="nil"/>
              <w:bottom w:val="nil"/>
              <w:right w:val="nil"/>
              <w:tl2br w:val="nil"/>
              <w:tr2bl w:val="nil"/>
            </w:tcBorders>
            <w:shd w:val="clear" w:color="auto" w:fill="FFFFFF"/>
            <w:tcMar>
              <w:left w:w="115" w:type="dxa"/>
              <w:right w:w="115" w:type="dxa"/>
            </w:tcMar>
            <w:vAlign w:val="bottom"/>
          </w:tcPr>
          <w:p w14:paraId="5F08BD13" w14:textId="77777777" w:rsidR="00724034" w:rsidRDefault="00FB7D0B">
            <w:pPr>
              <w:jc w:val="right"/>
              <w:rPr>
                <w:rFonts w:ascii="Arial" w:eastAsia="Arial" w:hAnsi="Arial" w:cs="Arial"/>
                <w:color w:val="000000"/>
                <w:sz w:val="16"/>
              </w:rPr>
            </w:pPr>
            <w:r>
              <w:rPr>
                <w:rFonts w:ascii="Arial" w:eastAsia="Arial" w:hAnsi="Arial" w:cs="Arial"/>
                <w:color w:val="000000"/>
                <w:sz w:val="16"/>
              </w:rPr>
              <w:t>Forward</w:t>
            </w:r>
          </w:p>
        </w:tc>
        <w:tc>
          <w:tcPr>
            <w:tcW w:w="0" w:type="auto"/>
            <w:tcBorders>
              <w:top w:val="nil"/>
              <w:left w:val="nil"/>
              <w:bottom w:val="nil"/>
              <w:right w:val="single" w:sz="6" w:space="0" w:color="000000"/>
              <w:tl2br w:val="nil"/>
              <w:tr2bl w:val="nil"/>
            </w:tcBorders>
            <w:shd w:val="clear" w:color="auto" w:fill="FFFFFF"/>
            <w:tcMar>
              <w:left w:w="115" w:type="dxa"/>
              <w:right w:w="115" w:type="dxa"/>
            </w:tcMar>
            <w:vAlign w:val="bottom"/>
          </w:tcPr>
          <w:p w14:paraId="6D4A707E" w14:textId="77777777" w:rsidR="00724034" w:rsidRDefault="00FB7D0B">
            <w:pPr>
              <w:jc w:val="right"/>
              <w:rPr>
                <w:rFonts w:ascii="Arial" w:eastAsia="Arial" w:hAnsi="Arial" w:cs="Arial"/>
                <w:color w:val="000000"/>
                <w:sz w:val="16"/>
              </w:rPr>
            </w:pPr>
            <w:r>
              <w:rPr>
                <w:rFonts w:ascii="Arial" w:eastAsia="Arial" w:hAnsi="Arial" w:cs="Arial"/>
                <w:color w:val="000000"/>
                <w:sz w:val="16"/>
              </w:rPr>
              <w:t>Forward</w:t>
            </w:r>
          </w:p>
        </w:tc>
      </w:tr>
      <w:tr w:rsidR="00724034" w14:paraId="5773DD0F" w14:textId="77777777">
        <w:tblPrEx>
          <w:tblLook w:val="04A0" w:firstRow="1" w:lastRow="0" w:firstColumn="1" w:lastColumn="0" w:noHBand="0" w:noVBand="1"/>
        </w:tblPrEx>
        <w:trPr>
          <w:trHeight w:val="225"/>
        </w:trPr>
        <w:tc>
          <w:tcPr>
            <w:tcW w:w="0" w:type="auto"/>
            <w:tcBorders>
              <w:top w:val="nil"/>
              <w:left w:val="single" w:sz="6" w:space="0" w:color="000000"/>
              <w:bottom w:val="single" w:sz="6" w:space="0" w:color="000000"/>
              <w:right w:val="nil"/>
              <w:tl2br w:val="nil"/>
              <w:tr2bl w:val="nil"/>
            </w:tcBorders>
            <w:shd w:val="clear" w:color="auto" w:fill="FFFFFF"/>
            <w:tcMar>
              <w:left w:w="115" w:type="dxa"/>
              <w:right w:w="115" w:type="dxa"/>
            </w:tcMar>
            <w:vAlign w:val="bottom"/>
          </w:tcPr>
          <w:p w14:paraId="05E46ED9" w14:textId="77777777" w:rsidR="00724034" w:rsidRDefault="00FB7D0B">
            <w:pPr>
              <w:rPr>
                <w:rFonts w:ascii="Arial" w:eastAsia="Arial" w:hAnsi="Arial" w:cs="Arial"/>
                <w:color w:val="000000"/>
                <w:sz w:val="16"/>
              </w:rPr>
            </w:pPr>
            <w:r>
              <w:rPr>
                <w:rFonts w:ascii="Arial" w:eastAsia="Arial" w:hAnsi="Arial" w:cs="Arial"/>
                <w:color w:val="000000"/>
                <w:sz w:val="16"/>
              </w:rPr>
              <w:t xml:space="preserve">Deliverables </w:t>
            </w:r>
          </w:p>
        </w:tc>
        <w:tc>
          <w:tcPr>
            <w:tcW w:w="0" w:type="auto"/>
            <w:tcBorders>
              <w:top w:val="nil"/>
              <w:left w:val="nil"/>
              <w:bottom w:val="single" w:sz="6" w:space="0" w:color="000000"/>
              <w:right w:val="nil"/>
              <w:tl2br w:val="nil"/>
              <w:tr2bl w:val="nil"/>
            </w:tcBorders>
            <w:shd w:val="clear" w:color="auto" w:fill="FFFFFF"/>
            <w:tcMar>
              <w:left w:w="115" w:type="dxa"/>
              <w:right w:w="115" w:type="dxa"/>
            </w:tcMar>
            <w:vAlign w:val="bottom"/>
          </w:tcPr>
          <w:p w14:paraId="277D1E5A" w14:textId="77777777" w:rsidR="00724034" w:rsidRDefault="00724034">
            <w:pPr>
              <w:rPr>
                <w:rFonts w:ascii="Arial" w:eastAsia="Arial" w:hAnsi="Arial" w:cs="Arial"/>
                <w:color w:val="000000"/>
                <w:sz w:val="16"/>
              </w:rPr>
            </w:pPr>
          </w:p>
        </w:tc>
        <w:tc>
          <w:tcPr>
            <w:tcW w:w="0" w:type="auto"/>
            <w:tcBorders>
              <w:top w:val="nil"/>
              <w:left w:val="nil"/>
              <w:bottom w:val="single" w:sz="6" w:space="0" w:color="000000"/>
              <w:right w:val="nil"/>
              <w:tl2br w:val="nil"/>
              <w:tr2bl w:val="nil"/>
            </w:tcBorders>
            <w:shd w:val="clear" w:color="auto" w:fill="FFFFFF"/>
            <w:tcMar>
              <w:left w:w="115" w:type="dxa"/>
              <w:right w:w="115" w:type="dxa"/>
            </w:tcMar>
            <w:vAlign w:val="bottom"/>
          </w:tcPr>
          <w:p w14:paraId="060219EC" w14:textId="77777777" w:rsidR="00724034" w:rsidRDefault="00FB7D0B">
            <w:pPr>
              <w:jc w:val="right"/>
              <w:rPr>
                <w:rFonts w:ascii="Arial" w:eastAsia="Arial" w:hAnsi="Arial" w:cs="Arial"/>
                <w:color w:val="000000"/>
                <w:sz w:val="16"/>
                <w:vertAlign w:val="superscript"/>
              </w:rPr>
            </w:pPr>
            <w:r>
              <w:rPr>
                <w:rFonts w:ascii="Arial" w:eastAsia="Arial" w:hAnsi="Arial" w:cs="Arial"/>
                <w:color w:val="000000"/>
                <w:sz w:val="16"/>
              </w:rPr>
              <w:t>budget</w:t>
            </w:r>
          </w:p>
        </w:tc>
        <w:tc>
          <w:tcPr>
            <w:tcW w:w="0" w:type="auto"/>
            <w:tcBorders>
              <w:top w:val="nil"/>
              <w:left w:val="nil"/>
              <w:bottom w:val="single" w:sz="6" w:space="0" w:color="000000"/>
              <w:right w:val="nil"/>
              <w:tl2br w:val="nil"/>
              <w:tr2bl w:val="nil"/>
            </w:tcBorders>
            <w:shd w:val="clear" w:color="auto" w:fill="FFFF00"/>
            <w:tcMar>
              <w:left w:w="115" w:type="dxa"/>
              <w:right w:w="115" w:type="dxa"/>
            </w:tcMar>
            <w:vAlign w:val="bottom"/>
          </w:tcPr>
          <w:p w14:paraId="19A92131" w14:textId="77777777" w:rsidR="00724034" w:rsidRDefault="00724034">
            <w:pPr>
              <w:jc w:val="right"/>
              <w:rPr>
                <w:rFonts w:ascii="Arial" w:eastAsia="Arial" w:hAnsi="Arial" w:cs="Arial"/>
                <w:color w:val="000000"/>
                <w:sz w:val="16"/>
              </w:rPr>
            </w:pPr>
          </w:p>
        </w:tc>
        <w:tc>
          <w:tcPr>
            <w:tcW w:w="0" w:type="auto"/>
            <w:tcBorders>
              <w:top w:val="nil"/>
              <w:left w:val="nil"/>
              <w:bottom w:val="single" w:sz="6" w:space="0" w:color="000000"/>
              <w:right w:val="nil"/>
              <w:tl2br w:val="nil"/>
              <w:tr2bl w:val="nil"/>
            </w:tcBorders>
            <w:shd w:val="clear" w:color="auto" w:fill="FFFFFF"/>
            <w:tcMar>
              <w:left w:w="115" w:type="dxa"/>
              <w:right w:w="115" w:type="dxa"/>
            </w:tcMar>
            <w:vAlign w:val="bottom"/>
          </w:tcPr>
          <w:p w14:paraId="086B1FF5" w14:textId="77777777" w:rsidR="00724034" w:rsidRDefault="00FB7D0B">
            <w:pPr>
              <w:jc w:val="right"/>
              <w:rPr>
                <w:rFonts w:ascii="Arial" w:eastAsia="Arial" w:hAnsi="Arial" w:cs="Arial"/>
                <w:color w:val="000000"/>
                <w:sz w:val="16"/>
              </w:rPr>
            </w:pPr>
            <w:r>
              <w:rPr>
                <w:rFonts w:ascii="Arial" w:eastAsia="Arial" w:hAnsi="Arial" w:cs="Arial"/>
                <w:color w:val="000000"/>
                <w:sz w:val="16"/>
              </w:rPr>
              <w:t>year 1</w:t>
            </w:r>
          </w:p>
        </w:tc>
        <w:tc>
          <w:tcPr>
            <w:tcW w:w="0" w:type="auto"/>
            <w:tcBorders>
              <w:top w:val="nil"/>
              <w:left w:val="nil"/>
              <w:bottom w:val="single" w:sz="6" w:space="0" w:color="000000"/>
              <w:right w:val="nil"/>
              <w:tl2br w:val="nil"/>
              <w:tr2bl w:val="nil"/>
            </w:tcBorders>
            <w:shd w:val="clear" w:color="auto" w:fill="FFFFFF"/>
            <w:tcMar>
              <w:left w:w="115" w:type="dxa"/>
              <w:right w:w="115" w:type="dxa"/>
            </w:tcMar>
            <w:vAlign w:val="bottom"/>
          </w:tcPr>
          <w:p w14:paraId="10B5B49A" w14:textId="77777777" w:rsidR="00724034" w:rsidRDefault="00FB7D0B">
            <w:pPr>
              <w:jc w:val="right"/>
              <w:rPr>
                <w:rFonts w:ascii="Arial" w:eastAsia="Arial" w:hAnsi="Arial" w:cs="Arial"/>
                <w:color w:val="000000"/>
                <w:sz w:val="16"/>
              </w:rPr>
            </w:pPr>
            <w:r>
              <w:rPr>
                <w:rFonts w:ascii="Arial" w:eastAsia="Arial" w:hAnsi="Arial" w:cs="Arial"/>
                <w:color w:val="000000"/>
                <w:sz w:val="16"/>
              </w:rPr>
              <w:t>year 2</w:t>
            </w:r>
          </w:p>
        </w:tc>
        <w:tc>
          <w:tcPr>
            <w:tcW w:w="0" w:type="auto"/>
            <w:tcBorders>
              <w:top w:val="nil"/>
              <w:left w:val="nil"/>
              <w:bottom w:val="single" w:sz="6" w:space="0" w:color="000000"/>
              <w:right w:val="single" w:sz="6" w:space="0" w:color="000000"/>
              <w:tl2br w:val="nil"/>
              <w:tr2bl w:val="nil"/>
            </w:tcBorders>
            <w:shd w:val="clear" w:color="auto" w:fill="FFFFFF"/>
            <w:tcMar>
              <w:left w:w="115" w:type="dxa"/>
              <w:right w:w="115" w:type="dxa"/>
            </w:tcMar>
            <w:vAlign w:val="bottom"/>
          </w:tcPr>
          <w:p w14:paraId="25DE2D12" w14:textId="77777777" w:rsidR="00724034" w:rsidRDefault="00FB7D0B">
            <w:pPr>
              <w:jc w:val="right"/>
              <w:rPr>
                <w:rFonts w:ascii="Arial" w:eastAsia="Arial" w:hAnsi="Arial" w:cs="Arial"/>
                <w:color w:val="000000"/>
                <w:sz w:val="16"/>
              </w:rPr>
            </w:pPr>
            <w:r>
              <w:rPr>
                <w:rFonts w:ascii="Arial" w:eastAsia="Arial" w:hAnsi="Arial" w:cs="Arial"/>
                <w:color w:val="000000"/>
                <w:sz w:val="16"/>
              </w:rPr>
              <w:t>year 3</w:t>
            </w:r>
          </w:p>
        </w:tc>
      </w:tr>
      <w:tr w:rsidR="00724034" w14:paraId="24E93AF2" w14:textId="77777777">
        <w:tblPrEx>
          <w:tblLook w:val="04A0" w:firstRow="1" w:lastRow="0" w:firstColumn="1" w:lastColumn="0" w:noHBand="0" w:noVBand="1"/>
        </w:tblPrEx>
        <w:trPr>
          <w:trHeight w:val="225"/>
        </w:trPr>
        <w:tc>
          <w:tcPr>
            <w:tcW w:w="0" w:type="auto"/>
            <w:tcBorders>
              <w:top w:val="single" w:sz="6" w:space="0" w:color="000000"/>
              <w:left w:val="single" w:sz="6" w:space="0" w:color="000000"/>
              <w:bottom w:val="nil"/>
              <w:right w:val="nil"/>
              <w:tl2br w:val="nil"/>
              <w:tr2bl w:val="nil"/>
            </w:tcBorders>
            <w:shd w:val="clear" w:color="auto" w:fill="FFFFFF"/>
            <w:tcMar>
              <w:left w:w="115" w:type="dxa"/>
              <w:right w:w="115" w:type="dxa"/>
            </w:tcMar>
            <w:vAlign w:val="bottom"/>
          </w:tcPr>
          <w:p w14:paraId="12F47A45" w14:textId="77777777" w:rsidR="00724034" w:rsidRDefault="00724034">
            <w:pPr>
              <w:rPr>
                <w:rFonts w:ascii="Arial" w:eastAsia="Arial" w:hAnsi="Arial" w:cs="Arial"/>
                <w:color w:val="000000"/>
                <w:sz w:val="16"/>
              </w:rPr>
            </w:pPr>
          </w:p>
        </w:tc>
        <w:tc>
          <w:tcPr>
            <w:tcW w:w="0" w:type="auto"/>
            <w:tcBorders>
              <w:top w:val="single" w:sz="6" w:space="0" w:color="000000"/>
              <w:left w:val="nil"/>
              <w:bottom w:val="nil"/>
              <w:right w:val="nil"/>
              <w:tl2br w:val="nil"/>
              <w:tr2bl w:val="nil"/>
            </w:tcBorders>
            <w:shd w:val="clear" w:color="auto" w:fill="FFFFFF"/>
            <w:tcMar>
              <w:left w:w="115" w:type="dxa"/>
              <w:right w:w="115" w:type="dxa"/>
            </w:tcMar>
            <w:vAlign w:val="bottom"/>
          </w:tcPr>
          <w:p w14:paraId="4803592C" w14:textId="77777777" w:rsidR="00724034" w:rsidRDefault="00724034">
            <w:pPr>
              <w:rPr>
                <w:rFonts w:ascii="Arial" w:eastAsia="Arial" w:hAnsi="Arial" w:cs="Arial"/>
                <w:color w:val="000000"/>
                <w:sz w:val="16"/>
              </w:rPr>
            </w:pPr>
          </w:p>
        </w:tc>
        <w:tc>
          <w:tcPr>
            <w:tcW w:w="0" w:type="auto"/>
            <w:tcBorders>
              <w:top w:val="single" w:sz="6" w:space="0" w:color="000000"/>
              <w:left w:val="nil"/>
              <w:bottom w:val="nil"/>
              <w:right w:val="nil"/>
              <w:tl2br w:val="nil"/>
              <w:tr2bl w:val="nil"/>
            </w:tcBorders>
            <w:shd w:val="clear" w:color="auto" w:fill="FFFFFF"/>
            <w:tcMar>
              <w:left w:w="115" w:type="dxa"/>
              <w:right w:w="115" w:type="dxa"/>
            </w:tcMar>
            <w:vAlign w:val="bottom"/>
          </w:tcPr>
          <w:p w14:paraId="4380B7FD" w14:textId="77777777" w:rsidR="00724034" w:rsidRDefault="00724034">
            <w:pPr>
              <w:jc w:val="right"/>
              <w:rPr>
                <w:rFonts w:ascii="Arial" w:eastAsia="Arial" w:hAnsi="Arial" w:cs="Arial"/>
                <w:color w:val="000000"/>
                <w:sz w:val="16"/>
                <w:vertAlign w:val="superscript"/>
              </w:rPr>
            </w:pPr>
          </w:p>
        </w:tc>
        <w:tc>
          <w:tcPr>
            <w:tcW w:w="0" w:type="auto"/>
            <w:tcBorders>
              <w:top w:val="single" w:sz="6" w:space="0" w:color="000000"/>
              <w:left w:val="nil"/>
              <w:bottom w:val="nil"/>
              <w:right w:val="nil"/>
              <w:tl2br w:val="nil"/>
              <w:tr2bl w:val="nil"/>
            </w:tcBorders>
            <w:shd w:val="clear" w:color="auto" w:fill="FFFF00"/>
            <w:tcMar>
              <w:left w:w="115" w:type="dxa"/>
              <w:right w:w="115" w:type="dxa"/>
            </w:tcMar>
            <w:vAlign w:val="bottom"/>
          </w:tcPr>
          <w:p w14:paraId="3C1F37EE" w14:textId="77777777" w:rsidR="00724034" w:rsidRDefault="00724034">
            <w:pPr>
              <w:jc w:val="right"/>
              <w:rPr>
                <w:rFonts w:ascii="Arial" w:eastAsia="Arial" w:hAnsi="Arial" w:cs="Arial"/>
                <w:color w:val="000000"/>
                <w:sz w:val="16"/>
                <w:vertAlign w:val="superscript"/>
              </w:rPr>
            </w:pPr>
          </w:p>
        </w:tc>
        <w:tc>
          <w:tcPr>
            <w:tcW w:w="0" w:type="auto"/>
            <w:tcBorders>
              <w:top w:val="single" w:sz="6" w:space="0" w:color="000000"/>
              <w:left w:val="nil"/>
              <w:bottom w:val="nil"/>
              <w:right w:val="nil"/>
              <w:tl2br w:val="nil"/>
              <w:tr2bl w:val="nil"/>
            </w:tcBorders>
            <w:shd w:val="clear" w:color="auto" w:fill="FFFFFF"/>
            <w:tcMar>
              <w:left w:w="115" w:type="dxa"/>
              <w:right w:w="115" w:type="dxa"/>
            </w:tcMar>
            <w:vAlign w:val="bottom"/>
          </w:tcPr>
          <w:p w14:paraId="14B18932" w14:textId="77777777" w:rsidR="00724034" w:rsidRDefault="00724034">
            <w:pPr>
              <w:jc w:val="right"/>
              <w:rPr>
                <w:rFonts w:ascii="Arial" w:eastAsia="Arial" w:hAnsi="Arial" w:cs="Arial"/>
                <w:color w:val="000000"/>
                <w:sz w:val="16"/>
                <w:vertAlign w:val="superscript"/>
              </w:rPr>
            </w:pPr>
          </w:p>
        </w:tc>
        <w:tc>
          <w:tcPr>
            <w:tcW w:w="0" w:type="auto"/>
            <w:tcBorders>
              <w:top w:val="single" w:sz="6" w:space="0" w:color="000000"/>
              <w:left w:val="nil"/>
              <w:bottom w:val="nil"/>
              <w:right w:val="nil"/>
              <w:tl2br w:val="nil"/>
              <w:tr2bl w:val="nil"/>
            </w:tcBorders>
            <w:shd w:val="clear" w:color="auto" w:fill="FFFFFF"/>
            <w:tcMar>
              <w:left w:w="115" w:type="dxa"/>
              <w:right w:w="115" w:type="dxa"/>
            </w:tcMar>
            <w:vAlign w:val="bottom"/>
          </w:tcPr>
          <w:p w14:paraId="79E8ED92" w14:textId="77777777" w:rsidR="00724034" w:rsidRDefault="00724034">
            <w:pPr>
              <w:jc w:val="right"/>
              <w:rPr>
                <w:rFonts w:ascii="Arial" w:eastAsia="Arial" w:hAnsi="Arial" w:cs="Arial"/>
                <w:color w:val="000000"/>
                <w:sz w:val="16"/>
                <w:vertAlign w:val="superscript"/>
              </w:rPr>
            </w:pPr>
          </w:p>
        </w:tc>
        <w:tc>
          <w:tcPr>
            <w:tcW w:w="0" w:type="auto"/>
            <w:tcBorders>
              <w:top w:val="single" w:sz="6" w:space="0" w:color="000000"/>
              <w:left w:val="nil"/>
              <w:bottom w:val="nil"/>
              <w:right w:val="single" w:sz="6" w:space="0" w:color="000000"/>
              <w:tl2br w:val="nil"/>
              <w:tr2bl w:val="nil"/>
            </w:tcBorders>
            <w:shd w:val="clear" w:color="auto" w:fill="FFFFFF"/>
            <w:tcMar>
              <w:left w:w="115" w:type="dxa"/>
              <w:right w:w="115" w:type="dxa"/>
            </w:tcMar>
            <w:vAlign w:val="bottom"/>
          </w:tcPr>
          <w:p w14:paraId="77EEF2E5" w14:textId="77777777" w:rsidR="00724034" w:rsidRDefault="00724034">
            <w:pPr>
              <w:jc w:val="right"/>
              <w:rPr>
                <w:rFonts w:ascii="Arial" w:eastAsia="Arial" w:hAnsi="Arial" w:cs="Arial"/>
                <w:color w:val="000000"/>
                <w:sz w:val="16"/>
                <w:vertAlign w:val="superscript"/>
              </w:rPr>
            </w:pPr>
          </w:p>
        </w:tc>
      </w:tr>
      <w:tr w:rsidR="00724034" w14:paraId="08D5A115" w14:textId="77777777">
        <w:tblPrEx>
          <w:tblLook w:val="04A0" w:firstRow="1" w:lastRow="0" w:firstColumn="1" w:lastColumn="0" w:noHBand="0" w:noVBand="1"/>
        </w:tblPrEx>
        <w:trPr>
          <w:trHeight w:val="225"/>
        </w:trPr>
        <w:tc>
          <w:tcPr>
            <w:tcW w:w="0" w:type="auto"/>
            <w:tcBorders>
              <w:top w:val="nil"/>
              <w:left w:val="single" w:sz="6" w:space="0" w:color="000000"/>
              <w:bottom w:val="single" w:sz="6" w:space="0" w:color="000000"/>
              <w:right w:val="nil"/>
              <w:tl2br w:val="nil"/>
              <w:tr2bl w:val="nil"/>
            </w:tcBorders>
            <w:shd w:val="clear" w:color="auto" w:fill="FFFFFF"/>
            <w:tcMar>
              <w:left w:w="115" w:type="dxa"/>
              <w:right w:w="115" w:type="dxa"/>
            </w:tcMar>
            <w:vAlign w:val="bottom"/>
          </w:tcPr>
          <w:p w14:paraId="22872437" w14:textId="77777777" w:rsidR="00724034" w:rsidRDefault="00FB7D0B">
            <w:pPr>
              <w:rPr>
                <w:rFonts w:ascii="Arial" w:eastAsia="Arial" w:hAnsi="Arial" w:cs="Arial"/>
                <w:color w:val="000000"/>
                <w:sz w:val="16"/>
                <w:vertAlign w:val="superscript"/>
              </w:rPr>
            </w:pPr>
            <w:r>
              <w:rPr>
                <w:rFonts w:ascii="Arial" w:eastAsia="Arial" w:hAnsi="Arial" w:cs="Arial"/>
                <w:color w:val="000000"/>
                <w:sz w:val="16"/>
              </w:rPr>
              <w:t>Funeral Benefits expenditure $'000</w:t>
            </w:r>
          </w:p>
        </w:tc>
        <w:tc>
          <w:tcPr>
            <w:tcW w:w="0" w:type="auto"/>
            <w:tcBorders>
              <w:top w:val="nil"/>
              <w:left w:val="nil"/>
              <w:bottom w:val="single" w:sz="6" w:space="0" w:color="000000"/>
              <w:right w:val="nil"/>
              <w:tl2br w:val="nil"/>
              <w:tr2bl w:val="nil"/>
            </w:tcBorders>
            <w:shd w:val="clear" w:color="auto" w:fill="FFFFFF"/>
            <w:tcMar>
              <w:left w:w="115" w:type="dxa"/>
              <w:right w:w="115" w:type="dxa"/>
            </w:tcMar>
            <w:vAlign w:val="bottom"/>
          </w:tcPr>
          <w:p w14:paraId="358524B4" w14:textId="77777777" w:rsidR="00724034" w:rsidRDefault="00724034">
            <w:pPr>
              <w:rPr>
                <w:rFonts w:ascii="Arial" w:eastAsia="Arial" w:hAnsi="Arial" w:cs="Arial"/>
                <w:color w:val="000000"/>
                <w:sz w:val="16"/>
              </w:rPr>
            </w:pPr>
          </w:p>
        </w:tc>
        <w:tc>
          <w:tcPr>
            <w:tcW w:w="0" w:type="auto"/>
            <w:tcBorders>
              <w:top w:val="nil"/>
              <w:left w:val="nil"/>
              <w:bottom w:val="single" w:sz="6" w:space="0" w:color="000000"/>
              <w:right w:val="nil"/>
              <w:tl2br w:val="nil"/>
              <w:tr2bl w:val="nil"/>
            </w:tcBorders>
            <w:shd w:val="clear" w:color="auto" w:fill="FFFFFF"/>
            <w:tcMar>
              <w:left w:w="115" w:type="dxa"/>
              <w:right w:w="115" w:type="dxa"/>
            </w:tcMar>
            <w:vAlign w:val="bottom"/>
          </w:tcPr>
          <w:p w14:paraId="4FDDD53F" w14:textId="77777777" w:rsidR="00724034" w:rsidRDefault="00FB7D0B">
            <w:pPr>
              <w:jc w:val="right"/>
              <w:rPr>
                <w:rFonts w:ascii="Arial" w:eastAsia="Arial" w:hAnsi="Arial" w:cs="Arial"/>
                <w:color w:val="000000"/>
                <w:sz w:val="16"/>
                <w:vertAlign w:val="superscript"/>
              </w:rPr>
            </w:pPr>
            <w:r>
              <w:rPr>
                <w:rFonts w:ascii="Arial" w:eastAsia="Arial" w:hAnsi="Arial" w:cs="Arial"/>
                <w:color w:val="000000"/>
                <w:sz w:val="16"/>
              </w:rPr>
              <w:t xml:space="preserve"> 12,430 </w:t>
            </w:r>
          </w:p>
        </w:tc>
        <w:tc>
          <w:tcPr>
            <w:tcW w:w="0" w:type="auto"/>
            <w:tcBorders>
              <w:top w:val="nil"/>
              <w:left w:val="nil"/>
              <w:bottom w:val="single" w:sz="6" w:space="0" w:color="000000"/>
              <w:right w:val="nil"/>
              <w:tl2br w:val="nil"/>
              <w:tr2bl w:val="nil"/>
            </w:tcBorders>
            <w:shd w:val="clear" w:color="auto" w:fill="FFFF00"/>
            <w:tcMar>
              <w:left w:w="115" w:type="dxa"/>
              <w:right w:w="115" w:type="dxa"/>
            </w:tcMar>
            <w:vAlign w:val="bottom"/>
          </w:tcPr>
          <w:p w14:paraId="0C4AB326" w14:textId="77777777" w:rsidR="00724034" w:rsidRDefault="00FB7D0B">
            <w:pPr>
              <w:jc w:val="right"/>
              <w:rPr>
                <w:rFonts w:ascii="Arial" w:eastAsia="Arial" w:hAnsi="Arial" w:cs="Arial"/>
                <w:color w:val="000000"/>
                <w:sz w:val="16"/>
              </w:rPr>
            </w:pPr>
            <w:r>
              <w:rPr>
                <w:rFonts w:ascii="Arial" w:eastAsia="Arial" w:hAnsi="Arial" w:cs="Arial"/>
                <w:color w:val="000000"/>
                <w:sz w:val="16"/>
              </w:rPr>
              <w:t xml:space="preserve"> 11,674 </w:t>
            </w:r>
          </w:p>
        </w:tc>
        <w:tc>
          <w:tcPr>
            <w:tcW w:w="0" w:type="auto"/>
            <w:tcBorders>
              <w:top w:val="nil"/>
              <w:left w:val="nil"/>
              <w:bottom w:val="single" w:sz="6" w:space="0" w:color="000000"/>
              <w:right w:val="nil"/>
              <w:tl2br w:val="nil"/>
              <w:tr2bl w:val="nil"/>
            </w:tcBorders>
            <w:shd w:val="clear" w:color="auto" w:fill="FFFFFF"/>
            <w:tcMar>
              <w:left w:w="115" w:type="dxa"/>
              <w:right w:w="115" w:type="dxa"/>
            </w:tcMar>
            <w:vAlign w:val="bottom"/>
          </w:tcPr>
          <w:p w14:paraId="28C76371" w14:textId="77777777" w:rsidR="00724034" w:rsidRDefault="00FB7D0B">
            <w:pPr>
              <w:jc w:val="right"/>
              <w:rPr>
                <w:rFonts w:ascii="Arial" w:eastAsia="Arial" w:hAnsi="Arial" w:cs="Arial"/>
                <w:color w:val="000000"/>
                <w:sz w:val="16"/>
              </w:rPr>
            </w:pPr>
            <w:r>
              <w:rPr>
                <w:rFonts w:ascii="Arial" w:eastAsia="Arial" w:hAnsi="Arial" w:cs="Arial"/>
                <w:color w:val="000000"/>
                <w:sz w:val="16"/>
              </w:rPr>
              <w:t xml:space="preserve"> 10,965 </w:t>
            </w:r>
          </w:p>
        </w:tc>
        <w:tc>
          <w:tcPr>
            <w:tcW w:w="0" w:type="auto"/>
            <w:tcBorders>
              <w:top w:val="nil"/>
              <w:left w:val="nil"/>
              <w:bottom w:val="single" w:sz="6" w:space="0" w:color="000000"/>
              <w:right w:val="nil"/>
              <w:tl2br w:val="nil"/>
              <w:tr2bl w:val="nil"/>
            </w:tcBorders>
            <w:shd w:val="clear" w:color="auto" w:fill="FFFFFF"/>
            <w:tcMar>
              <w:left w:w="115" w:type="dxa"/>
              <w:right w:w="115" w:type="dxa"/>
            </w:tcMar>
            <w:vAlign w:val="bottom"/>
          </w:tcPr>
          <w:p w14:paraId="043EA718" w14:textId="77777777" w:rsidR="00724034" w:rsidRDefault="00FB7D0B">
            <w:pPr>
              <w:jc w:val="right"/>
              <w:rPr>
                <w:rFonts w:ascii="Arial" w:eastAsia="Arial" w:hAnsi="Arial" w:cs="Arial"/>
                <w:color w:val="000000"/>
                <w:sz w:val="16"/>
              </w:rPr>
            </w:pPr>
            <w:r>
              <w:rPr>
                <w:rFonts w:ascii="Arial" w:eastAsia="Arial" w:hAnsi="Arial" w:cs="Arial"/>
                <w:color w:val="000000"/>
                <w:sz w:val="16"/>
              </w:rPr>
              <w:t xml:space="preserve"> 10,299 </w:t>
            </w:r>
          </w:p>
        </w:tc>
        <w:tc>
          <w:tcPr>
            <w:tcW w:w="0" w:type="auto"/>
            <w:tcBorders>
              <w:top w:val="nil"/>
              <w:left w:val="nil"/>
              <w:bottom w:val="single" w:sz="6" w:space="0" w:color="000000"/>
              <w:right w:val="single" w:sz="6" w:space="0" w:color="000000"/>
              <w:tl2br w:val="nil"/>
              <w:tr2bl w:val="nil"/>
            </w:tcBorders>
            <w:shd w:val="clear" w:color="auto" w:fill="FFFFFF"/>
            <w:tcMar>
              <w:left w:w="115" w:type="dxa"/>
              <w:right w:w="115" w:type="dxa"/>
            </w:tcMar>
            <w:vAlign w:val="bottom"/>
          </w:tcPr>
          <w:p w14:paraId="729CEA4E" w14:textId="77777777" w:rsidR="00724034" w:rsidRDefault="00FB7D0B">
            <w:pPr>
              <w:jc w:val="right"/>
              <w:rPr>
                <w:rFonts w:ascii="Arial" w:eastAsia="Arial" w:hAnsi="Arial" w:cs="Arial"/>
                <w:color w:val="000000"/>
                <w:sz w:val="16"/>
              </w:rPr>
            </w:pPr>
            <w:r>
              <w:rPr>
                <w:rFonts w:ascii="Arial" w:eastAsia="Arial" w:hAnsi="Arial" w:cs="Arial"/>
                <w:color w:val="000000"/>
                <w:sz w:val="16"/>
              </w:rPr>
              <w:t xml:space="preserve"> 9,673 </w:t>
            </w:r>
          </w:p>
        </w:tc>
      </w:tr>
    </w:tbl>
    <w:p w14:paraId="06916817" w14:textId="77777777" w:rsidR="00724034" w:rsidRDefault="00724034">
      <w:pPr>
        <w:rPr>
          <w:rFonts w:ascii="Book Antiqua" w:eastAsia="Book Antiqua" w:hAnsi="Book Antiqua" w:cs="Book Antiqu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20"/>
        <w:gridCol w:w="975"/>
        <w:gridCol w:w="975"/>
        <w:gridCol w:w="975"/>
        <w:gridCol w:w="975"/>
        <w:gridCol w:w="975"/>
        <w:gridCol w:w="16"/>
      </w:tblGrid>
      <w:tr w:rsidR="00724034" w14:paraId="561532CA" w14:textId="77777777" w:rsidTr="003F0EEA">
        <w:tc>
          <w:tcPr>
            <w:tcW w:w="8011" w:type="dxa"/>
            <w:gridSpan w:val="7"/>
            <w:tcBorders>
              <w:top w:val="single" w:sz="4" w:space="0" w:color="auto"/>
              <w:left w:val="single" w:sz="4" w:space="0" w:color="auto"/>
              <w:bottom w:val="single" w:sz="4" w:space="0" w:color="auto"/>
              <w:right w:val="single" w:sz="4" w:space="0" w:color="auto"/>
            </w:tcBorders>
          </w:tcPr>
          <w:p w14:paraId="1352FC72" w14:textId="77777777" w:rsidR="003F0EEA" w:rsidRDefault="00FB7D0B" w:rsidP="003F0EEA">
            <w:pPr>
              <w:pStyle w:val="TableTextLeft11"/>
              <w:ind w:right="-108"/>
              <w:rPr>
                <w:b/>
              </w:rPr>
            </w:pPr>
            <w:r>
              <w:rPr>
                <w:b/>
              </w:rPr>
              <w:t>Programme 1.4 key performance indicators</w:t>
            </w:r>
          </w:p>
          <w:p w14:paraId="71AB5CD4" w14:textId="77777777" w:rsidR="003F0EEA" w:rsidRDefault="00FB7D0B" w:rsidP="003F0EEA">
            <w:pPr>
              <w:pStyle w:val="TableTextBullet6"/>
              <w:numPr>
                <w:ilvl w:val="0"/>
                <w:numId w:val="21"/>
              </w:numPr>
            </w:pPr>
            <w:r>
              <w:rPr>
                <w:rFonts w:cs="Arial"/>
              </w:rPr>
              <w:t>The following KPIs measure the impact of the Programme:</w:t>
            </w:r>
          </w:p>
        </w:tc>
      </w:tr>
      <w:tr w:rsidR="00724034" w14:paraId="3372FE97" w14:textId="77777777">
        <w:tblPrEx>
          <w:tblLook w:val="04A0" w:firstRow="1" w:lastRow="0" w:firstColumn="1" w:lastColumn="0" w:noHBand="0" w:noVBand="1"/>
        </w:tblPrEx>
        <w:trPr>
          <w:gridAfter w:val="1"/>
          <w:wAfter w:w="16" w:type="dxa"/>
          <w:trHeight w:val="225"/>
        </w:trPr>
        <w:tc>
          <w:tcPr>
            <w:tcW w:w="3120" w:type="dxa"/>
            <w:tcBorders>
              <w:top w:val="single" w:sz="6" w:space="0" w:color="000000"/>
              <w:left w:val="single" w:sz="6" w:space="0" w:color="000000"/>
              <w:bottom w:val="nil"/>
              <w:right w:val="nil"/>
              <w:tl2br w:val="nil"/>
              <w:tr2bl w:val="nil"/>
            </w:tcBorders>
            <w:shd w:val="clear" w:color="auto" w:fill="FFFFFF"/>
            <w:tcMar>
              <w:left w:w="101" w:type="dxa"/>
              <w:right w:w="101" w:type="dxa"/>
            </w:tcMar>
            <w:vAlign w:val="bottom"/>
          </w:tcPr>
          <w:p w14:paraId="064A604E" w14:textId="77777777" w:rsidR="00724034" w:rsidRDefault="00724034">
            <w:pPr>
              <w:jc w:val="center"/>
            </w:pPr>
          </w:p>
        </w:tc>
        <w:tc>
          <w:tcPr>
            <w:tcW w:w="97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6E5D398B" w14:textId="77777777" w:rsidR="00724034" w:rsidRDefault="00FB7D0B">
            <w:pPr>
              <w:jc w:val="right"/>
              <w:rPr>
                <w:rFonts w:ascii="Arial" w:eastAsia="Arial" w:hAnsi="Arial" w:cs="Arial"/>
                <w:b/>
                <w:color w:val="000000"/>
                <w:sz w:val="16"/>
              </w:rPr>
            </w:pPr>
            <w:r>
              <w:rPr>
                <w:rFonts w:ascii="Arial" w:eastAsia="Arial" w:hAnsi="Arial" w:cs="Arial"/>
                <w:color w:val="000000"/>
                <w:sz w:val="16"/>
              </w:rPr>
              <w:t>2013-14</w:t>
            </w:r>
          </w:p>
        </w:tc>
        <w:tc>
          <w:tcPr>
            <w:tcW w:w="975" w:type="dxa"/>
            <w:tcBorders>
              <w:top w:val="single" w:sz="6" w:space="0" w:color="000000"/>
              <w:left w:val="nil"/>
              <w:bottom w:val="nil"/>
              <w:right w:val="nil"/>
              <w:tl2br w:val="nil"/>
              <w:tr2bl w:val="nil"/>
            </w:tcBorders>
            <w:shd w:val="clear" w:color="auto" w:fill="FFFF00"/>
            <w:tcMar>
              <w:left w:w="101" w:type="dxa"/>
              <w:right w:w="101" w:type="dxa"/>
            </w:tcMar>
            <w:vAlign w:val="bottom"/>
          </w:tcPr>
          <w:p w14:paraId="097585F5" w14:textId="77777777" w:rsidR="00724034" w:rsidRDefault="00FB7D0B">
            <w:pPr>
              <w:jc w:val="right"/>
              <w:rPr>
                <w:rFonts w:ascii="Arial" w:eastAsia="Arial" w:hAnsi="Arial" w:cs="Arial"/>
                <w:color w:val="000000"/>
                <w:sz w:val="16"/>
              </w:rPr>
            </w:pPr>
            <w:r>
              <w:rPr>
                <w:rFonts w:ascii="Arial" w:eastAsia="Arial" w:hAnsi="Arial" w:cs="Arial"/>
                <w:color w:val="000000"/>
                <w:sz w:val="16"/>
              </w:rPr>
              <w:t>2014-15</w:t>
            </w:r>
          </w:p>
        </w:tc>
        <w:tc>
          <w:tcPr>
            <w:tcW w:w="97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7CA0B03D" w14:textId="77777777" w:rsidR="00724034" w:rsidRDefault="00FB7D0B">
            <w:pPr>
              <w:jc w:val="right"/>
              <w:rPr>
                <w:rFonts w:ascii="Arial" w:eastAsia="Arial" w:hAnsi="Arial" w:cs="Arial"/>
                <w:color w:val="000000"/>
                <w:sz w:val="16"/>
              </w:rPr>
            </w:pPr>
            <w:r>
              <w:rPr>
                <w:rFonts w:ascii="Arial" w:eastAsia="Arial" w:hAnsi="Arial" w:cs="Arial"/>
                <w:color w:val="000000"/>
                <w:sz w:val="16"/>
              </w:rPr>
              <w:t>2015-16</w:t>
            </w:r>
          </w:p>
        </w:tc>
        <w:tc>
          <w:tcPr>
            <w:tcW w:w="97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3B9602C1" w14:textId="77777777" w:rsidR="00724034" w:rsidRDefault="00FB7D0B">
            <w:pPr>
              <w:jc w:val="right"/>
              <w:rPr>
                <w:rFonts w:ascii="Arial" w:eastAsia="Arial" w:hAnsi="Arial" w:cs="Arial"/>
                <w:color w:val="000000"/>
                <w:sz w:val="16"/>
              </w:rPr>
            </w:pPr>
            <w:r>
              <w:rPr>
                <w:rFonts w:ascii="Arial" w:eastAsia="Arial" w:hAnsi="Arial" w:cs="Arial"/>
                <w:color w:val="000000"/>
                <w:sz w:val="16"/>
              </w:rPr>
              <w:t>2016-17</w:t>
            </w:r>
          </w:p>
        </w:tc>
        <w:tc>
          <w:tcPr>
            <w:tcW w:w="975" w:type="dxa"/>
            <w:tcBorders>
              <w:top w:val="single" w:sz="6" w:space="0" w:color="000000"/>
              <w:left w:val="nil"/>
              <w:bottom w:val="nil"/>
              <w:right w:val="single" w:sz="6" w:space="0" w:color="000000"/>
              <w:tl2br w:val="nil"/>
              <w:tr2bl w:val="nil"/>
            </w:tcBorders>
            <w:shd w:val="clear" w:color="auto" w:fill="FFFFFF"/>
            <w:tcMar>
              <w:left w:w="101" w:type="dxa"/>
              <w:right w:w="101" w:type="dxa"/>
            </w:tcMar>
            <w:vAlign w:val="bottom"/>
          </w:tcPr>
          <w:p w14:paraId="04F483DA" w14:textId="77777777" w:rsidR="00724034" w:rsidRDefault="00FB7D0B">
            <w:pPr>
              <w:jc w:val="right"/>
              <w:rPr>
                <w:rFonts w:ascii="Arial" w:eastAsia="Arial" w:hAnsi="Arial" w:cs="Arial"/>
                <w:color w:val="000000"/>
                <w:sz w:val="16"/>
              </w:rPr>
            </w:pPr>
            <w:r>
              <w:rPr>
                <w:rFonts w:ascii="Arial" w:eastAsia="Arial" w:hAnsi="Arial" w:cs="Arial"/>
                <w:color w:val="000000"/>
                <w:sz w:val="16"/>
              </w:rPr>
              <w:t>2017-18</w:t>
            </w:r>
          </w:p>
        </w:tc>
      </w:tr>
      <w:tr w:rsidR="00724034" w14:paraId="5277CA5D" w14:textId="77777777">
        <w:tblPrEx>
          <w:tblLook w:val="04A0" w:firstRow="1" w:lastRow="0" w:firstColumn="1" w:lastColumn="0" w:noHBand="0" w:noVBand="1"/>
        </w:tblPrEx>
        <w:trPr>
          <w:gridAfter w:val="1"/>
          <w:wAfter w:w="16" w:type="dxa"/>
          <w:trHeight w:val="225"/>
        </w:trPr>
        <w:tc>
          <w:tcPr>
            <w:tcW w:w="3120" w:type="dxa"/>
            <w:tcBorders>
              <w:top w:val="nil"/>
              <w:left w:val="single" w:sz="6" w:space="0" w:color="000000"/>
              <w:bottom w:val="nil"/>
              <w:right w:val="nil"/>
              <w:tl2br w:val="nil"/>
              <w:tr2bl w:val="nil"/>
            </w:tcBorders>
            <w:shd w:val="clear" w:color="auto" w:fill="FFFFFF"/>
            <w:tcMar>
              <w:left w:w="101" w:type="dxa"/>
              <w:right w:w="101" w:type="dxa"/>
            </w:tcMar>
            <w:vAlign w:val="bottom"/>
          </w:tcPr>
          <w:p w14:paraId="5D9DA9C4" w14:textId="77777777" w:rsidR="00724034" w:rsidRDefault="00FB7D0B">
            <w:pPr>
              <w:rPr>
                <w:rFonts w:ascii="Arial" w:eastAsia="Arial" w:hAnsi="Arial" w:cs="Arial"/>
                <w:color w:val="000000"/>
                <w:sz w:val="16"/>
              </w:rPr>
            </w:pPr>
            <w:r>
              <w:rPr>
                <w:rFonts w:ascii="Arial" w:eastAsia="Arial" w:hAnsi="Arial" w:cs="Arial"/>
                <w:color w:val="000000"/>
                <w:sz w:val="16"/>
              </w:rPr>
              <w:t>Key Performance</w:t>
            </w:r>
          </w:p>
        </w:tc>
        <w:tc>
          <w:tcPr>
            <w:tcW w:w="975" w:type="dxa"/>
            <w:tcBorders>
              <w:top w:val="nil"/>
              <w:left w:val="nil"/>
              <w:bottom w:val="nil"/>
              <w:right w:val="nil"/>
              <w:tl2br w:val="nil"/>
              <w:tr2bl w:val="nil"/>
            </w:tcBorders>
            <w:shd w:val="clear" w:color="auto" w:fill="FFFFFF"/>
            <w:tcMar>
              <w:left w:w="101" w:type="dxa"/>
              <w:right w:w="101" w:type="dxa"/>
            </w:tcMar>
            <w:vAlign w:val="bottom"/>
          </w:tcPr>
          <w:p w14:paraId="0486A5EA" w14:textId="77777777" w:rsidR="00724034" w:rsidRDefault="00FB7D0B">
            <w:pPr>
              <w:jc w:val="right"/>
              <w:rPr>
                <w:rFonts w:ascii="Arial" w:eastAsia="Arial" w:hAnsi="Arial" w:cs="Arial"/>
                <w:color w:val="000000"/>
                <w:sz w:val="16"/>
              </w:rPr>
            </w:pPr>
            <w:r>
              <w:rPr>
                <w:rFonts w:ascii="Arial" w:eastAsia="Arial" w:hAnsi="Arial" w:cs="Arial"/>
                <w:color w:val="000000"/>
                <w:sz w:val="16"/>
              </w:rPr>
              <w:t>Revised</w:t>
            </w:r>
          </w:p>
        </w:tc>
        <w:tc>
          <w:tcPr>
            <w:tcW w:w="975" w:type="dxa"/>
            <w:tcBorders>
              <w:top w:val="nil"/>
              <w:left w:val="nil"/>
              <w:bottom w:val="nil"/>
              <w:right w:val="nil"/>
              <w:tl2br w:val="nil"/>
              <w:tr2bl w:val="nil"/>
            </w:tcBorders>
            <w:shd w:val="clear" w:color="auto" w:fill="FFFF00"/>
            <w:tcMar>
              <w:left w:w="101" w:type="dxa"/>
              <w:right w:w="101" w:type="dxa"/>
            </w:tcMar>
            <w:vAlign w:val="bottom"/>
          </w:tcPr>
          <w:p w14:paraId="3C97B017" w14:textId="77777777" w:rsidR="00724034" w:rsidRDefault="00FB7D0B">
            <w:pPr>
              <w:jc w:val="right"/>
              <w:rPr>
                <w:rFonts w:ascii="Arial" w:eastAsia="Arial" w:hAnsi="Arial" w:cs="Arial"/>
                <w:color w:val="000000"/>
                <w:sz w:val="16"/>
              </w:rPr>
            </w:pPr>
            <w:r>
              <w:rPr>
                <w:rFonts w:ascii="Arial" w:eastAsia="Arial" w:hAnsi="Arial" w:cs="Arial"/>
                <w:color w:val="000000"/>
                <w:sz w:val="16"/>
              </w:rPr>
              <w:t>Budget</w:t>
            </w:r>
          </w:p>
        </w:tc>
        <w:tc>
          <w:tcPr>
            <w:tcW w:w="975" w:type="dxa"/>
            <w:tcBorders>
              <w:top w:val="nil"/>
              <w:left w:val="nil"/>
              <w:bottom w:val="nil"/>
              <w:right w:val="nil"/>
              <w:tl2br w:val="nil"/>
              <w:tr2bl w:val="nil"/>
            </w:tcBorders>
            <w:shd w:val="clear" w:color="auto" w:fill="FFFFFF"/>
            <w:tcMar>
              <w:left w:w="101" w:type="dxa"/>
              <w:right w:w="101" w:type="dxa"/>
            </w:tcMar>
            <w:vAlign w:val="bottom"/>
          </w:tcPr>
          <w:p w14:paraId="224B3108" w14:textId="77777777" w:rsidR="00724034" w:rsidRDefault="00FB7D0B">
            <w:pPr>
              <w:jc w:val="right"/>
              <w:rPr>
                <w:rFonts w:ascii="Arial" w:eastAsia="Arial" w:hAnsi="Arial" w:cs="Arial"/>
                <w:color w:val="000000"/>
                <w:sz w:val="16"/>
              </w:rPr>
            </w:pPr>
            <w:r>
              <w:rPr>
                <w:rFonts w:ascii="Arial" w:eastAsia="Arial" w:hAnsi="Arial" w:cs="Arial"/>
                <w:color w:val="000000"/>
                <w:sz w:val="16"/>
              </w:rPr>
              <w:t>Forward</w:t>
            </w:r>
          </w:p>
        </w:tc>
        <w:tc>
          <w:tcPr>
            <w:tcW w:w="975" w:type="dxa"/>
            <w:tcBorders>
              <w:top w:val="nil"/>
              <w:left w:val="nil"/>
              <w:bottom w:val="nil"/>
              <w:right w:val="nil"/>
              <w:tl2br w:val="nil"/>
              <w:tr2bl w:val="nil"/>
            </w:tcBorders>
            <w:shd w:val="clear" w:color="auto" w:fill="FFFFFF"/>
            <w:tcMar>
              <w:left w:w="101" w:type="dxa"/>
              <w:right w:w="101" w:type="dxa"/>
            </w:tcMar>
            <w:vAlign w:val="bottom"/>
          </w:tcPr>
          <w:p w14:paraId="39A4CF1B" w14:textId="77777777" w:rsidR="00724034" w:rsidRDefault="00FB7D0B">
            <w:pPr>
              <w:jc w:val="right"/>
              <w:rPr>
                <w:rFonts w:ascii="Arial" w:eastAsia="Arial" w:hAnsi="Arial" w:cs="Arial"/>
                <w:color w:val="000000"/>
                <w:sz w:val="16"/>
              </w:rPr>
            </w:pPr>
            <w:r>
              <w:rPr>
                <w:rFonts w:ascii="Arial" w:eastAsia="Arial" w:hAnsi="Arial" w:cs="Arial"/>
                <w:color w:val="000000"/>
                <w:sz w:val="16"/>
              </w:rPr>
              <w:t>Forward</w:t>
            </w:r>
          </w:p>
        </w:tc>
        <w:tc>
          <w:tcPr>
            <w:tcW w:w="975" w:type="dxa"/>
            <w:tcBorders>
              <w:top w:val="nil"/>
              <w:left w:val="nil"/>
              <w:bottom w:val="nil"/>
              <w:right w:val="single" w:sz="6" w:space="0" w:color="000000"/>
              <w:tl2br w:val="nil"/>
              <w:tr2bl w:val="nil"/>
            </w:tcBorders>
            <w:shd w:val="clear" w:color="auto" w:fill="FFFFFF"/>
            <w:tcMar>
              <w:left w:w="101" w:type="dxa"/>
              <w:right w:w="101" w:type="dxa"/>
            </w:tcMar>
            <w:vAlign w:val="bottom"/>
          </w:tcPr>
          <w:p w14:paraId="02AA186D" w14:textId="77777777" w:rsidR="00724034" w:rsidRDefault="00FB7D0B">
            <w:pPr>
              <w:jc w:val="right"/>
              <w:rPr>
                <w:rFonts w:ascii="Arial" w:eastAsia="Arial" w:hAnsi="Arial" w:cs="Arial"/>
                <w:color w:val="000000"/>
                <w:sz w:val="16"/>
              </w:rPr>
            </w:pPr>
            <w:r>
              <w:rPr>
                <w:rFonts w:ascii="Arial" w:eastAsia="Arial" w:hAnsi="Arial" w:cs="Arial"/>
                <w:color w:val="000000"/>
                <w:sz w:val="16"/>
              </w:rPr>
              <w:t>Forward</w:t>
            </w:r>
          </w:p>
        </w:tc>
      </w:tr>
      <w:tr w:rsidR="00724034" w14:paraId="5511DFB5" w14:textId="77777777">
        <w:tblPrEx>
          <w:tblLook w:val="04A0" w:firstRow="1" w:lastRow="0" w:firstColumn="1" w:lastColumn="0" w:noHBand="0" w:noVBand="1"/>
        </w:tblPrEx>
        <w:trPr>
          <w:gridAfter w:val="1"/>
          <w:wAfter w:w="16" w:type="dxa"/>
          <w:trHeight w:val="225"/>
        </w:trPr>
        <w:tc>
          <w:tcPr>
            <w:tcW w:w="3120" w:type="dxa"/>
            <w:tcBorders>
              <w:top w:val="nil"/>
              <w:left w:val="single" w:sz="6" w:space="0" w:color="000000"/>
              <w:bottom w:val="single" w:sz="6" w:space="0" w:color="000000"/>
              <w:right w:val="nil"/>
              <w:tl2br w:val="nil"/>
              <w:tr2bl w:val="nil"/>
            </w:tcBorders>
            <w:shd w:val="clear" w:color="auto" w:fill="FFFFFF"/>
            <w:tcMar>
              <w:left w:w="101" w:type="dxa"/>
              <w:right w:w="101" w:type="dxa"/>
            </w:tcMar>
            <w:vAlign w:val="bottom"/>
          </w:tcPr>
          <w:p w14:paraId="589B378A" w14:textId="77777777" w:rsidR="00724034" w:rsidRDefault="00FB7D0B">
            <w:pPr>
              <w:rPr>
                <w:rFonts w:ascii="Arial" w:eastAsia="Arial" w:hAnsi="Arial" w:cs="Arial"/>
                <w:color w:val="000000"/>
                <w:sz w:val="16"/>
              </w:rPr>
            </w:pPr>
            <w:r>
              <w:rPr>
                <w:rFonts w:ascii="Arial" w:eastAsia="Arial" w:hAnsi="Arial" w:cs="Arial"/>
                <w:color w:val="000000"/>
                <w:sz w:val="16"/>
              </w:rPr>
              <w:t>Indicators</w:t>
            </w:r>
          </w:p>
        </w:tc>
        <w:tc>
          <w:tcPr>
            <w:tcW w:w="975"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55AE8D3C" w14:textId="77777777" w:rsidR="00724034" w:rsidRDefault="00FB7D0B">
            <w:pPr>
              <w:jc w:val="right"/>
              <w:rPr>
                <w:rFonts w:ascii="Arial" w:eastAsia="Arial" w:hAnsi="Arial" w:cs="Arial"/>
                <w:color w:val="000000"/>
                <w:sz w:val="16"/>
              </w:rPr>
            </w:pPr>
            <w:r>
              <w:rPr>
                <w:rFonts w:ascii="Arial" w:eastAsia="Arial" w:hAnsi="Arial" w:cs="Arial"/>
                <w:color w:val="000000"/>
                <w:sz w:val="16"/>
              </w:rPr>
              <w:t>budget</w:t>
            </w:r>
          </w:p>
        </w:tc>
        <w:tc>
          <w:tcPr>
            <w:tcW w:w="975" w:type="dxa"/>
            <w:tcBorders>
              <w:top w:val="nil"/>
              <w:left w:val="nil"/>
              <w:bottom w:val="single" w:sz="6" w:space="0" w:color="000000"/>
              <w:right w:val="nil"/>
              <w:tl2br w:val="nil"/>
              <w:tr2bl w:val="nil"/>
            </w:tcBorders>
            <w:shd w:val="clear" w:color="auto" w:fill="FFFF00"/>
            <w:tcMar>
              <w:left w:w="101" w:type="dxa"/>
              <w:right w:w="101" w:type="dxa"/>
            </w:tcMar>
            <w:vAlign w:val="bottom"/>
          </w:tcPr>
          <w:p w14:paraId="246D2A6A" w14:textId="77777777" w:rsidR="00724034" w:rsidRDefault="00FB7D0B">
            <w:pPr>
              <w:jc w:val="right"/>
              <w:rPr>
                <w:rFonts w:ascii="Arial" w:eastAsia="Arial" w:hAnsi="Arial" w:cs="Arial"/>
                <w:color w:val="000000"/>
                <w:sz w:val="16"/>
              </w:rPr>
            </w:pPr>
            <w:r>
              <w:rPr>
                <w:rFonts w:ascii="Arial" w:eastAsia="Arial" w:hAnsi="Arial" w:cs="Arial"/>
                <w:color w:val="000000"/>
                <w:sz w:val="16"/>
              </w:rPr>
              <w:t>target</w:t>
            </w:r>
          </w:p>
        </w:tc>
        <w:tc>
          <w:tcPr>
            <w:tcW w:w="975"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0B00E267" w14:textId="77777777" w:rsidR="00724034" w:rsidRDefault="00FB7D0B">
            <w:pPr>
              <w:jc w:val="right"/>
              <w:rPr>
                <w:rFonts w:ascii="Arial" w:eastAsia="Arial" w:hAnsi="Arial" w:cs="Arial"/>
                <w:color w:val="000000"/>
                <w:sz w:val="16"/>
              </w:rPr>
            </w:pPr>
            <w:r>
              <w:rPr>
                <w:rFonts w:ascii="Arial" w:eastAsia="Arial" w:hAnsi="Arial" w:cs="Arial"/>
                <w:color w:val="000000"/>
                <w:sz w:val="16"/>
              </w:rPr>
              <w:t>year 1</w:t>
            </w:r>
          </w:p>
        </w:tc>
        <w:tc>
          <w:tcPr>
            <w:tcW w:w="975"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3BFA3E3E" w14:textId="77777777" w:rsidR="00724034" w:rsidRDefault="00FB7D0B">
            <w:pPr>
              <w:jc w:val="right"/>
              <w:rPr>
                <w:rFonts w:ascii="Arial" w:eastAsia="Arial" w:hAnsi="Arial" w:cs="Arial"/>
                <w:color w:val="000000"/>
                <w:sz w:val="16"/>
              </w:rPr>
            </w:pPr>
            <w:r>
              <w:rPr>
                <w:rFonts w:ascii="Arial" w:eastAsia="Arial" w:hAnsi="Arial" w:cs="Arial"/>
                <w:color w:val="000000"/>
                <w:sz w:val="16"/>
              </w:rPr>
              <w:t>year 2</w:t>
            </w:r>
          </w:p>
        </w:tc>
        <w:tc>
          <w:tcPr>
            <w:tcW w:w="975" w:type="dxa"/>
            <w:tcBorders>
              <w:top w:val="nil"/>
              <w:left w:val="nil"/>
              <w:bottom w:val="single" w:sz="6" w:space="0" w:color="000000"/>
              <w:right w:val="single" w:sz="6" w:space="0" w:color="000000"/>
              <w:tl2br w:val="nil"/>
              <w:tr2bl w:val="nil"/>
            </w:tcBorders>
            <w:shd w:val="clear" w:color="auto" w:fill="FFFFFF"/>
            <w:tcMar>
              <w:left w:w="101" w:type="dxa"/>
              <w:right w:w="101" w:type="dxa"/>
            </w:tcMar>
            <w:vAlign w:val="bottom"/>
          </w:tcPr>
          <w:p w14:paraId="0A32AC8A" w14:textId="77777777" w:rsidR="00724034" w:rsidRDefault="00FB7D0B">
            <w:pPr>
              <w:jc w:val="right"/>
              <w:rPr>
                <w:rFonts w:ascii="Arial" w:eastAsia="Arial" w:hAnsi="Arial" w:cs="Arial"/>
                <w:color w:val="000000"/>
                <w:sz w:val="16"/>
              </w:rPr>
            </w:pPr>
            <w:r>
              <w:rPr>
                <w:rFonts w:ascii="Arial" w:eastAsia="Arial" w:hAnsi="Arial" w:cs="Arial"/>
                <w:color w:val="000000"/>
                <w:sz w:val="16"/>
              </w:rPr>
              <w:t>year 3</w:t>
            </w:r>
          </w:p>
        </w:tc>
      </w:tr>
      <w:tr w:rsidR="00724034" w14:paraId="5781690C" w14:textId="77777777">
        <w:tblPrEx>
          <w:tblLook w:val="04A0" w:firstRow="1" w:lastRow="0" w:firstColumn="1" w:lastColumn="0" w:noHBand="0" w:noVBand="1"/>
        </w:tblPrEx>
        <w:trPr>
          <w:gridAfter w:val="1"/>
          <w:wAfter w:w="16" w:type="dxa"/>
          <w:trHeight w:hRule="exact" w:val="60"/>
        </w:trPr>
        <w:tc>
          <w:tcPr>
            <w:tcW w:w="3120" w:type="dxa"/>
            <w:tcBorders>
              <w:top w:val="single" w:sz="6" w:space="0" w:color="000000"/>
              <w:left w:val="single" w:sz="6" w:space="0" w:color="000000"/>
              <w:bottom w:val="nil"/>
              <w:right w:val="nil"/>
              <w:tl2br w:val="nil"/>
              <w:tr2bl w:val="nil"/>
            </w:tcBorders>
            <w:shd w:val="clear" w:color="auto" w:fill="FFFFFF"/>
            <w:tcMar>
              <w:left w:w="101" w:type="dxa"/>
              <w:right w:w="101" w:type="dxa"/>
            </w:tcMar>
            <w:vAlign w:val="bottom"/>
          </w:tcPr>
          <w:p w14:paraId="29BFF7B9" w14:textId="77777777" w:rsidR="00724034" w:rsidRDefault="00724034">
            <w:pPr>
              <w:rPr>
                <w:rFonts w:ascii="Arial" w:eastAsia="Arial" w:hAnsi="Arial" w:cs="Arial"/>
                <w:color w:val="000000"/>
                <w:sz w:val="16"/>
              </w:rPr>
            </w:pPr>
          </w:p>
        </w:tc>
        <w:tc>
          <w:tcPr>
            <w:tcW w:w="97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448F4D4C" w14:textId="77777777" w:rsidR="00724034" w:rsidRDefault="00724034">
            <w:pPr>
              <w:jc w:val="right"/>
              <w:rPr>
                <w:rFonts w:ascii="Arial" w:eastAsia="Arial" w:hAnsi="Arial" w:cs="Arial"/>
                <w:color w:val="000000"/>
                <w:sz w:val="16"/>
              </w:rPr>
            </w:pPr>
          </w:p>
        </w:tc>
        <w:tc>
          <w:tcPr>
            <w:tcW w:w="975" w:type="dxa"/>
            <w:tcBorders>
              <w:top w:val="single" w:sz="6" w:space="0" w:color="000000"/>
              <w:left w:val="nil"/>
              <w:bottom w:val="nil"/>
              <w:right w:val="nil"/>
              <w:tl2br w:val="nil"/>
              <w:tr2bl w:val="nil"/>
            </w:tcBorders>
            <w:shd w:val="clear" w:color="auto" w:fill="FFFF00"/>
            <w:tcMar>
              <w:left w:w="101" w:type="dxa"/>
              <w:right w:w="101" w:type="dxa"/>
            </w:tcMar>
            <w:vAlign w:val="bottom"/>
          </w:tcPr>
          <w:p w14:paraId="48953553" w14:textId="77777777" w:rsidR="00724034" w:rsidRDefault="00724034">
            <w:pPr>
              <w:jc w:val="right"/>
              <w:rPr>
                <w:rFonts w:ascii="Arial" w:eastAsia="Arial" w:hAnsi="Arial" w:cs="Arial"/>
                <w:color w:val="000000"/>
                <w:sz w:val="16"/>
              </w:rPr>
            </w:pPr>
          </w:p>
        </w:tc>
        <w:tc>
          <w:tcPr>
            <w:tcW w:w="97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1F2B8D64" w14:textId="77777777" w:rsidR="00724034" w:rsidRDefault="00724034">
            <w:pPr>
              <w:jc w:val="right"/>
              <w:rPr>
                <w:rFonts w:ascii="Arial" w:eastAsia="Arial" w:hAnsi="Arial" w:cs="Arial"/>
                <w:color w:val="000000"/>
                <w:sz w:val="16"/>
              </w:rPr>
            </w:pPr>
          </w:p>
        </w:tc>
        <w:tc>
          <w:tcPr>
            <w:tcW w:w="97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64DBFFCE" w14:textId="77777777" w:rsidR="00724034" w:rsidRDefault="00724034">
            <w:pPr>
              <w:jc w:val="right"/>
              <w:rPr>
                <w:rFonts w:ascii="Arial" w:eastAsia="Arial" w:hAnsi="Arial" w:cs="Arial"/>
                <w:color w:val="000000"/>
                <w:sz w:val="16"/>
              </w:rPr>
            </w:pPr>
          </w:p>
        </w:tc>
        <w:tc>
          <w:tcPr>
            <w:tcW w:w="975" w:type="dxa"/>
            <w:tcBorders>
              <w:top w:val="single" w:sz="6" w:space="0" w:color="000000"/>
              <w:left w:val="nil"/>
              <w:bottom w:val="nil"/>
              <w:right w:val="single" w:sz="6" w:space="0" w:color="000000"/>
              <w:tl2br w:val="nil"/>
              <w:tr2bl w:val="nil"/>
            </w:tcBorders>
            <w:shd w:val="clear" w:color="auto" w:fill="FFFFFF"/>
            <w:tcMar>
              <w:left w:w="101" w:type="dxa"/>
              <w:right w:w="101" w:type="dxa"/>
            </w:tcMar>
            <w:vAlign w:val="bottom"/>
          </w:tcPr>
          <w:p w14:paraId="66F170CD" w14:textId="77777777" w:rsidR="00724034" w:rsidRDefault="00724034">
            <w:pPr>
              <w:jc w:val="right"/>
              <w:rPr>
                <w:rFonts w:ascii="Arial" w:eastAsia="Arial" w:hAnsi="Arial" w:cs="Arial"/>
                <w:color w:val="000000"/>
                <w:sz w:val="16"/>
              </w:rPr>
            </w:pPr>
          </w:p>
        </w:tc>
      </w:tr>
      <w:tr w:rsidR="00724034" w14:paraId="79A98736" w14:textId="77777777">
        <w:tblPrEx>
          <w:tblLook w:val="04A0" w:firstRow="1" w:lastRow="0" w:firstColumn="1" w:lastColumn="0" w:noHBand="0" w:noVBand="1"/>
        </w:tblPrEx>
        <w:trPr>
          <w:gridAfter w:val="1"/>
          <w:wAfter w:w="16" w:type="dxa"/>
          <w:trHeight w:val="225"/>
        </w:trPr>
        <w:tc>
          <w:tcPr>
            <w:tcW w:w="3120" w:type="dxa"/>
            <w:tcBorders>
              <w:top w:val="nil"/>
              <w:left w:val="single" w:sz="6" w:space="0" w:color="000000"/>
              <w:bottom w:val="nil"/>
              <w:right w:val="nil"/>
              <w:tl2br w:val="nil"/>
              <w:tr2bl w:val="nil"/>
            </w:tcBorders>
            <w:shd w:val="clear" w:color="auto" w:fill="FFFFFF"/>
            <w:tcMar>
              <w:left w:w="101" w:type="dxa"/>
              <w:right w:w="101" w:type="dxa"/>
            </w:tcMar>
            <w:vAlign w:val="bottom"/>
          </w:tcPr>
          <w:p w14:paraId="1AA7E5E0" w14:textId="77777777" w:rsidR="00724034" w:rsidRDefault="00FB7D0B">
            <w:pPr>
              <w:rPr>
                <w:rFonts w:ascii="Arial" w:eastAsia="Arial" w:hAnsi="Arial" w:cs="Arial"/>
                <w:color w:val="000000"/>
                <w:sz w:val="16"/>
              </w:rPr>
            </w:pPr>
            <w:r>
              <w:rPr>
                <w:rFonts w:ascii="Arial" w:eastAsia="Arial" w:hAnsi="Arial" w:cs="Arial"/>
                <w:b/>
                <w:i/>
                <w:color w:val="000000"/>
                <w:sz w:val="16"/>
              </w:rPr>
              <w:t>Funeral Benefits</w:t>
            </w:r>
          </w:p>
        </w:tc>
        <w:tc>
          <w:tcPr>
            <w:tcW w:w="975" w:type="dxa"/>
            <w:tcBorders>
              <w:top w:val="nil"/>
              <w:left w:val="nil"/>
              <w:bottom w:val="nil"/>
              <w:right w:val="nil"/>
              <w:tl2br w:val="nil"/>
              <w:tr2bl w:val="nil"/>
            </w:tcBorders>
            <w:shd w:val="clear" w:color="auto" w:fill="FFFFFF"/>
            <w:tcMar>
              <w:left w:w="101" w:type="dxa"/>
              <w:right w:w="101" w:type="dxa"/>
            </w:tcMar>
            <w:vAlign w:val="bottom"/>
          </w:tcPr>
          <w:p w14:paraId="362A8729" w14:textId="77777777" w:rsidR="00724034" w:rsidRDefault="00724034">
            <w:pPr>
              <w:jc w:val="right"/>
              <w:rPr>
                <w:rFonts w:ascii="Arial" w:eastAsia="Arial" w:hAnsi="Arial" w:cs="Arial"/>
                <w:b/>
                <w:i/>
                <w:color w:val="000000"/>
                <w:sz w:val="16"/>
              </w:rPr>
            </w:pPr>
          </w:p>
        </w:tc>
        <w:tc>
          <w:tcPr>
            <w:tcW w:w="975" w:type="dxa"/>
            <w:tcBorders>
              <w:top w:val="nil"/>
              <w:left w:val="nil"/>
              <w:bottom w:val="nil"/>
              <w:right w:val="nil"/>
              <w:tl2br w:val="nil"/>
              <w:tr2bl w:val="nil"/>
            </w:tcBorders>
            <w:shd w:val="clear" w:color="auto" w:fill="FFFF00"/>
            <w:tcMar>
              <w:left w:w="101" w:type="dxa"/>
              <w:right w:w="101" w:type="dxa"/>
            </w:tcMar>
            <w:vAlign w:val="bottom"/>
          </w:tcPr>
          <w:p w14:paraId="188FFFFF" w14:textId="77777777" w:rsidR="00724034" w:rsidRDefault="00724034">
            <w:pPr>
              <w:jc w:val="right"/>
              <w:rPr>
                <w:rFonts w:ascii="Arial" w:eastAsia="Arial" w:hAnsi="Arial" w:cs="Arial"/>
                <w:color w:val="000000"/>
                <w:sz w:val="16"/>
              </w:rPr>
            </w:pPr>
          </w:p>
        </w:tc>
        <w:tc>
          <w:tcPr>
            <w:tcW w:w="975" w:type="dxa"/>
            <w:tcBorders>
              <w:top w:val="nil"/>
              <w:left w:val="nil"/>
              <w:bottom w:val="nil"/>
              <w:right w:val="nil"/>
              <w:tl2br w:val="nil"/>
              <w:tr2bl w:val="nil"/>
            </w:tcBorders>
            <w:shd w:val="clear" w:color="auto" w:fill="FFFFFF"/>
            <w:tcMar>
              <w:left w:w="101" w:type="dxa"/>
              <w:right w:w="101" w:type="dxa"/>
            </w:tcMar>
            <w:vAlign w:val="bottom"/>
          </w:tcPr>
          <w:p w14:paraId="675C93C7" w14:textId="77777777" w:rsidR="00724034" w:rsidRDefault="00724034">
            <w:pPr>
              <w:jc w:val="right"/>
              <w:rPr>
                <w:rFonts w:ascii="Arial" w:eastAsia="Arial" w:hAnsi="Arial" w:cs="Arial"/>
                <w:color w:val="000000"/>
                <w:sz w:val="16"/>
              </w:rPr>
            </w:pPr>
          </w:p>
        </w:tc>
        <w:tc>
          <w:tcPr>
            <w:tcW w:w="975" w:type="dxa"/>
            <w:tcBorders>
              <w:top w:val="nil"/>
              <w:left w:val="nil"/>
              <w:bottom w:val="nil"/>
              <w:right w:val="nil"/>
              <w:tl2br w:val="nil"/>
              <w:tr2bl w:val="nil"/>
            </w:tcBorders>
            <w:shd w:val="clear" w:color="auto" w:fill="FFFFFF"/>
            <w:tcMar>
              <w:left w:w="101" w:type="dxa"/>
              <w:right w:w="101" w:type="dxa"/>
            </w:tcMar>
            <w:vAlign w:val="bottom"/>
          </w:tcPr>
          <w:p w14:paraId="659E37B2" w14:textId="77777777" w:rsidR="00724034" w:rsidRDefault="00724034">
            <w:pPr>
              <w:jc w:val="right"/>
              <w:rPr>
                <w:rFonts w:ascii="Arial" w:eastAsia="Arial" w:hAnsi="Arial" w:cs="Arial"/>
                <w:color w:val="000000"/>
                <w:sz w:val="16"/>
              </w:rPr>
            </w:pPr>
          </w:p>
        </w:tc>
        <w:tc>
          <w:tcPr>
            <w:tcW w:w="975" w:type="dxa"/>
            <w:tcBorders>
              <w:top w:val="nil"/>
              <w:left w:val="nil"/>
              <w:bottom w:val="nil"/>
              <w:right w:val="single" w:sz="6" w:space="0" w:color="000000"/>
              <w:tl2br w:val="nil"/>
              <w:tr2bl w:val="nil"/>
            </w:tcBorders>
            <w:shd w:val="clear" w:color="auto" w:fill="FFFFFF"/>
            <w:tcMar>
              <w:left w:w="101" w:type="dxa"/>
              <w:right w:w="101" w:type="dxa"/>
            </w:tcMar>
            <w:vAlign w:val="bottom"/>
          </w:tcPr>
          <w:p w14:paraId="01CB91EB" w14:textId="77777777" w:rsidR="00724034" w:rsidRDefault="00724034">
            <w:pPr>
              <w:jc w:val="right"/>
              <w:rPr>
                <w:rFonts w:ascii="Arial" w:eastAsia="Arial" w:hAnsi="Arial" w:cs="Arial"/>
                <w:color w:val="000000"/>
                <w:sz w:val="16"/>
              </w:rPr>
            </w:pPr>
          </w:p>
        </w:tc>
      </w:tr>
      <w:tr w:rsidR="00724034" w14:paraId="65934B1B" w14:textId="77777777">
        <w:tblPrEx>
          <w:tblLook w:val="04A0" w:firstRow="1" w:lastRow="0" w:firstColumn="1" w:lastColumn="0" w:noHBand="0" w:noVBand="1"/>
        </w:tblPrEx>
        <w:trPr>
          <w:gridAfter w:val="1"/>
          <w:wAfter w:w="16" w:type="dxa"/>
          <w:trHeight w:hRule="exact" w:val="60"/>
        </w:trPr>
        <w:tc>
          <w:tcPr>
            <w:tcW w:w="3120" w:type="dxa"/>
            <w:tcBorders>
              <w:top w:val="nil"/>
              <w:left w:val="single" w:sz="6" w:space="0" w:color="000000"/>
              <w:bottom w:val="nil"/>
              <w:right w:val="nil"/>
              <w:tl2br w:val="nil"/>
              <w:tr2bl w:val="nil"/>
            </w:tcBorders>
            <w:shd w:val="clear" w:color="auto" w:fill="FFFFFF"/>
            <w:tcMar>
              <w:left w:w="101" w:type="dxa"/>
              <w:right w:w="101" w:type="dxa"/>
            </w:tcMar>
            <w:vAlign w:val="bottom"/>
          </w:tcPr>
          <w:p w14:paraId="77B50E37" w14:textId="77777777" w:rsidR="00724034" w:rsidRDefault="00724034">
            <w:pPr>
              <w:rPr>
                <w:rFonts w:ascii="Arial" w:eastAsia="Arial" w:hAnsi="Arial" w:cs="Arial"/>
                <w:color w:val="000000"/>
                <w:sz w:val="16"/>
              </w:rPr>
            </w:pPr>
          </w:p>
        </w:tc>
        <w:tc>
          <w:tcPr>
            <w:tcW w:w="975" w:type="dxa"/>
            <w:tcBorders>
              <w:top w:val="nil"/>
              <w:left w:val="nil"/>
              <w:bottom w:val="nil"/>
              <w:right w:val="nil"/>
              <w:tl2br w:val="nil"/>
              <w:tr2bl w:val="nil"/>
            </w:tcBorders>
            <w:shd w:val="clear" w:color="auto" w:fill="FFFFFF"/>
            <w:tcMar>
              <w:left w:w="101" w:type="dxa"/>
              <w:right w:w="101" w:type="dxa"/>
            </w:tcMar>
            <w:vAlign w:val="bottom"/>
          </w:tcPr>
          <w:p w14:paraId="77EF3E9A" w14:textId="77777777" w:rsidR="00724034" w:rsidRDefault="00724034">
            <w:pPr>
              <w:jc w:val="right"/>
              <w:rPr>
                <w:rFonts w:ascii="Arial" w:eastAsia="Arial" w:hAnsi="Arial" w:cs="Arial"/>
                <w:b/>
                <w:i/>
                <w:color w:val="000000"/>
                <w:sz w:val="16"/>
              </w:rPr>
            </w:pPr>
          </w:p>
        </w:tc>
        <w:tc>
          <w:tcPr>
            <w:tcW w:w="975" w:type="dxa"/>
            <w:tcBorders>
              <w:top w:val="nil"/>
              <w:left w:val="nil"/>
              <w:bottom w:val="nil"/>
              <w:right w:val="nil"/>
              <w:tl2br w:val="nil"/>
              <w:tr2bl w:val="nil"/>
            </w:tcBorders>
            <w:shd w:val="clear" w:color="auto" w:fill="FFFF00"/>
            <w:tcMar>
              <w:left w:w="101" w:type="dxa"/>
              <w:right w:w="101" w:type="dxa"/>
            </w:tcMar>
            <w:vAlign w:val="bottom"/>
          </w:tcPr>
          <w:p w14:paraId="30418611" w14:textId="77777777" w:rsidR="00724034" w:rsidRDefault="00724034">
            <w:pPr>
              <w:jc w:val="right"/>
              <w:rPr>
                <w:rFonts w:ascii="Arial" w:eastAsia="Arial" w:hAnsi="Arial" w:cs="Arial"/>
                <w:color w:val="000000"/>
                <w:sz w:val="16"/>
              </w:rPr>
            </w:pPr>
          </w:p>
        </w:tc>
        <w:tc>
          <w:tcPr>
            <w:tcW w:w="975" w:type="dxa"/>
            <w:tcBorders>
              <w:top w:val="nil"/>
              <w:left w:val="nil"/>
              <w:bottom w:val="nil"/>
              <w:right w:val="nil"/>
              <w:tl2br w:val="nil"/>
              <w:tr2bl w:val="nil"/>
            </w:tcBorders>
            <w:shd w:val="clear" w:color="auto" w:fill="FFFFFF"/>
            <w:tcMar>
              <w:left w:w="101" w:type="dxa"/>
              <w:right w:w="101" w:type="dxa"/>
            </w:tcMar>
            <w:vAlign w:val="bottom"/>
          </w:tcPr>
          <w:p w14:paraId="5CC11836" w14:textId="77777777" w:rsidR="00724034" w:rsidRDefault="00724034">
            <w:pPr>
              <w:jc w:val="right"/>
              <w:rPr>
                <w:rFonts w:ascii="Arial" w:eastAsia="Arial" w:hAnsi="Arial" w:cs="Arial"/>
                <w:color w:val="000000"/>
                <w:sz w:val="16"/>
              </w:rPr>
            </w:pPr>
          </w:p>
        </w:tc>
        <w:tc>
          <w:tcPr>
            <w:tcW w:w="975" w:type="dxa"/>
            <w:tcBorders>
              <w:top w:val="nil"/>
              <w:left w:val="nil"/>
              <w:bottom w:val="nil"/>
              <w:right w:val="nil"/>
              <w:tl2br w:val="nil"/>
              <w:tr2bl w:val="nil"/>
            </w:tcBorders>
            <w:shd w:val="clear" w:color="auto" w:fill="FFFFFF"/>
            <w:tcMar>
              <w:left w:w="101" w:type="dxa"/>
              <w:right w:w="101" w:type="dxa"/>
            </w:tcMar>
            <w:vAlign w:val="bottom"/>
          </w:tcPr>
          <w:p w14:paraId="76CAA7E1" w14:textId="77777777" w:rsidR="00724034" w:rsidRDefault="00724034">
            <w:pPr>
              <w:jc w:val="right"/>
              <w:rPr>
                <w:rFonts w:ascii="Arial" w:eastAsia="Arial" w:hAnsi="Arial" w:cs="Arial"/>
                <w:color w:val="000000"/>
                <w:sz w:val="16"/>
              </w:rPr>
            </w:pPr>
          </w:p>
        </w:tc>
        <w:tc>
          <w:tcPr>
            <w:tcW w:w="975" w:type="dxa"/>
            <w:tcBorders>
              <w:top w:val="nil"/>
              <w:left w:val="nil"/>
              <w:bottom w:val="nil"/>
              <w:right w:val="single" w:sz="6" w:space="0" w:color="000000"/>
              <w:tl2br w:val="nil"/>
              <w:tr2bl w:val="nil"/>
            </w:tcBorders>
            <w:shd w:val="clear" w:color="auto" w:fill="FFFFFF"/>
            <w:tcMar>
              <w:left w:w="101" w:type="dxa"/>
              <w:right w:w="101" w:type="dxa"/>
            </w:tcMar>
            <w:vAlign w:val="bottom"/>
          </w:tcPr>
          <w:p w14:paraId="579761E4" w14:textId="77777777" w:rsidR="00724034" w:rsidRDefault="00724034">
            <w:pPr>
              <w:jc w:val="right"/>
              <w:rPr>
                <w:rFonts w:ascii="Arial" w:eastAsia="Arial" w:hAnsi="Arial" w:cs="Arial"/>
                <w:color w:val="000000"/>
                <w:sz w:val="16"/>
              </w:rPr>
            </w:pPr>
          </w:p>
        </w:tc>
      </w:tr>
      <w:tr w:rsidR="00724034" w14:paraId="4A7F71BE" w14:textId="77777777">
        <w:tblPrEx>
          <w:tblLook w:val="04A0" w:firstRow="1" w:lastRow="0" w:firstColumn="1" w:lastColumn="0" w:noHBand="0" w:noVBand="1"/>
        </w:tblPrEx>
        <w:trPr>
          <w:gridAfter w:val="1"/>
          <w:wAfter w:w="16" w:type="dxa"/>
          <w:trHeight w:val="450"/>
        </w:trPr>
        <w:tc>
          <w:tcPr>
            <w:tcW w:w="3120" w:type="dxa"/>
            <w:tcBorders>
              <w:top w:val="nil"/>
              <w:left w:val="single" w:sz="6" w:space="0" w:color="000000"/>
              <w:bottom w:val="nil"/>
              <w:right w:val="nil"/>
              <w:tl2br w:val="nil"/>
              <w:tr2bl w:val="nil"/>
            </w:tcBorders>
            <w:shd w:val="clear" w:color="auto" w:fill="FFFFFF"/>
            <w:tcMar>
              <w:left w:w="101" w:type="dxa"/>
              <w:right w:w="101" w:type="dxa"/>
            </w:tcMar>
            <w:vAlign w:val="bottom"/>
          </w:tcPr>
          <w:p w14:paraId="5EB53E7F" w14:textId="77777777" w:rsidR="00724034" w:rsidRDefault="00FB7D0B">
            <w:pPr>
              <w:rPr>
                <w:rFonts w:ascii="Arial" w:eastAsia="Arial" w:hAnsi="Arial" w:cs="Arial"/>
                <w:color w:val="000000"/>
                <w:sz w:val="16"/>
              </w:rPr>
            </w:pPr>
            <w:r>
              <w:rPr>
                <w:rFonts w:ascii="Arial" w:eastAsia="Arial" w:hAnsi="Arial" w:cs="Arial"/>
                <w:i/>
                <w:color w:val="000000"/>
                <w:sz w:val="16"/>
              </w:rPr>
              <w:t xml:space="preserve">Timeliness: </w:t>
            </w:r>
            <w:r>
              <w:rPr>
                <w:rFonts w:ascii="Arial" w:eastAsia="Arial" w:hAnsi="Arial" w:cs="Arial"/>
                <w:color w:val="000000"/>
                <w:sz w:val="16"/>
              </w:rPr>
              <w:t>Mean time to process funeral benefits claims (days)</w:t>
            </w:r>
          </w:p>
        </w:tc>
        <w:tc>
          <w:tcPr>
            <w:tcW w:w="975" w:type="dxa"/>
            <w:tcBorders>
              <w:top w:val="nil"/>
              <w:left w:val="nil"/>
              <w:bottom w:val="nil"/>
              <w:right w:val="nil"/>
              <w:tl2br w:val="nil"/>
              <w:tr2bl w:val="nil"/>
            </w:tcBorders>
            <w:shd w:val="clear" w:color="auto" w:fill="FFFFFF"/>
            <w:tcMar>
              <w:left w:w="101" w:type="dxa"/>
              <w:right w:w="101" w:type="dxa"/>
            </w:tcMar>
            <w:vAlign w:val="bottom"/>
          </w:tcPr>
          <w:p w14:paraId="6A2B795B" w14:textId="77777777" w:rsidR="00724034" w:rsidRDefault="00FB7D0B">
            <w:pPr>
              <w:jc w:val="right"/>
              <w:rPr>
                <w:rFonts w:ascii="Arial" w:eastAsia="Arial" w:hAnsi="Arial" w:cs="Arial"/>
                <w:color w:val="000000"/>
                <w:sz w:val="16"/>
              </w:rPr>
            </w:pPr>
            <w:r>
              <w:rPr>
                <w:rFonts w:ascii="Arial" w:eastAsia="Arial" w:hAnsi="Arial" w:cs="Arial"/>
                <w:color w:val="000000"/>
                <w:sz w:val="16"/>
              </w:rPr>
              <w:t>10 </w:t>
            </w:r>
          </w:p>
        </w:tc>
        <w:tc>
          <w:tcPr>
            <w:tcW w:w="975" w:type="dxa"/>
            <w:tcBorders>
              <w:top w:val="nil"/>
              <w:left w:val="nil"/>
              <w:bottom w:val="nil"/>
              <w:right w:val="nil"/>
              <w:tl2br w:val="nil"/>
              <w:tr2bl w:val="nil"/>
            </w:tcBorders>
            <w:shd w:val="clear" w:color="auto" w:fill="FFFF00"/>
            <w:tcMar>
              <w:left w:w="101" w:type="dxa"/>
              <w:right w:w="101" w:type="dxa"/>
            </w:tcMar>
            <w:vAlign w:val="bottom"/>
          </w:tcPr>
          <w:p w14:paraId="20DB957E" w14:textId="77777777" w:rsidR="00724034" w:rsidRDefault="00FB7D0B">
            <w:pPr>
              <w:jc w:val="right"/>
              <w:rPr>
                <w:rFonts w:ascii="Arial" w:eastAsia="Arial" w:hAnsi="Arial" w:cs="Arial"/>
                <w:color w:val="000000"/>
                <w:sz w:val="16"/>
              </w:rPr>
            </w:pPr>
            <w:r>
              <w:rPr>
                <w:rFonts w:ascii="Arial" w:eastAsia="Arial" w:hAnsi="Arial" w:cs="Arial"/>
                <w:color w:val="000000"/>
                <w:sz w:val="16"/>
              </w:rPr>
              <w:t>10 </w:t>
            </w:r>
          </w:p>
        </w:tc>
        <w:tc>
          <w:tcPr>
            <w:tcW w:w="975" w:type="dxa"/>
            <w:tcBorders>
              <w:top w:val="nil"/>
              <w:left w:val="nil"/>
              <w:bottom w:val="nil"/>
              <w:right w:val="nil"/>
              <w:tl2br w:val="nil"/>
              <w:tr2bl w:val="nil"/>
            </w:tcBorders>
            <w:shd w:val="clear" w:color="auto" w:fill="FFFFFF"/>
            <w:tcMar>
              <w:left w:w="101" w:type="dxa"/>
              <w:right w:w="101" w:type="dxa"/>
            </w:tcMar>
            <w:vAlign w:val="bottom"/>
          </w:tcPr>
          <w:p w14:paraId="2302B8CD" w14:textId="77777777" w:rsidR="00724034" w:rsidRDefault="00FB7D0B">
            <w:pPr>
              <w:jc w:val="right"/>
              <w:rPr>
                <w:rFonts w:ascii="Arial" w:eastAsia="Arial" w:hAnsi="Arial" w:cs="Arial"/>
                <w:color w:val="000000"/>
                <w:sz w:val="16"/>
              </w:rPr>
            </w:pPr>
            <w:r>
              <w:rPr>
                <w:rFonts w:ascii="Arial" w:eastAsia="Arial" w:hAnsi="Arial" w:cs="Arial"/>
                <w:color w:val="000000"/>
                <w:sz w:val="16"/>
              </w:rPr>
              <w:t>10 </w:t>
            </w:r>
          </w:p>
        </w:tc>
        <w:tc>
          <w:tcPr>
            <w:tcW w:w="975" w:type="dxa"/>
            <w:tcBorders>
              <w:top w:val="nil"/>
              <w:left w:val="nil"/>
              <w:bottom w:val="nil"/>
              <w:right w:val="nil"/>
              <w:tl2br w:val="nil"/>
              <w:tr2bl w:val="nil"/>
            </w:tcBorders>
            <w:shd w:val="clear" w:color="auto" w:fill="FFFFFF"/>
            <w:tcMar>
              <w:left w:w="101" w:type="dxa"/>
              <w:right w:w="101" w:type="dxa"/>
            </w:tcMar>
            <w:vAlign w:val="bottom"/>
          </w:tcPr>
          <w:p w14:paraId="3A784287" w14:textId="77777777" w:rsidR="00724034" w:rsidRDefault="00FB7D0B">
            <w:pPr>
              <w:jc w:val="right"/>
              <w:rPr>
                <w:rFonts w:ascii="Arial" w:eastAsia="Arial" w:hAnsi="Arial" w:cs="Arial"/>
                <w:color w:val="000000"/>
                <w:sz w:val="16"/>
              </w:rPr>
            </w:pPr>
            <w:r>
              <w:rPr>
                <w:rFonts w:ascii="Arial" w:eastAsia="Arial" w:hAnsi="Arial" w:cs="Arial"/>
                <w:color w:val="000000"/>
                <w:sz w:val="16"/>
              </w:rPr>
              <w:t>10 </w:t>
            </w:r>
          </w:p>
        </w:tc>
        <w:tc>
          <w:tcPr>
            <w:tcW w:w="975" w:type="dxa"/>
            <w:tcBorders>
              <w:top w:val="nil"/>
              <w:left w:val="nil"/>
              <w:bottom w:val="nil"/>
              <w:right w:val="single" w:sz="6" w:space="0" w:color="000000"/>
              <w:tl2br w:val="nil"/>
              <w:tr2bl w:val="nil"/>
            </w:tcBorders>
            <w:shd w:val="clear" w:color="auto" w:fill="FFFFFF"/>
            <w:tcMar>
              <w:left w:w="101" w:type="dxa"/>
              <w:right w:w="101" w:type="dxa"/>
            </w:tcMar>
            <w:vAlign w:val="bottom"/>
          </w:tcPr>
          <w:p w14:paraId="329CF568" w14:textId="77777777" w:rsidR="00724034" w:rsidRDefault="00FB7D0B">
            <w:pPr>
              <w:jc w:val="right"/>
              <w:rPr>
                <w:rFonts w:ascii="Arial" w:eastAsia="Arial" w:hAnsi="Arial" w:cs="Arial"/>
                <w:color w:val="000000"/>
                <w:sz w:val="16"/>
              </w:rPr>
            </w:pPr>
            <w:r>
              <w:rPr>
                <w:rFonts w:ascii="Arial" w:eastAsia="Arial" w:hAnsi="Arial" w:cs="Arial"/>
                <w:color w:val="000000"/>
                <w:sz w:val="16"/>
              </w:rPr>
              <w:t>10 </w:t>
            </w:r>
          </w:p>
        </w:tc>
      </w:tr>
      <w:tr w:rsidR="00724034" w14:paraId="350199BB" w14:textId="77777777">
        <w:tblPrEx>
          <w:tblLook w:val="04A0" w:firstRow="1" w:lastRow="0" w:firstColumn="1" w:lastColumn="0" w:noHBand="0" w:noVBand="1"/>
        </w:tblPrEx>
        <w:trPr>
          <w:gridAfter w:val="1"/>
          <w:wAfter w:w="16" w:type="dxa"/>
          <w:trHeight w:hRule="exact" w:val="60"/>
        </w:trPr>
        <w:tc>
          <w:tcPr>
            <w:tcW w:w="3120" w:type="dxa"/>
            <w:tcBorders>
              <w:top w:val="nil"/>
              <w:left w:val="single" w:sz="6" w:space="0" w:color="000000"/>
              <w:bottom w:val="nil"/>
              <w:right w:val="nil"/>
              <w:tl2br w:val="nil"/>
              <w:tr2bl w:val="nil"/>
            </w:tcBorders>
            <w:shd w:val="clear" w:color="auto" w:fill="FFFFFF"/>
            <w:tcMar>
              <w:left w:w="101" w:type="dxa"/>
              <w:right w:w="101" w:type="dxa"/>
            </w:tcMar>
            <w:vAlign w:val="bottom"/>
          </w:tcPr>
          <w:p w14:paraId="163B737F" w14:textId="77777777" w:rsidR="00724034" w:rsidRDefault="00724034">
            <w:pPr>
              <w:rPr>
                <w:rFonts w:ascii="Arial" w:eastAsia="Arial" w:hAnsi="Arial" w:cs="Arial"/>
                <w:color w:val="000000"/>
                <w:sz w:val="16"/>
              </w:rPr>
            </w:pPr>
          </w:p>
        </w:tc>
        <w:tc>
          <w:tcPr>
            <w:tcW w:w="975" w:type="dxa"/>
            <w:tcBorders>
              <w:top w:val="nil"/>
              <w:left w:val="nil"/>
              <w:bottom w:val="nil"/>
              <w:right w:val="nil"/>
              <w:tl2br w:val="nil"/>
              <w:tr2bl w:val="nil"/>
            </w:tcBorders>
            <w:shd w:val="clear" w:color="auto" w:fill="FFFFFF"/>
            <w:tcMar>
              <w:left w:w="101" w:type="dxa"/>
              <w:right w:w="101" w:type="dxa"/>
            </w:tcMar>
            <w:vAlign w:val="bottom"/>
          </w:tcPr>
          <w:p w14:paraId="01CA9114" w14:textId="77777777" w:rsidR="00724034" w:rsidRDefault="00724034">
            <w:pPr>
              <w:jc w:val="right"/>
              <w:rPr>
                <w:rFonts w:ascii="Arial" w:eastAsia="Arial" w:hAnsi="Arial" w:cs="Arial"/>
                <w:i/>
                <w:color w:val="000000"/>
                <w:sz w:val="16"/>
              </w:rPr>
            </w:pPr>
          </w:p>
        </w:tc>
        <w:tc>
          <w:tcPr>
            <w:tcW w:w="975" w:type="dxa"/>
            <w:tcBorders>
              <w:top w:val="nil"/>
              <w:left w:val="nil"/>
              <w:bottom w:val="nil"/>
              <w:right w:val="nil"/>
              <w:tl2br w:val="nil"/>
              <w:tr2bl w:val="nil"/>
            </w:tcBorders>
            <w:shd w:val="clear" w:color="auto" w:fill="FFFF00"/>
            <w:tcMar>
              <w:left w:w="101" w:type="dxa"/>
              <w:right w:w="101" w:type="dxa"/>
            </w:tcMar>
            <w:vAlign w:val="bottom"/>
          </w:tcPr>
          <w:p w14:paraId="532C59BF" w14:textId="77777777" w:rsidR="00724034" w:rsidRDefault="00724034">
            <w:pPr>
              <w:jc w:val="right"/>
              <w:rPr>
                <w:rFonts w:ascii="Arial" w:eastAsia="Arial" w:hAnsi="Arial" w:cs="Arial"/>
                <w:color w:val="000000"/>
                <w:sz w:val="16"/>
              </w:rPr>
            </w:pPr>
          </w:p>
        </w:tc>
        <w:tc>
          <w:tcPr>
            <w:tcW w:w="975" w:type="dxa"/>
            <w:tcBorders>
              <w:top w:val="nil"/>
              <w:left w:val="nil"/>
              <w:bottom w:val="nil"/>
              <w:right w:val="nil"/>
              <w:tl2br w:val="nil"/>
              <w:tr2bl w:val="nil"/>
            </w:tcBorders>
            <w:shd w:val="clear" w:color="auto" w:fill="FFFFFF"/>
            <w:tcMar>
              <w:left w:w="101" w:type="dxa"/>
              <w:right w:w="101" w:type="dxa"/>
            </w:tcMar>
            <w:vAlign w:val="bottom"/>
          </w:tcPr>
          <w:p w14:paraId="677BD80B" w14:textId="77777777" w:rsidR="00724034" w:rsidRDefault="00724034">
            <w:pPr>
              <w:jc w:val="right"/>
              <w:rPr>
                <w:rFonts w:ascii="Arial" w:eastAsia="Arial" w:hAnsi="Arial" w:cs="Arial"/>
                <w:color w:val="000000"/>
                <w:sz w:val="16"/>
              </w:rPr>
            </w:pPr>
          </w:p>
        </w:tc>
        <w:tc>
          <w:tcPr>
            <w:tcW w:w="975" w:type="dxa"/>
            <w:tcBorders>
              <w:top w:val="nil"/>
              <w:left w:val="nil"/>
              <w:bottom w:val="nil"/>
              <w:right w:val="nil"/>
              <w:tl2br w:val="nil"/>
              <w:tr2bl w:val="nil"/>
            </w:tcBorders>
            <w:shd w:val="clear" w:color="auto" w:fill="FFFFFF"/>
            <w:tcMar>
              <w:left w:w="101" w:type="dxa"/>
              <w:right w:w="101" w:type="dxa"/>
            </w:tcMar>
            <w:vAlign w:val="bottom"/>
          </w:tcPr>
          <w:p w14:paraId="151BFECE" w14:textId="77777777" w:rsidR="00724034" w:rsidRDefault="00724034">
            <w:pPr>
              <w:jc w:val="right"/>
              <w:rPr>
                <w:rFonts w:ascii="Arial" w:eastAsia="Arial" w:hAnsi="Arial" w:cs="Arial"/>
                <w:color w:val="000000"/>
                <w:sz w:val="16"/>
              </w:rPr>
            </w:pPr>
          </w:p>
        </w:tc>
        <w:tc>
          <w:tcPr>
            <w:tcW w:w="975" w:type="dxa"/>
            <w:tcBorders>
              <w:top w:val="nil"/>
              <w:left w:val="nil"/>
              <w:bottom w:val="nil"/>
              <w:right w:val="single" w:sz="6" w:space="0" w:color="000000"/>
              <w:tl2br w:val="nil"/>
              <w:tr2bl w:val="nil"/>
            </w:tcBorders>
            <w:shd w:val="clear" w:color="auto" w:fill="FFFFFF"/>
            <w:tcMar>
              <w:left w:w="101" w:type="dxa"/>
              <w:right w:w="101" w:type="dxa"/>
            </w:tcMar>
            <w:vAlign w:val="bottom"/>
          </w:tcPr>
          <w:p w14:paraId="6E0AF262" w14:textId="77777777" w:rsidR="00724034" w:rsidRDefault="00724034">
            <w:pPr>
              <w:jc w:val="right"/>
              <w:rPr>
                <w:rFonts w:ascii="Arial" w:eastAsia="Arial" w:hAnsi="Arial" w:cs="Arial"/>
                <w:color w:val="000000"/>
                <w:sz w:val="16"/>
              </w:rPr>
            </w:pPr>
          </w:p>
        </w:tc>
      </w:tr>
      <w:tr w:rsidR="00724034" w14:paraId="44EE80E5" w14:textId="77777777">
        <w:tblPrEx>
          <w:tblLook w:val="04A0" w:firstRow="1" w:lastRow="0" w:firstColumn="1" w:lastColumn="0" w:noHBand="0" w:noVBand="1"/>
        </w:tblPrEx>
        <w:trPr>
          <w:gridAfter w:val="1"/>
          <w:wAfter w:w="16" w:type="dxa"/>
          <w:trHeight w:val="225"/>
        </w:trPr>
        <w:tc>
          <w:tcPr>
            <w:tcW w:w="3120" w:type="dxa"/>
            <w:tcBorders>
              <w:top w:val="nil"/>
              <w:left w:val="single" w:sz="6" w:space="0" w:color="000000"/>
              <w:bottom w:val="nil"/>
              <w:right w:val="nil"/>
              <w:tl2br w:val="nil"/>
              <w:tr2bl w:val="nil"/>
            </w:tcBorders>
            <w:shd w:val="clear" w:color="auto" w:fill="FFFFFF"/>
            <w:tcMar>
              <w:left w:w="101" w:type="dxa"/>
              <w:right w:w="101" w:type="dxa"/>
            </w:tcMar>
            <w:vAlign w:val="bottom"/>
          </w:tcPr>
          <w:p w14:paraId="197365CA" w14:textId="77777777" w:rsidR="00724034" w:rsidRDefault="00FB7D0B">
            <w:pPr>
              <w:rPr>
                <w:rFonts w:ascii="Arial" w:eastAsia="Arial" w:hAnsi="Arial" w:cs="Arial"/>
                <w:color w:val="000000"/>
                <w:sz w:val="16"/>
              </w:rPr>
            </w:pPr>
            <w:r>
              <w:rPr>
                <w:rFonts w:ascii="Arial" w:eastAsia="Arial" w:hAnsi="Arial" w:cs="Arial"/>
                <w:i/>
                <w:color w:val="000000"/>
                <w:sz w:val="16"/>
              </w:rPr>
              <w:t>Quality</w:t>
            </w:r>
            <w:r>
              <w:rPr>
                <w:rFonts w:ascii="Arial" w:eastAsia="Arial" w:hAnsi="Arial" w:cs="Arial"/>
                <w:color w:val="000000"/>
                <w:sz w:val="16"/>
              </w:rPr>
              <w:t>: Critical errors</w:t>
            </w:r>
          </w:p>
        </w:tc>
        <w:tc>
          <w:tcPr>
            <w:tcW w:w="975" w:type="dxa"/>
            <w:tcBorders>
              <w:top w:val="nil"/>
              <w:left w:val="nil"/>
              <w:bottom w:val="nil"/>
              <w:right w:val="nil"/>
              <w:tl2br w:val="nil"/>
              <w:tr2bl w:val="nil"/>
            </w:tcBorders>
            <w:shd w:val="clear" w:color="auto" w:fill="FFFFFF"/>
            <w:tcMar>
              <w:left w:w="101" w:type="dxa"/>
              <w:right w:w="101" w:type="dxa"/>
            </w:tcMar>
            <w:vAlign w:val="bottom"/>
          </w:tcPr>
          <w:p w14:paraId="7B14BB77" w14:textId="77777777" w:rsidR="00724034" w:rsidRDefault="00FB7D0B">
            <w:pPr>
              <w:jc w:val="right"/>
              <w:rPr>
                <w:rFonts w:ascii="Arial" w:eastAsia="Arial" w:hAnsi="Arial" w:cs="Arial"/>
                <w:color w:val="000000"/>
                <w:sz w:val="16"/>
              </w:rPr>
            </w:pPr>
            <w:r>
              <w:rPr>
                <w:rFonts w:ascii="Arial" w:eastAsia="Arial" w:hAnsi="Arial" w:cs="Arial"/>
                <w:color w:val="000000"/>
                <w:sz w:val="16"/>
              </w:rPr>
              <w:t>&lt; 5%</w:t>
            </w:r>
          </w:p>
        </w:tc>
        <w:tc>
          <w:tcPr>
            <w:tcW w:w="975" w:type="dxa"/>
            <w:tcBorders>
              <w:top w:val="nil"/>
              <w:left w:val="nil"/>
              <w:bottom w:val="nil"/>
              <w:right w:val="nil"/>
              <w:tl2br w:val="nil"/>
              <w:tr2bl w:val="nil"/>
            </w:tcBorders>
            <w:shd w:val="clear" w:color="auto" w:fill="FFFF00"/>
            <w:tcMar>
              <w:left w:w="101" w:type="dxa"/>
              <w:right w:w="101" w:type="dxa"/>
            </w:tcMar>
            <w:vAlign w:val="bottom"/>
          </w:tcPr>
          <w:p w14:paraId="6568B033" w14:textId="77777777" w:rsidR="00724034" w:rsidRDefault="00FB7D0B">
            <w:pPr>
              <w:jc w:val="right"/>
              <w:rPr>
                <w:rFonts w:ascii="Arial" w:eastAsia="Arial" w:hAnsi="Arial" w:cs="Arial"/>
                <w:color w:val="000000"/>
                <w:sz w:val="16"/>
              </w:rPr>
            </w:pPr>
            <w:r>
              <w:rPr>
                <w:rFonts w:ascii="Arial" w:eastAsia="Arial" w:hAnsi="Arial" w:cs="Arial"/>
                <w:color w:val="000000"/>
                <w:sz w:val="16"/>
              </w:rPr>
              <w:t>&lt; 5%</w:t>
            </w:r>
          </w:p>
        </w:tc>
        <w:tc>
          <w:tcPr>
            <w:tcW w:w="975" w:type="dxa"/>
            <w:tcBorders>
              <w:top w:val="nil"/>
              <w:left w:val="nil"/>
              <w:bottom w:val="nil"/>
              <w:right w:val="nil"/>
              <w:tl2br w:val="nil"/>
              <w:tr2bl w:val="nil"/>
            </w:tcBorders>
            <w:shd w:val="clear" w:color="auto" w:fill="FFFFFF"/>
            <w:tcMar>
              <w:left w:w="101" w:type="dxa"/>
              <w:right w:w="101" w:type="dxa"/>
            </w:tcMar>
            <w:vAlign w:val="bottom"/>
          </w:tcPr>
          <w:p w14:paraId="7C3C8AFC" w14:textId="77777777" w:rsidR="00724034" w:rsidRDefault="00FB7D0B">
            <w:pPr>
              <w:jc w:val="right"/>
              <w:rPr>
                <w:rFonts w:ascii="Arial" w:eastAsia="Arial" w:hAnsi="Arial" w:cs="Arial"/>
                <w:color w:val="000000"/>
                <w:sz w:val="16"/>
              </w:rPr>
            </w:pPr>
            <w:r>
              <w:rPr>
                <w:rFonts w:ascii="Arial" w:eastAsia="Arial" w:hAnsi="Arial" w:cs="Arial"/>
                <w:color w:val="000000"/>
                <w:sz w:val="16"/>
              </w:rPr>
              <w:t>&lt; 5%</w:t>
            </w:r>
          </w:p>
        </w:tc>
        <w:tc>
          <w:tcPr>
            <w:tcW w:w="975" w:type="dxa"/>
            <w:tcBorders>
              <w:top w:val="nil"/>
              <w:left w:val="nil"/>
              <w:bottom w:val="nil"/>
              <w:right w:val="nil"/>
              <w:tl2br w:val="nil"/>
              <w:tr2bl w:val="nil"/>
            </w:tcBorders>
            <w:shd w:val="clear" w:color="auto" w:fill="FFFFFF"/>
            <w:tcMar>
              <w:left w:w="101" w:type="dxa"/>
              <w:right w:w="101" w:type="dxa"/>
            </w:tcMar>
            <w:vAlign w:val="bottom"/>
          </w:tcPr>
          <w:p w14:paraId="39ACEC6B" w14:textId="77777777" w:rsidR="00724034" w:rsidRDefault="00FB7D0B">
            <w:pPr>
              <w:jc w:val="right"/>
              <w:rPr>
                <w:rFonts w:ascii="Arial" w:eastAsia="Arial" w:hAnsi="Arial" w:cs="Arial"/>
                <w:color w:val="000000"/>
                <w:sz w:val="16"/>
              </w:rPr>
            </w:pPr>
            <w:r>
              <w:rPr>
                <w:rFonts w:ascii="Arial" w:eastAsia="Arial" w:hAnsi="Arial" w:cs="Arial"/>
                <w:color w:val="000000"/>
                <w:sz w:val="16"/>
              </w:rPr>
              <w:t>&lt; 5%</w:t>
            </w:r>
          </w:p>
        </w:tc>
        <w:tc>
          <w:tcPr>
            <w:tcW w:w="975" w:type="dxa"/>
            <w:tcBorders>
              <w:top w:val="nil"/>
              <w:left w:val="nil"/>
              <w:bottom w:val="nil"/>
              <w:right w:val="single" w:sz="6" w:space="0" w:color="000000"/>
              <w:tl2br w:val="nil"/>
              <w:tr2bl w:val="nil"/>
            </w:tcBorders>
            <w:shd w:val="clear" w:color="auto" w:fill="FFFFFF"/>
            <w:tcMar>
              <w:left w:w="101" w:type="dxa"/>
              <w:right w:w="101" w:type="dxa"/>
            </w:tcMar>
            <w:vAlign w:val="bottom"/>
          </w:tcPr>
          <w:p w14:paraId="39F69CEA" w14:textId="77777777" w:rsidR="00724034" w:rsidRDefault="00FB7D0B">
            <w:pPr>
              <w:jc w:val="right"/>
              <w:rPr>
                <w:rFonts w:ascii="Arial" w:eastAsia="Arial" w:hAnsi="Arial" w:cs="Arial"/>
                <w:color w:val="000000"/>
                <w:sz w:val="16"/>
              </w:rPr>
            </w:pPr>
            <w:r>
              <w:rPr>
                <w:rFonts w:ascii="Arial" w:eastAsia="Arial" w:hAnsi="Arial" w:cs="Arial"/>
                <w:color w:val="000000"/>
                <w:sz w:val="16"/>
              </w:rPr>
              <w:t>&lt;5%</w:t>
            </w:r>
          </w:p>
        </w:tc>
      </w:tr>
      <w:tr w:rsidR="00724034" w14:paraId="66A1799B" w14:textId="77777777">
        <w:tblPrEx>
          <w:tblLook w:val="04A0" w:firstRow="1" w:lastRow="0" w:firstColumn="1" w:lastColumn="0" w:noHBand="0" w:noVBand="1"/>
        </w:tblPrEx>
        <w:trPr>
          <w:gridAfter w:val="1"/>
          <w:wAfter w:w="16" w:type="dxa"/>
          <w:trHeight w:hRule="exact" w:val="60"/>
        </w:trPr>
        <w:tc>
          <w:tcPr>
            <w:tcW w:w="3120" w:type="dxa"/>
            <w:tcBorders>
              <w:top w:val="nil"/>
              <w:left w:val="single" w:sz="6" w:space="0" w:color="000000"/>
              <w:bottom w:val="nil"/>
              <w:right w:val="nil"/>
              <w:tl2br w:val="nil"/>
              <w:tr2bl w:val="nil"/>
            </w:tcBorders>
            <w:shd w:val="clear" w:color="auto" w:fill="FFFFFF"/>
            <w:tcMar>
              <w:left w:w="101" w:type="dxa"/>
              <w:right w:w="101" w:type="dxa"/>
            </w:tcMar>
            <w:vAlign w:val="bottom"/>
          </w:tcPr>
          <w:p w14:paraId="0CD39A66" w14:textId="77777777" w:rsidR="00724034" w:rsidRDefault="00724034">
            <w:pPr>
              <w:rPr>
                <w:rFonts w:ascii="Arial" w:eastAsia="Arial" w:hAnsi="Arial" w:cs="Arial"/>
                <w:color w:val="000000"/>
                <w:sz w:val="16"/>
              </w:rPr>
            </w:pPr>
          </w:p>
        </w:tc>
        <w:tc>
          <w:tcPr>
            <w:tcW w:w="975" w:type="dxa"/>
            <w:tcBorders>
              <w:top w:val="nil"/>
              <w:left w:val="nil"/>
              <w:bottom w:val="nil"/>
              <w:right w:val="nil"/>
              <w:tl2br w:val="nil"/>
              <w:tr2bl w:val="nil"/>
            </w:tcBorders>
            <w:shd w:val="clear" w:color="auto" w:fill="FFFFFF"/>
            <w:tcMar>
              <w:left w:w="101" w:type="dxa"/>
              <w:right w:w="101" w:type="dxa"/>
            </w:tcMar>
            <w:vAlign w:val="bottom"/>
          </w:tcPr>
          <w:p w14:paraId="2CD7004A" w14:textId="77777777" w:rsidR="00724034" w:rsidRDefault="00724034">
            <w:pPr>
              <w:rPr>
                <w:rFonts w:ascii="Arial" w:eastAsia="Arial" w:hAnsi="Arial" w:cs="Arial"/>
                <w:b/>
                <w:color w:val="000000"/>
                <w:sz w:val="16"/>
              </w:rPr>
            </w:pPr>
          </w:p>
        </w:tc>
        <w:tc>
          <w:tcPr>
            <w:tcW w:w="975" w:type="dxa"/>
            <w:tcBorders>
              <w:top w:val="nil"/>
              <w:left w:val="nil"/>
              <w:bottom w:val="nil"/>
              <w:right w:val="nil"/>
              <w:tl2br w:val="nil"/>
              <w:tr2bl w:val="nil"/>
            </w:tcBorders>
            <w:shd w:val="clear" w:color="auto" w:fill="FFFF00"/>
            <w:tcMar>
              <w:left w:w="101" w:type="dxa"/>
              <w:right w:w="101" w:type="dxa"/>
            </w:tcMar>
            <w:vAlign w:val="bottom"/>
          </w:tcPr>
          <w:p w14:paraId="4F32EA6D" w14:textId="77777777" w:rsidR="00724034" w:rsidRDefault="00724034">
            <w:pPr>
              <w:jc w:val="right"/>
              <w:rPr>
                <w:rFonts w:ascii="Arial" w:eastAsia="Arial" w:hAnsi="Arial" w:cs="Arial"/>
                <w:b/>
                <w:color w:val="000000"/>
                <w:sz w:val="16"/>
              </w:rPr>
            </w:pPr>
          </w:p>
        </w:tc>
        <w:tc>
          <w:tcPr>
            <w:tcW w:w="975" w:type="dxa"/>
            <w:tcBorders>
              <w:top w:val="nil"/>
              <w:left w:val="nil"/>
              <w:bottom w:val="nil"/>
              <w:right w:val="nil"/>
              <w:tl2br w:val="nil"/>
              <w:tr2bl w:val="nil"/>
            </w:tcBorders>
            <w:shd w:val="clear" w:color="auto" w:fill="FFFFFF"/>
            <w:tcMar>
              <w:left w:w="101" w:type="dxa"/>
              <w:right w:w="101" w:type="dxa"/>
            </w:tcMar>
            <w:vAlign w:val="bottom"/>
          </w:tcPr>
          <w:p w14:paraId="6F5845BD" w14:textId="77777777" w:rsidR="00724034" w:rsidRDefault="00724034">
            <w:pPr>
              <w:rPr>
                <w:rFonts w:ascii="Arial" w:eastAsia="Arial" w:hAnsi="Arial" w:cs="Arial"/>
                <w:color w:val="000000"/>
                <w:sz w:val="16"/>
              </w:rPr>
            </w:pPr>
          </w:p>
        </w:tc>
        <w:tc>
          <w:tcPr>
            <w:tcW w:w="975" w:type="dxa"/>
            <w:tcBorders>
              <w:top w:val="nil"/>
              <w:left w:val="nil"/>
              <w:bottom w:val="nil"/>
              <w:right w:val="nil"/>
              <w:tl2br w:val="nil"/>
              <w:tr2bl w:val="nil"/>
            </w:tcBorders>
            <w:shd w:val="clear" w:color="auto" w:fill="FFFFFF"/>
            <w:tcMar>
              <w:left w:w="101" w:type="dxa"/>
              <w:right w:w="101" w:type="dxa"/>
            </w:tcMar>
            <w:vAlign w:val="bottom"/>
          </w:tcPr>
          <w:p w14:paraId="28786450" w14:textId="77777777" w:rsidR="00724034" w:rsidRDefault="00724034">
            <w:pPr>
              <w:rPr>
                <w:rFonts w:ascii="Arial" w:eastAsia="Arial" w:hAnsi="Arial" w:cs="Arial"/>
                <w:b/>
                <w:color w:val="000000"/>
                <w:sz w:val="16"/>
              </w:rPr>
            </w:pPr>
          </w:p>
        </w:tc>
        <w:tc>
          <w:tcPr>
            <w:tcW w:w="975" w:type="dxa"/>
            <w:tcBorders>
              <w:top w:val="nil"/>
              <w:left w:val="nil"/>
              <w:bottom w:val="nil"/>
              <w:right w:val="single" w:sz="6" w:space="0" w:color="000000"/>
              <w:tl2br w:val="nil"/>
              <w:tr2bl w:val="nil"/>
            </w:tcBorders>
            <w:shd w:val="clear" w:color="auto" w:fill="FFFFFF"/>
            <w:tcMar>
              <w:left w:w="101" w:type="dxa"/>
              <w:right w:w="101" w:type="dxa"/>
            </w:tcMar>
            <w:vAlign w:val="bottom"/>
          </w:tcPr>
          <w:p w14:paraId="2DAD2642" w14:textId="77777777" w:rsidR="00724034" w:rsidRDefault="00724034">
            <w:pPr>
              <w:jc w:val="right"/>
              <w:rPr>
                <w:rFonts w:ascii="Arial" w:eastAsia="Arial" w:hAnsi="Arial" w:cs="Arial"/>
                <w:b/>
                <w:color w:val="000000"/>
                <w:sz w:val="16"/>
              </w:rPr>
            </w:pPr>
          </w:p>
        </w:tc>
      </w:tr>
      <w:tr w:rsidR="00724034" w14:paraId="40F5003D" w14:textId="77777777">
        <w:tblPrEx>
          <w:tblLook w:val="04A0" w:firstRow="1" w:lastRow="0" w:firstColumn="1" w:lastColumn="0" w:noHBand="0" w:noVBand="1"/>
        </w:tblPrEx>
        <w:trPr>
          <w:gridAfter w:val="1"/>
          <w:wAfter w:w="16" w:type="dxa"/>
          <w:trHeight w:val="225"/>
        </w:trPr>
        <w:tc>
          <w:tcPr>
            <w:tcW w:w="3120" w:type="dxa"/>
            <w:tcBorders>
              <w:top w:val="nil"/>
              <w:left w:val="single" w:sz="6" w:space="0" w:color="000000"/>
              <w:bottom w:val="nil"/>
              <w:right w:val="nil"/>
              <w:tl2br w:val="nil"/>
              <w:tr2bl w:val="nil"/>
            </w:tcBorders>
            <w:shd w:val="clear" w:color="auto" w:fill="FFFFFF"/>
            <w:tcMar>
              <w:left w:w="101" w:type="dxa"/>
              <w:right w:w="101" w:type="dxa"/>
            </w:tcMar>
            <w:vAlign w:val="bottom"/>
          </w:tcPr>
          <w:p w14:paraId="5BC32206" w14:textId="77777777" w:rsidR="00724034" w:rsidRDefault="00FB7D0B">
            <w:pPr>
              <w:rPr>
                <w:rFonts w:ascii="Arial" w:eastAsia="Arial" w:hAnsi="Arial" w:cs="Arial"/>
                <w:b/>
                <w:color w:val="000000"/>
                <w:sz w:val="16"/>
              </w:rPr>
            </w:pPr>
            <w:r>
              <w:rPr>
                <w:rFonts w:ascii="Arial" w:eastAsia="Arial" w:hAnsi="Arial" w:cs="Arial"/>
                <w:b/>
                <w:i/>
                <w:color w:val="000000"/>
                <w:sz w:val="16"/>
              </w:rPr>
              <w:t>Defence Home Loans</w:t>
            </w:r>
          </w:p>
        </w:tc>
        <w:tc>
          <w:tcPr>
            <w:tcW w:w="975" w:type="dxa"/>
            <w:tcBorders>
              <w:top w:val="nil"/>
              <w:left w:val="nil"/>
              <w:bottom w:val="nil"/>
              <w:right w:val="nil"/>
              <w:tl2br w:val="nil"/>
              <w:tr2bl w:val="nil"/>
            </w:tcBorders>
            <w:shd w:val="clear" w:color="auto" w:fill="FFFFFF"/>
            <w:tcMar>
              <w:left w:w="101" w:type="dxa"/>
              <w:right w:w="101" w:type="dxa"/>
            </w:tcMar>
            <w:vAlign w:val="bottom"/>
          </w:tcPr>
          <w:p w14:paraId="67FD1D8A" w14:textId="77777777" w:rsidR="00724034" w:rsidRDefault="00724034">
            <w:pPr>
              <w:rPr>
                <w:rFonts w:ascii="Arial" w:eastAsia="Arial" w:hAnsi="Arial" w:cs="Arial"/>
                <w:b/>
                <w:i/>
                <w:color w:val="000000"/>
                <w:sz w:val="16"/>
              </w:rPr>
            </w:pPr>
          </w:p>
        </w:tc>
        <w:tc>
          <w:tcPr>
            <w:tcW w:w="975" w:type="dxa"/>
            <w:tcBorders>
              <w:top w:val="nil"/>
              <w:left w:val="nil"/>
              <w:bottom w:val="nil"/>
              <w:right w:val="nil"/>
              <w:tl2br w:val="nil"/>
              <w:tr2bl w:val="nil"/>
            </w:tcBorders>
            <w:shd w:val="clear" w:color="auto" w:fill="FFFF00"/>
            <w:tcMar>
              <w:left w:w="101" w:type="dxa"/>
              <w:right w:w="101" w:type="dxa"/>
            </w:tcMar>
            <w:vAlign w:val="bottom"/>
          </w:tcPr>
          <w:p w14:paraId="74631D68" w14:textId="77777777" w:rsidR="00724034" w:rsidRDefault="00724034">
            <w:pPr>
              <w:jc w:val="right"/>
              <w:rPr>
                <w:rFonts w:ascii="Arial" w:eastAsia="Arial" w:hAnsi="Arial" w:cs="Arial"/>
                <w:color w:val="000000"/>
                <w:sz w:val="16"/>
              </w:rPr>
            </w:pPr>
          </w:p>
        </w:tc>
        <w:tc>
          <w:tcPr>
            <w:tcW w:w="975" w:type="dxa"/>
            <w:tcBorders>
              <w:top w:val="nil"/>
              <w:left w:val="nil"/>
              <w:bottom w:val="nil"/>
              <w:right w:val="nil"/>
              <w:tl2br w:val="nil"/>
              <w:tr2bl w:val="nil"/>
            </w:tcBorders>
            <w:shd w:val="clear" w:color="auto" w:fill="FFFFFF"/>
            <w:tcMar>
              <w:left w:w="101" w:type="dxa"/>
              <w:right w:w="101" w:type="dxa"/>
            </w:tcMar>
            <w:vAlign w:val="bottom"/>
          </w:tcPr>
          <w:p w14:paraId="196C1CAA" w14:textId="77777777" w:rsidR="00724034" w:rsidRDefault="00724034">
            <w:pPr>
              <w:rPr>
                <w:rFonts w:ascii="Arial" w:eastAsia="Arial" w:hAnsi="Arial" w:cs="Arial"/>
                <w:color w:val="000000"/>
                <w:sz w:val="16"/>
              </w:rPr>
            </w:pPr>
          </w:p>
        </w:tc>
        <w:tc>
          <w:tcPr>
            <w:tcW w:w="975" w:type="dxa"/>
            <w:tcBorders>
              <w:top w:val="nil"/>
              <w:left w:val="nil"/>
              <w:bottom w:val="nil"/>
              <w:right w:val="nil"/>
              <w:tl2br w:val="nil"/>
              <w:tr2bl w:val="nil"/>
            </w:tcBorders>
            <w:shd w:val="clear" w:color="auto" w:fill="FFFFFF"/>
            <w:tcMar>
              <w:left w:w="101" w:type="dxa"/>
              <w:right w:w="101" w:type="dxa"/>
            </w:tcMar>
            <w:vAlign w:val="bottom"/>
          </w:tcPr>
          <w:p w14:paraId="63945F3A" w14:textId="77777777" w:rsidR="00724034" w:rsidRDefault="00724034">
            <w:pPr>
              <w:rPr>
                <w:rFonts w:ascii="Arial" w:eastAsia="Arial" w:hAnsi="Arial" w:cs="Arial"/>
                <w:color w:val="000000"/>
                <w:sz w:val="16"/>
              </w:rPr>
            </w:pPr>
          </w:p>
        </w:tc>
        <w:tc>
          <w:tcPr>
            <w:tcW w:w="975" w:type="dxa"/>
            <w:tcBorders>
              <w:top w:val="nil"/>
              <w:left w:val="nil"/>
              <w:bottom w:val="nil"/>
              <w:right w:val="single" w:sz="6" w:space="0" w:color="000000"/>
              <w:tl2br w:val="nil"/>
              <w:tr2bl w:val="nil"/>
            </w:tcBorders>
            <w:shd w:val="clear" w:color="auto" w:fill="FFFFFF"/>
            <w:tcMar>
              <w:left w:w="101" w:type="dxa"/>
              <w:right w:w="101" w:type="dxa"/>
            </w:tcMar>
            <w:vAlign w:val="bottom"/>
          </w:tcPr>
          <w:p w14:paraId="4E161A1F" w14:textId="77777777" w:rsidR="00724034" w:rsidRDefault="00724034">
            <w:pPr>
              <w:jc w:val="right"/>
              <w:rPr>
                <w:rFonts w:ascii="Arial" w:eastAsia="Arial" w:hAnsi="Arial" w:cs="Arial"/>
                <w:color w:val="000000"/>
                <w:sz w:val="16"/>
              </w:rPr>
            </w:pPr>
          </w:p>
        </w:tc>
      </w:tr>
      <w:tr w:rsidR="00724034" w14:paraId="393FE574" w14:textId="77777777">
        <w:tblPrEx>
          <w:tblLook w:val="04A0" w:firstRow="1" w:lastRow="0" w:firstColumn="1" w:lastColumn="0" w:noHBand="0" w:noVBand="1"/>
        </w:tblPrEx>
        <w:trPr>
          <w:gridAfter w:val="1"/>
          <w:wAfter w:w="16" w:type="dxa"/>
          <w:trHeight w:hRule="exact" w:val="60"/>
        </w:trPr>
        <w:tc>
          <w:tcPr>
            <w:tcW w:w="3120" w:type="dxa"/>
            <w:tcBorders>
              <w:top w:val="nil"/>
              <w:left w:val="single" w:sz="6" w:space="0" w:color="000000"/>
              <w:bottom w:val="nil"/>
              <w:right w:val="nil"/>
              <w:tl2br w:val="nil"/>
              <w:tr2bl w:val="nil"/>
            </w:tcBorders>
            <w:shd w:val="clear" w:color="auto" w:fill="FFFFFF"/>
            <w:tcMar>
              <w:left w:w="101" w:type="dxa"/>
              <w:right w:w="101" w:type="dxa"/>
            </w:tcMar>
            <w:vAlign w:val="bottom"/>
          </w:tcPr>
          <w:p w14:paraId="1216E9FF" w14:textId="77777777" w:rsidR="00724034" w:rsidRDefault="00724034">
            <w:pPr>
              <w:rPr>
                <w:rFonts w:ascii="Arial" w:eastAsia="Arial" w:hAnsi="Arial" w:cs="Arial"/>
                <w:color w:val="000000"/>
                <w:sz w:val="16"/>
              </w:rPr>
            </w:pPr>
          </w:p>
        </w:tc>
        <w:tc>
          <w:tcPr>
            <w:tcW w:w="975" w:type="dxa"/>
            <w:tcBorders>
              <w:top w:val="nil"/>
              <w:left w:val="nil"/>
              <w:bottom w:val="nil"/>
              <w:right w:val="nil"/>
              <w:tl2br w:val="nil"/>
              <w:tr2bl w:val="nil"/>
            </w:tcBorders>
            <w:shd w:val="clear" w:color="auto" w:fill="FFFFFF"/>
            <w:tcMar>
              <w:left w:w="101" w:type="dxa"/>
              <w:right w:w="101" w:type="dxa"/>
            </w:tcMar>
            <w:vAlign w:val="bottom"/>
          </w:tcPr>
          <w:p w14:paraId="141B9A34" w14:textId="77777777" w:rsidR="00724034" w:rsidRDefault="00724034">
            <w:pPr>
              <w:rPr>
                <w:rFonts w:ascii="Arial" w:eastAsia="Arial" w:hAnsi="Arial" w:cs="Arial"/>
                <w:color w:val="000000"/>
                <w:sz w:val="16"/>
              </w:rPr>
            </w:pPr>
          </w:p>
        </w:tc>
        <w:tc>
          <w:tcPr>
            <w:tcW w:w="975" w:type="dxa"/>
            <w:tcBorders>
              <w:top w:val="nil"/>
              <w:left w:val="nil"/>
              <w:bottom w:val="nil"/>
              <w:right w:val="nil"/>
              <w:tl2br w:val="nil"/>
              <w:tr2bl w:val="nil"/>
            </w:tcBorders>
            <w:shd w:val="clear" w:color="auto" w:fill="FFFF00"/>
            <w:tcMar>
              <w:left w:w="101" w:type="dxa"/>
              <w:right w:w="101" w:type="dxa"/>
            </w:tcMar>
            <w:vAlign w:val="bottom"/>
          </w:tcPr>
          <w:p w14:paraId="01F78A12" w14:textId="77777777" w:rsidR="00724034" w:rsidRDefault="00724034">
            <w:pPr>
              <w:jc w:val="right"/>
              <w:rPr>
                <w:rFonts w:ascii="Arial" w:eastAsia="Arial" w:hAnsi="Arial" w:cs="Arial"/>
                <w:color w:val="000000"/>
                <w:sz w:val="16"/>
              </w:rPr>
            </w:pPr>
          </w:p>
        </w:tc>
        <w:tc>
          <w:tcPr>
            <w:tcW w:w="975" w:type="dxa"/>
            <w:tcBorders>
              <w:top w:val="nil"/>
              <w:left w:val="nil"/>
              <w:bottom w:val="nil"/>
              <w:right w:val="nil"/>
              <w:tl2br w:val="nil"/>
              <w:tr2bl w:val="nil"/>
            </w:tcBorders>
            <w:shd w:val="clear" w:color="auto" w:fill="FFFFFF"/>
            <w:tcMar>
              <w:left w:w="101" w:type="dxa"/>
              <w:right w:w="101" w:type="dxa"/>
            </w:tcMar>
            <w:vAlign w:val="bottom"/>
          </w:tcPr>
          <w:p w14:paraId="10788B77" w14:textId="77777777" w:rsidR="00724034" w:rsidRDefault="00724034">
            <w:pPr>
              <w:rPr>
                <w:rFonts w:ascii="Arial" w:eastAsia="Arial" w:hAnsi="Arial" w:cs="Arial"/>
                <w:color w:val="000000"/>
                <w:sz w:val="16"/>
              </w:rPr>
            </w:pPr>
          </w:p>
        </w:tc>
        <w:tc>
          <w:tcPr>
            <w:tcW w:w="975" w:type="dxa"/>
            <w:tcBorders>
              <w:top w:val="nil"/>
              <w:left w:val="nil"/>
              <w:bottom w:val="nil"/>
              <w:right w:val="nil"/>
              <w:tl2br w:val="nil"/>
              <w:tr2bl w:val="nil"/>
            </w:tcBorders>
            <w:shd w:val="clear" w:color="auto" w:fill="FFFFFF"/>
            <w:tcMar>
              <w:left w:w="101" w:type="dxa"/>
              <w:right w:w="101" w:type="dxa"/>
            </w:tcMar>
            <w:vAlign w:val="bottom"/>
          </w:tcPr>
          <w:p w14:paraId="7B8B0D2D" w14:textId="77777777" w:rsidR="00724034" w:rsidRDefault="00724034">
            <w:pPr>
              <w:rPr>
                <w:rFonts w:ascii="Arial" w:eastAsia="Arial" w:hAnsi="Arial" w:cs="Arial"/>
                <w:color w:val="000000"/>
                <w:sz w:val="16"/>
              </w:rPr>
            </w:pPr>
          </w:p>
        </w:tc>
        <w:tc>
          <w:tcPr>
            <w:tcW w:w="975" w:type="dxa"/>
            <w:tcBorders>
              <w:top w:val="nil"/>
              <w:left w:val="nil"/>
              <w:bottom w:val="nil"/>
              <w:right w:val="single" w:sz="6" w:space="0" w:color="000000"/>
              <w:tl2br w:val="nil"/>
              <w:tr2bl w:val="nil"/>
            </w:tcBorders>
            <w:shd w:val="clear" w:color="auto" w:fill="FFFFFF"/>
            <w:tcMar>
              <w:left w:w="101" w:type="dxa"/>
              <w:right w:w="101" w:type="dxa"/>
            </w:tcMar>
            <w:vAlign w:val="bottom"/>
          </w:tcPr>
          <w:p w14:paraId="208569FD" w14:textId="77777777" w:rsidR="00724034" w:rsidRDefault="00724034">
            <w:pPr>
              <w:jc w:val="right"/>
              <w:rPr>
                <w:rFonts w:ascii="Arial" w:eastAsia="Arial" w:hAnsi="Arial" w:cs="Arial"/>
                <w:color w:val="000000"/>
                <w:sz w:val="16"/>
              </w:rPr>
            </w:pPr>
          </w:p>
        </w:tc>
      </w:tr>
      <w:tr w:rsidR="00724034" w14:paraId="7E4FCC89" w14:textId="77777777">
        <w:tblPrEx>
          <w:tblLook w:val="04A0" w:firstRow="1" w:lastRow="0" w:firstColumn="1" w:lastColumn="0" w:noHBand="0" w:noVBand="1"/>
        </w:tblPrEx>
        <w:trPr>
          <w:gridAfter w:val="1"/>
          <w:wAfter w:w="16" w:type="dxa"/>
          <w:trHeight w:val="225"/>
        </w:trPr>
        <w:tc>
          <w:tcPr>
            <w:tcW w:w="3120" w:type="dxa"/>
            <w:tcBorders>
              <w:top w:val="nil"/>
              <w:left w:val="single" w:sz="6" w:space="0" w:color="000000"/>
              <w:bottom w:val="nil"/>
              <w:right w:val="nil"/>
              <w:tl2br w:val="nil"/>
              <w:tr2bl w:val="nil"/>
            </w:tcBorders>
            <w:shd w:val="clear" w:color="auto" w:fill="FFFFFF"/>
            <w:tcMar>
              <w:left w:w="101" w:type="dxa"/>
              <w:right w:w="101" w:type="dxa"/>
            </w:tcMar>
            <w:vAlign w:val="bottom"/>
          </w:tcPr>
          <w:p w14:paraId="6352651C" w14:textId="77777777" w:rsidR="00724034" w:rsidRDefault="00FB7D0B">
            <w:pPr>
              <w:rPr>
                <w:rFonts w:ascii="Arial" w:eastAsia="Arial" w:hAnsi="Arial" w:cs="Arial"/>
                <w:color w:val="000000"/>
                <w:sz w:val="16"/>
              </w:rPr>
            </w:pPr>
            <w:r>
              <w:rPr>
                <w:rFonts w:ascii="Arial" w:eastAsia="Arial" w:hAnsi="Arial" w:cs="Arial"/>
                <w:i/>
                <w:color w:val="000000"/>
                <w:sz w:val="16"/>
              </w:rPr>
              <w:t>Timeliness:</w:t>
            </w:r>
            <w:r>
              <w:rPr>
                <w:rFonts w:ascii="Arial" w:eastAsia="Arial" w:hAnsi="Arial" w:cs="Arial"/>
                <w:color w:val="000000"/>
                <w:sz w:val="16"/>
              </w:rPr>
              <w:t xml:space="preserve"> Mean time to process subsidy</w:t>
            </w:r>
          </w:p>
        </w:tc>
        <w:tc>
          <w:tcPr>
            <w:tcW w:w="975" w:type="dxa"/>
            <w:tcBorders>
              <w:top w:val="nil"/>
              <w:left w:val="nil"/>
              <w:bottom w:val="nil"/>
              <w:right w:val="nil"/>
              <w:tl2br w:val="nil"/>
              <w:tr2bl w:val="nil"/>
            </w:tcBorders>
            <w:shd w:val="clear" w:color="auto" w:fill="FFFFFF"/>
            <w:tcMar>
              <w:left w:w="101" w:type="dxa"/>
              <w:right w:w="101" w:type="dxa"/>
            </w:tcMar>
            <w:vAlign w:val="bottom"/>
          </w:tcPr>
          <w:p w14:paraId="6AFDD86F" w14:textId="77777777" w:rsidR="00724034" w:rsidRDefault="00FB7D0B">
            <w:pPr>
              <w:jc w:val="right"/>
              <w:rPr>
                <w:rFonts w:ascii="Arial" w:eastAsia="Arial" w:hAnsi="Arial" w:cs="Arial"/>
                <w:color w:val="000000"/>
                <w:sz w:val="16"/>
              </w:rPr>
            </w:pPr>
            <w:r>
              <w:rPr>
                <w:rFonts w:ascii="Arial" w:eastAsia="Arial" w:hAnsi="Arial" w:cs="Arial"/>
                <w:color w:val="000000"/>
                <w:sz w:val="16"/>
              </w:rPr>
              <w:t>18 </w:t>
            </w:r>
          </w:p>
        </w:tc>
        <w:tc>
          <w:tcPr>
            <w:tcW w:w="975" w:type="dxa"/>
            <w:tcBorders>
              <w:top w:val="nil"/>
              <w:left w:val="nil"/>
              <w:bottom w:val="nil"/>
              <w:right w:val="nil"/>
              <w:tl2br w:val="nil"/>
              <w:tr2bl w:val="nil"/>
            </w:tcBorders>
            <w:shd w:val="clear" w:color="auto" w:fill="FFFF00"/>
            <w:tcMar>
              <w:left w:w="101" w:type="dxa"/>
              <w:right w:w="101" w:type="dxa"/>
            </w:tcMar>
            <w:vAlign w:val="bottom"/>
          </w:tcPr>
          <w:p w14:paraId="2764FE6E" w14:textId="77777777" w:rsidR="00724034" w:rsidRDefault="00FB7D0B">
            <w:pPr>
              <w:jc w:val="right"/>
              <w:rPr>
                <w:rFonts w:ascii="Arial" w:eastAsia="Arial" w:hAnsi="Arial" w:cs="Arial"/>
                <w:color w:val="000000"/>
                <w:sz w:val="16"/>
              </w:rPr>
            </w:pPr>
            <w:r>
              <w:rPr>
                <w:rFonts w:ascii="Arial" w:eastAsia="Arial" w:hAnsi="Arial" w:cs="Arial"/>
                <w:color w:val="000000"/>
                <w:sz w:val="16"/>
              </w:rPr>
              <w:t>18 </w:t>
            </w:r>
          </w:p>
        </w:tc>
        <w:tc>
          <w:tcPr>
            <w:tcW w:w="975" w:type="dxa"/>
            <w:tcBorders>
              <w:top w:val="nil"/>
              <w:left w:val="nil"/>
              <w:bottom w:val="nil"/>
              <w:right w:val="nil"/>
              <w:tl2br w:val="nil"/>
              <w:tr2bl w:val="nil"/>
            </w:tcBorders>
            <w:shd w:val="clear" w:color="auto" w:fill="FFFFFF"/>
            <w:tcMar>
              <w:left w:w="101" w:type="dxa"/>
              <w:right w:w="101" w:type="dxa"/>
            </w:tcMar>
            <w:vAlign w:val="bottom"/>
          </w:tcPr>
          <w:p w14:paraId="68818F36" w14:textId="77777777" w:rsidR="00724034" w:rsidRDefault="00FB7D0B">
            <w:pPr>
              <w:jc w:val="right"/>
              <w:rPr>
                <w:rFonts w:ascii="Arial" w:eastAsia="Arial" w:hAnsi="Arial" w:cs="Arial"/>
                <w:color w:val="000000"/>
                <w:sz w:val="16"/>
              </w:rPr>
            </w:pPr>
            <w:r>
              <w:rPr>
                <w:rFonts w:ascii="Arial" w:eastAsia="Arial" w:hAnsi="Arial" w:cs="Arial"/>
                <w:color w:val="000000"/>
                <w:sz w:val="16"/>
              </w:rPr>
              <w:t>18 </w:t>
            </w:r>
          </w:p>
        </w:tc>
        <w:tc>
          <w:tcPr>
            <w:tcW w:w="975" w:type="dxa"/>
            <w:tcBorders>
              <w:top w:val="nil"/>
              <w:left w:val="nil"/>
              <w:bottom w:val="nil"/>
              <w:right w:val="nil"/>
              <w:tl2br w:val="nil"/>
              <w:tr2bl w:val="nil"/>
            </w:tcBorders>
            <w:shd w:val="clear" w:color="auto" w:fill="FFFFFF"/>
            <w:tcMar>
              <w:left w:w="101" w:type="dxa"/>
              <w:right w:w="101" w:type="dxa"/>
            </w:tcMar>
            <w:vAlign w:val="bottom"/>
          </w:tcPr>
          <w:p w14:paraId="4D5FEEDF" w14:textId="77777777" w:rsidR="00724034" w:rsidRDefault="00FB7D0B">
            <w:pPr>
              <w:jc w:val="right"/>
              <w:rPr>
                <w:rFonts w:ascii="Arial" w:eastAsia="Arial" w:hAnsi="Arial" w:cs="Arial"/>
                <w:color w:val="000000"/>
                <w:sz w:val="16"/>
              </w:rPr>
            </w:pPr>
            <w:r>
              <w:rPr>
                <w:rFonts w:ascii="Arial" w:eastAsia="Arial" w:hAnsi="Arial" w:cs="Arial"/>
                <w:color w:val="000000"/>
                <w:sz w:val="16"/>
              </w:rPr>
              <w:t>18 </w:t>
            </w:r>
          </w:p>
        </w:tc>
        <w:tc>
          <w:tcPr>
            <w:tcW w:w="975" w:type="dxa"/>
            <w:tcBorders>
              <w:top w:val="nil"/>
              <w:left w:val="nil"/>
              <w:bottom w:val="nil"/>
              <w:right w:val="single" w:sz="6" w:space="0" w:color="000000"/>
              <w:tl2br w:val="nil"/>
              <w:tr2bl w:val="nil"/>
            </w:tcBorders>
            <w:shd w:val="clear" w:color="auto" w:fill="FFFFFF"/>
            <w:tcMar>
              <w:left w:w="101" w:type="dxa"/>
              <w:right w:w="101" w:type="dxa"/>
            </w:tcMar>
            <w:vAlign w:val="bottom"/>
          </w:tcPr>
          <w:p w14:paraId="745BBC32" w14:textId="77777777" w:rsidR="00724034" w:rsidRDefault="00FB7D0B">
            <w:pPr>
              <w:jc w:val="right"/>
              <w:rPr>
                <w:rFonts w:ascii="Arial" w:eastAsia="Arial" w:hAnsi="Arial" w:cs="Arial"/>
                <w:color w:val="000000"/>
                <w:sz w:val="16"/>
              </w:rPr>
            </w:pPr>
            <w:r>
              <w:rPr>
                <w:rFonts w:ascii="Arial" w:eastAsia="Arial" w:hAnsi="Arial" w:cs="Arial"/>
                <w:color w:val="000000"/>
                <w:sz w:val="16"/>
              </w:rPr>
              <w:t>18 </w:t>
            </w:r>
          </w:p>
        </w:tc>
      </w:tr>
      <w:tr w:rsidR="00724034" w14:paraId="5C1BA2CB" w14:textId="77777777">
        <w:tblPrEx>
          <w:tblLook w:val="04A0" w:firstRow="1" w:lastRow="0" w:firstColumn="1" w:lastColumn="0" w:noHBand="0" w:noVBand="1"/>
        </w:tblPrEx>
        <w:trPr>
          <w:gridAfter w:val="1"/>
          <w:wAfter w:w="16" w:type="dxa"/>
          <w:trHeight w:val="225"/>
        </w:trPr>
        <w:tc>
          <w:tcPr>
            <w:tcW w:w="3120" w:type="dxa"/>
            <w:tcBorders>
              <w:top w:val="nil"/>
              <w:left w:val="single" w:sz="6" w:space="0" w:color="000000"/>
              <w:bottom w:val="single" w:sz="6" w:space="0" w:color="000000"/>
              <w:right w:val="nil"/>
              <w:tl2br w:val="nil"/>
              <w:tr2bl w:val="nil"/>
            </w:tcBorders>
            <w:shd w:val="clear" w:color="auto" w:fill="FFFFFF"/>
            <w:tcMar>
              <w:left w:w="101" w:type="dxa"/>
              <w:right w:w="101" w:type="dxa"/>
            </w:tcMar>
            <w:vAlign w:val="bottom"/>
          </w:tcPr>
          <w:p w14:paraId="5666A612" w14:textId="77777777" w:rsidR="00724034" w:rsidRDefault="00FB7D0B">
            <w:pPr>
              <w:rPr>
                <w:rFonts w:ascii="Arial" w:eastAsia="Arial" w:hAnsi="Arial" w:cs="Arial"/>
                <w:color w:val="000000"/>
                <w:sz w:val="16"/>
              </w:rPr>
            </w:pPr>
            <w:r>
              <w:rPr>
                <w:rFonts w:ascii="Arial" w:eastAsia="Arial" w:hAnsi="Arial" w:cs="Arial"/>
                <w:i/>
                <w:color w:val="000000"/>
                <w:sz w:val="16"/>
              </w:rPr>
              <w:t>Quality:</w:t>
            </w:r>
            <w:r>
              <w:rPr>
                <w:rFonts w:ascii="Arial" w:eastAsia="Arial" w:hAnsi="Arial" w:cs="Arial"/>
                <w:color w:val="000000"/>
                <w:sz w:val="16"/>
              </w:rPr>
              <w:t xml:space="preserve"> Critical errors</w:t>
            </w:r>
          </w:p>
        </w:tc>
        <w:tc>
          <w:tcPr>
            <w:tcW w:w="975"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3AFDD595" w14:textId="77777777" w:rsidR="00724034" w:rsidRDefault="00FB7D0B">
            <w:pPr>
              <w:jc w:val="right"/>
              <w:rPr>
                <w:rFonts w:ascii="Arial" w:eastAsia="Arial" w:hAnsi="Arial" w:cs="Arial"/>
                <w:color w:val="000000"/>
                <w:sz w:val="16"/>
              </w:rPr>
            </w:pPr>
            <w:r>
              <w:rPr>
                <w:rFonts w:ascii="Arial" w:eastAsia="Arial" w:hAnsi="Arial" w:cs="Arial"/>
                <w:color w:val="000000"/>
                <w:sz w:val="16"/>
              </w:rPr>
              <w:t>&lt; 5%</w:t>
            </w:r>
          </w:p>
        </w:tc>
        <w:tc>
          <w:tcPr>
            <w:tcW w:w="975" w:type="dxa"/>
            <w:tcBorders>
              <w:top w:val="nil"/>
              <w:left w:val="nil"/>
              <w:bottom w:val="single" w:sz="6" w:space="0" w:color="000000"/>
              <w:right w:val="nil"/>
              <w:tl2br w:val="nil"/>
              <w:tr2bl w:val="nil"/>
            </w:tcBorders>
            <w:shd w:val="clear" w:color="auto" w:fill="FFFF00"/>
            <w:tcMar>
              <w:left w:w="101" w:type="dxa"/>
              <w:right w:w="101" w:type="dxa"/>
            </w:tcMar>
            <w:vAlign w:val="bottom"/>
          </w:tcPr>
          <w:p w14:paraId="36F79530" w14:textId="77777777" w:rsidR="00724034" w:rsidRDefault="00FB7D0B">
            <w:pPr>
              <w:jc w:val="right"/>
              <w:rPr>
                <w:rFonts w:ascii="Arial" w:eastAsia="Arial" w:hAnsi="Arial" w:cs="Arial"/>
                <w:color w:val="000000"/>
                <w:sz w:val="16"/>
              </w:rPr>
            </w:pPr>
            <w:r>
              <w:rPr>
                <w:rFonts w:ascii="Arial" w:eastAsia="Arial" w:hAnsi="Arial" w:cs="Arial"/>
                <w:color w:val="000000"/>
                <w:sz w:val="16"/>
              </w:rPr>
              <w:t>&lt; 5%</w:t>
            </w:r>
          </w:p>
        </w:tc>
        <w:tc>
          <w:tcPr>
            <w:tcW w:w="975"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53232708" w14:textId="77777777" w:rsidR="00724034" w:rsidRDefault="00FB7D0B">
            <w:pPr>
              <w:jc w:val="right"/>
              <w:rPr>
                <w:rFonts w:ascii="Arial" w:eastAsia="Arial" w:hAnsi="Arial" w:cs="Arial"/>
                <w:color w:val="000000"/>
                <w:sz w:val="16"/>
              </w:rPr>
            </w:pPr>
            <w:r>
              <w:rPr>
                <w:rFonts w:ascii="Arial" w:eastAsia="Arial" w:hAnsi="Arial" w:cs="Arial"/>
                <w:color w:val="000000"/>
                <w:sz w:val="16"/>
              </w:rPr>
              <w:t>&lt; 5%</w:t>
            </w:r>
          </w:p>
        </w:tc>
        <w:tc>
          <w:tcPr>
            <w:tcW w:w="975"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069D3A85" w14:textId="77777777" w:rsidR="00724034" w:rsidRDefault="00FB7D0B">
            <w:pPr>
              <w:jc w:val="right"/>
              <w:rPr>
                <w:rFonts w:ascii="Arial" w:eastAsia="Arial" w:hAnsi="Arial" w:cs="Arial"/>
                <w:color w:val="000000"/>
                <w:sz w:val="16"/>
              </w:rPr>
            </w:pPr>
            <w:r>
              <w:rPr>
                <w:rFonts w:ascii="Arial" w:eastAsia="Arial" w:hAnsi="Arial" w:cs="Arial"/>
                <w:color w:val="000000"/>
                <w:sz w:val="16"/>
              </w:rPr>
              <w:t>&lt; 5%</w:t>
            </w:r>
          </w:p>
        </w:tc>
        <w:tc>
          <w:tcPr>
            <w:tcW w:w="975" w:type="dxa"/>
            <w:tcBorders>
              <w:top w:val="nil"/>
              <w:left w:val="nil"/>
              <w:bottom w:val="single" w:sz="6" w:space="0" w:color="000000"/>
              <w:right w:val="single" w:sz="6" w:space="0" w:color="000000"/>
              <w:tl2br w:val="nil"/>
              <w:tr2bl w:val="nil"/>
            </w:tcBorders>
            <w:shd w:val="clear" w:color="auto" w:fill="FFFFFF"/>
            <w:tcMar>
              <w:left w:w="101" w:type="dxa"/>
              <w:right w:w="101" w:type="dxa"/>
            </w:tcMar>
            <w:vAlign w:val="bottom"/>
          </w:tcPr>
          <w:p w14:paraId="58DAC746" w14:textId="77777777" w:rsidR="00724034" w:rsidRDefault="00FB7D0B">
            <w:pPr>
              <w:jc w:val="right"/>
              <w:rPr>
                <w:rFonts w:ascii="Arial" w:eastAsia="Arial" w:hAnsi="Arial" w:cs="Arial"/>
                <w:color w:val="000000"/>
                <w:sz w:val="16"/>
              </w:rPr>
            </w:pPr>
            <w:r>
              <w:rPr>
                <w:rFonts w:ascii="Arial" w:eastAsia="Arial" w:hAnsi="Arial" w:cs="Arial"/>
                <w:color w:val="000000"/>
                <w:sz w:val="16"/>
              </w:rPr>
              <w:t>&lt;5%</w:t>
            </w:r>
          </w:p>
        </w:tc>
      </w:tr>
    </w:tbl>
    <w:p w14:paraId="2B4121D6" w14:textId="77777777" w:rsidR="00724034" w:rsidRDefault="00FB7D0B">
      <w:r>
        <w:br w:type="page"/>
      </w:r>
    </w:p>
    <w:tbl>
      <w:tblPr>
        <w:tblW w:w="8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
        <w:gridCol w:w="257"/>
        <w:gridCol w:w="3258"/>
        <w:gridCol w:w="862"/>
        <w:gridCol w:w="855"/>
        <w:gridCol w:w="863"/>
        <w:gridCol w:w="863"/>
        <w:gridCol w:w="865"/>
      </w:tblGrid>
      <w:tr w:rsidR="00724034" w14:paraId="4B72805E" w14:textId="77777777" w:rsidTr="003F0EEA">
        <w:tc>
          <w:tcPr>
            <w:tcW w:w="8080" w:type="dxa"/>
            <w:gridSpan w:val="8"/>
            <w:tcBorders>
              <w:top w:val="single" w:sz="4" w:space="0" w:color="auto"/>
              <w:left w:val="single" w:sz="4" w:space="0" w:color="auto"/>
              <w:bottom w:val="single" w:sz="4" w:space="0" w:color="auto"/>
              <w:right w:val="single" w:sz="4" w:space="0" w:color="auto"/>
            </w:tcBorders>
            <w:shd w:val="clear" w:color="auto" w:fill="E6E6E6"/>
          </w:tcPr>
          <w:p w14:paraId="7CBBCB48" w14:textId="77777777" w:rsidR="003F0EEA" w:rsidRPr="00A17252" w:rsidRDefault="00FB7D0B" w:rsidP="003F0EEA">
            <w:pPr>
              <w:pStyle w:val="TableTextLeft12"/>
              <w:ind w:right="-108"/>
              <w:rPr>
                <w:b/>
              </w:rPr>
            </w:pPr>
            <w:r w:rsidRPr="00A17252">
              <w:rPr>
                <w:b/>
                <w:sz w:val="20"/>
              </w:rPr>
              <w:t>Program</w:t>
            </w:r>
            <w:r>
              <w:rPr>
                <w:b/>
                <w:sz w:val="20"/>
              </w:rPr>
              <w:t>me</w:t>
            </w:r>
            <w:r w:rsidRPr="00A17252">
              <w:rPr>
                <w:b/>
                <w:sz w:val="20"/>
              </w:rPr>
              <w:t xml:space="preserve"> 1.</w:t>
            </w:r>
            <w:r>
              <w:rPr>
                <w:b/>
                <w:sz w:val="20"/>
              </w:rPr>
              <w:t>5</w:t>
            </w:r>
            <w:r w:rsidRPr="00A17252">
              <w:rPr>
                <w:b/>
                <w:sz w:val="20"/>
              </w:rPr>
              <w:t>: Veterans' Children Education Scheme</w:t>
            </w:r>
          </w:p>
        </w:tc>
      </w:tr>
      <w:tr w:rsidR="00724034" w14:paraId="38D08F1A" w14:textId="77777777" w:rsidTr="003F0EEA">
        <w:tc>
          <w:tcPr>
            <w:tcW w:w="8080" w:type="dxa"/>
            <w:gridSpan w:val="8"/>
            <w:tcBorders>
              <w:top w:val="single" w:sz="4" w:space="0" w:color="auto"/>
              <w:left w:val="nil"/>
              <w:bottom w:val="single" w:sz="4" w:space="0" w:color="auto"/>
              <w:right w:val="nil"/>
            </w:tcBorders>
          </w:tcPr>
          <w:p w14:paraId="02B36FB1" w14:textId="77777777" w:rsidR="003F0EEA" w:rsidRDefault="003F0EEA" w:rsidP="003F0EEA">
            <w:pPr>
              <w:pStyle w:val="TableTextLeft12"/>
              <w:rPr>
                <w:b/>
              </w:rPr>
            </w:pPr>
          </w:p>
        </w:tc>
      </w:tr>
      <w:tr w:rsidR="00724034" w14:paraId="25F0A212" w14:textId="77777777" w:rsidTr="003F0EEA">
        <w:tc>
          <w:tcPr>
            <w:tcW w:w="8080" w:type="dxa"/>
            <w:gridSpan w:val="8"/>
            <w:tcBorders>
              <w:top w:val="single" w:sz="4" w:space="0" w:color="auto"/>
              <w:left w:val="single" w:sz="4" w:space="0" w:color="auto"/>
              <w:bottom w:val="single" w:sz="4" w:space="0" w:color="auto"/>
              <w:right w:val="single" w:sz="4" w:space="0" w:color="auto"/>
            </w:tcBorders>
          </w:tcPr>
          <w:p w14:paraId="340E9BF6" w14:textId="77777777" w:rsidR="003F0EEA" w:rsidRDefault="00FB7D0B" w:rsidP="003F0EEA">
            <w:pPr>
              <w:pStyle w:val="TableTextLeft12"/>
              <w:rPr>
                <w:b/>
              </w:rPr>
            </w:pPr>
            <w:r>
              <w:rPr>
                <w:b/>
              </w:rPr>
              <w:t>Programme 1.5 objective</w:t>
            </w:r>
          </w:p>
          <w:p w14:paraId="2F81E9BC" w14:textId="77777777" w:rsidR="003F0EEA" w:rsidRDefault="00FB7D0B" w:rsidP="003F0EEA">
            <w:pPr>
              <w:pStyle w:val="TableTextLeft12"/>
              <w:rPr>
                <w:b/>
              </w:rPr>
            </w:pPr>
            <w:r>
              <w:rPr>
                <w:color w:val="000000"/>
                <w:szCs w:val="18"/>
              </w:rPr>
              <w:t xml:space="preserve">Provide financial assistance to eligible students under the </w:t>
            </w:r>
            <w:r>
              <w:rPr>
                <w:i/>
                <w:color w:val="000000"/>
                <w:szCs w:val="18"/>
              </w:rPr>
              <w:t>Veterans’ Entitlements Act 1986</w:t>
            </w:r>
            <w:r>
              <w:rPr>
                <w:color w:val="000000"/>
                <w:szCs w:val="18"/>
              </w:rPr>
              <w:t xml:space="preserve"> Veterans’ Children Education Scheme (VCES) and the </w:t>
            </w:r>
            <w:r>
              <w:rPr>
                <w:i/>
                <w:iCs/>
                <w:color w:val="000000"/>
                <w:szCs w:val="18"/>
              </w:rPr>
              <w:t xml:space="preserve">Military Rehabilitation and Compensation Act 2004 </w:t>
            </w:r>
            <w:r>
              <w:rPr>
                <w:color w:val="000000"/>
                <w:szCs w:val="18"/>
              </w:rPr>
              <w:t xml:space="preserve">Education and Training Scheme (MRCAETS) to assist with their education needs. </w:t>
            </w:r>
          </w:p>
        </w:tc>
      </w:tr>
      <w:tr w:rsidR="00724034" w14:paraId="3C5B02C0" w14:textId="77777777" w:rsidTr="003F0EEA">
        <w:tc>
          <w:tcPr>
            <w:tcW w:w="8080" w:type="dxa"/>
            <w:gridSpan w:val="8"/>
            <w:tcBorders>
              <w:top w:val="single" w:sz="4" w:space="0" w:color="auto"/>
              <w:left w:val="single" w:sz="4" w:space="0" w:color="auto"/>
              <w:bottom w:val="single" w:sz="4" w:space="0" w:color="auto"/>
              <w:right w:val="single" w:sz="4" w:space="0" w:color="auto"/>
            </w:tcBorders>
          </w:tcPr>
          <w:p w14:paraId="1B865F0A" w14:textId="77777777" w:rsidR="003F0EEA" w:rsidRPr="006E102C" w:rsidRDefault="00FB7D0B" w:rsidP="003F0EEA">
            <w:pPr>
              <w:pStyle w:val="TableTextLeft12"/>
            </w:pPr>
            <w:r>
              <w:rPr>
                <w:b/>
              </w:rPr>
              <w:t>Linked to:</w:t>
            </w:r>
          </w:p>
          <w:p w14:paraId="0CF8B596" w14:textId="77777777" w:rsidR="003F0EEA" w:rsidRDefault="00FB7D0B" w:rsidP="003F0EEA">
            <w:pPr>
              <w:pStyle w:val="Normal103"/>
              <w:rPr>
                <w:b/>
              </w:rPr>
            </w:pPr>
            <w:r w:rsidRPr="00A03E91">
              <w:rPr>
                <w:rFonts w:ascii="Arial" w:hAnsi="Arial" w:cs="Arial"/>
                <w:sz w:val="18"/>
                <w:szCs w:val="20"/>
              </w:rPr>
              <w:t>Department of Human Services Program</w:t>
            </w:r>
            <w:r>
              <w:rPr>
                <w:rFonts w:ascii="Arial" w:hAnsi="Arial" w:cs="Arial"/>
                <w:sz w:val="18"/>
                <w:szCs w:val="20"/>
              </w:rPr>
              <w:t>me</w:t>
            </w:r>
            <w:r w:rsidRPr="00A03E91">
              <w:rPr>
                <w:rFonts w:ascii="Arial" w:hAnsi="Arial" w:cs="Arial"/>
                <w:sz w:val="18"/>
                <w:szCs w:val="20"/>
              </w:rPr>
              <w:t xml:space="preserve"> 1.1 – Services to the Community</w:t>
            </w:r>
            <w:r>
              <w:rPr>
                <w:rFonts w:ascii="Arial" w:hAnsi="Arial" w:cs="Arial"/>
                <w:sz w:val="18"/>
                <w:szCs w:val="20"/>
              </w:rPr>
              <w:t xml:space="preserve"> – Social Security and Welfare</w:t>
            </w:r>
            <w:r w:rsidRPr="00A03E91">
              <w:rPr>
                <w:rFonts w:ascii="Arial" w:hAnsi="Arial" w:cs="Arial"/>
                <w:sz w:val="18"/>
                <w:szCs w:val="20"/>
              </w:rPr>
              <w:t>.</w:t>
            </w:r>
          </w:p>
        </w:tc>
      </w:tr>
      <w:tr w:rsidR="00724034" w14:paraId="374C78BA" w14:textId="77777777" w:rsidTr="003F0EEA">
        <w:tc>
          <w:tcPr>
            <w:tcW w:w="8080" w:type="dxa"/>
            <w:gridSpan w:val="8"/>
            <w:tcBorders>
              <w:top w:val="single" w:sz="4" w:space="0" w:color="auto"/>
              <w:left w:val="nil"/>
              <w:bottom w:val="single" w:sz="4" w:space="0" w:color="auto"/>
              <w:right w:val="nil"/>
            </w:tcBorders>
          </w:tcPr>
          <w:p w14:paraId="0A854FA1" w14:textId="77777777" w:rsidR="003F0EEA" w:rsidRDefault="003F0EEA" w:rsidP="003F0EEA">
            <w:pPr>
              <w:pStyle w:val="TableTextLeft12"/>
              <w:rPr>
                <w:b/>
              </w:rPr>
            </w:pPr>
          </w:p>
        </w:tc>
      </w:tr>
      <w:tr w:rsidR="00724034" w14:paraId="130E4FE7" w14:textId="77777777" w:rsidTr="003F0EEA">
        <w:trPr>
          <w:trHeight w:val="710"/>
        </w:trPr>
        <w:tc>
          <w:tcPr>
            <w:tcW w:w="8080" w:type="dxa"/>
            <w:gridSpan w:val="8"/>
            <w:tcBorders>
              <w:top w:val="single" w:sz="4" w:space="0" w:color="auto"/>
              <w:left w:val="single" w:sz="4" w:space="0" w:color="auto"/>
              <w:bottom w:val="single" w:sz="4" w:space="0" w:color="auto"/>
              <w:right w:val="single" w:sz="4" w:space="0" w:color="auto"/>
            </w:tcBorders>
          </w:tcPr>
          <w:p w14:paraId="0BC05BFA" w14:textId="77777777" w:rsidR="003F0EEA" w:rsidRDefault="00FB7D0B" w:rsidP="003F0EEA">
            <w:pPr>
              <w:pStyle w:val="TableTextLeft12"/>
              <w:rPr>
                <w:b/>
              </w:rPr>
            </w:pPr>
            <w:r>
              <w:rPr>
                <w:b/>
              </w:rPr>
              <w:t>Programme 1.5 expenses</w:t>
            </w:r>
          </w:p>
          <w:p w14:paraId="6D954894" w14:textId="77777777" w:rsidR="003F0EEA" w:rsidRDefault="00FB7D0B" w:rsidP="003F0EEA">
            <w:pPr>
              <w:pStyle w:val="TableTextLeft12"/>
              <w:rPr>
                <w:b/>
              </w:rPr>
            </w:pPr>
            <w:r w:rsidRPr="00FD1058">
              <w:t>Numbers of students in each category fluctuate throughout the course of the academic year. Overall, numbers are expected to decline over the forward years.</w:t>
            </w:r>
          </w:p>
        </w:tc>
      </w:tr>
      <w:tr w:rsidR="00724034" w14:paraId="0365EAC4" w14:textId="77777777">
        <w:tblPrEx>
          <w:tblLook w:val="04A0" w:firstRow="1" w:lastRow="0" w:firstColumn="1" w:lastColumn="0" w:noHBand="0" w:noVBand="1"/>
        </w:tblPrEx>
        <w:trPr>
          <w:trHeight w:val="225"/>
        </w:trPr>
        <w:tc>
          <w:tcPr>
            <w:tcW w:w="0" w:type="auto"/>
            <w:tcBorders>
              <w:top w:val="single" w:sz="6" w:space="0" w:color="000000"/>
              <w:left w:val="single" w:sz="6" w:space="0" w:color="000000"/>
              <w:bottom w:val="nil"/>
              <w:right w:val="nil"/>
              <w:tl2br w:val="nil"/>
              <w:tr2bl w:val="nil"/>
            </w:tcBorders>
            <w:shd w:val="clear" w:color="auto" w:fill="FFFFFF"/>
            <w:tcMar>
              <w:left w:w="101" w:type="dxa"/>
              <w:right w:w="101" w:type="dxa"/>
            </w:tcMar>
            <w:vAlign w:val="bottom"/>
          </w:tcPr>
          <w:p w14:paraId="271C0765" w14:textId="77777777" w:rsidR="00724034" w:rsidRDefault="00724034"/>
        </w:tc>
        <w:tc>
          <w:tcPr>
            <w:tcW w:w="0" w:type="auto"/>
            <w:tcBorders>
              <w:top w:val="single" w:sz="6" w:space="0" w:color="000000"/>
              <w:left w:val="nil"/>
              <w:bottom w:val="nil"/>
              <w:right w:val="nil"/>
              <w:tl2br w:val="nil"/>
              <w:tr2bl w:val="nil"/>
            </w:tcBorders>
            <w:shd w:val="clear" w:color="auto" w:fill="FFFFFF"/>
            <w:tcMar>
              <w:left w:w="101" w:type="dxa"/>
              <w:right w:w="101" w:type="dxa"/>
            </w:tcMar>
            <w:vAlign w:val="bottom"/>
          </w:tcPr>
          <w:p w14:paraId="79546330" w14:textId="77777777" w:rsidR="00724034" w:rsidRDefault="00724034">
            <w:pPr>
              <w:rPr>
                <w:rFonts w:ascii="Arial" w:eastAsia="Arial" w:hAnsi="Arial" w:cs="Arial"/>
                <w:color w:val="000000"/>
                <w:sz w:val="16"/>
              </w:rPr>
            </w:pPr>
          </w:p>
        </w:tc>
        <w:tc>
          <w:tcPr>
            <w:tcW w:w="0" w:type="auto"/>
            <w:tcBorders>
              <w:top w:val="single" w:sz="6" w:space="0" w:color="000000"/>
              <w:left w:val="nil"/>
              <w:bottom w:val="nil"/>
              <w:right w:val="nil"/>
              <w:tl2br w:val="nil"/>
              <w:tr2bl w:val="nil"/>
            </w:tcBorders>
            <w:shd w:val="clear" w:color="auto" w:fill="FFFFFF"/>
            <w:tcMar>
              <w:left w:w="101" w:type="dxa"/>
              <w:right w:w="101" w:type="dxa"/>
            </w:tcMar>
            <w:vAlign w:val="bottom"/>
          </w:tcPr>
          <w:p w14:paraId="356E1CCD" w14:textId="77777777" w:rsidR="00724034" w:rsidRDefault="00724034">
            <w:pPr>
              <w:jc w:val="center"/>
              <w:rPr>
                <w:rFonts w:ascii="Arial" w:eastAsia="Arial" w:hAnsi="Arial" w:cs="Arial"/>
                <w:color w:val="000000"/>
                <w:sz w:val="16"/>
              </w:rPr>
            </w:pPr>
          </w:p>
        </w:tc>
        <w:tc>
          <w:tcPr>
            <w:tcW w:w="0" w:type="auto"/>
            <w:tcBorders>
              <w:top w:val="single" w:sz="6" w:space="0" w:color="000000"/>
              <w:left w:val="nil"/>
              <w:bottom w:val="nil"/>
              <w:right w:val="nil"/>
              <w:tl2br w:val="nil"/>
              <w:tr2bl w:val="nil"/>
            </w:tcBorders>
            <w:shd w:val="clear" w:color="auto" w:fill="FFFFFF"/>
            <w:tcMar>
              <w:left w:w="101" w:type="dxa"/>
              <w:right w:w="101" w:type="dxa"/>
            </w:tcMar>
            <w:vAlign w:val="bottom"/>
          </w:tcPr>
          <w:p w14:paraId="5C53C1C2" w14:textId="77777777" w:rsidR="00724034" w:rsidRDefault="00FB7D0B">
            <w:pPr>
              <w:jc w:val="right"/>
              <w:rPr>
                <w:rFonts w:ascii="Arial" w:eastAsia="Arial" w:hAnsi="Arial" w:cs="Arial"/>
                <w:color w:val="000000"/>
                <w:sz w:val="16"/>
                <w:vertAlign w:val="superscript"/>
              </w:rPr>
            </w:pPr>
            <w:r>
              <w:rPr>
                <w:rFonts w:ascii="Arial" w:eastAsia="Arial" w:hAnsi="Arial" w:cs="Arial"/>
                <w:color w:val="000000"/>
                <w:sz w:val="16"/>
              </w:rPr>
              <w:t>2013-14</w:t>
            </w:r>
          </w:p>
        </w:tc>
        <w:tc>
          <w:tcPr>
            <w:tcW w:w="0" w:type="auto"/>
            <w:tcBorders>
              <w:top w:val="single" w:sz="6" w:space="0" w:color="000000"/>
              <w:left w:val="nil"/>
              <w:bottom w:val="nil"/>
              <w:right w:val="nil"/>
              <w:tl2br w:val="nil"/>
              <w:tr2bl w:val="nil"/>
            </w:tcBorders>
            <w:shd w:val="clear" w:color="auto" w:fill="FFFF00"/>
            <w:tcMar>
              <w:left w:w="101" w:type="dxa"/>
              <w:right w:w="101" w:type="dxa"/>
            </w:tcMar>
            <w:vAlign w:val="bottom"/>
          </w:tcPr>
          <w:p w14:paraId="143D0ECA" w14:textId="77777777" w:rsidR="00724034" w:rsidRDefault="00FB7D0B">
            <w:pPr>
              <w:jc w:val="right"/>
              <w:rPr>
                <w:rFonts w:ascii="Arial" w:eastAsia="Arial" w:hAnsi="Arial" w:cs="Arial"/>
                <w:color w:val="000000"/>
                <w:sz w:val="16"/>
              </w:rPr>
            </w:pPr>
            <w:r>
              <w:rPr>
                <w:rFonts w:ascii="Arial" w:eastAsia="Arial" w:hAnsi="Arial" w:cs="Arial"/>
                <w:color w:val="000000"/>
                <w:sz w:val="16"/>
              </w:rPr>
              <w:t>2014-15</w:t>
            </w:r>
          </w:p>
        </w:tc>
        <w:tc>
          <w:tcPr>
            <w:tcW w:w="0" w:type="auto"/>
            <w:tcBorders>
              <w:top w:val="single" w:sz="6" w:space="0" w:color="000000"/>
              <w:left w:val="nil"/>
              <w:bottom w:val="nil"/>
              <w:right w:val="nil"/>
              <w:tl2br w:val="nil"/>
              <w:tr2bl w:val="nil"/>
            </w:tcBorders>
            <w:shd w:val="clear" w:color="auto" w:fill="FFFFFF"/>
            <w:tcMar>
              <w:left w:w="101" w:type="dxa"/>
              <w:right w:w="101" w:type="dxa"/>
            </w:tcMar>
            <w:vAlign w:val="bottom"/>
          </w:tcPr>
          <w:p w14:paraId="056D10A9" w14:textId="77777777" w:rsidR="00724034" w:rsidRDefault="00FB7D0B">
            <w:pPr>
              <w:jc w:val="right"/>
              <w:rPr>
                <w:rFonts w:ascii="Arial" w:eastAsia="Arial" w:hAnsi="Arial" w:cs="Arial"/>
                <w:color w:val="000000"/>
                <w:sz w:val="16"/>
              </w:rPr>
            </w:pPr>
            <w:r>
              <w:rPr>
                <w:rFonts w:ascii="Arial" w:eastAsia="Arial" w:hAnsi="Arial" w:cs="Arial"/>
                <w:color w:val="000000"/>
                <w:sz w:val="16"/>
              </w:rPr>
              <w:t>2015-16</w:t>
            </w:r>
          </w:p>
        </w:tc>
        <w:tc>
          <w:tcPr>
            <w:tcW w:w="0" w:type="auto"/>
            <w:tcBorders>
              <w:top w:val="single" w:sz="6" w:space="0" w:color="000000"/>
              <w:left w:val="nil"/>
              <w:bottom w:val="nil"/>
              <w:right w:val="nil"/>
              <w:tl2br w:val="nil"/>
              <w:tr2bl w:val="nil"/>
            </w:tcBorders>
            <w:shd w:val="clear" w:color="auto" w:fill="FFFFFF"/>
            <w:tcMar>
              <w:left w:w="101" w:type="dxa"/>
              <w:right w:w="101" w:type="dxa"/>
            </w:tcMar>
            <w:vAlign w:val="bottom"/>
          </w:tcPr>
          <w:p w14:paraId="4424DC7D" w14:textId="77777777" w:rsidR="00724034" w:rsidRDefault="00FB7D0B">
            <w:pPr>
              <w:jc w:val="right"/>
              <w:rPr>
                <w:rFonts w:ascii="Arial" w:eastAsia="Arial" w:hAnsi="Arial" w:cs="Arial"/>
                <w:color w:val="000000"/>
                <w:sz w:val="16"/>
              </w:rPr>
            </w:pPr>
            <w:r>
              <w:rPr>
                <w:rFonts w:ascii="Arial" w:eastAsia="Arial" w:hAnsi="Arial" w:cs="Arial"/>
                <w:color w:val="000000"/>
                <w:sz w:val="16"/>
              </w:rPr>
              <w:t>2016-17</w:t>
            </w:r>
          </w:p>
        </w:tc>
        <w:tc>
          <w:tcPr>
            <w:tcW w:w="0" w:type="auto"/>
            <w:tcBorders>
              <w:top w:val="single" w:sz="6" w:space="0" w:color="000000"/>
              <w:left w:val="nil"/>
              <w:bottom w:val="nil"/>
              <w:right w:val="single" w:sz="6" w:space="0" w:color="000000"/>
              <w:tl2br w:val="nil"/>
              <w:tr2bl w:val="nil"/>
            </w:tcBorders>
            <w:shd w:val="clear" w:color="auto" w:fill="FFFFFF"/>
            <w:tcMar>
              <w:left w:w="101" w:type="dxa"/>
              <w:right w:w="101" w:type="dxa"/>
            </w:tcMar>
            <w:vAlign w:val="bottom"/>
          </w:tcPr>
          <w:p w14:paraId="552B90FC" w14:textId="77777777" w:rsidR="00724034" w:rsidRDefault="00FB7D0B">
            <w:pPr>
              <w:jc w:val="right"/>
              <w:rPr>
                <w:rFonts w:ascii="Arial" w:eastAsia="Arial" w:hAnsi="Arial" w:cs="Arial"/>
                <w:color w:val="000000"/>
                <w:sz w:val="16"/>
              </w:rPr>
            </w:pPr>
            <w:r>
              <w:rPr>
                <w:rFonts w:ascii="Arial" w:eastAsia="Arial" w:hAnsi="Arial" w:cs="Arial"/>
                <w:color w:val="000000"/>
                <w:sz w:val="16"/>
              </w:rPr>
              <w:t>2017-18</w:t>
            </w:r>
          </w:p>
        </w:tc>
      </w:tr>
      <w:tr w:rsidR="00724034" w14:paraId="337391D6" w14:textId="77777777">
        <w:tblPrEx>
          <w:tblLook w:val="04A0" w:firstRow="1" w:lastRow="0" w:firstColumn="1" w:lastColumn="0" w:noHBand="0" w:noVBand="1"/>
        </w:tblPrEx>
        <w:trPr>
          <w:trHeight w:val="225"/>
        </w:trPr>
        <w:tc>
          <w:tcPr>
            <w:tcW w:w="0" w:type="auto"/>
            <w:tcBorders>
              <w:top w:val="nil"/>
              <w:left w:val="single" w:sz="6" w:space="0" w:color="000000"/>
              <w:bottom w:val="nil"/>
              <w:right w:val="nil"/>
              <w:tl2br w:val="nil"/>
              <w:tr2bl w:val="nil"/>
            </w:tcBorders>
            <w:shd w:val="clear" w:color="auto" w:fill="FFFFFF"/>
            <w:tcMar>
              <w:left w:w="101" w:type="dxa"/>
              <w:right w:w="101" w:type="dxa"/>
            </w:tcMar>
            <w:vAlign w:val="bottom"/>
          </w:tcPr>
          <w:p w14:paraId="77EC2529" w14:textId="77777777" w:rsidR="00724034" w:rsidRDefault="00724034">
            <w:pPr>
              <w:rPr>
                <w:rFonts w:ascii="Arial" w:eastAsia="Arial" w:hAnsi="Arial" w:cs="Arial"/>
                <w:color w:val="000000"/>
                <w:sz w:val="16"/>
              </w:rPr>
            </w:pPr>
          </w:p>
        </w:tc>
        <w:tc>
          <w:tcPr>
            <w:tcW w:w="0" w:type="auto"/>
            <w:tcBorders>
              <w:top w:val="nil"/>
              <w:left w:val="nil"/>
              <w:bottom w:val="nil"/>
              <w:right w:val="nil"/>
              <w:tl2br w:val="nil"/>
              <w:tr2bl w:val="nil"/>
            </w:tcBorders>
            <w:shd w:val="clear" w:color="auto" w:fill="FFFFFF"/>
            <w:tcMar>
              <w:left w:w="101" w:type="dxa"/>
              <w:right w:w="101" w:type="dxa"/>
            </w:tcMar>
            <w:vAlign w:val="bottom"/>
          </w:tcPr>
          <w:p w14:paraId="395A8C6F" w14:textId="77777777" w:rsidR="00724034" w:rsidRDefault="00724034">
            <w:pPr>
              <w:rPr>
                <w:rFonts w:ascii="Arial" w:eastAsia="Arial" w:hAnsi="Arial" w:cs="Arial"/>
                <w:color w:val="000000"/>
                <w:sz w:val="16"/>
              </w:rPr>
            </w:pPr>
          </w:p>
        </w:tc>
        <w:tc>
          <w:tcPr>
            <w:tcW w:w="0" w:type="auto"/>
            <w:tcBorders>
              <w:top w:val="nil"/>
              <w:left w:val="nil"/>
              <w:bottom w:val="nil"/>
              <w:right w:val="nil"/>
              <w:tl2br w:val="nil"/>
              <w:tr2bl w:val="nil"/>
            </w:tcBorders>
            <w:shd w:val="clear" w:color="auto" w:fill="FFFFFF"/>
            <w:tcMar>
              <w:left w:w="101" w:type="dxa"/>
              <w:right w:w="101" w:type="dxa"/>
            </w:tcMar>
            <w:vAlign w:val="bottom"/>
          </w:tcPr>
          <w:p w14:paraId="61CA3F96" w14:textId="77777777" w:rsidR="00724034" w:rsidRDefault="00724034">
            <w:pPr>
              <w:rPr>
                <w:rFonts w:ascii="Arial" w:eastAsia="Arial" w:hAnsi="Arial" w:cs="Arial"/>
                <w:color w:val="000000"/>
                <w:sz w:val="16"/>
              </w:rPr>
            </w:pPr>
          </w:p>
        </w:tc>
        <w:tc>
          <w:tcPr>
            <w:tcW w:w="0" w:type="auto"/>
            <w:tcBorders>
              <w:top w:val="nil"/>
              <w:left w:val="nil"/>
              <w:bottom w:val="nil"/>
              <w:right w:val="nil"/>
              <w:tl2br w:val="nil"/>
              <w:tr2bl w:val="nil"/>
            </w:tcBorders>
            <w:shd w:val="clear" w:color="auto" w:fill="FFFFFF"/>
            <w:tcMar>
              <w:left w:w="101" w:type="dxa"/>
              <w:right w:w="101" w:type="dxa"/>
            </w:tcMar>
            <w:vAlign w:val="bottom"/>
          </w:tcPr>
          <w:p w14:paraId="26F63F5A" w14:textId="77777777" w:rsidR="00724034" w:rsidRDefault="00FB7D0B">
            <w:pPr>
              <w:jc w:val="right"/>
              <w:rPr>
                <w:rFonts w:ascii="Arial" w:eastAsia="Arial" w:hAnsi="Arial" w:cs="Arial"/>
                <w:color w:val="000000"/>
                <w:sz w:val="16"/>
                <w:vertAlign w:val="superscript"/>
              </w:rPr>
            </w:pPr>
            <w:r>
              <w:rPr>
                <w:rFonts w:ascii="Arial" w:eastAsia="Arial" w:hAnsi="Arial" w:cs="Arial"/>
                <w:color w:val="000000"/>
                <w:sz w:val="16"/>
              </w:rPr>
              <w:t>Revised</w:t>
            </w:r>
          </w:p>
        </w:tc>
        <w:tc>
          <w:tcPr>
            <w:tcW w:w="0" w:type="auto"/>
            <w:tcBorders>
              <w:top w:val="nil"/>
              <w:left w:val="nil"/>
              <w:bottom w:val="nil"/>
              <w:right w:val="nil"/>
              <w:tl2br w:val="nil"/>
              <w:tr2bl w:val="nil"/>
            </w:tcBorders>
            <w:shd w:val="clear" w:color="auto" w:fill="FFFF00"/>
            <w:tcMar>
              <w:left w:w="101" w:type="dxa"/>
              <w:right w:w="101" w:type="dxa"/>
            </w:tcMar>
            <w:vAlign w:val="bottom"/>
          </w:tcPr>
          <w:p w14:paraId="4FE91BB6" w14:textId="77777777" w:rsidR="00724034" w:rsidRDefault="00FB7D0B">
            <w:pPr>
              <w:jc w:val="right"/>
              <w:rPr>
                <w:rFonts w:ascii="Arial" w:eastAsia="Arial" w:hAnsi="Arial" w:cs="Arial"/>
                <w:color w:val="000000"/>
                <w:sz w:val="16"/>
              </w:rPr>
            </w:pPr>
            <w:r>
              <w:rPr>
                <w:rFonts w:ascii="Arial" w:eastAsia="Arial" w:hAnsi="Arial" w:cs="Arial"/>
                <w:color w:val="000000"/>
                <w:sz w:val="16"/>
              </w:rPr>
              <w:t>Budget</w:t>
            </w:r>
          </w:p>
        </w:tc>
        <w:tc>
          <w:tcPr>
            <w:tcW w:w="0" w:type="auto"/>
            <w:tcBorders>
              <w:top w:val="nil"/>
              <w:left w:val="nil"/>
              <w:bottom w:val="nil"/>
              <w:right w:val="nil"/>
              <w:tl2br w:val="nil"/>
              <w:tr2bl w:val="nil"/>
            </w:tcBorders>
            <w:shd w:val="clear" w:color="auto" w:fill="FFFFFF"/>
            <w:tcMar>
              <w:left w:w="101" w:type="dxa"/>
              <w:right w:w="101" w:type="dxa"/>
            </w:tcMar>
            <w:vAlign w:val="bottom"/>
          </w:tcPr>
          <w:p w14:paraId="3CD901EA" w14:textId="77777777" w:rsidR="00724034" w:rsidRDefault="00FB7D0B">
            <w:pPr>
              <w:jc w:val="right"/>
              <w:rPr>
                <w:rFonts w:ascii="Arial" w:eastAsia="Arial" w:hAnsi="Arial" w:cs="Arial"/>
                <w:color w:val="000000"/>
                <w:sz w:val="16"/>
              </w:rPr>
            </w:pPr>
            <w:r>
              <w:rPr>
                <w:rFonts w:ascii="Arial" w:eastAsia="Arial" w:hAnsi="Arial" w:cs="Arial"/>
                <w:color w:val="000000"/>
                <w:sz w:val="16"/>
              </w:rPr>
              <w:t>Forward</w:t>
            </w:r>
          </w:p>
        </w:tc>
        <w:tc>
          <w:tcPr>
            <w:tcW w:w="0" w:type="auto"/>
            <w:tcBorders>
              <w:top w:val="nil"/>
              <w:left w:val="nil"/>
              <w:bottom w:val="nil"/>
              <w:right w:val="nil"/>
              <w:tl2br w:val="nil"/>
              <w:tr2bl w:val="nil"/>
            </w:tcBorders>
            <w:shd w:val="clear" w:color="auto" w:fill="FFFFFF"/>
            <w:tcMar>
              <w:left w:w="101" w:type="dxa"/>
              <w:right w:w="101" w:type="dxa"/>
            </w:tcMar>
            <w:vAlign w:val="bottom"/>
          </w:tcPr>
          <w:p w14:paraId="6C2B3DF4" w14:textId="77777777" w:rsidR="00724034" w:rsidRDefault="00FB7D0B">
            <w:pPr>
              <w:jc w:val="right"/>
              <w:rPr>
                <w:rFonts w:ascii="Arial" w:eastAsia="Arial" w:hAnsi="Arial" w:cs="Arial"/>
                <w:color w:val="000000"/>
                <w:sz w:val="16"/>
              </w:rPr>
            </w:pPr>
            <w:r>
              <w:rPr>
                <w:rFonts w:ascii="Arial" w:eastAsia="Arial" w:hAnsi="Arial" w:cs="Arial"/>
                <w:color w:val="000000"/>
                <w:sz w:val="16"/>
              </w:rPr>
              <w:t>Forward</w:t>
            </w:r>
          </w:p>
        </w:tc>
        <w:tc>
          <w:tcPr>
            <w:tcW w:w="0" w:type="auto"/>
            <w:tcBorders>
              <w:top w:val="nil"/>
              <w:left w:val="nil"/>
              <w:bottom w:val="nil"/>
              <w:right w:val="single" w:sz="6" w:space="0" w:color="000000"/>
              <w:tl2br w:val="nil"/>
              <w:tr2bl w:val="nil"/>
            </w:tcBorders>
            <w:shd w:val="clear" w:color="auto" w:fill="FFFFFF"/>
            <w:tcMar>
              <w:left w:w="101" w:type="dxa"/>
              <w:right w:w="101" w:type="dxa"/>
            </w:tcMar>
            <w:vAlign w:val="bottom"/>
          </w:tcPr>
          <w:p w14:paraId="51F4B293" w14:textId="77777777" w:rsidR="00724034" w:rsidRDefault="00FB7D0B">
            <w:pPr>
              <w:jc w:val="right"/>
              <w:rPr>
                <w:rFonts w:ascii="Arial" w:eastAsia="Arial" w:hAnsi="Arial" w:cs="Arial"/>
                <w:color w:val="000000"/>
                <w:sz w:val="16"/>
              </w:rPr>
            </w:pPr>
            <w:r>
              <w:rPr>
                <w:rFonts w:ascii="Arial" w:eastAsia="Arial" w:hAnsi="Arial" w:cs="Arial"/>
                <w:color w:val="000000"/>
                <w:sz w:val="16"/>
              </w:rPr>
              <w:t>Forward</w:t>
            </w:r>
          </w:p>
        </w:tc>
      </w:tr>
      <w:tr w:rsidR="00FB7D0B" w14:paraId="1B670419" w14:textId="77777777" w:rsidTr="00FB7D0B">
        <w:tblPrEx>
          <w:tblLook w:val="04A0" w:firstRow="1" w:lastRow="0" w:firstColumn="1" w:lastColumn="0" w:noHBand="0" w:noVBand="1"/>
        </w:tblPrEx>
        <w:trPr>
          <w:trHeight w:val="225"/>
        </w:trPr>
        <w:tc>
          <w:tcPr>
            <w:tcW w:w="0" w:type="auto"/>
            <w:gridSpan w:val="3"/>
            <w:tcBorders>
              <w:top w:val="nil"/>
              <w:left w:val="single" w:sz="6" w:space="0" w:color="000000"/>
              <w:bottom w:val="single" w:sz="6" w:space="0" w:color="000000"/>
              <w:right w:val="nil"/>
              <w:tl2br w:val="nil"/>
              <w:tr2bl w:val="nil"/>
            </w:tcBorders>
            <w:shd w:val="clear" w:color="auto" w:fill="FFFFFF"/>
            <w:tcMar>
              <w:left w:w="101" w:type="dxa"/>
              <w:right w:w="101" w:type="dxa"/>
            </w:tcMar>
            <w:vAlign w:val="bottom"/>
          </w:tcPr>
          <w:p w14:paraId="73AE8FD0" w14:textId="77777777" w:rsidR="00724034" w:rsidRDefault="00FB7D0B">
            <w:pPr>
              <w:rPr>
                <w:rFonts w:ascii="Arial" w:eastAsia="Arial" w:hAnsi="Arial" w:cs="Arial"/>
                <w:color w:val="000000"/>
                <w:sz w:val="16"/>
              </w:rPr>
            </w:pPr>
            <w:r>
              <w:rPr>
                <w:rFonts w:ascii="Arial" w:eastAsia="Arial" w:hAnsi="Arial" w:cs="Arial"/>
                <w:color w:val="000000"/>
                <w:sz w:val="16"/>
              </w:rPr>
              <w:t>$('000)</w:t>
            </w:r>
          </w:p>
        </w:tc>
        <w:tc>
          <w:tcPr>
            <w:tcW w:w="0" w:type="auto"/>
            <w:tcBorders>
              <w:top w:val="nil"/>
              <w:left w:val="nil"/>
              <w:bottom w:val="single" w:sz="6" w:space="0" w:color="000000"/>
              <w:right w:val="nil"/>
              <w:tl2br w:val="nil"/>
              <w:tr2bl w:val="nil"/>
            </w:tcBorders>
            <w:shd w:val="clear" w:color="auto" w:fill="FFFFFF"/>
            <w:tcMar>
              <w:left w:w="101" w:type="dxa"/>
              <w:right w:w="101" w:type="dxa"/>
            </w:tcMar>
            <w:vAlign w:val="bottom"/>
          </w:tcPr>
          <w:p w14:paraId="0AD00CEF" w14:textId="77777777" w:rsidR="00724034" w:rsidRDefault="00FB7D0B">
            <w:pPr>
              <w:jc w:val="right"/>
              <w:rPr>
                <w:rFonts w:ascii="Arial" w:eastAsia="Arial" w:hAnsi="Arial" w:cs="Arial"/>
                <w:color w:val="000000"/>
                <w:sz w:val="16"/>
                <w:vertAlign w:val="superscript"/>
              </w:rPr>
            </w:pPr>
            <w:r>
              <w:rPr>
                <w:rFonts w:ascii="Arial" w:eastAsia="Arial" w:hAnsi="Arial" w:cs="Arial"/>
                <w:color w:val="000000"/>
                <w:sz w:val="16"/>
              </w:rPr>
              <w:t>budget</w:t>
            </w:r>
          </w:p>
        </w:tc>
        <w:tc>
          <w:tcPr>
            <w:tcW w:w="0" w:type="auto"/>
            <w:tcBorders>
              <w:top w:val="nil"/>
              <w:left w:val="nil"/>
              <w:bottom w:val="single" w:sz="6" w:space="0" w:color="000000"/>
              <w:right w:val="nil"/>
              <w:tl2br w:val="nil"/>
              <w:tr2bl w:val="nil"/>
            </w:tcBorders>
            <w:shd w:val="clear" w:color="auto" w:fill="FFFF00"/>
            <w:tcMar>
              <w:left w:w="101" w:type="dxa"/>
              <w:right w:w="101" w:type="dxa"/>
            </w:tcMar>
            <w:vAlign w:val="bottom"/>
          </w:tcPr>
          <w:p w14:paraId="6A8CF5BA" w14:textId="77777777" w:rsidR="00724034" w:rsidRDefault="00724034">
            <w:pPr>
              <w:jc w:val="right"/>
              <w:rPr>
                <w:rFonts w:ascii="Arial" w:eastAsia="Arial" w:hAnsi="Arial" w:cs="Arial"/>
                <w:color w:val="000000"/>
                <w:sz w:val="16"/>
              </w:rPr>
            </w:pPr>
          </w:p>
        </w:tc>
        <w:tc>
          <w:tcPr>
            <w:tcW w:w="0" w:type="auto"/>
            <w:tcBorders>
              <w:top w:val="nil"/>
              <w:left w:val="nil"/>
              <w:bottom w:val="single" w:sz="6" w:space="0" w:color="000000"/>
              <w:right w:val="nil"/>
              <w:tl2br w:val="nil"/>
              <w:tr2bl w:val="nil"/>
            </w:tcBorders>
            <w:shd w:val="clear" w:color="auto" w:fill="FFFFFF"/>
            <w:tcMar>
              <w:left w:w="101" w:type="dxa"/>
              <w:right w:w="101" w:type="dxa"/>
            </w:tcMar>
            <w:vAlign w:val="bottom"/>
          </w:tcPr>
          <w:p w14:paraId="3CBBD6A8" w14:textId="77777777" w:rsidR="00724034" w:rsidRDefault="00FB7D0B">
            <w:pPr>
              <w:jc w:val="right"/>
              <w:rPr>
                <w:rFonts w:ascii="Arial" w:eastAsia="Arial" w:hAnsi="Arial" w:cs="Arial"/>
                <w:color w:val="000000"/>
                <w:sz w:val="16"/>
              </w:rPr>
            </w:pPr>
            <w:r>
              <w:rPr>
                <w:rFonts w:ascii="Arial" w:eastAsia="Arial" w:hAnsi="Arial" w:cs="Arial"/>
                <w:color w:val="000000"/>
                <w:sz w:val="16"/>
              </w:rPr>
              <w:t>year 1</w:t>
            </w:r>
          </w:p>
        </w:tc>
        <w:tc>
          <w:tcPr>
            <w:tcW w:w="0" w:type="auto"/>
            <w:tcBorders>
              <w:top w:val="nil"/>
              <w:left w:val="nil"/>
              <w:bottom w:val="single" w:sz="6" w:space="0" w:color="000000"/>
              <w:right w:val="nil"/>
              <w:tl2br w:val="nil"/>
              <w:tr2bl w:val="nil"/>
            </w:tcBorders>
            <w:shd w:val="clear" w:color="auto" w:fill="FFFFFF"/>
            <w:tcMar>
              <w:left w:w="101" w:type="dxa"/>
              <w:right w:w="101" w:type="dxa"/>
            </w:tcMar>
            <w:vAlign w:val="bottom"/>
          </w:tcPr>
          <w:p w14:paraId="0D26CF10" w14:textId="77777777" w:rsidR="00724034" w:rsidRDefault="00FB7D0B">
            <w:pPr>
              <w:jc w:val="right"/>
              <w:rPr>
                <w:rFonts w:ascii="Arial" w:eastAsia="Arial" w:hAnsi="Arial" w:cs="Arial"/>
                <w:color w:val="000000"/>
                <w:sz w:val="16"/>
              </w:rPr>
            </w:pPr>
            <w:r>
              <w:rPr>
                <w:rFonts w:ascii="Arial" w:eastAsia="Arial" w:hAnsi="Arial" w:cs="Arial"/>
                <w:color w:val="000000"/>
                <w:sz w:val="16"/>
              </w:rPr>
              <w:t>year 2</w:t>
            </w:r>
          </w:p>
        </w:tc>
        <w:tc>
          <w:tcPr>
            <w:tcW w:w="0" w:type="auto"/>
            <w:tcBorders>
              <w:top w:val="nil"/>
              <w:left w:val="nil"/>
              <w:bottom w:val="single" w:sz="6" w:space="0" w:color="000000"/>
              <w:right w:val="single" w:sz="6" w:space="0" w:color="000000"/>
              <w:tl2br w:val="nil"/>
              <w:tr2bl w:val="nil"/>
            </w:tcBorders>
            <w:shd w:val="clear" w:color="auto" w:fill="FFFFFF"/>
            <w:tcMar>
              <w:left w:w="101" w:type="dxa"/>
              <w:right w:w="101" w:type="dxa"/>
            </w:tcMar>
            <w:vAlign w:val="bottom"/>
          </w:tcPr>
          <w:p w14:paraId="24E25F19" w14:textId="77777777" w:rsidR="00724034" w:rsidRDefault="00FB7D0B">
            <w:pPr>
              <w:jc w:val="right"/>
              <w:rPr>
                <w:rFonts w:ascii="Arial" w:eastAsia="Arial" w:hAnsi="Arial" w:cs="Arial"/>
                <w:color w:val="000000"/>
                <w:sz w:val="16"/>
              </w:rPr>
            </w:pPr>
            <w:r>
              <w:rPr>
                <w:rFonts w:ascii="Arial" w:eastAsia="Arial" w:hAnsi="Arial" w:cs="Arial"/>
                <w:color w:val="000000"/>
                <w:sz w:val="16"/>
              </w:rPr>
              <w:t>year 3</w:t>
            </w:r>
          </w:p>
        </w:tc>
      </w:tr>
      <w:tr w:rsidR="00FB7D0B" w14:paraId="76231EB2" w14:textId="77777777" w:rsidTr="00FB7D0B">
        <w:tblPrEx>
          <w:tblLook w:val="04A0" w:firstRow="1" w:lastRow="0" w:firstColumn="1" w:lastColumn="0" w:noHBand="0" w:noVBand="1"/>
        </w:tblPrEx>
        <w:trPr>
          <w:trHeight w:val="225"/>
        </w:trPr>
        <w:tc>
          <w:tcPr>
            <w:tcW w:w="0" w:type="auto"/>
            <w:gridSpan w:val="3"/>
            <w:tcBorders>
              <w:top w:val="single" w:sz="6" w:space="0" w:color="000000"/>
              <w:left w:val="single" w:sz="6" w:space="0" w:color="000000"/>
              <w:bottom w:val="nil"/>
              <w:right w:val="nil"/>
              <w:tl2br w:val="nil"/>
              <w:tr2bl w:val="nil"/>
            </w:tcBorders>
            <w:shd w:val="clear" w:color="auto" w:fill="FFFFFF"/>
            <w:tcMar>
              <w:left w:w="101" w:type="dxa"/>
              <w:right w:w="101" w:type="dxa"/>
            </w:tcMar>
            <w:vAlign w:val="bottom"/>
          </w:tcPr>
          <w:p w14:paraId="5A14E788" w14:textId="77777777" w:rsidR="00724034" w:rsidRDefault="00FB7D0B">
            <w:pPr>
              <w:rPr>
                <w:rFonts w:ascii="Arial" w:eastAsia="Arial" w:hAnsi="Arial" w:cs="Arial"/>
                <w:color w:val="000000"/>
                <w:sz w:val="16"/>
              </w:rPr>
            </w:pPr>
            <w:r>
              <w:rPr>
                <w:rFonts w:ascii="Arial" w:eastAsia="Arial" w:hAnsi="Arial" w:cs="Arial"/>
                <w:color w:val="000000"/>
                <w:sz w:val="16"/>
              </w:rPr>
              <w:t>Annual administered expenses:</w:t>
            </w:r>
          </w:p>
        </w:tc>
        <w:tc>
          <w:tcPr>
            <w:tcW w:w="0" w:type="auto"/>
            <w:tcBorders>
              <w:top w:val="single" w:sz="6" w:space="0" w:color="000000"/>
              <w:left w:val="nil"/>
              <w:bottom w:val="nil"/>
              <w:right w:val="nil"/>
              <w:tl2br w:val="nil"/>
              <w:tr2bl w:val="nil"/>
            </w:tcBorders>
            <w:shd w:val="clear" w:color="auto" w:fill="FFFFFF"/>
            <w:tcMar>
              <w:left w:w="101" w:type="dxa"/>
              <w:right w:w="101" w:type="dxa"/>
            </w:tcMar>
            <w:vAlign w:val="bottom"/>
          </w:tcPr>
          <w:p w14:paraId="6F032BF0" w14:textId="77777777" w:rsidR="00724034" w:rsidRDefault="00724034">
            <w:pPr>
              <w:jc w:val="right"/>
              <w:rPr>
                <w:rFonts w:ascii="Arial" w:eastAsia="Arial" w:hAnsi="Arial" w:cs="Arial"/>
                <w:color w:val="000000"/>
                <w:sz w:val="16"/>
                <w:vertAlign w:val="superscript"/>
              </w:rPr>
            </w:pPr>
          </w:p>
        </w:tc>
        <w:tc>
          <w:tcPr>
            <w:tcW w:w="0" w:type="auto"/>
            <w:tcBorders>
              <w:top w:val="single" w:sz="6" w:space="0" w:color="000000"/>
              <w:left w:val="nil"/>
              <w:bottom w:val="nil"/>
              <w:right w:val="nil"/>
              <w:tl2br w:val="nil"/>
              <w:tr2bl w:val="nil"/>
            </w:tcBorders>
            <w:shd w:val="clear" w:color="auto" w:fill="FFFF00"/>
            <w:tcMar>
              <w:left w:w="101" w:type="dxa"/>
              <w:right w:w="101" w:type="dxa"/>
            </w:tcMar>
            <w:vAlign w:val="bottom"/>
          </w:tcPr>
          <w:p w14:paraId="67B986BA" w14:textId="77777777" w:rsidR="00724034" w:rsidRDefault="00724034">
            <w:pPr>
              <w:jc w:val="right"/>
              <w:rPr>
                <w:rFonts w:ascii="Arial" w:eastAsia="Arial" w:hAnsi="Arial" w:cs="Arial"/>
                <w:color w:val="000000"/>
                <w:sz w:val="16"/>
                <w:vertAlign w:val="superscript"/>
              </w:rPr>
            </w:pPr>
          </w:p>
        </w:tc>
        <w:tc>
          <w:tcPr>
            <w:tcW w:w="0" w:type="auto"/>
            <w:tcBorders>
              <w:top w:val="single" w:sz="6" w:space="0" w:color="000000"/>
              <w:left w:val="nil"/>
              <w:bottom w:val="nil"/>
              <w:right w:val="nil"/>
              <w:tl2br w:val="nil"/>
              <w:tr2bl w:val="nil"/>
            </w:tcBorders>
            <w:shd w:val="clear" w:color="auto" w:fill="FFFFFF"/>
            <w:tcMar>
              <w:left w:w="101" w:type="dxa"/>
              <w:right w:w="101" w:type="dxa"/>
            </w:tcMar>
            <w:vAlign w:val="bottom"/>
          </w:tcPr>
          <w:p w14:paraId="5372872E" w14:textId="77777777" w:rsidR="00724034" w:rsidRDefault="00724034">
            <w:pPr>
              <w:jc w:val="right"/>
              <w:rPr>
                <w:rFonts w:ascii="Arial" w:eastAsia="Arial" w:hAnsi="Arial" w:cs="Arial"/>
                <w:color w:val="000000"/>
                <w:sz w:val="16"/>
                <w:vertAlign w:val="superscript"/>
              </w:rPr>
            </w:pPr>
          </w:p>
        </w:tc>
        <w:tc>
          <w:tcPr>
            <w:tcW w:w="0" w:type="auto"/>
            <w:tcBorders>
              <w:top w:val="single" w:sz="6" w:space="0" w:color="000000"/>
              <w:left w:val="nil"/>
              <w:bottom w:val="nil"/>
              <w:right w:val="nil"/>
              <w:tl2br w:val="nil"/>
              <w:tr2bl w:val="nil"/>
            </w:tcBorders>
            <w:shd w:val="clear" w:color="auto" w:fill="FFFFFF"/>
            <w:tcMar>
              <w:left w:w="101" w:type="dxa"/>
              <w:right w:w="101" w:type="dxa"/>
            </w:tcMar>
            <w:vAlign w:val="bottom"/>
          </w:tcPr>
          <w:p w14:paraId="6BB8C1FB" w14:textId="77777777" w:rsidR="00724034" w:rsidRDefault="00724034">
            <w:pPr>
              <w:jc w:val="right"/>
              <w:rPr>
                <w:rFonts w:ascii="Arial" w:eastAsia="Arial" w:hAnsi="Arial" w:cs="Arial"/>
                <w:color w:val="000000"/>
                <w:sz w:val="16"/>
                <w:vertAlign w:val="superscript"/>
              </w:rPr>
            </w:pPr>
          </w:p>
        </w:tc>
        <w:tc>
          <w:tcPr>
            <w:tcW w:w="0" w:type="auto"/>
            <w:tcBorders>
              <w:top w:val="single" w:sz="6" w:space="0" w:color="000000"/>
              <w:left w:val="nil"/>
              <w:bottom w:val="nil"/>
              <w:right w:val="single" w:sz="6" w:space="0" w:color="000000"/>
              <w:tl2br w:val="nil"/>
              <w:tr2bl w:val="nil"/>
            </w:tcBorders>
            <w:shd w:val="clear" w:color="auto" w:fill="FFFFFF"/>
            <w:tcMar>
              <w:left w:w="101" w:type="dxa"/>
              <w:right w:w="101" w:type="dxa"/>
            </w:tcMar>
            <w:vAlign w:val="bottom"/>
          </w:tcPr>
          <w:p w14:paraId="29F6A4F5" w14:textId="77777777" w:rsidR="00724034" w:rsidRDefault="00724034">
            <w:pPr>
              <w:jc w:val="right"/>
              <w:rPr>
                <w:rFonts w:ascii="Arial" w:eastAsia="Arial" w:hAnsi="Arial" w:cs="Arial"/>
                <w:color w:val="000000"/>
                <w:sz w:val="16"/>
                <w:vertAlign w:val="superscript"/>
              </w:rPr>
            </w:pPr>
          </w:p>
        </w:tc>
      </w:tr>
      <w:tr w:rsidR="00FB7D0B" w14:paraId="17D34396" w14:textId="77777777" w:rsidTr="00FB7D0B">
        <w:tblPrEx>
          <w:tblLook w:val="04A0" w:firstRow="1" w:lastRow="0" w:firstColumn="1" w:lastColumn="0" w:noHBand="0" w:noVBand="1"/>
        </w:tblPrEx>
        <w:trPr>
          <w:trHeight w:val="225"/>
        </w:trPr>
        <w:tc>
          <w:tcPr>
            <w:tcW w:w="0" w:type="auto"/>
            <w:tcBorders>
              <w:top w:val="single" w:sz="6" w:space="0" w:color="FFFFFF"/>
              <w:left w:val="single" w:sz="6" w:space="0" w:color="000000"/>
              <w:bottom w:val="nil"/>
              <w:right w:val="nil"/>
              <w:tl2br w:val="nil"/>
              <w:tr2bl w:val="nil"/>
            </w:tcBorders>
            <w:shd w:val="clear" w:color="auto" w:fill="FFFFFF"/>
            <w:tcMar>
              <w:left w:w="101" w:type="dxa"/>
              <w:right w:w="101" w:type="dxa"/>
            </w:tcMar>
            <w:vAlign w:val="bottom"/>
          </w:tcPr>
          <w:p w14:paraId="3C5D8EBF" w14:textId="77777777" w:rsidR="00724034" w:rsidRDefault="00724034">
            <w:pPr>
              <w:rPr>
                <w:rFonts w:ascii="Arial" w:eastAsia="Arial" w:hAnsi="Arial" w:cs="Arial"/>
                <w:color w:val="000000"/>
                <w:sz w:val="16"/>
                <w:vertAlign w:val="superscript"/>
              </w:rPr>
            </w:pPr>
          </w:p>
        </w:tc>
        <w:tc>
          <w:tcPr>
            <w:tcW w:w="0" w:type="auto"/>
            <w:gridSpan w:val="2"/>
            <w:tcBorders>
              <w:top w:val="single" w:sz="6" w:space="0" w:color="FFFFFF"/>
              <w:left w:val="nil"/>
              <w:bottom w:val="nil"/>
              <w:right w:val="nil"/>
              <w:tl2br w:val="nil"/>
              <w:tr2bl w:val="nil"/>
            </w:tcBorders>
            <w:shd w:val="clear" w:color="auto" w:fill="FFFFFF"/>
            <w:tcMar>
              <w:left w:w="101" w:type="dxa"/>
              <w:right w:w="101" w:type="dxa"/>
            </w:tcMar>
            <w:vAlign w:val="bottom"/>
          </w:tcPr>
          <w:p w14:paraId="6C3A076E" w14:textId="77777777" w:rsidR="00724034" w:rsidRDefault="00FB7D0B">
            <w:pPr>
              <w:rPr>
                <w:rFonts w:ascii="Arial" w:eastAsia="Arial" w:hAnsi="Arial" w:cs="Arial"/>
                <w:color w:val="000000"/>
                <w:sz w:val="16"/>
                <w:vertAlign w:val="superscript"/>
              </w:rPr>
            </w:pPr>
            <w:r>
              <w:rPr>
                <w:rFonts w:ascii="Arial" w:eastAsia="Arial" w:hAnsi="Arial" w:cs="Arial"/>
                <w:i/>
                <w:color w:val="000000"/>
                <w:sz w:val="16"/>
              </w:rPr>
              <w:t>Appropriation Bill 1</w:t>
            </w:r>
          </w:p>
        </w:tc>
        <w:tc>
          <w:tcPr>
            <w:tcW w:w="0" w:type="auto"/>
            <w:tcBorders>
              <w:top w:val="nil"/>
              <w:left w:val="nil"/>
              <w:bottom w:val="nil"/>
              <w:right w:val="nil"/>
              <w:tl2br w:val="nil"/>
              <w:tr2bl w:val="nil"/>
            </w:tcBorders>
            <w:shd w:val="clear" w:color="auto" w:fill="FFFFFF"/>
            <w:tcMar>
              <w:left w:w="101" w:type="dxa"/>
              <w:right w:w="101" w:type="dxa"/>
            </w:tcMar>
            <w:vAlign w:val="bottom"/>
          </w:tcPr>
          <w:p w14:paraId="093C0332" w14:textId="77777777" w:rsidR="00724034" w:rsidRDefault="00724034">
            <w:pPr>
              <w:jc w:val="right"/>
              <w:rPr>
                <w:rFonts w:ascii="Arial" w:eastAsia="Arial" w:hAnsi="Arial" w:cs="Arial"/>
                <w:color w:val="000000"/>
                <w:sz w:val="16"/>
                <w:vertAlign w:val="superscript"/>
              </w:rPr>
            </w:pPr>
          </w:p>
        </w:tc>
        <w:tc>
          <w:tcPr>
            <w:tcW w:w="0" w:type="auto"/>
            <w:tcBorders>
              <w:top w:val="nil"/>
              <w:left w:val="nil"/>
              <w:bottom w:val="nil"/>
              <w:right w:val="nil"/>
              <w:tl2br w:val="nil"/>
              <w:tr2bl w:val="nil"/>
            </w:tcBorders>
            <w:shd w:val="clear" w:color="auto" w:fill="FFFF00"/>
            <w:tcMar>
              <w:left w:w="101" w:type="dxa"/>
              <w:right w:w="101" w:type="dxa"/>
            </w:tcMar>
            <w:vAlign w:val="bottom"/>
          </w:tcPr>
          <w:p w14:paraId="5E534EEF" w14:textId="77777777" w:rsidR="00724034" w:rsidRDefault="00724034">
            <w:pPr>
              <w:jc w:val="right"/>
              <w:rPr>
                <w:rFonts w:ascii="Arial" w:eastAsia="Arial" w:hAnsi="Arial" w:cs="Arial"/>
                <w:color w:val="000000"/>
                <w:sz w:val="16"/>
                <w:vertAlign w:val="superscript"/>
              </w:rPr>
            </w:pPr>
          </w:p>
        </w:tc>
        <w:tc>
          <w:tcPr>
            <w:tcW w:w="0" w:type="auto"/>
            <w:tcBorders>
              <w:top w:val="nil"/>
              <w:left w:val="nil"/>
              <w:bottom w:val="nil"/>
              <w:right w:val="nil"/>
              <w:tl2br w:val="nil"/>
              <w:tr2bl w:val="nil"/>
            </w:tcBorders>
            <w:shd w:val="clear" w:color="auto" w:fill="FFFFFF"/>
            <w:tcMar>
              <w:left w:w="101" w:type="dxa"/>
              <w:right w:w="101" w:type="dxa"/>
            </w:tcMar>
            <w:vAlign w:val="bottom"/>
          </w:tcPr>
          <w:p w14:paraId="3D080263" w14:textId="77777777" w:rsidR="00724034" w:rsidRDefault="00724034">
            <w:pPr>
              <w:jc w:val="right"/>
              <w:rPr>
                <w:rFonts w:ascii="Arial" w:eastAsia="Arial" w:hAnsi="Arial" w:cs="Arial"/>
                <w:color w:val="000000"/>
                <w:sz w:val="16"/>
                <w:vertAlign w:val="superscript"/>
              </w:rPr>
            </w:pPr>
          </w:p>
        </w:tc>
        <w:tc>
          <w:tcPr>
            <w:tcW w:w="0" w:type="auto"/>
            <w:tcBorders>
              <w:top w:val="nil"/>
              <w:left w:val="nil"/>
              <w:bottom w:val="nil"/>
              <w:right w:val="nil"/>
              <w:tl2br w:val="nil"/>
              <w:tr2bl w:val="nil"/>
            </w:tcBorders>
            <w:shd w:val="clear" w:color="auto" w:fill="FFFFFF"/>
            <w:tcMar>
              <w:left w:w="101" w:type="dxa"/>
              <w:right w:w="101" w:type="dxa"/>
            </w:tcMar>
            <w:vAlign w:val="bottom"/>
          </w:tcPr>
          <w:p w14:paraId="77506874" w14:textId="77777777" w:rsidR="00724034" w:rsidRDefault="00724034">
            <w:pPr>
              <w:jc w:val="right"/>
              <w:rPr>
                <w:rFonts w:ascii="Arial" w:eastAsia="Arial" w:hAnsi="Arial" w:cs="Arial"/>
                <w:color w:val="000000"/>
                <w:sz w:val="16"/>
                <w:vertAlign w:val="superscript"/>
              </w:rPr>
            </w:pPr>
          </w:p>
        </w:tc>
        <w:tc>
          <w:tcPr>
            <w:tcW w:w="0" w:type="auto"/>
            <w:tcBorders>
              <w:top w:val="nil"/>
              <w:left w:val="nil"/>
              <w:bottom w:val="nil"/>
              <w:right w:val="single" w:sz="6" w:space="0" w:color="000000"/>
              <w:tl2br w:val="nil"/>
              <w:tr2bl w:val="nil"/>
            </w:tcBorders>
            <w:shd w:val="clear" w:color="auto" w:fill="FFFFFF"/>
            <w:tcMar>
              <w:left w:w="101" w:type="dxa"/>
              <w:right w:w="101" w:type="dxa"/>
            </w:tcMar>
            <w:vAlign w:val="bottom"/>
          </w:tcPr>
          <w:p w14:paraId="62C417D5" w14:textId="77777777" w:rsidR="00724034" w:rsidRDefault="00724034">
            <w:pPr>
              <w:jc w:val="right"/>
              <w:rPr>
                <w:rFonts w:ascii="Arial" w:eastAsia="Arial" w:hAnsi="Arial" w:cs="Arial"/>
                <w:color w:val="000000"/>
                <w:sz w:val="16"/>
                <w:vertAlign w:val="superscript"/>
              </w:rPr>
            </w:pPr>
          </w:p>
        </w:tc>
      </w:tr>
      <w:tr w:rsidR="00724034" w14:paraId="073FF79B" w14:textId="77777777">
        <w:tblPrEx>
          <w:tblLook w:val="04A0" w:firstRow="1" w:lastRow="0" w:firstColumn="1" w:lastColumn="0" w:noHBand="0" w:noVBand="1"/>
        </w:tblPrEx>
        <w:trPr>
          <w:trHeight w:val="225"/>
        </w:trPr>
        <w:tc>
          <w:tcPr>
            <w:tcW w:w="0" w:type="auto"/>
            <w:tcBorders>
              <w:top w:val="nil"/>
              <w:left w:val="single" w:sz="6" w:space="0" w:color="000000"/>
              <w:bottom w:val="nil"/>
              <w:right w:val="nil"/>
              <w:tl2br w:val="nil"/>
              <w:tr2bl w:val="nil"/>
            </w:tcBorders>
            <w:shd w:val="clear" w:color="auto" w:fill="FFFFFF"/>
            <w:tcMar>
              <w:left w:w="101" w:type="dxa"/>
              <w:right w:w="101" w:type="dxa"/>
            </w:tcMar>
            <w:vAlign w:val="bottom"/>
          </w:tcPr>
          <w:p w14:paraId="1ED498FA" w14:textId="77777777" w:rsidR="00724034" w:rsidRDefault="00724034">
            <w:pPr>
              <w:rPr>
                <w:rFonts w:ascii="Arial" w:eastAsia="Arial" w:hAnsi="Arial" w:cs="Arial"/>
                <w:color w:val="000000"/>
                <w:sz w:val="16"/>
                <w:vertAlign w:val="superscript"/>
              </w:rPr>
            </w:pPr>
          </w:p>
        </w:tc>
        <w:tc>
          <w:tcPr>
            <w:tcW w:w="0" w:type="auto"/>
            <w:tcBorders>
              <w:top w:val="nil"/>
              <w:left w:val="nil"/>
              <w:bottom w:val="nil"/>
              <w:right w:val="nil"/>
              <w:tl2br w:val="nil"/>
              <w:tr2bl w:val="nil"/>
            </w:tcBorders>
            <w:shd w:val="clear" w:color="auto" w:fill="FFFFFF"/>
            <w:tcMar>
              <w:left w:w="101" w:type="dxa"/>
              <w:right w:w="101" w:type="dxa"/>
            </w:tcMar>
            <w:vAlign w:val="bottom"/>
          </w:tcPr>
          <w:p w14:paraId="5CFD6D3C" w14:textId="77777777" w:rsidR="00724034" w:rsidRDefault="00724034">
            <w:pPr>
              <w:rPr>
                <w:rFonts w:ascii="Arial" w:eastAsia="Arial" w:hAnsi="Arial" w:cs="Arial"/>
                <w:color w:val="000000"/>
                <w:sz w:val="16"/>
                <w:vertAlign w:val="superscript"/>
              </w:rPr>
            </w:pPr>
          </w:p>
        </w:tc>
        <w:tc>
          <w:tcPr>
            <w:tcW w:w="0" w:type="auto"/>
            <w:tcBorders>
              <w:top w:val="nil"/>
              <w:left w:val="nil"/>
              <w:bottom w:val="nil"/>
              <w:right w:val="nil"/>
              <w:tl2br w:val="nil"/>
              <w:tr2bl w:val="nil"/>
            </w:tcBorders>
            <w:shd w:val="clear" w:color="auto" w:fill="FFFFFF"/>
            <w:tcMar>
              <w:left w:w="101" w:type="dxa"/>
              <w:right w:w="101" w:type="dxa"/>
            </w:tcMar>
            <w:vAlign w:val="bottom"/>
          </w:tcPr>
          <w:p w14:paraId="01547C67" w14:textId="77777777" w:rsidR="00724034" w:rsidRDefault="00FB7D0B">
            <w:pPr>
              <w:rPr>
                <w:rFonts w:ascii="Arial" w:eastAsia="Arial" w:hAnsi="Arial" w:cs="Arial"/>
                <w:color w:val="000000"/>
                <w:sz w:val="16"/>
                <w:vertAlign w:val="superscript"/>
              </w:rPr>
            </w:pPr>
            <w:r>
              <w:rPr>
                <w:rFonts w:ascii="Arial" w:eastAsia="Arial" w:hAnsi="Arial" w:cs="Arial"/>
                <w:color w:val="000000"/>
                <w:sz w:val="16"/>
              </w:rPr>
              <w:t>Veterans' Children Education Scheme</w:t>
            </w:r>
          </w:p>
        </w:tc>
        <w:tc>
          <w:tcPr>
            <w:tcW w:w="0" w:type="auto"/>
            <w:tcBorders>
              <w:top w:val="nil"/>
              <w:left w:val="nil"/>
              <w:bottom w:val="nil"/>
              <w:right w:val="nil"/>
              <w:tl2br w:val="nil"/>
              <w:tr2bl w:val="nil"/>
            </w:tcBorders>
            <w:shd w:val="clear" w:color="auto" w:fill="FFFFFF"/>
            <w:tcMar>
              <w:left w:w="101" w:type="dxa"/>
              <w:right w:w="101" w:type="dxa"/>
            </w:tcMar>
            <w:vAlign w:val="bottom"/>
          </w:tcPr>
          <w:p w14:paraId="21353A96" w14:textId="77777777" w:rsidR="00724034" w:rsidRDefault="00FB7D0B">
            <w:pPr>
              <w:jc w:val="right"/>
              <w:rPr>
                <w:rFonts w:ascii="Arial" w:eastAsia="Arial" w:hAnsi="Arial" w:cs="Arial"/>
                <w:color w:val="000000"/>
                <w:sz w:val="16"/>
                <w:vertAlign w:val="superscript"/>
              </w:rPr>
            </w:pPr>
            <w:r>
              <w:rPr>
                <w:rFonts w:ascii="Arial" w:eastAsia="Arial" w:hAnsi="Arial" w:cs="Arial"/>
                <w:color w:val="000000"/>
                <w:sz w:val="16"/>
              </w:rPr>
              <w:t xml:space="preserve"> 15,954 </w:t>
            </w:r>
          </w:p>
        </w:tc>
        <w:tc>
          <w:tcPr>
            <w:tcW w:w="0" w:type="auto"/>
            <w:tcBorders>
              <w:top w:val="nil"/>
              <w:left w:val="nil"/>
              <w:bottom w:val="nil"/>
              <w:right w:val="nil"/>
              <w:tl2br w:val="nil"/>
              <w:tr2bl w:val="nil"/>
            </w:tcBorders>
            <w:shd w:val="clear" w:color="auto" w:fill="FFFF00"/>
            <w:tcMar>
              <w:left w:w="101" w:type="dxa"/>
              <w:right w:w="101" w:type="dxa"/>
            </w:tcMar>
            <w:vAlign w:val="bottom"/>
          </w:tcPr>
          <w:p w14:paraId="121544B1" w14:textId="77777777" w:rsidR="00724034" w:rsidRDefault="00FB7D0B">
            <w:pPr>
              <w:jc w:val="right"/>
              <w:rPr>
                <w:rFonts w:ascii="Arial" w:eastAsia="Arial" w:hAnsi="Arial" w:cs="Arial"/>
                <w:color w:val="000000"/>
                <w:sz w:val="16"/>
              </w:rPr>
            </w:pPr>
            <w:r>
              <w:rPr>
                <w:rFonts w:ascii="Arial" w:eastAsia="Arial" w:hAnsi="Arial" w:cs="Arial"/>
                <w:color w:val="000000"/>
                <w:sz w:val="16"/>
              </w:rPr>
              <w:t xml:space="preserve"> 15,634 </w:t>
            </w:r>
          </w:p>
        </w:tc>
        <w:tc>
          <w:tcPr>
            <w:tcW w:w="0" w:type="auto"/>
            <w:tcBorders>
              <w:top w:val="nil"/>
              <w:left w:val="nil"/>
              <w:bottom w:val="nil"/>
              <w:right w:val="nil"/>
              <w:tl2br w:val="nil"/>
              <w:tr2bl w:val="nil"/>
            </w:tcBorders>
            <w:shd w:val="clear" w:color="auto" w:fill="FFFFFF"/>
            <w:tcMar>
              <w:left w:w="101" w:type="dxa"/>
              <w:right w:w="101" w:type="dxa"/>
            </w:tcMar>
            <w:vAlign w:val="bottom"/>
          </w:tcPr>
          <w:p w14:paraId="54F9021E" w14:textId="77777777" w:rsidR="00724034" w:rsidRDefault="00FB7D0B">
            <w:pPr>
              <w:jc w:val="right"/>
              <w:rPr>
                <w:rFonts w:ascii="Arial" w:eastAsia="Arial" w:hAnsi="Arial" w:cs="Arial"/>
                <w:color w:val="000000"/>
                <w:sz w:val="16"/>
              </w:rPr>
            </w:pPr>
            <w:r>
              <w:rPr>
                <w:rFonts w:ascii="Arial" w:eastAsia="Arial" w:hAnsi="Arial" w:cs="Arial"/>
                <w:color w:val="000000"/>
                <w:sz w:val="16"/>
              </w:rPr>
              <w:t xml:space="preserve"> 15,443 </w:t>
            </w:r>
          </w:p>
        </w:tc>
        <w:tc>
          <w:tcPr>
            <w:tcW w:w="0" w:type="auto"/>
            <w:tcBorders>
              <w:top w:val="nil"/>
              <w:left w:val="nil"/>
              <w:bottom w:val="nil"/>
              <w:right w:val="nil"/>
              <w:tl2br w:val="nil"/>
              <w:tr2bl w:val="nil"/>
            </w:tcBorders>
            <w:shd w:val="clear" w:color="auto" w:fill="FFFFFF"/>
            <w:tcMar>
              <w:left w:w="101" w:type="dxa"/>
              <w:right w:w="101" w:type="dxa"/>
            </w:tcMar>
            <w:vAlign w:val="bottom"/>
          </w:tcPr>
          <w:p w14:paraId="6FD329DA" w14:textId="77777777" w:rsidR="00724034" w:rsidRDefault="00FB7D0B">
            <w:pPr>
              <w:jc w:val="right"/>
              <w:rPr>
                <w:rFonts w:ascii="Arial" w:eastAsia="Arial" w:hAnsi="Arial" w:cs="Arial"/>
                <w:color w:val="000000"/>
                <w:sz w:val="16"/>
              </w:rPr>
            </w:pPr>
            <w:r>
              <w:rPr>
                <w:rFonts w:ascii="Arial" w:eastAsia="Arial" w:hAnsi="Arial" w:cs="Arial"/>
                <w:color w:val="000000"/>
                <w:sz w:val="16"/>
              </w:rPr>
              <w:t xml:space="preserve"> 15,660 </w:t>
            </w:r>
          </w:p>
        </w:tc>
        <w:tc>
          <w:tcPr>
            <w:tcW w:w="0" w:type="auto"/>
            <w:tcBorders>
              <w:top w:val="nil"/>
              <w:left w:val="nil"/>
              <w:bottom w:val="nil"/>
              <w:right w:val="single" w:sz="6" w:space="0" w:color="000000"/>
              <w:tl2br w:val="nil"/>
              <w:tr2bl w:val="nil"/>
            </w:tcBorders>
            <w:shd w:val="clear" w:color="auto" w:fill="FFFFFF"/>
            <w:tcMar>
              <w:left w:w="101" w:type="dxa"/>
              <w:right w:w="101" w:type="dxa"/>
            </w:tcMar>
            <w:vAlign w:val="bottom"/>
          </w:tcPr>
          <w:p w14:paraId="12F97667" w14:textId="77777777" w:rsidR="00724034" w:rsidRDefault="00FB7D0B">
            <w:pPr>
              <w:jc w:val="right"/>
              <w:rPr>
                <w:rFonts w:ascii="Arial" w:eastAsia="Arial" w:hAnsi="Arial" w:cs="Arial"/>
                <w:color w:val="000000"/>
                <w:sz w:val="16"/>
              </w:rPr>
            </w:pPr>
            <w:r>
              <w:rPr>
                <w:rFonts w:ascii="Arial" w:eastAsia="Arial" w:hAnsi="Arial" w:cs="Arial"/>
                <w:color w:val="000000"/>
                <w:sz w:val="16"/>
              </w:rPr>
              <w:t xml:space="preserve"> 16,237 </w:t>
            </w:r>
          </w:p>
        </w:tc>
      </w:tr>
      <w:tr w:rsidR="00FB7D0B" w14:paraId="5E7471FF" w14:textId="77777777" w:rsidTr="00FB7D0B">
        <w:tblPrEx>
          <w:tblLook w:val="04A0" w:firstRow="1" w:lastRow="0" w:firstColumn="1" w:lastColumn="0" w:noHBand="0" w:noVBand="1"/>
        </w:tblPrEx>
        <w:trPr>
          <w:trHeight w:val="225"/>
        </w:trPr>
        <w:tc>
          <w:tcPr>
            <w:tcW w:w="0" w:type="auto"/>
            <w:gridSpan w:val="3"/>
            <w:tcBorders>
              <w:top w:val="nil"/>
              <w:left w:val="single" w:sz="6" w:space="0" w:color="000000"/>
              <w:bottom w:val="nil"/>
              <w:right w:val="nil"/>
              <w:tl2br w:val="nil"/>
              <w:tr2bl w:val="nil"/>
            </w:tcBorders>
            <w:shd w:val="clear" w:color="auto" w:fill="FFFFFF"/>
            <w:tcMar>
              <w:left w:w="101" w:type="dxa"/>
              <w:right w:w="101" w:type="dxa"/>
            </w:tcMar>
            <w:vAlign w:val="bottom"/>
          </w:tcPr>
          <w:p w14:paraId="3C0AB2E6" w14:textId="77777777" w:rsidR="00724034" w:rsidRDefault="00FB7D0B">
            <w:pPr>
              <w:rPr>
                <w:rFonts w:ascii="Arial" w:eastAsia="Arial" w:hAnsi="Arial" w:cs="Arial"/>
                <w:color w:val="000000"/>
                <w:sz w:val="16"/>
              </w:rPr>
            </w:pPr>
            <w:r>
              <w:rPr>
                <w:rFonts w:ascii="Arial" w:eastAsia="Arial" w:hAnsi="Arial" w:cs="Arial"/>
                <w:color w:val="000000"/>
                <w:sz w:val="16"/>
              </w:rPr>
              <w:t>Programme support</w:t>
            </w:r>
          </w:p>
        </w:tc>
        <w:tc>
          <w:tcPr>
            <w:tcW w:w="0" w:type="auto"/>
            <w:tcBorders>
              <w:top w:val="nil"/>
              <w:left w:val="nil"/>
              <w:bottom w:val="nil"/>
              <w:right w:val="nil"/>
              <w:tl2br w:val="nil"/>
              <w:tr2bl w:val="nil"/>
            </w:tcBorders>
            <w:shd w:val="clear" w:color="auto" w:fill="FFFFFF"/>
            <w:tcMar>
              <w:left w:w="101" w:type="dxa"/>
              <w:right w:w="101" w:type="dxa"/>
            </w:tcMar>
            <w:vAlign w:val="bottom"/>
          </w:tcPr>
          <w:p w14:paraId="017E073D" w14:textId="77777777" w:rsidR="00724034" w:rsidRDefault="00FB7D0B">
            <w:pPr>
              <w:jc w:val="right"/>
              <w:rPr>
                <w:rFonts w:ascii="Arial" w:eastAsia="Arial" w:hAnsi="Arial" w:cs="Arial"/>
                <w:color w:val="000000"/>
                <w:sz w:val="16"/>
                <w:vertAlign w:val="superscript"/>
              </w:rPr>
            </w:pPr>
            <w:r>
              <w:rPr>
                <w:rFonts w:ascii="Arial" w:eastAsia="Arial" w:hAnsi="Arial" w:cs="Arial"/>
                <w:color w:val="000000"/>
                <w:sz w:val="16"/>
              </w:rPr>
              <w:t xml:space="preserve"> 2,515 </w:t>
            </w:r>
          </w:p>
        </w:tc>
        <w:tc>
          <w:tcPr>
            <w:tcW w:w="0" w:type="auto"/>
            <w:tcBorders>
              <w:top w:val="nil"/>
              <w:left w:val="nil"/>
              <w:bottom w:val="nil"/>
              <w:right w:val="nil"/>
              <w:tl2br w:val="nil"/>
              <w:tr2bl w:val="nil"/>
            </w:tcBorders>
            <w:shd w:val="clear" w:color="auto" w:fill="FFFF00"/>
            <w:tcMar>
              <w:left w:w="101" w:type="dxa"/>
              <w:right w:w="101" w:type="dxa"/>
            </w:tcMar>
            <w:vAlign w:val="bottom"/>
          </w:tcPr>
          <w:p w14:paraId="5AE84EEE" w14:textId="77777777" w:rsidR="00724034" w:rsidRDefault="00FB7D0B">
            <w:pPr>
              <w:jc w:val="right"/>
              <w:rPr>
                <w:rFonts w:ascii="Arial" w:eastAsia="Arial" w:hAnsi="Arial" w:cs="Arial"/>
                <w:color w:val="000000"/>
                <w:sz w:val="16"/>
              </w:rPr>
            </w:pPr>
            <w:r>
              <w:rPr>
                <w:rFonts w:ascii="Arial" w:eastAsia="Arial" w:hAnsi="Arial" w:cs="Arial"/>
                <w:color w:val="000000"/>
                <w:sz w:val="16"/>
              </w:rPr>
              <w:t xml:space="preserve"> 2,468 </w:t>
            </w:r>
          </w:p>
        </w:tc>
        <w:tc>
          <w:tcPr>
            <w:tcW w:w="0" w:type="auto"/>
            <w:tcBorders>
              <w:top w:val="nil"/>
              <w:left w:val="nil"/>
              <w:bottom w:val="nil"/>
              <w:right w:val="nil"/>
              <w:tl2br w:val="nil"/>
              <w:tr2bl w:val="nil"/>
            </w:tcBorders>
            <w:shd w:val="clear" w:color="auto" w:fill="FFFFFF"/>
            <w:tcMar>
              <w:left w:w="101" w:type="dxa"/>
              <w:right w:w="101" w:type="dxa"/>
            </w:tcMar>
            <w:vAlign w:val="bottom"/>
          </w:tcPr>
          <w:p w14:paraId="1D28DAE7" w14:textId="77777777" w:rsidR="00724034" w:rsidRDefault="00FB7D0B">
            <w:pPr>
              <w:jc w:val="right"/>
              <w:rPr>
                <w:rFonts w:ascii="Arial" w:eastAsia="Arial" w:hAnsi="Arial" w:cs="Arial"/>
                <w:color w:val="000000"/>
                <w:sz w:val="16"/>
              </w:rPr>
            </w:pPr>
            <w:r>
              <w:rPr>
                <w:rFonts w:ascii="Arial" w:eastAsia="Arial" w:hAnsi="Arial" w:cs="Arial"/>
                <w:color w:val="000000"/>
                <w:sz w:val="16"/>
              </w:rPr>
              <w:t xml:space="preserve"> 2,400 </w:t>
            </w:r>
          </w:p>
        </w:tc>
        <w:tc>
          <w:tcPr>
            <w:tcW w:w="0" w:type="auto"/>
            <w:tcBorders>
              <w:top w:val="nil"/>
              <w:left w:val="nil"/>
              <w:bottom w:val="nil"/>
              <w:right w:val="nil"/>
              <w:tl2br w:val="nil"/>
              <w:tr2bl w:val="nil"/>
            </w:tcBorders>
            <w:shd w:val="clear" w:color="auto" w:fill="FFFFFF"/>
            <w:tcMar>
              <w:left w:w="101" w:type="dxa"/>
              <w:right w:w="101" w:type="dxa"/>
            </w:tcMar>
            <w:vAlign w:val="bottom"/>
          </w:tcPr>
          <w:p w14:paraId="43629813" w14:textId="77777777" w:rsidR="00724034" w:rsidRDefault="00FB7D0B">
            <w:pPr>
              <w:jc w:val="right"/>
              <w:rPr>
                <w:rFonts w:ascii="Arial" w:eastAsia="Arial" w:hAnsi="Arial" w:cs="Arial"/>
                <w:color w:val="000000"/>
                <w:sz w:val="16"/>
              </w:rPr>
            </w:pPr>
            <w:r>
              <w:rPr>
                <w:rFonts w:ascii="Arial" w:eastAsia="Arial" w:hAnsi="Arial" w:cs="Arial"/>
                <w:color w:val="000000"/>
                <w:sz w:val="16"/>
              </w:rPr>
              <w:t xml:space="preserve"> 2,319 </w:t>
            </w:r>
          </w:p>
        </w:tc>
        <w:tc>
          <w:tcPr>
            <w:tcW w:w="0" w:type="auto"/>
            <w:tcBorders>
              <w:top w:val="nil"/>
              <w:left w:val="nil"/>
              <w:bottom w:val="nil"/>
              <w:right w:val="single" w:sz="6" w:space="0" w:color="000000"/>
              <w:tl2br w:val="nil"/>
              <w:tr2bl w:val="nil"/>
            </w:tcBorders>
            <w:shd w:val="clear" w:color="auto" w:fill="FFFFFF"/>
            <w:tcMar>
              <w:left w:w="101" w:type="dxa"/>
              <w:right w:w="101" w:type="dxa"/>
            </w:tcMar>
            <w:vAlign w:val="bottom"/>
          </w:tcPr>
          <w:p w14:paraId="3870E7AC" w14:textId="77777777" w:rsidR="00724034" w:rsidRDefault="00FB7D0B">
            <w:pPr>
              <w:jc w:val="right"/>
              <w:rPr>
                <w:rFonts w:ascii="Arial" w:eastAsia="Arial" w:hAnsi="Arial" w:cs="Arial"/>
                <w:color w:val="000000"/>
                <w:sz w:val="16"/>
              </w:rPr>
            </w:pPr>
            <w:r>
              <w:rPr>
                <w:rFonts w:ascii="Arial" w:eastAsia="Arial" w:hAnsi="Arial" w:cs="Arial"/>
                <w:color w:val="000000"/>
                <w:sz w:val="16"/>
              </w:rPr>
              <w:t xml:space="preserve"> 2,350 </w:t>
            </w:r>
          </w:p>
        </w:tc>
      </w:tr>
      <w:tr w:rsidR="00FB7D0B" w14:paraId="28BCE4A4" w14:textId="77777777" w:rsidTr="00FB7D0B">
        <w:tblPrEx>
          <w:tblLook w:val="04A0" w:firstRow="1" w:lastRow="0" w:firstColumn="1" w:lastColumn="0" w:noHBand="0" w:noVBand="1"/>
        </w:tblPrEx>
        <w:trPr>
          <w:trHeight w:val="450"/>
        </w:trPr>
        <w:tc>
          <w:tcPr>
            <w:tcW w:w="0" w:type="auto"/>
            <w:gridSpan w:val="3"/>
            <w:tcBorders>
              <w:top w:val="single" w:sz="6" w:space="0" w:color="FFFFFF"/>
              <w:left w:val="single" w:sz="6" w:space="0" w:color="000000"/>
              <w:bottom w:val="single" w:sz="6" w:space="0" w:color="FFFFFF"/>
              <w:right w:val="nil"/>
              <w:tl2br w:val="nil"/>
              <w:tr2bl w:val="nil"/>
            </w:tcBorders>
            <w:shd w:val="clear" w:color="auto" w:fill="FFFFFF"/>
            <w:tcMar>
              <w:left w:w="101" w:type="dxa"/>
              <w:right w:w="101" w:type="dxa"/>
            </w:tcMar>
            <w:vAlign w:val="bottom"/>
          </w:tcPr>
          <w:p w14:paraId="34462C8A" w14:textId="77777777" w:rsidR="00724034" w:rsidRDefault="00FB7D0B">
            <w:pPr>
              <w:rPr>
                <w:rFonts w:ascii="Arial" w:eastAsia="Arial" w:hAnsi="Arial" w:cs="Arial"/>
                <w:color w:val="000000"/>
                <w:sz w:val="16"/>
              </w:rPr>
            </w:pPr>
            <w:r>
              <w:rPr>
                <w:rFonts w:ascii="Arial" w:eastAsia="Arial" w:hAnsi="Arial" w:cs="Arial"/>
                <w:color w:val="000000"/>
                <w:sz w:val="16"/>
              </w:rPr>
              <w:t>Expenses not requiring appropriation in the Budget year</w:t>
            </w:r>
            <w:r>
              <w:rPr>
                <w:rFonts w:ascii="Arial" w:eastAsia="Arial" w:hAnsi="Arial" w:cs="Arial"/>
                <w:color w:val="000000"/>
                <w:sz w:val="16"/>
                <w:vertAlign w:val="superscript"/>
              </w:rPr>
              <w:t>1 </w:t>
            </w:r>
          </w:p>
        </w:tc>
        <w:tc>
          <w:tcPr>
            <w:tcW w:w="0" w:type="auto"/>
            <w:tcBorders>
              <w:top w:val="nil"/>
              <w:left w:val="nil"/>
              <w:bottom w:val="nil"/>
              <w:right w:val="nil"/>
              <w:tl2br w:val="nil"/>
              <w:tr2bl w:val="nil"/>
            </w:tcBorders>
            <w:shd w:val="clear" w:color="auto" w:fill="FFFFFF"/>
            <w:tcMar>
              <w:left w:w="101" w:type="dxa"/>
              <w:right w:w="101" w:type="dxa"/>
            </w:tcMar>
            <w:vAlign w:val="bottom"/>
          </w:tcPr>
          <w:p w14:paraId="03276900" w14:textId="77777777" w:rsidR="00724034" w:rsidRDefault="00FB7D0B">
            <w:pPr>
              <w:jc w:val="right"/>
              <w:rPr>
                <w:rFonts w:ascii="Arial" w:eastAsia="Arial" w:hAnsi="Arial" w:cs="Arial"/>
                <w:color w:val="000000"/>
                <w:sz w:val="16"/>
                <w:vertAlign w:val="superscript"/>
              </w:rPr>
            </w:pPr>
            <w:r>
              <w:rPr>
                <w:rFonts w:ascii="Arial" w:eastAsia="Arial" w:hAnsi="Arial" w:cs="Arial"/>
                <w:color w:val="000000"/>
                <w:sz w:val="16"/>
              </w:rPr>
              <w:t xml:space="preserve"> 309 </w:t>
            </w:r>
          </w:p>
        </w:tc>
        <w:tc>
          <w:tcPr>
            <w:tcW w:w="0" w:type="auto"/>
            <w:tcBorders>
              <w:top w:val="nil"/>
              <w:left w:val="nil"/>
              <w:bottom w:val="nil"/>
              <w:right w:val="nil"/>
              <w:tl2br w:val="nil"/>
              <w:tr2bl w:val="nil"/>
            </w:tcBorders>
            <w:shd w:val="clear" w:color="auto" w:fill="FFFF00"/>
            <w:tcMar>
              <w:left w:w="101" w:type="dxa"/>
              <w:right w:w="101" w:type="dxa"/>
            </w:tcMar>
            <w:vAlign w:val="bottom"/>
          </w:tcPr>
          <w:p w14:paraId="19F3E7B0" w14:textId="77777777" w:rsidR="00724034" w:rsidRDefault="00FB7D0B">
            <w:pPr>
              <w:jc w:val="right"/>
              <w:rPr>
                <w:rFonts w:ascii="Arial" w:eastAsia="Arial" w:hAnsi="Arial" w:cs="Arial"/>
                <w:color w:val="000000"/>
                <w:sz w:val="16"/>
              </w:rPr>
            </w:pPr>
            <w:r>
              <w:rPr>
                <w:rFonts w:ascii="Arial" w:eastAsia="Arial" w:hAnsi="Arial" w:cs="Arial"/>
                <w:color w:val="000000"/>
                <w:sz w:val="16"/>
              </w:rPr>
              <w:t xml:space="preserve"> 347 </w:t>
            </w:r>
          </w:p>
        </w:tc>
        <w:tc>
          <w:tcPr>
            <w:tcW w:w="0" w:type="auto"/>
            <w:tcBorders>
              <w:top w:val="nil"/>
              <w:left w:val="nil"/>
              <w:bottom w:val="nil"/>
              <w:right w:val="nil"/>
              <w:tl2br w:val="nil"/>
              <w:tr2bl w:val="nil"/>
            </w:tcBorders>
            <w:shd w:val="clear" w:color="auto" w:fill="FFFFFF"/>
            <w:tcMar>
              <w:left w:w="101" w:type="dxa"/>
              <w:right w:w="101" w:type="dxa"/>
            </w:tcMar>
            <w:vAlign w:val="bottom"/>
          </w:tcPr>
          <w:p w14:paraId="3D0C17BE" w14:textId="77777777" w:rsidR="00724034" w:rsidRDefault="00FB7D0B">
            <w:pPr>
              <w:jc w:val="right"/>
              <w:rPr>
                <w:rFonts w:ascii="Arial" w:eastAsia="Arial" w:hAnsi="Arial" w:cs="Arial"/>
                <w:color w:val="000000"/>
                <w:sz w:val="16"/>
              </w:rPr>
            </w:pPr>
            <w:r>
              <w:rPr>
                <w:rFonts w:ascii="Arial" w:eastAsia="Arial" w:hAnsi="Arial" w:cs="Arial"/>
                <w:color w:val="000000"/>
                <w:sz w:val="16"/>
              </w:rPr>
              <w:t xml:space="preserve"> 317 </w:t>
            </w:r>
          </w:p>
        </w:tc>
        <w:tc>
          <w:tcPr>
            <w:tcW w:w="0" w:type="auto"/>
            <w:tcBorders>
              <w:top w:val="nil"/>
              <w:left w:val="nil"/>
              <w:bottom w:val="nil"/>
              <w:right w:val="nil"/>
              <w:tl2br w:val="nil"/>
              <w:tr2bl w:val="nil"/>
            </w:tcBorders>
            <w:shd w:val="clear" w:color="auto" w:fill="FFFFFF"/>
            <w:tcMar>
              <w:left w:w="101" w:type="dxa"/>
              <w:right w:w="101" w:type="dxa"/>
            </w:tcMar>
            <w:vAlign w:val="bottom"/>
          </w:tcPr>
          <w:p w14:paraId="13F7A579" w14:textId="77777777" w:rsidR="00724034" w:rsidRDefault="00FB7D0B">
            <w:pPr>
              <w:jc w:val="right"/>
              <w:rPr>
                <w:rFonts w:ascii="Arial" w:eastAsia="Arial" w:hAnsi="Arial" w:cs="Arial"/>
                <w:color w:val="000000"/>
                <w:sz w:val="16"/>
              </w:rPr>
            </w:pPr>
            <w:r>
              <w:rPr>
                <w:rFonts w:ascii="Arial" w:eastAsia="Arial" w:hAnsi="Arial" w:cs="Arial"/>
                <w:color w:val="000000"/>
                <w:sz w:val="16"/>
              </w:rPr>
              <w:t xml:space="preserve"> 289 </w:t>
            </w:r>
          </w:p>
        </w:tc>
        <w:tc>
          <w:tcPr>
            <w:tcW w:w="0" w:type="auto"/>
            <w:tcBorders>
              <w:top w:val="nil"/>
              <w:left w:val="nil"/>
              <w:bottom w:val="nil"/>
              <w:right w:val="single" w:sz="6" w:space="0" w:color="000000"/>
              <w:tl2br w:val="nil"/>
              <w:tr2bl w:val="nil"/>
            </w:tcBorders>
            <w:shd w:val="clear" w:color="auto" w:fill="FFFFFF"/>
            <w:tcMar>
              <w:left w:w="101" w:type="dxa"/>
              <w:right w:w="101" w:type="dxa"/>
            </w:tcMar>
            <w:vAlign w:val="bottom"/>
          </w:tcPr>
          <w:p w14:paraId="1E93D772" w14:textId="77777777" w:rsidR="00724034" w:rsidRDefault="00FB7D0B">
            <w:pPr>
              <w:jc w:val="right"/>
              <w:rPr>
                <w:rFonts w:ascii="Arial" w:eastAsia="Arial" w:hAnsi="Arial" w:cs="Arial"/>
                <w:color w:val="000000"/>
                <w:sz w:val="16"/>
              </w:rPr>
            </w:pPr>
            <w:r>
              <w:rPr>
                <w:rFonts w:ascii="Arial" w:eastAsia="Arial" w:hAnsi="Arial" w:cs="Arial"/>
                <w:color w:val="000000"/>
                <w:sz w:val="16"/>
              </w:rPr>
              <w:t xml:space="preserve"> 242 </w:t>
            </w:r>
          </w:p>
        </w:tc>
      </w:tr>
      <w:tr w:rsidR="00724034" w14:paraId="186C081E" w14:textId="77777777">
        <w:tblPrEx>
          <w:tblLook w:val="04A0" w:firstRow="1" w:lastRow="0" w:firstColumn="1" w:lastColumn="0" w:noHBand="0" w:noVBand="1"/>
        </w:tblPrEx>
        <w:trPr>
          <w:trHeight w:val="60"/>
        </w:trPr>
        <w:tc>
          <w:tcPr>
            <w:tcW w:w="0" w:type="auto"/>
            <w:tcBorders>
              <w:top w:val="single" w:sz="6" w:space="0" w:color="FFFFFF"/>
              <w:left w:val="single" w:sz="6" w:space="0" w:color="000000"/>
              <w:bottom w:val="nil"/>
              <w:right w:val="nil"/>
              <w:tl2br w:val="nil"/>
              <w:tr2bl w:val="nil"/>
            </w:tcBorders>
            <w:shd w:val="clear" w:color="auto" w:fill="FFFFFF"/>
            <w:tcMar>
              <w:left w:w="101" w:type="dxa"/>
              <w:right w:w="101" w:type="dxa"/>
            </w:tcMar>
            <w:vAlign w:val="bottom"/>
          </w:tcPr>
          <w:p w14:paraId="719C3234" w14:textId="77777777" w:rsidR="00724034" w:rsidRDefault="00724034">
            <w:pPr>
              <w:rPr>
                <w:rFonts w:ascii="Arial" w:eastAsia="Arial" w:hAnsi="Arial" w:cs="Arial"/>
                <w:color w:val="000000"/>
                <w:sz w:val="16"/>
              </w:rPr>
            </w:pPr>
          </w:p>
        </w:tc>
        <w:tc>
          <w:tcPr>
            <w:tcW w:w="0" w:type="auto"/>
            <w:tcBorders>
              <w:top w:val="single" w:sz="6" w:space="0" w:color="FFFFFF"/>
              <w:left w:val="nil"/>
              <w:bottom w:val="nil"/>
              <w:right w:val="nil"/>
              <w:tl2br w:val="nil"/>
              <w:tr2bl w:val="nil"/>
            </w:tcBorders>
            <w:shd w:val="clear" w:color="auto" w:fill="FFFFFF"/>
            <w:tcMar>
              <w:left w:w="101" w:type="dxa"/>
              <w:right w:w="101" w:type="dxa"/>
            </w:tcMar>
            <w:vAlign w:val="bottom"/>
          </w:tcPr>
          <w:p w14:paraId="103EF1CD" w14:textId="77777777" w:rsidR="00724034" w:rsidRDefault="00724034">
            <w:pPr>
              <w:rPr>
                <w:rFonts w:ascii="Arial" w:eastAsia="Arial" w:hAnsi="Arial" w:cs="Arial"/>
                <w:color w:val="000000"/>
                <w:sz w:val="16"/>
              </w:rPr>
            </w:pPr>
          </w:p>
        </w:tc>
        <w:tc>
          <w:tcPr>
            <w:tcW w:w="0" w:type="auto"/>
            <w:tcBorders>
              <w:top w:val="single" w:sz="6" w:space="0" w:color="FFFFFF"/>
              <w:left w:val="nil"/>
              <w:bottom w:val="nil"/>
              <w:right w:val="nil"/>
              <w:tl2br w:val="nil"/>
              <w:tr2bl w:val="nil"/>
            </w:tcBorders>
            <w:shd w:val="clear" w:color="auto" w:fill="FFFFFF"/>
            <w:tcMar>
              <w:left w:w="101" w:type="dxa"/>
              <w:right w:w="101" w:type="dxa"/>
            </w:tcMar>
            <w:vAlign w:val="bottom"/>
          </w:tcPr>
          <w:p w14:paraId="59CEF128" w14:textId="77777777" w:rsidR="00724034" w:rsidRDefault="00724034">
            <w:pPr>
              <w:rPr>
                <w:rFonts w:ascii="Arial" w:eastAsia="Arial" w:hAnsi="Arial" w:cs="Arial"/>
                <w:color w:val="000000"/>
                <w:sz w:val="16"/>
              </w:rPr>
            </w:pPr>
          </w:p>
        </w:tc>
        <w:tc>
          <w:tcPr>
            <w:tcW w:w="0" w:type="auto"/>
            <w:tcBorders>
              <w:top w:val="nil"/>
              <w:left w:val="nil"/>
              <w:bottom w:val="single" w:sz="6" w:space="0" w:color="000000"/>
              <w:right w:val="nil"/>
              <w:tl2br w:val="nil"/>
              <w:tr2bl w:val="nil"/>
            </w:tcBorders>
            <w:shd w:val="clear" w:color="auto" w:fill="FFFFFF"/>
            <w:tcMar>
              <w:left w:w="101" w:type="dxa"/>
              <w:right w:w="101" w:type="dxa"/>
            </w:tcMar>
            <w:vAlign w:val="bottom"/>
          </w:tcPr>
          <w:p w14:paraId="73066165" w14:textId="77777777" w:rsidR="00724034" w:rsidRDefault="00724034">
            <w:pPr>
              <w:jc w:val="right"/>
              <w:rPr>
                <w:rFonts w:ascii="Arial" w:eastAsia="Arial" w:hAnsi="Arial" w:cs="Arial"/>
                <w:color w:val="000000"/>
                <w:sz w:val="16"/>
                <w:vertAlign w:val="superscript"/>
              </w:rPr>
            </w:pPr>
          </w:p>
        </w:tc>
        <w:tc>
          <w:tcPr>
            <w:tcW w:w="0" w:type="auto"/>
            <w:tcBorders>
              <w:top w:val="nil"/>
              <w:left w:val="nil"/>
              <w:bottom w:val="single" w:sz="6" w:space="0" w:color="000000"/>
              <w:right w:val="nil"/>
              <w:tl2br w:val="nil"/>
              <w:tr2bl w:val="nil"/>
            </w:tcBorders>
            <w:shd w:val="clear" w:color="auto" w:fill="FFFF00"/>
            <w:tcMar>
              <w:left w:w="101" w:type="dxa"/>
              <w:right w:w="101" w:type="dxa"/>
            </w:tcMar>
            <w:vAlign w:val="bottom"/>
          </w:tcPr>
          <w:p w14:paraId="56D36609" w14:textId="77777777" w:rsidR="00724034" w:rsidRDefault="00724034">
            <w:pPr>
              <w:rPr>
                <w:rFonts w:ascii="Arial" w:eastAsia="Arial" w:hAnsi="Arial" w:cs="Arial"/>
                <w:color w:val="000000"/>
                <w:sz w:val="16"/>
                <w:vertAlign w:val="superscript"/>
              </w:rPr>
            </w:pPr>
          </w:p>
        </w:tc>
        <w:tc>
          <w:tcPr>
            <w:tcW w:w="0" w:type="auto"/>
            <w:tcBorders>
              <w:top w:val="nil"/>
              <w:left w:val="nil"/>
              <w:bottom w:val="single" w:sz="6" w:space="0" w:color="000000"/>
              <w:right w:val="nil"/>
              <w:tl2br w:val="nil"/>
              <w:tr2bl w:val="nil"/>
            </w:tcBorders>
            <w:shd w:val="clear" w:color="auto" w:fill="FFFFFF"/>
            <w:tcMar>
              <w:left w:w="101" w:type="dxa"/>
              <w:right w:w="101" w:type="dxa"/>
            </w:tcMar>
            <w:vAlign w:val="bottom"/>
          </w:tcPr>
          <w:p w14:paraId="06FE5B56" w14:textId="77777777" w:rsidR="00724034" w:rsidRDefault="00724034">
            <w:pPr>
              <w:jc w:val="right"/>
              <w:rPr>
                <w:rFonts w:ascii="Arial" w:eastAsia="Arial" w:hAnsi="Arial" w:cs="Arial"/>
                <w:b/>
                <w:color w:val="000000"/>
                <w:sz w:val="16"/>
                <w:vertAlign w:val="superscript"/>
              </w:rPr>
            </w:pPr>
          </w:p>
        </w:tc>
        <w:tc>
          <w:tcPr>
            <w:tcW w:w="0" w:type="auto"/>
            <w:tcBorders>
              <w:top w:val="nil"/>
              <w:left w:val="nil"/>
              <w:bottom w:val="single" w:sz="6" w:space="0" w:color="000000"/>
              <w:right w:val="nil"/>
              <w:tl2br w:val="nil"/>
              <w:tr2bl w:val="nil"/>
            </w:tcBorders>
            <w:shd w:val="clear" w:color="auto" w:fill="FFFFFF"/>
            <w:tcMar>
              <w:left w:w="101" w:type="dxa"/>
              <w:right w:w="101" w:type="dxa"/>
            </w:tcMar>
            <w:vAlign w:val="bottom"/>
          </w:tcPr>
          <w:p w14:paraId="6702B394" w14:textId="77777777" w:rsidR="00724034" w:rsidRDefault="00724034">
            <w:pPr>
              <w:jc w:val="right"/>
              <w:rPr>
                <w:rFonts w:ascii="Arial" w:eastAsia="Arial" w:hAnsi="Arial" w:cs="Arial"/>
                <w:color w:val="000000"/>
                <w:sz w:val="16"/>
                <w:vertAlign w:val="superscript"/>
              </w:rPr>
            </w:pPr>
          </w:p>
        </w:tc>
        <w:tc>
          <w:tcPr>
            <w:tcW w:w="0" w:type="auto"/>
            <w:tcBorders>
              <w:top w:val="nil"/>
              <w:left w:val="nil"/>
              <w:bottom w:val="single" w:sz="6" w:space="0" w:color="000000"/>
              <w:right w:val="single" w:sz="6" w:space="0" w:color="000000"/>
              <w:tl2br w:val="nil"/>
              <w:tr2bl w:val="nil"/>
            </w:tcBorders>
            <w:shd w:val="clear" w:color="auto" w:fill="FFFFFF"/>
            <w:tcMar>
              <w:left w:w="101" w:type="dxa"/>
              <w:right w:w="101" w:type="dxa"/>
            </w:tcMar>
            <w:vAlign w:val="bottom"/>
          </w:tcPr>
          <w:p w14:paraId="6DB01D96" w14:textId="77777777" w:rsidR="00724034" w:rsidRDefault="00724034">
            <w:pPr>
              <w:jc w:val="right"/>
              <w:rPr>
                <w:rFonts w:ascii="Arial" w:eastAsia="Arial" w:hAnsi="Arial" w:cs="Arial"/>
                <w:color w:val="000000"/>
                <w:sz w:val="16"/>
                <w:vertAlign w:val="superscript"/>
              </w:rPr>
            </w:pPr>
          </w:p>
        </w:tc>
      </w:tr>
      <w:tr w:rsidR="00FB7D0B" w14:paraId="4DB6C3C7" w14:textId="77777777" w:rsidTr="00FB7D0B">
        <w:tblPrEx>
          <w:tblLook w:val="04A0" w:firstRow="1" w:lastRow="0" w:firstColumn="1" w:lastColumn="0" w:noHBand="0" w:noVBand="1"/>
        </w:tblPrEx>
        <w:trPr>
          <w:trHeight w:val="225"/>
        </w:trPr>
        <w:tc>
          <w:tcPr>
            <w:tcW w:w="0" w:type="auto"/>
            <w:gridSpan w:val="3"/>
            <w:tcBorders>
              <w:top w:val="nil"/>
              <w:left w:val="single" w:sz="6" w:space="0" w:color="000000"/>
              <w:bottom w:val="single" w:sz="6" w:space="0" w:color="000000"/>
              <w:right w:val="nil"/>
              <w:tl2br w:val="nil"/>
              <w:tr2bl w:val="nil"/>
            </w:tcBorders>
            <w:shd w:val="clear" w:color="auto" w:fill="FFFFFF"/>
            <w:tcMar>
              <w:left w:w="101" w:type="dxa"/>
              <w:right w:w="101" w:type="dxa"/>
            </w:tcMar>
            <w:vAlign w:val="bottom"/>
          </w:tcPr>
          <w:p w14:paraId="03802DDC" w14:textId="77777777" w:rsidR="00724034" w:rsidRDefault="00FB7D0B">
            <w:pPr>
              <w:rPr>
                <w:rFonts w:ascii="Arial" w:eastAsia="Arial" w:hAnsi="Arial" w:cs="Arial"/>
                <w:color w:val="000000"/>
                <w:sz w:val="16"/>
                <w:vertAlign w:val="superscript"/>
              </w:rPr>
            </w:pPr>
            <w:r>
              <w:rPr>
                <w:rFonts w:ascii="Arial" w:eastAsia="Arial" w:hAnsi="Arial" w:cs="Arial"/>
                <w:b/>
                <w:color w:val="000000"/>
                <w:sz w:val="16"/>
              </w:rPr>
              <w:t xml:space="preserve">Total programme expenses </w:t>
            </w:r>
          </w:p>
        </w:tc>
        <w:tc>
          <w:tcPr>
            <w:tcW w:w="0" w:type="auto"/>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676C04EC" w14:textId="77777777" w:rsidR="00724034" w:rsidRDefault="00FB7D0B">
            <w:pPr>
              <w:jc w:val="right"/>
              <w:rPr>
                <w:rFonts w:ascii="Arial" w:eastAsia="Arial" w:hAnsi="Arial" w:cs="Arial"/>
                <w:b/>
                <w:color w:val="000000"/>
                <w:sz w:val="16"/>
                <w:vertAlign w:val="superscript"/>
              </w:rPr>
            </w:pPr>
            <w:r>
              <w:rPr>
                <w:rFonts w:ascii="Arial" w:eastAsia="Arial" w:hAnsi="Arial" w:cs="Arial"/>
                <w:b/>
                <w:color w:val="000000"/>
                <w:sz w:val="16"/>
              </w:rPr>
              <w:t>18,778 </w:t>
            </w:r>
          </w:p>
        </w:tc>
        <w:tc>
          <w:tcPr>
            <w:tcW w:w="0" w:type="auto"/>
            <w:tcBorders>
              <w:top w:val="single" w:sz="6" w:space="0" w:color="000000"/>
              <w:left w:val="nil"/>
              <w:bottom w:val="single" w:sz="6" w:space="0" w:color="000000"/>
              <w:right w:val="nil"/>
              <w:tl2br w:val="nil"/>
              <w:tr2bl w:val="nil"/>
            </w:tcBorders>
            <w:shd w:val="clear" w:color="auto" w:fill="FFFF00"/>
            <w:tcMar>
              <w:left w:w="101" w:type="dxa"/>
              <w:right w:w="101" w:type="dxa"/>
            </w:tcMar>
            <w:vAlign w:val="bottom"/>
          </w:tcPr>
          <w:p w14:paraId="3605ADD2" w14:textId="77777777" w:rsidR="00724034" w:rsidRDefault="00FB7D0B">
            <w:pPr>
              <w:jc w:val="right"/>
              <w:rPr>
                <w:rFonts w:ascii="Arial" w:eastAsia="Arial" w:hAnsi="Arial" w:cs="Arial"/>
                <w:b/>
                <w:color w:val="000000"/>
                <w:sz w:val="16"/>
              </w:rPr>
            </w:pPr>
            <w:r>
              <w:rPr>
                <w:rFonts w:ascii="Arial" w:eastAsia="Arial" w:hAnsi="Arial" w:cs="Arial"/>
                <w:b/>
                <w:color w:val="000000"/>
                <w:sz w:val="16"/>
              </w:rPr>
              <w:t>18,449 </w:t>
            </w:r>
          </w:p>
        </w:tc>
        <w:tc>
          <w:tcPr>
            <w:tcW w:w="0" w:type="auto"/>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12EA3433" w14:textId="77777777" w:rsidR="00724034" w:rsidRDefault="00FB7D0B">
            <w:pPr>
              <w:jc w:val="right"/>
              <w:rPr>
                <w:rFonts w:ascii="Arial" w:eastAsia="Arial" w:hAnsi="Arial" w:cs="Arial"/>
                <w:b/>
                <w:color w:val="000000"/>
                <w:sz w:val="16"/>
              </w:rPr>
            </w:pPr>
            <w:r>
              <w:rPr>
                <w:rFonts w:ascii="Arial" w:eastAsia="Arial" w:hAnsi="Arial" w:cs="Arial"/>
                <w:b/>
                <w:color w:val="000000"/>
                <w:sz w:val="16"/>
              </w:rPr>
              <w:t>18,160 </w:t>
            </w:r>
          </w:p>
        </w:tc>
        <w:tc>
          <w:tcPr>
            <w:tcW w:w="0" w:type="auto"/>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3DE13303" w14:textId="77777777" w:rsidR="00724034" w:rsidRDefault="00FB7D0B">
            <w:pPr>
              <w:jc w:val="right"/>
              <w:rPr>
                <w:rFonts w:ascii="Arial" w:eastAsia="Arial" w:hAnsi="Arial" w:cs="Arial"/>
                <w:b/>
                <w:color w:val="000000"/>
                <w:sz w:val="16"/>
              </w:rPr>
            </w:pPr>
            <w:r>
              <w:rPr>
                <w:rFonts w:ascii="Arial" w:eastAsia="Arial" w:hAnsi="Arial" w:cs="Arial"/>
                <w:b/>
                <w:color w:val="000000"/>
                <w:sz w:val="16"/>
              </w:rPr>
              <w:t>18,268 </w:t>
            </w:r>
          </w:p>
        </w:tc>
        <w:tc>
          <w:tcPr>
            <w:tcW w:w="0" w:type="auto"/>
            <w:tcBorders>
              <w:top w:val="single" w:sz="6" w:space="0" w:color="000000"/>
              <w:left w:val="nil"/>
              <w:bottom w:val="single" w:sz="6" w:space="0" w:color="000000"/>
              <w:right w:val="single" w:sz="6" w:space="0" w:color="000000"/>
              <w:tl2br w:val="nil"/>
              <w:tr2bl w:val="nil"/>
            </w:tcBorders>
            <w:shd w:val="clear" w:color="auto" w:fill="FFFFFF"/>
            <w:tcMar>
              <w:left w:w="101" w:type="dxa"/>
              <w:right w:w="101" w:type="dxa"/>
            </w:tcMar>
            <w:vAlign w:val="bottom"/>
          </w:tcPr>
          <w:p w14:paraId="036ED38F" w14:textId="77777777" w:rsidR="00724034" w:rsidRDefault="00FB7D0B">
            <w:pPr>
              <w:jc w:val="right"/>
              <w:rPr>
                <w:rFonts w:ascii="Arial" w:eastAsia="Arial" w:hAnsi="Arial" w:cs="Arial"/>
                <w:b/>
                <w:color w:val="000000"/>
                <w:sz w:val="16"/>
              </w:rPr>
            </w:pPr>
            <w:r>
              <w:rPr>
                <w:rFonts w:ascii="Arial" w:eastAsia="Arial" w:hAnsi="Arial" w:cs="Arial"/>
                <w:b/>
                <w:color w:val="000000"/>
                <w:sz w:val="16"/>
              </w:rPr>
              <w:t>18,829 </w:t>
            </w:r>
          </w:p>
        </w:tc>
      </w:tr>
    </w:tbl>
    <w:p w14:paraId="77819749" w14:textId="77777777" w:rsidR="003F0EEA" w:rsidRPr="004D4F1D" w:rsidRDefault="00FB7D0B" w:rsidP="003F0EEA">
      <w:pPr>
        <w:pStyle w:val="ListParagraph6"/>
        <w:numPr>
          <w:ilvl w:val="0"/>
          <w:numId w:val="22"/>
        </w:numPr>
        <w:spacing w:after="200" w:line="276" w:lineRule="auto"/>
        <w:ind w:left="284" w:hanging="284"/>
        <w:rPr>
          <w:rFonts w:ascii="Arial" w:eastAsia="Calibri" w:hAnsi="Arial" w:cs="Arial"/>
          <w:sz w:val="16"/>
          <w:szCs w:val="16"/>
          <w:lang w:eastAsia="en-US"/>
        </w:rPr>
      </w:pPr>
      <w:r w:rsidRPr="004D4F1D">
        <w:rPr>
          <w:rFonts w:ascii="Arial" w:eastAsia="Calibri" w:hAnsi="Arial" w:cs="Arial"/>
          <w:sz w:val="16"/>
          <w:szCs w:val="16"/>
          <w:lang w:eastAsia="en-US"/>
        </w:rPr>
        <w:t xml:space="preserve">Expenses not requiring appropriation in the Budget year is made up of Depreciation Expense, Amortisation </w:t>
      </w:r>
      <w:r w:rsidRPr="004D4F1D">
        <w:rPr>
          <w:rFonts w:ascii="Arial" w:eastAsia="Calibri" w:hAnsi="Arial" w:cs="Arial"/>
          <w:sz w:val="16"/>
          <w:szCs w:val="16"/>
          <w:lang w:eastAsia="en-US"/>
        </w:rPr>
        <w:br/>
        <w:t xml:space="preserve">Expense and Resources Received Free of Charge. </w:t>
      </w:r>
    </w:p>
    <w:p w14:paraId="4195BE3C" w14:textId="77777777" w:rsidR="003F0EEA" w:rsidRPr="004D4F1D" w:rsidRDefault="00FB7D0B">
      <w:pPr>
        <w:rPr>
          <w:rFonts w:ascii="Arial" w:hAnsi="Arial" w:cs="Arial"/>
          <w:sz w:val="16"/>
          <w:szCs w:val="16"/>
          <w:lang w:eastAsia="en-US"/>
        </w:rPr>
      </w:pPr>
      <w:r w:rsidRPr="004D4F1D">
        <w:rPr>
          <w:rFonts w:ascii="Arial" w:hAnsi="Arial" w:cs="Arial"/>
          <w:sz w:val="16"/>
          <w:szCs w:val="16"/>
          <w:lang w:eastAsia="en-US"/>
        </w:rPr>
        <w:br w:type="page"/>
      </w:r>
    </w:p>
    <w:tbl>
      <w:tblPr>
        <w:tblW w:w="8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09"/>
        <w:gridCol w:w="975"/>
        <w:gridCol w:w="974"/>
        <w:gridCol w:w="974"/>
        <w:gridCol w:w="974"/>
        <w:gridCol w:w="974"/>
      </w:tblGrid>
      <w:tr w:rsidR="00724034" w14:paraId="575BC39B" w14:textId="77777777" w:rsidTr="003F0EEA">
        <w:tc>
          <w:tcPr>
            <w:tcW w:w="8080" w:type="dxa"/>
            <w:gridSpan w:val="6"/>
            <w:tcBorders>
              <w:top w:val="single" w:sz="4" w:space="0" w:color="auto"/>
              <w:left w:val="single" w:sz="4" w:space="0" w:color="auto"/>
              <w:bottom w:val="single" w:sz="4" w:space="0" w:color="auto"/>
              <w:right w:val="single" w:sz="4" w:space="0" w:color="auto"/>
            </w:tcBorders>
          </w:tcPr>
          <w:p w14:paraId="28AFE13C" w14:textId="77777777" w:rsidR="003F0EEA" w:rsidRDefault="00FB7D0B" w:rsidP="003F0EEA">
            <w:pPr>
              <w:pStyle w:val="TableTextLeft13"/>
              <w:keepNext/>
              <w:spacing w:before="0" w:after="0"/>
              <w:rPr>
                <w:b/>
              </w:rPr>
            </w:pPr>
            <w:r>
              <w:rPr>
                <w:b/>
              </w:rPr>
              <w:t>Programme 1.5 deliverables</w:t>
            </w:r>
          </w:p>
          <w:p w14:paraId="7E6081AD" w14:textId="77777777" w:rsidR="003F0EEA" w:rsidRDefault="00FB7D0B" w:rsidP="003F0EEA">
            <w:pPr>
              <w:pStyle w:val="TableTextLeft13"/>
              <w:rPr>
                <w:b/>
              </w:rPr>
            </w:pPr>
            <w:r>
              <w:t>Process new claims under VCES and MRCAETS.  Deliver financial assistance and allowances to eligible students</w:t>
            </w:r>
          </w:p>
        </w:tc>
      </w:tr>
      <w:tr w:rsidR="00724034" w14:paraId="37226C3E" w14:textId="77777777">
        <w:tblPrEx>
          <w:tblLook w:val="04A0" w:firstRow="1" w:lastRow="0" w:firstColumn="1" w:lastColumn="0" w:noHBand="0" w:noVBand="1"/>
        </w:tblPrEx>
        <w:trPr>
          <w:trHeight w:val="225"/>
        </w:trPr>
        <w:tc>
          <w:tcPr>
            <w:tcW w:w="3210" w:type="dxa"/>
            <w:tcBorders>
              <w:top w:val="single" w:sz="6" w:space="0" w:color="000000"/>
              <w:left w:val="single" w:sz="6" w:space="0" w:color="000000"/>
              <w:bottom w:val="nil"/>
              <w:right w:val="nil"/>
              <w:tl2br w:val="nil"/>
              <w:tr2bl w:val="nil"/>
            </w:tcBorders>
            <w:shd w:val="clear" w:color="auto" w:fill="FFFFFF"/>
            <w:tcMar>
              <w:left w:w="115" w:type="dxa"/>
              <w:right w:w="115" w:type="dxa"/>
            </w:tcMar>
            <w:vAlign w:val="bottom"/>
          </w:tcPr>
          <w:p w14:paraId="766BF197" w14:textId="77777777" w:rsidR="00724034" w:rsidRDefault="00724034">
            <w:pPr>
              <w:jc w:val="center"/>
            </w:pPr>
          </w:p>
        </w:tc>
        <w:tc>
          <w:tcPr>
            <w:tcW w:w="975"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2620175B" w14:textId="77777777" w:rsidR="00724034" w:rsidRDefault="00FB7D0B">
            <w:pPr>
              <w:jc w:val="right"/>
              <w:rPr>
                <w:rFonts w:ascii="Arial" w:eastAsia="Arial" w:hAnsi="Arial" w:cs="Arial"/>
                <w:b/>
                <w:color w:val="000000"/>
                <w:sz w:val="16"/>
                <w:vertAlign w:val="superscript"/>
              </w:rPr>
            </w:pPr>
            <w:r>
              <w:rPr>
                <w:rFonts w:ascii="Arial" w:eastAsia="Arial" w:hAnsi="Arial" w:cs="Arial"/>
                <w:color w:val="000000"/>
                <w:sz w:val="16"/>
              </w:rPr>
              <w:t>2013-14</w:t>
            </w:r>
          </w:p>
        </w:tc>
        <w:tc>
          <w:tcPr>
            <w:tcW w:w="975" w:type="dxa"/>
            <w:tcBorders>
              <w:top w:val="single" w:sz="6" w:space="0" w:color="000000"/>
              <w:left w:val="nil"/>
              <w:bottom w:val="nil"/>
              <w:right w:val="nil"/>
              <w:tl2br w:val="nil"/>
              <w:tr2bl w:val="nil"/>
            </w:tcBorders>
            <w:shd w:val="clear" w:color="auto" w:fill="FFFF00"/>
            <w:tcMar>
              <w:left w:w="115" w:type="dxa"/>
              <w:right w:w="115" w:type="dxa"/>
            </w:tcMar>
            <w:vAlign w:val="bottom"/>
          </w:tcPr>
          <w:p w14:paraId="382CCE4F" w14:textId="77777777" w:rsidR="00724034" w:rsidRDefault="00FB7D0B">
            <w:pPr>
              <w:jc w:val="right"/>
              <w:rPr>
                <w:rFonts w:ascii="Arial" w:eastAsia="Arial" w:hAnsi="Arial" w:cs="Arial"/>
                <w:color w:val="000000"/>
                <w:sz w:val="16"/>
              </w:rPr>
            </w:pPr>
            <w:r>
              <w:rPr>
                <w:rFonts w:ascii="Arial" w:eastAsia="Arial" w:hAnsi="Arial" w:cs="Arial"/>
                <w:color w:val="000000"/>
                <w:sz w:val="16"/>
              </w:rPr>
              <w:t>2014-15</w:t>
            </w:r>
          </w:p>
        </w:tc>
        <w:tc>
          <w:tcPr>
            <w:tcW w:w="975"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29F374C8" w14:textId="77777777" w:rsidR="00724034" w:rsidRDefault="00FB7D0B">
            <w:pPr>
              <w:jc w:val="right"/>
              <w:rPr>
                <w:rFonts w:ascii="Arial" w:eastAsia="Arial" w:hAnsi="Arial" w:cs="Arial"/>
                <w:color w:val="000000"/>
                <w:sz w:val="16"/>
              </w:rPr>
            </w:pPr>
            <w:r>
              <w:rPr>
                <w:rFonts w:ascii="Arial" w:eastAsia="Arial" w:hAnsi="Arial" w:cs="Arial"/>
                <w:color w:val="000000"/>
                <w:sz w:val="16"/>
              </w:rPr>
              <w:t>2015-16</w:t>
            </w:r>
          </w:p>
        </w:tc>
        <w:tc>
          <w:tcPr>
            <w:tcW w:w="975"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7BD3EC74" w14:textId="77777777" w:rsidR="00724034" w:rsidRDefault="00FB7D0B">
            <w:pPr>
              <w:jc w:val="right"/>
              <w:rPr>
                <w:rFonts w:ascii="Arial" w:eastAsia="Arial" w:hAnsi="Arial" w:cs="Arial"/>
                <w:color w:val="000000"/>
                <w:sz w:val="16"/>
              </w:rPr>
            </w:pPr>
            <w:r>
              <w:rPr>
                <w:rFonts w:ascii="Arial" w:eastAsia="Arial" w:hAnsi="Arial" w:cs="Arial"/>
                <w:color w:val="000000"/>
                <w:sz w:val="16"/>
              </w:rPr>
              <w:t>2016-17</w:t>
            </w:r>
          </w:p>
        </w:tc>
        <w:tc>
          <w:tcPr>
            <w:tcW w:w="975" w:type="dxa"/>
            <w:tcBorders>
              <w:top w:val="single" w:sz="6" w:space="0" w:color="000000"/>
              <w:left w:val="nil"/>
              <w:bottom w:val="nil"/>
              <w:right w:val="single" w:sz="6" w:space="0" w:color="000000"/>
              <w:tl2br w:val="nil"/>
              <w:tr2bl w:val="nil"/>
            </w:tcBorders>
            <w:shd w:val="clear" w:color="auto" w:fill="FFFFFF"/>
            <w:tcMar>
              <w:left w:w="115" w:type="dxa"/>
              <w:right w:w="115" w:type="dxa"/>
            </w:tcMar>
            <w:vAlign w:val="bottom"/>
          </w:tcPr>
          <w:p w14:paraId="0C230924" w14:textId="77777777" w:rsidR="00724034" w:rsidRDefault="00FB7D0B">
            <w:pPr>
              <w:jc w:val="right"/>
              <w:rPr>
                <w:rFonts w:ascii="Arial" w:eastAsia="Arial" w:hAnsi="Arial" w:cs="Arial"/>
                <w:color w:val="000000"/>
                <w:sz w:val="16"/>
              </w:rPr>
            </w:pPr>
            <w:r>
              <w:rPr>
                <w:rFonts w:ascii="Arial" w:eastAsia="Arial" w:hAnsi="Arial" w:cs="Arial"/>
                <w:color w:val="000000"/>
                <w:sz w:val="16"/>
              </w:rPr>
              <w:t>2017-18</w:t>
            </w:r>
          </w:p>
        </w:tc>
      </w:tr>
      <w:tr w:rsidR="00724034" w14:paraId="77A110FB" w14:textId="77777777">
        <w:tblPrEx>
          <w:tblLook w:val="04A0" w:firstRow="1" w:lastRow="0" w:firstColumn="1" w:lastColumn="0" w:noHBand="0" w:noVBand="1"/>
        </w:tblPrEx>
        <w:trPr>
          <w:trHeight w:val="225"/>
        </w:trPr>
        <w:tc>
          <w:tcPr>
            <w:tcW w:w="3210" w:type="dxa"/>
            <w:tcBorders>
              <w:top w:val="nil"/>
              <w:left w:val="single" w:sz="6" w:space="0" w:color="000000"/>
              <w:bottom w:val="nil"/>
              <w:right w:val="nil"/>
              <w:tl2br w:val="nil"/>
              <w:tr2bl w:val="nil"/>
            </w:tcBorders>
            <w:shd w:val="clear" w:color="auto" w:fill="FFFFFF"/>
            <w:tcMar>
              <w:left w:w="115" w:type="dxa"/>
              <w:right w:w="115" w:type="dxa"/>
            </w:tcMar>
            <w:vAlign w:val="bottom"/>
          </w:tcPr>
          <w:p w14:paraId="3E9F48E9" w14:textId="77777777" w:rsidR="00724034" w:rsidRDefault="00724034">
            <w:pPr>
              <w:rPr>
                <w:rFonts w:ascii="Arial" w:eastAsia="Arial" w:hAnsi="Arial" w:cs="Arial"/>
                <w:color w:val="000000"/>
                <w:sz w:val="16"/>
              </w:rPr>
            </w:pPr>
          </w:p>
        </w:tc>
        <w:tc>
          <w:tcPr>
            <w:tcW w:w="975" w:type="dxa"/>
            <w:tcBorders>
              <w:top w:val="nil"/>
              <w:left w:val="nil"/>
              <w:bottom w:val="nil"/>
              <w:right w:val="nil"/>
              <w:tl2br w:val="nil"/>
              <w:tr2bl w:val="nil"/>
            </w:tcBorders>
            <w:shd w:val="clear" w:color="auto" w:fill="FFFFFF"/>
            <w:tcMar>
              <w:left w:w="115" w:type="dxa"/>
              <w:right w:w="115" w:type="dxa"/>
            </w:tcMar>
            <w:vAlign w:val="bottom"/>
          </w:tcPr>
          <w:p w14:paraId="7FBCE9EF" w14:textId="77777777" w:rsidR="00724034" w:rsidRDefault="00FB7D0B">
            <w:pPr>
              <w:jc w:val="right"/>
              <w:rPr>
                <w:rFonts w:ascii="Arial" w:eastAsia="Arial" w:hAnsi="Arial" w:cs="Arial"/>
                <w:color w:val="000000"/>
                <w:sz w:val="16"/>
                <w:vertAlign w:val="superscript"/>
              </w:rPr>
            </w:pPr>
            <w:r>
              <w:rPr>
                <w:rFonts w:ascii="Arial" w:eastAsia="Arial" w:hAnsi="Arial" w:cs="Arial"/>
                <w:color w:val="000000"/>
                <w:sz w:val="16"/>
              </w:rPr>
              <w:t>Revised</w:t>
            </w:r>
          </w:p>
        </w:tc>
        <w:tc>
          <w:tcPr>
            <w:tcW w:w="975" w:type="dxa"/>
            <w:tcBorders>
              <w:top w:val="nil"/>
              <w:left w:val="nil"/>
              <w:bottom w:val="nil"/>
              <w:right w:val="nil"/>
              <w:tl2br w:val="nil"/>
              <w:tr2bl w:val="nil"/>
            </w:tcBorders>
            <w:shd w:val="clear" w:color="auto" w:fill="FFFF00"/>
            <w:tcMar>
              <w:left w:w="115" w:type="dxa"/>
              <w:right w:w="115" w:type="dxa"/>
            </w:tcMar>
            <w:vAlign w:val="bottom"/>
          </w:tcPr>
          <w:p w14:paraId="0D67671F" w14:textId="77777777" w:rsidR="00724034" w:rsidRDefault="00FB7D0B">
            <w:pPr>
              <w:jc w:val="right"/>
              <w:rPr>
                <w:rFonts w:ascii="Arial" w:eastAsia="Arial" w:hAnsi="Arial" w:cs="Arial"/>
                <w:color w:val="000000"/>
                <w:sz w:val="16"/>
              </w:rPr>
            </w:pPr>
            <w:r>
              <w:rPr>
                <w:rFonts w:ascii="Arial" w:eastAsia="Arial" w:hAnsi="Arial" w:cs="Arial"/>
                <w:color w:val="000000"/>
                <w:sz w:val="16"/>
              </w:rPr>
              <w:t>Budget</w:t>
            </w:r>
          </w:p>
        </w:tc>
        <w:tc>
          <w:tcPr>
            <w:tcW w:w="975" w:type="dxa"/>
            <w:tcBorders>
              <w:top w:val="nil"/>
              <w:left w:val="nil"/>
              <w:bottom w:val="nil"/>
              <w:right w:val="nil"/>
              <w:tl2br w:val="nil"/>
              <w:tr2bl w:val="nil"/>
            </w:tcBorders>
            <w:shd w:val="clear" w:color="auto" w:fill="FFFFFF"/>
            <w:tcMar>
              <w:left w:w="115" w:type="dxa"/>
              <w:right w:w="115" w:type="dxa"/>
            </w:tcMar>
            <w:vAlign w:val="bottom"/>
          </w:tcPr>
          <w:p w14:paraId="52EBB5F3" w14:textId="77777777" w:rsidR="00724034" w:rsidRDefault="00FB7D0B">
            <w:pPr>
              <w:jc w:val="right"/>
              <w:rPr>
                <w:rFonts w:ascii="Arial" w:eastAsia="Arial" w:hAnsi="Arial" w:cs="Arial"/>
                <w:color w:val="000000"/>
                <w:sz w:val="16"/>
              </w:rPr>
            </w:pPr>
            <w:r>
              <w:rPr>
                <w:rFonts w:ascii="Arial" w:eastAsia="Arial" w:hAnsi="Arial" w:cs="Arial"/>
                <w:color w:val="000000"/>
                <w:sz w:val="16"/>
              </w:rPr>
              <w:t>Forward</w:t>
            </w:r>
          </w:p>
        </w:tc>
        <w:tc>
          <w:tcPr>
            <w:tcW w:w="975" w:type="dxa"/>
            <w:tcBorders>
              <w:top w:val="nil"/>
              <w:left w:val="nil"/>
              <w:bottom w:val="nil"/>
              <w:right w:val="nil"/>
              <w:tl2br w:val="nil"/>
              <w:tr2bl w:val="nil"/>
            </w:tcBorders>
            <w:shd w:val="clear" w:color="auto" w:fill="FFFFFF"/>
            <w:tcMar>
              <w:left w:w="115" w:type="dxa"/>
              <w:right w:w="115" w:type="dxa"/>
            </w:tcMar>
            <w:vAlign w:val="bottom"/>
          </w:tcPr>
          <w:p w14:paraId="37B01321" w14:textId="77777777" w:rsidR="00724034" w:rsidRDefault="00FB7D0B">
            <w:pPr>
              <w:jc w:val="right"/>
              <w:rPr>
                <w:rFonts w:ascii="Arial" w:eastAsia="Arial" w:hAnsi="Arial" w:cs="Arial"/>
                <w:color w:val="000000"/>
                <w:sz w:val="16"/>
              </w:rPr>
            </w:pPr>
            <w:r>
              <w:rPr>
                <w:rFonts w:ascii="Arial" w:eastAsia="Arial" w:hAnsi="Arial" w:cs="Arial"/>
                <w:color w:val="000000"/>
                <w:sz w:val="16"/>
              </w:rPr>
              <w:t>Forward</w:t>
            </w:r>
          </w:p>
        </w:tc>
        <w:tc>
          <w:tcPr>
            <w:tcW w:w="975" w:type="dxa"/>
            <w:tcBorders>
              <w:top w:val="nil"/>
              <w:left w:val="nil"/>
              <w:bottom w:val="nil"/>
              <w:right w:val="single" w:sz="6" w:space="0" w:color="000000"/>
              <w:tl2br w:val="nil"/>
              <w:tr2bl w:val="nil"/>
            </w:tcBorders>
            <w:shd w:val="clear" w:color="auto" w:fill="FFFFFF"/>
            <w:tcMar>
              <w:left w:w="115" w:type="dxa"/>
              <w:right w:w="115" w:type="dxa"/>
            </w:tcMar>
            <w:vAlign w:val="bottom"/>
          </w:tcPr>
          <w:p w14:paraId="78DAA962" w14:textId="77777777" w:rsidR="00724034" w:rsidRDefault="00FB7D0B">
            <w:pPr>
              <w:jc w:val="right"/>
              <w:rPr>
                <w:rFonts w:ascii="Arial" w:eastAsia="Arial" w:hAnsi="Arial" w:cs="Arial"/>
                <w:color w:val="000000"/>
                <w:sz w:val="16"/>
              </w:rPr>
            </w:pPr>
            <w:r>
              <w:rPr>
                <w:rFonts w:ascii="Arial" w:eastAsia="Arial" w:hAnsi="Arial" w:cs="Arial"/>
                <w:color w:val="000000"/>
                <w:sz w:val="16"/>
              </w:rPr>
              <w:t>Forward</w:t>
            </w:r>
          </w:p>
        </w:tc>
      </w:tr>
      <w:tr w:rsidR="00724034" w14:paraId="1F7A1B81" w14:textId="77777777">
        <w:tblPrEx>
          <w:tblLook w:val="04A0" w:firstRow="1" w:lastRow="0" w:firstColumn="1" w:lastColumn="0" w:noHBand="0" w:noVBand="1"/>
        </w:tblPrEx>
        <w:trPr>
          <w:trHeight w:val="225"/>
        </w:trPr>
        <w:tc>
          <w:tcPr>
            <w:tcW w:w="3210" w:type="dxa"/>
            <w:tcBorders>
              <w:top w:val="nil"/>
              <w:left w:val="single" w:sz="6" w:space="0" w:color="000000"/>
              <w:bottom w:val="single" w:sz="6" w:space="0" w:color="000000"/>
              <w:right w:val="nil"/>
              <w:tl2br w:val="nil"/>
              <w:tr2bl w:val="nil"/>
            </w:tcBorders>
            <w:shd w:val="clear" w:color="auto" w:fill="FFFFFF"/>
            <w:tcMar>
              <w:left w:w="115" w:type="dxa"/>
              <w:right w:w="115" w:type="dxa"/>
            </w:tcMar>
            <w:vAlign w:val="bottom"/>
          </w:tcPr>
          <w:p w14:paraId="79155B1A" w14:textId="77777777" w:rsidR="00724034" w:rsidRDefault="00FB7D0B">
            <w:pPr>
              <w:rPr>
                <w:rFonts w:ascii="Arial" w:eastAsia="Arial" w:hAnsi="Arial" w:cs="Arial"/>
                <w:color w:val="000000"/>
                <w:sz w:val="16"/>
              </w:rPr>
            </w:pPr>
            <w:r>
              <w:rPr>
                <w:rFonts w:ascii="Arial" w:eastAsia="Arial" w:hAnsi="Arial" w:cs="Arial"/>
                <w:color w:val="000000"/>
                <w:sz w:val="16"/>
              </w:rPr>
              <w:t xml:space="preserve">Deliverables </w:t>
            </w:r>
          </w:p>
        </w:tc>
        <w:tc>
          <w:tcPr>
            <w:tcW w:w="975"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4354E044" w14:textId="77777777" w:rsidR="00724034" w:rsidRDefault="00FB7D0B">
            <w:pPr>
              <w:jc w:val="right"/>
              <w:rPr>
                <w:rFonts w:ascii="Arial" w:eastAsia="Arial" w:hAnsi="Arial" w:cs="Arial"/>
                <w:color w:val="000000"/>
                <w:sz w:val="16"/>
                <w:vertAlign w:val="superscript"/>
              </w:rPr>
            </w:pPr>
            <w:r>
              <w:rPr>
                <w:rFonts w:ascii="Arial" w:eastAsia="Arial" w:hAnsi="Arial" w:cs="Arial"/>
                <w:color w:val="000000"/>
                <w:sz w:val="16"/>
              </w:rPr>
              <w:t>budget</w:t>
            </w:r>
          </w:p>
        </w:tc>
        <w:tc>
          <w:tcPr>
            <w:tcW w:w="975" w:type="dxa"/>
            <w:tcBorders>
              <w:top w:val="nil"/>
              <w:left w:val="nil"/>
              <w:bottom w:val="single" w:sz="6" w:space="0" w:color="000000"/>
              <w:right w:val="nil"/>
              <w:tl2br w:val="nil"/>
              <w:tr2bl w:val="nil"/>
            </w:tcBorders>
            <w:shd w:val="clear" w:color="auto" w:fill="FFFF00"/>
            <w:tcMar>
              <w:left w:w="115" w:type="dxa"/>
              <w:right w:w="115" w:type="dxa"/>
            </w:tcMar>
            <w:vAlign w:val="bottom"/>
          </w:tcPr>
          <w:p w14:paraId="2A2C793B" w14:textId="77777777" w:rsidR="00724034" w:rsidRDefault="00724034">
            <w:pPr>
              <w:jc w:val="right"/>
              <w:rPr>
                <w:rFonts w:ascii="Arial" w:eastAsia="Arial" w:hAnsi="Arial" w:cs="Arial"/>
                <w:color w:val="000000"/>
                <w:sz w:val="16"/>
              </w:rPr>
            </w:pPr>
          </w:p>
        </w:tc>
        <w:tc>
          <w:tcPr>
            <w:tcW w:w="975"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07338ED3" w14:textId="77777777" w:rsidR="00724034" w:rsidRDefault="00FB7D0B">
            <w:pPr>
              <w:jc w:val="right"/>
              <w:rPr>
                <w:rFonts w:ascii="Arial" w:eastAsia="Arial" w:hAnsi="Arial" w:cs="Arial"/>
                <w:color w:val="000000"/>
                <w:sz w:val="16"/>
              </w:rPr>
            </w:pPr>
            <w:r>
              <w:rPr>
                <w:rFonts w:ascii="Arial" w:eastAsia="Arial" w:hAnsi="Arial" w:cs="Arial"/>
                <w:color w:val="000000"/>
                <w:sz w:val="16"/>
              </w:rPr>
              <w:t>year 1</w:t>
            </w:r>
          </w:p>
        </w:tc>
        <w:tc>
          <w:tcPr>
            <w:tcW w:w="975"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5FFAE594" w14:textId="77777777" w:rsidR="00724034" w:rsidRDefault="00FB7D0B">
            <w:pPr>
              <w:jc w:val="right"/>
              <w:rPr>
                <w:rFonts w:ascii="Arial" w:eastAsia="Arial" w:hAnsi="Arial" w:cs="Arial"/>
                <w:color w:val="000000"/>
                <w:sz w:val="16"/>
              </w:rPr>
            </w:pPr>
            <w:r>
              <w:rPr>
                <w:rFonts w:ascii="Arial" w:eastAsia="Arial" w:hAnsi="Arial" w:cs="Arial"/>
                <w:color w:val="000000"/>
                <w:sz w:val="16"/>
              </w:rPr>
              <w:t>year 2</w:t>
            </w:r>
          </w:p>
        </w:tc>
        <w:tc>
          <w:tcPr>
            <w:tcW w:w="975" w:type="dxa"/>
            <w:tcBorders>
              <w:top w:val="nil"/>
              <w:left w:val="nil"/>
              <w:bottom w:val="single" w:sz="6" w:space="0" w:color="000000"/>
              <w:right w:val="single" w:sz="6" w:space="0" w:color="000000"/>
              <w:tl2br w:val="nil"/>
              <w:tr2bl w:val="nil"/>
            </w:tcBorders>
            <w:shd w:val="clear" w:color="auto" w:fill="FFFFFF"/>
            <w:tcMar>
              <w:left w:w="115" w:type="dxa"/>
              <w:right w:w="115" w:type="dxa"/>
            </w:tcMar>
            <w:vAlign w:val="bottom"/>
          </w:tcPr>
          <w:p w14:paraId="3746500F" w14:textId="77777777" w:rsidR="00724034" w:rsidRDefault="00FB7D0B">
            <w:pPr>
              <w:jc w:val="right"/>
              <w:rPr>
                <w:rFonts w:ascii="Arial" w:eastAsia="Arial" w:hAnsi="Arial" w:cs="Arial"/>
                <w:color w:val="000000"/>
                <w:sz w:val="16"/>
              </w:rPr>
            </w:pPr>
            <w:r>
              <w:rPr>
                <w:rFonts w:ascii="Arial" w:eastAsia="Arial" w:hAnsi="Arial" w:cs="Arial"/>
                <w:color w:val="000000"/>
                <w:sz w:val="16"/>
              </w:rPr>
              <w:t>year 3</w:t>
            </w:r>
          </w:p>
        </w:tc>
      </w:tr>
      <w:tr w:rsidR="00724034" w14:paraId="2D74DC5E" w14:textId="77777777">
        <w:tblPrEx>
          <w:tblLook w:val="04A0" w:firstRow="1" w:lastRow="0" w:firstColumn="1" w:lastColumn="0" w:noHBand="0" w:noVBand="1"/>
        </w:tblPrEx>
        <w:trPr>
          <w:trHeight w:val="60"/>
        </w:trPr>
        <w:tc>
          <w:tcPr>
            <w:tcW w:w="3210" w:type="dxa"/>
            <w:tcBorders>
              <w:top w:val="single" w:sz="6" w:space="0" w:color="000000"/>
              <w:left w:val="single" w:sz="6" w:space="0" w:color="000000"/>
              <w:bottom w:val="nil"/>
              <w:right w:val="nil"/>
              <w:tl2br w:val="nil"/>
              <w:tr2bl w:val="nil"/>
            </w:tcBorders>
            <w:shd w:val="clear" w:color="auto" w:fill="FFFFFF"/>
            <w:tcMar>
              <w:left w:w="115" w:type="dxa"/>
              <w:right w:w="115" w:type="dxa"/>
            </w:tcMar>
            <w:vAlign w:val="bottom"/>
          </w:tcPr>
          <w:p w14:paraId="2A7DE55A" w14:textId="77777777" w:rsidR="00724034" w:rsidRDefault="00724034">
            <w:pPr>
              <w:rPr>
                <w:rFonts w:ascii="Arial" w:eastAsia="Arial" w:hAnsi="Arial" w:cs="Arial"/>
                <w:color w:val="000000"/>
                <w:sz w:val="16"/>
              </w:rPr>
            </w:pPr>
          </w:p>
        </w:tc>
        <w:tc>
          <w:tcPr>
            <w:tcW w:w="975"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3AD47E18" w14:textId="77777777" w:rsidR="00724034" w:rsidRDefault="00724034">
            <w:pPr>
              <w:jc w:val="right"/>
              <w:rPr>
                <w:rFonts w:ascii="Arial" w:eastAsia="Arial" w:hAnsi="Arial" w:cs="Arial"/>
                <w:color w:val="000000"/>
                <w:sz w:val="16"/>
                <w:vertAlign w:val="superscript"/>
              </w:rPr>
            </w:pPr>
          </w:p>
        </w:tc>
        <w:tc>
          <w:tcPr>
            <w:tcW w:w="975" w:type="dxa"/>
            <w:tcBorders>
              <w:top w:val="single" w:sz="6" w:space="0" w:color="000000"/>
              <w:left w:val="nil"/>
              <w:bottom w:val="nil"/>
              <w:right w:val="nil"/>
              <w:tl2br w:val="nil"/>
              <w:tr2bl w:val="nil"/>
            </w:tcBorders>
            <w:shd w:val="clear" w:color="auto" w:fill="FFFF00"/>
            <w:tcMar>
              <w:left w:w="115" w:type="dxa"/>
              <w:right w:w="115" w:type="dxa"/>
            </w:tcMar>
            <w:vAlign w:val="bottom"/>
          </w:tcPr>
          <w:p w14:paraId="04F634BE" w14:textId="77777777" w:rsidR="00724034" w:rsidRDefault="00724034">
            <w:pPr>
              <w:jc w:val="right"/>
              <w:rPr>
                <w:rFonts w:ascii="Arial" w:eastAsia="Arial" w:hAnsi="Arial" w:cs="Arial"/>
                <w:color w:val="000000"/>
                <w:sz w:val="16"/>
                <w:vertAlign w:val="superscript"/>
              </w:rPr>
            </w:pPr>
          </w:p>
        </w:tc>
        <w:tc>
          <w:tcPr>
            <w:tcW w:w="975"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7451FE37" w14:textId="77777777" w:rsidR="00724034" w:rsidRDefault="00724034">
            <w:pPr>
              <w:jc w:val="right"/>
              <w:rPr>
                <w:rFonts w:ascii="Arial" w:eastAsia="Arial" w:hAnsi="Arial" w:cs="Arial"/>
                <w:color w:val="000000"/>
                <w:sz w:val="16"/>
                <w:vertAlign w:val="superscript"/>
              </w:rPr>
            </w:pPr>
          </w:p>
        </w:tc>
        <w:tc>
          <w:tcPr>
            <w:tcW w:w="975"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08926FBB" w14:textId="77777777" w:rsidR="00724034" w:rsidRDefault="00724034">
            <w:pPr>
              <w:jc w:val="right"/>
              <w:rPr>
                <w:rFonts w:ascii="Arial" w:eastAsia="Arial" w:hAnsi="Arial" w:cs="Arial"/>
                <w:color w:val="000000"/>
                <w:sz w:val="16"/>
                <w:vertAlign w:val="superscript"/>
              </w:rPr>
            </w:pPr>
          </w:p>
        </w:tc>
        <w:tc>
          <w:tcPr>
            <w:tcW w:w="975" w:type="dxa"/>
            <w:tcBorders>
              <w:top w:val="single" w:sz="6" w:space="0" w:color="000000"/>
              <w:left w:val="nil"/>
              <w:bottom w:val="nil"/>
              <w:right w:val="single" w:sz="6" w:space="0" w:color="000000"/>
              <w:tl2br w:val="nil"/>
              <w:tr2bl w:val="nil"/>
            </w:tcBorders>
            <w:shd w:val="clear" w:color="auto" w:fill="FFFFFF"/>
            <w:tcMar>
              <w:left w:w="115" w:type="dxa"/>
              <w:right w:w="115" w:type="dxa"/>
            </w:tcMar>
            <w:vAlign w:val="bottom"/>
          </w:tcPr>
          <w:p w14:paraId="74D51433" w14:textId="77777777" w:rsidR="00724034" w:rsidRDefault="00724034">
            <w:pPr>
              <w:jc w:val="right"/>
              <w:rPr>
                <w:rFonts w:ascii="Arial" w:eastAsia="Arial" w:hAnsi="Arial" w:cs="Arial"/>
                <w:color w:val="000000"/>
                <w:sz w:val="16"/>
                <w:vertAlign w:val="superscript"/>
              </w:rPr>
            </w:pPr>
          </w:p>
        </w:tc>
      </w:tr>
      <w:tr w:rsidR="00724034" w14:paraId="1B29B47C" w14:textId="77777777">
        <w:tblPrEx>
          <w:tblLook w:val="04A0" w:firstRow="1" w:lastRow="0" w:firstColumn="1" w:lastColumn="0" w:noHBand="0" w:noVBand="1"/>
        </w:tblPrEx>
        <w:trPr>
          <w:trHeight w:val="360"/>
        </w:trPr>
        <w:tc>
          <w:tcPr>
            <w:tcW w:w="3210" w:type="dxa"/>
            <w:tcBorders>
              <w:top w:val="nil"/>
              <w:left w:val="single" w:sz="6" w:space="0" w:color="000000"/>
              <w:bottom w:val="nil"/>
              <w:right w:val="nil"/>
              <w:tl2br w:val="nil"/>
              <w:tr2bl w:val="nil"/>
            </w:tcBorders>
            <w:shd w:val="clear" w:color="auto" w:fill="FFFFFF"/>
            <w:tcMar>
              <w:left w:w="115" w:type="dxa"/>
              <w:right w:w="115" w:type="dxa"/>
            </w:tcMar>
            <w:vAlign w:val="bottom"/>
          </w:tcPr>
          <w:p w14:paraId="7736D517" w14:textId="77777777" w:rsidR="00724034" w:rsidRDefault="00FB7D0B">
            <w:pPr>
              <w:rPr>
                <w:rFonts w:ascii="Arial" w:eastAsia="Arial" w:hAnsi="Arial" w:cs="Arial"/>
                <w:color w:val="000000"/>
                <w:sz w:val="16"/>
                <w:vertAlign w:val="superscript"/>
              </w:rPr>
            </w:pPr>
            <w:r>
              <w:rPr>
                <w:rFonts w:ascii="Arial" w:eastAsia="Arial" w:hAnsi="Arial" w:cs="Arial"/>
                <w:i/>
                <w:color w:val="000000"/>
                <w:sz w:val="16"/>
              </w:rPr>
              <w:t xml:space="preserve">Quantity: </w:t>
            </w:r>
            <w:r>
              <w:rPr>
                <w:rFonts w:ascii="Arial" w:eastAsia="Arial" w:hAnsi="Arial" w:cs="Arial"/>
                <w:color w:val="000000"/>
                <w:sz w:val="16"/>
              </w:rPr>
              <w:t>Number of primary students receiving assistance</w:t>
            </w:r>
          </w:p>
        </w:tc>
        <w:tc>
          <w:tcPr>
            <w:tcW w:w="975" w:type="dxa"/>
            <w:tcBorders>
              <w:top w:val="nil"/>
              <w:left w:val="nil"/>
              <w:bottom w:val="nil"/>
              <w:right w:val="nil"/>
              <w:tl2br w:val="nil"/>
              <w:tr2bl w:val="nil"/>
            </w:tcBorders>
            <w:shd w:val="clear" w:color="auto" w:fill="FFFFFF"/>
            <w:tcMar>
              <w:left w:w="115" w:type="dxa"/>
              <w:right w:w="115" w:type="dxa"/>
            </w:tcMar>
            <w:vAlign w:val="bottom"/>
          </w:tcPr>
          <w:p w14:paraId="0D99D67C" w14:textId="77777777" w:rsidR="00724034" w:rsidRDefault="00FB7D0B">
            <w:pPr>
              <w:jc w:val="right"/>
              <w:rPr>
                <w:rFonts w:ascii="Arial" w:eastAsia="Arial" w:hAnsi="Arial" w:cs="Arial"/>
                <w:i/>
                <w:color w:val="000000"/>
                <w:sz w:val="16"/>
                <w:vertAlign w:val="superscript"/>
              </w:rPr>
            </w:pPr>
            <w:r>
              <w:rPr>
                <w:rFonts w:ascii="Arial" w:eastAsia="Arial" w:hAnsi="Arial" w:cs="Arial"/>
                <w:color w:val="000000"/>
                <w:sz w:val="16"/>
              </w:rPr>
              <w:t xml:space="preserve"> 672 </w:t>
            </w:r>
          </w:p>
        </w:tc>
        <w:tc>
          <w:tcPr>
            <w:tcW w:w="975" w:type="dxa"/>
            <w:tcBorders>
              <w:top w:val="nil"/>
              <w:left w:val="nil"/>
              <w:bottom w:val="nil"/>
              <w:right w:val="nil"/>
              <w:tl2br w:val="nil"/>
              <w:tr2bl w:val="nil"/>
            </w:tcBorders>
            <w:shd w:val="clear" w:color="auto" w:fill="FFFF00"/>
            <w:tcMar>
              <w:left w:w="115" w:type="dxa"/>
              <w:right w:w="115" w:type="dxa"/>
            </w:tcMar>
            <w:vAlign w:val="bottom"/>
          </w:tcPr>
          <w:p w14:paraId="61C601BA" w14:textId="77777777" w:rsidR="00724034" w:rsidRDefault="00FB7D0B">
            <w:pPr>
              <w:jc w:val="right"/>
              <w:rPr>
                <w:rFonts w:ascii="Arial" w:eastAsia="Arial" w:hAnsi="Arial" w:cs="Arial"/>
                <w:color w:val="000000"/>
                <w:sz w:val="16"/>
              </w:rPr>
            </w:pPr>
            <w:r>
              <w:rPr>
                <w:rFonts w:ascii="Arial" w:eastAsia="Arial" w:hAnsi="Arial" w:cs="Arial"/>
                <w:color w:val="000000"/>
                <w:sz w:val="16"/>
              </w:rPr>
              <w:t xml:space="preserve"> 628 </w:t>
            </w:r>
          </w:p>
        </w:tc>
        <w:tc>
          <w:tcPr>
            <w:tcW w:w="975" w:type="dxa"/>
            <w:tcBorders>
              <w:top w:val="nil"/>
              <w:left w:val="nil"/>
              <w:bottom w:val="nil"/>
              <w:right w:val="nil"/>
              <w:tl2br w:val="nil"/>
              <w:tr2bl w:val="nil"/>
            </w:tcBorders>
            <w:shd w:val="clear" w:color="auto" w:fill="FFFFFF"/>
            <w:tcMar>
              <w:left w:w="115" w:type="dxa"/>
              <w:right w:w="115" w:type="dxa"/>
            </w:tcMar>
            <w:vAlign w:val="bottom"/>
          </w:tcPr>
          <w:p w14:paraId="043D1CA2" w14:textId="77777777" w:rsidR="00724034" w:rsidRDefault="00FB7D0B">
            <w:pPr>
              <w:jc w:val="right"/>
              <w:rPr>
                <w:rFonts w:ascii="Arial" w:eastAsia="Arial" w:hAnsi="Arial" w:cs="Arial"/>
                <w:color w:val="000000"/>
                <w:sz w:val="16"/>
              </w:rPr>
            </w:pPr>
            <w:r>
              <w:rPr>
                <w:rFonts w:ascii="Arial" w:eastAsia="Arial" w:hAnsi="Arial" w:cs="Arial"/>
                <w:color w:val="000000"/>
                <w:sz w:val="16"/>
              </w:rPr>
              <w:t xml:space="preserve"> 587 </w:t>
            </w:r>
          </w:p>
        </w:tc>
        <w:tc>
          <w:tcPr>
            <w:tcW w:w="975" w:type="dxa"/>
            <w:tcBorders>
              <w:top w:val="nil"/>
              <w:left w:val="nil"/>
              <w:bottom w:val="nil"/>
              <w:right w:val="nil"/>
              <w:tl2br w:val="nil"/>
              <w:tr2bl w:val="nil"/>
            </w:tcBorders>
            <w:shd w:val="clear" w:color="auto" w:fill="FFFFFF"/>
            <w:tcMar>
              <w:left w:w="115" w:type="dxa"/>
              <w:right w:w="115" w:type="dxa"/>
            </w:tcMar>
            <w:vAlign w:val="bottom"/>
          </w:tcPr>
          <w:p w14:paraId="37802115" w14:textId="77777777" w:rsidR="00724034" w:rsidRDefault="00FB7D0B">
            <w:pPr>
              <w:jc w:val="right"/>
              <w:rPr>
                <w:rFonts w:ascii="Arial" w:eastAsia="Arial" w:hAnsi="Arial" w:cs="Arial"/>
                <w:color w:val="000000"/>
                <w:sz w:val="16"/>
              </w:rPr>
            </w:pPr>
            <w:r>
              <w:rPr>
                <w:rFonts w:ascii="Arial" w:eastAsia="Arial" w:hAnsi="Arial" w:cs="Arial"/>
                <w:color w:val="000000"/>
                <w:sz w:val="16"/>
              </w:rPr>
              <w:t xml:space="preserve"> 549 </w:t>
            </w:r>
          </w:p>
        </w:tc>
        <w:tc>
          <w:tcPr>
            <w:tcW w:w="975" w:type="dxa"/>
            <w:tcBorders>
              <w:top w:val="nil"/>
              <w:left w:val="nil"/>
              <w:bottom w:val="nil"/>
              <w:right w:val="single" w:sz="6" w:space="0" w:color="000000"/>
              <w:tl2br w:val="nil"/>
              <w:tr2bl w:val="nil"/>
            </w:tcBorders>
            <w:shd w:val="clear" w:color="auto" w:fill="FFFFFF"/>
            <w:tcMar>
              <w:left w:w="115" w:type="dxa"/>
              <w:right w:w="115" w:type="dxa"/>
            </w:tcMar>
            <w:vAlign w:val="bottom"/>
          </w:tcPr>
          <w:p w14:paraId="4981FF3D" w14:textId="77777777" w:rsidR="00724034" w:rsidRDefault="00FB7D0B">
            <w:pPr>
              <w:jc w:val="right"/>
              <w:rPr>
                <w:rFonts w:ascii="Arial" w:eastAsia="Arial" w:hAnsi="Arial" w:cs="Arial"/>
                <w:color w:val="000000"/>
                <w:sz w:val="16"/>
              </w:rPr>
            </w:pPr>
            <w:r>
              <w:rPr>
                <w:rFonts w:ascii="Arial" w:eastAsia="Arial" w:hAnsi="Arial" w:cs="Arial"/>
                <w:color w:val="000000"/>
                <w:sz w:val="16"/>
              </w:rPr>
              <w:t xml:space="preserve"> 513 </w:t>
            </w:r>
          </w:p>
        </w:tc>
      </w:tr>
      <w:tr w:rsidR="00724034" w14:paraId="173B6C4E" w14:textId="77777777">
        <w:tblPrEx>
          <w:tblLook w:val="04A0" w:firstRow="1" w:lastRow="0" w:firstColumn="1" w:lastColumn="0" w:noHBand="0" w:noVBand="1"/>
        </w:tblPrEx>
        <w:trPr>
          <w:trHeight w:val="30"/>
        </w:trPr>
        <w:tc>
          <w:tcPr>
            <w:tcW w:w="3210" w:type="dxa"/>
            <w:tcBorders>
              <w:top w:val="nil"/>
              <w:left w:val="single" w:sz="6" w:space="0" w:color="000000"/>
              <w:bottom w:val="nil"/>
              <w:right w:val="nil"/>
              <w:tl2br w:val="nil"/>
              <w:tr2bl w:val="nil"/>
            </w:tcBorders>
            <w:shd w:val="clear" w:color="auto" w:fill="FFFFFF"/>
            <w:tcMar>
              <w:left w:w="115" w:type="dxa"/>
              <w:right w:w="115" w:type="dxa"/>
            </w:tcMar>
            <w:vAlign w:val="bottom"/>
          </w:tcPr>
          <w:p w14:paraId="29FDAD0C" w14:textId="77777777" w:rsidR="00724034" w:rsidRDefault="00724034">
            <w:pPr>
              <w:rPr>
                <w:rFonts w:ascii="Arial" w:eastAsia="Arial" w:hAnsi="Arial" w:cs="Arial"/>
                <w:color w:val="000000"/>
                <w:sz w:val="16"/>
              </w:rPr>
            </w:pPr>
          </w:p>
        </w:tc>
        <w:tc>
          <w:tcPr>
            <w:tcW w:w="975" w:type="dxa"/>
            <w:tcBorders>
              <w:top w:val="nil"/>
              <w:left w:val="nil"/>
              <w:bottom w:val="nil"/>
              <w:right w:val="nil"/>
              <w:tl2br w:val="nil"/>
              <w:tr2bl w:val="nil"/>
            </w:tcBorders>
            <w:shd w:val="clear" w:color="auto" w:fill="FFFFFF"/>
            <w:tcMar>
              <w:left w:w="115" w:type="dxa"/>
              <w:right w:w="115" w:type="dxa"/>
            </w:tcMar>
            <w:vAlign w:val="bottom"/>
          </w:tcPr>
          <w:p w14:paraId="03E48173" w14:textId="77777777" w:rsidR="00724034" w:rsidRDefault="00724034">
            <w:pPr>
              <w:jc w:val="right"/>
              <w:rPr>
                <w:rFonts w:ascii="Arial" w:eastAsia="Arial" w:hAnsi="Arial" w:cs="Arial"/>
                <w:i/>
                <w:color w:val="000000"/>
                <w:sz w:val="16"/>
                <w:vertAlign w:val="superscript"/>
              </w:rPr>
            </w:pPr>
          </w:p>
        </w:tc>
        <w:tc>
          <w:tcPr>
            <w:tcW w:w="975" w:type="dxa"/>
            <w:tcBorders>
              <w:top w:val="nil"/>
              <w:left w:val="nil"/>
              <w:bottom w:val="nil"/>
              <w:right w:val="nil"/>
              <w:tl2br w:val="nil"/>
              <w:tr2bl w:val="nil"/>
            </w:tcBorders>
            <w:shd w:val="clear" w:color="auto" w:fill="FFFF00"/>
            <w:tcMar>
              <w:left w:w="115" w:type="dxa"/>
              <w:right w:w="115" w:type="dxa"/>
            </w:tcMar>
            <w:vAlign w:val="bottom"/>
          </w:tcPr>
          <w:p w14:paraId="7046D551" w14:textId="77777777" w:rsidR="00724034" w:rsidRDefault="00724034">
            <w:pPr>
              <w:jc w:val="right"/>
              <w:rPr>
                <w:rFonts w:ascii="Arial" w:eastAsia="Arial" w:hAnsi="Arial" w:cs="Arial"/>
                <w:color w:val="000000"/>
                <w:sz w:val="16"/>
                <w:vertAlign w:val="superscript"/>
              </w:rPr>
            </w:pPr>
          </w:p>
        </w:tc>
        <w:tc>
          <w:tcPr>
            <w:tcW w:w="975" w:type="dxa"/>
            <w:tcBorders>
              <w:top w:val="nil"/>
              <w:left w:val="nil"/>
              <w:bottom w:val="nil"/>
              <w:right w:val="nil"/>
              <w:tl2br w:val="nil"/>
              <w:tr2bl w:val="nil"/>
            </w:tcBorders>
            <w:shd w:val="clear" w:color="auto" w:fill="FFFFFF"/>
            <w:tcMar>
              <w:left w:w="115" w:type="dxa"/>
              <w:right w:w="115" w:type="dxa"/>
            </w:tcMar>
            <w:vAlign w:val="bottom"/>
          </w:tcPr>
          <w:p w14:paraId="68727BA2" w14:textId="77777777" w:rsidR="00724034" w:rsidRDefault="00724034">
            <w:pPr>
              <w:jc w:val="right"/>
              <w:rPr>
                <w:rFonts w:ascii="Arial" w:eastAsia="Arial" w:hAnsi="Arial" w:cs="Arial"/>
                <w:color w:val="000000"/>
                <w:sz w:val="16"/>
                <w:vertAlign w:val="superscript"/>
              </w:rPr>
            </w:pPr>
          </w:p>
        </w:tc>
        <w:tc>
          <w:tcPr>
            <w:tcW w:w="975" w:type="dxa"/>
            <w:tcBorders>
              <w:top w:val="nil"/>
              <w:left w:val="nil"/>
              <w:bottom w:val="nil"/>
              <w:right w:val="nil"/>
              <w:tl2br w:val="nil"/>
              <w:tr2bl w:val="nil"/>
            </w:tcBorders>
            <w:shd w:val="clear" w:color="auto" w:fill="FFFFFF"/>
            <w:tcMar>
              <w:left w:w="115" w:type="dxa"/>
              <w:right w:w="115" w:type="dxa"/>
            </w:tcMar>
            <w:vAlign w:val="bottom"/>
          </w:tcPr>
          <w:p w14:paraId="0AFDF5C2" w14:textId="77777777" w:rsidR="00724034" w:rsidRDefault="00724034">
            <w:pPr>
              <w:jc w:val="right"/>
              <w:rPr>
                <w:rFonts w:ascii="Arial" w:eastAsia="Arial" w:hAnsi="Arial" w:cs="Arial"/>
                <w:color w:val="000000"/>
                <w:sz w:val="16"/>
                <w:vertAlign w:val="superscript"/>
              </w:rPr>
            </w:pPr>
          </w:p>
        </w:tc>
        <w:tc>
          <w:tcPr>
            <w:tcW w:w="975" w:type="dxa"/>
            <w:tcBorders>
              <w:top w:val="nil"/>
              <w:left w:val="nil"/>
              <w:bottom w:val="nil"/>
              <w:right w:val="single" w:sz="6" w:space="0" w:color="000000"/>
              <w:tl2br w:val="nil"/>
              <w:tr2bl w:val="nil"/>
            </w:tcBorders>
            <w:shd w:val="clear" w:color="auto" w:fill="FFFFFF"/>
            <w:tcMar>
              <w:left w:w="115" w:type="dxa"/>
              <w:right w:w="115" w:type="dxa"/>
            </w:tcMar>
            <w:vAlign w:val="bottom"/>
          </w:tcPr>
          <w:p w14:paraId="4BC9C946" w14:textId="77777777" w:rsidR="00724034" w:rsidRDefault="00724034">
            <w:pPr>
              <w:jc w:val="right"/>
              <w:rPr>
                <w:rFonts w:ascii="Arial" w:eastAsia="Arial" w:hAnsi="Arial" w:cs="Arial"/>
                <w:color w:val="000000"/>
                <w:sz w:val="16"/>
                <w:vertAlign w:val="superscript"/>
              </w:rPr>
            </w:pPr>
          </w:p>
        </w:tc>
      </w:tr>
      <w:tr w:rsidR="00724034" w14:paraId="01E2979D" w14:textId="77777777">
        <w:tblPrEx>
          <w:tblLook w:val="04A0" w:firstRow="1" w:lastRow="0" w:firstColumn="1" w:lastColumn="0" w:noHBand="0" w:noVBand="1"/>
        </w:tblPrEx>
        <w:trPr>
          <w:trHeight w:val="450"/>
        </w:trPr>
        <w:tc>
          <w:tcPr>
            <w:tcW w:w="3210" w:type="dxa"/>
            <w:tcBorders>
              <w:top w:val="nil"/>
              <w:left w:val="single" w:sz="6" w:space="0" w:color="000000"/>
              <w:bottom w:val="nil"/>
              <w:right w:val="nil"/>
              <w:tl2br w:val="nil"/>
              <w:tr2bl w:val="nil"/>
            </w:tcBorders>
            <w:shd w:val="clear" w:color="auto" w:fill="FFFFFF"/>
            <w:tcMar>
              <w:left w:w="115" w:type="dxa"/>
              <w:right w:w="115" w:type="dxa"/>
            </w:tcMar>
            <w:vAlign w:val="bottom"/>
          </w:tcPr>
          <w:p w14:paraId="5DB6B910" w14:textId="77777777" w:rsidR="00724034" w:rsidRDefault="00FB7D0B">
            <w:pPr>
              <w:rPr>
                <w:rFonts w:ascii="Arial" w:eastAsia="Arial" w:hAnsi="Arial" w:cs="Arial"/>
                <w:color w:val="000000"/>
                <w:sz w:val="16"/>
                <w:vertAlign w:val="superscript"/>
              </w:rPr>
            </w:pPr>
            <w:r>
              <w:rPr>
                <w:rFonts w:ascii="Arial" w:eastAsia="Arial" w:hAnsi="Arial" w:cs="Arial"/>
                <w:i/>
                <w:color w:val="000000"/>
                <w:sz w:val="16"/>
              </w:rPr>
              <w:t>Quantity:</w:t>
            </w:r>
            <w:r>
              <w:rPr>
                <w:rFonts w:ascii="Arial" w:eastAsia="Arial" w:hAnsi="Arial" w:cs="Arial"/>
                <w:color w:val="000000"/>
                <w:sz w:val="16"/>
              </w:rPr>
              <w:t xml:space="preserve"> Number of secondary students receiving assistance</w:t>
            </w:r>
          </w:p>
        </w:tc>
        <w:tc>
          <w:tcPr>
            <w:tcW w:w="975" w:type="dxa"/>
            <w:tcBorders>
              <w:top w:val="nil"/>
              <w:left w:val="nil"/>
              <w:bottom w:val="nil"/>
              <w:right w:val="nil"/>
              <w:tl2br w:val="nil"/>
              <w:tr2bl w:val="nil"/>
            </w:tcBorders>
            <w:shd w:val="clear" w:color="auto" w:fill="FFFFFF"/>
            <w:tcMar>
              <w:left w:w="115" w:type="dxa"/>
              <w:right w:w="115" w:type="dxa"/>
            </w:tcMar>
            <w:vAlign w:val="bottom"/>
          </w:tcPr>
          <w:p w14:paraId="45E674A7" w14:textId="77777777" w:rsidR="00724034" w:rsidRDefault="00FB7D0B">
            <w:pPr>
              <w:jc w:val="right"/>
              <w:rPr>
                <w:rFonts w:ascii="Arial" w:eastAsia="Arial" w:hAnsi="Arial" w:cs="Arial"/>
                <w:i/>
                <w:color w:val="000000"/>
                <w:sz w:val="16"/>
                <w:vertAlign w:val="superscript"/>
              </w:rPr>
            </w:pPr>
            <w:r>
              <w:rPr>
                <w:rFonts w:ascii="Arial" w:eastAsia="Arial" w:hAnsi="Arial" w:cs="Arial"/>
                <w:color w:val="000000"/>
                <w:sz w:val="16"/>
              </w:rPr>
              <w:t xml:space="preserve"> 991 </w:t>
            </w:r>
          </w:p>
        </w:tc>
        <w:tc>
          <w:tcPr>
            <w:tcW w:w="975" w:type="dxa"/>
            <w:tcBorders>
              <w:top w:val="nil"/>
              <w:left w:val="nil"/>
              <w:bottom w:val="nil"/>
              <w:right w:val="nil"/>
              <w:tl2br w:val="nil"/>
              <w:tr2bl w:val="nil"/>
            </w:tcBorders>
            <w:shd w:val="clear" w:color="auto" w:fill="FFFF00"/>
            <w:tcMar>
              <w:left w:w="115" w:type="dxa"/>
              <w:right w:w="115" w:type="dxa"/>
            </w:tcMar>
            <w:vAlign w:val="bottom"/>
          </w:tcPr>
          <w:p w14:paraId="3515FC57" w14:textId="77777777" w:rsidR="00724034" w:rsidRDefault="00FB7D0B">
            <w:pPr>
              <w:jc w:val="right"/>
              <w:rPr>
                <w:rFonts w:ascii="Arial" w:eastAsia="Arial" w:hAnsi="Arial" w:cs="Arial"/>
                <w:color w:val="000000"/>
                <w:sz w:val="16"/>
              </w:rPr>
            </w:pPr>
            <w:r>
              <w:rPr>
                <w:rFonts w:ascii="Arial" w:eastAsia="Arial" w:hAnsi="Arial" w:cs="Arial"/>
                <w:color w:val="000000"/>
                <w:sz w:val="16"/>
              </w:rPr>
              <w:t xml:space="preserve"> 926 </w:t>
            </w:r>
          </w:p>
        </w:tc>
        <w:tc>
          <w:tcPr>
            <w:tcW w:w="975" w:type="dxa"/>
            <w:tcBorders>
              <w:top w:val="nil"/>
              <w:left w:val="nil"/>
              <w:bottom w:val="nil"/>
              <w:right w:val="nil"/>
              <w:tl2br w:val="nil"/>
              <w:tr2bl w:val="nil"/>
            </w:tcBorders>
            <w:shd w:val="clear" w:color="auto" w:fill="FFFFFF"/>
            <w:tcMar>
              <w:left w:w="115" w:type="dxa"/>
              <w:right w:w="115" w:type="dxa"/>
            </w:tcMar>
            <w:vAlign w:val="bottom"/>
          </w:tcPr>
          <w:p w14:paraId="277E6EFF" w14:textId="77777777" w:rsidR="00724034" w:rsidRDefault="00FB7D0B">
            <w:pPr>
              <w:jc w:val="right"/>
              <w:rPr>
                <w:rFonts w:ascii="Arial" w:eastAsia="Arial" w:hAnsi="Arial" w:cs="Arial"/>
                <w:color w:val="000000"/>
                <w:sz w:val="16"/>
              </w:rPr>
            </w:pPr>
            <w:r>
              <w:rPr>
                <w:rFonts w:ascii="Arial" w:eastAsia="Arial" w:hAnsi="Arial" w:cs="Arial"/>
                <w:color w:val="000000"/>
                <w:sz w:val="16"/>
              </w:rPr>
              <w:t xml:space="preserve"> 866 </w:t>
            </w:r>
          </w:p>
        </w:tc>
        <w:tc>
          <w:tcPr>
            <w:tcW w:w="975" w:type="dxa"/>
            <w:tcBorders>
              <w:top w:val="nil"/>
              <w:left w:val="nil"/>
              <w:bottom w:val="nil"/>
              <w:right w:val="nil"/>
              <w:tl2br w:val="nil"/>
              <w:tr2bl w:val="nil"/>
            </w:tcBorders>
            <w:shd w:val="clear" w:color="auto" w:fill="FFFFFF"/>
            <w:tcMar>
              <w:left w:w="115" w:type="dxa"/>
              <w:right w:w="115" w:type="dxa"/>
            </w:tcMar>
            <w:vAlign w:val="bottom"/>
          </w:tcPr>
          <w:p w14:paraId="3874FADD" w14:textId="77777777" w:rsidR="00724034" w:rsidRDefault="00FB7D0B">
            <w:pPr>
              <w:jc w:val="right"/>
              <w:rPr>
                <w:rFonts w:ascii="Arial" w:eastAsia="Arial" w:hAnsi="Arial" w:cs="Arial"/>
                <w:color w:val="000000"/>
                <w:sz w:val="16"/>
              </w:rPr>
            </w:pPr>
            <w:r>
              <w:rPr>
                <w:rFonts w:ascii="Arial" w:eastAsia="Arial" w:hAnsi="Arial" w:cs="Arial"/>
                <w:color w:val="000000"/>
                <w:sz w:val="16"/>
              </w:rPr>
              <w:t xml:space="preserve"> 810 </w:t>
            </w:r>
          </w:p>
        </w:tc>
        <w:tc>
          <w:tcPr>
            <w:tcW w:w="975" w:type="dxa"/>
            <w:tcBorders>
              <w:top w:val="nil"/>
              <w:left w:val="nil"/>
              <w:bottom w:val="nil"/>
              <w:right w:val="single" w:sz="6" w:space="0" w:color="000000"/>
              <w:tl2br w:val="nil"/>
              <w:tr2bl w:val="nil"/>
            </w:tcBorders>
            <w:shd w:val="clear" w:color="auto" w:fill="FFFFFF"/>
            <w:tcMar>
              <w:left w:w="115" w:type="dxa"/>
              <w:right w:w="115" w:type="dxa"/>
            </w:tcMar>
            <w:vAlign w:val="bottom"/>
          </w:tcPr>
          <w:p w14:paraId="7AC8BC09" w14:textId="77777777" w:rsidR="00724034" w:rsidRDefault="00FB7D0B">
            <w:pPr>
              <w:jc w:val="right"/>
              <w:rPr>
                <w:rFonts w:ascii="Arial" w:eastAsia="Arial" w:hAnsi="Arial" w:cs="Arial"/>
                <w:color w:val="000000"/>
                <w:sz w:val="16"/>
              </w:rPr>
            </w:pPr>
            <w:r>
              <w:rPr>
                <w:rFonts w:ascii="Arial" w:eastAsia="Arial" w:hAnsi="Arial" w:cs="Arial"/>
                <w:color w:val="000000"/>
                <w:sz w:val="16"/>
              </w:rPr>
              <w:t xml:space="preserve"> 757 </w:t>
            </w:r>
          </w:p>
        </w:tc>
      </w:tr>
      <w:tr w:rsidR="00724034" w14:paraId="4170BE84" w14:textId="77777777">
        <w:tblPrEx>
          <w:tblLook w:val="04A0" w:firstRow="1" w:lastRow="0" w:firstColumn="1" w:lastColumn="0" w:noHBand="0" w:noVBand="1"/>
        </w:tblPrEx>
        <w:trPr>
          <w:trHeight w:val="450"/>
        </w:trPr>
        <w:tc>
          <w:tcPr>
            <w:tcW w:w="3210" w:type="dxa"/>
            <w:tcBorders>
              <w:top w:val="nil"/>
              <w:left w:val="single" w:sz="6" w:space="0" w:color="000000"/>
              <w:bottom w:val="single" w:sz="6" w:space="0" w:color="000000"/>
              <w:right w:val="nil"/>
              <w:tl2br w:val="nil"/>
              <w:tr2bl w:val="nil"/>
            </w:tcBorders>
            <w:shd w:val="clear" w:color="auto" w:fill="FFFFFF"/>
            <w:tcMar>
              <w:left w:w="115" w:type="dxa"/>
              <w:right w:w="115" w:type="dxa"/>
            </w:tcMar>
            <w:vAlign w:val="bottom"/>
          </w:tcPr>
          <w:p w14:paraId="6CDF1CB4" w14:textId="77777777" w:rsidR="00724034" w:rsidRDefault="00FB7D0B">
            <w:pPr>
              <w:rPr>
                <w:rFonts w:ascii="Arial" w:eastAsia="Arial" w:hAnsi="Arial" w:cs="Arial"/>
                <w:color w:val="000000"/>
                <w:sz w:val="16"/>
              </w:rPr>
            </w:pPr>
            <w:r>
              <w:rPr>
                <w:rFonts w:ascii="Arial" w:eastAsia="Arial" w:hAnsi="Arial" w:cs="Arial"/>
                <w:i/>
                <w:color w:val="000000"/>
                <w:sz w:val="16"/>
              </w:rPr>
              <w:t>Quantity:</w:t>
            </w:r>
            <w:r>
              <w:rPr>
                <w:rFonts w:ascii="Arial" w:eastAsia="Arial" w:hAnsi="Arial" w:cs="Arial"/>
                <w:color w:val="000000"/>
                <w:sz w:val="16"/>
              </w:rPr>
              <w:t xml:space="preserve"> Number of tertiary students receiving assistance</w:t>
            </w:r>
          </w:p>
        </w:tc>
        <w:tc>
          <w:tcPr>
            <w:tcW w:w="975"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465D07D9" w14:textId="77777777" w:rsidR="00724034" w:rsidRDefault="00FB7D0B">
            <w:pPr>
              <w:jc w:val="right"/>
              <w:rPr>
                <w:rFonts w:ascii="Arial" w:eastAsia="Arial" w:hAnsi="Arial" w:cs="Arial"/>
                <w:i/>
                <w:color w:val="000000"/>
                <w:sz w:val="16"/>
                <w:vertAlign w:val="superscript"/>
              </w:rPr>
            </w:pPr>
            <w:r>
              <w:rPr>
                <w:rFonts w:ascii="Arial" w:eastAsia="Arial" w:hAnsi="Arial" w:cs="Arial"/>
                <w:color w:val="000000"/>
                <w:sz w:val="16"/>
              </w:rPr>
              <w:t xml:space="preserve"> 961 </w:t>
            </w:r>
          </w:p>
        </w:tc>
        <w:tc>
          <w:tcPr>
            <w:tcW w:w="975" w:type="dxa"/>
            <w:tcBorders>
              <w:top w:val="nil"/>
              <w:left w:val="nil"/>
              <w:bottom w:val="single" w:sz="6" w:space="0" w:color="000000"/>
              <w:right w:val="nil"/>
              <w:tl2br w:val="nil"/>
              <w:tr2bl w:val="nil"/>
            </w:tcBorders>
            <w:shd w:val="clear" w:color="auto" w:fill="FFFF00"/>
            <w:tcMar>
              <w:left w:w="115" w:type="dxa"/>
              <w:right w:w="115" w:type="dxa"/>
            </w:tcMar>
            <w:vAlign w:val="bottom"/>
          </w:tcPr>
          <w:p w14:paraId="7A02F44F" w14:textId="77777777" w:rsidR="00724034" w:rsidRDefault="00FB7D0B">
            <w:pPr>
              <w:jc w:val="right"/>
              <w:rPr>
                <w:rFonts w:ascii="Arial" w:eastAsia="Arial" w:hAnsi="Arial" w:cs="Arial"/>
                <w:color w:val="000000"/>
                <w:sz w:val="16"/>
              </w:rPr>
            </w:pPr>
            <w:r>
              <w:rPr>
                <w:rFonts w:ascii="Arial" w:eastAsia="Arial" w:hAnsi="Arial" w:cs="Arial"/>
                <w:color w:val="000000"/>
                <w:sz w:val="16"/>
              </w:rPr>
              <w:t xml:space="preserve"> 898 </w:t>
            </w:r>
          </w:p>
        </w:tc>
        <w:tc>
          <w:tcPr>
            <w:tcW w:w="975"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5E636ACA" w14:textId="77777777" w:rsidR="00724034" w:rsidRDefault="00FB7D0B">
            <w:pPr>
              <w:jc w:val="right"/>
              <w:rPr>
                <w:rFonts w:ascii="Arial" w:eastAsia="Arial" w:hAnsi="Arial" w:cs="Arial"/>
                <w:color w:val="000000"/>
                <w:sz w:val="16"/>
              </w:rPr>
            </w:pPr>
            <w:r>
              <w:rPr>
                <w:rFonts w:ascii="Arial" w:eastAsia="Arial" w:hAnsi="Arial" w:cs="Arial"/>
                <w:color w:val="000000"/>
                <w:sz w:val="16"/>
              </w:rPr>
              <w:t xml:space="preserve"> 840 </w:t>
            </w:r>
          </w:p>
        </w:tc>
        <w:tc>
          <w:tcPr>
            <w:tcW w:w="975"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2704BD66" w14:textId="77777777" w:rsidR="00724034" w:rsidRDefault="00FB7D0B">
            <w:pPr>
              <w:jc w:val="right"/>
              <w:rPr>
                <w:rFonts w:ascii="Arial" w:eastAsia="Arial" w:hAnsi="Arial" w:cs="Arial"/>
                <w:color w:val="000000"/>
                <w:sz w:val="16"/>
              </w:rPr>
            </w:pPr>
            <w:r>
              <w:rPr>
                <w:rFonts w:ascii="Arial" w:eastAsia="Arial" w:hAnsi="Arial" w:cs="Arial"/>
                <w:color w:val="000000"/>
                <w:sz w:val="16"/>
              </w:rPr>
              <w:t xml:space="preserve"> 785 </w:t>
            </w:r>
          </w:p>
        </w:tc>
        <w:tc>
          <w:tcPr>
            <w:tcW w:w="975" w:type="dxa"/>
            <w:tcBorders>
              <w:top w:val="nil"/>
              <w:left w:val="nil"/>
              <w:bottom w:val="single" w:sz="6" w:space="0" w:color="000000"/>
              <w:right w:val="single" w:sz="6" w:space="0" w:color="000000"/>
              <w:tl2br w:val="nil"/>
              <w:tr2bl w:val="nil"/>
            </w:tcBorders>
            <w:shd w:val="clear" w:color="auto" w:fill="FFFFFF"/>
            <w:tcMar>
              <w:left w:w="115" w:type="dxa"/>
              <w:right w:w="115" w:type="dxa"/>
            </w:tcMar>
            <w:vAlign w:val="bottom"/>
          </w:tcPr>
          <w:p w14:paraId="7BE2A8C0" w14:textId="77777777" w:rsidR="00724034" w:rsidRDefault="00FB7D0B">
            <w:pPr>
              <w:jc w:val="right"/>
              <w:rPr>
                <w:rFonts w:ascii="Arial" w:eastAsia="Arial" w:hAnsi="Arial" w:cs="Arial"/>
                <w:color w:val="000000"/>
                <w:sz w:val="16"/>
              </w:rPr>
            </w:pPr>
            <w:r>
              <w:rPr>
                <w:rFonts w:ascii="Arial" w:eastAsia="Arial" w:hAnsi="Arial" w:cs="Arial"/>
                <w:color w:val="000000"/>
                <w:sz w:val="16"/>
              </w:rPr>
              <w:t xml:space="preserve"> 734 </w:t>
            </w:r>
          </w:p>
        </w:tc>
      </w:tr>
      <w:tr w:rsidR="00724034" w14:paraId="2A36F86B" w14:textId="77777777">
        <w:tblPrEx>
          <w:tblLook w:val="04A0" w:firstRow="1" w:lastRow="0" w:firstColumn="1" w:lastColumn="0" w:noHBand="0" w:noVBand="1"/>
        </w:tblPrEx>
        <w:trPr>
          <w:trHeight w:val="60"/>
        </w:trPr>
        <w:tc>
          <w:tcPr>
            <w:tcW w:w="3210"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1D49B608" w14:textId="77777777" w:rsidR="00724034" w:rsidRDefault="00724034">
            <w:pPr>
              <w:rPr>
                <w:rFonts w:ascii="Arial" w:eastAsia="Arial" w:hAnsi="Arial" w:cs="Arial"/>
                <w:color w:val="000000"/>
                <w:sz w:val="16"/>
              </w:rPr>
            </w:pPr>
          </w:p>
        </w:tc>
        <w:tc>
          <w:tcPr>
            <w:tcW w:w="975"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2FD90FD9" w14:textId="77777777" w:rsidR="00724034" w:rsidRDefault="00724034">
            <w:pPr>
              <w:rPr>
                <w:rFonts w:ascii="Arial" w:eastAsia="Arial" w:hAnsi="Arial" w:cs="Arial"/>
                <w:b/>
                <w:color w:val="000000"/>
                <w:sz w:val="16"/>
                <w:vertAlign w:val="superscript"/>
              </w:rPr>
            </w:pPr>
          </w:p>
        </w:tc>
        <w:tc>
          <w:tcPr>
            <w:tcW w:w="975"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3541C17D" w14:textId="77777777" w:rsidR="00724034" w:rsidRDefault="00724034">
            <w:pPr>
              <w:rPr>
                <w:rFonts w:ascii="Arial" w:eastAsia="Arial" w:hAnsi="Arial" w:cs="Arial"/>
                <w:b/>
                <w:color w:val="000000"/>
                <w:sz w:val="16"/>
                <w:vertAlign w:val="superscript"/>
              </w:rPr>
            </w:pPr>
          </w:p>
        </w:tc>
        <w:tc>
          <w:tcPr>
            <w:tcW w:w="975"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36A8A117" w14:textId="77777777" w:rsidR="00724034" w:rsidRDefault="00724034">
            <w:pPr>
              <w:rPr>
                <w:rFonts w:ascii="Arial" w:eastAsia="Arial" w:hAnsi="Arial" w:cs="Arial"/>
                <w:b/>
                <w:color w:val="000000"/>
                <w:sz w:val="16"/>
                <w:vertAlign w:val="superscript"/>
              </w:rPr>
            </w:pPr>
          </w:p>
        </w:tc>
        <w:tc>
          <w:tcPr>
            <w:tcW w:w="975"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7E38D089" w14:textId="77777777" w:rsidR="00724034" w:rsidRDefault="00724034">
            <w:pPr>
              <w:rPr>
                <w:rFonts w:ascii="Arial" w:eastAsia="Arial" w:hAnsi="Arial" w:cs="Arial"/>
                <w:b/>
                <w:color w:val="000000"/>
                <w:sz w:val="16"/>
                <w:vertAlign w:val="superscript"/>
              </w:rPr>
            </w:pPr>
          </w:p>
        </w:tc>
        <w:tc>
          <w:tcPr>
            <w:tcW w:w="975"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64A50829" w14:textId="77777777" w:rsidR="00724034" w:rsidRDefault="00724034">
            <w:pPr>
              <w:rPr>
                <w:rFonts w:ascii="Arial" w:eastAsia="Arial" w:hAnsi="Arial" w:cs="Arial"/>
                <w:b/>
                <w:color w:val="000000"/>
                <w:sz w:val="16"/>
                <w:vertAlign w:val="superscript"/>
              </w:rPr>
            </w:pPr>
          </w:p>
        </w:tc>
      </w:tr>
      <w:tr w:rsidR="00724034" w14:paraId="14D08D21" w14:textId="77777777" w:rsidTr="003F0EEA">
        <w:tc>
          <w:tcPr>
            <w:tcW w:w="8080" w:type="dxa"/>
            <w:gridSpan w:val="6"/>
            <w:tcBorders>
              <w:top w:val="single" w:sz="4" w:space="0" w:color="auto"/>
              <w:left w:val="single" w:sz="4" w:space="0" w:color="auto"/>
              <w:bottom w:val="single" w:sz="4" w:space="0" w:color="auto"/>
              <w:right w:val="single" w:sz="4" w:space="0" w:color="auto"/>
            </w:tcBorders>
          </w:tcPr>
          <w:p w14:paraId="19E4ED73" w14:textId="77777777" w:rsidR="003F0EEA" w:rsidRDefault="00FB7D0B" w:rsidP="003F0EEA">
            <w:pPr>
              <w:pStyle w:val="TableTextLeft14"/>
              <w:keepNext/>
              <w:rPr>
                <w:b/>
              </w:rPr>
            </w:pPr>
            <w:r>
              <w:rPr>
                <w:b/>
              </w:rPr>
              <w:t>Programme 1.5 key performance indicators</w:t>
            </w:r>
          </w:p>
          <w:p w14:paraId="7E7620AD" w14:textId="77777777" w:rsidR="003F0EEA" w:rsidRDefault="00FB7D0B" w:rsidP="003F0EEA">
            <w:pPr>
              <w:pStyle w:val="TableTextLeft14"/>
            </w:pPr>
            <w:r>
              <w:t>The following KPI measures the impact of the Programme:</w:t>
            </w:r>
          </w:p>
        </w:tc>
      </w:tr>
      <w:tr w:rsidR="00724034" w14:paraId="51254F44" w14:textId="77777777">
        <w:tblPrEx>
          <w:tblLook w:val="04A0" w:firstRow="1" w:lastRow="0" w:firstColumn="1" w:lastColumn="0" w:noHBand="0" w:noVBand="1"/>
        </w:tblPrEx>
        <w:trPr>
          <w:trHeight w:val="225"/>
        </w:trPr>
        <w:tc>
          <w:tcPr>
            <w:tcW w:w="3210" w:type="dxa"/>
            <w:tcBorders>
              <w:top w:val="single" w:sz="6" w:space="0" w:color="000000"/>
              <w:left w:val="single" w:sz="6" w:space="0" w:color="000000"/>
              <w:bottom w:val="nil"/>
              <w:right w:val="nil"/>
              <w:tl2br w:val="nil"/>
              <w:tr2bl w:val="nil"/>
            </w:tcBorders>
            <w:shd w:val="clear" w:color="auto" w:fill="FFFFFF"/>
            <w:tcMar>
              <w:left w:w="115" w:type="dxa"/>
              <w:right w:w="115" w:type="dxa"/>
            </w:tcMar>
            <w:vAlign w:val="bottom"/>
          </w:tcPr>
          <w:p w14:paraId="1FC2DD44" w14:textId="77777777" w:rsidR="00724034" w:rsidRDefault="00724034">
            <w:pPr>
              <w:jc w:val="center"/>
            </w:pPr>
          </w:p>
        </w:tc>
        <w:tc>
          <w:tcPr>
            <w:tcW w:w="975"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11AF4EFA" w14:textId="77777777" w:rsidR="00724034" w:rsidRDefault="00FB7D0B">
            <w:pPr>
              <w:jc w:val="right"/>
              <w:rPr>
                <w:rFonts w:ascii="Arial" w:eastAsia="Arial" w:hAnsi="Arial" w:cs="Arial"/>
                <w:b/>
                <w:color w:val="000000"/>
                <w:sz w:val="16"/>
              </w:rPr>
            </w:pPr>
            <w:r>
              <w:rPr>
                <w:rFonts w:ascii="Arial" w:eastAsia="Arial" w:hAnsi="Arial" w:cs="Arial"/>
                <w:color w:val="000000"/>
                <w:sz w:val="16"/>
              </w:rPr>
              <w:t>2013-14</w:t>
            </w:r>
          </w:p>
        </w:tc>
        <w:tc>
          <w:tcPr>
            <w:tcW w:w="975" w:type="dxa"/>
            <w:tcBorders>
              <w:top w:val="single" w:sz="6" w:space="0" w:color="000000"/>
              <w:left w:val="nil"/>
              <w:bottom w:val="nil"/>
              <w:right w:val="nil"/>
              <w:tl2br w:val="nil"/>
              <w:tr2bl w:val="nil"/>
            </w:tcBorders>
            <w:shd w:val="clear" w:color="auto" w:fill="FFFF00"/>
            <w:tcMar>
              <w:left w:w="115" w:type="dxa"/>
              <w:right w:w="115" w:type="dxa"/>
            </w:tcMar>
            <w:vAlign w:val="bottom"/>
          </w:tcPr>
          <w:p w14:paraId="0D75750F" w14:textId="77777777" w:rsidR="00724034" w:rsidRDefault="00FB7D0B">
            <w:pPr>
              <w:jc w:val="right"/>
              <w:rPr>
                <w:rFonts w:ascii="Arial" w:eastAsia="Arial" w:hAnsi="Arial" w:cs="Arial"/>
                <w:color w:val="000000"/>
                <w:sz w:val="16"/>
              </w:rPr>
            </w:pPr>
            <w:r>
              <w:rPr>
                <w:rFonts w:ascii="Arial" w:eastAsia="Arial" w:hAnsi="Arial" w:cs="Arial"/>
                <w:color w:val="000000"/>
                <w:sz w:val="16"/>
              </w:rPr>
              <w:t>2014-15</w:t>
            </w:r>
          </w:p>
        </w:tc>
        <w:tc>
          <w:tcPr>
            <w:tcW w:w="975"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6E1888AD" w14:textId="77777777" w:rsidR="00724034" w:rsidRDefault="00FB7D0B">
            <w:pPr>
              <w:jc w:val="right"/>
              <w:rPr>
                <w:rFonts w:ascii="Arial" w:eastAsia="Arial" w:hAnsi="Arial" w:cs="Arial"/>
                <w:color w:val="000000"/>
                <w:sz w:val="16"/>
              </w:rPr>
            </w:pPr>
            <w:r>
              <w:rPr>
                <w:rFonts w:ascii="Arial" w:eastAsia="Arial" w:hAnsi="Arial" w:cs="Arial"/>
                <w:color w:val="000000"/>
                <w:sz w:val="16"/>
              </w:rPr>
              <w:t>2015-16</w:t>
            </w:r>
          </w:p>
        </w:tc>
        <w:tc>
          <w:tcPr>
            <w:tcW w:w="975"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3E4058F2" w14:textId="77777777" w:rsidR="00724034" w:rsidRDefault="00FB7D0B">
            <w:pPr>
              <w:jc w:val="right"/>
              <w:rPr>
                <w:rFonts w:ascii="Arial" w:eastAsia="Arial" w:hAnsi="Arial" w:cs="Arial"/>
                <w:color w:val="000000"/>
                <w:sz w:val="16"/>
              </w:rPr>
            </w:pPr>
            <w:r>
              <w:rPr>
                <w:rFonts w:ascii="Arial" w:eastAsia="Arial" w:hAnsi="Arial" w:cs="Arial"/>
                <w:color w:val="000000"/>
                <w:sz w:val="16"/>
              </w:rPr>
              <w:t>2016-17</w:t>
            </w:r>
          </w:p>
        </w:tc>
        <w:tc>
          <w:tcPr>
            <w:tcW w:w="975" w:type="dxa"/>
            <w:tcBorders>
              <w:top w:val="single" w:sz="6" w:space="0" w:color="000000"/>
              <w:left w:val="nil"/>
              <w:bottom w:val="nil"/>
              <w:right w:val="single" w:sz="6" w:space="0" w:color="000000"/>
              <w:tl2br w:val="nil"/>
              <w:tr2bl w:val="nil"/>
            </w:tcBorders>
            <w:shd w:val="clear" w:color="auto" w:fill="FFFFFF"/>
            <w:tcMar>
              <w:left w:w="115" w:type="dxa"/>
              <w:right w:w="115" w:type="dxa"/>
            </w:tcMar>
            <w:vAlign w:val="bottom"/>
          </w:tcPr>
          <w:p w14:paraId="45A11EBF" w14:textId="77777777" w:rsidR="00724034" w:rsidRDefault="00FB7D0B">
            <w:pPr>
              <w:jc w:val="right"/>
              <w:rPr>
                <w:rFonts w:ascii="Arial" w:eastAsia="Arial" w:hAnsi="Arial" w:cs="Arial"/>
                <w:color w:val="000000"/>
                <w:sz w:val="16"/>
              </w:rPr>
            </w:pPr>
            <w:r>
              <w:rPr>
                <w:rFonts w:ascii="Arial" w:eastAsia="Arial" w:hAnsi="Arial" w:cs="Arial"/>
                <w:color w:val="000000"/>
                <w:sz w:val="16"/>
              </w:rPr>
              <w:t>2017-18</w:t>
            </w:r>
          </w:p>
        </w:tc>
      </w:tr>
      <w:tr w:rsidR="00724034" w14:paraId="7D59028A" w14:textId="77777777">
        <w:tblPrEx>
          <w:tblLook w:val="04A0" w:firstRow="1" w:lastRow="0" w:firstColumn="1" w:lastColumn="0" w:noHBand="0" w:noVBand="1"/>
        </w:tblPrEx>
        <w:trPr>
          <w:trHeight w:val="225"/>
        </w:trPr>
        <w:tc>
          <w:tcPr>
            <w:tcW w:w="3210" w:type="dxa"/>
            <w:tcBorders>
              <w:top w:val="nil"/>
              <w:left w:val="single" w:sz="6" w:space="0" w:color="000000"/>
              <w:bottom w:val="nil"/>
              <w:right w:val="nil"/>
              <w:tl2br w:val="nil"/>
              <w:tr2bl w:val="nil"/>
            </w:tcBorders>
            <w:shd w:val="clear" w:color="auto" w:fill="FFFFFF"/>
            <w:tcMar>
              <w:left w:w="115" w:type="dxa"/>
              <w:right w:w="115" w:type="dxa"/>
            </w:tcMar>
            <w:vAlign w:val="bottom"/>
          </w:tcPr>
          <w:p w14:paraId="1F5EC14A" w14:textId="77777777" w:rsidR="00724034" w:rsidRDefault="00FB7D0B">
            <w:pPr>
              <w:rPr>
                <w:rFonts w:ascii="Arial" w:eastAsia="Arial" w:hAnsi="Arial" w:cs="Arial"/>
                <w:color w:val="000000"/>
                <w:sz w:val="16"/>
              </w:rPr>
            </w:pPr>
            <w:r>
              <w:rPr>
                <w:rFonts w:ascii="Arial" w:eastAsia="Arial" w:hAnsi="Arial" w:cs="Arial"/>
                <w:color w:val="000000"/>
                <w:sz w:val="16"/>
              </w:rPr>
              <w:t>Key Performance</w:t>
            </w:r>
          </w:p>
        </w:tc>
        <w:tc>
          <w:tcPr>
            <w:tcW w:w="975" w:type="dxa"/>
            <w:tcBorders>
              <w:top w:val="nil"/>
              <w:left w:val="nil"/>
              <w:bottom w:val="nil"/>
              <w:right w:val="nil"/>
              <w:tl2br w:val="nil"/>
              <w:tr2bl w:val="nil"/>
            </w:tcBorders>
            <w:shd w:val="clear" w:color="auto" w:fill="FFFFFF"/>
            <w:tcMar>
              <w:left w:w="115" w:type="dxa"/>
              <w:right w:w="115" w:type="dxa"/>
            </w:tcMar>
            <w:vAlign w:val="bottom"/>
          </w:tcPr>
          <w:p w14:paraId="112A08B4" w14:textId="77777777" w:rsidR="00724034" w:rsidRDefault="00FB7D0B">
            <w:pPr>
              <w:jc w:val="right"/>
              <w:rPr>
                <w:rFonts w:ascii="Arial" w:eastAsia="Arial" w:hAnsi="Arial" w:cs="Arial"/>
                <w:color w:val="000000"/>
                <w:sz w:val="16"/>
              </w:rPr>
            </w:pPr>
            <w:r>
              <w:rPr>
                <w:rFonts w:ascii="Arial" w:eastAsia="Arial" w:hAnsi="Arial" w:cs="Arial"/>
                <w:color w:val="000000"/>
                <w:sz w:val="16"/>
              </w:rPr>
              <w:t>Revised</w:t>
            </w:r>
          </w:p>
        </w:tc>
        <w:tc>
          <w:tcPr>
            <w:tcW w:w="975" w:type="dxa"/>
            <w:tcBorders>
              <w:top w:val="nil"/>
              <w:left w:val="nil"/>
              <w:bottom w:val="nil"/>
              <w:right w:val="nil"/>
              <w:tl2br w:val="nil"/>
              <w:tr2bl w:val="nil"/>
            </w:tcBorders>
            <w:shd w:val="clear" w:color="auto" w:fill="FFFF00"/>
            <w:tcMar>
              <w:left w:w="115" w:type="dxa"/>
              <w:right w:w="115" w:type="dxa"/>
            </w:tcMar>
            <w:vAlign w:val="bottom"/>
          </w:tcPr>
          <w:p w14:paraId="149CAC8C" w14:textId="77777777" w:rsidR="00724034" w:rsidRDefault="00FB7D0B">
            <w:pPr>
              <w:jc w:val="right"/>
              <w:rPr>
                <w:rFonts w:ascii="Arial" w:eastAsia="Arial" w:hAnsi="Arial" w:cs="Arial"/>
                <w:color w:val="000000"/>
                <w:sz w:val="16"/>
              </w:rPr>
            </w:pPr>
            <w:r>
              <w:rPr>
                <w:rFonts w:ascii="Arial" w:eastAsia="Arial" w:hAnsi="Arial" w:cs="Arial"/>
                <w:color w:val="000000"/>
                <w:sz w:val="16"/>
              </w:rPr>
              <w:t>Budget</w:t>
            </w:r>
          </w:p>
        </w:tc>
        <w:tc>
          <w:tcPr>
            <w:tcW w:w="975" w:type="dxa"/>
            <w:tcBorders>
              <w:top w:val="nil"/>
              <w:left w:val="nil"/>
              <w:bottom w:val="nil"/>
              <w:right w:val="nil"/>
              <w:tl2br w:val="nil"/>
              <w:tr2bl w:val="nil"/>
            </w:tcBorders>
            <w:shd w:val="clear" w:color="auto" w:fill="FFFFFF"/>
            <w:tcMar>
              <w:left w:w="115" w:type="dxa"/>
              <w:right w:w="115" w:type="dxa"/>
            </w:tcMar>
            <w:vAlign w:val="bottom"/>
          </w:tcPr>
          <w:p w14:paraId="59943174" w14:textId="77777777" w:rsidR="00724034" w:rsidRDefault="00FB7D0B">
            <w:pPr>
              <w:jc w:val="right"/>
              <w:rPr>
                <w:rFonts w:ascii="Arial" w:eastAsia="Arial" w:hAnsi="Arial" w:cs="Arial"/>
                <w:color w:val="000000"/>
                <w:sz w:val="16"/>
              </w:rPr>
            </w:pPr>
            <w:r>
              <w:rPr>
                <w:rFonts w:ascii="Arial" w:eastAsia="Arial" w:hAnsi="Arial" w:cs="Arial"/>
                <w:color w:val="000000"/>
                <w:sz w:val="16"/>
              </w:rPr>
              <w:t>Forward</w:t>
            </w:r>
          </w:p>
        </w:tc>
        <w:tc>
          <w:tcPr>
            <w:tcW w:w="975" w:type="dxa"/>
            <w:tcBorders>
              <w:top w:val="nil"/>
              <w:left w:val="nil"/>
              <w:bottom w:val="nil"/>
              <w:right w:val="nil"/>
              <w:tl2br w:val="nil"/>
              <w:tr2bl w:val="nil"/>
            </w:tcBorders>
            <w:shd w:val="clear" w:color="auto" w:fill="FFFFFF"/>
            <w:tcMar>
              <w:left w:w="115" w:type="dxa"/>
              <w:right w:w="115" w:type="dxa"/>
            </w:tcMar>
            <w:vAlign w:val="bottom"/>
          </w:tcPr>
          <w:p w14:paraId="253A0AA1" w14:textId="77777777" w:rsidR="00724034" w:rsidRDefault="00FB7D0B">
            <w:pPr>
              <w:jc w:val="right"/>
              <w:rPr>
                <w:rFonts w:ascii="Arial" w:eastAsia="Arial" w:hAnsi="Arial" w:cs="Arial"/>
                <w:color w:val="000000"/>
                <w:sz w:val="16"/>
              </w:rPr>
            </w:pPr>
            <w:r>
              <w:rPr>
                <w:rFonts w:ascii="Arial" w:eastAsia="Arial" w:hAnsi="Arial" w:cs="Arial"/>
                <w:color w:val="000000"/>
                <w:sz w:val="16"/>
              </w:rPr>
              <w:t>Forward</w:t>
            </w:r>
          </w:p>
        </w:tc>
        <w:tc>
          <w:tcPr>
            <w:tcW w:w="975" w:type="dxa"/>
            <w:tcBorders>
              <w:top w:val="nil"/>
              <w:left w:val="nil"/>
              <w:bottom w:val="nil"/>
              <w:right w:val="single" w:sz="6" w:space="0" w:color="000000"/>
              <w:tl2br w:val="nil"/>
              <w:tr2bl w:val="nil"/>
            </w:tcBorders>
            <w:shd w:val="clear" w:color="auto" w:fill="FFFFFF"/>
            <w:tcMar>
              <w:left w:w="115" w:type="dxa"/>
              <w:right w:w="115" w:type="dxa"/>
            </w:tcMar>
            <w:vAlign w:val="bottom"/>
          </w:tcPr>
          <w:p w14:paraId="3EB69403" w14:textId="77777777" w:rsidR="00724034" w:rsidRDefault="00FB7D0B">
            <w:pPr>
              <w:jc w:val="right"/>
              <w:rPr>
                <w:rFonts w:ascii="Arial" w:eastAsia="Arial" w:hAnsi="Arial" w:cs="Arial"/>
                <w:color w:val="000000"/>
                <w:sz w:val="16"/>
              </w:rPr>
            </w:pPr>
            <w:r>
              <w:rPr>
                <w:rFonts w:ascii="Arial" w:eastAsia="Arial" w:hAnsi="Arial" w:cs="Arial"/>
                <w:color w:val="000000"/>
                <w:sz w:val="16"/>
              </w:rPr>
              <w:t>Forward</w:t>
            </w:r>
          </w:p>
        </w:tc>
      </w:tr>
      <w:tr w:rsidR="00724034" w14:paraId="7A3C13C4" w14:textId="77777777">
        <w:tblPrEx>
          <w:tblLook w:val="04A0" w:firstRow="1" w:lastRow="0" w:firstColumn="1" w:lastColumn="0" w:noHBand="0" w:noVBand="1"/>
        </w:tblPrEx>
        <w:trPr>
          <w:trHeight w:val="225"/>
        </w:trPr>
        <w:tc>
          <w:tcPr>
            <w:tcW w:w="3210" w:type="dxa"/>
            <w:tcBorders>
              <w:top w:val="nil"/>
              <w:left w:val="single" w:sz="6" w:space="0" w:color="000000"/>
              <w:bottom w:val="single" w:sz="6" w:space="0" w:color="000000"/>
              <w:right w:val="nil"/>
              <w:tl2br w:val="nil"/>
              <w:tr2bl w:val="nil"/>
            </w:tcBorders>
            <w:shd w:val="clear" w:color="auto" w:fill="FFFFFF"/>
            <w:tcMar>
              <w:left w:w="115" w:type="dxa"/>
              <w:right w:w="115" w:type="dxa"/>
            </w:tcMar>
            <w:vAlign w:val="bottom"/>
          </w:tcPr>
          <w:p w14:paraId="5AC364F6" w14:textId="77777777" w:rsidR="00724034" w:rsidRDefault="00FB7D0B">
            <w:pPr>
              <w:rPr>
                <w:rFonts w:ascii="Arial" w:eastAsia="Arial" w:hAnsi="Arial" w:cs="Arial"/>
                <w:color w:val="000000"/>
                <w:sz w:val="16"/>
              </w:rPr>
            </w:pPr>
            <w:r>
              <w:rPr>
                <w:rFonts w:ascii="Arial" w:eastAsia="Arial" w:hAnsi="Arial" w:cs="Arial"/>
                <w:color w:val="000000"/>
                <w:sz w:val="16"/>
              </w:rPr>
              <w:t>Indicators</w:t>
            </w:r>
          </w:p>
        </w:tc>
        <w:tc>
          <w:tcPr>
            <w:tcW w:w="975"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150522E3" w14:textId="77777777" w:rsidR="00724034" w:rsidRDefault="00FB7D0B">
            <w:pPr>
              <w:jc w:val="right"/>
              <w:rPr>
                <w:rFonts w:ascii="Arial" w:eastAsia="Arial" w:hAnsi="Arial" w:cs="Arial"/>
                <w:color w:val="000000"/>
                <w:sz w:val="16"/>
              </w:rPr>
            </w:pPr>
            <w:r>
              <w:rPr>
                <w:rFonts w:ascii="Arial" w:eastAsia="Arial" w:hAnsi="Arial" w:cs="Arial"/>
                <w:color w:val="000000"/>
                <w:sz w:val="16"/>
              </w:rPr>
              <w:t>budget</w:t>
            </w:r>
          </w:p>
        </w:tc>
        <w:tc>
          <w:tcPr>
            <w:tcW w:w="975" w:type="dxa"/>
            <w:tcBorders>
              <w:top w:val="nil"/>
              <w:left w:val="nil"/>
              <w:bottom w:val="single" w:sz="6" w:space="0" w:color="000000"/>
              <w:right w:val="nil"/>
              <w:tl2br w:val="nil"/>
              <w:tr2bl w:val="nil"/>
            </w:tcBorders>
            <w:shd w:val="clear" w:color="auto" w:fill="FFFF00"/>
            <w:tcMar>
              <w:left w:w="115" w:type="dxa"/>
              <w:right w:w="115" w:type="dxa"/>
            </w:tcMar>
            <w:vAlign w:val="bottom"/>
          </w:tcPr>
          <w:p w14:paraId="01181910" w14:textId="77777777" w:rsidR="00724034" w:rsidRDefault="00FB7D0B">
            <w:pPr>
              <w:jc w:val="right"/>
              <w:rPr>
                <w:rFonts w:ascii="Arial" w:eastAsia="Arial" w:hAnsi="Arial" w:cs="Arial"/>
                <w:color w:val="000000"/>
                <w:sz w:val="16"/>
              </w:rPr>
            </w:pPr>
            <w:r>
              <w:rPr>
                <w:rFonts w:ascii="Arial" w:eastAsia="Arial" w:hAnsi="Arial" w:cs="Arial"/>
                <w:color w:val="000000"/>
                <w:sz w:val="16"/>
              </w:rPr>
              <w:t>target</w:t>
            </w:r>
          </w:p>
        </w:tc>
        <w:tc>
          <w:tcPr>
            <w:tcW w:w="975"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14862FF1" w14:textId="77777777" w:rsidR="00724034" w:rsidRDefault="00FB7D0B">
            <w:pPr>
              <w:jc w:val="right"/>
              <w:rPr>
                <w:rFonts w:ascii="Arial" w:eastAsia="Arial" w:hAnsi="Arial" w:cs="Arial"/>
                <w:color w:val="000000"/>
                <w:sz w:val="16"/>
              </w:rPr>
            </w:pPr>
            <w:r>
              <w:rPr>
                <w:rFonts w:ascii="Arial" w:eastAsia="Arial" w:hAnsi="Arial" w:cs="Arial"/>
                <w:color w:val="000000"/>
                <w:sz w:val="16"/>
              </w:rPr>
              <w:t>year 1</w:t>
            </w:r>
          </w:p>
        </w:tc>
        <w:tc>
          <w:tcPr>
            <w:tcW w:w="975"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7AE9DBB5" w14:textId="77777777" w:rsidR="00724034" w:rsidRDefault="00FB7D0B">
            <w:pPr>
              <w:jc w:val="right"/>
              <w:rPr>
                <w:rFonts w:ascii="Arial" w:eastAsia="Arial" w:hAnsi="Arial" w:cs="Arial"/>
                <w:color w:val="000000"/>
                <w:sz w:val="16"/>
              </w:rPr>
            </w:pPr>
            <w:r>
              <w:rPr>
                <w:rFonts w:ascii="Arial" w:eastAsia="Arial" w:hAnsi="Arial" w:cs="Arial"/>
                <w:color w:val="000000"/>
                <w:sz w:val="16"/>
              </w:rPr>
              <w:t>year 2</w:t>
            </w:r>
          </w:p>
        </w:tc>
        <w:tc>
          <w:tcPr>
            <w:tcW w:w="975" w:type="dxa"/>
            <w:tcBorders>
              <w:top w:val="nil"/>
              <w:left w:val="nil"/>
              <w:bottom w:val="single" w:sz="6" w:space="0" w:color="000000"/>
              <w:right w:val="single" w:sz="6" w:space="0" w:color="000000"/>
              <w:tl2br w:val="nil"/>
              <w:tr2bl w:val="nil"/>
            </w:tcBorders>
            <w:shd w:val="clear" w:color="auto" w:fill="FFFFFF"/>
            <w:tcMar>
              <w:left w:w="115" w:type="dxa"/>
              <w:right w:w="115" w:type="dxa"/>
            </w:tcMar>
            <w:vAlign w:val="bottom"/>
          </w:tcPr>
          <w:p w14:paraId="789EAC11" w14:textId="77777777" w:rsidR="00724034" w:rsidRDefault="00FB7D0B">
            <w:pPr>
              <w:jc w:val="right"/>
              <w:rPr>
                <w:rFonts w:ascii="Arial" w:eastAsia="Arial" w:hAnsi="Arial" w:cs="Arial"/>
                <w:color w:val="000000"/>
                <w:sz w:val="16"/>
              </w:rPr>
            </w:pPr>
            <w:r>
              <w:rPr>
                <w:rFonts w:ascii="Arial" w:eastAsia="Arial" w:hAnsi="Arial" w:cs="Arial"/>
                <w:color w:val="000000"/>
                <w:sz w:val="16"/>
              </w:rPr>
              <w:t>year 3</w:t>
            </w:r>
          </w:p>
        </w:tc>
      </w:tr>
      <w:tr w:rsidR="00724034" w14:paraId="58EA26E2" w14:textId="77777777">
        <w:tblPrEx>
          <w:tblLook w:val="04A0" w:firstRow="1" w:lastRow="0" w:firstColumn="1" w:lastColumn="0" w:noHBand="0" w:noVBand="1"/>
        </w:tblPrEx>
        <w:trPr>
          <w:trHeight w:hRule="exact" w:val="60"/>
        </w:trPr>
        <w:tc>
          <w:tcPr>
            <w:tcW w:w="3210" w:type="dxa"/>
            <w:tcBorders>
              <w:top w:val="single" w:sz="6" w:space="0" w:color="000000"/>
              <w:left w:val="single" w:sz="6" w:space="0" w:color="000000"/>
              <w:bottom w:val="nil"/>
              <w:right w:val="nil"/>
              <w:tl2br w:val="nil"/>
              <w:tr2bl w:val="nil"/>
            </w:tcBorders>
            <w:shd w:val="clear" w:color="auto" w:fill="FFFFFF"/>
            <w:tcMar>
              <w:left w:w="115" w:type="dxa"/>
              <w:right w:w="115" w:type="dxa"/>
            </w:tcMar>
            <w:vAlign w:val="bottom"/>
          </w:tcPr>
          <w:p w14:paraId="6DCF2F53" w14:textId="77777777" w:rsidR="00724034" w:rsidRDefault="00724034">
            <w:pPr>
              <w:rPr>
                <w:rFonts w:ascii="Arial" w:eastAsia="Arial" w:hAnsi="Arial" w:cs="Arial"/>
                <w:color w:val="000000"/>
                <w:sz w:val="16"/>
              </w:rPr>
            </w:pPr>
          </w:p>
        </w:tc>
        <w:tc>
          <w:tcPr>
            <w:tcW w:w="975"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40577D5C" w14:textId="77777777" w:rsidR="00724034" w:rsidRDefault="00724034">
            <w:pPr>
              <w:jc w:val="right"/>
              <w:rPr>
                <w:rFonts w:ascii="Arial" w:eastAsia="Arial" w:hAnsi="Arial" w:cs="Arial"/>
                <w:color w:val="000000"/>
                <w:sz w:val="16"/>
              </w:rPr>
            </w:pPr>
          </w:p>
        </w:tc>
        <w:tc>
          <w:tcPr>
            <w:tcW w:w="975" w:type="dxa"/>
            <w:tcBorders>
              <w:top w:val="single" w:sz="6" w:space="0" w:color="000000"/>
              <w:left w:val="nil"/>
              <w:bottom w:val="nil"/>
              <w:right w:val="nil"/>
              <w:tl2br w:val="nil"/>
              <w:tr2bl w:val="nil"/>
            </w:tcBorders>
            <w:shd w:val="clear" w:color="auto" w:fill="FFFF00"/>
            <w:tcMar>
              <w:left w:w="115" w:type="dxa"/>
              <w:right w:w="115" w:type="dxa"/>
            </w:tcMar>
            <w:vAlign w:val="bottom"/>
          </w:tcPr>
          <w:p w14:paraId="77711626" w14:textId="77777777" w:rsidR="00724034" w:rsidRDefault="00724034">
            <w:pPr>
              <w:jc w:val="right"/>
              <w:rPr>
                <w:rFonts w:ascii="Arial" w:eastAsia="Arial" w:hAnsi="Arial" w:cs="Arial"/>
                <w:color w:val="000000"/>
                <w:sz w:val="16"/>
              </w:rPr>
            </w:pPr>
          </w:p>
        </w:tc>
        <w:tc>
          <w:tcPr>
            <w:tcW w:w="975"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486BA6F1" w14:textId="77777777" w:rsidR="00724034" w:rsidRDefault="00724034">
            <w:pPr>
              <w:jc w:val="right"/>
              <w:rPr>
                <w:rFonts w:ascii="Arial" w:eastAsia="Arial" w:hAnsi="Arial" w:cs="Arial"/>
                <w:color w:val="000000"/>
                <w:sz w:val="16"/>
              </w:rPr>
            </w:pPr>
          </w:p>
        </w:tc>
        <w:tc>
          <w:tcPr>
            <w:tcW w:w="975"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64F03E32" w14:textId="77777777" w:rsidR="00724034" w:rsidRDefault="00724034">
            <w:pPr>
              <w:jc w:val="right"/>
              <w:rPr>
                <w:rFonts w:ascii="Arial" w:eastAsia="Arial" w:hAnsi="Arial" w:cs="Arial"/>
                <w:color w:val="000000"/>
                <w:sz w:val="16"/>
              </w:rPr>
            </w:pPr>
          </w:p>
        </w:tc>
        <w:tc>
          <w:tcPr>
            <w:tcW w:w="975" w:type="dxa"/>
            <w:tcBorders>
              <w:top w:val="single" w:sz="6" w:space="0" w:color="000000"/>
              <w:left w:val="nil"/>
              <w:bottom w:val="nil"/>
              <w:right w:val="single" w:sz="6" w:space="0" w:color="000000"/>
              <w:tl2br w:val="nil"/>
              <w:tr2bl w:val="nil"/>
            </w:tcBorders>
            <w:shd w:val="clear" w:color="auto" w:fill="FFFFFF"/>
            <w:tcMar>
              <w:left w:w="115" w:type="dxa"/>
              <w:right w:w="115" w:type="dxa"/>
            </w:tcMar>
            <w:vAlign w:val="bottom"/>
          </w:tcPr>
          <w:p w14:paraId="6F8EEB6A" w14:textId="77777777" w:rsidR="00724034" w:rsidRDefault="00724034">
            <w:pPr>
              <w:jc w:val="right"/>
              <w:rPr>
                <w:rFonts w:ascii="Arial" w:eastAsia="Arial" w:hAnsi="Arial" w:cs="Arial"/>
                <w:color w:val="000000"/>
                <w:sz w:val="16"/>
              </w:rPr>
            </w:pPr>
          </w:p>
        </w:tc>
      </w:tr>
      <w:tr w:rsidR="00724034" w14:paraId="76E3F938" w14:textId="77777777">
        <w:tblPrEx>
          <w:tblLook w:val="04A0" w:firstRow="1" w:lastRow="0" w:firstColumn="1" w:lastColumn="0" w:noHBand="0" w:noVBand="1"/>
        </w:tblPrEx>
        <w:trPr>
          <w:trHeight w:val="225"/>
        </w:trPr>
        <w:tc>
          <w:tcPr>
            <w:tcW w:w="3210" w:type="dxa"/>
            <w:tcBorders>
              <w:top w:val="nil"/>
              <w:left w:val="single" w:sz="6" w:space="0" w:color="000000"/>
              <w:bottom w:val="single" w:sz="6" w:space="0" w:color="000000"/>
              <w:right w:val="nil"/>
              <w:tl2br w:val="nil"/>
              <w:tr2bl w:val="nil"/>
            </w:tcBorders>
            <w:shd w:val="clear" w:color="auto" w:fill="FFFFFF"/>
            <w:tcMar>
              <w:left w:w="115" w:type="dxa"/>
              <w:right w:w="115" w:type="dxa"/>
            </w:tcMar>
            <w:vAlign w:val="bottom"/>
          </w:tcPr>
          <w:p w14:paraId="29E2A32A" w14:textId="77777777" w:rsidR="00724034" w:rsidRDefault="00FB7D0B">
            <w:pPr>
              <w:rPr>
                <w:rFonts w:ascii="Arial" w:eastAsia="Arial" w:hAnsi="Arial" w:cs="Arial"/>
                <w:color w:val="000000"/>
                <w:sz w:val="16"/>
              </w:rPr>
            </w:pPr>
            <w:r>
              <w:rPr>
                <w:rFonts w:ascii="Arial" w:eastAsia="Arial" w:hAnsi="Arial" w:cs="Arial"/>
                <w:i/>
                <w:color w:val="000000"/>
                <w:sz w:val="16"/>
              </w:rPr>
              <w:t>Quality</w:t>
            </w:r>
            <w:r>
              <w:rPr>
                <w:rFonts w:ascii="Arial" w:eastAsia="Arial" w:hAnsi="Arial" w:cs="Arial"/>
                <w:color w:val="000000"/>
                <w:sz w:val="16"/>
              </w:rPr>
              <w:t>: Critical errors</w:t>
            </w:r>
          </w:p>
        </w:tc>
        <w:tc>
          <w:tcPr>
            <w:tcW w:w="975"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769A4DC8" w14:textId="77777777" w:rsidR="00724034" w:rsidRDefault="00FB7D0B">
            <w:pPr>
              <w:jc w:val="right"/>
              <w:rPr>
                <w:rFonts w:ascii="Arial" w:eastAsia="Arial" w:hAnsi="Arial" w:cs="Arial"/>
                <w:color w:val="000000"/>
                <w:sz w:val="16"/>
              </w:rPr>
            </w:pPr>
            <w:r>
              <w:rPr>
                <w:rFonts w:ascii="Arial" w:eastAsia="Arial" w:hAnsi="Arial" w:cs="Arial"/>
                <w:color w:val="000000"/>
                <w:sz w:val="16"/>
              </w:rPr>
              <w:t>&lt; 5%</w:t>
            </w:r>
          </w:p>
        </w:tc>
        <w:tc>
          <w:tcPr>
            <w:tcW w:w="975" w:type="dxa"/>
            <w:tcBorders>
              <w:top w:val="nil"/>
              <w:left w:val="nil"/>
              <w:bottom w:val="single" w:sz="6" w:space="0" w:color="000000"/>
              <w:right w:val="nil"/>
              <w:tl2br w:val="nil"/>
              <w:tr2bl w:val="nil"/>
            </w:tcBorders>
            <w:shd w:val="clear" w:color="auto" w:fill="FFFF00"/>
            <w:tcMar>
              <w:left w:w="115" w:type="dxa"/>
              <w:right w:w="115" w:type="dxa"/>
            </w:tcMar>
            <w:vAlign w:val="bottom"/>
          </w:tcPr>
          <w:p w14:paraId="18A6F575" w14:textId="77777777" w:rsidR="00724034" w:rsidRDefault="00FB7D0B">
            <w:pPr>
              <w:jc w:val="right"/>
              <w:rPr>
                <w:rFonts w:ascii="Arial" w:eastAsia="Arial" w:hAnsi="Arial" w:cs="Arial"/>
                <w:color w:val="000000"/>
                <w:sz w:val="16"/>
              </w:rPr>
            </w:pPr>
            <w:r>
              <w:rPr>
                <w:rFonts w:ascii="Arial" w:eastAsia="Arial" w:hAnsi="Arial" w:cs="Arial"/>
                <w:color w:val="000000"/>
                <w:sz w:val="16"/>
              </w:rPr>
              <w:t>&lt; 5%</w:t>
            </w:r>
          </w:p>
        </w:tc>
        <w:tc>
          <w:tcPr>
            <w:tcW w:w="975"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58235076" w14:textId="77777777" w:rsidR="00724034" w:rsidRDefault="00FB7D0B">
            <w:pPr>
              <w:jc w:val="right"/>
              <w:rPr>
                <w:rFonts w:ascii="Arial" w:eastAsia="Arial" w:hAnsi="Arial" w:cs="Arial"/>
                <w:color w:val="000000"/>
                <w:sz w:val="16"/>
              </w:rPr>
            </w:pPr>
            <w:r>
              <w:rPr>
                <w:rFonts w:ascii="Arial" w:eastAsia="Arial" w:hAnsi="Arial" w:cs="Arial"/>
                <w:color w:val="000000"/>
                <w:sz w:val="16"/>
              </w:rPr>
              <w:t>&lt; 5%</w:t>
            </w:r>
          </w:p>
        </w:tc>
        <w:tc>
          <w:tcPr>
            <w:tcW w:w="975"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5DD2993B" w14:textId="77777777" w:rsidR="00724034" w:rsidRDefault="00FB7D0B">
            <w:pPr>
              <w:jc w:val="right"/>
              <w:rPr>
                <w:rFonts w:ascii="Arial" w:eastAsia="Arial" w:hAnsi="Arial" w:cs="Arial"/>
                <w:color w:val="000000"/>
                <w:sz w:val="16"/>
              </w:rPr>
            </w:pPr>
            <w:r>
              <w:rPr>
                <w:rFonts w:ascii="Arial" w:eastAsia="Arial" w:hAnsi="Arial" w:cs="Arial"/>
                <w:color w:val="000000"/>
                <w:sz w:val="16"/>
              </w:rPr>
              <w:t>&lt; 5%</w:t>
            </w:r>
          </w:p>
        </w:tc>
        <w:tc>
          <w:tcPr>
            <w:tcW w:w="975" w:type="dxa"/>
            <w:tcBorders>
              <w:top w:val="nil"/>
              <w:left w:val="nil"/>
              <w:bottom w:val="single" w:sz="6" w:space="0" w:color="000000"/>
              <w:right w:val="single" w:sz="6" w:space="0" w:color="000000"/>
              <w:tl2br w:val="nil"/>
              <w:tr2bl w:val="nil"/>
            </w:tcBorders>
            <w:shd w:val="clear" w:color="auto" w:fill="FFFFFF"/>
            <w:tcMar>
              <w:left w:w="115" w:type="dxa"/>
              <w:right w:w="115" w:type="dxa"/>
            </w:tcMar>
            <w:vAlign w:val="bottom"/>
          </w:tcPr>
          <w:p w14:paraId="734D4885" w14:textId="77777777" w:rsidR="00724034" w:rsidRDefault="00FB7D0B">
            <w:pPr>
              <w:jc w:val="right"/>
              <w:rPr>
                <w:rFonts w:ascii="Arial" w:eastAsia="Arial" w:hAnsi="Arial" w:cs="Arial"/>
                <w:color w:val="000000"/>
                <w:sz w:val="16"/>
              </w:rPr>
            </w:pPr>
            <w:r>
              <w:rPr>
                <w:rFonts w:ascii="Arial" w:eastAsia="Arial" w:hAnsi="Arial" w:cs="Arial"/>
                <w:color w:val="000000"/>
                <w:sz w:val="16"/>
              </w:rPr>
              <w:t>&lt; 5%</w:t>
            </w:r>
          </w:p>
        </w:tc>
      </w:tr>
      <w:tr w:rsidR="00724034" w14:paraId="308E375D" w14:textId="77777777">
        <w:tblPrEx>
          <w:tblLook w:val="04A0" w:firstRow="1" w:lastRow="0" w:firstColumn="1" w:lastColumn="0" w:noHBand="0" w:noVBand="1"/>
        </w:tblPrEx>
        <w:trPr>
          <w:trHeight w:hRule="exact" w:val="60"/>
        </w:trPr>
        <w:tc>
          <w:tcPr>
            <w:tcW w:w="3210"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22DCD08F" w14:textId="77777777" w:rsidR="00724034" w:rsidRDefault="00724034">
            <w:pPr>
              <w:rPr>
                <w:rFonts w:ascii="Arial" w:eastAsia="Arial" w:hAnsi="Arial" w:cs="Arial"/>
                <w:color w:val="000000"/>
                <w:sz w:val="16"/>
              </w:rPr>
            </w:pPr>
          </w:p>
        </w:tc>
        <w:tc>
          <w:tcPr>
            <w:tcW w:w="975"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0C39B121" w14:textId="77777777" w:rsidR="00724034" w:rsidRDefault="00724034">
            <w:pPr>
              <w:rPr>
                <w:rFonts w:ascii="Arial" w:eastAsia="Arial" w:hAnsi="Arial" w:cs="Arial"/>
                <w:b/>
                <w:color w:val="000000"/>
                <w:sz w:val="16"/>
              </w:rPr>
            </w:pPr>
          </w:p>
        </w:tc>
        <w:tc>
          <w:tcPr>
            <w:tcW w:w="975"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1C4CF4CA" w14:textId="77777777" w:rsidR="00724034" w:rsidRDefault="00724034">
            <w:pPr>
              <w:rPr>
                <w:rFonts w:ascii="Arial" w:eastAsia="Arial" w:hAnsi="Arial" w:cs="Arial"/>
                <w:b/>
                <w:color w:val="000000"/>
                <w:sz w:val="16"/>
              </w:rPr>
            </w:pPr>
          </w:p>
        </w:tc>
        <w:tc>
          <w:tcPr>
            <w:tcW w:w="975"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4F57ACE5" w14:textId="77777777" w:rsidR="00724034" w:rsidRDefault="00724034">
            <w:pPr>
              <w:rPr>
                <w:rFonts w:ascii="Arial" w:eastAsia="Arial" w:hAnsi="Arial" w:cs="Arial"/>
                <w:b/>
                <w:color w:val="000000"/>
                <w:sz w:val="16"/>
              </w:rPr>
            </w:pPr>
          </w:p>
        </w:tc>
        <w:tc>
          <w:tcPr>
            <w:tcW w:w="975"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719099EA" w14:textId="77777777" w:rsidR="00724034" w:rsidRDefault="00724034">
            <w:pPr>
              <w:rPr>
                <w:rFonts w:ascii="Arial" w:eastAsia="Arial" w:hAnsi="Arial" w:cs="Arial"/>
                <w:b/>
                <w:color w:val="000000"/>
                <w:sz w:val="16"/>
              </w:rPr>
            </w:pPr>
          </w:p>
        </w:tc>
        <w:tc>
          <w:tcPr>
            <w:tcW w:w="975"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536DA636" w14:textId="77777777" w:rsidR="00724034" w:rsidRDefault="00724034">
            <w:pPr>
              <w:rPr>
                <w:rFonts w:ascii="Arial" w:eastAsia="Arial" w:hAnsi="Arial" w:cs="Arial"/>
                <w:b/>
                <w:color w:val="000000"/>
                <w:sz w:val="16"/>
              </w:rPr>
            </w:pPr>
          </w:p>
        </w:tc>
      </w:tr>
    </w:tbl>
    <w:p w14:paraId="5AEECB24" w14:textId="77777777" w:rsidR="00724034" w:rsidRDefault="00FB7D0B">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
        <w:gridCol w:w="236"/>
        <w:gridCol w:w="3446"/>
        <w:gridCol w:w="879"/>
        <w:gridCol w:w="879"/>
        <w:gridCol w:w="879"/>
        <w:gridCol w:w="879"/>
        <w:gridCol w:w="879"/>
        <w:gridCol w:w="10"/>
      </w:tblGrid>
      <w:tr w:rsidR="00724034" w14:paraId="4FC50AFC" w14:textId="77777777" w:rsidTr="003F0EEA">
        <w:tc>
          <w:tcPr>
            <w:tcW w:w="8080" w:type="dxa"/>
            <w:gridSpan w:val="9"/>
            <w:tcBorders>
              <w:top w:val="single" w:sz="4" w:space="0" w:color="auto"/>
              <w:left w:val="single" w:sz="4" w:space="0" w:color="auto"/>
              <w:bottom w:val="single" w:sz="4" w:space="0" w:color="auto"/>
              <w:right w:val="single" w:sz="4" w:space="0" w:color="auto"/>
            </w:tcBorders>
            <w:shd w:val="clear" w:color="auto" w:fill="E6E6E6"/>
          </w:tcPr>
          <w:p w14:paraId="15F4148C" w14:textId="77777777" w:rsidR="003F0EEA" w:rsidRPr="00F37208" w:rsidRDefault="00FB7D0B">
            <w:pPr>
              <w:pStyle w:val="TableTextLeft15"/>
              <w:rPr>
                <w:b/>
                <w:sz w:val="20"/>
              </w:rPr>
            </w:pPr>
            <w:r w:rsidRPr="00F37208">
              <w:rPr>
                <w:b/>
                <w:sz w:val="20"/>
              </w:rPr>
              <w:t>Program</w:t>
            </w:r>
            <w:r>
              <w:rPr>
                <w:b/>
                <w:sz w:val="20"/>
              </w:rPr>
              <w:t>me</w:t>
            </w:r>
            <w:r w:rsidRPr="00F37208">
              <w:rPr>
                <w:b/>
                <w:sz w:val="20"/>
              </w:rPr>
              <w:t xml:space="preserve"> 1.6: Military Rehabilitation and Compensation Acts Payments - Income Support and Compensation</w:t>
            </w:r>
          </w:p>
        </w:tc>
      </w:tr>
      <w:tr w:rsidR="00724034" w14:paraId="1308666E" w14:textId="77777777" w:rsidTr="003F0EEA">
        <w:tc>
          <w:tcPr>
            <w:tcW w:w="8080" w:type="dxa"/>
            <w:gridSpan w:val="9"/>
            <w:tcBorders>
              <w:top w:val="single" w:sz="4" w:space="0" w:color="auto"/>
              <w:left w:val="nil"/>
              <w:bottom w:val="single" w:sz="4" w:space="0" w:color="auto"/>
              <w:right w:val="nil"/>
            </w:tcBorders>
          </w:tcPr>
          <w:p w14:paraId="5543545D" w14:textId="77777777" w:rsidR="003F0EEA" w:rsidRDefault="003F0EEA">
            <w:pPr>
              <w:pStyle w:val="TableTextLeft15"/>
              <w:rPr>
                <w:b/>
              </w:rPr>
            </w:pPr>
          </w:p>
        </w:tc>
      </w:tr>
      <w:tr w:rsidR="00724034" w14:paraId="708772D7" w14:textId="77777777" w:rsidTr="003F0EEA">
        <w:tc>
          <w:tcPr>
            <w:tcW w:w="8080" w:type="dxa"/>
            <w:gridSpan w:val="9"/>
            <w:tcBorders>
              <w:top w:val="single" w:sz="4" w:space="0" w:color="auto"/>
              <w:left w:val="single" w:sz="4" w:space="0" w:color="auto"/>
              <w:bottom w:val="single" w:sz="4" w:space="0" w:color="auto"/>
              <w:right w:val="single" w:sz="4" w:space="0" w:color="auto"/>
            </w:tcBorders>
          </w:tcPr>
          <w:p w14:paraId="444E39FD" w14:textId="77777777" w:rsidR="003F0EEA" w:rsidRDefault="00FB7D0B" w:rsidP="003F0EEA">
            <w:pPr>
              <w:pStyle w:val="TableTextLeft15"/>
              <w:rPr>
                <w:b/>
              </w:rPr>
            </w:pPr>
            <w:r>
              <w:rPr>
                <w:b/>
              </w:rPr>
              <w:t>Programme 1.6 objective</w:t>
            </w:r>
          </w:p>
          <w:p w14:paraId="08138950" w14:textId="77777777" w:rsidR="003F0EEA" w:rsidRDefault="00FB7D0B" w:rsidP="003F0EEA">
            <w:pPr>
              <w:pStyle w:val="TableTextLeft15"/>
              <w:rPr>
                <w:b/>
              </w:rPr>
            </w:pPr>
            <w:r>
              <w:rPr>
                <w:color w:val="000000"/>
                <w:szCs w:val="18"/>
              </w:rPr>
              <w:t xml:space="preserve">To provide compensation to current and former members of the Australian Defence Force and their dependants under the </w:t>
            </w:r>
            <w:r>
              <w:rPr>
                <w:i/>
                <w:iCs/>
                <w:color w:val="000000"/>
                <w:szCs w:val="18"/>
              </w:rPr>
              <w:t xml:space="preserve">Safety, Rehabilitation and Compensation Act 1988 </w:t>
            </w:r>
            <w:r>
              <w:rPr>
                <w:color w:val="000000"/>
                <w:szCs w:val="18"/>
              </w:rPr>
              <w:t xml:space="preserve">and the </w:t>
            </w:r>
            <w:r>
              <w:rPr>
                <w:i/>
                <w:iCs/>
                <w:color w:val="000000"/>
                <w:szCs w:val="18"/>
              </w:rPr>
              <w:t xml:space="preserve">Military Rehabilitation and Compensation Act 2004 </w:t>
            </w:r>
            <w:r>
              <w:rPr>
                <w:color w:val="000000"/>
                <w:szCs w:val="18"/>
              </w:rPr>
              <w:t>and related legislation.</w:t>
            </w:r>
          </w:p>
        </w:tc>
      </w:tr>
      <w:tr w:rsidR="00724034" w14:paraId="1405D450" w14:textId="77777777" w:rsidTr="003F0EEA">
        <w:tc>
          <w:tcPr>
            <w:tcW w:w="8080" w:type="dxa"/>
            <w:gridSpan w:val="9"/>
            <w:tcBorders>
              <w:top w:val="single" w:sz="4" w:space="0" w:color="auto"/>
              <w:left w:val="nil"/>
              <w:bottom w:val="single" w:sz="4" w:space="0" w:color="auto"/>
              <w:right w:val="nil"/>
            </w:tcBorders>
          </w:tcPr>
          <w:p w14:paraId="174D8577" w14:textId="77777777" w:rsidR="003F0EEA" w:rsidRDefault="003F0EEA" w:rsidP="003F0EEA">
            <w:pPr>
              <w:pStyle w:val="TableTextLeft15"/>
              <w:rPr>
                <w:b/>
              </w:rPr>
            </w:pPr>
          </w:p>
        </w:tc>
      </w:tr>
      <w:tr w:rsidR="00724034" w14:paraId="4B185589" w14:textId="77777777" w:rsidTr="003F0EEA">
        <w:tc>
          <w:tcPr>
            <w:tcW w:w="8080" w:type="dxa"/>
            <w:gridSpan w:val="9"/>
            <w:tcBorders>
              <w:top w:val="single" w:sz="4" w:space="0" w:color="auto"/>
              <w:left w:val="single" w:sz="4" w:space="0" w:color="auto"/>
              <w:bottom w:val="single" w:sz="4" w:space="0" w:color="auto"/>
              <w:right w:val="single" w:sz="4" w:space="0" w:color="auto"/>
            </w:tcBorders>
          </w:tcPr>
          <w:p w14:paraId="3EAECFBD" w14:textId="77777777" w:rsidR="003F0EEA" w:rsidRDefault="00FB7D0B" w:rsidP="003F0EEA">
            <w:pPr>
              <w:pStyle w:val="TableTextLeft15"/>
              <w:keepNext/>
              <w:rPr>
                <w:b/>
              </w:rPr>
            </w:pPr>
            <w:r>
              <w:rPr>
                <w:b/>
              </w:rPr>
              <w:t>Programme 1.6 expenses</w:t>
            </w:r>
          </w:p>
          <w:p w14:paraId="536454DC" w14:textId="77777777" w:rsidR="003F0EEA" w:rsidRDefault="00FB7D0B" w:rsidP="003F0EEA">
            <w:pPr>
              <w:pStyle w:val="TableTextLeft15"/>
              <w:rPr>
                <w:b/>
              </w:rPr>
            </w:pPr>
            <w:r>
              <w:t xml:space="preserve">Future </w:t>
            </w:r>
            <w:smartTag w:uri="urn:schemas-microsoft-com:office:smarttags" w:element="PersonName">
              <w:r>
                <w:t>budget</w:t>
              </w:r>
            </w:smartTag>
            <w:r>
              <w:t xml:space="preserve"> results are anticipated to reflect a shift from SRCA–related payments to MRCA–related payments. SRCA payments are in line with the pre July 2004 liabilities as they stabilise.</w:t>
            </w:r>
          </w:p>
        </w:tc>
      </w:tr>
      <w:tr w:rsidR="00724034" w14:paraId="432317C6" w14:textId="77777777">
        <w:tblPrEx>
          <w:tblLook w:val="04A0" w:firstRow="1" w:lastRow="0" w:firstColumn="1" w:lastColumn="0" w:noHBand="0" w:noVBand="1"/>
        </w:tblPrEx>
        <w:trPr>
          <w:gridAfter w:val="1"/>
          <w:wAfter w:w="10" w:type="dxa"/>
          <w:trHeight w:val="225"/>
        </w:trPr>
        <w:tc>
          <w:tcPr>
            <w:tcW w:w="0" w:type="auto"/>
            <w:tcBorders>
              <w:top w:val="single" w:sz="6" w:space="0" w:color="000000"/>
              <w:left w:val="single" w:sz="6" w:space="0" w:color="000000"/>
              <w:bottom w:val="nil"/>
              <w:right w:val="nil"/>
              <w:tl2br w:val="nil"/>
              <w:tr2bl w:val="nil"/>
            </w:tcBorders>
            <w:shd w:val="clear" w:color="auto" w:fill="FFFFFF"/>
            <w:tcMar>
              <w:left w:w="115" w:type="dxa"/>
              <w:right w:w="115" w:type="dxa"/>
            </w:tcMar>
            <w:vAlign w:val="bottom"/>
          </w:tcPr>
          <w:p w14:paraId="7F964BE5" w14:textId="77777777" w:rsidR="00724034" w:rsidRDefault="00724034"/>
        </w:tc>
        <w:tc>
          <w:tcPr>
            <w:tcW w:w="0" w:type="auto"/>
            <w:tcBorders>
              <w:top w:val="single" w:sz="6" w:space="0" w:color="000000"/>
              <w:left w:val="nil"/>
              <w:bottom w:val="nil"/>
              <w:right w:val="nil"/>
              <w:tl2br w:val="nil"/>
              <w:tr2bl w:val="nil"/>
            </w:tcBorders>
            <w:shd w:val="clear" w:color="auto" w:fill="FFFFFF"/>
            <w:tcMar>
              <w:left w:w="115" w:type="dxa"/>
              <w:right w:w="115" w:type="dxa"/>
            </w:tcMar>
            <w:vAlign w:val="bottom"/>
          </w:tcPr>
          <w:p w14:paraId="43EA9C4F" w14:textId="77777777" w:rsidR="00724034" w:rsidRDefault="00724034">
            <w:pPr>
              <w:rPr>
                <w:rFonts w:ascii="Arial" w:eastAsia="Arial" w:hAnsi="Arial" w:cs="Arial"/>
                <w:color w:val="000000"/>
                <w:sz w:val="20"/>
              </w:rPr>
            </w:pPr>
          </w:p>
        </w:tc>
        <w:tc>
          <w:tcPr>
            <w:tcW w:w="0" w:type="auto"/>
            <w:tcBorders>
              <w:top w:val="single" w:sz="6" w:space="0" w:color="000000"/>
              <w:left w:val="nil"/>
              <w:bottom w:val="nil"/>
              <w:right w:val="nil"/>
              <w:tl2br w:val="nil"/>
              <w:tr2bl w:val="nil"/>
            </w:tcBorders>
            <w:shd w:val="clear" w:color="auto" w:fill="FFFFFF"/>
            <w:tcMar>
              <w:left w:w="115" w:type="dxa"/>
              <w:right w:w="115" w:type="dxa"/>
            </w:tcMar>
            <w:vAlign w:val="bottom"/>
          </w:tcPr>
          <w:p w14:paraId="1A7B4FF4" w14:textId="77777777" w:rsidR="00724034" w:rsidRDefault="00724034">
            <w:pPr>
              <w:jc w:val="center"/>
              <w:rPr>
                <w:rFonts w:ascii="Arial" w:eastAsia="Arial" w:hAnsi="Arial" w:cs="Arial"/>
                <w:color w:val="000000"/>
                <w:sz w:val="20"/>
              </w:rPr>
            </w:pPr>
          </w:p>
        </w:tc>
        <w:tc>
          <w:tcPr>
            <w:tcW w:w="0" w:type="auto"/>
            <w:tcBorders>
              <w:top w:val="single" w:sz="6" w:space="0" w:color="000000"/>
              <w:left w:val="nil"/>
              <w:bottom w:val="nil"/>
              <w:right w:val="nil"/>
              <w:tl2br w:val="nil"/>
              <w:tr2bl w:val="nil"/>
            </w:tcBorders>
            <w:shd w:val="clear" w:color="auto" w:fill="FFFFFF"/>
            <w:tcMar>
              <w:left w:w="115" w:type="dxa"/>
              <w:right w:w="115" w:type="dxa"/>
            </w:tcMar>
            <w:vAlign w:val="bottom"/>
          </w:tcPr>
          <w:p w14:paraId="07B70189" w14:textId="77777777" w:rsidR="00724034" w:rsidRDefault="00FB7D0B">
            <w:pPr>
              <w:jc w:val="right"/>
              <w:rPr>
                <w:rFonts w:ascii="Arial" w:eastAsia="Arial" w:hAnsi="Arial" w:cs="Arial"/>
                <w:color w:val="000000"/>
                <w:sz w:val="16"/>
                <w:vertAlign w:val="superscript"/>
              </w:rPr>
            </w:pPr>
            <w:r>
              <w:rPr>
                <w:rFonts w:ascii="Arial" w:eastAsia="Arial" w:hAnsi="Arial" w:cs="Arial"/>
                <w:color w:val="000000"/>
                <w:sz w:val="16"/>
              </w:rPr>
              <w:t>2013-14</w:t>
            </w:r>
          </w:p>
        </w:tc>
        <w:tc>
          <w:tcPr>
            <w:tcW w:w="0" w:type="auto"/>
            <w:tcBorders>
              <w:top w:val="single" w:sz="6" w:space="0" w:color="000000"/>
              <w:left w:val="nil"/>
              <w:bottom w:val="nil"/>
              <w:right w:val="nil"/>
              <w:tl2br w:val="nil"/>
              <w:tr2bl w:val="nil"/>
            </w:tcBorders>
            <w:shd w:val="clear" w:color="auto" w:fill="FFFF00"/>
            <w:tcMar>
              <w:left w:w="115" w:type="dxa"/>
              <w:right w:w="115" w:type="dxa"/>
            </w:tcMar>
            <w:vAlign w:val="bottom"/>
          </w:tcPr>
          <w:p w14:paraId="12C29999" w14:textId="77777777" w:rsidR="00724034" w:rsidRDefault="00FB7D0B">
            <w:pPr>
              <w:jc w:val="right"/>
              <w:rPr>
                <w:rFonts w:ascii="Arial" w:eastAsia="Arial" w:hAnsi="Arial" w:cs="Arial"/>
                <w:color w:val="000000"/>
                <w:sz w:val="16"/>
              </w:rPr>
            </w:pPr>
            <w:r>
              <w:rPr>
                <w:rFonts w:ascii="Arial" w:eastAsia="Arial" w:hAnsi="Arial" w:cs="Arial"/>
                <w:color w:val="000000"/>
                <w:sz w:val="16"/>
              </w:rPr>
              <w:t>2014-15</w:t>
            </w:r>
          </w:p>
        </w:tc>
        <w:tc>
          <w:tcPr>
            <w:tcW w:w="0" w:type="auto"/>
            <w:tcBorders>
              <w:top w:val="single" w:sz="6" w:space="0" w:color="000000"/>
              <w:left w:val="nil"/>
              <w:bottom w:val="nil"/>
              <w:right w:val="nil"/>
              <w:tl2br w:val="nil"/>
              <w:tr2bl w:val="nil"/>
            </w:tcBorders>
            <w:shd w:val="clear" w:color="auto" w:fill="FFFFFF"/>
            <w:tcMar>
              <w:left w:w="115" w:type="dxa"/>
              <w:right w:w="115" w:type="dxa"/>
            </w:tcMar>
            <w:vAlign w:val="bottom"/>
          </w:tcPr>
          <w:p w14:paraId="4E8B383B" w14:textId="77777777" w:rsidR="00724034" w:rsidRDefault="00FB7D0B">
            <w:pPr>
              <w:jc w:val="right"/>
              <w:rPr>
                <w:rFonts w:ascii="Arial" w:eastAsia="Arial" w:hAnsi="Arial" w:cs="Arial"/>
                <w:color w:val="000000"/>
                <w:sz w:val="16"/>
              </w:rPr>
            </w:pPr>
            <w:r>
              <w:rPr>
                <w:rFonts w:ascii="Arial" w:eastAsia="Arial" w:hAnsi="Arial" w:cs="Arial"/>
                <w:color w:val="000000"/>
                <w:sz w:val="16"/>
              </w:rPr>
              <w:t>2015-16</w:t>
            </w:r>
          </w:p>
        </w:tc>
        <w:tc>
          <w:tcPr>
            <w:tcW w:w="0" w:type="auto"/>
            <w:tcBorders>
              <w:top w:val="single" w:sz="6" w:space="0" w:color="000000"/>
              <w:left w:val="nil"/>
              <w:bottom w:val="nil"/>
              <w:right w:val="nil"/>
              <w:tl2br w:val="nil"/>
              <w:tr2bl w:val="nil"/>
            </w:tcBorders>
            <w:shd w:val="clear" w:color="auto" w:fill="FFFFFF"/>
            <w:tcMar>
              <w:left w:w="115" w:type="dxa"/>
              <w:right w:w="115" w:type="dxa"/>
            </w:tcMar>
            <w:vAlign w:val="bottom"/>
          </w:tcPr>
          <w:p w14:paraId="4DF90B5F" w14:textId="77777777" w:rsidR="00724034" w:rsidRDefault="00FB7D0B">
            <w:pPr>
              <w:jc w:val="right"/>
              <w:rPr>
                <w:rFonts w:ascii="Arial" w:eastAsia="Arial" w:hAnsi="Arial" w:cs="Arial"/>
                <w:color w:val="000000"/>
                <w:sz w:val="16"/>
              </w:rPr>
            </w:pPr>
            <w:r>
              <w:rPr>
                <w:rFonts w:ascii="Arial" w:eastAsia="Arial" w:hAnsi="Arial" w:cs="Arial"/>
                <w:color w:val="000000"/>
                <w:sz w:val="16"/>
              </w:rPr>
              <w:t>2016-17</w:t>
            </w:r>
          </w:p>
        </w:tc>
        <w:tc>
          <w:tcPr>
            <w:tcW w:w="0" w:type="auto"/>
            <w:tcBorders>
              <w:top w:val="single" w:sz="6" w:space="0" w:color="000000"/>
              <w:left w:val="nil"/>
              <w:bottom w:val="nil"/>
              <w:right w:val="single" w:sz="6" w:space="0" w:color="000000"/>
              <w:tl2br w:val="nil"/>
              <w:tr2bl w:val="nil"/>
            </w:tcBorders>
            <w:shd w:val="clear" w:color="auto" w:fill="FFFFFF"/>
            <w:tcMar>
              <w:left w:w="115" w:type="dxa"/>
              <w:right w:w="115" w:type="dxa"/>
            </w:tcMar>
            <w:vAlign w:val="bottom"/>
          </w:tcPr>
          <w:p w14:paraId="6636107A" w14:textId="77777777" w:rsidR="00724034" w:rsidRDefault="00FB7D0B">
            <w:pPr>
              <w:jc w:val="right"/>
              <w:rPr>
                <w:rFonts w:ascii="Arial" w:eastAsia="Arial" w:hAnsi="Arial" w:cs="Arial"/>
                <w:color w:val="000000"/>
                <w:sz w:val="16"/>
              </w:rPr>
            </w:pPr>
            <w:r>
              <w:rPr>
                <w:rFonts w:ascii="Arial" w:eastAsia="Arial" w:hAnsi="Arial" w:cs="Arial"/>
                <w:color w:val="000000"/>
                <w:sz w:val="16"/>
              </w:rPr>
              <w:t>2017-18</w:t>
            </w:r>
          </w:p>
        </w:tc>
      </w:tr>
      <w:tr w:rsidR="00724034" w14:paraId="35209898" w14:textId="77777777">
        <w:tblPrEx>
          <w:tblLook w:val="04A0" w:firstRow="1" w:lastRow="0" w:firstColumn="1" w:lastColumn="0" w:noHBand="0" w:noVBand="1"/>
        </w:tblPrEx>
        <w:trPr>
          <w:gridAfter w:val="1"/>
          <w:wAfter w:w="10" w:type="dxa"/>
          <w:trHeight w:val="225"/>
        </w:trPr>
        <w:tc>
          <w:tcPr>
            <w:tcW w:w="0" w:type="auto"/>
            <w:tcBorders>
              <w:top w:val="nil"/>
              <w:left w:val="single" w:sz="6" w:space="0" w:color="000000"/>
              <w:bottom w:val="nil"/>
              <w:right w:val="nil"/>
              <w:tl2br w:val="nil"/>
              <w:tr2bl w:val="nil"/>
            </w:tcBorders>
            <w:shd w:val="clear" w:color="auto" w:fill="FFFFFF"/>
            <w:tcMar>
              <w:left w:w="115" w:type="dxa"/>
              <w:right w:w="115" w:type="dxa"/>
            </w:tcMar>
            <w:vAlign w:val="bottom"/>
          </w:tcPr>
          <w:p w14:paraId="3453DFA5" w14:textId="77777777" w:rsidR="00724034" w:rsidRDefault="00724034">
            <w:pPr>
              <w:rPr>
                <w:rFonts w:ascii="Arial" w:eastAsia="Arial" w:hAnsi="Arial" w:cs="Arial"/>
                <w:color w:val="000000"/>
                <w:sz w:val="16"/>
              </w:rPr>
            </w:pPr>
          </w:p>
        </w:tc>
        <w:tc>
          <w:tcPr>
            <w:tcW w:w="0" w:type="auto"/>
            <w:tcBorders>
              <w:top w:val="nil"/>
              <w:left w:val="nil"/>
              <w:bottom w:val="nil"/>
              <w:right w:val="nil"/>
              <w:tl2br w:val="nil"/>
              <w:tr2bl w:val="nil"/>
            </w:tcBorders>
            <w:shd w:val="clear" w:color="auto" w:fill="FFFFFF"/>
            <w:tcMar>
              <w:left w:w="115" w:type="dxa"/>
              <w:right w:w="115" w:type="dxa"/>
            </w:tcMar>
            <w:vAlign w:val="bottom"/>
          </w:tcPr>
          <w:p w14:paraId="10B7992E" w14:textId="77777777" w:rsidR="00724034" w:rsidRDefault="00724034">
            <w:pPr>
              <w:rPr>
                <w:rFonts w:ascii="Arial" w:eastAsia="Arial" w:hAnsi="Arial" w:cs="Arial"/>
                <w:color w:val="000000"/>
                <w:sz w:val="20"/>
              </w:rPr>
            </w:pPr>
          </w:p>
        </w:tc>
        <w:tc>
          <w:tcPr>
            <w:tcW w:w="0" w:type="auto"/>
            <w:tcBorders>
              <w:top w:val="nil"/>
              <w:left w:val="nil"/>
              <w:bottom w:val="nil"/>
              <w:right w:val="nil"/>
              <w:tl2br w:val="nil"/>
              <w:tr2bl w:val="nil"/>
            </w:tcBorders>
            <w:shd w:val="clear" w:color="auto" w:fill="FFFFFF"/>
            <w:tcMar>
              <w:left w:w="115" w:type="dxa"/>
              <w:right w:w="115" w:type="dxa"/>
            </w:tcMar>
            <w:vAlign w:val="bottom"/>
          </w:tcPr>
          <w:p w14:paraId="6E7C4430" w14:textId="77777777" w:rsidR="00724034" w:rsidRDefault="00724034">
            <w:pPr>
              <w:rPr>
                <w:rFonts w:ascii="Arial" w:eastAsia="Arial" w:hAnsi="Arial" w:cs="Arial"/>
                <w:color w:val="000000"/>
                <w:sz w:val="20"/>
              </w:rPr>
            </w:pPr>
          </w:p>
        </w:tc>
        <w:tc>
          <w:tcPr>
            <w:tcW w:w="0" w:type="auto"/>
            <w:tcBorders>
              <w:top w:val="nil"/>
              <w:left w:val="nil"/>
              <w:bottom w:val="nil"/>
              <w:right w:val="nil"/>
              <w:tl2br w:val="nil"/>
              <w:tr2bl w:val="nil"/>
            </w:tcBorders>
            <w:shd w:val="clear" w:color="auto" w:fill="FFFFFF"/>
            <w:tcMar>
              <w:left w:w="115" w:type="dxa"/>
              <w:right w:w="115" w:type="dxa"/>
            </w:tcMar>
            <w:vAlign w:val="bottom"/>
          </w:tcPr>
          <w:p w14:paraId="3050D468" w14:textId="77777777" w:rsidR="00724034" w:rsidRDefault="00FB7D0B">
            <w:pPr>
              <w:jc w:val="right"/>
              <w:rPr>
                <w:rFonts w:ascii="Arial" w:eastAsia="Arial" w:hAnsi="Arial" w:cs="Arial"/>
                <w:color w:val="000000"/>
                <w:sz w:val="16"/>
                <w:vertAlign w:val="superscript"/>
              </w:rPr>
            </w:pPr>
            <w:r>
              <w:rPr>
                <w:rFonts w:ascii="Arial" w:eastAsia="Arial" w:hAnsi="Arial" w:cs="Arial"/>
                <w:color w:val="000000"/>
                <w:sz w:val="16"/>
              </w:rPr>
              <w:t>Revised</w:t>
            </w:r>
          </w:p>
        </w:tc>
        <w:tc>
          <w:tcPr>
            <w:tcW w:w="0" w:type="auto"/>
            <w:tcBorders>
              <w:top w:val="nil"/>
              <w:left w:val="nil"/>
              <w:bottom w:val="nil"/>
              <w:right w:val="nil"/>
              <w:tl2br w:val="nil"/>
              <w:tr2bl w:val="nil"/>
            </w:tcBorders>
            <w:shd w:val="clear" w:color="auto" w:fill="FFFF00"/>
            <w:tcMar>
              <w:left w:w="115" w:type="dxa"/>
              <w:right w:w="115" w:type="dxa"/>
            </w:tcMar>
            <w:vAlign w:val="bottom"/>
          </w:tcPr>
          <w:p w14:paraId="27F17412" w14:textId="77777777" w:rsidR="00724034" w:rsidRDefault="00FB7D0B">
            <w:pPr>
              <w:jc w:val="right"/>
              <w:rPr>
                <w:rFonts w:ascii="Arial" w:eastAsia="Arial" w:hAnsi="Arial" w:cs="Arial"/>
                <w:color w:val="000000"/>
                <w:sz w:val="16"/>
              </w:rPr>
            </w:pPr>
            <w:r>
              <w:rPr>
                <w:rFonts w:ascii="Arial" w:eastAsia="Arial" w:hAnsi="Arial" w:cs="Arial"/>
                <w:color w:val="000000"/>
                <w:sz w:val="16"/>
              </w:rPr>
              <w:t>Budget</w:t>
            </w:r>
          </w:p>
        </w:tc>
        <w:tc>
          <w:tcPr>
            <w:tcW w:w="0" w:type="auto"/>
            <w:tcBorders>
              <w:top w:val="nil"/>
              <w:left w:val="nil"/>
              <w:bottom w:val="nil"/>
              <w:right w:val="nil"/>
              <w:tl2br w:val="nil"/>
              <w:tr2bl w:val="nil"/>
            </w:tcBorders>
            <w:shd w:val="clear" w:color="auto" w:fill="FFFFFF"/>
            <w:tcMar>
              <w:left w:w="115" w:type="dxa"/>
              <w:right w:w="115" w:type="dxa"/>
            </w:tcMar>
            <w:vAlign w:val="bottom"/>
          </w:tcPr>
          <w:p w14:paraId="74FEABA8" w14:textId="77777777" w:rsidR="00724034" w:rsidRDefault="00FB7D0B">
            <w:pPr>
              <w:jc w:val="right"/>
              <w:rPr>
                <w:rFonts w:ascii="Arial" w:eastAsia="Arial" w:hAnsi="Arial" w:cs="Arial"/>
                <w:color w:val="000000"/>
                <w:sz w:val="16"/>
              </w:rPr>
            </w:pPr>
            <w:r>
              <w:rPr>
                <w:rFonts w:ascii="Arial" w:eastAsia="Arial" w:hAnsi="Arial" w:cs="Arial"/>
                <w:color w:val="000000"/>
                <w:sz w:val="16"/>
              </w:rPr>
              <w:t>Forward</w:t>
            </w:r>
          </w:p>
        </w:tc>
        <w:tc>
          <w:tcPr>
            <w:tcW w:w="0" w:type="auto"/>
            <w:tcBorders>
              <w:top w:val="nil"/>
              <w:left w:val="nil"/>
              <w:bottom w:val="nil"/>
              <w:right w:val="nil"/>
              <w:tl2br w:val="nil"/>
              <w:tr2bl w:val="nil"/>
            </w:tcBorders>
            <w:shd w:val="clear" w:color="auto" w:fill="FFFFFF"/>
            <w:tcMar>
              <w:left w:w="115" w:type="dxa"/>
              <w:right w:w="115" w:type="dxa"/>
            </w:tcMar>
            <w:vAlign w:val="bottom"/>
          </w:tcPr>
          <w:p w14:paraId="690C330E" w14:textId="77777777" w:rsidR="00724034" w:rsidRDefault="00FB7D0B">
            <w:pPr>
              <w:jc w:val="right"/>
              <w:rPr>
                <w:rFonts w:ascii="Arial" w:eastAsia="Arial" w:hAnsi="Arial" w:cs="Arial"/>
                <w:color w:val="000000"/>
                <w:sz w:val="16"/>
              </w:rPr>
            </w:pPr>
            <w:r>
              <w:rPr>
                <w:rFonts w:ascii="Arial" w:eastAsia="Arial" w:hAnsi="Arial" w:cs="Arial"/>
                <w:color w:val="000000"/>
                <w:sz w:val="16"/>
              </w:rPr>
              <w:t>Forward</w:t>
            </w:r>
          </w:p>
        </w:tc>
        <w:tc>
          <w:tcPr>
            <w:tcW w:w="0" w:type="auto"/>
            <w:tcBorders>
              <w:top w:val="nil"/>
              <w:left w:val="nil"/>
              <w:bottom w:val="nil"/>
              <w:right w:val="single" w:sz="6" w:space="0" w:color="000000"/>
              <w:tl2br w:val="nil"/>
              <w:tr2bl w:val="nil"/>
            </w:tcBorders>
            <w:shd w:val="clear" w:color="auto" w:fill="FFFFFF"/>
            <w:tcMar>
              <w:left w:w="115" w:type="dxa"/>
              <w:right w:w="115" w:type="dxa"/>
            </w:tcMar>
            <w:vAlign w:val="bottom"/>
          </w:tcPr>
          <w:p w14:paraId="140F9700" w14:textId="77777777" w:rsidR="00724034" w:rsidRDefault="00FB7D0B">
            <w:pPr>
              <w:jc w:val="right"/>
              <w:rPr>
                <w:rFonts w:ascii="Arial" w:eastAsia="Arial" w:hAnsi="Arial" w:cs="Arial"/>
                <w:color w:val="000000"/>
                <w:sz w:val="16"/>
              </w:rPr>
            </w:pPr>
            <w:r>
              <w:rPr>
                <w:rFonts w:ascii="Arial" w:eastAsia="Arial" w:hAnsi="Arial" w:cs="Arial"/>
                <w:color w:val="000000"/>
                <w:sz w:val="16"/>
              </w:rPr>
              <w:t>Forward</w:t>
            </w:r>
          </w:p>
        </w:tc>
      </w:tr>
      <w:tr w:rsidR="00FB7D0B" w14:paraId="21240450" w14:textId="77777777" w:rsidTr="00FB7D0B">
        <w:tblPrEx>
          <w:tblLook w:val="04A0" w:firstRow="1" w:lastRow="0" w:firstColumn="1" w:lastColumn="0" w:noHBand="0" w:noVBand="1"/>
        </w:tblPrEx>
        <w:trPr>
          <w:gridAfter w:val="1"/>
          <w:wAfter w:w="10" w:type="dxa"/>
          <w:trHeight w:val="225"/>
        </w:trPr>
        <w:tc>
          <w:tcPr>
            <w:tcW w:w="0" w:type="auto"/>
            <w:gridSpan w:val="3"/>
            <w:tcBorders>
              <w:top w:val="nil"/>
              <w:left w:val="single" w:sz="6" w:space="0" w:color="000000"/>
              <w:bottom w:val="single" w:sz="6" w:space="0" w:color="000000"/>
              <w:right w:val="nil"/>
              <w:tl2br w:val="nil"/>
              <w:tr2bl w:val="nil"/>
            </w:tcBorders>
            <w:shd w:val="clear" w:color="auto" w:fill="FFFFFF"/>
            <w:tcMar>
              <w:left w:w="115" w:type="dxa"/>
              <w:right w:w="115" w:type="dxa"/>
            </w:tcMar>
            <w:vAlign w:val="bottom"/>
          </w:tcPr>
          <w:p w14:paraId="3E8ABE89" w14:textId="77777777" w:rsidR="00724034" w:rsidRDefault="00FB7D0B">
            <w:pPr>
              <w:rPr>
                <w:rFonts w:ascii="Arial" w:eastAsia="Arial" w:hAnsi="Arial" w:cs="Arial"/>
                <w:color w:val="000000"/>
                <w:sz w:val="16"/>
              </w:rPr>
            </w:pPr>
            <w:r>
              <w:rPr>
                <w:rFonts w:ascii="Arial" w:eastAsia="Arial" w:hAnsi="Arial" w:cs="Arial"/>
                <w:color w:val="000000"/>
                <w:sz w:val="16"/>
              </w:rPr>
              <w:t>$('000)</w:t>
            </w:r>
          </w:p>
        </w:tc>
        <w:tc>
          <w:tcPr>
            <w:tcW w:w="0" w:type="auto"/>
            <w:tcBorders>
              <w:top w:val="nil"/>
              <w:left w:val="nil"/>
              <w:bottom w:val="single" w:sz="6" w:space="0" w:color="000000"/>
              <w:right w:val="nil"/>
              <w:tl2br w:val="nil"/>
              <w:tr2bl w:val="nil"/>
            </w:tcBorders>
            <w:shd w:val="clear" w:color="auto" w:fill="FFFFFF"/>
            <w:tcMar>
              <w:left w:w="115" w:type="dxa"/>
              <w:right w:w="115" w:type="dxa"/>
            </w:tcMar>
            <w:vAlign w:val="bottom"/>
          </w:tcPr>
          <w:p w14:paraId="6BBC53E6" w14:textId="77777777" w:rsidR="00724034" w:rsidRDefault="00FB7D0B">
            <w:pPr>
              <w:jc w:val="right"/>
              <w:rPr>
                <w:rFonts w:ascii="Arial" w:eastAsia="Arial" w:hAnsi="Arial" w:cs="Arial"/>
                <w:color w:val="000000"/>
                <w:sz w:val="16"/>
                <w:vertAlign w:val="superscript"/>
              </w:rPr>
            </w:pPr>
            <w:r>
              <w:rPr>
                <w:rFonts w:ascii="Arial" w:eastAsia="Arial" w:hAnsi="Arial" w:cs="Arial"/>
                <w:color w:val="000000"/>
                <w:sz w:val="16"/>
              </w:rPr>
              <w:t>budget</w:t>
            </w:r>
          </w:p>
        </w:tc>
        <w:tc>
          <w:tcPr>
            <w:tcW w:w="0" w:type="auto"/>
            <w:tcBorders>
              <w:top w:val="nil"/>
              <w:left w:val="nil"/>
              <w:bottom w:val="single" w:sz="6" w:space="0" w:color="000000"/>
              <w:right w:val="nil"/>
              <w:tl2br w:val="nil"/>
              <w:tr2bl w:val="nil"/>
            </w:tcBorders>
            <w:shd w:val="clear" w:color="auto" w:fill="FFFF00"/>
            <w:tcMar>
              <w:left w:w="115" w:type="dxa"/>
              <w:right w:w="115" w:type="dxa"/>
            </w:tcMar>
            <w:vAlign w:val="bottom"/>
          </w:tcPr>
          <w:p w14:paraId="32EB9F5C" w14:textId="77777777" w:rsidR="00724034" w:rsidRDefault="00724034">
            <w:pPr>
              <w:jc w:val="right"/>
              <w:rPr>
                <w:rFonts w:ascii="Arial" w:eastAsia="Arial" w:hAnsi="Arial" w:cs="Arial"/>
                <w:color w:val="000000"/>
                <w:sz w:val="16"/>
              </w:rPr>
            </w:pPr>
          </w:p>
        </w:tc>
        <w:tc>
          <w:tcPr>
            <w:tcW w:w="0" w:type="auto"/>
            <w:tcBorders>
              <w:top w:val="nil"/>
              <w:left w:val="nil"/>
              <w:bottom w:val="single" w:sz="6" w:space="0" w:color="000000"/>
              <w:right w:val="nil"/>
              <w:tl2br w:val="nil"/>
              <w:tr2bl w:val="nil"/>
            </w:tcBorders>
            <w:shd w:val="clear" w:color="auto" w:fill="FFFFFF"/>
            <w:tcMar>
              <w:left w:w="115" w:type="dxa"/>
              <w:right w:w="115" w:type="dxa"/>
            </w:tcMar>
            <w:vAlign w:val="bottom"/>
          </w:tcPr>
          <w:p w14:paraId="144D4931" w14:textId="77777777" w:rsidR="00724034" w:rsidRDefault="00FB7D0B">
            <w:pPr>
              <w:jc w:val="right"/>
              <w:rPr>
                <w:rFonts w:ascii="Arial" w:eastAsia="Arial" w:hAnsi="Arial" w:cs="Arial"/>
                <w:color w:val="000000"/>
                <w:sz w:val="16"/>
              </w:rPr>
            </w:pPr>
            <w:r>
              <w:rPr>
                <w:rFonts w:ascii="Arial" w:eastAsia="Arial" w:hAnsi="Arial" w:cs="Arial"/>
                <w:color w:val="000000"/>
                <w:sz w:val="16"/>
              </w:rPr>
              <w:t>year 1</w:t>
            </w:r>
          </w:p>
        </w:tc>
        <w:tc>
          <w:tcPr>
            <w:tcW w:w="0" w:type="auto"/>
            <w:tcBorders>
              <w:top w:val="nil"/>
              <w:left w:val="nil"/>
              <w:bottom w:val="single" w:sz="6" w:space="0" w:color="000000"/>
              <w:right w:val="nil"/>
              <w:tl2br w:val="nil"/>
              <w:tr2bl w:val="nil"/>
            </w:tcBorders>
            <w:shd w:val="clear" w:color="auto" w:fill="FFFFFF"/>
            <w:tcMar>
              <w:left w:w="115" w:type="dxa"/>
              <w:right w:w="115" w:type="dxa"/>
            </w:tcMar>
            <w:vAlign w:val="bottom"/>
          </w:tcPr>
          <w:p w14:paraId="73FD9C30" w14:textId="77777777" w:rsidR="00724034" w:rsidRDefault="00FB7D0B">
            <w:pPr>
              <w:jc w:val="right"/>
              <w:rPr>
                <w:rFonts w:ascii="Arial" w:eastAsia="Arial" w:hAnsi="Arial" w:cs="Arial"/>
                <w:color w:val="000000"/>
                <w:sz w:val="16"/>
              </w:rPr>
            </w:pPr>
            <w:r>
              <w:rPr>
                <w:rFonts w:ascii="Arial" w:eastAsia="Arial" w:hAnsi="Arial" w:cs="Arial"/>
                <w:color w:val="000000"/>
                <w:sz w:val="16"/>
              </w:rPr>
              <w:t>year 2</w:t>
            </w:r>
          </w:p>
        </w:tc>
        <w:tc>
          <w:tcPr>
            <w:tcW w:w="0" w:type="auto"/>
            <w:tcBorders>
              <w:top w:val="nil"/>
              <w:left w:val="nil"/>
              <w:bottom w:val="single" w:sz="6" w:space="0" w:color="000000"/>
              <w:right w:val="single" w:sz="6" w:space="0" w:color="000000"/>
              <w:tl2br w:val="nil"/>
              <w:tr2bl w:val="nil"/>
            </w:tcBorders>
            <w:shd w:val="clear" w:color="auto" w:fill="FFFFFF"/>
            <w:tcMar>
              <w:left w:w="115" w:type="dxa"/>
              <w:right w:w="115" w:type="dxa"/>
            </w:tcMar>
            <w:vAlign w:val="bottom"/>
          </w:tcPr>
          <w:p w14:paraId="635DD0E6" w14:textId="77777777" w:rsidR="00724034" w:rsidRDefault="00FB7D0B">
            <w:pPr>
              <w:jc w:val="right"/>
              <w:rPr>
                <w:rFonts w:ascii="Arial" w:eastAsia="Arial" w:hAnsi="Arial" w:cs="Arial"/>
                <w:color w:val="000000"/>
                <w:sz w:val="16"/>
              </w:rPr>
            </w:pPr>
            <w:r>
              <w:rPr>
                <w:rFonts w:ascii="Arial" w:eastAsia="Arial" w:hAnsi="Arial" w:cs="Arial"/>
                <w:color w:val="000000"/>
                <w:sz w:val="16"/>
              </w:rPr>
              <w:t>year 3</w:t>
            </w:r>
          </w:p>
        </w:tc>
      </w:tr>
      <w:tr w:rsidR="00FB7D0B" w14:paraId="2D19733A" w14:textId="77777777" w:rsidTr="00FB7D0B">
        <w:tblPrEx>
          <w:tblLook w:val="04A0" w:firstRow="1" w:lastRow="0" w:firstColumn="1" w:lastColumn="0" w:noHBand="0" w:noVBand="1"/>
        </w:tblPrEx>
        <w:trPr>
          <w:gridAfter w:val="1"/>
          <w:wAfter w:w="10" w:type="dxa"/>
          <w:trHeight w:val="225"/>
        </w:trPr>
        <w:tc>
          <w:tcPr>
            <w:tcW w:w="0" w:type="auto"/>
            <w:gridSpan w:val="3"/>
            <w:tcBorders>
              <w:top w:val="single" w:sz="6" w:space="0" w:color="000000"/>
              <w:left w:val="single" w:sz="6" w:space="0" w:color="000000"/>
              <w:bottom w:val="nil"/>
              <w:right w:val="nil"/>
              <w:tl2br w:val="nil"/>
              <w:tr2bl w:val="nil"/>
            </w:tcBorders>
            <w:shd w:val="clear" w:color="auto" w:fill="FFFFFF"/>
            <w:tcMar>
              <w:left w:w="115" w:type="dxa"/>
              <w:right w:w="115" w:type="dxa"/>
            </w:tcMar>
            <w:vAlign w:val="bottom"/>
          </w:tcPr>
          <w:p w14:paraId="7DC63518" w14:textId="77777777" w:rsidR="00724034" w:rsidRDefault="00FB7D0B">
            <w:pPr>
              <w:rPr>
                <w:rFonts w:ascii="Arial" w:eastAsia="Arial" w:hAnsi="Arial" w:cs="Arial"/>
                <w:color w:val="000000"/>
                <w:sz w:val="16"/>
              </w:rPr>
            </w:pPr>
            <w:r>
              <w:rPr>
                <w:rFonts w:ascii="Arial" w:eastAsia="Arial" w:hAnsi="Arial" w:cs="Arial"/>
                <w:color w:val="000000"/>
                <w:sz w:val="16"/>
              </w:rPr>
              <w:t>Annual administered expenses:</w:t>
            </w:r>
          </w:p>
        </w:tc>
        <w:tc>
          <w:tcPr>
            <w:tcW w:w="0" w:type="auto"/>
            <w:tcBorders>
              <w:top w:val="single" w:sz="6" w:space="0" w:color="000000"/>
              <w:left w:val="nil"/>
              <w:bottom w:val="nil"/>
              <w:right w:val="nil"/>
              <w:tl2br w:val="nil"/>
              <w:tr2bl w:val="nil"/>
            </w:tcBorders>
            <w:shd w:val="clear" w:color="auto" w:fill="FFFFFF"/>
            <w:tcMar>
              <w:left w:w="115" w:type="dxa"/>
              <w:right w:w="115" w:type="dxa"/>
            </w:tcMar>
            <w:vAlign w:val="bottom"/>
          </w:tcPr>
          <w:p w14:paraId="37EFD739" w14:textId="77777777" w:rsidR="00724034" w:rsidRDefault="00724034">
            <w:pPr>
              <w:jc w:val="right"/>
              <w:rPr>
                <w:rFonts w:ascii="Arial" w:eastAsia="Arial" w:hAnsi="Arial" w:cs="Arial"/>
                <w:color w:val="000000"/>
                <w:sz w:val="16"/>
                <w:vertAlign w:val="superscript"/>
              </w:rPr>
            </w:pPr>
          </w:p>
        </w:tc>
        <w:tc>
          <w:tcPr>
            <w:tcW w:w="0" w:type="auto"/>
            <w:tcBorders>
              <w:top w:val="single" w:sz="6" w:space="0" w:color="000000"/>
              <w:left w:val="nil"/>
              <w:bottom w:val="nil"/>
              <w:right w:val="nil"/>
              <w:tl2br w:val="nil"/>
              <w:tr2bl w:val="nil"/>
            </w:tcBorders>
            <w:shd w:val="clear" w:color="auto" w:fill="FFFF00"/>
            <w:tcMar>
              <w:left w:w="115" w:type="dxa"/>
              <w:right w:w="115" w:type="dxa"/>
            </w:tcMar>
            <w:vAlign w:val="bottom"/>
          </w:tcPr>
          <w:p w14:paraId="07208924" w14:textId="77777777" w:rsidR="00724034" w:rsidRDefault="00724034">
            <w:pPr>
              <w:rPr>
                <w:rFonts w:ascii="Arial" w:eastAsia="Arial" w:hAnsi="Arial" w:cs="Arial"/>
                <w:color w:val="000000"/>
                <w:sz w:val="16"/>
                <w:vertAlign w:val="superscript"/>
              </w:rPr>
            </w:pPr>
          </w:p>
        </w:tc>
        <w:tc>
          <w:tcPr>
            <w:tcW w:w="0" w:type="auto"/>
            <w:tcBorders>
              <w:top w:val="single" w:sz="6" w:space="0" w:color="000000"/>
              <w:left w:val="nil"/>
              <w:bottom w:val="nil"/>
              <w:right w:val="nil"/>
              <w:tl2br w:val="nil"/>
              <w:tr2bl w:val="nil"/>
            </w:tcBorders>
            <w:shd w:val="clear" w:color="auto" w:fill="FFFFFF"/>
            <w:tcMar>
              <w:left w:w="115" w:type="dxa"/>
              <w:right w:w="115" w:type="dxa"/>
            </w:tcMar>
            <w:vAlign w:val="bottom"/>
          </w:tcPr>
          <w:p w14:paraId="0639DEFB" w14:textId="77777777" w:rsidR="00724034" w:rsidRDefault="00724034">
            <w:pPr>
              <w:jc w:val="right"/>
              <w:rPr>
                <w:rFonts w:ascii="Arial" w:eastAsia="Arial" w:hAnsi="Arial" w:cs="Arial"/>
                <w:color w:val="000000"/>
                <w:sz w:val="16"/>
                <w:vertAlign w:val="superscript"/>
              </w:rPr>
            </w:pPr>
          </w:p>
        </w:tc>
        <w:tc>
          <w:tcPr>
            <w:tcW w:w="0" w:type="auto"/>
            <w:tcBorders>
              <w:top w:val="single" w:sz="6" w:space="0" w:color="000000"/>
              <w:left w:val="nil"/>
              <w:bottom w:val="nil"/>
              <w:right w:val="nil"/>
              <w:tl2br w:val="nil"/>
              <w:tr2bl w:val="nil"/>
            </w:tcBorders>
            <w:shd w:val="clear" w:color="auto" w:fill="FFFFFF"/>
            <w:tcMar>
              <w:left w:w="115" w:type="dxa"/>
              <w:right w:w="115" w:type="dxa"/>
            </w:tcMar>
            <w:vAlign w:val="bottom"/>
          </w:tcPr>
          <w:p w14:paraId="752BFFCC" w14:textId="77777777" w:rsidR="00724034" w:rsidRDefault="00724034">
            <w:pPr>
              <w:jc w:val="right"/>
              <w:rPr>
                <w:rFonts w:ascii="Arial" w:eastAsia="Arial" w:hAnsi="Arial" w:cs="Arial"/>
                <w:color w:val="000000"/>
                <w:sz w:val="16"/>
                <w:vertAlign w:val="superscript"/>
              </w:rPr>
            </w:pPr>
          </w:p>
        </w:tc>
        <w:tc>
          <w:tcPr>
            <w:tcW w:w="0" w:type="auto"/>
            <w:tcBorders>
              <w:top w:val="single" w:sz="6" w:space="0" w:color="000000"/>
              <w:left w:val="nil"/>
              <w:bottom w:val="nil"/>
              <w:right w:val="single" w:sz="6" w:space="0" w:color="000000"/>
              <w:tl2br w:val="nil"/>
              <w:tr2bl w:val="nil"/>
            </w:tcBorders>
            <w:shd w:val="clear" w:color="auto" w:fill="FFFFFF"/>
            <w:tcMar>
              <w:left w:w="115" w:type="dxa"/>
              <w:right w:w="115" w:type="dxa"/>
            </w:tcMar>
            <w:vAlign w:val="bottom"/>
          </w:tcPr>
          <w:p w14:paraId="3401334A" w14:textId="77777777" w:rsidR="00724034" w:rsidRDefault="00724034">
            <w:pPr>
              <w:jc w:val="right"/>
              <w:rPr>
                <w:rFonts w:ascii="Arial" w:eastAsia="Arial" w:hAnsi="Arial" w:cs="Arial"/>
                <w:color w:val="000000"/>
                <w:sz w:val="16"/>
                <w:vertAlign w:val="superscript"/>
              </w:rPr>
            </w:pPr>
          </w:p>
        </w:tc>
      </w:tr>
      <w:tr w:rsidR="00FB7D0B" w14:paraId="189E4BE8" w14:textId="77777777" w:rsidTr="00FB7D0B">
        <w:tblPrEx>
          <w:tblLook w:val="04A0" w:firstRow="1" w:lastRow="0" w:firstColumn="1" w:lastColumn="0" w:noHBand="0" w:noVBand="1"/>
        </w:tblPrEx>
        <w:trPr>
          <w:gridAfter w:val="1"/>
          <w:wAfter w:w="10" w:type="dxa"/>
          <w:trHeight w:val="225"/>
        </w:trPr>
        <w:tc>
          <w:tcPr>
            <w:tcW w:w="0" w:type="auto"/>
            <w:tcBorders>
              <w:top w:val="single" w:sz="6" w:space="0" w:color="FFFFFF"/>
              <w:left w:val="single" w:sz="6" w:space="0" w:color="000000"/>
              <w:bottom w:val="nil"/>
              <w:right w:val="nil"/>
              <w:tl2br w:val="nil"/>
              <w:tr2bl w:val="nil"/>
            </w:tcBorders>
            <w:shd w:val="clear" w:color="auto" w:fill="FFFFFF"/>
            <w:tcMar>
              <w:left w:w="115" w:type="dxa"/>
              <w:right w:w="115" w:type="dxa"/>
            </w:tcMar>
            <w:vAlign w:val="bottom"/>
          </w:tcPr>
          <w:p w14:paraId="44664DA3" w14:textId="77777777" w:rsidR="00724034" w:rsidRDefault="00724034">
            <w:pPr>
              <w:rPr>
                <w:rFonts w:ascii="Arial" w:eastAsia="Arial" w:hAnsi="Arial" w:cs="Arial"/>
                <w:color w:val="000000"/>
                <w:sz w:val="16"/>
                <w:vertAlign w:val="superscript"/>
              </w:rPr>
            </w:pPr>
          </w:p>
        </w:tc>
        <w:tc>
          <w:tcPr>
            <w:tcW w:w="0" w:type="auto"/>
            <w:gridSpan w:val="2"/>
            <w:tcBorders>
              <w:top w:val="single" w:sz="6" w:space="0" w:color="FFFFFF"/>
              <w:left w:val="nil"/>
              <w:bottom w:val="nil"/>
              <w:right w:val="nil"/>
              <w:tl2br w:val="nil"/>
              <w:tr2bl w:val="nil"/>
            </w:tcBorders>
            <w:shd w:val="clear" w:color="auto" w:fill="FFFFFF"/>
            <w:tcMar>
              <w:left w:w="115" w:type="dxa"/>
              <w:right w:w="115" w:type="dxa"/>
            </w:tcMar>
            <w:vAlign w:val="bottom"/>
          </w:tcPr>
          <w:p w14:paraId="23BD50B1" w14:textId="77777777" w:rsidR="00724034" w:rsidRDefault="00FB7D0B">
            <w:pPr>
              <w:rPr>
                <w:rFonts w:ascii="Arial" w:eastAsia="Arial" w:hAnsi="Arial" w:cs="Arial"/>
                <w:color w:val="000000"/>
                <w:sz w:val="16"/>
                <w:vertAlign w:val="superscript"/>
              </w:rPr>
            </w:pPr>
            <w:r>
              <w:rPr>
                <w:rFonts w:ascii="Arial" w:eastAsia="Arial" w:hAnsi="Arial" w:cs="Arial"/>
                <w:color w:val="000000"/>
                <w:sz w:val="16"/>
              </w:rPr>
              <w:t>Appropriation Bill 1</w:t>
            </w:r>
          </w:p>
        </w:tc>
        <w:tc>
          <w:tcPr>
            <w:tcW w:w="0" w:type="auto"/>
            <w:tcBorders>
              <w:top w:val="nil"/>
              <w:left w:val="nil"/>
              <w:bottom w:val="nil"/>
              <w:right w:val="nil"/>
              <w:tl2br w:val="nil"/>
              <w:tr2bl w:val="nil"/>
            </w:tcBorders>
            <w:shd w:val="clear" w:color="auto" w:fill="FFFFFF"/>
            <w:tcMar>
              <w:left w:w="115" w:type="dxa"/>
              <w:right w:w="115" w:type="dxa"/>
            </w:tcMar>
            <w:vAlign w:val="bottom"/>
          </w:tcPr>
          <w:p w14:paraId="30CD4E0C" w14:textId="77777777" w:rsidR="00724034" w:rsidRDefault="00724034">
            <w:pPr>
              <w:jc w:val="right"/>
              <w:rPr>
                <w:rFonts w:ascii="Arial" w:eastAsia="Arial" w:hAnsi="Arial" w:cs="Arial"/>
                <w:color w:val="000000"/>
                <w:sz w:val="16"/>
                <w:vertAlign w:val="superscript"/>
              </w:rPr>
            </w:pPr>
          </w:p>
        </w:tc>
        <w:tc>
          <w:tcPr>
            <w:tcW w:w="0" w:type="auto"/>
            <w:tcBorders>
              <w:top w:val="nil"/>
              <w:left w:val="nil"/>
              <w:bottom w:val="nil"/>
              <w:right w:val="nil"/>
              <w:tl2br w:val="nil"/>
              <w:tr2bl w:val="nil"/>
            </w:tcBorders>
            <w:shd w:val="clear" w:color="auto" w:fill="FFFF00"/>
            <w:tcMar>
              <w:left w:w="115" w:type="dxa"/>
              <w:right w:w="115" w:type="dxa"/>
            </w:tcMar>
            <w:vAlign w:val="bottom"/>
          </w:tcPr>
          <w:p w14:paraId="4F380198" w14:textId="77777777" w:rsidR="00724034" w:rsidRDefault="00724034">
            <w:pPr>
              <w:jc w:val="right"/>
              <w:rPr>
                <w:rFonts w:ascii="Arial" w:eastAsia="Arial" w:hAnsi="Arial" w:cs="Arial"/>
                <w:color w:val="000000"/>
                <w:sz w:val="16"/>
                <w:vertAlign w:val="superscript"/>
              </w:rPr>
            </w:pPr>
          </w:p>
        </w:tc>
        <w:tc>
          <w:tcPr>
            <w:tcW w:w="0" w:type="auto"/>
            <w:tcBorders>
              <w:top w:val="nil"/>
              <w:left w:val="nil"/>
              <w:bottom w:val="nil"/>
              <w:right w:val="nil"/>
              <w:tl2br w:val="nil"/>
              <w:tr2bl w:val="nil"/>
            </w:tcBorders>
            <w:shd w:val="clear" w:color="auto" w:fill="FFFFFF"/>
            <w:tcMar>
              <w:left w:w="115" w:type="dxa"/>
              <w:right w:w="115" w:type="dxa"/>
            </w:tcMar>
            <w:vAlign w:val="bottom"/>
          </w:tcPr>
          <w:p w14:paraId="32A1F8E4" w14:textId="77777777" w:rsidR="00724034" w:rsidRDefault="00724034">
            <w:pPr>
              <w:jc w:val="right"/>
              <w:rPr>
                <w:rFonts w:ascii="Arial" w:eastAsia="Arial" w:hAnsi="Arial" w:cs="Arial"/>
                <w:color w:val="000000"/>
                <w:sz w:val="16"/>
                <w:vertAlign w:val="superscript"/>
              </w:rPr>
            </w:pPr>
          </w:p>
        </w:tc>
        <w:tc>
          <w:tcPr>
            <w:tcW w:w="0" w:type="auto"/>
            <w:tcBorders>
              <w:top w:val="nil"/>
              <w:left w:val="nil"/>
              <w:bottom w:val="nil"/>
              <w:right w:val="nil"/>
              <w:tl2br w:val="nil"/>
              <w:tr2bl w:val="nil"/>
            </w:tcBorders>
            <w:shd w:val="clear" w:color="auto" w:fill="FFFFFF"/>
            <w:tcMar>
              <w:left w:w="115" w:type="dxa"/>
              <w:right w:w="115" w:type="dxa"/>
            </w:tcMar>
            <w:vAlign w:val="bottom"/>
          </w:tcPr>
          <w:p w14:paraId="0AD6000C" w14:textId="77777777" w:rsidR="00724034" w:rsidRDefault="00724034">
            <w:pPr>
              <w:jc w:val="right"/>
              <w:rPr>
                <w:rFonts w:ascii="Arial" w:eastAsia="Arial" w:hAnsi="Arial" w:cs="Arial"/>
                <w:color w:val="000000"/>
                <w:sz w:val="16"/>
                <w:vertAlign w:val="superscript"/>
              </w:rPr>
            </w:pPr>
          </w:p>
        </w:tc>
        <w:tc>
          <w:tcPr>
            <w:tcW w:w="0" w:type="auto"/>
            <w:tcBorders>
              <w:top w:val="nil"/>
              <w:left w:val="nil"/>
              <w:bottom w:val="nil"/>
              <w:right w:val="single" w:sz="6" w:space="0" w:color="000000"/>
              <w:tl2br w:val="nil"/>
              <w:tr2bl w:val="nil"/>
            </w:tcBorders>
            <w:shd w:val="clear" w:color="auto" w:fill="FFFFFF"/>
            <w:tcMar>
              <w:left w:w="115" w:type="dxa"/>
              <w:right w:w="115" w:type="dxa"/>
            </w:tcMar>
            <w:vAlign w:val="bottom"/>
          </w:tcPr>
          <w:p w14:paraId="4ECC8F32" w14:textId="77777777" w:rsidR="00724034" w:rsidRDefault="00724034">
            <w:pPr>
              <w:jc w:val="right"/>
              <w:rPr>
                <w:rFonts w:ascii="Arial" w:eastAsia="Arial" w:hAnsi="Arial" w:cs="Arial"/>
                <w:color w:val="000000"/>
                <w:sz w:val="16"/>
                <w:vertAlign w:val="superscript"/>
              </w:rPr>
            </w:pPr>
          </w:p>
        </w:tc>
      </w:tr>
      <w:tr w:rsidR="00724034" w14:paraId="4B4AC90F" w14:textId="77777777">
        <w:tblPrEx>
          <w:tblLook w:val="04A0" w:firstRow="1" w:lastRow="0" w:firstColumn="1" w:lastColumn="0" w:noHBand="0" w:noVBand="1"/>
        </w:tblPrEx>
        <w:trPr>
          <w:gridAfter w:val="1"/>
          <w:wAfter w:w="10" w:type="dxa"/>
          <w:trHeight w:val="630"/>
        </w:trPr>
        <w:tc>
          <w:tcPr>
            <w:tcW w:w="0" w:type="auto"/>
            <w:tcBorders>
              <w:top w:val="nil"/>
              <w:left w:val="single" w:sz="6" w:space="0" w:color="000000"/>
              <w:bottom w:val="nil"/>
              <w:right w:val="nil"/>
              <w:tl2br w:val="nil"/>
              <w:tr2bl w:val="nil"/>
            </w:tcBorders>
            <w:shd w:val="clear" w:color="auto" w:fill="FFFFFF"/>
            <w:tcMar>
              <w:left w:w="115" w:type="dxa"/>
              <w:right w:w="115" w:type="dxa"/>
            </w:tcMar>
            <w:vAlign w:val="bottom"/>
          </w:tcPr>
          <w:p w14:paraId="0BD2B57D" w14:textId="77777777" w:rsidR="00724034" w:rsidRDefault="00724034">
            <w:pPr>
              <w:rPr>
                <w:rFonts w:ascii="Arial" w:eastAsia="Arial" w:hAnsi="Arial" w:cs="Arial"/>
                <w:color w:val="000000"/>
                <w:sz w:val="16"/>
                <w:vertAlign w:val="superscript"/>
              </w:rPr>
            </w:pPr>
          </w:p>
        </w:tc>
        <w:tc>
          <w:tcPr>
            <w:tcW w:w="0" w:type="auto"/>
            <w:tcBorders>
              <w:top w:val="nil"/>
              <w:left w:val="nil"/>
              <w:bottom w:val="nil"/>
              <w:right w:val="nil"/>
              <w:tl2br w:val="nil"/>
              <w:tr2bl w:val="nil"/>
            </w:tcBorders>
            <w:shd w:val="clear" w:color="auto" w:fill="FFFFFF"/>
            <w:tcMar>
              <w:left w:w="115" w:type="dxa"/>
              <w:right w:w="115" w:type="dxa"/>
            </w:tcMar>
            <w:vAlign w:val="bottom"/>
          </w:tcPr>
          <w:p w14:paraId="2D892459" w14:textId="77777777" w:rsidR="00724034" w:rsidRDefault="00724034">
            <w:pPr>
              <w:rPr>
                <w:rFonts w:ascii="Arial" w:eastAsia="Arial" w:hAnsi="Arial" w:cs="Arial"/>
                <w:color w:val="000000"/>
                <w:sz w:val="16"/>
                <w:vertAlign w:val="superscript"/>
              </w:rPr>
            </w:pPr>
          </w:p>
        </w:tc>
        <w:tc>
          <w:tcPr>
            <w:tcW w:w="0" w:type="auto"/>
            <w:tcBorders>
              <w:top w:val="nil"/>
              <w:left w:val="nil"/>
              <w:bottom w:val="nil"/>
              <w:right w:val="nil"/>
              <w:tl2br w:val="nil"/>
              <w:tr2bl w:val="nil"/>
            </w:tcBorders>
            <w:shd w:val="clear" w:color="auto" w:fill="FFFFFF"/>
            <w:tcMar>
              <w:left w:w="115" w:type="dxa"/>
              <w:right w:w="115" w:type="dxa"/>
            </w:tcMar>
            <w:vAlign w:val="bottom"/>
          </w:tcPr>
          <w:p w14:paraId="01443D0F" w14:textId="77777777" w:rsidR="00724034" w:rsidRDefault="00FB7D0B">
            <w:pPr>
              <w:rPr>
                <w:rFonts w:ascii="Arial" w:eastAsia="Arial" w:hAnsi="Arial" w:cs="Arial"/>
                <w:color w:val="000000"/>
                <w:sz w:val="16"/>
                <w:vertAlign w:val="superscript"/>
              </w:rPr>
            </w:pPr>
            <w:r>
              <w:rPr>
                <w:rFonts w:ascii="Arial" w:eastAsia="Arial" w:hAnsi="Arial" w:cs="Arial"/>
                <w:color w:val="000000"/>
                <w:sz w:val="16"/>
              </w:rPr>
              <w:t>Other income support and compensation-related payments - SRCA</w:t>
            </w:r>
          </w:p>
        </w:tc>
        <w:tc>
          <w:tcPr>
            <w:tcW w:w="0" w:type="auto"/>
            <w:tcBorders>
              <w:top w:val="nil"/>
              <w:left w:val="nil"/>
              <w:bottom w:val="nil"/>
              <w:right w:val="nil"/>
              <w:tl2br w:val="nil"/>
              <w:tr2bl w:val="nil"/>
            </w:tcBorders>
            <w:shd w:val="clear" w:color="auto" w:fill="FFFFFF"/>
            <w:tcMar>
              <w:left w:w="115" w:type="dxa"/>
              <w:right w:w="115" w:type="dxa"/>
            </w:tcMar>
            <w:vAlign w:val="bottom"/>
          </w:tcPr>
          <w:p w14:paraId="31E709F1" w14:textId="77777777" w:rsidR="00724034" w:rsidRDefault="00FB7D0B">
            <w:pPr>
              <w:jc w:val="right"/>
              <w:rPr>
                <w:rFonts w:ascii="Arial" w:eastAsia="Arial" w:hAnsi="Arial" w:cs="Arial"/>
                <w:color w:val="000000"/>
                <w:sz w:val="16"/>
                <w:vertAlign w:val="superscript"/>
              </w:rPr>
            </w:pPr>
            <w:r>
              <w:rPr>
                <w:rFonts w:ascii="Arial" w:eastAsia="Arial" w:hAnsi="Arial" w:cs="Arial"/>
                <w:color w:val="000000"/>
                <w:sz w:val="16"/>
              </w:rPr>
              <w:t xml:space="preserve"> 2,832 </w:t>
            </w:r>
          </w:p>
        </w:tc>
        <w:tc>
          <w:tcPr>
            <w:tcW w:w="0" w:type="auto"/>
            <w:tcBorders>
              <w:top w:val="nil"/>
              <w:left w:val="nil"/>
              <w:bottom w:val="nil"/>
              <w:right w:val="nil"/>
              <w:tl2br w:val="nil"/>
              <w:tr2bl w:val="nil"/>
            </w:tcBorders>
            <w:shd w:val="clear" w:color="auto" w:fill="FFFF00"/>
            <w:tcMar>
              <w:left w:w="115" w:type="dxa"/>
              <w:right w:w="115" w:type="dxa"/>
            </w:tcMar>
            <w:vAlign w:val="bottom"/>
          </w:tcPr>
          <w:p w14:paraId="077543D0" w14:textId="77777777" w:rsidR="00724034" w:rsidRDefault="00FB7D0B">
            <w:pPr>
              <w:jc w:val="right"/>
              <w:rPr>
                <w:rFonts w:ascii="Arial" w:eastAsia="Arial" w:hAnsi="Arial" w:cs="Arial"/>
                <w:color w:val="000000"/>
                <w:sz w:val="16"/>
              </w:rPr>
            </w:pPr>
            <w:r>
              <w:rPr>
                <w:rFonts w:ascii="Arial" w:eastAsia="Arial" w:hAnsi="Arial" w:cs="Arial"/>
                <w:color w:val="000000"/>
                <w:sz w:val="16"/>
              </w:rPr>
              <w:t xml:space="preserve"> 2,843 </w:t>
            </w:r>
          </w:p>
        </w:tc>
        <w:tc>
          <w:tcPr>
            <w:tcW w:w="0" w:type="auto"/>
            <w:tcBorders>
              <w:top w:val="nil"/>
              <w:left w:val="nil"/>
              <w:bottom w:val="nil"/>
              <w:right w:val="nil"/>
              <w:tl2br w:val="nil"/>
              <w:tr2bl w:val="nil"/>
            </w:tcBorders>
            <w:shd w:val="clear" w:color="auto" w:fill="FFFFFF"/>
            <w:tcMar>
              <w:left w:w="115" w:type="dxa"/>
              <w:right w:w="115" w:type="dxa"/>
            </w:tcMar>
            <w:vAlign w:val="bottom"/>
          </w:tcPr>
          <w:p w14:paraId="38B738B3" w14:textId="77777777" w:rsidR="00724034" w:rsidRDefault="00FB7D0B">
            <w:pPr>
              <w:jc w:val="right"/>
              <w:rPr>
                <w:rFonts w:ascii="Arial" w:eastAsia="Arial" w:hAnsi="Arial" w:cs="Arial"/>
                <w:color w:val="000000"/>
                <w:sz w:val="16"/>
              </w:rPr>
            </w:pPr>
            <w:r>
              <w:rPr>
                <w:rFonts w:ascii="Arial" w:eastAsia="Arial" w:hAnsi="Arial" w:cs="Arial"/>
                <w:color w:val="000000"/>
                <w:sz w:val="16"/>
              </w:rPr>
              <w:t xml:space="preserve"> 2,722 </w:t>
            </w:r>
          </w:p>
        </w:tc>
        <w:tc>
          <w:tcPr>
            <w:tcW w:w="0" w:type="auto"/>
            <w:tcBorders>
              <w:top w:val="nil"/>
              <w:left w:val="nil"/>
              <w:bottom w:val="nil"/>
              <w:right w:val="nil"/>
              <w:tl2br w:val="nil"/>
              <w:tr2bl w:val="nil"/>
            </w:tcBorders>
            <w:shd w:val="clear" w:color="auto" w:fill="FFFFFF"/>
            <w:tcMar>
              <w:left w:w="115" w:type="dxa"/>
              <w:right w:w="115" w:type="dxa"/>
            </w:tcMar>
            <w:vAlign w:val="bottom"/>
          </w:tcPr>
          <w:p w14:paraId="6806FAB6" w14:textId="77777777" w:rsidR="00724034" w:rsidRDefault="00FB7D0B">
            <w:pPr>
              <w:jc w:val="right"/>
              <w:rPr>
                <w:rFonts w:ascii="Arial" w:eastAsia="Arial" w:hAnsi="Arial" w:cs="Arial"/>
                <w:color w:val="000000"/>
                <w:sz w:val="16"/>
              </w:rPr>
            </w:pPr>
            <w:r>
              <w:rPr>
                <w:rFonts w:ascii="Arial" w:eastAsia="Arial" w:hAnsi="Arial" w:cs="Arial"/>
                <w:color w:val="000000"/>
                <w:sz w:val="16"/>
              </w:rPr>
              <w:t xml:space="preserve"> 2,723 </w:t>
            </w:r>
          </w:p>
        </w:tc>
        <w:tc>
          <w:tcPr>
            <w:tcW w:w="0" w:type="auto"/>
            <w:tcBorders>
              <w:top w:val="nil"/>
              <w:left w:val="nil"/>
              <w:bottom w:val="nil"/>
              <w:right w:val="single" w:sz="6" w:space="0" w:color="000000"/>
              <w:tl2br w:val="nil"/>
              <w:tr2bl w:val="nil"/>
            </w:tcBorders>
            <w:shd w:val="clear" w:color="auto" w:fill="FFFFFF"/>
            <w:tcMar>
              <w:left w:w="115" w:type="dxa"/>
              <w:right w:w="115" w:type="dxa"/>
            </w:tcMar>
            <w:vAlign w:val="bottom"/>
          </w:tcPr>
          <w:p w14:paraId="6ECD0BCE" w14:textId="77777777" w:rsidR="00724034" w:rsidRDefault="00FB7D0B">
            <w:pPr>
              <w:jc w:val="right"/>
              <w:rPr>
                <w:rFonts w:ascii="Arial" w:eastAsia="Arial" w:hAnsi="Arial" w:cs="Arial"/>
                <w:color w:val="000000"/>
                <w:sz w:val="16"/>
              </w:rPr>
            </w:pPr>
            <w:r>
              <w:rPr>
                <w:rFonts w:ascii="Arial" w:eastAsia="Arial" w:hAnsi="Arial" w:cs="Arial"/>
                <w:color w:val="000000"/>
                <w:sz w:val="16"/>
              </w:rPr>
              <w:t xml:space="preserve"> 2,790 </w:t>
            </w:r>
          </w:p>
        </w:tc>
      </w:tr>
      <w:tr w:rsidR="00724034" w14:paraId="59CC3326" w14:textId="77777777">
        <w:tblPrEx>
          <w:tblLook w:val="04A0" w:firstRow="1" w:lastRow="0" w:firstColumn="1" w:lastColumn="0" w:noHBand="0" w:noVBand="1"/>
        </w:tblPrEx>
        <w:trPr>
          <w:gridAfter w:val="1"/>
          <w:wAfter w:w="10" w:type="dxa"/>
          <w:trHeight w:val="450"/>
        </w:trPr>
        <w:tc>
          <w:tcPr>
            <w:tcW w:w="0" w:type="auto"/>
            <w:tcBorders>
              <w:top w:val="nil"/>
              <w:left w:val="single" w:sz="6" w:space="0" w:color="000000"/>
              <w:bottom w:val="nil"/>
              <w:right w:val="nil"/>
              <w:tl2br w:val="nil"/>
              <w:tr2bl w:val="nil"/>
            </w:tcBorders>
            <w:shd w:val="clear" w:color="auto" w:fill="FFFFFF"/>
            <w:tcMar>
              <w:left w:w="115" w:type="dxa"/>
              <w:right w:w="115" w:type="dxa"/>
            </w:tcMar>
            <w:vAlign w:val="bottom"/>
          </w:tcPr>
          <w:p w14:paraId="0F101B98" w14:textId="77777777" w:rsidR="00724034" w:rsidRDefault="00724034">
            <w:pPr>
              <w:rPr>
                <w:rFonts w:ascii="Arial" w:eastAsia="Arial" w:hAnsi="Arial" w:cs="Arial"/>
                <w:color w:val="000000"/>
                <w:sz w:val="16"/>
              </w:rPr>
            </w:pPr>
          </w:p>
        </w:tc>
        <w:tc>
          <w:tcPr>
            <w:tcW w:w="0" w:type="auto"/>
            <w:tcBorders>
              <w:top w:val="nil"/>
              <w:left w:val="nil"/>
              <w:bottom w:val="nil"/>
              <w:right w:val="nil"/>
              <w:tl2br w:val="nil"/>
              <w:tr2bl w:val="nil"/>
            </w:tcBorders>
            <w:shd w:val="clear" w:color="auto" w:fill="FFFFFF"/>
            <w:tcMar>
              <w:left w:w="115" w:type="dxa"/>
              <w:right w:w="115" w:type="dxa"/>
            </w:tcMar>
            <w:vAlign w:val="bottom"/>
          </w:tcPr>
          <w:p w14:paraId="77FF5335" w14:textId="77777777" w:rsidR="00724034" w:rsidRDefault="00724034">
            <w:pPr>
              <w:rPr>
                <w:rFonts w:ascii="Arial" w:eastAsia="Arial" w:hAnsi="Arial" w:cs="Arial"/>
                <w:color w:val="000000"/>
                <w:sz w:val="16"/>
              </w:rPr>
            </w:pPr>
          </w:p>
        </w:tc>
        <w:tc>
          <w:tcPr>
            <w:tcW w:w="0" w:type="auto"/>
            <w:tcBorders>
              <w:top w:val="nil"/>
              <w:left w:val="nil"/>
              <w:bottom w:val="nil"/>
              <w:right w:val="nil"/>
              <w:tl2br w:val="nil"/>
              <w:tr2bl w:val="nil"/>
            </w:tcBorders>
            <w:shd w:val="clear" w:color="auto" w:fill="FFFFFF"/>
            <w:tcMar>
              <w:left w:w="115" w:type="dxa"/>
              <w:right w:w="115" w:type="dxa"/>
            </w:tcMar>
            <w:vAlign w:val="bottom"/>
          </w:tcPr>
          <w:p w14:paraId="192812EA" w14:textId="77777777" w:rsidR="00724034" w:rsidRDefault="00FB7D0B">
            <w:pPr>
              <w:rPr>
                <w:rFonts w:ascii="Arial" w:eastAsia="Arial" w:hAnsi="Arial" w:cs="Arial"/>
                <w:color w:val="000000"/>
                <w:sz w:val="16"/>
              </w:rPr>
            </w:pPr>
            <w:r>
              <w:rPr>
                <w:rFonts w:ascii="Arial" w:eastAsia="Arial" w:hAnsi="Arial" w:cs="Arial"/>
                <w:color w:val="000000"/>
                <w:sz w:val="16"/>
              </w:rPr>
              <w:t>Other income support and compensation-related payments - MRCA</w:t>
            </w:r>
          </w:p>
        </w:tc>
        <w:tc>
          <w:tcPr>
            <w:tcW w:w="0" w:type="auto"/>
            <w:tcBorders>
              <w:top w:val="nil"/>
              <w:left w:val="nil"/>
              <w:bottom w:val="nil"/>
              <w:right w:val="nil"/>
              <w:tl2br w:val="nil"/>
              <w:tr2bl w:val="nil"/>
            </w:tcBorders>
            <w:shd w:val="clear" w:color="auto" w:fill="FFFFFF"/>
            <w:tcMar>
              <w:left w:w="115" w:type="dxa"/>
              <w:right w:w="115" w:type="dxa"/>
            </w:tcMar>
            <w:vAlign w:val="bottom"/>
          </w:tcPr>
          <w:p w14:paraId="316A5BD2" w14:textId="77777777" w:rsidR="00724034" w:rsidRDefault="00FB7D0B">
            <w:pPr>
              <w:jc w:val="right"/>
              <w:rPr>
                <w:rFonts w:ascii="Arial" w:eastAsia="Arial" w:hAnsi="Arial" w:cs="Arial"/>
                <w:color w:val="000000"/>
                <w:sz w:val="16"/>
                <w:vertAlign w:val="superscript"/>
              </w:rPr>
            </w:pPr>
            <w:r>
              <w:rPr>
                <w:rFonts w:ascii="Arial" w:eastAsia="Arial" w:hAnsi="Arial" w:cs="Arial"/>
                <w:color w:val="000000"/>
                <w:sz w:val="16"/>
              </w:rPr>
              <w:t xml:space="preserve"> 1,122 </w:t>
            </w:r>
          </w:p>
        </w:tc>
        <w:tc>
          <w:tcPr>
            <w:tcW w:w="0" w:type="auto"/>
            <w:tcBorders>
              <w:top w:val="nil"/>
              <w:left w:val="nil"/>
              <w:bottom w:val="nil"/>
              <w:right w:val="nil"/>
              <w:tl2br w:val="nil"/>
              <w:tr2bl w:val="nil"/>
            </w:tcBorders>
            <w:shd w:val="clear" w:color="auto" w:fill="FFFF00"/>
            <w:tcMar>
              <w:left w:w="115" w:type="dxa"/>
              <w:right w:w="115" w:type="dxa"/>
            </w:tcMar>
            <w:vAlign w:val="bottom"/>
          </w:tcPr>
          <w:p w14:paraId="585165B3" w14:textId="77777777" w:rsidR="00724034" w:rsidRDefault="00FB7D0B">
            <w:pPr>
              <w:jc w:val="right"/>
              <w:rPr>
                <w:rFonts w:ascii="Arial" w:eastAsia="Arial" w:hAnsi="Arial" w:cs="Arial"/>
                <w:color w:val="000000"/>
                <w:sz w:val="16"/>
              </w:rPr>
            </w:pPr>
            <w:r>
              <w:rPr>
                <w:rFonts w:ascii="Arial" w:eastAsia="Arial" w:hAnsi="Arial" w:cs="Arial"/>
                <w:color w:val="000000"/>
                <w:sz w:val="16"/>
              </w:rPr>
              <w:t xml:space="preserve"> 1,325 </w:t>
            </w:r>
          </w:p>
        </w:tc>
        <w:tc>
          <w:tcPr>
            <w:tcW w:w="0" w:type="auto"/>
            <w:tcBorders>
              <w:top w:val="nil"/>
              <w:left w:val="nil"/>
              <w:bottom w:val="nil"/>
              <w:right w:val="nil"/>
              <w:tl2br w:val="nil"/>
              <w:tr2bl w:val="nil"/>
            </w:tcBorders>
            <w:shd w:val="clear" w:color="auto" w:fill="FFFFFF"/>
            <w:tcMar>
              <w:left w:w="115" w:type="dxa"/>
              <w:right w:w="115" w:type="dxa"/>
            </w:tcMar>
            <w:vAlign w:val="bottom"/>
          </w:tcPr>
          <w:p w14:paraId="45B758C5" w14:textId="77777777" w:rsidR="00724034" w:rsidRDefault="00FB7D0B">
            <w:pPr>
              <w:jc w:val="right"/>
              <w:rPr>
                <w:rFonts w:ascii="Arial" w:eastAsia="Arial" w:hAnsi="Arial" w:cs="Arial"/>
                <w:color w:val="000000"/>
                <w:sz w:val="16"/>
              </w:rPr>
            </w:pPr>
            <w:r>
              <w:rPr>
                <w:rFonts w:ascii="Arial" w:eastAsia="Arial" w:hAnsi="Arial" w:cs="Arial"/>
                <w:color w:val="000000"/>
                <w:sz w:val="16"/>
              </w:rPr>
              <w:t xml:space="preserve"> 1,458 </w:t>
            </w:r>
          </w:p>
        </w:tc>
        <w:tc>
          <w:tcPr>
            <w:tcW w:w="0" w:type="auto"/>
            <w:tcBorders>
              <w:top w:val="nil"/>
              <w:left w:val="nil"/>
              <w:bottom w:val="nil"/>
              <w:right w:val="nil"/>
              <w:tl2br w:val="nil"/>
              <w:tr2bl w:val="nil"/>
            </w:tcBorders>
            <w:shd w:val="clear" w:color="auto" w:fill="FFFFFF"/>
            <w:tcMar>
              <w:left w:w="115" w:type="dxa"/>
              <w:right w:w="115" w:type="dxa"/>
            </w:tcMar>
            <w:vAlign w:val="bottom"/>
          </w:tcPr>
          <w:p w14:paraId="25D5681E" w14:textId="77777777" w:rsidR="00724034" w:rsidRDefault="00FB7D0B">
            <w:pPr>
              <w:jc w:val="right"/>
              <w:rPr>
                <w:rFonts w:ascii="Arial" w:eastAsia="Arial" w:hAnsi="Arial" w:cs="Arial"/>
                <w:color w:val="000000"/>
                <w:sz w:val="16"/>
              </w:rPr>
            </w:pPr>
            <w:r>
              <w:rPr>
                <w:rFonts w:ascii="Arial" w:eastAsia="Arial" w:hAnsi="Arial" w:cs="Arial"/>
                <w:color w:val="000000"/>
                <w:sz w:val="16"/>
              </w:rPr>
              <w:t xml:space="preserve"> 1,604 </w:t>
            </w:r>
          </w:p>
        </w:tc>
        <w:tc>
          <w:tcPr>
            <w:tcW w:w="0" w:type="auto"/>
            <w:tcBorders>
              <w:top w:val="nil"/>
              <w:left w:val="nil"/>
              <w:bottom w:val="nil"/>
              <w:right w:val="single" w:sz="6" w:space="0" w:color="000000"/>
              <w:tl2br w:val="nil"/>
              <w:tr2bl w:val="nil"/>
            </w:tcBorders>
            <w:shd w:val="clear" w:color="auto" w:fill="FFFFFF"/>
            <w:tcMar>
              <w:left w:w="115" w:type="dxa"/>
              <w:right w:w="115" w:type="dxa"/>
            </w:tcMar>
            <w:vAlign w:val="bottom"/>
          </w:tcPr>
          <w:p w14:paraId="0708059E" w14:textId="77777777" w:rsidR="00724034" w:rsidRDefault="00FB7D0B">
            <w:pPr>
              <w:jc w:val="right"/>
              <w:rPr>
                <w:rFonts w:ascii="Arial" w:eastAsia="Arial" w:hAnsi="Arial" w:cs="Arial"/>
                <w:color w:val="000000"/>
                <w:sz w:val="16"/>
              </w:rPr>
            </w:pPr>
            <w:r>
              <w:rPr>
                <w:rFonts w:ascii="Arial" w:eastAsia="Arial" w:hAnsi="Arial" w:cs="Arial"/>
                <w:color w:val="000000"/>
                <w:sz w:val="16"/>
              </w:rPr>
              <w:t xml:space="preserve"> 1,645 </w:t>
            </w:r>
          </w:p>
        </w:tc>
      </w:tr>
      <w:tr w:rsidR="00FB7D0B" w14:paraId="5D7A93A2" w14:textId="77777777" w:rsidTr="00FB7D0B">
        <w:tblPrEx>
          <w:tblLook w:val="04A0" w:firstRow="1" w:lastRow="0" w:firstColumn="1" w:lastColumn="0" w:noHBand="0" w:noVBand="1"/>
        </w:tblPrEx>
        <w:trPr>
          <w:gridAfter w:val="1"/>
          <w:wAfter w:w="10" w:type="dxa"/>
          <w:trHeight w:val="225"/>
        </w:trPr>
        <w:tc>
          <w:tcPr>
            <w:tcW w:w="0" w:type="auto"/>
            <w:gridSpan w:val="3"/>
            <w:tcBorders>
              <w:top w:val="nil"/>
              <w:left w:val="single" w:sz="6" w:space="0" w:color="000000"/>
              <w:bottom w:val="nil"/>
              <w:right w:val="nil"/>
              <w:tl2br w:val="nil"/>
              <w:tr2bl w:val="nil"/>
            </w:tcBorders>
            <w:shd w:val="clear" w:color="auto" w:fill="FFFFFF"/>
            <w:tcMar>
              <w:left w:w="115" w:type="dxa"/>
              <w:right w:w="115" w:type="dxa"/>
            </w:tcMar>
            <w:vAlign w:val="bottom"/>
          </w:tcPr>
          <w:p w14:paraId="09D30DDA" w14:textId="77777777" w:rsidR="00724034" w:rsidRDefault="00FB7D0B">
            <w:pPr>
              <w:rPr>
                <w:rFonts w:ascii="Arial" w:eastAsia="Arial" w:hAnsi="Arial" w:cs="Arial"/>
                <w:color w:val="000000"/>
                <w:sz w:val="16"/>
              </w:rPr>
            </w:pPr>
            <w:r>
              <w:rPr>
                <w:rFonts w:ascii="Arial" w:eastAsia="Arial" w:hAnsi="Arial" w:cs="Arial"/>
                <w:color w:val="000000"/>
                <w:sz w:val="16"/>
              </w:rPr>
              <w:t>Special Appropriations:</w:t>
            </w:r>
          </w:p>
        </w:tc>
        <w:tc>
          <w:tcPr>
            <w:tcW w:w="0" w:type="auto"/>
            <w:tcBorders>
              <w:top w:val="nil"/>
              <w:left w:val="nil"/>
              <w:bottom w:val="nil"/>
              <w:right w:val="nil"/>
              <w:tl2br w:val="nil"/>
              <w:tr2bl w:val="nil"/>
            </w:tcBorders>
            <w:shd w:val="clear" w:color="auto" w:fill="FFFFFF"/>
            <w:tcMar>
              <w:left w:w="115" w:type="dxa"/>
              <w:right w:w="115" w:type="dxa"/>
            </w:tcMar>
            <w:vAlign w:val="bottom"/>
          </w:tcPr>
          <w:p w14:paraId="00C71DE5" w14:textId="77777777" w:rsidR="00724034" w:rsidRDefault="00724034">
            <w:pPr>
              <w:rPr>
                <w:rFonts w:ascii="Arial" w:eastAsia="Arial" w:hAnsi="Arial" w:cs="Arial"/>
                <w:color w:val="000000"/>
                <w:sz w:val="16"/>
                <w:vertAlign w:val="superscript"/>
              </w:rPr>
            </w:pPr>
          </w:p>
        </w:tc>
        <w:tc>
          <w:tcPr>
            <w:tcW w:w="0" w:type="auto"/>
            <w:tcBorders>
              <w:top w:val="nil"/>
              <w:left w:val="nil"/>
              <w:bottom w:val="nil"/>
              <w:right w:val="nil"/>
              <w:tl2br w:val="nil"/>
              <w:tr2bl w:val="nil"/>
            </w:tcBorders>
            <w:shd w:val="clear" w:color="auto" w:fill="FFFF00"/>
            <w:tcMar>
              <w:left w:w="115" w:type="dxa"/>
              <w:right w:w="115" w:type="dxa"/>
            </w:tcMar>
            <w:vAlign w:val="bottom"/>
          </w:tcPr>
          <w:p w14:paraId="71D2886B" w14:textId="77777777" w:rsidR="00724034" w:rsidRDefault="00724034">
            <w:pPr>
              <w:jc w:val="right"/>
              <w:rPr>
                <w:rFonts w:ascii="Arial" w:eastAsia="Arial" w:hAnsi="Arial" w:cs="Arial"/>
                <w:color w:val="000000"/>
                <w:sz w:val="16"/>
                <w:vertAlign w:val="superscript"/>
              </w:rPr>
            </w:pPr>
          </w:p>
        </w:tc>
        <w:tc>
          <w:tcPr>
            <w:tcW w:w="0" w:type="auto"/>
            <w:tcBorders>
              <w:top w:val="nil"/>
              <w:left w:val="nil"/>
              <w:bottom w:val="nil"/>
              <w:right w:val="nil"/>
              <w:tl2br w:val="nil"/>
              <w:tr2bl w:val="nil"/>
            </w:tcBorders>
            <w:shd w:val="clear" w:color="auto" w:fill="FFFFFF"/>
            <w:tcMar>
              <w:left w:w="115" w:type="dxa"/>
              <w:right w:w="115" w:type="dxa"/>
            </w:tcMar>
            <w:vAlign w:val="bottom"/>
          </w:tcPr>
          <w:p w14:paraId="34C873D9" w14:textId="77777777" w:rsidR="00724034" w:rsidRDefault="00724034">
            <w:pPr>
              <w:jc w:val="right"/>
              <w:rPr>
                <w:rFonts w:ascii="Arial" w:eastAsia="Arial" w:hAnsi="Arial" w:cs="Arial"/>
                <w:color w:val="000000"/>
                <w:sz w:val="16"/>
                <w:vertAlign w:val="superscript"/>
              </w:rPr>
            </w:pPr>
          </w:p>
        </w:tc>
        <w:tc>
          <w:tcPr>
            <w:tcW w:w="0" w:type="auto"/>
            <w:tcBorders>
              <w:top w:val="nil"/>
              <w:left w:val="nil"/>
              <w:bottom w:val="nil"/>
              <w:right w:val="nil"/>
              <w:tl2br w:val="nil"/>
              <w:tr2bl w:val="nil"/>
            </w:tcBorders>
            <w:shd w:val="clear" w:color="auto" w:fill="FFFFFF"/>
            <w:tcMar>
              <w:left w:w="115" w:type="dxa"/>
              <w:right w:w="115" w:type="dxa"/>
            </w:tcMar>
            <w:vAlign w:val="bottom"/>
          </w:tcPr>
          <w:p w14:paraId="09111E55" w14:textId="77777777" w:rsidR="00724034" w:rsidRDefault="00724034">
            <w:pPr>
              <w:jc w:val="right"/>
              <w:rPr>
                <w:rFonts w:ascii="Arial" w:eastAsia="Arial" w:hAnsi="Arial" w:cs="Arial"/>
                <w:color w:val="000000"/>
                <w:sz w:val="16"/>
                <w:vertAlign w:val="superscript"/>
              </w:rPr>
            </w:pPr>
          </w:p>
        </w:tc>
        <w:tc>
          <w:tcPr>
            <w:tcW w:w="0" w:type="auto"/>
            <w:tcBorders>
              <w:top w:val="nil"/>
              <w:left w:val="nil"/>
              <w:bottom w:val="nil"/>
              <w:right w:val="single" w:sz="6" w:space="0" w:color="000000"/>
              <w:tl2br w:val="nil"/>
              <w:tr2bl w:val="nil"/>
            </w:tcBorders>
            <w:shd w:val="clear" w:color="auto" w:fill="FFFFFF"/>
            <w:tcMar>
              <w:left w:w="115" w:type="dxa"/>
              <w:right w:w="115" w:type="dxa"/>
            </w:tcMar>
            <w:vAlign w:val="bottom"/>
          </w:tcPr>
          <w:p w14:paraId="70C555D4" w14:textId="77777777" w:rsidR="00724034" w:rsidRDefault="00724034">
            <w:pPr>
              <w:jc w:val="right"/>
              <w:rPr>
                <w:rFonts w:ascii="Arial" w:eastAsia="Arial" w:hAnsi="Arial" w:cs="Arial"/>
                <w:color w:val="000000"/>
                <w:sz w:val="16"/>
                <w:vertAlign w:val="superscript"/>
              </w:rPr>
            </w:pPr>
          </w:p>
        </w:tc>
      </w:tr>
      <w:tr w:rsidR="00FB7D0B" w14:paraId="76F59CC7" w14:textId="77777777" w:rsidTr="00FB7D0B">
        <w:tblPrEx>
          <w:tblLook w:val="04A0" w:firstRow="1" w:lastRow="0" w:firstColumn="1" w:lastColumn="0" w:noHBand="0" w:noVBand="1"/>
        </w:tblPrEx>
        <w:trPr>
          <w:gridAfter w:val="1"/>
          <w:wAfter w:w="10" w:type="dxa"/>
          <w:trHeight w:val="450"/>
        </w:trPr>
        <w:tc>
          <w:tcPr>
            <w:tcW w:w="0" w:type="auto"/>
            <w:tcBorders>
              <w:top w:val="single" w:sz="6" w:space="0" w:color="FFFFFF"/>
              <w:left w:val="single" w:sz="6" w:space="0" w:color="000000"/>
              <w:bottom w:val="nil"/>
              <w:right w:val="nil"/>
              <w:tl2br w:val="nil"/>
              <w:tr2bl w:val="nil"/>
            </w:tcBorders>
            <w:shd w:val="clear" w:color="auto" w:fill="FFFFFF"/>
            <w:tcMar>
              <w:left w:w="115" w:type="dxa"/>
              <w:right w:w="115" w:type="dxa"/>
            </w:tcMar>
            <w:vAlign w:val="bottom"/>
          </w:tcPr>
          <w:p w14:paraId="427EA42A" w14:textId="77777777" w:rsidR="00724034" w:rsidRDefault="00724034">
            <w:pPr>
              <w:rPr>
                <w:rFonts w:ascii="Arial" w:eastAsia="Arial" w:hAnsi="Arial" w:cs="Arial"/>
                <w:color w:val="000000"/>
                <w:sz w:val="16"/>
                <w:vertAlign w:val="superscript"/>
              </w:rPr>
            </w:pPr>
          </w:p>
        </w:tc>
        <w:tc>
          <w:tcPr>
            <w:tcW w:w="0" w:type="auto"/>
            <w:gridSpan w:val="2"/>
            <w:tcBorders>
              <w:top w:val="single" w:sz="6" w:space="0" w:color="FFFFFF"/>
              <w:left w:val="nil"/>
              <w:bottom w:val="nil"/>
              <w:right w:val="nil"/>
              <w:tl2br w:val="nil"/>
              <w:tr2bl w:val="nil"/>
            </w:tcBorders>
            <w:shd w:val="clear" w:color="auto" w:fill="FFFFFF"/>
            <w:tcMar>
              <w:left w:w="115" w:type="dxa"/>
              <w:right w:w="115" w:type="dxa"/>
            </w:tcMar>
            <w:vAlign w:val="bottom"/>
          </w:tcPr>
          <w:p w14:paraId="0F6CB1D5" w14:textId="77777777" w:rsidR="00724034" w:rsidRDefault="00FB7D0B">
            <w:pPr>
              <w:rPr>
                <w:rFonts w:ascii="Arial" w:eastAsia="Arial" w:hAnsi="Arial" w:cs="Arial"/>
                <w:color w:val="000000"/>
                <w:sz w:val="16"/>
                <w:vertAlign w:val="superscript"/>
              </w:rPr>
            </w:pPr>
            <w:r>
              <w:rPr>
                <w:rFonts w:ascii="Arial" w:eastAsia="Arial" w:hAnsi="Arial" w:cs="Arial"/>
                <w:i/>
                <w:color w:val="000000"/>
                <w:sz w:val="16"/>
              </w:rPr>
              <w:t>Safety, Rehabilitation and Compensation Act 1988</w:t>
            </w:r>
          </w:p>
        </w:tc>
        <w:tc>
          <w:tcPr>
            <w:tcW w:w="0" w:type="auto"/>
            <w:tcBorders>
              <w:top w:val="nil"/>
              <w:left w:val="nil"/>
              <w:bottom w:val="nil"/>
              <w:right w:val="nil"/>
              <w:tl2br w:val="nil"/>
              <w:tr2bl w:val="nil"/>
            </w:tcBorders>
            <w:shd w:val="clear" w:color="auto" w:fill="FFFFFF"/>
            <w:tcMar>
              <w:left w:w="115" w:type="dxa"/>
              <w:right w:w="115" w:type="dxa"/>
            </w:tcMar>
            <w:vAlign w:val="bottom"/>
          </w:tcPr>
          <w:p w14:paraId="57EEF24C" w14:textId="77777777" w:rsidR="00724034" w:rsidRDefault="00724034">
            <w:pPr>
              <w:rPr>
                <w:rFonts w:ascii="Arial" w:eastAsia="Arial" w:hAnsi="Arial" w:cs="Arial"/>
                <w:color w:val="000000"/>
                <w:sz w:val="16"/>
                <w:vertAlign w:val="superscript"/>
              </w:rPr>
            </w:pPr>
          </w:p>
        </w:tc>
        <w:tc>
          <w:tcPr>
            <w:tcW w:w="0" w:type="auto"/>
            <w:tcBorders>
              <w:top w:val="nil"/>
              <w:left w:val="nil"/>
              <w:bottom w:val="nil"/>
              <w:right w:val="nil"/>
              <w:tl2br w:val="nil"/>
              <w:tr2bl w:val="nil"/>
            </w:tcBorders>
            <w:shd w:val="clear" w:color="auto" w:fill="FFFF00"/>
            <w:tcMar>
              <w:left w:w="115" w:type="dxa"/>
              <w:right w:w="115" w:type="dxa"/>
            </w:tcMar>
            <w:vAlign w:val="bottom"/>
          </w:tcPr>
          <w:p w14:paraId="04D2371D" w14:textId="77777777" w:rsidR="00724034" w:rsidRDefault="00724034">
            <w:pPr>
              <w:jc w:val="right"/>
              <w:rPr>
                <w:rFonts w:ascii="Arial" w:eastAsia="Arial" w:hAnsi="Arial" w:cs="Arial"/>
                <w:color w:val="000000"/>
                <w:sz w:val="16"/>
                <w:vertAlign w:val="superscript"/>
              </w:rPr>
            </w:pPr>
          </w:p>
        </w:tc>
        <w:tc>
          <w:tcPr>
            <w:tcW w:w="0" w:type="auto"/>
            <w:tcBorders>
              <w:top w:val="nil"/>
              <w:left w:val="nil"/>
              <w:bottom w:val="nil"/>
              <w:right w:val="nil"/>
              <w:tl2br w:val="nil"/>
              <w:tr2bl w:val="nil"/>
            </w:tcBorders>
            <w:shd w:val="clear" w:color="auto" w:fill="FFFFFF"/>
            <w:tcMar>
              <w:left w:w="115" w:type="dxa"/>
              <w:right w:w="115" w:type="dxa"/>
            </w:tcMar>
            <w:vAlign w:val="bottom"/>
          </w:tcPr>
          <w:p w14:paraId="0F98FD6C" w14:textId="77777777" w:rsidR="00724034" w:rsidRDefault="00724034">
            <w:pPr>
              <w:jc w:val="right"/>
              <w:rPr>
                <w:rFonts w:ascii="Arial" w:eastAsia="Arial" w:hAnsi="Arial" w:cs="Arial"/>
                <w:color w:val="000000"/>
                <w:sz w:val="16"/>
                <w:vertAlign w:val="superscript"/>
              </w:rPr>
            </w:pPr>
          </w:p>
        </w:tc>
        <w:tc>
          <w:tcPr>
            <w:tcW w:w="0" w:type="auto"/>
            <w:tcBorders>
              <w:top w:val="nil"/>
              <w:left w:val="nil"/>
              <w:bottom w:val="nil"/>
              <w:right w:val="nil"/>
              <w:tl2br w:val="nil"/>
              <w:tr2bl w:val="nil"/>
            </w:tcBorders>
            <w:shd w:val="clear" w:color="auto" w:fill="FFFFFF"/>
            <w:tcMar>
              <w:left w:w="115" w:type="dxa"/>
              <w:right w:w="115" w:type="dxa"/>
            </w:tcMar>
            <w:vAlign w:val="bottom"/>
          </w:tcPr>
          <w:p w14:paraId="7B3EE050" w14:textId="77777777" w:rsidR="00724034" w:rsidRDefault="00724034">
            <w:pPr>
              <w:jc w:val="right"/>
              <w:rPr>
                <w:rFonts w:ascii="Arial" w:eastAsia="Arial" w:hAnsi="Arial" w:cs="Arial"/>
                <w:color w:val="000000"/>
                <w:sz w:val="16"/>
                <w:vertAlign w:val="superscript"/>
              </w:rPr>
            </w:pPr>
          </w:p>
        </w:tc>
        <w:tc>
          <w:tcPr>
            <w:tcW w:w="0" w:type="auto"/>
            <w:tcBorders>
              <w:top w:val="nil"/>
              <w:left w:val="nil"/>
              <w:bottom w:val="nil"/>
              <w:right w:val="single" w:sz="6" w:space="0" w:color="000000"/>
              <w:tl2br w:val="nil"/>
              <w:tr2bl w:val="nil"/>
            </w:tcBorders>
            <w:shd w:val="clear" w:color="auto" w:fill="FFFFFF"/>
            <w:tcMar>
              <w:left w:w="115" w:type="dxa"/>
              <w:right w:w="115" w:type="dxa"/>
            </w:tcMar>
            <w:vAlign w:val="bottom"/>
          </w:tcPr>
          <w:p w14:paraId="3630533A" w14:textId="77777777" w:rsidR="00724034" w:rsidRDefault="00724034">
            <w:pPr>
              <w:jc w:val="right"/>
              <w:rPr>
                <w:rFonts w:ascii="Arial" w:eastAsia="Arial" w:hAnsi="Arial" w:cs="Arial"/>
                <w:color w:val="000000"/>
                <w:sz w:val="16"/>
                <w:vertAlign w:val="superscript"/>
              </w:rPr>
            </w:pPr>
          </w:p>
        </w:tc>
      </w:tr>
      <w:tr w:rsidR="00724034" w14:paraId="2B28D332" w14:textId="77777777">
        <w:tblPrEx>
          <w:tblLook w:val="04A0" w:firstRow="1" w:lastRow="0" w:firstColumn="1" w:lastColumn="0" w:noHBand="0" w:noVBand="1"/>
        </w:tblPrEx>
        <w:trPr>
          <w:gridAfter w:val="1"/>
          <w:wAfter w:w="10" w:type="dxa"/>
          <w:trHeight w:val="225"/>
        </w:trPr>
        <w:tc>
          <w:tcPr>
            <w:tcW w:w="0" w:type="auto"/>
            <w:tcBorders>
              <w:top w:val="nil"/>
              <w:left w:val="single" w:sz="6" w:space="0" w:color="000000"/>
              <w:bottom w:val="nil"/>
              <w:right w:val="nil"/>
              <w:tl2br w:val="nil"/>
              <w:tr2bl w:val="nil"/>
            </w:tcBorders>
            <w:shd w:val="clear" w:color="auto" w:fill="FFFFFF"/>
            <w:tcMar>
              <w:left w:w="115" w:type="dxa"/>
              <w:right w:w="115" w:type="dxa"/>
            </w:tcMar>
            <w:vAlign w:val="bottom"/>
          </w:tcPr>
          <w:p w14:paraId="478C6DC9" w14:textId="77777777" w:rsidR="00724034" w:rsidRDefault="00724034">
            <w:pPr>
              <w:rPr>
                <w:rFonts w:ascii="Arial" w:eastAsia="Arial" w:hAnsi="Arial" w:cs="Arial"/>
                <w:color w:val="000000"/>
                <w:sz w:val="16"/>
                <w:vertAlign w:val="superscript"/>
              </w:rPr>
            </w:pPr>
          </w:p>
        </w:tc>
        <w:tc>
          <w:tcPr>
            <w:tcW w:w="0" w:type="auto"/>
            <w:tcBorders>
              <w:top w:val="nil"/>
              <w:left w:val="nil"/>
              <w:bottom w:val="nil"/>
              <w:right w:val="nil"/>
              <w:tl2br w:val="nil"/>
              <w:tr2bl w:val="nil"/>
            </w:tcBorders>
            <w:shd w:val="clear" w:color="auto" w:fill="FFFFFF"/>
            <w:tcMar>
              <w:left w:w="115" w:type="dxa"/>
              <w:right w:w="115" w:type="dxa"/>
            </w:tcMar>
            <w:vAlign w:val="bottom"/>
          </w:tcPr>
          <w:p w14:paraId="715C9CA5" w14:textId="77777777" w:rsidR="00724034" w:rsidRDefault="00724034">
            <w:pPr>
              <w:rPr>
                <w:rFonts w:ascii="Arial" w:eastAsia="Arial" w:hAnsi="Arial" w:cs="Arial"/>
                <w:i/>
                <w:color w:val="000000"/>
                <w:sz w:val="16"/>
                <w:vertAlign w:val="superscript"/>
              </w:rPr>
            </w:pPr>
          </w:p>
        </w:tc>
        <w:tc>
          <w:tcPr>
            <w:tcW w:w="0" w:type="auto"/>
            <w:tcBorders>
              <w:top w:val="nil"/>
              <w:left w:val="nil"/>
              <w:bottom w:val="nil"/>
              <w:right w:val="nil"/>
              <w:tl2br w:val="nil"/>
              <w:tr2bl w:val="nil"/>
            </w:tcBorders>
            <w:shd w:val="clear" w:color="auto" w:fill="FFFFFF"/>
            <w:tcMar>
              <w:left w:w="115" w:type="dxa"/>
              <w:right w:w="115" w:type="dxa"/>
            </w:tcMar>
            <w:vAlign w:val="bottom"/>
          </w:tcPr>
          <w:p w14:paraId="08F263F9" w14:textId="77777777" w:rsidR="00724034" w:rsidRDefault="00FB7D0B">
            <w:pPr>
              <w:rPr>
                <w:rFonts w:ascii="Arial" w:eastAsia="Arial" w:hAnsi="Arial" w:cs="Arial"/>
                <w:i/>
                <w:color w:val="000000"/>
                <w:sz w:val="16"/>
                <w:vertAlign w:val="superscript"/>
              </w:rPr>
            </w:pPr>
            <w:r>
              <w:rPr>
                <w:rFonts w:ascii="Arial" w:eastAsia="Arial" w:hAnsi="Arial" w:cs="Arial"/>
                <w:color w:val="000000"/>
                <w:sz w:val="16"/>
              </w:rPr>
              <w:t>Permanent impairment</w:t>
            </w:r>
          </w:p>
        </w:tc>
        <w:tc>
          <w:tcPr>
            <w:tcW w:w="0" w:type="auto"/>
            <w:tcBorders>
              <w:top w:val="nil"/>
              <w:left w:val="nil"/>
              <w:bottom w:val="nil"/>
              <w:right w:val="nil"/>
              <w:tl2br w:val="nil"/>
              <w:tr2bl w:val="nil"/>
            </w:tcBorders>
            <w:shd w:val="clear" w:color="auto" w:fill="FFFFFF"/>
            <w:tcMar>
              <w:left w:w="115" w:type="dxa"/>
              <w:right w:w="115" w:type="dxa"/>
            </w:tcMar>
            <w:vAlign w:val="bottom"/>
          </w:tcPr>
          <w:p w14:paraId="55F20F03" w14:textId="77777777" w:rsidR="00724034" w:rsidRDefault="00FB7D0B">
            <w:pPr>
              <w:jc w:val="right"/>
              <w:rPr>
                <w:rFonts w:ascii="Arial" w:eastAsia="Arial" w:hAnsi="Arial" w:cs="Arial"/>
                <w:color w:val="000000"/>
                <w:sz w:val="16"/>
                <w:vertAlign w:val="superscript"/>
              </w:rPr>
            </w:pPr>
            <w:r>
              <w:rPr>
                <w:rFonts w:ascii="Arial" w:eastAsia="Arial" w:hAnsi="Arial" w:cs="Arial"/>
                <w:color w:val="000000"/>
                <w:sz w:val="16"/>
              </w:rPr>
              <w:t xml:space="preserve"> 40,184 </w:t>
            </w:r>
          </w:p>
        </w:tc>
        <w:tc>
          <w:tcPr>
            <w:tcW w:w="0" w:type="auto"/>
            <w:tcBorders>
              <w:top w:val="nil"/>
              <w:left w:val="nil"/>
              <w:bottom w:val="nil"/>
              <w:right w:val="nil"/>
              <w:tl2br w:val="nil"/>
              <w:tr2bl w:val="nil"/>
            </w:tcBorders>
            <w:shd w:val="clear" w:color="auto" w:fill="FFFF00"/>
            <w:tcMar>
              <w:left w:w="115" w:type="dxa"/>
              <w:right w:w="115" w:type="dxa"/>
            </w:tcMar>
            <w:vAlign w:val="bottom"/>
          </w:tcPr>
          <w:p w14:paraId="4236D1D6" w14:textId="77777777" w:rsidR="00724034" w:rsidRDefault="00FB7D0B">
            <w:pPr>
              <w:jc w:val="right"/>
              <w:rPr>
                <w:rFonts w:ascii="Arial" w:eastAsia="Arial" w:hAnsi="Arial" w:cs="Arial"/>
                <w:color w:val="000000"/>
                <w:sz w:val="16"/>
              </w:rPr>
            </w:pPr>
            <w:r>
              <w:rPr>
                <w:rFonts w:ascii="Arial" w:eastAsia="Arial" w:hAnsi="Arial" w:cs="Arial"/>
                <w:color w:val="000000"/>
                <w:sz w:val="16"/>
              </w:rPr>
              <w:t xml:space="preserve"> 37,085 </w:t>
            </w:r>
          </w:p>
        </w:tc>
        <w:tc>
          <w:tcPr>
            <w:tcW w:w="0" w:type="auto"/>
            <w:tcBorders>
              <w:top w:val="nil"/>
              <w:left w:val="nil"/>
              <w:bottom w:val="nil"/>
              <w:right w:val="nil"/>
              <w:tl2br w:val="nil"/>
              <w:tr2bl w:val="nil"/>
            </w:tcBorders>
            <w:shd w:val="clear" w:color="auto" w:fill="FFFFFF"/>
            <w:tcMar>
              <w:left w:w="115" w:type="dxa"/>
              <w:right w:w="115" w:type="dxa"/>
            </w:tcMar>
            <w:vAlign w:val="bottom"/>
          </w:tcPr>
          <w:p w14:paraId="4C1CE039" w14:textId="77777777" w:rsidR="00724034" w:rsidRDefault="00FB7D0B">
            <w:pPr>
              <w:jc w:val="right"/>
              <w:rPr>
                <w:rFonts w:ascii="Arial" w:eastAsia="Arial" w:hAnsi="Arial" w:cs="Arial"/>
                <w:color w:val="000000"/>
                <w:sz w:val="16"/>
              </w:rPr>
            </w:pPr>
            <w:r>
              <w:rPr>
                <w:rFonts w:ascii="Arial" w:eastAsia="Arial" w:hAnsi="Arial" w:cs="Arial"/>
                <w:color w:val="000000"/>
                <w:sz w:val="16"/>
              </w:rPr>
              <w:t xml:space="preserve"> 34,304 </w:t>
            </w:r>
          </w:p>
        </w:tc>
        <w:tc>
          <w:tcPr>
            <w:tcW w:w="0" w:type="auto"/>
            <w:tcBorders>
              <w:top w:val="nil"/>
              <w:left w:val="nil"/>
              <w:bottom w:val="nil"/>
              <w:right w:val="nil"/>
              <w:tl2br w:val="nil"/>
              <w:tr2bl w:val="nil"/>
            </w:tcBorders>
            <w:shd w:val="clear" w:color="auto" w:fill="FFFFFF"/>
            <w:tcMar>
              <w:left w:w="115" w:type="dxa"/>
              <w:right w:w="115" w:type="dxa"/>
            </w:tcMar>
            <w:vAlign w:val="bottom"/>
          </w:tcPr>
          <w:p w14:paraId="0AD2D09D" w14:textId="77777777" w:rsidR="00724034" w:rsidRDefault="00FB7D0B">
            <w:pPr>
              <w:jc w:val="right"/>
              <w:rPr>
                <w:rFonts w:ascii="Arial" w:eastAsia="Arial" w:hAnsi="Arial" w:cs="Arial"/>
                <w:color w:val="000000"/>
                <w:sz w:val="16"/>
              </w:rPr>
            </w:pPr>
            <w:r>
              <w:rPr>
                <w:rFonts w:ascii="Arial" w:eastAsia="Arial" w:hAnsi="Arial" w:cs="Arial"/>
                <w:color w:val="000000"/>
                <w:sz w:val="16"/>
              </w:rPr>
              <w:t xml:space="preserve"> 31,700 </w:t>
            </w:r>
          </w:p>
        </w:tc>
        <w:tc>
          <w:tcPr>
            <w:tcW w:w="0" w:type="auto"/>
            <w:tcBorders>
              <w:top w:val="nil"/>
              <w:left w:val="nil"/>
              <w:bottom w:val="nil"/>
              <w:right w:val="single" w:sz="6" w:space="0" w:color="000000"/>
              <w:tl2br w:val="nil"/>
              <w:tr2bl w:val="nil"/>
            </w:tcBorders>
            <w:shd w:val="clear" w:color="auto" w:fill="FFFFFF"/>
            <w:tcMar>
              <w:left w:w="115" w:type="dxa"/>
              <w:right w:w="115" w:type="dxa"/>
            </w:tcMar>
            <w:vAlign w:val="bottom"/>
          </w:tcPr>
          <w:p w14:paraId="5499CBB5" w14:textId="77777777" w:rsidR="00724034" w:rsidRDefault="00FB7D0B">
            <w:pPr>
              <w:jc w:val="right"/>
              <w:rPr>
                <w:rFonts w:ascii="Arial" w:eastAsia="Arial" w:hAnsi="Arial" w:cs="Arial"/>
                <w:color w:val="000000"/>
                <w:sz w:val="16"/>
              </w:rPr>
            </w:pPr>
            <w:r>
              <w:rPr>
                <w:rFonts w:ascii="Arial" w:eastAsia="Arial" w:hAnsi="Arial" w:cs="Arial"/>
                <w:color w:val="000000"/>
                <w:sz w:val="16"/>
              </w:rPr>
              <w:t xml:space="preserve"> 32,492 </w:t>
            </w:r>
          </w:p>
        </w:tc>
      </w:tr>
      <w:tr w:rsidR="00724034" w14:paraId="60EF43AA" w14:textId="77777777">
        <w:tblPrEx>
          <w:tblLook w:val="04A0" w:firstRow="1" w:lastRow="0" w:firstColumn="1" w:lastColumn="0" w:noHBand="0" w:noVBand="1"/>
        </w:tblPrEx>
        <w:trPr>
          <w:gridAfter w:val="1"/>
          <w:wAfter w:w="10" w:type="dxa"/>
          <w:trHeight w:val="225"/>
        </w:trPr>
        <w:tc>
          <w:tcPr>
            <w:tcW w:w="0" w:type="auto"/>
            <w:tcBorders>
              <w:top w:val="nil"/>
              <w:left w:val="single" w:sz="6" w:space="0" w:color="000000"/>
              <w:bottom w:val="nil"/>
              <w:right w:val="nil"/>
              <w:tl2br w:val="nil"/>
              <w:tr2bl w:val="nil"/>
            </w:tcBorders>
            <w:shd w:val="clear" w:color="auto" w:fill="FFFFFF"/>
            <w:tcMar>
              <w:left w:w="115" w:type="dxa"/>
              <w:right w:w="115" w:type="dxa"/>
            </w:tcMar>
            <w:vAlign w:val="bottom"/>
          </w:tcPr>
          <w:p w14:paraId="583AE2FB" w14:textId="77777777" w:rsidR="00724034" w:rsidRDefault="00724034">
            <w:pPr>
              <w:rPr>
                <w:rFonts w:ascii="Arial" w:eastAsia="Arial" w:hAnsi="Arial" w:cs="Arial"/>
                <w:color w:val="000000"/>
                <w:sz w:val="16"/>
              </w:rPr>
            </w:pPr>
          </w:p>
        </w:tc>
        <w:tc>
          <w:tcPr>
            <w:tcW w:w="0" w:type="auto"/>
            <w:tcBorders>
              <w:top w:val="nil"/>
              <w:left w:val="nil"/>
              <w:bottom w:val="nil"/>
              <w:right w:val="nil"/>
              <w:tl2br w:val="nil"/>
              <w:tr2bl w:val="nil"/>
            </w:tcBorders>
            <w:shd w:val="clear" w:color="auto" w:fill="FFFFFF"/>
            <w:tcMar>
              <w:left w:w="115" w:type="dxa"/>
              <w:right w:w="115" w:type="dxa"/>
            </w:tcMar>
            <w:vAlign w:val="bottom"/>
          </w:tcPr>
          <w:p w14:paraId="66228B67" w14:textId="77777777" w:rsidR="00724034" w:rsidRDefault="00724034">
            <w:pPr>
              <w:rPr>
                <w:rFonts w:ascii="Arial" w:eastAsia="Arial" w:hAnsi="Arial" w:cs="Arial"/>
                <w:i/>
                <w:color w:val="000000"/>
                <w:sz w:val="16"/>
              </w:rPr>
            </w:pPr>
          </w:p>
        </w:tc>
        <w:tc>
          <w:tcPr>
            <w:tcW w:w="0" w:type="auto"/>
            <w:tcBorders>
              <w:top w:val="nil"/>
              <w:left w:val="nil"/>
              <w:bottom w:val="nil"/>
              <w:right w:val="nil"/>
              <w:tl2br w:val="nil"/>
              <w:tr2bl w:val="nil"/>
            </w:tcBorders>
            <w:shd w:val="clear" w:color="auto" w:fill="FFFFFF"/>
            <w:tcMar>
              <w:left w:w="115" w:type="dxa"/>
              <w:right w:w="115" w:type="dxa"/>
            </w:tcMar>
            <w:vAlign w:val="bottom"/>
          </w:tcPr>
          <w:p w14:paraId="564ACE8D" w14:textId="77777777" w:rsidR="00724034" w:rsidRDefault="00FB7D0B">
            <w:pPr>
              <w:rPr>
                <w:rFonts w:ascii="Arial" w:eastAsia="Arial" w:hAnsi="Arial" w:cs="Arial"/>
                <w:i/>
                <w:color w:val="000000"/>
                <w:sz w:val="16"/>
              </w:rPr>
            </w:pPr>
            <w:r>
              <w:rPr>
                <w:rFonts w:ascii="Arial" w:eastAsia="Arial" w:hAnsi="Arial" w:cs="Arial"/>
                <w:color w:val="000000"/>
                <w:sz w:val="16"/>
              </w:rPr>
              <w:t>Benefits for eligible dependants</w:t>
            </w:r>
          </w:p>
        </w:tc>
        <w:tc>
          <w:tcPr>
            <w:tcW w:w="0" w:type="auto"/>
            <w:tcBorders>
              <w:top w:val="nil"/>
              <w:left w:val="nil"/>
              <w:bottom w:val="nil"/>
              <w:right w:val="nil"/>
              <w:tl2br w:val="nil"/>
              <w:tr2bl w:val="nil"/>
            </w:tcBorders>
            <w:shd w:val="clear" w:color="auto" w:fill="FFFFFF"/>
            <w:tcMar>
              <w:left w:w="115" w:type="dxa"/>
              <w:right w:w="115" w:type="dxa"/>
            </w:tcMar>
            <w:vAlign w:val="bottom"/>
          </w:tcPr>
          <w:p w14:paraId="0EE2D2CA" w14:textId="77777777" w:rsidR="00724034" w:rsidRDefault="00FB7D0B">
            <w:pPr>
              <w:jc w:val="right"/>
              <w:rPr>
                <w:rFonts w:ascii="Arial" w:eastAsia="Arial" w:hAnsi="Arial" w:cs="Arial"/>
                <w:color w:val="000000"/>
                <w:sz w:val="16"/>
                <w:vertAlign w:val="superscript"/>
              </w:rPr>
            </w:pPr>
            <w:r>
              <w:rPr>
                <w:rFonts w:ascii="Arial" w:eastAsia="Arial" w:hAnsi="Arial" w:cs="Arial"/>
                <w:color w:val="000000"/>
                <w:sz w:val="16"/>
              </w:rPr>
              <w:t xml:space="preserve"> 20,970 </w:t>
            </w:r>
          </w:p>
        </w:tc>
        <w:tc>
          <w:tcPr>
            <w:tcW w:w="0" w:type="auto"/>
            <w:tcBorders>
              <w:top w:val="nil"/>
              <w:left w:val="nil"/>
              <w:bottom w:val="nil"/>
              <w:right w:val="nil"/>
              <w:tl2br w:val="nil"/>
              <w:tr2bl w:val="nil"/>
            </w:tcBorders>
            <w:shd w:val="clear" w:color="auto" w:fill="FFFF00"/>
            <w:tcMar>
              <w:left w:w="115" w:type="dxa"/>
              <w:right w:w="115" w:type="dxa"/>
            </w:tcMar>
            <w:vAlign w:val="bottom"/>
          </w:tcPr>
          <w:p w14:paraId="2EBD4183" w14:textId="77777777" w:rsidR="00724034" w:rsidRDefault="00FB7D0B">
            <w:pPr>
              <w:jc w:val="right"/>
              <w:rPr>
                <w:rFonts w:ascii="Arial" w:eastAsia="Arial" w:hAnsi="Arial" w:cs="Arial"/>
                <w:color w:val="000000"/>
                <w:sz w:val="16"/>
              </w:rPr>
            </w:pPr>
            <w:r>
              <w:rPr>
                <w:rFonts w:ascii="Arial" w:eastAsia="Arial" w:hAnsi="Arial" w:cs="Arial"/>
                <w:color w:val="000000"/>
                <w:sz w:val="16"/>
              </w:rPr>
              <w:t xml:space="preserve"> 20,331 </w:t>
            </w:r>
          </w:p>
        </w:tc>
        <w:tc>
          <w:tcPr>
            <w:tcW w:w="0" w:type="auto"/>
            <w:tcBorders>
              <w:top w:val="nil"/>
              <w:left w:val="nil"/>
              <w:bottom w:val="nil"/>
              <w:right w:val="nil"/>
              <w:tl2br w:val="nil"/>
              <w:tr2bl w:val="nil"/>
            </w:tcBorders>
            <w:shd w:val="clear" w:color="auto" w:fill="FFFFFF"/>
            <w:tcMar>
              <w:left w:w="115" w:type="dxa"/>
              <w:right w:w="115" w:type="dxa"/>
            </w:tcMar>
            <w:vAlign w:val="bottom"/>
          </w:tcPr>
          <w:p w14:paraId="2D8705EC" w14:textId="77777777" w:rsidR="00724034" w:rsidRDefault="00FB7D0B">
            <w:pPr>
              <w:jc w:val="right"/>
              <w:rPr>
                <w:rFonts w:ascii="Arial" w:eastAsia="Arial" w:hAnsi="Arial" w:cs="Arial"/>
                <w:color w:val="000000"/>
                <w:sz w:val="16"/>
              </w:rPr>
            </w:pPr>
            <w:r>
              <w:rPr>
                <w:rFonts w:ascii="Arial" w:eastAsia="Arial" w:hAnsi="Arial" w:cs="Arial"/>
                <w:color w:val="000000"/>
                <w:sz w:val="16"/>
              </w:rPr>
              <w:t xml:space="preserve"> 19,326 </w:t>
            </w:r>
          </w:p>
        </w:tc>
        <w:tc>
          <w:tcPr>
            <w:tcW w:w="0" w:type="auto"/>
            <w:tcBorders>
              <w:top w:val="nil"/>
              <w:left w:val="nil"/>
              <w:bottom w:val="nil"/>
              <w:right w:val="nil"/>
              <w:tl2br w:val="nil"/>
              <w:tr2bl w:val="nil"/>
            </w:tcBorders>
            <w:shd w:val="clear" w:color="auto" w:fill="FFFFFF"/>
            <w:tcMar>
              <w:left w:w="115" w:type="dxa"/>
              <w:right w:w="115" w:type="dxa"/>
            </w:tcMar>
            <w:vAlign w:val="bottom"/>
          </w:tcPr>
          <w:p w14:paraId="2FFB0594" w14:textId="77777777" w:rsidR="00724034" w:rsidRDefault="00FB7D0B">
            <w:pPr>
              <w:jc w:val="right"/>
              <w:rPr>
                <w:rFonts w:ascii="Arial" w:eastAsia="Arial" w:hAnsi="Arial" w:cs="Arial"/>
                <w:color w:val="000000"/>
                <w:sz w:val="16"/>
              </w:rPr>
            </w:pPr>
            <w:r>
              <w:rPr>
                <w:rFonts w:ascii="Arial" w:eastAsia="Arial" w:hAnsi="Arial" w:cs="Arial"/>
                <w:color w:val="000000"/>
                <w:sz w:val="16"/>
              </w:rPr>
              <w:t xml:space="preserve"> 18,318 </w:t>
            </w:r>
          </w:p>
        </w:tc>
        <w:tc>
          <w:tcPr>
            <w:tcW w:w="0" w:type="auto"/>
            <w:tcBorders>
              <w:top w:val="nil"/>
              <w:left w:val="nil"/>
              <w:bottom w:val="nil"/>
              <w:right w:val="single" w:sz="6" w:space="0" w:color="000000"/>
              <w:tl2br w:val="nil"/>
              <w:tr2bl w:val="nil"/>
            </w:tcBorders>
            <w:shd w:val="clear" w:color="auto" w:fill="FFFFFF"/>
            <w:tcMar>
              <w:left w:w="115" w:type="dxa"/>
              <w:right w:w="115" w:type="dxa"/>
            </w:tcMar>
            <w:vAlign w:val="bottom"/>
          </w:tcPr>
          <w:p w14:paraId="4C11C63F" w14:textId="77777777" w:rsidR="00724034" w:rsidRDefault="00FB7D0B">
            <w:pPr>
              <w:jc w:val="right"/>
              <w:rPr>
                <w:rFonts w:ascii="Arial" w:eastAsia="Arial" w:hAnsi="Arial" w:cs="Arial"/>
                <w:color w:val="000000"/>
                <w:sz w:val="16"/>
              </w:rPr>
            </w:pPr>
            <w:r>
              <w:rPr>
                <w:rFonts w:ascii="Arial" w:eastAsia="Arial" w:hAnsi="Arial" w:cs="Arial"/>
                <w:color w:val="000000"/>
                <w:sz w:val="16"/>
              </w:rPr>
              <w:t xml:space="preserve"> 18,867 </w:t>
            </w:r>
          </w:p>
        </w:tc>
      </w:tr>
      <w:tr w:rsidR="00724034" w14:paraId="6C14EC46" w14:textId="77777777">
        <w:tblPrEx>
          <w:tblLook w:val="04A0" w:firstRow="1" w:lastRow="0" w:firstColumn="1" w:lastColumn="0" w:noHBand="0" w:noVBand="1"/>
        </w:tblPrEx>
        <w:trPr>
          <w:gridAfter w:val="1"/>
          <w:wAfter w:w="10" w:type="dxa"/>
          <w:trHeight w:val="225"/>
        </w:trPr>
        <w:tc>
          <w:tcPr>
            <w:tcW w:w="0" w:type="auto"/>
            <w:tcBorders>
              <w:top w:val="nil"/>
              <w:left w:val="single" w:sz="6" w:space="0" w:color="000000"/>
              <w:bottom w:val="nil"/>
              <w:right w:val="nil"/>
              <w:tl2br w:val="nil"/>
              <w:tr2bl w:val="nil"/>
            </w:tcBorders>
            <w:shd w:val="clear" w:color="auto" w:fill="FFFFFF"/>
            <w:tcMar>
              <w:left w:w="115" w:type="dxa"/>
              <w:right w:w="115" w:type="dxa"/>
            </w:tcMar>
            <w:vAlign w:val="bottom"/>
          </w:tcPr>
          <w:p w14:paraId="5603B65C" w14:textId="77777777" w:rsidR="00724034" w:rsidRDefault="00724034">
            <w:pPr>
              <w:rPr>
                <w:rFonts w:ascii="Arial" w:eastAsia="Arial" w:hAnsi="Arial" w:cs="Arial"/>
                <w:color w:val="000000"/>
                <w:sz w:val="16"/>
              </w:rPr>
            </w:pPr>
          </w:p>
        </w:tc>
        <w:tc>
          <w:tcPr>
            <w:tcW w:w="0" w:type="auto"/>
            <w:tcBorders>
              <w:top w:val="nil"/>
              <w:left w:val="nil"/>
              <w:bottom w:val="nil"/>
              <w:right w:val="nil"/>
              <w:tl2br w:val="nil"/>
              <w:tr2bl w:val="nil"/>
            </w:tcBorders>
            <w:shd w:val="clear" w:color="auto" w:fill="FFFFFF"/>
            <w:tcMar>
              <w:left w:w="115" w:type="dxa"/>
              <w:right w:w="115" w:type="dxa"/>
            </w:tcMar>
            <w:vAlign w:val="bottom"/>
          </w:tcPr>
          <w:p w14:paraId="6777CCF3" w14:textId="77777777" w:rsidR="00724034" w:rsidRDefault="00724034">
            <w:pPr>
              <w:rPr>
                <w:rFonts w:ascii="Arial" w:eastAsia="Arial" w:hAnsi="Arial" w:cs="Arial"/>
                <w:i/>
                <w:color w:val="000000"/>
                <w:sz w:val="16"/>
              </w:rPr>
            </w:pPr>
          </w:p>
        </w:tc>
        <w:tc>
          <w:tcPr>
            <w:tcW w:w="0" w:type="auto"/>
            <w:tcBorders>
              <w:top w:val="nil"/>
              <w:left w:val="nil"/>
              <w:bottom w:val="nil"/>
              <w:right w:val="nil"/>
              <w:tl2br w:val="nil"/>
              <w:tr2bl w:val="nil"/>
            </w:tcBorders>
            <w:shd w:val="clear" w:color="auto" w:fill="FFFFFF"/>
            <w:tcMar>
              <w:left w:w="115" w:type="dxa"/>
              <w:right w:w="115" w:type="dxa"/>
            </w:tcMar>
            <w:vAlign w:val="bottom"/>
          </w:tcPr>
          <w:p w14:paraId="79FE64D5" w14:textId="77777777" w:rsidR="00724034" w:rsidRDefault="00FB7D0B">
            <w:pPr>
              <w:rPr>
                <w:rFonts w:ascii="Arial" w:eastAsia="Arial" w:hAnsi="Arial" w:cs="Arial"/>
                <w:i/>
                <w:color w:val="000000"/>
                <w:sz w:val="16"/>
              </w:rPr>
            </w:pPr>
            <w:r>
              <w:rPr>
                <w:rFonts w:ascii="Arial" w:eastAsia="Arial" w:hAnsi="Arial" w:cs="Arial"/>
                <w:color w:val="000000"/>
                <w:sz w:val="16"/>
              </w:rPr>
              <w:t>Incapacity payments</w:t>
            </w:r>
          </w:p>
        </w:tc>
        <w:tc>
          <w:tcPr>
            <w:tcW w:w="0" w:type="auto"/>
            <w:tcBorders>
              <w:top w:val="nil"/>
              <w:left w:val="nil"/>
              <w:bottom w:val="nil"/>
              <w:right w:val="nil"/>
              <w:tl2br w:val="nil"/>
              <w:tr2bl w:val="nil"/>
            </w:tcBorders>
            <w:shd w:val="clear" w:color="auto" w:fill="FFFFFF"/>
            <w:tcMar>
              <w:left w:w="115" w:type="dxa"/>
              <w:right w:w="115" w:type="dxa"/>
            </w:tcMar>
            <w:vAlign w:val="bottom"/>
          </w:tcPr>
          <w:p w14:paraId="2F6F486D" w14:textId="77777777" w:rsidR="00724034" w:rsidRDefault="00FB7D0B">
            <w:pPr>
              <w:jc w:val="right"/>
              <w:rPr>
                <w:rFonts w:ascii="Arial" w:eastAsia="Arial" w:hAnsi="Arial" w:cs="Arial"/>
                <w:color w:val="000000"/>
                <w:sz w:val="16"/>
                <w:vertAlign w:val="superscript"/>
              </w:rPr>
            </w:pPr>
            <w:r>
              <w:rPr>
                <w:rFonts w:ascii="Arial" w:eastAsia="Arial" w:hAnsi="Arial" w:cs="Arial"/>
                <w:color w:val="000000"/>
                <w:sz w:val="16"/>
              </w:rPr>
              <w:t xml:space="preserve"> 82,499 </w:t>
            </w:r>
          </w:p>
        </w:tc>
        <w:tc>
          <w:tcPr>
            <w:tcW w:w="0" w:type="auto"/>
            <w:tcBorders>
              <w:top w:val="nil"/>
              <w:left w:val="nil"/>
              <w:bottom w:val="nil"/>
              <w:right w:val="nil"/>
              <w:tl2br w:val="nil"/>
              <w:tr2bl w:val="nil"/>
            </w:tcBorders>
            <w:shd w:val="clear" w:color="auto" w:fill="FFFF00"/>
            <w:tcMar>
              <w:left w:w="115" w:type="dxa"/>
              <w:right w:w="115" w:type="dxa"/>
            </w:tcMar>
            <w:vAlign w:val="bottom"/>
          </w:tcPr>
          <w:p w14:paraId="5B3A399D" w14:textId="77777777" w:rsidR="00724034" w:rsidRDefault="00FB7D0B">
            <w:pPr>
              <w:jc w:val="right"/>
              <w:rPr>
                <w:rFonts w:ascii="Arial" w:eastAsia="Arial" w:hAnsi="Arial" w:cs="Arial"/>
                <w:color w:val="000000"/>
                <w:sz w:val="16"/>
              </w:rPr>
            </w:pPr>
            <w:r>
              <w:rPr>
                <w:rFonts w:ascii="Arial" w:eastAsia="Arial" w:hAnsi="Arial" w:cs="Arial"/>
                <w:color w:val="000000"/>
                <w:sz w:val="16"/>
              </w:rPr>
              <w:t xml:space="preserve"> 78,830 </w:t>
            </w:r>
          </w:p>
        </w:tc>
        <w:tc>
          <w:tcPr>
            <w:tcW w:w="0" w:type="auto"/>
            <w:tcBorders>
              <w:top w:val="nil"/>
              <w:left w:val="nil"/>
              <w:bottom w:val="nil"/>
              <w:right w:val="nil"/>
              <w:tl2br w:val="nil"/>
              <w:tr2bl w:val="nil"/>
            </w:tcBorders>
            <w:shd w:val="clear" w:color="auto" w:fill="FFFFFF"/>
            <w:tcMar>
              <w:left w:w="115" w:type="dxa"/>
              <w:right w:w="115" w:type="dxa"/>
            </w:tcMar>
            <w:vAlign w:val="bottom"/>
          </w:tcPr>
          <w:p w14:paraId="63C128D4" w14:textId="77777777" w:rsidR="00724034" w:rsidRDefault="00FB7D0B">
            <w:pPr>
              <w:jc w:val="right"/>
              <w:rPr>
                <w:rFonts w:ascii="Arial" w:eastAsia="Arial" w:hAnsi="Arial" w:cs="Arial"/>
                <w:color w:val="000000"/>
                <w:sz w:val="16"/>
              </w:rPr>
            </w:pPr>
            <w:r>
              <w:rPr>
                <w:rFonts w:ascii="Arial" w:eastAsia="Arial" w:hAnsi="Arial" w:cs="Arial"/>
                <w:color w:val="000000"/>
                <w:sz w:val="16"/>
              </w:rPr>
              <w:t xml:space="preserve"> 70,012 </w:t>
            </w:r>
          </w:p>
        </w:tc>
        <w:tc>
          <w:tcPr>
            <w:tcW w:w="0" w:type="auto"/>
            <w:tcBorders>
              <w:top w:val="nil"/>
              <w:left w:val="nil"/>
              <w:bottom w:val="nil"/>
              <w:right w:val="nil"/>
              <w:tl2br w:val="nil"/>
              <w:tr2bl w:val="nil"/>
            </w:tcBorders>
            <w:shd w:val="clear" w:color="auto" w:fill="FFFFFF"/>
            <w:tcMar>
              <w:left w:w="115" w:type="dxa"/>
              <w:right w:w="115" w:type="dxa"/>
            </w:tcMar>
            <w:vAlign w:val="bottom"/>
          </w:tcPr>
          <w:p w14:paraId="04484355" w14:textId="77777777" w:rsidR="00724034" w:rsidRDefault="00FB7D0B">
            <w:pPr>
              <w:jc w:val="right"/>
              <w:rPr>
                <w:rFonts w:ascii="Arial" w:eastAsia="Arial" w:hAnsi="Arial" w:cs="Arial"/>
                <w:color w:val="000000"/>
                <w:sz w:val="16"/>
              </w:rPr>
            </w:pPr>
            <w:r>
              <w:rPr>
                <w:rFonts w:ascii="Arial" w:eastAsia="Arial" w:hAnsi="Arial" w:cs="Arial"/>
                <w:color w:val="000000"/>
                <w:sz w:val="16"/>
              </w:rPr>
              <w:t xml:space="preserve"> 64,319 </w:t>
            </w:r>
          </w:p>
        </w:tc>
        <w:tc>
          <w:tcPr>
            <w:tcW w:w="0" w:type="auto"/>
            <w:tcBorders>
              <w:top w:val="nil"/>
              <w:left w:val="nil"/>
              <w:bottom w:val="nil"/>
              <w:right w:val="single" w:sz="6" w:space="0" w:color="000000"/>
              <w:tl2br w:val="nil"/>
              <w:tr2bl w:val="nil"/>
            </w:tcBorders>
            <w:shd w:val="clear" w:color="auto" w:fill="FFFFFF"/>
            <w:tcMar>
              <w:left w:w="115" w:type="dxa"/>
              <w:right w:w="115" w:type="dxa"/>
            </w:tcMar>
            <w:vAlign w:val="bottom"/>
          </w:tcPr>
          <w:p w14:paraId="634BC016" w14:textId="77777777" w:rsidR="00724034" w:rsidRDefault="00FB7D0B">
            <w:pPr>
              <w:jc w:val="right"/>
              <w:rPr>
                <w:rFonts w:ascii="Arial" w:eastAsia="Arial" w:hAnsi="Arial" w:cs="Arial"/>
                <w:color w:val="000000"/>
                <w:sz w:val="16"/>
              </w:rPr>
            </w:pPr>
            <w:r>
              <w:rPr>
                <w:rFonts w:ascii="Arial" w:eastAsia="Arial" w:hAnsi="Arial" w:cs="Arial"/>
                <w:color w:val="000000"/>
                <w:sz w:val="16"/>
              </w:rPr>
              <w:t xml:space="preserve"> 61,765 </w:t>
            </w:r>
          </w:p>
        </w:tc>
      </w:tr>
      <w:tr w:rsidR="00724034" w14:paraId="109B76DF" w14:textId="77777777">
        <w:tblPrEx>
          <w:tblLook w:val="04A0" w:firstRow="1" w:lastRow="0" w:firstColumn="1" w:lastColumn="0" w:noHBand="0" w:noVBand="1"/>
        </w:tblPrEx>
        <w:trPr>
          <w:gridAfter w:val="1"/>
          <w:wAfter w:w="10" w:type="dxa"/>
          <w:trHeight w:val="225"/>
        </w:trPr>
        <w:tc>
          <w:tcPr>
            <w:tcW w:w="0" w:type="auto"/>
            <w:tcBorders>
              <w:top w:val="nil"/>
              <w:left w:val="single" w:sz="6" w:space="0" w:color="000000"/>
              <w:bottom w:val="nil"/>
              <w:right w:val="nil"/>
              <w:tl2br w:val="nil"/>
              <w:tr2bl w:val="nil"/>
            </w:tcBorders>
            <w:shd w:val="clear" w:color="auto" w:fill="FFFFFF"/>
            <w:tcMar>
              <w:left w:w="115" w:type="dxa"/>
              <w:right w:w="115" w:type="dxa"/>
            </w:tcMar>
            <w:vAlign w:val="bottom"/>
          </w:tcPr>
          <w:p w14:paraId="79B922ED" w14:textId="77777777" w:rsidR="00724034" w:rsidRDefault="00724034">
            <w:pPr>
              <w:rPr>
                <w:rFonts w:ascii="Arial" w:eastAsia="Arial" w:hAnsi="Arial" w:cs="Arial"/>
                <w:color w:val="000000"/>
                <w:sz w:val="16"/>
              </w:rPr>
            </w:pPr>
          </w:p>
        </w:tc>
        <w:tc>
          <w:tcPr>
            <w:tcW w:w="0" w:type="auto"/>
            <w:tcBorders>
              <w:top w:val="nil"/>
              <w:left w:val="nil"/>
              <w:bottom w:val="nil"/>
              <w:right w:val="nil"/>
              <w:tl2br w:val="nil"/>
              <w:tr2bl w:val="nil"/>
            </w:tcBorders>
            <w:shd w:val="clear" w:color="auto" w:fill="FFFFFF"/>
            <w:tcMar>
              <w:left w:w="115" w:type="dxa"/>
              <w:right w:w="115" w:type="dxa"/>
            </w:tcMar>
            <w:vAlign w:val="bottom"/>
          </w:tcPr>
          <w:p w14:paraId="4E7DD4B5" w14:textId="77777777" w:rsidR="00724034" w:rsidRDefault="00724034">
            <w:pPr>
              <w:rPr>
                <w:rFonts w:ascii="Arial" w:eastAsia="Arial" w:hAnsi="Arial" w:cs="Arial"/>
                <w:i/>
                <w:color w:val="000000"/>
                <w:sz w:val="16"/>
              </w:rPr>
            </w:pPr>
          </w:p>
        </w:tc>
        <w:tc>
          <w:tcPr>
            <w:tcW w:w="0" w:type="auto"/>
            <w:tcBorders>
              <w:top w:val="nil"/>
              <w:left w:val="nil"/>
              <w:bottom w:val="nil"/>
              <w:right w:val="nil"/>
              <w:tl2br w:val="nil"/>
              <w:tr2bl w:val="nil"/>
            </w:tcBorders>
            <w:shd w:val="clear" w:color="auto" w:fill="FFFFFF"/>
            <w:tcMar>
              <w:left w:w="115" w:type="dxa"/>
              <w:right w:w="115" w:type="dxa"/>
            </w:tcMar>
            <w:vAlign w:val="bottom"/>
          </w:tcPr>
          <w:p w14:paraId="4C561246" w14:textId="77777777" w:rsidR="00724034" w:rsidRDefault="00FB7D0B">
            <w:pPr>
              <w:rPr>
                <w:rFonts w:ascii="Arial" w:eastAsia="Arial" w:hAnsi="Arial" w:cs="Arial"/>
                <w:i/>
                <w:color w:val="000000"/>
                <w:sz w:val="16"/>
              </w:rPr>
            </w:pPr>
            <w:r>
              <w:rPr>
                <w:rFonts w:ascii="Arial" w:eastAsia="Arial" w:hAnsi="Arial" w:cs="Arial"/>
                <w:color w:val="000000"/>
                <w:sz w:val="16"/>
              </w:rPr>
              <w:t>Medical examinations</w:t>
            </w:r>
          </w:p>
        </w:tc>
        <w:tc>
          <w:tcPr>
            <w:tcW w:w="0" w:type="auto"/>
            <w:tcBorders>
              <w:top w:val="nil"/>
              <w:left w:val="nil"/>
              <w:bottom w:val="nil"/>
              <w:right w:val="nil"/>
              <w:tl2br w:val="nil"/>
              <w:tr2bl w:val="nil"/>
            </w:tcBorders>
            <w:shd w:val="clear" w:color="auto" w:fill="FFFFFF"/>
            <w:tcMar>
              <w:left w:w="115" w:type="dxa"/>
              <w:right w:w="115" w:type="dxa"/>
            </w:tcMar>
            <w:vAlign w:val="bottom"/>
          </w:tcPr>
          <w:p w14:paraId="1D07DE33" w14:textId="77777777" w:rsidR="00724034" w:rsidRDefault="00FB7D0B">
            <w:pPr>
              <w:jc w:val="right"/>
              <w:rPr>
                <w:rFonts w:ascii="Arial" w:eastAsia="Arial" w:hAnsi="Arial" w:cs="Arial"/>
                <w:color w:val="FF0000"/>
                <w:sz w:val="16"/>
                <w:vertAlign w:val="superscript"/>
              </w:rPr>
            </w:pPr>
            <w:r>
              <w:rPr>
                <w:rFonts w:ascii="Arial" w:eastAsia="Arial" w:hAnsi="Arial" w:cs="Arial"/>
                <w:color w:val="000000"/>
                <w:sz w:val="16"/>
              </w:rPr>
              <w:t xml:space="preserve"> 3,812 </w:t>
            </w:r>
          </w:p>
        </w:tc>
        <w:tc>
          <w:tcPr>
            <w:tcW w:w="0" w:type="auto"/>
            <w:tcBorders>
              <w:top w:val="nil"/>
              <w:left w:val="nil"/>
              <w:bottom w:val="nil"/>
              <w:right w:val="nil"/>
              <w:tl2br w:val="nil"/>
              <w:tr2bl w:val="nil"/>
            </w:tcBorders>
            <w:shd w:val="clear" w:color="auto" w:fill="FFFF00"/>
            <w:tcMar>
              <w:left w:w="115" w:type="dxa"/>
              <w:right w:w="115" w:type="dxa"/>
            </w:tcMar>
            <w:vAlign w:val="bottom"/>
          </w:tcPr>
          <w:p w14:paraId="51E40B0A" w14:textId="77777777" w:rsidR="00724034" w:rsidRDefault="00FB7D0B">
            <w:pPr>
              <w:jc w:val="right"/>
              <w:rPr>
                <w:rFonts w:ascii="Arial" w:eastAsia="Arial" w:hAnsi="Arial" w:cs="Arial"/>
                <w:color w:val="000000"/>
                <w:sz w:val="16"/>
              </w:rPr>
            </w:pPr>
            <w:r>
              <w:rPr>
                <w:rFonts w:ascii="Arial" w:eastAsia="Arial" w:hAnsi="Arial" w:cs="Arial"/>
                <w:color w:val="000000"/>
                <w:sz w:val="16"/>
              </w:rPr>
              <w:t xml:space="preserve"> 3,797 </w:t>
            </w:r>
          </w:p>
        </w:tc>
        <w:tc>
          <w:tcPr>
            <w:tcW w:w="0" w:type="auto"/>
            <w:tcBorders>
              <w:top w:val="nil"/>
              <w:left w:val="nil"/>
              <w:bottom w:val="nil"/>
              <w:right w:val="nil"/>
              <w:tl2br w:val="nil"/>
              <w:tr2bl w:val="nil"/>
            </w:tcBorders>
            <w:shd w:val="clear" w:color="auto" w:fill="FFFFFF"/>
            <w:tcMar>
              <w:left w:w="115" w:type="dxa"/>
              <w:right w:w="115" w:type="dxa"/>
            </w:tcMar>
            <w:vAlign w:val="bottom"/>
          </w:tcPr>
          <w:p w14:paraId="34886789" w14:textId="77777777" w:rsidR="00724034" w:rsidRDefault="00FB7D0B">
            <w:pPr>
              <w:jc w:val="right"/>
              <w:rPr>
                <w:rFonts w:ascii="Arial" w:eastAsia="Arial" w:hAnsi="Arial" w:cs="Arial"/>
                <w:color w:val="000000"/>
                <w:sz w:val="16"/>
              </w:rPr>
            </w:pPr>
            <w:r>
              <w:rPr>
                <w:rFonts w:ascii="Arial" w:eastAsia="Arial" w:hAnsi="Arial" w:cs="Arial"/>
                <w:color w:val="000000"/>
                <w:sz w:val="16"/>
              </w:rPr>
              <w:t xml:space="preserve"> 3,394 </w:t>
            </w:r>
          </w:p>
        </w:tc>
        <w:tc>
          <w:tcPr>
            <w:tcW w:w="0" w:type="auto"/>
            <w:tcBorders>
              <w:top w:val="nil"/>
              <w:left w:val="nil"/>
              <w:bottom w:val="nil"/>
              <w:right w:val="nil"/>
              <w:tl2br w:val="nil"/>
              <w:tr2bl w:val="nil"/>
            </w:tcBorders>
            <w:shd w:val="clear" w:color="auto" w:fill="FFFFFF"/>
            <w:tcMar>
              <w:left w:w="115" w:type="dxa"/>
              <w:right w:w="115" w:type="dxa"/>
            </w:tcMar>
            <w:vAlign w:val="bottom"/>
          </w:tcPr>
          <w:p w14:paraId="6FF8B1A2" w14:textId="77777777" w:rsidR="00724034" w:rsidRDefault="00FB7D0B">
            <w:pPr>
              <w:jc w:val="right"/>
              <w:rPr>
                <w:rFonts w:ascii="Arial" w:eastAsia="Arial" w:hAnsi="Arial" w:cs="Arial"/>
                <w:color w:val="000000"/>
                <w:sz w:val="16"/>
              </w:rPr>
            </w:pPr>
            <w:r>
              <w:rPr>
                <w:rFonts w:ascii="Arial" w:eastAsia="Arial" w:hAnsi="Arial" w:cs="Arial"/>
                <w:color w:val="000000"/>
                <w:sz w:val="16"/>
              </w:rPr>
              <w:t xml:space="preserve"> 3,398 </w:t>
            </w:r>
          </w:p>
        </w:tc>
        <w:tc>
          <w:tcPr>
            <w:tcW w:w="0" w:type="auto"/>
            <w:tcBorders>
              <w:top w:val="nil"/>
              <w:left w:val="nil"/>
              <w:bottom w:val="nil"/>
              <w:right w:val="single" w:sz="6" w:space="0" w:color="000000"/>
              <w:tl2br w:val="nil"/>
              <w:tr2bl w:val="nil"/>
            </w:tcBorders>
            <w:shd w:val="clear" w:color="auto" w:fill="FFFFFF"/>
            <w:tcMar>
              <w:left w:w="115" w:type="dxa"/>
              <w:right w:w="115" w:type="dxa"/>
            </w:tcMar>
            <w:vAlign w:val="bottom"/>
          </w:tcPr>
          <w:p w14:paraId="32C37CE7" w14:textId="77777777" w:rsidR="00724034" w:rsidRDefault="00FB7D0B">
            <w:pPr>
              <w:jc w:val="right"/>
              <w:rPr>
                <w:rFonts w:ascii="Arial" w:eastAsia="Arial" w:hAnsi="Arial" w:cs="Arial"/>
                <w:color w:val="000000"/>
                <w:sz w:val="16"/>
              </w:rPr>
            </w:pPr>
            <w:r>
              <w:rPr>
                <w:rFonts w:ascii="Arial" w:eastAsia="Arial" w:hAnsi="Arial" w:cs="Arial"/>
                <w:color w:val="000000"/>
                <w:sz w:val="16"/>
              </w:rPr>
              <w:t xml:space="preserve"> 3,404 </w:t>
            </w:r>
          </w:p>
        </w:tc>
      </w:tr>
      <w:tr w:rsidR="00724034" w14:paraId="357178A2" w14:textId="77777777">
        <w:tblPrEx>
          <w:tblLook w:val="04A0" w:firstRow="1" w:lastRow="0" w:firstColumn="1" w:lastColumn="0" w:noHBand="0" w:noVBand="1"/>
        </w:tblPrEx>
        <w:trPr>
          <w:gridAfter w:val="1"/>
          <w:wAfter w:w="10" w:type="dxa"/>
          <w:trHeight w:val="225"/>
        </w:trPr>
        <w:tc>
          <w:tcPr>
            <w:tcW w:w="0" w:type="auto"/>
            <w:tcBorders>
              <w:top w:val="nil"/>
              <w:left w:val="single" w:sz="6" w:space="0" w:color="000000"/>
              <w:bottom w:val="nil"/>
              <w:right w:val="nil"/>
              <w:tl2br w:val="nil"/>
              <w:tr2bl w:val="nil"/>
            </w:tcBorders>
            <w:shd w:val="clear" w:color="auto" w:fill="FFFFFF"/>
            <w:tcMar>
              <w:left w:w="115" w:type="dxa"/>
              <w:right w:w="115" w:type="dxa"/>
            </w:tcMar>
            <w:vAlign w:val="bottom"/>
          </w:tcPr>
          <w:p w14:paraId="372C1165" w14:textId="77777777" w:rsidR="00724034" w:rsidRDefault="00724034">
            <w:pPr>
              <w:rPr>
                <w:rFonts w:ascii="Arial" w:eastAsia="Arial" w:hAnsi="Arial" w:cs="Arial"/>
                <w:color w:val="000000"/>
                <w:sz w:val="16"/>
              </w:rPr>
            </w:pPr>
          </w:p>
        </w:tc>
        <w:tc>
          <w:tcPr>
            <w:tcW w:w="0" w:type="auto"/>
            <w:tcBorders>
              <w:top w:val="nil"/>
              <w:left w:val="nil"/>
              <w:bottom w:val="nil"/>
              <w:right w:val="nil"/>
              <w:tl2br w:val="nil"/>
              <w:tr2bl w:val="nil"/>
            </w:tcBorders>
            <w:shd w:val="clear" w:color="auto" w:fill="FFFFFF"/>
            <w:tcMar>
              <w:left w:w="115" w:type="dxa"/>
              <w:right w:w="115" w:type="dxa"/>
            </w:tcMar>
            <w:vAlign w:val="bottom"/>
          </w:tcPr>
          <w:p w14:paraId="30A41500" w14:textId="77777777" w:rsidR="00724034" w:rsidRDefault="00724034">
            <w:pPr>
              <w:rPr>
                <w:rFonts w:ascii="Arial" w:eastAsia="Arial" w:hAnsi="Arial" w:cs="Arial"/>
                <w:i/>
                <w:color w:val="000000"/>
                <w:sz w:val="16"/>
              </w:rPr>
            </w:pPr>
          </w:p>
        </w:tc>
        <w:tc>
          <w:tcPr>
            <w:tcW w:w="0" w:type="auto"/>
            <w:tcBorders>
              <w:top w:val="nil"/>
              <w:left w:val="nil"/>
              <w:bottom w:val="nil"/>
              <w:right w:val="nil"/>
              <w:tl2br w:val="nil"/>
              <w:tr2bl w:val="nil"/>
            </w:tcBorders>
            <w:shd w:val="clear" w:color="auto" w:fill="FFFFFF"/>
            <w:tcMar>
              <w:left w:w="115" w:type="dxa"/>
              <w:right w:w="115" w:type="dxa"/>
            </w:tcMar>
            <w:vAlign w:val="bottom"/>
          </w:tcPr>
          <w:p w14:paraId="21C67B84" w14:textId="77777777" w:rsidR="00724034" w:rsidRDefault="00FB7D0B">
            <w:pPr>
              <w:rPr>
                <w:rFonts w:ascii="Arial" w:eastAsia="Arial" w:hAnsi="Arial" w:cs="Arial"/>
                <w:i/>
                <w:color w:val="000000"/>
                <w:sz w:val="16"/>
              </w:rPr>
            </w:pPr>
            <w:r>
              <w:rPr>
                <w:rFonts w:ascii="Arial" w:eastAsia="Arial" w:hAnsi="Arial" w:cs="Arial"/>
                <w:color w:val="000000"/>
                <w:sz w:val="16"/>
              </w:rPr>
              <w:t>Death payments</w:t>
            </w:r>
          </w:p>
        </w:tc>
        <w:tc>
          <w:tcPr>
            <w:tcW w:w="0" w:type="auto"/>
            <w:tcBorders>
              <w:top w:val="nil"/>
              <w:left w:val="nil"/>
              <w:bottom w:val="nil"/>
              <w:right w:val="nil"/>
              <w:tl2br w:val="nil"/>
              <w:tr2bl w:val="nil"/>
            </w:tcBorders>
            <w:shd w:val="clear" w:color="auto" w:fill="FFFFFF"/>
            <w:tcMar>
              <w:left w:w="115" w:type="dxa"/>
              <w:right w:w="115" w:type="dxa"/>
            </w:tcMar>
            <w:vAlign w:val="bottom"/>
          </w:tcPr>
          <w:p w14:paraId="567D3A9D" w14:textId="77777777" w:rsidR="00724034" w:rsidRDefault="00FB7D0B">
            <w:pPr>
              <w:jc w:val="right"/>
              <w:rPr>
                <w:rFonts w:ascii="Arial" w:eastAsia="Arial" w:hAnsi="Arial" w:cs="Arial"/>
                <w:color w:val="FF0000"/>
                <w:sz w:val="16"/>
                <w:vertAlign w:val="superscript"/>
              </w:rPr>
            </w:pPr>
            <w:r>
              <w:rPr>
                <w:rFonts w:ascii="Arial" w:eastAsia="Arial" w:hAnsi="Arial" w:cs="Arial"/>
                <w:color w:val="000000"/>
                <w:sz w:val="16"/>
              </w:rPr>
              <w:t xml:space="preserve"> 2,782 </w:t>
            </w:r>
          </w:p>
        </w:tc>
        <w:tc>
          <w:tcPr>
            <w:tcW w:w="0" w:type="auto"/>
            <w:tcBorders>
              <w:top w:val="nil"/>
              <w:left w:val="nil"/>
              <w:bottom w:val="nil"/>
              <w:right w:val="nil"/>
              <w:tl2br w:val="nil"/>
              <w:tr2bl w:val="nil"/>
            </w:tcBorders>
            <w:shd w:val="clear" w:color="auto" w:fill="FFFF00"/>
            <w:tcMar>
              <w:left w:w="115" w:type="dxa"/>
              <w:right w:w="115" w:type="dxa"/>
            </w:tcMar>
            <w:vAlign w:val="bottom"/>
          </w:tcPr>
          <w:p w14:paraId="1D3E73B3" w14:textId="77777777" w:rsidR="00724034" w:rsidRDefault="00FB7D0B">
            <w:pPr>
              <w:jc w:val="right"/>
              <w:rPr>
                <w:rFonts w:ascii="Arial" w:eastAsia="Arial" w:hAnsi="Arial" w:cs="Arial"/>
                <w:color w:val="000000"/>
                <w:sz w:val="16"/>
              </w:rPr>
            </w:pPr>
            <w:r>
              <w:rPr>
                <w:rFonts w:ascii="Arial" w:eastAsia="Arial" w:hAnsi="Arial" w:cs="Arial"/>
                <w:color w:val="000000"/>
                <w:sz w:val="16"/>
              </w:rPr>
              <w:t xml:space="preserve"> 2,721 </w:t>
            </w:r>
          </w:p>
        </w:tc>
        <w:tc>
          <w:tcPr>
            <w:tcW w:w="0" w:type="auto"/>
            <w:tcBorders>
              <w:top w:val="nil"/>
              <w:left w:val="nil"/>
              <w:bottom w:val="nil"/>
              <w:right w:val="nil"/>
              <w:tl2br w:val="nil"/>
              <w:tr2bl w:val="nil"/>
            </w:tcBorders>
            <w:shd w:val="clear" w:color="auto" w:fill="FFFFFF"/>
            <w:tcMar>
              <w:left w:w="115" w:type="dxa"/>
              <w:right w:w="115" w:type="dxa"/>
            </w:tcMar>
            <w:vAlign w:val="bottom"/>
          </w:tcPr>
          <w:p w14:paraId="7FE96B9F" w14:textId="77777777" w:rsidR="00724034" w:rsidRDefault="00FB7D0B">
            <w:pPr>
              <w:jc w:val="right"/>
              <w:rPr>
                <w:rFonts w:ascii="Arial" w:eastAsia="Arial" w:hAnsi="Arial" w:cs="Arial"/>
                <w:color w:val="000000"/>
                <w:sz w:val="16"/>
              </w:rPr>
            </w:pPr>
            <w:r>
              <w:rPr>
                <w:rFonts w:ascii="Arial" w:eastAsia="Arial" w:hAnsi="Arial" w:cs="Arial"/>
                <w:color w:val="000000"/>
                <w:sz w:val="16"/>
              </w:rPr>
              <w:t xml:space="preserve"> 2,590 </w:t>
            </w:r>
          </w:p>
        </w:tc>
        <w:tc>
          <w:tcPr>
            <w:tcW w:w="0" w:type="auto"/>
            <w:tcBorders>
              <w:top w:val="nil"/>
              <w:left w:val="nil"/>
              <w:bottom w:val="nil"/>
              <w:right w:val="nil"/>
              <w:tl2br w:val="nil"/>
              <w:tr2bl w:val="nil"/>
            </w:tcBorders>
            <w:shd w:val="clear" w:color="auto" w:fill="FFFFFF"/>
            <w:tcMar>
              <w:left w:w="115" w:type="dxa"/>
              <w:right w:w="115" w:type="dxa"/>
            </w:tcMar>
            <w:vAlign w:val="bottom"/>
          </w:tcPr>
          <w:p w14:paraId="38D2AB8C" w14:textId="77777777" w:rsidR="00724034" w:rsidRDefault="00FB7D0B">
            <w:pPr>
              <w:jc w:val="right"/>
              <w:rPr>
                <w:rFonts w:ascii="Arial" w:eastAsia="Arial" w:hAnsi="Arial" w:cs="Arial"/>
                <w:color w:val="000000"/>
                <w:sz w:val="16"/>
              </w:rPr>
            </w:pPr>
            <w:r>
              <w:rPr>
                <w:rFonts w:ascii="Arial" w:eastAsia="Arial" w:hAnsi="Arial" w:cs="Arial"/>
                <w:color w:val="000000"/>
                <w:sz w:val="16"/>
              </w:rPr>
              <w:t xml:space="preserve"> 2,464 </w:t>
            </w:r>
          </w:p>
        </w:tc>
        <w:tc>
          <w:tcPr>
            <w:tcW w:w="0" w:type="auto"/>
            <w:tcBorders>
              <w:top w:val="nil"/>
              <w:left w:val="nil"/>
              <w:bottom w:val="nil"/>
              <w:right w:val="single" w:sz="6" w:space="0" w:color="000000"/>
              <w:tl2br w:val="nil"/>
              <w:tr2bl w:val="nil"/>
            </w:tcBorders>
            <w:shd w:val="clear" w:color="auto" w:fill="FFFFFF"/>
            <w:tcMar>
              <w:left w:w="115" w:type="dxa"/>
              <w:right w:w="115" w:type="dxa"/>
            </w:tcMar>
            <w:vAlign w:val="bottom"/>
          </w:tcPr>
          <w:p w14:paraId="050BEC36" w14:textId="77777777" w:rsidR="00724034" w:rsidRDefault="00FB7D0B">
            <w:pPr>
              <w:jc w:val="right"/>
              <w:rPr>
                <w:rFonts w:ascii="Arial" w:eastAsia="Arial" w:hAnsi="Arial" w:cs="Arial"/>
                <w:color w:val="000000"/>
                <w:sz w:val="16"/>
              </w:rPr>
            </w:pPr>
            <w:r>
              <w:rPr>
                <w:rFonts w:ascii="Arial" w:eastAsia="Arial" w:hAnsi="Arial" w:cs="Arial"/>
                <w:color w:val="000000"/>
                <w:sz w:val="16"/>
              </w:rPr>
              <w:t xml:space="preserve"> 2,542 </w:t>
            </w:r>
          </w:p>
        </w:tc>
      </w:tr>
      <w:tr w:rsidR="00724034" w14:paraId="1E1663A5" w14:textId="77777777">
        <w:tblPrEx>
          <w:tblLook w:val="04A0" w:firstRow="1" w:lastRow="0" w:firstColumn="1" w:lastColumn="0" w:noHBand="0" w:noVBand="1"/>
        </w:tblPrEx>
        <w:trPr>
          <w:gridAfter w:val="1"/>
          <w:wAfter w:w="10" w:type="dxa"/>
          <w:trHeight w:val="450"/>
        </w:trPr>
        <w:tc>
          <w:tcPr>
            <w:tcW w:w="0" w:type="auto"/>
            <w:tcBorders>
              <w:top w:val="nil"/>
              <w:left w:val="single" w:sz="6" w:space="0" w:color="000000"/>
              <w:bottom w:val="nil"/>
              <w:right w:val="nil"/>
              <w:tl2br w:val="nil"/>
              <w:tr2bl w:val="nil"/>
            </w:tcBorders>
            <w:shd w:val="clear" w:color="auto" w:fill="FFFFFF"/>
            <w:tcMar>
              <w:left w:w="115" w:type="dxa"/>
              <w:right w:w="115" w:type="dxa"/>
            </w:tcMar>
            <w:vAlign w:val="bottom"/>
          </w:tcPr>
          <w:p w14:paraId="5D2DAE59" w14:textId="77777777" w:rsidR="00724034" w:rsidRDefault="00724034">
            <w:pPr>
              <w:rPr>
                <w:rFonts w:ascii="Arial" w:eastAsia="Arial" w:hAnsi="Arial" w:cs="Arial"/>
                <w:color w:val="000000"/>
                <w:sz w:val="16"/>
              </w:rPr>
            </w:pPr>
          </w:p>
        </w:tc>
        <w:tc>
          <w:tcPr>
            <w:tcW w:w="0" w:type="auto"/>
            <w:tcBorders>
              <w:top w:val="nil"/>
              <w:left w:val="nil"/>
              <w:bottom w:val="nil"/>
              <w:right w:val="nil"/>
              <w:tl2br w:val="nil"/>
              <w:tr2bl w:val="nil"/>
            </w:tcBorders>
            <w:shd w:val="clear" w:color="auto" w:fill="FFFFFF"/>
            <w:tcMar>
              <w:left w:w="115" w:type="dxa"/>
              <w:right w:w="115" w:type="dxa"/>
            </w:tcMar>
            <w:vAlign w:val="bottom"/>
          </w:tcPr>
          <w:p w14:paraId="3C8681D2" w14:textId="77777777" w:rsidR="00724034" w:rsidRDefault="00724034">
            <w:pPr>
              <w:rPr>
                <w:rFonts w:ascii="Arial" w:eastAsia="Arial" w:hAnsi="Arial" w:cs="Arial"/>
                <w:i/>
                <w:color w:val="000000"/>
                <w:sz w:val="16"/>
              </w:rPr>
            </w:pPr>
          </w:p>
        </w:tc>
        <w:tc>
          <w:tcPr>
            <w:tcW w:w="0" w:type="auto"/>
            <w:tcBorders>
              <w:top w:val="nil"/>
              <w:left w:val="nil"/>
              <w:bottom w:val="nil"/>
              <w:right w:val="nil"/>
              <w:tl2br w:val="nil"/>
              <w:tr2bl w:val="nil"/>
            </w:tcBorders>
            <w:shd w:val="clear" w:color="auto" w:fill="FFFFFF"/>
            <w:tcMar>
              <w:left w:w="115" w:type="dxa"/>
              <w:right w:w="115" w:type="dxa"/>
            </w:tcMar>
            <w:vAlign w:val="bottom"/>
          </w:tcPr>
          <w:p w14:paraId="0F2F27F0" w14:textId="77777777" w:rsidR="00724034" w:rsidRDefault="00FB7D0B">
            <w:pPr>
              <w:rPr>
                <w:rFonts w:ascii="Arial" w:eastAsia="Arial" w:hAnsi="Arial" w:cs="Arial"/>
                <w:i/>
                <w:color w:val="000000"/>
                <w:sz w:val="16"/>
              </w:rPr>
            </w:pPr>
            <w:r>
              <w:rPr>
                <w:rFonts w:ascii="Arial" w:eastAsia="Arial" w:hAnsi="Arial" w:cs="Arial"/>
                <w:color w:val="000000"/>
                <w:sz w:val="16"/>
              </w:rPr>
              <w:t>Other income support and compensation-related payments</w:t>
            </w:r>
          </w:p>
        </w:tc>
        <w:tc>
          <w:tcPr>
            <w:tcW w:w="0" w:type="auto"/>
            <w:tcBorders>
              <w:top w:val="nil"/>
              <w:left w:val="nil"/>
              <w:bottom w:val="nil"/>
              <w:right w:val="nil"/>
              <w:tl2br w:val="nil"/>
              <w:tr2bl w:val="nil"/>
            </w:tcBorders>
            <w:shd w:val="clear" w:color="auto" w:fill="FFFFFF"/>
            <w:tcMar>
              <w:left w:w="115" w:type="dxa"/>
              <w:right w:w="115" w:type="dxa"/>
            </w:tcMar>
            <w:vAlign w:val="bottom"/>
          </w:tcPr>
          <w:p w14:paraId="1F1BE314" w14:textId="77777777" w:rsidR="00724034" w:rsidRDefault="00FB7D0B">
            <w:pPr>
              <w:jc w:val="right"/>
              <w:rPr>
                <w:rFonts w:ascii="Arial" w:eastAsia="Arial" w:hAnsi="Arial" w:cs="Arial"/>
                <w:color w:val="FF0000"/>
                <w:sz w:val="16"/>
                <w:vertAlign w:val="superscript"/>
              </w:rPr>
            </w:pPr>
            <w:r>
              <w:rPr>
                <w:rFonts w:ascii="Arial" w:eastAsia="Arial" w:hAnsi="Arial" w:cs="Arial"/>
                <w:color w:val="000000"/>
                <w:sz w:val="16"/>
              </w:rPr>
              <w:t xml:space="preserve"> 340 </w:t>
            </w:r>
          </w:p>
        </w:tc>
        <w:tc>
          <w:tcPr>
            <w:tcW w:w="0" w:type="auto"/>
            <w:tcBorders>
              <w:top w:val="nil"/>
              <w:left w:val="nil"/>
              <w:bottom w:val="nil"/>
              <w:right w:val="nil"/>
              <w:tl2br w:val="nil"/>
              <w:tr2bl w:val="nil"/>
            </w:tcBorders>
            <w:shd w:val="clear" w:color="auto" w:fill="FFFF00"/>
            <w:tcMar>
              <w:left w:w="115" w:type="dxa"/>
              <w:right w:w="115" w:type="dxa"/>
            </w:tcMar>
            <w:vAlign w:val="bottom"/>
          </w:tcPr>
          <w:p w14:paraId="0BE33549" w14:textId="77777777" w:rsidR="00724034" w:rsidRDefault="00FB7D0B">
            <w:pPr>
              <w:jc w:val="right"/>
              <w:rPr>
                <w:rFonts w:ascii="Arial" w:eastAsia="Arial" w:hAnsi="Arial" w:cs="Arial"/>
                <w:color w:val="000000"/>
                <w:sz w:val="16"/>
              </w:rPr>
            </w:pPr>
            <w:r>
              <w:rPr>
                <w:rFonts w:ascii="Arial" w:eastAsia="Arial" w:hAnsi="Arial" w:cs="Arial"/>
                <w:color w:val="000000"/>
                <w:sz w:val="16"/>
              </w:rPr>
              <w:t xml:space="preserve"> 340 </w:t>
            </w:r>
          </w:p>
        </w:tc>
        <w:tc>
          <w:tcPr>
            <w:tcW w:w="0" w:type="auto"/>
            <w:tcBorders>
              <w:top w:val="nil"/>
              <w:left w:val="nil"/>
              <w:bottom w:val="nil"/>
              <w:right w:val="nil"/>
              <w:tl2br w:val="nil"/>
              <w:tr2bl w:val="nil"/>
            </w:tcBorders>
            <w:shd w:val="clear" w:color="auto" w:fill="FFFFFF"/>
            <w:tcMar>
              <w:left w:w="115" w:type="dxa"/>
              <w:right w:w="115" w:type="dxa"/>
            </w:tcMar>
            <w:vAlign w:val="bottom"/>
          </w:tcPr>
          <w:p w14:paraId="267FDBC8" w14:textId="77777777" w:rsidR="00724034" w:rsidRDefault="00FB7D0B">
            <w:pPr>
              <w:jc w:val="right"/>
              <w:rPr>
                <w:rFonts w:ascii="Arial" w:eastAsia="Arial" w:hAnsi="Arial" w:cs="Arial"/>
                <w:color w:val="000000"/>
                <w:sz w:val="16"/>
              </w:rPr>
            </w:pPr>
            <w:r>
              <w:rPr>
                <w:rFonts w:ascii="Arial" w:eastAsia="Arial" w:hAnsi="Arial" w:cs="Arial"/>
                <w:color w:val="000000"/>
                <w:sz w:val="16"/>
              </w:rPr>
              <w:t xml:space="preserve"> 339 </w:t>
            </w:r>
          </w:p>
        </w:tc>
        <w:tc>
          <w:tcPr>
            <w:tcW w:w="0" w:type="auto"/>
            <w:tcBorders>
              <w:top w:val="nil"/>
              <w:left w:val="nil"/>
              <w:bottom w:val="nil"/>
              <w:right w:val="nil"/>
              <w:tl2br w:val="nil"/>
              <w:tr2bl w:val="nil"/>
            </w:tcBorders>
            <w:shd w:val="clear" w:color="auto" w:fill="FFFFFF"/>
            <w:tcMar>
              <w:left w:w="115" w:type="dxa"/>
              <w:right w:w="115" w:type="dxa"/>
            </w:tcMar>
            <w:vAlign w:val="bottom"/>
          </w:tcPr>
          <w:p w14:paraId="121F4C38" w14:textId="77777777" w:rsidR="00724034" w:rsidRDefault="00FB7D0B">
            <w:pPr>
              <w:jc w:val="right"/>
              <w:rPr>
                <w:rFonts w:ascii="Arial" w:eastAsia="Arial" w:hAnsi="Arial" w:cs="Arial"/>
                <w:color w:val="000000"/>
                <w:sz w:val="16"/>
              </w:rPr>
            </w:pPr>
            <w:r>
              <w:rPr>
                <w:rFonts w:ascii="Arial" w:eastAsia="Arial" w:hAnsi="Arial" w:cs="Arial"/>
                <w:color w:val="000000"/>
                <w:sz w:val="16"/>
              </w:rPr>
              <w:t xml:space="preserve"> 339 </w:t>
            </w:r>
          </w:p>
        </w:tc>
        <w:tc>
          <w:tcPr>
            <w:tcW w:w="0" w:type="auto"/>
            <w:tcBorders>
              <w:top w:val="nil"/>
              <w:left w:val="nil"/>
              <w:bottom w:val="nil"/>
              <w:right w:val="single" w:sz="6" w:space="0" w:color="000000"/>
              <w:tl2br w:val="nil"/>
              <w:tr2bl w:val="nil"/>
            </w:tcBorders>
            <w:shd w:val="clear" w:color="auto" w:fill="FFFFFF"/>
            <w:tcMar>
              <w:left w:w="115" w:type="dxa"/>
              <w:right w:w="115" w:type="dxa"/>
            </w:tcMar>
            <w:vAlign w:val="bottom"/>
          </w:tcPr>
          <w:p w14:paraId="55BBBB89" w14:textId="77777777" w:rsidR="00724034" w:rsidRDefault="00FB7D0B">
            <w:pPr>
              <w:jc w:val="right"/>
              <w:rPr>
                <w:rFonts w:ascii="Arial" w:eastAsia="Arial" w:hAnsi="Arial" w:cs="Arial"/>
                <w:color w:val="000000"/>
                <w:sz w:val="16"/>
              </w:rPr>
            </w:pPr>
            <w:r>
              <w:rPr>
                <w:rFonts w:ascii="Arial" w:eastAsia="Arial" w:hAnsi="Arial" w:cs="Arial"/>
                <w:color w:val="000000"/>
                <w:sz w:val="16"/>
              </w:rPr>
              <w:t xml:space="preserve"> 348 </w:t>
            </w:r>
          </w:p>
        </w:tc>
      </w:tr>
      <w:tr w:rsidR="00FB7D0B" w14:paraId="447F172F" w14:textId="77777777" w:rsidTr="00FB7D0B">
        <w:tblPrEx>
          <w:tblLook w:val="04A0" w:firstRow="1" w:lastRow="0" w:firstColumn="1" w:lastColumn="0" w:noHBand="0" w:noVBand="1"/>
        </w:tblPrEx>
        <w:trPr>
          <w:gridAfter w:val="1"/>
          <w:wAfter w:w="10" w:type="dxa"/>
          <w:trHeight w:val="450"/>
        </w:trPr>
        <w:tc>
          <w:tcPr>
            <w:tcW w:w="0" w:type="auto"/>
            <w:tcBorders>
              <w:top w:val="nil"/>
              <w:left w:val="single" w:sz="6" w:space="0" w:color="000000"/>
              <w:bottom w:val="nil"/>
              <w:right w:val="nil"/>
              <w:tl2br w:val="nil"/>
              <w:tr2bl w:val="nil"/>
            </w:tcBorders>
            <w:shd w:val="clear" w:color="auto" w:fill="FFFFFF"/>
            <w:tcMar>
              <w:left w:w="115" w:type="dxa"/>
              <w:right w:w="115" w:type="dxa"/>
            </w:tcMar>
            <w:vAlign w:val="bottom"/>
          </w:tcPr>
          <w:p w14:paraId="5BF9617E" w14:textId="77777777" w:rsidR="00724034" w:rsidRDefault="00724034">
            <w:pPr>
              <w:rPr>
                <w:rFonts w:ascii="Arial" w:eastAsia="Arial" w:hAnsi="Arial" w:cs="Arial"/>
                <w:color w:val="000000"/>
                <w:sz w:val="16"/>
              </w:rPr>
            </w:pPr>
          </w:p>
        </w:tc>
        <w:tc>
          <w:tcPr>
            <w:tcW w:w="0" w:type="auto"/>
            <w:gridSpan w:val="2"/>
            <w:tcBorders>
              <w:top w:val="nil"/>
              <w:left w:val="nil"/>
              <w:bottom w:val="nil"/>
              <w:right w:val="nil"/>
              <w:tl2br w:val="nil"/>
              <w:tr2bl w:val="nil"/>
            </w:tcBorders>
            <w:shd w:val="clear" w:color="auto" w:fill="FFFFFF"/>
            <w:tcMar>
              <w:left w:w="115" w:type="dxa"/>
              <w:right w:w="115" w:type="dxa"/>
            </w:tcMar>
            <w:vAlign w:val="bottom"/>
          </w:tcPr>
          <w:p w14:paraId="091E1397" w14:textId="77777777" w:rsidR="00724034" w:rsidRDefault="00FB7D0B">
            <w:pPr>
              <w:rPr>
                <w:rFonts w:ascii="Arial" w:eastAsia="Arial" w:hAnsi="Arial" w:cs="Arial"/>
                <w:color w:val="000000"/>
                <w:sz w:val="16"/>
              </w:rPr>
            </w:pPr>
            <w:r>
              <w:rPr>
                <w:rFonts w:ascii="Arial" w:eastAsia="Arial" w:hAnsi="Arial" w:cs="Arial"/>
                <w:i/>
                <w:color w:val="000000"/>
                <w:sz w:val="16"/>
              </w:rPr>
              <w:t>Military Rehabilitation and Compensation Act 2004</w:t>
            </w:r>
          </w:p>
        </w:tc>
        <w:tc>
          <w:tcPr>
            <w:tcW w:w="0" w:type="auto"/>
            <w:tcBorders>
              <w:top w:val="nil"/>
              <w:left w:val="nil"/>
              <w:bottom w:val="nil"/>
              <w:right w:val="nil"/>
              <w:tl2br w:val="nil"/>
              <w:tr2bl w:val="nil"/>
            </w:tcBorders>
            <w:shd w:val="clear" w:color="auto" w:fill="FFFFFF"/>
            <w:tcMar>
              <w:left w:w="115" w:type="dxa"/>
              <w:right w:w="115" w:type="dxa"/>
            </w:tcMar>
            <w:vAlign w:val="bottom"/>
          </w:tcPr>
          <w:p w14:paraId="61E24226" w14:textId="77777777" w:rsidR="00724034" w:rsidRDefault="00724034">
            <w:pPr>
              <w:rPr>
                <w:rFonts w:ascii="Arial" w:eastAsia="Arial" w:hAnsi="Arial" w:cs="Arial"/>
                <w:color w:val="000000"/>
                <w:sz w:val="16"/>
                <w:vertAlign w:val="superscript"/>
              </w:rPr>
            </w:pPr>
          </w:p>
        </w:tc>
        <w:tc>
          <w:tcPr>
            <w:tcW w:w="0" w:type="auto"/>
            <w:tcBorders>
              <w:top w:val="nil"/>
              <w:left w:val="nil"/>
              <w:bottom w:val="nil"/>
              <w:right w:val="nil"/>
              <w:tl2br w:val="nil"/>
              <w:tr2bl w:val="nil"/>
            </w:tcBorders>
            <w:shd w:val="clear" w:color="auto" w:fill="FFFF00"/>
            <w:tcMar>
              <w:left w:w="115" w:type="dxa"/>
              <w:right w:w="115" w:type="dxa"/>
            </w:tcMar>
            <w:vAlign w:val="bottom"/>
          </w:tcPr>
          <w:p w14:paraId="401091C8" w14:textId="77777777" w:rsidR="00724034" w:rsidRDefault="00724034">
            <w:pPr>
              <w:jc w:val="right"/>
              <w:rPr>
                <w:rFonts w:ascii="Arial" w:eastAsia="Arial" w:hAnsi="Arial" w:cs="Arial"/>
                <w:color w:val="000000"/>
                <w:sz w:val="16"/>
                <w:vertAlign w:val="superscript"/>
              </w:rPr>
            </w:pPr>
          </w:p>
        </w:tc>
        <w:tc>
          <w:tcPr>
            <w:tcW w:w="0" w:type="auto"/>
            <w:tcBorders>
              <w:top w:val="nil"/>
              <w:left w:val="nil"/>
              <w:bottom w:val="nil"/>
              <w:right w:val="nil"/>
              <w:tl2br w:val="nil"/>
              <w:tr2bl w:val="nil"/>
            </w:tcBorders>
            <w:shd w:val="clear" w:color="auto" w:fill="FFFFFF"/>
            <w:tcMar>
              <w:left w:w="115" w:type="dxa"/>
              <w:right w:w="115" w:type="dxa"/>
            </w:tcMar>
            <w:vAlign w:val="bottom"/>
          </w:tcPr>
          <w:p w14:paraId="56B587A9" w14:textId="77777777" w:rsidR="00724034" w:rsidRDefault="00724034">
            <w:pPr>
              <w:jc w:val="right"/>
              <w:rPr>
                <w:rFonts w:ascii="Arial" w:eastAsia="Arial" w:hAnsi="Arial" w:cs="Arial"/>
                <w:color w:val="000000"/>
                <w:sz w:val="16"/>
                <w:vertAlign w:val="superscript"/>
              </w:rPr>
            </w:pPr>
          </w:p>
        </w:tc>
        <w:tc>
          <w:tcPr>
            <w:tcW w:w="0" w:type="auto"/>
            <w:tcBorders>
              <w:top w:val="nil"/>
              <w:left w:val="nil"/>
              <w:bottom w:val="nil"/>
              <w:right w:val="nil"/>
              <w:tl2br w:val="nil"/>
              <w:tr2bl w:val="nil"/>
            </w:tcBorders>
            <w:shd w:val="clear" w:color="auto" w:fill="FFFFFF"/>
            <w:tcMar>
              <w:left w:w="115" w:type="dxa"/>
              <w:right w:w="115" w:type="dxa"/>
            </w:tcMar>
            <w:vAlign w:val="bottom"/>
          </w:tcPr>
          <w:p w14:paraId="0D224EB7" w14:textId="77777777" w:rsidR="00724034" w:rsidRDefault="00724034">
            <w:pPr>
              <w:jc w:val="right"/>
              <w:rPr>
                <w:rFonts w:ascii="Arial" w:eastAsia="Arial" w:hAnsi="Arial" w:cs="Arial"/>
                <w:color w:val="000000"/>
                <w:sz w:val="16"/>
                <w:vertAlign w:val="superscript"/>
              </w:rPr>
            </w:pPr>
          </w:p>
        </w:tc>
        <w:tc>
          <w:tcPr>
            <w:tcW w:w="0" w:type="auto"/>
            <w:tcBorders>
              <w:top w:val="nil"/>
              <w:left w:val="nil"/>
              <w:bottom w:val="nil"/>
              <w:right w:val="single" w:sz="6" w:space="0" w:color="000000"/>
              <w:tl2br w:val="nil"/>
              <w:tr2bl w:val="nil"/>
            </w:tcBorders>
            <w:shd w:val="clear" w:color="auto" w:fill="FFFFFF"/>
            <w:tcMar>
              <w:left w:w="115" w:type="dxa"/>
              <w:right w:w="115" w:type="dxa"/>
            </w:tcMar>
            <w:vAlign w:val="bottom"/>
          </w:tcPr>
          <w:p w14:paraId="783280AB" w14:textId="77777777" w:rsidR="00724034" w:rsidRDefault="00724034">
            <w:pPr>
              <w:jc w:val="right"/>
              <w:rPr>
                <w:rFonts w:ascii="Arial" w:eastAsia="Arial" w:hAnsi="Arial" w:cs="Arial"/>
                <w:color w:val="000000"/>
                <w:sz w:val="16"/>
                <w:vertAlign w:val="superscript"/>
              </w:rPr>
            </w:pPr>
          </w:p>
        </w:tc>
      </w:tr>
      <w:tr w:rsidR="00724034" w14:paraId="39D0D900" w14:textId="77777777">
        <w:tblPrEx>
          <w:tblLook w:val="04A0" w:firstRow="1" w:lastRow="0" w:firstColumn="1" w:lastColumn="0" w:noHBand="0" w:noVBand="1"/>
        </w:tblPrEx>
        <w:trPr>
          <w:gridAfter w:val="1"/>
          <w:wAfter w:w="10" w:type="dxa"/>
          <w:trHeight w:val="225"/>
        </w:trPr>
        <w:tc>
          <w:tcPr>
            <w:tcW w:w="0" w:type="auto"/>
            <w:tcBorders>
              <w:top w:val="nil"/>
              <w:left w:val="single" w:sz="6" w:space="0" w:color="000000"/>
              <w:bottom w:val="nil"/>
              <w:right w:val="nil"/>
              <w:tl2br w:val="nil"/>
              <w:tr2bl w:val="nil"/>
            </w:tcBorders>
            <w:shd w:val="clear" w:color="auto" w:fill="FFFFFF"/>
            <w:tcMar>
              <w:left w:w="115" w:type="dxa"/>
              <w:right w:w="115" w:type="dxa"/>
            </w:tcMar>
            <w:vAlign w:val="bottom"/>
          </w:tcPr>
          <w:p w14:paraId="5AA931AD" w14:textId="77777777" w:rsidR="00724034" w:rsidRDefault="00724034">
            <w:pPr>
              <w:rPr>
                <w:rFonts w:ascii="Arial" w:eastAsia="Arial" w:hAnsi="Arial" w:cs="Arial"/>
                <w:color w:val="000000"/>
                <w:sz w:val="16"/>
                <w:vertAlign w:val="superscript"/>
              </w:rPr>
            </w:pPr>
          </w:p>
        </w:tc>
        <w:tc>
          <w:tcPr>
            <w:tcW w:w="0" w:type="auto"/>
            <w:tcBorders>
              <w:top w:val="nil"/>
              <w:left w:val="nil"/>
              <w:bottom w:val="nil"/>
              <w:right w:val="nil"/>
              <w:tl2br w:val="nil"/>
              <w:tr2bl w:val="nil"/>
            </w:tcBorders>
            <w:shd w:val="clear" w:color="auto" w:fill="FFFFFF"/>
            <w:tcMar>
              <w:left w:w="115" w:type="dxa"/>
              <w:right w:w="115" w:type="dxa"/>
            </w:tcMar>
            <w:vAlign w:val="bottom"/>
          </w:tcPr>
          <w:p w14:paraId="27E39E41" w14:textId="77777777" w:rsidR="00724034" w:rsidRDefault="00724034">
            <w:pPr>
              <w:rPr>
                <w:rFonts w:ascii="Arial" w:eastAsia="Arial" w:hAnsi="Arial" w:cs="Arial"/>
                <w:i/>
                <w:color w:val="000000"/>
                <w:sz w:val="16"/>
                <w:vertAlign w:val="superscript"/>
              </w:rPr>
            </w:pPr>
          </w:p>
        </w:tc>
        <w:tc>
          <w:tcPr>
            <w:tcW w:w="0" w:type="auto"/>
            <w:tcBorders>
              <w:top w:val="nil"/>
              <w:left w:val="nil"/>
              <w:bottom w:val="nil"/>
              <w:right w:val="nil"/>
              <w:tl2br w:val="nil"/>
              <w:tr2bl w:val="nil"/>
            </w:tcBorders>
            <w:shd w:val="clear" w:color="auto" w:fill="FFFFFF"/>
            <w:tcMar>
              <w:left w:w="115" w:type="dxa"/>
              <w:right w:w="115" w:type="dxa"/>
            </w:tcMar>
            <w:vAlign w:val="bottom"/>
          </w:tcPr>
          <w:p w14:paraId="623AE65F" w14:textId="77777777" w:rsidR="00724034" w:rsidRDefault="00FB7D0B">
            <w:pPr>
              <w:rPr>
                <w:rFonts w:ascii="Arial" w:eastAsia="Arial" w:hAnsi="Arial" w:cs="Arial"/>
                <w:i/>
                <w:color w:val="000000"/>
                <w:sz w:val="16"/>
                <w:vertAlign w:val="superscript"/>
              </w:rPr>
            </w:pPr>
            <w:r>
              <w:rPr>
                <w:rFonts w:ascii="Arial" w:eastAsia="Arial" w:hAnsi="Arial" w:cs="Arial"/>
                <w:color w:val="000000"/>
                <w:sz w:val="16"/>
              </w:rPr>
              <w:t>Permanent impairment</w:t>
            </w:r>
          </w:p>
        </w:tc>
        <w:tc>
          <w:tcPr>
            <w:tcW w:w="0" w:type="auto"/>
            <w:tcBorders>
              <w:top w:val="nil"/>
              <w:left w:val="nil"/>
              <w:bottom w:val="nil"/>
              <w:right w:val="nil"/>
              <w:tl2br w:val="nil"/>
              <w:tr2bl w:val="nil"/>
            </w:tcBorders>
            <w:shd w:val="clear" w:color="auto" w:fill="FFFFFF"/>
            <w:tcMar>
              <w:left w:w="115" w:type="dxa"/>
              <w:right w:w="115" w:type="dxa"/>
            </w:tcMar>
            <w:vAlign w:val="bottom"/>
          </w:tcPr>
          <w:p w14:paraId="08A4C4A6" w14:textId="77777777" w:rsidR="00724034" w:rsidRDefault="00FB7D0B">
            <w:pPr>
              <w:jc w:val="right"/>
              <w:rPr>
                <w:rFonts w:ascii="Arial" w:eastAsia="Arial" w:hAnsi="Arial" w:cs="Arial"/>
                <w:color w:val="000000"/>
                <w:sz w:val="16"/>
                <w:vertAlign w:val="superscript"/>
              </w:rPr>
            </w:pPr>
            <w:r>
              <w:rPr>
                <w:rFonts w:ascii="Arial" w:eastAsia="Arial" w:hAnsi="Arial" w:cs="Arial"/>
                <w:color w:val="000000"/>
                <w:sz w:val="16"/>
              </w:rPr>
              <w:t xml:space="preserve"> 119,778 </w:t>
            </w:r>
          </w:p>
        </w:tc>
        <w:tc>
          <w:tcPr>
            <w:tcW w:w="0" w:type="auto"/>
            <w:tcBorders>
              <w:top w:val="nil"/>
              <w:left w:val="nil"/>
              <w:bottom w:val="nil"/>
              <w:right w:val="nil"/>
              <w:tl2br w:val="nil"/>
              <w:tr2bl w:val="nil"/>
            </w:tcBorders>
            <w:shd w:val="clear" w:color="auto" w:fill="FFFF00"/>
            <w:tcMar>
              <w:left w:w="115" w:type="dxa"/>
              <w:right w:w="115" w:type="dxa"/>
            </w:tcMar>
            <w:vAlign w:val="bottom"/>
          </w:tcPr>
          <w:p w14:paraId="3418CAA1" w14:textId="77777777" w:rsidR="00724034" w:rsidRDefault="00FB7D0B">
            <w:pPr>
              <w:jc w:val="right"/>
              <w:rPr>
                <w:rFonts w:ascii="Arial" w:eastAsia="Arial" w:hAnsi="Arial" w:cs="Arial"/>
                <w:color w:val="000000"/>
                <w:sz w:val="16"/>
              </w:rPr>
            </w:pPr>
            <w:r>
              <w:rPr>
                <w:rFonts w:ascii="Arial" w:eastAsia="Arial" w:hAnsi="Arial" w:cs="Arial"/>
                <w:color w:val="000000"/>
                <w:sz w:val="16"/>
              </w:rPr>
              <w:t xml:space="preserve"> 124,168 </w:t>
            </w:r>
          </w:p>
        </w:tc>
        <w:tc>
          <w:tcPr>
            <w:tcW w:w="0" w:type="auto"/>
            <w:tcBorders>
              <w:top w:val="nil"/>
              <w:left w:val="nil"/>
              <w:bottom w:val="nil"/>
              <w:right w:val="nil"/>
              <w:tl2br w:val="nil"/>
              <w:tr2bl w:val="nil"/>
            </w:tcBorders>
            <w:shd w:val="clear" w:color="auto" w:fill="FFFFFF"/>
            <w:tcMar>
              <w:left w:w="115" w:type="dxa"/>
              <w:right w:w="115" w:type="dxa"/>
            </w:tcMar>
            <w:vAlign w:val="bottom"/>
          </w:tcPr>
          <w:p w14:paraId="3622506A" w14:textId="77777777" w:rsidR="00724034" w:rsidRDefault="00FB7D0B">
            <w:pPr>
              <w:jc w:val="right"/>
              <w:rPr>
                <w:rFonts w:ascii="Arial" w:eastAsia="Arial" w:hAnsi="Arial" w:cs="Arial"/>
                <w:color w:val="000000"/>
                <w:sz w:val="16"/>
              </w:rPr>
            </w:pPr>
            <w:r>
              <w:rPr>
                <w:rFonts w:ascii="Arial" w:eastAsia="Arial" w:hAnsi="Arial" w:cs="Arial"/>
                <w:color w:val="000000"/>
                <w:sz w:val="16"/>
              </w:rPr>
              <w:t xml:space="preserve"> 135,076 </w:t>
            </w:r>
          </w:p>
        </w:tc>
        <w:tc>
          <w:tcPr>
            <w:tcW w:w="0" w:type="auto"/>
            <w:tcBorders>
              <w:top w:val="nil"/>
              <w:left w:val="nil"/>
              <w:bottom w:val="nil"/>
              <w:right w:val="nil"/>
              <w:tl2br w:val="nil"/>
              <w:tr2bl w:val="nil"/>
            </w:tcBorders>
            <w:shd w:val="clear" w:color="auto" w:fill="FFFFFF"/>
            <w:tcMar>
              <w:left w:w="115" w:type="dxa"/>
              <w:right w:w="115" w:type="dxa"/>
            </w:tcMar>
            <w:vAlign w:val="bottom"/>
          </w:tcPr>
          <w:p w14:paraId="5D73C8C0" w14:textId="77777777" w:rsidR="00724034" w:rsidRDefault="00FB7D0B">
            <w:pPr>
              <w:jc w:val="right"/>
              <w:rPr>
                <w:rFonts w:ascii="Arial" w:eastAsia="Arial" w:hAnsi="Arial" w:cs="Arial"/>
                <w:color w:val="000000"/>
                <w:sz w:val="16"/>
              </w:rPr>
            </w:pPr>
            <w:r>
              <w:rPr>
                <w:rFonts w:ascii="Arial" w:eastAsia="Arial" w:hAnsi="Arial" w:cs="Arial"/>
                <w:color w:val="000000"/>
                <w:sz w:val="16"/>
              </w:rPr>
              <w:t xml:space="preserve"> 146,795 </w:t>
            </w:r>
          </w:p>
        </w:tc>
        <w:tc>
          <w:tcPr>
            <w:tcW w:w="0" w:type="auto"/>
            <w:tcBorders>
              <w:top w:val="nil"/>
              <w:left w:val="nil"/>
              <w:bottom w:val="nil"/>
              <w:right w:val="single" w:sz="6" w:space="0" w:color="000000"/>
              <w:tl2br w:val="nil"/>
              <w:tr2bl w:val="nil"/>
            </w:tcBorders>
            <w:shd w:val="clear" w:color="auto" w:fill="FFFFFF"/>
            <w:tcMar>
              <w:left w:w="115" w:type="dxa"/>
              <w:right w:w="115" w:type="dxa"/>
            </w:tcMar>
            <w:vAlign w:val="bottom"/>
          </w:tcPr>
          <w:p w14:paraId="3DE94A36" w14:textId="77777777" w:rsidR="00724034" w:rsidRDefault="00FB7D0B">
            <w:pPr>
              <w:jc w:val="right"/>
              <w:rPr>
                <w:rFonts w:ascii="Arial" w:eastAsia="Arial" w:hAnsi="Arial" w:cs="Arial"/>
                <w:color w:val="000000"/>
                <w:sz w:val="16"/>
              </w:rPr>
            </w:pPr>
            <w:r>
              <w:rPr>
                <w:rFonts w:ascii="Arial" w:eastAsia="Arial" w:hAnsi="Arial" w:cs="Arial"/>
                <w:color w:val="000000"/>
                <w:sz w:val="16"/>
              </w:rPr>
              <w:t xml:space="preserve"> 150,422 </w:t>
            </w:r>
          </w:p>
        </w:tc>
      </w:tr>
      <w:tr w:rsidR="00724034" w14:paraId="7EF327FB" w14:textId="77777777">
        <w:tblPrEx>
          <w:tblLook w:val="04A0" w:firstRow="1" w:lastRow="0" w:firstColumn="1" w:lastColumn="0" w:noHBand="0" w:noVBand="1"/>
        </w:tblPrEx>
        <w:trPr>
          <w:gridAfter w:val="1"/>
          <w:wAfter w:w="10" w:type="dxa"/>
          <w:trHeight w:val="225"/>
        </w:trPr>
        <w:tc>
          <w:tcPr>
            <w:tcW w:w="0" w:type="auto"/>
            <w:tcBorders>
              <w:top w:val="nil"/>
              <w:left w:val="single" w:sz="6" w:space="0" w:color="000000"/>
              <w:bottom w:val="nil"/>
              <w:right w:val="nil"/>
              <w:tl2br w:val="nil"/>
              <w:tr2bl w:val="nil"/>
            </w:tcBorders>
            <w:shd w:val="clear" w:color="auto" w:fill="FFFFFF"/>
            <w:tcMar>
              <w:left w:w="115" w:type="dxa"/>
              <w:right w:w="115" w:type="dxa"/>
            </w:tcMar>
            <w:vAlign w:val="bottom"/>
          </w:tcPr>
          <w:p w14:paraId="1C21B79C" w14:textId="77777777" w:rsidR="00724034" w:rsidRDefault="00724034">
            <w:pPr>
              <w:rPr>
                <w:rFonts w:ascii="Arial" w:eastAsia="Arial" w:hAnsi="Arial" w:cs="Arial"/>
                <w:color w:val="000000"/>
                <w:sz w:val="16"/>
              </w:rPr>
            </w:pPr>
          </w:p>
        </w:tc>
        <w:tc>
          <w:tcPr>
            <w:tcW w:w="0" w:type="auto"/>
            <w:tcBorders>
              <w:top w:val="nil"/>
              <w:left w:val="nil"/>
              <w:bottom w:val="nil"/>
              <w:right w:val="nil"/>
              <w:tl2br w:val="nil"/>
              <w:tr2bl w:val="nil"/>
            </w:tcBorders>
            <w:shd w:val="clear" w:color="auto" w:fill="FFFFFF"/>
            <w:tcMar>
              <w:left w:w="115" w:type="dxa"/>
              <w:right w:w="115" w:type="dxa"/>
            </w:tcMar>
            <w:vAlign w:val="bottom"/>
          </w:tcPr>
          <w:p w14:paraId="548D90A5" w14:textId="77777777" w:rsidR="00724034" w:rsidRDefault="00724034">
            <w:pPr>
              <w:rPr>
                <w:rFonts w:ascii="Arial" w:eastAsia="Arial" w:hAnsi="Arial" w:cs="Arial"/>
                <w:i/>
                <w:color w:val="000000"/>
                <w:sz w:val="16"/>
              </w:rPr>
            </w:pPr>
          </w:p>
        </w:tc>
        <w:tc>
          <w:tcPr>
            <w:tcW w:w="0" w:type="auto"/>
            <w:tcBorders>
              <w:top w:val="nil"/>
              <w:left w:val="nil"/>
              <w:bottom w:val="nil"/>
              <w:right w:val="nil"/>
              <w:tl2br w:val="nil"/>
              <w:tr2bl w:val="nil"/>
            </w:tcBorders>
            <w:shd w:val="clear" w:color="auto" w:fill="FFFFFF"/>
            <w:tcMar>
              <w:left w:w="115" w:type="dxa"/>
              <w:right w:w="115" w:type="dxa"/>
            </w:tcMar>
            <w:vAlign w:val="bottom"/>
          </w:tcPr>
          <w:p w14:paraId="55F2F3E4" w14:textId="77777777" w:rsidR="00724034" w:rsidRDefault="00FB7D0B">
            <w:pPr>
              <w:rPr>
                <w:rFonts w:ascii="Arial" w:eastAsia="Arial" w:hAnsi="Arial" w:cs="Arial"/>
                <w:i/>
                <w:color w:val="000000"/>
                <w:sz w:val="16"/>
              </w:rPr>
            </w:pPr>
            <w:r>
              <w:rPr>
                <w:rFonts w:ascii="Arial" w:eastAsia="Arial" w:hAnsi="Arial" w:cs="Arial"/>
                <w:color w:val="000000"/>
                <w:sz w:val="16"/>
              </w:rPr>
              <w:t>Benefits for eligible dependants</w:t>
            </w:r>
          </w:p>
        </w:tc>
        <w:tc>
          <w:tcPr>
            <w:tcW w:w="0" w:type="auto"/>
            <w:tcBorders>
              <w:top w:val="nil"/>
              <w:left w:val="nil"/>
              <w:bottom w:val="nil"/>
              <w:right w:val="nil"/>
              <w:tl2br w:val="nil"/>
              <w:tr2bl w:val="nil"/>
            </w:tcBorders>
            <w:shd w:val="clear" w:color="auto" w:fill="FFFFFF"/>
            <w:tcMar>
              <w:left w:w="115" w:type="dxa"/>
              <w:right w:w="115" w:type="dxa"/>
            </w:tcMar>
            <w:vAlign w:val="bottom"/>
          </w:tcPr>
          <w:p w14:paraId="64834585" w14:textId="77777777" w:rsidR="00724034" w:rsidRDefault="00FB7D0B">
            <w:pPr>
              <w:jc w:val="right"/>
              <w:rPr>
                <w:rFonts w:ascii="Arial" w:eastAsia="Arial" w:hAnsi="Arial" w:cs="Arial"/>
                <w:color w:val="000000"/>
                <w:sz w:val="16"/>
                <w:vertAlign w:val="superscript"/>
              </w:rPr>
            </w:pPr>
            <w:r>
              <w:rPr>
                <w:rFonts w:ascii="Arial" w:eastAsia="Arial" w:hAnsi="Arial" w:cs="Arial"/>
                <w:color w:val="000000"/>
                <w:sz w:val="16"/>
              </w:rPr>
              <w:t xml:space="preserve"> 7,875 </w:t>
            </w:r>
          </w:p>
        </w:tc>
        <w:tc>
          <w:tcPr>
            <w:tcW w:w="0" w:type="auto"/>
            <w:tcBorders>
              <w:top w:val="nil"/>
              <w:left w:val="nil"/>
              <w:bottom w:val="nil"/>
              <w:right w:val="nil"/>
              <w:tl2br w:val="nil"/>
              <w:tr2bl w:val="nil"/>
            </w:tcBorders>
            <w:shd w:val="clear" w:color="auto" w:fill="FFFF00"/>
            <w:tcMar>
              <w:left w:w="115" w:type="dxa"/>
              <w:right w:w="115" w:type="dxa"/>
            </w:tcMar>
            <w:vAlign w:val="bottom"/>
          </w:tcPr>
          <w:p w14:paraId="1B0EFB66" w14:textId="77777777" w:rsidR="00724034" w:rsidRDefault="00FB7D0B">
            <w:pPr>
              <w:jc w:val="right"/>
              <w:rPr>
                <w:rFonts w:ascii="Arial" w:eastAsia="Arial" w:hAnsi="Arial" w:cs="Arial"/>
                <w:color w:val="000000"/>
                <w:sz w:val="16"/>
              </w:rPr>
            </w:pPr>
            <w:r>
              <w:rPr>
                <w:rFonts w:ascii="Arial" w:eastAsia="Arial" w:hAnsi="Arial" w:cs="Arial"/>
                <w:color w:val="000000"/>
                <w:sz w:val="16"/>
              </w:rPr>
              <w:t xml:space="preserve"> 8,273 </w:t>
            </w:r>
          </w:p>
        </w:tc>
        <w:tc>
          <w:tcPr>
            <w:tcW w:w="0" w:type="auto"/>
            <w:tcBorders>
              <w:top w:val="nil"/>
              <w:left w:val="nil"/>
              <w:bottom w:val="nil"/>
              <w:right w:val="nil"/>
              <w:tl2br w:val="nil"/>
              <w:tr2bl w:val="nil"/>
            </w:tcBorders>
            <w:shd w:val="clear" w:color="auto" w:fill="FFFFFF"/>
            <w:tcMar>
              <w:left w:w="115" w:type="dxa"/>
              <w:right w:w="115" w:type="dxa"/>
            </w:tcMar>
            <w:vAlign w:val="bottom"/>
          </w:tcPr>
          <w:p w14:paraId="28CF4A1A" w14:textId="77777777" w:rsidR="00724034" w:rsidRDefault="00FB7D0B">
            <w:pPr>
              <w:jc w:val="right"/>
              <w:rPr>
                <w:rFonts w:ascii="Arial" w:eastAsia="Arial" w:hAnsi="Arial" w:cs="Arial"/>
                <w:color w:val="000000"/>
                <w:sz w:val="16"/>
              </w:rPr>
            </w:pPr>
            <w:r>
              <w:rPr>
                <w:rFonts w:ascii="Arial" w:eastAsia="Arial" w:hAnsi="Arial" w:cs="Arial"/>
                <w:color w:val="000000"/>
                <w:sz w:val="16"/>
              </w:rPr>
              <w:t xml:space="preserve"> 8,614 </w:t>
            </w:r>
          </w:p>
        </w:tc>
        <w:tc>
          <w:tcPr>
            <w:tcW w:w="0" w:type="auto"/>
            <w:tcBorders>
              <w:top w:val="nil"/>
              <w:left w:val="nil"/>
              <w:bottom w:val="nil"/>
              <w:right w:val="nil"/>
              <w:tl2br w:val="nil"/>
              <w:tr2bl w:val="nil"/>
            </w:tcBorders>
            <w:shd w:val="clear" w:color="auto" w:fill="FFFFFF"/>
            <w:tcMar>
              <w:left w:w="115" w:type="dxa"/>
              <w:right w:w="115" w:type="dxa"/>
            </w:tcMar>
            <w:vAlign w:val="bottom"/>
          </w:tcPr>
          <w:p w14:paraId="335A9D50" w14:textId="77777777" w:rsidR="00724034" w:rsidRDefault="00FB7D0B">
            <w:pPr>
              <w:jc w:val="right"/>
              <w:rPr>
                <w:rFonts w:ascii="Arial" w:eastAsia="Arial" w:hAnsi="Arial" w:cs="Arial"/>
                <w:color w:val="000000"/>
                <w:sz w:val="16"/>
              </w:rPr>
            </w:pPr>
            <w:r>
              <w:rPr>
                <w:rFonts w:ascii="Arial" w:eastAsia="Arial" w:hAnsi="Arial" w:cs="Arial"/>
                <w:color w:val="000000"/>
                <w:sz w:val="16"/>
              </w:rPr>
              <w:t xml:space="preserve"> 8,879 </w:t>
            </w:r>
          </w:p>
        </w:tc>
        <w:tc>
          <w:tcPr>
            <w:tcW w:w="0" w:type="auto"/>
            <w:tcBorders>
              <w:top w:val="nil"/>
              <w:left w:val="nil"/>
              <w:bottom w:val="nil"/>
              <w:right w:val="single" w:sz="6" w:space="0" w:color="000000"/>
              <w:tl2br w:val="nil"/>
              <w:tr2bl w:val="nil"/>
            </w:tcBorders>
            <w:shd w:val="clear" w:color="auto" w:fill="FFFFFF"/>
            <w:tcMar>
              <w:left w:w="115" w:type="dxa"/>
              <w:right w:w="115" w:type="dxa"/>
            </w:tcMar>
            <w:vAlign w:val="bottom"/>
          </w:tcPr>
          <w:p w14:paraId="3651E60C" w14:textId="77777777" w:rsidR="00724034" w:rsidRDefault="00FB7D0B">
            <w:pPr>
              <w:jc w:val="right"/>
              <w:rPr>
                <w:rFonts w:ascii="Arial" w:eastAsia="Arial" w:hAnsi="Arial" w:cs="Arial"/>
                <w:color w:val="000000"/>
                <w:sz w:val="16"/>
              </w:rPr>
            </w:pPr>
            <w:r>
              <w:rPr>
                <w:rFonts w:ascii="Arial" w:eastAsia="Arial" w:hAnsi="Arial" w:cs="Arial"/>
                <w:color w:val="000000"/>
                <w:sz w:val="16"/>
              </w:rPr>
              <w:t xml:space="preserve"> 9,163 </w:t>
            </w:r>
          </w:p>
        </w:tc>
      </w:tr>
      <w:tr w:rsidR="00724034" w14:paraId="476A9502" w14:textId="77777777">
        <w:tblPrEx>
          <w:tblLook w:val="04A0" w:firstRow="1" w:lastRow="0" w:firstColumn="1" w:lastColumn="0" w:noHBand="0" w:noVBand="1"/>
        </w:tblPrEx>
        <w:trPr>
          <w:gridAfter w:val="1"/>
          <w:wAfter w:w="10" w:type="dxa"/>
          <w:trHeight w:val="225"/>
        </w:trPr>
        <w:tc>
          <w:tcPr>
            <w:tcW w:w="0" w:type="auto"/>
            <w:tcBorders>
              <w:top w:val="nil"/>
              <w:left w:val="single" w:sz="6" w:space="0" w:color="000000"/>
              <w:bottom w:val="nil"/>
              <w:right w:val="nil"/>
              <w:tl2br w:val="nil"/>
              <w:tr2bl w:val="nil"/>
            </w:tcBorders>
            <w:shd w:val="clear" w:color="auto" w:fill="FFFFFF"/>
            <w:tcMar>
              <w:left w:w="115" w:type="dxa"/>
              <w:right w:w="115" w:type="dxa"/>
            </w:tcMar>
            <w:vAlign w:val="bottom"/>
          </w:tcPr>
          <w:p w14:paraId="5151CF47" w14:textId="77777777" w:rsidR="00724034" w:rsidRDefault="00724034">
            <w:pPr>
              <w:rPr>
                <w:rFonts w:ascii="Arial" w:eastAsia="Arial" w:hAnsi="Arial" w:cs="Arial"/>
                <w:color w:val="000000"/>
                <w:sz w:val="16"/>
              </w:rPr>
            </w:pPr>
          </w:p>
        </w:tc>
        <w:tc>
          <w:tcPr>
            <w:tcW w:w="0" w:type="auto"/>
            <w:tcBorders>
              <w:top w:val="nil"/>
              <w:left w:val="nil"/>
              <w:bottom w:val="nil"/>
              <w:right w:val="nil"/>
              <w:tl2br w:val="nil"/>
              <w:tr2bl w:val="nil"/>
            </w:tcBorders>
            <w:shd w:val="clear" w:color="auto" w:fill="FFFFFF"/>
            <w:tcMar>
              <w:left w:w="115" w:type="dxa"/>
              <w:right w:w="115" w:type="dxa"/>
            </w:tcMar>
            <w:vAlign w:val="bottom"/>
          </w:tcPr>
          <w:p w14:paraId="4A89C3D0" w14:textId="77777777" w:rsidR="00724034" w:rsidRDefault="00724034">
            <w:pPr>
              <w:rPr>
                <w:rFonts w:ascii="Arial" w:eastAsia="Arial" w:hAnsi="Arial" w:cs="Arial"/>
                <w:i/>
                <w:color w:val="000000"/>
                <w:sz w:val="16"/>
              </w:rPr>
            </w:pPr>
          </w:p>
        </w:tc>
        <w:tc>
          <w:tcPr>
            <w:tcW w:w="0" w:type="auto"/>
            <w:tcBorders>
              <w:top w:val="nil"/>
              <w:left w:val="nil"/>
              <w:bottom w:val="nil"/>
              <w:right w:val="nil"/>
              <w:tl2br w:val="nil"/>
              <w:tr2bl w:val="nil"/>
            </w:tcBorders>
            <w:shd w:val="clear" w:color="auto" w:fill="FFFFFF"/>
            <w:tcMar>
              <w:left w:w="115" w:type="dxa"/>
              <w:right w:w="115" w:type="dxa"/>
            </w:tcMar>
            <w:vAlign w:val="bottom"/>
          </w:tcPr>
          <w:p w14:paraId="2229E76B" w14:textId="77777777" w:rsidR="00724034" w:rsidRDefault="00FB7D0B">
            <w:pPr>
              <w:rPr>
                <w:rFonts w:ascii="Arial" w:eastAsia="Arial" w:hAnsi="Arial" w:cs="Arial"/>
                <w:i/>
                <w:color w:val="000000"/>
                <w:sz w:val="16"/>
              </w:rPr>
            </w:pPr>
            <w:r>
              <w:rPr>
                <w:rFonts w:ascii="Arial" w:eastAsia="Arial" w:hAnsi="Arial" w:cs="Arial"/>
                <w:color w:val="000000"/>
                <w:sz w:val="16"/>
              </w:rPr>
              <w:t>Income maintenance payments</w:t>
            </w:r>
          </w:p>
        </w:tc>
        <w:tc>
          <w:tcPr>
            <w:tcW w:w="0" w:type="auto"/>
            <w:tcBorders>
              <w:top w:val="nil"/>
              <w:left w:val="nil"/>
              <w:bottom w:val="nil"/>
              <w:right w:val="nil"/>
              <w:tl2br w:val="nil"/>
              <w:tr2bl w:val="nil"/>
            </w:tcBorders>
            <w:shd w:val="clear" w:color="auto" w:fill="FFFFFF"/>
            <w:tcMar>
              <w:left w:w="115" w:type="dxa"/>
              <w:right w:w="115" w:type="dxa"/>
            </w:tcMar>
            <w:vAlign w:val="bottom"/>
          </w:tcPr>
          <w:p w14:paraId="3C9FBA14" w14:textId="77777777" w:rsidR="00724034" w:rsidRDefault="00FB7D0B">
            <w:pPr>
              <w:jc w:val="right"/>
              <w:rPr>
                <w:rFonts w:ascii="Arial" w:eastAsia="Arial" w:hAnsi="Arial" w:cs="Arial"/>
                <w:color w:val="000000"/>
                <w:sz w:val="16"/>
                <w:vertAlign w:val="superscript"/>
              </w:rPr>
            </w:pPr>
            <w:r>
              <w:rPr>
                <w:rFonts w:ascii="Arial" w:eastAsia="Arial" w:hAnsi="Arial" w:cs="Arial"/>
                <w:color w:val="000000"/>
                <w:sz w:val="16"/>
              </w:rPr>
              <w:t xml:space="preserve"> 77,678 </w:t>
            </w:r>
          </w:p>
        </w:tc>
        <w:tc>
          <w:tcPr>
            <w:tcW w:w="0" w:type="auto"/>
            <w:tcBorders>
              <w:top w:val="nil"/>
              <w:left w:val="nil"/>
              <w:bottom w:val="nil"/>
              <w:right w:val="nil"/>
              <w:tl2br w:val="nil"/>
              <w:tr2bl w:val="nil"/>
            </w:tcBorders>
            <w:shd w:val="clear" w:color="auto" w:fill="FFFF00"/>
            <w:tcMar>
              <w:left w:w="115" w:type="dxa"/>
              <w:right w:w="115" w:type="dxa"/>
            </w:tcMar>
            <w:vAlign w:val="bottom"/>
          </w:tcPr>
          <w:p w14:paraId="56B272AC" w14:textId="77777777" w:rsidR="00724034" w:rsidRDefault="00FB7D0B">
            <w:pPr>
              <w:jc w:val="right"/>
              <w:rPr>
                <w:rFonts w:ascii="Arial" w:eastAsia="Arial" w:hAnsi="Arial" w:cs="Arial"/>
                <w:color w:val="000000"/>
                <w:sz w:val="16"/>
              </w:rPr>
            </w:pPr>
            <w:r>
              <w:rPr>
                <w:rFonts w:ascii="Arial" w:eastAsia="Arial" w:hAnsi="Arial" w:cs="Arial"/>
                <w:color w:val="000000"/>
                <w:sz w:val="16"/>
              </w:rPr>
              <w:t xml:space="preserve"> 72,102 </w:t>
            </w:r>
          </w:p>
        </w:tc>
        <w:tc>
          <w:tcPr>
            <w:tcW w:w="0" w:type="auto"/>
            <w:tcBorders>
              <w:top w:val="nil"/>
              <w:left w:val="nil"/>
              <w:bottom w:val="nil"/>
              <w:right w:val="nil"/>
              <w:tl2br w:val="nil"/>
              <w:tr2bl w:val="nil"/>
            </w:tcBorders>
            <w:shd w:val="clear" w:color="auto" w:fill="FFFFFF"/>
            <w:tcMar>
              <w:left w:w="115" w:type="dxa"/>
              <w:right w:w="115" w:type="dxa"/>
            </w:tcMar>
            <w:vAlign w:val="bottom"/>
          </w:tcPr>
          <w:p w14:paraId="16E60F6C" w14:textId="77777777" w:rsidR="00724034" w:rsidRDefault="00FB7D0B">
            <w:pPr>
              <w:jc w:val="right"/>
              <w:rPr>
                <w:rFonts w:ascii="Arial" w:eastAsia="Arial" w:hAnsi="Arial" w:cs="Arial"/>
                <w:color w:val="000000"/>
                <w:sz w:val="16"/>
              </w:rPr>
            </w:pPr>
            <w:r>
              <w:rPr>
                <w:rFonts w:ascii="Arial" w:eastAsia="Arial" w:hAnsi="Arial" w:cs="Arial"/>
                <w:color w:val="000000"/>
                <w:sz w:val="16"/>
              </w:rPr>
              <w:t xml:space="preserve"> 80,780 </w:t>
            </w:r>
          </w:p>
        </w:tc>
        <w:tc>
          <w:tcPr>
            <w:tcW w:w="0" w:type="auto"/>
            <w:tcBorders>
              <w:top w:val="nil"/>
              <w:left w:val="nil"/>
              <w:bottom w:val="nil"/>
              <w:right w:val="nil"/>
              <w:tl2br w:val="nil"/>
              <w:tr2bl w:val="nil"/>
            </w:tcBorders>
            <w:shd w:val="clear" w:color="auto" w:fill="FFFFFF"/>
            <w:tcMar>
              <w:left w:w="115" w:type="dxa"/>
              <w:right w:w="115" w:type="dxa"/>
            </w:tcMar>
            <w:vAlign w:val="bottom"/>
          </w:tcPr>
          <w:p w14:paraId="12EA5B08" w14:textId="77777777" w:rsidR="00724034" w:rsidRDefault="00FB7D0B">
            <w:pPr>
              <w:jc w:val="right"/>
              <w:rPr>
                <w:rFonts w:ascii="Arial" w:eastAsia="Arial" w:hAnsi="Arial" w:cs="Arial"/>
                <w:color w:val="000000"/>
                <w:sz w:val="16"/>
              </w:rPr>
            </w:pPr>
            <w:r>
              <w:rPr>
                <w:rFonts w:ascii="Arial" w:eastAsia="Arial" w:hAnsi="Arial" w:cs="Arial"/>
                <w:color w:val="000000"/>
                <w:sz w:val="16"/>
              </w:rPr>
              <w:t xml:space="preserve"> 90,677 </w:t>
            </w:r>
          </w:p>
        </w:tc>
        <w:tc>
          <w:tcPr>
            <w:tcW w:w="0" w:type="auto"/>
            <w:tcBorders>
              <w:top w:val="nil"/>
              <w:left w:val="nil"/>
              <w:bottom w:val="nil"/>
              <w:right w:val="single" w:sz="6" w:space="0" w:color="000000"/>
              <w:tl2br w:val="nil"/>
              <w:tr2bl w:val="nil"/>
            </w:tcBorders>
            <w:shd w:val="clear" w:color="auto" w:fill="FFFFFF"/>
            <w:tcMar>
              <w:left w:w="115" w:type="dxa"/>
              <w:right w:w="115" w:type="dxa"/>
            </w:tcMar>
            <w:vAlign w:val="bottom"/>
          </w:tcPr>
          <w:p w14:paraId="43B30F9B" w14:textId="77777777" w:rsidR="00724034" w:rsidRDefault="00FB7D0B">
            <w:pPr>
              <w:jc w:val="right"/>
              <w:rPr>
                <w:rFonts w:ascii="Arial" w:eastAsia="Arial" w:hAnsi="Arial" w:cs="Arial"/>
                <w:color w:val="000000"/>
                <w:sz w:val="16"/>
              </w:rPr>
            </w:pPr>
            <w:r>
              <w:rPr>
                <w:rFonts w:ascii="Arial" w:eastAsia="Arial" w:hAnsi="Arial" w:cs="Arial"/>
                <w:color w:val="000000"/>
                <w:sz w:val="16"/>
              </w:rPr>
              <w:t xml:space="preserve"> 93,098 </w:t>
            </w:r>
          </w:p>
        </w:tc>
      </w:tr>
      <w:tr w:rsidR="00724034" w14:paraId="4CDDD46F" w14:textId="77777777">
        <w:tblPrEx>
          <w:tblLook w:val="04A0" w:firstRow="1" w:lastRow="0" w:firstColumn="1" w:lastColumn="0" w:noHBand="0" w:noVBand="1"/>
        </w:tblPrEx>
        <w:trPr>
          <w:gridAfter w:val="1"/>
          <w:wAfter w:w="10" w:type="dxa"/>
          <w:trHeight w:val="225"/>
        </w:trPr>
        <w:tc>
          <w:tcPr>
            <w:tcW w:w="0" w:type="auto"/>
            <w:tcBorders>
              <w:top w:val="nil"/>
              <w:left w:val="single" w:sz="6" w:space="0" w:color="000000"/>
              <w:bottom w:val="nil"/>
              <w:right w:val="nil"/>
              <w:tl2br w:val="nil"/>
              <w:tr2bl w:val="nil"/>
            </w:tcBorders>
            <w:shd w:val="clear" w:color="auto" w:fill="FFFFFF"/>
            <w:tcMar>
              <w:left w:w="115" w:type="dxa"/>
              <w:right w:w="115" w:type="dxa"/>
            </w:tcMar>
            <w:vAlign w:val="bottom"/>
          </w:tcPr>
          <w:p w14:paraId="5EE3568D" w14:textId="77777777" w:rsidR="00724034" w:rsidRDefault="00724034">
            <w:pPr>
              <w:rPr>
                <w:rFonts w:ascii="Arial" w:eastAsia="Arial" w:hAnsi="Arial" w:cs="Arial"/>
                <w:color w:val="000000"/>
                <w:sz w:val="16"/>
              </w:rPr>
            </w:pPr>
          </w:p>
        </w:tc>
        <w:tc>
          <w:tcPr>
            <w:tcW w:w="0" w:type="auto"/>
            <w:tcBorders>
              <w:top w:val="nil"/>
              <w:left w:val="nil"/>
              <w:bottom w:val="nil"/>
              <w:right w:val="nil"/>
              <w:tl2br w:val="nil"/>
              <w:tr2bl w:val="nil"/>
            </w:tcBorders>
            <w:shd w:val="clear" w:color="auto" w:fill="FFFFFF"/>
            <w:tcMar>
              <w:left w:w="115" w:type="dxa"/>
              <w:right w:w="115" w:type="dxa"/>
            </w:tcMar>
            <w:vAlign w:val="bottom"/>
          </w:tcPr>
          <w:p w14:paraId="527C3D7B" w14:textId="77777777" w:rsidR="00724034" w:rsidRDefault="00724034">
            <w:pPr>
              <w:rPr>
                <w:rFonts w:ascii="Arial" w:eastAsia="Arial" w:hAnsi="Arial" w:cs="Arial"/>
                <w:i/>
                <w:color w:val="000000"/>
                <w:sz w:val="16"/>
              </w:rPr>
            </w:pPr>
          </w:p>
        </w:tc>
        <w:tc>
          <w:tcPr>
            <w:tcW w:w="0" w:type="auto"/>
            <w:tcBorders>
              <w:top w:val="nil"/>
              <w:left w:val="nil"/>
              <w:bottom w:val="nil"/>
              <w:right w:val="nil"/>
              <w:tl2br w:val="nil"/>
              <w:tr2bl w:val="nil"/>
            </w:tcBorders>
            <w:shd w:val="clear" w:color="auto" w:fill="FFFFFF"/>
            <w:tcMar>
              <w:left w:w="115" w:type="dxa"/>
              <w:right w:w="115" w:type="dxa"/>
            </w:tcMar>
            <w:vAlign w:val="bottom"/>
          </w:tcPr>
          <w:p w14:paraId="034F84DC" w14:textId="77777777" w:rsidR="00724034" w:rsidRDefault="00FB7D0B">
            <w:pPr>
              <w:rPr>
                <w:rFonts w:ascii="Arial" w:eastAsia="Arial" w:hAnsi="Arial" w:cs="Arial"/>
                <w:i/>
                <w:color w:val="000000"/>
                <w:sz w:val="16"/>
              </w:rPr>
            </w:pPr>
            <w:r>
              <w:rPr>
                <w:rFonts w:ascii="Arial" w:eastAsia="Arial" w:hAnsi="Arial" w:cs="Arial"/>
                <w:color w:val="000000"/>
                <w:sz w:val="16"/>
              </w:rPr>
              <w:t>Medical examinations</w:t>
            </w:r>
          </w:p>
        </w:tc>
        <w:tc>
          <w:tcPr>
            <w:tcW w:w="0" w:type="auto"/>
            <w:tcBorders>
              <w:top w:val="nil"/>
              <w:left w:val="nil"/>
              <w:bottom w:val="nil"/>
              <w:right w:val="nil"/>
              <w:tl2br w:val="nil"/>
              <w:tr2bl w:val="nil"/>
            </w:tcBorders>
            <w:shd w:val="clear" w:color="auto" w:fill="FFFFFF"/>
            <w:tcMar>
              <w:left w:w="115" w:type="dxa"/>
              <w:right w:w="115" w:type="dxa"/>
            </w:tcMar>
            <w:vAlign w:val="bottom"/>
          </w:tcPr>
          <w:p w14:paraId="1CA891FD" w14:textId="77777777" w:rsidR="00724034" w:rsidRDefault="00FB7D0B">
            <w:pPr>
              <w:jc w:val="right"/>
              <w:rPr>
                <w:rFonts w:ascii="Arial" w:eastAsia="Arial" w:hAnsi="Arial" w:cs="Arial"/>
                <w:color w:val="FF0000"/>
                <w:sz w:val="16"/>
                <w:vertAlign w:val="superscript"/>
              </w:rPr>
            </w:pPr>
            <w:r>
              <w:rPr>
                <w:rFonts w:ascii="Arial" w:eastAsia="Arial" w:hAnsi="Arial" w:cs="Arial"/>
                <w:color w:val="000000"/>
                <w:sz w:val="16"/>
              </w:rPr>
              <w:t xml:space="preserve"> 9,090 </w:t>
            </w:r>
          </w:p>
        </w:tc>
        <w:tc>
          <w:tcPr>
            <w:tcW w:w="0" w:type="auto"/>
            <w:tcBorders>
              <w:top w:val="nil"/>
              <w:left w:val="nil"/>
              <w:bottom w:val="nil"/>
              <w:right w:val="nil"/>
              <w:tl2br w:val="nil"/>
              <w:tr2bl w:val="nil"/>
            </w:tcBorders>
            <w:shd w:val="clear" w:color="auto" w:fill="FFFF00"/>
            <w:tcMar>
              <w:left w:w="115" w:type="dxa"/>
              <w:right w:w="115" w:type="dxa"/>
            </w:tcMar>
            <w:vAlign w:val="bottom"/>
          </w:tcPr>
          <w:p w14:paraId="09F554E2" w14:textId="77777777" w:rsidR="00724034" w:rsidRDefault="00FB7D0B">
            <w:pPr>
              <w:jc w:val="right"/>
              <w:rPr>
                <w:rFonts w:ascii="Arial" w:eastAsia="Arial" w:hAnsi="Arial" w:cs="Arial"/>
                <w:color w:val="000000"/>
                <w:sz w:val="16"/>
              </w:rPr>
            </w:pPr>
            <w:r>
              <w:rPr>
                <w:rFonts w:ascii="Arial" w:eastAsia="Arial" w:hAnsi="Arial" w:cs="Arial"/>
                <w:color w:val="000000"/>
                <w:sz w:val="16"/>
              </w:rPr>
              <w:t xml:space="preserve"> 9,417 </w:t>
            </w:r>
          </w:p>
        </w:tc>
        <w:tc>
          <w:tcPr>
            <w:tcW w:w="0" w:type="auto"/>
            <w:tcBorders>
              <w:top w:val="nil"/>
              <w:left w:val="nil"/>
              <w:bottom w:val="nil"/>
              <w:right w:val="nil"/>
              <w:tl2br w:val="nil"/>
              <w:tr2bl w:val="nil"/>
            </w:tcBorders>
            <w:shd w:val="clear" w:color="auto" w:fill="FFFFFF"/>
            <w:tcMar>
              <w:left w:w="115" w:type="dxa"/>
              <w:right w:w="115" w:type="dxa"/>
            </w:tcMar>
            <w:vAlign w:val="bottom"/>
          </w:tcPr>
          <w:p w14:paraId="23C60E89" w14:textId="77777777" w:rsidR="00724034" w:rsidRDefault="00FB7D0B">
            <w:pPr>
              <w:jc w:val="right"/>
              <w:rPr>
                <w:rFonts w:ascii="Arial" w:eastAsia="Arial" w:hAnsi="Arial" w:cs="Arial"/>
                <w:color w:val="000000"/>
                <w:sz w:val="16"/>
              </w:rPr>
            </w:pPr>
            <w:r>
              <w:rPr>
                <w:rFonts w:ascii="Arial" w:eastAsia="Arial" w:hAnsi="Arial" w:cs="Arial"/>
                <w:color w:val="000000"/>
                <w:sz w:val="16"/>
              </w:rPr>
              <w:t xml:space="preserve"> 8,811 </w:t>
            </w:r>
          </w:p>
        </w:tc>
        <w:tc>
          <w:tcPr>
            <w:tcW w:w="0" w:type="auto"/>
            <w:tcBorders>
              <w:top w:val="nil"/>
              <w:left w:val="nil"/>
              <w:bottom w:val="nil"/>
              <w:right w:val="nil"/>
              <w:tl2br w:val="nil"/>
              <w:tr2bl w:val="nil"/>
            </w:tcBorders>
            <w:shd w:val="clear" w:color="auto" w:fill="FFFFFF"/>
            <w:tcMar>
              <w:left w:w="115" w:type="dxa"/>
              <w:right w:w="115" w:type="dxa"/>
            </w:tcMar>
            <w:vAlign w:val="bottom"/>
          </w:tcPr>
          <w:p w14:paraId="00286C99" w14:textId="77777777" w:rsidR="00724034" w:rsidRDefault="00FB7D0B">
            <w:pPr>
              <w:jc w:val="right"/>
              <w:rPr>
                <w:rFonts w:ascii="Arial" w:eastAsia="Arial" w:hAnsi="Arial" w:cs="Arial"/>
                <w:color w:val="000000"/>
                <w:sz w:val="16"/>
              </w:rPr>
            </w:pPr>
            <w:r>
              <w:rPr>
                <w:rFonts w:ascii="Arial" w:eastAsia="Arial" w:hAnsi="Arial" w:cs="Arial"/>
                <w:color w:val="000000"/>
                <w:sz w:val="16"/>
              </w:rPr>
              <w:t xml:space="preserve"> 9,102 </w:t>
            </w:r>
          </w:p>
        </w:tc>
        <w:tc>
          <w:tcPr>
            <w:tcW w:w="0" w:type="auto"/>
            <w:tcBorders>
              <w:top w:val="nil"/>
              <w:left w:val="nil"/>
              <w:bottom w:val="nil"/>
              <w:right w:val="single" w:sz="6" w:space="0" w:color="000000"/>
              <w:tl2br w:val="nil"/>
              <w:tr2bl w:val="nil"/>
            </w:tcBorders>
            <w:shd w:val="clear" w:color="auto" w:fill="FFFFFF"/>
            <w:tcMar>
              <w:left w:w="115" w:type="dxa"/>
              <w:right w:w="115" w:type="dxa"/>
            </w:tcMar>
            <w:vAlign w:val="bottom"/>
          </w:tcPr>
          <w:p w14:paraId="29DAE05B" w14:textId="77777777" w:rsidR="00724034" w:rsidRDefault="00FB7D0B">
            <w:pPr>
              <w:jc w:val="right"/>
              <w:rPr>
                <w:rFonts w:ascii="Arial" w:eastAsia="Arial" w:hAnsi="Arial" w:cs="Arial"/>
                <w:color w:val="000000"/>
                <w:sz w:val="16"/>
              </w:rPr>
            </w:pPr>
            <w:r>
              <w:rPr>
                <w:rFonts w:ascii="Arial" w:eastAsia="Arial" w:hAnsi="Arial" w:cs="Arial"/>
                <w:color w:val="000000"/>
                <w:sz w:val="16"/>
              </w:rPr>
              <w:t xml:space="preserve"> 9,232 </w:t>
            </w:r>
          </w:p>
        </w:tc>
      </w:tr>
      <w:tr w:rsidR="00724034" w14:paraId="471750BD" w14:textId="77777777">
        <w:tblPrEx>
          <w:tblLook w:val="04A0" w:firstRow="1" w:lastRow="0" w:firstColumn="1" w:lastColumn="0" w:noHBand="0" w:noVBand="1"/>
        </w:tblPrEx>
        <w:trPr>
          <w:gridAfter w:val="1"/>
          <w:wAfter w:w="10" w:type="dxa"/>
          <w:trHeight w:val="450"/>
        </w:trPr>
        <w:tc>
          <w:tcPr>
            <w:tcW w:w="0" w:type="auto"/>
            <w:tcBorders>
              <w:top w:val="nil"/>
              <w:left w:val="single" w:sz="6" w:space="0" w:color="000000"/>
              <w:bottom w:val="nil"/>
              <w:right w:val="nil"/>
              <w:tl2br w:val="nil"/>
              <w:tr2bl w:val="nil"/>
            </w:tcBorders>
            <w:shd w:val="clear" w:color="auto" w:fill="FFFFFF"/>
            <w:tcMar>
              <w:left w:w="115" w:type="dxa"/>
              <w:right w:w="115" w:type="dxa"/>
            </w:tcMar>
            <w:vAlign w:val="bottom"/>
          </w:tcPr>
          <w:p w14:paraId="752B7239" w14:textId="77777777" w:rsidR="00724034" w:rsidRDefault="00724034">
            <w:pPr>
              <w:rPr>
                <w:rFonts w:ascii="Arial" w:eastAsia="Arial" w:hAnsi="Arial" w:cs="Arial"/>
                <w:color w:val="000000"/>
                <w:sz w:val="16"/>
              </w:rPr>
            </w:pPr>
          </w:p>
        </w:tc>
        <w:tc>
          <w:tcPr>
            <w:tcW w:w="0" w:type="auto"/>
            <w:tcBorders>
              <w:top w:val="nil"/>
              <w:left w:val="nil"/>
              <w:bottom w:val="nil"/>
              <w:right w:val="nil"/>
              <w:tl2br w:val="nil"/>
              <w:tr2bl w:val="nil"/>
            </w:tcBorders>
            <w:shd w:val="clear" w:color="auto" w:fill="FFFFFF"/>
            <w:tcMar>
              <w:left w:w="115" w:type="dxa"/>
              <w:right w:w="115" w:type="dxa"/>
            </w:tcMar>
            <w:vAlign w:val="bottom"/>
          </w:tcPr>
          <w:p w14:paraId="1EC9F4FD" w14:textId="77777777" w:rsidR="00724034" w:rsidRDefault="00724034">
            <w:pPr>
              <w:rPr>
                <w:rFonts w:ascii="Arial" w:eastAsia="Arial" w:hAnsi="Arial" w:cs="Arial"/>
                <w:i/>
                <w:color w:val="000000"/>
                <w:sz w:val="16"/>
              </w:rPr>
            </w:pPr>
          </w:p>
        </w:tc>
        <w:tc>
          <w:tcPr>
            <w:tcW w:w="0" w:type="auto"/>
            <w:tcBorders>
              <w:top w:val="nil"/>
              <w:left w:val="nil"/>
              <w:bottom w:val="nil"/>
              <w:right w:val="nil"/>
              <w:tl2br w:val="nil"/>
              <w:tr2bl w:val="nil"/>
            </w:tcBorders>
            <w:shd w:val="clear" w:color="auto" w:fill="FFFFFF"/>
            <w:tcMar>
              <w:left w:w="115" w:type="dxa"/>
              <w:right w:w="115" w:type="dxa"/>
            </w:tcMar>
            <w:vAlign w:val="bottom"/>
          </w:tcPr>
          <w:p w14:paraId="44C84030" w14:textId="77777777" w:rsidR="00724034" w:rsidRDefault="00FB7D0B">
            <w:pPr>
              <w:rPr>
                <w:rFonts w:ascii="Arial" w:eastAsia="Arial" w:hAnsi="Arial" w:cs="Arial"/>
                <w:i/>
                <w:color w:val="000000"/>
                <w:sz w:val="16"/>
              </w:rPr>
            </w:pPr>
            <w:r>
              <w:rPr>
                <w:rFonts w:ascii="Arial" w:eastAsia="Arial" w:hAnsi="Arial" w:cs="Arial"/>
                <w:color w:val="000000"/>
                <w:sz w:val="16"/>
              </w:rPr>
              <w:t>Other income support and compensation-related payments</w:t>
            </w:r>
          </w:p>
        </w:tc>
        <w:tc>
          <w:tcPr>
            <w:tcW w:w="0" w:type="auto"/>
            <w:tcBorders>
              <w:top w:val="nil"/>
              <w:left w:val="nil"/>
              <w:bottom w:val="nil"/>
              <w:right w:val="nil"/>
              <w:tl2br w:val="nil"/>
              <w:tr2bl w:val="nil"/>
            </w:tcBorders>
            <w:shd w:val="clear" w:color="auto" w:fill="FFFFFF"/>
            <w:tcMar>
              <w:left w:w="115" w:type="dxa"/>
              <w:right w:w="115" w:type="dxa"/>
            </w:tcMar>
            <w:vAlign w:val="bottom"/>
          </w:tcPr>
          <w:p w14:paraId="515346B5" w14:textId="77777777" w:rsidR="00724034" w:rsidRDefault="00FB7D0B">
            <w:pPr>
              <w:jc w:val="right"/>
              <w:rPr>
                <w:rFonts w:ascii="Arial" w:eastAsia="Arial" w:hAnsi="Arial" w:cs="Arial"/>
                <w:color w:val="FF0000"/>
                <w:sz w:val="16"/>
                <w:vertAlign w:val="superscript"/>
              </w:rPr>
            </w:pPr>
            <w:r>
              <w:rPr>
                <w:rFonts w:ascii="Arial" w:eastAsia="Arial" w:hAnsi="Arial" w:cs="Arial"/>
                <w:color w:val="000000"/>
                <w:sz w:val="16"/>
              </w:rPr>
              <w:t xml:space="preserve"> 37 </w:t>
            </w:r>
          </w:p>
        </w:tc>
        <w:tc>
          <w:tcPr>
            <w:tcW w:w="0" w:type="auto"/>
            <w:tcBorders>
              <w:top w:val="nil"/>
              <w:left w:val="nil"/>
              <w:bottom w:val="nil"/>
              <w:right w:val="nil"/>
              <w:tl2br w:val="nil"/>
              <w:tr2bl w:val="nil"/>
            </w:tcBorders>
            <w:shd w:val="clear" w:color="auto" w:fill="FFFF00"/>
            <w:tcMar>
              <w:left w:w="115" w:type="dxa"/>
              <w:right w:w="115" w:type="dxa"/>
            </w:tcMar>
            <w:vAlign w:val="bottom"/>
          </w:tcPr>
          <w:p w14:paraId="02CC5C5C" w14:textId="77777777" w:rsidR="00724034" w:rsidRDefault="00FB7D0B">
            <w:pPr>
              <w:jc w:val="right"/>
              <w:rPr>
                <w:rFonts w:ascii="Arial" w:eastAsia="Arial" w:hAnsi="Arial" w:cs="Arial"/>
                <w:color w:val="000000"/>
                <w:sz w:val="16"/>
              </w:rPr>
            </w:pPr>
            <w:r>
              <w:rPr>
                <w:rFonts w:ascii="Arial" w:eastAsia="Arial" w:hAnsi="Arial" w:cs="Arial"/>
                <w:color w:val="000000"/>
                <w:sz w:val="16"/>
              </w:rPr>
              <w:t xml:space="preserve"> 37 </w:t>
            </w:r>
          </w:p>
        </w:tc>
        <w:tc>
          <w:tcPr>
            <w:tcW w:w="0" w:type="auto"/>
            <w:tcBorders>
              <w:top w:val="nil"/>
              <w:left w:val="nil"/>
              <w:bottom w:val="nil"/>
              <w:right w:val="nil"/>
              <w:tl2br w:val="nil"/>
              <w:tr2bl w:val="nil"/>
            </w:tcBorders>
            <w:shd w:val="clear" w:color="auto" w:fill="FFFFFF"/>
            <w:tcMar>
              <w:left w:w="115" w:type="dxa"/>
              <w:right w:w="115" w:type="dxa"/>
            </w:tcMar>
            <w:vAlign w:val="bottom"/>
          </w:tcPr>
          <w:p w14:paraId="74FFD749" w14:textId="77777777" w:rsidR="00724034" w:rsidRDefault="00FB7D0B">
            <w:pPr>
              <w:jc w:val="right"/>
              <w:rPr>
                <w:rFonts w:ascii="Arial" w:eastAsia="Arial" w:hAnsi="Arial" w:cs="Arial"/>
                <w:color w:val="000000"/>
                <w:sz w:val="16"/>
              </w:rPr>
            </w:pPr>
            <w:r>
              <w:rPr>
                <w:rFonts w:ascii="Arial" w:eastAsia="Arial" w:hAnsi="Arial" w:cs="Arial"/>
                <w:color w:val="000000"/>
                <w:sz w:val="16"/>
              </w:rPr>
              <w:t xml:space="preserve"> 37 </w:t>
            </w:r>
          </w:p>
        </w:tc>
        <w:tc>
          <w:tcPr>
            <w:tcW w:w="0" w:type="auto"/>
            <w:tcBorders>
              <w:top w:val="nil"/>
              <w:left w:val="nil"/>
              <w:bottom w:val="nil"/>
              <w:right w:val="nil"/>
              <w:tl2br w:val="nil"/>
              <w:tr2bl w:val="nil"/>
            </w:tcBorders>
            <w:shd w:val="clear" w:color="auto" w:fill="FFFFFF"/>
            <w:tcMar>
              <w:left w:w="115" w:type="dxa"/>
              <w:right w:w="115" w:type="dxa"/>
            </w:tcMar>
            <w:vAlign w:val="bottom"/>
          </w:tcPr>
          <w:p w14:paraId="15F30FA0" w14:textId="77777777" w:rsidR="00724034" w:rsidRDefault="00FB7D0B">
            <w:pPr>
              <w:jc w:val="right"/>
              <w:rPr>
                <w:rFonts w:ascii="Arial" w:eastAsia="Arial" w:hAnsi="Arial" w:cs="Arial"/>
                <w:color w:val="000000"/>
                <w:sz w:val="16"/>
              </w:rPr>
            </w:pPr>
            <w:r>
              <w:rPr>
                <w:rFonts w:ascii="Arial" w:eastAsia="Arial" w:hAnsi="Arial" w:cs="Arial"/>
                <w:color w:val="000000"/>
                <w:sz w:val="16"/>
              </w:rPr>
              <w:t xml:space="preserve"> 37 </w:t>
            </w:r>
          </w:p>
        </w:tc>
        <w:tc>
          <w:tcPr>
            <w:tcW w:w="0" w:type="auto"/>
            <w:tcBorders>
              <w:top w:val="nil"/>
              <w:left w:val="nil"/>
              <w:bottom w:val="nil"/>
              <w:right w:val="single" w:sz="6" w:space="0" w:color="000000"/>
              <w:tl2br w:val="nil"/>
              <w:tr2bl w:val="nil"/>
            </w:tcBorders>
            <w:shd w:val="clear" w:color="auto" w:fill="FFFFFF"/>
            <w:tcMar>
              <w:left w:w="115" w:type="dxa"/>
              <w:right w:w="115" w:type="dxa"/>
            </w:tcMar>
            <w:vAlign w:val="bottom"/>
          </w:tcPr>
          <w:p w14:paraId="28AB1A29" w14:textId="77777777" w:rsidR="00724034" w:rsidRDefault="00FB7D0B">
            <w:pPr>
              <w:jc w:val="right"/>
              <w:rPr>
                <w:rFonts w:ascii="Arial" w:eastAsia="Arial" w:hAnsi="Arial" w:cs="Arial"/>
                <w:color w:val="000000"/>
                <w:sz w:val="16"/>
              </w:rPr>
            </w:pPr>
            <w:r>
              <w:rPr>
                <w:rFonts w:ascii="Arial" w:eastAsia="Arial" w:hAnsi="Arial" w:cs="Arial"/>
                <w:color w:val="000000"/>
                <w:sz w:val="16"/>
              </w:rPr>
              <w:t xml:space="preserve"> 38 </w:t>
            </w:r>
          </w:p>
        </w:tc>
      </w:tr>
      <w:tr w:rsidR="00FB7D0B" w14:paraId="318102D0" w14:textId="77777777" w:rsidTr="00FB7D0B">
        <w:tblPrEx>
          <w:tblLook w:val="04A0" w:firstRow="1" w:lastRow="0" w:firstColumn="1" w:lastColumn="0" w:noHBand="0" w:noVBand="1"/>
        </w:tblPrEx>
        <w:trPr>
          <w:gridAfter w:val="1"/>
          <w:wAfter w:w="10" w:type="dxa"/>
          <w:trHeight w:val="225"/>
        </w:trPr>
        <w:tc>
          <w:tcPr>
            <w:tcW w:w="0" w:type="auto"/>
            <w:gridSpan w:val="3"/>
            <w:tcBorders>
              <w:top w:val="nil"/>
              <w:left w:val="single" w:sz="6" w:space="0" w:color="000000"/>
              <w:bottom w:val="nil"/>
              <w:right w:val="nil"/>
              <w:tl2br w:val="nil"/>
              <w:tr2bl w:val="nil"/>
            </w:tcBorders>
            <w:shd w:val="clear" w:color="auto" w:fill="FFFFFF"/>
            <w:tcMar>
              <w:left w:w="115" w:type="dxa"/>
              <w:right w:w="115" w:type="dxa"/>
            </w:tcMar>
            <w:vAlign w:val="bottom"/>
          </w:tcPr>
          <w:p w14:paraId="64814530" w14:textId="77777777" w:rsidR="00724034" w:rsidRDefault="00FB7D0B">
            <w:pPr>
              <w:rPr>
                <w:rFonts w:ascii="Arial" w:eastAsia="Arial" w:hAnsi="Arial" w:cs="Arial"/>
                <w:color w:val="000000"/>
                <w:sz w:val="16"/>
              </w:rPr>
            </w:pPr>
            <w:r>
              <w:rPr>
                <w:rFonts w:ascii="Arial" w:eastAsia="Arial" w:hAnsi="Arial" w:cs="Arial"/>
                <w:color w:val="000000"/>
                <w:sz w:val="16"/>
              </w:rPr>
              <w:t xml:space="preserve">Special Account Expenses: </w:t>
            </w:r>
          </w:p>
        </w:tc>
        <w:tc>
          <w:tcPr>
            <w:tcW w:w="0" w:type="auto"/>
            <w:tcBorders>
              <w:top w:val="nil"/>
              <w:left w:val="nil"/>
              <w:bottom w:val="nil"/>
              <w:right w:val="nil"/>
              <w:tl2br w:val="nil"/>
              <w:tr2bl w:val="nil"/>
            </w:tcBorders>
            <w:shd w:val="clear" w:color="auto" w:fill="FFFFFF"/>
            <w:tcMar>
              <w:left w:w="115" w:type="dxa"/>
              <w:right w:w="115" w:type="dxa"/>
            </w:tcMar>
            <w:vAlign w:val="bottom"/>
          </w:tcPr>
          <w:p w14:paraId="4E483D2B" w14:textId="77777777" w:rsidR="00724034" w:rsidRDefault="00724034">
            <w:pPr>
              <w:rPr>
                <w:rFonts w:ascii="Arial" w:eastAsia="Arial" w:hAnsi="Arial" w:cs="Arial"/>
                <w:color w:val="000000"/>
                <w:sz w:val="16"/>
                <w:vertAlign w:val="superscript"/>
              </w:rPr>
            </w:pPr>
          </w:p>
        </w:tc>
        <w:tc>
          <w:tcPr>
            <w:tcW w:w="0" w:type="auto"/>
            <w:tcBorders>
              <w:top w:val="nil"/>
              <w:left w:val="nil"/>
              <w:bottom w:val="nil"/>
              <w:right w:val="nil"/>
              <w:tl2br w:val="nil"/>
              <w:tr2bl w:val="nil"/>
            </w:tcBorders>
            <w:shd w:val="clear" w:color="auto" w:fill="FFFF00"/>
            <w:tcMar>
              <w:left w:w="115" w:type="dxa"/>
              <w:right w:w="115" w:type="dxa"/>
            </w:tcMar>
            <w:vAlign w:val="bottom"/>
          </w:tcPr>
          <w:p w14:paraId="445F88B1" w14:textId="77777777" w:rsidR="00724034" w:rsidRDefault="00724034">
            <w:pPr>
              <w:jc w:val="right"/>
              <w:rPr>
                <w:rFonts w:ascii="Arial" w:eastAsia="Arial" w:hAnsi="Arial" w:cs="Arial"/>
                <w:color w:val="000000"/>
                <w:sz w:val="16"/>
                <w:vertAlign w:val="superscript"/>
              </w:rPr>
            </w:pPr>
          </w:p>
        </w:tc>
        <w:tc>
          <w:tcPr>
            <w:tcW w:w="0" w:type="auto"/>
            <w:tcBorders>
              <w:top w:val="nil"/>
              <w:left w:val="nil"/>
              <w:bottom w:val="nil"/>
              <w:right w:val="nil"/>
              <w:tl2br w:val="nil"/>
              <w:tr2bl w:val="nil"/>
            </w:tcBorders>
            <w:shd w:val="clear" w:color="auto" w:fill="FFFFFF"/>
            <w:tcMar>
              <w:left w:w="115" w:type="dxa"/>
              <w:right w:w="115" w:type="dxa"/>
            </w:tcMar>
            <w:vAlign w:val="bottom"/>
          </w:tcPr>
          <w:p w14:paraId="200BC1A0" w14:textId="77777777" w:rsidR="00724034" w:rsidRDefault="00724034">
            <w:pPr>
              <w:jc w:val="right"/>
              <w:rPr>
                <w:rFonts w:ascii="Arial" w:eastAsia="Arial" w:hAnsi="Arial" w:cs="Arial"/>
                <w:color w:val="000000"/>
                <w:sz w:val="16"/>
                <w:vertAlign w:val="superscript"/>
              </w:rPr>
            </w:pPr>
          </w:p>
        </w:tc>
        <w:tc>
          <w:tcPr>
            <w:tcW w:w="0" w:type="auto"/>
            <w:tcBorders>
              <w:top w:val="nil"/>
              <w:left w:val="nil"/>
              <w:bottom w:val="nil"/>
              <w:right w:val="nil"/>
              <w:tl2br w:val="nil"/>
              <w:tr2bl w:val="nil"/>
            </w:tcBorders>
            <w:shd w:val="clear" w:color="auto" w:fill="FFFFFF"/>
            <w:tcMar>
              <w:left w:w="115" w:type="dxa"/>
              <w:right w:w="115" w:type="dxa"/>
            </w:tcMar>
            <w:vAlign w:val="bottom"/>
          </w:tcPr>
          <w:p w14:paraId="7E0FC9FF" w14:textId="77777777" w:rsidR="00724034" w:rsidRDefault="00724034">
            <w:pPr>
              <w:jc w:val="right"/>
              <w:rPr>
                <w:rFonts w:ascii="Arial" w:eastAsia="Arial" w:hAnsi="Arial" w:cs="Arial"/>
                <w:color w:val="000000"/>
                <w:sz w:val="16"/>
                <w:vertAlign w:val="superscript"/>
              </w:rPr>
            </w:pPr>
          </w:p>
        </w:tc>
        <w:tc>
          <w:tcPr>
            <w:tcW w:w="0" w:type="auto"/>
            <w:tcBorders>
              <w:top w:val="nil"/>
              <w:left w:val="nil"/>
              <w:bottom w:val="nil"/>
              <w:right w:val="single" w:sz="6" w:space="0" w:color="000000"/>
              <w:tl2br w:val="nil"/>
              <w:tr2bl w:val="nil"/>
            </w:tcBorders>
            <w:shd w:val="clear" w:color="auto" w:fill="FFFFFF"/>
            <w:tcMar>
              <w:left w:w="115" w:type="dxa"/>
              <w:right w:w="115" w:type="dxa"/>
            </w:tcMar>
            <w:vAlign w:val="bottom"/>
          </w:tcPr>
          <w:p w14:paraId="3EC548A7" w14:textId="77777777" w:rsidR="00724034" w:rsidRDefault="00724034">
            <w:pPr>
              <w:jc w:val="right"/>
              <w:rPr>
                <w:rFonts w:ascii="Arial" w:eastAsia="Arial" w:hAnsi="Arial" w:cs="Arial"/>
                <w:color w:val="000000"/>
                <w:sz w:val="16"/>
                <w:vertAlign w:val="superscript"/>
              </w:rPr>
            </w:pPr>
          </w:p>
        </w:tc>
      </w:tr>
      <w:tr w:rsidR="00724034" w14:paraId="099A986E" w14:textId="77777777">
        <w:tblPrEx>
          <w:tblLook w:val="04A0" w:firstRow="1" w:lastRow="0" w:firstColumn="1" w:lastColumn="0" w:noHBand="0" w:noVBand="1"/>
        </w:tblPrEx>
        <w:trPr>
          <w:gridAfter w:val="1"/>
          <w:wAfter w:w="10" w:type="dxa"/>
          <w:trHeight w:val="225"/>
        </w:trPr>
        <w:tc>
          <w:tcPr>
            <w:tcW w:w="0" w:type="auto"/>
            <w:tcBorders>
              <w:top w:val="nil"/>
              <w:left w:val="single" w:sz="6" w:space="0" w:color="000000"/>
              <w:bottom w:val="nil"/>
              <w:right w:val="nil"/>
              <w:tl2br w:val="nil"/>
              <w:tr2bl w:val="nil"/>
            </w:tcBorders>
            <w:shd w:val="clear" w:color="auto" w:fill="FFFFFF"/>
            <w:tcMar>
              <w:left w:w="115" w:type="dxa"/>
              <w:right w:w="115" w:type="dxa"/>
            </w:tcMar>
            <w:vAlign w:val="bottom"/>
          </w:tcPr>
          <w:p w14:paraId="3D55BEBA" w14:textId="77777777" w:rsidR="00724034" w:rsidRDefault="00724034">
            <w:pPr>
              <w:rPr>
                <w:rFonts w:ascii="Arial" w:eastAsia="Arial" w:hAnsi="Arial" w:cs="Arial"/>
                <w:color w:val="000000"/>
                <w:sz w:val="16"/>
                <w:vertAlign w:val="superscript"/>
              </w:rPr>
            </w:pPr>
          </w:p>
        </w:tc>
        <w:tc>
          <w:tcPr>
            <w:tcW w:w="0" w:type="auto"/>
            <w:tcBorders>
              <w:top w:val="nil"/>
              <w:left w:val="nil"/>
              <w:bottom w:val="nil"/>
              <w:right w:val="nil"/>
              <w:tl2br w:val="nil"/>
              <w:tr2bl w:val="nil"/>
            </w:tcBorders>
            <w:shd w:val="clear" w:color="auto" w:fill="FFFFFF"/>
            <w:tcMar>
              <w:left w:w="115" w:type="dxa"/>
              <w:right w:w="115" w:type="dxa"/>
            </w:tcMar>
            <w:vAlign w:val="bottom"/>
          </w:tcPr>
          <w:p w14:paraId="1D82C542" w14:textId="77777777" w:rsidR="00724034" w:rsidRDefault="00724034">
            <w:pPr>
              <w:rPr>
                <w:rFonts w:ascii="Arial" w:eastAsia="Arial" w:hAnsi="Arial" w:cs="Arial"/>
                <w:color w:val="000000"/>
                <w:sz w:val="16"/>
                <w:vertAlign w:val="superscript"/>
              </w:rPr>
            </w:pPr>
          </w:p>
        </w:tc>
        <w:tc>
          <w:tcPr>
            <w:tcW w:w="0" w:type="auto"/>
            <w:tcBorders>
              <w:top w:val="nil"/>
              <w:left w:val="nil"/>
              <w:bottom w:val="nil"/>
              <w:right w:val="nil"/>
              <w:tl2br w:val="nil"/>
              <w:tr2bl w:val="nil"/>
            </w:tcBorders>
            <w:shd w:val="clear" w:color="auto" w:fill="FFFFFF"/>
            <w:tcMar>
              <w:left w:w="115" w:type="dxa"/>
              <w:right w:w="115" w:type="dxa"/>
            </w:tcMar>
            <w:vAlign w:val="bottom"/>
          </w:tcPr>
          <w:p w14:paraId="3CD626BB" w14:textId="77777777" w:rsidR="00724034" w:rsidRDefault="00FB7D0B">
            <w:pPr>
              <w:rPr>
                <w:rFonts w:ascii="Arial" w:eastAsia="Arial" w:hAnsi="Arial" w:cs="Arial"/>
                <w:color w:val="000000"/>
                <w:sz w:val="16"/>
                <w:vertAlign w:val="superscript"/>
              </w:rPr>
            </w:pPr>
            <w:r>
              <w:rPr>
                <w:rFonts w:ascii="Arial" w:eastAsia="Arial" w:hAnsi="Arial" w:cs="Arial"/>
                <w:color w:val="000000"/>
                <w:sz w:val="16"/>
              </w:rPr>
              <w:t>Military death claim compensation</w:t>
            </w:r>
          </w:p>
        </w:tc>
        <w:tc>
          <w:tcPr>
            <w:tcW w:w="0" w:type="auto"/>
            <w:tcBorders>
              <w:top w:val="nil"/>
              <w:left w:val="nil"/>
              <w:bottom w:val="nil"/>
              <w:right w:val="nil"/>
              <w:tl2br w:val="nil"/>
              <w:tr2bl w:val="nil"/>
            </w:tcBorders>
            <w:shd w:val="clear" w:color="auto" w:fill="FFFFFF"/>
            <w:tcMar>
              <w:left w:w="115" w:type="dxa"/>
              <w:right w:w="115" w:type="dxa"/>
            </w:tcMar>
            <w:vAlign w:val="bottom"/>
          </w:tcPr>
          <w:p w14:paraId="7E989EC9" w14:textId="77777777" w:rsidR="00724034" w:rsidRDefault="00FB7D0B">
            <w:pPr>
              <w:jc w:val="right"/>
              <w:rPr>
                <w:rFonts w:ascii="Arial" w:eastAsia="Arial" w:hAnsi="Arial" w:cs="Arial"/>
                <w:color w:val="000000"/>
                <w:sz w:val="16"/>
                <w:vertAlign w:val="superscript"/>
              </w:rPr>
            </w:pPr>
            <w:r>
              <w:rPr>
                <w:rFonts w:ascii="Arial" w:eastAsia="Arial" w:hAnsi="Arial" w:cs="Arial"/>
                <w:color w:val="000000"/>
                <w:sz w:val="16"/>
              </w:rPr>
              <w:t xml:space="preserve"> 780 </w:t>
            </w:r>
          </w:p>
        </w:tc>
        <w:tc>
          <w:tcPr>
            <w:tcW w:w="0" w:type="auto"/>
            <w:tcBorders>
              <w:top w:val="nil"/>
              <w:left w:val="nil"/>
              <w:bottom w:val="nil"/>
              <w:right w:val="nil"/>
              <w:tl2br w:val="nil"/>
              <w:tr2bl w:val="nil"/>
            </w:tcBorders>
            <w:shd w:val="clear" w:color="auto" w:fill="FFFF00"/>
            <w:tcMar>
              <w:left w:w="115" w:type="dxa"/>
              <w:right w:w="115" w:type="dxa"/>
            </w:tcMar>
            <w:vAlign w:val="bottom"/>
          </w:tcPr>
          <w:p w14:paraId="40107078" w14:textId="77777777" w:rsidR="00724034" w:rsidRDefault="00FB7D0B">
            <w:pPr>
              <w:jc w:val="right"/>
              <w:rPr>
                <w:rFonts w:ascii="Arial" w:eastAsia="Arial" w:hAnsi="Arial" w:cs="Arial"/>
                <w:color w:val="000000"/>
                <w:sz w:val="16"/>
              </w:rPr>
            </w:pPr>
            <w:r>
              <w:rPr>
                <w:rFonts w:ascii="Arial" w:eastAsia="Arial" w:hAnsi="Arial" w:cs="Arial"/>
                <w:color w:val="000000"/>
                <w:sz w:val="16"/>
              </w:rPr>
              <w:t xml:space="preserve"> 215 </w:t>
            </w:r>
          </w:p>
        </w:tc>
        <w:tc>
          <w:tcPr>
            <w:tcW w:w="0" w:type="auto"/>
            <w:tcBorders>
              <w:top w:val="nil"/>
              <w:left w:val="nil"/>
              <w:bottom w:val="nil"/>
              <w:right w:val="nil"/>
              <w:tl2br w:val="nil"/>
              <w:tr2bl w:val="nil"/>
            </w:tcBorders>
            <w:shd w:val="clear" w:color="auto" w:fill="FFFFFF"/>
            <w:tcMar>
              <w:left w:w="115" w:type="dxa"/>
              <w:right w:w="115" w:type="dxa"/>
            </w:tcMar>
            <w:vAlign w:val="bottom"/>
          </w:tcPr>
          <w:p w14:paraId="51B7715A" w14:textId="77777777" w:rsidR="00724034" w:rsidRDefault="00FB7D0B">
            <w:pPr>
              <w:jc w:val="right"/>
              <w:rPr>
                <w:rFonts w:ascii="Arial" w:eastAsia="Arial" w:hAnsi="Arial" w:cs="Arial"/>
                <w:color w:val="000000"/>
                <w:sz w:val="16"/>
              </w:rPr>
            </w:pPr>
            <w:r>
              <w:rPr>
                <w:rFonts w:ascii="Arial" w:eastAsia="Arial" w:hAnsi="Arial" w:cs="Arial"/>
                <w:color w:val="000000"/>
                <w:sz w:val="16"/>
              </w:rPr>
              <w:t xml:space="preserve"> 270 </w:t>
            </w:r>
          </w:p>
        </w:tc>
        <w:tc>
          <w:tcPr>
            <w:tcW w:w="0" w:type="auto"/>
            <w:tcBorders>
              <w:top w:val="nil"/>
              <w:left w:val="nil"/>
              <w:bottom w:val="nil"/>
              <w:right w:val="nil"/>
              <w:tl2br w:val="nil"/>
              <w:tr2bl w:val="nil"/>
            </w:tcBorders>
            <w:shd w:val="clear" w:color="auto" w:fill="FFFFFF"/>
            <w:tcMar>
              <w:left w:w="115" w:type="dxa"/>
              <w:right w:w="115" w:type="dxa"/>
            </w:tcMar>
            <w:vAlign w:val="bottom"/>
          </w:tcPr>
          <w:p w14:paraId="058467A9" w14:textId="77777777" w:rsidR="00724034" w:rsidRDefault="00FB7D0B">
            <w:pPr>
              <w:jc w:val="right"/>
              <w:rPr>
                <w:rFonts w:ascii="Arial" w:eastAsia="Arial" w:hAnsi="Arial" w:cs="Arial"/>
                <w:color w:val="000000"/>
                <w:sz w:val="16"/>
              </w:rPr>
            </w:pPr>
            <w:r>
              <w:rPr>
                <w:rFonts w:ascii="Arial" w:eastAsia="Arial" w:hAnsi="Arial" w:cs="Arial"/>
                <w:color w:val="000000"/>
                <w:sz w:val="16"/>
              </w:rPr>
              <w:t xml:space="preserve"> 235 </w:t>
            </w:r>
          </w:p>
        </w:tc>
        <w:tc>
          <w:tcPr>
            <w:tcW w:w="0" w:type="auto"/>
            <w:tcBorders>
              <w:top w:val="nil"/>
              <w:left w:val="nil"/>
              <w:bottom w:val="nil"/>
              <w:right w:val="single" w:sz="6" w:space="0" w:color="000000"/>
              <w:tl2br w:val="nil"/>
              <w:tr2bl w:val="nil"/>
            </w:tcBorders>
            <w:shd w:val="clear" w:color="auto" w:fill="FFFFFF"/>
            <w:tcMar>
              <w:left w:w="115" w:type="dxa"/>
              <w:right w:w="115" w:type="dxa"/>
            </w:tcMar>
            <w:vAlign w:val="bottom"/>
          </w:tcPr>
          <w:p w14:paraId="43896954" w14:textId="77777777" w:rsidR="00724034" w:rsidRDefault="00FB7D0B">
            <w:pPr>
              <w:jc w:val="right"/>
              <w:rPr>
                <w:rFonts w:ascii="Arial" w:eastAsia="Arial" w:hAnsi="Arial" w:cs="Arial"/>
                <w:color w:val="000000"/>
                <w:sz w:val="16"/>
              </w:rPr>
            </w:pPr>
            <w:r>
              <w:rPr>
                <w:rFonts w:ascii="Arial" w:eastAsia="Arial" w:hAnsi="Arial" w:cs="Arial"/>
                <w:color w:val="000000"/>
                <w:sz w:val="16"/>
              </w:rPr>
              <w:t xml:space="preserve"> 581 </w:t>
            </w:r>
          </w:p>
        </w:tc>
      </w:tr>
      <w:tr w:rsidR="00FB7D0B" w14:paraId="1DB834DF" w14:textId="77777777" w:rsidTr="00FB7D0B">
        <w:tblPrEx>
          <w:tblLook w:val="04A0" w:firstRow="1" w:lastRow="0" w:firstColumn="1" w:lastColumn="0" w:noHBand="0" w:noVBand="1"/>
        </w:tblPrEx>
        <w:trPr>
          <w:gridAfter w:val="1"/>
          <w:wAfter w:w="10" w:type="dxa"/>
          <w:trHeight w:val="225"/>
        </w:trPr>
        <w:tc>
          <w:tcPr>
            <w:tcW w:w="0" w:type="auto"/>
            <w:gridSpan w:val="3"/>
            <w:vMerge w:val="restart"/>
            <w:tcBorders>
              <w:top w:val="nil"/>
              <w:left w:val="single" w:sz="6" w:space="0" w:color="000000"/>
              <w:bottom w:val="nil"/>
              <w:right w:val="nil"/>
              <w:tl2br w:val="nil"/>
              <w:tr2bl w:val="nil"/>
            </w:tcBorders>
            <w:shd w:val="clear" w:color="auto" w:fill="FFFFFF"/>
            <w:tcMar>
              <w:left w:w="115" w:type="dxa"/>
              <w:right w:w="115" w:type="dxa"/>
            </w:tcMar>
            <w:vAlign w:val="bottom"/>
          </w:tcPr>
          <w:p w14:paraId="0AD6706F" w14:textId="77777777" w:rsidR="00724034" w:rsidRDefault="00FB7D0B">
            <w:pPr>
              <w:rPr>
                <w:rFonts w:ascii="Arial" w:eastAsia="Arial" w:hAnsi="Arial" w:cs="Arial"/>
                <w:color w:val="000000"/>
                <w:sz w:val="16"/>
              </w:rPr>
            </w:pPr>
            <w:r>
              <w:rPr>
                <w:rFonts w:ascii="Arial" w:eastAsia="Arial" w:hAnsi="Arial" w:cs="Arial"/>
                <w:color w:val="000000"/>
                <w:sz w:val="16"/>
              </w:rPr>
              <w:t>Programme support</w:t>
            </w:r>
          </w:p>
        </w:tc>
        <w:tc>
          <w:tcPr>
            <w:tcW w:w="0" w:type="auto"/>
            <w:tcBorders>
              <w:top w:val="nil"/>
              <w:left w:val="nil"/>
              <w:bottom w:val="nil"/>
              <w:right w:val="nil"/>
              <w:tl2br w:val="nil"/>
              <w:tr2bl w:val="nil"/>
            </w:tcBorders>
            <w:shd w:val="clear" w:color="auto" w:fill="FFFFFF"/>
            <w:tcMar>
              <w:left w:w="115" w:type="dxa"/>
              <w:right w:w="115" w:type="dxa"/>
            </w:tcMar>
            <w:vAlign w:val="bottom"/>
          </w:tcPr>
          <w:p w14:paraId="5FA3F5D7" w14:textId="77777777" w:rsidR="00724034" w:rsidRDefault="00FB7D0B">
            <w:pPr>
              <w:jc w:val="right"/>
              <w:rPr>
                <w:rFonts w:ascii="Arial" w:eastAsia="Arial" w:hAnsi="Arial" w:cs="Arial"/>
                <w:color w:val="000000"/>
                <w:sz w:val="16"/>
                <w:vertAlign w:val="superscript"/>
              </w:rPr>
            </w:pPr>
            <w:r>
              <w:rPr>
                <w:rFonts w:ascii="Arial" w:eastAsia="Arial" w:hAnsi="Arial" w:cs="Arial"/>
                <w:color w:val="000000"/>
                <w:sz w:val="16"/>
              </w:rPr>
              <w:t xml:space="preserve"> 30,577 </w:t>
            </w:r>
          </w:p>
        </w:tc>
        <w:tc>
          <w:tcPr>
            <w:tcW w:w="0" w:type="auto"/>
            <w:tcBorders>
              <w:top w:val="nil"/>
              <w:left w:val="nil"/>
              <w:bottom w:val="nil"/>
              <w:right w:val="nil"/>
              <w:tl2br w:val="nil"/>
              <w:tr2bl w:val="nil"/>
            </w:tcBorders>
            <w:shd w:val="clear" w:color="auto" w:fill="FFFF00"/>
            <w:tcMar>
              <w:left w:w="115" w:type="dxa"/>
              <w:right w:w="115" w:type="dxa"/>
            </w:tcMar>
            <w:vAlign w:val="bottom"/>
          </w:tcPr>
          <w:p w14:paraId="301B16B1" w14:textId="77777777" w:rsidR="00724034" w:rsidRDefault="00FB7D0B">
            <w:pPr>
              <w:jc w:val="right"/>
              <w:rPr>
                <w:rFonts w:ascii="Arial" w:eastAsia="Arial" w:hAnsi="Arial" w:cs="Arial"/>
                <w:color w:val="000000"/>
                <w:sz w:val="16"/>
              </w:rPr>
            </w:pPr>
            <w:r>
              <w:rPr>
                <w:rFonts w:ascii="Arial" w:eastAsia="Arial" w:hAnsi="Arial" w:cs="Arial"/>
                <w:color w:val="000000"/>
                <w:sz w:val="16"/>
              </w:rPr>
              <w:t xml:space="preserve"> 30,761 </w:t>
            </w:r>
          </w:p>
        </w:tc>
        <w:tc>
          <w:tcPr>
            <w:tcW w:w="0" w:type="auto"/>
            <w:tcBorders>
              <w:top w:val="nil"/>
              <w:left w:val="nil"/>
              <w:bottom w:val="nil"/>
              <w:right w:val="nil"/>
              <w:tl2br w:val="nil"/>
              <w:tr2bl w:val="nil"/>
            </w:tcBorders>
            <w:shd w:val="clear" w:color="auto" w:fill="FFFFFF"/>
            <w:tcMar>
              <w:left w:w="115" w:type="dxa"/>
              <w:right w:w="115" w:type="dxa"/>
            </w:tcMar>
            <w:vAlign w:val="bottom"/>
          </w:tcPr>
          <w:p w14:paraId="1A42591F" w14:textId="77777777" w:rsidR="00724034" w:rsidRDefault="00FB7D0B">
            <w:pPr>
              <w:jc w:val="right"/>
              <w:rPr>
                <w:rFonts w:ascii="Arial" w:eastAsia="Arial" w:hAnsi="Arial" w:cs="Arial"/>
                <w:color w:val="000000"/>
                <w:sz w:val="16"/>
              </w:rPr>
            </w:pPr>
            <w:r>
              <w:rPr>
                <w:rFonts w:ascii="Arial" w:eastAsia="Arial" w:hAnsi="Arial" w:cs="Arial"/>
                <w:color w:val="000000"/>
                <w:sz w:val="16"/>
              </w:rPr>
              <w:t xml:space="preserve"> 30,076 </w:t>
            </w:r>
          </w:p>
        </w:tc>
        <w:tc>
          <w:tcPr>
            <w:tcW w:w="0" w:type="auto"/>
            <w:tcBorders>
              <w:top w:val="nil"/>
              <w:left w:val="nil"/>
              <w:bottom w:val="nil"/>
              <w:right w:val="nil"/>
              <w:tl2br w:val="nil"/>
              <w:tr2bl w:val="nil"/>
            </w:tcBorders>
            <w:shd w:val="clear" w:color="auto" w:fill="FFFFFF"/>
            <w:tcMar>
              <w:left w:w="115" w:type="dxa"/>
              <w:right w:w="115" w:type="dxa"/>
            </w:tcMar>
            <w:vAlign w:val="bottom"/>
          </w:tcPr>
          <w:p w14:paraId="7E61C569" w14:textId="77777777" w:rsidR="00724034" w:rsidRDefault="00FB7D0B">
            <w:pPr>
              <w:jc w:val="right"/>
              <w:rPr>
                <w:rFonts w:ascii="Arial" w:eastAsia="Arial" w:hAnsi="Arial" w:cs="Arial"/>
                <w:color w:val="000000"/>
                <w:sz w:val="16"/>
              </w:rPr>
            </w:pPr>
            <w:r>
              <w:rPr>
                <w:rFonts w:ascii="Arial" w:eastAsia="Arial" w:hAnsi="Arial" w:cs="Arial"/>
                <w:color w:val="000000"/>
                <w:sz w:val="16"/>
              </w:rPr>
              <w:t xml:space="preserve"> 29,072 </w:t>
            </w:r>
          </w:p>
        </w:tc>
        <w:tc>
          <w:tcPr>
            <w:tcW w:w="0" w:type="auto"/>
            <w:tcBorders>
              <w:top w:val="nil"/>
              <w:left w:val="nil"/>
              <w:bottom w:val="nil"/>
              <w:right w:val="single" w:sz="6" w:space="0" w:color="000000"/>
              <w:tl2br w:val="nil"/>
              <w:tr2bl w:val="nil"/>
            </w:tcBorders>
            <w:shd w:val="clear" w:color="auto" w:fill="FFFFFF"/>
            <w:tcMar>
              <w:left w:w="115" w:type="dxa"/>
              <w:right w:w="115" w:type="dxa"/>
            </w:tcMar>
            <w:vAlign w:val="bottom"/>
          </w:tcPr>
          <w:p w14:paraId="07DF5478" w14:textId="77777777" w:rsidR="00724034" w:rsidRDefault="00FB7D0B">
            <w:pPr>
              <w:jc w:val="right"/>
              <w:rPr>
                <w:rFonts w:ascii="Arial" w:eastAsia="Arial" w:hAnsi="Arial" w:cs="Arial"/>
                <w:color w:val="000000"/>
                <w:sz w:val="16"/>
              </w:rPr>
            </w:pPr>
            <w:r>
              <w:rPr>
                <w:rFonts w:ascii="Arial" w:eastAsia="Arial" w:hAnsi="Arial" w:cs="Arial"/>
                <w:color w:val="000000"/>
                <w:sz w:val="16"/>
              </w:rPr>
              <w:t xml:space="preserve"> 29,420 </w:t>
            </w:r>
          </w:p>
        </w:tc>
      </w:tr>
      <w:tr w:rsidR="00FB7D0B" w14:paraId="1647220A" w14:textId="77777777" w:rsidTr="00FB7D0B">
        <w:tblPrEx>
          <w:tblLook w:val="04A0" w:firstRow="1" w:lastRow="0" w:firstColumn="1" w:lastColumn="0" w:noHBand="0" w:noVBand="1"/>
        </w:tblPrEx>
        <w:trPr>
          <w:gridAfter w:val="1"/>
          <w:wAfter w:w="10" w:type="dxa"/>
          <w:trHeight w:val="450"/>
        </w:trPr>
        <w:tc>
          <w:tcPr>
            <w:tcW w:w="0" w:type="auto"/>
            <w:gridSpan w:val="3"/>
            <w:tcBorders>
              <w:top w:val="single" w:sz="6" w:space="0" w:color="FFFFFF"/>
              <w:left w:val="single" w:sz="6" w:space="0" w:color="000000"/>
              <w:bottom w:val="single" w:sz="6" w:space="0" w:color="FFFFFF"/>
              <w:right w:val="nil"/>
              <w:tl2br w:val="nil"/>
              <w:tr2bl w:val="nil"/>
            </w:tcBorders>
            <w:shd w:val="clear" w:color="auto" w:fill="FFFFFF"/>
            <w:tcMar>
              <w:left w:w="115" w:type="dxa"/>
              <w:right w:w="115" w:type="dxa"/>
            </w:tcMar>
            <w:vAlign w:val="bottom"/>
          </w:tcPr>
          <w:p w14:paraId="3ED1081C" w14:textId="77777777" w:rsidR="00724034" w:rsidRDefault="00FB7D0B">
            <w:pPr>
              <w:rPr>
                <w:rFonts w:ascii="Arial" w:eastAsia="Arial" w:hAnsi="Arial" w:cs="Arial"/>
                <w:color w:val="000000"/>
                <w:sz w:val="16"/>
              </w:rPr>
            </w:pPr>
            <w:r>
              <w:rPr>
                <w:rFonts w:ascii="Arial" w:eastAsia="Arial" w:hAnsi="Arial" w:cs="Arial"/>
                <w:color w:val="000000"/>
                <w:sz w:val="16"/>
              </w:rPr>
              <w:t>Expenses not requiring appropriation in the Budget year</w:t>
            </w:r>
            <w:r>
              <w:rPr>
                <w:rFonts w:ascii="Arial" w:eastAsia="Arial" w:hAnsi="Arial" w:cs="Arial"/>
                <w:color w:val="000000"/>
                <w:sz w:val="16"/>
                <w:vertAlign w:val="superscript"/>
              </w:rPr>
              <w:t>1 </w:t>
            </w:r>
          </w:p>
        </w:tc>
        <w:tc>
          <w:tcPr>
            <w:tcW w:w="0" w:type="auto"/>
            <w:tcBorders>
              <w:top w:val="nil"/>
              <w:left w:val="nil"/>
              <w:bottom w:val="nil"/>
              <w:right w:val="nil"/>
              <w:tl2br w:val="nil"/>
              <w:tr2bl w:val="nil"/>
            </w:tcBorders>
            <w:shd w:val="clear" w:color="auto" w:fill="FFFFFF"/>
            <w:tcMar>
              <w:left w:w="115" w:type="dxa"/>
              <w:right w:w="115" w:type="dxa"/>
            </w:tcMar>
            <w:vAlign w:val="bottom"/>
          </w:tcPr>
          <w:p w14:paraId="7430DD61" w14:textId="77777777" w:rsidR="00724034" w:rsidRDefault="00FB7D0B">
            <w:pPr>
              <w:jc w:val="right"/>
              <w:rPr>
                <w:rFonts w:ascii="Arial" w:eastAsia="Arial" w:hAnsi="Arial" w:cs="Arial"/>
                <w:color w:val="000000"/>
                <w:sz w:val="16"/>
                <w:vertAlign w:val="superscript"/>
              </w:rPr>
            </w:pPr>
            <w:r>
              <w:rPr>
                <w:rFonts w:ascii="Arial" w:eastAsia="Arial" w:hAnsi="Arial" w:cs="Arial"/>
                <w:color w:val="000000"/>
                <w:sz w:val="16"/>
              </w:rPr>
              <w:t xml:space="preserve"> 3,173 </w:t>
            </w:r>
          </w:p>
        </w:tc>
        <w:tc>
          <w:tcPr>
            <w:tcW w:w="0" w:type="auto"/>
            <w:tcBorders>
              <w:top w:val="nil"/>
              <w:left w:val="nil"/>
              <w:bottom w:val="nil"/>
              <w:right w:val="nil"/>
              <w:tl2br w:val="nil"/>
              <w:tr2bl w:val="nil"/>
            </w:tcBorders>
            <w:shd w:val="clear" w:color="auto" w:fill="FFFF00"/>
            <w:tcMar>
              <w:left w:w="115" w:type="dxa"/>
              <w:right w:w="115" w:type="dxa"/>
            </w:tcMar>
            <w:vAlign w:val="bottom"/>
          </w:tcPr>
          <w:p w14:paraId="11A9CFD2" w14:textId="77777777" w:rsidR="00724034" w:rsidRDefault="00FB7D0B">
            <w:pPr>
              <w:jc w:val="right"/>
              <w:rPr>
                <w:rFonts w:ascii="Arial" w:eastAsia="Arial" w:hAnsi="Arial" w:cs="Arial"/>
                <w:color w:val="000000"/>
                <w:sz w:val="16"/>
              </w:rPr>
            </w:pPr>
            <w:r>
              <w:rPr>
                <w:rFonts w:ascii="Arial" w:eastAsia="Arial" w:hAnsi="Arial" w:cs="Arial"/>
                <w:color w:val="000000"/>
                <w:sz w:val="16"/>
              </w:rPr>
              <w:t xml:space="preserve"> 3,565 </w:t>
            </w:r>
          </w:p>
        </w:tc>
        <w:tc>
          <w:tcPr>
            <w:tcW w:w="0" w:type="auto"/>
            <w:tcBorders>
              <w:top w:val="nil"/>
              <w:left w:val="nil"/>
              <w:bottom w:val="nil"/>
              <w:right w:val="nil"/>
              <w:tl2br w:val="nil"/>
              <w:tr2bl w:val="nil"/>
            </w:tcBorders>
            <w:shd w:val="clear" w:color="auto" w:fill="FFFFFF"/>
            <w:tcMar>
              <w:left w:w="115" w:type="dxa"/>
              <w:right w:w="115" w:type="dxa"/>
            </w:tcMar>
            <w:vAlign w:val="bottom"/>
          </w:tcPr>
          <w:p w14:paraId="3A966F40" w14:textId="77777777" w:rsidR="00724034" w:rsidRDefault="00FB7D0B">
            <w:pPr>
              <w:jc w:val="right"/>
              <w:rPr>
                <w:rFonts w:ascii="Arial" w:eastAsia="Arial" w:hAnsi="Arial" w:cs="Arial"/>
                <w:color w:val="000000"/>
                <w:sz w:val="16"/>
              </w:rPr>
            </w:pPr>
            <w:r>
              <w:rPr>
                <w:rFonts w:ascii="Arial" w:eastAsia="Arial" w:hAnsi="Arial" w:cs="Arial"/>
                <w:color w:val="000000"/>
                <w:sz w:val="16"/>
              </w:rPr>
              <w:t xml:space="preserve"> 3,255 </w:t>
            </w:r>
          </w:p>
        </w:tc>
        <w:tc>
          <w:tcPr>
            <w:tcW w:w="0" w:type="auto"/>
            <w:tcBorders>
              <w:top w:val="nil"/>
              <w:left w:val="nil"/>
              <w:bottom w:val="nil"/>
              <w:right w:val="nil"/>
              <w:tl2br w:val="nil"/>
              <w:tr2bl w:val="nil"/>
            </w:tcBorders>
            <w:shd w:val="clear" w:color="auto" w:fill="FFFFFF"/>
            <w:tcMar>
              <w:left w:w="115" w:type="dxa"/>
              <w:right w:w="115" w:type="dxa"/>
            </w:tcMar>
            <w:vAlign w:val="bottom"/>
          </w:tcPr>
          <w:p w14:paraId="3836BA6D" w14:textId="77777777" w:rsidR="00724034" w:rsidRDefault="00FB7D0B">
            <w:pPr>
              <w:jc w:val="right"/>
              <w:rPr>
                <w:rFonts w:ascii="Arial" w:eastAsia="Arial" w:hAnsi="Arial" w:cs="Arial"/>
                <w:color w:val="000000"/>
                <w:sz w:val="16"/>
              </w:rPr>
            </w:pPr>
            <w:r>
              <w:rPr>
                <w:rFonts w:ascii="Arial" w:eastAsia="Arial" w:hAnsi="Arial" w:cs="Arial"/>
                <w:color w:val="000000"/>
                <w:sz w:val="16"/>
              </w:rPr>
              <w:t xml:space="preserve"> 2,969 </w:t>
            </w:r>
          </w:p>
        </w:tc>
        <w:tc>
          <w:tcPr>
            <w:tcW w:w="0" w:type="auto"/>
            <w:tcBorders>
              <w:top w:val="nil"/>
              <w:left w:val="nil"/>
              <w:bottom w:val="nil"/>
              <w:right w:val="single" w:sz="6" w:space="0" w:color="000000"/>
              <w:tl2br w:val="nil"/>
              <w:tr2bl w:val="nil"/>
            </w:tcBorders>
            <w:shd w:val="clear" w:color="auto" w:fill="FFFFFF"/>
            <w:tcMar>
              <w:left w:w="115" w:type="dxa"/>
              <w:right w:w="115" w:type="dxa"/>
            </w:tcMar>
            <w:vAlign w:val="bottom"/>
          </w:tcPr>
          <w:p w14:paraId="269AA8B6" w14:textId="77777777" w:rsidR="00724034" w:rsidRDefault="00FB7D0B">
            <w:pPr>
              <w:jc w:val="right"/>
              <w:rPr>
                <w:rFonts w:ascii="Arial" w:eastAsia="Arial" w:hAnsi="Arial" w:cs="Arial"/>
                <w:color w:val="000000"/>
                <w:sz w:val="16"/>
              </w:rPr>
            </w:pPr>
            <w:r>
              <w:rPr>
                <w:rFonts w:ascii="Arial" w:eastAsia="Arial" w:hAnsi="Arial" w:cs="Arial"/>
                <w:color w:val="000000"/>
                <w:sz w:val="16"/>
              </w:rPr>
              <w:t xml:space="preserve"> 2,486 </w:t>
            </w:r>
          </w:p>
        </w:tc>
      </w:tr>
      <w:tr w:rsidR="00FB7D0B" w14:paraId="341102C8" w14:textId="77777777" w:rsidTr="00FB7D0B">
        <w:tblPrEx>
          <w:tblLook w:val="04A0" w:firstRow="1" w:lastRow="0" w:firstColumn="1" w:lastColumn="0" w:noHBand="0" w:noVBand="1"/>
        </w:tblPrEx>
        <w:trPr>
          <w:gridAfter w:val="1"/>
          <w:wAfter w:w="10" w:type="dxa"/>
          <w:trHeight w:val="225"/>
        </w:trPr>
        <w:tc>
          <w:tcPr>
            <w:tcW w:w="0" w:type="auto"/>
            <w:gridSpan w:val="3"/>
            <w:tcBorders>
              <w:top w:val="single" w:sz="6" w:space="0" w:color="FFFFFF"/>
              <w:left w:val="single" w:sz="6" w:space="0" w:color="000000"/>
              <w:bottom w:val="single" w:sz="6" w:space="0" w:color="000000"/>
              <w:right w:val="nil"/>
              <w:tl2br w:val="nil"/>
              <w:tr2bl w:val="nil"/>
            </w:tcBorders>
            <w:shd w:val="clear" w:color="auto" w:fill="FFFFFF"/>
            <w:tcMar>
              <w:left w:w="115" w:type="dxa"/>
              <w:right w:w="115" w:type="dxa"/>
            </w:tcMar>
            <w:vAlign w:val="bottom"/>
          </w:tcPr>
          <w:p w14:paraId="41F19DE5" w14:textId="77777777" w:rsidR="00724034" w:rsidRDefault="00FB7D0B">
            <w:pPr>
              <w:rPr>
                <w:rFonts w:ascii="Arial" w:eastAsia="Arial" w:hAnsi="Arial" w:cs="Arial"/>
                <w:color w:val="000000"/>
                <w:sz w:val="16"/>
              </w:rPr>
            </w:pPr>
            <w:r>
              <w:rPr>
                <w:rFonts w:ascii="Arial" w:eastAsia="Arial" w:hAnsi="Arial" w:cs="Arial"/>
                <w:b/>
                <w:color w:val="000000"/>
                <w:sz w:val="16"/>
              </w:rPr>
              <w:t xml:space="preserve">Total programme expenses </w:t>
            </w:r>
          </w:p>
        </w:tc>
        <w:tc>
          <w:tcPr>
            <w:tcW w:w="0" w:type="auto"/>
            <w:tcBorders>
              <w:top w:val="nil"/>
              <w:left w:val="nil"/>
              <w:bottom w:val="single" w:sz="6" w:space="0" w:color="000000"/>
              <w:right w:val="nil"/>
              <w:tl2br w:val="nil"/>
              <w:tr2bl w:val="nil"/>
            </w:tcBorders>
            <w:shd w:val="clear" w:color="auto" w:fill="FFFFFF"/>
            <w:tcMar>
              <w:left w:w="115" w:type="dxa"/>
              <w:right w:w="115" w:type="dxa"/>
            </w:tcMar>
            <w:vAlign w:val="bottom"/>
          </w:tcPr>
          <w:p w14:paraId="6D431FDF" w14:textId="77777777" w:rsidR="00724034" w:rsidRDefault="00FB7D0B">
            <w:pPr>
              <w:jc w:val="right"/>
              <w:rPr>
                <w:rFonts w:ascii="Arial" w:eastAsia="Arial" w:hAnsi="Arial" w:cs="Arial"/>
                <w:b/>
                <w:color w:val="000000"/>
                <w:sz w:val="16"/>
                <w:vertAlign w:val="superscript"/>
              </w:rPr>
            </w:pPr>
            <w:r>
              <w:rPr>
                <w:rFonts w:ascii="Arial" w:eastAsia="Arial" w:hAnsi="Arial" w:cs="Arial"/>
                <w:b/>
                <w:color w:val="000000"/>
                <w:sz w:val="16"/>
              </w:rPr>
              <w:t>403,529 </w:t>
            </w:r>
          </w:p>
        </w:tc>
        <w:tc>
          <w:tcPr>
            <w:tcW w:w="0" w:type="auto"/>
            <w:tcBorders>
              <w:top w:val="nil"/>
              <w:left w:val="nil"/>
              <w:bottom w:val="single" w:sz="6" w:space="0" w:color="000000"/>
              <w:right w:val="nil"/>
              <w:tl2br w:val="nil"/>
              <w:tr2bl w:val="nil"/>
            </w:tcBorders>
            <w:shd w:val="clear" w:color="auto" w:fill="FFFF00"/>
            <w:tcMar>
              <w:left w:w="115" w:type="dxa"/>
              <w:right w:w="115" w:type="dxa"/>
            </w:tcMar>
            <w:vAlign w:val="bottom"/>
          </w:tcPr>
          <w:p w14:paraId="432AAB5E" w14:textId="77777777" w:rsidR="00724034" w:rsidRDefault="00FB7D0B">
            <w:pPr>
              <w:jc w:val="right"/>
              <w:rPr>
                <w:rFonts w:ascii="Arial" w:eastAsia="Arial" w:hAnsi="Arial" w:cs="Arial"/>
                <w:b/>
                <w:color w:val="000000"/>
                <w:sz w:val="16"/>
              </w:rPr>
            </w:pPr>
            <w:r>
              <w:rPr>
                <w:rFonts w:ascii="Arial" w:eastAsia="Arial" w:hAnsi="Arial" w:cs="Arial"/>
                <w:b/>
                <w:color w:val="000000"/>
                <w:sz w:val="16"/>
              </w:rPr>
              <w:t>395,810 </w:t>
            </w:r>
          </w:p>
        </w:tc>
        <w:tc>
          <w:tcPr>
            <w:tcW w:w="0" w:type="auto"/>
            <w:tcBorders>
              <w:top w:val="nil"/>
              <w:left w:val="nil"/>
              <w:bottom w:val="single" w:sz="6" w:space="0" w:color="000000"/>
              <w:right w:val="nil"/>
              <w:tl2br w:val="nil"/>
              <w:tr2bl w:val="nil"/>
            </w:tcBorders>
            <w:shd w:val="clear" w:color="auto" w:fill="FFFFFF"/>
            <w:tcMar>
              <w:left w:w="115" w:type="dxa"/>
              <w:right w:w="115" w:type="dxa"/>
            </w:tcMar>
            <w:vAlign w:val="bottom"/>
          </w:tcPr>
          <w:p w14:paraId="56FD0AA4" w14:textId="77777777" w:rsidR="00724034" w:rsidRDefault="00FB7D0B">
            <w:pPr>
              <w:jc w:val="right"/>
              <w:rPr>
                <w:rFonts w:ascii="Arial" w:eastAsia="Arial" w:hAnsi="Arial" w:cs="Arial"/>
                <w:b/>
                <w:color w:val="000000"/>
                <w:sz w:val="16"/>
              </w:rPr>
            </w:pPr>
            <w:r>
              <w:rPr>
                <w:rFonts w:ascii="Arial" w:eastAsia="Arial" w:hAnsi="Arial" w:cs="Arial"/>
                <w:b/>
                <w:color w:val="000000"/>
                <w:sz w:val="16"/>
              </w:rPr>
              <w:t>401,064 </w:t>
            </w:r>
          </w:p>
        </w:tc>
        <w:tc>
          <w:tcPr>
            <w:tcW w:w="0" w:type="auto"/>
            <w:tcBorders>
              <w:top w:val="nil"/>
              <w:left w:val="nil"/>
              <w:bottom w:val="single" w:sz="6" w:space="0" w:color="000000"/>
              <w:right w:val="nil"/>
              <w:tl2br w:val="nil"/>
              <w:tr2bl w:val="nil"/>
            </w:tcBorders>
            <w:shd w:val="clear" w:color="auto" w:fill="FFFFFF"/>
            <w:tcMar>
              <w:left w:w="115" w:type="dxa"/>
              <w:right w:w="115" w:type="dxa"/>
            </w:tcMar>
            <w:vAlign w:val="bottom"/>
          </w:tcPr>
          <w:p w14:paraId="448E1915" w14:textId="77777777" w:rsidR="00724034" w:rsidRDefault="00FB7D0B">
            <w:pPr>
              <w:jc w:val="right"/>
              <w:rPr>
                <w:rFonts w:ascii="Arial" w:eastAsia="Arial" w:hAnsi="Arial" w:cs="Arial"/>
                <w:b/>
                <w:color w:val="000000"/>
                <w:sz w:val="16"/>
              </w:rPr>
            </w:pPr>
            <w:r>
              <w:rPr>
                <w:rFonts w:ascii="Arial" w:eastAsia="Arial" w:hAnsi="Arial" w:cs="Arial"/>
                <w:b/>
                <w:color w:val="000000"/>
                <w:sz w:val="16"/>
              </w:rPr>
              <w:t>412,631 </w:t>
            </w:r>
          </w:p>
        </w:tc>
        <w:tc>
          <w:tcPr>
            <w:tcW w:w="0" w:type="auto"/>
            <w:tcBorders>
              <w:top w:val="nil"/>
              <w:left w:val="nil"/>
              <w:bottom w:val="single" w:sz="6" w:space="0" w:color="000000"/>
              <w:right w:val="single" w:sz="6" w:space="0" w:color="000000"/>
              <w:tl2br w:val="nil"/>
              <w:tr2bl w:val="nil"/>
            </w:tcBorders>
            <w:shd w:val="clear" w:color="auto" w:fill="FFFFFF"/>
            <w:tcMar>
              <w:left w:w="115" w:type="dxa"/>
              <w:right w:w="115" w:type="dxa"/>
            </w:tcMar>
            <w:vAlign w:val="bottom"/>
          </w:tcPr>
          <w:p w14:paraId="1A651CDD" w14:textId="77777777" w:rsidR="00724034" w:rsidRDefault="00FB7D0B">
            <w:pPr>
              <w:jc w:val="right"/>
              <w:rPr>
                <w:rFonts w:ascii="Arial" w:eastAsia="Arial" w:hAnsi="Arial" w:cs="Arial"/>
                <w:b/>
                <w:color w:val="000000"/>
                <w:sz w:val="16"/>
              </w:rPr>
            </w:pPr>
            <w:r>
              <w:rPr>
                <w:rFonts w:ascii="Arial" w:eastAsia="Arial" w:hAnsi="Arial" w:cs="Arial"/>
                <w:b/>
                <w:color w:val="000000"/>
                <w:sz w:val="16"/>
              </w:rPr>
              <w:t>418,293 </w:t>
            </w:r>
          </w:p>
        </w:tc>
      </w:tr>
    </w:tbl>
    <w:p w14:paraId="0BA48ADA" w14:textId="77777777" w:rsidR="00724034" w:rsidRDefault="00724034">
      <w:pPr>
        <w:rPr>
          <w:rFonts w:ascii="Times New Roman" w:eastAsia="Times New Roman" w:hAnsi="Times New Roman" w:cs="Times New Roman"/>
        </w:rPr>
      </w:pPr>
    </w:p>
    <w:p w14:paraId="426F78A7" w14:textId="77777777" w:rsidR="003F0EEA" w:rsidRPr="004D4F1D" w:rsidRDefault="00FB7D0B" w:rsidP="003F0EEA">
      <w:pPr>
        <w:pStyle w:val="ListParagraph7"/>
        <w:numPr>
          <w:ilvl w:val="0"/>
          <w:numId w:val="23"/>
        </w:numPr>
        <w:spacing w:after="200" w:line="276" w:lineRule="auto"/>
        <w:ind w:left="284" w:hanging="284"/>
        <w:rPr>
          <w:rFonts w:ascii="Arial" w:eastAsia="Calibri" w:hAnsi="Arial" w:cs="Arial"/>
          <w:sz w:val="16"/>
          <w:szCs w:val="16"/>
          <w:lang w:eastAsia="en-US"/>
        </w:rPr>
      </w:pPr>
      <w:r w:rsidRPr="004D4F1D">
        <w:rPr>
          <w:rFonts w:ascii="Arial" w:eastAsia="Calibri" w:hAnsi="Arial" w:cs="Arial"/>
          <w:sz w:val="16"/>
          <w:szCs w:val="16"/>
          <w:lang w:eastAsia="en-US"/>
        </w:rPr>
        <w:t xml:space="preserve">Expenses not requiring appropriation in the Budget year is made up of Depreciation Expense, Amortisation </w:t>
      </w:r>
      <w:r w:rsidRPr="004D4F1D">
        <w:rPr>
          <w:rFonts w:ascii="Arial" w:eastAsia="Calibri" w:hAnsi="Arial" w:cs="Arial"/>
          <w:sz w:val="16"/>
          <w:szCs w:val="16"/>
          <w:lang w:eastAsia="en-US"/>
        </w:rPr>
        <w:br/>
        <w:t xml:space="preserve">Expense and Resources Received Free of Charge. </w:t>
      </w:r>
    </w:p>
    <w:p w14:paraId="497485FE" w14:textId="77777777" w:rsidR="003F0EEA" w:rsidRPr="004D4F1D" w:rsidRDefault="00FB7D0B">
      <w:pPr>
        <w:rPr>
          <w:rFonts w:ascii="Arial" w:hAnsi="Arial" w:cs="Arial"/>
          <w:sz w:val="16"/>
          <w:szCs w:val="16"/>
          <w:lang w:eastAsia="en-US"/>
        </w:rPr>
      </w:pPr>
      <w:r w:rsidRPr="004D4F1D">
        <w:rPr>
          <w:rFonts w:ascii="Arial" w:hAnsi="Arial" w:cs="Arial"/>
          <w:sz w:val="16"/>
          <w:szCs w:val="16"/>
          <w:lang w:eastAsia="en-U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ayout w:type="fixed"/>
        <w:tblLook w:val="01E0" w:firstRow="1" w:lastRow="1" w:firstColumn="1" w:lastColumn="1" w:noHBand="0" w:noVBand="0"/>
      </w:tblPr>
      <w:tblGrid>
        <w:gridCol w:w="3210"/>
        <w:gridCol w:w="975"/>
        <w:gridCol w:w="975"/>
        <w:gridCol w:w="975"/>
        <w:gridCol w:w="975"/>
        <w:gridCol w:w="975"/>
      </w:tblGrid>
      <w:tr w:rsidR="00724034" w14:paraId="7BBF9943" w14:textId="77777777" w:rsidTr="003F0EEA">
        <w:tc>
          <w:tcPr>
            <w:tcW w:w="8080" w:type="dxa"/>
            <w:gridSpan w:val="6"/>
            <w:tcBorders>
              <w:top w:val="single" w:sz="4" w:space="0" w:color="auto"/>
              <w:left w:val="single" w:sz="4" w:space="0" w:color="auto"/>
              <w:bottom w:val="single" w:sz="4" w:space="0" w:color="auto"/>
              <w:right w:val="single" w:sz="4" w:space="0" w:color="auto"/>
            </w:tcBorders>
            <w:shd w:val="clear" w:color="auto" w:fill="E6E6E6"/>
          </w:tcPr>
          <w:p w14:paraId="16454D9F" w14:textId="77777777" w:rsidR="003F0EEA" w:rsidRPr="002B1C21" w:rsidRDefault="00FB7D0B" w:rsidP="003F0EEA">
            <w:pPr>
              <w:pStyle w:val="TableTextLeft16"/>
              <w:keepNext/>
              <w:rPr>
                <w:b/>
              </w:rPr>
            </w:pPr>
            <w:r w:rsidRPr="002B1C21">
              <w:rPr>
                <w:b/>
              </w:rPr>
              <w:br w:type="page"/>
            </w:r>
            <w:r w:rsidRPr="002B1C21">
              <w:rPr>
                <w:b/>
                <w:sz w:val="20"/>
                <w:shd w:val="clear" w:color="auto" w:fill="E6E6E6"/>
              </w:rPr>
              <w:t>Program</w:t>
            </w:r>
            <w:r>
              <w:rPr>
                <w:b/>
                <w:sz w:val="20"/>
                <w:shd w:val="clear" w:color="auto" w:fill="E6E6E6"/>
              </w:rPr>
              <w:t>me</w:t>
            </w:r>
            <w:r w:rsidRPr="002B1C21">
              <w:rPr>
                <w:b/>
                <w:sz w:val="20"/>
                <w:shd w:val="clear" w:color="auto" w:fill="E6E6E6"/>
              </w:rPr>
              <w:t xml:space="preserve"> 1.6: Military Rehabilitation and Compensation Acts Payments - Income Support and Compensation (continued)</w:t>
            </w:r>
          </w:p>
        </w:tc>
      </w:tr>
      <w:tr w:rsidR="00724034" w14:paraId="1F3E6D41" w14:textId="77777777" w:rsidTr="003F0EEA">
        <w:tc>
          <w:tcPr>
            <w:tcW w:w="8080" w:type="dxa"/>
            <w:gridSpan w:val="6"/>
            <w:tcBorders>
              <w:top w:val="single" w:sz="4" w:space="0" w:color="auto"/>
              <w:left w:val="nil"/>
              <w:bottom w:val="single" w:sz="4" w:space="0" w:color="auto"/>
              <w:right w:val="nil"/>
            </w:tcBorders>
            <w:shd w:val="clear" w:color="auto" w:fill="auto"/>
          </w:tcPr>
          <w:p w14:paraId="00678AA4" w14:textId="77777777" w:rsidR="003F0EEA" w:rsidRPr="00996D9D" w:rsidRDefault="003F0EEA">
            <w:pPr>
              <w:pStyle w:val="TableTextLeft16"/>
              <w:keepNext/>
            </w:pPr>
          </w:p>
        </w:tc>
      </w:tr>
      <w:tr w:rsidR="00724034" w14:paraId="5F4B3CCC" w14:textId="77777777" w:rsidTr="003F0EEA">
        <w:tc>
          <w:tcPr>
            <w:tcW w:w="8080" w:type="dxa"/>
            <w:gridSpan w:val="6"/>
            <w:tcBorders>
              <w:top w:val="single" w:sz="4" w:space="0" w:color="auto"/>
              <w:left w:val="single" w:sz="4" w:space="0" w:color="auto"/>
              <w:bottom w:val="single" w:sz="4" w:space="0" w:color="auto"/>
              <w:right w:val="single" w:sz="4" w:space="0" w:color="auto"/>
            </w:tcBorders>
            <w:shd w:val="clear" w:color="auto" w:fill="auto"/>
          </w:tcPr>
          <w:p w14:paraId="38F20885" w14:textId="77777777" w:rsidR="003F0EEA" w:rsidRPr="00996D9D" w:rsidRDefault="00FB7D0B" w:rsidP="003F0EEA">
            <w:pPr>
              <w:pStyle w:val="TableTextLeft16"/>
              <w:keepNext/>
              <w:rPr>
                <w:b/>
              </w:rPr>
            </w:pPr>
            <w:r w:rsidRPr="00996D9D">
              <w:rPr>
                <w:b/>
              </w:rPr>
              <w:t>Program</w:t>
            </w:r>
            <w:r>
              <w:rPr>
                <w:b/>
              </w:rPr>
              <w:t>me</w:t>
            </w:r>
            <w:r w:rsidRPr="00996D9D">
              <w:rPr>
                <w:b/>
              </w:rPr>
              <w:t xml:space="preserve"> 1.6 deliverables</w:t>
            </w:r>
          </w:p>
          <w:p w14:paraId="383D9721" w14:textId="77777777" w:rsidR="003F0EEA" w:rsidRDefault="00FB7D0B" w:rsidP="003F0EEA">
            <w:pPr>
              <w:pStyle w:val="TableTextBullet7"/>
            </w:pPr>
            <w:r w:rsidRPr="00996D9D">
              <w:t>Provide incapacity payments, non-economic loss lump sums/pensions for injuries resulting in permanent disability and payments to dependants of deceased employees under the MRCA and SRCA.</w:t>
            </w:r>
          </w:p>
          <w:p w14:paraId="2DDBAB66" w14:textId="77777777" w:rsidR="003F0EEA" w:rsidRPr="00996D9D" w:rsidRDefault="00FB7D0B" w:rsidP="003F0EEA">
            <w:pPr>
              <w:pStyle w:val="TableTextBullet7"/>
            </w:pPr>
            <w:r>
              <w:t>Administer individual merit reviews for MRCA and SRCA decisions.</w:t>
            </w:r>
          </w:p>
        </w:tc>
      </w:tr>
      <w:tr w:rsidR="00724034" w14:paraId="13C8516C" w14:textId="77777777">
        <w:tblPrEx>
          <w:shd w:val="clear" w:color="auto" w:fill="auto"/>
          <w:tblLook w:val="04A0" w:firstRow="1" w:lastRow="0" w:firstColumn="1" w:lastColumn="0" w:noHBand="0" w:noVBand="1"/>
        </w:tblPrEx>
        <w:trPr>
          <w:trHeight w:val="225"/>
        </w:trPr>
        <w:tc>
          <w:tcPr>
            <w:tcW w:w="3210" w:type="dxa"/>
            <w:tcBorders>
              <w:top w:val="single" w:sz="6" w:space="0" w:color="000000"/>
              <w:left w:val="single" w:sz="6" w:space="0" w:color="000000"/>
              <w:bottom w:val="nil"/>
              <w:right w:val="nil"/>
              <w:tl2br w:val="nil"/>
              <w:tr2bl w:val="nil"/>
            </w:tcBorders>
            <w:shd w:val="clear" w:color="auto" w:fill="FFFFFF"/>
            <w:tcMar>
              <w:left w:w="115" w:type="dxa"/>
              <w:right w:w="115" w:type="dxa"/>
            </w:tcMar>
            <w:vAlign w:val="bottom"/>
          </w:tcPr>
          <w:p w14:paraId="646848A8" w14:textId="77777777" w:rsidR="00724034" w:rsidRDefault="00724034">
            <w:pPr>
              <w:jc w:val="center"/>
            </w:pPr>
          </w:p>
        </w:tc>
        <w:tc>
          <w:tcPr>
            <w:tcW w:w="975"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0FB83A1D" w14:textId="77777777" w:rsidR="00724034" w:rsidRDefault="00FB7D0B">
            <w:pPr>
              <w:jc w:val="right"/>
              <w:rPr>
                <w:rFonts w:ascii="Arial" w:eastAsia="Arial" w:hAnsi="Arial" w:cs="Arial"/>
                <w:b/>
                <w:color w:val="000000"/>
                <w:sz w:val="16"/>
              </w:rPr>
            </w:pPr>
            <w:r>
              <w:rPr>
                <w:rFonts w:ascii="Arial" w:eastAsia="Arial" w:hAnsi="Arial" w:cs="Arial"/>
                <w:color w:val="000000"/>
                <w:sz w:val="16"/>
              </w:rPr>
              <w:t>2013-14</w:t>
            </w:r>
          </w:p>
        </w:tc>
        <w:tc>
          <w:tcPr>
            <w:tcW w:w="975" w:type="dxa"/>
            <w:tcBorders>
              <w:top w:val="single" w:sz="6" w:space="0" w:color="000000"/>
              <w:left w:val="nil"/>
              <w:bottom w:val="nil"/>
              <w:right w:val="nil"/>
              <w:tl2br w:val="nil"/>
              <w:tr2bl w:val="nil"/>
            </w:tcBorders>
            <w:shd w:val="clear" w:color="auto" w:fill="FFFF00"/>
            <w:tcMar>
              <w:left w:w="115" w:type="dxa"/>
              <w:right w:w="115" w:type="dxa"/>
            </w:tcMar>
            <w:vAlign w:val="bottom"/>
          </w:tcPr>
          <w:p w14:paraId="299A1F49" w14:textId="77777777" w:rsidR="00724034" w:rsidRDefault="00FB7D0B">
            <w:pPr>
              <w:jc w:val="right"/>
              <w:rPr>
                <w:rFonts w:ascii="Arial" w:eastAsia="Arial" w:hAnsi="Arial" w:cs="Arial"/>
                <w:color w:val="000000"/>
                <w:sz w:val="16"/>
              </w:rPr>
            </w:pPr>
            <w:r>
              <w:rPr>
                <w:rFonts w:ascii="Arial" w:eastAsia="Arial" w:hAnsi="Arial" w:cs="Arial"/>
                <w:color w:val="000000"/>
                <w:sz w:val="16"/>
              </w:rPr>
              <w:t>2014-15</w:t>
            </w:r>
          </w:p>
        </w:tc>
        <w:tc>
          <w:tcPr>
            <w:tcW w:w="975"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18AF0891" w14:textId="77777777" w:rsidR="00724034" w:rsidRDefault="00FB7D0B">
            <w:pPr>
              <w:jc w:val="right"/>
              <w:rPr>
                <w:rFonts w:ascii="Arial" w:eastAsia="Arial" w:hAnsi="Arial" w:cs="Arial"/>
                <w:color w:val="000000"/>
                <w:sz w:val="16"/>
              </w:rPr>
            </w:pPr>
            <w:r>
              <w:rPr>
                <w:rFonts w:ascii="Arial" w:eastAsia="Arial" w:hAnsi="Arial" w:cs="Arial"/>
                <w:color w:val="000000"/>
                <w:sz w:val="16"/>
              </w:rPr>
              <w:t>2015-16</w:t>
            </w:r>
          </w:p>
        </w:tc>
        <w:tc>
          <w:tcPr>
            <w:tcW w:w="975"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0DE85C60" w14:textId="77777777" w:rsidR="00724034" w:rsidRDefault="00FB7D0B">
            <w:pPr>
              <w:jc w:val="right"/>
              <w:rPr>
                <w:rFonts w:ascii="Arial" w:eastAsia="Arial" w:hAnsi="Arial" w:cs="Arial"/>
                <w:color w:val="000000"/>
                <w:sz w:val="16"/>
              </w:rPr>
            </w:pPr>
            <w:r>
              <w:rPr>
                <w:rFonts w:ascii="Arial" w:eastAsia="Arial" w:hAnsi="Arial" w:cs="Arial"/>
                <w:color w:val="000000"/>
                <w:sz w:val="16"/>
              </w:rPr>
              <w:t>2016-17</w:t>
            </w:r>
          </w:p>
        </w:tc>
        <w:tc>
          <w:tcPr>
            <w:tcW w:w="975" w:type="dxa"/>
            <w:tcBorders>
              <w:top w:val="single" w:sz="6" w:space="0" w:color="000000"/>
              <w:left w:val="nil"/>
              <w:bottom w:val="nil"/>
              <w:right w:val="single" w:sz="6" w:space="0" w:color="000000"/>
              <w:tl2br w:val="nil"/>
              <w:tr2bl w:val="nil"/>
            </w:tcBorders>
            <w:shd w:val="clear" w:color="auto" w:fill="FFFFFF"/>
            <w:tcMar>
              <w:left w:w="115" w:type="dxa"/>
              <w:right w:w="115" w:type="dxa"/>
            </w:tcMar>
            <w:vAlign w:val="bottom"/>
          </w:tcPr>
          <w:p w14:paraId="262C7D1C" w14:textId="77777777" w:rsidR="00724034" w:rsidRDefault="00FB7D0B">
            <w:pPr>
              <w:jc w:val="right"/>
              <w:rPr>
                <w:rFonts w:ascii="Arial" w:eastAsia="Arial" w:hAnsi="Arial" w:cs="Arial"/>
                <w:color w:val="000000"/>
                <w:sz w:val="16"/>
              </w:rPr>
            </w:pPr>
            <w:r>
              <w:rPr>
                <w:rFonts w:ascii="Arial" w:eastAsia="Arial" w:hAnsi="Arial" w:cs="Arial"/>
                <w:color w:val="000000"/>
                <w:sz w:val="16"/>
              </w:rPr>
              <w:t>2017-18</w:t>
            </w:r>
          </w:p>
        </w:tc>
      </w:tr>
      <w:tr w:rsidR="00724034" w14:paraId="0BE7D92E" w14:textId="77777777">
        <w:tblPrEx>
          <w:shd w:val="clear" w:color="auto" w:fill="auto"/>
          <w:tblLook w:val="04A0" w:firstRow="1" w:lastRow="0" w:firstColumn="1" w:lastColumn="0" w:noHBand="0" w:noVBand="1"/>
        </w:tblPrEx>
        <w:trPr>
          <w:trHeight w:val="225"/>
        </w:trPr>
        <w:tc>
          <w:tcPr>
            <w:tcW w:w="3210" w:type="dxa"/>
            <w:tcBorders>
              <w:top w:val="nil"/>
              <w:left w:val="single" w:sz="6" w:space="0" w:color="000000"/>
              <w:bottom w:val="nil"/>
              <w:right w:val="nil"/>
              <w:tl2br w:val="nil"/>
              <w:tr2bl w:val="nil"/>
            </w:tcBorders>
            <w:shd w:val="clear" w:color="auto" w:fill="FFFFFF"/>
            <w:tcMar>
              <w:left w:w="115" w:type="dxa"/>
              <w:right w:w="115" w:type="dxa"/>
            </w:tcMar>
            <w:vAlign w:val="bottom"/>
          </w:tcPr>
          <w:p w14:paraId="06E86332" w14:textId="77777777" w:rsidR="00724034" w:rsidRDefault="00724034">
            <w:pPr>
              <w:rPr>
                <w:rFonts w:ascii="Arial" w:eastAsia="Arial" w:hAnsi="Arial" w:cs="Arial"/>
                <w:color w:val="000000"/>
                <w:sz w:val="16"/>
              </w:rPr>
            </w:pPr>
          </w:p>
        </w:tc>
        <w:tc>
          <w:tcPr>
            <w:tcW w:w="975" w:type="dxa"/>
            <w:tcBorders>
              <w:top w:val="nil"/>
              <w:left w:val="nil"/>
              <w:bottom w:val="nil"/>
              <w:right w:val="nil"/>
              <w:tl2br w:val="nil"/>
              <w:tr2bl w:val="nil"/>
            </w:tcBorders>
            <w:shd w:val="clear" w:color="auto" w:fill="FFFFFF"/>
            <w:tcMar>
              <w:left w:w="115" w:type="dxa"/>
              <w:right w:w="115" w:type="dxa"/>
            </w:tcMar>
            <w:vAlign w:val="bottom"/>
          </w:tcPr>
          <w:p w14:paraId="1C32292B" w14:textId="77777777" w:rsidR="00724034" w:rsidRDefault="00FB7D0B">
            <w:pPr>
              <w:jc w:val="right"/>
              <w:rPr>
                <w:rFonts w:ascii="Arial" w:eastAsia="Arial" w:hAnsi="Arial" w:cs="Arial"/>
                <w:color w:val="000000"/>
                <w:sz w:val="16"/>
              </w:rPr>
            </w:pPr>
            <w:r>
              <w:rPr>
                <w:rFonts w:ascii="Arial" w:eastAsia="Arial" w:hAnsi="Arial" w:cs="Arial"/>
                <w:color w:val="000000"/>
                <w:sz w:val="16"/>
              </w:rPr>
              <w:t>Revised</w:t>
            </w:r>
          </w:p>
        </w:tc>
        <w:tc>
          <w:tcPr>
            <w:tcW w:w="975" w:type="dxa"/>
            <w:tcBorders>
              <w:top w:val="nil"/>
              <w:left w:val="nil"/>
              <w:bottom w:val="nil"/>
              <w:right w:val="nil"/>
              <w:tl2br w:val="nil"/>
              <w:tr2bl w:val="nil"/>
            </w:tcBorders>
            <w:shd w:val="clear" w:color="auto" w:fill="FFFF00"/>
            <w:tcMar>
              <w:left w:w="115" w:type="dxa"/>
              <w:right w:w="115" w:type="dxa"/>
            </w:tcMar>
            <w:vAlign w:val="bottom"/>
          </w:tcPr>
          <w:p w14:paraId="4B620C58" w14:textId="77777777" w:rsidR="00724034" w:rsidRDefault="00FB7D0B">
            <w:pPr>
              <w:jc w:val="right"/>
              <w:rPr>
                <w:rFonts w:ascii="Arial" w:eastAsia="Arial" w:hAnsi="Arial" w:cs="Arial"/>
                <w:color w:val="000000"/>
                <w:sz w:val="16"/>
              </w:rPr>
            </w:pPr>
            <w:r>
              <w:rPr>
                <w:rFonts w:ascii="Arial" w:eastAsia="Arial" w:hAnsi="Arial" w:cs="Arial"/>
                <w:color w:val="000000"/>
                <w:sz w:val="16"/>
              </w:rPr>
              <w:t>Budget</w:t>
            </w:r>
          </w:p>
        </w:tc>
        <w:tc>
          <w:tcPr>
            <w:tcW w:w="975" w:type="dxa"/>
            <w:tcBorders>
              <w:top w:val="nil"/>
              <w:left w:val="nil"/>
              <w:bottom w:val="nil"/>
              <w:right w:val="nil"/>
              <w:tl2br w:val="nil"/>
              <w:tr2bl w:val="nil"/>
            </w:tcBorders>
            <w:shd w:val="clear" w:color="auto" w:fill="FFFFFF"/>
            <w:tcMar>
              <w:left w:w="115" w:type="dxa"/>
              <w:right w:w="115" w:type="dxa"/>
            </w:tcMar>
            <w:vAlign w:val="bottom"/>
          </w:tcPr>
          <w:p w14:paraId="0B806EE1" w14:textId="77777777" w:rsidR="00724034" w:rsidRDefault="00FB7D0B">
            <w:pPr>
              <w:jc w:val="right"/>
              <w:rPr>
                <w:rFonts w:ascii="Arial" w:eastAsia="Arial" w:hAnsi="Arial" w:cs="Arial"/>
                <w:color w:val="000000"/>
                <w:sz w:val="16"/>
              </w:rPr>
            </w:pPr>
            <w:r>
              <w:rPr>
                <w:rFonts w:ascii="Arial" w:eastAsia="Arial" w:hAnsi="Arial" w:cs="Arial"/>
                <w:color w:val="000000"/>
                <w:sz w:val="16"/>
              </w:rPr>
              <w:t>Forward</w:t>
            </w:r>
          </w:p>
        </w:tc>
        <w:tc>
          <w:tcPr>
            <w:tcW w:w="975" w:type="dxa"/>
            <w:tcBorders>
              <w:top w:val="nil"/>
              <w:left w:val="nil"/>
              <w:bottom w:val="nil"/>
              <w:right w:val="nil"/>
              <w:tl2br w:val="nil"/>
              <w:tr2bl w:val="nil"/>
            </w:tcBorders>
            <w:shd w:val="clear" w:color="auto" w:fill="FFFFFF"/>
            <w:tcMar>
              <w:left w:w="115" w:type="dxa"/>
              <w:right w:w="115" w:type="dxa"/>
            </w:tcMar>
            <w:vAlign w:val="bottom"/>
          </w:tcPr>
          <w:p w14:paraId="592A5839" w14:textId="77777777" w:rsidR="00724034" w:rsidRDefault="00FB7D0B">
            <w:pPr>
              <w:jc w:val="right"/>
              <w:rPr>
                <w:rFonts w:ascii="Arial" w:eastAsia="Arial" w:hAnsi="Arial" w:cs="Arial"/>
                <w:color w:val="000000"/>
                <w:sz w:val="16"/>
              </w:rPr>
            </w:pPr>
            <w:r>
              <w:rPr>
                <w:rFonts w:ascii="Arial" w:eastAsia="Arial" w:hAnsi="Arial" w:cs="Arial"/>
                <w:color w:val="000000"/>
                <w:sz w:val="16"/>
              </w:rPr>
              <w:t>Forward</w:t>
            </w:r>
          </w:p>
        </w:tc>
        <w:tc>
          <w:tcPr>
            <w:tcW w:w="975" w:type="dxa"/>
            <w:tcBorders>
              <w:top w:val="nil"/>
              <w:left w:val="nil"/>
              <w:bottom w:val="nil"/>
              <w:right w:val="single" w:sz="6" w:space="0" w:color="000000"/>
              <w:tl2br w:val="nil"/>
              <w:tr2bl w:val="nil"/>
            </w:tcBorders>
            <w:shd w:val="clear" w:color="auto" w:fill="FFFFFF"/>
            <w:tcMar>
              <w:left w:w="115" w:type="dxa"/>
              <w:right w:w="115" w:type="dxa"/>
            </w:tcMar>
            <w:vAlign w:val="bottom"/>
          </w:tcPr>
          <w:p w14:paraId="48875C2C" w14:textId="77777777" w:rsidR="00724034" w:rsidRDefault="00FB7D0B">
            <w:pPr>
              <w:jc w:val="right"/>
              <w:rPr>
                <w:rFonts w:ascii="Arial" w:eastAsia="Arial" w:hAnsi="Arial" w:cs="Arial"/>
                <w:color w:val="000000"/>
                <w:sz w:val="16"/>
              </w:rPr>
            </w:pPr>
            <w:r>
              <w:rPr>
                <w:rFonts w:ascii="Arial" w:eastAsia="Arial" w:hAnsi="Arial" w:cs="Arial"/>
                <w:color w:val="000000"/>
                <w:sz w:val="16"/>
              </w:rPr>
              <w:t>Forward</w:t>
            </w:r>
          </w:p>
        </w:tc>
      </w:tr>
      <w:tr w:rsidR="00724034" w14:paraId="681D9B8E" w14:textId="77777777">
        <w:tblPrEx>
          <w:shd w:val="clear" w:color="auto" w:fill="auto"/>
          <w:tblLook w:val="04A0" w:firstRow="1" w:lastRow="0" w:firstColumn="1" w:lastColumn="0" w:noHBand="0" w:noVBand="1"/>
        </w:tblPrEx>
        <w:trPr>
          <w:trHeight w:val="225"/>
        </w:trPr>
        <w:tc>
          <w:tcPr>
            <w:tcW w:w="3210" w:type="dxa"/>
            <w:tcBorders>
              <w:top w:val="nil"/>
              <w:left w:val="single" w:sz="6" w:space="0" w:color="000000"/>
              <w:bottom w:val="single" w:sz="6" w:space="0" w:color="000000"/>
              <w:right w:val="nil"/>
              <w:tl2br w:val="nil"/>
              <w:tr2bl w:val="nil"/>
            </w:tcBorders>
            <w:shd w:val="clear" w:color="auto" w:fill="FFFFFF"/>
            <w:tcMar>
              <w:left w:w="115" w:type="dxa"/>
              <w:right w:w="115" w:type="dxa"/>
            </w:tcMar>
            <w:vAlign w:val="bottom"/>
          </w:tcPr>
          <w:p w14:paraId="58838157" w14:textId="77777777" w:rsidR="00724034" w:rsidRDefault="00FB7D0B">
            <w:pPr>
              <w:rPr>
                <w:rFonts w:ascii="Arial" w:eastAsia="Arial" w:hAnsi="Arial" w:cs="Arial"/>
                <w:color w:val="000000"/>
                <w:sz w:val="16"/>
              </w:rPr>
            </w:pPr>
            <w:r>
              <w:rPr>
                <w:rFonts w:ascii="Arial" w:eastAsia="Arial" w:hAnsi="Arial" w:cs="Arial"/>
                <w:color w:val="000000"/>
                <w:sz w:val="16"/>
              </w:rPr>
              <w:t xml:space="preserve">Deliverables </w:t>
            </w:r>
          </w:p>
        </w:tc>
        <w:tc>
          <w:tcPr>
            <w:tcW w:w="975"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4805D952" w14:textId="77777777" w:rsidR="00724034" w:rsidRDefault="00FB7D0B">
            <w:pPr>
              <w:jc w:val="right"/>
              <w:rPr>
                <w:rFonts w:ascii="Arial" w:eastAsia="Arial" w:hAnsi="Arial" w:cs="Arial"/>
                <w:color w:val="000000"/>
                <w:sz w:val="16"/>
              </w:rPr>
            </w:pPr>
            <w:r>
              <w:rPr>
                <w:rFonts w:ascii="Arial" w:eastAsia="Arial" w:hAnsi="Arial" w:cs="Arial"/>
                <w:color w:val="000000"/>
                <w:sz w:val="16"/>
              </w:rPr>
              <w:t>budget</w:t>
            </w:r>
          </w:p>
        </w:tc>
        <w:tc>
          <w:tcPr>
            <w:tcW w:w="975" w:type="dxa"/>
            <w:tcBorders>
              <w:top w:val="nil"/>
              <w:left w:val="nil"/>
              <w:bottom w:val="single" w:sz="6" w:space="0" w:color="000000"/>
              <w:right w:val="nil"/>
              <w:tl2br w:val="nil"/>
              <w:tr2bl w:val="nil"/>
            </w:tcBorders>
            <w:shd w:val="clear" w:color="auto" w:fill="FFFF00"/>
            <w:tcMar>
              <w:left w:w="115" w:type="dxa"/>
              <w:right w:w="115" w:type="dxa"/>
            </w:tcMar>
            <w:vAlign w:val="bottom"/>
          </w:tcPr>
          <w:p w14:paraId="236EFC27" w14:textId="77777777" w:rsidR="00724034" w:rsidRDefault="00724034">
            <w:pPr>
              <w:jc w:val="right"/>
              <w:rPr>
                <w:rFonts w:ascii="Arial" w:eastAsia="Arial" w:hAnsi="Arial" w:cs="Arial"/>
                <w:color w:val="000000"/>
                <w:sz w:val="16"/>
              </w:rPr>
            </w:pPr>
          </w:p>
        </w:tc>
        <w:tc>
          <w:tcPr>
            <w:tcW w:w="975"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73CC2414" w14:textId="77777777" w:rsidR="00724034" w:rsidRDefault="00FB7D0B">
            <w:pPr>
              <w:jc w:val="right"/>
              <w:rPr>
                <w:rFonts w:ascii="Arial" w:eastAsia="Arial" w:hAnsi="Arial" w:cs="Arial"/>
                <w:color w:val="000000"/>
                <w:sz w:val="16"/>
              </w:rPr>
            </w:pPr>
            <w:r>
              <w:rPr>
                <w:rFonts w:ascii="Arial" w:eastAsia="Arial" w:hAnsi="Arial" w:cs="Arial"/>
                <w:color w:val="000000"/>
                <w:sz w:val="16"/>
              </w:rPr>
              <w:t>year 1</w:t>
            </w:r>
          </w:p>
        </w:tc>
        <w:tc>
          <w:tcPr>
            <w:tcW w:w="975"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79911124" w14:textId="77777777" w:rsidR="00724034" w:rsidRDefault="00FB7D0B">
            <w:pPr>
              <w:jc w:val="right"/>
              <w:rPr>
                <w:rFonts w:ascii="Arial" w:eastAsia="Arial" w:hAnsi="Arial" w:cs="Arial"/>
                <w:color w:val="000000"/>
                <w:sz w:val="16"/>
              </w:rPr>
            </w:pPr>
            <w:r>
              <w:rPr>
                <w:rFonts w:ascii="Arial" w:eastAsia="Arial" w:hAnsi="Arial" w:cs="Arial"/>
                <w:color w:val="000000"/>
                <w:sz w:val="16"/>
              </w:rPr>
              <w:t>year 2</w:t>
            </w:r>
          </w:p>
        </w:tc>
        <w:tc>
          <w:tcPr>
            <w:tcW w:w="975" w:type="dxa"/>
            <w:tcBorders>
              <w:top w:val="nil"/>
              <w:left w:val="nil"/>
              <w:bottom w:val="single" w:sz="6" w:space="0" w:color="000000"/>
              <w:right w:val="single" w:sz="6" w:space="0" w:color="000000"/>
              <w:tl2br w:val="nil"/>
              <w:tr2bl w:val="nil"/>
            </w:tcBorders>
            <w:shd w:val="clear" w:color="auto" w:fill="FFFFFF"/>
            <w:tcMar>
              <w:left w:w="115" w:type="dxa"/>
              <w:right w:w="115" w:type="dxa"/>
            </w:tcMar>
            <w:vAlign w:val="bottom"/>
          </w:tcPr>
          <w:p w14:paraId="4D4B9846" w14:textId="77777777" w:rsidR="00724034" w:rsidRDefault="00FB7D0B">
            <w:pPr>
              <w:jc w:val="right"/>
              <w:rPr>
                <w:rFonts w:ascii="Arial" w:eastAsia="Arial" w:hAnsi="Arial" w:cs="Arial"/>
                <w:color w:val="000000"/>
                <w:sz w:val="16"/>
              </w:rPr>
            </w:pPr>
            <w:r>
              <w:rPr>
                <w:rFonts w:ascii="Arial" w:eastAsia="Arial" w:hAnsi="Arial" w:cs="Arial"/>
                <w:color w:val="000000"/>
                <w:sz w:val="16"/>
              </w:rPr>
              <w:t>year 3</w:t>
            </w:r>
          </w:p>
        </w:tc>
      </w:tr>
      <w:tr w:rsidR="00724034" w14:paraId="491E0074" w14:textId="77777777">
        <w:tblPrEx>
          <w:shd w:val="clear" w:color="auto" w:fill="auto"/>
          <w:tblLook w:val="04A0" w:firstRow="1" w:lastRow="0" w:firstColumn="1" w:lastColumn="0" w:noHBand="0" w:noVBand="1"/>
        </w:tblPrEx>
        <w:trPr>
          <w:trHeight w:hRule="exact" w:val="60"/>
        </w:trPr>
        <w:tc>
          <w:tcPr>
            <w:tcW w:w="3210" w:type="dxa"/>
            <w:tcBorders>
              <w:top w:val="single" w:sz="6" w:space="0" w:color="000000"/>
              <w:left w:val="single" w:sz="6" w:space="0" w:color="000000"/>
              <w:bottom w:val="nil"/>
              <w:right w:val="nil"/>
              <w:tl2br w:val="nil"/>
              <w:tr2bl w:val="nil"/>
            </w:tcBorders>
            <w:shd w:val="clear" w:color="auto" w:fill="FFFFFF"/>
            <w:tcMar>
              <w:left w:w="115" w:type="dxa"/>
              <w:right w:w="115" w:type="dxa"/>
            </w:tcMar>
            <w:vAlign w:val="bottom"/>
          </w:tcPr>
          <w:p w14:paraId="52E58687" w14:textId="77777777" w:rsidR="00724034" w:rsidRDefault="00724034">
            <w:pPr>
              <w:rPr>
                <w:rFonts w:ascii="Arial" w:eastAsia="Arial" w:hAnsi="Arial" w:cs="Arial"/>
                <w:color w:val="000000"/>
                <w:sz w:val="16"/>
              </w:rPr>
            </w:pPr>
          </w:p>
        </w:tc>
        <w:tc>
          <w:tcPr>
            <w:tcW w:w="975"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4A66D11E" w14:textId="77777777" w:rsidR="00724034" w:rsidRDefault="00724034">
            <w:pPr>
              <w:jc w:val="right"/>
              <w:rPr>
                <w:rFonts w:ascii="Arial" w:eastAsia="Arial" w:hAnsi="Arial" w:cs="Arial"/>
                <w:color w:val="000000"/>
                <w:sz w:val="16"/>
              </w:rPr>
            </w:pPr>
          </w:p>
        </w:tc>
        <w:tc>
          <w:tcPr>
            <w:tcW w:w="975" w:type="dxa"/>
            <w:tcBorders>
              <w:top w:val="single" w:sz="6" w:space="0" w:color="000000"/>
              <w:left w:val="nil"/>
              <w:bottom w:val="nil"/>
              <w:right w:val="nil"/>
              <w:tl2br w:val="nil"/>
              <w:tr2bl w:val="nil"/>
            </w:tcBorders>
            <w:shd w:val="clear" w:color="auto" w:fill="FFFF00"/>
            <w:tcMar>
              <w:left w:w="115" w:type="dxa"/>
              <w:right w:w="115" w:type="dxa"/>
            </w:tcMar>
            <w:vAlign w:val="bottom"/>
          </w:tcPr>
          <w:p w14:paraId="65715133" w14:textId="77777777" w:rsidR="00724034" w:rsidRDefault="00724034">
            <w:pPr>
              <w:jc w:val="right"/>
              <w:rPr>
                <w:rFonts w:ascii="Arial" w:eastAsia="Arial" w:hAnsi="Arial" w:cs="Arial"/>
                <w:color w:val="000000"/>
                <w:sz w:val="16"/>
              </w:rPr>
            </w:pPr>
          </w:p>
        </w:tc>
        <w:tc>
          <w:tcPr>
            <w:tcW w:w="975"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4745018C" w14:textId="77777777" w:rsidR="00724034" w:rsidRDefault="00724034">
            <w:pPr>
              <w:jc w:val="right"/>
              <w:rPr>
                <w:rFonts w:ascii="Arial" w:eastAsia="Arial" w:hAnsi="Arial" w:cs="Arial"/>
                <w:color w:val="000000"/>
                <w:sz w:val="16"/>
              </w:rPr>
            </w:pPr>
          </w:p>
        </w:tc>
        <w:tc>
          <w:tcPr>
            <w:tcW w:w="975"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3D59208A" w14:textId="77777777" w:rsidR="00724034" w:rsidRDefault="00724034">
            <w:pPr>
              <w:jc w:val="right"/>
              <w:rPr>
                <w:rFonts w:ascii="Arial" w:eastAsia="Arial" w:hAnsi="Arial" w:cs="Arial"/>
                <w:color w:val="000000"/>
                <w:sz w:val="16"/>
              </w:rPr>
            </w:pPr>
          </w:p>
        </w:tc>
        <w:tc>
          <w:tcPr>
            <w:tcW w:w="975" w:type="dxa"/>
            <w:tcBorders>
              <w:top w:val="single" w:sz="6" w:space="0" w:color="000000"/>
              <w:left w:val="nil"/>
              <w:bottom w:val="nil"/>
              <w:right w:val="single" w:sz="6" w:space="0" w:color="000000"/>
              <w:tl2br w:val="nil"/>
              <w:tr2bl w:val="nil"/>
            </w:tcBorders>
            <w:shd w:val="clear" w:color="auto" w:fill="FFFFFF"/>
            <w:tcMar>
              <w:left w:w="115" w:type="dxa"/>
              <w:right w:w="115" w:type="dxa"/>
            </w:tcMar>
            <w:vAlign w:val="bottom"/>
          </w:tcPr>
          <w:p w14:paraId="1F422F51" w14:textId="77777777" w:rsidR="00724034" w:rsidRDefault="00724034">
            <w:pPr>
              <w:jc w:val="right"/>
              <w:rPr>
                <w:rFonts w:ascii="Arial" w:eastAsia="Arial" w:hAnsi="Arial" w:cs="Arial"/>
                <w:color w:val="000000"/>
                <w:sz w:val="16"/>
              </w:rPr>
            </w:pPr>
          </w:p>
        </w:tc>
      </w:tr>
      <w:tr w:rsidR="00724034" w14:paraId="06F7B463" w14:textId="77777777">
        <w:tblPrEx>
          <w:shd w:val="clear" w:color="auto" w:fill="auto"/>
          <w:tblLook w:val="04A0" w:firstRow="1" w:lastRow="0" w:firstColumn="1" w:lastColumn="0" w:noHBand="0" w:noVBand="1"/>
        </w:tblPrEx>
        <w:trPr>
          <w:trHeight w:val="450"/>
        </w:trPr>
        <w:tc>
          <w:tcPr>
            <w:tcW w:w="3210" w:type="dxa"/>
            <w:tcBorders>
              <w:top w:val="nil"/>
              <w:left w:val="single" w:sz="6" w:space="0" w:color="000000"/>
              <w:bottom w:val="nil"/>
              <w:right w:val="nil"/>
              <w:tl2br w:val="nil"/>
              <w:tr2bl w:val="nil"/>
            </w:tcBorders>
            <w:shd w:val="clear" w:color="auto" w:fill="FFFFFF"/>
            <w:tcMar>
              <w:left w:w="115" w:type="dxa"/>
              <w:right w:w="115" w:type="dxa"/>
            </w:tcMar>
            <w:vAlign w:val="bottom"/>
          </w:tcPr>
          <w:p w14:paraId="1F044DAA" w14:textId="77777777" w:rsidR="00724034" w:rsidRDefault="00FB7D0B">
            <w:pPr>
              <w:rPr>
                <w:rFonts w:ascii="Arial" w:eastAsia="Arial" w:hAnsi="Arial" w:cs="Arial"/>
                <w:color w:val="000000"/>
                <w:sz w:val="16"/>
              </w:rPr>
            </w:pPr>
            <w:r>
              <w:rPr>
                <w:rFonts w:ascii="Arial" w:eastAsia="Arial" w:hAnsi="Arial" w:cs="Arial"/>
                <w:color w:val="000000"/>
                <w:sz w:val="16"/>
              </w:rPr>
              <w:t>Quantity: Number of incapacity payees under the SRCA</w:t>
            </w:r>
          </w:p>
        </w:tc>
        <w:tc>
          <w:tcPr>
            <w:tcW w:w="975" w:type="dxa"/>
            <w:tcBorders>
              <w:top w:val="nil"/>
              <w:left w:val="nil"/>
              <w:bottom w:val="nil"/>
              <w:right w:val="nil"/>
              <w:tl2br w:val="nil"/>
              <w:tr2bl w:val="nil"/>
            </w:tcBorders>
            <w:shd w:val="clear" w:color="auto" w:fill="FFFFFF"/>
            <w:tcMar>
              <w:left w:w="115" w:type="dxa"/>
              <w:right w:w="115" w:type="dxa"/>
            </w:tcMar>
            <w:vAlign w:val="bottom"/>
          </w:tcPr>
          <w:p w14:paraId="03243F57" w14:textId="77777777" w:rsidR="00724034" w:rsidRDefault="00FB7D0B">
            <w:pPr>
              <w:jc w:val="right"/>
              <w:rPr>
                <w:rFonts w:ascii="Arial" w:eastAsia="Arial" w:hAnsi="Arial" w:cs="Arial"/>
                <w:color w:val="000000"/>
                <w:sz w:val="16"/>
              </w:rPr>
            </w:pPr>
            <w:r>
              <w:rPr>
                <w:rFonts w:ascii="Arial" w:eastAsia="Arial" w:hAnsi="Arial" w:cs="Arial"/>
                <w:color w:val="000000"/>
                <w:sz w:val="16"/>
              </w:rPr>
              <w:t xml:space="preserve"> 2,290 </w:t>
            </w:r>
          </w:p>
        </w:tc>
        <w:tc>
          <w:tcPr>
            <w:tcW w:w="975" w:type="dxa"/>
            <w:tcBorders>
              <w:top w:val="nil"/>
              <w:left w:val="nil"/>
              <w:bottom w:val="nil"/>
              <w:right w:val="nil"/>
              <w:tl2br w:val="nil"/>
              <w:tr2bl w:val="nil"/>
            </w:tcBorders>
            <w:shd w:val="clear" w:color="auto" w:fill="FFFF00"/>
            <w:tcMar>
              <w:left w:w="115" w:type="dxa"/>
              <w:right w:w="115" w:type="dxa"/>
            </w:tcMar>
            <w:vAlign w:val="bottom"/>
          </w:tcPr>
          <w:p w14:paraId="209E9226" w14:textId="77777777" w:rsidR="00724034" w:rsidRDefault="00FB7D0B">
            <w:pPr>
              <w:jc w:val="right"/>
              <w:rPr>
                <w:rFonts w:ascii="Arial" w:eastAsia="Arial" w:hAnsi="Arial" w:cs="Arial"/>
                <w:color w:val="000000"/>
                <w:sz w:val="16"/>
              </w:rPr>
            </w:pPr>
            <w:r>
              <w:rPr>
                <w:rFonts w:ascii="Arial" w:eastAsia="Arial" w:hAnsi="Arial" w:cs="Arial"/>
                <w:color w:val="000000"/>
                <w:sz w:val="16"/>
              </w:rPr>
              <w:t xml:space="preserve"> 2,230 </w:t>
            </w:r>
          </w:p>
        </w:tc>
        <w:tc>
          <w:tcPr>
            <w:tcW w:w="975" w:type="dxa"/>
            <w:tcBorders>
              <w:top w:val="nil"/>
              <w:left w:val="nil"/>
              <w:bottom w:val="nil"/>
              <w:right w:val="nil"/>
              <w:tl2br w:val="nil"/>
              <w:tr2bl w:val="nil"/>
            </w:tcBorders>
            <w:shd w:val="clear" w:color="auto" w:fill="FFFFFF"/>
            <w:tcMar>
              <w:left w:w="115" w:type="dxa"/>
              <w:right w:w="115" w:type="dxa"/>
            </w:tcMar>
            <w:vAlign w:val="bottom"/>
          </w:tcPr>
          <w:p w14:paraId="7E596F5B" w14:textId="77777777" w:rsidR="00724034" w:rsidRDefault="00FB7D0B">
            <w:pPr>
              <w:jc w:val="right"/>
              <w:rPr>
                <w:rFonts w:ascii="Arial" w:eastAsia="Arial" w:hAnsi="Arial" w:cs="Arial"/>
                <w:color w:val="000000"/>
                <w:sz w:val="16"/>
              </w:rPr>
            </w:pPr>
            <w:r>
              <w:rPr>
                <w:rFonts w:ascii="Arial" w:eastAsia="Arial" w:hAnsi="Arial" w:cs="Arial"/>
                <w:color w:val="000000"/>
                <w:sz w:val="16"/>
              </w:rPr>
              <w:t xml:space="preserve"> 2,170 </w:t>
            </w:r>
          </w:p>
        </w:tc>
        <w:tc>
          <w:tcPr>
            <w:tcW w:w="975" w:type="dxa"/>
            <w:tcBorders>
              <w:top w:val="nil"/>
              <w:left w:val="nil"/>
              <w:bottom w:val="nil"/>
              <w:right w:val="nil"/>
              <w:tl2br w:val="nil"/>
              <w:tr2bl w:val="nil"/>
            </w:tcBorders>
            <w:shd w:val="clear" w:color="auto" w:fill="FFFFFF"/>
            <w:tcMar>
              <w:left w:w="115" w:type="dxa"/>
              <w:right w:w="115" w:type="dxa"/>
            </w:tcMar>
            <w:vAlign w:val="bottom"/>
          </w:tcPr>
          <w:p w14:paraId="4811E5B4" w14:textId="77777777" w:rsidR="00724034" w:rsidRDefault="00FB7D0B">
            <w:pPr>
              <w:jc w:val="right"/>
              <w:rPr>
                <w:rFonts w:ascii="Arial" w:eastAsia="Arial" w:hAnsi="Arial" w:cs="Arial"/>
                <w:color w:val="000000"/>
                <w:sz w:val="16"/>
              </w:rPr>
            </w:pPr>
            <w:r>
              <w:rPr>
                <w:rFonts w:ascii="Arial" w:eastAsia="Arial" w:hAnsi="Arial" w:cs="Arial"/>
                <w:color w:val="000000"/>
                <w:sz w:val="16"/>
              </w:rPr>
              <w:t xml:space="preserve"> 2,110 </w:t>
            </w:r>
          </w:p>
        </w:tc>
        <w:tc>
          <w:tcPr>
            <w:tcW w:w="975" w:type="dxa"/>
            <w:tcBorders>
              <w:top w:val="nil"/>
              <w:left w:val="nil"/>
              <w:bottom w:val="nil"/>
              <w:right w:val="single" w:sz="6" w:space="0" w:color="000000"/>
              <w:tl2br w:val="nil"/>
              <w:tr2bl w:val="nil"/>
            </w:tcBorders>
            <w:shd w:val="clear" w:color="auto" w:fill="FFFFFF"/>
            <w:tcMar>
              <w:left w:w="115" w:type="dxa"/>
              <w:right w:w="115" w:type="dxa"/>
            </w:tcMar>
            <w:vAlign w:val="bottom"/>
          </w:tcPr>
          <w:p w14:paraId="71A5F6BD" w14:textId="77777777" w:rsidR="00724034" w:rsidRDefault="00FB7D0B">
            <w:pPr>
              <w:jc w:val="right"/>
              <w:rPr>
                <w:rFonts w:ascii="Arial" w:eastAsia="Arial" w:hAnsi="Arial" w:cs="Arial"/>
                <w:color w:val="000000"/>
                <w:sz w:val="16"/>
              </w:rPr>
            </w:pPr>
            <w:r>
              <w:rPr>
                <w:rFonts w:ascii="Arial" w:eastAsia="Arial" w:hAnsi="Arial" w:cs="Arial"/>
                <w:color w:val="000000"/>
                <w:sz w:val="16"/>
              </w:rPr>
              <w:t xml:space="preserve"> 2,050 </w:t>
            </w:r>
          </w:p>
        </w:tc>
      </w:tr>
      <w:tr w:rsidR="00724034" w14:paraId="6D630219" w14:textId="77777777">
        <w:tblPrEx>
          <w:shd w:val="clear" w:color="auto" w:fill="auto"/>
          <w:tblLook w:val="04A0" w:firstRow="1" w:lastRow="0" w:firstColumn="1" w:lastColumn="0" w:noHBand="0" w:noVBand="1"/>
        </w:tblPrEx>
        <w:trPr>
          <w:trHeight w:hRule="exact" w:val="30"/>
        </w:trPr>
        <w:tc>
          <w:tcPr>
            <w:tcW w:w="3210" w:type="dxa"/>
            <w:tcBorders>
              <w:top w:val="nil"/>
              <w:left w:val="single" w:sz="6" w:space="0" w:color="000000"/>
              <w:bottom w:val="nil"/>
              <w:right w:val="nil"/>
              <w:tl2br w:val="nil"/>
              <w:tr2bl w:val="nil"/>
            </w:tcBorders>
            <w:shd w:val="clear" w:color="auto" w:fill="FFFFFF"/>
            <w:tcMar>
              <w:left w:w="115" w:type="dxa"/>
              <w:right w:w="115" w:type="dxa"/>
            </w:tcMar>
            <w:vAlign w:val="bottom"/>
          </w:tcPr>
          <w:p w14:paraId="67CFFA07" w14:textId="77777777" w:rsidR="00724034" w:rsidRDefault="00724034">
            <w:pPr>
              <w:rPr>
                <w:rFonts w:ascii="Arial" w:eastAsia="Arial" w:hAnsi="Arial" w:cs="Arial"/>
                <w:color w:val="000000"/>
                <w:sz w:val="16"/>
              </w:rPr>
            </w:pPr>
          </w:p>
        </w:tc>
        <w:tc>
          <w:tcPr>
            <w:tcW w:w="975" w:type="dxa"/>
            <w:tcBorders>
              <w:top w:val="nil"/>
              <w:left w:val="nil"/>
              <w:bottom w:val="nil"/>
              <w:right w:val="nil"/>
              <w:tl2br w:val="nil"/>
              <w:tr2bl w:val="nil"/>
            </w:tcBorders>
            <w:shd w:val="clear" w:color="auto" w:fill="FFFFFF"/>
            <w:tcMar>
              <w:left w:w="115" w:type="dxa"/>
              <w:right w:w="115" w:type="dxa"/>
            </w:tcMar>
            <w:vAlign w:val="bottom"/>
          </w:tcPr>
          <w:p w14:paraId="30B7C3FF" w14:textId="77777777" w:rsidR="00724034" w:rsidRDefault="00724034">
            <w:pPr>
              <w:jc w:val="right"/>
              <w:rPr>
                <w:rFonts w:ascii="Arial" w:eastAsia="Arial" w:hAnsi="Arial" w:cs="Arial"/>
                <w:i/>
                <w:color w:val="000000"/>
                <w:sz w:val="16"/>
              </w:rPr>
            </w:pPr>
          </w:p>
        </w:tc>
        <w:tc>
          <w:tcPr>
            <w:tcW w:w="975" w:type="dxa"/>
            <w:tcBorders>
              <w:top w:val="nil"/>
              <w:left w:val="nil"/>
              <w:bottom w:val="nil"/>
              <w:right w:val="nil"/>
              <w:tl2br w:val="nil"/>
              <w:tr2bl w:val="nil"/>
            </w:tcBorders>
            <w:shd w:val="clear" w:color="auto" w:fill="FFFF00"/>
            <w:tcMar>
              <w:left w:w="115" w:type="dxa"/>
              <w:right w:w="115" w:type="dxa"/>
            </w:tcMar>
            <w:vAlign w:val="bottom"/>
          </w:tcPr>
          <w:p w14:paraId="14E6E53B" w14:textId="77777777" w:rsidR="00724034" w:rsidRDefault="00724034">
            <w:pPr>
              <w:jc w:val="right"/>
              <w:rPr>
                <w:rFonts w:ascii="Arial" w:eastAsia="Arial" w:hAnsi="Arial" w:cs="Arial"/>
                <w:color w:val="000000"/>
                <w:sz w:val="16"/>
              </w:rPr>
            </w:pPr>
          </w:p>
        </w:tc>
        <w:tc>
          <w:tcPr>
            <w:tcW w:w="975" w:type="dxa"/>
            <w:tcBorders>
              <w:top w:val="nil"/>
              <w:left w:val="nil"/>
              <w:bottom w:val="nil"/>
              <w:right w:val="nil"/>
              <w:tl2br w:val="nil"/>
              <w:tr2bl w:val="nil"/>
            </w:tcBorders>
            <w:shd w:val="clear" w:color="auto" w:fill="FFFFFF"/>
            <w:tcMar>
              <w:left w:w="115" w:type="dxa"/>
              <w:right w:w="115" w:type="dxa"/>
            </w:tcMar>
            <w:vAlign w:val="bottom"/>
          </w:tcPr>
          <w:p w14:paraId="78F4C8DE" w14:textId="77777777" w:rsidR="00724034" w:rsidRDefault="00724034">
            <w:pPr>
              <w:jc w:val="right"/>
              <w:rPr>
                <w:rFonts w:ascii="Arial" w:eastAsia="Arial" w:hAnsi="Arial" w:cs="Arial"/>
                <w:color w:val="000000"/>
                <w:sz w:val="16"/>
              </w:rPr>
            </w:pPr>
          </w:p>
        </w:tc>
        <w:tc>
          <w:tcPr>
            <w:tcW w:w="975" w:type="dxa"/>
            <w:tcBorders>
              <w:top w:val="nil"/>
              <w:left w:val="nil"/>
              <w:bottom w:val="nil"/>
              <w:right w:val="nil"/>
              <w:tl2br w:val="nil"/>
              <w:tr2bl w:val="nil"/>
            </w:tcBorders>
            <w:shd w:val="clear" w:color="auto" w:fill="FFFFFF"/>
            <w:tcMar>
              <w:left w:w="115" w:type="dxa"/>
              <w:right w:w="115" w:type="dxa"/>
            </w:tcMar>
            <w:vAlign w:val="bottom"/>
          </w:tcPr>
          <w:p w14:paraId="61CAF4F1" w14:textId="77777777" w:rsidR="00724034" w:rsidRDefault="00724034">
            <w:pPr>
              <w:jc w:val="right"/>
              <w:rPr>
                <w:rFonts w:ascii="Arial" w:eastAsia="Arial" w:hAnsi="Arial" w:cs="Arial"/>
                <w:color w:val="000000"/>
                <w:sz w:val="16"/>
              </w:rPr>
            </w:pPr>
          </w:p>
        </w:tc>
        <w:tc>
          <w:tcPr>
            <w:tcW w:w="975" w:type="dxa"/>
            <w:tcBorders>
              <w:top w:val="nil"/>
              <w:left w:val="nil"/>
              <w:bottom w:val="nil"/>
              <w:right w:val="single" w:sz="6" w:space="0" w:color="000000"/>
              <w:tl2br w:val="nil"/>
              <w:tr2bl w:val="nil"/>
            </w:tcBorders>
            <w:shd w:val="clear" w:color="auto" w:fill="FFFFFF"/>
            <w:tcMar>
              <w:left w:w="115" w:type="dxa"/>
              <w:right w:w="115" w:type="dxa"/>
            </w:tcMar>
            <w:vAlign w:val="bottom"/>
          </w:tcPr>
          <w:p w14:paraId="4223AAFA" w14:textId="77777777" w:rsidR="00724034" w:rsidRDefault="00724034">
            <w:pPr>
              <w:rPr>
                <w:rFonts w:ascii="Arial" w:eastAsia="Arial" w:hAnsi="Arial" w:cs="Arial"/>
                <w:color w:val="000000"/>
                <w:sz w:val="16"/>
              </w:rPr>
            </w:pPr>
          </w:p>
        </w:tc>
      </w:tr>
      <w:tr w:rsidR="00724034" w14:paraId="4730EE2C" w14:textId="77777777">
        <w:tblPrEx>
          <w:shd w:val="clear" w:color="auto" w:fill="auto"/>
          <w:tblLook w:val="04A0" w:firstRow="1" w:lastRow="0" w:firstColumn="1" w:lastColumn="0" w:noHBand="0" w:noVBand="1"/>
        </w:tblPrEx>
        <w:trPr>
          <w:trHeight w:val="450"/>
        </w:trPr>
        <w:tc>
          <w:tcPr>
            <w:tcW w:w="3210" w:type="dxa"/>
            <w:tcBorders>
              <w:top w:val="nil"/>
              <w:left w:val="single" w:sz="6" w:space="0" w:color="000000"/>
              <w:bottom w:val="nil"/>
              <w:right w:val="nil"/>
              <w:tl2br w:val="nil"/>
              <w:tr2bl w:val="nil"/>
            </w:tcBorders>
            <w:shd w:val="clear" w:color="auto" w:fill="FFFFFF"/>
            <w:tcMar>
              <w:left w:w="115" w:type="dxa"/>
              <w:right w:w="115" w:type="dxa"/>
            </w:tcMar>
            <w:vAlign w:val="bottom"/>
          </w:tcPr>
          <w:p w14:paraId="0A546BA7" w14:textId="77777777" w:rsidR="00724034" w:rsidRDefault="00FB7D0B">
            <w:pPr>
              <w:rPr>
                <w:rFonts w:ascii="Arial" w:eastAsia="Arial" w:hAnsi="Arial" w:cs="Arial"/>
                <w:color w:val="000000"/>
                <w:sz w:val="16"/>
              </w:rPr>
            </w:pPr>
            <w:r>
              <w:rPr>
                <w:rFonts w:ascii="Arial" w:eastAsia="Arial" w:hAnsi="Arial" w:cs="Arial"/>
                <w:color w:val="000000"/>
                <w:sz w:val="16"/>
              </w:rPr>
              <w:t>Quantity: Number of claims resulting in lump sum payments made under SRCA</w:t>
            </w:r>
          </w:p>
        </w:tc>
        <w:tc>
          <w:tcPr>
            <w:tcW w:w="975" w:type="dxa"/>
            <w:tcBorders>
              <w:top w:val="nil"/>
              <w:left w:val="nil"/>
              <w:bottom w:val="nil"/>
              <w:right w:val="nil"/>
              <w:tl2br w:val="nil"/>
              <w:tr2bl w:val="nil"/>
            </w:tcBorders>
            <w:shd w:val="clear" w:color="auto" w:fill="FFFFFF"/>
            <w:tcMar>
              <w:left w:w="115" w:type="dxa"/>
              <w:right w:w="115" w:type="dxa"/>
            </w:tcMar>
            <w:vAlign w:val="bottom"/>
          </w:tcPr>
          <w:p w14:paraId="63B28ECD" w14:textId="77777777" w:rsidR="00724034" w:rsidRDefault="00FB7D0B">
            <w:pPr>
              <w:jc w:val="right"/>
              <w:rPr>
                <w:rFonts w:ascii="Arial" w:eastAsia="Arial" w:hAnsi="Arial" w:cs="Arial"/>
                <w:color w:val="000000"/>
                <w:sz w:val="16"/>
              </w:rPr>
            </w:pPr>
            <w:r>
              <w:rPr>
                <w:rFonts w:ascii="Arial" w:eastAsia="Arial" w:hAnsi="Arial" w:cs="Arial"/>
                <w:color w:val="000000"/>
                <w:sz w:val="16"/>
              </w:rPr>
              <w:t xml:space="preserve"> 1,126 </w:t>
            </w:r>
          </w:p>
        </w:tc>
        <w:tc>
          <w:tcPr>
            <w:tcW w:w="975" w:type="dxa"/>
            <w:tcBorders>
              <w:top w:val="nil"/>
              <w:left w:val="nil"/>
              <w:bottom w:val="nil"/>
              <w:right w:val="nil"/>
              <w:tl2br w:val="nil"/>
              <w:tr2bl w:val="nil"/>
            </w:tcBorders>
            <w:shd w:val="clear" w:color="auto" w:fill="FFFF00"/>
            <w:tcMar>
              <w:left w:w="115" w:type="dxa"/>
              <w:right w:w="115" w:type="dxa"/>
            </w:tcMar>
            <w:vAlign w:val="bottom"/>
          </w:tcPr>
          <w:p w14:paraId="541D43F6" w14:textId="77777777" w:rsidR="00724034" w:rsidRDefault="00FB7D0B">
            <w:pPr>
              <w:jc w:val="right"/>
              <w:rPr>
                <w:rFonts w:ascii="Arial" w:eastAsia="Arial" w:hAnsi="Arial" w:cs="Arial"/>
                <w:color w:val="000000"/>
                <w:sz w:val="16"/>
              </w:rPr>
            </w:pPr>
            <w:r>
              <w:rPr>
                <w:rFonts w:ascii="Arial" w:eastAsia="Arial" w:hAnsi="Arial" w:cs="Arial"/>
                <w:color w:val="000000"/>
                <w:sz w:val="16"/>
              </w:rPr>
              <w:t xml:space="preserve"> 1,090 </w:t>
            </w:r>
          </w:p>
        </w:tc>
        <w:tc>
          <w:tcPr>
            <w:tcW w:w="975" w:type="dxa"/>
            <w:tcBorders>
              <w:top w:val="nil"/>
              <w:left w:val="nil"/>
              <w:bottom w:val="nil"/>
              <w:right w:val="nil"/>
              <w:tl2br w:val="nil"/>
              <w:tr2bl w:val="nil"/>
            </w:tcBorders>
            <w:shd w:val="clear" w:color="auto" w:fill="FFFFFF"/>
            <w:tcMar>
              <w:left w:w="115" w:type="dxa"/>
              <w:right w:w="115" w:type="dxa"/>
            </w:tcMar>
            <w:vAlign w:val="bottom"/>
          </w:tcPr>
          <w:p w14:paraId="01C50704" w14:textId="77777777" w:rsidR="00724034" w:rsidRDefault="00FB7D0B">
            <w:pPr>
              <w:jc w:val="right"/>
              <w:rPr>
                <w:rFonts w:ascii="Arial" w:eastAsia="Arial" w:hAnsi="Arial" w:cs="Arial"/>
                <w:color w:val="000000"/>
                <w:sz w:val="16"/>
              </w:rPr>
            </w:pPr>
            <w:r>
              <w:rPr>
                <w:rFonts w:ascii="Arial" w:eastAsia="Arial" w:hAnsi="Arial" w:cs="Arial"/>
                <w:color w:val="000000"/>
                <w:sz w:val="16"/>
              </w:rPr>
              <w:t xml:space="preserve"> 1,156 </w:t>
            </w:r>
          </w:p>
        </w:tc>
        <w:tc>
          <w:tcPr>
            <w:tcW w:w="975" w:type="dxa"/>
            <w:tcBorders>
              <w:top w:val="nil"/>
              <w:left w:val="nil"/>
              <w:bottom w:val="nil"/>
              <w:right w:val="nil"/>
              <w:tl2br w:val="nil"/>
              <w:tr2bl w:val="nil"/>
            </w:tcBorders>
            <w:shd w:val="clear" w:color="auto" w:fill="FFFFFF"/>
            <w:tcMar>
              <w:left w:w="115" w:type="dxa"/>
              <w:right w:w="115" w:type="dxa"/>
            </w:tcMar>
            <w:vAlign w:val="bottom"/>
          </w:tcPr>
          <w:p w14:paraId="7EAAE556" w14:textId="77777777" w:rsidR="00724034" w:rsidRDefault="00FB7D0B">
            <w:pPr>
              <w:jc w:val="right"/>
              <w:rPr>
                <w:rFonts w:ascii="Arial" w:eastAsia="Arial" w:hAnsi="Arial" w:cs="Arial"/>
                <w:color w:val="000000"/>
                <w:sz w:val="16"/>
              </w:rPr>
            </w:pPr>
            <w:r>
              <w:rPr>
                <w:rFonts w:ascii="Arial" w:eastAsia="Arial" w:hAnsi="Arial" w:cs="Arial"/>
                <w:color w:val="000000"/>
                <w:sz w:val="16"/>
              </w:rPr>
              <w:t xml:space="preserve"> 1,023 </w:t>
            </w:r>
          </w:p>
        </w:tc>
        <w:tc>
          <w:tcPr>
            <w:tcW w:w="975" w:type="dxa"/>
            <w:tcBorders>
              <w:top w:val="nil"/>
              <w:left w:val="nil"/>
              <w:bottom w:val="nil"/>
              <w:right w:val="single" w:sz="6" w:space="0" w:color="000000"/>
              <w:tl2br w:val="nil"/>
              <w:tr2bl w:val="nil"/>
            </w:tcBorders>
            <w:shd w:val="clear" w:color="auto" w:fill="FFFFFF"/>
            <w:tcMar>
              <w:left w:w="115" w:type="dxa"/>
              <w:right w:w="115" w:type="dxa"/>
            </w:tcMar>
            <w:vAlign w:val="bottom"/>
          </w:tcPr>
          <w:p w14:paraId="7D2D1FFB" w14:textId="77777777" w:rsidR="00724034" w:rsidRDefault="00FB7D0B">
            <w:pPr>
              <w:jc w:val="right"/>
              <w:rPr>
                <w:rFonts w:ascii="Arial" w:eastAsia="Arial" w:hAnsi="Arial" w:cs="Arial"/>
                <w:color w:val="000000"/>
                <w:sz w:val="16"/>
              </w:rPr>
            </w:pPr>
            <w:r>
              <w:rPr>
                <w:rFonts w:ascii="Arial" w:eastAsia="Arial" w:hAnsi="Arial" w:cs="Arial"/>
                <w:color w:val="000000"/>
                <w:sz w:val="16"/>
              </w:rPr>
              <w:t xml:space="preserve"> 991 </w:t>
            </w:r>
          </w:p>
        </w:tc>
      </w:tr>
      <w:tr w:rsidR="00724034" w14:paraId="44567CBC" w14:textId="77777777">
        <w:tblPrEx>
          <w:shd w:val="clear" w:color="auto" w:fill="auto"/>
          <w:tblLook w:val="04A0" w:firstRow="1" w:lastRow="0" w:firstColumn="1" w:lastColumn="0" w:noHBand="0" w:noVBand="1"/>
        </w:tblPrEx>
        <w:trPr>
          <w:trHeight w:hRule="exact" w:val="30"/>
        </w:trPr>
        <w:tc>
          <w:tcPr>
            <w:tcW w:w="3210" w:type="dxa"/>
            <w:tcBorders>
              <w:top w:val="nil"/>
              <w:left w:val="single" w:sz="6" w:space="0" w:color="000000"/>
              <w:bottom w:val="nil"/>
              <w:right w:val="nil"/>
              <w:tl2br w:val="nil"/>
              <w:tr2bl w:val="nil"/>
            </w:tcBorders>
            <w:shd w:val="clear" w:color="auto" w:fill="FFFFFF"/>
            <w:tcMar>
              <w:left w:w="115" w:type="dxa"/>
              <w:right w:w="115" w:type="dxa"/>
            </w:tcMar>
            <w:vAlign w:val="bottom"/>
          </w:tcPr>
          <w:p w14:paraId="3B2DEFEB" w14:textId="77777777" w:rsidR="00724034" w:rsidRDefault="00724034">
            <w:pPr>
              <w:rPr>
                <w:rFonts w:ascii="Arial" w:eastAsia="Arial" w:hAnsi="Arial" w:cs="Arial"/>
                <w:color w:val="000000"/>
                <w:sz w:val="16"/>
              </w:rPr>
            </w:pPr>
          </w:p>
        </w:tc>
        <w:tc>
          <w:tcPr>
            <w:tcW w:w="975" w:type="dxa"/>
            <w:tcBorders>
              <w:top w:val="nil"/>
              <w:left w:val="nil"/>
              <w:bottom w:val="nil"/>
              <w:right w:val="nil"/>
              <w:tl2br w:val="nil"/>
              <w:tr2bl w:val="nil"/>
            </w:tcBorders>
            <w:shd w:val="clear" w:color="auto" w:fill="FFFFFF"/>
            <w:tcMar>
              <w:left w:w="115" w:type="dxa"/>
              <w:right w:w="115" w:type="dxa"/>
            </w:tcMar>
            <w:vAlign w:val="bottom"/>
          </w:tcPr>
          <w:p w14:paraId="6C59CD5B" w14:textId="77777777" w:rsidR="00724034" w:rsidRDefault="00724034">
            <w:pPr>
              <w:jc w:val="right"/>
              <w:rPr>
                <w:rFonts w:ascii="Arial" w:eastAsia="Arial" w:hAnsi="Arial" w:cs="Arial"/>
                <w:color w:val="000000"/>
                <w:sz w:val="16"/>
              </w:rPr>
            </w:pPr>
          </w:p>
        </w:tc>
        <w:tc>
          <w:tcPr>
            <w:tcW w:w="975" w:type="dxa"/>
            <w:tcBorders>
              <w:top w:val="nil"/>
              <w:left w:val="nil"/>
              <w:bottom w:val="nil"/>
              <w:right w:val="nil"/>
              <w:tl2br w:val="nil"/>
              <w:tr2bl w:val="nil"/>
            </w:tcBorders>
            <w:shd w:val="clear" w:color="auto" w:fill="FFFF00"/>
            <w:tcMar>
              <w:left w:w="115" w:type="dxa"/>
              <w:right w:w="115" w:type="dxa"/>
            </w:tcMar>
            <w:vAlign w:val="bottom"/>
          </w:tcPr>
          <w:p w14:paraId="4C2804BC" w14:textId="77777777" w:rsidR="00724034" w:rsidRDefault="00724034">
            <w:pPr>
              <w:jc w:val="right"/>
              <w:rPr>
                <w:rFonts w:ascii="Arial" w:eastAsia="Arial" w:hAnsi="Arial" w:cs="Arial"/>
                <w:color w:val="000000"/>
                <w:sz w:val="16"/>
              </w:rPr>
            </w:pPr>
          </w:p>
        </w:tc>
        <w:tc>
          <w:tcPr>
            <w:tcW w:w="975" w:type="dxa"/>
            <w:tcBorders>
              <w:top w:val="nil"/>
              <w:left w:val="nil"/>
              <w:bottom w:val="nil"/>
              <w:right w:val="nil"/>
              <w:tl2br w:val="nil"/>
              <w:tr2bl w:val="nil"/>
            </w:tcBorders>
            <w:shd w:val="clear" w:color="auto" w:fill="FFFFFF"/>
            <w:tcMar>
              <w:left w:w="115" w:type="dxa"/>
              <w:right w:w="115" w:type="dxa"/>
            </w:tcMar>
            <w:vAlign w:val="bottom"/>
          </w:tcPr>
          <w:p w14:paraId="364A70B2" w14:textId="77777777" w:rsidR="00724034" w:rsidRDefault="00724034">
            <w:pPr>
              <w:jc w:val="right"/>
              <w:rPr>
                <w:rFonts w:ascii="Arial" w:eastAsia="Arial" w:hAnsi="Arial" w:cs="Arial"/>
                <w:color w:val="000000"/>
                <w:sz w:val="16"/>
              </w:rPr>
            </w:pPr>
          </w:p>
        </w:tc>
        <w:tc>
          <w:tcPr>
            <w:tcW w:w="975" w:type="dxa"/>
            <w:tcBorders>
              <w:top w:val="nil"/>
              <w:left w:val="nil"/>
              <w:bottom w:val="nil"/>
              <w:right w:val="nil"/>
              <w:tl2br w:val="nil"/>
              <w:tr2bl w:val="nil"/>
            </w:tcBorders>
            <w:shd w:val="clear" w:color="auto" w:fill="FFFFFF"/>
            <w:tcMar>
              <w:left w:w="115" w:type="dxa"/>
              <w:right w:w="115" w:type="dxa"/>
            </w:tcMar>
            <w:vAlign w:val="bottom"/>
          </w:tcPr>
          <w:p w14:paraId="60D232AE" w14:textId="77777777" w:rsidR="00724034" w:rsidRDefault="00724034">
            <w:pPr>
              <w:jc w:val="right"/>
              <w:rPr>
                <w:rFonts w:ascii="Arial" w:eastAsia="Arial" w:hAnsi="Arial" w:cs="Arial"/>
                <w:color w:val="000000"/>
                <w:sz w:val="16"/>
              </w:rPr>
            </w:pPr>
          </w:p>
        </w:tc>
        <w:tc>
          <w:tcPr>
            <w:tcW w:w="975" w:type="dxa"/>
            <w:tcBorders>
              <w:top w:val="nil"/>
              <w:left w:val="nil"/>
              <w:bottom w:val="nil"/>
              <w:right w:val="single" w:sz="6" w:space="0" w:color="000000"/>
              <w:tl2br w:val="nil"/>
              <w:tr2bl w:val="nil"/>
            </w:tcBorders>
            <w:shd w:val="clear" w:color="auto" w:fill="FFFFFF"/>
            <w:tcMar>
              <w:left w:w="115" w:type="dxa"/>
              <w:right w:w="115" w:type="dxa"/>
            </w:tcMar>
            <w:vAlign w:val="bottom"/>
          </w:tcPr>
          <w:p w14:paraId="7AEF2B21" w14:textId="77777777" w:rsidR="00724034" w:rsidRDefault="00724034">
            <w:pPr>
              <w:rPr>
                <w:rFonts w:ascii="Arial" w:eastAsia="Arial" w:hAnsi="Arial" w:cs="Arial"/>
                <w:color w:val="000000"/>
                <w:sz w:val="16"/>
              </w:rPr>
            </w:pPr>
          </w:p>
        </w:tc>
      </w:tr>
      <w:tr w:rsidR="00724034" w14:paraId="07CA4DBB" w14:textId="77777777">
        <w:tblPrEx>
          <w:shd w:val="clear" w:color="auto" w:fill="auto"/>
          <w:tblLook w:val="04A0" w:firstRow="1" w:lastRow="0" w:firstColumn="1" w:lastColumn="0" w:noHBand="0" w:noVBand="1"/>
        </w:tblPrEx>
        <w:trPr>
          <w:trHeight w:val="450"/>
        </w:trPr>
        <w:tc>
          <w:tcPr>
            <w:tcW w:w="3210" w:type="dxa"/>
            <w:tcBorders>
              <w:top w:val="nil"/>
              <w:left w:val="single" w:sz="6" w:space="0" w:color="000000"/>
              <w:bottom w:val="nil"/>
              <w:right w:val="nil"/>
              <w:tl2br w:val="nil"/>
              <w:tr2bl w:val="nil"/>
            </w:tcBorders>
            <w:shd w:val="clear" w:color="auto" w:fill="FFFFFF"/>
            <w:tcMar>
              <w:left w:w="115" w:type="dxa"/>
              <w:right w:w="115" w:type="dxa"/>
            </w:tcMar>
            <w:vAlign w:val="bottom"/>
          </w:tcPr>
          <w:p w14:paraId="44FC19EE" w14:textId="77777777" w:rsidR="00724034" w:rsidRDefault="00FB7D0B">
            <w:pPr>
              <w:rPr>
                <w:rFonts w:ascii="Arial" w:eastAsia="Arial" w:hAnsi="Arial" w:cs="Arial"/>
                <w:color w:val="000000"/>
                <w:sz w:val="16"/>
              </w:rPr>
            </w:pPr>
            <w:r>
              <w:rPr>
                <w:rFonts w:ascii="Arial" w:eastAsia="Arial" w:hAnsi="Arial" w:cs="Arial"/>
                <w:color w:val="000000"/>
                <w:sz w:val="16"/>
              </w:rPr>
              <w:t>Quantity: Number of incapacity payees under the MRCA</w:t>
            </w:r>
          </w:p>
        </w:tc>
        <w:tc>
          <w:tcPr>
            <w:tcW w:w="975" w:type="dxa"/>
            <w:tcBorders>
              <w:top w:val="nil"/>
              <w:left w:val="nil"/>
              <w:bottom w:val="nil"/>
              <w:right w:val="nil"/>
              <w:tl2br w:val="nil"/>
              <w:tr2bl w:val="nil"/>
            </w:tcBorders>
            <w:shd w:val="clear" w:color="auto" w:fill="FFFFFF"/>
            <w:tcMar>
              <w:left w:w="115" w:type="dxa"/>
              <w:right w:w="115" w:type="dxa"/>
            </w:tcMar>
            <w:vAlign w:val="bottom"/>
          </w:tcPr>
          <w:p w14:paraId="167B8CF1" w14:textId="77777777" w:rsidR="00724034" w:rsidRDefault="00FB7D0B">
            <w:pPr>
              <w:jc w:val="right"/>
              <w:rPr>
                <w:rFonts w:ascii="Arial" w:eastAsia="Arial" w:hAnsi="Arial" w:cs="Arial"/>
                <w:color w:val="000000"/>
                <w:sz w:val="16"/>
              </w:rPr>
            </w:pPr>
            <w:r>
              <w:rPr>
                <w:rFonts w:ascii="Arial" w:eastAsia="Arial" w:hAnsi="Arial" w:cs="Arial"/>
                <w:color w:val="000000"/>
                <w:sz w:val="16"/>
              </w:rPr>
              <w:t xml:space="preserve"> 2,900 </w:t>
            </w:r>
          </w:p>
        </w:tc>
        <w:tc>
          <w:tcPr>
            <w:tcW w:w="975" w:type="dxa"/>
            <w:tcBorders>
              <w:top w:val="nil"/>
              <w:left w:val="nil"/>
              <w:bottom w:val="nil"/>
              <w:right w:val="nil"/>
              <w:tl2br w:val="nil"/>
              <w:tr2bl w:val="nil"/>
            </w:tcBorders>
            <w:shd w:val="clear" w:color="auto" w:fill="FFFF00"/>
            <w:tcMar>
              <w:left w:w="115" w:type="dxa"/>
              <w:right w:w="115" w:type="dxa"/>
            </w:tcMar>
            <w:vAlign w:val="bottom"/>
          </w:tcPr>
          <w:p w14:paraId="1CDAA5FC" w14:textId="77777777" w:rsidR="00724034" w:rsidRDefault="00FB7D0B">
            <w:pPr>
              <w:jc w:val="right"/>
              <w:rPr>
                <w:rFonts w:ascii="Arial" w:eastAsia="Arial" w:hAnsi="Arial" w:cs="Arial"/>
                <w:color w:val="000000"/>
                <w:sz w:val="16"/>
              </w:rPr>
            </w:pPr>
            <w:r>
              <w:rPr>
                <w:rFonts w:ascii="Arial" w:eastAsia="Arial" w:hAnsi="Arial" w:cs="Arial"/>
                <w:color w:val="000000"/>
                <w:sz w:val="16"/>
              </w:rPr>
              <w:t xml:space="preserve"> 3,770 </w:t>
            </w:r>
          </w:p>
        </w:tc>
        <w:tc>
          <w:tcPr>
            <w:tcW w:w="975" w:type="dxa"/>
            <w:tcBorders>
              <w:top w:val="nil"/>
              <w:left w:val="nil"/>
              <w:bottom w:val="nil"/>
              <w:right w:val="nil"/>
              <w:tl2br w:val="nil"/>
              <w:tr2bl w:val="nil"/>
            </w:tcBorders>
            <w:shd w:val="clear" w:color="auto" w:fill="FFFFFF"/>
            <w:tcMar>
              <w:left w:w="115" w:type="dxa"/>
              <w:right w:w="115" w:type="dxa"/>
            </w:tcMar>
            <w:vAlign w:val="bottom"/>
          </w:tcPr>
          <w:p w14:paraId="0B1E8360" w14:textId="77777777" w:rsidR="00724034" w:rsidRDefault="00FB7D0B">
            <w:pPr>
              <w:jc w:val="right"/>
              <w:rPr>
                <w:rFonts w:ascii="Arial" w:eastAsia="Arial" w:hAnsi="Arial" w:cs="Arial"/>
                <w:color w:val="000000"/>
                <w:sz w:val="16"/>
              </w:rPr>
            </w:pPr>
            <w:r>
              <w:rPr>
                <w:rFonts w:ascii="Arial" w:eastAsia="Arial" w:hAnsi="Arial" w:cs="Arial"/>
                <w:color w:val="000000"/>
                <w:sz w:val="16"/>
              </w:rPr>
              <w:t xml:space="preserve"> 4,902 </w:t>
            </w:r>
          </w:p>
        </w:tc>
        <w:tc>
          <w:tcPr>
            <w:tcW w:w="975" w:type="dxa"/>
            <w:tcBorders>
              <w:top w:val="nil"/>
              <w:left w:val="nil"/>
              <w:bottom w:val="nil"/>
              <w:right w:val="nil"/>
              <w:tl2br w:val="nil"/>
              <w:tr2bl w:val="nil"/>
            </w:tcBorders>
            <w:shd w:val="clear" w:color="auto" w:fill="FFFFFF"/>
            <w:tcMar>
              <w:left w:w="115" w:type="dxa"/>
              <w:right w:w="115" w:type="dxa"/>
            </w:tcMar>
            <w:vAlign w:val="bottom"/>
          </w:tcPr>
          <w:p w14:paraId="2CA2B0A6" w14:textId="77777777" w:rsidR="00724034" w:rsidRDefault="00FB7D0B">
            <w:pPr>
              <w:jc w:val="right"/>
              <w:rPr>
                <w:rFonts w:ascii="Arial" w:eastAsia="Arial" w:hAnsi="Arial" w:cs="Arial"/>
                <w:color w:val="000000"/>
                <w:sz w:val="16"/>
              </w:rPr>
            </w:pPr>
            <w:r>
              <w:rPr>
                <w:rFonts w:ascii="Arial" w:eastAsia="Arial" w:hAnsi="Arial" w:cs="Arial"/>
                <w:color w:val="000000"/>
                <w:sz w:val="16"/>
              </w:rPr>
              <w:t xml:space="preserve"> 6,372 </w:t>
            </w:r>
          </w:p>
        </w:tc>
        <w:tc>
          <w:tcPr>
            <w:tcW w:w="975" w:type="dxa"/>
            <w:tcBorders>
              <w:top w:val="nil"/>
              <w:left w:val="nil"/>
              <w:bottom w:val="nil"/>
              <w:right w:val="single" w:sz="6" w:space="0" w:color="000000"/>
              <w:tl2br w:val="nil"/>
              <w:tr2bl w:val="nil"/>
            </w:tcBorders>
            <w:shd w:val="clear" w:color="auto" w:fill="FFFFFF"/>
            <w:tcMar>
              <w:left w:w="115" w:type="dxa"/>
              <w:right w:w="115" w:type="dxa"/>
            </w:tcMar>
            <w:vAlign w:val="bottom"/>
          </w:tcPr>
          <w:p w14:paraId="785FA1AC" w14:textId="77777777" w:rsidR="00724034" w:rsidRDefault="00FB7D0B">
            <w:pPr>
              <w:jc w:val="right"/>
              <w:rPr>
                <w:rFonts w:ascii="Arial" w:eastAsia="Arial" w:hAnsi="Arial" w:cs="Arial"/>
                <w:color w:val="000000"/>
                <w:sz w:val="16"/>
              </w:rPr>
            </w:pPr>
            <w:r>
              <w:rPr>
                <w:rFonts w:ascii="Arial" w:eastAsia="Arial" w:hAnsi="Arial" w:cs="Arial"/>
                <w:color w:val="000000"/>
                <w:sz w:val="16"/>
              </w:rPr>
              <w:t xml:space="preserve"> 8,284 </w:t>
            </w:r>
          </w:p>
        </w:tc>
      </w:tr>
      <w:tr w:rsidR="00724034" w14:paraId="39009EE6" w14:textId="77777777">
        <w:tblPrEx>
          <w:shd w:val="clear" w:color="auto" w:fill="auto"/>
          <w:tblLook w:val="04A0" w:firstRow="1" w:lastRow="0" w:firstColumn="1" w:lastColumn="0" w:noHBand="0" w:noVBand="1"/>
        </w:tblPrEx>
        <w:trPr>
          <w:trHeight w:hRule="exact" w:val="30"/>
        </w:trPr>
        <w:tc>
          <w:tcPr>
            <w:tcW w:w="3210" w:type="dxa"/>
            <w:tcBorders>
              <w:top w:val="nil"/>
              <w:left w:val="single" w:sz="6" w:space="0" w:color="000000"/>
              <w:bottom w:val="nil"/>
              <w:right w:val="nil"/>
              <w:tl2br w:val="nil"/>
              <w:tr2bl w:val="nil"/>
            </w:tcBorders>
            <w:shd w:val="clear" w:color="auto" w:fill="FFFFFF"/>
            <w:tcMar>
              <w:left w:w="115" w:type="dxa"/>
              <w:right w:w="115" w:type="dxa"/>
            </w:tcMar>
            <w:vAlign w:val="bottom"/>
          </w:tcPr>
          <w:p w14:paraId="7714B75A" w14:textId="77777777" w:rsidR="00724034" w:rsidRDefault="00724034">
            <w:pPr>
              <w:rPr>
                <w:rFonts w:ascii="Arial" w:eastAsia="Arial" w:hAnsi="Arial" w:cs="Arial"/>
                <w:color w:val="000000"/>
                <w:sz w:val="16"/>
              </w:rPr>
            </w:pPr>
          </w:p>
        </w:tc>
        <w:tc>
          <w:tcPr>
            <w:tcW w:w="975" w:type="dxa"/>
            <w:tcBorders>
              <w:top w:val="nil"/>
              <w:left w:val="nil"/>
              <w:bottom w:val="nil"/>
              <w:right w:val="nil"/>
              <w:tl2br w:val="nil"/>
              <w:tr2bl w:val="nil"/>
            </w:tcBorders>
            <w:shd w:val="clear" w:color="auto" w:fill="FFFFFF"/>
            <w:tcMar>
              <w:left w:w="115" w:type="dxa"/>
              <w:right w:w="115" w:type="dxa"/>
            </w:tcMar>
            <w:vAlign w:val="bottom"/>
          </w:tcPr>
          <w:p w14:paraId="70CAEF47" w14:textId="77777777" w:rsidR="00724034" w:rsidRDefault="00724034">
            <w:pPr>
              <w:rPr>
                <w:rFonts w:ascii="Arial" w:eastAsia="Arial" w:hAnsi="Arial" w:cs="Arial"/>
                <w:color w:val="000000"/>
                <w:sz w:val="16"/>
              </w:rPr>
            </w:pPr>
          </w:p>
        </w:tc>
        <w:tc>
          <w:tcPr>
            <w:tcW w:w="975" w:type="dxa"/>
            <w:tcBorders>
              <w:top w:val="nil"/>
              <w:left w:val="nil"/>
              <w:bottom w:val="nil"/>
              <w:right w:val="nil"/>
              <w:tl2br w:val="nil"/>
              <w:tr2bl w:val="nil"/>
            </w:tcBorders>
            <w:shd w:val="clear" w:color="auto" w:fill="FFFF00"/>
            <w:tcMar>
              <w:left w:w="115" w:type="dxa"/>
              <w:right w:w="115" w:type="dxa"/>
            </w:tcMar>
            <w:vAlign w:val="bottom"/>
          </w:tcPr>
          <w:p w14:paraId="344A731A" w14:textId="77777777" w:rsidR="00724034" w:rsidRDefault="00724034">
            <w:pPr>
              <w:rPr>
                <w:rFonts w:ascii="Arial" w:eastAsia="Arial" w:hAnsi="Arial" w:cs="Arial"/>
                <w:b/>
                <w:color w:val="000000"/>
                <w:sz w:val="16"/>
              </w:rPr>
            </w:pPr>
          </w:p>
        </w:tc>
        <w:tc>
          <w:tcPr>
            <w:tcW w:w="975" w:type="dxa"/>
            <w:tcBorders>
              <w:top w:val="nil"/>
              <w:left w:val="nil"/>
              <w:bottom w:val="nil"/>
              <w:right w:val="nil"/>
              <w:tl2br w:val="nil"/>
              <w:tr2bl w:val="nil"/>
            </w:tcBorders>
            <w:shd w:val="clear" w:color="auto" w:fill="FFFFFF"/>
            <w:tcMar>
              <w:left w:w="115" w:type="dxa"/>
              <w:right w:w="115" w:type="dxa"/>
            </w:tcMar>
            <w:vAlign w:val="bottom"/>
          </w:tcPr>
          <w:p w14:paraId="272E6D1C" w14:textId="77777777" w:rsidR="00724034" w:rsidRDefault="00724034">
            <w:pPr>
              <w:rPr>
                <w:rFonts w:ascii="Arial" w:eastAsia="Arial" w:hAnsi="Arial" w:cs="Arial"/>
                <w:b/>
                <w:color w:val="000000"/>
                <w:sz w:val="16"/>
              </w:rPr>
            </w:pPr>
          </w:p>
        </w:tc>
        <w:tc>
          <w:tcPr>
            <w:tcW w:w="975" w:type="dxa"/>
            <w:tcBorders>
              <w:top w:val="nil"/>
              <w:left w:val="nil"/>
              <w:bottom w:val="nil"/>
              <w:right w:val="nil"/>
              <w:tl2br w:val="nil"/>
              <w:tr2bl w:val="nil"/>
            </w:tcBorders>
            <w:shd w:val="clear" w:color="auto" w:fill="FFFFFF"/>
            <w:tcMar>
              <w:left w:w="115" w:type="dxa"/>
              <w:right w:w="115" w:type="dxa"/>
            </w:tcMar>
            <w:vAlign w:val="bottom"/>
          </w:tcPr>
          <w:p w14:paraId="3B1C9BA5" w14:textId="77777777" w:rsidR="00724034" w:rsidRDefault="00724034">
            <w:pPr>
              <w:rPr>
                <w:rFonts w:ascii="Arial" w:eastAsia="Arial" w:hAnsi="Arial" w:cs="Arial"/>
                <w:color w:val="000000"/>
                <w:sz w:val="16"/>
              </w:rPr>
            </w:pPr>
          </w:p>
        </w:tc>
        <w:tc>
          <w:tcPr>
            <w:tcW w:w="975" w:type="dxa"/>
            <w:tcBorders>
              <w:top w:val="nil"/>
              <w:left w:val="nil"/>
              <w:bottom w:val="nil"/>
              <w:right w:val="single" w:sz="6" w:space="0" w:color="000000"/>
              <w:tl2br w:val="nil"/>
              <w:tr2bl w:val="nil"/>
            </w:tcBorders>
            <w:shd w:val="clear" w:color="auto" w:fill="FFFFFF"/>
            <w:tcMar>
              <w:left w:w="115" w:type="dxa"/>
              <w:right w:w="115" w:type="dxa"/>
            </w:tcMar>
            <w:vAlign w:val="bottom"/>
          </w:tcPr>
          <w:p w14:paraId="538BE5ED" w14:textId="77777777" w:rsidR="00724034" w:rsidRDefault="00724034">
            <w:pPr>
              <w:rPr>
                <w:rFonts w:ascii="Arial" w:eastAsia="Arial" w:hAnsi="Arial" w:cs="Arial"/>
                <w:color w:val="000000"/>
                <w:sz w:val="16"/>
              </w:rPr>
            </w:pPr>
          </w:p>
        </w:tc>
      </w:tr>
      <w:tr w:rsidR="00724034" w14:paraId="0F22D7B8" w14:textId="77777777">
        <w:tblPrEx>
          <w:shd w:val="clear" w:color="auto" w:fill="auto"/>
          <w:tblLook w:val="04A0" w:firstRow="1" w:lastRow="0" w:firstColumn="1" w:lastColumn="0" w:noHBand="0" w:noVBand="1"/>
        </w:tblPrEx>
        <w:trPr>
          <w:trHeight w:val="450"/>
        </w:trPr>
        <w:tc>
          <w:tcPr>
            <w:tcW w:w="3210" w:type="dxa"/>
            <w:tcBorders>
              <w:top w:val="nil"/>
              <w:left w:val="single" w:sz="6" w:space="0" w:color="000000"/>
              <w:bottom w:val="single" w:sz="6" w:space="0" w:color="000000"/>
              <w:right w:val="nil"/>
              <w:tl2br w:val="nil"/>
              <w:tr2bl w:val="nil"/>
            </w:tcBorders>
            <w:shd w:val="clear" w:color="auto" w:fill="FFFFFF"/>
            <w:tcMar>
              <w:left w:w="115" w:type="dxa"/>
              <w:right w:w="115" w:type="dxa"/>
            </w:tcMar>
            <w:vAlign w:val="bottom"/>
          </w:tcPr>
          <w:p w14:paraId="67DCA350" w14:textId="77777777" w:rsidR="00724034" w:rsidRDefault="00FB7D0B">
            <w:pPr>
              <w:rPr>
                <w:rFonts w:ascii="Arial" w:eastAsia="Arial" w:hAnsi="Arial" w:cs="Arial"/>
                <w:color w:val="000000"/>
                <w:sz w:val="16"/>
              </w:rPr>
            </w:pPr>
            <w:r>
              <w:rPr>
                <w:rFonts w:ascii="Arial" w:eastAsia="Arial" w:hAnsi="Arial" w:cs="Arial"/>
                <w:color w:val="000000"/>
                <w:sz w:val="16"/>
              </w:rPr>
              <w:t>Quantity: Number of claims resulting in lump sum payments made under MRCA</w:t>
            </w:r>
          </w:p>
        </w:tc>
        <w:tc>
          <w:tcPr>
            <w:tcW w:w="975"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16721207" w14:textId="77777777" w:rsidR="00724034" w:rsidRDefault="00FB7D0B">
            <w:pPr>
              <w:jc w:val="right"/>
              <w:rPr>
                <w:rFonts w:ascii="Arial" w:eastAsia="Arial" w:hAnsi="Arial" w:cs="Arial"/>
                <w:color w:val="000000"/>
                <w:sz w:val="16"/>
              </w:rPr>
            </w:pPr>
            <w:r>
              <w:rPr>
                <w:rFonts w:ascii="Arial" w:eastAsia="Arial" w:hAnsi="Arial" w:cs="Arial"/>
                <w:color w:val="000000"/>
                <w:sz w:val="16"/>
              </w:rPr>
              <w:t xml:space="preserve"> 1,166 </w:t>
            </w:r>
          </w:p>
        </w:tc>
        <w:tc>
          <w:tcPr>
            <w:tcW w:w="975" w:type="dxa"/>
            <w:tcBorders>
              <w:top w:val="nil"/>
              <w:left w:val="nil"/>
              <w:bottom w:val="single" w:sz="6" w:space="0" w:color="000000"/>
              <w:right w:val="nil"/>
              <w:tl2br w:val="nil"/>
              <w:tr2bl w:val="nil"/>
            </w:tcBorders>
            <w:shd w:val="clear" w:color="auto" w:fill="FFFF00"/>
            <w:tcMar>
              <w:left w:w="115" w:type="dxa"/>
              <w:right w:w="115" w:type="dxa"/>
            </w:tcMar>
            <w:vAlign w:val="bottom"/>
          </w:tcPr>
          <w:p w14:paraId="312A417A" w14:textId="77777777" w:rsidR="00724034" w:rsidRDefault="00FB7D0B">
            <w:pPr>
              <w:jc w:val="right"/>
              <w:rPr>
                <w:rFonts w:ascii="Arial" w:eastAsia="Arial" w:hAnsi="Arial" w:cs="Arial"/>
                <w:color w:val="000000"/>
                <w:sz w:val="16"/>
              </w:rPr>
            </w:pPr>
            <w:r>
              <w:rPr>
                <w:rFonts w:ascii="Arial" w:eastAsia="Arial" w:hAnsi="Arial" w:cs="Arial"/>
                <w:color w:val="000000"/>
                <w:sz w:val="16"/>
              </w:rPr>
              <w:t xml:space="preserve"> 1,440 </w:t>
            </w:r>
          </w:p>
        </w:tc>
        <w:tc>
          <w:tcPr>
            <w:tcW w:w="975"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3D1EC23B" w14:textId="77777777" w:rsidR="00724034" w:rsidRDefault="00FB7D0B">
            <w:pPr>
              <w:jc w:val="right"/>
              <w:rPr>
                <w:rFonts w:ascii="Arial" w:eastAsia="Arial" w:hAnsi="Arial" w:cs="Arial"/>
                <w:color w:val="000000"/>
                <w:sz w:val="16"/>
              </w:rPr>
            </w:pPr>
            <w:r>
              <w:rPr>
                <w:rFonts w:ascii="Arial" w:eastAsia="Arial" w:hAnsi="Arial" w:cs="Arial"/>
                <w:color w:val="000000"/>
                <w:sz w:val="16"/>
              </w:rPr>
              <w:t xml:space="preserve"> 1,779 </w:t>
            </w:r>
          </w:p>
        </w:tc>
        <w:tc>
          <w:tcPr>
            <w:tcW w:w="975"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600E3443" w14:textId="77777777" w:rsidR="00724034" w:rsidRDefault="00FB7D0B">
            <w:pPr>
              <w:jc w:val="right"/>
              <w:rPr>
                <w:rFonts w:ascii="Arial" w:eastAsia="Arial" w:hAnsi="Arial" w:cs="Arial"/>
                <w:color w:val="000000"/>
                <w:sz w:val="16"/>
              </w:rPr>
            </w:pPr>
            <w:r>
              <w:rPr>
                <w:rFonts w:ascii="Arial" w:eastAsia="Arial" w:hAnsi="Arial" w:cs="Arial"/>
                <w:color w:val="000000"/>
                <w:sz w:val="16"/>
              </w:rPr>
              <w:t xml:space="preserve"> 2,197 </w:t>
            </w:r>
          </w:p>
        </w:tc>
        <w:tc>
          <w:tcPr>
            <w:tcW w:w="975" w:type="dxa"/>
            <w:tcBorders>
              <w:top w:val="nil"/>
              <w:left w:val="nil"/>
              <w:bottom w:val="single" w:sz="6" w:space="0" w:color="000000"/>
              <w:right w:val="single" w:sz="6" w:space="0" w:color="000000"/>
              <w:tl2br w:val="nil"/>
              <w:tr2bl w:val="nil"/>
            </w:tcBorders>
            <w:shd w:val="clear" w:color="auto" w:fill="FFFFFF"/>
            <w:tcMar>
              <w:left w:w="115" w:type="dxa"/>
              <w:right w:w="115" w:type="dxa"/>
            </w:tcMar>
            <w:vAlign w:val="bottom"/>
          </w:tcPr>
          <w:p w14:paraId="1BF7DE96" w14:textId="77777777" w:rsidR="00724034" w:rsidRDefault="00FB7D0B">
            <w:pPr>
              <w:jc w:val="right"/>
              <w:rPr>
                <w:rFonts w:ascii="Arial" w:eastAsia="Arial" w:hAnsi="Arial" w:cs="Arial"/>
                <w:color w:val="000000"/>
                <w:sz w:val="16"/>
              </w:rPr>
            </w:pPr>
            <w:r>
              <w:rPr>
                <w:rFonts w:ascii="Arial" w:eastAsia="Arial" w:hAnsi="Arial" w:cs="Arial"/>
                <w:color w:val="000000"/>
                <w:sz w:val="16"/>
              </w:rPr>
              <w:t xml:space="preserve"> 2,714 </w:t>
            </w:r>
          </w:p>
        </w:tc>
      </w:tr>
      <w:tr w:rsidR="00724034" w14:paraId="3ADD7F50" w14:textId="77777777">
        <w:tblPrEx>
          <w:shd w:val="clear" w:color="auto" w:fill="auto"/>
          <w:tblLook w:val="04A0" w:firstRow="1" w:lastRow="0" w:firstColumn="1" w:lastColumn="0" w:noHBand="0" w:noVBand="1"/>
        </w:tblPrEx>
        <w:trPr>
          <w:trHeight w:hRule="exact" w:val="30"/>
        </w:trPr>
        <w:tc>
          <w:tcPr>
            <w:tcW w:w="3210"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46BA5C4D" w14:textId="77777777" w:rsidR="00724034" w:rsidRDefault="00724034">
            <w:pPr>
              <w:rPr>
                <w:rFonts w:ascii="Arial" w:eastAsia="Arial" w:hAnsi="Arial" w:cs="Arial"/>
                <w:color w:val="000000"/>
                <w:sz w:val="16"/>
              </w:rPr>
            </w:pPr>
          </w:p>
        </w:tc>
        <w:tc>
          <w:tcPr>
            <w:tcW w:w="975"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7673C11F" w14:textId="77777777" w:rsidR="00724034" w:rsidRDefault="00724034">
            <w:pPr>
              <w:rPr>
                <w:rFonts w:ascii="Arial" w:eastAsia="Arial" w:hAnsi="Arial" w:cs="Arial"/>
                <w:color w:val="000000"/>
                <w:sz w:val="16"/>
              </w:rPr>
            </w:pPr>
          </w:p>
        </w:tc>
        <w:tc>
          <w:tcPr>
            <w:tcW w:w="975"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51C4C995" w14:textId="77777777" w:rsidR="00724034" w:rsidRDefault="00724034">
            <w:pPr>
              <w:rPr>
                <w:rFonts w:ascii="Arial" w:eastAsia="Arial" w:hAnsi="Arial" w:cs="Arial"/>
                <w:color w:val="000000"/>
                <w:sz w:val="16"/>
              </w:rPr>
            </w:pPr>
          </w:p>
        </w:tc>
        <w:tc>
          <w:tcPr>
            <w:tcW w:w="975"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057634C5" w14:textId="77777777" w:rsidR="00724034" w:rsidRDefault="00724034">
            <w:pPr>
              <w:rPr>
                <w:rFonts w:ascii="Arial" w:eastAsia="Arial" w:hAnsi="Arial" w:cs="Arial"/>
                <w:color w:val="000000"/>
                <w:sz w:val="16"/>
              </w:rPr>
            </w:pPr>
          </w:p>
        </w:tc>
        <w:tc>
          <w:tcPr>
            <w:tcW w:w="975"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22D322AA" w14:textId="77777777" w:rsidR="00724034" w:rsidRDefault="00724034">
            <w:pPr>
              <w:rPr>
                <w:rFonts w:ascii="Arial" w:eastAsia="Arial" w:hAnsi="Arial" w:cs="Arial"/>
                <w:color w:val="000000"/>
                <w:sz w:val="16"/>
              </w:rPr>
            </w:pPr>
          </w:p>
        </w:tc>
        <w:tc>
          <w:tcPr>
            <w:tcW w:w="975"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18E596F9" w14:textId="77777777" w:rsidR="00724034" w:rsidRDefault="00724034">
            <w:pPr>
              <w:rPr>
                <w:rFonts w:ascii="Arial" w:eastAsia="Arial" w:hAnsi="Arial" w:cs="Arial"/>
                <w:color w:val="000000"/>
                <w:sz w:val="16"/>
              </w:rPr>
            </w:pPr>
          </w:p>
        </w:tc>
      </w:tr>
    </w:tbl>
    <w:p w14:paraId="5E69E405" w14:textId="77777777" w:rsidR="00724034" w:rsidRDefault="00724034">
      <w:pPr>
        <w:rPr>
          <w:rFonts w:ascii="Book Antiqua" w:eastAsia="Book Antiqua" w:hAnsi="Book Antiqua" w:cs="Book Antiqu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10"/>
        <w:gridCol w:w="975"/>
        <w:gridCol w:w="975"/>
        <w:gridCol w:w="975"/>
        <w:gridCol w:w="975"/>
        <w:gridCol w:w="975"/>
      </w:tblGrid>
      <w:tr w:rsidR="00724034" w14:paraId="03D519E8" w14:textId="77777777" w:rsidTr="003F0EEA">
        <w:tc>
          <w:tcPr>
            <w:tcW w:w="8080" w:type="dxa"/>
            <w:gridSpan w:val="6"/>
            <w:tcBorders>
              <w:top w:val="single" w:sz="4" w:space="0" w:color="auto"/>
              <w:left w:val="single" w:sz="4" w:space="0" w:color="auto"/>
              <w:bottom w:val="single" w:sz="4" w:space="0" w:color="auto"/>
              <w:right w:val="single" w:sz="4" w:space="0" w:color="auto"/>
            </w:tcBorders>
          </w:tcPr>
          <w:p w14:paraId="1F5D8A5B" w14:textId="77777777" w:rsidR="003F0EEA" w:rsidRDefault="00FB7D0B" w:rsidP="003F0EEA">
            <w:pPr>
              <w:pStyle w:val="TableTextLeft17"/>
              <w:keepNext/>
              <w:rPr>
                <w:b/>
              </w:rPr>
            </w:pPr>
            <w:r>
              <w:br w:type="page"/>
            </w:r>
            <w:r>
              <w:rPr>
                <w:b/>
              </w:rPr>
              <w:t>Programme 1.6 key performance indicators</w:t>
            </w:r>
          </w:p>
          <w:p w14:paraId="6291862B" w14:textId="77777777" w:rsidR="003F0EEA" w:rsidRDefault="00FB7D0B" w:rsidP="003F0EEA">
            <w:pPr>
              <w:pStyle w:val="TableTextBullet8"/>
            </w:pPr>
            <w:r>
              <w:t>The following KPIs measure the impact of the Programme:</w:t>
            </w:r>
          </w:p>
        </w:tc>
      </w:tr>
      <w:tr w:rsidR="00724034" w14:paraId="79E789C9" w14:textId="77777777">
        <w:tblPrEx>
          <w:tblLook w:val="04A0" w:firstRow="1" w:lastRow="0" w:firstColumn="1" w:lastColumn="0" w:noHBand="0" w:noVBand="1"/>
        </w:tblPrEx>
        <w:trPr>
          <w:trHeight w:val="225"/>
        </w:trPr>
        <w:tc>
          <w:tcPr>
            <w:tcW w:w="3210" w:type="dxa"/>
            <w:tcBorders>
              <w:top w:val="single" w:sz="6" w:space="0" w:color="000000"/>
              <w:left w:val="single" w:sz="6" w:space="0" w:color="000000"/>
              <w:bottom w:val="nil"/>
              <w:right w:val="nil"/>
              <w:tl2br w:val="nil"/>
              <w:tr2bl w:val="nil"/>
            </w:tcBorders>
            <w:shd w:val="clear" w:color="auto" w:fill="FFFFFF"/>
            <w:tcMar>
              <w:left w:w="115" w:type="dxa"/>
              <w:right w:w="115" w:type="dxa"/>
            </w:tcMar>
            <w:vAlign w:val="bottom"/>
          </w:tcPr>
          <w:p w14:paraId="214F9D8B" w14:textId="77777777" w:rsidR="00724034" w:rsidRDefault="00724034">
            <w:pPr>
              <w:jc w:val="center"/>
            </w:pPr>
          </w:p>
        </w:tc>
        <w:tc>
          <w:tcPr>
            <w:tcW w:w="975"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065BA32F" w14:textId="77777777" w:rsidR="00724034" w:rsidRDefault="00FB7D0B">
            <w:pPr>
              <w:jc w:val="right"/>
              <w:rPr>
                <w:rFonts w:ascii="Arial" w:eastAsia="Arial" w:hAnsi="Arial" w:cs="Arial"/>
                <w:b/>
                <w:color w:val="000000"/>
                <w:sz w:val="16"/>
              </w:rPr>
            </w:pPr>
            <w:r>
              <w:rPr>
                <w:rFonts w:ascii="Arial" w:eastAsia="Arial" w:hAnsi="Arial" w:cs="Arial"/>
                <w:color w:val="000000"/>
                <w:sz w:val="16"/>
              </w:rPr>
              <w:t>2013-14</w:t>
            </w:r>
          </w:p>
        </w:tc>
        <w:tc>
          <w:tcPr>
            <w:tcW w:w="975" w:type="dxa"/>
            <w:tcBorders>
              <w:top w:val="single" w:sz="6" w:space="0" w:color="000000"/>
              <w:left w:val="nil"/>
              <w:bottom w:val="nil"/>
              <w:right w:val="nil"/>
              <w:tl2br w:val="nil"/>
              <w:tr2bl w:val="nil"/>
            </w:tcBorders>
            <w:shd w:val="clear" w:color="auto" w:fill="FFFF00"/>
            <w:tcMar>
              <w:left w:w="115" w:type="dxa"/>
              <w:right w:w="115" w:type="dxa"/>
            </w:tcMar>
            <w:vAlign w:val="bottom"/>
          </w:tcPr>
          <w:p w14:paraId="048FF2B5" w14:textId="77777777" w:rsidR="00724034" w:rsidRDefault="00FB7D0B">
            <w:pPr>
              <w:jc w:val="right"/>
              <w:rPr>
                <w:rFonts w:ascii="Arial" w:eastAsia="Arial" w:hAnsi="Arial" w:cs="Arial"/>
                <w:color w:val="000000"/>
                <w:sz w:val="16"/>
              </w:rPr>
            </w:pPr>
            <w:r>
              <w:rPr>
                <w:rFonts w:ascii="Arial" w:eastAsia="Arial" w:hAnsi="Arial" w:cs="Arial"/>
                <w:color w:val="000000"/>
                <w:sz w:val="16"/>
              </w:rPr>
              <w:t>2014-15</w:t>
            </w:r>
          </w:p>
        </w:tc>
        <w:tc>
          <w:tcPr>
            <w:tcW w:w="975"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215EB8D0" w14:textId="77777777" w:rsidR="00724034" w:rsidRDefault="00FB7D0B">
            <w:pPr>
              <w:jc w:val="right"/>
              <w:rPr>
                <w:rFonts w:ascii="Arial" w:eastAsia="Arial" w:hAnsi="Arial" w:cs="Arial"/>
                <w:color w:val="000000"/>
                <w:sz w:val="16"/>
              </w:rPr>
            </w:pPr>
            <w:r>
              <w:rPr>
                <w:rFonts w:ascii="Arial" w:eastAsia="Arial" w:hAnsi="Arial" w:cs="Arial"/>
                <w:color w:val="000000"/>
                <w:sz w:val="16"/>
              </w:rPr>
              <w:t>2015-16</w:t>
            </w:r>
          </w:p>
        </w:tc>
        <w:tc>
          <w:tcPr>
            <w:tcW w:w="975"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49E4B9BC" w14:textId="77777777" w:rsidR="00724034" w:rsidRDefault="00FB7D0B">
            <w:pPr>
              <w:jc w:val="right"/>
              <w:rPr>
                <w:rFonts w:ascii="Arial" w:eastAsia="Arial" w:hAnsi="Arial" w:cs="Arial"/>
                <w:color w:val="000000"/>
                <w:sz w:val="16"/>
              </w:rPr>
            </w:pPr>
            <w:r>
              <w:rPr>
                <w:rFonts w:ascii="Arial" w:eastAsia="Arial" w:hAnsi="Arial" w:cs="Arial"/>
                <w:color w:val="000000"/>
                <w:sz w:val="16"/>
              </w:rPr>
              <w:t>2016-17</w:t>
            </w:r>
          </w:p>
        </w:tc>
        <w:tc>
          <w:tcPr>
            <w:tcW w:w="975" w:type="dxa"/>
            <w:tcBorders>
              <w:top w:val="single" w:sz="6" w:space="0" w:color="000000"/>
              <w:left w:val="nil"/>
              <w:bottom w:val="nil"/>
              <w:right w:val="single" w:sz="6" w:space="0" w:color="000000"/>
              <w:tl2br w:val="nil"/>
              <w:tr2bl w:val="nil"/>
            </w:tcBorders>
            <w:shd w:val="clear" w:color="auto" w:fill="FFFFFF"/>
            <w:tcMar>
              <w:left w:w="115" w:type="dxa"/>
              <w:right w:w="115" w:type="dxa"/>
            </w:tcMar>
            <w:vAlign w:val="bottom"/>
          </w:tcPr>
          <w:p w14:paraId="66B647A6" w14:textId="77777777" w:rsidR="00724034" w:rsidRDefault="00FB7D0B">
            <w:pPr>
              <w:jc w:val="right"/>
              <w:rPr>
                <w:rFonts w:ascii="Arial" w:eastAsia="Arial" w:hAnsi="Arial" w:cs="Arial"/>
                <w:color w:val="000000"/>
                <w:sz w:val="16"/>
              </w:rPr>
            </w:pPr>
            <w:r>
              <w:rPr>
                <w:rFonts w:ascii="Arial" w:eastAsia="Arial" w:hAnsi="Arial" w:cs="Arial"/>
                <w:color w:val="000000"/>
                <w:sz w:val="16"/>
              </w:rPr>
              <w:t>2017-18</w:t>
            </w:r>
          </w:p>
        </w:tc>
      </w:tr>
      <w:tr w:rsidR="00724034" w14:paraId="795065AC" w14:textId="77777777">
        <w:tblPrEx>
          <w:tblLook w:val="04A0" w:firstRow="1" w:lastRow="0" w:firstColumn="1" w:lastColumn="0" w:noHBand="0" w:noVBand="1"/>
        </w:tblPrEx>
        <w:trPr>
          <w:trHeight w:val="225"/>
        </w:trPr>
        <w:tc>
          <w:tcPr>
            <w:tcW w:w="3210" w:type="dxa"/>
            <w:tcBorders>
              <w:top w:val="nil"/>
              <w:left w:val="single" w:sz="6" w:space="0" w:color="000000"/>
              <w:bottom w:val="nil"/>
              <w:right w:val="nil"/>
              <w:tl2br w:val="nil"/>
              <w:tr2bl w:val="nil"/>
            </w:tcBorders>
            <w:shd w:val="clear" w:color="auto" w:fill="FFFFFF"/>
            <w:tcMar>
              <w:left w:w="115" w:type="dxa"/>
              <w:right w:w="115" w:type="dxa"/>
            </w:tcMar>
            <w:vAlign w:val="bottom"/>
          </w:tcPr>
          <w:p w14:paraId="429DE618" w14:textId="77777777" w:rsidR="00724034" w:rsidRDefault="00FB7D0B">
            <w:pPr>
              <w:rPr>
                <w:rFonts w:ascii="Arial" w:eastAsia="Arial" w:hAnsi="Arial" w:cs="Arial"/>
                <w:color w:val="000000"/>
                <w:sz w:val="16"/>
              </w:rPr>
            </w:pPr>
            <w:r>
              <w:rPr>
                <w:rFonts w:ascii="Arial" w:eastAsia="Arial" w:hAnsi="Arial" w:cs="Arial"/>
                <w:color w:val="000000"/>
                <w:sz w:val="16"/>
              </w:rPr>
              <w:t>Key Performance</w:t>
            </w:r>
          </w:p>
        </w:tc>
        <w:tc>
          <w:tcPr>
            <w:tcW w:w="975" w:type="dxa"/>
            <w:tcBorders>
              <w:top w:val="nil"/>
              <w:left w:val="nil"/>
              <w:bottom w:val="nil"/>
              <w:right w:val="nil"/>
              <w:tl2br w:val="nil"/>
              <w:tr2bl w:val="nil"/>
            </w:tcBorders>
            <w:shd w:val="clear" w:color="auto" w:fill="FFFFFF"/>
            <w:tcMar>
              <w:left w:w="115" w:type="dxa"/>
              <w:right w:w="115" w:type="dxa"/>
            </w:tcMar>
            <w:vAlign w:val="bottom"/>
          </w:tcPr>
          <w:p w14:paraId="3E910D25" w14:textId="77777777" w:rsidR="00724034" w:rsidRDefault="00FB7D0B">
            <w:pPr>
              <w:jc w:val="right"/>
              <w:rPr>
                <w:rFonts w:ascii="Arial" w:eastAsia="Arial" w:hAnsi="Arial" w:cs="Arial"/>
                <w:color w:val="000000"/>
                <w:sz w:val="16"/>
              </w:rPr>
            </w:pPr>
            <w:r>
              <w:rPr>
                <w:rFonts w:ascii="Arial" w:eastAsia="Arial" w:hAnsi="Arial" w:cs="Arial"/>
                <w:color w:val="000000"/>
                <w:sz w:val="16"/>
              </w:rPr>
              <w:t>Revised</w:t>
            </w:r>
          </w:p>
        </w:tc>
        <w:tc>
          <w:tcPr>
            <w:tcW w:w="975" w:type="dxa"/>
            <w:tcBorders>
              <w:top w:val="nil"/>
              <w:left w:val="nil"/>
              <w:bottom w:val="nil"/>
              <w:right w:val="nil"/>
              <w:tl2br w:val="nil"/>
              <w:tr2bl w:val="nil"/>
            </w:tcBorders>
            <w:shd w:val="clear" w:color="auto" w:fill="FFFF00"/>
            <w:tcMar>
              <w:left w:w="115" w:type="dxa"/>
              <w:right w:w="115" w:type="dxa"/>
            </w:tcMar>
            <w:vAlign w:val="bottom"/>
          </w:tcPr>
          <w:p w14:paraId="5DB229E5" w14:textId="77777777" w:rsidR="00724034" w:rsidRDefault="00FB7D0B">
            <w:pPr>
              <w:jc w:val="right"/>
              <w:rPr>
                <w:rFonts w:ascii="Arial" w:eastAsia="Arial" w:hAnsi="Arial" w:cs="Arial"/>
                <w:color w:val="000000"/>
                <w:sz w:val="16"/>
              </w:rPr>
            </w:pPr>
            <w:r>
              <w:rPr>
                <w:rFonts w:ascii="Arial" w:eastAsia="Arial" w:hAnsi="Arial" w:cs="Arial"/>
                <w:color w:val="000000"/>
                <w:sz w:val="16"/>
              </w:rPr>
              <w:t>Budget</w:t>
            </w:r>
          </w:p>
        </w:tc>
        <w:tc>
          <w:tcPr>
            <w:tcW w:w="975" w:type="dxa"/>
            <w:tcBorders>
              <w:top w:val="nil"/>
              <w:left w:val="nil"/>
              <w:bottom w:val="nil"/>
              <w:right w:val="nil"/>
              <w:tl2br w:val="nil"/>
              <w:tr2bl w:val="nil"/>
            </w:tcBorders>
            <w:shd w:val="clear" w:color="auto" w:fill="FFFFFF"/>
            <w:tcMar>
              <w:left w:w="115" w:type="dxa"/>
              <w:right w:w="115" w:type="dxa"/>
            </w:tcMar>
            <w:vAlign w:val="bottom"/>
          </w:tcPr>
          <w:p w14:paraId="16FE0DC9" w14:textId="77777777" w:rsidR="00724034" w:rsidRDefault="00FB7D0B">
            <w:pPr>
              <w:jc w:val="right"/>
              <w:rPr>
                <w:rFonts w:ascii="Arial" w:eastAsia="Arial" w:hAnsi="Arial" w:cs="Arial"/>
                <w:color w:val="000000"/>
                <w:sz w:val="16"/>
              </w:rPr>
            </w:pPr>
            <w:r>
              <w:rPr>
                <w:rFonts w:ascii="Arial" w:eastAsia="Arial" w:hAnsi="Arial" w:cs="Arial"/>
                <w:color w:val="000000"/>
                <w:sz w:val="16"/>
              </w:rPr>
              <w:t>Forward</w:t>
            </w:r>
          </w:p>
        </w:tc>
        <w:tc>
          <w:tcPr>
            <w:tcW w:w="975" w:type="dxa"/>
            <w:tcBorders>
              <w:top w:val="nil"/>
              <w:left w:val="nil"/>
              <w:bottom w:val="nil"/>
              <w:right w:val="nil"/>
              <w:tl2br w:val="nil"/>
              <w:tr2bl w:val="nil"/>
            </w:tcBorders>
            <w:shd w:val="clear" w:color="auto" w:fill="FFFFFF"/>
            <w:tcMar>
              <w:left w:w="115" w:type="dxa"/>
              <w:right w:w="115" w:type="dxa"/>
            </w:tcMar>
            <w:vAlign w:val="bottom"/>
          </w:tcPr>
          <w:p w14:paraId="2B639876" w14:textId="77777777" w:rsidR="00724034" w:rsidRDefault="00FB7D0B">
            <w:pPr>
              <w:jc w:val="right"/>
              <w:rPr>
                <w:rFonts w:ascii="Arial" w:eastAsia="Arial" w:hAnsi="Arial" w:cs="Arial"/>
                <w:color w:val="000000"/>
                <w:sz w:val="16"/>
              </w:rPr>
            </w:pPr>
            <w:r>
              <w:rPr>
                <w:rFonts w:ascii="Arial" w:eastAsia="Arial" w:hAnsi="Arial" w:cs="Arial"/>
                <w:color w:val="000000"/>
                <w:sz w:val="16"/>
              </w:rPr>
              <w:t>Forward</w:t>
            </w:r>
          </w:p>
        </w:tc>
        <w:tc>
          <w:tcPr>
            <w:tcW w:w="975" w:type="dxa"/>
            <w:tcBorders>
              <w:top w:val="nil"/>
              <w:left w:val="nil"/>
              <w:bottom w:val="nil"/>
              <w:right w:val="single" w:sz="6" w:space="0" w:color="000000"/>
              <w:tl2br w:val="nil"/>
              <w:tr2bl w:val="nil"/>
            </w:tcBorders>
            <w:shd w:val="clear" w:color="auto" w:fill="FFFFFF"/>
            <w:tcMar>
              <w:left w:w="115" w:type="dxa"/>
              <w:right w:w="115" w:type="dxa"/>
            </w:tcMar>
            <w:vAlign w:val="bottom"/>
          </w:tcPr>
          <w:p w14:paraId="26DCA270" w14:textId="77777777" w:rsidR="00724034" w:rsidRDefault="00FB7D0B">
            <w:pPr>
              <w:jc w:val="right"/>
              <w:rPr>
                <w:rFonts w:ascii="Arial" w:eastAsia="Arial" w:hAnsi="Arial" w:cs="Arial"/>
                <w:color w:val="000000"/>
                <w:sz w:val="16"/>
              </w:rPr>
            </w:pPr>
            <w:r>
              <w:rPr>
                <w:rFonts w:ascii="Arial" w:eastAsia="Arial" w:hAnsi="Arial" w:cs="Arial"/>
                <w:color w:val="000000"/>
                <w:sz w:val="16"/>
              </w:rPr>
              <w:t>Forward</w:t>
            </w:r>
          </w:p>
        </w:tc>
      </w:tr>
      <w:tr w:rsidR="00724034" w14:paraId="61314AEA" w14:textId="77777777">
        <w:tblPrEx>
          <w:tblLook w:val="04A0" w:firstRow="1" w:lastRow="0" w:firstColumn="1" w:lastColumn="0" w:noHBand="0" w:noVBand="1"/>
        </w:tblPrEx>
        <w:trPr>
          <w:trHeight w:val="225"/>
        </w:trPr>
        <w:tc>
          <w:tcPr>
            <w:tcW w:w="3210" w:type="dxa"/>
            <w:tcBorders>
              <w:top w:val="nil"/>
              <w:left w:val="single" w:sz="6" w:space="0" w:color="000000"/>
              <w:bottom w:val="single" w:sz="6" w:space="0" w:color="000000"/>
              <w:right w:val="nil"/>
              <w:tl2br w:val="nil"/>
              <w:tr2bl w:val="nil"/>
            </w:tcBorders>
            <w:shd w:val="clear" w:color="auto" w:fill="FFFFFF"/>
            <w:tcMar>
              <w:left w:w="115" w:type="dxa"/>
              <w:right w:w="115" w:type="dxa"/>
            </w:tcMar>
            <w:vAlign w:val="bottom"/>
          </w:tcPr>
          <w:p w14:paraId="1C596029" w14:textId="77777777" w:rsidR="00724034" w:rsidRDefault="00FB7D0B">
            <w:pPr>
              <w:rPr>
                <w:rFonts w:ascii="Arial" w:eastAsia="Arial" w:hAnsi="Arial" w:cs="Arial"/>
                <w:color w:val="000000"/>
                <w:sz w:val="16"/>
              </w:rPr>
            </w:pPr>
            <w:r>
              <w:rPr>
                <w:rFonts w:ascii="Arial" w:eastAsia="Arial" w:hAnsi="Arial" w:cs="Arial"/>
                <w:color w:val="000000"/>
                <w:sz w:val="16"/>
              </w:rPr>
              <w:t>Indicators</w:t>
            </w:r>
          </w:p>
        </w:tc>
        <w:tc>
          <w:tcPr>
            <w:tcW w:w="975"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2BCAD54B" w14:textId="77777777" w:rsidR="00724034" w:rsidRDefault="00FB7D0B">
            <w:pPr>
              <w:jc w:val="right"/>
              <w:rPr>
                <w:rFonts w:ascii="Arial" w:eastAsia="Arial" w:hAnsi="Arial" w:cs="Arial"/>
                <w:color w:val="000000"/>
                <w:sz w:val="16"/>
              </w:rPr>
            </w:pPr>
            <w:r>
              <w:rPr>
                <w:rFonts w:ascii="Arial" w:eastAsia="Arial" w:hAnsi="Arial" w:cs="Arial"/>
                <w:color w:val="000000"/>
                <w:sz w:val="16"/>
              </w:rPr>
              <w:t>budget</w:t>
            </w:r>
          </w:p>
        </w:tc>
        <w:tc>
          <w:tcPr>
            <w:tcW w:w="975" w:type="dxa"/>
            <w:tcBorders>
              <w:top w:val="nil"/>
              <w:left w:val="nil"/>
              <w:bottom w:val="single" w:sz="6" w:space="0" w:color="000000"/>
              <w:right w:val="nil"/>
              <w:tl2br w:val="nil"/>
              <w:tr2bl w:val="nil"/>
            </w:tcBorders>
            <w:shd w:val="clear" w:color="auto" w:fill="FFFF00"/>
            <w:tcMar>
              <w:left w:w="115" w:type="dxa"/>
              <w:right w:w="115" w:type="dxa"/>
            </w:tcMar>
            <w:vAlign w:val="bottom"/>
          </w:tcPr>
          <w:p w14:paraId="1F657444" w14:textId="77777777" w:rsidR="00724034" w:rsidRDefault="00FB7D0B">
            <w:pPr>
              <w:jc w:val="right"/>
              <w:rPr>
                <w:rFonts w:ascii="Arial" w:eastAsia="Arial" w:hAnsi="Arial" w:cs="Arial"/>
                <w:color w:val="000000"/>
                <w:sz w:val="16"/>
              </w:rPr>
            </w:pPr>
            <w:r>
              <w:rPr>
                <w:rFonts w:ascii="Arial" w:eastAsia="Arial" w:hAnsi="Arial" w:cs="Arial"/>
                <w:color w:val="000000"/>
                <w:sz w:val="16"/>
              </w:rPr>
              <w:t>target</w:t>
            </w:r>
          </w:p>
        </w:tc>
        <w:tc>
          <w:tcPr>
            <w:tcW w:w="975"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122A1C43" w14:textId="77777777" w:rsidR="00724034" w:rsidRDefault="00FB7D0B">
            <w:pPr>
              <w:jc w:val="right"/>
              <w:rPr>
                <w:rFonts w:ascii="Arial" w:eastAsia="Arial" w:hAnsi="Arial" w:cs="Arial"/>
                <w:color w:val="000000"/>
                <w:sz w:val="16"/>
              </w:rPr>
            </w:pPr>
            <w:r>
              <w:rPr>
                <w:rFonts w:ascii="Arial" w:eastAsia="Arial" w:hAnsi="Arial" w:cs="Arial"/>
                <w:color w:val="000000"/>
                <w:sz w:val="16"/>
              </w:rPr>
              <w:t>year 1</w:t>
            </w:r>
          </w:p>
        </w:tc>
        <w:tc>
          <w:tcPr>
            <w:tcW w:w="975"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748AFBB8" w14:textId="77777777" w:rsidR="00724034" w:rsidRDefault="00FB7D0B">
            <w:pPr>
              <w:jc w:val="right"/>
              <w:rPr>
                <w:rFonts w:ascii="Arial" w:eastAsia="Arial" w:hAnsi="Arial" w:cs="Arial"/>
                <w:color w:val="000000"/>
                <w:sz w:val="16"/>
              </w:rPr>
            </w:pPr>
            <w:r>
              <w:rPr>
                <w:rFonts w:ascii="Arial" w:eastAsia="Arial" w:hAnsi="Arial" w:cs="Arial"/>
                <w:color w:val="000000"/>
                <w:sz w:val="16"/>
              </w:rPr>
              <w:t>year 2</w:t>
            </w:r>
          </w:p>
        </w:tc>
        <w:tc>
          <w:tcPr>
            <w:tcW w:w="975" w:type="dxa"/>
            <w:tcBorders>
              <w:top w:val="nil"/>
              <w:left w:val="nil"/>
              <w:bottom w:val="single" w:sz="6" w:space="0" w:color="000000"/>
              <w:right w:val="single" w:sz="6" w:space="0" w:color="000000"/>
              <w:tl2br w:val="nil"/>
              <w:tr2bl w:val="nil"/>
            </w:tcBorders>
            <w:shd w:val="clear" w:color="auto" w:fill="FFFFFF"/>
            <w:tcMar>
              <w:left w:w="115" w:type="dxa"/>
              <w:right w:w="115" w:type="dxa"/>
            </w:tcMar>
            <w:vAlign w:val="bottom"/>
          </w:tcPr>
          <w:p w14:paraId="12E7C9B1" w14:textId="77777777" w:rsidR="00724034" w:rsidRDefault="00FB7D0B">
            <w:pPr>
              <w:jc w:val="right"/>
              <w:rPr>
                <w:rFonts w:ascii="Arial" w:eastAsia="Arial" w:hAnsi="Arial" w:cs="Arial"/>
                <w:color w:val="000000"/>
                <w:sz w:val="16"/>
              </w:rPr>
            </w:pPr>
            <w:r>
              <w:rPr>
                <w:rFonts w:ascii="Arial" w:eastAsia="Arial" w:hAnsi="Arial" w:cs="Arial"/>
                <w:color w:val="000000"/>
                <w:sz w:val="16"/>
              </w:rPr>
              <w:t>year 3</w:t>
            </w:r>
          </w:p>
        </w:tc>
      </w:tr>
      <w:tr w:rsidR="00724034" w14:paraId="063626B6" w14:textId="77777777">
        <w:tblPrEx>
          <w:tblLook w:val="04A0" w:firstRow="1" w:lastRow="0" w:firstColumn="1" w:lastColumn="0" w:noHBand="0" w:noVBand="1"/>
        </w:tblPrEx>
        <w:trPr>
          <w:trHeight w:hRule="exact" w:val="60"/>
        </w:trPr>
        <w:tc>
          <w:tcPr>
            <w:tcW w:w="3210" w:type="dxa"/>
            <w:tcBorders>
              <w:top w:val="single" w:sz="6" w:space="0" w:color="000000"/>
              <w:left w:val="single" w:sz="6" w:space="0" w:color="000000"/>
              <w:bottom w:val="nil"/>
              <w:right w:val="nil"/>
              <w:tl2br w:val="nil"/>
              <w:tr2bl w:val="nil"/>
            </w:tcBorders>
            <w:shd w:val="clear" w:color="auto" w:fill="FFFFFF"/>
            <w:tcMar>
              <w:left w:w="115" w:type="dxa"/>
              <w:right w:w="115" w:type="dxa"/>
            </w:tcMar>
            <w:vAlign w:val="bottom"/>
          </w:tcPr>
          <w:p w14:paraId="3B13D504" w14:textId="77777777" w:rsidR="00724034" w:rsidRDefault="00724034">
            <w:pPr>
              <w:rPr>
                <w:rFonts w:ascii="Arial" w:eastAsia="Arial" w:hAnsi="Arial" w:cs="Arial"/>
                <w:color w:val="000000"/>
                <w:sz w:val="16"/>
              </w:rPr>
            </w:pPr>
          </w:p>
        </w:tc>
        <w:tc>
          <w:tcPr>
            <w:tcW w:w="975"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02DFC469" w14:textId="77777777" w:rsidR="00724034" w:rsidRDefault="00724034">
            <w:pPr>
              <w:jc w:val="right"/>
              <w:rPr>
                <w:rFonts w:ascii="Arial" w:eastAsia="Arial" w:hAnsi="Arial" w:cs="Arial"/>
                <w:color w:val="000000"/>
                <w:sz w:val="16"/>
              </w:rPr>
            </w:pPr>
          </w:p>
        </w:tc>
        <w:tc>
          <w:tcPr>
            <w:tcW w:w="975" w:type="dxa"/>
            <w:tcBorders>
              <w:top w:val="single" w:sz="6" w:space="0" w:color="000000"/>
              <w:left w:val="nil"/>
              <w:bottom w:val="nil"/>
              <w:right w:val="nil"/>
              <w:tl2br w:val="nil"/>
              <w:tr2bl w:val="nil"/>
            </w:tcBorders>
            <w:shd w:val="clear" w:color="auto" w:fill="FFFF00"/>
            <w:tcMar>
              <w:left w:w="115" w:type="dxa"/>
              <w:right w:w="115" w:type="dxa"/>
            </w:tcMar>
            <w:vAlign w:val="bottom"/>
          </w:tcPr>
          <w:p w14:paraId="5D7EAE55" w14:textId="77777777" w:rsidR="00724034" w:rsidRDefault="00724034">
            <w:pPr>
              <w:jc w:val="right"/>
              <w:rPr>
                <w:rFonts w:ascii="Arial" w:eastAsia="Arial" w:hAnsi="Arial" w:cs="Arial"/>
                <w:color w:val="000000"/>
                <w:sz w:val="16"/>
              </w:rPr>
            </w:pPr>
          </w:p>
        </w:tc>
        <w:tc>
          <w:tcPr>
            <w:tcW w:w="975"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5FF2E9F1" w14:textId="77777777" w:rsidR="00724034" w:rsidRDefault="00724034">
            <w:pPr>
              <w:jc w:val="right"/>
              <w:rPr>
                <w:rFonts w:ascii="Arial" w:eastAsia="Arial" w:hAnsi="Arial" w:cs="Arial"/>
                <w:color w:val="000000"/>
                <w:sz w:val="16"/>
              </w:rPr>
            </w:pPr>
          </w:p>
        </w:tc>
        <w:tc>
          <w:tcPr>
            <w:tcW w:w="975"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0505A516" w14:textId="77777777" w:rsidR="00724034" w:rsidRDefault="00724034">
            <w:pPr>
              <w:jc w:val="right"/>
              <w:rPr>
                <w:rFonts w:ascii="Arial" w:eastAsia="Arial" w:hAnsi="Arial" w:cs="Arial"/>
                <w:color w:val="000000"/>
                <w:sz w:val="16"/>
              </w:rPr>
            </w:pPr>
          </w:p>
        </w:tc>
        <w:tc>
          <w:tcPr>
            <w:tcW w:w="975" w:type="dxa"/>
            <w:tcBorders>
              <w:top w:val="single" w:sz="6" w:space="0" w:color="000000"/>
              <w:left w:val="nil"/>
              <w:bottom w:val="nil"/>
              <w:right w:val="single" w:sz="6" w:space="0" w:color="000000"/>
              <w:tl2br w:val="nil"/>
              <w:tr2bl w:val="nil"/>
            </w:tcBorders>
            <w:shd w:val="clear" w:color="auto" w:fill="FFFFFF"/>
            <w:tcMar>
              <w:left w:w="115" w:type="dxa"/>
              <w:right w:w="115" w:type="dxa"/>
            </w:tcMar>
            <w:vAlign w:val="bottom"/>
          </w:tcPr>
          <w:p w14:paraId="449AEB00" w14:textId="77777777" w:rsidR="00724034" w:rsidRDefault="00724034">
            <w:pPr>
              <w:jc w:val="right"/>
              <w:rPr>
                <w:rFonts w:ascii="Arial" w:eastAsia="Arial" w:hAnsi="Arial" w:cs="Arial"/>
                <w:color w:val="000000"/>
                <w:sz w:val="16"/>
              </w:rPr>
            </w:pPr>
          </w:p>
        </w:tc>
      </w:tr>
      <w:tr w:rsidR="00724034" w14:paraId="7D9BB8A6" w14:textId="77777777">
        <w:tblPrEx>
          <w:tblLook w:val="04A0" w:firstRow="1" w:lastRow="0" w:firstColumn="1" w:lastColumn="0" w:noHBand="0" w:noVBand="1"/>
        </w:tblPrEx>
        <w:trPr>
          <w:trHeight w:val="225"/>
        </w:trPr>
        <w:tc>
          <w:tcPr>
            <w:tcW w:w="3210" w:type="dxa"/>
            <w:tcBorders>
              <w:top w:val="nil"/>
              <w:left w:val="single" w:sz="6" w:space="0" w:color="000000"/>
              <w:bottom w:val="nil"/>
              <w:right w:val="nil"/>
              <w:tl2br w:val="nil"/>
              <w:tr2bl w:val="nil"/>
            </w:tcBorders>
            <w:shd w:val="clear" w:color="auto" w:fill="FFFFFF"/>
            <w:tcMar>
              <w:left w:w="115" w:type="dxa"/>
              <w:right w:w="115" w:type="dxa"/>
            </w:tcMar>
            <w:vAlign w:val="bottom"/>
          </w:tcPr>
          <w:p w14:paraId="6677C112" w14:textId="77777777" w:rsidR="00724034" w:rsidRDefault="00FB7D0B">
            <w:pPr>
              <w:rPr>
                <w:rFonts w:ascii="Arial" w:eastAsia="Arial" w:hAnsi="Arial" w:cs="Arial"/>
                <w:color w:val="000000"/>
                <w:sz w:val="16"/>
              </w:rPr>
            </w:pPr>
            <w:r>
              <w:rPr>
                <w:rFonts w:ascii="Arial" w:eastAsia="Arial" w:hAnsi="Arial" w:cs="Arial"/>
                <w:i/>
                <w:color w:val="000000"/>
                <w:sz w:val="16"/>
              </w:rPr>
              <w:t xml:space="preserve">Quality: </w:t>
            </w:r>
            <w:r>
              <w:rPr>
                <w:rFonts w:ascii="Arial" w:eastAsia="Arial" w:hAnsi="Arial" w:cs="Arial"/>
                <w:color w:val="000000"/>
                <w:sz w:val="16"/>
              </w:rPr>
              <w:t xml:space="preserve">Critical errors under SRCA </w:t>
            </w:r>
          </w:p>
        </w:tc>
        <w:tc>
          <w:tcPr>
            <w:tcW w:w="975" w:type="dxa"/>
            <w:tcBorders>
              <w:top w:val="nil"/>
              <w:left w:val="nil"/>
              <w:bottom w:val="nil"/>
              <w:right w:val="nil"/>
              <w:tl2br w:val="nil"/>
              <w:tr2bl w:val="nil"/>
            </w:tcBorders>
            <w:shd w:val="clear" w:color="auto" w:fill="FFFFFF"/>
            <w:tcMar>
              <w:left w:w="115" w:type="dxa"/>
              <w:right w:w="115" w:type="dxa"/>
            </w:tcMar>
            <w:vAlign w:val="bottom"/>
          </w:tcPr>
          <w:p w14:paraId="1B36CF25" w14:textId="77777777" w:rsidR="00724034" w:rsidRDefault="00FB7D0B">
            <w:pPr>
              <w:jc w:val="right"/>
              <w:rPr>
                <w:rFonts w:ascii="Arial" w:eastAsia="Arial" w:hAnsi="Arial" w:cs="Arial"/>
                <w:color w:val="000000"/>
                <w:sz w:val="16"/>
              </w:rPr>
            </w:pPr>
            <w:r>
              <w:rPr>
                <w:rFonts w:ascii="Arial" w:eastAsia="Arial" w:hAnsi="Arial" w:cs="Arial"/>
                <w:color w:val="000000"/>
                <w:sz w:val="16"/>
              </w:rPr>
              <w:t>&lt; 5%</w:t>
            </w:r>
          </w:p>
        </w:tc>
        <w:tc>
          <w:tcPr>
            <w:tcW w:w="975" w:type="dxa"/>
            <w:tcBorders>
              <w:top w:val="nil"/>
              <w:left w:val="nil"/>
              <w:bottom w:val="nil"/>
              <w:right w:val="nil"/>
              <w:tl2br w:val="nil"/>
              <w:tr2bl w:val="nil"/>
            </w:tcBorders>
            <w:shd w:val="clear" w:color="auto" w:fill="FFFF00"/>
            <w:tcMar>
              <w:left w:w="115" w:type="dxa"/>
              <w:right w:w="115" w:type="dxa"/>
            </w:tcMar>
            <w:vAlign w:val="bottom"/>
          </w:tcPr>
          <w:p w14:paraId="20B57EBB" w14:textId="77777777" w:rsidR="00724034" w:rsidRDefault="00FB7D0B">
            <w:pPr>
              <w:jc w:val="right"/>
              <w:rPr>
                <w:rFonts w:ascii="Arial" w:eastAsia="Arial" w:hAnsi="Arial" w:cs="Arial"/>
                <w:color w:val="000000"/>
                <w:sz w:val="16"/>
              </w:rPr>
            </w:pPr>
            <w:r>
              <w:rPr>
                <w:rFonts w:ascii="Arial" w:eastAsia="Arial" w:hAnsi="Arial" w:cs="Arial"/>
                <w:color w:val="000000"/>
                <w:sz w:val="16"/>
              </w:rPr>
              <w:t>&lt; 5%</w:t>
            </w:r>
          </w:p>
        </w:tc>
        <w:tc>
          <w:tcPr>
            <w:tcW w:w="975" w:type="dxa"/>
            <w:tcBorders>
              <w:top w:val="nil"/>
              <w:left w:val="nil"/>
              <w:bottom w:val="nil"/>
              <w:right w:val="nil"/>
              <w:tl2br w:val="nil"/>
              <w:tr2bl w:val="nil"/>
            </w:tcBorders>
            <w:shd w:val="clear" w:color="auto" w:fill="FFFFFF"/>
            <w:tcMar>
              <w:left w:w="115" w:type="dxa"/>
              <w:right w:w="115" w:type="dxa"/>
            </w:tcMar>
            <w:vAlign w:val="bottom"/>
          </w:tcPr>
          <w:p w14:paraId="6DCB9FED" w14:textId="77777777" w:rsidR="00724034" w:rsidRDefault="00FB7D0B">
            <w:pPr>
              <w:jc w:val="right"/>
              <w:rPr>
                <w:rFonts w:ascii="Arial" w:eastAsia="Arial" w:hAnsi="Arial" w:cs="Arial"/>
                <w:color w:val="000000"/>
                <w:sz w:val="16"/>
              </w:rPr>
            </w:pPr>
            <w:r>
              <w:rPr>
                <w:rFonts w:ascii="Arial" w:eastAsia="Arial" w:hAnsi="Arial" w:cs="Arial"/>
                <w:color w:val="000000"/>
                <w:sz w:val="16"/>
              </w:rPr>
              <w:t>&lt; 5%</w:t>
            </w:r>
          </w:p>
        </w:tc>
        <w:tc>
          <w:tcPr>
            <w:tcW w:w="975" w:type="dxa"/>
            <w:tcBorders>
              <w:top w:val="nil"/>
              <w:left w:val="nil"/>
              <w:bottom w:val="nil"/>
              <w:right w:val="nil"/>
              <w:tl2br w:val="nil"/>
              <w:tr2bl w:val="nil"/>
            </w:tcBorders>
            <w:shd w:val="clear" w:color="auto" w:fill="FFFFFF"/>
            <w:tcMar>
              <w:left w:w="115" w:type="dxa"/>
              <w:right w:w="115" w:type="dxa"/>
            </w:tcMar>
            <w:vAlign w:val="bottom"/>
          </w:tcPr>
          <w:p w14:paraId="37C338B1" w14:textId="77777777" w:rsidR="00724034" w:rsidRDefault="00FB7D0B">
            <w:pPr>
              <w:jc w:val="right"/>
              <w:rPr>
                <w:rFonts w:ascii="Arial" w:eastAsia="Arial" w:hAnsi="Arial" w:cs="Arial"/>
                <w:color w:val="000000"/>
                <w:sz w:val="16"/>
              </w:rPr>
            </w:pPr>
            <w:r>
              <w:rPr>
                <w:rFonts w:ascii="Arial" w:eastAsia="Arial" w:hAnsi="Arial" w:cs="Arial"/>
                <w:color w:val="000000"/>
                <w:sz w:val="16"/>
              </w:rPr>
              <w:t>&lt; 5%</w:t>
            </w:r>
          </w:p>
        </w:tc>
        <w:tc>
          <w:tcPr>
            <w:tcW w:w="975" w:type="dxa"/>
            <w:tcBorders>
              <w:top w:val="nil"/>
              <w:left w:val="nil"/>
              <w:bottom w:val="nil"/>
              <w:right w:val="single" w:sz="6" w:space="0" w:color="000000"/>
              <w:tl2br w:val="nil"/>
              <w:tr2bl w:val="nil"/>
            </w:tcBorders>
            <w:shd w:val="clear" w:color="auto" w:fill="FFFFFF"/>
            <w:tcMar>
              <w:left w:w="115" w:type="dxa"/>
              <w:right w:w="115" w:type="dxa"/>
            </w:tcMar>
            <w:vAlign w:val="bottom"/>
          </w:tcPr>
          <w:p w14:paraId="57629FDD" w14:textId="77777777" w:rsidR="00724034" w:rsidRDefault="00FB7D0B">
            <w:pPr>
              <w:jc w:val="right"/>
              <w:rPr>
                <w:rFonts w:ascii="Arial" w:eastAsia="Arial" w:hAnsi="Arial" w:cs="Arial"/>
                <w:color w:val="000000"/>
                <w:sz w:val="16"/>
              </w:rPr>
            </w:pPr>
            <w:r>
              <w:rPr>
                <w:rFonts w:ascii="Arial" w:eastAsia="Arial" w:hAnsi="Arial" w:cs="Arial"/>
                <w:color w:val="000000"/>
                <w:sz w:val="16"/>
              </w:rPr>
              <w:t>&lt; 5%</w:t>
            </w:r>
          </w:p>
        </w:tc>
      </w:tr>
      <w:tr w:rsidR="00724034" w14:paraId="01D65F7B" w14:textId="77777777">
        <w:tblPrEx>
          <w:tblLook w:val="04A0" w:firstRow="1" w:lastRow="0" w:firstColumn="1" w:lastColumn="0" w:noHBand="0" w:noVBand="1"/>
        </w:tblPrEx>
        <w:trPr>
          <w:trHeight w:hRule="exact" w:val="30"/>
        </w:trPr>
        <w:tc>
          <w:tcPr>
            <w:tcW w:w="3210" w:type="dxa"/>
            <w:tcBorders>
              <w:top w:val="nil"/>
              <w:left w:val="single" w:sz="6" w:space="0" w:color="000000"/>
              <w:bottom w:val="nil"/>
              <w:right w:val="nil"/>
              <w:tl2br w:val="nil"/>
              <w:tr2bl w:val="nil"/>
            </w:tcBorders>
            <w:shd w:val="clear" w:color="auto" w:fill="FFFFFF"/>
            <w:tcMar>
              <w:left w:w="115" w:type="dxa"/>
              <w:right w:w="115" w:type="dxa"/>
            </w:tcMar>
            <w:vAlign w:val="bottom"/>
          </w:tcPr>
          <w:p w14:paraId="5A07B090" w14:textId="77777777" w:rsidR="00724034" w:rsidRDefault="00724034">
            <w:pPr>
              <w:rPr>
                <w:rFonts w:ascii="Arial" w:eastAsia="Arial" w:hAnsi="Arial" w:cs="Arial"/>
                <w:color w:val="000000"/>
                <w:sz w:val="16"/>
              </w:rPr>
            </w:pPr>
          </w:p>
        </w:tc>
        <w:tc>
          <w:tcPr>
            <w:tcW w:w="975" w:type="dxa"/>
            <w:tcBorders>
              <w:top w:val="nil"/>
              <w:left w:val="nil"/>
              <w:bottom w:val="nil"/>
              <w:right w:val="nil"/>
              <w:tl2br w:val="nil"/>
              <w:tr2bl w:val="nil"/>
            </w:tcBorders>
            <w:shd w:val="clear" w:color="auto" w:fill="FFFFFF"/>
            <w:tcMar>
              <w:left w:w="115" w:type="dxa"/>
              <w:right w:w="115" w:type="dxa"/>
            </w:tcMar>
            <w:vAlign w:val="bottom"/>
          </w:tcPr>
          <w:p w14:paraId="740D72AE" w14:textId="77777777" w:rsidR="00724034" w:rsidRDefault="00724034">
            <w:pPr>
              <w:jc w:val="right"/>
              <w:rPr>
                <w:rFonts w:ascii="Arial" w:eastAsia="Arial" w:hAnsi="Arial" w:cs="Arial"/>
                <w:i/>
                <w:color w:val="000000"/>
                <w:sz w:val="16"/>
              </w:rPr>
            </w:pPr>
          </w:p>
        </w:tc>
        <w:tc>
          <w:tcPr>
            <w:tcW w:w="975" w:type="dxa"/>
            <w:tcBorders>
              <w:top w:val="nil"/>
              <w:left w:val="nil"/>
              <w:bottom w:val="nil"/>
              <w:right w:val="nil"/>
              <w:tl2br w:val="nil"/>
              <w:tr2bl w:val="nil"/>
            </w:tcBorders>
            <w:shd w:val="clear" w:color="auto" w:fill="FFFF00"/>
            <w:tcMar>
              <w:left w:w="115" w:type="dxa"/>
              <w:right w:w="115" w:type="dxa"/>
            </w:tcMar>
            <w:vAlign w:val="bottom"/>
          </w:tcPr>
          <w:p w14:paraId="42F56C68" w14:textId="77777777" w:rsidR="00724034" w:rsidRDefault="00724034">
            <w:pPr>
              <w:jc w:val="right"/>
              <w:rPr>
                <w:rFonts w:ascii="Arial" w:eastAsia="Arial" w:hAnsi="Arial" w:cs="Arial"/>
                <w:color w:val="000000"/>
                <w:sz w:val="16"/>
              </w:rPr>
            </w:pPr>
          </w:p>
        </w:tc>
        <w:tc>
          <w:tcPr>
            <w:tcW w:w="975" w:type="dxa"/>
            <w:tcBorders>
              <w:top w:val="nil"/>
              <w:left w:val="nil"/>
              <w:bottom w:val="nil"/>
              <w:right w:val="nil"/>
              <w:tl2br w:val="nil"/>
              <w:tr2bl w:val="nil"/>
            </w:tcBorders>
            <w:shd w:val="clear" w:color="auto" w:fill="FFFFFF"/>
            <w:tcMar>
              <w:left w:w="115" w:type="dxa"/>
              <w:right w:w="115" w:type="dxa"/>
            </w:tcMar>
            <w:vAlign w:val="bottom"/>
          </w:tcPr>
          <w:p w14:paraId="5C4C9A89" w14:textId="77777777" w:rsidR="00724034" w:rsidRDefault="00724034">
            <w:pPr>
              <w:jc w:val="right"/>
              <w:rPr>
                <w:rFonts w:ascii="Arial" w:eastAsia="Arial" w:hAnsi="Arial" w:cs="Arial"/>
                <w:color w:val="000000"/>
                <w:sz w:val="16"/>
              </w:rPr>
            </w:pPr>
          </w:p>
        </w:tc>
        <w:tc>
          <w:tcPr>
            <w:tcW w:w="975" w:type="dxa"/>
            <w:tcBorders>
              <w:top w:val="nil"/>
              <w:left w:val="nil"/>
              <w:bottom w:val="nil"/>
              <w:right w:val="nil"/>
              <w:tl2br w:val="nil"/>
              <w:tr2bl w:val="nil"/>
            </w:tcBorders>
            <w:shd w:val="clear" w:color="auto" w:fill="FFFFFF"/>
            <w:tcMar>
              <w:left w:w="115" w:type="dxa"/>
              <w:right w:w="115" w:type="dxa"/>
            </w:tcMar>
            <w:vAlign w:val="bottom"/>
          </w:tcPr>
          <w:p w14:paraId="01D161ED" w14:textId="77777777" w:rsidR="00724034" w:rsidRDefault="00724034">
            <w:pPr>
              <w:jc w:val="right"/>
              <w:rPr>
                <w:rFonts w:ascii="Arial" w:eastAsia="Arial" w:hAnsi="Arial" w:cs="Arial"/>
                <w:color w:val="000000"/>
                <w:sz w:val="16"/>
              </w:rPr>
            </w:pPr>
          </w:p>
        </w:tc>
        <w:tc>
          <w:tcPr>
            <w:tcW w:w="975" w:type="dxa"/>
            <w:tcBorders>
              <w:top w:val="nil"/>
              <w:left w:val="nil"/>
              <w:bottom w:val="nil"/>
              <w:right w:val="single" w:sz="6" w:space="0" w:color="000000"/>
              <w:tl2br w:val="nil"/>
              <w:tr2bl w:val="nil"/>
            </w:tcBorders>
            <w:shd w:val="clear" w:color="auto" w:fill="FFFFFF"/>
            <w:tcMar>
              <w:left w:w="115" w:type="dxa"/>
              <w:right w:w="115" w:type="dxa"/>
            </w:tcMar>
            <w:vAlign w:val="bottom"/>
          </w:tcPr>
          <w:p w14:paraId="58A660A4" w14:textId="77777777" w:rsidR="00724034" w:rsidRDefault="00724034">
            <w:pPr>
              <w:jc w:val="right"/>
              <w:rPr>
                <w:rFonts w:ascii="Arial" w:eastAsia="Arial" w:hAnsi="Arial" w:cs="Arial"/>
                <w:color w:val="000000"/>
                <w:sz w:val="16"/>
              </w:rPr>
            </w:pPr>
          </w:p>
        </w:tc>
      </w:tr>
      <w:tr w:rsidR="00724034" w14:paraId="0DFEC002" w14:textId="77777777">
        <w:tblPrEx>
          <w:tblLook w:val="04A0" w:firstRow="1" w:lastRow="0" w:firstColumn="1" w:lastColumn="0" w:noHBand="0" w:noVBand="1"/>
        </w:tblPrEx>
        <w:trPr>
          <w:trHeight w:val="450"/>
        </w:trPr>
        <w:tc>
          <w:tcPr>
            <w:tcW w:w="3210" w:type="dxa"/>
            <w:tcBorders>
              <w:top w:val="nil"/>
              <w:left w:val="single" w:sz="6" w:space="0" w:color="000000"/>
              <w:bottom w:val="nil"/>
              <w:right w:val="nil"/>
              <w:tl2br w:val="nil"/>
              <w:tr2bl w:val="nil"/>
            </w:tcBorders>
            <w:shd w:val="clear" w:color="auto" w:fill="FFFFFF"/>
            <w:tcMar>
              <w:left w:w="115" w:type="dxa"/>
              <w:right w:w="115" w:type="dxa"/>
            </w:tcMar>
            <w:vAlign w:val="bottom"/>
          </w:tcPr>
          <w:p w14:paraId="1819AB62" w14:textId="77777777" w:rsidR="00724034" w:rsidRDefault="00FB7D0B">
            <w:pPr>
              <w:rPr>
                <w:rFonts w:ascii="Arial" w:eastAsia="Arial" w:hAnsi="Arial" w:cs="Arial"/>
                <w:color w:val="000000"/>
                <w:sz w:val="16"/>
              </w:rPr>
            </w:pPr>
            <w:r>
              <w:rPr>
                <w:rFonts w:ascii="Arial" w:eastAsia="Arial" w:hAnsi="Arial" w:cs="Arial"/>
                <w:i/>
                <w:color w:val="000000"/>
                <w:sz w:val="16"/>
              </w:rPr>
              <w:t>Timeliness Target:</w:t>
            </w:r>
            <w:r>
              <w:rPr>
                <w:rFonts w:ascii="Arial" w:eastAsia="Arial" w:hAnsi="Arial" w:cs="Arial"/>
                <w:color w:val="000000"/>
                <w:sz w:val="16"/>
              </w:rPr>
              <w:t xml:space="preserve"> Mean number of days to determine a liability under the SRCA</w:t>
            </w:r>
          </w:p>
        </w:tc>
        <w:tc>
          <w:tcPr>
            <w:tcW w:w="975" w:type="dxa"/>
            <w:tcBorders>
              <w:top w:val="nil"/>
              <w:left w:val="nil"/>
              <w:bottom w:val="nil"/>
              <w:right w:val="nil"/>
              <w:tl2br w:val="nil"/>
              <w:tr2bl w:val="nil"/>
            </w:tcBorders>
            <w:shd w:val="clear" w:color="auto" w:fill="FFFFFF"/>
            <w:tcMar>
              <w:left w:w="115" w:type="dxa"/>
              <w:right w:w="115" w:type="dxa"/>
            </w:tcMar>
            <w:vAlign w:val="bottom"/>
          </w:tcPr>
          <w:p w14:paraId="2BD07CD6" w14:textId="77777777" w:rsidR="00724034" w:rsidRDefault="00FB7D0B">
            <w:pPr>
              <w:jc w:val="right"/>
              <w:rPr>
                <w:rFonts w:ascii="Arial" w:eastAsia="Arial" w:hAnsi="Arial" w:cs="Arial"/>
                <w:color w:val="000000"/>
                <w:sz w:val="16"/>
              </w:rPr>
            </w:pPr>
            <w:r>
              <w:rPr>
                <w:rFonts w:ascii="Arial" w:eastAsia="Arial" w:hAnsi="Arial" w:cs="Arial"/>
                <w:color w:val="000000"/>
                <w:sz w:val="16"/>
              </w:rPr>
              <w:t>120 </w:t>
            </w:r>
          </w:p>
        </w:tc>
        <w:tc>
          <w:tcPr>
            <w:tcW w:w="975" w:type="dxa"/>
            <w:tcBorders>
              <w:top w:val="nil"/>
              <w:left w:val="nil"/>
              <w:bottom w:val="nil"/>
              <w:right w:val="nil"/>
              <w:tl2br w:val="nil"/>
              <w:tr2bl w:val="nil"/>
            </w:tcBorders>
            <w:shd w:val="clear" w:color="auto" w:fill="FFFF00"/>
            <w:tcMar>
              <w:left w:w="115" w:type="dxa"/>
              <w:right w:w="115" w:type="dxa"/>
            </w:tcMar>
            <w:vAlign w:val="bottom"/>
          </w:tcPr>
          <w:p w14:paraId="7851EAFD" w14:textId="77777777" w:rsidR="00724034" w:rsidRDefault="00FB7D0B">
            <w:pPr>
              <w:jc w:val="right"/>
              <w:rPr>
                <w:rFonts w:ascii="Arial" w:eastAsia="Arial" w:hAnsi="Arial" w:cs="Arial"/>
                <w:color w:val="000000"/>
                <w:sz w:val="16"/>
              </w:rPr>
            </w:pPr>
            <w:r>
              <w:rPr>
                <w:rFonts w:ascii="Arial" w:eastAsia="Arial" w:hAnsi="Arial" w:cs="Arial"/>
                <w:color w:val="000000"/>
                <w:sz w:val="16"/>
              </w:rPr>
              <w:t>120 </w:t>
            </w:r>
          </w:p>
        </w:tc>
        <w:tc>
          <w:tcPr>
            <w:tcW w:w="975" w:type="dxa"/>
            <w:tcBorders>
              <w:top w:val="nil"/>
              <w:left w:val="nil"/>
              <w:bottom w:val="nil"/>
              <w:right w:val="nil"/>
              <w:tl2br w:val="nil"/>
              <w:tr2bl w:val="nil"/>
            </w:tcBorders>
            <w:shd w:val="clear" w:color="auto" w:fill="FFFFFF"/>
            <w:tcMar>
              <w:left w:w="115" w:type="dxa"/>
              <w:right w:w="115" w:type="dxa"/>
            </w:tcMar>
            <w:vAlign w:val="bottom"/>
          </w:tcPr>
          <w:p w14:paraId="79B0F686" w14:textId="77777777" w:rsidR="00724034" w:rsidRDefault="00FB7D0B">
            <w:pPr>
              <w:jc w:val="right"/>
              <w:rPr>
                <w:rFonts w:ascii="Arial" w:eastAsia="Arial" w:hAnsi="Arial" w:cs="Arial"/>
                <w:color w:val="000000"/>
                <w:sz w:val="16"/>
              </w:rPr>
            </w:pPr>
            <w:r>
              <w:rPr>
                <w:rFonts w:ascii="Arial" w:eastAsia="Arial" w:hAnsi="Arial" w:cs="Arial"/>
                <w:color w:val="000000"/>
                <w:sz w:val="16"/>
              </w:rPr>
              <w:t>120 </w:t>
            </w:r>
          </w:p>
        </w:tc>
        <w:tc>
          <w:tcPr>
            <w:tcW w:w="975" w:type="dxa"/>
            <w:tcBorders>
              <w:top w:val="nil"/>
              <w:left w:val="nil"/>
              <w:bottom w:val="nil"/>
              <w:right w:val="nil"/>
              <w:tl2br w:val="nil"/>
              <w:tr2bl w:val="nil"/>
            </w:tcBorders>
            <w:shd w:val="clear" w:color="auto" w:fill="FFFFFF"/>
            <w:tcMar>
              <w:left w:w="115" w:type="dxa"/>
              <w:right w:w="115" w:type="dxa"/>
            </w:tcMar>
            <w:vAlign w:val="bottom"/>
          </w:tcPr>
          <w:p w14:paraId="14EE7462" w14:textId="77777777" w:rsidR="00724034" w:rsidRDefault="00FB7D0B">
            <w:pPr>
              <w:jc w:val="right"/>
              <w:rPr>
                <w:rFonts w:ascii="Arial" w:eastAsia="Arial" w:hAnsi="Arial" w:cs="Arial"/>
                <w:color w:val="000000"/>
                <w:sz w:val="16"/>
              </w:rPr>
            </w:pPr>
            <w:r>
              <w:rPr>
                <w:rFonts w:ascii="Arial" w:eastAsia="Arial" w:hAnsi="Arial" w:cs="Arial"/>
                <w:color w:val="000000"/>
                <w:sz w:val="16"/>
              </w:rPr>
              <w:t>120 </w:t>
            </w:r>
          </w:p>
        </w:tc>
        <w:tc>
          <w:tcPr>
            <w:tcW w:w="975" w:type="dxa"/>
            <w:tcBorders>
              <w:top w:val="nil"/>
              <w:left w:val="nil"/>
              <w:bottom w:val="nil"/>
              <w:right w:val="single" w:sz="6" w:space="0" w:color="000000"/>
              <w:tl2br w:val="nil"/>
              <w:tr2bl w:val="nil"/>
            </w:tcBorders>
            <w:shd w:val="clear" w:color="auto" w:fill="FFFFFF"/>
            <w:tcMar>
              <w:left w:w="115" w:type="dxa"/>
              <w:right w:w="115" w:type="dxa"/>
            </w:tcMar>
            <w:vAlign w:val="bottom"/>
          </w:tcPr>
          <w:p w14:paraId="1AF39744" w14:textId="77777777" w:rsidR="00724034" w:rsidRDefault="00FB7D0B">
            <w:pPr>
              <w:jc w:val="right"/>
              <w:rPr>
                <w:rFonts w:ascii="Arial" w:eastAsia="Arial" w:hAnsi="Arial" w:cs="Arial"/>
                <w:color w:val="000000"/>
                <w:sz w:val="16"/>
              </w:rPr>
            </w:pPr>
            <w:r>
              <w:rPr>
                <w:rFonts w:ascii="Arial" w:eastAsia="Arial" w:hAnsi="Arial" w:cs="Arial"/>
                <w:color w:val="000000"/>
                <w:sz w:val="16"/>
              </w:rPr>
              <w:t>120 </w:t>
            </w:r>
          </w:p>
        </w:tc>
      </w:tr>
      <w:tr w:rsidR="00724034" w14:paraId="077CCF9C" w14:textId="77777777">
        <w:tblPrEx>
          <w:tblLook w:val="04A0" w:firstRow="1" w:lastRow="0" w:firstColumn="1" w:lastColumn="0" w:noHBand="0" w:noVBand="1"/>
        </w:tblPrEx>
        <w:trPr>
          <w:trHeight w:hRule="exact" w:val="30"/>
        </w:trPr>
        <w:tc>
          <w:tcPr>
            <w:tcW w:w="3210" w:type="dxa"/>
            <w:tcBorders>
              <w:top w:val="nil"/>
              <w:left w:val="single" w:sz="6" w:space="0" w:color="000000"/>
              <w:bottom w:val="nil"/>
              <w:right w:val="nil"/>
              <w:tl2br w:val="nil"/>
              <w:tr2bl w:val="nil"/>
            </w:tcBorders>
            <w:shd w:val="clear" w:color="auto" w:fill="FFFFFF"/>
            <w:tcMar>
              <w:left w:w="115" w:type="dxa"/>
              <w:right w:w="115" w:type="dxa"/>
            </w:tcMar>
            <w:vAlign w:val="bottom"/>
          </w:tcPr>
          <w:p w14:paraId="0118B7F7" w14:textId="77777777" w:rsidR="00724034" w:rsidRDefault="00724034">
            <w:pPr>
              <w:rPr>
                <w:rFonts w:ascii="Arial" w:eastAsia="Arial" w:hAnsi="Arial" w:cs="Arial"/>
                <w:color w:val="000000"/>
                <w:sz w:val="16"/>
              </w:rPr>
            </w:pPr>
          </w:p>
        </w:tc>
        <w:tc>
          <w:tcPr>
            <w:tcW w:w="975" w:type="dxa"/>
            <w:tcBorders>
              <w:top w:val="nil"/>
              <w:left w:val="nil"/>
              <w:bottom w:val="nil"/>
              <w:right w:val="nil"/>
              <w:tl2br w:val="nil"/>
              <w:tr2bl w:val="nil"/>
            </w:tcBorders>
            <w:shd w:val="clear" w:color="auto" w:fill="FFFFFF"/>
            <w:tcMar>
              <w:left w:w="115" w:type="dxa"/>
              <w:right w:w="115" w:type="dxa"/>
            </w:tcMar>
            <w:vAlign w:val="bottom"/>
          </w:tcPr>
          <w:p w14:paraId="2C562ACA" w14:textId="77777777" w:rsidR="00724034" w:rsidRDefault="00724034">
            <w:pPr>
              <w:jc w:val="right"/>
              <w:rPr>
                <w:rFonts w:ascii="Arial" w:eastAsia="Arial" w:hAnsi="Arial" w:cs="Arial"/>
                <w:i/>
                <w:color w:val="000000"/>
                <w:sz w:val="16"/>
              </w:rPr>
            </w:pPr>
          </w:p>
        </w:tc>
        <w:tc>
          <w:tcPr>
            <w:tcW w:w="975" w:type="dxa"/>
            <w:tcBorders>
              <w:top w:val="nil"/>
              <w:left w:val="nil"/>
              <w:bottom w:val="nil"/>
              <w:right w:val="nil"/>
              <w:tl2br w:val="nil"/>
              <w:tr2bl w:val="nil"/>
            </w:tcBorders>
            <w:shd w:val="clear" w:color="auto" w:fill="FFFF00"/>
            <w:tcMar>
              <w:left w:w="115" w:type="dxa"/>
              <w:right w:w="115" w:type="dxa"/>
            </w:tcMar>
            <w:vAlign w:val="bottom"/>
          </w:tcPr>
          <w:p w14:paraId="00B459BC" w14:textId="77777777" w:rsidR="00724034" w:rsidRDefault="00724034">
            <w:pPr>
              <w:jc w:val="right"/>
              <w:rPr>
                <w:rFonts w:ascii="Arial" w:eastAsia="Arial" w:hAnsi="Arial" w:cs="Arial"/>
                <w:color w:val="000000"/>
                <w:sz w:val="16"/>
              </w:rPr>
            </w:pPr>
          </w:p>
        </w:tc>
        <w:tc>
          <w:tcPr>
            <w:tcW w:w="975" w:type="dxa"/>
            <w:tcBorders>
              <w:top w:val="nil"/>
              <w:left w:val="nil"/>
              <w:bottom w:val="nil"/>
              <w:right w:val="nil"/>
              <w:tl2br w:val="nil"/>
              <w:tr2bl w:val="nil"/>
            </w:tcBorders>
            <w:shd w:val="clear" w:color="auto" w:fill="FFFFFF"/>
            <w:tcMar>
              <w:left w:w="115" w:type="dxa"/>
              <w:right w:w="115" w:type="dxa"/>
            </w:tcMar>
            <w:vAlign w:val="bottom"/>
          </w:tcPr>
          <w:p w14:paraId="21E331D1" w14:textId="77777777" w:rsidR="00724034" w:rsidRDefault="00724034">
            <w:pPr>
              <w:jc w:val="right"/>
              <w:rPr>
                <w:rFonts w:ascii="Arial" w:eastAsia="Arial" w:hAnsi="Arial" w:cs="Arial"/>
                <w:color w:val="000000"/>
                <w:sz w:val="16"/>
              </w:rPr>
            </w:pPr>
          </w:p>
        </w:tc>
        <w:tc>
          <w:tcPr>
            <w:tcW w:w="975" w:type="dxa"/>
            <w:tcBorders>
              <w:top w:val="nil"/>
              <w:left w:val="nil"/>
              <w:bottom w:val="nil"/>
              <w:right w:val="nil"/>
              <w:tl2br w:val="nil"/>
              <w:tr2bl w:val="nil"/>
            </w:tcBorders>
            <w:shd w:val="clear" w:color="auto" w:fill="FFFFFF"/>
            <w:tcMar>
              <w:left w:w="115" w:type="dxa"/>
              <w:right w:w="115" w:type="dxa"/>
            </w:tcMar>
            <w:vAlign w:val="bottom"/>
          </w:tcPr>
          <w:p w14:paraId="23FAD6B7" w14:textId="77777777" w:rsidR="00724034" w:rsidRDefault="00724034">
            <w:pPr>
              <w:jc w:val="right"/>
              <w:rPr>
                <w:rFonts w:ascii="Arial" w:eastAsia="Arial" w:hAnsi="Arial" w:cs="Arial"/>
                <w:color w:val="000000"/>
                <w:sz w:val="16"/>
              </w:rPr>
            </w:pPr>
          </w:p>
        </w:tc>
        <w:tc>
          <w:tcPr>
            <w:tcW w:w="975" w:type="dxa"/>
            <w:tcBorders>
              <w:top w:val="nil"/>
              <w:left w:val="nil"/>
              <w:bottom w:val="nil"/>
              <w:right w:val="single" w:sz="6" w:space="0" w:color="000000"/>
              <w:tl2br w:val="nil"/>
              <w:tr2bl w:val="nil"/>
            </w:tcBorders>
            <w:shd w:val="clear" w:color="auto" w:fill="FFFFFF"/>
            <w:tcMar>
              <w:left w:w="115" w:type="dxa"/>
              <w:right w:w="115" w:type="dxa"/>
            </w:tcMar>
            <w:vAlign w:val="bottom"/>
          </w:tcPr>
          <w:p w14:paraId="690BDF27" w14:textId="77777777" w:rsidR="00724034" w:rsidRDefault="00724034">
            <w:pPr>
              <w:jc w:val="right"/>
              <w:rPr>
                <w:rFonts w:ascii="Arial" w:eastAsia="Arial" w:hAnsi="Arial" w:cs="Arial"/>
                <w:color w:val="000000"/>
                <w:sz w:val="16"/>
              </w:rPr>
            </w:pPr>
          </w:p>
        </w:tc>
      </w:tr>
      <w:tr w:rsidR="00724034" w14:paraId="5CC65024" w14:textId="77777777">
        <w:tblPrEx>
          <w:tblLook w:val="04A0" w:firstRow="1" w:lastRow="0" w:firstColumn="1" w:lastColumn="0" w:noHBand="0" w:noVBand="1"/>
        </w:tblPrEx>
        <w:trPr>
          <w:trHeight w:hRule="exact" w:val="30"/>
        </w:trPr>
        <w:tc>
          <w:tcPr>
            <w:tcW w:w="3210" w:type="dxa"/>
            <w:tcBorders>
              <w:top w:val="nil"/>
              <w:left w:val="single" w:sz="6" w:space="0" w:color="000000"/>
              <w:bottom w:val="nil"/>
              <w:right w:val="nil"/>
              <w:tl2br w:val="nil"/>
              <w:tr2bl w:val="nil"/>
            </w:tcBorders>
            <w:shd w:val="clear" w:color="auto" w:fill="FFFFFF"/>
            <w:tcMar>
              <w:left w:w="115" w:type="dxa"/>
              <w:right w:w="115" w:type="dxa"/>
            </w:tcMar>
            <w:vAlign w:val="bottom"/>
          </w:tcPr>
          <w:p w14:paraId="5A35517D" w14:textId="77777777" w:rsidR="00724034" w:rsidRDefault="00724034">
            <w:pPr>
              <w:rPr>
                <w:rFonts w:ascii="Arial" w:eastAsia="Arial" w:hAnsi="Arial" w:cs="Arial"/>
                <w:color w:val="000000"/>
                <w:sz w:val="16"/>
              </w:rPr>
            </w:pPr>
          </w:p>
        </w:tc>
        <w:tc>
          <w:tcPr>
            <w:tcW w:w="975" w:type="dxa"/>
            <w:tcBorders>
              <w:top w:val="nil"/>
              <w:left w:val="nil"/>
              <w:bottom w:val="nil"/>
              <w:right w:val="nil"/>
              <w:tl2br w:val="nil"/>
              <w:tr2bl w:val="nil"/>
            </w:tcBorders>
            <w:shd w:val="clear" w:color="auto" w:fill="FFFFFF"/>
            <w:tcMar>
              <w:left w:w="115" w:type="dxa"/>
              <w:right w:w="115" w:type="dxa"/>
            </w:tcMar>
            <w:vAlign w:val="bottom"/>
          </w:tcPr>
          <w:p w14:paraId="4A83FCA1" w14:textId="77777777" w:rsidR="00724034" w:rsidRDefault="00724034">
            <w:pPr>
              <w:jc w:val="right"/>
              <w:rPr>
                <w:rFonts w:ascii="Arial" w:eastAsia="Arial" w:hAnsi="Arial" w:cs="Arial"/>
                <w:i/>
                <w:color w:val="000000"/>
                <w:sz w:val="16"/>
              </w:rPr>
            </w:pPr>
          </w:p>
        </w:tc>
        <w:tc>
          <w:tcPr>
            <w:tcW w:w="975" w:type="dxa"/>
            <w:tcBorders>
              <w:top w:val="nil"/>
              <w:left w:val="nil"/>
              <w:bottom w:val="nil"/>
              <w:right w:val="nil"/>
              <w:tl2br w:val="nil"/>
              <w:tr2bl w:val="nil"/>
            </w:tcBorders>
            <w:shd w:val="clear" w:color="auto" w:fill="FFFF00"/>
            <w:tcMar>
              <w:left w:w="115" w:type="dxa"/>
              <w:right w:w="115" w:type="dxa"/>
            </w:tcMar>
            <w:vAlign w:val="bottom"/>
          </w:tcPr>
          <w:p w14:paraId="447F8C9F" w14:textId="77777777" w:rsidR="00724034" w:rsidRDefault="00724034">
            <w:pPr>
              <w:jc w:val="right"/>
              <w:rPr>
                <w:rFonts w:ascii="Arial" w:eastAsia="Arial" w:hAnsi="Arial" w:cs="Arial"/>
                <w:color w:val="000000"/>
                <w:sz w:val="16"/>
              </w:rPr>
            </w:pPr>
          </w:p>
        </w:tc>
        <w:tc>
          <w:tcPr>
            <w:tcW w:w="975" w:type="dxa"/>
            <w:tcBorders>
              <w:top w:val="nil"/>
              <w:left w:val="nil"/>
              <w:bottom w:val="nil"/>
              <w:right w:val="nil"/>
              <w:tl2br w:val="nil"/>
              <w:tr2bl w:val="nil"/>
            </w:tcBorders>
            <w:shd w:val="clear" w:color="auto" w:fill="FFFFFF"/>
            <w:tcMar>
              <w:left w:w="115" w:type="dxa"/>
              <w:right w:w="115" w:type="dxa"/>
            </w:tcMar>
            <w:vAlign w:val="bottom"/>
          </w:tcPr>
          <w:p w14:paraId="6C428B52" w14:textId="77777777" w:rsidR="00724034" w:rsidRDefault="00724034">
            <w:pPr>
              <w:jc w:val="right"/>
              <w:rPr>
                <w:rFonts w:ascii="Arial" w:eastAsia="Arial" w:hAnsi="Arial" w:cs="Arial"/>
                <w:color w:val="000000"/>
                <w:sz w:val="16"/>
              </w:rPr>
            </w:pPr>
          </w:p>
        </w:tc>
        <w:tc>
          <w:tcPr>
            <w:tcW w:w="975" w:type="dxa"/>
            <w:tcBorders>
              <w:top w:val="nil"/>
              <w:left w:val="nil"/>
              <w:bottom w:val="nil"/>
              <w:right w:val="nil"/>
              <w:tl2br w:val="nil"/>
              <w:tr2bl w:val="nil"/>
            </w:tcBorders>
            <w:shd w:val="clear" w:color="auto" w:fill="FFFFFF"/>
            <w:tcMar>
              <w:left w:w="115" w:type="dxa"/>
              <w:right w:w="115" w:type="dxa"/>
            </w:tcMar>
            <w:vAlign w:val="bottom"/>
          </w:tcPr>
          <w:p w14:paraId="4FE7C7A4" w14:textId="77777777" w:rsidR="00724034" w:rsidRDefault="00724034">
            <w:pPr>
              <w:jc w:val="right"/>
              <w:rPr>
                <w:rFonts w:ascii="Arial" w:eastAsia="Arial" w:hAnsi="Arial" w:cs="Arial"/>
                <w:color w:val="000000"/>
                <w:sz w:val="16"/>
              </w:rPr>
            </w:pPr>
          </w:p>
        </w:tc>
        <w:tc>
          <w:tcPr>
            <w:tcW w:w="975" w:type="dxa"/>
            <w:tcBorders>
              <w:top w:val="nil"/>
              <w:left w:val="nil"/>
              <w:bottom w:val="nil"/>
              <w:right w:val="single" w:sz="6" w:space="0" w:color="000000"/>
              <w:tl2br w:val="nil"/>
              <w:tr2bl w:val="nil"/>
            </w:tcBorders>
            <w:shd w:val="clear" w:color="auto" w:fill="FFFFFF"/>
            <w:tcMar>
              <w:left w:w="115" w:type="dxa"/>
              <w:right w:w="115" w:type="dxa"/>
            </w:tcMar>
            <w:vAlign w:val="bottom"/>
          </w:tcPr>
          <w:p w14:paraId="09E2CC5A" w14:textId="77777777" w:rsidR="00724034" w:rsidRDefault="00724034">
            <w:pPr>
              <w:jc w:val="right"/>
              <w:rPr>
                <w:rFonts w:ascii="Arial" w:eastAsia="Arial" w:hAnsi="Arial" w:cs="Arial"/>
                <w:color w:val="000000"/>
                <w:sz w:val="16"/>
              </w:rPr>
            </w:pPr>
          </w:p>
        </w:tc>
      </w:tr>
      <w:tr w:rsidR="00724034" w14:paraId="53F4CDF0" w14:textId="77777777">
        <w:tblPrEx>
          <w:tblLook w:val="04A0" w:firstRow="1" w:lastRow="0" w:firstColumn="1" w:lastColumn="0" w:noHBand="0" w:noVBand="1"/>
        </w:tblPrEx>
        <w:trPr>
          <w:trHeight w:val="225"/>
        </w:trPr>
        <w:tc>
          <w:tcPr>
            <w:tcW w:w="3210" w:type="dxa"/>
            <w:tcBorders>
              <w:top w:val="nil"/>
              <w:left w:val="single" w:sz="6" w:space="0" w:color="000000"/>
              <w:bottom w:val="nil"/>
              <w:right w:val="nil"/>
              <w:tl2br w:val="nil"/>
              <w:tr2bl w:val="nil"/>
            </w:tcBorders>
            <w:shd w:val="clear" w:color="auto" w:fill="FFFFFF"/>
            <w:tcMar>
              <w:left w:w="115" w:type="dxa"/>
              <w:right w:w="115" w:type="dxa"/>
            </w:tcMar>
            <w:vAlign w:val="bottom"/>
          </w:tcPr>
          <w:p w14:paraId="3EFD5ECD" w14:textId="77777777" w:rsidR="00724034" w:rsidRDefault="00FB7D0B">
            <w:pPr>
              <w:rPr>
                <w:rFonts w:ascii="Arial" w:eastAsia="Arial" w:hAnsi="Arial" w:cs="Arial"/>
                <w:color w:val="000000"/>
                <w:sz w:val="16"/>
              </w:rPr>
            </w:pPr>
            <w:r>
              <w:rPr>
                <w:rFonts w:ascii="Arial" w:eastAsia="Arial" w:hAnsi="Arial" w:cs="Arial"/>
                <w:i/>
                <w:color w:val="000000"/>
                <w:sz w:val="16"/>
              </w:rPr>
              <w:t xml:space="preserve">Quality: </w:t>
            </w:r>
            <w:r>
              <w:rPr>
                <w:rFonts w:ascii="Arial" w:eastAsia="Arial" w:hAnsi="Arial" w:cs="Arial"/>
                <w:color w:val="000000"/>
                <w:sz w:val="16"/>
              </w:rPr>
              <w:t>Critical errors under MRCA</w:t>
            </w:r>
          </w:p>
        </w:tc>
        <w:tc>
          <w:tcPr>
            <w:tcW w:w="975" w:type="dxa"/>
            <w:tcBorders>
              <w:top w:val="nil"/>
              <w:left w:val="nil"/>
              <w:bottom w:val="nil"/>
              <w:right w:val="nil"/>
              <w:tl2br w:val="nil"/>
              <w:tr2bl w:val="nil"/>
            </w:tcBorders>
            <w:shd w:val="clear" w:color="auto" w:fill="FFFFFF"/>
            <w:tcMar>
              <w:left w:w="115" w:type="dxa"/>
              <w:right w:w="115" w:type="dxa"/>
            </w:tcMar>
            <w:vAlign w:val="bottom"/>
          </w:tcPr>
          <w:p w14:paraId="192AC3A1" w14:textId="77777777" w:rsidR="00724034" w:rsidRDefault="00FB7D0B">
            <w:pPr>
              <w:jc w:val="right"/>
              <w:rPr>
                <w:rFonts w:ascii="Arial" w:eastAsia="Arial" w:hAnsi="Arial" w:cs="Arial"/>
                <w:color w:val="000000"/>
                <w:sz w:val="16"/>
              </w:rPr>
            </w:pPr>
            <w:r>
              <w:rPr>
                <w:rFonts w:ascii="Arial" w:eastAsia="Arial" w:hAnsi="Arial" w:cs="Arial"/>
                <w:color w:val="000000"/>
                <w:sz w:val="16"/>
              </w:rPr>
              <w:t>&lt; 5%</w:t>
            </w:r>
          </w:p>
        </w:tc>
        <w:tc>
          <w:tcPr>
            <w:tcW w:w="975" w:type="dxa"/>
            <w:tcBorders>
              <w:top w:val="nil"/>
              <w:left w:val="nil"/>
              <w:bottom w:val="nil"/>
              <w:right w:val="nil"/>
              <w:tl2br w:val="nil"/>
              <w:tr2bl w:val="nil"/>
            </w:tcBorders>
            <w:shd w:val="clear" w:color="auto" w:fill="FFFF00"/>
            <w:tcMar>
              <w:left w:w="115" w:type="dxa"/>
              <w:right w:w="115" w:type="dxa"/>
            </w:tcMar>
            <w:vAlign w:val="bottom"/>
          </w:tcPr>
          <w:p w14:paraId="189FB335" w14:textId="77777777" w:rsidR="00724034" w:rsidRDefault="00FB7D0B">
            <w:pPr>
              <w:jc w:val="right"/>
              <w:rPr>
                <w:rFonts w:ascii="Arial" w:eastAsia="Arial" w:hAnsi="Arial" w:cs="Arial"/>
                <w:color w:val="000000"/>
                <w:sz w:val="16"/>
              </w:rPr>
            </w:pPr>
            <w:r>
              <w:rPr>
                <w:rFonts w:ascii="Arial" w:eastAsia="Arial" w:hAnsi="Arial" w:cs="Arial"/>
                <w:color w:val="000000"/>
                <w:sz w:val="16"/>
              </w:rPr>
              <w:t>&lt; 5%</w:t>
            </w:r>
          </w:p>
        </w:tc>
        <w:tc>
          <w:tcPr>
            <w:tcW w:w="975" w:type="dxa"/>
            <w:tcBorders>
              <w:top w:val="nil"/>
              <w:left w:val="nil"/>
              <w:bottom w:val="nil"/>
              <w:right w:val="nil"/>
              <w:tl2br w:val="nil"/>
              <w:tr2bl w:val="nil"/>
            </w:tcBorders>
            <w:shd w:val="clear" w:color="auto" w:fill="FFFFFF"/>
            <w:tcMar>
              <w:left w:w="115" w:type="dxa"/>
              <w:right w:w="115" w:type="dxa"/>
            </w:tcMar>
            <w:vAlign w:val="bottom"/>
          </w:tcPr>
          <w:p w14:paraId="41AAC92D" w14:textId="77777777" w:rsidR="00724034" w:rsidRDefault="00FB7D0B">
            <w:pPr>
              <w:jc w:val="right"/>
              <w:rPr>
                <w:rFonts w:ascii="Arial" w:eastAsia="Arial" w:hAnsi="Arial" w:cs="Arial"/>
                <w:color w:val="000000"/>
                <w:sz w:val="16"/>
              </w:rPr>
            </w:pPr>
            <w:r>
              <w:rPr>
                <w:rFonts w:ascii="Arial" w:eastAsia="Arial" w:hAnsi="Arial" w:cs="Arial"/>
                <w:color w:val="000000"/>
                <w:sz w:val="16"/>
              </w:rPr>
              <w:t>&lt; 5%</w:t>
            </w:r>
          </w:p>
        </w:tc>
        <w:tc>
          <w:tcPr>
            <w:tcW w:w="975" w:type="dxa"/>
            <w:tcBorders>
              <w:top w:val="nil"/>
              <w:left w:val="nil"/>
              <w:bottom w:val="nil"/>
              <w:right w:val="nil"/>
              <w:tl2br w:val="nil"/>
              <w:tr2bl w:val="nil"/>
            </w:tcBorders>
            <w:shd w:val="clear" w:color="auto" w:fill="FFFFFF"/>
            <w:tcMar>
              <w:left w:w="115" w:type="dxa"/>
              <w:right w:w="115" w:type="dxa"/>
            </w:tcMar>
            <w:vAlign w:val="bottom"/>
          </w:tcPr>
          <w:p w14:paraId="4FF4A3C8" w14:textId="77777777" w:rsidR="00724034" w:rsidRDefault="00FB7D0B">
            <w:pPr>
              <w:jc w:val="right"/>
              <w:rPr>
                <w:rFonts w:ascii="Arial" w:eastAsia="Arial" w:hAnsi="Arial" w:cs="Arial"/>
                <w:color w:val="000000"/>
                <w:sz w:val="16"/>
              </w:rPr>
            </w:pPr>
            <w:r>
              <w:rPr>
                <w:rFonts w:ascii="Arial" w:eastAsia="Arial" w:hAnsi="Arial" w:cs="Arial"/>
                <w:color w:val="000000"/>
                <w:sz w:val="16"/>
              </w:rPr>
              <w:t>&lt; 5%</w:t>
            </w:r>
          </w:p>
        </w:tc>
        <w:tc>
          <w:tcPr>
            <w:tcW w:w="975" w:type="dxa"/>
            <w:tcBorders>
              <w:top w:val="nil"/>
              <w:left w:val="nil"/>
              <w:bottom w:val="nil"/>
              <w:right w:val="single" w:sz="6" w:space="0" w:color="000000"/>
              <w:tl2br w:val="nil"/>
              <w:tr2bl w:val="nil"/>
            </w:tcBorders>
            <w:shd w:val="clear" w:color="auto" w:fill="FFFFFF"/>
            <w:tcMar>
              <w:left w:w="115" w:type="dxa"/>
              <w:right w:w="115" w:type="dxa"/>
            </w:tcMar>
            <w:vAlign w:val="bottom"/>
          </w:tcPr>
          <w:p w14:paraId="773C00BA" w14:textId="77777777" w:rsidR="00724034" w:rsidRDefault="00FB7D0B">
            <w:pPr>
              <w:jc w:val="right"/>
              <w:rPr>
                <w:rFonts w:ascii="Arial" w:eastAsia="Arial" w:hAnsi="Arial" w:cs="Arial"/>
                <w:color w:val="000000"/>
                <w:sz w:val="16"/>
              </w:rPr>
            </w:pPr>
            <w:r>
              <w:rPr>
                <w:rFonts w:ascii="Arial" w:eastAsia="Arial" w:hAnsi="Arial" w:cs="Arial"/>
                <w:color w:val="000000"/>
                <w:sz w:val="16"/>
              </w:rPr>
              <w:t>&lt; 5%</w:t>
            </w:r>
          </w:p>
        </w:tc>
      </w:tr>
      <w:tr w:rsidR="00724034" w14:paraId="19997EFA" w14:textId="77777777">
        <w:tblPrEx>
          <w:tblLook w:val="04A0" w:firstRow="1" w:lastRow="0" w:firstColumn="1" w:lastColumn="0" w:noHBand="0" w:noVBand="1"/>
        </w:tblPrEx>
        <w:trPr>
          <w:trHeight w:hRule="exact" w:val="30"/>
        </w:trPr>
        <w:tc>
          <w:tcPr>
            <w:tcW w:w="3210" w:type="dxa"/>
            <w:tcBorders>
              <w:top w:val="nil"/>
              <w:left w:val="single" w:sz="6" w:space="0" w:color="000000"/>
              <w:bottom w:val="nil"/>
              <w:right w:val="nil"/>
              <w:tl2br w:val="nil"/>
              <w:tr2bl w:val="nil"/>
            </w:tcBorders>
            <w:shd w:val="clear" w:color="auto" w:fill="FFFFFF"/>
            <w:tcMar>
              <w:left w:w="115" w:type="dxa"/>
              <w:right w:w="115" w:type="dxa"/>
            </w:tcMar>
            <w:vAlign w:val="bottom"/>
          </w:tcPr>
          <w:p w14:paraId="718D5F74" w14:textId="77777777" w:rsidR="00724034" w:rsidRDefault="00724034">
            <w:pPr>
              <w:rPr>
                <w:rFonts w:ascii="Arial" w:eastAsia="Arial" w:hAnsi="Arial" w:cs="Arial"/>
                <w:color w:val="000000"/>
                <w:sz w:val="16"/>
              </w:rPr>
            </w:pPr>
          </w:p>
        </w:tc>
        <w:tc>
          <w:tcPr>
            <w:tcW w:w="975" w:type="dxa"/>
            <w:tcBorders>
              <w:top w:val="nil"/>
              <w:left w:val="nil"/>
              <w:bottom w:val="nil"/>
              <w:right w:val="nil"/>
              <w:tl2br w:val="nil"/>
              <w:tr2bl w:val="nil"/>
            </w:tcBorders>
            <w:shd w:val="clear" w:color="auto" w:fill="FFFFFF"/>
            <w:tcMar>
              <w:left w:w="115" w:type="dxa"/>
              <w:right w:w="115" w:type="dxa"/>
            </w:tcMar>
            <w:vAlign w:val="bottom"/>
          </w:tcPr>
          <w:p w14:paraId="5793DB3A" w14:textId="77777777" w:rsidR="00724034" w:rsidRDefault="00724034">
            <w:pPr>
              <w:jc w:val="right"/>
              <w:rPr>
                <w:rFonts w:ascii="Arial" w:eastAsia="Arial" w:hAnsi="Arial" w:cs="Arial"/>
                <w:i/>
                <w:color w:val="000000"/>
                <w:sz w:val="16"/>
              </w:rPr>
            </w:pPr>
          </w:p>
        </w:tc>
        <w:tc>
          <w:tcPr>
            <w:tcW w:w="975" w:type="dxa"/>
            <w:tcBorders>
              <w:top w:val="nil"/>
              <w:left w:val="nil"/>
              <w:bottom w:val="nil"/>
              <w:right w:val="nil"/>
              <w:tl2br w:val="nil"/>
              <w:tr2bl w:val="nil"/>
            </w:tcBorders>
            <w:shd w:val="clear" w:color="auto" w:fill="FFFF00"/>
            <w:tcMar>
              <w:left w:w="115" w:type="dxa"/>
              <w:right w:w="115" w:type="dxa"/>
            </w:tcMar>
            <w:vAlign w:val="bottom"/>
          </w:tcPr>
          <w:p w14:paraId="5E4E2419" w14:textId="77777777" w:rsidR="00724034" w:rsidRDefault="00724034">
            <w:pPr>
              <w:jc w:val="right"/>
              <w:rPr>
                <w:rFonts w:ascii="Arial" w:eastAsia="Arial" w:hAnsi="Arial" w:cs="Arial"/>
                <w:color w:val="000000"/>
                <w:sz w:val="16"/>
              </w:rPr>
            </w:pPr>
          </w:p>
        </w:tc>
        <w:tc>
          <w:tcPr>
            <w:tcW w:w="975" w:type="dxa"/>
            <w:tcBorders>
              <w:top w:val="nil"/>
              <w:left w:val="nil"/>
              <w:bottom w:val="nil"/>
              <w:right w:val="nil"/>
              <w:tl2br w:val="nil"/>
              <w:tr2bl w:val="nil"/>
            </w:tcBorders>
            <w:shd w:val="clear" w:color="auto" w:fill="FFFFFF"/>
            <w:tcMar>
              <w:left w:w="115" w:type="dxa"/>
              <w:right w:w="115" w:type="dxa"/>
            </w:tcMar>
            <w:vAlign w:val="bottom"/>
          </w:tcPr>
          <w:p w14:paraId="76CBBFBA" w14:textId="77777777" w:rsidR="00724034" w:rsidRDefault="00724034">
            <w:pPr>
              <w:jc w:val="right"/>
              <w:rPr>
                <w:rFonts w:ascii="Arial" w:eastAsia="Arial" w:hAnsi="Arial" w:cs="Arial"/>
                <w:color w:val="000000"/>
                <w:sz w:val="16"/>
              </w:rPr>
            </w:pPr>
          </w:p>
        </w:tc>
        <w:tc>
          <w:tcPr>
            <w:tcW w:w="975" w:type="dxa"/>
            <w:tcBorders>
              <w:top w:val="nil"/>
              <w:left w:val="nil"/>
              <w:bottom w:val="nil"/>
              <w:right w:val="nil"/>
              <w:tl2br w:val="nil"/>
              <w:tr2bl w:val="nil"/>
            </w:tcBorders>
            <w:shd w:val="clear" w:color="auto" w:fill="FFFFFF"/>
            <w:tcMar>
              <w:left w:w="115" w:type="dxa"/>
              <w:right w:w="115" w:type="dxa"/>
            </w:tcMar>
            <w:vAlign w:val="bottom"/>
          </w:tcPr>
          <w:p w14:paraId="01872AF3" w14:textId="77777777" w:rsidR="00724034" w:rsidRDefault="00724034">
            <w:pPr>
              <w:jc w:val="right"/>
              <w:rPr>
                <w:rFonts w:ascii="Arial" w:eastAsia="Arial" w:hAnsi="Arial" w:cs="Arial"/>
                <w:color w:val="000000"/>
                <w:sz w:val="16"/>
              </w:rPr>
            </w:pPr>
          </w:p>
        </w:tc>
        <w:tc>
          <w:tcPr>
            <w:tcW w:w="975" w:type="dxa"/>
            <w:tcBorders>
              <w:top w:val="nil"/>
              <w:left w:val="nil"/>
              <w:bottom w:val="nil"/>
              <w:right w:val="single" w:sz="6" w:space="0" w:color="000000"/>
              <w:tl2br w:val="nil"/>
              <w:tr2bl w:val="nil"/>
            </w:tcBorders>
            <w:shd w:val="clear" w:color="auto" w:fill="FFFFFF"/>
            <w:tcMar>
              <w:left w:w="115" w:type="dxa"/>
              <w:right w:w="115" w:type="dxa"/>
            </w:tcMar>
            <w:vAlign w:val="bottom"/>
          </w:tcPr>
          <w:p w14:paraId="398760CE" w14:textId="77777777" w:rsidR="00724034" w:rsidRDefault="00724034">
            <w:pPr>
              <w:jc w:val="right"/>
              <w:rPr>
                <w:rFonts w:ascii="Arial" w:eastAsia="Arial" w:hAnsi="Arial" w:cs="Arial"/>
                <w:color w:val="000000"/>
                <w:sz w:val="16"/>
              </w:rPr>
            </w:pPr>
          </w:p>
        </w:tc>
      </w:tr>
      <w:tr w:rsidR="00724034" w14:paraId="628D3D9A" w14:textId="77777777">
        <w:tblPrEx>
          <w:tblLook w:val="04A0" w:firstRow="1" w:lastRow="0" w:firstColumn="1" w:lastColumn="0" w:noHBand="0" w:noVBand="1"/>
        </w:tblPrEx>
        <w:trPr>
          <w:trHeight w:val="450"/>
        </w:trPr>
        <w:tc>
          <w:tcPr>
            <w:tcW w:w="3210" w:type="dxa"/>
            <w:tcBorders>
              <w:top w:val="nil"/>
              <w:left w:val="single" w:sz="6" w:space="0" w:color="000000"/>
              <w:bottom w:val="single" w:sz="6" w:space="0" w:color="000000"/>
              <w:right w:val="nil"/>
              <w:tl2br w:val="nil"/>
              <w:tr2bl w:val="nil"/>
            </w:tcBorders>
            <w:shd w:val="clear" w:color="auto" w:fill="FFFFFF"/>
            <w:tcMar>
              <w:left w:w="115" w:type="dxa"/>
              <w:right w:w="115" w:type="dxa"/>
            </w:tcMar>
            <w:vAlign w:val="bottom"/>
          </w:tcPr>
          <w:p w14:paraId="30A90E58" w14:textId="77777777" w:rsidR="00724034" w:rsidRDefault="00FB7D0B">
            <w:pPr>
              <w:rPr>
                <w:rFonts w:ascii="Arial" w:eastAsia="Arial" w:hAnsi="Arial" w:cs="Arial"/>
                <w:color w:val="000000"/>
                <w:sz w:val="16"/>
              </w:rPr>
            </w:pPr>
            <w:r>
              <w:rPr>
                <w:rFonts w:ascii="Arial" w:eastAsia="Arial" w:hAnsi="Arial" w:cs="Arial"/>
                <w:i/>
                <w:color w:val="000000"/>
                <w:sz w:val="16"/>
              </w:rPr>
              <w:t>Timeliness Target:</w:t>
            </w:r>
            <w:r>
              <w:rPr>
                <w:rFonts w:ascii="Arial" w:eastAsia="Arial" w:hAnsi="Arial" w:cs="Arial"/>
                <w:color w:val="000000"/>
                <w:sz w:val="16"/>
              </w:rPr>
              <w:t xml:space="preserve"> Mean number of days to determine a liability under the MRCA</w:t>
            </w:r>
          </w:p>
        </w:tc>
        <w:tc>
          <w:tcPr>
            <w:tcW w:w="975"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6098116B" w14:textId="77777777" w:rsidR="00724034" w:rsidRDefault="00FB7D0B">
            <w:pPr>
              <w:jc w:val="right"/>
              <w:rPr>
                <w:rFonts w:ascii="Arial" w:eastAsia="Arial" w:hAnsi="Arial" w:cs="Arial"/>
                <w:color w:val="000000"/>
                <w:sz w:val="16"/>
              </w:rPr>
            </w:pPr>
            <w:r>
              <w:rPr>
                <w:rFonts w:ascii="Arial" w:eastAsia="Arial" w:hAnsi="Arial" w:cs="Arial"/>
                <w:color w:val="000000"/>
                <w:sz w:val="16"/>
              </w:rPr>
              <w:t>120 </w:t>
            </w:r>
          </w:p>
        </w:tc>
        <w:tc>
          <w:tcPr>
            <w:tcW w:w="975" w:type="dxa"/>
            <w:tcBorders>
              <w:top w:val="nil"/>
              <w:left w:val="nil"/>
              <w:bottom w:val="single" w:sz="6" w:space="0" w:color="000000"/>
              <w:right w:val="nil"/>
              <w:tl2br w:val="nil"/>
              <w:tr2bl w:val="nil"/>
            </w:tcBorders>
            <w:shd w:val="clear" w:color="auto" w:fill="FFFF00"/>
            <w:tcMar>
              <w:left w:w="115" w:type="dxa"/>
              <w:right w:w="115" w:type="dxa"/>
            </w:tcMar>
            <w:vAlign w:val="bottom"/>
          </w:tcPr>
          <w:p w14:paraId="44E132B4" w14:textId="77777777" w:rsidR="00724034" w:rsidRDefault="00FB7D0B">
            <w:pPr>
              <w:jc w:val="right"/>
              <w:rPr>
                <w:rFonts w:ascii="Arial" w:eastAsia="Arial" w:hAnsi="Arial" w:cs="Arial"/>
                <w:color w:val="000000"/>
                <w:sz w:val="16"/>
              </w:rPr>
            </w:pPr>
            <w:r>
              <w:rPr>
                <w:rFonts w:ascii="Arial" w:eastAsia="Arial" w:hAnsi="Arial" w:cs="Arial"/>
                <w:color w:val="000000"/>
                <w:sz w:val="16"/>
              </w:rPr>
              <w:t>120 </w:t>
            </w:r>
          </w:p>
        </w:tc>
        <w:tc>
          <w:tcPr>
            <w:tcW w:w="975"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0E62EE66" w14:textId="77777777" w:rsidR="00724034" w:rsidRDefault="00FB7D0B">
            <w:pPr>
              <w:jc w:val="right"/>
              <w:rPr>
                <w:rFonts w:ascii="Arial" w:eastAsia="Arial" w:hAnsi="Arial" w:cs="Arial"/>
                <w:color w:val="000000"/>
                <w:sz w:val="16"/>
              </w:rPr>
            </w:pPr>
            <w:r>
              <w:rPr>
                <w:rFonts w:ascii="Arial" w:eastAsia="Arial" w:hAnsi="Arial" w:cs="Arial"/>
                <w:color w:val="000000"/>
                <w:sz w:val="16"/>
              </w:rPr>
              <w:t>120 </w:t>
            </w:r>
          </w:p>
        </w:tc>
        <w:tc>
          <w:tcPr>
            <w:tcW w:w="975"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04606BB7" w14:textId="77777777" w:rsidR="00724034" w:rsidRDefault="00FB7D0B">
            <w:pPr>
              <w:jc w:val="right"/>
              <w:rPr>
                <w:rFonts w:ascii="Arial" w:eastAsia="Arial" w:hAnsi="Arial" w:cs="Arial"/>
                <w:color w:val="000000"/>
                <w:sz w:val="16"/>
              </w:rPr>
            </w:pPr>
            <w:r>
              <w:rPr>
                <w:rFonts w:ascii="Arial" w:eastAsia="Arial" w:hAnsi="Arial" w:cs="Arial"/>
                <w:color w:val="000000"/>
                <w:sz w:val="16"/>
              </w:rPr>
              <w:t>120 </w:t>
            </w:r>
          </w:p>
        </w:tc>
        <w:tc>
          <w:tcPr>
            <w:tcW w:w="975" w:type="dxa"/>
            <w:tcBorders>
              <w:top w:val="nil"/>
              <w:left w:val="nil"/>
              <w:bottom w:val="single" w:sz="6" w:space="0" w:color="000000"/>
              <w:right w:val="single" w:sz="6" w:space="0" w:color="000000"/>
              <w:tl2br w:val="nil"/>
              <w:tr2bl w:val="nil"/>
            </w:tcBorders>
            <w:shd w:val="clear" w:color="auto" w:fill="FFFFFF"/>
            <w:tcMar>
              <w:left w:w="115" w:type="dxa"/>
              <w:right w:w="115" w:type="dxa"/>
            </w:tcMar>
            <w:vAlign w:val="bottom"/>
          </w:tcPr>
          <w:p w14:paraId="021108DA" w14:textId="77777777" w:rsidR="00724034" w:rsidRDefault="00FB7D0B">
            <w:pPr>
              <w:jc w:val="right"/>
              <w:rPr>
                <w:rFonts w:ascii="Arial" w:eastAsia="Arial" w:hAnsi="Arial" w:cs="Arial"/>
                <w:color w:val="000000"/>
                <w:sz w:val="16"/>
              </w:rPr>
            </w:pPr>
            <w:r>
              <w:rPr>
                <w:rFonts w:ascii="Arial" w:eastAsia="Arial" w:hAnsi="Arial" w:cs="Arial"/>
                <w:color w:val="000000"/>
                <w:sz w:val="16"/>
              </w:rPr>
              <w:t>120 </w:t>
            </w:r>
          </w:p>
        </w:tc>
      </w:tr>
      <w:tr w:rsidR="00724034" w14:paraId="49282E81" w14:textId="77777777">
        <w:tblPrEx>
          <w:tblLook w:val="04A0" w:firstRow="1" w:lastRow="0" w:firstColumn="1" w:lastColumn="0" w:noHBand="0" w:noVBand="1"/>
        </w:tblPrEx>
        <w:trPr>
          <w:trHeight w:hRule="exact" w:val="30"/>
        </w:trPr>
        <w:tc>
          <w:tcPr>
            <w:tcW w:w="3210"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5F8135CE" w14:textId="77777777" w:rsidR="00724034" w:rsidRDefault="00724034">
            <w:pPr>
              <w:rPr>
                <w:rFonts w:ascii="Arial" w:eastAsia="Arial" w:hAnsi="Arial" w:cs="Arial"/>
                <w:color w:val="000000"/>
                <w:sz w:val="16"/>
              </w:rPr>
            </w:pPr>
          </w:p>
        </w:tc>
        <w:tc>
          <w:tcPr>
            <w:tcW w:w="975"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7AFA1026" w14:textId="77777777" w:rsidR="00724034" w:rsidRDefault="00724034">
            <w:pPr>
              <w:rPr>
                <w:rFonts w:ascii="Arial" w:eastAsia="Arial" w:hAnsi="Arial" w:cs="Arial"/>
                <w:color w:val="000000"/>
                <w:sz w:val="16"/>
              </w:rPr>
            </w:pPr>
          </w:p>
        </w:tc>
        <w:tc>
          <w:tcPr>
            <w:tcW w:w="975"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664A8CB8" w14:textId="77777777" w:rsidR="00724034" w:rsidRDefault="00724034">
            <w:pPr>
              <w:rPr>
                <w:rFonts w:ascii="Arial" w:eastAsia="Arial" w:hAnsi="Arial" w:cs="Arial"/>
                <w:color w:val="000000"/>
                <w:sz w:val="16"/>
              </w:rPr>
            </w:pPr>
          </w:p>
        </w:tc>
        <w:tc>
          <w:tcPr>
            <w:tcW w:w="975"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5505660E" w14:textId="77777777" w:rsidR="00724034" w:rsidRDefault="00724034">
            <w:pPr>
              <w:rPr>
                <w:rFonts w:ascii="Arial" w:eastAsia="Arial" w:hAnsi="Arial" w:cs="Arial"/>
                <w:b/>
                <w:color w:val="000000"/>
                <w:sz w:val="16"/>
              </w:rPr>
            </w:pPr>
          </w:p>
        </w:tc>
        <w:tc>
          <w:tcPr>
            <w:tcW w:w="975"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4B29008D" w14:textId="77777777" w:rsidR="00724034" w:rsidRDefault="00724034">
            <w:pPr>
              <w:rPr>
                <w:rFonts w:ascii="Arial" w:eastAsia="Arial" w:hAnsi="Arial" w:cs="Arial"/>
                <w:color w:val="000000"/>
                <w:sz w:val="16"/>
              </w:rPr>
            </w:pPr>
          </w:p>
        </w:tc>
        <w:tc>
          <w:tcPr>
            <w:tcW w:w="975"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7F06F66A" w14:textId="77777777" w:rsidR="00724034" w:rsidRDefault="00724034">
            <w:pPr>
              <w:rPr>
                <w:rFonts w:ascii="Arial" w:eastAsia="Arial" w:hAnsi="Arial" w:cs="Arial"/>
                <w:color w:val="000000"/>
                <w:sz w:val="16"/>
              </w:rPr>
            </w:pPr>
          </w:p>
        </w:tc>
      </w:tr>
    </w:tbl>
    <w:p w14:paraId="258CD738" w14:textId="77777777" w:rsidR="00724034" w:rsidRDefault="00FB7D0B">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1"/>
        <w:gridCol w:w="1020"/>
        <w:gridCol w:w="1024"/>
        <w:gridCol w:w="1057"/>
        <w:gridCol w:w="1108"/>
        <w:gridCol w:w="1108"/>
        <w:gridCol w:w="1108"/>
        <w:gridCol w:w="1108"/>
      </w:tblGrid>
      <w:tr w:rsidR="00724034" w14:paraId="73168DE1" w14:textId="77777777" w:rsidTr="003F0EEA">
        <w:tc>
          <w:tcPr>
            <w:tcW w:w="8080" w:type="dxa"/>
            <w:gridSpan w:val="8"/>
            <w:tcBorders>
              <w:top w:val="single" w:sz="4" w:space="0" w:color="auto"/>
              <w:left w:val="single" w:sz="4" w:space="0" w:color="auto"/>
              <w:bottom w:val="single" w:sz="4" w:space="0" w:color="auto"/>
              <w:right w:val="single" w:sz="4" w:space="0" w:color="auto"/>
            </w:tcBorders>
            <w:shd w:val="clear" w:color="auto" w:fill="E6E6E6"/>
          </w:tcPr>
          <w:p w14:paraId="27293658" w14:textId="77777777" w:rsidR="003F0EEA" w:rsidRPr="00B534A3" w:rsidRDefault="00FB7D0B">
            <w:pPr>
              <w:pStyle w:val="TableTextLeft18"/>
              <w:rPr>
                <w:b/>
              </w:rPr>
            </w:pPr>
            <w:r w:rsidRPr="00B534A3">
              <w:rPr>
                <w:b/>
                <w:sz w:val="20"/>
              </w:rPr>
              <w:t>Program</w:t>
            </w:r>
            <w:r>
              <w:rPr>
                <w:b/>
                <w:sz w:val="20"/>
              </w:rPr>
              <w:t>me</w:t>
            </w:r>
            <w:r w:rsidRPr="00B534A3">
              <w:rPr>
                <w:b/>
                <w:sz w:val="20"/>
              </w:rPr>
              <w:t xml:space="preserve"> 1.7: Adjustment to the Military Rehabilitation and Compensation Acts Liability Provision - Income Support and Compensation</w:t>
            </w:r>
          </w:p>
        </w:tc>
      </w:tr>
      <w:tr w:rsidR="00724034" w14:paraId="1FC8033C" w14:textId="77777777" w:rsidTr="003F0EEA">
        <w:tc>
          <w:tcPr>
            <w:tcW w:w="8080" w:type="dxa"/>
            <w:gridSpan w:val="8"/>
            <w:tcBorders>
              <w:top w:val="single" w:sz="4" w:space="0" w:color="auto"/>
              <w:left w:val="nil"/>
              <w:bottom w:val="single" w:sz="4" w:space="0" w:color="auto"/>
              <w:right w:val="nil"/>
            </w:tcBorders>
          </w:tcPr>
          <w:p w14:paraId="434DEE9E" w14:textId="77777777" w:rsidR="003F0EEA" w:rsidRDefault="003F0EEA">
            <w:pPr>
              <w:pStyle w:val="TableTextLeft18"/>
              <w:rPr>
                <w:b/>
              </w:rPr>
            </w:pPr>
          </w:p>
        </w:tc>
      </w:tr>
      <w:tr w:rsidR="00724034" w14:paraId="500CE603" w14:textId="77777777" w:rsidTr="003F0EEA">
        <w:tc>
          <w:tcPr>
            <w:tcW w:w="8080" w:type="dxa"/>
            <w:gridSpan w:val="8"/>
            <w:tcBorders>
              <w:top w:val="single" w:sz="4" w:space="0" w:color="auto"/>
              <w:left w:val="single" w:sz="4" w:space="0" w:color="auto"/>
              <w:bottom w:val="single" w:sz="4" w:space="0" w:color="auto"/>
              <w:right w:val="single" w:sz="4" w:space="0" w:color="auto"/>
            </w:tcBorders>
          </w:tcPr>
          <w:p w14:paraId="5730D47C" w14:textId="77777777" w:rsidR="003F0EEA" w:rsidRDefault="00FB7D0B" w:rsidP="003F0EEA">
            <w:pPr>
              <w:pStyle w:val="TableTextLeft18"/>
              <w:rPr>
                <w:b/>
              </w:rPr>
            </w:pPr>
            <w:r>
              <w:rPr>
                <w:b/>
              </w:rPr>
              <w:t>Programme 1.7 objective</w:t>
            </w:r>
          </w:p>
          <w:p w14:paraId="07548206" w14:textId="77777777" w:rsidR="003F0EEA" w:rsidRDefault="00FB7D0B" w:rsidP="003F0EEA">
            <w:pPr>
              <w:pStyle w:val="TableTextLeft18"/>
              <w:rPr>
                <w:b/>
              </w:rPr>
            </w:pPr>
            <w:r>
              <w:t>To provide an updated actuarial assessment of the movement in the liability for income support and compensation under the rehabilitation and compensation Acts.</w:t>
            </w:r>
          </w:p>
        </w:tc>
      </w:tr>
      <w:tr w:rsidR="00724034" w14:paraId="63E51AFE" w14:textId="77777777" w:rsidTr="003F0EEA">
        <w:tc>
          <w:tcPr>
            <w:tcW w:w="8080" w:type="dxa"/>
            <w:gridSpan w:val="8"/>
            <w:tcBorders>
              <w:top w:val="single" w:sz="4" w:space="0" w:color="auto"/>
              <w:left w:val="nil"/>
              <w:bottom w:val="single" w:sz="4" w:space="0" w:color="auto"/>
              <w:right w:val="nil"/>
            </w:tcBorders>
          </w:tcPr>
          <w:p w14:paraId="19E0E605" w14:textId="77777777" w:rsidR="003F0EEA" w:rsidRDefault="003F0EEA">
            <w:pPr>
              <w:pStyle w:val="TableTextLeft18"/>
              <w:rPr>
                <w:b/>
              </w:rPr>
            </w:pPr>
          </w:p>
        </w:tc>
      </w:tr>
      <w:tr w:rsidR="00724034" w14:paraId="0A30197F" w14:textId="77777777" w:rsidTr="003F0EEA">
        <w:tc>
          <w:tcPr>
            <w:tcW w:w="8080" w:type="dxa"/>
            <w:gridSpan w:val="8"/>
            <w:tcBorders>
              <w:top w:val="single" w:sz="4" w:space="0" w:color="auto"/>
              <w:left w:val="single" w:sz="4" w:space="0" w:color="auto"/>
              <w:bottom w:val="single" w:sz="4" w:space="0" w:color="auto"/>
              <w:right w:val="single" w:sz="4" w:space="0" w:color="auto"/>
            </w:tcBorders>
          </w:tcPr>
          <w:p w14:paraId="67495F8F" w14:textId="77777777" w:rsidR="003F0EEA" w:rsidRDefault="00FB7D0B" w:rsidP="003F0EEA">
            <w:pPr>
              <w:pStyle w:val="TableTextLeft18"/>
              <w:rPr>
                <w:b/>
              </w:rPr>
            </w:pPr>
            <w:r>
              <w:rPr>
                <w:b/>
              </w:rPr>
              <w:t>Programme 1.7 expenses</w:t>
            </w:r>
          </w:p>
          <w:p w14:paraId="04E3D043" w14:textId="77777777" w:rsidR="003F0EEA" w:rsidRDefault="00FB7D0B" w:rsidP="003F0EEA">
            <w:pPr>
              <w:pStyle w:val="TableTextLeft18"/>
              <w:rPr>
                <w:rFonts w:cs="Times New Roman"/>
              </w:rPr>
            </w:pPr>
            <w:r>
              <w:t>The movement in the liability provision for SRCA and MRCA is adjusted based on an annual actuarial assessment from the Australian Government Actuary.</w:t>
            </w:r>
          </w:p>
          <w:p w14:paraId="32B94F9D" w14:textId="77777777" w:rsidR="003F0EEA" w:rsidRDefault="00FB7D0B" w:rsidP="003F0EEA">
            <w:pPr>
              <w:pStyle w:val="TableTextLeft18"/>
              <w:rPr>
                <w:b/>
              </w:rPr>
            </w:pPr>
            <w:r>
              <w:t>The figures below represent the estimated net movement based on the actuarial report.</w:t>
            </w:r>
          </w:p>
        </w:tc>
      </w:tr>
      <w:tr w:rsidR="00724034" w14:paraId="64AB9F71" w14:textId="77777777">
        <w:tblPrEx>
          <w:tblLook w:val="04A0" w:firstRow="1" w:lastRow="0" w:firstColumn="1" w:lastColumn="0" w:noHBand="0" w:noVBand="1"/>
        </w:tblPrEx>
        <w:trPr>
          <w:trHeight w:val="225"/>
        </w:trPr>
        <w:tc>
          <w:tcPr>
            <w:tcW w:w="0" w:type="auto"/>
            <w:tcBorders>
              <w:top w:val="single" w:sz="6" w:space="0" w:color="000000"/>
              <w:left w:val="single" w:sz="6" w:space="0" w:color="000000"/>
              <w:bottom w:val="nil"/>
              <w:right w:val="nil"/>
              <w:tl2br w:val="nil"/>
              <w:tr2bl w:val="nil"/>
            </w:tcBorders>
            <w:shd w:val="clear" w:color="auto" w:fill="FFFFFF"/>
            <w:tcMar>
              <w:left w:w="115" w:type="dxa"/>
              <w:right w:w="115" w:type="dxa"/>
            </w:tcMar>
            <w:vAlign w:val="bottom"/>
          </w:tcPr>
          <w:p w14:paraId="724EE058" w14:textId="77777777" w:rsidR="00724034" w:rsidRDefault="00724034"/>
        </w:tc>
        <w:tc>
          <w:tcPr>
            <w:tcW w:w="0" w:type="auto"/>
            <w:tcBorders>
              <w:top w:val="single" w:sz="6" w:space="0" w:color="000000"/>
              <w:left w:val="nil"/>
              <w:bottom w:val="nil"/>
              <w:right w:val="nil"/>
              <w:tl2br w:val="nil"/>
              <w:tr2bl w:val="nil"/>
            </w:tcBorders>
            <w:shd w:val="clear" w:color="auto" w:fill="FFFFFF"/>
            <w:tcMar>
              <w:left w:w="115" w:type="dxa"/>
              <w:right w:w="115" w:type="dxa"/>
            </w:tcMar>
            <w:vAlign w:val="bottom"/>
          </w:tcPr>
          <w:p w14:paraId="57018D8C" w14:textId="77777777" w:rsidR="00724034" w:rsidRDefault="00724034">
            <w:pPr>
              <w:rPr>
                <w:rFonts w:ascii="Arial" w:eastAsia="Arial" w:hAnsi="Arial" w:cs="Arial"/>
                <w:color w:val="000000"/>
                <w:sz w:val="16"/>
              </w:rPr>
            </w:pPr>
          </w:p>
        </w:tc>
        <w:tc>
          <w:tcPr>
            <w:tcW w:w="0" w:type="auto"/>
            <w:tcBorders>
              <w:top w:val="single" w:sz="6" w:space="0" w:color="000000"/>
              <w:left w:val="nil"/>
              <w:bottom w:val="nil"/>
              <w:right w:val="nil"/>
              <w:tl2br w:val="nil"/>
              <w:tr2bl w:val="nil"/>
            </w:tcBorders>
            <w:shd w:val="clear" w:color="auto" w:fill="FFFFFF"/>
            <w:tcMar>
              <w:left w:w="115" w:type="dxa"/>
              <w:right w:w="115" w:type="dxa"/>
            </w:tcMar>
            <w:vAlign w:val="bottom"/>
          </w:tcPr>
          <w:p w14:paraId="71A01E2E" w14:textId="77777777" w:rsidR="00724034" w:rsidRDefault="00724034">
            <w:pPr>
              <w:jc w:val="center"/>
              <w:rPr>
                <w:rFonts w:ascii="Arial" w:eastAsia="Arial" w:hAnsi="Arial" w:cs="Arial"/>
                <w:color w:val="000000"/>
                <w:sz w:val="16"/>
              </w:rPr>
            </w:pPr>
          </w:p>
        </w:tc>
        <w:tc>
          <w:tcPr>
            <w:tcW w:w="0" w:type="auto"/>
            <w:tcBorders>
              <w:top w:val="single" w:sz="6" w:space="0" w:color="000000"/>
              <w:left w:val="nil"/>
              <w:bottom w:val="nil"/>
              <w:right w:val="nil"/>
              <w:tl2br w:val="nil"/>
              <w:tr2bl w:val="nil"/>
            </w:tcBorders>
            <w:shd w:val="clear" w:color="auto" w:fill="FFFFFF"/>
            <w:tcMar>
              <w:left w:w="115" w:type="dxa"/>
              <w:right w:w="115" w:type="dxa"/>
            </w:tcMar>
            <w:vAlign w:val="bottom"/>
          </w:tcPr>
          <w:p w14:paraId="26B2C140" w14:textId="77777777" w:rsidR="00724034" w:rsidRDefault="00FB7D0B">
            <w:pPr>
              <w:jc w:val="right"/>
              <w:rPr>
                <w:rFonts w:ascii="Arial" w:eastAsia="Arial" w:hAnsi="Arial" w:cs="Arial"/>
                <w:color w:val="000000"/>
                <w:sz w:val="16"/>
                <w:vertAlign w:val="superscript"/>
              </w:rPr>
            </w:pPr>
            <w:r>
              <w:rPr>
                <w:rFonts w:ascii="Arial" w:eastAsia="Arial" w:hAnsi="Arial" w:cs="Arial"/>
                <w:color w:val="000000"/>
                <w:sz w:val="16"/>
              </w:rPr>
              <w:t>2013-14</w:t>
            </w:r>
          </w:p>
        </w:tc>
        <w:tc>
          <w:tcPr>
            <w:tcW w:w="0" w:type="auto"/>
            <w:tcBorders>
              <w:top w:val="single" w:sz="6" w:space="0" w:color="000000"/>
              <w:left w:val="nil"/>
              <w:bottom w:val="nil"/>
              <w:right w:val="nil"/>
              <w:tl2br w:val="nil"/>
              <w:tr2bl w:val="nil"/>
            </w:tcBorders>
            <w:shd w:val="clear" w:color="auto" w:fill="FFFF00"/>
            <w:tcMar>
              <w:left w:w="115" w:type="dxa"/>
              <w:right w:w="115" w:type="dxa"/>
            </w:tcMar>
            <w:vAlign w:val="bottom"/>
          </w:tcPr>
          <w:p w14:paraId="32AC7584" w14:textId="77777777" w:rsidR="00724034" w:rsidRDefault="00FB7D0B">
            <w:pPr>
              <w:jc w:val="right"/>
              <w:rPr>
                <w:rFonts w:ascii="Arial" w:eastAsia="Arial" w:hAnsi="Arial" w:cs="Arial"/>
                <w:color w:val="000000"/>
                <w:sz w:val="16"/>
              </w:rPr>
            </w:pPr>
            <w:r>
              <w:rPr>
                <w:rFonts w:ascii="Arial" w:eastAsia="Arial" w:hAnsi="Arial" w:cs="Arial"/>
                <w:color w:val="000000"/>
                <w:sz w:val="16"/>
              </w:rPr>
              <w:t>2014-15</w:t>
            </w:r>
          </w:p>
        </w:tc>
        <w:tc>
          <w:tcPr>
            <w:tcW w:w="0" w:type="auto"/>
            <w:tcBorders>
              <w:top w:val="single" w:sz="6" w:space="0" w:color="000000"/>
              <w:left w:val="nil"/>
              <w:bottom w:val="nil"/>
              <w:right w:val="nil"/>
              <w:tl2br w:val="nil"/>
              <w:tr2bl w:val="nil"/>
            </w:tcBorders>
            <w:shd w:val="clear" w:color="auto" w:fill="FFFFFF"/>
            <w:tcMar>
              <w:left w:w="115" w:type="dxa"/>
              <w:right w:w="115" w:type="dxa"/>
            </w:tcMar>
            <w:vAlign w:val="bottom"/>
          </w:tcPr>
          <w:p w14:paraId="1D250473" w14:textId="77777777" w:rsidR="00724034" w:rsidRDefault="00FB7D0B">
            <w:pPr>
              <w:jc w:val="right"/>
              <w:rPr>
                <w:rFonts w:ascii="Arial" w:eastAsia="Arial" w:hAnsi="Arial" w:cs="Arial"/>
                <w:color w:val="000000"/>
                <w:sz w:val="16"/>
              </w:rPr>
            </w:pPr>
            <w:r>
              <w:rPr>
                <w:rFonts w:ascii="Arial" w:eastAsia="Arial" w:hAnsi="Arial" w:cs="Arial"/>
                <w:color w:val="000000"/>
                <w:sz w:val="16"/>
              </w:rPr>
              <w:t>2015-16</w:t>
            </w:r>
          </w:p>
        </w:tc>
        <w:tc>
          <w:tcPr>
            <w:tcW w:w="0" w:type="auto"/>
            <w:tcBorders>
              <w:top w:val="single" w:sz="6" w:space="0" w:color="000000"/>
              <w:left w:val="nil"/>
              <w:bottom w:val="nil"/>
              <w:right w:val="nil"/>
              <w:tl2br w:val="nil"/>
              <w:tr2bl w:val="nil"/>
            </w:tcBorders>
            <w:shd w:val="clear" w:color="auto" w:fill="FFFFFF"/>
            <w:tcMar>
              <w:left w:w="115" w:type="dxa"/>
              <w:right w:w="115" w:type="dxa"/>
            </w:tcMar>
            <w:vAlign w:val="bottom"/>
          </w:tcPr>
          <w:p w14:paraId="30286BCC" w14:textId="77777777" w:rsidR="00724034" w:rsidRDefault="00FB7D0B">
            <w:pPr>
              <w:jc w:val="right"/>
              <w:rPr>
                <w:rFonts w:ascii="Arial" w:eastAsia="Arial" w:hAnsi="Arial" w:cs="Arial"/>
                <w:color w:val="000000"/>
                <w:sz w:val="16"/>
              </w:rPr>
            </w:pPr>
            <w:r>
              <w:rPr>
                <w:rFonts w:ascii="Arial" w:eastAsia="Arial" w:hAnsi="Arial" w:cs="Arial"/>
                <w:color w:val="000000"/>
                <w:sz w:val="16"/>
              </w:rPr>
              <w:t>2016-17</w:t>
            </w:r>
          </w:p>
        </w:tc>
        <w:tc>
          <w:tcPr>
            <w:tcW w:w="0" w:type="auto"/>
            <w:tcBorders>
              <w:top w:val="single" w:sz="6" w:space="0" w:color="000000"/>
              <w:left w:val="nil"/>
              <w:bottom w:val="nil"/>
              <w:right w:val="single" w:sz="6" w:space="0" w:color="000000"/>
              <w:tl2br w:val="nil"/>
              <w:tr2bl w:val="nil"/>
            </w:tcBorders>
            <w:shd w:val="clear" w:color="auto" w:fill="FFFFFF"/>
            <w:tcMar>
              <w:left w:w="115" w:type="dxa"/>
              <w:right w:w="115" w:type="dxa"/>
            </w:tcMar>
            <w:vAlign w:val="bottom"/>
          </w:tcPr>
          <w:p w14:paraId="19BC378B" w14:textId="77777777" w:rsidR="00724034" w:rsidRDefault="00FB7D0B">
            <w:pPr>
              <w:jc w:val="right"/>
              <w:rPr>
                <w:rFonts w:ascii="Arial" w:eastAsia="Arial" w:hAnsi="Arial" w:cs="Arial"/>
                <w:color w:val="000000"/>
                <w:sz w:val="16"/>
              </w:rPr>
            </w:pPr>
            <w:r>
              <w:rPr>
                <w:rFonts w:ascii="Arial" w:eastAsia="Arial" w:hAnsi="Arial" w:cs="Arial"/>
                <w:color w:val="000000"/>
                <w:sz w:val="16"/>
              </w:rPr>
              <w:t>2017-18</w:t>
            </w:r>
          </w:p>
        </w:tc>
      </w:tr>
      <w:tr w:rsidR="00724034" w14:paraId="3257A4EA" w14:textId="77777777">
        <w:tblPrEx>
          <w:tblLook w:val="04A0" w:firstRow="1" w:lastRow="0" w:firstColumn="1" w:lastColumn="0" w:noHBand="0" w:noVBand="1"/>
        </w:tblPrEx>
        <w:trPr>
          <w:trHeight w:val="225"/>
        </w:trPr>
        <w:tc>
          <w:tcPr>
            <w:tcW w:w="0" w:type="auto"/>
            <w:tcBorders>
              <w:top w:val="nil"/>
              <w:left w:val="single" w:sz="6" w:space="0" w:color="000000"/>
              <w:bottom w:val="nil"/>
              <w:right w:val="nil"/>
              <w:tl2br w:val="nil"/>
              <w:tr2bl w:val="nil"/>
            </w:tcBorders>
            <w:shd w:val="clear" w:color="auto" w:fill="FFFFFF"/>
            <w:tcMar>
              <w:left w:w="115" w:type="dxa"/>
              <w:right w:w="115" w:type="dxa"/>
            </w:tcMar>
            <w:vAlign w:val="bottom"/>
          </w:tcPr>
          <w:p w14:paraId="2710AAFD" w14:textId="77777777" w:rsidR="00724034" w:rsidRDefault="00724034">
            <w:pPr>
              <w:rPr>
                <w:rFonts w:ascii="Arial" w:eastAsia="Arial" w:hAnsi="Arial" w:cs="Arial"/>
                <w:color w:val="000000"/>
                <w:sz w:val="16"/>
              </w:rPr>
            </w:pPr>
          </w:p>
        </w:tc>
        <w:tc>
          <w:tcPr>
            <w:tcW w:w="0" w:type="auto"/>
            <w:tcBorders>
              <w:top w:val="nil"/>
              <w:left w:val="nil"/>
              <w:bottom w:val="nil"/>
              <w:right w:val="nil"/>
              <w:tl2br w:val="nil"/>
              <w:tr2bl w:val="nil"/>
            </w:tcBorders>
            <w:shd w:val="clear" w:color="auto" w:fill="FFFFFF"/>
            <w:tcMar>
              <w:left w:w="115" w:type="dxa"/>
              <w:right w:w="115" w:type="dxa"/>
            </w:tcMar>
            <w:vAlign w:val="bottom"/>
          </w:tcPr>
          <w:p w14:paraId="457C65D4" w14:textId="77777777" w:rsidR="00724034" w:rsidRDefault="00724034">
            <w:pPr>
              <w:rPr>
                <w:rFonts w:ascii="Arial" w:eastAsia="Arial" w:hAnsi="Arial" w:cs="Arial"/>
                <w:color w:val="000000"/>
                <w:sz w:val="16"/>
              </w:rPr>
            </w:pPr>
          </w:p>
        </w:tc>
        <w:tc>
          <w:tcPr>
            <w:tcW w:w="0" w:type="auto"/>
            <w:tcBorders>
              <w:top w:val="nil"/>
              <w:left w:val="nil"/>
              <w:bottom w:val="nil"/>
              <w:right w:val="nil"/>
              <w:tl2br w:val="nil"/>
              <w:tr2bl w:val="nil"/>
            </w:tcBorders>
            <w:shd w:val="clear" w:color="auto" w:fill="FFFFFF"/>
            <w:tcMar>
              <w:left w:w="115" w:type="dxa"/>
              <w:right w:w="115" w:type="dxa"/>
            </w:tcMar>
            <w:vAlign w:val="bottom"/>
          </w:tcPr>
          <w:p w14:paraId="505B5F84" w14:textId="77777777" w:rsidR="00724034" w:rsidRDefault="00724034">
            <w:pPr>
              <w:rPr>
                <w:rFonts w:ascii="Arial" w:eastAsia="Arial" w:hAnsi="Arial" w:cs="Arial"/>
                <w:color w:val="000000"/>
                <w:sz w:val="16"/>
              </w:rPr>
            </w:pPr>
          </w:p>
        </w:tc>
        <w:tc>
          <w:tcPr>
            <w:tcW w:w="0" w:type="auto"/>
            <w:tcBorders>
              <w:top w:val="nil"/>
              <w:left w:val="nil"/>
              <w:bottom w:val="nil"/>
              <w:right w:val="nil"/>
              <w:tl2br w:val="nil"/>
              <w:tr2bl w:val="nil"/>
            </w:tcBorders>
            <w:shd w:val="clear" w:color="auto" w:fill="FFFFFF"/>
            <w:tcMar>
              <w:left w:w="115" w:type="dxa"/>
              <w:right w:w="115" w:type="dxa"/>
            </w:tcMar>
            <w:vAlign w:val="bottom"/>
          </w:tcPr>
          <w:p w14:paraId="5C6C1B33" w14:textId="77777777" w:rsidR="00724034" w:rsidRDefault="00FB7D0B">
            <w:pPr>
              <w:jc w:val="right"/>
              <w:rPr>
                <w:rFonts w:ascii="Arial" w:eastAsia="Arial" w:hAnsi="Arial" w:cs="Arial"/>
                <w:color w:val="000000"/>
                <w:sz w:val="16"/>
                <w:vertAlign w:val="superscript"/>
              </w:rPr>
            </w:pPr>
            <w:r>
              <w:rPr>
                <w:rFonts w:ascii="Arial" w:eastAsia="Arial" w:hAnsi="Arial" w:cs="Arial"/>
                <w:color w:val="000000"/>
                <w:sz w:val="16"/>
              </w:rPr>
              <w:t>Revised</w:t>
            </w:r>
          </w:p>
        </w:tc>
        <w:tc>
          <w:tcPr>
            <w:tcW w:w="0" w:type="auto"/>
            <w:tcBorders>
              <w:top w:val="nil"/>
              <w:left w:val="nil"/>
              <w:bottom w:val="nil"/>
              <w:right w:val="nil"/>
              <w:tl2br w:val="nil"/>
              <w:tr2bl w:val="nil"/>
            </w:tcBorders>
            <w:shd w:val="clear" w:color="auto" w:fill="FFFF00"/>
            <w:tcMar>
              <w:left w:w="115" w:type="dxa"/>
              <w:right w:w="115" w:type="dxa"/>
            </w:tcMar>
            <w:vAlign w:val="bottom"/>
          </w:tcPr>
          <w:p w14:paraId="3A5C61F9" w14:textId="77777777" w:rsidR="00724034" w:rsidRDefault="00FB7D0B">
            <w:pPr>
              <w:jc w:val="right"/>
              <w:rPr>
                <w:rFonts w:ascii="Arial" w:eastAsia="Arial" w:hAnsi="Arial" w:cs="Arial"/>
                <w:color w:val="000000"/>
                <w:sz w:val="16"/>
              </w:rPr>
            </w:pPr>
            <w:r>
              <w:rPr>
                <w:rFonts w:ascii="Arial" w:eastAsia="Arial" w:hAnsi="Arial" w:cs="Arial"/>
                <w:color w:val="000000"/>
                <w:sz w:val="16"/>
              </w:rPr>
              <w:t>Budget</w:t>
            </w:r>
          </w:p>
        </w:tc>
        <w:tc>
          <w:tcPr>
            <w:tcW w:w="0" w:type="auto"/>
            <w:tcBorders>
              <w:top w:val="nil"/>
              <w:left w:val="nil"/>
              <w:bottom w:val="nil"/>
              <w:right w:val="nil"/>
              <w:tl2br w:val="nil"/>
              <w:tr2bl w:val="nil"/>
            </w:tcBorders>
            <w:shd w:val="clear" w:color="auto" w:fill="FFFFFF"/>
            <w:tcMar>
              <w:left w:w="115" w:type="dxa"/>
              <w:right w:w="115" w:type="dxa"/>
            </w:tcMar>
            <w:vAlign w:val="bottom"/>
          </w:tcPr>
          <w:p w14:paraId="05275D42" w14:textId="77777777" w:rsidR="00724034" w:rsidRDefault="00FB7D0B">
            <w:pPr>
              <w:jc w:val="right"/>
              <w:rPr>
                <w:rFonts w:ascii="Arial" w:eastAsia="Arial" w:hAnsi="Arial" w:cs="Arial"/>
                <w:color w:val="000000"/>
                <w:sz w:val="16"/>
              </w:rPr>
            </w:pPr>
            <w:r>
              <w:rPr>
                <w:rFonts w:ascii="Arial" w:eastAsia="Arial" w:hAnsi="Arial" w:cs="Arial"/>
                <w:color w:val="000000"/>
                <w:sz w:val="16"/>
              </w:rPr>
              <w:t>Forward</w:t>
            </w:r>
          </w:p>
        </w:tc>
        <w:tc>
          <w:tcPr>
            <w:tcW w:w="0" w:type="auto"/>
            <w:tcBorders>
              <w:top w:val="nil"/>
              <w:left w:val="nil"/>
              <w:bottom w:val="nil"/>
              <w:right w:val="nil"/>
              <w:tl2br w:val="nil"/>
              <w:tr2bl w:val="nil"/>
            </w:tcBorders>
            <w:shd w:val="clear" w:color="auto" w:fill="FFFFFF"/>
            <w:tcMar>
              <w:left w:w="115" w:type="dxa"/>
              <w:right w:w="115" w:type="dxa"/>
            </w:tcMar>
            <w:vAlign w:val="bottom"/>
          </w:tcPr>
          <w:p w14:paraId="5231719C" w14:textId="77777777" w:rsidR="00724034" w:rsidRDefault="00FB7D0B">
            <w:pPr>
              <w:jc w:val="right"/>
              <w:rPr>
                <w:rFonts w:ascii="Arial" w:eastAsia="Arial" w:hAnsi="Arial" w:cs="Arial"/>
                <w:color w:val="000000"/>
                <w:sz w:val="16"/>
              </w:rPr>
            </w:pPr>
            <w:r>
              <w:rPr>
                <w:rFonts w:ascii="Arial" w:eastAsia="Arial" w:hAnsi="Arial" w:cs="Arial"/>
                <w:color w:val="000000"/>
                <w:sz w:val="16"/>
              </w:rPr>
              <w:t>Forward</w:t>
            </w:r>
          </w:p>
        </w:tc>
        <w:tc>
          <w:tcPr>
            <w:tcW w:w="0" w:type="auto"/>
            <w:tcBorders>
              <w:top w:val="nil"/>
              <w:left w:val="nil"/>
              <w:bottom w:val="nil"/>
              <w:right w:val="single" w:sz="6" w:space="0" w:color="000000"/>
              <w:tl2br w:val="nil"/>
              <w:tr2bl w:val="nil"/>
            </w:tcBorders>
            <w:shd w:val="clear" w:color="auto" w:fill="FFFFFF"/>
            <w:tcMar>
              <w:left w:w="115" w:type="dxa"/>
              <w:right w:w="115" w:type="dxa"/>
            </w:tcMar>
            <w:vAlign w:val="bottom"/>
          </w:tcPr>
          <w:p w14:paraId="4DE05632" w14:textId="77777777" w:rsidR="00724034" w:rsidRDefault="00FB7D0B">
            <w:pPr>
              <w:jc w:val="right"/>
              <w:rPr>
                <w:rFonts w:ascii="Arial" w:eastAsia="Arial" w:hAnsi="Arial" w:cs="Arial"/>
                <w:color w:val="000000"/>
                <w:sz w:val="16"/>
              </w:rPr>
            </w:pPr>
            <w:r>
              <w:rPr>
                <w:rFonts w:ascii="Arial" w:eastAsia="Arial" w:hAnsi="Arial" w:cs="Arial"/>
                <w:color w:val="000000"/>
                <w:sz w:val="16"/>
              </w:rPr>
              <w:t>Forward</w:t>
            </w:r>
          </w:p>
        </w:tc>
      </w:tr>
      <w:tr w:rsidR="00FB7D0B" w14:paraId="61A8E9D6" w14:textId="77777777" w:rsidTr="00FB7D0B">
        <w:tblPrEx>
          <w:tblLook w:val="04A0" w:firstRow="1" w:lastRow="0" w:firstColumn="1" w:lastColumn="0" w:noHBand="0" w:noVBand="1"/>
        </w:tblPrEx>
        <w:trPr>
          <w:trHeight w:val="225"/>
        </w:trPr>
        <w:tc>
          <w:tcPr>
            <w:tcW w:w="0" w:type="auto"/>
            <w:gridSpan w:val="3"/>
            <w:tcBorders>
              <w:top w:val="nil"/>
              <w:left w:val="single" w:sz="6" w:space="0" w:color="000000"/>
              <w:bottom w:val="single" w:sz="6" w:space="0" w:color="000000"/>
              <w:right w:val="nil"/>
              <w:tl2br w:val="nil"/>
              <w:tr2bl w:val="nil"/>
            </w:tcBorders>
            <w:shd w:val="clear" w:color="auto" w:fill="FFFFFF"/>
            <w:tcMar>
              <w:left w:w="115" w:type="dxa"/>
              <w:right w:w="115" w:type="dxa"/>
            </w:tcMar>
            <w:vAlign w:val="bottom"/>
          </w:tcPr>
          <w:p w14:paraId="675E7C4C" w14:textId="77777777" w:rsidR="00724034" w:rsidRDefault="00FB7D0B">
            <w:pPr>
              <w:rPr>
                <w:rFonts w:ascii="Arial" w:eastAsia="Arial" w:hAnsi="Arial" w:cs="Arial"/>
                <w:color w:val="000000"/>
                <w:sz w:val="16"/>
              </w:rPr>
            </w:pPr>
            <w:r>
              <w:rPr>
                <w:rFonts w:ascii="Arial" w:eastAsia="Arial" w:hAnsi="Arial" w:cs="Arial"/>
                <w:color w:val="000000"/>
                <w:sz w:val="16"/>
              </w:rPr>
              <w:t>$('000)</w:t>
            </w:r>
          </w:p>
        </w:tc>
        <w:tc>
          <w:tcPr>
            <w:tcW w:w="0" w:type="auto"/>
            <w:tcBorders>
              <w:top w:val="nil"/>
              <w:left w:val="nil"/>
              <w:bottom w:val="single" w:sz="6" w:space="0" w:color="000000"/>
              <w:right w:val="nil"/>
              <w:tl2br w:val="nil"/>
              <w:tr2bl w:val="nil"/>
            </w:tcBorders>
            <w:shd w:val="clear" w:color="auto" w:fill="FFFFFF"/>
            <w:tcMar>
              <w:left w:w="115" w:type="dxa"/>
              <w:right w:w="115" w:type="dxa"/>
            </w:tcMar>
            <w:vAlign w:val="bottom"/>
          </w:tcPr>
          <w:p w14:paraId="2ED360E7" w14:textId="77777777" w:rsidR="00724034" w:rsidRDefault="00FB7D0B">
            <w:pPr>
              <w:jc w:val="right"/>
              <w:rPr>
                <w:rFonts w:ascii="Arial" w:eastAsia="Arial" w:hAnsi="Arial" w:cs="Arial"/>
                <w:color w:val="000000"/>
                <w:sz w:val="16"/>
                <w:vertAlign w:val="superscript"/>
              </w:rPr>
            </w:pPr>
            <w:r>
              <w:rPr>
                <w:rFonts w:ascii="Arial" w:eastAsia="Arial" w:hAnsi="Arial" w:cs="Arial"/>
                <w:color w:val="000000"/>
                <w:sz w:val="16"/>
              </w:rPr>
              <w:t>Budget</w:t>
            </w:r>
          </w:p>
        </w:tc>
        <w:tc>
          <w:tcPr>
            <w:tcW w:w="0" w:type="auto"/>
            <w:tcBorders>
              <w:top w:val="nil"/>
              <w:left w:val="nil"/>
              <w:bottom w:val="single" w:sz="6" w:space="0" w:color="000000"/>
              <w:right w:val="nil"/>
              <w:tl2br w:val="nil"/>
              <w:tr2bl w:val="nil"/>
            </w:tcBorders>
            <w:shd w:val="clear" w:color="auto" w:fill="FFFF00"/>
            <w:tcMar>
              <w:left w:w="115" w:type="dxa"/>
              <w:right w:w="115" w:type="dxa"/>
            </w:tcMar>
            <w:vAlign w:val="bottom"/>
          </w:tcPr>
          <w:p w14:paraId="7E3949F7" w14:textId="77777777" w:rsidR="00724034" w:rsidRDefault="00724034">
            <w:pPr>
              <w:jc w:val="right"/>
              <w:rPr>
                <w:rFonts w:ascii="Arial" w:eastAsia="Arial" w:hAnsi="Arial" w:cs="Arial"/>
                <w:color w:val="000000"/>
                <w:sz w:val="16"/>
              </w:rPr>
            </w:pPr>
          </w:p>
        </w:tc>
        <w:tc>
          <w:tcPr>
            <w:tcW w:w="0" w:type="auto"/>
            <w:tcBorders>
              <w:top w:val="nil"/>
              <w:left w:val="nil"/>
              <w:bottom w:val="single" w:sz="6" w:space="0" w:color="000000"/>
              <w:right w:val="nil"/>
              <w:tl2br w:val="nil"/>
              <w:tr2bl w:val="nil"/>
            </w:tcBorders>
            <w:shd w:val="clear" w:color="auto" w:fill="FFFFFF"/>
            <w:tcMar>
              <w:left w:w="115" w:type="dxa"/>
              <w:right w:w="115" w:type="dxa"/>
            </w:tcMar>
            <w:vAlign w:val="bottom"/>
          </w:tcPr>
          <w:p w14:paraId="76D796F1" w14:textId="77777777" w:rsidR="00724034" w:rsidRDefault="00FB7D0B">
            <w:pPr>
              <w:jc w:val="right"/>
              <w:rPr>
                <w:rFonts w:ascii="Arial" w:eastAsia="Arial" w:hAnsi="Arial" w:cs="Arial"/>
                <w:color w:val="000000"/>
                <w:sz w:val="16"/>
              </w:rPr>
            </w:pPr>
            <w:r>
              <w:rPr>
                <w:rFonts w:ascii="Arial" w:eastAsia="Arial" w:hAnsi="Arial" w:cs="Arial"/>
                <w:color w:val="000000"/>
                <w:sz w:val="16"/>
              </w:rPr>
              <w:t>year 1</w:t>
            </w:r>
          </w:p>
        </w:tc>
        <w:tc>
          <w:tcPr>
            <w:tcW w:w="0" w:type="auto"/>
            <w:tcBorders>
              <w:top w:val="nil"/>
              <w:left w:val="nil"/>
              <w:bottom w:val="single" w:sz="6" w:space="0" w:color="000000"/>
              <w:right w:val="nil"/>
              <w:tl2br w:val="nil"/>
              <w:tr2bl w:val="nil"/>
            </w:tcBorders>
            <w:shd w:val="clear" w:color="auto" w:fill="FFFFFF"/>
            <w:tcMar>
              <w:left w:w="115" w:type="dxa"/>
              <w:right w:w="115" w:type="dxa"/>
            </w:tcMar>
            <w:vAlign w:val="bottom"/>
          </w:tcPr>
          <w:p w14:paraId="47C69276" w14:textId="77777777" w:rsidR="00724034" w:rsidRDefault="00FB7D0B">
            <w:pPr>
              <w:jc w:val="right"/>
              <w:rPr>
                <w:rFonts w:ascii="Arial" w:eastAsia="Arial" w:hAnsi="Arial" w:cs="Arial"/>
                <w:color w:val="000000"/>
                <w:sz w:val="16"/>
              </w:rPr>
            </w:pPr>
            <w:r>
              <w:rPr>
                <w:rFonts w:ascii="Arial" w:eastAsia="Arial" w:hAnsi="Arial" w:cs="Arial"/>
                <w:color w:val="000000"/>
                <w:sz w:val="16"/>
              </w:rPr>
              <w:t>year 2</w:t>
            </w:r>
          </w:p>
        </w:tc>
        <w:tc>
          <w:tcPr>
            <w:tcW w:w="0" w:type="auto"/>
            <w:tcBorders>
              <w:top w:val="nil"/>
              <w:left w:val="nil"/>
              <w:bottom w:val="single" w:sz="6" w:space="0" w:color="000000"/>
              <w:right w:val="single" w:sz="6" w:space="0" w:color="000000"/>
              <w:tl2br w:val="nil"/>
              <w:tr2bl w:val="nil"/>
            </w:tcBorders>
            <w:shd w:val="clear" w:color="auto" w:fill="FFFFFF"/>
            <w:tcMar>
              <w:left w:w="115" w:type="dxa"/>
              <w:right w:w="115" w:type="dxa"/>
            </w:tcMar>
            <w:vAlign w:val="bottom"/>
          </w:tcPr>
          <w:p w14:paraId="27ED9CE6" w14:textId="77777777" w:rsidR="00724034" w:rsidRDefault="00FB7D0B">
            <w:pPr>
              <w:jc w:val="right"/>
              <w:rPr>
                <w:rFonts w:ascii="Arial" w:eastAsia="Arial" w:hAnsi="Arial" w:cs="Arial"/>
                <w:color w:val="000000"/>
                <w:sz w:val="16"/>
              </w:rPr>
            </w:pPr>
            <w:r>
              <w:rPr>
                <w:rFonts w:ascii="Arial" w:eastAsia="Arial" w:hAnsi="Arial" w:cs="Arial"/>
                <w:color w:val="000000"/>
                <w:sz w:val="16"/>
              </w:rPr>
              <w:t>year 3</w:t>
            </w:r>
          </w:p>
        </w:tc>
      </w:tr>
      <w:tr w:rsidR="00FB7D0B" w14:paraId="3813887D" w14:textId="77777777" w:rsidTr="00FB7D0B">
        <w:tblPrEx>
          <w:tblLook w:val="04A0" w:firstRow="1" w:lastRow="0" w:firstColumn="1" w:lastColumn="0" w:noHBand="0" w:noVBand="1"/>
        </w:tblPrEx>
        <w:trPr>
          <w:trHeight w:val="225"/>
        </w:trPr>
        <w:tc>
          <w:tcPr>
            <w:tcW w:w="0" w:type="auto"/>
            <w:gridSpan w:val="3"/>
            <w:tcBorders>
              <w:top w:val="single" w:sz="6" w:space="0" w:color="000000"/>
              <w:left w:val="single" w:sz="6" w:space="0" w:color="000000"/>
              <w:bottom w:val="nil"/>
              <w:right w:val="nil"/>
              <w:tl2br w:val="nil"/>
              <w:tr2bl w:val="nil"/>
            </w:tcBorders>
            <w:shd w:val="clear" w:color="auto" w:fill="FFFFFF"/>
            <w:tcMar>
              <w:left w:w="115" w:type="dxa"/>
              <w:right w:w="115" w:type="dxa"/>
            </w:tcMar>
            <w:vAlign w:val="bottom"/>
          </w:tcPr>
          <w:p w14:paraId="281F9F1E" w14:textId="77777777" w:rsidR="00724034" w:rsidRDefault="00FB7D0B">
            <w:pPr>
              <w:rPr>
                <w:rFonts w:ascii="Arial" w:eastAsia="Arial" w:hAnsi="Arial" w:cs="Arial"/>
                <w:color w:val="000000"/>
                <w:sz w:val="16"/>
              </w:rPr>
            </w:pPr>
            <w:r>
              <w:rPr>
                <w:rFonts w:ascii="Arial" w:eastAsia="Arial" w:hAnsi="Arial" w:cs="Arial"/>
                <w:color w:val="000000"/>
                <w:sz w:val="16"/>
              </w:rPr>
              <w:t>Administered Expenses:</w:t>
            </w:r>
          </w:p>
        </w:tc>
        <w:tc>
          <w:tcPr>
            <w:tcW w:w="0" w:type="auto"/>
            <w:tcBorders>
              <w:top w:val="single" w:sz="6" w:space="0" w:color="000000"/>
              <w:left w:val="nil"/>
              <w:bottom w:val="nil"/>
              <w:right w:val="nil"/>
              <w:tl2br w:val="nil"/>
              <w:tr2bl w:val="nil"/>
            </w:tcBorders>
            <w:shd w:val="clear" w:color="auto" w:fill="FFFFFF"/>
            <w:tcMar>
              <w:left w:w="115" w:type="dxa"/>
              <w:right w:w="115" w:type="dxa"/>
            </w:tcMar>
            <w:vAlign w:val="bottom"/>
          </w:tcPr>
          <w:p w14:paraId="60281CB6" w14:textId="77777777" w:rsidR="00724034" w:rsidRDefault="00724034">
            <w:pPr>
              <w:jc w:val="right"/>
              <w:rPr>
                <w:rFonts w:ascii="Arial" w:eastAsia="Arial" w:hAnsi="Arial" w:cs="Arial"/>
                <w:color w:val="000000"/>
                <w:sz w:val="16"/>
                <w:vertAlign w:val="superscript"/>
              </w:rPr>
            </w:pPr>
          </w:p>
        </w:tc>
        <w:tc>
          <w:tcPr>
            <w:tcW w:w="0" w:type="auto"/>
            <w:tcBorders>
              <w:top w:val="single" w:sz="6" w:space="0" w:color="000000"/>
              <w:left w:val="nil"/>
              <w:bottom w:val="nil"/>
              <w:right w:val="nil"/>
              <w:tl2br w:val="nil"/>
              <w:tr2bl w:val="nil"/>
            </w:tcBorders>
            <w:shd w:val="clear" w:color="auto" w:fill="FFFF00"/>
            <w:tcMar>
              <w:left w:w="115" w:type="dxa"/>
              <w:right w:w="115" w:type="dxa"/>
            </w:tcMar>
            <w:vAlign w:val="bottom"/>
          </w:tcPr>
          <w:p w14:paraId="7DE251A6" w14:textId="77777777" w:rsidR="00724034" w:rsidRDefault="00724034">
            <w:pPr>
              <w:rPr>
                <w:rFonts w:ascii="Arial" w:eastAsia="Arial" w:hAnsi="Arial" w:cs="Arial"/>
                <w:color w:val="000000"/>
                <w:sz w:val="16"/>
                <w:vertAlign w:val="superscript"/>
              </w:rPr>
            </w:pPr>
          </w:p>
        </w:tc>
        <w:tc>
          <w:tcPr>
            <w:tcW w:w="0" w:type="auto"/>
            <w:tcBorders>
              <w:top w:val="single" w:sz="6" w:space="0" w:color="000000"/>
              <w:left w:val="nil"/>
              <w:bottom w:val="nil"/>
              <w:right w:val="nil"/>
              <w:tl2br w:val="nil"/>
              <w:tr2bl w:val="nil"/>
            </w:tcBorders>
            <w:shd w:val="clear" w:color="auto" w:fill="FFFFFF"/>
            <w:tcMar>
              <w:left w:w="115" w:type="dxa"/>
              <w:right w:w="115" w:type="dxa"/>
            </w:tcMar>
            <w:vAlign w:val="bottom"/>
          </w:tcPr>
          <w:p w14:paraId="6E633DD8" w14:textId="77777777" w:rsidR="00724034" w:rsidRDefault="00724034">
            <w:pPr>
              <w:jc w:val="right"/>
              <w:rPr>
                <w:rFonts w:ascii="Arial" w:eastAsia="Arial" w:hAnsi="Arial" w:cs="Arial"/>
                <w:color w:val="000000"/>
                <w:sz w:val="16"/>
                <w:vertAlign w:val="superscript"/>
              </w:rPr>
            </w:pPr>
          </w:p>
        </w:tc>
        <w:tc>
          <w:tcPr>
            <w:tcW w:w="0" w:type="auto"/>
            <w:tcBorders>
              <w:top w:val="single" w:sz="6" w:space="0" w:color="000000"/>
              <w:left w:val="nil"/>
              <w:bottom w:val="nil"/>
              <w:right w:val="nil"/>
              <w:tl2br w:val="nil"/>
              <w:tr2bl w:val="nil"/>
            </w:tcBorders>
            <w:shd w:val="clear" w:color="auto" w:fill="FFFFFF"/>
            <w:tcMar>
              <w:left w:w="115" w:type="dxa"/>
              <w:right w:w="115" w:type="dxa"/>
            </w:tcMar>
            <w:vAlign w:val="bottom"/>
          </w:tcPr>
          <w:p w14:paraId="70488113" w14:textId="77777777" w:rsidR="00724034" w:rsidRDefault="00724034">
            <w:pPr>
              <w:jc w:val="right"/>
              <w:rPr>
                <w:rFonts w:ascii="Arial" w:eastAsia="Arial" w:hAnsi="Arial" w:cs="Arial"/>
                <w:color w:val="000000"/>
                <w:sz w:val="16"/>
                <w:vertAlign w:val="superscript"/>
              </w:rPr>
            </w:pPr>
          </w:p>
        </w:tc>
        <w:tc>
          <w:tcPr>
            <w:tcW w:w="0" w:type="auto"/>
            <w:tcBorders>
              <w:top w:val="single" w:sz="6" w:space="0" w:color="000000"/>
              <w:left w:val="nil"/>
              <w:bottom w:val="nil"/>
              <w:right w:val="single" w:sz="6" w:space="0" w:color="000000"/>
              <w:tl2br w:val="nil"/>
              <w:tr2bl w:val="nil"/>
            </w:tcBorders>
            <w:shd w:val="clear" w:color="auto" w:fill="FFFFFF"/>
            <w:tcMar>
              <w:left w:w="115" w:type="dxa"/>
              <w:right w:w="115" w:type="dxa"/>
            </w:tcMar>
            <w:vAlign w:val="bottom"/>
          </w:tcPr>
          <w:p w14:paraId="288CAE9D" w14:textId="77777777" w:rsidR="00724034" w:rsidRDefault="00724034">
            <w:pPr>
              <w:jc w:val="right"/>
              <w:rPr>
                <w:rFonts w:ascii="Arial" w:eastAsia="Arial" w:hAnsi="Arial" w:cs="Arial"/>
                <w:color w:val="000000"/>
                <w:sz w:val="16"/>
                <w:vertAlign w:val="superscript"/>
              </w:rPr>
            </w:pPr>
          </w:p>
        </w:tc>
      </w:tr>
      <w:tr w:rsidR="00FB7D0B" w14:paraId="07DD4E1F" w14:textId="77777777" w:rsidTr="00FB7D0B">
        <w:tblPrEx>
          <w:tblLook w:val="04A0" w:firstRow="1" w:lastRow="0" w:firstColumn="1" w:lastColumn="0" w:noHBand="0" w:noVBand="1"/>
        </w:tblPrEx>
        <w:trPr>
          <w:trHeight w:val="255"/>
        </w:trPr>
        <w:tc>
          <w:tcPr>
            <w:tcW w:w="0" w:type="auto"/>
            <w:tcBorders>
              <w:top w:val="single" w:sz="6" w:space="0" w:color="FFFFFF"/>
              <w:left w:val="single" w:sz="6" w:space="0" w:color="000000"/>
              <w:bottom w:val="nil"/>
              <w:right w:val="nil"/>
              <w:tl2br w:val="nil"/>
              <w:tr2bl w:val="nil"/>
            </w:tcBorders>
            <w:shd w:val="clear" w:color="auto" w:fill="FFFFFF"/>
            <w:tcMar>
              <w:left w:w="115" w:type="dxa"/>
              <w:right w:w="115" w:type="dxa"/>
            </w:tcMar>
            <w:vAlign w:val="bottom"/>
          </w:tcPr>
          <w:p w14:paraId="6067F9E0" w14:textId="77777777" w:rsidR="00724034" w:rsidRDefault="00724034">
            <w:pPr>
              <w:rPr>
                <w:rFonts w:ascii="Arial" w:eastAsia="Arial" w:hAnsi="Arial" w:cs="Arial"/>
                <w:color w:val="000000"/>
                <w:sz w:val="16"/>
                <w:vertAlign w:val="superscript"/>
              </w:rPr>
            </w:pPr>
          </w:p>
        </w:tc>
        <w:tc>
          <w:tcPr>
            <w:tcW w:w="0" w:type="auto"/>
            <w:gridSpan w:val="2"/>
            <w:vMerge w:val="restart"/>
            <w:tcBorders>
              <w:top w:val="nil"/>
              <w:left w:val="nil"/>
              <w:bottom w:val="nil"/>
              <w:right w:val="nil"/>
              <w:tl2br w:val="nil"/>
              <w:tr2bl w:val="nil"/>
            </w:tcBorders>
            <w:shd w:val="clear" w:color="auto" w:fill="FFFFFF"/>
            <w:tcMar>
              <w:left w:w="115" w:type="dxa"/>
              <w:right w:w="115" w:type="dxa"/>
            </w:tcMar>
            <w:vAlign w:val="bottom"/>
          </w:tcPr>
          <w:p w14:paraId="0FE9F7BF" w14:textId="77777777" w:rsidR="00724034" w:rsidRDefault="00FB7D0B">
            <w:pPr>
              <w:rPr>
                <w:rFonts w:ascii="Arial" w:eastAsia="Arial" w:hAnsi="Arial" w:cs="Arial"/>
                <w:color w:val="000000"/>
                <w:sz w:val="16"/>
                <w:vertAlign w:val="superscript"/>
              </w:rPr>
            </w:pPr>
            <w:r>
              <w:rPr>
                <w:rFonts w:ascii="Arial" w:eastAsia="Arial" w:hAnsi="Arial" w:cs="Arial"/>
                <w:color w:val="000000"/>
                <w:sz w:val="16"/>
              </w:rPr>
              <w:t>Appropriation Bill 1</w:t>
            </w:r>
          </w:p>
        </w:tc>
        <w:tc>
          <w:tcPr>
            <w:tcW w:w="0" w:type="auto"/>
            <w:tcBorders>
              <w:top w:val="nil"/>
              <w:left w:val="nil"/>
              <w:bottom w:val="nil"/>
              <w:right w:val="nil"/>
              <w:tl2br w:val="nil"/>
              <w:tr2bl w:val="nil"/>
            </w:tcBorders>
            <w:shd w:val="clear" w:color="auto" w:fill="FFFFFF"/>
            <w:tcMar>
              <w:left w:w="115" w:type="dxa"/>
              <w:right w:w="115" w:type="dxa"/>
            </w:tcMar>
            <w:vAlign w:val="bottom"/>
          </w:tcPr>
          <w:p w14:paraId="1DD2070C" w14:textId="77777777" w:rsidR="00724034" w:rsidRDefault="00724034">
            <w:pPr>
              <w:jc w:val="right"/>
              <w:rPr>
                <w:rFonts w:ascii="Arial" w:eastAsia="Arial" w:hAnsi="Arial" w:cs="Arial"/>
                <w:color w:val="000000"/>
                <w:sz w:val="16"/>
                <w:vertAlign w:val="superscript"/>
              </w:rPr>
            </w:pPr>
          </w:p>
        </w:tc>
        <w:tc>
          <w:tcPr>
            <w:tcW w:w="0" w:type="auto"/>
            <w:tcBorders>
              <w:top w:val="nil"/>
              <w:left w:val="nil"/>
              <w:bottom w:val="nil"/>
              <w:right w:val="nil"/>
              <w:tl2br w:val="nil"/>
              <w:tr2bl w:val="nil"/>
            </w:tcBorders>
            <w:shd w:val="clear" w:color="auto" w:fill="FFFF00"/>
            <w:tcMar>
              <w:left w:w="115" w:type="dxa"/>
              <w:right w:w="115" w:type="dxa"/>
            </w:tcMar>
            <w:vAlign w:val="bottom"/>
          </w:tcPr>
          <w:p w14:paraId="1D6514BA" w14:textId="77777777" w:rsidR="00724034" w:rsidRDefault="00724034">
            <w:pPr>
              <w:jc w:val="right"/>
              <w:rPr>
                <w:rFonts w:ascii="Arial" w:eastAsia="Arial" w:hAnsi="Arial" w:cs="Arial"/>
                <w:color w:val="000000"/>
                <w:sz w:val="16"/>
                <w:vertAlign w:val="superscript"/>
              </w:rPr>
            </w:pPr>
          </w:p>
        </w:tc>
        <w:tc>
          <w:tcPr>
            <w:tcW w:w="0" w:type="auto"/>
            <w:tcBorders>
              <w:top w:val="nil"/>
              <w:left w:val="nil"/>
              <w:bottom w:val="nil"/>
              <w:right w:val="nil"/>
              <w:tl2br w:val="nil"/>
              <w:tr2bl w:val="nil"/>
            </w:tcBorders>
            <w:shd w:val="clear" w:color="auto" w:fill="FFFFFF"/>
            <w:tcMar>
              <w:left w:w="115" w:type="dxa"/>
              <w:right w:w="115" w:type="dxa"/>
            </w:tcMar>
            <w:vAlign w:val="bottom"/>
          </w:tcPr>
          <w:p w14:paraId="49D8F458" w14:textId="77777777" w:rsidR="00724034" w:rsidRDefault="00724034">
            <w:pPr>
              <w:jc w:val="right"/>
              <w:rPr>
                <w:rFonts w:ascii="Arial" w:eastAsia="Arial" w:hAnsi="Arial" w:cs="Arial"/>
                <w:color w:val="000000"/>
                <w:sz w:val="16"/>
                <w:vertAlign w:val="superscript"/>
              </w:rPr>
            </w:pPr>
          </w:p>
        </w:tc>
        <w:tc>
          <w:tcPr>
            <w:tcW w:w="0" w:type="auto"/>
            <w:tcBorders>
              <w:top w:val="nil"/>
              <w:left w:val="nil"/>
              <w:bottom w:val="nil"/>
              <w:right w:val="nil"/>
              <w:tl2br w:val="nil"/>
              <w:tr2bl w:val="nil"/>
            </w:tcBorders>
            <w:shd w:val="clear" w:color="auto" w:fill="FFFFFF"/>
            <w:tcMar>
              <w:left w:w="115" w:type="dxa"/>
              <w:right w:w="115" w:type="dxa"/>
            </w:tcMar>
            <w:vAlign w:val="bottom"/>
          </w:tcPr>
          <w:p w14:paraId="2322A678" w14:textId="77777777" w:rsidR="00724034" w:rsidRDefault="00724034">
            <w:pPr>
              <w:jc w:val="right"/>
              <w:rPr>
                <w:rFonts w:ascii="Arial" w:eastAsia="Arial" w:hAnsi="Arial" w:cs="Arial"/>
                <w:color w:val="000000"/>
                <w:sz w:val="16"/>
                <w:vertAlign w:val="superscript"/>
              </w:rPr>
            </w:pPr>
          </w:p>
        </w:tc>
        <w:tc>
          <w:tcPr>
            <w:tcW w:w="0" w:type="auto"/>
            <w:tcBorders>
              <w:top w:val="nil"/>
              <w:left w:val="nil"/>
              <w:bottom w:val="nil"/>
              <w:right w:val="single" w:sz="6" w:space="0" w:color="000000"/>
              <w:tl2br w:val="nil"/>
              <w:tr2bl w:val="nil"/>
            </w:tcBorders>
            <w:shd w:val="clear" w:color="auto" w:fill="FFFFFF"/>
            <w:tcMar>
              <w:left w:w="115" w:type="dxa"/>
              <w:right w:w="115" w:type="dxa"/>
            </w:tcMar>
            <w:vAlign w:val="bottom"/>
          </w:tcPr>
          <w:p w14:paraId="0358FC8D" w14:textId="77777777" w:rsidR="00724034" w:rsidRDefault="00724034">
            <w:pPr>
              <w:jc w:val="right"/>
              <w:rPr>
                <w:rFonts w:ascii="Arial" w:eastAsia="Arial" w:hAnsi="Arial" w:cs="Arial"/>
                <w:color w:val="000000"/>
                <w:sz w:val="16"/>
                <w:vertAlign w:val="superscript"/>
              </w:rPr>
            </w:pPr>
          </w:p>
        </w:tc>
      </w:tr>
      <w:tr w:rsidR="00FB7D0B" w14:paraId="1D40D42A" w14:textId="77777777" w:rsidTr="00FB7D0B">
        <w:tblPrEx>
          <w:tblLook w:val="04A0" w:firstRow="1" w:lastRow="0" w:firstColumn="1" w:lastColumn="0" w:noHBand="0" w:noVBand="1"/>
        </w:tblPrEx>
        <w:trPr>
          <w:trHeight w:val="450"/>
        </w:trPr>
        <w:tc>
          <w:tcPr>
            <w:tcW w:w="0" w:type="auto"/>
            <w:gridSpan w:val="3"/>
            <w:tcBorders>
              <w:top w:val="single" w:sz="6" w:space="0" w:color="FFFFFF"/>
              <w:left w:val="single" w:sz="6" w:space="0" w:color="000000"/>
              <w:bottom w:val="nil"/>
              <w:right w:val="nil"/>
              <w:tl2br w:val="nil"/>
              <w:tr2bl w:val="nil"/>
            </w:tcBorders>
            <w:shd w:val="clear" w:color="auto" w:fill="FFFFFF"/>
            <w:tcMar>
              <w:left w:w="115" w:type="dxa"/>
              <w:right w:w="115" w:type="dxa"/>
            </w:tcMar>
            <w:vAlign w:val="bottom"/>
          </w:tcPr>
          <w:p w14:paraId="500AA4C5" w14:textId="77777777" w:rsidR="00724034" w:rsidRDefault="00FB7D0B">
            <w:pPr>
              <w:rPr>
                <w:rFonts w:ascii="Arial" w:eastAsia="Arial" w:hAnsi="Arial" w:cs="Arial"/>
                <w:color w:val="000000"/>
                <w:sz w:val="16"/>
                <w:vertAlign w:val="superscript"/>
              </w:rPr>
            </w:pPr>
            <w:r>
              <w:rPr>
                <w:rFonts w:ascii="Arial" w:eastAsia="Arial" w:hAnsi="Arial" w:cs="Arial"/>
                <w:color w:val="000000"/>
                <w:sz w:val="16"/>
              </w:rPr>
              <w:t>Expenses not requiring appropriation in the Budget year</w:t>
            </w:r>
            <w:r>
              <w:rPr>
                <w:rFonts w:ascii="Arial" w:eastAsia="Arial" w:hAnsi="Arial" w:cs="Arial"/>
                <w:color w:val="000000"/>
                <w:sz w:val="16"/>
                <w:vertAlign w:val="superscript"/>
              </w:rPr>
              <w:t>1 </w:t>
            </w:r>
          </w:p>
        </w:tc>
        <w:tc>
          <w:tcPr>
            <w:tcW w:w="0" w:type="auto"/>
            <w:tcBorders>
              <w:top w:val="nil"/>
              <w:left w:val="nil"/>
              <w:bottom w:val="nil"/>
              <w:right w:val="nil"/>
              <w:tl2br w:val="nil"/>
              <w:tr2bl w:val="nil"/>
            </w:tcBorders>
            <w:shd w:val="clear" w:color="auto" w:fill="FFFFFF"/>
            <w:tcMar>
              <w:left w:w="115" w:type="dxa"/>
              <w:right w:w="115" w:type="dxa"/>
            </w:tcMar>
            <w:vAlign w:val="bottom"/>
          </w:tcPr>
          <w:p w14:paraId="43600B88" w14:textId="77777777" w:rsidR="00724034" w:rsidRDefault="00FB7D0B">
            <w:pPr>
              <w:jc w:val="right"/>
              <w:rPr>
                <w:rFonts w:ascii="Arial" w:eastAsia="Arial" w:hAnsi="Arial" w:cs="Arial"/>
                <w:color w:val="000000"/>
                <w:sz w:val="16"/>
                <w:vertAlign w:val="superscript"/>
              </w:rPr>
            </w:pPr>
            <w:r>
              <w:rPr>
                <w:rFonts w:ascii="Arial" w:eastAsia="Arial" w:hAnsi="Arial" w:cs="Arial"/>
                <w:color w:val="000000"/>
                <w:sz w:val="16"/>
              </w:rPr>
              <w:t>77,900 </w:t>
            </w:r>
          </w:p>
        </w:tc>
        <w:tc>
          <w:tcPr>
            <w:tcW w:w="0" w:type="auto"/>
            <w:tcBorders>
              <w:top w:val="nil"/>
              <w:left w:val="nil"/>
              <w:bottom w:val="nil"/>
              <w:right w:val="nil"/>
              <w:tl2br w:val="nil"/>
              <w:tr2bl w:val="nil"/>
            </w:tcBorders>
            <w:shd w:val="clear" w:color="auto" w:fill="FFFF00"/>
            <w:tcMar>
              <w:left w:w="115" w:type="dxa"/>
              <w:right w:w="115" w:type="dxa"/>
            </w:tcMar>
            <w:vAlign w:val="bottom"/>
          </w:tcPr>
          <w:p w14:paraId="56A744CF" w14:textId="77777777" w:rsidR="00724034" w:rsidRDefault="00FB7D0B">
            <w:pPr>
              <w:jc w:val="right"/>
              <w:rPr>
                <w:rFonts w:ascii="Arial" w:eastAsia="Arial" w:hAnsi="Arial" w:cs="Arial"/>
                <w:color w:val="000000"/>
                <w:sz w:val="16"/>
              </w:rPr>
            </w:pPr>
            <w:r>
              <w:rPr>
                <w:rFonts w:ascii="Arial" w:eastAsia="Arial" w:hAnsi="Arial" w:cs="Arial"/>
                <w:color w:val="000000"/>
                <w:sz w:val="16"/>
              </w:rPr>
              <w:t>133,800 </w:t>
            </w:r>
          </w:p>
        </w:tc>
        <w:tc>
          <w:tcPr>
            <w:tcW w:w="0" w:type="auto"/>
            <w:tcBorders>
              <w:top w:val="nil"/>
              <w:left w:val="nil"/>
              <w:bottom w:val="nil"/>
              <w:right w:val="nil"/>
              <w:tl2br w:val="nil"/>
              <w:tr2bl w:val="nil"/>
            </w:tcBorders>
            <w:shd w:val="clear" w:color="auto" w:fill="FFFFFF"/>
            <w:tcMar>
              <w:left w:w="115" w:type="dxa"/>
              <w:right w:w="115" w:type="dxa"/>
            </w:tcMar>
            <w:vAlign w:val="bottom"/>
          </w:tcPr>
          <w:p w14:paraId="6A07A252" w14:textId="77777777" w:rsidR="00724034" w:rsidRDefault="00FB7D0B">
            <w:pPr>
              <w:jc w:val="right"/>
              <w:rPr>
                <w:rFonts w:ascii="Arial" w:eastAsia="Arial" w:hAnsi="Arial" w:cs="Arial"/>
                <w:color w:val="000000"/>
                <w:sz w:val="16"/>
              </w:rPr>
            </w:pPr>
            <w:r>
              <w:rPr>
                <w:rFonts w:ascii="Arial" w:eastAsia="Arial" w:hAnsi="Arial" w:cs="Arial"/>
                <w:color w:val="000000"/>
                <w:sz w:val="16"/>
              </w:rPr>
              <w:t>139,400 </w:t>
            </w:r>
          </w:p>
        </w:tc>
        <w:tc>
          <w:tcPr>
            <w:tcW w:w="0" w:type="auto"/>
            <w:tcBorders>
              <w:top w:val="nil"/>
              <w:left w:val="nil"/>
              <w:bottom w:val="nil"/>
              <w:right w:val="nil"/>
              <w:tl2br w:val="nil"/>
              <w:tr2bl w:val="nil"/>
            </w:tcBorders>
            <w:shd w:val="clear" w:color="auto" w:fill="FFFFFF"/>
            <w:tcMar>
              <w:left w:w="115" w:type="dxa"/>
              <w:right w:w="115" w:type="dxa"/>
            </w:tcMar>
            <w:vAlign w:val="bottom"/>
          </w:tcPr>
          <w:p w14:paraId="41EB1DEC" w14:textId="77777777" w:rsidR="00724034" w:rsidRDefault="00FB7D0B">
            <w:pPr>
              <w:jc w:val="right"/>
              <w:rPr>
                <w:rFonts w:ascii="Arial" w:eastAsia="Arial" w:hAnsi="Arial" w:cs="Arial"/>
                <w:color w:val="000000"/>
                <w:sz w:val="16"/>
              </w:rPr>
            </w:pPr>
            <w:r>
              <w:rPr>
                <w:rFonts w:ascii="Arial" w:eastAsia="Arial" w:hAnsi="Arial" w:cs="Arial"/>
                <w:color w:val="000000"/>
                <w:sz w:val="16"/>
              </w:rPr>
              <w:t>156,700 </w:t>
            </w:r>
          </w:p>
        </w:tc>
        <w:tc>
          <w:tcPr>
            <w:tcW w:w="0" w:type="auto"/>
            <w:tcBorders>
              <w:top w:val="nil"/>
              <w:left w:val="nil"/>
              <w:bottom w:val="nil"/>
              <w:right w:val="single" w:sz="6" w:space="0" w:color="000000"/>
              <w:tl2br w:val="nil"/>
              <w:tr2bl w:val="nil"/>
            </w:tcBorders>
            <w:shd w:val="clear" w:color="auto" w:fill="FFFFFF"/>
            <w:tcMar>
              <w:left w:w="115" w:type="dxa"/>
              <w:right w:w="115" w:type="dxa"/>
            </w:tcMar>
            <w:vAlign w:val="bottom"/>
          </w:tcPr>
          <w:p w14:paraId="73E7C36B" w14:textId="77777777" w:rsidR="00724034" w:rsidRDefault="00FB7D0B">
            <w:pPr>
              <w:jc w:val="right"/>
              <w:rPr>
                <w:rFonts w:ascii="Arial" w:eastAsia="Arial" w:hAnsi="Arial" w:cs="Arial"/>
                <w:color w:val="000000"/>
                <w:sz w:val="16"/>
              </w:rPr>
            </w:pPr>
            <w:r>
              <w:rPr>
                <w:rFonts w:ascii="Arial" w:eastAsia="Arial" w:hAnsi="Arial" w:cs="Arial"/>
                <w:color w:val="000000"/>
                <w:sz w:val="16"/>
              </w:rPr>
              <w:t>156,700 </w:t>
            </w:r>
          </w:p>
        </w:tc>
      </w:tr>
      <w:tr w:rsidR="00FB7D0B" w14:paraId="3B2C0531" w14:textId="77777777" w:rsidTr="00FB7D0B">
        <w:tblPrEx>
          <w:tblLook w:val="04A0" w:firstRow="1" w:lastRow="0" w:firstColumn="1" w:lastColumn="0" w:noHBand="0" w:noVBand="1"/>
        </w:tblPrEx>
        <w:trPr>
          <w:trHeight w:val="225"/>
        </w:trPr>
        <w:tc>
          <w:tcPr>
            <w:tcW w:w="0" w:type="auto"/>
            <w:gridSpan w:val="3"/>
            <w:tcBorders>
              <w:top w:val="single" w:sz="6" w:space="0" w:color="FFFFFF"/>
              <w:left w:val="single" w:sz="6" w:space="0" w:color="000000"/>
              <w:bottom w:val="single" w:sz="6" w:space="0" w:color="000000"/>
              <w:right w:val="nil"/>
              <w:tl2br w:val="nil"/>
              <w:tr2bl w:val="nil"/>
            </w:tcBorders>
            <w:shd w:val="clear" w:color="auto" w:fill="FFFFFF"/>
            <w:tcMar>
              <w:left w:w="115" w:type="dxa"/>
              <w:right w:w="115" w:type="dxa"/>
            </w:tcMar>
            <w:vAlign w:val="bottom"/>
          </w:tcPr>
          <w:p w14:paraId="5B17FF23" w14:textId="77777777" w:rsidR="00724034" w:rsidRDefault="00FB7D0B">
            <w:pPr>
              <w:rPr>
                <w:rFonts w:ascii="Arial" w:eastAsia="Arial" w:hAnsi="Arial" w:cs="Arial"/>
                <w:color w:val="000000"/>
                <w:sz w:val="16"/>
              </w:rPr>
            </w:pPr>
            <w:r>
              <w:rPr>
                <w:rFonts w:ascii="Arial" w:eastAsia="Arial" w:hAnsi="Arial" w:cs="Arial"/>
                <w:b/>
                <w:color w:val="000000"/>
                <w:sz w:val="16"/>
              </w:rPr>
              <w:t xml:space="preserve">Total programme expenses </w:t>
            </w:r>
          </w:p>
        </w:tc>
        <w:tc>
          <w:tcPr>
            <w:tcW w:w="0" w:type="auto"/>
            <w:tcBorders>
              <w:top w:val="single" w:sz="6" w:space="0" w:color="000000"/>
              <w:left w:val="nil"/>
              <w:bottom w:val="single" w:sz="6" w:space="0" w:color="000000"/>
              <w:right w:val="nil"/>
              <w:tl2br w:val="nil"/>
              <w:tr2bl w:val="nil"/>
            </w:tcBorders>
            <w:shd w:val="clear" w:color="auto" w:fill="FFFFFF"/>
            <w:tcMar>
              <w:left w:w="115" w:type="dxa"/>
              <w:right w:w="115" w:type="dxa"/>
            </w:tcMar>
            <w:vAlign w:val="bottom"/>
          </w:tcPr>
          <w:p w14:paraId="42A3BE2D" w14:textId="77777777" w:rsidR="00724034" w:rsidRDefault="00FB7D0B">
            <w:pPr>
              <w:jc w:val="right"/>
              <w:rPr>
                <w:rFonts w:ascii="Arial" w:eastAsia="Arial" w:hAnsi="Arial" w:cs="Arial"/>
                <w:b/>
                <w:color w:val="000000"/>
                <w:sz w:val="16"/>
                <w:vertAlign w:val="superscript"/>
              </w:rPr>
            </w:pPr>
            <w:r>
              <w:rPr>
                <w:rFonts w:ascii="Arial" w:eastAsia="Arial" w:hAnsi="Arial" w:cs="Arial"/>
                <w:b/>
                <w:color w:val="000000"/>
                <w:sz w:val="16"/>
              </w:rPr>
              <w:t>77,900 </w:t>
            </w:r>
          </w:p>
        </w:tc>
        <w:tc>
          <w:tcPr>
            <w:tcW w:w="0" w:type="auto"/>
            <w:tcBorders>
              <w:top w:val="single" w:sz="6" w:space="0" w:color="000000"/>
              <w:left w:val="nil"/>
              <w:bottom w:val="single" w:sz="6" w:space="0" w:color="000000"/>
              <w:right w:val="nil"/>
              <w:tl2br w:val="nil"/>
              <w:tr2bl w:val="nil"/>
            </w:tcBorders>
            <w:shd w:val="clear" w:color="auto" w:fill="FFFF00"/>
            <w:tcMar>
              <w:left w:w="115" w:type="dxa"/>
              <w:right w:w="115" w:type="dxa"/>
            </w:tcMar>
            <w:vAlign w:val="bottom"/>
          </w:tcPr>
          <w:p w14:paraId="1EC3A3BC" w14:textId="77777777" w:rsidR="00724034" w:rsidRDefault="00FB7D0B">
            <w:pPr>
              <w:jc w:val="right"/>
              <w:rPr>
                <w:rFonts w:ascii="Arial" w:eastAsia="Arial" w:hAnsi="Arial" w:cs="Arial"/>
                <w:b/>
                <w:color w:val="000000"/>
                <w:sz w:val="16"/>
              </w:rPr>
            </w:pPr>
            <w:r>
              <w:rPr>
                <w:rFonts w:ascii="Arial" w:eastAsia="Arial" w:hAnsi="Arial" w:cs="Arial"/>
                <w:b/>
                <w:color w:val="000000"/>
                <w:sz w:val="16"/>
              </w:rPr>
              <w:t>133,800 </w:t>
            </w:r>
          </w:p>
        </w:tc>
        <w:tc>
          <w:tcPr>
            <w:tcW w:w="0" w:type="auto"/>
            <w:tcBorders>
              <w:top w:val="single" w:sz="6" w:space="0" w:color="000000"/>
              <w:left w:val="nil"/>
              <w:bottom w:val="single" w:sz="6" w:space="0" w:color="000000"/>
              <w:right w:val="nil"/>
              <w:tl2br w:val="nil"/>
              <w:tr2bl w:val="nil"/>
            </w:tcBorders>
            <w:shd w:val="clear" w:color="auto" w:fill="FFFFFF"/>
            <w:tcMar>
              <w:left w:w="115" w:type="dxa"/>
              <w:right w:w="115" w:type="dxa"/>
            </w:tcMar>
            <w:vAlign w:val="bottom"/>
          </w:tcPr>
          <w:p w14:paraId="526D1F8A" w14:textId="77777777" w:rsidR="00724034" w:rsidRDefault="00FB7D0B">
            <w:pPr>
              <w:jc w:val="right"/>
              <w:rPr>
                <w:rFonts w:ascii="Arial" w:eastAsia="Arial" w:hAnsi="Arial" w:cs="Arial"/>
                <w:b/>
                <w:color w:val="000000"/>
                <w:sz w:val="16"/>
              </w:rPr>
            </w:pPr>
            <w:r>
              <w:rPr>
                <w:rFonts w:ascii="Arial" w:eastAsia="Arial" w:hAnsi="Arial" w:cs="Arial"/>
                <w:b/>
                <w:color w:val="000000"/>
                <w:sz w:val="16"/>
              </w:rPr>
              <w:t>139,400 </w:t>
            </w:r>
          </w:p>
        </w:tc>
        <w:tc>
          <w:tcPr>
            <w:tcW w:w="0" w:type="auto"/>
            <w:tcBorders>
              <w:top w:val="single" w:sz="6" w:space="0" w:color="000000"/>
              <w:left w:val="nil"/>
              <w:bottom w:val="single" w:sz="6" w:space="0" w:color="000000"/>
              <w:right w:val="nil"/>
              <w:tl2br w:val="nil"/>
              <w:tr2bl w:val="nil"/>
            </w:tcBorders>
            <w:shd w:val="clear" w:color="auto" w:fill="FFFFFF"/>
            <w:tcMar>
              <w:left w:w="115" w:type="dxa"/>
              <w:right w:w="115" w:type="dxa"/>
            </w:tcMar>
            <w:vAlign w:val="bottom"/>
          </w:tcPr>
          <w:p w14:paraId="3F5FCC79" w14:textId="77777777" w:rsidR="00724034" w:rsidRDefault="00FB7D0B">
            <w:pPr>
              <w:jc w:val="right"/>
              <w:rPr>
                <w:rFonts w:ascii="Arial" w:eastAsia="Arial" w:hAnsi="Arial" w:cs="Arial"/>
                <w:b/>
                <w:color w:val="000000"/>
                <w:sz w:val="16"/>
              </w:rPr>
            </w:pPr>
            <w:r>
              <w:rPr>
                <w:rFonts w:ascii="Arial" w:eastAsia="Arial" w:hAnsi="Arial" w:cs="Arial"/>
                <w:b/>
                <w:color w:val="000000"/>
                <w:sz w:val="16"/>
              </w:rPr>
              <w:t>156,700 </w:t>
            </w:r>
          </w:p>
        </w:tc>
        <w:tc>
          <w:tcPr>
            <w:tcW w:w="0" w:type="auto"/>
            <w:tcBorders>
              <w:top w:val="single" w:sz="6" w:space="0" w:color="000000"/>
              <w:left w:val="nil"/>
              <w:bottom w:val="single" w:sz="6" w:space="0" w:color="000000"/>
              <w:right w:val="single" w:sz="6" w:space="0" w:color="000000"/>
              <w:tl2br w:val="nil"/>
              <w:tr2bl w:val="nil"/>
            </w:tcBorders>
            <w:shd w:val="clear" w:color="auto" w:fill="FFFFFF"/>
            <w:tcMar>
              <w:left w:w="115" w:type="dxa"/>
              <w:right w:w="115" w:type="dxa"/>
            </w:tcMar>
            <w:vAlign w:val="bottom"/>
          </w:tcPr>
          <w:p w14:paraId="5934018B" w14:textId="77777777" w:rsidR="00724034" w:rsidRDefault="00FB7D0B">
            <w:pPr>
              <w:jc w:val="right"/>
              <w:rPr>
                <w:rFonts w:ascii="Arial" w:eastAsia="Arial" w:hAnsi="Arial" w:cs="Arial"/>
                <w:b/>
                <w:color w:val="000000"/>
                <w:sz w:val="16"/>
              </w:rPr>
            </w:pPr>
            <w:r>
              <w:rPr>
                <w:rFonts w:ascii="Arial" w:eastAsia="Arial" w:hAnsi="Arial" w:cs="Arial"/>
                <w:b/>
                <w:color w:val="000000"/>
                <w:sz w:val="16"/>
              </w:rPr>
              <w:t>156,700 </w:t>
            </w:r>
          </w:p>
        </w:tc>
      </w:tr>
    </w:tbl>
    <w:p w14:paraId="22CFFE85" w14:textId="77777777" w:rsidR="00724034" w:rsidRDefault="00724034">
      <w:pPr>
        <w:rPr>
          <w:rFonts w:ascii="Times New Roman" w:eastAsia="Times New Roman" w:hAnsi="Times New Roman" w:cs="Times New Roman"/>
        </w:rPr>
      </w:pPr>
    </w:p>
    <w:p w14:paraId="2064065D" w14:textId="77777777" w:rsidR="003F0EEA" w:rsidRDefault="00FB7D0B" w:rsidP="003F0EEA">
      <w:pPr>
        <w:pStyle w:val="ListParagraph8"/>
        <w:numPr>
          <w:ilvl w:val="0"/>
          <w:numId w:val="26"/>
        </w:numPr>
        <w:spacing w:after="200" w:line="276" w:lineRule="auto"/>
        <w:ind w:left="284" w:hanging="284"/>
        <w:rPr>
          <w:rFonts w:ascii="Arial" w:eastAsia="Calibri" w:hAnsi="Arial" w:cs="Arial"/>
          <w:sz w:val="16"/>
          <w:szCs w:val="16"/>
          <w:lang w:eastAsia="en-US"/>
        </w:rPr>
      </w:pPr>
      <w:r>
        <w:rPr>
          <w:rFonts w:ascii="Arial" w:eastAsia="Calibri" w:hAnsi="Arial" w:cs="Arial"/>
          <w:sz w:val="16"/>
          <w:szCs w:val="16"/>
          <w:lang w:eastAsia="en-US"/>
        </w:rPr>
        <w:t xml:space="preserve">Expenses not requiring appropriation in the Budget year is made up of Depreciation Expense, Amortisation </w:t>
      </w:r>
      <w:r>
        <w:rPr>
          <w:rFonts w:ascii="Arial" w:eastAsia="Calibri" w:hAnsi="Arial" w:cs="Arial"/>
          <w:sz w:val="16"/>
          <w:szCs w:val="16"/>
          <w:lang w:eastAsia="en-US"/>
        </w:rPr>
        <w:br/>
        <w:t xml:space="preserve">Expense and Resources Received Free of Charge. </w:t>
      </w:r>
    </w:p>
    <w:p w14:paraId="3854F3A7" w14:textId="77777777" w:rsidR="003F0EEA" w:rsidRDefault="003F0EEA">
      <w:pPr>
        <w:rPr>
          <w:rFonts w:ascii="Arial" w:hAnsi="Arial" w:cs="Arial"/>
          <w:sz w:val="16"/>
          <w:szCs w:val="16"/>
          <w:lang w:eastAsia="en-US"/>
        </w:rPr>
        <w:sectPr w:rsidR="003F0EEA">
          <w:pgSz w:w="10319" w:h="14572"/>
          <w:pgMar w:top="1077" w:right="1077" w:bottom="1134" w:left="1134" w:header="709" w:footer="709" w:gutter="0"/>
          <w:cols w:space="708"/>
        </w:sectPr>
      </w:pPr>
    </w:p>
    <w:p w14:paraId="2E142DA7" w14:textId="77777777" w:rsidR="003F0EEA" w:rsidRDefault="00FB7D0B" w:rsidP="003F0EEA">
      <w:pPr>
        <w:pStyle w:val="Part1"/>
        <w:spacing w:before="240" w:after="240"/>
        <w:ind w:right="-99"/>
        <w:jc w:val="left"/>
        <w:rPr>
          <w:bCs w:val="0"/>
          <w:sz w:val="26"/>
          <w:szCs w:val="26"/>
        </w:rPr>
      </w:pPr>
      <w:r w:rsidRPr="00A51C80">
        <w:rPr>
          <w:bCs w:val="0"/>
          <w:sz w:val="26"/>
          <w:szCs w:val="26"/>
        </w:rPr>
        <w:lastRenderedPageBreak/>
        <w:t>Outcome 2</w:t>
      </w:r>
    </w:p>
    <w:tbl>
      <w:tblPr>
        <w:tblW w:w="850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8505"/>
      </w:tblGrid>
      <w:tr w:rsidR="00724034" w14:paraId="3B5E76FB" w14:textId="77777777" w:rsidTr="003F0EEA">
        <w:tc>
          <w:tcPr>
            <w:tcW w:w="8505" w:type="dxa"/>
            <w:tcBorders>
              <w:top w:val="single" w:sz="2" w:space="0" w:color="auto"/>
              <w:left w:val="single" w:sz="2" w:space="0" w:color="auto"/>
              <w:bottom w:val="single" w:sz="2" w:space="0" w:color="auto"/>
              <w:right w:val="single" w:sz="2" w:space="0" w:color="auto"/>
            </w:tcBorders>
            <w:shd w:val="clear" w:color="auto" w:fill="E6E6E6"/>
          </w:tcPr>
          <w:p w14:paraId="57282D4B" w14:textId="77777777" w:rsidR="003F0EEA" w:rsidRDefault="00FB7D0B">
            <w:pPr>
              <w:pStyle w:val="BoxHeading0"/>
            </w:pPr>
            <w:r>
              <w:rPr>
                <w:rFonts w:cs="Arial"/>
              </w:rPr>
              <w:t>Outcome 2: Maintain and enhance the physical wellbeing and quality of life of eligible persons and their dependants through health and other care services that promote early intervention, prevention and treatment, including advice and information about health service entitlements.</w:t>
            </w:r>
          </w:p>
        </w:tc>
      </w:tr>
    </w:tbl>
    <w:p w14:paraId="320741C4" w14:textId="77777777" w:rsidR="003F0EEA" w:rsidRDefault="00FB7D0B" w:rsidP="003F0EEA">
      <w:pPr>
        <w:pStyle w:val="Heading43"/>
      </w:pPr>
      <w:r>
        <w:rPr>
          <w:rFonts w:cs="Arial"/>
        </w:rPr>
        <w:t>Outcome 2 Strategy</w:t>
      </w:r>
    </w:p>
    <w:p w14:paraId="5B72DA16" w14:textId="77777777" w:rsidR="003F0EEA" w:rsidRPr="0003499C" w:rsidRDefault="00FB7D0B" w:rsidP="003F0EEA">
      <w:pPr>
        <w:pStyle w:val="Bullet2"/>
      </w:pPr>
      <w:r>
        <w:t xml:space="preserve">Ensure continued access to high-quality health care and rehabilitation services, in </w:t>
      </w:r>
      <w:r w:rsidRPr="0003499C">
        <w:t>partnership with public and private providers.</w:t>
      </w:r>
    </w:p>
    <w:p w14:paraId="60256EAF" w14:textId="77777777" w:rsidR="003F0EEA" w:rsidRDefault="00FB7D0B" w:rsidP="003F0EEA">
      <w:pPr>
        <w:pStyle w:val="Bullet2"/>
      </w:pPr>
      <w:r>
        <w:t>Focus on tackling the mental health challenges of veterans and their families.</w:t>
      </w:r>
    </w:p>
    <w:p w14:paraId="1714109C" w14:textId="77777777" w:rsidR="003F0EEA" w:rsidRDefault="00FB7D0B" w:rsidP="003F0EEA">
      <w:pPr>
        <w:pStyle w:val="Bullet2"/>
      </w:pPr>
      <w:r>
        <w:t>Continue implementing the Strengthening Veteran Mental Health 2013 budget measures to improve access to mental health services, strengthen mental health support for veterans, and improve claims processing.</w:t>
      </w:r>
    </w:p>
    <w:p w14:paraId="77CDECC3" w14:textId="77777777" w:rsidR="003F0EEA" w:rsidRDefault="00FB7D0B" w:rsidP="003F0EEA">
      <w:pPr>
        <w:pStyle w:val="Bullet2"/>
      </w:pPr>
      <w:r w:rsidRPr="0003499C">
        <w:t>Promote rehabilitation as a priority for veterans</w:t>
      </w:r>
      <w:r>
        <w:t xml:space="preserve"> and former members.</w:t>
      </w:r>
    </w:p>
    <w:p w14:paraId="3200E89B" w14:textId="77777777" w:rsidR="003F0EEA" w:rsidRDefault="00FB7D0B" w:rsidP="003F0EEA">
      <w:pPr>
        <w:pStyle w:val="Bullet2"/>
      </w:pPr>
      <w:r>
        <w:t>Maintain and develop services targeted to the needs of an ageing veteran population to support a level of independence.</w:t>
      </w:r>
    </w:p>
    <w:p w14:paraId="67E84E35" w14:textId="77777777" w:rsidR="003F0EEA" w:rsidRDefault="00FB7D0B" w:rsidP="003F0EEA">
      <w:pPr>
        <w:pStyle w:val="Bullet2"/>
      </w:pPr>
      <w:r>
        <w:t>Continue research to support the health and wellbeing of members and their families.</w:t>
      </w:r>
    </w:p>
    <w:p w14:paraId="560D4788" w14:textId="77777777" w:rsidR="003F0EEA" w:rsidRDefault="00FB7D0B" w:rsidP="003F0EEA">
      <w:pPr>
        <w:pStyle w:val="Bullet2"/>
      </w:pPr>
      <w:r>
        <w:t>In addition, the Department will implement a number of cross-portfolio measures (refer Table 1.2).</w:t>
      </w:r>
    </w:p>
    <w:p w14:paraId="567E050C" w14:textId="77777777" w:rsidR="003F0EEA" w:rsidRPr="00A51C80" w:rsidRDefault="00FB7D0B">
      <w:pPr>
        <w:spacing w:line="14" w:lineRule="exact"/>
        <w:rPr>
          <w:rFonts w:eastAsia="Times New Roman" w:cs="Times New Roman"/>
        </w:rPr>
      </w:pPr>
      <w:r w:rsidRPr="00A51C80">
        <w:rPr>
          <w:rFonts w:eastAsia="Times New Roman" w:cs="Times New Roman"/>
        </w:rPr>
        <w:br w:type="page"/>
      </w:r>
    </w:p>
    <w:p w14:paraId="3B9472A1" w14:textId="77777777" w:rsidR="003F0EEA" w:rsidRDefault="00FB7D0B" w:rsidP="003F0EEA">
      <w:pPr>
        <w:pStyle w:val="Heading44"/>
        <w:ind w:right="-99"/>
      </w:pPr>
      <w:r>
        <w:rPr>
          <w:rFonts w:cs="Arial"/>
        </w:rPr>
        <w:t>Outcome 2 Expense Statement</w:t>
      </w:r>
    </w:p>
    <w:p w14:paraId="48FE5916" w14:textId="77777777" w:rsidR="003F0EEA" w:rsidRDefault="00FB7D0B" w:rsidP="003F0EEA">
      <w:pPr>
        <w:pStyle w:val="Normal114"/>
        <w:spacing w:after="0" w:line="240" w:lineRule="auto"/>
      </w:pPr>
      <w:r>
        <w:t>Table 2.2 provides an overview of the total expenses for Outcome 2, by programme.</w:t>
      </w:r>
    </w:p>
    <w:p w14:paraId="60AC8F96" w14:textId="77777777" w:rsidR="003F0EEA" w:rsidRPr="00E86335" w:rsidRDefault="00FB7D0B" w:rsidP="003F0EEA">
      <w:pPr>
        <w:pStyle w:val="Normal114"/>
        <w:spacing w:before="120" w:after="20"/>
      </w:pPr>
      <w:r w:rsidRPr="00E86335">
        <w:rPr>
          <w:rFonts w:ascii="Arial" w:hAnsi="Arial" w:cs="Arial"/>
          <w:b/>
        </w:rPr>
        <w:t>Table 2.2: Budgeted Expenses for Outcome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5"/>
        <w:gridCol w:w="5325"/>
        <w:gridCol w:w="1230"/>
        <w:gridCol w:w="1230"/>
      </w:tblGrid>
      <w:tr w:rsidR="00724034" w14:paraId="6FAA7D47" w14:textId="77777777">
        <w:trPr>
          <w:trHeight w:val="225"/>
        </w:trPr>
        <w:tc>
          <w:tcPr>
            <w:tcW w:w="285" w:type="dxa"/>
            <w:tcBorders>
              <w:top w:val="nil"/>
              <w:left w:val="nil"/>
              <w:bottom w:val="single" w:sz="6" w:space="0" w:color="000000"/>
              <w:right w:val="nil"/>
              <w:tl2br w:val="nil"/>
              <w:tr2bl w:val="nil"/>
            </w:tcBorders>
            <w:shd w:val="clear" w:color="auto" w:fill="FFFFFF"/>
            <w:tcMar>
              <w:left w:w="101" w:type="dxa"/>
              <w:right w:w="101" w:type="dxa"/>
            </w:tcMar>
            <w:vAlign w:val="center"/>
          </w:tcPr>
          <w:p w14:paraId="570D4B3A" w14:textId="77777777" w:rsidR="003F0EEA" w:rsidRPr="00E86335" w:rsidRDefault="003F0EEA">
            <w:pPr>
              <w:rPr>
                <w:rFonts w:eastAsia="Times New Roman" w:cs="Times New Roman"/>
              </w:rPr>
            </w:pPr>
          </w:p>
        </w:tc>
        <w:tc>
          <w:tcPr>
            <w:tcW w:w="5325" w:type="dxa"/>
            <w:tcBorders>
              <w:top w:val="nil"/>
              <w:left w:val="nil"/>
              <w:bottom w:val="single" w:sz="6" w:space="0" w:color="000000"/>
              <w:right w:val="nil"/>
              <w:tl2br w:val="nil"/>
              <w:tr2bl w:val="nil"/>
            </w:tcBorders>
            <w:shd w:val="clear" w:color="auto" w:fill="FFFFFF"/>
            <w:tcMar>
              <w:left w:w="101" w:type="dxa"/>
              <w:right w:w="101" w:type="dxa"/>
            </w:tcMar>
            <w:vAlign w:val="center"/>
          </w:tcPr>
          <w:p w14:paraId="340BD2D4" w14:textId="77777777" w:rsidR="003F0EEA" w:rsidRPr="00E86335" w:rsidRDefault="003F0EEA">
            <w:pPr>
              <w:rPr>
                <w:rFonts w:ascii="Arial" w:eastAsia="Arial" w:hAnsi="Arial" w:cs="Arial"/>
                <w:color w:val="000000"/>
                <w:sz w:val="16"/>
              </w:rPr>
            </w:pPr>
          </w:p>
        </w:tc>
        <w:tc>
          <w:tcPr>
            <w:tcW w:w="1230" w:type="dxa"/>
            <w:tcBorders>
              <w:top w:val="nil"/>
              <w:left w:val="nil"/>
              <w:bottom w:val="single" w:sz="6" w:space="0" w:color="000000"/>
              <w:right w:val="nil"/>
              <w:tl2br w:val="nil"/>
              <w:tr2bl w:val="nil"/>
            </w:tcBorders>
            <w:shd w:val="clear" w:color="auto" w:fill="FFFFFF"/>
            <w:tcMar>
              <w:left w:w="101" w:type="dxa"/>
              <w:right w:w="101" w:type="dxa"/>
            </w:tcMar>
            <w:vAlign w:val="center"/>
          </w:tcPr>
          <w:p w14:paraId="44A3D1ED" w14:textId="77777777" w:rsidR="003F0EEA" w:rsidRPr="00E86335" w:rsidRDefault="003F0EEA">
            <w:pPr>
              <w:rPr>
                <w:rFonts w:ascii="Arial" w:eastAsia="Arial" w:hAnsi="Arial" w:cs="Arial"/>
                <w:b/>
                <w:color w:val="000000"/>
                <w:sz w:val="16"/>
                <w:vertAlign w:val="superscript"/>
              </w:rPr>
            </w:pPr>
          </w:p>
        </w:tc>
        <w:tc>
          <w:tcPr>
            <w:tcW w:w="1230" w:type="dxa"/>
            <w:tcBorders>
              <w:top w:val="nil"/>
              <w:left w:val="nil"/>
              <w:bottom w:val="single" w:sz="6" w:space="0" w:color="000000"/>
              <w:right w:val="nil"/>
              <w:tl2br w:val="nil"/>
              <w:tr2bl w:val="nil"/>
            </w:tcBorders>
            <w:shd w:val="clear" w:color="auto" w:fill="FFFFFF"/>
            <w:tcMar>
              <w:left w:w="101" w:type="dxa"/>
              <w:right w:w="101" w:type="dxa"/>
            </w:tcMar>
            <w:vAlign w:val="center"/>
          </w:tcPr>
          <w:p w14:paraId="5BB952CE" w14:textId="77777777" w:rsidR="003F0EEA" w:rsidRPr="00E86335" w:rsidRDefault="003F0EEA">
            <w:pPr>
              <w:rPr>
                <w:rFonts w:ascii="Arial" w:eastAsia="Arial" w:hAnsi="Arial" w:cs="Arial"/>
                <w:color w:val="000000"/>
                <w:sz w:val="16"/>
                <w:vertAlign w:val="superscript"/>
              </w:rPr>
            </w:pPr>
          </w:p>
        </w:tc>
      </w:tr>
      <w:tr w:rsidR="00FB7D0B" w14:paraId="488FBA05" w14:textId="77777777" w:rsidTr="00FB7D0B">
        <w:trPr>
          <w:trHeight w:val="225"/>
        </w:trPr>
        <w:tc>
          <w:tcPr>
            <w:tcW w:w="5610" w:type="dxa"/>
            <w:gridSpan w:val="2"/>
            <w:vMerge w:val="restart"/>
            <w:tcBorders>
              <w:top w:val="single" w:sz="6" w:space="0" w:color="000000"/>
              <w:left w:val="nil"/>
              <w:bottom w:val="nil"/>
              <w:right w:val="nil"/>
              <w:tl2br w:val="nil"/>
              <w:tr2bl w:val="nil"/>
            </w:tcBorders>
            <w:shd w:val="clear" w:color="auto" w:fill="FFFFFF"/>
            <w:tcMar>
              <w:left w:w="101" w:type="dxa"/>
              <w:right w:w="101" w:type="dxa"/>
            </w:tcMar>
          </w:tcPr>
          <w:p w14:paraId="7A9501D4" w14:textId="77777777" w:rsidR="003F0EEA" w:rsidRPr="00E86335" w:rsidRDefault="00FB7D0B">
            <w:pPr>
              <w:rPr>
                <w:rFonts w:ascii="Arial" w:eastAsia="Arial" w:hAnsi="Arial" w:cs="Arial"/>
                <w:color w:val="000000"/>
                <w:sz w:val="16"/>
                <w:vertAlign w:val="superscript"/>
              </w:rPr>
            </w:pPr>
            <w:r w:rsidRPr="00E86335">
              <w:rPr>
                <w:rFonts w:ascii="Arial" w:eastAsia="Arial" w:hAnsi="Arial" w:cs="Arial"/>
                <w:b/>
                <w:color w:val="000000"/>
                <w:sz w:val="16"/>
              </w:rPr>
              <w:t xml:space="preserve">Outcome 2:   </w:t>
            </w:r>
            <w:r w:rsidRPr="00E86335">
              <w:rPr>
                <w:rFonts w:ascii="Arial" w:eastAsia="Arial" w:hAnsi="Arial" w:cs="Arial"/>
                <w:color w:val="000000"/>
                <w:sz w:val="16"/>
              </w:rPr>
              <w:t>Maintain and enhance the physical wellbeing and quality of life of eligible persons and their dependants through health and other care services that promote early intervention, prevention and treatment, including advice and information about health service entitlements.</w:t>
            </w:r>
          </w:p>
        </w:tc>
        <w:tc>
          <w:tcPr>
            <w:tcW w:w="1230"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417417BA" w14:textId="77777777" w:rsidR="003F0EEA" w:rsidRPr="00E86335" w:rsidRDefault="00FB7D0B">
            <w:pPr>
              <w:jc w:val="right"/>
              <w:rPr>
                <w:rFonts w:ascii="Arial" w:eastAsia="Arial" w:hAnsi="Arial" w:cs="Arial"/>
                <w:b/>
                <w:color w:val="000000"/>
                <w:sz w:val="16"/>
                <w:vertAlign w:val="superscript"/>
              </w:rPr>
            </w:pPr>
            <w:r w:rsidRPr="00E86335">
              <w:rPr>
                <w:rFonts w:ascii="Arial" w:eastAsia="Arial" w:hAnsi="Arial" w:cs="Arial"/>
                <w:color w:val="000000"/>
                <w:sz w:val="16"/>
              </w:rPr>
              <w:t>2013-14</w:t>
            </w:r>
          </w:p>
        </w:tc>
        <w:tc>
          <w:tcPr>
            <w:tcW w:w="1230" w:type="dxa"/>
            <w:tcBorders>
              <w:top w:val="single" w:sz="6" w:space="0" w:color="000000"/>
              <w:left w:val="nil"/>
              <w:bottom w:val="nil"/>
              <w:right w:val="nil"/>
              <w:tl2br w:val="nil"/>
              <w:tr2bl w:val="nil"/>
            </w:tcBorders>
            <w:shd w:val="clear" w:color="auto" w:fill="FFFF00"/>
            <w:tcMar>
              <w:left w:w="101" w:type="dxa"/>
              <w:right w:w="101" w:type="dxa"/>
            </w:tcMar>
            <w:vAlign w:val="bottom"/>
          </w:tcPr>
          <w:p w14:paraId="1DBF2233" w14:textId="77777777" w:rsidR="003F0EEA" w:rsidRPr="00E86335" w:rsidRDefault="00FB7D0B">
            <w:pPr>
              <w:jc w:val="right"/>
              <w:rPr>
                <w:rFonts w:ascii="Arial" w:eastAsia="Arial" w:hAnsi="Arial" w:cs="Arial"/>
                <w:color w:val="000000"/>
                <w:sz w:val="16"/>
              </w:rPr>
            </w:pPr>
            <w:r w:rsidRPr="00E86335">
              <w:rPr>
                <w:rFonts w:ascii="Arial" w:eastAsia="Arial" w:hAnsi="Arial" w:cs="Arial"/>
                <w:color w:val="000000"/>
                <w:sz w:val="16"/>
              </w:rPr>
              <w:t>2014-15</w:t>
            </w:r>
          </w:p>
        </w:tc>
      </w:tr>
      <w:tr w:rsidR="00FB7D0B" w14:paraId="4C1D0CFF" w14:textId="77777777" w:rsidTr="00FB7D0B">
        <w:trPr>
          <w:trHeight w:val="225"/>
        </w:trPr>
        <w:tc>
          <w:tcPr>
            <w:tcW w:w="5610" w:type="dxa"/>
            <w:gridSpan w:val="2"/>
            <w:vMerge/>
            <w:tcBorders>
              <w:top w:val="nil"/>
              <w:left w:val="nil"/>
              <w:bottom w:val="nil"/>
              <w:right w:val="nil"/>
              <w:tl2br w:val="nil"/>
              <w:tr2bl w:val="nil"/>
            </w:tcBorders>
            <w:shd w:val="clear" w:color="auto" w:fill="FFFF00"/>
            <w:tcMar>
              <w:left w:w="101" w:type="dxa"/>
              <w:right w:w="101" w:type="dxa"/>
            </w:tcMar>
            <w:vAlign w:val="bottom"/>
          </w:tcPr>
          <w:p w14:paraId="4CE03432" w14:textId="77777777" w:rsidR="003F0EEA" w:rsidRPr="00E86335" w:rsidRDefault="003F0EEA">
            <w:pPr>
              <w:jc w:val="right"/>
              <w:rPr>
                <w:rFonts w:ascii="Arial" w:eastAsia="Arial" w:hAnsi="Arial" w:cs="Arial"/>
                <w:color w:val="000000"/>
                <w:sz w:val="16"/>
              </w:rPr>
            </w:pPr>
          </w:p>
        </w:tc>
        <w:tc>
          <w:tcPr>
            <w:tcW w:w="1230" w:type="dxa"/>
            <w:tcBorders>
              <w:top w:val="nil"/>
              <w:left w:val="nil"/>
              <w:bottom w:val="nil"/>
              <w:right w:val="nil"/>
              <w:tl2br w:val="nil"/>
              <w:tr2bl w:val="nil"/>
            </w:tcBorders>
            <w:shd w:val="clear" w:color="auto" w:fill="FFFFFF"/>
            <w:tcMar>
              <w:left w:w="101" w:type="dxa"/>
              <w:right w:w="101" w:type="dxa"/>
            </w:tcMar>
            <w:vAlign w:val="bottom"/>
          </w:tcPr>
          <w:p w14:paraId="503F4EF6" w14:textId="77777777" w:rsidR="003F0EEA" w:rsidRPr="00E86335" w:rsidRDefault="00FB7D0B">
            <w:pPr>
              <w:jc w:val="right"/>
              <w:rPr>
                <w:rFonts w:ascii="Arial" w:eastAsia="Arial" w:hAnsi="Arial" w:cs="Arial"/>
                <w:color w:val="000000"/>
                <w:sz w:val="16"/>
              </w:rPr>
            </w:pPr>
            <w:r w:rsidRPr="00E86335">
              <w:rPr>
                <w:rFonts w:ascii="Arial" w:eastAsia="Arial" w:hAnsi="Arial" w:cs="Arial"/>
                <w:color w:val="000000"/>
                <w:sz w:val="16"/>
              </w:rPr>
              <w:t>Estimated</w:t>
            </w:r>
          </w:p>
        </w:tc>
        <w:tc>
          <w:tcPr>
            <w:tcW w:w="1230" w:type="dxa"/>
            <w:tcBorders>
              <w:top w:val="nil"/>
              <w:left w:val="nil"/>
              <w:bottom w:val="nil"/>
              <w:right w:val="nil"/>
              <w:tl2br w:val="nil"/>
              <w:tr2bl w:val="nil"/>
            </w:tcBorders>
            <w:shd w:val="clear" w:color="auto" w:fill="FFFF00"/>
            <w:tcMar>
              <w:left w:w="101" w:type="dxa"/>
              <w:right w:w="101" w:type="dxa"/>
            </w:tcMar>
            <w:vAlign w:val="bottom"/>
          </w:tcPr>
          <w:p w14:paraId="27C50351" w14:textId="77777777" w:rsidR="003F0EEA" w:rsidRPr="00E86335" w:rsidRDefault="00FB7D0B">
            <w:pPr>
              <w:jc w:val="right"/>
              <w:rPr>
                <w:rFonts w:ascii="Arial" w:eastAsia="Arial" w:hAnsi="Arial" w:cs="Arial"/>
                <w:color w:val="000000"/>
                <w:sz w:val="16"/>
              </w:rPr>
            </w:pPr>
            <w:r w:rsidRPr="00E86335">
              <w:rPr>
                <w:rFonts w:ascii="Arial" w:eastAsia="Arial" w:hAnsi="Arial" w:cs="Arial"/>
                <w:color w:val="000000"/>
                <w:sz w:val="16"/>
              </w:rPr>
              <w:t>Estimated</w:t>
            </w:r>
          </w:p>
        </w:tc>
      </w:tr>
      <w:tr w:rsidR="00FB7D0B" w14:paraId="7EC79B6B" w14:textId="77777777" w:rsidTr="00FB7D0B">
        <w:trPr>
          <w:trHeight w:val="225"/>
        </w:trPr>
        <w:tc>
          <w:tcPr>
            <w:tcW w:w="5610" w:type="dxa"/>
            <w:gridSpan w:val="2"/>
            <w:vMerge/>
            <w:tcBorders>
              <w:top w:val="nil"/>
              <w:left w:val="nil"/>
              <w:bottom w:val="nil"/>
              <w:right w:val="nil"/>
              <w:tl2br w:val="nil"/>
              <w:tr2bl w:val="nil"/>
            </w:tcBorders>
            <w:shd w:val="clear" w:color="auto" w:fill="FFFF00"/>
            <w:tcMar>
              <w:left w:w="101" w:type="dxa"/>
              <w:right w:w="101" w:type="dxa"/>
            </w:tcMar>
            <w:vAlign w:val="bottom"/>
          </w:tcPr>
          <w:p w14:paraId="118872EC" w14:textId="77777777" w:rsidR="003F0EEA" w:rsidRPr="00E86335" w:rsidRDefault="003F0EEA">
            <w:pPr>
              <w:jc w:val="right"/>
              <w:rPr>
                <w:rFonts w:ascii="Arial" w:eastAsia="Arial" w:hAnsi="Arial" w:cs="Arial"/>
                <w:color w:val="000000"/>
                <w:sz w:val="16"/>
              </w:rPr>
            </w:pPr>
          </w:p>
        </w:tc>
        <w:tc>
          <w:tcPr>
            <w:tcW w:w="1230" w:type="dxa"/>
            <w:tcBorders>
              <w:top w:val="nil"/>
              <w:left w:val="nil"/>
              <w:bottom w:val="nil"/>
              <w:right w:val="nil"/>
              <w:tl2br w:val="nil"/>
              <w:tr2bl w:val="nil"/>
            </w:tcBorders>
            <w:shd w:val="clear" w:color="auto" w:fill="FFFFFF"/>
            <w:tcMar>
              <w:left w:w="101" w:type="dxa"/>
              <w:right w:w="101" w:type="dxa"/>
            </w:tcMar>
            <w:vAlign w:val="bottom"/>
          </w:tcPr>
          <w:p w14:paraId="3AAD8ADF" w14:textId="77777777" w:rsidR="003F0EEA" w:rsidRPr="00E86335" w:rsidRDefault="00FB7D0B">
            <w:pPr>
              <w:jc w:val="right"/>
              <w:rPr>
                <w:rFonts w:ascii="Arial" w:eastAsia="Arial" w:hAnsi="Arial" w:cs="Arial"/>
                <w:color w:val="000000"/>
                <w:sz w:val="16"/>
              </w:rPr>
            </w:pPr>
            <w:r w:rsidRPr="00E86335">
              <w:rPr>
                <w:rFonts w:ascii="Arial" w:eastAsia="Arial" w:hAnsi="Arial" w:cs="Arial"/>
                <w:color w:val="000000"/>
                <w:sz w:val="16"/>
              </w:rPr>
              <w:t>actual</w:t>
            </w:r>
          </w:p>
        </w:tc>
        <w:tc>
          <w:tcPr>
            <w:tcW w:w="1230" w:type="dxa"/>
            <w:tcBorders>
              <w:top w:val="nil"/>
              <w:left w:val="nil"/>
              <w:bottom w:val="nil"/>
              <w:right w:val="nil"/>
              <w:tl2br w:val="nil"/>
              <w:tr2bl w:val="nil"/>
            </w:tcBorders>
            <w:shd w:val="clear" w:color="auto" w:fill="FFFF00"/>
            <w:tcMar>
              <w:left w:w="101" w:type="dxa"/>
              <w:right w:w="101" w:type="dxa"/>
            </w:tcMar>
            <w:vAlign w:val="bottom"/>
          </w:tcPr>
          <w:p w14:paraId="2EB55D43" w14:textId="77777777" w:rsidR="003F0EEA" w:rsidRPr="00E86335" w:rsidRDefault="00FB7D0B">
            <w:pPr>
              <w:jc w:val="right"/>
              <w:rPr>
                <w:rFonts w:ascii="Arial" w:eastAsia="Arial" w:hAnsi="Arial" w:cs="Arial"/>
                <w:color w:val="000000"/>
                <w:sz w:val="16"/>
              </w:rPr>
            </w:pPr>
            <w:r w:rsidRPr="00E86335">
              <w:rPr>
                <w:rFonts w:ascii="Arial" w:eastAsia="Arial" w:hAnsi="Arial" w:cs="Arial"/>
                <w:color w:val="000000"/>
                <w:sz w:val="16"/>
              </w:rPr>
              <w:t>expenses</w:t>
            </w:r>
          </w:p>
        </w:tc>
      </w:tr>
      <w:tr w:rsidR="00FB7D0B" w14:paraId="50253AB1" w14:textId="77777777" w:rsidTr="00FB7D0B">
        <w:trPr>
          <w:trHeight w:val="225"/>
        </w:trPr>
        <w:tc>
          <w:tcPr>
            <w:tcW w:w="5610" w:type="dxa"/>
            <w:gridSpan w:val="2"/>
            <w:vMerge/>
            <w:tcBorders>
              <w:top w:val="nil"/>
              <w:left w:val="nil"/>
              <w:bottom w:val="nil"/>
              <w:right w:val="nil"/>
              <w:tl2br w:val="nil"/>
              <w:tr2bl w:val="nil"/>
            </w:tcBorders>
            <w:shd w:val="clear" w:color="auto" w:fill="FFFF00"/>
            <w:tcMar>
              <w:left w:w="101" w:type="dxa"/>
              <w:right w:w="101" w:type="dxa"/>
            </w:tcMar>
            <w:vAlign w:val="bottom"/>
          </w:tcPr>
          <w:p w14:paraId="4AA24E08" w14:textId="77777777" w:rsidR="003F0EEA" w:rsidRPr="00E86335" w:rsidRDefault="003F0EEA">
            <w:pPr>
              <w:jc w:val="right"/>
              <w:rPr>
                <w:rFonts w:ascii="Arial" w:eastAsia="Arial" w:hAnsi="Arial" w:cs="Arial"/>
                <w:color w:val="000000"/>
                <w:sz w:val="16"/>
              </w:rPr>
            </w:pPr>
          </w:p>
        </w:tc>
        <w:tc>
          <w:tcPr>
            <w:tcW w:w="1230" w:type="dxa"/>
            <w:tcBorders>
              <w:top w:val="nil"/>
              <w:left w:val="nil"/>
              <w:bottom w:val="nil"/>
              <w:right w:val="nil"/>
              <w:tl2br w:val="nil"/>
              <w:tr2bl w:val="nil"/>
            </w:tcBorders>
            <w:shd w:val="clear" w:color="auto" w:fill="FFFFFF"/>
            <w:tcMar>
              <w:left w:w="101" w:type="dxa"/>
              <w:right w:w="101" w:type="dxa"/>
            </w:tcMar>
            <w:vAlign w:val="bottom"/>
          </w:tcPr>
          <w:p w14:paraId="4F9873FA" w14:textId="77777777" w:rsidR="003F0EEA" w:rsidRPr="00E86335" w:rsidRDefault="00FB7D0B">
            <w:pPr>
              <w:jc w:val="right"/>
              <w:rPr>
                <w:rFonts w:ascii="Arial" w:eastAsia="Arial" w:hAnsi="Arial" w:cs="Arial"/>
                <w:color w:val="000000"/>
                <w:sz w:val="16"/>
              </w:rPr>
            </w:pPr>
            <w:r w:rsidRPr="00E86335">
              <w:rPr>
                <w:rFonts w:ascii="Arial" w:eastAsia="Arial" w:hAnsi="Arial" w:cs="Arial"/>
                <w:color w:val="000000"/>
                <w:sz w:val="16"/>
              </w:rPr>
              <w:t>expenses</w:t>
            </w:r>
          </w:p>
        </w:tc>
        <w:tc>
          <w:tcPr>
            <w:tcW w:w="1230" w:type="dxa"/>
            <w:tcBorders>
              <w:top w:val="nil"/>
              <w:left w:val="nil"/>
              <w:bottom w:val="nil"/>
              <w:right w:val="nil"/>
              <w:tl2br w:val="nil"/>
              <w:tr2bl w:val="nil"/>
            </w:tcBorders>
            <w:shd w:val="clear" w:color="auto" w:fill="FFFF00"/>
            <w:tcMar>
              <w:left w:w="101" w:type="dxa"/>
              <w:right w:w="101" w:type="dxa"/>
            </w:tcMar>
            <w:vAlign w:val="bottom"/>
          </w:tcPr>
          <w:p w14:paraId="26A62D51" w14:textId="77777777" w:rsidR="003F0EEA" w:rsidRPr="00E86335" w:rsidRDefault="003F0EEA">
            <w:pPr>
              <w:jc w:val="right"/>
              <w:rPr>
                <w:rFonts w:ascii="Arial" w:eastAsia="Arial" w:hAnsi="Arial" w:cs="Arial"/>
                <w:color w:val="000000"/>
                <w:sz w:val="16"/>
              </w:rPr>
            </w:pPr>
          </w:p>
        </w:tc>
      </w:tr>
      <w:tr w:rsidR="00FB7D0B" w14:paraId="57CF806C" w14:textId="77777777" w:rsidTr="00FB7D0B">
        <w:trPr>
          <w:trHeight w:val="225"/>
        </w:trPr>
        <w:tc>
          <w:tcPr>
            <w:tcW w:w="5610" w:type="dxa"/>
            <w:gridSpan w:val="2"/>
            <w:vMerge/>
            <w:tcBorders>
              <w:top w:val="nil"/>
              <w:left w:val="nil"/>
              <w:bottom w:val="nil"/>
              <w:right w:val="nil"/>
              <w:tl2br w:val="nil"/>
              <w:tr2bl w:val="nil"/>
            </w:tcBorders>
            <w:shd w:val="clear" w:color="auto" w:fill="FFFF00"/>
            <w:tcMar>
              <w:left w:w="101" w:type="dxa"/>
              <w:right w:w="101" w:type="dxa"/>
            </w:tcMar>
            <w:vAlign w:val="bottom"/>
          </w:tcPr>
          <w:p w14:paraId="3F496FF8" w14:textId="77777777" w:rsidR="003F0EEA" w:rsidRPr="00E86335" w:rsidRDefault="003F0EEA">
            <w:pPr>
              <w:jc w:val="right"/>
              <w:rPr>
                <w:rFonts w:ascii="Arial" w:eastAsia="Arial" w:hAnsi="Arial" w:cs="Arial"/>
                <w:color w:val="000000"/>
                <w:sz w:val="16"/>
              </w:rPr>
            </w:pPr>
          </w:p>
        </w:tc>
        <w:tc>
          <w:tcPr>
            <w:tcW w:w="1230"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7F59447F" w14:textId="77777777" w:rsidR="003F0EEA" w:rsidRPr="00E86335" w:rsidRDefault="00FB7D0B">
            <w:pPr>
              <w:jc w:val="right"/>
              <w:rPr>
                <w:rFonts w:ascii="Arial" w:eastAsia="Arial" w:hAnsi="Arial" w:cs="Arial"/>
                <w:color w:val="000000"/>
                <w:sz w:val="16"/>
              </w:rPr>
            </w:pPr>
            <w:r w:rsidRPr="00E86335">
              <w:rPr>
                <w:rFonts w:ascii="Arial" w:eastAsia="Arial" w:hAnsi="Arial" w:cs="Arial"/>
                <w:color w:val="000000"/>
                <w:sz w:val="16"/>
              </w:rPr>
              <w:t>$'000</w:t>
            </w:r>
          </w:p>
        </w:tc>
        <w:tc>
          <w:tcPr>
            <w:tcW w:w="1230" w:type="dxa"/>
            <w:tcBorders>
              <w:top w:val="nil"/>
              <w:left w:val="nil"/>
              <w:bottom w:val="single" w:sz="6" w:space="0" w:color="000000"/>
              <w:right w:val="nil"/>
              <w:tl2br w:val="nil"/>
              <w:tr2bl w:val="nil"/>
            </w:tcBorders>
            <w:shd w:val="clear" w:color="auto" w:fill="FFFF00"/>
            <w:tcMar>
              <w:left w:w="101" w:type="dxa"/>
              <w:right w:w="101" w:type="dxa"/>
            </w:tcMar>
            <w:vAlign w:val="bottom"/>
          </w:tcPr>
          <w:p w14:paraId="1EA5C050" w14:textId="77777777" w:rsidR="003F0EEA" w:rsidRPr="00E86335" w:rsidRDefault="00FB7D0B">
            <w:pPr>
              <w:jc w:val="right"/>
              <w:rPr>
                <w:rFonts w:ascii="Arial" w:eastAsia="Arial" w:hAnsi="Arial" w:cs="Arial"/>
                <w:color w:val="000000"/>
                <w:sz w:val="16"/>
              </w:rPr>
            </w:pPr>
            <w:r w:rsidRPr="00E86335">
              <w:rPr>
                <w:rFonts w:ascii="Arial" w:eastAsia="Arial" w:hAnsi="Arial" w:cs="Arial"/>
                <w:color w:val="000000"/>
                <w:sz w:val="16"/>
              </w:rPr>
              <w:t>$'000</w:t>
            </w:r>
          </w:p>
        </w:tc>
      </w:tr>
      <w:tr w:rsidR="00FB7D0B" w14:paraId="0A690F98" w14:textId="77777777" w:rsidTr="00FB7D0B">
        <w:trPr>
          <w:trHeight w:val="225"/>
        </w:trPr>
        <w:tc>
          <w:tcPr>
            <w:tcW w:w="5610" w:type="dxa"/>
            <w:gridSpan w:val="2"/>
            <w:tcBorders>
              <w:top w:val="nil"/>
              <w:left w:val="nil"/>
              <w:bottom w:val="nil"/>
              <w:right w:val="nil"/>
              <w:tl2br w:val="nil"/>
              <w:tr2bl w:val="nil"/>
            </w:tcBorders>
            <w:shd w:val="clear" w:color="auto" w:fill="FFFFFF"/>
            <w:tcMar>
              <w:left w:w="101" w:type="dxa"/>
              <w:right w:w="101" w:type="dxa"/>
            </w:tcMar>
            <w:vAlign w:val="bottom"/>
          </w:tcPr>
          <w:p w14:paraId="4E7E9463" w14:textId="77777777" w:rsidR="003F0EEA" w:rsidRPr="00E86335" w:rsidRDefault="00FB7D0B">
            <w:pPr>
              <w:rPr>
                <w:rFonts w:ascii="Arial" w:eastAsia="Arial" w:hAnsi="Arial" w:cs="Arial"/>
                <w:color w:val="000000"/>
                <w:sz w:val="16"/>
              </w:rPr>
            </w:pPr>
            <w:r w:rsidRPr="00E86335">
              <w:rPr>
                <w:rFonts w:ascii="Arial" w:eastAsia="Arial" w:hAnsi="Arial" w:cs="Arial"/>
                <w:b/>
                <w:color w:val="000000"/>
                <w:sz w:val="16"/>
              </w:rPr>
              <w:t>Programme 2.1:  General Medical Consultations and Services</w:t>
            </w:r>
          </w:p>
        </w:tc>
        <w:tc>
          <w:tcPr>
            <w:tcW w:w="1230"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690F7C0B" w14:textId="77777777" w:rsidR="003F0EEA" w:rsidRPr="00E86335" w:rsidRDefault="003F0EEA">
            <w:pPr>
              <w:jc w:val="right"/>
              <w:rPr>
                <w:rFonts w:ascii="Arial" w:eastAsia="Arial" w:hAnsi="Arial" w:cs="Arial"/>
                <w:color w:val="000000"/>
                <w:sz w:val="12"/>
                <w:vertAlign w:val="superscript"/>
              </w:rPr>
            </w:pPr>
          </w:p>
        </w:tc>
        <w:tc>
          <w:tcPr>
            <w:tcW w:w="1230" w:type="dxa"/>
            <w:tcBorders>
              <w:top w:val="single" w:sz="6" w:space="0" w:color="000000"/>
              <w:left w:val="nil"/>
              <w:bottom w:val="nil"/>
              <w:right w:val="nil"/>
              <w:tl2br w:val="nil"/>
              <w:tr2bl w:val="nil"/>
            </w:tcBorders>
            <w:shd w:val="clear" w:color="auto" w:fill="FFFF00"/>
            <w:tcMar>
              <w:left w:w="101" w:type="dxa"/>
              <w:right w:w="101" w:type="dxa"/>
            </w:tcMar>
            <w:vAlign w:val="bottom"/>
          </w:tcPr>
          <w:p w14:paraId="1216A949" w14:textId="77777777" w:rsidR="003F0EEA" w:rsidRPr="00E86335" w:rsidRDefault="003F0EEA">
            <w:pPr>
              <w:jc w:val="right"/>
              <w:rPr>
                <w:rFonts w:ascii="Arial" w:eastAsia="Arial" w:hAnsi="Arial" w:cs="Arial"/>
                <w:color w:val="000000"/>
                <w:sz w:val="16"/>
                <w:vertAlign w:val="superscript"/>
              </w:rPr>
            </w:pPr>
          </w:p>
        </w:tc>
      </w:tr>
      <w:tr w:rsidR="00FB7D0B" w14:paraId="3160283A" w14:textId="77777777" w:rsidTr="00FB7D0B">
        <w:trPr>
          <w:trHeight w:val="225"/>
        </w:trPr>
        <w:tc>
          <w:tcPr>
            <w:tcW w:w="5610" w:type="dxa"/>
            <w:gridSpan w:val="2"/>
            <w:tcBorders>
              <w:top w:val="nil"/>
              <w:left w:val="nil"/>
              <w:bottom w:val="nil"/>
              <w:right w:val="nil"/>
              <w:tl2br w:val="nil"/>
              <w:tr2bl w:val="nil"/>
            </w:tcBorders>
            <w:shd w:val="clear" w:color="auto" w:fill="FFFFFF"/>
            <w:tcMar>
              <w:left w:w="101" w:type="dxa"/>
              <w:right w:w="101" w:type="dxa"/>
            </w:tcMar>
            <w:vAlign w:val="bottom"/>
          </w:tcPr>
          <w:p w14:paraId="7B87E4ED" w14:textId="77777777" w:rsidR="003F0EEA" w:rsidRPr="00E86335" w:rsidRDefault="00FB7D0B">
            <w:pPr>
              <w:rPr>
                <w:rFonts w:ascii="Arial" w:eastAsia="Arial" w:hAnsi="Arial" w:cs="Arial"/>
                <w:color w:val="000000"/>
                <w:sz w:val="16"/>
                <w:vertAlign w:val="superscript"/>
              </w:rPr>
            </w:pPr>
            <w:r w:rsidRPr="00E86335">
              <w:rPr>
                <w:rFonts w:ascii="Arial" w:eastAsia="Arial" w:hAnsi="Arial" w:cs="Arial"/>
                <w:color w:val="000000"/>
                <w:sz w:val="16"/>
              </w:rPr>
              <w:t>Administered Expenses</w:t>
            </w:r>
          </w:p>
        </w:tc>
        <w:tc>
          <w:tcPr>
            <w:tcW w:w="1230" w:type="dxa"/>
            <w:tcBorders>
              <w:top w:val="nil"/>
              <w:left w:val="nil"/>
              <w:bottom w:val="nil"/>
              <w:right w:val="nil"/>
              <w:tl2br w:val="nil"/>
              <w:tr2bl w:val="nil"/>
            </w:tcBorders>
            <w:shd w:val="clear" w:color="auto" w:fill="FFFFFF"/>
            <w:tcMar>
              <w:left w:w="101" w:type="dxa"/>
              <w:right w:w="101" w:type="dxa"/>
            </w:tcMar>
            <w:vAlign w:val="bottom"/>
          </w:tcPr>
          <w:p w14:paraId="27664678" w14:textId="77777777" w:rsidR="003F0EEA" w:rsidRPr="00E86335" w:rsidRDefault="003F0EEA">
            <w:pPr>
              <w:jc w:val="right"/>
              <w:rPr>
                <w:rFonts w:ascii="Arial" w:eastAsia="Arial" w:hAnsi="Arial" w:cs="Arial"/>
                <w:color w:val="000000"/>
                <w:sz w:val="12"/>
                <w:vertAlign w:val="superscript"/>
              </w:rPr>
            </w:pPr>
          </w:p>
        </w:tc>
        <w:tc>
          <w:tcPr>
            <w:tcW w:w="1230" w:type="dxa"/>
            <w:tcBorders>
              <w:top w:val="nil"/>
              <w:left w:val="nil"/>
              <w:bottom w:val="nil"/>
              <w:right w:val="nil"/>
              <w:tl2br w:val="nil"/>
              <w:tr2bl w:val="nil"/>
            </w:tcBorders>
            <w:shd w:val="clear" w:color="auto" w:fill="FFFF00"/>
            <w:tcMar>
              <w:left w:w="101" w:type="dxa"/>
              <w:right w:w="101" w:type="dxa"/>
            </w:tcMar>
            <w:vAlign w:val="bottom"/>
          </w:tcPr>
          <w:p w14:paraId="19AA3280" w14:textId="77777777" w:rsidR="003F0EEA" w:rsidRPr="00E86335" w:rsidRDefault="003F0EEA">
            <w:pPr>
              <w:jc w:val="right"/>
              <w:rPr>
                <w:rFonts w:ascii="Arial" w:eastAsia="Arial" w:hAnsi="Arial" w:cs="Arial"/>
                <w:color w:val="000000"/>
                <w:sz w:val="16"/>
                <w:vertAlign w:val="superscript"/>
              </w:rPr>
            </w:pPr>
          </w:p>
        </w:tc>
      </w:tr>
      <w:tr w:rsidR="00724034" w14:paraId="58972B2D" w14:textId="77777777">
        <w:trPr>
          <w:trHeight w:val="225"/>
        </w:trPr>
        <w:tc>
          <w:tcPr>
            <w:tcW w:w="285" w:type="dxa"/>
            <w:tcBorders>
              <w:top w:val="nil"/>
              <w:left w:val="nil"/>
              <w:bottom w:val="nil"/>
              <w:right w:val="nil"/>
              <w:tl2br w:val="nil"/>
              <w:tr2bl w:val="nil"/>
            </w:tcBorders>
            <w:shd w:val="clear" w:color="auto" w:fill="FFFFFF"/>
            <w:tcMar>
              <w:left w:w="101" w:type="dxa"/>
              <w:right w:w="101" w:type="dxa"/>
            </w:tcMar>
            <w:vAlign w:val="bottom"/>
          </w:tcPr>
          <w:p w14:paraId="50F3F6BC" w14:textId="77777777" w:rsidR="003F0EEA" w:rsidRPr="00E86335" w:rsidRDefault="003F0EEA">
            <w:pPr>
              <w:rPr>
                <w:rFonts w:ascii="Arial" w:eastAsia="Arial" w:hAnsi="Arial" w:cs="Arial"/>
                <w:color w:val="000000"/>
                <w:sz w:val="16"/>
                <w:vertAlign w:val="superscript"/>
              </w:rPr>
            </w:pPr>
          </w:p>
        </w:tc>
        <w:tc>
          <w:tcPr>
            <w:tcW w:w="5325" w:type="dxa"/>
            <w:tcBorders>
              <w:top w:val="nil"/>
              <w:left w:val="nil"/>
              <w:bottom w:val="nil"/>
              <w:right w:val="nil"/>
              <w:tl2br w:val="nil"/>
              <w:tr2bl w:val="nil"/>
            </w:tcBorders>
            <w:shd w:val="clear" w:color="auto" w:fill="FFFFFF"/>
            <w:tcMar>
              <w:left w:w="101" w:type="dxa"/>
              <w:right w:w="101" w:type="dxa"/>
            </w:tcMar>
            <w:vAlign w:val="bottom"/>
          </w:tcPr>
          <w:p w14:paraId="3A4D76F2" w14:textId="77777777" w:rsidR="003F0EEA" w:rsidRPr="00E86335" w:rsidRDefault="00FB7D0B">
            <w:pPr>
              <w:rPr>
                <w:rFonts w:ascii="Arial" w:eastAsia="Arial" w:hAnsi="Arial" w:cs="Arial"/>
                <w:color w:val="000000"/>
                <w:sz w:val="16"/>
                <w:vertAlign w:val="superscript"/>
              </w:rPr>
            </w:pPr>
            <w:r w:rsidRPr="00E86335">
              <w:rPr>
                <w:rFonts w:ascii="Arial" w:eastAsia="Arial" w:hAnsi="Arial" w:cs="Arial"/>
                <w:color w:val="000000"/>
                <w:sz w:val="16"/>
              </w:rPr>
              <w:t>Ordinary annual services (Appropriation Bill No. 1)</w:t>
            </w:r>
          </w:p>
        </w:tc>
        <w:tc>
          <w:tcPr>
            <w:tcW w:w="1230" w:type="dxa"/>
            <w:tcBorders>
              <w:top w:val="nil"/>
              <w:left w:val="nil"/>
              <w:bottom w:val="nil"/>
              <w:right w:val="nil"/>
              <w:tl2br w:val="nil"/>
              <w:tr2bl w:val="nil"/>
            </w:tcBorders>
            <w:shd w:val="clear" w:color="auto" w:fill="FFFFFF"/>
            <w:tcMar>
              <w:left w:w="101" w:type="dxa"/>
              <w:right w:w="101" w:type="dxa"/>
            </w:tcMar>
            <w:vAlign w:val="bottom"/>
          </w:tcPr>
          <w:p w14:paraId="48D8E3ED" w14:textId="77777777" w:rsidR="003F0EEA" w:rsidRPr="00E86335" w:rsidRDefault="00FB7D0B">
            <w:pPr>
              <w:jc w:val="right"/>
              <w:rPr>
                <w:rFonts w:ascii="Arial" w:eastAsia="Arial" w:hAnsi="Arial" w:cs="Arial"/>
                <w:color w:val="000000"/>
                <w:sz w:val="12"/>
                <w:vertAlign w:val="superscript"/>
              </w:rPr>
            </w:pPr>
            <w:r w:rsidRPr="00E86335">
              <w:rPr>
                <w:rFonts w:ascii="Arial" w:eastAsia="Arial" w:hAnsi="Arial" w:cs="Arial"/>
                <w:color w:val="000000"/>
                <w:sz w:val="16"/>
              </w:rPr>
              <w:t xml:space="preserve"> - </w:t>
            </w:r>
          </w:p>
        </w:tc>
        <w:tc>
          <w:tcPr>
            <w:tcW w:w="1230" w:type="dxa"/>
            <w:tcBorders>
              <w:top w:val="nil"/>
              <w:left w:val="nil"/>
              <w:bottom w:val="nil"/>
              <w:right w:val="nil"/>
              <w:tl2br w:val="nil"/>
              <w:tr2bl w:val="nil"/>
            </w:tcBorders>
            <w:shd w:val="clear" w:color="auto" w:fill="FFFF00"/>
            <w:tcMar>
              <w:left w:w="101" w:type="dxa"/>
              <w:right w:w="101" w:type="dxa"/>
            </w:tcMar>
            <w:vAlign w:val="bottom"/>
          </w:tcPr>
          <w:p w14:paraId="43ACD5E9" w14:textId="77777777" w:rsidR="003F0EEA" w:rsidRPr="00E86335" w:rsidRDefault="00FB7D0B">
            <w:pPr>
              <w:jc w:val="right"/>
              <w:rPr>
                <w:rFonts w:ascii="Arial" w:eastAsia="Arial" w:hAnsi="Arial" w:cs="Arial"/>
                <w:color w:val="000000"/>
                <w:sz w:val="16"/>
              </w:rPr>
            </w:pPr>
            <w:r w:rsidRPr="00E86335">
              <w:rPr>
                <w:rFonts w:ascii="Arial" w:eastAsia="Arial" w:hAnsi="Arial" w:cs="Arial"/>
                <w:color w:val="000000"/>
                <w:sz w:val="16"/>
              </w:rPr>
              <w:t xml:space="preserve"> - </w:t>
            </w:r>
          </w:p>
        </w:tc>
      </w:tr>
      <w:tr w:rsidR="00724034" w14:paraId="557495B1" w14:textId="77777777">
        <w:trPr>
          <w:trHeight w:val="225"/>
        </w:trPr>
        <w:tc>
          <w:tcPr>
            <w:tcW w:w="285" w:type="dxa"/>
            <w:tcBorders>
              <w:top w:val="nil"/>
              <w:left w:val="nil"/>
              <w:bottom w:val="nil"/>
              <w:right w:val="nil"/>
              <w:tl2br w:val="nil"/>
              <w:tr2bl w:val="nil"/>
            </w:tcBorders>
            <w:shd w:val="clear" w:color="auto" w:fill="FFFFFF"/>
            <w:tcMar>
              <w:left w:w="101" w:type="dxa"/>
              <w:right w:w="101" w:type="dxa"/>
            </w:tcMar>
            <w:vAlign w:val="bottom"/>
          </w:tcPr>
          <w:p w14:paraId="3A604DE4" w14:textId="77777777" w:rsidR="003F0EEA" w:rsidRPr="00E86335" w:rsidRDefault="003F0EEA">
            <w:pPr>
              <w:rPr>
                <w:rFonts w:ascii="Arial" w:eastAsia="Arial" w:hAnsi="Arial" w:cs="Arial"/>
                <w:color w:val="000000"/>
                <w:sz w:val="16"/>
              </w:rPr>
            </w:pPr>
          </w:p>
        </w:tc>
        <w:tc>
          <w:tcPr>
            <w:tcW w:w="5325" w:type="dxa"/>
            <w:tcBorders>
              <w:top w:val="nil"/>
              <w:left w:val="nil"/>
              <w:bottom w:val="nil"/>
              <w:right w:val="nil"/>
              <w:tl2br w:val="nil"/>
              <w:tr2bl w:val="nil"/>
            </w:tcBorders>
            <w:shd w:val="clear" w:color="auto" w:fill="FFFFFF"/>
            <w:tcMar>
              <w:left w:w="101" w:type="dxa"/>
              <w:right w:w="101" w:type="dxa"/>
            </w:tcMar>
            <w:vAlign w:val="bottom"/>
          </w:tcPr>
          <w:p w14:paraId="1B98F6ED" w14:textId="77777777" w:rsidR="003F0EEA" w:rsidRPr="00E86335" w:rsidRDefault="00FB7D0B">
            <w:pPr>
              <w:rPr>
                <w:rFonts w:ascii="Arial" w:eastAsia="Arial" w:hAnsi="Arial" w:cs="Arial"/>
                <w:color w:val="000000"/>
                <w:sz w:val="16"/>
              </w:rPr>
            </w:pPr>
            <w:r w:rsidRPr="00E86335">
              <w:rPr>
                <w:rFonts w:ascii="Arial" w:eastAsia="Arial" w:hAnsi="Arial" w:cs="Arial"/>
                <w:color w:val="000000"/>
                <w:sz w:val="16"/>
              </w:rPr>
              <w:t>Other services (Appropriation Bill No. 2)</w:t>
            </w:r>
          </w:p>
        </w:tc>
        <w:tc>
          <w:tcPr>
            <w:tcW w:w="1230" w:type="dxa"/>
            <w:tcBorders>
              <w:top w:val="nil"/>
              <w:left w:val="nil"/>
              <w:bottom w:val="nil"/>
              <w:right w:val="nil"/>
              <w:tl2br w:val="nil"/>
              <w:tr2bl w:val="nil"/>
            </w:tcBorders>
            <w:shd w:val="clear" w:color="auto" w:fill="FFFFFF"/>
            <w:tcMar>
              <w:left w:w="101" w:type="dxa"/>
              <w:right w:w="101" w:type="dxa"/>
            </w:tcMar>
            <w:vAlign w:val="bottom"/>
          </w:tcPr>
          <w:p w14:paraId="5645A66E" w14:textId="77777777" w:rsidR="003F0EEA" w:rsidRPr="00E86335" w:rsidRDefault="00FB7D0B">
            <w:pPr>
              <w:jc w:val="right"/>
              <w:rPr>
                <w:rFonts w:ascii="Arial" w:eastAsia="Arial" w:hAnsi="Arial" w:cs="Arial"/>
                <w:color w:val="000000"/>
                <w:sz w:val="12"/>
                <w:vertAlign w:val="superscript"/>
              </w:rPr>
            </w:pPr>
            <w:r w:rsidRPr="00E86335">
              <w:rPr>
                <w:rFonts w:ascii="Arial" w:eastAsia="Arial" w:hAnsi="Arial" w:cs="Arial"/>
                <w:color w:val="000000"/>
                <w:sz w:val="16"/>
              </w:rPr>
              <w:t xml:space="preserve"> - </w:t>
            </w:r>
          </w:p>
        </w:tc>
        <w:tc>
          <w:tcPr>
            <w:tcW w:w="1230" w:type="dxa"/>
            <w:tcBorders>
              <w:top w:val="nil"/>
              <w:left w:val="nil"/>
              <w:bottom w:val="nil"/>
              <w:right w:val="nil"/>
              <w:tl2br w:val="nil"/>
              <w:tr2bl w:val="nil"/>
            </w:tcBorders>
            <w:shd w:val="clear" w:color="auto" w:fill="FFFF00"/>
            <w:tcMar>
              <w:left w:w="101" w:type="dxa"/>
              <w:right w:w="101" w:type="dxa"/>
            </w:tcMar>
            <w:vAlign w:val="bottom"/>
          </w:tcPr>
          <w:p w14:paraId="490EBCFA" w14:textId="77777777" w:rsidR="003F0EEA" w:rsidRPr="00E86335" w:rsidRDefault="00FB7D0B">
            <w:pPr>
              <w:jc w:val="right"/>
              <w:rPr>
                <w:rFonts w:ascii="Arial" w:eastAsia="Arial" w:hAnsi="Arial" w:cs="Arial"/>
                <w:color w:val="000000"/>
                <w:sz w:val="16"/>
              </w:rPr>
            </w:pPr>
            <w:r w:rsidRPr="00E86335">
              <w:rPr>
                <w:rFonts w:ascii="Arial" w:eastAsia="Arial" w:hAnsi="Arial" w:cs="Arial"/>
                <w:color w:val="000000"/>
                <w:sz w:val="16"/>
              </w:rPr>
              <w:t xml:space="preserve"> - </w:t>
            </w:r>
          </w:p>
        </w:tc>
      </w:tr>
      <w:tr w:rsidR="00724034" w14:paraId="3414CB50" w14:textId="77777777">
        <w:trPr>
          <w:trHeight w:val="225"/>
        </w:trPr>
        <w:tc>
          <w:tcPr>
            <w:tcW w:w="285" w:type="dxa"/>
            <w:tcBorders>
              <w:top w:val="nil"/>
              <w:left w:val="nil"/>
              <w:bottom w:val="nil"/>
              <w:right w:val="nil"/>
              <w:tl2br w:val="nil"/>
              <w:tr2bl w:val="nil"/>
            </w:tcBorders>
            <w:shd w:val="clear" w:color="auto" w:fill="FFFFFF"/>
            <w:tcMar>
              <w:left w:w="101" w:type="dxa"/>
              <w:right w:w="101" w:type="dxa"/>
            </w:tcMar>
            <w:vAlign w:val="bottom"/>
          </w:tcPr>
          <w:p w14:paraId="749F7D17" w14:textId="77777777" w:rsidR="003F0EEA" w:rsidRPr="00E86335" w:rsidRDefault="003F0EEA">
            <w:pPr>
              <w:rPr>
                <w:rFonts w:ascii="Arial" w:eastAsia="Arial" w:hAnsi="Arial" w:cs="Arial"/>
                <w:color w:val="000000"/>
                <w:sz w:val="16"/>
              </w:rPr>
            </w:pPr>
          </w:p>
        </w:tc>
        <w:tc>
          <w:tcPr>
            <w:tcW w:w="5325" w:type="dxa"/>
            <w:tcBorders>
              <w:top w:val="nil"/>
              <w:left w:val="nil"/>
              <w:bottom w:val="nil"/>
              <w:right w:val="nil"/>
              <w:tl2br w:val="nil"/>
              <w:tr2bl w:val="nil"/>
            </w:tcBorders>
            <w:shd w:val="clear" w:color="auto" w:fill="FFFFFF"/>
            <w:tcMar>
              <w:left w:w="101" w:type="dxa"/>
              <w:right w:w="101" w:type="dxa"/>
            </w:tcMar>
            <w:vAlign w:val="bottom"/>
          </w:tcPr>
          <w:p w14:paraId="258EDABC" w14:textId="77777777" w:rsidR="003F0EEA" w:rsidRPr="00E86335" w:rsidRDefault="00FB7D0B">
            <w:pPr>
              <w:rPr>
                <w:rFonts w:ascii="Arial" w:eastAsia="Arial" w:hAnsi="Arial" w:cs="Arial"/>
                <w:color w:val="000000"/>
                <w:sz w:val="16"/>
              </w:rPr>
            </w:pPr>
            <w:r w:rsidRPr="00E86335">
              <w:rPr>
                <w:rFonts w:ascii="Arial" w:eastAsia="Arial" w:hAnsi="Arial" w:cs="Arial"/>
                <w:color w:val="000000"/>
                <w:sz w:val="16"/>
              </w:rPr>
              <w:t>Special Appropriations</w:t>
            </w:r>
          </w:p>
        </w:tc>
        <w:tc>
          <w:tcPr>
            <w:tcW w:w="1230" w:type="dxa"/>
            <w:tcBorders>
              <w:top w:val="nil"/>
              <w:left w:val="nil"/>
              <w:bottom w:val="nil"/>
              <w:right w:val="nil"/>
              <w:tl2br w:val="nil"/>
              <w:tr2bl w:val="nil"/>
            </w:tcBorders>
            <w:shd w:val="clear" w:color="auto" w:fill="FFFFFF"/>
            <w:tcMar>
              <w:left w:w="101" w:type="dxa"/>
              <w:right w:w="101" w:type="dxa"/>
            </w:tcMar>
            <w:vAlign w:val="bottom"/>
          </w:tcPr>
          <w:p w14:paraId="746A300A" w14:textId="77777777" w:rsidR="003F0EEA" w:rsidRPr="00E86335" w:rsidRDefault="00FB7D0B">
            <w:pPr>
              <w:jc w:val="right"/>
              <w:rPr>
                <w:rFonts w:ascii="Arial" w:eastAsia="Arial" w:hAnsi="Arial" w:cs="Arial"/>
                <w:color w:val="000000"/>
                <w:sz w:val="12"/>
                <w:vertAlign w:val="superscript"/>
              </w:rPr>
            </w:pPr>
            <w:r w:rsidRPr="00E86335">
              <w:rPr>
                <w:rFonts w:ascii="Arial" w:eastAsia="Arial" w:hAnsi="Arial" w:cs="Arial"/>
                <w:color w:val="000000"/>
                <w:sz w:val="16"/>
              </w:rPr>
              <w:t xml:space="preserve"> 902,116 </w:t>
            </w:r>
          </w:p>
        </w:tc>
        <w:tc>
          <w:tcPr>
            <w:tcW w:w="1230" w:type="dxa"/>
            <w:tcBorders>
              <w:top w:val="nil"/>
              <w:left w:val="nil"/>
              <w:bottom w:val="nil"/>
              <w:right w:val="nil"/>
              <w:tl2br w:val="nil"/>
              <w:tr2bl w:val="nil"/>
            </w:tcBorders>
            <w:shd w:val="clear" w:color="auto" w:fill="FFFF00"/>
            <w:tcMar>
              <w:left w:w="101" w:type="dxa"/>
              <w:right w:w="101" w:type="dxa"/>
            </w:tcMar>
            <w:vAlign w:val="bottom"/>
          </w:tcPr>
          <w:p w14:paraId="28C1F65B" w14:textId="77777777" w:rsidR="003F0EEA" w:rsidRPr="00E86335" w:rsidRDefault="00FB7D0B">
            <w:pPr>
              <w:jc w:val="right"/>
              <w:rPr>
                <w:rFonts w:ascii="Arial" w:eastAsia="Arial" w:hAnsi="Arial" w:cs="Arial"/>
                <w:color w:val="000000"/>
                <w:sz w:val="16"/>
              </w:rPr>
            </w:pPr>
            <w:r w:rsidRPr="00E86335">
              <w:rPr>
                <w:rFonts w:ascii="Arial" w:eastAsia="Arial" w:hAnsi="Arial" w:cs="Arial"/>
                <w:color w:val="000000"/>
                <w:sz w:val="16"/>
              </w:rPr>
              <w:t xml:space="preserve"> 879,218 </w:t>
            </w:r>
          </w:p>
        </w:tc>
      </w:tr>
      <w:tr w:rsidR="00724034" w14:paraId="40A92765" w14:textId="77777777">
        <w:trPr>
          <w:trHeight w:val="225"/>
        </w:trPr>
        <w:tc>
          <w:tcPr>
            <w:tcW w:w="285" w:type="dxa"/>
            <w:tcBorders>
              <w:top w:val="nil"/>
              <w:left w:val="nil"/>
              <w:bottom w:val="nil"/>
              <w:right w:val="nil"/>
              <w:tl2br w:val="nil"/>
              <w:tr2bl w:val="nil"/>
            </w:tcBorders>
            <w:shd w:val="clear" w:color="auto" w:fill="FFFFFF"/>
            <w:tcMar>
              <w:left w:w="101" w:type="dxa"/>
              <w:right w:w="101" w:type="dxa"/>
            </w:tcMar>
            <w:vAlign w:val="bottom"/>
          </w:tcPr>
          <w:p w14:paraId="1CC89621" w14:textId="77777777" w:rsidR="003F0EEA" w:rsidRPr="00E86335" w:rsidRDefault="003F0EEA">
            <w:pPr>
              <w:rPr>
                <w:rFonts w:ascii="Arial" w:eastAsia="Arial" w:hAnsi="Arial" w:cs="Arial"/>
                <w:color w:val="000000"/>
                <w:sz w:val="16"/>
              </w:rPr>
            </w:pPr>
          </w:p>
        </w:tc>
        <w:tc>
          <w:tcPr>
            <w:tcW w:w="5325" w:type="dxa"/>
            <w:tcBorders>
              <w:top w:val="nil"/>
              <w:left w:val="nil"/>
              <w:bottom w:val="nil"/>
              <w:right w:val="nil"/>
              <w:tl2br w:val="nil"/>
              <w:tr2bl w:val="nil"/>
            </w:tcBorders>
            <w:shd w:val="clear" w:color="auto" w:fill="FFFFFF"/>
            <w:tcMar>
              <w:left w:w="101" w:type="dxa"/>
              <w:right w:w="101" w:type="dxa"/>
            </w:tcMar>
            <w:vAlign w:val="bottom"/>
          </w:tcPr>
          <w:p w14:paraId="56343033" w14:textId="77777777" w:rsidR="003F0EEA" w:rsidRPr="00E86335" w:rsidRDefault="00FB7D0B">
            <w:pPr>
              <w:rPr>
                <w:rFonts w:ascii="Arial" w:eastAsia="Arial" w:hAnsi="Arial" w:cs="Arial"/>
                <w:color w:val="000000"/>
                <w:sz w:val="16"/>
              </w:rPr>
            </w:pPr>
            <w:r w:rsidRPr="00E86335">
              <w:rPr>
                <w:rFonts w:ascii="Arial" w:eastAsia="Arial" w:hAnsi="Arial" w:cs="Arial"/>
                <w:color w:val="000000"/>
                <w:sz w:val="16"/>
              </w:rPr>
              <w:t>Special Accounts</w:t>
            </w:r>
          </w:p>
        </w:tc>
        <w:tc>
          <w:tcPr>
            <w:tcW w:w="1230" w:type="dxa"/>
            <w:tcBorders>
              <w:top w:val="nil"/>
              <w:left w:val="nil"/>
              <w:bottom w:val="nil"/>
              <w:right w:val="nil"/>
              <w:tl2br w:val="nil"/>
              <w:tr2bl w:val="nil"/>
            </w:tcBorders>
            <w:shd w:val="clear" w:color="auto" w:fill="FFFFFF"/>
            <w:tcMar>
              <w:left w:w="101" w:type="dxa"/>
              <w:right w:w="101" w:type="dxa"/>
            </w:tcMar>
            <w:vAlign w:val="bottom"/>
          </w:tcPr>
          <w:p w14:paraId="2B2A07EB" w14:textId="77777777" w:rsidR="003F0EEA" w:rsidRPr="00E86335" w:rsidRDefault="00FB7D0B">
            <w:pPr>
              <w:jc w:val="right"/>
              <w:rPr>
                <w:rFonts w:ascii="Arial" w:eastAsia="Arial" w:hAnsi="Arial" w:cs="Arial"/>
                <w:color w:val="000000"/>
                <w:sz w:val="12"/>
                <w:vertAlign w:val="superscript"/>
              </w:rPr>
            </w:pPr>
            <w:r w:rsidRPr="00E86335">
              <w:rPr>
                <w:rFonts w:ascii="Arial" w:eastAsia="Arial" w:hAnsi="Arial" w:cs="Arial"/>
                <w:color w:val="000000"/>
                <w:sz w:val="16"/>
              </w:rPr>
              <w:t xml:space="preserve"> - </w:t>
            </w:r>
          </w:p>
        </w:tc>
        <w:tc>
          <w:tcPr>
            <w:tcW w:w="1230" w:type="dxa"/>
            <w:tcBorders>
              <w:top w:val="nil"/>
              <w:left w:val="nil"/>
              <w:bottom w:val="nil"/>
              <w:right w:val="nil"/>
              <w:tl2br w:val="nil"/>
              <w:tr2bl w:val="nil"/>
            </w:tcBorders>
            <w:shd w:val="clear" w:color="auto" w:fill="FFFF00"/>
            <w:tcMar>
              <w:left w:w="101" w:type="dxa"/>
              <w:right w:w="101" w:type="dxa"/>
            </w:tcMar>
            <w:vAlign w:val="bottom"/>
          </w:tcPr>
          <w:p w14:paraId="067E91B9" w14:textId="77777777" w:rsidR="003F0EEA" w:rsidRPr="00E86335" w:rsidRDefault="00FB7D0B">
            <w:pPr>
              <w:jc w:val="right"/>
              <w:rPr>
                <w:rFonts w:ascii="Arial" w:eastAsia="Arial" w:hAnsi="Arial" w:cs="Arial"/>
                <w:color w:val="000000"/>
                <w:sz w:val="16"/>
              </w:rPr>
            </w:pPr>
            <w:r w:rsidRPr="00E86335">
              <w:rPr>
                <w:rFonts w:ascii="Arial" w:eastAsia="Arial" w:hAnsi="Arial" w:cs="Arial"/>
                <w:color w:val="000000"/>
                <w:sz w:val="16"/>
              </w:rPr>
              <w:t xml:space="preserve"> - </w:t>
            </w:r>
          </w:p>
        </w:tc>
      </w:tr>
      <w:tr w:rsidR="00FB7D0B" w14:paraId="2611A419" w14:textId="77777777" w:rsidTr="00FB7D0B">
        <w:trPr>
          <w:trHeight w:val="225"/>
        </w:trPr>
        <w:tc>
          <w:tcPr>
            <w:tcW w:w="5610" w:type="dxa"/>
            <w:gridSpan w:val="2"/>
            <w:tcBorders>
              <w:top w:val="nil"/>
              <w:left w:val="nil"/>
              <w:bottom w:val="nil"/>
              <w:right w:val="nil"/>
              <w:tl2br w:val="nil"/>
              <w:tr2bl w:val="nil"/>
            </w:tcBorders>
            <w:shd w:val="clear" w:color="auto" w:fill="FFFFFF"/>
            <w:tcMar>
              <w:left w:w="101" w:type="dxa"/>
              <w:right w:w="101" w:type="dxa"/>
            </w:tcMar>
            <w:vAlign w:val="bottom"/>
          </w:tcPr>
          <w:p w14:paraId="34592895" w14:textId="77777777" w:rsidR="003F0EEA" w:rsidRPr="00E86335" w:rsidRDefault="00FB7D0B">
            <w:pPr>
              <w:rPr>
                <w:rFonts w:ascii="Arial" w:eastAsia="Arial" w:hAnsi="Arial" w:cs="Arial"/>
                <w:color w:val="000000"/>
                <w:sz w:val="16"/>
              </w:rPr>
            </w:pPr>
            <w:r w:rsidRPr="00E86335">
              <w:rPr>
                <w:rFonts w:ascii="Arial" w:eastAsia="Arial" w:hAnsi="Arial" w:cs="Arial"/>
                <w:color w:val="000000"/>
                <w:sz w:val="16"/>
              </w:rPr>
              <w:t>Departmental Expenses</w:t>
            </w:r>
          </w:p>
        </w:tc>
        <w:tc>
          <w:tcPr>
            <w:tcW w:w="1230" w:type="dxa"/>
            <w:tcBorders>
              <w:top w:val="nil"/>
              <w:left w:val="nil"/>
              <w:bottom w:val="nil"/>
              <w:right w:val="nil"/>
              <w:tl2br w:val="nil"/>
              <w:tr2bl w:val="nil"/>
            </w:tcBorders>
            <w:shd w:val="clear" w:color="auto" w:fill="FFFFFF"/>
            <w:tcMar>
              <w:left w:w="101" w:type="dxa"/>
              <w:right w:w="101" w:type="dxa"/>
            </w:tcMar>
            <w:vAlign w:val="bottom"/>
          </w:tcPr>
          <w:p w14:paraId="5B769C44" w14:textId="77777777" w:rsidR="003F0EEA" w:rsidRPr="00E86335" w:rsidRDefault="003F0EEA">
            <w:pPr>
              <w:jc w:val="right"/>
              <w:rPr>
                <w:rFonts w:ascii="Arial" w:eastAsia="Arial" w:hAnsi="Arial" w:cs="Arial"/>
                <w:color w:val="000000"/>
                <w:sz w:val="12"/>
                <w:vertAlign w:val="superscript"/>
              </w:rPr>
            </w:pPr>
          </w:p>
        </w:tc>
        <w:tc>
          <w:tcPr>
            <w:tcW w:w="1230" w:type="dxa"/>
            <w:tcBorders>
              <w:top w:val="nil"/>
              <w:left w:val="nil"/>
              <w:bottom w:val="nil"/>
              <w:right w:val="nil"/>
              <w:tl2br w:val="nil"/>
              <w:tr2bl w:val="nil"/>
            </w:tcBorders>
            <w:shd w:val="clear" w:color="auto" w:fill="FFFF00"/>
            <w:tcMar>
              <w:left w:w="101" w:type="dxa"/>
              <w:right w:w="101" w:type="dxa"/>
            </w:tcMar>
            <w:vAlign w:val="bottom"/>
          </w:tcPr>
          <w:p w14:paraId="7055C91F" w14:textId="77777777" w:rsidR="003F0EEA" w:rsidRPr="00E86335" w:rsidRDefault="003F0EEA">
            <w:pPr>
              <w:jc w:val="right"/>
              <w:rPr>
                <w:rFonts w:ascii="Arial" w:eastAsia="Arial" w:hAnsi="Arial" w:cs="Arial"/>
                <w:color w:val="000000"/>
                <w:sz w:val="16"/>
                <w:vertAlign w:val="superscript"/>
              </w:rPr>
            </w:pPr>
          </w:p>
        </w:tc>
      </w:tr>
      <w:tr w:rsidR="00724034" w14:paraId="2C15A0DD" w14:textId="77777777">
        <w:trPr>
          <w:trHeight w:val="225"/>
        </w:trPr>
        <w:tc>
          <w:tcPr>
            <w:tcW w:w="285" w:type="dxa"/>
            <w:tcBorders>
              <w:top w:val="nil"/>
              <w:left w:val="nil"/>
              <w:bottom w:val="nil"/>
              <w:right w:val="nil"/>
              <w:tl2br w:val="nil"/>
              <w:tr2bl w:val="nil"/>
            </w:tcBorders>
            <w:shd w:val="clear" w:color="auto" w:fill="FFFFFF"/>
            <w:tcMar>
              <w:left w:w="101" w:type="dxa"/>
              <w:right w:w="101" w:type="dxa"/>
            </w:tcMar>
            <w:vAlign w:val="bottom"/>
          </w:tcPr>
          <w:p w14:paraId="0DD1140C" w14:textId="77777777" w:rsidR="003F0EEA" w:rsidRPr="00E86335" w:rsidRDefault="003F0EEA">
            <w:pPr>
              <w:rPr>
                <w:rFonts w:ascii="Arial" w:eastAsia="Arial" w:hAnsi="Arial" w:cs="Arial"/>
                <w:color w:val="000000"/>
                <w:sz w:val="16"/>
                <w:vertAlign w:val="superscript"/>
              </w:rPr>
            </w:pPr>
          </w:p>
        </w:tc>
        <w:tc>
          <w:tcPr>
            <w:tcW w:w="5325" w:type="dxa"/>
            <w:tcBorders>
              <w:top w:val="nil"/>
              <w:left w:val="nil"/>
              <w:bottom w:val="nil"/>
              <w:right w:val="nil"/>
              <w:tl2br w:val="nil"/>
              <w:tr2bl w:val="nil"/>
            </w:tcBorders>
            <w:shd w:val="clear" w:color="auto" w:fill="FFFFFF"/>
            <w:tcMar>
              <w:left w:w="101" w:type="dxa"/>
              <w:right w:w="101" w:type="dxa"/>
            </w:tcMar>
            <w:vAlign w:val="bottom"/>
          </w:tcPr>
          <w:p w14:paraId="28FAD658" w14:textId="77777777" w:rsidR="003F0EEA" w:rsidRPr="00E86335" w:rsidRDefault="00FB7D0B">
            <w:pPr>
              <w:rPr>
                <w:rFonts w:ascii="Arial" w:eastAsia="Arial" w:hAnsi="Arial" w:cs="Arial"/>
                <w:color w:val="000000"/>
                <w:sz w:val="16"/>
                <w:vertAlign w:val="superscript"/>
              </w:rPr>
            </w:pPr>
            <w:r w:rsidRPr="00E86335">
              <w:rPr>
                <w:rFonts w:ascii="Arial" w:eastAsia="Arial" w:hAnsi="Arial" w:cs="Arial"/>
                <w:color w:val="000000"/>
                <w:sz w:val="16"/>
              </w:rPr>
              <w:t>Departmental appropriation</w:t>
            </w:r>
            <w:r w:rsidRPr="00E86335">
              <w:rPr>
                <w:rFonts w:ascii="Arial" w:eastAsia="Arial" w:hAnsi="Arial" w:cs="Arial"/>
                <w:color w:val="000000"/>
                <w:sz w:val="16"/>
                <w:vertAlign w:val="superscript"/>
              </w:rPr>
              <w:t>1 </w:t>
            </w:r>
          </w:p>
        </w:tc>
        <w:tc>
          <w:tcPr>
            <w:tcW w:w="1230" w:type="dxa"/>
            <w:tcBorders>
              <w:top w:val="nil"/>
              <w:left w:val="nil"/>
              <w:bottom w:val="nil"/>
              <w:right w:val="nil"/>
              <w:tl2br w:val="nil"/>
              <w:tr2bl w:val="nil"/>
            </w:tcBorders>
            <w:shd w:val="clear" w:color="auto" w:fill="FFFFFF"/>
            <w:tcMar>
              <w:left w:w="101" w:type="dxa"/>
              <w:right w:w="101" w:type="dxa"/>
            </w:tcMar>
            <w:vAlign w:val="bottom"/>
          </w:tcPr>
          <w:p w14:paraId="39FDBA79" w14:textId="77777777" w:rsidR="003F0EEA" w:rsidRPr="00E86335" w:rsidRDefault="00FB7D0B">
            <w:pPr>
              <w:jc w:val="right"/>
              <w:rPr>
                <w:rFonts w:ascii="Arial" w:eastAsia="Arial" w:hAnsi="Arial" w:cs="Arial"/>
                <w:color w:val="000000"/>
                <w:sz w:val="16"/>
                <w:vertAlign w:val="superscript"/>
              </w:rPr>
            </w:pPr>
            <w:r w:rsidRPr="00E86335">
              <w:rPr>
                <w:rFonts w:ascii="Arial" w:eastAsia="Arial" w:hAnsi="Arial" w:cs="Arial"/>
                <w:color w:val="000000"/>
                <w:sz w:val="16"/>
              </w:rPr>
              <w:t xml:space="preserve"> 23,665 </w:t>
            </w:r>
          </w:p>
        </w:tc>
        <w:tc>
          <w:tcPr>
            <w:tcW w:w="1230" w:type="dxa"/>
            <w:tcBorders>
              <w:top w:val="nil"/>
              <w:left w:val="nil"/>
              <w:bottom w:val="nil"/>
              <w:right w:val="nil"/>
              <w:tl2br w:val="nil"/>
              <w:tr2bl w:val="nil"/>
            </w:tcBorders>
            <w:shd w:val="clear" w:color="auto" w:fill="FFFF00"/>
            <w:tcMar>
              <w:left w:w="101" w:type="dxa"/>
              <w:right w:w="101" w:type="dxa"/>
            </w:tcMar>
            <w:vAlign w:val="bottom"/>
          </w:tcPr>
          <w:p w14:paraId="55E778E4" w14:textId="77777777" w:rsidR="003F0EEA" w:rsidRPr="00E86335" w:rsidRDefault="00FB7D0B">
            <w:pPr>
              <w:jc w:val="right"/>
              <w:rPr>
                <w:rFonts w:ascii="Arial" w:eastAsia="Arial" w:hAnsi="Arial" w:cs="Arial"/>
                <w:color w:val="000000"/>
                <w:sz w:val="16"/>
              </w:rPr>
            </w:pPr>
            <w:r w:rsidRPr="00E86335">
              <w:rPr>
                <w:rFonts w:ascii="Arial" w:eastAsia="Arial" w:hAnsi="Arial" w:cs="Arial"/>
                <w:color w:val="000000"/>
                <w:sz w:val="16"/>
              </w:rPr>
              <w:t xml:space="preserve"> 23,435 </w:t>
            </w:r>
          </w:p>
        </w:tc>
      </w:tr>
      <w:tr w:rsidR="00724034" w14:paraId="4A043626" w14:textId="77777777">
        <w:trPr>
          <w:trHeight w:val="225"/>
        </w:trPr>
        <w:tc>
          <w:tcPr>
            <w:tcW w:w="285" w:type="dxa"/>
            <w:tcBorders>
              <w:top w:val="nil"/>
              <w:left w:val="nil"/>
              <w:bottom w:val="nil"/>
              <w:right w:val="nil"/>
              <w:tl2br w:val="nil"/>
              <w:tr2bl w:val="nil"/>
            </w:tcBorders>
            <w:shd w:val="clear" w:color="auto" w:fill="FFFFFF"/>
            <w:tcMar>
              <w:left w:w="101" w:type="dxa"/>
              <w:right w:w="101" w:type="dxa"/>
            </w:tcMar>
            <w:vAlign w:val="bottom"/>
          </w:tcPr>
          <w:p w14:paraId="54C9168D" w14:textId="77777777" w:rsidR="003F0EEA" w:rsidRPr="00E86335" w:rsidRDefault="003F0EEA">
            <w:pPr>
              <w:rPr>
                <w:rFonts w:ascii="Arial" w:eastAsia="Arial" w:hAnsi="Arial" w:cs="Arial"/>
                <w:color w:val="000000"/>
                <w:sz w:val="16"/>
              </w:rPr>
            </w:pPr>
          </w:p>
        </w:tc>
        <w:tc>
          <w:tcPr>
            <w:tcW w:w="5325" w:type="dxa"/>
            <w:tcBorders>
              <w:top w:val="nil"/>
              <w:left w:val="nil"/>
              <w:bottom w:val="nil"/>
              <w:right w:val="nil"/>
              <w:tl2br w:val="nil"/>
              <w:tr2bl w:val="nil"/>
            </w:tcBorders>
            <w:shd w:val="clear" w:color="auto" w:fill="FFFFFF"/>
            <w:tcMar>
              <w:left w:w="101" w:type="dxa"/>
              <w:right w:w="101" w:type="dxa"/>
            </w:tcMar>
            <w:vAlign w:val="bottom"/>
          </w:tcPr>
          <w:p w14:paraId="4172F803" w14:textId="77777777" w:rsidR="003F0EEA" w:rsidRPr="00E86335" w:rsidRDefault="00FB7D0B">
            <w:pPr>
              <w:rPr>
                <w:rFonts w:ascii="Arial" w:eastAsia="Arial" w:hAnsi="Arial" w:cs="Arial"/>
                <w:color w:val="000000"/>
                <w:sz w:val="16"/>
              </w:rPr>
            </w:pPr>
            <w:r w:rsidRPr="00E86335">
              <w:rPr>
                <w:rFonts w:ascii="Arial" w:eastAsia="Arial" w:hAnsi="Arial" w:cs="Arial"/>
                <w:color w:val="000000"/>
                <w:sz w:val="16"/>
              </w:rPr>
              <w:t>Expenses not requiring appropriation in the Budget year</w:t>
            </w:r>
            <w:r w:rsidRPr="00E86335">
              <w:rPr>
                <w:rFonts w:ascii="Arial" w:eastAsia="Arial" w:hAnsi="Arial" w:cs="Arial"/>
                <w:color w:val="000000"/>
                <w:sz w:val="16"/>
                <w:vertAlign w:val="superscript"/>
              </w:rPr>
              <w:t>2 </w:t>
            </w:r>
          </w:p>
        </w:tc>
        <w:tc>
          <w:tcPr>
            <w:tcW w:w="1230"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72A16E4B" w14:textId="77777777" w:rsidR="003F0EEA" w:rsidRPr="00E86335" w:rsidRDefault="00FB7D0B">
            <w:pPr>
              <w:jc w:val="right"/>
              <w:rPr>
                <w:rFonts w:ascii="Arial" w:eastAsia="Arial" w:hAnsi="Arial" w:cs="Arial"/>
                <w:color w:val="000000"/>
                <w:sz w:val="16"/>
                <w:vertAlign w:val="superscript"/>
              </w:rPr>
            </w:pPr>
            <w:r w:rsidRPr="00E86335">
              <w:rPr>
                <w:rFonts w:ascii="Arial" w:eastAsia="Arial" w:hAnsi="Arial" w:cs="Arial"/>
                <w:color w:val="000000"/>
                <w:sz w:val="16"/>
              </w:rPr>
              <w:t xml:space="preserve"> 2,428 </w:t>
            </w:r>
          </w:p>
        </w:tc>
        <w:tc>
          <w:tcPr>
            <w:tcW w:w="1230" w:type="dxa"/>
            <w:tcBorders>
              <w:top w:val="nil"/>
              <w:left w:val="nil"/>
              <w:bottom w:val="single" w:sz="6" w:space="0" w:color="000000"/>
              <w:right w:val="nil"/>
              <w:tl2br w:val="nil"/>
              <w:tr2bl w:val="nil"/>
            </w:tcBorders>
            <w:shd w:val="clear" w:color="auto" w:fill="FFFF00"/>
            <w:tcMar>
              <w:left w:w="101" w:type="dxa"/>
              <w:right w:w="101" w:type="dxa"/>
            </w:tcMar>
            <w:vAlign w:val="bottom"/>
          </w:tcPr>
          <w:p w14:paraId="36111FF8" w14:textId="77777777" w:rsidR="003F0EEA" w:rsidRPr="00E86335" w:rsidRDefault="00FB7D0B">
            <w:pPr>
              <w:jc w:val="right"/>
              <w:rPr>
                <w:rFonts w:ascii="Arial" w:eastAsia="Arial" w:hAnsi="Arial" w:cs="Arial"/>
                <w:color w:val="000000"/>
                <w:sz w:val="16"/>
              </w:rPr>
            </w:pPr>
            <w:r w:rsidRPr="00E86335">
              <w:rPr>
                <w:rFonts w:ascii="Arial" w:eastAsia="Arial" w:hAnsi="Arial" w:cs="Arial"/>
                <w:color w:val="000000"/>
                <w:sz w:val="16"/>
              </w:rPr>
              <w:t xml:space="preserve"> 2,713 </w:t>
            </w:r>
          </w:p>
        </w:tc>
      </w:tr>
      <w:tr w:rsidR="00724034" w14:paraId="1360993A" w14:textId="77777777">
        <w:trPr>
          <w:trHeight w:val="225"/>
        </w:trPr>
        <w:tc>
          <w:tcPr>
            <w:tcW w:w="285" w:type="dxa"/>
            <w:tcBorders>
              <w:top w:val="nil"/>
              <w:left w:val="nil"/>
              <w:bottom w:val="nil"/>
              <w:right w:val="nil"/>
              <w:tl2br w:val="nil"/>
              <w:tr2bl w:val="nil"/>
            </w:tcBorders>
            <w:shd w:val="clear" w:color="auto" w:fill="FFFFFF"/>
            <w:tcMar>
              <w:left w:w="101" w:type="dxa"/>
              <w:right w:w="101" w:type="dxa"/>
            </w:tcMar>
            <w:vAlign w:val="bottom"/>
          </w:tcPr>
          <w:p w14:paraId="1E9E2D78" w14:textId="77777777" w:rsidR="003F0EEA" w:rsidRPr="00E86335" w:rsidRDefault="003F0EEA">
            <w:pPr>
              <w:rPr>
                <w:rFonts w:ascii="Arial" w:eastAsia="Arial" w:hAnsi="Arial" w:cs="Arial"/>
                <w:color w:val="000000"/>
                <w:sz w:val="16"/>
              </w:rPr>
            </w:pPr>
          </w:p>
        </w:tc>
        <w:tc>
          <w:tcPr>
            <w:tcW w:w="5325" w:type="dxa"/>
            <w:tcBorders>
              <w:top w:val="nil"/>
              <w:left w:val="nil"/>
              <w:bottom w:val="nil"/>
              <w:right w:val="nil"/>
              <w:tl2br w:val="nil"/>
              <w:tr2bl w:val="nil"/>
            </w:tcBorders>
            <w:shd w:val="clear" w:color="auto" w:fill="FFFFFF"/>
            <w:tcMar>
              <w:left w:w="101" w:type="dxa"/>
              <w:right w:w="101" w:type="dxa"/>
            </w:tcMar>
            <w:vAlign w:val="bottom"/>
          </w:tcPr>
          <w:p w14:paraId="35430A05" w14:textId="77777777" w:rsidR="003F0EEA" w:rsidRPr="00E86335" w:rsidRDefault="00FB7D0B">
            <w:pPr>
              <w:rPr>
                <w:rFonts w:ascii="Arial" w:eastAsia="Arial" w:hAnsi="Arial" w:cs="Arial"/>
                <w:color w:val="000000"/>
                <w:sz w:val="16"/>
              </w:rPr>
            </w:pPr>
            <w:r w:rsidRPr="00E86335">
              <w:rPr>
                <w:rFonts w:ascii="Arial" w:eastAsia="Arial" w:hAnsi="Arial" w:cs="Arial"/>
                <w:b/>
                <w:color w:val="000000"/>
                <w:sz w:val="16"/>
              </w:rPr>
              <w:t>Total for Programme 2.1</w:t>
            </w:r>
          </w:p>
        </w:tc>
        <w:tc>
          <w:tcPr>
            <w:tcW w:w="1230"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67E428D9" w14:textId="77777777" w:rsidR="003F0EEA" w:rsidRPr="00E86335" w:rsidRDefault="00FB7D0B">
            <w:pPr>
              <w:jc w:val="right"/>
              <w:rPr>
                <w:rFonts w:ascii="Arial" w:eastAsia="Arial" w:hAnsi="Arial" w:cs="Arial"/>
                <w:color w:val="000000"/>
                <w:sz w:val="12"/>
                <w:vertAlign w:val="superscript"/>
              </w:rPr>
            </w:pPr>
            <w:r w:rsidRPr="00E86335">
              <w:rPr>
                <w:rFonts w:ascii="Arial" w:eastAsia="Arial" w:hAnsi="Arial" w:cs="Arial"/>
                <w:b/>
                <w:color w:val="000000"/>
                <w:sz w:val="16"/>
              </w:rPr>
              <w:t xml:space="preserve"> 928,209 </w:t>
            </w:r>
          </w:p>
        </w:tc>
        <w:tc>
          <w:tcPr>
            <w:tcW w:w="1230" w:type="dxa"/>
            <w:tcBorders>
              <w:top w:val="single" w:sz="6" w:space="0" w:color="000000"/>
              <w:left w:val="nil"/>
              <w:bottom w:val="single" w:sz="6" w:space="0" w:color="000000"/>
              <w:right w:val="nil"/>
              <w:tl2br w:val="nil"/>
              <w:tr2bl w:val="nil"/>
            </w:tcBorders>
            <w:shd w:val="clear" w:color="auto" w:fill="FFFF00"/>
            <w:tcMar>
              <w:left w:w="101" w:type="dxa"/>
              <w:right w:w="101" w:type="dxa"/>
            </w:tcMar>
            <w:vAlign w:val="bottom"/>
          </w:tcPr>
          <w:p w14:paraId="36FFEE2A" w14:textId="77777777" w:rsidR="003F0EEA" w:rsidRPr="00E86335" w:rsidRDefault="00FB7D0B">
            <w:pPr>
              <w:jc w:val="right"/>
              <w:rPr>
                <w:rFonts w:ascii="Arial" w:eastAsia="Arial" w:hAnsi="Arial" w:cs="Arial"/>
                <w:b/>
                <w:color w:val="000000"/>
                <w:sz w:val="16"/>
              </w:rPr>
            </w:pPr>
            <w:r w:rsidRPr="00E86335">
              <w:rPr>
                <w:rFonts w:ascii="Arial" w:eastAsia="Arial" w:hAnsi="Arial" w:cs="Arial"/>
                <w:b/>
                <w:color w:val="000000"/>
                <w:sz w:val="16"/>
              </w:rPr>
              <w:t xml:space="preserve"> 905,366 </w:t>
            </w:r>
          </w:p>
        </w:tc>
      </w:tr>
      <w:tr w:rsidR="00724034" w14:paraId="71B35E7C" w14:textId="77777777">
        <w:trPr>
          <w:trHeight w:val="225"/>
        </w:trPr>
        <w:tc>
          <w:tcPr>
            <w:tcW w:w="285" w:type="dxa"/>
            <w:tcBorders>
              <w:top w:val="nil"/>
              <w:left w:val="nil"/>
              <w:bottom w:val="nil"/>
              <w:right w:val="nil"/>
              <w:tl2br w:val="nil"/>
              <w:tr2bl w:val="nil"/>
            </w:tcBorders>
            <w:shd w:val="clear" w:color="auto" w:fill="FFFFFF"/>
            <w:tcMar>
              <w:left w:w="101" w:type="dxa"/>
              <w:right w:w="101" w:type="dxa"/>
            </w:tcMar>
            <w:vAlign w:val="bottom"/>
          </w:tcPr>
          <w:p w14:paraId="7BE302FC" w14:textId="77777777" w:rsidR="003F0EEA" w:rsidRPr="00E86335" w:rsidRDefault="003F0EEA">
            <w:pPr>
              <w:rPr>
                <w:rFonts w:ascii="Arial" w:eastAsia="Arial" w:hAnsi="Arial" w:cs="Arial"/>
                <w:b/>
                <w:color w:val="000000"/>
                <w:sz w:val="16"/>
              </w:rPr>
            </w:pPr>
          </w:p>
        </w:tc>
        <w:tc>
          <w:tcPr>
            <w:tcW w:w="5325" w:type="dxa"/>
            <w:tcBorders>
              <w:top w:val="nil"/>
              <w:left w:val="nil"/>
              <w:bottom w:val="nil"/>
              <w:right w:val="nil"/>
              <w:tl2br w:val="nil"/>
              <w:tr2bl w:val="nil"/>
            </w:tcBorders>
            <w:shd w:val="clear" w:color="auto" w:fill="FFFFFF"/>
            <w:tcMar>
              <w:left w:w="101" w:type="dxa"/>
              <w:right w:w="101" w:type="dxa"/>
            </w:tcMar>
            <w:vAlign w:val="bottom"/>
          </w:tcPr>
          <w:p w14:paraId="4EF6713C" w14:textId="77777777" w:rsidR="003F0EEA" w:rsidRPr="00E86335" w:rsidRDefault="003F0EEA">
            <w:pPr>
              <w:rPr>
                <w:rFonts w:ascii="Arial" w:eastAsia="Arial" w:hAnsi="Arial" w:cs="Arial"/>
                <w:color w:val="000000"/>
                <w:sz w:val="16"/>
              </w:rPr>
            </w:pPr>
          </w:p>
        </w:tc>
        <w:tc>
          <w:tcPr>
            <w:tcW w:w="1230"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5F62F605" w14:textId="77777777" w:rsidR="003F0EEA" w:rsidRPr="00E86335" w:rsidRDefault="003F0EEA">
            <w:pPr>
              <w:jc w:val="right"/>
              <w:rPr>
                <w:rFonts w:ascii="Arial" w:eastAsia="Arial" w:hAnsi="Arial" w:cs="Arial"/>
                <w:color w:val="000000"/>
                <w:sz w:val="12"/>
                <w:vertAlign w:val="superscript"/>
              </w:rPr>
            </w:pPr>
          </w:p>
        </w:tc>
        <w:tc>
          <w:tcPr>
            <w:tcW w:w="1230" w:type="dxa"/>
            <w:tcBorders>
              <w:top w:val="single" w:sz="6" w:space="0" w:color="000000"/>
              <w:left w:val="nil"/>
              <w:bottom w:val="nil"/>
              <w:right w:val="nil"/>
              <w:tl2br w:val="nil"/>
              <w:tr2bl w:val="nil"/>
            </w:tcBorders>
            <w:shd w:val="clear" w:color="auto" w:fill="FFFF00"/>
            <w:tcMar>
              <w:left w:w="101" w:type="dxa"/>
              <w:right w:w="101" w:type="dxa"/>
            </w:tcMar>
            <w:vAlign w:val="bottom"/>
          </w:tcPr>
          <w:p w14:paraId="7284F4E1" w14:textId="77777777" w:rsidR="003F0EEA" w:rsidRPr="00E86335" w:rsidRDefault="003F0EEA">
            <w:pPr>
              <w:jc w:val="right"/>
              <w:rPr>
                <w:rFonts w:ascii="Arial" w:eastAsia="Arial" w:hAnsi="Arial" w:cs="Arial"/>
                <w:color w:val="000000"/>
                <w:sz w:val="16"/>
                <w:vertAlign w:val="superscript"/>
              </w:rPr>
            </w:pPr>
          </w:p>
        </w:tc>
      </w:tr>
      <w:tr w:rsidR="00FB7D0B" w14:paraId="7F4FAA16" w14:textId="77777777" w:rsidTr="00FB7D0B">
        <w:trPr>
          <w:trHeight w:val="225"/>
        </w:trPr>
        <w:tc>
          <w:tcPr>
            <w:tcW w:w="5610" w:type="dxa"/>
            <w:gridSpan w:val="2"/>
            <w:tcBorders>
              <w:top w:val="nil"/>
              <w:left w:val="nil"/>
              <w:bottom w:val="nil"/>
              <w:right w:val="nil"/>
              <w:tl2br w:val="nil"/>
              <w:tr2bl w:val="nil"/>
            </w:tcBorders>
            <w:shd w:val="clear" w:color="auto" w:fill="FFFFFF"/>
            <w:tcMar>
              <w:left w:w="101" w:type="dxa"/>
              <w:right w:w="101" w:type="dxa"/>
            </w:tcMar>
            <w:vAlign w:val="bottom"/>
          </w:tcPr>
          <w:p w14:paraId="093CB9E7" w14:textId="77777777" w:rsidR="003F0EEA" w:rsidRPr="00E86335" w:rsidRDefault="00FB7D0B">
            <w:pPr>
              <w:rPr>
                <w:rFonts w:ascii="Arial" w:eastAsia="Arial" w:hAnsi="Arial" w:cs="Arial"/>
                <w:color w:val="000000"/>
                <w:sz w:val="16"/>
                <w:vertAlign w:val="superscript"/>
              </w:rPr>
            </w:pPr>
            <w:r w:rsidRPr="00E86335">
              <w:rPr>
                <w:rFonts w:ascii="Arial" w:eastAsia="Arial" w:hAnsi="Arial" w:cs="Arial"/>
                <w:b/>
                <w:color w:val="000000"/>
                <w:sz w:val="16"/>
              </w:rPr>
              <w:t>Programme 2.2:  Veterans' Hospital Services</w:t>
            </w:r>
          </w:p>
        </w:tc>
        <w:tc>
          <w:tcPr>
            <w:tcW w:w="1230" w:type="dxa"/>
            <w:tcBorders>
              <w:top w:val="nil"/>
              <w:left w:val="nil"/>
              <w:bottom w:val="nil"/>
              <w:right w:val="nil"/>
              <w:tl2br w:val="nil"/>
              <w:tr2bl w:val="nil"/>
            </w:tcBorders>
            <w:shd w:val="clear" w:color="auto" w:fill="FFFFFF"/>
            <w:tcMar>
              <w:left w:w="101" w:type="dxa"/>
              <w:right w:w="101" w:type="dxa"/>
            </w:tcMar>
            <w:vAlign w:val="bottom"/>
          </w:tcPr>
          <w:p w14:paraId="79B49A52" w14:textId="77777777" w:rsidR="003F0EEA" w:rsidRPr="00E86335" w:rsidRDefault="003F0EEA">
            <w:pPr>
              <w:jc w:val="right"/>
              <w:rPr>
                <w:rFonts w:ascii="Arial" w:eastAsia="Arial" w:hAnsi="Arial" w:cs="Arial"/>
                <w:color w:val="000000"/>
                <w:sz w:val="12"/>
                <w:vertAlign w:val="superscript"/>
              </w:rPr>
            </w:pPr>
          </w:p>
        </w:tc>
        <w:tc>
          <w:tcPr>
            <w:tcW w:w="1230" w:type="dxa"/>
            <w:tcBorders>
              <w:top w:val="nil"/>
              <w:left w:val="nil"/>
              <w:bottom w:val="nil"/>
              <w:right w:val="nil"/>
              <w:tl2br w:val="nil"/>
              <w:tr2bl w:val="nil"/>
            </w:tcBorders>
            <w:shd w:val="clear" w:color="auto" w:fill="FFFF00"/>
            <w:tcMar>
              <w:left w:w="101" w:type="dxa"/>
              <w:right w:w="101" w:type="dxa"/>
            </w:tcMar>
            <w:vAlign w:val="bottom"/>
          </w:tcPr>
          <w:p w14:paraId="20913FF7" w14:textId="77777777" w:rsidR="003F0EEA" w:rsidRPr="00E86335" w:rsidRDefault="003F0EEA">
            <w:pPr>
              <w:jc w:val="right"/>
              <w:rPr>
                <w:rFonts w:ascii="Arial" w:eastAsia="Arial" w:hAnsi="Arial" w:cs="Arial"/>
                <w:color w:val="000000"/>
                <w:sz w:val="16"/>
                <w:vertAlign w:val="superscript"/>
              </w:rPr>
            </w:pPr>
          </w:p>
        </w:tc>
      </w:tr>
      <w:tr w:rsidR="00FB7D0B" w14:paraId="4A3BB520" w14:textId="77777777" w:rsidTr="00FB7D0B">
        <w:trPr>
          <w:trHeight w:val="225"/>
        </w:trPr>
        <w:tc>
          <w:tcPr>
            <w:tcW w:w="5610" w:type="dxa"/>
            <w:gridSpan w:val="2"/>
            <w:tcBorders>
              <w:top w:val="nil"/>
              <w:left w:val="nil"/>
              <w:bottom w:val="nil"/>
              <w:right w:val="nil"/>
              <w:tl2br w:val="nil"/>
              <w:tr2bl w:val="nil"/>
            </w:tcBorders>
            <w:shd w:val="clear" w:color="auto" w:fill="FFFFFF"/>
            <w:tcMar>
              <w:left w:w="101" w:type="dxa"/>
              <w:right w:w="101" w:type="dxa"/>
            </w:tcMar>
            <w:vAlign w:val="bottom"/>
          </w:tcPr>
          <w:p w14:paraId="2E3D1983" w14:textId="77777777" w:rsidR="003F0EEA" w:rsidRPr="00E86335" w:rsidRDefault="00FB7D0B">
            <w:pPr>
              <w:rPr>
                <w:rFonts w:ascii="Arial" w:eastAsia="Arial" w:hAnsi="Arial" w:cs="Arial"/>
                <w:color w:val="000000"/>
                <w:sz w:val="16"/>
                <w:vertAlign w:val="superscript"/>
              </w:rPr>
            </w:pPr>
            <w:r w:rsidRPr="00E86335">
              <w:rPr>
                <w:rFonts w:ascii="Arial" w:eastAsia="Arial" w:hAnsi="Arial" w:cs="Arial"/>
                <w:color w:val="000000"/>
                <w:sz w:val="16"/>
              </w:rPr>
              <w:t>Administered Expenses</w:t>
            </w:r>
          </w:p>
        </w:tc>
        <w:tc>
          <w:tcPr>
            <w:tcW w:w="1230" w:type="dxa"/>
            <w:tcBorders>
              <w:top w:val="nil"/>
              <w:left w:val="nil"/>
              <w:bottom w:val="nil"/>
              <w:right w:val="nil"/>
              <w:tl2br w:val="nil"/>
              <w:tr2bl w:val="nil"/>
            </w:tcBorders>
            <w:shd w:val="clear" w:color="auto" w:fill="FFFFFF"/>
            <w:tcMar>
              <w:left w:w="101" w:type="dxa"/>
              <w:right w:w="101" w:type="dxa"/>
            </w:tcMar>
            <w:vAlign w:val="bottom"/>
          </w:tcPr>
          <w:p w14:paraId="79087274" w14:textId="77777777" w:rsidR="003F0EEA" w:rsidRPr="00E86335" w:rsidRDefault="003F0EEA">
            <w:pPr>
              <w:jc w:val="right"/>
              <w:rPr>
                <w:rFonts w:ascii="Arial" w:eastAsia="Arial" w:hAnsi="Arial" w:cs="Arial"/>
                <w:color w:val="000000"/>
                <w:sz w:val="12"/>
                <w:vertAlign w:val="superscript"/>
              </w:rPr>
            </w:pPr>
          </w:p>
        </w:tc>
        <w:tc>
          <w:tcPr>
            <w:tcW w:w="1230" w:type="dxa"/>
            <w:tcBorders>
              <w:top w:val="nil"/>
              <w:left w:val="nil"/>
              <w:bottom w:val="nil"/>
              <w:right w:val="nil"/>
              <w:tl2br w:val="nil"/>
              <w:tr2bl w:val="nil"/>
            </w:tcBorders>
            <w:shd w:val="clear" w:color="auto" w:fill="FFFF00"/>
            <w:tcMar>
              <w:left w:w="101" w:type="dxa"/>
              <w:right w:w="101" w:type="dxa"/>
            </w:tcMar>
            <w:vAlign w:val="bottom"/>
          </w:tcPr>
          <w:p w14:paraId="541BD15D" w14:textId="77777777" w:rsidR="003F0EEA" w:rsidRPr="00E86335" w:rsidRDefault="003F0EEA">
            <w:pPr>
              <w:jc w:val="right"/>
              <w:rPr>
                <w:rFonts w:ascii="Arial" w:eastAsia="Arial" w:hAnsi="Arial" w:cs="Arial"/>
                <w:color w:val="000000"/>
                <w:sz w:val="16"/>
                <w:vertAlign w:val="superscript"/>
              </w:rPr>
            </w:pPr>
          </w:p>
        </w:tc>
      </w:tr>
      <w:tr w:rsidR="00724034" w14:paraId="77CD96C2" w14:textId="77777777">
        <w:trPr>
          <w:trHeight w:val="225"/>
        </w:trPr>
        <w:tc>
          <w:tcPr>
            <w:tcW w:w="285" w:type="dxa"/>
            <w:tcBorders>
              <w:top w:val="nil"/>
              <w:left w:val="nil"/>
              <w:bottom w:val="nil"/>
              <w:right w:val="nil"/>
              <w:tl2br w:val="nil"/>
              <w:tr2bl w:val="nil"/>
            </w:tcBorders>
            <w:shd w:val="clear" w:color="auto" w:fill="FFFFFF"/>
            <w:tcMar>
              <w:left w:w="101" w:type="dxa"/>
              <w:right w:w="101" w:type="dxa"/>
            </w:tcMar>
            <w:vAlign w:val="bottom"/>
          </w:tcPr>
          <w:p w14:paraId="6FA06C61" w14:textId="77777777" w:rsidR="003F0EEA" w:rsidRPr="00E86335" w:rsidRDefault="003F0EEA">
            <w:pPr>
              <w:rPr>
                <w:rFonts w:ascii="Arial" w:eastAsia="Arial" w:hAnsi="Arial" w:cs="Arial"/>
                <w:color w:val="000000"/>
                <w:sz w:val="16"/>
                <w:vertAlign w:val="superscript"/>
              </w:rPr>
            </w:pPr>
          </w:p>
        </w:tc>
        <w:tc>
          <w:tcPr>
            <w:tcW w:w="5325" w:type="dxa"/>
            <w:tcBorders>
              <w:top w:val="nil"/>
              <w:left w:val="nil"/>
              <w:bottom w:val="nil"/>
              <w:right w:val="nil"/>
              <w:tl2br w:val="nil"/>
              <w:tr2bl w:val="nil"/>
            </w:tcBorders>
            <w:shd w:val="clear" w:color="auto" w:fill="FFFFFF"/>
            <w:tcMar>
              <w:left w:w="101" w:type="dxa"/>
              <w:right w:w="101" w:type="dxa"/>
            </w:tcMar>
            <w:vAlign w:val="bottom"/>
          </w:tcPr>
          <w:p w14:paraId="786ACAAF" w14:textId="77777777" w:rsidR="003F0EEA" w:rsidRPr="00E86335" w:rsidRDefault="00FB7D0B">
            <w:pPr>
              <w:rPr>
                <w:rFonts w:ascii="Arial" w:eastAsia="Arial" w:hAnsi="Arial" w:cs="Arial"/>
                <w:color w:val="000000"/>
                <w:sz w:val="16"/>
                <w:vertAlign w:val="superscript"/>
              </w:rPr>
            </w:pPr>
            <w:r w:rsidRPr="00E86335">
              <w:rPr>
                <w:rFonts w:ascii="Arial" w:eastAsia="Arial" w:hAnsi="Arial" w:cs="Arial"/>
                <w:color w:val="000000"/>
                <w:sz w:val="16"/>
              </w:rPr>
              <w:t>Ordinary annual services (Appropriation Bill No. 1)</w:t>
            </w:r>
          </w:p>
        </w:tc>
        <w:tc>
          <w:tcPr>
            <w:tcW w:w="1230" w:type="dxa"/>
            <w:tcBorders>
              <w:top w:val="nil"/>
              <w:left w:val="nil"/>
              <w:bottom w:val="nil"/>
              <w:right w:val="nil"/>
              <w:tl2br w:val="nil"/>
              <w:tr2bl w:val="nil"/>
            </w:tcBorders>
            <w:shd w:val="clear" w:color="auto" w:fill="FFFFFF"/>
            <w:tcMar>
              <w:left w:w="101" w:type="dxa"/>
              <w:right w:w="101" w:type="dxa"/>
            </w:tcMar>
            <w:vAlign w:val="bottom"/>
          </w:tcPr>
          <w:p w14:paraId="33EE88BF" w14:textId="77777777" w:rsidR="003F0EEA" w:rsidRPr="00E86335" w:rsidRDefault="00FB7D0B">
            <w:pPr>
              <w:jc w:val="right"/>
              <w:rPr>
                <w:rFonts w:ascii="Arial" w:eastAsia="Arial" w:hAnsi="Arial" w:cs="Arial"/>
                <w:color w:val="000000"/>
                <w:sz w:val="12"/>
                <w:vertAlign w:val="superscript"/>
              </w:rPr>
            </w:pPr>
            <w:r w:rsidRPr="00E86335">
              <w:rPr>
                <w:rFonts w:ascii="Arial" w:eastAsia="Arial" w:hAnsi="Arial" w:cs="Arial"/>
                <w:color w:val="000000"/>
                <w:sz w:val="16"/>
              </w:rPr>
              <w:t xml:space="preserve"> - </w:t>
            </w:r>
          </w:p>
        </w:tc>
        <w:tc>
          <w:tcPr>
            <w:tcW w:w="1230" w:type="dxa"/>
            <w:tcBorders>
              <w:top w:val="nil"/>
              <w:left w:val="nil"/>
              <w:bottom w:val="nil"/>
              <w:right w:val="nil"/>
              <w:tl2br w:val="nil"/>
              <w:tr2bl w:val="nil"/>
            </w:tcBorders>
            <w:shd w:val="clear" w:color="auto" w:fill="FFFF00"/>
            <w:tcMar>
              <w:left w:w="101" w:type="dxa"/>
              <w:right w:w="101" w:type="dxa"/>
            </w:tcMar>
            <w:vAlign w:val="bottom"/>
          </w:tcPr>
          <w:p w14:paraId="6100D3E3" w14:textId="77777777" w:rsidR="003F0EEA" w:rsidRPr="00E86335" w:rsidRDefault="00FB7D0B">
            <w:pPr>
              <w:jc w:val="right"/>
              <w:rPr>
                <w:rFonts w:ascii="Arial" w:eastAsia="Arial" w:hAnsi="Arial" w:cs="Arial"/>
                <w:color w:val="000000"/>
                <w:sz w:val="16"/>
              </w:rPr>
            </w:pPr>
            <w:r w:rsidRPr="00E86335">
              <w:rPr>
                <w:rFonts w:ascii="Arial" w:eastAsia="Arial" w:hAnsi="Arial" w:cs="Arial"/>
                <w:color w:val="000000"/>
                <w:sz w:val="16"/>
              </w:rPr>
              <w:t xml:space="preserve"> - </w:t>
            </w:r>
          </w:p>
        </w:tc>
      </w:tr>
      <w:tr w:rsidR="00724034" w14:paraId="05EE9B5D" w14:textId="77777777">
        <w:trPr>
          <w:trHeight w:val="225"/>
        </w:trPr>
        <w:tc>
          <w:tcPr>
            <w:tcW w:w="285" w:type="dxa"/>
            <w:tcBorders>
              <w:top w:val="nil"/>
              <w:left w:val="nil"/>
              <w:bottom w:val="nil"/>
              <w:right w:val="nil"/>
              <w:tl2br w:val="nil"/>
              <w:tr2bl w:val="nil"/>
            </w:tcBorders>
            <w:shd w:val="clear" w:color="auto" w:fill="FFFFFF"/>
            <w:tcMar>
              <w:left w:w="101" w:type="dxa"/>
              <w:right w:w="101" w:type="dxa"/>
            </w:tcMar>
            <w:vAlign w:val="bottom"/>
          </w:tcPr>
          <w:p w14:paraId="251D94E0" w14:textId="77777777" w:rsidR="003F0EEA" w:rsidRPr="00E86335" w:rsidRDefault="003F0EEA">
            <w:pPr>
              <w:rPr>
                <w:rFonts w:ascii="Arial" w:eastAsia="Arial" w:hAnsi="Arial" w:cs="Arial"/>
                <w:color w:val="000000"/>
                <w:sz w:val="16"/>
              </w:rPr>
            </w:pPr>
          </w:p>
        </w:tc>
        <w:tc>
          <w:tcPr>
            <w:tcW w:w="5325" w:type="dxa"/>
            <w:tcBorders>
              <w:top w:val="nil"/>
              <w:left w:val="nil"/>
              <w:bottom w:val="nil"/>
              <w:right w:val="nil"/>
              <w:tl2br w:val="nil"/>
              <w:tr2bl w:val="nil"/>
            </w:tcBorders>
            <w:shd w:val="clear" w:color="auto" w:fill="FFFFFF"/>
            <w:tcMar>
              <w:left w:w="101" w:type="dxa"/>
              <w:right w:w="101" w:type="dxa"/>
            </w:tcMar>
            <w:vAlign w:val="bottom"/>
          </w:tcPr>
          <w:p w14:paraId="7AE52DB6" w14:textId="77777777" w:rsidR="003F0EEA" w:rsidRPr="00E86335" w:rsidRDefault="00FB7D0B">
            <w:pPr>
              <w:rPr>
                <w:rFonts w:ascii="Arial" w:eastAsia="Arial" w:hAnsi="Arial" w:cs="Arial"/>
                <w:color w:val="000000"/>
                <w:sz w:val="16"/>
              </w:rPr>
            </w:pPr>
            <w:r w:rsidRPr="00E86335">
              <w:rPr>
                <w:rFonts w:ascii="Arial" w:eastAsia="Arial" w:hAnsi="Arial" w:cs="Arial"/>
                <w:color w:val="000000"/>
                <w:sz w:val="16"/>
              </w:rPr>
              <w:t>Other services (Appropriation Bill No. 2)</w:t>
            </w:r>
          </w:p>
        </w:tc>
        <w:tc>
          <w:tcPr>
            <w:tcW w:w="1230" w:type="dxa"/>
            <w:tcBorders>
              <w:top w:val="nil"/>
              <w:left w:val="nil"/>
              <w:bottom w:val="nil"/>
              <w:right w:val="nil"/>
              <w:tl2br w:val="nil"/>
              <w:tr2bl w:val="nil"/>
            </w:tcBorders>
            <w:shd w:val="clear" w:color="auto" w:fill="FFFFFF"/>
            <w:tcMar>
              <w:left w:w="101" w:type="dxa"/>
              <w:right w:w="101" w:type="dxa"/>
            </w:tcMar>
            <w:vAlign w:val="bottom"/>
          </w:tcPr>
          <w:p w14:paraId="4517A53D" w14:textId="77777777" w:rsidR="003F0EEA" w:rsidRPr="00E86335" w:rsidRDefault="00FB7D0B">
            <w:pPr>
              <w:jc w:val="right"/>
              <w:rPr>
                <w:rFonts w:ascii="Arial" w:eastAsia="Arial" w:hAnsi="Arial" w:cs="Arial"/>
                <w:color w:val="000000"/>
                <w:sz w:val="12"/>
                <w:vertAlign w:val="superscript"/>
              </w:rPr>
            </w:pPr>
            <w:r w:rsidRPr="00E86335">
              <w:rPr>
                <w:rFonts w:ascii="Arial" w:eastAsia="Arial" w:hAnsi="Arial" w:cs="Arial"/>
                <w:color w:val="000000"/>
                <w:sz w:val="16"/>
              </w:rPr>
              <w:t xml:space="preserve"> - </w:t>
            </w:r>
          </w:p>
        </w:tc>
        <w:tc>
          <w:tcPr>
            <w:tcW w:w="1230" w:type="dxa"/>
            <w:tcBorders>
              <w:top w:val="nil"/>
              <w:left w:val="nil"/>
              <w:bottom w:val="nil"/>
              <w:right w:val="nil"/>
              <w:tl2br w:val="nil"/>
              <w:tr2bl w:val="nil"/>
            </w:tcBorders>
            <w:shd w:val="clear" w:color="auto" w:fill="FFFF00"/>
            <w:tcMar>
              <w:left w:w="101" w:type="dxa"/>
              <w:right w:w="101" w:type="dxa"/>
            </w:tcMar>
            <w:vAlign w:val="bottom"/>
          </w:tcPr>
          <w:p w14:paraId="372AF465" w14:textId="77777777" w:rsidR="003F0EEA" w:rsidRPr="00E86335" w:rsidRDefault="00FB7D0B">
            <w:pPr>
              <w:jc w:val="right"/>
              <w:rPr>
                <w:rFonts w:ascii="Arial" w:eastAsia="Arial" w:hAnsi="Arial" w:cs="Arial"/>
                <w:color w:val="000000"/>
                <w:sz w:val="16"/>
              </w:rPr>
            </w:pPr>
            <w:r w:rsidRPr="00E86335">
              <w:rPr>
                <w:rFonts w:ascii="Arial" w:eastAsia="Arial" w:hAnsi="Arial" w:cs="Arial"/>
                <w:color w:val="000000"/>
                <w:sz w:val="16"/>
              </w:rPr>
              <w:t xml:space="preserve"> - </w:t>
            </w:r>
          </w:p>
        </w:tc>
      </w:tr>
      <w:tr w:rsidR="00724034" w14:paraId="3A0A6A5E" w14:textId="77777777">
        <w:trPr>
          <w:trHeight w:val="225"/>
        </w:trPr>
        <w:tc>
          <w:tcPr>
            <w:tcW w:w="285" w:type="dxa"/>
            <w:tcBorders>
              <w:top w:val="nil"/>
              <w:left w:val="nil"/>
              <w:bottom w:val="nil"/>
              <w:right w:val="nil"/>
              <w:tl2br w:val="nil"/>
              <w:tr2bl w:val="nil"/>
            </w:tcBorders>
            <w:shd w:val="clear" w:color="auto" w:fill="FFFFFF"/>
            <w:tcMar>
              <w:left w:w="101" w:type="dxa"/>
              <w:right w:w="101" w:type="dxa"/>
            </w:tcMar>
            <w:vAlign w:val="bottom"/>
          </w:tcPr>
          <w:p w14:paraId="2DCAFC01" w14:textId="77777777" w:rsidR="003F0EEA" w:rsidRPr="00E86335" w:rsidRDefault="003F0EEA">
            <w:pPr>
              <w:rPr>
                <w:rFonts w:ascii="Arial" w:eastAsia="Arial" w:hAnsi="Arial" w:cs="Arial"/>
                <w:color w:val="000000"/>
                <w:sz w:val="16"/>
              </w:rPr>
            </w:pPr>
          </w:p>
        </w:tc>
        <w:tc>
          <w:tcPr>
            <w:tcW w:w="5325" w:type="dxa"/>
            <w:tcBorders>
              <w:top w:val="nil"/>
              <w:left w:val="nil"/>
              <w:bottom w:val="nil"/>
              <w:right w:val="nil"/>
              <w:tl2br w:val="nil"/>
              <w:tr2bl w:val="nil"/>
            </w:tcBorders>
            <w:shd w:val="clear" w:color="auto" w:fill="FFFFFF"/>
            <w:tcMar>
              <w:left w:w="101" w:type="dxa"/>
              <w:right w:w="101" w:type="dxa"/>
            </w:tcMar>
            <w:vAlign w:val="bottom"/>
          </w:tcPr>
          <w:p w14:paraId="5F327533" w14:textId="77777777" w:rsidR="003F0EEA" w:rsidRPr="00E86335" w:rsidRDefault="00FB7D0B">
            <w:pPr>
              <w:rPr>
                <w:rFonts w:ascii="Arial" w:eastAsia="Arial" w:hAnsi="Arial" w:cs="Arial"/>
                <w:color w:val="000000"/>
                <w:sz w:val="16"/>
              </w:rPr>
            </w:pPr>
            <w:r w:rsidRPr="00E86335">
              <w:rPr>
                <w:rFonts w:ascii="Arial" w:eastAsia="Arial" w:hAnsi="Arial" w:cs="Arial"/>
                <w:color w:val="000000"/>
                <w:sz w:val="16"/>
              </w:rPr>
              <w:t>Special Appropriations</w:t>
            </w:r>
          </w:p>
        </w:tc>
        <w:tc>
          <w:tcPr>
            <w:tcW w:w="1230" w:type="dxa"/>
            <w:tcBorders>
              <w:top w:val="nil"/>
              <w:left w:val="nil"/>
              <w:bottom w:val="nil"/>
              <w:right w:val="nil"/>
              <w:tl2br w:val="nil"/>
              <w:tr2bl w:val="nil"/>
            </w:tcBorders>
            <w:shd w:val="clear" w:color="auto" w:fill="FFFFFF"/>
            <w:tcMar>
              <w:left w:w="101" w:type="dxa"/>
              <w:right w:w="101" w:type="dxa"/>
            </w:tcMar>
            <w:vAlign w:val="bottom"/>
          </w:tcPr>
          <w:p w14:paraId="2DC70044" w14:textId="77777777" w:rsidR="003F0EEA" w:rsidRPr="00E86335" w:rsidRDefault="00FB7D0B">
            <w:pPr>
              <w:jc w:val="right"/>
              <w:rPr>
                <w:rFonts w:ascii="Arial" w:eastAsia="Arial" w:hAnsi="Arial" w:cs="Arial"/>
                <w:color w:val="000000"/>
                <w:sz w:val="12"/>
                <w:vertAlign w:val="superscript"/>
              </w:rPr>
            </w:pPr>
            <w:r w:rsidRPr="00E86335">
              <w:rPr>
                <w:rFonts w:ascii="Arial" w:eastAsia="Arial" w:hAnsi="Arial" w:cs="Arial"/>
                <w:color w:val="000000"/>
                <w:sz w:val="16"/>
              </w:rPr>
              <w:t xml:space="preserve"> 1,647,650 </w:t>
            </w:r>
          </w:p>
        </w:tc>
        <w:tc>
          <w:tcPr>
            <w:tcW w:w="1230" w:type="dxa"/>
            <w:tcBorders>
              <w:top w:val="nil"/>
              <w:left w:val="nil"/>
              <w:bottom w:val="nil"/>
              <w:right w:val="nil"/>
              <w:tl2br w:val="nil"/>
              <w:tr2bl w:val="nil"/>
            </w:tcBorders>
            <w:shd w:val="clear" w:color="auto" w:fill="FFFF00"/>
            <w:tcMar>
              <w:left w:w="101" w:type="dxa"/>
              <w:right w:w="101" w:type="dxa"/>
            </w:tcMar>
            <w:vAlign w:val="bottom"/>
          </w:tcPr>
          <w:p w14:paraId="46620945" w14:textId="77777777" w:rsidR="003F0EEA" w:rsidRPr="00E86335" w:rsidRDefault="00FB7D0B">
            <w:pPr>
              <w:jc w:val="right"/>
              <w:rPr>
                <w:rFonts w:ascii="Arial" w:eastAsia="Arial" w:hAnsi="Arial" w:cs="Arial"/>
                <w:color w:val="000000"/>
                <w:sz w:val="16"/>
              </w:rPr>
            </w:pPr>
            <w:r w:rsidRPr="00E86335">
              <w:rPr>
                <w:rFonts w:ascii="Arial" w:eastAsia="Arial" w:hAnsi="Arial" w:cs="Arial"/>
                <w:color w:val="000000"/>
                <w:sz w:val="16"/>
              </w:rPr>
              <w:t xml:space="preserve"> 1,612,246 </w:t>
            </w:r>
          </w:p>
        </w:tc>
      </w:tr>
      <w:tr w:rsidR="00724034" w14:paraId="45CD3D32" w14:textId="77777777">
        <w:trPr>
          <w:trHeight w:val="225"/>
        </w:trPr>
        <w:tc>
          <w:tcPr>
            <w:tcW w:w="285" w:type="dxa"/>
            <w:tcBorders>
              <w:top w:val="nil"/>
              <w:left w:val="nil"/>
              <w:bottom w:val="nil"/>
              <w:right w:val="nil"/>
              <w:tl2br w:val="nil"/>
              <w:tr2bl w:val="nil"/>
            </w:tcBorders>
            <w:shd w:val="clear" w:color="auto" w:fill="FFFFFF"/>
            <w:tcMar>
              <w:left w:w="101" w:type="dxa"/>
              <w:right w:w="101" w:type="dxa"/>
            </w:tcMar>
            <w:vAlign w:val="bottom"/>
          </w:tcPr>
          <w:p w14:paraId="3C9F6ADF" w14:textId="77777777" w:rsidR="003F0EEA" w:rsidRPr="00E86335" w:rsidRDefault="003F0EEA">
            <w:pPr>
              <w:rPr>
                <w:rFonts w:ascii="Arial" w:eastAsia="Arial" w:hAnsi="Arial" w:cs="Arial"/>
                <w:color w:val="000000"/>
                <w:sz w:val="16"/>
              </w:rPr>
            </w:pPr>
          </w:p>
        </w:tc>
        <w:tc>
          <w:tcPr>
            <w:tcW w:w="5325" w:type="dxa"/>
            <w:tcBorders>
              <w:top w:val="nil"/>
              <w:left w:val="nil"/>
              <w:bottom w:val="nil"/>
              <w:right w:val="nil"/>
              <w:tl2br w:val="nil"/>
              <w:tr2bl w:val="nil"/>
            </w:tcBorders>
            <w:shd w:val="clear" w:color="auto" w:fill="FFFFFF"/>
            <w:tcMar>
              <w:left w:w="101" w:type="dxa"/>
              <w:right w:w="101" w:type="dxa"/>
            </w:tcMar>
            <w:vAlign w:val="bottom"/>
          </w:tcPr>
          <w:p w14:paraId="4AD3B4DE" w14:textId="77777777" w:rsidR="003F0EEA" w:rsidRPr="00E86335" w:rsidRDefault="00FB7D0B">
            <w:pPr>
              <w:rPr>
                <w:rFonts w:ascii="Arial" w:eastAsia="Arial" w:hAnsi="Arial" w:cs="Arial"/>
                <w:color w:val="000000"/>
                <w:sz w:val="16"/>
              </w:rPr>
            </w:pPr>
            <w:r w:rsidRPr="00E86335">
              <w:rPr>
                <w:rFonts w:ascii="Arial" w:eastAsia="Arial" w:hAnsi="Arial" w:cs="Arial"/>
                <w:color w:val="000000"/>
                <w:sz w:val="16"/>
              </w:rPr>
              <w:t>Special Accounts</w:t>
            </w:r>
          </w:p>
        </w:tc>
        <w:tc>
          <w:tcPr>
            <w:tcW w:w="1230" w:type="dxa"/>
            <w:tcBorders>
              <w:top w:val="nil"/>
              <w:left w:val="nil"/>
              <w:bottom w:val="nil"/>
              <w:right w:val="nil"/>
              <w:tl2br w:val="nil"/>
              <w:tr2bl w:val="nil"/>
            </w:tcBorders>
            <w:shd w:val="clear" w:color="auto" w:fill="FFFFFF"/>
            <w:tcMar>
              <w:left w:w="101" w:type="dxa"/>
              <w:right w:w="101" w:type="dxa"/>
            </w:tcMar>
            <w:vAlign w:val="bottom"/>
          </w:tcPr>
          <w:p w14:paraId="36CE89E8" w14:textId="77777777" w:rsidR="003F0EEA" w:rsidRPr="00E86335" w:rsidRDefault="00FB7D0B">
            <w:pPr>
              <w:jc w:val="right"/>
              <w:rPr>
                <w:rFonts w:ascii="Arial" w:eastAsia="Arial" w:hAnsi="Arial" w:cs="Arial"/>
                <w:color w:val="000000"/>
                <w:sz w:val="12"/>
                <w:vertAlign w:val="superscript"/>
              </w:rPr>
            </w:pPr>
            <w:r w:rsidRPr="00E86335">
              <w:rPr>
                <w:rFonts w:ascii="Arial" w:eastAsia="Arial" w:hAnsi="Arial" w:cs="Arial"/>
                <w:color w:val="000000"/>
                <w:sz w:val="16"/>
              </w:rPr>
              <w:t xml:space="preserve"> - </w:t>
            </w:r>
          </w:p>
        </w:tc>
        <w:tc>
          <w:tcPr>
            <w:tcW w:w="1230" w:type="dxa"/>
            <w:tcBorders>
              <w:top w:val="nil"/>
              <w:left w:val="nil"/>
              <w:bottom w:val="nil"/>
              <w:right w:val="nil"/>
              <w:tl2br w:val="nil"/>
              <w:tr2bl w:val="nil"/>
            </w:tcBorders>
            <w:shd w:val="clear" w:color="auto" w:fill="FFFF00"/>
            <w:tcMar>
              <w:left w:w="101" w:type="dxa"/>
              <w:right w:w="101" w:type="dxa"/>
            </w:tcMar>
            <w:vAlign w:val="bottom"/>
          </w:tcPr>
          <w:p w14:paraId="2C8D5A48" w14:textId="77777777" w:rsidR="003F0EEA" w:rsidRPr="00E86335" w:rsidRDefault="00FB7D0B">
            <w:pPr>
              <w:jc w:val="right"/>
              <w:rPr>
                <w:rFonts w:ascii="Arial" w:eastAsia="Arial" w:hAnsi="Arial" w:cs="Arial"/>
                <w:color w:val="000000"/>
                <w:sz w:val="16"/>
              </w:rPr>
            </w:pPr>
            <w:r w:rsidRPr="00E86335">
              <w:rPr>
                <w:rFonts w:ascii="Arial" w:eastAsia="Arial" w:hAnsi="Arial" w:cs="Arial"/>
                <w:color w:val="000000"/>
                <w:sz w:val="16"/>
              </w:rPr>
              <w:t xml:space="preserve"> - </w:t>
            </w:r>
          </w:p>
        </w:tc>
      </w:tr>
      <w:tr w:rsidR="00FB7D0B" w14:paraId="5000657C" w14:textId="77777777" w:rsidTr="00FB7D0B">
        <w:trPr>
          <w:trHeight w:val="225"/>
        </w:trPr>
        <w:tc>
          <w:tcPr>
            <w:tcW w:w="5610" w:type="dxa"/>
            <w:gridSpan w:val="2"/>
            <w:tcBorders>
              <w:top w:val="nil"/>
              <w:left w:val="nil"/>
              <w:bottom w:val="nil"/>
              <w:right w:val="nil"/>
              <w:tl2br w:val="nil"/>
              <w:tr2bl w:val="nil"/>
            </w:tcBorders>
            <w:shd w:val="clear" w:color="auto" w:fill="FFFFFF"/>
            <w:tcMar>
              <w:left w:w="101" w:type="dxa"/>
              <w:right w:w="101" w:type="dxa"/>
            </w:tcMar>
            <w:vAlign w:val="bottom"/>
          </w:tcPr>
          <w:p w14:paraId="6DB1741D" w14:textId="77777777" w:rsidR="003F0EEA" w:rsidRPr="00E86335" w:rsidRDefault="00FB7D0B">
            <w:pPr>
              <w:rPr>
                <w:rFonts w:ascii="Arial" w:eastAsia="Arial" w:hAnsi="Arial" w:cs="Arial"/>
                <w:color w:val="000000"/>
                <w:sz w:val="16"/>
              </w:rPr>
            </w:pPr>
            <w:r w:rsidRPr="00E86335">
              <w:rPr>
                <w:rFonts w:ascii="Arial" w:eastAsia="Arial" w:hAnsi="Arial" w:cs="Arial"/>
                <w:color w:val="000000"/>
                <w:sz w:val="16"/>
              </w:rPr>
              <w:t>Departmental Expenses</w:t>
            </w:r>
          </w:p>
        </w:tc>
        <w:tc>
          <w:tcPr>
            <w:tcW w:w="1230" w:type="dxa"/>
            <w:tcBorders>
              <w:top w:val="nil"/>
              <w:left w:val="nil"/>
              <w:bottom w:val="nil"/>
              <w:right w:val="nil"/>
              <w:tl2br w:val="nil"/>
              <w:tr2bl w:val="nil"/>
            </w:tcBorders>
            <w:shd w:val="clear" w:color="auto" w:fill="FFFFFF"/>
            <w:tcMar>
              <w:left w:w="101" w:type="dxa"/>
              <w:right w:w="101" w:type="dxa"/>
            </w:tcMar>
            <w:vAlign w:val="bottom"/>
          </w:tcPr>
          <w:p w14:paraId="4BC06B47" w14:textId="77777777" w:rsidR="003F0EEA" w:rsidRPr="00E86335" w:rsidRDefault="003F0EEA">
            <w:pPr>
              <w:jc w:val="right"/>
              <w:rPr>
                <w:rFonts w:ascii="Arial" w:eastAsia="Arial" w:hAnsi="Arial" w:cs="Arial"/>
                <w:color w:val="000000"/>
                <w:sz w:val="12"/>
                <w:vertAlign w:val="superscript"/>
              </w:rPr>
            </w:pPr>
          </w:p>
        </w:tc>
        <w:tc>
          <w:tcPr>
            <w:tcW w:w="1230" w:type="dxa"/>
            <w:tcBorders>
              <w:top w:val="nil"/>
              <w:left w:val="nil"/>
              <w:bottom w:val="nil"/>
              <w:right w:val="nil"/>
              <w:tl2br w:val="nil"/>
              <w:tr2bl w:val="nil"/>
            </w:tcBorders>
            <w:shd w:val="clear" w:color="auto" w:fill="FFFF00"/>
            <w:tcMar>
              <w:left w:w="101" w:type="dxa"/>
              <w:right w:w="101" w:type="dxa"/>
            </w:tcMar>
            <w:vAlign w:val="bottom"/>
          </w:tcPr>
          <w:p w14:paraId="2FE06E9E" w14:textId="77777777" w:rsidR="003F0EEA" w:rsidRPr="00E86335" w:rsidRDefault="003F0EEA">
            <w:pPr>
              <w:jc w:val="right"/>
              <w:rPr>
                <w:rFonts w:ascii="Arial" w:eastAsia="Arial" w:hAnsi="Arial" w:cs="Arial"/>
                <w:color w:val="000000"/>
                <w:sz w:val="16"/>
                <w:vertAlign w:val="superscript"/>
              </w:rPr>
            </w:pPr>
          </w:p>
        </w:tc>
      </w:tr>
      <w:tr w:rsidR="00724034" w14:paraId="3F9DD923" w14:textId="77777777">
        <w:trPr>
          <w:trHeight w:val="225"/>
        </w:trPr>
        <w:tc>
          <w:tcPr>
            <w:tcW w:w="285" w:type="dxa"/>
            <w:tcBorders>
              <w:top w:val="nil"/>
              <w:left w:val="nil"/>
              <w:bottom w:val="nil"/>
              <w:right w:val="nil"/>
              <w:tl2br w:val="nil"/>
              <w:tr2bl w:val="nil"/>
            </w:tcBorders>
            <w:shd w:val="clear" w:color="auto" w:fill="FFFFFF"/>
            <w:tcMar>
              <w:left w:w="101" w:type="dxa"/>
              <w:right w:w="101" w:type="dxa"/>
            </w:tcMar>
            <w:vAlign w:val="bottom"/>
          </w:tcPr>
          <w:p w14:paraId="3A4227D4" w14:textId="77777777" w:rsidR="003F0EEA" w:rsidRPr="00E86335" w:rsidRDefault="003F0EEA">
            <w:pPr>
              <w:rPr>
                <w:rFonts w:ascii="Arial" w:eastAsia="Arial" w:hAnsi="Arial" w:cs="Arial"/>
                <w:color w:val="000000"/>
                <w:sz w:val="16"/>
                <w:vertAlign w:val="superscript"/>
              </w:rPr>
            </w:pPr>
          </w:p>
        </w:tc>
        <w:tc>
          <w:tcPr>
            <w:tcW w:w="5325" w:type="dxa"/>
            <w:tcBorders>
              <w:top w:val="nil"/>
              <w:left w:val="nil"/>
              <w:bottom w:val="nil"/>
              <w:right w:val="nil"/>
              <w:tl2br w:val="nil"/>
              <w:tr2bl w:val="nil"/>
            </w:tcBorders>
            <w:shd w:val="clear" w:color="auto" w:fill="FFFFFF"/>
            <w:tcMar>
              <w:left w:w="101" w:type="dxa"/>
              <w:right w:w="101" w:type="dxa"/>
            </w:tcMar>
            <w:vAlign w:val="bottom"/>
          </w:tcPr>
          <w:p w14:paraId="16FECB6E" w14:textId="77777777" w:rsidR="003F0EEA" w:rsidRPr="00E86335" w:rsidRDefault="00FB7D0B">
            <w:pPr>
              <w:rPr>
                <w:rFonts w:ascii="Arial" w:eastAsia="Arial" w:hAnsi="Arial" w:cs="Arial"/>
                <w:color w:val="000000"/>
                <w:sz w:val="16"/>
                <w:vertAlign w:val="superscript"/>
              </w:rPr>
            </w:pPr>
            <w:r w:rsidRPr="00E86335">
              <w:rPr>
                <w:rFonts w:ascii="Arial" w:eastAsia="Arial" w:hAnsi="Arial" w:cs="Arial"/>
                <w:color w:val="000000"/>
                <w:sz w:val="16"/>
              </w:rPr>
              <w:t>Departmental appropriation</w:t>
            </w:r>
            <w:r w:rsidRPr="00E86335">
              <w:rPr>
                <w:rFonts w:ascii="Arial" w:eastAsia="Arial" w:hAnsi="Arial" w:cs="Arial"/>
                <w:color w:val="000000"/>
                <w:sz w:val="16"/>
                <w:vertAlign w:val="superscript"/>
              </w:rPr>
              <w:t>1 </w:t>
            </w:r>
          </w:p>
        </w:tc>
        <w:tc>
          <w:tcPr>
            <w:tcW w:w="1230" w:type="dxa"/>
            <w:tcBorders>
              <w:top w:val="nil"/>
              <w:left w:val="nil"/>
              <w:bottom w:val="nil"/>
              <w:right w:val="nil"/>
              <w:tl2br w:val="nil"/>
              <w:tr2bl w:val="nil"/>
            </w:tcBorders>
            <w:shd w:val="clear" w:color="auto" w:fill="FFFFFF"/>
            <w:tcMar>
              <w:left w:w="101" w:type="dxa"/>
              <w:right w:w="101" w:type="dxa"/>
            </w:tcMar>
            <w:vAlign w:val="bottom"/>
          </w:tcPr>
          <w:p w14:paraId="47CF0584" w14:textId="77777777" w:rsidR="003F0EEA" w:rsidRPr="00E86335" w:rsidRDefault="00FB7D0B">
            <w:pPr>
              <w:jc w:val="right"/>
              <w:rPr>
                <w:rFonts w:ascii="Arial" w:eastAsia="Arial" w:hAnsi="Arial" w:cs="Arial"/>
                <w:color w:val="000000"/>
                <w:sz w:val="16"/>
                <w:vertAlign w:val="superscript"/>
              </w:rPr>
            </w:pPr>
            <w:r w:rsidRPr="00E86335">
              <w:rPr>
                <w:rFonts w:ascii="Arial" w:eastAsia="Arial" w:hAnsi="Arial" w:cs="Arial"/>
                <w:color w:val="000000"/>
                <w:sz w:val="16"/>
              </w:rPr>
              <w:t xml:space="preserve"> 11,424 </w:t>
            </w:r>
          </w:p>
        </w:tc>
        <w:tc>
          <w:tcPr>
            <w:tcW w:w="1230" w:type="dxa"/>
            <w:tcBorders>
              <w:top w:val="nil"/>
              <w:left w:val="nil"/>
              <w:bottom w:val="nil"/>
              <w:right w:val="nil"/>
              <w:tl2br w:val="nil"/>
              <w:tr2bl w:val="nil"/>
            </w:tcBorders>
            <w:shd w:val="clear" w:color="auto" w:fill="FFFF00"/>
            <w:tcMar>
              <w:left w:w="101" w:type="dxa"/>
              <w:right w:w="101" w:type="dxa"/>
            </w:tcMar>
            <w:vAlign w:val="bottom"/>
          </w:tcPr>
          <w:p w14:paraId="6C136886" w14:textId="77777777" w:rsidR="003F0EEA" w:rsidRPr="00E86335" w:rsidRDefault="00FB7D0B">
            <w:pPr>
              <w:jc w:val="right"/>
              <w:rPr>
                <w:rFonts w:ascii="Arial" w:eastAsia="Arial" w:hAnsi="Arial" w:cs="Arial"/>
                <w:color w:val="000000"/>
                <w:sz w:val="16"/>
              </w:rPr>
            </w:pPr>
            <w:r w:rsidRPr="00E86335">
              <w:rPr>
                <w:rFonts w:ascii="Arial" w:eastAsia="Arial" w:hAnsi="Arial" w:cs="Arial"/>
                <w:color w:val="000000"/>
                <w:sz w:val="16"/>
              </w:rPr>
              <w:t xml:space="preserve"> 11,318 </w:t>
            </w:r>
          </w:p>
        </w:tc>
      </w:tr>
      <w:tr w:rsidR="00724034" w14:paraId="16FB4749" w14:textId="77777777">
        <w:trPr>
          <w:trHeight w:val="225"/>
        </w:trPr>
        <w:tc>
          <w:tcPr>
            <w:tcW w:w="285" w:type="dxa"/>
            <w:tcBorders>
              <w:top w:val="nil"/>
              <w:left w:val="nil"/>
              <w:bottom w:val="nil"/>
              <w:right w:val="nil"/>
              <w:tl2br w:val="nil"/>
              <w:tr2bl w:val="nil"/>
            </w:tcBorders>
            <w:shd w:val="clear" w:color="auto" w:fill="FFFFFF"/>
            <w:tcMar>
              <w:left w:w="101" w:type="dxa"/>
              <w:right w:w="101" w:type="dxa"/>
            </w:tcMar>
            <w:vAlign w:val="bottom"/>
          </w:tcPr>
          <w:p w14:paraId="259FE251" w14:textId="77777777" w:rsidR="003F0EEA" w:rsidRPr="00E86335" w:rsidRDefault="003F0EEA">
            <w:pPr>
              <w:rPr>
                <w:rFonts w:ascii="Arial" w:eastAsia="Arial" w:hAnsi="Arial" w:cs="Arial"/>
                <w:color w:val="000000"/>
                <w:sz w:val="16"/>
              </w:rPr>
            </w:pPr>
          </w:p>
        </w:tc>
        <w:tc>
          <w:tcPr>
            <w:tcW w:w="5325" w:type="dxa"/>
            <w:tcBorders>
              <w:top w:val="nil"/>
              <w:left w:val="nil"/>
              <w:bottom w:val="nil"/>
              <w:right w:val="nil"/>
              <w:tl2br w:val="nil"/>
              <w:tr2bl w:val="nil"/>
            </w:tcBorders>
            <w:shd w:val="clear" w:color="auto" w:fill="FFFFFF"/>
            <w:tcMar>
              <w:left w:w="101" w:type="dxa"/>
              <w:right w:w="101" w:type="dxa"/>
            </w:tcMar>
            <w:vAlign w:val="bottom"/>
          </w:tcPr>
          <w:p w14:paraId="01BA05A9" w14:textId="77777777" w:rsidR="003F0EEA" w:rsidRPr="00E86335" w:rsidRDefault="00FB7D0B">
            <w:pPr>
              <w:rPr>
                <w:rFonts w:ascii="Arial" w:eastAsia="Arial" w:hAnsi="Arial" w:cs="Arial"/>
                <w:color w:val="000000"/>
                <w:sz w:val="16"/>
              </w:rPr>
            </w:pPr>
            <w:r w:rsidRPr="00E86335">
              <w:rPr>
                <w:rFonts w:ascii="Arial" w:eastAsia="Arial" w:hAnsi="Arial" w:cs="Arial"/>
                <w:color w:val="000000"/>
                <w:sz w:val="16"/>
              </w:rPr>
              <w:t>Expenses not requiring appropriation in the Budget year</w:t>
            </w:r>
            <w:r w:rsidRPr="00E86335">
              <w:rPr>
                <w:rFonts w:ascii="Arial" w:eastAsia="Arial" w:hAnsi="Arial" w:cs="Arial"/>
                <w:color w:val="000000"/>
                <w:sz w:val="16"/>
                <w:vertAlign w:val="superscript"/>
              </w:rPr>
              <w:t>2 </w:t>
            </w:r>
          </w:p>
        </w:tc>
        <w:tc>
          <w:tcPr>
            <w:tcW w:w="1230"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5877DBC4" w14:textId="77777777" w:rsidR="003F0EEA" w:rsidRPr="00E86335" w:rsidRDefault="00FB7D0B">
            <w:pPr>
              <w:jc w:val="right"/>
              <w:rPr>
                <w:rFonts w:ascii="Arial" w:eastAsia="Arial" w:hAnsi="Arial" w:cs="Arial"/>
                <w:color w:val="000000"/>
                <w:sz w:val="16"/>
                <w:vertAlign w:val="superscript"/>
              </w:rPr>
            </w:pPr>
            <w:r w:rsidRPr="00E86335">
              <w:rPr>
                <w:rFonts w:ascii="Arial" w:eastAsia="Arial" w:hAnsi="Arial" w:cs="Arial"/>
                <w:color w:val="000000"/>
                <w:sz w:val="16"/>
              </w:rPr>
              <w:t xml:space="preserve"> 1,475 </w:t>
            </w:r>
          </w:p>
        </w:tc>
        <w:tc>
          <w:tcPr>
            <w:tcW w:w="1230" w:type="dxa"/>
            <w:tcBorders>
              <w:top w:val="nil"/>
              <w:left w:val="nil"/>
              <w:bottom w:val="single" w:sz="6" w:space="0" w:color="000000"/>
              <w:right w:val="nil"/>
              <w:tl2br w:val="nil"/>
              <w:tr2bl w:val="nil"/>
            </w:tcBorders>
            <w:shd w:val="clear" w:color="auto" w:fill="FFFF00"/>
            <w:tcMar>
              <w:left w:w="101" w:type="dxa"/>
              <w:right w:w="101" w:type="dxa"/>
            </w:tcMar>
            <w:vAlign w:val="bottom"/>
          </w:tcPr>
          <w:p w14:paraId="0936D0F7" w14:textId="77777777" w:rsidR="003F0EEA" w:rsidRPr="00E86335" w:rsidRDefault="00FB7D0B">
            <w:pPr>
              <w:jc w:val="right"/>
              <w:rPr>
                <w:rFonts w:ascii="Arial" w:eastAsia="Arial" w:hAnsi="Arial" w:cs="Arial"/>
                <w:color w:val="000000"/>
                <w:sz w:val="16"/>
              </w:rPr>
            </w:pPr>
            <w:r w:rsidRPr="00E86335">
              <w:rPr>
                <w:rFonts w:ascii="Arial" w:eastAsia="Arial" w:hAnsi="Arial" w:cs="Arial"/>
                <w:color w:val="000000"/>
                <w:sz w:val="16"/>
              </w:rPr>
              <w:t xml:space="preserve"> 1,648 </w:t>
            </w:r>
          </w:p>
        </w:tc>
      </w:tr>
      <w:tr w:rsidR="00724034" w14:paraId="4FB6EFD9" w14:textId="77777777">
        <w:trPr>
          <w:trHeight w:val="225"/>
        </w:trPr>
        <w:tc>
          <w:tcPr>
            <w:tcW w:w="285" w:type="dxa"/>
            <w:tcBorders>
              <w:top w:val="nil"/>
              <w:left w:val="nil"/>
              <w:bottom w:val="nil"/>
              <w:right w:val="nil"/>
              <w:tl2br w:val="nil"/>
              <w:tr2bl w:val="nil"/>
            </w:tcBorders>
            <w:shd w:val="clear" w:color="auto" w:fill="FFFFFF"/>
            <w:tcMar>
              <w:left w:w="101" w:type="dxa"/>
              <w:right w:w="101" w:type="dxa"/>
            </w:tcMar>
            <w:vAlign w:val="bottom"/>
          </w:tcPr>
          <w:p w14:paraId="40EA6DCC" w14:textId="77777777" w:rsidR="003F0EEA" w:rsidRPr="00E86335" w:rsidRDefault="003F0EEA">
            <w:pPr>
              <w:rPr>
                <w:rFonts w:ascii="Arial" w:eastAsia="Arial" w:hAnsi="Arial" w:cs="Arial"/>
                <w:color w:val="000000"/>
                <w:sz w:val="16"/>
              </w:rPr>
            </w:pPr>
          </w:p>
        </w:tc>
        <w:tc>
          <w:tcPr>
            <w:tcW w:w="5325" w:type="dxa"/>
            <w:tcBorders>
              <w:top w:val="nil"/>
              <w:left w:val="nil"/>
              <w:bottom w:val="nil"/>
              <w:right w:val="nil"/>
              <w:tl2br w:val="nil"/>
              <w:tr2bl w:val="nil"/>
            </w:tcBorders>
            <w:shd w:val="clear" w:color="auto" w:fill="FFFFFF"/>
            <w:tcMar>
              <w:left w:w="101" w:type="dxa"/>
              <w:right w:w="101" w:type="dxa"/>
            </w:tcMar>
            <w:vAlign w:val="bottom"/>
          </w:tcPr>
          <w:p w14:paraId="7C830060" w14:textId="77777777" w:rsidR="003F0EEA" w:rsidRPr="00E86335" w:rsidRDefault="00FB7D0B">
            <w:pPr>
              <w:rPr>
                <w:rFonts w:ascii="Arial" w:eastAsia="Arial" w:hAnsi="Arial" w:cs="Arial"/>
                <w:color w:val="000000"/>
                <w:sz w:val="16"/>
              </w:rPr>
            </w:pPr>
            <w:r w:rsidRPr="00E86335">
              <w:rPr>
                <w:rFonts w:ascii="Arial" w:eastAsia="Arial" w:hAnsi="Arial" w:cs="Arial"/>
                <w:b/>
                <w:color w:val="000000"/>
                <w:sz w:val="16"/>
              </w:rPr>
              <w:t>Total for Programme 2.2</w:t>
            </w:r>
          </w:p>
        </w:tc>
        <w:tc>
          <w:tcPr>
            <w:tcW w:w="1230"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48B257D6" w14:textId="77777777" w:rsidR="003F0EEA" w:rsidRPr="00E86335" w:rsidRDefault="00FB7D0B">
            <w:pPr>
              <w:jc w:val="right"/>
              <w:rPr>
                <w:rFonts w:ascii="Arial" w:eastAsia="Arial" w:hAnsi="Arial" w:cs="Arial"/>
                <w:color w:val="000000"/>
                <w:sz w:val="12"/>
                <w:vertAlign w:val="superscript"/>
              </w:rPr>
            </w:pPr>
            <w:r w:rsidRPr="00E86335">
              <w:rPr>
                <w:rFonts w:ascii="Arial" w:eastAsia="Arial" w:hAnsi="Arial" w:cs="Arial"/>
                <w:b/>
                <w:color w:val="000000"/>
                <w:sz w:val="16"/>
              </w:rPr>
              <w:t xml:space="preserve"> 1,660,549 </w:t>
            </w:r>
          </w:p>
        </w:tc>
        <w:tc>
          <w:tcPr>
            <w:tcW w:w="1230" w:type="dxa"/>
            <w:tcBorders>
              <w:top w:val="single" w:sz="6" w:space="0" w:color="000000"/>
              <w:left w:val="nil"/>
              <w:bottom w:val="single" w:sz="6" w:space="0" w:color="000000"/>
              <w:right w:val="nil"/>
              <w:tl2br w:val="nil"/>
              <w:tr2bl w:val="nil"/>
            </w:tcBorders>
            <w:shd w:val="clear" w:color="auto" w:fill="FFFF00"/>
            <w:tcMar>
              <w:left w:w="101" w:type="dxa"/>
              <w:right w:w="101" w:type="dxa"/>
            </w:tcMar>
            <w:vAlign w:val="bottom"/>
          </w:tcPr>
          <w:p w14:paraId="7CE09B68" w14:textId="77777777" w:rsidR="003F0EEA" w:rsidRPr="00E86335" w:rsidRDefault="00FB7D0B">
            <w:pPr>
              <w:jc w:val="right"/>
              <w:rPr>
                <w:rFonts w:ascii="Arial" w:eastAsia="Arial" w:hAnsi="Arial" w:cs="Arial"/>
                <w:b/>
                <w:color w:val="000000"/>
                <w:sz w:val="16"/>
              </w:rPr>
            </w:pPr>
            <w:r w:rsidRPr="00E86335">
              <w:rPr>
                <w:rFonts w:ascii="Arial" w:eastAsia="Arial" w:hAnsi="Arial" w:cs="Arial"/>
                <w:b/>
                <w:color w:val="000000"/>
                <w:sz w:val="16"/>
              </w:rPr>
              <w:t xml:space="preserve"> 1,625,212 </w:t>
            </w:r>
          </w:p>
        </w:tc>
      </w:tr>
      <w:tr w:rsidR="00724034" w14:paraId="1B0AE7BD" w14:textId="77777777">
        <w:trPr>
          <w:trHeight w:val="225"/>
        </w:trPr>
        <w:tc>
          <w:tcPr>
            <w:tcW w:w="285" w:type="dxa"/>
            <w:tcBorders>
              <w:top w:val="nil"/>
              <w:left w:val="nil"/>
              <w:bottom w:val="nil"/>
              <w:right w:val="nil"/>
              <w:tl2br w:val="nil"/>
              <w:tr2bl w:val="nil"/>
            </w:tcBorders>
            <w:shd w:val="clear" w:color="auto" w:fill="FFFFFF"/>
            <w:tcMar>
              <w:left w:w="101" w:type="dxa"/>
              <w:right w:w="101" w:type="dxa"/>
            </w:tcMar>
            <w:vAlign w:val="bottom"/>
          </w:tcPr>
          <w:p w14:paraId="381C3678" w14:textId="77777777" w:rsidR="003F0EEA" w:rsidRPr="00E86335" w:rsidRDefault="003F0EEA">
            <w:pPr>
              <w:rPr>
                <w:rFonts w:ascii="Arial" w:eastAsia="Arial" w:hAnsi="Arial" w:cs="Arial"/>
                <w:b/>
                <w:color w:val="000000"/>
                <w:sz w:val="16"/>
              </w:rPr>
            </w:pPr>
          </w:p>
        </w:tc>
        <w:tc>
          <w:tcPr>
            <w:tcW w:w="5325" w:type="dxa"/>
            <w:tcBorders>
              <w:top w:val="nil"/>
              <w:left w:val="nil"/>
              <w:bottom w:val="nil"/>
              <w:right w:val="nil"/>
              <w:tl2br w:val="nil"/>
              <w:tr2bl w:val="nil"/>
            </w:tcBorders>
            <w:shd w:val="clear" w:color="auto" w:fill="FFFFFF"/>
            <w:tcMar>
              <w:left w:w="101" w:type="dxa"/>
              <w:right w:w="101" w:type="dxa"/>
            </w:tcMar>
            <w:vAlign w:val="bottom"/>
          </w:tcPr>
          <w:p w14:paraId="2D625CE1" w14:textId="77777777" w:rsidR="003F0EEA" w:rsidRPr="00E86335" w:rsidRDefault="003F0EEA">
            <w:pPr>
              <w:rPr>
                <w:rFonts w:ascii="Arial" w:eastAsia="Arial" w:hAnsi="Arial" w:cs="Arial"/>
                <w:color w:val="000000"/>
                <w:sz w:val="16"/>
              </w:rPr>
            </w:pPr>
          </w:p>
        </w:tc>
        <w:tc>
          <w:tcPr>
            <w:tcW w:w="1230"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319201ED" w14:textId="77777777" w:rsidR="003F0EEA" w:rsidRPr="00E86335" w:rsidRDefault="003F0EEA">
            <w:pPr>
              <w:jc w:val="right"/>
              <w:rPr>
                <w:rFonts w:ascii="Arial" w:eastAsia="Arial" w:hAnsi="Arial" w:cs="Arial"/>
                <w:color w:val="000000"/>
                <w:sz w:val="12"/>
                <w:vertAlign w:val="superscript"/>
              </w:rPr>
            </w:pPr>
          </w:p>
        </w:tc>
        <w:tc>
          <w:tcPr>
            <w:tcW w:w="1230" w:type="dxa"/>
            <w:tcBorders>
              <w:top w:val="single" w:sz="6" w:space="0" w:color="000000"/>
              <w:left w:val="nil"/>
              <w:bottom w:val="nil"/>
              <w:right w:val="nil"/>
              <w:tl2br w:val="nil"/>
              <w:tr2bl w:val="nil"/>
            </w:tcBorders>
            <w:shd w:val="clear" w:color="auto" w:fill="FFFF00"/>
            <w:tcMar>
              <w:left w:w="101" w:type="dxa"/>
              <w:right w:w="101" w:type="dxa"/>
            </w:tcMar>
            <w:vAlign w:val="bottom"/>
          </w:tcPr>
          <w:p w14:paraId="4960A0F0" w14:textId="77777777" w:rsidR="003F0EEA" w:rsidRPr="00E86335" w:rsidRDefault="003F0EEA">
            <w:pPr>
              <w:jc w:val="right"/>
              <w:rPr>
                <w:rFonts w:ascii="Arial" w:eastAsia="Arial" w:hAnsi="Arial" w:cs="Arial"/>
                <w:color w:val="000000"/>
                <w:sz w:val="16"/>
                <w:vertAlign w:val="superscript"/>
              </w:rPr>
            </w:pPr>
          </w:p>
        </w:tc>
      </w:tr>
      <w:tr w:rsidR="00FB7D0B" w14:paraId="31B494A9" w14:textId="77777777" w:rsidTr="00FB7D0B">
        <w:trPr>
          <w:trHeight w:val="225"/>
        </w:trPr>
        <w:tc>
          <w:tcPr>
            <w:tcW w:w="5610" w:type="dxa"/>
            <w:gridSpan w:val="2"/>
            <w:tcBorders>
              <w:top w:val="nil"/>
              <w:left w:val="nil"/>
              <w:bottom w:val="nil"/>
              <w:right w:val="nil"/>
              <w:tl2br w:val="nil"/>
              <w:tr2bl w:val="nil"/>
            </w:tcBorders>
            <w:shd w:val="clear" w:color="auto" w:fill="FFFFFF"/>
            <w:tcMar>
              <w:left w:w="101" w:type="dxa"/>
              <w:right w:w="101" w:type="dxa"/>
            </w:tcMar>
            <w:vAlign w:val="bottom"/>
          </w:tcPr>
          <w:p w14:paraId="0C68FB41" w14:textId="77777777" w:rsidR="003F0EEA" w:rsidRPr="00E86335" w:rsidRDefault="00FB7D0B">
            <w:pPr>
              <w:rPr>
                <w:rFonts w:ascii="Arial" w:eastAsia="Arial" w:hAnsi="Arial" w:cs="Arial"/>
                <w:color w:val="000000"/>
                <w:sz w:val="16"/>
                <w:vertAlign w:val="superscript"/>
              </w:rPr>
            </w:pPr>
            <w:r w:rsidRPr="00E86335">
              <w:rPr>
                <w:rFonts w:ascii="Arial" w:eastAsia="Arial" w:hAnsi="Arial" w:cs="Arial"/>
                <w:b/>
                <w:color w:val="000000"/>
                <w:sz w:val="16"/>
              </w:rPr>
              <w:t>Programme 2.3:  Veterans' Pharmaceuticals Benefits</w:t>
            </w:r>
          </w:p>
        </w:tc>
        <w:tc>
          <w:tcPr>
            <w:tcW w:w="1230" w:type="dxa"/>
            <w:tcBorders>
              <w:top w:val="nil"/>
              <w:left w:val="nil"/>
              <w:bottom w:val="nil"/>
              <w:right w:val="nil"/>
              <w:tl2br w:val="nil"/>
              <w:tr2bl w:val="nil"/>
            </w:tcBorders>
            <w:shd w:val="clear" w:color="auto" w:fill="FFFFFF"/>
            <w:tcMar>
              <w:left w:w="101" w:type="dxa"/>
              <w:right w:w="101" w:type="dxa"/>
            </w:tcMar>
            <w:vAlign w:val="bottom"/>
          </w:tcPr>
          <w:p w14:paraId="327BABEE" w14:textId="77777777" w:rsidR="003F0EEA" w:rsidRPr="00E86335" w:rsidRDefault="003F0EEA">
            <w:pPr>
              <w:jc w:val="right"/>
              <w:rPr>
                <w:rFonts w:ascii="Arial" w:eastAsia="Arial" w:hAnsi="Arial" w:cs="Arial"/>
                <w:color w:val="000000"/>
                <w:sz w:val="12"/>
                <w:vertAlign w:val="superscript"/>
              </w:rPr>
            </w:pPr>
          </w:p>
        </w:tc>
        <w:tc>
          <w:tcPr>
            <w:tcW w:w="1230" w:type="dxa"/>
            <w:tcBorders>
              <w:top w:val="nil"/>
              <w:left w:val="nil"/>
              <w:bottom w:val="nil"/>
              <w:right w:val="nil"/>
              <w:tl2br w:val="nil"/>
              <w:tr2bl w:val="nil"/>
            </w:tcBorders>
            <w:shd w:val="clear" w:color="auto" w:fill="FFFF00"/>
            <w:tcMar>
              <w:left w:w="101" w:type="dxa"/>
              <w:right w:w="101" w:type="dxa"/>
            </w:tcMar>
            <w:vAlign w:val="bottom"/>
          </w:tcPr>
          <w:p w14:paraId="4D7F8F98" w14:textId="77777777" w:rsidR="003F0EEA" w:rsidRPr="00E86335" w:rsidRDefault="003F0EEA">
            <w:pPr>
              <w:jc w:val="right"/>
              <w:rPr>
                <w:rFonts w:ascii="Arial" w:eastAsia="Arial" w:hAnsi="Arial" w:cs="Arial"/>
                <w:color w:val="000000"/>
                <w:sz w:val="16"/>
                <w:vertAlign w:val="superscript"/>
              </w:rPr>
            </w:pPr>
          </w:p>
        </w:tc>
      </w:tr>
      <w:tr w:rsidR="00FB7D0B" w14:paraId="02BCD2C5" w14:textId="77777777" w:rsidTr="00FB7D0B">
        <w:trPr>
          <w:trHeight w:val="225"/>
        </w:trPr>
        <w:tc>
          <w:tcPr>
            <w:tcW w:w="5610" w:type="dxa"/>
            <w:gridSpan w:val="2"/>
            <w:tcBorders>
              <w:top w:val="nil"/>
              <w:left w:val="nil"/>
              <w:bottom w:val="nil"/>
              <w:right w:val="nil"/>
              <w:tl2br w:val="nil"/>
              <w:tr2bl w:val="nil"/>
            </w:tcBorders>
            <w:shd w:val="clear" w:color="auto" w:fill="FFFFFF"/>
            <w:tcMar>
              <w:left w:w="101" w:type="dxa"/>
              <w:right w:w="101" w:type="dxa"/>
            </w:tcMar>
            <w:vAlign w:val="bottom"/>
          </w:tcPr>
          <w:p w14:paraId="77B7D415" w14:textId="77777777" w:rsidR="003F0EEA" w:rsidRPr="00E86335" w:rsidRDefault="00FB7D0B">
            <w:pPr>
              <w:rPr>
                <w:rFonts w:ascii="Arial" w:eastAsia="Arial" w:hAnsi="Arial" w:cs="Arial"/>
                <w:color w:val="000000"/>
                <w:sz w:val="16"/>
                <w:vertAlign w:val="superscript"/>
              </w:rPr>
            </w:pPr>
            <w:r w:rsidRPr="00E86335">
              <w:rPr>
                <w:rFonts w:ascii="Arial" w:eastAsia="Arial" w:hAnsi="Arial" w:cs="Arial"/>
                <w:color w:val="000000"/>
                <w:sz w:val="16"/>
              </w:rPr>
              <w:t>Administered Expenses</w:t>
            </w:r>
          </w:p>
        </w:tc>
        <w:tc>
          <w:tcPr>
            <w:tcW w:w="1230" w:type="dxa"/>
            <w:tcBorders>
              <w:top w:val="nil"/>
              <w:left w:val="nil"/>
              <w:bottom w:val="nil"/>
              <w:right w:val="nil"/>
              <w:tl2br w:val="nil"/>
              <w:tr2bl w:val="nil"/>
            </w:tcBorders>
            <w:shd w:val="clear" w:color="auto" w:fill="FFFFFF"/>
            <w:tcMar>
              <w:left w:w="101" w:type="dxa"/>
              <w:right w:w="101" w:type="dxa"/>
            </w:tcMar>
            <w:vAlign w:val="bottom"/>
          </w:tcPr>
          <w:p w14:paraId="62502EC6" w14:textId="77777777" w:rsidR="003F0EEA" w:rsidRPr="00E86335" w:rsidRDefault="003F0EEA">
            <w:pPr>
              <w:jc w:val="right"/>
              <w:rPr>
                <w:rFonts w:ascii="Arial" w:eastAsia="Arial" w:hAnsi="Arial" w:cs="Arial"/>
                <w:color w:val="000000"/>
                <w:sz w:val="12"/>
                <w:vertAlign w:val="superscript"/>
              </w:rPr>
            </w:pPr>
          </w:p>
        </w:tc>
        <w:tc>
          <w:tcPr>
            <w:tcW w:w="1230" w:type="dxa"/>
            <w:tcBorders>
              <w:top w:val="nil"/>
              <w:left w:val="nil"/>
              <w:bottom w:val="nil"/>
              <w:right w:val="nil"/>
              <w:tl2br w:val="nil"/>
              <w:tr2bl w:val="nil"/>
            </w:tcBorders>
            <w:shd w:val="clear" w:color="auto" w:fill="FFFF00"/>
            <w:tcMar>
              <w:left w:w="101" w:type="dxa"/>
              <w:right w:w="101" w:type="dxa"/>
            </w:tcMar>
            <w:vAlign w:val="bottom"/>
          </w:tcPr>
          <w:p w14:paraId="391F5997" w14:textId="77777777" w:rsidR="003F0EEA" w:rsidRPr="00E86335" w:rsidRDefault="003F0EEA">
            <w:pPr>
              <w:jc w:val="right"/>
              <w:rPr>
                <w:rFonts w:ascii="Arial" w:eastAsia="Arial" w:hAnsi="Arial" w:cs="Arial"/>
                <w:color w:val="000000"/>
                <w:sz w:val="16"/>
                <w:vertAlign w:val="superscript"/>
              </w:rPr>
            </w:pPr>
          </w:p>
        </w:tc>
      </w:tr>
      <w:tr w:rsidR="00724034" w14:paraId="427CA877" w14:textId="77777777">
        <w:trPr>
          <w:trHeight w:val="225"/>
        </w:trPr>
        <w:tc>
          <w:tcPr>
            <w:tcW w:w="285" w:type="dxa"/>
            <w:tcBorders>
              <w:top w:val="nil"/>
              <w:left w:val="nil"/>
              <w:bottom w:val="nil"/>
              <w:right w:val="nil"/>
              <w:tl2br w:val="nil"/>
              <w:tr2bl w:val="nil"/>
            </w:tcBorders>
            <w:shd w:val="clear" w:color="auto" w:fill="FFFFFF"/>
            <w:tcMar>
              <w:left w:w="101" w:type="dxa"/>
              <w:right w:w="101" w:type="dxa"/>
            </w:tcMar>
            <w:vAlign w:val="bottom"/>
          </w:tcPr>
          <w:p w14:paraId="20EE8C09" w14:textId="77777777" w:rsidR="003F0EEA" w:rsidRPr="00E86335" w:rsidRDefault="003F0EEA">
            <w:pPr>
              <w:rPr>
                <w:rFonts w:ascii="Arial" w:eastAsia="Arial" w:hAnsi="Arial" w:cs="Arial"/>
                <w:color w:val="000000"/>
                <w:sz w:val="16"/>
                <w:vertAlign w:val="superscript"/>
              </w:rPr>
            </w:pPr>
          </w:p>
        </w:tc>
        <w:tc>
          <w:tcPr>
            <w:tcW w:w="5325" w:type="dxa"/>
            <w:tcBorders>
              <w:top w:val="nil"/>
              <w:left w:val="nil"/>
              <w:bottom w:val="nil"/>
              <w:right w:val="nil"/>
              <w:tl2br w:val="nil"/>
              <w:tr2bl w:val="nil"/>
            </w:tcBorders>
            <w:shd w:val="clear" w:color="auto" w:fill="FFFFFF"/>
            <w:tcMar>
              <w:left w:w="101" w:type="dxa"/>
              <w:right w:w="101" w:type="dxa"/>
            </w:tcMar>
            <w:vAlign w:val="bottom"/>
          </w:tcPr>
          <w:p w14:paraId="7A7EFF26" w14:textId="77777777" w:rsidR="003F0EEA" w:rsidRPr="00E86335" w:rsidRDefault="00FB7D0B">
            <w:pPr>
              <w:rPr>
                <w:rFonts w:ascii="Arial" w:eastAsia="Arial" w:hAnsi="Arial" w:cs="Arial"/>
                <w:color w:val="000000"/>
                <w:sz w:val="16"/>
                <w:vertAlign w:val="superscript"/>
              </w:rPr>
            </w:pPr>
            <w:r w:rsidRPr="00E86335">
              <w:rPr>
                <w:rFonts w:ascii="Arial" w:eastAsia="Arial" w:hAnsi="Arial" w:cs="Arial"/>
                <w:color w:val="000000"/>
                <w:sz w:val="16"/>
              </w:rPr>
              <w:t>Ordinary annual services (Appropriation Bill No. 1)</w:t>
            </w:r>
          </w:p>
        </w:tc>
        <w:tc>
          <w:tcPr>
            <w:tcW w:w="1230" w:type="dxa"/>
            <w:tcBorders>
              <w:top w:val="nil"/>
              <w:left w:val="nil"/>
              <w:bottom w:val="nil"/>
              <w:right w:val="nil"/>
              <w:tl2br w:val="nil"/>
              <w:tr2bl w:val="nil"/>
            </w:tcBorders>
            <w:shd w:val="clear" w:color="auto" w:fill="FFFFFF"/>
            <w:tcMar>
              <w:left w:w="101" w:type="dxa"/>
              <w:right w:w="101" w:type="dxa"/>
            </w:tcMar>
            <w:vAlign w:val="bottom"/>
          </w:tcPr>
          <w:p w14:paraId="750F4964" w14:textId="77777777" w:rsidR="003F0EEA" w:rsidRPr="00E86335" w:rsidRDefault="00FB7D0B">
            <w:pPr>
              <w:jc w:val="right"/>
              <w:rPr>
                <w:rFonts w:ascii="Arial" w:eastAsia="Arial" w:hAnsi="Arial" w:cs="Arial"/>
                <w:color w:val="000000"/>
                <w:sz w:val="12"/>
                <w:vertAlign w:val="superscript"/>
              </w:rPr>
            </w:pPr>
            <w:r w:rsidRPr="00E86335">
              <w:rPr>
                <w:rFonts w:ascii="Arial" w:eastAsia="Arial" w:hAnsi="Arial" w:cs="Arial"/>
                <w:color w:val="000000"/>
                <w:sz w:val="16"/>
              </w:rPr>
              <w:t xml:space="preserve"> - </w:t>
            </w:r>
          </w:p>
        </w:tc>
        <w:tc>
          <w:tcPr>
            <w:tcW w:w="1230" w:type="dxa"/>
            <w:tcBorders>
              <w:top w:val="nil"/>
              <w:left w:val="nil"/>
              <w:bottom w:val="nil"/>
              <w:right w:val="nil"/>
              <w:tl2br w:val="nil"/>
              <w:tr2bl w:val="nil"/>
            </w:tcBorders>
            <w:shd w:val="clear" w:color="auto" w:fill="FFFF00"/>
            <w:tcMar>
              <w:left w:w="101" w:type="dxa"/>
              <w:right w:w="101" w:type="dxa"/>
            </w:tcMar>
            <w:vAlign w:val="bottom"/>
          </w:tcPr>
          <w:p w14:paraId="667F7371" w14:textId="77777777" w:rsidR="003F0EEA" w:rsidRPr="00E86335" w:rsidRDefault="00FB7D0B">
            <w:pPr>
              <w:jc w:val="right"/>
              <w:rPr>
                <w:rFonts w:ascii="Arial" w:eastAsia="Arial" w:hAnsi="Arial" w:cs="Arial"/>
                <w:color w:val="000000"/>
                <w:sz w:val="16"/>
              </w:rPr>
            </w:pPr>
            <w:r w:rsidRPr="00E86335">
              <w:rPr>
                <w:rFonts w:ascii="Arial" w:eastAsia="Arial" w:hAnsi="Arial" w:cs="Arial"/>
                <w:color w:val="000000"/>
                <w:sz w:val="16"/>
              </w:rPr>
              <w:t xml:space="preserve"> - </w:t>
            </w:r>
          </w:p>
        </w:tc>
      </w:tr>
      <w:tr w:rsidR="00724034" w14:paraId="58565478" w14:textId="77777777">
        <w:trPr>
          <w:trHeight w:val="225"/>
        </w:trPr>
        <w:tc>
          <w:tcPr>
            <w:tcW w:w="285" w:type="dxa"/>
            <w:tcBorders>
              <w:top w:val="nil"/>
              <w:left w:val="nil"/>
              <w:bottom w:val="nil"/>
              <w:right w:val="nil"/>
              <w:tl2br w:val="nil"/>
              <w:tr2bl w:val="nil"/>
            </w:tcBorders>
            <w:shd w:val="clear" w:color="auto" w:fill="FFFFFF"/>
            <w:tcMar>
              <w:left w:w="101" w:type="dxa"/>
              <w:right w:w="101" w:type="dxa"/>
            </w:tcMar>
            <w:vAlign w:val="bottom"/>
          </w:tcPr>
          <w:p w14:paraId="4357C515" w14:textId="77777777" w:rsidR="003F0EEA" w:rsidRPr="00E86335" w:rsidRDefault="003F0EEA">
            <w:pPr>
              <w:rPr>
                <w:rFonts w:ascii="Arial" w:eastAsia="Arial" w:hAnsi="Arial" w:cs="Arial"/>
                <w:color w:val="000000"/>
                <w:sz w:val="16"/>
              </w:rPr>
            </w:pPr>
          </w:p>
        </w:tc>
        <w:tc>
          <w:tcPr>
            <w:tcW w:w="5325" w:type="dxa"/>
            <w:tcBorders>
              <w:top w:val="nil"/>
              <w:left w:val="nil"/>
              <w:bottom w:val="nil"/>
              <w:right w:val="nil"/>
              <w:tl2br w:val="nil"/>
              <w:tr2bl w:val="nil"/>
            </w:tcBorders>
            <w:shd w:val="clear" w:color="auto" w:fill="FFFFFF"/>
            <w:tcMar>
              <w:left w:w="101" w:type="dxa"/>
              <w:right w:w="101" w:type="dxa"/>
            </w:tcMar>
            <w:vAlign w:val="bottom"/>
          </w:tcPr>
          <w:p w14:paraId="19308708" w14:textId="77777777" w:rsidR="003F0EEA" w:rsidRPr="00E86335" w:rsidRDefault="00FB7D0B">
            <w:pPr>
              <w:rPr>
                <w:rFonts w:ascii="Arial" w:eastAsia="Arial" w:hAnsi="Arial" w:cs="Arial"/>
                <w:color w:val="000000"/>
                <w:sz w:val="16"/>
              </w:rPr>
            </w:pPr>
            <w:r w:rsidRPr="00E86335">
              <w:rPr>
                <w:rFonts w:ascii="Arial" w:eastAsia="Arial" w:hAnsi="Arial" w:cs="Arial"/>
                <w:color w:val="000000"/>
                <w:sz w:val="16"/>
              </w:rPr>
              <w:t>Other services (Appropriation Bill No. 2)</w:t>
            </w:r>
          </w:p>
        </w:tc>
        <w:tc>
          <w:tcPr>
            <w:tcW w:w="1230" w:type="dxa"/>
            <w:tcBorders>
              <w:top w:val="nil"/>
              <w:left w:val="nil"/>
              <w:bottom w:val="nil"/>
              <w:right w:val="nil"/>
              <w:tl2br w:val="nil"/>
              <w:tr2bl w:val="nil"/>
            </w:tcBorders>
            <w:shd w:val="clear" w:color="auto" w:fill="FFFFFF"/>
            <w:tcMar>
              <w:left w:w="101" w:type="dxa"/>
              <w:right w:w="101" w:type="dxa"/>
            </w:tcMar>
            <w:vAlign w:val="bottom"/>
          </w:tcPr>
          <w:p w14:paraId="75B8ED8F" w14:textId="77777777" w:rsidR="003F0EEA" w:rsidRPr="00E86335" w:rsidRDefault="00FB7D0B">
            <w:pPr>
              <w:jc w:val="right"/>
              <w:rPr>
                <w:rFonts w:ascii="Arial" w:eastAsia="Arial" w:hAnsi="Arial" w:cs="Arial"/>
                <w:color w:val="000000"/>
                <w:sz w:val="12"/>
                <w:vertAlign w:val="superscript"/>
              </w:rPr>
            </w:pPr>
            <w:r w:rsidRPr="00E86335">
              <w:rPr>
                <w:rFonts w:ascii="Arial" w:eastAsia="Arial" w:hAnsi="Arial" w:cs="Arial"/>
                <w:color w:val="000000"/>
                <w:sz w:val="16"/>
              </w:rPr>
              <w:t xml:space="preserve"> - </w:t>
            </w:r>
          </w:p>
        </w:tc>
        <w:tc>
          <w:tcPr>
            <w:tcW w:w="1230" w:type="dxa"/>
            <w:tcBorders>
              <w:top w:val="nil"/>
              <w:left w:val="nil"/>
              <w:bottom w:val="nil"/>
              <w:right w:val="nil"/>
              <w:tl2br w:val="nil"/>
              <w:tr2bl w:val="nil"/>
            </w:tcBorders>
            <w:shd w:val="clear" w:color="auto" w:fill="FFFF00"/>
            <w:tcMar>
              <w:left w:w="101" w:type="dxa"/>
              <w:right w:w="101" w:type="dxa"/>
            </w:tcMar>
            <w:vAlign w:val="bottom"/>
          </w:tcPr>
          <w:p w14:paraId="527E74DE" w14:textId="77777777" w:rsidR="003F0EEA" w:rsidRPr="00E86335" w:rsidRDefault="00FB7D0B">
            <w:pPr>
              <w:jc w:val="right"/>
              <w:rPr>
                <w:rFonts w:ascii="Arial" w:eastAsia="Arial" w:hAnsi="Arial" w:cs="Arial"/>
                <w:color w:val="000000"/>
                <w:sz w:val="16"/>
              </w:rPr>
            </w:pPr>
            <w:r w:rsidRPr="00E86335">
              <w:rPr>
                <w:rFonts w:ascii="Arial" w:eastAsia="Arial" w:hAnsi="Arial" w:cs="Arial"/>
                <w:color w:val="000000"/>
                <w:sz w:val="16"/>
              </w:rPr>
              <w:t xml:space="preserve"> - </w:t>
            </w:r>
          </w:p>
        </w:tc>
      </w:tr>
      <w:tr w:rsidR="00724034" w14:paraId="4F528092" w14:textId="77777777">
        <w:trPr>
          <w:trHeight w:val="225"/>
        </w:trPr>
        <w:tc>
          <w:tcPr>
            <w:tcW w:w="285" w:type="dxa"/>
            <w:tcBorders>
              <w:top w:val="nil"/>
              <w:left w:val="nil"/>
              <w:bottom w:val="nil"/>
              <w:right w:val="nil"/>
              <w:tl2br w:val="nil"/>
              <w:tr2bl w:val="nil"/>
            </w:tcBorders>
            <w:shd w:val="clear" w:color="auto" w:fill="FFFFFF"/>
            <w:tcMar>
              <w:left w:w="101" w:type="dxa"/>
              <w:right w:w="101" w:type="dxa"/>
            </w:tcMar>
            <w:vAlign w:val="bottom"/>
          </w:tcPr>
          <w:p w14:paraId="02F3680C" w14:textId="77777777" w:rsidR="003F0EEA" w:rsidRPr="00E86335" w:rsidRDefault="003F0EEA">
            <w:pPr>
              <w:rPr>
                <w:rFonts w:ascii="Arial" w:eastAsia="Arial" w:hAnsi="Arial" w:cs="Arial"/>
                <w:color w:val="000000"/>
                <w:sz w:val="16"/>
              </w:rPr>
            </w:pPr>
          </w:p>
        </w:tc>
        <w:tc>
          <w:tcPr>
            <w:tcW w:w="5325" w:type="dxa"/>
            <w:tcBorders>
              <w:top w:val="nil"/>
              <w:left w:val="nil"/>
              <w:bottom w:val="nil"/>
              <w:right w:val="nil"/>
              <w:tl2br w:val="nil"/>
              <w:tr2bl w:val="nil"/>
            </w:tcBorders>
            <w:shd w:val="clear" w:color="auto" w:fill="FFFFFF"/>
            <w:tcMar>
              <w:left w:w="101" w:type="dxa"/>
              <w:right w:w="101" w:type="dxa"/>
            </w:tcMar>
            <w:vAlign w:val="bottom"/>
          </w:tcPr>
          <w:p w14:paraId="4EEB4FC7" w14:textId="77777777" w:rsidR="003F0EEA" w:rsidRPr="00E86335" w:rsidRDefault="00FB7D0B">
            <w:pPr>
              <w:rPr>
                <w:rFonts w:ascii="Arial" w:eastAsia="Arial" w:hAnsi="Arial" w:cs="Arial"/>
                <w:color w:val="000000"/>
                <w:sz w:val="16"/>
              </w:rPr>
            </w:pPr>
            <w:r w:rsidRPr="00E86335">
              <w:rPr>
                <w:rFonts w:ascii="Arial" w:eastAsia="Arial" w:hAnsi="Arial" w:cs="Arial"/>
                <w:color w:val="000000"/>
                <w:sz w:val="16"/>
              </w:rPr>
              <w:t>Special Appropriations</w:t>
            </w:r>
          </w:p>
        </w:tc>
        <w:tc>
          <w:tcPr>
            <w:tcW w:w="1230" w:type="dxa"/>
            <w:tcBorders>
              <w:top w:val="nil"/>
              <w:left w:val="nil"/>
              <w:bottom w:val="nil"/>
              <w:right w:val="nil"/>
              <w:tl2br w:val="nil"/>
              <w:tr2bl w:val="nil"/>
            </w:tcBorders>
            <w:shd w:val="clear" w:color="auto" w:fill="FFFFFF"/>
            <w:tcMar>
              <w:left w:w="101" w:type="dxa"/>
              <w:right w:w="101" w:type="dxa"/>
            </w:tcMar>
            <w:vAlign w:val="bottom"/>
          </w:tcPr>
          <w:p w14:paraId="346060B5" w14:textId="77777777" w:rsidR="003F0EEA" w:rsidRPr="00E86335" w:rsidRDefault="00FB7D0B">
            <w:pPr>
              <w:jc w:val="right"/>
              <w:rPr>
                <w:rFonts w:ascii="Arial" w:eastAsia="Arial" w:hAnsi="Arial" w:cs="Arial"/>
                <w:color w:val="000000"/>
                <w:sz w:val="12"/>
                <w:vertAlign w:val="superscript"/>
              </w:rPr>
            </w:pPr>
            <w:r w:rsidRPr="00E86335">
              <w:rPr>
                <w:rFonts w:ascii="Arial" w:eastAsia="Arial" w:hAnsi="Arial" w:cs="Arial"/>
                <w:color w:val="000000"/>
                <w:sz w:val="16"/>
              </w:rPr>
              <w:t xml:space="preserve"> 406,200 </w:t>
            </w:r>
          </w:p>
        </w:tc>
        <w:tc>
          <w:tcPr>
            <w:tcW w:w="1230" w:type="dxa"/>
            <w:tcBorders>
              <w:top w:val="nil"/>
              <w:left w:val="nil"/>
              <w:bottom w:val="nil"/>
              <w:right w:val="nil"/>
              <w:tl2br w:val="nil"/>
              <w:tr2bl w:val="nil"/>
            </w:tcBorders>
            <w:shd w:val="clear" w:color="auto" w:fill="FFFF00"/>
            <w:tcMar>
              <w:left w:w="101" w:type="dxa"/>
              <w:right w:w="101" w:type="dxa"/>
            </w:tcMar>
            <w:vAlign w:val="bottom"/>
          </w:tcPr>
          <w:p w14:paraId="706AE14F" w14:textId="77777777" w:rsidR="003F0EEA" w:rsidRPr="00E86335" w:rsidRDefault="00FB7D0B">
            <w:pPr>
              <w:jc w:val="right"/>
              <w:rPr>
                <w:rFonts w:ascii="Arial" w:eastAsia="Arial" w:hAnsi="Arial" w:cs="Arial"/>
                <w:color w:val="000000"/>
                <w:sz w:val="16"/>
              </w:rPr>
            </w:pPr>
            <w:r w:rsidRPr="00E86335">
              <w:rPr>
                <w:rFonts w:ascii="Arial" w:eastAsia="Arial" w:hAnsi="Arial" w:cs="Arial"/>
                <w:color w:val="000000"/>
                <w:sz w:val="16"/>
              </w:rPr>
              <w:t xml:space="preserve"> 389,835 </w:t>
            </w:r>
          </w:p>
        </w:tc>
      </w:tr>
      <w:tr w:rsidR="00724034" w14:paraId="2EFFEF5E" w14:textId="77777777">
        <w:trPr>
          <w:trHeight w:val="225"/>
        </w:trPr>
        <w:tc>
          <w:tcPr>
            <w:tcW w:w="285" w:type="dxa"/>
            <w:tcBorders>
              <w:top w:val="nil"/>
              <w:left w:val="nil"/>
              <w:bottom w:val="nil"/>
              <w:right w:val="nil"/>
              <w:tl2br w:val="nil"/>
              <w:tr2bl w:val="nil"/>
            </w:tcBorders>
            <w:shd w:val="clear" w:color="auto" w:fill="FFFFFF"/>
            <w:tcMar>
              <w:left w:w="101" w:type="dxa"/>
              <w:right w:w="101" w:type="dxa"/>
            </w:tcMar>
            <w:vAlign w:val="bottom"/>
          </w:tcPr>
          <w:p w14:paraId="2B1B3808" w14:textId="77777777" w:rsidR="003F0EEA" w:rsidRPr="00E86335" w:rsidRDefault="003F0EEA">
            <w:pPr>
              <w:rPr>
                <w:rFonts w:ascii="Arial" w:eastAsia="Arial" w:hAnsi="Arial" w:cs="Arial"/>
                <w:color w:val="000000"/>
                <w:sz w:val="16"/>
              </w:rPr>
            </w:pPr>
          </w:p>
        </w:tc>
        <w:tc>
          <w:tcPr>
            <w:tcW w:w="5325" w:type="dxa"/>
            <w:tcBorders>
              <w:top w:val="nil"/>
              <w:left w:val="nil"/>
              <w:bottom w:val="nil"/>
              <w:right w:val="nil"/>
              <w:tl2br w:val="nil"/>
              <w:tr2bl w:val="nil"/>
            </w:tcBorders>
            <w:shd w:val="clear" w:color="auto" w:fill="FFFFFF"/>
            <w:tcMar>
              <w:left w:w="101" w:type="dxa"/>
              <w:right w:w="101" w:type="dxa"/>
            </w:tcMar>
            <w:vAlign w:val="bottom"/>
          </w:tcPr>
          <w:p w14:paraId="4E416053" w14:textId="77777777" w:rsidR="003F0EEA" w:rsidRPr="00E86335" w:rsidRDefault="00FB7D0B">
            <w:pPr>
              <w:rPr>
                <w:rFonts w:ascii="Arial" w:eastAsia="Arial" w:hAnsi="Arial" w:cs="Arial"/>
                <w:color w:val="000000"/>
                <w:sz w:val="16"/>
              </w:rPr>
            </w:pPr>
            <w:r w:rsidRPr="00E86335">
              <w:rPr>
                <w:rFonts w:ascii="Arial" w:eastAsia="Arial" w:hAnsi="Arial" w:cs="Arial"/>
                <w:color w:val="000000"/>
                <w:sz w:val="16"/>
              </w:rPr>
              <w:t>Special Accounts</w:t>
            </w:r>
          </w:p>
        </w:tc>
        <w:tc>
          <w:tcPr>
            <w:tcW w:w="1230" w:type="dxa"/>
            <w:tcBorders>
              <w:top w:val="nil"/>
              <w:left w:val="nil"/>
              <w:bottom w:val="nil"/>
              <w:right w:val="nil"/>
              <w:tl2br w:val="nil"/>
              <w:tr2bl w:val="nil"/>
            </w:tcBorders>
            <w:shd w:val="clear" w:color="auto" w:fill="FFFFFF"/>
            <w:tcMar>
              <w:left w:w="101" w:type="dxa"/>
              <w:right w:w="101" w:type="dxa"/>
            </w:tcMar>
            <w:vAlign w:val="bottom"/>
          </w:tcPr>
          <w:p w14:paraId="3D192CB0" w14:textId="77777777" w:rsidR="003F0EEA" w:rsidRPr="00E86335" w:rsidRDefault="00FB7D0B">
            <w:pPr>
              <w:jc w:val="right"/>
              <w:rPr>
                <w:rFonts w:ascii="Arial" w:eastAsia="Arial" w:hAnsi="Arial" w:cs="Arial"/>
                <w:color w:val="000000"/>
                <w:sz w:val="12"/>
                <w:vertAlign w:val="superscript"/>
              </w:rPr>
            </w:pPr>
            <w:r w:rsidRPr="00E86335">
              <w:rPr>
                <w:rFonts w:ascii="Arial" w:eastAsia="Arial" w:hAnsi="Arial" w:cs="Arial"/>
                <w:color w:val="000000"/>
                <w:sz w:val="16"/>
              </w:rPr>
              <w:t xml:space="preserve"> - </w:t>
            </w:r>
          </w:p>
        </w:tc>
        <w:tc>
          <w:tcPr>
            <w:tcW w:w="1230" w:type="dxa"/>
            <w:tcBorders>
              <w:top w:val="nil"/>
              <w:left w:val="nil"/>
              <w:bottom w:val="nil"/>
              <w:right w:val="nil"/>
              <w:tl2br w:val="nil"/>
              <w:tr2bl w:val="nil"/>
            </w:tcBorders>
            <w:shd w:val="clear" w:color="auto" w:fill="FFFF00"/>
            <w:tcMar>
              <w:left w:w="101" w:type="dxa"/>
              <w:right w:w="101" w:type="dxa"/>
            </w:tcMar>
            <w:vAlign w:val="bottom"/>
          </w:tcPr>
          <w:p w14:paraId="09D4424B" w14:textId="77777777" w:rsidR="003F0EEA" w:rsidRPr="00E86335" w:rsidRDefault="00FB7D0B">
            <w:pPr>
              <w:jc w:val="right"/>
              <w:rPr>
                <w:rFonts w:ascii="Arial" w:eastAsia="Arial" w:hAnsi="Arial" w:cs="Arial"/>
                <w:color w:val="000000"/>
                <w:sz w:val="16"/>
              </w:rPr>
            </w:pPr>
            <w:r w:rsidRPr="00E86335">
              <w:rPr>
                <w:rFonts w:ascii="Arial" w:eastAsia="Arial" w:hAnsi="Arial" w:cs="Arial"/>
                <w:color w:val="000000"/>
                <w:sz w:val="16"/>
              </w:rPr>
              <w:t xml:space="preserve"> - </w:t>
            </w:r>
          </w:p>
        </w:tc>
      </w:tr>
      <w:tr w:rsidR="00FB7D0B" w14:paraId="1D47879D" w14:textId="77777777" w:rsidTr="00FB7D0B">
        <w:trPr>
          <w:trHeight w:val="225"/>
        </w:trPr>
        <w:tc>
          <w:tcPr>
            <w:tcW w:w="5610" w:type="dxa"/>
            <w:gridSpan w:val="2"/>
            <w:tcBorders>
              <w:top w:val="nil"/>
              <w:left w:val="nil"/>
              <w:bottom w:val="nil"/>
              <w:right w:val="nil"/>
              <w:tl2br w:val="nil"/>
              <w:tr2bl w:val="nil"/>
            </w:tcBorders>
            <w:shd w:val="clear" w:color="auto" w:fill="FFFFFF"/>
            <w:tcMar>
              <w:left w:w="101" w:type="dxa"/>
              <w:right w:w="101" w:type="dxa"/>
            </w:tcMar>
            <w:vAlign w:val="bottom"/>
          </w:tcPr>
          <w:p w14:paraId="2B8EC4DD" w14:textId="77777777" w:rsidR="003F0EEA" w:rsidRPr="00E86335" w:rsidRDefault="00FB7D0B">
            <w:pPr>
              <w:rPr>
                <w:rFonts w:ascii="Arial" w:eastAsia="Arial" w:hAnsi="Arial" w:cs="Arial"/>
                <w:color w:val="000000"/>
                <w:sz w:val="16"/>
              </w:rPr>
            </w:pPr>
            <w:r w:rsidRPr="00E86335">
              <w:rPr>
                <w:rFonts w:ascii="Arial" w:eastAsia="Arial" w:hAnsi="Arial" w:cs="Arial"/>
                <w:color w:val="000000"/>
                <w:sz w:val="16"/>
              </w:rPr>
              <w:t>Departmental Expenses</w:t>
            </w:r>
          </w:p>
        </w:tc>
        <w:tc>
          <w:tcPr>
            <w:tcW w:w="1230" w:type="dxa"/>
            <w:tcBorders>
              <w:top w:val="nil"/>
              <w:left w:val="nil"/>
              <w:bottom w:val="nil"/>
              <w:right w:val="nil"/>
              <w:tl2br w:val="nil"/>
              <w:tr2bl w:val="nil"/>
            </w:tcBorders>
            <w:shd w:val="clear" w:color="auto" w:fill="FFFFFF"/>
            <w:tcMar>
              <w:left w:w="101" w:type="dxa"/>
              <w:right w:w="101" w:type="dxa"/>
            </w:tcMar>
            <w:vAlign w:val="bottom"/>
          </w:tcPr>
          <w:p w14:paraId="1F23125A" w14:textId="77777777" w:rsidR="003F0EEA" w:rsidRPr="00E86335" w:rsidRDefault="003F0EEA">
            <w:pPr>
              <w:jc w:val="right"/>
              <w:rPr>
                <w:rFonts w:ascii="Arial" w:eastAsia="Arial" w:hAnsi="Arial" w:cs="Arial"/>
                <w:color w:val="000000"/>
                <w:sz w:val="12"/>
                <w:vertAlign w:val="superscript"/>
              </w:rPr>
            </w:pPr>
          </w:p>
        </w:tc>
        <w:tc>
          <w:tcPr>
            <w:tcW w:w="1230" w:type="dxa"/>
            <w:tcBorders>
              <w:top w:val="nil"/>
              <w:left w:val="nil"/>
              <w:bottom w:val="nil"/>
              <w:right w:val="nil"/>
              <w:tl2br w:val="nil"/>
              <w:tr2bl w:val="nil"/>
            </w:tcBorders>
            <w:shd w:val="clear" w:color="auto" w:fill="FFFF00"/>
            <w:tcMar>
              <w:left w:w="101" w:type="dxa"/>
              <w:right w:w="101" w:type="dxa"/>
            </w:tcMar>
            <w:vAlign w:val="bottom"/>
          </w:tcPr>
          <w:p w14:paraId="1F83C5CA" w14:textId="77777777" w:rsidR="003F0EEA" w:rsidRPr="00E86335" w:rsidRDefault="003F0EEA">
            <w:pPr>
              <w:jc w:val="right"/>
              <w:rPr>
                <w:rFonts w:ascii="Arial" w:eastAsia="Arial" w:hAnsi="Arial" w:cs="Arial"/>
                <w:color w:val="000000"/>
                <w:sz w:val="16"/>
                <w:vertAlign w:val="superscript"/>
              </w:rPr>
            </w:pPr>
          </w:p>
        </w:tc>
      </w:tr>
      <w:tr w:rsidR="00724034" w14:paraId="15604E7C" w14:textId="77777777">
        <w:trPr>
          <w:trHeight w:val="225"/>
        </w:trPr>
        <w:tc>
          <w:tcPr>
            <w:tcW w:w="285" w:type="dxa"/>
            <w:tcBorders>
              <w:top w:val="nil"/>
              <w:left w:val="nil"/>
              <w:bottom w:val="nil"/>
              <w:right w:val="nil"/>
              <w:tl2br w:val="nil"/>
              <w:tr2bl w:val="nil"/>
            </w:tcBorders>
            <w:shd w:val="clear" w:color="auto" w:fill="FFFFFF"/>
            <w:tcMar>
              <w:left w:w="101" w:type="dxa"/>
              <w:right w:w="101" w:type="dxa"/>
            </w:tcMar>
            <w:vAlign w:val="bottom"/>
          </w:tcPr>
          <w:p w14:paraId="5C2A5279" w14:textId="77777777" w:rsidR="003F0EEA" w:rsidRPr="00E86335" w:rsidRDefault="003F0EEA">
            <w:pPr>
              <w:rPr>
                <w:rFonts w:ascii="Arial" w:eastAsia="Arial" w:hAnsi="Arial" w:cs="Arial"/>
                <w:color w:val="000000"/>
                <w:sz w:val="16"/>
                <w:vertAlign w:val="superscript"/>
              </w:rPr>
            </w:pPr>
          </w:p>
        </w:tc>
        <w:tc>
          <w:tcPr>
            <w:tcW w:w="5325" w:type="dxa"/>
            <w:tcBorders>
              <w:top w:val="nil"/>
              <w:left w:val="nil"/>
              <w:bottom w:val="nil"/>
              <w:right w:val="nil"/>
              <w:tl2br w:val="nil"/>
              <w:tr2bl w:val="nil"/>
            </w:tcBorders>
            <w:shd w:val="clear" w:color="auto" w:fill="FFFFFF"/>
            <w:tcMar>
              <w:left w:w="101" w:type="dxa"/>
              <w:right w:w="101" w:type="dxa"/>
            </w:tcMar>
            <w:vAlign w:val="bottom"/>
          </w:tcPr>
          <w:p w14:paraId="5EAACDE3" w14:textId="77777777" w:rsidR="003F0EEA" w:rsidRPr="00E86335" w:rsidRDefault="00FB7D0B">
            <w:pPr>
              <w:rPr>
                <w:rFonts w:ascii="Arial" w:eastAsia="Arial" w:hAnsi="Arial" w:cs="Arial"/>
                <w:color w:val="000000"/>
                <w:sz w:val="16"/>
                <w:vertAlign w:val="superscript"/>
              </w:rPr>
            </w:pPr>
            <w:r w:rsidRPr="00E86335">
              <w:rPr>
                <w:rFonts w:ascii="Arial" w:eastAsia="Arial" w:hAnsi="Arial" w:cs="Arial"/>
                <w:color w:val="000000"/>
                <w:sz w:val="16"/>
              </w:rPr>
              <w:t>Departmental appropriation</w:t>
            </w:r>
            <w:r w:rsidRPr="00E86335">
              <w:rPr>
                <w:rFonts w:ascii="Arial" w:eastAsia="Arial" w:hAnsi="Arial" w:cs="Arial"/>
                <w:color w:val="000000"/>
                <w:sz w:val="16"/>
                <w:vertAlign w:val="superscript"/>
              </w:rPr>
              <w:t>1 </w:t>
            </w:r>
          </w:p>
        </w:tc>
        <w:tc>
          <w:tcPr>
            <w:tcW w:w="1230" w:type="dxa"/>
            <w:tcBorders>
              <w:top w:val="nil"/>
              <w:left w:val="nil"/>
              <w:bottom w:val="nil"/>
              <w:right w:val="nil"/>
              <w:tl2br w:val="nil"/>
              <w:tr2bl w:val="nil"/>
            </w:tcBorders>
            <w:shd w:val="clear" w:color="auto" w:fill="FFFFFF"/>
            <w:tcMar>
              <w:left w:w="101" w:type="dxa"/>
              <w:right w:w="101" w:type="dxa"/>
            </w:tcMar>
            <w:vAlign w:val="bottom"/>
          </w:tcPr>
          <w:p w14:paraId="59A966D0" w14:textId="77777777" w:rsidR="003F0EEA" w:rsidRPr="00E86335" w:rsidRDefault="00FB7D0B">
            <w:pPr>
              <w:jc w:val="right"/>
              <w:rPr>
                <w:rFonts w:ascii="Arial" w:eastAsia="Arial" w:hAnsi="Arial" w:cs="Arial"/>
                <w:color w:val="000000"/>
                <w:sz w:val="16"/>
                <w:vertAlign w:val="superscript"/>
              </w:rPr>
            </w:pPr>
            <w:r w:rsidRPr="00E86335">
              <w:rPr>
                <w:rFonts w:ascii="Arial" w:eastAsia="Arial" w:hAnsi="Arial" w:cs="Arial"/>
                <w:color w:val="000000"/>
                <w:sz w:val="16"/>
              </w:rPr>
              <w:t xml:space="preserve"> 1,561 </w:t>
            </w:r>
          </w:p>
        </w:tc>
        <w:tc>
          <w:tcPr>
            <w:tcW w:w="1230" w:type="dxa"/>
            <w:tcBorders>
              <w:top w:val="nil"/>
              <w:left w:val="nil"/>
              <w:bottom w:val="nil"/>
              <w:right w:val="nil"/>
              <w:tl2br w:val="nil"/>
              <w:tr2bl w:val="nil"/>
            </w:tcBorders>
            <w:shd w:val="clear" w:color="auto" w:fill="FFFF00"/>
            <w:tcMar>
              <w:left w:w="101" w:type="dxa"/>
              <w:right w:w="101" w:type="dxa"/>
            </w:tcMar>
            <w:vAlign w:val="bottom"/>
          </w:tcPr>
          <w:p w14:paraId="52DA223D" w14:textId="77777777" w:rsidR="003F0EEA" w:rsidRPr="00E86335" w:rsidRDefault="00FB7D0B">
            <w:pPr>
              <w:jc w:val="right"/>
              <w:rPr>
                <w:rFonts w:ascii="Arial" w:eastAsia="Arial" w:hAnsi="Arial" w:cs="Arial"/>
                <w:color w:val="000000"/>
                <w:sz w:val="16"/>
              </w:rPr>
            </w:pPr>
            <w:r w:rsidRPr="00E86335">
              <w:rPr>
                <w:rFonts w:ascii="Arial" w:eastAsia="Arial" w:hAnsi="Arial" w:cs="Arial"/>
                <w:color w:val="000000"/>
                <w:sz w:val="16"/>
              </w:rPr>
              <w:t xml:space="preserve"> 1,547 </w:t>
            </w:r>
          </w:p>
        </w:tc>
      </w:tr>
      <w:tr w:rsidR="00724034" w14:paraId="4D723BE3" w14:textId="77777777">
        <w:trPr>
          <w:trHeight w:val="225"/>
        </w:trPr>
        <w:tc>
          <w:tcPr>
            <w:tcW w:w="285" w:type="dxa"/>
            <w:tcBorders>
              <w:top w:val="nil"/>
              <w:left w:val="nil"/>
              <w:bottom w:val="nil"/>
              <w:right w:val="nil"/>
              <w:tl2br w:val="nil"/>
              <w:tr2bl w:val="nil"/>
            </w:tcBorders>
            <w:shd w:val="clear" w:color="auto" w:fill="FFFFFF"/>
            <w:tcMar>
              <w:left w:w="101" w:type="dxa"/>
              <w:right w:w="101" w:type="dxa"/>
            </w:tcMar>
            <w:vAlign w:val="bottom"/>
          </w:tcPr>
          <w:p w14:paraId="2AAFBA19" w14:textId="77777777" w:rsidR="003F0EEA" w:rsidRPr="00E86335" w:rsidRDefault="003F0EEA">
            <w:pPr>
              <w:rPr>
                <w:rFonts w:ascii="Arial" w:eastAsia="Arial" w:hAnsi="Arial" w:cs="Arial"/>
                <w:color w:val="000000"/>
                <w:sz w:val="16"/>
              </w:rPr>
            </w:pPr>
          </w:p>
        </w:tc>
        <w:tc>
          <w:tcPr>
            <w:tcW w:w="5325" w:type="dxa"/>
            <w:tcBorders>
              <w:top w:val="nil"/>
              <w:left w:val="nil"/>
              <w:bottom w:val="nil"/>
              <w:right w:val="nil"/>
              <w:tl2br w:val="nil"/>
              <w:tr2bl w:val="nil"/>
            </w:tcBorders>
            <w:shd w:val="clear" w:color="auto" w:fill="FFFFFF"/>
            <w:tcMar>
              <w:left w:w="101" w:type="dxa"/>
              <w:right w:w="101" w:type="dxa"/>
            </w:tcMar>
            <w:vAlign w:val="bottom"/>
          </w:tcPr>
          <w:p w14:paraId="32831CC3" w14:textId="77777777" w:rsidR="003F0EEA" w:rsidRPr="00E86335" w:rsidRDefault="00FB7D0B">
            <w:pPr>
              <w:rPr>
                <w:rFonts w:ascii="Arial" w:eastAsia="Arial" w:hAnsi="Arial" w:cs="Arial"/>
                <w:color w:val="000000"/>
                <w:sz w:val="16"/>
              </w:rPr>
            </w:pPr>
            <w:r w:rsidRPr="00E86335">
              <w:rPr>
                <w:rFonts w:ascii="Arial" w:eastAsia="Arial" w:hAnsi="Arial" w:cs="Arial"/>
                <w:color w:val="000000"/>
                <w:sz w:val="16"/>
              </w:rPr>
              <w:t>Expenses not requiring appropriation in the Budget year</w:t>
            </w:r>
            <w:r w:rsidRPr="00E86335">
              <w:rPr>
                <w:rFonts w:ascii="Arial" w:eastAsia="Arial" w:hAnsi="Arial" w:cs="Arial"/>
                <w:color w:val="000000"/>
                <w:sz w:val="16"/>
                <w:vertAlign w:val="superscript"/>
              </w:rPr>
              <w:t>2 </w:t>
            </w:r>
          </w:p>
        </w:tc>
        <w:tc>
          <w:tcPr>
            <w:tcW w:w="1230"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6AF329D9" w14:textId="77777777" w:rsidR="003F0EEA" w:rsidRPr="00E86335" w:rsidRDefault="00FB7D0B">
            <w:pPr>
              <w:jc w:val="right"/>
              <w:rPr>
                <w:rFonts w:ascii="Arial" w:eastAsia="Arial" w:hAnsi="Arial" w:cs="Arial"/>
                <w:color w:val="000000"/>
                <w:sz w:val="16"/>
                <w:vertAlign w:val="superscript"/>
              </w:rPr>
            </w:pPr>
            <w:r w:rsidRPr="00E86335">
              <w:rPr>
                <w:rFonts w:ascii="Arial" w:eastAsia="Arial" w:hAnsi="Arial" w:cs="Arial"/>
                <w:color w:val="000000"/>
                <w:sz w:val="16"/>
              </w:rPr>
              <w:t xml:space="preserve"> 145 </w:t>
            </w:r>
          </w:p>
        </w:tc>
        <w:tc>
          <w:tcPr>
            <w:tcW w:w="1230" w:type="dxa"/>
            <w:tcBorders>
              <w:top w:val="nil"/>
              <w:left w:val="nil"/>
              <w:bottom w:val="single" w:sz="6" w:space="0" w:color="000000"/>
              <w:right w:val="nil"/>
              <w:tl2br w:val="nil"/>
              <w:tr2bl w:val="nil"/>
            </w:tcBorders>
            <w:shd w:val="clear" w:color="auto" w:fill="FFFF00"/>
            <w:tcMar>
              <w:left w:w="101" w:type="dxa"/>
              <w:right w:w="101" w:type="dxa"/>
            </w:tcMar>
            <w:vAlign w:val="bottom"/>
          </w:tcPr>
          <w:p w14:paraId="0D994ED7" w14:textId="77777777" w:rsidR="003F0EEA" w:rsidRPr="00E86335" w:rsidRDefault="00FB7D0B">
            <w:pPr>
              <w:jc w:val="right"/>
              <w:rPr>
                <w:rFonts w:ascii="Arial" w:eastAsia="Arial" w:hAnsi="Arial" w:cs="Arial"/>
                <w:color w:val="000000"/>
                <w:sz w:val="16"/>
              </w:rPr>
            </w:pPr>
            <w:r w:rsidRPr="00E86335">
              <w:rPr>
                <w:rFonts w:ascii="Arial" w:eastAsia="Arial" w:hAnsi="Arial" w:cs="Arial"/>
                <w:color w:val="000000"/>
                <w:sz w:val="16"/>
              </w:rPr>
              <w:t xml:space="preserve"> 162 </w:t>
            </w:r>
          </w:p>
        </w:tc>
      </w:tr>
      <w:tr w:rsidR="00724034" w14:paraId="62363B0E" w14:textId="77777777">
        <w:trPr>
          <w:trHeight w:val="225"/>
        </w:trPr>
        <w:tc>
          <w:tcPr>
            <w:tcW w:w="285"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32704CA1" w14:textId="77777777" w:rsidR="003F0EEA" w:rsidRPr="00E86335" w:rsidRDefault="003F0EEA">
            <w:pPr>
              <w:rPr>
                <w:rFonts w:ascii="Arial" w:eastAsia="Arial" w:hAnsi="Arial" w:cs="Arial"/>
                <w:color w:val="000000"/>
                <w:sz w:val="16"/>
              </w:rPr>
            </w:pPr>
          </w:p>
        </w:tc>
        <w:tc>
          <w:tcPr>
            <w:tcW w:w="5325"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19389C2D" w14:textId="77777777" w:rsidR="003F0EEA" w:rsidRPr="00E86335" w:rsidRDefault="00FB7D0B">
            <w:pPr>
              <w:rPr>
                <w:rFonts w:ascii="Arial" w:eastAsia="Arial" w:hAnsi="Arial" w:cs="Arial"/>
                <w:color w:val="000000"/>
                <w:sz w:val="16"/>
              </w:rPr>
            </w:pPr>
            <w:r w:rsidRPr="00E86335">
              <w:rPr>
                <w:rFonts w:ascii="Arial" w:eastAsia="Arial" w:hAnsi="Arial" w:cs="Arial"/>
                <w:b/>
                <w:color w:val="000000"/>
                <w:sz w:val="16"/>
              </w:rPr>
              <w:t>Total for Programme 2.3</w:t>
            </w:r>
          </w:p>
        </w:tc>
        <w:tc>
          <w:tcPr>
            <w:tcW w:w="1230"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2BCC1C1A" w14:textId="77777777" w:rsidR="003F0EEA" w:rsidRPr="00E86335" w:rsidRDefault="00FB7D0B">
            <w:pPr>
              <w:jc w:val="right"/>
              <w:rPr>
                <w:rFonts w:ascii="Arial" w:eastAsia="Arial" w:hAnsi="Arial" w:cs="Arial"/>
                <w:color w:val="000000"/>
                <w:sz w:val="12"/>
                <w:vertAlign w:val="superscript"/>
              </w:rPr>
            </w:pPr>
            <w:r w:rsidRPr="00E86335">
              <w:rPr>
                <w:rFonts w:ascii="Arial" w:eastAsia="Arial" w:hAnsi="Arial" w:cs="Arial"/>
                <w:b/>
                <w:color w:val="000000"/>
                <w:sz w:val="16"/>
              </w:rPr>
              <w:t xml:space="preserve"> 407,906 </w:t>
            </w:r>
          </w:p>
        </w:tc>
        <w:tc>
          <w:tcPr>
            <w:tcW w:w="1230" w:type="dxa"/>
            <w:tcBorders>
              <w:top w:val="single" w:sz="6" w:space="0" w:color="000000"/>
              <w:left w:val="nil"/>
              <w:bottom w:val="single" w:sz="6" w:space="0" w:color="000000"/>
              <w:right w:val="nil"/>
              <w:tl2br w:val="nil"/>
              <w:tr2bl w:val="nil"/>
            </w:tcBorders>
            <w:shd w:val="clear" w:color="auto" w:fill="FFFF00"/>
            <w:tcMar>
              <w:left w:w="101" w:type="dxa"/>
              <w:right w:w="101" w:type="dxa"/>
            </w:tcMar>
            <w:vAlign w:val="bottom"/>
          </w:tcPr>
          <w:p w14:paraId="505EDC4C" w14:textId="77777777" w:rsidR="003F0EEA" w:rsidRPr="00E86335" w:rsidRDefault="00FB7D0B">
            <w:pPr>
              <w:jc w:val="right"/>
              <w:rPr>
                <w:rFonts w:ascii="Arial" w:eastAsia="Arial" w:hAnsi="Arial" w:cs="Arial"/>
                <w:b/>
                <w:color w:val="000000"/>
                <w:sz w:val="16"/>
              </w:rPr>
            </w:pPr>
            <w:r w:rsidRPr="00E86335">
              <w:rPr>
                <w:rFonts w:ascii="Arial" w:eastAsia="Arial" w:hAnsi="Arial" w:cs="Arial"/>
                <w:b/>
                <w:color w:val="000000"/>
                <w:sz w:val="16"/>
              </w:rPr>
              <w:t xml:space="preserve"> 391,544 </w:t>
            </w:r>
          </w:p>
        </w:tc>
      </w:tr>
      <w:tr w:rsidR="00FB7D0B" w14:paraId="5EBF1E4C" w14:textId="77777777" w:rsidTr="00FB7D0B">
        <w:trPr>
          <w:trHeight w:val="225"/>
        </w:trPr>
        <w:tc>
          <w:tcPr>
            <w:tcW w:w="28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5584740E" w14:textId="77777777" w:rsidR="003F0EEA" w:rsidRPr="00E86335" w:rsidRDefault="003F0EEA">
            <w:pPr>
              <w:rPr>
                <w:rFonts w:ascii="Arial" w:eastAsia="Arial" w:hAnsi="Arial" w:cs="Arial"/>
                <w:b/>
                <w:color w:val="000000"/>
                <w:sz w:val="16"/>
              </w:rPr>
            </w:pPr>
          </w:p>
        </w:tc>
        <w:tc>
          <w:tcPr>
            <w:tcW w:w="532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55653379" w14:textId="77777777" w:rsidR="003F0EEA" w:rsidRPr="00E86335" w:rsidRDefault="003F0EEA">
            <w:pPr>
              <w:rPr>
                <w:rFonts w:ascii="Arial" w:eastAsia="Arial" w:hAnsi="Arial" w:cs="Arial"/>
                <w:color w:val="000000"/>
                <w:sz w:val="16"/>
              </w:rPr>
            </w:pPr>
          </w:p>
        </w:tc>
        <w:tc>
          <w:tcPr>
            <w:tcW w:w="2460" w:type="dxa"/>
            <w:gridSpan w:val="2"/>
            <w:tcBorders>
              <w:top w:val="single" w:sz="6" w:space="0" w:color="000000"/>
              <w:left w:val="nil"/>
              <w:bottom w:val="nil"/>
              <w:right w:val="nil"/>
              <w:tl2br w:val="nil"/>
              <w:tr2bl w:val="nil"/>
            </w:tcBorders>
            <w:shd w:val="clear" w:color="auto" w:fill="FFFFFF"/>
            <w:tcMar>
              <w:left w:w="101" w:type="dxa"/>
              <w:right w:w="101" w:type="dxa"/>
            </w:tcMar>
            <w:vAlign w:val="bottom"/>
          </w:tcPr>
          <w:p w14:paraId="26748280" w14:textId="77777777" w:rsidR="003F0EEA" w:rsidRPr="00E86335" w:rsidRDefault="00FB7D0B">
            <w:pPr>
              <w:jc w:val="right"/>
              <w:rPr>
                <w:rFonts w:ascii="Arial" w:eastAsia="Arial" w:hAnsi="Arial" w:cs="Arial"/>
                <w:color w:val="000000"/>
                <w:sz w:val="16"/>
                <w:vertAlign w:val="superscript"/>
              </w:rPr>
            </w:pPr>
            <w:r w:rsidRPr="00E86335">
              <w:rPr>
                <w:rFonts w:ascii="Arial" w:eastAsia="Arial" w:hAnsi="Arial" w:cs="Arial"/>
                <w:color w:val="000000"/>
                <w:sz w:val="16"/>
              </w:rPr>
              <w:t>Continued on next page</w:t>
            </w:r>
          </w:p>
        </w:tc>
      </w:tr>
    </w:tbl>
    <w:p w14:paraId="64FA337B" w14:textId="77777777" w:rsidR="003F0EEA" w:rsidRPr="00E86335" w:rsidRDefault="00FB7D0B">
      <w:pPr>
        <w:spacing w:line="14" w:lineRule="exact"/>
        <w:rPr>
          <w:rFonts w:eastAsia="Times New Roman" w:cs="Times New Roman"/>
        </w:rPr>
      </w:pPr>
      <w:r w:rsidRPr="00E86335">
        <w:rPr>
          <w:rFonts w:eastAsia="Times New Roman" w:cs="Times New Roman"/>
        </w:rPr>
        <w:br w:type="page"/>
      </w:r>
    </w:p>
    <w:p w14:paraId="6D95E8C5" w14:textId="77777777" w:rsidR="003F0EEA" w:rsidRPr="0087290F" w:rsidRDefault="00FB7D0B" w:rsidP="003F0EEA">
      <w:pPr>
        <w:pStyle w:val="TableHeadingcontinued9"/>
        <w:rPr>
          <w:rFonts w:ascii="Arial" w:hAnsi="Arial" w:cs="Arial"/>
        </w:rPr>
      </w:pPr>
      <w:r w:rsidRPr="0087290F">
        <w:rPr>
          <w:rFonts w:ascii="Arial" w:hAnsi="Arial" w:cs="Arial"/>
        </w:rPr>
        <w:t>Table 2.2</w:t>
      </w:r>
      <w:r>
        <w:rPr>
          <w:rFonts w:ascii="Arial" w:hAnsi="Arial" w:cs="Arial"/>
        </w:rPr>
        <w:t xml:space="preserve">: Budgeted Expenses </w:t>
      </w:r>
      <w:r w:rsidRPr="0087290F">
        <w:rPr>
          <w:rFonts w:ascii="Arial" w:hAnsi="Arial" w:cs="Arial"/>
        </w:rPr>
        <w:t>for Outcome 2 (continued)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5"/>
        <w:gridCol w:w="5325"/>
        <w:gridCol w:w="1230"/>
        <w:gridCol w:w="1230"/>
      </w:tblGrid>
      <w:tr w:rsidR="00724034" w14:paraId="3A71DFBC" w14:textId="77777777">
        <w:trPr>
          <w:trHeight w:val="60"/>
        </w:trPr>
        <w:tc>
          <w:tcPr>
            <w:tcW w:w="285" w:type="dxa"/>
            <w:tcBorders>
              <w:top w:val="nil"/>
              <w:left w:val="nil"/>
              <w:bottom w:val="single" w:sz="6" w:space="0" w:color="000000"/>
              <w:right w:val="nil"/>
              <w:tl2br w:val="nil"/>
              <w:tr2bl w:val="nil"/>
            </w:tcBorders>
            <w:shd w:val="clear" w:color="auto" w:fill="FFFFFF"/>
            <w:tcMar>
              <w:left w:w="101" w:type="dxa"/>
              <w:right w:w="101" w:type="dxa"/>
            </w:tcMar>
            <w:vAlign w:val="center"/>
          </w:tcPr>
          <w:p w14:paraId="2B0FCDC5" w14:textId="77777777" w:rsidR="003F0EEA" w:rsidRPr="0087290F" w:rsidRDefault="003F0EEA">
            <w:pPr>
              <w:rPr>
                <w:rFonts w:ascii="Arial" w:eastAsia="Times New Roman" w:hAnsi="Arial" w:cs="Arial"/>
              </w:rPr>
            </w:pPr>
          </w:p>
        </w:tc>
        <w:tc>
          <w:tcPr>
            <w:tcW w:w="5325" w:type="dxa"/>
            <w:tcBorders>
              <w:top w:val="nil"/>
              <w:left w:val="nil"/>
              <w:bottom w:val="single" w:sz="6" w:space="0" w:color="000000"/>
              <w:right w:val="nil"/>
              <w:tl2br w:val="nil"/>
              <w:tr2bl w:val="nil"/>
            </w:tcBorders>
            <w:shd w:val="clear" w:color="auto" w:fill="FFFFFF"/>
            <w:tcMar>
              <w:left w:w="101" w:type="dxa"/>
              <w:right w:w="101" w:type="dxa"/>
            </w:tcMar>
            <w:vAlign w:val="center"/>
          </w:tcPr>
          <w:p w14:paraId="1855D051" w14:textId="77777777" w:rsidR="003F0EEA" w:rsidRPr="0087290F" w:rsidRDefault="003F0EEA">
            <w:pPr>
              <w:rPr>
                <w:rFonts w:ascii="Arial" w:eastAsia="Arial" w:hAnsi="Arial" w:cs="Arial"/>
                <w:color w:val="000000"/>
                <w:sz w:val="16"/>
              </w:rPr>
            </w:pPr>
          </w:p>
        </w:tc>
        <w:tc>
          <w:tcPr>
            <w:tcW w:w="1230" w:type="dxa"/>
            <w:tcBorders>
              <w:top w:val="nil"/>
              <w:left w:val="nil"/>
              <w:bottom w:val="single" w:sz="6" w:space="0" w:color="000000"/>
              <w:right w:val="nil"/>
              <w:tl2br w:val="nil"/>
              <w:tr2bl w:val="nil"/>
            </w:tcBorders>
            <w:shd w:val="clear" w:color="auto" w:fill="FFFFFF"/>
            <w:tcMar>
              <w:left w:w="101" w:type="dxa"/>
              <w:right w:w="101" w:type="dxa"/>
            </w:tcMar>
            <w:vAlign w:val="center"/>
          </w:tcPr>
          <w:p w14:paraId="2F256D6C" w14:textId="77777777" w:rsidR="003F0EEA" w:rsidRPr="0087290F" w:rsidRDefault="003F0EEA">
            <w:pPr>
              <w:rPr>
                <w:rFonts w:ascii="Arial" w:eastAsia="Arial" w:hAnsi="Arial" w:cs="Arial"/>
                <w:b/>
                <w:color w:val="000000"/>
                <w:sz w:val="16"/>
                <w:vertAlign w:val="superscript"/>
              </w:rPr>
            </w:pPr>
          </w:p>
        </w:tc>
        <w:tc>
          <w:tcPr>
            <w:tcW w:w="1230" w:type="dxa"/>
            <w:tcBorders>
              <w:top w:val="nil"/>
              <w:left w:val="nil"/>
              <w:bottom w:val="single" w:sz="6" w:space="0" w:color="000000"/>
              <w:right w:val="nil"/>
              <w:tl2br w:val="nil"/>
              <w:tr2bl w:val="nil"/>
            </w:tcBorders>
            <w:shd w:val="clear" w:color="auto" w:fill="FFFFFF"/>
            <w:tcMar>
              <w:left w:w="101" w:type="dxa"/>
              <w:right w:w="101" w:type="dxa"/>
            </w:tcMar>
            <w:vAlign w:val="center"/>
          </w:tcPr>
          <w:p w14:paraId="49E39257" w14:textId="77777777" w:rsidR="003F0EEA" w:rsidRPr="0087290F" w:rsidRDefault="003F0EEA">
            <w:pPr>
              <w:rPr>
                <w:rFonts w:ascii="Arial" w:eastAsia="Arial" w:hAnsi="Arial" w:cs="Arial"/>
                <w:color w:val="000000"/>
                <w:sz w:val="16"/>
                <w:vertAlign w:val="superscript"/>
              </w:rPr>
            </w:pPr>
          </w:p>
        </w:tc>
      </w:tr>
      <w:tr w:rsidR="00FB7D0B" w14:paraId="0826123F" w14:textId="77777777" w:rsidTr="00FB7D0B">
        <w:trPr>
          <w:trHeight w:val="225"/>
        </w:trPr>
        <w:tc>
          <w:tcPr>
            <w:tcW w:w="5610" w:type="dxa"/>
            <w:gridSpan w:val="2"/>
            <w:vMerge w:val="restart"/>
            <w:tcBorders>
              <w:top w:val="single" w:sz="6" w:space="0" w:color="000000"/>
              <w:left w:val="nil"/>
              <w:bottom w:val="nil"/>
              <w:right w:val="nil"/>
              <w:tl2br w:val="nil"/>
              <w:tr2bl w:val="nil"/>
            </w:tcBorders>
            <w:shd w:val="clear" w:color="auto" w:fill="FFFFFF"/>
            <w:tcMar>
              <w:left w:w="101" w:type="dxa"/>
              <w:right w:w="101" w:type="dxa"/>
            </w:tcMar>
            <w:vAlign w:val="bottom"/>
          </w:tcPr>
          <w:p w14:paraId="3DA0F7C1" w14:textId="77777777" w:rsidR="003F0EEA" w:rsidRPr="0087290F" w:rsidRDefault="00FB7D0B">
            <w:pPr>
              <w:rPr>
                <w:rFonts w:ascii="Arial" w:eastAsia="Arial" w:hAnsi="Arial" w:cs="Arial"/>
                <w:color w:val="000000"/>
                <w:sz w:val="16"/>
                <w:vertAlign w:val="superscript"/>
              </w:rPr>
            </w:pPr>
            <w:r w:rsidRPr="0087290F">
              <w:rPr>
                <w:rFonts w:ascii="Arial" w:eastAsia="Arial" w:hAnsi="Arial" w:cs="Arial"/>
                <w:b/>
                <w:color w:val="000000"/>
                <w:sz w:val="16"/>
              </w:rPr>
              <w:t>Outcome 2:</w:t>
            </w:r>
          </w:p>
        </w:tc>
        <w:tc>
          <w:tcPr>
            <w:tcW w:w="1230"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634D7363" w14:textId="77777777" w:rsidR="003F0EEA" w:rsidRPr="0087290F" w:rsidRDefault="00FB7D0B">
            <w:pPr>
              <w:jc w:val="right"/>
              <w:rPr>
                <w:rFonts w:ascii="Arial" w:eastAsia="Arial" w:hAnsi="Arial" w:cs="Arial"/>
                <w:b/>
                <w:color w:val="000000"/>
                <w:sz w:val="16"/>
                <w:vertAlign w:val="superscript"/>
              </w:rPr>
            </w:pPr>
            <w:r w:rsidRPr="0087290F">
              <w:rPr>
                <w:rFonts w:ascii="Arial" w:eastAsia="Arial" w:hAnsi="Arial" w:cs="Arial"/>
                <w:color w:val="000000"/>
                <w:sz w:val="16"/>
              </w:rPr>
              <w:t>2013-14</w:t>
            </w:r>
          </w:p>
        </w:tc>
        <w:tc>
          <w:tcPr>
            <w:tcW w:w="1230" w:type="dxa"/>
            <w:tcBorders>
              <w:top w:val="single" w:sz="6" w:space="0" w:color="000000"/>
              <w:left w:val="nil"/>
              <w:bottom w:val="nil"/>
              <w:right w:val="nil"/>
              <w:tl2br w:val="nil"/>
              <w:tr2bl w:val="nil"/>
            </w:tcBorders>
            <w:shd w:val="clear" w:color="auto" w:fill="FFFF00"/>
            <w:tcMar>
              <w:left w:w="101" w:type="dxa"/>
              <w:right w:w="101" w:type="dxa"/>
            </w:tcMar>
            <w:vAlign w:val="bottom"/>
          </w:tcPr>
          <w:p w14:paraId="2D5099B9" w14:textId="77777777" w:rsidR="003F0EEA" w:rsidRPr="0087290F" w:rsidRDefault="00FB7D0B">
            <w:pPr>
              <w:jc w:val="right"/>
              <w:rPr>
                <w:rFonts w:ascii="Arial" w:eastAsia="Arial" w:hAnsi="Arial" w:cs="Arial"/>
                <w:color w:val="000000"/>
                <w:sz w:val="16"/>
              </w:rPr>
            </w:pPr>
            <w:r w:rsidRPr="0087290F">
              <w:rPr>
                <w:rFonts w:ascii="Arial" w:eastAsia="Arial" w:hAnsi="Arial" w:cs="Arial"/>
                <w:color w:val="000000"/>
                <w:sz w:val="16"/>
              </w:rPr>
              <w:t>2014-15</w:t>
            </w:r>
          </w:p>
        </w:tc>
      </w:tr>
      <w:tr w:rsidR="00FB7D0B" w14:paraId="4043041E" w14:textId="77777777" w:rsidTr="00FB7D0B">
        <w:trPr>
          <w:trHeight w:val="225"/>
        </w:trPr>
        <w:tc>
          <w:tcPr>
            <w:tcW w:w="5610" w:type="dxa"/>
            <w:gridSpan w:val="2"/>
            <w:vMerge/>
            <w:tcBorders>
              <w:top w:val="nil"/>
              <w:left w:val="nil"/>
              <w:bottom w:val="nil"/>
              <w:right w:val="nil"/>
              <w:tl2br w:val="nil"/>
              <w:tr2bl w:val="nil"/>
            </w:tcBorders>
            <w:shd w:val="clear" w:color="auto" w:fill="FFFF00"/>
            <w:tcMar>
              <w:left w:w="101" w:type="dxa"/>
              <w:right w:w="101" w:type="dxa"/>
            </w:tcMar>
            <w:vAlign w:val="bottom"/>
          </w:tcPr>
          <w:p w14:paraId="3796ABAA" w14:textId="77777777" w:rsidR="003F0EEA" w:rsidRPr="0087290F" w:rsidRDefault="003F0EEA">
            <w:pPr>
              <w:jc w:val="right"/>
              <w:rPr>
                <w:rFonts w:ascii="Arial" w:eastAsia="Arial" w:hAnsi="Arial" w:cs="Arial"/>
                <w:color w:val="000000"/>
                <w:sz w:val="16"/>
              </w:rPr>
            </w:pPr>
          </w:p>
        </w:tc>
        <w:tc>
          <w:tcPr>
            <w:tcW w:w="1230" w:type="dxa"/>
            <w:tcBorders>
              <w:top w:val="nil"/>
              <w:left w:val="nil"/>
              <w:bottom w:val="nil"/>
              <w:right w:val="nil"/>
              <w:tl2br w:val="nil"/>
              <w:tr2bl w:val="nil"/>
            </w:tcBorders>
            <w:shd w:val="clear" w:color="auto" w:fill="FFFFFF"/>
            <w:tcMar>
              <w:left w:w="101" w:type="dxa"/>
              <w:right w:w="101" w:type="dxa"/>
            </w:tcMar>
            <w:vAlign w:val="bottom"/>
          </w:tcPr>
          <w:p w14:paraId="2A447C1D" w14:textId="77777777" w:rsidR="003F0EEA" w:rsidRPr="0087290F" w:rsidRDefault="00FB7D0B">
            <w:pPr>
              <w:jc w:val="right"/>
              <w:rPr>
                <w:rFonts w:ascii="Arial" w:eastAsia="Arial" w:hAnsi="Arial" w:cs="Arial"/>
                <w:color w:val="000000"/>
                <w:sz w:val="16"/>
              </w:rPr>
            </w:pPr>
            <w:r w:rsidRPr="0087290F">
              <w:rPr>
                <w:rFonts w:ascii="Arial" w:eastAsia="Arial" w:hAnsi="Arial" w:cs="Arial"/>
                <w:color w:val="000000"/>
                <w:sz w:val="16"/>
              </w:rPr>
              <w:t>Estimated</w:t>
            </w:r>
          </w:p>
        </w:tc>
        <w:tc>
          <w:tcPr>
            <w:tcW w:w="1230" w:type="dxa"/>
            <w:tcBorders>
              <w:top w:val="nil"/>
              <w:left w:val="nil"/>
              <w:bottom w:val="nil"/>
              <w:right w:val="nil"/>
              <w:tl2br w:val="nil"/>
              <w:tr2bl w:val="nil"/>
            </w:tcBorders>
            <w:shd w:val="clear" w:color="auto" w:fill="FFFF00"/>
            <w:tcMar>
              <w:left w:w="101" w:type="dxa"/>
              <w:right w:w="101" w:type="dxa"/>
            </w:tcMar>
            <w:vAlign w:val="bottom"/>
          </w:tcPr>
          <w:p w14:paraId="205A38D5" w14:textId="77777777" w:rsidR="003F0EEA" w:rsidRPr="0087290F" w:rsidRDefault="00FB7D0B">
            <w:pPr>
              <w:jc w:val="right"/>
              <w:rPr>
                <w:rFonts w:ascii="Arial" w:eastAsia="Arial" w:hAnsi="Arial" w:cs="Arial"/>
                <w:color w:val="000000"/>
                <w:sz w:val="16"/>
              </w:rPr>
            </w:pPr>
            <w:r w:rsidRPr="0087290F">
              <w:rPr>
                <w:rFonts w:ascii="Arial" w:eastAsia="Arial" w:hAnsi="Arial" w:cs="Arial"/>
                <w:color w:val="000000"/>
                <w:sz w:val="16"/>
              </w:rPr>
              <w:t>Estimated</w:t>
            </w:r>
          </w:p>
        </w:tc>
      </w:tr>
      <w:tr w:rsidR="00FB7D0B" w14:paraId="6E66DCE0" w14:textId="77777777" w:rsidTr="00FB7D0B">
        <w:trPr>
          <w:trHeight w:val="225"/>
        </w:trPr>
        <w:tc>
          <w:tcPr>
            <w:tcW w:w="5610" w:type="dxa"/>
            <w:gridSpan w:val="2"/>
            <w:vMerge/>
            <w:tcBorders>
              <w:top w:val="nil"/>
              <w:left w:val="nil"/>
              <w:bottom w:val="nil"/>
              <w:right w:val="nil"/>
              <w:tl2br w:val="nil"/>
              <w:tr2bl w:val="nil"/>
            </w:tcBorders>
            <w:shd w:val="clear" w:color="auto" w:fill="FFFF00"/>
            <w:tcMar>
              <w:left w:w="101" w:type="dxa"/>
              <w:right w:w="101" w:type="dxa"/>
            </w:tcMar>
            <w:vAlign w:val="bottom"/>
          </w:tcPr>
          <w:p w14:paraId="6601CA56" w14:textId="77777777" w:rsidR="003F0EEA" w:rsidRPr="0087290F" w:rsidRDefault="003F0EEA">
            <w:pPr>
              <w:jc w:val="right"/>
              <w:rPr>
                <w:rFonts w:ascii="Arial" w:eastAsia="Arial" w:hAnsi="Arial" w:cs="Arial"/>
                <w:color w:val="000000"/>
                <w:sz w:val="16"/>
              </w:rPr>
            </w:pPr>
          </w:p>
        </w:tc>
        <w:tc>
          <w:tcPr>
            <w:tcW w:w="1230" w:type="dxa"/>
            <w:tcBorders>
              <w:top w:val="nil"/>
              <w:left w:val="nil"/>
              <w:bottom w:val="nil"/>
              <w:right w:val="nil"/>
              <w:tl2br w:val="nil"/>
              <w:tr2bl w:val="nil"/>
            </w:tcBorders>
            <w:shd w:val="clear" w:color="auto" w:fill="FFFFFF"/>
            <w:tcMar>
              <w:left w:w="101" w:type="dxa"/>
              <w:right w:w="101" w:type="dxa"/>
            </w:tcMar>
            <w:vAlign w:val="bottom"/>
          </w:tcPr>
          <w:p w14:paraId="6DBC4478" w14:textId="77777777" w:rsidR="003F0EEA" w:rsidRPr="0087290F" w:rsidRDefault="00FB7D0B">
            <w:pPr>
              <w:jc w:val="right"/>
              <w:rPr>
                <w:rFonts w:ascii="Arial" w:eastAsia="Arial" w:hAnsi="Arial" w:cs="Arial"/>
                <w:color w:val="000000"/>
                <w:sz w:val="16"/>
              </w:rPr>
            </w:pPr>
            <w:r w:rsidRPr="0087290F">
              <w:rPr>
                <w:rFonts w:ascii="Arial" w:eastAsia="Arial" w:hAnsi="Arial" w:cs="Arial"/>
                <w:color w:val="000000"/>
                <w:sz w:val="16"/>
              </w:rPr>
              <w:t>actual</w:t>
            </w:r>
          </w:p>
        </w:tc>
        <w:tc>
          <w:tcPr>
            <w:tcW w:w="1230" w:type="dxa"/>
            <w:tcBorders>
              <w:top w:val="nil"/>
              <w:left w:val="nil"/>
              <w:bottom w:val="nil"/>
              <w:right w:val="nil"/>
              <w:tl2br w:val="nil"/>
              <w:tr2bl w:val="nil"/>
            </w:tcBorders>
            <w:shd w:val="clear" w:color="auto" w:fill="FFFF00"/>
            <w:tcMar>
              <w:left w:w="101" w:type="dxa"/>
              <w:right w:w="101" w:type="dxa"/>
            </w:tcMar>
            <w:vAlign w:val="bottom"/>
          </w:tcPr>
          <w:p w14:paraId="6A9B99C4" w14:textId="77777777" w:rsidR="003F0EEA" w:rsidRPr="0087290F" w:rsidRDefault="00FB7D0B">
            <w:pPr>
              <w:jc w:val="right"/>
              <w:rPr>
                <w:rFonts w:ascii="Arial" w:eastAsia="Arial" w:hAnsi="Arial" w:cs="Arial"/>
                <w:color w:val="000000"/>
                <w:sz w:val="16"/>
              </w:rPr>
            </w:pPr>
            <w:r w:rsidRPr="0087290F">
              <w:rPr>
                <w:rFonts w:ascii="Arial" w:eastAsia="Arial" w:hAnsi="Arial" w:cs="Arial"/>
                <w:color w:val="000000"/>
                <w:sz w:val="16"/>
              </w:rPr>
              <w:t>expenses</w:t>
            </w:r>
          </w:p>
        </w:tc>
      </w:tr>
      <w:tr w:rsidR="00FB7D0B" w14:paraId="0E72659D" w14:textId="77777777" w:rsidTr="00FB7D0B">
        <w:trPr>
          <w:trHeight w:val="225"/>
        </w:trPr>
        <w:tc>
          <w:tcPr>
            <w:tcW w:w="5610" w:type="dxa"/>
            <w:gridSpan w:val="2"/>
            <w:vMerge/>
            <w:tcBorders>
              <w:top w:val="nil"/>
              <w:left w:val="nil"/>
              <w:bottom w:val="nil"/>
              <w:right w:val="nil"/>
              <w:tl2br w:val="nil"/>
              <w:tr2bl w:val="nil"/>
            </w:tcBorders>
            <w:shd w:val="clear" w:color="auto" w:fill="FFFF00"/>
            <w:tcMar>
              <w:left w:w="101" w:type="dxa"/>
              <w:right w:w="101" w:type="dxa"/>
            </w:tcMar>
            <w:vAlign w:val="bottom"/>
          </w:tcPr>
          <w:p w14:paraId="7B34740F" w14:textId="77777777" w:rsidR="003F0EEA" w:rsidRPr="0087290F" w:rsidRDefault="003F0EEA">
            <w:pPr>
              <w:jc w:val="right"/>
              <w:rPr>
                <w:rFonts w:ascii="Arial" w:eastAsia="Arial" w:hAnsi="Arial" w:cs="Arial"/>
                <w:color w:val="000000"/>
                <w:sz w:val="16"/>
              </w:rPr>
            </w:pPr>
          </w:p>
        </w:tc>
        <w:tc>
          <w:tcPr>
            <w:tcW w:w="1230" w:type="dxa"/>
            <w:tcBorders>
              <w:top w:val="nil"/>
              <w:left w:val="nil"/>
              <w:bottom w:val="nil"/>
              <w:right w:val="nil"/>
              <w:tl2br w:val="nil"/>
              <w:tr2bl w:val="nil"/>
            </w:tcBorders>
            <w:shd w:val="clear" w:color="auto" w:fill="FFFFFF"/>
            <w:tcMar>
              <w:left w:w="101" w:type="dxa"/>
              <w:right w:w="101" w:type="dxa"/>
            </w:tcMar>
            <w:vAlign w:val="bottom"/>
          </w:tcPr>
          <w:p w14:paraId="265558DD" w14:textId="77777777" w:rsidR="003F0EEA" w:rsidRPr="0087290F" w:rsidRDefault="00FB7D0B">
            <w:pPr>
              <w:jc w:val="right"/>
              <w:rPr>
                <w:rFonts w:ascii="Arial" w:eastAsia="Arial" w:hAnsi="Arial" w:cs="Arial"/>
                <w:color w:val="000000"/>
                <w:sz w:val="16"/>
              </w:rPr>
            </w:pPr>
            <w:r w:rsidRPr="0087290F">
              <w:rPr>
                <w:rFonts w:ascii="Arial" w:eastAsia="Arial" w:hAnsi="Arial" w:cs="Arial"/>
                <w:color w:val="000000"/>
                <w:sz w:val="16"/>
              </w:rPr>
              <w:t>expenses</w:t>
            </w:r>
          </w:p>
        </w:tc>
        <w:tc>
          <w:tcPr>
            <w:tcW w:w="1230" w:type="dxa"/>
            <w:tcBorders>
              <w:top w:val="nil"/>
              <w:left w:val="nil"/>
              <w:bottom w:val="nil"/>
              <w:right w:val="nil"/>
              <w:tl2br w:val="nil"/>
              <w:tr2bl w:val="nil"/>
            </w:tcBorders>
            <w:shd w:val="clear" w:color="auto" w:fill="FFFF00"/>
            <w:tcMar>
              <w:left w:w="101" w:type="dxa"/>
              <w:right w:w="101" w:type="dxa"/>
            </w:tcMar>
            <w:vAlign w:val="bottom"/>
          </w:tcPr>
          <w:p w14:paraId="333EE20A" w14:textId="77777777" w:rsidR="003F0EEA" w:rsidRPr="0087290F" w:rsidRDefault="003F0EEA">
            <w:pPr>
              <w:jc w:val="right"/>
              <w:rPr>
                <w:rFonts w:ascii="Arial" w:eastAsia="Arial" w:hAnsi="Arial" w:cs="Arial"/>
                <w:color w:val="000000"/>
                <w:sz w:val="16"/>
              </w:rPr>
            </w:pPr>
          </w:p>
        </w:tc>
      </w:tr>
      <w:tr w:rsidR="00FB7D0B" w14:paraId="319EA039" w14:textId="77777777" w:rsidTr="00FB7D0B">
        <w:trPr>
          <w:trHeight w:val="225"/>
        </w:trPr>
        <w:tc>
          <w:tcPr>
            <w:tcW w:w="5610" w:type="dxa"/>
            <w:gridSpan w:val="2"/>
            <w:vMerge/>
            <w:tcBorders>
              <w:top w:val="nil"/>
              <w:left w:val="nil"/>
              <w:bottom w:val="nil"/>
              <w:right w:val="nil"/>
              <w:tl2br w:val="nil"/>
              <w:tr2bl w:val="nil"/>
            </w:tcBorders>
            <w:shd w:val="clear" w:color="auto" w:fill="FFFF00"/>
            <w:tcMar>
              <w:left w:w="101" w:type="dxa"/>
              <w:right w:w="101" w:type="dxa"/>
            </w:tcMar>
            <w:vAlign w:val="bottom"/>
          </w:tcPr>
          <w:p w14:paraId="55B0F28E" w14:textId="77777777" w:rsidR="003F0EEA" w:rsidRPr="0087290F" w:rsidRDefault="003F0EEA">
            <w:pPr>
              <w:jc w:val="right"/>
              <w:rPr>
                <w:rFonts w:ascii="Arial" w:eastAsia="Arial" w:hAnsi="Arial" w:cs="Arial"/>
                <w:color w:val="000000"/>
                <w:sz w:val="16"/>
              </w:rPr>
            </w:pPr>
          </w:p>
        </w:tc>
        <w:tc>
          <w:tcPr>
            <w:tcW w:w="1230"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0056061C" w14:textId="77777777" w:rsidR="003F0EEA" w:rsidRPr="0087290F" w:rsidRDefault="00FB7D0B">
            <w:pPr>
              <w:jc w:val="right"/>
              <w:rPr>
                <w:rFonts w:ascii="Arial" w:eastAsia="Arial" w:hAnsi="Arial" w:cs="Arial"/>
                <w:color w:val="000000"/>
                <w:sz w:val="16"/>
              </w:rPr>
            </w:pPr>
            <w:r w:rsidRPr="0087290F">
              <w:rPr>
                <w:rFonts w:ascii="Arial" w:eastAsia="Arial" w:hAnsi="Arial" w:cs="Arial"/>
                <w:color w:val="000000"/>
                <w:sz w:val="16"/>
              </w:rPr>
              <w:t>$'000</w:t>
            </w:r>
          </w:p>
        </w:tc>
        <w:tc>
          <w:tcPr>
            <w:tcW w:w="1230" w:type="dxa"/>
            <w:tcBorders>
              <w:top w:val="nil"/>
              <w:left w:val="nil"/>
              <w:bottom w:val="single" w:sz="6" w:space="0" w:color="000000"/>
              <w:right w:val="nil"/>
              <w:tl2br w:val="nil"/>
              <w:tr2bl w:val="nil"/>
            </w:tcBorders>
            <w:shd w:val="clear" w:color="auto" w:fill="FFFF00"/>
            <w:tcMar>
              <w:left w:w="101" w:type="dxa"/>
              <w:right w:w="101" w:type="dxa"/>
            </w:tcMar>
            <w:vAlign w:val="bottom"/>
          </w:tcPr>
          <w:p w14:paraId="7F350F73" w14:textId="77777777" w:rsidR="003F0EEA" w:rsidRPr="0087290F" w:rsidRDefault="00FB7D0B">
            <w:pPr>
              <w:jc w:val="right"/>
              <w:rPr>
                <w:rFonts w:ascii="Arial" w:eastAsia="Arial" w:hAnsi="Arial" w:cs="Arial"/>
                <w:color w:val="000000"/>
                <w:sz w:val="16"/>
              </w:rPr>
            </w:pPr>
            <w:r w:rsidRPr="0087290F">
              <w:rPr>
                <w:rFonts w:ascii="Arial" w:eastAsia="Arial" w:hAnsi="Arial" w:cs="Arial"/>
                <w:color w:val="000000"/>
                <w:sz w:val="16"/>
              </w:rPr>
              <w:t>$'000</w:t>
            </w:r>
          </w:p>
        </w:tc>
      </w:tr>
      <w:tr w:rsidR="00FB7D0B" w14:paraId="3F9E91DB" w14:textId="77777777" w:rsidTr="00FB7D0B">
        <w:trPr>
          <w:trHeight w:val="225"/>
        </w:trPr>
        <w:tc>
          <w:tcPr>
            <w:tcW w:w="5610" w:type="dxa"/>
            <w:gridSpan w:val="2"/>
            <w:tcBorders>
              <w:top w:val="nil"/>
              <w:left w:val="nil"/>
              <w:bottom w:val="nil"/>
              <w:right w:val="nil"/>
              <w:tl2br w:val="nil"/>
              <w:tr2bl w:val="nil"/>
            </w:tcBorders>
            <w:shd w:val="clear" w:color="auto" w:fill="FFFFFF"/>
            <w:tcMar>
              <w:left w:w="101" w:type="dxa"/>
              <w:right w:w="101" w:type="dxa"/>
            </w:tcMar>
            <w:vAlign w:val="bottom"/>
          </w:tcPr>
          <w:p w14:paraId="2D756CB8" w14:textId="77777777" w:rsidR="003F0EEA" w:rsidRPr="0087290F" w:rsidRDefault="00FB7D0B">
            <w:pPr>
              <w:rPr>
                <w:rFonts w:ascii="Arial" w:eastAsia="Arial" w:hAnsi="Arial" w:cs="Arial"/>
                <w:color w:val="000000"/>
                <w:sz w:val="16"/>
              </w:rPr>
            </w:pPr>
            <w:r w:rsidRPr="0087290F">
              <w:rPr>
                <w:rFonts w:ascii="Arial" w:eastAsia="Arial" w:hAnsi="Arial" w:cs="Arial"/>
                <w:b/>
                <w:color w:val="000000"/>
                <w:sz w:val="16"/>
              </w:rPr>
              <w:t>Programme 2.4:  Veterans' Community Care and Support</w:t>
            </w:r>
          </w:p>
        </w:tc>
        <w:tc>
          <w:tcPr>
            <w:tcW w:w="1230"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0CD8A9A9" w14:textId="77777777" w:rsidR="003F0EEA" w:rsidRPr="0087290F" w:rsidRDefault="003F0EEA">
            <w:pPr>
              <w:jc w:val="right"/>
              <w:rPr>
                <w:rFonts w:ascii="Arial" w:eastAsia="Arial" w:hAnsi="Arial" w:cs="Arial"/>
                <w:b/>
                <w:color w:val="000000"/>
                <w:sz w:val="16"/>
                <w:vertAlign w:val="superscript"/>
              </w:rPr>
            </w:pPr>
          </w:p>
        </w:tc>
        <w:tc>
          <w:tcPr>
            <w:tcW w:w="1230" w:type="dxa"/>
            <w:tcBorders>
              <w:top w:val="single" w:sz="6" w:space="0" w:color="000000"/>
              <w:left w:val="nil"/>
              <w:bottom w:val="nil"/>
              <w:right w:val="nil"/>
              <w:tl2br w:val="nil"/>
              <w:tr2bl w:val="nil"/>
            </w:tcBorders>
            <w:shd w:val="clear" w:color="auto" w:fill="FFFF00"/>
            <w:tcMar>
              <w:left w:w="101" w:type="dxa"/>
              <w:right w:w="101" w:type="dxa"/>
            </w:tcMar>
            <w:vAlign w:val="bottom"/>
          </w:tcPr>
          <w:p w14:paraId="6EF17190" w14:textId="77777777" w:rsidR="003F0EEA" w:rsidRPr="0087290F" w:rsidRDefault="003F0EEA">
            <w:pPr>
              <w:jc w:val="right"/>
              <w:rPr>
                <w:rFonts w:ascii="Arial" w:eastAsia="Arial" w:hAnsi="Arial" w:cs="Arial"/>
                <w:color w:val="000000"/>
                <w:sz w:val="16"/>
                <w:vertAlign w:val="superscript"/>
              </w:rPr>
            </w:pPr>
          </w:p>
        </w:tc>
      </w:tr>
      <w:tr w:rsidR="00FB7D0B" w14:paraId="539B13D3" w14:textId="77777777" w:rsidTr="00FB7D0B">
        <w:trPr>
          <w:trHeight w:val="225"/>
        </w:trPr>
        <w:tc>
          <w:tcPr>
            <w:tcW w:w="5610" w:type="dxa"/>
            <w:gridSpan w:val="2"/>
            <w:tcBorders>
              <w:top w:val="nil"/>
              <w:left w:val="nil"/>
              <w:bottom w:val="nil"/>
              <w:right w:val="nil"/>
              <w:tl2br w:val="nil"/>
              <w:tr2bl w:val="nil"/>
            </w:tcBorders>
            <w:shd w:val="clear" w:color="auto" w:fill="FFFFFF"/>
            <w:tcMar>
              <w:left w:w="101" w:type="dxa"/>
              <w:right w:w="101" w:type="dxa"/>
            </w:tcMar>
            <w:vAlign w:val="bottom"/>
          </w:tcPr>
          <w:p w14:paraId="414E51CE" w14:textId="77777777" w:rsidR="003F0EEA" w:rsidRPr="0087290F" w:rsidRDefault="00FB7D0B">
            <w:pPr>
              <w:rPr>
                <w:rFonts w:ascii="Arial" w:eastAsia="Arial" w:hAnsi="Arial" w:cs="Arial"/>
                <w:color w:val="000000"/>
                <w:sz w:val="16"/>
                <w:vertAlign w:val="superscript"/>
              </w:rPr>
            </w:pPr>
            <w:r w:rsidRPr="0087290F">
              <w:rPr>
                <w:rFonts w:ascii="Arial" w:eastAsia="Arial" w:hAnsi="Arial" w:cs="Arial"/>
                <w:color w:val="000000"/>
                <w:sz w:val="16"/>
              </w:rPr>
              <w:t>Administered Expenses</w:t>
            </w:r>
          </w:p>
        </w:tc>
        <w:tc>
          <w:tcPr>
            <w:tcW w:w="1230" w:type="dxa"/>
            <w:tcBorders>
              <w:top w:val="nil"/>
              <w:left w:val="nil"/>
              <w:bottom w:val="nil"/>
              <w:right w:val="nil"/>
              <w:tl2br w:val="nil"/>
              <w:tr2bl w:val="nil"/>
            </w:tcBorders>
            <w:shd w:val="clear" w:color="auto" w:fill="FFFFFF"/>
            <w:tcMar>
              <w:left w:w="101" w:type="dxa"/>
              <w:right w:w="101" w:type="dxa"/>
            </w:tcMar>
            <w:vAlign w:val="bottom"/>
          </w:tcPr>
          <w:p w14:paraId="74A51E1B" w14:textId="77777777" w:rsidR="003F0EEA" w:rsidRPr="0087290F" w:rsidRDefault="003F0EEA">
            <w:pPr>
              <w:jc w:val="right"/>
              <w:rPr>
                <w:rFonts w:ascii="Arial" w:eastAsia="Arial" w:hAnsi="Arial" w:cs="Arial"/>
                <w:color w:val="000000"/>
                <w:sz w:val="16"/>
                <w:vertAlign w:val="superscript"/>
              </w:rPr>
            </w:pPr>
          </w:p>
        </w:tc>
        <w:tc>
          <w:tcPr>
            <w:tcW w:w="1230" w:type="dxa"/>
            <w:tcBorders>
              <w:top w:val="nil"/>
              <w:left w:val="nil"/>
              <w:bottom w:val="nil"/>
              <w:right w:val="nil"/>
              <w:tl2br w:val="nil"/>
              <w:tr2bl w:val="nil"/>
            </w:tcBorders>
            <w:shd w:val="clear" w:color="auto" w:fill="FFFF00"/>
            <w:tcMar>
              <w:left w:w="101" w:type="dxa"/>
              <w:right w:w="101" w:type="dxa"/>
            </w:tcMar>
            <w:vAlign w:val="bottom"/>
          </w:tcPr>
          <w:p w14:paraId="7D80DC94" w14:textId="77777777" w:rsidR="003F0EEA" w:rsidRPr="0087290F" w:rsidRDefault="003F0EEA">
            <w:pPr>
              <w:jc w:val="right"/>
              <w:rPr>
                <w:rFonts w:ascii="Arial" w:eastAsia="Arial" w:hAnsi="Arial" w:cs="Arial"/>
                <w:color w:val="000000"/>
                <w:sz w:val="16"/>
                <w:vertAlign w:val="superscript"/>
              </w:rPr>
            </w:pPr>
          </w:p>
        </w:tc>
      </w:tr>
      <w:tr w:rsidR="00724034" w14:paraId="1F7488A4" w14:textId="77777777">
        <w:trPr>
          <w:trHeight w:val="225"/>
        </w:trPr>
        <w:tc>
          <w:tcPr>
            <w:tcW w:w="285" w:type="dxa"/>
            <w:tcBorders>
              <w:top w:val="nil"/>
              <w:left w:val="nil"/>
              <w:bottom w:val="nil"/>
              <w:right w:val="nil"/>
              <w:tl2br w:val="nil"/>
              <w:tr2bl w:val="nil"/>
            </w:tcBorders>
            <w:shd w:val="clear" w:color="auto" w:fill="FFFFFF"/>
            <w:tcMar>
              <w:left w:w="101" w:type="dxa"/>
              <w:right w:w="101" w:type="dxa"/>
            </w:tcMar>
            <w:vAlign w:val="bottom"/>
          </w:tcPr>
          <w:p w14:paraId="7F545B71" w14:textId="77777777" w:rsidR="003F0EEA" w:rsidRPr="0087290F" w:rsidRDefault="003F0EEA">
            <w:pPr>
              <w:rPr>
                <w:rFonts w:ascii="Arial" w:eastAsia="Arial" w:hAnsi="Arial" w:cs="Arial"/>
                <w:color w:val="000000"/>
                <w:sz w:val="16"/>
                <w:vertAlign w:val="superscript"/>
              </w:rPr>
            </w:pPr>
          </w:p>
        </w:tc>
        <w:tc>
          <w:tcPr>
            <w:tcW w:w="5325" w:type="dxa"/>
            <w:tcBorders>
              <w:top w:val="nil"/>
              <w:left w:val="nil"/>
              <w:bottom w:val="nil"/>
              <w:right w:val="nil"/>
              <w:tl2br w:val="nil"/>
              <w:tr2bl w:val="nil"/>
            </w:tcBorders>
            <w:shd w:val="clear" w:color="auto" w:fill="FFFFFF"/>
            <w:tcMar>
              <w:left w:w="101" w:type="dxa"/>
              <w:right w:w="101" w:type="dxa"/>
            </w:tcMar>
            <w:vAlign w:val="bottom"/>
          </w:tcPr>
          <w:p w14:paraId="6244FD6D" w14:textId="77777777" w:rsidR="003F0EEA" w:rsidRPr="0087290F" w:rsidRDefault="00FB7D0B">
            <w:pPr>
              <w:rPr>
                <w:rFonts w:ascii="Arial" w:eastAsia="Arial" w:hAnsi="Arial" w:cs="Arial"/>
                <w:color w:val="000000"/>
                <w:sz w:val="16"/>
                <w:vertAlign w:val="superscript"/>
              </w:rPr>
            </w:pPr>
            <w:r w:rsidRPr="0087290F">
              <w:rPr>
                <w:rFonts w:ascii="Arial" w:eastAsia="Arial" w:hAnsi="Arial" w:cs="Arial"/>
                <w:color w:val="000000"/>
                <w:sz w:val="16"/>
              </w:rPr>
              <w:t>Ordinary annual services (Appropriation Bill No. 1)</w:t>
            </w:r>
          </w:p>
        </w:tc>
        <w:tc>
          <w:tcPr>
            <w:tcW w:w="1230" w:type="dxa"/>
            <w:tcBorders>
              <w:top w:val="nil"/>
              <w:left w:val="nil"/>
              <w:bottom w:val="nil"/>
              <w:right w:val="nil"/>
              <w:tl2br w:val="nil"/>
              <w:tr2bl w:val="nil"/>
            </w:tcBorders>
            <w:shd w:val="clear" w:color="auto" w:fill="FFFFFF"/>
            <w:tcMar>
              <w:left w:w="101" w:type="dxa"/>
              <w:right w:w="101" w:type="dxa"/>
            </w:tcMar>
            <w:vAlign w:val="bottom"/>
          </w:tcPr>
          <w:p w14:paraId="0BBB36B6" w14:textId="77777777" w:rsidR="003F0EEA" w:rsidRPr="0087290F" w:rsidRDefault="00FB7D0B">
            <w:pPr>
              <w:jc w:val="right"/>
              <w:rPr>
                <w:rFonts w:ascii="Arial" w:eastAsia="Arial" w:hAnsi="Arial" w:cs="Arial"/>
                <w:color w:val="000000"/>
                <w:sz w:val="16"/>
                <w:vertAlign w:val="superscript"/>
              </w:rPr>
            </w:pPr>
            <w:r w:rsidRPr="0087290F">
              <w:rPr>
                <w:rFonts w:ascii="Arial" w:eastAsia="Arial" w:hAnsi="Arial" w:cs="Arial"/>
                <w:color w:val="000000"/>
                <w:sz w:val="16"/>
              </w:rPr>
              <w:t xml:space="preserve"> 2,668 </w:t>
            </w:r>
          </w:p>
        </w:tc>
        <w:tc>
          <w:tcPr>
            <w:tcW w:w="1230" w:type="dxa"/>
            <w:tcBorders>
              <w:top w:val="nil"/>
              <w:left w:val="nil"/>
              <w:bottom w:val="nil"/>
              <w:right w:val="nil"/>
              <w:tl2br w:val="nil"/>
              <w:tr2bl w:val="nil"/>
            </w:tcBorders>
            <w:shd w:val="clear" w:color="auto" w:fill="FFFF00"/>
            <w:tcMar>
              <w:left w:w="101" w:type="dxa"/>
              <w:right w:w="101" w:type="dxa"/>
            </w:tcMar>
            <w:vAlign w:val="bottom"/>
          </w:tcPr>
          <w:p w14:paraId="282E9E1D" w14:textId="77777777" w:rsidR="003F0EEA" w:rsidRPr="0087290F" w:rsidRDefault="00FB7D0B">
            <w:pPr>
              <w:jc w:val="right"/>
              <w:rPr>
                <w:rFonts w:ascii="Arial" w:eastAsia="Arial" w:hAnsi="Arial" w:cs="Arial"/>
                <w:color w:val="000000"/>
                <w:sz w:val="16"/>
              </w:rPr>
            </w:pPr>
            <w:r w:rsidRPr="0087290F">
              <w:rPr>
                <w:rFonts w:ascii="Arial" w:eastAsia="Arial" w:hAnsi="Arial" w:cs="Arial"/>
                <w:color w:val="000000"/>
                <w:sz w:val="16"/>
              </w:rPr>
              <w:t xml:space="preserve"> 2,629 </w:t>
            </w:r>
          </w:p>
        </w:tc>
      </w:tr>
      <w:tr w:rsidR="00724034" w14:paraId="2990A39B" w14:textId="77777777">
        <w:trPr>
          <w:trHeight w:val="225"/>
        </w:trPr>
        <w:tc>
          <w:tcPr>
            <w:tcW w:w="285" w:type="dxa"/>
            <w:tcBorders>
              <w:top w:val="nil"/>
              <w:left w:val="nil"/>
              <w:bottom w:val="nil"/>
              <w:right w:val="nil"/>
              <w:tl2br w:val="nil"/>
              <w:tr2bl w:val="nil"/>
            </w:tcBorders>
            <w:shd w:val="clear" w:color="auto" w:fill="FFFFFF"/>
            <w:tcMar>
              <w:left w:w="101" w:type="dxa"/>
              <w:right w:w="101" w:type="dxa"/>
            </w:tcMar>
            <w:vAlign w:val="bottom"/>
          </w:tcPr>
          <w:p w14:paraId="54AAC7B4" w14:textId="77777777" w:rsidR="003F0EEA" w:rsidRPr="0087290F" w:rsidRDefault="003F0EEA">
            <w:pPr>
              <w:rPr>
                <w:rFonts w:ascii="Arial" w:eastAsia="Arial" w:hAnsi="Arial" w:cs="Arial"/>
                <w:color w:val="000000"/>
                <w:sz w:val="16"/>
              </w:rPr>
            </w:pPr>
          </w:p>
        </w:tc>
        <w:tc>
          <w:tcPr>
            <w:tcW w:w="5325" w:type="dxa"/>
            <w:tcBorders>
              <w:top w:val="nil"/>
              <w:left w:val="nil"/>
              <w:bottom w:val="nil"/>
              <w:right w:val="nil"/>
              <w:tl2br w:val="nil"/>
              <w:tr2bl w:val="nil"/>
            </w:tcBorders>
            <w:shd w:val="clear" w:color="auto" w:fill="FFFFFF"/>
            <w:tcMar>
              <w:left w:w="101" w:type="dxa"/>
              <w:right w:w="101" w:type="dxa"/>
            </w:tcMar>
            <w:vAlign w:val="bottom"/>
          </w:tcPr>
          <w:p w14:paraId="36BC3336" w14:textId="77777777" w:rsidR="003F0EEA" w:rsidRPr="0087290F" w:rsidRDefault="00FB7D0B">
            <w:pPr>
              <w:rPr>
                <w:rFonts w:ascii="Arial" w:eastAsia="Arial" w:hAnsi="Arial" w:cs="Arial"/>
                <w:color w:val="000000"/>
                <w:sz w:val="16"/>
              </w:rPr>
            </w:pPr>
            <w:r w:rsidRPr="0087290F">
              <w:rPr>
                <w:rFonts w:ascii="Arial" w:eastAsia="Arial" w:hAnsi="Arial" w:cs="Arial"/>
                <w:color w:val="000000"/>
                <w:sz w:val="16"/>
              </w:rPr>
              <w:t>Other services (Appropriation Bill No. 2)</w:t>
            </w:r>
          </w:p>
        </w:tc>
        <w:tc>
          <w:tcPr>
            <w:tcW w:w="1230" w:type="dxa"/>
            <w:tcBorders>
              <w:top w:val="nil"/>
              <w:left w:val="nil"/>
              <w:bottom w:val="nil"/>
              <w:right w:val="nil"/>
              <w:tl2br w:val="nil"/>
              <w:tr2bl w:val="nil"/>
            </w:tcBorders>
            <w:shd w:val="clear" w:color="auto" w:fill="FFFFFF"/>
            <w:tcMar>
              <w:left w:w="101" w:type="dxa"/>
              <w:right w:w="101" w:type="dxa"/>
            </w:tcMar>
            <w:vAlign w:val="bottom"/>
          </w:tcPr>
          <w:p w14:paraId="6D056AE4" w14:textId="77777777" w:rsidR="003F0EEA" w:rsidRPr="0087290F" w:rsidRDefault="00FB7D0B">
            <w:pPr>
              <w:jc w:val="right"/>
              <w:rPr>
                <w:rFonts w:ascii="Arial" w:eastAsia="Arial" w:hAnsi="Arial" w:cs="Arial"/>
                <w:color w:val="000000"/>
                <w:sz w:val="16"/>
                <w:vertAlign w:val="superscript"/>
              </w:rPr>
            </w:pPr>
            <w:r w:rsidRPr="0087290F">
              <w:rPr>
                <w:rFonts w:ascii="Arial" w:eastAsia="Arial" w:hAnsi="Arial" w:cs="Arial"/>
                <w:color w:val="000000"/>
                <w:sz w:val="16"/>
              </w:rPr>
              <w:t xml:space="preserve"> - </w:t>
            </w:r>
          </w:p>
        </w:tc>
        <w:tc>
          <w:tcPr>
            <w:tcW w:w="1230" w:type="dxa"/>
            <w:tcBorders>
              <w:top w:val="nil"/>
              <w:left w:val="nil"/>
              <w:bottom w:val="nil"/>
              <w:right w:val="nil"/>
              <w:tl2br w:val="nil"/>
              <w:tr2bl w:val="nil"/>
            </w:tcBorders>
            <w:shd w:val="clear" w:color="auto" w:fill="FFFF00"/>
            <w:tcMar>
              <w:left w:w="101" w:type="dxa"/>
              <w:right w:w="101" w:type="dxa"/>
            </w:tcMar>
            <w:vAlign w:val="bottom"/>
          </w:tcPr>
          <w:p w14:paraId="03E2A996" w14:textId="77777777" w:rsidR="003F0EEA" w:rsidRPr="0087290F" w:rsidRDefault="00FB7D0B">
            <w:pPr>
              <w:jc w:val="right"/>
              <w:rPr>
                <w:rFonts w:ascii="Arial" w:eastAsia="Arial" w:hAnsi="Arial" w:cs="Arial"/>
                <w:color w:val="000000"/>
                <w:sz w:val="16"/>
              </w:rPr>
            </w:pPr>
            <w:r w:rsidRPr="0087290F">
              <w:rPr>
                <w:rFonts w:ascii="Arial" w:eastAsia="Arial" w:hAnsi="Arial" w:cs="Arial"/>
                <w:color w:val="000000"/>
                <w:sz w:val="16"/>
              </w:rPr>
              <w:t xml:space="preserve"> - </w:t>
            </w:r>
          </w:p>
        </w:tc>
      </w:tr>
      <w:tr w:rsidR="00724034" w14:paraId="296029D4" w14:textId="77777777">
        <w:trPr>
          <w:trHeight w:val="225"/>
        </w:trPr>
        <w:tc>
          <w:tcPr>
            <w:tcW w:w="285" w:type="dxa"/>
            <w:tcBorders>
              <w:top w:val="nil"/>
              <w:left w:val="nil"/>
              <w:bottom w:val="nil"/>
              <w:right w:val="nil"/>
              <w:tl2br w:val="nil"/>
              <w:tr2bl w:val="nil"/>
            </w:tcBorders>
            <w:shd w:val="clear" w:color="auto" w:fill="FFFFFF"/>
            <w:tcMar>
              <w:left w:w="101" w:type="dxa"/>
              <w:right w:w="101" w:type="dxa"/>
            </w:tcMar>
            <w:vAlign w:val="bottom"/>
          </w:tcPr>
          <w:p w14:paraId="2CE1290F" w14:textId="77777777" w:rsidR="003F0EEA" w:rsidRPr="0087290F" w:rsidRDefault="003F0EEA">
            <w:pPr>
              <w:rPr>
                <w:rFonts w:ascii="Arial" w:eastAsia="Arial" w:hAnsi="Arial" w:cs="Arial"/>
                <w:color w:val="000000"/>
                <w:sz w:val="16"/>
              </w:rPr>
            </w:pPr>
          </w:p>
        </w:tc>
        <w:tc>
          <w:tcPr>
            <w:tcW w:w="5325" w:type="dxa"/>
            <w:tcBorders>
              <w:top w:val="nil"/>
              <w:left w:val="nil"/>
              <w:bottom w:val="nil"/>
              <w:right w:val="nil"/>
              <w:tl2br w:val="nil"/>
              <w:tr2bl w:val="nil"/>
            </w:tcBorders>
            <w:shd w:val="clear" w:color="auto" w:fill="FFFFFF"/>
            <w:tcMar>
              <w:left w:w="101" w:type="dxa"/>
              <w:right w:w="101" w:type="dxa"/>
            </w:tcMar>
            <w:vAlign w:val="bottom"/>
          </w:tcPr>
          <w:p w14:paraId="54F0DD52" w14:textId="77777777" w:rsidR="003F0EEA" w:rsidRPr="0087290F" w:rsidRDefault="00FB7D0B">
            <w:pPr>
              <w:rPr>
                <w:rFonts w:ascii="Arial" w:eastAsia="Arial" w:hAnsi="Arial" w:cs="Arial"/>
                <w:color w:val="000000"/>
                <w:sz w:val="16"/>
              </w:rPr>
            </w:pPr>
            <w:r w:rsidRPr="0087290F">
              <w:rPr>
                <w:rFonts w:ascii="Arial" w:eastAsia="Arial" w:hAnsi="Arial" w:cs="Arial"/>
                <w:color w:val="000000"/>
                <w:sz w:val="16"/>
              </w:rPr>
              <w:t>Special Appropriations</w:t>
            </w:r>
          </w:p>
        </w:tc>
        <w:tc>
          <w:tcPr>
            <w:tcW w:w="1230" w:type="dxa"/>
            <w:tcBorders>
              <w:top w:val="nil"/>
              <w:left w:val="nil"/>
              <w:bottom w:val="nil"/>
              <w:right w:val="nil"/>
              <w:tl2br w:val="nil"/>
              <w:tr2bl w:val="nil"/>
            </w:tcBorders>
            <w:shd w:val="clear" w:color="auto" w:fill="FFFFFF"/>
            <w:tcMar>
              <w:left w:w="101" w:type="dxa"/>
              <w:right w:w="101" w:type="dxa"/>
            </w:tcMar>
            <w:vAlign w:val="bottom"/>
          </w:tcPr>
          <w:p w14:paraId="37676775" w14:textId="77777777" w:rsidR="003F0EEA" w:rsidRPr="0087290F" w:rsidRDefault="00FB7D0B">
            <w:pPr>
              <w:jc w:val="right"/>
              <w:rPr>
                <w:rFonts w:ascii="Arial" w:eastAsia="Arial" w:hAnsi="Arial" w:cs="Arial"/>
                <w:color w:val="000000"/>
                <w:sz w:val="16"/>
                <w:vertAlign w:val="superscript"/>
              </w:rPr>
            </w:pPr>
            <w:r w:rsidRPr="0087290F">
              <w:rPr>
                <w:rFonts w:ascii="Arial" w:eastAsia="Arial" w:hAnsi="Arial" w:cs="Arial"/>
                <w:color w:val="000000"/>
                <w:sz w:val="16"/>
              </w:rPr>
              <w:t xml:space="preserve"> 1,612,056 </w:t>
            </w:r>
          </w:p>
        </w:tc>
        <w:tc>
          <w:tcPr>
            <w:tcW w:w="1230" w:type="dxa"/>
            <w:tcBorders>
              <w:top w:val="nil"/>
              <w:left w:val="nil"/>
              <w:bottom w:val="nil"/>
              <w:right w:val="nil"/>
              <w:tl2br w:val="nil"/>
              <w:tr2bl w:val="nil"/>
            </w:tcBorders>
            <w:shd w:val="clear" w:color="auto" w:fill="FFFF00"/>
            <w:tcMar>
              <w:left w:w="101" w:type="dxa"/>
              <w:right w:w="101" w:type="dxa"/>
            </w:tcMar>
            <w:vAlign w:val="bottom"/>
          </w:tcPr>
          <w:p w14:paraId="14F8D716" w14:textId="77777777" w:rsidR="003F0EEA" w:rsidRPr="0087290F" w:rsidRDefault="00FB7D0B">
            <w:pPr>
              <w:jc w:val="right"/>
              <w:rPr>
                <w:rFonts w:ascii="Arial" w:eastAsia="Arial" w:hAnsi="Arial" w:cs="Arial"/>
                <w:color w:val="000000"/>
                <w:sz w:val="16"/>
              </w:rPr>
            </w:pPr>
            <w:r w:rsidRPr="0087290F">
              <w:rPr>
                <w:rFonts w:ascii="Arial" w:eastAsia="Arial" w:hAnsi="Arial" w:cs="Arial"/>
                <w:color w:val="000000"/>
                <w:sz w:val="16"/>
              </w:rPr>
              <w:t xml:space="preserve"> 1,757,774 </w:t>
            </w:r>
          </w:p>
        </w:tc>
      </w:tr>
      <w:tr w:rsidR="00724034" w14:paraId="2E3829EC" w14:textId="77777777">
        <w:trPr>
          <w:trHeight w:val="225"/>
        </w:trPr>
        <w:tc>
          <w:tcPr>
            <w:tcW w:w="285" w:type="dxa"/>
            <w:tcBorders>
              <w:top w:val="nil"/>
              <w:left w:val="nil"/>
              <w:bottom w:val="nil"/>
              <w:right w:val="nil"/>
              <w:tl2br w:val="nil"/>
              <w:tr2bl w:val="nil"/>
            </w:tcBorders>
            <w:shd w:val="clear" w:color="auto" w:fill="FFFFFF"/>
            <w:tcMar>
              <w:left w:w="101" w:type="dxa"/>
              <w:right w:w="101" w:type="dxa"/>
            </w:tcMar>
            <w:vAlign w:val="bottom"/>
          </w:tcPr>
          <w:p w14:paraId="693184C0" w14:textId="77777777" w:rsidR="003F0EEA" w:rsidRPr="0087290F" w:rsidRDefault="003F0EEA">
            <w:pPr>
              <w:rPr>
                <w:rFonts w:ascii="Arial" w:eastAsia="Arial" w:hAnsi="Arial" w:cs="Arial"/>
                <w:color w:val="000000"/>
                <w:sz w:val="16"/>
              </w:rPr>
            </w:pPr>
          </w:p>
        </w:tc>
        <w:tc>
          <w:tcPr>
            <w:tcW w:w="5325" w:type="dxa"/>
            <w:tcBorders>
              <w:top w:val="nil"/>
              <w:left w:val="nil"/>
              <w:bottom w:val="nil"/>
              <w:right w:val="nil"/>
              <w:tl2br w:val="nil"/>
              <w:tr2bl w:val="nil"/>
            </w:tcBorders>
            <w:shd w:val="clear" w:color="auto" w:fill="FFFFFF"/>
            <w:tcMar>
              <w:left w:w="101" w:type="dxa"/>
              <w:right w:w="101" w:type="dxa"/>
            </w:tcMar>
            <w:vAlign w:val="bottom"/>
          </w:tcPr>
          <w:p w14:paraId="2BBEB8AE" w14:textId="77777777" w:rsidR="003F0EEA" w:rsidRPr="0087290F" w:rsidRDefault="00FB7D0B">
            <w:pPr>
              <w:rPr>
                <w:rFonts w:ascii="Arial" w:eastAsia="Arial" w:hAnsi="Arial" w:cs="Arial"/>
                <w:color w:val="000000"/>
                <w:sz w:val="16"/>
              </w:rPr>
            </w:pPr>
            <w:r w:rsidRPr="0087290F">
              <w:rPr>
                <w:rFonts w:ascii="Arial" w:eastAsia="Arial" w:hAnsi="Arial" w:cs="Arial"/>
                <w:color w:val="000000"/>
                <w:sz w:val="16"/>
              </w:rPr>
              <w:t>Special Accounts</w:t>
            </w:r>
          </w:p>
        </w:tc>
        <w:tc>
          <w:tcPr>
            <w:tcW w:w="1230" w:type="dxa"/>
            <w:tcBorders>
              <w:top w:val="nil"/>
              <w:left w:val="nil"/>
              <w:bottom w:val="nil"/>
              <w:right w:val="nil"/>
              <w:tl2br w:val="nil"/>
              <w:tr2bl w:val="nil"/>
            </w:tcBorders>
            <w:shd w:val="clear" w:color="auto" w:fill="FFFFFF"/>
            <w:tcMar>
              <w:left w:w="101" w:type="dxa"/>
              <w:right w:w="101" w:type="dxa"/>
            </w:tcMar>
            <w:vAlign w:val="bottom"/>
          </w:tcPr>
          <w:p w14:paraId="4EBFB983" w14:textId="77777777" w:rsidR="003F0EEA" w:rsidRPr="0087290F" w:rsidRDefault="00FB7D0B">
            <w:pPr>
              <w:jc w:val="right"/>
              <w:rPr>
                <w:rFonts w:ascii="Arial" w:eastAsia="Arial" w:hAnsi="Arial" w:cs="Arial"/>
                <w:color w:val="000000"/>
                <w:sz w:val="16"/>
                <w:vertAlign w:val="superscript"/>
              </w:rPr>
            </w:pPr>
            <w:r w:rsidRPr="0087290F">
              <w:rPr>
                <w:rFonts w:ascii="Arial" w:eastAsia="Arial" w:hAnsi="Arial" w:cs="Arial"/>
                <w:color w:val="000000"/>
                <w:sz w:val="16"/>
              </w:rPr>
              <w:t xml:space="preserve"> - </w:t>
            </w:r>
          </w:p>
        </w:tc>
        <w:tc>
          <w:tcPr>
            <w:tcW w:w="1230" w:type="dxa"/>
            <w:tcBorders>
              <w:top w:val="nil"/>
              <w:left w:val="nil"/>
              <w:bottom w:val="nil"/>
              <w:right w:val="nil"/>
              <w:tl2br w:val="nil"/>
              <w:tr2bl w:val="nil"/>
            </w:tcBorders>
            <w:shd w:val="clear" w:color="auto" w:fill="FFFF00"/>
            <w:tcMar>
              <w:left w:w="101" w:type="dxa"/>
              <w:right w:w="101" w:type="dxa"/>
            </w:tcMar>
            <w:vAlign w:val="bottom"/>
          </w:tcPr>
          <w:p w14:paraId="2C3CA950" w14:textId="77777777" w:rsidR="003F0EEA" w:rsidRPr="0087290F" w:rsidRDefault="00FB7D0B">
            <w:pPr>
              <w:jc w:val="right"/>
              <w:rPr>
                <w:rFonts w:ascii="Arial" w:eastAsia="Arial" w:hAnsi="Arial" w:cs="Arial"/>
                <w:color w:val="000000"/>
                <w:sz w:val="16"/>
              </w:rPr>
            </w:pPr>
            <w:r w:rsidRPr="0087290F">
              <w:rPr>
                <w:rFonts w:ascii="Arial" w:eastAsia="Arial" w:hAnsi="Arial" w:cs="Arial"/>
                <w:color w:val="000000"/>
                <w:sz w:val="16"/>
              </w:rPr>
              <w:t xml:space="preserve"> - </w:t>
            </w:r>
          </w:p>
        </w:tc>
      </w:tr>
      <w:tr w:rsidR="00FB7D0B" w14:paraId="5DED3EBA" w14:textId="77777777" w:rsidTr="00FB7D0B">
        <w:trPr>
          <w:trHeight w:val="225"/>
        </w:trPr>
        <w:tc>
          <w:tcPr>
            <w:tcW w:w="5610" w:type="dxa"/>
            <w:gridSpan w:val="2"/>
            <w:tcBorders>
              <w:top w:val="nil"/>
              <w:left w:val="nil"/>
              <w:bottom w:val="nil"/>
              <w:right w:val="nil"/>
              <w:tl2br w:val="nil"/>
              <w:tr2bl w:val="nil"/>
            </w:tcBorders>
            <w:shd w:val="clear" w:color="auto" w:fill="FFFFFF"/>
            <w:tcMar>
              <w:left w:w="101" w:type="dxa"/>
              <w:right w:w="101" w:type="dxa"/>
            </w:tcMar>
            <w:vAlign w:val="bottom"/>
          </w:tcPr>
          <w:p w14:paraId="3BACFDA1" w14:textId="77777777" w:rsidR="003F0EEA" w:rsidRPr="0087290F" w:rsidRDefault="00FB7D0B">
            <w:pPr>
              <w:rPr>
                <w:rFonts w:ascii="Arial" w:eastAsia="Arial" w:hAnsi="Arial" w:cs="Arial"/>
                <w:color w:val="000000"/>
                <w:sz w:val="16"/>
              </w:rPr>
            </w:pPr>
            <w:r w:rsidRPr="0087290F">
              <w:rPr>
                <w:rFonts w:ascii="Arial" w:eastAsia="Arial" w:hAnsi="Arial" w:cs="Arial"/>
                <w:color w:val="000000"/>
                <w:sz w:val="16"/>
              </w:rPr>
              <w:t>Departmental Expenses</w:t>
            </w:r>
          </w:p>
        </w:tc>
        <w:tc>
          <w:tcPr>
            <w:tcW w:w="1230" w:type="dxa"/>
            <w:tcBorders>
              <w:top w:val="nil"/>
              <w:left w:val="nil"/>
              <w:bottom w:val="nil"/>
              <w:right w:val="nil"/>
              <w:tl2br w:val="nil"/>
              <w:tr2bl w:val="nil"/>
            </w:tcBorders>
            <w:shd w:val="clear" w:color="auto" w:fill="FFFFFF"/>
            <w:tcMar>
              <w:left w:w="101" w:type="dxa"/>
              <w:right w:w="101" w:type="dxa"/>
            </w:tcMar>
            <w:vAlign w:val="bottom"/>
          </w:tcPr>
          <w:p w14:paraId="768ADA7C" w14:textId="77777777" w:rsidR="003F0EEA" w:rsidRPr="0087290F" w:rsidRDefault="003F0EEA">
            <w:pPr>
              <w:jc w:val="right"/>
              <w:rPr>
                <w:rFonts w:ascii="Arial" w:eastAsia="Arial" w:hAnsi="Arial" w:cs="Arial"/>
                <w:color w:val="000000"/>
                <w:sz w:val="16"/>
                <w:vertAlign w:val="superscript"/>
              </w:rPr>
            </w:pPr>
          </w:p>
        </w:tc>
        <w:tc>
          <w:tcPr>
            <w:tcW w:w="1230" w:type="dxa"/>
            <w:tcBorders>
              <w:top w:val="nil"/>
              <w:left w:val="nil"/>
              <w:bottom w:val="nil"/>
              <w:right w:val="nil"/>
              <w:tl2br w:val="nil"/>
              <w:tr2bl w:val="nil"/>
            </w:tcBorders>
            <w:shd w:val="clear" w:color="auto" w:fill="FFFF00"/>
            <w:tcMar>
              <w:left w:w="101" w:type="dxa"/>
              <w:right w:w="101" w:type="dxa"/>
            </w:tcMar>
            <w:vAlign w:val="bottom"/>
          </w:tcPr>
          <w:p w14:paraId="47ECAE73" w14:textId="77777777" w:rsidR="003F0EEA" w:rsidRPr="0087290F" w:rsidRDefault="003F0EEA">
            <w:pPr>
              <w:jc w:val="right"/>
              <w:rPr>
                <w:rFonts w:ascii="Arial" w:eastAsia="Arial" w:hAnsi="Arial" w:cs="Arial"/>
                <w:color w:val="000000"/>
                <w:sz w:val="16"/>
                <w:vertAlign w:val="superscript"/>
              </w:rPr>
            </w:pPr>
          </w:p>
        </w:tc>
      </w:tr>
      <w:tr w:rsidR="00724034" w14:paraId="62887442" w14:textId="77777777">
        <w:trPr>
          <w:trHeight w:val="225"/>
        </w:trPr>
        <w:tc>
          <w:tcPr>
            <w:tcW w:w="285" w:type="dxa"/>
            <w:tcBorders>
              <w:top w:val="nil"/>
              <w:left w:val="nil"/>
              <w:bottom w:val="nil"/>
              <w:right w:val="nil"/>
              <w:tl2br w:val="nil"/>
              <w:tr2bl w:val="nil"/>
            </w:tcBorders>
            <w:shd w:val="clear" w:color="auto" w:fill="FFFFFF"/>
            <w:tcMar>
              <w:left w:w="101" w:type="dxa"/>
              <w:right w:w="101" w:type="dxa"/>
            </w:tcMar>
            <w:vAlign w:val="bottom"/>
          </w:tcPr>
          <w:p w14:paraId="718C5450" w14:textId="77777777" w:rsidR="003F0EEA" w:rsidRPr="0087290F" w:rsidRDefault="003F0EEA">
            <w:pPr>
              <w:rPr>
                <w:rFonts w:ascii="Arial" w:eastAsia="Arial" w:hAnsi="Arial" w:cs="Arial"/>
                <w:color w:val="000000"/>
                <w:sz w:val="16"/>
                <w:vertAlign w:val="superscript"/>
              </w:rPr>
            </w:pPr>
          </w:p>
        </w:tc>
        <w:tc>
          <w:tcPr>
            <w:tcW w:w="5325" w:type="dxa"/>
            <w:tcBorders>
              <w:top w:val="nil"/>
              <w:left w:val="nil"/>
              <w:bottom w:val="nil"/>
              <w:right w:val="nil"/>
              <w:tl2br w:val="nil"/>
              <w:tr2bl w:val="nil"/>
            </w:tcBorders>
            <w:shd w:val="clear" w:color="auto" w:fill="FFFFFF"/>
            <w:tcMar>
              <w:left w:w="101" w:type="dxa"/>
              <w:right w:w="101" w:type="dxa"/>
            </w:tcMar>
            <w:vAlign w:val="bottom"/>
          </w:tcPr>
          <w:p w14:paraId="2F8B6CBC" w14:textId="77777777" w:rsidR="003F0EEA" w:rsidRPr="0087290F" w:rsidRDefault="00FB7D0B">
            <w:pPr>
              <w:rPr>
                <w:rFonts w:ascii="Arial" w:eastAsia="Arial" w:hAnsi="Arial" w:cs="Arial"/>
                <w:color w:val="000000"/>
                <w:sz w:val="16"/>
                <w:vertAlign w:val="superscript"/>
              </w:rPr>
            </w:pPr>
            <w:r w:rsidRPr="0087290F">
              <w:rPr>
                <w:rFonts w:ascii="Arial" w:eastAsia="Arial" w:hAnsi="Arial" w:cs="Arial"/>
                <w:color w:val="000000"/>
                <w:sz w:val="16"/>
              </w:rPr>
              <w:t>Departmental appropriation</w:t>
            </w:r>
            <w:r w:rsidRPr="0087290F">
              <w:rPr>
                <w:rFonts w:ascii="Arial" w:eastAsia="Arial" w:hAnsi="Arial" w:cs="Arial"/>
                <w:color w:val="000000"/>
                <w:sz w:val="16"/>
                <w:vertAlign w:val="superscript"/>
              </w:rPr>
              <w:t>1 </w:t>
            </w:r>
          </w:p>
        </w:tc>
        <w:tc>
          <w:tcPr>
            <w:tcW w:w="1230" w:type="dxa"/>
            <w:tcBorders>
              <w:top w:val="nil"/>
              <w:left w:val="nil"/>
              <w:bottom w:val="nil"/>
              <w:right w:val="nil"/>
              <w:tl2br w:val="nil"/>
              <w:tr2bl w:val="nil"/>
            </w:tcBorders>
            <w:shd w:val="clear" w:color="auto" w:fill="FFFFFF"/>
            <w:tcMar>
              <w:left w:w="101" w:type="dxa"/>
              <w:right w:w="101" w:type="dxa"/>
            </w:tcMar>
            <w:vAlign w:val="bottom"/>
          </w:tcPr>
          <w:p w14:paraId="12D742E3" w14:textId="77777777" w:rsidR="003F0EEA" w:rsidRPr="0087290F" w:rsidRDefault="00FB7D0B">
            <w:pPr>
              <w:jc w:val="right"/>
              <w:rPr>
                <w:rFonts w:ascii="Arial" w:eastAsia="Arial" w:hAnsi="Arial" w:cs="Arial"/>
                <w:color w:val="000000"/>
                <w:sz w:val="16"/>
                <w:vertAlign w:val="superscript"/>
              </w:rPr>
            </w:pPr>
            <w:r w:rsidRPr="0087290F">
              <w:rPr>
                <w:rFonts w:ascii="Arial" w:eastAsia="Arial" w:hAnsi="Arial" w:cs="Arial"/>
                <w:color w:val="000000"/>
                <w:sz w:val="16"/>
              </w:rPr>
              <w:t xml:space="preserve"> 26,831 </w:t>
            </w:r>
          </w:p>
        </w:tc>
        <w:tc>
          <w:tcPr>
            <w:tcW w:w="1230" w:type="dxa"/>
            <w:tcBorders>
              <w:top w:val="nil"/>
              <w:left w:val="nil"/>
              <w:bottom w:val="nil"/>
              <w:right w:val="nil"/>
              <w:tl2br w:val="nil"/>
              <w:tr2bl w:val="nil"/>
            </w:tcBorders>
            <w:shd w:val="clear" w:color="auto" w:fill="FFFF00"/>
            <w:tcMar>
              <w:left w:w="101" w:type="dxa"/>
              <w:right w:w="101" w:type="dxa"/>
            </w:tcMar>
            <w:vAlign w:val="bottom"/>
          </w:tcPr>
          <w:p w14:paraId="672DC917" w14:textId="77777777" w:rsidR="003F0EEA" w:rsidRPr="0087290F" w:rsidRDefault="00FB7D0B">
            <w:pPr>
              <w:jc w:val="right"/>
              <w:rPr>
                <w:rFonts w:ascii="Arial" w:eastAsia="Arial" w:hAnsi="Arial" w:cs="Arial"/>
                <w:color w:val="000000"/>
                <w:sz w:val="16"/>
              </w:rPr>
            </w:pPr>
            <w:r w:rsidRPr="0087290F">
              <w:rPr>
                <w:rFonts w:ascii="Arial" w:eastAsia="Arial" w:hAnsi="Arial" w:cs="Arial"/>
                <w:color w:val="000000"/>
                <w:sz w:val="16"/>
              </w:rPr>
              <w:t xml:space="preserve"> 26,220 </w:t>
            </w:r>
          </w:p>
        </w:tc>
      </w:tr>
      <w:tr w:rsidR="00724034" w14:paraId="6E1E2881" w14:textId="77777777">
        <w:trPr>
          <w:trHeight w:val="225"/>
        </w:trPr>
        <w:tc>
          <w:tcPr>
            <w:tcW w:w="285" w:type="dxa"/>
            <w:tcBorders>
              <w:top w:val="nil"/>
              <w:left w:val="nil"/>
              <w:bottom w:val="nil"/>
              <w:right w:val="nil"/>
              <w:tl2br w:val="nil"/>
              <w:tr2bl w:val="nil"/>
            </w:tcBorders>
            <w:shd w:val="clear" w:color="auto" w:fill="FFFFFF"/>
            <w:tcMar>
              <w:left w:w="101" w:type="dxa"/>
              <w:right w:w="101" w:type="dxa"/>
            </w:tcMar>
            <w:vAlign w:val="bottom"/>
          </w:tcPr>
          <w:p w14:paraId="27E10050" w14:textId="77777777" w:rsidR="003F0EEA" w:rsidRPr="0087290F" w:rsidRDefault="003F0EEA">
            <w:pPr>
              <w:rPr>
                <w:rFonts w:ascii="Arial" w:eastAsia="Arial" w:hAnsi="Arial" w:cs="Arial"/>
                <w:color w:val="000000"/>
                <w:sz w:val="16"/>
              </w:rPr>
            </w:pPr>
          </w:p>
        </w:tc>
        <w:tc>
          <w:tcPr>
            <w:tcW w:w="5325" w:type="dxa"/>
            <w:tcBorders>
              <w:top w:val="nil"/>
              <w:left w:val="nil"/>
              <w:bottom w:val="nil"/>
              <w:right w:val="nil"/>
              <w:tl2br w:val="nil"/>
              <w:tr2bl w:val="nil"/>
            </w:tcBorders>
            <w:shd w:val="clear" w:color="auto" w:fill="FFFFFF"/>
            <w:tcMar>
              <w:left w:w="101" w:type="dxa"/>
              <w:right w:w="101" w:type="dxa"/>
            </w:tcMar>
            <w:vAlign w:val="bottom"/>
          </w:tcPr>
          <w:p w14:paraId="7DD5CBF5" w14:textId="77777777" w:rsidR="003F0EEA" w:rsidRPr="0087290F" w:rsidRDefault="00FB7D0B">
            <w:pPr>
              <w:rPr>
                <w:rFonts w:ascii="Arial" w:eastAsia="Arial" w:hAnsi="Arial" w:cs="Arial"/>
                <w:color w:val="000000"/>
                <w:sz w:val="16"/>
              </w:rPr>
            </w:pPr>
            <w:r w:rsidRPr="0087290F">
              <w:rPr>
                <w:rFonts w:ascii="Arial" w:eastAsia="Arial" w:hAnsi="Arial" w:cs="Arial"/>
                <w:color w:val="000000"/>
                <w:sz w:val="16"/>
              </w:rPr>
              <w:t>Expenses not requiring appropriation in the Budget year</w:t>
            </w:r>
            <w:r w:rsidRPr="0087290F">
              <w:rPr>
                <w:rFonts w:ascii="Arial" w:eastAsia="Arial" w:hAnsi="Arial" w:cs="Arial"/>
                <w:color w:val="000000"/>
                <w:sz w:val="16"/>
                <w:vertAlign w:val="superscript"/>
              </w:rPr>
              <w:t>2 </w:t>
            </w:r>
          </w:p>
        </w:tc>
        <w:tc>
          <w:tcPr>
            <w:tcW w:w="1230"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0DFE807A" w14:textId="77777777" w:rsidR="003F0EEA" w:rsidRPr="0087290F" w:rsidRDefault="00FB7D0B">
            <w:pPr>
              <w:jc w:val="right"/>
              <w:rPr>
                <w:rFonts w:ascii="Arial" w:eastAsia="Arial" w:hAnsi="Arial" w:cs="Arial"/>
                <w:color w:val="000000"/>
                <w:sz w:val="16"/>
                <w:vertAlign w:val="superscript"/>
              </w:rPr>
            </w:pPr>
            <w:r w:rsidRPr="0087290F">
              <w:rPr>
                <w:rFonts w:ascii="Arial" w:eastAsia="Arial" w:hAnsi="Arial" w:cs="Arial"/>
                <w:color w:val="000000"/>
                <w:sz w:val="16"/>
              </w:rPr>
              <w:t xml:space="preserve"> 3,240 </w:t>
            </w:r>
          </w:p>
        </w:tc>
        <w:tc>
          <w:tcPr>
            <w:tcW w:w="1230" w:type="dxa"/>
            <w:tcBorders>
              <w:top w:val="nil"/>
              <w:left w:val="nil"/>
              <w:bottom w:val="single" w:sz="6" w:space="0" w:color="000000"/>
              <w:right w:val="nil"/>
              <w:tl2br w:val="nil"/>
              <w:tr2bl w:val="nil"/>
            </w:tcBorders>
            <w:shd w:val="clear" w:color="auto" w:fill="FFFF00"/>
            <w:tcMar>
              <w:left w:w="101" w:type="dxa"/>
              <w:right w:w="101" w:type="dxa"/>
            </w:tcMar>
            <w:vAlign w:val="bottom"/>
          </w:tcPr>
          <w:p w14:paraId="77936F34" w14:textId="77777777" w:rsidR="003F0EEA" w:rsidRPr="0087290F" w:rsidRDefault="00FB7D0B">
            <w:pPr>
              <w:jc w:val="right"/>
              <w:rPr>
                <w:rFonts w:ascii="Arial" w:eastAsia="Arial" w:hAnsi="Arial" w:cs="Arial"/>
                <w:color w:val="000000"/>
                <w:sz w:val="16"/>
              </w:rPr>
            </w:pPr>
            <w:r w:rsidRPr="0087290F">
              <w:rPr>
                <w:rFonts w:ascii="Arial" w:eastAsia="Arial" w:hAnsi="Arial" w:cs="Arial"/>
                <w:color w:val="000000"/>
                <w:sz w:val="16"/>
              </w:rPr>
              <w:t xml:space="preserve"> 3,620 </w:t>
            </w:r>
          </w:p>
        </w:tc>
      </w:tr>
      <w:tr w:rsidR="00724034" w14:paraId="59BBC428" w14:textId="77777777">
        <w:trPr>
          <w:trHeight w:val="225"/>
        </w:trPr>
        <w:tc>
          <w:tcPr>
            <w:tcW w:w="285" w:type="dxa"/>
            <w:tcBorders>
              <w:top w:val="nil"/>
              <w:left w:val="nil"/>
              <w:bottom w:val="nil"/>
              <w:right w:val="nil"/>
              <w:tl2br w:val="nil"/>
              <w:tr2bl w:val="nil"/>
            </w:tcBorders>
            <w:shd w:val="clear" w:color="auto" w:fill="FFFFFF"/>
            <w:tcMar>
              <w:left w:w="101" w:type="dxa"/>
              <w:right w:w="101" w:type="dxa"/>
            </w:tcMar>
            <w:vAlign w:val="bottom"/>
          </w:tcPr>
          <w:p w14:paraId="1604DE91" w14:textId="77777777" w:rsidR="003F0EEA" w:rsidRPr="0087290F" w:rsidRDefault="003F0EEA">
            <w:pPr>
              <w:rPr>
                <w:rFonts w:ascii="Arial" w:eastAsia="Arial" w:hAnsi="Arial" w:cs="Arial"/>
                <w:color w:val="000000"/>
                <w:sz w:val="16"/>
              </w:rPr>
            </w:pPr>
          </w:p>
        </w:tc>
        <w:tc>
          <w:tcPr>
            <w:tcW w:w="5325" w:type="dxa"/>
            <w:tcBorders>
              <w:top w:val="nil"/>
              <w:left w:val="nil"/>
              <w:bottom w:val="nil"/>
              <w:right w:val="nil"/>
              <w:tl2br w:val="nil"/>
              <w:tr2bl w:val="nil"/>
            </w:tcBorders>
            <w:shd w:val="clear" w:color="auto" w:fill="FFFFFF"/>
            <w:tcMar>
              <w:left w:w="101" w:type="dxa"/>
              <w:right w:w="101" w:type="dxa"/>
            </w:tcMar>
            <w:vAlign w:val="bottom"/>
          </w:tcPr>
          <w:p w14:paraId="53DB2456" w14:textId="77777777" w:rsidR="003F0EEA" w:rsidRPr="0087290F" w:rsidRDefault="00FB7D0B">
            <w:pPr>
              <w:rPr>
                <w:rFonts w:ascii="Arial" w:eastAsia="Arial" w:hAnsi="Arial" w:cs="Arial"/>
                <w:color w:val="000000"/>
                <w:sz w:val="16"/>
              </w:rPr>
            </w:pPr>
            <w:r w:rsidRPr="0087290F">
              <w:rPr>
                <w:rFonts w:ascii="Arial" w:eastAsia="Arial" w:hAnsi="Arial" w:cs="Arial"/>
                <w:b/>
                <w:color w:val="000000"/>
                <w:sz w:val="16"/>
              </w:rPr>
              <w:t>Total for Programme 2.4</w:t>
            </w:r>
          </w:p>
        </w:tc>
        <w:tc>
          <w:tcPr>
            <w:tcW w:w="1230"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190DD1E8" w14:textId="77777777" w:rsidR="003F0EEA" w:rsidRPr="0087290F" w:rsidRDefault="00FB7D0B">
            <w:pPr>
              <w:jc w:val="right"/>
              <w:rPr>
                <w:rFonts w:ascii="Arial" w:eastAsia="Arial" w:hAnsi="Arial" w:cs="Arial"/>
                <w:b/>
                <w:color w:val="000000"/>
                <w:sz w:val="16"/>
                <w:vertAlign w:val="superscript"/>
              </w:rPr>
            </w:pPr>
            <w:r w:rsidRPr="0087290F">
              <w:rPr>
                <w:rFonts w:ascii="Arial" w:eastAsia="Arial" w:hAnsi="Arial" w:cs="Arial"/>
                <w:b/>
                <w:color w:val="000000"/>
                <w:sz w:val="16"/>
              </w:rPr>
              <w:t xml:space="preserve"> 1,644,795 </w:t>
            </w:r>
          </w:p>
        </w:tc>
        <w:tc>
          <w:tcPr>
            <w:tcW w:w="1230" w:type="dxa"/>
            <w:tcBorders>
              <w:top w:val="single" w:sz="6" w:space="0" w:color="000000"/>
              <w:left w:val="nil"/>
              <w:bottom w:val="single" w:sz="6" w:space="0" w:color="000000"/>
              <w:right w:val="nil"/>
              <w:tl2br w:val="nil"/>
              <w:tr2bl w:val="nil"/>
            </w:tcBorders>
            <w:shd w:val="clear" w:color="auto" w:fill="FFFF00"/>
            <w:tcMar>
              <w:left w:w="101" w:type="dxa"/>
              <w:right w:w="101" w:type="dxa"/>
            </w:tcMar>
            <w:vAlign w:val="bottom"/>
          </w:tcPr>
          <w:p w14:paraId="423A82E1" w14:textId="77777777" w:rsidR="003F0EEA" w:rsidRPr="0087290F" w:rsidRDefault="00FB7D0B">
            <w:pPr>
              <w:jc w:val="right"/>
              <w:rPr>
                <w:rFonts w:ascii="Arial" w:eastAsia="Arial" w:hAnsi="Arial" w:cs="Arial"/>
                <w:b/>
                <w:color w:val="000000"/>
                <w:sz w:val="16"/>
              </w:rPr>
            </w:pPr>
            <w:r w:rsidRPr="0087290F">
              <w:rPr>
                <w:rFonts w:ascii="Arial" w:eastAsia="Arial" w:hAnsi="Arial" w:cs="Arial"/>
                <w:b/>
                <w:color w:val="000000"/>
                <w:sz w:val="16"/>
              </w:rPr>
              <w:t xml:space="preserve"> 1,790,243 </w:t>
            </w:r>
          </w:p>
        </w:tc>
      </w:tr>
      <w:tr w:rsidR="00724034" w14:paraId="4CC43D48" w14:textId="77777777">
        <w:trPr>
          <w:trHeight w:val="105"/>
        </w:trPr>
        <w:tc>
          <w:tcPr>
            <w:tcW w:w="285" w:type="dxa"/>
            <w:tcBorders>
              <w:top w:val="nil"/>
              <w:left w:val="nil"/>
              <w:bottom w:val="nil"/>
              <w:right w:val="nil"/>
              <w:tl2br w:val="nil"/>
              <w:tr2bl w:val="nil"/>
            </w:tcBorders>
            <w:shd w:val="clear" w:color="auto" w:fill="FFFFFF"/>
            <w:tcMar>
              <w:left w:w="101" w:type="dxa"/>
              <w:right w:w="101" w:type="dxa"/>
            </w:tcMar>
            <w:vAlign w:val="bottom"/>
          </w:tcPr>
          <w:p w14:paraId="13612B3E" w14:textId="77777777" w:rsidR="003F0EEA" w:rsidRPr="0087290F" w:rsidRDefault="003F0EEA">
            <w:pPr>
              <w:rPr>
                <w:rFonts w:ascii="Arial" w:eastAsia="Arial" w:hAnsi="Arial" w:cs="Arial"/>
                <w:b/>
                <w:color w:val="000000"/>
                <w:sz w:val="16"/>
              </w:rPr>
            </w:pPr>
          </w:p>
        </w:tc>
        <w:tc>
          <w:tcPr>
            <w:tcW w:w="5325" w:type="dxa"/>
            <w:tcBorders>
              <w:top w:val="nil"/>
              <w:left w:val="nil"/>
              <w:bottom w:val="nil"/>
              <w:right w:val="nil"/>
              <w:tl2br w:val="nil"/>
              <w:tr2bl w:val="nil"/>
            </w:tcBorders>
            <w:shd w:val="clear" w:color="auto" w:fill="FFFFFF"/>
            <w:tcMar>
              <w:left w:w="101" w:type="dxa"/>
              <w:right w:w="101" w:type="dxa"/>
            </w:tcMar>
            <w:vAlign w:val="bottom"/>
          </w:tcPr>
          <w:p w14:paraId="11C4B4E8" w14:textId="77777777" w:rsidR="003F0EEA" w:rsidRPr="0087290F" w:rsidRDefault="003F0EEA">
            <w:pPr>
              <w:rPr>
                <w:rFonts w:ascii="Arial" w:eastAsia="Arial" w:hAnsi="Arial" w:cs="Arial"/>
                <w:color w:val="000000"/>
                <w:sz w:val="16"/>
              </w:rPr>
            </w:pPr>
          </w:p>
        </w:tc>
        <w:tc>
          <w:tcPr>
            <w:tcW w:w="1230"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425CD16B" w14:textId="77777777" w:rsidR="003F0EEA" w:rsidRPr="0087290F" w:rsidRDefault="003F0EEA">
            <w:pPr>
              <w:jc w:val="right"/>
              <w:rPr>
                <w:rFonts w:ascii="Arial" w:eastAsia="Arial" w:hAnsi="Arial" w:cs="Arial"/>
                <w:b/>
                <w:color w:val="000000"/>
                <w:sz w:val="16"/>
                <w:vertAlign w:val="superscript"/>
              </w:rPr>
            </w:pPr>
          </w:p>
        </w:tc>
        <w:tc>
          <w:tcPr>
            <w:tcW w:w="1230" w:type="dxa"/>
            <w:tcBorders>
              <w:top w:val="single" w:sz="6" w:space="0" w:color="000000"/>
              <w:left w:val="nil"/>
              <w:bottom w:val="nil"/>
              <w:right w:val="nil"/>
              <w:tl2br w:val="nil"/>
              <w:tr2bl w:val="nil"/>
            </w:tcBorders>
            <w:shd w:val="clear" w:color="auto" w:fill="FFFF00"/>
            <w:tcMar>
              <w:left w:w="101" w:type="dxa"/>
              <w:right w:w="101" w:type="dxa"/>
            </w:tcMar>
            <w:vAlign w:val="bottom"/>
          </w:tcPr>
          <w:p w14:paraId="7DDAC4FE" w14:textId="77777777" w:rsidR="003F0EEA" w:rsidRPr="0087290F" w:rsidRDefault="003F0EEA">
            <w:pPr>
              <w:jc w:val="right"/>
              <w:rPr>
                <w:rFonts w:ascii="Arial" w:eastAsia="Arial" w:hAnsi="Arial" w:cs="Arial"/>
                <w:color w:val="000000"/>
                <w:sz w:val="16"/>
                <w:vertAlign w:val="superscript"/>
              </w:rPr>
            </w:pPr>
          </w:p>
        </w:tc>
      </w:tr>
      <w:tr w:rsidR="00FB7D0B" w14:paraId="0758D915" w14:textId="77777777" w:rsidTr="00FB7D0B">
        <w:trPr>
          <w:trHeight w:val="225"/>
        </w:trPr>
        <w:tc>
          <w:tcPr>
            <w:tcW w:w="5610" w:type="dxa"/>
            <w:gridSpan w:val="2"/>
            <w:tcBorders>
              <w:top w:val="nil"/>
              <w:left w:val="nil"/>
              <w:bottom w:val="nil"/>
              <w:right w:val="nil"/>
              <w:tl2br w:val="nil"/>
              <w:tr2bl w:val="nil"/>
            </w:tcBorders>
            <w:shd w:val="clear" w:color="auto" w:fill="FFFFFF"/>
            <w:tcMar>
              <w:left w:w="101" w:type="dxa"/>
              <w:right w:w="101" w:type="dxa"/>
            </w:tcMar>
            <w:vAlign w:val="bottom"/>
          </w:tcPr>
          <w:p w14:paraId="1F6FDA7C" w14:textId="77777777" w:rsidR="003F0EEA" w:rsidRPr="0087290F" w:rsidRDefault="00FB7D0B">
            <w:pPr>
              <w:rPr>
                <w:rFonts w:ascii="Arial" w:eastAsia="Arial" w:hAnsi="Arial" w:cs="Arial"/>
                <w:color w:val="000000"/>
                <w:sz w:val="16"/>
                <w:vertAlign w:val="superscript"/>
              </w:rPr>
            </w:pPr>
            <w:r w:rsidRPr="0087290F">
              <w:rPr>
                <w:rFonts w:ascii="Arial" w:eastAsia="Arial" w:hAnsi="Arial" w:cs="Arial"/>
                <w:b/>
                <w:color w:val="000000"/>
                <w:sz w:val="16"/>
              </w:rPr>
              <w:t>Programme 2.5:  Veterans' Counselling and Other Health Services</w:t>
            </w:r>
          </w:p>
        </w:tc>
        <w:tc>
          <w:tcPr>
            <w:tcW w:w="1230" w:type="dxa"/>
            <w:tcBorders>
              <w:top w:val="nil"/>
              <w:left w:val="nil"/>
              <w:bottom w:val="nil"/>
              <w:right w:val="nil"/>
              <w:tl2br w:val="nil"/>
              <w:tr2bl w:val="nil"/>
            </w:tcBorders>
            <w:shd w:val="clear" w:color="auto" w:fill="FFFFFF"/>
            <w:tcMar>
              <w:left w:w="101" w:type="dxa"/>
              <w:right w:w="101" w:type="dxa"/>
            </w:tcMar>
            <w:vAlign w:val="bottom"/>
          </w:tcPr>
          <w:p w14:paraId="211D8D08" w14:textId="77777777" w:rsidR="003F0EEA" w:rsidRPr="0087290F" w:rsidRDefault="003F0EEA">
            <w:pPr>
              <w:jc w:val="right"/>
              <w:rPr>
                <w:rFonts w:ascii="Arial" w:eastAsia="Arial" w:hAnsi="Arial" w:cs="Arial"/>
                <w:b/>
                <w:color w:val="000000"/>
                <w:sz w:val="16"/>
                <w:vertAlign w:val="superscript"/>
              </w:rPr>
            </w:pPr>
          </w:p>
        </w:tc>
        <w:tc>
          <w:tcPr>
            <w:tcW w:w="1230" w:type="dxa"/>
            <w:tcBorders>
              <w:top w:val="nil"/>
              <w:left w:val="nil"/>
              <w:bottom w:val="nil"/>
              <w:right w:val="nil"/>
              <w:tl2br w:val="nil"/>
              <w:tr2bl w:val="nil"/>
            </w:tcBorders>
            <w:shd w:val="clear" w:color="auto" w:fill="FFFF00"/>
            <w:tcMar>
              <w:left w:w="101" w:type="dxa"/>
              <w:right w:w="101" w:type="dxa"/>
            </w:tcMar>
            <w:vAlign w:val="bottom"/>
          </w:tcPr>
          <w:p w14:paraId="05B83869" w14:textId="77777777" w:rsidR="003F0EEA" w:rsidRPr="0087290F" w:rsidRDefault="003F0EEA">
            <w:pPr>
              <w:jc w:val="right"/>
              <w:rPr>
                <w:rFonts w:ascii="Arial" w:eastAsia="Arial" w:hAnsi="Arial" w:cs="Arial"/>
                <w:color w:val="000000"/>
                <w:sz w:val="16"/>
                <w:vertAlign w:val="superscript"/>
              </w:rPr>
            </w:pPr>
          </w:p>
        </w:tc>
      </w:tr>
      <w:tr w:rsidR="00FB7D0B" w14:paraId="0BEA053A" w14:textId="77777777" w:rsidTr="00FB7D0B">
        <w:trPr>
          <w:trHeight w:val="225"/>
        </w:trPr>
        <w:tc>
          <w:tcPr>
            <w:tcW w:w="5610" w:type="dxa"/>
            <w:gridSpan w:val="2"/>
            <w:tcBorders>
              <w:top w:val="nil"/>
              <w:left w:val="nil"/>
              <w:bottom w:val="nil"/>
              <w:right w:val="nil"/>
              <w:tl2br w:val="nil"/>
              <w:tr2bl w:val="nil"/>
            </w:tcBorders>
            <w:shd w:val="clear" w:color="auto" w:fill="FFFFFF"/>
            <w:tcMar>
              <w:left w:w="101" w:type="dxa"/>
              <w:right w:w="101" w:type="dxa"/>
            </w:tcMar>
            <w:vAlign w:val="bottom"/>
          </w:tcPr>
          <w:p w14:paraId="768CB24C" w14:textId="77777777" w:rsidR="003F0EEA" w:rsidRPr="0087290F" w:rsidRDefault="00FB7D0B">
            <w:pPr>
              <w:rPr>
                <w:rFonts w:ascii="Arial" w:eastAsia="Arial" w:hAnsi="Arial" w:cs="Arial"/>
                <w:color w:val="000000"/>
                <w:sz w:val="16"/>
                <w:vertAlign w:val="superscript"/>
              </w:rPr>
            </w:pPr>
            <w:r w:rsidRPr="0087290F">
              <w:rPr>
                <w:rFonts w:ascii="Arial" w:eastAsia="Arial" w:hAnsi="Arial" w:cs="Arial"/>
                <w:color w:val="000000"/>
                <w:sz w:val="16"/>
              </w:rPr>
              <w:t>Administered Expenses</w:t>
            </w:r>
          </w:p>
        </w:tc>
        <w:tc>
          <w:tcPr>
            <w:tcW w:w="1230" w:type="dxa"/>
            <w:tcBorders>
              <w:top w:val="nil"/>
              <w:left w:val="nil"/>
              <w:bottom w:val="nil"/>
              <w:right w:val="nil"/>
              <w:tl2br w:val="nil"/>
              <w:tr2bl w:val="nil"/>
            </w:tcBorders>
            <w:shd w:val="clear" w:color="auto" w:fill="FFFFFF"/>
            <w:tcMar>
              <w:left w:w="101" w:type="dxa"/>
              <w:right w:w="101" w:type="dxa"/>
            </w:tcMar>
            <w:vAlign w:val="bottom"/>
          </w:tcPr>
          <w:p w14:paraId="0EA10C3E" w14:textId="77777777" w:rsidR="003F0EEA" w:rsidRPr="0087290F" w:rsidRDefault="003F0EEA">
            <w:pPr>
              <w:jc w:val="right"/>
              <w:rPr>
                <w:rFonts w:ascii="Arial" w:eastAsia="Arial" w:hAnsi="Arial" w:cs="Arial"/>
                <w:color w:val="000000"/>
                <w:sz w:val="16"/>
                <w:vertAlign w:val="superscript"/>
              </w:rPr>
            </w:pPr>
          </w:p>
        </w:tc>
        <w:tc>
          <w:tcPr>
            <w:tcW w:w="1230" w:type="dxa"/>
            <w:tcBorders>
              <w:top w:val="nil"/>
              <w:left w:val="nil"/>
              <w:bottom w:val="nil"/>
              <w:right w:val="nil"/>
              <w:tl2br w:val="nil"/>
              <w:tr2bl w:val="nil"/>
            </w:tcBorders>
            <w:shd w:val="clear" w:color="auto" w:fill="FFFF00"/>
            <w:tcMar>
              <w:left w:w="101" w:type="dxa"/>
              <w:right w:w="101" w:type="dxa"/>
            </w:tcMar>
            <w:vAlign w:val="bottom"/>
          </w:tcPr>
          <w:p w14:paraId="535F5919" w14:textId="77777777" w:rsidR="003F0EEA" w:rsidRPr="0087290F" w:rsidRDefault="003F0EEA">
            <w:pPr>
              <w:jc w:val="right"/>
              <w:rPr>
                <w:rFonts w:ascii="Arial" w:eastAsia="Arial" w:hAnsi="Arial" w:cs="Arial"/>
                <w:color w:val="000000"/>
                <w:sz w:val="16"/>
                <w:vertAlign w:val="superscript"/>
              </w:rPr>
            </w:pPr>
          </w:p>
        </w:tc>
      </w:tr>
      <w:tr w:rsidR="00724034" w14:paraId="464CB056" w14:textId="77777777">
        <w:trPr>
          <w:trHeight w:val="225"/>
        </w:trPr>
        <w:tc>
          <w:tcPr>
            <w:tcW w:w="285" w:type="dxa"/>
            <w:tcBorders>
              <w:top w:val="nil"/>
              <w:left w:val="nil"/>
              <w:bottom w:val="nil"/>
              <w:right w:val="nil"/>
              <w:tl2br w:val="nil"/>
              <w:tr2bl w:val="nil"/>
            </w:tcBorders>
            <w:shd w:val="clear" w:color="auto" w:fill="FFFFFF"/>
            <w:tcMar>
              <w:left w:w="101" w:type="dxa"/>
              <w:right w:w="101" w:type="dxa"/>
            </w:tcMar>
            <w:vAlign w:val="bottom"/>
          </w:tcPr>
          <w:p w14:paraId="2BD74030" w14:textId="77777777" w:rsidR="003F0EEA" w:rsidRPr="0087290F" w:rsidRDefault="003F0EEA">
            <w:pPr>
              <w:rPr>
                <w:rFonts w:ascii="Arial" w:eastAsia="Arial" w:hAnsi="Arial" w:cs="Arial"/>
                <w:color w:val="000000"/>
                <w:sz w:val="16"/>
                <w:vertAlign w:val="superscript"/>
              </w:rPr>
            </w:pPr>
          </w:p>
        </w:tc>
        <w:tc>
          <w:tcPr>
            <w:tcW w:w="5325" w:type="dxa"/>
            <w:tcBorders>
              <w:top w:val="nil"/>
              <w:left w:val="nil"/>
              <w:bottom w:val="nil"/>
              <w:right w:val="nil"/>
              <w:tl2br w:val="nil"/>
              <w:tr2bl w:val="nil"/>
            </w:tcBorders>
            <w:shd w:val="clear" w:color="auto" w:fill="FFFFFF"/>
            <w:tcMar>
              <w:left w:w="101" w:type="dxa"/>
              <w:right w:w="101" w:type="dxa"/>
            </w:tcMar>
            <w:vAlign w:val="bottom"/>
          </w:tcPr>
          <w:p w14:paraId="7BC63B2A" w14:textId="77777777" w:rsidR="003F0EEA" w:rsidRPr="0087290F" w:rsidRDefault="00FB7D0B">
            <w:pPr>
              <w:rPr>
                <w:rFonts w:ascii="Arial" w:eastAsia="Arial" w:hAnsi="Arial" w:cs="Arial"/>
                <w:color w:val="000000"/>
                <w:sz w:val="16"/>
                <w:vertAlign w:val="superscript"/>
              </w:rPr>
            </w:pPr>
            <w:r w:rsidRPr="0087290F">
              <w:rPr>
                <w:rFonts w:ascii="Arial" w:eastAsia="Arial" w:hAnsi="Arial" w:cs="Arial"/>
                <w:color w:val="000000"/>
                <w:sz w:val="16"/>
              </w:rPr>
              <w:t>Ordinary annual services (Appropriation Bill No. 1)</w:t>
            </w:r>
          </w:p>
        </w:tc>
        <w:tc>
          <w:tcPr>
            <w:tcW w:w="1230" w:type="dxa"/>
            <w:tcBorders>
              <w:top w:val="nil"/>
              <w:left w:val="nil"/>
              <w:bottom w:val="nil"/>
              <w:right w:val="nil"/>
              <w:tl2br w:val="nil"/>
              <w:tr2bl w:val="nil"/>
            </w:tcBorders>
            <w:shd w:val="clear" w:color="auto" w:fill="FFFFFF"/>
            <w:tcMar>
              <w:left w:w="101" w:type="dxa"/>
              <w:right w:w="101" w:type="dxa"/>
            </w:tcMar>
            <w:vAlign w:val="bottom"/>
          </w:tcPr>
          <w:p w14:paraId="7ED8B044" w14:textId="77777777" w:rsidR="003F0EEA" w:rsidRPr="0087290F" w:rsidRDefault="00FB7D0B">
            <w:pPr>
              <w:jc w:val="right"/>
              <w:rPr>
                <w:rFonts w:ascii="Arial" w:eastAsia="Arial" w:hAnsi="Arial" w:cs="Arial"/>
                <w:color w:val="000000"/>
                <w:sz w:val="16"/>
                <w:vertAlign w:val="superscript"/>
              </w:rPr>
            </w:pPr>
            <w:r w:rsidRPr="0087290F">
              <w:rPr>
                <w:rFonts w:ascii="Arial" w:eastAsia="Arial" w:hAnsi="Arial" w:cs="Arial"/>
                <w:color w:val="000000"/>
                <w:sz w:val="16"/>
              </w:rPr>
              <w:t xml:space="preserve"> 4,288 </w:t>
            </w:r>
          </w:p>
        </w:tc>
        <w:tc>
          <w:tcPr>
            <w:tcW w:w="1230" w:type="dxa"/>
            <w:tcBorders>
              <w:top w:val="nil"/>
              <w:left w:val="nil"/>
              <w:bottom w:val="nil"/>
              <w:right w:val="nil"/>
              <w:tl2br w:val="nil"/>
              <w:tr2bl w:val="nil"/>
            </w:tcBorders>
            <w:shd w:val="clear" w:color="auto" w:fill="FFFF00"/>
            <w:tcMar>
              <w:left w:w="101" w:type="dxa"/>
              <w:right w:w="101" w:type="dxa"/>
            </w:tcMar>
            <w:vAlign w:val="bottom"/>
          </w:tcPr>
          <w:p w14:paraId="59EF2433" w14:textId="77777777" w:rsidR="003F0EEA" w:rsidRPr="0087290F" w:rsidRDefault="00FB7D0B">
            <w:pPr>
              <w:jc w:val="right"/>
              <w:rPr>
                <w:rFonts w:ascii="Arial" w:eastAsia="Arial" w:hAnsi="Arial" w:cs="Arial"/>
                <w:color w:val="000000"/>
                <w:sz w:val="16"/>
              </w:rPr>
            </w:pPr>
            <w:r w:rsidRPr="0087290F">
              <w:rPr>
                <w:rFonts w:ascii="Arial" w:eastAsia="Arial" w:hAnsi="Arial" w:cs="Arial"/>
                <w:color w:val="000000"/>
                <w:sz w:val="16"/>
              </w:rPr>
              <w:t xml:space="preserve"> 4,650 </w:t>
            </w:r>
          </w:p>
        </w:tc>
      </w:tr>
      <w:tr w:rsidR="00724034" w14:paraId="2769089B" w14:textId="77777777">
        <w:trPr>
          <w:trHeight w:val="225"/>
        </w:trPr>
        <w:tc>
          <w:tcPr>
            <w:tcW w:w="285" w:type="dxa"/>
            <w:tcBorders>
              <w:top w:val="nil"/>
              <w:left w:val="nil"/>
              <w:bottom w:val="nil"/>
              <w:right w:val="nil"/>
              <w:tl2br w:val="nil"/>
              <w:tr2bl w:val="nil"/>
            </w:tcBorders>
            <w:shd w:val="clear" w:color="auto" w:fill="FFFFFF"/>
            <w:tcMar>
              <w:left w:w="101" w:type="dxa"/>
              <w:right w:w="101" w:type="dxa"/>
            </w:tcMar>
            <w:vAlign w:val="bottom"/>
          </w:tcPr>
          <w:p w14:paraId="0715BE18" w14:textId="77777777" w:rsidR="003F0EEA" w:rsidRPr="0087290F" w:rsidRDefault="003F0EEA">
            <w:pPr>
              <w:rPr>
                <w:rFonts w:ascii="Arial" w:eastAsia="Arial" w:hAnsi="Arial" w:cs="Arial"/>
                <w:color w:val="000000"/>
                <w:sz w:val="16"/>
              </w:rPr>
            </w:pPr>
          </w:p>
        </w:tc>
        <w:tc>
          <w:tcPr>
            <w:tcW w:w="5325" w:type="dxa"/>
            <w:tcBorders>
              <w:top w:val="nil"/>
              <w:left w:val="nil"/>
              <w:bottom w:val="nil"/>
              <w:right w:val="nil"/>
              <w:tl2br w:val="nil"/>
              <w:tr2bl w:val="nil"/>
            </w:tcBorders>
            <w:shd w:val="clear" w:color="auto" w:fill="FFFFFF"/>
            <w:tcMar>
              <w:left w:w="101" w:type="dxa"/>
              <w:right w:w="101" w:type="dxa"/>
            </w:tcMar>
            <w:vAlign w:val="bottom"/>
          </w:tcPr>
          <w:p w14:paraId="682A52F1" w14:textId="77777777" w:rsidR="003F0EEA" w:rsidRPr="0087290F" w:rsidRDefault="00FB7D0B">
            <w:pPr>
              <w:rPr>
                <w:rFonts w:ascii="Arial" w:eastAsia="Arial" w:hAnsi="Arial" w:cs="Arial"/>
                <w:color w:val="000000"/>
                <w:sz w:val="16"/>
              </w:rPr>
            </w:pPr>
            <w:r w:rsidRPr="0087290F">
              <w:rPr>
                <w:rFonts w:ascii="Arial" w:eastAsia="Arial" w:hAnsi="Arial" w:cs="Arial"/>
                <w:color w:val="000000"/>
                <w:sz w:val="16"/>
              </w:rPr>
              <w:t>Other services (Appropriation Bill No. 2)</w:t>
            </w:r>
          </w:p>
        </w:tc>
        <w:tc>
          <w:tcPr>
            <w:tcW w:w="1230" w:type="dxa"/>
            <w:tcBorders>
              <w:top w:val="nil"/>
              <w:left w:val="nil"/>
              <w:bottom w:val="nil"/>
              <w:right w:val="nil"/>
              <w:tl2br w:val="nil"/>
              <w:tr2bl w:val="nil"/>
            </w:tcBorders>
            <w:shd w:val="clear" w:color="auto" w:fill="FFFFFF"/>
            <w:tcMar>
              <w:left w:w="101" w:type="dxa"/>
              <w:right w:w="101" w:type="dxa"/>
            </w:tcMar>
            <w:vAlign w:val="bottom"/>
          </w:tcPr>
          <w:p w14:paraId="3ABCD88B" w14:textId="77777777" w:rsidR="003F0EEA" w:rsidRPr="0087290F" w:rsidRDefault="00FB7D0B">
            <w:pPr>
              <w:jc w:val="right"/>
              <w:rPr>
                <w:rFonts w:ascii="Arial" w:eastAsia="Arial" w:hAnsi="Arial" w:cs="Arial"/>
                <w:color w:val="000000"/>
                <w:sz w:val="16"/>
                <w:vertAlign w:val="superscript"/>
              </w:rPr>
            </w:pPr>
            <w:r w:rsidRPr="0087290F">
              <w:rPr>
                <w:rFonts w:ascii="Arial" w:eastAsia="Arial" w:hAnsi="Arial" w:cs="Arial"/>
                <w:color w:val="000000"/>
                <w:sz w:val="16"/>
              </w:rPr>
              <w:t xml:space="preserve"> - </w:t>
            </w:r>
          </w:p>
        </w:tc>
        <w:tc>
          <w:tcPr>
            <w:tcW w:w="1230" w:type="dxa"/>
            <w:tcBorders>
              <w:top w:val="nil"/>
              <w:left w:val="nil"/>
              <w:bottom w:val="nil"/>
              <w:right w:val="nil"/>
              <w:tl2br w:val="nil"/>
              <w:tr2bl w:val="nil"/>
            </w:tcBorders>
            <w:shd w:val="clear" w:color="auto" w:fill="FFFF00"/>
            <w:tcMar>
              <w:left w:w="101" w:type="dxa"/>
              <w:right w:w="101" w:type="dxa"/>
            </w:tcMar>
            <w:vAlign w:val="bottom"/>
          </w:tcPr>
          <w:p w14:paraId="79CC2309" w14:textId="77777777" w:rsidR="003F0EEA" w:rsidRPr="0087290F" w:rsidRDefault="00FB7D0B">
            <w:pPr>
              <w:jc w:val="right"/>
              <w:rPr>
                <w:rFonts w:ascii="Arial" w:eastAsia="Arial" w:hAnsi="Arial" w:cs="Arial"/>
                <w:color w:val="000000"/>
                <w:sz w:val="16"/>
              </w:rPr>
            </w:pPr>
            <w:r w:rsidRPr="0087290F">
              <w:rPr>
                <w:rFonts w:ascii="Arial" w:eastAsia="Arial" w:hAnsi="Arial" w:cs="Arial"/>
                <w:color w:val="000000"/>
                <w:sz w:val="16"/>
              </w:rPr>
              <w:t xml:space="preserve"> - </w:t>
            </w:r>
          </w:p>
        </w:tc>
      </w:tr>
      <w:tr w:rsidR="00724034" w14:paraId="48474E96" w14:textId="77777777">
        <w:trPr>
          <w:trHeight w:val="225"/>
        </w:trPr>
        <w:tc>
          <w:tcPr>
            <w:tcW w:w="285" w:type="dxa"/>
            <w:tcBorders>
              <w:top w:val="nil"/>
              <w:left w:val="nil"/>
              <w:bottom w:val="nil"/>
              <w:right w:val="nil"/>
              <w:tl2br w:val="nil"/>
              <w:tr2bl w:val="nil"/>
            </w:tcBorders>
            <w:shd w:val="clear" w:color="auto" w:fill="FFFFFF"/>
            <w:tcMar>
              <w:left w:w="101" w:type="dxa"/>
              <w:right w:w="101" w:type="dxa"/>
            </w:tcMar>
            <w:vAlign w:val="bottom"/>
          </w:tcPr>
          <w:p w14:paraId="037BF15D" w14:textId="77777777" w:rsidR="003F0EEA" w:rsidRPr="0087290F" w:rsidRDefault="003F0EEA">
            <w:pPr>
              <w:rPr>
                <w:rFonts w:ascii="Arial" w:eastAsia="Arial" w:hAnsi="Arial" w:cs="Arial"/>
                <w:color w:val="000000"/>
                <w:sz w:val="16"/>
              </w:rPr>
            </w:pPr>
          </w:p>
        </w:tc>
        <w:tc>
          <w:tcPr>
            <w:tcW w:w="5325" w:type="dxa"/>
            <w:tcBorders>
              <w:top w:val="nil"/>
              <w:left w:val="nil"/>
              <w:bottom w:val="nil"/>
              <w:right w:val="nil"/>
              <w:tl2br w:val="nil"/>
              <w:tr2bl w:val="nil"/>
            </w:tcBorders>
            <w:shd w:val="clear" w:color="auto" w:fill="FFFFFF"/>
            <w:tcMar>
              <w:left w:w="101" w:type="dxa"/>
              <w:right w:w="101" w:type="dxa"/>
            </w:tcMar>
            <w:vAlign w:val="bottom"/>
          </w:tcPr>
          <w:p w14:paraId="44E72219" w14:textId="77777777" w:rsidR="003F0EEA" w:rsidRPr="0087290F" w:rsidRDefault="00FB7D0B">
            <w:pPr>
              <w:rPr>
                <w:rFonts w:ascii="Arial" w:eastAsia="Arial" w:hAnsi="Arial" w:cs="Arial"/>
                <w:color w:val="000000"/>
                <w:sz w:val="16"/>
              </w:rPr>
            </w:pPr>
            <w:r w:rsidRPr="0087290F">
              <w:rPr>
                <w:rFonts w:ascii="Arial" w:eastAsia="Arial" w:hAnsi="Arial" w:cs="Arial"/>
                <w:color w:val="000000"/>
                <w:sz w:val="16"/>
              </w:rPr>
              <w:t>Special Appropriations</w:t>
            </w:r>
          </w:p>
        </w:tc>
        <w:tc>
          <w:tcPr>
            <w:tcW w:w="1230" w:type="dxa"/>
            <w:tcBorders>
              <w:top w:val="nil"/>
              <w:left w:val="nil"/>
              <w:bottom w:val="nil"/>
              <w:right w:val="nil"/>
              <w:tl2br w:val="nil"/>
              <w:tr2bl w:val="nil"/>
            </w:tcBorders>
            <w:shd w:val="clear" w:color="auto" w:fill="FFFFFF"/>
            <w:tcMar>
              <w:left w:w="101" w:type="dxa"/>
              <w:right w:w="101" w:type="dxa"/>
            </w:tcMar>
            <w:vAlign w:val="bottom"/>
          </w:tcPr>
          <w:p w14:paraId="72140474" w14:textId="77777777" w:rsidR="003F0EEA" w:rsidRPr="0087290F" w:rsidRDefault="00FB7D0B">
            <w:pPr>
              <w:jc w:val="right"/>
              <w:rPr>
                <w:rFonts w:ascii="Arial" w:eastAsia="Arial" w:hAnsi="Arial" w:cs="Arial"/>
                <w:color w:val="000000"/>
                <w:sz w:val="16"/>
                <w:vertAlign w:val="superscript"/>
              </w:rPr>
            </w:pPr>
            <w:r w:rsidRPr="0087290F">
              <w:rPr>
                <w:rFonts w:ascii="Arial" w:eastAsia="Arial" w:hAnsi="Arial" w:cs="Arial"/>
                <w:color w:val="000000"/>
                <w:sz w:val="16"/>
              </w:rPr>
              <w:t xml:space="preserve"> 634,833 </w:t>
            </w:r>
          </w:p>
        </w:tc>
        <w:tc>
          <w:tcPr>
            <w:tcW w:w="1230" w:type="dxa"/>
            <w:tcBorders>
              <w:top w:val="nil"/>
              <w:left w:val="nil"/>
              <w:bottom w:val="nil"/>
              <w:right w:val="nil"/>
              <w:tl2br w:val="nil"/>
              <w:tr2bl w:val="nil"/>
            </w:tcBorders>
            <w:shd w:val="clear" w:color="auto" w:fill="FFFF00"/>
            <w:tcMar>
              <w:left w:w="101" w:type="dxa"/>
              <w:right w:w="101" w:type="dxa"/>
            </w:tcMar>
            <w:vAlign w:val="bottom"/>
          </w:tcPr>
          <w:p w14:paraId="04FBBB26" w14:textId="77777777" w:rsidR="003F0EEA" w:rsidRPr="0087290F" w:rsidRDefault="00FB7D0B">
            <w:pPr>
              <w:jc w:val="right"/>
              <w:rPr>
                <w:rFonts w:ascii="Arial" w:eastAsia="Arial" w:hAnsi="Arial" w:cs="Arial"/>
                <w:color w:val="000000"/>
                <w:sz w:val="16"/>
              </w:rPr>
            </w:pPr>
            <w:r w:rsidRPr="0087290F">
              <w:rPr>
                <w:rFonts w:ascii="Arial" w:eastAsia="Arial" w:hAnsi="Arial" w:cs="Arial"/>
                <w:color w:val="000000"/>
                <w:sz w:val="16"/>
              </w:rPr>
              <w:t xml:space="preserve"> 648,061 </w:t>
            </w:r>
          </w:p>
        </w:tc>
      </w:tr>
      <w:tr w:rsidR="00724034" w14:paraId="2A2468AA" w14:textId="77777777">
        <w:trPr>
          <w:trHeight w:val="225"/>
        </w:trPr>
        <w:tc>
          <w:tcPr>
            <w:tcW w:w="285" w:type="dxa"/>
            <w:tcBorders>
              <w:top w:val="nil"/>
              <w:left w:val="nil"/>
              <w:bottom w:val="nil"/>
              <w:right w:val="nil"/>
              <w:tl2br w:val="nil"/>
              <w:tr2bl w:val="nil"/>
            </w:tcBorders>
            <w:shd w:val="clear" w:color="auto" w:fill="FFFFFF"/>
            <w:tcMar>
              <w:left w:w="101" w:type="dxa"/>
              <w:right w:w="101" w:type="dxa"/>
            </w:tcMar>
            <w:vAlign w:val="bottom"/>
          </w:tcPr>
          <w:p w14:paraId="729EA9A7" w14:textId="77777777" w:rsidR="003F0EEA" w:rsidRPr="0087290F" w:rsidRDefault="003F0EEA">
            <w:pPr>
              <w:rPr>
                <w:rFonts w:ascii="Arial" w:eastAsia="Arial" w:hAnsi="Arial" w:cs="Arial"/>
                <w:color w:val="000000"/>
                <w:sz w:val="16"/>
              </w:rPr>
            </w:pPr>
          </w:p>
        </w:tc>
        <w:tc>
          <w:tcPr>
            <w:tcW w:w="5325" w:type="dxa"/>
            <w:tcBorders>
              <w:top w:val="nil"/>
              <w:left w:val="nil"/>
              <w:bottom w:val="nil"/>
              <w:right w:val="nil"/>
              <w:tl2br w:val="nil"/>
              <w:tr2bl w:val="nil"/>
            </w:tcBorders>
            <w:shd w:val="clear" w:color="auto" w:fill="FFFFFF"/>
            <w:tcMar>
              <w:left w:w="101" w:type="dxa"/>
              <w:right w:w="101" w:type="dxa"/>
            </w:tcMar>
            <w:vAlign w:val="bottom"/>
          </w:tcPr>
          <w:p w14:paraId="4BDF71B7" w14:textId="77777777" w:rsidR="003F0EEA" w:rsidRPr="0087290F" w:rsidRDefault="00FB7D0B">
            <w:pPr>
              <w:rPr>
                <w:rFonts w:ascii="Arial" w:eastAsia="Arial" w:hAnsi="Arial" w:cs="Arial"/>
                <w:color w:val="000000"/>
                <w:sz w:val="16"/>
              </w:rPr>
            </w:pPr>
            <w:r w:rsidRPr="0087290F">
              <w:rPr>
                <w:rFonts w:ascii="Arial" w:eastAsia="Arial" w:hAnsi="Arial" w:cs="Arial"/>
                <w:color w:val="000000"/>
                <w:sz w:val="16"/>
              </w:rPr>
              <w:t>Special Accounts</w:t>
            </w:r>
          </w:p>
        </w:tc>
        <w:tc>
          <w:tcPr>
            <w:tcW w:w="1230" w:type="dxa"/>
            <w:tcBorders>
              <w:top w:val="nil"/>
              <w:left w:val="nil"/>
              <w:bottom w:val="nil"/>
              <w:right w:val="nil"/>
              <w:tl2br w:val="nil"/>
              <w:tr2bl w:val="nil"/>
            </w:tcBorders>
            <w:shd w:val="clear" w:color="auto" w:fill="FFFFFF"/>
            <w:tcMar>
              <w:left w:w="101" w:type="dxa"/>
              <w:right w:w="101" w:type="dxa"/>
            </w:tcMar>
            <w:vAlign w:val="bottom"/>
          </w:tcPr>
          <w:p w14:paraId="561A51AC" w14:textId="77777777" w:rsidR="003F0EEA" w:rsidRPr="0087290F" w:rsidRDefault="00FB7D0B">
            <w:pPr>
              <w:jc w:val="right"/>
              <w:rPr>
                <w:rFonts w:ascii="Arial" w:eastAsia="Arial" w:hAnsi="Arial" w:cs="Arial"/>
                <w:color w:val="000000"/>
                <w:sz w:val="16"/>
                <w:vertAlign w:val="superscript"/>
              </w:rPr>
            </w:pPr>
            <w:r w:rsidRPr="0087290F">
              <w:rPr>
                <w:rFonts w:ascii="Arial" w:eastAsia="Arial" w:hAnsi="Arial" w:cs="Arial"/>
                <w:color w:val="000000"/>
                <w:sz w:val="16"/>
              </w:rPr>
              <w:t xml:space="preserve"> - </w:t>
            </w:r>
          </w:p>
        </w:tc>
        <w:tc>
          <w:tcPr>
            <w:tcW w:w="1230" w:type="dxa"/>
            <w:tcBorders>
              <w:top w:val="nil"/>
              <w:left w:val="nil"/>
              <w:bottom w:val="nil"/>
              <w:right w:val="nil"/>
              <w:tl2br w:val="nil"/>
              <w:tr2bl w:val="nil"/>
            </w:tcBorders>
            <w:shd w:val="clear" w:color="auto" w:fill="FFFF00"/>
            <w:tcMar>
              <w:left w:w="101" w:type="dxa"/>
              <w:right w:w="101" w:type="dxa"/>
            </w:tcMar>
            <w:vAlign w:val="bottom"/>
          </w:tcPr>
          <w:p w14:paraId="4ABC054E" w14:textId="77777777" w:rsidR="003F0EEA" w:rsidRPr="0087290F" w:rsidRDefault="00FB7D0B">
            <w:pPr>
              <w:jc w:val="right"/>
              <w:rPr>
                <w:rFonts w:ascii="Arial" w:eastAsia="Arial" w:hAnsi="Arial" w:cs="Arial"/>
                <w:color w:val="000000"/>
                <w:sz w:val="16"/>
              </w:rPr>
            </w:pPr>
            <w:r w:rsidRPr="0087290F">
              <w:rPr>
                <w:rFonts w:ascii="Arial" w:eastAsia="Arial" w:hAnsi="Arial" w:cs="Arial"/>
                <w:color w:val="000000"/>
                <w:sz w:val="16"/>
              </w:rPr>
              <w:t xml:space="preserve"> - </w:t>
            </w:r>
          </w:p>
        </w:tc>
      </w:tr>
      <w:tr w:rsidR="00FB7D0B" w14:paraId="05E947DC" w14:textId="77777777" w:rsidTr="00FB7D0B">
        <w:trPr>
          <w:trHeight w:val="225"/>
        </w:trPr>
        <w:tc>
          <w:tcPr>
            <w:tcW w:w="5610" w:type="dxa"/>
            <w:gridSpan w:val="2"/>
            <w:tcBorders>
              <w:top w:val="nil"/>
              <w:left w:val="nil"/>
              <w:bottom w:val="nil"/>
              <w:right w:val="nil"/>
              <w:tl2br w:val="nil"/>
              <w:tr2bl w:val="nil"/>
            </w:tcBorders>
            <w:shd w:val="clear" w:color="auto" w:fill="FFFFFF"/>
            <w:tcMar>
              <w:left w:w="101" w:type="dxa"/>
              <w:right w:w="101" w:type="dxa"/>
            </w:tcMar>
            <w:vAlign w:val="bottom"/>
          </w:tcPr>
          <w:p w14:paraId="51D007BD" w14:textId="77777777" w:rsidR="003F0EEA" w:rsidRPr="0087290F" w:rsidRDefault="00FB7D0B">
            <w:pPr>
              <w:rPr>
                <w:rFonts w:ascii="Arial" w:eastAsia="Arial" w:hAnsi="Arial" w:cs="Arial"/>
                <w:color w:val="000000"/>
                <w:sz w:val="16"/>
              </w:rPr>
            </w:pPr>
            <w:r w:rsidRPr="0087290F">
              <w:rPr>
                <w:rFonts w:ascii="Arial" w:eastAsia="Arial" w:hAnsi="Arial" w:cs="Arial"/>
                <w:color w:val="000000"/>
                <w:sz w:val="16"/>
              </w:rPr>
              <w:t>Departmental Expenses</w:t>
            </w:r>
          </w:p>
        </w:tc>
        <w:tc>
          <w:tcPr>
            <w:tcW w:w="1230" w:type="dxa"/>
            <w:tcBorders>
              <w:top w:val="nil"/>
              <w:left w:val="nil"/>
              <w:bottom w:val="nil"/>
              <w:right w:val="nil"/>
              <w:tl2br w:val="nil"/>
              <w:tr2bl w:val="nil"/>
            </w:tcBorders>
            <w:shd w:val="clear" w:color="auto" w:fill="FFFFFF"/>
            <w:tcMar>
              <w:left w:w="101" w:type="dxa"/>
              <w:right w:w="101" w:type="dxa"/>
            </w:tcMar>
            <w:vAlign w:val="bottom"/>
          </w:tcPr>
          <w:p w14:paraId="34C5D087" w14:textId="77777777" w:rsidR="003F0EEA" w:rsidRPr="0087290F" w:rsidRDefault="003F0EEA">
            <w:pPr>
              <w:jc w:val="right"/>
              <w:rPr>
                <w:rFonts w:ascii="Arial" w:eastAsia="Arial" w:hAnsi="Arial" w:cs="Arial"/>
                <w:color w:val="000000"/>
                <w:sz w:val="16"/>
                <w:vertAlign w:val="superscript"/>
              </w:rPr>
            </w:pPr>
          </w:p>
        </w:tc>
        <w:tc>
          <w:tcPr>
            <w:tcW w:w="1230" w:type="dxa"/>
            <w:tcBorders>
              <w:top w:val="nil"/>
              <w:left w:val="nil"/>
              <w:bottom w:val="nil"/>
              <w:right w:val="nil"/>
              <w:tl2br w:val="nil"/>
              <w:tr2bl w:val="nil"/>
            </w:tcBorders>
            <w:shd w:val="clear" w:color="auto" w:fill="FFFF00"/>
            <w:tcMar>
              <w:left w:w="101" w:type="dxa"/>
              <w:right w:w="101" w:type="dxa"/>
            </w:tcMar>
            <w:vAlign w:val="bottom"/>
          </w:tcPr>
          <w:p w14:paraId="23DD8FFB" w14:textId="77777777" w:rsidR="003F0EEA" w:rsidRPr="0087290F" w:rsidRDefault="003F0EEA">
            <w:pPr>
              <w:jc w:val="right"/>
              <w:rPr>
                <w:rFonts w:ascii="Arial" w:eastAsia="Arial" w:hAnsi="Arial" w:cs="Arial"/>
                <w:color w:val="000000"/>
                <w:sz w:val="16"/>
                <w:vertAlign w:val="superscript"/>
              </w:rPr>
            </w:pPr>
          </w:p>
        </w:tc>
      </w:tr>
      <w:tr w:rsidR="00724034" w14:paraId="603C5739" w14:textId="77777777">
        <w:trPr>
          <w:trHeight w:val="225"/>
        </w:trPr>
        <w:tc>
          <w:tcPr>
            <w:tcW w:w="285" w:type="dxa"/>
            <w:tcBorders>
              <w:top w:val="nil"/>
              <w:left w:val="nil"/>
              <w:bottom w:val="nil"/>
              <w:right w:val="nil"/>
              <w:tl2br w:val="nil"/>
              <w:tr2bl w:val="nil"/>
            </w:tcBorders>
            <w:shd w:val="clear" w:color="auto" w:fill="FFFFFF"/>
            <w:tcMar>
              <w:left w:w="101" w:type="dxa"/>
              <w:right w:w="101" w:type="dxa"/>
            </w:tcMar>
            <w:vAlign w:val="bottom"/>
          </w:tcPr>
          <w:p w14:paraId="617674D3" w14:textId="77777777" w:rsidR="003F0EEA" w:rsidRPr="0087290F" w:rsidRDefault="003F0EEA">
            <w:pPr>
              <w:rPr>
                <w:rFonts w:ascii="Arial" w:eastAsia="Arial" w:hAnsi="Arial" w:cs="Arial"/>
                <w:color w:val="000000"/>
                <w:sz w:val="16"/>
                <w:vertAlign w:val="superscript"/>
              </w:rPr>
            </w:pPr>
          </w:p>
        </w:tc>
        <w:tc>
          <w:tcPr>
            <w:tcW w:w="5325" w:type="dxa"/>
            <w:tcBorders>
              <w:top w:val="nil"/>
              <w:left w:val="nil"/>
              <w:bottom w:val="nil"/>
              <w:right w:val="nil"/>
              <w:tl2br w:val="nil"/>
              <w:tr2bl w:val="nil"/>
            </w:tcBorders>
            <w:shd w:val="clear" w:color="auto" w:fill="FFFFFF"/>
            <w:tcMar>
              <w:left w:w="101" w:type="dxa"/>
              <w:right w:w="101" w:type="dxa"/>
            </w:tcMar>
            <w:vAlign w:val="bottom"/>
          </w:tcPr>
          <w:p w14:paraId="186C9B72" w14:textId="77777777" w:rsidR="003F0EEA" w:rsidRPr="0087290F" w:rsidRDefault="00FB7D0B">
            <w:pPr>
              <w:rPr>
                <w:rFonts w:ascii="Arial" w:eastAsia="Arial" w:hAnsi="Arial" w:cs="Arial"/>
                <w:color w:val="000000"/>
                <w:sz w:val="16"/>
                <w:vertAlign w:val="superscript"/>
              </w:rPr>
            </w:pPr>
            <w:r w:rsidRPr="0087290F">
              <w:rPr>
                <w:rFonts w:ascii="Arial" w:eastAsia="Arial" w:hAnsi="Arial" w:cs="Arial"/>
                <w:color w:val="000000"/>
                <w:sz w:val="16"/>
              </w:rPr>
              <w:t>Departmental appropriation</w:t>
            </w:r>
            <w:r w:rsidRPr="0087290F">
              <w:rPr>
                <w:rFonts w:ascii="Arial" w:eastAsia="Arial" w:hAnsi="Arial" w:cs="Arial"/>
                <w:color w:val="000000"/>
                <w:sz w:val="16"/>
                <w:vertAlign w:val="superscript"/>
              </w:rPr>
              <w:t>1 </w:t>
            </w:r>
          </w:p>
        </w:tc>
        <w:tc>
          <w:tcPr>
            <w:tcW w:w="1230" w:type="dxa"/>
            <w:tcBorders>
              <w:top w:val="nil"/>
              <w:left w:val="nil"/>
              <w:bottom w:val="nil"/>
              <w:right w:val="nil"/>
              <w:tl2br w:val="nil"/>
              <w:tr2bl w:val="nil"/>
            </w:tcBorders>
            <w:shd w:val="clear" w:color="auto" w:fill="FFFFFF"/>
            <w:tcMar>
              <w:left w:w="101" w:type="dxa"/>
              <w:right w:w="101" w:type="dxa"/>
            </w:tcMar>
            <w:vAlign w:val="bottom"/>
          </w:tcPr>
          <w:p w14:paraId="19942142" w14:textId="77777777" w:rsidR="003F0EEA" w:rsidRPr="0087290F" w:rsidRDefault="00FB7D0B">
            <w:pPr>
              <w:jc w:val="right"/>
              <w:rPr>
                <w:rFonts w:ascii="Arial" w:eastAsia="Arial" w:hAnsi="Arial" w:cs="Arial"/>
                <w:color w:val="000000"/>
                <w:sz w:val="16"/>
                <w:vertAlign w:val="superscript"/>
              </w:rPr>
            </w:pPr>
            <w:r w:rsidRPr="0087290F">
              <w:rPr>
                <w:rFonts w:ascii="Arial" w:eastAsia="Arial" w:hAnsi="Arial" w:cs="Arial"/>
                <w:color w:val="000000"/>
                <w:sz w:val="16"/>
              </w:rPr>
              <w:t xml:space="preserve"> 44,167 </w:t>
            </w:r>
          </w:p>
        </w:tc>
        <w:tc>
          <w:tcPr>
            <w:tcW w:w="1230" w:type="dxa"/>
            <w:tcBorders>
              <w:top w:val="nil"/>
              <w:left w:val="nil"/>
              <w:bottom w:val="nil"/>
              <w:right w:val="nil"/>
              <w:tl2br w:val="nil"/>
              <w:tr2bl w:val="nil"/>
            </w:tcBorders>
            <w:shd w:val="clear" w:color="auto" w:fill="FFFF00"/>
            <w:tcMar>
              <w:left w:w="101" w:type="dxa"/>
              <w:right w:w="101" w:type="dxa"/>
            </w:tcMar>
            <w:vAlign w:val="bottom"/>
          </w:tcPr>
          <w:p w14:paraId="62CCA755" w14:textId="77777777" w:rsidR="003F0EEA" w:rsidRPr="0087290F" w:rsidRDefault="00FB7D0B">
            <w:pPr>
              <w:jc w:val="right"/>
              <w:rPr>
                <w:rFonts w:ascii="Arial" w:eastAsia="Arial" w:hAnsi="Arial" w:cs="Arial"/>
                <w:color w:val="000000"/>
                <w:sz w:val="16"/>
              </w:rPr>
            </w:pPr>
            <w:r w:rsidRPr="0087290F">
              <w:rPr>
                <w:rFonts w:ascii="Arial" w:eastAsia="Arial" w:hAnsi="Arial" w:cs="Arial"/>
                <w:color w:val="000000"/>
                <w:sz w:val="16"/>
              </w:rPr>
              <w:t xml:space="preserve"> 42,630 </w:t>
            </w:r>
          </w:p>
        </w:tc>
      </w:tr>
      <w:tr w:rsidR="00724034" w14:paraId="431CEE7F" w14:textId="77777777">
        <w:trPr>
          <w:trHeight w:val="225"/>
        </w:trPr>
        <w:tc>
          <w:tcPr>
            <w:tcW w:w="285" w:type="dxa"/>
            <w:tcBorders>
              <w:top w:val="nil"/>
              <w:left w:val="nil"/>
              <w:bottom w:val="nil"/>
              <w:right w:val="nil"/>
              <w:tl2br w:val="nil"/>
              <w:tr2bl w:val="nil"/>
            </w:tcBorders>
            <w:shd w:val="clear" w:color="auto" w:fill="FFFFFF"/>
            <w:tcMar>
              <w:left w:w="101" w:type="dxa"/>
              <w:right w:w="101" w:type="dxa"/>
            </w:tcMar>
            <w:vAlign w:val="bottom"/>
          </w:tcPr>
          <w:p w14:paraId="05EAFC67" w14:textId="77777777" w:rsidR="003F0EEA" w:rsidRPr="0087290F" w:rsidRDefault="003F0EEA">
            <w:pPr>
              <w:rPr>
                <w:rFonts w:ascii="Arial" w:eastAsia="Arial" w:hAnsi="Arial" w:cs="Arial"/>
                <w:color w:val="000000"/>
                <w:sz w:val="16"/>
              </w:rPr>
            </w:pPr>
          </w:p>
        </w:tc>
        <w:tc>
          <w:tcPr>
            <w:tcW w:w="5325" w:type="dxa"/>
            <w:tcBorders>
              <w:top w:val="nil"/>
              <w:left w:val="nil"/>
              <w:bottom w:val="nil"/>
              <w:right w:val="nil"/>
              <w:tl2br w:val="nil"/>
              <w:tr2bl w:val="nil"/>
            </w:tcBorders>
            <w:shd w:val="clear" w:color="auto" w:fill="FFFFFF"/>
            <w:tcMar>
              <w:left w:w="101" w:type="dxa"/>
              <w:right w:w="101" w:type="dxa"/>
            </w:tcMar>
            <w:vAlign w:val="bottom"/>
          </w:tcPr>
          <w:p w14:paraId="22E1B4F7" w14:textId="77777777" w:rsidR="003F0EEA" w:rsidRPr="0087290F" w:rsidRDefault="00FB7D0B">
            <w:pPr>
              <w:rPr>
                <w:rFonts w:ascii="Arial" w:eastAsia="Arial" w:hAnsi="Arial" w:cs="Arial"/>
                <w:color w:val="000000"/>
                <w:sz w:val="16"/>
              </w:rPr>
            </w:pPr>
            <w:r w:rsidRPr="0087290F">
              <w:rPr>
                <w:rFonts w:ascii="Arial" w:eastAsia="Arial" w:hAnsi="Arial" w:cs="Arial"/>
                <w:color w:val="000000"/>
                <w:sz w:val="16"/>
              </w:rPr>
              <w:t>Expenses not requiring appropriation in the Budget year</w:t>
            </w:r>
            <w:r w:rsidRPr="0087290F">
              <w:rPr>
                <w:rFonts w:ascii="Arial" w:eastAsia="Arial" w:hAnsi="Arial" w:cs="Arial"/>
                <w:color w:val="000000"/>
                <w:sz w:val="16"/>
                <w:vertAlign w:val="superscript"/>
              </w:rPr>
              <w:t>2 </w:t>
            </w:r>
          </w:p>
        </w:tc>
        <w:tc>
          <w:tcPr>
            <w:tcW w:w="1230"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47E82E63" w14:textId="77777777" w:rsidR="003F0EEA" w:rsidRPr="0087290F" w:rsidRDefault="00FB7D0B">
            <w:pPr>
              <w:jc w:val="right"/>
              <w:rPr>
                <w:rFonts w:ascii="Arial" w:eastAsia="Arial" w:hAnsi="Arial" w:cs="Arial"/>
                <w:color w:val="000000"/>
                <w:sz w:val="16"/>
                <w:vertAlign w:val="superscript"/>
              </w:rPr>
            </w:pPr>
            <w:r w:rsidRPr="0087290F">
              <w:rPr>
                <w:rFonts w:ascii="Arial" w:eastAsia="Arial" w:hAnsi="Arial" w:cs="Arial"/>
                <w:color w:val="000000"/>
                <w:sz w:val="16"/>
              </w:rPr>
              <w:t xml:space="preserve"> 3,464 </w:t>
            </w:r>
          </w:p>
        </w:tc>
        <w:tc>
          <w:tcPr>
            <w:tcW w:w="1230" w:type="dxa"/>
            <w:tcBorders>
              <w:top w:val="nil"/>
              <w:left w:val="nil"/>
              <w:bottom w:val="single" w:sz="6" w:space="0" w:color="000000"/>
              <w:right w:val="nil"/>
              <w:tl2br w:val="nil"/>
              <w:tr2bl w:val="nil"/>
            </w:tcBorders>
            <w:shd w:val="clear" w:color="auto" w:fill="FFFF00"/>
            <w:tcMar>
              <w:left w:w="101" w:type="dxa"/>
              <w:right w:w="101" w:type="dxa"/>
            </w:tcMar>
            <w:vAlign w:val="bottom"/>
          </w:tcPr>
          <w:p w14:paraId="314870D2" w14:textId="77777777" w:rsidR="003F0EEA" w:rsidRPr="0087290F" w:rsidRDefault="00FB7D0B">
            <w:pPr>
              <w:jc w:val="right"/>
              <w:rPr>
                <w:rFonts w:ascii="Arial" w:eastAsia="Arial" w:hAnsi="Arial" w:cs="Arial"/>
                <w:color w:val="000000"/>
                <w:sz w:val="16"/>
              </w:rPr>
            </w:pPr>
            <w:r w:rsidRPr="0087290F">
              <w:rPr>
                <w:rFonts w:ascii="Arial" w:eastAsia="Arial" w:hAnsi="Arial" w:cs="Arial"/>
                <w:color w:val="000000"/>
                <w:sz w:val="16"/>
              </w:rPr>
              <w:t xml:space="preserve"> 3,871 </w:t>
            </w:r>
          </w:p>
        </w:tc>
      </w:tr>
      <w:tr w:rsidR="00724034" w14:paraId="078CB012" w14:textId="77777777">
        <w:trPr>
          <w:trHeight w:val="225"/>
        </w:trPr>
        <w:tc>
          <w:tcPr>
            <w:tcW w:w="285" w:type="dxa"/>
            <w:tcBorders>
              <w:top w:val="nil"/>
              <w:left w:val="nil"/>
              <w:bottom w:val="nil"/>
              <w:right w:val="nil"/>
              <w:tl2br w:val="nil"/>
              <w:tr2bl w:val="nil"/>
            </w:tcBorders>
            <w:shd w:val="clear" w:color="auto" w:fill="FFFFFF"/>
            <w:tcMar>
              <w:left w:w="101" w:type="dxa"/>
              <w:right w:w="101" w:type="dxa"/>
            </w:tcMar>
            <w:vAlign w:val="bottom"/>
          </w:tcPr>
          <w:p w14:paraId="47F65F8B" w14:textId="77777777" w:rsidR="003F0EEA" w:rsidRPr="0087290F" w:rsidRDefault="003F0EEA">
            <w:pPr>
              <w:rPr>
                <w:rFonts w:ascii="Arial" w:eastAsia="Arial" w:hAnsi="Arial" w:cs="Arial"/>
                <w:color w:val="000000"/>
                <w:sz w:val="16"/>
              </w:rPr>
            </w:pPr>
          </w:p>
        </w:tc>
        <w:tc>
          <w:tcPr>
            <w:tcW w:w="5325" w:type="dxa"/>
            <w:tcBorders>
              <w:top w:val="nil"/>
              <w:left w:val="nil"/>
              <w:bottom w:val="nil"/>
              <w:right w:val="nil"/>
              <w:tl2br w:val="nil"/>
              <w:tr2bl w:val="nil"/>
            </w:tcBorders>
            <w:shd w:val="clear" w:color="auto" w:fill="FFFFFF"/>
            <w:tcMar>
              <w:left w:w="101" w:type="dxa"/>
              <w:right w:w="101" w:type="dxa"/>
            </w:tcMar>
            <w:vAlign w:val="bottom"/>
          </w:tcPr>
          <w:p w14:paraId="51BC366E" w14:textId="77777777" w:rsidR="003F0EEA" w:rsidRPr="0087290F" w:rsidRDefault="00FB7D0B">
            <w:pPr>
              <w:rPr>
                <w:rFonts w:ascii="Arial" w:eastAsia="Arial" w:hAnsi="Arial" w:cs="Arial"/>
                <w:color w:val="000000"/>
                <w:sz w:val="16"/>
              </w:rPr>
            </w:pPr>
            <w:r w:rsidRPr="0087290F">
              <w:rPr>
                <w:rFonts w:ascii="Arial" w:eastAsia="Arial" w:hAnsi="Arial" w:cs="Arial"/>
                <w:b/>
                <w:color w:val="000000"/>
                <w:sz w:val="16"/>
              </w:rPr>
              <w:t>Total for Programme 2.5</w:t>
            </w:r>
          </w:p>
        </w:tc>
        <w:tc>
          <w:tcPr>
            <w:tcW w:w="1230"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3C80F91F" w14:textId="77777777" w:rsidR="003F0EEA" w:rsidRPr="0087290F" w:rsidRDefault="00FB7D0B">
            <w:pPr>
              <w:jc w:val="right"/>
              <w:rPr>
                <w:rFonts w:ascii="Arial" w:eastAsia="Arial" w:hAnsi="Arial" w:cs="Arial"/>
                <w:b/>
                <w:color w:val="000000"/>
                <w:sz w:val="16"/>
                <w:vertAlign w:val="superscript"/>
              </w:rPr>
            </w:pPr>
            <w:r w:rsidRPr="0087290F">
              <w:rPr>
                <w:rFonts w:ascii="Arial" w:eastAsia="Arial" w:hAnsi="Arial" w:cs="Arial"/>
                <w:b/>
                <w:color w:val="000000"/>
                <w:sz w:val="16"/>
              </w:rPr>
              <w:t xml:space="preserve"> 686,752 </w:t>
            </w:r>
          </w:p>
        </w:tc>
        <w:tc>
          <w:tcPr>
            <w:tcW w:w="1230" w:type="dxa"/>
            <w:tcBorders>
              <w:top w:val="single" w:sz="6" w:space="0" w:color="000000"/>
              <w:left w:val="nil"/>
              <w:bottom w:val="single" w:sz="6" w:space="0" w:color="000000"/>
              <w:right w:val="nil"/>
              <w:tl2br w:val="nil"/>
              <w:tr2bl w:val="nil"/>
            </w:tcBorders>
            <w:shd w:val="clear" w:color="auto" w:fill="FFFF00"/>
            <w:tcMar>
              <w:left w:w="101" w:type="dxa"/>
              <w:right w:w="101" w:type="dxa"/>
            </w:tcMar>
            <w:vAlign w:val="bottom"/>
          </w:tcPr>
          <w:p w14:paraId="3AE1E7F7" w14:textId="77777777" w:rsidR="003F0EEA" w:rsidRPr="0087290F" w:rsidRDefault="00FB7D0B">
            <w:pPr>
              <w:jc w:val="right"/>
              <w:rPr>
                <w:rFonts w:ascii="Arial" w:eastAsia="Arial" w:hAnsi="Arial" w:cs="Arial"/>
                <w:b/>
                <w:color w:val="000000"/>
                <w:sz w:val="16"/>
              </w:rPr>
            </w:pPr>
            <w:r w:rsidRPr="0087290F">
              <w:rPr>
                <w:rFonts w:ascii="Arial" w:eastAsia="Arial" w:hAnsi="Arial" w:cs="Arial"/>
                <w:b/>
                <w:color w:val="000000"/>
                <w:sz w:val="16"/>
              </w:rPr>
              <w:t xml:space="preserve"> 699,212 </w:t>
            </w:r>
          </w:p>
        </w:tc>
      </w:tr>
      <w:tr w:rsidR="00724034" w14:paraId="289965C4" w14:textId="77777777">
        <w:trPr>
          <w:trHeight w:val="105"/>
        </w:trPr>
        <w:tc>
          <w:tcPr>
            <w:tcW w:w="285" w:type="dxa"/>
            <w:tcBorders>
              <w:top w:val="nil"/>
              <w:left w:val="nil"/>
              <w:bottom w:val="nil"/>
              <w:right w:val="nil"/>
              <w:tl2br w:val="nil"/>
              <w:tr2bl w:val="nil"/>
            </w:tcBorders>
            <w:shd w:val="clear" w:color="auto" w:fill="FFFFFF"/>
            <w:tcMar>
              <w:left w:w="101" w:type="dxa"/>
              <w:right w:w="101" w:type="dxa"/>
            </w:tcMar>
            <w:vAlign w:val="bottom"/>
          </w:tcPr>
          <w:p w14:paraId="3B4B6500" w14:textId="77777777" w:rsidR="003F0EEA" w:rsidRPr="0087290F" w:rsidRDefault="003F0EEA">
            <w:pPr>
              <w:rPr>
                <w:rFonts w:ascii="Arial" w:eastAsia="Arial" w:hAnsi="Arial" w:cs="Arial"/>
                <w:b/>
                <w:color w:val="000000"/>
                <w:sz w:val="16"/>
              </w:rPr>
            </w:pPr>
          </w:p>
        </w:tc>
        <w:tc>
          <w:tcPr>
            <w:tcW w:w="5325" w:type="dxa"/>
            <w:tcBorders>
              <w:top w:val="nil"/>
              <w:left w:val="nil"/>
              <w:bottom w:val="nil"/>
              <w:right w:val="nil"/>
              <w:tl2br w:val="nil"/>
              <w:tr2bl w:val="nil"/>
            </w:tcBorders>
            <w:shd w:val="clear" w:color="auto" w:fill="FFFFFF"/>
            <w:tcMar>
              <w:left w:w="101" w:type="dxa"/>
              <w:right w:w="101" w:type="dxa"/>
            </w:tcMar>
            <w:vAlign w:val="bottom"/>
          </w:tcPr>
          <w:p w14:paraId="566E8F42" w14:textId="77777777" w:rsidR="003F0EEA" w:rsidRPr="0087290F" w:rsidRDefault="003F0EEA">
            <w:pPr>
              <w:rPr>
                <w:rFonts w:ascii="Arial" w:eastAsia="Arial" w:hAnsi="Arial" w:cs="Arial"/>
                <w:color w:val="000000"/>
                <w:sz w:val="16"/>
              </w:rPr>
            </w:pPr>
          </w:p>
        </w:tc>
        <w:tc>
          <w:tcPr>
            <w:tcW w:w="1230"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6A7AC425" w14:textId="77777777" w:rsidR="003F0EEA" w:rsidRPr="0087290F" w:rsidRDefault="003F0EEA">
            <w:pPr>
              <w:jc w:val="right"/>
              <w:rPr>
                <w:rFonts w:ascii="Arial" w:eastAsia="Arial" w:hAnsi="Arial" w:cs="Arial"/>
                <w:b/>
                <w:color w:val="000000"/>
                <w:sz w:val="16"/>
                <w:vertAlign w:val="superscript"/>
              </w:rPr>
            </w:pPr>
          </w:p>
        </w:tc>
        <w:tc>
          <w:tcPr>
            <w:tcW w:w="1230" w:type="dxa"/>
            <w:tcBorders>
              <w:top w:val="single" w:sz="6" w:space="0" w:color="000000"/>
              <w:left w:val="nil"/>
              <w:bottom w:val="nil"/>
              <w:right w:val="nil"/>
              <w:tl2br w:val="nil"/>
              <w:tr2bl w:val="nil"/>
            </w:tcBorders>
            <w:shd w:val="clear" w:color="auto" w:fill="FFFF00"/>
            <w:tcMar>
              <w:left w:w="101" w:type="dxa"/>
              <w:right w:w="101" w:type="dxa"/>
            </w:tcMar>
            <w:vAlign w:val="bottom"/>
          </w:tcPr>
          <w:p w14:paraId="02C3B23C" w14:textId="77777777" w:rsidR="003F0EEA" w:rsidRPr="0087290F" w:rsidRDefault="003F0EEA">
            <w:pPr>
              <w:jc w:val="right"/>
              <w:rPr>
                <w:rFonts w:ascii="Arial" w:eastAsia="Arial" w:hAnsi="Arial" w:cs="Arial"/>
                <w:color w:val="000000"/>
                <w:sz w:val="16"/>
                <w:vertAlign w:val="superscript"/>
              </w:rPr>
            </w:pPr>
          </w:p>
        </w:tc>
      </w:tr>
      <w:tr w:rsidR="00FB7D0B" w14:paraId="7367C0F0" w14:textId="77777777" w:rsidTr="00FB7D0B">
        <w:trPr>
          <w:trHeight w:val="450"/>
        </w:trPr>
        <w:tc>
          <w:tcPr>
            <w:tcW w:w="5610" w:type="dxa"/>
            <w:gridSpan w:val="2"/>
            <w:tcBorders>
              <w:top w:val="nil"/>
              <w:left w:val="nil"/>
              <w:bottom w:val="nil"/>
              <w:right w:val="nil"/>
              <w:tl2br w:val="nil"/>
              <w:tr2bl w:val="nil"/>
            </w:tcBorders>
            <w:shd w:val="clear" w:color="auto" w:fill="FFFFFF"/>
            <w:tcMar>
              <w:left w:w="101" w:type="dxa"/>
              <w:right w:w="101" w:type="dxa"/>
            </w:tcMar>
            <w:vAlign w:val="bottom"/>
          </w:tcPr>
          <w:p w14:paraId="1FE1CC00" w14:textId="77777777" w:rsidR="003F0EEA" w:rsidRPr="0087290F" w:rsidRDefault="00FB7D0B">
            <w:pPr>
              <w:rPr>
                <w:rFonts w:ascii="Arial" w:eastAsia="Arial" w:hAnsi="Arial" w:cs="Arial"/>
                <w:color w:val="000000"/>
                <w:sz w:val="16"/>
                <w:vertAlign w:val="superscript"/>
              </w:rPr>
            </w:pPr>
            <w:r w:rsidRPr="0087290F">
              <w:rPr>
                <w:rFonts w:ascii="Arial" w:eastAsia="Arial" w:hAnsi="Arial" w:cs="Arial"/>
                <w:b/>
                <w:color w:val="000000"/>
                <w:sz w:val="16"/>
              </w:rPr>
              <w:t>Programme 2.6:  Military Rehabilitation and Compensation Acts - Health and Other Care Services</w:t>
            </w:r>
          </w:p>
        </w:tc>
        <w:tc>
          <w:tcPr>
            <w:tcW w:w="1230" w:type="dxa"/>
            <w:tcBorders>
              <w:top w:val="nil"/>
              <w:left w:val="nil"/>
              <w:bottom w:val="nil"/>
              <w:right w:val="nil"/>
              <w:tl2br w:val="nil"/>
              <w:tr2bl w:val="nil"/>
            </w:tcBorders>
            <w:shd w:val="clear" w:color="auto" w:fill="FFFFFF"/>
            <w:tcMar>
              <w:left w:w="101" w:type="dxa"/>
              <w:right w:w="101" w:type="dxa"/>
            </w:tcMar>
            <w:vAlign w:val="bottom"/>
          </w:tcPr>
          <w:p w14:paraId="345BE488" w14:textId="77777777" w:rsidR="003F0EEA" w:rsidRPr="0087290F" w:rsidRDefault="003F0EEA">
            <w:pPr>
              <w:jc w:val="right"/>
              <w:rPr>
                <w:rFonts w:ascii="Arial" w:eastAsia="Arial" w:hAnsi="Arial" w:cs="Arial"/>
                <w:b/>
                <w:color w:val="000000"/>
                <w:sz w:val="16"/>
                <w:vertAlign w:val="superscript"/>
              </w:rPr>
            </w:pPr>
          </w:p>
        </w:tc>
        <w:tc>
          <w:tcPr>
            <w:tcW w:w="1230" w:type="dxa"/>
            <w:tcBorders>
              <w:top w:val="nil"/>
              <w:left w:val="nil"/>
              <w:bottom w:val="nil"/>
              <w:right w:val="nil"/>
              <w:tl2br w:val="nil"/>
              <w:tr2bl w:val="nil"/>
            </w:tcBorders>
            <w:shd w:val="clear" w:color="auto" w:fill="FFFF00"/>
            <w:tcMar>
              <w:left w:w="101" w:type="dxa"/>
              <w:right w:w="101" w:type="dxa"/>
            </w:tcMar>
            <w:vAlign w:val="bottom"/>
          </w:tcPr>
          <w:p w14:paraId="445B08A7" w14:textId="77777777" w:rsidR="003F0EEA" w:rsidRPr="0087290F" w:rsidRDefault="003F0EEA">
            <w:pPr>
              <w:jc w:val="right"/>
              <w:rPr>
                <w:rFonts w:ascii="Arial" w:eastAsia="Arial" w:hAnsi="Arial" w:cs="Arial"/>
                <w:color w:val="000000"/>
                <w:sz w:val="16"/>
                <w:vertAlign w:val="superscript"/>
              </w:rPr>
            </w:pPr>
          </w:p>
        </w:tc>
      </w:tr>
      <w:tr w:rsidR="00FB7D0B" w14:paraId="6BCFA052" w14:textId="77777777" w:rsidTr="00FB7D0B">
        <w:trPr>
          <w:trHeight w:val="225"/>
        </w:trPr>
        <w:tc>
          <w:tcPr>
            <w:tcW w:w="5610" w:type="dxa"/>
            <w:gridSpan w:val="2"/>
            <w:tcBorders>
              <w:top w:val="nil"/>
              <w:left w:val="nil"/>
              <w:bottom w:val="nil"/>
              <w:right w:val="nil"/>
              <w:tl2br w:val="nil"/>
              <w:tr2bl w:val="nil"/>
            </w:tcBorders>
            <w:shd w:val="clear" w:color="auto" w:fill="FFFFFF"/>
            <w:tcMar>
              <w:left w:w="101" w:type="dxa"/>
              <w:right w:w="101" w:type="dxa"/>
            </w:tcMar>
            <w:vAlign w:val="bottom"/>
          </w:tcPr>
          <w:p w14:paraId="6E61A1F5" w14:textId="77777777" w:rsidR="003F0EEA" w:rsidRPr="0087290F" w:rsidRDefault="00FB7D0B">
            <w:pPr>
              <w:rPr>
                <w:rFonts w:ascii="Arial" w:eastAsia="Arial" w:hAnsi="Arial" w:cs="Arial"/>
                <w:color w:val="000000"/>
                <w:sz w:val="16"/>
                <w:vertAlign w:val="superscript"/>
              </w:rPr>
            </w:pPr>
            <w:r w:rsidRPr="0087290F">
              <w:rPr>
                <w:rFonts w:ascii="Arial" w:eastAsia="Arial" w:hAnsi="Arial" w:cs="Arial"/>
                <w:color w:val="000000"/>
                <w:sz w:val="16"/>
              </w:rPr>
              <w:t>Administered Expenses</w:t>
            </w:r>
          </w:p>
        </w:tc>
        <w:tc>
          <w:tcPr>
            <w:tcW w:w="1230" w:type="dxa"/>
            <w:tcBorders>
              <w:top w:val="nil"/>
              <w:left w:val="nil"/>
              <w:bottom w:val="nil"/>
              <w:right w:val="nil"/>
              <w:tl2br w:val="nil"/>
              <w:tr2bl w:val="nil"/>
            </w:tcBorders>
            <w:shd w:val="clear" w:color="auto" w:fill="FFFFFF"/>
            <w:tcMar>
              <w:left w:w="101" w:type="dxa"/>
              <w:right w:w="101" w:type="dxa"/>
            </w:tcMar>
            <w:vAlign w:val="bottom"/>
          </w:tcPr>
          <w:p w14:paraId="328F2E10" w14:textId="77777777" w:rsidR="003F0EEA" w:rsidRPr="0087290F" w:rsidRDefault="003F0EEA">
            <w:pPr>
              <w:jc w:val="right"/>
              <w:rPr>
                <w:rFonts w:ascii="Arial" w:eastAsia="Arial" w:hAnsi="Arial" w:cs="Arial"/>
                <w:color w:val="000000"/>
                <w:sz w:val="16"/>
                <w:vertAlign w:val="superscript"/>
              </w:rPr>
            </w:pPr>
          </w:p>
        </w:tc>
        <w:tc>
          <w:tcPr>
            <w:tcW w:w="1230" w:type="dxa"/>
            <w:tcBorders>
              <w:top w:val="nil"/>
              <w:left w:val="nil"/>
              <w:bottom w:val="nil"/>
              <w:right w:val="nil"/>
              <w:tl2br w:val="nil"/>
              <w:tr2bl w:val="nil"/>
            </w:tcBorders>
            <w:shd w:val="clear" w:color="auto" w:fill="FFFF00"/>
            <w:tcMar>
              <w:left w:w="101" w:type="dxa"/>
              <w:right w:w="101" w:type="dxa"/>
            </w:tcMar>
            <w:vAlign w:val="bottom"/>
          </w:tcPr>
          <w:p w14:paraId="39E6F19B" w14:textId="77777777" w:rsidR="003F0EEA" w:rsidRPr="0087290F" w:rsidRDefault="003F0EEA">
            <w:pPr>
              <w:jc w:val="right"/>
              <w:rPr>
                <w:rFonts w:ascii="Arial" w:eastAsia="Arial" w:hAnsi="Arial" w:cs="Arial"/>
                <w:color w:val="000000"/>
                <w:sz w:val="16"/>
                <w:vertAlign w:val="superscript"/>
              </w:rPr>
            </w:pPr>
          </w:p>
        </w:tc>
      </w:tr>
      <w:tr w:rsidR="00724034" w14:paraId="3BA7946B" w14:textId="77777777">
        <w:trPr>
          <w:trHeight w:val="225"/>
        </w:trPr>
        <w:tc>
          <w:tcPr>
            <w:tcW w:w="285" w:type="dxa"/>
            <w:tcBorders>
              <w:top w:val="nil"/>
              <w:left w:val="nil"/>
              <w:bottom w:val="nil"/>
              <w:right w:val="nil"/>
              <w:tl2br w:val="nil"/>
              <w:tr2bl w:val="nil"/>
            </w:tcBorders>
            <w:shd w:val="clear" w:color="auto" w:fill="FFFFFF"/>
            <w:tcMar>
              <w:left w:w="101" w:type="dxa"/>
              <w:right w:w="101" w:type="dxa"/>
            </w:tcMar>
            <w:vAlign w:val="bottom"/>
          </w:tcPr>
          <w:p w14:paraId="174661E7" w14:textId="77777777" w:rsidR="003F0EEA" w:rsidRPr="0087290F" w:rsidRDefault="003F0EEA">
            <w:pPr>
              <w:rPr>
                <w:rFonts w:ascii="Arial" w:eastAsia="Arial" w:hAnsi="Arial" w:cs="Arial"/>
                <w:color w:val="000000"/>
                <w:sz w:val="16"/>
                <w:vertAlign w:val="superscript"/>
              </w:rPr>
            </w:pPr>
          </w:p>
        </w:tc>
        <w:tc>
          <w:tcPr>
            <w:tcW w:w="5325" w:type="dxa"/>
            <w:tcBorders>
              <w:top w:val="nil"/>
              <w:left w:val="nil"/>
              <w:bottom w:val="nil"/>
              <w:right w:val="nil"/>
              <w:tl2br w:val="nil"/>
              <w:tr2bl w:val="nil"/>
            </w:tcBorders>
            <w:shd w:val="clear" w:color="auto" w:fill="FFFFFF"/>
            <w:tcMar>
              <w:left w:w="101" w:type="dxa"/>
              <w:right w:w="101" w:type="dxa"/>
            </w:tcMar>
            <w:vAlign w:val="bottom"/>
          </w:tcPr>
          <w:p w14:paraId="022694FE" w14:textId="77777777" w:rsidR="003F0EEA" w:rsidRPr="0087290F" w:rsidRDefault="00FB7D0B">
            <w:pPr>
              <w:rPr>
                <w:rFonts w:ascii="Arial" w:eastAsia="Arial" w:hAnsi="Arial" w:cs="Arial"/>
                <w:color w:val="000000"/>
                <w:sz w:val="16"/>
                <w:vertAlign w:val="superscript"/>
              </w:rPr>
            </w:pPr>
            <w:r w:rsidRPr="0087290F">
              <w:rPr>
                <w:rFonts w:ascii="Arial" w:eastAsia="Arial" w:hAnsi="Arial" w:cs="Arial"/>
                <w:color w:val="000000"/>
                <w:sz w:val="16"/>
              </w:rPr>
              <w:t>Ordinary annual services (Appropriation Bill No. 1)</w:t>
            </w:r>
          </w:p>
        </w:tc>
        <w:tc>
          <w:tcPr>
            <w:tcW w:w="1230" w:type="dxa"/>
            <w:tcBorders>
              <w:top w:val="nil"/>
              <w:left w:val="nil"/>
              <w:bottom w:val="nil"/>
              <w:right w:val="nil"/>
              <w:tl2br w:val="nil"/>
              <w:tr2bl w:val="nil"/>
            </w:tcBorders>
            <w:shd w:val="clear" w:color="auto" w:fill="FFFFFF"/>
            <w:tcMar>
              <w:left w:w="101" w:type="dxa"/>
              <w:right w:w="101" w:type="dxa"/>
            </w:tcMar>
            <w:vAlign w:val="bottom"/>
          </w:tcPr>
          <w:p w14:paraId="1D2E7EFC" w14:textId="77777777" w:rsidR="003F0EEA" w:rsidRPr="0087290F" w:rsidRDefault="00FB7D0B">
            <w:pPr>
              <w:jc w:val="right"/>
              <w:rPr>
                <w:rFonts w:ascii="Arial" w:eastAsia="Arial" w:hAnsi="Arial" w:cs="Arial"/>
                <w:color w:val="000000"/>
                <w:sz w:val="16"/>
                <w:vertAlign w:val="superscript"/>
              </w:rPr>
            </w:pPr>
            <w:r w:rsidRPr="0087290F">
              <w:rPr>
                <w:rFonts w:ascii="Arial" w:eastAsia="Arial" w:hAnsi="Arial" w:cs="Arial"/>
                <w:color w:val="000000"/>
                <w:sz w:val="16"/>
              </w:rPr>
              <w:t xml:space="preserve"> - </w:t>
            </w:r>
          </w:p>
        </w:tc>
        <w:tc>
          <w:tcPr>
            <w:tcW w:w="1230" w:type="dxa"/>
            <w:tcBorders>
              <w:top w:val="nil"/>
              <w:left w:val="nil"/>
              <w:bottom w:val="nil"/>
              <w:right w:val="nil"/>
              <w:tl2br w:val="nil"/>
              <w:tr2bl w:val="nil"/>
            </w:tcBorders>
            <w:shd w:val="clear" w:color="auto" w:fill="FFFF00"/>
            <w:tcMar>
              <w:left w:w="101" w:type="dxa"/>
              <w:right w:w="101" w:type="dxa"/>
            </w:tcMar>
            <w:vAlign w:val="bottom"/>
          </w:tcPr>
          <w:p w14:paraId="1BCA518F" w14:textId="77777777" w:rsidR="003F0EEA" w:rsidRPr="0087290F" w:rsidRDefault="00FB7D0B">
            <w:pPr>
              <w:jc w:val="right"/>
              <w:rPr>
                <w:rFonts w:ascii="Arial" w:eastAsia="Arial" w:hAnsi="Arial" w:cs="Arial"/>
                <w:color w:val="000000"/>
                <w:sz w:val="16"/>
              </w:rPr>
            </w:pPr>
            <w:r w:rsidRPr="0087290F">
              <w:rPr>
                <w:rFonts w:ascii="Arial" w:eastAsia="Arial" w:hAnsi="Arial" w:cs="Arial"/>
                <w:color w:val="000000"/>
                <w:sz w:val="16"/>
              </w:rPr>
              <w:t xml:space="preserve"> - </w:t>
            </w:r>
          </w:p>
        </w:tc>
      </w:tr>
      <w:tr w:rsidR="00724034" w14:paraId="3F1DC481" w14:textId="77777777">
        <w:trPr>
          <w:trHeight w:val="225"/>
        </w:trPr>
        <w:tc>
          <w:tcPr>
            <w:tcW w:w="285" w:type="dxa"/>
            <w:tcBorders>
              <w:top w:val="nil"/>
              <w:left w:val="nil"/>
              <w:bottom w:val="nil"/>
              <w:right w:val="nil"/>
              <w:tl2br w:val="nil"/>
              <w:tr2bl w:val="nil"/>
            </w:tcBorders>
            <w:shd w:val="clear" w:color="auto" w:fill="FFFFFF"/>
            <w:tcMar>
              <w:left w:w="101" w:type="dxa"/>
              <w:right w:w="101" w:type="dxa"/>
            </w:tcMar>
            <w:vAlign w:val="bottom"/>
          </w:tcPr>
          <w:p w14:paraId="26F5B2ED" w14:textId="77777777" w:rsidR="003F0EEA" w:rsidRPr="0087290F" w:rsidRDefault="003F0EEA">
            <w:pPr>
              <w:rPr>
                <w:rFonts w:ascii="Arial" w:eastAsia="Arial" w:hAnsi="Arial" w:cs="Arial"/>
                <w:color w:val="000000"/>
                <w:sz w:val="16"/>
              </w:rPr>
            </w:pPr>
          </w:p>
        </w:tc>
        <w:tc>
          <w:tcPr>
            <w:tcW w:w="5325" w:type="dxa"/>
            <w:tcBorders>
              <w:top w:val="nil"/>
              <w:left w:val="nil"/>
              <w:bottom w:val="nil"/>
              <w:right w:val="nil"/>
              <w:tl2br w:val="nil"/>
              <w:tr2bl w:val="nil"/>
            </w:tcBorders>
            <w:shd w:val="clear" w:color="auto" w:fill="FFFFFF"/>
            <w:tcMar>
              <w:left w:w="101" w:type="dxa"/>
              <w:right w:w="101" w:type="dxa"/>
            </w:tcMar>
            <w:vAlign w:val="bottom"/>
          </w:tcPr>
          <w:p w14:paraId="3ADDF0B6" w14:textId="77777777" w:rsidR="003F0EEA" w:rsidRPr="0087290F" w:rsidRDefault="00FB7D0B">
            <w:pPr>
              <w:rPr>
                <w:rFonts w:ascii="Arial" w:eastAsia="Arial" w:hAnsi="Arial" w:cs="Arial"/>
                <w:color w:val="000000"/>
                <w:sz w:val="16"/>
              </w:rPr>
            </w:pPr>
            <w:r w:rsidRPr="0087290F">
              <w:rPr>
                <w:rFonts w:ascii="Arial" w:eastAsia="Arial" w:hAnsi="Arial" w:cs="Arial"/>
                <w:color w:val="000000"/>
                <w:sz w:val="16"/>
              </w:rPr>
              <w:t>Other services (Appropriation Bill No. 2)</w:t>
            </w:r>
          </w:p>
        </w:tc>
        <w:tc>
          <w:tcPr>
            <w:tcW w:w="1230" w:type="dxa"/>
            <w:tcBorders>
              <w:top w:val="nil"/>
              <w:left w:val="nil"/>
              <w:bottom w:val="nil"/>
              <w:right w:val="nil"/>
              <w:tl2br w:val="nil"/>
              <w:tr2bl w:val="nil"/>
            </w:tcBorders>
            <w:shd w:val="clear" w:color="auto" w:fill="FFFFFF"/>
            <w:tcMar>
              <w:left w:w="101" w:type="dxa"/>
              <w:right w:w="101" w:type="dxa"/>
            </w:tcMar>
            <w:vAlign w:val="bottom"/>
          </w:tcPr>
          <w:p w14:paraId="6F683BF3" w14:textId="77777777" w:rsidR="003F0EEA" w:rsidRPr="0087290F" w:rsidRDefault="00FB7D0B">
            <w:pPr>
              <w:jc w:val="right"/>
              <w:rPr>
                <w:rFonts w:ascii="Arial" w:eastAsia="Arial" w:hAnsi="Arial" w:cs="Arial"/>
                <w:color w:val="000000"/>
                <w:sz w:val="16"/>
                <w:vertAlign w:val="superscript"/>
              </w:rPr>
            </w:pPr>
            <w:r w:rsidRPr="0087290F">
              <w:rPr>
                <w:rFonts w:ascii="Arial" w:eastAsia="Arial" w:hAnsi="Arial" w:cs="Arial"/>
                <w:color w:val="000000"/>
                <w:sz w:val="16"/>
              </w:rPr>
              <w:t xml:space="preserve"> - </w:t>
            </w:r>
          </w:p>
        </w:tc>
        <w:tc>
          <w:tcPr>
            <w:tcW w:w="1230" w:type="dxa"/>
            <w:tcBorders>
              <w:top w:val="nil"/>
              <w:left w:val="nil"/>
              <w:bottom w:val="nil"/>
              <w:right w:val="nil"/>
              <w:tl2br w:val="nil"/>
              <w:tr2bl w:val="nil"/>
            </w:tcBorders>
            <w:shd w:val="clear" w:color="auto" w:fill="FFFF00"/>
            <w:tcMar>
              <w:left w:w="101" w:type="dxa"/>
              <w:right w:w="101" w:type="dxa"/>
            </w:tcMar>
            <w:vAlign w:val="bottom"/>
          </w:tcPr>
          <w:p w14:paraId="0CD0BE36" w14:textId="77777777" w:rsidR="003F0EEA" w:rsidRPr="0087290F" w:rsidRDefault="00FB7D0B">
            <w:pPr>
              <w:jc w:val="right"/>
              <w:rPr>
                <w:rFonts w:ascii="Arial" w:eastAsia="Arial" w:hAnsi="Arial" w:cs="Arial"/>
                <w:color w:val="000000"/>
                <w:sz w:val="16"/>
              </w:rPr>
            </w:pPr>
            <w:r w:rsidRPr="0087290F">
              <w:rPr>
                <w:rFonts w:ascii="Arial" w:eastAsia="Arial" w:hAnsi="Arial" w:cs="Arial"/>
                <w:color w:val="000000"/>
                <w:sz w:val="16"/>
              </w:rPr>
              <w:t xml:space="preserve"> - </w:t>
            </w:r>
          </w:p>
        </w:tc>
      </w:tr>
      <w:tr w:rsidR="00724034" w14:paraId="52FEC0D6" w14:textId="77777777">
        <w:trPr>
          <w:trHeight w:val="225"/>
        </w:trPr>
        <w:tc>
          <w:tcPr>
            <w:tcW w:w="285" w:type="dxa"/>
            <w:tcBorders>
              <w:top w:val="nil"/>
              <w:left w:val="nil"/>
              <w:bottom w:val="nil"/>
              <w:right w:val="nil"/>
              <w:tl2br w:val="nil"/>
              <w:tr2bl w:val="nil"/>
            </w:tcBorders>
            <w:shd w:val="clear" w:color="auto" w:fill="FFFFFF"/>
            <w:tcMar>
              <w:left w:w="101" w:type="dxa"/>
              <w:right w:w="101" w:type="dxa"/>
            </w:tcMar>
            <w:vAlign w:val="bottom"/>
          </w:tcPr>
          <w:p w14:paraId="74086D1D" w14:textId="77777777" w:rsidR="003F0EEA" w:rsidRPr="0087290F" w:rsidRDefault="003F0EEA">
            <w:pPr>
              <w:rPr>
                <w:rFonts w:ascii="Arial" w:eastAsia="Arial" w:hAnsi="Arial" w:cs="Arial"/>
                <w:color w:val="000000"/>
                <w:sz w:val="16"/>
              </w:rPr>
            </w:pPr>
          </w:p>
        </w:tc>
        <w:tc>
          <w:tcPr>
            <w:tcW w:w="5325" w:type="dxa"/>
            <w:tcBorders>
              <w:top w:val="nil"/>
              <w:left w:val="nil"/>
              <w:bottom w:val="nil"/>
              <w:right w:val="nil"/>
              <w:tl2br w:val="nil"/>
              <w:tr2bl w:val="nil"/>
            </w:tcBorders>
            <w:shd w:val="clear" w:color="auto" w:fill="FFFFFF"/>
            <w:tcMar>
              <w:left w:w="101" w:type="dxa"/>
              <w:right w:w="101" w:type="dxa"/>
            </w:tcMar>
            <w:vAlign w:val="bottom"/>
          </w:tcPr>
          <w:p w14:paraId="024EF317" w14:textId="77777777" w:rsidR="003F0EEA" w:rsidRPr="0087290F" w:rsidRDefault="00FB7D0B">
            <w:pPr>
              <w:rPr>
                <w:rFonts w:ascii="Arial" w:eastAsia="Arial" w:hAnsi="Arial" w:cs="Arial"/>
                <w:color w:val="000000"/>
                <w:sz w:val="16"/>
              </w:rPr>
            </w:pPr>
            <w:r w:rsidRPr="0087290F">
              <w:rPr>
                <w:rFonts w:ascii="Arial" w:eastAsia="Arial" w:hAnsi="Arial" w:cs="Arial"/>
                <w:color w:val="000000"/>
                <w:sz w:val="16"/>
              </w:rPr>
              <w:t>Special Appropriations</w:t>
            </w:r>
          </w:p>
        </w:tc>
        <w:tc>
          <w:tcPr>
            <w:tcW w:w="1230" w:type="dxa"/>
            <w:tcBorders>
              <w:top w:val="nil"/>
              <w:left w:val="nil"/>
              <w:bottom w:val="nil"/>
              <w:right w:val="nil"/>
              <w:tl2br w:val="nil"/>
              <w:tr2bl w:val="nil"/>
            </w:tcBorders>
            <w:shd w:val="clear" w:color="auto" w:fill="FFFFFF"/>
            <w:tcMar>
              <w:left w:w="101" w:type="dxa"/>
              <w:right w:w="101" w:type="dxa"/>
            </w:tcMar>
            <w:vAlign w:val="bottom"/>
          </w:tcPr>
          <w:p w14:paraId="29D06F15" w14:textId="77777777" w:rsidR="003F0EEA" w:rsidRPr="0087290F" w:rsidRDefault="00FB7D0B">
            <w:pPr>
              <w:jc w:val="right"/>
              <w:rPr>
                <w:rFonts w:ascii="Arial" w:eastAsia="Arial" w:hAnsi="Arial" w:cs="Arial"/>
                <w:color w:val="000000"/>
                <w:sz w:val="16"/>
                <w:vertAlign w:val="superscript"/>
              </w:rPr>
            </w:pPr>
            <w:r w:rsidRPr="0087290F">
              <w:rPr>
                <w:rFonts w:ascii="Arial" w:eastAsia="Arial" w:hAnsi="Arial" w:cs="Arial"/>
                <w:color w:val="000000"/>
                <w:sz w:val="16"/>
              </w:rPr>
              <w:t xml:space="preserve"> 71,223 </w:t>
            </w:r>
          </w:p>
        </w:tc>
        <w:tc>
          <w:tcPr>
            <w:tcW w:w="1230" w:type="dxa"/>
            <w:tcBorders>
              <w:top w:val="nil"/>
              <w:left w:val="nil"/>
              <w:bottom w:val="nil"/>
              <w:right w:val="nil"/>
              <w:tl2br w:val="nil"/>
              <w:tr2bl w:val="nil"/>
            </w:tcBorders>
            <w:shd w:val="clear" w:color="auto" w:fill="FFFF00"/>
            <w:tcMar>
              <w:left w:w="101" w:type="dxa"/>
              <w:right w:w="101" w:type="dxa"/>
            </w:tcMar>
            <w:vAlign w:val="bottom"/>
          </w:tcPr>
          <w:p w14:paraId="3C42352D" w14:textId="77777777" w:rsidR="003F0EEA" w:rsidRPr="0087290F" w:rsidRDefault="00FB7D0B">
            <w:pPr>
              <w:jc w:val="right"/>
              <w:rPr>
                <w:rFonts w:ascii="Arial" w:eastAsia="Arial" w:hAnsi="Arial" w:cs="Arial"/>
                <w:color w:val="000000"/>
                <w:sz w:val="16"/>
              </w:rPr>
            </w:pPr>
            <w:r w:rsidRPr="0087290F">
              <w:rPr>
                <w:rFonts w:ascii="Arial" w:eastAsia="Arial" w:hAnsi="Arial" w:cs="Arial"/>
                <w:color w:val="000000"/>
                <w:sz w:val="16"/>
              </w:rPr>
              <w:t xml:space="preserve"> 74,240 </w:t>
            </w:r>
          </w:p>
        </w:tc>
      </w:tr>
      <w:tr w:rsidR="00724034" w14:paraId="3F9755D9" w14:textId="77777777">
        <w:trPr>
          <w:trHeight w:val="225"/>
        </w:trPr>
        <w:tc>
          <w:tcPr>
            <w:tcW w:w="285" w:type="dxa"/>
            <w:tcBorders>
              <w:top w:val="nil"/>
              <w:left w:val="nil"/>
              <w:bottom w:val="nil"/>
              <w:right w:val="nil"/>
              <w:tl2br w:val="nil"/>
              <w:tr2bl w:val="nil"/>
            </w:tcBorders>
            <w:shd w:val="clear" w:color="auto" w:fill="FFFFFF"/>
            <w:tcMar>
              <w:left w:w="101" w:type="dxa"/>
              <w:right w:w="101" w:type="dxa"/>
            </w:tcMar>
            <w:vAlign w:val="bottom"/>
          </w:tcPr>
          <w:p w14:paraId="1238A225" w14:textId="77777777" w:rsidR="003F0EEA" w:rsidRPr="0087290F" w:rsidRDefault="003F0EEA">
            <w:pPr>
              <w:rPr>
                <w:rFonts w:ascii="Arial" w:eastAsia="Arial" w:hAnsi="Arial" w:cs="Arial"/>
                <w:color w:val="000000"/>
                <w:sz w:val="16"/>
              </w:rPr>
            </w:pPr>
          </w:p>
        </w:tc>
        <w:tc>
          <w:tcPr>
            <w:tcW w:w="5325" w:type="dxa"/>
            <w:tcBorders>
              <w:top w:val="nil"/>
              <w:left w:val="nil"/>
              <w:bottom w:val="nil"/>
              <w:right w:val="nil"/>
              <w:tl2br w:val="nil"/>
              <w:tr2bl w:val="nil"/>
            </w:tcBorders>
            <w:shd w:val="clear" w:color="auto" w:fill="FFFFFF"/>
            <w:tcMar>
              <w:left w:w="101" w:type="dxa"/>
              <w:right w:w="101" w:type="dxa"/>
            </w:tcMar>
            <w:vAlign w:val="bottom"/>
          </w:tcPr>
          <w:p w14:paraId="21B11519" w14:textId="77777777" w:rsidR="003F0EEA" w:rsidRPr="0087290F" w:rsidRDefault="00FB7D0B">
            <w:pPr>
              <w:rPr>
                <w:rFonts w:ascii="Arial" w:eastAsia="Arial" w:hAnsi="Arial" w:cs="Arial"/>
                <w:color w:val="000000"/>
                <w:sz w:val="16"/>
              </w:rPr>
            </w:pPr>
            <w:r w:rsidRPr="0087290F">
              <w:rPr>
                <w:rFonts w:ascii="Arial" w:eastAsia="Arial" w:hAnsi="Arial" w:cs="Arial"/>
                <w:color w:val="000000"/>
                <w:sz w:val="16"/>
              </w:rPr>
              <w:t>Special Accounts</w:t>
            </w:r>
          </w:p>
        </w:tc>
        <w:tc>
          <w:tcPr>
            <w:tcW w:w="1230" w:type="dxa"/>
            <w:tcBorders>
              <w:top w:val="nil"/>
              <w:left w:val="nil"/>
              <w:bottom w:val="nil"/>
              <w:right w:val="nil"/>
              <w:tl2br w:val="nil"/>
              <w:tr2bl w:val="nil"/>
            </w:tcBorders>
            <w:shd w:val="clear" w:color="auto" w:fill="FFFFFF"/>
            <w:tcMar>
              <w:left w:w="101" w:type="dxa"/>
              <w:right w:w="101" w:type="dxa"/>
            </w:tcMar>
            <w:vAlign w:val="bottom"/>
          </w:tcPr>
          <w:p w14:paraId="218327A4" w14:textId="77777777" w:rsidR="003F0EEA" w:rsidRPr="0087290F" w:rsidRDefault="00FB7D0B">
            <w:pPr>
              <w:jc w:val="right"/>
              <w:rPr>
                <w:rFonts w:ascii="Arial" w:eastAsia="Arial" w:hAnsi="Arial" w:cs="Arial"/>
                <w:color w:val="000000"/>
                <w:sz w:val="16"/>
                <w:vertAlign w:val="superscript"/>
              </w:rPr>
            </w:pPr>
            <w:r w:rsidRPr="0087290F">
              <w:rPr>
                <w:rFonts w:ascii="Arial" w:eastAsia="Arial" w:hAnsi="Arial" w:cs="Arial"/>
                <w:color w:val="000000"/>
                <w:sz w:val="16"/>
              </w:rPr>
              <w:t xml:space="preserve"> - </w:t>
            </w:r>
          </w:p>
        </w:tc>
        <w:tc>
          <w:tcPr>
            <w:tcW w:w="1230" w:type="dxa"/>
            <w:tcBorders>
              <w:top w:val="nil"/>
              <w:left w:val="nil"/>
              <w:bottom w:val="nil"/>
              <w:right w:val="nil"/>
              <w:tl2br w:val="nil"/>
              <w:tr2bl w:val="nil"/>
            </w:tcBorders>
            <w:shd w:val="clear" w:color="auto" w:fill="FFFF00"/>
            <w:tcMar>
              <w:left w:w="101" w:type="dxa"/>
              <w:right w:w="101" w:type="dxa"/>
            </w:tcMar>
            <w:vAlign w:val="bottom"/>
          </w:tcPr>
          <w:p w14:paraId="3F9483F6" w14:textId="77777777" w:rsidR="003F0EEA" w:rsidRPr="0087290F" w:rsidRDefault="00FB7D0B">
            <w:pPr>
              <w:jc w:val="right"/>
              <w:rPr>
                <w:rFonts w:ascii="Arial" w:eastAsia="Arial" w:hAnsi="Arial" w:cs="Arial"/>
                <w:color w:val="000000"/>
                <w:sz w:val="16"/>
              </w:rPr>
            </w:pPr>
            <w:r w:rsidRPr="0087290F">
              <w:rPr>
                <w:rFonts w:ascii="Arial" w:eastAsia="Arial" w:hAnsi="Arial" w:cs="Arial"/>
                <w:color w:val="000000"/>
                <w:sz w:val="16"/>
              </w:rPr>
              <w:t xml:space="preserve"> - </w:t>
            </w:r>
          </w:p>
        </w:tc>
      </w:tr>
      <w:tr w:rsidR="00FB7D0B" w14:paraId="68884A9A" w14:textId="77777777" w:rsidTr="00FB7D0B">
        <w:trPr>
          <w:trHeight w:val="225"/>
        </w:trPr>
        <w:tc>
          <w:tcPr>
            <w:tcW w:w="5610" w:type="dxa"/>
            <w:gridSpan w:val="2"/>
            <w:tcBorders>
              <w:top w:val="nil"/>
              <w:left w:val="nil"/>
              <w:bottom w:val="nil"/>
              <w:right w:val="nil"/>
              <w:tl2br w:val="nil"/>
              <w:tr2bl w:val="nil"/>
            </w:tcBorders>
            <w:shd w:val="clear" w:color="auto" w:fill="FFFFFF"/>
            <w:tcMar>
              <w:left w:w="101" w:type="dxa"/>
              <w:right w:w="101" w:type="dxa"/>
            </w:tcMar>
            <w:vAlign w:val="bottom"/>
          </w:tcPr>
          <w:p w14:paraId="2BC54BBC" w14:textId="77777777" w:rsidR="003F0EEA" w:rsidRPr="0087290F" w:rsidRDefault="00FB7D0B">
            <w:pPr>
              <w:rPr>
                <w:rFonts w:ascii="Arial" w:eastAsia="Arial" w:hAnsi="Arial" w:cs="Arial"/>
                <w:color w:val="000000"/>
                <w:sz w:val="16"/>
              </w:rPr>
            </w:pPr>
            <w:r w:rsidRPr="0087290F">
              <w:rPr>
                <w:rFonts w:ascii="Arial" w:eastAsia="Arial" w:hAnsi="Arial" w:cs="Arial"/>
                <w:color w:val="000000"/>
                <w:sz w:val="16"/>
              </w:rPr>
              <w:t>Departmental Expenses</w:t>
            </w:r>
          </w:p>
        </w:tc>
        <w:tc>
          <w:tcPr>
            <w:tcW w:w="1230" w:type="dxa"/>
            <w:tcBorders>
              <w:top w:val="nil"/>
              <w:left w:val="nil"/>
              <w:bottom w:val="nil"/>
              <w:right w:val="nil"/>
              <w:tl2br w:val="nil"/>
              <w:tr2bl w:val="nil"/>
            </w:tcBorders>
            <w:shd w:val="clear" w:color="auto" w:fill="FFFFFF"/>
            <w:tcMar>
              <w:left w:w="101" w:type="dxa"/>
              <w:right w:w="101" w:type="dxa"/>
            </w:tcMar>
            <w:vAlign w:val="bottom"/>
          </w:tcPr>
          <w:p w14:paraId="4AF74656" w14:textId="77777777" w:rsidR="003F0EEA" w:rsidRPr="0087290F" w:rsidRDefault="003F0EEA">
            <w:pPr>
              <w:jc w:val="right"/>
              <w:rPr>
                <w:rFonts w:ascii="Arial" w:eastAsia="Arial" w:hAnsi="Arial" w:cs="Arial"/>
                <w:color w:val="000000"/>
                <w:sz w:val="16"/>
                <w:vertAlign w:val="superscript"/>
              </w:rPr>
            </w:pPr>
          </w:p>
        </w:tc>
        <w:tc>
          <w:tcPr>
            <w:tcW w:w="1230" w:type="dxa"/>
            <w:tcBorders>
              <w:top w:val="nil"/>
              <w:left w:val="nil"/>
              <w:bottom w:val="nil"/>
              <w:right w:val="nil"/>
              <w:tl2br w:val="nil"/>
              <w:tr2bl w:val="nil"/>
            </w:tcBorders>
            <w:shd w:val="clear" w:color="auto" w:fill="FFFF00"/>
            <w:tcMar>
              <w:left w:w="101" w:type="dxa"/>
              <w:right w:w="101" w:type="dxa"/>
            </w:tcMar>
            <w:vAlign w:val="bottom"/>
          </w:tcPr>
          <w:p w14:paraId="0B521F52" w14:textId="77777777" w:rsidR="003F0EEA" w:rsidRPr="0087290F" w:rsidRDefault="003F0EEA">
            <w:pPr>
              <w:jc w:val="right"/>
              <w:rPr>
                <w:rFonts w:ascii="Arial" w:eastAsia="Arial" w:hAnsi="Arial" w:cs="Arial"/>
                <w:color w:val="000000"/>
                <w:sz w:val="16"/>
                <w:vertAlign w:val="superscript"/>
              </w:rPr>
            </w:pPr>
          </w:p>
        </w:tc>
      </w:tr>
      <w:tr w:rsidR="00724034" w14:paraId="2C09750C" w14:textId="77777777">
        <w:trPr>
          <w:trHeight w:val="225"/>
        </w:trPr>
        <w:tc>
          <w:tcPr>
            <w:tcW w:w="285" w:type="dxa"/>
            <w:tcBorders>
              <w:top w:val="nil"/>
              <w:left w:val="nil"/>
              <w:bottom w:val="nil"/>
              <w:right w:val="nil"/>
              <w:tl2br w:val="nil"/>
              <w:tr2bl w:val="nil"/>
            </w:tcBorders>
            <w:shd w:val="clear" w:color="auto" w:fill="FFFFFF"/>
            <w:tcMar>
              <w:left w:w="101" w:type="dxa"/>
              <w:right w:w="101" w:type="dxa"/>
            </w:tcMar>
            <w:vAlign w:val="bottom"/>
          </w:tcPr>
          <w:p w14:paraId="4FA2F087" w14:textId="77777777" w:rsidR="003F0EEA" w:rsidRPr="0087290F" w:rsidRDefault="003F0EEA">
            <w:pPr>
              <w:rPr>
                <w:rFonts w:ascii="Arial" w:eastAsia="Arial" w:hAnsi="Arial" w:cs="Arial"/>
                <w:color w:val="000000"/>
                <w:sz w:val="16"/>
                <w:vertAlign w:val="superscript"/>
              </w:rPr>
            </w:pPr>
          </w:p>
        </w:tc>
        <w:tc>
          <w:tcPr>
            <w:tcW w:w="5325" w:type="dxa"/>
            <w:tcBorders>
              <w:top w:val="nil"/>
              <w:left w:val="nil"/>
              <w:bottom w:val="nil"/>
              <w:right w:val="nil"/>
              <w:tl2br w:val="nil"/>
              <w:tr2bl w:val="nil"/>
            </w:tcBorders>
            <w:shd w:val="clear" w:color="auto" w:fill="FFFFFF"/>
            <w:tcMar>
              <w:left w:w="101" w:type="dxa"/>
              <w:right w:w="101" w:type="dxa"/>
            </w:tcMar>
            <w:vAlign w:val="bottom"/>
          </w:tcPr>
          <w:p w14:paraId="38F24B2D" w14:textId="77777777" w:rsidR="003F0EEA" w:rsidRPr="0087290F" w:rsidRDefault="00FB7D0B">
            <w:pPr>
              <w:rPr>
                <w:rFonts w:ascii="Arial" w:eastAsia="Arial" w:hAnsi="Arial" w:cs="Arial"/>
                <w:color w:val="000000"/>
                <w:sz w:val="16"/>
                <w:vertAlign w:val="superscript"/>
              </w:rPr>
            </w:pPr>
            <w:r w:rsidRPr="0087290F">
              <w:rPr>
                <w:rFonts w:ascii="Arial" w:eastAsia="Arial" w:hAnsi="Arial" w:cs="Arial"/>
                <w:color w:val="000000"/>
                <w:sz w:val="16"/>
              </w:rPr>
              <w:t>Departmental appropriation</w:t>
            </w:r>
            <w:r w:rsidRPr="0087290F">
              <w:rPr>
                <w:rFonts w:ascii="Arial" w:eastAsia="Arial" w:hAnsi="Arial" w:cs="Arial"/>
                <w:color w:val="000000"/>
                <w:sz w:val="16"/>
                <w:vertAlign w:val="superscript"/>
              </w:rPr>
              <w:t>1 </w:t>
            </w:r>
          </w:p>
        </w:tc>
        <w:tc>
          <w:tcPr>
            <w:tcW w:w="1230" w:type="dxa"/>
            <w:tcBorders>
              <w:top w:val="nil"/>
              <w:left w:val="nil"/>
              <w:bottom w:val="nil"/>
              <w:right w:val="nil"/>
              <w:tl2br w:val="nil"/>
              <w:tr2bl w:val="nil"/>
            </w:tcBorders>
            <w:shd w:val="clear" w:color="auto" w:fill="FFFFFF"/>
            <w:tcMar>
              <w:left w:w="101" w:type="dxa"/>
              <w:right w:w="101" w:type="dxa"/>
            </w:tcMar>
            <w:vAlign w:val="bottom"/>
          </w:tcPr>
          <w:p w14:paraId="423AD8E9" w14:textId="77777777" w:rsidR="003F0EEA" w:rsidRPr="0087290F" w:rsidRDefault="00FB7D0B">
            <w:pPr>
              <w:jc w:val="right"/>
              <w:rPr>
                <w:rFonts w:ascii="Arial" w:eastAsia="Arial" w:hAnsi="Arial" w:cs="Arial"/>
                <w:color w:val="000000"/>
                <w:sz w:val="16"/>
                <w:vertAlign w:val="superscript"/>
              </w:rPr>
            </w:pPr>
            <w:r w:rsidRPr="0087290F">
              <w:rPr>
                <w:rFonts w:ascii="Arial" w:eastAsia="Arial" w:hAnsi="Arial" w:cs="Arial"/>
                <w:color w:val="000000"/>
                <w:sz w:val="16"/>
              </w:rPr>
              <w:t xml:space="preserve"> 19,835 </w:t>
            </w:r>
          </w:p>
        </w:tc>
        <w:tc>
          <w:tcPr>
            <w:tcW w:w="1230" w:type="dxa"/>
            <w:tcBorders>
              <w:top w:val="nil"/>
              <w:left w:val="nil"/>
              <w:bottom w:val="nil"/>
              <w:right w:val="nil"/>
              <w:tl2br w:val="nil"/>
              <w:tr2bl w:val="nil"/>
            </w:tcBorders>
            <w:shd w:val="clear" w:color="auto" w:fill="FFFF00"/>
            <w:tcMar>
              <w:left w:w="101" w:type="dxa"/>
              <w:right w:w="101" w:type="dxa"/>
            </w:tcMar>
            <w:vAlign w:val="bottom"/>
          </w:tcPr>
          <w:p w14:paraId="66A03B22" w14:textId="77777777" w:rsidR="003F0EEA" w:rsidRPr="0087290F" w:rsidRDefault="00FB7D0B">
            <w:pPr>
              <w:jc w:val="right"/>
              <w:rPr>
                <w:rFonts w:ascii="Arial" w:eastAsia="Arial" w:hAnsi="Arial" w:cs="Arial"/>
                <w:color w:val="000000"/>
                <w:sz w:val="16"/>
              </w:rPr>
            </w:pPr>
            <w:r w:rsidRPr="0087290F">
              <w:rPr>
                <w:rFonts w:ascii="Arial" w:eastAsia="Arial" w:hAnsi="Arial" w:cs="Arial"/>
                <w:color w:val="000000"/>
                <w:sz w:val="16"/>
              </w:rPr>
              <w:t xml:space="preserve"> 19,645 </w:t>
            </w:r>
          </w:p>
        </w:tc>
      </w:tr>
      <w:tr w:rsidR="00724034" w14:paraId="7B06A5DE" w14:textId="77777777">
        <w:trPr>
          <w:trHeight w:val="225"/>
        </w:trPr>
        <w:tc>
          <w:tcPr>
            <w:tcW w:w="285" w:type="dxa"/>
            <w:tcBorders>
              <w:top w:val="nil"/>
              <w:left w:val="nil"/>
              <w:bottom w:val="nil"/>
              <w:right w:val="nil"/>
              <w:tl2br w:val="nil"/>
              <w:tr2bl w:val="nil"/>
            </w:tcBorders>
            <w:shd w:val="clear" w:color="auto" w:fill="FFFFFF"/>
            <w:tcMar>
              <w:left w:w="101" w:type="dxa"/>
              <w:right w:w="101" w:type="dxa"/>
            </w:tcMar>
            <w:vAlign w:val="bottom"/>
          </w:tcPr>
          <w:p w14:paraId="01DC2435" w14:textId="77777777" w:rsidR="003F0EEA" w:rsidRPr="0087290F" w:rsidRDefault="003F0EEA">
            <w:pPr>
              <w:rPr>
                <w:rFonts w:ascii="Arial" w:eastAsia="Arial" w:hAnsi="Arial" w:cs="Arial"/>
                <w:color w:val="000000"/>
                <w:sz w:val="16"/>
              </w:rPr>
            </w:pPr>
          </w:p>
        </w:tc>
        <w:tc>
          <w:tcPr>
            <w:tcW w:w="5325" w:type="dxa"/>
            <w:tcBorders>
              <w:top w:val="nil"/>
              <w:left w:val="nil"/>
              <w:bottom w:val="nil"/>
              <w:right w:val="nil"/>
              <w:tl2br w:val="nil"/>
              <w:tr2bl w:val="nil"/>
            </w:tcBorders>
            <w:shd w:val="clear" w:color="auto" w:fill="FFFFFF"/>
            <w:tcMar>
              <w:left w:w="101" w:type="dxa"/>
              <w:right w:w="101" w:type="dxa"/>
            </w:tcMar>
            <w:vAlign w:val="bottom"/>
          </w:tcPr>
          <w:p w14:paraId="7565A65F" w14:textId="77777777" w:rsidR="003F0EEA" w:rsidRPr="0087290F" w:rsidRDefault="00FB7D0B">
            <w:pPr>
              <w:rPr>
                <w:rFonts w:ascii="Arial" w:eastAsia="Arial" w:hAnsi="Arial" w:cs="Arial"/>
                <w:color w:val="000000"/>
                <w:sz w:val="16"/>
              </w:rPr>
            </w:pPr>
            <w:r w:rsidRPr="0087290F">
              <w:rPr>
                <w:rFonts w:ascii="Arial" w:eastAsia="Arial" w:hAnsi="Arial" w:cs="Arial"/>
                <w:color w:val="000000"/>
                <w:sz w:val="16"/>
              </w:rPr>
              <w:t>Expenses not requiring appropriation in the Budget year</w:t>
            </w:r>
            <w:r w:rsidRPr="0087290F">
              <w:rPr>
                <w:rFonts w:ascii="Arial" w:eastAsia="Arial" w:hAnsi="Arial" w:cs="Arial"/>
                <w:color w:val="000000"/>
                <w:sz w:val="16"/>
                <w:vertAlign w:val="superscript"/>
              </w:rPr>
              <w:t>2 </w:t>
            </w:r>
          </w:p>
        </w:tc>
        <w:tc>
          <w:tcPr>
            <w:tcW w:w="1230"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57AC6F4B" w14:textId="77777777" w:rsidR="003F0EEA" w:rsidRPr="0087290F" w:rsidRDefault="00FB7D0B">
            <w:pPr>
              <w:jc w:val="right"/>
              <w:rPr>
                <w:rFonts w:ascii="Arial" w:eastAsia="Arial" w:hAnsi="Arial" w:cs="Arial"/>
                <w:color w:val="000000"/>
                <w:sz w:val="16"/>
                <w:vertAlign w:val="superscript"/>
              </w:rPr>
            </w:pPr>
            <w:r w:rsidRPr="0087290F">
              <w:rPr>
                <w:rFonts w:ascii="Arial" w:eastAsia="Arial" w:hAnsi="Arial" w:cs="Arial"/>
                <w:color w:val="000000"/>
                <w:sz w:val="16"/>
              </w:rPr>
              <w:t xml:space="preserve"> 2,141 </w:t>
            </w:r>
          </w:p>
        </w:tc>
        <w:tc>
          <w:tcPr>
            <w:tcW w:w="1230" w:type="dxa"/>
            <w:tcBorders>
              <w:top w:val="nil"/>
              <w:left w:val="nil"/>
              <w:bottom w:val="single" w:sz="6" w:space="0" w:color="000000"/>
              <w:right w:val="nil"/>
              <w:tl2br w:val="nil"/>
              <w:tr2bl w:val="nil"/>
            </w:tcBorders>
            <w:shd w:val="clear" w:color="auto" w:fill="FFFF00"/>
            <w:tcMar>
              <w:left w:w="101" w:type="dxa"/>
              <w:right w:w="101" w:type="dxa"/>
            </w:tcMar>
            <w:vAlign w:val="bottom"/>
          </w:tcPr>
          <w:p w14:paraId="0D36667E" w14:textId="77777777" w:rsidR="003F0EEA" w:rsidRPr="0087290F" w:rsidRDefault="00FB7D0B">
            <w:pPr>
              <w:jc w:val="right"/>
              <w:rPr>
                <w:rFonts w:ascii="Arial" w:eastAsia="Arial" w:hAnsi="Arial" w:cs="Arial"/>
                <w:color w:val="000000"/>
                <w:sz w:val="16"/>
              </w:rPr>
            </w:pPr>
            <w:r w:rsidRPr="0087290F">
              <w:rPr>
                <w:rFonts w:ascii="Arial" w:eastAsia="Arial" w:hAnsi="Arial" w:cs="Arial"/>
                <w:color w:val="000000"/>
                <w:sz w:val="16"/>
              </w:rPr>
              <w:t xml:space="preserve"> 2,393 </w:t>
            </w:r>
          </w:p>
        </w:tc>
      </w:tr>
      <w:tr w:rsidR="00724034" w14:paraId="412B8D42" w14:textId="77777777">
        <w:trPr>
          <w:trHeight w:val="225"/>
        </w:trPr>
        <w:tc>
          <w:tcPr>
            <w:tcW w:w="285"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49163B65" w14:textId="77777777" w:rsidR="003F0EEA" w:rsidRPr="0087290F" w:rsidRDefault="003F0EEA">
            <w:pPr>
              <w:rPr>
                <w:rFonts w:ascii="Arial" w:eastAsia="Arial" w:hAnsi="Arial" w:cs="Arial"/>
                <w:color w:val="000000"/>
                <w:sz w:val="16"/>
              </w:rPr>
            </w:pPr>
          </w:p>
        </w:tc>
        <w:tc>
          <w:tcPr>
            <w:tcW w:w="5325"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74F1745E" w14:textId="77777777" w:rsidR="003F0EEA" w:rsidRPr="0087290F" w:rsidRDefault="00FB7D0B">
            <w:pPr>
              <w:rPr>
                <w:rFonts w:ascii="Arial" w:eastAsia="Arial" w:hAnsi="Arial" w:cs="Arial"/>
                <w:color w:val="000000"/>
                <w:sz w:val="16"/>
              </w:rPr>
            </w:pPr>
            <w:r w:rsidRPr="0087290F">
              <w:rPr>
                <w:rFonts w:ascii="Arial" w:eastAsia="Arial" w:hAnsi="Arial" w:cs="Arial"/>
                <w:b/>
                <w:color w:val="000000"/>
                <w:sz w:val="16"/>
              </w:rPr>
              <w:t>Total for Programme 2.6</w:t>
            </w:r>
          </w:p>
        </w:tc>
        <w:tc>
          <w:tcPr>
            <w:tcW w:w="1230"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6E0A42D1" w14:textId="77777777" w:rsidR="003F0EEA" w:rsidRPr="0087290F" w:rsidRDefault="00FB7D0B">
            <w:pPr>
              <w:jc w:val="right"/>
              <w:rPr>
                <w:rFonts w:ascii="Arial" w:eastAsia="Arial" w:hAnsi="Arial" w:cs="Arial"/>
                <w:b/>
                <w:color w:val="000000"/>
                <w:sz w:val="16"/>
                <w:vertAlign w:val="superscript"/>
              </w:rPr>
            </w:pPr>
            <w:r w:rsidRPr="0087290F">
              <w:rPr>
                <w:rFonts w:ascii="Arial" w:eastAsia="Arial" w:hAnsi="Arial" w:cs="Arial"/>
                <w:b/>
                <w:color w:val="000000"/>
                <w:sz w:val="16"/>
              </w:rPr>
              <w:t xml:space="preserve"> 93,199 </w:t>
            </w:r>
          </w:p>
        </w:tc>
        <w:tc>
          <w:tcPr>
            <w:tcW w:w="1230" w:type="dxa"/>
            <w:tcBorders>
              <w:top w:val="single" w:sz="6" w:space="0" w:color="000000"/>
              <w:left w:val="nil"/>
              <w:bottom w:val="single" w:sz="6" w:space="0" w:color="000000"/>
              <w:right w:val="nil"/>
              <w:tl2br w:val="nil"/>
              <w:tr2bl w:val="nil"/>
            </w:tcBorders>
            <w:shd w:val="clear" w:color="auto" w:fill="FFFF00"/>
            <w:tcMar>
              <w:left w:w="101" w:type="dxa"/>
              <w:right w:w="101" w:type="dxa"/>
            </w:tcMar>
            <w:vAlign w:val="bottom"/>
          </w:tcPr>
          <w:p w14:paraId="1AB231C2" w14:textId="77777777" w:rsidR="003F0EEA" w:rsidRPr="0087290F" w:rsidRDefault="00FB7D0B">
            <w:pPr>
              <w:jc w:val="right"/>
              <w:rPr>
                <w:rFonts w:ascii="Arial" w:eastAsia="Arial" w:hAnsi="Arial" w:cs="Arial"/>
                <w:b/>
                <w:color w:val="000000"/>
                <w:sz w:val="16"/>
              </w:rPr>
            </w:pPr>
            <w:r w:rsidRPr="0087290F">
              <w:rPr>
                <w:rFonts w:ascii="Arial" w:eastAsia="Arial" w:hAnsi="Arial" w:cs="Arial"/>
                <w:b/>
                <w:color w:val="000000"/>
                <w:sz w:val="16"/>
              </w:rPr>
              <w:t xml:space="preserve"> 96,278 </w:t>
            </w:r>
          </w:p>
        </w:tc>
      </w:tr>
      <w:tr w:rsidR="00FB7D0B" w14:paraId="1DC783DC" w14:textId="77777777" w:rsidTr="00FB7D0B">
        <w:trPr>
          <w:trHeight w:val="225"/>
        </w:trPr>
        <w:tc>
          <w:tcPr>
            <w:tcW w:w="28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3ED6F624" w14:textId="77777777" w:rsidR="003F0EEA" w:rsidRPr="0087290F" w:rsidRDefault="003F0EEA">
            <w:pPr>
              <w:rPr>
                <w:rFonts w:ascii="Arial" w:eastAsia="Arial" w:hAnsi="Arial" w:cs="Arial"/>
                <w:b/>
                <w:color w:val="000000"/>
                <w:sz w:val="16"/>
              </w:rPr>
            </w:pPr>
          </w:p>
        </w:tc>
        <w:tc>
          <w:tcPr>
            <w:tcW w:w="532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57ADA2C3" w14:textId="77777777" w:rsidR="003F0EEA" w:rsidRPr="0087290F" w:rsidRDefault="00FB7D0B">
            <w:pPr>
              <w:rPr>
                <w:rFonts w:ascii="Arial" w:eastAsia="Arial" w:hAnsi="Arial" w:cs="Arial"/>
                <w:color w:val="000000"/>
                <w:sz w:val="16"/>
              </w:rPr>
            </w:pPr>
            <w:r w:rsidRPr="0087290F">
              <w:rPr>
                <w:rFonts w:ascii="Arial" w:eastAsia="Arial" w:hAnsi="Arial" w:cs="Arial"/>
                <w:color w:val="000000"/>
                <w:sz w:val="16"/>
              </w:rPr>
              <w:t xml:space="preserve"> </w:t>
            </w:r>
            <w:r w:rsidRPr="0087290F">
              <w:rPr>
                <w:rFonts w:ascii="Arial" w:eastAsia="Arial" w:hAnsi="Arial" w:cs="Arial"/>
                <w:color w:val="000000"/>
                <w:sz w:val="16"/>
                <w:vertAlign w:val="superscript"/>
              </w:rPr>
              <w:t xml:space="preserve"> </w:t>
            </w:r>
          </w:p>
        </w:tc>
        <w:tc>
          <w:tcPr>
            <w:tcW w:w="2460" w:type="dxa"/>
            <w:gridSpan w:val="2"/>
            <w:tcBorders>
              <w:top w:val="single" w:sz="6" w:space="0" w:color="000000"/>
              <w:left w:val="nil"/>
              <w:bottom w:val="nil"/>
              <w:right w:val="nil"/>
              <w:tl2br w:val="nil"/>
              <w:tr2bl w:val="nil"/>
            </w:tcBorders>
            <w:shd w:val="clear" w:color="auto" w:fill="FFFFFF"/>
            <w:tcMar>
              <w:left w:w="101" w:type="dxa"/>
              <w:right w:w="101" w:type="dxa"/>
            </w:tcMar>
            <w:vAlign w:val="bottom"/>
          </w:tcPr>
          <w:p w14:paraId="3B49EAF5" w14:textId="77777777" w:rsidR="003F0EEA" w:rsidRPr="0087290F" w:rsidRDefault="00FB7D0B">
            <w:pPr>
              <w:jc w:val="right"/>
              <w:rPr>
                <w:rFonts w:ascii="Arial" w:eastAsia="Arial" w:hAnsi="Arial" w:cs="Arial"/>
                <w:color w:val="000000"/>
                <w:sz w:val="16"/>
                <w:vertAlign w:val="superscript"/>
              </w:rPr>
            </w:pPr>
            <w:r w:rsidRPr="0087290F">
              <w:rPr>
                <w:rFonts w:ascii="Arial" w:eastAsia="Arial" w:hAnsi="Arial" w:cs="Arial"/>
                <w:color w:val="000000"/>
                <w:sz w:val="16"/>
              </w:rPr>
              <w:t>Continued on next page</w:t>
            </w:r>
          </w:p>
        </w:tc>
      </w:tr>
    </w:tbl>
    <w:p w14:paraId="0A1A5402" w14:textId="77777777" w:rsidR="003F0EEA" w:rsidRPr="0087290F" w:rsidRDefault="00FB7D0B">
      <w:pPr>
        <w:spacing w:line="14" w:lineRule="exact"/>
        <w:rPr>
          <w:rFonts w:ascii="Arial" w:eastAsia="Times New Roman" w:hAnsi="Arial" w:cs="Arial"/>
        </w:rPr>
      </w:pPr>
      <w:r w:rsidRPr="0087290F">
        <w:rPr>
          <w:rFonts w:ascii="Arial" w:eastAsia="Times New Roman" w:hAnsi="Arial" w:cs="Arial"/>
        </w:rPr>
        <w:br w:type="page"/>
      </w:r>
    </w:p>
    <w:p w14:paraId="2F159656" w14:textId="77777777" w:rsidR="003F0EEA" w:rsidRPr="00FE549C" w:rsidRDefault="00FB7D0B" w:rsidP="003F0EEA">
      <w:pPr>
        <w:pStyle w:val="TableHeadingcontinued10"/>
        <w:rPr>
          <w:rFonts w:ascii="Arial" w:hAnsi="Arial" w:cs="Arial"/>
        </w:rPr>
      </w:pPr>
      <w:r w:rsidRPr="00FE549C">
        <w:rPr>
          <w:rFonts w:ascii="Arial" w:hAnsi="Arial" w:cs="Arial"/>
        </w:rPr>
        <w:t>Table 2.2</w:t>
      </w:r>
      <w:r>
        <w:rPr>
          <w:rFonts w:ascii="Arial" w:hAnsi="Arial" w:cs="Arial"/>
        </w:rPr>
        <w:t>: Budgeted Expenses for</w:t>
      </w:r>
      <w:r w:rsidRPr="00FE549C">
        <w:rPr>
          <w:rFonts w:ascii="Arial" w:hAnsi="Arial" w:cs="Arial"/>
        </w:rPr>
        <w:t xml:space="preserve"> Outcome 2 (continued)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5"/>
        <w:gridCol w:w="5325"/>
        <w:gridCol w:w="1230"/>
        <w:gridCol w:w="1230"/>
      </w:tblGrid>
      <w:tr w:rsidR="00724034" w14:paraId="4160C881" w14:textId="77777777">
        <w:trPr>
          <w:trHeight w:val="60"/>
        </w:trPr>
        <w:tc>
          <w:tcPr>
            <w:tcW w:w="285" w:type="dxa"/>
            <w:tcBorders>
              <w:top w:val="nil"/>
              <w:left w:val="nil"/>
              <w:bottom w:val="single" w:sz="6" w:space="0" w:color="000000"/>
              <w:right w:val="nil"/>
              <w:tl2br w:val="nil"/>
              <w:tr2bl w:val="nil"/>
            </w:tcBorders>
            <w:shd w:val="clear" w:color="auto" w:fill="FFFFFF"/>
            <w:tcMar>
              <w:left w:w="101" w:type="dxa"/>
              <w:right w:w="101" w:type="dxa"/>
            </w:tcMar>
            <w:vAlign w:val="center"/>
          </w:tcPr>
          <w:p w14:paraId="6A353143" w14:textId="77777777" w:rsidR="003F0EEA" w:rsidRPr="00FE549C" w:rsidRDefault="003F0EEA">
            <w:pPr>
              <w:rPr>
                <w:rFonts w:ascii="Arial" w:eastAsia="Times New Roman" w:hAnsi="Arial" w:cs="Arial"/>
              </w:rPr>
            </w:pPr>
          </w:p>
        </w:tc>
        <w:tc>
          <w:tcPr>
            <w:tcW w:w="5325" w:type="dxa"/>
            <w:tcBorders>
              <w:top w:val="nil"/>
              <w:left w:val="nil"/>
              <w:bottom w:val="single" w:sz="6" w:space="0" w:color="000000"/>
              <w:right w:val="nil"/>
              <w:tl2br w:val="nil"/>
              <w:tr2bl w:val="nil"/>
            </w:tcBorders>
            <w:shd w:val="clear" w:color="auto" w:fill="FFFFFF"/>
            <w:tcMar>
              <w:left w:w="101" w:type="dxa"/>
              <w:right w:w="101" w:type="dxa"/>
            </w:tcMar>
            <w:vAlign w:val="center"/>
          </w:tcPr>
          <w:p w14:paraId="15AFD73F" w14:textId="77777777" w:rsidR="003F0EEA" w:rsidRPr="00FE549C" w:rsidRDefault="003F0EEA">
            <w:pPr>
              <w:rPr>
                <w:rFonts w:ascii="Arial" w:eastAsia="Arial" w:hAnsi="Arial" w:cs="Arial"/>
                <w:color w:val="000000"/>
                <w:sz w:val="16"/>
              </w:rPr>
            </w:pPr>
          </w:p>
        </w:tc>
        <w:tc>
          <w:tcPr>
            <w:tcW w:w="1230" w:type="dxa"/>
            <w:tcBorders>
              <w:top w:val="nil"/>
              <w:left w:val="nil"/>
              <w:bottom w:val="single" w:sz="6" w:space="0" w:color="000000"/>
              <w:right w:val="nil"/>
              <w:tl2br w:val="nil"/>
              <w:tr2bl w:val="nil"/>
            </w:tcBorders>
            <w:shd w:val="clear" w:color="auto" w:fill="FFFFFF"/>
            <w:tcMar>
              <w:left w:w="101" w:type="dxa"/>
              <w:right w:w="101" w:type="dxa"/>
            </w:tcMar>
            <w:vAlign w:val="center"/>
          </w:tcPr>
          <w:p w14:paraId="15E141B0" w14:textId="77777777" w:rsidR="003F0EEA" w:rsidRPr="00FE549C" w:rsidRDefault="003F0EEA">
            <w:pPr>
              <w:rPr>
                <w:rFonts w:ascii="Arial" w:eastAsia="Arial" w:hAnsi="Arial" w:cs="Arial"/>
                <w:b/>
                <w:color w:val="000000"/>
                <w:sz w:val="16"/>
                <w:vertAlign w:val="superscript"/>
              </w:rPr>
            </w:pPr>
          </w:p>
        </w:tc>
        <w:tc>
          <w:tcPr>
            <w:tcW w:w="1230" w:type="dxa"/>
            <w:tcBorders>
              <w:top w:val="nil"/>
              <w:left w:val="nil"/>
              <w:bottom w:val="single" w:sz="6" w:space="0" w:color="000000"/>
              <w:right w:val="nil"/>
              <w:tl2br w:val="nil"/>
              <w:tr2bl w:val="nil"/>
            </w:tcBorders>
            <w:shd w:val="clear" w:color="auto" w:fill="FFFFFF"/>
            <w:tcMar>
              <w:left w:w="101" w:type="dxa"/>
              <w:right w:w="101" w:type="dxa"/>
            </w:tcMar>
            <w:vAlign w:val="center"/>
          </w:tcPr>
          <w:p w14:paraId="7DA1C072" w14:textId="77777777" w:rsidR="003F0EEA" w:rsidRPr="00FE549C" w:rsidRDefault="003F0EEA">
            <w:pPr>
              <w:rPr>
                <w:rFonts w:ascii="Arial" w:eastAsia="Arial" w:hAnsi="Arial" w:cs="Arial"/>
                <w:color w:val="000000"/>
                <w:sz w:val="16"/>
                <w:vertAlign w:val="superscript"/>
              </w:rPr>
            </w:pPr>
          </w:p>
        </w:tc>
      </w:tr>
      <w:tr w:rsidR="00FB7D0B" w14:paraId="41220D1E" w14:textId="77777777" w:rsidTr="00FB7D0B">
        <w:trPr>
          <w:trHeight w:val="225"/>
        </w:trPr>
        <w:tc>
          <w:tcPr>
            <w:tcW w:w="5610" w:type="dxa"/>
            <w:gridSpan w:val="2"/>
            <w:vMerge w:val="restart"/>
            <w:tcBorders>
              <w:top w:val="single" w:sz="6" w:space="0" w:color="000000"/>
              <w:left w:val="nil"/>
              <w:bottom w:val="nil"/>
              <w:right w:val="nil"/>
              <w:tl2br w:val="nil"/>
              <w:tr2bl w:val="nil"/>
            </w:tcBorders>
            <w:shd w:val="clear" w:color="auto" w:fill="FFFFFF"/>
            <w:tcMar>
              <w:left w:w="101" w:type="dxa"/>
              <w:right w:w="101" w:type="dxa"/>
            </w:tcMar>
            <w:vAlign w:val="bottom"/>
          </w:tcPr>
          <w:p w14:paraId="38F8D6B4" w14:textId="77777777" w:rsidR="003F0EEA" w:rsidRPr="00FE549C" w:rsidRDefault="00FB7D0B">
            <w:pPr>
              <w:rPr>
                <w:rFonts w:ascii="Arial" w:eastAsia="Arial" w:hAnsi="Arial" w:cs="Arial"/>
                <w:color w:val="000000"/>
                <w:sz w:val="16"/>
                <w:vertAlign w:val="superscript"/>
              </w:rPr>
            </w:pPr>
            <w:r w:rsidRPr="00FE549C">
              <w:rPr>
                <w:rFonts w:ascii="Arial" w:eastAsia="Arial" w:hAnsi="Arial" w:cs="Arial"/>
                <w:b/>
                <w:color w:val="000000"/>
                <w:sz w:val="16"/>
              </w:rPr>
              <w:t>Outcome 2:</w:t>
            </w:r>
          </w:p>
        </w:tc>
        <w:tc>
          <w:tcPr>
            <w:tcW w:w="1230"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3D518910" w14:textId="77777777" w:rsidR="003F0EEA" w:rsidRPr="00FE549C" w:rsidRDefault="00FB7D0B">
            <w:pPr>
              <w:jc w:val="right"/>
              <w:rPr>
                <w:rFonts w:ascii="Arial" w:eastAsia="Arial" w:hAnsi="Arial" w:cs="Arial"/>
                <w:b/>
                <w:color w:val="000000"/>
                <w:sz w:val="16"/>
                <w:vertAlign w:val="superscript"/>
              </w:rPr>
            </w:pPr>
            <w:r w:rsidRPr="00FE549C">
              <w:rPr>
                <w:rFonts w:ascii="Arial" w:eastAsia="Arial" w:hAnsi="Arial" w:cs="Arial"/>
                <w:color w:val="000000"/>
                <w:sz w:val="16"/>
              </w:rPr>
              <w:t>2013-14</w:t>
            </w:r>
          </w:p>
        </w:tc>
        <w:tc>
          <w:tcPr>
            <w:tcW w:w="1230" w:type="dxa"/>
            <w:tcBorders>
              <w:top w:val="single" w:sz="6" w:space="0" w:color="000000"/>
              <w:left w:val="nil"/>
              <w:bottom w:val="nil"/>
              <w:right w:val="nil"/>
              <w:tl2br w:val="nil"/>
              <w:tr2bl w:val="nil"/>
            </w:tcBorders>
            <w:shd w:val="clear" w:color="auto" w:fill="FFFF00"/>
            <w:tcMar>
              <w:left w:w="101" w:type="dxa"/>
              <w:right w:w="101" w:type="dxa"/>
            </w:tcMar>
            <w:vAlign w:val="bottom"/>
          </w:tcPr>
          <w:p w14:paraId="7C040433" w14:textId="77777777" w:rsidR="003F0EEA" w:rsidRPr="00FE549C" w:rsidRDefault="00FB7D0B">
            <w:pPr>
              <w:jc w:val="right"/>
              <w:rPr>
                <w:rFonts w:ascii="Arial" w:eastAsia="Arial" w:hAnsi="Arial" w:cs="Arial"/>
                <w:color w:val="000000"/>
                <w:sz w:val="16"/>
              </w:rPr>
            </w:pPr>
            <w:r w:rsidRPr="00FE549C">
              <w:rPr>
                <w:rFonts w:ascii="Arial" w:eastAsia="Arial" w:hAnsi="Arial" w:cs="Arial"/>
                <w:color w:val="000000"/>
                <w:sz w:val="16"/>
              </w:rPr>
              <w:t>2014-15</w:t>
            </w:r>
          </w:p>
        </w:tc>
      </w:tr>
      <w:tr w:rsidR="00FB7D0B" w14:paraId="7E9B563E" w14:textId="77777777" w:rsidTr="00FB7D0B">
        <w:trPr>
          <w:trHeight w:val="225"/>
        </w:trPr>
        <w:tc>
          <w:tcPr>
            <w:tcW w:w="5610" w:type="dxa"/>
            <w:gridSpan w:val="2"/>
            <w:vMerge/>
            <w:tcBorders>
              <w:top w:val="nil"/>
              <w:left w:val="nil"/>
              <w:bottom w:val="nil"/>
              <w:right w:val="nil"/>
              <w:tl2br w:val="nil"/>
              <w:tr2bl w:val="nil"/>
            </w:tcBorders>
            <w:shd w:val="clear" w:color="auto" w:fill="FFFF00"/>
            <w:tcMar>
              <w:left w:w="101" w:type="dxa"/>
              <w:right w:w="101" w:type="dxa"/>
            </w:tcMar>
            <w:vAlign w:val="bottom"/>
          </w:tcPr>
          <w:p w14:paraId="525E03A6" w14:textId="77777777" w:rsidR="003F0EEA" w:rsidRPr="00FE549C" w:rsidRDefault="003F0EEA">
            <w:pPr>
              <w:jc w:val="right"/>
              <w:rPr>
                <w:rFonts w:ascii="Arial" w:eastAsia="Arial" w:hAnsi="Arial" w:cs="Arial"/>
                <w:color w:val="000000"/>
                <w:sz w:val="16"/>
              </w:rPr>
            </w:pPr>
          </w:p>
        </w:tc>
        <w:tc>
          <w:tcPr>
            <w:tcW w:w="1230" w:type="dxa"/>
            <w:tcBorders>
              <w:top w:val="nil"/>
              <w:left w:val="nil"/>
              <w:bottom w:val="nil"/>
              <w:right w:val="nil"/>
              <w:tl2br w:val="nil"/>
              <w:tr2bl w:val="nil"/>
            </w:tcBorders>
            <w:shd w:val="clear" w:color="auto" w:fill="FFFFFF"/>
            <w:tcMar>
              <w:left w:w="101" w:type="dxa"/>
              <w:right w:w="101" w:type="dxa"/>
            </w:tcMar>
            <w:vAlign w:val="bottom"/>
          </w:tcPr>
          <w:p w14:paraId="7BBEE9A4" w14:textId="77777777" w:rsidR="003F0EEA" w:rsidRPr="00FE549C" w:rsidRDefault="00FB7D0B">
            <w:pPr>
              <w:jc w:val="right"/>
              <w:rPr>
                <w:rFonts w:ascii="Arial" w:eastAsia="Arial" w:hAnsi="Arial" w:cs="Arial"/>
                <w:color w:val="000000"/>
                <w:sz w:val="16"/>
              </w:rPr>
            </w:pPr>
            <w:r w:rsidRPr="00FE549C">
              <w:rPr>
                <w:rFonts w:ascii="Arial" w:eastAsia="Arial" w:hAnsi="Arial" w:cs="Arial"/>
                <w:color w:val="000000"/>
                <w:sz w:val="16"/>
              </w:rPr>
              <w:t>Estimated</w:t>
            </w:r>
          </w:p>
        </w:tc>
        <w:tc>
          <w:tcPr>
            <w:tcW w:w="1230" w:type="dxa"/>
            <w:tcBorders>
              <w:top w:val="nil"/>
              <w:left w:val="nil"/>
              <w:bottom w:val="nil"/>
              <w:right w:val="nil"/>
              <w:tl2br w:val="nil"/>
              <w:tr2bl w:val="nil"/>
            </w:tcBorders>
            <w:shd w:val="clear" w:color="auto" w:fill="FFFF00"/>
            <w:tcMar>
              <w:left w:w="101" w:type="dxa"/>
              <w:right w:w="101" w:type="dxa"/>
            </w:tcMar>
            <w:vAlign w:val="bottom"/>
          </w:tcPr>
          <w:p w14:paraId="66163FD2" w14:textId="77777777" w:rsidR="003F0EEA" w:rsidRPr="00FE549C" w:rsidRDefault="00FB7D0B">
            <w:pPr>
              <w:jc w:val="right"/>
              <w:rPr>
                <w:rFonts w:ascii="Arial" w:eastAsia="Arial" w:hAnsi="Arial" w:cs="Arial"/>
                <w:color w:val="000000"/>
                <w:sz w:val="16"/>
              </w:rPr>
            </w:pPr>
            <w:r w:rsidRPr="00FE549C">
              <w:rPr>
                <w:rFonts w:ascii="Arial" w:eastAsia="Arial" w:hAnsi="Arial" w:cs="Arial"/>
                <w:color w:val="000000"/>
                <w:sz w:val="16"/>
              </w:rPr>
              <w:t>Estimated</w:t>
            </w:r>
          </w:p>
        </w:tc>
      </w:tr>
      <w:tr w:rsidR="00FB7D0B" w14:paraId="2DBECEBD" w14:textId="77777777" w:rsidTr="00FB7D0B">
        <w:trPr>
          <w:trHeight w:val="225"/>
        </w:trPr>
        <w:tc>
          <w:tcPr>
            <w:tcW w:w="5610" w:type="dxa"/>
            <w:gridSpan w:val="2"/>
            <w:vMerge/>
            <w:tcBorders>
              <w:top w:val="nil"/>
              <w:left w:val="nil"/>
              <w:bottom w:val="nil"/>
              <w:right w:val="nil"/>
              <w:tl2br w:val="nil"/>
              <w:tr2bl w:val="nil"/>
            </w:tcBorders>
            <w:shd w:val="clear" w:color="auto" w:fill="FFFF00"/>
            <w:tcMar>
              <w:left w:w="101" w:type="dxa"/>
              <w:right w:w="101" w:type="dxa"/>
            </w:tcMar>
            <w:vAlign w:val="bottom"/>
          </w:tcPr>
          <w:p w14:paraId="28488B80" w14:textId="77777777" w:rsidR="003F0EEA" w:rsidRPr="00FE549C" w:rsidRDefault="003F0EEA">
            <w:pPr>
              <w:jc w:val="right"/>
              <w:rPr>
                <w:rFonts w:ascii="Arial" w:eastAsia="Arial" w:hAnsi="Arial" w:cs="Arial"/>
                <w:color w:val="000000"/>
                <w:sz w:val="16"/>
              </w:rPr>
            </w:pPr>
          </w:p>
        </w:tc>
        <w:tc>
          <w:tcPr>
            <w:tcW w:w="1230" w:type="dxa"/>
            <w:tcBorders>
              <w:top w:val="nil"/>
              <w:left w:val="nil"/>
              <w:bottom w:val="nil"/>
              <w:right w:val="nil"/>
              <w:tl2br w:val="nil"/>
              <w:tr2bl w:val="nil"/>
            </w:tcBorders>
            <w:shd w:val="clear" w:color="auto" w:fill="FFFFFF"/>
            <w:tcMar>
              <w:left w:w="101" w:type="dxa"/>
              <w:right w:w="101" w:type="dxa"/>
            </w:tcMar>
            <w:vAlign w:val="bottom"/>
          </w:tcPr>
          <w:p w14:paraId="021C7476" w14:textId="77777777" w:rsidR="003F0EEA" w:rsidRPr="00FE549C" w:rsidRDefault="00FB7D0B">
            <w:pPr>
              <w:jc w:val="right"/>
              <w:rPr>
                <w:rFonts w:ascii="Arial" w:eastAsia="Arial" w:hAnsi="Arial" w:cs="Arial"/>
                <w:color w:val="000000"/>
                <w:sz w:val="16"/>
              </w:rPr>
            </w:pPr>
            <w:r w:rsidRPr="00FE549C">
              <w:rPr>
                <w:rFonts w:ascii="Arial" w:eastAsia="Arial" w:hAnsi="Arial" w:cs="Arial"/>
                <w:color w:val="000000"/>
                <w:sz w:val="16"/>
              </w:rPr>
              <w:t>actual</w:t>
            </w:r>
          </w:p>
        </w:tc>
        <w:tc>
          <w:tcPr>
            <w:tcW w:w="1230" w:type="dxa"/>
            <w:tcBorders>
              <w:top w:val="nil"/>
              <w:left w:val="nil"/>
              <w:bottom w:val="nil"/>
              <w:right w:val="nil"/>
              <w:tl2br w:val="nil"/>
              <w:tr2bl w:val="nil"/>
            </w:tcBorders>
            <w:shd w:val="clear" w:color="auto" w:fill="FFFF00"/>
            <w:tcMar>
              <w:left w:w="101" w:type="dxa"/>
              <w:right w:w="101" w:type="dxa"/>
            </w:tcMar>
            <w:vAlign w:val="bottom"/>
          </w:tcPr>
          <w:p w14:paraId="18AC86DF" w14:textId="77777777" w:rsidR="003F0EEA" w:rsidRPr="00FE549C" w:rsidRDefault="00FB7D0B">
            <w:pPr>
              <w:jc w:val="right"/>
              <w:rPr>
                <w:rFonts w:ascii="Arial" w:eastAsia="Arial" w:hAnsi="Arial" w:cs="Arial"/>
                <w:color w:val="000000"/>
                <w:sz w:val="16"/>
              </w:rPr>
            </w:pPr>
            <w:r w:rsidRPr="00FE549C">
              <w:rPr>
                <w:rFonts w:ascii="Arial" w:eastAsia="Arial" w:hAnsi="Arial" w:cs="Arial"/>
                <w:color w:val="000000"/>
                <w:sz w:val="16"/>
              </w:rPr>
              <w:t>expenses</w:t>
            </w:r>
          </w:p>
        </w:tc>
      </w:tr>
      <w:tr w:rsidR="00FB7D0B" w14:paraId="7EDCF710" w14:textId="77777777" w:rsidTr="00FB7D0B">
        <w:trPr>
          <w:trHeight w:val="225"/>
        </w:trPr>
        <w:tc>
          <w:tcPr>
            <w:tcW w:w="5610" w:type="dxa"/>
            <w:gridSpan w:val="2"/>
            <w:vMerge/>
            <w:tcBorders>
              <w:top w:val="nil"/>
              <w:left w:val="nil"/>
              <w:bottom w:val="nil"/>
              <w:right w:val="nil"/>
              <w:tl2br w:val="nil"/>
              <w:tr2bl w:val="nil"/>
            </w:tcBorders>
            <w:shd w:val="clear" w:color="auto" w:fill="FFFF00"/>
            <w:tcMar>
              <w:left w:w="101" w:type="dxa"/>
              <w:right w:w="101" w:type="dxa"/>
            </w:tcMar>
            <w:vAlign w:val="bottom"/>
          </w:tcPr>
          <w:p w14:paraId="0C0DFC35" w14:textId="77777777" w:rsidR="003F0EEA" w:rsidRPr="00FE549C" w:rsidRDefault="003F0EEA">
            <w:pPr>
              <w:jc w:val="right"/>
              <w:rPr>
                <w:rFonts w:ascii="Arial" w:eastAsia="Arial" w:hAnsi="Arial" w:cs="Arial"/>
                <w:color w:val="000000"/>
                <w:sz w:val="16"/>
              </w:rPr>
            </w:pPr>
          </w:p>
        </w:tc>
        <w:tc>
          <w:tcPr>
            <w:tcW w:w="1230" w:type="dxa"/>
            <w:tcBorders>
              <w:top w:val="nil"/>
              <w:left w:val="nil"/>
              <w:bottom w:val="nil"/>
              <w:right w:val="nil"/>
              <w:tl2br w:val="nil"/>
              <w:tr2bl w:val="nil"/>
            </w:tcBorders>
            <w:shd w:val="clear" w:color="auto" w:fill="FFFFFF"/>
            <w:tcMar>
              <w:left w:w="101" w:type="dxa"/>
              <w:right w:w="101" w:type="dxa"/>
            </w:tcMar>
            <w:vAlign w:val="bottom"/>
          </w:tcPr>
          <w:p w14:paraId="0F91450A" w14:textId="77777777" w:rsidR="003F0EEA" w:rsidRPr="00FE549C" w:rsidRDefault="00FB7D0B">
            <w:pPr>
              <w:jc w:val="right"/>
              <w:rPr>
                <w:rFonts w:ascii="Arial" w:eastAsia="Arial" w:hAnsi="Arial" w:cs="Arial"/>
                <w:color w:val="000000"/>
                <w:sz w:val="16"/>
              </w:rPr>
            </w:pPr>
            <w:r w:rsidRPr="00FE549C">
              <w:rPr>
                <w:rFonts w:ascii="Arial" w:eastAsia="Arial" w:hAnsi="Arial" w:cs="Arial"/>
                <w:color w:val="000000"/>
                <w:sz w:val="16"/>
              </w:rPr>
              <w:t>expenses</w:t>
            </w:r>
          </w:p>
        </w:tc>
        <w:tc>
          <w:tcPr>
            <w:tcW w:w="1230" w:type="dxa"/>
            <w:tcBorders>
              <w:top w:val="nil"/>
              <w:left w:val="nil"/>
              <w:bottom w:val="nil"/>
              <w:right w:val="nil"/>
              <w:tl2br w:val="nil"/>
              <w:tr2bl w:val="nil"/>
            </w:tcBorders>
            <w:shd w:val="clear" w:color="auto" w:fill="FFFF00"/>
            <w:tcMar>
              <w:left w:w="101" w:type="dxa"/>
              <w:right w:w="101" w:type="dxa"/>
            </w:tcMar>
            <w:vAlign w:val="bottom"/>
          </w:tcPr>
          <w:p w14:paraId="5312448F" w14:textId="77777777" w:rsidR="003F0EEA" w:rsidRPr="00FE549C" w:rsidRDefault="003F0EEA">
            <w:pPr>
              <w:jc w:val="right"/>
              <w:rPr>
                <w:rFonts w:ascii="Arial" w:eastAsia="Arial" w:hAnsi="Arial" w:cs="Arial"/>
                <w:color w:val="000000"/>
                <w:sz w:val="16"/>
              </w:rPr>
            </w:pPr>
          </w:p>
        </w:tc>
      </w:tr>
      <w:tr w:rsidR="00FB7D0B" w14:paraId="37006E21" w14:textId="77777777" w:rsidTr="00FB7D0B">
        <w:trPr>
          <w:trHeight w:val="225"/>
        </w:trPr>
        <w:tc>
          <w:tcPr>
            <w:tcW w:w="5610" w:type="dxa"/>
            <w:gridSpan w:val="2"/>
            <w:vMerge/>
            <w:tcBorders>
              <w:top w:val="nil"/>
              <w:left w:val="nil"/>
              <w:bottom w:val="nil"/>
              <w:right w:val="nil"/>
              <w:tl2br w:val="nil"/>
              <w:tr2bl w:val="nil"/>
            </w:tcBorders>
            <w:shd w:val="clear" w:color="auto" w:fill="FFFF00"/>
            <w:tcMar>
              <w:left w:w="101" w:type="dxa"/>
              <w:right w:w="101" w:type="dxa"/>
            </w:tcMar>
            <w:vAlign w:val="bottom"/>
          </w:tcPr>
          <w:p w14:paraId="7DFF2E33" w14:textId="77777777" w:rsidR="003F0EEA" w:rsidRPr="00FE549C" w:rsidRDefault="003F0EEA">
            <w:pPr>
              <w:jc w:val="right"/>
              <w:rPr>
                <w:rFonts w:ascii="Arial" w:eastAsia="Arial" w:hAnsi="Arial" w:cs="Arial"/>
                <w:color w:val="000000"/>
                <w:sz w:val="16"/>
              </w:rPr>
            </w:pPr>
          </w:p>
        </w:tc>
        <w:tc>
          <w:tcPr>
            <w:tcW w:w="1230"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419C5170" w14:textId="77777777" w:rsidR="003F0EEA" w:rsidRPr="00FE549C" w:rsidRDefault="00FB7D0B">
            <w:pPr>
              <w:jc w:val="right"/>
              <w:rPr>
                <w:rFonts w:ascii="Arial" w:eastAsia="Arial" w:hAnsi="Arial" w:cs="Arial"/>
                <w:color w:val="000000"/>
                <w:sz w:val="16"/>
              </w:rPr>
            </w:pPr>
            <w:r w:rsidRPr="00FE549C">
              <w:rPr>
                <w:rFonts w:ascii="Arial" w:eastAsia="Arial" w:hAnsi="Arial" w:cs="Arial"/>
                <w:color w:val="000000"/>
                <w:sz w:val="16"/>
              </w:rPr>
              <w:t>$'000</w:t>
            </w:r>
          </w:p>
        </w:tc>
        <w:tc>
          <w:tcPr>
            <w:tcW w:w="1230" w:type="dxa"/>
            <w:tcBorders>
              <w:top w:val="nil"/>
              <w:left w:val="nil"/>
              <w:bottom w:val="single" w:sz="6" w:space="0" w:color="000000"/>
              <w:right w:val="nil"/>
              <w:tl2br w:val="nil"/>
              <w:tr2bl w:val="nil"/>
            </w:tcBorders>
            <w:shd w:val="clear" w:color="auto" w:fill="FFFF00"/>
            <w:tcMar>
              <w:left w:w="101" w:type="dxa"/>
              <w:right w:w="101" w:type="dxa"/>
            </w:tcMar>
            <w:vAlign w:val="bottom"/>
          </w:tcPr>
          <w:p w14:paraId="24ED19B8" w14:textId="77777777" w:rsidR="003F0EEA" w:rsidRPr="00FE549C" w:rsidRDefault="00FB7D0B">
            <w:pPr>
              <w:jc w:val="right"/>
              <w:rPr>
                <w:rFonts w:ascii="Arial" w:eastAsia="Arial" w:hAnsi="Arial" w:cs="Arial"/>
                <w:color w:val="000000"/>
                <w:sz w:val="16"/>
              </w:rPr>
            </w:pPr>
            <w:r w:rsidRPr="00FE549C">
              <w:rPr>
                <w:rFonts w:ascii="Arial" w:eastAsia="Arial" w:hAnsi="Arial" w:cs="Arial"/>
                <w:color w:val="000000"/>
                <w:sz w:val="16"/>
              </w:rPr>
              <w:t>$'000</w:t>
            </w:r>
          </w:p>
        </w:tc>
      </w:tr>
      <w:tr w:rsidR="00FB7D0B" w14:paraId="6F500442" w14:textId="77777777" w:rsidTr="00FB7D0B">
        <w:trPr>
          <w:trHeight w:val="660"/>
        </w:trPr>
        <w:tc>
          <w:tcPr>
            <w:tcW w:w="5610" w:type="dxa"/>
            <w:gridSpan w:val="2"/>
            <w:tcBorders>
              <w:top w:val="nil"/>
              <w:left w:val="nil"/>
              <w:bottom w:val="nil"/>
              <w:right w:val="nil"/>
              <w:tl2br w:val="nil"/>
              <w:tr2bl w:val="nil"/>
            </w:tcBorders>
            <w:shd w:val="clear" w:color="auto" w:fill="FFFFFF"/>
            <w:tcMar>
              <w:left w:w="101" w:type="dxa"/>
              <w:right w:w="101" w:type="dxa"/>
            </w:tcMar>
            <w:vAlign w:val="bottom"/>
          </w:tcPr>
          <w:p w14:paraId="268DAA01" w14:textId="77777777" w:rsidR="003F0EEA" w:rsidRPr="00FE549C" w:rsidRDefault="00FB7D0B">
            <w:pPr>
              <w:rPr>
                <w:rFonts w:ascii="Arial" w:eastAsia="Arial" w:hAnsi="Arial" w:cs="Arial"/>
                <w:color w:val="000000"/>
                <w:sz w:val="16"/>
              </w:rPr>
            </w:pPr>
            <w:r w:rsidRPr="00FE549C">
              <w:rPr>
                <w:rFonts w:ascii="Arial" w:eastAsia="Arial" w:hAnsi="Arial" w:cs="Arial"/>
                <w:b/>
                <w:color w:val="000000"/>
                <w:sz w:val="16"/>
              </w:rPr>
              <w:t>Programme 2.7:  Adjustment to the Military Rehabilitation and Compensation Acts Liability Provision - Health and Other Care Services</w:t>
            </w:r>
          </w:p>
        </w:tc>
        <w:tc>
          <w:tcPr>
            <w:tcW w:w="1230"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23BF9CD1" w14:textId="77777777" w:rsidR="003F0EEA" w:rsidRPr="00FE549C" w:rsidRDefault="003F0EEA">
            <w:pPr>
              <w:jc w:val="right"/>
              <w:rPr>
                <w:rFonts w:ascii="Arial" w:eastAsia="Arial" w:hAnsi="Arial" w:cs="Arial"/>
                <w:b/>
                <w:color w:val="000000"/>
                <w:sz w:val="16"/>
                <w:vertAlign w:val="superscript"/>
              </w:rPr>
            </w:pPr>
          </w:p>
        </w:tc>
        <w:tc>
          <w:tcPr>
            <w:tcW w:w="1230" w:type="dxa"/>
            <w:tcBorders>
              <w:top w:val="single" w:sz="6" w:space="0" w:color="000000"/>
              <w:left w:val="nil"/>
              <w:bottom w:val="nil"/>
              <w:right w:val="nil"/>
              <w:tl2br w:val="nil"/>
              <w:tr2bl w:val="nil"/>
            </w:tcBorders>
            <w:shd w:val="clear" w:color="auto" w:fill="FFFF00"/>
            <w:tcMar>
              <w:left w:w="101" w:type="dxa"/>
              <w:right w:w="101" w:type="dxa"/>
            </w:tcMar>
            <w:vAlign w:val="bottom"/>
          </w:tcPr>
          <w:p w14:paraId="08EFB71A" w14:textId="77777777" w:rsidR="003F0EEA" w:rsidRPr="00FE549C" w:rsidRDefault="003F0EEA">
            <w:pPr>
              <w:jc w:val="right"/>
              <w:rPr>
                <w:rFonts w:ascii="Arial" w:eastAsia="Arial" w:hAnsi="Arial" w:cs="Arial"/>
                <w:color w:val="000000"/>
                <w:sz w:val="16"/>
                <w:vertAlign w:val="superscript"/>
              </w:rPr>
            </w:pPr>
          </w:p>
        </w:tc>
      </w:tr>
      <w:tr w:rsidR="00FB7D0B" w14:paraId="5131FC03" w14:textId="77777777" w:rsidTr="00FB7D0B">
        <w:trPr>
          <w:trHeight w:val="225"/>
        </w:trPr>
        <w:tc>
          <w:tcPr>
            <w:tcW w:w="5610" w:type="dxa"/>
            <w:gridSpan w:val="2"/>
            <w:tcBorders>
              <w:top w:val="nil"/>
              <w:left w:val="nil"/>
              <w:bottom w:val="nil"/>
              <w:right w:val="nil"/>
              <w:tl2br w:val="nil"/>
              <w:tr2bl w:val="nil"/>
            </w:tcBorders>
            <w:shd w:val="clear" w:color="auto" w:fill="FFFFFF"/>
            <w:tcMar>
              <w:left w:w="101" w:type="dxa"/>
              <w:right w:w="101" w:type="dxa"/>
            </w:tcMar>
            <w:vAlign w:val="bottom"/>
          </w:tcPr>
          <w:p w14:paraId="6BC0516F" w14:textId="77777777" w:rsidR="003F0EEA" w:rsidRPr="00FE549C" w:rsidRDefault="00FB7D0B">
            <w:pPr>
              <w:rPr>
                <w:rFonts w:ascii="Arial" w:eastAsia="Arial" w:hAnsi="Arial" w:cs="Arial"/>
                <w:color w:val="000000"/>
                <w:sz w:val="16"/>
                <w:vertAlign w:val="superscript"/>
              </w:rPr>
            </w:pPr>
            <w:r w:rsidRPr="00FE549C">
              <w:rPr>
                <w:rFonts w:ascii="Arial" w:eastAsia="Arial" w:hAnsi="Arial" w:cs="Arial"/>
                <w:color w:val="000000"/>
                <w:sz w:val="16"/>
              </w:rPr>
              <w:t>Administered Expenses</w:t>
            </w:r>
          </w:p>
        </w:tc>
        <w:tc>
          <w:tcPr>
            <w:tcW w:w="1230" w:type="dxa"/>
            <w:tcBorders>
              <w:top w:val="nil"/>
              <w:left w:val="nil"/>
              <w:bottom w:val="nil"/>
              <w:right w:val="nil"/>
              <w:tl2br w:val="nil"/>
              <w:tr2bl w:val="nil"/>
            </w:tcBorders>
            <w:shd w:val="clear" w:color="auto" w:fill="FFFFFF"/>
            <w:tcMar>
              <w:left w:w="101" w:type="dxa"/>
              <w:right w:w="101" w:type="dxa"/>
            </w:tcMar>
            <w:vAlign w:val="bottom"/>
          </w:tcPr>
          <w:p w14:paraId="4C00FA19" w14:textId="77777777" w:rsidR="003F0EEA" w:rsidRPr="00FE549C" w:rsidRDefault="003F0EEA">
            <w:pPr>
              <w:jc w:val="right"/>
              <w:rPr>
                <w:rFonts w:ascii="Arial" w:eastAsia="Arial" w:hAnsi="Arial" w:cs="Arial"/>
                <w:color w:val="000000"/>
                <w:sz w:val="16"/>
                <w:vertAlign w:val="superscript"/>
              </w:rPr>
            </w:pPr>
          </w:p>
        </w:tc>
        <w:tc>
          <w:tcPr>
            <w:tcW w:w="1230" w:type="dxa"/>
            <w:tcBorders>
              <w:top w:val="nil"/>
              <w:left w:val="nil"/>
              <w:bottom w:val="nil"/>
              <w:right w:val="nil"/>
              <w:tl2br w:val="nil"/>
              <w:tr2bl w:val="nil"/>
            </w:tcBorders>
            <w:shd w:val="clear" w:color="auto" w:fill="FFFF00"/>
            <w:tcMar>
              <w:left w:w="101" w:type="dxa"/>
              <w:right w:w="101" w:type="dxa"/>
            </w:tcMar>
            <w:vAlign w:val="bottom"/>
          </w:tcPr>
          <w:p w14:paraId="5C8764C7" w14:textId="77777777" w:rsidR="003F0EEA" w:rsidRPr="00FE549C" w:rsidRDefault="003F0EEA">
            <w:pPr>
              <w:jc w:val="right"/>
              <w:rPr>
                <w:rFonts w:ascii="Arial" w:eastAsia="Arial" w:hAnsi="Arial" w:cs="Arial"/>
                <w:color w:val="000000"/>
                <w:sz w:val="16"/>
                <w:vertAlign w:val="superscript"/>
              </w:rPr>
            </w:pPr>
          </w:p>
        </w:tc>
      </w:tr>
      <w:tr w:rsidR="00724034" w14:paraId="6BE2ACA0" w14:textId="77777777">
        <w:trPr>
          <w:trHeight w:val="225"/>
        </w:trPr>
        <w:tc>
          <w:tcPr>
            <w:tcW w:w="285" w:type="dxa"/>
            <w:tcBorders>
              <w:top w:val="nil"/>
              <w:left w:val="nil"/>
              <w:bottom w:val="nil"/>
              <w:right w:val="nil"/>
              <w:tl2br w:val="nil"/>
              <w:tr2bl w:val="nil"/>
            </w:tcBorders>
            <w:shd w:val="clear" w:color="auto" w:fill="FFFFFF"/>
            <w:tcMar>
              <w:left w:w="101" w:type="dxa"/>
              <w:right w:w="101" w:type="dxa"/>
            </w:tcMar>
            <w:vAlign w:val="bottom"/>
          </w:tcPr>
          <w:p w14:paraId="059DD124" w14:textId="77777777" w:rsidR="003F0EEA" w:rsidRPr="00FE549C" w:rsidRDefault="003F0EEA">
            <w:pPr>
              <w:rPr>
                <w:rFonts w:ascii="Arial" w:eastAsia="Arial" w:hAnsi="Arial" w:cs="Arial"/>
                <w:color w:val="000000"/>
                <w:sz w:val="16"/>
                <w:vertAlign w:val="superscript"/>
              </w:rPr>
            </w:pPr>
          </w:p>
        </w:tc>
        <w:tc>
          <w:tcPr>
            <w:tcW w:w="5325" w:type="dxa"/>
            <w:tcBorders>
              <w:top w:val="nil"/>
              <w:left w:val="nil"/>
              <w:bottom w:val="nil"/>
              <w:right w:val="nil"/>
              <w:tl2br w:val="nil"/>
              <w:tr2bl w:val="nil"/>
            </w:tcBorders>
            <w:shd w:val="clear" w:color="auto" w:fill="FFFFFF"/>
            <w:tcMar>
              <w:left w:w="101" w:type="dxa"/>
              <w:right w:w="101" w:type="dxa"/>
            </w:tcMar>
            <w:vAlign w:val="bottom"/>
          </w:tcPr>
          <w:p w14:paraId="126D0196" w14:textId="77777777" w:rsidR="003F0EEA" w:rsidRPr="00FE549C" w:rsidRDefault="00FB7D0B">
            <w:pPr>
              <w:rPr>
                <w:rFonts w:ascii="Arial" w:eastAsia="Arial" w:hAnsi="Arial" w:cs="Arial"/>
                <w:color w:val="000000"/>
                <w:sz w:val="16"/>
                <w:vertAlign w:val="superscript"/>
              </w:rPr>
            </w:pPr>
            <w:r w:rsidRPr="00FE549C">
              <w:rPr>
                <w:rFonts w:ascii="Arial" w:eastAsia="Arial" w:hAnsi="Arial" w:cs="Arial"/>
                <w:color w:val="000000"/>
                <w:sz w:val="16"/>
              </w:rPr>
              <w:t>Ordinary annual services (Appropriation Bill No. 1)</w:t>
            </w:r>
          </w:p>
        </w:tc>
        <w:tc>
          <w:tcPr>
            <w:tcW w:w="1230" w:type="dxa"/>
            <w:tcBorders>
              <w:top w:val="nil"/>
              <w:left w:val="nil"/>
              <w:bottom w:val="nil"/>
              <w:right w:val="nil"/>
              <w:tl2br w:val="nil"/>
              <w:tr2bl w:val="nil"/>
            </w:tcBorders>
            <w:shd w:val="clear" w:color="auto" w:fill="FFFFFF"/>
            <w:tcMar>
              <w:left w:w="101" w:type="dxa"/>
              <w:right w:w="101" w:type="dxa"/>
            </w:tcMar>
            <w:vAlign w:val="bottom"/>
          </w:tcPr>
          <w:p w14:paraId="7AE2911C" w14:textId="77777777" w:rsidR="003F0EEA" w:rsidRPr="00FE549C" w:rsidRDefault="00FB7D0B">
            <w:pPr>
              <w:jc w:val="right"/>
              <w:rPr>
                <w:rFonts w:ascii="Arial" w:eastAsia="Arial" w:hAnsi="Arial" w:cs="Arial"/>
                <w:color w:val="000000"/>
                <w:sz w:val="16"/>
                <w:vertAlign w:val="superscript"/>
              </w:rPr>
            </w:pPr>
            <w:r w:rsidRPr="00FE549C">
              <w:rPr>
                <w:rFonts w:ascii="Arial" w:eastAsia="Arial" w:hAnsi="Arial" w:cs="Arial"/>
                <w:color w:val="000000"/>
                <w:sz w:val="16"/>
              </w:rPr>
              <w:t xml:space="preserve"> - </w:t>
            </w:r>
          </w:p>
        </w:tc>
        <w:tc>
          <w:tcPr>
            <w:tcW w:w="1230" w:type="dxa"/>
            <w:tcBorders>
              <w:top w:val="nil"/>
              <w:left w:val="nil"/>
              <w:bottom w:val="nil"/>
              <w:right w:val="nil"/>
              <w:tl2br w:val="nil"/>
              <w:tr2bl w:val="nil"/>
            </w:tcBorders>
            <w:shd w:val="clear" w:color="auto" w:fill="FFFF00"/>
            <w:tcMar>
              <w:left w:w="101" w:type="dxa"/>
              <w:right w:w="101" w:type="dxa"/>
            </w:tcMar>
            <w:vAlign w:val="bottom"/>
          </w:tcPr>
          <w:p w14:paraId="60E5D329" w14:textId="77777777" w:rsidR="003F0EEA" w:rsidRPr="00FE549C" w:rsidRDefault="00FB7D0B">
            <w:pPr>
              <w:jc w:val="right"/>
              <w:rPr>
                <w:rFonts w:ascii="Arial" w:eastAsia="Arial" w:hAnsi="Arial" w:cs="Arial"/>
                <w:color w:val="000000"/>
                <w:sz w:val="16"/>
              </w:rPr>
            </w:pPr>
            <w:r w:rsidRPr="00FE549C">
              <w:rPr>
                <w:rFonts w:ascii="Arial" w:eastAsia="Arial" w:hAnsi="Arial" w:cs="Arial"/>
                <w:color w:val="000000"/>
                <w:sz w:val="16"/>
              </w:rPr>
              <w:t xml:space="preserve"> - </w:t>
            </w:r>
          </w:p>
        </w:tc>
      </w:tr>
      <w:tr w:rsidR="00724034" w14:paraId="0B4C89BE" w14:textId="77777777">
        <w:trPr>
          <w:trHeight w:val="225"/>
        </w:trPr>
        <w:tc>
          <w:tcPr>
            <w:tcW w:w="285" w:type="dxa"/>
            <w:tcBorders>
              <w:top w:val="nil"/>
              <w:left w:val="nil"/>
              <w:bottom w:val="nil"/>
              <w:right w:val="nil"/>
              <w:tl2br w:val="nil"/>
              <w:tr2bl w:val="nil"/>
            </w:tcBorders>
            <w:shd w:val="clear" w:color="auto" w:fill="FFFFFF"/>
            <w:tcMar>
              <w:left w:w="101" w:type="dxa"/>
              <w:right w:w="101" w:type="dxa"/>
            </w:tcMar>
            <w:vAlign w:val="bottom"/>
          </w:tcPr>
          <w:p w14:paraId="72056311" w14:textId="77777777" w:rsidR="003F0EEA" w:rsidRPr="00FE549C" w:rsidRDefault="003F0EEA">
            <w:pPr>
              <w:rPr>
                <w:rFonts w:ascii="Arial" w:eastAsia="Arial" w:hAnsi="Arial" w:cs="Arial"/>
                <w:color w:val="000000"/>
                <w:sz w:val="16"/>
              </w:rPr>
            </w:pPr>
          </w:p>
        </w:tc>
        <w:tc>
          <w:tcPr>
            <w:tcW w:w="5325" w:type="dxa"/>
            <w:tcBorders>
              <w:top w:val="nil"/>
              <w:left w:val="nil"/>
              <w:bottom w:val="nil"/>
              <w:right w:val="nil"/>
              <w:tl2br w:val="nil"/>
              <w:tr2bl w:val="nil"/>
            </w:tcBorders>
            <w:shd w:val="clear" w:color="auto" w:fill="FFFFFF"/>
            <w:tcMar>
              <w:left w:w="101" w:type="dxa"/>
              <w:right w:w="101" w:type="dxa"/>
            </w:tcMar>
            <w:vAlign w:val="bottom"/>
          </w:tcPr>
          <w:p w14:paraId="53B68793" w14:textId="77777777" w:rsidR="003F0EEA" w:rsidRPr="00FE549C" w:rsidRDefault="00FB7D0B">
            <w:pPr>
              <w:rPr>
                <w:rFonts w:ascii="Arial" w:eastAsia="Arial" w:hAnsi="Arial" w:cs="Arial"/>
                <w:color w:val="000000"/>
                <w:sz w:val="16"/>
              </w:rPr>
            </w:pPr>
            <w:r w:rsidRPr="00FE549C">
              <w:rPr>
                <w:rFonts w:ascii="Arial" w:eastAsia="Arial" w:hAnsi="Arial" w:cs="Arial"/>
                <w:color w:val="000000"/>
                <w:sz w:val="16"/>
              </w:rPr>
              <w:t>Other services (Appropriation Bill No. 2)</w:t>
            </w:r>
          </w:p>
        </w:tc>
        <w:tc>
          <w:tcPr>
            <w:tcW w:w="1230" w:type="dxa"/>
            <w:tcBorders>
              <w:top w:val="nil"/>
              <w:left w:val="nil"/>
              <w:bottom w:val="nil"/>
              <w:right w:val="nil"/>
              <w:tl2br w:val="nil"/>
              <w:tr2bl w:val="nil"/>
            </w:tcBorders>
            <w:shd w:val="clear" w:color="auto" w:fill="FFFFFF"/>
            <w:tcMar>
              <w:left w:w="101" w:type="dxa"/>
              <w:right w:w="101" w:type="dxa"/>
            </w:tcMar>
            <w:vAlign w:val="bottom"/>
          </w:tcPr>
          <w:p w14:paraId="1C7BEABF" w14:textId="77777777" w:rsidR="003F0EEA" w:rsidRPr="00FE549C" w:rsidRDefault="00FB7D0B">
            <w:pPr>
              <w:jc w:val="right"/>
              <w:rPr>
                <w:rFonts w:ascii="Arial" w:eastAsia="Arial" w:hAnsi="Arial" w:cs="Arial"/>
                <w:color w:val="000000"/>
                <w:sz w:val="16"/>
                <w:vertAlign w:val="superscript"/>
              </w:rPr>
            </w:pPr>
            <w:r w:rsidRPr="00FE549C">
              <w:rPr>
                <w:rFonts w:ascii="Arial" w:eastAsia="Arial" w:hAnsi="Arial" w:cs="Arial"/>
                <w:color w:val="000000"/>
                <w:sz w:val="16"/>
              </w:rPr>
              <w:t xml:space="preserve"> - </w:t>
            </w:r>
          </w:p>
        </w:tc>
        <w:tc>
          <w:tcPr>
            <w:tcW w:w="1230" w:type="dxa"/>
            <w:tcBorders>
              <w:top w:val="nil"/>
              <w:left w:val="nil"/>
              <w:bottom w:val="nil"/>
              <w:right w:val="nil"/>
              <w:tl2br w:val="nil"/>
              <w:tr2bl w:val="nil"/>
            </w:tcBorders>
            <w:shd w:val="clear" w:color="auto" w:fill="FFFF00"/>
            <w:tcMar>
              <w:left w:w="101" w:type="dxa"/>
              <w:right w:w="101" w:type="dxa"/>
            </w:tcMar>
            <w:vAlign w:val="bottom"/>
          </w:tcPr>
          <w:p w14:paraId="58E95AC8" w14:textId="77777777" w:rsidR="003F0EEA" w:rsidRPr="00FE549C" w:rsidRDefault="00FB7D0B">
            <w:pPr>
              <w:jc w:val="right"/>
              <w:rPr>
                <w:rFonts w:ascii="Arial" w:eastAsia="Arial" w:hAnsi="Arial" w:cs="Arial"/>
                <w:color w:val="000000"/>
                <w:sz w:val="16"/>
              </w:rPr>
            </w:pPr>
            <w:r w:rsidRPr="00FE549C">
              <w:rPr>
                <w:rFonts w:ascii="Arial" w:eastAsia="Arial" w:hAnsi="Arial" w:cs="Arial"/>
                <w:color w:val="000000"/>
                <w:sz w:val="16"/>
              </w:rPr>
              <w:t xml:space="preserve"> - </w:t>
            </w:r>
          </w:p>
        </w:tc>
      </w:tr>
      <w:tr w:rsidR="00724034" w14:paraId="1DC82E08" w14:textId="77777777">
        <w:trPr>
          <w:trHeight w:val="225"/>
        </w:trPr>
        <w:tc>
          <w:tcPr>
            <w:tcW w:w="285" w:type="dxa"/>
            <w:tcBorders>
              <w:top w:val="nil"/>
              <w:left w:val="nil"/>
              <w:bottom w:val="nil"/>
              <w:right w:val="nil"/>
              <w:tl2br w:val="nil"/>
              <w:tr2bl w:val="nil"/>
            </w:tcBorders>
            <w:shd w:val="clear" w:color="auto" w:fill="FFFFFF"/>
            <w:tcMar>
              <w:left w:w="101" w:type="dxa"/>
              <w:right w:w="101" w:type="dxa"/>
            </w:tcMar>
            <w:vAlign w:val="bottom"/>
          </w:tcPr>
          <w:p w14:paraId="124D04C2" w14:textId="77777777" w:rsidR="003F0EEA" w:rsidRPr="00FE549C" w:rsidRDefault="003F0EEA">
            <w:pPr>
              <w:rPr>
                <w:rFonts w:ascii="Arial" w:eastAsia="Arial" w:hAnsi="Arial" w:cs="Arial"/>
                <w:color w:val="000000"/>
                <w:sz w:val="16"/>
              </w:rPr>
            </w:pPr>
          </w:p>
        </w:tc>
        <w:tc>
          <w:tcPr>
            <w:tcW w:w="5325" w:type="dxa"/>
            <w:tcBorders>
              <w:top w:val="nil"/>
              <w:left w:val="nil"/>
              <w:bottom w:val="nil"/>
              <w:right w:val="nil"/>
              <w:tl2br w:val="nil"/>
              <w:tr2bl w:val="nil"/>
            </w:tcBorders>
            <w:shd w:val="clear" w:color="auto" w:fill="FFFFFF"/>
            <w:tcMar>
              <w:left w:w="101" w:type="dxa"/>
              <w:right w:w="101" w:type="dxa"/>
            </w:tcMar>
            <w:vAlign w:val="bottom"/>
          </w:tcPr>
          <w:p w14:paraId="2FBC4BF0" w14:textId="77777777" w:rsidR="003F0EEA" w:rsidRPr="00FE549C" w:rsidRDefault="00FB7D0B">
            <w:pPr>
              <w:rPr>
                <w:rFonts w:ascii="Arial" w:eastAsia="Arial" w:hAnsi="Arial" w:cs="Arial"/>
                <w:color w:val="000000"/>
                <w:sz w:val="16"/>
              </w:rPr>
            </w:pPr>
            <w:r w:rsidRPr="00FE549C">
              <w:rPr>
                <w:rFonts w:ascii="Arial" w:eastAsia="Arial" w:hAnsi="Arial" w:cs="Arial"/>
                <w:color w:val="000000"/>
                <w:sz w:val="16"/>
              </w:rPr>
              <w:t>Expenses not requiring appropriation in the Budget year</w:t>
            </w:r>
          </w:p>
        </w:tc>
        <w:tc>
          <w:tcPr>
            <w:tcW w:w="1230" w:type="dxa"/>
            <w:tcBorders>
              <w:top w:val="nil"/>
              <w:left w:val="nil"/>
              <w:bottom w:val="nil"/>
              <w:right w:val="nil"/>
              <w:tl2br w:val="nil"/>
              <w:tr2bl w:val="nil"/>
            </w:tcBorders>
            <w:shd w:val="clear" w:color="auto" w:fill="FFFFFF"/>
            <w:tcMar>
              <w:left w:w="101" w:type="dxa"/>
              <w:right w:w="101" w:type="dxa"/>
            </w:tcMar>
            <w:vAlign w:val="bottom"/>
          </w:tcPr>
          <w:p w14:paraId="65B9F846" w14:textId="77777777" w:rsidR="003F0EEA" w:rsidRPr="00FE549C" w:rsidRDefault="00FB7D0B">
            <w:pPr>
              <w:jc w:val="right"/>
              <w:rPr>
                <w:rFonts w:ascii="Arial" w:eastAsia="Arial" w:hAnsi="Arial" w:cs="Arial"/>
                <w:color w:val="000000"/>
                <w:sz w:val="16"/>
                <w:vertAlign w:val="superscript"/>
              </w:rPr>
            </w:pPr>
            <w:r w:rsidRPr="00FE549C">
              <w:rPr>
                <w:rFonts w:ascii="Arial" w:eastAsia="Arial" w:hAnsi="Arial" w:cs="Arial"/>
                <w:color w:val="000000"/>
                <w:sz w:val="16"/>
              </w:rPr>
              <w:t xml:space="preserve"> 32,600 </w:t>
            </w:r>
          </w:p>
        </w:tc>
        <w:tc>
          <w:tcPr>
            <w:tcW w:w="1230" w:type="dxa"/>
            <w:tcBorders>
              <w:top w:val="nil"/>
              <w:left w:val="nil"/>
              <w:bottom w:val="nil"/>
              <w:right w:val="nil"/>
              <w:tl2br w:val="nil"/>
              <w:tr2bl w:val="nil"/>
            </w:tcBorders>
            <w:shd w:val="clear" w:color="auto" w:fill="FFFF00"/>
            <w:tcMar>
              <w:left w:w="101" w:type="dxa"/>
              <w:right w:w="101" w:type="dxa"/>
            </w:tcMar>
            <w:vAlign w:val="bottom"/>
          </w:tcPr>
          <w:p w14:paraId="2A767736" w14:textId="77777777" w:rsidR="003F0EEA" w:rsidRPr="00FE549C" w:rsidRDefault="00FB7D0B">
            <w:pPr>
              <w:jc w:val="right"/>
              <w:rPr>
                <w:rFonts w:ascii="Arial" w:eastAsia="Arial" w:hAnsi="Arial" w:cs="Arial"/>
                <w:color w:val="000000"/>
                <w:sz w:val="16"/>
              </w:rPr>
            </w:pPr>
            <w:r w:rsidRPr="00FE549C">
              <w:rPr>
                <w:rFonts w:ascii="Arial" w:eastAsia="Arial" w:hAnsi="Arial" w:cs="Arial"/>
                <w:color w:val="000000"/>
                <w:sz w:val="16"/>
              </w:rPr>
              <w:t xml:space="preserve"> 57,400 </w:t>
            </w:r>
          </w:p>
        </w:tc>
      </w:tr>
      <w:tr w:rsidR="00FB7D0B" w14:paraId="46F557F8" w14:textId="77777777" w:rsidTr="00FB7D0B">
        <w:trPr>
          <w:trHeight w:val="225"/>
        </w:trPr>
        <w:tc>
          <w:tcPr>
            <w:tcW w:w="5610" w:type="dxa"/>
            <w:gridSpan w:val="2"/>
            <w:tcBorders>
              <w:top w:val="nil"/>
              <w:left w:val="nil"/>
              <w:bottom w:val="nil"/>
              <w:right w:val="nil"/>
              <w:tl2br w:val="nil"/>
              <w:tr2bl w:val="nil"/>
            </w:tcBorders>
            <w:shd w:val="clear" w:color="auto" w:fill="FFFFFF"/>
            <w:tcMar>
              <w:left w:w="101" w:type="dxa"/>
              <w:right w:w="101" w:type="dxa"/>
            </w:tcMar>
            <w:vAlign w:val="bottom"/>
          </w:tcPr>
          <w:p w14:paraId="239AB376" w14:textId="77777777" w:rsidR="003F0EEA" w:rsidRPr="00FE549C" w:rsidRDefault="00FB7D0B">
            <w:pPr>
              <w:rPr>
                <w:rFonts w:ascii="Arial" w:eastAsia="Arial" w:hAnsi="Arial" w:cs="Arial"/>
                <w:color w:val="000000"/>
                <w:sz w:val="16"/>
              </w:rPr>
            </w:pPr>
            <w:r w:rsidRPr="00FE549C">
              <w:rPr>
                <w:rFonts w:ascii="Arial" w:eastAsia="Arial" w:hAnsi="Arial" w:cs="Arial"/>
                <w:color w:val="000000"/>
                <w:sz w:val="16"/>
              </w:rPr>
              <w:t>Departmental Expenses</w:t>
            </w:r>
          </w:p>
        </w:tc>
        <w:tc>
          <w:tcPr>
            <w:tcW w:w="1230" w:type="dxa"/>
            <w:tcBorders>
              <w:top w:val="nil"/>
              <w:left w:val="nil"/>
              <w:bottom w:val="nil"/>
              <w:right w:val="nil"/>
              <w:tl2br w:val="nil"/>
              <w:tr2bl w:val="nil"/>
            </w:tcBorders>
            <w:shd w:val="clear" w:color="auto" w:fill="FFFFFF"/>
            <w:tcMar>
              <w:left w:w="101" w:type="dxa"/>
              <w:right w:w="101" w:type="dxa"/>
            </w:tcMar>
            <w:vAlign w:val="bottom"/>
          </w:tcPr>
          <w:p w14:paraId="00E38572" w14:textId="77777777" w:rsidR="003F0EEA" w:rsidRPr="00FE549C" w:rsidRDefault="003F0EEA">
            <w:pPr>
              <w:jc w:val="right"/>
              <w:rPr>
                <w:rFonts w:ascii="Arial" w:eastAsia="Arial" w:hAnsi="Arial" w:cs="Arial"/>
                <w:color w:val="000000"/>
                <w:sz w:val="16"/>
                <w:vertAlign w:val="superscript"/>
              </w:rPr>
            </w:pPr>
          </w:p>
        </w:tc>
        <w:tc>
          <w:tcPr>
            <w:tcW w:w="1230" w:type="dxa"/>
            <w:tcBorders>
              <w:top w:val="nil"/>
              <w:left w:val="nil"/>
              <w:bottom w:val="nil"/>
              <w:right w:val="nil"/>
              <w:tl2br w:val="nil"/>
              <w:tr2bl w:val="nil"/>
            </w:tcBorders>
            <w:shd w:val="clear" w:color="auto" w:fill="FFFF00"/>
            <w:tcMar>
              <w:left w:w="101" w:type="dxa"/>
              <w:right w:w="101" w:type="dxa"/>
            </w:tcMar>
            <w:vAlign w:val="bottom"/>
          </w:tcPr>
          <w:p w14:paraId="33831625" w14:textId="77777777" w:rsidR="003F0EEA" w:rsidRPr="00FE549C" w:rsidRDefault="003F0EEA">
            <w:pPr>
              <w:jc w:val="right"/>
              <w:rPr>
                <w:rFonts w:ascii="Arial" w:eastAsia="Arial" w:hAnsi="Arial" w:cs="Arial"/>
                <w:color w:val="000000"/>
                <w:sz w:val="16"/>
                <w:vertAlign w:val="superscript"/>
              </w:rPr>
            </w:pPr>
          </w:p>
        </w:tc>
      </w:tr>
      <w:tr w:rsidR="00724034" w14:paraId="0D279309" w14:textId="77777777">
        <w:trPr>
          <w:trHeight w:val="225"/>
        </w:trPr>
        <w:tc>
          <w:tcPr>
            <w:tcW w:w="285" w:type="dxa"/>
            <w:tcBorders>
              <w:top w:val="nil"/>
              <w:left w:val="nil"/>
              <w:bottom w:val="nil"/>
              <w:right w:val="nil"/>
              <w:tl2br w:val="nil"/>
              <w:tr2bl w:val="nil"/>
            </w:tcBorders>
            <w:shd w:val="clear" w:color="auto" w:fill="FFFFFF"/>
            <w:tcMar>
              <w:left w:w="101" w:type="dxa"/>
              <w:right w:w="101" w:type="dxa"/>
            </w:tcMar>
            <w:vAlign w:val="bottom"/>
          </w:tcPr>
          <w:p w14:paraId="4D3C91DB" w14:textId="77777777" w:rsidR="003F0EEA" w:rsidRPr="00FE549C" w:rsidRDefault="003F0EEA">
            <w:pPr>
              <w:rPr>
                <w:rFonts w:ascii="Arial" w:eastAsia="Arial" w:hAnsi="Arial" w:cs="Arial"/>
                <w:color w:val="000000"/>
                <w:sz w:val="16"/>
                <w:vertAlign w:val="superscript"/>
              </w:rPr>
            </w:pPr>
          </w:p>
        </w:tc>
        <w:tc>
          <w:tcPr>
            <w:tcW w:w="5325" w:type="dxa"/>
            <w:tcBorders>
              <w:top w:val="nil"/>
              <w:left w:val="nil"/>
              <w:bottom w:val="nil"/>
              <w:right w:val="nil"/>
              <w:tl2br w:val="nil"/>
              <w:tr2bl w:val="nil"/>
            </w:tcBorders>
            <w:shd w:val="clear" w:color="auto" w:fill="FFFFFF"/>
            <w:tcMar>
              <w:left w:w="101" w:type="dxa"/>
              <w:right w:w="101" w:type="dxa"/>
            </w:tcMar>
            <w:vAlign w:val="bottom"/>
          </w:tcPr>
          <w:p w14:paraId="27B46F1A" w14:textId="77777777" w:rsidR="003F0EEA" w:rsidRPr="00FE549C" w:rsidRDefault="00FB7D0B">
            <w:pPr>
              <w:rPr>
                <w:rFonts w:ascii="Arial" w:eastAsia="Arial" w:hAnsi="Arial" w:cs="Arial"/>
                <w:color w:val="000000"/>
                <w:sz w:val="16"/>
                <w:vertAlign w:val="superscript"/>
              </w:rPr>
            </w:pPr>
            <w:r w:rsidRPr="00FE549C">
              <w:rPr>
                <w:rFonts w:ascii="Arial" w:eastAsia="Arial" w:hAnsi="Arial" w:cs="Arial"/>
                <w:color w:val="000000"/>
                <w:sz w:val="16"/>
              </w:rPr>
              <w:t>Departmental appropriation</w:t>
            </w:r>
            <w:r w:rsidRPr="00FE549C">
              <w:rPr>
                <w:rFonts w:ascii="Arial" w:eastAsia="Arial" w:hAnsi="Arial" w:cs="Arial"/>
                <w:color w:val="000000"/>
                <w:sz w:val="16"/>
                <w:vertAlign w:val="superscript"/>
              </w:rPr>
              <w:t>1 </w:t>
            </w:r>
          </w:p>
        </w:tc>
        <w:tc>
          <w:tcPr>
            <w:tcW w:w="1230" w:type="dxa"/>
            <w:tcBorders>
              <w:top w:val="nil"/>
              <w:left w:val="nil"/>
              <w:bottom w:val="nil"/>
              <w:right w:val="nil"/>
              <w:tl2br w:val="nil"/>
              <w:tr2bl w:val="nil"/>
            </w:tcBorders>
            <w:shd w:val="clear" w:color="auto" w:fill="FFFFFF"/>
            <w:tcMar>
              <w:left w:w="101" w:type="dxa"/>
              <w:right w:w="101" w:type="dxa"/>
            </w:tcMar>
            <w:vAlign w:val="bottom"/>
          </w:tcPr>
          <w:p w14:paraId="50170B8A" w14:textId="77777777" w:rsidR="003F0EEA" w:rsidRPr="00FE549C" w:rsidRDefault="00FB7D0B">
            <w:pPr>
              <w:jc w:val="right"/>
              <w:rPr>
                <w:rFonts w:ascii="Arial" w:eastAsia="Arial" w:hAnsi="Arial" w:cs="Arial"/>
                <w:color w:val="000000"/>
                <w:sz w:val="16"/>
                <w:vertAlign w:val="superscript"/>
              </w:rPr>
            </w:pPr>
            <w:r w:rsidRPr="00FE549C">
              <w:rPr>
                <w:rFonts w:ascii="Arial" w:eastAsia="Arial" w:hAnsi="Arial" w:cs="Arial"/>
                <w:color w:val="000000"/>
                <w:sz w:val="16"/>
              </w:rPr>
              <w:t xml:space="preserve"> - </w:t>
            </w:r>
          </w:p>
        </w:tc>
        <w:tc>
          <w:tcPr>
            <w:tcW w:w="1230" w:type="dxa"/>
            <w:tcBorders>
              <w:top w:val="nil"/>
              <w:left w:val="nil"/>
              <w:bottom w:val="nil"/>
              <w:right w:val="nil"/>
              <w:tl2br w:val="nil"/>
              <w:tr2bl w:val="nil"/>
            </w:tcBorders>
            <w:shd w:val="clear" w:color="auto" w:fill="FFFF00"/>
            <w:tcMar>
              <w:left w:w="101" w:type="dxa"/>
              <w:right w:w="101" w:type="dxa"/>
            </w:tcMar>
            <w:vAlign w:val="bottom"/>
          </w:tcPr>
          <w:p w14:paraId="1F2297D5" w14:textId="77777777" w:rsidR="003F0EEA" w:rsidRPr="00FE549C" w:rsidRDefault="00FB7D0B">
            <w:pPr>
              <w:jc w:val="right"/>
              <w:rPr>
                <w:rFonts w:ascii="Arial" w:eastAsia="Arial" w:hAnsi="Arial" w:cs="Arial"/>
                <w:color w:val="000000"/>
                <w:sz w:val="16"/>
              </w:rPr>
            </w:pPr>
            <w:r w:rsidRPr="00FE549C">
              <w:rPr>
                <w:rFonts w:ascii="Arial" w:eastAsia="Arial" w:hAnsi="Arial" w:cs="Arial"/>
                <w:color w:val="000000"/>
                <w:sz w:val="16"/>
              </w:rPr>
              <w:t xml:space="preserve"> - </w:t>
            </w:r>
          </w:p>
        </w:tc>
      </w:tr>
      <w:tr w:rsidR="00724034" w14:paraId="7C766963" w14:textId="77777777">
        <w:trPr>
          <w:trHeight w:val="225"/>
        </w:trPr>
        <w:tc>
          <w:tcPr>
            <w:tcW w:w="285" w:type="dxa"/>
            <w:tcBorders>
              <w:top w:val="nil"/>
              <w:left w:val="nil"/>
              <w:bottom w:val="nil"/>
              <w:right w:val="nil"/>
              <w:tl2br w:val="nil"/>
              <w:tr2bl w:val="nil"/>
            </w:tcBorders>
            <w:shd w:val="clear" w:color="auto" w:fill="FFFFFF"/>
            <w:tcMar>
              <w:left w:w="101" w:type="dxa"/>
              <w:right w:w="101" w:type="dxa"/>
            </w:tcMar>
            <w:vAlign w:val="bottom"/>
          </w:tcPr>
          <w:p w14:paraId="42406CC7" w14:textId="77777777" w:rsidR="003F0EEA" w:rsidRPr="00FE549C" w:rsidRDefault="003F0EEA">
            <w:pPr>
              <w:rPr>
                <w:rFonts w:ascii="Arial" w:eastAsia="Arial" w:hAnsi="Arial" w:cs="Arial"/>
                <w:color w:val="000000"/>
                <w:sz w:val="16"/>
              </w:rPr>
            </w:pPr>
          </w:p>
        </w:tc>
        <w:tc>
          <w:tcPr>
            <w:tcW w:w="5325" w:type="dxa"/>
            <w:tcBorders>
              <w:top w:val="nil"/>
              <w:left w:val="nil"/>
              <w:bottom w:val="nil"/>
              <w:right w:val="nil"/>
              <w:tl2br w:val="nil"/>
              <w:tr2bl w:val="nil"/>
            </w:tcBorders>
            <w:shd w:val="clear" w:color="auto" w:fill="FFFFFF"/>
            <w:tcMar>
              <w:left w:w="101" w:type="dxa"/>
              <w:right w:w="101" w:type="dxa"/>
            </w:tcMar>
            <w:vAlign w:val="bottom"/>
          </w:tcPr>
          <w:p w14:paraId="3C99E416" w14:textId="77777777" w:rsidR="003F0EEA" w:rsidRPr="00FE549C" w:rsidRDefault="00FB7D0B">
            <w:pPr>
              <w:rPr>
                <w:rFonts w:ascii="Arial" w:eastAsia="Arial" w:hAnsi="Arial" w:cs="Arial"/>
                <w:color w:val="000000"/>
                <w:sz w:val="16"/>
              </w:rPr>
            </w:pPr>
            <w:r w:rsidRPr="00FE549C">
              <w:rPr>
                <w:rFonts w:ascii="Arial" w:eastAsia="Arial" w:hAnsi="Arial" w:cs="Arial"/>
                <w:color w:val="000000"/>
                <w:sz w:val="16"/>
              </w:rPr>
              <w:t>Expenses not requiring appropriation in the Budget year</w:t>
            </w:r>
            <w:r w:rsidRPr="00FE549C">
              <w:rPr>
                <w:rFonts w:ascii="Arial" w:eastAsia="Arial" w:hAnsi="Arial" w:cs="Arial"/>
                <w:color w:val="000000"/>
                <w:sz w:val="16"/>
                <w:vertAlign w:val="superscript"/>
              </w:rPr>
              <w:t>2 </w:t>
            </w:r>
          </w:p>
        </w:tc>
        <w:tc>
          <w:tcPr>
            <w:tcW w:w="1230"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76CFF901" w14:textId="77777777" w:rsidR="003F0EEA" w:rsidRPr="00FE549C" w:rsidRDefault="00FB7D0B">
            <w:pPr>
              <w:jc w:val="right"/>
              <w:rPr>
                <w:rFonts w:ascii="Arial" w:eastAsia="Arial" w:hAnsi="Arial" w:cs="Arial"/>
                <w:color w:val="000000"/>
                <w:sz w:val="16"/>
                <w:vertAlign w:val="superscript"/>
              </w:rPr>
            </w:pPr>
            <w:r w:rsidRPr="00FE549C">
              <w:rPr>
                <w:rFonts w:ascii="Arial" w:eastAsia="Arial" w:hAnsi="Arial" w:cs="Arial"/>
                <w:color w:val="000000"/>
                <w:sz w:val="16"/>
              </w:rPr>
              <w:t xml:space="preserve"> - </w:t>
            </w:r>
          </w:p>
        </w:tc>
        <w:tc>
          <w:tcPr>
            <w:tcW w:w="1230" w:type="dxa"/>
            <w:tcBorders>
              <w:top w:val="nil"/>
              <w:left w:val="nil"/>
              <w:bottom w:val="single" w:sz="6" w:space="0" w:color="000000"/>
              <w:right w:val="nil"/>
              <w:tl2br w:val="nil"/>
              <w:tr2bl w:val="nil"/>
            </w:tcBorders>
            <w:shd w:val="clear" w:color="auto" w:fill="FFFF00"/>
            <w:tcMar>
              <w:left w:w="101" w:type="dxa"/>
              <w:right w:w="101" w:type="dxa"/>
            </w:tcMar>
            <w:vAlign w:val="bottom"/>
          </w:tcPr>
          <w:p w14:paraId="2390937A" w14:textId="77777777" w:rsidR="003F0EEA" w:rsidRPr="00FE549C" w:rsidRDefault="00FB7D0B">
            <w:pPr>
              <w:jc w:val="right"/>
              <w:rPr>
                <w:rFonts w:ascii="Arial" w:eastAsia="Arial" w:hAnsi="Arial" w:cs="Arial"/>
                <w:color w:val="000000"/>
                <w:sz w:val="16"/>
              </w:rPr>
            </w:pPr>
            <w:r w:rsidRPr="00FE549C">
              <w:rPr>
                <w:rFonts w:ascii="Arial" w:eastAsia="Arial" w:hAnsi="Arial" w:cs="Arial"/>
                <w:color w:val="000000"/>
                <w:sz w:val="16"/>
              </w:rPr>
              <w:t xml:space="preserve"> - </w:t>
            </w:r>
          </w:p>
        </w:tc>
      </w:tr>
      <w:tr w:rsidR="00724034" w14:paraId="63EADC09" w14:textId="77777777">
        <w:trPr>
          <w:trHeight w:val="225"/>
        </w:trPr>
        <w:tc>
          <w:tcPr>
            <w:tcW w:w="285" w:type="dxa"/>
            <w:tcBorders>
              <w:top w:val="nil"/>
              <w:left w:val="nil"/>
              <w:bottom w:val="nil"/>
              <w:right w:val="nil"/>
              <w:tl2br w:val="nil"/>
              <w:tr2bl w:val="nil"/>
            </w:tcBorders>
            <w:shd w:val="clear" w:color="auto" w:fill="FFFFFF"/>
            <w:tcMar>
              <w:left w:w="101" w:type="dxa"/>
              <w:right w:w="101" w:type="dxa"/>
            </w:tcMar>
            <w:vAlign w:val="bottom"/>
          </w:tcPr>
          <w:p w14:paraId="65B5F266" w14:textId="77777777" w:rsidR="003F0EEA" w:rsidRPr="00FE549C" w:rsidRDefault="003F0EEA">
            <w:pPr>
              <w:rPr>
                <w:rFonts w:ascii="Arial" w:eastAsia="Arial" w:hAnsi="Arial" w:cs="Arial"/>
                <w:color w:val="000000"/>
                <w:sz w:val="16"/>
              </w:rPr>
            </w:pPr>
          </w:p>
        </w:tc>
        <w:tc>
          <w:tcPr>
            <w:tcW w:w="5325" w:type="dxa"/>
            <w:tcBorders>
              <w:top w:val="nil"/>
              <w:left w:val="nil"/>
              <w:bottom w:val="nil"/>
              <w:right w:val="nil"/>
              <w:tl2br w:val="nil"/>
              <w:tr2bl w:val="nil"/>
            </w:tcBorders>
            <w:shd w:val="clear" w:color="auto" w:fill="FFFFFF"/>
            <w:tcMar>
              <w:left w:w="101" w:type="dxa"/>
              <w:right w:w="101" w:type="dxa"/>
            </w:tcMar>
            <w:vAlign w:val="bottom"/>
          </w:tcPr>
          <w:p w14:paraId="10212194" w14:textId="77777777" w:rsidR="003F0EEA" w:rsidRPr="00FE549C" w:rsidRDefault="00FB7D0B">
            <w:pPr>
              <w:rPr>
                <w:rFonts w:ascii="Arial" w:eastAsia="Arial" w:hAnsi="Arial" w:cs="Arial"/>
                <w:color w:val="000000"/>
                <w:sz w:val="16"/>
              </w:rPr>
            </w:pPr>
            <w:r w:rsidRPr="00FE549C">
              <w:rPr>
                <w:rFonts w:ascii="Arial" w:eastAsia="Arial" w:hAnsi="Arial" w:cs="Arial"/>
                <w:b/>
                <w:color w:val="000000"/>
                <w:sz w:val="16"/>
              </w:rPr>
              <w:t>Total for Programme 2.7</w:t>
            </w:r>
          </w:p>
        </w:tc>
        <w:tc>
          <w:tcPr>
            <w:tcW w:w="1230"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6211DB2B" w14:textId="77777777" w:rsidR="003F0EEA" w:rsidRPr="00FE549C" w:rsidRDefault="00FB7D0B">
            <w:pPr>
              <w:jc w:val="right"/>
              <w:rPr>
                <w:rFonts w:ascii="Arial" w:eastAsia="Arial" w:hAnsi="Arial" w:cs="Arial"/>
                <w:b/>
                <w:color w:val="000000"/>
                <w:sz w:val="16"/>
                <w:vertAlign w:val="superscript"/>
              </w:rPr>
            </w:pPr>
            <w:r w:rsidRPr="00FE549C">
              <w:rPr>
                <w:rFonts w:ascii="Arial" w:eastAsia="Arial" w:hAnsi="Arial" w:cs="Arial"/>
                <w:b/>
                <w:color w:val="000000"/>
                <w:sz w:val="16"/>
              </w:rPr>
              <w:t xml:space="preserve"> 32,600 </w:t>
            </w:r>
          </w:p>
        </w:tc>
        <w:tc>
          <w:tcPr>
            <w:tcW w:w="1230" w:type="dxa"/>
            <w:tcBorders>
              <w:top w:val="single" w:sz="6" w:space="0" w:color="000000"/>
              <w:left w:val="nil"/>
              <w:bottom w:val="single" w:sz="6" w:space="0" w:color="000000"/>
              <w:right w:val="nil"/>
              <w:tl2br w:val="nil"/>
              <w:tr2bl w:val="nil"/>
            </w:tcBorders>
            <w:shd w:val="clear" w:color="auto" w:fill="FFFF00"/>
            <w:tcMar>
              <w:left w:w="101" w:type="dxa"/>
              <w:right w:w="101" w:type="dxa"/>
            </w:tcMar>
            <w:vAlign w:val="bottom"/>
          </w:tcPr>
          <w:p w14:paraId="6211E77F" w14:textId="77777777" w:rsidR="003F0EEA" w:rsidRPr="00FE549C" w:rsidRDefault="00FB7D0B">
            <w:pPr>
              <w:jc w:val="right"/>
              <w:rPr>
                <w:rFonts w:ascii="Arial" w:eastAsia="Arial" w:hAnsi="Arial" w:cs="Arial"/>
                <w:b/>
                <w:color w:val="000000"/>
                <w:sz w:val="16"/>
              </w:rPr>
            </w:pPr>
            <w:r w:rsidRPr="00FE549C">
              <w:rPr>
                <w:rFonts w:ascii="Arial" w:eastAsia="Arial" w:hAnsi="Arial" w:cs="Arial"/>
                <w:b/>
                <w:color w:val="000000"/>
                <w:sz w:val="16"/>
              </w:rPr>
              <w:t xml:space="preserve"> 57,400 </w:t>
            </w:r>
          </w:p>
        </w:tc>
      </w:tr>
      <w:tr w:rsidR="00724034" w14:paraId="7079D8A4" w14:textId="77777777">
        <w:trPr>
          <w:trHeight w:val="105"/>
        </w:trPr>
        <w:tc>
          <w:tcPr>
            <w:tcW w:w="285" w:type="dxa"/>
            <w:tcBorders>
              <w:top w:val="nil"/>
              <w:left w:val="nil"/>
              <w:bottom w:val="nil"/>
              <w:right w:val="nil"/>
              <w:tl2br w:val="nil"/>
              <w:tr2bl w:val="nil"/>
            </w:tcBorders>
            <w:shd w:val="clear" w:color="auto" w:fill="FFFFFF"/>
            <w:tcMar>
              <w:left w:w="101" w:type="dxa"/>
              <w:right w:w="101" w:type="dxa"/>
            </w:tcMar>
            <w:vAlign w:val="bottom"/>
          </w:tcPr>
          <w:p w14:paraId="44082A7F" w14:textId="77777777" w:rsidR="003F0EEA" w:rsidRPr="00FE549C" w:rsidRDefault="003F0EEA">
            <w:pPr>
              <w:rPr>
                <w:rFonts w:ascii="Arial" w:eastAsia="Arial" w:hAnsi="Arial" w:cs="Arial"/>
                <w:b/>
                <w:color w:val="000000"/>
                <w:sz w:val="16"/>
              </w:rPr>
            </w:pPr>
          </w:p>
        </w:tc>
        <w:tc>
          <w:tcPr>
            <w:tcW w:w="5325" w:type="dxa"/>
            <w:tcBorders>
              <w:top w:val="nil"/>
              <w:left w:val="nil"/>
              <w:bottom w:val="nil"/>
              <w:right w:val="nil"/>
              <w:tl2br w:val="nil"/>
              <w:tr2bl w:val="nil"/>
            </w:tcBorders>
            <w:shd w:val="clear" w:color="auto" w:fill="FFFFFF"/>
            <w:tcMar>
              <w:left w:w="101" w:type="dxa"/>
              <w:right w:w="101" w:type="dxa"/>
            </w:tcMar>
            <w:vAlign w:val="bottom"/>
          </w:tcPr>
          <w:p w14:paraId="08533331" w14:textId="77777777" w:rsidR="003F0EEA" w:rsidRPr="00FE549C" w:rsidRDefault="003F0EEA">
            <w:pPr>
              <w:rPr>
                <w:rFonts w:ascii="Arial" w:eastAsia="Arial" w:hAnsi="Arial" w:cs="Arial"/>
                <w:color w:val="000000"/>
                <w:sz w:val="16"/>
              </w:rPr>
            </w:pPr>
          </w:p>
        </w:tc>
        <w:tc>
          <w:tcPr>
            <w:tcW w:w="1230"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7ADF853C" w14:textId="77777777" w:rsidR="003F0EEA" w:rsidRPr="00FE549C" w:rsidRDefault="003F0EEA">
            <w:pPr>
              <w:jc w:val="right"/>
              <w:rPr>
                <w:rFonts w:ascii="Arial" w:eastAsia="Arial" w:hAnsi="Arial" w:cs="Arial"/>
                <w:b/>
                <w:color w:val="000000"/>
                <w:sz w:val="16"/>
                <w:vertAlign w:val="superscript"/>
              </w:rPr>
            </w:pPr>
          </w:p>
        </w:tc>
        <w:tc>
          <w:tcPr>
            <w:tcW w:w="1230" w:type="dxa"/>
            <w:tcBorders>
              <w:top w:val="single" w:sz="6" w:space="0" w:color="000000"/>
              <w:left w:val="nil"/>
              <w:bottom w:val="nil"/>
              <w:right w:val="nil"/>
              <w:tl2br w:val="nil"/>
              <w:tr2bl w:val="nil"/>
            </w:tcBorders>
            <w:shd w:val="clear" w:color="auto" w:fill="FFFF00"/>
            <w:tcMar>
              <w:left w:w="101" w:type="dxa"/>
              <w:right w:w="101" w:type="dxa"/>
            </w:tcMar>
            <w:vAlign w:val="bottom"/>
          </w:tcPr>
          <w:p w14:paraId="6C0755F7" w14:textId="77777777" w:rsidR="003F0EEA" w:rsidRPr="00FE549C" w:rsidRDefault="003F0EEA">
            <w:pPr>
              <w:jc w:val="right"/>
              <w:rPr>
                <w:rFonts w:ascii="Arial" w:eastAsia="Arial" w:hAnsi="Arial" w:cs="Arial"/>
                <w:color w:val="000000"/>
                <w:sz w:val="16"/>
                <w:vertAlign w:val="superscript"/>
              </w:rPr>
            </w:pPr>
          </w:p>
        </w:tc>
      </w:tr>
      <w:tr w:rsidR="00FB7D0B" w14:paraId="2EDD208C" w14:textId="77777777" w:rsidTr="00FB7D0B">
        <w:trPr>
          <w:trHeight w:val="255"/>
        </w:trPr>
        <w:tc>
          <w:tcPr>
            <w:tcW w:w="5610" w:type="dxa"/>
            <w:gridSpan w:val="2"/>
            <w:tcBorders>
              <w:top w:val="nil"/>
              <w:left w:val="nil"/>
              <w:bottom w:val="nil"/>
              <w:right w:val="nil"/>
              <w:tl2br w:val="nil"/>
              <w:tr2bl w:val="nil"/>
            </w:tcBorders>
            <w:shd w:val="clear" w:color="auto" w:fill="FFFFFF"/>
            <w:tcMar>
              <w:left w:w="101" w:type="dxa"/>
              <w:right w:w="101" w:type="dxa"/>
            </w:tcMar>
            <w:vAlign w:val="bottom"/>
          </w:tcPr>
          <w:p w14:paraId="0D790BC9" w14:textId="77777777" w:rsidR="003F0EEA" w:rsidRPr="00FE549C" w:rsidRDefault="00FB7D0B">
            <w:pPr>
              <w:rPr>
                <w:rFonts w:ascii="Arial" w:eastAsia="Arial" w:hAnsi="Arial" w:cs="Arial"/>
                <w:color w:val="000000"/>
                <w:sz w:val="16"/>
                <w:vertAlign w:val="superscript"/>
              </w:rPr>
            </w:pPr>
            <w:r w:rsidRPr="00FE549C">
              <w:rPr>
                <w:rFonts w:ascii="Arial" w:eastAsia="Arial" w:hAnsi="Arial" w:cs="Arial"/>
                <w:b/>
                <w:color w:val="000000"/>
                <w:sz w:val="16"/>
              </w:rPr>
              <w:t>Outcome 2 Totals by appropriation type</w:t>
            </w:r>
          </w:p>
        </w:tc>
        <w:tc>
          <w:tcPr>
            <w:tcW w:w="1230" w:type="dxa"/>
            <w:tcBorders>
              <w:top w:val="nil"/>
              <w:left w:val="nil"/>
              <w:bottom w:val="nil"/>
              <w:right w:val="nil"/>
              <w:tl2br w:val="nil"/>
              <w:tr2bl w:val="nil"/>
            </w:tcBorders>
            <w:shd w:val="clear" w:color="auto" w:fill="FFFFFF"/>
            <w:tcMar>
              <w:left w:w="101" w:type="dxa"/>
              <w:right w:w="101" w:type="dxa"/>
            </w:tcMar>
            <w:vAlign w:val="bottom"/>
          </w:tcPr>
          <w:p w14:paraId="77C5C966" w14:textId="77777777" w:rsidR="003F0EEA" w:rsidRPr="00FE549C" w:rsidRDefault="003F0EEA">
            <w:pPr>
              <w:jc w:val="right"/>
              <w:rPr>
                <w:rFonts w:ascii="Arial" w:eastAsia="Arial" w:hAnsi="Arial" w:cs="Arial"/>
                <w:b/>
                <w:color w:val="000000"/>
                <w:sz w:val="16"/>
                <w:vertAlign w:val="superscript"/>
              </w:rPr>
            </w:pPr>
          </w:p>
        </w:tc>
        <w:tc>
          <w:tcPr>
            <w:tcW w:w="1230" w:type="dxa"/>
            <w:tcBorders>
              <w:top w:val="nil"/>
              <w:left w:val="nil"/>
              <w:bottom w:val="nil"/>
              <w:right w:val="nil"/>
              <w:tl2br w:val="nil"/>
              <w:tr2bl w:val="nil"/>
            </w:tcBorders>
            <w:shd w:val="clear" w:color="auto" w:fill="FFFF00"/>
            <w:tcMar>
              <w:left w:w="101" w:type="dxa"/>
              <w:right w:w="101" w:type="dxa"/>
            </w:tcMar>
            <w:vAlign w:val="bottom"/>
          </w:tcPr>
          <w:p w14:paraId="79CC54C6" w14:textId="77777777" w:rsidR="003F0EEA" w:rsidRPr="00FE549C" w:rsidRDefault="003F0EEA">
            <w:pPr>
              <w:jc w:val="right"/>
              <w:rPr>
                <w:rFonts w:ascii="Arial" w:eastAsia="Arial" w:hAnsi="Arial" w:cs="Arial"/>
                <w:color w:val="000000"/>
                <w:sz w:val="16"/>
                <w:vertAlign w:val="superscript"/>
              </w:rPr>
            </w:pPr>
          </w:p>
        </w:tc>
      </w:tr>
      <w:tr w:rsidR="00FB7D0B" w14:paraId="47295BA6" w14:textId="77777777" w:rsidTr="00FB7D0B">
        <w:trPr>
          <w:trHeight w:val="225"/>
        </w:trPr>
        <w:tc>
          <w:tcPr>
            <w:tcW w:w="5610" w:type="dxa"/>
            <w:gridSpan w:val="2"/>
            <w:tcBorders>
              <w:top w:val="nil"/>
              <w:left w:val="nil"/>
              <w:bottom w:val="nil"/>
              <w:right w:val="nil"/>
              <w:tl2br w:val="nil"/>
              <w:tr2bl w:val="nil"/>
            </w:tcBorders>
            <w:shd w:val="clear" w:color="auto" w:fill="FFFFFF"/>
            <w:tcMar>
              <w:left w:w="101" w:type="dxa"/>
              <w:right w:w="101" w:type="dxa"/>
            </w:tcMar>
            <w:vAlign w:val="bottom"/>
          </w:tcPr>
          <w:p w14:paraId="743674FF" w14:textId="77777777" w:rsidR="003F0EEA" w:rsidRPr="00FE549C" w:rsidRDefault="00FB7D0B">
            <w:pPr>
              <w:rPr>
                <w:rFonts w:ascii="Arial" w:eastAsia="Arial" w:hAnsi="Arial" w:cs="Arial"/>
                <w:color w:val="000000"/>
                <w:sz w:val="16"/>
                <w:vertAlign w:val="superscript"/>
              </w:rPr>
            </w:pPr>
            <w:r w:rsidRPr="00FE549C">
              <w:rPr>
                <w:rFonts w:ascii="Arial" w:eastAsia="Arial" w:hAnsi="Arial" w:cs="Arial"/>
                <w:color w:val="000000"/>
                <w:sz w:val="16"/>
              </w:rPr>
              <w:t>Administered Expenses</w:t>
            </w:r>
          </w:p>
        </w:tc>
        <w:tc>
          <w:tcPr>
            <w:tcW w:w="1230" w:type="dxa"/>
            <w:tcBorders>
              <w:top w:val="nil"/>
              <w:left w:val="nil"/>
              <w:bottom w:val="nil"/>
              <w:right w:val="nil"/>
              <w:tl2br w:val="nil"/>
              <w:tr2bl w:val="nil"/>
            </w:tcBorders>
            <w:shd w:val="clear" w:color="auto" w:fill="FFFFFF"/>
            <w:tcMar>
              <w:left w:w="101" w:type="dxa"/>
              <w:right w:w="101" w:type="dxa"/>
            </w:tcMar>
            <w:vAlign w:val="bottom"/>
          </w:tcPr>
          <w:p w14:paraId="6833482E" w14:textId="77777777" w:rsidR="003F0EEA" w:rsidRPr="00FE549C" w:rsidRDefault="003F0EEA">
            <w:pPr>
              <w:jc w:val="right"/>
              <w:rPr>
                <w:rFonts w:ascii="Arial" w:eastAsia="Arial" w:hAnsi="Arial" w:cs="Arial"/>
                <w:color w:val="000000"/>
                <w:sz w:val="16"/>
                <w:vertAlign w:val="superscript"/>
              </w:rPr>
            </w:pPr>
          </w:p>
        </w:tc>
        <w:tc>
          <w:tcPr>
            <w:tcW w:w="1230" w:type="dxa"/>
            <w:tcBorders>
              <w:top w:val="nil"/>
              <w:left w:val="nil"/>
              <w:bottom w:val="nil"/>
              <w:right w:val="nil"/>
              <w:tl2br w:val="nil"/>
              <w:tr2bl w:val="nil"/>
            </w:tcBorders>
            <w:shd w:val="clear" w:color="auto" w:fill="FFFF00"/>
            <w:tcMar>
              <w:left w:w="101" w:type="dxa"/>
              <w:right w:w="101" w:type="dxa"/>
            </w:tcMar>
            <w:vAlign w:val="bottom"/>
          </w:tcPr>
          <w:p w14:paraId="1264FC22" w14:textId="77777777" w:rsidR="003F0EEA" w:rsidRPr="00FE549C" w:rsidRDefault="003F0EEA">
            <w:pPr>
              <w:jc w:val="right"/>
              <w:rPr>
                <w:rFonts w:ascii="Arial" w:eastAsia="Arial" w:hAnsi="Arial" w:cs="Arial"/>
                <w:color w:val="000000"/>
                <w:sz w:val="16"/>
                <w:vertAlign w:val="superscript"/>
              </w:rPr>
            </w:pPr>
          </w:p>
        </w:tc>
      </w:tr>
      <w:tr w:rsidR="00724034" w14:paraId="0D994881" w14:textId="77777777">
        <w:trPr>
          <w:trHeight w:val="225"/>
        </w:trPr>
        <w:tc>
          <w:tcPr>
            <w:tcW w:w="285" w:type="dxa"/>
            <w:tcBorders>
              <w:top w:val="nil"/>
              <w:left w:val="nil"/>
              <w:bottom w:val="nil"/>
              <w:right w:val="nil"/>
              <w:tl2br w:val="nil"/>
              <w:tr2bl w:val="nil"/>
            </w:tcBorders>
            <w:shd w:val="clear" w:color="auto" w:fill="FFFFFF"/>
            <w:tcMar>
              <w:left w:w="101" w:type="dxa"/>
              <w:right w:w="101" w:type="dxa"/>
            </w:tcMar>
            <w:vAlign w:val="bottom"/>
          </w:tcPr>
          <w:p w14:paraId="18ADCB18" w14:textId="77777777" w:rsidR="003F0EEA" w:rsidRPr="00FE549C" w:rsidRDefault="003F0EEA">
            <w:pPr>
              <w:rPr>
                <w:rFonts w:ascii="Arial" w:eastAsia="Arial" w:hAnsi="Arial" w:cs="Arial"/>
                <w:color w:val="000000"/>
                <w:sz w:val="16"/>
                <w:vertAlign w:val="superscript"/>
              </w:rPr>
            </w:pPr>
          </w:p>
        </w:tc>
        <w:tc>
          <w:tcPr>
            <w:tcW w:w="5325" w:type="dxa"/>
            <w:tcBorders>
              <w:top w:val="nil"/>
              <w:left w:val="nil"/>
              <w:bottom w:val="nil"/>
              <w:right w:val="nil"/>
              <w:tl2br w:val="nil"/>
              <w:tr2bl w:val="nil"/>
            </w:tcBorders>
            <w:shd w:val="clear" w:color="auto" w:fill="FFFFFF"/>
            <w:tcMar>
              <w:left w:w="101" w:type="dxa"/>
              <w:right w:w="101" w:type="dxa"/>
            </w:tcMar>
            <w:vAlign w:val="bottom"/>
          </w:tcPr>
          <w:p w14:paraId="5E551EC0" w14:textId="77777777" w:rsidR="003F0EEA" w:rsidRPr="00FE549C" w:rsidRDefault="00FB7D0B">
            <w:pPr>
              <w:rPr>
                <w:rFonts w:ascii="Arial" w:eastAsia="Arial" w:hAnsi="Arial" w:cs="Arial"/>
                <w:color w:val="000000"/>
                <w:sz w:val="16"/>
                <w:vertAlign w:val="superscript"/>
              </w:rPr>
            </w:pPr>
            <w:r w:rsidRPr="00FE549C">
              <w:rPr>
                <w:rFonts w:ascii="Arial" w:eastAsia="Arial" w:hAnsi="Arial" w:cs="Arial"/>
                <w:color w:val="000000"/>
                <w:sz w:val="16"/>
              </w:rPr>
              <w:t>Ordinary annual services (Appropriation Bill No. 1)</w:t>
            </w:r>
          </w:p>
        </w:tc>
        <w:tc>
          <w:tcPr>
            <w:tcW w:w="1230" w:type="dxa"/>
            <w:tcBorders>
              <w:top w:val="nil"/>
              <w:left w:val="nil"/>
              <w:bottom w:val="nil"/>
              <w:right w:val="nil"/>
              <w:tl2br w:val="nil"/>
              <w:tr2bl w:val="nil"/>
            </w:tcBorders>
            <w:shd w:val="clear" w:color="auto" w:fill="FFFFFF"/>
            <w:tcMar>
              <w:left w:w="101" w:type="dxa"/>
              <w:right w:w="101" w:type="dxa"/>
            </w:tcMar>
            <w:vAlign w:val="bottom"/>
          </w:tcPr>
          <w:p w14:paraId="02898D16" w14:textId="77777777" w:rsidR="003F0EEA" w:rsidRPr="00FE549C" w:rsidRDefault="00FB7D0B">
            <w:pPr>
              <w:jc w:val="right"/>
              <w:rPr>
                <w:rFonts w:ascii="Arial" w:eastAsia="Arial" w:hAnsi="Arial" w:cs="Arial"/>
                <w:color w:val="000000"/>
                <w:sz w:val="16"/>
                <w:vertAlign w:val="superscript"/>
              </w:rPr>
            </w:pPr>
            <w:r w:rsidRPr="00FE549C">
              <w:rPr>
                <w:rFonts w:ascii="Arial" w:eastAsia="Arial" w:hAnsi="Arial" w:cs="Arial"/>
                <w:color w:val="000000"/>
                <w:sz w:val="16"/>
              </w:rPr>
              <w:t xml:space="preserve"> 6,956 </w:t>
            </w:r>
          </w:p>
        </w:tc>
        <w:tc>
          <w:tcPr>
            <w:tcW w:w="1230" w:type="dxa"/>
            <w:tcBorders>
              <w:top w:val="nil"/>
              <w:left w:val="nil"/>
              <w:bottom w:val="nil"/>
              <w:right w:val="nil"/>
              <w:tl2br w:val="nil"/>
              <w:tr2bl w:val="nil"/>
            </w:tcBorders>
            <w:shd w:val="clear" w:color="auto" w:fill="FFFF00"/>
            <w:tcMar>
              <w:left w:w="101" w:type="dxa"/>
              <w:right w:w="101" w:type="dxa"/>
            </w:tcMar>
            <w:vAlign w:val="bottom"/>
          </w:tcPr>
          <w:p w14:paraId="71F63698" w14:textId="77777777" w:rsidR="003F0EEA" w:rsidRPr="00FE549C" w:rsidRDefault="00FB7D0B">
            <w:pPr>
              <w:jc w:val="right"/>
              <w:rPr>
                <w:rFonts w:ascii="Arial" w:eastAsia="Arial" w:hAnsi="Arial" w:cs="Arial"/>
                <w:color w:val="000000"/>
                <w:sz w:val="16"/>
              </w:rPr>
            </w:pPr>
            <w:r w:rsidRPr="00FE549C">
              <w:rPr>
                <w:rFonts w:ascii="Arial" w:eastAsia="Arial" w:hAnsi="Arial" w:cs="Arial"/>
                <w:color w:val="000000"/>
                <w:sz w:val="16"/>
              </w:rPr>
              <w:t xml:space="preserve"> 7,279 </w:t>
            </w:r>
          </w:p>
        </w:tc>
      </w:tr>
      <w:tr w:rsidR="00724034" w14:paraId="3EF38E63" w14:textId="77777777">
        <w:trPr>
          <w:trHeight w:val="225"/>
        </w:trPr>
        <w:tc>
          <w:tcPr>
            <w:tcW w:w="285" w:type="dxa"/>
            <w:tcBorders>
              <w:top w:val="nil"/>
              <w:left w:val="nil"/>
              <w:bottom w:val="nil"/>
              <w:right w:val="nil"/>
              <w:tl2br w:val="nil"/>
              <w:tr2bl w:val="nil"/>
            </w:tcBorders>
            <w:shd w:val="clear" w:color="auto" w:fill="FFFFFF"/>
            <w:tcMar>
              <w:left w:w="101" w:type="dxa"/>
              <w:right w:w="101" w:type="dxa"/>
            </w:tcMar>
            <w:vAlign w:val="bottom"/>
          </w:tcPr>
          <w:p w14:paraId="4C7F3AD4" w14:textId="77777777" w:rsidR="003F0EEA" w:rsidRPr="00FE549C" w:rsidRDefault="003F0EEA">
            <w:pPr>
              <w:rPr>
                <w:rFonts w:ascii="Arial" w:eastAsia="Arial" w:hAnsi="Arial" w:cs="Arial"/>
                <w:color w:val="000000"/>
                <w:sz w:val="16"/>
              </w:rPr>
            </w:pPr>
          </w:p>
        </w:tc>
        <w:tc>
          <w:tcPr>
            <w:tcW w:w="5325" w:type="dxa"/>
            <w:tcBorders>
              <w:top w:val="nil"/>
              <w:left w:val="nil"/>
              <w:bottom w:val="nil"/>
              <w:right w:val="nil"/>
              <w:tl2br w:val="nil"/>
              <w:tr2bl w:val="nil"/>
            </w:tcBorders>
            <w:shd w:val="clear" w:color="auto" w:fill="FFFFFF"/>
            <w:tcMar>
              <w:left w:w="101" w:type="dxa"/>
              <w:right w:w="101" w:type="dxa"/>
            </w:tcMar>
            <w:vAlign w:val="bottom"/>
          </w:tcPr>
          <w:p w14:paraId="4800B92C" w14:textId="77777777" w:rsidR="003F0EEA" w:rsidRPr="00FE549C" w:rsidRDefault="00FB7D0B">
            <w:pPr>
              <w:rPr>
                <w:rFonts w:ascii="Arial" w:eastAsia="Arial" w:hAnsi="Arial" w:cs="Arial"/>
                <w:color w:val="000000"/>
                <w:sz w:val="16"/>
              </w:rPr>
            </w:pPr>
            <w:r w:rsidRPr="00FE549C">
              <w:rPr>
                <w:rFonts w:ascii="Arial" w:eastAsia="Arial" w:hAnsi="Arial" w:cs="Arial"/>
                <w:color w:val="000000"/>
                <w:sz w:val="16"/>
              </w:rPr>
              <w:t>Other services (Appropriation Bill No. 2)</w:t>
            </w:r>
          </w:p>
        </w:tc>
        <w:tc>
          <w:tcPr>
            <w:tcW w:w="1230" w:type="dxa"/>
            <w:tcBorders>
              <w:top w:val="nil"/>
              <w:left w:val="nil"/>
              <w:bottom w:val="nil"/>
              <w:right w:val="nil"/>
              <w:tl2br w:val="nil"/>
              <w:tr2bl w:val="nil"/>
            </w:tcBorders>
            <w:shd w:val="clear" w:color="auto" w:fill="FFFFFF"/>
            <w:tcMar>
              <w:left w:w="101" w:type="dxa"/>
              <w:right w:w="101" w:type="dxa"/>
            </w:tcMar>
            <w:vAlign w:val="bottom"/>
          </w:tcPr>
          <w:p w14:paraId="5ECCA4E0" w14:textId="77777777" w:rsidR="003F0EEA" w:rsidRPr="00FE549C" w:rsidRDefault="00FB7D0B">
            <w:pPr>
              <w:jc w:val="right"/>
              <w:rPr>
                <w:rFonts w:ascii="Arial" w:eastAsia="Arial" w:hAnsi="Arial" w:cs="Arial"/>
                <w:color w:val="000000"/>
                <w:sz w:val="16"/>
                <w:vertAlign w:val="superscript"/>
              </w:rPr>
            </w:pPr>
            <w:r w:rsidRPr="00FE549C">
              <w:rPr>
                <w:rFonts w:ascii="Arial" w:eastAsia="Arial" w:hAnsi="Arial" w:cs="Arial"/>
                <w:color w:val="000000"/>
                <w:sz w:val="16"/>
              </w:rPr>
              <w:t xml:space="preserve"> - </w:t>
            </w:r>
          </w:p>
        </w:tc>
        <w:tc>
          <w:tcPr>
            <w:tcW w:w="1230" w:type="dxa"/>
            <w:tcBorders>
              <w:top w:val="nil"/>
              <w:left w:val="nil"/>
              <w:bottom w:val="nil"/>
              <w:right w:val="nil"/>
              <w:tl2br w:val="nil"/>
              <w:tr2bl w:val="nil"/>
            </w:tcBorders>
            <w:shd w:val="clear" w:color="auto" w:fill="FFFF00"/>
            <w:tcMar>
              <w:left w:w="101" w:type="dxa"/>
              <w:right w:w="101" w:type="dxa"/>
            </w:tcMar>
            <w:vAlign w:val="bottom"/>
          </w:tcPr>
          <w:p w14:paraId="6BDE01AF" w14:textId="77777777" w:rsidR="003F0EEA" w:rsidRPr="00FE549C" w:rsidRDefault="00FB7D0B">
            <w:pPr>
              <w:jc w:val="right"/>
              <w:rPr>
                <w:rFonts w:ascii="Arial" w:eastAsia="Arial" w:hAnsi="Arial" w:cs="Arial"/>
                <w:color w:val="000000"/>
                <w:sz w:val="16"/>
              </w:rPr>
            </w:pPr>
            <w:r w:rsidRPr="00FE549C">
              <w:rPr>
                <w:rFonts w:ascii="Arial" w:eastAsia="Arial" w:hAnsi="Arial" w:cs="Arial"/>
                <w:color w:val="000000"/>
                <w:sz w:val="16"/>
              </w:rPr>
              <w:t xml:space="preserve"> - </w:t>
            </w:r>
          </w:p>
        </w:tc>
      </w:tr>
      <w:tr w:rsidR="00724034" w14:paraId="63BE4115" w14:textId="77777777">
        <w:trPr>
          <w:trHeight w:val="225"/>
        </w:trPr>
        <w:tc>
          <w:tcPr>
            <w:tcW w:w="285" w:type="dxa"/>
            <w:tcBorders>
              <w:top w:val="nil"/>
              <w:left w:val="nil"/>
              <w:bottom w:val="nil"/>
              <w:right w:val="nil"/>
              <w:tl2br w:val="nil"/>
              <w:tr2bl w:val="nil"/>
            </w:tcBorders>
            <w:shd w:val="clear" w:color="auto" w:fill="FFFFFF"/>
            <w:tcMar>
              <w:left w:w="101" w:type="dxa"/>
              <w:right w:w="101" w:type="dxa"/>
            </w:tcMar>
            <w:vAlign w:val="bottom"/>
          </w:tcPr>
          <w:p w14:paraId="20AA3087" w14:textId="77777777" w:rsidR="003F0EEA" w:rsidRPr="00FE549C" w:rsidRDefault="003F0EEA">
            <w:pPr>
              <w:rPr>
                <w:rFonts w:ascii="Arial" w:eastAsia="Arial" w:hAnsi="Arial" w:cs="Arial"/>
                <w:color w:val="000000"/>
                <w:sz w:val="16"/>
              </w:rPr>
            </w:pPr>
          </w:p>
        </w:tc>
        <w:tc>
          <w:tcPr>
            <w:tcW w:w="5325" w:type="dxa"/>
            <w:tcBorders>
              <w:top w:val="nil"/>
              <w:left w:val="nil"/>
              <w:bottom w:val="nil"/>
              <w:right w:val="nil"/>
              <w:tl2br w:val="nil"/>
              <w:tr2bl w:val="nil"/>
            </w:tcBorders>
            <w:shd w:val="clear" w:color="auto" w:fill="FFFFFF"/>
            <w:tcMar>
              <w:left w:w="101" w:type="dxa"/>
              <w:right w:w="101" w:type="dxa"/>
            </w:tcMar>
            <w:vAlign w:val="bottom"/>
          </w:tcPr>
          <w:p w14:paraId="3C14663D" w14:textId="77777777" w:rsidR="003F0EEA" w:rsidRPr="00FE549C" w:rsidRDefault="00FB7D0B">
            <w:pPr>
              <w:rPr>
                <w:rFonts w:ascii="Arial" w:eastAsia="Arial" w:hAnsi="Arial" w:cs="Arial"/>
                <w:color w:val="000000"/>
                <w:sz w:val="16"/>
              </w:rPr>
            </w:pPr>
            <w:r w:rsidRPr="00FE549C">
              <w:rPr>
                <w:rFonts w:ascii="Arial" w:eastAsia="Arial" w:hAnsi="Arial" w:cs="Arial"/>
                <w:color w:val="000000"/>
                <w:sz w:val="16"/>
              </w:rPr>
              <w:t>Special Appropriations</w:t>
            </w:r>
          </w:p>
        </w:tc>
        <w:tc>
          <w:tcPr>
            <w:tcW w:w="1230" w:type="dxa"/>
            <w:tcBorders>
              <w:top w:val="nil"/>
              <w:left w:val="nil"/>
              <w:bottom w:val="nil"/>
              <w:right w:val="nil"/>
              <w:tl2br w:val="nil"/>
              <w:tr2bl w:val="nil"/>
            </w:tcBorders>
            <w:shd w:val="clear" w:color="auto" w:fill="FFFFFF"/>
            <w:tcMar>
              <w:left w:w="101" w:type="dxa"/>
              <w:right w:w="101" w:type="dxa"/>
            </w:tcMar>
            <w:vAlign w:val="bottom"/>
          </w:tcPr>
          <w:p w14:paraId="75A2F8AA" w14:textId="77777777" w:rsidR="003F0EEA" w:rsidRPr="00FE549C" w:rsidRDefault="00FB7D0B">
            <w:pPr>
              <w:jc w:val="right"/>
              <w:rPr>
                <w:rFonts w:ascii="Arial" w:eastAsia="Arial" w:hAnsi="Arial" w:cs="Arial"/>
                <w:color w:val="000000"/>
                <w:sz w:val="16"/>
                <w:vertAlign w:val="superscript"/>
              </w:rPr>
            </w:pPr>
            <w:r w:rsidRPr="00FE549C">
              <w:rPr>
                <w:rFonts w:ascii="Arial" w:eastAsia="Arial" w:hAnsi="Arial" w:cs="Arial"/>
                <w:color w:val="000000"/>
                <w:sz w:val="16"/>
              </w:rPr>
              <w:t xml:space="preserve"> 5,274,078 </w:t>
            </w:r>
          </w:p>
        </w:tc>
        <w:tc>
          <w:tcPr>
            <w:tcW w:w="1230" w:type="dxa"/>
            <w:tcBorders>
              <w:top w:val="nil"/>
              <w:left w:val="nil"/>
              <w:bottom w:val="nil"/>
              <w:right w:val="nil"/>
              <w:tl2br w:val="nil"/>
              <w:tr2bl w:val="nil"/>
            </w:tcBorders>
            <w:shd w:val="clear" w:color="auto" w:fill="FFFF00"/>
            <w:tcMar>
              <w:left w:w="101" w:type="dxa"/>
              <w:right w:w="101" w:type="dxa"/>
            </w:tcMar>
            <w:vAlign w:val="bottom"/>
          </w:tcPr>
          <w:p w14:paraId="082A8F0B" w14:textId="77777777" w:rsidR="003F0EEA" w:rsidRPr="00FE549C" w:rsidRDefault="00FB7D0B">
            <w:pPr>
              <w:jc w:val="right"/>
              <w:rPr>
                <w:rFonts w:ascii="Arial" w:eastAsia="Arial" w:hAnsi="Arial" w:cs="Arial"/>
                <w:color w:val="000000"/>
                <w:sz w:val="16"/>
              </w:rPr>
            </w:pPr>
            <w:r w:rsidRPr="00FE549C">
              <w:rPr>
                <w:rFonts w:ascii="Arial" w:eastAsia="Arial" w:hAnsi="Arial" w:cs="Arial"/>
                <w:color w:val="000000"/>
                <w:sz w:val="16"/>
              </w:rPr>
              <w:t xml:space="preserve"> 5,361,374 </w:t>
            </w:r>
          </w:p>
        </w:tc>
      </w:tr>
      <w:tr w:rsidR="00724034" w14:paraId="2B37E33F" w14:textId="77777777">
        <w:trPr>
          <w:trHeight w:val="225"/>
        </w:trPr>
        <w:tc>
          <w:tcPr>
            <w:tcW w:w="285" w:type="dxa"/>
            <w:tcBorders>
              <w:top w:val="nil"/>
              <w:left w:val="nil"/>
              <w:bottom w:val="nil"/>
              <w:right w:val="nil"/>
              <w:tl2br w:val="nil"/>
              <w:tr2bl w:val="nil"/>
            </w:tcBorders>
            <w:shd w:val="clear" w:color="auto" w:fill="FFFFFF"/>
            <w:tcMar>
              <w:left w:w="101" w:type="dxa"/>
              <w:right w:w="101" w:type="dxa"/>
            </w:tcMar>
            <w:vAlign w:val="bottom"/>
          </w:tcPr>
          <w:p w14:paraId="14D3A34A" w14:textId="77777777" w:rsidR="003F0EEA" w:rsidRPr="00FE549C" w:rsidRDefault="003F0EEA">
            <w:pPr>
              <w:rPr>
                <w:rFonts w:ascii="Arial" w:eastAsia="Arial" w:hAnsi="Arial" w:cs="Arial"/>
                <w:color w:val="000000"/>
                <w:sz w:val="16"/>
              </w:rPr>
            </w:pPr>
          </w:p>
        </w:tc>
        <w:tc>
          <w:tcPr>
            <w:tcW w:w="5325" w:type="dxa"/>
            <w:tcBorders>
              <w:top w:val="nil"/>
              <w:left w:val="nil"/>
              <w:bottom w:val="nil"/>
              <w:right w:val="nil"/>
              <w:tl2br w:val="nil"/>
              <w:tr2bl w:val="nil"/>
            </w:tcBorders>
            <w:shd w:val="clear" w:color="auto" w:fill="FFFFFF"/>
            <w:tcMar>
              <w:left w:w="101" w:type="dxa"/>
              <w:right w:w="101" w:type="dxa"/>
            </w:tcMar>
            <w:vAlign w:val="bottom"/>
          </w:tcPr>
          <w:p w14:paraId="162C0D80" w14:textId="77777777" w:rsidR="003F0EEA" w:rsidRPr="00FE549C" w:rsidRDefault="00FB7D0B">
            <w:pPr>
              <w:rPr>
                <w:rFonts w:ascii="Arial" w:eastAsia="Arial" w:hAnsi="Arial" w:cs="Arial"/>
                <w:color w:val="000000"/>
                <w:sz w:val="16"/>
              </w:rPr>
            </w:pPr>
            <w:r w:rsidRPr="00FE549C">
              <w:rPr>
                <w:rFonts w:ascii="Arial" w:eastAsia="Arial" w:hAnsi="Arial" w:cs="Arial"/>
                <w:color w:val="000000"/>
                <w:sz w:val="16"/>
              </w:rPr>
              <w:t>Special Accounts</w:t>
            </w:r>
          </w:p>
        </w:tc>
        <w:tc>
          <w:tcPr>
            <w:tcW w:w="1230" w:type="dxa"/>
            <w:tcBorders>
              <w:top w:val="nil"/>
              <w:left w:val="nil"/>
              <w:bottom w:val="nil"/>
              <w:right w:val="nil"/>
              <w:tl2br w:val="nil"/>
              <w:tr2bl w:val="nil"/>
            </w:tcBorders>
            <w:shd w:val="clear" w:color="auto" w:fill="FFFFFF"/>
            <w:tcMar>
              <w:left w:w="101" w:type="dxa"/>
              <w:right w:w="101" w:type="dxa"/>
            </w:tcMar>
            <w:vAlign w:val="bottom"/>
          </w:tcPr>
          <w:p w14:paraId="330EA325" w14:textId="77777777" w:rsidR="003F0EEA" w:rsidRPr="00FE549C" w:rsidRDefault="00FB7D0B">
            <w:pPr>
              <w:jc w:val="right"/>
              <w:rPr>
                <w:rFonts w:ascii="Arial" w:eastAsia="Arial" w:hAnsi="Arial" w:cs="Arial"/>
                <w:color w:val="000000"/>
                <w:sz w:val="16"/>
                <w:vertAlign w:val="superscript"/>
              </w:rPr>
            </w:pPr>
            <w:r w:rsidRPr="00FE549C">
              <w:rPr>
                <w:rFonts w:ascii="Arial" w:eastAsia="Arial" w:hAnsi="Arial" w:cs="Arial"/>
                <w:color w:val="000000"/>
                <w:sz w:val="16"/>
              </w:rPr>
              <w:t xml:space="preserve"> - </w:t>
            </w:r>
          </w:p>
        </w:tc>
        <w:tc>
          <w:tcPr>
            <w:tcW w:w="1230" w:type="dxa"/>
            <w:tcBorders>
              <w:top w:val="nil"/>
              <w:left w:val="nil"/>
              <w:bottom w:val="nil"/>
              <w:right w:val="nil"/>
              <w:tl2br w:val="nil"/>
              <w:tr2bl w:val="nil"/>
            </w:tcBorders>
            <w:shd w:val="clear" w:color="auto" w:fill="FFFF00"/>
            <w:tcMar>
              <w:left w:w="101" w:type="dxa"/>
              <w:right w:w="101" w:type="dxa"/>
            </w:tcMar>
            <w:vAlign w:val="bottom"/>
          </w:tcPr>
          <w:p w14:paraId="53958C65" w14:textId="77777777" w:rsidR="003F0EEA" w:rsidRPr="00FE549C" w:rsidRDefault="00FB7D0B">
            <w:pPr>
              <w:jc w:val="right"/>
              <w:rPr>
                <w:rFonts w:ascii="Arial" w:eastAsia="Arial" w:hAnsi="Arial" w:cs="Arial"/>
                <w:color w:val="000000"/>
                <w:sz w:val="16"/>
              </w:rPr>
            </w:pPr>
            <w:r w:rsidRPr="00FE549C">
              <w:rPr>
                <w:rFonts w:ascii="Arial" w:eastAsia="Arial" w:hAnsi="Arial" w:cs="Arial"/>
                <w:color w:val="000000"/>
                <w:sz w:val="16"/>
              </w:rPr>
              <w:t xml:space="preserve"> - </w:t>
            </w:r>
          </w:p>
        </w:tc>
      </w:tr>
      <w:tr w:rsidR="00724034" w14:paraId="08A2AAAF" w14:textId="77777777">
        <w:trPr>
          <w:trHeight w:val="225"/>
        </w:trPr>
        <w:tc>
          <w:tcPr>
            <w:tcW w:w="285" w:type="dxa"/>
            <w:tcBorders>
              <w:top w:val="nil"/>
              <w:left w:val="nil"/>
              <w:bottom w:val="nil"/>
              <w:right w:val="nil"/>
              <w:tl2br w:val="nil"/>
              <w:tr2bl w:val="nil"/>
            </w:tcBorders>
            <w:shd w:val="clear" w:color="auto" w:fill="FFFFFF"/>
            <w:tcMar>
              <w:left w:w="101" w:type="dxa"/>
              <w:right w:w="101" w:type="dxa"/>
            </w:tcMar>
            <w:vAlign w:val="bottom"/>
          </w:tcPr>
          <w:p w14:paraId="1A15B896" w14:textId="77777777" w:rsidR="003F0EEA" w:rsidRPr="00FE549C" w:rsidRDefault="003F0EEA">
            <w:pPr>
              <w:rPr>
                <w:rFonts w:ascii="Arial" w:eastAsia="Arial" w:hAnsi="Arial" w:cs="Arial"/>
                <w:color w:val="000000"/>
                <w:sz w:val="16"/>
              </w:rPr>
            </w:pPr>
          </w:p>
        </w:tc>
        <w:tc>
          <w:tcPr>
            <w:tcW w:w="5325" w:type="dxa"/>
            <w:tcBorders>
              <w:top w:val="nil"/>
              <w:left w:val="nil"/>
              <w:bottom w:val="nil"/>
              <w:right w:val="nil"/>
              <w:tl2br w:val="nil"/>
              <w:tr2bl w:val="nil"/>
            </w:tcBorders>
            <w:shd w:val="clear" w:color="auto" w:fill="FFFFFF"/>
            <w:tcMar>
              <w:left w:w="101" w:type="dxa"/>
              <w:right w:w="101" w:type="dxa"/>
            </w:tcMar>
            <w:vAlign w:val="bottom"/>
          </w:tcPr>
          <w:p w14:paraId="4E571E05" w14:textId="77777777" w:rsidR="003F0EEA" w:rsidRPr="00FE549C" w:rsidRDefault="00FB7D0B">
            <w:pPr>
              <w:rPr>
                <w:rFonts w:ascii="Arial" w:eastAsia="Arial" w:hAnsi="Arial" w:cs="Arial"/>
                <w:color w:val="000000"/>
                <w:sz w:val="16"/>
              </w:rPr>
            </w:pPr>
            <w:r w:rsidRPr="00FE549C">
              <w:rPr>
                <w:rFonts w:ascii="Arial" w:eastAsia="Arial" w:hAnsi="Arial" w:cs="Arial"/>
                <w:color w:val="000000"/>
                <w:sz w:val="16"/>
              </w:rPr>
              <w:t>Expenses not requiring appropriation in the Budget year</w:t>
            </w:r>
          </w:p>
        </w:tc>
        <w:tc>
          <w:tcPr>
            <w:tcW w:w="1230" w:type="dxa"/>
            <w:tcBorders>
              <w:top w:val="nil"/>
              <w:left w:val="nil"/>
              <w:bottom w:val="nil"/>
              <w:right w:val="nil"/>
              <w:tl2br w:val="nil"/>
              <w:tr2bl w:val="nil"/>
            </w:tcBorders>
            <w:shd w:val="clear" w:color="auto" w:fill="FFFFFF"/>
            <w:tcMar>
              <w:left w:w="101" w:type="dxa"/>
              <w:right w:w="101" w:type="dxa"/>
            </w:tcMar>
            <w:vAlign w:val="bottom"/>
          </w:tcPr>
          <w:p w14:paraId="7F278340" w14:textId="77777777" w:rsidR="003F0EEA" w:rsidRPr="00FE549C" w:rsidRDefault="00FB7D0B">
            <w:pPr>
              <w:jc w:val="right"/>
              <w:rPr>
                <w:rFonts w:ascii="Arial" w:eastAsia="Arial" w:hAnsi="Arial" w:cs="Arial"/>
                <w:color w:val="000000"/>
                <w:sz w:val="16"/>
                <w:vertAlign w:val="superscript"/>
              </w:rPr>
            </w:pPr>
            <w:r w:rsidRPr="00FE549C">
              <w:rPr>
                <w:rFonts w:ascii="Arial" w:eastAsia="Arial" w:hAnsi="Arial" w:cs="Arial"/>
                <w:color w:val="000000"/>
                <w:sz w:val="16"/>
              </w:rPr>
              <w:t xml:space="preserve"> 32,600 </w:t>
            </w:r>
          </w:p>
        </w:tc>
        <w:tc>
          <w:tcPr>
            <w:tcW w:w="1230" w:type="dxa"/>
            <w:tcBorders>
              <w:top w:val="nil"/>
              <w:left w:val="nil"/>
              <w:bottom w:val="nil"/>
              <w:right w:val="nil"/>
              <w:tl2br w:val="nil"/>
              <w:tr2bl w:val="nil"/>
            </w:tcBorders>
            <w:shd w:val="clear" w:color="auto" w:fill="FFFF00"/>
            <w:tcMar>
              <w:left w:w="101" w:type="dxa"/>
              <w:right w:w="101" w:type="dxa"/>
            </w:tcMar>
            <w:vAlign w:val="bottom"/>
          </w:tcPr>
          <w:p w14:paraId="29E31B7F" w14:textId="77777777" w:rsidR="003F0EEA" w:rsidRPr="00FE549C" w:rsidRDefault="00FB7D0B">
            <w:pPr>
              <w:jc w:val="right"/>
              <w:rPr>
                <w:rFonts w:ascii="Arial" w:eastAsia="Arial" w:hAnsi="Arial" w:cs="Arial"/>
                <w:color w:val="000000"/>
                <w:sz w:val="16"/>
              </w:rPr>
            </w:pPr>
            <w:r w:rsidRPr="00FE549C">
              <w:rPr>
                <w:rFonts w:ascii="Arial" w:eastAsia="Arial" w:hAnsi="Arial" w:cs="Arial"/>
                <w:color w:val="000000"/>
                <w:sz w:val="16"/>
              </w:rPr>
              <w:t xml:space="preserve"> 57,400 </w:t>
            </w:r>
          </w:p>
        </w:tc>
      </w:tr>
      <w:tr w:rsidR="00FB7D0B" w14:paraId="01D4B5CF" w14:textId="77777777" w:rsidTr="00FB7D0B">
        <w:trPr>
          <w:trHeight w:val="225"/>
        </w:trPr>
        <w:tc>
          <w:tcPr>
            <w:tcW w:w="5610" w:type="dxa"/>
            <w:gridSpan w:val="2"/>
            <w:tcBorders>
              <w:top w:val="nil"/>
              <w:left w:val="nil"/>
              <w:bottom w:val="nil"/>
              <w:right w:val="nil"/>
              <w:tl2br w:val="nil"/>
              <w:tr2bl w:val="nil"/>
            </w:tcBorders>
            <w:shd w:val="clear" w:color="auto" w:fill="FFFFFF"/>
            <w:tcMar>
              <w:left w:w="101" w:type="dxa"/>
              <w:right w:w="101" w:type="dxa"/>
            </w:tcMar>
            <w:vAlign w:val="bottom"/>
          </w:tcPr>
          <w:p w14:paraId="637AC35B" w14:textId="77777777" w:rsidR="003F0EEA" w:rsidRPr="00FE549C" w:rsidRDefault="00FB7D0B">
            <w:pPr>
              <w:rPr>
                <w:rFonts w:ascii="Arial" w:eastAsia="Arial" w:hAnsi="Arial" w:cs="Arial"/>
                <w:color w:val="000000"/>
                <w:sz w:val="16"/>
              </w:rPr>
            </w:pPr>
            <w:r w:rsidRPr="00FE549C">
              <w:rPr>
                <w:rFonts w:ascii="Arial" w:eastAsia="Arial" w:hAnsi="Arial" w:cs="Arial"/>
                <w:color w:val="000000"/>
                <w:sz w:val="16"/>
              </w:rPr>
              <w:t>Departmental Expenses</w:t>
            </w:r>
          </w:p>
        </w:tc>
        <w:tc>
          <w:tcPr>
            <w:tcW w:w="1230" w:type="dxa"/>
            <w:tcBorders>
              <w:top w:val="nil"/>
              <w:left w:val="nil"/>
              <w:bottom w:val="nil"/>
              <w:right w:val="nil"/>
              <w:tl2br w:val="nil"/>
              <w:tr2bl w:val="nil"/>
            </w:tcBorders>
            <w:shd w:val="clear" w:color="auto" w:fill="FFFFFF"/>
            <w:tcMar>
              <w:left w:w="101" w:type="dxa"/>
              <w:right w:w="101" w:type="dxa"/>
            </w:tcMar>
            <w:vAlign w:val="bottom"/>
          </w:tcPr>
          <w:p w14:paraId="77A55458" w14:textId="77777777" w:rsidR="003F0EEA" w:rsidRPr="00FE549C" w:rsidRDefault="003F0EEA">
            <w:pPr>
              <w:jc w:val="right"/>
              <w:rPr>
                <w:rFonts w:ascii="Arial" w:eastAsia="Arial" w:hAnsi="Arial" w:cs="Arial"/>
                <w:color w:val="000000"/>
                <w:sz w:val="16"/>
                <w:vertAlign w:val="superscript"/>
              </w:rPr>
            </w:pPr>
          </w:p>
        </w:tc>
        <w:tc>
          <w:tcPr>
            <w:tcW w:w="1230" w:type="dxa"/>
            <w:tcBorders>
              <w:top w:val="nil"/>
              <w:left w:val="nil"/>
              <w:bottom w:val="nil"/>
              <w:right w:val="nil"/>
              <w:tl2br w:val="nil"/>
              <w:tr2bl w:val="nil"/>
            </w:tcBorders>
            <w:shd w:val="clear" w:color="auto" w:fill="FFFF00"/>
            <w:tcMar>
              <w:left w:w="101" w:type="dxa"/>
              <w:right w:w="101" w:type="dxa"/>
            </w:tcMar>
            <w:vAlign w:val="bottom"/>
          </w:tcPr>
          <w:p w14:paraId="1CA1AF74" w14:textId="77777777" w:rsidR="003F0EEA" w:rsidRPr="00FE549C" w:rsidRDefault="003F0EEA">
            <w:pPr>
              <w:jc w:val="right"/>
              <w:rPr>
                <w:rFonts w:ascii="Arial" w:eastAsia="Arial" w:hAnsi="Arial" w:cs="Arial"/>
                <w:color w:val="000000"/>
                <w:sz w:val="16"/>
                <w:vertAlign w:val="superscript"/>
              </w:rPr>
            </w:pPr>
          </w:p>
        </w:tc>
      </w:tr>
      <w:tr w:rsidR="00724034" w14:paraId="7935F31D" w14:textId="77777777">
        <w:trPr>
          <w:trHeight w:val="225"/>
        </w:trPr>
        <w:tc>
          <w:tcPr>
            <w:tcW w:w="285" w:type="dxa"/>
            <w:tcBorders>
              <w:top w:val="nil"/>
              <w:left w:val="nil"/>
              <w:bottom w:val="nil"/>
              <w:right w:val="nil"/>
              <w:tl2br w:val="nil"/>
              <w:tr2bl w:val="nil"/>
            </w:tcBorders>
            <w:shd w:val="clear" w:color="auto" w:fill="FFFFFF"/>
            <w:tcMar>
              <w:left w:w="101" w:type="dxa"/>
              <w:right w:w="101" w:type="dxa"/>
            </w:tcMar>
            <w:vAlign w:val="bottom"/>
          </w:tcPr>
          <w:p w14:paraId="584F704F" w14:textId="77777777" w:rsidR="003F0EEA" w:rsidRPr="00FE549C" w:rsidRDefault="003F0EEA">
            <w:pPr>
              <w:rPr>
                <w:rFonts w:ascii="Arial" w:eastAsia="Arial" w:hAnsi="Arial" w:cs="Arial"/>
                <w:color w:val="000000"/>
                <w:sz w:val="16"/>
                <w:vertAlign w:val="superscript"/>
              </w:rPr>
            </w:pPr>
          </w:p>
        </w:tc>
        <w:tc>
          <w:tcPr>
            <w:tcW w:w="5325" w:type="dxa"/>
            <w:tcBorders>
              <w:top w:val="nil"/>
              <w:left w:val="nil"/>
              <w:bottom w:val="nil"/>
              <w:right w:val="nil"/>
              <w:tl2br w:val="nil"/>
              <w:tr2bl w:val="nil"/>
            </w:tcBorders>
            <w:shd w:val="clear" w:color="auto" w:fill="FFFFFF"/>
            <w:tcMar>
              <w:left w:w="101" w:type="dxa"/>
              <w:right w:w="101" w:type="dxa"/>
            </w:tcMar>
            <w:vAlign w:val="bottom"/>
          </w:tcPr>
          <w:p w14:paraId="7A9463AF" w14:textId="77777777" w:rsidR="003F0EEA" w:rsidRPr="00FE549C" w:rsidRDefault="00FB7D0B">
            <w:pPr>
              <w:rPr>
                <w:rFonts w:ascii="Arial" w:eastAsia="Arial" w:hAnsi="Arial" w:cs="Arial"/>
                <w:color w:val="000000"/>
                <w:sz w:val="16"/>
                <w:vertAlign w:val="superscript"/>
              </w:rPr>
            </w:pPr>
            <w:r w:rsidRPr="00FE549C">
              <w:rPr>
                <w:rFonts w:ascii="Arial" w:eastAsia="Arial" w:hAnsi="Arial" w:cs="Arial"/>
                <w:color w:val="000000"/>
                <w:sz w:val="16"/>
              </w:rPr>
              <w:t>Departmental appropriation</w:t>
            </w:r>
            <w:r w:rsidRPr="00FE549C">
              <w:rPr>
                <w:rFonts w:ascii="Arial" w:eastAsia="Arial" w:hAnsi="Arial" w:cs="Arial"/>
                <w:color w:val="000000"/>
                <w:sz w:val="16"/>
                <w:vertAlign w:val="superscript"/>
              </w:rPr>
              <w:t>1 </w:t>
            </w:r>
          </w:p>
        </w:tc>
        <w:tc>
          <w:tcPr>
            <w:tcW w:w="1230" w:type="dxa"/>
            <w:tcBorders>
              <w:top w:val="nil"/>
              <w:left w:val="nil"/>
              <w:bottom w:val="nil"/>
              <w:right w:val="nil"/>
              <w:tl2br w:val="nil"/>
              <w:tr2bl w:val="nil"/>
            </w:tcBorders>
            <w:shd w:val="clear" w:color="auto" w:fill="FFFFFF"/>
            <w:tcMar>
              <w:left w:w="101" w:type="dxa"/>
              <w:right w:w="101" w:type="dxa"/>
            </w:tcMar>
            <w:vAlign w:val="bottom"/>
          </w:tcPr>
          <w:p w14:paraId="29C13161" w14:textId="77777777" w:rsidR="003F0EEA" w:rsidRPr="00FE549C" w:rsidRDefault="00FB7D0B">
            <w:pPr>
              <w:jc w:val="right"/>
              <w:rPr>
                <w:rFonts w:ascii="Arial" w:eastAsia="Arial" w:hAnsi="Arial" w:cs="Arial"/>
                <w:color w:val="000000"/>
                <w:sz w:val="16"/>
                <w:vertAlign w:val="superscript"/>
              </w:rPr>
            </w:pPr>
            <w:r w:rsidRPr="00FE549C">
              <w:rPr>
                <w:rFonts w:ascii="Arial" w:eastAsia="Arial" w:hAnsi="Arial" w:cs="Arial"/>
                <w:color w:val="000000"/>
                <w:sz w:val="16"/>
              </w:rPr>
              <w:t xml:space="preserve"> 127,483 </w:t>
            </w:r>
          </w:p>
        </w:tc>
        <w:tc>
          <w:tcPr>
            <w:tcW w:w="1230" w:type="dxa"/>
            <w:tcBorders>
              <w:top w:val="nil"/>
              <w:left w:val="nil"/>
              <w:bottom w:val="nil"/>
              <w:right w:val="nil"/>
              <w:tl2br w:val="nil"/>
              <w:tr2bl w:val="nil"/>
            </w:tcBorders>
            <w:shd w:val="clear" w:color="auto" w:fill="FFFF00"/>
            <w:tcMar>
              <w:left w:w="101" w:type="dxa"/>
              <w:right w:w="101" w:type="dxa"/>
            </w:tcMar>
            <w:vAlign w:val="bottom"/>
          </w:tcPr>
          <w:p w14:paraId="73901301" w14:textId="77777777" w:rsidR="003F0EEA" w:rsidRPr="00FE549C" w:rsidRDefault="00FB7D0B">
            <w:pPr>
              <w:jc w:val="right"/>
              <w:rPr>
                <w:rFonts w:ascii="Arial" w:eastAsia="Arial" w:hAnsi="Arial" w:cs="Arial"/>
                <w:color w:val="000000"/>
                <w:sz w:val="16"/>
              </w:rPr>
            </w:pPr>
            <w:r w:rsidRPr="00FE549C">
              <w:rPr>
                <w:rFonts w:ascii="Arial" w:eastAsia="Arial" w:hAnsi="Arial" w:cs="Arial"/>
                <w:color w:val="000000"/>
                <w:sz w:val="16"/>
              </w:rPr>
              <w:t xml:space="preserve"> 124,795 </w:t>
            </w:r>
          </w:p>
        </w:tc>
      </w:tr>
      <w:tr w:rsidR="00724034" w14:paraId="0B76BD37" w14:textId="77777777">
        <w:trPr>
          <w:trHeight w:val="240"/>
        </w:trPr>
        <w:tc>
          <w:tcPr>
            <w:tcW w:w="285" w:type="dxa"/>
            <w:tcBorders>
              <w:top w:val="nil"/>
              <w:left w:val="nil"/>
              <w:bottom w:val="nil"/>
              <w:right w:val="nil"/>
              <w:tl2br w:val="nil"/>
              <w:tr2bl w:val="nil"/>
            </w:tcBorders>
            <w:shd w:val="clear" w:color="auto" w:fill="FFFFFF"/>
            <w:tcMar>
              <w:left w:w="101" w:type="dxa"/>
              <w:right w:w="101" w:type="dxa"/>
            </w:tcMar>
            <w:vAlign w:val="bottom"/>
          </w:tcPr>
          <w:p w14:paraId="25BC9327" w14:textId="77777777" w:rsidR="003F0EEA" w:rsidRPr="00FE549C" w:rsidRDefault="003F0EEA">
            <w:pPr>
              <w:rPr>
                <w:rFonts w:ascii="Arial" w:eastAsia="Arial" w:hAnsi="Arial" w:cs="Arial"/>
                <w:color w:val="000000"/>
                <w:sz w:val="16"/>
              </w:rPr>
            </w:pPr>
          </w:p>
        </w:tc>
        <w:tc>
          <w:tcPr>
            <w:tcW w:w="5325" w:type="dxa"/>
            <w:tcBorders>
              <w:top w:val="nil"/>
              <w:left w:val="nil"/>
              <w:bottom w:val="nil"/>
              <w:right w:val="nil"/>
              <w:tl2br w:val="nil"/>
              <w:tr2bl w:val="nil"/>
            </w:tcBorders>
            <w:shd w:val="clear" w:color="auto" w:fill="FFFFFF"/>
            <w:tcMar>
              <w:left w:w="101" w:type="dxa"/>
              <w:right w:w="101" w:type="dxa"/>
            </w:tcMar>
            <w:vAlign w:val="bottom"/>
          </w:tcPr>
          <w:p w14:paraId="4E65FD22" w14:textId="77777777" w:rsidR="003F0EEA" w:rsidRPr="00FE549C" w:rsidRDefault="00FB7D0B">
            <w:pPr>
              <w:rPr>
                <w:rFonts w:ascii="Arial" w:eastAsia="Arial" w:hAnsi="Arial" w:cs="Arial"/>
                <w:color w:val="000000"/>
                <w:sz w:val="16"/>
              </w:rPr>
            </w:pPr>
            <w:r w:rsidRPr="00FE549C">
              <w:rPr>
                <w:rFonts w:ascii="Arial" w:eastAsia="Arial" w:hAnsi="Arial" w:cs="Arial"/>
                <w:color w:val="000000"/>
                <w:sz w:val="16"/>
              </w:rPr>
              <w:t>Expenses not requiring appropriation in the Budget year</w:t>
            </w:r>
            <w:r w:rsidRPr="00FE549C">
              <w:rPr>
                <w:rFonts w:ascii="Arial" w:eastAsia="Arial" w:hAnsi="Arial" w:cs="Arial"/>
                <w:color w:val="000000"/>
                <w:sz w:val="16"/>
                <w:vertAlign w:val="superscript"/>
              </w:rPr>
              <w:t>2 </w:t>
            </w:r>
          </w:p>
        </w:tc>
        <w:tc>
          <w:tcPr>
            <w:tcW w:w="1230"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39ACE382" w14:textId="77777777" w:rsidR="003F0EEA" w:rsidRPr="00FE549C" w:rsidRDefault="00FB7D0B">
            <w:pPr>
              <w:jc w:val="right"/>
              <w:rPr>
                <w:rFonts w:ascii="Arial" w:eastAsia="Arial" w:hAnsi="Arial" w:cs="Arial"/>
                <w:color w:val="000000"/>
                <w:sz w:val="16"/>
                <w:vertAlign w:val="superscript"/>
              </w:rPr>
            </w:pPr>
            <w:r w:rsidRPr="00FE549C">
              <w:rPr>
                <w:rFonts w:ascii="Arial" w:eastAsia="Arial" w:hAnsi="Arial" w:cs="Arial"/>
                <w:color w:val="000000"/>
                <w:sz w:val="16"/>
              </w:rPr>
              <w:t xml:space="preserve"> 12,893 </w:t>
            </w:r>
          </w:p>
        </w:tc>
        <w:tc>
          <w:tcPr>
            <w:tcW w:w="1230" w:type="dxa"/>
            <w:tcBorders>
              <w:top w:val="nil"/>
              <w:left w:val="nil"/>
              <w:bottom w:val="single" w:sz="6" w:space="0" w:color="000000"/>
              <w:right w:val="nil"/>
              <w:tl2br w:val="nil"/>
              <w:tr2bl w:val="nil"/>
            </w:tcBorders>
            <w:shd w:val="clear" w:color="auto" w:fill="FFFF00"/>
            <w:tcMar>
              <w:left w:w="101" w:type="dxa"/>
              <w:right w:w="101" w:type="dxa"/>
            </w:tcMar>
            <w:vAlign w:val="bottom"/>
          </w:tcPr>
          <w:p w14:paraId="38A0CA1E" w14:textId="77777777" w:rsidR="003F0EEA" w:rsidRPr="00FE549C" w:rsidRDefault="00FB7D0B">
            <w:pPr>
              <w:jc w:val="right"/>
              <w:rPr>
                <w:rFonts w:ascii="Arial" w:eastAsia="Arial" w:hAnsi="Arial" w:cs="Arial"/>
                <w:color w:val="000000"/>
                <w:sz w:val="16"/>
              </w:rPr>
            </w:pPr>
            <w:r w:rsidRPr="00FE549C">
              <w:rPr>
                <w:rFonts w:ascii="Arial" w:eastAsia="Arial" w:hAnsi="Arial" w:cs="Arial"/>
                <w:color w:val="000000"/>
                <w:sz w:val="16"/>
              </w:rPr>
              <w:t xml:space="preserve"> 14,407 </w:t>
            </w:r>
          </w:p>
        </w:tc>
      </w:tr>
      <w:tr w:rsidR="00FB7D0B" w14:paraId="0A40912E" w14:textId="77777777" w:rsidTr="00FB7D0B">
        <w:trPr>
          <w:trHeight w:val="255"/>
        </w:trPr>
        <w:tc>
          <w:tcPr>
            <w:tcW w:w="5610" w:type="dxa"/>
            <w:gridSpan w:val="2"/>
            <w:tcBorders>
              <w:top w:val="nil"/>
              <w:left w:val="nil"/>
              <w:bottom w:val="nil"/>
              <w:right w:val="nil"/>
              <w:tl2br w:val="nil"/>
              <w:tr2bl w:val="nil"/>
            </w:tcBorders>
            <w:shd w:val="clear" w:color="auto" w:fill="FFFFFF"/>
            <w:tcMar>
              <w:left w:w="101" w:type="dxa"/>
              <w:right w:w="101" w:type="dxa"/>
            </w:tcMar>
            <w:vAlign w:val="bottom"/>
          </w:tcPr>
          <w:p w14:paraId="65459210" w14:textId="77777777" w:rsidR="003F0EEA" w:rsidRPr="00FE549C" w:rsidRDefault="00FB7D0B">
            <w:pPr>
              <w:rPr>
                <w:rFonts w:ascii="Arial" w:eastAsia="Arial" w:hAnsi="Arial" w:cs="Arial"/>
                <w:color w:val="000000"/>
                <w:sz w:val="16"/>
              </w:rPr>
            </w:pPr>
            <w:r w:rsidRPr="00FE549C">
              <w:rPr>
                <w:rFonts w:ascii="Arial" w:eastAsia="Arial" w:hAnsi="Arial" w:cs="Arial"/>
                <w:b/>
                <w:color w:val="000000"/>
                <w:sz w:val="16"/>
              </w:rPr>
              <w:t>Total expenses for Outcome 2</w:t>
            </w:r>
          </w:p>
        </w:tc>
        <w:tc>
          <w:tcPr>
            <w:tcW w:w="1230"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39015AA9" w14:textId="77777777" w:rsidR="003F0EEA" w:rsidRPr="00FE549C" w:rsidRDefault="00FB7D0B">
            <w:pPr>
              <w:jc w:val="right"/>
              <w:rPr>
                <w:rFonts w:ascii="Arial" w:eastAsia="Arial" w:hAnsi="Arial" w:cs="Arial"/>
                <w:b/>
                <w:color w:val="000000"/>
                <w:sz w:val="16"/>
                <w:vertAlign w:val="superscript"/>
              </w:rPr>
            </w:pPr>
            <w:r w:rsidRPr="00FE549C">
              <w:rPr>
                <w:rFonts w:ascii="Arial" w:eastAsia="Arial" w:hAnsi="Arial" w:cs="Arial"/>
                <w:b/>
                <w:color w:val="000000"/>
                <w:sz w:val="16"/>
              </w:rPr>
              <w:t>5,454,010 </w:t>
            </w:r>
          </w:p>
        </w:tc>
        <w:tc>
          <w:tcPr>
            <w:tcW w:w="1230" w:type="dxa"/>
            <w:tcBorders>
              <w:top w:val="single" w:sz="6" w:space="0" w:color="000000"/>
              <w:left w:val="nil"/>
              <w:bottom w:val="single" w:sz="6" w:space="0" w:color="000000"/>
              <w:right w:val="nil"/>
              <w:tl2br w:val="nil"/>
              <w:tr2bl w:val="nil"/>
            </w:tcBorders>
            <w:shd w:val="clear" w:color="auto" w:fill="FFFF00"/>
            <w:tcMar>
              <w:left w:w="101" w:type="dxa"/>
              <w:right w:w="101" w:type="dxa"/>
            </w:tcMar>
            <w:vAlign w:val="bottom"/>
          </w:tcPr>
          <w:p w14:paraId="03FFDFFD" w14:textId="77777777" w:rsidR="003F0EEA" w:rsidRPr="00FE549C" w:rsidRDefault="00FB7D0B">
            <w:pPr>
              <w:jc w:val="right"/>
              <w:rPr>
                <w:rFonts w:ascii="Arial" w:eastAsia="Arial" w:hAnsi="Arial" w:cs="Arial"/>
                <w:b/>
                <w:color w:val="000000"/>
                <w:sz w:val="16"/>
              </w:rPr>
            </w:pPr>
            <w:r w:rsidRPr="00FE549C">
              <w:rPr>
                <w:rFonts w:ascii="Arial" w:eastAsia="Arial" w:hAnsi="Arial" w:cs="Arial"/>
                <w:b/>
                <w:color w:val="000000"/>
                <w:sz w:val="16"/>
              </w:rPr>
              <w:t>5,565,255 </w:t>
            </w:r>
          </w:p>
        </w:tc>
      </w:tr>
      <w:tr w:rsidR="00724034" w14:paraId="0E2C16A7" w14:textId="77777777">
        <w:trPr>
          <w:trHeight w:val="225"/>
        </w:trPr>
        <w:tc>
          <w:tcPr>
            <w:tcW w:w="28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6A0E41E3" w14:textId="77777777" w:rsidR="003F0EEA" w:rsidRPr="00FE549C" w:rsidRDefault="003F0EEA">
            <w:pPr>
              <w:rPr>
                <w:rFonts w:ascii="Arial" w:eastAsia="Arial" w:hAnsi="Arial" w:cs="Arial"/>
                <w:b/>
                <w:color w:val="000000"/>
                <w:sz w:val="16"/>
              </w:rPr>
            </w:pPr>
          </w:p>
        </w:tc>
        <w:tc>
          <w:tcPr>
            <w:tcW w:w="532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400299CD" w14:textId="77777777" w:rsidR="003F0EEA" w:rsidRPr="00FE549C" w:rsidRDefault="003F0EEA">
            <w:pPr>
              <w:rPr>
                <w:rFonts w:ascii="Arial" w:eastAsia="Arial" w:hAnsi="Arial" w:cs="Arial"/>
                <w:color w:val="000000"/>
                <w:sz w:val="16"/>
              </w:rPr>
            </w:pPr>
          </w:p>
        </w:tc>
        <w:tc>
          <w:tcPr>
            <w:tcW w:w="1230"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3ED31C5F" w14:textId="77777777" w:rsidR="003F0EEA" w:rsidRPr="00FE549C" w:rsidRDefault="00FB7D0B">
            <w:pPr>
              <w:jc w:val="right"/>
              <w:rPr>
                <w:rFonts w:ascii="Arial" w:eastAsia="Arial" w:hAnsi="Arial" w:cs="Arial"/>
                <w:color w:val="000000"/>
                <w:sz w:val="16"/>
                <w:vertAlign w:val="superscript"/>
              </w:rPr>
            </w:pPr>
            <w:r w:rsidRPr="00FE549C">
              <w:rPr>
                <w:rFonts w:ascii="Arial" w:eastAsia="Arial" w:hAnsi="Arial" w:cs="Arial"/>
                <w:color w:val="000000"/>
                <w:sz w:val="16"/>
              </w:rPr>
              <w:t>2013-14</w:t>
            </w:r>
          </w:p>
        </w:tc>
        <w:tc>
          <w:tcPr>
            <w:tcW w:w="1230" w:type="dxa"/>
            <w:tcBorders>
              <w:top w:val="single" w:sz="6" w:space="0" w:color="000000"/>
              <w:left w:val="nil"/>
              <w:bottom w:val="single" w:sz="6" w:space="0" w:color="000000"/>
              <w:right w:val="nil"/>
              <w:tl2br w:val="nil"/>
              <w:tr2bl w:val="nil"/>
            </w:tcBorders>
            <w:shd w:val="clear" w:color="auto" w:fill="FFFF00"/>
            <w:tcMar>
              <w:left w:w="101" w:type="dxa"/>
              <w:right w:w="101" w:type="dxa"/>
            </w:tcMar>
            <w:vAlign w:val="bottom"/>
          </w:tcPr>
          <w:p w14:paraId="43F44C9E" w14:textId="77777777" w:rsidR="003F0EEA" w:rsidRPr="00FE549C" w:rsidRDefault="00FB7D0B">
            <w:pPr>
              <w:jc w:val="right"/>
              <w:rPr>
                <w:rFonts w:ascii="Arial" w:eastAsia="Arial" w:hAnsi="Arial" w:cs="Arial"/>
                <w:color w:val="000000"/>
                <w:sz w:val="16"/>
              </w:rPr>
            </w:pPr>
            <w:r w:rsidRPr="00FE549C">
              <w:rPr>
                <w:rFonts w:ascii="Arial" w:eastAsia="Arial" w:hAnsi="Arial" w:cs="Arial"/>
                <w:color w:val="000000"/>
                <w:sz w:val="16"/>
              </w:rPr>
              <w:t>2014-15</w:t>
            </w:r>
          </w:p>
        </w:tc>
      </w:tr>
      <w:tr w:rsidR="00FB7D0B" w14:paraId="591D4882" w14:textId="77777777" w:rsidTr="00FB7D0B">
        <w:trPr>
          <w:trHeight w:val="225"/>
        </w:trPr>
        <w:tc>
          <w:tcPr>
            <w:tcW w:w="5610" w:type="dxa"/>
            <w:gridSpan w:val="2"/>
            <w:tcBorders>
              <w:top w:val="nil"/>
              <w:left w:val="nil"/>
              <w:bottom w:val="single" w:sz="6" w:space="0" w:color="000000"/>
              <w:right w:val="nil"/>
              <w:tl2br w:val="nil"/>
              <w:tr2bl w:val="nil"/>
            </w:tcBorders>
            <w:shd w:val="clear" w:color="auto" w:fill="FFFFFF"/>
            <w:tcMar>
              <w:left w:w="101" w:type="dxa"/>
              <w:right w:w="101" w:type="dxa"/>
            </w:tcMar>
            <w:vAlign w:val="bottom"/>
          </w:tcPr>
          <w:p w14:paraId="4C6DC28F" w14:textId="77777777" w:rsidR="003F0EEA" w:rsidRPr="00FE549C" w:rsidRDefault="00FB7D0B">
            <w:pPr>
              <w:rPr>
                <w:rFonts w:ascii="Arial" w:eastAsia="Arial" w:hAnsi="Arial" w:cs="Arial"/>
                <w:color w:val="000000"/>
                <w:sz w:val="16"/>
              </w:rPr>
            </w:pPr>
            <w:r w:rsidRPr="00FE549C">
              <w:rPr>
                <w:rFonts w:ascii="Arial" w:eastAsia="Arial" w:hAnsi="Arial" w:cs="Arial"/>
                <w:b/>
                <w:color w:val="000000"/>
                <w:sz w:val="16"/>
              </w:rPr>
              <w:t>Average Staffing Level (number)</w:t>
            </w:r>
            <w:r w:rsidRPr="00FE549C">
              <w:rPr>
                <w:rFonts w:ascii="Arial" w:eastAsia="Arial" w:hAnsi="Arial" w:cs="Arial"/>
                <w:color w:val="000000"/>
                <w:sz w:val="16"/>
                <w:vertAlign w:val="superscript"/>
              </w:rPr>
              <w:t>3 </w:t>
            </w:r>
          </w:p>
        </w:tc>
        <w:tc>
          <w:tcPr>
            <w:tcW w:w="1230"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29CDC323" w14:textId="77777777" w:rsidR="003F0EEA" w:rsidRPr="00FE549C" w:rsidRDefault="00FB7D0B">
            <w:pPr>
              <w:jc w:val="right"/>
              <w:rPr>
                <w:rFonts w:ascii="Arial" w:eastAsia="Arial" w:hAnsi="Arial" w:cs="Arial"/>
                <w:color w:val="000000"/>
                <w:sz w:val="16"/>
                <w:vertAlign w:val="superscript"/>
              </w:rPr>
            </w:pPr>
            <w:r w:rsidRPr="00FE549C">
              <w:rPr>
                <w:rFonts w:ascii="Arial" w:eastAsia="Arial" w:hAnsi="Arial" w:cs="Arial"/>
                <w:color w:val="000000"/>
                <w:sz w:val="16"/>
              </w:rPr>
              <w:t xml:space="preserve"> 778 </w:t>
            </w:r>
          </w:p>
        </w:tc>
        <w:tc>
          <w:tcPr>
            <w:tcW w:w="1230" w:type="dxa"/>
            <w:tcBorders>
              <w:top w:val="single" w:sz="6" w:space="0" w:color="000000"/>
              <w:left w:val="nil"/>
              <w:bottom w:val="single" w:sz="6" w:space="0" w:color="000000"/>
              <w:right w:val="nil"/>
              <w:tl2br w:val="nil"/>
              <w:tr2bl w:val="nil"/>
            </w:tcBorders>
            <w:shd w:val="clear" w:color="auto" w:fill="FFFF00"/>
            <w:tcMar>
              <w:left w:w="101" w:type="dxa"/>
              <w:right w:w="101" w:type="dxa"/>
            </w:tcMar>
            <w:vAlign w:val="bottom"/>
          </w:tcPr>
          <w:p w14:paraId="55C3F1BA" w14:textId="77777777" w:rsidR="003F0EEA" w:rsidRPr="00FE549C" w:rsidRDefault="00FB7D0B">
            <w:pPr>
              <w:jc w:val="right"/>
              <w:rPr>
                <w:rFonts w:ascii="Arial" w:eastAsia="Arial" w:hAnsi="Arial" w:cs="Arial"/>
                <w:color w:val="000000"/>
                <w:sz w:val="16"/>
              </w:rPr>
            </w:pPr>
            <w:r w:rsidRPr="00FE549C">
              <w:rPr>
                <w:rFonts w:ascii="Arial" w:eastAsia="Arial" w:hAnsi="Arial" w:cs="Arial"/>
                <w:color w:val="000000"/>
                <w:sz w:val="16"/>
              </w:rPr>
              <w:t xml:space="preserve"> 756 </w:t>
            </w:r>
          </w:p>
        </w:tc>
      </w:tr>
      <w:tr w:rsidR="00724034" w14:paraId="4CB89197" w14:textId="77777777">
        <w:trPr>
          <w:trHeight w:val="105"/>
        </w:trPr>
        <w:tc>
          <w:tcPr>
            <w:tcW w:w="28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53737832" w14:textId="77777777" w:rsidR="003F0EEA" w:rsidRPr="00FE549C" w:rsidRDefault="003F0EEA">
            <w:pPr>
              <w:rPr>
                <w:rFonts w:ascii="Arial" w:eastAsia="Arial" w:hAnsi="Arial" w:cs="Arial"/>
                <w:color w:val="000000"/>
                <w:sz w:val="16"/>
              </w:rPr>
            </w:pPr>
          </w:p>
        </w:tc>
        <w:tc>
          <w:tcPr>
            <w:tcW w:w="532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0FD6EF42" w14:textId="77777777" w:rsidR="003F0EEA" w:rsidRPr="00FE549C" w:rsidRDefault="003F0EEA">
            <w:pPr>
              <w:rPr>
                <w:rFonts w:ascii="Arial" w:eastAsia="Arial" w:hAnsi="Arial" w:cs="Arial"/>
                <w:color w:val="000000"/>
                <w:sz w:val="16"/>
              </w:rPr>
            </w:pPr>
          </w:p>
        </w:tc>
        <w:tc>
          <w:tcPr>
            <w:tcW w:w="1230" w:type="dxa"/>
            <w:tcBorders>
              <w:top w:val="single" w:sz="6" w:space="0" w:color="000000"/>
              <w:left w:val="nil"/>
              <w:bottom w:val="nil"/>
              <w:right w:val="nil"/>
              <w:tl2br w:val="nil"/>
              <w:tr2bl w:val="nil"/>
            </w:tcBorders>
            <w:shd w:val="clear" w:color="auto" w:fill="FFFFFF"/>
            <w:tcMar>
              <w:left w:w="101" w:type="dxa"/>
              <w:right w:w="101" w:type="dxa"/>
            </w:tcMar>
            <w:vAlign w:val="center"/>
          </w:tcPr>
          <w:p w14:paraId="43A56954" w14:textId="77777777" w:rsidR="003F0EEA" w:rsidRPr="00FE549C" w:rsidRDefault="003F0EEA">
            <w:pPr>
              <w:jc w:val="right"/>
              <w:rPr>
                <w:rFonts w:ascii="Arial" w:eastAsia="Arial" w:hAnsi="Arial" w:cs="Arial"/>
                <w:b/>
                <w:color w:val="000000"/>
                <w:sz w:val="16"/>
                <w:vertAlign w:val="superscript"/>
              </w:rPr>
            </w:pPr>
          </w:p>
        </w:tc>
        <w:tc>
          <w:tcPr>
            <w:tcW w:w="1230" w:type="dxa"/>
            <w:tcBorders>
              <w:top w:val="single" w:sz="6" w:space="0" w:color="000000"/>
              <w:left w:val="nil"/>
              <w:bottom w:val="nil"/>
              <w:right w:val="nil"/>
              <w:tl2br w:val="nil"/>
              <w:tr2bl w:val="nil"/>
            </w:tcBorders>
            <w:shd w:val="clear" w:color="auto" w:fill="FFFFFF"/>
            <w:tcMar>
              <w:left w:w="101" w:type="dxa"/>
              <w:right w:w="101" w:type="dxa"/>
            </w:tcMar>
            <w:vAlign w:val="center"/>
          </w:tcPr>
          <w:p w14:paraId="3BC697C1" w14:textId="77777777" w:rsidR="003F0EEA" w:rsidRPr="00FE549C" w:rsidRDefault="003F0EEA">
            <w:pPr>
              <w:jc w:val="right"/>
              <w:rPr>
                <w:rFonts w:ascii="Arial" w:eastAsia="Arial" w:hAnsi="Arial" w:cs="Arial"/>
                <w:color w:val="000000"/>
                <w:sz w:val="16"/>
                <w:vertAlign w:val="superscript"/>
              </w:rPr>
            </w:pPr>
          </w:p>
        </w:tc>
      </w:tr>
    </w:tbl>
    <w:p w14:paraId="5FB63CD3" w14:textId="77777777" w:rsidR="003F0EEA" w:rsidRDefault="00FB7D0B" w:rsidP="003F0EEA">
      <w:pPr>
        <w:pStyle w:val="ChartandTableFootnote2"/>
        <w:spacing w:before="120"/>
        <w:ind w:right="403"/>
      </w:pPr>
      <w:r>
        <w:t>1.</w:t>
      </w:r>
      <w:r>
        <w:tab/>
        <w:t>Departmental Appropriation combines ‘Ordinary annual services (Appropriation Bill No. 1)’ and ‘Revenue from independent sources (s31)’.</w:t>
      </w:r>
    </w:p>
    <w:p w14:paraId="6D4844DD" w14:textId="77777777" w:rsidR="003F0EEA" w:rsidRDefault="00FB7D0B" w:rsidP="003F0EEA">
      <w:pPr>
        <w:pStyle w:val="ChartandTableFootnote2"/>
        <w:ind w:right="403"/>
      </w:pPr>
      <w:r>
        <w:t>2.</w:t>
      </w:r>
      <w:r>
        <w:tab/>
        <w:t>Expenses not requiring appropriation in the Budget year are made up of Depreciation Expense, Amortisation Expense and Audit Fees.</w:t>
      </w:r>
    </w:p>
    <w:p w14:paraId="0886C6CD" w14:textId="77777777" w:rsidR="003F0EEA" w:rsidRPr="00007292" w:rsidRDefault="00FB7D0B" w:rsidP="003F0EEA">
      <w:pPr>
        <w:pStyle w:val="ChartandTableFootnote2"/>
        <w:ind w:right="403"/>
      </w:pPr>
      <w:r>
        <w:t>3.</w:t>
      </w:r>
      <w:r>
        <w:tab/>
      </w:r>
      <w:r w:rsidRPr="00007292">
        <w:t xml:space="preserve">ASL figures do not include 62 VVCS counsellors paid from Administered funds. </w:t>
      </w:r>
    </w:p>
    <w:p w14:paraId="35856B55" w14:textId="77777777" w:rsidR="003F0EEA" w:rsidRDefault="003F0EEA" w:rsidP="003F0EEA">
      <w:pPr>
        <w:pStyle w:val="Source0"/>
        <w:ind w:right="403"/>
        <w:rPr>
          <w:rFonts w:cs="Arial"/>
          <w:sz w:val="15"/>
          <w:szCs w:val="15"/>
        </w:rPr>
      </w:pPr>
    </w:p>
    <w:p w14:paraId="5A7372F2" w14:textId="77777777" w:rsidR="003F0EEA" w:rsidRDefault="00FB7D0B" w:rsidP="003F0EEA">
      <w:pPr>
        <w:pStyle w:val="Source0"/>
        <w:ind w:right="403"/>
      </w:pPr>
      <w:r>
        <w:rPr>
          <w:rFonts w:cs="Arial"/>
        </w:rPr>
        <w:t>Note: Departmental appropriation splits and totals are indicative estimates and may change in the course of the budget year as government priorities change.</w:t>
      </w:r>
    </w:p>
    <w:p w14:paraId="1A0D8A4E" w14:textId="77777777" w:rsidR="003F0EEA" w:rsidRDefault="00FB7D0B">
      <w:pPr>
        <w:spacing w:line="14" w:lineRule="exact"/>
        <w:rPr>
          <w:rFonts w:cs="Times New Roman"/>
        </w:rPr>
      </w:pPr>
      <w:r>
        <w:rPr>
          <w:rFonts w:cs="Times New Roman"/>
        </w:rPr>
        <w:br w:type="page"/>
      </w:r>
    </w:p>
    <w:p w14:paraId="147F8464" w14:textId="77777777" w:rsidR="003F0EEA" w:rsidRDefault="00FB7D0B" w:rsidP="003F0EEA">
      <w:pPr>
        <w:pStyle w:val="Heading45"/>
      </w:pPr>
      <w:r>
        <w:rPr>
          <w:rFonts w:cs="Arial"/>
        </w:rPr>
        <w:t>Contributions to Outcome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80"/>
      </w:tblGrid>
      <w:tr w:rsidR="00724034" w14:paraId="4AB55143" w14:textId="77777777" w:rsidTr="003F0EEA">
        <w:tc>
          <w:tcPr>
            <w:tcW w:w="8080" w:type="dxa"/>
            <w:tcBorders>
              <w:top w:val="single" w:sz="4" w:space="0" w:color="auto"/>
              <w:left w:val="single" w:sz="4" w:space="0" w:color="auto"/>
              <w:bottom w:val="single" w:sz="4" w:space="0" w:color="auto"/>
              <w:right w:val="single" w:sz="4" w:space="0" w:color="auto"/>
            </w:tcBorders>
            <w:shd w:val="clear" w:color="auto" w:fill="E6E6E6"/>
          </w:tcPr>
          <w:p w14:paraId="7B06B0B0" w14:textId="77777777" w:rsidR="003F0EEA" w:rsidRPr="00A17252" w:rsidRDefault="00FB7D0B" w:rsidP="003F0EEA">
            <w:pPr>
              <w:pStyle w:val="TableTextLeft19"/>
              <w:rPr>
                <w:b/>
              </w:rPr>
            </w:pPr>
            <w:r>
              <w:rPr>
                <w:b/>
                <w:sz w:val="20"/>
              </w:rPr>
              <w:t>Programme 2.1: General Medical Consultations and Services</w:t>
            </w:r>
          </w:p>
        </w:tc>
      </w:tr>
      <w:tr w:rsidR="00724034" w14:paraId="4F5D013D" w14:textId="77777777" w:rsidTr="003F0EEA">
        <w:tc>
          <w:tcPr>
            <w:tcW w:w="8080" w:type="dxa"/>
            <w:tcBorders>
              <w:top w:val="single" w:sz="4" w:space="0" w:color="auto"/>
              <w:left w:val="nil"/>
              <w:bottom w:val="single" w:sz="4" w:space="0" w:color="auto"/>
              <w:right w:val="nil"/>
            </w:tcBorders>
          </w:tcPr>
          <w:p w14:paraId="28FB64F6" w14:textId="77777777" w:rsidR="003F0EEA" w:rsidRDefault="003F0EEA" w:rsidP="003F0EEA">
            <w:pPr>
              <w:pStyle w:val="TableTextLeft19"/>
              <w:rPr>
                <w:b/>
              </w:rPr>
            </w:pPr>
          </w:p>
        </w:tc>
      </w:tr>
      <w:tr w:rsidR="00724034" w14:paraId="15C930AC" w14:textId="77777777" w:rsidTr="003F0EEA">
        <w:tc>
          <w:tcPr>
            <w:tcW w:w="8080" w:type="dxa"/>
            <w:tcBorders>
              <w:top w:val="single" w:sz="4" w:space="0" w:color="auto"/>
              <w:left w:val="single" w:sz="4" w:space="0" w:color="auto"/>
              <w:bottom w:val="single" w:sz="4" w:space="0" w:color="auto"/>
              <w:right w:val="single" w:sz="4" w:space="0" w:color="auto"/>
            </w:tcBorders>
          </w:tcPr>
          <w:p w14:paraId="3E057320" w14:textId="77777777" w:rsidR="003F0EEA" w:rsidRDefault="00FB7D0B" w:rsidP="003F0EEA">
            <w:pPr>
              <w:pStyle w:val="TableTextLeft19"/>
              <w:rPr>
                <w:b/>
              </w:rPr>
            </w:pPr>
            <w:r>
              <w:rPr>
                <w:b/>
              </w:rPr>
              <w:t>Programme 2.1 objective</w:t>
            </w:r>
          </w:p>
          <w:p w14:paraId="721E7707" w14:textId="77777777" w:rsidR="003F0EEA" w:rsidRDefault="00FB7D0B" w:rsidP="003F0EEA">
            <w:pPr>
              <w:pStyle w:val="TableTextLeft19"/>
              <w:rPr>
                <w:b/>
              </w:rPr>
            </w:pPr>
            <w:r>
              <w:t>Provide access to general and specialist medical and dental services to entitled DVA beneficiaries.</w:t>
            </w:r>
          </w:p>
        </w:tc>
      </w:tr>
      <w:tr w:rsidR="00724034" w14:paraId="100BC5C6" w14:textId="77777777" w:rsidTr="003F0EEA">
        <w:trPr>
          <w:trHeight w:val="1025"/>
        </w:trPr>
        <w:tc>
          <w:tcPr>
            <w:tcW w:w="8080" w:type="dxa"/>
            <w:tcBorders>
              <w:top w:val="single" w:sz="4" w:space="0" w:color="auto"/>
              <w:left w:val="single" w:sz="4" w:space="0" w:color="auto"/>
              <w:bottom w:val="single" w:sz="4" w:space="0" w:color="auto"/>
              <w:right w:val="single" w:sz="4" w:space="0" w:color="auto"/>
            </w:tcBorders>
          </w:tcPr>
          <w:p w14:paraId="625CE3F7" w14:textId="77777777" w:rsidR="003F0EEA" w:rsidRDefault="00FB7D0B" w:rsidP="003F0EEA">
            <w:pPr>
              <w:pStyle w:val="TableTextLeft19"/>
              <w:rPr>
                <w:b/>
              </w:rPr>
            </w:pPr>
            <w:r>
              <w:rPr>
                <w:b/>
              </w:rPr>
              <w:t>Linked to:</w:t>
            </w:r>
          </w:p>
          <w:p w14:paraId="20A25E63" w14:textId="77777777" w:rsidR="003F0EEA" w:rsidRPr="00E532B5" w:rsidRDefault="00FB7D0B" w:rsidP="003F0EEA">
            <w:pPr>
              <w:pStyle w:val="TableTextLeft19"/>
            </w:pPr>
            <w:r w:rsidRPr="008A788B">
              <w:t>This programme is linked to the Department of Human Services’ Programme 1.</w:t>
            </w:r>
            <w:r>
              <w:t xml:space="preserve">2 </w:t>
            </w:r>
            <w:r w:rsidRPr="008A788B">
              <w:t xml:space="preserve">– Services to the Community </w:t>
            </w:r>
            <w:r>
              <w:t xml:space="preserve">– Health </w:t>
            </w:r>
            <w:r w:rsidRPr="008A788B">
              <w:t>and the Department of Health’s Programme 8.1 – Workforce and Rural Distribution.</w:t>
            </w:r>
          </w:p>
        </w:tc>
      </w:tr>
      <w:tr w:rsidR="00724034" w14:paraId="07CDFD05" w14:textId="77777777" w:rsidTr="003F0EEA">
        <w:tc>
          <w:tcPr>
            <w:tcW w:w="8080" w:type="dxa"/>
            <w:tcBorders>
              <w:top w:val="single" w:sz="4" w:space="0" w:color="auto"/>
              <w:left w:val="nil"/>
              <w:bottom w:val="single" w:sz="4" w:space="0" w:color="auto"/>
              <w:right w:val="nil"/>
            </w:tcBorders>
          </w:tcPr>
          <w:p w14:paraId="2EAEED2F" w14:textId="77777777" w:rsidR="003F0EEA" w:rsidRDefault="003F0EEA" w:rsidP="003F0EEA">
            <w:pPr>
              <w:pStyle w:val="TableTextLeft19"/>
              <w:rPr>
                <w:b/>
              </w:rPr>
            </w:pPr>
          </w:p>
        </w:tc>
      </w:tr>
      <w:tr w:rsidR="00724034" w14:paraId="77C8BBC2" w14:textId="77777777" w:rsidTr="003F0EEA">
        <w:trPr>
          <w:trHeight w:val="854"/>
        </w:trPr>
        <w:tc>
          <w:tcPr>
            <w:tcW w:w="8080" w:type="dxa"/>
            <w:tcBorders>
              <w:top w:val="single" w:sz="4" w:space="0" w:color="auto"/>
              <w:left w:val="single" w:sz="4" w:space="0" w:color="auto"/>
              <w:bottom w:val="single" w:sz="4" w:space="0" w:color="auto"/>
              <w:right w:val="single" w:sz="4" w:space="0" w:color="auto"/>
            </w:tcBorders>
          </w:tcPr>
          <w:p w14:paraId="04704D3C" w14:textId="77777777" w:rsidR="003F0EEA" w:rsidRDefault="00FB7D0B" w:rsidP="003F0EEA">
            <w:pPr>
              <w:pStyle w:val="TableTextLeft19"/>
              <w:rPr>
                <w:b/>
              </w:rPr>
            </w:pPr>
            <w:r>
              <w:rPr>
                <w:b/>
              </w:rPr>
              <w:t>Programme 2.1 expenses</w:t>
            </w:r>
          </w:p>
          <w:p w14:paraId="634FB4E9" w14:textId="77777777" w:rsidR="003F0EEA" w:rsidRDefault="00FB7D0B" w:rsidP="003F0EEA">
            <w:pPr>
              <w:pStyle w:val="TableTextLeft19"/>
            </w:pPr>
            <w:r>
              <w:t>Overall expenditure for general and specialist medical consultations and dental consultations is expected to decline. This is attributed to the continuing decrease in the treatment population and the impact of Budget measures.</w:t>
            </w:r>
          </w:p>
          <w:p w14:paraId="03DC3EBE" w14:textId="77777777" w:rsidR="003F0EEA" w:rsidRDefault="00FB7D0B" w:rsidP="003F0EEA">
            <w:pPr>
              <w:pStyle w:val="TableTextLeft19"/>
            </w:pPr>
            <w:r>
              <w:t>The majority of payments to medical providers are made through arrangements with the Department of Human Services (DHS) on behalf of DVA.</w:t>
            </w:r>
          </w:p>
          <w:p w14:paraId="335FA84F" w14:textId="77777777" w:rsidR="003F0EEA" w:rsidRDefault="00FB7D0B" w:rsidP="003F0EEA">
            <w:pPr>
              <w:pStyle w:val="TableTextLeft19"/>
              <w:rPr>
                <w:b/>
              </w:rPr>
            </w:pPr>
            <w:r>
              <w:t>Expenditure and utilisation of services are demand driven depending on the health care needs of entitled beneficiaries.</w:t>
            </w:r>
          </w:p>
        </w:tc>
      </w:tr>
    </w:tbl>
    <w:p w14:paraId="6AD7F23E" w14:textId="77777777" w:rsidR="00724034" w:rsidRDefault="0072403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2"/>
        <w:gridCol w:w="222"/>
        <w:gridCol w:w="2730"/>
        <w:gridCol w:w="975"/>
        <w:gridCol w:w="975"/>
        <w:gridCol w:w="975"/>
        <w:gridCol w:w="975"/>
        <w:gridCol w:w="975"/>
      </w:tblGrid>
      <w:tr w:rsidR="00724034" w14:paraId="0DC2F33C" w14:textId="77777777">
        <w:trPr>
          <w:trHeight w:val="225"/>
        </w:trPr>
        <w:tc>
          <w:tcPr>
            <w:tcW w:w="180" w:type="dxa"/>
            <w:tcBorders>
              <w:top w:val="single" w:sz="6" w:space="0" w:color="000000"/>
              <w:left w:val="single" w:sz="6" w:space="0" w:color="000000"/>
              <w:bottom w:val="nil"/>
              <w:right w:val="nil"/>
              <w:tl2br w:val="nil"/>
              <w:tr2bl w:val="nil"/>
            </w:tcBorders>
            <w:shd w:val="clear" w:color="auto" w:fill="FFFFFF"/>
            <w:tcMar>
              <w:left w:w="101" w:type="dxa"/>
              <w:right w:w="101" w:type="dxa"/>
            </w:tcMar>
            <w:vAlign w:val="bottom"/>
          </w:tcPr>
          <w:p w14:paraId="79751C98" w14:textId="77777777" w:rsidR="00724034" w:rsidRDefault="00724034"/>
        </w:tc>
        <w:tc>
          <w:tcPr>
            <w:tcW w:w="180"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1CD6FEF6" w14:textId="77777777" w:rsidR="00724034" w:rsidRDefault="00724034">
            <w:pPr>
              <w:rPr>
                <w:rFonts w:ascii="Arial" w:eastAsia="Arial" w:hAnsi="Arial" w:cs="Arial"/>
                <w:color w:val="000000"/>
                <w:sz w:val="16"/>
              </w:rPr>
            </w:pPr>
          </w:p>
        </w:tc>
        <w:tc>
          <w:tcPr>
            <w:tcW w:w="2730"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7EFFF410" w14:textId="77777777" w:rsidR="00724034" w:rsidRDefault="00724034">
            <w:pPr>
              <w:jc w:val="center"/>
              <w:rPr>
                <w:rFonts w:ascii="Arial" w:eastAsia="Arial" w:hAnsi="Arial" w:cs="Arial"/>
                <w:color w:val="000000"/>
                <w:sz w:val="16"/>
              </w:rPr>
            </w:pPr>
          </w:p>
        </w:tc>
        <w:tc>
          <w:tcPr>
            <w:tcW w:w="97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3C42FBB4" w14:textId="77777777" w:rsidR="00724034" w:rsidRDefault="00FB7D0B">
            <w:pPr>
              <w:jc w:val="right"/>
              <w:rPr>
                <w:rFonts w:ascii="Arial" w:eastAsia="Arial" w:hAnsi="Arial" w:cs="Arial"/>
                <w:b/>
                <w:color w:val="000000"/>
                <w:sz w:val="16"/>
                <w:vertAlign w:val="superscript"/>
              </w:rPr>
            </w:pPr>
            <w:r>
              <w:rPr>
                <w:rFonts w:ascii="Arial" w:eastAsia="Arial" w:hAnsi="Arial" w:cs="Arial"/>
                <w:color w:val="000000"/>
                <w:sz w:val="16"/>
              </w:rPr>
              <w:t>2013-14</w:t>
            </w:r>
          </w:p>
        </w:tc>
        <w:tc>
          <w:tcPr>
            <w:tcW w:w="975" w:type="dxa"/>
            <w:tcBorders>
              <w:top w:val="single" w:sz="6" w:space="0" w:color="000000"/>
              <w:left w:val="nil"/>
              <w:bottom w:val="nil"/>
              <w:right w:val="nil"/>
              <w:tl2br w:val="nil"/>
              <w:tr2bl w:val="nil"/>
            </w:tcBorders>
            <w:shd w:val="clear" w:color="auto" w:fill="FFFF00"/>
            <w:tcMar>
              <w:left w:w="101" w:type="dxa"/>
              <w:right w:w="101" w:type="dxa"/>
            </w:tcMar>
            <w:vAlign w:val="bottom"/>
          </w:tcPr>
          <w:p w14:paraId="70BF05D3" w14:textId="77777777" w:rsidR="00724034" w:rsidRDefault="00FB7D0B">
            <w:pPr>
              <w:jc w:val="right"/>
              <w:rPr>
                <w:rFonts w:ascii="Arial" w:eastAsia="Arial" w:hAnsi="Arial" w:cs="Arial"/>
                <w:color w:val="000000"/>
                <w:sz w:val="16"/>
              </w:rPr>
            </w:pPr>
            <w:r>
              <w:rPr>
                <w:rFonts w:ascii="Arial" w:eastAsia="Arial" w:hAnsi="Arial" w:cs="Arial"/>
                <w:color w:val="000000"/>
                <w:sz w:val="16"/>
              </w:rPr>
              <w:t>2014-15</w:t>
            </w:r>
          </w:p>
        </w:tc>
        <w:tc>
          <w:tcPr>
            <w:tcW w:w="97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6B4F5CE5" w14:textId="77777777" w:rsidR="00724034" w:rsidRDefault="00FB7D0B">
            <w:pPr>
              <w:jc w:val="right"/>
              <w:rPr>
                <w:rFonts w:ascii="Arial" w:eastAsia="Arial" w:hAnsi="Arial" w:cs="Arial"/>
                <w:color w:val="000000"/>
                <w:sz w:val="16"/>
              </w:rPr>
            </w:pPr>
            <w:r>
              <w:rPr>
                <w:rFonts w:ascii="Arial" w:eastAsia="Arial" w:hAnsi="Arial" w:cs="Arial"/>
                <w:color w:val="000000"/>
                <w:sz w:val="16"/>
              </w:rPr>
              <w:t>2015-16</w:t>
            </w:r>
          </w:p>
        </w:tc>
        <w:tc>
          <w:tcPr>
            <w:tcW w:w="97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5EABB719" w14:textId="77777777" w:rsidR="00724034" w:rsidRDefault="00FB7D0B">
            <w:pPr>
              <w:jc w:val="right"/>
              <w:rPr>
                <w:rFonts w:ascii="Arial" w:eastAsia="Arial" w:hAnsi="Arial" w:cs="Arial"/>
                <w:color w:val="000000"/>
                <w:sz w:val="16"/>
              </w:rPr>
            </w:pPr>
            <w:r>
              <w:rPr>
                <w:rFonts w:ascii="Arial" w:eastAsia="Arial" w:hAnsi="Arial" w:cs="Arial"/>
                <w:color w:val="000000"/>
                <w:sz w:val="16"/>
              </w:rPr>
              <w:t>2016-17</w:t>
            </w:r>
          </w:p>
        </w:tc>
        <w:tc>
          <w:tcPr>
            <w:tcW w:w="975" w:type="dxa"/>
            <w:tcBorders>
              <w:top w:val="single" w:sz="6" w:space="0" w:color="000000"/>
              <w:left w:val="nil"/>
              <w:bottom w:val="nil"/>
              <w:right w:val="single" w:sz="6" w:space="0" w:color="000000"/>
              <w:tl2br w:val="nil"/>
              <w:tr2bl w:val="nil"/>
            </w:tcBorders>
            <w:shd w:val="clear" w:color="auto" w:fill="FFFFFF"/>
            <w:tcMar>
              <w:left w:w="101" w:type="dxa"/>
              <w:right w:w="101" w:type="dxa"/>
            </w:tcMar>
            <w:vAlign w:val="bottom"/>
          </w:tcPr>
          <w:p w14:paraId="7C9C284C" w14:textId="77777777" w:rsidR="00724034" w:rsidRDefault="00FB7D0B">
            <w:pPr>
              <w:jc w:val="right"/>
              <w:rPr>
                <w:rFonts w:ascii="Arial" w:eastAsia="Arial" w:hAnsi="Arial" w:cs="Arial"/>
                <w:color w:val="000000"/>
                <w:sz w:val="16"/>
              </w:rPr>
            </w:pPr>
            <w:r>
              <w:rPr>
                <w:rFonts w:ascii="Arial" w:eastAsia="Arial" w:hAnsi="Arial" w:cs="Arial"/>
                <w:color w:val="000000"/>
                <w:sz w:val="16"/>
              </w:rPr>
              <w:t>2017-18</w:t>
            </w:r>
          </w:p>
        </w:tc>
      </w:tr>
      <w:tr w:rsidR="00724034" w14:paraId="7EF8D7E5" w14:textId="77777777">
        <w:trPr>
          <w:trHeight w:val="225"/>
        </w:trPr>
        <w:tc>
          <w:tcPr>
            <w:tcW w:w="180" w:type="dxa"/>
            <w:tcBorders>
              <w:top w:val="nil"/>
              <w:left w:val="single" w:sz="6" w:space="0" w:color="000000"/>
              <w:bottom w:val="nil"/>
              <w:right w:val="nil"/>
              <w:tl2br w:val="nil"/>
              <w:tr2bl w:val="nil"/>
            </w:tcBorders>
            <w:shd w:val="clear" w:color="auto" w:fill="FFFFFF"/>
            <w:tcMar>
              <w:left w:w="101" w:type="dxa"/>
              <w:right w:w="101" w:type="dxa"/>
            </w:tcMar>
            <w:vAlign w:val="bottom"/>
          </w:tcPr>
          <w:p w14:paraId="0AF9EF96" w14:textId="77777777" w:rsidR="00724034" w:rsidRDefault="00724034">
            <w:pPr>
              <w:rPr>
                <w:rFonts w:ascii="Arial" w:eastAsia="Arial" w:hAnsi="Arial" w:cs="Arial"/>
                <w:color w:val="000000"/>
                <w:sz w:val="16"/>
              </w:rPr>
            </w:pPr>
          </w:p>
        </w:tc>
        <w:tc>
          <w:tcPr>
            <w:tcW w:w="180" w:type="dxa"/>
            <w:tcBorders>
              <w:top w:val="nil"/>
              <w:left w:val="nil"/>
              <w:bottom w:val="nil"/>
              <w:right w:val="nil"/>
              <w:tl2br w:val="nil"/>
              <w:tr2bl w:val="nil"/>
            </w:tcBorders>
            <w:shd w:val="clear" w:color="auto" w:fill="FFFFFF"/>
            <w:tcMar>
              <w:left w:w="101" w:type="dxa"/>
              <w:right w:w="101" w:type="dxa"/>
            </w:tcMar>
            <w:vAlign w:val="bottom"/>
          </w:tcPr>
          <w:p w14:paraId="3168F61B" w14:textId="77777777" w:rsidR="00724034" w:rsidRDefault="00724034">
            <w:pPr>
              <w:rPr>
                <w:rFonts w:ascii="Arial" w:eastAsia="Arial" w:hAnsi="Arial" w:cs="Arial"/>
                <w:color w:val="000000"/>
                <w:sz w:val="16"/>
              </w:rPr>
            </w:pPr>
          </w:p>
        </w:tc>
        <w:tc>
          <w:tcPr>
            <w:tcW w:w="2730" w:type="dxa"/>
            <w:tcBorders>
              <w:top w:val="nil"/>
              <w:left w:val="nil"/>
              <w:bottom w:val="nil"/>
              <w:right w:val="nil"/>
              <w:tl2br w:val="nil"/>
              <w:tr2bl w:val="nil"/>
            </w:tcBorders>
            <w:shd w:val="clear" w:color="auto" w:fill="FFFFFF"/>
            <w:tcMar>
              <w:left w:w="101" w:type="dxa"/>
              <w:right w:w="101" w:type="dxa"/>
            </w:tcMar>
            <w:vAlign w:val="bottom"/>
          </w:tcPr>
          <w:p w14:paraId="22B62E85" w14:textId="77777777" w:rsidR="00724034" w:rsidRDefault="00724034">
            <w:pPr>
              <w:rPr>
                <w:rFonts w:ascii="Arial" w:eastAsia="Arial" w:hAnsi="Arial" w:cs="Arial"/>
                <w:color w:val="000000"/>
                <w:sz w:val="16"/>
              </w:rPr>
            </w:pPr>
          </w:p>
        </w:tc>
        <w:tc>
          <w:tcPr>
            <w:tcW w:w="975" w:type="dxa"/>
            <w:tcBorders>
              <w:top w:val="nil"/>
              <w:left w:val="nil"/>
              <w:bottom w:val="nil"/>
              <w:right w:val="nil"/>
              <w:tl2br w:val="nil"/>
              <w:tr2bl w:val="nil"/>
            </w:tcBorders>
            <w:shd w:val="clear" w:color="auto" w:fill="FFFFFF"/>
            <w:tcMar>
              <w:left w:w="101" w:type="dxa"/>
              <w:right w:w="101" w:type="dxa"/>
            </w:tcMar>
            <w:vAlign w:val="bottom"/>
          </w:tcPr>
          <w:p w14:paraId="42236D72" w14:textId="77777777" w:rsidR="00724034" w:rsidRDefault="00FB7D0B">
            <w:pPr>
              <w:jc w:val="right"/>
              <w:rPr>
                <w:rFonts w:ascii="Arial" w:eastAsia="Arial" w:hAnsi="Arial" w:cs="Arial"/>
                <w:color w:val="000000"/>
                <w:sz w:val="16"/>
                <w:vertAlign w:val="superscript"/>
              </w:rPr>
            </w:pPr>
            <w:r>
              <w:rPr>
                <w:rFonts w:ascii="Arial" w:eastAsia="Arial" w:hAnsi="Arial" w:cs="Arial"/>
                <w:color w:val="000000"/>
                <w:sz w:val="16"/>
              </w:rPr>
              <w:t>Revised</w:t>
            </w:r>
          </w:p>
        </w:tc>
        <w:tc>
          <w:tcPr>
            <w:tcW w:w="975" w:type="dxa"/>
            <w:tcBorders>
              <w:top w:val="nil"/>
              <w:left w:val="nil"/>
              <w:bottom w:val="nil"/>
              <w:right w:val="nil"/>
              <w:tl2br w:val="nil"/>
              <w:tr2bl w:val="nil"/>
            </w:tcBorders>
            <w:shd w:val="clear" w:color="auto" w:fill="FFFF00"/>
            <w:tcMar>
              <w:left w:w="101" w:type="dxa"/>
              <w:right w:w="101" w:type="dxa"/>
            </w:tcMar>
            <w:vAlign w:val="bottom"/>
          </w:tcPr>
          <w:p w14:paraId="642A930A" w14:textId="77777777" w:rsidR="00724034" w:rsidRDefault="00FB7D0B">
            <w:pPr>
              <w:jc w:val="right"/>
              <w:rPr>
                <w:rFonts w:ascii="Arial" w:eastAsia="Arial" w:hAnsi="Arial" w:cs="Arial"/>
                <w:color w:val="000000"/>
                <w:sz w:val="16"/>
              </w:rPr>
            </w:pPr>
            <w:r>
              <w:rPr>
                <w:rFonts w:ascii="Arial" w:eastAsia="Arial" w:hAnsi="Arial" w:cs="Arial"/>
                <w:color w:val="000000"/>
                <w:sz w:val="16"/>
              </w:rPr>
              <w:t>Budget</w:t>
            </w:r>
          </w:p>
        </w:tc>
        <w:tc>
          <w:tcPr>
            <w:tcW w:w="975" w:type="dxa"/>
            <w:tcBorders>
              <w:top w:val="nil"/>
              <w:left w:val="nil"/>
              <w:bottom w:val="nil"/>
              <w:right w:val="nil"/>
              <w:tl2br w:val="nil"/>
              <w:tr2bl w:val="nil"/>
            </w:tcBorders>
            <w:shd w:val="clear" w:color="auto" w:fill="FFFFFF"/>
            <w:tcMar>
              <w:left w:w="101" w:type="dxa"/>
              <w:right w:w="101" w:type="dxa"/>
            </w:tcMar>
            <w:vAlign w:val="bottom"/>
          </w:tcPr>
          <w:p w14:paraId="5057E4A9" w14:textId="77777777" w:rsidR="00724034" w:rsidRDefault="00FB7D0B">
            <w:pPr>
              <w:jc w:val="right"/>
              <w:rPr>
                <w:rFonts w:ascii="Arial" w:eastAsia="Arial" w:hAnsi="Arial" w:cs="Arial"/>
                <w:color w:val="000000"/>
                <w:sz w:val="16"/>
              </w:rPr>
            </w:pPr>
            <w:r>
              <w:rPr>
                <w:rFonts w:ascii="Arial" w:eastAsia="Arial" w:hAnsi="Arial" w:cs="Arial"/>
                <w:color w:val="000000"/>
                <w:sz w:val="16"/>
              </w:rPr>
              <w:t>Forward</w:t>
            </w:r>
          </w:p>
        </w:tc>
        <w:tc>
          <w:tcPr>
            <w:tcW w:w="975" w:type="dxa"/>
            <w:tcBorders>
              <w:top w:val="nil"/>
              <w:left w:val="nil"/>
              <w:bottom w:val="nil"/>
              <w:right w:val="nil"/>
              <w:tl2br w:val="nil"/>
              <w:tr2bl w:val="nil"/>
            </w:tcBorders>
            <w:shd w:val="clear" w:color="auto" w:fill="FFFFFF"/>
            <w:tcMar>
              <w:left w:w="101" w:type="dxa"/>
              <w:right w:w="101" w:type="dxa"/>
            </w:tcMar>
            <w:vAlign w:val="bottom"/>
          </w:tcPr>
          <w:p w14:paraId="56EC152A" w14:textId="77777777" w:rsidR="00724034" w:rsidRDefault="00FB7D0B">
            <w:pPr>
              <w:jc w:val="right"/>
              <w:rPr>
                <w:rFonts w:ascii="Arial" w:eastAsia="Arial" w:hAnsi="Arial" w:cs="Arial"/>
                <w:color w:val="000000"/>
                <w:sz w:val="16"/>
              </w:rPr>
            </w:pPr>
            <w:r>
              <w:rPr>
                <w:rFonts w:ascii="Arial" w:eastAsia="Arial" w:hAnsi="Arial" w:cs="Arial"/>
                <w:color w:val="000000"/>
                <w:sz w:val="16"/>
              </w:rPr>
              <w:t>Forward</w:t>
            </w:r>
          </w:p>
        </w:tc>
        <w:tc>
          <w:tcPr>
            <w:tcW w:w="975" w:type="dxa"/>
            <w:tcBorders>
              <w:top w:val="nil"/>
              <w:left w:val="nil"/>
              <w:bottom w:val="nil"/>
              <w:right w:val="single" w:sz="6" w:space="0" w:color="000000"/>
              <w:tl2br w:val="nil"/>
              <w:tr2bl w:val="nil"/>
            </w:tcBorders>
            <w:shd w:val="clear" w:color="auto" w:fill="FFFFFF"/>
            <w:tcMar>
              <w:left w:w="101" w:type="dxa"/>
              <w:right w:w="101" w:type="dxa"/>
            </w:tcMar>
            <w:vAlign w:val="bottom"/>
          </w:tcPr>
          <w:p w14:paraId="39F4CA12" w14:textId="77777777" w:rsidR="00724034" w:rsidRDefault="00FB7D0B">
            <w:pPr>
              <w:jc w:val="right"/>
              <w:rPr>
                <w:rFonts w:ascii="Arial" w:eastAsia="Arial" w:hAnsi="Arial" w:cs="Arial"/>
                <w:color w:val="000000"/>
                <w:sz w:val="16"/>
              </w:rPr>
            </w:pPr>
            <w:r>
              <w:rPr>
                <w:rFonts w:ascii="Arial" w:eastAsia="Arial" w:hAnsi="Arial" w:cs="Arial"/>
                <w:color w:val="000000"/>
                <w:sz w:val="16"/>
              </w:rPr>
              <w:t>Forward</w:t>
            </w:r>
          </w:p>
        </w:tc>
      </w:tr>
      <w:tr w:rsidR="00FB7D0B" w14:paraId="581FF522" w14:textId="77777777" w:rsidTr="00FB7D0B">
        <w:trPr>
          <w:trHeight w:val="225"/>
        </w:trPr>
        <w:tc>
          <w:tcPr>
            <w:tcW w:w="3090" w:type="dxa"/>
            <w:gridSpan w:val="3"/>
            <w:tcBorders>
              <w:top w:val="nil"/>
              <w:left w:val="single" w:sz="6" w:space="0" w:color="000000"/>
              <w:bottom w:val="single" w:sz="6" w:space="0" w:color="000000"/>
              <w:right w:val="nil"/>
              <w:tl2br w:val="nil"/>
              <w:tr2bl w:val="nil"/>
            </w:tcBorders>
            <w:shd w:val="clear" w:color="auto" w:fill="FFFFFF"/>
            <w:tcMar>
              <w:left w:w="101" w:type="dxa"/>
              <w:right w:w="101" w:type="dxa"/>
            </w:tcMar>
            <w:vAlign w:val="bottom"/>
          </w:tcPr>
          <w:p w14:paraId="2B7F77B6" w14:textId="77777777" w:rsidR="00724034" w:rsidRDefault="00FB7D0B">
            <w:pPr>
              <w:rPr>
                <w:rFonts w:ascii="Arial" w:eastAsia="Arial" w:hAnsi="Arial" w:cs="Arial"/>
                <w:color w:val="000000"/>
                <w:sz w:val="16"/>
              </w:rPr>
            </w:pPr>
            <w:r>
              <w:rPr>
                <w:rFonts w:ascii="Arial" w:eastAsia="Arial" w:hAnsi="Arial" w:cs="Arial"/>
                <w:color w:val="000000"/>
                <w:sz w:val="16"/>
              </w:rPr>
              <w:t>$('000)</w:t>
            </w:r>
          </w:p>
        </w:tc>
        <w:tc>
          <w:tcPr>
            <w:tcW w:w="975"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54203CFC" w14:textId="77777777" w:rsidR="00724034" w:rsidRDefault="00FB7D0B">
            <w:pPr>
              <w:jc w:val="right"/>
              <w:rPr>
                <w:rFonts w:ascii="Arial" w:eastAsia="Arial" w:hAnsi="Arial" w:cs="Arial"/>
                <w:color w:val="000000"/>
                <w:sz w:val="16"/>
                <w:vertAlign w:val="superscript"/>
              </w:rPr>
            </w:pPr>
            <w:r>
              <w:rPr>
                <w:rFonts w:ascii="Arial" w:eastAsia="Arial" w:hAnsi="Arial" w:cs="Arial"/>
                <w:color w:val="000000"/>
                <w:sz w:val="16"/>
              </w:rPr>
              <w:t>budget</w:t>
            </w:r>
          </w:p>
        </w:tc>
        <w:tc>
          <w:tcPr>
            <w:tcW w:w="975" w:type="dxa"/>
            <w:tcBorders>
              <w:top w:val="nil"/>
              <w:left w:val="nil"/>
              <w:bottom w:val="single" w:sz="6" w:space="0" w:color="000000"/>
              <w:right w:val="nil"/>
              <w:tl2br w:val="nil"/>
              <w:tr2bl w:val="nil"/>
            </w:tcBorders>
            <w:shd w:val="clear" w:color="auto" w:fill="FFFF00"/>
            <w:tcMar>
              <w:left w:w="101" w:type="dxa"/>
              <w:right w:w="101" w:type="dxa"/>
            </w:tcMar>
            <w:vAlign w:val="bottom"/>
          </w:tcPr>
          <w:p w14:paraId="73D06E67" w14:textId="77777777" w:rsidR="00724034" w:rsidRDefault="00724034">
            <w:pPr>
              <w:jc w:val="right"/>
              <w:rPr>
                <w:rFonts w:ascii="Arial" w:eastAsia="Arial" w:hAnsi="Arial" w:cs="Arial"/>
                <w:color w:val="000000"/>
                <w:sz w:val="16"/>
              </w:rPr>
            </w:pPr>
          </w:p>
        </w:tc>
        <w:tc>
          <w:tcPr>
            <w:tcW w:w="975"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1E2863F9" w14:textId="77777777" w:rsidR="00724034" w:rsidRDefault="00FB7D0B">
            <w:pPr>
              <w:jc w:val="right"/>
              <w:rPr>
                <w:rFonts w:ascii="Arial" w:eastAsia="Arial" w:hAnsi="Arial" w:cs="Arial"/>
                <w:color w:val="000000"/>
                <w:sz w:val="16"/>
              </w:rPr>
            </w:pPr>
            <w:r>
              <w:rPr>
                <w:rFonts w:ascii="Arial" w:eastAsia="Arial" w:hAnsi="Arial" w:cs="Arial"/>
                <w:color w:val="000000"/>
                <w:sz w:val="16"/>
              </w:rPr>
              <w:t>year 1</w:t>
            </w:r>
          </w:p>
        </w:tc>
        <w:tc>
          <w:tcPr>
            <w:tcW w:w="975"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0E90195B" w14:textId="77777777" w:rsidR="00724034" w:rsidRDefault="00FB7D0B">
            <w:pPr>
              <w:jc w:val="right"/>
              <w:rPr>
                <w:rFonts w:ascii="Arial" w:eastAsia="Arial" w:hAnsi="Arial" w:cs="Arial"/>
                <w:color w:val="000000"/>
                <w:sz w:val="16"/>
              </w:rPr>
            </w:pPr>
            <w:r>
              <w:rPr>
                <w:rFonts w:ascii="Arial" w:eastAsia="Arial" w:hAnsi="Arial" w:cs="Arial"/>
                <w:color w:val="000000"/>
                <w:sz w:val="16"/>
              </w:rPr>
              <w:t>year 2</w:t>
            </w:r>
          </w:p>
        </w:tc>
        <w:tc>
          <w:tcPr>
            <w:tcW w:w="975" w:type="dxa"/>
            <w:tcBorders>
              <w:top w:val="nil"/>
              <w:left w:val="nil"/>
              <w:bottom w:val="single" w:sz="6" w:space="0" w:color="000000"/>
              <w:right w:val="single" w:sz="6" w:space="0" w:color="000000"/>
              <w:tl2br w:val="nil"/>
              <w:tr2bl w:val="nil"/>
            </w:tcBorders>
            <w:shd w:val="clear" w:color="auto" w:fill="FFFFFF"/>
            <w:tcMar>
              <w:left w:w="101" w:type="dxa"/>
              <w:right w:w="101" w:type="dxa"/>
            </w:tcMar>
            <w:vAlign w:val="bottom"/>
          </w:tcPr>
          <w:p w14:paraId="49297FFD" w14:textId="77777777" w:rsidR="00724034" w:rsidRDefault="00FB7D0B">
            <w:pPr>
              <w:jc w:val="right"/>
              <w:rPr>
                <w:rFonts w:ascii="Arial" w:eastAsia="Arial" w:hAnsi="Arial" w:cs="Arial"/>
                <w:color w:val="000000"/>
                <w:sz w:val="16"/>
              </w:rPr>
            </w:pPr>
            <w:r>
              <w:rPr>
                <w:rFonts w:ascii="Arial" w:eastAsia="Arial" w:hAnsi="Arial" w:cs="Arial"/>
                <w:color w:val="000000"/>
                <w:sz w:val="16"/>
              </w:rPr>
              <w:t>year 3</w:t>
            </w:r>
          </w:p>
        </w:tc>
      </w:tr>
      <w:tr w:rsidR="00FB7D0B" w14:paraId="58850C64" w14:textId="77777777" w:rsidTr="00FB7D0B">
        <w:trPr>
          <w:trHeight w:val="225"/>
        </w:trPr>
        <w:tc>
          <w:tcPr>
            <w:tcW w:w="3090" w:type="dxa"/>
            <w:gridSpan w:val="3"/>
            <w:tcBorders>
              <w:top w:val="nil"/>
              <w:left w:val="single" w:sz="6" w:space="0" w:color="000000"/>
              <w:bottom w:val="nil"/>
              <w:right w:val="nil"/>
              <w:tl2br w:val="nil"/>
              <w:tr2bl w:val="nil"/>
            </w:tcBorders>
            <w:shd w:val="clear" w:color="auto" w:fill="FFFFFF"/>
            <w:tcMar>
              <w:left w:w="101" w:type="dxa"/>
              <w:right w:w="101" w:type="dxa"/>
            </w:tcMar>
            <w:vAlign w:val="bottom"/>
          </w:tcPr>
          <w:p w14:paraId="5D0C0C97" w14:textId="77777777" w:rsidR="00724034" w:rsidRDefault="00FB7D0B">
            <w:pPr>
              <w:rPr>
                <w:rFonts w:ascii="Arial" w:eastAsia="Arial" w:hAnsi="Arial" w:cs="Arial"/>
                <w:color w:val="000000"/>
                <w:sz w:val="16"/>
              </w:rPr>
            </w:pPr>
            <w:r>
              <w:rPr>
                <w:rFonts w:ascii="Arial" w:eastAsia="Arial" w:hAnsi="Arial" w:cs="Arial"/>
                <w:color w:val="000000"/>
                <w:sz w:val="16"/>
              </w:rPr>
              <w:t>Special Appropriations:</w:t>
            </w:r>
          </w:p>
        </w:tc>
        <w:tc>
          <w:tcPr>
            <w:tcW w:w="975" w:type="dxa"/>
            <w:tcBorders>
              <w:top w:val="nil"/>
              <w:left w:val="nil"/>
              <w:bottom w:val="nil"/>
              <w:right w:val="nil"/>
              <w:tl2br w:val="nil"/>
              <w:tr2bl w:val="nil"/>
            </w:tcBorders>
            <w:shd w:val="clear" w:color="auto" w:fill="FFFFFF"/>
            <w:tcMar>
              <w:left w:w="101" w:type="dxa"/>
              <w:right w:w="101" w:type="dxa"/>
            </w:tcMar>
            <w:vAlign w:val="bottom"/>
          </w:tcPr>
          <w:p w14:paraId="324BE4A2" w14:textId="77777777" w:rsidR="00724034" w:rsidRDefault="00724034">
            <w:pPr>
              <w:rPr>
                <w:rFonts w:ascii="Arial" w:eastAsia="Arial" w:hAnsi="Arial" w:cs="Arial"/>
                <w:color w:val="000000"/>
                <w:sz w:val="16"/>
                <w:vertAlign w:val="superscript"/>
              </w:rPr>
            </w:pPr>
          </w:p>
        </w:tc>
        <w:tc>
          <w:tcPr>
            <w:tcW w:w="975" w:type="dxa"/>
            <w:tcBorders>
              <w:top w:val="nil"/>
              <w:left w:val="nil"/>
              <w:bottom w:val="nil"/>
              <w:right w:val="nil"/>
              <w:tl2br w:val="nil"/>
              <w:tr2bl w:val="nil"/>
            </w:tcBorders>
            <w:shd w:val="clear" w:color="auto" w:fill="FFFF00"/>
            <w:tcMar>
              <w:left w:w="101" w:type="dxa"/>
              <w:right w:w="101" w:type="dxa"/>
            </w:tcMar>
            <w:vAlign w:val="bottom"/>
          </w:tcPr>
          <w:p w14:paraId="248EE449" w14:textId="77777777" w:rsidR="00724034" w:rsidRDefault="00724034">
            <w:pPr>
              <w:jc w:val="right"/>
              <w:rPr>
                <w:rFonts w:ascii="Arial" w:eastAsia="Arial" w:hAnsi="Arial" w:cs="Arial"/>
                <w:color w:val="000000"/>
                <w:sz w:val="16"/>
                <w:vertAlign w:val="superscript"/>
              </w:rPr>
            </w:pPr>
          </w:p>
        </w:tc>
        <w:tc>
          <w:tcPr>
            <w:tcW w:w="975" w:type="dxa"/>
            <w:tcBorders>
              <w:top w:val="nil"/>
              <w:left w:val="nil"/>
              <w:bottom w:val="nil"/>
              <w:right w:val="nil"/>
              <w:tl2br w:val="nil"/>
              <w:tr2bl w:val="nil"/>
            </w:tcBorders>
            <w:shd w:val="clear" w:color="auto" w:fill="FFFFFF"/>
            <w:tcMar>
              <w:left w:w="101" w:type="dxa"/>
              <w:right w:w="101" w:type="dxa"/>
            </w:tcMar>
            <w:vAlign w:val="bottom"/>
          </w:tcPr>
          <w:p w14:paraId="18D8784C" w14:textId="77777777" w:rsidR="00724034" w:rsidRDefault="00724034">
            <w:pPr>
              <w:jc w:val="right"/>
              <w:rPr>
                <w:rFonts w:ascii="Arial" w:eastAsia="Arial" w:hAnsi="Arial" w:cs="Arial"/>
                <w:color w:val="000000"/>
                <w:sz w:val="16"/>
                <w:vertAlign w:val="superscript"/>
              </w:rPr>
            </w:pPr>
          </w:p>
        </w:tc>
        <w:tc>
          <w:tcPr>
            <w:tcW w:w="975" w:type="dxa"/>
            <w:tcBorders>
              <w:top w:val="nil"/>
              <w:left w:val="nil"/>
              <w:bottom w:val="nil"/>
              <w:right w:val="nil"/>
              <w:tl2br w:val="nil"/>
              <w:tr2bl w:val="nil"/>
            </w:tcBorders>
            <w:shd w:val="clear" w:color="auto" w:fill="FFFFFF"/>
            <w:tcMar>
              <w:left w:w="101" w:type="dxa"/>
              <w:right w:w="101" w:type="dxa"/>
            </w:tcMar>
            <w:vAlign w:val="bottom"/>
          </w:tcPr>
          <w:p w14:paraId="438BC2CB" w14:textId="77777777" w:rsidR="00724034" w:rsidRDefault="00724034">
            <w:pPr>
              <w:jc w:val="right"/>
              <w:rPr>
                <w:rFonts w:ascii="Arial" w:eastAsia="Arial" w:hAnsi="Arial" w:cs="Arial"/>
                <w:color w:val="000000"/>
                <w:sz w:val="16"/>
                <w:vertAlign w:val="superscript"/>
              </w:rPr>
            </w:pPr>
          </w:p>
        </w:tc>
        <w:tc>
          <w:tcPr>
            <w:tcW w:w="975" w:type="dxa"/>
            <w:tcBorders>
              <w:top w:val="nil"/>
              <w:left w:val="nil"/>
              <w:bottom w:val="nil"/>
              <w:right w:val="single" w:sz="6" w:space="0" w:color="000000"/>
              <w:tl2br w:val="nil"/>
              <w:tr2bl w:val="nil"/>
            </w:tcBorders>
            <w:shd w:val="clear" w:color="auto" w:fill="FFFFFF"/>
            <w:tcMar>
              <w:left w:w="101" w:type="dxa"/>
              <w:right w:w="101" w:type="dxa"/>
            </w:tcMar>
            <w:vAlign w:val="bottom"/>
          </w:tcPr>
          <w:p w14:paraId="63BCAEA6" w14:textId="77777777" w:rsidR="00724034" w:rsidRDefault="00724034">
            <w:pPr>
              <w:jc w:val="right"/>
              <w:rPr>
                <w:rFonts w:ascii="Arial" w:eastAsia="Arial" w:hAnsi="Arial" w:cs="Arial"/>
                <w:color w:val="000000"/>
                <w:sz w:val="16"/>
                <w:vertAlign w:val="superscript"/>
              </w:rPr>
            </w:pPr>
          </w:p>
        </w:tc>
      </w:tr>
      <w:tr w:rsidR="00FB7D0B" w14:paraId="131F03F6" w14:textId="77777777" w:rsidTr="00FB7D0B">
        <w:trPr>
          <w:trHeight w:val="225"/>
        </w:trPr>
        <w:tc>
          <w:tcPr>
            <w:tcW w:w="180" w:type="dxa"/>
            <w:tcBorders>
              <w:top w:val="single" w:sz="6" w:space="0" w:color="FFFFFF"/>
              <w:left w:val="single" w:sz="6" w:space="0" w:color="000000"/>
              <w:bottom w:val="nil"/>
              <w:right w:val="nil"/>
              <w:tl2br w:val="nil"/>
              <w:tr2bl w:val="nil"/>
            </w:tcBorders>
            <w:shd w:val="clear" w:color="auto" w:fill="FFFFFF"/>
            <w:tcMar>
              <w:left w:w="101" w:type="dxa"/>
              <w:right w:w="101" w:type="dxa"/>
            </w:tcMar>
            <w:vAlign w:val="bottom"/>
          </w:tcPr>
          <w:p w14:paraId="03393C5D" w14:textId="77777777" w:rsidR="00724034" w:rsidRDefault="00724034">
            <w:pPr>
              <w:rPr>
                <w:rFonts w:ascii="Arial" w:eastAsia="Arial" w:hAnsi="Arial" w:cs="Arial"/>
                <w:color w:val="000000"/>
                <w:sz w:val="16"/>
                <w:vertAlign w:val="superscript"/>
              </w:rPr>
            </w:pPr>
          </w:p>
        </w:tc>
        <w:tc>
          <w:tcPr>
            <w:tcW w:w="2910" w:type="dxa"/>
            <w:gridSpan w:val="2"/>
            <w:tcBorders>
              <w:top w:val="single" w:sz="6" w:space="0" w:color="FFFFFF"/>
              <w:left w:val="nil"/>
              <w:bottom w:val="nil"/>
              <w:right w:val="nil"/>
              <w:tl2br w:val="nil"/>
              <w:tr2bl w:val="nil"/>
            </w:tcBorders>
            <w:shd w:val="clear" w:color="auto" w:fill="FFFFFF"/>
            <w:tcMar>
              <w:left w:w="101" w:type="dxa"/>
              <w:right w:w="101" w:type="dxa"/>
            </w:tcMar>
            <w:vAlign w:val="bottom"/>
          </w:tcPr>
          <w:p w14:paraId="45CD5BB4" w14:textId="77777777" w:rsidR="00724034" w:rsidRDefault="00FB7D0B">
            <w:pPr>
              <w:rPr>
                <w:rFonts w:ascii="Arial" w:eastAsia="Arial" w:hAnsi="Arial" w:cs="Arial"/>
                <w:color w:val="000000"/>
                <w:sz w:val="16"/>
                <w:vertAlign w:val="superscript"/>
              </w:rPr>
            </w:pPr>
            <w:r>
              <w:rPr>
                <w:rFonts w:ascii="Arial" w:eastAsia="Arial" w:hAnsi="Arial" w:cs="Arial"/>
                <w:i/>
                <w:color w:val="000000"/>
                <w:sz w:val="16"/>
              </w:rPr>
              <w:t>Veterans' Entitlements Act 1986 (VEA)</w:t>
            </w:r>
          </w:p>
        </w:tc>
        <w:tc>
          <w:tcPr>
            <w:tcW w:w="975" w:type="dxa"/>
            <w:tcBorders>
              <w:top w:val="nil"/>
              <w:left w:val="nil"/>
              <w:bottom w:val="nil"/>
              <w:right w:val="nil"/>
              <w:tl2br w:val="nil"/>
              <w:tr2bl w:val="nil"/>
            </w:tcBorders>
            <w:shd w:val="clear" w:color="auto" w:fill="FFFFFF"/>
            <w:tcMar>
              <w:left w:w="101" w:type="dxa"/>
              <w:right w:w="101" w:type="dxa"/>
            </w:tcMar>
            <w:vAlign w:val="bottom"/>
          </w:tcPr>
          <w:p w14:paraId="7243F0C4" w14:textId="77777777" w:rsidR="00724034" w:rsidRDefault="00724034">
            <w:pPr>
              <w:rPr>
                <w:rFonts w:ascii="Arial" w:eastAsia="Arial" w:hAnsi="Arial" w:cs="Arial"/>
                <w:i/>
                <w:color w:val="000000"/>
                <w:sz w:val="16"/>
                <w:vertAlign w:val="superscript"/>
              </w:rPr>
            </w:pPr>
          </w:p>
        </w:tc>
        <w:tc>
          <w:tcPr>
            <w:tcW w:w="975" w:type="dxa"/>
            <w:tcBorders>
              <w:top w:val="nil"/>
              <w:left w:val="nil"/>
              <w:bottom w:val="nil"/>
              <w:right w:val="nil"/>
              <w:tl2br w:val="nil"/>
              <w:tr2bl w:val="nil"/>
            </w:tcBorders>
            <w:shd w:val="clear" w:color="auto" w:fill="FFFF00"/>
            <w:tcMar>
              <w:left w:w="101" w:type="dxa"/>
              <w:right w:w="101" w:type="dxa"/>
            </w:tcMar>
            <w:vAlign w:val="bottom"/>
          </w:tcPr>
          <w:p w14:paraId="33788105" w14:textId="77777777" w:rsidR="00724034" w:rsidRDefault="00724034">
            <w:pPr>
              <w:jc w:val="right"/>
              <w:rPr>
                <w:rFonts w:ascii="Arial" w:eastAsia="Arial" w:hAnsi="Arial" w:cs="Arial"/>
                <w:color w:val="000000"/>
                <w:sz w:val="16"/>
                <w:vertAlign w:val="superscript"/>
              </w:rPr>
            </w:pPr>
          </w:p>
        </w:tc>
        <w:tc>
          <w:tcPr>
            <w:tcW w:w="975" w:type="dxa"/>
            <w:tcBorders>
              <w:top w:val="nil"/>
              <w:left w:val="nil"/>
              <w:bottom w:val="nil"/>
              <w:right w:val="nil"/>
              <w:tl2br w:val="nil"/>
              <w:tr2bl w:val="nil"/>
            </w:tcBorders>
            <w:shd w:val="clear" w:color="auto" w:fill="FFFFFF"/>
            <w:tcMar>
              <w:left w:w="101" w:type="dxa"/>
              <w:right w:w="101" w:type="dxa"/>
            </w:tcMar>
            <w:vAlign w:val="bottom"/>
          </w:tcPr>
          <w:p w14:paraId="30FA735C" w14:textId="77777777" w:rsidR="00724034" w:rsidRDefault="00724034">
            <w:pPr>
              <w:jc w:val="right"/>
              <w:rPr>
                <w:rFonts w:ascii="Arial" w:eastAsia="Arial" w:hAnsi="Arial" w:cs="Arial"/>
                <w:color w:val="000000"/>
                <w:sz w:val="16"/>
                <w:vertAlign w:val="superscript"/>
              </w:rPr>
            </w:pPr>
          </w:p>
        </w:tc>
        <w:tc>
          <w:tcPr>
            <w:tcW w:w="975" w:type="dxa"/>
            <w:tcBorders>
              <w:top w:val="nil"/>
              <w:left w:val="nil"/>
              <w:bottom w:val="nil"/>
              <w:right w:val="nil"/>
              <w:tl2br w:val="nil"/>
              <w:tr2bl w:val="nil"/>
            </w:tcBorders>
            <w:shd w:val="clear" w:color="auto" w:fill="FFFFFF"/>
            <w:tcMar>
              <w:left w:w="101" w:type="dxa"/>
              <w:right w:w="101" w:type="dxa"/>
            </w:tcMar>
            <w:vAlign w:val="bottom"/>
          </w:tcPr>
          <w:p w14:paraId="13286266" w14:textId="77777777" w:rsidR="00724034" w:rsidRDefault="00724034">
            <w:pPr>
              <w:jc w:val="right"/>
              <w:rPr>
                <w:rFonts w:ascii="Arial" w:eastAsia="Arial" w:hAnsi="Arial" w:cs="Arial"/>
                <w:color w:val="000000"/>
                <w:sz w:val="16"/>
                <w:vertAlign w:val="superscript"/>
              </w:rPr>
            </w:pPr>
          </w:p>
        </w:tc>
        <w:tc>
          <w:tcPr>
            <w:tcW w:w="975" w:type="dxa"/>
            <w:tcBorders>
              <w:top w:val="nil"/>
              <w:left w:val="nil"/>
              <w:bottom w:val="nil"/>
              <w:right w:val="single" w:sz="6" w:space="0" w:color="000000"/>
              <w:tl2br w:val="nil"/>
              <w:tr2bl w:val="nil"/>
            </w:tcBorders>
            <w:shd w:val="clear" w:color="auto" w:fill="FFFFFF"/>
            <w:tcMar>
              <w:left w:w="101" w:type="dxa"/>
              <w:right w:w="101" w:type="dxa"/>
            </w:tcMar>
            <w:vAlign w:val="bottom"/>
          </w:tcPr>
          <w:p w14:paraId="0F538B98" w14:textId="77777777" w:rsidR="00724034" w:rsidRDefault="00724034">
            <w:pPr>
              <w:jc w:val="right"/>
              <w:rPr>
                <w:rFonts w:ascii="Arial" w:eastAsia="Arial" w:hAnsi="Arial" w:cs="Arial"/>
                <w:color w:val="000000"/>
                <w:sz w:val="16"/>
                <w:vertAlign w:val="superscript"/>
              </w:rPr>
            </w:pPr>
          </w:p>
        </w:tc>
      </w:tr>
      <w:tr w:rsidR="00724034" w14:paraId="1FAD7F12" w14:textId="77777777">
        <w:trPr>
          <w:trHeight w:val="225"/>
        </w:trPr>
        <w:tc>
          <w:tcPr>
            <w:tcW w:w="180" w:type="dxa"/>
            <w:tcBorders>
              <w:top w:val="nil"/>
              <w:left w:val="single" w:sz="6" w:space="0" w:color="000000"/>
              <w:bottom w:val="nil"/>
              <w:right w:val="nil"/>
              <w:tl2br w:val="nil"/>
              <w:tr2bl w:val="nil"/>
            </w:tcBorders>
            <w:shd w:val="clear" w:color="auto" w:fill="FFFFFF"/>
            <w:tcMar>
              <w:left w:w="101" w:type="dxa"/>
              <w:right w:w="101" w:type="dxa"/>
            </w:tcMar>
            <w:vAlign w:val="bottom"/>
          </w:tcPr>
          <w:p w14:paraId="27E7C19F" w14:textId="77777777" w:rsidR="00724034" w:rsidRDefault="00724034">
            <w:pPr>
              <w:rPr>
                <w:rFonts w:ascii="Arial" w:eastAsia="Arial" w:hAnsi="Arial" w:cs="Arial"/>
                <w:color w:val="000000"/>
                <w:sz w:val="16"/>
                <w:vertAlign w:val="superscript"/>
              </w:rPr>
            </w:pPr>
          </w:p>
        </w:tc>
        <w:tc>
          <w:tcPr>
            <w:tcW w:w="180" w:type="dxa"/>
            <w:tcBorders>
              <w:top w:val="nil"/>
              <w:left w:val="nil"/>
              <w:bottom w:val="nil"/>
              <w:right w:val="nil"/>
              <w:tl2br w:val="nil"/>
              <w:tr2bl w:val="nil"/>
            </w:tcBorders>
            <w:shd w:val="clear" w:color="auto" w:fill="FFFFFF"/>
            <w:tcMar>
              <w:left w:w="101" w:type="dxa"/>
              <w:right w:w="101" w:type="dxa"/>
            </w:tcMar>
            <w:vAlign w:val="bottom"/>
          </w:tcPr>
          <w:p w14:paraId="00FBAEA8" w14:textId="77777777" w:rsidR="00724034" w:rsidRDefault="00724034">
            <w:pPr>
              <w:rPr>
                <w:rFonts w:ascii="Arial" w:eastAsia="Arial" w:hAnsi="Arial" w:cs="Arial"/>
                <w:color w:val="000000"/>
                <w:sz w:val="16"/>
                <w:vertAlign w:val="superscript"/>
              </w:rPr>
            </w:pPr>
          </w:p>
        </w:tc>
        <w:tc>
          <w:tcPr>
            <w:tcW w:w="2730" w:type="dxa"/>
            <w:tcBorders>
              <w:top w:val="nil"/>
              <w:left w:val="nil"/>
              <w:bottom w:val="nil"/>
              <w:right w:val="nil"/>
              <w:tl2br w:val="nil"/>
              <w:tr2bl w:val="nil"/>
            </w:tcBorders>
            <w:shd w:val="clear" w:color="auto" w:fill="FFFFFF"/>
            <w:tcMar>
              <w:left w:w="101" w:type="dxa"/>
              <w:right w:w="101" w:type="dxa"/>
            </w:tcMar>
            <w:vAlign w:val="bottom"/>
          </w:tcPr>
          <w:p w14:paraId="526817DB" w14:textId="77777777" w:rsidR="00724034" w:rsidRDefault="00FB7D0B">
            <w:pPr>
              <w:rPr>
                <w:rFonts w:ascii="Arial" w:eastAsia="Arial" w:hAnsi="Arial" w:cs="Arial"/>
                <w:color w:val="000000"/>
                <w:sz w:val="16"/>
                <w:vertAlign w:val="superscript"/>
              </w:rPr>
            </w:pPr>
            <w:r>
              <w:rPr>
                <w:rFonts w:ascii="Arial" w:eastAsia="Arial" w:hAnsi="Arial" w:cs="Arial"/>
                <w:color w:val="000000"/>
                <w:sz w:val="16"/>
              </w:rPr>
              <w:t>LMO consultations</w:t>
            </w:r>
          </w:p>
        </w:tc>
        <w:tc>
          <w:tcPr>
            <w:tcW w:w="975" w:type="dxa"/>
            <w:tcBorders>
              <w:top w:val="nil"/>
              <w:left w:val="nil"/>
              <w:bottom w:val="nil"/>
              <w:right w:val="nil"/>
              <w:tl2br w:val="nil"/>
              <w:tr2bl w:val="nil"/>
            </w:tcBorders>
            <w:shd w:val="clear" w:color="auto" w:fill="FFFFFF"/>
            <w:tcMar>
              <w:left w:w="101" w:type="dxa"/>
              <w:right w:w="101" w:type="dxa"/>
            </w:tcMar>
            <w:vAlign w:val="bottom"/>
          </w:tcPr>
          <w:p w14:paraId="7E680891" w14:textId="77777777" w:rsidR="00724034" w:rsidRDefault="00FB7D0B">
            <w:pPr>
              <w:jc w:val="right"/>
              <w:rPr>
                <w:rFonts w:ascii="Arial" w:eastAsia="Arial" w:hAnsi="Arial" w:cs="Arial"/>
                <w:color w:val="000000"/>
                <w:sz w:val="16"/>
                <w:vertAlign w:val="superscript"/>
              </w:rPr>
            </w:pPr>
            <w:r>
              <w:rPr>
                <w:rFonts w:ascii="Arial" w:eastAsia="Arial" w:hAnsi="Arial" w:cs="Arial"/>
                <w:color w:val="000000"/>
                <w:sz w:val="16"/>
              </w:rPr>
              <w:t>158,234 </w:t>
            </w:r>
          </w:p>
        </w:tc>
        <w:tc>
          <w:tcPr>
            <w:tcW w:w="975" w:type="dxa"/>
            <w:tcBorders>
              <w:top w:val="nil"/>
              <w:left w:val="nil"/>
              <w:bottom w:val="nil"/>
              <w:right w:val="nil"/>
              <w:tl2br w:val="nil"/>
              <w:tr2bl w:val="nil"/>
            </w:tcBorders>
            <w:shd w:val="clear" w:color="auto" w:fill="FFFF00"/>
            <w:tcMar>
              <w:left w:w="101" w:type="dxa"/>
              <w:right w:w="101" w:type="dxa"/>
            </w:tcMar>
            <w:vAlign w:val="bottom"/>
          </w:tcPr>
          <w:p w14:paraId="781DB070" w14:textId="77777777" w:rsidR="00724034" w:rsidRDefault="00FB7D0B">
            <w:pPr>
              <w:jc w:val="right"/>
              <w:rPr>
                <w:rFonts w:ascii="Arial" w:eastAsia="Arial" w:hAnsi="Arial" w:cs="Arial"/>
                <w:color w:val="000000"/>
                <w:sz w:val="16"/>
              </w:rPr>
            </w:pPr>
            <w:r>
              <w:rPr>
                <w:rFonts w:ascii="Arial" w:eastAsia="Arial" w:hAnsi="Arial" w:cs="Arial"/>
                <w:color w:val="000000"/>
                <w:sz w:val="16"/>
              </w:rPr>
              <w:t>156,057 </w:t>
            </w:r>
          </w:p>
        </w:tc>
        <w:tc>
          <w:tcPr>
            <w:tcW w:w="975" w:type="dxa"/>
            <w:tcBorders>
              <w:top w:val="nil"/>
              <w:left w:val="nil"/>
              <w:bottom w:val="nil"/>
              <w:right w:val="nil"/>
              <w:tl2br w:val="nil"/>
              <w:tr2bl w:val="nil"/>
            </w:tcBorders>
            <w:shd w:val="clear" w:color="auto" w:fill="FFFFFF"/>
            <w:tcMar>
              <w:left w:w="101" w:type="dxa"/>
              <w:right w:w="101" w:type="dxa"/>
            </w:tcMar>
            <w:vAlign w:val="bottom"/>
          </w:tcPr>
          <w:p w14:paraId="2606AC01" w14:textId="77777777" w:rsidR="00724034" w:rsidRDefault="00FB7D0B">
            <w:pPr>
              <w:jc w:val="right"/>
              <w:rPr>
                <w:rFonts w:ascii="Arial" w:eastAsia="Arial" w:hAnsi="Arial" w:cs="Arial"/>
                <w:color w:val="000000"/>
                <w:sz w:val="16"/>
              </w:rPr>
            </w:pPr>
            <w:r>
              <w:rPr>
                <w:rFonts w:ascii="Arial" w:eastAsia="Arial" w:hAnsi="Arial" w:cs="Arial"/>
                <w:color w:val="000000"/>
                <w:sz w:val="16"/>
              </w:rPr>
              <w:t>153,547 </w:t>
            </w:r>
          </w:p>
        </w:tc>
        <w:tc>
          <w:tcPr>
            <w:tcW w:w="975" w:type="dxa"/>
            <w:tcBorders>
              <w:top w:val="nil"/>
              <w:left w:val="nil"/>
              <w:bottom w:val="nil"/>
              <w:right w:val="nil"/>
              <w:tl2br w:val="nil"/>
              <w:tr2bl w:val="nil"/>
            </w:tcBorders>
            <w:shd w:val="clear" w:color="auto" w:fill="FFFFFF"/>
            <w:tcMar>
              <w:left w:w="101" w:type="dxa"/>
              <w:right w:w="101" w:type="dxa"/>
            </w:tcMar>
            <w:vAlign w:val="bottom"/>
          </w:tcPr>
          <w:p w14:paraId="69016AD1" w14:textId="77777777" w:rsidR="00724034" w:rsidRDefault="00FB7D0B">
            <w:pPr>
              <w:jc w:val="right"/>
              <w:rPr>
                <w:rFonts w:ascii="Arial" w:eastAsia="Arial" w:hAnsi="Arial" w:cs="Arial"/>
                <w:color w:val="000000"/>
                <w:sz w:val="16"/>
              </w:rPr>
            </w:pPr>
            <w:r>
              <w:rPr>
                <w:rFonts w:ascii="Arial" w:eastAsia="Arial" w:hAnsi="Arial" w:cs="Arial"/>
                <w:color w:val="000000"/>
                <w:sz w:val="16"/>
              </w:rPr>
              <w:t>150,674 </w:t>
            </w:r>
          </w:p>
        </w:tc>
        <w:tc>
          <w:tcPr>
            <w:tcW w:w="975" w:type="dxa"/>
            <w:tcBorders>
              <w:top w:val="nil"/>
              <w:left w:val="nil"/>
              <w:bottom w:val="nil"/>
              <w:right w:val="single" w:sz="6" w:space="0" w:color="000000"/>
              <w:tl2br w:val="nil"/>
              <w:tr2bl w:val="nil"/>
            </w:tcBorders>
            <w:shd w:val="clear" w:color="auto" w:fill="FFFFFF"/>
            <w:tcMar>
              <w:left w:w="101" w:type="dxa"/>
              <w:right w:w="101" w:type="dxa"/>
            </w:tcMar>
            <w:vAlign w:val="bottom"/>
          </w:tcPr>
          <w:p w14:paraId="766BC690" w14:textId="77777777" w:rsidR="00724034" w:rsidRDefault="00FB7D0B">
            <w:pPr>
              <w:jc w:val="right"/>
              <w:rPr>
                <w:rFonts w:ascii="Arial" w:eastAsia="Arial" w:hAnsi="Arial" w:cs="Arial"/>
                <w:color w:val="000000"/>
                <w:sz w:val="16"/>
              </w:rPr>
            </w:pPr>
            <w:r>
              <w:rPr>
                <w:rFonts w:ascii="Arial" w:eastAsia="Arial" w:hAnsi="Arial" w:cs="Arial"/>
                <w:color w:val="000000"/>
                <w:sz w:val="16"/>
              </w:rPr>
              <w:t>149,159 </w:t>
            </w:r>
          </w:p>
        </w:tc>
      </w:tr>
      <w:tr w:rsidR="00724034" w14:paraId="7D45D9F6" w14:textId="77777777">
        <w:trPr>
          <w:trHeight w:val="225"/>
        </w:trPr>
        <w:tc>
          <w:tcPr>
            <w:tcW w:w="180" w:type="dxa"/>
            <w:tcBorders>
              <w:top w:val="nil"/>
              <w:left w:val="single" w:sz="6" w:space="0" w:color="000000"/>
              <w:bottom w:val="nil"/>
              <w:right w:val="nil"/>
              <w:tl2br w:val="nil"/>
              <w:tr2bl w:val="nil"/>
            </w:tcBorders>
            <w:shd w:val="clear" w:color="auto" w:fill="FFFFFF"/>
            <w:tcMar>
              <w:left w:w="101" w:type="dxa"/>
              <w:right w:w="101" w:type="dxa"/>
            </w:tcMar>
            <w:vAlign w:val="bottom"/>
          </w:tcPr>
          <w:p w14:paraId="5DF099A6" w14:textId="77777777" w:rsidR="00724034" w:rsidRDefault="00724034">
            <w:pPr>
              <w:rPr>
                <w:rFonts w:ascii="Arial" w:eastAsia="Arial" w:hAnsi="Arial" w:cs="Arial"/>
                <w:color w:val="000000"/>
                <w:sz w:val="16"/>
              </w:rPr>
            </w:pPr>
          </w:p>
        </w:tc>
        <w:tc>
          <w:tcPr>
            <w:tcW w:w="180" w:type="dxa"/>
            <w:tcBorders>
              <w:top w:val="nil"/>
              <w:left w:val="nil"/>
              <w:bottom w:val="nil"/>
              <w:right w:val="nil"/>
              <w:tl2br w:val="nil"/>
              <w:tr2bl w:val="nil"/>
            </w:tcBorders>
            <w:shd w:val="clear" w:color="auto" w:fill="FFFFFF"/>
            <w:tcMar>
              <w:left w:w="101" w:type="dxa"/>
              <w:right w:w="101" w:type="dxa"/>
            </w:tcMar>
            <w:vAlign w:val="bottom"/>
          </w:tcPr>
          <w:p w14:paraId="72435369" w14:textId="77777777" w:rsidR="00724034" w:rsidRDefault="00724034">
            <w:pPr>
              <w:rPr>
                <w:rFonts w:ascii="Arial" w:eastAsia="Arial" w:hAnsi="Arial" w:cs="Arial"/>
                <w:color w:val="000000"/>
                <w:sz w:val="16"/>
              </w:rPr>
            </w:pPr>
          </w:p>
        </w:tc>
        <w:tc>
          <w:tcPr>
            <w:tcW w:w="2730" w:type="dxa"/>
            <w:tcBorders>
              <w:top w:val="nil"/>
              <w:left w:val="nil"/>
              <w:bottom w:val="nil"/>
              <w:right w:val="nil"/>
              <w:tl2br w:val="nil"/>
              <w:tr2bl w:val="nil"/>
            </w:tcBorders>
            <w:shd w:val="clear" w:color="auto" w:fill="FFFFFF"/>
            <w:tcMar>
              <w:left w:w="101" w:type="dxa"/>
              <w:right w:w="101" w:type="dxa"/>
            </w:tcMar>
            <w:vAlign w:val="bottom"/>
          </w:tcPr>
          <w:p w14:paraId="1BE3E8BF" w14:textId="77777777" w:rsidR="00724034" w:rsidRDefault="00FB7D0B">
            <w:pPr>
              <w:rPr>
                <w:rFonts w:ascii="Arial" w:eastAsia="Arial" w:hAnsi="Arial" w:cs="Arial"/>
                <w:color w:val="000000"/>
                <w:sz w:val="16"/>
              </w:rPr>
            </w:pPr>
            <w:r>
              <w:rPr>
                <w:rFonts w:ascii="Arial" w:eastAsia="Arial" w:hAnsi="Arial" w:cs="Arial"/>
                <w:color w:val="000000"/>
                <w:sz w:val="16"/>
              </w:rPr>
              <w:t>Specialist consultations</w:t>
            </w:r>
          </w:p>
        </w:tc>
        <w:tc>
          <w:tcPr>
            <w:tcW w:w="975" w:type="dxa"/>
            <w:tcBorders>
              <w:top w:val="nil"/>
              <w:left w:val="nil"/>
              <w:bottom w:val="nil"/>
              <w:right w:val="nil"/>
              <w:tl2br w:val="nil"/>
              <w:tr2bl w:val="nil"/>
            </w:tcBorders>
            <w:shd w:val="clear" w:color="auto" w:fill="FFFFFF"/>
            <w:tcMar>
              <w:left w:w="101" w:type="dxa"/>
              <w:right w:w="101" w:type="dxa"/>
            </w:tcMar>
            <w:vAlign w:val="bottom"/>
          </w:tcPr>
          <w:p w14:paraId="116495C5" w14:textId="77777777" w:rsidR="00724034" w:rsidRDefault="00FB7D0B">
            <w:pPr>
              <w:jc w:val="right"/>
              <w:rPr>
                <w:rFonts w:ascii="Arial" w:eastAsia="Arial" w:hAnsi="Arial" w:cs="Arial"/>
                <w:color w:val="000000"/>
                <w:sz w:val="16"/>
                <w:vertAlign w:val="superscript"/>
              </w:rPr>
            </w:pPr>
            <w:r>
              <w:rPr>
                <w:rFonts w:ascii="Arial" w:eastAsia="Arial" w:hAnsi="Arial" w:cs="Arial"/>
                <w:color w:val="000000"/>
                <w:sz w:val="16"/>
              </w:rPr>
              <w:t>157,200 </w:t>
            </w:r>
          </w:p>
        </w:tc>
        <w:tc>
          <w:tcPr>
            <w:tcW w:w="975" w:type="dxa"/>
            <w:tcBorders>
              <w:top w:val="nil"/>
              <w:left w:val="nil"/>
              <w:bottom w:val="nil"/>
              <w:right w:val="nil"/>
              <w:tl2br w:val="nil"/>
              <w:tr2bl w:val="nil"/>
            </w:tcBorders>
            <w:shd w:val="clear" w:color="auto" w:fill="FFFF00"/>
            <w:tcMar>
              <w:left w:w="101" w:type="dxa"/>
              <w:right w:w="101" w:type="dxa"/>
            </w:tcMar>
            <w:vAlign w:val="bottom"/>
          </w:tcPr>
          <w:p w14:paraId="5AD26AC0" w14:textId="77777777" w:rsidR="00724034" w:rsidRDefault="00FB7D0B">
            <w:pPr>
              <w:jc w:val="right"/>
              <w:rPr>
                <w:rFonts w:ascii="Arial" w:eastAsia="Arial" w:hAnsi="Arial" w:cs="Arial"/>
                <w:color w:val="000000"/>
                <w:sz w:val="16"/>
              </w:rPr>
            </w:pPr>
            <w:r>
              <w:rPr>
                <w:rFonts w:ascii="Arial" w:eastAsia="Arial" w:hAnsi="Arial" w:cs="Arial"/>
                <w:color w:val="000000"/>
                <w:sz w:val="16"/>
              </w:rPr>
              <w:t>148,640 </w:t>
            </w:r>
          </w:p>
        </w:tc>
        <w:tc>
          <w:tcPr>
            <w:tcW w:w="975" w:type="dxa"/>
            <w:tcBorders>
              <w:top w:val="nil"/>
              <w:left w:val="nil"/>
              <w:bottom w:val="nil"/>
              <w:right w:val="nil"/>
              <w:tl2br w:val="nil"/>
              <w:tr2bl w:val="nil"/>
            </w:tcBorders>
            <w:shd w:val="clear" w:color="auto" w:fill="FFFFFF"/>
            <w:tcMar>
              <w:left w:w="101" w:type="dxa"/>
              <w:right w:w="101" w:type="dxa"/>
            </w:tcMar>
            <w:vAlign w:val="bottom"/>
          </w:tcPr>
          <w:p w14:paraId="55562CD4" w14:textId="77777777" w:rsidR="00724034" w:rsidRDefault="00FB7D0B">
            <w:pPr>
              <w:jc w:val="right"/>
              <w:rPr>
                <w:rFonts w:ascii="Arial" w:eastAsia="Arial" w:hAnsi="Arial" w:cs="Arial"/>
                <w:color w:val="000000"/>
                <w:sz w:val="16"/>
              </w:rPr>
            </w:pPr>
            <w:r>
              <w:rPr>
                <w:rFonts w:ascii="Arial" w:eastAsia="Arial" w:hAnsi="Arial" w:cs="Arial"/>
                <w:color w:val="000000"/>
                <w:sz w:val="16"/>
              </w:rPr>
              <w:t>144,081 </w:t>
            </w:r>
          </w:p>
        </w:tc>
        <w:tc>
          <w:tcPr>
            <w:tcW w:w="975" w:type="dxa"/>
            <w:tcBorders>
              <w:top w:val="nil"/>
              <w:left w:val="nil"/>
              <w:bottom w:val="nil"/>
              <w:right w:val="nil"/>
              <w:tl2br w:val="nil"/>
              <w:tr2bl w:val="nil"/>
            </w:tcBorders>
            <w:shd w:val="clear" w:color="auto" w:fill="FFFFFF"/>
            <w:tcMar>
              <w:left w:w="101" w:type="dxa"/>
              <w:right w:w="101" w:type="dxa"/>
            </w:tcMar>
            <w:vAlign w:val="bottom"/>
          </w:tcPr>
          <w:p w14:paraId="66029C20" w14:textId="77777777" w:rsidR="00724034" w:rsidRDefault="00FB7D0B">
            <w:pPr>
              <w:jc w:val="right"/>
              <w:rPr>
                <w:rFonts w:ascii="Arial" w:eastAsia="Arial" w:hAnsi="Arial" w:cs="Arial"/>
                <w:color w:val="000000"/>
                <w:sz w:val="16"/>
              </w:rPr>
            </w:pPr>
            <w:r>
              <w:rPr>
                <w:rFonts w:ascii="Arial" w:eastAsia="Arial" w:hAnsi="Arial" w:cs="Arial"/>
                <w:color w:val="000000"/>
                <w:sz w:val="16"/>
              </w:rPr>
              <w:t>144,143 </w:t>
            </w:r>
          </w:p>
        </w:tc>
        <w:tc>
          <w:tcPr>
            <w:tcW w:w="975" w:type="dxa"/>
            <w:tcBorders>
              <w:top w:val="nil"/>
              <w:left w:val="nil"/>
              <w:bottom w:val="nil"/>
              <w:right w:val="single" w:sz="6" w:space="0" w:color="000000"/>
              <w:tl2br w:val="nil"/>
              <w:tr2bl w:val="nil"/>
            </w:tcBorders>
            <w:shd w:val="clear" w:color="auto" w:fill="FFFFFF"/>
            <w:tcMar>
              <w:left w:w="101" w:type="dxa"/>
              <w:right w:w="101" w:type="dxa"/>
            </w:tcMar>
            <w:vAlign w:val="bottom"/>
          </w:tcPr>
          <w:p w14:paraId="0D2C7309" w14:textId="77777777" w:rsidR="00724034" w:rsidRDefault="00FB7D0B">
            <w:pPr>
              <w:jc w:val="right"/>
              <w:rPr>
                <w:rFonts w:ascii="Arial" w:eastAsia="Arial" w:hAnsi="Arial" w:cs="Arial"/>
                <w:color w:val="000000"/>
                <w:sz w:val="16"/>
              </w:rPr>
            </w:pPr>
            <w:r>
              <w:rPr>
                <w:rFonts w:ascii="Arial" w:eastAsia="Arial" w:hAnsi="Arial" w:cs="Arial"/>
                <w:color w:val="000000"/>
                <w:sz w:val="16"/>
              </w:rPr>
              <w:t>139,755 </w:t>
            </w:r>
          </w:p>
        </w:tc>
      </w:tr>
      <w:tr w:rsidR="00724034" w14:paraId="0159AD42" w14:textId="77777777">
        <w:trPr>
          <w:trHeight w:val="225"/>
        </w:trPr>
        <w:tc>
          <w:tcPr>
            <w:tcW w:w="180" w:type="dxa"/>
            <w:tcBorders>
              <w:top w:val="nil"/>
              <w:left w:val="single" w:sz="6" w:space="0" w:color="000000"/>
              <w:bottom w:val="nil"/>
              <w:right w:val="nil"/>
              <w:tl2br w:val="nil"/>
              <w:tr2bl w:val="nil"/>
            </w:tcBorders>
            <w:shd w:val="clear" w:color="auto" w:fill="FFFFFF"/>
            <w:tcMar>
              <w:left w:w="101" w:type="dxa"/>
              <w:right w:w="101" w:type="dxa"/>
            </w:tcMar>
            <w:vAlign w:val="bottom"/>
          </w:tcPr>
          <w:p w14:paraId="7BC7AD52" w14:textId="77777777" w:rsidR="00724034" w:rsidRDefault="00724034">
            <w:pPr>
              <w:rPr>
                <w:rFonts w:ascii="Arial" w:eastAsia="Arial" w:hAnsi="Arial" w:cs="Arial"/>
                <w:color w:val="000000"/>
                <w:sz w:val="16"/>
              </w:rPr>
            </w:pPr>
          </w:p>
        </w:tc>
        <w:tc>
          <w:tcPr>
            <w:tcW w:w="180" w:type="dxa"/>
            <w:tcBorders>
              <w:top w:val="nil"/>
              <w:left w:val="nil"/>
              <w:bottom w:val="nil"/>
              <w:right w:val="nil"/>
              <w:tl2br w:val="nil"/>
              <w:tr2bl w:val="nil"/>
            </w:tcBorders>
            <w:shd w:val="clear" w:color="auto" w:fill="FFFFFF"/>
            <w:tcMar>
              <w:left w:w="101" w:type="dxa"/>
              <w:right w:w="101" w:type="dxa"/>
            </w:tcMar>
            <w:vAlign w:val="bottom"/>
          </w:tcPr>
          <w:p w14:paraId="365125D7" w14:textId="77777777" w:rsidR="00724034" w:rsidRDefault="00724034">
            <w:pPr>
              <w:rPr>
                <w:rFonts w:ascii="Arial" w:eastAsia="Arial" w:hAnsi="Arial" w:cs="Arial"/>
                <w:color w:val="000000"/>
                <w:sz w:val="16"/>
              </w:rPr>
            </w:pPr>
          </w:p>
        </w:tc>
        <w:tc>
          <w:tcPr>
            <w:tcW w:w="2730" w:type="dxa"/>
            <w:tcBorders>
              <w:top w:val="nil"/>
              <w:left w:val="nil"/>
              <w:bottom w:val="nil"/>
              <w:right w:val="nil"/>
              <w:tl2br w:val="nil"/>
              <w:tr2bl w:val="nil"/>
            </w:tcBorders>
            <w:shd w:val="clear" w:color="auto" w:fill="FFFFFF"/>
            <w:tcMar>
              <w:left w:w="101" w:type="dxa"/>
              <w:right w:w="101" w:type="dxa"/>
            </w:tcMar>
            <w:vAlign w:val="bottom"/>
          </w:tcPr>
          <w:p w14:paraId="6225771B" w14:textId="77777777" w:rsidR="00724034" w:rsidRDefault="00FB7D0B">
            <w:pPr>
              <w:rPr>
                <w:rFonts w:ascii="Arial" w:eastAsia="Arial" w:hAnsi="Arial" w:cs="Arial"/>
                <w:color w:val="000000"/>
                <w:sz w:val="16"/>
              </w:rPr>
            </w:pPr>
            <w:r>
              <w:rPr>
                <w:rFonts w:ascii="Arial" w:eastAsia="Arial" w:hAnsi="Arial" w:cs="Arial"/>
                <w:color w:val="000000"/>
                <w:sz w:val="16"/>
              </w:rPr>
              <w:t>Medical services</w:t>
            </w:r>
          </w:p>
        </w:tc>
        <w:tc>
          <w:tcPr>
            <w:tcW w:w="975" w:type="dxa"/>
            <w:tcBorders>
              <w:top w:val="nil"/>
              <w:left w:val="nil"/>
              <w:bottom w:val="nil"/>
              <w:right w:val="nil"/>
              <w:tl2br w:val="nil"/>
              <w:tr2bl w:val="nil"/>
            </w:tcBorders>
            <w:shd w:val="clear" w:color="auto" w:fill="FFFFFF"/>
            <w:tcMar>
              <w:left w:w="101" w:type="dxa"/>
              <w:right w:w="101" w:type="dxa"/>
            </w:tcMar>
            <w:vAlign w:val="bottom"/>
          </w:tcPr>
          <w:p w14:paraId="52572405" w14:textId="77777777" w:rsidR="00724034" w:rsidRDefault="00FB7D0B">
            <w:pPr>
              <w:jc w:val="right"/>
              <w:rPr>
                <w:rFonts w:ascii="Arial" w:eastAsia="Arial" w:hAnsi="Arial" w:cs="Arial"/>
                <w:color w:val="000000"/>
                <w:sz w:val="16"/>
                <w:vertAlign w:val="superscript"/>
              </w:rPr>
            </w:pPr>
            <w:r>
              <w:rPr>
                <w:rFonts w:ascii="Arial" w:eastAsia="Arial" w:hAnsi="Arial" w:cs="Arial"/>
                <w:color w:val="000000"/>
                <w:sz w:val="16"/>
              </w:rPr>
              <w:t>482,259 </w:t>
            </w:r>
          </w:p>
        </w:tc>
        <w:tc>
          <w:tcPr>
            <w:tcW w:w="975" w:type="dxa"/>
            <w:tcBorders>
              <w:top w:val="nil"/>
              <w:left w:val="nil"/>
              <w:bottom w:val="nil"/>
              <w:right w:val="nil"/>
              <w:tl2br w:val="nil"/>
              <w:tr2bl w:val="nil"/>
            </w:tcBorders>
            <w:shd w:val="clear" w:color="auto" w:fill="FFFF00"/>
            <w:tcMar>
              <w:left w:w="101" w:type="dxa"/>
              <w:right w:w="101" w:type="dxa"/>
            </w:tcMar>
            <w:vAlign w:val="bottom"/>
          </w:tcPr>
          <w:p w14:paraId="740DAC27" w14:textId="77777777" w:rsidR="00724034" w:rsidRDefault="00FB7D0B">
            <w:pPr>
              <w:jc w:val="right"/>
              <w:rPr>
                <w:rFonts w:ascii="Arial" w:eastAsia="Arial" w:hAnsi="Arial" w:cs="Arial"/>
                <w:color w:val="000000"/>
                <w:sz w:val="16"/>
              </w:rPr>
            </w:pPr>
            <w:r>
              <w:rPr>
                <w:rFonts w:ascii="Arial" w:eastAsia="Arial" w:hAnsi="Arial" w:cs="Arial"/>
                <w:color w:val="000000"/>
                <w:sz w:val="16"/>
              </w:rPr>
              <w:t>471,947 </w:t>
            </w:r>
          </w:p>
        </w:tc>
        <w:tc>
          <w:tcPr>
            <w:tcW w:w="975" w:type="dxa"/>
            <w:tcBorders>
              <w:top w:val="nil"/>
              <w:left w:val="nil"/>
              <w:bottom w:val="nil"/>
              <w:right w:val="nil"/>
              <w:tl2br w:val="nil"/>
              <w:tr2bl w:val="nil"/>
            </w:tcBorders>
            <w:shd w:val="clear" w:color="auto" w:fill="FFFFFF"/>
            <w:tcMar>
              <w:left w:w="101" w:type="dxa"/>
              <w:right w:w="101" w:type="dxa"/>
            </w:tcMar>
            <w:vAlign w:val="bottom"/>
          </w:tcPr>
          <w:p w14:paraId="4B925A4A" w14:textId="77777777" w:rsidR="00724034" w:rsidRDefault="00FB7D0B">
            <w:pPr>
              <w:jc w:val="right"/>
              <w:rPr>
                <w:rFonts w:ascii="Arial" w:eastAsia="Arial" w:hAnsi="Arial" w:cs="Arial"/>
                <w:color w:val="000000"/>
                <w:sz w:val="16"/>
              </w:rPr>
            </w:pPr>
            <w:r>
              <w:rPr>
                <w:rFonts w:ascii="Arial" w:eastAsia="Arial" w:hAnsi="Arial" w:cs="Arial"/>
                <w:color w:val="000000"/>
                <w:sz w:val="16"/>
              </w:rPr>
              <w:t>462,019 </w:t>
            </w:r>
          </w:p>
        </w:tc>
        <w:tc>
          <w:tcPr>
            <w:tcW w:w="975" w:type="dxa"/>
            <w:tcBorders>
              <w:top w:val="nil"/>
              <w:left w:val="nil"/>
              <w:bottom w:val="nil"/>
              <w:right w:val="nil"/>
              <w:tl2br w:val="nil"/>
              <w:tr2bl w:val="nil"/>
            </w:tcBorders>
            <w:shd w:val="clear" w:color="auto" w:fill="FFFFFF"/>
            <w:tcMar>
              <w:left w:w="101" w:type="dxa"/>
              <w:right w:w="101" w:type="dxa"/>
            </w:tcMar>
            <w:vAlign w:val="bottom"/>
          </w:tcPr>
          <w:p w14:paraId="489EA81E" w14:textId="77777777" w:rsidR="00724034" w:rsidRDefault="00FB7D0B">
            <w:pPr>
              <w:jc w:val="right"/>
              <w:rPr>
                <w:rFonts w:ascii="Arial" w:eastAsia="Arial" w:hAnsi="Arial" w:cs="Arial"/>
                <w:color w:val="000000"/>
                <w:sz w:val="16"/>
              </w:rPr>
            </w:pPr>
            <w:r>
              <w:rPr>
                <w:rFonts w:ascii="Arial" w:eastAsia="Arial" w:hAnsi="Arial" w:cs="Arial"/>
                <w:color w:val="000000"/>
                <w:sz w:val="16"/>
              </w:rPr>
              <w:t>450,283 </w:t>
            </w:r>
          </w:p>
        </w:tc>
        <w:tc>
          <w:tcPr>
            <w:tcW w:w="975" w:type="dxa"/>
            <w:tcBorders>
              <w:top w:val="nil"/>
              <w:left w:val="nil"/>
              <w:bottom w:val="nil"/>
              <w:right w:val="single" w:sz="6" w:space="0" w:color="000000"/>
              <w:tl2br w:val="nil"/>
              <w:tr2bl w:val="nil"/>
            </w:tcBorders>
            <w:shd w:val="clear" w:color="auto" w:fill="FFFFFF"/>
            <w:tcMar>
              <w:left w:w="101" w:type="dxa"/>
              <w:right w:w="101" w:type="dxa"/>
            </w:tcMar>
            <w:vAlign w:val="bottom"/>
          </w:tcPr>
          <w:p w14:paraId="09A45B92" w14:textId="77777777" w:rsidR="00724034" w:rsidRDefault="00FB7D0B">
            <w:pPr>
              <w:jc w:val="right"/>
              <w:rPr>
                <w:rFonts w:ascii="Arial" w:eastAsia="Arial" w:hAnsi="Arial" w:cs="Arial"/>
                <w:color w:val="000000"/>
                <w:sz w:val="16"/>
              </w:rPr>
            </w:pPr>
            <w:r>
              <w:rPr>
                <w:rFonts w:ascii="Arial" w:eastAsia="Arial" w:hAnsi="Arial" w:cs="Arial"/>
                <w:color w:val="000000"/>
                <w:sz w:val="16"/>
              </w:rPr>
              <w:t>443,769 </w:t>
            </w:r>
          </w:p>
        </w:tc>
      </w:tr>
      <w:tr w:rsidR="00724034" w14:paraId="62AA3990" w14:textId="77777777">
        <w:trPr>
          <w:trHeight w:val="225"/>
        </w:trPr>
        <w:tc>
          <w:tcPr>
            <w:tcW w:w="180" w:type="dxa"/>
            <w:tcBorders>
              <w:top w:val="nil"/>
              <w:left w:val="single" w:sz="6" w:space="0" w:color="000000"/>
              <w:bottom w:val="nil"/>
              <w:right w:val="nil"/>
              <w:tl2br w:val="nil"/>
              <w:tr2bl w:val="nil"/>
            </w:tcBorders>
            <w:shd w:val="clear" w:color="auto" w:fill="FFFFFF"/>
            <w:tcMar>
              <w:left w:w="101" w:type="dxa"/>
              <w:right w:w="101" w:type="dxa"/>
            </w:tcMar>
            <w:vAlign w:val="bottom"/>
          </w:tcPr>
          <w:p w14:paraId="68587FCF" w14:textId="77777777" w:rsidR="00724034" w:rsidRDefault="00724034">
            <w:pPr>
              <w:rPr>
                <w:rFonts w:ascii="Arial" w:eastAsia="Arial" w:hAnsi="Arial" w:cs="Arial"/>
                <w:color w:val="000000"/>
                <w:sz w:val="16"/>
              </w:rPr>
            </w:pPr>
          </w:p>
        </w:tc>
        <w:tc>
          <w:tcPr>
            <w:tcW w:w="180" w:type="dxa"/>
            <w:tcBorders>
              <w:top w:val="nil"/>
              <w:left w:val="nil"/>
              <w:bottom w:val="nil"/>
              <w:right w:val="nil"/>
              <w:tl2br w:val="nil"/>
              <w:tr2bl w:val="nil"/>
            </w:tcBorders>
            <w:shd w:val="clear" w:color="auto" w:fill="FFFFFF"/>
            <w:tcMar>
              <w:left w:w="101" w:type="dxa"/>
              <w:right w:w="101" w:type="dxa"/>
            </w:tcMar>
            <w:vAlign w:val="bottom"/>
          </w:tcPr>
          <w:p w14:paraId="262C294E" w14:textId="77777777" w:rsidR="00724034" w:rsidRDefault="00724034">
            <w:pPr>
              <w:rPr>
                <w:rFonts w:ascii="Arial" w:eastAsia="Arial" w:hAnsi="Arial" w:cs="Arial"/>
                <w:color w:val="000000"/>
                <w:sz w:val="16"/>
              </w:rPr>
            </w:pPr>
          </w:p>
        </w:tc>
        <w:tc>
          <w:tcPr>
            <w:tcW w:w="2730" w:type="dxa"/>
            <w:tcBorders>
              <w:top w:val="nil"/>
              <w:left w:val="nil"/>
              <w:bottom w:val="nil"/>
              <w:right w:val="nil"/>
              <w:tl2br w:val="nil"/>
              <w:tr2bl w:val="nil"/>
            </w:tcBorders>
            <w:shd w:val="clear" w:color="auto" w:fill="FFFFFF"/>
            <w:tcMar>
              <w:left w:w="101" w:type="dxa"/>
              <w:right w:w="101" w:type="dxa"/>
            </w:tcMar>
            <w:vAlign w:val="bottom"/>
          </w:tcPr>
          <w:p w14:paraId="07395301" w14:textId="77777777" w:rsidR="00724034" w:rsidRDefault="00FB7D0B">
            <w:pPr>
              <w:rPr>
                <w:rFonts w:ascii="Arial" w:eastAsia="Arial" w:hAnsi="Arial" w:cs="Arial"/>
                <w:color w:val="000000"/>
                <w:sz w:val="16"/>
              </w:rPr>
            </w:pPr>
            <w:r>
              <w:rPr>
                <w:rFonts w:ascii="Arial" w:eastAsia="Arial" w:hAnsi="Arial" w:cs="Arial"/>
                <w:color w:val="000000"/>
                <w:sz w:val="16"/>
              </w:rPr>
              <w:t>Dental</w:t>
            </w:r>
          </w:p>
        </w:tc>
        <w:tc>
          <w:tcPr>
            <w:tcW w:w="975" w:type="dxa"/>
            <w:tcBorders>
              <w:top w:val="nil"/>
              <w:left w:val="nil"/>
              <w:bottom w:val="nil"/>
              <w:right w:val="nil"/>
              <w:tl2br w:val="nil"/>
              <w:tr2bl w:val="nil"/>
            </w:tcBorders>
            <w:shd w:val="clear" w:color="auto" w:fill="FFFFFF"/>
            <w:tcMar>
              <w:left w:w="101" w:type="dxa"/>
              <w:right w:w="101" w:type="dxa"/>
            </w:tcMar>
            <w:vAlign w:val="bottom"/>
          </w:tcPr>
          <w:p w14:paraId="3D3213A6" w14:textId="77777777" w:rsidR="00724034" w:rsidRDefault="00FB7D0B">
            <w:pPr>
              <w:jc w:val="right"/>
              <w:rPr>
                <w:rFonts w:ascii="Arial" w:eastAsia="Arial" w:hAnsi="Arial" w:cs="Arial"/>
                <w:color w:val="000000"/>
                <w:sz w:val="16"/>
                <w:vertAlign w:val="superscript"/>
              </w:rPr>
            </w:pPr>
            <w:r>
              <w:rPr>
                <w:rFonts w:ascii="Arial" w:eastAsia="Arial" w:hAnsi="Arial" w:cs="Arial"/>
                <w:color w:val="000000"/>
                <w:sz w:val="16"/>
              </w:rPr>
              <w:t>104,423 </w:t>
            </w:r>
          </w:p>
        </w:tc>
        <w:tc>
          <w:tcPr>
            <w:tcW w:w="975" w:type="dxa"/>
            <w:tcBorders>
              <w:top w:val="nil"/>
              <w:left w:val="nil"/>
              <w:bottom w:val="nil"/>
              <w:right w:val="nil"/>
              <w:tl2br w:val="nil"/>
              <w:tr2bl w:val="nil"/>
            </w:tcBorders>
            <w:shd w:val="clear" w:color="auto" w:fill="FFFF00"/>
            <w:tcMar>
              <w:left w:w="101" w:type="dxa"/>
              <w:right w:w="101" w:type="dxa"/>
            </w:tcMar>
            <w:vAlign w:val="bottom"/>
          </w:tcPr>
          <w:p w14:paraId="45288951" w14:textId="77777777" w:rsidR="00724034" w:rsidRDefault="00FB7D0B">
            <w:pPr>
              <w:jc w:val="right"/>
              <w:rPr>
                <w:rFonts w:ascii="Arial" w:eastAsia="Arial" w:hAnsi="Arial" w:cs="Arial"/>
                <w:color w:val="000000"/>
                <w:sz w:val="16"/>
              </w:rPr>
            </w:pPr>
            <w:r>
              <w:rPr>
                <w:rFonts w:ascii="Arial" w:eastAsia="Arial" w:hAnsi="Arial" w:cs="Arial"/>
                <w:color w:val="000000"/>
                <w:sz w:val="16"/>
              </w:rPr>
              <w:t>102,574 </w:t>
            </w:r>
          </w:p>
        </w:tc>
        <w:tc>
          <w:tcPr>
            <w:tcW w:w="975" w:type="dxa"/>
            <w:tcBorders>
              <w:top w:val="nil"/>
              <w:left w:val="nil"/>
              <w:bottom w:val="nil"/>
              <w:right w:val="nil"/>
              <w:tl2br w:val="nil"/>
              <w:tr2bl w:val="nil"/>
            </w:tcBorders>
            <w:shd w:val="clear" w:color="auto" w:fill="FFFFFF"/>
            <w:tcMar>
              <w:left w:w="101" w:type="dxa"/>
              <w:right w:w="101" w:type="dxa"/>
            </w:tcMar>
            <w:vAlign w:val="bottom"/>
          </w:tcPr>
          <w:p w14:paraId="3F28C33D" w14:textId="77777777" w:rsidR="00724034" w:rsidRDefault="00FB7D0B">
            <w:pPr>
              <w:jc w:val="right"/>
              <w:rPr>
                <w:rFonts w:ascii="Arial" w:eastAsia="Arial" w:hAnsi="Arial" w:cs="Arial"/>
                <w:color w:val="000000"/>
                <w:sz w:val="16"/>
              </w:rPr>
            </w:pPr>
            <w:r>
              <w:rPr>
                <w:rFonts w:ascii="Arial" w:eastAsia="Arial" w:hAnsi="Arial" w:cs="Arial"/>
                <w:color w:val="000000"/>
                <w:sz w:val="16"/>
              </w:rPr>
              <w:t>100,456 </w:t>
            </w:r>
          </w:p>
        </w:tc>
        <w:tc>
          <w:tcPr>
            <w:tcW w:w="975" w:type="dxa"/>
            <w:tcBorders>
              <w:top w:val="nil"/>
              <w:left w:val="nil"/>
              <w:bottom w:val="nil"/>
              <w:right w:val="nil"/>
              <w:tl2br w:val="nil"/>
              <w:tr2bl w:val="nil"/>
            </w:tcBorders>
            <w:shd w:val="clear" w:color="auto" w:fill="FFFFFF"/>
            <w:tcMar>
              <w:left w:w="101" w:type="dxa"/>
              <w:right w:w="101" w:type="dxa"/>
            </w:tcMar>
            <w:vAlign w:val="bottom"/>
          </w:tcPr>
          <w:p w14:paraId="19D6DAB2" w14:textId="77777777" w:rsidR="00724034" w:rsidRDefault="00FB7D0B">
            <w:pPr>
              <w:jc w:val="right"/>
              <w:rPr>
                <w:rFonts w:ascii="Arial" w:eastAsia="Arial" w:hAnsi="Arial" w:cs="Arial"/>
                <w:color w:val="000000"/>
                <w:sz w:val="16"/>
              </w:rPr>
            </w:pPr>
            <w:r>
              <w:rPr>
                <w:rFonts w:ascii="Arial" w:eastAsia="Arial" w:hAnsi="Arial" w:cs="Arial"/>
                <w:color w:val="000000"/>
                <w:sz w:val="16"/>
              </w:rPr>
              <w:t>100,258 </w:t>
            </w:r>
          </w:p>
        </w:tc>
        <w:tc>
          <w:tcPr>
            <w:tcW w:w="975" w:type="dxa"/>
            <w:tcBorders>
              <w:top w:val="nil"/>
              <w:left w:val="nil"/>
              <w:bottom w:val="nil"/>
              <w:right w:val="single" w:sz="6" w:space="0" w:color="000000"/>
              <w:tl2br w:val="nil"/>
              <w:tr2bl w:val="nil"/>
            </w:tcBorders>
            <w:shd w:val="clear" w:color="auto" w:fill="FFFFFF"/>
            <w:tcMar>
              <w:left w:w="101" w:type="dxa"/>
              <w:right w:w="101" w:type="dxa"/>
            </w:tcMar>
            <w:vAlign w:val="bottom"/>
          </w:tcPr>
          <w:p w14:paraId="6290A8D7" w14:textId="77777777" w:rsidR="00724034" w:rsidRDefault="00FB7D0B">
            <w:pPr>
              <w:jc w:val="right"/>
              <w:rPr>
                <w:rFonts w:ascii="Arial" w:eastAsia="Arial" w:hAnsi="Arial" w:cs="Arial"/>
                <w:color w:val="000000"/>
                <w:sz w:val="16"/>
              </w:rPr>
            </w:pPr>
            <w:r>
              <w:rPr>
                <w:rFonts w:ascii="Arial" w:eastAsia="Arial" w:hAnsi="Arial" w:cs="Arial"/>
                <w:color w:val="000000"/>
                <w:sz w:val="16"/>
              </w:rPr>
              <w:t>99,571 </w:t>
            </w:r>
          </w:p>
        </w:tc>
      </w:tr>
      <w:tr w:rsidR="00FB7D0B" w14:paraId="66BD09CE" w14:textId="77777777" w:rsidTr="00FB7D0B">
        <w:trPr>
          <w:trHeight w:val="225"/>
        </w:trPr>
        <w:tc>
          <w:tcPr>
            <w:tcW w:w="3090" w:type="dxa"/>
            <w:gridSpan w:val="3"/>
            <w:tcBorders>
              <w:top w:val="nil"/>
              <w:left w:val="single" w:sz="6" w:space="0" w:color="000000"/>
              <w:bottom w:val="nil"/>
              <w:right w:val="nil"/>
              <w:tl2br w:val="nil"/>
              <w:tr2bl w:val="nil"/>
            </w:tcBorders>
            <w:shd w:val="clear" w:color="auto" w:fill="FFFFFF"/>
            <w:tcMar>
              <w:left w:w="101" w:type="dxa"/>
              <w:right w:w="101" w:type="dxa"/>
            </w:tcMar>
            <w:vAlign w:val="bottom"/>
          </w:tcPr>
          <w:p w14:paraId="376F3403" w14:textId="77777777" w:rsidR="00724034" w:rsidRDefault="00FB7D0B">
            <w:pPr>
              <w:rPr>
                <w:rFonts w:ascii="Arial" w:eastAsia="Arial" w:hAnsi="Arial" w:cs="Arial"/>
                <w:color w:val="000000"/>
                <w:sz w:val="16"/>
              </w:rPr>
            </w:pPr>
            <w:r>
              <w:rPr>
                <w:rFonts w:ascii="Arial" w:eastAsia="Arial" w:hAnsi="Arial" w:cs="Arial"/>
                <w:color w:val="000000"/>
                <w:sz w:val="16"/>
              </w:rPr>
              <w:t>Programme support</w:t>
            </w:r>
          </w:p>
        </w:tc>
        <w:tc>
          <w:tcPr>
            <w:tcW w:w="975" w:type="dxa"/>
            <w:tcBorders>
              <w:top w:val="nil"/>
              <w:left w:val="nil"/>
              <w:bottom w:val="nil"/>
              <w:right w:val="nil"/>
              <w:tl2br w:val="nil"/>
              <w:tr2bl w:val="nil"/>
            </w:tcBorders>
            <w:shd w:val="clear" w:color="auto" w:fill="FFFFFF"/>
            <w:tcMar>
              <w:left w:w="101" w:type="dxa"/>
              <w:right w:w="101" w:type="dxa"/>
            </w:tcMar>
            <w:vAlign w:val="bottom"/>
          </w:tcPr>
          <w:p w14:paraId="402B23BE" w14:textId="77777777" w:rsidR="00724034" w:rsidRDefault="00FB7D0B">
            <w:pPr>
              <w:jc w:val="right"/>
              <w:rPr>
                <w:rFonts w:ascii="Arial" w:eastAsia="Arial" w:hAnsi="Arial" w:cs="Arial"/>
                <w:color w:val="000000"/>
                <w:sz w:val="16"/>
                <w:vertAlign w:val="superscript"/>
              </w:rPr>
            </w:pPr>
            <w:r>
              <w:rPr>
                <w:rFonts w:ascii="Arial" w:eastAsia="Arial" w:hAnsi="Arial" w:cs="Arial"/>
                <w:color w:val="000000"/>
                <w:sz w:val="16"/>
              </w:rPr>
              <w:t>23,665 </w:t>
            </w:r>
          </w:p>
        </w:tc>
        <w:tc>
          <w:tcPr>
            <w:tcW w:w="975" w:type="dxa"/>
            <w:tcBorders>
              <w:top w:val="nil"/>
              <w:left w:val="nil"/>
              <w:bottom w:val="nil"/>
              <w:right w:val="nil"/>
              <w:tl2br w:val="nil"/>
              <w:tr2bl w:val="nil"/>
            </w:tcBorders>
            <w:shd w:val="clear" w:color="auto" w:fill="FFFF00"/>
            <w:tcMar>
              <w:left w:w="101" w:type="dxa"/>
              <w:right w:w="101" w:type="dxa"/>
            </w:tcMar>
            <w:vAlign w:val="bottom"/>
          </w:tcPr>
          <w:p w14:paraId="520702E5" w14:textId="77777777" w:rsidR="00724034" w:rsidRDefault="00FB7D0B">
            <w:pPr>
              <w:jc w:val="right"/>
              <w:rPr>
                <w:rFonts w:ascii="Arial" w:eastAsia="Arial" w:hAnsi="Arial" w:cs="Arial"/>
                <w:color w:val="000000"/>
                <w:sz w:val="16"/>
              </w:rPr>
            </w:pPr>
            <w:r>
              <w:rPr>
                <w:rFonts w:ascii="Arial" w:eastAsia="Arial" w:hAnsi="Arial" w:cs="Arial"/>
                <w:color w:val="000000"/>
                <w:sz w:val="16"/>
              </w:rPr>
              <w:t>23,435 </w:t>
            </w:r>
          </w:p>
        </w:tc>
        <w:tc>
          <w:tcPr>
            <w:tcW w:w="975" w:type="dxa"/>
            <w:tcBorders>
              <w:top w:val="nil"/>
              <w:left w:val="nil"/>
              <w:bottom w:val="nil"/>
              <w:right w:val="nil"/>
              <w:tl2br w:val="nil"/>
              <w:tr2bl w:val="nil"/>
            </w:tcBorders>
            <w:shd w:val="clear" w:color="auto" w:fill="FFFFFF"/>
            <w:tcMar>
              <w:left w:w="101" w:type="dxa"/>
              <w:right w:w="101" w:type="dxa"/>
            </w:tcMar>
            <w:vAlign w:val="bottom"/>
          </w:tcPr>
          <w:p w14:paraId="7206E0FB" w14:textId="77777777" w:rsidR="00724034" w:rsidRDefault="00FB7D0B">
            <w:pPr>
              <w:jc w:val="right"/>
              <w:rPr>
                <w:rFonts w:ascii="Arial" w:eastAsia="Arial" w:hAnsi="Arial" w:cs="Arial"/>
                <w:color w:val="000000"/>
                <w:sz w:val="16"/>
              </w:rPr>
            </w:pPr>
            <w:r>
              <w:rPr>
                <w:rFonts w:ascii="Arial" w:eastAsia="Arial" w:hAnsi="Arial" w:cs="Arial"/>
                <w:color w:val="000000"/>
                <w:sz w:val="16"/>
              </w:rPr>
              <w:t>23,075 </w:t>
            </w:r>
          </w:p>
        </w:tc>
        <w:tc>
          <w:tcPr>
            <w:tcW w:w="975" w:type="dxa"/>
            <w:tcBorders>
              <w:top w:val="nil"/>
              <w:left w:val="nil"/>
              <w:bottom w:val="nil"/>
              <w:right w:val="nil"/>
              <w:tl2br w:val="nil"/>
              <w:tr2bl w:val="nil"/>
            </w:tcBorders>
            <w:shd w:val="clear" w:color="auto" w:fill="FFFFFF"/>
            <w:tcMar>
              <w:left w:w="101" w:type="dxa"/>
              <w:right w:w="101" w:type="dxa"/>
            </w:tcMar>
            <w:vAlign w:val="bottom"/>
          </w:tcPr>
          <w:p w14:paraId="0CF1FC91" w14:textId="77777777" w:rsidR="00724034" w:rsidRDefault="00FB7D0B">
            <w:pPr>
              <w:jc w:val="right"/>
              <w:rPr>
                <w:rFonts w:ascii="Arial" w:eastAsia="Arial" w:hAnsi="Arial" w:cs="Arial"/>
                <w:color w:val="000000"/>
                <w:sz w:val="16"/>
              </w:rPr>
            </w:pPr>
            <w:r>
              <w:rPr>
                <w:rFonts w:ascii="Arial" w:eastAsia="Arial" w:hAnsi="Arial" w:cs="Arial"/>
                <w:color w:val="000000"/>
                <w:sz w:val="16"/>
              </w:rPr>
              <w:t>22,674 </w:t>
            </w:r>
          </w:p>
        </w:tc>
        <w:tc>
          <w:tcPr>
            <w:tcW w:w="975" w:type="dxa"/>
            <w:tcBorders>
              <w:top w:val="nil"/>
              <w:left w:val="nil"/>
              <w:bottom w:val="nil"/>
              <w:right w:val="single" w:sz="6" w:space="0" w:color="000000"/>
              <w:tl2br w:val="nil"/>
              <w:tr2bl w:val="nil"/>
            </w:tcBorders>
            <w:shd w:val="clear" w:color="auto" w:fill="FFFFFF"/>
            <w:tcMar>
              <w:left w:w="101" w:type="dxa"/>
              <w:right w:w="101" w:type="dxa"/>
            </w:tcMar>
            <w:vAlign w:val="bottom"/>
          </w:tcPr>
          <w:p w14:paraId="3A72F20F" w14:textId="77777777" w:rsidR="00724034" w:rsidRDefault="00FB7D0B">
            <w:pPr>
              <w:jc w:val="right"/>
              <w:rPr>
                <w:rFonts w:ascii="Arial" w:eastAsia="Arial" w:hAnsi="Arial" w:cs="Arial"/>
                <w:color w:val="000000"/>
                <w:sz w:val="16"/>
              </w:rPr>
            </w:pPr>
            <w:r>
              <w:rPr>
                <w:rFonts w:ascii="Arial" w:eastAsia="Arial" w:hAnsi="Arial" w:cs="Arial"/>
                <w:color w:val="000000"/>
                <w:sz w:val="16"/>
              </w:rPr>
              <w:t>22,739 </w:t>
            </w:r>
          </w:p>
        </w:tc>
      </w:tr>
      <w:tr w:rsidR="00FB7D0B" w14:paraId="20155CFE" w14:textId="77777777" w:rsidTr="00FB7D0B">
        <w:trPr>
          <w:trHeight w:val="450"/>
        </w:trPr>
        <w:tc>
          <w:tcPr>
            <w:tcW w:w="3090" w:type="dxa"/>
            <w:gridSpan w:val="3"/>
            <w:tcBorders>
              <w:top w:val="single" w:sz="6" w:space="0" w:color="FFFFFF"/>
              <w:left w:val="single" w:sz="6" w:space="0" w:color="000000"/>
              <w:bottom w:val="nil"/>
              <w:right w:val="nil"/>
              <w:tl2br w:val="nil"/>
              <w:tr2bl w:val="nil"/>
            </w:tcBorders>
            <w:shd w:val="clear" w:color="auto" w:fill="FFFFFF"/>
            <w:tcMar>
              <w:left w:w="101" w:type="dxa"/>
              <w:right w:w="101" w:type="dxa"/>
            </w:tcMar>
            <w:vAlign w:val="bottom"/>
          </w:tcPr>
          <w:p w14:paraId="7D2E144D" w14:textId="77777777" w:rsidR="00724034" w:rsidRDefault="00FB7D0B">
            <w:pPr>
              <w:rPr>
                <w:rFonts w:ascii="Arial" w:eastAsia="Arial" w:hAnsi="Arial" w:cs="Arial"/>
                <w:color w:val="000000"/>
                <w:sz w:val="16"/>
              </w:rPr>
            </w:pPr>
            <w:r>
              <w:rPr>
                <w:rFonts w:ascii="Arial" w:eastAsia="Arial" w:hAnsi="Arial" w:cs="Arial"/>
                <w:color w:val="000000"/>
                <w:sz w:val="16"/>
              </w:rPr>
              <w:t>Expenses not requiring appropriation in the Budget year</w:t>
            </w:r>
            <w:r>
              <w:rPr>
                <w:rFonts w:ascii="Arial" w:eastAsia="Arial" w:hAnsi="Arial" w:cs="Arial"/>
                <w:color w:val="000000"/>
                <w:sz w:val="16"/>
                <w:vertAlign w:val="superscript"/>
              </w:rPr>
              <w:t>1 </w:t>
            </w:r>
          </w:p>
        </w:tc>
        <w:tc>
          <w:tcPr>
            <w:tcW w:w="975" w:type="dxa"/>
            <w:tcBorders>
              <w:top w:val="nil"/>
              <w:left w:val="nil"/>
              <w:bottom w:val="nil"/>
              <w:right w:val="nil"/>
              <w:tl2br w:val="nil"/>
              <w:tr2bl w:val="nil"/>
            </w:tcBorders>
            <w:shd w:val="clear" w:color="auto" w:fill="FFFFFF"/>
            <w:tcMar>
              <w:left w:w="101" w:type="dxa"/>
              <w:right w:w="101" w:type="dxa"/>
            </w:tcMar>
            <w:vAlign w:val="bottom"/>
          </w:tcPr>
          <w:p w14:paraId="6BCDC076" w14:textId="77777777" w:rsidR="00724034" w:rsidRDefault="00FB7D0B">
            <w:pPr>
              <w:jc w:val="right"/>
              <w:rPr>
                <w:rFonts w:ascii="Arial" w:eastAsia="Arial" w:hAnsi="Arial" w:cs="Arial"/>
                <w:color w:val="000000"/>
                <w:sz w:val="16"/>
                <w:vertAlign w:val="superscript"/>
              </w:rPr>
            </w:pPr>
            <w:r>
              <w:rPr>
                <w:rFonts w:ascii="Arial" w:eastAsia="Arial" w:hAnsi="Arial" w:cs="Arial"/>
                <w:color w:val="000000"/>
                <w:sz w:val="16"/>
              </w:rPr>
              <w:t>2,428 </w:t>
            </w:r>
          </w:p>
        </w:tc>
        <w:tc>
          <w:tcPr>
            <w:tcW w:w="975" w:type="dxa"/>
            <w:tcBorders>
              <w:top w:val="nil"/>
              <w:left w:val="nil"/>
              <w:bottom w:val="nil"/>
              <w:right w:val="nil"/>
              <w:tl2br w:val="nil"/>
              <w:tr2bl w:val="nil"/>
            </w:tcBorders>
            <w:shd w:val="clear" w:color="auto" w:fill="FFFF00"/>
            <w:tcMar>
              <w:left w:w="101" w:type="dxa"/>
              <w:right w:w="101" w:type="dxa"/>
            </w:tcMar>
            <w:vAlign w:val="bottom"/>
          </w:tcPr>
          <w:p w14:paraId="4F5D5DAF" w14:textId="77777777" w:rsidR="00724034" w:rsidRDefault="00FB7D0B">
            <w:pPr>
              <w:jc w:val="right"/>
              <w:rPr>
                <w:rFonts w:ascii="Arial" w:eastAsia="Arial" w:hAnsi="Arial" w:cs="Arial"/>
                <w:color w:val="000000"/>
                <w:sz w:val="16"/>
              </w:rPr>
            </w:pPr>
            <w:r>
              <w:rPr>
                <w:rFonts w:ascii="Arial" w:eastAsia="Arial" w:hAnsi="Arial" w:cs="Arial"/>
                <w:color w:val="000000"/>
                <w:sz w:val="16"/>
              </w:rPr>
              <w:t>2,713 </w:t>
            </w:r>
          </w:p>
        </w:tc>
        <w:tc>
          <w:tcPr>
            <w:tcW w:w="975" w:type="dxa"/>
            <w:tcBorders>
              <w:top w:val="nil"/>
              <w:left w:val="nil"/>
              <w:bottom w:val="nil"/>
              <w:right w:val="nil"/>
              <w:tl2br w:val="nil"/>
              <w:tr2bl w:val="nil"/>
            </w:tcBorders>
            <w:shd w:val="clear" w:color="auto" w:fill="FFFFFF"/>
            <w:tcMar>
              <w:left w:w="101" w:type="dxa"/>
              <w:right w:w="101" w:type="dxa"/>
            </w:tcMar>
            <w:vAlign w:val="bottom"/>
          </w:tcPr>
          <w:p w14:paraId="4BDFF54A" w14:textId="77777777" w:rsidR="00724034" w:rsidRDefault="00FB7D0B">
            <w:pPr>
              <w:jc w:val="right"/>
              <w:rPr>
                <w:rFonts w:ascii="Arial" w:eastAsia="Arial" w:hAnsi="Arial" w:cs="Arial"/>
                <w:color w:val="000000"/>
                <w:sz w:val="16"/>
              </w:rPr>
            </w:pPr>
            <w:r>
              <w:rPr>
                <w:rFonts w:ascii="Arial" w:eastAsia="Arial" w:hAnsi="Arial" w:cs="Arial"/>
                <w:color w:val="000000"/>
                <w:sz w:val="16"/>
              </w:rPr>
              <w:t>2,502 </w:t>
            </w:r>
          </w:p>
        </w:tc>
        <w:tc>
          <w:tcPr>
            <w:tcW w:w="975" w:type="dxa"/>
            <w:tcBorders>
              <w:top w:val="nil"/>
              <w:left w:val="nil"/>
              <w:bottom w:val="nil"/>
              <w:right w:val="nil"/>
              <w:tl2br w:val="nil"/>
              <w:tr2bl w:val="nil"/>
            </w:tcBorders>
            <w:shd w:val="clear" w:color="auto" w:fill="FFFFFF"/>
            <w:tcMar>
              <w:left w:w="101" w:type="dxa"/>
              <w:right w:w="101" w:type="dxa"/>
            </w:tcMar>
            <w:vAlign w:val="bottom"/>
          </w:tcPr>
          <w:p w14:paraId="69D1F53E" w14:textId="77777777" w:rsidR="00724034" w:rsidRDefault="00FB7D0B">
            <w:pPr>
              <w:jc w:val="right"/>
              <w:rPr>
                <w:rFonts w:ascii="Arial" w:eastAsia="Arial" w:hAnsi="Arial" w:cs="Arial"/>
                <w:color w:val="000000"/>
                <w:sz w:val="16"/>
              </w:rPr>
            </w:pPr>
            <w:r>
              <w:rPr>
                <w:rFonts w:ascii="Arial" w:eastAsia="Arial" w:hAnsi="Arial" w:cs="Arial"/>
                <w:color w:val="000000"/>
                <w:sz w:val="16"/>
              </w:rPr>
              <w:t>2,310 </w:t>
            </w:r>
          </w:p>
        </w:tc>
        <w:tc>
          <w:tcPr>
            <w:tcW w:w="975" w:type="dxa"/>
            <w:tcBorders>
              <w:top w:val="nil"/>
              <w:left w:val="nil"/>
              <w:bottom w:val="nil"/>
              <w:right w:val="single" w:sz="6" w:space="0" w:color="000000"/>
              <w:tl2br w:val="nil"/>
              <w:tr2bl w:val="nil"/>
            </w:tcBorders>
            <w:shd w:val="clear" w:color="auto" w:fill="FFFFFF"/>
            <w:tcMar>
              <w:left w:w="101" w:type="dxa"/>
              <w:right w:w="101" w:type="dxa"/>
            </w:tcMar>
            <w:vAlign w:val="bottom"/>
          </w:tcPr>
          <w:p w14:paraId="36BA31CD" w14:textId="77777777" w:rsidR="00724034" w:rsidRDefault="00FB7D0B">
            <w:pPr>
              <w:jc w:val="right"/>
              <w:rPr>
                <w:rFonts w:ascii="Arial" w:eastAsia="Arial" w:hAnsi="Arial" w:cs="Arial"/>
                <w:color w:val="000000"/>
                <w:sz w:val="16"/>
              </w:rPr>
            </w:pPr>
            <w:r>
              <w:rPr>
                <w:rFonts w:ascii="Arial" w:eastAsia="Arial" w:hAnsi="Arial" w:cs="Arial"/>
                <w:color w:val="000000"/>
                <w:sz w:val="16"/>
              </w:rPr>
              <w:t>1,927 </w:t>
            </w:r>
          </w:p>
        </w:tc>
      </w:tr>
      <w:tr w:rsidR="00724034" w14:paraId="0C211C51" w14:textId="77777777">
        <w:trPr>
          <w:trHeight w:val="60"/>
        </w:trPr>
        <w:tc>
          <w:tcPr>
            <w:tcW w:w="180" w:type="dxa"/>
            <w:tcBorders>
              <w:top w:val="single" w:sz="6" w:space="0" w:color="FFFFFF"/>
              <w:left w:val="single" w:sz="6" w:space="0" w:color="000000"/>
              <w:bottom w:val="nil"/>
              <w:right w:val="nil"/>
              <w:tl2br w:val="nil"/>
              <w:tr2bl w:val="nil"/>
            </w:tcBorders>
            <w:shd w:val="clear" w:color="auto" w:fill="FFFFFF"/>
            <w:tcMar>
              <w:left w:w="101" w:type="dxa"/>
              <w:right w:w="101" w:type="dxa"/>
            </w:tcMar>
            <w:vAlign w:val="bottom"/>
          </w:tcPr>
          <w:p w14:paraId="6E9D35BE" w14:textId="77777777" w:rsidR="00724034" w:rsidRDefault="00724034">
            <w:pPr>
              <w:rPr>
                <w:rFonts w:ascii="Arial" w:eastAsia="Arial" w:hAnsi="Arial" w:cs="Arial"/>
                <w:color w:val="000000"/>
                <w:sz w:val="16"/>
              </w:rPr>
            </w:pPr>
          </w:p>
        </w:tc>
        <w:tc>
          <w:tcPr>
            <w:tcW w:w="180" w:type="dxa"/>
            <w:tcBorders>
              <w:top w:val="single" w:sz="6" w:space="0" w:color="FFFFFF"/>
              <w:left w:val="nil"/>
              <w:bottom w:val="nil"/>
              <w:right w:val="nil"/>
              <w:tl2br w:val="nil"/>
              <w:tr2bl w:val="nil"/>
            </w:tcBorders>
            <w:shd w:val="clear" w:color="auto" w:fill="FFFFFF"/>
            <w:tcMar>
              <w:left w:w="101" w:type="dxa"/>
              <w:right w:w="101" w:type="dxa"/>
            </w:tcMar>
            <w:vAlign w:val="bottom"/>
          </w:tcPr>
          <w:p w14:paraId="2023A014" w14:textId="77777777" w:rsidR="00724034" w:rsidRDefault="00724034">
            <w:pPr>
              <w:rPr>
                <w:rFonts w:ascii="Arial" w:eastAsia="Arial" w:hAnsi="Arial" w:cs="Arial"/>
                <w:color w:val="000000"/>
                <w:sz w:val="20"/>
              </w:rPr>
            </w:pPr>
          </w:p>
        </w:tc>
        <w:tc>
          <w:tcPr>
            <w:tcW w:w="2730" w:type="dxa"/>
            <w:tcBorders>
              <w:top w:val="single" w:sz="6" w:space="0" w:color="FFFFFF"/>
              <w:left w:val="nil"/>
              <w:bottom w:val="nil"/>
              <w:right w:val="nil"/>
              <w:tl2br w:val="nil"/>
              <w:tr2bl w:val="nil"/>
            </w:tcBorders>
            <w:shd w:val="clear" w:color="auto" w:fill="FFFFFF"/>
            <w:tcMar>
              <w:left w:w="101" w:type="dxa"/>
              <w:right w:w="101" w:type="dxa"/>
            </w:tcMar>
            <w:vAlign w:val="bottom"/>
          </w:tcPr>
          <w:p w14:paraId="11C0E208" w14:textId="77777777" w:rsidR="00724034" w:rsidRDefault="00724034">
            <w:pPr>
              <w:rPr>
                <w:rFonts w:ascii="Arial" w:eastAsia="Arial" w:hAnsi="Arial" w:cs="Arial"/>
                <w:color w:val="000000"/>
                <w:sz w:val="20"/>
              </w:rPr>
            </w:pPr>
          </w:p>
        </w:tc>
        <w:tc>
          <w:tcPr>
            <w:tcW w:w="975"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2FABFA50" w14:textId="77777777" w:rsidR="00724034" w:rsidRDefault="00724034">
            <w:pPr>
              <w:jc w:val="right"/>
              <w:rPr>
                <w:rFonts w:ascii="Arial" w:eastAsia="Arial" w:hAnsi="Arial" w:cs="Arial"/>
                <w:color w:val="000000"/>
                <w:sz w:val="16"/>
                <w:vertAlign w:val="superscript"/>
              </w:rPr>
            </w:pPr>
          </w:p>
        </w:tc>
        <w:tc>
          <w:tcPr>
            <w:tcW w:w="975" w:type="dxa"/>
            <w:tcBorders>
              <w:top w:val="nil"/>
              <w:left w:val="nil"/>
              <w:bottom w:val="single" w:sz="6" w:space="0" w:color="000000"/>
              <w:right w:val="nil"/>
              <w:tl2br w:val="nil"/>
              <w:tr2bl w:val="nil"/>
            </w:tcBorders>
            <w:shd w:val="clear" w:color="auto" w:fill="FFFF00"/>
            <w:tcMar>
              <w:left w:w="101" w:type="dxa"/>
              <w:right w:w="101" w:type="dxa"/>
            </w:tcMar>
            <w:vAlign w:val="bottom"/>
          </w:tcPr>
          <w:p w14:paraId="73AEABBF" w14:textId="77777777" w:rsidR="00724034" w:rsidRDefault="00724034">
            <w:pPr>
              <w:jc w:val="right"/>
              <w:rPr>
                <w:rFonts w:ascii="Arial" w:eastAsia="Arial" w:hAnsi="Arial" w:cs="Arial"/>
                <w:color w:val="000000"/>
                <w:sz w:val="16"/>
                <w:vertAlign w:val="superscript"/>
              </w:rPr>
            </w:pPr>
          </w:p>
        </w:tc>
        <w:tc>
          <w:tcPr>
            <w:tcW w:w="975"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0EFFB2AE" w14:textId="77777777" w:rsidR="00724034" w:rsidRDefault="00724034">
            <w:pPr>
              <w:jc w:val="right"/>
              <w:rPr>
                <w:rFonts w:ascii="Arial" w:eastAsia="Arial" w:hAnsi="Arial" w:cs="Arial"/>
                <w:color w:val="000000"/>
                <w:sz w:val="16"/>
                <w:vertAlign w:val="superscript"/>
              </w:rPr>
            </w:pPr>
          </w:p>
        </w:tc>
        <w:tc>
          <w:tcPr>
            <w:tcW w:w="975"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02766D18" w14:textId="77777777" w:rsidR="00724034" w:rsidRDefault="00724034">
            <w:pPr>
              <w:jc w:val="right"/>
              <w:rPr>
                <w:rFonts w:ascii="Arial" w:eastAsia="Arial" w:hAnsi="Arial" w:cs="Arial"/>
                <w:color w:val="000000"/>
                <w:sz w:val="16"/>
                <w:vertAlign w:val="superscript"/>
              </w:rPr>
            </w:pPr>
          </w:p>
        </w:tc>
        <w:tc>
          <w:tcPr>
            <w:tcW w:w="975" w:type="dxa"/>
            <w:tcBorders>
              <w:top w:val="nil"/>
              <w:left w:val="nil"/>
              <w:bottom w:val="single" w:sz="6" w:space="0" w:color="000000"/>
              <w:right w:val="single" w:sz="6" w:space="0" w:color="000000"/>
              <w:tl2br w:val="nil"/>
              <w:tr2bl w:val="nil"/>
            </w:tcBorders>
            <w:shd w:val="clear" w:color="auto" w:fill="FFFFFF"/>
            <w:tcMar>
              <w:left w:w="101" w:type="dxa"/>
              <w:right w:w="101" w:type="dxa"/>
            </w:tcMar>
            <w:vAlign w:val="bottom"/>
          </w:tcPr>
          <w:p w14:paraId="1443E7D2" w14:textId="77777777" w:rsidR="00724034" w:rsidRDefault="00724034">
            <w:pPr>
              <w:jc w:val="right"/>
              <w:rPr>
                <w:rFonts w:ascii="Arial" w:eastAsia="Arial" w:hAnsi="Arial" w:cs="Arial"/>
                <w:color w:val="000000"/>
                <w:sz w:val="16"/>
                <w:vertAlign w:val="superscript"/>
              </w:rPr>
            </w:pPr>
          </w:p>
        </w:tc>
      </w:tr>
      <w:tr w:rsidR="00FB7D0B" w14:paraId="31A5F227" w14:textId="77777777" w:rsidTr="00FB7D0B">
        <w:trPr>
          <w:trHeight w:val="225"/>
        </w:trPr>
        <w:tc>
          <w:tcPr>
            <w:tcW w:w="3090" w:type="dxa"/>
            <w:gridSpan w:val="3"/>
            <w:tcBorders>
              <w:top w:val="nil"/>
              <w:left w:val="single" w:sz="6" w:space="0" w:color="000000"/>
              <w:bottom w:val="single" w:sz="6" w:space="0" w:color="000000"/>
              <w:right w:val="nil"/>
              <w:tl2br w:val="nil"/>
              <w:tr2bl w:val="nil"/>
            </w:tcBorders>
            <w:shd w:val="clear" w:color="auto" w:fill="FFFFFF"/>
            <w:tcMar>
              <w:left w:w="101" w:type="dxa"/>
              <w:right w:w="101" w:type="dxa"/>
            </w:tcMar>
            <w:vAlign w:val="bottom"/>
          </w:tcPr>
          <w:p w14:paraId="6D47FC4E" w14:textId="77777777" w:rsidR="00724034" w:rsidRDefault="00FB7D0B">
            <w:pPr>
              <w:rPr>
                <w:rFonts w:ascii="Arial" w:eastAsia="Arial" w:hAnsi="Arial" w:cs="Arial"/>
                <w:color w:val="000000"/>
                <w:sz w:val="16"/>
                <w:vertAlign w:val="superscript"/>
              </w:rPr>
            </w:pPr>
            <w:r>
              <w:rPr>
                <w:rFonts w:ascii="Arial" w:eastAsia="Arial" w:hAnsi="Arial" w:cs="Arial"/>
                <w:b/>
                <w:color w:val="000000"/>
                <w:sz w:val="16"/>
              </w:rPr>
              <w:t xml:space="preserve">Total programme expenses </w:t>
            </w:r>
          </w:p>
        </w:tc>
        <w:tc>
          <w:tcPr>
            <w:tcW w:w="975"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7DA734F8" w14:textId="77777777" w:rsidR="00724034" w:rsidRDefault="00FB7D0B">
            <w:pPr>
              <w:jc w:val="right"/>
              <w:rPr>
                <w:rFonts w:ascii="Arial" w:eastAsia="Arial" w:hAnsi="Arial" w:cs="Arial"/>
                <w:b/>
                <w:color w:val="000000"/>
                <w:sz w:val="16"/>
                <w:vertAlign w:val="superscript"/>
              </w:rPr>
            </w:pPr>
            <w:r>
              <w:rPr>
                <w:rFonts w:ascii="Arial" w:eastAsia="Arial" w:hAnsi="Arial" w:cs="Arial"/>
                <w:b/>
                <w:color w:val="000000"/>
                <w:sz w:val="16"/>
              </w:rPr>
              <w:t>928,209 </w:t>
            </w:r>
          </w:p>
        </w:tc>
        <w:tc>
          <w:tcPr>
            <w:tcW w:w="975" w:type="dxa"/>
            <w:tcBorders>
              <w:top w:val="single" w:sz="6" w:space="0" w:color="000000"/>
              <w:left w:val="nil"/>
              <w:bottom w:val="single" w:sz="6" w:space="0" w:color="000000"/>
              <w:right w:val="nil"/>
              <w:tl2br w:val="nil"/>
              <w:tr2bl w:val="nil"/>
            </w:tcBorders>
            <w:shd w:val="clear" w:color="auto" w:fill="FFFF00"/>
            <w:tcMar>
              <w:left w:w="101" w:type="dxa"/>
              <w:right w:w="101" w:type="dxa"/>
            </w:tcMar>
            <w:vAlign w:val="bottom"/>
          </w:tcPr>
          <w:p w14:paraId="12A7F905" w14:textId="77777777" w:rsidR="00724034" w:rsidRDefault="00FB7D0B">
            <w:pPr>
              <w:jc w:val="right"/>
              <w:rPr>
                <w:rFonts w:ascii="Arial" w:eastAsia="Arial" w:hAnsi="Arial" w:cs="Arial"/>
                <w:b/>
                <w:color w:val="000000"/>
                <w:sz w:val="16"/>
              </w:rPr>
            </w:pPr>
            <w:r>
              <w:rPr>
                <w:rFonts w:ascii="Arial" w:eastAsia="Arial" w:hAnsi="Arial" w:cs="Arial"/>
                <w:b/>
                <w:color w:val="000000"/>
                <w:sz w:val="16"/>
              </w:rPr>
              <w:t>905,366 </w:t>
            </w:r>
          </w:p>
        </w:tc>
        <w:tc>
          <w:tcPr>
            <w:tcW w:w="975"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5108F015" w14:textId="77777777" w:rsidR="00724034" w:rsidRDefault="00FB7D0B">
            <w:pPr>
              <w:jc w:val="right"/>
              <w:rPr>
                <w:rFonts w:ascii="Arial" w:eastAsia="Arial" w:hAnsi="Arial" w:cs="Arial"/>
                <w:b/>
                <w:color w:val="000000"/>
                <w:sz w:val="16"/>
              </w:rPr>
            </w:pPr>
            <w:r>
              <w:rPr>
                <w:rFonts w:ascii="Arial" w:eastAsia="Arial" w:hAnsi="Arial" w:cs="Arial"/>
                <w:b/>
                <w:color w:val="000000"/>
                <w:sz w:val="16"/>
              </w:rPr>
              <w:t>885,680 </w:t>
            </w:r>
          </w:p>
        </w:tc>
        <w:tc>
          <w:tcPr>
            <w:tcW w:w="975"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5EEF4977" w14:textId="77777777" w:rsidR="00724034" w:rsidRDefault="00FB7D0B">
            <w:pPr>
              <w:jc w:val="right"/>
              <w:rPr>
                <w:rFonts w:ascii="Arial" w:eastAsia="Arial" w:hAnsi="Arial" w:cs="Arial"/>
                <w:b/>
                <w:color w:val="000000"/>
                <w:sz w:val="16"/>
              </w:rPr>
            </w:pPr>
            <w:r>
              <w:rPr>
                <w:rFonts w:ascii="Arial" w:eastAsia="Arial" w:hAnsi="Arial" w:cs="Arial"/>
                <w:b/>
                <w:color w:val="000000"/>
                <w:sz w:val="16"/>
              </w:rPr>
              <w:t>870,342 </w:t>
            </w:r>
          </w:p>
        </w:tc>
        <w:tc>
          <w:tcPr>
            <w:tcW w:w="975" w:type="dxa"/>
            <w:tcBorders>
              <w:top w:val="single" w:sz="6" w:space="0" w:color="000000"/>
              <w:left w:val="nil"/>
              <w:bottom w:val="single" w:sz="6" w:space="0" w:color="000000"/>
              <w:right w:val="single" w:sz="6" w:space="0" w:color="000000"/>
              <w:tl2br w:val="nil"/>
              <w:tr2bl w:val="nil"/>
            </w:tcBorders>
            <w:shd w:val="clear" w:color="auto" w:fill="FFFFFF"/>
            <w:tcMar>
              <w:left w:w="101" w:type="dxa"/>
              <w:right w:w="101" w:type="dxa"/>
            </w:tcMar>
            <w:vAlign w:val="bottom"/>
          </w:tcPr>
          <w:p w14:paraId="1CE25364" w14:textId="77777777" w:rsidR="00724034" w:rsidRDefault="00FB7D0B">
            <w:pPr>
              <w:jc w:val="right"/>
              <w:rPr>
                <w:rFonts w:ascii="Arial" w:eastAsia="Arial" w:hAnsi="Arial" w:cs="Arial"/>
                <w:b/>
                <w:color w:val="000000"/>
                <w:sz w:val="16"/>
              </w:rPr>
            </w:pPr>
            <w:r>
              <w:rPr>
                <w:rFonts w:ascii="Arial" w:eastAsia="Arial" w:hAnsi="Arial" w:cs="Arial"/>
                <w:b/>
                <w:color w:val="000000"/>
                <w:sz w:val="16"/>
              </w:rPr>
              <w:t>856,920 </w:t>
            </w:r>
          </w:p>
        </w:tc>
      </w:tr>
    </w:tbl>
    <w:p w14:paraId="46479F4E" w14:textId="77777777" w:rsidR="00724034" w:rsidRDefault="00724034">
      <w:pPr>
        <w:rPr>
          <w:rFonts w:ascii="Times New Roman" w:eastAsia="Times New Roman" w:hAnsi="Times New Roman" w:cs="Times New Roman"/>
        </w:rPr>
      </w:pPr>
    </w:p>
    <w:p w14:paraId="44B744B5" w14:textId="77777777" w:rsidR="003F0EEA" w:rsidRPr="004D4F1D" w:rsidRDefault="00FB7D0B" w:rsidP="003F0EEA">
      <w:pPr>
        <w:pStyle w:val="ListParagraph9"/>
        <w:numPr>
          <w:ilvl w:val="0"/>
          <w:numId w:val="28"/>
        </w:numPr>
        <w:spacing w:after="200" w:line="276" w:lineRule="auto"/>
        <w:ind w:left="284" w:hanging="284"/>
        <w:rPr>
          <w:rFonts w:ascii="Arial" w:eastAsia="Calibri" w:hAnsi="Arial" w:cs="Arial"/>
          <w:sz w:val="16"/>
          <w:szCs w:val="16"/>
          <w:lang w:eastAsia="en-US"/>
        </w:rPr>
      </w:pPr>
      <w:r w:rsidRPr="004D4F1D">
        <w:rPr>
          <w:rFonts w:ascii="Arial" w:eastAsia="Calibri" w:hAnsi="Arial" w:cs="Arial"/>
          <w:sz w:val="16"/>
          <w:szCs w:val="16"/>
          <w:lang w:eastAsia="en-US"/>
        </w:rPr>
        <w:t xml:space="preserve">Expenses not requiring appropriation in the Budget year is made up of Depreciation Expense, Amortisation </w:t>
      </w:r>
      <w:r w:rsidRPr="004D4F1D">
        <w:rPr>
          <w:rFonts w:ascii="Arial" w:eastAsia="Calibri" w:hAnsi="Arial" w:cs="Arial"/>
          <w:sz w:val="16"/>
          <w:szCs w:val="16"/>
          <w:lang w:eastAsia="en-US"/>
        </w:rPr>
        <w:br/>
        <w:t xml:space="preserve">Expense and Resources Received Free of Charge. </w:t>
      </w:r>
    </w:p>
    <w:p w14:paraId="45D3B7A2" w14:textId="77777777" w:rsidR="003F0EEA" w:rsidRPr="004D4F1D" w:rsidRDefault="00FB7D0B">
      <w:pPr>
        <w:rPr>
          <w:rFonts w:ascii="Arial" w:hAnsi="Arial" w:cs="Arial"/>
          <w:sz w:val="16"/>
          <w:szCs w:val="16"/>
          <w:lang w:eastAsia="en-US"/>
        </w:rPr>
      </w:pPr>
      <w:r w:rsidRPr="004D4F1D">
        <w:rPr>
          <w:rFonts w:ascii="Arial" w:hAnsi="Arial" w:cs="Arial"/>
          <w:sz w:val="16"/>
          <w:szCs w:val="16"/>
          <w:lang w:eastAsia="en-U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80"/>
      </w:tblGrid>
      <w:tr w:rsidR="00724034" w14:paraId="25747E92" w14:textId="77777777" w:rsidTr="003F0EEA">
        <w:tc>
          <w:tcPr>
            <w:tcW w:w="8080" w:type="dxa"/>
            <w:tcBorders>
              <w:top w:val="single" w:sz="4" w:space="0" w:color="auto"/>
              <w:left w:val="single" w:sz="4" w:space="0" w:color="auto"/>
              <w:bottom w:val="single" w:sz="4" w:space="0" w:color="auto"/>
              <w:right w:val="single" w:sz="4" w:space="0" w:color="auto"/>
            </w:tcBorders>
            <w:shd w:val="clear" w:color="auto" w:fill="E6E6E6"/>
          </w:tcPr>
          <w:p w14:paraId="6638A08F" w14:textId="77777777" w:rsidR="003F0EEA" w:rsidRPr="00A17252" w:rsidRDefault="00FB7D0B" w:rsidP="003F0EEA">
            <w:pPr>
              <w:pStyle w:val="TableTextLeft200"/>
              <w:rPr>
                <w:b/>
              </w:rPr>
            </w:pPr>
            <w:r>
              <w:rPr>
                <w:b/>
                <w:sz w:val="20"/>
              </w:rPr>
              <w:t>Programme 2.1: General Medical Consultations and Services (continued)</w:t>
            </w:r>
          </w:p>
        </w:tc>
      </w:tr>
      <w:tr w:rsidR="00724034" w14:paraId="042DEB3E" w14:textId="77777777" w:rsidTr="003F0EEA">
        <w:tc>
          <w:tcPr>
            <w:tcW w:w="8080" w:type="dxa"/>
            <w:tcBorders>
              <w:top w:val="single" w:sz="4" w:space="0" w:color="auto"/>
              <w:left w:val="nil"/>
              <w:bottom w:val="single" w:sz="4" w:space="0" w:color="auto"/>
              <w:right w:val="nil"/>
            </w:tcBorders>
          </w:tcPr>
          <w:p w14:paraId="01285ABE" w14:textId="77777777" w:rsidR="003F0EEA" w:rsidRDefault="003F0EEA" w:rsidP="003F0EEA">
            <w:pPr>
              <w:pStyle w:val="TableTextLeft200"/>
              <w:rPr>
                <w:b/>
              </w:rPr>
            </w:pPr>
          </w:p>
        </w:tc>
      </w:tr>
      <w:tr w:rsidR="00724034" w14:paraId="02B89BF4" w14:textId="77777777" w:rsidTr="003F0EEA">
        <w:tc>
          <w:tcPr>
            <w:tcW w:w="8080" w:type="dxa"/>
            <w:tcBorders>
              <w:top w:val="single" w:sz="4" w:space="0" w:color="auto"/>
              <w:left w:val="single" w:sz="4" w:space="0" w:color="auto"/>
              <w:bottom w:val="single" w:sz="4" w:space="0" w:color="auto"/>
              <w:right w:val="single" w:sz="4" w:space="0" w:color="auto"/>
            </w:tcBorders>
          </w:tcPr>
          <w:p w14:paraId="70A6502F" w14:textId="77777777" w:rsidR="003F0EEA" w:rsidRDefault="00FB7D0B" w:rsidP="003F0EEA">
            <w:pPr>
              <w:pStyle w:val="TableTextLeft200"/>
              <w:keepNext/>
              <w:rPr>
                <w:b/>
              </w:rPr>
            </w:pPr>
            <w:r>
              <w:rPr>
                <w:b/>
              </w:rPr>
              <w:t>Programme 2.1 deliverables</w:t>
            </w:r>
          </w:p>
          <w:p w14:paraId="375F1C49" w14:textId="77777777" w:rsidR="003F0EEA" w:rsidRDefault="00FB7D0B" w:rsidP="003F0EEA">
            <w:pPr>
              <w:pStyle w:val="TableTextBullet9"/>
            </w:pPr>
            <w:r>
              <w:t>Ensure entitled beneficiaries have access to general and specialist medical and dental services by maintaining servicing arrangements with these practitioner groups.</w:t>
            </w:r>
          </w:p>
          <w:p w14:paraId="56CCE4D3" w14:textId="77777777" w:rsidR="003F0EEA" w:rsidRDefault="00FB7D0B" w:rsidP="003F0EEA">
            <w:pPr>
              <w:pStyle w:val="TableTextBullet9"/>
            </w:pPr>
            <w:r>
              <w:t>Ensure a geographically diverse range of providers participate in the arrangements for provision of general and specialist medical and dental services to entitled beneficiaries.</w:t>
            </w:r>
          </w:p>
          <w:p w14:paraId="0D73575C" w14:textId="77777777" w:rsidR="003F0EEA" w:rsidRPr="00F239B5" w:rsidRDefault="00FB7D0B" w:rsidP="003F0EEA">
            <w:pPr>
              <w:pStyle w:val="TableTextBullet9"/>
              <w:rPr>
                <w:b/>
              </w:rPr>
            </w:pPr>
            <w:r>
              <w:t>Ensure a comprehensive range of general and specialist medical and dental services are available to entitled beneficiaries in order to meet their health care needs.</w:t>
            </w:r>
          </w:p>
          <w:p w14:paraId="1CEB1CB2" w14:textId="77777777" w:rsidR="003F0EEA" w:rsidRDefault="00FB7D0B" w:rsidP="003F0EEA">
            <w:pPr>
              <w:pStyle w:val="TableTextBullet9"/>
              <w:rPr>
                <w:b/>
              </w:rPr>
            </w:pPr>
            <w:r>
              <w:t>Facilitate effective payment of medical practitioners under the Department of Veterans’ Affairs arrangements.</w:t>
            </w:r>
          </w:p>
        </w:tc>
      </w:tr>
    </w:tbl>
    <w:p w14:paraId="7F439775" w14:textId="77777777" w:rsidR="00724034" w:rsidRDefault="0072403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10"/>
        <w:gridCol w:w="975"/>
        <w:gridCol w:w="975"/>
        <w:gridCol w:w="975"/>
        <w:gridCol w:w="975"/>
        <w:gridCol w:w="975"/>
      </w:tblGrid>
      <w:tr w:rsidR="00724034" w14:paraId="250FCDFF" w14:textId="77777777">
        <w:trPr>
          <w:trHeight w:val="225"/>
        </w:trPr>
        <w:tc>
          <w:tcPr>
            <w:tcW w:w="3210" w:type="dxa"/>
            <w:tcBorders>
              <w:top w:val="single" w:sz="6" w:space="0" w:color="000000"/>
              <w:left w:val="single" w:sz="6" w:space="0" w:color="000000"/>
              <w:bottom w:val="nil"/>
              <w:right w:val="nil"/>
              <w:tl2br w:val="nil"/>
              <w:tr2bl w:val="nil"/>
            </w:tcBorders>
            <w:shd w:val="clear" w:color="auto" w:fill="FFFFFF"/>
            <w:tcMar>
              <w:left w:w="115" w:type="dxa"/>
              <w:right w:w="115" w:type="dxa"/>
            </w:tcMar>
            <w:vAlign w:val="bottom"/>
          </w:tcPr>
          <w:p w14:paraId="5F167012" w14:textId="77777777" w:rsidR="00724034" w:rsidRDefault="00724034">
            <w:pPr>
              <w:jc w:val="center"/>
            </w:pPr>
          </w:p>
        </w:tc>
        <w:tc>
          <w:tcPr>
            <w:tcW w:w="975"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7AD64A29" w14:textId="77777777" w:rsidR="00724034" w:rsidRDefault="00FB7D0B">
            <w:pPr>
              <w:jc w:val="right"/>
              <w:rPr>
                <w:rFonts w:ascii="Arial" w:eastAsia="Arial" w:hAnsi="Arial" w:cs="Arial"/>
                <w:b/>
                <w:color w:val="000000"/>
                <w:sz w:val="16"/>
                <w:vertAlign w:val="superscript"/>
              </w:rPr>
            </w:pPr>
            <w:r>
              <w:rPr>
                <w:rFonts w:ascii="Arial" w:eastAsia="Arial" w:hAnsi="Arial" w:cs="Arial"/>
                <w:color w:val="000000"/>
                <w:sz w:val="16"/>
              </w:rPr>
              <w:t>2013-14</w:t>
            </w:r>
          </w:p>
        </w:tc>
        <w:tc>
          <w:tcPr>
            <w:tcW w:w="975" w:type="dxa"/>
            <w:tcBorders>
              <w:top w:val="single" w:sz="6" w:space="0" w:color="000000"/>
              <w:left w:val="nil"/>
              <w:bottom w:val="nil"/>
              <w:right w:val="nil"/>
              <w:tl2br w:val="nil"/>
              <w:tr2bl w:val="nil"/>
            </w:tcBorders>
            <w:shd w:val="clear" w:color="auto" w:fill="FFFF00"/>
            <w:tcMar>
              <w:left w:w="115" w:type="dxa"/>
              <w:right w:w="115" w:type="dxa"/>
            </w:tcMar>
            <w:vAlign w:val="bottom"/>
          </w:tcPr>
          <w:p w14:paraId="09E80F1E" w14:textId="77777777" w:rsidR="00724034" w:rsidRDefault="00FB7D0B">
            <w:pPr>
              <w:jc w:val="right"/>
              <w:rPr>
                <w:rFonts w:ascii="Arial" w:eastAsia="Arial" w:hAnsi="Arial" w:cs="Arial"/>
                <w:color w:val="000000"/>
                <w:sz w:val="16"/>
              </w:rPr>
            </w:pPr>
            <w:r>
              <w:rPr>
                <w:rFonts w:ascii="Arial" w:eastAsia="Arial" w:hAnsi="Arial" w:cs="Arial"/>
                <w:color w:val="000000"/>
                <w:sz w:val="16"/>
              </w:rPr>
              <w:t>2014-15</w:t>
            </w:r>
          </w:p>
        </w:tc>
        <w:tc>
          <w:tcPr>
            <w:tcW w:w="975"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2698AE11" w14:textId="77777777" w:rsidR="00724034" w:rsidRDefault="00FB7D0B">
            <w:pPr>
              <w:jc w:val="right"/>
              <w:rPr>
                <w:rFonts w:ascii="Arial" w:eastAsia="Arial" w:hAnsi="Arial" w:cs="Arial"/>
                <w:color w:val="000000"/>
                <w:sz w:val="16"/>
              </w:rPr>
            </w:pPr>
            <w:r>
              <w:rPr>
                <w:rFonts w:ascii="Arial" w:eastAsia="Arial" w:hAnsi="Arial" w:cs="Arial"/>
                <w:color w:val="000000"/>
                <w:sz w:val="16"/>
              </w:rPr>
              <w:t>2015-16</w:t>
            </w:r>
          </w:p>
        </w:tc>
        <w:tc>
          <w:tcPr>
            <w:tcW w:w="975"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4A5A968B" w14:textId="77777777" w:rsidR="00724034" w:rsidRDefault="00FB7D0B">
            <w:pPr>
              <w:jc w:val="right"/>
              <w:rPr>
                <w:rFonts w:ascii="Arial" w:eastAsia="Arial" w:hAnsi="Arial" w:cs="Arial"/>
                <w:color w:val="000000"/>
                <w:sz w:val="16"/>
              </w:rPr>
            </w:pPr>
            <w:r>
              <w:rPr>
                <w:rFonts w:ascii="Arial" w:eastAsia="Arial" w:hAnsi="Arial" w:cs="Arial"/>
                <w:color w:val="000000"/>
                <w:sz w:val="16"/>
              </w:rPr>
              <w:t>2016-17</w:t>
            </w:r>
          </w:p>
        </w:tc>
        <w:tc>
          <w:tcPr>
            <w:tcW w:w="975" w:type="dxa"/>
            <w:tcBorders>
              <w:top w:val="single" w:sz="6" w:space="0" w:color="000000"/>
              <w:left w:val="nil"/>
              <w:bottom w:val="nil"/>
              <w:right w:val="single" w:sz="6" w:space="0" w:color="000000"/>
              <w:tl2br w:val="nil"/>
              <w:tr2bl w:val="nil"/>
            </w:tcBorders>
            <w:shd w:val="clear" w:color="auto" w:fill="FFFFFF"/>
            <w:tcMar>
              <w:left w:w="115" w:type="dxa"/>
              <w:right w:w="115" w:type="dxa"/>
            </w:tcMar>
            <w:vAlign w:val="bottom"/>
          </w:tcPr>
          <w:p w14:paraId="104E4092" w14:textId="77777777" w:rsidR="00724034" w:rsidRDefault="00FB7D0B">
            <w:pPr>
              <w:jc w:val="right"/>
              <w:rPr>
                <w:rFonts w:ascii="Arial" w:eastAsia="Arial" w:hAnsi="Arial" w:cs="Arial"/>
                <w:color w:val="000000"/>
                <w:sz w:val="16"/>
              </w:rPr>
            </w:pPr>
            <w:r>
              <w:rPr>
                <w:rFonts w:ascii="Arial" w:eastAsia="Arial" w:hAnsi="Arial" w:cs="Arial"/>
                <w:color w:val="000000"/>
                <w:sz w:val="16"/>
              </w:rPr>
              <w:t>2017-18</w:t>
            </w:r>
          </w:p>
        </w:tc>
      </w:tr>
      <w:tr w:rsidR="00724034" w14:paraId="2A7D93ED" w14:textId="77777777">
        <w:trPr>
          <w:trHeight w:val="225"/>
        </w:trPr>
        <w:tc>
          <w:tcPr>
            <w:tcW w:w="3210" w:type="dxa"/>
            <w:tcBorders>
              <w:top w:val="nil"/>
              <w:left w:val="single" w:sz="6" w:space="0" w:color="000000"/>
              <w:bottom w:val="nil"/>
              <w:right w:val="nil"/>
              <w:tl2br w:val="nil"/>
              <w:tr2bl w:val="nil"/>
            </w:tcBorders>
            <w:shd w:val="clear" w:color="auto" w:fill="FFFFFF"/>
            <w:tcMar>
              <w:left w:w="115" w:type="dxa"/>
              <w:right w:w="115" w:type="dxa"/>
            </w:tcMar>
            <w:vAlign w:val="bottom"/>
          </w:tcPr>
          <w:p w14:paraId="6A5E88E0" w14:textId="77777777" w:rsidR="00724034" w:rsidRDefault="00724034">
            <w:pPr>
              <w:rPr>
                <w:rFonts w:ascii="Arial" w:eastAsia="Arial" w:hAnsi="Arial" w:cs="Arial"/>
                <w:color w:val="000000"/>
                <w:sz w:val="16"/>
              </w:rPr>
            </w:pPr>
          </w:p>
        </w:tc>
        <w:tc>
          <w:tcPr>
            <w:tcW w:w="975" w:type="dxa"/>
            <w:tcBorders>
              <w:top w:val="nil"/>
              <w:left w:val="nil"/>
              <w:bottom w:val="nil"/>
              <w:right w:val="nil"/>
              <w:tl2br w:val="nil"/>
              <w:tr2bl w:val="nil"/>
            </w:tcBorders>
            <w:shd w:val="clear" w:color="auto" w:fill="FFFFFF"/>
            <w:tcMar>
              <w:left w:w="115" w:type="dxa"/>
              <w:right w:w="115" w:type="dxa"/>
            </w:tcMar>
            <w:vAlign w:val="bottom"/>
          </w:tcPr>
          <w:p w14:paraId="47B5E007" w14:textId="77777777" w:rsidR="00724034" w:rsidRDefault="00FB7D0B">
            <w:pPr>
              <w:jc w:val="right"/>
              <w:rPr>
                <w:rFonts w:ascii="Arial" w:eastAsia="Arial" w:hAnsi="Arial" w:cs="Arial"/>
                <w:color w:val="000000"/>
                <w:sz w:val="16"/>
                <w:vertAlign w:val="superscript"/>
              </w:rPr>
            </w:pPr>
            <w:r>
              <w:rPr>
                <w:rFonts w:ascii="Arial" w:eastAsia="Arial" w:hAnsi="Arial" w:cs="Arial"/>
                <w:color w:val="000000"/>
                <w:sz w:val="16"/>
              </w:rPr>
              <w:t>Revised</w:t>
            </w:r>
          </w:p>
        </w:tc>
        <w:tc>
          <w:tcPr>
            <w:tcW w:w="975" w:type="dxa"/>
            <w:tcBorders>
              <w:top w:val="nil"/>
              <w:left w:val="nil"/>
              <w:bottom w:val="nil"/>
              <w:right w:val="nil"/>
              <w:tl2br w:val="nil"/>
              <w:tr2bl w:val="nil"/>
            </w:tcBorders>
            <w:shd w:val="clear" w:color="auto" w:fill="FFFF00"/>
            <w:tcMar>
              <w:left w:w="115" w:type="dxa"/>
              <w:right w:w="115" w:type="dxa"/>
            </w:tcMar>
            <w:vAlign w:val="bottom"/>
          </w:tcPr>
          <w:p w14:paraId="2760408A" w14:textId="77777777" w:rsidR="00724034" w:rsidRDefault="00FB7D0B">
            <w:pPr>
              <w:jc w:val="right"/>
              <w:rPr>
                <w:rFonts w:ascii="Arial" w:eastAsia="Arial" w:hAnsi="Arial" w:cs="Arial"/>
                <w:color w:val="000000"/>
                <w:sz w:val="16"/>
              </w:rPr>
            </w:pPr>
            <w:r>
              <w:rPr>
                <w:rFonts w:ascii="Arial" w:eastAsia="Arial" w:hAnsi="Arial" w:cs="Arial"/>
                <w:color w:val="000000"/>
                <w:sz w:val="16"/>
              </w:rPr>
              <w:t>Budget</w:t>
            </w:r>
          </w:p>
        </w:tc>
        <w:tc>
          <w:tcPr>
            <w:tcW w:w="975" w:type="dxa"/>
            <w:tcBorders>
              <w:top w:val="nil"/>
              <w:left w:val="nil"/>
              <w:bottom w:val="nil"/>
              <w:right w:val="nil"/>
              <w:tl2br w:val="nil"/>
              <w:tr2bl w:val="nil"/>
            </w:tcBorders>
            <w:shd w:val="clear" w:color="auto" w:fill="FFFFFF"/>
            <w:tcMar>
              <w:left w:w="115" w:type="dxa"/>
              <w:right w:w="115" w:type="dxa"/>
            </w:tcMar>
            <w:vAlign w:val="bottom"/>
          </w:tcPr>
          <w:p w14:paraId="3298B95D" w14:textId="77777777" w:rsidR="00724034" w:rsidRDefault="00FB7D0B">
            <w:pPr>
              <w:jc w:val="right"/>
              <w:rPr>
                <w:rFonts w:ascii="Arial" w:eastAsia="Arial" w:hAnsi="Arial" w:cs="Arial"/>
                <w:color w:val="000000"/>
                <w:sz w:val="16"/>
              </w:rPr>
            </w:pPr>
            <w:r>
              <w:rPr>
                <w:rFonts w:ascii="Arial" w:eastAsia="Arial" w:hAnsi="Arial" w:cs="Arial"/>
                <w:color w:val="000000"/>
                <w:sz w:val="16"/>
              </w:rPr>
              <w:t>Forward</w:t>
            </w:r>
          </w:p>
        </w:tc>
        <w:tc>
          <w:tcPr>
            <w:tcW w:w="975" w:type="dxa"/>
            <w:tcBorders>
              <w:top w:val="nil"/>
              <w:left w:val="nil"/>
              <w:bottom w:val="nil"/>
              <w:right w:val="nil"/>
              <w:tl2br w:val="nil"/>
              <w:tr2bl w:val="nil"/>
            </w:tcBorders>
            <w:shd w:val="clear" w:color="auto" w:fill="FFFFFF"/>
            <w:tcMar>
              <w:left w:w="115" w:type="dxa"/>
              <w:right w:w="115" w:type="dxa"/>
            </w:tcMar>
            <w:vAlign w:val="bottom"/>
          </w:tcPr>
          <w:p w14:paraId="280BE659" w14:textId="77777777" w:rsidR="00724034" w:rsidRDefault="00FB7D0B">
            <w:pPr>
              <w:jc w:val="right"/>
              <w:rPr>
                <w:rFonts w:ascii="Arial" w:eastAsia="Arial" w:hAnsi="Arial" w:cs="Arial"/>
                <w:color w:val="000000"/>
                <w:sz w:val="16"/>
              </w:rPr>
            </w:pPr>
            <w:r>
              <w:rPr>
                <w:rFonts w:ascii="Arial" w:eastAsia="Arial" w:hAnsi="Arial" w:cs="Arial"/>
                <w:color w:val="000000"/>
                <w:sz w:val="16"/>
              </w:rPr>
              <w:t>Forward</w:t>
            </w:r>
          </w:p>
        </w:tc>
        <w:tc>
          <w:tcPr>
            <w:tcW w:w="975" w:type="dxa"/>
            <w:tcBorders>
              <w:top w:val="nil"/>
              <w:left w:val="nil"/>
              <w:bottom w:val="nil"/>
              <w:right w:val="single" w:sz="6" w:space="0" w:color="000000"/>
              <w:tl2br w:val="nil"/>
              <w:tr2bl w:val="nil"/>
            </w:tcBorders>
            <w:shd w:val="clear" w:color="auto" w:fill="FFFFFF"/>
            <w:tcMar>
              <w:left w:w="115" w:type="dxa"/>
              <w:right w:w="115" w:type="dxa"/>
            </w:tcMar>
            <w:vAlign w:val="bottom"/>
          </w:tcPr>
          <w:p w14:paraId="6B90BBB2" w14:textId="77777777" w:rsidR="00724034" w:rsidRDefault="00FB7D0B">
            <w:pPr>
              <w:jc w:val="right"/>
              <w:rPr>
                <w:rFonts w:ascii="Arial" w:eastAsia="Arial" w:hAnsi="Arial" w:cs="Arial"/>
                <w:color w:val="000000"/>
                <w:sz w:val="16"/>
              </w:rPr>
            </w:pPr>
            <w:r>
              <w:rPr>
                <w:rFonts w:ascii="Arial" w:eastAsia="Arial" w:hAnsi="Arial" w:cs="Arial"/>
                <w:color w:val="000000"/>
                <w:sz w:val="16"/>
              </w:rPr>
              <w:t>Forward</w:t>
            </w:r>
          </w:p>
        </w:tc>
      </w:tr>
      <w:tr w:rsidR="00724034" w14:paraId="7CEE9EEB" w14:textId="77777777">
        <w:trPr>
          <w:trHeight w:val="225"/>
        </w:trPr>
        <w:tc>
          <w:tcPr>
            <w:tcW w:w="3210" w:type="dxa"/>
            <w:tcBorders>
              <w:top w:val="nil"/>
              <w:left w:val="single" w:sz="6" w:space="0" w:color="000000"/>
              <w:bottom w:val="single" w:sz="6" w:space="0" w:color="000000"/>
              <w:right w:val="nil"/>
              <w:tl2br w:val="nil"/>
              <w:tr2bl w:val="nil"/>
            </w:tcBorders>
            <w:shd w:val="clear" w:color="auto" w:fill="FFFFFF"/>
            <w:tcMar>
              <w:left w:w="115" w:type="dxa"/>
              <w:right w:w="115" w:type="dxa"/>
            </w:tcMar>
            <w:vAlign w:val="bottom"/>
          </w:tcPr>
          <w:p w14:paraId="2EA0B31B" w14:textId="77777777" w:rsidR="00724034" w:rsidRDefault="00FB7D0B">
            <w:pPr>
              <w:rPr>
                <w:rFonts w:ascii="Arial" w:eastAsia="Arial" w:hAnsi="Arial" w:cs="Arial"/>
                <w:color w:val="000000"/>
                <w:sz w:val="16"/>
              </w:rPr>
            </w:pPr>
            <w:r>
              <w:rPr>
                <w:rFonts w:ascii="Arial" w:eastAsia="Arial" w:hAnsi="Arial" w:cs="Arial"/>
                <w:color w:val="000000"/>
                <w:sz w:val="16"/>
              </w:rPr>
              <w:t xml:space="preserve">Deliverables </w:t>
            </w:r>
          </w:p>
        </w:tc>
        <w:tc>
          <w:tcPr>
            <w:tcW w:w="975"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6603DBA3" w14:textId="77777777" w:rsidR="00724034" w:rsidRDefault="00FB7D0B">
            <w:pPr>
              <w:jc w:val="right"/>
              <w:rPr>
                <w:rFonts w:ascii="Arial" w:eastAsia="Arial" w:hAnsi="Arial" w:cs="Arial"/>
                <w:color w:val="000000"/>
                <w:sz w:val="16"/>
                <w:vertAlign w:val="superscript"/>
              </w:rPr>
            </w:pPr>
            <w:r>
              <w:rPr>
                <w:rFonts w:ascii="Arial" w:eastAsia="Arial" w:hAnsi="Arial" w:cs="Arial"/>
                <w:color w:val="000000"/>
                <w:sz w:val="16"/>
              </w:rPr>
              <w:t>budget</w:t>
            </w:r>
          </w:p>
        </w:tc>
        <w:tc>
          <w:tcPr>
            <w:tcW w:w="975" w:type="dxa"/>
            <w:tcBorders>
              <w:top w:val="nil"/>
              <w:left w:val="nil"/>
              <w:bottom w:val="single" w:sz="6" w:space="0" w:color="000000"/>
              <w:right w:val="nil"/>
              <w:tl2br w:val="nil"/>
              <w:tr2bl w:val="nil"/>
            </w:tcBorders>
            <w:shd w:val="clear" w:color="auto" w:fill="FFFF00"/>
            <w:tcMar>
              <w:left w:w="115" w:type="dxa"/>
              <w:right w:w="115" w:type="dxa"/>
            </w:tcMar>
            <w:vAlign w:val="bottom"/>
          </w:tcPr>
          <w:p w14:paraId="3D0DEB56" w14:textId="77777777" w:rsidR="00724034" w:rsidRDefault="00724034">
            <w:pPr>
              <w:jc w:val="right"/>
              <w:rPr>
                <w:rFonts w:ascii="Arial" w:eastAsia="Arial" w:hAnsi="Arial" w:cs="Arial"/>
                <w:color w:val="000000"/>
                <w:sz w:val="16"/>
              </w:rPr>
            </w:pPr>
          </w:p>
        </w:tc>
        <w:tc>
          <w:tcPr>
            <w:tcW w:w="975"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5A0A0407" w14:textId="77777777" w:rsidR="00724034" w:rsidRDefault="00FB7D0B">
            <w:pPr>
              <w:jc w:val="right"/>
              <w:rPr>
                <w:rFonts w:ascii="Arial" w:eastAsia="Arial" w:hAnsi="Arial" w:cs="Arial"/>
                <w:color w:val="000000"/>
                <w:sz w:val="16"/>
              </w:rPr>
            </w:pPr>
            <w:r>
              <w:rPr>
                <w:rFonts w:ascii="Arial" w:eastAsia="Arial" w:hAnsi="Arial" w:cs="Arial"/>
                <w:color w:val="000000"/>
                <w:sz w:val="16"/>
              </w:rPr>
              <w:t>year 1</w:t>
            </w:r>
          </w:p>
        </w:tc>
        <w:tc>
          <w:tcPr>
            <w:tcW w:w="975"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4D496CD0" w14:textId="77777777" w:rsidR="00724034" w:rsidRDefault="00FB7D0B">
            <w:pPr>
              <w:jc w:val="right"/>
              <w:rPr>
                <w:rFonts w:ascii="Arial" w:eastAsia="Arial" w:hAnsi="Arial" w:cs="Arial"/>
                <w:color w:val="000000"/>
                <w:sz w:val="16"/>
              </w:rPr>
            </w:pPr>
            <w:r>
              <w:rPr>
                <w:rFonts w:ascii="Arial" w:eastAsia="Arial" w:hAnsi="Arial" w:cs="Arial"/>
                <w:color w:val="000000"/>
                <w:sz w:val="16"/>
              </w:rPr>
              <w:t>year 2</w:t>
            </w:r>
          </w:p>
        </w:tc>
        <w:tc>
          <w:tcPr>
            <w:tcW w:w="975" w:type="dxa"/>
            <w:tcBorders>
              <w:top w:val="nil"/>
              <w:left w:val="nil"/>
              <w:bottom w:val="single" w:sz="6" w:space="0" w:color="000000"/>
              <w:right w:val="single" w:sz="6" w:space="0" w:color="000000"/>
              <w:tl2br w:val="nil"/>
              <w:tr2bl w:val="nil"/>
            </w:tcBorders>
            <w:shd w:val="clear" w:color="auto" w:fill="FFFFFF"/>
            <w:tcMar>
              <w:left w:w="115" w:type="dxa"/>
              <w:right w:w="115" w:type="dxa"/>
            </w:tcMar>
            <w:vAlign w:val="bottom"/>
          </w:tcPr>
          <w:p w14:paraId="14E05376" w14:textId="77777777" w:rsidR="00724034" w:rsidRDefault="00FB7D0B">
            <w:pPr>
              <w:jc w:val="right"/>
              <w:rPr>
                <w:rFonts w:ascii="Arial" w:eastAsia="Arial" w:hAnsi="Arial" w:cs="Arial"/>
                <w:color w:val="000000"/>
                <w:sz w:val="16"/>
              </w:rPr>
            </w:pPr>
            <w:r>
              <w:rPr>
                <w:rFonts w:ascii="Arial" w:eastAsia="Arial" w:hAnsi="Arial" w:cs="Arial"/>
                <w:color w:val="000000"/>
                <w:sz w:val="16"/>
              </w:rPr>
              <w:t>year 3</w:t>
            </w:r>
          </w:p>
        </w:tc>
      </w:tr>
      <w:tr w:rsidR="00724034" w14:paraId="7C52B4C0" w14:textId="77777777">
        <w:trPr>
          <w:trHeight w:val="60"/>
        </w:trPr>
        <w:tc>
          <w:tcPr>
            <w:tcW w:w="3210" w:type="dxa"/>
            <w:tcBorders>
              <w:top w:val="single" w:sz="6" w:space="0" w:color="000000"/>
              <w:left w:val="single" w:sz="6" w:space="0" w:color="000000"/>
              <w:bottom w:val="nil"/>
              <w:right w:val="nil"/>
              <w:tl2br w:val="nil"/>
              <w:tr2bl w:val="nil"/>
            </w:tcBorders>
            <w:shd w:val="clear" w:color="auto" w:fill="FFFFFF"/>
            <w:tcMar>
              <w:left w:w="115" w:type="dxa"/>
              <w:right w:w="115" w:type="dxa"/>
            </w:tcMar>
            <w:vAlign w:val="bottom"/>
          </w:tcPr>
          <w:p w14:paraId="6953A164" w14:textId="77777777" w:rsidR="00724034" w:rsidRDefault="00724034">
            <w:pPr>
              <w:rPr>
                <w:rFonts w:ascii="Arial" w:eastAsia="Arial" w:hAnsi="Arial" w:cs="Arial"/>
                <w:color w:val="000000"/>
                <w:sz w:val="16"/>
              </w:rPr>
            </w:pPr>
          </w:p>
        </w:tc>
        <w:tc>
          <w:tcPr>
            <w:tcW w:w="975"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48637BA1" w14:textId="77777777" w:rsidR="00724034" w:rsidRDefault="00724034">
            <w:pPr>
              <w:jc w:val="right"/>
              <w:rPr>
                <w:rFonts w:ascii="Arial" w:eastAsia="Arial" w:hAnsi="Arial" w:cs="Arial"/>
                <w:color w:val="000000"/>
                <w:sz w:val="16"/>
                <w:vertAlign w:val="superscript"/>
              </w:rPr>
            </w:pPr>
          </w:p>
        </w:tc>
        <w:tc>
          <w:tcPr>
            <w:tcW w:w="975" w:type="dxa"/>
            <w:tcBorders>
              <w:top w:val="single" w:sz="6" w:space="0" w:color="000000"/>
              <w:left w:val="nil"/>
              <w:bottom w:val="nil"/>
              <w:right w:val="nil"/>
              <w:tl2br w:val="nil"/>
              <w:tr2bl w:val="nil"/>
            </w:tcBorders>
            <w:shd w:val="clear" w:color="auto" w:fill="FFFF00"/>
            <w:tcMar>
              <w:left w:w="115" w:type="dxa"/>
              <w:right w:w="115" w:type="dxa"/>
            </w:tcMar>
            <w:vAlign w:val="bottom"/>
          </w:tcPr>
          <w:p w14:paraId="2B8AA475" w14:textId="77777777" w:rsidR="00724034" w:rsidRDefault="00724034">
            <w:pPr>
              <w:jc w:val="right"/>
              <w:rPr>
                <w:rFonts w:ascii="Arial" w:eastAsia="Arial" w:hAnsi="Arial" w:cs="Arial"/>
                <w:color w:val="000000"/>
                <w:sz w:val="16"/>
                <w:vertAlign w:val="superscript"/>
              </w:rPr>
            </w:pPr>
          </w:p>
        </w:tc>
        <w:tc>
          <w:tcPr>
            <w:tcW w:w="975"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00D3F599" w14:textId="77777777" w:rsidR="00724034" w:rsidRDefault="00724034">
            <w:pPr>
              <w:jc w:val="right"/>
              <w:rPr>
                <w:rFonts w:ascii="Arial" w:eastAsia="Arial" w:hAnsi="Arial" w:cs="Arial"/>
                <w:color w:val="000000"/>
                <w:sz w:val="16"/>
                <w:vertAlign w:val="superscript"/>
              </w:rPr>
            </w:pPr>
          </w:p>
        </w:tc>
        <w:tc>
          <w:tcPr>
            <w:tcW w:w="975"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5E81A0EF" w14:textId="77777777" w:rsidR="00724034" w:rsidRDefault="00724034">
            <w:pPr>
              <w:jc w:val="right"/>
              <w:rPr>
                <w:rFonts w:ascii="Arial" w:eastAsia="Arial" w:hAnsi="Arial" w:cs="Arial"/>
                <w:color w:val="000000"/>
                <w:sz w:val="16"/>
                <w:vertAlign w:val="superscript"/>
              </w:rPr>
            </w:pPr>
          </w:p>
        </w:tc>
        <w:tc>
          <w:tcPr>
            <w:tcW w:w="975" w:type="dxa"/>
            <w:tcBorders>
              <w:top w:val="single" w:sz="6" w:space="0" w:color="000000"/>
              <w:left w:val="nil"/>
              <w:bottom w:val="nil"/>
              <w:right w:val="single" w:sz="6" w:space="0" w:color="000000"/>
              <w:tl2br w:val="nil"/>
              <w:tr2bl w:val="nil"/>
            </w:tcBorders>
            <w:shd w:val="clear" w:color="auto" w:fill="FFFFFF"/>
            <w:tcMar>
              <w:left w:w="115" w:type="dxa"/>
              <w:right w:w="115" w:type="dxa"/>
            </w:tcMar>
            <w:vAlign w:val="bottom"/>
          </w:tcPr>
          <w:p w14:paraId="2E07CD10" w14:textId="77777777" w:rsidR="00724034" w:rsidRDefault="00724034">
            <w:pPr>
              <w:jc w:val="right"/>
              <w:rPr>
                <w:rFonts w:ascii="Arial" w:eastAsia="Arial" w:hAnsi="Arial" w:cs="Arial"/>
                <w:color w:val="000000"/>
                <w:sz w:val="16"/>
                <w:vertAlign w:val="superscript"/>
              </w:rPr>
            </w:pPr>
          </w:p>
        </w:tc>
      </w:tr>
      <w:tr w:rsidR="00724034" w14:paraId="77D241FD" w14:textId="77777777">
        <w:trPr>
          <w:trHeight w:val="225"/>
        </w:trPr>
        <w:tc>
          <w:tcPr>
            <w:tcW w:w="3210" w:type="dxa"/>
            <w:tcBorders>
              <w:top w:val="nil"/>
              <w:left w:val="single" w:sz="6" w:space="0" w:color="000000"/>
              <w:bottom w:val="single" w:sz="6" w:space="0" w:color="000000"/>
              <w:right w:val="nil"/>
              <w:tl2br w:val="nil"/>
              <w:tr2bl w:val="nil"/>
            </w:tcBorders>
            <w:shd w:val="clear" w:color="auto" w:fill="FFFFFF"/>
            <w:tcMar>
              <w:left w:w="115" w:type="dxa"/>
              <w:right w:w="115" w:type="dxa"/>
            </w:tcMar>
            <w:vAlign w:val="bottom"/>
          </w:tcPr>
          <w:p w14:paraId="0BED3711" w14:textId="77777777" w:rsidR="00724034" w:rsidRDefault="00FB7D0B">
            <w:pPr>
              <w:rPr>
                <w:rFonts w:ascii="Arial" w:eastAsia="Arial" w:hAnsi="Arial" w:cs="Arial"/>
                <w:color w:val="000000"/>
                <w:sz w:val="16"/>
                <w:vertAlign w:val="superscript"/>
              </w:rPr>
            </w:pPr>
            <w:r>
              <w:rPr>
                <w:rFonts w:ascii="Arial" w:eastAsia="Arial" w:hAnsi="Arial" w:cs="Arial"/>
                <w:color w:val="000000"/>
                <w:sz w:val="16"/>
              </w:rPr>
              <w:t xml:space="preserve">Treatment Population </w:t>
            </w:r>
          </w:p>
        </w:tc>
        <w:tc>
          <w:tcPr>
            <w:tcW w:w="975"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266650D5" w14:textId="77777777" w:rsidR="00724034" w:rsidRDefault="00FB7D0B">
            <w:pPr>
              <w:jc w:val="right"/>
              <w:rPr>
                <w:rFonts w:ascii="Arial" w:eastAsia="Arial" w:hAnsi="Arial" w:cs="Arial"/>
                <w:color w:val="000000"/>
                <w:sz w:val="16"/>
                <w:vertAlign w:val="superscript"/>
              </w:rPr>
            </w:pPr>
            <w:r>
              <w:rPr>
                <w:rFonts w:ascii="Arial" w:eastAsia="Arial" w:hAnsi="Arial" w:cs="Arial"/>
                <w:color w:val="000000"/>
                <w:sz w:val="16"/>
              </w:rPr>
              <w:t xml:space="preserve"> 215,900 </w:t>
            </w:r>
          </w:p>
        </w:tc>
        <w:tc>
          <w:tcPr>
            <w:tcW w:w="975" w:type="dxa"/>
            <w:tcBorders>
              <w:top w:val="nil"/>
              <w:left w:val="nil"/>
              <w:bottom w:val="single" w:sz="6" w:space="0" w:color="000000"/>
              <w:right w:val="nil"/>
              <w:tl2br w:val="nil"/>
              <w:tr2bl w:val="nil"/>
            </w:tcBorders>
            <w:shd w:val="clear" w:color="auto" w:fill="FFFF00"/>
            <w:tcMar>
              <w:left w:w="115" w:type="dxa"/>
              <w:right w:w="115" w:type="dxa"/>
            </w:tcMar>
            <w:vAlign w:val="bottom"/>
          </w:tcPr>
          <w:p w14:paraId="3E37C40F" w14:textId="77777777" w:rsidR="00724034" w:rsidRDefault="00FB7D0B">
            <w:pPr>
              <w:jc w:val="right"/>
              <w:rPr>
                <w:rFonts w:ascii="Arial" w:eastAsia="Arial" w:hAnsi="Arial" w:cs="Arial"/>
                <w:color w:val="000000"/>
                <w:sz w:val="16"/>
              </w:rPr>
            </w:pPr>
            <w:r>
              <w:rPr>
                <w:rFonts w:ascii="Arial" w:eastAsia="Arial" w:hAnsi="Arial" w:cs="Arial"/>
                <w:color w:val="000000"/>
                <w:sz w:val="16"/>
              </w:rPr>
              <w:t xml:space="preserve"> 204,000 </w:t>
            </w:r>
          </w:p>
        </w:tc>
        <w:tc>
          <w:tcPr>
            <w:tcW w:w="975"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7C6954A1" w14:textId="77777777" w:rsidR="00724034" w:rsidRDefault="00FB7D0B">
            <w:pPr>
              <w:jc w:val="right"/>
              <w:rPr>
                <w:rFonts w:ascii="Arial" w:eastAsia="Arial" w:hAnsi="Arial" w:cs="Arial"/>
                <w:color w:val="000000"/>
                <w:sz w:val="16"/>
              </w:rPr>
            </w:pPr>
            <w:r>
              <w:rPr>
                <w:rFonts w:ascii="Arial" w:eastAsia="Arial" w:hAnsi="Arial" w:cs="Arial"/>
                <w:color w:val="000000"/>
                <w:sz w:val="16"/>
              </w:rPr>
              <w:t>192,900 </w:t>
            </w:r>
          </w:p>
        </w:tc>
        <w:tc>
          <w:tcPr>
            <w:tcW w:w="975"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6FE094E1" w14:textId="77777777" w:rsidR="00724034" w:rsidRDefault="00FB7D0B">
            <w:pPr>
              <w:jc w:val="right"/>
              <w:rPr>
                <w:rFonts w:ascii="Arial" w:eastAsia="Arial" w:hAnsi="Arial" w:cs="Arial"/>
                <w:color w:val="000000"/>
                <w:sz w:val="16"/>
              </w:rPr>
            </w:pPr>
            <w:r>
              <w:rPr>
                <w:rFonts w:ascii="Arial" w:eastAsia="Arial" w:hAnsi="Arial" w:cs="Arial"/>
                <w:color w:val="000000"/>
                <w:sz w:val="16"/>
              </w:rPr>
              <w:t xml:space="preserve"> 182,500 </w:t>
            </w:r>
          </w:p>
        </w:tc>
        <w:tc>
          <w:tcPr>
            <w:tcW w:w="975" w:type="dxa"/>
            <w:tcBorders>
              <w:top w:val="nil"/>
              <w:left w:val="nil"/>
              <w:bottom w:val="single" w:sz="6" w:space="0" w:color="000000"/>
              <w:right w:val="single" w:sz="6" w:space="0" w:color="000000"/>
              <w:tl2br w:val="nil"/>
              <w:tr2bl w:val="nil"/>
            </w:tcBorders>
            <w:shd w:val="clear" w:color="auto" w:fill="FFFFFF"/>
            <w:tcMar>
              <w:left w:w="115" w:type="dxa"/>
              <w:right w:w="115" w:type="dxa"/>
            </w:tcMar>
            <w:vAlign w:val="bottom"/>
          </w:tcPr>
          <w:p w14:paraId="15BC6743" w14:textId="77777777" w:rsidR="00724034" w:rsidRDefault="00FB7D0B">
            <w:pPr>
              <w:jc w:val="right"/>
              <w:rPr>
                <w:rFonts w:ascii="Arial" w:eastAsia="Arial" w:hAnsi="Arial" w:cs="Arial"/>
                <w:color w:val="000000"/>
                <w:sz w:val="16"/>
              </w:rPr>
            </w:pPr>
            <w:r>
              <w:rPr>
                <w:rFonts w:ascii="Arial" w:eastAsia="Arial" w:hAnsi="Arial" w:cs="Arial"/>
                <w:color w:val="000000"/>
                <w:sz w:val="16"/>
              </w:rPr>
              <w:t>172,900 </w:t>
            </w:r>
          </w:p>
        </w:tc>
      </w:tr>
      <w:tr w:rsidR="00724034" w14:paraId="7FA58199" w14:textId="77777777">
        <w:trPr>
          <w:trHeight w:val="60"/>
        </w:trPr>
        <w:tc>
          <w:tcPr>
            <w:tcW w:w="3210"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583A8025" w14:textId="77777777" w:rsidR="00724034" w:rsidRDefault="00724034">
            <w:pPr>
              <w:rPr>
                <w:rFonts w:ascii="Arial" w:eastAsia="Arial" w:hAnsi="Arial" w:cs="Arial"/>
                <w:color w:val="000000"/>
                <w:sz w:val="16"/>
              </w:rPr>
            </w:pPr>
          </w:p>
        </w:tc>
        <w:tc>
          <w:tcPr>
            <w:tcW w:w="975"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5752E162" w14:textId="77777777" w:rsidR="00724034" w:rsidRDefault="00724034">
            <w:pPr>
              <w:rPr>
                <w:rFonts w:ascii="Arial" w:eastAsia="Arial" w:hAnsi="Arial" w:cs="Arial"/>
                <w:b/>
                <w:color w:val="000000"/>
                <w:sz w:val="16"/>
                <w:vertAlign w:val="superscript"/>
              </w:rPr>
            </w:pPr>
          </w:p>
        </w:tc>
        <w:tc>
          <w:tcPr>
            <w:tcW w:w="975"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219D538E" w14:textId="77777777" w:rsidR="00724034" w:rsidRDefault="00724034">
            <w:pPr>
              <w:rPr>
                <w:rFonts w:ascii="Arial" w:eastAsia="Arial" w:hAnsi="Arial" w:cs="Arial"/>
                <w:b/>
                <w:color w:val="000000"/>
                <w:sz w:val="16"/>
                <w:vertAlign w:val="superscript"/>
              </w:rPr>
            </w:pPr>
          </w:p>
        </w:tc>
        <w:tc>
          <w:tcPr>
            <w:tcW w:w="975"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2B9B3818" w14:textId="77777777" w:rsidR="00724034" w:rsidRDefault="00724034">
            <w:pPr>
              <w:rPr>
                <w:rFonts w:ascii="Arial" w:eastAsia="Arial" w:hAnsi="Arial" w:cs="Arial"/>
                <w:b/>
                <w:color w:val="000000"/>
                <w:sz w:val="16"/>
                <w:vertAlign w:val="superscript"/>
              </w:rPr>
            </w:pPr>
          </w:p>
        </w:tc>
        <w:tc>
          <w:tcPr>
            <w:tcW w:w="975"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7CC3AB76" w14:textId="77777777" w:rsidR="00724034" w:rsidRDefault="00724034">
            <w:pPr>
              <w:rPr>
                <w:rFonts w:ascii="Arial" w:eastAsia="Arial" w:hAnsi="Arial" w:cs="Arial"/>
                <w:b/>
                <w:color w:val="000000"/>
                <w:sz w:val="16"/>
                <w:vertAlign w:val="superscript"/>
              </w:rPr>
            </w:pPr>
          </w:p>
        </w:tc>
        <w:tc>
          <w:tcPr>
            <w:tcW w:w="975"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7995B74A" w14:textId="77777777" w:rsidR="00724034" w:rsidRDefault="00724034">
            <w:pPr>
              <w:rPr>
                <w:rFonts w:ascii="Arial" w:eastAsia="Arial" w:hAnsi="Arial" w:cs="Arial"/>
                <w:b/>
                <w:color w:val="000000"/>
                <w:sz w:val="16"/>
                <w:vertAlign w:val="superscript"/>
              </w:rPr>
            </w:pPr>
          </w:p>
        </w:tc>
      </w:tr>
    </w:tbl>
    <w:p w14:paraId="0B69C432" w14:textId="77777777" w:rsidR="003F0EEA" w:rsidRPr="004C0C76" w:rsidRDefault="003F0EEA">
      <w:pPr>
        <w:rPr>
          <w:rFonts w:ascii="Arial" w:eastAsia="Times New Roman"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5"/>
        <w:gridCol w:w="1021"/>
        <w:gridCol w:w="1021"/>
        <w:gridCol w:w="1021"/>
        <w:gridCol w:w="1021"/>
        <w:gridCol w:w="1021"/>
      </w:tblGrid>
      <w:tr w:rsidR="00724034" w14:paraId="53F1C344" w14:textId="77777777" w:rsidTr="003F0EEA">
        <w:tc>
          <w:tcPr>
            <w:tcW w:w="8080" w:type="dxa"/>
            <w:gridSpan w:val="6"/>
            <w:tcBorders>
              <w:top w:val="single" w:sz="4" w:space="0" w:color="auto"/>
              <w:left w:val="single" w:sz="4" w:space="0" w:color="auto"/>
              <w:bottom w:val="single" w:sz="4" w:space="0" w:color="auto"/>
              <w:right w:val="single" w:sz="4" w:space="0" w:color="auto"/>
            </w:tcBorders>
          </w:tcPr>
          <w:p w14:paraId="73985E25" w14:textId="77777777" w:rsidR="003F0EEA" w:rsidRDefault="00FB7D0B" w:rsidP="003F0EEA">
            <w:pPr>
              <w:pStyle w:val="TableTextLeft21"/>
              <w:rPr>
                <w:b/>
              </w:rPr>
            </w:pPr>
            <w:r>
              <w:rPr>
                <w:b/>
              </w:rPr>
              <w:t>Programme 2.1 key performance indicators</w:t>
            </w:r>
          </w:p>
          <w:p w14:paraId="3760A32F" w14:textId="77777777" w:rsidR="003F0EEA" w:rsidRPr="00171986" w:rsidRDefault="00FB7D0B" w:rsidP="003F0EEA">
            <w:pPr>
              <w:pStyle w:val="TableTextBullet10"/>
              <w:rPr>
                <w:b/>
              </w:rPr>
            </w:pPr>
            <w:r w:rsidRPr="00D82C9A">
              <w:t>Ensure arrangements are in place for the access to and delivery of general and specialist medical services for all DVA beneficiaries.</w:t>
            </w:r>
          </w:p>
          <w:p w14:paraId="116111BA" w14:textId="77777777" w:rsidR="003F0EEA" w:rsidRDefault="00FB7D0B" w:rsidP="003F0EEA">
            <w:pPr>
              <w:pStyle w:val="TableTextBullet10"/>
              <w:rPr>
                <w:b/>
              </w:rPr>
            </w:pPr>
            <w:r>
              <w:t>Maintain a schedule of general and specialist medical services to meet the health care needs of entitled beneficiaries and maintain consistency with trends in the delivery of health care services.</w:t>
            </w:r>
          </w:p>
        </w:tc>
      </w:tr>
      <w:tr w:rsidR="00724034" w14:paraId="64AAAE15" w14:textId="77777777">
        <w:tblPrEx>
          <w:tblLook w:val="04A0" w:firstRow="1" w:lastRow="0" w:firstColumn="1" w:lastColumn="0" w:noHBand="0" w:noVBand="1"/>
        </w:tblPrEx>
        <w:trPr>
          <w:trHeight w:val="225"/>
        </w:trPr>
        <w:tc>
          <w:tcPr>
            <w:tcW w:w="0" w:type="auto"/>
            <w:tcBorders>
              <w:top w:val="single" w:sz="6" w:space="0" w:color="000000"/>
              <w:left w:val="single" w:sz="6" w:space="0" w:color="000000"/>
              <w:bottom w:val="nil"/>
              <w:right w:val="nil"/>
              <w:tl2br w:val="nil"/>
              <w:tr2bl w:val="nil"/>
            </w:tcBorders>
            <w:shd w:val="clear" w:color="auto" w:fill="FFFFFF"/>
            <w:tcMar>
              <w:left w:w="115" w:type="dxa"/>
              <w:right w:w="115" w:type="dxa"/>
            </w:tcMar>
            <w:vAlign w:val="bottom"/>
          </w:tcPr>
          <w:p w14:paraId="7CDCF878" w14:textId="77777777" w:rsidR="00724034" w:rsidRDefault="00724034">
            <w:pPr>
              <w:jc w:val="center"/>
            </w:pPr>
          </w:p>
        </w:tc>
        <w:tc>
          <w:tcPr>
            <w:tcW w:w="0" w:type="auto"/>
            <w:tcBorders>
              <w:top w:val="single" w:sz="6" w:space="0" w:color="000000"/>
              <w:left w:val="nil"/>
              <w:bottom w:val="nil"/>
              <w:right w:val="nil"/>
              <w:tl2br w:val="nil"/>
              <w:tr2bl w:val="nil"/>
            </w:tcBorders>
            <w:shd w:val="clear" w:color="auto" w:fill="FFFFFF"/>
            <w:tcMar>
              <w:left w:w="115" w:type="dxa"/>
              <w:right w:w="115" w:type="dxa"/>
            </w:tcMar>
            <w:vAlign w:val="bottom"/>
          </w:tcPr>
          <w:p w14:paraId="4434FB98" w14:textId="77777777" w:rsidR="00724034" w:rsidRDefault="00FB7D0B">
            <w:pPr>
              <w:jc w:val="right"/>
              <w:rPr>
                <w:rFonts w:ascii="Arial" w:eastAsia="Arial" w:hAnsi="Arial" w:cs="Arial"/>
                <w:b/>
                <w:color w:val="000000"/>
                <w:sz w:val="16"/>
                <w:vertAlign w:val="superscript"/>
              </w:rPr>
            </w:pPr>
            <w:r>
              <w:rPr>
                <w:rFonts w:ascii="Arial" w:eastAsia="Arial" w:hAnsi="Arial" w:cs="Arial"/>
                <w:color w:val="000000"/>
                <w:sz w:val="16"/>
              </w:rPr>
              <w:t>2013-14</w:t>
            </w:r>
          </w:p>
        </w:tc>
        <w:tc>
          <w:tcPr>
            <w:tcW w:w="0" w:type="auto"/>
            <w:tcBorders>
              <w:top w:val="single" w:sz="6" w:space="0" w:color="000000"/>
              <w:left w:val="nil"/>
              <w:bottom w:val="nil"/>
              <w:right w:val="nil"/>
              <w:tl2br w:val="nil"/>
              <w:tr2bl w:val="nil"/>
            </w:tcBorders>
            <w:shd w:val="clear" w:color="auto" w:fill="FFFF00"/>
            <w:tcMar>
              <w:left w:w="115" w:type="dxa"/>
              <w:right w:w="115" w:type="dxa"/>
            </w:tcMar>
            <w:vAlign w:val="bottom"/>
          </w:tcPr>
          <w:p w14:paraId="3FA4D48E" w14:textId="77777777" w:rsidR="00724034" w:rsidRDefault="00FB7D0B">
            <w:pPr>
              <w:jc w:val="right"/>
              <w:rPr>
                <w:rFonts w:ascii="Arial" w:eastAsia="Arial" w:hAnsi="Arial" w:cs="Arial"/>
                <w:color w:val="000000"/>
                <w:sz w:val="16"/>
              </w:rPr>
            </w:pPr>
            <w:r>
              <w:rPr>
                <w:rFonts w:ascii="Arial" w:eastAsia="Arial" w:hAnsi="Arial" w:cs="Arial"/>
                <w:color w:val="000000"/>
                <w:sz w:val="16"/>
              </w:rPr>
              <w:t>2014-15</w:t>
            </w:r>
          </w:p>
        </w:tc>
        <w:tc>
          <w:tcPr>
            <w:tcW w:w="0" w:type="auto"/>
            <w:tcBorders>
              <w:top w:val="single" w:sz="6" w:space="0" w:color="000000"/>
              <w:left w:val="nil"/>
              <w:bottom w:val="nil"/>
              <w:right w:val="nil"/>
              <w:tl2br w:val="nil"/>
              <w:tr2bl w:val="nil"/>
            </w:tcBorders>
            <w:shd w:val="clear" w:color="auto" w:fill="FFFFFF"/>
            <w:tcMar>
              <w:left w:w="115" w:type="dxa"/>
              <w:right w:w="115" w:type="dxa"/>
            </w:tcMar>
            <w:vAlign w:val="bottom"/>
          </w:tcPr>
          <w:p w14:paraId="317B195D" w14:textId="77777777" w:rsidR="00724034" w:rsidRDefault="00FB7D0B">
            <w:pPr>
              <w:jc w:val="right"/>
              <w:rPr>
                <w:rFonts w:ascii="Arial" w:eastAsia="Arial" w:hAnsi="Arial" w:cs="Arial"/>
                <w:color w:val="000000"/>
                <w:sz w:val="16"/>
              </w:rPr>
            </w:pPr>
            <w:r>
              <w:rPr>
                <w:rFonts w:ascii="Arial" w:eastAsia="Arial" w:hAnsi="Arial" w:cs="Arial"/>
                <w:color w:val="000000"/>
                <w:sz w:val="16"/>
              </w:rPr>
              <w:t>2015-16</w:t>
            </w:r>
          </w:p>
        </w:tc>
        <w:tc>
          <w:tcPr>
            <w:tcW w:w="0" w:type="auto"/>
            <w:tcBorders>
              <w:top w:val="single" w:sz="6" w:space="0" w:color="000000"/>
              <w:left w:val="nil"/>
              <w:bottom w:val="nil"/>
              <w:right w:val="nil"/>
              <w:tl2br w:val="nil"/>
              <w:tr2bl w:val="nil"/>
            </w:tcBorders>
            <w:shd w:val="clear" w:color="auto" w:fill="FFFFFF"/>
            <w:tcMar>
              <w:left w:w="115" w:type="dxa"/>
              <w:right w:w="115" w:type="dxa"/>
            </w:tcMar>
            <w:vAlign w:val="bottom"/>
          </w:tcPr>
          <w:p w14:paraId="5A88CD17" w14:textId="77777777" w:rsidR="00724034" w:rsidRDefault="00FB7D0B">
            <w:pPr>
              <w:jc w:val="right"/>
              <w:rPr>
                <w:rFonts w:ascii="Arial" w:eastAsia="Arial" w:hAnsi="Arial" w:cs="Arial"/>
                <w:color w:val="000000"/>
                <w:sz w:val="16"/>
              </w:rPr>
            </w:pPr>
            <w:r>
              <w:rPr>
                <w:rFonts w:ascii="Arial" w:eastAsia="Arial" w:hAnsi="Arial" w:cs="Arial"/>
                <w:color w:val="000000"/>
                <w:sz w:val="16"/>
              </w:rPr>
              <w:t>2016-17</w:t>
            </w:r>
          </w:p>
        </w:tc>
        <w:tc>
          <w:tcPr>
            <w:tcW w:w="0" w:type="auto"/>
            <w:tcBorders>
              <w:top w:val="single" w:sz="6" w:space="0" w:color="000000"/>
              <w:left w:val="nil"/>
              <w:bottom w:val="nil"/>
              <w:right w:val="single" w:sz="6" w:space="0" w:color="000000"/>
              <w:tl2br w:val="nil"/>
              <w:tr2bl w:val="nil"/>
            </w:tcBorders>
            <w:shd w:val="clear" w:color="auto" w:fill="FFFFFF"/>
            <w:tcMar>
              <w:left w:w="115" w:type="dxa"/>
              <w:right w:w="115" w:type="dxa"/>
            </w:tcMar>
            <w:vAlign w:val="bottom"/>
          </w:tcPr>
          <w:p w14:paraId="4D30D00F" w14:textId="77777777" w:rsidR="00724034" w:rsidRDefault="00FB7D0B">
            <w:pPr>
              <w:jc w:val="right"/>
              <w:rPr>
                <w:rFonts w:ascii="Arial" w:eastAsia="Arial" w:hAnsi="Arial" w:cs="Arial"/>
                <w:color w:val="000000"/>
                <w:sz w:val="16"/>
              </w:rPr>
            </w:pPr>
            <w:r>
              <w:rPr>
                <w:rFonts w:ascii="Arial" w:eastAsia="Arial" w:hAnsi="Arial" w:cs="Arial"/>
                <w:color w:val="000000"/>
                <w:sz w:val="16"/>
              </w:rPr>
              <w:t>2017-18</w:t>
            </w:r>
          </w:p>
        </w:tc>
      </w:tr>
      <w:tr w:rsidR="00724034" w14:paraId="5A2A2396" w14:textId="77777777">
        <w:tblPrEx>
          <w:tblLook w:val="04A0" w:firstRow="1" w:lastRow="0" w:firstColumn="1" w:lastColumn="0" w:noHBand="0" w:noVBand="1"/>
        </w:tblPrEx>
        <w:trPr>
          <w:trHeight w:val="225"/>
        </w:trPr>
        <w:tc>
          <w:tcPr>
            <w:tcW w:w="0" w:type="auto"/>
            <w:tcBorders>
              <w:top w:val="nil"/>
              <w:left w:val="single" w:sz="6" w:space="0" w:color="000000"/>
              <w:bottom w:val="nil"/>
              <w:right w:val="nil"/>
              <w:tl2br w:val="nil"/>
              <w:tr2bl w:val="nil"/>
            </w:tcBorders>
            <w:shd w:val="clear" w:color="auto" w:fill="FFFFFF"/>
            <w:tcMar>
              <w:left w:w="115" w:type="dxa"/>
              <w:right w:w="115" w:type="dxa"/>
            </w:tcMar>
            <w:vAlign w:val="bottom"/>
          </w:tcPr>
          <w:p w14:paraId="02E54548" w14:textId="77777777" w:rsidR="00724034" w:rsidRDefault="00FB7D0B">
            <w:pPr>
              <w:rPr>
                <w:rFonts w:ascii="Arial" w:eastAsia="Arial" w:hAnsi="Arial" w:cs="Arial"/>
                <w:color w:val="000000"/>
                <w:sz w:val="16"/>
              </w:rPr>
            </w:pPr>
            <w:r>
              <w:rPr>
                <w:rFonts w:ascii="Arial" w:eastAsia="Arial" w:hAnsi="Arial" w:cs="Arial"/>
                <w:color w:val="000000"/>
                <w:sz w:val="16"/>
              </w:rPr>
              <w:t>Key Performance</w:t>
            </w:r>
          </w:p>
        </w:tc>
        <w:tc>
          <w:tcPr>
            <w:tcW w:w="0" w:type="auto"/>
            <w:tcBorders>
              <w:top w:val="nil"/>
              <w:left w:val="nil"/>
              <w:bottom w:val="nil"/>
              <w:right w:val="nil"/>
              <w:tl2br w:val="nil"/>
              <w:tr2bl w:val="nil"/>
            </w:tcBorders>
            <w:shd w:val="clear" w:color="auto" w:fill="FFFFFF"/>
            <w:tcMar>
              <w:left w:w="115" w:type="dxa"/>
              <w:right w:w="115" w:type="dxa"/>
            </w:tcMar>
            <w:vAlign w:val="bottom"/>
          </w:tcPr>
          <w:p w14:paraId="309F92FB" w14:textId="77777777" w:rsidR="00724034" w:rsidRDefault="00FB7D0B">
            <w:pPr>
              <w:jc w:val="right"/>
              <w:rPr>
                <w:rFonts w:ascii="Arial" w:eastAsia="Arial" w:hAnsi="Arial" w:cs="Arial"/>
                <w:color w:val="000000"/>
                <w:sz w:val="16"/>
                <w:vertAlign w:val="superscript"/>
              </w:rPr>
            </w:pPr>
            <w:r>
              <w:rPr>
                <w:rFonts w:ascii="Arial" w:eastAsia="Arial" w:hAnsi="Arial" w:cs="Arial"/>
                <w:color w:val="000000"/>
                <w:sz w:val="16"/>
              </w:rPr>
              <w:t>Revised</w:t>
            </w:r>
          </w:p>
        </w:tc>
        <w:tc>
          <w:tcPr>
            <w:tcW w:w="0" w:type="auto"/>
            <w:tcBorders>
              <w:top w:val="nil"/>
              <w:left w:val="nil"/>
              <w:bottom w:val="nil"/>
              <w:right w:val="nil"/>
              <w:tl2br w:val="nil"/>
              <w:tr2bl w:val="nil"/>
            </w:tcBorders>
            <w:shd w:val="clear" w:color="auto" w:fill="FFFF00"/>
            <w:tcMar>
              <w:left w:w="115" w:type="dxa"/>
              <w:right w:w="115" w:type="dxa"/>
            </w:tcMar>
            <w:vAlign w:val="bottom"/>
          </w:tcPr>
          <w:p w14:paraId="74D66706" w14:textId="77777777" w:rsidR="00724034" w:rsidRDefault="00FB7D0B">
            <w:pPr>
              <w:jc w:val="right"/>
              <w:rPr>
                <w:rFonts w:ascii="Arial" w:eastAsia="Arial" w:hAnsi="Arial" w:cs="Arial"/>
                <w:color w:val="000000"/>
                <w:sz w:val="16"/>
              </w:rPr>
            </w:pPr>
            <w:r>
              <w:rPr>
                <w:rFonts w:ascii="Arial" w:eastAsia="Arial" w:hAnsi="Arial" w:cs="Arial"/>
                <w:color w:val="000000"/>
                <w:sz w:val="16"/>
              </w:rPr>
              <w:t>Budget</w:t>
            </w:r>
          </w:p>
        </w:tc>
        <w:tc>
          <w:tcPr>
            <w:tcW w:w="0" w:type="auto"/>
            <w:tcBorders>
              <w:top w:val="nil"/>
              <w:left w:val="nil"/>
              <w:bottom w:val="nil"/>
              <w:right w:val="nil"/>
              <w:tl2br w:val="nil"/>
              <w:tr2bl w:val="nil"/>
            </w:tcBorders>
            <w:shd w:val="clear" w:color="auto" w:fill="FFFFFF"/>
            <w:tcMar>
              <w:left w:w="115" w:type="dxa"/>
              <w:right w:w="115" w:type="dxa"/>
            </w:tcMar>
            <w:vAlign w:val="bottom"/>
          </w:tcPr>
          <w:p w14:paraId="603B38BB" w14:textId="77777777" w:rsidR="00724034" w:rsidRDefault="00FB7D0B">
            <w:pPr>
              <w:jc w:val="right"/>
              <w:rPr>
                <w:rFonts w:ascii="Arial" w:eastAsia="Arial" w:hAnsi="Arial" w:cs="Arial"/>
                <w:color w:val="000000"/>
                <w:sz w:val="16"/>
              </w:rPr>
            </w:pPr>
            <w:r>
              <w:rPr>
                <w:rFonts w:ascii="Arial" w:eastAsia="Arial" w:hAnsi="Arial" w:cs="Arial"/>
                <w:color w:val="000000"/>
                <w:sz w:val="16"/>
              </w:rPr>
              <w:t>Forward</w:t>
            </w:r>
          </w:p>
        </w:tc>
        <w:tc>
          <w:tcPr>
            <w:tcW w:w="0" w:type="auto"/>
            <w:tcBorders>
              <w:top w:val="nil"/>
              <w:left w:val="nil"/>
              <w:bottom w:val="nil"/>
              <w:right w:val="nil"/>
              <w:tl2br w:val="nil"/>
              <w:tr2bl w:val="nil"/>
            </w:tcBorders>
            <w:shd w:val="clear" w:color="auto" w:fill="FFFFFF"/>
            <w:tcMar>
              <w:left w:w="115" w:type="dxa"/>
              <w:right w:w="115" w:type="dxa"/>
            </w:tcMar>
            <w:vAlign w:val="bottom"/>
          </w:tcPr>
          <w:p w14:paraId="5AFC38F8" w14:textId="77777777" w:rsidR="00724034" w:rsidRDefault="00FB7D0B">
            <w:pPr>
              <w:jc w:val="right"/>
              <w:rPr>
                <w:rFonts w:ascii="Arial" w:eastAsia="Arial" w:hAnsi="Arial" w:cs="Arial"/>
                <w:color w:val="000000"/>
                <w:sz w:val="16"/>
              </w:rPr>
            </w:pPr>
            <w:r>
              <w:rPr>
                <w:rFonts w:ascii="Arial" w:eastAsia="Arial" w:hAnsi="Arial" w:cs="Arial"/>
                <w:color w:val="000000"/>
                <w:sz w:val="16"/>
              </w:rPr>
              <w:t>Forward</w:t>
            </w:r>
          </w:p>
        </w:tc>
        <w:tc>
          <w:tcPr>
            <w:tcW w:w="0" w:type="auto"/>
            <w:tcBorders>
              <w:top w:val="nil"/>
              <w:left w:val="nil"/>
              <w:bottom w:val="nil"/>
              <w:right w:val="single" w:sz="6" w:space="0" w:color="000000"/>
              <w:tl2br w:val="nil"/>
              <w:tr2bl w:val="nil"/>
            </w:tcBorders>
            <w:shd w:val="clear" w:color="auto" w:fill="FFFFFF"/>
            <w:tcMar>
              <w:left w:w="115" w:type="dxa"/>
              <w:right w:w="115" w:type="dxa"/>
            </w:tcMar>
            <w:vAlign w:val="bottom"/>
          </w:tcPr>
          <w:p w14:paraId="19227689" w14:textId="77777777" w:rsidR="00724034" w:rsidRDefault="00FB7D0B">
            <w:pPr>
              <w:jc w:val="right"/>
              <w:rPr>
                <w:rFonts w:ascii="Arial" w:eastAsia="Arial" w:hAnsi="Arial" w:cs="Arial"/>
                <w:color w:val="000000"/>
                <w:sz w:val="16"/>
              </w:rPr>
            </w:pPr>
            <w:r>
              <w:rPr>
                <w:rFonts w:ascii="Arial" w:eastAsia="Arial" w:hAnsi="Arial" w:cs="Arial"/>
                <w:color w:val="000000"/>
                <w:sz w:val="16"/>
              </w:rPr>
              <w:t>Forward</w:t>
            </w:r>
          </w:p>
        </w:tc>
      </w:tr>
      <w:tr w:rsidR="00724034" w14:paraId="6A21E809" w14:textId="77777777">
        <w:tblPrEx>
          <w:tblLook w:val="04A0" w:firstRow="1" w:lastRow="0" w:firstColumn="1" w:lastColumn="0" w:noHBand="0" w:noVBand="1"/>
        </w:tblPrEx>
        <w:trPr>
          <w:trHeight w:val="225"/>
        </w:trPr>
        <w:tc>
          <w:tcPr>
            <w:tcW w:w="0" w:type="auto"/>
            <w:tcBorders>
              <w:top w:val="nil"/>
              <w:left w:val="single" w:sz="6" w:space="0" w:color="000000"/>
              <w:bottom w:val="single" w:sz="6" w:space="0" w:color="000000"/>
              <w:right w:val="nil"/>
              <w:tl2br w:val="nil"/>
              <w:tr2bl w:val="nil"/>
            </w:tcBorders>
            <w:shd w:val="clear" w:color="auto" w:fill="FFFFFF"/>
            <w:tcMar>
              <w:left w:w="115" w:type="dxa"/>
              <w:right w:w="115" w:type="dxa"/>
            </w:tcMar>
            <w:vAlign w:val="bottom"/>
          </w:tcPr>
          <w:p w14:paraId="1DA405B7" w14:textId="77777777" w:rsidR="00724034" w:rsidRDefault="00FB7D0B">
            <w:pPr>
              <w:rPr>
                <w:rFonts w:ascii="Arial" w:eastAsia="Arial" w:hAnsi="Arial" w:cs="Arial"/>
                <w:color w:val="000000"/>
                <w:sz w:val="16"/>
              </w:rPr>
            </w:pPr>
            <w:r>
              <w:rPr>
                <w:rFonts w:ascii="Arial" w:eastAsia="Arial" w:hAnsi="Arial" w:cs="Arial"/>
                <w:color w:val="000000"/>
                <w:sz w:val="16"/>
              </w:rPr>
              <w:t>Indicators</w:t>
            </w:r>
          </w:p>
        </w:tc>
        <w:tc>
          <w:tcPr>
            <w:tcW w:w="0" w:type="auto"/>
            <w:tcBorders>
              <w:top w:val="nil"/>
              <w:left w:val="nil"/>
              <w:bottom w:val="single" w:sz="6" w:space="0" w:color="000000"/>
              <w:right w:val="nil"/>
              <w:tl2br w:val="nil"/>
              <w:tr2bl w:val="nil"/>
            </w:tcBorders>
            <w:shd w:val="clear" w:color="auto" w:fill="FFFFFF"/>
            <w:tcMar>
              <w:left w:w="115" w:type="dxa"/>
              <w:right w:w="115" w:type="dxa"/>
            </w:tcMar>
            <w:vAlign w:val="bottom"/>
          </w:tcPr>
          <w:p w14:paraId="387BF740" w14:textId="77777777" w:rsidR="00724034" w:rsidRDefault="00FB7D0B">
            <w:pPr>
              <w:jc w:val="right"/>
              <w:rPr>
                <w:rFonts w:ascii="Arial" w:eastAsia="Arial" w:hAnsi="Arial" w:cs="Arial"/>
                <w:color w:val="000000"/>
                <w:sz w:val="16"/>
                <w:vertAlign w:val="superscript"/>
              </w:rPr>
            </w:pPr>
            <w:r>
              <w:rPr>
                <w:rFonts w:ascii="Arial" w:eastAsia="Arial" w:hAnsi="Arial" w:cs="Arial"/>
                <w:color w:val="000000"/>
                <w:sz w:val="16"/>
              </w:rPr>
              <w:t>budget</w:t>
            </w:r>
          </w:p>
        </w:tc>
        <w:tc>
          <w:tcPr>
            <w:tcW w:w="0" w:type="auto"/>
            <w:tcBorders>
              <w:top w:val="nil"/>
              <w:left w:val="nil"/>
              <w:bottom w:val="single" w:sz="6" w:space="0" w:color="000000"/>
              <w:right w:val="nil"/>
              <w:tl2br w:val="nil"/>
              <w:tr2bl w:val="nil"/>
            </w:tcBorders>
            <w:shd w:val="clear" w:color="auto" w:fill="FFFF00"/>
            <w:tcMar>
              <w:left w:w="115" w:type="dxa"/>
              <w:right w:w="115" w:type="dxa"/>
            </w:tcMar>
            <w:vAlign w:val="bottom"/>
          </w:tcPr>
          <w:p w14:paraId="06C92DD1" w14:textId="77777777" w:rsidR="00724034" w:rsidRDefault="00FB7D0B">
            <w:pPr>
              <w:jc w:val="right"/>
              <w:rPr>
                <w:rFonts w:ascii="Arial" w:eastAsia="Arial" w:hAnsi="Arial" w:cs="Arial"/>
                <w:color w:val="000000"/>
                <w:sz w:val="16"/>
              </w:rPr>
            </w:pPr>
            <w:r>
              <w:rPr>
                <w:rFonts w:ascii="Arial" w:eastAsia="Arial" w:hAnsi="Arial" w:cs="Arial"/>
                <w:color w:val="000000"/>
                <w:sz w:val="16"/>
              </w:rPr>
              <w:t>target</w:t>
            </w:r>
          </w:p>
        </w:tc>
        <w:tc>
          <w:tcPr>
            <w:tcW w:w="0" w:type="auto"/>
            <w:tcBorders>
              <w:top w:val="nil"/>
              <w:left w:val="nil"/>
              <w:bottom w:val="single" w:sz="6" w:space="0" w:color="000000"/>
              <w:right w:val="nil"/>
              <w:tl2br w:val="nil"/>
              <w:tr2bl w:val="nil"/>
            </w:tcBorders>
            <w:shd w:val="clear" w:color="auto" w:fill="FFFFFF"/>
            <w:tcMar>
              <w:left w:w="115" w:type="dxa"/>
              <w:right w:w="115" w:type="dxa"/>
            </w:tcMar>
            <w:vAlign w:val="bottom"/>
          </w:tcPr>
          <w:p w14:paraId="6EEF5D0D" w14:textId="77777777" w:rsidR="00724034" w:rsidRDefault="00FB7D0B">
            <w:pPr>
              <w:jc w:val="right"/>
              <w:rPr>
                <w:rFonts w:ascii="Arial" w:eastAsia="Arial" w:hAnsi="Arial" w:cs="Arial"/>
                <w:color w:val="000000"/>
                <w:sz w:val="16"/>
              </w:rPr>
            </w:pPr>
            <w:r>
              <w:rPr>
                <w:rFonts w:ascii="Arial" w:eastAsia="Arial" w:hAnsi="Arial" w:cs="Arial"/>
                <w:color w:val="000000"/>
                <w:sz w:val="16"/>
              </w:rPr>
              <w:t>year 1</w:t>
            </w:r>
          </w:p>
        </w:tc>
        <w:tc>
          <w:tcPr>
            <w:tcW w:w="0" w:type="auto"/>
            <w:tcBorders>
              <w:top w:val="nil"/>
              <w:left w:val="nil"/>
              <w:bottom w:val="single" w:sz="6" w:space="0" w:color="000000"/>
              <w:right w:val="nil"/>
              <w:tl2br w:val="nil"/>
              <w:tr2bl w:val="nil"/>
            </w:tcBorders>
            <w:shd w:val="clear" w:color="auto" w:fill="FFFFFF"/>
            <w:tcMar>
              <w:left w:w="115" w:type="dxa"/>
              <w:right w:w="115" w:type="dxa"/>
            </w:tcMar>
            <w:vAlign w:val="bottom"/>
          </w:tcPr>
          <w:p w14:paraId="6FD1A96A" w14:textId="77777777" w:rsidR="00724034" w:rsidRDefault="00FB7D0B">
            <w:pPr>
              <w:jc w:val="right"/>
              <w:rPr>
                <w:rFonts w:ascii="Arial" w:eastAsia="Arial" w:hAnsi="Arial" w:cs="Arial"/>
                <w:color w:val="000000"/>
                <w:sz w:val="16"/>
              </w:rPr>
            </w:pPr>
            <w:r>
              <w:rPr>
                <w:rFonts w:ascii="Arial" w:eastAsia="Arial" w:hAnsi="Arial" w:cs="Arial"/>
                <w:color w:val="000000"/>
                <w:sz w:val="16"/>
              </w:rPr>
              <w:t>year 2</w:t>
            </w:r>
          </w:p>
        </w:tc>
        <w:tc>
          <w:tcPr>
            <w:tcW w:w="0" w:type="auto"/>
            <w:tcBorders>
              <w:top w:val="nil"/>
              <w:left w:val="nil"/>
              <w:bottom w:val="single" w:sz="6" w:space="0" w:color="000000"/>
              <w:right w:val="single" w:sz="6" w:space="0" w:color="000000"/>
              <w:tl2br w:val="nil"/>
              <w:tr2bl w:val="nil"/>
            </w:tcBorders>
            <w:shd w:val="clear" w:color="auto" w:fill="FFFFFF"/>
            <w:tcMar>
              <w:left w:w="115" w:type="dxa"/>
              <w:right w:w="115" w:type="dxa"/>
            </w:tcMar>
            <w:vAlign w:val="bottom"/>
          </w:tcPr>
          <w:p w14:paraId="595D44B6" w14:textId="77777777" w:rsidR="00724034" w:rsidRDefault="00FB7D0B">
            <w:pPr>
              <w:jc w:val="right"/>
              <w:rPr>
                <w:rFonts w:ascii="Arial" w:eastAsia="Arial" w:hAnsi="Arial" w:cs="Arial"/>
                <w:color w:val="000000"/>
                <w:sz w:val="16"/>
              </w:rPr>
            </w:pPr>
            <w:r>
              <w:rPr>
                <w:rFonts w:ascii="Arial" w:eastAsia="Arial" w:hAnsi="Arial" w:cs="Arial"/>
                <w:color w:val="000000"/>
                <w:sz w:val="16"/>
              </w:rPr>
              <w:t>year 3</w:t>
            </w:r>
          </w:p>
        </w:tc>
      </w:tr>
      <w:tr w:rsidR="00724034" w14:paraId="09792F55" w14:textId="77777777">
        <w:tblPrEx>
          <w:tblLook w:val="04A0" w:firstRow="1" w:lastRow="0" w:firstColumn="1" w:lastColumn="0" w:noHBand="0" w:noVBand="1"/>
        </w:tblPrEx>
        <w:trPr>
          <w:trHeight w:val="60"/>
        </w:trPr>
        <w:tc>
          <w:tcPr>
            <w:tcW w:w="0" w:type="auto"/>
            <w:tcBorders>
              <w:top w:val="single" w:sz="6" w:space="0" w:color="000000"/>
              <w:left w:val="single" w:sz="6" w:space="0" w:color="000000"/>
              <w:bottom w:val="nil"/>
              <w:right w:val="nil"/>
              <w:tl2br w:val="nil"/>
              <w:tr2bl w:val="nil"/>
            </w:tcBorders>
            <w:shd w:val="clear" w:color="auto" w:fill="FFFFFF"/>
            <w:tcMar>
              <w:left w:w="115" w:type="dxa"/>
              <w:right w:w="115" w:type="dxa"/>
            </w:tcMar>
            <w:vAlign w:val="bottom"/>
          </w:tcPr>
          <w:p w14:paraId="31CF8D05" w14:textId="77777777" w:rsidR="00724034" w:rsidRDefault="00724034">
            <w:pPr>
              <w:rPr>
                <w:rFonts w:ascii="Arial" w:eastAsia="Arial" w:hAnsi="Arial" w:cs="Arial"/>
                <w:color w:val="000000"/>
                <w:sz w:val="16"/>
              </w:rPr>
            </w:pPr>
          </w:p>
        </w:tc>
        <w:tc>
          <w:tcPr>
            <w:tcW w:w="0" w:type="auto"/>
            <w:tcBorders>
              <w:top w:val="single" w:sz="6" w:space="0" w:color="000000"/>
              <w:left w:val="nil"/>
              <w:bottom w:val="nil"/>
              <w:right w:val="nil"/>
              <w:tl2br w:val="nil"/>
              <w:tr2bl w:val="nil"/>
            </w:tcBorders>
            <w:shd w:val="clear" w:color="auto" w:fill="FFFFFF"/>
            <w:tcMar>
              <w:left w:w="115" w:type="dxa"/>
              <w:right w:w="115" w:type="dxa"/>
            </w:tcMar>
            <w:vAlign w:val="bottom"/>
          </w:tcPr>
          <w:p w14:paraId="0261B3F0" w14:textId="77777777" w:rsidR="00724034" w:rsidRDefault="00724034">
            <w:pPr>
              <w:jc w:val="right"/>
              <w:rPr>
                <w:rFonts w:ascii="Arial" w:eastAsia="Arial" w:hAnsi="Arial" w:cs="Arial"/>
                <w:color w:val="000000"/>
                <w:sz w:val="16"/>
                <w:vertAlign w:val="superscript"/>
              </w:rPr>
            </w:pPr>
          </w:p>
        </w:tc>
        <w:tc>
          <w:tcPr>
            <w:tcW w:w="0" w:type="auto"/>
            <w:tcBorders>
              <w:top w:val="single" w:sz="6" w:space="0" w:color="000000"/>
              <w:left w:val="nil"/>
              <w:bottom w:val="nil"/>
              <w:right w:val="nil"/>
              <w:tl2br w:val="nil"/>
              <w:tr2bl w:val="nil"/>
            </w:tcBorders>
            <w:shd w:val="clear" w:color="auto" w:fill="FFFF00"/>
            <w:tcMar>
              <w:left w:w="115" w:type="dxa"/>
              <w:right w:w="115" w:type="dxa"/>
            </w:tcMar>
            <w:vAlign w:val="bottom"/>
          </w:tcPr>
          <w:p w14:paraId="7940BDB9" w14:textId="77777777" w:rsidR="00724034" w:rsidRDefault="00724034">
            <w:pPr>
              <w:jc w:val="right"/>
              <w:rPr>
                <w:rFonts w:ascii="Arial" w:eastAsia="Arial" w:hAnsi="Arial" w:cs="Arial"/>
                <w:color w:val="000000"/>
                <w:sz w:val="16"/>
                <w:vertAlign w:val="superscript"/>
              </w:rPr>
            </w:pPr>
          </w:p>
        </w:tc>
        <w:tc>
          <w:tcPr>
            <w:tcW w:w="0" w:type="auto"/>
            <w:tcBorders>
              <w:top w:val="single" w:sz="6" w:space="0" w:color="000000"/>
              <w:left w:val="nil"/>
              <w:bottom w:val="nil"/>
              <w:right w:val="nil"/>
              <w:tl2br w:val="nil"/>
              <w:tr2bl w:val="nil"/>
            </w:tcBorders>
            <w:shd w:val="clear" w:color="auto" w:fill="FFFFFF"/>
            <w:tcMar>
              <w:left w:w="115" w:type="dxa"/>
              <w:right w:w="115" w:type="dxa"/>
            </w:tcMar>
            <w:vAlign w:val="bottom"/>
          </w:tcPr>
          <w:p w14:paraId="43BB639C" w14:textId="77777777" w:rsidR="00724034" w:rsidRDefault="00724034">
            <w:pPr>
              <w:jc w:val="right"/>
              <w:rPr>
                <w:rFonts w:ascii="Arial" w:eastAsia="Arial" w:hAnsi="Arial" w:cs="Arial"/>
                <w:color w:val="000000"/>
                <w:sz w:val="16"/>
                <w:vertAlign w:val="superscript"/>
              </w:rPr>
            </w:pPr>
          </w:p>
        </w:tc>
        <w:tc>
          <w:tcPr>
            <w:tcW w:w="0" w:type="auto"/>
            <w:tcBorders>
              <w:top w:val="single" w:sz="6" w:space="0" w:color="000000"/>
              <w:left w:val="nil"/>
              <w:bottom w:val="nil"/>
              <w:right w:val="nil"/>
              <w:tl2br w:val="nil"/>
              <w:tr2bl w:val="nil"/>
            </w:tcBorders>
            <w:shd w:val="clear" w:color="auto" w:fill="FFFFFF"/>
            <w:tcMar>
              <w:left w:w="115" w:type="dxa"/>
              <w:right w:w="115" w:type="dxa"/>
            </w:tcMar>
            <w:vAlign w:val="bottom"/>
          </w:tcPr>
          <w:p w14:paraId="06E93CC1" w14:textId="77777777" w:rsidR="00724034" w:rsidRDefault="00724034">
            <w:pPr>
              <w:jc w:val="right"/>
              <w:rPr>
                <w:rFonts w:ascii="Arial" w:eastAsia="Arial" w:hAnsi="Arial" w:cs="Arial"/>
                <w:color w:val="000000"/>
                <w:sz w:val="16"/>
                <w:vertAlign w:val="superscript"/>
              </w:rPr>
            </w:pPr>
          </w:p>
        </w:tc>
        <w:tc>
          <w:tcPr>
            <w:tcW w:w="0" w:type="auto"/>
            <w:tcBorders>
              <w:top w:val="single" w:sz="6" w:space="0" w:color="000000"/>
              <w:left w:val="nil"/>
              <w:bottom w:val="nil"/>
              <w:right w:val="single" w:sz="6" w:space="0" w:color="000000"/>
              <w:tl2br w:val="nil"/>
              <w:tr2bl w:val="nil"/>
            </w:tcBorders>
            <w:shd w:val="clear" w:color="auto" w:fill="FFFFFF"/>
            <w:tcMar>
              <w:left w:w="115" w:type="dxa"/>
              <w:right w:w="115" w:type="dxa"/>
            </w:tcMar>
            <w:vAlign w:val="bottom"/>
          </w:tcPr>
          <w:p w14:paraId="3CCC6CDD" w14:textId="77777777" w:rsidR="00724034" w:rsidRDefault="00724034">
            <w:pPr>
              <w:jc w:val="right"/>
              <w:rPr>
                <w:rFonts w:ascii="Arial" w:eastAsia="Arial" w:hAnsi="Arial" w:cs="Arial"/>
                <w:color w:val="000000"/>
                <w:sz w:val="16"/>
                <w:vertAlign w:val="superscript"/>
              </w:rPr>
            </w:pPr>
          </w:p>
        </w:tc>
      </w:tr>
      <w:tr w:rsidR="00724034" w14:paraId="740C18F3" w14:textId="77777777">
        <w:tblPrEx>
          <w:tblLook w:val="04A0" w:firstRow="1" w:lastRow="0" w:firstColumn="1" w:lastColumn="0" w:noHBand="0" w:noVBand="1"/>
        </w:tblPrEx>
        <w:trPr>
          <w:trHeight w:val="225"/>
        </w:trPr>
        <w:tc>
          <w:tcPr>
            <w:tcW w:w="0" w:type="auto"/>
            <w:tcBorders>
              <w:top w:val="nil"/>
              <w:left w:val="single" w:sz="6" w:space="0" w:color="000000"/>
              <w:bottom w:val="single" w:sz="6" w:space="0" w:color="000000"/>
              <w:right w:val="nil"/>
              <w:tl2br w:val="nil"/>
              <w:tr2bl w:val="nil"/>
            </w:tcBorders>
            <w:shd w:val="clear" w:color="auto" w:fill="FFFFFF"/>
            <w:tcMar>
              <w:left w:w="115" w:type="dxa"/>
              <w:right w:w="115" w:type="dxa"/>
            </w:tcMar>
            <w:vAlign w:val="bottom"/>
          </w:tcPr>
          <w:p w14:paraId="09198994" w14:textId="77777777" w:rsidR="00724034" w:rsidRDefault="00FB7D0B">
            <w:pPr>
              <w:rPr>
                <w:rFonts w:ascii="Arial" w:eastAsia="Arial" w:hAnsi="Arial" w:cs="Arial"/>
                <w:color w:val="000000"/>
                <w:sz w:val="16"/>
                <w:vertAlign w:val="superscript"/>
              </w:rPr>
            </w:pPr>
            <w:r>
              <w:rPr>
                <w:rFonts w:ascii="Arial" w:eastAsia="Arial" w:hAnsi="Arial" w:cs="Arial"/>
                <w:i/>
                <w:color w:val="000000"/>
                <w:sz w:val="16"/>
              </w:rPr>
              <w:t xml:space="preserve">Price: </w:t>
            </w:r>
            <w:r>
              <w:rPr>
                <w:rFonts w:ascii="Arial" w:eastAsia="Arial" w:hAnsi="Arial" w:cs="Arial"/>
                <w:color w:val="000000"/>
                <w:sz w:val="16"/>
              </w:rPr>
              <w:t>Unit cost per cardholder</w:t>
            </w:r>
          </w:p>
        </w:tc>
        <w:tc>
          <w:tcPr>
            <w:tcW w:w="0" w:type="auto"/>
            <w:tcBorders>
              <w:top w:val="nil"/>
              <w:left w:val="nil"/>
              <w:bottom w:val="single" w:sz="6" w:space="0" w:color="000000"/>
              <w:right w:val="nil"/>
              <w:tl2br w:val="nil"/>
              <w:tr2bl w:val="nil"/>
            </w:tcBorders>
            <w:shd w:val="clear" w:color="auto" w:fill="FFFFFF"/>
            <w:tcMar>
              <w:left w:w="115" w:type="dxa"/>
              <w:right w:w="115" w:type="dxa"/>
            </w:tcMar>
            <w:vAlign w:val="bottom"/>
          </w:tcPr>
          <w:p w14:paraId="33BFA0FF" w14:textId="77777777" w:rsidR="00724034" w:rsidRDefault="00FB7D0B">
            <w:pPr>
              <w:jc w:val="right"/>
              <w:rPr>
                <w:rFonts w:ascii="Arial" w:eastAsia="Arial" w:hAnsi="Arial" w:cs="Arial"/>
                <w:i/>
                <w:color w:val="000000"/>
                <w:sz w:val="16"/>
                <w:vertAlign w:val="superscript"/>
              </w:rPr>
            </w:pPr>
            <w:r>
              <w:rPr>
                <w:rFonts w:ascii="Arial" w:eastAsia="Arial" w:hAnsi="Arial" w:cs="Arial"/>
                <w:color w:val="000000"/>
                <w:sz w:val="16"/>
              </w:rPr>
              <w:t>110 </w:t>
            </w:r>
          </w:p>
        </w:tc>
        <w:tc>
          <w:tcPr>
            <w:tcW w:w="0" w:type="auto"/>
            <w:tcBorders>
              <w:top w:val="nil"/>
              <w:left w:val="nil"/>
              <w:bottom w:val="single" w:sz="6" w:space="0" w:color="000000"/>
              <w:right w:val="nil"/>
              <w:tl2br w:val="nil"/>
              <w:tr2bl w:val="nil"/>
            </w:tcBorders>
            <w:shd w:val="clear" w:color="auto" w:fill="FFFF00"/>
            <w:tcMar>
              <w:left w:w="115" w:type="dxa"/>
              <w:right w:w="115" w:type="dxa"/>
            </w:tcMar>
            <w:vAlign w:val="bottom"/>
          </w:tcPr>
          <w:p w14:paraId="5990333F" w14:textId="77777777" w:rsidR="00724034" w:rsidRDefault="00FB7D0B">
            <w:pPr>
              <w:jc w:val="right"/>
              <w:rPr>
                <w:rFonts w:ascii="Arial" w:eastAsia="Arial" w:hAnsi="Arial" w:cs="Arial"/>
                <w:color w:val="000000"/>
                <w:sz w:val="16"/>
              </w:rPr>
            </w:pPr>
            <w:r>
              <w:rPr>
                <w:rFonts w:ascii="Arial" w:eastAsia="Arial" w:hAnsi="Arial" w:cs="Arial"/>
                <w:color w:val="000000"/>
                <w:sz w:val="16"/>
              </w:rPr>
              <w:t>115 </w:t>
            </w:r>
          </w:p>
        </w:tc>
        <w:tc>
          <w:tcPr>
            <w:tcW w:w="0" w:type="auto"/>
            <w:tcBorders>
              <w:top w:val="nil"/>
              <w:left w:val="nil"/>
              <w:bottom w:val="single" w:sz="6" w:space="0" w:color="000000"/>
              <w:right w:val="nil"/>
              <w:tl2br w:val="nil"/>
              <w:tr2bl w:val="nil"/>
            </w:tcBorders>
            <w:shd w:val="clear" w:color="auto" w:fill="FFFFFF"/>
            <w:tcMar>
              <w:left w:w="115" w:type="dxa"/>
              <w:right w:w="115" w:type="dxa"/>
            </w:tcMar>
            <w:vAlign w:val="bottom"/>
          </w:tcPr>
          <w:p w14:paraId="0C0AE536" w14:textId="77777777" w:rsidR="00724034" w:rsidRDefault="00FB7D0B">
            <w:pPr>
              <w:jc w:val="right"/>
              <w:rPr>
                <w:rFonts w:ascii="Arial" w:eastAsia="Arial" w:hAnsi="Arial" w:cs="Arial"/>
                <w:color w:val="000000"/>
                <w:sz w:val="16"/>
              </w:rPr>
            </w:pPr>
            <w:r>
              <w:rPr>
                <w:rFonts w:ascii="Arial" w:eastAsia="Arial" w:hAnsi="Arial" w:cs="Arial"/>
                <w:color w:val="000000"/>
                <w:sz w:val="16"/>
              </w:rPr>
              <w:t>120 </w:t>
            </w:r>
          </w:p>
        </w:tc>
        <w:tc>
          <w:tcPr>
            <w:tcW w:w="0" w:type="auto"/>
            <w:tcBorders>
              <w:top w:val="nil"/>
              <w:left w:val="nil"/>
              <w:bottom w:val="single" w:sz="6" w:space="0" w:color="000000"/>
              <w:right w:val="nil"/>
              <w:tl2br w:val="nil"/>
              <w:tr2bl w:val="nil"/>
            </w:tcBorders>
            <w:shd w:val="clear" w:color="auto" w:fill="FFFFFF"/>
            <w:tcMar>
              <w:left w:w="115" w:type="dxa"/>
              <w:right w:w="115" w:type="dxa"/>
            </w:tcMar>
            <w:vAlign w:val="bottom"/>
          </w:tcPr>
          <w:p w14:paraId="1907FC9F" w14:textId="77777777" w:rsidR="00724034" w:rsidRDefault="00FB7D0B">
            <w:pPr>
              <w:jc w:val="right"/>
              <w:rPr>
                <w:rFonts w:ascii="Arial" w:eastAsia="Arial" w:hAnsi="Arial" w:cs="Arial"/>
                <w:color w:val="000000"/>
                <w:sz w:val="16"/>
              </w:rPr>
            </w:pPr>
            <w:r>
              <w:rPr>
                <w:rFonts w:ascii="Arial" w:eastAsia="Arial" w:hAnsi="Arial" w:cs="Arial"/>
                <w:color w:val="000000"/>
                <w:sz w:val="16"/>
              </w:rPr>
              <w:t>124 </w:t>
            </w:r>
          </w:p>
        </w:tc>
        <w:tc>
          <w:tcPr>
            <w:tcW w:w="0" w:type="auto"/>
            <w:tcBorders>
              <w:top w:val="nil"/>
              <w:left w:val="nil"/>
              <w:bottom w:val="single" w:sz="6" w:space="0" w:color="000000"/>
              <w:right w:val="single" w:sz="6" w:space="0" w:color="000000"/>
              <w:tl2br w:val="nil"/>
              <w:tr2bl w:val="nil"/>
            </w:tcBorders>
            <w:shd w:val="clear" w:color="auto" w:fill="FFFFFF"/>
            <w:tcMar>
              <w:left w:w="115" w:type="dxa"/>
              <w:right w:w="115" w:type="dxa"/>
            </w:tcMar>
            <w:vAlign w:val="bottom"/>
          </w:tcPr>
          <w:p w14:paraId="6273157C" w14:textId="77777777" w:rsidR="00724034" w:rsidRDefault="00FB7D0B">
            <w:pPr>
              <w:jc w:val="right"/>
              <w:rPr>
                <w:rFonts w:ascii="Arial" w:eastAsia="Arial" w:hAnsi="Arial" w:cs="Arial"/>
                <w:color w:val="000000"/>
                <w:sz w:val="16"/>
              </w:rPr>
            </w:pPr>
            <w:r>
              <w:rPr>
                <w:rFonts w:ascii="Arial" w:eastAsia="Arial" w:hAnsi="Arial" w:cs="Arial"/>
                <w:color w:val="000000"/>
                <w:sz w:val="16"/>
              </w:rPr>
              <w:t>132 </w:t>
            </w:r>
          </w:p>
        </w:tc>
      </w:tr>
      <w:tr w:rsidR="00724034" w14:paraId="272386A1" w14:textId="77777777">
        <w:tblPrEx>
          <w:tblLook w:val="04A0" w:firstRow="1" w:lastRow="0" w:firstColumn="1" w:lastColumn="0" w:noHBand="0" w:noVBand="1"/>
        </w:tblPrEx>
        <w:trPr>
          <w:trHeight w:val="60"/>
        </w:trPr>
        <w:tc>
          <w:tcPr>
            <w:tcW w:w="0" w:type="auto"/>
            <w:tcBorders>
              <w:top w:val="single" w:sz="6" w:space="0" w:color="000000"/>
              <w:left w:val="nil"/>
              <w:bottom w:val="nil"/>
              <w:right w:val="nil"/>
              <w:tl2br w:val="nil"/>
              <w:tr2bl w:val="nil"/>
            </w:tcBorders>
            <w:shd w:val="clear" w:color="auto" w:fill="FFFFFF"/>
            <w:tcMar>
              <w:left w:w="115" w:type="dxa"/>
              <w:right w:w="115" w:type="dxa"/>
            </w:tcMar>
            <w:vAlign w:val="bottom"/>
          </w:tcPr>
          <w:p w14:paraId="0F26197E" w14:textId="77777777" w:rsidR="00724034" w:rsidRDefault="00724034">
            <w:pPr>
              <w:rPr>
                <w:rFonts w:ascii="Arial" w:eastAsia="Arial" w:hAnsi="Arial" w:cs="Arial"/>
                <w:color w:val="000000"/>
                <w:sz w:val="16"/>
              </w:rPr>
            </w:pPr>
          </w:p>
        </w:tc>
        <w:tc>
          <w:tcPr>
            <w:tcW w:w="0" w:type="auto"/>
            <w:tcBorders>
              <w:top w:val="single" w:sz="6" w:space="0" w:color="000000"/>
              <w:left w:val="nil"/>
              <w:bottom w:val="nil"/>
              <w:right w:val="nil"/>
              <w:tl2br w:val="nil"/>
              <w:tr2bl w:val="nil"/>
            </w:tcBorders>
            <w:shd w:val="clear" w:color="auto" w:fill="FFFFFF"/>
            <w:tcMar>
              <w:left w:w="115" w:type="dxa"/>
              <w:right w:w="115" w:type="dxa"/>
            </w:tcMar>
            <w:vAlign w:val="bottom"/>
          </w:tcPr>
          <w:p w14:paraId="43ACA9F3" w14:textId="77777777" w:rsidR="00724034" w:rsidRDefault="00724034">
            <w:pPr>
              <w:rPr>
                <w:rFonts w:ascii="Arial" w:eastAsia="Arial" w:hAnsi="Arial" w:cs="Arial"/>
                <w:b/>
                <w:color w:val="000000"/>
                <w:sz w:val="16"/>
                <w:vertAlign w:val="superscript"/>
              </w:rPr>
            </w:pPr>
          </w:p>
        </w:tc>
        <w:tc>
          <w:tcPr>
            <w:tcW w:w="0" w:type="auto"/>
            <w:tcBorders>
              <w:top w:val="single" w:sz="6" w:space="0" w:color="000000"/>
              <w:left w:val="nil"/>
              <w:bottom w:val="nil"/>
              <w:right w:val="nil"/>
              <w:tl2br w:val="nil"/>
              <w:tr2bl w:val="nil"/>
            </w:tcBorders>
            <w:shd w:val="clear" w:color="auto" w:fill="FFFFFF"/>
            <w:tcMar>
              <w:left w:w="115" w:type="dxa"/>
              <w:right w:w="115" w:type="dxa"/>
            </w:tcMar>
            <w:vAlign w:val="bottom"/>
          </w:tcPr>
          <w:p w14:paraId="5200AB70" w14:textId="77777777" w:rsidR="00724034" w:rsidRDefault="00724034">
            <w:pPr>
              <w:rPr>
                <w:rFonts w:ascii="Arial" w:eastAsia="Arial" w:hAnsi="Arial" w:cs="Arial"/>
                <w:b/>
                <w:color w:val="000000"/>
                <w:sz w:val="16"/>
                <w:vertAlign w:val="superscript"/>
              </w:rPr>
            </w:pPr>
          </w:p>
        </w:tc>
        <w:tc>
          <w:tcPr>
            <w:tcW w:w="0" w:type="auto"/>
            <w:tcBorders>
              <w:top w:val="single" w:sz="6" w:space="0" w:color="000000"/>
              <w:left w:val="nil"/>
              <w:bottom w:val="nil"/>
              <w:right w:val="nil"/>
              <w:tl2br w:val="nil"/>
              <w:tr2bl w:val="nil"/>
            </w:tcBorders>
            <w:shd w:val="clear" w:color="auto" w:fill="FFFFFF"/>
            <w:tcMar>
              <w:left w:w="115" w:type="dxa"/>
              <w:right w:w="115" w:type="dxa"/>
            </w:tcMar>
            <w:vAlign w:val="bottom"/>
          </w:tcPr>
          <w:p w14:paraId="7EBDD18F" w14:textId="77777777" w:rsidR="00724034" w:rsidRDefault="00724034">
            <w:pPr>
              <w:rPr>
                <w:rFonts w:ascii="Arial" w:eastAsia="Arial" w:hAnsi="Arial" w:cs="Arial"/>
                <w:b/>
                <w:color w:val="000000"/>
                <w:sz w:val="16"/>
                <w:vertAlign w:val="superscript"/>
              </w:rPr>
            </w:pPr>
          </w:p>
        </w:tc>
        <w:tc>
          <w:tcPr>
            <w:tcW w:w="0" w:type="auto"/>
            <w:tcBorders>
              <w:top w:val="single" w:sz="6" w:space="0" w:color="000000"/>
              <w:left w:val="nil"/>
              <w:bottom w:val="nil"/>
              <w:right w:val="nil"/>
              <w:tl2br w:val="nil"/>
              <w:tr2bl w:val="nil"/>
            </w:tcBorders>
            <w:shd w:val="clear" w:color="auto" w:fill="FFFFFF"/>
            <w:tcMar>
              <w:left w:w="115" w:type="dxa"/>
              <w:right w:w="115" w:type="dxa"/>
            </w:tcMar>
            <w:vAlign w:val="bottom"/>
          </w:tcPr>
          <w:p w14:paraId="531D4E0A" w14:textId="77777777" w:rsidR="00724034" w:rsidRDefault="00724034">
            <w:pPr>
              <w:rPr>
                <w:rFonts w:ascii="Arial" w:eastAsia="Arial" w:hAnsi="Arial" w:cs="Arial"/>
                <w:b/>
                <w:color w:val="000000"/>
                <w:sz w:val="16"/>
                <w:vertAlign w:val="superscript"/>
              </w:rPr>
            </w:pPr>
          </w:p>
        </w:tc>
        <w:tc>
          <w:tcPr>
            <w:tcW w:w="0" w:type="auto"/>
            <w:tcBorders>
              <w:top w:val="single" w:sz="6" w:space="0" w:color="000000"/>
              <w:left w:val="nil"/>
              <w:bottom w:val="nil"/>
              <w:right w:val="nil"/>
              <w:tl2br w:val="nil"/>
              <w:tr2bl w:val="nil"/>
            </w:tcBorders>
            <w:shd w:val="clear" w:color="auto" w:fill="FFFFFF"/>
            <w:tcMar>
              <w:left w:w="115" w:type="dxa"/>
              <w:right w:w="115" w:type="dxa"/>
            </w:tcMar>
            <w:vAlign w:val="bottom"/>
          </w:tcPr>
          <w:p w14:paraId="2647AF79" w14:textId="77777777" w:rsidR="00724034" w:rsidRDefault="00724034">
            <w:pPr>
              <w:rPr>
                <w:rFonts w:ascii="Arial" w:eastAsia="Arial" w:hAnsi="Arial" w:cs="Arial"/>
                <w:b/>
                <w:color w:val="000000"/>
                <w:sz w:val="16"/>
                <w:vertAlign w:val="superscript"/>
              </w:rPr>
            </w:pPr>
          </w:p>
        </w:tc>
      </w:tr>
    </w:tbl>
    <w:p w14:paraId="18F0A7E1" w14:textId="77777777" w:rsidR="00724034" w:rsidRDefault="00FB7D0B">
      <w:pPr>
        <w:spacing w:line="14" w:lineRule="exact"/>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
        <w:gridCol w:w="328"/>
        <w:gridCol w:w="2485"/>
        <w:gridCol w:w="1047"/>
        <w:gridCol w:w="1047"/>
        <w:gridCol w:w="1047"/>
        <w:gridCol w:w="1047"/>
        <w:gridCol w:w="1048"/>
      </w:tblGrid>
      <w:tr w:rsidR="00724034" w14:paraId="3C143F7C" w14:textId="77777777" w:rsidTr="003F0EEA">
        <w:tc>
          <w:tcPr>
            <w:tcW w:w="8080" w:type="dxa"/>
            <w:gridSpan w:val="8"/>
            <w:tcBorders>
              <w:top w:val="single" w:sz="4" w:space="0" w:color="auto"/>
              <w:left w:val="single" w:sz="4" w:space="0" w:color="auto"/>
              <w:bottom w:val="single" w:sz="4" w:space="0" w:color="auto"/>
              <w:right w:val="single" w:sz="4" w:space="0" w:color="auto"/>
            </w:tcBorders>
            <w:shd w:val="clear" w:color="auto" w:fill="E6E6E6"/>
          </w:tcPr>
          <w:p w14:paraId="636530F6" w14:textId="77777777" w:rsidR="003F0EEA" w:rsidRPr="00A17252" w:rsidRDefault="00FB7D0B" w:rsidP="003F0EEA">
            <w:pPr>
              <w:pStyle w:val="TableTextLeft22"/>
              <w:rPr>
                <w:b/>
              </w:rPr>
            </w:pPr>
            <w:r>
              <w:rPr>
                <w:b/>
                <w:sz w:val="20"/>
              </w:rPr>
              <w:t>Programme 2.2: Veterans' Hospital Services</w:t>
            </w:r>
          </w:p>
        </w:tc>
      </w:tr>
      <w:tr w:rsidR="00724034" w14:paraId="3D427B10" w14:textId="77777777" w:rsidTr="003F0EEA">
        <w:tc>
          <w:tcPr>
            <w:tcW w:w="8080" w:type="dxa"/>
            <w:gridSpan w:val="8"/>
            <w:tcBorders>
              <w:top w:val="single" w:sz="4" w:space="0" w:color="auto"/>
              <w:left w:val="nil"/>
              <w:bottom w:val="single" w:sz="4" w:space="0" w:color="auto"/>
              <w:right w:val="nil"/>
            </w:tcBorders>
          </w:tcPr>
          <w:p w14:paraId="6FD44406" w14:textId="77777777" w:rsidR="003F0EEA" w:rsidRDefault="003F0EEA" w:rsidP="003F0EEA">
            <w:pPr>
              <w:pStyle w:val="TableTextLeft22"/>
              <w:rPr>
                <w:b/>
              </w:rPr>
            </w:pPr>
          </w:p>
        </w:tc>
      </w:tr>
      <w:tr w:rsidR="00724034" w14:paraId="738844A5" w14:textId="77777777" w:rsidTr="003F0EEA">
        <w:tc>
          <w:tcPr>
            <w:tcW w:w="8080" w:type="dxa"/>
            <w:gridSpan w:val="8"/>
            <w:tcBorders>
              <w:top w:val="single" w:sz="4" w:space="0" w:color="auto"/>
              <w:left w:val="single" w:sz="4" w:space="0" w:color="auto"/>
              <w:bottom w:val="single" w:sz="4" w:space="0" w:color="auto"/>
              <w:right w:val="single" w:sz="4" w:space="0" w:color="auto"/>
            </w:tcBorders>
          </w:tcPr>
          <w:p w14:paraId="3A77E968" w14:textId="77777777" w:rsidR="003F0EEA" w:rsidRDefault="00FB7D0B" w:rsidP="003F0EEA">
            <w:pPr>
              <w:pStyle w:val="TableTextLeft22"/>
              <w:spacing w:after="20"/>
              <w:rPr>
                <w:b/>
              </w:rPr>
            </w:pPr>
            <w:r>
              <w:rPr>
                <w:b/>
              </w:rPr>
              <w:t>Programme 2.2 objective</w:t>
            </w:r>
          </w:p>
          <w:p w14:paraId="25421765" w14:textId="77777777" w:rsidR="003F0EEA" w:rsidRDefault="00FB7D0B" w:rsidP="003F0EEA">
            <w:pPr>
              <w:pStyle w:val="TableTextLeft22"/>
              <w:rPr>
                <w:b/>
              </w:rPr>
            </w:pPr>
            <w:r>
              <w:t>Provide access to hospital services for entitled beneficiaries through arrangements with hospitals in both the private and public sectors.</w:t>
            </w:r>
          </w:p>
        </w:tc>
      </w:tr>
      <w:tr w:rsidR="00724034" w14:paraId="6237FDE6" w14:textId="77777777" w:rsidTr="003F0EEA">
        <w:trPr>
          <w:trHeight w:val="748"/>
        </w:trPr>
        <w:tc>
          <w:tcPr>
            <w:tcW w:w="8080" w:type="dxa"/>
            <w:gridSpan w:val="8"/>
            <w:tcBorders>
              <w:top w:val="single" w:sz="4" w:space="0" w:color="auto"/>
              <w:left w:val="single" w:sz="4" w:space="0" w:color="auto"/>
              <w:bottom w:val="single" w:sz="4" w:space="0" w:color="auto"/>
              <w:right w:val="single" w:sz="4" w:space="0" w:color="auto"/>
            </w:tcBorders>
          </w:tcPr>
          <w:p w14:paraId="4DBE6EAB" w14:textId="77777777" w:rsidR="003F0EEA" w:rsidRDefault="00FB7D0B" w:rsidP="003F0EEA">
            <w:pPr>
              <w:pStyle w:val="TableTextLeft22"/>
              <w:spacing w:after="20"/>
              <w:rPr>
                <w:b/>
              </w:rPr>
            </w:pPr>
            <w:r>
              <w:rPr>
                <w:b/>
              </w:rPr>
              <w:t>Linked to:</w:t>
            </w:r>
          </w:p>
          <w:p w14:paraId="1DA8725C" w14:textId="77777777" w:rsidR="003F0EEA" w:rsidRPr="00E532B5" w:rsidRDefault="00FB7D0B" w:rsidP="003F0EEA">
            <w:pPr>
              <w:pStyle w:val="TableTextLeft22"/>
            </w:pPr>
            <w:r w:rsidRPr="00576D13">
              <w:t>This programme is linked to the Department of Human Services’ Programme 1.</w:t>
            </w:r>
            <w:r>
              <w:t xml:space="preserve">2 – Services to the Community – Health. </w:t>
            </w:r>
          </w:p>
        </w:tc>
      </w:tr>
      <w:tr w:rsidR="00724034" w14:paraId="3B3BA1E5" w14:textId="77777777" w:rsidTr="003F0EEA">
        <w:tc>
          <w:tcPr>
            <w:tcW w:w="8080" w:type="dxa"/>
            <w:gridSpan w:val="8"/>
            <w:tcBorders>
              <w:top w:val="single" w:sz="4" w:space="0" w:color="auto"/>
              <w:left w:val="nil"/>
              <w:bottom w:val="single" w:sz="4" w:space="0" w:color="auto"/>
              <w:right w:val="nil"/>
            </w:tcBorders>
          </w:tcPr>
          <w:p w14:paraId="19144F87" w14:textId="77777777" w:rsidR="003F0EEA" w:rsidRDefault="003F0EEA" w:rsidP="003F0EEA">
            <w:pPr>
              <w:pStyle w:val="TableTextLeft22"/>
              <w:rPr>
                <w:b/>
              </w:rPr>
            </w:pPr>
          </w:p>
        </w:tc>
      </w:tr>
      <w:tr w:rsidR="00724034" w14:paraId="0649A3DF" w14:textId="77777777" w:rsidTr="003F0EEA">
        <w:trPr>
          <w:trHeight w:val="854"/>
        </w:trPr>
        <w:tc>
          <w:tcPr>
            <w:tcW w:w="8080" w:type="dxa"/>
            <w:gridSpan w:val="8"/>
            <w:tcBorders>
              <w:top w:val="single" w:sz="4" w:space="0" w:color="auto"/>
              <w:left w:val="single" w:sz="4" w:space="0" w:color="auto"/>
              <w:bottom w:val="single" w:sz="4" w:space="0" w:color="auto"/>
              <w:right w:val="single" w:sz="4" w:space="0" w:color="auto"/>
            </w:tcBorders>
          </w:tcPr>
          <w:p w14:paraId="79BE9C57" w14:textId="77777777" w:rsidR="003F0EEA" w:rsidRDefault="00FB7D0B" w:rsidP="003F0EEA">
            <w:pPr>
              <w:pStyle w:val="TableTextLeft22"/>
              <w:spacing w:after="20"/>
              <w:rPr>
                <w:b/>
              </w:rPr>
            </w:pPr>
            <w:r>
              <w:rPr>
                <w:b/>
              </w:rPr>
              <w:t>Programme 2.2 expenses</w:t>
            </w:r>
          </w:p>
          <w:p w14:paraId="2080A0C1" w14:textId="77777777" w:rsidR="003F0EEA" w:rsidRDefault="00FB7D0B" w:rsidP="003F0EEA">
            <w:pPr>
              <w:pStyle w:val="TableTextLeft22"/>
              <w:rPr>
                <w:rFonts w:cs="Times New Roman"/>
              </w:rPr>
            </w:pPr>
            <w:r>
              <w:t>Costs for hospital services are remaining fairly stable as the ageing population accesses more services, and as fees for hospital services increase in line with changes in contract rates for the provision of hospital services.  The increasing costs incurred in this programme are offset by the decreasing treatment population.</w:t>
            </w:r>
          </w:p>
          <w:p w14:paraId="01A3DC5E" w14:textId="77777777" w:rsidR="003F0EEA" w:rsidRDefault="00FB7D0B" w:rsidP="003F0EEA">
            <w:pPr>
              <w:pStyle w:val="TableTextLeft22"/>
              <w:rPr>
                <w:b/>
              </w:rPr>
            </w:pPr>
            <w:r>
              <w:t>Expenditure and utilisation of services are demand driven depending on the health care needs of entitled beneficiaries.</w:t>
            </w:r>
          </w:p>
        </w:tc>
      </w:tr>
      <w:tr w:rsidR="00724034" w14:paraId="43026811" w14:textId="77777777">
        <w:tblPrEx>
          <w:tblLook w:val="04A0" w:firstRow="1" w:lastRow="0" w:firstColumn="1" w:lastColumn="0" w:noHBand="0" w:noVBand="1"/>
        </w:tblPrEx>
        <w:trPr>
          <w:trHeight w:val="225"/>
        </w:trPr>
        <w:tc>
          <w:tcPr>
            <w:tcW w:w="0" w:type="auto"/>
            <w:tcBorders>
              <w:top w:val="single" w:sz="6" w:space="0" w:color="000000"/>
              <w:left w:val="single" w:sz="6" w:space="0" w:color="000000"/>
              <w:bottom w:val="nil"/>
              <w:right w:val="nil"/>
              <w:tl2br w:val="nil"/>
              <w:tr2bl w:val="nil"/>
            </w:tcBorders>
            <w:shd w:val="clear" w:color="auto" w:fill="FFFFFF"/>
            <w:tcMar>
              <w:left w:w="101" w:type="dxa"/>
              <w:right w:w="101" w:type="dxa"/>
            </w:tcMar>
            <w:vAlign w:val="bottom"/>
          </w:tcPr>
          <w:p w14:paraId="52204B73" w14:textId="77777777" w:rsidR="003F0EEA" w:rsidRPr="00782CC6" w:rsidRDefault="003F0EEA">
            <w:pPr>
              <w:rPr>
                <w:rFonts w:ascii="Times New Roman" w:eastAsia="Times New Roman" w:hAnsi="Times New Roman" w:cs="Times New Roman"/>
              </w:rPr>
            </w:pPr>
          </w:p>
        </w:tc>
        <w:tc>
          <w:tcPr>
            <w:tcW w:w="0" w:type="auto"/>
            <w:tcBorders>
              <w:top w:val="single" w:sz="6" w:space="0" w:color="000000"/>
              <w:left w:val="nil"/>
              <w:bottom w:val="nil"/>
              <w:right w:val="nil"/>
              <w:tl2br w:val="nil"/>
              <w:tr2bl w:val="nil"/>
            </w:tcBorders>
            <w:shd w:val="clear" w:color="auto" w:fill="FFFFFF"/>
            <w:tcMar>
              <w:left w:w="101" w:type="dxa"/>
              <w:right w:w="101" w:type="dxa"/>
            </w:tcMar>
            <w:vAlign w:val="bottom"/>
          </w:tcPr>
          <w:p w14:paraId="3BFB4AE9" w14:textId="77777777" w:rsidR="003F0EEA" w:rsidRPr="00782CC6" w:rsidRDefault="003F0EEA">
            <w:pPr>
              <w:rPr>
                <w:rFonts w:ascii="Arial" w:eastAsia="Arial" w:hAnsi="Arial" w:cs="Arial"/>
                <w:color w:val="000000"/>
                <w:sz w:val="16"/>
              </w:rPr>
            </w:pPr>
          </w:p>
        </w:tc>
        <w:tc>
          <w:tcPr>
            <w:tcW w:w="0" w:type="auto"/>
            <w:tcBorders>
              <w:top w:val="single" w:sz="6" w:space="0" w:color="000000"/>
              <w:left w:val="nil"/>
              <w:bottom w:val="nil"/>
              <w:right w:val="nil"/>
              <w:tl2br w:val="nil"/>
              <w:tr2bl w:val="nil"/>
            </w:tcBorders>
            <w:shd w:val="clear" w:color="auto" w:fill="FFFFFF"/>
            <w:tcMar>
              <w:left w:w="101" w:type="dxa"/>
              <w:right w:w="101" w:type="dxa"/>
            </w:tcMar>
            <w:vAlign w:val="bottom"/>
          </w:tcPr>
          <w:p w14:paraId="327595DA" w14:textId="77777777" w:rsidR="003F0EEA" w:rsidRPr="00782CC6" w:rsidRDefault="003F0EEA">
            <w:pPr>
              <w:jc w:val="center"/>
              <w:rPr>
                <w:rFonts w:ascii="Arial" w:eastAsia="Arial" w:hAnsi="Arial" w:cs="Arial"/>
                <w:color w:val="000000"/>
                <w:sz w:val="16"/>
              </w:rPr>
            </w:pPr>
          </w:p>
        </w:tc>
        <w:tc>
          <w:tcPr>
            <w:tcW w:w="0" w:type="auto"/>
            <w:tcBorders>
              <w:top w:val="single" w:sz="6" w:space="0" w:color="000000"/>
              <w:left w:val="nil"/>
              <w:bottom w:val="nil"/>
              <w:right w:val="nil"/>
              <w:tl2br w:val="nil"/>
              <w:tr2bl w:val="nil"/>
            </w:tcBorders>
            <w:shd w:val="clear" w:color="auto" w:fill="FFFFFF"/>
            <w:tcMar>
              <w:left w:w="101" w:type="dxa"/>
              <w:right w:w="101" w:type="dxa"/>
            </w:tcMar>
            <w:vAlign w:val="bottom"/>
          </w:tcPr>
          <w:p w14:paraId="6402916D" w14:textId="77777777" w:rsidR="003F0EEA" w:rsidRPr="00782CC6" w:rsidRDefault="00FB7D0B">
            <w:pPr>
              <w:jc w:val="right"/>
              <w:rPr>
                <w:rFonts w:ascii="Arial" w:eastAsia="Arial" w:hAnsi="Arial" w:cs="Arial"/>
                <w:b/>
                <w:color w:val="000000"/>
                <w:sz w:val="16"/>
                <w:vertAlign w:val="superscript"/>
              </w:rPr>
            </w:pPr>
            <w:r w:rsidRPr="00782CC6">
              <w:rPr>
                <w:rFonts w:ascii="Arial" w:eastAsia="Arial" w:hAnsi="Arial" w:cs="Arial"/>
                <w:color w:val="000000"/>
                <w:sz w:val="16"/>
              </w:rPr>
              <w:t>2013-14</w:t>
            </w:r>
          </w:p>
        </w:tc>
        <w:tc>
          <w:tcPr>
            <w:tcW w:w="0" w:type="auto"/>
            <w:tcBorders>
              <w:top w:val="single" w:sz="6" w:space="0" w:color="000000"/>
              <w:left w:val="nil"/>
              <w:bottom w:val="nil"/>
              <w:right w:val="nil"/>
              <w:tl2br w:val="nil"/>
              <w:tr2bl w:val="nil"/>
            </w:tcBorders>
            <w:shd w:val="clear" w:color="auto" w:fill="FFFF00"/>
            <w:tcMar>
              <w:left w:w="101" w:type="dxa"/>
              <w:right w:w="101" w:type="dxa"/>
            </w:tcMar>
            <w:vAlign w:val="bottom"/>
          </w:tcPr>
          <w:p w14:paraId="5191FC81" w14:textId="77777777" w:rsidR="003F0EEA" w:rsidRPr="00782CC6" w:rsidRDefault="00FB7D0B">
            <w:pPr>
              <w:jc w:val="right"/>
              <w:rPr>
                <w:rFonts w:ascii="Arial" w:eastAsia="Arial" w:hAnsi="Arial" w:cs="Arial"/>
                <w:color w:val="000000"/>
                <w:sz w:val="16"/>
              </w:rPr>
            </w:pPr>
            <w:r w:rsidRPr="00782CC6">
              <w:rPr>
                <w:rFonts w:ascii="Arial" w:eastAsia="Arial" w:hAnsi="Arial" w:cs="Arial"/>
                <w:color w:val="000000"/>
                <w:sz w:val="16"/>
              </w:rPr>
              <w:t>2014-15</w:t>
            </w:r>
          </w:p>
        </w:tc>
        <w:tc>
          <w:tcPr>
            <w:tcW w:w="0" w:type="auto"/>
            <w:tcBorders>
              <w:top w:val="single" w:sz="6" w:space="0" w:color="000000"/>
              <w:left w:val="nil"/>
              <w:bottom w:val="nil"/>
              <w:right w:val="nil"/>
              <w:tl2br w:val="nil"/>
              <w:tr2bl w:val="nil"/>
            </w:tcBorders>
            <w:shd w:val="clear" w:color="auto" w:fill="FFFFFF"/>
            <w:tcMar>
              <w:left w:w="101" w:type="dxa"/>
              <w:right w:w="101" w:type="dxa"/>
            </w:tcMar>
            <w:vAlign w:val="bottom"/>
          </w:tcPr>
          <w:p w14:paraId="6890CF01" w14:textId="77777777" w:rsidR="003F0EEA" w:rsidRPr="00782CC6" w:rsidRDefault="00FB7D0B">
            <w:pPr>
              <w:jc w:val="right"/>
              <w:rPr>
                <w:rFonts w:ascii="Arial" w:eastAsia="Arial" w:hAnsi="Arial" w:cs="Arial"/>
                <w:color w:val="000000"/>
                <w:sz w:val="16"/>
              </w:rPr>
            </w:pPr>
            <w:r w:rsidRPr="00782CC6">
              <w:rPr>
                <w:rFonts w:ascii="Arial" w:eastAsia="Arial" w:hAnsi="Arial" w:cs="Arial"/>
                <w:color w:val="000000"/>
                <w:sz w:val="16"/>
              </w:rPr>
              <w:t>2015-16</w:t>
            </w:r>
          </w:p>
        </w:tc>
        <w:tc>
          <w:tcPr>
            <w:tcW w:w="0" w:type="auto"/>
            <w:tcBorders>
              <w:top w:val="single" w:sz="6" w:space="0" w:color="000000"/>
              <w:left w:val="nil"/>
              <w:bottom w:val="nil"/>
              <w:right w:val="nil"/>
              <w:tl2br w:val="nil"/>
              <w:tr2bl w:val="nil"/>
            </w:tcBorders>
            <w:shd w:val="clear" w:color="auto" w:fill="FFFFFF"/>
            <w:tcMar>
              <w:left w:w="101" w:type="dxa"/>
              <w:right w:w="101" w:type="dxa"/>
            </w:tcMar>
            <w:vAlign w:val="bottom"/>
          </w:tcPr>
          <w:p w14:paraId="16625A05" w14:textId="77777777" w:rsidR="003F0EEA" w:rsidRPr="00782CC6" w:rsidRDefault="00FB7D0B">
            <w:pPr>
              <w:jc w:val="right"/>
              <w:rPr>
                <w:rFonts w:ascii="Arial" w:eastAsia="Arial" w:hAnsi="Arial" w:cs="Arial"/>
                <w:color w:val="000000"/>
                <w:sz w:val="16"/>
              </w:rPr>
            </w:pPr>
            <w:r w:rsidRPr="00782CC6">
              <w:rPr>
                <w:rFonts w:ascii="Arial" w:eastAsia="Arial" w:hAnsi="Arial" w:cs="Arial"/>
                <w:color w:val="000000"/>
                <w:sz w:val="16"/>
              </w:rPr>
              <w:t>2016-17</w:t>
            </w:r>
          </w:p>
        </w:tc>
        <w:tc>
          <w:tcPr>
            <w:tcW w:w="0" w:type="auto"/>
            <w:tcBorders>
              <w:top w:val="single" w:sz="6" w:space="0" w:color="000000"/>
              <w:left w:val="nil"/>
              <w:bottom w:val="nil"/>
              <w:right w:val="single" w:sz="6" w:space="0" w:color="000000"/>
              <w:tl2br w:val="nil"/>
              <w:tr2bl w:val="nil"/>
            </w:tcBorders>
            <w:shd w:val="clear" w:color="auto" w:fill="FFFFFF"/>
            <w:tcMar>
              <w:left w:w="101" w:type="dxa"/>
              <w:right w:w="101" w:type="dxa"/>
            </w:tcMar>
            <w:vAlign w:val="bottom"/>
          </w:tcPr>
          <w:p w14:paraId="56242092" w14:textId="77777777" w:rsidR="003F0EEA" w:rsidRPr="00782CC6" w:rsidRDefault="00FB7D0B">
            <w:pPr>
              <w:jc w:val="right"/>
              <w:rPr>
                <w:rFonts w:ascii="Arial" w:eastAsia="Arial" w:hAnsi="Arial" w:cs="Arial"/>
                <w:color w:val="000000"/>
                <w:sz w:val="16"/>
              </w:rPr>
            </w:pPr>
            <w:r w:rsidRPr="00782CC6">
              <w:rPr>
                <w:rFonts w:ascii="Arial" w:eastAsia="Arial" w:hAnsi="Arial" w:cs="Arial"/>
                <w:color w:val="000000"/>
                <w:sz w:val="16"/>
              </w:rPr>
              <w:t>2017-18</w:t>
            </w:r>
          </w:p>
        </w:tc>
      </w:tr>
      <w:tr w:rsidR="00724034" w14:paraId="1CC1E037" w14:textId="77777777">
        <w:tblPrEx>
          <w:tblLook w:val="04A0" w:firstRow="1" w:lastRow="0" w:firstColumn="1" w:lastColumn="0" w:noHBand="0" w:noVBand="1"/>
        </w:tblPrEx>
        <w:trPr>
          <w:trHeight w:val="225"/>
        </w:trPr>
        <w:tc>
          <w:tcPr>
            <w:tcW w:w="0" w:type="auto"/>
            <w:tcBorders>
              <w:top w:val="nil"/>
              <w:left w:val="single" w:sz="6" w:space="0" w:color="000000"/>
              <w:bottom w:val="nil"/>
              <w:right w:val="nil"/>
              <w:tl2br w:val="nil"/>
              <w:tr2bl w:val="nil"/>
            </w:tcBorders>
            <w:shd w:val="clear" w:color="auto" w:fill="FFFFFF"/>
            <w:tcMar>
              <w:left w:w="101" w:type="dxa"/>
              <w:right w:w="101" w:type="dxa"/>
            </w:tcMar>
            <w:vAlign w:val="bottom"/>
          </w:tcPr>
          <w:p w14:paraId="4E5F24A6" w14:textId="77777777" w:rsidR="003F0EEA" w:rsidRPr="00782CC6" w:rsidRDefault="003F0EEA">
            <w:pPr>
              <w:rPr>
                <w:rFonts w:ascii="Arial" w:eastAsia="Arial" w:hAnsi="Arial" w:cs="Arial"/>
                <w:color w:val="000000"/>
                <w:sz w:val="16"/>
              </w:rPr>
            </w:pPr>
          </w:p>
        </w:tc>
        <w:tc>
          <w:tcPr>
            <w:tcW w:w="0" w:type="auto"/>
            <w:tcBorders>
              <w:top w:val="nil"/>
              <w:left w:val="nil"/>
              <w:bottom w:val="nil"/>
              <w:right w:val="nil"/>
              <w:tl2br w:val="nil"/>
              <w:tr2bl w:val="nil"/>
            </w:tcBorders>
            <w:shd w:val="clear" w:color="auto" w:fill="FFFFFF"/>
            <w:tcMar>
              <w:left w:w="101" w:type="dxa"/>
              <w:right w:w="101" w:type="dxa"/>
            </w:tcMar>
            <w:vAlign w:val="bottom"/>
          </w:tcPr>
          <w:p w14:paraId="330DD14B" w14:textId="77777777" w:rsidR="003F0EEA" w:rsidRPr="00782CC6" w:rsidRDefault="003F0EEA">
            <w:pPr>
              <w:rPr>
                <w:rFonts w:ascii="Arial" w:eastAsia="Arial" w:hAnsi="Arial" w:cs="Arial"/>
                <w:color w:val="000000"/>
                <w:sz w:val="16"/>
              </w:rPr>
            </w:pPr>
          </w:p>
        </w:tc>
        <w:tc>
          <w:tcPr>
            <w:tcW w:w="0" w:type="auto"/>
            <w:tcBorders>
              <w:top w:val="nil"/>
              <w:left w:val="nil"/>
              <w:bottom w:val="nil"/>
              <w:right w:val="nil"/>
              <w:tl2br w:val="nil"/>
              <w:tr2bl w:val="nil"/>
            </w:tcBorders>
            <w:shd w:val="clear" w:color="auto" w:fill="FFFFFF"/>
            <w:tcMar>
              <w:left w:w="101" w:type="dxa"/>
              <w:right w:w="101" w:type="dxa"/>
            </w:tcMar>
            <w:vAlign w:val="bottom"/>
          </w:tcPr>
          <w:p w14:paraId="3422EDAF" w14:textId="77777777" w:rsidR="003F0EEA" w:rsidRPr="00782CC6" w:rsidRDefault="003F0EEA">
            <w:pPr>
              <w:rPr>
                <w:rFonts w:ascii="Arial" w:eastAsia="Arial" w:hAnsi="Arial" w:cs="Arial"/>
                <w:color w:val="000000"/>
                <w:sz w:val="16"/>
              </w:rPr>
            </w:pPr>
          </w:p>
        </w:tc>
        <w:tc>
          <w:tcPr>
            <w:tcW w:w="0" w:type="auto"/>
            <w:tcBorders>
              <w:top w:val="nil"/>
              <w:left w:val="nil"/>
              <w:bottom w:val="nil"/>
              <w:right w:val="nil"/>
              <w:tl2br w:val="nil"/>
              <w:tr2bl w:val="nil"/>
            </w:tcBorders>
            <w:shd w:val="clear" w:color="auto" w:fill="FFFFFF"/>
            <w:tcMar>
              <w:left w:w="101" w:type="dxa"/>
              <w:right w:w="101" w:type="dxa"/>
            </w:tcMar>
            <w:vAlign w:val="bottom"/>
          </w:tcPr>
          <w:p w14:paraId="3B051855" w14:textId="77777777" w:rsidR="003F0EEA" w:rsidRPr="00782CC6" w:rsidRDefault="00FB7D0B">
            <w:pPr>
              <w:jc w:val="right"/>
              <w:rPr>
                <w:rFonts w:ascii="Arial" w:eastAsia="Arial" w:hAnsi="Arial" w:cs="Arial"/>
                <w:color w:val="000000"/>
                <w:sz w:val="16"/>
                <w:vertAlign w:val="superscript"/>
              </w:rPr>
            </w:pPr>
            <w:r w:rsidRPr="00782CC6">
              <w:rPr>
                <w:rFonts w:ascii="Arial" w:eastAsia="Arial" w:hAnsi="Arial" w:cs="Arial"/>
                <w:color w:val="000000"/>
                <w:sz w:val="16"/>
              </w:rPr>
              <w:t>Revised</w:t>
            </w:r>
          </w:p>
        </w:tc>
        <w:tc>
          <w:tcPr>
            <w:tcW w:w="0" w:type="auto"/>
            <w:tcBorders>
              <w:top w:val="nil"/>
              <w:left w:val="nil"/>
              <w:bottom w:val="nil"/>
              <w:right w:val="nil"/>
              <w:tl2br w:val="nil"/>
              <w:tr2bl w:val="nil"/>
            </w:tcBorders>
            <w:shd w:val="clear" w:color="auto" w:fill="FFFF00"/>
            <w:tcMar>
              <w:left w:w="101" w:type="dxa"/>
              <w:right w:w="101" w:type="dxa"/>
            </w:tcMar>
            <w:vAlign w:val="bottom"/>
          </w:tcPr>
          <w:p w14:paraId="4D8352D7" w14:textId="77777777" w:rsidR="003F0EEA" w:rsidRPr="00782CC6" w:rsidRDefault="00FB7D0B">
            <w:pPr>
              <w:jc w:val="right"/>
              <w:rPr>
                <w:rFonts w:ascii="Arial" w:eastAsia="Arial" w:hAnsi="Arial" w:cs="Arial"/>
                <w:color w:val="000000"/>
                <w:sz w:val="16"/>
              </w:rPr>
            </w:pPr>
            <w:r w:rsidRPr="00782CC6">
              <w:rPr>
                <w:rFonts w:ascii="Arial" w:eastAsia="Arial" w:hAnsi="Arial" w:cs="Arial"/>
                <w:color w:val="000000"/>
                <w:sz w:val="16"/>
              </w:rPr>
              <w:t>Budget</w:t>
            </w:r>
          </w:p>
        </w:tc>
        <w:tc>
          <w:tcPr>
            <w:tcW w:w="0" w:type="auto"/>
            <w:tcBorders>
              <w:top w:val="nil"/>
              <w:left w:val="nil"/>
              <w:bottom w:val="nil"/>
              <w:right w:val="nil"/>
              <w:tl2br w:val="nil"/>
              <w:tr2bl w:val="nil"/>
            </w:tcBorders>
            <w:shd w:val="clear" w:color="auto" w:fill="FFFFFF"/>
            <w:tcMar>
              <w:left w:w="101" w:type="dxa"/>
              <w:right w:w="101" w:type="dxa"/>
            </w:tcMar>
            <w:vAlign w:val="bottom"/>
          </w:tcPr>
          <w:p w14:paraId="420DD367" w14:textId="77777777" w:rsidR="003F0EEA" w:rsidRPr="00782CC6" w:rsidRDefault="00FB7D0B">
            <w:pPr>
              <w:jc w:val="right"/>
              <w:rPr>
                <w:rFonts w:ascii="Arial" w:eastAsia="Arial" w:hAnsi="Arial" w:cs="Arial"/>
                <w:color w:val="000000"/>
                <w:sz w:val="16"/>
              </w:rPr>
            </w:pPr>
            <w:r w:rsidRPr="00782CC6">
              <w:rPr>
                <w:rFonts w:ascii="Arial" w:eastAsia="Arial" w:hAnsi="Arial" w:cs="Arial"/>
                <w:color w:val="000000"/>
                <w:sz w:val="16"/>
              </w:rPr>
              <w:t>Forward</w:t>
            </w:r>
          </w:p>
        </w:tc>
        <w:tc>
          <w:tcPr>
            <w:tcW w:w="0" w:type="auto"/>
            <w:tcBorders>
              <w:top w:val="nil"/>
              <w:left w:val="nil"/>
              <w:bottom w:val="nil"/>
              <w:right w:val="nil"/>
              <w:tl2br w:val="nil"/>
              <w:tr2bl w:val="nil"/>
            </w:tcBorders>
            <w:shd w:val="clear" w:color="auto" w:fill="FFFFFF"/>
            <w:tcMar>
              <w:left w:w="101" w:type="dxa"/>
              <w:right w:w="101" w:type="dxa"/>
            </w:tcMar>
            <w:vAlign w:val="bottom"/>
          </w:tcPr>
          <w:p w14:paraId="2773F355" w14:textId="77777777" w:rsidR="003F0EEA" w:rsidRPr="00782CC6" w:rsidRDefault="00FB7D0B">
            <w:pPr>
              <w:jc w:val="right"/>
              <w:rPr>
                <w:rFonts w:ascii="Arial" w:eastAsia="Arial" w:hAnsi="Arial" w:cs="Arial"/>
                <w:color w:val="000000"/>
                <w:sz w:val="16"/>
              </w:rPr>
            </w:pPr>
            <w:r w:rsidRPr="00782CC6">
              <w:rPr>
                <w:rFonts w:ascii="Arial" w:eastAsia="Arial" w:hAnsi="Arial" w:cs="Arial"/>
                <w:color w:val="000000"/>
                <w:sz w:val="16"/>
              </w:rPr>
              <w:t>Forward</w:t>
            </w:r>
          </w:p>
        </w:tc>
        <w:tc>
          <w:tcPr>
            <w:tcW w:w="0" w:type="auto"/>
            <w:tcBorders>
              <w:top w:val="nil"/>
              <w:left w:val="nil"/>
              <w:bottom w:val="nil"/>
              <w:right w:val="single" w:sz="6" w:space="0" w:color="000000"/>
              <w:tl2br w:val="nil"/>
              <w:tr2bl w:val="nil"/>
            </w:tcBorders>
            <w:shd w:val="clear" w:color="auto" w:fill="FFFFFF"/>
            <w:tcMar>
              <w:left w:w="101" w:type="dxa"/>
              <w:right w:w="101" w:type="dxa"/>
            </w:tcMar>
            <w:vAlign w:val="bottom"/>
          </w:tcPr>
          <w:p w14:paraId="264AC059" w14:textId="77777777" w:rsidR="003F0EEA" w:rsidRPr="00782CC6" w:rsidRDefault="00FB7D0B">
            <w:pPr>
              <w:jc w:val="right"/>
              <w:rPr>
                <w:rFonts w:ascii="Arial" w:eastAsia="Arial" w:hAnsi="Arial" w:cs="Arial"/>
                <w:color w:val="000000"/>
                <w:sz w:val="16"/>
              </w:rPr>
            </w:pPr>
            <w:r w:rsidRPr="00782CC6">
              <w:rPr>
                <w:rFonts w:ascii="Arial" w:eastAsia="Arial" w:hAnsi="Arial" w:cs="Arial"/>
                <w:color w:val="000000"/>
                <w:sz w:val="16"/>
              </w:rPr>
              <w:t>Forward</w:t>
            </w:r>
          </w:p>
        </w:tc>
      </w:tr>
      <w:tr w:rsidR="00FB7D0B" w14:paraId="3CEB9465" w14:textId="77777777" w:rsidTr="00FB7D0B">
        <w:tblPrEx>
          <w:tblLook w:val="04A0" w:firstRow="1" w:lastRow="0" w:firstColumn="1" w:lastColumn="0" w:noHBand="0" w:noVBand="1"/>
        </w:tblPrEx>
        <w:trPr>
          <w:trHeight w:val="225"/>
        </w:trPr>
        <w:tc>
          <w:tcPr>
            <w:tcW w:w="0" w:type="auto"/>
            <w:gridSpan w:val="3"/>
            <w:tcBorders>
              <w:top w:val="nil"/>
              <w:left w:val="single" w:sz="6" w:space="0" w:color="000000"/>
              <w:bottom w:val="single" w:sz="6" w:space="0" w:color="000000"/>
              <w:right w:val="nil"/>
              <w:tl2br w:val="nil"/>
              <w:tr2bl w:val="nil"/>
            </w:tcBorders>
            <w:shd w:val="clear" w:color="auto" w:fill="FFFFFF"/>
            <w:tcMar>
              <w:left w:w="101" w:type="dxa"/>
              <w:right w:w="101" w:type="dxa"/>
            </w:tcMar>
            <w:vAlign w:val="bottom"/>
          </w:tcPr>
          <w:p w14:paraId="54C35534" w14:textId="77777777" w:rsidR="003F0EEA" w:rsidRPr="00782CC6" w:rsidRDefault="00FB7D0B">
            <w:pPr>
              <w:rPr>
                <w:rFonts w:ascii="Arial" w:eastAsia="Arial" w:hAnsi="Arial" w:cs="Arial"/>
                <w:color w:val="000000"/>
                <w:sz w:val="16"/>
              </w:rPr>
            </w:pPr>
            <w:r w:rsidRPr="00782CC6">
              <w:rPr>
                <w:rFonts w:ascii="Arial" w:eastAsia="Arial" w:hAnsi="Arial" w:cs="Arial"/>
                <w:color w:val="000000"/>
                <w:sz w:val="16"/>
              </w:rPr>
              <w:t>$('000)</w:t>
            </w:r>
          </w:p>
        </w:tc>
        <w:tc>
          <w:tcPr>
            <w:tcW w:w="0" w:type="auto"/>
            <w:tcBorders>
              <w:top w:val="nil"/>
              <w:left w:val="nil"/>
              <w:bottom w:val="single" w:sz="6" w:space="0" w:color="000000"/>
              <w:right w:val="nil"/>
              <w:tl2br w:val="nil"/>
              <w:tr2bl w:val="nil"/>
            </w:tcBorders>
            <w:shd w:val="clear" w:color="auto" w:fill="FFFFFF"/>
            <w:tcMar>
              <w:left w:w="101" w:type="dxa"/>
              <w:right w:w="101" w:type="dxa"/>
            </w:tcMar>
            <w:vAlign w:val="bottom"/>
          </w:tcPr>
          <w:p w14:paraId="64A880B5" w14:textId="77777777" w:rsidR="003F0EEA" w:rsidRPr="00782CC6" w:rsidRDefault="00FB7D0B">
            <w:pPr>
              <w:jc w:val="right"/>
              <w:rPr>
                <w:rFonts w:ascii="Arial" w:eastAsia="Arial" w:hAnsi="Arial" w:cs="Arial"/>
                <w:color w:val="000000"/>
                <w:sz w:val="16"/>
                <w:vertAlign w:val="superscript"/>
              </w:rPr>
            </w:pPr>
            <w:r w:rsidRPr="00782CC6">
              <w:rPr>
                <w:rFonts w:ascii="Arial" w:eastAsia="Arial" w:hAnsi="Arial" w:cs="Arial"/>
                <w:color w:val="000000"/>
                <w:sz w:val="16"/>
              </w:rPr>
              <w:t>budget</w:t>
            </w:r>
          </w:p>
        </w:tc>
        <w:tc>
          <w:tcPr>
            <w:tcW w:w="0" w:type="auto"/>
            <w:tcBorders>
              <w:top w:val="nil"/>
              <w:left w:val="nil"/>
              <w:bottom w:val="single" w:sz="6" w:space="0" w:color="000000"/>
              <w:right w:val="nil"/>
              <w:tl2br w:val="nil"/>
              <w:tr2bl w:val="nil"/>
            </w:tcBorders>
            <w:shd w:val="clear" w:color="auto" w:fill="FFFF00"/>
            <w:tcMar>
              <w:left w:w="101" w:type="dxa"/>
              <w:right w:w="101" w:type="dxa"/>
            </w:tcMar>
            <w:vAlign w:val="bottom"/>
          </w:tcPr>
          <w:p w14:paraId="2F5E9146" w14:textId="77777777" w:rsidR="003F0EEA" w:rsidRPr="00782CC6" w:rsidRDefault="003F0EEA">
            <w:pPr>
              <w:jc w:val="right"/>
              <w:rPr>
                <w:rFonts w:ascii="Arial" w:eastAsia="Arial" w:hAnsi="Arial" w:cs="Arial"/>
                <w:color w:val="000000"/>
                <w:sz w:val="16"/>
              </w:rPr>
            </w:pPr>
          </w:p>
        </w:tc>
        <w:tc>
          <w:tcPr>
            <w:tcW w:w="0" w:type="auto"/>
            <w:tcBorders>
              <w:top w:val="nil"/>
              <w:left w:val="nil"/>
              <w:bottom w:val="single" w:sz="6" w:space="0" w:color="000000"/>
              <w:right w:val="nil"/>
              <w:tl2br w:val="nil"/>
              <w:tr2bl w:val="nil"/>
            </w:tcBorders>
            <w:shd w:val="clear" w:color="auto" w:fill="FFFFFF"/>
            <w:tcMar>
              <w:left w:w="101" w:type="dxa"/>
              <w:right w:w="101" w:type="dxa"/>
            </w:tcMar>
            <w:vAlign w:val="bottom"/>
          </w:tcPr>
          <w:p w14:paraId="59F7E506" w14:textId="77777777" w:rsidR="003F0EEA" w:rsidRPr="00782CC6" w:rsidRDefault="00FB7D0B">
            <w:pPr>
              <w:jc w:val="right"/>
              <w:rPr>
                <w:rFonts w:ascii="Arial" w:eastAsia="Arial" w:hAnsi="Arial" w:cs="Arial"/>
                <w:color w:val="000000"/>
                <w:sz w:val="16"/>
              </w:rPr>
            </w:pPr>
            <w:r w:rsidRPr="00782CC6">
              <w:rPr>
                <w:rFonts w:ascii="Arial" w:eastAsia="Arial" w:hAnsi="Arial" w:cs="Arial"/>
                <w:color w:val="000000"/>
                <w:sz w:val="16"/>
              </w:rPr>
              <w:t>year 1</w:t>
            </w:r>
          </w:p>
        </w:tc>
        <w:tc>
          <w:tcPr>
            <w:tcW w:w="0" w:type="auto"/>
            <w:tcBorders>
              <w:top w:val="nil"/>
              <w:left w:val="nil"/>
              <w:bottom w:val="single" w:sz="6" w:space="0" w:color="000000"/>
              <w:right w:val="nil"/>
              <w:tl2br w:val="nil"/>
              <w:tr2bl w:val="nil"/>
            </w:tcBorders>
            <w:shd w:val="clear" w:color="auto" w:fill="FFFFFF"/>
            <w:tcMar>
              <w:left w:w="101" w:type="dxa"/>
              <w:right w:w="101" w:type="dxa"/>
            </w:tcMar>
            <w:vAlign w:val="bottom"/>
          </w:tcPr>
          <w:p w14:paraId="1619F2AC" w14:textId="77777777" w:rsidR="003F0EEA" w:rsidRPr="00782CC6" w:rsidRDefault="00FB7D0B">
            <w:pPr>
              <w:jc w:val="right"/>
              <w:rPr>
                <w:rFonts w:ascii="Arial" w:eastAsia="Arial" w:hAnsi="Arial" w:cs="Arial"/>
                <w:color w:val="000000"/>
                <w:sz w:val="16"/>
              </w:rPr>
            </w:pPr>
            <w:r w:rsidRPr="00782CC6">
              <w:rPr>
                <w:rFonts w:ascii="Arial" w:eastAsia="Arial" w:hAnsi="Arial" w:cs="Arial"/>
                <w:color w:val="000000"/>
                <w:sz w:val="16"/>
              </w:rPr>
              <w:t>year 2</w:t>
            </w:r>
          </w:p>
        </w:tc>
        <w:tc>
          <w:tcPr>
            <w:tcW w:w="0" w:type="auto"/>
            <w:tcBorders>
              <w:top w:val="nil"/>
              <w:left w:val="nil"/>
              <w:bottom w:val="single" w:sz="6" w:space="0" w:color="000000"/>
              <w:right w:val="single" w:sz="6" w:space="0" w:color="000000"/>
              <w:tl2br w:val="nil"/>
              <w:tr2bl w:val="nil"/>
            </w:tcBorders>
            <w:shd w:val="clear" w:color="auto" w:fill="FFFFFF"/>
            <w:tcMar>
              <w:left w:w="101" w:type="dxa"/>
              <w:right w:w="101" w:type="dxa"/>
            </w:tcMar>
            <w:vAlign w:val="bottom"/>
          </w:tcPr>
          <w:p w14:paraId="7C7F5BA4" w14:textId="77777777" w:rsidR="003F0EEA" w:rsidRPr="00782CC6" w:rsidRDefault="00FB7D0B">
            <w:pPr>
              <w:jc w:val="right"/>
              <w:rPr>
                <w:rFonts w:ascii="Arial" w:eastAsia="Arial" w:hAnsi="Arial" w:cs="Arial"/>
                <w:color w:val="000000"/>
                <w:sz w:val="16"/>
              </w:rPr>
            </w:pPr>
            <w:r w:rsidRPr="00782CC6">
              <w:rPr>
                <w:rFonts w:ascii="Arial" w:eastAsia="Arial" w:hAnsi="Arial" w:cs="Arial"/>
                <w:color w:val="000000"/>
                <w:sz w:val="16"/>
              </w:rPr>
              <w:t>year 3</w:t>
            </w:r>
          </w:p>
        </w:tc>
      </w:tr>
      <w:tr w:rsidR="00FB7D0B" w14:paraId="2BD34EE2" w14:textId="77777777" w:rsidTr="00FB7D0B">
        <w:tblPrEx>
          <w:tblLook w:val="04A0" w:firstRow="1" w:lastRow="0" w:firstColumn="1" w:lastColumn="0" w:noHBand="0" w:noVBand="1"/>
        </w:tblPrEx>
        <w:trPr>
          <w:trHeight w:val="225"/>
        </w:trPr>
        <w:tc>
          <w:tcPr>
            <w:tcW w:w="0" w:type="auto"/>
            <w:gridSpan w:val="3"/>
            <w:tcBorders>
              <w:top w:val="nil"/>
              <w:left w:val="single" w:sz="6" w:space="0" w:color="000000"/>
              <w:bottom w:val="nil"/>
              <w:right w:val="nil"/>
              <w:tl2br w:val="nil"/>
              <w:tr2bl w:val="nil"/>
            </w:tcBorders>
            <w:shd w:val="clear" w:color="auto" w:fill="FFFFFF"/>
            <w:tcMar>
              <w:left w:w="101" w:type="dxa"/>
              <w:right w:w="101" w:type="dxa"/>
            </w:tcMar>
            <w:vAlign w:val="bottom"/>
          </w:tcPr>
          <w:p w14:paraId="34A8BD3C" w14:textId="77777777" w:rsidR="003F0EEA" w:rsidRPr="00782CC6" w:rsidRDefault="00FB7D0B">
            <w:pPr>
              <w:rPr>
                <w:rFonts w:ascii="Arial" w:eastAsia="Arial" w:hAnsi="Arial" w:cs="Arial"/>
                <w:color w:val="000000"/>
                <w:sz w:val="16"/>
              </w:rPr>
            </w:pPr>
            <w:r w:rsidRPr="00782CC6">
              <w:rPr>
                <w:rFonts w:ascii="Arial" w:eastAsia="Arial" w:hAnsi="Arial" w:cs="Arial"/>
                <w:color w:val="000000"/>
                <w:sz w:val="16"/>
              </w:rPr>
              <w:t>Special Appropriations:</w:t>
            </w:r>
          </w:p>
        </w:tc>
        <w:tc>
          <w:tcPr>
            <w:tcW w:w="0" w:type="auto"/>
            <w:tcBorders>
              <w:top w:val="nil"/>
              <w:left w:val="nil"/>
              <w:bottom w:val="nil"/>
              <w:right w:val="nil"/>
              <w:tl2br w:val="nil"/>
              <w:tr2bl w:val="nil"/>
            </w:tcBorders>
            <w:shd w:val="clear" w:color="auto" w:fill="FFFFFF"/>
            <w:tcMar>
              <w:left w:w="101" w:type="dxa"/>
              <w:right w:w="101" w:type="dxa"/>
            </w:tcMar>
            <w:vAlign w:val="bottom"/>
          </w:tcPr>
          <w:p w14:paraId="487078C5" w14:textId="77777777" w:rsidR="003F0EEA" w:rsidRPr="00782CC6" w:rsidRDefault="003F0EEA">
            <w:pPr>
              <w:rPr>
                <w:rFonts w:ascii="Arial" w:eastAsia="Arial" w:hAnsi="Arial" w:cs="Arial"/>
                <w:color w:val="000000"/>
                <w:sz w:val="16"/>
                <w:vertAlign w:val="superscript"/>
              </w:rPr>
            </w:pPr>
          </w:p>
        </w:tc>
        <w:tc>
          <w:tcPr>
            <w:tcW w:w="0" w:type="auto"/>
            <w:tcBorders>
              <w:top w:val="nil"/>
              <w:left w:val="nil"/>
              <w:bottom w:val="nil"/>
              <w:right w:val="nil"/>
              <w:tl2br w:val="nil"/>
              <w:tr2bl w:val="nil"/>
            </w:tcBorders>
            <w:shd w:val="clear" w:color="auto" w:fill="FFFF00"/>
            <w:tcMar>
              <w:left w:w="101" w:type="dxa"/>
              <w:right w:w="101" w:type="dxa"/>
            </w:tcMar>
            <w:vAlign w:val="bottom"/>
          </w:tcPr>
          <w:p w14:paraId="1DD5EC78" w14:textId="77777777" w:rsidR="003F0EEA" w:rsidRPr="00782CC6" w:rsidRDefault="003F0EEA">
            <w:pPr>
              <w:jc w:val="right"/>
              <w:rPr>
                <w:rFonts w:ascii="Arial" w:eastAsia="Arial" w:hAnsi="Arial" w:cs="Arial"/>
                <w:color w:val="000000"/>
                <w:sz w:val="16"/>
                <w:vertAlign w:val="superscript"/>
              </w:rPr>
            </w:pPr>
          </w:p>
        </w:tc>
        <w:tc>
          <w:tcPr>
            <w:tcW w:w="0" w:type="auto"/>
            <w:tcBorders>
              <w:top w:val="nil"/>
              <w:left w:val="nil"/>
              <w:bottom w:val="nil"/>
              <w:right w:val="nil"/>
              <w:tl2br w:val="nil"/>
              <w:tr2bl w:val="nil"/>
            </w:tcBorders>
            <w:shd w:val="clear" w:color="auto" w:fill="FFFFFF"/>
            <w:tcMar>
              <w:left w:w="101" w:type="dxa"/>
              <w:right w:w="101" w:type="dxa"/>
            </w:tcMar>
            <w:vAlign w:val="bottom"/>
          </w:tcPr>
          <w:p w14:paraId="32DD7556" w14:textId="77777777" w:rsidR="003F0EEA" w:rsidRPr="00782CC6" w:rsidRDefault="003F0EEA">
            <w:pPr>
              <w:jc w:val="right"/>
              <w:rPr>
                <w:rFonts w:ascii="Arial" w:eastAsia="Arial" w:hAnsi="Arial" w:cs="Arial"/>
                <w:color w:val="000000"/>
                <w:sz w:val="16"/>
                <w:vertAlign w:val="superscript"/>
              </w:rPr>
            </w:pPr>
          </w:p>
        </w:tc>
        <w:tc>
          <w:tcPr>
            <w:tcW w:w="0" w:type="auto"/>
            <w:tcBorders>
              <w:top w:val="nil"/>
              <w:left w:val="nil"/>
              <w:bottom w:val="nil"/>
              <w:right w:val="nil"/>
              <w:tl2br w:val="nil"/>
              <w:tr2bl w:val="nil"/>
            </w:tcBorders>
            <w:shd w:val="clear" w:color="auto" w:fill="FFFFFF"/>
            <w:tcMar>
              <w:left w:w="101" w:type="dxa"/>
              <w:right w:w="101" w:type="dxa"/>
            </w:tcMar>
            <w:vAlign w:val="bottom"/>
          </w:tcPr>
          <w:p w14:paraId="74EB317E" w14:textId="77777777" w:rsidR="003F0EEA" w:rsidRPr="00782CC6" w:rsidRDefault="003F0EEA">
            <w:pPr>
              <w:jc w:val="right"/>
              <w:rPr>
                <w:rFonts w:ascii="Arial" w:eastAsia="Arial" w:hAnsi="Arial" w:cs="Arial"/>
                <w:color w:val="000000"/>
                <w:sz w:val="16"/>
                <w:vertAlign w:val="superscript"/>
              </w:rPr>
            </w:pPr>
          </w:p>
        </w:tc>
        <w:tc>
          <w:tcPr>
            <w:tcW w:w="0" w:type="auto"/>
            <w:tcBorders>
              <w:top w:val="nil"/>
              <w:left w:val="nil"/>
              <w:bottom w:val="nil"/>
              <w:right w:val="single" w:sz="6" w:space="0" w:color="000000"/>
              <w:tl2br w:val="nil"/>
              <w:tr2bl w:val="nil"/>
            </w:tcBorders>
            <w:shd w:val="clear" w:color="auto" w:fill="FFFFFF"/>
            <w:tcMar>
              <w:left w:w="101" w:type="dxa"/>
              <w:right w:w="101" w:type="dxa"/>
            </w:tcMar>
            <w:vAlign w:val="bottom"/>
          </w:tcPr>
          <w:p w14:paraId="7DD69306" w14:textId="77777777" w:rsidR="003F0EEA" w:rsidRPr="00782CC6" w:rsidRDefault="003F0EEA">
            <w:pPr>
              <w:jc w:val="right"/>
              <w:rPr>
                <w:rFonts w:ascii="Arial" w:eastAsia="Arial" w:hAnsi="Arial" w:cs="Arial"/>
                <w:color w:val="000000"/>
                <w:sz w:val="16"/>
                <w:vertAlign w:val="superscript"/>
              </w:rPr>
            </w:pPr>
          </w:p>
        </w:tc>
      </w:tr>
      <w:tr w:rsidR="00FB7D0B" w14:paraId="34D8BA66" w14:textId="77777777" w:rsidTr="00FB7D0B">
        <w:tblPrEx>
          <w:tblLook w:val="04A0" w:firstRow="1" w:lastRow="0" w:firstColumn="1" w:lastColumn="0" w:noHBand="0" w:noVBand="1"/>
        </w:tblPrEx>
        <w:trPr>
          <w:trHeight w:val="225"/>
        </w:trPr>
        <w:tc>
          <w:tcPr>
            <w:tcW w:w="0" w:type="auto"/>
            <w:tcBorders>
              <w:top w:val="single" w:sz="6" w:space="0" w:color="FFFFFF"/>
              <w:left w:val="single" w:sz="6" w:space="0" w:color="000000"/>
              <w:bottom w:val="nil"/>
              <w:right w:val="nil"/>
              <w:tl2br w:val="nil"/>
              <w:tr2bl w:val="nil"/>
            </w:tcBorders>
            <w:shd w:val="clear" w:color="auto" w:fill="FFFFFF"/>
            <w:tcMar>
              <w:left w:w="101" w:type="dxa"/>
              <w:right w:w="101" w:type="dxa"/>
            </w:tcMar>
            <w:vAlign w:val="bottom"/>
          </w:tcPr>
          <w:p w14:paraId="6485F7C3" w14:textId="77777777" w:rsidR="003F0EEA" w:rsidRPr="00782CC6" w:rsidRDefault="003F0EEA">
            <w:pPr>
              <w:rPr>
                <w:rFonts w:ascii="Arial" w:eastAsia="Arial" w:hAnsi="Arial" w:cs="Arial"/>
                <w:color w:val="000000"/>
                <w:sz w:val="16"/>
                <w:vertAlign w:val="superscript"/>
              </w:rPr>
            </w:pPr>
          </w:p>
        </w:tc>
        <w:tc>
          <w:tcPr>
            <w:tcW w:w="0" w:type="auto"/>
            <w:gridSpan w:val="2"/>
            <w:tcBorders>
              <w:top w:val="single" w:sz="6" w:space="0" w:color="FFFFFF"/>
              <w:left w:val="nil"/>
              <w:bottom w:val="nil"/>
              <w:right w:val="nil"/>
              <w:tl2br w:val="nil"/>
              <w:tr2bl w:val="nil"/>
            </w:tcBorders>
            <w:shd w:val="clear" w:color="auto" w:fill="FFFFFF"/>
            <w:tcMar>
              <w:left w:w="101" w:type="dxa"/>
              <w:right w:w="101" w:type="dxa"/>
            </w:tcMar>
            <w:vAlign w:val="bottom"/>
          </w:tcPr>
          <w:p w14:paraId="027ECE82" w14:textId="77777777" w:rsidR="003F0EEA" w:rsidRPr="00782CC6" w:rsidRDefault="00FB7D0B">
            <w:pPr>
              <w:rPr>
                <w:rFonts w:ascii="Arial" w:eastAsia="Arial" w:hAnsi="Arial" w:cs="Arial"/>
                <w:color w:val="000000"/>
                <w:sz w:val="16"/>
                <w:vertAlign w:val="superscript"/>
              </w:rPr>
            </w:pPr>
            <w:r w:rsidRPr="00782CC6">
              <w:rPr>
                <w:rFonts w:ascii="Arial" w:eastAsia="Arial" w:hAnsi="Arial" w:cs="Arial"/>
                <w:i/>
                <w:color w:val="000000"/>
                <w:sz w:val="16"/>
              </w:rPr>
              <w:t>Veterans' Entitlements Act 1986 (VEA)</w:t>
            </w:r>
          </w:p>
        </w:tc>
        <w:tc>
          <w:tcPr>
            <w:tcW w:w="0" w:type="auto"/>
            <w:tcBorders>
              <w:top w:val="nil"/>
              <w:left w:val="nil"/>
              <w:bottom w:val="nil"/>
              <w:right w:val="nil"/>
              <w:tl2br w:val="nil"/>
              <w:tr2bl w:val="nil"/>
            </w:tcBorders>
            <w:shd w:val="clear" w:color="auto" w:fill="FFFFFF"/>
            <w:tcMar>
              <w:left w:w="101" w:type="dxa"/>
              <w:right w:w="101" w:type="dxa"/>
            </w:tcMar>
            <w:vAlign w:val="bottom"/>
          </w:tcPr>
          <w:p w14:paraId="55C4FC76" w14:textId="77777777" w:rsidR="003F0EEA" w:rsidRPr="00782CC6" w:rsidRDefault="003F0EEA">
            <w:pPr>
              <w:rPr>
                <w:rFonts w:ascii="Arial" w:eastAsia="Arial" w:hAnsi="Arial" w:cs="Arial"/>
                <w:i/>
                <w:color w:val="000000"/>
                <w:sz w:val="16"/>
                <w:vertAlign w:val="superscript"/>
              </w:rPr>
            </w:pPr>
          </w:p>
        </w:tc>
        <w:tc>
          <w:tcPr>
            <w:tcW w:w="0" w:type="auto"/>
            <w:tcBorders>
              <w:top w:val="nil"/>
              <w:left w:val="nil"/>
              <w:bottom w:val="nil"/>
              <w:right w:val="nil"/>
              <w:tl2br w:val="nil"/>
              <w:tr2bl w:val="nil"/>
            </w:tcBorders>
            <w:shd w:val="clear" w:color="auto" w:fill="FFFF00"/>
            <w:tcMar>
              <w:left w:w="101" w:type="dxa"/>
              <w:right w:w="101" w:type="dxa"/>
            </w:tcMar>
            <w:vAlign w:val="bottom"/>
          </w:tcPr>
          <w:p w14:paraId="01160D4B" w14:textId="77777777" w:rsidR="003F0EEA" w:rsidRPr="00782CC6" w:rsidRDefault="003F0EEA">
            <w:pPr>
              <w:jc w:val="right"/>
              <w:rPr>
                <w:rFonts w:ascii="Arial" w:eastAsia="Arial" w:hAnsi="Arial" w:cs="Arial"/>
                <w:color w:val="000000"/>
                <w:sz w:val="16"/>
                <w:vertAlign w:val="superscript"/>
              </w:rPr>
            </w:pPr>
          </w:p>
        </w:tc>
        <w:tc>
          <w:tcPr>
            <w:tcW w:w="0" w:type="auto"/>
            <w:tcBorders>
              <w:top w:val="nil"/>
              <w:left w:val="nil"/>
              <w:bottom w:val="nil"/>
              <w:right w:val="nil"/>
              <w:tl2br w:val="nil"/>
              <w:tr2bl w:val="nil"/>
            </w:tcBorders>
            <w:shd w:val="clear" w:color="auto" w:fill="FFFFFF"/>
            <w:tcMar>
              <w:left w:w="101" w:type="dxa"/>
              <w:right w:w="101" w:type="dxa"/>
            </w:tcMar>
            <w:vAlign w:val="bottom"/>
          </w:tcPr>
          <w:p w14:paraId="4608B93B" w14:textId="77777777" w:rsidR="003F0EEA" w:rsidRPr="00782CC6" w:rsidRDefault="003F0EEA">
            <w:pPr>
              <w:jc w:val="right"/>
              <w:rPr>
                <w:rFonts w:ascii="Arial" w:eastAsia="Arial" w:hAnsi="Arial" w:cs="Arial"/>
                <w:color w:val="000000"/>
                <w:sz w:val="16"/>
                <w:vertAlign w:val="superscript"/>
              </w:rPr>
            </w:pPr>
          </w:p>
        </w:tc>
        <w:tc>
          <w:tcPr>
            <w:tcW w:w="0" w:type="auto"/>
            <w:tcBorders>
              <w:top w:val="nil"/>
              <w:left w:val="nil"/>
              <w:bottom w:val="nil"/>
              <w:right w:val="nil"/>
              <w:tl2br w:val="nil"/>
              <w:tr2bl w:val="nil"/>
            </w:tcBorders>
            <w:shd w:val="clear" w:color="auto" w:fill="FFFFFF"/>
            <w:tcMar>
              <w:left w:w="101" w:type="dxa"/>
              <w:right w:w="101" w:type="dxa"/>
            </w:tcMar>
            <w:vAlign w:val="bottom"/>
          </w:tcPr>
          <w:p w14:paraId="57B6F51C" w14:textId="77777777" w:rsidR="003F0EEA" w:rsidRPr="00782CC6" w:rsidRDefault="003F0EEA">
            <w:pPr>
              <w:jc w:val="right"/>
              <w:rPr>
                <w:rFonts w:ascii="Arial" w:eastAsia="Arial" w:hAnsi="Arial" w:cs="Arial"/>
                <w:color w:val="000000"/>
                <w:sz w:val="16"/>
                <w:vertAlign w:val="superscript"/>
              </w:rPr>
            </w:pPr>
          </w:p>
        </w:tc>
        <w:tc>
          <w:tcPr>
            <w:tcW w:w="0" w:type="auto"/>
            <w:tcBorders>
              <w:top w:val="nil"/>
              <w:left w:val="nil"/>
              <w:bottom w:val="nil"/>
              <w:right w:val="single" w:sz="6" w:space="0" w:color="000000"/>
              <w:tl2br w:val="nil"/>
              <w:tr2bl w:val="nil"/>
            </w:tcBorders>
            <w:shd w:val="clear" w:color="auto" w:fill="FFFFFF"/>
            <w:tcMar>
              <w:left w:w="101" w:type="dxa"/>
              <w:right w:w="101" w:type="dxa"/>
            </w:tcMar>
            <w:vAlign w:val="bottom"/>
          </w:tcPr>
          <w:p w14:paraId="20E60EF6" w14:textId="77777777" w:rsidR="003F0EEA" w:rsidRPr="00782CC6" w:rsidRDefault="003F0EEA">
            <w:pPr>
              <w:jc w:val="right"/>
              <w:rPr>
                <w:rFonts w:ascii="Arial" w:eastAsia="Arial" w:hAnsi="Arial" w:cs="Arial"/>
                <w:color w:val="000000"/>
                <w:sz w:val="16"/>
                <w:vertAlign w:val="superscript"/>
              </w:rPr>
            </w:pPr>
          </w:p>
        </w:tc>
      </w:tr>
      <w:tr w:rsidR="00724034" w14:paraId="0981048A" w14:textId="77777777">
        <w:tblPrEx>
          <w:tblLook w:val="04A0" w:firstRow="1" w:lastRow="0" w:firstColumn="1" w:lastColumn="0" w:noHBand="0" w:noVBand="1"/>
        </w:tblPrEx>
        <w:trPr>
          <w:trHeight w:val="225"/>
        </w:trPr>
        <w:tc>
          <w:tcPr>
            <w:tcW w:w="0" w:type="auto"/>
            <w:tcBorders>
              <w:top w:val="nil"/>
              <w:left w:val="single" w:sz="6" w:space="0" w:color="000000"/>
              <w:bottom w:val="nil"/>
              <w:right w:val="nil"/>
              <w:tl2br w:val="nil"/>
              <w:tr2bl w:val="nil"/>
            </w:tcBorders>
            <w:shd w:val="clear" w:color="auto" w:fill="FFFFFF"/>
            <w:tcMar>
              <w:left w:w="101" w:type="dxa"/>
              <w:right w:w="101" w:type="dxa"/>
            </w:tcMar>
            <w:vAlign w:val="bottom"/>
          </w:tcPr>
          <w:p w14:paraId="7973BC62" w14:textId="77777777" w:rsidR="003F0EEA" w:rsidRPr="00782CC6" w:rsidRDefault="003F0EEA">
            <w:pPr>
              <w:rPr>
                <w:rFonts w:ascii="Arial" w:eastAsia="Arial" w:hAnsi="Arial" w:cs="Arial"/>
                <w:color w:val="000000"/>
                <w:sz w:val="16"/>
                <w:vertAlign w:val="superscript"/>
              </w:rPr>
            </w:pPr>
          </w:p>
        </w:tc>
        <w:tc>
          <w:tcPr>
            <w:tcW w:w="0" w:type="auto"/>
            <w:tcBorders>
              <w:top w:val="nil"/>
              <w:left w:val="nil"/>
              <w:bottom w:val="nil"/>
              <w:right w:val="nil"/>
              <w:tl2br w:val="nil"/>
              <w:tr2bl w:val="nil"/>
            </w:tcBorders>
            <w:shd w:val="clear" w:color="auto" w:fill="FFFFFF"/>
            <w:tcMar>
              <w:left w:w="101" w:type="dxa"/>
              <w:right w:w="101" w:type="dxa"/>
            </w:tcMar>
            <w:vAlign w:val="bottom"/>
          </w:tcPr>
          <w:p w14:paraId="680EF9EE" w14:textId="77777777" w:rsidR="003F0EEA" w:rsidRPr="00782CC6" w:rsidRDefault="003F0EEA">
            <w:pPr>
              <w:rPr>
                <w:rFonts w:ascii="Arial" w:eastAsia="Arial" w:hAnsi="Arial" w:cs="Arial"/>
                <w:color w:val="000000"/>
                <w:sz w:val="16"/>
                <w:vertAlign w:val="superscript"/>
              </w:rPr>
            </w:pPr>
          </w:p>
        </w:tc>
        <w:tc>
          <w:tcPr>
            <w:tcW w:w="0" w:type="auto"/>
            <w:tcBorders>
              <w:top w:val="nil"/>
              <w:left w:val="nil"/>
              <w:bottom w:val="nil"/>
              <w:right w:val="nil"/>
              <w:tl2br w:val="nil"/>
              <w:tr2bl w:val="nil"/>
            </w:tcBorders>
            <w:shd w:val="clear" w:color="auto" w:fill="FFFFFF"/>
            <w:tcMar>
              <w:left w:w="101" w:type="dxa"/>
              <w:right w:w="101" w:type="dxa"/>
            </w:tcMar>
            <w:vAlign w:val="bottom"/>
          </w:tcPr>
          <w:p w14:paraId="219702E5" w14:textId="77777777" w:rsidR="003F0EEA" w:rsidRPr="00782CC6" w:rsidRDefault="00FB7D0B">
            <w:pPr>
              <w:rPr>
                <w:rFonts w:ascii="Arial" w:eastAsia="Arial" w:hAnsi="Arial" w:cs="Arial"/>
                <w:color w:val="000000"/>
                <w:sz w:val="16"/>
                <w:vertAlign w:val="superscript"/>
              </w:rPr>
            </w:pPr>
            <w:r w:rsidRPr="00782CC6">
              <w:rPr>
                <w:rFonts w:ascii="Arial" w:eastAsia="Arial" w:hAnsi="Arial" w:cs="Arial"/>
                <w:color w:val="000000"/>
                <w:sz w:val="16"/>
              </w:rPr>
              <w:t>Public hospitals</w:t>
            </w:r>
          </w:p>
        </w:tc>
        <w:tc>
          <w:tcPr>
            <w:tcW w:w="0" w:type="auto"/>
            <w:tcBorders>
              <w:top w:val="nil"/>
              <w:left w:val="nil"/>
              <w:bottom w:val="nil"/>
              <w:right w:val="nil"/>
              <w:tl2br w:val="nil"/>
              <w:tr2bl w:val="nil"/>
            </w:tcBorders>
            <w:shd w:val="clear" w:color="auto" w:fill="FFFFFF"/>
            <w:tcMar>
              <w:left w:w="101" w:type="dxa"/>
              <w:right w:w="101" w:type="dxa"/>
            </w:tcMar>
            <w:vAlign w:val="bottom"/>
          </w:tcPr>
          <w:p w14:paraId="3956C017" w14:textId="77777777" w:rsidR="003F0EEA" w:rsidRPr="00782CC6" w:rsidRDefault="00FB7D0B">
            <w:pPr>
              <w:jc w:val="right"/>
              <w:rPr>
                <w:rFonts w:ascii="Arial" w:eastAsia="Arial" w:hAnsi="Arial" w:cs="Arial"/>
                <w:color w:val="000000"/>
                <w:sz w:val="16"/>
                <w:vertAlign w:val="superscript"/>
              </w:rPr>
            </w:pPr>
            <w:r w:rsidRPr="00782CC6">
              <w:rPr>
                <w:rFonts w:ascii="Arial" w:eastAsia="Arial" w:hAnsi="Arial" w:cs="Arial"/>
                <w:color w:val="000000"/>
                <w:sz w:val="16"/>
              </w:rPr>
              <w:t xml:space="preserve"> 768,511 </w:t>
            </w:r>
          </w:p>
        </w:tc>
        <w:tc>
          <w:tcPr>
            <w:tcW w:w="0" w:type="auto"/>
            <w:tcBorders>
              <w:top w:val="nil"/>
              <w:left w:val="nil"/>
              <w:bottom w:val="nil"/>
              <w:right w:val="nil"/>
              <w:tl2br w:val="nil"/>
              <w:tr2bl w:val="nil"/>
            </w:tcBorders>
            <w:shd w:val="clear" w:color="auto" w:fill="FFFF00"/>
            <w:tcMar>
              <w:left w:w="101" w:type="dxa"/>
              <w:right w:w="101" w:type="dxa"/>
            </w:tcMar>
            <w:vAlign w:val="bottom"/>
          </w:tcPr>
          <w:p w14:paraId="50141556" w14:textId="77777777" w:rsidR="003F0EEA" w:rsidRPr="00782CC6" w:rsidRDefault="00FB7D0B">
            <w:pPr>
              <w:jc w:val="right"/>
              <w:rPr>
                <w:rFonts w:ascii="Arial" w:eastAsia="Arial" w:hAnsi="Arial" w:cs="Arial"/>
                <w:color w:val="000000"/>
                <w:sz w:val="16"/>
              </w:rPr>
            </w:pPr>
            <w:r w:rsidRPr="00782CC6">
              <w:rPr>
                <w:rFonts w:ascii="Arial" w:eastAsia="Arial" w:hAnsi="Arial" w:cs="Arial"/>
                <w:color w:val="000000"/>
                <w:sz w:val="16"/>
              </w:rPr>
              <w:t xml:space="preserve"> 745,596 </w:t>
            </w:r>
          </w:p>
        </w:tc>
        <w:tc>
          <w:tcPr>
            <w:tcW w:w="0" w:type="auto"/>
            <w:tcBorders>
              <w:top w:val="nil"/>
              <w:left w:val="nil"/>
              <w:bottom w:val="nil"/>
              <w:right w:val="nil"/>
              <w:tl2br w:val="nil"/>
              <w:tr2bl w:val="nil"/>
            </w:tcBorders>
            <w:shd w:val="clear" w:color="auto" w:fill="FFFFFF"/>
            <w:tcMar>
              <w:left w:w="101" w:type="dxa"/>
              <w:right w:w="101" w:type="dxa"/>
            </w:tcMar>
            <w:vAlign w:val="bottom"/>
          </w:tcPr>
          <w:p w14:paraId="2D835C0F" w14:textId="77777777" w:rsidR="003F0EEA" w:rsidRPr="00782CC6" w:rsidRDefault="00FB7D0B">
            <w:pPr>
              <w:jc w:val="right"/>
              <w:rPr>
                <w:rFonts w:ascii="Arial" w:eastAsia="Arial" w:hAnsi="Arial" w:cs="Arial"/>
                <w:color w:val="000000"/>
                <w:sz w:val="16"/>
              </w:rPr>
            </w:pPr>
            <w:r w:rsidRPr="00782CC6">
              <w:rPr>
                <w:rFonts w:ascii="Arial" w:eastAsia="Arial" w:hAnsi="Arial" w:cs="Arial"/>
                <w:color w:val="000000"/>
                <w:sz w:val="16"/>
              </w:rPr>
              <w:t xml:space="preserve"> 745,665 </w:t>
            </w:r>
          </w:p>
        </w:tc>
        <w:tc>
          <w:tcPr>
            <w:tcW w:w="0" w:type="auto"/>
            <w:tcBorders>
              <w:top w:val="nil"/>
              <w:left w:val="nil"/>
              <w:bottom w:val="nil"/>
              <w:right w:val="nil"/>
              <w:tl2br w:val="nil"/>
              <w:tr2bl w:val="nil"/>
            </w:tcBorders>
            <w:shd w:val="clear" w:color="auto" w:fill="FFFFFF"/>
            <w:tcMar>
              <w:left w:w="101" w:type="dxa"/>
              <w:right w:w="101" w:type="dxa"/>
            </w:tcMar>
            <w:vAlign w:val="bottom"/>
          </w:tcPr>
          <w:p w14:paraId="236F80CB" w14:textId="77777777" w:rsidR="003F0EEA" w:rsidRPr="00782CC6" w:rsidRDefault="00FB7D0B">
            <w:pPr>
              <w:jc w:val="right"/>
              <w:rPr>
                <w:rFonts w:ascii="Arial" w:eastAsia="Arial" w:hAnsi="Arial" w:cs="Arial"/>
                <w:color w:val="000000"/>
                <w:sz w:val="16"/>
              </w:rPr>
            </w:pPr>
            <w:r w:rsidRPr="00782CC6">
              <w:rPr>
                <w:rFonts w:ascii="Arial" w:eastAsia="Arial" w:hAnsi="Arial" w:cs="Arial"/>
                <w:color w:val="000000"/>
                <w:sz w:val="16"/>
              </w:rPr>
              <w:t xml:space="preserve"> 759,484 </w:t>
            </w:r>
          </w:p>
        </w:tc>
        <w:tc>
          <w:tcPr>
            <w:tcW w:w="0" w:type="auto"/>
            <w:tcBorders>
              <w:top w:val="nil"/>
              <w:left w:val="nil"/>
              <w:bottom w:val="nil"/>
              <w:right w:val="single" w:sz="6" w:space="0" w:color="000000"/>
              <w:tl2br w:val="nil"/>
              <w:tr2bl w:val="nil"/>
            </w:tcBorders>
            <w:shd w:val="clear" w:color="auto" w:fill="FFFFFF"/>
            <w:tcMar>
              <w:left w:w="101" w:type="dxa"/>
              <w:right w:w="101" w:type="dxa"/>
            </w:tcMar>
            <w:vAlign w:val="bottom"/>
          </w:tcPr>
          <w:p w14:paraId="07ACC151" w14:textId="77777777" w:rsidR="003F0EEA" w:rsidRPr="00782CC6" w:rsidRDefault="00FB7D0B">
            <w:pPr>
              <w:jc w:val="right"/>
              <w:rPr>
                <w:rFonts w:ascii="Arial" w:eastAsia="Arial" w:hAnsi="Arial" w:cs="Arial"/>
                <w:color w:val="000000"/>
                <w:sz w:val="16"/>
              </w:rPr>
            </w:pPr>
            <w:r w:rsidRPr="00782CC6">
              <w:rPr>
                <w:rFonts w:ascii="Arial" w:eastAsia="Arial" w:hAnsi="Arial" w:cs="Arial"/>
                <w:color w:val="000000"/>
                <w:sz w:val="16"/>
              </w:rPr>
              <w:t xml:space="preserve"> 776,036 </w:t>
            </w:r>
          </w:p>
        </w:tc>
      </w:tr>
      <w:tr w:rsidR="00724034" w14:paraId="594FBD61" w14:textId="77777777">
        <w:tblPrEx>
          <w:tblLook w:val="04A0" w:firstRow="1" w:lastRow="0" w:firstColumn="1" w:lastColumn="0" w:noHBand="0" w:noVBand="1"/>
        </w:tblPrEx>
        <w:trPr>
          <w:trHeight w:val="225"/>
        </w:trPr>
        <w:tc>
          <w:tcPr>
            <w:tcW w:w="0" w:type="auto"/>
            <w:tcBorders>
              <w:top w:val="nil"/>
              <w:left w:val="single" w:sz="6" w:space="0" w:color="000000"/>
              <w:bottom w:val="nil"/>
              <w:right w:val="nil"/>
              <w:tl2br w:val="nil"/>
              <w:tr2bl w:val="nil"/>
            </w:tcBorders>
            <w:shd w:val="clear" w:color="auto" w:fill="FFFFFF"/>
            <w:tcMar>
              <w:left w:w="101" w:type="dxa"/>
              <w:right w:w="101" w:type="dxa"/>
            </w:tcMar>
            <w:vAlign w:val="bottom"/>
          </w:tcPr>
          <w:p w14:paraId="3597D9E1" w14:textId="77777777" w:rsidR="003F0EEA" w:rsidRPr="00782CC6" w:rsidRDefault="003F0EEA">
            <w:pPr>
              <w:rPr>
                <w:rFonts w:ascii="Arial" w:eastAsia="Arial" w:hAnsi="Arial" w:cs="Arial"/>
                <w:color w:val="000000"/>
                <w:sz w:val="16"/>
              </w:rPr>
            </w:pPr>
          </w:p>
        </w:tc>
        <w:tc>
          <w:tcPr>
            <w:tcW w:w="0" w:type="auto"/>
            <w:tcBorders>
              <w:top w:val="nil"/>
              <w:left w:val="nil"/>
              <w:bottom w:val="nil"/>
              <w:right w:val="nil"/>
              <w:tl2br w:val="nil"/>
              <w:tr2bl w:val="nil"/>
            </w:tcBorders>
            <w:shd w:val="clear" w:color="auto" w:fill="FFFFFF"/>
            <w:tcMar>
              <w:left w:w="101" w:type="dxa"/>
              <w:right w:w="101" w:type="dxa"/>
            </w:tcMar>
            <w:vAlign w:val="bottom"/>
          </w:tcPr>
          <w:p w14:paraId="1D8E6BF9" w14:textId="77777777" w:rsidR="003F0EEA" w:rsidRPr="00782CC6" w:rsidRDefault="003F0EEA">
            <w:pPr>
              <w:rPr>
                <w:rFonts w:ascii="Arial" w:eastAsia="Arial" w:hAnsi="Arial" w:cs="Arial"/>
                <w:color w:val="000000"/>
                <w:sz w:val="16"/>
              </w:rPr>
            </w:pPr>
          </w:p>
        </w:tc>
        <w:tc>
          <w:tcPr>
            <w:tcW w:w="0" w:type="auto"/>
            <w:tcBorders>
              <w:top w:val="nil"/>
              <w:left w:val="nil"/>
              <w:bottom w:val="nil"/>
              <w:right w:val="nil"/>
              <w:tl2br w:val="nil"/>
              <w:tr2bl w:val="nil"/>
            </w:tcBorders>
            <w:shd w:val="clear" w:color="auto" w:fill="FFFFFF"/>
            <w:tcMar>
              <w:left w:w="101" w:type="dxa"/>
              <w:right w:w="101" w:type="dxa"/>
            </w:tcMar>
            <w:vAlign w:val="bottom"/>
          </w:tcPr>
          <w:p w14:paraId="7BD1041F" w14:textId="77777777" w:rsidR="003F0EEA" w:rsidRPr="00782CC6" w:rsidRDefault="00FB7D0B">
            <w:pPr>
              <w:rPr>
                <w:rFonts w:ascii="Arial" w:eastAsia="Arial" w:hAnsi="Arial" w:cs="Arial"/>
                <w:color w:val="000000"/>
                <w:sz w:val="16"/>
              </w:rPr>
            </w:pPr>
            <w:r w:rsidRPr="00782CC6">
              <w:rPr>
                <w:rFonts w:ascii="Arial" w:eastAsia="Arial" w:hAnsi="Arial" w:cs="Arial"/>
                <w:color w:val="000000"/>
                <w:sz w:val="16"/>
              </w:rPr>
              <w:t>Private hospitals</w:t>
            </w:r>
          </w:p>
        </w:tc>
        <w:tc>
          <w:tcPr>
            <w:tcW w:w="0" w:type="auto"/>
            <w:tcBorders>
              <w:top w:val="nil"/>
              <w:left w:val="nil"/>
              <w:bottom w:val="nil"/>
              <w:right w:val="nil"/>
              <w:tl2br w:val="nil"/>
              <w:tr2bl w:val="nil"/>
            </w:tcBorders>
            <w:shd w:val="clear" w:color="auto" w:fill="FFFFFF"/>
            <w:tcMar>
              <w:left w:w="101" w:type="dxa"/>
              <w:right w:w="101" w:type="dxa"/>
            </w:tcMar>
            <w:vAlign w:val="bottom"/>
          </w:tcPr>
          <w:p w14:paraId="1C982335" w14:textId="77777777" w:rsidR="003F0EEA" w:rsidRPr="00782CC6" w:rsidRDefault="00FB7D0B">
            <w:pPr>
              <w:jc w:val="right"/>
              <w:rPr>
                <w:rFonts w:ascii="Arial" w:eastAsia="Arial" w:hAnsi="Arial" w:cs="Arial"/>
                <w:color w:val="000000"/>
                <w:sz w:val="16"/>
                <w:vertAlign w:val="superscript"/>
              </w:rPr>
            </w:pPr>
            <w:r w:rsidRPr="00782CC6">
              <w:rPr>
                <w:rFonts w:ascii="Arial" w:eastAsia="Arial" w:hAnsi="Arial" w:cs="Arial"/>
                <w:color w:val="000000"/>
                <w:sz w:val="16"/>
              </w:rPr>
              <w:t xml:space="preserve"> 874,770 </w:t>
            </w:r>
          </w:p>
        </w:tc>
        <w:tc>
          <w:tcPr>
            <w:tcW w:w="0" w:type="auto"/>
            <w:tcBorders>
              <w:top w:val="nil"/>
              <w:left w:val="nil"/>
              <w:bottom w:val="nil"/>
              <w:right w:val="nil"/>
              <w:tl2br w:val="nil"/>
              <w:tr2bl w:val="nil"/>
            </w:tcBorders>
            <w:shd w:val="clear" w:color="auto" w:fill="FFFF00"/>
            <w:tcMar>
              <w:left w:w="101" w:type="dxa"/>
              <w:right w:w="101" w:type="dxa"/>
            </w:tcMar>
            <w:vAlign w:val="bottom"/>
          </w:tcPr>
          <w:p w14:paraId="138B6B2B" w14:textId="77777777" w:rsidR="003F0EEA" w:rsidRPr="00782CC6" w:rsidRDefault="00FB7D0B">
            <w:pPr>
              <w:jc w:val="right"/>
              <w:rPr>
                <w:rFonts w:ascii="Arial" w:eastAsia="Arial" w:hAnsi="Arial" w:cs="Arial"/>
                <w:color w:val="000000"/>
                <w:sz w:val="16"/>
              </w:rPr>
            </w:pPr>
            <w:r w:rsidRPr="00782CC6">
              <w:rPr>
                <w:rFonts w:ascii="Arial" w:eastAsia="Arial" w:hAnsi="Arial" w:cs="Arial"/>
                <w:color w:val="000000"/>
                <w:sz w:val="16"/>
              </w:rPr>
              <w:t xml:space="preserve"> 862,495 </w:t>
            </w:r>
          </w:p>
        </w:tc>
        <w:tc>
          <w:tcPr>
            <w:tcW w:w="0" w:type="auto"/>
            <w:tcBorders>
              <w:top w:val="nil"/>
              <w:left w:val="nil"/>
              <w:bottom w:val="nil"/>
              <w:right w:val="nil"/>
              <w:tl2br w:val="nil"/>
              <w:tr2bl w:val="nil"/>
            </w:tcBorders>
            <w:shd w:val="clear" w:color="auto" w:fill="FFFFFF"/>
            <w:tcMar>
              <w:left w:w="101" w:type="dxa"/>
              <w:right w:w="101" w:type="dxa"/>
            </w:tcMar>
            <w:vAlign w:val="bottom"/>
          </w:tcPr>
          <w:p w14:paraId="669B0BF6" w14:textId="77777777" w:rsidR="003F0EEA" w:rsidRPr="00782CC6" w:rsidRDefault="00FB7D0B">
            <w:pPr>
              <w:jc w:val="right"/>
              <w:rPr>
                <w:rFonts w:ascii="Arial" w:eastAsia="Arial" w:hAnsi="Arial" w:cs="Arial"/>
                <w:color w:val="000000"/>
                <w:sz w:val="16"/>
              </w:rPr>
            </w:pPr>
            <w:r w:rsidRPr="00782CC6">
              <w:rPr>
                <w:rFonts w:ascii="Arial" w:eastAsia="Arial" w:hAnsi="Arial" w:cs="Arial"/>
                <w:color w:val="000000"/>
                <w:sz w:val="16"/>
              </w:rPr>
              <w:t xml:space="preserve"> 848,724 </w:t>
            </w:r>
          </w:p>
        </w:tc>
        <w:tc>
          <w:tcPr>
            <w:tcW w:w="0" w:type="auto"/>
            <w:tcBorders>
              <w:top w:val="nil"/>
              <w:left w:val="nil"/>
              <w:bottom w:val="nil"/>
              <w:right w:val="nil"/>
              <w:tl2br w:val="nil"/>
              <w:tr2bl w:val="nil"/>
            </w:tcBorders>
            <w:shd w:val="clear" w:color="auto" w:fill="FFFFFF"/>
            <w:tcMar>
              <w:left w:w="101" w:type="dxa"/>
              <w:right w:w="101" w:type="dxa"/>
            </w:tcMar>
            <w:vAlign w:val="bottom"/>
          </w:tcPr>
          <w:p w14:paraId="6526D72C" w14:textId="77777777" w:rsidR="003F0EEA" w:rsidRPr="00782CC6" w:rsidRDefault="00FB7D0B">
            <w:pPr>
              <w:jc w:val="right"/>
              <w:rPr>
                <w:rFonts w:ascii="Arial" w:eastAsia="Arial" w:hAnsi="Arial" w:cs="Arial"/>
                <w:color w:val="000000"/>
                <w:sz w:val="16"/>
              </w:rPr>
            </w:pPr>
            <w:r w:rsidRPr="00782CC6">
              <w:rPr>
                <w:rFonts w:ascii="Arial" w:eastAsia="Arial" w:hAnsi="Arial" w:cs="Arial"/>
                <w:color w:val="000000"/>
                <w:sz w:val="16"/>
              </w:rPr>
              <w:t xml:space="preserve"> 835,993 </w:t>
            </w:r>
          </w:p>
        </w:tc>
        <w:tc>
          <w:tcPr>
            <w:tcW w:w="0" w:type="auto"/>
            <w:tcBorders>
              <w:top w:val="nil"/>
              <w:left w:val="nil"/>
              <w:bottom w:val="nil"/>
              <w:right w:val="single" w:sz="6" w:space="0" w:color="000000"/>
              <w:tl2br w:val="nil"/>
              <w:tr2bl w:val="nil"/>
            </w:tcBorders>
            <w:shd w:val="clear" w:color="auto" w:fill="FFFFFF"/>
            <w:tcMar>
              <w:left w:w="101" w:type="dxa"/>
              <w:right w:w="101" w:type="dxa"/>
            </w:tcMar>
            <w:vAlign w:val="bottom"/>
          </w:tcPr>
          <w:p w14:paraId="1E19A806" w14:textId="77777777" w:rsidR="003F0EEA" w:rsidRPr="00782CC6" w:rsidRDefault="00FB7D0B">
            <w:pPr>
              <w:jc w:val="right"/>
              <w:rPr>
                <w:rFonts w:ascii="Arial" w:eastAsia="Arial" w:hAnsi="Arial" w:cs="Arial"/>
                <w:color w:val="000000"/>
                <w:sz w:val="16"/>
              </w:rPr>
            </w:pPr>
            <w:r w:rsidRPr="00782CC6">
              <w:rPr>
                <w:rFonts w:ascii="Arial" w:eastAsia="Arial" w:hAnsi="Arial" w:cs="Arial"/>
                <w:color w:val="000000"/>
                <w:sz w:val="16"/>
              </w:rPr>
              <w:t xml:space="preserve"> 838,276 </w:t>
            </w:r>
          </w:p>
        </w:tc>
      </w:tr>
      <w:tr w:rsidR="00724034" w14:paraId="7DE18BAE" w14:textId="77777777">
        <w:tblPrEx>
          <w:tblLook w:val="04A0" w:firstRow="1" w:lastRow="0" w:firstColumn="1" w:lastColumn="0" w:noHBand="0" w:noVBand="1"/>
        </w:tblPrEx>
        <w:trPr>
          <w:trHeight w:val="225"/>
        </w:trPr>
        <w:tc>
          <w:tcPr>
            <w:tcW w:w="0" w:type="auto"/>
            <w:tcBorders>
              <w:top w:val="nil"/>
              <w:left w:val="single" w:sz="6" w:space="0" w:color="000000"/>
              <w:bottom w:val="nil"/>
              <w:right w:val="nil"/>
              <w:tl2br w:val="nil"/>
              <w:tr2bl w:val="nil"/>
            </w:tcBorders>
            <w:shd w:val="clear" w:color="auto" w:fill="FFFFFF"/>
            <w:tcMar>
              <w:left w:w="101" w:type="dxa"/>
              <w:right w:w="101" w:type="dxa"/>
            </w:tcMar>
            <w:vAlign w:val="bottom"/>
          </w:tcPr>
          <w:p w14:paraId="63210BDA" w14:textId="77777777" w:rsidR="003F0EEA" w:rsidRPr="00782CC6" w:rsidRDefault="003F0EEA">
            <w:pPr>
              <w:rPr>
                <w:rFonts w:ascii="Arial" w:eastAsia="Arial" w:hAnsi="Arial" w:cs="Arial"/>
                <w:color w:val="000000"/>
                <w:sz w:val="16"/>
              </w:rPr>
            </w:pPr>
          </w:p>
        </w:tc>
        <w:tc>
          <w:tcPr>
            <w:tcW w:w="0" w:type="auto"/>
            <w:tcBorders>
              <w:top w:val="nil"/>
              <w:left w:val="nil"/>
              <w:bottom w:val="nil"/>
              <w:right w:val="nil"/>
              <w:tl2br w:val="nil"/>
              <w:tr2bl w:val="nil"/>
            </w:tcBorders>
            <w:shd w:val="clear" w:color="auto" w:fill="FFFFFF"/>
            <w:tcMar>
              <w:left w:w="101" w:type="dxa"/>
              <w:right w:w="101" w:type="dxa"/>
            </w:tcMar>
            <w:vAlign w:val="bottom"/>
          </w:tcPr>
          <w:p w14:paraId="05D08D54" w14:textId="77777777" w:rsidR="003F0EEA" w:rsidRPr="00782CC6" w:rsidRDefault="003F0EEA">
            <w:pPr>
              <w:rPr>
                <w:rFonts w:ascii="Arial" w:eastAsia="Arial" w:hAnsi="Arial" w:cs="Arial"/>
                <w:color w:val="000000"/>
                <w:sz w:val="16"/>
              </w:rPr>
            </w:pPr>
          </w:p>
        </w:tc>
        <w:tc>
          <w:tcPr>
            <w:tcW w:w="0" w:type="auto"/>
            <w:tcBorders>
              <w:top w:val="nil"/>
              <w:left w:val="nil"/>
              <w:bottom w:val="nil"/>
              <w:right w:val="nil"/>
              <w:tl2br w:val="nil"/>
              <w:tr2bl w:val="nil"/>
            </w:tcBorders>
            <w:shd w:val="clear" w:color="auto" w:fill="FFFFFF"/>
            <w:tcMar>
              <w:left w:w="101" w:type="dxa"/>
              <w:right w:w="101" w:type="dxa"/>
            </w:tcMar>
            <w:vAlign w:val="bottom"/>
          </w:tcPr>
          <w:p w14:paraId="2CCA8EE8" w14:textId="77777777" w:rsidR="003F0EEA" w:rsidRPr="00782CC6" w:rsidRDefault="00FB7D0B">
            <w:pPr>
              <w:rPr>
                <w:rFonts w:ascii="Arial" w:eastAsia="Arial" w:hAnsi="Arial" w:cs="Arial"/>
                <w:color w:val="000000"/>
                <w:sz w:val="16"/>
              </w:rPr>
            </w:pPr>
            <w:r w:rsidRPr="00782CC6">
              <w:rPr>
                <w:rFonts w:ascii="Arial" w:eastAsia="Arial" w:hAnsi="Arial" w:cs="Arial"/>
                <w:color w:val="000000"/>
                <w:sz w:val="16"/>
              </w:rPr>
              <w:t>Psych</w:t>
            </w:r>
          </w:p>
        </w:tc>
        <w:tc>
          <w:tcPr>
            <w:tcW w:w="0" w:type="auto"/>
            <w:tcBorders>
              <w:top w:val="nil"/>
              <w:left w:val="nil"/>
              <w:bottom w:val="nil"/>
              <w:right w:val="nil"/>
              <w:tl2br w:val="nil"/>
              <w:tr2bl w:val="nil"/>
            </w:tcBorders>
            <w:shd w:val="clear" w:color="auto" w:fill="FFFFFF"/>
            <w:tcMar>
              <w:left w:w="101" w:type="dxa"/>
              <w:right w:w="101" w:type="dxa"/>
            </w:tcMar>
            <w:vAlign w:val="bottom"/>
          </w:tcPr>
          <w:p w14:paraId="71D92761" w14:textId="77777777" w:rsidR="003F0EEA" w:rsidRPr="00782CC6" w:rsidRDefault="00FB7D0B">
            <w:pPr>
              <w:jc w:val="right"/>
              <w:rPr>
                <w:rFonts w:ascii="Arial" w:eastAsia="Arial" w:hAnsi="Arial" w:cs="Arial"/>
                <w:color w:val="000000"/>
                <w:sz w:val="16"/>
                <w:vertAlign w:val="superscript"/>
              </w:rPr>
            </w:pPr>
            <w:r w:rsidRPr="00782CC6">
              <w:rPr>
                <w:rFonts w:ascii="Arial" w:eastAsia="Arial" w:hAnsi="Arial" w:cs="Arial"/>
                <w:color w:val="000000"/>
                <w:sz w:val="16"/>
              </w:rPr>
              <w:t xml:space="preserve"> 1 </w:t>
            </w:r>
          </w:p>
        </w:tc>
        <w:tc>
          <w:tcPr>
            <w:tcW w:w="0" w:type="auto"/>
            <w:tcBorders>
              <w:top w:val="nil"/>
              <w:left w:val="nil"/>
              <w:bottom w:val="nil"/>
              <w:right w:val="nil"/>
              <w:tl2br w:val="nil"/>
              <w:tr2bl w:val="nil"/>
            </w:tcBorders>
            <w:shd w:val="clear" w:color="auto" w:fill="FFFF00"/>
            <w:tcMar>
              <w:left w:w="101" w:type="dxa"/>
              <w:right w:w="101" w:type="dxa"/>
            </w:tcMar>
            <w:vAlign w:val="bottom"/>
          </w:tcPr>
          <w:p w14:paraId="32C8B0EC" w14:textId="77777777" w:rsidR="003F0EEA" w:rsidRPr="00782CC6" w:rsidRDefault="00FB7D0B">
            <w:pPr>
              <w:jc w:val="right"/>
              <w:rPr>
                <w:rFonts w:ascii="Arial" w:eastAsia="Arial" w:hAnsi="Arial" w:cs="Arial"/>
                <w:color w:val="000000"/>
                <w:sz w:val="16"/>
              </w:rPr>
            </w:pPr>
            <w:r w:rsidRPr="00782CC6">
              <w:rPr>
                <w:rFonts w:ascii="Arial" w:eastAsia="Arial" w:hAnsi="Arial" w:cs="Arial"/>
                <w:color w:val="000000"/>
                <w:sz w:val="16"/>
              </w:rPr>
              <w:t xml:space="preserve"> 1 </w:t>
            </w:r>
          </w:p>
        </w:tc>
        <w:tc>
          <w:tcPr>
            <w:tcW w:w="0" w:type="auto"/>
            <w:tcBorders>
              <w:top w:val="nil"/>
              <w:left w:val="nil"/>
              <w:bottom w:val="nil"/>
              <w:right w:val="nil"/>
              <w:tl2br w:val="nil"/>
              <w:tr2bl w:val="nil"/>
            </w:tcBorders>
            <w:shd w:val="clear" w:color="auto" w:fill="FFFFFF"/>
            <w:tcMar>
              <w:left w:w="101" w:type="dxa"/>
              <w:right w:w="101" w:type="dxa"/>
            </w:tcMar>
            <w:vAlign w:val="bottom"/>
          </w:tcPr>
          <w:p w14:paraId="58380ACD" w14:textId="77777777" w:rsidR="003F0EEA" w:rsidRPr="00782CC6" w:rsidRDefault="00FB7D0B">
            <w:pPr>
              <w:jc w:val="right"/>
              <w:rPr>
                <w:rFonts w:ascii="Arial" w:eastAsia="Arial" w:hAnsi="Arial" w:cs="Arial"/>
                <w:color w:val="000000"/>
                <w:sz w:val="16"/>
              </w:rPr>
            </w:pPr>
            <w:r w:rsidRPr="00782CC6">
              <w:rPr>
                <w:rFonts w:ascii="Arial" w:eastAsia="Arial" w:hAnsi="Arial" w:cs="Arial"/>
                <w:color w:val="000000"/>
                <w:sz w:val="16"/>
              </w:rPr>
              <w:t xml:space="preserve"> 1 </w:t>
            </w:r>
          </w:p>
        </w:tc>
        <w:tc>
          <w:tcPr>
            <w:tcW w:w="0" w:type="auto"/>
            <w:tcBorders>
              <w:top w:val="nil"/>
              <w:left w:val="nil"/>
              <w:bottom w:val="nil"/>
              <w:right w:val="nil"/>
              <w:tl2br w:val="nil"/>
              <w:tr2bl w:val="nil"/>
            </w:tcBorders>
            <w:shd w:val="clear" w:color="auto" w:fill="FFFFFF"/>
            <w:tcMar>
              <w:left w:w="101" w:type="dxa"/>
              <w:right w:w="101" w:type="dxa"/>
            </w:tcMar>
            <w:vAlign w:val="bottom"/>
          </w:tcPr>
          <w:p w14:paraId="790335BB" w14:textId="77777777" w:rsidR="003F0EEA" w:rsidRPr="00782CC6" w:rsidRDefault="00FB7D0B">
            <w:pPr>
              <w:jc w:val="right"/>
              <w:rPr>
                <w:rFonts w:ascii="Arial" w:eastAsia="Arial" w:hAnsi="Arial" w:cs="Arial"/>
                <w:color w:val="000000"/>
                <w:sz w:val="16"/>
              </w:rPr>
            </w:pPr>
            <w:r w:rsidRPr="00782CC6">
              <w:rPr>
                <w:rFonts w:ascii="Arial" w:eastAsia="Arial" w:hAnsi="Arial" w:cs="Arial"/>
                <w:color w:val="000000"/>
                <w:sz w:val="16"/>
              </w:rPr>
              <w:t xml:space="preserve"> 1 </w:t>
            </w:r>
          </w:p>
        </w:tc>
        <w:tc>
          <w:tcPr>
            <w:tcW w:w="0" w:type="auto"/>
            <w:tcBorders>
              <w:top w:val="nil"/>
              <w:left w:val="nil"/>
              <w:bottom w:val="nil"/>
              <w:right w:val="single" w:sz="6" w:space="0" w:color="000000"/>
              <w:tl2br w:val="nil"/>
              <w:tr2bl w:val="nil"/>
            </w:tcBorders>
            <w:shd w:val="clear" w:color="auto" w:fill="FFFFFF"/>
            <w:tcMar>
              <w:left w:w="101" w:type="dxa"/>
              <w:right w:w="101" w:type="dxa"/>
            </w:tcMar>
            <w:vAlign w:val="bottom"/>
          </w:tcPr>
          <w:p w14:paraId="0B315048" w14:textId="77777777" w:rsidR="003F0EEA" w:rsidRPr="00782CC6" w:rsidRDefault="00FB7D0B">
            <w:pPr>
              <w:jc w:val="right"/>
              <w:rPr>
                <w:rFonts w:ascii="Arial" w:eastAsia="Arial" w:hAnsi="Arial" w:cs="Arial"/>
                <w:color w:val="000000"/>
                <w:sz w:val="16"/>
              </w:rPr>
            </w:pPr>
            <w:r w:rsidRPr="00782CC6">
              <w:rPr>
                <w:rFonts w:ascii="Arial" w:eastAsia="Arial" w:hAnsi="Arial" w:cs="Arial"/>
                <w:color w:val="000000"/>
                <w:sz w:val="16"/>
              </w:rPr>
              <w:t xml:space="preserve"> 1 </w:t>
            </w:r>
          </w:p>
        </w:tc>
      </w:tr>
      <w:tr w:rsidR="00724034" w14:paraId="08BC8FC2" w14:textId="77777777">
        <w:tblPrEx>
          <w:tblLook w:val="04A0" w:firstRow="1" w:lastRow="0" w:firstColumn="1" w:lastColumn="0" w:noHBand="0" w:noVBand="1"/>
        </w:tblPrEx>
        <w:trPr>
          <w:trHeight w:val="225"/>
        </w:trPr>
        <w:tc>
          <w:tcPr>
            <w:tcW w:w="0" w:type="auto"/>
            <w:tcBorders>
              <w:top w:val="nil"/>
              <w:left w:val="single" w:sz="6" w:space="0" w:color="000000"/>
              <w:bottom w:val="nil"/>
              <w:right w:val="nil"/>
              <w:tl2br w:val="nil"/>
              <w:tr2bl w:val="nil"/>
            </w:tcBorders>
            <w:shd w:val="clear" w:color="auto" w:fill="FFFFFF"/>
            <w:tcMar>
              <w:left w:w="101" w:type="dxa"/>
              <w:right w:w="101" w:type="dxa"/>
            </w:tcMar>
            <w:vAlign w:val="bottom"/>
          </w:tcPr>
          <w:p w14:paraId="50B894E3" w14:textId="77777777" w:rsidR="003F0EEA" w:rsidRPr="00782CC6" w:rsidRDefault="003F0EEA">
            <w:pPr>
              <w:rPr>
                <w:rFonts w:ascii="Arial" w:eastAsia="Arial" w:hAnsi="Arial" w:cs="Arial"/>
                <w:color w:val="000000"/>
                <w:sz w:val="16"/>
              </w:rPr>
            </w:pPr>
          </w:p>
        </w:tc>
        <w:tc>
          <w:tcPr>
            <w:tcW w:w="0" w:type="auto"/>
            <w:tcBorders>
              <w:top w:val="nil"/>
              <w:left w:val="nil"/>
              <w:bottom w:val="nil"/>
              <w:right w:val="nil"/>
              <w:tl2br w:val="nil"/>
              <w:tr2bl w:val="nil"/>
            </w:tcBorders>
            <w:shd w:val="clear" w:color="auto" w:fill="FFFFFF"/>
            <w:tcMar>
              <w:left w:w="101" w:type="dxa"/>
              <w:right w:w="101" w:type="dxa"/>
            </w:tcMar>
            <w:vAlign w:val="bottom"/>
          </w:tcPr>
          <w:p w14:paraId="543499E9" w14:textId="77777777" w:rsidR="003F0EEA" w:rsidRPr="00782CC6" w:rsidRDefault="003F0EEA">
            <w:pPr>
              <w:rPr>
                <w:rFonts w:ascii="Arial" w:eastAsia="Arial" w:hAnsi="Arial" w:cs="Arial"/>
                <w:color w:val="000000"/>
                <w:sz w:val="16"/>
              </w:rPr>
            </w:pPr>
          </w:p>
        </w:tc>
        <w:tc>
          <w:tcPr>
            <w:tcW w:w="0" w:type="auto"/>
            <w:tcBorders>
              <w:top w:val="nil"/>
              <w:left w:val="nil"/>
              <w:bottom w:val="nil"/>
              <w:right w:val="nil"/>
              <w:tl2br w:val="nil"/>
              <w:tr2bl w:val="nil"/>
            </w:tcBorders>
            <w:shd w:val="clear" w:color="auto" w:fill="FFFFFF"/>
            <w:tcMar>
              <w:left w:w="101" w:type="dxa"/>
              <w:right w:w="101" w:type="dxa"/>
            </w:tcMar>
            <w:vAlign w:val="bottom"/>
          </w:tcPr>
          <w:p w14:paraId="01016A7F" w14:textId="77777777" w:rsidR="003F0EEA" w:rsidRPr="00782CC6" w:rsidRDefault="00FB7D0B">
            <w:pPr>
              <w:rPr>
                <w:rFonts w:ascii="Arial" w:eastAsia="Arial" w:hAnsi="Arial" w:cs="Arial"/>
                <w:color w:val="000000"/>
                <w:sz w:val="16"/>
              </w:rPr>
            </w:pPr>
            <w:r w:rsidRPr="00782CC6">
              <w:rPr>
                <w:rFonts w:ascii="Arial" w:eastAsia="Arial" w:hAnsi="Arial" w:cs="Arial"/>
                <w:color w:val="000000"/>
                <w:sz w:val="16"/>
              </w:rPr>
              <w:t>Nursing homes (POW)</w:t>
            </w:r>
          </w:p>
        </w:tc>
        <w:tc>
          <w:tcPr>
            <w:tcW w:w="0" w:type="auto"/>
            <w:tcBorders>
              <w:top w:val="nil"/>
              <w:left w:val="nil"/>
              <w:bottom w:val="nil"/>
              <w:right w:val="nil"/>
              <w:tl2br w:val="nil"/>
              <w:tr2bl w:val="nil"/>
            </w:tcBorders>
            <w:shd w:val="clear" w:color="auto" w:fill="FFFFFF"/>
            <w:tcMar>
              <w:left w:w="101" w:type="dxa"/>
              <w:right w:w="101" w:type="dxa"/>
            </w:tcMar>
            <w:vAlign w:val="bottom"/>
          </w:tcPr>
          <w:p w14:paraId="2E5F3E5D" w14:textId="77777777" w:rsidR="003F0EEA" w:rsidRPr="00782CC6" w:rsidRDefault="00FB7D0B">
            <w:pPr>
              <w:jc w:val="right"/>
              <w:rPr>
                <w:rFonts w:ascii="Arial" w:eastAsia="Arial" w:hAnsi="Arial" w:cs="Arial"/>
                <w:color w:val="000000"/>
                <w:sz w:val="16"/>
                <w:vertAlign w:val="superscript"/>
              </w:rPr>
            </w:pPr>
            <w:r w:rsidRPr="00782CC6">
              <w:rPr>
                <w:rFonts w:ascii="Arial" w:eastAsia="Arial" w:hAnsi="Arial" w:cs="Arial"/>
                <w:color w:val="000000"/>
                <w:sz w:val="16"/>
              </w:rPr>
              <w:t xml:space="preserve"> 4,368 </w:t>
            </w:r>
          </w:p>
        </w:tc>
        <w:tc>
          <w:tcPr>
            <w:tcW w:w="0" w:type="auto"/>
            <w:tcBorders>
              <w:top w:val="nil"/>
              <w:left w:val="nil"/>
              <w:bottom w:val="nil"/>
              <w:right w:val="nil"/>
              <w:tl2br w:val="nil"/>
              <w:tr2bl w:val="nil"/>
            </w:tcBorders>
            <w:shd w:val="clear" w:color="auto" w:fill="FFFF00"/>
            <w:tcMar>
              <w:left w:w="101" w:type="dxa"/>
              <w:right w:w="101" w:type="dxa"/>
            </w:tcMar>
            <w:vAlign w:val="bottom"/>
          </w:tcPr>
          <w:p w14:paraId="16E8406B" w14:textId="77777777" w:rsidR="003F0EEA" w:rsidRPr="00782CC6" w:rsidRDefault="00FB7D0B">
            <w:pPr>
              <w:jc w:val="right"/>
              <w:rPr>
                <w:rFonts w:ascii="Arial" w:eastAsia="Arial" w:hAnsi="Arial" w:cs="Arial"/>
                <w:color w:val="000000"/>
                <w:sz w:val="16"/>
              </w:rPr>
            </w:pPr>
            <w:r w:rsidRPr="00782CC6">
              <w:rPr>
                <w:rFonts w:ascii="Arial" w:eastAsia="Arial" w:hAnsi="Arial" w:cs="Arial"/>
                <w:color w:val="000000"/>
                <w:sz w:val="16"/>
              </w:rPr>
              <w:t xml:space="preserve"> 4,154 </w:t>
            </w:r>
          </w:p>
        </w:tc>
        <w:tc>
          <w:tcPr>
            <w:tcW w:w="0" w:type="auto"/>
            <w:tcBorders>
              <w:top w:val="nil"/>
              <w:left w:val="nil"/>
              <w:bottom w:val="nil"/>
              <w:right w:val="nil"/>
              <w:tl2br w:val="nil"/>
              <w:tr2bl w:val="nil"/>
            </w:tcBorders>
            <w:shd w:val="clear" w:color="auto" w:fill="FFFFFF"/>
            <w:tcMar>
              <w:left w:w="101" w:type="dxa"/>
              <w:right w:w="101" w:type="dxa"/>
            </w:tcMar>
            <w:vAlign w:val="bottom"/>
          </w:tcPr>
          <w:p w14:paraId="66FC048D" w14:textId="77777777" w:rsidR="003F0EEA" w:rsidRPr="00782CC6" w:rsidRDefault="00FB7D0B">
            <w:pPr>
              <w:jc w:val="right"/>
              <w:rPr>
                <w:rFonts w:ascii="Arial" w:eastAsia="Arial" w:hAnsi="Arial" w:cs="Arial"/>
                <w:color w:val="000000"/>
                <w:sz w:val="16"/>
              </w:rPr>
            </w:pPr>
            <w:r w:rsidRPr="00782CC6">
              <w:rPr>
                <w:rFonts w:ascii="Arial" w:eastAsia="Arial" w:hAnsi="Arial" w:cs="Arial"/>
                <w:color w:val="000000"/>
                <w:sz w:val="16"/>
              </w:rPr>
              <w:t xml:space="preserve"> 3,943 </w:t>
            </w:r>
          </w:p>
        </w:tc>
        <w:tc>
          <w:tcPr>
            <w:tcW w:w="0" w:type="auto"/>
            <w:tcBorders>
              <w:top w:val="nil"/>
              <w:left w:val="nil"/>
              <w:bottom w:val="nil"/>
              <w:right w:val="nil"/>
              <w:tl2br w:val="nil"/>
              <w:tr2bl w:val="nil"/>
            </w:tcBorders>
            <w:shd w:val="clear" w:color="auto" w:fill="FFFFFF"/>
            <w:tcMar>
              <w:left w:w="101" w:type="dxa"/>
              <w:right w:w="101" w:type="dxa"/>
            </w:tcMar>
            <w:vAlign w:val="bottom"/>
          </w:tcPr>
          <w:p w14:paraId="6D4775D7" w14:textId="77777777" w:rsidR="003F0EEA" w:rsidRPr="00782CC6" w:rsidRDefault="00FB7D0B">
            <w:pPr>
              <w:jc w:val="right"/>
              <w:rPr>
                <w:rFonts w:ascii="Arial" w:eastAsia="Arial" w:hAnsi="Arial" w:cs="Arial"/>
                <w:color w:val="000000"/>
                <w:sz w:val="16"/>
              </w:rPr>
            </w:pPr>
            <w:r w:rsidRPr="00782CC6">
              <w:rPr>
                <w:rFonts w:ascii="Arial" w:eastAsia="Arial" w:hAnsi="Arial" w:cs="Arial"/>
                <w:color w:val="000000"/>
                <w:sz w:val="16"/>
              </w:rPr>
              <w:t xml:space="preserve"> 3,747 </w:t>
            </w:r>
          </w:p>
        </w:tc>
        <w:tc>
          <w:tcPr>
            <w:tcW w:w="0" w:type="auto"/>
            <w:tcBorders>
              <w:top w:val="nil"/>
              <w:left w:val="nil"/>
              <w:bottom w:val="nil"/>
              <w:right w:val="single" w:sz="6" w:space="0" w:color="000000"/>
              <w:tl2br w:val="nil"/>
              <w:tr2bl w:val="nil"/>
            </w:tcBorders>
            <w:shd w:val="clear" w:color="auto" w:fill="FFFFFF"/>
            <w:tcMar>
              <w:left w:w="101" w:type="dxa"/>
              <w:right w:w="101" w:type="dxa"/>
            </w:tcMar>
            <w:vAlign w:val="bottom"/>
          </w:tcPr>
          <w:p w14:paraId="6980AEBE" w14:textId="77777777" w:rsidR="003F0EEA" w:rsidRPr="00782CC6" w:rsidRDefault="00FB7D0B">
            <w:pPr>
              <w:jc w:val="right"/>
              <w:rPr>
                <w:rFonts w:ascii="Arial" w:eastAsia="Arial" w:hAnsi="Arial" w:cs="Arial"/>
                <w:color w:val="000000"/>
                <w:sz w:val="16"/>
              </w:rPr>
            </w:pPr>
            <w:r w:rsidRPr="00782CC6">
              <w:rPr>
                <w:rFonts w:ascii="Arial" w:eastAsia="Arial" w:hAnsi="Arial" w:cs="Arial"/>
                <w:color w:val="000000"/>
                <w:sz w:val="16"/>
              </w:rPr>
              <w:t xml:space="preserve"> 3,614 </w:t>
            </w:r>
          </w:p>
        </w:tc>
      </w:tr>
      <w:tr w:rsidR="00FB7D0B" w14:paraId="0CC5BF77" w14:textId="77777777" w:rsidTr="00FB7D0B">
        <w:tblPrEx>
          <w:tblLook w:val="04A0" w:firstRow="1" w:lastRow="0" w:firstColumn="1" w:lastColumn="0" w:noHBand="0" w:noVBand="1"/>
        </w:tblPrEx>
        <w:trPr>
          <w:trHeight w:val="225"/>
        </w:trPr>
        <w:tc>
          <w:tcPr>
            <w:tcW w:w="0" w:type="auto"/>
            <w:gridSpan w:val="3"/>
            <w:tcBorders>
              <w:top w:val="nil"/>
              <w:left w:val="single" w:sz="6" w:space="0" w:color="000000"/>
              <w:bottom w:val="nil"/>
              <w:right w:val="nil"/>
              <w:tl2br w:val="nil"/>
              <w:tr2bl w:val="nil"/>
            </w:tcBorders>
            <w:shd w:val="clear" w:color="auto" w:fill="FFFFFF"/>
            <w:tcMar>
              <w:left w:w="101" w:type="dxa"/>
              <w:right w:w="101" w:type="dxa"/>
            </w:tcMar>
            <w:vAlign w:val="bottom"/>
          </w:tcPr>
          <w:p w14:paraId="44E3CC0F" w14:textId="77777777" w:rsidR="003F0EEA" w:rsidRPr="00782CC6" w:rsidRDefault="00FB7D0B">
            <w:pPr>
              <w:rPr>
                <w:rFonts w:ascii="Arial" w:eastAsia="Arial" w:hAnsi="Arial" w:cs="Arial"/>
                <w:color w:val="000000"/>
                <w:sz w:val="16"/>
              </w:rPr>
            </w:pPr>
            <w:r w:rsidRPr="00782CC6">
              <w:rPr>
                <w:rFonts w:ascii="Arial" w:eastAsia="Arial" w:hAnsi="Arial" w:cs="Arial"/>
                <w:color w:val="000000"/>
                <w:sz w:val="16"/>
              </w:rPr>
              <w:t>Programme support</w:t>
            </w:r>
          </w:p>
        </w:tc>
        <w:tc>
          <w:tcPr>
            <w:tcW w:w="0" w:type="auto"/>
            <w:tcBorders>
              <w:top w:val="nil"/>
              <w:left w:val="nil"/>
              <w:bottom w:val="nil"/>
              <w:right w:val="nil"/>
              <w:tl2br w:val="nil"/>
              <w:tr2bl w:val="nil"/>
            </w:tcBorders>
            <w:shd w:val="clear" w:color="auto" w:fill="FFFFFF"/>
            <w:tcMar>
              <w:left w:w="101" w:type="dxa"/>
              <w:right w:w="101" w:type="dxa"/>
            </w:tcMar>
            <w:vAlign w:val="bottom"/>
          </w:tcPr>
          <w:p w14:paraId="72183955" w14:textId="77777777" w:rsidR="003F0EEA" w:rsidRPr="00782CC6" w:rsidRDefault="00FB7D0B">
            <w:pPr>
              <w:jc w:val="right"/>
              <w:rPr>
                <w:rFonts w:ascii="Arial" w:eastAsia="Arial" w:hAnsi="Arial" w:cs="Arial"/>
                <w:color w:val="000000"/>
                <w:sz w:val="16"/>
                <w:vertAlign w:val="superscript"/>
              </w:rPr>
            </w:pPr>
            <w:r w:rsidRPr="00782CC6">
              <w:rPr>
                <w:rFonts w:ascii="Arial" w:eastAsia="Arial" w:hAnsi="Arial" w:cs="Arial"/>
                <w:color w:val="000000"/>
                <w:sz w:val="16"/>
              </w:rPr>
              <w:t xml:space="preserve"> 11,424 </w:t>
            </w:r>
          </w:p>
        </w:tc>
        <w:tc>
          <w:tcPr>
            <w:tcW w:w="0" w:type="auto"/>
            <w:tcBorders>
              <w:top w:val="nil"/>
              <w:left w:val="nil"/>
              <w:bottom w:val="nil"/>
              <w:right w:val="nil"/>
              <w:tl2br w:val="nil"/>
              <w:tr2bl w:val="nil"/>
            </w:tcBorders>
            <w:shd w:val="clear" w:color="auto" w:fill="FFFF00"/>
            <w:tcMar>
              <w:left w:w="101" w:type="dxa"/>
              <w:right w:w="101" w:type="dxa"/>
            </w:tcMar>
            <w:vAlign w:val="bottom"/>
          </w:tcPr>
          <w:p w14:paraId="265C6293" w14:textId="77777777" w:rsidR="003F0EEA" w:rsidRPr="00782CC6" w:rsidRDefault="00FB7D0B">
            <w:pPr>
              <w:jc w:val="right"/>
              <w:rPr>
                <w:rFonts w:ascii="Arial" w:eastAsia="Arial" w:hAnsi="Arial" w:cs="Arial"/>
                <w:color w:val="000000"/>
                <w:sz w:val="16"/>
              </w:rPr>
            </w:pPr>
            <w:r w:rsidRPr="00782CC6">
              <w:rPr>
                <w:rFonts w:ascii="Arial" w:eastAsia="Arial" w:hAnsi="Arial" w:cs="Arial"/>
                <w:color w:val="000000"/>
                <w:sz w:val="16"/>
              </w:rPr>
              <w:t xml:space="preserve"> 11,318 </w:t>
            </w:r>
          </w:p>
        </w:tc>
        <w:tc>
          <w:tcPr>
            <w:tcW w:w="0" w:type="auto"/>
            <w:tcBorders>
              <w:top w:val="nil"/>
              <w:left w:val="nil"/>
              <w:bottom w:val="nil"/>
              <w:right w:val="nil"/>
              <w:tl2br w:val="nil"/>
              <w:tr2bl w:val="nil"/>
            </w:tcBorders>
            <w:shd w:val="clear" w:color="auto" w:fill="FFFFFF"/>
            <w:tcMar>
              <w:left w:w="101" w:type="dxa"/>
              <w:right w:w="101" w:type="dxa"/>
            </w:tcMar>
            <w:vAlign w:val="bottom"/>
          </w:tcPr>
          <w:p w14:paraId="413E5C12" w14:textId="77777777" w:rsidR="003F0EEA" w:rsidRPr="00782CC6" w:rsidRDefault="00FB7D0B">
            <w:pPr>
              <w:jc w:val="right"/>
              <w:rPr>
                <w:rFonts w:ascii="Arial" w:eastAsia="Arial" w:hAnsi="Arial" w:cs="Arial"/>
                <w:color w:val="000000"/>
                <w:sz w:val="16"/>
              </w:rPr>
            </w:pPr>
            <w:r w:rsidRPr="00782CC6">
              <w:rPr>
                <w:rFonts w:ascii="Arial" w:eastAsia="Arial" w:hAnsi="Arial" w:cs="Arial"/>
                <w:color w:val="000000"/>
                <w:sz w:val="16"/>
              </w:rPr>
              <w:t xml:space="preserve"> 11,145 </w:t>
            </w:r>
          </w:p>
        </w:tc>
        <w:tc>
          <w:tcPr>
            <w:tcW w:w="0" w:type="auto"/>
            <w:tcBorders>
              <w:top w:val="nil"/>
              <w:left w:val="nil"/>
              <w:bottom w:val="nil"/>
              <w:right w:val="nil"/>
              <w:tl2br w:val="nil"/>
              <w:tr2bl w:val="nil"/>
            </w:tcBorders>
            <w:shd w:val="clear" w:color="auto" w:fill="FFFFFF"/>
            <w:tcMar>
              <w:left w:w="101" w:type="dxa"/>
              <w:right w:w="101" w:type="dxa"/>
            </w:tcMar>
            <w:vAlign w:val="bottom"/>
          </w:tcPr>
          <w:p w14:paraId="105F0100" w14:textId="77777777" w:rsidR="003F0EEA" w:rsidRPr="00782CC6" w:rsidRDefault="00FB7D0B">
            <w:pPr>
              <w:jc w:val="right"/>
              <w:rPr>
                <w:rFonts w:ascii="Arial" w:eastAsia="Arial" w:hAnsi="Arial" w:cs="Arial"/>
                <w:color w:val="000000"/>
                <w:sz w:val="16"/>
              </w:rPr>
            </w:pPr>
            <w:r w:rsidRPr="00782CC6">
              <w:rPr>
                <w:rFonts w:ascii="Arial" w:eastAsia="Arial" w:hAnsi="Arial" w:cs="Arial"/>
                <w:color w:val="000000"/>
                <w:sz w:val="16"/>
              </w:rPr>
              <w:t xml:space="preserve"> 10,905 </w:t>
            </w:r>
          </w:p>
        </w:tc>
        <w:tc>
          <w:tcPr>
            <w:tcW w:w="0" w:type="auto"/>
            <w:tcBorders>
              <w:top w:val="nil"/>
              <w:left w:val="nil"/>
              <w:bottom w:val="nil"/>
              <w:right w:val="single" w:sz="6" w:space="0" w:color="000000"/>
              <w:tl2br w:val="nil"/>
              <w:tr2bl w:val="nil"/>
            </w:tcBorders>
            <w:shd w:val="clear" w:color="auto" w:fill="FFFFFF"/>
            <w:tcMar>
              <w:left w:w="101" w:type="dxa"/>
              <w:right w:w="101" w:type="dxa"/>
            </w:tcMar>
            <w:vAlign w:val="bottom"/>
          </w:tcPr>
          <w:p w14:paraId="27B6040A" w14:textId="77777777" w:rsidR="003F0EEA" w:rsidRPr="00782CC6" w:rsidRDefault="00FB7D0B">
            <w:pPr>
              <w:jc w:val="right"/>
              <w:rPr>
                <w:rFonts w:ascii="Arial" w:eastAsia="Arial" w:hAnsi="Arial" w:cs="Arial"/>
                <w:color w:val="000000"/>
                <w:sz w:val="16"/>
              </w:rPr>
            </w:pPr>
            <w:r w:rsidRPr="00782CC6">
              <w:rPr>
                <w:rFonts w:ascii="Arial" w:eastAsia="Arial" w:hAnsi="Arial" w:cs="Arial"/>
                <w:color w:val="000000"/>
                <w:sz w:val="16"/>
              </w:rPr>
              <w:t xml:space="preserve"> 10,938 </w:t>
            </w:r>
          </w:p>
        </w:tc>
      </w:tr>
      <w:tr w:rsidR="00FB7D0B" w14:paraId="78100B37" w14:textId="77777777" w:rsidTr="00FB7D0B">
        <w:tblPrEx>
          <w:tblLook w:val="04A0" w:firstRow="1" w:lastRow="0" w:firstColumn="1" w:lastColumn="0" w:noHBand="0" w:noVBand="1"/>
        </w:tblPrEx>
        <w:trPr>
          <w:trHeight w:val="285"/>
        </w:trPr>
        <w:tc>
          <w:tcPr>
            <w:tcW w:w="0" w:type="auto"/>
            <w:gridSpan w:val="3"/>
            <w:tcBorders>
              <w:top w:val="single" w:sz="6" w:space="0" w:color="FFFFFF"/>
              <w:left w:val="single" w:sz="6" w:space="0" w:color="000000"/>
              <w:bottom w:val="nil"/>
              <w:right w:val="nil"/>
              <w:tl2br w:val="nil"/>
              <w:tr2bl w:val="nil"/>
            </w:tcBorders>
            <w:shd w:val="clear" w:color="auto" w:fill="FFFFFF"/>
            <w:tcMar>
              <w:left w:w="101" w:type="dxa"/>
              <w:right w:w="101" w:type="dxa"/>
            </w:tcMar>
            <w:vAlign w:val="bottom"/>
          </w:tcPr>
          <w:p w14:paraId="194EE4D1" w14:textId="77777777" w:rsidR="003F0EEA" w:rsidRPr="00782CC6" w:rsidRDefault="00FB7D0B">
            <w:pPr>
              <w:rPr>
                <w:rFonts w:ascii="Arial" w:eastAsia="Arial" w:hAnsi="Arial" w:cs="Arial"/>
                <w:color w:val="000000"/>
                <w:sz w:val="16"/>
              </w:rPr>
            </w:pPr>
            <w:r w:rsidRPr="00782CC6">
              <w:rPr>
                <w:rFonts w:ascii="Arial" w:eastAsia="Arial" w:hAnsi="Arial" w:cs="Arial"/>
                <w:color w:val="000000"/>
                <w:sz w:val="16"/>
              </w:rPr>
              <w:t>Expenses not requiring appropriation in the Budget year</w:t>
            </w:r>
            <w:r w:rsidRPr="00782CC6">
              <w:rPr>
                <w:rFonts w:ascii="Arial" w:eastAsia="Arial" w:hAnsi="Arial" w:cs="Arial"/>
                <w:color w:val="000000"/>
                <w:sz w:val="16"/>
                <w:vertAlign w:val="superscript"/>
              </w:rPr>
              <w:t>1 </w:t>
            </w:r>
          </w:p>
        </w:tc>
        <w:tc>
          <w:tcPr>
            <w:tcW w:w="0" w:type="auto"/>
            <w:tcBorders>
              <w:top w:val="nil"/>
              <w:left w:val="nil"/>
              <w:bottom w:val="nil"/>
              <w:right w:val="nil"/>
              <w:tl2br w:val="nil"/>
              <w:tr2bl w:val="nil"/>
            </w:tcBorders>
            <w:shd w:val="clear" w:color="auto" w:fill="FFFFFF"/>
            <w:tcMar>
              <w:left w:w="101" w:type="dxa"/>
              <w:right w:w="101" w:type="dxa"/>
            </w:tcMar>
            <w:vAlign w:val="bottom"/>
          </w:tcPr>
          <w:p w14:paraId="02ACDC54" w14:textId="77777777" w:rsidR="003F0EEA" w:rsidRPr="00782CC6" w:rsidRDefault="00FB7D0B">
            <w:pPr>
              <w:jc w:val="right"/>
              <w:rPr>
                <w:rFonts w:ascii="Arial" w:eastAsia="Arial" w:hAnsi="Arial" w:cs="Arial"/>
                <w:color w:val="000000"/>
                <w:sz w:val="16"/>
                <w:vertAlign w:val="superscript"/>
              </w:rPr>
            </w:pPr>
            <w:r w:rsidRPr="00782CC6">
              <w:rPr>
                <w:rFonts w:ascii="Arial" w:eastAsia="Arial" w:hAnsi="Arial" w:cs="Arial"/>
                <w:color w:val="000000"/>
                <w:sz w:val="16"/>
              </w:rPr>
              <w:t xml:space="preserve"> 1,475 </w:t>
            </w:r>
          </w:p>
        </w:tc>
        <w:tc>
          <w:tcPr>
            <w:tcW w:w="0" w:type="auto"/>
            <w:tcBorders>
              <w:top w:val="nil"/>
              <w:left w:val="nil"/>
              <w:bottom w:val="nil"/>
              <w:right w:val="nil"/>
              <w:tl2br w:val="nil"/>
              <w:tr2bl w:val="nil"/>
            </w:tcBorders>
            <w:shd w:val="clear" w:color="auto" w:fill="FFFF00"/>
            <w:tcMar>
              <w:left w:w="101" w:type="dxa"/>
              <w:right w:w="101" w:type="dxa"/>
            </w:tcMar>
            <w:vAlign w:val="bottom"/>
          </w:tcPr>
          <w:p w14:paraId="3C8D310C" w14:textId="77777777" w:rsidR="003F0EEA" w:rsidRPr="00782CC6" w:rsidRDefault="00FB7D0B">
            <w:pPr>
              <w:jc w:val="right"/>
              <w:rPr>
                <w:rFonts w:ascii="Arial" w:eastAsia="Arial" w:hAnsi="Arial" w:cs="Arial"/>
                <w:color w:val="000000"/>
                <w:sz w:val="16"/>
              </w:rPr>
            </w:pPr>
            <w:r w:rsidRPr="00782CC6">
              <w:rPr>
                <w:rFonts w:ascii="Arial" w:eastAsia="Arial" w:hAnsi="Arial" w:cs="Arial"/>
                <w:color w:val="000000"/>
                <w:sz w:val="16"/>
              </w:rPr>
              <w:t xml:space="preserve"> 1,648 </w:t>
            </w:r>
          </w:p>
        </w:tc>
        <w:tc>
          <w:tcPr>
            <w:tcW w:w="0" w:type="auto"/>
            <w:tcBorders>
              <w:top w:val="nil"/>
              <w:left w:val="nil"/>
              <w:bottom w:val="nil"/>
              <w:right w:val="nil"/>
              <w:tl2br w:val="nil"/>
              <w:tr2bl w:val="nil"/>
            </w:tcBorders>
            <w:shd w:val="clear" w:color="auto" w:fill="FFFFFF"/>
            <w:tcMar>
              <w:left w:w="101" w:type="dxa"/>
              <w:right w:w="101" w:type="dxa"/>
            </w:tcMar>
            <w:vAlign w:val="bottom"/>
          </w:tcPr>
          <w:p w14:paraId="0F9F6B7D" w14:textId="77777777" w:rsidR="003F0EEA" w:rsidRPr="00782CC6" w:rsidRDefault="00FB7D0B">
            <w:pPr>
              <w:jc w:val="right"/>
              <w:rPr>
                <w:rFonts w:ascii="Arial" w:eastAsia="Arial" w:hAnsi="Arial" w:cs="Arial"/>
                <w:color w:val="000000"/>
                <w:sz w:val="16"/>
              </w:rPr>
            </w:pPr>
            <w:r w:rsidRPr="00782CC6">
              <w:rPr>
                <w:rFonts w:ascii="Arial" w:eastAsia="Arial" w:hAnsi="Arial" w:cs="Arial"/>
                <w:color w:val="000000"/>
                <w:sz w:val="16"/>
              </w:rPr>
              <w:t xml:space="preserve"> 1,520 </w:t>
            </w:r>
          </w:p>
        </w:tc>
        <w:tc>
          <w:tcPr>
            <w:tcW w:w="0" w:type="auto"/>
            <w:tcBorders>
              <w:top w:val="nil"/>
              <w:left w:val="nil"/>
              <w:bottom w:val="nil"/>
              <w:right w:val="nil"/>
              <w:tl2br w:val="nil"/>
              <w:tr2bl w:val="nil"/>
            </w:tcBorders>
            <w:shd w:val="clear" w:color="auto" w:fill="FFFFFF"/>
            <w:tcMar>
              <w:left w:w="101" w:type="dxa"/>
              <w:right w:w="101" w:type="dxa"/>
            </w:tcMar>
            <w:vAlign w:val="bottom"/>
          </w:tcPr>
          <w:p w14:paraId="71EB4185" w14:textId="77777777" w:rsidR="003F0EEA" w:rsidRPr="00782CC6" w:rsidRDefault="00FB7D0B">
            <w:pPr>
              <w:jc w:val="right"/>
              <w:rPr>
                <w:rFonts w:ascii="Arial" w:eastAsia="Arial" w:hAnsi="Arial" w:cs="Arial"/>
                <w:color w:val="000000"/>
                <w:sz w:val="16"/>
              </w:rPr>
            </w:pPr>
            <w:r w:rsidRPr="00782CC6">
              <w:rPr>
                <w:rFonts w:ascii="Arial" w:eastAsia="Arial" w:hAnsi="Arial" w:cs="Arial"/>
                <w:color w:val="000000"/>
                <w:sz w:val="16"/>
              </w:rPr>
              <w:t xml:space="preserve"> 1,403 </w:t>
            </w:r>
          </w:p>
        </w:tc>
        <w:tc>
          <w:tcPr>
            <w:tcW w:w="0" w:type="auto"/>
            <w:tcBorders>
              <w:top w:val="nil"/>
              <w:left w:val="nil"/>
              <w:bottom w:val="nil"/>
              <w:right w:val="single" w:sz="6" w:space="0" w:color="000000"/>
              <w:tl2br w:val="nil"/>
              <w:tr2bl w:val="nil"/>
            </w:tcBorders>
            <w:shd w:val="clear" w:color="auto" w:fill="FFFFFF"/>
            <w:tcMar>
              <w:left w:w="101" w:type="dxa"/>
              <w:right w:w="101" w:type="dxa"/>
            </w:tcMar>
            <w:vAlign w:val="bottom"/>
          </w:tcPr>
          <w:p w14:paraId="693D8479" w14:textId="77777777" w:rsidR="003F0EEA" w:rsidRPr="00782CC6" w:rsidRDefault="00FB7D0B">
            <w:pPr>
              <w:jc w:val="right"/>
              <w:rPr>
                <w:rFonts w:ascii="Arial" w:eastAsia="Arial" w:hAnsi="Arial" w:cs="Arial"/>
                <w:color w:val="000000"/>
                <w:sz w:val="16"/>
              </w:rPr>
            </w:pPr>
            <w:r w:rsidRPr="00782CC6">
              <w:rPr>
                <w:rFonts w:ascii="Arial" w:eastAsia="Arial" w:hAnsi="Arial" w:cs="Arial"/>
                <w:color w:val="000000"/>
                <w:sz w:val="16"/>
              </w:rPr>
              <w:t xml:space="preserve"> 1,171 </w:t>
            </w:r>
          </w:p>
        </w:tc>
      </w:tr>
      <w:tr w:rsidR="00724034" w14:paraId="2F88DF66" w14:textId="77777777">
        <w:tblPrEx>
          <w:tblLook w:val="04A0" w:firstRow="1" w:lastRow="0" w:firstColumn="1" w:lastColumn="0" w:noHBand="0" w:noVBand="1"/>
        </w:tblPrEx>
        <w:trPr>
          <w:trHeight w:val="60"/>
        </w:trPr>
        <w:tc>
          <w:tcPr>
            <w:tcW w:w="0" w:type="auto"/>
            <w:tcBorders>
              <w:top w:val="single" w:sz="6" w:space="0" w:color="FFFFFF"/>
              <w:left w:val="single" w:sz="6" w:space="0" w:color="000000"/>
              <w:bottom w:val="nil"/>
              <w:right w:val="nil"/>
              <w:tl2br w:val="nil"/>
              <w:tr2bl w:val="nil"/>
            </w:tcBorders>
            <w:shd w:val="clear" w:color="auto" w:fill="FFFFFF"/>
            <w:tcMar>
              <w:left w:w="101" w:type="dxa"/>
              <w:right w:w="101" w:type="dxa"/>
            </w:tcMar>
            <w:vAlign w:val="bottom"/>
          </w:tcPr>
          <w:p w14:paraId="1A8B4773" w14:textId="77777777" w:rsidR="003F0EEA" w:rsidRPr="00782CC6" w:rsidRDefault="003F0EEA">
            <w:pPr>
              <w:rPr>
                <w:rFonts w:ascii="Arial" w:eastAsia="Arial" w:hAnsi="Arial" w:cs="Arial"/>
                <w:color w:val="000000"/>
                <w:sz w:val="16"/>
              </w:rPr>
            </w:pPr>
          </w:p>
        </w:tc>
        <w:tc>
          <w:tcPr>
            <w:tcW w:w="0" w:type="auto"/>
            <w:tcBorders>
              <w:top w:val="single" w:sz="6" w:space="0" w:color="FFFFFF"/>
              <w:left w:val="nil"/>
              <w:bottom w:val="nil"/>
              <w:right w:val="nil"/>
              <w:tl2br w:val="nil"/>
              <w:tr2bl w:val="nil"/>
            </w:tcBorders>
            <w:shd w:val="clear" w:color="auto" w:fill="FFFFFF"/>
            <w:tcMar>
              <w:left w:w="101" w:type="dxa"/>
              <w:right w:w="101" w:type="dxa"/>
            </w:tcMar>
            <w:vAlign w:val="bottom"/>
          </w:tcPr>
          <w:p w14:paraId="6C40D407" w14:textId="77777777" w:rsidR="003F0EEA" w:rsidRPr="00782CC6" w:rsidRDefault="003F0EEA">
            <w:pPr>
              <w:rPr>
                <w:rFonts w:ascii="Arial" w:eastAsia="Arial" w:hAnsi="Arial" w:cs="Arial"/>
                <w:color w:val="000000"/>
                <w:sz w:val="20"/>
              </w:rPr>
            </w:pPr>
          </w:p>
        </w:tc>
        <w:tc>
          <w:tcPr>
            <w:tcW w:w="0" w:type="auto"/>
            <w:tcBorders>
              <w:top w:val="single" w:sz="6" w:space="0" w:color="FFFFFF"/>
              <w:left w:val="nil"/>
              <w:bottom w:val="nil"/>
              <w:right w:val="nil"/>
              <w:tl2br w:val="nil"/>
              <w:tr2bl w:val="nil"/>
            </w:tcBorders>
            <w:shd w:val="clear" w:color="auto" w:fill="FFFFFF"/>
            <w:tcMar>
              <w:left w:w="101" w:type="dxa"/>
              <w:right w:w="101" w:type="dxa"/>
            </w:tcMar>
            <w:vAlign w:val="bottom"/>
          </w:tcPr>
          <w:p w14:paraId="0E12F4CD" w14:textId="77777777" w:rsidR="003F0EEA" w:rsidRPr="00782CC6" w:rsidRDefault="003F0EEA">
            <w:pPr>
              <w:rPr>
                <w:rFonts w:ascii="Arial" w:eastAsia="Arial" w:hAnsi="Arial" w:cs="Arial"/>
                <w:color w:val="000000"/>
                <w:sz w:val="20"/>
              </w:rPr>
            </w:pPr>
          </w:p>
        </w:tc>
        <w:tc>
          <w:tcPr>
            <w:tcW w:w="0" w:type="auto"/>
            <w:tcBorders>
              <w:top w:val="nil"/>
              <w:left w:val="nil"/>
              <w:bottom w:val="single" w:sz="6" w:space="0" w:color="000000"/>
              <w:right w:val="nil"/>
              <w:tl2br w:val="nil"/>
              <w:tr2bl w:val="nil"/>
            </w:tcBorders>
            <w:shd w:val="clear" w:color="auto" w:fill="FFFFFF"/>
            <w:tcMar>
              <w:left w:w="101" w:type="dxa"/>
              <w:right w:w="101" w:type="dxa"/>
            </w:tcMar>
            <w:vAlign w:val="bottom"/>
          </w:tcPr>
          <w:p w14:paraId="08461173" w14:textId="77777777" w:rsidR="003F0EEA" w:rsidRPr="00782CC6" w:rsidRDefault="003F0EEA">
            <w:pPr>
              <w:jc w:val="right"/>
              <w:rPr>
                <w:rFonts w:ascii="Arial" w:eastAsia="Arial" w:hAnsi="Arial" w:cs="Arial"/>
                <w:color w:val="000000"/>
                <w:sz w:val="16"/>
                <w:vertAlign w:val="superscript"/>
              </w:rPr>
            </w:pPr>
          </w:p>
        </w:tc>
        <w:tc>
          <w:tcPr>
            <w:tcW w:w="0" w:type="auto"/>
            <w:tcBorders>
              <w:top w:val="nil"/>
              <w:left w:val="nil"/>
              <w:bottom w:val="single" w:sz="6" w:space="0" w:color="000000"/>
              <w:right w:val="nil"/>
              <w:tl2br w:val="nil"/>
              <w:tr2bl w:val="nil"/>
            </w:tcBorders>
            <w:shd w:val="clear" w:color="auto" w:fill="FFFF00"/>
            <w:tcMar>
              <w:left w:w="101" w:type="dxa"/>
              <w:right w:w="101" w:type="dxa"/>
            </w:tcMar>
            <w:vAlign w:val="bottom"/>
          </w:tcPr>
          <w:p w14:paraId="03182C5E" w14:textId="77777777" w:rsidR="003F0EEA" w:rsidRPr="00782CC6" w:rsidRDefault="003F0EEA">
            <w:pPr>
              <w:jc w:val="right"/>
              <w:rPr>
                <w:rFonts w:ascii="Arial" w:eastAsia="Arial" w:hAnsi="Arial" w:cs="Arial"/>
                <w:color w:val="000000"/>
                <w:sz w:val="16"/>
                <w:vertAlign w:val="superscript"/>
              </w:rPr>
            </w:pPr>
          </w:p>
        </w:tc>
        <w:tc>
          <w:tcPr>
            <w:tcW w:w="0" w:type="auto"/>
            <w:tcBorders>
              <w:top w:val="nil"/>
              <w:left w:val="nil"/>
              <w:bottom w:val="single" w:sz="6" w:space="0" w:color="000000"/>
              <w:right w:val="nil"/>
              <w:tl2br w:val="nil"/>
              <w:tr2bl w:val="nil"/>
            </w:tcBorders>
            <w:shd w:val="clear" w:color="auto" w:fill="FFFFFF"/>
            <w:tcMar>
              <w:left w:w="101" w:type="dxa"/>
              <w:right w:w="101" w:type="dxa"/>
            </w:tcMar>
            <w:vAlign w:val="bottom"/>
          </w:tcPr>
          <w:p w14:paraId="516ABF7B" w14:textId="77777777" w:rsidR="003F0EEA" w:rsidRPr="00782CC6" w:rsidRDefault="003F0EEA">
            <w:pPr>
              <w:jc w:val="right"/>
              <w:rPr>
                <w:rFonts w:ascii="Arial" w:eastAsia="Arial" w:hAnsi="Arial" w:cs="Arial"/>
                <w:color w:val="000000"/>
                <w:sz w:val="16"/>
                <w:vertAlign w:val="superscript"/>
              </w:rPr>
            </w:pPr>
          </w:p>
        </w:tc>
        <w:tc>
          <w:tcPr>
            <w:tcW w:w="0" w:type="auto"/>
            <w:tcBorders>
              <w:top w:val="nil"/>
              <w:left w:val="nil"/>
              <w:bottom w:val="single" w:sz="6" w:space="0" w:color="000000"/>
              <w:right w:val="nil"/>
              <w:tl2br w:val="nil"/>
              <w:tr2bl w:val="nil"/>
            </w:tcBorders>
            <w:shd w:val="clear" w:color="auto" w:fill="FFFFFF"/>
            <w:tcMar>
              <w:left w:w="101" w:type="dxa"/>
              <w:right w:w="101" w:type="dxa"/>
            </w:tcMar>
            <w:vAlign w:val="bottom"/>
          </w:tcPr>
          <w:p w14:paraId="0740A768" w14:textId="77777777" w:rsidR="003F0EEA" w:rsidRPr="00782CC6" w:rsidRDefault="003F0EEA">
            <w:pPr>
              <w:jc w:val="right"/>
              <w:rPr>
                <w:rFonts w:ascii="Arial" w:eastAsia="Arial" w:hAnsi="Arial" w:cs="Arial"/>
                <w:color w:val="000000"/>
                <w:sz w:val="16"/>
                <w:vertAlign w:val="superscript"/>
              </w:rPr>
            </w:pPr>
          </w:p>
        </w:tc>
        <w:tc>
          <w:tcPr>
            <w:tcW w:w="0" w:type="auto"/>
            <w:tcBorders>
              <w:top w:val="nil"/>
              <w:left w:val="nil"/>
              <w:bottom w:val="single" w:sz="6" w:space="0" w:color="000000"/>
              <w:right w:val="single" w:sz="6" w:space="0" w:color="000000"/>
              <w:tl2br w:val="nil"/>
              <w:tr2bl w:val="nil"/>
            </w:tcBorders>
            <w:shd w:val="clear" w:color="auto" w:fill="FFFFFF"/>
            <w:tcMar>
              <w:left w:w="101" w:type="dxa"/>
              <w:right w:w="101" w:type="dxa"/>
            </w:tcMar>
            <w:vAlign w:val="bottom"/>
          </w:tcPr>
          <w:p w14:paraId="56630377" w14:textId="77777777" w:rsidR="003F0EEA" w:rsidRPr="00782CC6" w:rsidRDefault="003F0EEA">
            <w:pPr>
              <w:jc w:val="right"/>
              <w:rPr>
                <w:rFonts w:ascii="Arial" w:eastAsia="Arial" w:hAnsi="Arial" w:cs="Arial"/>
                <w:color w:val="000000"/>
                <w:sz w:val="16"/>
                <w:vertAlign w:val="superscript"/>
              </w:rPr>
            </w:pPr>
          </w:p>
        </w:tc>
      </w:tr>
      <w:tr w:rsidR="00FB7D0B" w14:paraId="7AFA4AE3" w14:textId="77777777" w:rsidTr="00FB7D0B">
        <w:tblPrEx>
          <w:tblLook w:val="04A0" w:firstRow="1" w:lastRow="0" w:firstColumn="1" w:lastColumn="0" w:noHBand="0" w:noVBand="1"/>
        </w:tblPrEx>
        <w:trPr>
          <w:trHeight w:val="225"/>
        </w:trPr>
        <w:tc>
          <w:tcPr>
            <w:tcW w:w="0" w:type="auto"/>
            <w:gridSpan w:val="3"/>
            <w:tcBorders>
              <w:top w:val="nil"/>
              <w:left w:val="single" w:sz="6" w:space="0" w:color="000000"/>
              <w:bottom w:val="single" w:sz="6" w:space="0" w:color="000000"/>
              <w:right w:val="nil"/>
              <w:tl2br w:val="nil"/>
              <w:tr2bl w:val="nil"/>
            </w:tcBorders>
            <w:shd w:val="clear" w:color="auto" w:fill="FFFFFF"/>
            <w:tcMar>
              <w:left w:w="101" w:type="dxa"/>
              <w:right w:w="101" w:type="dxa"/>
            </w:tcMar>
            <w:vAlign w:val="bottom"/>
          </w:tcPr>
          <w:p w14:paraId="30EF0680" w14:textId="77777777" w:rsidR="003F0EEA" w:rsidRPr="00782CC6" w:rsidRDefault="00FB7D0B">
            <w:pPr>
              <w:rPr>
                <w:rFonts w:ascii="Arial" w:eastAsia="Arial" w:hAnsi="Arial" w:cs="Arial"/>
                <w:color w:val="000000"/>
                <w:sz w:val="16"/>
                <w:vertAlign w:val="superscript"/>
              </w:rPr>
            </w:pPr>
            <w:r w:rsidRPr="00782CC6">
              <w:rPr>
                <w:rFonts w:ascii="Arial" w:eastAsia="Arial" w:hAnsi="Arial" w:cs="Arial"/>
                <w:b/>
                <w:color w:val="000000"/>
                <w:sz w:val="16"/>
              </w:rPr>
              <w:t xml:space="preserve">Total programme expenses </w:t>
            </w:r>
          </w:p>
        </w:tc>
        <w:tc>
          <w:tcPr>
            <w:tcW w:w="0" w:type="auto"/>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5CD92A0D" w14:textId="77777777" w:rsidR="003F0EEA" w:rsidRPr="00782CC6" w:rsidRDefault="00FB7D0B">
            <w:pPr>
              <w:jc w:val="right"/>
              <w:rPr>
                <w:rFonts w:ascii="Arial" w:eastAsia="Arial" w:hAnsi="Arial" w:cs="Arial"/>
                <w:b/>
                <w:color w:val="000000"/>
                <w:sz w:val="16"/>
                <w:vertAlign w:val="superscript"/>
              </w:rPr>
            </w:pPr>
            <w:r w:rsidRPr="00782CC6">
              <w:rPr>
                <w:rFonts w:ascii="Arial" w:eastAsia="Arial" w:hAnsi="Arial" w:cs="Arial"/>
                <w:b/>
                <w:color w:val="000000"/>
                <w:sz w:val="16"/>
              </w:rPr>
              <w:t>1,660,549 </w:t>
            </w:r>
          </w:p>
        </w:tc>
        <w:tc>
          <w:tcPr>
            <w:tcW w:w="0" w:type="auto"/>
            <w:tcBorders>
              <w:top w:val="single" w:sz="6" w:space="0" w:color="000000"/>
              <w:left w:val="nil"/>
              <w:bottom w:val="single" w:sz="6" w:space="0" w:color="000000"/>
              <w:right w:val="nil"/>
              <w:tl2br w:val="nil"/>
              <w:tr2bl w:val="nil"/>
            </w:tcBorders>
            <w:shd w:val="clear" w:color="auto" w:fill="FFFF00"/>
            <w:tcMar>
              <w:left w:w="101" w:type="dxa"/>
              <w:right w:w="101" w:type="dxa"/>
            </w:tcMar>
            <w:vAlign w:val="bottom"/>
          </w:tcPr>
          <w:p w14:paraId="122F0E7D" w14:textId="77777777" w:rsidR="003F0EEA" w:rsidRPr="00782CC6" w:rsidRDefault="00FB7D0B">
            <w:pPr>
              <w:jc w:val="right"/>
              <w:rPr>
                <w:rFonts w:ascii="Arial" w:eastAsia="Arial" w:hAnsi="Arial" w:cs="Arial"/>
                <w:b/>
                <w:color w:val="000000"/>
                <w:sz w:val="16"/>
              </w:rPr>
            </w:pPr>
            <w:r w:rsidRPr="00782CC6">
              <w:rPr>
                <w:rFonts w:ascii="Arial" w:eastAsia="Arial" w:hAnsi="Arial" w:cs="Arial"/>
                <w:b/>
                <w:color w:val="000000"/>
                <w:sz w:val="16"/>
              </w:rPr>
              <w:t>1,625,212 </w:t>
            </w:r>
          </w:p>
        </w:tc>
        <w:tc>
          <w:tcPr>
            <w:tcW w:w="0" w:type="auto"/>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324B9C1D" w14:textId="77777777" w:rsidR="003F0EEA" w:rsidRPr="00782CC6" w:rsidRDefault="00FB7D0B">
            <w:pPr>
              <w:jc w:val="right"/>
              <w:rPr>
                <w:rFonts w:ascii="Arial" w:eastAsia="Arial" w:hAnsi="Arial" w:cs="Arial"/>
                <w:b/>
                <w:color w:val="000000"/>
                <w:sz w:val="16"/>
              </w:rPr>
            </w:pPr>
            <w:r w:rsidRPr="00782CC6">
              <w:rPr>
                <w:rFonts w:ascii="Arial" w:eastAsia="Arial" w:hAnsi="Arial" w:cs="Arial"/>
                <w:b/>
                <w:color w:val="000000"/>
                <w:sz w:val="16"/>
              </w:rPr>
              <w:t>1,610,998 </w:t>
            </w:r>
          </w:p>
        </w:tc>
        <w:tc>
          <w:tcPr>
            <w:tcW w:w="0" w:type="auto"/>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19B0E20C" w14:textId="77777777" w:rsidR="003F0EEA" w:rsidRPr="00782CC6" w:rsidRDefault="00FB7D0B">
            <w:pPr>
              <w:jc w:val="right"/>
              <w:rPr>
                <w:rFonts w:ascii="Arial" w:eastAsia="Arial" w:hAnsi="Arial" w:cs="Arial"/>
                <w:b/>
                <w:color w:val="000000"/>
                <w:sz w:val="16"/>
              </w:rPr>
            </w:pPr>
            <w:r w:rsidRPr="00782CC6">
              <w:rPr>
                <w:rFonts w:ascii="Arial" w:eastAsia="Arial" w:hAnsi="Arial" w:cs="Arial"/>
                <w:b/>
                <w:color w:val="000000"/>
                <w:sz w:val="16"/>
              </w:rPr>
              <w:t>1,611,533 </w:t>
            </w:r>
          </w:p>
        </w:tc>
        <w:tc>
          <w:tcPr>
            <w:tcW w:w="0" w:type="auto"/>
            <w:tcBorders>
              <w:top w:val="single" w:sz="6" w:space="0" w:color="000000"/>
              <w:left w:val="nil"/>
              <w:bottom w:val="single" w:sz="6" w:space="0" w:color="000000"/>
              <w:right w:val="single" w:sz="6" w:space="0" w:color="000000"/>
              <w:tl2br w:val="nil"/>
              <w:tr2bl w:val="nil"/>
            </w:tcBorders>
            <w:shd w:val="clear" w:color="auto" w:fill="FFFFFF"/>
            <w:tcMar>
              <w:left w:w="101" w:type="dxa"/>
              <w:right w:w="101" w:type="dxa"/>
            </w:tcMar>
            <w:vAlign w:val="bottom"/>
          </w:tcPr>
          <w:p w14:paraId="31DCB436" w14:textId="77777777" w:rsidR="003F0EEA" w:rsidRPr="00782CC6" w:rsidRDefault="00FB7D0B">
            <w:pPr>
              <w:jc w:val="right"/>
              <w:rPr>
                <w:rFonts w:ascii="Arial" w:eastAsia="Arial" w:hAnsi="Arial" w:cs="Arial"/>
                <w:b/>
                <w:color w:val="000000"/>
                <w:sz w:val="16"/>
              </w:rPr>
            </w:pPr>
            <w:r w:rsidRPr="00782CC6">
              <w:rPr>
                <w:rFonts w:ascii="Arial" w:eastAsia="Arial" w:hAnsi="Arial" w:cs="Arial"/>
                <w:b/>
                <w:color w:val="000000"/>
                <w:sz w:val="16"/>
              </w:rPr>
              <w:t>1,630,036 </w:t>
            </w:r>
          </w:p>
        </w:tc>
      </w:tr>
    </w:tbl>
    <w:p w14:paraId="6F17ED68" w14:textId="77777777" w:rsidR="003F0EEA" w:rsidRPr="00782CC6" w:rsidRDefault="003F0EEA">
      <w:pPr>
        <w:rPr>
          <w:rFonts w:ascii="Times New Roman" w:eastAsia="Times New Roman" w:hAnsi="Times New Roman" w:cs="Times New Roman"/>
        </w:rPr>
      </w:pPr>
    </w:p>
    <w:p w14:paraId="03FBB43C" w14:textId="77777777" w:rsidR="003F0EEA" w:rsidRPr="004D4F1D" w:rsidRDefault="00FB7D0B" w:rsidP="003F0EEA">
      <w:pPr>
        <w:pStyle w:val="ListParagraph10"/>
        <w:numPr>
          <w:ilvl w:val="0"/>
          <w:numId w:val="31"/>
        </w:numPr>
        <w:spacing w:after="200" w:line="276" w:lineRule="auto"/>
        <w:ind w:left="284" w:hanging="284"/>
        <w:rPr>
          <w:rFonts w:ascii="Arial" w:eastAsia="Calibri" w:hAnsi="Arial" w:cs="Arial"/>
          <w:sz w:val="16"/>
          <w:szCs w:val="16"/>
          <w:lang w:eastAsia="en-US"/>
        </w:rPr>
      </w:pPr>
      <w:r w:rsidRPr="004D4F1D">
        <w:rPr>
          <w:rFonts w:ascii="Arial" w:eastAsia="Calibri" w:hAnsi="Arial" w:cs="Arial"/>
          <w:sz w:val="16"/>
          <w:szCs w:val="16"/>
          <w:lang w:eastAsia="en-US"/>
        </w:rPr>
        <w:t xml:space="preserve">Expenses not requiring appropriation in the Budget year is made up of Depreciation Expense, Amortisation </w:t>
      </w:r>
      <w:r>
        <w:rPr>
          <w:rFonts w:ascii="Arial" w:eastAsia="Calibri" w:hAnsi="Arial" w:cs="Arial"/>
          <w:sz w:val="16"/>
          <w:szCs w:val="16"/>
          <w:lang w:eastAsia="en-US"/>
        </w:rPr>
        <w:br/>
      </w:r>
      <w:r w:rsidRPr="004D4F1D">
        <w:rPr>
          <w:rFonts w:ascii="Arial" w:eastAsia="Calibri" w:hAnsi="Arial" w:cs="Arial"/>
          <w:sz w:val="16"/>
          <w:szCs w:val="16"/>
          <w:lang w:eastAsia="en-US"/>
        </w:rPr>
        <w:t xml:space="preserve">Expense and Resources Received Free of Charge. </w:t>
      </w:r>
    </w:p>
    <w:p w14:paraId="6A3E023D" w14:textId="77777777" w:rsidR="003F0EEA" w:rsidRPr="004D4F1D" w:rsidRDefault="00FB7D0B">
      <w:pPr>
        <w:rPr>
          <w:rFonts w:ascii="Arial" w:hAnsi="Arial" w:cs="Arial"/>
          <w:sz w:val="16"/>
          <w:szCs w:val="16"/>
          <w:lang w:eastAsia="en-US"/>
        </w:rPr>
      </w:pPr>
      <w:r w:rsidRPr="004D4F1D">
        <w:rPr>
          <w:rFonts w:ascii="Arial" w:hAnsi="Arial" w:cs="Arial"/>
          <w:sz w:val="16"/>
          <w:szCs w:val="16"/>
          <w:lang w:eastAsia="en-U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10"/>
        <w:gridCol w:w="975"/>
        <w:gridCol w:w="975"/>
        <w:gridCol w:w="975"/>
        <w:gridCol w:w="975"/>
        <w:gridCol w:w="975"/>
      </w:tblGrid>
      <w:tr w:rsidR="00724034" w14:paraId="69A4DE9B" w14:textId="77777777" w:rsidTr="003F0EEA">
        <w:tc>
          <w:tcPr>
            <w:tcW w:w="8080" w:type="dxa"/>
            <w:gridSpan w:val="6"/>
            <w:tcBorders>
              <w:top w:val="single" w:sz="4" w:space="0" w:color="auto"/>
              <w:left w:val="single" w:sz="4" w:space="0" w:color="auto"/>
              <w:bottom w:val="single" w:sz="4" w:space="0" w:color="auto"/>
              <w:right w:val="single" w:sz="4" w:space="0" w:color="auto"/>
            </w:tcBorders>
            <w:shd w:val="clear" w:color="auto" w:fill="E6E6E6"/>
          </w:tcPr>
          <w:p w14:paraId="67E8D0F3" w14:textId="77777777" w:rsidR="003F0EEA" w:rsidRPr="007207ED" w:rsidRDefault="00FB7D0B" w:rsidP="003F0EEA">
            <w:pPr>
              <w:pStyle w:val="TableTextBullet11"/>
              <w:numPr>
                <w:ilvl w:val="0"/>
                <w:numId w:val="0"/>
              </w:numPr>
              <w:ind w:left="284" w:hanging="284"/>
              <w:rPr>
                <w:b/>
                <w:sz w:val="20"/>
              </w:rPr>
            </w:pPr>
            <w:r w:rsidRPr="007207ED">
              <w:rPr>
                <w:rFonts w:cs="Arial"/>
                <w:b/>
                <w:sz w:val="20"/>
              </w:rPr>
              <w:t>Program</w:t>
            </w:r>
            <w:r>
              <w:rPr>
                <w:rFonts w:cs="Arial"/>
                <w:b/>
                <w:sz w:val="20"/>
              </w:rPr>
              <w:t>me</w:t>
            </w:r>
            <w:r w:rsidRPr="007207ED">
              <w:rPr>
                <w:rFonts w:cs="Arial"/>
                <w:b/>
                <w:sz w:val="20"/>
              </w:rPr>
              <w:t xml:space="preserve"> 2.2: </w:t>
            </w:r>
            <w:r w:rsidRPr="007207ED">
              <w:rPr>
                <w:b/>
                <w:sz w:val="20"/>
              </w:rPr>
              <w:t>Veterans' Hospital Services (continued)</w:t>
            </w:r>
          </w:p>
        </w:tc>
      </w:tr>
      <w:tr w:rsidR="00724034" w14:paraId="1FBD2720" w14:textId="77777777" w:rsidTr="003F0EEA">
        <w:tc>
          <w:tcPr>
            <w:tcW w:w="8080" w:type="dxa"/>
            <w:gridSpan w:val="6"/>
            <w:tcBorders>
              <w:top w:val="single" w:sz="4" w:space="0" w:color="auto"/>
              <w:left w:val="nil"/>
              <w:bottom w:val="single" w:sz="4" w:space="0" w:color="auto"/>
              <w:right w:val="nil"/>
            </w:tcBorders>
          </w:tcPr>
          <w:p w14:paraId="74FCC276" w14:textId="77777777" w:rsidR="003F0EEA" w:rsidRDefault="003F0EEA">
            <w:pPr>
              <w:pStyle w:val="TableTextLeft23"/>
              <w:spacing w:after="20"/>
              <w:rPr>
                <w:b/>
              </w:rPr>
            </w:pPr>
          </w:p>
        </w:tc>
      </w:tr>
      <w:tr w:rsidR="00724034" w14:paraId="521E3E78" w14:textId="77777777" w:rsidTr="003F0EEA">
        <w:tc>
          <w:tcPr>
            <w:tcW w:w="8080" w:type="dxa"/>
            <w:gridSpan w:val="6"/>
            <w:tcBorders>
              <w:top w:val="single" w:sz="4" w:space="0" w:color="auto"/>
              <w:left w:val="single" w:sz="4" w:space="0" w:color="auto"/>
              <w:bottom w:val="single" w:sz="4" w:space="0" w:color="auto"/>
              <w:right w:val="single" w:sz="4" w:space="0" w:color="auto"/>
            </w:tcBorders>
          </w:tcPr>
          <w:p w14:paraId="3692ACA6" w14:textId="77777777" w:rsidR="003F0EEA" w:rsidRDefault="00FB7D0B" w:rsidP="003F0EEA">
            <w:pPr>
              <w:pStyle w:val="TableTextLeft23"/>
              <w:spacing w:after="20"/>
              <w:rPr>
                <w:b/>
              </w:rPr>
            </w:pPr>
            <w:r>
              <w:rPr>
                <w:b/>
              </w:rPr>
              <w:t>Programme 2.2 deliverables</w:t>
            </w:r>
          </w:p>
          <w:p w14:paraId="33F634B9" w14:textId="77777777" w:rsidR="003F0EEA" w:rsidRDefault="00FB7D0B" w:rsidP="003F0EEA">
            <w:pPr>
              <w:pStyle w:val="TableTextBullet11"/>
            </w:pPr>
            <w:r>
              <w:t>Ensure access to hospital services for entitled beneficiaries through arrangements in both the private and public sectors.</w:t>
            </w:r>
          </w:p>
          <w:p w14:paraId="07515D93" w14:textId="77777777" w:rsidR="003F0EEA" w:rsidRDefault="00FB7D0B" w:rsidP="003F0EEA">
            <w:pPr>
              <w:pStyle w:val="TableTextBullet11"/>
            </w:pPr>
            <w:r>
              <w:t>Ensure a comprehensive range of hospital services are made available to entitled beneficiaries in order to meet health care needs.</w:t>
            </w:r>
          </w:p>
          <w:p w14:paraId="577F8500" w14:textId="77777777" w:rsidR="003F0EEA" w:rsidRPr="007207ED" w:rsidRDefault="00FB7D0B" w:rsidP="003F0EEA">
            <w:pPr>
              <w:pStyle w:val="TableTextBullet11"/>
            </w:pPr>
            <w:r>
              <w:t>Facilitate effective payment of hospital providers under the Department of Veterans’ Affairs arrangements.</w:t>
            </w:r>
          </w:p>
        </w:tc>
      </w:tr>
      <w:tr w:rsidR="00724034" w14:paraId="18CDDB44" w14:textId="77777777">
        <w:tblPrEx>
          <w:tblLook w:val="04A0" w:firstRow="1" w:lastRow="0" w:firstColumn="1" w:lastColumn="0" w:noHBand="0" w:noVBand="1"/>
        </w:tblPrEx>
        <w:trPr>
          <w:trHeight w:val="225"/>
        </w:trPr>
        <w:tc>
          <w:tcPr>
            <w:tcW w:w="3210" w:type="dxa"/>
            <w:tcBorders>
              <w:top w:val="single" w:sz="6" w:space="0" w:color="000000"/>
              <w:left w:val="single" w:sz="6" w:space="0" w:color="000000"/>
              <w:bottom w:val="nil"/>
              <w:right w:val="nil"/>
              <w:tl2br w:val="nil"/>
              <w:tr2bl w:val="nil"/>
            </w:tcBorders>
            <w:shd w:val="clear" w:color="auto" w:fill="FFFFFF"/>
            <w:tcMar>
              <w:left w:w="115" w:type="dxa"/>
              <w:right w:w="115" w:type="dxa"/>
            </w:tcMar>
            <w:vAlign w:val="bottom"/>
          </w:tcPr>
          <w:p w14:paraId="6D4F69E4" w14:textId="77777777" w:rsidR="00724034" w:rsidRDefault="00724034">
            <w:pPr>
              <w:jc w:val="center"/>
            </w:pPr>
          </w:p>
        </w:tc>
        <w:tc>
          <w:tcPr>
            <w:tcW w:w="975"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1A9E4A0A" w14:textId="77777777" w:rsidR="00724034" w:rsidRDefault="00FB7D0B">
            <w:pPr>
              <w:jc w:val="right"/>
              <w:rPr>
                <w:rFonts w:ascii="Arial" w:eastAsia="Arial" w:hAnsi="Arial" w:cs="Arial"/>
                <w:b/>
                <w:color w:val="000000"/>
                <w:sz w:val="16"/>
                <w:vertAlign w:val="superscript"/>
              </w:rPr>
            </w:pPr>
            <w:r>
              <w:rPr>
                <w:rFonts w:ascii="Arial" w:eastAsia="Arial" w:hAnsi="Arial" w:cs="Arial"/>
                <w:color w:val="000000"/>
                <w:sz w:val="16"/>
              </w:rPr>
              <w:t>2013-14</w:t>
            </w:r>
          </w:p>
        </w:tc>
        <w:tc>
          <w:tcPr>
            <w:tcW w:w="975" w:type="dxa"/>
            <w:tcBorders>
              <w:top w:val="single" w:sz="6" w:space="0" w:color="000000"/>
              <w:left w:val="nil"/>
              <w:bottom w:val="nil"/>
              <w:right w:val="nil"/>
              <w:tl2br w:val="nil"/>
              <w:tr2bl w:val="nil"/>
            </w:tcBorders>
            <w:shd w:val="clear" w:color="auto" w:fill="FFFF00"/>
            <w:tcMar>
              <w:left w:w="115" w:type="dxa"/>
              <w:right w:w="115" w:type="dxa"/>
            </w:tcMar>
            <w:vAlign w:val="bottom"/>
          </w:tcPr>
          <w:p w14:paraId="458B1F00" w14:textId="77777777" w:rsidR="00724034" w:rsidRDefault="00FB7D0B">
            <w:pPr>
              <w:jc w:val="right"/>
              <w:rPr>
                <w:rFonts w:ascii="Arial" w:eastAsia="Arial" w:hAnsi="Arial" w:cs="Arial"/>
                <w:color w:val="000000"/>
                <w:sz w:val="16"/>
              </w:rPr>
            </w:pPr>
            <w:r>
              <w:rPr>
                <w:rFonts w:ascii="Arial" w:eastAsia="Arial" w:hAnsi="Arial" w:cs="Arial"/>
                <w:color w:val="000000"/>
                <w:sz w:val="16"/>
              </w:rPr>
              <w:t>2014-15</w:t>
            </w:r>
          </w:p>
        </w:tc>
        <w:tc>
          <w:tcPr>
            <w:tcW w:w="975"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053113C7" w14:textId="77777777" w:rsidR="00724034" w:rsidRDefault="00FB7D0B">
            <w:pPr>
              <w:jc w:val="right"/>
              <w:rPr>
                <w:rFonts w:ascii="Arial" w:eastAsia="Arial" w:hAnsi="Arial" w:cs="Arial"/>
                <w:color w:val="000000"/>
                <w:sz w:val="16"/>
              </w:rPr>
            </w:pPr>
            <w:r>
              <w:rPr>
                <w:rFonts w:ascii="Arial" w:eastAsia="Arial" w:hAnsi="Arial" w:cs="Arial"/>
                <w:color w:val="000000"/>
                <w:sz w:val="16"/>
              </w:rPr>
              <w:t>2015-16</w:t>
            </w:r>
          </w:p>
        </w:tc>
        <w:tc>
          <w:tcPr>
            <w:tcW w:w="975"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46D0656D" w14:textId="77777777" w:rsidR="00724034" w:rsidRDefault="00FB7D0B">
            <w:pPr>
              <w:jc w:val="right"/>
              <w:rPr>
                <w:rFonts w:ascii="Arial" w:eastAsia="Arial" w:hAnsi="Arial" w:cs="Arial"/>
                <w:color w:val="000000"/>
                <w:sz w:val="16"/>
              </w:rPr>
            </w:pPr>
            <w:r>
              <w:rPr>
                <w:rFonts w:ascii="Arial" w:eastAsia="Arial" w:hAnsi="Arial" w:cs="Arial"/>
                <w:color w:val="000000"/>
                <w:sz w:val="16"/>
              </w:rPr>
              <w:t>2016-17</w:t>
            </w:r>
          </w:p>
        </w:tc>
        <w:tc>
          <w:tcPr>
            <w:tcW w:w="975" w:type="dxa"/>
            <w:tcBorders>
              <w:top w:val="single" w:sz="6" w:space="0" w:color="000000"/>
              <w:left w:val="nil"/>
              <w:bottom w:val="nil"/>
              <w:right w:val="single" w:sz="6" w:space="0" w:color="000000"/>
              <w:tl2br w:val="nil"/>
              <w:tr2bl w:val="nil"/>
            </w:tcBorders>
            <w:shd w:val="clear" w:color="auto" w:fill="FFFFFF"/>
            <w:tcMar>
              <w:left w:w="115" w:type="dxa"/>
              <w:right w:w="115" w:type="dxa"/>
            </w:tcMar>
            <w:vAlign w:val="bottom"/>
          </w:tcPr>
          <w:p w14:paraId="43CFDFEA" w14:textId="77777777" w:rsidR="00724034" w:rsidRDefault="00FB7D0B">
            <w:pPr>
              <w:jc w:val="right"/>
              <w:rPr>
                <w:rFonts w:ascii="Arial" w:eastAsia="Arial" w:hAnsi="Arial" w:cs="Arial"/>
                <w:color w:val="000000"/>
                <w:sz w:val="16"/>
              </w:rPr>
            </w:pPr>
            <w:r>
              <w:rPr>
                <w:rFonts w:ascii="Arial" w:eastAsia="Arial" w:hAnsi="Arial" w:cs="Arial"/>
                <w:color w:val="000000"/>
                <w:sz w:val="16"/>
              </w:rPr>
              <w:t>2017-18</w:t>
            </w:r>
          </w:p>
        </w:tc>
      </w:tr>
      <w:tr w:rsidR="00724034" w14:paraId="658B2246" w14:textId="77777777">
        <w:tblPrEx>
          <w:tblLook w:val="04A0" w:firstRow="1" w:lastRow="0" w:firstColumn="1" w:lastColumn="0" w:noHBand="0" w:noVBand="1"/>
        </w:tblPrEx>
        <w:trPr>
          <w:trHeight w:val="225"/>
        </w:trPr>
        <w:tc>
          <w:tcPr>
            <w:tcW w:w="3210" w:type="dxa"/>
            <w:tcBorders>
              <w:top w:val="nil"/>
              <w:left w:val="single" w:sz="6" w:space="0" w:color="000000"/>
              <w:bottom w:val="nil"/>
              <w:right w:val="nil"/>
              <w:tl2br w:val="nil"/>
              <w:tr2bl w:val="nil"/>
            </w:tcBorders>
            <w:shd w:val="clear" w:color="auto" w:fill="FFFFFF"/>
            <w:tcMar>
              <w:left w:w="115" w:type="dxa"/>
              <w:right w:w="115" w:type="dxa"/>
            </w:tcMar>
            <w:vAlign w:val="bottom"/>
          </w:tcPr>
          <w:p w14:paraId="2C618F94" w14:textId="77777777" w:rsidR="00724034" w:rsidRDefault="00724034">
            <w:pPr>
              <w:rPr>
                <w:rFonts w:ascii="Arial" w:eastAsia="Arial" w:hAnsi="Arial" w:cs="Arial"/>
                <w:color w:val="000000"/>
                <w:sz w:val="16"/>
              </w:rPr>
            </w:pPr>
          </w:p>
        </w:tc>
        <w:tc>
          <w:tcPr>
            <w:tcW w:w="975" w:type="dxa"/>
            <w:tcBorders>
              <w:top w:val="nil"/>
              <w:left w:val="nil"/>
              <w:bottom w:val="nil"/>
              <w:right w:val="nil"/>
              <w:tl2br w:val="nil"/>
              <w:tr2bl w:val="nil"/>
            </w:tcBorders>
            <w:shd w:val="clear" w:color="auto" w:fill="FFFFFF"/>
            <w:tcMar>
              <w:left w:w="115" w:type="dxa"/>
              <w:right w:w="115" w:type="dxa"/>
            </w:tcMar>
            <w:vAlign w:val="bottom"/>
          </w:tcPr>
          <w:p w14:paraId="35CDEC5F" w14:textId="77777777" w:rsidR="00724034" w:rsidRDefault="00FB7D0B">
            <w:pPr>
              <w:jc w:val="right"/>
              <w:rPr>
                <w:rFonts w:ascii="Arial" w:eastAsia="Arial" w:hAnsi="Arial" w:cs="Arial"/>
                <w:color w:val="000000"/>
                <w:sz w:val="16"/>
                <w:vertAlign w:val="superscript"/>
              </w:rPr>
            </w:pPr>
            <w:r>
              <w:rPr>
                <w:rFonts w:ascii="Arial" w:eastAsia="Arial" w:hAnsi="Arial" w:cs="Arial"/>
                <w:color w:val="000000"/>
                <w:sz w:val="16"/>
              </w:rPr>
              <w:t>Revised</w:t>
            </w:r>
          </w:p>
        </w:tc>
        <w:tc>
          <w:tcPr>
            <w:tcW w:w="975" w:type="dxa"/>
            <w:tcBorders>
              <w:top w:val="nil"/>
              <w:left w:val="nil"/>
              <w:bottom w:val="nil"/>
              <w:right w:val="nil"/>
              <w:tl2br w:val="nil"/>
              <w:tr2bl w:val="nil"/>
            </w:tcBorders>
            <w:shd w:val="clear" w:color="auto" w:fill="FFFF00"/>
            <w:tcMar>
              <w:left w:w="115" w:type="dxa"/>
              <w:right w:w="115" w:type="dxa"/>
            </w:tcMar>
            <w:vAlign w:val="bottom"/>
          </w:tcPr>
          <w:p w14:paraId="37F1B68E" w14:textId="77777777" w:rsidR="00724034" w:rsidRDefault="00FB7D0B">
            <w:pPr>
              <w:jc w:val="right"/>
              <w:rPr>
                <w:rFonts w:ascii="Arial" w:eastAsia="Arial" w:hAnsi="Arial" w:cs="Arial"/>
                <w:color w:val="000000"/>
                <w:sz w:val="16"/>
              </w:rPr>
            </w:pPr>
            <w:r>
              <w:rPr>
                <w:rFonts w:ascii="Arial" w:eastAsia="Arial" w:hAnsi="Arial" w:cs="Arial"/>
                <w:color w:val="000000"/>
                <w:sz w:val="16"/>
              </w:rPr>
              <w:t>Budget</w:t>
            </w:r>
          </w:p>
        </w:tc>
        <w:tc>
          <w:tcPr>
            <w:tcW w:w="975" w:type="dxa"/>
            <w:tcBorders>
              <w:top w:val="nil"/>
              <w:left w:val="nil"/>
              <w:bottom w:val="nil"/>
              <w:right w:val="nil"/>
              <w:tl2br w:val="nil"/>
              <w:tr2bl w:val="nil"/>
            </w:tcBorders>
            <w:shd w:val="clear" w:color="auto" w:fill="FFFFFF"/>
            <w:tcMar>
              <w:left w:w="115" w:type="dxa"/>
              <w:right w:w="115" w:type="dxa"/>
            </w:tcMar>
            <w:vAlign w:val="bottom"/>
          </w:tcPr>
          <w:p w14:paraId="4EF52859" w14:textId="77777777" w:rsidR="00724034" w:rsidRDefault="00FB7D0B">
            <w:pPr>
              <w:jc w:val="right"/>
              <w:rPr>
                <w:rFonts w:ascii="Arial" w:eastAsia="Arial" w:hAnsi="Arial" w:cs="Arial"/>
                <w:color w:val="000000"/>
                <w:sz w:val="16"/>
              </w:rPr>
            </w:pPr>
            <w:r>
              <w:rPr>
                <w:rFonts w:ascii="Arial" w:eastAsia="Arial" w:hAnsi="Arial" w:cs="Arial"/>
                <w:color w:val="000000"/>
                <w:sz w:val="16"/>
              </w:rPr>
              <w:t>Forward</w:t>
            </w:r>
          </w:p>
        </w:tc>
        <w:tc>
          <w:tcPr>
            <w:tcW w:w="975" w:type="dxa"/>
            <w:tcBorders>
              <w:top w:val="nil"/>
              <w:left w:val="nil"/>
              <w:bottom w:val="nil"/>
              <w:right w:val="nil"/>
              <w:tl2br w:val="nil"/>
              <w:tr2bl w:val="nil"/>
            </w:tcBorders>
            <w:shd w:val="clear" w:color="auto" w:fill="FFFFFF"/>
            <w:tcMar>
              <w:left w:w="115" w:type="dxa"/>
              <w:right w:w="115" w:type="dxa"/>
            </w:tcMar>
            <w:vAlign w:val="bottom"/>
          </w:tcPr>
          <w:p w14:paraId="2E19B21A" w14:textId="77777777" w:rsidR="00724034" w:rsidRDefault="00FB7D0B">
            <w:pPr>
              <w:jc w:val="right"/>
              <w:rPr>
                <w:rFonts w:ascii="Arial" w:eastAsia="Arial" w:hAnsi="Arial" w:cs="Arial"/>
                <w:color w:val="000000"/>
                <w:sz w:val="16"/>
              </w:rPr>
            </w:pPr>
            <w:r>
              <w:rPr>
                <w:rFonts w:ascii="Arial" w:eastAsia="Arial" w:hAnsi="Arial" w:cs="Arial"/>
                <w:color w:val="000000"/>
                <w:sz w:val="16"/>
              </w:rPr>
              <w:t>Forward</w:t>
            </w:r>
          </w:p>
        </w:tc>
        <w:tc>
          <w:tcPr>
            <w:tcW w:w="975" w:type="dxa"/>
            <w:tcBorders>
              <w:top w:val="nil"/>
              <w:left w:val="nil"/>
              <w:bottom w:val="nil"/>
              <w:right w:val="single" w:sz="6" w:space="0" w:color="000000"/>
              <w:tl2br w:val="nil"/>
              <w:tr2bl w:val="nil"/>
            </w:tcBorders>
            <w:shd w:val="clear" w:color="auto" w:fill="FFFFFF"/>
            <w:tcMar>
              <w:left w:w="115" w:type="dxa"/>
              <w:right w:w="115" w:type="dxa"/>
            </w:tcMar>
            <w:vAlign w:val="bottom"/>
          </w:tcPr>
          <w:p w14:paraId="2AD26C22" w14:textId="77777777" w:rsidR="00724034" w:rsidRDefault="00FB7D0B">
            <w:pPr>
              <w:jc w:val="right"/>
              <w:rPr>
                <w:rFonts w:ascii="Arial" w:eastAsia="Arial" w:hAnsi="Arial" w:cs="Arial"/>
                <w:color w:val="000000"/>
                <w:sz w:val="16"/>
              </w:rPr>
            </w:pPr>
            <w:r>
              <w:rPr>
                <w:rFonts w:ascii="Arial" w:eastAsia="Arial" w:hAnsi="Arial" w:cs="Arial"/>
                <w:color w:val="000000"/>
                <w:sz w:val="16"/>
              </w:rPr>
              <w:t>Forward</w:t>
            </w:r>
          </w:p>
        </w:tc>
      </w:tr>
      <w:tr w:rsidR="00724034" w14:paraId="745FAFCD" w14:textId="77777777">
        <w:tblPrEx>
          <w:tblLook w:val="04A0" w:firstRow="1" w:lastRow="0" w:firstColumn="1" w:lastColumn="0" w:noHBand="0" w:noVBand="1"/>
        </w:tblPrEx>
        <w:trPr>
          <w:trHeight w:val="225"/>
        </w:trPr>
        <w:tc>
          <w:tcPr>
            <w:tcW w:w="3210" w:type="dxa"/>
            <w:tcBorders>
              <w:top w:val="nil"/>
              <w:left w:val="single" w:sz="6" w:space="0" w:color="000000"/>
              <w:bottom w:val="single" w:sz="6" w:space="0" w:color="000000"/>
              <w:right w:val="nil"/>
              <w:tl2br w:val="nil"/>
              <w:tr2bl w:val="nil"/>
            </w:tcBorders>
            <w:shd w:val="clear" w:color="auto" w:fill="FFFFFF"/>
            <w:tcMar>
              <w:left w:w="115" w:type="dxa"/>
              <w:right w:w="115" w:type="dxa"/>
            </w:tcMar>
            <w:vAlign w:val="bottom"/>
          </w:tcPr>
          <w:p w14:paraId="25AED40A" w14:textId="77777777" w:rsidR="00724034" w:rsidRDefault="00FB7D0B">
            <w:pPr>
              <w:rPr>
                <w:rFonts w:ascii="Arial" w:eastAsia="Arial" w:hAnsi="Arial" w:cs="Arial"/>
                <w:color w:val="000000"/>
                <w:sz w:val="16"/>
              </w:rPr>
            </w:pPr>
            <w:r>
              <w:rPr>
                <w:rFonts w:ascii="Arial" w:eastAsia="Arial" w:hAnsi="Arial" w:cs="Arial"/>
                <w:color w:val="000000"/>
                <w:sz w:val="16"/>
              </w:rPr>
              <w:t xml:space="preserve">Deliverables </w:t>
            </w:r>
          </w:p>
        </w:tc>
        <w:tc>
          <w:tcPr>
            <w:tcW w:w="975"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3F0939BB" w14:textId="77777777" w:rsidR="00724034" w:rsidRDefault="00FB7D0B">
            <w:pPr>
              <w:jc w:val="right"/>
              <w:rPr>
                <w:rFonts w:ascii="Arial" w:eastAsia="Arial" w:hAnsi="Arial" w:cs="Arial"/>
                <w:color w:val="000000"/>
                <w:sz w:val="16"/>
                <w:vertAlign w:val="superscript"/>
              </w:rPr>
            </w:pPr>
            <w:r>
              <w:rPr>
                <w:rFonts w:ascii="Arial" w:eastAsia="Arial" w:hAnsi="Arial" w:cs="Arial"/>
                <w:color w:val="000000"/>
                <w:sz w:val="16"/>
              </w:rPr>
              <w:t>budget</w:t>
            </w:r>
          </w:p>
        </w:tc>
        <w:tc>
          <w:tcPr>
            <w:tcW w:w="975" w:type="dxa"/>
            <w:tcBorders>
              <w:top w:val="nil"/>
              <w:left w:val="nil"/>
              <w:bottom w:val="single" w:sz="6" w:space="0" w:color="000000"/>
              <w:right w:val="nil"/>
              <w:tl2br w:val="nil"/>
              <w:tr2bl w:val="nil"/>
            </w:tcBorders>
            <w:shd w:val="clear" w:color="auto" w:fill="FFFF00"/>
            <w:tcMar>
              <w:left w:w="115" w:type="dxa"/>
              <w:right w:w="115" w:type="dxa"/>
            </w:tcMar>
            <w:vAlign w:val="bottom"/>
          </w:tcPr>
          <w:p w14:paraId="5FF89A51" w14:textId="77777777" w:rsidR="00724034" w:rsidRDefault="00724034">
            <w:pPr>
              <w:jc w:val="right"/>
              <w:rPr>
                <w:rFonts w:ascii="Arial" w:eastAsia="Arial" w:hAnsi="Arial" w:cs="Arial"/>
                <w:color w:val="000000"/>
                <w:sz w:val="16"/>
              </w:rPr>
            </w:pPr>
          </w:p>
        </w:tc>
        <w:tc>
          <w:tcPr>
            <w:tcW w:w="975"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5F44F808" w14:textId="77777777" w:rsidR="00724034" w:rsidRDefault="00FB7D0B">
            <w:pPr>
              <w:jc w:val="right"/>
              <w:rPr>
                <w:rFonts w:ascii="Arial" w:eastAsia="Arial" w:hAnsi="Arial" w:cs="Arial"/>
                <w:color w:val="000000"/>
                <w:sz w:val="16"/>
              </w:rPr>
            </w:pPr>
            <w:r>
              <w:rPr>
                <w:rFonts w:ascii="Arial" w:eastAsia="Arial" w:hAnsi="Arial" w:cs="Arial"/>
                <w:color w:val="000000"/>
                <w:sz w:val="16"/>
              </w:rPr>
              <w:t>year 1</w:t>
            </w:r>
          </w:p>
        </w:tc>
        <w:tc>
          <w:tcPr>
            <w:tcW w:w="975"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73EC263E" w14:textId="77777777" w:rsidR="00724034" w:rsidRDefault="00FB7D0B">
            <w:pPr>
              <w:jc w:val="right"/>
              <w:rPr>
                <w:rFonts w:ascii="Arial" w:eastAsia="Arial" w:hAnsi="Arial" w:cs="Arial"/>
                <w:color w:val="000000"/>
                <w:sz w:val="16"/>
              </w:rPr>
            </w:pPr>
            <w:r>
              <w:rPr>
                <w:rFonts w:ascii="Arial" w:eastAsia="Arial" w:hAnsi="Arial" w:cs="Arial"/>
                <w:color w:val="000000"/>
                <w:sz w:val="16"/>
              </w:rPr>
              <w:t>year 2</w:t>
            </w:r>
          </w:p>
        </w:tc>
        <w:tc>
          <w:tcPr>
            <w:tcW w:w="975" w:type="dxa"/>
            <w:tcBorders>
              <w:top w:val="nil"/>
              <w:left w:val="nil"/>
              <w:bottom w:val="single" w:sz="6" w:space="0" w:color="000000"/>
              <w:right w:val="single" w:sz="6" w:space="0" w:color="000000"/>
              <w:tl2br w:val="nil"/>
              <w:tr2bl w:val="nil"/>
            </w:tcBorders>
            <w:shd w:val="clear" w:color="auto" w:fill="FFFFFF"/>
            <w:tcMar>
              <w:left w:w="115" w:type="dxa"/>
              <w:right w:w="115" w:type="dxa"/>
            </w:tcMar>
            <w:vAlign w:val="bottom"/>
          </w:tcPr>
          <w:p w14:paraId="45840279" w14:textId="77777777" w:rsidR="00724034" w:rsidRDefault="00FB7D0B">
            <w:pPr>
              <w:jc w:val="right"/>
              <w:rPr>
                <w:rFonts w:ascii="Arial" w:eastAsia="Arial" w:hAnsi="Arial" w:cs="Arial"/>
                <w:color w:val="000000"/>
                <w:sz w:val="16"/>
              </w:rPr>
            </w:pPr>
            <w:r>
              <w:rPr>
                <w:rFonts w:ascii="Arial" w:eastAsia="Arial" w:hAnsi="Arial" w:cs="Arial"/>
                <w:color w:val="000000"/>
                <w:sz w:val="16"/>
              </w:rPr>
              <w:t>year 3</w:t>
            </w:r>
          </w:p>
        </w:tc>
      </w:tr>
      <w:tr w:rsidR="00724034" w14:paraId="1CCA871B" w14:textId="77777777">
        <w:tblPrEx>
          <w:tblLook w:val="04A0" w:firstRow="1" w:lastRow="0" w:firstColumn="1" w:lastColumn="0" w:noHBand="0" w:noVBand="1"/>
        </w:tblPrEx>
        <w:trPr>
          <w:trHeight w:val="60"/>
        </w:trPr>
        <w:tc>
          <w:tcPr>
            <w:tcW w:w="3210" w:type="dxa"/>
            <w:tcBorders>
              <w:top w:val="single" w:sz="6" w:space="0" w:color="000000"/>
              <w:left w:val="single" w:sz="6" w:space="0" w:color="000000"/>
              <w:bottom w:val="nil"/>
              <w:right w:val="nil"/>
              <w:tl2br w:val="nil"/>
              <w:tr2bl w:val="nil"/>
            </w:tcBorders>
            <w:shd w:val="clear" w:color="auto" w:fill="FFFFFF"/>
            <w:tcMar>
              <w:left w:w="115" w:type="dxa"/>
              <w:right w:w="115" w:type="dxa"/>
            </w:tcMar>
            <w:vAlign w:val="bottom"/>
          </w:tcPr>
          <w:p w14:paraId="15E82F21" w14:textId="77777777" w:rsidR="00724034" w:rsidRDefault="00724034">
            <w:pPr>
              <w:rPr>
                <w:rFonts w:ascii="Arial" w:eastAsia="Arial" w:hAnsi="Arial" w:cs="Arial"/>
                <w:color w:val="000000"/>
                <w:sz w:val="16"/>
              </w:rPr>
            </w:pPr>
          </w:p>
        </w:tc>
        <w:tc>
          <w:tcPr>
            <w:tcW w:w="975"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0764CEF2" w14:textId="77777777" w:rsidR="00724034" w:rsidRDefault="00724034">
            <w:pPr>
              <w:jc w:val="right"/>
              <w:rPr>
                <w:rFonts w:ascii="Arial" w:eastAsia="Arial" w:hAnsi="Arial" w:cs="Arial"/>
                <w:color w:val="000000"/>
                <w:sz w:val="16"/>
                <w:vertAlign w:val="superscript"/>
              </w:rPr>
            </w:pPr>
          </w:p>
        </w:tc>
        <w:tc>
          <w:tcPr>
            <w:tcW w:w="975" w:type="dxa"/>
            <w:tcBorders>
              <w:top w:val="single" w:sz="6" w:space="0" w:color="000000"/>
              <w:left w:val="nil"/>
              <w:bottom w:val="nil"/>
              <w:right w:val="nil"/>
              <w:tl2br w:val="nil"/>
              <w:tr2bl w:val="nil"/>
            </w:tcBorders>
            <w:shd w:val="clear" w:color="auto" w:fill="FFFF00"/>
            <w:tcMar>
              <w:left w:w="115" w:type="dxa"/>
              <w:right w:w="115" w:type="dxa"/>
            </w:tcMar>
            <w:vAlign w:val="bottom"/>
          </w:tcPr>
          <w:p w14:paraId="4163D81B" w14:textId="77777777" w:rsidR="00724034" w:rsidRDefault="00724034">
            <w:pPr>
              <w:jc w:val="right"/>
              <w:rPr>
                <w:rFonts w:ascii="Arial" w:eastAsia="Arial" w:hAnsi="Arial" w:cs="Arial"/>
                <w:color w:val="000000"/>
                <w:sz w:val="16"/>
                <w:vertAlign w:val="superscript"/>
              </w:rPr>
            </w:pPr>
          </w:p>
        </w:tc>
        <w:tc>
          <w:tcPr>
            <w:tcW w:w="975"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2E665482" w14:textId="77777777" w:rsidR="00724034" w:rsidRDefault="00724034">
            <w:pPr>
              <w:jc w:val="right"/>
              <w:rPr>
                <w:rFonts w:ascii="Arial" w:eastAsia="Arial" w:hAnsi="Arial" w:cs="Arial"/>
                <w:color w:val="000000"/>
                <w:sz w:val="16"/>
                <w:vertAlign w:val="superscript"/>
              </w:rPr>
            </w:pPr>
          </w:p>
        </w:tc>
        <w:tc>
          <w:tcPr>
            <w:tcW w:w="975"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26C4CAC2" w14:textId="77777777" w:rsidR="00724034" w:rsidRDefault="00724034">
            <w:pPr>
              <w:jc w:val="right"/>
              <w:rPr>
                <w:rFonts w:ascii="Arial" w:eastAsia="Arial" w:hAnsi="Arial" w:cs="Arial"/>
                <w:color w:val="000000"/>
                <w:sz w:val="16"/>
                <w:vertAlign w:val="superscript"/>
              </w:rPr>
            </w:pPr>
          </w:p>
        </w:tc>
        <w:tc>
          <w:tcPr>
            <w:tcW w:w="975" w:type="dxa"/>
            <w:tcBorders>
              <w:top w:val="single" w:sz="6" w:space="0" w:color="000000"/>
              <w:left w:val="nil"/>
              <w:bottom w:val="nil"/>
              <w:right w:val="single" w:sz="6" w:space="0" w:color="000000"/>
              <w:tl2br w:val="nil"/>
              <w:tr2bl w:val="nil"/>
            </w:tcBorders>
            <w:shd w:val="clear" w:color="auto" w:fill="FFFFFF"/>
            <w:tcMar>
              <w:left w:w="115" w:type="dxa"/>
              <w:right w:w="115" w:type="dxa"/>
            </w:tcMar>
            <w:vAlign w:val="bottom"/>
          </w:tcPr>
          <w:p w14:paraId="66A32B8C" w14:textId="77777777" w:rsidR="00724034" w:rsidRDefault="00724034">
            <w:pPr>
              <w:jc w:val="right"/>
              <w:rPr>
                <w:rFonts w:ascii="Arial" w:eastAsia="Arial" w:hAnsi="Arial" w:cs="Arial"/>
                <w:color w:val="000000"/>
                <w:sz w:val="16"/>
                <w:vertAlign w:val="superscript"/>
              </w:rPr>
            </w:pPr>
          </w:p>
        </w:tc>
      </w:tr>
      <w:tr w:rsidR="00724034" w14:paraId="259BDB2D" w14:textId="77777777">
        <w:tblPrEx>
          <w:tblLook w:val="04A0" w:firstRow="1" w:lastRow="0" w:firstColumn="1" w:lastColumn="0" w:noHBand="0" w:noVBand="1"/>
        </w:tblPrEx>
        <w:trPr>
          <w:trHeight w:val="225"/>
        </w:trPr>
        <w:tc>
          <w:tcPr>
            <w:tcW w:w="3210" w:type="dxa"/>
            <w:tcBorders>
              <w:top w:val="nil"/>
              <w:left w:val="single" w:sz="6" w:space="0" w:color="000000"/>
              <w:bottom w:val="single" w:sz="6" w:space="0" w:color="000000"/>
              <w:right w:val="nil"/>
              <w:tl2br w:val="nil"/>
              <w:tr2bl w:val="nil"/>
            </w:tcBorders>
            <w:shd w:val="clear" w:color="auto" w:fill="FFFFFF"/>
            <w:tcMar>
              <w:left w:w="115" w:type="dxa"/>
              <w:right w:w="115" w:type="dxa"/>
            </w:tcMar>
            <w:vAlign w:val="bottom"/>
          </w:tcPr>
          <w:p w14:paraId="20ADEA35" w14:textId="77777777" w:rsidR="00724034" w:rsidRDefault="00FB7D0B">
            <w:pPr>
              <w:rPr>
                <w:rFonts w:ascii="Arial" w:eastAsia="Arial" w:hAnsi="Arial" w:cs="Arial"/>
                <w:color w:val="000000"/>
                <w:sz w:val="16"/>
                <w:vertAlign w:val="superscript"/>
              </w:rPr>
            </w:pPr>
            <w:r>
              <w:rPr>
                <w:rFonts w:ascii="Arial" w:eastAsia="Arial" w:hAnsi="Arial" w:cs="Arial"/>
                <w:color w:val="000000"/>
                <w:sz w:val="16"/>
              </w:rPr>
              <w:t xml:space="preserve">Treatment Population </w:t>
            </w:r>
          </w:p>
        </w:tc>
        <w:tc>
          <w:tcPr>
            <w:tcW w:w="975"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4AFEAD19" w14:textId="77777777" w:rsidR="00724034" w:rsidRDefault="00FB7D0B">
            <w:pPr>
              <w:jc w:val="right"/>
              <w:rPr>
                <w:rFonts w:ascii="Arial" w:eastAsia="Arial" w:hAnsi="Arial" w:cs="Arial"/>
                <w:color w:val="000000"/>
                <w:sz w:val="16"/>
                <w:vertAlign w:val="superscript"/>
              </w:rPr>
            </w:pPr>
            <w:r>
              <w:rPr>
                <w:rFonts w:ascii="Arial" w:eastAsia="Arial" w:hAnsi="Arial" w:cs="Arial"/>
                <w:color w:val="000000"/>
                <w:sz w:val="16"/>
              </w:rPr>
              <w:t xml:space="preserve"> 215,900 </w:t>
            </w:r>
          </w:p>
        </w:tc>
        <w:tc>
          <w:tcPr>
            <w:tcW w:w="975" w:type="dxa"/>
            <w:tcBorders>
              <w:top w:val="nil"/>
              <w:left w:val="nil"/>
              <w:bottom w:val="single" w:sz="6" w:space="0" w:color="000000"/>
              <w:right w:val="nil"/>
              <w:tl2br w:val="nil"/>
              <w:tr2bl w:val="nil"/>
            </w:tcBorders>
            <w:shd w:val="clear" w:color="auto" w:fill="FFFF00"/>
            <w:tcMar>
              <w:left w:w="115" w:type="dxa"/>
              <w:right w:w="115" w:type="dxa"/>
            </w:tcMar>
            <w:vAlign w:val="bottom"/>
          </w:tcPr>
          <w:p w14:paraId="27437A9D" w14:textId="77777777" w:rsidR="00724034" w:rsidRDefault="00FB7D0B">
            <w:pPr>
              <w:jc w:val="right"/>
              <w:rPr>
                <w:rFonts w:ascii="Arial" w:eastAsia="Arial" w:hAnsi="Arial" w:cs="Arial"/>
                <w:color w:val="000000"/>
                <w:sz w:val="16"/>
              </w:rPr>
            </w:pPr>
            <w:r>
              <w:rPr>
                <w:rFonts w:ascii="Arial" w:eastAsia="Arial" w:hAnsi="Arial" w:cs="Arial"/>
                <w:color w:val="000000"/>
                <w:sz w:val="16"/>
              </w:rPr>
              <w:t xml:space="preserve"> 204,000 </w:t>
            </w:r>
          </w:p>
        </w:tc>
        <w:tc>
          <w:tcPr>
            <w:tcW w:w="975"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62C3AD67" w14:textId="77777777" w:rsidR="00724034" w:rsidRDefault="00FB7D0B">
            <w:pPr>
              <w:jc w:val="right"/>
              <w:rPr>
                <w:rFonts w:ascii="Arial" w:eastAsia="Arial" w:hAnsi="Arial" w:cs="Arial"/>
                <w:color w:val="000000"/>
                <w:sz w:val="16"/>
              </w:rPr>
            </w:pPr>
            <w:r>
              <w:rPr>
                <w:rFonts w:ascii="Arial" w:eastAsia="Arial" w:hAnsi="Arial" w:cs="Arial"/>
                <w:color w:val="000000"/>
                <w:sz w:val="16"/>
              </w:rPr>
              <w:t xml:space="preserve"> 192,900 </w:t>
            </w:r>
          </w:p>
        </w:tc>
        <w:tc>
          <w:tcPr>
            <w:tcW w:w="975"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07E0367E" w14:textId="77777777" w:rsidR="00724034" w:rsidRDefault="00FB7D0B">
            <w:pPr>
              <w:jc w:val="right"/>
              <w:rPr>
                <w:rFonts w:ascii="Arial" w:eastAsia="Arial" w:hAnsi="Arial" w:cs="Arial"/>
                <w:color w:val="000000"/>
                <w:sz w:val="16"/>
              </w:rPr>
            </w:pPr>
            <w:r>
              <w:rPr>
                <w:rFonts w:ascii="Arial" w:eastAsia="Arial" w:hAnsi="Arial" w:cs="Arial"/>
                <w:color w:val="000000"/>
                <w:sz w:val="16"/>
              </w:rPr>
              <w:t xml:space="preserve"> 182,500 </w:t>
            </w:r>
          </w:p>
        </w:tc>
        <w:tc>
          <w:tcPr>
            <w:tcW w:w="975" w:type="dxa"/>
            <w:tcBorders>
              <w:top w:val="nil"/>
              <w:left w:val="nil"/>
              <w:bottom w:val="single" w:sz="6" w:space="0" w:color="000000"/>
              <w:right w:val="single" w:sz="6" w:space="0" w:color="000000"/>
              <w:tl2br w:val="nil"/>
              <w:tr2bl w:val="nil"/>
            </w:tcBorders>
            <w:shd w:val="clear" w:color="auto" w:fill="FFFFFF"/>
            <w:tcMar>
              <w:left w:w="115" w:type="dxa"/>
              <w:right w:w="115" w:type="dxa"/>
            </w:tcMar>
            <w:vAlign w:val="bottom"/>
          </w:tcPr>
          <w:p w14:paraId="3F972CBB" w14:textId="77777777" w:rsidR="00724034" w:rsidRDefault="00FB7D0B">
            <w:pPr>
              <w:jc w:val="right"/>
              <w:rPr>
                <w:rFonts w:ascii="Arial" w:eastAsia="Arial" w:hAnsi="Arial" w:cs="Arial"/>
                <w:color w:val="000000"/>
                <w:sz w:val="16"/>
              </w:rPr>
            </w:pPr>
            <w:r>
              <w:rPr>
                <w:rFonts w:ascii="Arial" w:eastAsia="Arial" w:hAnsi="Arial" w:cs="Arial"/>
                <w:color w:val="000000"/>
                <w:sz w:val="16"/>
              </w:rPr>
              <w:t xml:space="preserve"> 172,900 </w:t>
            </w:r>
          </w:p>
        </w:tc>
      </w:tr>
      <w:tr w:rsidR="00724034" w14:paraId="490DE743" w14:textId="77777777">
        <w:tblPrEx>
          <w:tblLook w:val="04A0" w:firstRow="1" w:lastRow="0" w:firstColumn="1" w:lastColumn="0" w:noHBand="0" w:noVBand="1"/>
        </w:tblPrEx>
        <w:trPr>
          <w:trHeight w:val="60"/>
        </w:trPr>
        <w:tc>
          <w:tcPr>
            <w:tcW w:w="3210"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67340DA2" w14:textId="77777777" w:rsidR="00724034" w:rsidRDefault="00724034">
            <w:pPr>
              <w:rPr>
                <w:rFonts w:ascii="Arial" w:eastAsia="Arial" w:hAnsi="Arial" w:cs="Arial"/>
                <w:color w:val="000000"/>
                <w:sz w:val="16"/>
              </w:rPr>
            </w:pPr>
          </w:p>
        </w:tc>
        <w:tc>
          <w:tcPr>
            <w:tcW w:w="975"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52FBFA35" w14:textId="77777777" w:rsidR="00724034" w:rsidRDefault="00724034">
            <w:pPr>
              <w:rPr>
                <w:rFonts w:ascii="Arial" w:eastAsia="Arial" w:hAnsi="Arial" w:cs="Arial"/>
                <w:b/>
                <w:color w:val="000000"/>
                <w:sz w:val="16"/>
                <w:vertAlign w:val="superscript"/>
              </w:rPr>
            </w:pPr>
          </w:p>
        </w:tc>
        <w:tc>
          <w:tcPr>
            <w:tcW w:w="975"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27BAB4D9" w14:textId="77777777" w:rsidR="00724034" w:rsidRDefault="00724034">
            <w:pPr>
              <w:rPr>
                <w:rFonts w:ascii="Arial" w:eastAsia="Arial" w:hAnsi="Arial" w:cs="Arial"/>
                <w:b/>
                <w:color w:val="000000"/>
                <w:sz w:val="16"/>
                <w:vertAlign w:val="superscript"/>
              </w:rPr>
            </w:pPr>
          </w:p>
        </w:tc>
        <w:tc>
          <w:tcPr>
            <w:tcW w:w="975"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40B8AA65" w14:textId="77777777" w:rsidR="00724034" w:rsidRDefault="00724034">
            <w:pPr>
              <w:rPr>
                <w:rFonts w:ascii="Arial" w:eastAsia="Arial" w:hAnsi="Arial" w:cs="Arial"/>
                <w:b/>
                <w:color w:val="000000"/>
                <w:sz w:val="16"/>
                <w:vertAlign w:val="superscript"/>
              </w:rPr>
            </w:pPr>
          </w:p>
        </w:tc>
        <w:tc>
          <w:tcPr>
            <w:tcW w:w="975"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076DBC10" w14:textId="77777777" w:rsidR="00724034" w:rsidRDefault="00724034">
            <w:pPr>
              <w:rPr>
                <w:rFonts w:ascii="Arial" w:eastAsia="Arial" w:hAnsi="Arial" w:cs="Arial"/>
                <w:b/>
                <w:color w:val="000000"/>
                <w:sz w:val="16"/>
                <w:vertAlign w:val="superscript"/>
              </w:rPr>
            </w:pPr>
          </w:p>
        </w:tc>
        <w:tc>
          <w:tcPr>
            <w:tcW w:w="975"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17D45D59" w14:textId="77777777" w:rsidR="00724034" w:rsidRDefault="00724034">
            <w:pPr>
              <w:rPr>
                <w:rFonts w:ascii="Arial" w:eastAsia="Arial" w:hAnsi="Arial" w:cs="Arial"/>
                <w:b/>
                <w:color w:val="000000"/>
                <w:sz w:val="16"/>
                <w:vertAlign w:val="superscript"/>
              </w:rPr>
            </w:pPr>
          </w:p>
        </w:tc>
      </w:tr>
    </w:tbl>
    <w:p w14:paraId="356DDD91" w14:textId="77777777" w:rsidR="003F0EEA" w:rsidRPr="0040546D" w:rsidRDefault="003F0EEA">
      <w:pPr>
        <w:rPr>
          <w:rFonts w:ascii="Arial" w:eastAsia="Times New Roman"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10"/>
        <w:gridCol w:w="975"/>
        <w:gridCol w:w="975"/>
        <w:gridCol w:w="975"/>
        <w:gridCol w:w="975"/>
        <w:gridCol w:w="975"/>
      </w:tblGrid>
      <w:tr w:rsidR="00724034" w14:paraId="0F545E6F" w14:textId="77777777" w:rsidTr="003F0EEA">
        <w:tc>
          <w:tcPr>
            <w:tcW w:w="8080" w:type="dxa"/>
            <w:gridSpan w:val="6"/>
            <w:tcBorders>
              <w:top w:val="single" w:sz="4" w:space="0" w:color="auto"/>
              <w:left w:val="single" w:sz="4" w:space="0" w:color="auto"/>
              <w:bottom w:val="single" w:sz="4" w:space="0" w:color="auto"/>
              <w:right w:val="single" w:sz="4" w:space="0" w:color="auto"/>
            </w:tcBorders>
          </w:tcPr>
          <w:p w14:paraId="52D9D08D" w14:textId="77777777" w:rsidR="003F0EEA" w:rsidRDefault="00FB7D0B" w:rsidP="003F0EEA">
            <w:pPr>
              <w:pStyle w:val="TableTextLeft24"/>
              <w:spacing w:after="20"/>
              <w:rPr>
                <w:b/>
              </w:rPr>
            </w:pPr>
            <w:r>
              <w:rPr>
                <w:b/>
              </w:rPr>
              <w:t>Programme 2.2 key performance indicators</w:t>
            </w:r>
          </w:p>
          <w:p w14:paraId="09229901" w14:textId="77777777" w:rsidR="003F0EEA" w:rsidRDefault="00FB7D0B" w:rsidP="003F0EEA">
            <w:pPr>
              <w:pStyle w:val="TableTextBullet12"/>
            </w:pPr>
            <w:r>
              <w:t>Ensure that arrangements are in place for the access to and delivery of private and public hospital services under the VEA and related legislation.</w:t>
            </w:r>
          </w:p>
        </w:tc>
      </w:tr>
      <w:tr w:rsidR="00724034" w14:paraId="4E28AFE2" w14:textId="77777777">
        <w:tblPrEx>
          <w:tblLook w:val="04A0" w:firstRow="1" w:lastRow="0" w:firstColumn="1" w:lastColumn="0" w:noHBand="0" w:noVBand="1"/>
        </w:tblPrEx>
        <w:trPr>
          <w:trHeight w:val="225"/>
        </w:trPr>
        <w:tc>
          <w:tcPr>
            <w:tcW w:w="3210" w:type="dxa"/>
            <w:tcBorders>
              <w:top w:val="single" w:sz="6" w:space="0" w:color="000000"/>
              <w:left w:val="single" w:sz="6" w:space="0" w:color="000000"/>
              <w:bottom w:val="nil"/>
              <w:right w:val="nil"/>
              <w:tl2br w:val="nil"/>
              <w:tr2bl w:val="nil"/>
            </w:tcBorders>
            <w:shd w:val="clear" w:color="auto" w:fill="FFFFFF"/>
            <w:tcMar>
              <w:left w:w="115" w:type="dxa"/>
              <w:right w:w="115" w:type="dxa"/>
            </w:tcMar>
            <w:vAlign w:val="bottom"/>
          </w:tcPr>
          <w:p w14:paraId="32B77C1A" w14:textId="77777777" w:rsidR="00724034" w:rsidRDefault="00724034">
            <w:pPr>
              <w:jc w:val="center"/>
            </w:pPr>
          </w:p>
        </w:tc>
        <w:tc>
          <w:tcPr>
            <w:tcW w:w="975"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4420B8A1" w14:textId="77777777" w:rsidR="00724034" w:rsidRDefault="00FB7D0B">
            <w:pPr>
              <w:jc w:val="right"/>
              <w:rPr>
                <w:rFonts w:ascii="Arial" w:eastAsia="Arial" w:hAnsi="Arial" w:cs="Arial"/>
                <w:b/>
                <w:color w:val="000000"/>
                <w:sz w:val="16"/>
                <w:vertAlign w:val="superscript"/>
              </w:rPr>
            </w:pPr>
            <w:r>
              <w:rPr>
                <w:rFonts w:ascii="Arial" w:eastAsia="Arial" w:hAnsi="Arial" w:cs="Arial"/>
                <w:color w:val="000000"/>
                <w:sz w:val="16"/>
              </w:rPr>
              <w:t>2013-14</w:t>
            </w:r>
          </w:p>
        </w:tc>
        <w:tc>
          <w:tcPr>
            <w:tcW w:w="975" w:type="dxa"/>
            <w:tcBorders>
              <w:top w:val="single" w:sz="6" w:space="0" w:color="000000"/>
              <w:left w:val="nil"/>
              <w:bottom w:val="nil"/>
              <w:right w:val="nil"/>
              <w:tl2br w:val="nil"/>
              <w:tr2bl w:val="nil"/>
            </w:tcBorders>
            <w:shd w:val="clear" w:color="auto" w:fill="FFFF00"/>
            <w:tcMar>
              <w:left w:w="115" w:type="dxa"/>
              <w:right w:w="115" w:type="dxa"/>
            </w:tcMar>
            <w:vAlign w:val="bottom"/>
          </w:tcPr>
          <w:p w14:paraId="3657C165" w14:textId="77777777" w:rsidR="00724034" w:rsidRDefault="00FB7D0B">
            <w:pPr>
              <w:jc w:val="right"/>
              <w:rPr>
                <w:rFonts w:ascii="Arial" w:eastAsia="Arial" w:hAnsi="Arial" w:cs="Arial"/>
                <w:color w:val="000000"/>
                <w:sz w:val="16"/>
              </w:rPr>
            </w:pPr>
            <w:r>
              <w:rPr>
                <w:rFonts w:ascii="Arial" w:eastAsia="Arial" w:hAnsi="Arial" w:cs="Arial"/>
                <w:color w:val="000000"/>
                <w:sz w:val="16"/>
              </w:rPr>
              <w:t>2014-15</w:t>
            </w:r>
          </w:p>
        </w:tc>
        <w:tc>
          <w:tcPr>
            <w:tcW w:w="975"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5FA30F6A" w14:textId="77777777" w:rsidR="00724034" w:rsidRDefault="00FB7D0B">
            <w:pPr>
              <w:jc w:val="right"/>
              <w:rPr>
                <w:rFonts w:ascii="Arial" w:eastAsia="Arial" w:hAnsi="Arial" w:cs="Arial"/>
                <w:color w:val="000000"/>
                <w:sz w:val="16"/>
              </w:rPr>
            </w:pPr>
            <w:r>
              <w:rPr>
                <w:rFonts w:ascii="Arial" w:eastAsia="Arial" w:hAnsi="Arial" w:cs="Arial"/>
                <w:color w:val="000000"/>
                <w:sz w:val="16"/>
              </w:rPr>
              <w:t>2015-16</w:t>
            </w:r>
          </w:p>
        </w:tc>
        <w:tc>
          <w:tcPr>
            <w:tcW w:w="975"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0D93398A" w14:textId="77777777" w:rsidR="00724034" w:rsidRDefault="00FB7D0B">
            <w:pPr>
              <w:jc w:val="right"/>
              <w:rPr>
                <w:rFonts w:ascii="Arial" w:eastAsia="Arial" w:hAnsi="Arial" w:cs="Arial"/>
                <w:color w:val="000000"/>
                <w:sz w:val="16"/>
              </w:rPr>
            </w:pPr>
            <w:r>
              <w:rPr>
                <w:rFonts w:ascii="Arial" w:eastAsia="Arial" w:hAnsi="Arial" w:cs="Arial"/>
                <w:color w:val="000000"/>
                <w:sz w:val="16"/>
              </w:rPr>
              <w:t>2016-17</w:t>
            </w:r>
          </w:p>
        </w:tc>
        <w:tc>
          <w:tcPr>
            <w:tcW w:w="975" w:type="dxa"/>
            <w:tcBorders>
              <w:top w:val="single" w:sz="6" w:space="0" w:color="000000"/>
              <w:left w:val="nil"/>
              <w:bottom w:val="nil"/>
              <w:right w:val="single" w:sz="6" w:space="0" w:color="000000"/>
              <w:tl2br w:val="nil"/>
              <w:tr2bl w:val="nil"/>
            </w:tcBorders>
            <w:shd w:val="clear" w:color="auto" w:fill="FFFFFF"/>
            <w:tcMar>
              <w:left w:w="115" w:type="dxa"/>
              <w:right w:w="115" w:type="dxa"/>
            </w:tcMar>
            <w:vAlign w:val="bottom"/>
          </w:tcPr>
          <w:p w14:paraId="6413296A" w14:textId="77777777" w:rsidR="00724034" w:rsidRDefault="00FB7D0B">
            <w:pPr>
              <w:jc w:val="right"/>
              <w:rPr>
                <w:rFonts w:ascii="Arial" w:eastAsia="Arial" w:hAnsi="Arial" w:cs="Arial"/>
                <w:color w:val="000000"/>
                <w:sz w:val="16"/>
              </w:rPr>
            </w:pPr>
            <w:r>
              <w:rPr>
                <w:rFonts w:ascii="Arial" w:eastAsia="Arial" w:hAnsi="Arial" w:cs="Arial"/>
                <w:color w:val="000000"/>
                <w:sz w:val="16"/>
              </w:rPr>
              <w:t>2017-18</w:t>
            </w:r>
          </w:p>
        </w:tc>
      </w:tr>
      <w:tr w:rsidR="00724034" w14:paraId="1C70EBCB" w14:textId="77777777">
        <w:tblPrEx>
          <w:tblLook w:val="04A0" w:firstRow="1" w:lastRow="0" w:firstColumn="1" w:lastColumn="0" w:noHBand="0" w:noVBand="1"/>
        </w:tblPrEx>
        <w:trPr>
          <w:trHeight w:val="225"/>
        </w:trPr>
        <w:tc>
          <w:tcPr>
            <w:tcW w:w="3210" w:type="dxa"/>
            <w:tcBorders>
              <w:top w:val="nil"/>
              <w:left w:val="single" w:sz="6" w:space="0" w:color="000000"/>
              <w:bottom w:val="nil"/>
              <w:right w:val="nil"/>
              <w:tl2br w:val="nil"/>
              <w:tr2bl w:val="nil"/>
            </w:tcBorders>
            <w:shd w:val="clear" w:color="auto" w:fill="FFFFFF"/>
            <w:tcMar>
              <w:left w:w="115" w:type="dxa"/>
              <w:right w:w="115" w:type="dxa"/>
            </w:tcMar>
            <w:vAlign w:val="bottom"/>
          </w:tcPr>
          <w:p w14:paraId="09F04BEB" w14:textId="77777777" w:rsidR="00724034" w:rsidRDefault="00FB7D0B">
            <w:pPr>
              <w:rPr>
                <w:rFonts w:ascii="Arial" w:eastAsia="Arial" w:hAnsi="Arial" w:cs="Arial"/>
                <w:color w:val="000000"/>
                <w:sz w:val="16"/>
              </w:rPr>
            </w:pPr>
            <w:r>
              <w:rPr>
                <w:rFonts w:ascii="Arial" w:eastAsia="Arial" w:hAnsi="Arial" w:cs="Arial"/>
                <w:color w:val="000000"/>
                <w:sz w:val="16"/>
              </w:rPr>
              <w:t>Key Performance</w:t>
            </w:r>
          </w:p>
        </w:tc>
        <w:tc>
          <w:tcPr>
            <w:tcW w:w="975" w:type="dxa"/>
            <w:tcBorders>
              <w:top w:val="nil"/>
              <w:left w:val="nil"/>
              <w:bottom w:val="nil"/>
              <w:right w:val="nil"/>
              <w:tl2br w:val="nil"/>
              <w:tr2bl w:val="nil"/>
            </w:tcBorders>
            <w:shd w:val="clear" w:color="auto" w:fill="FFFFFF"/>
            <w:tcMar>
              <w:left w:w="115" w:type="dxa"/>
              <w:right w:w="115" w:type="dxa"/>
            </w:tcMar>
            <w:vAlign w:val="bottom"/>
          </w:tcPr>
          <w:p w14:paraId="629D2F8A" w14:textId="77777777" w:rsidR="00724034" w:rsidRDefault="00FB7D0B">
            <w:pPr>
              <w:jc w:val="right"/>
              <w:rPr>
                <w:rFonts w:ascii="Arial" w:eastAsia="Arial" w:hAnsi="Arial" w:cs="Arial"/>
                <w:color w:val="000000"/>
                <w:sz w:val="16"/>
                <w:vertAlign w:val="superscript"/>
              </w:rPr>
            </w:pPr>
            <w:r>
              <w:rPr>
                <w:rFonts w:ascii="Arial" w:eastAsia="Arial" w:hAnsi="Arial" w:cs="Arial"/>
                <w:color w:val="000000"/>
                <w:sz w:val="16"/>
              </w:rPr>
              <w:t>Revised</w:t>
            </w:r>
          </w:p>
        </w:tc>
        <w:tc>
          <w:tcPr>
            <w:tcW w:w="975" w:type="dxa"/>
            <w:tcBorders>
              <w:top w:val="nil"/>
              <w:left w:val="nil"/>
              <w:bottom w:val="nil"/>
              <w:right w:val="nil"/>
              <w:tl2br w:val="nil"/>
              <w:tr2bl w:val="nil"/>
            </w:tcBorders>
            <w:shd w:val="clear" w:color="auto" w:fill="FFFF00"/>
            <w:tcMar>
              <w:left w:w="115" w:type="dxa"/>
              <w:right w:w="115" w:type="dxa"/>
            </w:tcMar>
            <w:vAlign w:val="bottom"/>
          </w:tcPr>
          <w:p w14:paraId="4335B1AD" w14:textId="77777777" w:rsidR="00724034" w:rsidRDefault="00FB7D0B">
            <w:pPr>
              <w:jc w:val="right"/>
              <w:rPr>
                <w:rFonts w:ascii="Arial" w:eastAsia="Arial" w:hAnsi="Arial" w:cs="Arial"/>
                <w:color w:val="000000"/>
                <w:sz w:val="16"/>
              </w:rPr>
            </w:pPr>
            <w:r>
              <w:rPr>
                <w:rFonts w:ascii="Arial" w:eastAsia="Arial" w:hAnsi="Arial" w:cs="Arial"/>
                <w:color w:val="000000"/>
                <w:sz w:val="16"/>
              </w:rPr>
              <w:t>Budget</w:t>
            </w:r>
          </w:p>
        </w:tc>
        <w:tc>
          <w:tcPr>
            <w:tcW w:w="975" w:type="dxa"/>
            <w:tcBorders>
              <w:top w:val="nil"/>
              <w:left w:val="nil"/>
              <w:bottom w:val="nil"/>
              <w:right w:val="nil"/>
              <w:tl2br w:val="nil"/>
              <w:tr2bl w:val="nil"/>
            </w:tcBorders>
            <w:shd w:val="clear" w:color="auto" w:fill="FFFFFF"/>
            <w:tcMar>
              <w:left w:w="115" w:type="dxa"/>
              <w:right w:w="115" w:type="dxa"/>
            </w:tcMar>
            <w:vAlign w:val="bottom"/>
          </w:tcPr>
          <w:p w14:paraId="7DEE0CF1" w14:textId="77777777" w:rsidR="00724034" w:rsidRDefault="00FB7D0B">
            <w:pPr>
              <w:jc w:val="right"/>
              <w:rPr>
                <w:rFonts w:ascii="Arial" w:eastAsia="Arial" w:hAnsi="Arial" w:cs="Arial"/>
                <w:color w:val="000000"/>
                <w:sz w:val="16"/>
              </w:rPr>
            </w:pPr>
            <w:r>
              <w:rPr>
                <w:rFonts w:ascii="Arial" w:eastAsia="Arial" w:hAnsi="Arial" w:cs="Arial"/>
                <w:color w:val="000000"/>
                <w:sz w:val="16"/>
              </w:rPr>
              <w:t>Forward</w:t>
            </w:r>
          </w:p>
        </w:tc>
        <w:tc>
          <w:tcPr>
            <w:tcW w:w="975" w:type="dxa"/>
            <w:tcBorders>
              <w:top w:val="nil"/>
              <w:left w:val="nil"/>
              <w:bottom w:val="nil"/>
              <w:right w:val="nil"/>
              <w:tl2br w:val="nil"/>
              <w:tr2bl w:val="nil"/>
            </w:tcBorders>
            <w:shd w:val="clear" w:color="auto" w:fill="FFFFFF"/>
            <w:tcMar>
              <w:left w:w="115" w:type="dxa"/>
              <w:right w:w="115" w:type="dxa"/>
            </w:tcMar>
            <w:vAlign w:val="bottom"/>
          </w:tcPr>
          <w:p w14:paraId="30736440" w14:textId="77777777" w:rsidR="00724034" w:rsidRDefault="00FB7D0B">
            <w:pPr>
              <w:jc w:val="right"/>
              <w:rPr>
                <w:rFonts w:ascii="Arial" w:eastAsia="Arial" w:hAnsi="Arial" w:cs="Arial"/>
                <w:color w:val="000000"/>
                <w:sz w:val="16"/>
              </w:rPr>
            </w:pPr>
            <w:r>
              <w:rPr>
                <w:rFonts w:ascii="Arial" w:eastAsia="Arial" w:hAnsi="Arial" w:cs="Arial"/>
                <w:color w:val="000000"/>
                <w:sz w:val="16"/>
              </w:rPr>
              <w:t>Forward</w:t>
            </w:r>
          </w:p>
        </w:tc>
        <w:tc>
          <w:tcPr>
            <w:tcW w:w="975" w:type="dxa"/>
            <w:tcBorders>
              <w:top w:val="nil"/>
              <w:left w:val="nil"/>
              <w:bottom w:val="nil"/>
              <w:right w:val="single" w:sz="6" w:space="0" w:color="000000"/>
              <w:tl2br w:val="nil"/>
              <w:tr2bl w:val="nil"/>
            </w:tcBorders>
            <w:shd w:val="clear" w:color="auto" w:fill="FFFFFF"/>
            <w:tcMar>
              <w:left w:w="115" w:type="dxa"/>
              <w:right w:w="115" w:type="dxa"/>
            </w:tcMar>
            <w:vAlign w:val="bottom"/>
          </w:tcPr>
          <w:p w14:paraId="55D9B7E7" w14:textId="77777777" w:rsidR="00724034" w:rsidRDefault="00FB7D0B">
            <w:pPr>
              <w:jc w:val="right"/>
              <w:rPr>
                <w:rFonts w:ascii="Arial" w:eastAsia="Arial" w:hAnsi="Arial" w:cs="Arial"/>
                <w:color w:val="000000"/>
                <w:sz w:val="16"/>
              </w:rPr>
            </w:pPr>
            <w:r>
              <w:rPr>
                <w:rFonts w:ascii="Arial" w:eastAsia="Arial" w:hAnsi="Arial" w:cs="Arial"/>
                <w:color w:val="000000"/>
                <w:sz w:val="16"/>
              </w:rPr>
              <w:t>Forward</w:t>
            </w:r>
          </w:p>
        </w:tc>
      </w:tr>
      <w:tr w:rsidR="00724034" w14:paraId="386C2379" w14:textId="77777777">
        <w:tblPrEx>
          <w:tblLook w:val="04A0" w:firstRow="1" w:lastRow="0" w:firstColumn="1" w:lastColumn="0" w:noHBand="0" w:noVBand="1"/>
        </w:tblPrEx>
        <w:trPr>
          <w:trHeight w:val="225"/>
        </w:trPr>
        <w:tc>
          <w:tcPr>
            <w:tcW w:w="3210" w:type="dxa"/>
            <w:tcBorders>
              <w:top w:val="nil"/>
              <w:left w:val="single" w:sz="6" w:space="0" w:color="000000"/>
              <w:bottom w:val="single" w:sz="6" w:space="0" w:color="000000"/>
              <w:right w:val="nil"/>
              <w:tl2br w:val="nil"/>
              <w:tr2bl w:val="nil"/>
            </w:tcBorders>
            <w:shd w:val="clear" w:color="auto" w:fill="FFFFFF"/>
            <w:tcMar>
              <w:left w:w="115" w:type="dxa"/>
              <w:right w:w="115" w:type="dxa"/>
            </w:tcMar>
            <w:vAlign w:val="bottom"/>
          </w:tcPr>
          <w:p w14:paraId="33127A2D" w14:textId="77777777" w:rsidR="00724034" w:rsidRDefault="00FB7D0B">
            <w:pPr>
              <w:rPr>
                <w:rFonts w:ascii="Arial" w:eastAsia="Arial" w:hAnsi="Arial" w:cs="Arial"/>
                <w:color w:val="000000"/>
                <w:sz w:val="16"/>
              </w:rPr>
            </w:pPr>
            <w:r>
              <w:rPr>
                <w:rFonts w:ascii="Arial" w:eastAsia="Arial" w:hAnsi="Arial" w:cs="Arial"/>
                <w:color w:val="000000"/>
                <w:sz w:val="16"/>
              </w:rPr>
              <w:t>Indicators</w:t>
            </w:r>
          </w:p>
        </w:tc>
        <w:tc>
          <w:tcPr>
            <w:tcW w:w="975"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66E5E95C" w14:textId="77777777" w:rsidR="00724034" w:rsidRDefault="00FB7D0B">
            <w:pPr>
              <w:jc w:val="right"/>
              <w:rPr>
                <w:rFonts w:ascii="Arial" w:eastAsia="Arial" w:hAnsi="Arial" w:cs="Arial"/>
                <w:color w:val="000000"/>
                <w:sz w:val="16"/>
                <w:vertAlign w:val="superscript"/>
              </w:rPr>
            </w:pPr>
            <w:r>
              <w:rPr>
                <w:rFonts w:ascii="Arial" w:eastAsia="Arial" w:hAnsi="Arial" w:cs="Arial"/>
                <w:color w:val="000000"/>
                <w:sz w:val="16"/>
              </w:rPr>
              <w:t>budget</w:t>
            </w:r>
          </w:p>
        </w:tc>
        <w:tc>
          <w:tcPr>
            <w:tcW w:w="975" w:type="dxa"/>
            <w:tcBorders>
              <w:top w:val="nil"/>
              <w:left w:val="nil"/>
              <w:bottom w:val="single" w:sz="6" w:space="0" w:color="000000"/>
              <w:right w:val="nil"/>
              <w:tl2br w:val="nil"/>
              <w:tr2bl w:val="nil"/>
            </w:tcBorders>
            <w:shd w:val="clear" w:color="auto" w:fill="FFFF00"/>
            <w:tcMar>
              <w:left w:w="115" w:type="dxa"/>
              <w:right w:w="115" w:type="dxa"/>
            </w:tcMar>
            <w:vAlign w:val="bottom"/>
          </w:tcPr>
          <w:p w14:paraId="1D366689" w14:textId="77777777" w:rsidR="00724034" w:rsidRDefault="00FB7D0B">
            <w:pPr>
              <w:jc w:val="right"/>
              <w:rPr>
                <w:rFonts w:ascii="Arial" w:eastAsia="Arial" w:hAnsi="Arial" w:cs="Arial"/>
                <w:color w:val="000000"/>
                <w:sz w:val="16"/>
              </w:rPr>
            </w:pPr>
            <w:r>
              <w:rPr>
                <w:rFonts w:ascii="Arial" w:eastAsia="Arial" w:hAnsi="Arial" w:cs="Arial"/>
                <w:color w:val="000000"/>
                <w:sz w:val="16"/>
              </w:rPr>
              <w:t>target</w:t>
            </w:r>
          </w:p>
        </w:tc>
        <w:tc>
          <w:tcPr>
            <w:tcW w:w="975"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4B084FC4" w14:textId="77777777" w:rsidR="00724034" w:rsidRDefault="00FB7D0B">
            <w:pPr>
              <w:jc w:val="right"/>
              <w:rPr>
                <w:rFonts w:ascii="Arial" w:eastAsia="Arial" w:hAnsi="Arial" w:cs="Arial"/>
                <w:color w:val="000000"/>
                <w:sz w:val="16"/>
              </w:rPr>
            </w:pPr>
            <w:r>
              <w:rPr>
                <w:rFonts w:ascii="Arial" w:eastAsia="Arial" w:hAnsi="Arial" w:cs="Arial"/>
                <w:color w:val="000000"/>
                <w:sz w:val="16"/>
              </w:rPr>
              <w:t>year 1</w:t>
            </w:r>
          </w:p>
        </w:tc>
        <w:tc>
          <w:tcPr>
            <w:tcW w:w="975"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18E8DC4F" w14:textId="77777777" w:rsidR="00724034" w:rsidRDefault="00FB7D0B">
            <w:pPr>
              <w:jc w:val="right"/>
              <w:rPr>
                <w:rFonts w:ascii="Arial" w:eastAsia="Arial" w:hAnsi="Arial" w:cs="Arial"/>
                <w:color w:val="000000"/>
                <w:sz w:val="16"/>
              </w:rPr>
            </w:pPr>
            <w:r>
              <w:rPr>
                <w:rFonts w:ascii="Arial" w:eastAsia="Arial" w:hAnsi="Arial" w:cs="Arial"/>
                <w:color w:val="000000"/>
                <w:sz w:val="16"/>
              </w:rPr>
              <w:t>year 2</w:t>
            </w:r>
          </w:p>
        </w:tc>
        <w:tc>
          <w:tcPr>
            <w:tcW w:w="975" w:type="dxa"/>
            <w:tcBorders>
              <w:top w:val="nil"/>
              <w:left w:val="nil"/>
              <w:bottom w:val="single" w:sz="6" w:space="0" w:color="000000"/>
              <w:right w:val="single" w:sz="6" w:space="0" w:color="000000"/>
              <w:tl2br w:val="nil"/>
              <w:tr2bl w:val="nil"/>
            </w:tcBorders>
            <w:shd w:val="clear" w:color="auto" w:fill="FFFFFF"/>
            <w:tcMar>
              <w:left w:w="115" w:type="dxa"/>
              <w:right w:w="115" w:type="dxa"/>
            </w:tcMar>
            <w:vAlign w:val="bottom"/>
          </w:tcPr>
          <w:p w14:paraId="38588ED4" w14:textId="77777777" w:rsidR="00724034" w:rsidRDefault="00FB7D0B">
            <w:pPr>
              <w:jc w:val="right"/>
              <w:rPr>
                <w:rFonts w:ascii="Arial" w:eastAsia="Arial" w:hAnsi="Arial" w:cs="Arial"/>
                <w:color w:val="000000"/>
                <w:sz w:val="16"/>
              </w:rPr>
            </w:pPr>
            <w:r>
              <w:rPr>
                <w:rFonts w:ascii="Arial" w:eastAsia="Arial" w:hAnsi="Arial" w:cs="Arial"/>
                <w:color w:val="000000"/>
                <w:sz w:val="16"/>
              </w:rPr>
              <w:t>year 3</w:t>
            </w:r>
          </w:p>
        </w:tc>
      </w:tr>
      <w:tr w:rsidR="00724034" w14:paraId="596B6249" w14:textId="77777777">
        <w:tblPrEx>
          <w:tblLook w:val="04A0" w:firstRow="1" w:lastRow="0" w:firstColumn="1" w:lastColumn="0" w:noHBand="0" w:noVBand="1"/>
        </w:tblPrEx>
        <w:trPr>
          <w:trHeight w:val="60"/>
        </w:trPr>
        <w:tc>
          <w:tcPr>
            <w:tcW w:w="3210" w:type="dxa"/>
            <w:tcBorders>
              <w:top w:val="single" w:sz="6" w:space="0" w:color="000000"/>
              <w:left w:val="single" w:sz="6" w:space="0" w:color="000000"/>
              <w:bottom w:val="nil"/>
              <w:right w:val="nil"/>
              <w:tl2br w:val="nil"/>
              <w:tr2bl w:val="nil"/>
            </w:tcBorders>
            <w:shd w:val="clear" w:color="auto" w:fill="FFFFFF"/>
            <w:tcMar>
              <w:left w:w="115" w:type="dxa"/>
              <w:right w:w="115" w:type="dxa"/>
            </w:tcMar>
            <w:vAlign w:val="bottom"/>
          </w:tcPr>
          <w:p w14:paraId="2799A53C" w14:textId="77777777" w:rsidR="00724034" w:rsidRDefault="00724034">
            <w:pPr>
              <w:rPr>
                <w:rFonts w:ascii="Arial" w:eastAsia="Arial" w:hAnsi="Arial" w:cs="Arial"/>
                <w:color w:val="000000"/>
                <w:sz w:val="16"/>
              </w:rPr>
            </w:pPr>
          </w:p>
        </w:tc>
        <w:tc>
          <w:tcPr>
            <w:tcW w:w="975"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4C64C530" w14:textId="77777777" w:rsidR="00724034" w:rsidRDefault="00724034">
            <w:pPr>
              <w:jc w:val="right"/>
              <w:rPr>
                <w:rFonts w:ascii="Arial" w:eastAsia="Arial" w:hAnsi="Arial" w:cs="Arial"/>
                <w:color w:val="000000"/>
                <w:sz w:val="16"/>
                <w:vertAlign w:val="superscript"/>
              </w:rPr>
            </w:pPr>
          </w:p>
        </w:tc>
        <w:tc>
          <w:tcPr>
            <w:tcW w:w="975" w:type="dxa"/>
            <w:tcBorders>
              <w:top w:val="single" w:sz="6" w:space="0" w:color="000000"/>
              <w:left w:val="nil"/>
              <w:bottom w:val="nil"/>
              <w:right w:val="nil"/>
              <w:tl2br w:val="nil"/>
              <w:tr2bl w:val="nil"/>
            </w:tcBorders>
            <w:shd w:val="clear" w:color="auto" w:fill="FFFF00"/>
            <w:tcMar>
              <w:left w:w="115" w:type="dxa"/>
              <w:right w:w="115" w:type="dxa"/>
            </w:tcMar>
            <w:vAlign w:val="bottom"/>
          </w:tcPr>
          <w:p w14:paraId="50EDACD6" w14:textId="77777777" w:rsidR="00724034" w:rsidRDefault="00724034">
            <w:pPr>
              <w:jc w:val="right"/>
              <w:rPr>
                <w:rFonts w:ascii="Arial" w:eastAsia="Arial" w:hAnsi="Arial" w:cs="Arial"/>
                <w:color w:val="000000"/>
                <w:sz w:val="16"/>
                <w:vertAlign w:val="superscript"/>
              </w:rPr>
            </w:pPr>
          </w:p>
        </w:tc>
        <w:tc>
          <w:tcPr>
            <w:tcW w:w="975"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490C64E2" w14:textId="77777777" w:rsidR="00724034" w:rsidRDefault="00724034">
            <w:pPr>
              <w:jc w:val="right"/>
              <w:rPr>
                <w:rFonts w:ascii="Arial" w:eastAsia="Arial" w:hAnsi="Arial" w:cs="Arial"/>
                <w:color w:val="000000"/>
                <w:sz w:val="16"/>
                <w:vertAlign w:val="superscript"/>
              </w:rPr>
            </w:pPr>
          </w:p>
        </w:tc>
        <w:tc>
          <w:tcPr>
            <w:tcW w:w="975"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7B871574" w14:textId="77777777" w:rsidR="00724034" w:rsidRDefault="00724034">
            <w:pPr>
              <w:jc w:val="right"/>
              <w:rPr>
                <w:rFonts w:ascii="Arial" w:eastAsia="Arial" w:hAnsi="Arial" w:cs="Arial"/>
                <w:color w:val="000000"/>
                <w:sz w:val="16"/>
                <w:vertAlign w:val="superscript"/>
              </w:rPr>
            </w:pPr>
          </w:p>
        </w:tc>
        <w:tc>
          <w:tcPr>
            <w:tcW w:w="975" w:type="dxa"/>
            <w:tcBorders>
              <w:top w:val="single" w:sz="6" w:space="0" w:color="000000"/>
              <w:left w:val="nil"/>
              <w:bottom w:val="nil"/>
              <w:right w:val="single" w:sz="6" w:space="0" w:color="000000"/>
              <w:tl2br w:val="nil"/>
              <w:tr2bl w:val="nil"/>
            </w:tcBorders>
            <w:shd w:val="clear" w:color="auto" w:fill="FFFFFF"/>
            <w:tcMar>
              <w:left w:w="115" w:type="dxa"/>
              <w:right w:w="115" w:type="dxa"/>
            </w:tcMar>
            <w:vAlign w:val="bottom"/>
          </w:tcPr>
          <w:p w14:paraId="084EFDCD" w14:textId="77777777" w:rsidR="00724034" w:rsidRDefault="00724034">
            <w:pPr>
              <w:jc w:val="right"/>
              <w:rPr>
                <w:rFonts w:ascii="Arial" w:eastAsia="Arial" w:hAnsi="Arial" w:cs="Arial"/>
                <w:color w:val="000000"/>
                <w:sz w:val="16"/>
                <w:vertAlign w:val="superscript"/>
              </w:rPr>
            </w:pPr>
          </w:p>
        </w:tc>
      </w:tr>
      <w:tr w:rsidR="00724034" w14:paraId="645B5EA6" w14:textId="77777777">
        <w:tblPrEx>
          <w:tblLook w:val="04A0" w:firstRow="1" w:lastRow="0" w:firstColumn="1" w:lastColumn="0" w:noHBand="0" w:noVBand="1"/>
        </w:tblPrEx>
        <w:trPr>
          <w:trHeight w:val="225"/>
        </w:trPr>
        <w:tc>
          <w:tcPr>
            <w:tcW w:w="3210" w:type="dxa"/>
            <w:tcBorders>
              <w:top w:val="nil"/>
              <w:left w:val="single" w:sz="6" w:space="0" w:color="000000"/>
              <w:bottom w:val="single" w:sz="6" w:space="0" w:color="000000"/>
              <w:right w:val="nil"/>
              <w:tl2br w:val="nil"/>
              <w:tr2bl w:val="nil"/>
            </w:tcBorders>
            <w:shd w:val="clear" w:color="auto" w:fill="FFFFFF"/>
            <w:tcMar>
              <w:left w:w="115" w:type="dxa"/>
              <w:right w:w="115" w:type="dxa"/>
            </w:tcMar>
            <w:vAlign w:val="bottom"/>
          </w:tcPr>
          <w:p w14:paraId="07A668EF" w14:textId="77777777" w:rsidR="00724034" w:rsidRDefault="00FB7D0B">
            <w:pPr>
              <w:rPr>
                <w:rFonts w:ascii="Arial" w:eastAsia="Arial" w:hAnsi="Arial" w:cs="Arial"/>
                <w:color w:val="000000"/>
                <w:sz w:val="16"/>
                <w:vertAlign w:val="superscript"/>
              </w:rPr>
            </w:pPr>
            <w:r>
              <w:rPr>
                <w:rFonts w:ascii="Arial" w:eastAsia="Arial" w:hAnsi="Arial" w:cs="Arial"/>
                <w:i/>
                <w:color w:val="000000"/>
                <w:sz w:val="16"/>
              </w:rPr>
              <w:t>Price</w:t>
            </w:r>
            <w:r>
              <w:rPr>
                <w:rFonts w:ascii="Arial" w:eastAsia="Arial" w:hAnsi="Arial" w:cs="Arial"/>
                <w:color w:val="000000"/>
                <w:sz w:val="16"/>
              </w:rPr>
              <w:t>: Unit cost per cardholder</w:t>
            </w:r>
          </w:p>
        </w:tc>
        <w:tc>
          <w:tcPr>
            <w:tcW w:w="975"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16144735" w14:textId="77777777" w:rsidR="00724034" w:rsidRDefault="00FB7D0B">
            <w:pPr>
              <w:jc w:val="right"/>
              <w:rPr>
                <w:rFonts w:ascii="Arial" w:eastAsia="Arial" w:hAnsi="Arial" w:cs="Arial"/>
                <w:i/>
                <w:color w:val="000000"/>
                <w:sz w:val="16"/>
                <w:vertAlign w:val="superscript"/>
              </w:rPr>
            </w:pPr>
            <w:r>
              <w:rPr>
                <w:rFonts w:ascii="Arial" w:eastAsia="Arial" w:hAnsi="Arial" w:cs="Arial"/>
                <w:color w:val="000000"/>
                <w:sz w:val="16"/>
              </w:rPr>
              <w:t xml:space="preserve"> 53 </w:t>
            </w:r>
          </w:p>
        </w:tc>
        <w:tc>
          <w:tcPr>
            <w:tcW w:w="975" w:type="dxa"/>
            <w:tcBorders>
              <w:top w:val="nil"/>
              <w:left w:val="nil"/>
              <w:bottom w:val="single" w:sz="6" w:space="0" w:color="000000"/>
              <w:right w:val="nil"/>
              <w:tl2br w:val="nil"/>
              <w:tr2bl w:val="nil"/>
            </w:tcBorders>
            <w:shd w:val="clear" w:color="auto" w:fill="FFFF00"/>
            <w:tcMar>
              <w:left w:w="115" w:type="dxa"/>
              <w:right w:w="115" w:type="dxa"/>
            </w:tcMar>
            <w:vAlign w:val="bottom"/>
          </w:tcPr>
          <w:p w14:paraId="22FC8071" w14:textId="77777777" w:rsidR="00724034" w:rsidRDefault="00FB7D0B">
            <w:pPr>
              <w:jc w:val="right"/>
              <w:rPr>
                <w:rFonts w:ascii="Arial" w:eastAsia="Arial" w:hAnsi="Arial" w:cs="Arial"/>
                <w:color w:val="000000"/>
                <w:sz w:val="16"/>
              </w:rPr>
            </w:pPr>
            <w:r>
              <w:rPr>
                <w:rFonts w:ascii="Arial" w:eastAsia="Arial" w:hAnsi="Arial" w:cs="Arial"/>
                <w:color w:val="000000"/>
                <w:sz w:val="16"/>
              </w:rPr>
              <w:t xml:space="preserve"> 55 </w:t>
            </w:r>
          </w:p>
        </w:tc>
        <w:tc>
          <w:tcPr>
            <w:tcW w:w="975"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4BD82DC4" w14:textId="77777777" w:rsidR="00724034" w:rsidRDefault="00FB7D0B">
            <w:pPr>
              <w:jc w:val="right"/>
              <w:rPr>
                <w:rFonts w:ascii="Arial" w:eastAsia="Arial" w:hAnsi="Arial" w:cs="Arial"/>
                <w:color w:val="000000"/>
                <w:sz w:val="16"/>
              </w:rPr>
            </w:pPr>
            <w:r>
              <w:rPr>
                <w:rFonts w:ascii="Arial" w:eastAsia="Arial" w:hAnsi="Arial" w:cs="Arial"/>
                <w:color w:val="000000"/>
                <w:sz w:val="16"/>
              </w:rPr>
              <w:t xml:space="preserve"> 58 </w:t>
            </w:r>
          </w:p>
        </w:tc>
        <w:tc>
          <w:tcPr>
            <w:tcW w:w="975"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3F609351" w14:textId="77777777" w:rsidR="00724034" w:rsidRDefault="00FB7D0B">
            <w:pPr>
              <w:jc w:val="right"/>
              <w:rPr>
                <w:rFonts w:ascii="Arial" w:eastAsia="Arial" w:hAnsi="Arial" w:cs="Arial"/>
                <w:color w:val="000000"/>
                <w:sz w:val="16"/>
              </w:rPr>
            </w:pPr>
            <w:r>
              <w:rPr>
                <w:rFonts w:ascii="Arial" w:eastAsia="Arial" w:hAnsi="Arial" w:cs="Arial"/>
                <w:color w:val="000000"/>
                <w:sz w:val="16"/>
              </w:rPr>
              <w:t xml:space="preserve"> 60 </w:t>
            </w:r>
          </w:p>
        </w:tc>
        <w:tc>
          <w:tcPr>
            <w:tcW w:w="975" w:type="dxa"/>
            <w:tcBorders>
              <w:top w:val="nil"/>
              <w:left w:val="nil"/>
              <w:bottom w:val="single" w:sz="6" w:space="0" w:color="000000"/>
              <w:right w:val="single" w:sz="6" w:space="0" w:color="000000"/>
              <w:tl2br w:val="nil"/>
              <w:tr2bl w:val="nil"/>
            </w:tcBorders>
            <w:shd w:val="clear" w:color="auto" w:fill="FFFFFF"/>
            <w:tcMar>
              <w:left w:w="115" w:type="dxa"/>
              <w:right w:w="115" w:type="dxa"/>
            </w:tcMar>
            <w:vAlign w:val="bottom"/>
          </w:tcPr>
          <w:p w14:paraId="77005F77" w14:textId="77777777" w:rsidR="00724034" w:rsidRDefault="00FB7D0B">
            <w:pPr>
              <w:jc w:val="right"/>
              <w:rPr>
                <w:rFonts w:ascii="Arial" w:eastAsia="Arial" w:hAnsi="Arial" w:cs="Arial"/>
                <w:color w:val="000000"/>
                <w:sz w:val="16"/>
              </w:rPr>
            </w:pPr>
            <w:r>
              <w:rPr>
                <w:rFonts w:ascii="Arial" w:eastAsia="Arial" w:hAnsi="Arial" w:cs="Arial"/>
                <w:color w:val="000000"/>
                <w:sz w:val="16"/>
              </w:rPr>
              <w:t xml:space="preserve"> 63 </w:t>
            </w:r>
          </w:p>
        </w:tc>
      </w:tr>
      <w:tr w:rsidR="00724034" w14:paraId="13C390A5" w14:textId="77777777">
        <w:tblPrEx>
          <w:tblLook w:val="04A0" w:firstRow="1" w:lastRow="0" w:firstColumn="1" w:lastColumn="0" w:noHBand="0" w:noVBand="1"/>
        </w:tblPrEx>
        <w:trPr>
          <w:trHeight w:val="60"/>
        </w:trPr>
        <w:tc>
          <w:tcPr>
            <w:tcW w:w="3210"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204B016A" w14:textId="77777777" w:rsidR="00724034" w:rsidRDefault="00724034">
            <w:pPr>
              <w:rPr>
                <w:rFonts w:ascii="Arial" w:eastAsia="Arial" w:hAnsi="Arial" w:cs="Arial"/>
                <w:color w:val="000000"/>
                <w:sz w:val="16"/>
              </w:rPr>
            </w:pPr>
          </w:p>
        </w:tc>
        <w:tc>
          <w:tcPr>
            <w:tcW w:w="975"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788203B0" w14:textId="77777777" w:rsidR="00724034" w:rsidRDefault="00724034">
            <w:pPr>
              <w:rPr>
                <w:rFonts w:ascii="Arial" w:eastAsia="Arial" w:hAnsi="Arial" w:cs="Arial"/>
                <w:b/>
                <w:color w:val="000000"/>
                <w:sz w:val="16"/>
                <w:vertAlign w:val="superscript"/>
              </w:rPr>
            </w:pPr>
          </w:p>
        </w:tc>
        <w:tc>
          <w:tcPr>
            <w:tcW w:w="975"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2ED48261" w14:textId="77777777" w:rsidR="00724034" w:rsidRDefault="00724034">
            <w:pPr>
              <w:rPr>
                <w:rFonts w:ascii="Arial" w:eastAsia="Arial" w:hAnsi="Arial" w:cs="Arial"/>
                <w:b/>
                <w:color w:val="000000"/>
                <w:sz w:val="16"/>
                <w:vertAlign w:val="superscript"/>
              </w:rPr>
            </w:pPr>
          </w:p>
        </w:tc>
        <w:tc>
          <w:tcPr>
            <w:tcW w:w="975"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299A9E6D" w14:textId="77777777" w:rsidR="00724034" w:rsidRDefault="00724034">
            <w:pPr>
              <w:rPr>
                <w:rFonts w:ascii="Arial" w:eastAsia="Arial" w:hAnsi="Arial" w:cs="Arial"/>
                <w:b/>
                <w:color w:val="000000"/>
                <w:sz w:val="16"/>
                <w:vertAlign w:val="superscript"/>
              </w:rPr>
            </w:pPr>
          </w:p>
        </w:tc>
        <w:tc>
          <w:tcPr>
            <w:tcW w:w="975"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2BBC979C" w14:textId="77777777" w:rsidR="00724034" w:rsidRDefault="00724034">
            <w:pPr>
              <w:rPr>
                <w:rFonts w:ascii="Arial" w:eastAsia="Arial" w:hAnsi="Arial" w:cs="Arial"/>
                <w:b/>
                <w:color w:val="000000"/>
                <w:sz w:val="16"/>
                <w:vertAlign w:val="superscript"/>
              </w:rPr>
            </w:pPr>
          </w:p>
        </w:tc>
        <w:tc>
          <w:tcPr>
            <w:tcW w:w="975"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7D11179B" w14:textId="77777777" w:rsidR="00724034" w:rsidRDefault="00724034">
            <w:pPr>
              <w:rPr>
                <w:rFonts w:ascii="Arial" w:eastAsia="Arial" w:hAnsi="Arial" w:cs="Arial"/>
                <w:b/>
                <w:color w:val="000000"/>
                <w:sz w:val="16"/>
                <w:vertAlign w:val="superscript"/>
              </w:rPr>
            </w:pPr>
          </w:p>
        </w:tc>
      </w:tr>
    </w:tbl>
    <w:p w14:paraId="5090BCD1" w14:textId="77777777" w:rsidR="00724034" w:rsidRDefault="00FB7D0B">
      <w:r>
        <w:br w:type="page"/>
      </w:r>
    </w:p>
    <w:tbl>
      <w:tblPr>
        <w:tblW w:w="8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
        <w:gridCol w:w="316"/>
        <w:gridCol w:w="2698"/>
        <w:gridCol w:w="952"/>
        <w:gridCol w:w="952"/>
        <w:gridCol w:w="952"/>
        <w:gridCol w:w="952"/>
        <w:gridCol w:w="952"/>
        <w:gridCol w:w="12"/>
      </w:tblGrid>
      <w:tr w:rsidR="00724034" w14:paraId="6AF2F5C2" w14:textId="77777777" w:rsidTr="003F0EEA">
        <w:tc>
          <w:tcPr>
            <w:tcW w:w="8080" w:type="dxa"/>
            <w:gridSpan w:val="9"/>
            <w:tcBorders>
              <w:top w:val="single" w:sz="4" w:space="0" w:color="auto"/>
              <w:left w:val="single" w:sz="4" w:space="0" w:color="auto"/>
              <w:bottom w:val="single" w:sz="4" w:space="0" w:color="auto"/>
              <w:right w:val="single" w:sz="4" w:space="0" w:color="auto"/>
            </w:tcBorders>
            <w:shd w:val="clear" w:color="auto" w:fill="E6E6E6"/>
          </w:tcPr>
          <w:p w14:paraId="5BA88494" w14:textId="77777777" w:rsidR="003F0EEA" w:rsidRPr="00645519" w:rsidRDefault="00FB7D0B">
            <w:pPr>
              <w:pStyle w:val="TableTextLeft25"/>
              <w:rPr>
                <w:b/>
              </w:rPr>
            </w:pPr>
            <w:r w:rsidRPr="00645519">
              <w:rPr>
                <w:b/>
                <w:sz w:val="20"/>
              </w:rPr>
              <w:t>Program</w:t>
            </w:r>
            <w:r>
              <w:rPr>
                <w:b/>
                <w:sz w:val="20"/>
              </w:rPr>
              <w:t>me</w:t>
            </w:r>
            <w:r w:rsidRPr="00645519">
              <w:rPr>
                <w:b/>
                <w:sz w:val="20"/>
              </w:rPr>
              <w:t xml:space="preserve"> 2.3: Veterans' Pharmaceuticals Benefits</w:t>
            </w:r>
          </w:p>
        </w:tc>
      </w:tr>
      <w:tr w:rsidR="00724034" w14:paraId="588E451A" w14:textId="77777777" w:rsidTr="003F0EEA">
        <w:tc>
          <w:tcPr>
            <w:tcW w:w="8080" w:type="dxa"/>
            <w:gridSpan w:val="9"/>
            <w:tcBorders>
              <w:top w:val="single" w:sz="4" w:space="0" w:color="auto"/>
              <w:left w:val="nil"/>
              <w:bottom w:val="single" w:sz="4" w:space="0" w:color="auto"/>
              <w:right w:val="nil"/>
            </w:tcBorders>
          </w:tcPr>
          <w:p w14:paraId="05CB0512" w14:textId="77777777" w:rsidR="003F0EEA" w:rsidRDefault="003F0EEA">
            <w:pPr>
              <w:pStyle w:val="TableTextLeft25"/>
            </w:pPr>
          </w:p>
        </w:tc>
      </w:tr>
      <w:tr w:rsidR="00724034" w14:paraId="204654CD" w14:textId="77777777" w:rsidTr="003F0EEA">
        <w:trPr>
          <w:trHeight w:val="697"/>
        </w:trPr>
        <w:tc>
          <w:tcPr>
            <w:tcW w:w="8080" w:type="dxa"/>
            <w:gridSpan w:val="9"/>
            <w:tcBorders>
              <w:top w:val="single" w:sz="4" w:space="0" w:color="auto"/>
              <w:left w:val="single" w:sz="4" w:space="0" w:color="auto"/>
              <w:bottom w:val="single" w:sz="4" w:space="0" w:color="auto"/>
              <w:right w:val="single" w:sz="4" w:space="0" w:color="auto"/>
            </w:tcBorders>
          </w:tcPr>
          <w:p w14:paraId="64FDCDCF" w14:textId="77777777" w:rsidR="003F0EEA" w:rsidRDefault="00FB7D0B" w:rsidP="003F0EEA">
            <w:pPr>
              <w:pStyle w:val="TableTextLeft25"/>
              <w:rPr>
                <w:b/>
              </w:rPr>
            </w:pPr>
            <w:r>
              <w:rPr>
                <w:b/>
              </w:rPr>
              <w:t>Programme 2.3 objective</w:t>
            </w:r>
          </w:p>
          <w:p w14:paraId="77CD7675" w14:textId="77777777" w:rsidR="003F0EEA" w:rsidRDefault="00FB7D0B" w:rsidP="003F0EEA">
            <w:pPr>
              <w:pStyle w:val="TableTextLeft25"/>
            </w:pPr>
            <w:r>
              <w:t>The Repatriation Pharmaceutical Benefits Scheme (RPBS) will provide entitled beneficiaries access to a comprehensive array of pharmaceuticals and wound dressings for the treatment of their health care needs.</w:t>
            </w:r>
          </w:p>
        </w:tc>
      </w:tr>
      <w:tr w:rsidR="00724034" w14:paraId="06BAC4AE" w14:textId="77777777" w:rsidTr="003F0EEA">
        <w:trPr>
          <w:trHeight w:val="697"/>
        </w:trPr>
        <w:tc>
          <w:tcPr>
            <w:tcW w:w="8080" w:type="dxa"/>
            <w:gridSpan w:val="9"/>
            <w:tcBorders>
              <w:top w:val="single" w:sz="4" w:space="0" w:color="auto"/>
              <w:left w:val="single" w:sz="4" w:space="0" w:color="auto"/>
              <w:bottom w:val="single" w:sz="4" w:space="0" w:color="auto"/>
              <w:right w:val="single" w:sz="4" w:space="0" w:color="auto"/>
            </w:tcBorders>
          </w:tcPr>
          <w:p w14:paraId="452FFE56" w14:textId="77777777" w:rsidR="003F0EEA" w:rsidRDefault="00FB7D0B" w:rsidP="003F0EEA">
            <w:pPr>
              <w:pStyle w:val="TableTextLeft25"/>
              <w:rPr>
                <w:b/>
              </w:rPr>
            </w:pPr>
            <w:r>
              <w:rPr>
                <w:b/>
              </w:rPr>
              <w:t>Linked to:</w:t>
            </w:r>
          </w:p>
          <w:p w14:paraId="5D3CF61E" w14:textId="77777777" w:rsidR="003F0EEA" w:rsidRDefault="00FB7D0B" w:rsidP="003F0EEA">
            <w:pPr>
              <w:pStyle w:val="TableTextLeft25"/>
              <w:rPr>
                <w:b/>
              </w:rPr>
            </w:pPr>
            <w:r w:rsidRPr="00C33D9F">
              <w:t>This programme is linked to the Department of Human Services’ Programme1.</w:t>
            </w:r>
            <w:r>
              <w:t xml:space="preserve">2 – Services to the Community – Health. </w:t>
            </w:r>
          </w:p>
        </w:tc>
      </w:tr>
      <w:tr w:rsidR="00724034" w14:paraId="1E837FEF" w14:textId="77777777" w:rsidTr="003F0EEA">
        <w:tc>
          <w:tcPr>
            <w:tcW w:w="8080" w:type="dxa"/>
            <w:gridSpan w:val="9"/>
            <w:tcBorders>
              <w:top w:val="single" w:sz="4" w:space="0" w:color="auto"/>
              <w:left w:val="nil"/>
              <w:bottom w:val="single" w:sz="4" w:space="0" w:color="auto"/>
              <w:right w:val="nil"/>
            </w:tcBorders>
          </w:tcPr>
          <w:p w14:paraId="4617EA47" w14:textId="77777777" w:rsidR="003F0EEA" w:rsidRDefault="003F0EEA">
            <w:pPr>
              <w:pStyle w:val="TableTextLeft25"/>
              <w:rPr>
                <w:b/>
              </w:rPr>
            </w:pPr>
          </w:p>
        </w:tc>
      </w:tr>
      <w:tr w:rsidR="00724034" w14:paraId="3289219C" w14:textId="77777777" w:rsidTr="003F0EEA">
        <w:trPr>
          <w:trHeight w:val="697"/>
        </w:trPr>
        <w:tc>
          <w:tcPr>
            <w:tcW w:w="8080" w:type="dxa"/>
            <w:gridSpan w:val="9"/>
            <w:tcBorders>
              <w:top w:val="single" w:sz="4" w:space="0" w:color="auto"/>
              <w:left w:val="single" w:sz="4" w:space="0" w:color="auto"/>
              <w:bottom w:val="single" w:sz="4" w:space="0" w:color="auto"/>
              <w:right w:val="single" w:sz="4" w:space="0" w:color="auto"/>
            </w:tcBorders>
          </w:tcPr>
          <w:p w14:paraId="35CFBB02" w14:textId="77777777" w:rsidR="003F0EEA" w:rsidRDefault="00FB7D0B" w:rsidP="003F0EEA">
            <w:pPr>
              <w:pStyle w:val="TableTextLeft25"/>
              <w:rPr>
                <w:b/>
              </w:rPr>
            </w:pPr>
            <w:r>
              <w:rPr>
                <w:b/>
              </w:rPr>
              <w:t>Programme 2.3 expenses</w:t>
            </w:r>
          </w:p>
          <w:p w14:paraId="7D4604A1" w14:textId="77777777" w:rsidR="003F0EEA" w:rsidRDefault="00FB7D0B" w:rsidP="003F0EEA">
            <w:pPr>
              <w:pStyle w:val="TableTextLeft25"/>
              <w:rPr>
                <w:rFonts w:cs="Times New Roman"/>
              </w:rPr>
            </w:pPr>
            <w:r>
              <w:t xml:space="preserve">Expenditure in pharmaceuticals is expected to decline as a result of a reduction in the treatment population and the number of items dispensed under the RPBS.  In addition to this, the reduction of prices on certain medicines listed on the PBS through the price disclosure arrangements has a flow on effect for DVA. </w:t>
            </w:r>
          </w:p>
          <w:p w14:paraId="022C8A94" w14:textId="77777777" w:rsidR="003F0EEA" w:rsidRDefault="00FB7D0B" w:rsidP="003F0EEA">
            <w:pPr>
              <w:pStyle w:val="TableTextLeft25"/>
            </w:pPr>
            <w:r>
              <w:t>Payments to pharmacy providers are made through arrangements with the Department of Human Services (DHS) on behalf of DVA.</w:t>
            </w:r>
          </w:p>
          <w:p w14:paraId="01CD0D70" w14:textId="77777777" w:rsidR="003F0EEA" w:rsidRDefault="00FB7D0B" w:rsidP="003F0EEA">
            <w:pPr>
              <w:pStyle w:val="TableTextLeft25"/>
              <w:rPr>
                <w:b/>
              </w:rPr>
            </w:pPr>
            <w:r>
              <w:t>Expenditure and utilisation of services are demand driven depending on the health care needs of entitled beneficiaries.</w:t>
            </w:r>
          </w:p>
        </w:tc>
      </w:tr>
      <w:tr w:rsidR="00724034" w14:paraId="6A92A18B" w14:textId="77777777">
        <w:tblPrEx>
          <w:tblLook w:val="04A0" w:firstRow="1" w:lastRow="0" w:firstColumn="1" w:lastColumn="0" w:noHBand="0" w:noVBand="1"/>
        </w:tblPrEx>
        <w:trPr>
          <w:gridAfter w:val="1"/>
          <w:wAfter w:w="10" w:type="dxa"/>
          <w:trHeight w:val="225"/>
        </w:trPr>
        <w:tc>
          <w:tcPr>
            <w:tcW w:w="0" w:type="auto"/>
            <w:tcBorders>
              <w:top w:val="single" w:sz="6" w:space="0" w:color="000000"/>
              <w:left w:val="single" w:sz="6" w:space="0" w:color="000000"/>
              <w:bottom w:val="single" w:sz="6" w:space="0" w:color="FFFFFF"/>
              <w:right w:val="nil"/>
              <w:tl2br w:val="nil"/>
              <w:tr2bl w:val="nil"/>
            </w:tcBorders>
            <w:shd w:val="clear" w:color="auto" w:fill="FFFFFF"/>
            <w:tcMar>
              <w:left w:w="101" w:type="dxa"/>
              <w:right w:w="101" w:type="dxa"/>
            </w:tcMar>
            <w:vAlign w:val="bottom"/>
          </w:tcPr>
          <w:p w14:paraId="51DB36AE" w14:textId="77777777" w:rsidR="00724034" w:rsidRDefault="00724034"/>
        </w:tc>
        <w:tc>
          <w:tcPr>
            <w:tcW w:w="0" w:type="auto"/>
            <w:tcBorders>
              <w:top w:val="single" w:sz="6" w:space="0" w:color="000000"/>
              <w:left w:val="nil"/>
              <w:bottom w:val="single" w:sz="6" w:space="0" w:color="FFFFFF"/>
              <w:right w:val="nil"/>
              <w:tl2br w:val="nil"/>
              <w:tr2bl w:val="nil"/>
            </w:tcBorders>
            <w:shd w:val="clear" w:color="auto" w:fill="FFFFFF"/>
            <w:tcMar>
              <w:left w:w="101" w:type="dxa"/>
              <w:right w:w="101" w:type="dxa"/>
            </w:tcMar>
            <w:vAlign w:val="bottom"/>
          </w:tcPr>
          <w:p w14:paraId="61CDA1AD" w14:textId="77777777" w:rsidR="00724034" w:rsidRDefault="00724034">
            <w:pPr>
              <w:rPr>
                <w:rFonts w:ascii="Arial" w:eastAsia="Arial" w:hAnsi="Arial" w:cs="Arial"/>
                <w:color w:val="000000"/>
                <w:sz w:val="16"/>
              </w:rPr>
            </w:pPr>
          </w:p>
        </w:tc>
        <w:tc>
          <w:tcPr>
            <w:tcW w:w="0" w:type="auto"/>
            <w:tcBorders>
              <w:top w:val="single" w:sz="6" w:space="0" w:color="000000"/>
              <w:left w:val="nil"/>
              <w:bottom w:val="single" w:sz="6" w:space="0" w:color="FFFFFF"/>
              <w:right w:val="nil"/>
              <w:tl2br w:val="nil"/>
              <w:tr2bl w:val="nil"/>
            </w:tcBorders>
            <w:shd w:val="clear" w:color="auto" w:fill="FFFFFF"/>
            <w:tcMar>
              <w:left w:w="101" w:type="dxa"/>
              <w:right w:w="101" w:type="dxa"/>
            </w:tcMar>
            <w:vAlign w:val="bottom"/>
          </w:tcPr>
          <w:p w14:paraId="28C05C57" w14:textId="77777777" w:rsidR="00724034" w:rsidRDefault="00724034">
            <w:pPr>
              <w:jc w:val="center"/>
              <w:rPr>
                <w:rFonts w:ascii="Arial" w:eastAsia="Arial" w:hAnsi="Arial" w:cs="Arial"/>
                <w:color w:val="000000"/>
                <w:sz w:val="16"/>
              </w:rPr>
            </w:pPr>
          </w:p>
        </w:tc>
        <w:tc>
          <w:tcPr>
            <w:tcW w:w="0" w:type="auto"/>
            <w:tcBorders>
              <w:top w:val="single" w:sz="6" w:space="0" w:color="000000"/>
              <w:left w:val="nil"/>
              <w:bottom w:val="nil"/>
              <w:right w:val="nil"/>
              <w:tl2br w:val="nil"/>
              <w:tr2bl w:val="nil"/>
            </w:tcBorders>
            <w:shd w:val="clear" w:color="auto" w:fill="FFFFFF"/>
            <w:tcMar>
              <w:left w:w="101" w:type="dxa"/>
              <w:right w:w="101" w:type="dxa"/>
            </w:tcMar>
            <w:vAlign w:val="bottom"/>
          </w:tcPr>
          <w:p w14:paraId="76A33E0F" w14:textId="77777777" w:rsidR="00724034" w:rsidRDefault="00FB7D0B">
            <w:pPr>
              <w:jc w:val="right"/>
              <w:rPr>
                <w:rFonts w:ascii="Arial" w:eastAsia="Arial" w:hAnsi="Arial" w:cs="Arial"/>
                <w:b/>
                <w:color w:val="000000"/>
                <w:sz w:val="16"/>
                <w:vertAlign w:val="superscript"/>
              </w:rPr>
            </w:pPr>
            <w:r>
              <w:rPr>
                <w:rFonts w:ascii="Arial" w:eastAsia="Arial" w:hAnsi="Arial" w:cs="Arial"/>
                <w:color w:val="000000"/>
                <w:sz w:val="16"/>
              </w:rPr>
              <w:t>2013-14</w:t>
            </w:r>
          </w:p>
        </w:tc>
        <w:tc>
          <w:tcPr>
            <w:tcW w:w="0" w:type="auto"/>
            <w:tcBorders>
              <w:top w:val="single" w:sz="6" w:space="0" w:color="000000"/>
              <w:left w:val="nil"/>
              <w:bottom w:val="nil"/>
              <w:right w:val="nil"/>
              <w:tl2br w:val="nil"/>
              <w:tr2bl w:val="nil"/>
            </w:tcBorders>
            <w:shd w:val="clear" w:color="auto" w:fill="FFFF00"/>
            <w:tcMar>
              <w:left w:w="101" w:type="dxa"/>
              <w:right w:w="101" w:type="dxa"/>
            </w:tcMar>
            <w:vAlign w:val="bottom"/>
          </w:tcPr>
          <w:p w14:paraId="6F90B816" w14:textId="77777777" w:rsidR="00724034" w:rsidRDefault="00FB7D0B">
            <w:pPr>
              <w:jc w:val="right"/>
              <w:rPr>
                <w:rFonts w:ascii="Arial" w:eastAsia="Arial" w:hAnsi="Arial" w:cs="Arial"/>
                <w:color w:val="000000"/>
                <w:sz w:val="16"/>
              </w:rPr>
            </w:pPr>
            <w:r>
              <w:rPr>
                <w:rFonts w:ascii="Arial" w:eastAsia="Arial" w:hAnsi="Arial" w:cs="Arial"/>
                <w:color w:val="000000"/>
                <w:sz w:val="16"/>
              </w:rPr>
              <w:t>2014-15</w:t>
            </w:r>
          </w:p>
        </w:tc>
        <w:tc>
          <w:tcPr>
            <w:tcW w:w="0" w:type="auto"/>
            <w:tcBorders>
              <w:top w:val="single" w:sz="6" w:space="0" w:color="000000"/>
              <w:left w:val="nil"/>
              <w:bottom w:val="nil"/>
              <w:right w:val="nil"/>
              <w:tl2br w:val="nil"/>
              <w:tr2bl w:val="nil"/>
            </w:tcBorders>
            <w:shd w:val="clear" w:color="auto" w:fill="FFFFFF"/>
            <w:tcMar>
              <w:left w:w="101" w:type="dxa"/>
              <w:right w:w="101" w:type="dxa"/>
            </w:tcMar>
            <w:vAlign w:val="bottom"/>
          </w:tcPr>
          <w:p w14:paraId="1DF320E6" w14:textId="77777777" w:rsidR="00724034" w:rsidRDefault="00FB7D0B">
            <w:pPr>
              <w:jc w:val="right"/>
              <w:rPr>
                <w:rFonts w:ascii="Arial" w:eastAsia="Arial" w:hAnsi="Arial" w:cs="Arial"/>
                <w:color w:val="000000"/>
                <w:sz w:val="16"/>
              </w:rPr>
            </w:pPr>
            <w:r>
              <w:rPr>
                <w:rFonts w:ascii="Arial" w:eastAsia="Arial" w:hAnsi="Arial" w:cs="Arial"/>
                <w:color w:val="000000"/>
                <w:sz w:val="16"/>
              </w:rPr>
              <w:t>2015-16</w:t>
            </w:r>
          </w:p>
        </w:tc>
        <w:tc>
          <w:tcPr>
            <w:tcW w:w="0" w:type="auto"/>
            <w:tcBorders>
              <w:top w:val="single" w:sz="6" w:space="0" w:color="000000"/>
              <w:left w:val="nil"/>
              <w:bottom w:val="nil"/>
              <w:right w:val="nil"/>
              <w:tl2br w:val="nil"/>
              <w:tr2bl w:val="nil"/>
            </w:tcBorders>
            <w:shd w:val="clear" w:color="auto" w:fill="FFFFFF"/>
            <w:tcMar>
              <w:left w:w="101" w:type="dxa"/>
              <w:right w:w="101" w:type="dxa"/>
            </w:tcMar>
            <w:vAlign w:val="bottom"/>
          </w:tcPr>
          <w:p w14:paraId="1341E99B" w14:textId="77777777" w:rsidR="00724034" w:rsidRDefault="00FB7D0B">
            <w:pPr>
              <w:jc w:val="right"/>
              <w:rPr>
                <w:rFonts w:ascii="Arial" w:eastAsia="Arial" w:hAnsi="Arial" w:cs="Arial"/>
                <w:color w:val="000000"/>
                <w:sz w:val="16"/>
              </w:rPr>
            </w:pPr>
            <w:r>
              <w:rPr>
                <w:rFonts w:ascii="Arial" w:eastAsia="Arial" w:hAnsi="Arial" w:cs="Arial"/>
                <w:color w:val="000000"/>
                <w:sz w:val="16"/>
              </w:rPr>
              <w:t>2016-17</w:t>
            </w:r>
          </w:p>
        </w:tc>
        <w:tc>
          <w:tcPr>
            <w:tcW w:w="0" w:type="auto"/>
            <w:tcBorders>
              <w:top w:val="single" w:sz="6" w:space="0" w:color="000000"/>
              <w:left w:val="nil"/>
              <w:bottom w:val="nil"/>
              <w:right w:val="single" w:sz="6" w:space="0" w:color="000000"/>
              <w:tl2br w:val="nil"/>
              <w:tr2bl w:val="nil"/>
            </w:tcBorders>
            <w:shd w:val="clear" w:color="auto" w:fill="FFFFFF"/>
            <w:tcMar>
              <w:left w:w="101" w:type="dxa"/>
              <w:right w:w="101" w:type="dxa"/>
            </w:tcMar>
            <w:vAlign w:val="bottom"/>
          </w:tcPr>
          <w:p w14:paraId="62AB8ED0" w14:textId="77777777" w:rsidR="00724034" w:rsidRDefault="00FB7D0B">
            <w:pPr>
              <w:jc w:val="right"/>
              <w:rPr>
                <w:rFonts w:ascii="Arial" w:eastAsia="Arial" w:hAnsi="Arial" w:cs="Arial"/>
                <w:color w:val="000000"/>
                <w:sz w:val="16"/>
              </w:rPr>
            </w:pPr>
            <w:r>
              <w:rPr>
                <w:rFonts w:ascii="Arial" w:eastAsia="Arial" w:hAnsi="Arial" w:cs="Arial"/>
                <w:color w:val="000000"/>
                <w:sz w:val="16"/>
              </w:rPr>
              <w:t>2017-18</w:t>
            </w:r>
          </w:p>
        </w:tc>
      </w:tr>
      <w:tr w:rsidR="00724034" w14:paraId="70B19431" w14:textId="77777777">
        <w:tblPrEx>
          <w:tblLook w:val="04A0" w:firstRow="1" w:lastRow="0" w:firstColumn="1" w:lastColumn="0" w:noHBand="0" w:noVBand="1"/>
        </w:tblPrEx>
        <w:trPr>
          <w:gridAfter w:val="1"/>
          <w:wAfter w:w="10" w:type="dxa"/>
          <w:trHeight w:val="225"/>
        </w:trPr>
        <w:tc>
          <w:tcPr>
            <w:tcW w:w="0" w:type="auto"/>
            <w:tcBorders>
              <w:top w:val="single" w:sz="6" w:space="0" w:color="FFFFFF"/>
              <w:left w:val="single" w:sz="6" w:space="0" w:color="000000"/>
              <w:bottom w:val="nil"/>
              <w:right w:val="nil"/>
              <w:tl2br w:val="nil"/>
              <w:tr2bl w:val="nil"/>
            </w:tcBorders>
            <w:shd w:val="clear" w:color="auto" w:fill="FFFFFF"/>
            <w:tcMar>
              <w:left w:w="101" w:type="dxa"/>
              <w:right w:w="101" w:type="dxa"/>
            </w:tcMar>
            <w:vAlign w:val="bottom"/>
          </w:tcPr>
          <w:p w14:paraId="164C457D" w14:textId="77777777" w:rsidR="00724034" w:rsidRDefault="00724034">
            <w:pPr>
              <w:rPr>
                <w:rFonts w:ascii="Arial" w:eastAsia="Arial" w:hAnsi="Arial" w:cs="Arial"/>
                <w:color w:val="000000"/>
                <w:sz w:val="16"/>
              </w:rPr>
            </w:pPr>
          </w:p>
        </w:tc>
        <w:tc>
          <w:tcPr>
            <w:tcW w:w="0" w:type="auto"/>
            <w:tcBorders>
              <w:top w:val="single" w:sz="6" w:space="0" w:color="FFFFFF"/>
              <w:left w:val="nil"/>
              <w:bottom w:val="nil"/>
              <w:right w:val="nil"/>
              <w:tl2br w:val="nil"/>
              <w:tr2bl w:val="nil"/>
            </w:tcBorders>
            <w:shd w:val="clear" w:color="auto" w:fill="FFFFFF"/>
            <w:tcMar>
              <w:left w:w="101" w:type="dxa"/>
              <w:right w:w="101" w:type="dxa"/>
            </w:tcMar>
            <w:vAlign w:val="bottom"/>
          </w:tcPr>
          <w:p w14:paraId="071286C8" w14:textId="77777777" w:rsidR="00724034" w:rsidRDefault="00724034">
            <w:pPr>
              <w:rPr>
                <w:rFonts w:ascii="Arial" w:eastAsia="Arial" w:hAnsi="Arial" w:cs="Arial"/>
                <w:color w:val="000000"/>
                <w:sz w:val="16"/>
              </w:rPr>
            </w:pPr>
          </w:p>
        </w:tc>
        <w:tc>
          <w:tcPr>
            <w:tcW w:w="0" w:type="auto"/>
            <w:tcBorders>
              <w:top w:val="single" w:sz="6" w:space="0" w:color="FFFFFF"/>
              <w:left w:val="nil"/>
              <w:bottom w:val="nil"/>
              <w:right w:val="nil"/>
              <w:tl2br w:val="nil"/>
              <w:tr2bl w:val="nil"/>
            </w:tcBorders>
            <w:shd w:val="clear" w:color="auto" w:fill="FFFFFF"/>
            <w:tcMar>
              <w:left w:w="101" w:type="dxa"/>
              <w:right w:w="101" w:type="dxa"/>
            </w:tcMar>
            <w:vAlign w:val="bottom"/>
          </w:tcPr>
          <w:p w14:paraId="6CC96D3C" w14:textId="77777777" w:rsidR="00724034" w:rsidRDefault="00724034">
            <w:pPr>
              <w:rPr>
                <w:rFonts w:ascii="Arial" w:eastAsia="Arial" w:hAnsi="Arial" w:cs="Arial"/>
                <w:color w:val="000000"/>
                <w:sz w:val="16"/>
              </w:rPr>
            </w:pPr>
          </w:p>
        </w:tc>
        <w:tc>
          <w:tcPr>
            <w:tcW w:w="0" w:type="auto"/>
            <w:tcBorders>
              <w:top w:val="nil"/>
              <w:left w:val="nil"/>
              <w:bottom w:val="nil"/>
              <w:right w:val="nil"/>
              <w:tl2br w:val="nil"/>
              <w:tr2bl w:val="nil"/>
            </w:tcBorders>
            <w:shd w:val="clear" w:color="auto" w:fill="FFFFFF"/>
            <w:tcMar>
              <w:left w:w="101" w:type="dxa"/>
              <w:right w:w="101" w:type="dxa"/>
            </w:tcMar>
            <w:vAlign w:val="bottom"/>
          </w:tcPr>
          <w:p w14:paraId="06709B0D" w14:textId="77777777" w:rsidR="00724034" w:rsidRDefault="00FB7D0B">
            <w:pPr>
              <w:jc w:val="right"/>
              <w:rPr>
                <w:rFonts w:ascii="Arial" w:eastAsia="Arial" w:hAnsi="Arial" w:cs="Arial"/>
                <w:color w:val="000000"/>
                <w:sz w:val="16"/>
                <w:vertAlign w:val="superscript"/>
              </w:rPr>
            </w:pPr>
            <w:r>
              <w:rPr>
                <w:rFonts w:ascii="Arial" w:eastAsia="Arial" w:hAnsi="Arial" w:cs="Arial"/>
                <w:color w:val="000000"/>
                <w:sz w:val="16"/>
              </w:rPr>
              <w:t>Revised</w:t>
            </w:r>
          </w:p>
        </w:tc>
        <w:tc>
          <w:tcPr>
            <w:tcW w:w="0" w:type="auto"/>
            <w:tcBorders>
              <w:top w:val="nil"/>
              <w:left w:val="nil"/>
              <w:bottom w:val="nil"/>
              <w:right w:val="nil"/>
              <w:tl2br w:val="nil"/>
              <w:tr2bl w:val="nil"/>
            </w:tcBorders>
            <w:shd w:val="clear" w:color="auto" w:fill="FFFF00"/>
            <w:tcMar>
              <w:left w:w="101" w:type="dxa"/>
              <w:right w:w="101" w:type="dxa"/>
            </w:tcMar>
            <w:vAlign w:val="bottom"/>
          </w:tcPr>
          <w:p w14:paraId="28F8E5C4" w14:textId="77777777" w:rsidR="00724034" w:rsidRDefault="00FB7D0B">
            <w:pPr>
              <w:jc w:val="right"/>
              <w:rPr>
                <w:rFonts w:ascii="Arial" w:eastAsia="Arial" w:hAnsi="Arial" w:cs="Arial"/>
                <w:color w:val="000000"/>
                <w:sz w:val="16"/>
              </w:rPr>
            </w:pPr>
            <w:r>
              <w:rPr>
                <w:rFonts w:ascii="Arial" w:eastAsia="Arial" w:hAnsi="Arial" w:cs="Arial"/>
                <w:color w:val="000000"/>
                <w:sz w:val="16"/>
              </w:rPr>
              <w:t>Budget</w:t>
            </w:r>
          </w:p>
        </w:tc>
        <w:tc>
          <w:tcPr>
            <w:tcW w:w="0" w:type="auto"/>
            <w:tcBorders>
              <w:top w:val="nil"/>
              <w:left w:val="nil"/>
              <w:bottom w:val="nil"/>
              <w:right w:val="nil"/>
              <w:tl2br w:val="nil"/>
              <w:tr2bl w:val="nil"/>
            </w:tcBorders>
            <w:shd w:val="clear" w:color="auto" w:fill="FFFFFF"/>
            <w:tcMar>
              <w:left w:w="101" w:type="dxa"/>
              <w:right w:w="101" w:type="dxa"/>
            </w:tcMar>
            <w:vAlign w:val="bottom"/>
          </w:tcPr>
          <w:p w14:paraId="6F9351D6" w14:textId="77777777" w:rsidR="00724034" w:rsidRDefault="00FB7D0B">
            <w:pPr>
              <w:jc w:val="right"/>
              <w:rPr>
                <w:rFonts w:ascii="Arial" w:eastAsia="Arial" w:hAnsi="Arial" w:cs="Arial"/>
                <w:color w:val="000000"/>
                <w:sz w:val="16"/>
              </w:rPr>
            </w:pPr>
            <w:r>
              <w:rPr>
                <w:rFonts w:ascii="Arial" w:eastAsia="Arial" w:hAnsi="Arial" w:cs="Arial"/>
                <w:color w:val="000000"/>
                <w:sz w:val="16"/>
              </w:rPr>
              <w:t>Forward</w:t>
            </w:r>
          </w:p>
        </w:tc>
        <w:tc>
          <w:tcPr>
            <w:tcW w:w="0" w:type="auto"/>
            <w:tcBorders>
              <w:top w:val="nil"/>
              <w:left w:val="nil"/>
              <w:bottom w:val="nil"/>
              <w:right w:val="nil"/>
              <w:tl2br w:val="nil"/>
              <w:tr2bl w:val="nil"/>
            </w:tcBorders>
            <w:shd w:val="clear" w:color="auto" w:fill="FFFFFF"/>
            <w:tcMar>
              <w:left w:w="101" w:type="dxa"/>
              <w:right w:w="101" w:type="dxa"/>
            </w:tcMar>
            <w:vAlign w:val="bottom"/>
          </w:tcPr>
          <w:p w14:paraId="01B78372" w14:textId="77777777" w:rsidR="00724034" w:rsidRDefault="00FB7D0B">
            <w:pPr>
              <w:jc w:val="right"/>
              <w:rPr>
                <w:rFonts w:ascii="Arial" w:eastAsia="Arial" w:hAnsi="Arial" w:cs="Arial"/>
                <w:color w:val="000000"/>
                <w:sz w:val="16"/>
              </w:rPr>
            </w:pPr>
            <w:r>
              <w:rPr>
                <w:rFonts w:ascii="Arial" w:eastAsia="Arial" w:hAnsi="Arial" w:cs="Arial"/>
                <w:color w:val="000000"/>
                <w:sz w:val="16"/>
              </w:rPr>
              <w:t>Forward</w:t>
            </w:r>
          </w:p>
        </w:tc>
        <w:tc>
          <w:tcPr>
            <w:tcW w:w="0" w:type="auto"/>
            <w:tcBorders>
              <w:top w:val="nil"/>
              <w:left w:val="nil"/>
              <w:bottom w:val="nil"/>
              <w:right w:val="single" w:sz="6" w:space="0" w:color="000000"/>
              <w:tl2br w:val="nil"/>
              <w:tr2bl w:val="nil"/>
            </w:tcBorders>
            <w:shd w:val="clear" w:color="auto" w:fill="FFFFFF"/>
            <w:tcMar>
              <w:left w:w="101" w:type="dxa"/>
              <w:right w:w="101" w:type="dxa"/>
            </w:tcMar>
            <w:vAlign w:val="bottom"/>
          </w:tcPr>
          <w:p w14:paraId="783A53E6" w14:textId="77777777" w:rsidR="00724034" w:rsidRDefault="00FB7D0B">
            <w:pPr>
              <w:jc w:val="right"/>
              <w:rPr>
                <w:rFonts w:ascii="Arial" w:eastAsia="Arial" w:hAnsi="Arial" w:cs="Arial"/>
                <w:color w:val="000000"/>
                <w:sz w:val="16"/>
              </w:rPr>
            </w:pPr>
            <w:r>
              <w:rPr>
                <w:rFonts w:ascii="Arial" w:eastAsia="Arial" w:hAnsi="Arial" w:cs="Arial"/>
                <w:color w:val="000000"/>
                <w:sz w:val="16"/>
              </w:rPr>
              <w:t>Forward</w:t>
            </w:r>
          </w:p>
        </w:tc>
      </w:tr>
      <w:tr w:rsidR="00FB7D0B" w14:paraId="613B45A4" w14:textId="77777777" w:rsidTr="00FB7D0B">
        <w:tblPrEx>
          <w:tblLook w:val="04A0" w:firstRow="1" w:lastRow="0" w:firstColumn="1" w:lastColumn="0" w:noHBand="0" w:noVBand="1"/>
        </w:tblPrEx>
        <w:trPr>
          <w:gridAfter w:val="1"/>
          <w:wAfter w:w="10" w:type="dxa"/>
          <w:trHeight w:val="225"/>
        </w:trPr>
        <w:tc>
          <w:tcPr>
            <w:tcW w:w="0" w:type="auto"/>
            <w:gridSpan w:val="3"/>
            <w:tcBorders>
              <w:top w:val="nil"/>
              <w:left w:val="single" w:sz="6" w:space="0" w:color="000000"/>
              <w:bottom w:val="single" w:sz="6" w:space="0" w:color="000000"/>
              <w:right w:val="nil"/>
              <w:tl2br w:val="nil"/>
              <w:tr2bl w:val="nil"/>
            </w:tcBorders>
            <w:shd w:val="clear" w:color="auto" w:fill="FFFFFF"/>
            <w:tcMar>
              <w:left w:w="101" w:type="dxa"/>
              <w:right w:w="101" w:type="dxa"/>
            </w:tcMar>
            <w:vAlign w:val="bottom"/>
          </w:tcPr>
          <w:p w14:paraId="678F1376" w14:textId="77777777" w:rsidR="00724034" w:rsidRDefault="00FB7D0B">
            <w:pPr>
              <w:rPr>
                <w:rFonts w:ascii="Arial" w:eastAsia="Arial" w:hAnsi="Arial" w:cs="Arial"/>
                <w:color w:val="000000"/>
                <w:sz w:val="16"/>
              </w:rPr>
            </w:pPr>
            <w:r>
              <w:rPr>
                <w:rFonts w:ascii="Arial" w:eastAsia="Arial" w:hAnsi="Arial" w:cs="Arial"/>
                <w:color w:val="000000"/>
                <w:sz w:val="16"/>
              </w:rPr>
              <w:t>$('000)</w:t>
            </w:r>
          </w:p>
        </w:tc>
        <w:tc>
          <w:tcPr>
            <w:tcW w:w="0" w:type="auto"/>
            <w:tcBorders>
              <w:top w:val="nil"/>
              <w:left w:val="nil"/>
              <w:bottom w:val="single" w:sz="6" w:space="0" w:color="000000"/>
              <w:right w:val="nil"/>
              <w:tl2br w:val="nil"/>
              <w:tr2bl w:val="nil"/>
            </w:tcBorders>
            <w:shd w:val="clear" w:color="auto" w:fill="FFFFFF"/>
            <w:tcMar>
              <w:left w:w="101" w:type="dxa"/>
              <w:right w:w="101" w:type="dxa"/>
            </w:tcMar>
            <w:vAlign w:val="bottom"/>
          </w:tcPr>
          <w:p w14:paraId="76EA72DA" w14:textId="77777777" w:rsidR="00724034" w:rsidRDefault="00FB7D0B">
            <w:pPr>
              <w:jc w:val="right"/>
              <w:rPr>
                <w:rFonts w:ascii="Arial" w:eastAsia="Arial" w:hAnsi="Arial" w:cs="Arial"/>
                <w:color w:val="000000"/>
                <w:sz w:val="16"/>
                <w:vertAlign w:val="superscript"/>
              </w:rPr>
            </w:pPr>
            <w:r>
              <w:rPr>
                <w:rFonts w:ascii="Arial" w:eastAsia="Arial" w:hAnsi="Arial" w:cs="Arial"/>
                <w:color w:val="000000"/>
                <w:sz w:val="16"/>
              </w:rPr>
              <w:t>budget</w:t>
            </w:r>
          </w:p>
        </w:tc>
        <w:tc>
          <w:tcPr>
            <w:tcW w:w="0" w:type="auto"/>
            <w:tcBorders>
              <w:top w:val="nil"/>
              <w:left w:val="nil"/>
              <w:bottom w:val="single" w:sz="6" w:space="0" w:color="000000"/>
              <w:right w:val="nil"/>
              <w:tl2br w:val="nil"/>
              <w:tr2bl w:val="nil"/>
            </w:tcBorders>
            <w:shd w:val="clear" w:color="auto" w:fill="FFFF00"/>
            <w:tcMar>
              <w:left w:w="101" w:type="dxa"/>
              <w:right w:w="101" w:type="dxa"/>
            </w:tcMar>
            <w:vAlign w:val="bottom"/>
          </w:tcPr>
          <w:p w14:paraId="1B44FEFF" w14:textId="77777777" w:rsidR="00724034" w:rsidRDefault="00724034">
            <w:pPr>
              <w:jc w:val="right"/>
              <w:rPr>
                <w:rFonts w:ascii="Arial" w:eastAsia="Arial" w:hAnsi="Arial" w:cs="Arial"/>
                <w:color w:val="000000"/>
                <w:sz w:val="16"/>
              </w:rPr>
            </w:pPr>
          </w:p>
        </w:tc>
        <w:tc>
          <w:tcPr>
            <w:tcW w:w="0" w:type="auto"/>
            <w:tcBorders>
              <w:top w:val="nil"/>
              <w:left w:val="nil"/>
              <w:bottom w:val="single" w:sz="6" w:space="0" w:color="000000"/>
              <w:right w:val="nil"/>
              <w:tl2br w:val="nil"/>
              <w:tr2bl w:val="nil"/>
            </w:tcBorders>
            <w:shd w:val="clear" w:color="auto" w:fill="FFFFFF"/>
            <w:tcMar>
              <w:left w:w="101" w:type="dxa"/>
              <w:right w:w="101" w:type="dxa"/>
            </w:tcMar>
            <w:vAlign w:val="bottom"/>
          </w:tcPr>
          <w:p w14:paraId="40F74265" w14:textId="77777777" w:rsidR="00724034" w:rsidRDefault="00FB7D0B">
            <w:pPr>
              <w:jc w:val="right"/>
              <w:rPr>
                <w:rFonts w:ascii="Arial" w:eastAsia="Arial" w:hAnsi="Arial" w:cs="Arial"/>
                <w:color w:val="000000"/>
                <w:sz w:val="16"/>
              </w:rPr>
            </w:pPr>
            <w:r>
              <w:rPr>
                <w:rFonts w:ascii="Arial" w:eastAsia="Arial" w:hAnsi="Arial" w:cs="Arial"/>
                <w:color w:val="000000"/>
                <w:sz w:val="16"/>
              </w:rPr>
              <w:t>year 1</w:t>
            </w:r>
          </w:p>
        </w:tc>
        <w:tc>
          <w:tcPr>
            <w:tcW w:w="0" w:type="auto"/>
            <w:tcBorders>
              <w:top w:val="nil"/>
              <w:left w:val="nil"/>
              <w:bottom w:val="single" w:sz="6" w:space="0" w:color="000000"/>
              <w:right w:val="nil"/>
              <w:tl2br w:val="nil"/>
              <w:tr2bl w:val="nil"/>
            </w:tcBorders>
            <w:shd w:val="clear" w:color="auto" w:fill="FFFFFF"/>
            <w:tcMar>
              <w:left w:w="101" w:type="dxa"/>
              <w:right w:w="101" w:type="dxa"/>
            </w:tcMar>
            <w:vAlign w:val="bottom"/>
          </w:tcPr>
          <w:p w14:paraId="68BAFAA6" w14:textId="77777777" w:rsidR="00724034" w:rsidRDefault="00FB7D0B">
            <w:pPr>
              <w:jc w:val="right"/>
              <w:rPr>
                <w:rFonts w:ascii="Arial" w:eastAsia="Arial" w:hAnsi="Arial" w:cs="Arial"/>
                <w:color w:val="000000"/>
                <w:sz w:val="16"/>
              </w:rPr>
            </w:pPr>
            <w:r>
              <w:rPr>
                <w:rFonts w:ascii="Arial" w:eastAsia="Arial" w:hAnsi="Arial" w:cs="Arial"/>
                <w:color w:val="000000"/>
                <w:sz w:val="16"/>
              </w:rPr>
              <w:t>year 2</w:t>
            </w:r>
          </w:p>
        </w:tc>
        <w:tc>
          <w:tcPr>
            <w:tcW w:w="0" w:type="auto"/>
            <w:tcBorders>
              <w:top w:val="nil"/>
              <w:left w:val="nil"/>
              <w:bottom w:val="single" w:sz="6" w:space="0" w:color="000000"/>
              <w:right w:val="single" w:sz="6" w:space="0" w:color="000000"/>
              <w:tl2br w:val="nil"/>
              <w:tr2bl w:val="nil"/>
            </w:tcBorders>
            <w:shd w:val="clear" w:color="auto" w:fill="FFFFFF"/>
            <w:tcMar>
              <w:left w:w="101" w:type="dxa"/>
              <w:right w:w="101" w:type="dxa"/>
            </w:tcMar>
            <w:vAlign w:val="bottom"/>
          </w:tcPr>
          <w:p w14:paraId="682EA9F7" w14:textId="77777777" w:rsidR="00724034" w:rsidRDefault="00FB7D0B">
            <w:pPr>
              <w:jc w:val="right"/>
              <w:rPr>
                <w:rFonts w:ascii="Arial" w:eastAsia="Arial" w:hAnsi="Arial" w:cs="Arial"/>
                <w:color w:val="000000"/>
                <w:sz w:val="16"/>
              </w:rPr>
            </w:pPr>
            <w:r>
              <w:rPr>
                <w:rFonts w:ascii="Arial" w:eastAsia="Arial" w:hAnsi="Arial" w:cs="Arial"/>
                <w:color w:val="000000"/>
                <w:sz w:val="16"/>
              </w:rPr>
              <w:t>year 3</w:t>
            </w:r>
          </w:p>
        </w:tc>
      </w:tr>
      <w:tr w:rsidR="00FB7D0B" w14:paraId="4DDA633B" w14:textId="77777777" w:rsidTr="00FB7D0B">
        <w:tblPrEx>
          <w:tblLook w:val="04A0" w:firstRow="1" w:lastRow="0" w:firstColumn="1" w:lastColumn="0" w:noHBand="0" w:noVBand="1"/>
        </w:tblPrEx>
        <w:trPr>
          <w:gridAfter w:val="1"/>
          <w:wAfter w:w="10" w:type="dxa"/>
          <w:trHeight w:val="225"/>
        </w:trPr>
        <w:tc>
          <w:tcPr>
            <w:tcW w:w="0" w:type="auto"/>
            <w:gridSpan w:val="3"/>
            <w:tcBorders>
              <w:top w:val="nil"/>
              <w:left w:val="single" w:sz="6" w:space="0" w:color="000000"/>
              <w:bottom w:val="nil"/>
              <w:right w:val="nil"/>
              <w:tl2br w:val="nil"/>
              <w:tr2bl w:val="nil"/>
            </w:tcBorders>
            <w:shd w:val="clear" w:color="auto" w:fill="FFFFFF"/>
            <w:tcMar>
              <w:left w:w="101" w:type="dxa"/>
              <w:right w:w="101" w:type="dxa"/>
            </w:tcMar>
            <w:vAlign w:val="bottom"/>
          </w:tcPr>
          <w:p w14:paraId="39EB8769" w14:textId="77777777" w:rsidR="00724034" w:rsidRDefault="00FB7D0B">
            <w:pPr>
              <w:rPr>
                <w:rFonts w:ascii="Arial" w:eastAsia="Arial" w:hAnsi="Arial" w:cs="Arial"/>
                <w:color w:val="000000"/>
                <w:sz w:val="16"/>
              </w:rPr>
            </w:pPr>
            <w:r>
              <w:rPr>
                <w:rFonts w:ascii="Arial" w:eastAsia="Arial" w:hAnsi="Arial" w:cs="Arial"/>
                <w:color w:val="000000"/>
                <w:sz w:val="16"/>
              </w:rPr>
              <w:t>Special Appropriations:</w:t>
            </w:r>
          </w:p>
        </w:tc>
        <w:tc>
          <w:tcPr>
            <w:tcW w:w="0" w:type="auto"/>
            <w:tcBorders>
              <w:top w:val="nil"/>
              <w:left w:val="nil"/>
              <w:bottom w:val="nil"/>
              <w:right w:val="nil"/>
              <w:tl2br w:val="nil"/>
              <w:tr2bl w:val="nil"/>
            </w:tcBorders>
            <w:shd w:val="clear" w:color="auto" w:fill="FFFFFF"/>
            <w:tcMar>
              <w:left w:w="101" w:type="dxa"/>
              <w:right w:w="101" w:type="dxa"/>
            </w:tcMar>
            <w:vAlign w:val="bottom"/>
          </w:tcPr>
          <w:p w14:paraId="1BB69107" w14:textId="77777777" w:rsidR="00724034" w:rsidRDefault="00724034">
            <w:pPr>
              <w:rPr>
                <w:rFonts w:ascii="Arial" w:eastAsia="Arial" w:hAnsi="Arial" w:cs="Arial"/>
                <w:color w:val="000000"/>
                <w:sz w:val="16"/>
                <w:vertAlign w:val="superscript"/>
              </w:rPr>
            </w:pPr>
          </w:p>
        </w:tc>
        <w:tc>
          <w:tcPr>
            <w:tcW w:w="0" w:type="auto"/>
            <w:tcBorders>
              <w:top w:val="nil"/>
              <w:left w:val="nil"/>
              <w:bottom w:val="nil"/>
              <w:right w:val="nil"/>
              <w:tl2br w:val="nil"/>
              <w:tr2bl w:val="nil"/>
            </w:tcBorders>
            <w:shd w:val="clear" w:color="auto" w:fill="FFFF00"/>
            <w:tcMar>
              <w:left w:w="101" w:type="dxa"/>
              <w:right w:w="101" w:type="dxa"/>
            </w:tcMar>
            <w:vAlign w:val="bottom"/>
          </w:tcPr>
          <w:p w14:paraId="45E670C4" w14:textId="77777777" w:rsidR="00724034" w:rsidRDefault="00724034">
            <w:pPr>
              <w:jc w:val="right"/>
              <w:rPr>
                <w:rFonts w:ascii="Arial" w:eastAsia="Arial" w:hAnsi="Arial" w:cs="Arial"/>
                <w:color w:val="000000"/>
                <w:sz w:val="16"/>
                <w:vertAlign w:val="superscript"/>
              </w:rPr>
            </w:pPr>
          </w:p>
        </w:tc>
        <w:tc>
          <w:tcPr>
            <w:tcW w:w="0" w:type="auto"/>
            <w:tcBorders>
              <w:top w:val="nil"/>
              <w:left w:val="nil"/>
              <w:bottom w:val="nil"/>
              <w:right w:val="nil"/>
              <w:tl2br w:val="nil"/>
              <w:tr2bl w:val="nil"/>
            </w:tcBorders>
            <w:shd w:val="clear" w:color="auto" w:fill="FFFFFF"/>
            <w:tcMar>
              <w:left w:w="101" w:type="dxa"/>
              <w:right w:w="101" w:type="dxa"/>
            </w:tcMar>
            <w:vAlign w:val="bottom"/>
          </w:tcPr>
          <w:p w14:paraId="3480E406" w14:textId="77777777" w:rsidR="00724034" w:rsidRDefault="00724034">
            <w:pPr>
              <w:jc w:val="right"/>
              <w:rPr>
                <w:rFonts w:ascii="Arial" w:eastAsia="Arial" w:hAnsi="Arial" w:cs="Arial"/>
                <w:color w:val="000000"/>
                <w:sz w:val="16"/>
                <w:vertAlign w:val="superscript"/>
              </w:rPr>
            </w:pPr>
          </w:p>
        </w:tc>
        <w:tc>
          <w:tcPr>
            <w:tcW w:w="0" w:type="auto"/>
            <w:tcBorders>
              <w:top w:val="nil"/>
              <w:left w:val="nil"/>
              <w:bottom w:val="nil"/>
              <w:right w:val="nil"/>
              <w:tl2br w:val="nil"/>
              <w:tr2bl w:val="nil"/>
            </w:tcBorders>
            <w:shd w:val="clear" w:color="auto" w:fill="FFFFFF"/>
            <w:tcMar>
              <w:left w:w="101" w:type="dxa"/>
              <w:right w:w="101" w:type="dxa"/>
            </w:tcMar>
            <w:vAlign w:val="bottom"/>
          </w:tcPr>
          <w:p w14:paraId="4FB88555" w14:textId="77777777" w:rsidR="00724034" w:rsidRDefault="00724034">
            <w:pPr>
              <w:jc w:val="right"/>
              <w:rPr>
                <w:rFonts w:ascii="Arial" w:eastAsia="Arial" w:hAnsi="Arial" w:cs="Arial"/>
                <w:color w:val="000000"/>
                <w:sz w:val="16"/>
                <w:vertAlign w:val="superscript"/>
              </w:rPr>
            </w:pPr>
          </w:p>
        </w:tc>
        <w:tc>
          <w:tcPr>
            <w:tcW w:w="0" w:type="auto"/>
            <w:tcBorders>
              <w:top w:val="nil"/>
              <w:left w:val="nil"/>
              <w:bottom w:val="nil"/>
              <w:right w:val="single" w:sz="6" w:space="0" w:color="000000"/>
              <w:tl2br w:val="nil"/>
              <w:tr2bl w:val="nil"/>
            </w:tcBorders>
            <w:shd w:val="clear" w:color="auto" w:fill="FFFFFF"/>
            <w:tcMar>
              <w:left w:w="101" w:type="dxa"/>
              <w:right w:w="101" w:type="dxa"/>
            </w:tcMar>
            <w:vAlign w:val="bottom"/>
          </w:tcPr>
          <w:p w14:paraId="74DFEED5" w14:textId="77777777" w:rsidR="00724034" w:rsidRDefault="00724034">
            <w:pPr>
              <w:jc w:val="right"/>
              <w:rPr>
                <w:rFonts w:ascii="Arial" w:eastAsia="Arial" w:hAnsi="Arial" w:cs="Arial"/>
                <w:color w:val="000000"/>
                <w:sz w:val="16"/>
                <w:vertAlign w:val="superscript"/>
              </w:rPr>
            </w:pPr>
          </w:p>
        </w:tc>
      </w:tr>
      <w:tr w:rsidR="00FB7D0B" w14:paraId="0190479D" w14:textId="77777777" w:rsidTr="00FB7D0B">
        <w:tblPrEx>
          <w:tblLook w:val="04A0" w:firstRow="1" w:lastRow="0" w:firstColumn="1" w:lastColumn="0" w:noHBand="0" w:noVBand="1"/>
        </w:tblPrEx>
        <w:trPr>
          <w:gridAfter w:val="1"/>
          <w:wAfter w:w="10" w:type="dxa"/>
          <w:trHeight w:val="225"/>
        </w:trPr>
        <w:tc>
          <w:tcPr>
            <w:tcW w:w="0" w:type="auto"/>
            <w:tcBorders>
              <w:top w:val="single" w:sz="6" w:space="0" w:color="FFFFFF"/>
              <w:left w:val="single" w:sz="6" w:space="0" w:color="000000"/>
              <w:bottom w:val="nil"/>
              <w:right w:val="nil"/>
              <w:tl2br w:val="nil"/>
              <w:tr2bl w:val="nil"/>
            </w:tcBorders>
            <w:shd w:val="clear" w:color="auto" w:fill="FFFFFF"/>
            <w:tcMar>
              <w:left w:w="101" w:type="dxa"/>
              <w:right w:w="101" w:type="dxa"/>
            </w:tcMar>
            <w:vAlign w:val="bottom"/>
          </w:tcPr>
          <w:p w14:paraId="4E1DA008" w14:textId="77777777" w:rsidR="00724034" w:rsidRDefault="00724034">
            <w:pPr>
              <w:rPr>
                <w:rFonts w:ascii="Arial" w:eastAsia="Arial" w:hAnsi="Arial" w:cs="Arial"/>
                <w:color w:val="000000"/>
                <w:sz w:val="16"/>
                <w:vertAlign w:val="superscript"/>
              </w:rPr>
            </w:pPr>
          </w:p>
        </w:tc>
        <w:tc>
          <w:tcPr>
            <w:tcW w:w="0" w:type="auto"/>
            <w:gridSpan w:val="2"/>
            <w:tcBorders>
              <w:top w:val="single" w:sz="6" w:space="0" w:color="FFFFFF"/>
              <w:left w:val="nil"/>
              <w:bottom w:val="nil"/>
              <w:right w:val="nil"/>
              <w:tl2br w:val="nil"/>
              <w:tr2bl w:val="nil"/>
            </w:tcBorders>
            <w:shd w:val="clear" w:color="auto" w:fill="FFFFFF"/>
            <w:tcMar>
              <w:left w:w="101" w:type="dxa"/>
              <w:right w:w="101" w:type="dxa"/>
            </w:tcMar>
            <w:vAlign w:val="bottom"/>
          </w:tcPr>
          <w:p w14:paraId="61912553" w14:textId="77777777" w:rsidR="00724034" w:rsidRDefault="00FB7D0B">
            <w:pPr>
              <w:rPr>
                <w:rFonts w:ascii="Arial" w:eastAsia="Arial" w:hAnsi="Arial" w:cs="Arial"/>
                <w:color w:val="000000"/>
                <w:sz w:val="16"/>
                <w:vertAlign w:val="superscript"/>
              </w:rPr>
            </w:pPr>
            <w:r>
              <w:rPr>
                <w:rFonts w:ascii="Arial" w:eastAsia="Arial" w:hAnsi="Arial" w:cs="Arial"/>
                <w:i/>
                <w:color w:val="000000"/>
                <w:sz w:val="16"/>
              </w:rPr>
              <w:t>Veterans' Entitlements Act 1986 (VEA)</w:t>
            </w:r>
          </w:p>
        </w:tc>
        <w:tc>
          <w:tcPr>
            <w:tcW w:w="0" w:type="auto"/>
            <w:tcBorders>
              <w:top w:val="nil"/>
              <w:left w:val="nil"/>
              <w:bottom w:val="nil"/>
              <w:right w:val="nil"/>
              <w:tl2br w:val="nil"/>
              <w:tr2bl w:val="nil"/>
            </w:tcBorders>
            <w:shd w:val="clear" w:color="auto" w:fill="FFFFFF"/>
            <w:tcMar>
              <w:left w:w="101" w:type="dxa"/>
              <w:right w:w="101" w:type="dxa"/>
            </w:tcMar>
            <w:vAlign w:val="bottom"/>
          </w:tcPr>
          <w:p w14:paraId="1851D9DD" w14:textId="77777777" w:rsidR="00724034" w:rsidRDefault="00724034">
            <w:pPr>
              <w:rPr>
                <w:rFonts w:ascii="Arial" w:eastAsia="Arial" w:hAnsi="Arial" w:cs="Arial"/>
                <w:i/>
                <w:color w:val="000000"/>
                <w:sz w:val="16"/>
                <w:vertAlign w:val="superscript"/>
              </w:rPr>
            </w:pPr>
          </w:p>
        </w:tc>
        <w:tc>
          <w:tcPr>
            <w:tcW w:w="0" w:type="auto"/>
            <w:tcBorders>
              <w:top w:val="nil"/>
              <w:left w:val="nil"/>
              <w:bottom w:val="nil"/>
              <w:right w:val="nil"/>
              <w:tl2br w:val="nil"/>
              <w:tr2bl w:val="nil"/>
            </w:tcBorders>
            <w:shd w:val="clear" w:color="auto" w:fill="FFFF00"/>
            <w:tcMar>
              <w:left w:w="101" w:type="dxa"/>
              <w:right w:w="101" w:type="dxa"/>
            </w:tcMar>
            <w:vAlign w:val="bottom"/>
          </w:tcPr>
          <w:p w14:paraId="171FBEAA" w14:textId="77777777" w:rsidR="00724034" w:rsidRDefault="00724034">
            <w:pPr>
              <w:jc w:val="right"/>
              <w:rPr>
                <w:rFonts w:ascii="Arial" w:eastAsia="Arial" w:hAnsi="Arial" w:cs="Arial"/>
                <w:color w:val="000000"/>
                <w:sz w:val="16"/>
                <w:vertAlign w:val="superscript"/>
              </w:rPr>
            </w:pPr>
          </w:p>
        </w:tc>
        <w:tc>
          <w:tcPr>
            <w:tcW w:w="0" w:type="auto"/>
            <w:tcBorders>
              <w:top w:val="nil"/>
              <w:left w:val="nil"/>
              <w:bottom w:val="nil"/>
              <w:right w:val="nil"/>
              <w:tl2br w:val="nil"/>
              <w:tr2bl w:val="nil"/>
            </w:tcBorders>
            <w:shd w:val="clear" w:color="auto" w:fill="FFFFFF"/>
            <w:tcMar>
              <w:left w:w="101" w:type="dxa"/>
              <w:right w:w="101" w:type="dxa"/>
            </w:tcMar>
            <w:vAlign w:val="bottom"/>
          </w:tcPr>
          <w:p w14:paraId="37E24F42" w14:textId="77777777" w:rsidR="00724034" w:rsidRDefault="00724034">
            <w:pPr>
              <w:jc w:val="right"/>
              <w:rPr>
                <w:rFonts w:ascii="Arial" w:eastAsia="Arial" w:hAnsi="Arial" w:cs="Arial"/>
                <w:color w:val="000000"/>
                <w:sz w:val="16"/>
                <w:vertAlign w:val="superscript"/>
              </w:rPr>
            </w:pPr>
          </w:p>
        </w:tc>
        <w:tc>
          <w:tcPr>
            <w:tcW w:w="0" w:type="auto"/>
            <w:tcBorders>
              <w:top w:val="nil"/>
              <w:left w:val="nil"/>
              <w:bottom w:val="nil"/>
              <w:right w:val="nil"/>
              <w:tl2br w:val="nil"/>
              <w:tr2bl w:val="nil"/>
            </w:tcBorders>
            <w:shd w:val="clear" w:color="auto" w:fill="FFFFFF"/>
            <w:tcMar>
              <w:left w:w="101" w:type="dxa"/>
              <w:right w:w="101" w:type="dxa"/>
            </w:tcMar>
            <w:vAlign w:val="bottom"/>
          </w:tcPr>
          <w:p w14:paraId="0007661B" w14:textId="77777777" w:rsidR="00724034" w:rsidRDefault="00724034">
            <w:pPr>
              <w:jc w:val="right"/>
              <w:rPr>
                <w:rFonts w:ascii="Arial" w:eastAsia="Arial" w:hAnsi="Arial" w:cs="Arial"/>
                <w:color w:val="000000"/>
                <w:sz w:val="16"/>
                <w:vertAlign w:val="superscript"/>
              </w:rPr>
            </w:pPr>
          </w:p>
        </w:tc>
        <w:tc>
          <w:tcPr>
            <w:tcW w:w="0" w:type="auto"/>
            <w:tcBorders>
              <w:top w:val="nil"/>
              <w:left w:val="nil"/>
              <w:bottom w:val="nil"/>
              <w:right w:val="single" w:sz="6" w:space="0" w:color="000000"/>
              <w:tl2br w:val="nil"/>
              <w:tr2bl w:val="nil"/>
            </w:tcBorders>
            <w:shd w:val="clear" w:color="auto" w:fill="FFFFFF"/>
            <w:tcMar>
              <w:left w:w="101" w:type="dxa"/>
              <w:right w:w="101" w:type="dxa"/>
            </w:tcMar>
            <w:vAlign w:val="bottom"/>
          </w:tcPr>
          <w:p w14:paraId="36E4C618" w14:textId="77777777" w:rsidR="00724034" w:rsidRDefault="00724034">
            <w:pPr>
              <w:jc w:val="right"/>
              <w:rPr>
                <w:rFonts w:ascii="Arial" w:eastAsia="Arial" w:hAnsi="Arial" w:cs="Arial"/>
                <w:color w:val="000000"/>
                <w:sz w:val="16"/>
                <w:vertAlign w:val="superscript"/>
              </w:rPr>
            </w:pPr>
          </w:p>
        </w:tc>
      </w:tr>
      <w:tr w:rsidR="00724034" w14:paraId="40A3E14C" w14:textId="77777777">
        <w:tblPrEx>
          <w:tblLook w:val="04A0" w:firstRow="1" w:lastRow="0" w:firstColumn="1" w:lastColumn="0" w:noHBand="0" w:noVBand="1"/>
        </w:tblPrEx>
        <w:trPr>
          <w:gridAfter w:val="1"/>
          <w:wAfter w:w="10" w:type="dxa"/>
          <w:trHeight w:val="225"/>
        </w:trPr>
        <w:tc>
          <w:tcPr>
            <w:tcW w:w="0" w:type="auto"/>
            <w:tcBorders>
              <w:top w:val="nil"/>
              <w:left w:val="single" w:sz="6" w:space="0" w:color="000000"/>
              <w:bottom w:val="nil"/>
              <w:right w:val="nil"/>
              <w:tl2br w:val="nil"/>
              <w:tr2bl w:val="nil"/>
            </w:tcBorders>
            <w:shd w:val="clear" w:color="auto" w:fill="FFFFFF"/>
            <w:tcMar>
              <w:left w:w="101" w:type="dxa"/>
              <w:right w:w="101" w:type="dxa"/>
            </w:tcMar>
            <w:vAlign w:val="bottom"/>
          </w:tcPr>
          <w:p w14:paraId="1717F854" w14:textId="77777777" w:rsidR="00724034" w:rsidRDefault="00724034">
            <w:pPr>
              <w:rPr>
                <w:rFonts w:ascii="Arial" w:eastAsia="Arial" w:hAnsi="Arial" w:cs="Arial"/>
                <w:color w:val="000000"/>
                <w:sz w:val="16"/>
                <w:vertAlign w:val="superscript"/>
              </w:rPr>
            </w:pPr>
          </w:p>
        </w:tc>
        <w:tc>
          <w:tcPr>
            <w:tcW w:w="0" w:type="auto"/>
            <w:tcBorders>
              <w:top w:val="nil"/>
              <w:left w:val="nil"/>
              <w:bottom w:val="nil"/>
              <w:right w:val="nil"/>
              <w:tl2br w:val="nil"/>
              <w:tr2bl w:val="nil"/>
            </w:tcBorders>
            <w:shd w:val="clear" w:color="auto" w:fill="FFFFFF"/>
            <w:tcMar>
              <w:left w:w="101" w:type="dxa"/>
              <w:right w:w="101" w:type="dxa"/>
            </w:tcMar>
            <w:vAlign w:val="bottom"/>
          </w:tcPr>
          <w:p w14:paraId="0D9E5B07" w14:textId="77777777" w:rsidR="00724034" w:rsidRDefault="00724034">
            <w:pPr>
              <w:rPr>
                <w:rFonts w:ascii="Arial" w:eastAsia="Arial" w:hAnsi="Arial" w:cs="Arial"/>
                <w:color w:val="000000"/>
                <w:sz w:val="16"/>
                <w:vertAlign w:val="superscript"/>
              </w:rPr>
            </w:pPr>
          </w:p>
        </w:tc>
        <w:tc>
          <w:tcPr>
            <w:tcW w:w="0" w:type="auto"/>
            <w:tcBorders>
              <w:top w:val="nil"/>
              <w:left w:val="nil"/>
              <w:bottom w:val="nil"/>
              <w:right w:val="nil"/>
              <w:tl2br w:val="nil"/>
              <w:tr2bl w:val="nil"/>
            </w:tcBorders>
            <w:shd w:val="clear" w:color="auto" w:fill="FFFFFF"/>
            <w:tcMar>
              <w:left w:w="101" w:type="dxa"/>
              <w:right w:w="101" w:type="dxa"/>
            </w:tcMar>
            <w:vAlign w:val="bottom"/>
          </w:tcPr>
          <w:p w14:paraId="0F16D67A" w14:textId="77777777" w:rsidR="00724034" w:rsidRDefault="00FB7D0B">
            <w:pPr>
              <w:rPr>
                <w:rFonts w:ascii="Arial" w:eastAsia="Arial" w:hAnsi="Arial" w:cs="Arial"/>
                <w:color w:val="000000"/>
                <w:sz w:val="16"/>
                <w:vertAlign w:val="superscript"/>
              </w:rPr>
            </w:pPr>
            <w:r>
              <w:rPr>
                <w:rFonts w:ascii="Arial" w:eastAsia="Arial" w:hAnsi="Arial" w:cs="Arial"/>
                <w:color w:val="000000"/>
                <w:sz w:val="16"/>
              </w:rPr>
              <w:t>Pharmaceutical services</w:t>
            </w:r>
          </w:p>
        </w:tc>
        <w:tc>
          <w:tcPr>
            <w:tcW w:w="0" w:type="auto"/>
            <w:tcBorders>
              <w:top w:val="nil"/>
              <w:left w:val="nil"/>
              <w:bottom w:val="nil"/>
              <w:right w:val="nil"/>
              <w:tl2br w:val="nil"/>
              <w:tr2bl w:val="nil"/>
            </w:tcBorders>
            <w:shd w:val="clear" w:color="auto" w:fill="FFFFFF"/>
            <w:tcMar>
              <w:left w:w="101" w:type="dxa"/>
              <w:right w:w="101" w:type="dxa"/>
            </w:tcMar>
            <w:vAlign w:val="bottom"/>
          </w:tcPr>
          <w:p w14:paraId="7A2EC79E" w14:textId="77777777" w:rsidR="00724034" w:rsidRDefault="00FB7D0B">
            <w:pPr>
              <w:jc w:val="right"/>
              <w:rPr>
                <w:rFonts w:ascii="Arial" w:eastAsia="Arial" w:hAnsi="Arial" w:cs="Arial"/>
                <w:color w:val="000000"/>
                <w:sz w:val="16"/>
                <w:vertAlign w:val="superscript"/>
              </w:rPr>
            </w:pPr>
            <w:r>
              <w:rPr>
                <w:rFonts w:ascii="Arial" w:eastAsia="Arial" w:hAnsi="Arial" w:cs="Arial"/>
                <w:color w:val="000000"/>
                <w:sz w:val="16"/>
              </w:rPr>
              <w:t>406,200 </w:t>
            </w:r>
          </w:p>
        </w:tc>
        <w:tc>
          <w:tcPr>
            <w:tcW w:w="0" w:type="auto"/>
            <w:tcBorders>
              <w:top w:val="nil"/>
              <w:left w:val="nil"/>
              <w:bottom w:val="nil"/>
              <w:right w:val="nil"/>
              <w:tl2br w:val="nil"/>
              <w:tr2bl w:val="nil"/>
            </w:tcBorders>
            <w:shd w:val="clear" w:color="auto" w:fill="FFFF00"/>
            <w:tcMar>
              <w:left w:w="101" w:type="dxa"/>
              <w:right w:w="101" w:type="dxa"/>
            </w:tcMar>
            <w:vAlign w:val="bottom"/>
          </w:tcPr>
          <w:p w14:paraId="6FACF0EB" w14:textId="77777777" w:rsidR="00724034" w:rsidRDefault="00FB7D0B">
            <w:pPr>
              <w:jc w:val="right"/>
              <w:rPr>
                <w:rFonts w:ascii="Arial" w:eastAsia="Arial" w:hAnsi="Arial" w:cs="Arial"/>
                <w:color w:val="000000"/>
                <w:sz w:val="16"/>
              </w:rPr>
            </w:pPr>
            <w:r>
              <w:rPr>
                <w:rFonts w:ascii="Arial" w:eastAsia="Arial" w:hAnsi="Arial" w:cs="Arial"/>
                <w:color w:val="000000"/>
                <w:sz w:val="16"/>
              </w:rPr>
              <w:t>389,835 </w:t>
            </w:r>
          </w:p>
        </w:tc>
        <w:tc>
          <w:tcPr>
            <w:tcW w:w="0" w:type="auto"/>
            <w:tcBorders>
              <w:top w:val="nil"/>
              <w:left w:val="nil"/>
              <w:bottom w:val="nil"/>
              <w:right w:val="nil"/>
              <w:tl2br w:val="nil"/>
              <w:tr2bl w:val="nil"/>
            </w:tcBorders>
            <w:shd w:val="clear" w:color="auto" w:fill="FFFFFF"/>
            <w:tcMar>
              <w:left w:w="101" w:type="dxa"/>
              <w:right w:w="101" w:type="dxa"/>
            </w:tcMar>
            <w:vAlign w:val="bottom"/>
          </w:tcPr>
          <w:p w14:paraId="58A35AFC" w14:textId="77777777" w:rsidR="00724034" w:rsidRDefault="00FB7D0B">
            <w:pPr>
              <w:jc w:val="right"/>
              <w:rPr>
                <w:rFonts w:ascii="Arial" w:eastAsia="Arial" w:hAnsi="Arial" w:cs="Arial"/>
                <w:color w:val="000000"/>
                <w:sz w:val="16"/>
              </w:rPr>
            </w:pPr>
            <w:r>
              <w:rPr>
                <w:rFonts w:ascii="Arial" w:eastAsia="Arial" w:hAnsi="Arial" w:cs="Arial"/>
                <w:color w:val="000000"/>
                <w:sz w:val="16"/>
              </w:rPr>
              <w:t>368,316 </w:t>
            </w:r>
          </w:p>
        </w:tc>
        <w:tc>
          <w:tcPr>
            <w:tcW w:w="0" w:type="auto"/>
            <w:tcBorders>
              <w:top w:val="nil"/>
              <w:left w:val="nil"/>
              <w:bottom w:val="nil"/>
              <w:right w:val="nil"/>
              <w:tl2br w:val="nil"/>
              <w:tr2bl w:val="nil"/>
            </w:tcBorders>
            <w:shd w:val="clear" w:color="auto" w:fill="FFFFFF"/>
            <w:tcMar>
              <w:left w:w="101" w:type="dxa"/>
              <w:right w:w="101" w:type="dxa"/>
            </w:tcMar>
            <w:vAlign w:val="bottom"/>
          </w:tcPr>
          <w:p w14:paraId="0DE659E1" w14:textId="77777777" w:rsidR="00724034" w:rsidRDefault="00FB7D0B">
            <w:pPr>
              <w:jc w:val="right"/>
              <w:rPr>
                <w:rFonts w:ascii="Arial" w:eastAsia="Arial" w:hAnsi="Arial" w:cs="Arial"/>
                <w:color w:val="000000"/>
                <w:sz w:val="16"/>
              </w:rPr>
            </w:pPr>
            <w:r>
              <w:rPr>
                <w:rFonts w:ascii="Arial" w:eastAsia="Arial" w:hAnsi="Arial" w:cs="Arial"/>
                <w:color w:val="000000"/>
                <w:sz w:val="16"/>
              </w:rPr>
              <w:t>376,295 </w:t>
            </w:r>
          </w:p>
        </w:tc>
        <w:tc>
          <w:tcPr>
            <w:tcW w:w="0" w:type="auto"/>
            <w:tcBorders>
              <w:top w:val="nil"/>
              <w:left w:val="nil"/>
              <w:bottom w:val="nil"/>
              <w:right w:val="single" w:sz="6" w:space="0" w:color="000000"/>
              <w:tl2br w:val="nil"/>
              <w:tr2bl w:val="nil"/>
            </w:tcBorders>
            <w:shd w:val="clear" w:color="auto" w:fill="FFFFFF"/>
            <w:tcMar>
              <w:left w:w="101" w:type="dxa"/>
              <w:right w:w="101" w:type="dxa"/>
            </w:tcMar>
            <w:vAlign w:val="bottom"/>
          </w:tcPr>
          <w:p w14:paraId="5912C888" w14:textId="77777777" w:rsidR="00724034" w:rsidRDefault="00FB7D0B">
            <w:pPr>
              <w:jc w:val="right"/>
              <w:rPr>
                <w:rFonts w:ascii="Arial" w:eastAsia="Arial" w:hAnsi="Arial" w:cs="Arial"/>
                <w:color w:val="000000"/>
                <w:sz w:val="16"/>
              </w:rPr>
            </w:pPr>
            <w:r>
              <w:rPr>
                <w:rFonts w:ascii="Arial" w:eastAsia="Arial" w:hAnsi="Arial" w:cs="Arial"/>
                <w:color w:val="000000"/>
                <w:sz w:val="16"/>
              </w:rPr>
              <w:t>390,299 </w:t>
            </w:r>
          </w:p>
        </w:tc>
      </w:tr>
      <w:tr w:rsidR="00FB7D0B" w14:paraId="516AB293" w14:textId="77777777" w:rsidTr="00FB7D0B">
        <w:tblPrEx>
          <w:tblLook w:val="04A0" w:firstRow="1" w:lastRow="0" w:firstColumn="1" w:lastColumn="0" w:noHBand="0" w:noVBand="1"/>
        </w:tblPrEx>
        <w:trPr>
          <w:gridAfter w:val="1"/>
          <w:wAfter w:w="10" w:type="dxa"/>
          <w:trHeight w:val="225"/>
        </w:trPr>
        <w:tc>
          <w:tcPr>
            <w:tcW w:w="0" w:type="auto"/>
            <w:gridSpan w:val="3"/>
            <w:tcBorders>
              <w:top w:val="nil"/>
              <w:left w:val="single" w:sz="6" w:space="0" w:color="000000"/>
              <w:bottom w:val="nil"/>
              <w:right w:val="nil"/>
              <w:tl2br w:val="nil"/>
              <w:tr2bl w:val="nil"/>
            </w:tcBorders>
            <w:shd w:val="clear" w:color="auto" w:fill="FFFFFF"/>
            <w:tcMar>
              <w:left w:w="101" w:type="dxa"/>
              <w:right w:w="101" w:type="dxa"/>
            </w:tcMar>
            <w:vAlign w:val="bottom"/>
          </w:tcPr>
          <w:p w14:paraId="6A06FCEB" w14:textId="77777777" w:rsidR="00724034" w:rsidRDefault="00FB7D0B">
            <w:pPr>
              <w:rPr>
                <w:rFonts w:ascii="Arial" w:eastAsia="Arial" w:hAnsi="Arial" w:cs="Arial"/>
                <w:color w:val="000000"/>
                <w:sz w:val="16"/>
              </w:rPr>
            </w:pPr>
            <w:r>
              <w:rPr>
                <w:rFonts w:ascii="Arial" w:eastAsia="Arial" w:hAnsi="Arial" w:cs="Arial"/>
                <w:color w:val="000000"/>
                <w:sz w:val="16"/>
              </w:rPr>
              <w:t>Programme support</w:t>
            </w:r>
          </w:p>
        </w:tc>
        <w:tc>
          <w:tcPr>
            <w:tcW w:w="0" w:type="auto"/>
            <w:tcBorders>
              <w:top w:val="nil"/>
              <w:left w:val="nil"/>
              <w:bottom w:val="nil"/>
              <w:right w:val="nil"/>
              <w:tl2br w:val="nil"/>
              <w:tr2bl w:val="nil"/>
            </w:tcBorders>
            <w:shd w:val="clear" w:color="auto" w:fill="FFFFFF"/>
            <w:tcMar>
              <w:left w:w="101" w:type="dxa"/>
              <w:right w:w="101" w:type="dxa"/>
            </w:tcMar>
            <w:vAlign w:val="bottom"/>
          </w:tcPr>
          <w:p w14:paraId="2921BB2F" w14:textId="77777777" w:rsidR="00724034" w:rsidRDefault="00FB7D0B">
            <w:pPr>
              <w:jc w:val="right"/>
              <w:rPr>
                <w:rFonts w:ascii="Arial" w:eastAsia="Arial" w:hAnsi="Arial" w:cs="Arial"/>
                <w:color w:val="000000"/>
                <w:sz w:val="16"/>
                <w:vertAlign w:val="superscript"/>
              </w:rPr>
            </w:pPr>
            <w:r>
              <w:rPr>
                <w:rFonts w:ascii="Arial" w:eastAsia="Arial" w:hAnsi="Arial" w:cs="Arial"/>
                <w:color w:val="000000"/>
                <w:sz w:val="16"/>
              </w:rPr>
              <w:t>1,561 </w:t>
            </w:r>
          </w:p>
        </w:tc>
        <w:tc>
          <w:tcPr>
            <w:tcW w:w="0" w:type="auto"/>
            <w:tcBorders>
              <w:top w:val="nil"/>
              <w:left w:val="nil"/>
              <w:bottom w:val="nil"/>
              <w:right w:val="nil"/>
              <w:tl2br w:val="nil"/>
              <w:tr2bl w:val="nil"/>
            </w:tcBorders>
            <w:shd w:val="clear" w:color="auto" w:fill="FFFF00"/>
            <w:tcMar>
              <w:left w:w="101" w:type="dxa"/>
              <w:right w:w="101" w:type="dxa"/>
            </w:tcMar>
            <w:vAlign w:val="bottom"/>
          </w:tcPr>
          <w:p w14:paraId="0E16BE90" w14:textId="77777777" w:rsidR="00724034" w:rsidRDefault="00FB7D0B">
            <w:pPr>
              <w:jc w:val="right"/>
              <w:rPr>
                <w:rFonts w:ascii="Arial" w:eastAsia="Arial" w:hAnsi="Arial" w:cs="Arial"/>
                <w:color w:val="000000"/>
                <w:sz w:val="16"/>
              </w:rPr>
            </w:pPr>
            <w:r>
              <w:rPr>
                <w:rFonts w:ascii="Arial" w:eastAsia="Arial" w:hAnsi="Arial" w:cs="Arial"/>
                <w:color w:val="000000"/>
                <w:sz w:val="16"/>
              </w:rPr>
              <w:t>1,547 </w:t>
            </w:r>
          </w:p>
        </w:tc>
        <w:tc>
          <w:tcPr>
            <w:tcW w:w="0" w:type="auto"/>
            <w:tcBorders>
              <w:top w:val="nil"/>
              <w:left w:val="nil"/>
              <w:bottom w:val="nil"/>
              <w:right w:val="nil"/>
              <w:tl2br w:val="nil"/>
              <w:tr2bl w:val="nil"/>
            </w:tcBorders>
            <w:shd w:val="clear" w:color="auto" w:fill="FFFFFF"/>
            <w:tcMar>
              <w:left w:w="101" w:type="dxa"/>
              <w:right w:w="101" w:type="dxa"/>
            </w:tcMar>
            <w:vAlign w:val="bottom"/>
          </w:tcPr>
          <w:p w14:paraId="19994E8A" w14:textId="77777777" w:rsidR="00724034" w:rsidRDefault="00FB7D0B">
            <w:pPr>
              <w:jc w:val="right"/>
              <w:rPr>
                <w:rFonts w:ascii="Arial" w:eastAsia="Arial" w:hAnsi="Arial" w:cs="Arial"/>
                <w:color w:val="000000"/>
                <w:sz w:val="16"/>
              </w:rPr>
            </w:pPr>
            <w:r>
              <w:rPr>
                <w:rFonts w:ascii="Arial" w:eastAsia="Arial" w:hAnsi="Arial" w:cs="Arial"/>
                <w:color w:val="000000"/>
                <w:sz w:val="16"/>
              </w:rPr>
              <w:t>1,521 </w:t>
            </w:r>
          </w:p>
        </w:tc>
        <w:tc>
          <w:tcPr>
            <w:tcW w:w="0" w:type="auto"/>
            <w:tcBorders>
              <w:top w:val="nil"/>
              <w:left w:val="nil"/>
              <w:bottom w:val="nil"/>
              <w:right w:val="nil"/>
              <w:tl2br w:val="nil"/>
              <w:tr2bl w:val="nil"/>
            </w:tcBorders>
            <w:shd w:val="clear" w:color="auto" w:fill="FFFFFF"/>
            <w:tcMar>
              <w:left w:w="101" w:type="dxa"/>
              <w:right w:w="101" w:type="dxa"/>
            </w:tcMar>
            <w:vAlign w:val="bottom"/>
          </w:tcPr>
          <w:p w14:paraId="2966CEC3" w14:textId="77777777" w:rsidR="00724034" w:rsidRDefault="00FB7D0B">
            <w:pPr>
              <w:jc w:val="right"/>
              <w:rPr>
                <w:rFonts w:ascii="Arial" w:eastAsia="Arial" w:hAnsi="Arial" w:cs="Arial"/>
                <w:color w:val="000000"/>
                <w:sz w:val="16"/>
              </w:rPr>
            </w:pPr>
            <w:r>
              <w:rPr>
                <w:rFonts w:ascii="Arial" w:eastAsia="Arial" w:hAnsi="Arial" w:cs="Arial"/>
                <w:color w:val="000000"/>
                <w:sz w:val="16"/>
              </w:rPr>
              <w:t>1,498 </w:t>
            </w:r>
          </w:p>
        </w:tc>
        <w:tc>
          <w:tcPr>
            <w:tcW w:w="0" w:type="auto"/>
            <w:tcBorders>
              <w:top w:val="nil"/>
              <w:left w:val="nil"/>
              <w:bottom w:val="nil"/>
              <w:right w:val="single" w:sz="6" w:space="0" w:color="000000"/>
              <w:tl2br w:val="nil"/>
              <w:tr2bl w:val="nil"/>
            </w:tcBorders>
            <w:shd w:val="clear" w:color="auto" w:fill="FFFFFF"/>
            <w:tcMar>
              <w:left w:w="101" w:type="dxa"/>
              <w:right w:w="101" w:type="dxa"/>
            </w:tcMar>
            <w:vAlign w:val="bottom"/>
          </w:tcPr>
          <w:p w14:paraId="6816E561" w14:textId="77777777" w:rsidR="00724034" w:rsidRDefault="00FB7D0B">
            <w:pPr>
              <w:jc w:val="right"/>
              <w:rPr>
                <w:rFonts w:ascii="Arial" w:eastAsia="Arial" w:hAnsi="Arial" w:cs="Arial"/>
                <w:color w:val="000000"/>
                <w:sz w:val="16"/>
              </w:rPr>
            </w:pPr>
            <w:r>
              <w:rPr>
                <w:rFonts w:ascii="Arial" w:eastAsia="Arial" w:hAnsi="Arial" w:cs="Arial"/>
                <w:color w:val="000000"/>
                <w:sz w:val="16"/>
              </w:rPr>
              <w:t>1,504 </w:t>
            </w:r>
          </w:p>
        </w:tc>
      </w:tr>
      <w:tr w:rsidR="00FB7D0B" w14:paraId="5BDC1E66" w14:textId="77777777" w:rsidTr="00FB7D0B">
        <w:tblPrEx>
          <w:tblLook w:val="04A0" w:firstRow="1" w:lastRow="0" w:firstColumn="1" w:lastColumn="0" w:noHBand="0" w:noVBand="1"/>
        </w:tblPrEx>
        <w:trPr>
          <w:gridAfter w:val="1"/>
          <w:wAfter w:w="10" w:type="dxa"/>
          <w:trHeight w:val="450"/>
        </w:trPr>
        <w:tc>
          <w:tcPr>
            <w:tcW w:w="0" w:type="auto"/>
            <w:gridSpan w:val="3"/>
            <w:tcBorders>
              <w:top w:val="single" w:sz="6" w:space="0" w:color="FFFFFF"/>
              <w:left w:val="single" w:sz="6" w:space="0" w:color="000000"/>
              <w:bottom w:val="nil"/>
              <w:right w:val="nil"/>
              <w:tl2br w:val="nil"/>
              <w:tr2bl w:val="nil"/>
            </w:tcBorders>
            <w:shd w:val="clear" w:color="auto" w:fill="FFFFFF"/>
            <w:tcMar>
              <w:left w:w="101" w:type="dxa"/>
              <w:right w:w="101" w:type="dxa"/>
            </w:tcMar>
            <w:vAlign w:val="bottom"/>
          </w:tcPr>
          <w:p w14:paraId="0551804E" w14:textId="77777777" w:rsidR="00724034" w:rsidRDefault="00FB7D0B">
            <w:pPr>
              <w:rPr>
                <w:rFonts w:ascii="Arial" w:eastAsia="Arial" w:hAnsi="Arial" w:cs="Arial"/>
                <w:color w:val="000000"/>
                <w:sz w:val="16"/>
              </w:rPr>
            </w:pPr>
            <w:r>
              <w:rPr>
                <w:rFonts w:ascii="Arial" w:eastAsia="Arial" w:hAnsi="Arial" w:cs="Arial"/>
                <w:color w:val="000000"/>
                <w:sz w:val="16"/>
              </w:rPr>
              <w:t>Expenses not requiring appropriation in the Budget year</w:t>
            </w:r>
            <w:r>
              <w:rPr>
                <w:rFonts w:ascii="Arial" w:eastAsia="Arial" w:hAnsi="Arial" w:cs="Arial"/>
                <w:color w:val="000000"/>
                <w:sz w:val="16"/>
                <w:vertAlign w:val="superscript"/>
              </w:rPr>
              <w:t>1 </w:t>
            </w:r>
          </w:p>
        </w:tc>
        <w:tc>
          <w:tcPr>
            <w:tcW w:w="0" w:type="auto"/>
            <w:tcBorders>
              <w:top w:val="nil"/>
              <w:left w:val="nil"/>
              <w:bottom w:val="nil"/>
              <w:right w:val="nil"/>
              <w:tl2br w:val="nil"/>
              <w:tr2bl w:val="nil"/>
            </w:tcBorders>
            <w:shd w:val="clear" w:color="auto" w:fill="FFFFFF"/>
            <w:tcMar>
              <w:left w:w="101" w:type="dxa"/>
              <w:right w:w="101" w:type="dxa"/>
            </w:tcMar>
            <w:vAlign w:val="bottom"/>
          </w:tcPr>
          <w:p w14:paraId="22B3EE14" w14:textId="77777777" w:rsidR="00724034" w:rsidRDefault="00FB7D0B">
            <w:pPr>
              <w:jc w:val="right"/>
              <w:rPr>
                <w:rFonts w:ascii="Arial" w:eastAsia="Arial" w:hAnsi="Arial" w:cs="Arial"/>
                <w:color w:val="000000"/>
                <w:sz w:val="16"/>
                <w:vertAlign w:val="superscript"/>
              </w:rPr>
            </w:pPr>
            <w:r>
              <w:rPr>
                <w:rFonts w:ascii="Arial" w:eastAsia="Arial" w:hAnsi="Arial" w:cs="Arial"/>
                <w:color w:val="000000"/>
                <w:sz w:val="16"/>
              </w:rPr>
              <w:t>145 </w:t>
            </w:r>
          </w:p>
        </w:tc>
        <w:tc>
          <w:tcPr>
            <w:tcW w:w="0" w:type="auto"/>
            <w:tcBorders>
              <w:top w:val="nil"/>
              <w:left w:val="nil"/>
              <w:bottom w:val="nil"/>
              <w:right w:val="nil"/>
              <w:tl2br w:val="nil"/>
              <w:tr2bl w:val="nil"/>
            </w:tcBorders>
            <w:shd w:val="clear" w:color="auto" w:fill="FFFF00"/>
            <w:tcMar>
              <w:left w:w="101" w:type="dxa"/>
              <w:right w:w="101" w:type="dxa"/>
            </w:tcMar>
            <w:vAlign w:val="bottom"/>
          </w:tcPr>
          <w:p w14:paraId="6BC14284" w14:textId="77777777" w:rsidR="00724034" w:rsidRDefault="00FB7D0B">
            <w:pPr>
              <w:jc w:val="right"/>
              <w:rPr>
                <w:rFonts w:ascii="Arial" w:eastAsia="Arial" w:hAnsi="Arial" w:cs="Arial"/>
                <w:color w:val="000000"/>
                <w:sz w:val="16"/>
              </w:rPr>
            </w:pPr>
            <w:r>
              <w:rPr>
                <w:rFonts w:ascii="Arial" w:eastAsia="Arial" w:hAnsi="Arial" w:cs="Arial"/>
                <w:color w:val="000000"/>
                <w:sz w:val="16"/>
              </w:rPr>
              <w:t>162 </w:t>
            </w:r>
          </w:p>
        </w:tc>
        <w:tc>
          <w:tcPr>
            <w:tcW w:w="0" w:type="auto"/>
            <w:tcBorders>
              <w:top w:val="nil"/>
              <w:left w:val="nil"/>
              <w:bottom w:val="nil"/>
              <w:right w:val="nil"/>
              <w:tl2br w:val="nil"/>
              <w:tr2bl w:val="nil"/>
            </w:tcBorders>
            <w:shd w:val="clear" w:color="auto" w:fill="FFFFFF"/>
            <w:tcMar>
              <w:left w:w="101" w:type="dxa"/>
              <w:right w:w="101" w:type="dxa"/>
            </w:tcMar>
            <w:vAlign w:val="bottom"/>
          </w:tcPr>
          <w:p w14:paraId="7021A634" w14:textId="77777777" w:rsidR="00724034" w:rsidRDefault="00FB7D0B">
            <w:pPr>
              <w:jc w:val="right"/>
              <w:rPr>
                <w:rFonts w:ascii="Arial" w:eastAsia="Arial" w:hAnsi="Arial" w:cs="Arial"/>
                <w:color w:val="000000"/>
                <w:sz w:val="16"/>
              </w:rPr>
            </w:pPr>
            <w:r>
              <w:rPr>
                <w:rFonts w:ascii="Arial" w:eastAsia="Arial" w:hAnsi="Arial" w:cs="Arial"/>
                <w:color w:val="000000"/>
                <w:sz w:val="16"/>
              </w:rPr>
              <w:t>149 </w:t>
            </w:r>
          </w:p>
        </w:tc>
        <w:tc>
          <w:tcPr>
            <w:tcW w:w="0" w:type="auto"/>
            <w:tcBorders>
              <w:top w:val="nil"/>
              <w:left w:val="nil"/>
              <w:bottom w:val="nil"/>
              <w:right w:val="nil"/>
              <w:tl2br w:val="nil"/>
              <w:tr2bl w:val="nil"/>
            </w:tcBorders>
            <w:shd w:val="clear" w:color="auto" w:fill="FFFFFF"/>
            <w:tcMar>
              <w:left w:w="101" w:type="dxa"/>
              <w:right w:w="101" w:type="dxa"/>
            </w:tcMar>
            <w:vAlign w:val="bottom"/>
          </w:tcPr>
          <w:p w14:paraId="55F21A97" w14:textId="77777777" w:rsidR="00724034" w:rsidRDefault="00FB7D0B">
            <w:pPr>
              <w:jc w:val="right"/>
              <w:rPr>
                <w:rFonts w:ascii="Arial" w:eastAsia="Arial" w:hAnsi="Arial" w:cs="Arial"/>
                <w:color w:val="000000"/>
                <w:sz w:val="16"/>
              </w:rPr>
            </w:pPr>
            <w:r>
              <w:rPr>
                <w:rFonts w:ascii="Arial" w:eastAsia="Arial" w:hAnsi="Arial" w:cs="Arial"/>
                <w:color w:val="000000"/>
                <w:sz w:val="16"/>
              </w:rPr>
              <w:t>138 </w:t>
            </w:r>
          </w:p>
        </w:tc>
        <w:tc>
          <w:tcPr>
            <w:tcW w:w="0" w:type="auto"/>
            <w:tcBorders>
              <w:top w:val="nil"/>
              <w:left w:val="nil"/>
              <w:bottom w:val="nil"/>
              <w:right w:val="single" w:sz="6" w:space="0" w:color="000000"/>
              <w:tl2br w:val="nil"/>
              <w:tr2bl w:val="nil"/>
            </w:tcBorders>
            <w:shd w:val="clear" w:color="auto" w:fill="FFFFFF"/>
            <w:tcMar>
              <w:left w:w="101" w:type="dxa"/>
              <w:right w:w="101" w:type="dxa"/>
            </w:tcMar>
            <w:vAlign w:val="bottom"/>
          </w:tcPr>
          <w:p w14:paraId="43F2FCE1" w14:textId="77777777" w:rsidR="00724034" w:rsidRDefault="00FB7D0B">
            <w:pPr>
              <w:jc w:val="right"/>
              <w:rPr>
                <w:rFonts w:ascii="Arial" w:eastAsia="Arial" w:hAnsi="Arial" w:cs="Arial"/>
                <w:color w:val="000000"/>
                <w:sz w:val="16"/>
              </w:rPr>
            </w:pPr>
            <w:r>
              <w:rPr>
                <w:rFonts w:ascii="Arial" w:eastAsia="Arial" w:hAnsi="Arial" w:cs="Arial"/>
                <w:color w:val="000000"/>
                <w:sz w:val="16"/>
              </w:rPr>
              <w:t>115 </w:t>
            </w:r>
          </w:p>
        </w:tc>
      </w:tr>
      <w:tr w:rsidR="00724034" w14:paraId="2CF66F2C" w14:textId="77777777">
        <w:tblPrEx>
          <w:tblLook w:val="04A0" w:firstRow="1" w:lastRow="0" w:firstColumn="1" w:lastColumn="0" w:noHBand="0" w:noVBand="1"/>
        </w:tblPrEx>
        <w:trPr>
          <w:gridAfter w:val="1"/>
          <w:wAfter w:w="10" w:type="dxa"/>
          <w:trHeight w:val="60"/>
        </w:trPr>
        <w:tc>
          <w:tcPr>
            <w:tcW w:w="0" w:type="auto"/>
            <w:tcBorders>
              <w:top w:val="single" w:sz="6" w:space="0" w:color="FFFFFF"/>
              <w:left w:val="single" w:sz="6" w:space="0" w:color="000000"/>
              <w:bottom w:val="nil"/>
              <w:right w:val="nil"/>
              <w:tl2br w:val="nil"/>
              <w:tr2bl w:val="nil"/>
            </w:tcBorders>
            <w:shd w:val="clear" w:color="auto" w:fill="FFFFFF"/>
            <w:tcMar>
              <w:left w:w="101" w:type="dxa"/>
              <w:right w:w="101" w:type="dxa"/>
            </w:tcMar>
            <w:vAlign w:val="bottom"/>
          </w:tcPr>
          <w:p w14:paraId="26872704" w14:textId="77777777" w:rsidR="00724034" w:rsidRDefault="00724034">
            <w:pPr>
              <w:rPr>
                <w:rFonts w:ascii="Arial" w:eastAsia="Arial" w:hAnsi="Arial" w:cs="Arial"/>
                <w:color w:val="000000"/>
                <w:sz w:val="16"/>
              </w:rPr>
            </w:pPr>
          </w:p>
        </w:tc>
        <w:tc>
          <w:tcPr>
            <w:tcW w:w="0" w:type="auto"/>
            <w:tcBorders>
              <w:top w:val="single" w:sz="6" w:space="0" w:color="FFFFFF"/>
              <w:left w:val="nil"/>
              <w:bottom w:val="nil"/>
              <w:right w:val="nil"/>
              <w:tl2br w:val="nil"/>
              <w:tr2bl w:val="nil"/>
            </w:tcBorders>
            <w:shd w:val="clear" w:color="auto" w:fill="FFFFFF"/>
            <w:tcMar>
              <w:left w:w="101" w:type="dxa"/>
              <w:right w:w="101" w:type="dxa"/>
            </w:tcMar>
            <w:vAlign w:val="bottom"/>
          </w:tcPr>
          <w:p w14:paraId="29F096E0" w14:textId="77777777" w:rsidR="00724034" w:rsidRDefault="00724034">
            <w:pPr>
              <w:rPr>
                <w:rFonts w:ascii="Arial" w:eastAsia="Arial" w:hAnsi="Arial" w:cs="Arial"/>
                <w:color w:val="000000"/>
                <w:sz w:val="20"/>
              </w:rPr>
            </w:pPr>
          </w:p>
        </w:tc>
        <w:tc>
          <w:tcPr>
            <w:tcW w:w="0" w:type="auto"/>
            <w:tcBorders>
              <w:top w:val="single" w:sz="6" w:space="0" w:color="FFFFFF"/>
              <w:left w:val="nil"/>
              <w:bottom w:val="nil"/>
              <w:right w:val="nil"/>
              <w:tl2br w:val="nil"/>
              <w:tr2bl w:val="nil"/>
            </w:tcBorders>
            <w:shd w:val="clear" w:color="auto" w:fill="FFFFFF"/>
            <w:tcMar>
              <w:left w:w="101" w:type="dxa"/>
              <w:right w:w="101" w:type="dxa"/>
            </w:tcMar>
            <w:vAlign w:val="bottom"/>
          </w:tcPr>
          <w:p w14:paraId="0DD8E1B9" w14:textId="77777777" w:rsidR="00724034" w:rsidRDefault="00724034">
            <w:pPr>
              <w:rPr>
                <w:rFonts w:ascii="Arial" w:eastAsia="Arial" w:hAnsi="Arial" w:cs="Arial"/>
                <w:color w:val="000000"/>
                <w:sz w:val="20"/>
              </w:rPr>
            </w:pPr>
          </w:p>
        </w:tc>
        <w:tc>
          <w:tcPr>
            <w:tcW w:w="0" w:type="auto"/>
            <w:tcBorders>
              <w:top w:val="nil"/>
              <w:left w:val="nil"/>
              <w:bottom w:val="single" w:sz="6" w:space="0" w:color="000000"/>
              <w:right w:val="nil"/>
              <w:tl2br w:val="nil"/>
              <w:tr2bl w:val="nil"/>
            </w:tcBorders>
            <w:shd w:val="clear" w:color="auto" w:fill="FFFFFF"/>
            <w:tcMar>
              <w:left w:w="101" w:type="dxa"/>
              <w:right w:w="101" w:type="dxa"/>
            </w:tcMar>
            <w:vAlign w:val="bottom"/>
          </w:tcPr>
          <w:p w14:paraId="54584195" w14:textId="77777777" w:rsidR="00724034" w:rsidRDefault="00724034">
            <w:pPr>
              <w:jc w:val="right"/>
              <w:rPr>
                <w:rFonts w:ascii="Arial" w:eastAsia="Arial" w:hAnsi="Arial" w:cs="Arial"/>
                <w:color w:val="000000"/>
                <w:sz w:val="16"/>
                <w:vertAlign w:val="superscript"/>
              </w:rPr>
            </w:pPr>
          </w:p>
        </w:tc>
        <w:tc>
          <w:tcPr>
            <w:tcW w:w="0" w:type="auto"/>
            <w:tcBorders>
              <w:top w:val="nil"/>
              <w:left w:val="nil"/>
              <w:bottom w:val="single" w:sz="6" w:space="0" w:color="000000"/>
              <w:right w:val="nil"/>
              <w:tl2br w:val="nil"/>
              <w:tr2bl w:val="nil"/>
            </w:tcBorders>
            <w:shd w:val="clear" w:color="auto" w:fill="FFFF00"/>
            <w:tcMar>
              <w:left w:w="101" w:type="dxa"/>
              <w:right w:w="101" w:type="dxa"/>
            </w:tcMar>
            <w:vAlign w:val="bottom"/>
          </w:tcPr>
          <w:p w14:paraId="58D8E6FD" w14:textId="77777777" w:rsidR="00724034" w:rsidRDefault="00724034">
            <w:pPr>
              <w:jc w:val="right"/>
              <w:rPr>
                <w:rFonts w:ascii="Arial" w:eastAsia="Arial" w:hAnsi="Arial" w:cs="Arial"/>
                <w:color w:val="000000"/>
                <w:sz w:val="16"/>
                <w:vertAlign w:val="superscript"/>
              </w:rPr>
            </w:pPr>
          </w:p>
        </w:tc>
        <w:tc>
          <w:tcPr>
            <w:tcW w:w="0" w:type="auto"/>
            <w:tcBorders>
              <w:top w:val="nil"/>
              <w:left w:val="nil"/>
              <w:bottom w:val="single" w:sz="6" w:space="0" w:color="000000"/>
              <w:right w:val="nil"/>
              <w:tl2br w:val="nil"/>
              <w:tr2bl w:val="nil"/>
            </w:tcBorders>
            <w:shd w:val="clear" w:color="auto" w:fill="FFFFFF"/>
            <w:tcMar>
              <w:left w:w="101" w:type="dxa"/>
              <w:right w:w="101" w:type="dxa"/>
            </w:tcMar>
            <w:vAlign w:val="bottom"/>
          </w:tcPr>
          <w:p w14:paraId="14226D67" w14:textId="77777777" w:rsidR="00724034" w:rsidRDefault="00724034">
            <w:pPr>
              <w:jc w:val="right"/>
              <w:rPr>
                <w:rFonts w:ascii="Arial" w:eastAsia="Arial" w:hAnsi="Arial" w:cs="Arial"/>
                <w:color w:val="000000"/>
                <w:sz w:val="16"/>
                <w:vertAlign w:val="superscript"/>
              </w:rPr>
            </w:pPr>
          </w:p>
        </w:tc>
        <w:tc>
          <w:tcPr>
            <w:tcW w:w="0" w:type="auto"/>
            <w:tcBorders>
              <w:top w:val="nil"/>
              <w:left w:val="nil"/>
              <w:bottom w:val="single" w:sz="6" w:space="0" w:color="000000"/>
              <w:right w:val="nil"/>
              <w:tl2br w:val="nil"/>
              <w:tr2bl w:val="nil"/>
            </w:tcBorders>
            <w:shd w:val="clear" w:color="auto" w:fill="FFFFFF"/>
            <w:tcMar>
              <w:left w:w="101" w:type="dxa"/>
              <w:right w:w="101" w:type="dxa"/>
            </w:tcMar>
            <w:vAlign w:val="bottom"/>
          </w:tcPr>
          <w:p w14:paraId="07CBB4B4" w14:textId="77777777" w:rsidR="00724034" w:rsidRDefault="00724034">
            <w:pPr>
              <w:jc w:val="right"/>
              <w:rPr>
                <w:rFonts w:ascii="Arial" w:eastAsia="Arial" w:hAnsi="Arial" w:cs="Arial"/>
                <w:color w:val="000000"/>
                <w:sz w:val="16"/>
                <w:vertAlign w:val="superscript"/>
              </w:rPr>
            </w:pPr>
          </w:p>
        </w:tc>
        <w:tc>
          <w:tcPr>
            <w:tcW w:w="0" w:type="auto"/>
            <w:tcBorders>
              <w:top w:val="nil"/>
              <w:left w:val="nil"/>
              <w:bottom w:val="single" w:sz="6" w:space="0" w:color="000000"/>
              <w:right w:val="single" w:sz="6" w:space="0" w:color="000000"/>
              <w:tl2br w:val="nil"/>
              <w:tr2bl w:val="nil"/>
            </w:tcBorders>
            <w:shd w:val="clear" w:color="auto" w:fill="FFFFFF"/>
            <w:tcMar>
              <w:left w:w="101" w:type="dxa"/>
              <w:right w:w="101" w:type="dxa"/>
            </w:tcMar>
            <w:vAlign w:val="bottom"/>
          </w:tcPr>
          <w:p w14:paraId="2CE01E48" w14:textId="77777777" w:rsidR="00724034" w:rsidRDefault="00724034">
            <w:pPr>
              <w:jc w:val="right"/>
              <w:rPr>
                <w:rFonts w:ascii="Arial" w:eastAsia="Arial" w:hAnsi="Arial" w:cs="Arial"/>
                <w:color w:val="000000"/>
                <w:sz w:val="16"/>
                <w:vertAlign w:val="superscript"/>
              </w:rPr>
            </w:pPr>
          </w:p>
        </w:tc>
      </w:tr>
      <w:tr w:rsidR="00FB7D0B" w14:paraId="7D535DD9" w14:textId="77777777" w:rsidTr="00FB7D0B">
        <w:tblPrEx>
          <w:tblLook w:val="04A0" w:firstRow="1" w:lastRow="0" w:firstColumn="1" w:lastColumn="0" w:noHBand="0" w:noVBand="1"/>
        </w:tblPrEx>
        <w:trPr>
          <w:gridAfter w:val="1"/>
          <w:wAfter w:w="10" w:type="dxa"/>
          <w:trHeight w:val="225"/>
        </w:trPr>
        <w:tc>
          <w:tcPr>
            <w:tcW w:w="0" w:type="auto"/>
            <w:gridSpan w:val="3"/>
            <w:tcBorders>
              <w:top w:val="nil"/>
              <w:left w:val="single" w:sz="6" w:space="0" w:color="000000"/>
              <w:bottom w:val="single" w:sz="6" w:space="0" w:color="000000"/>
              <w:right w:val="nil"/>
              <w:tl2br w:val="nil"/>
              <w:tr2bl w:val="nil"/>
            </w:tcBorders>
            <w:shd w:val="clear" w:color="auto" w:fill="FFFFFF"/>
            <w:tcMar>
              <w:left w:w="101" w:type="dxa"/>
              <w:right w:w="101" w:type="dxa"/>
            </w:tcMar>
            <w:vAlign w:val="bottom"/>
          </w:tcPr>
          <w:p w14:paraId="0513BB9C" w14:textId="77777777" w:rsidR="00724034" w:rsidRDefault="00FB7D0B">
            <w:pPr>
              <w:rPr>
                <w:rFonts w:ascii="Arial" w:eastAsia="Arial" w:hAnsi="Arial" w:cs="Arial"/>
                <w:color w:val="000000"/>
                <w:sz w:val="16"/>
                <w:vertAlign w:val="superscript"/>
              </w:rPr>
            </w:pPr>
            <w:r>
              <w:rPr>
                <w:rFonts w:ascii="Arial" w:eastAsia="Arial" w:hAnsi="Arial" w:cs="Arial"/>
                <w:b/>
                <w:color w:val="000000"/>
                <w:sz w:val="16"/>
              </w:rPr>
              <w:t xml:space="preserve">Total programme expenses </w:t>
            </w:r>
          </w:p>
        </w:tc>
        <w:tc>
          <w:tcPr>
            <w:tcW w:w="0" w:type="auto"/>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6111143B" w14:textId="77777777" w:rsidR="00724034" w:rsidRDefault="00FB7D0B">
            <w:pPr>
              <w:jc w:val="right"/>
              <w:rPr>
                <w:rFonts w:ascii="Arial" w:eastAsia="Arial" w:hAnsi="Arial" w:cs="Arial"/>
                <w:b/>
                <w:color w:val="000000"/>
                <w:sz w:val="16"/>
                <w:vertAlign w:val="superscript"/>
              </w:rPr>
            </w:pPr>
            <w:r>
              <w:rPr>
                <w:rFonts w:ascii="Arial" w:eastAsia="Arial" w:hAnsi="Arial" w:cs="Arial"/>
                <w:b/>
                <w:color w:val="000000"/>
                <w:sz w:val="16"/>
              </w:rPr>
              <w:t>407,906 </w:t>
            </w:r>
          </w:p>
        </w:tc>
        <w:tc>
          <w:tcPr>
            <w:tcW w:w="0" w:type="auto"/>
            <w:tcBorders>
              <w:top w:val="single" w:sz="6" w:space="0" w:color="000000"/>
              <w:left w:val="nil"/>
              <w:bottom w:val="single" w:sz="6" w:space="0" w:color="000000"/>
              <w:right w:val="nil"/>
              <w:tl2br w:val="nil"/>
              <w:tr2bl w:val="nil"/>
            </w:tcBorders>
            <w:shd w:val="clear" w:color="auto" w:fill="FFFF00"/>
            <w:tcMar>
              <w:left w:w="101" w:type="dxa"/>
              <w:right w:w="101" w:type="dxa"/>
            </w:tcMar>
            <w:vAlign w:val="bottom"/>
          </w:tcPr>
          <w:p w14:paraId="6741FCFD" w14:textId="77777777" w:rsidR="00724034" w:rsidRDefault="00FB7D0B">
            <w:pPr>
              <w:jc w:val="right"/>
              <w:rPr>
                <w:rFonts w:ascii="Arial" w:eastAsia="Arial" w:hAnsi="Arial" w:cs="Arial"/>
                <w:b/>
                <w:color w:val="000000"/>
                <w:sz w:val="16"/>
              </w:rPr>
            </w:pPr>
            <w:r>
              <w:rPr>
                <w:rFonts w:ascii="Arial" w:eastAsia="Arial" w:hAnsi="Arial" w:cs="Arial"/>
                <w:b/>
                <w:color w:val="000000"/>
                <w:sz w:val="16"/>
              </w:rPr>
              <w:t>391,544 </w:t>
            </w:r>
          </w:p>
        </w:tc>
        <w:tc>
          <w:tcPr>
            <w:tcW w:w="0" w:type="auto"/>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699362C7" w14:textId="77777777" w:rsidR="00724034" w:rsidRDefault="00FB7D0B">
            <w:pPr>
              <w:jc w:val="right"/>
              <w:rPr>
                <w:rFonts w:ascii="Arial" w:eastAsia="Arial" w:hAnsi="Arial" w:cs="Arial"/>
                <w:b/>
                <w:color w:val="000000"/>
                <w:sz w:val="16"/>
              </w:rPr>
            </w:pPr>
            <w:r>
              <w:rPr>
                <w:rFonts w:ascii="Arial" w:eastAsia="Arial" w:hAnsi="Arial" w:cs="Arial"/>
                <w:b/>
                <w:color w:val="000000"/>
                <w:sz w:val="16"/>
              </w:rPr>
              <w:t>369,986 </w:t>
            </w:r>
          </w:p>
        </w:tc>
        <w:tc>
          <w:tcPr>
            <w:tcW w:w="0" w:type="auto"/>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56416992" w14:textId="77777777" w:rsidR="00724034" w:rsidRDefault="00FB7D0B">
            <w:pPr>
              <w:jc w:val="right"/>
              <w:rPr>
                <w:rFonts w:ascii="Arial" w:eastAsia="Arial" w:hAnsi="Arial" w:cs="Arial"/>
                <w:b/>
                <w:color w:val="000000"/>
                <w:sz w:val="16"/>
              </w:rPr>
            </w:pPr>
            <w:r>
              <w:rPr>
                <w:rFonts w:ascii="Arial" w:eastAsia="Arial" w:hAnsi="Arial" w:cs="Arial"/>
                <w:b/>
                <w:color w:val="000000"/>
                <w:sz w:val="16"/>
              </w:rPr>
              <w:t>377,931 </w:t>
            </w:r>
          </w:p>
        </w:tc>
        <w:tc>
          <w:tcPr>
            <w:tcW w:w="0" w:type="auto"/>
            <w:tcBorders>
              <w:top w:val="single" w:sz="6" w:space="0" w:color="000000"/>
              <w:left w:val="nil"/>
              <w:bottom w:val="single" w:sz="6" w:space="0" w:color="000000"/>
              <w:right w:val="single" w:sz="6" w:space="0" w:color="000000"/>
              <w:tl2br w:val="nil"/>
              <w:tr2bl w:val="nil"/>
            </w:tcBorders>
            <w:shd w:val="clear" w:color="auto" w:fill="FFFFFF"/>
            <w:tcMar>
              <w:left w:w="101" w:type="dxa"/>
              <w:right w:w="101" w:type="dxa"/>
            </w:tcMar>
            <w:vAlign w:val="bottom"/>
          </w:tcPr>
          <w:p w14:paraId="267BFADB" w14:textId="77777777" w:rsidR="00724034" w:rsidRDefault="00FB7D0B">
            <w:pPr>
              <w:jc w:val="right"/>
              <w:rPr>
                <w:rFonts w:ascii="Arial" w:eastAsia="Arial" w:hAnsi="Arial" w:cs="Arial"/>
                <w:b/>
                <w:color w:val="000000"/>
                <w:sz w:val="16"/>
              </w:rPr>
            </w:pPr>
            <w:r>
              <w:rPr>
                <w:rFonts w:ascii="Arial" w:eastAsia="Arial" w:hAnsi="Arial" w:cs="Arial"/>
                <w:b/>
                <w:color w:val="000000"/>
                <w:sz w:val="16"/>
              </w:rPr>
              <w:t>391,918 </w:t>
            </w:r>
          </w:p>
        </w:tc>
      </w:tr>
    </w:tbl>
    <w:p w14:paraId="02445A2D" w14:textId="77777777" w:rsidR="00724034" w:rsidRDefault="00724034">
      <w:pPr>
        <w:rPr>
          <w:rFonts w:ascii="Times New Roman" w:eastAsia="Times New Roman" w:hAnsi="Times New Roman" w:cs="Times New Roman"/>
        </w:rPr>
      </w:pPr>
    </w:p>
    <w:p w14:paraId="13442C12" w14:textId="77777777" w:rsidR="003F0EEA" w:rsidRPr="004D4F1D" w:rsidRDefault="00FB7D0B" w:rsidP="003F0EEA">
      <w:pPr>
        <w:pStyle w:val="ListParagraph11"/>
        <w:numPr>
          <w:ilvl w:val="0"/>
          <w:numId w:val="34"/>
        </w:numPr>
        <w:spacing w:after="200" w:line="276" w:lineRule="auto"/>
        <w:ind w:left="284" w:hanging="284"/>
        <w:rPr>
          <w:rFonts w:ascii="Arial" w:eastAsia="Calibri" w:hAnsi="Arial" w:cs="Arial"/>
          <w:sz w:val="16"/>
          <w:szCs w:val="16"/>
          <w:lang w:eastAsia="en-US"/>
        </w:rPr>
      </w:pPr>
      <w:r w:rsidRPr="004D4F1D">
        <w:rPr>
          <w:rFonts w:ascii="Arial" w:eastAsia="Calibri" w:hAnsi="Arial" w:cs="Arial"/>
          <w:sz w:val="16"/>
          <w:szCs w:val="16"/>
          <w:lang w:eastAsia="en-US"/>
        </w:rPr>
        <w:t xml:space="preserve">Expenses not requiring appropriation in the Budget year is made up of Depreciation Expense, Amortisation </w:t>
      </w:r>
      <w:r w:rsidRPr="004D4F1D">
        <w:rPr>
          <w:rFonts w:ascii="Arial" w:eastAsia="Calibri" w:hAnsi="Arial" w:cs="Arial"/>
          <w:sz w:val="16"/>
          <w:szCs w:val="16"/>
          <w:lang w:eastAsia="en-US"/>
        </w:rPr>
        <w:br/>
        <w:t xml:space="preserve">Expense and Resources Received Free of Charge. </w:t>
      </w:r>
    </w:p>
    <w:p w14:paraId="395B591A" w14:textId="77777777" w:rsidR="003F0EEA" w:rsidRPr="004D4F1D" w:rsidRDefault="003F0EEA">
      <w:pPr>
        <w:rPr>
          <w:rFonts w:ascii="Times New Roman" w:hAnsi="Times New Roman" w:cs="Times New Roman"/>
          <w:sz w:val="24"/>
          <w:szCs w:val="16"/>
          <w:lang w:eastAsia="en-US"/>
        </w:rPr>
      </w:pPr>
    </w:p>
    <w:p w14:paraId="00760B86" w14:textId="77777777" w:rsidR="003F0EEA" w:rsidRPr="00723B4F" w:rsidRDefault="003F0EEA">
      <w:pPr>
        <w:rPr>
          <w:rFonts w:ascii="Arial" w:eastAsia="Times New Roman"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10"/>
        <w:gridCol w:w="975"/>
        <w:gridCol w:w="975"/>
        <w:gridCol w:w="975"/>
        <w:gridCol w:w="975"/>
        <w:gridCol w:w="975"/>
      </w:tblGrid>
      <w:tr w:rsidR="00724034" w14:paraId="25890DCE" w14:textId="77777777" w:rsidTr="003F0EEA">
        <w:tc>
          <w:tcPr>
            <w:tcW w:w="8080" w:type="dxa"/>
            <w:gridSpan w:val="6"/>
            <w:tcBorders>
              <w:top w:val="single" w:sz="4" w:space="0" w:color="auto"/>
              <w:left w:val="single" w:sz="4" w:space="0" w:color="auto"/>
              <w:bottom w:val="single" w:sz="4" w:space="0" w:color="auto"/>
              <w:right w:val="single" w:sz="4" w:space="0" w:color="auto"/>
            </w:tcBorders>
          </w:tcPr>
          <w:p w14:paraId="4BA4B552" w14:textId="77777777" w:rsidR="003F0EEA" w:rsidRDefault="00FB7D0B" w:rsidP="003F0EEA">
            <w:pPr>
              <w:pStyle w:val="TableTextLeft26"/>
              <w:rPr>
                <w:b/>
              </w:rPr>
            </w:pPr>
            <w:r>
              <w:rPr>
                <w:b/>
              </w:rPr>
              <w:t>Programme 2.3 deliverables</w:t>
            </w:r>
          </w:p>
          <w:p w14:paraId="08CCF9FD" w14:textId="77777777" w:rsidR="003F0EEA" w:rsidRDefault="00FB7D0B" w:rsidP="003F0EEA">
            <w:pPr>
              <w:pStyle w:val="TableTextBullet13"/>
            </w:pPr>
            <w:r>
              <w:t>Ensure entitled beneficiaries have access to a comprehensive range of pharmaceuticals and wound dressings that meet their health care needs.</w:t>
            </w:r>
          </w:p>
          <w:p w14:paraId="3A9F0CC4" w14:textId="77777777" w:rsidR="003F0EEA" w:rsidRDefault="00FB7D0B" w:rsidP="003F0EEA">
            <w:pPr>
              <w:pStyle w:val="TableTextBullet13"/>
            </w:pPr>
            <w:r>
              <w:t>Facilitate arrangements with pharmaceutical sponsors for the listing of the range of items appropriate to the entitled beneficiary population.</w:t>
            </w:r>
          </w:p>
          <w:p w14:paraId="02B99B57" w14:textId="77777777" w:rsidR="003F0EEA" w:rsidRDefault="00FB7D0B" w:rsidP="003F0EEA">
            <w:pPr>
              <w:pStyle w:val="TableTextBullet13"/>
            </w:pPr>
            <w:r>
              <w:t>Facilitate effective payment of approved pharmacies for supplying items under the RPBS.</w:t>
            </w:r>
          </w:p>
        </w:tc>
      </w:tr>
      <w:tr w:rsidR="00724034" w14:paraId="31736BA3" w14:textId="77777777">
        <w:tblPrEx>
          <w:tblLook w:val="04A0" w:firstRow="1" w:lastRow="0" w:firstColumn="1" w:lastColumn="0" w:noHBand="0" w:noVBand="1"/>
        </w:tblPrEx>
        <w:trPr>
          <w:trHeight w:val="225"/>
        </w:trPr>
        <w:tc>
          <w:tcPr>
            <w:tcW w:w="3210" w:type="dxa"/>
            <w:tcBorders>
              <w:top w:val="single" w:sz="6" w:space="0" w:color="000000"/>
              <w:left w:val="single" w:sz="6" w:space="0" w:color="000000"/>
              <w:bottom w:val="nil"/>
              <w:right w:val="nil"/>
              <w:tl2br w:val="nil"/>
              <w:tr2bl w:val="nil"/>
            </w:tcBorders>
            <w:shd w:val="clear" w:color="auto" w:fill="FFFFFF"/>
            <w:tcMar>
              <w:left w:w="115" w:type="dxa"/>
              <w:right w:w="115" w:type="dxa"/>
            </w:tcMar>
            <w:vAlign w:val="bottom"/>
          </w:tcPr>
          <w:p w14:paraId="15E37055" w14:textId="77777777" w:rsidR="00724034" w:rsidRDefault="00724034">
            <w:pPr>
              <w:jc w:val="center"/>
            </w:pPr>
          </w:p>
        </w:tc>
        <w:tc>
          <w:tcPr>
            <w:tcW w:w="975"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515924DA" w14:textId="77777777" w:rsidR="00724034" w:rsidRDefault="00FB7D0B">
            <w:pPr>
              <w:jc w:val="right"/>
              <w:rPr>
                <w:rFonts w:ascii="Arial" w:eastAsia="Arial" w:hAnsi="Arial" w:cs="Arial"/>
                <w:b/>
                <w:color w:val="000000"/>
                <w:sz w:val="16"/>
                <w:vertAlign w:val="superscript"/>
              </w:rPr>
            </w:pPr>
            <w:r>
              <w:rPr>
                <w:rFonts w:ascii="Arial" w:eastAsia="Arial" w:hAnsi="Arial" w:cs="Arial"/>
                <w:color w:val="000000"/>
                <w:sz w:val="16"/>
              </w:rPr>
              <w:t>2013-14</w:t>
            </w:r>
          </w:p>
        </w:tc>
        <w:tc>
          <w:tcPr>
            <w:tcW w:w="975" w:type="dxa"/>
            <w:tcBorders>
              <w:top w:val="single" w:sz="6" w:space="0" w:color="000000"/>
              <w:left w:val="nil"/>
              <w:bottom w:val="nil"/>
              <w:right w:val="nil"/>
              <w:tl2br w:val="nil"/>
              <w:tr2bl w:val="nil"/>
            </w:tcBorders>
            <w:shd w:val="clear" w:color="auto" w:fill="FFFF00"/>
            <w:tcMar>
              <w:left w:w="115" w:type="dxa"/>
              <w:right w:w="115" w:type="dxa"/>
            </w:tcMar>
            <w:vAlign w:val="bottom"/>
          </w:tcPr>
          <w:p w14:paraId="63E78CF8" w14:textId="77777777" w:rsidR="00724034" w:rsidRDefault="00FB7D0B">
            <w:pPr>
              <w:jc w:val="right"/>
              <w:rPr>
                <w:rFonts w:ascii="Arial" w:eastAsia="Arial" w:hAnsi="Arial" w:cs="Arial"/>
                <w:color w:val="000000"/>
                <w:sz w:val="16"/>
              </w:rPr>
            </w:pPr>
            <w:r>
              <w:rPr>
                <w:rFonts w:ascii="Arial" w:eastAsia="Arial" w:hAnsi="Arial" w:cs="Arial"/>
                <w:color w:val="000000"/>
                <w:sz w:val="16"/>
              </w:rPr>
              <w:t>2014-15</w:t>
            </w:r>
          </w:p>
        </w:tc>
        <w:tc>
          <w:tcPr>
            <w:tcW w:w="975"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4517F4C3" w14:textId="77777777" w:rsidR="00724034" w:rsidRDefault="00FB7D0B">
            <w:pPr>
              <w:jc w:val="right"/>
              <w:rPr>
                <w:rFonts w:ascii="Arial" w:eastAsia="Arial" w:hAnsi="Arial" w:cs="Arial"/>
                <w:color w:val="000000"/>
                <w:sz w:val="16"/>
              </w:rPr>
            </w:pPr>
            <w:r>
              <w:rPr>
                <w:rFonts w:ascii="Arial" w:eastAsia="Arial" w:hAnsi="Arial" w:cs="Arial"/>
                <w:color w:val="000000"/>
                <w:sz w:val="16"/>
              </w:rPr>
              <w:t>2015-16</w:t>
            </w:r>
          </w:p>
        </w:tc>
        <w:tc>
          <w:tcPr>
            <w:tcW w:w="975"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4315C18B" w14:textId="77777777" w:rsidR="00724034" w:rsidRDefault="00FB7D0B">
            <w:pPr>
              <w:jc w:val="right"/>
              <w:rPr>
                <w:rFonts w:ascii="Arial" w:eastAsia="Arial" w:hAnsi="Arial" w:cs="Arial"/>
                <w:color w:val="000000"/>
                <w:sz w:val="16"/>
              </w:rPr>
            </w:pPr>
            <w:r>
              <w:rPr>
                <w:rFonts w:ascii="Arial" w:eastAsia="Arial" w:hAnsi="Arial" w:cs="Arial"/>
                <w:color w:val="000000"/>
                <w:sz w:val="16"/>
              </w:rPr>
              <w:t>2016-17</w:t>
            </w:r>
          </w:p>
        </w:tc>
        <w:tc>
          <w:tcPr>
            <w:tcW w:w="975" w:type="dxa"/>
            <w:tcBorders>
              <w:top w:val="single" w:sz="6" w:space="0" w:color="000000"/>
              <w:left w:val="nil"/>
              <w:bottom w:val="nil"/>
              <w:right w:val="single" w:sz="6" w:space="0" w:color="000000"/>
              <w:tl2br w:val="nil"/>
              <w:tr2bl w:val="nil"/>
            </w:tcBorders>
            <w:shd w:val="clear" w:color="auto" w:fill="FFFFFF"/>
            <w:tcMar>
              <w:left w:w="115" w:type="dxa"/>
              <w:right w:w="115" w:type="dxa"/>
            </w:tcMar>
            <w:vAlign w:val="bottom"/>
          </w:tcPr>
          <w:p w14:paraId="34AED022" w14:textId="77777777" w:rsidR="00724034" w:rsidRDefault="00FB7D0B">
            <w:pPr>
              <w:jc w:val="right"/>
              <w:rPr>
                <w:rFonts w:ascii="Arial" w:eastAsia="Arial" w:hAnsi="Arial" w:cs="Arial"/>
                <w:color w:val="000000"/>
                <w:sz w:val="16"/>
              </w:rPr>
            </w:pPr>
            <w:r>
              <w:rPr>
                <w:rFonts w:ascii="Arial" w:eastAsia="Arial" w:hAnsi="Arial" w:cs="Arial"/>
                <w:color w:val="000000"/>
                <w:sz w:val="16"/>
              </w:rPr>
              <w:t>2017-18</w:t>
            </w:r>
          </w:p>
        </w:tc>
      </w:tr>
      <w:tr w:rsidR="00724034" w14:paraId="3DA8A892" w14:textId="77777777">
        <w:tblPrEx>
          <w:tblLook w:val="04A0" w:firstRow="1" w:lastRow="0" w:firstColumn="1" w:lastColumn="0" w:noHBand="0" w:noVBand="1"/>
        </w:tblPrEx>
        <w:trPr>
          <w:trHeight w:val="225"/>
        </w:trPr>
        <w:tc>
          <w:tcPr>
            <w:tcW w:w="3210" w:type="dxa"/>
            <w:tcBorders>
              <w:top w:val="nil"/>
              <w:left w:val="single" w:sz="6" w:space="0" w:color="000000"/>
              <w:bottom w:val="nil"/>
              <w:right w:val="nil"/>
              <w:tl2br w:val="nil"/>
              <w:tr2bl w:val="nil"/>
            </w:tcBorders>
            <w:shd w:val="clear" w:color="auto" w:fill="FFFFFF"/>
            <w:tcMar>
              <w:left w:w="115" w:type="dxa"/>
              <w:right w:w="115" w:type="dxa"/>
            </w:tcMar>
            <w:vAlign w:val="bottom"/>
          </w:tcPr>
          <w:p w14:paraId="33F52A67" w14:textId="77777777" w:rsidR="00724034" w:rsidRDefault="00724034">
            <w:pPr>
              <w:rPr>
                <w:rFonts w:ascii="Arial" w:eastAsia="Arial" w:hAnsi="Arial" w:cs="Arial"/>
                <w:color w:val="000000"/>
                <w:sz w:val="16"/>
              </w:rPr>
            </w:pPr>
          </w:p>
        </w:tc>
        <w:tc>
          <w:tcPr>
            <w:tcW w:w="975" w:type="dxa"/>
            <w:tcBorders>
              <w:top w:val="nil"/>
              <w:left w:val="nil"/>
              <w:bottom w:val="nil"/>
              <w:right w:val="nil"/>
              <w:tl2br w:val="nil"/>
              <w:tr2bl w:val="nil"/>
            </w:tcBorders>
            <w:shd w:val="clear" w:color="auto" w:fill="FFFFFF"/>
            <w:tcMar>
              <w:left w:w="115" w:type="dxa"/>
              <w:right w:w="115" w:type="dxa"/>
            </w:tcMar>
            <w:vAlign w:val="bottom"/>
          </w:tcPr>
          <w:p w14:paraId="5F687141" w14:textId="77777777" w:rsidR="00724034" w:rsidRDefault="00FB7D0B">
            <w:pPr>
              <w:jc w:val="right"/>
              <w:rPr>
                <w:rFonts w:ascii="Arial" w:eastAsia="Arial" w:hAnsi="Arial" w:cs="Arial"/>
                <w:color w:val="000000"/>
                <w:sz w:val="16"/>
                <w:vertAlign w:val="superscript"/>
              </w:rPr>
            </w:pPr>
            <w:r>
              <w:rPr>
                <w:rFonts w:ascii="Arial" w:eastAsia="Arial" w:hAnsi="Arial" w:cs="Arial"/>
                <w:color w:val="000000"/>
                <w:sz w:val="16"/>
              </w:rPr>
              <w:t>Revised</w:t>
            </w:r>
          </w:p>
        </w:tc>
        <w:tc>
          <w:tcPr>
            <w:tcW w:w="975" w:type="dxa"/>
            <w:tcBorders>
              <w:top w:val="nil"/>
              <w:left w:val="nil"/>
              <w:bottom w:val="nil"/>
              <w:right w:val="nil"/>
              <w:tl2br w:val="nil"/>
              <w:tr2bl w:val="nil"/>
            </w:tcBorders>
            <w:shd w:val="clear" w:color="auto" w:fill="FFFF00"/>
            <w:tcMar>
              <w:left w:w="115" w:type="dxa"/>
              <w:right w:w="115" w:type="dxa"/>
            </w:tcMar>
            <w:vAlign w:val="bottom"/>
          </w:tcPr>
          <w:p w14:paraId="44CDC186" w14:textId="77777777" w:rsidR="00724034" w:rsidRDefault="00FB7D0B">
            <w:pPr>
              <w:jc w:val="right"/>
              <w:rPr>
                <w:rFonts w:ascii="Arial" w:eastAsia="Arial" w:hAnsi="Arial" w:cs="Arial"/>
                <w:color w:val="000000"/>
                <w:sz w:val="16"/>
              </w:rPr>
            </w:pPr>
            <w:r>
              <w:rPr>
                <w:rFonts w:ascii="Arial" w:eastAsia="Arial" w:hAnsi="Arial" w:cs="Arial"/>
                <w:color w:val="000000"/>
                <w:sz w:val="16"/>
              </w:rPr>
              <w:t>Budget</w:t>
            </w:r>
          </w:p>
        </w:tc>
        <w:tc>
          <w:tcPr>
            <w:tcW w:w="975" w:type="dxa"/>
            <w:tcBorders>
              <w:top w:val="nil"/>
              <w:left w:val="nil"/>
              <w:bottom w:val="nil"/>
              <w:right w:val="nil"/>
              <w:tl2br w:val="nil"/>
              <w:tr2bl w:val="nil"/>
            </w:tcBorders>
            <w:shd w:val="clear" w:color="auto" w:fill="FFFFFF"/>
            <w:tcMar>
              <w:left w:w="115" w:type="dxa"/>
              <w:right w:w="115" w:type="dxa"/>
            </w:tcMar>
            <w:vAlign w:val="bottom"/>
          </w:tcPr>
          <w:p w14:paraId="248615A3" w14:textId="77777777" w:rsidR="00724034" w:rsidRDefault="00FB7D0B">
            <w:pPr>
              <w:jc w:val="right"/>
              <w:rPr>
                <w:rFonts w:ascii="Arial" w:eastAsia="Arial" w:hAnsi="Arial" w:cs="Arial"/>
                <w:color w:val="000000"/>
                <w:sz w:val="16"/>
              </w:rPr>
            </w:pPr>
            <w:r>
              <w:rPr>
                <w:rFonts w:ascii="Arial" w:eastAsia="Arial" w:hAnsi="Arial" w:cs="Arial"/>
                <w:color w:val="000000"/>
                <w:sz w:val="16"/>
              </w:rPr>
              <w:t>Forward</w:t>
            </w:r>
          </w:p>
        </w:tc>
        <w:tc>
          <w:tcPr>
            <w:tcW w:w="975" w:type="dxa"/>
            <w:tcBorders>
              <w:top w:val="nil"/>
              <w:left w:val="nil"/>
              <w:bottom w:val="nil"/>
              <w:right w:val="nil"/>
              <w:tl2br w:val="nil"/>
              <w:tr2bl w:val="nil"/>
            </w:tcBorders>
            <w:shd w:val="clear" w:color="auto" w:fill="FFFFFF"/>
            <w:tcMar>
              <w:left w:w="115" w:type="dxa"/>
              <w:right w:w="115" w:type="dxa"/>
            </w:tcMar>
            <w:vAlign w:val="bottom"/>
          </w:tcPr>
          <w:p w14:paraId="46F8CD87" w14:textId="77777777" w:rsidR="00724034" w:rsidRDefault="00FB7D0B">
            <w:pPr>
              <w:jc w:val="right"/>
              <w:rPr>
                <w:rFonts w:ascii="Arial" w:eastAsia="Arial" w:hAnsi="Arial" w:cs="Arial"/>
                <w:color w:val="000000"/>
                <w:sz w:val="16"/>
              </w:rPr>
            </w:pPr>
            <w:r>
              <w:rPr>
                <w:rFonts w:ascii="Arial" w:eastAsia="Arial" w:hAnsi="Arial" w:cs="Arial"/>
                <w:color w:val="000000"/>
                <w:sz w:val="16"/>
              </w:rPr>
              <w:t>Forward</w:t>
            </w:r>
          </w:p>
        </w:tc>
        <w:tc>
          <w:tcPr>
            <w:tcW w:w="975" w:type="dxa"/>
            <w:tcBorders>
              <w:top w:val="nil"/>
              <w:left w:val="nil"/>
              <w:bottom w:val="nil"/>
              <w:right w:val="single" w:sz="6" w:space="0" w:color="000000"/>
              <w:tl2br w:val="nil"/>
              <w:tr2bl w:val="nil"/>
            </w:tcBorders>
            <w:shd w:val="clear" w:color="auto" w:fill="FFFFFF"/>
            <w:tcMar>
              <w:left w:w="115" w:type="dxa"/>
              <w:right w:w="115" w:type="dxa"/>
            </w:tcMar>
            <w:vAlign w:val="bottom"/>
          </w:tcPr>
          <w:p w14:paraId="51F1A08A" w14:textId="77777777" w:rsidR="00724034" w:rsidRDefault="00FB7D0B">
            <w:pPr>
              <w:jc w:val="right"/>
              <w:rPr>
                <w:rFonts w:ascii="Arial" w:eastAsia="Arial" w:hAnsi="Arial" w:cs="Arial"/>
                <w:color w:val="000000"/>
                <w:sz w:val="16"/>
              </w:rPr>
            </w:pPr>
            <w:r>
              <w:rPr>
                <w:rFonts w:ascii="Arial" w:eastAsia="Arial" w:hAnsi="Arial" w:cs="Arial"/>
                <w:color w:val="000000"/>
                <w:sz w:val="16"/>
              </w:rPr>
              <w:t>Forward</w:t>
            </w:r>
          </w:p>
        </w:tc>
      </w:tr>
      <w:tr w:rsidR="00724034" w14:paraId="2A99334B" w14:textId="77777777">
        <w:tblPrEx>
          <w:tblLook w:val="04A0" w:firstRow="1" w:lastRow="0" w:firstColumn="1" w:lastColumn="0" w:noHBand="0" w:noVBand="1"/>
        </w:tblPrEx>
        <w:trPr>
          <w:trHeight w:val="225"/>
        </w:trPr>
        <w:tc>
          <w:tcPr>
            <w:tcW w:w="3210" w:type="dxa"/>
            <w:tcBorders>
              <w:top w:val="nil"/>
              <w:left w:val="single" w:sz="6" w:space="0" w:color="000000"/>
              <w:bottom w:val="single" w:sz="6" w:space="0" w:color="000000"/>
              <w:right w:val="nil"/>
              <w:tl2br w:val="nil"/>
              <w:tr2bl w:val="nil"/>
            </w:tcBorders>
            <w:shd w:val="clear" w:color="auto" w:fill="FFFFFF"/>
            <w:tcMar>
              <w:left w:w="115" w:type="dxa"/>
              <w:right w:w="115" w:type="dxa"/>
            </w:tcMar>
            <w:vAlign w:val="bottom"/>
          </w:tcPr>
          <w:p w14:paraId="0A57CC19" w14:textId="77777777" w:rsidR="00724034" w:rsidRDefault="00FB7D0B">
            <w:pPr>
              <w:rPr>
                <w:rFonts w:ascii="Arial" w:eastAsia="Arial" w:hAnsi="Arial" w:cs="Arial"/>
                <w:color w:val="000000"/>
                <w:sz w:val="16"/>
              </w:rPr>
            </w:pPr>
            <w:r>
              <w:rPr>
                <w:rFonts w:ascii="Arial" w:eastAsia="Arial" w:hAnsi="Arial" w:cs="Arial"/>
                <w:color w:val="000000"/>
                <w:sz w:val="16"/>
              </w:rPr>
              <w:t xml:space="preserve">Deliverables </w:t>
            </w:r>
          </w:p>
        </w:tc>
        <w:tc>
          <w:tcPr>
            <w:tcW w:w="975"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653D9380" w14:textId="77777777" w:rsidR="00724034" w:rsidRDefault="00FB7D0B">
            <w:pPr>
              <w:jc w:val="right"/>
              <w:rPr>
                <w:rFonts w:ascii="Arial" w:eastAsia="Arial" w:hAnsi="Arial" w:cs="Arial"/>
                <w:color w:val="000000"/>
                <w:sz w:val="16"/>
                <w:vertAlign w:val="superscript"/>
              </w:rPr>
            </w:pPr>
            <w:r>
              <w:rPr>
                <w:rFonts w:ascii="Arial" w:eastAsia="Arial" w:hAnsi="Arial" w:cs="Arial"/>
                <w:color w:val="000000"/>
                <w:sz w:val="16"/>
              </w:rPr>
              <w:t>budget</w:t>
            </w:r>
          </w:p>
        </w:tc>
        <w:tc>
          <w:tcPr>
            <w:tcW w:w="975" w:type="dxa"/>
            <w:tcBorders>
              <w:top w:val="nil"/>
              <w:left w:val="nil"/>
              <w:bottom w:val="single" w:sz="6" w:space="0" w:color="000000"/>
              <w:right w:val="nil"/>
              <w:tl2br w:val="nil"/>
              <w:tr2bl w:val="nil"/>
            </w:tcBorders>
            <w:shd w:val="clear" w:color="auto" w:fill="FFFF00"/>
            <w:tcMar>
              <w:left w:w="115" w:type="dxa"/>
              <w:right w:w="115" w:type="dxa"/>
            </w:tcMar>
            <w:vAlign w:val="bottom"/>
          </w:tcPr>
          <w:p w14:paraId="06508D17" w14:textId="77777777" w:rsidR="00724034" w:rsidRDefault="00724034">
            <w:pPr>
              <w:jc w:val="right"/>
              <w:rPr>
                <w:rFonts w:ascii="Arial" w:eastAsia="Arial" w:hAnsi="Arial" w:cs="Arial"/>
                <w:color w:val="000000"/>
                <w:sz w:val="16"/>
              </w:rPr>
            </w:pPr>
          </w:p>
        </w:tc>
        <w:tc>
          <w:tcPr>
            <w:tcW w:w="975"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5B415AEF" w14:textId="77777777" w:rsidR="00724034" w:rsidRDefault="00FB7D0B">
            <w:pPr>
              <w:jc w:val="right"/>
              <w:rPr>
                <w:rFonts w:ascii="Arial" w:eastAsia="Arial" w:hAnsi="Arial" w:cs="Arial"/>
                <w:color w:val="000000"/>
                <w:sz w:val="16"/>
              </w:rPr>
            </w:pPr>
            <w:r>
              <w:rPr>
                <w:rFonts w:ascii="Arial" w:eastAsia="Arial" w:hAnsi="Arial" w:cs="Arial"/>
                <w:color w:val="000000"/>
                <w:sz w:val="16"/>
              </w:rPr>
              <w:t>year 1</w:t>
            </w:r>
          </w:p>
        </w:tc>
        <w:tc>
          <w:tcPr>
            <w:tcW w:w="975"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754A69C6" w14:textId="77777777" w:rsidR="00724034" w:rsidRDefault="00FB7D0B">
            <w:pPr>
              <w:jc w:val="right"/>
              <w:rPr>
                <w:rFonts w:ascii="Arial" w:eastAsia="Arial" w:hAnsi="Arial" w:cs="Arial"/>
                <w:color w:val="000000"/>
                <w:sz w:val="16"/>
              </w:rPr>
            </w:pPr>
            <w:r>
              <w:rPr>
                <w:rFonts w:ascii="Arial" w:eastAsia="Arial" w:hAnsi="Arial" w:cs="Arial"/>
                <w:color w:val="000000"/>
                <w:sz w:val="16"/>
              </w:rPr>
              <w:t>year 2</w:t>
            </w:r>
          </w:p>
        </w:tc>
        <w:tc>
          <w:tcPr>
            <w:tcW w:w="975" w:type="dxa"/>
            <w:tcBorders>
              <w:top w:val="nil"/>
              <w:left w:val="nil"/>
              <w:bottom w:val="single" w:sz="6" w:space="0" w:color="000000"/>
              <w:right w:val="single" w:sz="6" w:space="0" w:color="000000"/>
              <w:tl2br w:val="nil"/>
              <w:tr2bl w:val="nil"/>
            </w:tcBorders>
            <w:shd w:val="clear" w:color="auto" w:fill="FFFFFF"/>
            <w:tcMar>
              <w:left w:w="115" w:type="dxa"/>
              <w:right w:w="115" w:type="dxa"/>
            </w:tcMar>
            <w:vAlign w:val="bottom"/>
          </w:tcPr>
          <w:p w14:paraId="42C8C0CC" w14:textId="77777777" w:rsidR="00724034" w:rsidRDefault="00FB7D0B">
            <w:pPr>
              <w:jc w:val="right"/>
              <w:rPr>
                <w:rFonts w:ascii="Arial" w:eastAsia="Arial" w:hAnsi="Arial" w:cs="Arial"/>
                <w:color w:val="000000"/>
                <w:sz w:val="16"/>
              </w:rPr>
            </w:pPr>
            <w:r>
              <w:rPr>
                <w:rFonts w:ascii="Arial" w:eastAsia="Arial" w:hAnsi="Arial" w:cs="Arial"/>
                <w:color w:val="000000"/>
                <w:sz w:val="16"/>
              </w:rPr>
              <w:t>year 3</w:t>
            </w:r>
          </w:p>
        </w:tc>
      </w:tr>
      <w:tr w:rsidR="00724034" w14:paraId="3D90F7CE" w14:textId="77777777">
        <w:tblPrEx>
          <w:tblLook w:val="04A0" w:firstRow="1" w:lastRow="0" w:firstColumn="1" w:lastColumn="0" w:noHBand="0" w:noVBand="1"/>
        </w:tblPrEx>
        <w:trPr>
          <w:trHeight w:val="60"/>
        </w:trPr>
        <w:tc>
          <w:tcPr>
            <w:tcW w:w="3210" w:type="dxa"/>
            <w:tcBorders>
              <w:top w:val="single" w:sz="6" w:space="0" w:color="000000"/>
              <w:left w:val="single" w:sz="6" w:space="0" w:color="000000"/>
              <w:bottom w:val="nil"/>
              <w:right w:val="nil"/>
              <w:tl2br w:val="nil"/>
              <w:tr2bl w:val="nil"/>
            </w:tcBorders>
            <w:shd w:val="clear" w:color="auto" w:fill="FFFFFF"/>
            <w:tcMar>
              <w:left w:w="115" w:type="dxa"/>
              <w:right w:w="115" w:type="dxa"/>
            </w:tcMar>
            <w:vAlign w:val="bottom"/>
          </w:tcPr>
          <w:p w14:paraId="52518E46" w14:textId="77777777" w:rsidR="00724034" w:rsidRDefault="00724034">
            <w:pPr>
              <w:rPr>
                <w:rFonts w:ascii="Arial" w:eastAsia="Arial" w:hAnsi="Arial" w:cs="Arial"/>
                <w:color w:val="000000"/>
                <w:sz w:val="16"/>
              </w:rPr>
            </w:pPr>
          </w:p>
        </w:tc>
        <w:tc>
          <w:tcPr>
            <w:tcW w:w="975"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1DCBFEF4" w14:textId="77777777" w:rsidR="00724034" w:rsidRDefault="00724034">
            <w:pPr>
              <w:jc w:val="right"/>
              <w:rPr>
                <w:rFonts w:ascii="Arial" w:eastAsia="Arial" w:hAnsi="Arial" w:cs="Arial"/>
                <w:color w:val="000000"/>
                <w:sz w:val="16"/>
                <w:vertAlign w:val="superscript"/>
              </w:rPr>
            </w:pPr>
          </w:p>
        </w:tc>
        <w:tc>
          <w:tcPr>
            <w:tcW w:w="975" w:type="dxa"/>
            <w:tcBorders>
              <w:top w:val="single" w:sz="6" w:space="0" w:color="000000"/>
              <w:left w:val="nil"/>
              <w:bottom w:val="nil"/>
              <w:right w:val="nil"/>
              <w:tl2br w:val="nil"/>
              <w:tr2bl w:val="nil"/>
            </w:tcBorders>
            <w:shd w:val="clear" w:color="auto" w:fill="FFFF00"/>
            <w:tcMar>
              <w:left w:w="115" w:type="dxa"/>
              <w:right w:w="115" w:type="dxa"/>
            </w:tcMar>
            <w:vAlign w:val="bottom"/>
          </w:tcPr>
          <w:p w14:paraId="3600A338" w14:textId="77777777" w:rsidR="00724034" w:rsidRDefault="00724034">
            <w:pPr>
              <w:jc w:val="right"/>
              <w:rPr>
                <w:rFonts w:ascii="Arial" w:eastAsia="Arial" w:hAnsi="Arial" w:cs="Arial"/>
                <w:color w:val="000000"/>
                <w:sz w:val="16"/>
                <w:vertAlign w:val="superscript"/>
              </w:rPr>
            </w:pPr>
          </w:p>
        </w:tc>
        <w:tc>
          <w:tcPr>
            <w:tcW w:w="975"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5182673F" w14:textId="77777777" w:rsidR="00724034" w:rsidRDefault="00724034">
            <w:pPr>
              <w:jc w:val="right"/>
              <w:rPr>
                <w:rFonts w:ascii="Arial" w:eastAsia="Arial" w:hAnsi="Arial" w:cs="Arial"/>
                <w:color w:val="000000"/>
                <w:sz w:val="16"/>
                <w:vertAlign w:val="superscript"/>
              </w:rPr>
            </w:pPr>
          </w:p>
        </w:tc>
        <w:tc>
          <w:tcPr>
            <w:tcW w:w="975"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12BFB5CE" w14:textId="77777777" w:rsidR="00724034" w:rsidRDefault="00724034">
            <w:pPr>
              <w:jc w:val="right"/>
              <w:rPr>
                <w:rFonts w:ascii="Arial" w:eastAsia="Arial" w:hAnsi="Arial" w:cs="Arial"/>
                <w:color w:val="000000"/>
                <w:sz w:val="16"/>
                <w:vertAlign w:val="superscript"/>
              </w:rPr>
            </w:pPr>
          </w:p>
        </w:tc>
        <w:tc>
          <w:tcPr>
            <w:tcW w:w="975" w:type="dxa"/>
            <w:tcBorders>
              <w:top w:val="single" w:sz="6" w:space="0" w:color="000000"/>
              <w:left w:val="nil"/>
              <w:bottom w:val="nil"/>
              <w:right w:val="single" w:sz="6" w:space="0" w:color="000000"/>
              <w:tl2br w:val="nil"/>
              <w:tr2bl w:val="nil"/>
            </w:tcBorders>
            <w:shd w:val="clear" w:color="auto" w:fill="FFFFFF"/>
            <w:tcMar>
              <w:left w:w="115" w:type="dxa"/>
              <w:right w:w="115" w:type="dxa"/>
            </w:tcMar>
            <w:vAlign w:val="bottom"/>
          </w:tcPr>
          <w:p w14:paraId="5FAE521C" w14:textId="77777777" w:rsidR="00724034" w:rsidRDefault="00724034">
            <w:pPr>
              <w:jc w:val="right"/>
              <w:rPr>
                <w:rFonts w:ascii="Arial" w:eastAsia="Arial" w:hAnsi="Arial" w:cs="Arial"/>
                <w:color w:val="000000"/>
                <w:sz w:val="16"/>
                <w:vertAlign w:val="superscript"/>
              </w:rPr>
            </w:pPr>
          </w:p>
        </w:tc>
      </w:tr>
      <w:tr w:rsidR="00724034" w14:paraId="51FA4CF9" w14:textId="77777777">
        <w:tblPrEx>
          <w:tblLook w:val="04A0" w:firstRow="1" w:lastRow="0" w:firstColumn="1" w:lastColumn="0" w:noHBand="0" w:noVBand="1"/>
        </w:tblPrEx>
        <w:trPr>
          <w:trHeight w:val="225"/>
        </w:trPr>
        <w:tc>
          <w:tcPr>
            <w:tcW w:w="3210" w:type="dxa"/>
            <w:tcBorders>
              <w:top w:val="nil"/>
              <w:left w:val="single" w:sz="6" w:space="0" w:color="000000"/>
              <w:bottom w:val="single" w:sz="6" w:space="0" w:color="000000"/>
              <w:right w:val="nil"/>
              <w:tl2br w:val="nil"/>
              <w:tr2bl w:val="nil"/>
            </w:tcBorders>
            <w:shd w:val="clear" w:color="auto" w:fill="FFFFFF"/>
            <w:tcMar>
              <w:left w:w="115" w:type="dxa"/>
              <w:right w:w="115" w:type="dxa"/>
            </w:tcMar>
            <w:vAlign w:val="bottom"/>
          </w:tcPr>
          <w:p w14:paraId="7D7F686F" w14:textId="77777777" w:rsidR="00724034" w:rsidRDefault="00FB7D0B">
            <w:pPr>
              <w:rPr>
                <w:rFonts w:ascii="Arial" w:eastAsia="Arial" w:hAnsi="Arial" w:cs="Arial"/>
                <w:color w:val="000000"/>
                <w:sz w:val="16"/>
                <w:vertAlign w:val="superscript"/>
              </w:rPr>
            </w:pPr>
            <w:r>
              <w:rPr>
                <w:rFonts w:ascii="Arial" w:eastAsia="Arial" w:hAnsi="Arial" w:cs="Arial"/>
                <w:color w:val="000000"/>
                <w:sz w:val="16"/>
              </w:rPr>
              <w:t xml:space="preserve">Treatment Population </w:t>
            </w:r>
          </w:p>
        </w:tc>
        <w:tc>
          <w:tcPr>
            <w:tcW w:w="975"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1BD658EC" w14:textId="77777777" w:rsidR="00724034" w:rsidRDefault="00FB7D0B">
            <w:pPr>
              <w:jc w:val="right"/>
              <w:rPr>
                <w:rFonts w:ascii="Arial" w:eastAsia="Arial" w:hAnsi="Arial" w:cs="Arial"/>
                <w:color w:val="000000"/>
                <w:sz w:val="16"/>
                <w:vertAlign w:val="superscript"/>
              </w:rPr>
            </w:pPr>
            <w:r>
              <w:rPr>
                <w:rFonts w:ascii="Arial" w:eastAsia="Arial" w:hAnsi="Arial" w:cs="Arial"/>
                <w:color w:val="000000"/>
                <w:sz w:val="16"/>
              </w:rPr>
              <w:t xml:space="preserve"> 215,900 </w:t>
            </w:r>
          </w:p>
        </w:tc>
        <w:tc>
          <w:tcPr>
            <w:tcW w:w="975" w:type="dxa"/>
            <w:tcBorders>
              <w:top w:val="nil"/>
              <w:left w:val="nil"/>
              <w:bottom w:val="single" w:sz="6" w:space="0" w:color="000000"/>
              <w:right w:val="nil"/>
              <w:tl2br w:val="nil"/>
              <w:tr2bl w:val="nil"/>
            </w:tcBorders>
            <w:shd w:val="clear" w:color="auto" w:fill="FFFF00"/>
            <w:tcMar>
              <w:left w:w="115" w:type="dxa"/>
              <w:right w:w="115" w:type="dxa"/>
            </w:tcMar>
            <w:vAlign w:val="bottom"/>
          </w:tcPr>
          <w:p w14:paraId="091E0D1C" w14:textId="77777777" w:rsidR="00724034" w:rsidRDefault="00FB7D0B">
            <w:pPr>
              <w:jc w:val="right"/>
              <w:rPr>
                <w:rFonts w:ascii="Arial" w:eastAsia="Arial" w:hAnsi="Arial" w:cs="Arial"/>
                <w:color w:val="000000"/>
                <w:sz w:val="16"/>
              </w:rPr>
            </w:pPr>
            <w:r>
              <w:rPr>
                <w:rFonts w:ascii="Arial" w:eastAsia="Arial" w:hAnsi="Arial" w:cs="Arial"/>
                <w:color w:val="000000"/>
                <w:sz w:val="16"/>
              </w:rPr>
              <w:t xml:space="preserve"> 204,000 </w:t>
            </w:r>
          </w:p>
        </w:tc>
        <w:tc>
          <w:tcPr>
            <w:tcW w:w="975"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60E9A790" w14:textId="77777777" w:rsidR="00724034" w:rsidRDefault="00FB7D0B">
            <w:pPr>
              <w:jc w:val="right"/>
              <w:rPr>
                <w:rFonts w:ascii="Arial" w:eastAsia="Arial" w:hAnsi="Arial" w:cs="Arial"/>
                <w:color w:val="000000"/>
                <w:sz w:val="16"/>
              </w:rPr>
            </w:pPr>
            <w:r>
              <w:rPr>
                <w:rFonts w:ascii="Arial" w:eastAsia="Arial" w:hAnsi="Arial" w:cs="Arial"/>
                <w:color w:val="000000"/>
                <w:sz w:val="16"/>
              </w:rPr>
              <w:t xml:space="preserve"> 192,900 </w:t>
            </w:r>
          </w:p>
        </w:tc>
        <w:tc>
          <w:tcPr>
            <w:tcW w:w="975"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7ECE2895" w14:textId="77777777" w:rsidR="00724034" w:rsidRDefault="00FB7D0B">
            <w:pPr>
              <w:jc w:val="right"/>
              <w:rPr>
                <w:rFonts w:ascii="Arial" w:eastAsia="Arial" w:hAnsi="Arial" w:cs="Arial"/>
                <w:color w:val="000000"/>
                <w:sz w:val="16"/>
              </w:rPr>
            </w:pPr>
            <w:r>
              <w:rPr>
                <w:rFonts w:ascii="Arial" w:eastAsia="Arial" w:hAnsi="Arial" w:cs="Arial"/>
                <w:color w:val="000000"/>
                <w:sz w:val="16"/>
              </w:rPr>
              <w:t xml:space="preserve"> 182,500 </w:t>
            </w:r>
          </w:p>
        </w:tc>
        <w:tc>
          <w:tcPr>
            <w:tcW w:w="975" w:type="dxa"/>
            <w:tcBorders>
              <w:top w:val="nil"/>
              <w:left w:val="nil"/>
              <w:bottom w:val="single" w:sz="6" w:space="0" w:color="000000"/>
              <w:right w:val="single" w:sz="6" w:space="0" w:color="000000"/>
              <w:tl2br w:val="nil"/>
              <w:tr2bl w:val="nil"/>
            </w:tcBorders>
            <w:shd w:val="clear" w:color="auto" w:fill="FFFFFF"/>
            <w:tcMar>
              <w:left w:w="115" w:type="dxa"/>
              <w:right w:w="115" w:type="dxa"/>
            </w:tcMar>
            <w:vAlign w:val="bottom"/>
          </w:tcPr>
          <w:p w14:paraId="45F7E433" w14:textId="77777777" w:rsidR="00724034" w:rsidRDefault="00FB7D0B">
            <w:pPr>
              <w:jc w:val="right"/>
              <w:rPr>
                <w:rFonts w:ascii="Arial" w:eastAsia="Arial" w:hAnsi="Arial" w:cs="Arial"/>
                <w:color w:val="000000"/>
                <w:sz w:val="16"/>
              </w:rPr>
            </w:pPr>
            <w:r>
              <w:rPr>
                <w:rFonts w:ascii="Arial" w:eastAsia="Arial" w:hAnsi="Arial" w:cs="Arial"/>
                <w:color w:val="000000"/>
                <w:sz w:val="16"/>
              </w:rPr>
              <w:t xml:space="preserve"> 172,900 </w:t>
            </w:r>
          </w:p>
        </w:tc>
      </w:tr>
      <w:tr w:rsidR="00724034" w14:paraId="737B4EA7" w14:textId="77777777">
        <w:tblPrEx>
          <w:tblLook w:val="04A0" w:firstRow="1" w:lastRow="0" w:firstColumn="1" w:lastColumn="0" w:noHBand="0" w:noVBand="1"/>
        </w:tblPrEx>
        <w:trPr>
          <w:trHeight w:val="60"/>
        </w:trPr>
        <w:tc>
          <w:tcPr>
            <w:tcW w:w="3210"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0A67BB23" w14:textId="77777777" w:rsidR="00724034" w:rsidRDefault="00724034">
            <w:pPr>
              <w:rPr>
                <w:rFonts w:ascii="Arial" w:eastAsia="Arial" w:hAnsi="Arial" w:cs="Arial"/>
                <w:color w:val="000000"/>
                <w:sz w:val="16"/>
              </w:rPr>
            </w:pPr>
          </w:p>
        </w:tc>
        <w:tc>
          <w:tcPr>
            <w:tcW w:w="975"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4882D68D" w14:textId="77777777" w:rsidR="00724034" w:rsidRDefault="00724034">
            <w:pPr>
              <w:rPr>
                <w:rFonts w:ascii="Arial" w:eastAsia="Arial" w:hAnsi="Arial" w:cs="Arial"/>
                <w:b/>
                <w:color w:val="000000"/>
                <w:sz w:val="16"/>
                <w:vertAlign w:val="superscript"/>
              </w:rPr>
            </w:pPr>
          </w:p>
        </w:tc>
        <w:tc>
          <w:tcPr>
            <w:tcW w:w="975"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5E6DB8D6" w14:textId="77777777" w:rsidR="00724034" w:rsidRDefault="00724034">
            <w:pPr>
              <w:rPr>
                <w:rFonts w:ascii="Arial" w:eastAsia="Arial" w:hAnsi="Arial" w:cs="Arial"/>
                <w:b/>
                <w:color w:val="000000"/>
                <w:sz w:val="16"/>
                <w:vertAlign w:val="superscript"/>
              </w:rPr>
            </w:pPr>
          </w:p>
        </w:tc>
        <w:tc>
          <w:tcPr>
            <w:tcW w:w="975"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3258CCE0" w14:textId="77777777" w:rsidR="00724034" w:rsidRDefault="00724034">
            <w:pPr>
              <w:rPr>
                <w:rFonts w:ascii="Arial" w:eastAsia="Arial" w:hAnsi="Arial" w:cs="Arial"/>
                <w:b/>
                <w:color w:val="000000"/>
                <w:sz w:val="16"/>
                <w:vertAlign w:val="superscript"/>
              </w:rPr>
            </w:pPr>
          </w:p>
        </w:tc>
        <w:tc>
          <w:tcPr>
            <w:tcW w:w="975"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13B86CC4" w14:textId="77777777" w:rsidR="00724034" w:rsidRDefault="00724034">
            <w:pPr>
              <w:rPr>
                <w:rFonts w:ascii="Arial" w:eastAsia="Arial" w:hAnsi="Arial" w:cs="Arial"/>
                <w:b/>
                <w:color w:val="000000"/>
                <w:sz w:val="16"/>
                <w:vertAlign w:val="superscript"/>
              </w:rPr>
            </w:pPr>
          </w:p>
        </w:tc>
        <w:tc>
          <w:tcPr>
            <w:tcW w:w="975"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2531684E" w14:textId="77777777" w:rsidR="00724034" w:rsidRDefault="00724034">
            <w:pPr>
              <w:rPr>
                <w:rFonts w:ascii="Arial" w:eastAsia="Arial" w:hAnsi="Arial" w:cs="Arial"/>
                <w:b/>
                <w:color w:val="000000"/>
                <w:sz w:val="16"/>
                <w:vertAlign w:val="superscript"/>
              </w:rPr>
            </w:pPr>
          </w:p>
        </w:tc>
      </w:tr>
    </w:tbl>
    <w:p w14:paraId="5C854019" w14:textId="77777777" w:rsidR="00724034" w:rsidRDefault="00FB7D0B">
      <w:pPr>
        <w:spacing w:line="14" w:lineRule="exact"/>
      </w:pPr>
      <w:r>
        <w:br w:type="page"/>
      </w:r>
    </w:p>
    <w:p w14:paraId="7EF8DA6B" w14:textId="77777777" w:rsidR="003F0EEA" w:rsidRDefault="003F0EEA">
      <w:pPr>
        <w:rPr>
          <w:rFonts w:eastAsia="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10"/>
        <w:gridCol w:w="975"/>
        <w:gridCol w:w="975"/>
        <w:gridCol w:w="975"/>
        <w:gridCol w:w="975"/>
        <w:gridCol w:w="975"/>
      </w:tblGrid>
      <w:tr w:rsidR="00724034" w14:paraId="50F16022" w14:textId="77777777" w:rsidTr="003F0EEA">
        <w:tc>
          <w:tcPr>
            <w:tcW w:w="8080" w:type="dxa"/>
            <w:gridSpan w:val="6"/>
            <w:tcBorders>
              <w:top w:val="single" w:sz="4" w:space="0" w:color="auto"/>
              <w:left w:val="single" w:sz="4" w:space="0" w:color="auto"/>
              <w:bottom w:val="single" w:sz="4" w:space="0" w:color="auto"/>
              <w:right w:val="single" w:sz="4" w:space="0" w:color="auto"/>
            </w:tcBorders>
            <w:shd w:val="clear" w:color="auto" w:fill="E6E6E6"/>
          </w:tcPr>
          <w:p w14:paraId="2BE024D2" w14:textId="77777777" w:rsidR="003F0EEA" w:rsidRPr="00CB2A21" w:rsidRDefault="00FB7D0B" w:rsidP="003F0EEA">
            <w:pPr>
              <w:pStyle w:val="TableTextBullet14"/>
              <w:numPr>
                <w:ilvl w:val="0"/>
                <w:numId w:val="0"/>
              </w:numPr>
              <w:ind w:left="284" w:hanging="284"/>
              <w:rPr>
                <w:b/>
              </w:rPr>
            </w:pPr>
            <w:r w:rsidRPr="00CB2A21">
              <w:rPr>
                <w:rFonts w:cs="Arial"/>
                <w:b/>
                <w:sz w:val="20"/>
              </w:rPr>
              <w:t>Program</w:t>
            </w:r>
            <w:r>
              <w:rPr>
                <w:rFonts w:cs="Arial"/>
                <w:b/>
                <w:sz w:val="20"/>
              </w:rPr>
              <w:t>me</w:t>
            </w:r>
            <w:r w:rsidRPr="00CB2A21">
              <w:rPr>
                <w:rFonts w:cs="Arial"/>
                <w:b/>
                <w:sz w:val="20"/>
              </w:rPr>
              <w:t xml:space="preserve"> 2.3: Veterans' Pharmaceuticals Benefits (continued)</w:t>
            </w:r>
          </w:p>
        </w:tc>
      </w:tr>
      <w:tr w:rsidR="00724034" w14:paraId="7D620287" w14:textId="77777777" w:rsidTr="003F0EEA">
        <w:tc>
          <w:tcPr>
            <w:tcW w:w="8080" w:type="dxa"/>
            <w:gridSpan w:val="6"/>
            <w:tcBorders>
              <w:top w:val="single" w:sz="4" w:space="0" w:color="auto"/>
              <w:left w:val="nil"/>
              <w:bottom w:val="single" w:sz="4" w:space="0" w:color="auto"/>
              <w:right w:val="nil"/>
            </w:tcBorders>
          </w:tcPr>
          <w:p w14:paraId="5701DC01" w14:textId="77777777" w:rsidR="003F0EEA" w:rsidRDefault="003F0EEA" w:rsidP="003F0EEA">
            <w:pPr>
              <w:pStyle w:val="TableTextLeft27"/>
              <w:keepNext/>
              <w:rPr>
                <w:b/>
              </w:rPr>
            </w:pPr>
          </w:p>
        </w:tc>
      </w:tr>
      <w:tr w:rsidR="00724034" w14:paraId="1B09C51D" w14:textId="77777777" w:rsidTr="003F0EEA">
        <w:tc>
          <w:tcPr>
            <w:tcW w:w="8080" w:type="dxa"/>
            <w:gridSpan w:val="6"/>
            <w:tcBorders>
              <w:top w:val="single" w:sz="4" w:space="0" w:color="auto"/>
              <w:left w:val="single" w:sz="4" w:space="0" w:color="auto"/>
              <w:bottom w:val="single" w:sz="4" w:space="0" w:color="auto"/>
              <w:right w:val="single" w:sz="4" w:space="0" w:color="auto"/>
            </w:tcBorders>
          </w:tcPr>
          <w:p w14:paraId="3407F206" w14:textId="77777777" w:rsidR="003F0EEA" w:rsidRDefault="00FB7D0B" w:rsidP="003F0EEA">
            <w:pPr>
              <w:pStyle w:val="TableTextLeft27"/>
              <w:keepNext/>
              <w:rPr>
                <w:b/>
              </w:rPr>
            </w:pPr>
            <w:r>
              <w:rPr>
                <w:b/>
              </w:rPr>
              <w:t>Programme 2.3 key performance indicators</w:t>
            </w:r>
          </w:p>
          <w:p w14:paraId="2FDCA91F" w14:textId="77777777" w:rsidR="003F0EEA" w:rsidRDefault="00FB7D0B" w:rsidP="003F0EEA">
            <w:pPr>
              <w:pStyle w:val="TableTextBullet14"/>
            </w:pPr>
            <w:r>
              <w:t>Ensure arrangements are in place for the access to and delivery of pharmacy services under the VEA and related legislation.</w:t>
            </w:r>
          </w:p>
          <w:p w14:paraId="3F50D50A" w14:textId="77777777" w:rsidR="003F0EEA" w:rsidRPr="00CB2A21" w:rsidRDefault="00FB7D0B" w:rsidP="003F0EEA">
            <w:pPr>
              <w:pStyle w:val="TableTextBullet14"/>
            </w:pPr>
            <w:r>
              <w:t>Maintain a comprehensive Repatriation Pharmaceutical Benefits Schedule that meets the health care needs of entitled beneficiaries and maintains consistency with trends in the delivery of health care services.</w:t>
            </w:r>
          </w:p>
        </w:tc>
      </w:tr>
      <w:tr w:rsidR="00724034" w14:paraId="5279BB69" w14:textId="77777777">
        <w:tblPrEx>
          <w:tblLook w:val="04A0" w:firstRow="1" w:lastRow="0" w:firstColumn="1" w:lastColumn="0" w:noHBand="0" w:noVBand="1"/>
        </w:tblPrEx>
        <w:trPr>
          <w:trHeight w:val="225"/>
        </w:trPr>
        <w:tc>
          <w:tcPr>
            <w:tcW w:w="3210" w:type="dxa"/>
            <w:tcBorders>
              <w:top w:val="single" w:sz="6" w:space="0" w:color="000000"/>
              <w:left w:val="single" w:sz="6" w:space="0" w:color="000000"/>
              <w:bottom w:val="nil"/>
              <w:right w:val="nil"/>
              <w:tl2br w:val="nil"/>
              <w:tr2bl w:val="nil"/>
            </w:tcBorders>
            <w:shd w:val="clear" w:color="auto" w:fill="FFFFFF"/>
            <w:tcMar>
              <w:left w:w="115" w:type="dxa"/>
              <w:right w:w="115" w:type="dxa"/>
            </w:tcMar>
            <w:vAlign w:val="bottom"/>
          </w:tcPr>
          <w:p w14:paraId="60DBB343" w14:textId="77777777" w:rsidR="00724034" w:rsidRDefault="00724034">
            <w:pPr>
              <w:jc w:val="center"/>
            </w:pPr>
          </w:p>
        </w:tc>
        <w:tc>
          <w:tcPr>
            <w:tcW w:w="975"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6779075A" w14:textId="77777777" w:rsidR="00724034" w:rsidRDefault="00FB7D0B">
            <w:pPr>
              <w:jc w:val="right"/>
              <w:rPr>
                <w:rFonts w:ascii="Arial" w:eastAsia="Arial" w:hAnsi="Arial" w:cs="Arial"/>
                <w:b/>
                <w:color w:val="000000"/>
                <w:sz w:val="16"/>
                <w:vertAlign w:val="superscript"/>
              </w:rPr>
            </w:pPr>
            <w:r>
              <w:rPr>
                <w:rFonts w:ascii="Arial" w:eastAsia="Arial" w:hAnsi="Arial" w:cs="Arial"/>
                <w:color w:val="000000"/>
                <w:sz w:val="16"/>
              </w:rPr>
              <w:t>2013-14</w:t>
            </w:r>
          </w:p>
        </w:tc>
        <w:tc>
          <w:tcPr>
            <w:tcW w:w="975" w:type="dxa"/>
            <w:tcBorders>
              <w:top w:val="single" w:sz="6" w:space="0" w:color="000000"/>
              <w:left w:val="nil"/>
              <w:bottom w:val="nil"/>
              <w:right w:val="nil"/>
              <w:tl2br w:val="nil"/>
              <w:tr2bl w:val="nil"/>
            </w:tcBorders>
            <w:shd w:val="clear" w:color="auto" w:fill="FFFF00"/>
            <w:tcMar>
              <w:left w:w="115" w:type="dxa"/>
              <w:right w:w="115" w:type="dxa"/>
            </w:tcMar>
            <w:vAlign w:val="bottom"/>
          </w:tcPr>
          <w:p w14:paraId="291BE4C2" w14:textId="77777777" w:rsidR="00724034" w:rsidRDefault="00FB7D0B">
            <w:pPr>
              <w:jc w:val="right"/>
              <w:rPr>
                <w:rFonts w:ascii="Arial" w:eastAsia="Arial" w:hAnsi="Arial" w:cs="Arial"/>
                <w:color w:val="000000"/>
                <w:sz w:val="16"/>
              </w:rPr>
            </w:pPr>
            <w:r>
              <w:rPr>
                <w:rFonts w:ascii="Arial" w:eastAsia="Arial" w:hAnsi="Arial" w:cs="Arial"/>
                <w:color w:val="000000"/>
                <w:sz w:val="16"/>
              </w:rPr>
              <w:t>2014-15</w:t>
            </w:r>
          </w:p>
        </w:tc>
        <w:tc>
          <w:tcPr>
            <w:tcW w:w="975"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2E23B0E2" w14:textId="77777777" w:rsidR="00724034" w:rsidRDefault="00FB7D0B">
            <w:pPr>
              <w:jc w:val="right"/>
              <w:rPr>
                <w:rFonts w:ascii="Arial" w:eastAsia="Arial" w:hAnsi="Arial" w:cs="Arial"/>
                <w:color w:val="000000"/>
                <w:sz w:val="16"/>
              </w:rPr>
            </w:pPr>
            <w:r>
              <w:rPr>
                <w:rFonts w:ascii="Arial" w:eastAsia="Arial" w:hAnsi="Arial" w:cs="Arial"/>
                <w:color w:val="000000"/>
                <w:sz w:val="16"/>
              </w:rPr>
              <w:t>2015-16</w:t>
            </w:r>
          </w:p>
        </w:tc>
        <w:tc>
          <w:tcPr>
            <w:tcW w:w="975"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2A458FBE" w14:textId="77777777" w:rsidR="00724034" w:rsidRDefault="00FB7D0B">
            <w:pPr>
              <w:jc w:val="right"/>
              <w:rPr>
                <w:rFonts w:ascii="Arial" w:eastAsia="Arial" w:hAnsi="Arial" w:cs="Arial"/>
                <w:color w:val="000000"/>
                <w:sz w:val="16"/>
              </w:rPr>
            </w:pPr>
            <w:r>
              <w:rPr>
                <w:rFonts w:ascii="Arial" w:eastAsia="Arial" w:hAnsi="Arial" w:cs="Arial"/>
                <w:color w:val="000000"/>
                <w:sz w:val="16"/>
              </w:rPr>
              <w:t>2016-17</w:t>
            </w:r>
          </w:p>
        </w:tc>
        <w:tc>
          <w:tcPr>
            <w:tcW w:w="975" w:type="dxa"/>
            <w:tcBorders>
              <w:top w:val="single" w:sz="6" w:space="0" w:color="000000"/>
              <w:left w:val="nil"/>
              <w:bottom w:val="nil"/>
              <w:right w:val="single" w:sz="6" w:space="0" w:color="000000"/>
              <w:tl2br w:val="nil"/>
              <w:tr2bl w:val="nil"/>
            </w:tcBorders>
            <w:shd w:val="clear" w:color="auto" w:fill="FFFFFF"/>
            <w:tcMar>
              <w:left w:w="115" w:type="dxa"/>
              <w:right w:w="115" w:type="dxa"/>
            </w:tcMar>
            <w:vAlign w:val="bottom"/>
          </w:tcPr>
          <w:p w14:paraId="49A823FF" w14:textId="77777777" w:rsidR="00724034" w:rsidRDefault="00FB7D0B">
            <w:pPr>
              <w:jc w:val="right"/>
              <w:rPr>
                <w:rFonts w:ascii="Arial" w:eastAsia="Arial" w:hAnsi="Arial" w:cs="Arial"/>
                <w:color w:val="000000"/>
                <w:sz w:val="16"/>
              </w:rPr>
            </w:pPr>
            <w:r>
              <w:rPr>
                <w:rFonts w:ascii="Arial" w:eastAsia="Arial" w:hAnsi="Arial" w:cs="Arial"/>
                <w:color w:val="000000"/>
                <w:sz w:val="16"/>
              </w:rPr>
              <w:t>2017-18</w:t>
            </w:r>
          </w:p>
        </w:tc>
      </w:tr>
      <w:tr w:rsidR="00724034" w14:paraId="44A06FCB" w14:textId="77777777">
        <w:tblPrEx>
          <w:tblLook w:val="04A0" w:firstRow="1" w:lastRow="0" w:firstColumn="1" w:lastColumn="0" w:noHBand="0" w:noVBand="1"/>
        </w:tblPrEx>
        <w:trPr>
          <w:trHeight w:val="225"/>
        </w:trPr>
        <w:tc>
          <w:tcPr>
            <w:tcW w:w="3210" w:type="dxa"/>
            <w:tcBorders>
              <w:top w:val="nil"/>
              <w:left w:val="single" w:sz="6" w:space="0" w:color="000000"/>
              <w:bottom w:val="nil"/>
              <w:right w:val="nil"/>
              <w:tl2br w:val="nil"/>
              <w:tr2bl w:val="nil"/>
            </w:tcBorders>
            <w:shd w:val="clear" w:color="auto" w:fill="FFFFFF"/>
            <w:tcMar>
              <w:left w:w="115" w:type="dxa"/>
              <w:right w:w="115" w:type="dxa"/>
            </w:tcMar>
            <w:vAlign w:val="bottom"/>
          </w:tcPr>
          <w:p w14:paraId="231799D1" w14:textId="77777777" w:rsidR="00724034" w:rsidRDefault="00FB7D0B">
            <w:pPr>
              <w:rPr>
                <w:rFonts w:ascii="Arial" w:eastAsia="Arial" w:hAnsi="Arial" w:cs="Arial"/>
                <w:color w:val="000000"/>
                <w:sz w:val="16"/>
              </w:rPr>
            </w:pPr>
            <w:r>
              <w:rPr>
                <w:rFonts w:ascii="Arial" w:eastAsia="Arial" w:hAnsi="Arial" w:cs="Arial"/>
                <w:color w:val="000000"/>
                <w:sz w:val="16"/>
              </w:rPr>
              <w:t>Key Performance</w:t>
            </w:r>
          </w:p>
        </w:tc>
        <w:tc>
          <w:tcPr>
            <w:tcW w:w="975" w:type="dxa"/>
            <w:tcBorders>
              <w:top w:val="nil"/>
              <w:left w:val="nil"/>
              <w:bottom w:val="nil"/>
              <w:right w:val="nil"/>
              <w:tl2br w:val="nil"/>
              <w:tr2bl w:val="nil"/>
            </w:tcBorders>
            <w:shd w:val="clear" w:color="auto" w:fill="FFFFFF"/>
            <w:tcMar>
              <w:left w:w="115" w:type="dxa"/>
              <w:right w:w="115" w:type="dxa"/>
            </w:tcMar>
            <w:vAlign w:val="bottom"/>
          </w:tcPr>
          <w:p w14:paraId="5B74A544" w14:textId="77777777" w:rsidR="00724034" w:rsidRDefault="00FB7D0B">
            <w:pPr>
              <w:jc w:val="right"/>
              <w:rPr>
                <w:rFonts w:ascii="Arial" w:eastAsia="Arial" w:hAnsi="Arial" w:cs="Arial"/>
                <w:color w:val="000000"/>
                <w:sz w:val="16"/>
                <w:vertAlign w:val="superscript"/>
              </w:rPr>
            </w:pPr>
            <w:r>
              <w:rPr>
                <w:rFonts w:ascii="Arial" w:eastAsia="Arial" w:hAnsi="Arial" w:cs="Arial"/>
                <w:color w:val="000000"/>
                <w:sz w:val="16"/>
              </w:rPr>
              <w:t>Revised</w:t>
            </w:r>
          </w:p>
        </w:tc>
        <w:tc>
          <w:tcPr>
            <w:tcW w:w="975" w:type="dxa"/>
            <w:tcBorders>
              <w:top w:val="nil"/>
              <w:left w:val="nil"/>
              <w:bottom w:val="nil"/>
              <w:right w:val="nil"/>
              <w:tl2br w:val="nil"/>
              <w:tr2bl w:val="nil"/>
            </w:tcBorders>
            <w:shd w:val="clear" w:color="auto" w:fill="FFFF00"/>
            <w:tcMar>
              <w:left w:w="115" w:type="dxa"/>
              <w:right w:w="115" w:type="dxa"/>
            </w:tcMar>
            <w:vAlign w:val="bottom"/>
          </w:tcPr>
          <w:p w14:paraId="24F50057" w14:textId="77777777" w:rsidR="00724034" w:rsidRDefault="00FB7D0B">
            <w:pPr>
              <w:jc w:val="right"/>
              <w:rPr>
                <w:rFonts w:ascii="Arial" w:eastAsia="Arial" w:hAnsi="Arial" w:cs="Arial"/>
                <w:color w:val="000000"/>
                <w:sz w:val="16"/>
              </w:rPr>
            </w:pPr>
            <w:r>
              <w:rPr>
                <w:rFonts w:ascii="Arial" w:eastAsia="Arial" w:hAnsi="Arial" w:cs="Arial"/>
                <w:color w:val="000000"/>
                <w:sz w:val="16"/>
              </w:rPr>
              <w:t>Budget</w:t>
            </w:r>
          </w:p>
        </w:tc>
        <w:tc>
          <w:tcPr>
            <w:tcW w:w="975" w:type="dxa"/>
            <w:tcBorders>
              <w:top w:val="nil"/>
              <w:left w:val="nil"/>
              <w:bottom w:val="nil"/>
              <w:right w:val="nil"/>
              <w:tl2br w:val="nil"/>
              <w:tr2bl w:val="nil"/>
            </w:tcBorders>
            <w:shd w:val="clear" w:color="auto" w:fill="FFFFFF"/>
            <w:tcMar>
              <w:left w:w="115" w:type="dxa"/>
              <w:right w:w="115" w:type="dxa"/>
            </w:tcMar>
            <w:vAlign w:val="bottom"/>
          </w:tcPr>
          <w:p w14:paraId="661ACCE4" w14:textId="77777777" w:rsidR="00724034" w:rsidRDefault="00FB7D0B">
            <w:pPr>
              <w:jc w:val="right"/>
              <w:rPr>
                <w:rFonts w:ascii="Arial" w:eastAsia="Arial" w:hAnsi="Arial" w:cs="Arial"/>
                <w:color w:val="000000"/>
                <w:sz w:val="16"/>
              </w:rPr>
            </w:pPr>
            <w:r>
              <w:rPr>
                <w:rFonts w:ascii="Arial" w:eastAsia="Arial" w:hAnsi="Arial" w:cs="Arial"/>
                <w:color w:val="000000"/>
                <w:sz w:val="16"/>
              </w:rPr>
              <w:t>Forward</w:t>
            </w:r>
          </w:p>
        </w:tc>
        <w:tc>
          <w:tcPr>
            <w:tcW w:w="975" w:type="dxa"/>
            <w:tcBorders>
              <w:top w:val="nil"/>
              <w:left w:val="nil"/>
              <w:bottom w:val="nil"/>
              <w:right w:val="nil"/>
              <w:tl2br w:val="nil"/>
              <w:tr2bl w:val="nil"/>
            </w:tcBorders>
            <w:shd w:val="clear" w:color="auto" w:fill="FFFFFF"/>
            <w:tcMar>
              <w:left w:w="115" w:type="dxa"/>
              <w:right w:w="115" w:type="dxa"/>
            </w:tcMar>
            <w:vAlign w:val="bottom"/>
          </w:tcPr>
          <w:p w14:paraId="2D332504" w14:textId="77777777" w:rsidR="00724034" w:rsidRDefault="00FB7D0B">
            <w:pPr>
              <w:jc w:val="right"/>
              <w:rPr>
                <w:rFonts w:ascii="Arial" w:eastAsia="Arial" w:hAnsi="Arial" w:cs="Arial"/>
                <w:color w:val="000000"/>
                <w:sz w:val="16"/>
              </w:rPr>
            </w:pPr>
            <w:r>
              <w:rPr>
                <w:rFonts w:ascii="Arial" w:eastAsia="Arial" w:hAnsi="Arial" w:cs="Arial"/>
                <w:color w:val="000000"/>
                <w:sz w:val="16"/>
              </w:rPr>
              <w:t>Forward</w:t>
            </w:r>
          </w:p>
        </w:tc>
        <w:tc>
          <w:tcPr>
            <w:tcW w:w="975" w:type="dxa"/>
            <w:tcBorders>
              <w:top w:val="nil"/>
              <w:left w:val="nil"/>
              <w:bottom w:val="nil"/>
              <w:right w:val="single" w:sz="6" w:space="0" w:color="000000"/>
              <w:tl2br w:val="nil"/>
              <w:tr2bl w:val="nil"/>
            </w:tcBorders>
            <w:shd w:val="clear" w:color="auto" w:fill="FFFFFF"/>
            <w:tcMar>
              <w:left w:w="115" w:type="dxa"/>
              <w:right w:w="115" w:type="dxa"/>
            </w:tcMar>
            <w:vAlign w:val="bottom"/>
          </w:tcPr>
          <w:p w14:paraId="1E1FCA4B" w14:textId="77777777" w:rsidR="00724034" w:rsidRDefault="00FB7D0B">
            <w:pPr>
              <w:jc w:val="right"/>
              <w:rPr>
                <w:rFonts w:ascii="Arial" w:eastAsia="Arial" w:hAnsi="Arial" w:cs="Arial"/>
                <w:color w:val="000000"/>
                <w:sz w:val="16"/>
              </w:rPr>
            </w:pPr>
            <w:r>
              <w:rPr>
                <w:rFonts w:ascii="Arial" w:eastAsia="Arial" w:hAnsi="Arial" w:cs="Arial"/>
                <w:color w:val="000000"/>
                <w:sz w:val="16"/>
              </w:rPr>
              <w:t>Forward</w:t>
            </w:r>
          </w:p>
        </w:tc>
      </w:tr>
      <w:tr w:rsidR="00724034" w14:paraId="35E023BF" w14:textId="77777777">
        <w:tblPrEx>
          <w:tblLook w:val="04A0" w:firstRow="1" w:lastRow="0" w:firstColumn="1" w:lastColumn="0" w:noHBand="0" w:noVBand="1"/>
        </w:tblPrEx>
        <w:trPr>
          <w:trHeight w:val="225"/>
        </w:trPr>
        <w:tc>
          <w:tcPr>
            <w:tcW w:w="3210" w:type="dxa"/>
            <w:tcBorders>
              <w:top w:val="nil"/>
              <w:left w:val="single" w:sz="6" w:space="0" w:color="000000"/>
              <w:bottom w:val="single" w:sz="6" w:space="0" w:color="000000"/>
              <w:right w:val="nil"/>
              <w:tl2br w:val="nil"/>
              <w:tr2bl w:val="nil"/>
            </w:tcBorders>
            <w:shd w:val="clear" w:color="auto" w:fill="FFFFFF"/>
            <w:tcMar>
              <w:left w:w="115" w:type="dxa"/>
              <w:right w:w="115" w:type="dxa"/>
            </w:tcMar>
            <w:vAlign w:val="bottom"/>
          </w:tcPr>
          <w:p w14:paraId="59EDA2B3" w14:textId="77777777" w:rsidR="00724034" w:rsidRDefault="00FB7D0B">
            <w:pPr>
              <w:rPr>
                <w:rFonts w:ascii="Arial" w:eastAsia="Arial" w:hAnsi="Arial" w:cs="Arial"/>
                <w:color w:val="000000"/>
                <w:sz w:val="16"/>
              </w:rPr>
            </w:pPr>
            <w:r>
              <w:rPr>
                <w:rFonts w:ascii="Arial" w:eastAsia="Arial" w:hAnsi="Arial" w:cs="Arial"/>
                <w:color w:val="000000"/>
                <w:sz w:val="16"/>
              </w:rPr>
              <w:t>Indicators</w:t>
            </w:r>
          </w:p>
        </w:tc>
        <w:tc>
          <w:tcPr>
            <w:tcW w:w="975"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0C8792B5" w14:textId="77777777" w:rsidR="00724034" w:rsidRDefault="00FB7D0B">
            <w:pPr>
              <w:jc w:val="right"/>
              <w:rPr>
                <w:rFonts w:ascii="Arial" w:eastAsia="Arial" w:hAnsi="Arial" w:cs="Arial"/>
                <w:color w:val="000000"/>
                <w:sz w:val="16"/>
                <w:vertAlign w:val="superscript"/>
              </w:rPr>
            </w:pPr>
            <w:r>
              <w:rPr>
                <w:rFonts w:ascii="Arial" w:eastAsia="Arial" w:hAnsi="Arial" w:cs="Arial"/>
                <w:color w:val="000000"/>
                <w:sz w:val="16"/>
              </w:rPr>
              <w:t>budget</w:t>
            </w:r>
          </w:p>
        </w:tc>
        <w:tc>
          <w:tcPr>
            <w:tcW w:w="975" w:type="dxa"/>
            <w:tcBorders>
              <w:top w:val="nil"/>
              <w:left w:val="nil"/>
              <w:bottom w:val="single" w:sz="6" w:space="0" w:color="000000"/>
              <w:right w:val="nil"/>
              <w:tl2br w:val="nil"/>
              <w:tr2bl w:val="nil"/>
            </w:tcBorders>
            <w:shd w:val="clear" w:color="auto" w:fill="FFFF00"/>
            <w:tcMar>
              <w:left w:w="115" w:type="dxa"/>
              <w:right w:w="115" w:type="dxa"/>
            </w:tcMar>
            <w:vAlign w:val="bottom"/>
          </w:tcPr>
          <w:p w14:paraId="4813EFE3" w14:textId="77777777" w:rsidR="00724034" w:rsidRDefault="00FB7D0B">
            <w:pPr>
              <w:jc w:val="right"/>
              <w:rPr>
                <w:rFonts w:ascii="Arial" w:eastAsia="Arial" w:hAnsi="Arial" w:cs="Arial"/>
                <w:color w:val="000000"/>
                <w:sz w:val="16"/>
              </w:rPr>
            </w:pPr>
            <w:r>
              <w:rPr>
                <w:rFonts w:ascii="Arial" w:eastAsia="Arial" w:hAnsi="Arial" w:cs="Arial"/>
                <w:color w:val="000000"/>
                <w:sz w:val="16"/>
              </w:rPr>
              <w:t>target</w:t>
            </w:r>
          </w:p>
        </w:tc>
        <w:tc>
          <w:tcPr>
            <w:tcW w:w="975"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3FE6B1E7" w14:textId="77777777" w:rsidR="00724034" w:rsidRDefault="00FB7D0B">
            <w:pPr>
              <w:jc w:val="right"/>
              <w:rPr>
                <w:rFonts w:ascii="Arial" w:eastAsia="Arial" w:hAnsi="Arial" w:cs="Arial"/>
                <w:color w:val="000000"/>
                <w:sz w:val="16"/>
              </w:rPr>
            </w:pPr>
            <w:r>
              <w:rPr>
                <w:rFonts w:ascii="Arial" w:eastAsia="Arial" w:hAnsi="Arial" w:cs="Arial"/>
                <w:color w:val="000000"/>
                <w:sz w:val="16"/>
              </w:rPr>
              <w:t>year 1</w:t>
            </w:r>
          </w:p>
        </w:tc>
        <w:tc>
          <w:tcPr>
            <w:tcW w:w="975"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1043CDFA" w14:textId="77777777" w:rsidR="00724034" w:rsidRDefault="00FB7D0B">
            <w:pPr>
              <w:jc w:val="right"/>
              <w:rPr>
                <w:rFonts w:ascii="Arial" w:eastAsia="Arial" w:hAnsi="Arial" w:cs="Arial"/>
                <w:color w:val="000000"/>
                <w:sz w:val="16"/>
              </w:rPr>
            </w:pPr>
            <w:r>
              <w:rPr>
                <w:rFonts w:ascii="Arial" w:eastAsia="Arial" w:hAnsi="Arial" w:cs="Arial"/>
                <w:color w:val="000000"/>
                <w:sz w:val="16"/>
              </w:rPr>
              <w:t>year 2</w:t>
            </w:r>
          </w:p>
        </w:tc>
        <w:tc>
          <w:tcPr>
            <w:tcW w:w="975" w:type="dxa"/>
            <w:tcBorders>
              <w:top w:val="nil"/>
              <w:left w:val="nil"/>
              <w:bottom w:val="single" w:sz="6" w:space="0" w:color="000000"/>
              <w:right w:val="single" w:sz="6" w:space="0" w:color="000000"/>
              <w:tl2br w:val="nil"/>
              <w:tr2bl w:val="nil"/>
            </w:tcBorders>
            <w:shd w:val="clear" w:color="auto" w:fill="FFFFFF"/>
            <w:tcMar>
              <w:left w:w="115" w:type="dxa"/>
              <w:right w:w="115" w:type="dxa"/>
            </w:tcMar>
            <w:vAlign w:val="bottom"/>
          </w:tcPr>
          <w:p w14:paraId="1441A83F" w14:textId="77777777" w:rsidR="00724034" w:rsidRDefault="00FB7D0B">
            <w:pPr>
              <w:jc w:val="right"/>
              <w:rPr>
                <w:rFonts w:ascii="Arial" w:eastAsia="Arial" w:hAnsi="Arial" w:cs="Arial"/>
                <w:color w:val="000000"/>
                <w:sz w:val="16"/>
              </w:rPr>
            </w:pPr>
            <w:r>
              <w:rPr>
                <w:rFonts w:ascii="Arial" w:eastAsia="Arial" w:hAnsi="Arial" w:cs="Arial"/>
                <w:color w:val="000000"/>
                <w:sz w:val="16"/>
              </w:rPr>
              <w:t>year 3</w:t>
            </w:r>
          </w:p>
        </w:tc>
      </w:tr>
      <w:tr w:rsidR="00724034" w14:paraId="3848588C" w14:textId="77777777">
        <w:tblPrEx>
          <w:tblLook w:val="04A0" w:firstRow="1" w:lastRow="0" w:firstColumn="1" w:lastColumn="0" w:noHBand="0" w:noVBand="1"/>
        </w:tblPrEx>
        <w:trPr>
          <w:trHeight w:val="60"/>
        </w:trPr>
        <w:tc>
          <w:tcPr>
            <w:tcW w:w="3210" w:type="dxa"/>
            <w:tcBorders>
              <w:top w:val="single" w:sz="6" w:space="0" w:color="000000"/>
              <w:left w:val="single" w:sz="6" w:space="0" w:color="000000"/>
              <w:bottom w:val="nil"/>
              <w:right w:val="nil"/>
              <w:tl2br w:val="nil"/>
              <w:tr2bl w:val="nil"/>
            </w:tcBorders>
            <w:shd w:val="clear" w:color="auto" w:fill="FFFFFF"/>
            <w:tcMar>
              <w:left w:w="115" w:type="dxa"/>
              <w:right w:w="115" w:type="dxa"/>
            </w:tcMar>
            <w:vAlign w:val="bottom"/>
          </w:tcPr>
          <w:p w14:paraId="72C82C54" w14:textId="77777777" w:rsidR="00724034" w:rsidRDefault="00724034">
            <w:pPr>
              <w:rPr>
                <w:rFonts w:ascii="Arial" w:eastAsia="Arial" w:hAnsi="Arial" w:cs="Arial"/>
                <w:color w:val="000000"/>
                <w:sz w:val="16"/>
              </w:rPr>
            </w:pPr>
          </w:p>
        </w:tc>
        <w:tc>
          <w:tcPr>
            <w:tcW w:w="975"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04597979" w14:textId="77777777" w:rsidR="00724034" w:rsidRDefault="00724034">
            <w:pPr>
              <w:jc w:val="right"/>
              <w:rPr>
                <w:rFonts w:ascii="Arial" w:eastAsia="Arial" w:hAnsi="Arial" w:cs="Arial"/>
                <w:color w:val="000000"/>
                <w:sz w:val="16"/>
                <w:vertAlign w:val="superscript"/>
              </w:rPr>
            </w:pPr>
          </w:p>
        </w:tc>
        <w:tc>
          <w:tcPr>
            <w:tcW w:w="975" w:type="dxa"/>
            <w:tcBorders>
              <w:top w:val="single" w:sz="6" w:space="0" w:color="000000"/>
              <w:left w:val="nil"/>
              <w:bottom w:val="nil"/>
              <w:right w:val="nil"/>
              <w:tl2br w:val="nil"/>
              <w:tr2bl w:val="nil"/>
            </w:tcBorders>
            <w:shd w:val="clear" w:color="auto" w:fill="FFFF00"/>
            <w:tcMar>
              <w:left w:w="115" w:type="dxa"/>
              <w:right w:w="115" w:type="dxa"/>
            </w:tcMar>
            <w:vAlign w:val="bottom"/>
          </w:tcPr>
          <w:p w14:paraId="7795BA3F" w14:textId="77777777" w:rsidR="00724034" w:rsidRDefault="00724034">
            <w:pPr>
              <w:jc w:val="right"/>
              <w:rPr>
                <w:rFonts w:ascii="Arial" w:eastAsia="Arial" w:hAnsi="Arial" w:cs="Arial"/>
                <w:color w:val="000000"/>
                <w:sz w:val="16"/>
                <w:vertAlign w:val="superscript"/>
              </w:rPr>
            </w:pPr>
          </w:p>
        </w:tc>
        <w:tc>
          <w:tcPr>
            <w:tcW w:w="975"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4616F1EE" w14:textId="77777777" w:rsidR="00724034" w:rsidRDefault="00724034">
            <w:pPr>
              <w:jc w:val="right"/>
              <w:rPr>
                <w:rFonts w:ascii="Arial" w:eastAsia="Arial" w:hAnsi="Arial" w:cs="Arial"/>
                <w:color w:val="000000"/>
                <w:sz w:val="16"/>
                <w:vertAlign w:val="superscript"/>
              </w:rPr>
            </w:pPr>
          </w:p>
        </w:tc>
        <w:tc>
          <w:tcPr>
            <w:tcW w:w="975"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794C18CA" w14:textId="77777777" w:rsidR="00724034" w:rsidRDefault="00724034">
            <w:pPr>
              <w:jc w:val="right"/>
              <w:rPr>
                <w:rFonts w:ascii="Arial" w:eastAsia="Arial" w:hAnsi="Arial" w:cs="Arial"/>
                <w:color w:val="000000"/>
                <w:sz w:val="16"/>
                <w:vertAlign w:val="superscript"/>
              </w:rPr>
            </w:pPr>
          </w:p>
        </w:tc>
        <w:tc>
          <w:tcPr>
            <w:tcW w:w="975" w:type="dxa"/>
            <w:tcBorders>
              <w:top w:val="single" w:sz="6" w:space="0" w:color="000000"/>
              <w:left w:val="nil"/>
              <w:bottom w:val="nil"/>
              <w:right w:val="single" w:sz="6" w:space="0" w:color="000000"/>
              <w:tl2br w:val="nil"/>
              <w:tr2bl w:val="nil"/>
            </w:tcBorders>
            <w:shd w:val="clear" w:color="auto" w:fill="FFFFFF"/>
            <w:tcMar>
              <w:left w:w="115" w:type="dxa"/>
              <w:right w:w="115" w:type="dxa"/>
            </w:tcMar>
            <w:vAlign w:val="bottom"/>
          </w:tcPr>
          <w:p w14:paraId="775FFBB5" w14:textId="77777777" w:rsidR="00724034" w:rsidRDefault="00724034">
            <w:pPr>
              <w:jc w:val="right"/>
              <w:rPr>
                <w:rFonts w:ascii="Arial" w:eastAsia="Arial" w:hAnsi="Arial" w:cs="Arial"/>
                <w:color w:val="000000"/>
                <w:sz w:val="16"/>
                <w:vertAlign w:val="superscript"/>
              </w:rPr>
            </w:pPr>
          </w:p>
        </w:tc>
      </w:tr>
      <w:tr w:rsidR="00724034" w14:paraId="02A778D2" w14:textId="77777777">
        <w:tblPrEx>
          <w:tblLook w:val="04A0" w:firstRow="1" w:lastRow="0" w:firstColumn="1" w:lastColumn="0" w:noHBand="0" w:noVBand="1"/>
        </w:tblPrEx>
        <w:trPr>
          <w:trHeight w:val="225"/>
        </w:trPr>
        <w:tc>
          <w:tcPr>
            <w:tcW w:w="3210" w:type="dxa"/>
            <w:tcBorders>
              <w:top w:val="nil"/>
              <w:left w:val="single" w:sz="6" w:space="0" w:color="000000"/>
              <w:bottom w:val="single" w:sz="6" w:space="0" w:color="000000"/>
              <w:right w:val="nil"/>
              <w:tl2br w:val="nil"/>
              <w:tr2bl w:val="nil"/>
            </w:tcBorders>
            <w:shd w:val="clear" w:color="auto" w:fill="FFFFFF"/>
            <w:tcMar>
              <w:left w:w="115" w:type="dxa"/>
              <w:right w:w="115" w:type="dxa"/>
            </w:tcMar>
            <w:vAlign w:val="bottom"/>
          </w:tcPr>
          <w:p w14:paraId="4A79CE32" w14:textId="77777777" w:rsidR="00724034" w:rsidRDefault="00FB7D0B">
            <w:pPr>
              <w:rPr>
                <w:rFonts w:ascii="Arial" w:eastAsia="Arial" w:hAnsi="Arial" w:cs="Arial"/>
                <w:color w:val="000000"/>
                <w:sz w:val="16"/>
                <w:vertAlign w:val="superscript"/>
              </w:rPr>
            </w:pPr>
            <w:r>
              <w:rPr>
                <w:rFonts w:ascii="Arial" w:eastAsia="Arial" w:hAnsi="Arial" w:cs="Arial"/>
                <w:i/>
                <w:color w:val="000000"/>
                <w:sz w:val="16"/>
              </w:rPr>
              <w:t xml:space="preserve">Price: </w:t>
            </w:r>
            <w:r>
              <w:rPr>
                <w:rFonts w:ascii="Arial" w:eastAsia="Arial" w:hAnsi="Arial" w:cs="Arial"/>
                <w:color w:val="000000"/>
                <w:sz w:val="16"/>
              </w:rPr>
              <w:t>Unit cost per cardholder</w:t>
            </w:r>
          </w:p>
        </w:tc>
        <w:tc>
          <w:tcPr>
            <w:tcW w:w="975"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3DE83E1D" w14:textId="77777777" w:rsidR="00724034" w:rsidRDefault="00FB7D0B">
            <w:pPr>
              <w:jc w:val="right"/>
              <w:rPr>
                <w:rFonts w:ascii="Arial" w:eastAsia="Arial" w:hAnsi="Arial" w:cs="Arial"/>
                <w:i/>
                <w:color w:val="000000"/>
                <w:sz w:val="16"/>
                <w:vertAlign w:val="superscript"/>
              </w:rPr>
            </w:pPr>
            <w:r>
              <w:rPr>
                <w:rFonts w:ascii="Arial" w:eastAsia="Arial" w:hAnsi="Arial" w:cs="Arial"/>
                <w:color w:val="000000"/>
                <w:sz w:val="16"/>
              </w:rPr>
              <w:t>7 </w:t>
            </w:r>
          </w:p>
        </w:tc>
        <w:tc>
          <w:tcPr>
            <w:tcW w:w="975" w:type="dxa"/>
            <w:tcBorders>
              <w:top w:val="nil"/>
              <w:left w:val="nil"/>
              <w:bottom w:val="single" w:sz="6" w:space="0" w:color="000000"/>
              <w:right w:val="nil"/>
              <w:tl2br w:val="nil"/>
              <w:tr2bl w:val="nil"/>
            </w:tcBorders>
            <w:shd w:val="clear" w:color="auto" w:fill="FFFF00"/>
            <w:tcMar>
              <w:left w:w="115" w:type="dxa"/>
              <w:right w:w="115" w:type="dxa"/>
            </w:tcMar>
            <w:vAlign w:val="bottom"/>
          </w:tcPr>
          <w:p w14:paraId="11A3B23C" w14:textId="77777777" w:rsidR="00724034" w:rsidRDefault="00FB7D0B">
            <w:pPr>
              <w:jc w:val="right"/>
              <w:rPr>
                <w:rFonts w:ascii="Arial" w:eastAsia="Arial" w:hAnsi="Arial" w:cs="Arial"/>
                <w:color w:val="000000"/>
                <w:sz w:val="16"/>
              </w:rPr>
            </w:pPr>
            <w:r>
              <w:rPr>
                <w:rFonts w:ascii="Arial" w:eastAsia="Arial" w:hAnsi="Arial" w:cs="Arial"/>
                <w:color w:val="000000"/>
                <w:sz w:val="16"/>
              </w:rPr>
              <w:t>8 </w:t>
            </w:r>
          </w:p>
        </w:tc>
        <w:tc>
          <w:tcPr>
            <w:tcW w:w="975"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4FF95727" w14:textId="77777777" w:rsidR="00724034" w:rsidRDefault="00FB7D0B">
            <w:pPr>
              <w:jc w:val="right"/>
              <w:rPr>
                <w:rFonts w:ascii="Arial" w:eastAsia="Arial" w:hAnsi="Arial" w:cs="Arial"/>
                <w:color w:val="000000"/>
                <w:sz w:val="16"/>
              </w:rPr>
            </w:pPr>
            <w:r>
              <w:rPr>
                <w:rFonts w:ascii="Arial" w:eastAsia="Arial" w:hAnsi="Arial" w:cs="Arial"/>
                <w:color w:val="000000"/>
                <w:sz w:val="16"/>
              </w:rPr>
              <w:t>8 </w:t>
            </w:r>
          </w:p>
        </w:tc>
        <w:tc>
          <w:tcPr>
            <w:tcW w:w="975"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2B914537" w14:textId="77777777" w:rsidR="00724034" w:rsidRDefault="00FB7D0B">
            <w:pPr>
              <w:jc w:val="right"/>
              <w:rPr>
                <w:rFonts w:ascii="Arial" w:eastAsia="Arial" w:hAnsi="Arial" w:cs="Arial"/>
                <w:color w:val="000000"/>
                <w:sz w:val="16"/>
              </w:rPr>
            </w:pPr>
            <w:r>
              <w:rPr>
                <w:rFonts w:ascii="Arial" w:eastAsia="Arial" w:hAnsi="Arial" w:cs="Arial"/>
                <w:color w:val="000000"/>
                <w:sz w:val="16"/>
              </w:rPr>
              <w:t>8 </w:t>
            </w:r>
          </w:p>
        </w:tc>
        <w:tc>
          <w:tcPr>
            <w:tcW w:w="975" w:type="dxa"/>
            <w:tcBorders>
              <w:top w:val="nil"/>
              <w:left w:val="nil"/>
              <w:bottom w:val="single" w:sz="6" w:space="0" w:color="000000"/>
              <w:right w:val="single" w:sz="6" w:space="0" w:color="000000"/>
              <w:tl2br w:val="nil"/>
              <w:tr2bl w:val="nil"/>
            </w:tcBorders>
            <w:shd w:val="clear" w:color="auto" w:fill="FFFFFF"/>
            <w:tcMar>
              <w:left w:w="115" w:type="dxa"/>
              <w:right w:w="115" w:type="dxa"/>
            </w:tcMar>
            <w:vAlign w:val="bottom"/>
          </w:tcPr>
          <w:p w14:paraId="7F1924D8" w14:textId="77777777" w:rsidR="00724034" w:rsidRDefault="00FB7D0B">
            <w:pPr>
              <w:jc w:val="right"/>
              <w:rPr>
                <w:rFonts w:ascii="Arial" w:eastAsia="Arial" w:hAnsi="Arial" w:cs="Arial"/>
                <w:color w:val="000000"/>
                <w:sz w:val="16"/>
              </w:rPr>
            </w:pPr>
            <w:r>
              <w:rPr>
                <w:rFonts w:ascii="Arial" w:eastAsia="Arial" w:hAnsi="Arial" w:cs="Arial"/>
                <w:color w:val="000000"/>
                <w:sz w:val="16"/>
              </w:rPr>
              <w:t>9 </w:t>
            </w:r>
          </w:p>
        </w:tc>
      </w:tr>
      <w:tr w:rsidR="00724034" w14:paraId="1FACEB04" w14:textId="77777777">
        <w:tblPrEx>
          <w:tblLook w:val="04A0" w:firstRow="1" w:lastRow="0" w:firstColumn="1" w:lastColumn="0" w:noHBand="0" w:noVBand="1"/>
        </w:tblPrEx>
        <w:trPr>
          <w:trHeight w:val="60"/>
        </w:trPr>
        <w:tc>
          <w:tcPr>
            <w:tcW w:w="3210"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6DD2B7A0" w14:textId="77777777" w:rsidR="00724034" w:rsidRDefault="00724034">
            <w:pPr>
              <w:rPr>
                <w:rFonts w:ascii="Arial" w:eastAsia="Arial" w:hAnsi="Arial" w:cs="Arial"/>
                <w:color w:val="000000"/>
                <w:sz w:val="16"/>
              </w:rPr>
            </w:pPr>
          </w:p>
        </w:tc>
        <w:tc>
          <w:tcPr>
            <w:tcW w:w="975"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47DB5CD4" w14:textId="77777777" w:rsidR="00724034" w:rsidRDefault="00724034">
            <w:pPr>
              <w:rPr>
                <w:rFonts w:ascii="Arial" w:eastAsia="Arial" w:hAnsi="Arial" w:cs="Arial"/>
                <w:b/>
                <w:color w:val="000000"/>
                <w:sz w:val="16"/>
                <w:vertAlign w:val="superscript"/>
              </w:rPr>
            </w:pPr>
          </w:p>
        </w:tc>
        <w:tc>
          <w:tcPr>
            <w:tcW w:w="975"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45850A8E" w14:textId="77777777" w:rsidR="00724034" w:rsidRDefault="00724034">
            <w:pPr>
              <w:rPr>
                <w:rFonts w:ascii="Arial" w:eastAsia="Arial" w:hAnsi="Arial" w:cs="Arial"/>
                <w:b/>
                <w:color w:val="000000"/>
                <w:sz w:val="16"/>
                <w:vertAlign w:val="superscript"/>
              </w:rPr>
            </w:pPr>
          </w:p>
        </w:tc>
        <w:tc>
          <w:tcPr>
            <w:tcW w:w="975"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1BF2C5C0" w14:textId="77777777" w:rsidR="00724034" w:rsidRDefault="00724034">
            <w:pPr>
              <w:rPr>
                <w:rFonts w:ascii="Arial" w:eastAsia="Arial" w:hAnsi="Arial" w:cs="Arial"/>
                <w:b/>
                <w:color w:val="000000"/>
                <w:sz w:val="16"/>
                <w:vertAlign w:val="superscript"/>
              </w:rPr>
            </w:pPr>
          </w:p>
        </w:tc>
        <w:tc>
          <w:tcPr>
            <w:tcW w:w="975"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4B991A43" w14:textId="77777777" w:rsidR="00724034" w:rsidRDefault="00724034">
            <w:pPr>
              <w:rPr>
                <w:rFonts w:ascii="Arial" w:eastAsia="Arial" w:hAnsi="Arial" w:cs="Arial"/>
                <w:b/>
                <w:color w:val="000000"/>
                <w:sz w:val="16"/>
                <w:vertAlign w:val="superscript"/>
              </w:rPr>
            </w:pPr>
          </w:p>
        </w:tc>
        <w:tc>
          <w:tcPr>
            <w:tcW w:w="975"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4B914911" w14:textId="77777777" w:rsidR="00724034" w:rsidRDefault="00724034">
            <w:pPr>
              <w:rPr>
                <w:rFonts w:ascii="Arial" w:eastAsia="Arial" w:hAnsi="Arial" w:cs="Arial"/>
                <w:b/>
                <w:color w:val="000000"/>
                <w:sz w:val="16"/>
                <w:vertAlign w:val="superscript"/>
              </w:rPr>
            </w:pPr>
          </w:p>
        </w:tc>
      </w:tr>
    </w:tbl>
    <w:p w14:paraId="47C0CA20" w14:textId="77777777" w:rsidR="00724034" w:rsidRDefault="00FB7D0B">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80"/>
      </w:tblGrid>
      <w:tr w:rsidR="00724034" w14:paraId="7074F2AD" w14:textId="77777777" w:rsidTr="003F0EEA">
        <w:tc>
          <w:tcPr>
            <w:tcW w:w="8080" w:type="dxa"/>
            <w:tcBorders>
              <w:top w:val="single" w:sz="4" w:space="0" w:color="auto"/>
              <w:left w:val="single" w:sz="4" w:space="0" w:color="auto"/>
              <w:bottom w:val="single" w:sz="4" w:space="0" w:color="auto"/>
              <w:right w:val="single" w:sz="4" w:space="0" w:color="auto"/>
            </w:tcBorders>
            <w:shd w:val="clear" w:color="auto" w:fill="E6E6E6"/>
          </w:tcPr>
          <w:p w14:paraId="4A170704" w14:textId="77777777" w:rsidR="003F0EEA" w:rsidRPr="00A17252" w:rsidRDefault="00FB7D0B" w:rsidP="003F0EEA">
            <w:pPr>
              <w:pStyle w:val="TableTextLeft28"/>
              <w:rPr>
                <w:b/>
              </w:rPr>
            </w:pPr>
            <w:r>
              <w:rPr>
                <w:b/>
                <w:sz w:val="20"/>
              </w:rPr>
              <w:t>Programme 2.4: Veterans' Community Care and Support</w:t>
            </w:r>
          </w:p>
        </w:tc>
      </w:tr>
      <w:tr w:rsidR="00724034" w14:paraId="6DC077C8" w14:textId="77777777" w:rsidTr="003F0EEA">
        <w:tc>
          <w:tcPr>
            <w:tcW w:w="8080" w:type="dxa"/>
            <w:tcBorders>
              <w:top w:val="single" w:sz="4" w:space="0" w:color="auto"/>
              <w:left w:val="nil"/>
              <w:bottom w:val="single" w:sz="4" w:space="0" w:color="auto"/>
              <w:right w:val="nil"/>
            </w:tcBorders>
          </w:tcPr>
          <w:p w14:paraId="518EC8F6" w14:textId="77777777" w:rsidR="003F0EEA" w:rsidRDefault="003F0EEA" w:rsidP="003F0EEA">
            <w:pPr>
              <w:pStyle w:val="TableTextLeft28"/>
              <w:rPr>
                <w:b/>
              </w:rPr>
            </w:pPr>
          </w:p>
        </w:tc>
      </w:tr>
      <w:tr w:rsidR="00724034" w14:paraId="33035EDD" w14:textId="77777777" w:rsidTr="003F0EEA">
        <w:tc>
          <w:tcPr>
            <w:tcW w:w="8080" w:type="dxa"/>
            <w:tcBorders>
              <w:top w:val="single" w:sz="4" w:space="0" w:color="auto"/>
              <w:left w:val="single" w:sz="4" w:space="0" w:color="auto"/>
              <w:bottom w:val="single" w:sz="4" w:space="0" w:color="auto"/>
              <w:right w:val="single" w:sz="4" w:space="0" w:color="auto"/>
            </w:tcBorders>
          </w:tcPr>
          <w:p w14:paraId="0BC01B83" w14:textId="77777777" w:rsidR="003F0EEA" w:rsidRDefault="00FB7D0B" w:rsidP="003F0EEA">
            <w:pPr>
              <w:pStyle w:val="TableTextLeft28"/>
              <w:rPr>
                <w:b/>
              </w:rPr>
            </w:pPr>
            <w:r>
              <w:rPr>
                <w:b/>
              </w:rPr>
              <w:t>Programme 2.4 objective</w:t>
            </w:r>
          </w:p>
          <w:p w14:paraId="63EC1AC6" w14:textId="77777777" w:rsidR="003F0EEA" w:rsidRDefault="00FB7D0B" w:rsidP="003F0EEA">
            <w:pPr>
              <w:pStyle w:val="TableTextLeft28"/>
              <w:rPr>
                <w:rFonts w:cs="Times New Roman"/>
              </w:rPr>
            </w:pPr>
            <w:r>
              <w:t>The programme’s primary objective is to effectively manage community support and residential care programmes, including development and review of policy and operational guidelines and procedures, and assessment of programme effectiveness.</w:t>
            </w:r>
          </w:p>
          <w:p w14:paraId="73CC01E2" w14:textId="77777777" w:rsidR="003F0EEA" w:rsidRDefault="00FB7D0B" w:rsidP="003F0EEA">
            <w:pPr>
              <w:pStyle w:val="TableTextLeft28"/>
            </w:pPr>
            <w:r>
              <w:t xml:space="preserve">Veteran community care and support programmes include the Veterans’ Home Care programme and the Community Nursing programme.  </w:t>
            </w:r>
            <w:r>
              <w:br/>
            </w:r>
            <w:r>
              <w:br/>
              <w:t>The programme also provides the Australian Government subsidy for entitled veterans and war widow/ers living in residential care facilities.</w:t>
            </w:r>
          </w:p>
          <w:p w14:paraId="747120C7" w14:textId="77777777" w:rsidR="003F0EEA" w:rsidRDefault="00FB7D0B" w:rsidP="003F0EEA">
            <w:pPr>
              <w:pStyle w:val="TableTextLeft28"/>
              <w:rPr>
                <w:b/>
              </w:rPr>
            </w:pPr>
            <w:r>
              <w:t>The objectives of the Veterans’ Home Care and Community Nursing programmes are to support veterans to remain independent in their homes, and improve their quality of life and health. The veteran community is ageing and increasingly requires higher levels of service. The provision of these services helps to delay entry into residential aged care and maximises independence.</w:t>
            </w:r>
            <w:r>
              <w:br/>
            </w:r>
            <w:r>
              <w:br/>
              <w:t xml:space="preserve">The Australian Government provides subsidies and supplements for veterans who are no longer able to live independently and who enter residential aged care. </w:t>
            </w:r>
          </w:p>
        </w:tc>
      </w:tr>
      <w:tr w:rsidR="00724034" w14:paraId="678B04D8" w14:textId="77777777" w:rsidTr="003F0EEA">
        <w:trPr>
          <w:trHeight w:val="980"/>
        </w:trPr>
        <w:tc>
          <w:tcPr>
            <w:tcW w:w="8080" w:type="dxa"/>
            <w:tcBorders>
              <w:top w:val="single" w:sz="4" w:space="0" w:color="auto"/>
              <w:left w:val="single" w:sz="4" w:space="0" w:color="auto"/>
              <w:bottom w:val="single" w:sz="4" w:space="0" w:color="auto"/>
              <w:right w:val="single" w:sz="4" w:space="0" w:color="auto"/>
            </w:tcBorders>
          </w:tcPr>
          <w:p w14:paraId="235B25C5" w14:textId="77777777" w:rsidR="003F0EEA" w:rsidRDefault="00FB7D0B" w:rsidP="003F0EEA">
            <w:pPr>
              <w:pStyle w:val="TableTextLeft28"/>
              <w:rPr>
                <w:b/>
              </w:rPr>
            </w:pPr>
            <w:r>
              <w:rPr>
                <w:b/>
              </w:rPr>
              <w:t>Linked to:</w:t>
            </w:r>
          </w:p>
          <w:p w14:paraId="7AC4B61A" w14:textId="77777777" w:rsidR="003F0EEA" w:rsidRPr="00E532B5" w:rsidRDefault="00FB7D0B" w:rsidP="003F0EEA">
            <w:pPr>
              <w:pStyle w:val="TableTextLeft28"/>
            </w:pPr>
            <w:r>
              <w:t xml:space="preserve">This programme is linked to the </w:t>
            </w:r>
            <w:r w:rsidRPr="0017650D">
              <w:t>Department of Human Services’ Programme 1.1 – Services to the Community</w:t>
            </w:r>
            <w:r>
              <w:t xml:space="preserve"> – Social Security and Welfare, Programme 1.2 </w:t>
            </w:r>
            <w:r w:rsidRPr="0017650D">
              <w:t xml:space="preserve">– </w:t>
            </w:r>
            <w:r>
              <w:t>Services to the Community - Health</w:t>
            </w:r>
            <w:r w:rsidRPr="0017650D">
              <w:t>, the Department of Social Services’s Programme 3.4 – Residential and Flexible Care and the Department of Treasury’s Programme 1.10 – National Partnership Payments to the States.</w:t>
            </w:r>
          </w:p>
        </w:tc>
      </w:tr>
      <w:tr w:rsidR="00724034" w14:paraId="1EEF7655" w14:textId="77777777" w:rsidTr="003F0EEA">
        <w:tc>
          <w:tcPr>
            <w:tcW w:w="8080" w:type="dxa"/>
            <w:tcBorders>
              <w:top w:val="single" w:sz="4" w:space="0" w:color="auto"/>
              <w:left w:val="nil"/>
              <w:bottom w:val="single" w:sz="4" w:space="0" w:color="auto"/>
              <w:right w:val="nil"/>
            </w:tcBorders>
          </w:tcPr>
          <w:p w14:paraId="5B45C6FB" w14:textId="77777777" w:rsidR="003F0EEA" w:rsidRDefault="003F0EEA" w:rsidP="003F0EEA">
            <w:pPr>
              <w:pStyle w:val="TableTextLeft28"/>
              <w:rPr>
                <w:b/>
              </w:rPr>
            </w:pPr>
          </w:p>
        </w:tc>
      </w:tr>
      <w:tr w:rsidR="00724034" w14:paraId="624D88D5" w14:textId="77777777" w:rsidTr="003F0EEA">
        <w:trPr>
          <w:trHeight w:val="854"/>
        </w:trPr>
        <w:tc>
          <w:tcPr>
            <w:tcW w:w="8080" w:type="dxa"/>
            <w:tcBorders>
              <w:top w:val="single" w:sz="4" w:space="0" w:color="auto"/>
              <w:left w:val="single" w:sz="4" w:space="0" w:color="auto"/>
              <w:bottom w:val="single" w:sz="4" w:space="0" w:color="auto"/>
              <w:right w:val="single" w:sz="4" w:space="0" w:color="auto"/>
            </w:tcBorders>
          </w:tcPr>
          <w:p w14:paraId="639B6AFA" w14:textId="77777777" w:rsidR="003F0EEA" w:rsidRDefault="00FB7D0B" w:rsidP="003F0EEA">
            <w:pPr>
              <w:pStyle w:val="TableTextLeft28"/>
              <w:rPr>
                <w:b/>
              </w:rPr>
            </w:pPr>
            <w:r>
              <w:rPr>
                <w:b/>
              </w:rPr>
              <w:t>Programme 2.4 expenses</w:t>
            </w:r>
          </w:p>
          <w:p w14:paraId="5C63D954" w14:textId="77777777" w:rsidR="003F0EEA" w:rsidRDefault="00FB7D0B" w:rsidP="003F0EEA">
            <w:pPr>
              <w:pStyle w:val="TableTextLeft28"/>
              <w:rPr>
                <w:rFonts w:cs="Times New Roman"/>
              </w:rPr>
            </w:pPr>
            <w:r>
              <w:t>Expenditure for Residential Care and Community Nursing is expected to increase across the out years.  A reduction in clients will be offset by increased demand due to veterans’ age and frailty.  An increase in the need for respite care is predicted, primarily given that carers themselves are ageing and will need increased support.</w:t>
            </w:r>
          </w:p>
          <w:p w14:paraId="7D95438E" w14:textId="77777777" w:rsidR="003F0EEA" w:rsidRDefault="00FB7D0B" w:rsidP="003F0EEA">
            <w:pPr>
              <w:pStyle w:val="TableTextLeft28"/>
              <w:rPr>
                <w:b/>
              </w:rPr>
            </w:pPr>
            <w:r>
              <w:t>The Treasury administered</w:t>
            </w:r>
            <w:r w:rsidRPr="004B6D87">
              <w:t xml:space="preserve"> expenditure for the Home and Community Care Services for Veterans’ Specific Purpose Payment as part of the COAG Project Agreements with the States. These payments are disclosed in the Department of Treasury’s Portfolio Budget Statements 2014-15 </w:t>
            </w:r>
            <w:r>
              <w:t>under P</w:t>
            </w:r>
            <w:r w:rsidRPr="004B6D87">
              <w:t>rogramme 1.10 – National Partnership Payments to the States.</w:t>
            </w:r>
            <w:r>
              <w:t xml:space="preserve"> The programme terminates on 30 June 2014.</w:t>
            </w:r>
          </w:p>
        </w:tc>
      </w:tr>
    </w:tbl>
    <w:p w14:paraId="53874319" w14:textId="77777777" w:rsidR="00724034" w:rsidRDefault="00FB7D0B">
      <w:r>
        <w:br w:type="page"/>
      </w:r>
    </w:p>
    <w:tbl>
      <w:tblPr>
        <w:tblW w:w="8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256"/>
        <w:gridCol w:w="280"/>
        <w:gridCol w:w="2462"/>
        <w:gridCol w:w="1014"/>
        <w:gridCol w:w="1014"/>
        <w:gridCol w:w="1014"/>
        <w:gridCol w:w="1014"/>
        <w:gridCol w:w="1014"/>
        <w:gridCol w:w="12"/>
      </w:tblGrid>
      <w:tr w:rsidR="00724034" w14:paraId="54722DEA" w14:textId="77777777" w:rsidTr="003F0EEA">
        <w:tc>
          <w:tcPr>
            <w:tcW w:w="8080" w:type="dxa"/>
            <w:gridSpan w:val="9"/>
            <w:tcBorders>
              <w:top w:val="single" w:sz="4" w:space="0" w:color="auto"/>
              <w:left w:val="single" w:sz="4" w:space="0" w:color="auto"/>
              <w:bottom w:val="single" w:sz="4" w:space="0" w:color="auto"/>
              <w:right w:val="single" w:sz="4" w:space="0" w:color="auto"/>
            </w:tcBorders>
            <w:shd w:val="clear" w:color="auto" w:fill="D9D9D9"/>
          </w:tcPr>
          <w:p w14:paraId="0725E942" w14:textId="77777777" w:rsidR="003F0EEA" w:rsidRDefault="00FB7D0B" w:rsidP="003F0EEA">
            <w:pPr>
              <w:pStyle w:val="TableTextBullet15"/>
              <w:numPr>
                <w:ilvl w:val="0"/>
                <w:numId w:val="0"/>
              </w:numPr>
              <w:ind w:left="284" w:hanging="284"/>
              <w:rPr>
                <w:b/>
              </w:rPr>
            </w:pPr>
            <w:r>
              <w:rPr>
                <w:b/>
                <w:sz w:val="20"/>
              </w:rPr>
              <w:t>Programme 2.4: Veterans' Community Care and Support (continued)</w:t>
            </w:r>
          </w:p>
        </w:tc>
      </w:tr>
      <w:tr w:rsidR="00FB7D0B" w14:paraId="625C4DBA" w14:textId="77777777" w:rsidTr="00FB7D0B">
        <w:tblPrEx>
          <w:shd w:val="clear" w:color="auto" w:fill="auto"/>
          <w:tblLook w:val="04A0" w:firstRow="1" w:lastRow="0" w:firstColumn="1" w:lastColumn="0" w:noHBand="0" w:noVBand="1"/>
        </w:tblPrEx>
        <w:trPr>
          <w:gridAfter w:val="1"/>
          <w:wAfter w:w="10" w:type="dxa"/>
          <w:trHeight w:val="225"/>
        </w:trPr>
        <w:tc>
          <w:tcPr>
            <w:tcW w:w="0" w:type="auto"/>
            <w:gridSpan w:val="3"/>
            <w:tcBorders>
              <w:top w:val="single" w:sz="6" w:space="0" w:color="000000"/>
              <w:left w:val="single" w:sz="6" w:space="0" w:color="000000"/>
              <w:bottom w:val="nil"/>
              <w:right w:val="nil"/>
              <w:tl2br w:val="nil"/>
              <w:tr2bl w:val="nil"/>
            </w:tcBorders>
            <w:shd w:val="clear" w:color="auto" w:fill="FFFFFF"/>
            <w:tcMar>
              <w:left w:w="101" w:type="dxa"/>
              <w:right w:w="101" w:type="dxa"/>
            </w:tcMar>
            <w:vAlign w:val="bottom"/>
          </w:tcPr>
          <w:p w14:paraId="3B5858E7" w14:textId="77777777" w:rsidR="00724034" w:rsidRDefault="00FB7D0B">
            <w:r>
              <w:rPr>
                <w:rFonts w:ascii="Arial" w:eastAsia="Arial" w:hAnsi="Arial" w:cs="Arial"/>
                <w:b/>
                <w:color w:val="000000"/>
                <w:sz w:val="16"/>
              </w:rPr>
              <w:t>Programme 2.4 expenses</w:t>
            </w:r>
          </w:p>
        </w:tc>
        <w:tc>
          <w:tcPr>
            <w:tcW w:w="0" w:type="auto"/>
            <w:tcBorders>
              <w:top w:val="single" w:sz="6" w:space="0" w:color="000000"/>
              <w:left w:val="nil"/>
              <w:bottom w:val="nil"/>
              <w:right w:val="nil"/>
              <w:tl2br w:val="nil"/>
              <w:tr2bl w:val="nil"/>
            </w:tcBorders>
            <w:shd w:val="clear" w:color="auto" w:fill="FFFFFF"/>
            <w:tcMar>
              <w:left w:w="101" w:type="dxa"/>
              <w:right w:w="101" w:type="dxa"/>
            </w:tcMar>
            <w:vAlign w:val="bottom"/>
          </w:tcPr>
          <w:p w14:paraId="4757692A" w14:textId="77777777" w:rsidR="00724034" w:rsidRDefault="00FB7D0B">
            <w:pPr>
              <w:jc w:val="right"/>
              <w:rPr>
                <w:rFonts w:ascii="Arial" w:eastAsia="Arial" w:hAnsi="Arial" w:cs="Arial"/>
                <w:b/>
                <w:color w:val="000000"/>
                <w:sz w:val="16"/>
                <w:vertAlign w:val="superscript"/>
              </w:rPr>
            </w:pPr>
            <w:r>
              <w:rPr>
                <w:rFonts w:ascii="Arial" w:eastAsia="Arial" w:hAnsi="Arial" w:cs="Arial"/>
                <w:color w:val="000000"/>
                <w:sz w:val="16"/>
              </w:rPr>
              <w:t>2013-14</w:t>
            </w:r>
          </w:p>
        </w:tc>
        <w:tc>
          <w:tcPr>
            <w:tcW w:w="0" w:type="auto"/>
            <w:tcBorders>
              <w:top w:val="single" w:sz="6" w:space="0" w:color="000000"/>
              <w:left w:val="nil"/>
              <w:bottom w:val="nil"/>
              <w:right w:val="nil"/>
              <w:tl2br w:val="nil"/>
              <w:tr2bl w:val="nil"/>
            </w:tcBorders>
            <w:shd w:val="clear" w:color="auto" w:fill="FFFF00"/>
            <w:tcMar>
              <w:left w:w="101" w:type="dxa"/>
              <w:right w:w="101" w:type="dxa"/>
            </w:tcMar>
            <w:vAlign w:val="bottom"/>
          </w:tcPr>
          <w:p w14:paraId="7F6A4287" w14:textId="77777777" w:rsidR="00724034" w:rsidRDefault="00FB7D0B">
            <w:pPr>
              <w:jc w:val="right"/>
              <w:rPr>
                <w:rFonts w:ascii="Arial" w:eastAsia="Arial" w:hAnsi="Arial" w:cs="Arial"/>
                <w:color w:val="000000"/>
                <w:sz w:val="16"/>
              </w:rPr>
            </w:pPr>
            <w:r>
              <w:rPr>
                <w:rFonts w:ascii="Arial" w:eastAsia="Arial" w:hAnsi="Arial" w:cs="Arial"/>
                <w:color w:val="000000"/>
                <w:sz w:val="16"/>
              </w:rPr>
              <w:t>2014-15</w:t>
            </w:r>
          </w:p>
        </w:tc>
        <w:tc>
          <w:tcPr>
            <w:tcW w:w="0" w:type="auto"/>
            <w:tcBorders>
              <w:top w:val="single" w:sz="6" w:space="0" w:color="000000"/>
              <w:left w:val="nil"/>
              <w:bottom w:val="nil"/>
              <w:right w:val="nil"/>
              <w:tl2br w:val="nil"/>
              <w:tr2bl w:val="nil"/>
            </w:tcBorders>
            <w:shd w:val="clear" w:color="auto" w:fill="FFFFFF"/>
            <w:tcMar>
              <w:left w:w="101" w:type="dxa"/>
              <w:right w:w="101" w:type="dxa"/>
            </w:tcMar>
            <w:vAlign w:val="bottom"/>
          </w:tcPr>
          <w:p w14:paraId="2A871FD1" w14:textId="77777777" w:rsidR="00724034" w:rsidRDefault="00FB7D0B">
            <w:pPr>
              <w:jc w:val="right"/>
              <w:rPr>
                <w:rFonts w:ascii="Arial" w:eastAsia="Arial" w:hAnsi="Arial" w:cs="Arial"/>
                <w:color w:val="000000"/>
                <w:sz w:val="16"/>
              </w:rPr>
            </w:pPr>
            <w:r>
              <w:rPr>
                <w:rFonts w:ascii="Arial" w:eastAsia="Arial" w:hAnsi="Arial" w:cs="Arial"/>
                <w:color w:val="000000"/>
                <w:sz w:val="16"/>
              </w:rPr>
              <w:t>2015-16</w:t>
            </w:r>
          </w:p>
        </w:tc>
        <w:tc>
          <w:tcPr>
            <w:tcW w:w="0" w:type="auto"/>
            <w:tcBorders>
              <w:top w:val="single" w:sz="6" w:space="0" w:color="000000"/>
              <w:left w:val="nil"/>
              <w:bottom w:val="nil"/>
              <w:right w:val="nil"/>
              <w:tl2br w:val="nil"/>
              <w:tr2bl w:val="nil"/>
            </w:tcBorders>
            <w:shd w:val="clear" w:color="auto" w:fill="FFFFFF"/>
            <w:tcMar>
              <w:left w:w="101" w:type="dxa"/>
              <w:right w:w="101" w:type="dxa"/>
            </w:tcMar>
            <w:vAlign w:val="bottom"/>
          </w:tcPr>
          <w:p w14:paraId="1CDC68A0" w14:textId="77777777" w:rsidR="00724034" w:rsidRDefault="00FB7D0B">
            <w:pPr>
              <w:jc w:val="right"/>
              <w:rPr>
                <w:rFonts w:ascii="Arial" w:eastAsia="Arial" w:hAnsi="Arial" w:cs="Arial"/>
                <w:color w:val="000000"/>
                <w:sz w:val="16"/>
              </w:rPr>
            </w:pPr>
            <w:r>
              <w:rPr>
                <w:rFonts w:ascii="Arial" w:eastAsia="Arial" w:hAnsi="Arial" w:cs="Arial"/>
                <w:color w:val="000000"/>
                <w:sz w:val="16"/>
              </w:rPr>
              <w:t>2016-17</w:t>
            </w:r>
          </w:p>
        </w:tc>
        <w:tc>
          <w:tcPr>
            <w:tcW w:w="0" w:type="auto"/>
            <w:tcBorders>
              <w:top w:val="single" w:sz="6" w:space="0" w:color="000000"/>
              <w:left w:val="nil"/>
              <w:bottom w:val="nil"/>
              <w:right w:val="single" w:sz="6" w:space="0" w:color="000000"/>
              <w:tl2br w:val="nil"/>
              <w:tr2bl w:val="nil"/>
            </w:tcBorders>
            <w:shd w:val="clear" w:color="auto" w:fill="FFFFFF"/>
            <w:tcMar>
              <w:left w:w="101" w:type="dxa"/>
              <w:right w:w="101" w:type="dxa"/>
            </w:tcMar>
            <w:vAlign w:val="bottom"/>
          </w:tcPr>
          <w:p w14:paraId="4EA6717B" w14:textId="77777777" w:rsidR="00724034" w:rsidRDefault="00FB7D0B">
            <w:pPr>
              <w:jc w:val="right"/>
              <w:rPr>
                <w:rFonts w:ascii="Arial" w:eastAsia="Arial" w:hAnsi="Arial" w:cs="Arial"/>
                <w:color w:val="000000"/>
                <w:sz w:val="16"/>
              </w:rPr>
            </w:pPr>
            <w:r>
              <w:rPr>
                <w:rFonts w:ascii="Arial" w:eastAsia="Arial" w:hAnsi="Arial" w:cs="Arial"/>
                <w:color w:val="000000"/>
                <w:sz w:val="16"/>
              </w:rPr>
              <w:t>2017-18</w:t>
            </w:r>
          </w:p>
        </w:tc>
      </w:tr>
      <w:tr w:rsidR="00724034" w14:paraId="0C39168F" w14:textId="77777777">
        <w:tblPrEx>
          <w:shd w:val="clear" w:color="auto" w:fill="auto"/>
          <w:tblLook w:val="04A0" w:firstRow="1" w:lastRow="0" w:firstColumn="1" w:lastColumn="0" w:noHBand="0" w:noVBand="1"/>
        </w:tblPrEx>
        <w:trPr>
          <w:gridAfter w:val="1"/>
          <w:wAfter w:w="10" w:type="dxa"/>
          <w:trHeight w:val="225"/>
        </w:trPr>
        <w:tc>
          <w:tcPr>
            <w:tcW w:w="0" w:type="auto"/>
            <w:tcBorders>
              <w:top w:val="single" w:sz="6" w:space="0" w:color="FFFFFF"/>
              <w:left w:val="single" w:sz="6" w:space="0" w:color="000000"/>
              <w:bottom w:val="nil"/>
              <w:right w:val="nil"/>
              <w:tl2br w:val="nil"/>
              <w:tr2bl w:val="nil"/>
            </w:tcBorders>
            <w:shd w:val="clear" w:color="auto" w:fill="FFFFFF"/>
            <w:tcMar>
              <w:left w:w="101" w:type="dxa"/>
              <w:right w:w="101" w:type="dxa"/>
            </w:tcMar>
            <w:vAlign w:val="bottom"/>
          </w:tcPr>
          <w:p w14:paraId="0A1ED4CE" w14:textId="77777777" w:rsidR="00724034" w:rsidRDefault="00724034">
            <w:pPr>
              <w:rPr>
                <w:rFonts w:ascii="Arial" w:eastAsia="Arial" w:hAnsi="Arial" w:cs="Arial"/>
                <w:color w:val="000000"/>
                <w:sz w:val="16"/>
              </w:rPr>
            </w:pPr>
          </w:p>
        </w:tc>
        <w:tc>
          <w:tcPr>
            <w:tcW w:w="0" w:type="auto"/>
            <w:tcBorders>
              <w:top w:val="single" w:sz="6" w:space="0" w:color="FFFFFF"/>
              <w:left w:val="nil"/>
              <w:bottom w:val="nil"/>
              <w:right w:val="nil"/>
              <w:tl2br w:val="nil"/>
              <w:tr2bl w:val="nil"/>
            </w:tcBorders>
            <w:shd w:val="clear" w:color="auto" w:fill="FFFFFF"/>
            <w:tcMar>
              <w:left w:w="101" w:type="dxa"/>
              <w:right w:w="101" w:type="dxa"/>
            </w:tcMar>
            <w:vAlign w:val="bottom"/>
          </w:tcPr>
          <w:p w14:paraId="5BD69C74" w14:textId="77777777" w:rsidR="00724034" w:rsidRDefault="00724034">
            <w:pPr>
              <w:rPr>
                <w:rFonts w:ascii="Arial" w:eastAsia="Arial" w:hAnsi="Arial" w:cs="Arial"/>
                <w:color w:val="000000"/>
                <w:sz w:val="16"/>
              </w:rPr>
            </w:pPr>
          </w:p>
        </w:tc>
        <w:tc>
          <w:tcPr>
            <w:tcW w:w="0" w:type="auto"/>
            <w:tcBorders>
              <w:top w:val="single" w:sz="6" w:space="0" w:color="FFFFFF"/>
              <w:left w:val="nil"/>
              <w:bottom w:val="nil"/>
              <w:right w:val="nil"/>
              <w:tl2br w:val="nil"/>
              <w:tr2bl w:val="nil"/>
            </w:tcBorders>
            <w:shd w:val="clear" w:color="auto" w:fill="FFFFFF"/>
            <w:tcMar>
              <w:left w:w="101" w:type="dxa"/>
              <w:right w:w="101" w:type="dxa"/>
            </w:tcMar>
            <w:vAlign w:val="bottom"/>
          </w:tcPr>
          <w:p w14:paraId="533D0221" w14:textId="77777777" w:rsidR="00724034" w:rsidRDefault="00724034">
            <w:pPr>
              <w:rPr>
                <w:rFonts w:ascii="Arial" w:eastAsia="Arial" w:hAnsi="Arial" w:cs="Arial"/>
                <w:color w:val="000000"/>
                <w:sz w:val="16"/>
              </w:rPr>
            </w:pPr>
          </w:p>
        </w:tc>
        <w:tc>
          <w:tcPr>
            <w:tcW w:w="0" w:type="auto"/>
            <w:tcBorders>
              <w:top w:val="nil"/>
              <w:left w:val="nil"/>
              <w:bottom w:val="nil"/>
              <w:right w:val="nil"/>
              <w:tl2br w:val="nil"/>
              <w:tr2bl w:val="nil"/>
            </w:tcBorders>
            <w:shd w:val="clear" w:color="auto" w:fill="FFFFFF"/>
            <w:tcMar>
              <w:left w:w="101" w:type="dxa"/>
              <w:right w:w="101" w:type="dxa"/>
            </w:tcMar>
            <w:vAlign w:val="bottom"/>
          </w:tcPr>
          <w:p w14:paraId="66878CB8" w14:textId="77777777" w:rsidR="00724034" w:rsidRDefault="00FB7D0B">
            <w:pPr>
              <w:jc w:val="right"/>
              <w:rPr>
                <w:rFonts w:ascii="Arial" w:eastAsia="Arial" w:hAnsi="Arial" w:cs="Arial"/>
                <w:color w:val="000000"/>
                <w:sz w:val="16"/>
                <w:vertAlign w:val="superscript"/>
              </w:rPr>
            </w:pPr>
            <w:r>
              <w:rPr>
                <w:rFonts w:ascii="Arial" w:eastAsia="Arial" w:hAnsi="Arial" w:cs="Arial"/>
                <w:color w:val="000000"/>
                <w:sz w:val="16"/>
              </w:rPr>
              <w:t>Revised</w:t>
            </w:r>
          </w:p>
        </w:tc>
        <w:tc>
          <w:tcPr>
            <w:tcW w:w="0" w:type="auto"/>
            <w:tcBorders>
              <w:top w:val="nil"/>
              <w:left w:val="nil"/>
              <w:bottom w:val="nil"/>
              <w:right w:val="nil"/>
              <w:tl2br w:val="nil"/>
              <w:tr2bl w:val="nil"/>
            </w:tcBorders>
            <w:shd w:val="clear" w:color="auto" w:fill="FFFF00"/>
            <w:tcMar>
              <w:left w:w="101" w:type="dxa"/>
              <w:right w:w="101" w:type="dxa"/>
            </w:tcMar>
            <w:vAlign w:val="bottom"/>
          </w:tcPr>
          <w:p w14:paraId="792E5BC9" w14:textId="77777777" w:rsidR="00724034" w:rsidRDefault="00FB7D0B">
            <w:pPr>
              <w:jc w:val="right"/>
              <w:rPr>
                <w:rFonts w:ascii="Arial" w:eastAsia="Arial" w:hAnsi="Arial" w:cs="Arial"/>
                <w:color w:val="000000"/>
                <w:sz w:val="16"/>
              </w:rPr>
            </w:pPr>
            <w:r>
              <w:rPr>
                <w:rFonts w:ascii="Arial" w:eastAsia="Arial" w:hAnsi="Arial" w:cs="Arial"/>
                <w:color w:val="000000"/>
                <w:sz w:val="16"/>
              </w:rPr>
              <w:t>Budget</w:t>
            </w:r>
          </w:p>
        </w:tc>
        <w:tc>
          <w:tcPr>
            <w:tcW w:w="0" w:type="auto"/>
            <w:tcBorders>
              <w:top w:val="nil"/>
              <w:left w:val="nil"/>
              <w:bottom w:val="nil"/>
              <w:right w:val="nil"/>
              <w:tl2br w:val="nil"/>
              <w:tr2bl w:val="nil"/>
            </w:tcBorders>
            <w:shd w:val="clear" w:color="auto" w:fill="FFFFFF"/>
            <w:tcMar>
              <w:left w:w="101" w:type="dxa"/>
              <w:right w:w="101" w:type="dxa"/>
            </w:tcMar>
            <w:vAlign w:val="bottom"/>
          </w:tcPr>
          <w:p w14:paraId="02843246" w14:textId="77777777" w:rsidR="00724034" w:rsidRDefault="00FB7D0B">
            <w:pPr>
              <w:jc w:val="right"/>
              <w:rPr>
                <w:rFonts w:ascii="Arial" w:eastAsia="Arial" w:hAnsi="Arial" w:cs="Arial"/>
                <w:color w:val="000000"/>
                <w:sz w:val="16"/>
              </w:rPr>
            </w:pPr>
            <w:r>
              <w:rPr>
                <w:rFonts w:ascii="Arial" w:eastAsia="Arial" w:hAnsi="Arial" w:cs="Arial"/>
                <w:color w:val="000000"/>
                <w:sz w:val="16"/>
              </w:rPr>
              <w:t>Forward</w:t>
            </w:r>
          </w:p>
        </w:tc>
        <w:tc>
          <w:tcPr>
            <w:tcW w:w="0" w:type="auto"/>
            <w:tcBorders>
              <w:top w:val="nil"/>
              <w:left w:val="nil"/>
              <w:bottom w:val="nil"/>
              <w:right w:val="nil"/>
              <w:tl2br w:val="nil"/>
              <w:tr2bl w:val="nil"/>
            </w:tcBorders>
            <w:shd w:val="clear" w:color="auto" w:fill="FFFFFF"/>
            <w:tcMar>
              <w:left w:w="101" w:type="dxa"/>
              <w:right w:w="101" w:type="dxa"/>
            </w:tcMar>
            <w:vAlign w:val="bottom"/>
          </w:tcPr>
          <w:p w14:paraId="24894B79" w14:textId="77777777" w:rsidR="00724034" w:rsidRDefault="00FB7D0B">
            <w:pPr>
              <w:jc w:val="right"/>
              <w:rPr>
                <w:rFonts w:ascii="Arial" w:eastAsia="Arial" w:hAnsi="Arial" w:cs="Arial"/>
                <w:color w:val="000000"/>
                <w:sz w:val="16"/>
              </w:rPr>
            </w:pPr>
            <w:r>
              <w:rPr>
                <w:rFonts w:ascii="Arial" w:eastAsia="Arial" w:hAnsi="Arial" w:cs="Arial"/>
                <w:color w:val="000000"/>
                <w:sz w:val="16"/>
              </w:rPr>
              <w:t>Forward</w:t>
            </w:r>
          </w:p>
        </w:tc>
        <w:tc>
          <w:tcPr>
            <w:tcW w:w="0" w:type="auto"/>
            <w:tcBorders>
              <w:top w:val="nil"/>
              <w:left w:val="nil"/>
              <w:bottom w:val="nil"/>
              <w:right w:val="single" w:sz="6" w:space="0" w:color="000000"/>
              <w:tl2br w:val="nil"/>
              <w:tr2bl w:val="nil"/>
            </w:tcBorders>
            <w:shd w:val="clear" w:color="auto" w:fill="FFFFFF"/>
            <w:tcMar>
              <w:left w:w="101" w:type="dxa"/>
              <w:right w:w="101" w:type="dxa"/>
            </w:tcMar>
            <w:vAlign w:val="bottom"/>
          </w:tcPr>
          <w:p w14:paraId="42212299" w14:textId="77777777" w:rsidR="00724034" w:rsidRDefault="00FB7D0B">
            <w:pPr>
              <w:jc w:val="right"/>
              <w:rPr>
                <w:rFonts w:ascii="Arial" w:eastAsia="Arial" w:hAnsi="Arial" w:cs="Arial"/>
                <w:color w:val="000000"/>
                <w:sz w:val="16"/>
              </w:rPr>
            </w:pPr>
            <w:r>
              <w:rPr>
                <w:rFonts w:ascii="Arial" w:eastAsia="Arial" w:hAnsi="Arial" w:cs="Arial"/>
                <w:color w:val="000000"/>
                <w:sz w:val="16"/>
              </w:rPr>
              <w:t>Forward</w:t>
            </w:r>
          </w:p>
        </w:tc>
      </w:tr>
      <w:tr w:rsidR="00FB7D0B" w14:paraId="569C2132" w14:textId="77777777" w:rsidTr="00FB7D0B">
        <w:tblPrEx>
          <w:shd w:val="clear" w:color="auto" w:fill="auto"/>
          <w:tblLook w:val="04A0" w:firstRow="1" w:lastRow="0" w:firstColumn="1" w:lastColumn="0" w:noHBand="0" w:noVBand="1"/>
        </w:tblPrEx>
        <w:trPr>
          <w:gridAfter w:val="1"/>
          <w:wAfter w:w="10" w:type="dxa"/>
          <w:trHeight w:val="225"/>
        </w:trPr>
        <w:tc>
          <w:tcPr>
            <w:tcW w:w="0" w:type="auto"/>
            <w:gridSpan w:val="3"/>
            <w:tcBorders>
              <w:top w:val="nil"/>
              <w:left w:val="single" w:sz="6" w:space="0" w:color="000000"/>
              <w:bottom w:val="nil"/>
              <w:right w:val="nil"/>
              <w:tl2br w:val="nil"/>
              <w:tr2bl w:val="nil"/>
            </w:tcBorders>
            <w:shd w:val="clear" w:color="auto" w:fill="FFFFFF"/>
            <w:tcMar>
              <w:left w:w="101" w:type="dxa"/>
              <w:right w:w="101" w:type="dxa"/>
            </w:tcMar>
            <w:vAlign w:val="bottom"/>
          </w:tcPr>
          <w:p w14:paraId="052330AA" w14:textId="77777777" w:rsidR="00724034" w:rsidRDefault="00FB7D0B">
            <w:pPr>
              <w:rPr>
                <w:rFonts w:ascii="Arial" w:eastAsia="Arial" w:hAnsi="Arial" w:cs="Arial"/>
                <w:color w:val="000000"/>
                <w:sz w:val="16"/>
              </w:rPr>
            </w:pPr>
            <w:r>
              <w:rPr>
                <w:rFonts w:ascii="Arial" w:eastAsia="Arial" w:hAnsi="Arial" w:cs="Arial"/>
                <w:color w:val="000000"/>
                <w:sz w:val="16"/>
              </w:rPr>
              <w:t>$('000)</w:t>
            </w:r>
          </w:p>
        </w:tc>
        <w:tc>
          <w:tcPr>
            <w:tcW w:w="0" w:type="auto"/>
            <w:tcBorders>
              <w:top w:val="nil"/>
              <w:left w:val="nil"/>
              <w:bottom w:val="single" w:sz="6" w:space="0" w:color="000000"/>
              <w:right w:val="nil"/>
              <w:tl2br w:val="nil"/>
              <w:tr2bl w:val="nil"/>
            </w:tcBorders>
            <w:shd w:val="clear" w:color="auto" w:fill="FFFFFF"/>
            <w:tcMar>
              <w:left w:w="101" w:type="dxa"/>
              <w:right w:w="101" w:type="dxa"/>
            </w:tcMar>
            <w:vAlign w:val="bottom"/>
          </w:tcPr>
          <w:p w14:paraId="320E8C87" w14:textId="77777777" w:rsidR="00724034" w:rsidRDefault="00FB7D0B">
            <w:pPr>
              <w:jc w:val="right"/>
              <w:rPr>
                <w:rFonts w:ascii="Arial" w:eastAsia="Arial" w:hAnsi="Arial" w:cs="Arial"/>
                <w:color w:val="000000"/>
                <w:sz w:val="16"/>
                <w:vertAlign w:val="superscript"/>
              </w:rPr>
            </w:pPr>
            <w:r>
              <w:rPr>
                <w:rFonts w:ascii="Arial" w:eastAsia="Arial" w:hAnsi="Arial" w:cs="Arial"/>
                <w:color w:val="000000"/>
                <w:sz w:val="16"/>
              </w:rPr>
              <w:t>budget</w:t>
            </w:r>
          </w:p>
        </w:tc>
        <w:tc>
          <w:tcPr>
            <w:tcW w:w="0" w:type="auto"/>
            <w:tcBorders>
              <w:top w:val="nil"/>
              <w:left w:val="nil"/>
              <w:bottom w:val="single" w:sz="6" w:space="0" w:color="000000"/>
              <w:right w:val="nil"/>
              <w:tl2br w:val="nil"/>
              <w:tr2bl w:val="nil"/>
            </w:tcBorders>
            <w:shd w:val="clear" w:color="auto" w:fill="FFFF00"/>
            <w:tcMar>
              <w:left w:w="101" w:type="dxa"/>
              <w:right w:w="101" w:type="dxa"/>
            </w:tcMar>
            <w:vAlign w:val="bottom"/>
          </w:tcPr>
          <w:p w14:paraId="7331D54E" w14:textId="77777777" w:rsidR="00724034" w:rsidRDefault="00724034">
            <w:pPr>
              <w:jc w:val="right"/>
              <w:rPr>
                <w:rFonts w:ascii="Arial" w:eastAsia="Arial" w:hAnsi="Arial" w:cs="Arial"/>
                <w:color w:val="000000"/>
                <w:sz w:val="16"/>
              </w:rPr>
            </w:pPr>
          </w:p>
        </w:tc>
        <w:tc>
          <w:tcPr>
            <w:tcW w:w="0" w:type="auto"/>
            <w:tcBorders>
              <w:top w:val="nil"/>
              <w:left w:val="nil"/>
              <w:bottom w:val="single" w:sz="6" w:space="0" w:color="000000"/>
              <w:right w:val="nil"/>
              <w:tl2br w:val="nil"/>
              <w:tr2bl w:val="nil"/>
            </w:tcBorders>
            <w:shd w:val="clear" w:color="auto" w:fill="FFFFFF"/>
            <w:tcMar>
              <w:left w:w="101" w:type="dxa"/>
              <w:right w:w="101" w:type="dxa"/>
            </w:tcMar>
            <w:vAlign w:val="bottom"/>
          </w:tcPr>
          <w:p w14:paraId="59D10F5D" w14:textId="77777777" w:rsidR="00724034" w:rsidRDefault="00FB7D0B">
            <w:pPr>
              <w:jc w:val="right"/>
              <w:rPr>
                <w:rFonts w:ascii="Arial" w:eastAsia="Arial" w:hAnsi="Arial" w:cs="Arial"/>
                <w:color w:val="000000"/>
                <w:sz w:val="16"/>
              </w:rPr>
            </w:pPr>
            <w:r>
              <w:rPr>
                <w:rFonts w:ascii="Arial" w:eastAsia="Arial" w:hAnsi="Arial" w:cs="Arial"/>
                <w:color w:val="000000"/>
                <w:sz w:val="16"/>
              </w:rPr>
              <w:t>year 1</w:t>
            </w:r>
          </w:p>
        </w:tc>
        <w:tc>
          <w:tcPr>
            <w:tcW w:w="0" w:type="auto"/>
            <w:tcBorders>
              <w:top w:val="nil"/>
              <w:left w:val="nil"/>
              <w:bottom w:val="single" w:sz="6" w:space="0" w:color="000000"/>
              <w:right w:val="nil"/>
              <w:tl2br w:val="nil"/>
              <w:tr2bl w:val="nil"/>
            </w:tcBorders>
            <w:shd w:val="clear" w:color="auto" w:fill="FFFFFF"/>
            <w:tcMar>
              <w:left w:w="101" w:type="dxa"/>
              <w:right w:w="101" w:type="dxa"/>
            </w:tcMar>
            <w:vAlign w:val="bottom"/>
          </w:tcPr>
          <w:p w14:paraId="444750B4" w14:textId="77777777" w:rsidR="00724034" w:rsidRDefault="00FB7D0B">
            <w:pPr>
              <w:jc w:val="right"/>
              <w:rPr>
                <w:rFonts w:ascii="Arial" w:eastAsia="Arial" w:hAnsi="Arial" w:cs="Arial"/>
                <w:color w:val="000000"/>
                <w:sz w:val="16"/>
              </w:rPr>
            </w:pPr>
            <w:r>
              <w:rPr>
                <w:rFonts w:ascii="Arial" w:eastAsia="Arial" w:hAnsi="Arial" w:cs="Arial"/>
                <w:color w:val="000000"/>
                <w:sz w:val="16"/>
              </w:rPr>
              <w:t>year 2</w:t>
            </w:r>
          </w:p>
        </w:tc>
        <w:tc>
          <w:tcPr>
            <w:tcW w:w="0" w:type="auto"/>
            <w:tcBorders>
              <w:top w:val="nil"/>
              <w:left w:val="nil"/>
              <w:bottom w:val="single" w:sz="6" w:space="0" w:color="000000"/>
              <w:right w:val="single" w:sz="6" w:space="0" w:color="000000"/>
              <w:tl2br w:val="nil"/>
              <w:tr2bl w:val="nil"/>
            </w:tcBorders>
            <w:shd w:val="clear" w:color="auto" w:fill="FFFFFF"/>
            <w:tcMar>
              <w:left w:w="101" w:type="dxa"/>
              <w:right w:w="101" w:type="dxa"/>
            </w:tcMar>
            <w:vAlign w:val="bottom"/>
          </w:tcPr>
          <w:p w14:paraId="7EEFF522" w14:textId="77777777" w:rsidR="00724034" w:rsidRDefault="00FB7D0B">
            <w:pPr>
              <w:jc w:val="right"/>
              <w:rPr>
                <w:rFonts w:ascii="Arial" w:eastAsia="Arial" w:hAnsi="Arial" w:cs="Arial"/>
                <w:color w:val="000000"/>
                <w:sz w:val="16"/>
              </w:rPr>
            </w:pPr>
            <w:r>
              <w:rPr>
                <w:rFonts w:ascii="Arial" w:eastAsia="Arial" w:hAnsi="Arial" w:cs="Arial"/>
                <w:color w:val="000000"/>
                <w:sz w:val="16"/>
              </w:rPr>
              <w:t>year 3</w:t>
            </w:r>
          </w:p>
        </w:tc>
      </w:tr>
      <w:tr w:rsidR="00FB7D0B" w14:paraId="6581924B" w14:textId="77777777" w:rsidTr="00FB7D0B">
        <w:tblPrEx>
          <w:shd w:val="clear" w:color="auto" w:fill="auto"/>
          <w:tblLook w:val="04A0" w:firstRow="1" w:lastRow="0" w:firstColumn="1" w:lastColumn="0" w:noHBand="0" w:noVBand="1"/>
        </w:tblPrEx>
        <w:trPr>
          <w:gridAfter w:val="1"/>
          <w:wAfter w:w="10" w:type="dxa"/>
          <w:trHeight w:val="225"/>
        </w:trPr>
        <w:tc>
          <w:tcPr>
            <w:tcW w:w="0" w:type="auto"/>
            <w:gridSpan w:val="3"/>
            <w:tcBorders>
              <w:top w:val="single" w:sz="6" w:space="0" w:color="000000"/>
              <w:left w:val="single" w:sz="6" w:space="0" w:color="000000"/>
              <w:bottom w:val="nil"/>
              <w:right w:val="nil"/>
              <w:tl2br w:val="nil"/>
              <w:tr2bl w:val="nil"/>
            </w:tcBorders>
            <w:shd w:val="clear" w:color="auto" w:fill="FFFFFF"/>
            <w:tcMar>
              <w:left w:w="101" w:type="dxa"/>
              <w:right w:w="101" w:type="dxa"/>
            </w:tcMar>
            <w:vAlign w:val="bottom"/>
          </w:tcPr>
          <w:p w14:paraId="3EB26124" w14:textId="77777777" w:rsidR="00724034" w:rsidRDefault="00FB7D0B">
            <w:pPr>
              <w:rPr>
                <w:rFonts w:ascii="Arial" w:eastAsia="Arial" w:hAnsi="Arial" w:cs="Arial"/>
                <w:color w:val="000000"/>
                <w:sz w:val="16"/>
              </w:rPr>
            </w:pPr>
            <w:r>
              <w:rPr>
                <w:rFonts w:ascii="Arial" w:eastAsia="Arial" w:hAnsi="Arial" w:cs="Arial"/>
                <w:color w:val="000000"/>
                <w:sz w:val="16"/>
              </w:rPr>
              <w:t>Annual administered expenses:</w:t>
            </w:r>
          </w:p>
        </w:tc>
        <w:tc>
          <w:tcPr>
            <w:tcW w:w="0" w:type="auto"/>
            <w:tcBorders>
              <w:top w:val="single" w:sz="6" w:space="0" w:color="000000"/>
              <w:left w:val="nil"/>
              <w:bottom w:val="nil"/>
              <w:right w:val="nil"/>
              <w:tl2br w:val="nil"/>
              <w:tr2bl w:val="nil"/>
            </w:tcBorders>
            <w:shd w:val="clear" w:color="auto" w:fill="FFFFFF"/>
            <w:tcMar>
              <w:left w:w="101" w:type="dxa"/>
              <w:right w:w="101" w:type="dxa"/>
            </w:tcMar>
            <w:vAlign w:val="bottom"/>
          </w:tcPr>
          <w:p w14:paraId="5C458415" w14:textId="77777777" w:rsidR="00724034" w:rsidRDefault="00724034">
            <w:pPr>
              <w:jc w:val="right"/>
              <w:rPr>
                <w:rFonts w:ascii="Arial" w:eastAsia="Arial" w:hAnsi="Arial" w:cs="Arial"/>
                <w:color w:val="000000"/>
                <w:sz w:val="16"/>
                <w:vertAlign w:val="superscript"/>
              </w:rPr>
            </w:pPr>
          </w:p>
        </w:tc>
        <w:tc>
          <w:tcPr>
            <w:tcW w:w="0" w:type="auto"/>
            <w:tcBorders>
              <w:top w:val="single" w:sz="6" w:space="0" w:color="000000"/>
              <w:left w:val="nil"/>
              <w:bottom w:val="nil"/>
              <w:right w:val="nil"/>
              <w:tl2br w:val="nil"/>
              <w:tr2bl w:val="nil"/>
            </w:tcBorders>
            <w:shd w:val="clear" w:color="auto" w:fill="FFFF00"/>
            <w:tcMar>
              <w:left w:w="101" w:type="dxa"/>
              <w:right w:w="101" w:type="dxa"/>
            </w:tcMar>
            <w:vAlign w:val="bottom"/>
          </w:tcPr>
          <w:p w14:paraId="71E909F2" w14:textId="77777777" w:rsidR="00724034" w:rsidRDefault="00724034">
            <w:pPr>
              <w:rPr>
                <w:rFonts w:ascii="Arial" w:eastAsia="Arial" w:hAnsi="Arial" w:cs="Arial"/>
                <w:color w:val="000000"/>
                <w:sz w:val="16"/>
                <w:vertAlign w:val="superscript"/>
              </w:rPr>
            </w:pPr>
          </w:p>
        </w:tc>
        <w:tc>
          <w:tcPr>
            <w:tcW w:w="0" w:type="auto"/>
            <w:tcBorders>
              <w:top w:val="single" w:sz="6" w:space="0" w:color="000000"/>
              <w:left w:val="nil"/>
              <w:bottom w:val="nil"/>
              <w:right w:val="nil"/>
              <w:tl2br w:val="nil"/>
              <w:tr2bl w:val="nil"/>
            </w:tcBorders>
            <w:shd w:val="clear" w:color="auto" w:fill="FFFFFF"/>
            <w:tcMar>
              <w:left w:w="101" w:type="dxa"/>
              <w:right w:w="101" w:type="dxa"/>
            </w:tcMar>
            <w:vAlign w:val="bottom"/>
          </w:tcPr>
          <w:p w14:paraId="142F6D79" w14:textId="77777777" w:rsidR="00724034" w:rsidRDefault="00724034">
            <w:pPr>
              <w:jc w:val="right"/>
              <w:rPr>
                <w:rFonts w:ascii="Arial" w:eastAsia="Arial" w:hAnsi="Arial" w:cs="Arial"/>
                <w:color w:val="000000"/>
                <w:sz w:val="16"/>
                <w:vertAlign w:val="superscript"/>
              </w:rPr>
            </w:pPr>
          </w:p>
        </w:tc>
        <w:tc>
          <w:tcPr>
            <w:tcW w:w="0" w:type="auto"/>
            <w:tcBorders>
              <w:top w:val="single" w:sz="6" w:space="0" w:color="000000"/>
              <w:left w:val="nil"/>
              <w:bottom w:val="nil"/>
              <w:right w:val="nil"/>
              <w:tl2br w:val="nil"/>
              <w:tr2bl w:val="nil"/>
            </w:tcBorders>
            <w:shd w:val="clear" w:color="auto" w:fill="FFFFFF"/>
            <w:tcMar>
              <w:left w:w="101" w:type="dxa"/>
              <w:right w:w="101" w:type="dxa"/>
            </w:tcMar>
            <w:vAlign w:val="bottom"/>
          </w:tcPr>
          <w:p w14:paraId="7A876570" w14:textId="77777777" w:rsidR="00724034" w:rsidRDefault="00724034">
            <w:pPr>
              <w:jc w:val="right"/>
              <w:rPr>
                <w:rFonts w:ascii="Arial" w:eastAsia="Arial" w:hAnsi="Arial" w:cs="Arial"/>
                <w:color w:val="000000"/>
                <w:sz w:val="16"/>
                <w:vertAlign w:val="superscript"/>
              </w:rPr>
            </w:pPr>
          </w:p>
        </w:tc>
        <w:tc>
          <w:tcPr>
            <w:tcW w:w="0" w:type="auto"/>
            <w:tcBorders>
              <w:top w:val="single" w:sz="6" w:space="0" w:color="000000"/>
              <w:left w:val="nil"/>
              <w:bottom w:val="nil"/>
              <w:right w:val="single" w:sz="6" w:space="0" w:color="000000"/>
              <w:tl2br w:val="nil"/>
              <w:tr2bl w:val="nil"/>
            </w:tcBorders>
            <w:shd w:val="clear" w:color="auto" w:fill="FFFFFF"/>
            <w:tcMar>
              <w:left w:w="101" w:type="dxa"/>
              <w:right w:w="101" w:type="dxa"/>
            </w:tcMar>
            <w:vAlign w:val="bottom"/>
          </w:tcPr>
          <w:p w14:paraId="374B7984" w14:textId="77777777" w:rsidR="00724034" w:rsidRDefault="00724034">
            <w:pPr>
              <w:jc w:val="right"/>
              <w:rPr>
                <w:rFonts w:ascii="Arial" w:eastAsia="Arial" w:hAnsi="Arial" w:cs="Arial"/>
                <w:color w:val="000000"/>
                <w:sz w:val="16"/>
                <w:vertAlign w:val="superscript"/>
              </w:rPr>
            </w:pPr>
          </w:p>
        </w:tc>
      </w:tr>
      <w:tr w:rsidR="00FB7D0B" w14:paraId="67930638" w14:textId="77777777" w:rsidTr="00FB7D0B">
        <w:tblPrEx>
          <w:shd w:val="clear" w:color="auto" w:fill="auto"/>
          <w:tblLook w:val="04A0" w:firstRow="1" w:lastRow="0" w:firstColumn="1" w:lastColumn="0" w:noHBand="0" w:noVBand="1"/>
        </w:tblPrEx>
        <w:trPr>
          <w:gridAfter w:val="1"/>
          <w:wAfter w:w="10" w:type="dxa"/>
          <w:trHeight w:val="225"/>
        </w:trPr>
        <w:tc>
          <w:tcPr>
            <w:tcW w:w="0" w:type="auto"/>
            <w:tcBorders>
              <w:top w:val="single" w:sz="6" w:space="0" w:color="FFFFFF"/>
              <w:left w:val="single" w:sz="6" w:space="0" w:color="000000"/>
              <w:bottom w:val="nil"/>
              <w:right w:val="nil"/>
              <w:tl2br w:val="nil"/>
              <w:tr2bl w:val="nil"/>
            </w:tcBorders>
            <w:shd w:val="clear" w:color="auto" w:fill="FFFFFF"/>
            <w:tcMar>
              <w:left w:w="101" w:type="dxa"/>
              <w:right w:w="101" w:type="dxa"/>
            </w:tcMar>
            <w:vAlign w:val="bottom"/>
          </w:tcPr>
          <w:p w14:paraId="36D6432E" w14:textId="77777777" w:rsidR="00724034" w:rsidRDefault="00724034">
            <w:pPr>
              <w:rPr>
                <w:rFonts w:ascii="Arial" w:eastAsia="Arial" w:hAnsi="Arial" w:cs="Arial"/>
                <w:color w:val="000000"/>
                <w:sz w:val="16"/>
                <w:vertAlign w:val="superscript"/>
              </w:rPr>
            </w:pPr>
          </w:p>
        </w:tc>
        <w:tc>
          <w:tcPr>
            <w:tcW w:w="0" w:type="auto"/>
            <w:gridSpan w:val="2"/>
            <w:tcBorders>
              <w:top w:val="single" w:sz="6" w:space="0" w:color="FFFFFF"/>
              <w:left w:val="nil"/>
              <w:bottom w:val="nil"/>
              <w:right w:val="nil"/>
              <w:tl2br w:val="nil"/>
              <w:tr2bl w:val="nil"/>
            </w:tcBorders>
            <w:shd w:val="clear" w:color="auto" w:fill="FFFFFF"/>
            <w:tcMar>
              <w:left w:w="101" w:type="dxa"/>
              <w:right w:w="101" w:type="dxa"/>
            </w:tcMar>
            <w:vAlign w:val="bottom"/>
          </w:tcPr>
          <w:p w14:paraId="54DBFFD2" w14:textId="77777777" w:rsidR="00724034" w:rsidRDefault="00FB7D0B">
            <w:pPr>
              <w:rPr>
                <w:rFonts w:ascii="Arial" w:eastAsia="Arial" w:hAnsi="Arial" w:cs="Arial"/>
                <w:color w:val="000000"/>
                <w:sz w:val="16"/>
                <w:vertAlign w:val="superscript"/>
              </w:rPr>
            </w:pPr>
            <w:r>
              <w:rPr>
                <w:rFonts w:ascii="Arial" w:eastAsia="Arial" w:hAnsi="Arial" w:cs="Arial"/>
                <w:color w:val="000000"/>
                <w:sz w:val="16"/>
              </w:rPr>
              <w:t>Appropriation Bill 1</w:t>
            </w:r>
          </w:p>
        </w:tc>
        <w:tc>
          <w:tcPr>
            <w:tcW w:w="0" w:type="auto"/>
            <w:tcBorders>
              <w:top w:val="nil"/>
              <w:left w:val="nil"/>
              <w:bottom w:val="nil"/>
              <w:right w:val="nil"/>
              <w:tl2br w:val="nil"/>
              <w:tr2bl w:val="nil"/>
            </w:tcBorders>
            <w:shd w:val="clear" w:color="auto" w:fill="FFFFFF"/>
            <w:tcMar>
              <w:left w:w="101" w:type="dxa"/>
              <w:right w:w="101" w:type="dxa"/>
            </w:tcMar>
            <w:vAlign w:val="bottom"/>
          </w:tcPr>
          <w:p w14:paraId="16F1F967" w14:textId="77777777" w:rsidR="00724034" w:rsidRDefault="00724034">
            <w:pPr>
              <w:jc w:val="right"/>
              <w:rPr>
                <w:rFonts w:ascii="Arial" w:eastAsia="Arial" w:hAnsi="Arial" w:cs="Arial"/>
                <w:color w:val="000000"/>
                <w:sz w:val="16"/>
                <w:vertAlign w:val="superscript"/>
              </w:rPr>
            </w:pPr>
          </w:p>
        </w:tc>
        <w:tc>
          <w:tcPr>
            <w:tcW w:w="0" w:type="auto"/>
            <w:tcBorders>
              <w:top w:val="nil"/>
              <w:left w:val="nil"/>
              <w:bottom w:val="nil"/>
              <w:right w:val="nil"/>
              <w:tl2br w:val="nil"/>
              <w:tr2bl w:val="nil"/>
            </w:tcBorders>
            <w:shd w:val="clear" w:color="auto" w:fill="FFFF00"/>
            <w:tcMar>
              <w:left w:w="101" w:type="dxa"/>
              <w:right w:w="101" w:type="dxa"/>
            </w:tcMar>
            <w:vAlign w:val="bottom"/>
          </w:tcPr>
          <w:p w14:paraId="5BF99D4A" w14:textId="77777777" w:rsidR="00724034" w:rsidRDefault="00724034">
            <w:pPr>
              <w:jc w:val="right"/>
              <w:rPr>
                <w:rFonts w:ascii="Arial" w:eastAsia="Arial" w:hAnsi="Arial" w:cs="Arial"/>
                <w:color w:val="000000"/>
                <w:sz w:val="16"/>
                <w:vertAlign w:val="superscript"/>
              </w:rPr>
            </w:pPr>
          </w:p>
        </w:tc>
        <w:tc>
          <w:tcPr>
            <w:tcW w:w="0" w:type="auto"/>
            <w:tcBorders>
              <w:top w:val="nil"/>
              <w:left w:val="nil"/>
              <w:bottom w:val="nil"/>
              <w:right w:val="nil"/>
              <w:tl2br w:val="nil"/>
              <w:tr2bl w:val="nil"/>
            </w:tcBorders>
            <w:shd w:val="clear" w:color="auto" w:fill="FFFFFF"/>
            <w:tcMar>
              <w:left w:w="101" w:type="dxa"/>
              <w:right w:w="101" w:type="dxa"/>
            </w:tcMar>
            <w:vAlign w:val="bottom"/>
          </w:tcPr>
          <w:p w14:paraId="1213F48E" w14:textId="77777777" w:rsidR="00724034" w:rsidRDefault="00724034">
            <w:pPr>
              <w:jc w:val="right"/>
              <w:rPr>
                <w:rFonts w:ascii="Arial" w:eastAsia="Arial" w:hAnsi="Arial" w:cs="Arial"/>
                <w:color w:val="000000"/>
                <w:sz w:val="16"/>
                <w:vertAlign w:val="superscript"/>
              </w:rPr>
            </w:pPr>
          </w:p>
        </w:tc>
        <w:tc>
          <w:tcPr>
            <w:tcW w:w="0" w:type="auto"/>
            <w:tcBorders>
              <w:top w:val="nil"/>
              <w:left w:val="nil"/>
              <w:bottom w:val="nil"/>
              <w:right w:val="nil"/>
              <w:tl2br w:val="nil"/>
              <w:tr2bl w:val="nil"/>
            </w:tcBorders>
            <w:shd w:val="clear" w:color="auto" w:fill="FFFFFF"/>
            <w:tcMar>
              <w:left w:w="101" w:type="dxa"/>
              <w:right w:w="101" w:type="dxa"/>
            </w:tcMar>
            <w:vAlign w:val="bottom"/>
          </w:tcPr>
          <w:p w14:paraId="2299A8CE" w14:textId="77777777" w:rsidR="00724034" w:rsidRDefault="00724034">
            <w:pPr>
              <w:jc w:val="right"/>
              <w:rPr>
                <w:rFonts w:ascii="Arial" w:eastAsia="Arial" w:hAnsi="Arial" w:cs="Arial"/>
                <w:color w:val="000000"/>
                <w:sz w:val="16"/>
                <w:vertAlign w:val="superscript"/>
              </w:rPr>
            </w:pPr>
          </w:p>
        </w:tc>
        <w:tc>
          <w:tcPr>
            <w:tcW w:w="0" w:type="auto"/>
            <w:tcBorders>
              <w:top w:val="nil"/>
              <w:left w:val="nil"/>
              <w:bottom w:val="nil"/>
              <w:right w:val="single" w:sz="6" w:space="0" w:color="000000"/>
              <w:tl2br w:val="nil"/>
              <w:tr2bl w:val="nil"/>
            </w:tcBorders>
            <w:shd w:val="clear" w:color="auto" w:fill="FFFFFF"/>
            <w:tcMar>
              <w:left w:w="101" w:type="dxa"/>
              <w:right w:w="101" w:type="dxa"/>
            </w:tcMar>
            <w:vAlign w:val="bottom"/>
          </w:tcPr>
          <w:p w14:paraId="7BEDA9AB" w14:textId="77777777" w:rsidR="00724034" w:rsidRDefault="00724034">
            <w:pPr>
              <w:jc w:val="right"/>
              <w:rPr>
                <w:rFonts w:ascii="Arial" w:eastAsia="Arial" w:hAnsi="Arial" w:cs="Arial"/>
                <w:color w:val="000000"/>
                <w:sz w:val="16"/>
                <w:vertAlign w:val="superscript"/>
              </w:rPr>
            </w:pPr>
          </w:p>
        </w:tc>
      </w:tr>
      <w:tr w:rsidR="00724034" w14:paraId="4EF2F49D" w14:textId="77777777">
        <w:tblPrEx>
          <w:shd w:val="clear" w:color="auto" w:fill="auto"/>
          <w:tblLook w:val="04A0" w:firstRow="1" w:lastRow="0" w:firstColumn="1" w:lastColumn="0" w:noHBand="0" w:noVBand="1"/>
        </w:tblPrEx>
        <w:trPr>
          <w:gridAfter w:val="1"/>
          <w:wAfter w:w="10" w:type="dxa"/>
          <w:trHeight w:val="225"/>
        </w:trPr>
        <w:tc>
          <w:tcPr>
            <w:tcW w:w="0" w:type="auto"/>
            <w:tcBorders>
              <w:top w:val="nil"/>
              <w:left w:val="single" w:sz="6" w:space="0" w:color="000000"/>
              <w:bottom w:val="nil"/>
              <w:right w:val="nil"/>
              <w:tl2br w:val="nil"/>
              <w:tr2bl w:val="nil"/>
            </w:tcBorders>
            <w:shd w:val="clear" w:color="auto" w:fill="FFFFFF"/>
            <w:tcMar>
              <w:left w:w="101" w:type="dxa"/>
              <w:right w:w="101" w:type="dxa"/>
            </w:tcMar>
            <w:vAlign w:val="bottom"/>
          </w:tcPr>
          <w:p w14:paraId="0E62915A" w14:textId="77777777" w:rsidR="00724034" w:rsidRDefault="00724034">
            <w:pPr>
              <w:rPr>
                <w:rFonts w:ascii="Arial" w:eastAsia="Arial" w:hAnsi="Arial" w:cs="Arial"/>
                <w:color w:val="000000"/>
                <w:sz w:val="16"/>
                <w:vertAlign w:val="superscript"/>
              </w:rPr>
            </w:pPr>
          </w:p>
        </w:tc>
        <w:tc>
          <w:tcPr>
            <w:tcW w:w="0" w:type="auto"/>
            <w:tcBorders>
              <w:top w:val="nil"/>
              <w:left w:val="nil"/>
              <w:bottom w:val="nil"/>
              <w:right w:val="nil"/>
              <w:tl2br w:val="nil"/>
              <w:tr2bl w:val="nil"/>
            </w:tcBorders>
            <w:shd w:val="clear" w:color="auto" w:fill="FFFFFF"/>
            <w:tcMar>
              <w:left w:w="101" w:type="dxa"/>
              <w:right w:w="101" w:type="dxa"/>
            </w:tcMar>
            <w:vAlign w:val="bottom"/>
          </w:tcPr>
          <w:p w14:paraId="766ED899" w14:textId="77777777" w:rsidR="00724034" w:rsidRDefault="00724034">
            <w:pPr>
              <w:rPr>
                <w:rFonts w:ascii="Arial" w:eastAsia="Arial" w:hAnsi="Arial" w:cs="Arial"/>
                <w:color w:val="000000"/>
                <w:sz w:val="16"/>
                <w:vertAlign w:val="superscript"/>
              </w:rPr>
            </w:pPr>
          </w:p>
        </w:tc>
        <w:tc>
          <w:tcPr>
            <w:tcW w:w="0" w:type="auto"/>
            <w:tcBorders>
              <w:top w:val="nil"/>
              <w:left w:val="nil"/>
              <w:bottom w:val="nil"/>
              <w:right w:val="nil"/>
              <w:tl2br w:val="nil"/>
              <w:tr2bl w:val="nil"/>
            </w:tcBorders>
            <w:shd w:val="clear" w:color="auto" w:fill="FFFFFF"/>
            <w:tcMar>
              <w:left w:w="101" w:type="dxa"/>
              <w:right w:w="101" w:type="dxa"/>
            </w:tcMar>
            <w:vAlign w:val="bottom"/>
          </w:tcPr>
          <w:p w14:paraId="15785A8C" w14:textId="77777777" w:rsidR="00724034" w:rsidRDefault="00FB7D0B">
            <w:pPr>
              <w:rPr>
                <w:rFonts w:ascii="Arial" w:eastAsia="Arial" w:hAnsi="Arial" w:cs="Arial"/>
                <w:color w:val="000000"/>
                <w:sz w:val="16"/>
                <w:vertAlign w:val="superscript"/>
              </w:rPr>
            </w:pPr>
            <w:r>
              <w:rPr>
                <w:rFonts w:ascii="Arial" w:eastAsia="Arial" w:hAnsi="Arial" w:cs="Arial"/>
                <w:color w:val="000000"/>
                <w:sz w:val="16"/>
              </w:rPr>
              <w:t>Grants-In-Aid</w:t>
            </w:r>
          </w:p>
        </w:tc>
        <w:tc>
          <w:tcPr>
            <w:tcW w:w="0" w:type="auto"/>
            <w:tcBorders>
              <w:top w:val="nil"/>
              <w:left w:val="nil"/>
              <w:bottom w:val="nil"/>
              <w:right w:val="nil"/>
              <w:tl2br w:val="nil"/>
              <w:tr2bl w:val="nil"/>
            </w:tcBorders>
            <w:shd w:val="clear" w:color="auto" w:fill="FFFFFF"/>
            <w:tcMar>
              <w:left w:w="101" w:type="dxa"/>
              <w:right w:w="101" w:type="dxa"/>
            </w:tcMar>
            <w:vAlign w:val="bottom"/>
          </w:tcPr>
          <w:p w14:paraId="4536752A" w14:textId="77777777" w:rsidR="00724034" w:rsidRDefault="00FB7D0B">
            <w:pPr>
              <w:jc w:val="right"/>
              <w:rPr>
                <w:rFonts w:ascii="Arial" w:eastAsia="Arial" w:hAnsi="Arial" w:cs="Arial"/>
                <w:color w:val="000000"/>
                <w:sz w:val="16"/>
                <w:vertAlign w:val="superscript"/>
              </w:rPr>
            </w:pPr>
            <w:r>
              <w:rPr>
                <w:rFonts w:ascii="Arial" w:eastAsia="Arial" w:hAnsi="Arial" w:cs="Arial"/>
                <w:color w:val="000000"/>
                <w:sz w:val="16"/>
              </w:rPr>
              <w:t xml:space="preserve"> 145 </w:t>
            </w:r>
          </w:p>
        </w:tc>
        <w:tc>
          <w:tcPr>
            <w:tcW w:w="0" w:type="auto"/>
            <w:tcBorders>
              <w:top w:val="nil"/>
              <w:left w:val="nil"/>
              <w:bottom w:val="nil"/>
              <w:right w:val="nil"/>
              <w:tl2br w:val="nil"/>
              <w:tr2bl w:val="nil"/>
            </w:tcBorders>
            <w:shd w:val="clear" w:color="auto" w:fill="FFFF00"/>
            <w:tcMar>
              <w:left w:w="101" w:type="dxa"/>
              <w:right w:w="101" w:type="dxa"/>
            </w:tcMar>
            <w:vAlign w:val="bottom"/>
          </w:tcPr>
          <w:p w14:paraId="5539B0F6" w14:textId="77777777" w:rsidR="00724034" w:rsidRDefault="00FB7D0B">
            <w:pPr>
              <w:jc w:val="right"/>
              <w:rPr>
                <w:rFonts w:ascii="Arial" w:eastAsia="Arial" w:hAnsi="Arial" w:cs="Arial"/>
                <w:color w:val="000000"/>
                <w:sz w:val="16"/>
              </w:rPr>
            </w:pPr>
            <w:r>
              <w:rPr>
                <w:rFonts w:ascii="Arial" w:eastAsia="Arial" w:hAnsi="Arial" w:cs="Arial"/>
                <w:color w:val="000000"/>
                <w:sz w:val="16"/>
              </w:rPr>
              <w:t xml:space="preserve"> 145 </w:t>
            </w:r>
          </w:p>
        </w:tc>
        <w:tc>
          <w:tcPr>
            <w:tcW w:w="0" w:type="auto"/>
            <w:tcBorders>
              <w:top w:val="nil"/>
              <w:left w:val="nil"/>
              <w:bottom w:val="nil"/>
              <w:right w:val="nil"/>
              <w:tl2br w:val="nil"/>
              <w:tr2bl w:val="nil"/>
            </w:tcBorders>
            <w:shd w:val="clear" w:color="auto" w:fill="FFFFFF"/>
            <w:tcMar>
              <w:left w:w="101" w:type="dxa"/>
              <w:right w:w="101" w:type="dxa"/>
            </w:tcMar>
            <w:vAlign w:val="bottom"/>
          </w:tcPr>
          <w:p w14:paraId="2146AC01" w14:textId="77777777" w:rsidR="00724034" w:rsidRDefault="00FB7D0B">
            <w:pPr>
              <w:jc w:val="right"/>
              <w:rPr>
                <w:rFonts w:ascii="Arial" w:eastAsia="Arial" w:hAnsi="Arial" w:cs="Arial"/>
                <w:color w:val="000000"/>
                <w:sz w:val="16"/>
              </w:rPr>
            </w:pPr>
            <w:r>
              <w:rPr>
                <w:rFonts w:ascii="Arial" w:eastAsia="Arial" w:hAnsi="Arial" w:cs="Arial"/>
                <w:color w:val="000000"/>
                <w:sz w:val="16"/>
              </w:rPr>
              <w:t xml:space="preserve"> 145 </w:t>
            </w:r>
          </w:p>
        </w:tc>
        <w:tc>
          <w:tcPr>
            <w:tcW w:w="0" w:type="auto"/>
            <w:tcBorders>
              <w:top w:val="nil"/>
              <w:left w:val="nil"/>
              <w:bottom w:val="nil"/>
              <w:right w:val="nil"/>
              <w:tl2br w:val="nil"/>
              <w:tr2bl w:val="nil"/>
            </w:tcBorders>
            <w:shd w:val="clear" w:color="auto" w:fill="FFFFFF"/>
            <w:tcMar>
              <w:left w:w="101" w:type="dxa"/>
              <w:right w:w="101" w:type="dxa"/>
            </w:tcMar>
            <w:vAlign w:val="bottom"/>
          </w:tcPr>
          <w:p w14:paraId="2F4165A6" w14:textId="77777777" w:rsidR="00724034" w:rsidRDefault="00FB7D0B">
            <w:pPr>
              <w:jc w:val="right"/>
              <w:rPr>
                <w:rFonts w:ascii="Arial" w:eastAsia="Arial" w:hAnsi="Arial" w:cs="Arial"/>
                <w:color w:val="000000"/>
                <w:sz w:val="16"/>
              </w:rPr>
            </w:pPr>
            <w:r>
              <w:rPr>
                <w:rFonts w:ascii="Arial" w:eastAsia="Arial" w:hAnsi="Arial" w:cs="Arial"/>
                <w:color w:val="000000"/>
                <w:sz w:val="16"/>
              </w:rPr>
              <w:t xml:space="preserve"> 145 </w:t>
            </w:r>
          </w:p>
        </w:tc>
        <w:tc>
          <w:tcPr>
            <w:tcW w:w="0" w:type="auto"/>
            <w:tcBorders>
              <w:top w:val="nil"/>
              <w:left w:val="nil"/>
              <w:bottom w:val="nil"/>
              <w:right w:val="single" w:sz="6" w:space="0" w:color="000000"/>
              <w:tl2br w:val="nil"/>
              <w:tr2bl w:val="nil"/>
            </w:tcBorders>
            <w:shd w:val="clear" w:color="auto" w:fill="FFFFFF"/>
            <w:tcMar>
              <w:left w:w="101" w:type="dxa"/>
              <w:right w:w="101" w:type="dxa"/>
            </w:tcMar>
            <w:vAlign w:val="bottom"/>
          </w:tcPr>
          <w:p w14:paraId="7AE56F7C" w14:textId="77777777" w:rsidR="00724034" w:rsidRDefault="00FB7D0B">
            <w:pPr>
              <w:jc w:val="right"/>
              <w:rPr>
                <w:rFonts w:ascii="Arial" w:eastAsia="Arial" w:hAnsi="Arial" w:cs="Arial"/>
                <w:color w:val="000000"/>
                <w:sz w:val="16"/>
              </w:rPr>
            </w:pPr>
            <w:r>
              <w:rPr>
                <w:rFonts w:ascii="Arial" w:eastAsia="Arial" w:hAnsi="Arial" w:cs="Arial"/>
                <w:color w:val="000000"/>
                <w:sz w:val="16"/>
              </w:rPr>
              <w:t xml:space="preserve"> 145 </w:t>
            </w:r>
          </w:p>
        </w:tc>
      </w:tr>
      <w:tr w:rsidR="00724034" w14:paraId="7C0A865D" w14:textId="77777777">
        <w:tblPrEx>
          <w:shd w:val="clear" w:color="auto" w:fill="auto"/>
          <w:tblLook w:val="04A0" w:firstRow="1" w:lastRow="0" w:firstColumn="1" w:lastColumn="0" w:noHBand="0" w:noVBand="1"/>
        </w:tblPrEx>
        <w:trPr>
          <w:gridAfter w:val="1"/>
          <w:wAfter w:w="10" w:type="dxa"/>
          <w:trHeight w:val="225"/>
        </w:trPr>
        <w:tc>
          <w:tcPr>
            <w:tcW w:w="0" w:type="auto"/>
            <w:tcBorders>
              <w:top w:val="nil"/>
              <w:left w:val="single" w:sz="6" w:space="0" w:color="000000"/>
              <w:bottom w:val="nil"/>
              <w:right w:val="nil"/>
              <w:tl2br w:val="nil"/>
              <w:tr2bl w:val="nil"/>
            </w:tcBorders>
            <w:shd w:val="clear" w:color="auto" w:fill="FFFFFF"/>
            <w:tcMar>
              <w:left w:w="101" w:type="dxa"/>
              <w:right w:w="101" w:type="dxa"/>
            </w:tcMar>
            <w:vAlign w:val="bottom"/>
          </w:tcPr>
          <w:p w14:paraId="599EFB95" w14:textId="77777777" w:rsidR="00724034" w:rsidRDefault="00724034">
            <w:pPr>
              <w:rPr>
                <w:rFonts w:ascii="Arial" w:eastAsia="Arial" w:hAnsi="Arial" w:cs="Arial"/>
                <w:color w:val="000000"/>
                <w:sz w:val="16"/>
              </w:rPr>
            </w:pPr>
          </w:p>
        </w:tc>
        <w:tc>
          <w:tcPr>
            <w:tcW w:w="0" w:type="auto"/>
            <w:tcBorders>
              <w:top w:val="nil"/>
              <w:left w:val="nil"/>
              <w:bottom w:val="nil"/>
              <w:right w:val="nil"/>
              <w:tl2br w:val="nil"/>
              <w:tr2bl w:val="nil"/>
            </w:tcBorders>
            <w:shd w:val="clear" w:color="auto" w:fill="FFFFFF"/>
            <w:tcMar>
              <w:left w:w="101" w:type="dxa"/>
              <w:right w:w="101" w:type="dxa"/>
            </w:tcMar>
            <w:vAlign w:val="bottom"/>
          </w:tcPr>
          <w:p w14:paraId="43266715" w14:textId="77777777" w:rsidR="00724034" w:rsidRDefault="00724034">
            <w:pPr>
              <w:rPr>
                <w:rFonts w:ascii="Arial" w:eastAsia="Arial" w:hAnsi="Arial" w:cs="Arial"/>
                <w:color w:val="000000"/>
                <w:sz w:val="16"/>
              </w:rPr>
            </w:pPr>
          </w:p>
        </w:tc>
        <w:tc>
          <w:tcPr>
            <w:tcW w:w="0" w:type="auto"/>
            <w:tcBorders>
              <w:top w:val="nil"/>
              <w:left w:val="nil"/>
              <w:bottom w:val="nil"/>
              <w:right w:val="nil"/>
              <w:tl2br w:val="nil"/>
              <w:tr2bl w:val="nil"/>
            </w:tcBorders>
            <w:shd w:val="clear" w:color="auto" w:fill="FFFFFF"/>
            <w:tcMar>
              <w:left w:w="101" w:type="dxa"/>
              <w:right w:w="101" w:type="dxa"/>
            </w:tcMar>
            <w:vAlign w:val="bottom"/>
          </w:tcPr>
          <w:p w14:paraId="334D764F" w14:textId="77777777" w:rsidR="00724034" w:rsidRDefault="00FB7D0B">
            <w:pPr>
              <w:rPr>
                <w:rFonts w:ascii="Arial" w:eastAsia="Arial" w:hAnsi="Arial" w:cs="Arial"/>
                <w:color w:val="000000"/>
                <w:sz w:val="16"/>
              </w:rPr>
            </w:pPr>
            <w:r>
              <w:rPr>
                <w:rFonts w:ascii="Arial" w:eastAsia="Arial" w:hAnsi="Arial" w:cs="Arial"/>
                <w:color w:val="000000"/>
                <w:sz w:val="16"/>
              </w:rPr>
              <w:t>Community Care Grants</w:t>
            </w:r>
          </w:p>
        </w:tc>
        <w:tc>
          <w:tcPr>
            <w:tcW w:w="0" w:type="auto"/>
            <w:tcBorders>
              <w:top w:val="nil"/>
              <w:left w:val="nil"/>
              <w:bottom w:val="nil"/>
              <w:right w:val="nil"/>
              <w:tl2br w:val="nil"/>
              <w:tr2bl w:val="nil"/>
            </w:tcBorders>
            <w:shd w:val="clear" w:color="auto" w:fill="FFFFFF"/>
            <w:tcMar>
              <w:left w:w="101" w:type="dxa"/>
              <w:right w:w="101" w:type="dxa"/>
            </w:tcMar>
            <w:vAlign w:val="bottom"/>
          </w:tcPr>
          <w:p w14:paraId="3DC07AD5" w14:textId="77777777" w:rsidR="00724034" w:rsidRDefault="00FB7D0B">
            <w:pPr>
              <w:jc w:val="right"/>
              <w:rPr>
                <w:rFonts w:ascii="Arial" w:eastAsia="Arial" w:hAnsi="Arial" w:cs="Arial"/>
                <w:color w:val="000000"/>
                <w:sz w:val="16"/>
                <w:vertAlign w:val="superscript"/>
              </w:rPr>
            </w:pPr>
            <w:r>
              <w:rPr>
                <w:rFonts w:ascii="Arial" w:eastAsia="Arial" w:hAnsi="Arial" w:cs="Arial"/>
                <w:color w:val="000000"/>
                <w:sz w:val="16"/>
              </w:rPr>
              <w:t xml:space="preserve"> 631 </w:t>
            </w:r>
          </w:p>
        </w:tc>
        <w:tc>
          <w:tcPr>
            <w:tcW w:w="0" w:type="auto"/>
            <w:tcBorders>
              <w:top w:val="nil"/>
              <w:left w:val="nil"/>
              <w:bottom w:val="nil"/>
              <w:right w:val="nil"/>
              <w:tl2br w:val="nil"/>
              <w:tr2bl w:val="nil"/>
            </w:tcBorders>
            <w:shd w:val="clear" w:color="auto" w:fill="FFFF00"/>
            <w:tcMar>
              <w:left w:w="101" w:type="dxa"/>
              <w:right w:w="101" w:type="dxa"/>
            </w:tcMar>
            <w:vAlign w:val="bottom"/>
          </w:tcPr>
          <w:p w14:paraId="1C3517D2" w14:textId="77777777" w:rsidR="00724034" w:rsidRDefault="00FB7D0B">
            <w:pPr>
              <w:jc w:val="right"/>
              <w:rPr>
                <w:rFonts w:ascii="Arial" w:eastAsia="Arial" w:hAnsi="Arial" w:cs="Arial"/>
                <w:color w:val="000000"/>
                <w:sz w:val="16"/>
              </w:rPr>
            </w:pPr>
            <w:r>
              <w:rPr>
                <w:rFonts w:ascii="Arial" w:eastAsia="Arial" w:hAnsi="Arial" w:cs="Arial"/>
                <w:color w:val="000000"/>
                <w:sz w:val="16"/>
              </w:rPr>
              <w:t xml:space="preserve"> 630 </w:t>
            </w:r>
          </w:p>
        </w:tc>
        <w:tc>
          <w:tcPr>
            <w:tcW w:w="0" w:type="auto"/>
            <w:tcBorders>
              <w:top w:val="nil"/>
              <w:left w:val="nil"/>
              <w:bottom w:val="nil"/>
              <w:right w:val="nil"/>
              <w:tl2br w:val="nil"/>
              <w:tr2bl w:val="nil"/>
            </w:tcBorders>
            <w:shd w:val="clear" w:color="auto" w:fill="FFFFFF"/>
            <w:tcMar>
              <w:left w:w="101" w:type="dxa"/>
              <w:right w:w="101" w:type="dxa"/>
            </w:tcMar>
            <w:vAlign w:val="bottom"/>
          </w:tcPr>
          <w:p w14:paraId="3BDF8FFB" w14:textId="77777777" w:rsidR="00724034" w:rsidRDefault="00FB7D0B">
            <w:pPr>
              <w:jc w:val="right"/>
              <w:rPr>
                <w:rFonts w:ascii="Arial" w:eastAsia="Arial" w:hAnsi="Arial" w:cs="Arial"/>
                <w:color w:val="000000"/>
                <w:sz w:val="16"/>
              </w:rPr>
            </w:pPr>
            <w:r>
              <w:rPr>
                <w:rFonts w:ascii="Arial" w:eastAsia="Arial" w:hAnsi="Arial" w:cs="Arial"/>
                <w:color w:val="000000"/>
                <w:sz w:val="16"/>
              </w:rPr>
              <w:t xml:space="preserve"> 627 </w:t>
            </w:r>
          </w:p>
        </w:tc>
        <w:tc>
          <w:tcPr>
            <w:tcW w:w="0" w:type="auto"/>
            <w:tcBorders>
              <w:top w:val="nil"/>
              <w:left w:val="nil"/>
              <w:bottom w:val="nil"/>
              <w:right w:val="nil"/>
              <w:tl2br w:val="nil"/>
              <w:tr2bl w:val="nil"/>
            </w:tcBorders>
            <w:shd w:val="clear" w:color="auto" w:fill="FFFFFF"/>
            <w:tcMar>
              <w:left w:w="101" w:type="dxa"/>
              <w:right w:w="101" w:type="dxa"/>
            </w:tcMar>
            <w:vAlign w:val="bottom"/>
          </w:tcPr>
          <w:p w14:paraId="0AA36EF9" w14:textId="77777777" w:rsidR="00724034" w:rsidRDefault="00FB7D0B">
            <w:pPr>
              <w:jc w:val="right"/>
              <w:rPr>
                <w:rFonts w:ascii="Arial" w:eastAsia="Arial" w:hAnsi="Arial" w:cs="Arial"/>
                <w:color w:val="000000"/>
                <w:sz w:val="16"/>
              </w:rPr>
            </w:pPr>
            <w:r>
              <w:rPr>
                <w:rFonts w:ascii="Arial" w:eastAsia="Arial" w:hAnsi="Arial" w:cs="Arial"/>
                <w:color w:val="000000"/>
                <w:sz w:val="16"/>
              </w:rPr>
              <w:t xml:space="preserve"> 638 </w:t>
            </w:r>
          </w:p>
        </w:tc>
        <w:tc>
          <w:tcPr>
            <w:tcW w:w="0" w:type="auto"/>
            <w:tcBorders>
              <w:top w:val="nil"/>
              <w:left w:val="nil"/>
              <w:bottom w:val="nil"/>
              <w:right w:val="single" w:sz="6" w:space="0" w:color="000000"/>
              <w:tl2br w:val="nil"/>
              <w:tr2bl w:val="nil"/>
            </w:tcBorders>
            <w:shd w:val="clear" w:color="auto" w:fill="FFFFFF"/>
            <w:tcMar>
              <w:left w:w="101" w:type="dxa"/>
              <w:right w:w="101" w:type="dxa"/>
            </w:tcMar>
            <w:vAlign w:val="bottom"/>
          </w:tcPr>
          <w:p w14:paraId="3AE4F151" w14:textId="77777777" w:rsidR="00724034" w:rsidRDefault="00FB7D0B">
            <w:pPr>
              <w:jc w:val="right"/>
              <w:rPr>
                <w:rFonts w:ascii="Arial" w:eastAsia="Arial" w:hAnsi="Arial" w:cs="Arial"/>
                <w:color w:val="000000"/>
                <w:sz w:val="16"/>
              </w:rPr>
            </w:pPr>
            <w:r>
              <w:rPr>
                <w:rFonts w:ascii="Arial" w:eastAsia="Arial" w:hAnsi="Arial" w:cs="Arial"/>
                <w:color w:val="000000"/>
                <w:sz w:val="16"/>
              </w:rPr>
              <w:t xml:space="preserve"> 647 </w:t>
            </w:r>
          </w:p>
        </w:tc>
      </w:tr>
      <w:tr w:rsidR="00724034" w14:paraId="2269DCA9" w14:textId="77777777">
        <w:tblPrEx>
          <w:shd w:val="clear" w:color="auto" w:fill="auto"/>
          <w:tblLook w:val="04A0" w:firstRow="1" w:lastRow="0" w:firstColumn="1" w:lastColumn="0" w:noHBand="0" w:noVBand="1"/>
        </w:tblPrEx>
        <w:trPr>
          <w:gridAfter w:val="1"/>
          <w:wAfter w:w="10" w:type="dxa"/>
          <w:trHeight w:val="225"/>
        </w:trPr>
        <w:tc>
          <w:tcPr>
            <w:tcW w:w="0" w:type="auto"/>
            <w:tcBorders>
              <w:top w:val="nil"/>
              <w:left w:val="single" w:sz="6" w:space="0" w:color="000000"/>
              <w:bottom w:val="nil"/>
              <w:right w:val="nil"/>
              <w:tl2br w:val="nil"/>
              <w:tr2bl w:val="nil"/>
            </w:tcBorders>
            <w:shd w:val="clear" w:color="auto" w:fill="FFFFFF"/>
            <w:tcMar>
              <w:left w:w="101" w:type="dxa"/>
              <w:right w:w="101" w:type="dxa"/>
            </w:tcMar>
            <w:vAlign w:val="bottom"/>
          </w:tcPr>
          <w:p w14:paraId="3AD1AB1A" w14:textId="77777777" w:rsidR="00724034" w:rsidRDefault="00724034">
            <w:pPr>
              <w:rPr>
                <w:rFonts w:ascii="Arial" w:eastAsia="Arial" w:hAnsi="Arial" w:cs="Arial"/>
                <w:color w:val="000000"/>
                <w:sz w:val="16"/>
              </w:rPr>
            </w:pPr>
          </w:p>
        </w:tc>
        <w:tc>
          <w:tcPr>
            <w:tcW w:w="0" w:type="auto"/>
            <w:tcBorders>
              <w:top w:val="nil"/>
              <w:left w:val="nil"/>
              <w:bottom w:val="nil"/>
              <w:right w:val="nil"/>
              <w:tl2br w:val="nil"/>
              <w:tr2bl w:val="nil"/>
            </w:tcBorders>
            <w:shd w:val="clear" w:color="auto" w:fill="FFFFFF"/>
            <w:tcMar>
              <w:left w:w="101" w:type="dxa"/>
              <w:right w:w="101" w:type="dxa"/>
            </w:tcMar>
            <w:vAlign w:val="bottom"/>
          </w:tcPr>
          <w:p w14:paraId="189DCE1A" w14:textId="77777777" w:rsidR="00724034" w:rsidRDefault="00724034">
            <w:pPr>
              <w:rPr>
                <w:rFonts w:ascii="Arial" w:eastAsia="Arial" w:hAnsi="Arial" w:cs="Arial"/>
                <w:color w:val="000000"/>
                <w:sz w:val="16"/>
              </w:rPr>
            </w:pPr>
          </w:p>
        </w:tc>
        <w:tc>
          <w:tcPr>
            <w:tcW w:w="0" w:type="auto"/>
            <w:tcBorders>
              <w:top w:val="nil"/>
              <w:left w:val="nil"/>
              <w:bottom w:val="nil"/>
              <w:right w:val="nil"/>
              <w:tl2br w:val="nil"/>
              <w:tr2bl w:val="nil"/>
            </w:tcBorders>
            <w:shd w:val="clear" w:color="auto" w:fill="FFFFFF"/>
            <w:tcMar>
              <w:left w:w="101" w:type="dxa"/>
              <w:right w:w="101" w:type="dxa"/>
            </w:tcMar>
            <w:vAlign w:val="bottom"/>
          </w:tcPr>
          <w:p w14:paraId="78F8841F" w14:textId="77777777" w:rsidR="00724034" w:rsidRDefault="00FB7D0B">
            <w:pPr>
              <w:rPr>
                <w:rFonts w:ascii="Arial" w:eastAsia="Arial" w:hAnsi="Arial" w:cs="Arial"/>
                <w:color w:val="000000"/>
                <w:sz w:val="16"/>
              </w:rPr>
            </w:pPr>
            <w:r>
              <w:rPr>
                <w:rFonts w:ascii="Arial" w:eastAsia="Arial" w:hAnsi="Arial" w:cs="Arial"/>
                <w:color w:val="000000"/>
                <w:sz w:val="16"/>
              </w:rPr>
              <w:t>Joint Venture Grants</w:t>
            </w:r>
          </w:p>
        </w:tc>
        <w:tc>
          <w:tcPr>
            <w:tcW w:w="0" w:type="auto"/>
            <w:tcBorders>
              <w:top w:val="nil"/>
              <w:left w:val="nil"/>
              <w:bottom w:val="nil"/>
              <w:right w:val="nil"/>
              <w:tl2br w:val="nil"/>
              <w:tr2bl w:val="nil"/>
            </w:tcBorders>
            <w:shd w:val="clear" w:color="auto" w:fill="FFFFFF"/>
            <w:tcMar>
              <w:left w:w="101" w:type="dxa"/>
              <w:right w:w="101" w:type="dxa"/>
            </w:tcMar>
            <w:vAlign w:val="bottom"/>
          </w:tcPr>
          <w:p w14:paraId="70F1A0CE" w14:textId="77777777" w:rsidR="00724034" w:rsidRDefault="00FB7D0B">
            <w:pPr>
              <w:jc w:val="right"/>
              <w:rPr>
                <w:rFonts w:ascii="Arial" w:eastAsia="Arial" w:hAnsi="Arial" w:cs="Arial"/>
                <w:color w:val="000000"/>
                <w:sz w:val="16"/>
                <w:vertAlign w:val="superscript"/>
              </w:rPr>
            </w:pPr>
            <w:r>
              <w:rPr>
                <w:rFonts w:ascii="Arial" w:eastAsia="Arial" w:hAnsi="Arial" w:cs="Arial"/>
                <w:color w:val="000000"/>
                <w:sz w:val="16"/>
              </w:rPr>
              <w:t xml:space="preserve"> 1,111 </w:t>
            </w:r>
          </w:p>
        </w:tc>
        <w:tc>
          <w:tcPr>
            <w:tcW w:w="0" w:type="auto"/>
            <w:tcBorders>
              <w:top w:val="nil"/>
              <w:left w:val="nil"/>
              <w:bottom w:val="nil"/>
              <w:right w:val="nil"/>
              <w:tl2br w:val="nil"/>
              <w:tr2bl w:val="nil"/>
            </w:tcBorders>
            <w:shd w:val="clear" w:color="auto" w:fill="FFFF00"/>
            <w:tcMar>
              <w:left w:w="101" w:type="dxa"/>
              <w:right w:w="101" w:type="dxa"/>
            </w:tcMar>
            <w:vAlign w:val="bottom"/>
          </w:tcPr>
          <w:p w14:paraId="00B2EF4F" w14:textId="77777777" w:rsidR="00724034" w:rsidRDefault="00FB7D0B">
            <w:pPr>
              <w:jc w:val="right"/>
              <w:rPr>
                <w:rFonts w:ascii="Arial" w:eastAsia="Arial" w:hAnsi="Arial" w:cs="Arial"/>
                <w:color w:val="000000"/>
                <w:sz w:val="16"/>
              </w:rPr>
            </w:pPr>
            <w:r>
              <w:rPr>
                <w:rFonts w:ascii="Arial" w:eastAsia="Arial" w:hAnsi="Arial" w:cs="Arial"/>
                <w:color w:val="000000"/>
                <w:sz w:val="16"/>
              </w:rPr>
              <w:t xml:space="preserve"> 1,110 </w:t>
            </w:r>
          </w:p>
        </w:tc>
        <w:tc>
          <w:tcPr>
            <w:tcW w:w="0" w:type="auto"/>
            <w:tcBorders>
              <w:top w:val="nil"/>
              <w:left w:val="nil"/>
              <w:bottom w:val="nil"/>
              <w:right w:val="nil"/>
              <w:tl2br w:val="nil"/>
              <w:tr2bl w:val="nil"/>
            </w:tcBorders>
            <w:shd w:val="clear" w:color="auto" w:fill="FFFFFF"/>
            <w:tcMar>
              <w:left w:w="101" w:type="dxa"/>
              <w:right w:w="101" w:type="dxa"/>
            </w:tcMar>
            <w:vAlign w:val="bottom"/>
          </w:tcPr>
          <w:p w14:paraId="6B934F89" w14:textId="77777777" w:rsidR="00724034" w:rsidRDefault="00FB7D0B">
            <w:pPr>
              <w:jc w:val="right"/>
              <w:rPr>
                <w:rFonts w:ascii="Arial" w:eastAsia="Arial" w:hAnsi="Arial" w:cs="Arial"/>
                <w:color w:val="000000"/>
                <w:sz w:val="16"/>
              </w:rPr>
            </w:pPr>
            <w:r>
              <w:rPr>
                <w:rFonts w:ascii="Arial" w:eastAsia="Arial" w:hAnsi="Arial" w:cs="Arial"/>
                <w:color w:val="000000"/>
                <w:sz w:val="16"/>
              </w:rPr>
              <w:t xml:space="preserve"> 1,106 </w:t>
            </w:r>
          </w:p>
        </w:tc>
        <w:tc>
          <w:tcPr>
            <w:tcW w:w="0" w:type="auto"/>
            <w:tcBorders>
              <w:top w:val="nil"/>
              <w:left w:val="nil"/>
              <w:bottom w:val="nil"/>
              <w:right w:val="nil"/>
              <w:tl2br w:val="nil"/>
              <w:tr2bl w:val="nil"/>
            </w:tcBorders>
            <w:shd w:val="clear" w:color="auto" w:fill="FFFFFF"/>
            <w:tcMar>
              <w:left w:w="101" w:type="dxa"/>
              <w:right w:w="101" w:type="dxa"/>
            </w:tcMar>
            <w:vAlign w:val="bottom"/>
          </w:tcPr>
          <w:p w14:paraId="0D5F3090" w14:textId="77777777" w:rsidR="00724034" w:rsidRDefault="00FB7D0B">
            <w:pPr>
              <w:jc w:val="right"/>
              <w:rPr>
                <w:rFonts w:ascii="Arial" w:eastAsia="Arial" w:hAnsi="Arial" w:cs="Arial"/>
                <w:color w:val="000000"/>
                <w:sz w:val="16"/>
              </w:rPr>
            </w:pPr>
            <w:r>
              <w:rPr>
                <w:rFonts w:ascii="Arial" w:eastAsia="Arial" w:hAnsi="Arial" w:cs="Arial"/>
                <w:color w:val="000000"/>
                <w:sz w:val="16"/>
              </w:rPr>
              <w:t xml:space="preserve"> 1,126 </w:t>
            </w:r>
          </w:p>
        </w:tc>
        <w:tc>
          <w:tcPr>
            <w:tcW w:w="0" w:type="auto"/>
            <w:tcBorders>
              <w:top w:val="nil"/>
              <w:left w:val="nil"/>
              <w:bottom w:val="nil"/>
              <w:right w:val="single" w:sz="6" w:space="0" w:color="000000"/>
              <w:tl2br w:val="nil"/>
              <w:tr2bl w:val="nil"/>
            </w:tcBorders>
            <w:shd w:val="clear" w:color="auto" w:fill="FFFFFF"/>
            <w:tcMar>
              <w:left w:w="101" w:type="dxa"/>
              <w:right w:w="101" w:type="dxa"/>
            </w:tcMar>
            <w:vAlign w:val="bottom"/>
          </w:tcPr>
          <w:p w14:paraId="17D6B1A6" w14:textId="77777777" w:rsidR="00724034" w:rsidRDefault="00FB7D0B">
            <w:pPr>
              <w:jc w:val="right"/>
              <w:rPr>
                <w:rFonts w:ascii="Arial" w:eastAsia="Arial" w:hAnsi="Arial" w:cs="Arial"/>
                <w:color w:val="000000"/>
                <w:sz w:val="16"/>
              </w:rPr>
            </w:pPr>
            <w:r>
              <w:rPr>
                <w:rFonts w:ascii="Arial" w:eastAsia="Arial" w:hAnsi="Arial" w:cs="Arial"/>
                <w:color w:val="000000"/>
                <w:sz w:val="16"/>
              </w:rPr>
              <w:t xml:space="preserve"> 1,142 </w:t>
            </w:r>
          </w:p>
        </w:tc>
      </w:tr>
      <w:tr w:rsidR="00724034" w14:paraId="225394FC" w14:textId="77777777">
        <w:tblPrEx>
          <w:shd w:val="clear" w:color="auto" w:fill="auto"/>
          <w:tblLook w:val="04A0" w:firstRow="1" w:lastRow="0" w:firstColumn="1" w:lastColumn="0" w:noHBand="0" w:noVBand="1"/>
        </w:tblPrEx>
        <w:trPr>
          <w:gridAfter w:val="1"/>
          <w:wAfter w:w="10" w:type="dxa"/>
          <w:trHeight w:val="225"/>
        </w:trPr>
        <w:tc>
          <w:tcPr>
            <w:tcW w:w="0" w:type="auto"/>
            <w:tcBorders>
              <w:top w:val="nil"/>
              <w:left w:val="single" w:sz="6" w:space="0" w:color="000000"/>
              <w:bottom w:val="nil"/>
              <w:right w:val="nil"/>
              <w:tl2br w:val="nil"/>
              <w:tr2bl w:val="nil"/>
            </w:tcBorders>
            <w:shd w:val="clear" w:color="auto" w:fill="FFFFFF"/>
            <w:tcMar>
              <w:left w:w="101" w:type="dxa"/>
              <w:right w:w="101" w:type="dxa"/>
            </w:tcMar>
            <w:vAlign w:val="bottom"/>
          </w:tcPr>
          <w:p w14:paraId="52431171" w14:textId="77777777" w:rsidR="00724034" w:rsidRDefault="00724034">
            <w:pPr>
              <w:rPr>
                <w:rFonts w:ascii="Arial" w:eastAsia="Arial" w:hAnsi="Arial" w:cs="Arial"/>
                <w:color w:val="000000"/>
                <w:sz w:val="16"/>
              </w:rPr>
            </w:pPr>
          </w:p>
        </w:tc>
        <w:tc>
          <w:tcPr>
            <w:tcW w:w="0" w:type="auto"/>
            <w:tcBorders>
              <w:top w:val="nil"/>
              <w:left w:val="nil"/>
              <w:bottom w:val="nil"/>
              <w:right w:val="nil"/>
              <w:tl2br w:val="nil"/>
              <w:tr2bl w:val="nil"/>
            </w:tcBorders>
            <w:shd w:val="clear" w:color="auto" w:fill="FFFFFF"/>
            <w:tcMar>
              <w:left w:w="101" w:type="dxa"/>
              <w:right w:w="101" w:type="dxa"/>
            </w:tcMar>
            <w:vAlign w:val="bottom"/>
          </w:tcPr>
          <w:p w14:paraId="7200F1EA" w14:textId="77777777" w:rsidR="00724034" w:rsidRDefault="00724034">
            <w:pPr>
              <w:rPr>
                <w:rFonts w:ascii="Arial" w:eastAsia="Arial" w:hAnsi="Arial" w:cs="Arial"/>
                <w:color w:val="000000"/>
                <w:sz w:val="16"/>
              </w:rPr>
            </w:pPr>
          </w:p>
        </w:tc>
        <w:tc>
          <w:tcPr>
            <w:tcW w:w="0" w:type="auto"/>
            <w:tcBorders>
              <w:top w:val="nil"/>
              <w:left w:val="nil"/>
              <w:bottom w:val="nil"/>
              <w:right w:val="nil"/>
              <w:tl2br w:val="nil"/>
              <w:tr2bl w:val="nil"/>
            </w:tcBorders>
            <w:shd w:val="clear" w:color="auto" w:fill="FFFFFF"/>
            <w:tcMar>
              <w:left w:w="101" w:type="dxa"/>
              <w:right w:w="101" w:type="dxa"/>
            </w:tcMar>
            <w:vAlign w:val="bottom"/>
          </w:tcPr>
          <w:p w14:paraId="294DA45B" w14:textId="77777777" w:rsidR="00724034" w:rsidRDefault="00FB7D0B">
            <w:pPr>
              <w:rPr>
                <w:rFonts w:ascii="Arial" w:eastAsia="Arial" w:hAnsi="Arial" w:cs="Arial"/>
                <w:color w:val="000000"/>
                <w:sz w:val="16"/>
              </w:rPr>
            </w:pPr>
            <w:r>
              <w:rPr>
                <w:rFonts w:ascii="Arial" w:eastAsia="Arial" w:hAnsi="Arial" w:cs="Arial"/>
                <w:color w:val="000000"/>
                <w:sz w:val="16"/>
              </w:rPr>
              <w:t>JV Day Clubs</w:t>
            </w:r>
          </w:p>
        </w:tc>
        <w:tc>
          <w:tcPr>
            <w:tcW w:w="0" w:type="auto"/>
            <w:tcBorders>
              <w:top w:val="nil"/>
              <w:left w:val="nil"/>
              <w:bottom w:val="nil"/>
              <w:right w:val="nil"/>
              <w:tl2br w:val="nil"/>
              <w:tr2bl w:val="nil"/>
            </w:tcBorders>
            <w:shd w:val="clear" w:color="auto" w:fill="FFFFFF"/>
            <w:tcMar>
              <w:left w:w="101" w:type="dxa"/>
              <w:right w:w="101" w:type="dxa"/>
            </w:tcMar>
            <w:vAlign w:val="bottom"/>
          </w:tcPr>
          <w:p w14:paraId="22A704C3" w14:textId="77777777" w:rsidR="00724034" w:rsidRDefault="00FB7D0B">
            <w:pPr>
              <w:jc w:val="right"/>
              <w:rPr>
                <w:rFonts w:ascii="Arial" w:eastAsia="Arial" w:hAnsi="Arial" w:cs="Arial"/>
                <w:color w:val="000000"/>
                <w:sz w:val="16"/>
                <w:vertAlign w:val="superscript"/>
              </w:rPr>
            </w:pPr>
            <w:r>
              <w:rPr>
                <w:rFonts w:ascii="Arial" w:eastAsia="Arial" w:hAnsi="Arial" w:cs="Arial"/>
                <w:color w:val="000000"/>
                <w:sz w:val="16"/>
              </w:rPr>
              <w:t xml:space="preserve"> 390 </w:t>
            </w:r>
          </w:p>
        </w:tc>
        <w:tc>
          <w:tcPr>
            <w:tcW w:w="0" w:type="auto"/>
            <w:tcBorders>
              <w:top w:val="nil"/>
              <w:left w:val="nil"/>
              <w:bottom w:val="nil"/>
              <w:right w:val="nil"/>
              <w:tl2br w:val="nil"/>
              <w:tr2bl w:val="nil"/>
            </w:tcBorders>
            <w:shd w:val="clear" w:color="auto" w:fill="FFFF00"/>
            <w:tcMar>
              <w:left w:w="101" w:type="dxa"/>
              <w:right w:w="101" w:type="dxa"/>
            </w:tcMar>
            <w:vAlign w:val="bottom"/>
          </w:tcPr>
          <w:p w14:paraId="7C6E6E2D" w14:textId="77777777" w:rsidR="00724034" w:rsidRDefault="00FB7D0B">
            <w:pPr>
              <w:jc w:val="right"/>
              <w:rPr>
                <w:rFonts w:ascii="Arial" w:eastAsia="Arial" w:hAnsi="Arial" w:cs="Arial"/>
                <w:color w:val="000000"/>
                <w:sz w:val="16"/>
              </w:rPr>
            </w:pPr>
            <w:r>
              <w:rPr>
                <w:rFonts w:ascii="Arial" w:eastAsia="Arial" w:hAnsi="Arial" w:cs="Arial"/>
                <w:color w:val="000000"/>
                <w:sz w:val="16"/>
              </w:rPr>
              <w:t xml:space="preserve"> 381 </w:t>
            </w:r>
          </w:p>
        </w:tc>
        <w:tc>
          <w:tcPr>
            <w:tcW w:w="0" w:type="auto"/>
            <w:tcBorders>
              <w:top w:val="nil"/>
              <w:left w:val="nil"/>
              <w:bottom w:val="nil"/>
              <w:right w:val="nil"/>
              <w:tl2br w:val="nil"/>
              <w:tr2bl w:val="nil"/>
            </w:tcBorders>
            <w:shd w:val="clear" w:color="auto" w:fill="FFFFFF"/>
            <w:tcMar>
              <w:left w:w="101" w:type="dxa"/>
              <w:right w:w="101" w:type="dxa"/>
            </w:tcMar>
            <w:vAlign w:val="bottom"/>
          </w:tcPr>
          <w:p w14:paraId="33859D2C" w14:textId="77777777" w:rsidR="00724034" w:rsidRDefault="00FB7D0B">
            <w:pPr>
              <w:jc w:val="right"/>
              <w:rPr>
                <w:rFonts w:ascii="Arial" w:eastAsia="Arial" w:hAnsi="Arial" w:cs="Arial"/>
                <w:color w:val="000000"/>
                <w:sz w:val="16"/>
              </w:rPr>
            </w:pPr>
            <w:r>
              <w:rPr>
                <w:rFonts w:ascii="Arial" w:eastAsia="Arial" w:hAnsi="Arial" w:cs="Arial"/>
                <w:color w:val="000000"/>
                <w:sz w:val="16"/>
              </w:rPr>
              <w:t xml:space="preserve"> 368 </w:t>
            </w:r>
          </w:p>
        </w:tc>
        <w:tc>
          <w:tcPr>
            <w:tcW w:w="0" w:type="auto"/>
            <w:tcBorders>
              <w:top w:val="nil"/>
              <w:left w:val="nil"/>
              <w:bottom w:val="nil"/>
              <w:right w:val="nil"/>
              <w:tl2br w:val="nil"/>
              <w:tr2bl w:val="nil"/>
            </w:tcBorders>
            <w:shd w:val="clear" w:color="auto" w:fill="FFFFFF"/>
            <w:tcMar>
              <w:left w:w="101" w:type="dxa"/>
              <w:right w:w="101" w:type="dxa"/>
            </w:tcMar>
            <w:vAlign w:val="bottom"/>
          </w:tcPr>
          <w:p w14:paraId="27EB7F52" w14:textId="77777777" w:rsidR="00724034" w:rsidRDefault="00FB7D0B">
            <w:pPr>
              <w:jc w:val="right"/>
              <w:rPr>
                <w:rFonts w:ascii="Arial" w:eastAsia="Arial" w:hAnsi="Arial" w:cs="Arial"/>
                <w:color w:val="000000"/>
                <w:sz w:val="16"/>
              </w:rPr>
            </w:pPr>
            <w:r>
              <w:rPr>
                <w:rFonts w:ascii="Arial" w:eastAsia="Arial" w:hAnsi="Arial" w:cs="Arial"/>
                <w:color w:val="000000"/>
                <w:sz w:val="16"/>
              </w:rPr>
              <w:t xml:space="preserve"> 375 </w:t>
            </w:r>
          </w:p>
        </w:tc>
        <w:tc>
          <w:tcPr>
            <w:tcW w:w="0" w:type="auto"/>
            <w:tcBorders>
              <w:top w:val="nil"/>
              <w:left w:val="nil"/>
              <w:bottom w:val="nil"/>
              <w:right w:val="single" w:sz="6" w:space="0" w:color="000000"/>
              <w:tl2br w:val="nil"/>
              <w:tr2bl w:val="nil"/>
            </w:tcBorders>
            <w:shd w:val="clear" w:color="auto" w:fill="FFFFFF"/>
            <w:tcMar>
              <w:left w:w="101" w:type="dxa"/>
              <w:right w:w="101" w:type="dxa"/>
            </w:tcMar>
            <w:vAlign w:val="bottom"/>
          </w:tcPr>
          <w:p w14:paraId="10803A91" w14:textId="77777777" w:rsidR="00724034" w:rsidRDefault="00FB7D0B">
            <w:pPr>
              <w:jc w:val="right"/>
              <w:rPr>
                <w:rFonts w:ascii="Arial" w:eastAsia="Arial" w:hAnsi="Arial" w:cs="Arial"/>
                <w:color w:val="000000"/>
                <w:sz w:val="16"/>
              </w:rPr>
            </w:pPr>
            <w:r>
              <w:rPr>
                <w:rFonts w:ascii="Arial" w:eastAsia="Arial" w:hAnsi="Arial" w:cs="Arial"/>
                <w:color w:val="000000"/>
                <w:sz w:val="16"/>
              </w:rPr>
              <w:t xml:space="preserve"> 401 </w:t>
            </w:r>
          </w:p>
        </w:tc>
      </w:tr>
      <w:tr w:rsidR="00724034" w14:paraId="3EACDC0A" w14:textId="77777777">
        <w:tblPrEx>
          <w:shd w:val="clear" w:color="auto" w:fill="auto"/>
          <w:tblLook w:val="04A0" w:firstRow="1" w:lastRow="0" w:firstColumn="1" w:lastColumn="0" w:noHBand="0" w:noVBand="1"/>
        </w:tblPrEx>
        <w:trPr>
          <w:gridAfter w:val="1"/>
          <w:wAfter w:w="10" w:type="dxa"/>
          <w:trHeight w:val="225"/>
        </w:trPr>
        <w:tc>
          <w:tcPr>
            <w:tcW w:w="0" w:type="auto"/>
            <w:tcBorders>
              <w:top w:val="nil"/>
              <w:left w:val="single" w:sz="6" w:space="0" w:color="000000"/>
              <w:bottom w:val="nil"/>
              <w:right w:val="nil"/>
              <w:tl2br w:val="nil"/>
              <w:tr2bl w:val="nil"/>
            </w:tcBorders>
            <w:shd w:val="clear" w:color="auto" w:fill="FFFFFF"/>
            <w:tcMar>
              <w:left w:w="101" w:type="dxa"/>
              <w:right w:w="101" w:type="dxa"/>
            </w:tcMar>
            <w:vAlign w:val="bottom"/>
          </w:tcPr>
          <w:p w14:paraId="7B8745E2" w14:textId="77777777" w:rsidR="00724034" w:rsidRDefault="00724034">
            <w:pPr>
              <w:rPr>
                <w:rFonts w:ascii="Arial" w:eastAsia="Arial" w:hAnsi="Arial" w:cs="Arial"/>
                <w:color w:val="000000"/>
                <w:sz w:val="16"/>
              </w:rPr>
            </w:pPr>
          </w:p>
        </w:tc>
        <w:tc>
          <w:tcPr>
            <w:tcW w:w="0" w:type="auto"/>
            <w:tcBorders>
              <w:top w:val="nil"/>
              <w:left w:val="nil"/>
              <w:bottom w:val="nil"/>
              <w:right w:val="nil"/>
              <w:tl2br w:val="nil"/>
              <w:tr2bl w:val="nil"/>
            </w:tcBorders>
            <w:shd w:val="clear" w:color="auto" w:fill="FFFFFF"/>
            <w:tcMar>
              <w:left w:w="101" w:type="dxa"/>
              <w:right w:w="101" w:type="dxa"/>
            </w:tcMar>
            <w:vAlign w:val="bottom"/>
          </w:tcPr>
          <w:p w14:paraId="0F90F41A" w14:textId="77777777" w:rsidR="00724034" w:rsidRDefault="00724034">
            <w:pPr>
              <w:rPr>
                <w:rFonts w:ascii="Arial" w:eastAsia="Arial" w:hAnsi="Arial" w:cs="Arial"/>
                <w:color w:val="000000"/>
                <w:sz w:val="16"/>
              </w:rPr>
            </w:pPr>
          </w:p>
        </w:tc>
        <w:tc>
          <w:tcPr>
            <w:tcW w:w="0" w:type="auto"/>
            <w:tcBorders>
              <w:top w:val="nil"/>
              <w:left w:val="nil"/>
              <w:bottom w:val="nil"/>
              <w:right w:val="nil"/>
              <w:tl2br w:val="nil"/>
              <w:tr2bl w:val="nil"/>
            </w:tcBorders>
            <w:shd w:val="clear" w:color="auto" w:fill="FFFFFF"/>
            <w:tcMar>
              <w:left w:w="101" w:type="dxa"/>
              <w:right w:w="101" w:type="dxa"/>
            </w:tcMar>
            <w:vAlign w:val="bottom"/>
          </w:tcPr>
          <w:p w14:paraId="46F14CCE" w14:textId="77777777" w:rsidR="00724034" w:rsidRDefault="00FB7D0B">
            <w:pPr>
              <w:rPr>
                <w:rFonts w:ascii="Arial" w:eastAsia="Arial" w:hAnsi="Arial" w:cs="Arial"/>
                <w:color w:val="000000"/>
                <w:sz w:val="16"/>
              </w:rPr>
            </w:pPr>
            <w:r>
              <w:rPr>
                <w:rFonts w:ascii="Arial" w:eastAsia="Arial" w:hAnsi="Arial" w:cs="Arial"/>
                <w:color w:val="000000"/>
                <w:sz w:val="16"/>
              </w:rPr>
              <w:t>JV Home Maintenance</w:t>
            </w:r>
          </w:p>
        </w:tc>
        <w:tc>
          <w:tcPr>
            <w:tcW w:w="0" w:type="auto"/>
            <w:tcBorders>
              <w:top w:val="nil"/>
              <w:left w:val="nil"/>
              <w:bottom w:val="nil"/>
              <w:right w:val="nil"/>
              <w:tl2br w:val="nil"/>
              <w:tr2bl w:val="nil"/>
            </w:tcBorders>
            <w:shd w:val="clear" w:color="auto" w:fill="FFFFFF"/>
            <w:tcMar>
              <w:left w:w="101" w:type="dxa"/>
              <w:right w:w="101" w:type="dxa"/>
            </w:tcMar>
            <w:vAlign w:val="bottom"/>
          </w:tcPr>
          <w:p w14:paraId="321C5FFE" w14:textId="77777777" w:rsidR="00724034" w:rsidRDefault="00FB7D0B">
            <w:pPr>
              <w:jc w:val="right"/>
              <w:rPr>
                <w:rFonts w:ascii="Arial" w:eastAsia="Arial" w:hAnsi="Arial" w:cs="Arial"/>
                <w:color w:val="000000"/>
                <w:sz w:val="16"/>
                <w:vertAlign w:val="superscript"/>
              </w:rPr>
            </w:pPr>
            <w:r>
              <w:rPr>
                <w:rFonts w:ascii="Arial" w:eastAsia="Arial" w:hAnsi="Arial" w:cs="Arial"/>
                <w:color w:val="000000"/>
                <w:sz w:val="16"/>
              </w:rPr>
              <w:t xml:space="preserve"> 391 </w:t>
            </w:r>
          </w:p>
        </w:tc>
        <w:tc>
          <w:tcPr>
            <w:tcW w:w="0" w:type="auto"/>
            <w:tcBorders>
              <w:top w:val="nil"/>
              <w:left w:val="nil"/>
              <w:bottom w:val="nil"/>
              <w:right w:val="nil"/>
              <w:tl2br w:val="nil"/>
              <w:tr2bl w:val="nil"/>
            </w:tcBorders>
            <w:shd w:val="clear" w:color="auto" w:fill="FFFF00"/>
            <w:tcMar>
              <w:left w:w="101" w:type="dxa"/>
              <w:right w:w="101" w:type="dxa"/>
            </w:tcMar>
            <w:vAlign w:val="bottom"/>
          </w:tcPr>
          <w:p w14:paraId="059B4EFF" w14:textId="77777777" w:rsidR="00724034" w:rsidRDefault="00FB7D0B">
            <w:pPr>
              <w:jc w:val="right"/>
              <w:rPr>
                <w:rFonts w:ascii="Arial" w:eastAsia="Arial" w:hAnsi="Arial" w:cs="Arial"/>
                <w:color w:val="000000"/>
                <w:sz w:val="16"/>
              </w:rPr>
            </w:pPr>
            <w:r>
              <w:rPr>
                <w:rFonts w:ascii="Arial" w:eastAsia="Arial" w:hAnsi="Arial" w:cs="Arial"/>
                <w:color w:val="000000"/>
                <w:sz w:val="16"/>
              </w:rPr>
              <w:t xml:space="preserve"> 363 </w:t>
            </w:r>
          </w:p>
        </w:tc>
        <w:tc>
          <w:tcPr>
            <w:tcW w:w="0" w:type="auto"/>
            <w:tcBorders>
              <w:top w:val="nil"/>
              <w:left w:val="nil"/>
              <w:bottom w:val="nil"/>
              <w:right w:val="nil"/>
              <w:tl2br w:val="nil"/>
              <w:tr2bl w:val="nil"/>
            </w:tcBorders>
            <w:shd w:val="clear" w:color="auto" w:fill="FFFFFF"/>
            <w:tcMar>
              <w:left w:w="101" w:type="dxa"/>
              <w:right w:w="101" w:type="dxa"/>
            </w:tcMar>
            <w:vAlign w:val="bottom"/>
          </w:tcPr>
          <w:p w14:paraId="32323732" w14:textId="77777777" w:rsidR="00724034" w:rsidRDefault="00FB7D0B">
            <w:pPr>
              <w:jc w:val="right"/>
              <w:rPr>
                <w:rFonts w:ascii="Arial" w:eastAsia="Arial" w:hAnsi="Arial" w:cs="Arial"/>
                <w:color w:val="000000"/>
                <w:sz w:val="16"/>
              </w:rPr>
            </w:pPr>
            <w:r>
              <w:rPr>
                <w:rFonts w:ascii="Arial" w:eastAsia="Arial" w:hAnsi="Arial" w:cs="Arial"/>
                <w:color w:val="000000"/>
                <w:sz w:val="16"/>
              </w:rPr>
              <w:t xml:space="preserve"> 361 </w:t>
            </w:r>
          </w:p>
        </w:tc>
        <w:tc>
          <w:tcPr>
            <w:tcW w:w="0" w:type="auto"/>
            <w:tcBorders>
              <w:top w:val="nil"/>
              <w:left w:val="nil"/>
              <w:bottom w:val="nil"/>
              <w:right w:val="nil"/>
              <w:tl2br w:val="nil"/>
              <w:tr2bl w:val="nil"/>
            </w:tcBorders>
            <w:shd w:val="clear" w:color="auto" w:fill="FFFFFF"/>
            <w:tcMar>
              <w:left w:w="101" w:type="dxa"/>
              <w:right w:w="101" w:type="dxa"/>
            </w:tcMar>
            <w:vAlign w:val="bottom"/>
          </w:tcPr>
          <w:p w14:paraId="4B7C5999" w14:textId="77777777" w:rsidR="00724034" w:rsidRDefault="00FB7D0B">
            <w:pPr>
              <w:jc w:val="right"/>
              <w:rPr>
                <w:rFonts w:ascii="Arial" w:eastAsia="Arial" w:hAnsi="Arial" w:cs="Arial"/>
                <w:color w:val="000000"/>
                <w:sz w:val="16"/>
              </w:rPr>
            </w:pPr>
            <w:r>
              <w:rPr>
                <w:rFonts w:ascii="Arial" w:eastAsia="Arial" w:hAnsi="Arial" w:cs="Arial"/>
                <w:color w:val="000000"/>
                <w:sz w:val="16"/>
              </w:rPr>
              <w:t xml:space="preserve"> 367 </w:t>
            </w:r>
          </w:p>
        </w:tc>
        <w:tc>
          <w:tcPr>
            <w:tcW w:w="0" w:type="auto"/>
            <w:tcBorders>
              <w:top w:val="nil"/>
              <w:left w:val="nil"/>
              <w:bottom w:val="nil"/>
              <w:right w:val="single" w:sz="6" w:space="0" w:color="000000"/>
              <w:tl2br w:val="nil"/>
              <w:tr2bl w:val="nil"/>
            </w:tcBorders>
            <w:shd w:val="clear" w:color="auto" w:fill="FFFFFF"/>
            <w:tcMar>
              <w:left w:w="101" w:type="dxa"/>
              <w:right w:w="101" w:type="dxa"/>
            </w:tcMar>
            <w:vAlign w:val="bottom"/>
          </w:tcPr>
          <w:p w14:paraId="7C8613A7" w14:textId="77777777" w:rsidR="00724034" w:rsidRDefault="00FB7D0B">
            <w:pPr>
              <w:jc w:val="right"/>
              <w:rPr>
                <w:rFonts w:ascii="Arial" w:eastAsia="Arial" w:hAnsi="Arial" w:cs="Arial"/>
                <w:color w:val="000000"/>
                <w:sz w:val="16"/>
              </w:rPr>
            </w:pPr>
            <w:r>
              <w:rPr>
                <w:rFonts w:ascii="Arial" w:eastAsia="Arial" w:hAnsi="Arial" w:cs="Arial"/>
                <w:color w:val="000000"/>
                <w:sz w:val="16"/>
              </w:rPr>
              <w:t xml:space="preserve"> 374 </w:t>
            </w:r>
          </w:p>
        </w:tc>
      </w:tr>
      <w:tr w:rsidR="00FB7D0B" w14:paraId="34897E28" w14:textId="77777777" w:rsidTr="00FB7D0B">
        <w:tblPrEx>
          <w:shd w:val="clear" w:color="auto" w:fill="auto"/>
          <w:tblLook w:val="04A0" w:firstRow="1" w:lastRow="0" w:firstColumn="1" w:lastColumn="0" w:noHBand="0" w:noVBand="1"/>
        </w:tblPrEx>
        <w:trPr>
          <w:gridAfter w:val="1"/>
          <w:wAfter w:w="10" w:type="dxa"/>
          <w:trHeight w:val="225"/>
        </w:trPr>
        <w:tc>
          <w:tcPr>
            <w:tcW w:w="0" w:type="auto"/>
            <w:gridSpan w:val="3"/>
            <w:tcBorders>
              <w:top w:val="nil"/>
              <w:left w:val="single" w:sz="6" w:space="0" w:color="000000"/>
              <w:bottom w:val="nil"/>
              <w:right w:val="nil"/>
              <w:tl2br w:val="nil"/>
              <w:tr2bl w:val="nil"/>
            </w:tcBorders>
            <w:shd w:val="clear" w:color="auto" w:fill="FFFFFF"/>
            <w:tcMar>
              <w:left w:w="101" w:type="dxa"/>
              <w:right w:w="101" w:type="dxa"/>
            </w:tcMar>
            <w:vAlign w:val="bottom"/>
          </w:tcPr>
          <w:p w14:paraId="0882348B" w14:textId="77777777" w:rsidR="00724034" w:rsidRDefault="00FB7D0B">
            <w:pPr>
              <w:rPr>
                <w:rFonts w:ascii="Arial" w:eastAsia="Arial" w:hAnsi="Arial" w:cs="Arial"/>
                <w:color w:val="000000"/>
                <w:sz w:val="16"/>
              </w:rPr>
            </w:pPr>
            <w:r>
              <w:rPr>
                <w:rFonts w:ascii="Arial" w:eastAsia="Arial" w:hAnsi="Arial" w:cs="Arial"/>
                <w:color w:val="000000"/>
                <w:sz w:val="16"/>
              </w:rPr>
              <w:t>Special Appropriations:</w:t>
            </w:r>
          </w:p>
        </w:tc>
        <w:tc>
          <w:tcPr>
            <w:tcW w:w="0" w:type="auto"/>
            <w:tcBorders>
              <w:top w:val="nil"/>
              <w:left w:val="nil"/>
              <w:bottom w:val="nil"/>
              <w:right w:val="nil"/>
              <w:tl2br w:val="nil"/>
              <w:tr2bl w:val="nil"/>
            </w:tcBorders>
            <w:shd w:val="clear" w:color="auto" w:fill="FFFFFF"/>
            <w:tcMar>
              <w:left w:w="101" w:type="dxa"/>
              <w:right w:w="101" w:type="dxa"/>
            </w:tcMar>
            <w:vAlign w:val="bottom"/>
          </w:tcPr>
          <w:p w14:paraId="062661DC" w14:textId="77777777" w:rsidR="00724034" w:rsidRDefault="00724034">
            <w:pPr>
              <w:rPr>
                <w:rFonts w:ascii="Arial" w:eastAsia="Arial" w:hAnsi="Arial" w:cs="Arial"/>
                <w:color w:val="000000"/>
                <w:sz w:val="16"/>
                <w:vertAlign w:val="superscript"/>
              </w:rPr>
            </w:pPr>
          </w:p>
        </w:tc>
        <w:tc>
          <w:tcPr>
            <w:tcW w:w="0" w:type="auto"/>
            <w:tcBorders>
              <w:top w:val="nil"/>
              <w:left w:val="nil"/>
              <w:bottom w:val="nil"/>
              <w:right w:val="nil"/>
              <w:tl2br w:val="nil"/>
              <w:tr2bl w:val="nil"/>
            </w:tcBorders>
            <w:shd w:val="clear" w:color="auto" w:fill="FFFF00"/>
            <w:tcMar>
              <w:left w:w="101" w:type="dxa"/>
              <w:right w:w="101" w:type="dxa"/>
            </w:tcMar>
            <w:vAlign w:val="bottom"/>
          </w:tcPr>
          <w:p w14:paraId="0984F297" w14:textId="77777777" w:rsidR="00724034" w:rsidRDefault="00724034">
            <w:pPr>
              <w:jc w:val="right"/>
              <w:rPr>
                <w:rFonts w:ascii="Arial" w:eastAsia="Arial" w:hAnsi="Arial" w:cs="Arial"/>
                <w:color w:val="000000"/>
                <w:sz w:val="16"/>
                <w:vertAlign w:val="superscript"/>
              </w:rPr>
            </w:pPr>
          </w:p>
        </w:tc>
        <w:tc>
          <w:tcPr>
            <w:tcW w:w="0" w:type="auto"/>
            <w:tcBorders>
              <w:top w:val="nil"/>
              <w:left w:val="nil"/>
              <w:bottom w:val="nil"/>
              <w:right w:val="nil"/>
              <w:tl2br w:val="nil"/>
              <w:tr2bl w:val="nil"/>
            </w:tcBorders>
            <w:shd w:val="clear" w:color="auto" w:fill="FFFFFF"/>
            <w:tcMar>
              <w:left w:w="101" w:type="dxa"/>
              <w:right w:w="101" w:type="dxa"/>
            </w:tcMar>
            <w:vAlign w:val="bottom"/>
          </w:tcPr>
          <w:p w14:paraId="4C5B5123" w14:textId="77777777" w:rsidR="00724034" w:rsidRDefault="00724034">
            <w:pPr>
              <w:jc w:val="right"/>
              <w:rPr>
                <w:rFonts w:ascii="Arial" w:eastAsia="Arial" w:hAnsi="Arial" w:cs="Arial"/>
                <w:color w:val="000000"/>
                <w:sz w:val="16"/>
                <w:vertAlign w:val="superscript"/>
              </w:rPr>
            </w:pPr>
          </w:p>
        </w:tc>
        <w:tc>
          <w:tcPr>
            <w:tcW w:w="0" w:type="auto"/>
            <w:tcBorders>
              <w:top w:val="nil"/>
              <w:left w:val="nil"/>
              <w:bottom w:val="nil"/>
              <w:right w:val="nil"/>
              <w:tl2br w:val="nil"/>
              <w:tr2bl w:val="nil"/>
            </w:tcBorders>
            <w:shd w:val="clear" w:color="auto" w:fill="FFFFFF"/>
            <w:tcMar>
              <w:left w:w="101" w:type="dxa"/>
              <w:right w:w="101" w:type="dxa"/>
            </w:tcMar>
            <w:vAlign w:val="bottom"/>
          </w:tcPr>
          <w:p w14:paraId="66449417" w14:textId="77777777" w:rsidR="00724034" w:rsidRDefault="00724034">
            <w:pPr>
              <w:jc w:val="right"/>
              <w:rPr>
                <w:rFonts w:ascii="Arial" w:eastAsia="Arial" w:hAnsi="Arial" w:cs="Arial"/>
                <w:color w:val="000000"/>
                <w:sz w:val="16"/>
                <w:vertAlign w:val="superscript"/>
              </w:rPr>
            </w:pPr>
          </w:p>
        </w:tc>
        <w:tc>
          <w:tcPr>
            <w:tcW w:w="0" w:type="auto"/>
            <w:tcBorders>
              <w:top w:val="nil"/>
              <w:left w:val="nil"/>
              <w:bottom w:val="nil"/>
              <w:right w:val="single" w:sz="6" w:space="0" w:color="000000"/>
              <w:tl2br w:val="nil"/>
              <w:tr2bl w:val="nil"/>
            </w:tcBorders>
            <w:shd w:val="clear" w:color="auto" w:fill="FFFFFF"/>
            <w:tcMar>
              <w:left w:w="101" w:type="dxa"/>
              <w:right w:w="101" w:type="dxa"/>
            </w:tcMar>
            <w:vAlign w:val="bottom"/>
          </w:tcPr>
          <w:p w14:paraId="6FF2112A" w14:textId="77777777" w:rsidR="00724034" w:rsidRDefault="00724034">
            <w:pPr>
              <w:jc w:val="right"/>
              <w:rPr>
                <w:rFonts w:ascii="Arial" w:eastAsia="Arial" w:hAnsi="Arial" w:cs="Arial"/>
                <w:color w:val="000000"/>
                <w:sz w:val="16"/>
                <w:vertAlign w:val="superscript"/>
              </w:rPr>
            </w:pPr>
          </w:p>
        </w:tc>
      </w:tr>
      <w:tr w:rsidR="00FB7D0B" w14:paraId="31BA23C4" w14:textId="77777777" w:rsidTr="00FB7D0B">
        <w:tblPrEx>
          <w:shd w:val="clear" w:color="auto" w:fill="auto"/>
          <w:tblLook w:val="04A0" w:firstRow="1" w:lastRow="0" w:firstColumn="1" w:lastColumn="0" w:noHBand="0" w:noVBand="1"/>
        </w:tblPrEx>
        <w:trPr>
          <w:gridAfter w:val="1"/>
          <w:wAfter w:w="10" w:type="dxa"/>
          <w:trHeight w:val="225"/>
        </w:trPr>
        <w:tc>
          <w:tcPr>
            <w:tcW w:w="0" w:type="auto"/>
            <w:tcBorders>
              <w:top w:val="single" w:sz="6" w:space="0" w:color="FFFFFF"/>
              <w:left w:val="single" w:sz="6" w:space="0" w:color="000000"/>
              <w:bottom w:val="nil"/>
              <w:right w:val="nil"/>
              <w:tl2br w:val="nil"/>
              <w:tr2bl w:val="nil"/>
            </w:tcBorders>
            <w:shd w:val="clear" w:color="auto" w:fill="FFFFFF"/>
            <w:tcMar>
              <w:left w:w="101" w:type="dxa"/>
              <w:right w:w="101" w:type="dxa"/>
            </w:tcMar>
            <w:vAlign w:val="bottom"/>
          </w:tcPr>
          <w:p w14:paraId="19B98ECA" w14:textId="77777777" w:rsidR="00724034" w:rsidRDefault="00724034">
            <w:pPr>
              <w:rPr>
                <w:rFonts w:ascii="Arial" w:eastAsia="Arial" w:hAnsi="Arial" w:cs="Arial"/>
                <w:color w:val="000000"/>
                <w:sz w:val="16"/>
                <w:vertAlign w:val="superscript"/>
              </w:rPr>
            </w:pPr>
          </w:p>
        </w:tc>
        <w:tc>
          <w:tcPr>
            <w:tcW w:w="0" w:type="auto"/>
            <w:gridSpan w:val="2"/>
            <w:tcBorders>
              <w:top w:val="single" w:sz="6" w:space="0" w:color="FFFFFF"/>
              <w:left w:val="nil"/>
              <w:bottom w:val="nil"/>
              <w:right w:val="nil"/>
              <w:tl2br w:val="nil"/>
              <w:tr2bl w:val="nil"/>
            </w:tcBorders>
            <w:shd w:val="clear" w:color="auto" w:fill="FFFFFF"/>
            <w:tcMar>
              <w:left w:w="101" w:type="dxa"/>
              <w:right w:w="101" w:type="dxa"/>
            </w:tcMar>
            <w:vAlign w:val="bottom"/>
          </w:tcPr>
          <w:p w14:paraId="7EA78F14" w14:textId="77777777" w:rsidR="00724034" w:rsidRDefault="00FB7D0B">
            <w:pPr>
              <w:rPr>
                <w:rFonts w:ascii="Arial" w:eastAsia="Arial" w:hAnsi="Arial" w:cs="Arial"/>
                <w:color w:val="000000"/>
                <w:sz w:val="16"/>
                <w:vertAlign w:val="superscript"/>
              </w:rPr>
            </w:pPr>
            <w:r>
              <w:rPr>
                <w:rFonts w:ascii="Arial" w:eastAsia="Arial" w:hAnsi="Arial" w:cs="Arial"/>
                <w:i/>
                <w:color w:val="000000"/>
                <w:sz w:val="16"/>
              </w:rPr>
              <w:t>Veterans' Entitlements Act 1986 (VEA)</w:t>
            </w:r>
          </w:p>
        </w:tc>
        <w:tc>
          <w:tcPr>
            <w:tcW w:w="0" w:type="auto"/>
            <w:tcBorders>
              <w:top w:val="nil"/>
              <w:left w:val="nil"/>
              <w:bottom w:val="nil"/>
              <w:right w:val="nil"/>
              <w:tl2br w:val="nil"/>
              <w:tr2bl w:val="nil"/>
            </w:tcBorders>
            <w:shd w:val="clear" w:color="auto" w:fill="FFFFFF"/>
            <w:tcMar>
              <w:left w:w="101" w:type="dxa"/>
              <w:right w:w="101" w:type="dxa"/>
            </w:tcMar>
            <w:vAlign w:val="bottom"/>
          </w:tcPr>
          <w:p w14:paraId="7D28FF34" w14:textId="77777777" w:rsidR="00724034" w:rsidRDefault="00724034">
            <w:pPr>
              <w:rPr>
                <w:rFonts w:ascii="Arial" w:eastAsia="Arial" w:hAnsi="Arial" w:cs="Arial"/>
                <w:i/>
                <w:color w:val="000000"/>
                <w:sz w:val="16"/>
                <w:vertAlign w:val="superscript"/>
              </w:rPr>
            </w:pPr>
          </w:p>
        </w:tc>
        <w:tc>
          <w:tcPr>
            <w:tcW w:w="0" w:type="auto"/>
            <w:tcBorders>
              <w:top w:val="nil"/>
              <w:left w:val="nil"/>
              <w:bottom w:val="nil"/>
              <w:right w:val="nil"/>
              <w:tl2br w:val="nil"/>
              <w:tr2bl w:val="nil"/>
            </w:tcBorders>
            <w:shd w:val="clear" w:color="auto" w:fill="FFFF00"/>
            <w:tcMar>
              <w:left w:w="101" w:type="dxa"/>
              <w:right w:w="101" w:type="dxa"/>
            </w:tcMar>
            <w:vAlign w:val="bottom"/>
          </w:tcPr>
          <w:p w14:paraId="28D3615B" w14:textId="77777777" w:rsidR="00724034" w:rsidRDefault="00724034">
            <w:pPr>
              <w:jc w:val="right"/>
              <w:rPr>
                <w:rFonts w:ascii="Arial" w:eastAsia="Arial" w:hAnsi="Arial" w:cs="Arial"/>
                <w:color w:val="000000"/>
                <w:sz w:val="16"/>
                <w:vertAlign w:val="superscript"/>
              </w:rPr>
            </w:pPr>
          </w:p>
        </w:tc>
        <w:tc>
          <w:tcPr>
            <w:tcW w:w="0" w:type="auto"/>
            <w:tcBorders>
              <w:top w:val="nil"/>
              <w:left w:val="nil"/>
              <w:bottom w:val="nil"/>
              <w:right w:val="nil"/>
              <w:tl2br w:val="nil"/>
              <w:tr2bl w:val="nil"/>
            </w:tcBorders>
            <w:shd w:val="clear" w:color="auto" w:fill="FFFFFF"/>
            <w:tcMar>
              <w:left w:w="101" w:type="dxa"/>
              <w:right w:w="101" w:type="dxa"/>
            </w:tcMar>
            <w:vAlign w:val="bottom"/>
          </w:tcPr>
          <w:p w14:paraId="504AB673" w14:textId="77777777" w:rsidR="00724034" w:rsidRDefault="00724034">
            <w:pPr>
              <w:jc w:val="right"/>
              <w:rPr>
                <w:rFonts w:ascii="Arial" w:eastAsia="Arial" w:hAnsi="Arial" w:cs="Arial"/>
                <w:color w:val="000000"/>
                <w:sz w:val="16"/>
                <w:vertAlign w:val="superscript"/>
              </w:rPr>
            </w:pPr>
          </w:p>
        </w:tc>
        <w:tc>
          <w:tcPr>
            <w:tcW w:w="0" w:type="auto"/>
            <w:tcBorders>
              <w:top w:val="nil"/>
              <w:left w:val="nil"/>
              <w:bottom w:val="nil"/>
              <w:right w:val="nil"/>
              <w:tl2br w:val="nil"/>
              <w:tr2bl w:val="nil"/>
            </w:tcBorders>
            <w:shd w:val="clear" w:color="auto" w:fill="FFFFFF"/>
            <w:tcMar>
              <w:left w:w="101" w:type="dxa"/>
              <w:right w:w="101" w:type="dxa"/>
            </w:tcMar>
            <w:vAlign w:val="bottom"/>
          </w:tcPr>
          <w:p w14:paraId="5D46442D" w14:textId="77777777" w:rsidR="00724034" w:rsidRDefault="00724034">
            <w:pPr>
              <w:jc w:val="right"/>
              <w:rPr>
                <w:rFonts w:ascii="Arial" w:eastAsia="Arial" w:hAnsi="Arial" w:cs="Arial"/>
                <w:color w:val="000000"/>
                <w:sz w:val="16"/>
                <w:vertAlign w:val="superscript"/>
              </w:rPr>
            </w:pPr>
          </w:p>
        </w:tc>
        <w:tc>
          <w:tcPr>
            <w:tcW w:w="0" w:type="auto"/>
            <w:tcBorders>
              <w:top w:val="nil"/>
              <w:left w:val="nil"/>
              <w:bottom w:val="nil"/>
              <w:right w:val="single" w:sz="6" w:space="0" w:color="000000"/>
              <w:tl2br w:val="nil"/>
              <w:tr2bl w:val="nil"/>
            </w:tcBorders>
            <w:shd w:val="clear" w:color="auto" w:fill="FFFFFF"/>
            <w:tcMar>
              <w:left w:w="101" w:type="dxa"/>
              <w:right w:w="101" w:type="dxa"/>
            </w:tcMar>
            <w:vAlign w:val="bottom"/>
          </w:tcPr>
          <w:p w14:paraId="6BB2497D" w14:textId="77777777" w:rsidR="00724034" w:rsidRDefault="00724034">
            <w:pPr>
              <w:jc w:val="right"/>
              <w:rPr>
                <w:rFonts w:ascii="Arial" w:eastAsia="Arial" w:hAnsi="Arial" w:cs="Arial"/>
                <w:color w:val="000000"/>
                <w:sz w:val="16"/>
                <w:vertAlign w:val="superscript"/>
              </w:rPr>
            </w:pPr>
          </w:p>
        </w:tc>
      </w:tr>
      <w:tr w:rsidR="00724034" w14:paraId="011A41D9" w14:textId="77777777">
        <w:tblPrEx>
          <w:shd w:val="clear" w:color="auto" w:fill="auto"/>
          <w:tblLook w:val="04A0" w:firstRow="1" w:lastRow="0" w:firstColumn="1" w:lastColumn="0" w:noHBand="0" w:noVBand="1"/>
        </w:tblPrEx>
        <w:trPr>
          <w:gridAfter w:val="1"/>
          <w:wAfter w:w="10" w:type="dxa"/>
          <w:trHeight w:val="225"/>
        </w:trPr>
        <w:tc>
          <w:tcPr>
            <w:tcW w:w="0" w:type="auto"/>
            <w:tcBorders>
              <w:top w:val="nil"/>
              <w:left w:val="single" w:sz="6" w:space="0" w:color="000000"/>
              <w:bottom w:val="nil"/>
              <w:right w:val="nil"/>
              <w:tl2br w:val="nil"/>
              <w:tr2bl w:val="nil"/>
            </w:tcBorders>
            <w:shd w:val="clear" w:color="auto" w:fill="FFFFFF"/>
            <w:tcMar>
              <w:left w:w="101" w:type="dxa"/>
              <w:right w:w="101" w:type="dxa"/>
            </w:tcMar>
            <w:vAlign w:val="bottom"/>
          </w:tcPr>
          <w:p w14:paraId="4CFAEAA6" w14:textId="77777777" w:rsidR="00724034" w:rsidRDefault="00724034">
            <w:pPr>
              <w:rPr>
                <w:rFonts w:ascii="Arial" w:eastAsia="Arial" w:hAnsi="Arial" w:cs="Arial"/>
                <w:color w:val="000000"/>
                <w:sz w:val="16"/>
                <w:vertAlign w:val="superscript"/>
              </w:rPr>
            </w:pPr>
          </w:p>
        </w:tc>
        <w:tc>
          <w:tcPr>
            <w:tcW w:w="0" w:type="auto"/>
            <w:tcBorders>
              <w:top w:val="nil"/>
              <w:left w:val="nil"/>
              <w:bottom w:val="nil"/>
              <w:right w:val="nil"/>
              <w:tl2br w:val="nil"/>
              <w:tr2bl w:val="nil"/>
            </w:tcBorders>
            <w:shd w:val="clear" w:color="auto" w:fill="FFFFFF"/>
            <w:tcMar>
              <w:left w:w="101" w:type="dxa"/>
              <w:right w:w="101" w:type="dxa"/>
            </w:tcMar>
            <w:vAlign w:val="bottom"/>
          </w:tcPr>
          <w:p w14:paraId="5108B0FB" w14:textId="77777777" w:rsidR="00724034" w:rsidRDefault="00724034">
            <w:pPr>
              <w:rPr>
                <w:rFonts w:ascii="Arial" w:eastAsia="Arial" w:hAnsi="Arial" w:cs="Arial"/>
                <w:color w:val="000000"/>
                <w:sz w:val="16"/>
                <w:vertAlign w:val="superscript"/>
              </w:rPr>
            </w:pPr>
          </w:p>
        </w:tc>
        <w:tc>
          <w:tcPr>
            <w:tcW w:w="0" w:type="auto"/>
            <w:tcBorders>
              <w:top w:val="nil"/>
              <w:left w:val="nil"/>
              <w:bottom w:val="nil"/>
              <w:right w:val="nil"/>
              <w:tl2br w:val="nil"/>
              <w:tr2bl w:val="nil"/>
            </w:tcBorders>
            <w:shd w:val="clear" w:color="auto" w:fill="FFFFFF"/>
            <w:tcMar>
              <w:left w:w="101" w:type="dxa"/>
              <w:right w:w="101" w:type="dxa"/>
            </w:tcMar>
            <w:vAlign w:val="bottom"/>
          </w:tcPr>
          <w:p w14:paraId="557A5C62" w14:textId="77777777" w:rsidR="00724034" w:rsidRDefault="00FB7D0B">
            <w:pPr>
              <w:rPr>
                <w:rFonts w:ascii="Arial" w:eastAsia="Arial" w:hAnsi="Arial" w:cs="Arial"/>
                <w:color w:val="000000"/>
                <w:sz w:val="16"/>
                <w:vertAlign w:val="superscript"/>
              </w:rPr>
            </w:pPr>
            <w:r>
              <w:rPr>
                <w:rFonts w:ascii="Arial" w:eastAsia="Arial" w:hAnsi="Arial" w:cs="Arial"/>
                <w:color w:val="000000"/>
                <w:sz w:val="16"/>
              </w:rPr>
              <w:t>Residential care</w:t>
            </w:r>
          </w:p>
        </w:tc>
        <w:tc>
          <w:tcPr>
            <w:tcW w:w="0" w:type="auto"/>
            <w:tcBorders>
              <w:top w:val="nil"/>
              <w:left w:val="nil"/>
              <w:bottom w:val="nil"/>
              <w:right w:val="nil"/>
              <w:tl2br w:val="nil"/>
              <w:tr2bl w:val="nil"/>
            </w:tcBorders>
            <w:shd w:val="clear" w:color="auto" w:fill="FFFFFF"/>
            <w:tcMar>
              <w:left w:w="101" w:type="dxa"/>
              <w:right w:w="101" w:type="dxa"/>
            </w:tcMar>
            <w:vAlign w:val="bottom"/>
          </w:tcPr>
          <w:p w14:paraId="5236F537" w14:textId="77777777" w:rsidR="00724034" w:rsidRDefault="00FB7D0B">
            <w:pPr>
              <w:jc w:val="right"/>
              <w:rPr>
                <w:rFonts w:ascii="Arial" w:eastAsia="Arial" w:hAnsi="Arial" w:cs="Arial"/>
                <w:color w:val="000000"/>
                <w:sz w:val="16"/>
                <w:vertAlign w:val="superscript"/>
              </w:rPr>
            </w:pPr>
            <w:r>
              <w:rPr>
                <w:rFonts w:ascii="Arial" w:eastAsia="Arial" w:hAnsi="Arial" w:cs="Arial"/>
                <w:color w:val="000000"/>
                <w:sz w:val="16"/>
              </w:rPr>
              <w:t xml:space="preserve"> 1,370,548 </w:t>
            </w:r>
          </w:p>
        </w:tc>
        <w:tc>
          <w:tcPr>
            <w:tcW w:w="0" w:type="auto"/>
            <w:tcBorders>
              <w:top w:val="nil"/>
              <w:left w:val="nil"/>
              <w:bottom w:val="nil"/>
              <w:right w:val="nil"/>
              <w:tl2br w:val="nil"/>
              <w:tr2bl w:val="nil"/>
            </w:tcBorders>
            <w:shd w:val="clear" w:color="auto" w:fill="FFFF00"/>
            <w:tcMar>
              <w:left w:w="101" w:type="dxa"/>
              <w:right w:w="101" w:type="dxa"/>
            </w:tcMar>
            <w:vAlign w:val="bottom"/>
          </w:tcPr>
          <w:p w14:paraId="216A221D" w14:textId="77777777" w:rsidR="00724034" w:rsidRDefault="00FB7D0B">
            <w:pPr>
              <w:jc w:val="right"/>
              <w:rPr>
                <w:rFonts w:ascii="Arial" w:eastAsia="Arial" w:hAnsi="Arial" w:cs="Arial"/>
                <w:color w:val="000000"/>
                <w:sz w:val="16"/>
              </w:rPr>
            </w:pPr>
            <w:r>
              <w:rPr>
                <w:rFonts w:ascii="Arial" w:eastAsia="Arial" w:hAnsi="Arial" w:cs="Arial"/>
                <w:color w:val="000000"/>
                <w:sz w:val="16"/>
              </w:rPr>
              <w:t xml:space="preserve"> 1,481,535 </w:t>
            </w:r>
          </w:p>
        </w:tc>
        <w:tc>
          <w:tcPr>
            <w:tcW w:w="0" w:type="auto"/>
            <w:tcBorders>
              <w:top w:val="nil"/>
              <w:left w:val="nil"/>
              <w:bottom w:val="nil"/>
              <w:right w:val="nil"/>
              <w:tl2br w:val="nil"/>
              <w:tr2bl w:val="nil"/>
            </w:tcBorders>
            <w:shd w:val="clear" w:color="auto" w:fill="FFFFFF"/>
            <w:tcMar>
              <w:left w:w="101" w:type="dxa"/>
              <w:right w:w="101" w:type="dxa"/>
            </w:tcMar>
            <w:vAlign w:val="bottom"/>
          </w:tcPr>
          <w:p w14:paraId="7FAB71EC" w14:textId="77777777" w:rsidR="00724034" w:rsidRDefault="00FB7D0B">
            <w:pPr>
              <w:jc w:val="right"/>
              <w:rPr>
                <w:rFonts w:ascii="Arial" w:eastAsia="Arial" w:hAnsi="Arial" w:cs="Arial"/>
                <w:color w:val="000000"/>
                <w:sz w:val="16"/>
              </w:rPr>
            </w:pPr>
            <w:r>
              <w:rPr>
                <w:rFonts w:ascii="Arial" w:eastAsia="Arial" w:hAnsi="Arial" w:cs="Arial"/>
                <w:color w:val="000000"/>
                <w:sz w:val="16"/>
              </w:rPr>
              <w:t xml:space="preserve"> 1,575,394 </w:t>
            </w:r>
          </w:p>
        </w:tc>
        <w:tc>
          <w:tcPr>
            <w:tcW w:w="0" w:type="auto"/>
            <w:tcBorders>
              <w:top w:val="nil"/>
              <w:left w:val="nil"/>
              <w:bottom w:val="nil"/>
              <w:right w:val="nil"/>
              <w:tl2br w:val="nil"/>
              <w:tr2bl w:val="nil"/>
            </w:tcBorders>
            <w:shd w:val="clear" w:color="auto" w:fill="FFFFFF"/>
            <w:tcMar>
              <w:left w:w="101" w:type="dxa"/>
              <w:right w:w="101" w:type="dxa"/>
            </w:tcMar>
            <w:vAlign w:val="bottom"/>
          </w:tcPr>
          <w:p w14:paraId="6F3E5E32" w14:textId="77777777" w:rsidR="00724034" w:rsidRDefault="00FB7D0B">
            <w:pPr>
              <w:jc w:val="right"/>
              <w:rPr>
                <w:rFonts w:ascii="Arial" w:eastAsia="Arial" w:hAnsi="Arial" w:cs="Arial"/>
                <w:color w:val="000000"/>
                <w:sz w:val="16"/>
              </w:rPr>
            </w:pPr>
            <w:r>
              <w:rPr>
                <w:rFonts w:ascii="Arial" w:eastAsia="Arial" w:hAnsi="Arial" w:cs="Arial"/>
                <w:color w:val="000000"/>
                <w:sz w:val="16"/>
              </w:rPr>
              <w:t xml:space="preserve"> 1,679,919 </w:t>
            </w:r>
          </w:p>
        </w:tc>
        <w:tc>
          <w:tcPr>
            <w:tcW w:w="0" w:type="auto"/>
            <w:tcBorders>
              <w:top w:val="nil"/>
              <w:left w:val="nil"/>
              <w:bottom w:val="nil"/>
              <w:right w:val="single" w:sz="6" w:space="0" w:color="000000"/>
              <w:tl2br w:val="nil"/>
              <w:tr2bl w:val="nil"/>
            </w:tcBorders>
            <w:shd w:val="clear" w:color="auto" w:fill="FFFFFF"/>
            <w:tcMar>
              <w:left w:w="101" w:type="dxa"/>
              <w:right w:w="101" w:type="dxa"/>
            </w:tcMar>
            <w:vAlign w:val="bottom"/>
          </w:tcPr>
          <w:p w14:paraId="46B0A0EB" w14:textId="77777777" w:rsidR="00724034" w:rsidRDefault="00FB7D0B">
            <w:pPr>
              <w:jc w:val="right"/>
              <w:rPr>
                <w:rFonts w:ascii="Arial" w:eastAsia="Arial" w:hAnsi="Arial" w:cs="Arial"/>
                <w:color w:val="000000"/>
                <w:sz w:val="16"/>
              </w:rPr>
            </w:pPr>
            <w:r>
              <w:rPr>
                <w:rFonts w:ascii="Arial" w:eastAsia="Arial" w:hAnsi="Arial" w:cs="Arial"/>
                <w:color w:val="000000"/>
                <w:sz w:val="16"/>
              </w:rPr>
              <w:t xml:space="preserve"> 1,801,518 </w:t>
            </w:r>
          </w:p>
        </w:tc>
      </w:tr>
      <w:tr w:rsidR="00724034" w14:paraId="2FA14204" w14:textId="77777777">
        <w:tblPrEx>
          <w:shd w:val="clear" w:color="auto" w:fill="auto"/>
          <w:tblLook w:val="04A0" w:firstRow="1" w:lastRow="0" w:firstColumn="1" w:lastColumn="0" w:noHBand="0" w:noVBand="1"/>
        </w:tblPrEx>
        <w:trPr>
          <w:gridAfter w:val="1"/>
          <w:wAfter w:w="10" w:type="dxa"/>
          <w:trHeight w:val="225"/>
        </w:trPr>
        <w:tc>
          <w:tcPr>
            <w:tcW w:w="0" w:type="auto"/>
            <w:tcBorders>
              <w:top w:val="nil"/>
              <w:left w:val="single" w:sz="6" w:space="0" w:color="000000"/>
              <w:bottom w:val="nil"/>
              <w:right w:val="nil"/>
              <w:tl2br w:val="nil"/>
              <w:tr2bl w:val="nil"/>
            </w:tcBorders>
            <w:shd w:val="clear" w:color="auto" w:fill="FFFFFF"/>
            <w:tcMar>
              <w:left w:w="101" w:type="dxa"/>
              <w:right w:w="101" w:type="dxa"/>
            </w:tcMar>
            <w:vAlign w:val="bottom"/>
          </w:tcPr>
          <w:p w14:paraId="675CD994" w14:textId="77777777" w:rsidR="00724034" w:rsidRDefault="00724034">
            <w:pPr>
              <w:rPr>
                <w:rFonts w:ascii="Arial" w:eastAsia="Arial" w:hAnsi="Arial" w:cs="Arial"/>
                <w:color w:val="000000"/>
                <w:sz w:val="16"/>
              </w:rPr>
            </w:pPr>
          </w:p>
        </w:tc>
        <w:tc>
          <w:tcPr>
            <w:tcW w:w="0" w:type="auto"/>
            <w:tcBorders>
              <w:top w:val="nil"/>
              <w:left w:val="nil"/>
              <w:bottom w:val="nil"/>
              <w:right w:val="nil"/>
              <w:tl2br w:val="nil"/>
              <w:tr2bl w:val="nil"/>
            </w:tcBorders>
            <w:shd w:val="clear" w:color="auto" w:fill="FFFFFF"/>
            <w:tcMar>
              <w:left w:w="101" w:type="dxa"/>
              <w:right w:w="101" w:type="dxa"/>
            </w:tcMar>
            <w:vAlign w:val="bottom"/>
          </w:tcPr>
          <w:p w14:paraId="7013E1FF" w14:textId="77777777" w:rsidR="00724034" w:rsidRDefault="00724034">
            <w:pPr>
              <w:rPr>
                <w:rFonts w:ascii="Arial" w:eastAsia="Arial" w:hAnsi="Arial" w:cs="Arial"/>
                <w:color w:val="000000"/>
                <w:sz w:val="16"/>
              </w:rPr>
            </w:pPr>
          </w:p>
        </w:tc>
        <w:tc>
          <w:tcPr>
            <w:tcW w:w="0" w:type="auto"/>
            <w:tcBorders>
              <w:top w:val="nil"/>
              <w:left w:val="nil"/>
              <w:bottom w:val="nil"/>
              <w:right w:val="nil"/>
              <w:tl2br w:val="nil"/>
              <w:tr2bl w:val="nil"/>
            </w:tcBorders>
            <w:shd w:val="clear" w:color="auto" w:fill="FFFFFF"/>
            <w:tcMar>
              <w:left w:w="101" w:type="dxa"/>
              <w:right w:w="101" w:type="dxa"/>
            </w:tcMar>
            <w:vAlign w:val="bottom"/>
          </w:tcPr>
          <w:p w14:paraId="45D1FA22" w14:textId="77777777" w:rsidR="00724034" w:rsidRDefault="00FB7D0B">
            <w:pPr>
              <w:rPr>
                <w:rFonts w:ascii="Arial" w:eastAsia="Arial" w:hAnsi="Arial" w:cs="Arial"/>
                <w:color w:val="000000"/>
                <w:sz w:val="16"/>
              </w:rPr>
            </w:pPr>
            <w:r>
              <w:rPr>
                <w:rFonts w:ascii="Arial" w:eastAsia="Arial" w:hAnsi="Arial" w:cs="Arial"/>
                <w:color w:val="000000"/>
                <w:sz w:val="16"/>
              </w:rPr>
              <w:t>Community nursing</w:t>
            </w:r>
          </w:p>
        </w:tc>
        <w:tc>
          <w:tcPr>
            <w:tcW w:w="0" w:type="auto"/>
            <w:tcBorders>
              <w:top w:val="nil"/>
              <w:left w:val="nil"/>
              <w:bottom w:val="nil"/>
              <w:right w:val="nil"/>
              <w:tl2br w:val="nil"/>
              <w:tr2bl w:val="nil"/>
            </w:tcBorders>
            <w:shd w:val="clear" w:color="auto" w:fill="FFFFFF"/>
            <w:tcMar>
              <w:left w:w="101" w:type="dxa"/>
              <w:right w:w="101" w:type="dxa"/>
            </w:tcMar>
            <w:vAlign w:val="bottom"/>
          </w:tcPr>
          <w:p w14:paraId="2375C5FE" w14:textId="77777777" w:rsidR="00724034" w:rsidRDefault="00FB7D0B">
            <w:pPr>
              <w:jc w:val="right"/>
              <w:rPr>
                <w:rFonts w:ascii="Arial" w:eastAsia="Arial" w:hAnsi="Arial" w:cs="Arial"/>
                <w:color w:val="000000"/>
                <w:sz w:val="16"/>
                <w:vertAlign w:val="superscript"/>
              </w:rPr>
            </w:pPr>
            <w:r>
              <w:rPr>
                <w:rFonts w:ascii="Arial" w:eastAsia="Arial" w:hAnsi="Arial" w:cs="Arial"/>
                <w:color w:val="000000"/>
                <w:sz w:val="16"/>
              </w:rPr>
              <w:t xml:space="preserve"> 137,979 </w:t>
            </w:r>
          </w:p>
        </w:tc>
        <w:tc>
          <w:tcPr>
            <w:tcW w:w="0" w:type="auto"/>
            <w:tcBorders>
              <w:top w:val="nil"/>
              <w:left w:val="nil"/>
              <w:bottom w:val="nil"/>
              <w:right w:val="nil"/>
              <w:tl2br w:val="nil"/>
              <w:tr2bl w:val="nil"/>
            </w:tcBorders>
            <w:shd w:val="clear" w:color="auto" w:fill="FFFF00"/>
            <w:tcMar>
              <w:left w:w="101" w:type="dxa"/>
              <w:right w:w="101" w:type="dxa"/>
            </w:tcMar>
            <w:vAlign w:val="bottom"/>
          </w:tcPr>
          <w:p w14:paraId="78395A5E" w14:textId="77777777" w:rsidR="00724034" w:rsidRDefault="00FB7D0B">
            <w:pPr>
              <w:jc w:val="right"/>
              <w:rPr>
                <w:rFonts w:ascii="Arial" w:eastAsia="Arial" w:hAnsi="Arial" w:cs="Arial"/>
                <w:color w:val="000000"/>
                <w:sz w:val="16"/>
              </w:rPr>
            </w:pPr>
            <w:r>
              <w:rPr>
                <w:rFonts w:ascii="Arial" w:eastAsia="Arial" w:hAnsi="Arial" w:cs="Arial"/>
                <w:color w:val="000000"/>
                <w:sz w:val="16"/>
              </w:rPr>
              <w:t xml:space="preserve"> 152,880 </w:t>
            </w:r>
          </w:p>
        </w:tc>
        <w:tc>
          <w:tcPr>
            <w:tcW w:w="0" w:type="auto"/>
            <w:tcBorders>
              <w:top w:val="nil"/>
              <w:left w:val="nil"/>
              <w:bottom w:val="nil"/>
              <w:right w:val="nil"/>
              <w:tl2br w:val="nil"/>
              <w:tr2bl w:val="nil"/>
            </w:tcBorders>
            <w:shd w:val="clear" w:color="auto" w:fill="FFFFFF"/>
            <w:tcMar>
              <w:left w:w="101" w:type="dxa"/>
              <w:right w:w="101" w:type="dxa"/>
            </w:tcMar>
            <w:vAlign w:val="bottom"/>
          </w:tcPr>
          <w:p w14:paraId="4B4CB1B9" w14:textId="77777777" w:rsidR="00724034" w:rsidRDefault="00FB7D0B">
            <w:pPr>
              <w:jc w:val="right"/>
              <w:rPr>
                <w:rFonts w:ascii="Arial" w:eastAsia="Arial" w:hAnsi="Arial" w:cs="Arial"/>
                <w:color w:val="000000"/>
                <w:sz w:val="16"/>
              </w:rPr>
            </w:pPr>
            <w:r>
              <w:rPr>
                <w:rFonts w:ascii="Arial" w:eastAsia="Arial" w:hAnsi="Arial" w:cs="Arial"/>
                <w:color w:val="000000"/>
                <w:sz w:val="16"/>
              </w:rPr>
              <w:t xml:space="preserve"> 164,188 </w:t>
            </w:r>
          </w:p>
        </w:tc>
        <w:tc>
          <w:tcPr>
            <w:tcW w:w="0" w:type="auto"/>
            <w:tcBorders>
              <w:top w:val="nil"/>
              <w:left w:val="nil"/>
              <w:bottom w:val="nil"/>
              <w:right w:val="nil"/>
              <w:tl2br w:val="nil"/>
              <w:tr2bl w:val="nil"/>
            </w:tcBorders>
            <w:shd w:val="clear" w:color="auto" w:fill="FFFFFF"/>
            <w:tcMar>
              <w:left w:w="101" w:type="dxa"/>
              <w:right w:w="101" w:type="dxa"/>
            </w:tcMar>
            <w:vAlign w:val="bottom"/>
          </w:tcPr>
          <w:p w14:paraId="584ADD7F" w14:textId="77777777" w:rsidR="00724034" w:rsidRDefault="00FB7D0B">
            <w:pPr>
              <w:jc w:val="right"/>
              <w:rPr>
                <w:rFonts w:ascii="Arial" w:eastAsia="Arial" w:hAnsi="Arial" w:cs="Arial"/>
                <w:color w:val="000000"/>
                <w:sz w:val="16"/>
              </w:rPr>
            </w:pPr>
            <w:r>
              <w:rPr>
                <w:rFonts w:ascii="Arial" w:eastAsia="Arial" w:hAnsi="Arial" w:cs="Arial"/>
                <w:color w:val="000000"/>
                <w:sz w:val="16"/>
              </w:rPr>
              <w:t xml:space="preserve"> 178,277 </w:t>
            </w:r>
          </w:p>
        </w:tc>
        <w:tc>
          <w:tcPr>
            <w:tcW w:w="0" w:type="auto"/>
            <w:tcBorders>
              <w:top w:val="nil"/>
              <w:left w:val="nil"/>
              <w:bottom w:val="nil"/>
              <w:right w:val="single" w:sz="6" w:space="0" w:color="000000"/>
              <w:tl2br w:val="nil"/>
              <w:tr2bl w:val="nil"/>
            </w:tcBorders>
            <w:shd w:val="clear" w:color="auto" w:fill="FFFFFF"/>
            <w:tcMar>
              <w:left w:w="101" w:type="dxa"/>
              <w:right w:w="101" w:type="dxa"/>
            </w:tcMar>
            <w:vAlign w:val="bottom"/>
          </w:tcPr>
          <w:p w14:paraId="4B20426E" w14:textId="77777777" w:rsidR="00724034" w:rsidRDefault="00FB7D0B">
            <w:pPr>
              <w:jc w:val="right"/>
              <w:rPr>
                <w:rFonts w:ascii="Arial" w:eastAsia="Arial" w:hAnsi="Arial" w:cs="Arial"/>
                <w:color w:val="000000"/>
                <w:sz w:val="16"/>
              </w:rPr>
            </w:pPr>
            <w:r>
              <w:rPr>
                <w:rFonts w:ascii="Arial" w:eastAsia="Arial" w:hAnsi="Arial" w:cs="Arial"/>
                <w:color w:val="000000"/>
                <w:sz w:val="16"/>
              </w:rPr>
              <w:t xml:space="preserve"> 194,872 </w:t>
            </w:r>
          </w:p>
        </w:tc>
      </w:tr>
      <w:tr w:rsidR="00724034" w14:paraId="5DD80C4C" w14:textId="77777777">
        <w:tblPrEx>
          <w:shd w:val="clear" w:color="auto" w:fill="auto"/>
          <w:tblLook w:val="04A0" w:firstRow="1" w:lastRow="0" w:firstColumn="1" w:lastColumn="0" w:noHBand="0" w:noVBand="1"/>
        </w:tblPrEx>
        <w:trPr>
          <w:gridAfter w:val="1"/>
          <w:wAfter w:w="10" w:type="dxa"/>
          <w:trHeight w:val="225"/>
        </w:trPr>
        <w:tc>
          <w:tcPr>
            <w:tcW w:w="0" w:type="auto"/>
            <w:tcBorders>
              <w:top w:val="nil"/>
              <w:left w:val="single" w:sz="6" w:space="0" w:color="000000"/>
              <w:bottom w:val="nil"/>
              <w:right w:val="nil"/>
              <w:tl2br w:val="nil"/>
              <w:tr2bl w:val="nil"/>
            </w:tcBorders>
            <w:shd w:val="clear" w:color="auto" w:fill="FFFFFF"/>
            <w:tcMar>
              <w:left w:w="101" w:type="dxa"/>
              <w:right w:w="101" w:type="dxa"/>
            </w:tcMar>
            <w:vAlign w:val="bottom"/>
          </w:tcPr>
          <w:p w14:paraId="586E54F0" w14:textId="77777777" w:rsidR="00724034" w:rsidRDefault="00724034">
            <w:pPr>
              <w:rPr>
                <w:rFonts w:ascii="Arial" w:eastAsia="Arial" w:hAnsi="Arial" w:cs="Arial"/>
                <w:color w:val="000000"/>
                <w:sz w:val="16"/>
              </w:rPr>
            </w:pPr>
          </w:p>
        </w:tc>
        <w:tc>
          <w:tcPr>
            <w:tcW w:w="0" w:type="auto"/>
            <w:tcBorders>
              <w:top w:val="nil"/>
              <w:left w:val="nil"/>
              <w:bottom w:val="nil"/>
              <w:right w:val="nil"/>
              <w:tl2br w:val="nil"/>
              <w:tr2bl w:val="nil"/>
            </w:tcBorders>
            <w:shd w:val="clear" w:color="auto" w:fill="FFFFFF"/>
            <w:tcMar>
              <w:left w:w="101" w:type="dxa"/>
              <w:right w:w="101" w:type="dxa"/>
            </w:tcMar>
            <w:vAlign w:val="bottom"/>
          </w:tcPr>
          <w:p w14:paraId="1BBD71F4" w14:textId="77777777" w:rsidR="00724034" w:rsidRDefault="00724034">
            <w:pPr>
              <w:rPr>
                <w:rFonts w:ascii="Arial" w:eastAsia="Arial" w:hAnsi="Arial" w:cs="Arial"/>
                <w:color w:val="000000"/>
                <w:sz w:val="16"/>
              </w:rPr>
            </w:pPr>
          </w:p>
        </w:tc>
        <w:tc>
          <w:tcPr>
            <w:tcW w:w="0" w:type="auto"/>
            <w:tcBorders>
              <w:top w:val="nil"/>
              <w:left w:val="nil"/>
              <w:bottom w:val="nil"/>
              <w:right w:val="nil"/>
              <w:tl2br w:val="nil"/>
              <w:tr2bl w:val="nil"/>
            </w:tcBorders>
            <w:shd w:val="clear" w:color="auto" w:fill="FFFFFF"/>
            <w:tcMar>
              <w:left w:w="101" w:type="dxa"/>
              <w:right w:w="101" w:type="dxa"/>
            </w:tcMar>
            <w:vAlign w:val="bottom"/>
          </w:tcPr>
          <w:p w14:paraId="4DC94D4B" w14:textId="77777777" w:rsidR="00724034" w:rsidRDefault="00FB7D0B">
            <w:pPr>
              <w:rPr>
                <w:rFonts w:ascii="Arial" w:eastAsia="Arial" w:hAnsi="Arial" w:cs="Arial"/>
                <w:color w:val="000000"/>
                <w:sz w:val="16"/>
              </w:rPr>
            </w:pPr>
            <w:r>
              <w:rPr>
                <w:rFonts w:ascii="Arial" w:eastAsia="Arial" w:hAnsi="Arial" w:cs="Arial"/>
                <w:color w:val="000000"/>
                <w:sz w:val="16"/>
              </w:rPr>
              <w:t>Veterans' Home Care</w:t>
            </w:r>
          </w:p>
        </w:tc>
        <w:tc>
          <w:tcPr>
            <w:tcW w:w="0" w:type="auto"/>
            <w:tcBorders>
              <w:top w:val="nil"/>
              <w:left w:val="nil"/>
              <w:bottom w:val="nil"/>
              <w:right w:val="nil"/>
              <w:tl2br w:val="nil"/>
              <w:tr2bl w:val="nil"/>
            </w:tcBorders>
            <w:shd w:val="clear" w:color="auto" w:fill="FFFFFF"/>
            <w:tcMar>
              <w:left w:w="101" w:type="dxa"/>
              <w:right w:w="101" w:type="dxa"/>
            </w:tcMar>
            <w:vAlign w:val="bottom"/>
          </w:tcPr>
          <w:p w14:paraId="3EA7242B" w14:textId="77777777" w:rsidR="00724034" w:rsidRDefault="00FB7D0B">
            <w:pPr>
              <w:jc w:val="right"/>
              <w:rPr>
                <w:rFonts w:ascii="Arial" w:eastAsia="Arial" w:hAnsi="Arial" w:cs="Arial"/>
                <w:color w:val="000000"/>
                <w:sz w:val="16"/>
                <w:vertAlign w:val="superscript"/>
              </w:rPr>
            </w:pPr>
            <w:r>
              <w:rPr>
                <w:rFonts w:ascii="Arial" w:eastAsia="Arial" w:hAnsi="Arial" w:cs="Arial"/>
                <w:color w:val="000000"/>
                <w:sz w:val="16"/>
              </w:rPr>
              <w:t xml:space="preserve"> 91,435 </w:t>
            </w:r>
          </w:p>
        </w:tc>
        <w:tc>
          <w:tcPr>
            <w:tcW w:w="0" w:type="auto"/>
            <w:tcBorders>
              <w:top w:val="nil"/>
              <w:left w:val="nil"/>
              <w:bottom w:val="nil"/>
              <w:right w:val="nil"/>
              <w:tl2br w:val="nil"/>
              <w:tr2bl w:val="nil"/>
            </w:tcBorders>
            <w:shd w:val="clear" w:color="auto" w:fill="FFFF00"/>
            <w:tcMar>
              <w:left w:w="101" w:type="dxa"/>
              <w:right w:w="101" w:type="dxa"/>
            </w:tcMar>
            <w:vAlign w:val="bottom"/>
          </w:tcPr>
          <w:p w14:paraId="2D234B02" w14:textId="77777777" w:rsidR="00724034" w:rsidRDefault="00FB7D0B">
            <w:pPr>
              <w:jc w:val="right"/>
              <w:rPr>
                <w:rFonts w:ascii="Arial" w:eastAsia="Arial" w:hAnsi="Arial" w:cs="Arial"/>
                <w:color w:val="000000"/>
                <w:sz w:val="16"/>
              </w:rPr>
            </w:pPr>
            <w:r>
              <w:rPr>
                <w:rFonts w:ascii="Arial" w:eastAsia="Arial" w:hAnsi="Arial" w:cs="Arial"/>
                <w:color w:val="000000"/>
                <w:sz w:val="16"/>
              </w:rPr>
              <w:t xml:space="preserve"> 100,725 </w:t>
            </w:r>
          </w:p>
        </w:tc>
        <w:tc>
          <w:tcPr>
            <w:tcW w:w="0" w:type="auto"/>
            <w:tcBorders>
              <w:top w:val="nil"/>
              <w:left w:val="nil"/>
              <w:bottom w:val="nil"/>
              <w:right w:val="nil"/>
              <w:tl2br w:val="nil"/>
              <w:tr2bl w:val="nil"/>
            </w:tcBorders>
            <w:shd w:val="clear" w:color="auto" w:fill="FFFFFF"/>
            <w:tcMar>
              <w:left w:w="101" w:type="dxa"/>
              <w:right w:w="101" w:type="dxa"/>
            </w:tcMar>
            <w:vAlign w:val="bottom"/>
          </w:tcPr>
          <w:p w14:paraId="3E0146D8" w14:textId="77777777" w:rsidR="00724034" w:rsidRDefault="00FB7D0B">
            <w:pPr>
              <w:jc w:val="right"/>
              <w:rPr>
                <w:rFonts w:ascii="Arial" w:eastAsia="Arial" w:hAnsi="Arial" w:cs="Arial"/>
                <w:color w:val="000000"/>
                <w:sz w:val="16"/>
              </w:rPr>
            </w:pPr>
            <w:r>
              <w:rPr>
                <w:rFonts w:ascii="Arial" w:eastAsia="Arial" w:hAnsi="Arial" w:cs="Arial"/>
                <w:color w:val="000000"/>
                <w:sz w:val="16"/>
              </w:rPr>
              <w:t xml:space="preserve"> 100,286 </w:t>
            </w:r>
          </w:p>
        </w:tc>
        <w:tc>
          <w:tcPr>
            <w:tcW w:w="0" w:type="auto"/>
            <w:tcBorders>
              <w:top w:val="nil"/>
              <w:left w:val="nil"/>
              <w:bottom w:val="nil"/>
              <w:right w:val="nil"/>
              <w:tl2br w:val="nil"/>
              <w:tr2bl w:val="nil"/>
            </w:tcBorders>
            <w:shd w:val="clear" w:color="auto" w:fill="FFFFFF"/>
            <w:tcMar>
              <w:left w:w="101" w:type="dxa"/>
              <w:right w:w="101" w:type="dxa"/>
            </w:tcMar>
            <w:vAlign w:val="bottom"/>
          </w:tcPr>
          <w:p w14:paraId="5207B25F" w14:textId="77777777" w:rsidR="00724034" w:rsidRDefault="00FB7D0B">
            <w:pPr>
              <w:jc w:val="right"/>
              <w:rPr>
                <w:rFonts w:ascii="Arial" w:eastAsia="Arial" w:hAnsi="Arial" w:cs="Arial"/>
                <w:color w:val="000000"/>
                <w:sz w:val="16"/>
              </w:rPr>
            </w:pPr>
            <w:r>
              <w:rPr>
                <w:rFonts w:ascii="Arial" w:eastAsia="Arial" w:hAnsi="Arial" w:cs="Arial"/>
                <w:color w:val="000000"/>
                <w:sz w:val="16"/>
              </w:rPr>
              <w:t xml:space="preserve"> 102,260 </w:t>
            </w:r>
          </w:p>
        </w:tc>
        <w:tc>
          <w:tcPr>
            <w:tcW w:w="0" w:type="auto"/>
            <w:tcBorders>
              <w:top w:val="nil"/>
              <w:left w:val="nil"/>
              <w:bottom w:val="nil"/>
              <w:right w:val="single" w:sz="6" w:space="0" w:color="000000"/>
              <w:tl2br w:val="nil"/>
              <w:tr2bl w:val="nil"/>
            </w:tcBorders>
            <w:shd w:val="clear" w:color="auto" w:fill="FFFFFF"/>
            <w:tcMar>
              <w:left w:w="101" w:type="dxa"/>
              <w:right w:w="101" w:type="dxa"/>
            </w:tcMar>
            <w:vAlign w:val="bottom"/>
          </w:tcPr>
          <w:p w14:paraId="0C52C18E" w14:textId="77777777" w:rsidR="00724034" w:rsidRDefault="00FB7D0B">
            <w:pPr>
              <w:jc w:val="right"/>
              <w:rPr>
                <w:rFonts w:ascii="Arial" w:eastAsia="Arial" w:hAnsi="Arial" w:cs="Arial"/>
                <w:color w:val="000000"/>
                <w:sz w:val="16"/>
              </w:rPr>
            </w:pPr>
            <w:r>
              <w:rPr>
                <w:rFonts w:ascii="Arial" w:eastAsia="Arial" w:hAnsi="Arial" w:cs="Arial"/>
                <w:color w:val="000000"/>
                <w:sz w:val="16"/>
              </w:rPr>
              <w:t xml:space="preserve"> 106,811 </w:t>
            </w:r>
          </w:p>
        </w:tc>
      </w:tr>
      <w:tr w:rsidR="00724034" w14:paraId="75CF2DD9" w14:textId="77777777">
        <w:tblPrEx>
          <w:shd w:val="clear" w:color="auto" w:fill="auto"/>
          <w:tblLook w:val="04A0" w:firstRow="1" w:lastRow="0" w:firstColumn="1" w:lastColumn="0" w:noHBand="0" w:noVBand="1"/>
        </w:tblPrEx>
        <w:trPr>
          <w:gridAfter w:val="1"/>
          <w:wAfter w:w="10" w:type="dxa"/>
          <w:trHeight w:val="225"/>
        </w:trPr>
        <w:tc>
          <w:tcPr>
            <w:tcW w:w="0" w:type="auto"/>
            <w:tcBorders>
              <w:top w:val="nil"/>
              <w:left w:val="single" w:sz="6" w:space="0" w:color="000000"/>
              <w:bottom w:val="nil"/>
              <w:right w:val="nil"/>
              <w:tl2br w:val="nil"/>
              <w:tr2bl w:val="nil"/>
            </w:tcBorders>
            <w:shd w:val="clear" w:color="auto" w:fill="FFFFFF"/>
            <w:tcMar>
              <w:left w:w="101" w:type="dxa"/>
              <w:right w:w="101" w:type="dxa"/>
            </w:tcMar>
            <w:vAlign w:val="bottom"/>
          </w:tcPr>
          <w:p w14:paraId="445CA3CA" w14:textId="77777777" w:rsidR="00724034" w:rsidRDefault="00724034">
            <w:pPr>
              <w:rPr>
                <w:rFonts w:ascii="Arial" w:eastAsia="Arial" w:hAnsi="Arial" w:cs="Arial"/>
                <w:color w:val="000000"/>
                <w:sz w:val="16"/>
              </w:rPr>
            </w:pPr>
          </w:p>
        </w:tc>
        <w:tc>
          <w:tcPr>
            <w:tcW w:w="0" w:type="auto"/>
            <w:tcBorders>
              <w:top w:val="nil"/>
              <w:left w:val="nil"/>
              <w:bottom w:val="nil"/>
              <w:right w:val="nil"/>
              <w:tl2br w:val="nil"/>
              <w:tr2bl w:val="nil"/>
            </w:tcBorders>
            <w:shd w:val="clear" w:color="auto" w:fill="FFFFFF"/>
            <w:tcMar>
              <w:left w:w="101" w:type="dxa"/>
              <w:right w:w="101" w:type="dxa"/>
            </w:tcMar>
            <w:vAlign w:val="bottom"/>
          </w:tcPr>
          <w:p w14:paraId="3104509A" w14:textId="77777777" w:rsidR="00724034" w:rsidRDefault="00724034">
            <w:pPr>
              <w:rPr>
                <w:rFonts w:ascii="Arial" w:eastAsia="Arial" w:hAnsi="Arial" w:cs="Arial"/>
                <w:color w:val="000000"/>
                <w:sz w:val="16"/>
              </w:rPr>
            </w:pPr>
          </w:p>
        </w:tc>
        <w:tc>
          <w:tcPr>
            <w:tcW w:w="0" w:type="auto"/>
            <w:tcBorders>
              <w:top w:val="nil"/>
              <w:left w:val="nil"/>
              <w:bottom w:val="nil"/>
              <w:right w:val="nil"/>
              <w:tl2br w:val="nil"/>
              <w:tr2bl w:val="nil"/>
            </w:tcBorders>
            <w:shd w:val="clear" w:color="auto" w:fill="FFFFFF"/>
            <w:tcMar>
              <w:left w:w="101" w:type="dxa"/>
              <w:right w:w="101" w:type="dxa"/>
            </w:tcMar>
            <w:vAlign w:val="bottom"/>
          </w:tcPr>
          <w:p w14:paraId="0D950415" w14:textId="77777777" w:rsidR="00724034" w:rsidRDefault="00FB7D0B">
            <w:pPr>
              <w:rPr>
                <w:rFonts w:ascii="Arial" w:eastAsia="Arial" w:hAnsi="Arial" w:cs="Arial"/>
                <w:color w:val="000000"/>
                <w:sz w:val="16"/>
              </w:rPr>
            </w:pPr>
            <w:r>
              <w:rPr>
                <w:rFonts w:ascii="Arial" w:eastAsia="Arial" w:hAnsi="Arial" w:cs="Arial"/>
                <w:color w:val="000000"/>
                <w:sz w:val="16"/>
              </w:rPr>
              <w:t>In-home respite</w:t>
            </w:r>
          </w:p>
        </w:tc>
        <w:tc>
          <w:tcPr>
            <w:tcW w:w="0" w:type="auto"/>
            <w:tcBorders>
              <w:top w:val="nil"/>
              <w:left w:val="nil"/>
              <w:bottom w:val="nil"/>
              <w:right w:val="nil"/>
              <w:tl2br w:val="nil"/>
              <w:tr2bl w:val="nil"/>
            </w:tcBorders>
            <w:shd w:val="clear" w:color="auto" w:fill="FFFFFF"/>
            <w:tcMar>
              <w:left w:w="101" w:type="dxa"/>
              <w:right w:w="101" w:type="dxa"/>
            </w:tcMar>
            <w:vAlign w:val="bottom"/>
          </w:tcPr>
          <w:p w14:paraId="28CA4ED4" w14:textId="77777777" w:rsidR="00724034" w:rsidRDefault="00FB7D0B">
            <w:pPr>
              <w:jc w:val="right"/>
              <w:rPr>
                <w:rFonts w:ascii="Arial" w:eastAsia="Arial" w:hAnsi="Arial" w:cs="Arial"/>
                <w:color w:val="000000"/>
                <w:sz w:val="16"/>
                <w:vertAlign w:val="superscript"/>
              </w:rPr>
            </w:pPr>
            <w:r>
              <w:rPr>
                <w:rFonts w:ascii="Arial" w:eastAsia="Arial" w:hAnsi="Arial" w:cs="Arial"/>
                <w:color w:val="000000"/>
                <w:sz w:val="16"/>
              </w:rPr>
              <w:t xml:space="preserve"> 11,047 </w:t>
            </w:r>
          </w:p>
        </w:tc>
        <w:tc>
          <w:tcPr>
            <w:tcW w:w="0" w:type="auto"/>
            <w:tcBorders>
              <w:top w:val="nil"/>
              <w:left w:val="nil"/>
              <w:bottom w:val="nil"/>
              <w:right w:val="nil"/>
              <w:tl2br w:val="nil"/>
              <w:tr2bl w:val="nil"/>
            </w:tcBorders>
            <w:shd w:val="clear" w:color="auto" w:fill="FFFF00"/>
            <w:tcMar>
              <w:left w:w="101" w:type="dxa"/>
              <w:right w:w="101" w:type="dxa"/>
            </w:tcMar>
            <w:vAlign w:val="bottom"/>
          </w:tcPr>
          <w:p w14:paraId="743EF381" w14:textId="77777777" w:rsidR="00724034" w:rsidRDefault="00FB7D0B">
            <w:pPr>
              <w:jc w:val="right"/>
              <w:rPr>
                <w:rFonts w:ascii="Arial" w:eastAsia="Arial" w:hAnsi="Arial" w:cs="Arial"/>
                <w:color w:val="000000"/>
                <w:sz w:val="16"/>
              </w:rPr>
            </w:pPr>
            <w:r>
              <w:rPr>
                <w:rFonts w:ascii="Arial" w:eastAsia="Arial" w:hAnsi="Arial" w:cs="Arial"/>
                <w:color w:val="000000"/>
                <w:sz w:val="16"/>
              </w:rPr>
              <w:t xml:space="preserve"> 21,565 </w:t>
            </w:r>
          </w:p>
        </w:tc>
        <w:tc>
          <w:tcPr>
            <w:tcW w:w="0" w:type="auto"/>
            <w:tcBorders>
              <w:top w:val="nil"/>
              <w:left w:val="nil"/>
              <w:bottom w:val="nil"/>
              <w:right w:val="nil"/>
              <w:tl2br w:val="nil"/>
              <w:tr2bl w:val="nil"/>
            </w:tcBorders>
            <w:shd w:val="clear" w:color="auto" w:fill="FFFFFF"/>
            <w:tcMar>
              <w:left w:w="101" w:type="dxa"/>
              <w:right w:w="101" w:type="dxa"/>
            </w:tcMar>
            <w:vAlign w:val="bottom"/>
          </w:tcPr>
          <w:p w14:paraId="2E10898F" w14:textId="77777777" w:rsidR="00724034" w:rsidRDefault="00FB7D0B">
            <w:pPr>
              <w:jc w:val="right"/>
              <w:rPr>
                <w:rFonts w:ascii="Arial" w:eastAsia="Arial" w:hAnsi="Arial" w:cs="Arial"/>
                <w:color w:val="000000"/>
                <w:sz w:val="16"/>
              </w:rPr>
            </w:pPr>
            <w:r>
              <w:rPr>
                <w:rFonts w:ascii="Arial" w:eastAsia="Arial" w:hAnsi="Arial" w:cs="Arial"/>
                <w:color w:val="000000"/>
                <w:sz w:val="16"/>
              </w:rPr>
              <w:t xml:space="preserve"> 21,427 </w:t>
            </w:r>
          </w:p>
        </w:tc>
        <w:tc>
          <w:tcPr>
            <w:tcW w:w="0" w:type="auto"/>
            <w:tcBorders>
              <w:top w:val="nil"/>
              <w:left w:val="nil"/>
              <w:bottom w:val="nil"/>
              <w:right w:val="nil"/>
              <w:tl2br w:val="nil"/>
              <w:tr2bl w:val="nil"/>
            </w:tcBorders>
            <w:shd w:val="clear" w:color="auto" w:fill="FFFFFF"/>
            <w:tcMar>
              <w:left w:w="101" w:type="dxa"/>
              <w:right w:w="101" w:type="dxa"/>
            </w:tcMar>
            <w:vAlign w:val="bottom"/>
          </w:tcPr>
          <w:p w14:paraId="4B7A09CA" w14:textId="77777777" w:rsidR="00724034" w:rsidRDefault="00FB7D0B">
            <w:pPr>
              <w:jc w:val="right"/>
              <w:rPr>
                <w:rFonts w:ascii="Arial" w:eastAsia="Arial" w:hAnsi="Arial" w:cs="Arial"/>
                <w:color w:val="000000"/>
                <w:sz w:val="16"/>
              </w:rPr>
            </w:pPr>
            <w:r>
              <w:rPr>
                <w:rFonts w:ascii="Arial" w:eastAsia="Arial" w:hAnsi="Arial" w:cs="Arial"/>
                <w:color w:val="000000"/>
                <w:sz w:val="16"/>
              </w:rPr>
              <w:t xml:space="preserve"> 21,738 </w:t>
            </w:r>
          </w:p>
        </w:tc>
        <w:tc>
          <w:tcPr>
            <w:tcW w:w="0" w:type="auto"/>
            <w:tcBorders>
              <w:top w:val="nil"/>
              <w:left w:val="nil"/>
              <w:bottom w:val="nil"/>
              <w:right w:val="single" w:sz="6" w:space="0" w:color="000000"/>
              <w:tl2br w:val="nil"/>
              <w:tr2bl w:val="nil"/>
            </w:tcBorders>
            <w:shd w:val="clear" w:color="auto" w:fill="FFFFFF"/>
            <w:tcMar>
              <w:left w:w="101" w:type="dxa"/>
              <w:right w:w="101" w:type="dxa"/>
            </w:tcMar>
            <w:vAlign w:val="bottom"/>
          </w:tcPr>
          <w:p w14:paraId="23D6783B" w14:textId="77777777" w:rsidR="00724034" w:rsidRDefault="00FB7D0B">
            <w:pPr>
              <w:jc w:val="right"/>
              <w:rPr>
                <w:rFonts w:ascii="Arial" w:eastAsia="Arial" w:hAnsi="Arial" w:cs="Arial"/>
                <w:color w:val="000000"/>
                <w:sz w:val="16"/>
              </w:rPr>
            </w:pPr>
            <w:r>
              <w:rPr>
                <w:rFonts w:ascii="Arial" w:eastAsia="Arial" w:hAnsi="Arial" w:cs="Arial"/>
                <w:color w:val="000000"/>
                <w:sz w:val="16"/>
              </w:rPr>
              <w:t xml:space="preserve"> 22,598 </w:t>
            </w:r>
          </w:p>
        </w:tc>
      </w:tr>
      <w:tr w:rsidR="00724034" w14:paraId="34201599" w14:textId="77777777">
        <w:tblPrEx>
          <w:shd w:val="clear" w:color="auto" w:fill="auto"/>
          <w:tblLook w:val="04A0" w:firstRow="1" w:lastRow="0" w:firstColumn="1" w:lastColumn="0" w:noHBand="0" w:noVBand="1"/>
        </w:tblPrEx>
        <w:trPr>
          <w:gridAfter w:val="1"/>
          <w:wAfter w:w="10" w:type="dxa"/>
          <w:trHeight w:val="225"/>
        </w:trPr>
        <w:tc>
          <w:tcPr>
            <w:tcW w:w="0" w:type="auto"/>
            <w:tcBorders>
              <w:top w:val="nil"/>
              <w:left w:val="single" w:sz="6" w:space="0" w:color="000000"/>
              <w:bottom w:val="nil"/>
              <w:right w:val="nil"/>
              <w:tl2br w:val="nil"/>
              <w:tr2bl w:val="nil"/>
            </w:tcBorders>
            <w:shd w:val="clear" w:color="auto" w:fill="FFFFFF"/>
            <w:tcMar>
              <w:left w:w="101" w:type="dxa"/>
              <w:right w:w="101" w:type="dxa"/>
            </w:tcMar>
            <w:vAlign w:val="bottom"/>
          </w:tcPr>
          <w:p w14:paraId="281EC370" w14:textId="77777777" w:rsidR="00724034" w:rsidRDefault="00724034">
            <w:pPr>
              <w:rPr>
                <w:rFonts w:ascii="Arial" w:eastAsia="Arial" w:hAnsi="Arial" w:cs="Arial"/>
                <w:color w:val="000000"/>
                <w:sz w:val="16"/>
              </w:rPr>
            </w:pPr>
          </w:p>
        </w:tc>
        <w:tc>
          <w:tcPr>
            <w:tcW w:w="0" w:type="auto"/>
            <w:tcBorders>
              <w:top w:val="nil"/>
              <w:left w:val="nil"/>
              <w:bottom w:val="nil"/>
              <w:right w:val="nil"/>
              <w:tl2br w:val="nil"/>
              <w:tr2bl w:val="nil"/>
            </w:tcBorders>
            <w:shd w:val="clear" w:color="auto" w:fill="FFFFFF"/>
            <w:tcMar>
              <w:left w:w="101" w:type="dxa"/>
              <w:right w:w="101" w:type="dxa"/>
            </w:tcMar>
            <w:vAlign w:val="bottom"/>
          </w:tcPr>
          <w:p w14:paraId="3F3C5EDA" w14:textId="77777777" w:rsidR="00724034" w:rsidRDefault="00724034">
            <w:pPr>
              <w:rPr>
                <w:rFonts w:ascii="Arial" w:eastAsia="Arial" w:hAnsi="Arial" w:cs="Arial"/>
                <w:color w:val="000000"/>
                <w:sz w:val="16"/>
              </w:rPr>
            </w:pPr>
          </w:p>
        </w:tc>
        <w:tc>
          <w:tcPr>
            <w:tcW w:w="0" w:type="auto"/>
            <w:tcBorders>
              <w:top w:val="nil"/>
              <w:left w:val="nil"/>
              <w:bottom w:val="nil"/>
              <w:right w:val="nil"/>
              <w:tl2br w:val="nil"/>
              <w:tr2bl w:val="nil"/>
            </w:tcBorders>
            <w:shd w:val="clear" w:color="auto" w:fill="FFFFFF"/>
            <w:tcMar>
              <w:left w:w="101" w:type="dxa"/>
              <w:right w:w="101" w:type="dxa"/>
            </w:tcMar>
            <w:vAlign w:val="bottom"/>
          </w:tcPr>
          <w:p w14:paraId="0A0FAFC2" w14:textId="77777777" w:rsidR="00724034" w:rsidRDefault="00FB7D0B">
            <w:pPr>
              <w:rPr>
                <w:rFonts w:ascii="Arial" w:eastAsia="Arial" w:hAnsi="Arial" w:cs="Arial"/>
                <w:color w:val="000000"/>
                <w:sz w:val="16"/>
              </w:rPr>
            </w:pPr>
            <w:r>
              <w:rPr>
                <w:rFonts w:ascii="Arial" w:eastAsia="Arial" w:hAnsi="Arial" w:cs="Arial"/>
                <w:color w:val="000000"/>
                <w:sz w:val="16"/>
              </w:rPr>
              <w:t>Carer and volunteer support</w:t>
            </w:r>
          </w:p>
        </w:tc>
        <w:tc>
          <w:tcPr>
            <w:tcW w:w="0" w:type="auto"/>
            <w:tcBorders>
              <w:top w:val="nil"/>
              <w:left w:val="nil"/>
              <w:bottom w:val="nil"/>
              <w:right w:val="nil"/>
              <w:tl2br w:val="nil"/>
              <w:tr2bl w:val="nil"/>
            </w:tcBorders>
            <w:shd w:val="clear" w:color="auto" w:fill="FFFFFF"/>
            <w:tcMar>
              <w:left w:w="101" w:type="dxa"/>
              <w:right w:w="101" w:type="dxa"/>
            </w:tcMar>
            <w:vAlign w:val="bottom"/>
          </w:tcPr>
          <w:p w14:paraId="16D661CC" w14:textId="77777777" w:rsidR="00724034" w:rsidRDefault="00FB7D0B">
            <w:pPr>
              <w:jc w:val="right"/>
              <w:rPr>
                <w:rFonts w:ascii="Arial" w:eastAsia="Arial" w:hAnsi="Arial" w:cs="Arial"/>
                <w:color w:val="000000"/>
                <w:sz w:val="16"/>
                <w:vertAlign w:val="superscript"/>
              </w:rPr>
            </w:pPr>
            <w:r>
              <w:rPr>
                <w:rFonts w:ascii="Arial" w:eastAsia="Arial" w:hAnsi="Arial" w:cs="Arial"/>
                <w:color w:val="000000"/>
                <w:sz w:val="16"/>
              </w:rPr>
              <w:t xml:space="preserve"> 1,047 </w:t>
            </w:r>
          </w:p>
        </w:tc>
        <w:tc>
          <w:tcPr>
            <w:tcW w:w="0" w:type="auto"/>
            <w:tcBorders>
              <w:top w:val="nil"/>
              <w:left w:val="nil"/>
              <w:bottom w:val="nil"/>
              <w:right w:val="nil"/>
              <w:tl2br w:val="nil"/>
              <w:tr2bl w:val="nil"/>
            </w:tcBorders>
            <w:shd w:val="clear" w:color="auto" w:fill="FFFF00"/>
            <w:tcMar>
              <w:left w:w="101" w:type="dxa"/>
              <w:right w:w="101" w:type="dxa"/>
            </w:tcMar>
            <w:vAlign w:val="bottom"/>
          </w:tcPr>
          <w:p w14:paraId="39728B0E" w14:textId="77777777" w:rsidR="00724034" w:rsidRDefault="00FB7D0B">
            <w:pPr>
              <w:jc w:val="right"/>
              <w:rPr>
                <w:rFonts w:ascii="Arial" w:eastAsia="Arial" w:hAnsi="Arial" w:cs="Arial"/>
                <w:color w:val="000000"/>
                <w:sz w:val="16"/>
              </w:rPr>
            </w:pPr>
            <w:r>
              <w:rPr>
                <w:rFonts w:ascii="Arial" w:eastAsia="Arial" w:hAnsi="Arial" w:cs="Arial"/>
                <w:color w:val="000000"/>
                <w:sz w:val="16"/>
              </w:rPr>
              <w:t xml:space="preserve"> 1,069 </w:t>
            </w:r>
          </w:p>
        </w:tc>
        <w:tc>
          <w:tcPr>
            <w:tcW w:w="0" w:type="auto"/>
            <w:tcBorders>
              <w:top w:val="nil"/>
              <w:left w:val="nil"/>
              <w:bottom w:val="nil"/>
              <w:right w:val="nil"/>
              <w:tl2br w:val="nil"/>
              <w:tr2bl w:val="nil"/>
            </w:tcBorders>
            <w:shd w:val="clear" w:color="auto" w:fill="FFFFFF"/>
            <w:tcMar>
              <w:left w:w="101" w:type="dxa"/>
              <w:right w:w="101" w:type="dxa"/>
            </w:tcMar>
            <w:vAlign w:val="bottom"/>
          </w:tcPr>
          <w:p w14:paraId="7A4D578C" w14:textId="77777777" w:rsidR="00724034" w:rsidRDefault="00FB7D0B">
            <w:pPr>
              <w:jc w:val="right"/>
              <w:rPr>
                <w:rFonts w:ascii="Arial" w:eastAsia="Arial" w:hAnsi="Arial" w:cs="Arial"/>
                <w:color w:val="000000"/>
                <w:sz w:val="16"/>
              </w:rPr>
            </w:pPr>
            <w:r>
              <w:rPr>
                <w:rFonts w:ascii="Arial" w:eastAsia="Arial" w:hAnsi="Arial" w:cs="Arial"/>
                <w:color w:val="000000"/>
                <w:sz w:val="16"/>
              </w:rPr>
              <w:t xml:space="preserve"> 1,067 </w:t>
            </w:r>
          </w:p>
        </w:tc>
        <w:tc>
          <w:tcPr>
            <w:tcW w:w="0" w:type="auto"/>
            <w:tcBorders>
              <w:top w:val="nil"/>
              <w:left w:val="nil"/>
              <w:bottom w:val="nil"/>
              <w:right w:val="nil"/>
              <w:tl2br w:val="nil"/>
              <w:tr2bl w:val="nil"/>
            </w:tcBorders>
            <w:shd w:val="clear" w:color="auto" w:fill="FFFFFF"/>
            <w:tcMar>
              <w:left w:w="101" w:type="dxa"/>
              <w:right w:w="101" w:type="dxa"/>
            </w:tcMar>
            <w:vAlign w:val="bottom"/>
          </w:tcPr>
          <w:p w14:paraId="0424904C" w14:textId="77777777" w:rsidR="00724034" w:rsidRDefault="00FB7D0B">
            <w:pPr>
              <w:jc w:val="right"/>
              <w:rPr>
                <w:rFonts w:ascii="Arial" w:eastAsia="Arial" w:hAnsi="Arial" w:cs="Arial"/>
                <w:color w:val="000000"/>
                <w:sz w:val="16"/>
              </w:rPr>
            </w:pPr>
            <w:r>
              <w:rPr>
                <w:rFonts w:ascii="Arial" w:eastAsia="Arial" w:hAnsi="Arial" w:cs="Arial"/>
                <w:color w:val="000000"/>
                <w:sz w:val="16"/>
              </w:rPr>
              <w:t xml:space="preserve"> 1,062 </w:t>
            </w:r>
          </w:p>
        </w:tc>
        <w:tc>
          <w:tcPr>
            <w:tcW w:w="0" w:type="auto"/>
            <w:tcBorders>
              <w:top w:val="nil"/>
              <w:left w:val="nil"/>
              <w:bottom w:val="nil"/>
              <w:right w:val="single" w:sz="6" w:space="0" w:color="000000"/>
              <w:tl2br w:val="nil"/>
              <w:tr2bl w:val="nil"/>
            </w:tcBorders>
            <w:shd w:val="clear" w:color="auto" w:fill="FFFFFF"/>
            <w:tcMar>
              <w:left w:w="101" w:type="dxa"/>
              <w:right w:w="101" w:type="dxa"/>
            </w:tcMar>
            <w:vAlign w:val="bottom"/>
          </w:tcPr>
          <w:p w14:paraId="09C05F99" w14:textId="77777777" w:rsidR="00724034" w:rsidRDefault="00FB7D0B">
            <w:pPr>
              <w:jc w:val="right"/>
              <w:rPr>
                <w:rFonts w:ascii="Arial" w:eastAsia="Arial" w:hAnsi="Arial" w:cs="Arial"/>
                <w:color w:val="000000"/>
                <w:sz w:val="16"/>
              </w:rPr>
            </w:pPr>
            <w:r>
              <w:rPr>
                <w:rFonts w:ascii="Arial" w:eastAsia="Arial" w:hAnsi="Arial" w:cs="Arial"/>
                <w:color w:val="000000"/>
                <w:sz w:val="16"/>
              </w:rPr>
              <w:t xml:space="preserve"> 1,057 </w:t>
            </w:r>
          </w:p>
        </w:tc>
      </w:tr>
      <w:tr w:rsidR="00FB7D0B" w14:paraId="6362657A" w14:textId="77777777" w:rsidTr="00FB7D0B">
        <w:tblPrEx>
          <w:shd w:val="clear" w:color="auto" w:fill="auto"/>
          <w:tblLook w:val="04A0" w:firstRow="1" w:lastRow="0" w:firstColumn="1" w:lastColumn="0" w:noHBand="0" w:noVBand="1"/>
        </w:tblPrEx>
        <w:trPr>
          <w:gridAfter w:val="1"/>
          <w:wAfter w:w="10" w:type="dxa"/>
          <w:trHeight w:val="225"/>
        </w:trPr>
        <w:tc>
          <w:tcPr>
            <w:tcW w:w="0" w:type="auto"/>
            <w:gridSpan w:val="3"/>
            <w:tcBorders>
              <w:top w:val="nil"/>
              <w:left w:val="single" w:sz="6" w:space="0" w:color="000000"/>
              <w:bottom w:val="nil"/>
              <w:right w:val="nil"/>
              <w:tl2br w:val="nil"/>
              <w:tr2bl w:val="nil"/>
            </w:tcBorders>
            <w:shd w:val="clear" w:color="auto" w:fill="FFFFFF"/>
            <w:tcMar>
              <w:left w:w="101" w:type="dxa"/>
              <w:right w:w="101" w:type="dxa"/>
            </w:tcMar>
            <w:vAlign w:val="bottom"/>
          </w:tcPr>
          <w:p w14:paraId="4DE95E15" w14:textId="77777777" w:rsidR="00724034" w:rsidRDefault="00FB7D0B">
            <w:pPr>
              <w:rPr>
                <w:rFonts w:ascii="Arial" w:eastAsia="Arial" w:hAnsi="Arial" w:cs="Arial"/>
                <w:color w:val="000000"/>
                <w:sz w:val="16"/>
              </w:rPr>
            </w:pPr>
            <w:r>
              <w:rPr>
                <w:rFonts w:ascii="Arial" w:eastAsia="Arial" w:hAnsi="Arial" w:cs="Arial"/>
                <w:color w:val="000000"/>
                <w:sz w:val="16"/>
              </w:rPr>
              <w:t>Programme support</w:t>
            </w:r>
          </w:p>
        </w:tc>
        <w:tc>
          <w:tcPr>
            <w:tcW w:w="0" w:type="auto"/>
            <w:tcBorders>
              <w:top w:val="nil"/>
              <w:left w:val="nil"/>
              <w:bottom w:val="nil"/>
              <w:right w:val="nil"/>
              <w:tl2br w:val="nil"/>
              <w:tr2bl w:val="nil"/>
            </w:tcBorders>
            <w:shd w:val="clear" w:color="auto" w:fill="FFFFFF"/>
            <w:tcMar>
              <w:left w:w="101" w:type="dxa"/>
              <w:right w:w="101" w:type="dxa"/>
            </w:tcMar>
            <w:vAlign w:val="bottom"/>
          </w:tcPr>
          <w:p w14:paraId="0CCB1AC2" w14:textId="77777777" w:rsidR="00724034" w:rsidRDefault="00FB7D0B">
            <w:pPr>
              <w:jc w:val="right"/>
              <w:rPr>
                <w:rFonts w:ascii="Arial" w:eastAsia="Arial" w:hAnsi="Arial" w:cs="Arial"/>
                <w:color w:val="000000"/>
                <w:sz w:val="16"/>
                <w:vertAlign w:val="superscript"/>
              </w:rPr>
            </w:pPr>
            <w:r>
              <w:rPr>
                <w:rFonts w:ascii="Arial" w:eastAsia="Arial" w:hAnsi="Arial" w:cs="Arial"/>
                <w:color w:val="000000"/>
                <w:sz w:val="16"/>
              </w:rPr>
              <w:t xml:space="preserve"> 26,831 </w:t>
            </w:r>
          </w:p>
        </w:tc>
        <w:tc>
          <w:tcPr>
            <w:tcW w:w="0" w:type="auto"/>
            <w:tcBorders>
              <w:top w:val="nil"/>
              <w:left w:val="nil"/>
              <w:bottom w:val="nil"/>
              <w:right w:val="nil"/>
              <w:tl2br w:val="nil"/>
              <w:tr2bl w:val="nil"/>
            </w:tcBorders>
            <w:shd w:val="clear" w:color="auto" w:fill="FFFF00"/>
            <w:tcMar>
              <w:left w:w="101" w:type="dxa"/>
              <w:right w:w="101" w:type="dxa"/>
            </w:tcMar>
            <w:vAlign w:val="bottom"/>
          </w:tcPr>
          <w:p w14:paraId="66CE30C2" w14:textId="77777777" w:rsidR="00724034" w:rsidRDefault="00FB7D0B">
            <w:pPr>
              <w:jc w:val="right"/>
              <w:rPr>
                <w:rFonts w:ascii="Arial" w:eastAsia="Arial" w:hAnsi="Arial" w:cs="Arial"/>
                <w:color w:val="000000"/>
                <w:sz w:val="16"/>
              </w:rPr>
            </w:pPr>
            <w:r>
              <w:rPr>
                <w:rFonts w:ascii="Arial" w:eastAsia="Arial" w:hAnsi="Arial" w:cs="Arial"/>
                <w:color w:val="000000"/>
                <w:sz w:val="16"/>
              </w:rPr>
              <w:t xml:space="preserve"> 26,220 </w:t>
            </w:r>
          </w:p>
        </w:tc>
        <w:tc>
          <w:tcPr>
            <w:tcW w:w="0" w:type="auto"/>
            <w:tcBorders>
              <w:top w:val="nil"/>
              <w:left w:val="nil"/>
              <w:bottom w:val="nil"/>
              <w:right w:val="nil"/>
              <w:tl2br w:val="nil"/>
              <w:tr2bl w:val="nil"/>
            </w:tcBorders>
            <w:shd w:val="clear" w:color="auto" w:fill="FFFFFF"/>
            <w:tcMar>
              <w:left w:w="101" w:type="dxa"/>
              <w:right w:w="101" w:type="dxa"/>
            </w:tcMar>
            <w:vAlign w:val="bottom"/>
          </w:tcPr>
          <w:p w14:paraId="0F3169BB" w14:textId="77777777" w:rsidR="00724034" w:rsidRDefault="00FB7D0B">
            <w:pPr>
              <w:jc w:val="right"/>
              <w:rPr>
                <w:rFonts w:ascii="Arial" w:eastAsia="Arial" w:hAnsi="Arial" w:cs="Arial"/>
                <w:color w:val="000000"/>
                <w:sz w:val="16"/>
              </w:rPr>
            </w:pPr>
            <w:r>
              <w:rPr>
                <w:rFonts w:ascii="Arial" w:eastAsia="Arial" w:hAnsi="Arial" w:cs="Arial"/>
                <w:color w:val="000000"/>
                <w:sz w:val="16"/>
              </w:rPr>
              <w:t xml:space="preserve"> 26,150 </w:t>
            </w:r>
          </w:p>
        </w:tc>
        <w:tc>
          <w:tcPr>
            <w:tcW w:w="0" w:type="auto"/>
            <w:tcBorders>
              <w:top w:val="nil"/>
              <w:left w:val="nil"/>
              <w:bottom w:val="nil"/>
              <w:right w:val="nil"/>
              <w:tl2br w:val="nil"/>
              <w:tr2bl w:val="nil"/>
            </w:tcBorders>
            <w:shd w:val="clear" w:color="auto" w:fill="FFFFFF"/>
            <w:tcMar>
              <w:left w:w="101" w:type="dxa"/>
              <w:right w:w="101" w:type="dxa"/>
            </w:tcMar>
            <w:vAlign w:val="bottom"/>
          </w:tcPr>
          <w:p w14:paraId="75B1E9F2" w14:textId="77777777" w:rsidR="00724034" w:rsidRDefault="00FB7D0B">
            <w:pPr>
              <w:jc w:val="right"/>
              <w:rPr>
                <w:rFonts w:ascii="Arial" w:eastAsia="Arial" w:hAnsi="Arial" w:cs="Arial"/>
                <w:color w:val="000000"/>
                <w:sz w:val="16"/>
              </w:rPr>
            </w:pPr>
            <w:r>
              <w:rPr>
                <w:rFonts w:ascii="Arial" w:eastAsia="Arial" w:hAnsi="Arial" w:cs="Arial"/>
                <w:color w:val="000000"/>
                <w:sz w:val="16"/>
              </w:rPr>
              <w:t xml:space="preserve"> 25,643 </w:t>
            </w:r>
          </w:p>
        </w:tc>
        <w:tc>
          <w:tcPr>
            <w:tcW w:w="0" w:type="auto"/>
            <w:tcBorders>
              <w:top w:val="nil"/>
              <w:left w:val="nil"/>
              <w:bottom w:val="nil"/>
              <w:right w:val="single" w:sz="6" w:space="0" w:color="000000"/>
              <w:tl2br w:val="nil"/>
              <w:tr2bl w:val="nil"/>
            </w:tcBorders>
            <w:shd w:val="clear" w:color="auto" w:fill="FFFFFF"/>
            <w:tcMar>
              <w:left w:w="101" w:type="dxa"/>
              <w:right w:w="101" w:type="dxa"/>
            </w:tcMar>
            <w:vAlign w:val="bottom"/>
          </w:tcPr>
          <w:p w14:paraId="4568DFE6" w14:textId="77777777" w:rsidR="00724034" w:rsidRDefault="00FB7D0B">
            <w:pPr>
              <w:jc w:val="right"/>
              <w:rPr>
                <w:rFonts w:ascii="Arial" w:eastAsia="Arial" w:hAnsi="Arial" w:cs="Arial"/>
                <w:color w:val="000000"/>
                <w:sz w:val="16"/>
              </w:rPr>
            </w:pPr>
            <w:r>
              <w:rPr>
                <w:rFonts w:ascii="Arial" w:eastAsia="Arial" w:hAnsi="Arial" w:cs="Arial"/>
                <w:color w:val="000000"/>
                <w:sz w:val="16"/>
              </w:rPr>
              <w:t xml:space="preserve"> 25,718 </w:t>
            </w:r>
          </w:p>
        </w:tc>
      </w:tr>
      <w:tr w:rsidR="00FB7D0B" w14:paraId="128806E7" w14:textId="77777777" w:rsidTr="00FB7D0B">
        <w:tblPrEx>
          <w:shd w:val="clear" w:color="auto" w:fill="auto"/>
          <w:tblLook w:val="04A0" w:firstRow="1" w:lastRow="0" w:firstColumn="1" w:lastColumn="0" w:noHBand="0" w:noVBand="1"/>
        </w:tblPrEx>
        <w:trPr>
          <w:gridAfter w:val="1"/>
          <w:wAfter w:w="10" w:type="dxa"/>
          <w:trHeight w:val="450"/>
        </w:trPr>
        <w:tc>
          <w:tcPr>
            <w:tcW w:w="0" w:type="auto"/>
            <w:gridSpan w:val="3"/>
            <w:tcBorders>
              <w:top w:val="single" w:sz="6" w:space="0" w:color="FFFFFF"/>
              <w:left w:val="single" w:sz="6" w:space="0" w:color="000000"/>
              <w:bottom w:val="single" w:sz="6" w:space="0" w:color="FFFFFF"/>
              <w:right w:val="nil"/>
              <w:tl2br w:val="nil"/>
              <w:tr2bl w:val="nil"/>
            </w:tcBorders>
            <w:shd w:val="clear" w:color="auto" w:fill="FFFFFF"/>
            <w:tcMar>
              <w:left w:w="101" w:type="dxa"/>
              <w:right w:w="101" w:type="dxa"/>
            </w:tcMar>
            <w:vAlign w:val="bottom"/>
          </w:tcPr>
          <w:p w14:paraId="50DBDAE0" w14:textId="77777777" w:rsidR="00724034" w:rsidRDefault="00FB7D0B">
            <w:pPr>
              <w:rPr>
                <w:rFonts w:ascii="Arial" w:eastAsia="Arial" w:hAnsi="Arial" w:cs="Arial"/>
                <w:color w:val="000000"/>
                <w:sz w:val="16"/>
              </w:rPr>
            </w:pPr>
            <w:r>
              <w:rPr>
                <w:rFonts w:ascii="Arial" w:eastAsia="Arial" w:hAnsi="Arial" w:cs="Arial"/>
                <w:color w:val="000000"/>
                <w:sz w:val="16"/>
              </w:rPr>
              <w:t>Expenses not requiring appropriation in the Budget year</w:t>
            </w:r>
            <w:r>
              <w:rPr>
                <w:rFonts w:ascii="Arial" w:eastAsia="Arial" w:hAnsi="Arial" w:cs="Arial"/>
                <w:color w:val="000000"/>
                <w:sz w:val="16"/>
                <w:vertAlign w:val="superscript"/>
              </w:rPr>
              <w:t>1 </w:t>
            </w:r>
          </w:p>
        </w:tc>
        <w:tc>
          <w:tcPr>
            <w:tcW w:w="0" w:type="auto"/>
            <w:tcBorders>
              <w:top w:val="nil"/>
              <w:left w:val="nil"/>
              <w:bottom w:val="nil"/>
              <w:right w:val="nil"/>
              <w:tl2br w:val="nil"/>
              <w:tr2bl w:val="nil"/>
            </w:tcBorders>
            <w:shd w:val="clear" w:color="auto" w:fill="FFFFFF"/>
            <w:tcMar>
              <w:left w:w="101" w:type="dxa"/>
              <w:right w:w="101" w:type="dxa"/>
            </w:tcMar>
            <w:vAlign w:val="bottom"/>
          </w:tcPr>
          <w:p w14:paraId="1D68B040" w14:textId="77777777" w:rsidR="00724034" w:rsidRDefault="00FB7D0B">
            <w:pPr>
              <w:jc w:val="right"/>
              <w:rPr>
                <w:rFonts w:ascii="Arial" w:eastAsia="Arial" w:hAnsi="Arial" w:cs="Arial"/>
                <w:color w:val="000000"/>
                <w:sz w:val="16"/>
                <w:vertAlign w:val="superscript"/>
              </w:rPr>
            </w:pPr>
            <w:r>
              <w:rPr>
                <w:rFonts w:ascii="Arial" w:eastAsia="Arial" w:hAnsi="Arial" w:cs="Arial"/>
                <w:color w:val="000000"/>
                <w:sz w:val="16"/>
              </w:rPr>
              <w:t xml:space="preserve"> 3,240 </w:t>
            </w:r>
          </w:p>
        </w:tc>
        <w:tc>
          <w:tcPr>
            <w:tcW w:w="0" w:type="auto"/>
            <w:tcBorders>
              <w:top w:val="nil"/>
              <w:left w:val="nil"/>
              <w:bottom w:val="nil"/>
              <w:right w:val="nil"/>
              <w:tl2br w:val="nil"/>
              <w:tr2bl w:val="nil"/>
            </w:tcBorders>
            <w:shd w:val="clear" w:color="auto" w:fill="FFFF00"/>
            <w:tcMar>
              <w:left w:w="101" w:type="dxa"/>
              <w:right w:w="101" w:type="dxa"/>
            </w:tcMar>
            <w:vAlign w:val="bottom"/>
          </w:tcPr>
          <w:p w14:paraId="543E37CD" w14:textId="77777777" w:rsidR="00724034" w:rsidRDefault="00FB7D0B">
            <w:pPr>
              <w:jc w:val="right"/>
              <w:rPr>
                <w:rFonts w:ascii="Arial" w:eastAsia="Arial" w:hAnsi="Arial" w:cs="Arial"/>
                <w:color w:val="000000"/>
                <w:sz w:val="16"/>
              </w:rPr>
            </w:pPr>
            <w:r>
              <w:rPr>
                <w:rFonts w:ascii="Arial" w:eastAsia="Arial" w:hAnsi="Arial" w:cs="Arial"/>
                <w:color w:val="000000"/>
                <w:sz w:val="16"/>
              </w:rPr>
              <w:t xml:space="preserve"> 3,620 </w:t>
            </w:r>
          </w:p>
        </w:tc>
        <w:tc>
          <w:tcPr>
            <w:tcW w:w="0" w:type="auto"/>
            <w:tcBorders>
              <w:top w:val="nil"/>
              <w:left w:val="nil"/>
              <w:bottom w:val="nil"/>
              <w:right w:val="nil"/>
              <w:tl2br w:val="nil"/>
              <w:tr2bl w:val="nil"/>
            </w:tcBorders>
            <w:shd w:val="clear" w:color="auto" w:fill="FFFFFF"/>
            <w:tcMar>
              <w:left w:w="101" w:type="dxa"/>
              <w:right w:w="101" w:type="dxa"/>
            </w:tcMar>
            <w:vAlign w:val="bottom"/>
          </w:tcPr>
          <w:p w14:paraId="71EFA848" w14:textId="77777777" w:rsidR="00724034" w:rsidRDefault="00FB7D0B">
            <w:pPr>
              <w:jc w:val="right"/>
              <w:rPr>
                <w:rFonts w:ascii="Arial" w:eastAsia="Arial" w:hAnsi="Arial" w:cs="Arial"/>
                <w:color w:val="000000"/>
                <w:sz w:val="16"/>
              </w:rPr>
            </w:pPr>
            <w:r>
              <w:rPr>
                <w:rFonts w:ascii="Arial" w:eastAsia="Arial" w:hAnsi="Arial" w:cs="Arial"/>
                <w:color w:val="000000"/>
                <w:sz w:val="16"/>
              </w:rPr>
              <w:t xml:space="preserve"> 3,338 </w:t>
            </w:r>
          </w:p>
        </w:tc>
        <w:tc>
          <w:tcPr>
            <w:tcW w:w="0" w:type="auto"/>
            <w:tcBorders>
              <w:top w:val="nil"/>
              <w:left w:val="nil"/>
              <w:bottom w:val="nil"/>
              <w:right w:val="nil"/>
              <w:tl2br w:val="nil"/>
              <w:tr2bl w:val="nil"/>
            </w:tcBorders>
            <w:shd w:val="clear" w:color="auto" w:fill="FFFFFF"/>
            <w:tcMar>
              <w:left w:w="101" w:type="dxa"/>
              <w:right w:w="101" w:type="dxa"/>
            </w:tcMar>
            <w:vAlign w:val="bottom"/>
          </w:tcPr>
          <w:p w14:paraId="1217D92E" w14:textId="77777777" w:rsidR="00724034" w:rsidRDefault="00FB7D0B">
            <w:pPr>
              <w:jc w:val="right"/>
              <w:rPr>
                <w:rFonts w:ascii="Arial" w:eastAsia="Arial" w:hAnsi="Arial" w:cs="Arial"/>
                <w:color w:val="000000"/>
                <w:sz w:val="16"/>
              </w:rPr>
            </w:pPr>
            <w:r>
              <w:rPr>
                <w:rFonts w:ascii="Arial" w:eastAsia="Arial" w:hAnsi="Arial" w:cs="Arial"/>
                <w:color w:val="000000"/>
                <w:sz w:val="16"/>
              </w:rPr>
              <w:t xml:space="preserve"> 3,082 </w:t>
            </w:r>
          </w:p>
        </w:tc>
        <w:tc>
          <w:tcPr>
            <w:tcW w:w="0" w:type="auto"/>
            <w:tcBorders>
              <w:top w:val="nil"/>
              <w:left w:val="nil"/>
              <w:bottom w:val="nil"/>
              <w:right w:val="single" w:sz="6" w:space="0" w:color="000000"/>
              <w:tl2br w:val="nil"/>
              <w:tr2bl w:val="nil"/>
            </w:tcBorders>
            <w:shd w:val="clear" w:color="auto" w:fill="FFFFFF"/>
            <w:tcMar>
              <w:left w:w="101" w:type="dxa"/>
              <w:right w:w="101" w:type="dxa"/>
            </w:tcMar>
            <w:vAlign w:val="bottom"/>
          </w:tcPr>
          <w:p w14:paraId="37F3797A" w14:textId="77777777" w:rsidR="00724034" w:rsidRDefault="00FB7D0B">
            <w:pPr>
              <w:jc w:val="right"/>
              <w:rPr>
                <w:rFonts w:ascii="Arial" w:eastAsia="Arial" w:hAnsi="Arial" w:cs="Arial"/>
                <w:color w:val="000000"/>
                <w:sz w:val="16"/>
              </w:rPr>
            </w:pPr>
            <w:r>
              <w:rPr>
                <w:rFonts w:ascii="Arial" w:eastAsia="Arial" w:hAnsi="Arial" w:cs="Arial"/>
                <w:color w:val="000000"/>
                <w:sz w:val="16"/>
              </w:rPr>
              <w:t xml:space="preserve"> 2,571 </w:t>
            </w:r>
          </w:p>
        </w:tc>
      </w:tr>
      <w:tr w:rsidR="00724034" w14:paraId="69EAEB6F" w14:textId="77777777">
        <w:tblPrEx>
          <w:shd w:val="clear" w:color="auto" w:fill="auto"/>
          <w:tblLook w:val="04A0" w:firstRow="1" w:lastRow="0" w:firstColumn="1" w:lastColumn="0" w:noHBand="0" w:noVBand="1"/>
        </w:tblPrEx>
        <w:trPr>
          <w:gridAfter w:val="1"/>
          <w:wAfter w:w="10" w:type="dxa"/>
          <w:trHeight w:val="60"/>
        </w:trPr>
        <w:tc>
          <w:tcPr>
            <w:tcW w:w="0" w:type="auto"/>
            <w:tcBorders>
              <w:top w:val="single" w:sz="6" w:space="0" w:color="FFFFFF"/>
              <w:left w:val="single" w:sz="6" w:space="0" w:color="000000"/>
              <w:bottom w:val="nil"/>
              <w:right w:val="nil"/>
              <w:tl2br w:val="nil"/>
              <w:tr2bl w:val="nil"/>
            </w:tcBorders>
            <w:shd w:val="clear" w:color="auto" w:fill="FFFFFF"/>
            <w:tcMar>
              <w:left w:w="101" w:type="dxa"/>
              <w:right w:w="101" w:type="dxa"/>
            </w:tcMar>
            <w:vAlign w:val="bottom"/>
          </w:tcPr>
          <w:p w14:paraId="077D8DA2" w14:textId="77777777" w:rsidR="00724034" w:rsidRDefault="00724034">
            <w:pPr>
              <w:rPr>
                <w:rFonts w:ascii="Arial" w:eastAsia="Arial" w:hAnsi="Arial" w:cs="Arial"/>
                <w:color w:val="000000"/>
                <w:sz w:val="16"/>
              </w:rPr>
            </w:pPr>
          </w:p>
        </w:tc>
        <w:tc>
          <w:tcPr>
            <w:tcW w:w="0" w:type="auto"/>
            <w:tcBorders>
              <w:top w:val="single" w:sz="6" w:space="0" w:color="FFFFFF"/>
              <w:left w:val="nil"/>
              <w:bottom w:val="nil"/>
              <w:right w:val="nil"/>
              <w:tl2br w:val="nil"/>
              <w:tr2bl w:val="nil"/>
            </w:tcBorders>
            <w:shd w:val="clear" w:color="auto" w:fill="FFFFFF"/>
            <w:tcMar>
              <w:left w:w="101" w:type="dxa"/>
              <w:right w:w="101" w:type="dxa"/>
            </w:tcMar>
            <w:vAlign w:val="bottom"/>
          </w:tcPr>
          <w:p w14:paraId="76AF3ECA" w14:textId="77777777" w:rsidR="00724034" w:rsidRDefault="00724034">
            <w:pPr>
              <w:rPr>
                <w:rFonts w:ascii="Arial" w:eastAsia="Arial" w:hAnsi="Arial" w:cs="Arial"/>
                <w:color w:val="000000"/>
                <w:sz w:val="16"/>
              </w:rPr>
            </w:pPr>
          </w:p>
        </w:tc>
        <w:tc>
          <w:tcPr>
            <w:tcW w:w="0" w:type="auto"/>
            <w:tcBorders>
              <w:top w:val="single" w:sz="6" w:space="0" w:color="FFFFFF"/>
              <w:left w:val="nil"/>
              <w:bottom w:val="nil"/>
              <w:right w:val="nil"/>
              <w:tl2br w:val="nil"/>
              <w:tr2bl w:val="nil"/>
            </w:tcBorders>
            <w:shd w:val="clear" w:color="auto" w:fill="FFFFFF"/>
            <w:tcMar>
              <w:left w:w="101" w:type="dxa"/>
              <w:right w:w="101" w:type="dxa"/>
            </w:tcMar>
            <w:vAlign w:val="bottom"/>
          </w:tcPr>
          <w:p w14:paraId="3C08BB67" w14:textId="77777777" w:rsidR="00724034" w:rsidRDefault="00724034">
            <w:pPr>
              <w:rPr>
                <w:rFonts w:ascii="Arial" w:eastAsia="Arial" w:hAnsi="Arial" w:cs="Arial"/>
                <w:color w:val="000000"/>
                <w:sz w:val="16"/>
              </w:rPr>
            </w:pPr>
          </w:p>
        </w:tc>
        <w:tc>
          <w:tcPr>
            <w:tcW w:w="0" w:type="auto"/>
            <w:tcBorders>
              <w:top w:val="nil"/>
              <w:left w:val="nil"/>
              <w:bottom w:val="single" w:sz="6" w:space="0" w:color="000000"/>
              <w:right w:val="nil"/>
              <w:tl2br w:val="nil"/>
              <w:tr2bl w:val="nil"/>
            </w:tcBorders>
            <w:shd w:val="clear" w:color="auto" w:fill="FFFFFF"/>
            <w:tcMar>
              <w:left w:w="101" w:type="dxa"/>
              <w:right w:w="101" w:type="dxa"/>
            </w:tcMar>
            <w:vAlign w:val="bottom"/>
          </w:tcPr>
          <w:p w14:paraId="360A272D" w14:textId="77777777" w:rsidR="00724034" w:rsidRDefault="00724034">
            <w:pPr>
              <w:jc w:val="right"/>
              <w:rPr>
                <w:rFonts w:ascii="Arial" w:eastAsia="Arial" w:hAnsi="Arial" w:cs="Arial"/>
                <w:color w:val="000000"/>
                <w:sz w:val="16"/>
                <w:vertAlign w:val="superscript"/>
              </w:rPr>
            </w:pPr>
          </w:p>
        </w:tc>
        <w:tc>
          <w:tcPr>
            <w:tcW w:w="0" w:type="auto"/>
            <w:tcBorders>
              <w:top w:val="nil"/>
              <w:left w:val="nil"/>
              <w:bottom w:val="single" w:sz="6" w:space="0" w:color="000000"/>
              <w:right w:val="nil"/>
              <w:tl2br w:val="nil"/>
              <w:tr2bl w:val="nil"/>
            </w:tcBorders>
            <w:shd w:val="clear" w:color="auto" w:fill="FFFF00"/>
            <w:tcMar>
              <w:left w:w="101" w:type="dxa"/>
              <w:right w:w="101" w:type="dxa"/>
            </w:tcMar>
            <w:vAlign w:val="bottom"/>
          </w:tcPr>
          <w:p w14:paraId="3E8DAB23" w14:textId="77777777" w:rsidR="00724034" w:rsidRDefault="00724034">
            <w:pPr>
              <w:jc w:val="right"/>
              <w:rPr>
                <w:rFonts w:ascii="Arial" w:eastAsia="Arial" w:hAnsi="Arial" w:cs="Arial"/>
                <w:color w:val="000000"/>
                <w:sz w:val="16"/>
                <w:vertAlign w:val="superscript"/>
              </w:rPr>
            </w:pPr>
          </w:p>
        </w:tc>
        <w:tc>
          <w:tcPr>
            <w:tcW w:w="0" w:type="auto"/>
            <w:tcBorders>
              <w:top w:val="nil"/>
              <w:left w:val="nil"/>
              <w:bottom w:val="single" w:sz="6" w:space="0" w:color="000000"/>
              <w:right w:val="nil"/>
              <w:tl2br w:val="nil"/>
              <w:tr2bl w:val="nil"/>
            </w:tcBorders>
            <w:shd w:val="clear" w:color="auto" w:fill="FFFFFF"/>
            <w:tcMar>
              <w:left w:w="101" w:type="dxa"/>
              <w:right w:w="101" w:type="dxa"/>
            </w:tcMar>
            <w:vAlign w:val="bottom"/>
          </w:tcPr>
          <w:p w14:paraId="5BEB239F" w14:textId="77777777" w:rsidR="00724034" w:rsidRDefault="00724034">
            <w:pPr>
              <w:jc w:val="right"/>
              <w:rPr>
                <w:rFonts w:ascii="Arial" w:eastAsia="Arial" w:hAnsi="Arial" w:cs="Arial"/>
                <w:color w:val="000000"/>
                <w:sz w:val="16"/>
                <w:vertAlign w:val="superscript"/>
              </w:rPr>
            </w:pPr>
          </w:p>
        </w:tc>
        <w:tc>
          <w:tcPr>
            <w:tcW w:w="0" w:type="auto"/>
            <w:tcBorders>
              <w:top w:val="nil"/>
              <w:left w:val="nil"/>
              <w:bottom w:val="single" w:sz="6" w:space="0" w:color="000000"/>
              <w:right w:val="nil"/>
              <w:tl2br w:val="nil"/>
              <w:tr2bl w:val="nil"/>
            </w:tcBorders>
            <w:shd w:val="clear" w:color="auto" w:fill="FFFFFF"/>
            <w:tcMar>
              <w:left w:w="101" w:type="dxa"/>
              <w:right w:w="101" w:type="dxa"/>
            </w:tcMar>
            <w:vAlign w:val="bottom"/>
          </w:tcPr>
          <w:p w14:paraId="66C276A8" w14:textId="77777777" w:rsidR="00724034" w:rsidRDefault="00724034">
            <w:pPr>
              <w:jc w:val="right"/>
              <w:rPr>
                <w:rFonts w:ascii="Arial" w:eastAsia="Arial" w:hAnsi="Arial" w:cs="Arial"/>
                <w:color w:val="000000"/>
                <w:sz w:val="16"/>
                <w:vertAlign w:val="superscript"/>
              </w:rPr>
            </w:pPr>
          </w:p>
        </w:tc>
        <w:tc>
          <w:tcPr>
            <w:tcW w:w="0" w:type="auto"/>
            <w:tcBorders>
              <w:top w:val="nil"/>
              <w:left w:val="nil"/>
              <w:bottom w:val="single" w:sz="6" w:space="0" w:color="000000"/>
              <w:right w:val="single" w:sz="6" w:space="0" w:color="000000"/>
              <w:tl2br w:val="nil"/>
              <w:tr2bl w:val="nil"/>
            </w:tcBorders>
            <w:shd w:val="clear" w:color="auto" w:fill="FFFFFF"/>
            <w:tcMar>
              <w:left w:w="101" w:type="dxa"/>
              <w:right w:w="101" w:type="dxa"/>
            </w:tcMar>
            <w:vAlign w:val="bottom"/>
          </w:tcPr>
          <w:p w14:paraId="4D4EFA73" w14:textId="77777777" w:rsidR="00724034" w:rsidRDefault="00724034">
            <w:pPr>
              <w:jc w:val="right"/>
              <w:rPr>
                <w:rFonts w:ascii="Arial" w:eastAsia="Arial" w:hAnsi="Arial" w:cs="Arial"/>
                <w:color w:val="000000"/>
                <w:sz w:val="16"/>
                <w:vertAlign w:val="superscript"/>
              </w:rPr>
            </w:pPr>
          </w:p>
        </w:tc>
      </w:tr>
      <w:tr w:rsidR="00FB7D0B" w14:paraId="18CE6DE9" w14:textId="77777777" w:rsidTr="00FB7D0B">
        <w:tblPrEx>
          <w:shd w:val="clear" w:color="auto" w:fill="auto"/>
          <w:tblLook w:val="04A0" w:firstRow="1" w:lastRow="0" w:firstColumn="1" w:lastColumn="0" w:noHBand="0" w:noVBand="1"/>
        </w:tblPrEx>
        <w:trPr>
          <w:gridAfter w:val="1"/>
          <w:wAfter w:w="10" w:type="dxa"/>
          <w:trHeight w:val="225"/>
        </w:trPr>
        <w:tc>
          <w:tcPr>
            <w:tcW w:w="0" w:type="auto"/>
            <w:gridSpan w:val="3"/>
            <w:tcBorders>
              <w:top w:val="nil"/>
              <w:left w:val="single" w:sz="6" w:space="0" w:color="000000"/>
              <w:bottom w:val="single" w:sz="6" w:space="0" w:color="000000"/>
              <w:right w:val="nil"/>
              <w:tl2br w:val="nil"/>
              <w:tr2bl w:val="nil"/>
            </w:tcBorders>
            <w:shd w:val="clear" w:color="auto" w:fill="FFFFFF"/>
            <w:tcMar>
              <w:left w:w="101" w:type="dxa"/>
              <w:right w:w="101" w:type="dxa"/>
            </w:tcMar>
            <w:vAlign w:val="bottom"/>
          </w:tcPr>
          <w:p w14:paraId="74570379" w14:textId="77777777" w:rsidR="00724034" w:rsidRDefault="00FB7D0B">
            <w:pPr>
              <w:rPr>
                <w:rFonts w:ascii="Arial" w:eastAsia="Arial" w:hAnsi="Arial" w:cs="Arial"/>
                <w:color w:val="000000"/>
                <w:sz w:val="16"/>
                <w:vertAlign w:val="superscript"/>
              </w:rPr>
            </w:pPr>
            <w:r>
              <w:rPr>
                <w:rFonts w:ascii="Arial" w:eastAsia="Arial" w:hAnsi="Arial" w:cs="Arial"/>
                <w:b/>
                <w:color w:val="000000"/>
                <w:sz w:val="16"/>
              </w:rPr>
              <w:t xml:space="preserve">Total programme expenses </w:t>
            </w:r>
          </w:p>
        </w:tc>
        <w:tc>
          <w:tcPr>
            <w:tcW w:w="0" w:type="auto"/>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492D265A" w14:textId="77777777" w:rsidR="00724034" w:rsidRDefault="00FB7D0B">
            <w:pPr>
              <w:jc w:val="right"/>
              <w:rPr>
                <w:rFonts w:ascii="Arial" w:eastAsia="Arial" w:hAnsi="Arial" w:cs="Arial"/>
                <w:b/>
                <w:color w:val="000000"/>
                <w:sz w:val="16"/>
                <w:vertAlign w:val="superscript"/>
              </w:rPr>
            </w:pPr>
            <w:r>
              <w:rPr>
                <w:rFonts w:ascii="Arial" w:eastAsia="Arial" w:hAnsi="Arial" w:cs="Arial"/>
                <w:b/>
                <w:color w:val="000000"/>
                <w:sz w:val="16"/>
              </w:rPr>
              <w:t>1,644,795 </w:t>
            </w:r>
          </w:p>
        </w:tc>
        <w:tc>
          <w:tcPr>
            <w:tcW w:w="0" w:type="auto"/>
            <w:tcBorders>
              <w:top w:val="single" w:sz="6" w:space="0" w:color="000000"/>
              <w:left w:val="nil"/>
              <w:bottom w:val="single" w:sz="6" w:space="0" w:color="000000"/>
              <w:right w:val="nil"/>
              <w:tl2br w:val="nil"/>
              <w:tr2bl w:val="nil"/>
            </w:tcBorders>
            <w:shd w:val="clear" w:color="auto" w:fill="FFFF00"/>
            <w:tcMar>
              <w:left w:w="101" w:type="dxa"/>
              <w:right w:w="101" w:type="dxa"/>
            </w:tcMar>
            <w:vAlign w:val="bottom"/>
          </w:tcPr>
          <w:p w14:paraId="64252C06" w14:textId="77777777" w:rsidR="00724034" w:rsidRDefault="00FB7D0B">
            <w:pPr>
              <w:jc w:val="right"/>
              <w:rPr>
                <w:rFonts w:ascii="Arial" w:eastAsia="Arial" w:hAnsi="Arial" w:cs="Arial"/>
                <w:b/>
                <w:color w:val="000000"/>
                <w:sz w:val="16"/>
              </w:rPr>
            </w:pPr>
            <w:r>
              <w:rPr>
                <w:rFonts w:ascii="Arial" w:eastAsia="Arial" w:hAnsi="Arial" w:cs="Arial"/>
                <w:b/>
                <w:color w:val="000000"/>
                <w:sz w:val="16"/>
              </w:rPr>
              <w:t>1,790,243 </w:t>
            </w:r>
          </w:p>
        </w:tc>
        <w:tc>
          <w:tcPr>
            <w:tcW w:w="0" w:type="auto"/>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0116E083" w14:textId="77777777" w:rsidR="00724034" w:rsidRDefault="00FB7D0B">
            <w:pPr>
              <w:jc w:val="right"/>
              <w:rPr>
                <w:rFonts w:ascii="Arial" w:eastAsia="Arial" w:hAnsi="Arial" w:cs="Arial"/>
                <w:b/>
                <w:color w:val="000000"/>
                <w:sz w:val="16"/>
              </w:rPr>
            </w:pPr>
            <w:r>
              <w:rPr>
                <w:rFonts w:ascii="Arial" w:eastAsia="Arial" w:hAnsi="Arial" w:cs="Arial"/>
                <w:b/>
                <w:color w:val="000000"/>
                <w:sz w:val="16"/>
              </w:rPr>
              <w:t>1,894,457 </w:t>
            </w:r>
          </w:p>
        </w:tc>
        <w:tc>
          <w:tcPr>
            <w:tcW w:w="0" w:type="auto"/>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65AFBE81" w14:textId="77777777" w:rsidR="00724034" w:rsidRDefault="00FB7D0B">
            <w:pPr>
              <w:jc w:val="right"/>
              <w:rPr>
                <w:rFonts w:ascii="Arial" w:eastAsia="Arial" w:hAnsi="Arial" w:cs="Arial"/>
                <w:b/>
                <w:color w:val="000000"/>
                <w:sz w:val="16"/>
              </w:rPr>
            </w:pPr>
            <w:r>
              <w:rPr>
                <w:rFonts w:ascii="Arial" w:eastAsia="Arial" w:hAnsi="Arial" w:cs="Arial"/>
                <w:b/>
                <w:color w:val="000000"/>
                <w:sz w:val="16"/>
              </w:rPr>
              <w:t>2,014,632 </w:t>
            </w:r>
          </w:p>
        </w:tc>
        <w:tc>
          <w:tcPr>
            <w:tcW w:w="0" w:type="auto"/>
            <w:tcBorders>
              <w:top w:val="single" w:sz="6" w:space="0" w:color="000000"/>
              <w:left w:val="nil"/>
              <w:bottom w:val="single" w:sz="6" w:space="0" w:color="000000"/>
              <w:right w:val="single" w:sz="6" w:space="0" w:color="000000"/>
              <w:tl2br w:val="nil"/>
              <w:tr2bl w:val="nil"/>
            </w:tcBorders>
            <w:shd w:val="clear" w:color="auto" w:fill="FFFFFF"/>
            <w:tcMar>
              <w:left w:w="101" w:type="dxa"/>
              <w:right w:w="101" w:type="dxa"/>
            </w:tcMar>
            <w:vAlign w:val="bottom"/>
          </w:tcPr>
          <w:p w14:paraId="222C4E8E" w14:textId="77777777" w:rsidR="00724034" w:rsidRDefault="00FB7D0B">
            <w:pPr>
              <w:jc w:val="right"/>
              <w:rPr>
                <w:rFonts w:ascii="Arial" w:eastAsia="Arial" w:hAnsi="Arial" w:cs="Arial"/>
                <w:b/>
                <w:color w:val="000000"/>
                <w:sz w:val="16"/>
              </w:rPr>
            </w:pPr>
            <w:r>
              <w:rPr>
                <w:rFonts w:ascii="Arial" w:eastAsia="Arial" w:hAnsi="Arial" w:cs="Arial"/>
                <w:b/>
                <w:color w:val="000000"/>
                <w:sz w:val="16"/>
              </w:rPr>
              <w:t>2,157,854 </w:t>
            </w:r>
          </w:p>
        </w:tc>
      </w:tr>
    </w:tbl>
    <w:p w14:paraId="425B52B2" w14:textId="77777777" w:rsidR="00724034" w:rsidRDefault="00724034">
      <w:pPr>
        <w:rPr>
          <w:rFonts w:ascii="Times New Roman" w:eastAsia="Times New Roman" w:hAnsi="Times New Roman" w:cs="Times New Roman"/>
        </w:rPr>
      </w:pPr>
    </w:p>
    <w:p w14:paraId="44804257" w14:textId="77777777" w:rsidR="003F0EEA" w:rsidRPr="004D4F1D" w:rsidRDefault="00FB7D0B" w:rsidP="003F0EEA">
      <w:pPr>
        <w:pStyle w:val="ListParagraph12"/>
        <w:numPr>
          <w:ilvl w:val="0"/>
          <w:numId w:val="38"/>
        </w:numPr>
        <w:spacing w:after="200" w:line="276" w:lineRule="auto"/>
        <w:ind w:left="284" w:hanging="284"/>
        <w:rPr>
          <w:rFonts w:ascii="Arial" w:eastAsia="Calibri" w:hAnsi="Arial" w:cs="Arial"/>
          <w:sz w:val="16"/>
          <w:szCs w:val="16"/>
          <w:lang w:eastAsia="en-US"/>
        </w:rPr>
      </w:pPr>
      <w:r w:rsidRPr="004D4F1D">
        <w:rPr>
          <w:rFonts w:ascii="Arial" w:eastAsia="Calibri" w:hAnsi="Arial" w:cs="Arial"/>
          <w:sz w:val="16"/>
          <w:szCs w:val="16"/>
          <w:lang w:eastAsia="en-US"/>
        </w:rPr>
        <w:t xml:space="preserve">Expenses not requiring appropriation in the Budget year is made up of Depreciation Expense, Amortisation </w:t>
      </w:r>
      <w:r w:rsidRPr="004D4F1D">
        <w:rPr>
          <w:rFonts w:ascii="Arial" w:eastAsia="Calibri" w:hAnsi="Arial" w:cs="Arial"/>
          <w:sz w:val="16"/>
          <w:szCs w:val="16"/>
          <w:lang w:eastAsia="en-US"/>
        </w:rPr>
        <w:br/>
        <w:t xml:space="preserve">Expense and Resources Received Free of Charge. </w:t>
      </w:r>
    </w:p>
    <w:p w14:paraId="077DEEFB" w14:textId="77777777" w:rsidR="003F0EEA" w:rsidRPr="004D4F1D" w:rsidRDefault="003F0EEA">
      <w:pPr>
        <w:rPr>
          <w:rFonts w:ascii="Times New Roman" w:hAnsi="Times New Roman" w:cs="Times New Roman"/>
          <w:sz w:val="24"/>
          <w:szCs w:val="16"/>
          <w:lang w:eastAsia="en-US"/>
        </w:rPr>
      </w:pPr>
    </w:p>
    <w:tbl>
      <w:tblPr>
        <w:tblW w:w="8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80"/>
      </w:tblGrid>
      <w:tr w:rsidR="00724034" w14:paraId="560EFF11" w14:textId="77777777" w:rsidTr="003F0EEA">
        <w:tc>
          <w:tcPr>
            <w:tcW w:w="8080" w:type="dxa"/>
            <w:tcBorders>
              <w:top w:val="single" w:sz="4" w:space="0" w:color="auto"/>
              <w:left w:val="single" w:sz="4" w:space="0" w:color="auto"/>
              <w:bottom w:val="single" w:sz="4" w:space="0" w:color="auto"/>
              <w:right w:val="single" w:sz="4" w:space="0" w:color="auto"/>
            </w:tcBorders>
          </w:tcPr>
          <w:p w14:paraId="0545D1D4" w14:textId="77777777" w:rsidR="003F0EEA" w:rsidRDefault="00FB7D0B" w:rsidP="003F0EEA">
            <w:pPr>
              <w:pStyle w:val="TableTextLeft29"/>
              <w:rPr>
                <w:b/>
              </w:rPr>
            </w:pPr>
            <w:r>
              <w:rPr>
                <w:b/>
              </w:rPr>
              <w:t>Programme 2.4 deliverables</w:t>
            </w:r>
          </w:p>
          <w:p w14:paraId="628F5FCC" w14:textId="77777777" w:rsidR="003F0EEA" w:rsidRPr="00012E70" w:rsidRDefault="00FB7D0B" w:rsidP="003F0EEA">
            <w:pPr>
              <w:pStyle w:val="TableTextBullet16"/>
              <w:numPr>
                <w:ilvl w:val="0"/>
                <w:numId w:val="0"/>
              </w:numPr>
              <w:spacing w:before="0"/>
              <w:rPr>
                <w:sz w:val="16"/>
                <w:szCs w:val="16"/>
              </w:rPr>
            </w:pPr>
            <w:r w:rsidRPr="00012E70">
              <w:rPr>
                <w:sz w:val="16"/>
                <w:szCs w:val="16"/>
              </w:rPr>
              <w:t>Veterans’ Home Care (VHC)</w:t>
            </w:r>
          </w:p>
          <w:p w14:paraId="315AEE46" w14:textId="77777777" w:rsidR="003F0EEA" w:rsidRDefault="00FB7D0B" w:rsidP="003F0EEA">
            <w:pPr>
              <w:pStyle w:val="TableTextBullet16"/>
              <w:spacing w:before="0" w:line="80" w:lineRule="atLeast"/>
              <w:rPr>
                <w:rFonts w:cs="Arial"/>
                <w:sz w:val="16"/>
                <w:szCs w:val="16"/>
              </w:rPr>
            </w:pPr>
            <w:r>
              <w:rPr>
                <w:rFonts w:cs="Arial"/>
                <w:sz w:val="16"/>
                <w:szCs w:val="16"/>
              </w:rPr>
              <w:t xml:space="preserve">The VHC programme supports veterans and war widow/ers in their own homes to improve their quality of life, independence and health, in particular, maintaining independent functioning within the home environment. The veteran community is ageing and increasingly requiring higher levels of services from the VHC programme to remain in their own homes. The provision of these services helps to delay entry to residential aged care and maximises independence for veterans and war widow/ers. </w:t>
            </w:r>
          </w:p>
          <w:p w14:paraId="0873D31E" w14:textId="77777777" w:rsidR="003F0EEA" w:rsidRDefault="00FB7D0B" w:rsidP="003F0EEA">
            <w:pPr>
              <w:pStyle w:val="TableTextBullet16"/>
              <w:spacing w:before="0" w:line="80" w:lineRule="atLeast"/>
              <w:rPr>
                <w:rFonts w:cs="Arial"/>
                <w:sz w:val="16"/>
                <w:szCs w:val="16"/>
              </w:rPr>
            </w:pPr>
            <w:r w:rsidRPr="00801612">
              <w:rPr>
                <w:rFonts w:cs="Arial"/>
                <w:sz w:val="16"/>
                <w:szCs w:val="16"/>
              </w:rPr>
              <w:t>The Department contracts with 1</w:t>
            </w:r>
            <w:r>
              <w:rPr>
                <w:rFonts w:cs="Arial"/>
                <w:sz w:val="16"/>
                <w:szCs w:val="16"/>
              </w:rPr>
              <w:t>74</w:t>
            </w:r>
            <w:r w:rsidRPr="00801612">
              <w:rPr>
                <w:rFonts w:cs="Arial"/>
                <w:sz w:val="16"/>
                <w:szCs w:val="16"/>
              </w:rPr>
              <w:t xml:space="preserve"> organisations across Australia to assess veterans and war widow/ers for VHC services and to deliver those servic</w:t>
            </w:r>
            <w:r>
              <w:rPr>
                <w:rFonts w:cs="Arial"/>
                <w:sz w:val="16"/>
                <w:szCs w:val="16"/>
              </w:rPr>
              <w:t xml:space="preserve">es. It is estimated that around 63,500 </w:t>
            </w:r>
            <w:r w:rsidRPr="00801612">
              <w:rPr>
                <w:rFonts w:cs="Arial"/>
                <w:sz w:val="16"/>
                <w:szCs w:val="16"/>
              </w:rPr>
              <w:t xml:space="preserve">veterans and war widow/ers will receive VHC services in </w:t>
            </w:r>
            <w:r>
              <w:rPr>
                <w:rFonts w:cs="Arial"/>
                <w:sz w:val="16"/>
                <w:szCs w:val="16"/>
              </w:rPr>
              <w:t>2014-15</w:t>
            </w:r>
            <w:r w:rsidRPr="00801612">
              <w:rPr>
                <w:rFonts w:cs="Arial"/>
                <w:sz w:val="16"/>
                <w:szCs w:val="16"/>
              </w:rPr>
              <w:t>, with the average annual cost of services (including in-home respit</w:t>
            </w:r>
            <w:r>
              <w:rPr>
                <w:rFonts w:cs="Arial"/>
                <w:sz w:val="16"/>
                <w:szCs w:val="16"/>
              </w:rPr>
              <w:t>e care) being approximately $1,5</w:t>
            </w:r>
            <w:r w:rsidRPr="00801612">
              <w:rPr>
                <w:rFonts w:cs="Arial"/>
                <w:sz w:val="16"/>
                <w:szCs w:val="16"/>
              </w:rPr>
              <w:t>00 per client.</w:t>
            </w:r>
          </w:p>
          <w:p w14:paraId="5E76D7A6" w14:textId="77777777" w:rsidR="003F0EEA" w:rsidRDefault="00FB7D0B" w:rsidP="003F0EEA">
            <w:pPr>
              <w:pStyle w:val="TableTextBullet16"/>
              <w:spacing w:before="0" w:line="80" w:lineRule="atLeast"/>
              <w:rPr>
                <w:rFonts w:cs="Arial"/>
                <w:sz w:val="16"/>
                <w:szCs w:val="16"/>
              </w:rPr>
            </w:pPr>
            <w:r>
              <w:rPr>
                <w:rFonts w:cs="Arial"/>
                <w:sz w:val="16"/>
                <w:szCs w:val="16"/>
              </w:rPr>
              <w:t>To ensure services are of high quality, a contract and quality management framework, together with post-payment monitoring, is in place for both Community Nursing and VHC.</w:t>
            </w:r>
          </w:p>
          <w:p w14:paraId="103BEC86" w14:textId="77777777" w:rsidR="003F0EEA" w:rsidRPr="00012E70" w:rsidRDefault="00FB7D0B" w:rsidP="003F0EEA">
            <w:pPr>
              <w:pStyle w:val="TableTextBullet16"/>
              <w:numPr>
                <w:ilvl w:val="0"/>
                <w:numId w:val="0"/>
              </w:numPr>
              <w:spacing w:before="0"/>
              <w:rPr>
                <w:sz w:val="16"/>
                <w:szCs w:val="16"/>
              </w:rPr>
            </w:pPr>
            <w:r>
              <w:rPr>
                <w:sz w:val="16"/>
                <w:szCs w:val="16"/>
              </w:rPr>
              <w:t>Community Nursing</w:t>
            </w:r>
          </w:p>
          <w:p w14:paraId="65ED95C3" w14:textId="77777777" w:rsidR="003F0EEA" w:rsidRDefault="00FB7D0B" w:rsidP="003F0EEA">
            <w:pPr>
              <w:pStyle w:val="TableTextBullet16"/>
              <w:spacing w:before="0" w:line="80" w:lineRule="atLeast"/>
              <w:rPr>
                <w:rFonts w:cs="Arial"/>
                <w:sz w:val="16"/>
                <w:szCs w:val="16"/>
              </w:rPr>
            </w:pPr>
            <w:r>
              <w:rPr>
                <w:rFonts w:cs="Arial"/>
                <w:sz w:val="16"/>
                <w:szCs w:val="16"/>
              </w:rPr>
              <w:t xml:space="preserve">The Community Nursing programme assists veterans and war widow/ers to avoid early admission to hospital and/or residential care by providing access to high quality community nursing services. The activities of this programme include the provision of clinical nursing and personal care services by DVA contracted community nursing providers. </w:t>
            </w:r>
          </w:p>
          <w:p w14:paraId="669745CF" w14:textId="77777777" w:rsidR="003F0EEA" w:rsidRDefault="00FB7D0B" w:rsidP="003F0EEA">
            <w:pPr>
              <w:pStyle w:val="TableTextBullet16"/>
              <w:spacing w:before="0" w:line="80" w:lineRule="atLeast"/>
              <w:rPr>
                <w:rFonts w:cs="Arial"/>
                <w:sz w:val="16"/>
                <w:szCs w:val="16"/>
              </w:rPr>
            </w:pPr>
            <w:r>
              <w:rPr>
                <w:rFonts w:cs="Arial"/>
                <w:sz w:val="16"/>
                <w:szCs w:val="16"/>
              </w:rPr>
              <w:t xml:space="preserve">The Department contracts with around 191 organisations across Australia to provide community nursing services to approximately 28,000 eligible veterans and war widow/ers. </w:t>
            </w:r>
          </w:p>
          <w:p w14:paraId="545E0C96" w14:textId="77777777" w:rsidR="003F0EEA" w:rsidRPr="00012E70" w:rsidRDefault="00FB7D0B" w:rsidP="003F0EEA">
            <w:pPr>
              <w:pStyle w:val="TableTextBullet16"/>
              <w:numPr>
                <w:ilvl w:val="0"/>
                <w:numId w:val="0"/>
              </w:numPr>
              <w:spacing w:before="0"/>
              <w:rPr>
                <w:sz w:val="16"/>
                <w:szCs w:val="16"/>
              </w:rPr>
            </w:pPr>
            <w:r>
              <w:rPr>
                <w:sz w:val="16"/>
                <w:szCs w:val="16"/>
              </w:rPr>
              <w:t>Residential care</w:t>
            </w:r>
          </w:p>
          <w:p w14:paraId="3715B008" w14:textId="77777777" w:rsidR="003F0EEA" w:rsidRDefault="00FB7D0B" w:rsidP="003F0EEA">
            <w:pPr>
              <w:pStyle w:val="TableTextBullet16"/>
              <w:spacing w:before="0"/>
              <w:rPr>
                <w:b/>
              </w:rPr>
            </w:pPr>
            <w:r>
              <w:rPr>
                <w:sz w:val="16"/>
                <w:szCs w:val="16"/>
              </w:rPr>
              <w:t>Approximately $1.5 billion is expected to be provided by the Department as the Australian Government subsidy for entitled veterans and war widow/ers being in residential aged care facilities in 2014-15. This supports approximately 27,000 entitled veterans in residential care.</w:t>
            </w:r>
          </w:p>
        </w:tc>
      </w:tr>
    </w:tbl>
    <w:p w14:paraId="185C190D" w14:textId="77777777" w:rsidR="00724034" w:rsidRDefault="00FB7D0B">
      <w:pPr>
        <w:spacing w:line="14" w:lineRule="exact"/>
      </w:pPr>
      <w:r>
        <w:br w:type="page"/>
      </w:r>
    </w:p>
    <w:tbl>
      <w:tblPr>
        <w:tblW w:w="0" w:type="auto"/>
        <w:tblBorders>
          <w:top w:val="single" w:sz="2" w:space="0" w:color="auto"/>
          <w:left w:val="single" w:sz="2" w:space="0" w:color="auto"/>
          <w:bottom w:val="single" w:sz="2" w:space="0" w:color="auto"/>
          <w:right w:val="single" w:sz="2" w:space="0" w:color="auto"/>
          <w:insideH w:val="single" w:sz="2" w:space="0" w:color="auto"/>
        </w:tblBorders>
        <w:tblLook w:val="01E0" w:firstRow="1" w:lastRow="1" w:firstColumn="1" w:lastColumn="1" w:noHBand="0" w:noVBand="0"/>
      </w:tblPr>
      <w:tblGrid>
        <w:gridCol w:w="8080"/>
      </w:tblGrid>
      <w:tr w:rsidR="00724034" w14:paraId="6598199D" w14:textId="77777777" w:rsidTr="003F0EEA">
        <w:tc>
          <w:tcPr>
            <w:tcW w:w="8080" w:type="dxa"/>
            <w:tcBorders>
              <w:top w:val="single" w:sz="2" w:space="0" w:color="auto"/>
              <w:left w:val="single" w:sz="2" w:space="0" w:color="auto"/>
              <w:bottom w:val="single" w:sz="2" w:space="0" w:color="auto"/>
              <w:right w:val="single" w:sz="2" w:space="0" w:color="auto"/>
            </w:tcBorders>
            <w:shd w:val="clear" w:color="auto" w:fill="E6E6E6"/>
          </w:tcPr>
          <w:p w14:paraId="2039D474" w14:textId="77777777" w:rsidR="003F0EEA" w:rsidRPr="00A32ACA" w:rsidRDefault="00FB7D0B" w:rsidP="003F0EEA">
            <w:pPr>
              <w:pStyle w:val="TableColumnHeadingLeft"/>
              <w:rPr>
                <w:rFonts w:cs="Arial"/>
              </w:rPr>
            </w:pPr>
            <w:r>
              <w:rPr>
                <w:rFonts w:cs="Arial"/>
              </w:rPr>
              <w:t xml:space="preserve">Programme 2.4: </w:t>
            </w:r>
            <w:r w:rsidRPr="00A32ACA">
              <w:rPr>
                <w:rFonts w:cs="Arial"/>
              </w:rPr>
              <w:t>Veterans' Community Care and Support</w:t>
            </w:r>
            <w:r>
              <w:rPr>
                <w:rFonts w:cs="Arial"/>
              </w:rPr>
              <w:t xml:space="preserve"> (continued)</w:t>
            </w:r>
          </w:p>
        </w:tc>
      </w:tr>
    </w:tbl>
    <w:p w14:paraId="171B9413" w14:textId="77777777" w:rsidR="003F0EEA" w:rsidRDefault="003F0EEA">
      <w:pPr>
        <w:rPr>
          <w:rFonts w:eastAsia="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0"/>
        <w:gridCol w:w="284"/>
        <w:gridCol w:w="985"/>
        <w:gridCol w:w="985"/>
        <w:gridCol w:w="985"/>
        <w:gridCol w:w="985"/>
        <w:gridCol w:w="986"/>
      </w:tblGrid>
      <w:tr w:rsidR="00724034" w14:paraId="255FB448" w14:textId="77777777" w:rsidTr="003F0EEA">
        <w:tc>
          <w:tcPr>
            <w:tcW w:w="8080" w:type="dxa"/>
            <w:gridSpan w:val="7"/>
            <w:tcBorders>
              <w:top w:val="single" w:sz="4" w:space="0" w:color="auto"/>
              <w:left w:val="single" w:sz="4" w:space="0" w:color="auto"/>
              <w:bottom w:val="single" w:sz="4" w:space="0" w:color="auto"/>
              <w:right w:val="single" w:sz="4" w:space="0" w:color="auto"/>
            </w:tcBorders>
          </w:tcPr>
          <w:p w14:paraId="180C4FEE" w14:textId="77777777" w:rsidR="003F0EEA" w:rsidRDefault="00FB7D0B" w:rsidP="003F0EEA">
            <w:pPr>
              <w:pStyle w:val="TableTextLeft110"/>
              <w:rPr>
                <w:b/>
              </w:rPr>
            </w:pPr>
            <w:r>
              <w:rPr>
                <w:b/>
              </w:rPr>
              <w:t>Programme 2.4 key performance indicators</w:t>
            </w:r>
          </w:p>
          <w:p w14:paraId="2B632BB0" w14:textId="77777777" w:rsidR="003F0EEA" w:rsidRDefault="00FB7D0B" w:rsidP="003F0EEA">
            <w:pPr>
              <w:pStyle w:val="TableTextLeft110"/>
            </w:pPr>
            <w:r>
              <w:t>Community Nursing and Veterans’ Home Care</w:t>
            </w:r>
          </w:p>
          <w:p w14:paraId="168FCAB1" w14:textId="77777777" w:rsidR="003F0EEA" w:rsidRPr="005C318E" w:rsidRDefault="00FB7D0B" w:rsidP="003F0EEA">
            <w:pPr>
              <w:pStyle w:val="TableTextBullet60"/>
            </w:pPr>
            <w:r>
              <w:t>Provision of clinical nursing and home care services to eligible veterans and war widow/ers according to their assessed need.</w:t>
            </w:r>
          </w:p>
        </w:tc>
      </w:tr>
      <w:tr w:rsidR="00724034" w14:paraId="7A742C77" w14:textId="77777777">
        <w:tblPrEx>
          <w:tblLook w:val="04A0" w:firstRow="1" w:lastRow="0" w:firstColumn="1" w:lastColumn="0" w:noHBand="0" w:noVBand="1"/>
        </w:tblPrEx>
        <w:trPr>
          <w:trHeight w:val="225"/>
        </w:trPr>
        <w:tc>
          <w:tcPr>
            <w:tcW w:w="0" w:type="auto"/>
            <w:tcBorders>
              <w:top w:val="single" w:sz="6" w:space="0" w:color="000000"/>
              <w:left w:val="single" w:sz="6" w:space="0" w:color="000000"/>
              <w:bottom w:val="nil"/>
              <w:right w:val="nil"/>
              <w:tl2br w:val="nil"/>
              <w:tr2bl w:val="nil"/>
            </w:tcBorders>
            <w:shd w:val="clear" w:color="auto" w:fill="FFFFFF"/>
            <w:tcMar>
              <w:left w:w="115" w:type="dxa"/>
              <w:right w:w="115" w:type="dxa"/>
            </w:tcMar>
            <w:vAlign w:val="bottom"/>
          </w:tcPr>
          <w:p w14:paraId="6393E8AC" w14:textId="77777777" w:rsidR="00724034" w:rsidRDefault="00724034">
            <w:pPr>
              <w:jc w:val="center"/>
            </w:pPr>
          </w:p>
        </w:tc>
        <w:tc>
          <w:tcPr>
            <w:tcW w:w="0" w:type="auto"/>
            <w:tcBorders>
              <w:top w:val="single" w:sz="6" w:space="0" w:color="000000"/>
              <w:left w:val="nil"/>
              <w:bottom w:val="nil"/>
              <w:right w:val="nil"/>
              <w:tl2br w:val="nil"/>
              <w:tr2bl w:val="nil"/>
            </w:tcBorders>
            <w:shd w:val="clear" w:color="auto" w:fill="FFFFFF"/>
            <w:tcMar>
              <w:left w:w="115" w:type="dxa"/>
              <w:right w:w="115" w:type="dxa"/>
            </w:tcMar>
            <w:vAlign w:val="bottom"/>
          </w:tcPr>
          <w:p w14:paraId="3C52095E" w14:textId="77777777" w:rsidR="00724034" w:rsidRDefault="00724034">
            <w:pPr>
              <w:jc w:val="center"/>
              <w:rPr>
                <w:rFonts w:ascii="Arial" w:eastAsia="Arial" w:hAnsi="Arial" w:cs="Arial"/>
                <w:b/>
                <w:color w:val="000000"/>
                <w:sz w:val="16"/>
              </w:rPr>
            </w:pPr>
          </w:p>
        </w:tc>
        <w:tc>
          <w:tcPr>
            <w:tcW w:w="0" w:type="auto"/>
            <w:tcBorders>
              <w:top w:val="single" w:sz="6" w:space="0" w:color="000000"/>
              <w:left w:val="nil"/>
              <w:bottom w:val="nil"/>
              <w:right w:val="nil"/>
              <w:tl2br w:val="nil"/>
              <w:tr2bl w:val="nil"/>
            </w:tcBorders>
            <w:shd w:val="clear" w:color="auto" w:fill="FFFFFF"/>
            <w:tcMar>
              <w:left w:w="115" w:type="dxa"/>
              <w:right w:w="115" w:type="dxa"/>
            </w:tcMar>
            <w:vAlign w:val="bottom"/>
          </w:tcPr>
          <w:p w14:paraId="323E30CB" w14:textId="77777777" w:rsidR="00724034" w:rsidRDefault="00FB7D0B">
            <w:pPr>
              <w:jc w:val="right"/>
              <w:rPr>
                <w:rFonts w:ascii="Arial" w:eastAsia="Arial" w:hAnsi="Arial" w:cs="Arial"/>
                <w:b/>
                <w:color w:val="000000"/>
                <w:sz w:val="16"/>
                <w:vertAlign w:val="superscript"/>
              </w:rPr>
            </w:pPr>
            <w:r>
              <w:rPr>
                <w:rFonts w:ascii="Arial" w:eastAsia="Arial" w:hAnsi="Arial" w:cs="Arial"/>
                <w:color w:val="000000"/>
                <w:sz w:val="16"/>
              </w:rPr>
              <w:t>2013-14</w:t>
            </w:r>
          </w:p>
        </w:tc>
        <w:tc>
          <w:tcPr>
            <w:tcW w:w="0" w:type="auto"/>
            <w:tcBorders>
              <w:top w:val="single" w:sz="6" w:space="0" w:color="000000"/>
              <w:left w:val="nil"/>
              <w:bottom w:val="nil"/>
              <w:right w:val="nil"/>
              <w:tl2br w:val="nil"/>
              <w:tr2bl w:val="nil"/>
            </w:tcBorders>
            <w:shd w:val="clear" w:color="auto" w:fill="FFFF00"/>
            <w:tcMar>
              <w:left w:w="115" w:type="dxa"/>
              <w:right w:w="115" w:type="dxa"/>
            </w:tcMar>
            <w:vAlign w:val="bottom"/>
          </w:tcPr>
          <w:p w14:paraId="16E2A6D4" w14:textId="77777777" w:rsidR="00724034" w:rsidRDefault="00FB7D0B">
            <w:pPr>
              <w:jc w:val="right"/>
              <w:rPr>
                <w:rFonts w:ascii="Arial" w:eastAsia="Arial" w:hAnsi="Arial" w:cs="Arial"/>
                <w:color w:val="000000"/>
                <w:sz w:val="16"/>
              </w:rPr>
            </w:pPr>
            <w:r>
              <w:rPr>
                <w:rFonts w:ascii="Arial" w:eastAsia="Arial" w:hAnsi="Arial" w:cs="Arial"/>
                <w:color w:val="000000"/>
                <w:sz w:val="16"/>
              </w:rPr>
              <w:t>2014-15</w:t>
            </w:r>
          </w:p>
        </w:tc>
        <w:tc>
          <w:tcPr>
            <w:tcW w:w="0" w:type="auto"/>
            <w:tcBorders>
              <w:top w:val="single" w:sz="6" w:space="0" w:color="000000"/>
              <w:left w:val="nil"/>
              <w:bottom w:val="nil"/>
              <w:right w:val="nil"/>
              <w:tl2br w:val="nil"/>
              <w:tr2bl w:val="nil"/>
            </w:tcBorders>
            <w:shd w:val="clear" w:color="auto" w:fill="FFFFFF"/>
            <w:tcMar>
              <w:left w:w="115" w:type="dxa"/>
              <w:right w:w="115" w:type="dxa"/>
            </w:tcMar>
            <w:vAlign w:val="bottom"/>
          </w:tcPr>
          <w:p w14:paraId="1026C6A5" w14:textId="77777777" w:rsidR="00724034" w:rsidRDefault="00FB7D0B">
            <w:pPr>
              <w:jc w:val="right"/>
              <w:rPr>
                <w:rFonts w:ascii="Arial" w:eastAsia="Arial" w:hAnsi="Arial" w:cs="Arial"/>
                <w:color w:val="000000"/>
                <w:sz w:val="16"/>
              </w:rPr>
            </w:pPr>
            <w:r>
              <w:rPr>
                <w:rFonts w:ascii="Arial" w:eastAsia="Arial" w:hAnsi="Arial" w:cs="Arial"/>
                <w:color w:val="000000"/>
                <w:sz w:val="16"/>
              </w:rPr>
              <w:t>2015-16</w:t>
            </w:r>
          </w:p>
        </w:tc>
        <w:tc>
          <w:tcPr>
            <w:tcW w:w="0" w:type="auto"/>
            <w:tcBorders>
              <w:top w:val="single" w:sz="6" w:space="0" w:color="000000"/>
              <w:left w:val="nil"/>
              <w:bottom w:val="nil"/>
              <w:right w:val="nil"/>
              <w:tl2br w:val="nil"/>
              <w:tr2bl w:val="nil"/>
            </w:tcBorders>
            <w:shd w:val="clear" w:color="auto" w:fill="FFFFFF"/>
            <w:tcMar>
              <w:left w:w="115" w:type="dxa"/>
              <w:right w:w="115" w:type="dxa"/>
            </w:tcMar>
            <w:vAlign w:val="bottom"/>
          </w:tcPr>
          <w:p w14:paraId="3A9F6130" w14:textId="77777777" w:rsidR="00724034" w:rsidRDefault="00FB7D0B">
            <w:pPr>
              <w:jc w:val="right"/>
              <w:rPr>
                <w:rFonts w:ascii="Arial" w:eastAsia="Arial" w:hAnsi="Arial" w:cs="Arial"/>
                <w:color w:val="000000"/>
                <w:sz w:val="16"/>
              </w:rPr>
            </w:pPr>
            <w:r>
              <w:rPr>
                <w:rFonts w:ascii="Arial" w:eastAsia="Arial" w:hAnsi="Arial" w:cs="Arial"/>
                <w:color w:val="000000"/>
                <w:sz w:val="16"/>
              </w:rPr>
              <w:t>2016-17</w:t>
            </w:r>
          </w:p>
        </w:tc>
        <w:tc>
          <w:tcPr>
            <w:tcW w:w="0" w:type="auto"/>
            <w:tcBorders>
              <w:top w:val="single" w:sz="6" w:space="0" w:color="000000"/>
              <w:left w:val="nil"/>
              <w:bottom w:val="nil"/>
              <w:right w:val="single" w:sz="6" w:space="0" w:color="000000"/>
              <w:tl2br w:val="nil"/>
              <w:tr2bl w:val="nil"/>
            </w:tcBorders>
            <w:shd w:val="clear" w:color="auto" w:fill="FFFFFF"/>
            <w:tcMar>
              <w:left w:w="115" w:type="dxa"/>
              <w:right w:w="115" w:type="dxa"/>
            </w:tcMar>
            <w:vAlign w:val="bottom"/>
          </w:tcPr>
          <w:p w14:paraId="0F603F97" w14:textId="77777777" w:rsidR="00724034" w:rsidRDefault="00FB7D0B">
            <w:pPr>
              <w:jc w:val="right"/>
              <w:rPr>
                <w:rFonts w:ascii="Arial" w:eastAsia="Arial" w:hAnsi="Arial" w:cs="Arial"/>
                <w:color w:val="000000"/>
                <w:sz w:val="16"/>
              </w:rPr>
            </w:pPr>
            <w:r>
              <w:rPr>
                <w:rFonts w:ascii="Arial" w:eastAsia="Arial" w:hAnsi="Arial" w:cs="Arial"/>
                <w:color w:val="000000"/>
                <w:sz w:val="16"/>
              </w:rPr>
              <w:t>2017-18</w:t>
            </w:r>
          </w:p>
        </w:tc>
      </w:tr>
      <w:tr w:rsidR="00724034" w14:paraId="35D4E05A" w14:textId="77777777">
        <w:tblPrEx>
          <w:tblLook w:val="04A0" w:firstRow="1" w:lastRow="0" w:firstColumn="1" w:lastColumn="0" w:noHBand="0" w:noVBand="1"/>
        </w:tblPrEx>
        <w:trPr>
          <w:trHeight w:val="225"/>
        </w:trPr>
        <w:tc>
          <w:tcPr>
            <w:tcW w:w="0" w:type="auto"/>
            <w:tcBorders>
              <w:top w:val="nil"/>
              <w:left w:val="single" w:sz="6" w:space="0" w:color="000000"/>
              <w:bottom w:val="nil"/>
              <w:right w:val="nil"/>
              <w:tl2br w:val="nil"/>
              <w:tr2bl w:val="nil"/>
            </w:tcBorders>
            <w:shd w:val="clear" w:color="auto" w:fill="FFFFFF"/>
            <w:tcMar>
              <w:left w:w="115" w:type="dxa"/>
              <w:right w:w="115" w:type="dxa"/>
            </w:tcMar>
            <w:vAlign w:val="bottom"/>
          </w:tcPr>
          <w:p w14:paraId="55DABC4D" w14:textId="77777777" w:rsidR="00724034" w:rsidRDefault="00FB7D0B">
            <w:pPr>
              <w:rPr>
                <w:rFonts w:ascii="Arial" w:eastAsia="Arial" w:hAnsi="Arial" w:cs="Arial"/>
                <w:color w:val="000000"/>
                <w:sz w:val="16"/>
              </w:rPr>
            </w:pPr>
            <w:r>
              <w:rPr>
                <w:rFonts w:ascii="Arial" w:eastAsia="Arial" w:hAnsi="Arial" w:cs="Arial"/>
                <w:color w:val="000000"/>
                <w:sz w:val="16"/>
              </w:rPr>
              <w:t>Key Performance</w:t>
            </w:r>
          </w:p>
        </w:tc>
        <w:tc>
          <w:tcPr>
            <w:tcW w:w="0" w:type="auto"/>
            <w:tcBorders>
              <w:top w:val="nil"/>
              <w:left w:val="nil"/>
              <w:bottom w:val="nil"/>
              <w:right w:val="nil"/>
              <w:tl2br w:val="nil"/>
              <w:tr2bl w:val="nil"/>
            </w:tcBorders>
            <w:shd w:val="clear" w:color="auto" w:fill="FFFFFF"/>
            <w:tcMar>
              <w:left w:w="115" w:type="dxa"/>
              <w:right w:w="115" w:type="dxa"/>
            </w:tcMar>
            <w:vAlign w:val="bottom"/>
          </w:tcPr>
          <w:p w14:paraId="4376C58A" w14:textId="77777777" w:rsidR="00724034" w:rsidRDefault="00724034">
            <w:pPr>
              <w:rPr>
                <w:rFonts w:ascii="Arial" w:eastAsia="Arial" w:hAnsi="Arial" w:cs="Arial"/>
                <w:color w:val="000000"/>
                <w:sz w:val="16"/>
              </w:rPr>
            </w:pPr>
          </w:p>
        </w:tc>
        <w:tc>
          <w:tcPr>
            <w:tcW w:w="0" w:type="auto"/>
            <w:tcBorders>
              <w:top w:val="nil"/>
              <w:left w:val="nil"/>
              <w:bottom w:val="nil"/>
              <w:right w:val="nil"/>
              <w:tl2br w:val="nil"/>
              <w:tr2bl w:val="nil"/>
            </w:tcBorders>
            <w:shd w:val="clear" w:color="auto" w:fill="FFFFFF"/>
            <w:tcMar>
              <w:left w:w="115" w:type="dxa"/>
              <w:right w:w="115" w:type="dxa"/>
            </w:tcMar>
            <w:vAlign w:val="bottom"/>
          </w:tcPr>
          <w:p w14:paraId="3E852ABB" w14:textId="77777777" w:rsidR="00724034" w:rsidRDefault="00FB7D0B">
            <w:pPr>
              <w:jc w:val="right"/>
              <w:rPr>
                <w:rFonts w:ascii="Arial" w:eastAsia="Arial" w:hAnsi="Arial" w:cs="Arial"/>
                <w:color w:val="000000"/>
                <w:sz w:val="16"/>
                <w:vertAlign w:val="superscript"/>
              </w:rPr>
            </w:pPr>
            <w:r>
              <w:rPr>
                <w:rFonts w:ascii="Arial" w:eastAsia="Arial" w:hAnsi="Arial" w:cs="Arial"/>
                <w:color w:val="000000"/>
                <w:sz w:val="16"/>
              </w:rPr>
              <w:t>Revised</w:t>
            </w:r>
          </w:p>
        </w:tc>
        <w:tc>
          <w:tcPr>
            <w:tcW w:w="0" w:type="auto"/>
            <w:tcBorders>
              <w:top w:val="nil"/>
              <w:left w:val="nil"/>
              <w:bottom w:val="nil"/>
              <w:right w:val="nil"/>
              <w:tl2br w:val="nil"/>
              <w:tr2bl w:val="nil"/>
            </w:tcBorders>
            <w:shd w:val="clear" w:color="auto" w:fill="FFFF00"/>
            <w:tcMar>
              <w:left w:w="115" w:type="dxa"/>
              <w:right w:w="115" w:type="dxa"/>
            </w:tcMar>
            <w:vAlign w:val="bottom"/>
          </w:tcPr>
          <w:p w14:paraId="15C51B7B" w14:textId="77777777" w:rsidR="00724034" w:rsidRDefault="00FB7D0B">
            <w:pPr>
              <w:jc w:val="right"/>
              <w:rPr>
                <w:rFonts w:ascii="Arial" w:eastAsia="Arial" w:hAnsi="Arial" w:cs="Arial"/>
                <w:color w:val="000000"/>
                <w:sz w:val="16"/>
              </w:rPr>
            </w:pPr>
            <w:r>
              <w:rPr>
                <w:rFonts w:ascii="Arial" w:eastAsia="Arial" w:hAnsi="Arial" w:cs="Arial"/>
                <w:color w:val="000000"/>
                <w:sz w:val="16"/>
              </w:rPr>
              <w:t>Budget</w:t>
            </w:r>
          </w:p>
        </w:tc>
        <w:tc>
          <w:tcPr>
            <w:tcW w:w="0" w:type="auto"/>
            <w:tcBorders>
              <w:top w:val="nil"/>
              <w:left w:val="nil"/>
              <w:bottom w:val="nil"/>
              <w:right w:val="nil"/>
              <w:tl2br w:val="nil"/>
              <w:tr2bl w:val="nil"/>
            </w:tcBorders>
            <w:shd w:val="clear" w:color="auto" w:fill="FFFFFF"/>
            <w:tcMar>
              <w:left w:w="115" w:type="dxa"/>
              <w:right w:w="115" w:type="dxa"/>
            </w:tcMar>
            <w:vAlign w:val="bottom"/>
          </w:tcPr>
          <w:p w14:paraId="45BC0577" w14:textId="77777777" w:rsidR="00724034" w:rsidRDefault="00FB7D0B">
            <w:pPr>
              <w:jc w:val="right"/>
              <w:rPr>
                <w:rFonts w:ascii="Arial" w:eastAsia="Arial" w:hAnsi="Arial" w:cs="Arial"/>
                <w:color w:val="000000"/>
                <w:sz w:val="16"/>
              </w:rPr>
            </w:pPr>
            <w:r>
              <w:rPr>
                <w:rFonts w:ascii="Arial" w:eastAsia="Arial" w:hAnsi="Arial" w:cs="Arial"/>
                <w:color w:val="000000"/>
                <w:sz w:val="16"/>
              </w:rPr>
              <w:t>Forward</w:t>
            </w:r>
          </w:p>
        </w:tc>
        <w:tc>
          <w:tcPr>
            <w:tcW w:w="0" w:type="auto"/>
            <w:tcBorders>
              <w:top w:val="nil"/>
              <w:left w:val="nil"/>
              <w:bottom w:val="nil"/>
              <w:right w:val="nil"/>
              <w:tl2br w:val="nil"/>
              <w:tr2bl w:val="nil"/>
            </w:tcBorders>
            <w:shd w:val="clear" w:color="auto" w:fill="FFFFFF"/>
            <w:tcMar>
              <w:left w:w="115" w:type="dxa"/>
              <w:right w:w="115" w:type="dxa"/>
            </w:tcMar>
            <w:vAlign w:val="bottom"/>
          </w:tcPr>
          <w:p w14:paraId="592A8085" w14:textId="77777777" w:rsidR="00724034" w:rsidRDefault="00FB7D0B">
            <w:pPr>
              <w:jc w:val="right"/>
              <w:rPr>
                <w:rFonts w:ascii="Arial" w:eastAsia="Arial" w:hAnsi="Arial" w:cs="Arial"/>
                <w:color w:val="000000"/>
                <w:sz w:val="16"/>
              </w:rPr>
            </w:pPr>
            <w:r>
              <w:rPr>
                <w:rFonts w:ascii="Arial" w:eastAsia="Arial" w:hAnsi="Arial" w:cs="Arial"/>
                <w:color w:val="000000"/>
                <w:sz w:val="16"/>
              </w:rPr>
              <w:t>Forward</w:t>
            </w:r>
          </w:p>
        </w:tc>
        <w:tc>
          <w:tcPr>
            <w:tcW w:w="0" w:type="auto"/>
            <w:tcBorders>
              <w:top w:val="nil"/>
              <w:left w:val="nil"/>
              <w:bottom w:val="nil"/>
              <w:right w:val="single" w:sz="6" w:space="0" w:color="000000"/>
              <w:tl2br w:val="nil"/>
              <w:tr2bl w:val="nil"/>
            </w:tcBorders>
            <w:shd w:val="clear" w:color="auto" w:fill="FFFFFF"/>
            <w:tcMar>
              <w:left w:w="115" w:type="dxa"/>
              <w:right w:w="115" w:type="dxa"/>
            </w:tcMar>
            <w:vAlign w:val="bottom"/>
          </w:tcPr>
          <w:p w14:paraId="4E91436F" w14:textId="77777777" w:rsidR="00724034" w:rsidRDefault="00FB7D0B">
            <w:pPr>
              <w:jc w:val="right"/>
              <w:rPr>
                <w:rFonts w:ascii="Arial" w:eastAsia="Arial" w:hAnsi="Arial" w:cs="Arial"/>
                <w:color w:val="000000"/>
                <w:sz w:val="16"/>
              </w:rPr>
            </w:pPr>
            <w:r>
              <w:rPr>
                <w:rFonts w:ascii="Arial" w:eastAsia="Arial" w:hAnsi="Arial" w:cs="Arial"/>
                <w:color w:val="000000"/>
                <w:sz w:val="16"/>
              </w:rPr>
              <w:t>Forward</w:t>
            </w:r>
          </w:p>
        </w:tc>
      </w:tr>
      <w:tr w:rsidR="00724034" w14:paraId="1DD90E34" w14:textId="77777777">
        <w:tblPrEx>
          <w:tblLook w:val="04A0" w:firstRow="1" w:lastRow="0" w:firstColumn="1" w:lastColumn="0" w:noHBand="0" w:noVBand="1"/>
        </w:tblPrEx>
        <w:trPr>
          <w:trHeight w:val="225"/>
        </w:trPr>
        <w:tc>
          <w:tcPr>
            <w:tcW w:w="0" w:type="auto"/>
            <w:tcBorders>
              <w:top w:val="nil"/>
              <w:left w:val="single" w:sz="6" w:space="0" w:color="000000"/>
              <w:bottom w:val="single" w:sz="6" w:space="0" w:color="000000"/>
              <w:right w:val="nil"/>
              <w:tl2br w:val="nil"/>
              <w:tr2bl w:val="nil"/>
            </w:tcBorders>
            <w:shd w:val="clear" w:color="auto" w:fill="FFFFFF"/>
            <w:tcMar>
              <w:left w:w="115" w:type="dxa"/>
              <w:right w:w="115" w:type="dxa"/>
            </w:tcMar>
            <w:vAlign w:val="bottom"/>
          </w:tcPr>
          <w:p w14:paraId="42AFAD2B" w14:textId="77777777" w:rsidR="00724034" w:rsidRDefault="00FB7D0B">
            <w:pPr>
              <w:rPr>
                <w:rFonts w:ascii="Arial" w:eastAsia="Arial" w:hAnsi="Arial" w:cs="Arial"/>
                <w:color w:val="000000"/>
                <w:sz w:val="16"/>
              </w:rPr>
            </w:pPr>
            <w:r>
              <w:rPr>
                <w:rFonts w:ascii="Arial" w:eastAsia="Arial" w:hAnsi="Arial" w:cs="Arial"/>
                <w:color w:val="000000"/>
                <w:sz w:val="16"/>
              </w:rPr>
              <w:t>Indicators</w:t>
            </w:r>
          </w:p>
        </w:tc>
        <w:tc>
          <w:tcPr>
            <w:tcW w:w="0" w:type="auto"/>
            <w:tcBorders>
              <w:top w:val="nil"/>
              <w:left w:val="nil"/>
              <w:bottom w:val="single" w:sz="6" w:space="0" w:color="000000"/>
              <w:right w:val="nil"/>
              <w:tl2br w:val="nil"/>
              <w:tr2bl w:val="nil"/>
            </w:tcBorders>
            <w:shd w:val="clear" w:color="auto" w:fill="FFFFFF"/>
            <w:tcMar>
              <w:left w:w="115" w:type="dxa"/>
              <w:right w:w="115" w:type="dxa"/>
            </w:tcMar>
            <w:vAlign w:val="bottom"/>
          </w:tcPr>
          <w:p w14:paraId="6893279B" w14:textId="77777777" w:rsidR="00724034" w:rsidRDefault="00724034">
            <w:pPr>
              <w:rPr>
                <w:rFonts w:ascii="Arial" w:eastAsia="Arial" w:hAnsi="Arial" w:cs="Arial"/>
                <w:color w:val="000000"/>
                <w:sz w:val="16"/>
              </w:rPr>
            </w:pPr>
          </w:p>
        </w:tc>
        <w:tc>
          <w:tcPr>
            <w:tcW w:w="0" w:type="auto"/>
            <w:tcBorders>
              <w:top w:val="nil"/>
              <w:left w:val="nil"/>
              <w:bottom w:val="single" w:sz="6" w:space="0" w:color="000000"/>
              <w:right w:val="nil"/>
              <w:tl2br w:val="nil"/>
              <w:tr2bl w:val="nil"/>
            </w:tcBorders>
            <w:shd w:val="clear" w:color="auto" w:fill="FFFFFF"/>
            <w:tcMar>
              <w:left w:w="115" w:type="dxa"/>
              <w:right w:w="115" w:type="dxa"/>
            </w:tcMar>
            <w:vAlign w:val="bottom"/>
          </w:tcPr>
          <w:p w14:paraId="70634F1B" w14:textId="77777777" w:rsidR="00724034" w:rsidRDefault="00FB7D0B">
            <w:pPr>
              <w:jc w:val="right"/>
              <w:rPr>
                <w:rFonts w:ascii="Arial" w:eastAsia="Arial" w:hAnsi="Arial" w:cs="Arial"/>
                <w:color w:val="000000"/>
                <w:sz w:val="16"/>
                <w:vertAlign w:val="superscript"/>
              </w:rPr>
            </w:pPr>
            <w:r>
              <w:rPr>
                <w:rFonts w:ascii="Arial" w:eastAsia="Arial" w:hAnsi="Arial" w:cs="Arial"/>
                <w:color w:val="000000"/>
                <w:sz w:val="16"/>
              </w:rPr>
              <w:t>budget</w:t>
            </w:r>
          </w:p>
        </w:tc>
        <w:tc>
          <w:tcPr>
            <w:tcW w:w="0" w:type="auto"/>
            <w:tcBorders>
              <w:top w:val="nil"/>
              <w:left w:val="nil"/>
              <w:bottom w:val="single" w:sz="6" w:space="0" w:color="000000"/>
              <w:right w:val="nil"/>
              <w:tl2br w:val="nil"/>
              <w:tr2bl w:val="nil"/>
            </w:tcBorders>
            <w:shd w:val="clear" w:color="auto" w:fill="FFFF00"/>
            <w:tcMar>
              <w:left w:w="115" w:type="dxa"/>
              <w:right w:w="115" w:type="dxa"/>
            </w:tcMar>
            <w:vAlign w:val="bottom"/>
          </w:tcPr>
          <w:p w14:paraId="2CDEAAEE" w14:textId="77777777" w:rsidR="00724034" w:rsidRDefault="00FB7D0B">
            <w:pPr>
              <w:jc w:val="right"/>
              <w:rPr>
                <w:rFonts w:ascii="Arial" w:eastAsia="Arial" w:hAnsi="Arial" w:cs="Arial"/>
                <w:color w:val="000000"/>
                <w:sz w:val="16"/>
              </w:rPr>
            </w:pPr>
            <w:r>
              <w:rPr>
                <w:rFonts w:ascii="Arial" w:eastAsia="Arial" w:hAnsi="Arial" w:cs="Arial"/>
                <w:color w:val="000000"/>
                <w:sz w:val="16"/>
              </w:rPr>
              <w:t>target</w:t>
            </w:r>
          </w:p>
        </w:tc>
        <w:tc>
          <w:tcPr>
            <w:tcW w:w="0" w:type="auto"/>
            <w:tcBorders>
              <w:top w:val="nil"/>
              <w:left w:val="nil"/>
              <w:bottom w:val="single" w:sz="6" w:space="0" w:color="000000"/>
              <w:right w:val="nil"/>
              <w:tl2br w:val="nil"/>
              <w:tr2bl w:val="nil"/>
            </w:tcBorders>
            <w:shd w:val="clear" w:color="auto" w:fill="FFFFFF"/>
            <w:tcMar>
              <w:left w:w="115" w:type="dxa"/>
              <w:right w:w="115" w:type="dxa"/>
            </w:tcMar>
            <w:vAlign w:val="bottom"/>
          </w:tcPr>
          <w:p w14:paraId="75504A7E" w14:textId="77777777" w:rsidR="00724034" w:rsidRDefault="00FB7D0B">
            <w:pPr>
              <w:jc w:val="right"/>
              <w:rPr>
                <w:rFonts w:ascii="Arial" w:eastAsia="Arial" w:hAnsi="Arial" w:cs="Arial"/>
                <w:color w:val="000000"/>
                <w:sz w:val="16"/>
              </w:rPr>
            </w:pPr>
            <w:r>
              <w:rPr>
                <w:rFonts w:ascii="Arial" w:eastAsia="Arial" w:hAnsi="Arial" w:cs="Arial"/>
                <w:color w:val="000000"/>
                <w:sz w:val="16"/>
              </w:rPr>
              <w:t>year 1</w:t>
            </w:r>
          </w:p>
        </w:tc>
        <w:tc>
          <w:tcPr>
            <w:tcW w:w="0" w:type="auto"/>
            <w:tcBorders>
              <w:top w:val="nil"/>
              <w:left w:val="nil"/>
              <w:bottom w:val="single" w:sz="6" w:space="0" w:color="000000"/>
              <w:right w:val="nil"/>
              <w:tl2br w:val="nil"/>
              <w:tr2bl w:val="nil"/>
            </w:tcBorders>
            <w:shd w:val="clear" w:color="auto" w:fill="FFFFFF"/>
            <w:tcMar>
              <w:left w:w="115" w:type="dxa"/>
              <w:right w:w="115" w:type="dxa"/>
            </w:tcMar>
            <w:vAlign w:val="bottom"/>
          </w:tcPr>
          <w:p w14:paraId="2446C267" w14:textId="77777777" w:rsidR="00724034" w:rsidRDefault="00FB7D0B">
            <w:pPr>
              <w:jc w:val="right"/>
              <w:rPr>
                <w:rFonts w:ascii="Arial" w:eastAsia="Arial" w:hAnsi="Arial" w:cs="Arial"/>
                <w:color w:val="000000"/>
                <w:sz w:val="16"/>
              </w:rPr>
            </w:pPr>
            <w:r>
              <w:rPr>
                <w:rFonts w:ascii="Arial" w:eastAsia="Arial" w:hAnsi="Arial" w:cs="Arial"/>
                <w:color w:val="000000"/>
                <w:sz w:val="16"/>
              </w:rPr>
              <w:t>year 2</w:t>
            </w:r>
          </w:p>
        </w:tc>
        <w:tc>
          <w:tcPr>
            <w:tcW w:w="0" w:type="auto"/>
            <w:tcBorders>
              <w:top w:val="nil"/>
              <w:left w:val="nil"/>
              <w:bottom w:val="single" w:sz="6" w:space="0" w:color="000000"/>
              <w:right w:val="single" w:sz="6" w:space="0" w:color="000000"/>
              <w:tl2br w:val="nil"/>
              <w:tr2bl w:val="nil"/>
            </w:tcBorders>
            <w:shd w:val="clear" w:color="auto" w:fill="FFFFFF"/>
            <w:tcMar>
              <w:left w:w="115" w:type="dxa"/>
              <w:right w:w="115" w:type="dxa"/>
            </w:tcMar>
            <w:vAlign w:val="bottom"/>
          </w:tcPr>
          <w:p w14:paraId="499CC25C" w14:textId="77777777" w:rsidR="00724034" w:rsidRDefault="00FB7D0B">
            <w:pPr>
              <w:jc w:val="right"/>
              <w:rPr>
                <w:rFonts w:ascii="Arial" w:eastAsia="Arial" w:hAnsi="Arial" w:cs="Arial"/>
                <w:color w:val="000000"/>
                <w:sz w:val="16"/>
              </w:rPr>
            </w:pPr>
            <w:r>
              <w:rPr>
                <w:rFonts w:ascii="Arial" w:eastAsia="Arial" w:hAnsi="Arial" w:cs="Arial"/>
                <w:color w:val="000000"/>
                <w:sz w:val="16"/>
              </w:rPr>
              <w:t>year 3</w:t>
            </w:r>
          </w:p>
        </w:tc>
      </w:tr>
      <w:tr w:rsidR="00724034" w14:paraId="0CA14647" w14:textId="77777777">
        <w:tblPrEx>
          <w:tblLook w:val="04A0" w:firstRow="1" w:lastRow="0" w:firstColumn="1" w:lastColumn="0" w:noHBand="0" w:noVBand="1"/>
        </w:tblPrEx>
        <w:trPr>
          <w:trHeight w:val="60"/>
        </w:trPr>
        <w:tc>
          <w:tcPr>
            <w:tcW w:w="0" w:type="auto"/>
            <w:tcBorders>
              <w:top w:val="single" w:sz="6" w:space="0" w:color="000000"/>
              <w:left w:val="single" w:sz="6" w:space="0" w:color="000000"/>
              <w:bottom w:val="nil"/>
              <w:right w:val="nil"/>
              <w:tl2br w:val="nil"/>
              <w:tr2bl w:val="nil"/>
            </w:tcBorders>
            <w:shd w:val="clear" w:color="auto" w:fill="FFFFFF"/>
            <w:tcMar>
              <w:left w:w="115" w:type="dxa"/>
              <w:right w:w="115" w:type="dxa"/>
            </w:tcMar>
            <w:vAlign w:val="bottom"/>
          </w:tcPr>
          <w:p w14:paraId="2B029F02" w14:textId="77777777" w:rsidR="00724034" w:rsidRDefault="00724034">
            <w:pPr>
              <w:rPr>
                <w:rFonts w:ascii="Arial" w:eastAsia="Arial" w:hAnsi="Arial" w:cs="Arial"/>
                <w:color w:val="000000"/>
                <w:sz w:val="16"/>
              </w:rPr>
            </w:pPr>
          </w:p>
        </w:tc>
        <w:tc>
          <w:tcPr>
            <w:tcW w:w="0" w:type="auto"/>
            <w:tcBorders>
              <w:top w:val="single" w:sz="6" w:space="0" w:color="000000"/>
              <w:left w:val="nil"/>
              <w:bottom w:val="nil"/>
              <w:right w:val="nil"/>
              <w:tl2br w:val="nil"/>
              <w:tr2bl w:val="nil"/>
            </w:tcBorders>
            <w:shd w:val="clear" w:color="auto" w:fill="FFFFFF"/>
            <w:tcMar>
              <w:left w:w="115" w:type="dxa"/>
              <w:right w:w="115" w:type="dxa"/>
            </w:tcMar>
            <w:vAlign w:val="bottom"/>
          </w:tcPr>
          <w:p w14:paraId="1E9AD975" w14:textId="77777777" w:rsidR="00724034" w:rsidRDefault="00724034">
            <w:pPr>
              <w:rPr>
                <w:rFonts w:ascii="Arial" w:eastAsia="Arial" w:hAnsi="Arial" w:cs="Arial"/>
                <w:color w:val="000000"/>
                <w:sz w:val="16"/>
              </w:rPr>
            </w:pPr>
          </w:p>
        </w:tc>
        <w:tc>
          <w:tcPr>
            <w:tcW w:w="0" w:type="auto"/>
            <w:tcBorders>
              <w:top w:val="single" w:sz="6" w:space="0" w:color="000000"/>
              <w:left w:val="nil"/>
              <w:bottom w:val="nil"/>
              <w:right w:val="nil"/>
              <w:tl2br w:val="nil"/>
              <w:tr2bl w:val="nil"/>
            </w:tcBorders>
            <w:shd w:val="clear" w:color="auto" w:fill="FFFFFF"/>
            <w:tcMar>
              <w:left w:w="115" w:type="dxa"/>
              <w:right w:w="115" w:type="dxa"/>
            </w:tcMar>
            <w:vAlign w:val="bottom"/>
          </w:tcPr>
          <w:p w14:paraId="35952D27" w14:textId="77777777" w:rsidR="00724034" w:rsidRDefault="00724034">
            <w:pPr>
              <w:jc w:val="right"/>
              <w:rPr>
                <w:rFonts w:ascii="Arial" w:eastAsia="Arial" w:hAnsi="Arial" w:cs="Arial"/>
                <w:color w:val="000000"/>
                <w:sz w:val="16"/>
                <w:vertAlign w:val="superscript"/>
              </w:rPr>
            </w:pPr>
          </w:p>
        </w:tc>
        <w:tc>
          <w:tcPr>
            <w:tcW w:w="0" w:type="auto"/>
            <w:tcBorders>
              <w:top w:val="single" w:sz="6" w:space="0" w:color="000000"/>
              <w:left w:val="nil"/>
              <w:bottom w:val="nil"/>
              <w:right w:val="nil"/>
              <w:tl2br w:val="nil"/>
              <w:tr2bl w:val="nil"/>
            </w:tcBorders>
            <w:shd w:val="clear" w:color="auto" w:fill="FFFF00"/>
            <w:tcMar>
              <w:left w:w="115" w:type="dxa"/>
              <w:right w:w="115" w:type="dxa"/>
            </w:tcMar>
            <w:vAlign w:val="bottom"/>
          </w:tcPr>
          <w:p w14:paraId="36F20E3B" w14:textId="77777777" w:rsidR="00724034" w:rsidRDefault="00724034">
            <w:pPr>
              <w:jc w:val="right"/>
              <w:rPr>
                <w:rFonts w:ascii="Arial" w:eastAsia="Arial" w:hAnsi="Arial" w:cs="Arial"/>
                <w:color w:val="000000"/>
                <w:sz w:val="16"/>
                <w:vertAlign w:val="superscript"/>
              </w:rPr>
            </w:pPr>
          </w:p>
        </w:tc>
        <w:tc>
          <w:tcPr>
            <w:tcW w:w="0" w:type="auto"/>
            <w:tcBorders>
              <w:top w:val="single" w:sz="6" w:space="0" w:color="000000"/>
              <w:left w:val="nil"/>
              <w:bottom w:val="nil"/>
              <w:right w:val="nil"/>
              <w:tl2br w:val="nil"/>
              <w:tr2bl w:val="nil"/>
            </w:tcBorders>
            <w:shd w:val="clear" w:color="auto" w:fill="FFFFFF"/>
            <w:tcMar>
              <w:left w:w="115" w:type="dxa"/>
              <w:right w:w="115" w:type="dxa"/>
            </w:tcMar>
            <w:vAlign w:val="bottom"/>
          </w:tcPr>
          <w:p w14:paraId="7F18B7D5" w14:textId="77777777" w:rsidR="00724034" w:rsidRDefault="00724034">
            <w:pPr>
              <w:jc w:val="right"/>
              <w:rPr>
                <w:rFonts w:ascii="Arial" w:eastAsia="Arial" w:hAnsi="Arial" w:cs="Arial"/>
                <w:color w:val="000000"/>
                <w:sz w:val="16"/>
                <w:vertAlign w:val="superscript"/>
              </w:rPr>
            </w:pPr>
          </w:p>
        </w:tc>
        <w:tc>
          <w:tcPr>
            <w:tcW w:w="0" w:type="auto"/>
            <w:tcBorders>
              <w:top w:val="single" w:sz="6" w:space="0" w:color="000000"/>
              <w:left w:val="nil"/>
              <w:bottom w:val="nil"/>
              <w:right w:val="nil"/>
              <w:tl2br w:val="nil"/>
              <w:tr2bl w:val="nil"/>
            </w:tcBorders>
            <w:shd w:val="clear" w:color="auto" w:fill="FFFFFF"/>
            <w:tcMar>
              <w:left w:w="115" w:type="dxa"/>
              <w:right w:w="115" w:type="dxa"/>
            </w:tcMar>
            <w:vAlign w:val="bottom"/>
          </w:tcPr>
          <w:p w14:paraId="725174BD" w14:textId="77777777" w:rsidR="00724034" w:rsidRDefault="00724034">
            <w:pPr>
              <w:jc w:val="right"/>
              <w:rPr>
                <w:rFonts w:ascii="Arial" w:eastAsia="Arial" w:hAnsi="Arial" w:cs="Arial"/>
                <w:color w:val="000000"/>
                <w:sz w:val="16"/>
                <w:vertAlign w:val="superscript"/>
              </w:rPr>
            </w:pPr>
          </w:p>
        </w:tc>
        <w:tc>
          <w:tcPr>
            <w:tcW w:w="0" w:type="auto"/>
            <w:tcBorders>
              <w:top w:val="single" w:sz="6" w:space="0" w:color="000000"/>
              <w:left w:val="nil"/>
              <w:bottom w:val="nil"/>
              <w:right w:val="single" w:sz="6" w:space="0" w:color="000000"/>
              <w:tl2br w:val="nil"/>
              <w:tr2bl w:val="nil"/>
            </w:tcBorders>
            <w:shd w:val="clear" w:color="auto" w:fill="FFFFFF"/>
            <w:tcMar>
              <w:left w:w="115" w:type="dxa"/>
              <w:right w:w="115" w:type="dxa"/>
            </w:tcMar>
            <w:vAlign w:val="bottom"/>
          </w:tcPr>
          <w:p w14:paraId="39F87B5C" w14:textId="77777777" w:rsidR="00724034" w:rsidRDefault="00724034">
            <w:pPr>
              <w:jc w:val="right"/>
              <w:rPr>
                <w:rFonts w:ascii="Arial" w:eastAsia="Arial" w:hAnsi="Arial" w:cs="Arial"/>
                <w:color w:val="000000"/>
                <w:sz w:val="16"/>
                <w:vertAlign w:val="superscript"/>
              </w:rPr>
            </w:pPr>
          </w:p>
        </w:tc>
      </w:tr>
      <w:tr w:rsidR="00724034" w14:paraId="7C6FB91C" w14:textId="77777777">
        <w:tblPrEx>
          <w:tblLook w:val="04A0" w:firstRow="1" w:lastRow="0" w:firstColumn="1" w:lastColumn="0" w:noHBand="0" w:noVBand="1"/>
        </w:tblPrEx>
        <w:trPr>
          <w:trHeight w:val="225"/>
        </w:trPr>
        <w:tc>
          <w:tcPr>
            <w:tcW w:w="0" w:type="auto"/>
            <w:tcBorders>
              <w:top w:val="nil"/>
              <w:left w:val="single" w:sz="6" w:space="0" w:color="000000"/>
              <w:bottom w:val="single" w:sz="6" w:space="0" w:color="000000"/>
              <w:right w:val="nil"/>
              <w:tl2br w:val="nil"/>
              <w:tr2bl w:val="nil"/>
            </w:tcBorders>
            <w:shd w:val="clear" w:color="auto" w:fill="FFFFFF"/>
            <w:tcMar>
              <w:left w:w="115" w:type="dxa"/>
              <w:right w:w="115" w:type="dxa"/>
            </w:tcMar>
            <w:vAlign w:val="bottom"/>
          </w:tcPr>
          <w:p w14:paraId="2211BAB5" w14:textId="77777777" w:rsidR="00724034" w:rsidRDefault="00FB7D0B">
            <w:pPr>
              <w:rPr>
                <w:rFonts w:ascii="Arial" w:eastAsia="Arial" w:hAnsi="Arial" w:cs="Arial"/>
                <w:color w:val="000000"/>
                <w:sz w:val="16"/>
                <w:vertAlign w:val="superscript"/>
              </w:rPr>
            </w:pPr>
            <w:r>
              <w:rPr>
                <w:rFonts w:ascii="Arial" w:eastAsia="Arial" w:hAnsi="Arial" w:cs="Arial"/>
                <w:i/>
                <w:color w:val="000000"/>
                <w:sz w:val="16"/>
              </w:rPr>
              <w:t xml:space="preserve">Price: </w:t>
            </w:r>
            <w:r>
              <w:rPr>
                <w:rFonts w:ascii="Arial" w:eastAsia="Arial" w:hAnsi="Arial" w:cs="Arial"/>
                <w:color w:val="000000"/>
                <w:sz w:val="16"/>
              </w:rPr>
              <w:t>Unit cost per cardholder</w:t>
            </w:r>
          </w:p>
        </w:tc>
        <w:tc>
          <w:tcPr>
            <w:tcW w:w="0" w:type="auto"/>
            <w:tcBorders>
              <w:top w:val="nil"/>
              <w:left w:val="nil"/>
              <w:bottom w:val="single" w:sz="6" w:space="0" w:color="000000"/>
              <w:right w:val="nil"/>
              <w:tl2br w:val="nil"/>
              <w:tr2bl w:val="nil"/>
            </w:tcBorders>
            <w:shd w:val="clear" w:color="auto" w:fill="FFFFFF"/>
            <w:tcMar>
              <w:left w:w="115" w:type="dxa"/>
              <w:right w:w="115" w:type="dxa"/>
            </w:tcMar>
            <w:vAlign w:val="bottom"/>
          </w:tcPr>
          <w:p w14:paraId="1D346BFA" w14:textId="77777777" w:rsidR="00724034" w:rsidRDefault="00724034">
            <w:pPr>
              <w:rPr>
                <w:rFonts w:ascii="Arial" w:eastAsia="Arial" w:hAnsi="Arial" w:cs="Arial"/>
                <w:color w:val="000000"/>
                <w:sz w:val="16"/>
              </w:rPr>
            </w:pPr>
          </w:p>
        </w:tc>
        <w:tc>
          <w:tcPr>
            <w:tcW w:w="0" w:type="auto"/>
            <w:tcBorders>
              <w:top w:val="nil"/>
              <w:left w:val="nil"/>
              <w:bottom w:val="single" w:sz="6" w:space="0" w:color="000000"/>
              <w:right w:val="nil"/>
              <w:tl2br w:val="nil"/>
              <w:tr2bl w:val="nil"/>
            </w:tcBorders>
            <w:shd w:val="clear" w:color="auto" w:fill="FFFFFF"/>
            <w:tcMar>
              <w:left w:w="115" w:type="dxa"/>
              <w:right w:w="115" w:type="dxa"/>
            </w:tcMar>
            <w:vAlign w:val="bottom"/>
          </w:tcPr>
          <w:p w14:paraId="7F1F0E76" w14:textId="77777777" w:rsidR="00724034" w:rsidRDefault="00FB7D0B">
            <w:pPr>
              <w:jc w:val="right"/>
              <w:rPr>
                <w:rFonts w:ascii="Arial" w:eastAsia="Arial" w:hAnsi="Arial" w:cs="Arial"/>
                <w:i/>
                <w:color w:val="000000"/>
                <w:sz w:val="16"/>
                <w:vertAlign w:val="superscript"/>
              </w:rPr>
            </w:pPr>
            <w:r>
              <w:rPr>
                <w:rFonts w:ascii="Arial" w:eastAsia="Arial" w:hAnsi="Arial" w:cs="Arial"/>
                <w:color w:val="000000"/>
                <w:sz w:val="16"/>
              </w:rPr>
              <w:t>124 </w:t>
            </w:r>
          </w:p>
        </w:tc>
        <w:tc>
          <w:tcPr>
            <w:tcW w:w="0" w:type="auto"/>
            <w:tcBorders>
              <w:top w:val="nil"/>
              <w:left w:val="nil"/>
              <w:bottom w:val="single" w:sz="6" w:space="0" w:color="000000"/>
              <w:right w:val="nil"/>
              <w:tl2br w:val="nil"/>
              <w:tr2bl w:val="nil"/>
            </w:tcBorders>
            <w:shd w:val="clear" w:color="auto" w:fill="FFFF00"/>
            <w:tcMar>
              <w:left w:w="115" w:type="dxa"/>
              <w:right w:w="115" w:type="dxa"/>
            </w:tcMar>
            <w:vAlign w:val="bottom"/>
          </w:tcPr>
          <w:p w14:paraId="657AD15B" w14:textId="77777777" w:rsidR="00724034" w:rsidRDefault="00FB7D0B">
            <w:pPr>
              <w:jc w:val="right"/>
              <w:rPr>
                <w:rFonts w:ascii="Arial" w:eastAsia="Arial" w:hAnsi="Arial" w:cs="Arial"/>
                <w:color w:val="000000"/>
                <w:sz w:val="16"/>
              </w:rPr>
            </w:pPr>
            <w:r>
              <w:rPr>
                <w:rFonts w:ascii="Arial" w:eastAsia="Arial" w:hAnsi="Arial" w:cs="Arial"/>
                <w:color w:val="000000"/>
                <w:sz w:val="16"/>
              </w:rPr>
              <w:t>129 </w:t>
            </w:r>
          </w:p>
        </w:tc>
        <w:tc>
          <w:tcPr>
            <w:tcW w:w="0" w:type="auto"/>
            <w:tcBorders>
              <w:top w:val="nil"/>
              <w:left w:val="nil"/>
              <w:bottom w:val="single" w:sz="6" w:space="0" w:color="000000"/>
              <w:right w:val="nil"/>
              <w:tl2br w:val="nil"/>
              <w:tr2bl w:val="nil"/>
            </w:tcBorders>
            <w:shd w:val="clear" w:color="auto" w:fill="FFFFFF"/>
            <w:tcMar>
              <w:left w:w="115" w:type="dxa"/>
              <w:right w:w="115" w:type="dxa"/>
            </w:tcMar>
            <w:vAlign w:val="bottom"/>
          </w:tcPr>
          <w:p w14:paraId="33BE8014" w14:textId="77777777" w:rsidR="00724034" w:rsidRDefault="00FB7D0B">
            <w:pPr>
              <w:jc w:val="right"/>
              <w:rPr>
                <w:rFonts w:ascii="Arial" w:eastAsia="Arial" w:hAnsi="Arial" w:cs="Arial"/>
                <w:color w:val="000000"/>
                <w:sz w:val="16"/>
              </w:rPr>
            </w:pPr>
            <w:r>
              <w:rPr>
                <w:rFonts w:ascii="Arial" w:eastAsia="Arial" w:hAnsi="Arial" w:cs="Arial"/>
                <w:color w:val="000000"/>
                <w:sz w:val="16"/>
              </w:rPr>
              <w:t>136 </w:t>
            </w:r>
          </w:p>
        </w:tc>
        <w:tc>
          <w:tcPr>
            <w:tcW w:w="0" w:type="auto"/>
            <w:tcBorders>
              <w:top w:val="nil"/>
              <w:left w:val="nil"/>
              <w:bottom w:val="single" w:sz="6" w:space="0" w:color="000000"/>
              <w:right w:val="nil"/>
              <w:tl2br w:val="nil"/>
              <w:tr2bl w:val="nil"/>
            </w:tcBorders>
            <w:shd w:val="clear" w:color="auto" w:fill="FFFFFF"/>
            <w:tcMar>
              <w:left w:w="115" w:type="dxa"/>
              <w:right w:w="115" w:type="dxa"/>
            </w:tcMar>
            <w:vAlign w:val="bottom"/>
          </w:tcPr>
          <w:p w14:paraId="2E4447F3" w14:textId="77777777" w:rsidR="00724034" w:rsidRDefault="00FB7D0B">
            <w:pPr>
              <w:jc w:val="right"/>
              <w:rPr>
                <w:rFonts w:ascii="Arial" w:eastAsia="Arial" w:hAnsi="Arial" w:cs="Arial"/>
                <w:color w:val="000000"/>
                <w:sz w:val="16"/>
              </w:rPr>
            </w:pPr>
            <w:r>
              <w:rPr>
                <w:rFonts w:ascii="Arial" w:eastAsia="Arial" w:hAnsi="Arial" w:cs="Arial"/>
                <w:color w:val="000000"/>
                <w:sz w:val="16"/>
              </w:rPr>
              <w:t>141 </w:t>
            </w:r>
          </w:p>
        </w:tc>
        <w:tc>
          <w:tcPr>
            <w:tcW w:w="0" w:type="auto"/>
            <w:tcBorders>
              <w:top w:val="nil"/>
              <w:left w:val="nil"/>
              <w:bottom w:val="single" w:sz="6" w:space="0" w:color="000000"/>
              <w:right w:val="single" w:sz="6" w:space="0" w:color="000000"/>
              <w:tl2br w:val="nil"/>
              <w:tr2bl w:val="nil"/>
            </w:tcBorders>
            <w:shd w:val="clear" w:color="auto" w:fill="FFFFFF"/>
            <w:tcMar>
              <w:left w:w="115" w:type="dxa"/>
              <w:right w:w="115" w:type="dxa"/>
            </w:tcMar>
            <w:vAlign w:val="bottom"/>
          </w:tcPr>
          <w:p w14:paraId="0C88F019" w14:textId="77777777" w:rsidR="00724034" w:rsidRDefault="00FB7D0B">
            <w:pPr>
              <w:jc w:val="right"/>
              <w:rPr>
                <w:rFonts w:ascii="Arial" w:eastAsia="Arial" w:hAnsi="Arial" w:cs="Arial"/>
                <w:color w:val="000000"/>
                <w:sz w:val="16"/>
              </w:rPr>
            </w:pPr>
            <w:r>
              <w:rPr>
                <w:rFonts w:ascii="Arial" w:eastAsia="Arial" w:hAnsi="Arial" w:cs="Arial"/>
                <w:color w:val="000000"/>
                <w:sz w:val="16"/>
              </w:rPr>
              <w:t>149 </w:t>
            </w:r>
          </w:p>
        </w:tc>
      </w:tr>
      <w:tr w:rsidR="00724034" w14:paraId="56717987" w14:textId="77777777">
        <w:tblPrEx>
          <w:tblLook w:val="04A0" w:firstRow="1" w:lastRow="0" w:firstColumn="1" w:lastColumn="0" w:noHBand="0" w:noVBand="1"/>
        </w:tblPrEx>
        <w:trPr>
          <w:trHeight w:val="60"/>
        </w:trPr>
        <w:tc>
          <w:tcPr>
            <w:tcW w:w="0" w:type="auto"/>
            <w:tcBorders>
              <w:top w:val="single" w:sz="6" w:space="0" w:color="000000"/>
              <w:left w:val="nil"/>
              <w:bottom w:val="nil"/>
              <w:right w:val="nil"/>
              <w:tl2br w:val="nil"/>
              <w:tr2bl w:val="nil"/>
            </w:tcBorders>
            <w:shd w:val="clear" w:color="auto" w:fill="FFFFFF"/>
            <w:tcMar>
              <w:left w:w="115" w:type="dxa"/>
              <w:right w:w="115" w:type="dxa"/>
            </w:tcMar>
            <w:vAlign w:val="bottom"/>
          </w:tcPr>
          <w:p w14:paraId="651D52B1" w14:textId="77777777" w:rsidR="00724034" w:rsidRDefault="00724034">
            <w:pPr>
              <w:rPr>
                <w:rFonts w:ascii="Arial" w:eastAsia="Arial" w:hAnsi="Arial" w:cs="Arial"/>
                <w:color w:val="000000"/>
                <w:sz w:val="16"/>
              </w:rPr>
            </w:pPr>
          </w:p>
        </w:tc>
        <w:tc>
          <w:tcPr>
            <w:tcW w:w="0" w:type="auto"/>
            <w:tcBorders>
              <w:top w:val="single" w:sz="6" w:space="0" w:color="000000"/>
              <w:left w:val="nil"/>
              <w:bottom w:val="nil"/>
              <w:right w:val="nil"/>
              <w:tl2br w:val="nil"/>
              <w:tr2bl w:val="nil"/>
            </w:tcBorders>
            <w:shd w:val="clear" w:color="auto" w:fill="FFFFFF"/>
            <w:tcMar>
              <w:left w:w="115" w:type="dxa"/>
              <w:right w:w="115" w:type="dxa"/>
            </w:tcMar>
            <w:vAlign w:val="bottom"/>
          </w:tcPr>
          <w:p w14:paraId="30FA4351" w14:textId="77777777" w:rsidR="00724034" w:rsidRDefault="00724034">
            <w:pPr>
              <w:rPr>
                <w:rFonts w:ascii="Arial" w:eastAsia="Arial" w:hAnsi="Arial" w:cs="Arial"/>
                <w:b/>
                <w:color w:val="000000"/>
                <w:sz w:val="16"/>
              </w:rPr>
            </w:pPr>
          </w:p>
        </w:tc>
        <w:tc>
          <w:tcPr>
            <w:tcW w:w="0" w:type="auto"/>
            <w:tcBorders>
              <w:top w:val="single" w:sz="6" w:space="0" w:color="000000"/>
              <w:left w:val="nil"/>
              <w:bottom w:val="nil"/>
              <w:right w:val="nil"/>
              <w:tl2br w:val="nil"/>
              <w:tr2bl w:val="nil"/>
            </w:tcBorders>
            <w:shd w:val="clear" w:color="auto" w:fill="FFFFFF"/>
            <w:tcMar>
              <w:left w:w="115" w:type="dxa"/>
              <w:right w:w="115" w:type="dxa"/>
            </w:tcMar>
            <w:vAlign w:val="bottom"/>
          </w:tcPr>
          <w:p w14:paraId="0BF54D4D" w14:textId="77777777" w:rsidR="00724034" w:rsidRDefault="00724034">
            <w:pPr>
              <w:rPr>
                <w:rFonts w:ascii="Arial" w:eastAsia="Arial" w:hAnsi="Arial" w:cs="Arial"/>
                <w:b/>
                <w:color w:val="000000"/>
                <w:sz w:val="16"/>
                <w:vertAlign w:val="superscript"/>
              </w:rPr>
            </w:pPr>
          </w:p>
        </w:tc>
        <w:tc>
          <w:tcPr>
            <w:tcW w:w="0" w:type="auto"/>
            <w:tcBorders>
              <w:top w:val="single" w:sz="6" w:space="0" w:color="000000"/>
              <w:left w:val="nil"/>
              <w:bottom w:val="nil"/>
              <w:right w:val="nil"/>
              <w:tl2br w:val="nil"/>
              <w:tr2bl w:val="nil"/>
            </w:tcBorders>
            <w:shd w:val="clear" w:color="auto" w:fill="FFFFFF"/>
            <w:tcMar>
              <w:left w:w="115" w:type="dxa"/>
              <w:right w:w="115" w:type="dxa"/>
            </w:tcMar>
            <w:vAlign w:val="bottom"/>
          </w:tcPr>
          <w:p w14:paraId="5CA33267" w14:textId="77777777" w:rsidR="00724034" w:rsidRDefault="00724034">
            <w:pPr>
              <w:rPr>
                <w:rFonts w:ascii="Arial" w:eastAsia="Arial" w:hAnsi="Arial" w:cs="Arial"/>
                <w:b/>
                <w:color w:val="000000"/>
                <w:sz w:val="16"/>
                <w:vertAlign w:val="superscript"/>
              </w:rPr>
            </w:pPr>
          </w:p>
        </w:tc>
        <w:tc>
          <w:tcPr>
            <w:tcW w:w="0" w:type="auto"/>
            <w:tcBorders>
              <w:top w:val="single" w:sz="6" w:space="0" w:color="000000"/>
              <w:left w:val="nil"/>
              <w:bottom w:val="nil"/>
              <w:right w:val="nil"/>
              <w:tl2br w:val="nil"/>
              <w:tr2bl w:val="nil"/>
            </w:tcBorders>
            <w:shd w:val="clear" w:color="auto" w:fill="FFFFFF"/>
            <w:tcMar>
              <w:left w:w="115" w:type="dxa"/>
              <w:right w:w="115" w:type="dxa"/>
            </w:tcMar>
            <w:vAlign w:val="bottom"/>
          </w:tcPr>
          <w:p w14:paraId="7BD1726E" w14:textId="77777777" w:rsidR="00724034" w:rsidRDefault="00724034">
            <w:pPr>
              <w:rPr>
                <w:rFonts w:ascii="Arial" w:eastAsia="Arial" w:hAnsi="Arial" w:cs="Arial"/>
                <w:b/>
                <w:color w:val="000000"/>
                <w:sz w:val="16"/>
                <w:vertAlign w:val="superscript"/>
              </w:rPr>
            </w:pPr>
          </w:p>
        </w:tc>
        <w:tc>
          <w:tcPr>
            <w:tcW w:w="0" w:type="auto"/>
            <w:tcBorders>
              <w:top w:val="single" w:sz="6" w:space="0" w:color="000000"/>
              <w:left w:val="nil"/>
              <w:bottom w:val="nil"/>
              <w:right w:val="nil"/>
              <w:tl2br w:val="nil"/>
              <w:tr2bl w:val="nil"/>
            </w:tcBorders>
            <w:shd w:val="clear" w:color="auto" w:fill="FFFFFF"/>
            <w:tcMar>
              <w:left w:w="115" w:type="dxa"/>
              <w:right w:w="115" w:type="dxa"/>
            </w:tcMar>
            <w:vAlign w:val="bottom"/>
          </w:tcPr>
          <w:p w14:paraId="2D1FDE13" w14:textId="77777777" w:rsidR="00724034" w:rsidRDefault="00724034">
            <w:pPr>
              <w:rPr>
                <w:rFonts w:ascii="Arial" w:eastAsia="Arial" w:hAnsi="Arial" w:cs="Arial"/>
                <w:b/>
                <w:color w:val="000000"/>
                <w:sz w:val="16"/>
                <w:vertAlign w:val="superscript"/>
              </w:rPr>
            </w:pPr>
          </w:p>
        </w:tc>
        <w:tc>
          <w:tcPr>
            <w:tcW w:w="0" w:type="auto"/>
            <w:tcBorders>
              <w:top w:val="single" w:sz="6" w:space="0" w:color="000000"/>
              <w:left w:val="nil"/>
              <w:bottom w:val="nil"/>
              <w:right w:val="nil"/>
              <w:tl2br w:val="nil"/>
              <w:tr2bl w:val="nil"/>
            </w:tcBorders>
            <w:shd w:val="clear" w:color="auto" w:fill="FFFFFF"/>
            <w:tcMar>
              <w:left w:w="115" w:type="dxa"/>
              <w:right w:w="115" w:type="dxa"/>
            </w:tcMar>
            <w:vAlign w:val="bottom"/>
          </w:tcPr>
          <w:p w14:paraId="3A9738F9" w14:textId="77777777" w:rsidR="00724034" w:rsidRDefault="00724034">
            <w:pPr>
              <w:rPr>
                <w:rFonts w:ascii="Arial" w:eastAsia="Arial" w:hAnsi="Arial" w:cs="Arial"/>
                <w:b/>
                <w:color w:val="000000"/>
                <w:sz w:val="16"/>
                <w:vertAlign w:val="superscript"/>
              </w:rPr>
            </w:pPr>
          </w:p>
        </w:tc>
      </w:tr>
    </w:tbl>
    <w:p w14:paraId="5A501E69" w14:textId="77777777" w:rsidR="00724034" w:rsidRDefault="00724034">
      <w:pPr>
        <w:rPr>
          <w:rFonts w:ascii="Times New Roman" w:eastAsia="Times New Roman" w:hAnsi="Times New Roman" w:cs="Times New Roman"/>
          <w:sz w:val="24"/>
        </w:rPr>
      </w:pPr>
    </w:p>
    <w:tbl>
      <w:tblPr>
        <w:tblW w:w="0" w:type="auto"/>
        <w:tblBorders>
          <w:top w:val="single" w:sz="2" w:space="0" w:color="auto"/>
          <w:left w:val="single" w:sz="2" w:space="0" w:color="auto"/>
          <w:bottom w:val="single" w:sz="2" w:space="0" w:color="auto"/>
          <w:right w:val="single" w:sz="2" w:space="0" w:color="auto"/>
          <w:insideH w:val="single" w:sz="2" w:space="0" w:color="auto"/>
        </w:tblBorders>
        <w:tblLook w:val="01E0" w:firstRow="1" w:lastRow="1" w:firstColumn="1" w:lastColumn="1" w:noHBand="0" w:noVBand="0"/>
      </w:tblPr>
      <w:tblGrid>
        <w:gridCol w:w="8080"/>
      </w:tblGrid>
      <w:tr w:rsidR="00724034" w14:paraId="26F37F5D" w14:textId="77777777" w:rsidTr="003F0EEA">
        <w:tc>
          <w:tcPr>
            <w:tcW w:w="8080" w:type="dxa"/>
            <w:tcBorders>
              <w:top w:val="single" w:sz="2" w:space="0" w:color="auto"/>
              <w:left w:val="single" w:sz="2" w:space="0" w:color="auto"/>
              <w:bottom w:val="single" w:sz="2" w:space="0" w:color="auto"/>
              <w:right w:val="single" w:sz="2" w:space="0" w:color="auto"/>
            </w:tcBorders>
            <w:shd w:val="clear" w:color="auto" w:fill="E6E6E6"/>
          </w:tcPr>
          <w:p w14:paraId="4EAB9156" w14:textId="77777777" w:rsidR="003F0EEA" w:rsidRPr="00D043D0" w:rsidRDefault="00FB7D0B" w:rsidP="003F0EEA">
            <w:pPr>
              <w:pStyle w:val="TableColumnHeadingLeft0"/>
              <w:rPr>
                <w:rFonts w:cs="Arial"/>
              </w:rPr>
            </w:pPr>
            <w:r>
              <w:rPr>
                <w:rFonts w:cs="Arial"/>
              </w:rPr>
              <w:t xml:space="preserve">Programme 2.5: </w:t>
            </w:r>
            <w:r w:rsidRPr="00D043D0">
              <w:rPr>
                <w:rFonts w:cs="Arial"/>
              </w:rPr>
              <w:t>Veterans' Counselling and Other Health Services</w:t>
            </w:r>
          </w:p>
        </w:tc>
      </w:tr>
    </w:tbl>
    <w:p w14:paraId="6669D492" w14:textId="77777777" w:rsidR="003F0EEA" w:rsidRDefault="003F0EEA">
      <w:pPr>
        <w:rPr>
          <w:rFonts w:ascii="Book Antiqua" w:eastAsia="Times New Roman" w:hAnsi="Book Antiqua"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80"/>
      </w:tblGrid>
      <w:tr w:rsidR="00724034" w14:paraId="7C4B49A2" w14:textId="77777777" w:rsidTr="003F0EEA">
        <w:trPr>
          <w:trHeight w:val="593"/>
        </w:trPr>
        <w:tc>
          <w:tcPr>
            <w:tcW w:w="8080" w:type="dxa"/>
            <w:tcBorders>
              <w:top w:val="single" w:sz="4" w:space="0" w:color="auto"/>
              <w:left w:val="single" w:sz="4" w:space="0" w:color="auto"/>
              <w:bottom w:val="single" w:sz="4" w:space="0" w:color="auto"/>
              <w:right w:val="single" w:sz="4" w:space="0" w:color="auto"/>
            </w:tcBorders>
          </w:tcPr>
          <w:p w14:paraId="050CD150" w14:textId="77777777" w:rsidR="003F0EEA" w:rsidRDefault="00FB7D0B">
            <w:pPr>
              <w:pStyle w:val="TableTextLeft31"/>
              <w:rPr>
                <w:b/>
              </w:rPr>
            </w:pPr>
            <w:r>
              <w:rPr>
                <w:b/>
              </w:rPr>
              <w:t>Programme 2.5 objective</w:t>
            </w:r>
          </w:p>
          <w:p w14:paraId="57C6AF98" w14:textId="77777777" w:rsidR="003F0EEA" w:rsidRDefault="00FB7D0B">
            <w:pPr>
              <w:pStyle w:val="TableTextLeft31"/>
            </w:pPr>
            <w:r>
              <w:t xml:space="preserve">To provide a wide range of mental and allied health care services, including counselling and referral services for </w:t>
            </w:r>
            <w:r>
              <w:rPr>
                <w:lang w:val="en-GB"/>
              </w:rPr>
              <w:t>veterans, war widow/ers, serving members, former defence force members and their families</w:t>
            </w:r>
            <w:r>
              <w:t xml:space="preserve">. </w:t>
            </w:r>
          </w:p>
        </w:tc>
      </w:tr>
      <w:tr w:rsidR="00724034" w14:paraId="568DF21B" w14:textId="77777777" w:rsidTr="003F0EEA">
        <w:trPr>
          <w:trHeight w:val="592"/>
        </w:trPr>
        <w:tc>
          <w:tcPr>
            <w:tcW w:w="8080" w:type="dxa"/>
            <w:tcBorders>
              <w:top w:val="single" w:sz="4" w:space="0" w:color="auto"/>
              <w:left w:val="single" w:sz="4" w:space="0" w:color="auto"/>
              <w:bottom w:val="single" w:sz="4" w:space="0" w:color="auto"/>
              <w:right w:val="single" w:sz="4" w:space="0" w:color="auto"/>
            </w:tcBorders>
          </w:tcPr>
          <w:p w14:paraId="6F54CFDF" w14:textId="77777777" w:rsidR="003F0EEA" w:rsidRDefault="00FB7D0B">
            <w:pPr>
              <w:pStyle w:val="TableTextLeft31"/>
              <w:rPr>
                <w:b/>
              </w:rPr>
            </w:pPr>
            <w:r>
              <w:rPr>
                <w:b/>
              </w:rPr>
              <w:t>Linked to:</w:t>
            </w:r>
          </w:p>
          <w:p w14:paraId="23B7A050" w14:textId="77777777" w:rsidR="003F0EEA" w:rsidRPr="00CC2193" w:rsidRDefault="00FB7D0B">
            <w:pPr>
              <w:pStyle w:val="TableTextLeft31"/>
            </w:pPr>
            <w:r w:rsidRPr="003D3E91">
              <w:t xml:space="preserve">This programme is linked to the Department of Human Services’ Programme </w:t>
            </w:r>
            <w:r>
              <w:t xml:space="preserve">1.1 – Services to the Community – Social Security and Welfare and Programme 1.2 – Services to the Community – Health. </w:t>
            </w:r>
          </w:p>
        </w:tc>
      </w:tr>
      <w:tr w:rsidR="00724034" w14:paraId="42527A3E" w14:textId="77777777" w:rsidTr="003F0EEA">
        <w:tc>
          <w:tcPr>
            <w:tcW w:w="8080" w:type="dxa"/>
            <w:tcBorders>
              <w:top w:val="single" w:sz="4" w:space="0" w:color="auto"/>
              <w:left w:val="nil"/>
              <w:bottom w:val="single" w:sz="4" w:space="0" w:color="auto"/>
              <w:right w:val="nil"/>
            </w:tcBorders>
          </w:tcPr>
          <w:p w14:paraId="1E8DD5DE" w14:textId="77777777" w:rsidR="003F0EEA" w:rsidRDefault="003F0EEA">
            <w:pPr>
              <w:pStyle w:val="TableTextLeft31"/>
              <w:rPr>
                <w:b/>
              </w:rPr>
            </w:pPr>
          </w:p>
        </w:tc>
      </w:tr>
      <w:tr w:rsidR="00724034" w14:paraId="53F2D718" w14:textId="77777777" w:rsidTr="003F0EEA">
        <w:tc>
          <w:tcPr>
            <w:tcW w:w="8080" w:type="dxa"/>
            <w:tcBorders>
              <w:top w:val="single" w:sz="4" w:space="0" w:color="auto"/>
              <w:left w:val="single" w:sz="4" w:space="0" w:color="auto"/>
              <w:bottom w:val="single" w:sz="4" w:space="0" w:color="auto"/>
              <w:right w:val="single" w:sz="4" w:space="0" w:color="auto"/>
            </w:tcBorders>
          </w:tcPr>
          <w:p w14:paraId="71287922" w14:textId="77777777" w:rsidR="003F0EEA" w:rsidRDefault="00FB7D0B" w:rsidP="003F0EEA">
            <w:pPr>
              <w:pStyle w:val="TableTextLeft31"/>
              <w:rPr>
                <w:b/>
              </w:rPr>
            </w:pPr>
            <w:r>
              <w:rPr>
                <w:b/>
              </w:rPr>
              <w:t>Programme 2.5 expenses</w:t>
            </w:r>
          </w:p>
          <w:p w14:paraId="38BBFAAC" w14:textId="77777777" w:rsidR="003F0EEA" w:rsidRDefault="00FB7D0B" w:rsidP="003F0EEA">
            <w:pPr>
              <w:pStyle w:val="TableTextLeft31"/>
              <w:rPr>
                <w:rFonts w:cs="Times New Roman"/>
              </w:rPr>
            </w:pPr>
            <w:r>
              <w:t>Expenditure under allied health care and transport is expected to increase as an ageing veteran population access a greater variety of health care services. Expenditure and utilisation of services are demand driven, depending on the health care needs of entitled beneficiaries.</w:t>
            </w:r>
          </w:p>
          <w:p w14:paraId="1E8C72ED" w14:textId="77777777" w:rsidR="003F0EEA" w:rsidRDefault="00FB7D0B" w:rsidP="003F0EEA">
            <w:pPr>
              <w:pStyle w:val="TableTextLeft31"/>
            </w:pPr>
            <w:r>
              <w:t>Payments to allied health providers for services provided to entitled beneficiaries are made through arrangements with Department of Human Services on behalf of DVA.</w:t>
            </w:r>
          </w:p>
          <w:p w14:paraId="0D21AACB" w14:textId="77777777" w:rsidR="003F0EEA" w:rsidRDefault="00FB7D0B" w:rsidP="003F0EEA">
            <w:pPr>
              <w:pStyle w:val="TableTextLeft31"/>
            </w:pPr>
            <w:r>
              <w:t>The increase in travel for treatment costs is attributable to increased ageing of the treatment population, resulting in increased treatment utilisation.</w:t>
            </w:r>
          </w:p>
          <w:p w14:paraId="5FA1E62A" w14:textId="77777777" w:rsidR="003F0EEA" w:rsidRDefault="00FB7D0B" w:rsidP="003F0EEA">
            <w:pPr>
              <w:pStyle w:val="TableTextLeft31"/>
            </w:pPr>
            <w:r>
              <w:t>Variation in expenses over the forward years for aids and appliances is expected due to:</w:t>
            </w:r>
          </w:p>
          <w:p w14:paraId="6107D0D7" w14:textId="77777777" w:rsidR="003F0EEA" w:rsidRDefault="00FB7D0B" w:rsidP="003F0EEA">
            <w:pPr>
              <w:pStyle w:val="TableTextBullet17"/>
            </w:pPr>
            <w:r>
              <w:t>new contractual arrangements for the supply of aids and appliances, and</w:t>
            </w:r>
          </w:p>
          <w:p w14:paraId="03E3C46A" w14:textId="77777777" w:rsidR="003F0EEA" w:rsidRPr="003C6D9F" w:rsidRDefault="00FB7D0B" w:rsidP="003F0EEA">
            <w:pPr>
              <w:pStyle w:val="TableTextBullet17"/>
            </w:pPr>
            <w:r>
              <w:t xml:space="preserve">an ageing treatment population driving increasing quantum and complexity of aids and appliances. </w:t>
            </w:r>
          </w:p>
        </w:tc>
      </w:tr>
    </w:tbl>
    <w:p w14:paraId="2632A397" w14:textId="77777777" w:rsidR="00724034" w:rsidRDefault="00FB7D0B">
      <w:pPr>
        <w:spacing w:line="14" w:lineRule="exact"/>
      </w:pPr>
      <w:r>
        <w:br w:type="page"/>
      </w:r>
    </w:p>
    <w:tbl>
      <w:tblPr>
        <w:tblW w:w="0" w:type="auto"/>
        <w:tblBorders>
          <w:top w:val="single" w:sz="2" w:space="0" w:color="auto"/>
          <w:left w:val="single" w:sz="2" w:space="0" w:color="auto"/>
          <w:bottom w:val="single" w:sz="2" w:space="0" w:color="auto"/>
          <w:right w:val="single" w:sz="2" w:space="0" w:color="auto"/>
          <w:insideH w:val="single" w:sz="2" w:space="0" w:color="auto"/>
        </w:tblBorders>
        <w:tblLook w:val="01E0" w:firstRow="1" w:lastRow="1" w:firstColumn="1" w:lastColumn="1" w:noHBand="0" w:noVBand="0"/>
      </w:tblPr>
      <w:tblGrid>
        <w:gridCol w:w="208"/>
        <w:gridCol w:w="208"/>
        <w:gridCol w:w="3649"/>
        <w:gridCol w:w="849"/>
        <w:gridCol w:w="850"/>
        <w:gridCol w:w="850"/>
        <w:gridCol w:w="850"/>
        <w:gridCol w:w="850"/>
        <w:gridCol w:w="10"/>
      </w:tblGrid>
      <w:tr w:rsidR="00724034" w14:paraId="3396E102" w14:textId="77777777" w:rsidTr="003F0EEA">
        <w:tc>
          <w:tcPr>
            <w:tcW w:w="8080" w:type="dxa"/>
            <w:gridSpan w:val="9"/>
            <w:tcBorders>
              <w:top w:val="single" w:sz="2" w:space="0" w:color="auto"/>
              <w:left w:val="single" w:sz="2" w:space="0" w:color="auto"/>
              <w:bottom w:val="single" w:sz="2" w:space="0" w:color="auto"/>
              <w:right w:val="single" w:sz="2" w:space="0" w:color="auto"/>
            </w:tcBorders>
            <w:shd w:val="clear" w:color="auto" w:fill="E6E6E6"/>
          </w:tcPr>
          <w:p w14:paraId="7FBA9298" w14:textId="77777777" w:rsidR="003F0EEA" w:rsidRPr="00D043D0" w:rsidRDefault="00FB7D0B" w:rsidP="003F0EEA">
            <w:pPr>
              <w:pStyle w:val="TableColumnHeadingLeft1"/>
              <w:rPr>
                <w:rFonts w:cs="Arial"/>
              </w:rPr>
            </w:pPr>
            <w:r>
              <w:rPr>
                <w:rFonts w:cs="Arial"/>
              </w:rPr>
              <w:t xml:space="preserve">Programme 2.5: </w:t>
            </w:r>
            <w:r w:rsidRPr="00D043D0">
              <w:rPr>
                <w:rFonts w:cs="Arial"/>
              </w:rPr>
              <w:t>Veterans' Counselling and Other Health Services</w:t>
            </w:r>
            <w:r>
              <w:rPr>
                <w:rFonts w:cs="Arial"/>
              </w:rPr>
              <w:t xml:space="preserve"> (continued)</w:t>
            </w:r>
          </w:p>
        </w:tc>
      </w:tr>
      <w:tr w:rsidR="00FB7D0B" w14:paraId="19C0EF94" w14:textId="77777777" w:rsidTr="00FB7D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10" w:type="dxa"/>
          <w:trHeight w:val="225"/>
        </w:trPr>
        <w:tc>
          <w:tcPr>
            <w:tcW w:w="0" w:type="auto"/>
            <w:gridSpan w:val="3"/>
            <w:tcBorders>
              <w:top w:val="single" w:sz="6" w:space="0" w:color="000000"/>
              <w:left w:val="single" w:sz="6" w:space="0" w:color="000000"/>
              <w:bottom w:val="nil"/>
              <w:right w:val="nil"/>
              <w:tl2br w:val="nil"/>
              <w:tr2bl w:val="nil"/>
            </w:tcBorders>
            <w:shd w:val="clear" w:color="auto" w:fill="FFFFFF"/>
            <w:tcMar>
              <w:left w:w="101" w:type="dxa"/>
              <w:right w:w="101" w:type="dxa"/>
            </w:tcMar>
            <w:vAlign w:val="bottom"/>
          </w:tcPr>
          <w:p w14:paraId="3E42D315" w14:textId="77777777" w:rsidR="003F0EEA" w:rsidRPr="009E3D0F" w:rsidRDefault="00FB7D0B">
            <w:pPr>
              <w:rPr>
                <w:rFonts w:ascii="Arial" w:eastAsia="Times New Roman" w:hAnsi="Arial" w:cs="Arial"/>
                <w:sz w:val="18"/>
                <w:szCs w:val="18"/>
              </w:rPr>
            </w:pPr>
            <w:r w:rsidRPr="009E3D0F">
              <w:rPr>
                <w:rFonts w:ascii="Arial" w:eastAsia="Arial" w:hAnsi="Arial" w:cs="Arial"/>
                <w:b/>
                <w:color w:val="000000"/>
                <w:sz w:val="16"/>
                <w:szCs w:val="18"/>
              </w:rPr>
              <w:t>Programme 2.5 expenses</w:t>
            </w:r>
          </w:p>
        </w:tc>
        <w:tc>
          <w:tcPr>
            <w:tcW w:w="0" w:type="auto"/>
            <w:tcBorders>
              <w:top w:val="single" w:sz="6" w:space="0" w:color="000000"/>
              <w:left w:val="nil"/>
              <w:bottom w:val="nil"/>
              <w:right w:val="nil"/>
              <w:tl2br w:val="nil"/>
              <w:tr2bl w:val="nil"/>
            </w:tcBorders>
            <w:shd w:val="clear" w:color="auto" w:fill="FFFFFF"/>
            <w:tcMar>
              <w:left w:w="101" w:type="dxa"/>
              <w:right w:w="101" w:type="dxa"/>
            </w:tcMar>
            <w:vAlign w:val="bottom"/>
          </w:tcPr>
          <w:p w14:paraId="24A89FCD" w14:textId="77777777" w:rsidR="003F0EEA" w:rsidRPr="009E3D0F" w:rsidRDefault="00FB7D0B">
            <w:pPr>
              <w:jc w:val="right"/>
              <w:rPr>
                <w:rFonts w:ascii="Arial" w:eastAsia="Arial" w:hAnsi="Arial" w:cs="Arial"/>
                <w:b/>
                <w:color w:val="000000"/>
                <w:sz w:val="16"/>
                <w:szCs w:val="18"/>
                <w:vertAlign w:val="superscript"/>
              </w:rPr>
            </w:pPr>
            <w:r w:rsidRPr="009E3D0F">
              <w:rPr>
                <w:rFonts w:ascii="Arial" w:eastAsia="Arial" w:hAnsi="Arial" w:cs="Arial"/>
                <w:color w:val="000000"/>
                <w:sz w:val="16"/>
                <w:szCs w:val="18"/>
              </w:rPr>
              <w:t>2013-14</w:t>
            </w:r>
          </w:p>
        </w:tc>
        <w:tc>
          <w:tcPr>
            <w:tcW w:w="0" w:type="auto"/>
            <w:tcBorders>
              <w:top w:val="single" w:sz="6" w:space="0" w:color="000000"/>
              <w:left w:val="nil"/>
              <w:bottom w:val="nil"/>
              <w:right w:val="nil"/>
              <w:tl2br w:val="nil"/>
              <w:tr2bl w:val="nil"/>
            </w:tcBorders>
            <w:shd w:val="clear" w:color="auto" w:fill="FFFF00"/>
            <w:tcMar>
              <w:left w:w="101" w:type="dxa"/>
              <w:right w:w="101" w:type="dxa"/>
            </w:tcMar>
            <w:vAlign w:val="bottom"/>
          </w:tcPr>
          <w:p w14:paraId="740746C6" w14:textId="77777777" w:rsidR="003F0EEA" w:rsidRPr="009E3D0F" w:rsidRDefault="00FB7D0B">
            <w:pPr>
              <w:jc w:val="right"/>
              <w:rPr>
                <w:rFonts w:ascii="Arial" w:eastAsia="Arial" w:hAnsi="Arial" w:cs="Arial"/>
                <w:color w:val="000000"/>
                <w:sz w:val="16"/>
                <w:szCs w:val="18"/>
              </w:rPr>
            </w:pPr>
            <w:r w:rsidRPr="009E3D0F">
              <w:rPr>
                <w:rFonts w:ascii="Arial" w:eastAsia="Arial" w:hAnsi="Arial" w:cs="Arial"/>
                <w:color w:val="000000"/>
                <w:sz w:val="16"/>
                <w:szCs w:val="18"/>
              </w:rPr>
              <w:t>2014-15</w:t>
            </w:r>
          </w:p>
        </w:tc>
        <w:tc>
          <w:tcPr>
            <w:tcW w:w="0" w:type="auto"/>
            <w:tcBorders>
              <w:top w:val="single" w:sz="6" w:space="0" w:color="000000"/>
              <w:left w:val="nil"/>
              <w:bottom w:val="nil"/>
              <w:right w:val="nil"/>
              <w:tl2br w:val="nil"/>
              <w:tr2bl w:val="nil"/>
            </w:tcBorders>
            <w:shd w:val="clear" w:color="auto" w:fill="FFFFFF"/>
            <w:tcMar>
              <w:left w:w="101" w:type="dxa"/>
              <w:right w:w="101" w:type="dxa"/>
            </w:tcMar>
            <w:vAlign w:val="bottom"/>
          </w:tcPr>
          <w:p w14:paraId="563308D3" w14:textId="77777777" w:rsidR="003F0EEA" w:rsidRPr="009E3D0F" w:rsidRDefault="00FB7D0B">
            <w:pPr>
              <w:jc w:val="right"/>
              <w:rPr>
                <w:rFonts w:ascii="Arial" w:eastAsia="Arial" w:hAnsi="Arial" w:cs="Arial"/>
                <w:color w:val="000000"/>
                <w:sz w:val="16"/>
                <w:szCs w:val="18"/>
              </w:rPr>
            </w:pPr>
            <w:r w:rsidRPr="009E3D0F">
              <w:rPr>
                <w:rFonts w:ascii="Arial" w:eastAsia="Arial" w:hAnsi="Arial" w:cs="Arial"/>
                <w:color w:val="000000"/>
                <w:sz w:val="16"/>
                <w:szCs w:val="18"/>
              </w:rPr>
              <w:t>2015-16</w:t>
            </w:r>
          </w:p>
        </w:tc>
        <w:tc>
          <w:tcPr>
            <w:tcW w:w="0" w:type="auto"/>
            <w:tcBorders>
              <w:top w:val="single" w:sz="6" w:space="0" w:color="000000"/>
              <w:left w:val="nil"/>
              <w:bottom w:val="nil"/>
              <w:right w:val="nil"/>
              <w:tl2br w:val="nil"/>
              <w:tr2bl w:val="nil"/>
            </w:tcBorders>
            <w:shd w:val="clear" w:color="auto" w:fill="FFFFFF"/>
            <w:tcMar>
              <w:left w:w="101" w:type="dxa"/>
              <w:right w:w="101" w:type="dxa"/>
            </w:tcMar>
            <w:vAlign w:val="bottom"/>
          </w:tcPr>
          <w:p w14:paraId="7EE659E5" w14:textId="77777777" w:rsidR="003F0EEA" w:rsidRPr="009E3D0F" w:rsidRDefault="00FB7D0B">
            <w:pPr>
              <w:jc w:val="right"/>
              <w:rPr>
                <w:rFonts w:ascii="Arial" w:eastAsia="Arial" w:hAnsi="Arial" w:cs="Arial"/>
                <w:color w:val="000000"/>
                <w:sz w:val="16"/>
                <w:szCs w:val="18"/>
              </w:rPr>
            </w:pPr>
            <w:r w:rsidRPr="009E3D0F">
              <w:rPr>
                <w:rFonts w:ascii="Arial" w:eastAsia="Arial" w:hAnsi="Arial" w:cs="Arial"/>
                <w:color w:val="000000"/>
                <w:sz w:val="16"/>
                <w:szCs w:val="18"/>
              </w:rPr>
              <w:t>2016-17</w:t>
            </w:r>
          </w:p>
        </w:tc>
        <w:tc>
          <w:tcPr>
            <w:tcW w:w="0" w:type="auto"/>
            <w:tcBorders>
              <w:top w:val="single" w:sz="6" w:space="0" w:color="000000"/>
              <w:left w:val="nil"/>
              <w:bottom w:val="nil"/>
              <w:right w:val="single" w:sz="6" w:space="0" w:color="000000"/>
              <w:tl2br w:val="nil"/>
              <w:tr2bl w:val="nil"/>
            </w:tcBorders>
            <w:shd w:val="clear" w:color="auto" w:fill="FFFFFF"/>
            <w:tcMar>
              <w:left w:w="101" w:type="dxa"/>
              <w:right w:w="101" w:type="dxa"/>
            </w:tcMar>
            <w:vAlign w:val="bottom"/>
          </w:tcPr>
          <w:p w14:paraId="66139ED3" w14:textId="77777777" w:rsidR="003F0EEA" w:rsidRPr="009E3D0F" w:rsidRDefault="00FB7D0B">
            <w:pPr>
              <w:jc w:val="right"/>
              <w:rPr>
                <w:rFonts w:ascii="Arial" w:eastAsia="Arial" w:hAnsi="Arial" w:cs="Arial"/>
                <w:color w:val="000000"/>
                <w:sz w:val="16"/>
                <w:szCs w:val="18"/>
              </w:rPr>
            </w:pPr>
            <w:r w:rsidRPr="009E3D0F">
              <w:rPr>
                <w:rFonts w:ascii="Arial" w:eastAsia="Arial" w:hAnsi="Arial" w:cs="Arial"/>
                <w:color w:val="000000"/>
                <w:sz w:val="16"/>
                <w:szCs w:val="18"/>
              </w:rPr>
              <w:t>2017-18</w:t>
            </w:r>
          </w:p>
        </w:tc>
      </w:tr>
      <w:tr w:rsidR="00724034" w14:paraId="3111FB9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10" w:type="dxa"/>
          <w:trHeight w:val="225"/>
        </w:trPr>
        <w:tc>
          <w:tcPr>
            <w:tcW w:w="0" w:type="auto"/>
            <w:tcBorders>
              <w:top w:val="single" w:sz="6" w:space="0" w:color="FFFFFF"/>
              <w:left w:val="single" w:sz="6" w:space="0" w:color="000000"/>
              <w:bottom w:val="nil"/>
              <w:right w:val="nil"/>
              <w:tl2br w:val="nil"/>
              <w:tr2bl w:val="nil"/>
            </w:tcBorders>
            <w:shd w:val="clear" w:color="auto" w:fill="FFFFFF"/>
            <w:tcMar>
              <w:left w:w="101" w:type="dxa"/>
              <w:right w:w="101" w:type="dxa"/>
            </w:tcMar>
            <w:vAlign w:val="bottom"/>
          </w:tcPr>
          <w:p w14:paraId="19B3BBF6" w14:textId="77777777" w:rsidR="003F0EEA" w:rsidRPr="009E3D0F" w:rsidRDefault="003F0EEA">
            <w:pPr>
              <w:rPr>
                <w:rFonts w:ascii="Arial" w:eastAsia="Arial" w:hAnsi="Arial" w:cs="Arial"/>
                <w:color w:val="000000"/>
                <w:sz w:val="16"/>
                <w:szCs w:val="18"/>
              </w:rPr>
            </w:pPr>
          </w:p>
        </w:tc>
        <w:tc>
          <w:tcPr>
            <w:tcW w:w="0" w:type="auto"/>
            <w:tcBorders>
              <w:top w:val="single" w:sz="6" w:space="0" w:color="FFFFFF"/>
              <w:left w:val="nil"/>
              <w:bottom w:val="nil"/>
              <w:right w:val="nil"/>
              <w:tl2br w:val="nil"/>
              <w:tr2bl w:val="nil"/>
            </w:tcBorders>
            <w:shd w:val="clear" w:color="auto" w:fill="FFFFFF"/>
            <w:tcMar>
              <w:left w:w="101" w:type="dxa"/>
              <w:right w:w="101" w:type="dxa"/>
            </w:tcMar>
            <w:vAlign w:val="bottom"/>
          </w:tcPr>
          <w:p w14:paraId="1F3E92E1" w14:textId="77777777" w:rsidR="003F0EEA" w:rsidRPr="009E3D0F" w:rsidRDefault="003F0EEA">
            <w:pPr>
              <w:rPr>
                <w:rFonts w:ascii="Arial" w:eastAsia="Arial" w:hAnsi="Arial" w:cs="Arial"/>
                <w:color w:val="000000"/>
                <w:sz w:val="16"/>
                <w:szCs w:val="18"/>
              </w:rPr>
            </w:pPr>
          </w:p>
        </w:tc>
        <w:tc>
          <w:tcPr>
            <w:tcW w:w="0" w:type="auto"/>
            <w:tcBorders>
              <w:top w:val="single" w:sz="6" w:space="0" w:color="FFFFFF"/>
              <w:left w:val="nil"/>
              <w:bottom w:val="nil"/>
              <w:right w:val="nil"/>
              <w:tl2br w:val="nil"/>
              <w:tr2bl w:val="nil"/>
            </w:tcBorders>
            <w:shd w:val="clear" w:color="auto" w:fill="FFFFFF"/>
            <w:tcMar>
              <w:left w:w="101" w:type="dxa"/>
              <w:right w:w="101" w:type="dxa"/>
            </w:tcMar>
            <w:vAlign w:val="bottom"/>
          </w:tcPr>
          <w:p w14:paraId="3E95724B" w14:textId="77777777" w:rsidR="003F0EEA" w:rsidRPr="009E3D0F" w:rsidRDefault="003F0EEA">
            <w:pPr>
              <w:rPr>
                <w:rFonts w:ascii="Arial" w:eastAsia="Arial" w:hAnsi="Arial" w:cs="Arial"/>
                <w:color w:val="000000"/>
                <w:sz w:val="16"/>
                <w:szCs w:val="18"/>
              </w:rPr>
            </w:pPr>
          </w:p>
        </w:tc>
        <w:tc>
          <w:tcPr>
            <w:tcW w:w="0" w:type="auto"/>
            <w:tcBorders>
              <w:top w:val="nil"/>
              <w:left w:val="nil"/>
              <w:bottom w:val="nil"/>
              <w:right w:val="nil"/>
              <w:tl2br w:val="nil"/>
              <w:tr2bl w:val="nil"/>
            </w:tcBorders>
            <w:shd w:val="clear" w:color="auto" w:fill="FFFFFF"/>
            <w:tcMar>
              <w:left w:w="101" w:type="dxa"/>
              <w:right w:w="101" w:type="dxa"/>
            </w:tcMar>
            <w:vAlign w:val="bottom"/>
          </w:tcPr>
          <w:p w14:paraId="064E75B3" w14:textId="77777777" w:rsidR="003F0EEA" w:rsidRPr="009E3D0F" w:rsidRDefault="00FB7D0B">
            <w:pPr>
              <w:jc w:val="right"/>
              <w:rPr>
                <w:rFonts w:ascii="Arial" w:eastAsia="Arial" w:hAnsi="Arial" w:cs="Arial"/>
                <w:color w:val="000000"/>
                <w:sz w:val="16"/>
                <w:szCs w:val="18"/>
                <w:vertAlign w:val="superscript"/>
              </w:rPr>
            </w:pPr>
            <w:r w:rsidRPr="009E3D0F">
              <w:rPr>
                <w:rFonts w:ascii="Arial" w:eastAsia="Arial" w:hAnsi="Arial" w:cs="Arial"/>
                <w:color w:val="000000"/>
                <w:sz w:val="16"/>
                <w:szCs w:val="18"/>
              </w:rPr>
              <w:t>Revised</w:t>
            </w:r>
          </w:p>
        </w:tc>
        <w:tc>
          <w:tcPr>
            <w:tcW w:w="0" w:type="auto"/>
            <w:tcBorders>
              <w:top w:val="nil"/>
              <w:left w:val="nil"/>
              <w:bottom w:val="nil"/>
              <w:right w:val="nil"/>
              <w:tl2br w:val="nil"/>
              <w:tr2bl w:val="nil"/>
            </w:tcBorders>
            <w:shd w:val="clear" w:color="auto" w:fill="FFFF00"/>
            <w:tcMar>
              <w:left w:w="101" w:type="dxa"/>
              <w:right w:w="101" w:type="dxa"/>
            </w:tcMar>
            <w:vAlign w:val="bottom"/>
          </w:tcPr>
          <w:p w14:paraId="0B060E53" w14:textId="77777777" w:rsidR="003F0EEA" w:rsidRPr="009E3D0F" w:rsidRDefault="00FB7D0B">
            <w:pPr>
              <w:jc w:val="right"/>
              <w:rPr>
                <w:rFonts w:ascii="Arial" w:eastAsia="Arial" w:hAnsi="Arial" w:cs="Arial"/>
                <w:color w:val="000000"/>
                <w:sz w:val="16"/>
                <w:szCs w:val="18"/>
              </w:rPr>
            </w:pPr>
            <w:r w:rsidRPr="009E3D0F">
              <w:rPr>
                <w:rFonts w:ascii="Arial" w:eastAsia="Arial" w:hAnsi="Arial" w:cs="Arial"/>
                <w:color w:val="000000"/>
                <w:sz w:val="16"/>
                <w:szCs w:val="18"/>
              </w:rPr>
              <w:t>Budget</w:t>
            </w:r>
          </w:p>
        </w:tc>
        <w:tc>
          <w:tcPr>
            <w:tcW w:w="0" w:type="auto"/>
            <w:tcBorders>
              <w:top w:val="nil"/>
              <w:left w:val="nil"/>
              <w:bottom w:val="nil"/>
              <w:right w:val="nil"/>
              <w:tl2br w:val="nil"/>
              <w:tr2bl w:val="nil"/>
            </w:tcBorders>
            <w:shd w:val="clear" w:color="auto" w:fill="FFFFFF"/>
            <w:tcMar>
              <w:left w:w="101" w:type="dxa"/>
              <w:right w:w="101" w:type="dxa"/>
            </w:tcMar>
            <w:vAlign w:val="bottom"/>
          </w:tcPr>
          <w:p w14:paraId="026045C5" w14:textId="77777777" w:rsidR="003F0EEA" w:rsidRPr="009E3D0F" w:rsidRDefault="00FB7D0B">
            <w:pPr>
              <w:jc w:val="right"/>
              <w:rPr>
                <w:rFonts w:ascii="Arial" w:eastAsia="Arial" w:hAnsi="Arial" w:cs="Arial"/>
                <w:color w:val="000000"/>
                <w:sz w:val="16"/>
                <w:szCs w:val="18"/>
              </w:rPr>
            </w:pPr>
            <w:r w:rsidRPr="009E3D0F">
              <w:rPr>
                <w:rFonts w:ascii="Arial" w:eastAsia="Arial" w:hAnsi="Arial" w:cs="Arial"/>
                <w:color w:val="000000"/>
                <w:sz w:val="16"/>
                <w:szCs w:val="18"/>
              </w:rPr>
              <w:t>Forward</w:t>
            </w:r>
          </w:p>
        </w:tc>
        <w:tc>
          <w:tcPr>
            <w:tcW w:w="0" w:type="auto"/>
            <w:tcBorders>
              <w:top w:val="nil"/>
              <w:left w:val="nil"/>
              <w:bottom w:val="nil"/>
              <w:right w:val="nil"/>
              <w:tl2br w:val="nil"/>
              <w:tr2bl w:val="nil"/>
            </w:tcBorders>
            <w:shd w:val="clear" w:color="auto" w:fill="FFFFFF"/>
            <w:tcMar>
              <w:left w:w="101" w:type="dxa"/>
              <w:right w:w="101" w:type="dxa"/>
            </w:tcMar>
            <w:vAlign w:val="bottom"/>
          </w:tcPr>
          <w:p w14:paraId="42615236" w14:textId="77777777" w:rsidR="003F0EEA" w:rsidRPr="009E3D0F" w:rsidRDefault="00FB7D0B">
            <w:pPr>
              <w:jc w:val="right"/>
              <w:rPr>
                <w:rFonts w:ascii="Arial" w:eastAsia="Arial" w:hAnsi="Arial" w:cs="Arial"/>
                <w:color w:val="000000"/>
                <w:sz w:val="16"/>
                <w:szCs w:val="18"/>
              </w:rPr>
            </w:pPr>
            <w:r w:rsidRPr="009E3D0F">
              <w:rPr>
                <w:rFonts w:ascii="Arial" w:eastAsia="Arial" w:hAnsi="Arial" w:cs="Arial"/>
                <w:color w:val="000000"/>
                <w:sz w:val="16"/>
                <w:szCs w:val="18"/>
              </w:rPr>
              <w:t>Forward</w:t>
            </w:r>
          </w:p>
        </w:tc>
        <w:tc>
          <w:tcPr>
            <w:tcW w:w="0" w:type="auto"/>
            <w:tcBorders>
              <w:top w:val="nil"/>
              <w:left w:val="nil"/>
              <w:bottom w:val="nil"/>
              <w:right w:val="single" w:sz="6" w:space="0" w:color="000000"/>
              <w:tl2br w:val="nil"/>
              <w:tr2bl w:val="nil"/>
            </w:tcBorders>
            <w:shd w:val="clear" w:color="auto" w:fill="FFFFFF"/>
            <w:tcMar>
              <w:left w:w="101" w:type="dxa"/>
              <w:right w:w="101" w:type="dxa"/>
            </w:tcMar>
            <w:vAlign w:val="bottom"/>
          </w:tcPr>
          <w:p w14:paraId="2A9BAB93" w14:textId="77777777" w:rsidR="003F0EEA" w:rsidRPr="009E3D0F" w:rsidRDefault="00FB7D0B">
            <w:pPr>
              <w:jc w:val="right"/>
              <w:rPr>
                <w:rFonts w:ascii="Arial" w:eastAsia="Arial" w:hAnsi="Arial" w:cs="Arial"/>
                <w:color w:val="000000"/>
                <w:sz w:val="16"/>
                <w:szCs w:val="18"/>
              </w:rPr>
            </w:pPr>
            <w:r w:rsidRPr="009E3D0F">
              <w:rPr>
                <w:rFonts w:ascii="Arial" w:eastAsia="Arial" w:hAnsi="Arial" w:cs="Arial"/>
                <w:color w:val="000000"/>
                <w:sz w:val="16"/>
                <w:szCs w:val="18"/>
              </w:rPr>
              <w:t>Forward</w:t>
            </w:r>
          </w:p>
        </w:tc>
      </w:tr>
      <w:tr w:rsidR="00FB7D0B" w14:paraId="4DB17342" w14:textId="77777777" w:rsidTr="00FB7D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10" w:type="dxa"/>
          <w:trHeight w:val="225"/>
        </w:trPr>
        <w:tc>
          <w:tcPr>
            <w:tcW w:w="0" w:type="auto"/>
            <w:gridSpan w:val="3"/>
            <w:tcBorders>
              <w:top w:val="nil"/>
              <w:left w:val="single" w:sz="6" w:space="0" w:color="000000"/>
              <w:bottom w:val="nil"/>
              <w:right w:val="nil"/>
              <w:tl2br w:val="nil"/>
              <w:tr2bl w:val="nil"/>
            </w:tcBorders>
            <w:shd w:val="clear" w:color="auto" w:fill="FFFFFF"/>
            <w:tcMar>
              <w:left w:w="101" w:type="dxa"/>
              <w:right w:w="101" w:type="dxa"/>
            </w:tcMar>
            <w:vAlign w:val="bottom"/>
          </w:tcPr>
          <w:p w14:paraId="19EDE437" w14:textId="77777777" w:rsidR="003F0EEA" w:rsidRPr="009E3D0F" w:rsidRDefault="00FB7D0B">
            <w:pPr>
              <w:rPr>
                <w:rFonts w:ascii="Arial" w:eastAsia="Arial" w:hAnsi="Arial" w:cs="Arial"/>
                <w:color w:val="000000"/>
                <w:sz w:val="16"/>
                <w:szCs w:val="18"/>
              </w:rPr>
            </w:pPr>
            <w:r w:rsidRPr="009E3D0F">
              <w:rPr>
                <w:rFonts w:ascii="Arial" w:eastAsia="Arial" w:hAnsi="Arial" w:cs="Arial"/>
                <w:color w:val="000000"/>
                <w:sz w:val="16"/>
                <w:szCs w:val="18"/>
              </w:rPr>
              <w:t>$('000)</w:t>
            </w:r>
          </w:p>
        </w:tc>
        <w:tc>
          <w:tcPr>
            <w:tcW w:w="0" w:type="auto"/>
            <w:tcBorders>
              <w:top w:val="nil"/>
              <w:left w:val="nil"/>
              <w:bottom w:val="single" w:sz="6" w:space="0" w:color="000000"/>
              <w:right w:val="nil"/>
              <w:tl2br w:val="nil"/>
              <w:tr2bl w:val="nil"/>
            </w:tcBorders>
            <w:shd w:val="clear" w:color="auto" w:fill="FFFFFF"/>
            <w:tcMar>
              <w:left w:w="101" w:type="dxa"/>
              <w:right w:w="101" w:type="dxa"/>
            </w:tcMar>
            <w:vAlign w:val="bottom"/>
          </w:tcPr>
          <w:p w14:paraId="5658DE55" w14:textId="77777777" w:rsidR="003F0EEA" w:rsidRPr="009E3D0F" w:rsidRDefault="00FB7D0B">
            <w:pPr>
              <w:jc w:val="right"/>
              <w:rPr>
                <w:rFonts w:ascii="Arial" w:eastAsia="Arial" w:hAnsi="Arial" w:cs="Arial"/>
                <w:color w:val="000000"/>
                <w:sz w:val="16"/>
                <w:szCs w:val="18"/>
                <w:vertAlign w:val="superscript"/>
              </w:rPr>
            </w:pPr>
            <w:r w:rsidRPr="009E3D0F">
              <w:rPr>
                <w:rFonts w:ascii="Arial" w:eastAsia="Arial" w:hAnsi="Arial" w:cs="Arial"/>
                <w:color w:val="000000"/>
                <w:sz w:val="16"/>
                <w:szCs w:val="18"/>
              </w:rPr>
              <w:t>budget</w:t>
            </w:r>
          </w:p>
        </w:tc>
        <w:tc>
          <w:tcPr>
            <w:tcW w:w="0" w:type="auto"/>
            <w:tcBorders>
              <w:top w:val="nil"/>
              <w:left w:val="nil"/>
              <w:bottom w:val="single" w:sz="6" w:space="0" w:color="000000"/>
              <w:right w:val="nil"/>
              <w:tl2br w:val="nil"/>
              <w:tr2bl w:val="nil"/>
            </w:tcBorders>
            <w:shd w:val="clear" w:color="auto" w:fill="FFFF00"/>
            <w:tcMar>
              <w:left w:w="101" w:type="dxa"/>
              <w:right w:w="101" w:type="dxa"/>
            </w:tcMar>
            <w:vAlign w:val="bottom"/>
          </w:tcPr>
          <w:p w14:paraId="2A56403E" w14:textId="77777777" w:rsidR="003F0EEA" w:rsidRPr="009E3D0F" w:rsidRDefault="003F0EEA">
            <w:pPr>
              <w:jc w:val="right"/>
              <w:rPr>
                <w:rFonts w:ascii="Arial" w:eastAsia="Arial" w:hAnsi="Arial" w:cs="Arial"/>
                <w:color w:val="000000"/>
                <w:sz w:val="16"/>
                <w:szCs w:val="18"/>
              </w:rPr>
            </w:pPr>
          </w:p>
        </w:tc>
        <w:tc>
          <w:tcPr>
            <w:tcW w:w="0" w:type="auto"/>
            <w:tcBorders>
              <w:top w:val="nil"/>
              <w:left w:val="nil"/>
              <w:bottom w:val="single" w:sz="6" w:space="0" w:color="000000"/>
              <w:right w:val="nil"/>
              <w:tl2br w:val="nil"/>
              <w:tr2bl w:val="nil"/>
            </w:tcBorders>
            <w:shd w:val="clear" w:color="auto" w:fill="FFFFFF"/>
            <w:tcMar>
              <w:left w:w="101" w:type="dxa"/>
              <w:right w:w="101" w:type="dxa"/>
            </w:tcMar>
            <w:vAlign w:val="bottom"/>
          </w:tcPr>
          <w:p w14:paraId="49EB4A70" w14:textId="77777777" w:rsidR="003F0EEA" w:rsidRPr="009E3D0F" w:rsidRDefault="00FB7D0B">
            <w:pPr>
              <w:jc w:val="right"/>
              <w:rPr>
                <w:rFonts w:ascii="Arial" w:eastAsia="Arial" w:hAnsi="Arial" w:cs="Arial"/>
                <w:color w:val="000000"/>
                <w:sz w:val="16"/>
                <w:szCs w:val="18"/>
              </w:rPr>
            </w:pPr>
            <w:r w:rsidRPr="009E3D0F">
              <w:rPr>
                <w:rFonts w:ascii="Arial" w:eastAsia="Arial" w:hAnsi="Arial" w:cs="Arial"/>
                <w:color w:val="000000"/>
                <w:sz w:val="16"/>
                <w:szCs w:val="18"/>
              </w:rPr>
              <w:t>year 1</w:t>
            </w:r>
          </w:p>
        </w:tc>
        <w:tc>
          <w:tcPr>
            <w:tcW w:w="0" w:type="auto"/>
            <w:tcBorders>
              <w:top w:val="nil"/>
              <w:left w:val="nil"/>
              <w:bottom w:val="single" w:sz="6" w:space="0" w:color="000000"/>
              <w:right w:val="nil"/>
              <w:tl2br w:val="nil"/>
              <w:tr2bl w:val="nil"/>
            </w:tcBorders>
            <w:shd w:val="clear" w:color="auto" w:fill="FFFFFF"/>
            <w:tcMar>
              <w:left w:w="101" w:type="dxa"/>
              <w:right w:w="101" w:type="dxa"/>
            </w:tcMar>
            <w:vAlign w:val="bottom"/>
          </w:tcPr>
          <w:p w14:paraId="62938234" w14:textId="77777777" w:rsidR="003F0EEA" w:rsidRPr="009E3D0F" w:rsidRDefault="00FB7D0B">
            <w:pPr>
              <w:jc w:val="right"/>
              <w:rPr>
                <w:rFonts w:ascii="Arial" w:eastAsia="Arial" w:hAnsi="Arial" w:cs="Arial"/>
                <w:color w:val="000000"/>
                <w:sz w:val="16"/>
                <w:szCs w:val="18"/>
              </w:rPr>
            </w:pPr>
            <w:r w:rsidRPr="009E3D0F">
              <w:rPr>
                <w:rFonts w:ascii="Arial" w:eastAsia="Arial" w:hAnsi="Arial" w:cs="Arial"/>
                <w:color w:val="000000"/>
                <w:sz w:val="16"/>
                <w:szCs w:val="18"/>
              </w:rPr>
              <w:t>year 2</w:t>
            </w:r>
          </w:p>
        </w:tc>
        <w:tc>
          <w:tcPr>
            <w:tcW w:w="0" w:type="auto"/>
            <w:tcBorders>
              <w:top w:val="nil"/>
              <w:left w:val="nil"/>
              <w:bottom w:val="single" w:sz="6" w:space="0" w:color="000000"/>
              <w:right w:val="single" w:sz="6" w:space="0" w:color="000000"/>
              <w:tl2br w:val="nil"/>
              <w:tr2bl w:val="nil"/>
            </w:tcBorders>
            <w:shd w:val="clear" w:color="auto" w:fill="FFFFFF"/>
            <w:tcMar>
              <w:left w:w="101" w:type="dxa"/>
              <w:right w:w="101" w:type="dxa"/>
            </w:tcMar>
            <w:vAlign w:val="bottom"/>
          </w:tcPr>
          <w:p w14:paraId="4FF6E4B9" w14:textId="77777777" w:rsidR="003F0EEA" w:rsidRPr="009E3D0F" w:rsidRDefault="00FB7D0B">
            <w:pPr>
              <w:jc w:val="right"/>
              <w:rPr>
                <w:rFonts w:ascii="Arial" w:eastAsia="Arial" w:hAnsi="Arial" w:cs="Arial"/>
                <w:color w:val="000000"/>
                <w:sz w:val="16"/>
                <w:szCs w:val="18"/>
              </w:rPr>
            </w:pPr>
            <w:r w:rsidRPr="009E3D0F">
              <w:rPr>
                <w:rFonts w:ascii="Arial" w:eastAsia="Arial" w:hAnsi="Arial" w:cs="Arial"/>
                <w:color w:val="000000"/>
                <w:sz w:val="16"/>
                <w:szCs w:val="18"/>
              </w:rPr>
              <w:t>year 3</w:t>
            </w:r>
          </w:p>
        </w:tc>
      </w:tr>
      <w:tr w:rsidR="00FB7D0B" w14:paraId="35456FDB" w14:textId="77777777" w:rsidTr="00FB7D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10" w:type="dxa"/>
          <w:trHeight w:val="225"/>
        </w:trPr>
        <w:tc>
          <w:tcPr>
            <w:tcW w:w="0" w:type="auto"/>
            <w:gridSpan w:val="3"/>
            <w:tcBorders>
              <w:top w:val="single" w:sz="6" w:space="0" w:color="000000"/>
              <w:left w:val="single" w:sz="6" w:space="0" w:color="000000"/>
              <w:bottom w:val="nil"/>
              <w:right w:val="nil"/>
              <w:tl2br w:val="nil"/>
              <w:tr2bl w:val="nil"/>
            </w:tcBorders>
            <w:shd w:val="clear" w:color="auto" w:fill="FFFFFF"/>
            <w:tcMar>
              <w:left w:w="101" w:type="dxa"/>
              <w:right w:w="101" w:type="dxa"/>
            </w:tcMar>
            <w:vAlign w:val="bottom"/>
          </w:tcPr>
          <w:p w14:paraId="2B9F93F4" w14:textId="77777777" w:rsidR="003F0EEA" w:rsidRPr="009E3D0F" w:rsidRDefault="00FB7D0B">
            <w:pPr>
              <w:rPr>
                <w:rFonts w:ascii="Arial" w:eastAsia="Arial" w:hAnsi="Arial" w:cs="Arial"/>
                <w:color w:val="000000"/>
                <w:sz w:val="16"/>
                <w:szCs w:val="18"/>
              </w:rPr>
            </w:pPr>
            <w:r w:rsidRPr="009E3D0F">
              <w:rPr>
                <w:rFonts w:ascii="Arial" w:eastAsia="Arial" w:hAnsi="Arial" w:cs="Arial"/>
                <w:color w:val="000000"/>
                <w:sz w:val="16"/>
                <w:szCs w:val="18"/>
              </w:rPr>
              <w:t>Annual Administered Expenses:</w:t>
            </w:r>
          </w:p>
        </w:tc>
        <w:tc>
          <w:tcPr>
            <w:tcW w:w="0" w:type="auto"/>
            <w:tcBorders>
              <w:top w:val="single" w:sz="6" w:space="0" w:color="000000"/>
              <w:left w:val="nil"/>
              <w:bottom w:val="nil"/>
              <w:right w:val="nil"/>
              <w:tl2br w:val="nil"/>
              <w:tr2bl w:val="nil"/>
            </w:tcBorders>
            <w:shd w:val="clear" w:color="auto" w:fill="FFFFFF"/>
            <w:tcMar>
              <w:left w:w="101" w:type="dxa"/>
              <w:right w:w="101" w:type="dxa"/>
            </w:tcMar>
            <w:vAlign w:val="bottom"/>
          </w:tcPr>
          <w:p w14:paraId="23FBBD7A" w14:textId="77777777" w:rsidR="003F0EEA" w:rsidRPr="009E3D0F" w:rsidRDefault="003F0EEA">
            <w:pPr>
              <w:jc w:val="right"/>
              <w:rPr>
                <w:rFonts w:ascii="Arial" w:eastAsia="Arial" w:hAnsi="Arial" w:cs="Arial"/>
                <w:color w:val="000000"/>
                <w:sz w:val="16"/>
                <w:szCs w:val="18"/>
                <w:vertAlign w:val="superscript"/>
              </w:rPr>
            </w:pPr>
          </w:p>
        </w:tc>
        <w:tc>
          <w:tcPr>
            <w:tcW w:w="0" w:type="auto"/>
            <w:tcBorders>
              <w:top w:val="single" w:sz="6" w:space="0" w:color="000000"/>
              <w:left w:val="nil"/>
              <w:bottom w:val="nil"/>
              <w:right w:val="nil"/>
              <w:tl2br w:val="nil"/>
              <w:tr2bl w:val="nil"/>
            </w:tcBorders>
            <w:shd w:val="clear" w:color="auto" w:fill="FFFF00"/>
            <w:tcMar>
              <w:left w:w="101" w:type="dxa"/>
              <w:right w:w="101" w:type="dxa"/>
            </w:tcMar>
            <w:vAlign w:val="bottom"/>
          </w:tcPr>
          <w:p w14:paraId="0BA0AFE4" w14:textId="77777777" w:rsidR="003F0EEA" w:rsidRPr="009E3D0F" w:rsidRDefault="003F0EEA">
            <w:pPr>
              <w:rPr>
                <w:rFonts w:ascii="Arial" w:eastAsia="Arial" w:hAnsi="Arial" w:cs="Arial"/>
                <w:color w:val="000000"/>
                <w:sz w:val="16"/>
                <w:szCs w:val="18"/>
                <w:vertAlign w:val="superscript"/>
              </w:rPr>
            </w:pPr>
          </w:p>
        </w:tc>
        <w:tc>
          <w:tcPr>
            <w:tcW w:w="0" w:type="auto"/>
            <w:tcBorders>
              <w:top w:val="single" w:sz="6" w:space="0" w:color="000000"/>
              <w:left w:val="nil"/>
              <w:bottom w:val="nil"/>
              <w:right w:val="nil"/>
              <w:tl2br w:val="nil"/>
              <w:tr2bl w:val="nil"/>
            </w:tcBorders>
            <w:shd w:val="clear" w:color="auto" w:fill="FFFFFF"/>
            <w:tcMar>
              <w:left w:w="101" w:type="dxa"/>
              <w:right w:w="101" w:type="dxa"/>
            </w:tcMar>
            <w:vAlign w:val="bottom"/>
          </w:tcPr>
          <w:p w14:paraId="2E8864A4" w14:textId="77777777" w:rsidR="003F0EEA" w:rsidRPr="009E3D0F" w:rsidRDefault="003F0EEA">
            <w:pPr>
              <w:jc w:val="right"/>
              <w:rPr>
                <w:rFonts w:ascii="Arial" w:eastAsia="Arial" w:hAnsi="Arial" w:cs="Arial"/>
                <w:color w:val="000000"/>
                <w:sz w:val="16"/>
                <w:szCs w:val="18"/>
                <w:vertAlign w:val="superscript"/>
              </w:rPr>
            </w:pPr>
          </w:p>
        </w:tc>
        <w:tc>
          <w:tcPr>
            <w:tcW w:w="0" w:type="auto"/>
            <w:tcBorders>
              <w:top w:val="single" w:sz="6" w:space="0" w:color="000000"/>
              <w:left w:val="nil"/>
              <w:bottom w:val="nil"/>
              <w:right w:val="nil"/>
              <w:tl2br w:val="nil"/>
              <w:tr2bl w:val="nil"/>
            </w:tcBorders>
            <w:shd w:val="clear" w:color="auto" w:fill="FFFFFF"/>
            <w:tcMar>
              <w:left w:w="101" w:type="dxa"/>
              <w:right w:w="101" w:type="dxa"/>
            </w:tcMar>
            <w:vAlign w:val="bottom"/>
          </w:tcPr>
          <w:p w14:paraId="4189C4DD" w14:textId="77777777" w:rsidR="003F0EEA" w:rsidRPr="009E3D0F" w:rsidRDefault="003F0EEA">
            <w:pPr>
              <w:jc w:val="right"/>
              <w:rPr>
                <w:rFonts w:ascii="Arial" w:eastAsia="Arial" w:hAnsi="Arial" w:cs="Arial"/>
                <w:color w:val="000000"/>
                <w:sz w:val="16"/>
                <w:szCs w:val="18"/>
                <w:vertAlign w:val="superscript"/>
              </w:rPr>
            </w:pPr>
          </w:p>
        </w:tc>
        <w:tc>
          <w:tcPr>
            <w:tcW w:w="0" w:type="auto"/>
            <w:tcBorders>
              <w:top w:val="single" w:sz="6" w:space="0" w:color="000000"/>
              <w:left w:val="nil"/>
              <w:bottom w:val="nil"/>
              <w:right w:val="single" w:sz="6" w:space="0" w:color="000000"/>
              <w:tl2br w:val="nil"/>
              <w:tr2bl w:val="nil"/>
            </w:tcBorders>
            <w:shd w:val="clear" w:color="auto" w:fill="FFFFFF"/>
            <w:tcMar>
              <w:left w:w="101" w:type="dxa"/>
              <w:right w:w="101" w:type="dxa"/>
            </w:tcMar>
            <w:vAlign w:val="bottom"/>
          </w:tcPr>
          <w:p w14:paraId="5D523198" w14:textId="77777777" w:rsidR="003F0EEA" w:rsidRPr="009E3D0F" w:rsidRDefault="003F0EEA">
            <w:pPr>
              <w:jc w:val="right"/>
              <w:rPr>
                <w:rFonts w:ascii="Arial" w:eastAsia="Arial" w:hAnsi="Arial" w:cs="Arial"/>
                <w:color w:val="000000"/>
                <w:sz w:val="16"/>
                <w:szCs w:val="18"/>
                <w:vertAlign w:val="superscript"/>
              </w:rPr>
            </w:pPr>
          </w:p>
        </w:tc>
      </w:tr>
      <w:tr w:rsidR="00FB7D0B" w14:paraId="607E2F01" w14:textId="77777777" w:rsidTr="00FB7D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10" w:type="dxa"/>
          <w:trHeight w:val="225"/>
        </w:trPr>
        <w:tc>
          <w:tcPr>
            <w:tcW w:w="0" w:type="auto"/>
            <w:tcBorders>
              <w:top w:val="single" w:sz="6" w:space="0" w:color="FFFFFF"/>
              <w:left w:val="single" w:sz="6" w:space="0" w:color="000000"/>
              <w:bottom w:val="nil"/>
              <w:right w:val="nil"/>
              <w:tl2br w:val="nil"/>
              <w:tr2bl w:val="nil"/>
            </w:tcBorders>
            <w:shd w:val="clear" w:color="auto" w:fill="FFFFFF"/>
            <w:tcMar>
              <w:left w:w="101" w:type="dxa"/>
              <w:right w:w="101" w:type="dxa"/>
            </w:tcMar>
            <w:vAlign w:val="bottom"/>
          </w:tcPr>
          <w:p w14:paraId="43E10404" w14:textId="77777777" w:rsidR="003F0EEA" w:rsidRPr="009E3D0F" w:rsidRDefault="003F0EEA">
            <w:pPr>
              <w:rPr>
                <w:rFonts w:ascii="Arial" w:eastAsia="Arial" w:hAnsi="Arial" w:cs="Arial"/>
                <w:color w:val="000000"/>
                <w:sz w:val="16"/>
                <w:szCs w:val="18"/>
                <w:vertAlign w:val="superscript"/>
              </w:rPr>
            </w:pPr>
          </w:p>
        </w:tc>
        <w:tc>
          <w:tcPr>
            <w:tcW w:w="0" w:type="auto"/>
            <w:gridSpan w:val="2"/>
            <w:tcBorders>
              <w:top w:val="single" w:sz="6" w:space="0" w:color="FFFFFF"/>
              <w:left w:val="nil"/>
              <w:bottom w:val="nil"/>
              <w:right w:val="nil"/>
              <w:tl2br w:val="nil"/>
              <w:tr2bl w:val="nil"/>
            </w:tcBorders>
            <w:shd w:val="clear" w:color="auto" w:fill="FFFFFF"/>
            <w:tcMar>
              <w:left w:w="101" w:type="dxa"/>
              <w:right w:w="101" w:type="dxa"/>
            </w:tcMar>
            <w:vAlign w:val="bottom"/>
          </w:tcPr>
          <w:p w14:paraId="2A63F707" w14:textId="77777777" w:rsidR="003F0EEA" w:rsidRPr="009E3D0F" w:rsidRDefault="00FB7D0B">
            <w:pPr>
              <w:rPr>
                <w:rFonts w:ascii="Arial" w:eastAsia="Arial" w:hAnsi="Arial" w:cs="Arial"/>
                <w:color w:val="000000"/>
                <w:sz w:val="16"/>
                <w:szCs w:val="18"/>
                <w:vertAlign w:val="superscript"/>
              </w:rPr>
            </w:pPr>
            <w:r w:rsidRPr="009E3D0F">
              <w:rPr>
                <w:rFonts w:ascii="Arial" w:eastAsia="Arial" w:hAnsi="Arial" w:cs="Arial"/>
                <w:color w:val="000000"/>
                <w:sz w:val="16"/>
                <w:szCs w:val="18"/>
              </w:rPr>
              <w:t>Appropriation Bill 1</w:t>
            </w:r>
          </w:p>
        </w:tc>
        <w:tc>
          <w:tcPr>
            <w:tcW w:w="0" w:type="auto"/>
            <w:tcBorders>
              <w:top w:val="nil"/>
              <w:left w:val="nil"/>
              <w:bottom w:val="nil"/>
              <w:right w:val="nil"/>
              <w:tl2br w:val="nil"/>
              <w:tr2bl w:val="nil"/>
            </w:tcBorders>
            <w:shd w:val="clear" w:color="auto" w:fill="FFFFFF"/>
            <w:tcMar>
              <w:left w:w="101" w:type="dxa"/>
              <w:right w:w="101" w:type="dxa"/>
            </w:tcMar>
            <w:vAlign w:val="bottom"/>
          </w:tcPr>
          <w:p w14:paraId="58089EC2" w14:textId="77777777" w:rsidR="003F0EEA" w:rsidRPr="009E3D0F" w:rsidRDefault="003F0EEA">
            <w:pPr>
              <w:jc w:val="right"/>
              <w:rPr>
                <w:rFonts w:ascii="Arial" w:eastAsia="Arial" w:hAnsi="Arial" w:cs="Arial"/>
                <w:color w:val="000000"/>
                <w:sz w:val="16"/>
                <w:szCs w:val="18"/>
                <w:vertAlign w:val="superscript"/>
              </w:rPr>
            </w:pPr>
          </w:p>
        </w:tc>
        <w:tc>
          <w:tcPr>
            <w:tcW w:w="0" w:type="auto"/>
            <w:tcBorders>
              <w:top w:val="nil"/>
              <w:left w:val="nil"/>
              <w:bottom w:val="nil"/>
              <w:right w:val="nil"/>
              <w:tl2br w:val="nil"/>
              <w:tr2bl w:val="nil"/>
            </w:tcBorders>
            <w:shd w:val="clear" w:color="auto" w:fill="FFFF00"/>
            <w:tcMar>
              <w:left w:w="101" w:type="dxa"/>
              <w:right w:w="101" w:type="dxa"/>
            </w:tcMar>
            <w:vAlign w:val="bottom"/>
          </w:tcPr>
          <w:p w14:paraId="5DBF62CC" w14:textId="77777777" w:rsidR="003F0EEA" w:rsidRPr="009E3D0F" w:rsidRDefault="003F0EEA">
            <w:pPr>
              <w:jc w:val="right"/>
              <w:rPr>
                <w:rFonts w:ascii="Arial" w:eastAsia="Arial" w:hAnsi="Arial" w:cs="Arial"/>
                <w:color w:val="000000"/>
                <w:sz w:val="16"/>
                <w:szCs w:val="18"/>
                <w:vertAlign w:val="superscript"/>
              </w:rPr>
            </w:pPr>
          </w:p>
        </w:tc>
        <w:tc>
          <w:tcPr>
            <w:tcW w:w="0" w:type="auto"/>
            <w:tcBorders>
              <w:top w:val="nil"/>
              <w:left w:val="nil"/>
              <w:bottom w:val="nil"/>
              <w:right w:val="nil"/>
              <w:tl2br w:val="nil"/>
              <w:tr2bl w:val="nil"/>
            </w:tcBorders>
            <w:shd w:val="clear" w:color="auto" w:fill="FFFFFF"/>
            <w:tcMar>
              <w:left w:w="101" w:type="dxa"/>
              <w:right w:w="101" w:type="dxa"/>
            </w:tcMar>
            <w:vAlign w:val="bottom"/>
          </w:tcPr>
          <w:p w14:paraId="123E22A6" w14:textId="77777777" w:rsidR="003F0EEA" w:rsidRPr="009E3D0F" w:rsidRDefault="003F0EEA">
            <w:pPr>
              <w:jc w:val="right"/>
              <w:rPr>
                <w:rFonts w:ascii="Arial" w:eastAsia="Arial" w:hAnsi="Arial" w:cs="Arial"/>
                <w:color w:val="000000"/>
                <w:sz w:val="16"/>
                <w:szCs w:val="18"/>
                <w:vertAlign w:val="superscript"/>
              </w:rPr>
            </w:pPr>
          </w:p>
        </w:tc>
        <w:tc>
          <w:tcPr>
            <w:tcW w:w="0" w:type="auto"/>
            <w:tcBorders>
              <w:top w:val="nil"/>
              <w:left w:val="nil"/>
              <w:bottom w:val="nil"/>
              <w:right w:val="nil"/>
              <w:tl2br w:val="nil"/>
              <w:tr2bl w:val="nil"/>
            </w:tcBorders>
            <w:shd w:val="clear" w:color="auto" w:fill="FFFFFF"/>
            <w:tcMar>
              <w:left w:w="101" w:type="dxa"/>
              <w:right w:w="101" w:type="dxa"/>
            </w:tcMar>
            <w:vAlign w:val="bottom"/>
          </w:tcPr>
          <w:p w14:paraId="74C3FB6A" w14:textId="77777777" w:rsidR="003F0EEA" w:rsidRPr="009E3D0F" w:rsidRDefault="003F0EEA">
            <w:pPr>
              <w:jc w:val="right"/>
              <w:rPr>
                <w:rFonts w:ascii="Arial" w:eastAsia="Arial" w:hAnsi="Arial" w:cs="Arial"/>
                <w:color w:val="000000"/>
                <w:sz w:val="16"/>
                <w:szCs w:val="18"/>
                <w:vertAlign w:val="superscript"/>
              </w:rPr>
            </w:pPr>
          </w:p>
        </w:tc>
        <w:tc>
          <w:tcPr>
            <w:tcW w:w="0" w:type="auto"/>
            <w:tcBorders>
              <w:top w:val="nil"/>
              <w:left w:val="nil"/>
              <w:bottom w:val="nil"/>
              <w:right w:val="single" w:sz="6" w:space="0" w:color="000000"/>
              <w:tl2br w:val="nil"/>
              <w:tr2bl w:val="nil"/>
            </w:tcBorders>
            <w:shd w:val="clear" w:color="auto" w:fill="FFFFFF"/>
            <w:tcMar>
              <w:left w:w="101" w:type="dxa"/>
              <w:right w:w="101" w:type="dxa"/>
            </w:tcMar>
            <w:vAlign w:val="bottom"/>
          </w:tcPr>
          <w:p w14:paraId="1D910BCB" w14:textId="77777777" w:rsidR="003F0EEA" w:rsidRPr="009E3D0F" w:rsidRDefault="003F0EEA">
            <w:pPr>
              <w:jc w:val="right"/>
              <w:rPr>
                <w:rFonts w:ascii="Arial" w:eastAsia="Arial" w:hAnsi="Arial" w:cs="Arial"/>
                <w:color w:val="000000"/>
                <w:sz w:val="16"/>
                <w:szCs w:val="18"/>
                <w:vertAlign w:val="superscript"/>
              </w:rPr>
            </w:pPr>
          </w:p>
        </w:tc>
      </w:tr>
      <w:tr w:rsidR="00724034" w14:paraId="362AD90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10" w:type="dxa"/>
          <w:trHeight w:val="450"/>
        </w:trPr>
        <w:tc>
          <w:tcPr>
            <w:tcW w:w="0" w:type="auto"/>
            <w:tcBorders>
              <w:top w:val="nil"/>
              <w:left w:val="single" w:sz="6" w:space="0" w:color="000000"/>
              <w:bottom w:val="nil"/>
              <w:right w:val="nil"/>
              <w:tl2br w:val="nil"/>
              <w:tr2bl w:val="nil"/>
            </w:tcBorders>
            <w:shd w:val="clear" w:color="auto" w:fill="FFFFFF"/>
            <w:tcMar>
              <w:left w:w="101" w:type="dxa"/>
              <w:right w:w="101" w:type="dxa"/>
            </w:tcMar>
            <w:vAlign w:val="bottom"/>
          </w:tcPr>
          <w:p w14:paraId="63DE2568" w14:textId="77777777" w:rsidR="003F0EEA" w:rsidRPr="009E3D0F" w:rsidRDefault="003F0EEA">
            <w:pPr>
              <w:rPr>
                <w:rFonts w:ascii="Arial" w:eastAsia="Arial" w:hAnsi="Arial" w:cs="Arial"/>
                <w:color w:val="000000"/>
                <w:sz w:val="16"/>
                <w:szCs w:val="18"/>
                <w:vertAlign w:val="superscript"/>
              </w:rPr>
            </w:pPr>
          </w:p>
        </w:tc>
        <w:tc>
          <w:tcPr>
            <w:tcW w:w="0" w:type="auto"/>
            <w:tcBorders>
              <w:top w:val="nil"/>
              <w:left w:val="nil"/>
              <w:bottom w:val="nil"/>
              <w:right w:val="nil"/>
              <w:tl2br w:val="nil"/>
              <w:tr2bl w:val="nil"/>
            </w:tcBorders>
            <w:shd w:val="clear" w:color="auto" w:fill="FFFFFF"/>
            <w:tcMar>
              <w:left w:w="101" w:type="dxa"/>
              <w:right w:w="101" w:type="dxa"/>
            </w:tcMar>
            <w:vAlign w:val="bottom"/>
          </w:tcPr>
          <w:p w14:paraId="5C4E0423" w14:textId="77777777" w:rsidR="003F0EEA" w:rsidRPr="009E3D0F" w:rsidRDefault="003F0EEA">
            <w:pPr>
              <w:rPr>
                <w:rFonts w:ascii="Arial" w:eastAsia="Arial" w:hAnsi="Arial" w:cs="Arial"/>
                <w:color w:val="000000"/>
                <w:sz w:val="16"/>
                <w:szCs w:val="18"/>
                <w:vertAlign w:val="superscript"/>
              </w:rPr>
            </w:pPr>
          </w:p>
        </w:tc>
        <w:tc>
          <w:tcPr>
            <w:tcW w:w="0" w:type="auto"/>
            <w:tcBorders>
              <w:top w:val="nil"/>
              <w:left w:val="nil"/>
              <w:bottom w:val="nil"/>
              <w:right w:val="nil"/>
              <w:tl2br w:val="nil"/>
              <w:tr2bl w:val="nil"/>
            </w:tcBorders>
            <w:shd w:val="clear" w:color="auto" w:fill="FFFFFF"/>
            <w:tcMar>
              <w:left w:w="101" w:type="dxa"/>
              <w:right w:w="101" w:type="dxa"/>
            </w:tcMar>
            <w:vAlign w:val="bottom"/>
          </w:tcPr>
          <w:p w14:paraId="38018822" w14:textId="77777777" w:rsidR="003F0EEA" w:rsidRPr="009E3D0F" w:rsidRDefault="00FB7D0B">
            <w:pPr>
              <w:rPr>
                <w:rFonts w:ascii="Arial" w:eastAsia="Arial" w:hAnsi="Arial" w:cs="Arial"/>
                <w:color w:val="000000"/>
                <w:sz w:val="16"/>
                <w:szCs w:val="18"/>
                <w:vertAlign w:val="superscript"/>
              </w:rPr>
            </w:pPr>
            <w:r w:rsidRPr="009E3D0F">
              <w:rPr>
                <w:rFonts w:ascii="Arial" w:eastAsia="Arial" w:hAnsi="Arial" w:cs="Arial"/>
                <w:color w:val="000000"/>
                <w:sz w:val="16"/>
                <w:szCs w:val="18"/>
              </w:rPr>
              <w:t>Counselling support &amp; children's assistance</w:t>
            </w:r>
          </w:p>
        </w:tc>
        <w:tc>
          <w:tcPr>
            <w:tcW w:w="0" w:type="auto"/>
            <w:tcBorders>
              <w:top w:val="nil"/>
              <w:left w:val="nil"/>
              <w:bottom w:val="nil"/>
              <w:right w:val="nil"/>
              <w:tl2br w:val="nil"/>
              <w:tr2bl w:val="nil"/>
            </w:tcBorders>
            <w:shd w:val="clear" w:color="auto" w:fill="FFFFFF"/>
            <w:tcMar>
              <w:left w:w="101" w:type="dxa"/>
              <w:right w:w="101" w:type="dxa"/>
            </w:tcMar>
            <w:vAlign w:val="bottom"/>
          </w:tcPr>
          <w:p w14:paraId="2DD05CE4" w14:textId="77777777" w:rsidR="003F0EEA" w:rsidRPr="009E3D0F" w:rsidRDefault="00FB7D0B">
            <w:pPr>
              <w:jc w:val="right"/>
              <w:rPr>
                <w:rFonts w:ascii="Arial" w:eastAsia="Arial" w:hAnsi="Arial" w:cs="Arial"/>
                <w:color w:val="000000"/>
                <w:sz w:val="16"/>
                <w:szCs w:val="18"/>
                <w:vertAlign w:val="superscript"/>
              </w:rPr>
            </w:pPr>
            <w:r w:rsidRPr="009E3D0F">
              <w:rPr>
                <w:rFonts w:ascii="Arial" w:eastAsia="Arial" w:hAnsi="Arial" w:cs="Arial"/>
                <w:color w:val="000000"/>
                <w:sz w:val="16"/>
                <w:szCs w:val="18"/>
              </w:rPr>
              <w:t xml:space="preserve"> 1,157 </w:t>
            </w:r>
          </w:p>
        </w:tc>
        <w:tc>
          <w:tcPr>
            <w:tcW w:w="0" w:type="auto"/>
            <w:tcBorders>
              <w:top w:val="nil"/>
              <w:left w:val="nil"/>
              <w:bottom w:val="nil"/>
              <w:right w:val="nil"/>
              <w:tl2br w:val="nil"/>
              <w:tr2bl w:val="nil"/>
            </w:tcBorders>
            <w:shd w:val="clear" w:color="auto" w:fill="FFFF00"/>
            <w:tcMar>
              <w:left w:w="101" w:type="dxa"/>
              <w:right w:w="101" w:type="dxa"/>
            </w:tcMar>
            <w:vAlign w:val="bottom"/>
          </w:tcPr>
          <w:p w14:paraId="2D8856D1" w14:textId="77777777" w:rsidR="003F0EEA" w:rsidRPr="009E3D0F" w:rsidRDefault="00FB7D0B">
            <w:pPr>
              <w:jc w:val="right"/>
              <w:rPr>
                <w:rFonts w:ascii="Arial" w:eastAsia="Arial" w:hAnsi="Arial" w:cs="Arial"/>
                <w:color w:val="000000"/>
                <w:sz w:val="16"/>
                <w:szCs w:val="18"/>
              </w:rPr>
            </w:pPr>
            <w:r w:rsidRPr="009E3D0F">
              <w:rPr>
                <w:rFonts w:ascii="Arial" w:eastAsia="Arial" w:hAnsi="Arial" w:cs="Arial"/>
                <w:color w:val="000000"/>
                <w:sz w:val="16"/>
                <w:szCs w:val="18"/>
              </w:rPr>
              <w:t xml:space="preserve"> 1,519 </w:t>
            </w:r>
          </w:p>
        </w:tc>
        <w:tc>
          <w:tcPr>
            <w:tcW w:w="0" w:type="auto"/>
            <w:tcBorders>
              <w:top w:val="nil"/>
              <w:left w:val="nil"/>
              <w:bottom w:val="nil"/>
              <w:right w:val="nil"/>
              <w:tl2br w:val="nil"/>
              <w:tr2bl w:val="nil"/>
            </w:tcBorders>
            <w:shd w:val="clear" w:color="auto" w:fill="FFFFFF"/>
            <w:tcMar>
              <w:left w:w="101" w:type="dxa"/>
              <w:right w:w="101" w:type="dxa"/>
            </w:tcMar>
            <w:vAlign w:val="bottom"/>
          </w:tcPr>
          <w:p w14:paraId="62776E69" w14:textId="77777777" w:rsidR="003F0EEA" w:rsidRPr="009E3D0F" w:rsidRDefault="00FB7D0B">
            <w:pPr>
              <w:jc w:val="right"/>
              <w:rPr>
                <w:rFonts w:ascii="Arial" w:eastAsia="Arial" w:hAnsi="Arial" w:cs="Arial"/>
                <w:color w:val="000000"/>
                <w:sz w:val="16"/>
                <w:szCs w:val="18"/>
              </w:rPr>
            </w:pPr>
            <w:r w:rsidRPr="009E3D0F">
              <w:rPr>
                <w:rFonts w:ascii="Arial" w:eastAsia="Arial" w:hAnsi="Arial" w:cs="Arial"/>
                <w:color w:val="000000"/>
                <w:sz w:val="16"/>
                <w:szCs w:val="18"/>
              </w:rPr>
              <w:t xml:space="preserve"> 1,517 </w:t>
            </w:r>
          </w:p>
        </w:tc>
        <w:tc>
          <w:tcPr>
            <w:tcW w:w="0" w:type="auto"/>
            <w:tcBorders>
              <w:top w:val="nil"/>
              <w:left w:val="nil"/>
              <w:bottom w:val="nil"/>
              <w:right w:val="nil"/>
              <w:tl2br w:val="nil"/>
              <w:tr2bl w:val="nil"/>
            </w:tcBorders>
            <w:shd w:val="clear" w:color="auto" w:fill="FFFFFF"/>
            <w:tcMar>
              <w:left w:w="101" w:type="dxa"/>
              <w:right w:w="101" w:type="dxa"/>
            </w:tcMar>
            <w:vAlign w:val="bottom"/>
          </w:tcPr>
          <w:p w14:paraId="1AD38DDC" w14:textId="77777777" w:rsidR="003F0EEA" w:rsidRPr="009E3D0F" w:rsidRDefault="00FB7D0B">
            <w:pPr>
              <w:jc w:val="right"/>
              <w:rPr>
                <w:rFonts w:ascii="Arial" w:eastAsia="Arial" w:hAnsi="Arial" w:cs="Arial"/>
                <w:color w:val="000000"/>
                <w:sz w:val="16"/>
                <w:szCs w:val="18"/>
              </w:rPr>
            </w:pPr>
            <w:r w:rsidRPr="009E3D0F">
              <w:rPr>
                <w:rFonts w:ascii="Arial" w:eastAsia="Arial" w:hAnsi="Arial" w:cs="Arial"/>
                <w:color w:val="000000"/>
                <w:sz w:val="16"/>
                <w:szCs w:val="18"/>
              </w:rPr>
              <w:t xml:space="preserve"> 1,248 </w:t>
            </w:r>
          </w:p>
        </w:tc>
        <w:tc>
          <w:tcPr>
            <w:tcW w:w="0" w:type="auto"/>
            <w:tcBorders>
              <w:top w:val="nil"/>
              <w:left w:val="nil"/>
              <w:bottom w:val="nil"/>
              <w:right w:val="single" w:sz="6" w:space="0" w:color="000000"/>
              <w:tl2br w:val="nil"/>
              <w:tr2bl w:val="nil"/>
            </w:tcBorders>
            <w:shd w:val="clear" w:color="auto" w:fill="FFFFFF"/>
            <w:tcMar>
              <w:left w:w="101" w:type="dxa"/>
              <w:right w:w="101" w:type="dxa"/>
            </w:tcMar>
            <w:vAlign w:val="bottom"/>
          </w:tcPr>
          <w:p w14:paraId="40F5F0FC" w14:textId="77777777" w:rsidR="003F0EEA" w:rsidRPr="009E3D0F" w:rsidRDefault="00FB7D0B">
            <w:pPr>
              <w:jc w:val="right"/>
              <w:rPr>
                <w:rFonts w:ascii="Arial" w:eastAsia="Arial" w:hAnsi="Arial" w:cs="Arial"/>
                <w:color w:val="000000"/>
                <w:sz w:val="16"/>
                <w:szCs w:val="18"/>
              </w:rPr>
            </w:pPr>
            <w:r w:rsidRPr="009E3D0F">
              <w:rPr>
                <w:rFonts w:ascii="Arial" w:eastAsia="Arial" w:hAnsi="Arial" w:cs="Arial"/>
                <w:color w:val="000000"/>
                <w:sz w:val="16"/>
                <w:szCs w:val="18"/>
              </w:rPr>
              <w:t xml:space="preserve"> 876 </w:t>
            </w:r>
          </w:p>
        </w:tc>
      </w:tr>
      <w:tr w:rsidR="00724034" w14:paraId="298D33D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10" w:type="dxa"/>
          <w:trHeight w:val="225"/>
        </w:trPr>
        <w:tc>
          <w:tcPr>
            <w:tcW w:w="0" w:type="auto"/>
            <w:tcBorders>
              <w:top w:val="nil"/>
              <w:left w:val="single" w:sz="6" w:space="0" w:color="000000"/>
              <w:bottom w:val="nil"/>
              <w:right w:val="nil"/>
              <w:tl2br w:val="nil"/>
              <w:tr2bl w:val="nil"/>
            </w:tcBorders>
            <w:shd w:val="clear" w:color="auto" w:fill="FFFFFF"/>
            <w:tcMar>
              <w:left w:w="101" w:type="dxa"/>
              <w:right w:w="101" w:type="dxa"/>
            </w:tcMar>
            <w:vAlign w:val="bottom"/>
          </w:tcPr>
          <w:p w14:paraId="24D3AC98" w14:textId="77777777" w:rsidR="003F0EEA" w:rsidRPr="009E3D0F" w:rsidRDefault="003F0EEA">
            <w:pPr>
              <w:rPr>
                <w:rFonts w:ascii="Arial" w:eastAsia="Arial" w:hAnsi="Arial" w:cs="Arial"/>
                <w:color w:val="000000"/>
                <w:sz w:val="16"/>
                <w:szCs w:val="18"/>
              </w:rPr>
            </w:pPr>
          </w:p>
        </w:tc>
        <w:tc>
          <w:tcPr>
            <w:tcW w:w="0" w:type="auto"/>
            <w:tcBorders>
              <w:top w:val="nil"/>
              <w:left w:val="nil"/>
              <w:bottom w:val="nil"/>
              <w:right w:val="nil"/>
              <w:tl2br w:val="nil"/>
              <w:tr2bl w:val="nil"/>
            </w:tcBorders>
            <w:shd w:val="clear" w:color="auto" w:fill="FFFFFF"/>
            <w:tcMar>
              <w:left w:w="101" w:type="dxa"/>
              <w:right w:w="101" w:type="dxa"/>
            </w:tcMar>
            <w:vAlign w:val="bottom"/>
          </w:tcPr>
          <w:p w14:paraId="679103A8" w14:textId="77777777" w:rsidR="003F0EEA" w:rsidRPr="009E3D0F" w:rsidRDefault="003F0EEA">
            <w:pPr>
              <w:rPr>
                <w:rFonts w:ascii="Arial" w:eastAsia="Arial" w:hAnsi="Arial" w:cs="Arial"/>
                <w:color w:val="000000"/>
                <w:sz w:val="16"/>
                <w:szCs w:val="18"/>
              </w:rPr>
            </w:pPr>
          </w:p>
        </w:tc>
        <w:tc>
          <w:tcPr>
            <w:tcW w:w="0" w:type="auto"/>
            <w:tcBorders>
              <w:top w:val="nil"/>
              <w:left w:val="nil"/>
              <w:bottom w:val="nil"/>
              <w:right w:val="nil"/>
              <w:tl2br w:val="nil"/>
              <w:tr2bl w:val="nil"/>
            </w:tcBorders>
            <w:shd w:val="clear" w:color="auto" w:fill="FFFFFF"/>
            <w:tcMar>
              <w:left w:w="101" w:type="dxa"/>
              <w:right w:w="101" w:type="dxa"/>
            </w:tcMar>
            <w:vAlign w:val="bottom"/>
          </w:tcPr>
          <w:p w14:paraId="414625F6" w14:textId="77777777" w:rsidR="003F0EEA" w:rsidRPr="009E3D0F" w:rsidRDefault="00FB7D0B">
            <w:pPr>
              <w:rPr>
                <w:rFonts w:ascii="Arial" w:eastAsia="Arial" w:hAnsi="Arial" w:cs="Arial"/>
                <w:color w:val="000000"/>
                <w:sz w:val="16"/>
                <w:szCs w:val="18"/>
              </w:rPr>
            </w:pPr>
            <w:r w:rsidRPr="009E3D0F">
              <w:rPr>
                <w:rFonts w:ascii="Arial" w:eastAsia="Arial" w:hAnsi="Arial" w:cs="Arial"/>
                <w:color w:val="000000"/>
                <w:sz w:val="16"/>
                <w:szCs w:val="18"/>
              </w:rPr>
              <w:t>Legal expenses</w:t>
            </w:r>
          </w:p>
        </w:tc>
        <w:tc>
          <w:tcPr>
            <w:tcW w:w="0" w:type="auto"/>
            <w:tcBorders>
              <w:top w:val="nil"/>
              <w:left w:val="nil"/>
              <w:bottom w:val="nil"/>
              <w:right w:val="nil"/>
              <w:tl2br w:val="nil"/>
              <w:tr2bl w:val="nil"/>
            </w:tcBorders>
            <w:shd w:val="clear" w:color="auto" w:fill="FFFFFF"/>
            <w:tcMar>
              <w:left w:w="101" w:type="dxa"/>
              <w:right w:w="101" w:type="dxa"/>
            </w:tcMar>
            <w:vAlign w:val="bottom"/>
          </w:tcPr>
          <w:p w14:paraId="3B2B37B8" w14:textId="77777777" w:rsidR="003F0EEA" w:rsidRPr="009E3D0F" w:rsidRDefault="00FB7D0B">
            <w:pPr>
              <w:jc w:val="right"/>
              <w:rPr>
                <w:rFonts w:ascii="Arial" w:eastAsia="Arial" w:hAnsi="Arial" w:cs="Arial"/>
                <w:color w:val="000000"/>
                <w:sz w:val="16"/>
                <w:szCs w:val="18"/>
                <w:vertAlign w:val="superscript"/>
              </w:rPr>
            </w:pPr>
            <w:r w:rsidRPr="009E3D0F">
              <w:rPr>
                <w:rFonts w:ascii="Arial" w:eastAsia="Arial" w:hAnsi="Arial" w:cs="Arial"/>
                <w:color w:val="000000"/>
                <w:sz w:val="16"/>
                <w:szCs w:val="18"/>
              </w:rPr>
              <w:t xml:space="preserve"> 55 </w:t>
            </w:r>
          </w:p>
        </w:tc>
        <w:tc>
          <w:tcPr>
            <w:tcW w:w="0" w:type="auto"/>
            <w:tcBorders>
              <w:top w:val="nil"/>
              <w:left w:val="nil"/>
              <w:bottom w:val="nil"/>
              <w:right w:val="nil"/>
              <w:tl2br w:val="nil"/>
              <w:tr2bl w:val="nil"/>
            </w:tcBorders>
            <w:shd w:val="clear" w:color="auto" w:fill="FFFF00"/>
            <w:tcMar>
              <w:left w:w="101" w:type="dxa"/>
              <w:right w:w="101" w:type="dxa"/>
            </w:tcMar>
            <w:vAlign w:val="bottom"/>
          </w:tcPr>
          <w:p w14:paraId="04055029" w14:textId="77777777" w:rsidR="003F0EEA" w:rsidRPr="009E3D0F" w:rsidRDefault="00FB7D0B">
            <w:pPr>
              <w:jc w:val="right"/>
              <w:rPr>
                <w:rFonts w:ascii="Arial" w:eastAsia="Arial" w:hAnsi="Arial" w:cs="Arial"/>
                <w:color w:val="000000"/>
                <w:sz w:val="16"/>
                <w:szCs w:val="18"/>
              </w:rPr>
            </w:pPr>
            <w:r w:rsidRPr="009E3D0F">
              <w:rPr>
                <w:rFonts w:ascii="Arial" w:eastAsia="Arial" w:hAnsi="Arial" w:cs="Arial"/>
                <w:color w:val="000000"/>
                <w:sz w:val="16"/>
                <w:szCs w:val="18"/>
              </w:rPr>
              <w:t xml:space="preserve"> 55 </w:t>
            </w:r>
          </w:p>
        </w:tc>
        <w:tc>
          <w:tcPr>
            <w:tcW w:w="0" w:type="auto"/>
            <w:tcBorders>
              <w:top w:val="nil"/>
              <w:left w:val="nil"/>
              <w:bottom w:val="nil"/>
              <w:right w:val="nil"/>
              <w:tl2br w:val="nil"/>
              <w:tr2bl w:val="nil"/>
            </w:tcBorders>
            <w:shd w:val="clear" w:color="auto" w:fill="FFFFFF"/>
            <w:tcMar>
              <w:left w:w="101" w:type="dxa"/>
              <w:right w:w="101" w:type="dxa"/>
            </w:tcMar>
            <w:vAlign w:val="bottom"/>
          </w:tcPr>
          <w:p w14:paraId="5AE0DEDA" w14:textId="77777777" w:rsidR="003F0EEA" w:rsidRPr="009E3D0F" w:rsidRDefault="00FB7D0B">
            <w:pPr>
              <w:jc w:val="right"/>
              <w:rPr>
                <w:rFonts w:ascii="Arial" w:eastAsia="Arial" w:hAnsi="Arial" w:cs="Arial"/>
                <w:color w:val="000000"/>
                <w:sz w:val="16"/>
                <w:szCs w:val="18"/>
              </w:rPr>
            </w:pPr>
            <w:r w:rsidRPr="009E3D0F">
              <w:rPr>
                <w:rFonts w:ascii="Arial" w:eastAsia="Arial" w:hAnsi="Arial" w:cs="Arial"/>
                <w:color w:val="000000"/>
                <w:sz w:val="16"/>
                <w:szCs w:val="18"/>
              </w:rPr>
              <w:t xml:space="preserve"> 55 </w:t>
            </w:r>
          </w:p>
        </w:tc>
        <w:tc>
          <w:tcPr>
            <w:tcW w:w="0" w:type="auto"/>
            <w:tcBorders>
              <w:top w:val="nil"/>
              <w:left w:val="nil"/>
              <w:bottom w:val="nil"/>
              <w:right w:val="nil"/>
              <w:tl2br w:val="nil"/>
              <w:tr2bl w:val="nil"/>
            </w:tcBorders>
            <w:shd w:val="clear" w:color="auto" w:fill="FFFFFF"/>
            <w:tcMar>
              <w:left w:w="101" w:type="dxa"/>
              <w:right w:w="101" w:type="dxa"/>
            </w:tcMar>
            <w:vAlign w:val="bottom"/>
          </w:tcPr>
          <w:p w14:paraId="7FD2469B" w14:textId="77777777" w:rsidR="003F0EEA" w:rsidRPr="009E3D0F" w:rsidRDefault="00FB7D0B">
            <w:pPr>
              <w:jc w:val="right"/>
              <w:rPr>
                <w:rFonts w:ascii="Arial" w:eastAsia="Arial" w:hAnsi="Arial" w:cs="Arial"/>
                <w:color w:val="000000"/>
                <w:sz w:val="16"/>
                <w:szCs w:val="18"/>
              </w:rPr>
            </w:pPr>
            <w:r w:rsidRPr="009E3D0F">
              <w:rPr>
                <w:rFonts w:ascii="Arial" w:eastAsia="Arial" w:hAnsi="Arial" w:cs="Arial"/>
                <w:color w:val="000000"/>
                <w:sz w:val="16"/>
                <w:szCs w:val="18"/>
              </w:rPr>
              <w:t xml:space="preserve"> 56 </w:t>
            </w:r>
          </w:p>
        </w:tc>
        <w:tc>
          <w:tcPr>
            <w:tcW w:w="0" w:type="auto"/>
            <w:tcBorders>
              <w:top w:val="nil"/>
              <w:left w:val="nil"/>
              <w:bottom w:val="nil"/>
              <w:right w:val="single" w:sz="6" w:space="0" w:color="000000"/>
              <w:tl2br w:val="nil"/>
              <w:tr2bl w:val="nil"/>
            </w:tcBorders>
            <w:shd w:val="clear" w:color="auto" w:fill="FFFFFF"/>
            <w:tcMar>
              <w:left w:w="101" w:type="dxa"/>
              <w:right w:w="101" w:type="dxa"/>
            </w:tcMar>
            <w:vAlign w:val="bottom"/>
          </w:tcPr>
          <w:p w14:paraId="40EB9A5A" w14:textId="77777777" w:rsidR="003F0EEA" w:rsidRPr="009E3D0F" w:rsidRDefault="00FB7D0B">
            <w:pPr>
              <w:jc w:val="right"/>
              <w:rPr>
                <w:rFonts w:ascii="Arial" w:eastAsia="Arial" w:hAnsi="Arial" w:cs="Arial"/>
                <w:color w:val="000000"/>
                <w:sz w:val="16"/>
                <w:szCs w:val="18"/>
              </w:rPr>
            </w:pPr>
            <w:r w:rsidRPr="009E3D0F">
              <w:rPr>
                <w:rFonts w:ascii="Arial" w:eastAsia="Arial" w:hAnsi="Arial" w:cs="Arial"/>
                <w:color w:val="000000"/>
                <w:sz w:val="16"/>
                <w:szCs w:val="18"/>
              </w:rPr>
              <w:t xml:space="preserve"> 57 </w:t>
            </w:r>
          </w:p>
        </w:tc>
      </w:tr>
      <w:tr w:rsidR="00724034" w14:paraId="3E6F44C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10" w:type="dxa"/>
          <w:trHeight w:val="225"/>
        </w:trPr>
        <w:tc>
          <w:tcPr>
            <w:tcW w:w="0" w:type="auto"/>
            <w:tcBorders>
              <w:top w:val="nil"/>
              <w:left w:val="single" w:sz="6" w:space="0" w:color="000000"/>
              <w:bottom w:val="nil"/>
              <w:right w:val="nil"/>
              <w:tl2br w:val="nil"/>
              <w:tr2bl w:val="nil"/>
            </w:tcBorders>
            <w:shd w:val="clear" w:color="auto" w:fill="FFFFFF"/>
            <w:tcMar>
              <w:left w:w="101" w:type="dxa"/>
              <w:right w:w="101" w:type="dxa"/>
            </w:tcMar>
            <w:vAlign w:val="bottom"/>
          </w:tcPr>
          <w:p w14:paraId="290B2523" w14:textId="77777777" w:rsidR="003F0EEA" w:rsidRPr="009E3D0F" w:rsidRDefault="003F0EEA">
            <w:pPr>
              <w:rPr>
                <w:rFonts w:ascii="Arial" w:eastAsia="Arial" w:hAnsi="Arial" w:cs="Arial"/>
                <w:color w:val="000000"/>
                <w:sz w:val="16"/>
                <w:szCs w:val="18"/>
              </w:rPr>
            </w:pPr>
          </w:p>
        </w:tc>
        <w:tc>
          <w:tcPr>
            <w:tcW w:w="0" w:type="auto"/>
            <w:tcBorders>
              <w:top w:val="nil"/>
              <w:left w:val="nil"/>
              <w:bottom w:val="nil"/>
              <w:right w:val="nil"/>
              <w:tl2br w:val="nil"/>
              <w:tr2bl w:val="nil"/>
            </w:tcBorders>
            <w:shd w:val="clear" w:color="auto" w:fill="FFFFFF"/>
            <w:tcMar>
              <w:left w:w="101" w:type="dxa"/>
              <w:right w:w="101" w:type="dxa"/>
            </w:tcMar>
            <w:vAlign w:val="bottom"/>
          </w:tcPr>
          <w:p w14:paraId="2B9C7B9E" w14:textId="77777777" w:rsidR="003F0EEA" w:rsidRPr="009E3D0F" w:rsidRDefault="003F0EEA">
            <w:pPr>
              <w:rPr>
                <w:rFonts w:ascii="Arial" w:eastAsia="Arial" w:hAnsi="Arial" w:cs="Arial"/>
                <w:color w:val="000000"/>
                <w:sz w:val="16"/>
                <w:szCs w:val="18"/>
              </w:rPr>
            </w:pPr>
          </w:p>
        </w:tc>
        <w:tc>
          <w:tcPr>
            <w:tcW w:w="0" w:type="auto"/>
            <w:tcBorders>
              <w:top w:val="nil"/>
              <w:left w:val="nil"/>
              <w:bottom w:val="nil"/>
              <w:right w:val="nil"/>
              <w:tl2br w:val="nil"/>
              <w:tr2bl w:val="nil"/>
            </w:tcBorders>
            <w:shd w:val="clear" w:color="auto" w:fill="FFFFFF"/>
            <w:tcMar>
              <w:left w:w="101" w:type="dxa"/>
              <w:right w:w="101" w:type="dxa"/>
            </w:tcMar>
            <w:vAlign w:val="bottom"/>
          </w:tcPr>
          <w:p w14:paraId="2D3F3650" w14:textId="77777777" w:rsidR="003F0EEA" w:rsidRPr="009E3D0F" w:rsidRDefault="00FB7D0B">
            <w:pPr>
              <w:rPr>
                <w:rFonts w:ascii="Arial" w:eastAsia="Arial" w:hAnsi="Arial" w:cs="Arial"/>
                <w:color w:val="000000"/>
                <w:sz w:val="16"/>
                <w:szCs w:val="18"/>
              </w:rPr>
            </w:pPr>
            <w:r w:rsidRPr="009E3D0F">
              <w:rPr>
                <w:rFonts w:ascii="Arial" w:eastAsia="Arial" w:hAnsi="Arial" w:cs="Arial"/>
                <w:color w:val="000000"/>
                <w:sz w:val="16"/>
                <w:szCs w:val="18"/>
              </w:rPr>
              <w:t>Veterans' employment &amp; training</w:t>
            </w:r>
          </w:p>
        </w:tc>
        <w:tc>
          <w:tcPr>
            <w:tcW w:w="0" w:type="auto"/>
            <w:tcBorders>
              <w:top w:val="nil"/>
              <w:left w:val="nil"/>
              <w:bottom w:val="nil"/>
              <w:right w:val="nil"/>
              <w:tl2br w:val="nil"/>
              <w:tr2bl w:val="nil"/>
            </w:tcBorders>
            <w:shd w:val="clear" w:color="auto" w:fill="FFFFFF"/>
            <w:tcMar>
              <w:left w:w="101" w:type="dxa"/>
              <w:right w:w="101" w:type="dxa"/>
            </w:tcMar>
            <w:vAlign w:val="bottom"/>
          </w:tcPr>
          <w:p w14:paraId="6D1373B3" w14:textId="77777777" w:rsidR="003F0EEA" w:rsidRPr="009E3D0F" w:rsidRDefault="00FB7D0B">
            <w:pPr>
              <w:jc w:val="right"/>
              <w:rPr>
                <w:rFonts w:ascii="Arial" w:eastAsia="Arial" w:hAnsi="Arial" w:cs="Arial"/>
                <w:color w:val="000000"/>
                <w:sz w:val="16"/>
                <w:szCs w:val="18"/>
                <w:vertAlign w:val="superscript"/>
              </w:rPr>
            </w:pPr>
            <w:r w:rsidRPr="009E3D0F">
              <w:rPr>
                <w:rFonts w:ascii="Arial" w:eastAsia="Arial" w:hAnsi="Arial" w:cs="Arial"/>
                <w:color w:val="000000"/>
                <w:sz w:val="16"/>
                <w:szCs w:val="18"/>
              </w:rPr>
              <w:t xml:space="preserve"> 571 </w:t>
            </w:r>
          </w:p>
        </w:tc>
        <w:tc>
          <w:tcPr>
            <w:tcW w:w="0" w:type="auto"/>
            <w:tcBorders>
              <w:top w:val="nil"/>
              <w:left w:val="nil"/>
              <w:bottom w:val="nil"/>
              <w:right w:val="nil"/>
              <w:tl2br w:val="nil"/>
              <w:tr2bl w:val="nil"/>
            </w:tcBorders>
            <w:shd w:val="clear" w:color="auto" w:fill="FFFF00"/>
            <w:tcMar>
              <w:left w:w="101" w:type="dxa"/>
              <w:right w:w="101" w:type="dxa"/>
            </w:tcMar>
            <w:vAlign w:val="bottom"/>
          </w:tcPr>
          <w:p w14:paraId="1E4A95A9" w14:textId="77777777" w:rsidR="003F0EEA" w:rsidRPr="009E3D0F" w:rsidRDefault="00FB7D0B">
            <w:pPr>
              <w:jc w:val="right"/>
              <w:rPr>
                <w:rFonts w:ascii="Arial" w:eastAsia="Arial" w:hAnsi="Arial" w:cs="Arial"/>
                <w:color w:val="000000"/>
                <w:sz w:val="16"/>
                <w:szCs w:val="18"/>
              </w:rPr>
            </w:pPr>
            <w:r w:rsidRPr="009E3D0F">
              <w:rPr>
                <w:rFonts w:ascii="Arial" w:eastAsia="Arial" w:hAnsi="Arial" w:cs="Arial"/>
                <w:color w:val="000000"/>
                <w:sz w:val="16"/>
                <w:szCs w:val="18"/>
              </w:rPr>
              <w:t xml:space="preserve"> 572 </w:t>
            </w:r>
          </w:p>
        </w:tc>
        <w:tc>
          <w:tcPr>
            <w:tcW w:w="0" w:type="auto"/>
            <w:tcBorders>
              <w:top w:val="nil"/>
              <w:left w:val="nil"/>
              <w:bottom w:val="nil"/>
              <w:right w:val="nil"/>
              <w:tl2br w:val="nil"/>
              <w:tr2bl w:val="nil"/>
            </w:tcBorders>
            <w:shd w:val="clear" w:color="auto" w:fill="FFFFFF"/>
            <w:tcMar>
              <w:left w:w="101" w:type="dxa"/>
              <w:right w:w="101" w:type="dxa"/>
            </w:tcMar>
            <w:vAlign w:val="bottom"/>
          </w:tcPr>
          <w:p w14:paraId="2E5C4325" w14:textId="77777777" w:rsidR="003F0EEA" w:rsidRPr="009E3D0F" w:rsidRDefault="00FB7D0B">
            <w:pPr>
              <w:jc w:val="right"/>
              <w:rPr>
                <w:rFonts w:ascii="Arial" w:eastAsia="Arial" w:hAnsi="Arial" w:cs="Arial"/>
                <w:color w:val="000000"/>
                <w:sz w:val="16"/>
                <w:szCs w:val="18"/>
              </w:rPr>
            </w:pPr>
            <w:r w:rsidRPr="009E3D0F">
              <w:rPr>
                <w:rFonts w:ascii="Arial" w:eastAsia="Arial" w:hAnsi="Arial" w:cs="Arial"/>
                <w:color w:val="000000"/>
                <w:sz w:val="16"/>
                <w:szCs w:val="18"/>
              </w:rPr>
              <w:t xml:space="preserve"> 573 </w:t>
            </w:r>
          </w:p>
        </w:tc>
        <w:tc>
          <w:tcPr>
            <w:tcW w:w="0" w:type="auto"/>
            <w:tcBorders>
              <w:top w:val="nil"/>
              <w:left w:val="nil"/>
              <w:bottom w:val="nil"/>
              <w:right w:val="nil"/>
              <w:tl2br w:val="nil"/>
              <w:tr2bl w:val="nil"/>
            </w:tcBorders>
            <w:shd w:val="clear" w:color="auto" w:fill="FFFFFF"/>
            <w:tcMar>
              <w:left w:w="101" w:type="dxa"/>
              <w:right w:w="101" w:type="dxa"/>
            </w:tcMar>
            <w:vAlign w:val="bottom"/>
          </w:tcPr>
          <w:p w14:paraId="2488B89C" w14:textId="77777777" w:rsidR="003F0EEA" w:rsidRPr="009E3D0F" w:rsidRDefault="00FB7D0B">
            <w:pPr>
              <w:jc w:val="right"/>
              <w:rPr>
                <w:rFonts w:ascii="Arial" w:eastAsia="Arial" w:hAnsi="Arial" w:cs="Arial"/>
                <w:color w:val="000000"/>
                <w:sz w:val="16"/>
                <w:szCs w:val="18"/>
              </w:rPr>
            </w:pPr>
            <w:r w:rsidRPr="009E3D0F">
              <w:rPr>
                <w:rFonts w:ascii="Arial" w:eastAsia="Arial" w:hAnsi="Arial" w:cs="Arial"/>
                <w:color w:val="000000"/>
                <w:sz w:val="16"/>
                <w:szCs w:val="18"/>
              </w:rPr>
              <w:t xml:space="preserve"> 588 </w:t>
            </w:r>
          </w:p>
        </w:tc>
        <w:tc>
          <w:tcPr>
            <w:tcW w:w="0" w:type="auto"/>
            <w:tcBorders>
              <w:top w:val="nil"/>
              <w:left w:val="nil"/>
              <w:bottom w:val="nil"/>
              <w:right w:val="single" w:sz="6" w:space="0" w:color="000000"/>
              <w:tl2br w:val="nil"/>
              <w:tr2bl w:val="nil"/>
            </w:tcBorders>
            <w:shd w:val="clear" w:color="auto" w:fill="FFFFFF"/>
            <w:tcMar>
              <w:left w:w="101" w:type="dxa"/>
              <w:right w:w="101" w:type="dxa"/>
            </w:tcMar>
            <w:vAlign w:val="bottom"/>
          </w:tcPr>
          <w:p w14:paraId="2C1F0E2B" w14:textId="77777777" w:rsidR="003F0EEA" w:rsidRPr="009E3D0F" w:rsidRDefault="00FB7D0B">
            <w:pPr>
              <w:jc w:val="right"/>
              <w:rPr>
                <w:rFonts w:ascii="Arial" w:eastAsia="Arial" w:hAnsi="Arial" w:cs="Arial"/>
                <w:color w:val="000000"/>
                <w:sz w:val="16"/>
                <w:szCs w:val="18"/>
              </w:rPr>
            </w:pPr>
            <w:r w:rsidRPr="009E3D0F">
              <w:rPr>
                <w:rFonts w:ascii="Arial" w:eastAsia="Arial" w:hAnsi="Arial" w:cs="Arial"/>
                <w:color w:val="000000"/>
                <w:sz w:val="16"/>
                <w:szCs w:val="18"/>
              </w:rPr>
              <w:t xml:space="preserve"> 604 </w:t>
            </w:r>
          </w:p>
        </w:tc>
      </w:tr>
      <w:tr w:rsidR="00724034" w14:paraId="3866616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10" w:type="dxa"/>
          <w:trHeight w:val="225"/>
        </w:trPr>
        <w:tc>
          <w:tcPr>
            <w:tcW w:w="0" w:type="auto"/>
            <w:tcBorders>
              <w:top w:val="nil"/>
              <w:left w:val="single" w:sz="6" w:space="0" w:color="000000"/>
              <w:bottom w:val="nil"/>
              <w:right w:val="nil"/>
              <w:tl2br w:val="nil"/>
              <w:tr2bl w:val="nil"/>
            </w:tcBorders>
            <w:shd w:val="clear" w:color="auto" w:fill="FFFFFF"/>
            <w:tcMar>
              <w:left w:w="101" w:type="dxa"/>
              <w:right w:w="101" w:type="dxa"/>
            </w:tcMar>
            <w:vAlign w:val="bottom"/>
          </w:tcPr>
          <w:p w14:paraId="4DADCF12" w14:textId="77777777" w:rsidR="003F0EEA" w:rsidRPr="009E3D0F" w:rsidRDefault="003F0EEA">
            <w:pPr>
              <w:rPr>
                <w:rFonts w:ascii="Arial" w:eastAsia="Arial" w:hAnsi="Arial" w:cs="Arial"/>
                <w:color w:val="000000"/>
                <w:sz w:val="16"/>
                <w:szCs w:val="18"/>
              </w:rPr>
            </w:pPr>
          </w:p>
        </w:tc>
        <w:tc>
          <w:tcPr>
            <w:tcW w:w="0" w:type="auto"/>
            <w:tcBorders>
              <w:top w:val="nil"/>
              <w:left w:val="nil"/>
              <w:bottom w:val="nil"/>
              <w:right w:val="nil"/>
              <w:tl2br w:val="nil"/>
              <w:tr2bl w:val="nil"/>
            </w:tcBorders>
            <w:shd w:val="clear" w:color="auto" w:fill="FFFFFF"/>
            <w:tcMar>
              <w:left w:w="101" w:type="dxa"/>
              <w:right w:w="101" w:type="dxa"/>
            </w:tcMar>
            <w:vAlign w:val="bottom"/>
          </w:tcPr>
          <w:p w14:paraId="1FEDC467" w14:textId="77777777" w:rsidR="003F0EEA" w:rsidRPr="009E3D0F" w:rsidRDefault="003F0EEA">
            <w:pPr>
              <w:rPr>
                <w:rFonts w:ascii="Arial" w:eastAsia="Arial" w:hAnsi="Arial" w:cs="Arial"/>
                <w:color w:val="000000"/>
                <w:sz w:val="16"/>
                <w:szCs w:val="18"/>
              </w:rPr>
            </w:pPr>
          </w:p>
        </w:tc>
        <w:tc>
          <w:tcPr>
            <w:tcW w:w="0" w:type="auto"/>
            <w:tcBorders>
              <w:top w:val="nil"/>
              <w:left w:val="nil"/>
              <w:bottom w:val="nil"/>
              <w:right w:val="nil"/>
              <w:tl2br w:val="nil"/>
              <w:tr2bl w:val="nil"/>
            </w:tcBorders>
            <w:shd w:val="clear" w:color="auto" w:fill="FFFFFF"/>
            <w:tcMar>
              <w:left w:w="101" w:type="dxa"/>
              <w:right w:w="101" w:type="dxa"/>
            </w:tcMar>
            <w:vAlign w:val="bottom"/>
          </w:tcPr>
          <w:p w14:paraId="7F94553E" w14:textId="77777777" w:rsidR="003F0EEA" w:rsidRPr="009E3D0F" w:rsidRDefault="00FB7D0B">
            <w:pPr>
              <w:rPr>
                <w:rFonts w:ascii="Arial" w:eastAsia="Arial" w:hAnsi="Arial" w:cs="Arial"/>
                <w:color w:val="000000"/>
                <w:sz w:val="16"/>
                <w:szCs w:val="18"/>
              </w:rPr>
            </w:pPr>
            <w:r w:rsidRPr="009E3D0F">
              <w:rPr>
                <w:rFonts w:ascii="Arial" w:eastAsia="Arial" w:hAnsi="Arial" w:cs="Arial"/>
                <w:color w:val="000000"/>
                <w:sz w:val="16"/>
                <w:szCs w:val="18"/>
              </w:rPr>
              <w:t>Health &amp; medical research</w:t>
            </w:r>
          </w:p>
        </w:tc>
        <w:tc>
          <w:tcPr>
            <w:tcW w:w="0" w:type="auto"/>
            <w:tcBorders>
              <w:top w:val="nil"/>
              <w:left w:val="nil"/>
              <w:bottom w:val="nil"/>
              <w:right w:val="nil"/>
              <w:tl2br w:val="nil"/>
              <w:tr2bl w:val="nil"/>
            </w:tcBorders>
            <w:shd w:val="clear" w:color="auto" w:fill="FFFFFF"/>
            <w:tcMar>
              <w:left w:w="101" w:type="dxa"/>
              <w:right w:w="101" w:type="dxa"/>
            </w:tcMar>
            <w:vAlign w:val="bottom"/>
          </w:tcPr>
          <w:p w14:paraId="789723B5" w14:textId="77777777" w:rsidR="003F0EEA" w:rsidRPr="009E3D0F" w:rsidRDefault="00FB7D0B">
            <w:pPr>
              <w:jc w:val="right"/>
              <w:rPr>
                <w:rFonts w:ascii="Arial" w:eastAsia="Arial" w:hAnsi="Arial" w:cs="Arial"/>
                <w:color w:val="000000"/>
                <w:sz w:val="16"/>
                <w:szCs w:val="18"/>
                <w:vertAlign w:val="superscript"/>
              </w:rPr>
            </w:pPr>
            <w:r w:rsidRPr="009E3D0F">
              <w:rPr>
                <w:rFonts w:ascii="Arial" w:eastAsia="Arial" w:hAnsi="Arial" w:cs="Arial"/>
                <w:color w:val="000000"/>
                <w:sz w:val="16"/>
                <w:szCs w:val="18"/>
              </w:rPr>
              <w:t xml:space="preserve"> 2,505 </w:t>
            </w:r>
          </w:p>
        </w:tc>
        <w:tc>
          <w:tcPr>
            <w:tcW w:w="0" w:type="auto"/>
            <w:tcBorders>
              <w:top w:val="nil"/>
              <w:left w:val="nil"/>
              <w:bottom w:val="nil"/>
              <w:right w:val="nil"/>
              <w:tl2br w:val="nil"/>
              <w:tr2bl w:val="nil"/>
            </w:tcBorders>
            <w:shd w:val="clear" w:color="auto" w:fill="FFFF00"/>
            <w:tcMar>
              <w:left w:w="101" w:type="dxa"/>
              <w:right w:w="101" w:type="dxa"/>
            </w:tcMar>
            <w:vAlign w:val="bottom"/>
          </w:tcPr>
          <w:p w14:paraId="5941BE14" w14:textId="77777777" w:rsidR="003F0EEA" w:rsidRPr="009E3D0F" w:rsidRDefault="00FB7D0B">
            <w:pPr>
              <w:jc w:val="right"/>
              <w:rPr>
                <w:rFonts w:ascii="Arial" w:eastAsia="Arial" w:hAnsi="Arial" w:cs="Arial"/>
                <w:color w:val="000000"/>
                <w:sz w:val="16"/>
                <w:szCs w:val="18"/>
              </w:rPr>
            </w:pPr>
            <w:r w:rsidRPr="009E3D0F">
              <w:rPr>
                <w:rFonts w:ascii="Arial" w:eastAsia="Arial" w:hAnsi="Arial" w:cs="Arial"/>
                <w:color w:val="000000"/>
                <w:sz w:val="16"/>
                <w:szCs w:val="18"/>
              </w:rPr>
              <w:t xml:space="preserve"> 2,504 </w:t>
            </w:r>
          </w:p>
        </w:tc>
        <w:tc>
          <w:tcPr>
            <w:tcW w:w="0" w:type="auto"/>
            <w:tcBorders>
              <w:top w:val="nil"/>
              <w:left w:val="nil"/>
              <w:bottom w:val="nil"/>
              <w:right w:val="nil"/>
              <w:tl2br w:val="nil"/>
              <w:tr2bl w:val="nil"/>
            </w:tcBorders>
            <w:shd w:val="clear" w:color="auto" w:fill="FFFFFF"/>
            <w:tcMar>
              <w:left w:w="101" w:type="dxa"/>
              <w:right w:w="101" w:type="dxa"/>
            </w:tcMar>
            <w:vAlign w:val="bottom"/>
          </w:tcPr>
          <w:p w14:paraId="4A25F1B0" w14:textId="77777777" w:rsidR="003F0EEA" w:rsidRPr="009E3D0F" w:rsidRDefault="00FB7D0B">
            <w:pPr>
              <w:jc w:val="right"/>
              <w:rPr>
                <w:rFonts w:ascii="Arial" w:eastAsia="Arial" w:hAnsi="Arial" w:cs="Arial"/>
                <w:color w:val="000000"/>
                <w:sz w:val="16"/>
                <w:szCs w:val="18"/>
              </w:rPr>
            </w:pPr>
            <w:r w:rsidRPr="009E3D0F">
              <w:rPr>
                <w:rFonts w:ascii="Arial" w:eastAsia="Arial" w:hAnsi="Arial" w:cs="Arial"/>
                <w:color w:val="000000"/>
                <w:sz w:val="16"/>
                <w:szCs w:val="18"/>
              </w:rPr>
              <w:t xml:space="preserve"> 2,495 </w:t>
            </w:r>
          </w:p>
        </w:tc>
        <w:tc>
          <w:tcPr>
            <w:tcW w:w="0" w:type="auto"/>
            <w:tcBorders>
              <w:top w:val="nil"/>
              <w:left w:val="nil"/>
              <w:bottom w:val="nil"/>
              <w:right w:val="nil"/>
              <w:tl2br w:val="nil"/>
              <w:tr2bl w:val="nil"/>
            </w:tcBorders>
            <w:shd w:val="clear" w:color="auto" w:fill="FFFFFF"/>
            <w:tcMar>
              <w:left w:w="101" w:type="dxa"/>
              <w:right w:w="101" w:type="dxa"/>
            </w:tcMar>
            <w:vAlign w:val="bottom"/>
          </w:tcPr>
          <w:p w14:paraId="2CB5C069" w14:textId="77777777" w:rsidR="003F0EEA" w:rsidRPr="009E3D0F" w:rsidRDefault="00FB7D0B">
            <w:pPr>
              <w:jc w:val="right"/>
              <w:rPr>
                <w:rFonts w:ascii="Arial" w:eastAsia="Arial" w:hAnsi="Arial" w:cs="Arial"/>
                <w:color w:val="000000"/>
                <w:sz w:val="16"/>
                <w:szCs w:val="18"/>
              </w:rPr>
            </w:pPr>
            <w:r w:rsidRPr="009E3D0F">
              <w:rPr>
                <w:rFonts w:ascii="Arial" w:eastAsia="Arial" w:hAnsi="Arial" w:cs="Arial"/>
                <w:color w:val="000000"/>
                <w:sz w:val="16"/>
                <w:szCs w:val="18"/>
              </w:rPr>
              <w:t xml:space="preserve"> 2,541 </w:t>
            </w:r>
          </w:p>
        </w:tc>
        <w:tc>
          <w:tcPr>
            <w:tcW w:w="0" w:type="auto"/>
            <w:tcBorders>
              <w:top w:val="nil"/>
              <w:left w:val="nil"/>
              <w:bottom w:val="nil"/>
              <w:right w:val="single" w:sz="6" w:space="0" w:color="000000"/>
              <w:tl2br w:val="nil"/>
              <w:tr2bl w:val="nil"/>
            </w:tcBorders>
            <w:shd w:val="clear" w:color="auto" w:fill="FFFFFF"/>
            <w:tcMar>
              <w:left w:w="101" w:type="dxa"/>
              <w:right w:w="101" w:type="dxa"/>
            </w:tcMar>
            <w:vAlign w:val="bottom"/>
          </w:tcPr>
          <w:p w14:paraId="53A33CF5" w14:textId="77777777" w:rsidR="003F0EEA" w:rsidRPr="009E3D0F" w:rsidRDefault="00FB7D0B">
            <w:pPr>
              <w:jc w:val="right"/>
              <w:rPr>
                <w:rFonts w:ascii="Arial" w:eastAsia="Arial" w:hAnsi="Arial" w:cs="Arial"/>
                <w:color w:val="000000"/>
                <w:sz w:val="16"/>
                <w:szCs w:val="18"/>
              </w:rPr>
            </w:pPr>
            <w:r w:rsidRPr="009E3D0F">
              <w:rPr>
                <w:rFonts w:ascii="Arial" w:eastAsia="Arial" w:hAnsi="Arial" w:cs="Arial"/>
                <w:color w:val="000000"/>
                <w:sz w:val="16"/>
                <w:szCs w:val="18"/>
              </w:rPr>
              <w:t xml:space="preserve"> 2,589 </w:t>
            </w:r>
          </w:p>
        </w:tc>
      </w:tr>
      <w:tr w:rsidR="00FB7D0B" w14:paraId="7B04F7B5" w14:textId="77777777" w:rsidTr="00FB7D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10" w:type="dxa"/>
          <w:trHeight w:val="225"/>
        </w:trPr>
        <w:tc>
          <w:tcPr>
            <w:tcW w:w="0" w:type="auto"/>
            <w:gridSpan w:val="3"/>
            <w:tcBorders>
              <w:top w:val="nil"/>
              <w:left w:val="single" w:sz="6" w:space="0" w:color="000000"/>
              <w:bottom w:val="nil"/>
              <w:right w:val="nil"/>
              <w:tl2br w:val="nil"/>
              <w:tr2bl w:val="nil"/>
            </w:tcBorders>
            <w:shd w:val="clear" w:color="auto" w:fill="FFFFFF"/>
            <w:tcMar>
              <w:left w:w="101" w:type="dxa"/>
              <w:right w:w="101" w:type="dxa"/>
            </w:tcMar>
            <w:vAlign w:val="bottom"/>
          </w:tcPr>
          <w:p w14:paraId="4AB3F440" w14:textId="77777777" w:rsidR="003F0EEA" w:rsidRPr="009E3D0F" w:rsidRDefault="00FB7D0B">
            <w:pPr>
              <w:rPr>
                <w:rFonts w:ascii="Arial" w:eastAsia="Arial" w:hAnsi="Arial" w:cs="Arial"/>
                <w:color w:val="000000"/>
                <w:sz w:val="16"/>
                <w:szCs w:val="18"/>
              </w:rPr>
            </w:pPr>
            <w:r w:rsidRPr="009E3D0F">
              <w:rPr>
                <w:rFonts w:ascii="Arial" w:eastAsia="Arial" w:hAnsi="Arial" w:cs="Arial"/>
                <w:color w:val="000000"/>
                <w:sz w:val="16"/>
                <w:szCs w:val="18"/>
              </w:rPr>
              <w:t>Special Appropriations:</w:t>
            </w:r>
          </w:p>
        </w:tc>
        <w:tc>
          <w:tcPr>
            <w:tcW w:w="0" w:type="auto"/>
            <w:tcBorders>
              <w:top w:val="nil"/>
              <w:left w:val="nil"/>
              <w:bottom w:val="nil"/>
              <w:right w:val="nil"/>
              <w:tl2br w:val="nil"/>
              <w:tr2bl w:val="nil"/>
            </w:tcBorders>
            <w:shd w:val="clear" w:color="auto" w:fill="FFFFFF"/>
            <w:tcMar>
              <w:left w:w="101" w:type="dxa"/>
              <w:right w:w="101" w:type="dxa"/>
            </w:tcMar>
            <w:vAlign w:val="bottom"/>
          </w:tcPr>
          <w:p w14:paraId="74AE25CC" w14:textId="77777777" w:rsidR="003F0EEA" w:rsidRPr="009E3D0F" w:rsidRDefault="003F0EEA">
            <w:pPr>
              <w:rPr>
                <w:rFonts w:ascii="Arial" w:eastAsia="Arial" w:hAnsi="Arial" w:cs="Arial"/>
                <w:color w:val="000000"/>
                <w:sz w:val="16"/>
                <w:szCs w:val="18"/>
                <w:vertAlign w:val="superscript"/>
              </w:rPr>
            </w:pPr>
          </w:p>
        </w:tc>
        <w:tc>
          <w:tcPr>
            <w:tcW w:w="0" w:type="auto"/>
            <w:tcBorders>
              <w:top w:val="nil"/>
              <w:left w:val="nil"/>
              <w:bottom w:val="nil"/>
              <w:right w:val="nil"/>
              <w:tl2br w:val="nil"/>
              <w:tr2bl w:val="nil"/>
            </w:tcBorders>
            <w:shd w:val="clear" w:color="auto" w:fill="FFFF00"/>
            <w:tcMar>
              <w:left w:w="101" w:type="dxa"/>
              <w:right w:w="101" w:type="dxa"/>
            </w:tcMar>
            <w:vAlign w:val="bottom"/>
          </w:tcPr>
          <w:p w14:paraId="57ECE830" w14:textId="77777777" w:rsidR="003F0EEA" w:rsidRPr="009E3D0F" w:rsidRDefault="003F0EEA">
            <w:pPr>
              <w:jc w:val="right"/>
              <w:rPr>
                <w:rFonts w:ascii="Arial" w:eastAsia="Arial" w:hAnsi="Arial" w:cs="Arial"/>
                <w:color w:val="000000"/>
                <w:sz w:val="16"/>
                <w:szCs w:val="18"/>
                <w:vertAlign w:val="superscript"/>
              </w:rPr>
            </w:pPr>
          </w:p>
        </w:tc>
        <w:tc>
          <w:tcPr>
            <w:tcW w:w="0" w:type="auto"/>
            <w:tcBorders>
              <w:top w:val="nil"/>
              <w:left w:val="nil"/>
              <w:bottom w:val="nil"/>
              <w:right w:val="nil"/>
              <w:tl2br w:val="nil"/>
              <w:tr2bl w:val="nil"/>
            </w:tcBorders>
            <w:shd w:val="clear" w:color="auto" w:fill="FFFFFF"/>
            <w:tcMar>
              <w:left w:w="101" w:type="dxa"/>
              <w:right w:w="101" w:type="dxa"/>
            </w:tcMar>
            <w:vAlign w:val="bottom"/>
          </w:tcPr>
          <w:p w14:paraId="369454A0" w14:textId="77777777" w:rsidR="003F0EEA" w:rsidRPr="009E3D0F" w:rsidRDefault="003F0EEA">
            <w:pPr>
              <w:jc w:val="right"/>
              <w:rPr>
                <w:rFonts w:ascii="Arial" w:eastAsia="Arial" w:hAnsi="Arial" w:cs="Arial"/>
                <w:color w:val="000000"/>
                <w:sz w:val="16"/>
                <w:szCs w:val="18"/>
                <w:vertAlign w:val="superscript"/>
              </w:rPr>
            </w:pPr>
          </w:p>
        </w:tc>
        <w:tc>
          <w:tcPr>
            <w:tcW w:w="0" w:type="auto"/>
            <w:tcBorders>
              <w:top w:val="nil"/>
              <w:left w:val="nil"/>
              <w:bottom w:val="nil"/>
              <w:right w:val="nil"/>
              <w:tl2br w:val="nil"/>
              <w:tr2bl w:val="nil"/>
            </w:tcBorders>
            <w:shd w:val="clear" w:color="auto" w:fill="FFFFFF"/>
            <w:tcMar>
              <w:left w:w="101" w:type="dxa"/>
              <w:right w:w="101" w:type="dxa"/>
            </w:tcMar>
            <w:vAlign w:val="bottom"/>
          </w:tcPr>
          <w:p w14:paraId="737F5A22" w14:textId="77777777" w:rsidR="003F0EEA" w:rsidRPr="009E3D0F" w:rsidRDefault="003F0EEA">
            <w:pPr>
              <w:jc w:val="right"/>
              <w:rPr>
                <w:rFonts w:ascii="Arial" w:eastAsia="Arial" w:hAnsi="Arial" w:cs="Arial"/>
                <w:color w:val="000000"/>
                <w:sz w:val="16"/>
                <w:szCs w:val="18"/>
                <w:vertAlign w:val="superscript"/>
              </w:rPr>
            </w:pPr>
          </w:p>
        </w:tc>
        <w:tc>
          <w:tcPr>
            <w:tcW w:w="0" w:type="auto"/>
            <w:tcBorders>
              <w:top w:val="nil"/>
              <w:left w:val="nil"/>
              <w:bottom w:val="nil"/>
              <w:right w:val="single" w:sz="6" w:space="0" w:color="000000"/>
              <w:tl2br w:val="nil"/>
              <w:tr2bl w:val="nil"/>
            </w:tcBorders>
            <w:shd w:val="clear" w:color="auto" w:fill="FFFFFF"/>
            <w:tcMar>
              <w:left w:w="101" w:type="dxa"/>
              <w:right w:w="101" w:type="dxa"/>
            </w:tcMar>
            <w:vAlign w:val="bottom"/>
          </w:tcPr>
          <w:p w14:paraId="77B1CCA6" w14:textId="77777777" w:rsidR="003F0EEA" w:rsidRPr="009E3D0F" w:rsidRDefault="003F0EEA">
            <w:pPr>
              <w:jc w:val="right"/>
              <w:rPr>
                <w:rFonts w:ascii="Arial" w:eastAsia="Arial" w:hAnsi="Arial" w:cs="Arial"/>
                <w:color w:val="000000"/>
                <w:sz w:val="16"/>
                <w:szCs w:val="18"/>
                <w:vertAlign w:val="superscript"/>
              </w:rPr>
            </w:pPr>
          </w:p>
        </w:tc>
      </w:tr>
      <w:tr w:rsidR="00FB7D0B" w14:paraId="47EBFAE1" w14:textId="77777777" w:rsidTr="00FB7D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10" w:type="dxa"/>
          <w:trHeight w:val="225"/>
        </w:trPr>
        <w:tc>
          <w:tcPr>
            <w:tcW w:w="0" w:type="auto"/>
            <w:tcBorders>
              <w:top w:val="single" w:sz="6" w:space="0" w:color="FFFFFF"/>
              <w:left w:val="single" w:sz="6" w:space="0" w:color="000000"/>
              <w:bottom w:val="nil"/>
              <w:right w:val="nil"/>
              <w:tl2br w:val="nil"/>
              <w:tr2bl w:val="nil"/>
            </w:tcBorders>
            <w:shd w:val="clear" w:color="auto" w:fill="FFFFFF"/>
            <w:tcMar>
              <w:left w:w="101" w:type="dxa"/>
              <w:right w:w="101" w:type="dxa"/>
            </w:tcMar>
            <w:vAlign w:val="bottom"/>
          </w:tcPr>
          <w:p w14:paraId="089FE141" w14:textId="77777777" w:rsidR="003F0EEA" w:rsidRPr="009E3D0F" w:rsidRDefault="003F0EEA">
            <w:pPr>
              <w:rPr>
                <w:rFonts w:ascii="Arial" w:eastAsia="Arial" w:hAnsi="Arial" w:cs="Arial"/>
                <w:color w:val="000000"/>
                <w:sz w:val="16"/>
                <w:szCs w:val="18"/>
                <w:vertAlign w:val="superscript"/>
              </w:rPr>
            </w:pPr>
          </w:p>
        </w:tc>
        <w:tc>
          <w:tcPr>
            <w:tcW w:w="0" w:type="auto"/>
            <w:gridSpan w:val="2"/>
            <w:tcBorders>
              <w:top w:val="single" w:sz="6" w:space="0" w:color="FFFFFF"/>
              <w:left w:val="nil"/>
              <w:bottom w:val="nil"/>
              <w:right w:val="nil"/>
              <w:tl2br w:val="nil"/>
              <w:tr2bl w:val="nil"/>
            </w:tcBorders>
            <w:shd w:val="clear" w:color="auto" w:fill="FFFFFF"/>
            <w:tcMar>
              <w:left w:w="101" w:type="dxa"/>
              <w:right w:w="101" w:type="dxa"/>
            </w:tcMar>
            <w:vAlign w:val="bottom"/>
          </w:tcPr>
          <w:p w14:paraId="78912FE2" w14:textId="77777777" w:rsidR="003F0EEA" w:rsidRPr="009E3D0F" w:rsidRDefault="00FB7D0B">
            <w:pPr>
              <w:rPr>
                <w:rFonts w:ascii="Arial" w:eastAsia="Arial" w:hAnsi="Arial" w:cs="Arial"/>
                <w:color w:val="000000"/>
                <w:sz w:val="16"/>
                <w:szCs w:val="18"/>
                <w:vertAlign w:val="superscript"/>
              </w:rPr>
            </w:pPr>
            <w:r w:rsidRPr="009E3D0F">
              <w:rPr>
                <w:rFonts w:ascii="Arial" w:eastAsia="Arial" w:hAnsi="Arial" w:cs="Arial"/>
                <w:i/>
                <w:color w:val="000000"/>
                <w:sz w:val="16"/>
                <w:szCs w:val="18"/>
              </w:rPr>
              <w:t>Veterans' Entitlements Act 1986 (VEA)</w:t>
            </w:r>
          </w:p>
        </w:tc>
        <w:tc>
          <w:tcPr>
            <w:tcW w:w="0" w:type="auto"/>
            <w:tcBorders>
              <w:top w:val="nil"/>
              <w:left w:val="nil"/>
              <w:bottom w:val="nil"/>
              <w:right w:val="nil"/>
              <w:tl2br w:val="nil"/>
              <w:tr2bl w:val="nil"/>
            </w:tcBorders>
            <w:shd w:val="clear" w:color="auto" w:fill="FFFFFF"/>
            <w:tcMar>
              <w:left w:w="101" w:type="dxa"/>
              <w:right w:w="101" w:type="dxa"/>
            </w:tcMar>
            <w:vAlign w:val="bottom"/>
          </w:tcPr>
          <w:p w14:paraId="74E6F6EC" w14:textId="77777777" w:rsidR="003F0EEA" w:rsidRPr="009E3D0F" w:rsidRDefault="003F0EEA">
            <w:pPr>
              <w:rPr>
                <w:rFonts w:ascii="Arial" w:eastAsia="Arial" w:hAnsi="Arial" w:cs="Arial"/>
                <w:i/>
                <w:color w:val="000000"/>
                <w:sz w:val="16"/>
                <w:szCs w:val="18"/>
                <w:vertAlign w:val="superscript"/>
              </w:rPr>
            </w:pPr>
          </w:p>
        </w:tc>
        <w:tc>
          <w:tcPr>
            <w:tcW w:w="0" w:type="auto"/>
            <w:tcBorders>
              <w:top w:val="nil"/>
              <w:left w:val="nil"/>
              <w:bottom w:val="nil"/>
              <w:right w:val="nil"/>
              <w:tl2br w:val="nil"/>
              <w:tr2bl w:val="nil"/>
            </w:tcBorders>
            <w:shd w:val="clear" w:color="auto" w:fill="FFFF00"/>
            <w:tcMar>
              <w:left w:w="101" w:type="dxa"/>
              <w:right w:w="101" w:type="dxa"/>
            </w:tcMar>
            <w:vAlign w:val="bottom"/>
          </w:tcPr>
          <w:p w14:paraId="5B9BA575" w14:textId="77777777" w:rsidR="003F0EEA" w:rsidRPr="009E3D0F" w:rsidRDefault="003F0EEA">
            <w:pPr>
              <w:jc w:val="right"/>
              <w:rPr>
                <w:rFonts w:ascii="Arial" w:eastAsia="Arial" w:hAnsi="Arial" w:cs="Arial"/>
                <w:color w:val="000000"/>
                <w:sz w:val="16"/>
                <w:szCs w:val="18"/>
                <w:vertAlign w:val="superscript"/>
              </w:rPr>
            </w:pPr>
          </w:p>
        </w:tc>
        <w:tc>
          <w:tcPr>
            <w:tcW w:w="0" w:type="auto"/>
            <w:tcBorders>
              <w:top w:val="nil"/>
              <w:left w:val="nil"/>
              <w:bottom w:val="nil"/>
              <w:right w:val="nil"/>
              <w:tl2br w:val="nil"/>
              <w:tr2bl w:val="nil"/>
            </w:tcBorders>
            <w:shd w:val="clear" w:color="auto" w:fill="FFFFFF"/>
            <w:tcMar>
              <w:left w:w="101" w:type="dxa"/>
              <w:right w:w="101" w:type="dxa"/>
            </w:tcMar>
            <w:vAlign w:val="bottom"/>
          </w:tcPr>
          <w:p w14:paraId="7D275EBB" w14:textId="77777777" w:rsidR="003F0EEA" w:rsidRPr="009E3D0F" w:rsidRDefault="003F0EEA">
            <w:pPr>
              <w:jc w:val="right"/>
              <w:rPr>
                <w:rFonts w:ascii="Arial" w:eastAsia="Arial" w:hAnsi="Arial" w:cs="Arial"/>
                <w:color w:val="000000"/>
                <w:sz w:val="16"/>
                <w:szCs w:val="18"/>
                <w:vertAlign w:val="superscript"/>
              </w:rPr>
            </w:pPr>
          </w:p>
        </w:tc>
        <w:tc>
          <w:tcPr>
            <w:tcW w:w="0" w:type="auto"/>
            <w:tcBorders>
              <w:top w:val="nil"/>
              <w:left w:val="nil"/>
              <w:bottom w:val="nil"/>
              <w:right w:val="nil"/>
              <w:tl2br w:val="nil"/>
              <w:tr2bl w:val="nil"/>
            </w:tcBorders>
            <w:shd w:val="clear" w:color="auto" w:fill="FFFFFF"/>
            <w:tcMar>
              <w:left w:w="101" w:type="dxa"/>
              <w:right w:w="101" w:type="dxa"/>
            </w:tcMar>
            <w:vAlign w:val="bottom"/>
          </w:tcPr>
          <w:p w14:paraId="6A6A14FB" w14:textId="77777777" w:rsidR="003F0EEA" w:rsidRPr="009E3D0F" w:rsidRDefault="003F0EEA">
            <w:pPr>
              <w:jc w:val="right"/>
              <w:rPr>
                <w:rFonts w:ascii="Arial" w:eastAsia="Arial" w:hAnsi="Arial" w:cs="Arial"/>
                <w:color w:val="000000"/>
                <w:sz w:val="16"/>
                <w:szCs w:val="18"/>
                <w:vertAlign w:val="superscript"/>
              </w:rPr>
            </w:pPr>
          </w:p>
        </w:tc>
        <w:tc>
          <w:tcPr>
            <w:tcW w:w="0" w:type="auto"/>
            <w:tcBorders>
              <w:top w:val="nil"/>
              <w:left w:val="nil"/>
              <w:bottom w:val="nil"/>
              <w:right w:val="single" w:sz="6" w:space="0" w:color="000000"/>
              <w:tl2br w:val="nil"/>
              <w:tr2bl w:val="nil"/>
            </w:tcBorders>
            <w:shd w:val="clear" w:color="auto" w:fill="FFFFFF"/>
            <w:tcMar>
              <w:left w:w="101" w:type="dxa"/>
              <w:right w:w="101" w:type="dxa"/>
            </w:tcMar>
            <w:vAlign w:val="bottom"/>
          </w:tcPr>
          <w:p w14:paraId="02B3D481" w14:textId="77777777" w:rsidR="003F0EEA" w:rsidRPr="009E3D0F" w:rsidRDefault="003F0EEA">
            <w:pPr>
              <w:jc w:val="right"/>
              <w:rPr>
                <w:rFonts w:ascii="Arial" w:eastAsia="Arial" w:hAnsi="Arial" w:cs="Arial"/>
                <w:color w:val="000000"/>
                <w:sz w:val="16"/>
                <w:szCs w:val="18"/>
                <w:vertAlign w:val="superscript"/>
              </w:rPr>
            </w:pPr>
          </w:p>
        </w:tc>
      </w:tr>
      <w:tr w:rsidR="00724034" w14:paraId="7C7047C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10" w:type="dxa"/>
          <w:trHeight w:val="225"/>
        </w:trPr>
        <w:tc>
          <w:tcPr>
            <w:tcW w:w="0" w:type="auto"/>
            <w:tcBorders>
              <w:top w:val="nil"/>
              <w:left w:val="single" w:sz="6" w:space="0" w:color="000000"/>
              <w:bottom w:val="nil"/>
              <w:right w:val="nil"/>
              <w:tl2br w:val="nil"/>
              <w:tr2bl w:val="nil"/>
            </w:tcBorders>
            <w:shd w:val="clear" w:color="auto" w:fill="FFFFFF"/>
            <w:tcMar>
              <w:left w:w="101" w:type="dxa"/>
              <w:right w:w="101" w:type="dxa"/>
            </w:tcMar>
            <w:vAlign w:val="bottom"/>
          </w:tcPr>
          <w:p w14:paraId="4304756A" w14:textId="77777777" w:rsidR="003F0EEA" w:rsidRPr="009E3D0F" w:rsidRDefault="003F0EEA">
            <w:pPr>
              <w:rPr>
                <w:rFonts w:ascii="Arial" w:eastAsia="Arial" w:hAnsi="Arial" w:cs="Arial"/>
                <w:color w:val="000000"/>
                <w:sz w:val="16"/>
                <w:szCs w:val="18"/>
                <w:vertAlign w:val="superscript"/>
              </w:rPr>
            </w:pPr>
          </w:p>
        </w:tc>
        <w:tc>
          <w:tcPr>
            <w:tcW w:w="0" w:type="auto"/>
            <w:tcBorders>
              <w:top w:val="nil"/>
              <w:left w:val="nil"/>
              <w:bottom w:val="nil"/>
              <w:right w:val="nil"/>
              <w:tl2br w:val="nil"/>
              <w:tr2bl w:val="nil"/>
            </w:tcBorders>
            <w:shd w:val="clear" w:color="auto" w:fill="FFFFFF"/>
            <w:tcMar>
              <w:left w:w="101" w:type="dxa"/>
              <w:right w:w="101" w:type="dxa"/>
            </w:tcMar>
            <w:vAlign w:val="bottom"/>
          </w:tcPr>
          <w:p w14:paraId="1D192EAA" w14:textId="77777777" w:rsidR="003F0EEA" w:rsidRPr="009E3D0F" w:rsidRDefault="003F0EEA">
            <w:pPr>
              <w:rPr>
                <w:rFonts w:ascii="Arial" w:eastAsia="Arial" w:hAnsi="Arial" w:cs="Arial"/>
                <w:color w:val="000000"/>
                <w:sz w:val="16"/>
                <w:szCs w:val="18"/>
                <w:vertAlign w:val="superscript"/>
              </w:rPr>
            </w:pPr>
          </w:p>
        </w:tc>
        <w:tc>
          <w:tcPr>
            <w:tcW w:w="0" w:type="auto"/>
            <w:tcBorders>
              <w:top w:val="nil"/>
              <w:left w:val="nil"/>
              <w:bottom w:val="nil"/>
              <w:right w:val="nil"/>
              <w:tl2br w:val="nil"/>
              <w:tr2bl w:val="nil"/>
            </w:tcBorders>
            <w:shd w:val="clear" w:color="auto" w:fill="FFFFFF"/>
            <w:tcMar>
              <w:left w:w="101" w:type="dxa"/>
              <w:right w:w="101" w:type="dxa"/>
            </w:tcMar>
            <w:vAlign w:val="bottom"/>
          </w:tcPr>
          <w:p w14:paraId="6A1FEA59" w14:textId="77777777" w:rsidR="003F0EEA" w:rsidRPr="009E3D0F" w:rsidRDefault="00FB7D0B">
            <w:pPr>
              <w:rPr>
                <w:rFonts w:ascii="Arial" w:eastAsia="Arial" w:hAnsi="Arial" w:cs="Arial"/>
                <w:color w:val="000000"/>
                <w:sz w:val="16"/>
                <w:szCs w:val="18"/>
                <w:vertAlign w:val="superscript"/>
              </w:rPr>
            </w:pPr>
            <w:r w:rsidRPr="009E3D0F">
              <w:rPr>
                <w:rFonts w:ascii="Arial" w:eastAsia="Arial" w:hAnsi="Arial" w:cs="Arial"/>
                <w:color w:val="000000"/>
                <w:sz w:val="16"/>
                <w:szCs w:val="18"/>
              </w:rPr>
              <w:t>Travel for treatment</w:t>
            </w:r>
          </w:p>
        </w:tc>
        <w:tc>
          <w:tcPr>
            <w:tcW w:w="0" w:type="auto"/>
            <w:tcBorders>
              <w:top w:val="nil"/>
              <w:left w:val="nil"/>
              <w:bottom w:val="nil"/>
              <w:right w:val="nil"/>
              <w:tl2br w:val="nil"/>
              <w:tr2bl w:val="nil"/>
            </w:tcBorders>
            <w:shd w:val="clear" w:color="auto" w:fill="FFFFFF"/>
            <w:tcMar>
              <w:left w:w="101" w:type="dxa"/>
              <w:right w:w="101" w:type="dxa"/>
            </w:tcMar>
            <w:vAlign w:val="bottom"/>
          </w:tcPr>
          <w:p w14:paraId="656E5A2E" w14:textId="77777777" w:rsidR="003F0EEA" w:rsidRPr="009E3D0F" w:rsidRDefault="00FB7D0B">
            <w:pPr>
              <w:jc w:val="right"/>
              <w:rPr>
                <w:rFonts w:ascii="Arial" w:eastAsia="Arial" w:hAnsi="Arial" w:cs="Arial"/>
                <w:color w:val="000000"/>
                <w:sz w:val="16"/>
                <w:szCs w:val="18"/>
                <w:vertAlign w:val="superscript"/>
              </w:rPr>
            </w:pPr>
            <w:r w:rsidRPr="009E3D0F">
              <w:rPr>
                <w:rFonts w:ascii="Arial" w:eastAsia="Arial" w:hAnsi="Arial" w:cs="Arial"/>
                <w:color w:val="000000"/>
                <w:sz w:val="16"/>
                <w:szCs w:val="18"/>
              </w:rPr>
              <w:t xml:space="preserve"> 180,964 </w:t>
            </w:r>
          </w:p>
        </w:tc>
        <w:tc>
          <w:tcPr>
            <w:tcW w:w="0" w:type="auto"/>
            <w:tcBorders>
              <w:top w:val="nil"/>
              <w:left w:val="nil"/>
              <w:bottom w:val="nil"/>
              <w:right w:val="nil"/>
              <w:tl2br w:val="nil"/>
              <w:tr2bl w:val="nil"/>
            </w:tcBorders>
            <w:shd w:val="clear" w:color="auto" w:fill="FFFF00"/>
            <w:tcMar>
              <w:left w:w="101" w:type="dxa"/>
              <w:right w:w="101" w:type="dxa"/>
            </w:tcMar>
            <w:vAlign w:val="bottom"/>
          </w:tcPr>
          <w:p w14:paraId="55868E98" w14:textId="77777777" w:rsidR="003F0EEA" w:rsidRPr="009E3D0F" w:rsidRDefault="00FB7D0B">
            <w:pPr>
              <w:jc w:val="right"/>
              <w:rPr>
                <w:rFonts w:ascii="Arial" w:eastAsia="Arial" w:hAnsi="Arial" w:cs="Arial"/>
                <w:color w:val="000000"/>
                <w:sz w:val="16"/>
                <w:szCs w:val="18"/>
              </w:rPr>
            </w:pPr>
            <w:r w:rsidRPr="009E3D0F">
              <w:rPr>
                <w:rFonts w:ascii="Arial" w:eastAsia="Arial" w:hAnsi="Arial" w:cs="Arial"/>
                <w:color w:val="000000"/>
                <w:sz w:val="16"/>
                <w:szCs w:val="18"/>
              </w:rPr>
              <w:t xml:space="preserve"> 183,921 </w:t>
            </w:r>
          </w:p>
        </w:tc>
        <w:tc>
          <w:tcPr>
            <w:tcW w:w="0" w:type="auto"/>
            <w:tcBorders>
              <w:top w:val="nil"/>
              <w:left w:val="nil"/>
              <w:bottom w:val="nil"/>
              <w:right w:val="nil"/>
              <w:tl2br w:val="nil"/>
              <w:tr2bl w:val="nil"/>
            </w:tcBorders>
            <w:shd w:val="clear" w:color="auto" w:fill="FFFFFF"/>
            <w:tcMar>
              <w:left w:w="101" w:type="dxa"/>
              <w:right w:w="101" w:type="dxa"/>
            </w:tcMar>
            <w:vAlign w:val="bottom"/>
          </w:tcPr>
          <w:p w14:paraId="26194F09" w14:textId="77777777" w:rsidR="003F0EEA" w:rsidRPr="009E3D0F" w:rsidRDefault="00FB7D0B">
            <w:pPr>
              <w:jc w:val="right"/>
              <w:rPr>
                <w:rFonts w:ascii="Arial" w:eastAsia="Arial" w:hAnsi="Arial" w:cs="Arial"/>
                <w:color w:val="000000"/>
                <w:sz w:val="16"/>
                <w:szCs w:val="18"/>
              </w:rPr>
            </w:pPr>
            <w:r w:rsidRPr="009E3D0F">
              <w:rPr>
                <w:rFonts w:ascii="Arial" w:eastAsia="Arial" w:hAnsi="Arial" w:cs="Arial"/>
                <w:color w:val="000000"/>
                <w:sz w:val="16"/>
                <w:szCs w:val="18"/>
              </w:rPr>
              <w:t xml:space="preserve"> 184,710 </w:t>
            </w:r>
          </w:p>
        </w:tc>
        <w:tc>
          <w:tcPr>
            <w:tcW w:w="0" w:type="auto"/>
            <w:tcBorders>
              <w:top w:val="nil"/>
              <w:left w:val="nil"/>
              <w:bottom w:val="nil"/>
              <w:right w:val="nil"/>
              <w:tl2br w:val="nil"/>
              <w:tr2bl w:val="nil"/>
            </w:tcBorders>
            <w:shd w:val="clear" w:color="auto" w:fill="FFFFFF"/>
            <w:tcMar>
              <w:left w:w="101" w:type="dxa"/>
              <w:right w:w="101" w:type="dxa"/>
            </w:tcMar>
            <w:vAlign w:val="bottom"/>
          </w:tcPr>
          <w:p w14:paraId="33F9E2BD" w14:textId="77777777" w:rsidR="003F0EEA" w:rsidRPr="009E3D0F" w:rsidRDefault="00FB7D0B">
            <w:pPr>
              <w:jc w:val="right"/>
              <w:rPr>
                <w:rFonts w:ascii="Arial" w:eastAsia="Arial" w:hAnsi="Arial" w:cs="Arial"/>
                <w:color w:val="000000"/>
                <w:sz w:val="16"/>
                <w:szCs w:val="18"/>
              </w:rPr>
            </w:pPr>
            <w:r w:rsidRPr="009E3D0F">
              <w:rPr>
                <w:rFonts w:ascii="Arial" w:eastAsia="Arial" w:hAnsi="Arial" w:cs="Arial"/>
                <w:color w:val="000000"/>
                <w:sz w:val="16"/>
                <w:szCs w:val="18"/>
              </w:rPr>
              <w:t xml:space="preserve"> 186,713 </w:t>
            </w:r>
          </w:p>
        </w:tc>
        <w:tc>
          <w:tcPr>
            <w:tcW w:w="0" w:type="auto"/>
            <w:tcBorders>
              <w:top w:val="nil"/>
              <w:left w:val="nil"/>
              <w:bottom w:val="nil"/>
              <w:right w:val="single" w:sz="6" w:space="0" w:color="000000"/>
              <w:tl2br w:val="nil"/>
              <w:tr2bl w:val="nil"/>
            </w:tcBorders>
            <w:shd w:val="clear" w:color="auto" w:fill="FFFFFF"/>
            <w:tcMar>
              <w:left w:w="101" w:type="dxa"/>
              <w:right w:w="101" w:type="dxa"/>
            </w:tcMar>
            <w:vAlign w:val="bottom"/>
          </w:tcPr>
          <w:p w14:paraId="147C37AB" w14:textId="77777777" w:rsidR="003F0EEA" w:rsidRPr="009E3D0F" w:rsidRDefault="00FB7D0B">
            <w:pPr>
              <w:jc w:val="right"/>
              <w:rPr>
                <w:rFonts w:ascii="Arial" w:eastAsia="Arial" w:hAnsi="Arial" w:cs="Arial"/>
                <w:color w:val="000000"/>
                <w:sz w:val="16"/>
                <w:szCs w:val="18"/>
              </w:rPr>
            </w:pPr>
            <w:r w:rsidRPr="009E3D0F">
              <w:rPr>
                <w:rFonts w:ascii="Arial" w:eastAsia="Arial" w:hAnsi="Arial" w:cs="Arial"/>
                <w:color w:val="000000"/>
                <w:sz w:val="16"/>
                <w:szCs w:val="18"/>
              </w:rPr>
              <w:t xml:space="preserve"> 192,490 </w:t>
            </w:r>
          </w:p>
        </w:tc>
      </w:tr>
      <w:tr w:rsidR="00724034" w14:paraId="0E419B6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10" w:type="dxa"/>
          <w:trHeight w:val="225"/>
        </w:trPr>
        <w:tc>
          <w:tcPr>
            <w:tcW w:w="0" w:type="auto"/>
            <w:tcBorders>
              <w:top w:val="nil"/>
              <w:left w:val="single" w:sz="6" w:space="0" w:color="000000"/>
              <w:bottom w:val="nil"/>
              <w:right w:val="nil"/>
              <w:tl2br w:val="nil"/>
              <w:tr2bl w:val="nil"/>
            </w:tcBorders>
            <w:shd w:val="clear" w:color="auto" w:fill="FFFFFF"/>
            <w:tcMar>
              <w:left w:w="101" w:type="dxa"/>
              <w:right w:w="101" w:type="dxa"/>
            </w:tcMar>
            <w:vAlign w:val="bottom"/>
          </w:tcPr>
          <w:p w14:paraId="7A7E8105" w14:textId="77777777" w:rsidR="003F0EEA" w:rsidRPr="009E3D0F" w:rsidRDefault="003F0EEA">
            <w:pPr>
              <w:rPr>
                <w:rFonts w:ascii="Arial" w:eastAsia="Arial" w:hAnsi="Arial" w:cs="Arial"/>
                <w:color w:val="000000"/>
                <w:sz w:val="16"/>
                <w:szCs w:val="18"/>
              </w:rPr>
            </w:pPr>
          </w:p>
        </w:tc>
        <w:tc>
          <w:tcPr>
            <w:tcW w:w="0" w:type="auto"/>
            <w:tcBorders>
              <w:top w:val="nil"/>
              <w:left w:val="nil"/>
              <w:bottom w:val="nil"/>
              <w:right w:val="nil"/>
              <w:tl2br w:val="nil"/>
              <w:tr2bl w:val="nil"/>
            </w:tcBorders>
            <w:shd w:val="clear" w:color="auto" w:fill="FFFFFF"/>
            <w:tcMar>
              <w:left w:w="101" w:type="dxa"/>
              <w:right w:w="101" w:type="dxa"/>
            </w:tcMar>
            <w:vAlign w:val="bottom"/>
          </w:tcPr>
          <w:p w14:paraId="62289407" w14:textId="77777777" w:rsidR="003F0EEA" w:rsidRPr="009E3D0F" w:rsidRDefault="003F0EEA">
            <w:pPr>
              <w:rPr>
                <w:rFonts w:ascii="Arial" w:eastAsia="Arial" w:hAnsi="Arial" w:cs="Arial"/>
                <w:color w:val="000000"/>
                <w:sz w:val="16"/>
                <w:szCs w:val="18"/>
              </w:rPr>
            </w:pPr>
          </w:p>
        </w:tc>
        <w:tc>
          <w:tcPr>
            <w:tcW w:w="0" w:type="auto"/>
            <w:tcBorders>
              <w:top w:val="nil"/>
              <w:left w:val="nil"/>
              <w:bottom w:val="nil"/>
              <w:right w:val="nil"/>
              <w:tl2br w:val="nil"/>
              <w:tr2bl w:val="nil"/>
            </w:tcBorders>
            <w:shd w:val="clear" w:color="auto" w:fill="FFFFFF"/>
            <w:tcMar>
              <w:left w:w="101" w:type="dxa"/>
              <w:right w:w="101" w:type="dxa"/>
            </w:tcMar>
            <w:vAlign w:val="bottom"/>
          </w:tcPr>
          <w:p w14:paraId="49C3AA15" w14:textId="77777777" w:rsidR="003F0EEA" w:rsidRPr="009E3D0F" w:rsidRDefault="00FB7D0B">
            <w:pPr>
              <w:rPr>
                <w:rFonts w:ascii="Arial" w:eastAsia="Arial" w:hAnsi="Arial" w:cs="Arial"/>
                <w:color w:val="000000"/>
                <w:sz w:val="16"/>
                <w:szCs w:val="18"/>
              </w:rPr>
            </w:pPr>
            <w:r w:rsidRPr="009E3D0F">
              <w:rPr>
                <w:rFonts w:ascii="Arial" w:eastAsia="Arial" w:hAnsi="Arial" w:cs="Arial"/>
                <w:color w:val="000000"/>
                <w:sz w:val="16"/>
                <w:szCs w:val="18"/>
              </w:rPr>
              <w:t>Subsistence</w:t>
            </w:r>
          </w:p>
        </w:tc>
        <w:tc>
          <w:tcPr>
            <w:tcW w:w="0" w:type="auto"/>
            <w:tcBorders>
              <w:top w:val="nil"/>
              <w:left w:val="nil"/>
              <w:bottom w:val="nil"/>
              <w:right w:val="nil"/>
              <w:tl2br w:val="nil"/>
              <w:tr2bl w:val="nil"/>
            </w:tcBorders>
            <w:shd w:val="clear" w:color="auto" w:fill="FFFFFF"/>
            <w:tcMar>
              <w:left w:w="101" w:type="dxa"/>
              <w:right w:w="101" w:type="dxa"/>
            </w:tcMar>
            <w:vAlign w:val="bottom"/>
          </w:tcPr>
          <w:p w14:paraId="7260C3CA" w14:textId="77777777" w:rsidR="003F0EEA" w:rsidRPr="009E3D0F" w:rsidRDefault="00FB7D0B">
            <w:pPr>
              <w:jc w:val="right"/>
              <w:rPr>
                <w:rFonts w:ascii="Arial" w:eastAsia="Arial" w:hAnsi="Arial" w:cs="Arial"/>
                <w:color w:val="000000"/>
                <w:sz w:val="16"/>
                <w:szCs w:val="18"/>
                <w:vertAlign w:val="superscript"/>
              </w:rPr>
            </w:pPr>
            <w:r w:rsidRPr="009E3D0F">
              <w:rPr>
                <w:rFonts w:ascii="Arial" w:eastAsia="Arial" w:hAnsi="Arial" w:cs="Arial"/>
                <w:color w:val="000000"/>
                <w:sz w:val="16"/>
                <w:szCs w:val="18"/>
              </w:rPr>
              <w:t xml:space="preserve"> 6,811 </w:t>
            </w:r>
          </w:p>
        </w:tc>
        <w:tc>
          <w:tcPr>
            <w:tcW w:w="0" w:type="auto"/>
            <w:tcBorders>
              <w:top w:val="nil"/>
              <w:left w:val="nil"/>
              <w:bottom w:val="nil"/>
              <w:right w:val="nil"/>
              <w:tl2br w:val="nil"/>
              <w:tr2bl w:val="nil"/>
            </w:tcBorders>
            <w:shd w:val="clear" w:color="auto" w:fill="FFFF00"/>
            <w:tcMar>
              <w:left w:w="101" w:type="dxa"/>
              <w:right w:w="101" w:type="dxa"/>
            </w:tcMar>
            <w:vAlign w:val="bottom"/>
          </w:tcPr>
          <w:p w14:paraId="05440643" w14:textId="77777777" w:rsidR="003F0EEA" w:rsidRPr="009E3D0F" w:rsidRDefault="00FB7D0B">
            <w:pPr>
              <w:jc w:val="right"/>
              <w:rPr>
                <w:rFonts w:ascii="Arial" w:eastAsia="Arial" w:hAnsi="Arial" w:cs="Arial"/>
                <w:color w:val="000000"/>
                <w:sz w:val="16"/>
                <w:szCs w:val="18"/>
              </w:rPr>
            </w:pPr>
            <w:r w:rsidRPr="009E3D0F">
              <w:rPr>
                <w:rFonts w:ascii="Arial" w:eastAsia="Arial" w:hAnsi="Arial" w:cs="Arial"/>
                <w:color w:val="000000"/>
                <w:sz w:val="16"/>
                <w:szCs w:val="18"/>
              </w:rPr>
              <w:t xml:space="preserve"> 6,892 </w:t>
            </w:r>
          </w:p>
        </w:tc>
        <w:tc>
          <w:tcPr>
            <w:tcW w:w="0" w:type="auto"/>
            <w:tcBorders>
              <w:top w:val="nil"/>
              <w:left w:val="nil"/>
              <w:bottom w:val="nil"/>
              <w:right w:val="nil"/>
              <w:tl2br w:val="nil"/>
              <w:tr2bl w:val="nil"/>
            </w:tcBorders>
            <w:shd w:val="clear" w:color="auto" w:fill="FFFFFF"/>
            <w:tcMar>
              <w:left w:w="101" w:type="dxa"/>
              <w:right w:w="101" w:type="dxa"/>
            </w:tcMar>
            <w:vAlign w:val="bottom"/>
          </w:tcPr>
          <w:p w14:paraId="1DB0DEC8" w14:textId="77777777" w:rsidR="003F0EEA" w:rsidRPr="009E3D0F" w:rsidRDefault="00FB7D0B">
            <w:pPr>
              <w:jc w:val="right"/>
              <w:rPr>
                <w:rFonts w:ascii="Arial" w:eastAsia="Arial" w:hAnsi="Arial" w:cs="Arial"/>
                <w:color w:val="000000"/>
                <w:sz w:val="16"/>
                <w:szCs w:val="18"/>
              </w:rPr>
            </w:pPr>
            <w:r w:rsidRPr="009E3D0F">
              <w:rPr>
                <w:rFonts w:ascii="Arial" w:eastAsia="Arial" w:hAnsi="Arial" w:cs="Arial"/>
                <w:color w:val="000000"/>
                <w:sz w:val="16"/>
                <w:szCs w:val="18"/>
              </w:rPr>
              <w:t xml:space="preserve"> 6,996 </w:t>
            </w:r>
          </w:p>
        </w:tc>
        <w:tc>
          <w:tcPr>
            <w:tcW w:w="0" w:type="auto"/>
            <w:tcBorders>
              <w:top w:val="nil"/>
              <w:left w:val="nil"/>
              <w:bottom w:val="nil"/>
              <w:right w:val="nil"/>
              <w:tl2br w:val="nil"/>
              <w:tr2bl w:val="nil"/>
            </w:tcBorders>
            <w:shd w:val="clear" w:color="auto" w:fill="FFFFFF"/>
            <w:tcMar>
              <w:left w:w="101" w:type="dxa"/>
              <w:right w:w="101" w:type="dxa"/>
            </w:tcMar>
            <w:vAlign w:val="bottom"/>
          </w:tcPr>
          <w:p w14:paraId="255F591A" w14:textId="77777777" w:rsidR="003F0EEA" w:rsidRPr="009E3D0F" w:rsidRDefault="00FB7D0B">
            <w:pPr>
              <w:jc w:val="right"/>
              <w:rPr>
                <w:rFonts w:ascii="Arial" w:eastAsia="Arial" w:hAnsi="Arial" w:cs="Arial"/>
                <w:color w:val="000000"/>
                <w:sz w:val="16"/>
                <w:szCs w:val="18"/>
              </w:rPr>
            </w:pPr>
            <w:r w:rsidRPr="009E3D0F">
              <w:rPr>
                <w:rFonts w:ascii="Arial" w:eastAsia="Arial" w:hAnsi="Arial" w:cs="Arial"/>
                <w:color w:val="000000"/>
                <w:sz w:val="16"/>
                <w:szCs w:val="18"/>
              </w:rPr>
              <w:t xml:space="preserve"> 7,095 </w:t>
            </w:r>
          </w:p>
        </w:tc>
        <w:tc>
          <w:tcPr>
            <w:tcW w:w="0" w:type="auto"/>
            <w:tcBorders>
              <w:top w:val="nil"/>
              <w:left w:val="nil"/>
              <w:bottom w:val="nil"/>
              <w:right w:val="single" w:sz="6" w:space="0" w:color="000000"/>
              <w:tl2br w:val="nil"/>
              <w:tr2bl w:val="nil"/>
            </w:tcBorders>
            <w:shd w:val="clear" w:color="auto" w:fill="FFFFFF"/>
            <w:tcMar>
              <w:left w:w="101" w:type="dxa"/>
              <w:right w:w="101" w:type="dxa"/>
            </w:tcMar>
            <w:vAlign w:val="bottom"/>
          </w:tcPr>
          <w:p w14:paraId="55EA07FF" w14:textId="77777777" w:rsidR="003F0EEA" w:rsidRPr="009E3D0F" w:rsidRDefault="00FB7D0B">
            <w:pPr>
              <w:jc w:val="right"/>
              <w:rPr>
                <w:rFonts w:ascii="Arial" w:eastAsia="Arial" w:hAnsi="Arial" w:cs="Arial"/>
                <w:color w:val="000000"/>
                <w:sz w:val="16"/>
                <w:szCs w:val="18"/>
              </w:rPr>
            </w:pPr>
            <w:r w:rsidRPr="009E3D0F">
              <w:rPr>
                <w:rFonts w:ascii="Arial" w:eastAsia="Arial" w:hAnsi="Arial" w:cs="Arial"/>
                <w:color w:val="000000"/>
                <w:sz w:val="16"/>
                <w:szCs w:val="18"/>
              </w:rPr>
              <w:t xml:space="preserve"> 7,373 </w:t>
            </w:r>
          </w:p>
        </w:tc>
      </w:tr>
      <w:tr w:rsidR="00724034" w14:paraId="30C025A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10" w:type="dxa"/>
          <w:trHeight w:val="450"/>
        </w:trPr>
        <w:tc>
          <w:tcPr>
            <w:tcW w:w="0" w:type="auto"/>
            <w:tcBorders>
              <w:top w:val="nil"/>
              <w:left w:val="single" w:sz="6" w:space="0" w:color="000000"/>
              <w:bottom w:val="nil"/>
              <w:right w:val="nil"/>
              <w:tl2br w:val="nil"/>
              <w:tr2bl w:val="nil"/>
            </w:tcBorders>
            <w:shd w:val="clear" w:color="auto" w:fill="FFFFFF"/>
            <w:tcMar>
              <w:left w:w="101" w:type="dxa"/>
              <w:right w:w="101" w:type="dxa"/>
            </w:tcMar>
            <w:vAlign w:val="bottom"/>
          </w:tcPr>
          <w:p w14:paraId="05F38920" w14:textId="77777777" w:rsidR="003F0EEA" w:rsidRPr="009E3D0F" w:rsidRDefault="003F0EEA">
            <w:pPr>
              <w:rPr>
                <w:rFonts w:ascii="Arial" w:eastAsia="Arial" w:hAnsi="Arial" w:cs="Arial"/>
                <w:color w:val="000000"/>
                <w:sz w:val="16"/>
                <w:szCs w:val="18"/>
              </w:rPr>
            </w:pPr>
          </w:p>
        </w:tc>
        <w:tc>
          <w:tcPr>
            <w:tcW w:w="0" w:type="auto"/>
            <w:tcBorders>
              <w:top w:val="nil"/>
              <w:left w:val="nil"/>
              <w:bottom w:val="nil"/>
              <w:right w:val="nil"/>
              <w:tl2br w:val="nil"/>
              <w:tr2bl w:val="nil"/>
            </w:tcBorders>
            <w:shd w:val="clear" w:color="auto" w:fill="FFFFFF"/>
            <w:tcMar>
              <w:left w:w="101" w:type="dxa"/>
              <w:right w:w="101" w:type="dxa"/>
            </w:tcMar>
            <w:vAlign w:val="bottom"/>
          </w:tcPr>
          <w:p w14:paraId="6AE047C5" w14:textId="77777777" w:rsidR="003F0EEA" w:rsidRPr="009E3D0F" w:rsidRDefault="003F0EEA">
            <w:pPr>
              <w:rPr>
                <w:rFonts w:ascii="Arial" w:eastAsia="Arial" w:hAnsi="Arial" w:cs="Arial"/>
                <w:color w:val="000000"/>
                <w:sz w:val="16"/>
                <w:szCs w:val="18"/>
              </w:rPr>
            </w:pPr>
          </w:p>
        </w:tc>
        <w:tc>
          <w:tcPr>
            <w:tcW w:w="0" w:type="auto"/>
            <w:tcBorders>
              <w:top w:val="nil"/>
              <w:left w:val="nil"/>
              <w:bottom w:val="nil"/>
              <w:right w:val="nil"/>
              <w:tl2br w:val="nil"/>
              <w:tr2bl w:val="nil"/>
            </w:tcBorders>
            <w:shd w:val="clear" w:color="auto" w:fill="FFFFFF"/>
            <w:tcMar>
              <w:left w:w="101" w:type="dxa"/>
              <w:right w:w="101" w:type="dxa"/>
            </w:tcMar>
            <w:vAlign w:val="bottom"/>
          </w:tcPr>
          <w:p w14:paraId="392E44C8" w14:textId="77777777" w:rsidR="003F0EEA" w:rsidRPr="009E3D0F" w:rsidRDefault="00FB7D0B">
            <w:pPr>
              <w:rPr>
                <w:rFonts w:ascii="Arial" w:eastAsia="Arial" w:hAnsi="Arial" w:cs="Arial"/>
                <w:color w:val="000000"/>
                <w:sz w:val="16"/>
                <w:szCs w:val="18"/>
              </w:rPr>
            </w:pPr>
            <w:r w:rsidRPr="009E3D0F">
              <w:rPr>
                <w:rFonts w:ascii="Arial" w:eastAsia="Arial" w:hAnsi="Arial" w:cs="Arial"/>
                <w:color w:val="000000"/>
                <w:sz w:val="16"/>
                <w:szCs w:val="18"/>
              </w:rPr>
              <w:t>Veterans and veterans' families counselling services</w:t>
            </w:r>
          </w:p>
        </w:tc>
        <w:tc>
          <w:tcPr>
            <w:tcW w:w="0" w:type="auto"/>
            <w:tcBorders>
              <w:top w:val="nil"/>
              <w:left w:val="nil"/>
              <w:bottom w:val="nil"/>
              <w:right w:val="nil"/>
              <w:tl2br w:val="nil"/>
              <w:tr2bl w:val="nil"/>
            </w:tcBorders>
            <w:shd w:val="clear" w:color="auto" w:fill="FFFFFF"/>
            <w:tcMar>
              <w:left w:w="101" w:type="dxa"/>
              <w:right w:w="101" w:type="dxa"/>
            </w:tcMar>
            <w:vAlign w:val="bottom"/>
          </w:tcPr>
          <w:p w14:paraId="3F117C01" w14:textId="77777777" w:rsidR="003F0EEA" w:rsidRPr="009E3D0F" w:rsidRDefault="00FB7D0B">
            <w:pPr>
              <w:jc w:val="right"/>
              <w:rPr>
                <w:rFonts w:ascii="Arial" w:eastAsia="Arial" w:hAnsi="Arial" w:cs="Arial"/>
                <w:color w:val="000000"/>
                <w:sz w:val="16"/>
                <w:szCs w:val="18"/>
                <w:vertAlign w:val="superscript"/>
              </w:rPr>
            </w:pPr>
            <w:r w:rsidRPr="009E3D0F">
              <w:rPr>
                <w:rFonts w:ascii="Arial" w:eastAsia="Arial" w:hAnsi="Arial" w:cs="Arial"/>
                <w:color w:val="000000"/>
                <w:sz w:val="16"/>
                <w:szCs w:val="18"/>
              </w:rPr>
              <w:t xml:space="preserve"> 29,452 </w:t>
            </w:r>
          </w:p>
        </w:tc>
        <w:tc>
          <w:tcPr>
            <w:tcW w:w="0" w:type="auto"/>
            <w:tcBorders>
              <w:top w:val="nil"/>
              <w:left w:val="nil"/>
              <w:bottom w:val="nil"/>
              <w:right w:val="nil"/>
              <w:tl2br w:val="nil"/>
              <w:tr2bl w:val="nil"/>
            </w:tcBorders>
            <w:shd w:val="clear" w:color="auto" w:fill="FFFF00"/>
            <w:tcMar>
              <w:left w:w="101" w:type="dxa"/>
              <w:right w:w="101" w:type="dxa"/>
            </w:tcMar>
            <w:vAlign w:val="bottom"/>
          </w:tcPr>
          <w:p w14:paraId="1CCF19EB" w14:textId="77777777" w:rsidR="003F0EEA" w:rsidRPr="009E3D0F" w:rsidRDefault="00FB7D0B">
            <w:pPr>
              <w:jc w:val="right"/>
              <w:rPr>
                <w:rFonts w:ascii="Arial" w:eastAsia="Arial" w:hAnsi="Arial" w:cs="Arial"/>
                <w:color w:val="000000"/>
                <w:sz w:val="16"/>
                <w:szCs w:val="18"/>
              </w:rPr>
            </w:pPr>
            <w:r w:rsidRPr="009E3D0F">
              <w:rPr>
                <w:rFonts w:ascii="Arial" w:eastAsia="Arial" w:hAnsi="Arial" w:cs="Arial"/>
                <w:color w:val="000000"/>
                <w:sz w:val="16"/>
                <w:szCs w:val="18"/>
              </w:rPr>
              <w:t xml:space="preserve"> 30,499 </w:t>
            </w:r>
          </w:p>
        </w:tc>
        <w:tc>
          <w:tcPr>
            <w:tcW w:w="0" w:type="auto"/>
            <w:tcBorders>
              <w:top w:val="nil"/>
              <w:left w:val="nil"/>
              <w:bottom w:val="nil"/>
              <w:right w:val="nil"/>
              <w:tl2br w:val="nil"/>
              <w:tr2bl w:val="nil"/>
            </w:tcBorders>
            <w:shd w:val="clear" w:color="auto" w:fill="FFFFFF"/>
            <w:tcMar>
              <w:left w:w="101" w:type="dxa"/>
              <w:right w:w="101" w:type="dxa"/>
            </w:tcMar>
            <w:vAlign w:val="bottom"/>
          </w:tcPr>
          <w:p w14:paraId="502200E5" w14:textId="77777777" w:rsidR="003F0EEA" w:rsidRPr="009E3D0F" w:rsidRDefault="00FB7D0B">
            <w:pPr>
              <w:jc w:val="right"/>
              <w:rPr>
                <w:rFonts w:ascii="Arial" w:eastAsia="Arial" w:hAnsi="Arial" w:cs="Arial"/>
                <w:color w:val="000000"/>
                <w:sz w:val="16"/>
                <w:szCs w:val="18"/>
              </w:rPr>
            </w:pPr>
            <w:r w:rsidRPr="009E3D0F">
              <w:rPr>
                <w:rFonts w:ascii="Arial" w:eastAsia="Arial" w:hAnsi="Arial" w:cs="Arial"/>
                <w:color w:val="000000"/>
                <w:sz w:val="16"/>
                <w:szCs w:val="18"/>
              </w:rPr>
              <w:t xml:space="preserve"> 31,291 </w:t>
            </w:r>
          </w:p>
        </w:tc>
        <w:tc>
          <w:tcPr>
            <w:tcW w:w="0" w:type="auto"/>
            <w:tcBorders>
              <w:top w:val="nil"/>
              <w:left w:val="nil"/>
              <w:bottom w:val="nil"/>
              <w:right w:val="nil"/>
              <w:tl2br w:val="nil"/>
              <w:tr2bl w:val="nil"/>
            </w:tcBorders>
            <w:shd w:val="clear" w:color="auto" w:fill="FFFFFF"/>
            <w:tcMar>
              <w:left w:w="101" w:type="dxa"/>
              <w:right w:w="101" w:type="dxa"/>
            </w:tcMar>
            <w:vAlign w:val="bottom"/>
          </w:tcPr>
          <w:p w14:paraId="438937B2" w14:textId="77777777" w:rsidR="003F0EEA" w:rsidRPr="009E3D0F" w:rsidRDefault="00FB7D0B">
            <w:pPr>
              <w:jc w:val="right"/>
              <w:rPr>
                <w:rFonts w:ascii="Arial" w:eastAsia="Arial" w:hAnsi="Arial" w:cs="Arial"/>
                <w:color w:val="000000"/>
                <w:sz w:val="16"/>
                <w:szCs w:val="18"/>
              </w:rPr>
            </w:pPr>
            <w:r w:rsidRPr="009E3D0F">
              <w:rPr>
                <w:rFonts w:ascii="Arial" w:eastAsia="Arial" w:hAnsi="Arial" w:cs="Arial"/>
                <w:color w:val="000000"/>
                <w:sz w:val="16"/>
                <w:szCs w:val="18"/>
              </w:rPr>
              <w:t xml:space="preserve"> 32,653 </w:t>
            </w:r>
          </w:p>
        </w:tc>
        <w:tc>
          <w:tcPr>
            <w:tcW w:w="0" w:type="auto"/>
            <w:tcBorders>
              <w:top w:val="nil"/>
              <w:left w:val="nil"/>
              <w:bottom w:val="nil"/>
              <w:right w:val="single" w:sz="6" w:space="0" w:color="000000"/>
              <w:tl2br w:val="nil"/>
              <w:tr2bl w:val="nil"/>
            </w:tcBorders>
            <w:shd w:val="clear" w:color="auto" w:fill="FFFFFF"/>
            <w:tcMar>
              <w:left w:w="101" w:type="dxa"/>
              <w:right w:w="101" w:type="dxa"/>
            </w:tcMar>
            <w:vAlign w:val="bottom"/>
          </w:tcPr>
          <w:p w14:paraId="022A6DBA" w14:textId="77777777" w:rsidR="003F0EEA" w:rsidRPr="009E3D0F" w:rsidRDefault="00FB7D0B">
            <w:pPr>
              <w:jc w:val="right"/>
              <w:rPr>
                <w:rFonts w:ascii="Arial" w:eastAsia="Arial" w:hAnsi="Arial" w:cs="Arial"/>
                <w:color w:val="000000"/>
                <w:sz w:val="16"/>
                <w:szCs w:val="18"/>
              </w:rPr>
            </w:pPr>
            <w:r w:rsidRPr="009E3D0F">
              <w:rPr>
                <w:rFonts w:ascii="Arial" w:eastAsia="Arial" w:hAnsi="Arial" w:cs="Arial"/>
                <w:color w:val="000000"/>
                <w:sz w:val="16"/>
                <w:szCs w:val="18"/>
              </w:rPr>
              <w:t xml:space="preserve"> 34,276 </w:t>
            </w:r>
          </w:p>
        </w:tc>
      </w:tr>
      <w:tr w:rsidR="00724034" w14:paraId="62DB577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10" w:type="dxa"/>
          <w:trHeight w:val="225"/>
        </w:trPr>
        <w:tc>
          <w:tcPr>
            <w:tcW w:w="0" w:type="auto"/>
            <w:tcBorders>
              <w:top w:val="nil"/>
              <w:left w:val="single" w:sz="6" w:space="0" w:color="000000"/>
              <w:bottom w:val="nil"/>
              <w:right w:val="nil"/>
              <w:tl2br w:val="nil"/>
              <w:tr2bl w:val="nil"/>
            </w:tcBorders>
            <w:shd w:val="clear" w:color="auto" w:fill="FFFFFF"/>
            <w:tcMar>
              <w:left w:w="101" w:type="dxa"/>
              <w:right w:w="101" w:type="dxa"/>
            </w:tcMar>
            <w:vAlign w:val="bottom"/>
          </w:tcPr>
          <w:p w14:paraId="56724506" w14:textId="77777777" w:rsidR="003F0EEA" w:rsidRPr="009E3D0F" w:rsidRDefault="003F0EEA">
            <w:pPr>
              <w:rPr>
                <w:rFonts w:ascii="Arial" w:eastAsia="Arial" w:hAnsi="Arial" w:cs="Arial"/>
                <w:color w:val="000000"/>
                <w:sz w:val="16"/>
                <w:szCs w:val="18"/>
              </w:rPr>
            </w:pPr>
          </w:p>
        </w:tc>
        <w:tc>
          <w:tcPr>
            <w:tcW w:w="0" w:type="auto"/>
            <w:tcBorders>
              <w:top w:val="nil"/>
              <w:left w:val="nil"/>
              <w:bottom w:val="nil"/>
              <w:right w:val="nil"/>
              <w:tl2br w:val="nil"/>
              <w:tr2bl w:val="nil"/>
            </w:tcBorders>
            <w:shd w:val="clear" w:color="auto" w:fill="FFFFFF"/>
            <w:tcMar>
              <w:left w:w="101" w:type="dxa"/>
              <w:right w:w="101" w:type="dxa"/>
            </w:tcMar>
            <w:vAlign w:val="bottom"/>
          </w:tcPr>
          <w:p w14:paraId="78CEEC97" w14:textId="77777777" w:rsidR="003F0EEA" w:rsidRPr="009E3D0F" w:rsidRDefault="003F0EEA">
            <w:pPr>
              <w:rPr>
                <w:rFonts w:ascii="Arial" w:eastAsia="Arial" w:hAnsi="Arial" w:cs="Arial"/>
                <w:color w:val="000000"/>
                <w:sz w:val="16"/>
                <w:szCs w:val="18"/>
              </w:rPr>
            </w:pPr>
          </w:p>
        </w:tc>
        <w:tc>
          <w:tcPr>
            <w:tcW w:w="0" w:type="auto"/>
            <w:tcBorders>
              <w:top w:val="nil"/>
              <w:left w:val="nil"/>
              <w:bottom w:val="nil"/>
              <w:right w:val="nil"/>
              <w:tl2br w:val="nil"/>
              <w:tr2bl w:val="nil"/>
            </w:tcBorders>
            <w:shd w:val="clear" w:color="auto" w:fill="FFFFFF"/>
            <w:tcMar>
              <w:left w:w="101" w:type="dxa"/>
              <w:right w:w="101" w:type="dxa"/>
            </w:tcMar>
            <w:vAlign w:val="bottom"/>
          </w:tcPr>
          <w:p w14:paraId="35574EE6" w14:textId="77777777" w:rsidR="003F0EEA" w:rsidRPr="009E3D0F" w:rsidRDefault="00FB7D0B">
            <w:pPr>
              <w:rPr>
                <w:rFonts w:ascii="Arial" w:eastAsia="Arial" w:hAnsi="Arial" w:cs="Arial"/>
                <w:color w:val="000000"/>
                <w:sz w:val="16"/>
                <w:szCs w:val="18"/>
              </w:rPr>
            </w:pPr>
            <w:r w:rsidRPr="009E3D0F">
              <w:rPr>
                <w:rFonts w:ascii="Arial" w:eastAsia="Arial" w:hAnsi="Arial" w:cs="Arial"/>
                <w:color w:val="000000"/>
                <w:sz w:val="16"/>
                <w:szCs w:val="18"/>
              </w:rPr>
              <w:t>Non-institutional care - services</w:t>
            </w:r>
          </w:p>
        </w:tc>
        <w:tc>
          <w:tcPr>
            <w:tcW w:w="0" w:type="auto"/>
            <w:tcBorders>
              <w:top w:val="nil"/>
              <w:left w:val="nil"/>
              <w:bottom w:val="nil"/>
              <w:right w:val="nil"/>
              <w:tl2br w:val="nil"/>
              <w:tr2bl w:val="nil"/>
            </w:tcBorders>
            <w:shd w:val="clear" w:color="auto" w:fill="FFFFFF"/>
            <w:tcMar>
              <w:left w:w="101" w:type="dxa"/>
              <w:right w:w="101" w:type="dxa"/>
            </w:tcMar>
            <w:vAlign w:val="bottom"/>
          </w:tcPr>
          <w:p w14:paraId="717A92B6" w14:textId="77777777" w:rsidR="003F0EEA" w:rsidRPr="009E3D0F" w:rsidRDefault="00FB7D0B">
            <w:pPr>
              <w:jc w:val="right"/>
              <w:rPr>
                <w:rFonts w:ascii="Arial" w:eastAsia="Arial" w:hAnsi="Arial" w:cs="Arial"/>
                <w:color w:val="000000"/>
                <w:sz w:val="16"/>
                <w:szCs w:val="18"/>
                <w:vertAlign w:val="superscript"/>
              </w:rPr>
            </w:pPr>
            <w:r w:rsidRPr="009E3D0F">
              <w:rPr>
                <w:rFonts w:ascii="Arial" w:eastAsia="Arial" w:hAnsi="Arial" w:cs="Arial"/>
                <w:color w:val="000000"/>
                <w:sz w:val="16"/>
                <w:szCs w:val="18"/>
              </w:rPr>
              <w:t xml:space="preserve"> 171,708 </w:t>
            </w:r>
          </w:p>
        </w:tc>
        <w:tc>
          <w:tcPr>
            <w:tcW w:w="0" w:type="auto"/>
            <w:tcBorders>
              <w:top w:val="nil"/>
              <w:left w:val="nil"/>
              <w:bottom w:val="nil"/>
              <w:right w:val="nil"/>
              <w:tl2br w:val="nil"/>
              <w:tr2bl w:val="nil"/>
            </w:tcBorders>
            <w:shd w:val="clear" w:color="auto" w:fill="FFFF00"/>
            <w:tcMar>
              <w:left w:w="101" w:type="dxa"/>
              <w:right w:w="101" w:type="dxa"/>
            </w:tcMar>
            <w:vAlign w:val="bottom"/>
          </w:tcPr>
          <w:p w14:paraId="065B4310" w14:textId="77777777" w:rsidR="003F0EEA" w:rsidRPr="009E3D0F" w:rsidRDefault="00FB7D0B">
            <w:pPr>
              <w:jc w:val="right"/>
              <w:rPr>
                <w:rFonts w:ascii="Arial" w:eastAsia="Arial" w:hAnsi="Arial" w:cs="Arial"/>
                <w:color w:val="000000"/>
                <w:sz w:val="16"/>
                <w:szCs w:val="18"/>
              </w:rPr>
            </w:pPr>
            <w:r w:rsidRPr="009E3D0F">
              <w:rPr>
                <w:rFonts w:ascii="Arial" w:eastAsia="Arial" w:hAnsi="Arial" w:cs="Arial"/>
                <w:color w:val="000000"/>
                <w:sz w:val="16"/>
                <w:szCs w:val="18"/>
              </w:rPr>
              <w:t xml:space="preserve"> 178,606 </w:t>
            </w:r>
          </w:p>
        </w:tc>
        <w:tc>
          <w:tcPr>
            <w:tcW w:w="0" w:type="auto"/>
            <w:tcBorders>
              <w:top w:val="nil"/>
              <w:left w:val="nil"/>
              <w:bottom w:val="nil"/>
              <w:right w:val="nil"/>
              <w:tl2br w:val="nil"/>
              <w:tr2bl w:val="nil"/>
            </w:tcBorders>
            <w:shd w:val="clear" w:color="auto" w:fill="FFFFFF"/>
            <w:tcMar>
              <w:left w:w="101" w:type="dxa"/>
              <w:right w:w="101" w:type="dxa"/>
            </w:tcMar>
            <w:vAlign w:val="bottom"/>
          </w:tcPr>
          <w:p w14:paraId="76286280" w14:textId="77777777" w:rsidR="003F0EEA" w:rsidRPr="009E3D0F" w:rsidRDefault="00FB7D0B">
            <w:pPr>
              <w:jc w:val="right"/>
              <w:rPr>
                <w:rFonts w:ascii="Arial" w:eastAsia="Arial" w:hAnsi="Arial" w:cs="Arial"/>
                <w:color w:val="000000"/>
                <w:sz w:val="16"/>
                <w:szCs w:val="18"/>
              </w:rPr>
            </w:pPr>
            <w:r w:rsidRPr="009E3D0F">
              <w:rPr>
                <w:rFonts w:ascii="Arial" w:eastAsia="Arial" w:hAnsi="Arial" w:cs="Arial"/>
                <w:color w:val="000000"/>
                <w:sz w:val="16"/>
                <w:szCs w:val="18"/>
              </w:rPr>
              <w:t xml:space="preserve"> 190,178 </w:t>
            </w:r>
          </w:p>
        </w:tc>
        <w:tc>
          <w:tcPr>
            <w:tcW w:w="0" w:type="auto"/>
            <w:tcBorders>
              <w:top w:val="nil"/>
              <w:left w:val="nil"/>
              <w:bottom w:val="nil"/>
              <w:right w:val="nil"/>
              <w:tl2br w:val="nil"/>
              <w:tr2bl w:val="nil"/>
            </w:tcBorders>
            <w:shd w:val="clear" w:color="auto" w:fill="FFFFFF"/>
            <w:tcMar>
              <w:left w:w="101" w:type="dxa"/>
              <w:right w:w="101" w:type="dxa"/>
            </w:tcMar>
            <w:vAlign w:val="bottom"/>
          </w:tcPr>
          <w:p w14:paraId="0657B05B" w14:textId="77777777" w:rsidR="003F0EEA" w:rsidRPr="009E3D0F" w:rsidRDefault="00FB7D0B">
            <w:pPr>
              <w:jc w:val="right"/>
              <w:rPr>
                <w:rFonts w:ascii="Arial" w:eastAsia="Arial" w:hAnsi="Arial" w:cs="Arial"/>
                <w:color w:val="000000"/>
                <w:sz w:val="16"/>
                <w:szCs w:val="18"/>
              </w:rPr>
            </w:pPr>
            <w:r w:rsidRPr="009E3D0F">
              <w:rPr>
                <w:rFonts w:ascii="Arial" w:eastAsia="Arial" w:hAnsi="Arial" w:cs="Arial"/>
                <w:color w:val="000000"/>
                <w:sz w:val="16"/>
                <w:szCs w:val="18"/>
              </w:rPr>
              <w:t xml:space="preserve"> 193,603 </w:t>
            </w:r>
          </w:p>
        </w:tc>
        <w:tc>
          <w:tcPr>
            <w:tcW w:w="0" w:type="auto"/>
            <w:tcBorders>
              <w:top w:val="nil"/>
              <w:left w:val="nil"/>
              <w:bottom w:val="nil"/>
              <w:right w:val="single" w:sz="6" w:space="0" w:color="000000"/>
              <w:tl2br w:val="nil"/>
              <w:tr2bl w:val="nil"/>
            </w:tcBorders>
            <w:shd w:val="clear" w:color="auto" w:fill="FFFFFF"/>
            <w:tcMar>
              <w:left w:w="101" w:type="dxa"/>
              <w:right w:w="101" w:type="dxa"/>
            </w:tcMar>
            <w:vAlign w:val="bottom"/>
          </w:tcPr>
          <w:p w14:paraId="6D153D3E" w14:textId="77777777" w:rsidR="003F0EEA" w:rsidRPr="009E3D0F" w:rsidRDefault="00FB7D0B">
            <w:pPr>
              <w:jc w:val="right"/>
              <w:rPr>
                <w:rFonts w:ascii="Arial" w:eastAsia="Arial" w:hAnsi="Arial" w:cs="Arial"/>
                <w:color w:val="000000"/>
                <w:sz w:val="16"/>
                <w:szCs w:val="18"/>
              </w:rPr>
            </w:pPr>
            <w:r w:rsidRPr="009E3D0F">
              <w:rPr>
                <w:rFonts w:ascii="Arial" w:eastAsia="Arial" w:hAnsi="Arial" w:cs="Arial"/>
                <w:color w:val="000000"/>
                <w:sz w:val="16"/>
                <w:szCs w:val="18"/>
              </w:rPr>
              <w:t xml:space="preserve"> 196,501 </w:t>
            </w:r>
          </w:p>
        </w:tc>
      </w:tr>
      <w:tr w:rsidR="00724034" w14:paraId="5083F2D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10" w:type="dxa"/>
          <w:trHeight w:val="225"/>
        </w:trPr>
        <w:tc>
          <w:tcPr>
            <w:tcW w:w="0" w:type="auto"/>
            <w:tcBorders>
              <w:top w:val="nil"/>
              <w:left w:val="single" w:sz="6" w:space="0" w:color="000000"/>
              <w:bottom w:val="nil"/>
              <w:right w:val="nil"/>
              <w:tl2br w:val="nil"/>
              <w:tr2bl w:val="nil"/>
            </w:tcBorders>
            <w:shd w:val="clear" w:color="auto" w:fill="FFFFFF"/>
            <w:tcMar>
              <w:left w:w="101" w:type="dxa"/>
              <w:right w:w="101" w:type="dxa"/>
            </w:tcMar>
            <w:vAlign w:val="bottom"/>
          </w:tcPr>
          <w:p w14:paraId="13B7C927" w14:textId="77777777" w:rsidR="003F0EEA" w:rsidRPr="009E3D0F" w:rsidRDefault="003F0EEA">
            <w:pPr>
              <w:rPr>
                <w:rFonts w:ascii="Arial" w:eastAsia="Arial" w:hAnsi="Arial" w:cs="Arial"/>
                <w:color w:val="000000"/>
                <w:sz w:val="16"/>
                <w:szCs w:val="18"/>
              </w:rPr>
            </w:pPr>
          </w:p>
        </w:tc>
        <w:tc>
          <w:tcPr>
            <w:tcW w:w="0" w:type="auto"/>
            <w:tcBorders>
              <w:top w:val="nil"/>
              <w:left w:val="nil"/>
              <w:bottom w:val="nil"/>
              <w:right w:val="nil"/>
              <w:tl2br w:val="nil"/>
              <w:tr2bl w:val="nil"/>
            </w:tcBorders>
            <w:shd w:val="clear" w:color="auto" w:fill="FFFFFF"/>
            <w:tcMar>
              <w:left w:w="101" w:type="dxa"/>
              <w:right w:w="101" w:type="dxa"/>
            </w:tcMar>
            <w:vAlign w:val="bottom"/>
          </w:tcPr>
          <w:p w14:paraId="0CAC8AE1" w14:textId="77777777" w:rsidR="003F0EEA" w:rsidRPr="009E3D0F" w:rsidRDefault="003F0EEA">
            <w:pPr>
              <w:rPr>
                <w:rFonts w:ascii="Arial" w:eastAsia="Arial" w:hAnsi="Arial" w:cs="Arial"/>
                <w:color w:val="000000"/>
                <w:sz w:val="16"/>
                <w:szCs w:val="18"/>
              </w:rPr>
            </w:pPr>
          </w:p>
        </w:tc>
        <w:tc>
          <w:tcPr>
            <w:tcW w:w="0" w:type="auto"/>
            <w:tcBorders>
              <w:top w:val="nil"/>
              <w:left w:val="nil"/>
              <w:bottom w:val="nil"/>
              <w:right w:val="nil"/>
              <w:tl2br w:val="nil"/>
              <w:tr2bl w:val="nil"/>
            </w:tcBorders>
            <w:shd w:val="clear" w:color="auto" w:fill="FFFFFF"/>
            <w:tcMar>
              <w:left w:w="101" w:type="dxa"/>
              <w:right w:w="101" w:type="dxa"/>
            </w:tcMar>
            <w:vAlign w:val="bottom"/>
          </w:tcPr>
          <w:p w14:paraId="52588592" w14:textId="77777777" w:rsidR="003F0EEA" w:rsidRPr="009E3D0F" w:rsidRDefault="00FB7D0B">
            <w:pPr>
              <w:rPr>
                <w:rFonts w:ascii="Arial" w:eastAsia="Arial" w:hAnsi="Arial" w:cs="Arial"/>
                <w:color w:val="000000"/>
                <w:sz w:val="16"/>
                <w:szCs w:val="18"/>
              </w:rPr>
            </w:pPr>
            <w:r w:rsidRPr="009E3D0F">
              <w:rPr>
                <w:rFonts w:ascii="Arial" w:eastAsia="Arial" w:hAnsi="Arial" w:cs="Arial"/>
                <w:color w:val="000000"/>
                <w:sz w:val="16"/>
                <w:szCs w:val="18"/>
              </w:rPr>
              <w:t>Non-institutional care - products</w:t>
            </w:r>
          </w:p>
        </w:tc>
        <w:tc>
          <w:tcPr>
            <w:tcW w:w="0" w:type="auto"/>
            <w:tcBorders>
              <w:top w:val="nil"/>
              <w:left w:val="nil"/>
              <w:bottom w:val="nil"/>
              <w:right w:val="nil"/>
              <w:tl2br w:val="nil"/>
              <w:tr2bl w:val="nil"/>
            </w:tcBorders>
            <w:shd w:val="clear" w:color="auto" w:fill="FFFFFF"/>
            <w:tcMar>
              <w:left w:w="101" w:type="dxa"/>
              <w:right w:w="101" w:type="dxa"/>
            </w:tcMar>
            <w:vAlign w:val="bottom"/>
          </w:tcPr>
          <w:p w14:paraId="290915D8" w14:textId="77777777" w:rsidR="003F0EEA" w:rsidRPr="009E3D0F" w:rsidRDefault="00FB7D0B">
            <w:pPr>
              <w:jc w:val="right"/>
              <w:rPr>
                <w:rFonts w:ascii="Arial" w:eastAsia="Arial" w:hAnsi="Arial" w:cs="Arial"/>
                <w:color w:val="000000"/>
                <w:sz w:val="16"/>
                <w:szCs w:val="18"/>
                <w:vertAlign w:val="superscript"/>
              </w:rPr>
            </w:pPr>
            <w:r w:rsidRPr="009E3D0F">
              <w:rPr>
                <w:rFonts w:ascii="Arial" w:eastAsia="Arial" w:hAnsi="Arial" w:cs="Arial"/>
                <w:color w:val="000000"/>
                <w:sz w:val="16"/>
                <w:szCs w:val="18"/>
              </w:rPr>
              <w:t xml:space="preserve"> 62,354 </w:t>
            </w:r>
          </w:p>
        </w:tc>
        <w:tc>
          <w:tcPr>
            <w:tcW w:w="0" w:type="auto"/>
            <w:tcBorders>
              <w:top w:val="nil"/>
              <w:left w:val="nil"/>
              <w:bottom w:val="nil"/>
              <w:right w:val="nil"/>
              <w:tl2br w:val="nil"/>
              <w:tr2bl w:val="nil"/>
            </w:tcBorders>
            <w:shd w:val="clear" w:color="auto" w:fill="FFFF00"/>
            <w:tcMar>
              <w:left w:w="101" w:type="dxa"/>
              <w:right w:w="101" w:type="dxa"/>
            </w:tcMar>
            <w:vAlign w:val="bottom"/>
          </w:tcPr>
          <w:p w14:paraId="5C97D735" w14:textId="77777777" w:rsidR="003F0EEA" w:rsidRPr="009E3D0F" w:rsidRDefault="00FB7D0B">
            <w:pPr>
              <w:jc w:val="right"/>
              <w:rPr>
                <w:rFonts w:ascii="Arial" w:eastAsia="Arial" w:hAnsi="Arial" w:cs="Arial"/>
                <w:color w:val="000000"/>
                <w:sz w:val="16"/>
                <w:szCs w:val="18"/>
              </w:rPr>
            </w:pPr>
            <w:r w:rsidRPr="009E3D0F">
              <w:rPr>
                <w:rFonts w:ascii="Arial" w:eastAsia="Arial" w:hAnsi="Arial" w:cs="Arial"/>
                <w:color w:val="000000"/>
                <w:sz w:val="16"/>
                <w:szCs w:val="18"/>
              </w:rPr>
              <w:t xml:space="preserve"> 59,607 </w:t>
            </w:r>
          </w:p>
        </w:tc>
        <w:tc>
          <w:tcPr>
            <w:tcW w:w="0" w:type="auto"/>
            <w:tcBorders>
              <w:top w:val="nil"/>
              <w:left w:val="nil"/>
              <w:bottom w:val="nil"/>
              <w:right w:val="nil"/>
              <w:tl2br w:val="nil"/>
              <w:tr2bl w:val="nil"/>
            </w:tcBorders>
            <w:shd w:val="clear" w:color="auto" w:fill="FFFFFF"/>
            <w:tcMar>
              <w:left w:w="101" w:type="dxa"/>
              <w:right w:w="101" w:type="dxa"/>
            </w:tcMar>
            <w:vAlign w:val="bottom"/>
          </w:tcPr>
          <w:p w14:paraId="482800FE" w14:textId="77777777" w:rsidR="003F0EEA" w:rsidRPr="009E3D0F" w:rsidRDefault="00FB7D0B">
            <w:pPr>
              <w:jc w:val="right"/>
              <w:rPr>
                <w:rFonts w:ascii="Arial" w:eastAsia="Arial" w:hAnsi="Arial" w:cs="Arial"/>
                <w:color w:val="000000"/>
                <w:sz w:val="16"/>
                <w:szCs w:val="18"/>
              </w:rPr>
            </w:pPr>
            <w:r w:rsidRPr="009E3D0F">
              <w:rPr>
                <w:rFonts w:ascii="Arial" w:eastAsia="Arial" w:hAnsi="Arial" w:cs="Arial"/>
                <w:color w:val="000000"/>
                <w:sz w:val="16"/>
                <w:szCs w:val="18"/>
              </w:rPr>
              <w:t xml:space="preserve"> 56,778 </w:t>
            </w:r>
          </w:p>
        </w:tc>
        <w:tc>
          <w:tcPr>
            <w:tcW w:w="0" w:type="auto"/>
            <w:tcBorders>
              <w:top w:val="nil"/>
              <w:left w:val="nil"/>
              <w:bottom w:val="nil"/>
              <w:right w:val="nil"/>
              <w:tl2br w:val="nil"/>
              <w:tr2bl w:val="nil"/>
            </w:tcBorders>
            <w:shd w:val="clear" w:color="auto" w:fill="FFFFFF"/>
            <w:tcMar>
              <w:left w:w="101" w:type="dxa"/>
              <w:right w:w="101" w:type="dxa"/>
            </w:tcMar>
            <w:vAlign w:val="bottom"/>
          </w:tcPr>
          <w:p w14:paraId="41BAE9F6" w14:textId="77777777" w:rsidR="003F0EEA" w:rsidRPr="009E3D0F" w:rsidRDefault="00FB7D0B">
            <w:pPr>
              <w:jc w:val="right"/>
              <w:rPr>
                <w:rFonts w:ascii="Arial" w:eastAsia="Arial" w:hAnsi="Arial" w:cs="Arial"/>
                <w:color w:val="000000"/>
                <w:sz w:val="16"/>
                <w:szCs w:val="18"/>
              </w:rPr>
            </w:pPr>
            <w:r w:rsidRPr="009E3D0F">
              <w:rPr>
                <w:rFonts w:ascii="Arial" w:eastAsia="Arial" w:hAnsi="Arial" w:cs="Arial"/>
                <w:color w:val="000000"/>
                <w:sz w:val="16"/>
                <w:szCs w:val="18"/>
              </w:rPr>
              <w:t xml:space="preserve"> 54,631 </w:t>
            </w:r>
          </w:p>
        </w:tc>
        <w:tc>
          <w:tcPr>
            <w:tcW w:w="0" w:type="auto"/>
            <w:tcBorders>
              <w:top w:val="nil"/>
              <w:left w:val="nil"/>
              <w:bottom w:val="nil"/>
              <w:right w:val="single" w:sz="6" w:space="0" w:color="000000"/>
              <w:tl2br w:val="nil"/>
              <w:tr2bl w:val="nil"/>
            </w:tcBorders>
            <w:shd w:val="clear" w:color="auto" w:fill="FFFFFF"/>
            <w:tcMar>
              <w:left w:w="101" w:type="dxa"/>
              <w:right w:w="101" w:type="dxa"/>
            </w:tcMar>
            <w:vAlign w:val="bottom"/>
          </w:tcPr>
          <w:p w14:paraId="3AAE6C77" w14:textId="77777777" w:rsidR="003F0EEA" w:rsidRPr="009E3D0F" w:rsidRDefault="00FB7D0B">
            <w:pPr>
              <w:jc w:val="right"/>
              <w:rPr>
                <w:rFonts w:ascii="Arial" w:eastAsia="Arial" w:hAnsi="Arial" w:cs="Arial"/>
                <w:color w:val="000000"/>
                <w:sz w:val="16"/>
                <w:szCs w:val="18"/>
              </w:rPr>
            </w:pPr>
            <w:r w:rsidRPr="009E3D0F">
              <w:rPr>
                <w:rFonts w:ascii="Arial" w:eastAsia="Arial" w:hAnsi="Arial" w:cs="Arial"/>
                <w:color w:val="000000"/>
                <w:sz w:val="16"/>
                <w:szCs w:val="18"/>
              </w:rPr>
              <w:t xml:space="preserve"> 53,102 </w:t>
            </w:r>
          </w:p>
        </w:tc>
      </w:tr>
      <w:tr w:rsidR="00724034" w14:paraId="7E6D4AD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10" w:type="dxa"/>
          <w:trHeight w:val="225"/>
        </w:trPr>
        <w:tc>
          <w:tcPr>
            <w:tcW w:w="0" w:type="auto"/>
            <w:tcBorders>
              <w:top w:val="nil"/>
              <w:left w:val="single" w:sz="6" w:space="0" w:color="000000"/>
              <w:bottom w:val="nil"/>
              <w:right w:val="nil"/>
              <w:tl2br w:val="nil"/>
              <w:tr2bl w:val="nil"/>
            </w:tcBorders>
            <w:shd w:val="clear" w:color="auto" w:fill="FFFFFF"/>
            <w:tcMar>
              <w:left w:w="101" w:type="dxa"/>
              <w:right w:w="101" w:type="dxa"/>
            </w:tcMar>
            <w:vAlign w:val="bottom"/>
          </w:tcPr>
          <w:p w14:paraId="7108D5C2" w14:textId="77777777" w:rsidR="003F0EEA" w:rsidRPr="009E3D0F" w:rsidRDefault="003F0EEA">
            <w:pPr>
              <w:rPr>
                <w:rFonts w:ascii="Arial" w:eastAsia="Arial" w:hAnsi="Arial" w:cs="Arial"/>
                <w:color w:val="000000"/>
                <w:sz w:val="16"/>
                <w:szCs w:val="18"/>
              </w:rPr>
            </w:pPr>
          </w:p>
        </w:tc>
        <w:tc>
          <w:tcPr>
            <w:tcW w:w="0" w:type="auto"/>
            <w:tcBorders>
              <w:top w:val="nil"/>
              <w:left w:val="nil"/>
              <w:bottom w:val="nil"/>
              <w:right w:val="nil"/>
              <w:tl2br w:val="nil"/>
              <w:tr2bl w:val="nil"/>
            </w:tcBorders>
            <w:shd w:val="clear" w:color="auto" w:fill="FFFFFF"/>
            <w:tcMar>
              <w:left w:w="101" w:type="dxa"/>
              <w:right w:w="101" w:type="dxa"/>
            </w:tcMar>
            <w:vAlign w:val="bottom"/>
          </w:tcPr>
          <w:p w14:paraId="7AFD6CA2" w14:textId="77777777" w:rsidR="003F0EEA" w:rsidRPr="009E3D0F" w:rsidRDefault="003F0EEA">
            <w:pPr>
              <w:rPr>
                <w:rFonts w:ascii="Arial" w:eastAsia="Arial" w:hAnsi="Arial" w:cs="Arial"/>
                <w:color w:val="000000"/>
                <w:sz w:val="16"/>
                <w:szCs w:val="18"/>
              </w:rPr>
            </w:pPr>
          </w:p>
        </w:tc>
        <w:tc>
          <w:tcPr>
            <w:tcW w:w="0" w:type="auto"/>
            <w:tcBorders>
              <w:top w:val="nil"/>
              <w:left w:val="nil"/>
              <w:bottom w:val="nil"/>
              <w:right w:val="nil"/>
              <w:tl2br w:val="nil"/>
              <w:tr2bl w:val="nil"/>
            </w:tcBorders>
            <w:shd w:val="clear" w:color="auto" w:fill="FFFFFF"/>
            <w:tcMar>
              <w:left w:w="101" w:type="dxa"/>
              <w:right w:w="101" w:type="dxa"/>
            </w:tcMar>
            <w:vAlign w:val="bottom"/>
          </w:tcPr>
          <w:p w14:paraId="673D781D" w14:textId="77777777" w:rsidR="003F0EEA" w:rsidRPr="009E3D0F" w:rsidRDefault="00FB7D0B">
            <w:pPr>
              <w:rPr>
                <w:rFonts w:ascii="Arial" w:eastAsia="Arial" w:hAnsi="Arial" w:cs="Arial"/>
                <w:color w:val="000000"/>
                <w:sz w:val="16"/>
                <w:szCs w:val="18"/>
              </w:rPr>
            </w:pPr>
            <w:r w:rsidRPr="009E3D0F">
              <w:rPr>
                <w:rFonts w:ascii="Arial" w:eastAsia="Arial" w:hAnsi="Arial" w:cs="Arial"/>
                <w:color w:val="000000"/>
                <w:sz w:val="16"/>
                <w:szCs w:val="18"/>
              </w:rPr>
              <w:t>Rehabilitation appliances</w:t>
            </w:r>
          </w:p>
        </w:tc>
        <w:tc>
          <w:tcPr>
            <w:tcW w:w="0" w:type="auto"/>
            <w:tcBorders>
              <w:top w:val="nil"/>
              <w:left w:val="nil"/>
              <w:bottom w:val="nil"/>
              <w:right w:val="nil"/>
              <w:tl2br w:val="nil"/>
              <w:tr2bl w:val="nil"/>
            </w:tcBorders>
            <w:shd w:val="clear" w:color="auto" w:fill="FFFFFF"/>
            <w:tcMar>
              <w:left w:w="101" w:type="dxa"/>
              <w:right w:w="101" w:type="dxa"/>
            </w:tcMar>
            <w:vAlign w:val="bottom"/>
          </w:tcPr>
          <w:p w14:paraId="3C35D4B7" w14:textId="77777777" w:rsidR="003F0EEA" w:rsidRPr="009E3D0F" w:rsidRDefault="00FB7D0B">
            <w:pPr>
              <w:jc w:val="right"/>
              <w:rPr>
                <w:rFonts w:ascii="Arial" w:eastAsia="Arial" w:hAnsi="Arial" w:cs="Arial"/>
                <w:color w:val="000000"/>
                <w:sz w:val="16"/>
                <w:szCs w:val="18"/>
                <w:vertAlign w:val="superscript"/>
              </w:rPr>
            </w:pPr>
            <w:r w:rsidRPr="009E3D0F">
              <w:rPr>
                <w:rFonts w:ascii="Arial" w:eastAsia="Arial" w:hAnsi="Arial" w:cs="Arial"/>
                <w:color w:val="000000"/>
                <w:sz w:val="16"/>
                <w:szCs w:val="18"/>
              </w:rPr>
              <w:t xml:space="preserve"> 173,500 </w:t>
            </w:r>
          </w:p>
        </w:tc>
        <w:tc>
          <w:tcPr>
            <w:tcW w:w="0" w:type="auto"/>
            <w:tcBorders>
              <w:top w:val="nil"/>
              <w:left w:val="nil"/>
              <w:bottom w:val="nil"/>
              <w:right w:val="nil"/>
              <w:tl2br w:val="nil"/>
              <w:tr2bl w:val="nil"/>
            </w:tcBorders>
            <w:shd w:val="clear" w:color="auto" w:fill="FFFF00"/>
            <w:tcMar>
              <w:left w:w="101" w:type="dxa"/>
              <w:right w:w="101" w:type="dxa"/>
            </w:tcMar>
            <w:vAlign w:val="bottom"/>
          </w:tcPr>
          <w:p w14:paraId="782E44B2" w14:textId="77777777" w:rsidR="003F0EEA" w:rsidRPr="009E3D0F" w:rsidRDefault="00FB7D0B">
            <w:pPr>
              <w:jc w:val="right"/>
              <w:rPr>
                <w:rFonts w:ascii="Arial" w:eastAsia="Arial" w:hAnsi="Arial" w:cs="Arial"/>
                <w:color w:val="000000"/>
                <w:sz w:val="16"/>
                <w:szCs w:val="18"/>
              </w:rPr>
            </w:pPr>
            <w:r w:rsidRPr="009E3D0F">
              <w:rPr>
                <w:rFonts w:ascii="Arial" w:eastAsia="Arial" w:hAnsi="Arial" w:cs="Arial"/>
                <w:color w:val="000000"/>
                <w:sz w:val="16"/>
                <w:szCs w:val="18"/>
              </w:rPr>
              <w:t xml:space="preserve"> 178,500 </w:t>
            </w:r>
          </w:p>
        </w:tc>
        <w:tc>
          <w:tcPr>
            <w:tcW w:w="0" w:type="auto"/>
            <w:tcBorders>
              <w:top w:val="nil"/>
              <w:left w:val="nil"/>
              <w:bottom w:val="nil"/>
              <w:right w:val="nil"/>
              <w:tl2br w:val="nil"/>
              <w:tr2bl w:val="nil"/>
            </w:tcBorders>
            <w:shd w:val="clear" w:color="auto" w:fill="FFFFFF"/>
            <w:tcMar>
              <w:left w:w="101" w:type="dxa"/>
              <w:right w:w="101" w:type="dxa"/>
            </w:tcMar>
            <w:vAlign w:val="bottom"/>
          </w:tcPr>
          <w:p w14:paraId="220E672A" w14:textId="77777777" w:rsidR="003F0EEA" w:rsidRPr="009E3D0F" w:rsidRDefault="00FB7D0B">
            <w:pPr>
              <w:jc w:val="right"/>
              <w:rPr>
                <w:rFonts w:ascii="Arial" w:eastAsia="Arial" w:hAnsi="Arial" w:cs="Arial"/>
                <w:color w:val="000000"/>
                <w:sz w:val="16"/>
                <w:szCs w:val="18"/>
              </w:rPr>
            </w:pPr>
            <w:r w:rsidRPr="009E3D0F">
              <w:rPr>
                <w:rFonts w:ascii="Arial" w:eastAsia="Arial" w:hAnsi="Arial" w:cs="Arial"/>
                <w:color w:val="000000"/>
                <w:sz w:val="16"/>
                <w:szCs w:val="18"/>
              </w:rPr>
              <w:t xml:space="preserve"> 182,479 </w:t>
            </w:r>
          </w:p>
        </w:tc>
        <w:tc>
          <w:tcPr>
            <w:tcW w:w="0" w:type="auto"/>
            <w:tcBorders>
              <w:top w:val="nil"/>
              <w:left w:val="nil"/>
              <w:bottom w:val="nil"/>
              <w:right w:val="nil"/>
              <w:tl2br w:val="nil"/>
              <w:tr2bl w:val="nil"/>
            </w:tcBorders>
            <w:shd w:val="clear" w:color="auto" w:fill="FFFFFF"/>
            <w:tcMar>
              <w:left w:w="101" w:type="dxa"/>
              <w:right w:w="101" w:type="dxa"/>
            </w:tcMar>
            <w:vAlign w:val="bottom"/>
          </w:tcPr>
          <w:p w14:paraId="1D986B89" w14:textId="77777777" w:rsidR="003F0EEA" w:rsidRPr="009E3D0F" w:rsidRDefault="00FB7D0B">
            <w:pPr>
              <w:jc w:val="right"/>
              <w:rPr>
                <w:rFonts w:ascii="Arial" w:eastAsia="Arial" w:hAnsi="Arial" w:cs="Arial"/>
                <w:color w:val="000000"/>
                <w:sz w:val="16"/>
                <w:szCs w:val="18"/>
              </w:rPr>
            </w:pPr>
            <w:r w:rsidRPr="009E3D0F">
              <w:rPr>
                <w:rFonts w:ascii="Arial" w:eastAsia="Arial" w:hAnsi="Arial" w:cs="Arial"/>
                <w:color w:val="000000"/>
                <w:sz w:val="16"/>
                <w:szCs w:val="18"/>
              </w:rPr>
              <w:t xml:space="preserve"> 186,182 </w:t>
            </w:r>
          </w:p>
        </w:tc>
        <w:tc>
          <w:tcPr>
            <w:tcW w:w="0" w:type="auto"/>
            <w:tcBorders>
              <w:top w:val="nil"/>
              <w:left w:val="nil"/>
              <w:bottom w:val="nil"/>
              <w:right w:val="single" w:sz="6" w:space="0" w:color="000000"/>
              <w:tl2br w:val="nil"/>
              <w:tr2bl w:val="nil"/>
            </w:tcBorders>
            <w:shd w:val="clear" w:color="auto" w:fill="FFFFFF"/>
            <w:tcMar>
              <w:left w:w="101" w:type="dxa"/>
              <w:right w:w="101" w:type="dxa"/>
            </w:tcMar>
            <w:vAlign w:val="bottom"/>
          </w:tcPr>
          <w:p w14:paraId="7B621FDD" w14:textId="77777777" w:rsidR="003F0EEA" w:rsidRPr="009E3D0F" w:rsidRDefault="00FB7D0B">
            <w:pPr>
              <w:jc w:val="right"/>
              <w:rPr>
                <w:rFonts w:ascii="Arial" w:eastAsia="Arial" w:hAnsi="Arial" w:cs="Arial"/>
                <w:color w:val="000000"/>
                <w:sz w:val="16"/>
                <w:szCs w:val="18"/>
              </w:rPr>
            </w:pPr>
            <w:r w:rsidRPr="009E3D0F">
              <w:rPr>
                <w:rFonts w:ascii="Arial" w:eastAsia="Arial" w:hAnsi="Arial" w:cs="Arial"/>
                <w:color w:val="000000"/>
                <w:sz w:val="16"/>
                <w:szCs w:val="18"/>
              </w:rPr>
              <w:t xml:space="preserve"> 190,416 </w:t>
            </w:r>
          </w:p>
        </w:tc>
      </w:tr>
      <w:tr w:rsidR="00724034" w14:paraId="092DB04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10" w:type="dxa"/>
          <w:trHeight w:val="255"/>
        </w:trPr>
        <w:tc>
          <w:tcPr>
            <w:tcW w:w="0" w:type="auto"/>
            <w:tcBorders>
              <w:top w:val="nil"/>
              <w:left w:val="single" w:sz="6" w:space="0" w:color="000000"/>
              <w:bottom w:val="nil"/>
              <w:right w:val="nil"/>
              <w:tl2br w:val="nil"/>
              <w:tr2bl w:val="nil"/>
            </w:tcBorders>
            <w:shd w:val="clear" w:color="auto" w:fill="FFFFFF"/>
            <w:tcMar>
              <w:left w:w="101" w:type="dxa"/>
              <w:right w:w="101" w:type="dxa"/>
            </w:tcMar>
            <w:vAlign w:val="bottom"/>
          </w:tcPr>
          <w:p w14:paraId="41DDB137" w14:textId="77777777" w:rsidR="003F0EEA" w:rsidRPr="009E3D0F" w:rsidRDefault="003F0EEA">
            <w:pPr>
              <w:rPr>
                <w:rFonts w:ascii="Arial" w:eastAsia="Arial" w:hAnsi="Arial" w:cs="Arial"/>
                <w:color w:val="000000"/>
                <w:sz w:val="16"/>
                <w:szCs w:val="18"/>
              </w:rPr>
            </w:pPr>
          </w:p>
        </w:tc>
        <w:tc>
          <w:tcPr>
            <w:tcW w:w="0" w:type="auto"/>
            <w:tcBorders>
              <w:top w:val="nil"/>
              <w:left w:val="nil"/>
              <w:bottom w:val="nil"/>
              <w:right w:val="nil"/>
              <w:tl2br w:val="nil"/>
              <w:tr2bl w:val="nil"/>
            </w:tcBorders>
            <w:shd w:val="clear" w:color="auto" w:fill="FFFFFF"/>
            <w:tcMar>
              <w:left w:w="101" w:type="dxa"/>
              <w:right w:w="101" w:type="dxa"/>
            </w:tcMar>
            <w:vAlign w:val="bottom"/>
          </w:tcPr>
          <w:p w14:paraId="70E455FB" w14:textId="77777777" w:rsidR="003F0EEA" w:rsidRPr="009E3D0F" w:rsidRDefault="003F0EEA">
            <w:pPr>
              <w:rPr>
                <w:rFonts w:ascii="Arial" w:eastAsia="Arial" w:hAnsi="Arial" w:cs="Arial"/>
                <w:color w:val="000000"/>
                <w:sz w:val="16"/>
                <w:szCs w:val="18"/>
              </w:rPr>
            </w:pPr>
          </w:p>
        </w:tc>
        <w:tc>
          <w:tcPr>
            <w:tcW w:w="0" w:type="auto"/>
            <w:tcBorders>
              <w:top w:val="nil"/>
              <w:left w:val="nil"/>
              <w:bottom w:val="nil"/>
              <w:right w:val="nil"/>
              <w:tl2br w:val="nil"/>
              <w:tr2bl w:val="nil"/>
            </w:tcBorders>
            <w:shd w:val="clear" w:color="auto" w:fill="FFFFFF"/>
            <w:tcMar>
              <w:left w:w="101" w:type="dxa"/>
              <w:right w:w="101" w:type="dxa"/>
            </w:tcMar>
            <w:vAlign w:val="bottom"/>
          </w:tcPr>
          <w:p w14:paraId="02C37792" w14:textId="77777777" w:rsidR="003F0EEA" w:rsidRPr="009E3D0F" w:rsidRDefault="00FB7D0B">
            <w:pPr>
              <w:rPr>
                <w:rFonts w:ascii="Arial" w:eastAsia="Arial" w:hAnsi="Arial" w:cs="Arial"/>
                <w:color w:val="000000"/>
                <w:sz w:val="16"/>
                <w:szCs w:val="18"/>
              </w:rPr>
            </w:pPr>
            <w:r w:rsidRPr="009E3D0F">
              <w:rPr>
                <w:rFonts w:ascii="Arial" w:eastAsia="Arial" w:hAnsi="Arial" w:cs="Arial"/>
                <w:color w:val="000000"/>
                <w:sz w:val="16"/>
                <w:szCs w:val="18"/>
              </w:rPr>
              <w:t>Health treatment for BCAL veterans</w:t>
            </w:r>
          </w:p>
        </w:tc>
        <w:tc>
          <w:tcPr>
            <w:tcW w:w="0" w:type="auto"/>
            <w:tcBorders>
              <w:top w:val="nil"/>
              <w:left w:val="nil"/>
              <w:bottom w:val="nil"/>
              <w:right w:val="nil"/>
              <w:tl2br w:val="nil"/>
              <w:tr2bl w:val="nil"/>
            </w:tcBorders>
            <w:shd w:val="clear" w:color="auto" w:fill="FFFFFF"/>
            <w:tcMar>
              <w:left w:w="101" w:type="dxa"/>
              <w:right w:w="101" w:type="dxa"/>
            </w:tcMar>
            <w:vAlign w:val="bottom"/>
          </w:tcPr>
          <w:p w14:paraId="1FCED968" w14:textId="77777777" w:rsidR="003F0EEA" w:rsidRPr="009E3D0F" w:rsidRDefault="00FB7D0B">
            <w:pPr>
              <w:jc w:val="right"/>
              <w:rPr>
                <w:rFonts w:ascii="Arial" w:eastAsia="Arial" w:hAnsi="Arial" w:cs="Arial"/>
                <w:color w:val="000000"/>
                <w:sz w:val="16"/>
                <w:szCs w:val="18"/>
                <w:vertAlign w:val="superscript"/>
              </w:rPr>
            </w:pPr>
            <w:r w:rsidRPr="009E3D0F">
              <w:rPr>
                <w:rFonts w:ascii="Arial" w:eastAsia="Arial" w:hAnsi="Arial" w:cs="Arial"/>
                <w:color w:val="000000"/>
                <w:sz w:val="16"/>
                <w:szCs w:val="18"/>
              </w:rPr>
              <w:t xml:space="preserve"> 9,624 </w:t>
            </w:r>
          </w:p>
        </w:tc>
        <w:tc>
          <w:tcPr>
            <w:tcW w:w="0" w:type="auto"/>
            <w:tcBorders>
              <w:top w:val="nil"/>
              <w:left w:val="nil"/>
              <w:bottom w:val="nil"/>
              <w:right w:val="nil"/>
              <w:tl2br w:val="nil"/>
              <w:tr2bl w:val="nil"/>
            </w:tcBorders>
            <w:shd w:val="clear" w:color="auto" w:fill="FFFF00"/>
            <w:tcMar>
              <w:left w:w="101" w:type="dxa"/>
              <w:right w:w="101" w:type="dxa"/>
            </w:tcMar>
            <w:vAlign w:val="bottom"/>
          </w:tcPr>
          <w:p w14:paraId="5D773B8E" w14:textId="77777777" w:rsidR="003F0EEA" w:rsidRPr="009E3D0F" w:rsidRDefault="00FB7D0B">
            <w:pPr>
              <w:jc w:val="right"/>
              <w:rPr>
                <w:rFonts w:ascii="Arial" w:eastAsia="Arial" w:hAnsi="Arial" w:cs="Arial"/>
                <w:color w:val="000000"/>
                <w:sz w:val="16"/>
                <w:szCs w:val="18"/>
              </w:rPr>
            </w:pPr>
            <w:r w:rsidRPr="009E3D0F">
              <w:rPr>
                <w:rFonts w:ascii="Arial" w:eastAsia="Arial" w:hAnsi="Arial" w:cs="Arial"/>
                <w:color w:val="000000"/>
                <w:sz w:val="16"/>
                <w:szCs w:val="18"/>
              </w:rPr>
              <w:t xml:space="preserve"> 9,615 </w:t>
            </w:r>
          </w:p>
        </w:tc>
        <w:tc>
          <w:tcPr>
            <w:tcW w:w="0" w:type="auto"/>
            <w:tcBorders>
              <w:top w:val="nil"/>
              <w:left w:val="nil"/>
              <w:bottom w:val="nil"/>
              <w:right w:val="nil"/>
              <w:tl2br w:val="nil"/>
              <w:tr2bl w:val="nil"/>
            </w:tcBorders>
            <w:shd w:val="clear" w:color="auto" w:fill="FFFFFF"/>
            <w:tcMar>
              <w:left w:w="101" w:type="dxa"/>
              <w:right w:w="101" w:type="dxa"/>
            </w:tcMar>
            <w:vAlign w:val="bottom"/>
          </w:tcPr>
          <w:p w14:paraId="4234A016" w14:textId="77777777" w:rsidR="003F0EEA" w:rsidRPr="009E3D0F" w:rsidRDefault="00FB7D0B">
            <w:pPr>
              <w:jc w:val="right"/>
              <w:rPr>
                <w:rFonts w:ascii="Arial" w:eastAsia="Arial" w:hAnsi="Arial" w:cs="Arial"/>
                <w:color w:val="000000"/>
                <w:sz w:val="16"/>
                <w:szCs w:val="18"/>
              </w:rPr>
            </w:pPr>
            <w:r w:rsidRPr="009E3D0F">
              <w:rPr>
                <w:rFonts w:ascii="Arial" w:eastAsia="Arial" w:hAnsi="Arial" w:cs="Arial"/>
                <w:color w:val="000000"/>
                <w:sz w:val="16"/>
                <w:szCs w:val="18"/>
              </w:rPr>
              <w:t xml:space="preserve"> 9,587 </w:t>
            </w:r>
          </w:p>
        </w:tc>
        <w:tc>
          <w:tcPr>
            <w:tcW w:w="0" w:type="auto"/>
            <w:tcBorders>
              <w:top w:val="nil"/>
              <w:left w:val="nil"/>
              <w:bottom w:val="nil"/>
              <w:right w:val="nil"/>
              <w:tl2br w:val="nil"/>
              <w:tr2bl w:val="nil"/>
            </w:tcBorders>
            <w:shd w:val="clear" w:color="auto" w:fill="FFFFFF"/>
            <w:tcMar>
              <w:left w:w="101" w:type="dxa"/>
              <w:right w:w="101" w:type="dxa"/>
            </w:tcMar>
            <w:vAlign w:val="bottom"/>
          </w:tcPr>
          <w:p w14:paraId="77EE3C3D" w14:textId="77777777" w:rsidR="003F0EEA" w:rsidRPr="009E3D0F" w:rsidRDefault="00FB7D0B">
            <w:pPr>
              <w:jc w:val="right"/>
              <w:rPr>
                <w:rFonts w:ascii="Arial" w:eastAsia="Arial" w:hAnsi="Arial" w:cs="Arial"/>
                <w:color w:val="000000"/>
                <w:sz w:val="16"/>
                <w:szCs w:val="18"/>
              </w:rPr>
            </w:pPr>
            <w:r w:rsidRPr="009E3D0F">
              <w:rPr>
                <w:rFonts w:ascii="Arial" w:eastAsia="Arial" w:hAnsi="Arial" w:cs="Arial"/>
                <w:color w:val="000000"/>
                <w:sz w:val="16"/>
                <w:szCs w:val="18"/>
              </w:rPr>
              <w:t xml:space="preserve"> 9,768 </w:t>
            </w:r>
          </w:p>
        </w:tc>
        <w:tc>
          <w:tcPr>
            <w:tcW w:w="0" w:type="auto"/>
            <w:tcBorders>
              <w:top w:val="nil"/>
              <w:left w:val="nil"/>
              <w:bottom w:val="nil"/>
              <w:right w:val="single" w:sz="6" w:space="0" w:color="000000"/>
              <w:tl2br w:val="nil"/>
              <w:tr2bl w:val="nil"/>
            </w:tcBorders>
            <w:shd w:val="clear" w:color="auto" w:fill="FFFFFF"/>
            <w:tcMar>
              <w:left w:w="101" w:type="dxa"/>
              <w:right w:w="101" w:type="dxa"/>
            </w:tcMar>
            <w:vAlign w:val="bottom"/>
          </w:tcPr>
          <w:p w14:paraId="0989DE9C" w14:textId="77777777" w:rsidR="003F0EEA" w:rsidRPr="009E3D0F" w:rsidRDefault="00FB7D0B">
            <w:pPr>
              <w:jc w:val="right"/>
              <w:rPr>
                <w:rFonts w:ascii="Arial" w:eastAsia="Arial" w:hAnsi="Arial" w:cs="Arial"/>
                <w:color w:val="000000"/>
                <w:sz w:val="16"/>
                <w:szCs w:val="18"/>
              </w:rPr>
            </w:pPr>
            <w:r w:rsidRPr="009E3D0F">
              <w:rPr>
                <w:rFonts w:ascii="Arial" w:eastAsia="Arial" w:hAnsi="Arial" w:cs="Arial"/>
                <w:color w:val="000000"/>
                <w:sz w:val="16"/>
                <w:szCs w:val="18"/>
              </w:rPr>
              <w:t xml:space="preserve"> 10,147 </w:t>
            </w:r>
          </w:p>
        </w:tc>
      </w:tr>
      <w:tr w:rsidR="00FB7D0B" w14:paraId="0BE4353A" w14:textId="77777777" w:rsidTr="00FB7D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10" w:type="dxa"/>
          <w:trHeight w:val="495"/>
        </w:trPr>
        <w:tc>
          <w:tcPr>
            <w:tcW w:w="0" w:type="auto"/>
            <w:tcBorders>
              <w:top w:val="nil"/>
              <w:left w:val="single" w:sz="6" w:space="0" w:color="000000"/>
              <w:bottom w:val="nil"/>
              <w:right w:val="nil"/>
              <w:tl2br w:val="nil"/>
              <w:tr2bl w:val="nil"/>
            </w:tcBorders>
            <w:shd w:val="clear" w:color="auto" w:fill="FFFFFF"/>
            <w:tcMar>
              <w:left w:w="101" w:type="dxa"/>
              <w:right w:w="101" w:type="dxa"/>
            </w:tcMar>
            <w:vAlign w:val="bottom"/>
          </w:tcPr>
          <w:p w14:paraId="38CFA68C" w14:textId="77777777" w:rsidR="003F0EEA" w:rsidRPr="009E3D0F" w:rsidRDefault="003F0EEA">
            <w:pPr>
              <w:rPr>
                <w:rFonts w:ascii="Arial" w:eastAsia="Arial" w:hAnsi="Arial" w:cs="Arial"/>
                <w:color w:val="000000"/>
                <w:sz w:val="16"/>
                <w:szCs w:val="18"/>
              </w:rPr>
            </w:pPr>
          </w:p>
        </w:tc>
        <w:tc>
          <w:tcPr>
            <w:tcW w:w="0" w:type="auto"/>
            <w:gridSpan w:val="2"/>
            <w:tcBorders>
              <w:top w:val="nil"/>
              <w:left w:val="nil"/>
              <w:bottom w:val="nil"/>
              <w:right w:val="nil"/>
              <w:tl2br w:val="nil"/>
              <w:tr2bl w:val="nil"/>
            </w:tcBorders>
            <w:shd w:val="clear" w:color="auto" w:fill="FFFFFF"/>
            <w:tcMar>
              <w:left w:w="101" w:type="dxa"/>
              <w:right w:w="101" w:type="dxa"/>
            </w:tcMar>
            <w:vAlign w:val="bottom"/>
          </w:tcPr>
          <w:p w14:paraId="11352925" w14:textId="77777777" w:rsidR="003F0EEA" w:rsidRPr="009E3D0F" w:rsidRDefault="00FB7D0B">
            <w:pPr>
              <w:rPr>
                <w:rFonts w:ascii="Arial" w:eastAsia="Arial" w:hAnsi="Arial" w:cs="Arial"/>
                <w:color w:val="000000"/>
                <w:sz w:val="16"/>
                <w:szCs w:val="18"/>
              </w:rPr>
            </w:pPr>
            <w:r w:rsidRPr="009E3D0F">
              <w:rPr>
                <w:rFonts w:ascii="Arial" w:eastAsia="Arial" w:hAnsi="Arial" w:cs="Arial"/>
                <w:i/>
                <w:color w:val="000000"/>
                <w:sz w:val="16"/>
                <w:szCs w:val="18"/>
              </w:rPr>
              <w:t>Australian Participants in British Nuclear Tests (Treatment) Act 2006</w:t>
            </w:r>
          </w:p>
        </w:tc>
        <w:tc>
          <w:tcPr>
            <w:tcW w:w="0" w:type="auto"/>
            <w:tcBorders>
              <w:top w:val="nil"/>
              <w:left w:val="nil"/>
              <w:bottom w:val="nil"/>
              <w:right w:val="nil"/>
              <w:tl2br w:val="nil"/>
              <w:tr2bl w:val="nil"/>
            </w:tcBorders>
            <w:shd w:val="clear" w:color="auto" w:fill="FFFFFF"/>
            <w:tcMar>
              <w:left w:w="101" w:type="dxa"/>
              <w:right w:w="101" w:type="dxa"/>
            </w:tcMar>
            <w:vAlign w:val="bottom"/>
          </w:tcPr>
          <w:p w14:paraId="3F783394" w14:textId="77777777" w:rsidR="003F0EEA" w:rsidRPr="009E3D0F" w:rsidRDefault="003F0EEA">
            <w:pPr>
              <w:rPr>
                <w:rFonts w:ascii="Arial" w:eastAsia="Arial" w:hAnsi="Arial" w:cs="Arial"/>
                <w:i/>
                <w:color w:val="000000"/>
                <w:sz w:val="16"/>
                <w:szCs w:val="18"/>
                <w:vertAlign w:val="superscript"/>
              </w:rPr>
            </w:pPr>
          </w:p>
        </w:tc>
        <w:tc>
          <w:tcPr>
            <w:tcW w:w="0" w:type="auto"/>
            <w:tcBorders>
              <w:top w:val="nil"/>
              <w:left w:val="nil"/>
              <w:bottom w:val="nil"/>
              <w:right w:val="nil"/>
              <w:tl2br w:val="nil"/>
              <w:tr2bl w:val="nil"/>
            </w:tcBorders>
            <w:shd w:val="clear" w:color="auto" w:fill="FFFF00"/>
            <w:tcMar>
              <w:left w:w="101" w:type="dxa"/>
              <w:right w:w="101" w:type="dxa"/>
            </w:tcMar>
            <w:vAlign w:val="bottom"/>
          </w:tcPr>
          <w:p w14:paraId="015F8505" w14:textId="77777777" w:rsidR="003F0EEA" w:rsidRPr="009E3D0F" w:rsidRDefault="003F0EEA">
            <w:pPr>
              <w:jc w:val="right"/>
              <w:rPr>
                <w:rFonts w:ascii="Arial" w:eastAsia="Arial" w:hAnsi="Arial" w:cs="Arial"/>
                <w:color w:val="000000"/>
                <w:sz w:val="16"/>
                <w:szCs w:val="18"/>
                <w:vertAlign w:val="superscript"/>
              </w:rPr>
            </w:pPr>
          </w:p>
        </w:tc>
        <w:tc>
          <w:tcPr>
            <w:tcW w:w="0" w:type="auto"/>
            <w:tcBorders>
              <w:top w:val="nil"/>
              <w:left w:val="nil"/>
              <w:bottom w:val="nil"/>
              <w:right w:val="nil"/>
              <w:tl2br w:val="nil"/>
              <w:tr2bl w:val="nil"/>
            </w:tcBorders>
            <w:shd w:val="clear" w:color="auto" w:fill="FFFFFF"/>
            <w:tcMar>
              <w:left w:w="101" w:type="dxa"/>
              <w:right w:w="101" w:type="dxa"/>
            </w:tcMar>
            <w:vAlign w:val="bottom"/>
          </w:tcPr>
          <w:p w14:paraId="487EB289" w14:textId="77777777" w:rsidR="003F0EEA" w:rsidRPr="009E3D0F" w:rsidRDefault="003F0EEA">
            <w:pPr>
              <w:jc w:val="right"/>
              <w:rPr>
                <w:rFonts w:ascii="Arial" w:eastAsia="Arial" w:hAnsi="Arial" w:cs="Arial"/>
                <w:color w:val="000000"/>
                <w:sz w:val="16"/>
                <w:szCs w:val="18"/>
                <w:vertAlign w:val="superscript"/>
              </w:rPr>
            </w:pPr>
          </w:p>
        </w:tc>
        <w:tc>
          <w:tcPr>
            <w:tcW w:w="0" w:type="auto"/>
            <w:tcBorders>
              <w:top w:val="nil"/>
              <w:left w:val="nil"/>
              <w:bottom w:val="nil"/>
              <w:right w:val="nil"/>
              <w:tl2br w:val="nil"/>
              <w:tr2bl w:val="nil"/>
            </w:tcBorders>
            <w:shd w:val="clear" w:color="auto" w:fill="FFFFFF"/>
            <w:tcMar>
              <w:left w:w="101" w:type="dxa"/>
              <w:right w:w="101" w:type="dxa"/>
            </w:tcMar>
            <w:vAlign w:val="bottom"/>
          </w:tcPr>
          <w:p w14:paraId="3F940192" w14:textId="77777777" w:rsidR="003F0EEA" w:rsidRPr="009E3D0F" w:rsidRDefault="003F0EEA">
            <w:pPr>
              <w:jc w:val="right"/>
              <w:rPr>
                <w:rFonts w:ascii="Arial" w:eastAsia="Arial" w:hAnsi="Arial" w:cs="Arial"/>
                <w:color w:val="000000"/>
                <w:sz w:val="16"/>
                <w:szCs w:val="18"/>
                <w:vertAlign w:val="superscript"/>
              </w:rPr>
            </w:pPr>
          </w:p>
        </w:tc>
        <w:tc>
          <w:tcPr>
            <w:tcW w:w="0" w:type="auto"/>
            <w:tcBorders>
              <w:top w:val="nil"/>
              <w:left w:val="nil"/>
              <w:bottom w:val="nil"/>
              <w:right w:val="single" w:sz="6" w:space="0" w:color="000000"/>
              <w:tl2br w:val="nil"/>
              <w:tr2bl w:val="nil"/>
            </w:tcBorders>
            <w:shd w:val="clear" w:color="auto" w:fill="FFFFFF"/>
            <w:tcMar>
              <w:left w:w="101" w:type="dxa"/>
              <w:right w:w="101" w:type="dxa"/>
            </w:tcMar>
            <w:vAlign w:val="bottom"/>
          </w:tcPr>
          <w:p w14:paraId="2C0D0E24" w14:textId="77777777" w:rsidR="003F0EEA" w:rsidRPr="009E3D0F" w:rsidRDefault="003F0EEA">
            <w:pPr>
              <w:jc w:val="right"/>
              <w:rPr>
                <w:rFonts w:ascii="Arial" w:eastAsia="Arial" w:hAnsi="Arial" w:cs="Arial"/>
                <w:color w:val="000000"/>
                <w:sz w:val="16"/>
                <w:szCs w:val="18"/>
                <w:vertAlign w:val="superscript"/>
              </w:rPr>
            </w:pPr>
          </w:p>
        </w:tc>
      </w:tr>
      <w:tr w:rsidR="00724034" w14:paraId="351BE77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10" w:type="dxa"/>
          <w:trHeight w:val="225"/>
        </w:trPr>
        <w:tc>
          <w:tcPr>
            <w:tcW w:w="0" w:type="auto"/>
            <w:tcBorders>
              <w:top w:val="nil"/>
              <w:left w:val="single" w:sz="6" w:space="0" w:color="000000"/>
              <w:bottom w:val="nil"/>
              <w:right w:val="nil"/>
              <w:tl2br w:val="nil"/>
              <w:tr2bl w:val="nil"/>
            </w:tcBorders>
            <w:shd w:val="clear" w:color="auto" w:fill="FFFFFF"/>
            <w:tcMar>
              <w:left w:w="101" w:type="dxa"/>
              <w:right w:w="101" w:type="dxa"/>
            </w:tcMar>
            <w:vAlign w:val="bottom"/>
          </w:tcPr>
          <w:p w14:paraId="4CDAA3BF" w14:textId="77777777" w:rsidR="003F0EEA" w:rsidRPr="009E3D0F" w:rsidRDefault="003F0EEA">
            <w:pPr>
              <w:rPr>
                <w:rFonts w:ascii="Arial" w:eastAsia="Arial" w:hAnsi="Arial" w:cs="Arial"/>
                <w:color w:val="000000"/>
                <w:sz w:val="16"/>
                <w:szCs w:val="18"/>
                <w:vertAlign w:val="superscript"/>
              </w:rPr>
            </w:pPr>
          </w:p>
        </w:tc>
        <w:tc>
          <w:tcPr>
            <w:tcW w:w="0" w:type="auto"/>
            <w:tcBorders>
              <w:top w:val="nil"/>
              <w:left w:val="nil"/>
              <w:bottom w:val="nil"/>
              <w:right w:val="nil"/>
              <w:tl2br w:val="nil"/>
              <w:tr2bl w:val="nil"/>
            </w:tcBorders>
            <w:shd w:val="clear" w:color="auto" w:fill="FFFFFF"/>
            <w:tcMar>
              <w:left w:w="101" w:type="dxa"/>
              <w:right w:w="101" w:type="dxa"/>
            </w:tcMar>
            <w:vAlign w:val="bottom"/>
          </w:tcPr>
          <w:p w14:paraId="7AC8C0A2" w14:textId="77777777" w:rsidR="003F0EEA" w:rsidRPr="009E3D0F" w:rsidRDefault="003F0EEA">
            <w:pPr>
              <w:rPr>
                <w:rFonts w:ascii="Arial" w:eastAsia="Arial" w:hAnsi="Arial" w:cs="Arial"/>
                <w:color w:val="000000"/>
                <w:sz w:val="16"/>
                <w:szCs w:val="18"/>
                <w:vertAlign w:val="superscript"/>
              </w:rPr>
            </w:pPr>
          </w:p>
        </w:tc>
        <w:tc>
          <w:tcPr>
            <w:tcW w:w="0" w:type="auto"/>
            <w:tcBorders>
              <w:top w:val="nil"/>
              <w:left w:val="nil"/>
              <w:bottom w:val="nil"/>
              <w:right w:val="nil"/>
              <w:tl2br w:val="nil"/>
              <w:tr2bl w:val="nil"/>
            </w:tcBorders>
            <w:shd w:val="clear" w:color="auto" w:fill="FFFFFF"/>
            <w:tcMar>
              <w:left w:w="101" w:type="dxa"/>
              <w:right w:w="101" w:type="dxa"/>
            </w:tcMar>
            <w:vAlign w:val="bottom"/>
          </w:tcPr>
          <w:p w14:paraId="0292F66D" w14:textId="77777777" w:rsidR="003F0EEA" w:rsidRPr="009E3D0F" w:rsidRDefault="00FB7D0B">
            <w:pPr>
              <w:rPr>
                <w:rFonts w:ascii="Arial" w:eastAsia="Arial" w:hAnsi="Arial" w:cs="Arial"/>
                <w:color w:val="000000"/>
                <w:sz w:val="16"/>
                <w:szCs w:val="18"/>
                <w:vertAlign w:val="superscript"/>
              </w:rPr>
            </w:pPr>
            <w:r w:rsidRPr="009E3D0F">
              <w:rPr>
                <w:rFonts w:ascii="Arial" w:eastAsia="Arial" w:hAnsi="Arial" w:cs="Arial"/>
                <w:color w:val="000000"/>
                <w:sz w:val="16"/>
                <w:szCs w:val="18"/>
              </w:rPr>
              <w:t>Nuclear test health care payments</w:t>
            </w:r>
          </w:p>
        </w:tc>
        <w:tc>
          <w:tcPr>
            <w:tcW w:w="0" w:type="auto"/>
            <w:tcBorders>
              <w:top w:val="nil"/>
              <w:left w:val="nil"/>
              <w:bottom w:val="nil"/>
              <w:right w:val="nil"/>
              <w:tl2br w:val="nil"/>
              <w:tr2bl w:val="nil"/>
            </w:tcBorders>
            <w:shd w:val="clear" w:color="auto" w:fill="FFFFFF"/>
            <w:tcMar>
              <w:left w:w="101" w:type="dxa"/>
              <w:right w:w="101" w:type="dxa"/>
            </w:tcMar>
            <w:vAlign w:val="bottom"/>
          </w:tcPr>
          <w:p w14:paraId="5B04528B" w14:textId="77777777" w:rsidR="003F0EEA" w:rsidRPr="009E3D0F" w:rsidRDefault="00FB7D0B">
            <w:pPr>
              <w:jc w:val="right"/>
              <w:rPr>
                <w:rFonts w:ascii="Arial" w:eastAsia="Arial" w:hAnsi="Arial" w:cs="Arial"/>
                <w:color w:val="000000"/>
                <w:sz w:val="16"/>
                <w:szCs w:val="18"/>
                <w:vertAlign w:val="superscript"/>
              </w:rPr>
            </w:pPr>
            <w:r w:rsidRPr="009E3D0F">
              <w:rPr>
                <w:rFonts w:ascii="Arial" w:eastAsia="Arial" w:hAnsi="Arial" w:cs="Arial"/>
                <w:color w:val="000000"/>
                <w:sz w:val="16"/>
                <w:szCs w:val="18"/>
              </w:rPr>
              <w:t xml:space="preserve"> 420 </w:t>
            </w:r>
          </w:p>
        </w:tc>
        <w:tc>
          <w:tcPr>
            <w:tcW w:w="0" w:type="auto"/>
            <w:tcBorders>
              <w:top w:val="nil"/>
              <w:left w:val="nil"/>
              <w:bottom w:val="nil"/>
              <w:right w:val="nil"/>
              <w:tl2br w:val="nil"/>
              <w:tr2bl w:val="nil"/>
            </w:tcBorders>
            <w:shd w:val="clear" w:color="auto" w:fill="FFFF00"/>
            <w:tcMar>
              <w:left w:w="101" w:type="dxa"/>
              <w:right w:w="101" w:type="dxa"/>
            </w:tcMar>
            <w:vAlign w:val="bottom"/>
          </w:tcPr>
          <w:p w14:paraId="4FDF7903" w14:textId="77777777" w:rsidR="003F0EEA" w:rsidRPr="009E3D0F" w:rsidRDefault="00FB7D0B">
            <w:pPr>
              <w:jc w:val="right"/>
              <w:rPr>
                <w:rFonts w:ascii="Arial" w:eastAsia="Arial" w:hAnsi="Arial" w:cs="Arial"/>
                <w:color w:val="000000"/>
                <w:sz w:val="16"/>
                <w:szCs w:val="18"/>
              </w:rPr>
            </w:pPr>
            <w:r w:rsidRPr="009E3D0F">
              <w:rPr>
                <w:rFonts w:ascii="Arial" w:eastAsia="Arial" w:hAnsi="Arial" w:cs="Arial"/>
                <w:color w:val="000000"/>
                <w:sz w:val="16"/>
                <w:szCs w:val="18"/>
              </w:rPr>
              <w:t xml:space="preserve"> 421 </w:t>
            </w:r>
          </w:p>
        </w:tc>
        <w:tc>
          <w:tcPr>
            <w:tcW w:w="0" w:type="auto"/>
            <w:tcBorders>
              <w:top w:val="nil"/>
              <w:left w:val="nil"/>
              <w:bottom w:val="nil"/>
              <w:right w:val="nil"/>
              <w:tl2br w:val="nil"/>
              <w:tr2bl w:val="nil"/>
            </w:tcBorders>
            <w:shd w:val="clear" w:color="auto" w:fill="FFFFFF"/>
            <w:tcMar>
              <w:left w:w="101" w:type="dxa"/>
              <w:right w:w="101" w:type="dxa"/>
            </w:tcMar>
            <w:vAlign w:val="bottom"/>
          </w:tcPr>
          <w:p w14:paraId="4B3242C1" w14:textId="77777777" w:rsidR="003F0EEA" w:rsidRPr="009E3D0F" w:rsidRDefault="00FB7D0B">
            <w:pPr>
              <w:jc w:val="right"/>
              <w:rPr>
                <w:rFonts w:ascii="Arial" w:eastAsia="Arial" w:hAnsi="Arial" w:cs="Arial"/>
                <w:color w:val="000000"/>
                <w:sz w:val="16"/>
                <w:szCs w:val="18"/>
              </w:rPr>
            </w:pPr>
            <w:r w:rsidRPr="009E3D0F">
              <w:rPr>
                <w:rFonts w:ascii="Arial" w:eastAsia="Arial" w:hAnsi="Arial" w:cs="Arial"/>
                <w:color w:val="000000"/>
                <w:sz w:val="16"/>
                <w:szCs w:val="18"/>
              </w:rPr>
              <w:t xml:space="preserve"> 420 </w:t>
            </w:r>
          </w:p>
        </w:tc>
        <w:tc>
          <w:tcPr>
            <w:tcW w:w="0" w:type="auto"/>
            <w:tcBorders>
              <w:top w:val="nil"/>
              <w:left w:val="nil"/>
              <w:bottom w:val="nil"/>
              <w:right w:val="nil"/>
              <w:tl2br w:val="nil"/>
              <w:tr2bl w:val="nil"/>
            </w:tcBorders>
            <w:shd w:val="clear" w:color="auto" w:fill="FFFFFF"/>
            <w:tcMar>
              <w:left w:w="101" w:type="dxa"/>
              <w:right w:w="101" w:type="dxa"/>
            </w:tcMar>
            <w:vAlign w:val="bottom"/>
          </w:tcPr>
          <w:p w14:paraId="6237B7B5" w14:textId="77777777" w:rsidR="003F0EEA" w:rsidRPr="009E3D0F" w:rsidRDefault="00FB7D0B">
            <w:pPr>
              <w:jc w:val="right"/>
              <w:rPr>
                <w:rFonts w:ascii="Arial" w:eastAsia="Arial" w:hAnsi="Arial" w:cs="Arial"/>
                <w:color w:val="000000"/>
                <w:sz w:val="16"/>
                <w:szCs w:val="18"/>
              </w:rPr>
            </w:pPr>
            <w:r w:rsidRPr="009E3D0F">
              <w:rPr>
                <w:rFonts w:ascii="Arial" w:eastAsia="Arial" w:hAnsi="Arial" w:cs="Arial"/>
                <w:color w:val="000000"/>
                <w:sz w:val="16"/>
                <w:szCs w:val="18"/>
              </w:rPr>
              <w:t xml:space="preserve"> 418 </w:t>
            </w:r>
          </w:p>
        </w:tc>
        <w:tc>
          <w:tcPr>
            <w:tcW w:w="0" w:type="auto"/>
            <w:tcBorders>
              <w:top w:val="nil"/>
              <w:left w:val="nil"/>
              <w:bottom w:val="nil"/>
              <w:right w:val="single" w:sz="6" w:space="0" w:color="000000"/>
              <w:tl2br w:val="nil"/>
              <w:tr2bl w:val="nil"/>
            </w:tcBorders>
            <w:shd w:val="clear" w:color="auto" w:fill="FFFFFF"/>
            <w:tcMar>
              <w:left w:w="101" w:type="dxa"/>
              <w:right w:w="101" w:type="dxa"/>
            </w:tcMar>
            <w:vAlign w:val="bottom"/>
          </w:tcPr>
          <w:p w14:paraId="0E8F938B" w14:textId="77777777" w:rsidR="003F0EEA" w:rsidRPr="009E3D0F" w:rsidRDefault="00FB7D0B">
            <w:pPr>
              <w:jc w:val="right"/>
              <w:rPr>
                <w:rFonts w:ascii="Arial" w:eastAsia="Arial" w:hAnsi="Arial" w:cs="Arial"/>
                <w:color w:val="000000"/>
                <w:sz w:val="16"/>
                <w:szCs w:val="18"/>
              </w:rPr>
            </w:pPr>
            <w:r w:rsidRPr="009E3D0F">
              <w:rPr>
                <w:rFonts w:ascii="Arial" w:eastAsia="Arial" w:hAnsi="Arial" w:cs="Arial"/>
                <w:color w:val="000000"/>
                <w:sz w:val="16"/>
                <w:szCs w:val="18"/>
              </w:rPr>
              <w:t xml:space="preserve"> 427 </w:t>
            </w:r>
          </w:p>
        </w:tc>
      </w:tr>
      <w:tr w:rsidR="00FB7D0B" w14:paraId="1D85633E" w14:textId="77777777" w:rsidTr="00FB7D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10" w:type="dxa"/>
          <w:trHeight w:val="510"/>
        </w:trPr>
        <w:tc>
          <w:tcPr>
            <w:tcW w:w="0" w:type="auto"/>
            <w:tcBorders>
              <w:top w:val="nil"/>
              <w:left w:val="single" w:sz="6" w:space="0" w:color="000000"/>
              <w:bottom w:val="nil"/>
              <w:right w:val="nil"/>
              <w:tl2br w:val="nil"/>
              <w:tr2bl w:val="nil"/>
            </w:tcBorders>
            <w:shd w:val="clear" w:color="auto" w:fill="FFFFFF"/>
            <w:tcMar>
              <w:left w:w="101" w:type="dxa"/>
              <w:right w:w="101" w:type="dxa"/>
            </w:tcMar>
            <w:vAlign w:val="bottom"/>
          </w:tcPr>
          <w:p w14:paraId="0A8C2511" w14:textId="77777777" w:rsidR="003F0EEA" w:rsidRPr="009E3D0F" w:rsidRDefault="003F0EEA">
            <w:pPr>
              <w:rPr>
                <w:rFonts w:ascii="Arial" w:eastAsia="Arial" w:hAnsi="Arial" w:cs="Arial"/>
                <w:color w:val="000000"/>
                <w:sz w:val="16"/>
                <w:szCs w:val="18"/>
              </w:rPr>
            </w:pPr>
          </w:p>
        </w:tc>
        <w:tc>
          <w:tcPr>
            <w:tcW w:w="0" w:type="auto"/>
            <w:gridSpan w:val="2"/>
            <w:tcBorders>
              <w:top w:val="nil"/>
              <w:left w:val="nil"/>
              <w:bottom w:val="nil"/>
              <w:right w:val="nil"/>
              <w:tl2br w:val="nil"/>
              <w:tr2bl w:val="nil"/>
            </w:tcBorders>
            <w:shd w:val="clear" w:color="auto" w:fill="FFFFFF"/>
            <w:tcMar>
              <w:left w:w="101" w:type="dxa"/>
              <w:right w:w="101" w:type="dxa"/>
            </w:tcMar>
            <w:vAlign w:val="bottom"/>
          </w:tcPr>
          <w:p w14:paraId="3D76A650" w14:textId="77777777" w:rsidR="003F0EEA" w:rsidRPr="009E3D0F" w:rsidRDefault="00FB7D0B">
            <w:pPr>
              <w:rPr>
                <w:rFonts w:ascii="Arial" w:eastAsia="Arial" w:hAnsi="Arial" w:cs="Arial"/>
                <w:color w:val="000000"/>
                <w:sz w:val="16"/>
                <w:szCs w:val="18"/>
              </w:rPr>
            </w:pPr>
            <w:r w:rsidRPr="009E3D0F">
              <w:rPr>
                <w:rFonts w:ascii="Arial" w:eastAsia="Arial" w:hAnsi="Arial" w:cs="Arial"/>
                <w:i/>
                <w:color w:val="000000"/>
                <w:sz w:val="16"/>
                <w:szCs w:val="18"/>
              </w:rPr>
              <w:t>Safety, Rehabilitation and Compensation Act 1988</w:t>
            </w:r>
          </w:p>
        </w:tc>
        <w:tc>
          <w:tcPr>
            <w:tcW w:w="0" w:type="auto"/>
            <w:tcBorders>
              <w:top w:val="nil"/>
              <w:left w:val="nil"/>
              <w:bottom w:val="nil"/>
              <w:right w:val="nil"/>
              <w:tl2br w:val="nil"/>
              <w:tr2bl w:val="nil"/>
            </w:tcBorders>
            <w:shd w:val="clear" w:color="auto" w:fill="FFFFFF"/>
            <w:tcMar>
              <w:left w:w="101" w:type="dxa"/>
              <w:right w:w="101" w:type="dxa"/>
            </w:tcMar>
            <w:vAlign w:val="bottom"/>
          </w:tcPr>
          <w:p w14:paraId="0BD71A31" w14:textId="77777777" w:rsidR="003F0EEA" w:rsidRPr="009E3D0F" w:rsidRDefault="003F0EEA">
            <w:pPr>
              <w:rPr>
                <w:rFonts w:ascii="Arial" w:eastAsia="Arial" w:hAnsi="Arial" w:cs="Arial"/>
                <w:i/>
                <w:color w:val="000000"/>
                <w:sz w:val="16"/>
                <w:szCs w:val="18"/>
                <w:vertAlign w:val="superscript"/>
              </w:rPr>
            </w:pPr>
          </w:p>
        </w:tc>
        <w:tc>
          <w:tcPr>
            <w:tcW w:w="0" w:type="auto"/>
            <w:tcBorders>
              <w:top w:val="nil"/>
              <w:left w:val="nil"/>
              <w:bottom w:val="nil"/>
              <w:right w:val="nil"/>
              <w:tl2br w:val="nil"/>
              <w:tr2bl w:val="nil"/>
            </w:tcBorders>
            <w:shd w:val="clear" w:color="auto" w:fill="FFFF00"/>
            <w:tcMar>
              <w:left w:w="101" w:type="dxa"/>
              <w:right w:w="101" w:type="dxa"/>
            </w:tcMar>
            <w:vAlign w:val="bottom"/>
          </w:tcPr>
          <w:p w14:paraId="56147615" w14:textId="77777777" w:rsidR="003F0EEA" w:rsidRPr="009E3D0F" w:rsidRDefault="003F0EEA">
            <w:pPr>
              <w:jc w:val="right"/>
              <w:rPr>
                <w:rFonts w:ascii="Arial" w:eastAsia="Arial" w:hAnsi="Arial" w:cs="Arial"/>
                <w:color w:val="000000"/>
                <w:sz w:val="16"/>
                <w:szCs w:val="18"/>
                <w:vertAlign w:val="superscript"/>
              </w:rPr>
            </w:pPr>
          </w:p>
        </w:tc>
        <w:tc>
          <w:tcPr>
            <w:tcW w:w="0" w:type="auto"/>
            <w:tcBorders>
              <w:top w:val="nil"/>
              <w:left w:val="nil"/>
              <w:bottom w:val="nil"/>
              <w:right w:val="nil"/>
              <w:tl2br w:val="nil"/>
              <w:tr2bl w:val="nil"/>
            </w:tcBorders>
            <w:shd w:val="clear" w:color="auto" w:fill="FFFFFF"/>
            <w:tcMar>
              <w:left w:w="101" w:type="dxa"/>
              <w:right w:w="101" w:type="dxa"/>
            </w:tcMar>
            <w:vAlign w:val="bottom"/>
          </w:tcPr>
          <w:p w14:paraId="6A02EAE1" w14:textId="77777777" w:rsidR="003F0EEA" w:rsidRPr="009E3D0F" w:rsidRDefault="003F0EEA">
            <w:pPr>
              <w:jc w:val="right"/>
              <w:rPr>
                <w:rFonts w:ascii="Arial" w:eastAsia="Arial" w:hAnsi="Arial" w:cs="Arial"/>
                <w:color w:val="000000"/>
                <w:sz w:val="16"/>
                <w:szCs w:val="18"/>
                <w:vertAlign w:val="superscript"/>
              </w:rPr>
            </w:pPr>
          </w:p>
        </w:tc>
        <w:tc>
          <w:tcPr>
            <w:tcW w:w="0" w:type="auto"/>
            <w:tcBorders>
              <w:top w:val="nil"/>
              <w:left w:val="nil"/>
              <w:bottom w:val="nil"/>
              <w:right w:val="nil"/>
              <w:tl2br w:val="nil"/>
              <w:tr2bl w:val="nil"/>
            </w:tcBorders>
            <w:shd w:val="clear" w:color="auto" w:fill="FFFFFF"/>
            <w:tcMar>
              <w:left w:w="101" w:type="dxa"/>
              <w:right w:w="101" w:type="dxa"/>
            </w:tcMar>
            <w:vAlign w:val="bottom"/>
          </w:tcPr>
          <w:p w14:paraId="0CF99F1F" w14:textId="77777777" w:rsidR="003F0EEA" w:rsidRPr="009E3D0F" w:rsidRDefault="003F0EEA">
            <w:pPr>
              <w:jc w:val="right"/>
              <w:rPr>
                <w:rFonts w:ascii="Arial" w:eastAsia="Arial" w:hAnsi="Arial" w:cs="Arial"/>
                <w:color w:val="000000"/>
                <w:sz w:val="16"/>
                <w:szCs w:val="18"/>
                <w:vertAlign w:val="superscript"/>
              </w:rPr>
            </w:pPr>
          </w:p>
        </w:tc>
        <w:tc>
          <w:tcPr>
            <w:tcW w:w="0" w:type="auto"/>
            <w:tcBorders>
              <w:top w:val="nil"/>
              <w:left w:val="nil"/>
              <w:bottom w:val="nil"/>
              <w:right w:val="single" w:sz="6" w:space="0" w:color="000000"/>
              <w:tl2br w:val="nil"/>
              <w:tr2bl w:val="nil"/>
            </w:tcBorders>
            <w:shd w:val="clear" w:color="auto" w:fill="FFFFFF"/>
            <w:tcMar>
              <w:left w:w="101" w:type="dxa"/>
              <w:right w:w="101" w:type="dxa"/>
            </w:tcMar>
            <w:vAlign w:val="bottom"/>
          </w:tcPr>
          <w:p w14:paraId="5F5A1285" w14:textId="77777777" w:rsidR="003F0EEA" w:rsidRPr="009E3D0F" w:rsidRDefault="003F0EEA">
            <w:pPr>
              <w:jc w:val="right"/>
              <w:rPr>
                <w:rFonts w:ascii="Arial" w:eastAsia="Arial" w:hAnsi="Arial" w:cs="Arial"/>
                <w:color w:val="000000"/>
                <w:sz w:val="16"/>
                <w:szCs w:val="18"/>
                <w:vertAlign w:val="superscript"/>
              </w:rPr>
            </w:pPr>
          </w:p>
        </w:tc>
      </w:tr>
      <w:tr w:rsidR="00724034" w14:paraId="3E794E9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10" w:type="dxa"/>
          <w:trHeight w:val="600"/>
        </w:trPr>
        <w:tc>
          <w:tcPr>
            <w:tcW w:w="0" w:type="auto"/>
            <w:tcBorders>
              <w:top w:val="nil"/>
              <w:left w:val="single" w:sz="6" w:space="0" w:color="000000"/>
              <w:bottom w:val="nil"/>
              <w:right w:val="nil"/>
              <w:tl2br w:val="nil"/>
              <w:tr2bl w:val="nil"/>
            </w:tcBorders>
            <w:shd w:val="clear" w:color="auto" w:fill="FFFFFF"/>
            <w:tcMar>
              <w:left w:w="101" w:type="dxa"/>
              <w:right w:w="101" w:type="dxa"/>
            </w:tcMar>
            <w:vAlign w:val="bottom"/>
          </w:tcPr>
          <w:p w14:paraId="213CFCB8" w14:textId="77777777" w:rsidR="003F0EEA" w:rsidRPr="009E3D0F" w:rsidRDefault="003F0EEA">
            <w:pPr>
              <w:rPr>
                <w:rFonts w:ascii="Arial" w:eastAsia="Arial" w:hAnsi="Arial" w:cs="Arial"/>
                <w:color w:val="000000"/>
                <w:sz w:val="16"/>
                <w:szCs w:val="18"/>
                <w:vertAlign w:val="superscript"/>
              </w:rPr>
            </w:pPr>
          </w:p>
        </w:tc>
        <w:tc>
          <w:tcPr>
            <w:tcW w:w="0" w:type="auto"/>
            <w:tcBorders>
              <w:top w:val="nil"/>
              <w:left w:val="nil"/>
              <w:bottom w:val="nil"/>
              <w:right w:val="nil"/>
              <w:tl2br w:val="nil"/>
              <w:tr2bl w:val="nil"/>
            </w:tcBorders>
            <w:shd w:val="clear" w:color="auto" w:fill="FFFFFF"/>
            <w:tcMar>
              <w:left w:w="101" w:type="dxa"/>
              <w:right w:w="101" w:type="dxa"/>
            </w:tcMar>
            <w:vAlign w:val="bottom"/>
          </w:tcPr>
          <w:p w14:paraId="3BB7E55A" w14:textId="77777777" w:rsidR="003F0EEA" w:rsidRPr="009E3D0F" w:rsidRDefault="003F0EEA">
            <w:pPr>
              <w:rPr>
                <w:rFonts w:ascii="Arial" w:eastAsia="Arial" w:hAnsi="Arial" w:cs="Arial"/>
                <w:color w:val="000000"/>
                <w:sz w:val="16"/>
                <w:szCs w:val="18"/>
                <w:vertAlign w:val="superscript"/>
              </w:rPr>
            </w:pPr>
          </w:p>
        </w:tc>
        <w:tc>
          <w:tcPr>
            <w:tcW w:w="0" w:type="auto"/>
            <w:tcBorders>
              <w:top w:val="nil"/>
              <w:left w:val="nil"/>
              <w:bottom w:val="nil"/>
              <w:right w:val="nil"/>
              <w:tl2br w:val="nil"/>
              <w:tr2bl w:val="nil"/>
            </w:tcBorders>
            <w:shd w:val="clear" w:color="auto" w:fill="FFFFFF"/>
            <w:tcMar>
              <w:left w:w="101" w:type="dxa"/>
              <w:right w:w="101" w:type="dxa"/>
            </w:tcMar>
            <w:vAlign w:val="bottom"/>
          </w:tcPr>
          <w:p w14:paraId="18E6849D" w14:textId="77777777" w:rsidR="003F0EEA" w:rsidRPr="009E3D0F" w:rsidRDefault="00FB7D0B">
            <w:pPr>
              <w:rPr>
                <w:rFonts w:ascii="Arial" w:eastAsia="Arial" w:hAnsi="Arial" w:cs="Arial"/>
                <w:color w:val="000000"/>
                <w:sz w:val="16"/>
                <w:szCs w:val="18"/>
                <w:vertAlign w:val="superscript"/>
              </w:rPr>
            </w:pPr>
            <w:r w:rsidRPr="009E3D0F">
              <w:rPr>
                <w:rFonts w:ascii="Arial" w:eastAsia="Arial" w:hAnsi="Arial" w:cs="Arial"/>
                <w:color w:val="000000"/>
                <w:sz w:val="16"/>
                <w:szCs w:val="18"/>
              </w:rPr>
              <w:t>Health care and rehabilitation for certain AFP personnel with overseas service</w:t>
            </w:r>
          </w:p>
        </w:tc>
        <w:tc>
          <w:tcPr>
            <w:tcW w:w="0" w:type="auto"/>
            <w:tcBorders>
              <w:top w:val="nil"/>
              <w:left w:val="nil"/>
              <w:bottom w:val="nil"/>
              <w:right w:val="nil"/>
              <w:tl2br w:val="nil"/>
              <w:tr2bl w:val="nil"/>
            </w:tcBorders>
            <w:shd w:val="clear" w:color="auto" w:fill="FFFFFF"/>
            <w:tcMar>
              <w:left w:w="101" w:type="dxa"/>
              <w:right w:w="101" w:type="dxa"/>
            </w:tcMar>
            <w:vAlign w:val="bottom"/>
          </w:tcPr>
          <w:p w14:paraId="5E7A497C" w14:textId="77777777" w:rsidR="003F0EEA" w:rsidRPr="009E3D0F" w:rsidRDefault="00FB7D0B">
            <w:pPr>
              <w:jc w:val="right"/>
              <w:rPr>
                <w:rFonts w:ascii="Arial" w:eastAsia="Arial" w:hAnsi="Arial" w:cs="Arial"/>
                <w:color w:val="000000"/>
                <w:sz w:val="16"/>
                <w:szCs w:val="18"/>
                <w:vertAlign w:val="superscript"/>
              </w:rPr>
            </w:pPr>
            <w:r w:rsidRPr="009E3D0F">
              <w:rPr>
                <w:rFonts w:ascii="Arial" w:eastAsia="Arial" w:hAnsi="Arial" w:cs="Arial"/>
                <w:color w:val="000000"/>
                <w:sz w:val="16"/>
                <w:szCs w:val="18"/>
              </w:rPr>
              <w:t xml:space="preserve"> - </w:t>
            </w:r>
          </w:p>
        </w:tc>
        <w:tc>
          <w:tcPr>
            <w:tcW w:w="0" w:type="auto"/>
            <w:tcBorders>
              <w:top w:val="nil"/>
              <w:left w:val="nil"/>
              <w:bottom w:val="nil"/>
              <w:right w:val="nil"/>
              <w:tl2br w:val="nil"/>
              <w:tr2bl w:val="nil"/>
            </w:tcBorders>
            <w:shd w:val="clear" w:color="auto" w:fill="FFFF00"/>
            <w:tcMar>
              <w:left w:w="101" w:type="dxa"/>
              <w:right w:w="101" w:type="dxa"/>
            </w:tcMar>
            <w:vAlign w:val="bottom"/>
          </w:tcPr>
          <w:p w14:paraId="1461FAB5" w14:textId="77777777" w:rsidR="003F0EEA" w:rsidRPr="009E3D0F" w:rsidRDefault="00FB7D0B">
            <w:pPr>
              <w:jc w:val="right"/>
              <w:rPr>
                <w:rFonts w:ascii="Arial" w:eastAsia="Arial" w:hAnsi="Arial" w:cs="Arial"/>
                <w:color w:val="000000"/>
                <w:sz w:val="16"/>
                <w:szCs w:val="18"/>
              </w:rPr>
            </w:pPr>
            <w:r w:rsidRPr="009E3D0F">
              <w:rPr>
                <w:rFonts w:ascii="Arial" w:eastAsia="Arial" w:hAnsi="Arial" w:cs="Arial"/>
                <w:color w:val="000000"/>
                <w:sz w:val="16"/>
                <w:szCs w:val="18"/>
              </w:rPr>
              <w:t xml:space="preserve"> - </w:t>
            </w:r>
          </w:p>
        </w:tc>
        <w:tc>
          <w:tcPr>
            <w:tcW w:w="0" w:type="auto"/>
            <w:tcBorders>
              <w:top w:val="nil"/>
              <w:left w:val="nil"/>
              <w:bottom w:val="nil"/>
              <w:right w:val="nil"/>
              <w:tl2br w:val="nil"/>
              <w:tr2bl w:val="nil"/>
            </w:tcBorders>
            <w:shd w:val="clear" w:color="auto" w:fill="FFFFFF"/>
            <w:tcMar>
              <w:left w:w="101" w:type="dxa"/>
              <w:right w:w="101" w:type="dxa"/>
            </w:tcMar>
            <w:vAlign w:val="bottom"/>
          </w:tcPr>
          <w:p w14:paraId="0DDBB15F" w14:textId="77777777" w:rsidR="003F0EEA" w:rsidRPr="009E3D0F" w:rsidRDefault="00FB7D0B">
            <w:pPr>
              <w:jc w:val="right"/>
              <w:rPr>
                <w:rFonts w:ascii="Arial" w:eastAsia="Arial" w:hAnsi="Arial" w:cs="Arial"/>
                <w:color w:val="000000"/>
                <w:sz w:val="16"/>
                <w:szCs w:val="18"/>
              </w:rPr>
            </w:pPr>
            <w:r w:rsidRPr="009E3D0F">
              <w:rPr>
                <w:rFonts w:ascii="Arial" w:eastAsia="Arial" w:hAnsi="Arial" w:cs="Arial"/>
                <w:color w:val="000000"/>
                <w:sz w:val="16"/>
                <w:szCs w:val="18"/>
              </w:rPr>
              <w:t xml:space="preserve"> - </w:t>
            </w:r>
          </w:p>
        </w:tc>
        <w:tc>
          <w:tcPr>
            <w:tcW w:w="0" w:type="auto"/>
            <w:tcBorders>
              <w:top w:val="nil"/>
              <w:left w:val="nil"/>
              <w:bottom w:val="nil"/>
              <w:right w:val="nil"/>
              <w:tl2br w:val="nil"/>
              <w:tr2bl w:val="nil"/>
            </w:tcBorders>
            <w:shd w:val="clear" w:color="auto" w:fill="FFFFFF"/>
            <w:tcMar>
              <w:left w:w="101" w:type="dxa"/>
              <w:right w:w="101" w:type="dxa"/>
            </w:tcMar>
            <w:vAlign w:val="bottom"/>
          </w:tcPr>
          <w:p w14:paraId="40304528" w14:textId="77777777" w:rsidR="003F0EEA" w:rsidRPr="009E3D0F" w:rsidRDefault="00FB7D0B">
            <w:pPr>
              <w:jc w:val="right"/>
              <w:rPr>
                <w:rFonts w:ascii="Arial" w:eastAsia="Arial" w:hAnsi="Arial" w:cs="Arial"/>
                <w:color w:val="000000"/>
                <w:sz w:val="16"/>
                <w:szCs w:val="18"/>
              </w:rPr>
            </w:pPr>
            <w:r w:rsidRPr="009E3D0F">
              <w:rPr>
                <w:rFonts w:ascii="Arial" w:eastAsia="Arial" w:hAnsi="Arial" w:cs="Arial"/>
                <w:color w:val="000000"/>
                <w:sz w:val="16"/>
                <w:szCs w:val="18"/>
              </w:rPr>
              <w:t xml:space="preserve"> - </w:t>
            </w:r>
          </w:p>
        </w:tc>
        <w:tc>
          <w:tcPr>
            <w:tcW w:w="0" w:type="auto"/>
            <w:tcBorders>
              <w:top w:val="nil"/>
              <w:left w:val="nil"/>
              <w:bottom w:val="nil"/>
              <w:right w:val="single" w:sz="6" w:space="0" w:color="000000"/>
              <w:tl2br w:val="nil"/>
              <w:tr2bl w:val="nil"/>
            </w:tcBorders>
            <w:shd w:val="clear" w:color="auto" w:fill="FFFFFF"/>
            <w:tcMar>
              <w:left w:w="101" w:type="dxa"/>
              <w:right w:w="101" w:type="dxa"/>
            </w:tcMar>
            <w:vAlign w:val="bottom"/>
          </w:tcPr>
          <w:p w14:paraId="16D9D97D" w14:textId="77777777" w:rsidR="003F0EEA" w:rsidRPr="009E3D0F" w:rsidRDefault="00FB7D0B">
            <w:pPr>
              <w:jc w:val="right"/>
              <w:rPr>
                <w:rFonts w:ascii="Arial" w:eastAsia="Arial" w:hAnsi="Arial" w:cs="Arial"/>
                <w:color w:val="000000"/>
                <w:sz w:val="16"/>
                <w:szCs w:val="18"/>
              </w:rPr>
            </w:pPr>
            <w:r w:rsidRPr="009E3D0F">
              <w:rPr>
                <w:rFonts w:ascii="Arial" w:eastAsia="Arial" w:hAnsi="Arial" w:cs="Arial"/>
                <w:color w:val="000000"/>
                <w:sz w:val="16"/>
                <w:szCs w:val="18"/>
              </w:rPr>
              <w:t xml:space="preserve"> - </w:t>
            </w:r>
          </w:p>
        </w:tc>
      </w:tr>
      <w:tr w:rsidR="00FB7D0B" w14:paraId="20176408" w14:textId="77777777" w:rsidTr="00FB7D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10" w:type="dxa"/>
          <w:trHeight w:val="225"/>
        </w:trPr>
        <w:tc>
          <w:tcPr>
            <w:tcW w:w="0" w:type="auto"/>
            <w:gridSpan w:val="3"/>
            <w:tcBorders>
              <w:top w:val="nil"/>
              <w:left w:val="single" w:sz="6" w:space="0" w:color="000000"/>
              <w:bottom w:val="nil"/>
              <w:right w:val="nil"/>
              <w:tl2br w:val="nil"/>
              <w:tr2bl w:val="nil"/>
            </w:tcBorders>
            <w:shd w:val="clear" w:color="auto" w:fill="FFFFFF"/>
            <w:tcMar>
              <w:left w:w="101" w:type="dxa"/>
              <w:right w:w="101" w:type="dxa"/>
            </w:tcMar>
            <w:vAlign w:val="bottom"/>
          </w:tcPr>
          <w:p w14:paraId="4EC93AA4" w14:textId="77777777" w:rsidR="003F0EEA" w:rsidRPr="009E3D0F" w:rsidRDefault="00FB7D0B">
            <w:pPr>
              <w:rPr>
                <w:rFonts w:ascii="Arial" w:eastAsia="Arial" w:hAnsi="Arial" w:cs="Arial"/>
                <w:color w:val="000000"/>
                <w:sz w:val="16"/>
                <w:szCs w:val="18"/>
              </w:rPr>
            </w:pPr>
            <w:r w:rsidRPr="009E3D0F">
              <w:rPr>
                <w:rFonts w:ascii="Arial" w:eastAsia="Arial" w:hAnsi="Arial" w:cs="Arial"/>
                <w:color w:val="000000"/>
                <w:sz w:val="16"/>
                <w:szCs w:val="18"/>
              </w:rPr>
              <w:t xml:space="preserve">Special Account Expenses: </w:t>
            </w:r>
          </w:p>
        </w:tc>
        <w:tc>
          <w:tcPr>
            <w:tcW w:w="0" w:type="auto"/>
            <w:tcBorders>
              <w:top w:val="nil"/>
              <w:left w:val="nil"/>
              <w:bottom w:val="nil"/>
              <w:right w:val="nil"/>
              <w:tl2br w:val="nil"/>
              <w:tr2bl w:val="nil"/>
            </w:tcBorders>
            <w:shd w:val="clear" w:color="auto" w:fill="FFFFFF"/>
            <w:tcMar>
              <w:left w:w="101" w:type="dxa"/>
              <w:right w:w="101" w:type="dxa"/>
            </w:tcMar>
            <w:vAlign w:val="bottom"/>
          </w:tcPr>
          <w:p w14:paraId="18DB9779" w14:textId="77777777" w:rsidR="003F0EEA" w:rsidRPr="009E3D0F" w:rsidRDefault="00FB7D0B">
            <w:pPr>
              <w:jc w:val="right"/>
              <w:rPr>
                <w:rFonts w:ascii="Arial" w:eastAsia="Arial" w:hAnsi="Arial" w:cs="Arial"/>
                <w:color w:val="000000"/>
                <w:sz w:val="16"/>
                <w:szCs w:val="18"/>
                <w:vertAlign w:val="superscript"/>
              </w:rPr>
            </w:pPr>
            <w:r w:rsidRPr="009E3D0F">
              <w:rPr>
                <w:rFonts w:ascii="Arial" w:eastAsia="Arial" w:hAnsi="Arial" w:cs="Arial"/>
                <w:color w:val="FFFFFF"/>
                <w:sz w:val="16"/>
                <w:szCs w:val="18"/>
              </w:rPr>
              <w:t xml:space="preserve"> - </w:t>
            </w:r>
          </w:p>
        </w:tc>
        <w:tc>
          <w:tcPr>
            <w:tcW w:w="0" w:type="auto"/>
            <w:tcBorders>
              <w:top w:val="nil"/>
              <w:left w:val="nil"/>
              <w:bottom w:val="nil"/>
              <w:right w:val="nil"/>
              <w:tl2br w:val="nil"/>
              <w:tr2bl w:val="nil"/>
            </w:tcBorders>
            <w:shd w:val="clear" w:color="auto" w:fill="FFFF00"/>
            <w:tcMar>
              <w:left w:w="101" w:type="dxa"/>
              <w:right w:w="101" w:type="dxa"/>
            </w:tcMar>
            <w:vAlign w:val="bottom"/>
          </w:tcPr>
          <w:p w14:paraId="3B4EB408" w14:textId="77777777" w:rsidR="003F0EEA" w:rsidRPr="009E3D0F" w:rsidRDefault="00FB7D0B">
            <w:pPr>
              <w:jc w:val="right"/>
              <w:rPr>
                <w:rFonts w:ascii="Arial" w:eastAsia="Arial" w:hAnsi="Arial" w:cs="Arial"/>
                <w:color w:val="FFFFFF"/>
                <w:sz w:val="16"/>
                <w:szCs w:val="18"/>
              </w:rPr>
            </w:pPr>
            <w:r w:rsidRPr="009E3D0F">
              <w:rPr>
                <w:rFonts w:ascii="Arial" w:eastAsia="Arial" w:hAnsi="Arial" w:cs="Arial"/>
                <w:color w:val="E6E6E6"/>
                <w:sz w:val="16"/>
                <w:szCs w:val="18"/>
              </w:rPr>
              <w:t xml:space="preserve"> - </w:t>
            </w:r>
          </w:p>
        </w:tc>
        <w:tc>
          <w:tcPr>
            <w:tcW w:w="0" w:type="auto"/>
            <w:tcBorders>
              <w:top w:val="nil"/>
              <w:left w:val="nil"/>
              <w:bottom w:val="nil"/>
              <w:right w:val="nil"/>
              <w:tl2br w:val="nil"/>
              <w:tr2bl w:val="nil"/>
            </w:tcBorders>
            <w:shd w:val="clear" w:color="auto" w:fill="FFFFFF"/>
            <w:tcMar>
              <w:left w:w="101" w:type="dxa"/>
              <w:right w:w="101" w:type="dxa"/>
            </w:tcMar>
            <w:vAlign w:val="bottom"/>
          </w:tcPr>
          <w:p w14:paraId="555D5DCA" w14:textId="77777777" w:rsidR="003F0EEA" w:rsidRPr="009E3D0F" w:rsidRDefault="00FB7D0B">
            <w:pPr>
              <w:jc w:val="right"/>
              <w:rPr>
                <w:rFonts w:ascii="Arial" w:eastAsia="Arial" w:hAnsi="Arial" w:cs="Arial"/>
                <w:color w:val="E6E6E6"/>
                <w:sz w:val="16"/>
                <w:szCs w:val="18"/>
              </w:rPr>
            </w:pPr>
            <w:r w:rsidRPr="009E3D0F">
              <w:rPr>
                <w:rFonts w:ascii="Arial" w:eastAsia="Arial" w:hAnsi="Arial" w:cs="Arial"/>
                <w:color w:val="FFFFFF"/>
                <w:sz w:val="16"/>
                <w:szCs w:val="18"/>
              </w:rPr>
              <w:t xml:space="preserve"> - </w:t>
            </w:r>
          </w:p>
        </w:tc>
        <w:tc>
          <w:tcPr>
            <w:tcW w:w="0" w:type="auto"/>
            <w:tcBorders>
              <w:top w:val="nil"/>
              <w:left w:val="nil"/>
              <w:bottom w:val="nil"/>
              <w:right w:val="nil"/>
              <w:tl2br w:val="nil"/>
              <w:tr2bl w:val="nil"/>
            </w:tcBorders>
            <w:shd w:val="clear" w:color="auto" w:fill="FFFFFF"/>
            <w:tcMar>
              <w:left w:w="101" w:type="dxa"/>
              <w:right w:w="101" w:type="dxa"/>
            </w:tcMar>
            <w:vAlign w:val="bottom"/>
          </w:tcPr>
          <w:p w14:paraId="79E3E1C6" w14:textId="77777777" w:rsidR="003F0EEA" w:rsidRPr="009E3D0F" w:rsidRDefault="00FB7D0B">
            <w:pPr>
              <w:jc w:val="right"/>
              <w:rPr>
                <w:rFonts w:ascii="Arial" w:eastAsia="Arial" w:hAnsi="Arial" w:cs="Arial"/>
                <w:color w:val="FFFFFF"/>
                <w:sz w:val="16"/>
                <w:szCs w:val="18"/>
              </w:rPr>
            </w:pPr>
            <w:r w:rsidRPr="009E3D0F">
              <w:rPr>
                <w:rFonts w:ascii="Arial" w:eastAsia="Arial" w:hAnsi="Arial" w:cs="Arial"/>
                <w:color w:val="FFFFFF"/>
                <w:sz w:val="16"/>
                <w:szCs w:val="18"/>
              </w:rPr>
              <w:t xml:space="preserve"> - </w:t>
            </w:r>
          </w:p>
        </w:tc>
        <w:tc>
          <w:tcPr>
            <w:tcW w:w="0" w:type="auto"/>
            <w:tcBorders>
              <w:top w:val="nil"/>
              <w:left w:val="nil"/>
              <w:bottom w:val="nil"/>
              <w:right w:val="single" w:sz="6" w:space="0" w:color="000000"/>
              <w:tl2br w:val="nil"/>
              <w:tr2bl w:val="nil"/>
            </w:tcBorders>
            <w:shd w:val="clear" w:color="auto" w:fill="FFFFFF"/>
            <w:tcMar>
              <w:left w:w="101" w:type="dxa"/>
              <w:right w:w="101" w:type="dxa"/>
            </w:tcMar>
            <w:vAlign w:val="bottom"/>
          </w:tcPr>
          <w:p w14:paraId="36596F80" w14:textId="77777777" w:rsidR="003F0EEA" w:rsidRPr="009E3D0F" w:rsidRDefault="00FB7D0B">
            <w:pPr>
              <w:jc w:val="right"/>
              <w:rPr>
                <w:rFonts w:ascii="Arial" w:eastAsia="Arial" w:hAnsi="Arial" w:cs="Arial"/>
                <w:color w:val="FFFFFF"/>
                <w:sz w:val="16"/>
                <w:szCs w:val="18"/>
              </w:rPr>
            </w:pPr>
            <w:r w:rsidRPr="009E3D0F">
              <w:rPr>
                <w:rFonts w:ascii="Arial" w:eastAsia="Arial" w:hAnsi="Arial" w:cs="Arial"/>
                <w:color w:val="FFFFFF"/>
                <w:sz w:val="16"/>
                <w:szCs w:val="18"/>
              </w:rPr>
              <w:t xml:space="preserve"> - </w:t>
            </w:r>
          </w:p>
        </w:tc>
      </w:tr>
      <w:tr w:rsidR="00FB7D0B" w14:paraId="02B09279" w14:textId="77777777" w:rsidTr="00FB7D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10" w:type="dxa"/>
          <w:trHeight w:val="225"/>
        </w:trPr>
        <w:tc>
          <w:tcPr>
            <w:tcW w:w="0" w:type="auto"/>
            <w:tcBorders>
              <w:top w:val="single" w:sz="6" w:space="0" w:color="FFFFFF"/>
              <w:left w:val="single" w:sz="6" w:space="0" w:color="000000"/>
              <w:bottom w:val="nil"/>
              <w:right w:val="nil"/>
              <w:tl2br w:val="nil"/>
              <w:tr2bl w:val="nil"/>
            </w:tcBorders>
            <w:shd w:val="clear" w:color="auto" w:fill="FFFFFF"/>
            <w:tcMar>
              <w:left w:w="101" w:type="dxa"/>
              <w:right w:w="101" w:type="dxa"/>
            </w:tcMar>
            <w:vAlign w:val="bottom"/>
          </w:tcPr>
          <w:p w14:paraId="3C655B47" w14:textId="77777777" w:rsidR="003F0EEA" w:rsidRPr="009E3D0F" w:rsidRDefault="003F0EEA">
            <w:pPr>
              <w:rPr>
                <w:rFonts w:ascii="Arial" w:eastAsia="Arial" w:hAnsi="Arial" w:cs="Arial"/>
                <w:color w:val="FFFFFF"/>
                <w:sz w:val="16"/>
                <w:szCs w:val="18"/>
              </w:rPr>
            </w:pPr>
          </w:p>
        </w:tc>
        <w:tc>
          <w:tcPr>
            <w:tcW w:w="0" w:type="auto"/>
            <w:gridSpan w:val="2"/>
            <w:vMerge w:val="restart"/>
            <w:tcBorders>
              <w:top w:val="single" w:sz="6" w:space="0" w:color="FFFFFF"/>
              <w:left w:val="nil"/>
              <w:bottom w:val="nil"/>
              <w:right w:val="nil"/>
              <w:tl2br w:val="nil"/>
              <w:tr2bl w:val="nil"/>
            </w:tcBorders>
            <w:shd w:val="clear" w:color="auto" w:fill="FFFFFF"/>
            <w:tcMar>
              <w:left w:w="101" w:type="dxa"/>
              <w:right w:w="101" w:type="dxa"/>
            </w:tcMar>
            <w:vAlign w:val="bottom"/>
          </w:tcPr>
          <w:p w14:paraId="176B7A81" w14:textId="77777777" w:rsidR="003F0EEA" w:rsidRPr="009E3D0F" w:rsidRDefault="00FB7D0B">
            <w:pPr>
              <w:rPr>
                <w:rFonts w:ascii="Arial" w:eastAsia="Arial" w:hAnsi="Arial" w:cs="Arial"/>
                <w:color w:val="000000"/>
                <w:sz w:val="16"/>
                <w:szCs w:val="18"/>
              </w:rPr>
            </w:pPr>
            <w:r w:rsidRPr="009E3D0F">
              <w:rPr>
                <w:rFonts w:ascii="Arial" w:eastAsia="Arial" w:hAnsi="Arial" w:cs="Arial"/>
                <w:i/>
                <w:color w:val="000000"/>
                <w:sz w:val="16"/>
                <w:szCs w:val="18"/>
              </w:rPr>
              <w:t xml:space="preserve">Special Account Name </w:t>
            </w:r>
          </w:p>
        </w:tc>
        <w:tc>
          <w:tcPr>
            <w:tcW w:w="0" w:type="auto"/>
            <w:tcBorders>
              <w:top w:val="nil"/>
              <w:left w:val="nil"/>
              <w:bottom w:val="nil"/>
              <w:right w:val="nil"/>
              <w:tl2br w:val="nil"/>
              <w:tr2bl w:val="nil"/>
            </w:tcBorders>
            <w:shd w:val="clear" w:color="auto" w:fill="FFFFFF"/>
            <w:tcMar>
              <w:left w:w="101" w:type="dxa"/>
              <w:right w:w="101" w:type="dxa"/>
            </w:tcMar>
            <w:vAlign w:val="bottom"/>
          </w:tcPr>
          <w:p w14:paraId="114753D3" w14:textId="77777777" w:rsidR="003F0EEA" w:rsidRPr="009E3D0F" w:rsidRDefault="00FB7D0B">
            <w:pPr>
              <w:jc w:val="right"/>
              <w:rPr>
                <w:rFonts w:ascii="Arial" w:eastAsia="Arial" w:hAnsi="Arial" w:cs="Arial"/>
                <w:i/>
                <w:color w:val="000000"/>
                <w:sz w:val="16"/>
                <w:szCs w:val="18"/>
                <w:vertAlign w:val="superscript"/>
              </w:rPr>
            </w:pPr>
            <w:r w:rsidRPr="009E3D0F">
              <w:rPr>
                <w:rFonts w:ascii="Arial" w:eastAsia="Arial" w:hAnsi="Arial" w:cs="Arial"/>
                <w:color w:val="000000"/>
                <w:sz w:val="16"/>
                <w:szCs w:val="18"/>
              </w:rPr>
              <w:t xml:space="preserve"> - </w:t>
            </w:r>
          </w:p>
        </w:tc>
        <w:tc>
          <w:tcPr>
            <w:tcW w:w="0" w:type="auto"/>
            <w:tcBorders>
              <w:top w:val="nil"/>
              <w:left w:val="nil"/>
              <w:bottom w:val="nil"/>
              <w:right w:val="nil"/>
              <w:tl2br w:val="nil"/>
              <w:tr2bl w:val="nil"/>
            </w:tcBorders>
            <w:shd w:val="clear" w:color="auto" w:fill="FFFF00"/>
            <w:tcMar>
              <w:left w:w="101" w:type="dxa"/>
              <w:right w:w="101" w:type="dxa"/>
            </w:tcMar>
            <w:vAlign w:val="bottom"/>
          </w:tcPr>
          <w:p w14:paraId="78677887" w14:textId="77777777" w:rsidR="003F0EEA" w:rsidRPr="009E3D0F" w:rsidRDefault="00FB7D0B">
            <w:pPr>
              <w:jc w:val="right"/>
              <w:rPr>
                <w:rFonts w:ascii="Arial" w:eastAsia="Arial" w:hAnsi="Arial" w:cs="Arial"/>
                <w:color w:val="000000"/>
                <w:sz w:val="16"/>
                <w:szCs w:val="18"/>
              </w:rPr>
            </w:pPr>
            <w:r w:rsidRPr="009E3D0F">
              <w:rPr>
                <w:rFonts w:ascii="Arial" w:eastAsia="Arial" w:hAnsi="Arial" w:cs="Arial"/>
                <w:color w:val="000000"/>
                <w:sz w:val="16"/>
                <w:szCs w:val="18"/>
              </w:rPr>
              <w:t xml:space="preserve"> - </w:t>
            </w:r>
          </w:p>
        </w:tc>
        <w:tc>
          <w:tcPr>
            <w:tcW w:w="0" w:type="auto"/>
            <w:tcBorders>
              <w:top w:val="nil"/>
              <w:left w:val="nil"/>
              <w:bottom w:val="nil"/>
              <w:right w:val="nil"/>
              <w:tl2br w:val="nil"/>
              <w:tr2bl w:val="nil"/>
            </w:tcBorders>
            <w:shd w:val="clear" w:color="auto" w:fill="FFFFFF"/>
            <w:tcMar>
              <w:left w:w="101" w:type="dxa"/>
              <w:right w:w="101" w:type="dxa"/>
            </w:tcMar>
            <w:vAlign w:val="bottom"/>
          </w:tcPr>
          <w:p w14:paraId="3487B9B2" w14:textId="77777777" w:rsidR="003F0EEA" w:rsidRPr="009E3D0F" w:rsidRDefault="00FB7D0B">
            <w:pPr>
              <w:jc w:val="right"/>
              <w:rPr>
                <w:rFonts w:ascii="Arial" w:eastAsia="Arial" w:hAnsi="Arial" w:cs="Arial"/>
                <w:color w:val="000000"/>
                <w:sz w:val="16"/>
                <w:szCs w:val="18"/>
              </w:rPr>
            </w:pPr>
            <w:r w:rsidRPr="009E3D0F">
              <w:rPr>
                <w:rFonts w:ascii="Arial" w:eastAsia="Arial" w:hAnsi="Arial" w:cs="Arial"/>
                <w:color w:val="000000"/>
                <w:sz w:val="16"/>
                <w:szCs w:val="18"/>
              </w:rPr>
              <w:t xml:space="preserve"> - </w:t>
            </w:r>
          </w:p>
        </w:tc>
        <w:tc>
          <w:tcPr>
            <w:tcW w:w="0" w:type="auto"/>
            <w:tcBorders>
              <w:top w:val="nil"/>
              <w:left w:val="nil"/>
              <w:bottom w:val="nil"/>
              <w:right w:val="nil"/>
              <w:tl2br w:val="nil"/>
              <w:tr2bl w:val="nil"/>
            </w:tcBorders>
            <w:shd w:val="clear" w:color="auto" w:fill="FFFFFF"/>
            <w:tcMar>
              <w:left w:w="101" w:type="dxa"/>
              <w:right w:w="101" w:type="dxa"/>
            </w:tcMar>
            <w:vAlign w:val="bottom"/>
          </w:tcPr>
          <w:p w14:paraId="55EBB5CF" w14:textId="77777777" w:rsidR="003F0EEA" w:rsidRPr="009E3D0F" w:rsidRDefault="00FB7D0B">
            <w:pPr>
              <w:jc w:val="right"/>
              <w:rPr>
                <w:rFonts w:ascii="Arial" w:eastAsia="Arial" w:hAnsi="Arial" w:cs="Arial"/>
                <w:color w:val="000000"/>
                <w:sz w:val="16"/>
                <w:szCs w:val="18"/>
              </w:rPr>
            </w:pPr>
            <w:r w:rsidRPr="009E3D0F">
              <w:rPr>
                <w:rFonts w:ascii="Arial" w:eastAsia="Arial" w:hAnsi="Arial" w:cs="Arial"/>
                <w:color w:val="000000"/>
                <w:sz w:val="16"/>
                <w:szCs w:val="18"/>
              </w:rPr>
              <w:t xml:space="preserve"> - </w:t>
            </w:r>
          </w:p>
        </w:tc>
        <w:tc>
          <w:tcPr>
            <w:tcW w:w="0" w:type="auto"/>
            <w:tcBorders>
              <w:top w:val="nil"/>
              <w:left w:val="nil"/>
              <w:bottom w:val="nil"/>
              <w:right w:val="single" w:sz="6" w:space="0" w:color="000000"/>
              <w:tl2br w:val="nil"/>
              <w:tr2bl w:val="nil"/>
            </w:tcBorders>
            <w:shd w:val="clear" w:color="auto" w:fill="FFFFFF"/>
            <w:tcMar>
              <w:left w:w="101" w:type="dxa"/>
              <w:right w:w="101" w:type="dxa"/>
            </w:tcMar>
            <w:vAlign w:val="bottom"/>
          </w:tcPr>
          <w:p w14:paraId="4EAA9F5D" w14:textId="77777777" w:rsidR="003F0EEA" w:rsidRPr="009E3D0F" w:rsidRDefault="00FB7D0B">
            <w:pPr>
              <w:jc w:val="right"/>
              <w:rPr>
                <w:rFonts w:ascii="Arial" w:eastAsia="Arial" w:hAnsi="Arial" w:cs="Arial"/>
                <w:color w:val="000000"/>
                <w:sz w:val="16"/>
                <w:szCs w:val="18"/>
              </w:rPr>
            </w:pPr>
            <w:r w:rsidRPr="009E3D0F">
              <w:rPr>
                <w:rFonts w:ascii="Arial" w:eastAsia="Arial" w:hAnsi="Arial" w:cs="Arial"/>
                <w:color w:val="000000"/>
                <w:sz w:val="16"/>
                <w:szCs w:val="18"/>
              </w:rPr>
              <w:t xml:space="preserve"> - </w:t>
            </w:r>
          </w:p>
        </w:tc>
      </w:tr>
      <w:tr w:rsidR="00FB7D0B" w14:paraId="52C65D04" w14:textId="77777777" w:rsidTr="00FB7D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10" w:type="dxa"/>
          <w:trHeight w:val="225"/>
        </w:trPr>
        <w:tc>
          <w:tcPr>
            <w:tcW w:w="0" w:type="auto"/>
            <w:gridSpan w:val="3"/>
            <w:tcBorders>
              <w:top w:val="nil"/>
              <w:left w:val="single" w:sz="6" w:space="0" w:color="000000"/>
              <w:bottom w:val="nil"/>
              <w:right w:val="nil"/>
              <w:tl2br w:val="nil"/>
              <w:tr2bl w:val="nil"/>
            </w:tcBorders>
            <w:shd w:val="clear" w:color="auto" w:fill="FFFFFF"/>
            <w:tcMar>
              <w:left w:w="101" w:type="dxa"/>
              <w:right w:w="101" w:type="dxa"/>
            </w:tcMar>
            <w:vAlign w:val="bottom"/>
          </w:tcPr>
          <w:p w14:paraId="4AEFDDB6" w14:textId="77777777" w:rsidR="003F0EEA" w:rsidRPr="009E3D0F" w:rsidRDefault="00FB7D0B">
            <w:pPr>
              <w:rPr>
                <w:rFonts w:ascii="Arial" w:eastAsia="Arial" w:hAnsi="Arial" w:cs="Arial"/>
                <w:color w:val="000000"/>
                <w:sz w:val="16"/>
                <w:szCs w:val="18"/>
              </w:rPr>
            </w:pPr>
            <w:r w:rsidRPr="009E3D0F">
              <w:rPr>
                <w:rFonts w:ascii="Arial" w:eastAsia="Arial" w:hAnsi="Arial" w:cs="Arial"/>
                <w:color w:val="000000"/>
                <w:sz w:val="16"/>
                <w:szCs w:val="18"/>
              </w:rPr>
              <w:t>Programme support</w:t>
            </w:r>
          </w:p>
        </w:tc>
        <w:tc>
          <w:tcPr>
            <w:tcW w:w="0" w:type="auto"/>
            <w:tcBorders>
              <w:top w:val="nil"/>
              <w:left w:val="nil"/>
              <w:bottom w:val="nil"/>
              <w:right w:val="nil"/>
              <w:tl2br w:val="nil"/>
              <w:tr2bl w:val="nil"/>
            </w:tcBorders>
            <w:shd w:val="clear" w:color="auto" w:fill="FFFFFF"/>
            <w:tcMar>
              <w:left w:w="101" w:type="dxa"/>
              <w:right w:w="101" w:type="dxa"/>
            </w:tcMar>
            <w:vAlign w:val="bottom"/>
          </w:tcPr>
          <w:p w14:paraId="6F1959F8" w14:textId="77777777" w:rsidR="003F0EEA" w:rsidRPr="009E3D0F" w:rsidRDefault="00FB7D0B">
            <w:pPr>
              <w:jc w:val="right"/>
              <w:rPr>
                <w:rFonts w:ascii="Arial" w:eastAsia="Arial" w:hAnsi="Arial" w:cs="Arial"/>
                <w:color w:val="000000"/>
                <w:sz w:val="16"/>
                <w:szCs w:val="18"/>
                <w:vertAlign w:val="superscript"/>
              </w:rPr>
            </w:pPr>
            <w:r w:rsidRPr="009E3D0F">
              <w:rPr>
                <w:rFonts w:ascii="Arial" w:eastAsia="Arial" w:hAnsi="Arial" w:cs="Arial"/>
                <w:color w:val="000000"/>
                <w:sz w:val="16"/>
                <w:szCs w:val="18"/>
              </w:rPr>
              <w:t xml:space="preserve"> 44,167 </w:t>
            </w:r>
          </w:p>
        </w:tc>
        <w:tc>
          <w:tcPr>
            <w:tcW w:w="0" w:type="auto"/>
            <w:tcBorders>
              <w:top w:val="nil"/>
              <w:left w:val="nil"/>
              <w:bottom w:val="nil"/>
              <w:right w:val="nil"/>
              <w:tl2br w:val="nil"/>
              <w:tr2bl w:val="nil"/>
            </w:tcBorders>
            <w:shd w:val="clear" w:color="auto" w:fill="FFFF00"/>
            <w:tcMar>
              <w:left w:w="101" w:type="dxa"/>
              <w:right w:w="101" w:type="dxa"/>
            </w:tcMar>
            <w:vAlign w:val="bottom"/>
          </w:tcPr>
          <w:p w14:paraId="3A9D818B" w14:textId="77777777" w:rsidR="003F0EEA" w:rsidRPr="009E3D0F" w:rsidRDefault="00FB7D0B">
            <w:pPr>
              <w:jc w:val="right"/>
              <w:rPr>
                <w:rFonts w:ascii="Arial" w:eastAsia="Arial" w:hAnsi="Arial" w:cs="Arial"/>
                <w:color w:val="000000"/>
                <w:sz w:val="16"/>
                <w:szCs w:val="18"/>
              </w:rPr>
            </w:pPr>
            <w:r w:rsidRPr="009E3D0F">
              <w:rPr>
                <w:rFonts w:ascii="Arial" w:eastAsia="Arial" w:hAnsi="Arial" w:cs="Arial"/>
                <w:color w:val="000000"/>
                <w:sz w:val="16"/>
                <w:szCs w:val="18"/>
              </w:rPr>
              <w:t xml:space="preserve"> 42,630 </w:t>
            </w:r>
          </w:p>
        </w:tc>
        <w:tc>
          <w:tcPr>
            <w:tcW w:w="0" w:type="auto"/>
            <w:tcBorders>
              <w:top w:val="nil"/>
              <w:left w:val="nil"/>
              <w:bottom w:val="nil"/>
              <w:right w:val="nil"/>
              <w:tl2br w:val="nil"/>
              <w:tr2bl w:val="nil"/>
            </w:tcBorders>
            <w:shd w:val="clear" w:color="auto" w:fill="FFFFFF"/>
            <w:tcMar>
              <w:left w:w="101" w:type="dxa"/>
              <w:right w:w="101" w:type="dxa"/>
            </w:tcMar>
            <w:vAlign w:val="bottom"/>
          </w:tcPr>
          <w:p w14:paraId="477F947A" w14:textId="77777777" w:rsidR="003F0EEA" w:rsidRPr="009E3D0F" w:rsidRDefault="00FB7D0B">
            <w:pPr>
              <w:jc w:val="right"/>
              <w:rPr>
                <w:rFonts w:ascii="Arial" w:eastAsia="Arial" w:hAnsi="Arial" w:cs="Arial"/>
                <w:color w:val="000000"/>
                <w:sz w:val="16"/>
                <w:szCs w:val="18"/>
              </w:rPr>
            </w:pPr>
            <w:r w:rsidRPr="009E3D0F">
              <w:rPr>
                <w:rFonts w:ascii="Arial" w:eastAsia="Arial" w:hAnsi="Arial" w:cs="Arial"/>
                <w:color w:val="000000"/>
                <w:sz w:val="16"/>
                <w:szCs w:val="18"/>
              </w:rPr>
              <w:t xml:space="preserve"> 41,604 </w:t>
            </w:r>
          </w:p>
        </w:tc>
        <w:tc>
          <w:tcPr>
            <w:tcW w:w="0" w:type="auto"/>
            <w:tcBorders>
              <w:top w:val="nil"/>
              <w:left w:val="nil"/>
              <w:bottom w:val="nil"/>
              <w:right w:val="nil"/>
              <w:tl2br w:val="nil"/>
              <w:tr2bl w:val="nil"/>
            </w:tcBorders>
            <w:shd w:val="clear" w:color="auto" w:fill="FFFFFF"/>
            <w:tcMar>
              <w:left w:w="101" w:type="dxa"/>
              <w:right w:w="101" w:type="dxa"/>
            </w:tcMar>
            <w:vAlign w:val="bottom"/>
          </w:tcPr>
          <w:p w14:paraId="046FE424" w14:textId="77777777" w:rsidR="003F0EEA" w:rsidRPr="009E3D0F" w:rsidRDefault="00FB7D0B">
            <w:pPr>
              <w:jc w:val="right"/>
              <w:rPr>
                <w:rFonts w:ascii="Arial" w:eastAsia="Arial" w:hAnsi="Arial" w:cs="Arial"/>
                <w:color w:val="000000"/>
                <w:sz w:val="16"/>
                <w:szCs w:val="18"/>
              </w:rPr>
            </w:pPr>
            <w:r w:rsidRPr="009E3D0F">
              <w:rPr>
                <w:rFonts w:ascii="Arial" w:eastAsia="Arial" w:hAnsi="Arial" w:cs="Arial"/>
                <w:color w:val="000000"/>
                <w:sz w:val="16"/>
                <w:szCs w:val="18"/>
              </w:rPr>
              <w:t xml:space="preserve"> 41,098 </w:t>
            </w:r>
          </w:p>
        </w:tc>
        <w:tc>
          <w:tcPr>
            <w:tcW w:w="0" w:type="auto"/>
            <w:tcBorders>
              <w:top w:val="nil"/>
              <w:left w:val="nil"/>
              <w:bottom w:val="nil"/>
              <w:right w:val="single" w:sz="6" w:space="0" w:color="000000"/>
              <w:tl2br w:val="nil"/>
              <w:tr2bl w:val="nil"/>
            </w:tcBorders>
            <w:shd w:val="clear" w:color="auto" w:fill="FFFFFF"/>
            <w:tcMar>
              <w:left w:w="101" w:type="dxa"/>
              <w:right w:w="101" w:type="dxa"/>
            </w:tcMar>
            <w:vAlign w:val="bottom"/>
          </w:tcPr>
          <w:p w14:paraId="538FE80F" w14:textId="77777777" w:rsidR="003F0EEA" w:rsidRPr="009E3D0F" w:rsidRDefault="00FB7D0B">
            <w:pPr>
              <w:jc w:val="right"/>
              <w:rPr>
                <w:rFonts w:ascii="Arial" w:eastAsia="Arial" w:hAnsi="Arial" w:cs="Arial"/>
                <w:color w:val="000000"/>
                <w:sz w:val="16"/>
                <w:szCs w:val="18"/>
              </w:rPr>
            </w:pPr>
            <w:r w:rsidRPr="009E3D0F">
              <w:rPr>
                <w:rFonts w:ascii="Arial" w:eastAsia="Arial" w:hAnsi="Arial" w:cs="Arial"/>
                <w:color w:val="000000"/>
                <w:sz w:val="16"/>
                <w:szCs w:val="18"/>
              </w:rPr>
              <w:t xml:space="preserve"> 41,159 </w:t>
            </w:r>
          </w:p>
        </w:tc>
      </w:tr>
      <w:tr w:rsidR="00FB7D0B" w14:paraId="24BE7DDC" w14:textId="77777777" w:rsidTr="00FB7D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10" w:type="dxa"/>
          <w:trHeight w:val="450"/>
        </w:trPr>
        <w:tc>
          <w:tcPr>
            <w:tcW w:w="0" w:type="auto"/>
            <w:gridSpan w:val="3"/>
            <w:tcBorders>
              <w:top w:val="single" w:sz="6" w:space="0" w:color="FFFFFF"/>
              <w:left w:val="single" w:sz="6" w:space="0" w:color="000000"/>
              <w:bottom w:val="nil"/>
              <w:right w:val="nil"/>
              <w:tl2br w:val="nil"/>
              <w:tr2bl w:val="nil"/>
            </w:tcBorders>
            <w:shd w:val="clear" w:color="auto" w:fill="FFFFFF"/>
            <w:tcMar>
              <w:left w:w="101" w:type="dxa"/>
              <w:right w:w="101" w:type="dxa"/>
            </w:tcMar>
            <w:vAlign w:val="bottom"/>
          </w:tcPr>
          <w:p w14:paraId="1EEB4CEE" w14:textId="77777777" w:rsidR="003F0EEA" w:rsidRPr="009E3D0F" w:rsidRDefault="00FB7D0B">
            <w:pPr>
              <w:rPr>
                <w:rFonts w:ascii="Arial" w:eastAsia="Arial" w:hAnsi="Arial" w:cs="Arial"/>
                <w:color w:val="000000"/>
                <w:sz w:val="16"/>
                <w:szCs w:val="18"/>
              </w:rPr>
            </w:pPr>
            <w:r w:rsidRPr="009E3D0F">
              <w:rPr>
                <w:rFonts w:ascii="Arial" w:eastAsia="Arial" w:hAnsi="Arial" w:cs="Arial"/>
                <w:color w:val="000000"/>
                <w:sz w:val="16"/>
                <w:szCs w:val="18"/>
              </w:rPr>
              <w:t>Expenses not requiring appropriation in the Budget year</w:t>
            </w:r>
            <w:r w:rsidRPr="009E3D0F">
              <w:rPr>
                <w:rFonts w:ascii="Arial" w:eastAsia="Arial" w:hAnsi="Arial" w:cs="Arial"/>
                <w:color w:val="000000"/>
                <w:sz w:val="16"/>
                <w:szCs w:val="18"/>
                <w:vertAlign w:val="superscript"/>
              </w:rPr>
              <w:t>1 </w:t>
            </w:r>
          </w:p>
        </w:tc>
        <w:tc>
          <w:tcPr>
            <w:tcW w:w="0" w:type="auto"/>
            <w:tcBorders>
              <w:top w:val="nil"/>
              <w:left w:val="nil"/>
              <w:bottom w:val="nil"/>
              <w:right w:val="nil"/>
              <w:tl2br w:val="nil"/>
              <w:tr2bl w:val="nil"/>
            </w:tcBorders>
            <w:shd w:val="clear" w:color="auto" w:fill="FFFFFF"/>
            <w:tcMar>
              <w:left w:w="101" w:type="dxa"/>
              <w:right w:w="101" w:type="dxa"/>
            </w:tcMar>
            <w:vAlign w:val="bottom"/>
          </w:tcPr>
          <w:p w14:paraId="43F2FE35" w14:textId="77777777" w:rsidR="003F0EEA" w:rsidRPr="009E3D0F" w:rsidRDefault="00FB7D0B">
            <w:pPr>
              <w:jc w:val="right"/>
              <w:rPr>
                <w:rFonts w:ascii="Arial" w:eastAsia="Arial" w:hAnsi="Arial" w:cs="Arial"/>
                <w:color w:val="000000"/>
                <w:sz w:val="16"/>
                <w:szCs w:val="18"/>
                <w:vertAlign w:val="superscript"/>
              </w:rPr>
            </w:pPr>
            <w:r w:rsidRPr="009E3D0F">
              <w:rPr>
                <w:rFonts w:ascii="Arial" w:eastAsia="Arial" w:hAnsi="Arial" w:cs="Arial"/>
                <w:color w:val="000000"/>
                <w:sz w:val="16"/>
                <w:szCs w:val="18"/>
              </w:rPr>
              <w:t xml:space="preserve"> 3,464 </w:t>
            </w:r>
          </w:p>
        </w:tc>
        <w:tc>
          <w:tcPr>
            <w:tcW w:w="0" w:type="auto"/>
            <w:tcBorders>
              <w:top w:val="nil"/>
              <w:left w:val="nil"/>
              <w:bottom w:val="nil"/>
              <w:right w:val="nil"/>
              <w:tl2br w:val="nil"/>
              <w:tr2bl w:val="nil"/>
            </w:tcBorders>
            <w:shd w:val="clear" w:color="auto" w:fill="FFFF00"/>
            <w:tcMar>
              <w:left w:w="101" w:type="dxa"/>
              <w:right w:w="101" w:type="dxa"/>
            </w:tcMar>
            <w:vAlign w:val="bottom"/>
          </w:tcPr>
          <w:p w14:paraId="5C0F167D" w14:textId="77777777" w:rsidR="003F0EEA" w:rsidRPr="009E3D0F" w:rsidRDefault="00FB7D0B">
            <w:pPr>
              <w:jc w:val="right"/>
              <w:rPr>
                <w:rFonts w:ascii="Arial" w:eastAsia="Arial" w:hAnsi="Arial" w:cs="Arial"/>
                <w:color w:val="000000"/>
                <w:sz w:val="16"/>
                <w:szCs w:val="18"/>
              </w:rPr>
            </w:pPr>
            <w:r w:rsidRPr="009E3D0F">
              <w:rPr>
                <w:rFonts w:ascii="Arial" w:eastAsia="Arial" w:hAnsi="Arial" w:cs="Arial"/>
                <w:color w:val="000000"/>
                <w:sz w:val="16"/>
                <w:szCs w:val="18"/>
              </w:rPr>
              <w:t xml:space="preserve"> 3,871 </w:t>
            </w:r>
          </w:p>
        </w:tc>
        <w:tc>
          <w:tcPr>
            <w:tcW w:w="0" w:type="auto"/>
            <w:tcBorders>
              <w:top w:val="nil"/>
              <w:left w:val="nil"/>
              <w:bottom w:val="nil"/>
              <w:right w:val="nil"/>
              <w:tl2br w:val="nil"/>
              <w:tr2bl w:val="nil"/>
            </w:tcBorders>
            <w:shd w:val="clear" w:color="auto" w:fill="FFFFFF"/>
            <w:tcMar>
              <w:left w:w="101" w:type="dxa"/>
              <w:right w:w="101" w:type="dxa"/>
            </w:tcMar>
            <w:vAlign w:val="bottom"/>
          </w:tcPr>
          <w:p w14:paraId="49DE8E14" w14:textId="77777777" w:rsidR="003F0EEA" w:rsidRPr="009E3D0F" w:rsidRDefault="00FB7D0B">
            <w:pPr>
              <w:jc w:val="right"/>
              <w:rPr>
                <w:rFonts w:ascii="Arial" w:eastAsia="Arial" w:hAnsi="Arial" w:cs="Arial"/>
                <w:color w:val="000000"/>
                <w:sz w:val="16"/>
                <w:szCs w:val="18"/>
              </w:rPr>
            </w:pPr>
            <w:r w:rsidRPr="009E3D0F">
              <w:rPr>
                <w:rFonts w:ascii="Arial" w:eastAsia="Arial" w:hAnsi="Arial" w:cs="Arial"/>
                <w:color w:val="000000"/>
                <w:sz w:val="16"/>
                <w:szCs w:val="18"/>
              </w:rPr>
              <w:t xml:space="preserve"> 3,570 </w:t>
            </w:r>
          </w:p>
        </w:tc>
        <w:tc>
          <w:tcPr>
            <w:tcW w:w="0" w:type="auto"/>
            <w:tcBorders>
              <w:top w:val="nil"/>
              <w:left w:val="nil"/>
              <w:bottom w:val="nil"/>
              <w:right w:val="nil"/>
              <w:tl2br w:val="nil"/>
              <w:tr2bl w:val="nil"/>
            </w:tcBorders>
            <w:shd w:val="clear" w:color="auto" w:fill="FFFFFF"/>
            <w:tcMar>
              <w:left w:w="101" w:type="dxa"/>
              <w:right w:w="101" w:type="dxa"/>
            </w:tcMar>
            <w:vAlign w:val="bottom"/>
          </w:tcPr>
          <w:p w14:paraId="79FD78D8" w14:textId="77777777" w:rsidR="003F0EEA" w:rsidRPr="009E3D0F" w:rsidRDefault="00FB7D0B">
            <w:pPr>
              <w:jc w:val="right"/>
              <w:rPr>
                <w:rFonts w:ascii="Arial" w:eastAsia="Arial" w:hAnsi="Arial" w:cs="Arial"/>
                <w:color w:val="000000"/>
                <w:sz w:val="16"/>
                <w:szCs w:val="18"/>
              </w:rPr>
            </w:pPr>
            <w:r w:rsidRPr="009E3D0F">
              <w:rPr>
                <w:rFonts w:ascii="Arial" w:eastAsia="Arial" w:hAnsi="Arial" w:cs="Arial"/>
                <w:color w:val="000000"/>
                <w:sz w:val="16"/>
                <w:szCs w:val="18"/>
              </w:rPr>
              <w:t xml:space="preserve"> 3,295 </w:t>
            </w:r>
          </w:p>
        </w:tc>
        <w:tc>
          <w:tcPr>
            <w:tcW w:w="0" w:type="auto"/>
            <w:tcBorders>
              <w:top w:val="nil"/>
              <w:left w:val="nil"/>
              <w:bottom w:val="nil"/>
              <w:right w:val="single" w:sz="6" w:space="0" w:color="000000"/>
              <w:tl2br w:val="nil"/>
              <w:tr2bl w:val="nil"/>
            </w:tcBorders>
            <w:shd w:val="clear" w:color="auto" w:fill="FFFFFF"/>
            <w:tcMar>
              <w:left w:w="101" w:type="dxa"/>
              <w:right w:w="101" w:type="dxa"/>
            </w:tcMar>
            <w:vAlign w:val="bottom"/>
          </w:tcPr>
          <w:p w14:paraId="0C11DFAC" w14:textId="77777777" w:rsidR="003F0EEA" w:rsidRPr="009E3D0F" w:rsidRDefault="00FB7D0B">
            <w:pPr>
              <w:jc w:val="right"/>
              <w:rPr>
                <w:rFonts w:ascii="Arial" w:eastAsia="Arial" w:hAnsi="Arial" w:cs="Arial"/>
                <w:color w:val="000000"/>
                <w:sz w:val="16"/>
                <w:szCs w:val="18"/>
              </w:rPr>
            </w:pPr>
            <w:r w:rsidRPr="009E3D0F">
              <w:rPr>
                <w:rFonts w:ascii="Arial" w:eastAsia="Arial" w:hAnsi="Arial" w:cs="Arial"/>
                <w:color w:val="000000"/>
                <w:sz w:val="16"/>
                <w:szCs w:val="18"/>
              </w:rPr>
              <w:t xml:space="preserve"> 2,750 </w:t>
            </w:r>
          </w:p>
        </w:tc>
      </w:tr>
      <w:tr w:rsidR="00724034" w14:paraId="44B2FE7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10" w:type="dxa"/>
          <w:trHeight w:val="60"/>
        </w:trPr>
        <w:tc>
          <w:tcPr>
            <w:tcW w:w="0" w:type="auto"/>
            <w:tcBorders>
              <w:top w:val="single" w:sz="6" w:space="0" w:color="FFFFFF"/>
              <w:left w:val="single" w:sz="6" w:space="0" w:color="000000"/>
              <w:bottom w:val="nil"/>
              <w:right w:val="nil"/>
              <w:tl2br w:val="nil"/>
              <w:tr2bl w:val="nil"/>
            </w:tcBorders>
            <w:shd w:val="clear" w:color="auto" w:fill="FFFFFF"/>
            <w:tcMar>
              <w:left w:w="101" w:type="dxa"/>
              <w:right w:w="101" w:type="dxa"/>
            </w:tcMar>
            <w:vAlign w:val="bottom"/>
          </w:tcPr>
          <w:p w14:paraId="3AEF397D" w14:textId="77777777" w:rsidR="003F0EEA" w:rsidRPr="009E3D0F" w:rsidRDefault="003F0EEA">
            <w:pPr>
              <w:rPr>
                <w:rFonts w:ascii="Arial" w:eastAsia="Arial" w:hAnsi="Arial" w:cs="Arial"/>
                <w:color w:val="000000"/>
                <w:sz w:val="16"/>
                <w:szCs w:val="18"/>
              </w:rPr>
            </w:pPr>
          </w:p>
        </w:tc>
        <w:tc>
          <w:tcPr>
            <w:tcW w:w="0" w:type="auto"/>
            <w:tcBorders>
              <w:top w:val="single" w:sz="6" w:space="0" w:color="FFFFFF"/>
              <w:left w:val="nil"/>
              <w:bottom w:val="nil"/>
              <w:right w:val="nil"/>
              <w:tl2br w:val="nil"/>
              <w:tr2bl w:val="nil"/>
            </w:tcBorders>
            <w:shd w:val="clear" w:color="auto" w:fill="FFFFFF"/>
            <w:tcMar>
              <w:left w:w="101" w:type="dxa"/>
              <w:right w:w="101" w:type="dxa"/>
            </w:tcMar>
            <w:vAlign w:val="bottom"/>
          </w:tcPr>
          <w:p w14:paraId="067D3EB7" w14:textId="77777777" w:rsidR="003F0EEA" w:rsidRPr="009E3D0F" w:rsidRDefault="003F0EEA">
            <w:pPr>
              <w:rPr>
                <w:rFonts w:ascii="Arial" w:eastAsia="Arial" w:hAnsi="Arial" w:cs="Arial"/>
                <w:color w:val="000000"/>
                <w:sz w:val="20"/>
                <w:szCs w:val="18"/>
              </w:rPr>
            </w:pPr>
          </w:p>
        </w:tc>
        <w:tc>
          <w:tcPr>
            <w:tcW w:w="0" w:type="auto"/>
            <w:tcBorders>
              <w:top w:val="single" w:sz="6" w:space="0" w:color="FFFFFF"/>
              <w:left w:val="nil"/>
              <w:bottom w:val="nil"/>
              <w:right w:val="nil"/>
              <w:tl2br w:val="nil"/>
              <w:tr2bl w:val="nil"/>
            </w:tcBorders>
            <w:shd w:val="clear" w:color="auto" w:fill="FFFFFF"/>
            <w:tcMar>
              <w:left w:w="101" w:type="dxa"/>
              <w:right w:w="101" w:type="dxa"/>
            </w:tcMar>
            <w:vAlign w:val="bottom"/>
          </w:tcPr>
          <w:p w14:paraId="0DDB9ED7" w14:textId="77777777" w:rsidR="003F0EEA" w:rsidRPr="009E3D0F" w:rsidRDefault="003F0EEA">
            <w:pPr>
              <w:rPr>
                <w:rFonts w:ascii="Arial" w:eastAsia="Arial" w:hAnsi="Arial" w:cs="Arial"/>
                <w:color w:val="000000"/>
                <w:sz w:val="20"/>
                <w:szCs w:val="18"/>
              </w:rPr>
            </w:pPr>
          </w:p>
        </w:tc>
        <w:tc>
          <w:tcPr>
            <w:tcW w:w="0" w:type="auto"/>
            <w:tcBorders>
              <w:top w:val="nil"/>
              <w:left w:val="nil"/>
              <w:bottom w:val="single" w:sz="6" w:space="0" w:color="000000"/>
              <w:right w:val="nil"/>
              <w:tl2br w:val="nil"/>
              <w:tr2bl w:val="nil"/>
            </w:tcBorders>
            <w:shd w:val="clear" w:color="auto" w:fill="FFFFFF"/>
            <w:tcMar>
              <w:left w:w="101" w:type="dxa"/>
              <w:right w:w="101" w:type="dxa"/>
            </w:tcMar>
            <w:vAlign w:val="bottom"/>
          </w:tcPr>
          <w:p w14:paraId="3D6965F6" w14:textId="77777777" w:rsidR="003F0EEA" w:rsidRPr="009E3D0F" w:rsidRDefault="003F0EEA">
            <w:pPr>
              <w:jc w:val="right"/>
              <w:rPr>
                <w:rFonts w:ascii="Arial" w:eastAsia="Arial" w:hAnsi="Arial" w:cs="Arial"/>
                <w:color w:val="000000"/>
                <w:sz w:val="16"/>
                <w:szCs w:val="18"/>
                <w:vertAlign w:val="superscript"/>
              </w:rPr>
            </w:pPr>
          </w:p>
        </w:tc>
        <w:tc>
          <w:tcPr>
            <w:tcW w:w="0" w:type="auto"/>
            <w:tcBorders>
              <w:top w:val="nil"/>
              <w:left w:val="nil"/>
              <w:bottom w:val="single" w:sz="6" w:space="0" w:color="000000"/>
              <w:right w:val="nil"/>
              <w:tl2br w:val="nil"/>
              <w:tr2bl w:val="nil"/>
            </w:tcBorders>
            <w:shd w:val="clear" w:color="auto" w:fill="FFFF00"/>
            <w:tcMar>
              <w:left w:w="101" w:type="dxa"/>
              <w:right w:w="101" w:type="dxa"/>
            </w:tcMar>
            <w:vAlign w:val="bottom"/>
          </w:tcPr>
          <w:p w14:paraId="0F796FA1" w14:textId="77777777" w:rsidR="003F0EEA" w:rsidRPr="009E3D0F" w:rsidRDefault="003F0EEA">
            <w:pPr>
              <w:jc w:val="right"/>
              <w:rPr>
                <w:rFonts w:ascii="Arial" w:eastAsia="Arial" w:hAnsi="Arial" w:cs="Arial"/>
                <w:color w:val="000000"/>
                <w:sz w:val="16"/>
                <w:szCs w:val="18"/>
                <w:vertAlign w:val="superscript"/>
              </w:rPr>
            </w:pPr>
          </w:p>
        </w:tc>
        <w:tc>
          <w:tcPr>
            <w:tcW w:w="0" w:type="auto"/>
            <w:tcBorders>
              <w:top w:val="nil"/>
              <w:left w:val="nil"/>
              <w:bottom w:val="single" w:sz="6" w:space="0" w:color="000000"/>
              <w:right w:val="nil"/>
              <w:tl2br w:val="nil"/>
              <w:tr2bl w:val="nil"/>
            </w:tcBorders>
            <w:shd w:val="clear" w:color="auto" w:fill="FFFFFF"/>
            <w:tcMar>
              <w:left w:w="101" w:type="dxa"/>
              <w:right w:w="101" w:type="dxa"/>
            </w:tcMar>
            <w:vAlign w:val="bottom"/>
          </w:tcPr>
          <w:p w14:paraId="40BC1E1F" w14:textId="77777777" w:rsidR="003F0EEA" w:rsidRPr="009E3D0F" w:rsidRDefault="003F0EEA">
            <w:pPr>
              <w:jc w:val="right"/>
              <w:rPr>
                <w:rFonts w:ascii="Arial" w:eastAsia="Arial" w:hAnsi="Arial" w:cs="Arial"/>
                <w:color w:val="000000"/>
                <w:sz w:val="16"/>
                <w:szCs w:val="18"/>
                <w:vertAlign w:val="superscript"/>
              </w:rPr>
            </w:pPr>
          </w:p>
        </w:tc>
        <w:tc>
          <w:tcPr>
            <w:tcW w:w="0" w:type="auto"/>
            <w:tcBorders>
              <w:top w:val="nil"/>
              <w:left w:val="nil"/>
              <w:bottom w:val="single" w:sz="6" w:space="0" w:color="000000"/>
              <w:right w:val="nil"/>
              <w:tl2br w:val="nil"/>
              <w:tr2bl w:val="nil"/>
            </w:tcBorders>
            <w:shd w:val="clear" w:color="auto" w:fill="FFFFFF"/>
            <w:tcMar>
              <w:left w:w="101" w:type="dxa"/>
              <w:right w:w="101" w:type="dxa"/>
            </w:tcMar>
            <w:vAlign w:val="bottom"/>
          </w:tcPr>
          <w:p w14:paraId="0BDC72AB" w14:textId="77777777" w:rsidR="003F0EEA" w:rsidRPr="009E3D0F" w:rsidRDefault="003F0EEA">
            <w:pPr>
              <w:jc w:val="right"/>
              <w:rPr>
                <w:rFonts w:ascii="Arial" w:eastAsia="Arial" w:hAnsi="Arial" w:cs="Arial"/>
                <w:color w:val="000000"/>
                <w:sz w:val="16"/>
                <w:szCs w:val="18"/>
                <w:vertAlign w:val="superscript"/>
              </w:rPr>
            </w:pPr>
          </w:p>
        </w:tc>
        <w:tc>
          <w:tcPr>
            <w:tcW w:w="0" w:type="auto"/>
            <w:tcBorders>
              <w:top w:val="nil"/>
              <w:left w:val="nil"/>
              <w:bottom w:val="single" w:sz="6" w:space="0" w:color="000000"/>
              <w:right w:val="single" w:sz="6" w:space="0" w:color="000000"/>
              <w:tl2br w:val="nil"/>
              <w:tr2bl w:val="nil"/>
            </w:tcBorders>
            <w:shd w:val="clear" w:color="auto" w:fill="FFFFFF"/>
            <w:tcMar>
              <w:left w:w="101" w:type="dxa"/>
              <w:right w:w="101" w:type="dxa"/>
            </w:tcMar>
            <w:vAlign w:val="bottom"/>
          </w:tcPr>
          <w:p w14:paraId="2327B0B6" w14:textId="77777777" w:rsidR="003F0EEA" w:rsidRPr="009E3D0F" w:rsidRDefault="003F0EEA">
            <w:pPr>
              <w:jc w:val="right"/>
              <w:rPr>
                <w:rFonts w:ascii="Arial" w:eastAsia="Arial" w:hAnsi="Arial" w:cs="Arial"/>
                <w:color w:val="000000"/>
                <w:sz w:val="16"/>
                <w:szCs w:val="18"/>
                <w:vertAlign w:val="superscript"/>
              </w:rPr>
            </w:pPr>
          </w:p>
        </w:tc>
      </w:tr>
      <w:tr w:rsidR="00FB7D0B" w14:paraId="24C8B46C" w14:textId="77777777" w:rsidTr="00FB7D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10" w:type="dxa"/>
          <w:trHeight w:val="225"/>
        </w:trPr>
        <w:tc>
          <w:tcPr>
            <w:tcW w:w="0" w:type="auto"/>
            <w:gridSpan w:val="3"/>
            <w:tcBorders>
              <w:top w:val="nil"/>
              <w:left w:val="single" w:sz="6" w:space="0" w:color="000000"/>
              <w:bottom w:val="single" w:sz="6" w:space="0" w:color="000000"/>
              <w:right w:val="nil"/>
              <w:tl2br w:val="nil"/>
              <w:tr2bl w:val="nil"/>
            </w:tcBorders>
            <w:shd w:val="clear" w:color="auto" w:fill="FFFFFF"/>
            <w:tcMar>
              <w:left w:w="101" w:type="dxa"/>
              <w:right w:w="101" w:type="dxa"/>
            </w:tcMar>
            <w:vAlign w:val="bottom"/>
          </w:tcPr>
          <w:p w14:paraId="21DA39D0" w14:textId="77777777" w:rsidR="003F0EEA" w:rsidRPr="009E3D0F" w:rsidRDefault="00FB7D0B">
            <w:pPr>
              <w:rPr>
                <w:rFonts w:ascii="Arial" w:eastAsia="Arial" w:hAnsi="Arial" w:cs="Arial"/>
                <w:color w:val="000000"/>
                <w:sz w:val="16"/>
                <w:szCs w:val="18"/>
                <w:vertAlign w:val="superscript"/>
              </w:rPr>
            </w:pPr>
            <w:r w:rsidRPr="009E3D0F">
              <w:rPr>
                <w:rFonts w:ascii="Arial" w:eastAsia="Arial" w:hAnsi="Arial" w:cs="Arial"/>
                <w:b/>
                <w:color w:val="000000"/>
                <w:sz w:val="16"/>
                <w:szCs w:val="18"/>
              </w:rPr>
              <w:t xml:space="preserve">Total programme expenses </w:t>
            </w:r>
          </w:p>
        </w:tc>
        <w:tc>
          <w:tcPr>
            <w:tcW w:w="0" w:type="auto"/>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4BE894B6" w14:textId="77777777" w:rsidR="003F0EEA" w:rsidRPr="009E3D0F" w:rsidRDefault="00FB7D0B">
            <w:pPr>
              <w:jc w:val="right"/>
              <w:rPr>
                <w:rFonts w:ascii="Arial" w:eastAsia="Arial" w:hAnsi="Arial" w:cs="Arial"/>
                <w:b/>
                <w:color w:val="000000"/>
                <w:sz w:val="16"/>
                <w:szCs w:val="18"/>
                <w:vertAlign w:val="superscript"/>
              </w:rPr>
            </w:pPr>
            <w:r w:rsidRPr="009E3D0F">
              <w:rPr>
                <w:rFonts w:ascii="Arial" w:eastAsia="Arial" w:hAnsi="Arial" w:cs="Arial"/>
                <w:b/>
                <w:color w:val="000000"/>
                <w:sz w:val="16"/>
                <w:szCs w:val="18"/>
              </w:rPr>
              <w:t>686,752 </w:t>
            </w:r>
          </w:p>
        </w:tc>
        <w:tc>
          <w:tcPr>
            <w:tcW w:w="0" w:type="auto"/>
            <w:tcBorders>
              <w:top w:val="single" w:sz="6" w:space="0" w:color="000000"/>
              <w:left w:val="nil"/>
              <w:bottom w:val="single" w:sz="6" w:space="0" w:color="000000"/>
              <w:right w:val="nil"/>
              <w:tl2br w:val="nil"/>
              <w:tr2bl w:val="nil"/>
            </w:tcBorders>
            <w:shd w:val="clear" w:color="auto" w:fill="FFFF00"/>
            <w:tcMar>
              <w:left w:w="101" w:type="dxa"/>
              <w:right w:w="101" w:type="dxa"/>
            </w:tcMar>
            <w:vAlign w:val="bottom"/>
          </w:tcPr>
          <w:p w14:paraId="349DF424" w14:textId="77777777" w:rsidR="003F0EEA" w:rsidRPr="009E3D0F" w:rsidRDefault="00FB7D0B">
            <w:pPr>
              <w:jc w:val="right"/>
              <w:rPr>
                <w:rFonts w:ascii="Arial" w:eastAsia="Arial" w:hAnsi="Arial" w:cs="Arial"/>
                <w:b/>
                <w:color w:val="000000"/>
                <w:sz w:val="16"/>
                <w:szCs w:val="18"/>
              </w:rPr>
            </w:pPr>
            <w:r w:rsidRPr="009E3D0F">
              <w:rPr>
                <w:rFonts w:ascii="Arial" w:eastAsia="Arial" w:hAnsi="Arial" w:cs="Arial"/>
                <w:b/>
                <w:color w:val="000000"/>
                <w:sz w:val="16"/>
                <w:szCs w:val="18"/>
              </w:rPr>
              <w:t>699,212 </w:t>
            </w:r>
          </w:p>
        </w:tc>
        <w:tc>
          <w:tcPr>
            <w:tcW w:w="0" w:type="auto"/>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2AABE3BE" w14:textId="77777777" w:rsidR="003F0EEA" w:rsidRPr="009E3D0F" w:rsidRDefault="00FB7D0B">
            <w:pPr>
              <w:jc w:val="right"/>
              <w:rPr>
                <w:rFonts w:ascii="Arial" w:eastAsia="Arial" w:hAnsi="Arial" w:cs="Arial"/>
                <w:b/>
                <w:color w:val="000000"/>
                <w:sz w:val="16"/>
                <w:szCs w:val="18"/>
              </w:rPr>
            </w:pPr>
            <w:r w:rsidRPr="009E3D0F">
              <w:rPr>
                <w:rFonts w:ascii="Arial" w:eastAsia="Arial" w:hAnsi="Arial" w:cs="Arial"/>
                <w:b/>
                <w:color w:val="000000"/>
                <w:sz w:val="16"/>
                <w:szCs w:val="18"/>
              </w:rPr>
              <w:t>712,253 </w:t>
            </w:r>
          </w:p>
        </w:tc>
        <w:tc>
          <w:tcPr>
            <w:tcW w:w="0" w:type="auto"/>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1F4CC19F" w14:textId="77777777" w:rsidR="003F0EEA" w:rsidRPr="009E3D0F" w:rsidRDefault="00FB7D0B">
            <w:pPr>
              <w:jc w:val="right"/>
              <w:rPr>
                <w:rFonts w:ascii="Arial" w:eastAsia="Arial" w:hAnsi="Arial" w:cs="Arial"/>
                <w:b/>
                <w:color w:val="000000"/>
                <w:sz w:val="16"/>
                <w:szCs w:val="18"/>
              </w:rPr>
            </w:pPr>
            <w:r w:rsidRPr="009E3D0F">
              <w:rPr>
                <w:rFonts w:ascii="Arial" w:eastAsia="Arial" w:hAnsi="Arial" w:cs="Arial"/>
                <w:b/>
                <w:color w:val="000000"/>
                <w:sz w:val="16"/>
                <w:szCs w:val="18"/>
              </w:rPr>
              <w:t>719,889 </w:t>
            </w:r>
          </w:p>
        </w:tc>
        <w:tc>
          <w:tcPr>
            <w:tcW w:w="0" w:type="auto"/>
            <w:tcBorders>
              <w:top w:val="single" w:sz="6" w:space="0" w:color="000000"/>
              <w:left w:val="nil"/>
              <w:bottom w:val="single" w:sz="6" w:space="0" w:color="000000"/>
              <w:right w:val="single" w:sz="6" w:space="0" w:color="000000"/>
              <w:tl2br w:val="nil"/>
              <w:tr2bl w:val="nil"/>
            </w:tcBorders>
            <w:shd w:val="clear" w:color="auto" w:fill="FFFFFF"/>
            <w:tcMar>
              <w:left w:w="101" w:type="dxa"/>
              <w:right w:w="101" w:type="dxa"/>
            </w:tcMar>
            <w:vAlign w:val="bottom"/>
          </w:tcPr>
          <w:p w14:paraId="5EACC32E" w14:textId="77777777" w:rsidR="003F0EEA" w:rsidRPr="009E3D0F" w:rsidRDefault="00FB7D0B">
            <w:pPr>
              <w:jc w:val="right"/>
              <w:rPr>
                <w:rFonts w:ascii="Arial" w:eastAsia="Arial" w:hAnsi="Arial" w:cs="Arial"/>
                <w:b/>
                <w:color w:val="000000"/>
                <w:sz w:val="16"/>
                <w:szCs w:val="18"/>
              </w:rPr>
            </w:pPr>
            <w:r w:rsidRPr="009E3D0F">
              <w:rPr>
                <w:rFonts w:ascii="Arial" w:eastAsia="Arial" w:hAnsi="Arial" w:cs="Arial"/>
                <w:b/>
                <w:color w:val="000000"/>
                <w:sz w:val="16"/>
                <w:szCs w:val="18"/>
              </w:rPr>
              <w:t>732,767 </w:t>
            </w:r>
          </w:p>
        </w:tc>
      </w:tr>
    </w:tbl>
    <w:p w14:paraId="42BE5E9D" w14:textId="77777777" w:rsidR="003F0EEA" w:rsidRPr="009E3D0F" w:rsidRDefault="003F0EEA">
      <w:pPr>
        <w:rPr>
          <w:rFonts w:ascii="Times New Roman" w:eastAsia="Times New Roman" w:hAnsi="Times New Roman" w:cs="Times New Roman"/>
          <w:szCs w:val="18"/>
        </w:rPr>
      </w:pPr>
    </w:p>
    <w:p w14:paraId="1C407C89" w14:textId="77777777" w:rsidR="003F0EEA" w:rsidRPr="004D4F1D" w:rsidRDefault="00FB7D0B" w:rsidP="003F0EEA">
      <w:pPr>
        <w:pStyle w:val="ListParagraph13"/>
        <w:numPr>
          <w:ilvl w:val="0"/>
          <w:numId w:val="42"/>
        </w:numPr>
        <w:spacing w:after="200" w:line="276" w:lineRule="auto"/>
        <w:ind w:left="284" w:hanging="284"/>
        <w:rPr>
          <w:rFonts w:ascii="Arial" w:eastAsia="Calibri" w:hAnsi="Arial" w:cs="Arial"/>
          <w:sz w:val="16"/>
          <w:szCs w:val="16"/>
          <w:lang w:eastAsia="en-US"/>
        </w:rPr>
      </w:pPr>
      <w:r w:rsidRPr="004D4F1D">
        <w:rPr>
          <w:rFonts w:ascii="Arial" w:eastAsia="Calibri" w:hAnsi="Arial" w:cs="Arial"/>
          <w:sz w:val="16"/>
          <w:szCs w:val="16"/>
          <w:lang w:eastAsia="en-US"/>
        </w:rPr>
        <w:t xml:space="preserve">Expenses not requiring appropriation in the Budget year is made up of Depreciation Expense, Amortisation </w:t>
      </w:r>
      <w:r w:rsidRPr="004D4F1D">
        <w:rPr>
          <w:rFonts w:ascii="Arial" w:eastAsia="Calibri" w:hAnsi="Arial" w:cs="Arial"/>
          <w:sz w:val="16"/>
          <w:szCs w:val="16"/>
          <w:lang w:eastAsia="en-US"/>
        </w:rPr>
        <w:br/>
        <w:t xml:space="preserve">Expense and Resources Received Free of Charge. </w:t>
      </w:r>
    </w:p>
    <w:p w14:paraId="70F662E4" w14:textId="77777777" w:rsidR="003F0EEA" w:rsidRPr="004D4F1D" w:rsidRDefault="00FB7D0B">
      <w:pPr>
        <w:spacing w:line="14" w:lineRule="exact"/>
        <w:rPr>
          <w:rFonts w:ascii="Arial" w:hAnsi="Arial" w:cs="Arial"/>
          <w:sz w:val="16"/>
          <w:szCs w:val="16"/>
          <w:lang w:eastAsia="en-US"/>
        </w:rPr>
      </w:pPr>
      <w:r w:rsidRPr="004D4F1D">
        <w:rPr>
          <w:rFonts w:ascii="Arial" w:hAnsi="Arial" w:cs="Arial"/>
          <w:sz w:val="16"/>
          <w:szCs w:val="16"/>
          <w:lang w:eastAsia="en-US"/>
        </w:rPr>
        <w:br w:type="page"/>
      </w:r>
    </w:p>
    <w:tbl>
      <w:tblPr>
        <w:tblW w:w="0" w:type="auto"/>
        <w:tblBorders>
          <w:top w:val="single" w:sz="2" w:space="0" w:color="auto"/>
          <w:left w:val="single" w:sz="2" w:space="0" w:color="auto"/>
          <w:bottom w:val="single" w:sz="2" w:space="0" w:color="auto"/>
          <w:right w:val="single" w:sz="2" w:space="0" w:color="auto"/>
          <w:insideH w:val="single" w:sz="2" w:space="0" w:color="auto"/>
        </w:tblBorders>
        <w:tblLook w:val="01E0" w:firstRow="1" w:lastRow="1" w:firstColumn="1" w:lastColumn="1" w:noHBand="0" w:noVBand="0"/>
      </w:tblPr>
      <w:tblGrid>
        <w:gridCol w:w="8080"/>
      </w:tblGrid>
      <w:tr w:rsidR="00724034" w14:paraId="304BA212" w14:textId="77777777" w:rsidTr="003F0EEA">
        <w:tc>
          <w:tcPr>
            <w:tcW w:w="8080" w:type="dxa"/>
            <w:tcBorders>
              <w:top w:val="single" w:sz="2" w:space="0" w:color="auto"/>
              <w:left w:val="single" w:sz="2" w:space="0" w:color="auto"/>
              <w:bottom w:val="single" w:sz="2" w:space="0" w:color="auto"/>
              <w:right w:val="single" w:sz="2" w:space="0" w:color="auto"/>
            </w:tcBorders>
            <w:shd w:val="clear" w:color="auto" w:fill="E6E6E6"/>
          </w:tcPr>
          <w:p w14:paraId="373CBDD7" w14:textId="77777777" w:rsidR="003F0EEA" w:rsidRPr="00D043D0" w:rsidRDefault="00FB7D0B" w:rsidP="003F0EEA">
            <w:pPr>
              <w:pStyle w:val="TableColumnHeadingLeft2"/>
              <w:rPr>
                <w:rFonts w:cs="Arial"/>
              </w:rPr>
            </w:pPr>
            <w:r>
              <w:rPr>
                <w:rFonts w:cs="Arial"/>
              </w:rPr>
              <w:t xml:space="preserve">Programme 2.5: </w:t>
            </w:r>
            <w:r w:rsidRPr="00D043D0">
              <w:rPr>
                <w:rFonts w:cs="Arial"/>
              </w:rPr>
              <w:t>Veterans' Counselling and Other Health Services</w:t>
            </w:r>
            <w:r>
              <w:rPr>
                <w:rFonts w:cs="Arial"/>
              </w:rPr>
              <w:t xml:space="preserve"> (continued)</w:t>
            </w:r>
          </w:p>
        </w:tc>
      </w:tr>
    </w:tbl>
    <w:p w14:paraId="60955285" w14:textId="77777777" w:rsidR="003F0EEA" w:rsidRDefault="003F0EEA">
      <w:pPr>
        <w:rPr>
          <w:rFonts w:ascii="Times New Roman" w:eastAsia="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10"/>
        <w:gridCol w:w="975"/>
        <w:gridCol w:w="975"/>
        <w:gridCol w:w="975"/>
        <w:gridCol w:w="975"/>
        <w:gridCol w:w="975"/>
      </w:tblGrid>
      <w:tr w:rsidR="00724034" w14:paraId="5F85D59A" w14:textId="77777777" w:rsidTr="003F0EEA">
        <w:tc>
          <w:tcPr>
            <w:tcW w:w="8080" w:type="dxa"/>
            <w:gridSpan w:val="6"/>
            <w:tcBorders>
              <w:top w:val="single" w:sz="4" w:space="0" w:color="auto"/>
              <w:left w:val="single" w:sz="4" w:space="0" w:color="auto"/>
              <w:bottom w:val="single" w:sz="4" w:space="0" w:color="auto"/>
              <w:right w:val="single" w:sz="4" w:space="0" w:color="auto"/>
            </w:tcBorders>
          </w:tcPr>
          <w:p w14:paraId="5B8BAB2E" w14:textId="77777777" w:rsidR="003F0EEA" w:rsidRDefault="00FB7D0B" w:rsidP="003F0EEA">
            <w:pPr>
              <w:pStyle w:val="TableTextLeft33"/>
              <w:rPr>
                <w:b/>
              </w:rPr>
            </w:pPr>
            <w:r>
              <w:rPr>
                <w:b/>
              </w:rPr>
              <w:t>Programme 2.5 deliverables</w:t>
            </w:r>
          </w:p>
          <w:p w14:paraId="1832EF03" w14:textId="77777777" w:rsidR="003F0EEA" w:rsidRDefault="00FB7D0B" w:rsidP="003F0EEA">
            <w:pPr>
              <w:pStyle w:val="TableTextBullet18"/>
            </w:pPr>
            <w:r>
              <w:t>Ensure arrangements are in place to assist veterans to reach treatment locations through a variety of systems and transport modes. This includes reimbursing travel costs privately incurred (including financial assistance towards the costs for meals and accommodation), arranging taxi/hire car and air travel, and purchasing ambulance services from public and private sector providers.</w:t>
            </w:r>
          </w:p>
          <w:p w14:paraId="7507FDC2" w14:textId="77777777" w:rsidR="003F0EEA" w:rsidRDefault="00FB7D0B" w:rsidP="003F0EEA">
            <w:pPr>
              <w:pStyle w:val="TableTextBullet18"/>
            </w:pPr>
            <w:r>
              <w:t>Ensure arrangements are in place to provide an extensive range of rehabilitation aids which assist independent living and which are provided through a comprehensive system of prescribers and contracted suppliers.</w:t>
            </w:r>
          </w:p>
          <w:p w14:paraId="4E9EFA1B" w14:textId="77777777" w:rsidR="003F0EEA" w:rsidRDefault="00FB7D0B" w:rsidP="003F0EEA">
            <w:pPr>
              <w:pStyle w:val="TableTextBullet18"/>
            </w:pPr>
            <w:r>
              <w:t>Maintain arrangements with allied health providers in both the public and private sectors for the delivery of a comprehensive range of allied health services to entitled beneficiaries in order to meet their health care needs.</w:t>
            </w:r>
          </w:p>
          <w:p w14:paraId="43EDB6C0" w14:textId="77777777" w:rsidR="003F0EEA" w:rsidRDefault="00FB7D0B" w:rsidP="003F0EEA">
            <w:pPr>
              <w:pStyle w:val="TableTextBullet18"/>
            </w:pPr>
            <w:r>
              <w:t xml:space="preserve">Ensure effective payment arrangements are in place for allied health providers. </w:t>
            </w:r>
          </w:p>
          <w:p w14:paraId="1188AE88" w14:textId="77777777" w:rsidR="003F0EEA" w:rsidRDefault="00FB7D0B" w:rsidP="003F0EEA">
            <w:pPr>
              <w:pStyle w:val="TableTextBullet18"/>
            </w:pPr>
            <w:r>
              <w:t>Provide access to counselling services through the VVCS including use of outreach counsellors and through relevant providers in the public and private health sectors:</w:t>
            </w:r>
          </w:p>
          <w:p w14:paraId="439C5586" w14:textId="77777777" w:rsidR="003F0EEA" w:rsidRDefault="00FB7D0B" w:rsidP="003F0EEA">
            <w:pPr>
              <w:pStyle w:val="TableTextDash18"/>
            </w:pPr>
            <w:r>
              <w:t>intake and referral services</w:t>
            </w:r>
          </w:p>
          <w:p w14:paraId="5F89BF68" w14:textId="77777777" w:rsidR="003F0EEA" w:rsidRDefault="00FB7D0B" w:rsidP="003F0EEA">
            <w:pPr>
              <w:pStyle w:val="TableTextDash18"/>
            </w:pPr>
            <w:r>
              <w:t>counselling services</w:t>
            </w:r>
          </w:p>
          <w:p w14:paraId="4280EECB" w14:textId="77777777" w:rsidR="003F0EEA" w:rsidRDefault="00FB7D0B" w:rsidP="003F0EEA">
            <w:pPr>
              <w:pStyle w:val="TableTextDash18"/>
            </w:pPr>
            <w:r>
              <w:t>after-hours counselling, and</w:t>
            </w:r>
          </w:p>
          <w:p w14:paraId="6755BECE" w14:textId="77777777" w:rsidR="003F0EEA" w:rsidRPr="00575727" w:rsidRDefault="00FB7D0B" w:rsidP="003F0EEA">
            <w:pPr>
              <w:pStyle w:val="TableTextDash18"/>
            </w:pPr>
            <w:r>
              <w:t>group programme intervention.</w:t>
            </w:r>
          </w:p>
        </w:tc>
      </w:tr>
      <w:tr w:rsidR="00724034" w14:paraId="39FCE711" w14:textId="77777777">
        <w:tblPrEx>
          <w:tblLook w:val="04A0" w:firstRow="1" w:lastRow="0" w:firstColumn="1" w:lastColumn="0" w:noHBand="0" w:noVBand="1"/>
        </w:tblPrEx>
        <w:trPr>
          <w:trHeight w:val="225"/>
        </w:trPr>
        <w:tc>
          <w:tcPr>
            <w:tcW w:w="3210" w:type="dxa"/>
            <w:tcBorders>
              <w:top w:val="single" w:sz="6" w:space="0" w:color="000000"/>
              <w:left w:val="single" w:sz="6" w:space="0" w:color="000000"/>
              <w:bottom w:val="nil"/>
              <w:right w:val="nil"/>
              <w:tl2br w:val="nil"/>
              <w:tr2bl w:val="nil"/>
            </w:tcBorders>
            <w:shd w:val="clear" w:color="auto" w:fill="FFFFFF"/>
            <w:tcMar>
              <w:left w:w="115" w:type="dxa"/>
              <w:right w:w="115" w:type="dxa"/>
            </w:tcMar>
            <w:vAlign w:val="bottom"/>
          </w:tcPr>
          <w:p w14:paraId="2C605CF3" w14:textId="77777777" w:rsidR="00724034" w:rsidRDefault="00724034">
            <w:pPr>
              <w:jc w:val="center"/>
            </w:pPr>
          </w:p>
        </w:tc>
        <w:tc>
          <w:tcPr>
            <w:tcW w:w="975"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07DA8E41" w14:textId="77777777" w:rsidR="00724034" w:rsidRDefault="00FB7D0B">
            <w:pPr>
              <w:jc w:val="right"/>
              <w:rPr>
                <w:rFonts w:ascii="Arial" w:eastAsia="Arial" w:hAnsi="Arial" w:cs="Arial"/>
                <w:b/>
                <w:color w:val="000000"/>
                <w:sz w:val="16"/>
                <w:vertAlign w:val="superscript"/>
              </w:rPr>
            </w:pPr>
            <w:r>
              <w:rPr>
                <w:rFonts w:ascii="Arial" w:eastAsia="Arial" w:hAnsi="Arial" w:cs="Arial"/>
                <w:color w:val="000000"/>
                <w:sz w:val="16"/>
              </w:rPr>
              <w:t>2013-14</w:t>
            </w:r>
          </w:p>
        </w:tc>
        <w:tc>
          <w:tcPr>
            <w:tcW w:w="975" w:type="dxa"/>
            <w:tcBorders>
              <w:top w:val="single" w:sz="6" w:space="0" w:color="000000"/>
              <w:left w:val="nil"/>
              <w:bottom w:val="nil"/>
              <w:right w:val="nil"/>
              <w:tl2br w:val="nil"/>
              <w:tr2bl w:val="nil"/>
            </w:tcBorders>
            <w:shd w:val="clear" w:color="auto" w:fill="FFFF00"/>
            <w:tcMar>
              <w:left w:w="115" w:type="dxa"/>
              <w:right w:w="115" w:type="dxa"/>
            </w:tcMar>
            <w:vAlign w:val="bottom"/>
          </w:tcPr>
          <w:p w14:paraId="668FFB06" w14:textId="77777777" w:rsidR="00724034" w:rsidRDefault="00FB7D0B">
            <w:pPr>
              <w:jc w:val="right"/>
              <w:rPr>
                <w:rFonts w:ascii="Arial" w:eastAsia="Arial" w:hAnsi="Arial" w:cs="Arial"/>
                <w:color w:val="000000"/>
                <w:sz w:val="16"/>
              </w:rPr>
            </w:pPr>
            <w:r>
              <w:rPr>
                <w:rFonts w:ascii="Arial" w:eastAsia="Arial" w:hAnsi="Arial" w:cs="Arial"/>
                <w:color w:val="000000"/>
                <w:sz w:val="16"/>
              </w:rPr>
              <w:t>2014-15</w:t>
            </w:r>
          </w:p>
        </w:tc>
        <w:tc>
          <w:tcPr>
            <w:tcW w:w="975"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3C9E03D9" w14:textId="77777777" w:rsidR="00724034" w:rsidRDefault="00FB7D0B">
            <w:pPr>
              <w:jc w:val="right"/>
              <w:rPr>
                <w:rFonts w:ascii="Arial" w:eastAsia="Arial" w:hAnsi="Arial" w:cs="Arial"/>
                <w:color w:val="000000"/>
                <w:sz w:val="16"/>
              </w:rPr>
            </w:pPr>
            <w:r>
              <w:rPr>
                <w:rFonts w:ascii="Arial" w:eastAsia="Arial" w:hAnsi="Arial" w:cs="Arial"/>
                <w:color w:val="000000"/>
                <w:sz w:val="16"/>
              </w:rPr>
              <w:t>2015-16</w:t>
            </w:r>
          </w:p>
        </w:tc>
        <w:tc>
          <w:tcPr>
            <w:tcW w:w="975"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1506808A" w14:textId="77777777" w:rsidR="00724034" w:rsidRDefault="00FB7D0B">
            <w:pPr>
              <w:jc w:val="right"/>
              <w:rPr>
                <w:rFonts w:ascii="Arial" w:eastAsia="Arial" w:hAnsi="Arial" w:cs="Arial"/>
                <w:color w:val="000000"/>
                <w:sz w:val="16"/>
              </w:rPr>
            </w:pPr>
            <w:r>
              <w:rPr>
                <w:rFonts w:ascii="Arial" w:eastAsia="Arial" w:hAnsi="Arial" w:cs="Arial"/>
                <w:color w:val="000000"/>
                <w:sz w:val="16"/>
              </w:rPr>
              <w:t>2016-17</w:t>
            </w:r>
          </w:p>
        </w:tc>
        <w:tc>
          <w:tcPr>
            <w:tcW w:w="975" w:type="dxa"/>
            <w:tcBorders>
              <w:top w:val="single" w:sz="6" w:space="0" w:color="000000"/>
              <w:left w:val="nil"/>
              <w:bottom w:val="nil"/>
              <w:right w:val="single" w:sz="6" w:space="0" w:color="000000"/>
              <w:tl2br w:val="nil"/>
              <w:tr2bl w:val="nil"/>
            </w:tcBorders>
            <w:shd w:val="clear" w:color="auto" w:fill="FFFFFF"/>
            <w:tcMar>
              <w:left w:w="115" w:type="dxa"/>
              <w:right w:w="115" w:type="dxa"/>
            </w:tcMar>
            <w:vAlign w:val="bottom"/>
          </w:tcPr>
          <w:p w14:paraId="357DE668" w14:textId="77777777" w:rsidR="00724034" w:rsidRDefault="00FB7D0B">
            <w:pPr>
              <w:jc w:val="right"/>
              <w:rPr>
                <w:rFonts w:ascii="Arial" w:eastAsia="Arial" w:hAnsi="Arial" w:cs="Arial"/>
                <w:color w:val="000000"/>
                <w:sz w:val="16"/>
              </w:rPr>
            </w:pPr>
            <w:r>
              <w:rPr>
                <w:rFonts w:ascii="Arial" w:eastAsia="Arial" w:hAnsi="Arial" w:cs="Arial"/>
                <w:color w:val="000000"/>
                <w:sz w:val="16"/>
              </w:rPr>
              <w:t>2017-18</w:t>
            </w:r>
          </w:p>
        </w:tc>
      </w:tr>
      <w:tr w:rsidR="00724034" w14:paraId="3306BA99" w14:textId="77777777">
        <w:tblPrEx>
          <w:tblLook w:val="04A0" w:firstRow="1" w:lastRow="0" w:firstColumn="1" w:lastColumn="0" w:noHBand="0" w:noVBand="1"/>
        </w:tblPrEx>
        <w:trPr>
          <w:trHeight w:val="225"/>
        </w:trPr>
        <w:tc>
          <w:tcPr>
            <w:tcW w:w="3210" w:type="dxa"/>
            <w:tcBorders>
              <w:top w:val="nil"/>
              <w:left w:val="single" w:sz="6" w:space="0" w:color="000000"/>
              <w:bottom w:val="nil"/>
              <w:right w:val="nil"/>
              <w:tl2br w:val="nil"/>
              <w:tr2bl w:val="nil"/>
            </w:tcBorders>
            <w:shd w:val="clear" w:color="auto" w:fill="FFFFFF"/>
            <w:tcMar>
              <w:left w:w="115" w:type="dxa"/>
              <w:right w:w="115" w:type="dxa"/>
            </w:tcMar>
            <w:vAlign w:val="bottom"/>
          </w:tcPr>
          <w:p w14:paraId="3639555D" w14:textId="77777777" w:rsidR="00724034" w:rsidRDefault="00724034">
            <w:pPr>
              <w:rPr>
                <w:rFonts w:ascii="Arial" w:eastAsia="Arial" w:hAnsi="Arial" w:cs="Arial"/>
                <w:color w:val="000000"/>
                <w:sz w:val="16"/>
              </w:rPr>
            </w:pPr>
          </w:p>
        </w:tc>
        <w:tc>
          <w:tcPr>
            <w:tcW w:w="975" w:type="dxa"/>
            <w:tcBorders>
              <w:top w:val="nil"/>
              <w:left w:val="nil"/>
              <w:bottom w:val="nil"/>
              <w:right w:val="nil"/>
              <w:tl2br w:val="nil"/>
              <w:tr2bl w:val="nil"/>
            </w:tcBorders>
            <w:shd w:val="clear" w:color="auto" w:fill="FFFFFF"/>
            <w:tcMar>
              <w:left w:w="115" w:type="dxa"/>
              <w:right w:w="115" w:type="dxa"/>
            </w:tcMar>
            <w:vAlign w:val="bottom"/>
          </w:tcPr>
          <w:p w14:paraId="508C90A0" w14:textId="77777777" w:rsidR="00724034" w:rsidRDefault="00FB7D0B">
            <w:pPr>
              <w:jc w:val="right"/>
              <w:rPr>
                <w:rFonts w:ascii="Arial" w:eastAsia="Arial" w:hAnsi="Arial" w:cs="Arial"/>
                <w:color w:val="000000"/>
                <w:sz w:val="16"/>
                <w:vertAlign w:val="superscript"/>
              </w:rPr>
            </w:pPr>
            <w:r>
              <w:rPr>
                <w:rFonts w:ascii="Arial" w:eastAsia="Arial" w:hAnsi="Arial" w:cs="Arial"/>
                <w:color w:val="000000"/>
                <w:sz w:val="16"/>
              </w:rPr>
              <w:t>Revised</w:t>
            </w:r>
          </w:p>
        </w:tc>
        <w:tc>
          <w:tcPr>
            <w:tcW w:w="975" w:type="dxa"/>
            <w:tcBorders>
              <w:top w:val="nil"/>
              <w:left w:val="nil"/>
              <w:bottom w:val="nil"/>
              <w:right w:val="nil"/>
              <w:tl2br w:val="nil"/>
              <w:tr2bl w:val="nil"/>
            </w:tcBorders>
            <w:shd w:val="clear" w:color="auto" w:fill="FFFF00"/>
            <w:tcMar>
              <w:left w:w="115" w:type="dxa"/>
              <w:right w:w="115" w:type="dxa"/>
            </w:tcMar>
            <w:vAlign w:val="bottom"/>
          </w:tcPr>
          <w:p w14:paraId="3B951AAC" w14:textId="77777777" w:rsidR="00724034" w:rsidRDefault="00FB7D0B">
            <w:pPr>
              <w:jc w:val="right"/>
              <w:rPr>
                <w:rFonts w:ascii="Arial" w:eastAsia="Arial" w:hAnsi="Arial" w:cs="Arial"/>
                <w:color w:val="000000"/>
                <w:sz w:val="16"/>
              </w:rPr>
            </w:pPr>
            <w:r>
              <w:rPr>
                <w:rFonts w:ascii="Arial" w:eastAsia="Arial" w:hAnsi="Arial" w:cs="Arial"/>
                <w:color w:val="000000"/>
                <w:sz w:val="16"/>
              </w:rPr>
              <w:t>Budget</w:t>
            </w:r>
          </w:p>
        </w:tc>
        <w:tc>
          <w:tcPr>
            <w:tcW w:w="975" w:type="dxa"/>
            <w:tcBorders>
              <w:top w:val="nil"/>
              <w:left w:val="nil"/>
              <w:bottom w:val="nil"/>
              <w:right w:val="nil"/>
              <w:tl2br w:val="nil"/>
              <w:tr2bl w:val="nil"/>
            </w:tcBorders>
            <w:shd w:val="clear" w:color="auto" w:fill="FFFFFF"/>
            <w:tcMar>
              <w:left w:w="115" w:type="dxa"/>
              <w:right w:w="115" w:type="dxa"/>
            </w:tcMar>
            <w:vAlign w:val="bottom"/>
          </w:tcPr>
          <w:p w14:paraId="622D1C70" w14:textId="77777777" w:rsidR="00724034" w:rsidRDefault="00FB7D0B">
            <w:pPr>
              <w:jc w:val="right"/>
              <w:rPr>
                <w:rFonts w:ascii="Arial" w:eastAsia="Arial" w:hAnsi="Arial" w:cs="Arial"/>
                <w:color w:val="000000"/>
                <w:sz w:val="16"/>
              </w:rPr>
            </w:pPr>
            <w:r>
              <w:rPr>
                <w:rFonts w:ascii="Arial" w:eastAsia="Arial" w:hAnsi="Arial" w:cs="Arial"/>
                <w:color w:val="000000"/>
                <w:sz w:val="16"/>
              </w:rPr>
              <w:t>Forward</w:t>
            </w:r>
          </w:p>
        </w:tc>
        <w:tc>
          <w:tcPr>
            <w:tcW w:w="975" w:type="dxa"/>
            <w:tcBorders>
              <w:top w:val="nil"/>
              <w:left w:val="nil"/>
              <w:bottom w:val="nil"/>
              <w:right w:val="nil"/>
              <w:tl2br w:val="nil"/>
              <w:tr2bl w:val="nil"/>
            </w:tcBorders>
            <w:shd w:val="clear" w:color="auto" w:fill="FFFFFF"/>
            <w:tcMar>
              <w:left w:w="115" w:type="dxa"/>
              <w:right w:w="115" w:type="dxa"/>
            </w:tcMar>
            <w:vAlign w:val="bottom"/>
          </w:tcPr>
          <w:p w14:paraId="77A8DA5D" w14:textId="77777777" w:rsidR="00724034" w:rsidRDefault="00FB7D0B">
            <w:pPr>
              <w:jc w:val="right"/>
              <w:rPr>
                <w:rFonts w:ascii="Arial" w:eastAsia="Arial" w:hAnsi="Arial" w:cs="Arial"/>
                <w:color w:val="000000"/>
                <w:sz w:val="16"/>
              </w:rPr>
            </w:pPr>
            <w:r>
              <w:rPr>
                <w:rFonts w:ascii="Arial" w:eastAsia="Arial" w:hAnsi="Arial" w:cs="Arial"/>
                <w:color w:val="000000"/>
                <w:sz w:val="16"/>
              </w:rPr>
              <w:t>Forward</w:t>
            </w:r>
          </w:p>
        </w:tc>
        <w:tc>
          <w:tcPr>
            <w:tcW w:w="975" w:type="dxa"/>
            <w:tcBorders>
              <w:top w:val="nil"/>
              <w:left w:val="nil"/>
              <w:bottom w:val="nil"/>
              <w:right w:val="single" w:sz="6" w:space="0" w:color="000000"/>
              <w:tl2br w:val="nil"/>
              <w:tr2bl w:val="nil"/>
            </w:tcBorders>
            <w:shd w:val="clear" w:color="auto" w:fill="FFFFFF"/>
            <w:tcMar>
              <w:left w:w="115" w:type="dxa"/>
              <w:right w:w="115" w:type="dxa"/>
            </w:tcMar>
            <w:vAlign w:val="bottom"/>
          </w:tcPr>
          <w:p w14:paraId="23CE0E49" w14:textId="77777777" w:rsidR="00724034" w:rsidRDefault="00FB7D0B">
            <w:pPr>
              <w:jc w:val="right"/>
              <w:rPr>
                <w:rFonts w:ascii="Arial" w:eastAsia="Arial" w:hAnsi="Arial" w:cs="Arial"/>
                <w:color w:val="000000"/>
                <w:sz w:val="16"/>
              </w:rPr>
            </w:pPr>
            <w:r>
              <w:rPr>
                <w:rFonts w:ascii="Arial" w:eastAsia="Arial" w:hAnsi="Arial" w:cs="Arial"/>
                <w:color w:val="000000"/>
                <w:sz w:val="16"/>
              </w:rPr>
              <w:t>Forward</w:t>
            </w:r>
          </w:p>
        </w:tc>
      </w:tr>
      <w:tr w:rsidR="00724034" w14:paraId="3A26F1C0" w14:textId="77777777">
        <w:tblPrEx>
          <w:tblLook w:val="04A0" w:firstRow="1" w:lastRow="0" w:firstColumn="1" w:lastColumn="0" w:noHBand="0" w:noVBand="1"/>
        </w:tblPrEx>
        <w:trPr>
          <w:trHeight w:val="225"/>
        </w:trPr>
        <w:tc>
          <w:tcPr>
            <w:tcW w:w="3210" w:type="dxa"/>
            <w:tcBorders>
              <w:top w:val="nil"/>
              <w:left w:val="single" w:sz="6" w:space="0" w:color="000000"/>
              <w:bottom w:val="single" w:sz="6" w:space="0" w:color="000000"/>
              <w:right w:val="nil"/>
              <w:tl2br w:val="nil"/>
              <w:tr2bl w:val="nil"/>
            </w:tcBorders>
            <w:shd w:val="clear" w:color="auto" w:fill="FFFFFF"/>
            <w:tcMar>
              <w:left w:w="115" w:type="dxa"/>
              <w:right w:w="115" w:type="dxa"/>
            </w:tcMar>
            <w:vAlign w:val="bottom"/>
          </w:tcPr>
          <w:p w14:paraId="24313C47" w14:textId="77777777" w:rsidR="00724034" w:rsidRDefault="00FB7D0B">
            <w:pPr>
              <w:rPr>
                <w:rFonts w:ascii="Arial" w:eastAsia="Arial" w:hAnsi="Arial" w:cs="Arial"/>
                <w:color w:val="000000"/>
                <w:sz w:val="16"/>
              </w:rPr>
            </w:pPr>
            <w:r>
              <w:rPr>
                <w:rFonts w:ascii="Arial" w:eastAsia="Arial" w:hAnsi="Arial" w:cs="Arial"/>
                <w:color w:val="000000"/>
                <w:sz w:val="16"/>
              </w:rPr>
              <w:t xml:space="preserve">Deliverables </w:t>
            </w:r>
          </w:p>
        </w:tc>
        <w:tc>
          <w:tcPr>
            <w:tcW w:w="975"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0FE22838" w14:textId="77777777" w:rsidR="00724034" w:rsidRDefault="00FB7D0B">
            <w:pPr>
              <w:jc w:val="right"/>
              <w:rPr>
                <w:rFonts w:ascii="Arial" w:eastAsia="Arial" w:hAnsi="Arial" w:cs="Arial"/>
                <w:color w:val="000000"/>
                <w:sz w:val="16"/>
                <w:vertAlign w:val="superscript"/>
              </w:rPr>
            </w:pPr>
            <w:r>
              <w:rPr>
                <w:rFonts w:ascii="Arial" w:eastAsia="Arial" w:hAnsi="Arial" w:cs="Arial"/>
                <w:color w:val="000000"/>
                <w:sz w:val="16"/>
              </w:rPr>
              <w:t>budget</w:t>
            </w:r>
          </w:p>
        </w:tc>
        <w:tc>
          <w:tcPr>
            <w:tcW w:w="975" w:type="dxa"/>
            <w:tcBorders>
              <w:top w:val="nil"/>
              <w:left w:val="nil"/>
              <w:bottom w:val="single" w:sz="6" w:space="0" w:color="000000"/>
              <w:right w:val="nil"/>
              <w:tl2br w:val="nil"/>
              <w:tr2bl w:val="nil"/>
            </w:tcBorders>
            <w:shd w:val="clear" w:color="auto" w:fill="FFFF00"/>
            <w:tcMar>
              <w:left w:w="115" w:type="dxa"/>
              <w:right w:w="115" w:type="dxa"/>
            </w:tcMar>
            <w:vAlign w:val="bottom"/>
          </w:tcPr>
          <w:p w14:paraId="722D9733" w14:textId="77777777" w:rsidR="00724034" w:rsidRDefault="00724034">
            <w:pPr>
              <w:jc w:val="right"/>
              <w:rPr>
                <w:rFonts w:ascii="Arial" w:eastAsia="Arial" w:hAnsi="Arial" w:cs="Arial"/>
                <w:color w:val="000000"/>
                <w:sz w:val="16"/>
              </w:rPr>
            </w:pPr>
          </w:p>
        </w:tc>
        <w:tc>
          <w:tcPr>
            <w:tcW w:w="975"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5A0E7BD5" w14:textId="77777777" w:rsidR="00724034" w:rsidRDefault="00FB7D0B">
            <w:pPr>
              <w:jc w:val="right"/>
              <w:rPr>
                <w:rFonts w:ascii="Arial" w:eastAsia="Arial" w:hAnsi="Arial" w:cs="Arial"/>
                <w:color w:val="000000"/>
                <w:sz w:val="16"/>
              </w:rPr>
            </w:pPr>
            <w:r>
              <w:rPr>
                <w:rFonts w:ascii="Arial" w:eastAsia="Arial" w:hAnsi="Arial" w:cs="Arial"/>
                <w:color w:val="000000"/>
                <w:sz w:val="16"/>
              </w:rPr>
              <w:t>year 1</w:t>
            </w:r>
          </w:p>
        </w:tc>
        <w:tc>
          <w:tcPr>
            <w:tcW w:w="975"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78B18167" w14:textId="77777777" w:rsidR="00724034" w:rsidRDefault="00FB7D0B">
            <w:pPr>
              <w:jc w:val="right"/>
              <w:rPr>
                <w:rFonts w:ascii="Arial" w:eastAsia="Arial" w:hAnsi="Arial" w:cs="Arial"/>
                <w:color w:val="000000"/>
                <w:sz w:val="16"/>
              </w:rPr>
            </w:pPr>
            <w:r>
              <w:rPr>
                <w:rFonts w:ascii="Arial" w:eastAsia="Arial" w:hAnsi="Arial" w:cs="Arial"/>
                <w:color w:val="000000"/>
                <w:sz w:val="16"/>
              </w:rPr>
              <w:t>year 2</w:t>
            </w:r>
          </w:p>
        </w:tc>
        <w:tc>
          <w:tcPr>
            <w:tcW w:w="975" w:type="dxa"/>
            <w:tcBorders>
              <w:top w:val="nil"/>
              <w:left w:val="nil"/>
              <w:bottom w:val="single" w:sz="6" w:space="0" w:color="000000"/>
              <w:right w:val="single" w:sz="6" w:space="0" w:color="000000"/>
              <w:tl2br w:val="nil"/>
              <w:tr2bl w:val="nil"/>
            </w:tcBorders>
            <w:shd w:val="clear" w:color="auto" w:fill="FFFFFF"/>
            <w:tcMar>
              <w:left w:w="115" w:type="dxa"/>
              <w:right w:w="115" w:type="dxa"/>
            </w:tcMar>
            <w:vAlign w:val="bottom"/>
          </w:tcPr>
          <w:p w14:paraId="4CBE4341" w14:textId="77777777" w:rsidR="00724034" w:rsidRDefault="00FB7D0B">
            <w:pPr>
              <w:jc w:val="right"/>
              <w:rPr>
                <w:rFonts w:ascii="Arial" w:eastAsia="Arial" w:hAnsi="Arial" w:cs="Arial"/>
                <w:color w:val="000000"/>
                <w:sz w:val="16"/>
              </w:rPr>
            </w:pPr>
            <w:r>
              <w:rPr>
                <w:rFonts w:ascii="Arial" w:eastAsia="Arial" w:hAnsi="Arial" w:cs="Arial"/>
                <w:color w:val="000000"/>
                <w:sz w:val="16"/>
              </w:rPr>
              <w:t>year 3</w:t>
            </w:r>
          </w:p>
        </w:tc>
      </w:tr>
      <w:tr w:rsidR="00724034" w14:paraId="287A4392" w14:textId="77777777">
        <w:tblPrEx>
          <w:tblLook w:val="04A0" w:firstRow="1" w:lastRow="0" w:firstColumn="1" w:lastColumn="0" w:noHBand="0" w:noVBand="1"/>
        </w:tblPrEx>
        <w:trPr>
          <w:trHeight w:val="60"/>
        </w:trPr>
        <w:tc>
          <w:tcPr>
            <w:tcW w:w="3210" w:type="dxa"/>
            <w:tcBorders>
              <w:top w:val="single" w:sz="6" w:space="0" w:color="000000"/>
              <w:left w:val="single" w:sz="6" w:space="0" w:color="000000"/>
              <w:bottom w:val="nil"/>
              <w:right w:val="nil"/>
              <w:tl2br w:val="nil"/>
              <w:tr2bl w:val="nil"/>
            </w:tcBorders>
            <w:shd w:val="clear" w:color="auto" w:fill="FFFFFF"/>
            <w:tcMar>
              <w:left w:w="115" w:type="dxa"/>
              <w:right w:w="115" w:type="dxa"/>
            </w:tcMar>
            <w:vAlign w:val="bottom"/>
          </w:tcPr>
          <w:p w14:paraId="03152420" w14:textId="77777777" w:rsidR="00724034" w:rsidRDefault="00724034">
            <w:pPr>
              <w:rPr>
                <w:rFonts w:ascii="Arial" w:eastAsia="Arial" w:hAnsi="Arial" w:cs="Arial"/>
                <w:color w:val="000000"/>
                <w:sz w:val="16"/>
              </w:rPr>
            </w:pPr>
          </w:p>
        </w:tc>
        <w:tc>
          <w:tcPr>
            <w:tcW w:w="975"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5D179D24" w14:textId="77777777" w:rsidR="00724034" w:rsidRDefault="00724034">
            <w:pPr>
              <w:jc w:val="right"/>
              <w:rPr>
                <w:rFonts w:ascii="Arial" w:eastAsia="Arial" w:hAnsi="Arial" w:cs="Arial"/>
                <w:color w:val="000000"/>
                <w:sz w:val="16"/>
                <w:vertAlign w:val="superscript"/>
              </w:rPr>
            </w:pPr>
          </w:p>
        </w:tc>
        <w:tc>
          <w:tcPr>
            <w:tcW w:w="975" w:type="dxa"/>
            <w:tcBorders>
              <w:top w:val="single" w:sz="6" w:space="0" w:color="000000"/>
              <w:left w:val="nil"/>
              <w:bottom w:val="nil"/>
              <w:right w:val="nil"/>
              <w:tl2br w:val="nil"/>
              <w:tr2bl w:val="nil"/>
            </w:tcBorders>
            <w:shd w:val="clear" w:color="auto" w:fill="FFFF00"/>
            <w:tcMar>
              <w:left w:w="115" w:type="dxa"/>
              <w:right w:w="115" w:type="dxa"/>
            </w:tcMar>
            <w:vAlign w:val="bottom"/>
          </w:tcPr>
          <w:p w14:paraId="6DF44CCA" w14:textId="77777777" w:rsidR="00724034" w:rsidRDefault="00724034">
            <w:pPr>
              <w:jc w:val="right"/>
              <w:rPr>
                <w:rFonts w:ascii="Arial" w:eastAsia="Arial" w:hAnsi="Arial" w:cs="Arial"/>
                <w:color w:val="000000"/>
                <w:sz w:val="16"/>
                <w:vertAlign w:val="superscript"/>
              </w:rPr>
            </w:pPr>
          </w:p>
        </w:tc>
        <w:tc>
          <w:tcPr>
            <w:tcW w:w="975"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5032C2A4" w14:textId="77777777" w:rsidR="00724034" w:rsidRDefault="00724034">
            <w:pPr>
              <w:jc w:val="right"/>
              <w:rPr>
                <w:rFonts w:ascii="Arial" w:eastAsia="Arial" w:hAnsi="Arial" w:cs="Arial"/>
                <w:color w:val="000000"/>
                <w:sz w:val="16"/>
                <w:vertAlign w:val="superscript"/>
              </w:rPr>
            </w:pPr>
          </w:p>
        </w:tc>
        <w:tc>
          <w:tcPr>
            <w:tcW w:w="975"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4661DEBA" w14:textId="77777777" w:rsidR="00724034" w:rsidRDefault="00724034">
            <w:pPr>
              <w:jc w:val="right"/>
              <w:rPr>
                <w:rFonts w:ascii="Arial" w:eastAsia="Arial" w:hAnsi="Arial" w:cs="Arial"/>
                <w:color w:val="000000"/>
                <w:sz w:val="16"/>
                <w:vertAlign w:val="superscript"/>
              </w:rPr>
            </w:pPr>
          </w:p>
        </w:tc>
        <w:tc>
          <w:tcPr>
            <w:tcW w:w="975" w:type="dxa"/>
            <w:tcBorders>
              <w:top w:val="single" w:sz="6" w:space="0" w:color="000000"/>
              <w:left w:val="nil"/>
              <w:bottom w:val="nil"/>
              <w:right w:val="single" w:sz="6" w:space="0" w:color="000000"/>
              <w:tl2br w:val="nil"/>
              <w:tr2bl w:val="nil"/>
            </w:tcBorders>
            <w:shd w:val="clear" w:color="auto" w:fill="FFFFFF"/>
            <w:tcMar>
              <w:left w:w="115" w:type="dxa"/>
              <w:right w:w="115" w:type="dxa"/>
            </w:tcMar>
            <w:vAlign w:val="bottom"/>
          </w:tcPr>
          <w:p w14:paraId="33AA548C" w14:textId="77777777" w:rsidR="00724034" w:rsidRDefault="00724034">
            <w:pPr>
              <w:jc w:val="right"/>
              <w:rPr>
                <w:rFonts w:ascii="Arial" w:eastAsia="Arial" w:hAnsi="Arial" w:cs="Arial"/>
                <w:color w:val="000000"/>
                <w:sz w:val="16"/>
                <w:vertAlign w:val="superscript"/>
              </w:rPr>
            </w:pPr>
          </w:p>
        </w:tc>
      </w:tr>
      <w:tr w:rsidR="00724034" w14:paraId="49350C25" w14:textId="77777777">
        <w:tblPrEx>
          <w:tblLook w:val="04A0" w:firstRow="1" w:lastRow="0" w:firstColumn="1" w:lastColumn="0" w:noHBand="0" w:noVBand="1"/>
        </w:tblPrEx>
        <w:trPr>
          <w:trHeight w:val="225"/>
        </w:trPr>
        <w:tc>
          <w:tcPr>
            <w:tcW w:w="3210" w:type="dxa"/>
            <w:tcBorders>
              <w:top w:val="nil"/>
              <w:left w:val="single" w:sz="6" w:space="0" w:color="000000"/>
              <w:bottom w:val="nil"/>
              <w:right w:val="nil"/>
              <w:tl2br w:val="nil"/>
              <w:tr2bl w:val="nil"/>
            </w:tcBorders>
            <w:shd w:val="clear" w:color="auto" w:fill="FFFFFF"/>
            <w:tcMar>
              <w:left w:w="115" w:type="dxa"/>
              <w:right w:w="115" w:type="dxa"/>
            </w:tcMar>
            <w:vAlign w:val="bottom"/>
          </w:tcPr>
          <w:p w14:paraId="757F012B" w14:textId="77777777" w:rsidR="00724034" w:rsidRDefault="00FB7D0B">
            <w:pPr>
              <w:rPr>
                <w:rFonts w:ascii="Arial" w:eastAsia="Arial" w:hAnsi="Arial" w:cs="Arial"/>
                <w:color w:val="000000"/>
                <w:sz w:val="16"/>
                <w:vertAlign w:val="superscript"/>
              </w:rPr>
            </w:pPr>
            <w:r>
              <w:rPr>
                <w:rFonts w:ascii="Arial" w:eastAsia="Arial" w:hAnsi="Arial" w:cs="Arial"/>
                <w:color w:val="000000"/>
                <w:sz w:val="16"/>
              </w:rPr>
              <w:t xml:space="preserve">Health Treatment Card Holder Population </w:t>
            </w:r>
          </w:p>
        </w:tc>
        <w:tc>
          <w:tcPr>
            <w:tcW w:w="975" w:type="dxa"/>
            <w:tcBorders>
              <w:top w:val="nil"/>
              <w:left w:val="nil"/>
              <w:bottom w:val="nil"/>
              <w:right w:val="nil"/>
              <w:tl2br w:val="nil"/>
              <w:tr2bl w:val="nil"/>
            </w:tcBorders>
            <w:shd w:val="clear" w:color="auto" w:fill="FFFFFF"/>
            <w:tcMar>
              <w:left w:w="115" w:type="dxa"/>
              <w:right w:w="115" w:type="dxa"/>
            </w:tcMar>
            <w:vAlign w:val="bottom"/>
          </w:tcPr>
          <w:p w14:paraId="245CB340" w14:textId="77777777" w:rsidR="00724034" w:rsidRDefault="00FB7D0B">
            <w:pPr>
              <w:jc w:val="right"/>
              <w:rPr>
                <w:rFonts w:ascii="Arial" w:eastAsia="Arial" w:hAnsi="Arial" w:cs="Arial"/>
                <w:color w:val="000000"/>
                <w:sz w:val="16"/>
                <w:vertAlign w:val="superscript"/>
              </w:rPr>
            </w:pPr>
            <w:r>
              <w:rPr>
                <w:rFonts w:ascii="Arial" w:eastAsia="Arial" w:hAnsi="Arial" w:cs="Arial"/>
                <w:color w:val="000000"/>
                <w:sz w:val="16"/>
              </w:rPr>
              <w:t xml:space="preserve"> 215,900 </w:t>
            </w:r>
          </w:p>
        </w:tc>
        <w:tc>
          <w:tcPr>
            <w:tcW w:w="975" w:type="dxa"/>
            <w:tcBorders>
              <w:top w:val="nil"/>
              <w:left w:val="nil"/>
              <w:bottom w:val="nil"/>
              <w:right w:val="nil"/>
              <w:tl2br w:val="nil"/>
              <w:tr2bl w:val="nil"/>
            </w:tcBorders>
            <w:shd w:val="clear" w:color="auto" w:fill="FFFF00"/>
            <w:tcMar>
              <w:left w:w="115" w:type="dxa"/>
              <w:right w:w="115" w:type="dxa"/>
            </w:tcMar>
            <w:vAlign w:val="bottom"/>
          </w:tcPr>
          <w:p w14:paraId="135575FE" w14:textId="77777777" w:rsidR="00724034" w:rsidRDefault="00FB7D0B">
            <w:pPr>
              <w:jc w:val="right"/>
              <w:rPr>
                <w:rFonts w:ascii="Arial" w:eastAsia="Arial" w:hAnsi="Arial" w:cs="Arial"/>
                <w:color w:val="000000"/>
                <w:sz w:val="16"/>
              </w:rPr>
            </w:pPr>
            <w:r>
              <w:rPr>
                <w:rFonts w:ascii="Arial" w:eastAsia="Arial" w:hAnsi="Arial" w:cs="Arial"/>
                <w:color w:val="000000"/>
                <w:sz w:val="16"/>
              </w:rPr>
              <w:t xml:space="preserve"> 204,000 </w:t>
            </w:r>
          </w:p>
        </w:tc>
        <w:tc>
          <w:tcPr>
            <w:tcW w:w="975" w:type="dxa"/>
            <w:tcBorders>
              <w:top w:val="nil"/>
              <w:left w:val="nil"/>
              <w:bottom w:val="nil"/>
              <w:right w:val="nil"/>
              <w:tl2br w:val="nil"/>
              <w:tr2bl w:val="nil"/>
            </w:tcBorders>
            <w:shd w:val="clear" w:color="auto" w:fill="FFFFFF"/>
            <w:tcMar>
              <w:left w:w="115" w:type="dxa"/>
              <w:right w:w="115" w:type="dxa"/>
            </w:tcMar>
            <w:vAlign w:val="bottom"/>
          </w:tcPr>
          <w:p w14:paraId="509C5FA6" w14:textId="77777777" w:rsidR="00724034" w:rsidRDefault="00FB7D0B">
            <w:pPr>
              <w:jc w:val="right"/>
              <w:rPr>
                <w:rFonts w:ascii="Arial" w:eastAsia="Arial" w:hAnsi="Arial" w:cs="Arial"/>
                <w:color w:val="000000"/>
                <w:sz w:val="16"/>
              </w:rPr>
            </w:pPr>
            <w:r>
              <w:rPr>
                <w:rFonts w:ascii="Arial" w:eastAsia="Arial" w:hAnsi="Arial" w:cs="Arial"/>
                <w:color w:val="000000"/>
                <w:sz w:val="16"/>
              </w:rPr>
              <w:t xml:space="preserve"> 192,900 </w:t>
            </w:r>
          </w:p>
        </w:tc>
        <w:tc>
          <w:tcPr>
            <w:tcW w:w="975" w:type="dxa"/>
            <w:tcBorders>
              <w:top w:val="nil"/>
              <w:left w:val="nil"/>
              <w:bottom w:val="nil"/>
              <w:right w:val="nil"/>
              <w:tl2br w:val="nil"/>
              <w:tr2bl w:val="nil"/>
            </w:tcBorders>
            <w:shd w:val="clear" w:color="auto" w:fill="FFFFFF"/>
            <w:tcMar>
              <w:left w:w="115" w:type="dxa"/>
              <w:right w:w="115" w:type="dxa"/>
            </w:tcMar>
            <w:vAlign w:val="bottom"/>
          </w:tcPr>
          <w:p w14:paraId="1A0E3CFF" w14:textId="77777777" w:rsidR="00724034" w:rsidRDefault="00FB7D0B">
            <w:pPr>
              <w:jc w:val="right"/>
              <w:rPr>
                <w:rFonts w:ascii="Arial" w:eastAsia="Arial" w:hAnsi="Arial" w:cs="Arial"/>
                <w:color w:val="000000"/>
                <w:sz w:val="16"/>
              </w:rPr>
            </w:pPr>
            <w:r>
              <w:rPr>
                <w:rFonts w:ascii="Arial" w:eastAsia="Arial" w:hAnsi="Arial" w:cs="Arial"/>
                <w:color w:val="000000"/>
                <w:sz w:val="16"/>
              </w:rPr>
              <w:t xml:space="preserve"> 182,500 </w:t>
            </w:r>
          </w:p>
        </w:tc>
        <w:tc>
          <w:tcPr>
            <w:tcW w:w="975" w:type="dxa"/>
            <w:tcBorders>
              <w:top w:val="nil"/>
              <w:left w:val="nil"/>
              <w:bottom w:val="nil"/>
              <w:right w:val="single" w:sz="6" w:space="0" w:color="000000"/>
              <w:tl2br w:val="nil"/>
              <w:tr2bl w:val="nil"/>
            </w:tcBorders>
            <w:shd w:val="clear" w:color="auto" w:fill="FFFFFF"/>
            <w:tcMar>
              <w:left w:w="115" w:type="dxa"/>
              <w:right w:w="115" w:type="dxa"/>
            </w:tcMar>
            <w:vAlign w:val="bottom"/>
          </w:tcPr>
          <w:p w14:paraId="2F46C660" w14:textId="77777777" w:rsidR="00724034" w:rsidRDefault="00FB7D0B">
            <w:pPr>
              <w:jc w:val="right"/>
              <w:rPr>
                <w:rFonts w:ascii="Arial" w:eastAsia="Arial" w:hAnsi="Arial" w:cs="Arial"/>
                <w:color w:val="000000"/>
                <w:sz w:val="16"/>
              </w:rPr>
            </w:pPr>
            <w:r>
              <w:rPr>
                <w:rFonts w:ascii="Arial" w:eastAsia="Arial" w:hAnsi="Arial" w:cs="Arial"/>
                <w:color w:val="000000"/>
                <w:sz w:val="16"/>
              </w:rPr>
              <w:t xml:space="preserve"> 172,900 </w:t>
            </w:r>
          </w:p>
        </w:tc>
      </w:tr>
      <w:tr w:rsidR="00724034" w14:paraId="4CFF8ECA" w14:textId="77777777">
        <w:tblPrEx>
          <w:tblLook w:val="04A0" w:firstRow="1" w:lastRow="0" w:firstColumn="1" w:lastColumn="0" w:noHBand="0" w:noVBand="1"/>
        </w:tblPrEx>
        <w:trPr>
          <w:trHeight w:val="60"/>
        </w:trPr>
        <w:tc>
          <w:tcPr>
            <w:tcW w:w="3210" w:type="dxa"/>
            <w:tcBorders>
              <w:top w:val="nil"/>
              <w:left w:val="single" w:sz="6" w:space="0" w:color="000000"/>
              <w:bottom w:val="nil"/>
              <w:right w:val="nil"/>
              <w:tl2br w:val="nil"/>
              <w:tr2bl w:val="nil"/>
            </w:tcBorders>
            <w:shd w:val="clear" w:color="auto" w:fill="FFFFFF"/>
            <w:tcMar>
              <w:left w:w="115" w:type="dxa"/>
              <w:right w:w="115" w:type="dxa"/>
            </w:tcMar>
            <w:vAlign w:val="bottom"/>
          </w:tcPr>
          <w:p w14:paraId="131FB4EC" w14:textId="77777777" w:rsidR="00724034" w:rsidRDefault="00724034">
            <w:pPr>
              <w:rPr>
                <w:rFonts w:ascii="Arial" w:eastAsia="Arial" w:hAnsi="Arial" w:cs="Arial"/>
                <w:color w:val="000000"/>
                <w:sz w:val="16"/>
              </w:rPr>
            </w:pPr>
          </w:p>
        </w:tc>
        <w:tc>
          <w:tcPr>
            <w:tcW w:w="975" w:type="dxa"/>
            <w:tcBorders>
              <w:top w:val="nil"/>
              <w:left w:val="nil"/>
              <w:bottom w:val="nil"/>
              <w:right w:val="nil"/>
              <w:tl2br w:val="nil"/>
              <w:tr2bl w:val="nil"/>
            </w:tcBorders>
            <w:shd w:val="clear" w:color="auto" w:fill="FFFFFF"/>
            <w:tcMar>
              <w:left w:w="115" w:type="dxa"/>
              <w:right w:w="115" w:type="dxa"/>
            </w:tcMar>
            <w:vAlign w:val="bottom"/>
          </w:tcPr>
          <w:p w14:paraId="426C6E2B" w14:textId="77777777" w:rsidR="00724034" w:rsidRDefault="00724034">
            <w:pPr>
              <w:jc w:val="right"/>
              <w:rPr>
                <w:rFonts w:ascii="Arial" w:eastAsia="Arial" w:hAnsi="Arial" w:cs="Arial"/>
                <w:i/>
                <w:color w:val="000000"/>
                <w:sz w:val="16"/>
                <w:vertAlign w:val="superscript"/>
              </w:rPr>
            </w:pPr>
          </w:p>
        </w:tc>
        <w:tc>
          <w:tcPr>
            <w:tcW w:w="975" w:type="dxa"/>
            <w:tcBorders>
              <w:top w:val="nil"/>
              <w:left w:val="nil"/>
              <w:bottom w:val="nil"/>
              <w:right w:val="nil"/>
              <w:tl2br w:val="nil"/>
              <w:tr2bl w:val="nil"/>
            </w:tcBorders>
            <w:shd w:val="clear" w:color="auto" w:fill="FFFF00"/>
            <w:tcMar>
              <w:left w:w="115" w:type="dxa"/>
              <w:right w:w="115" w:type="dxa"/>
            </w:tcMar>
            <w:vAlign w:val="bottom"/>
          </w:tcPr>
          <w:p w14:paraId="54CB3672" w14:textId="77777777" w:rsidR="00724034" w:rsidRDefault="00724034">
            <w:pPr>
              <w:jc w:val="right"/>
              <w:rPr>
                <w:rFonts w:ascii="Arial" w:eastAsia="Arial" w:hAnsi="Arial" w:cs="Arial"/>
                <w:color w:val="000000"/>
                <w:sz w:val="16"/>
                <w:vertAlign w:val="superscript"/>
              </w:rPr>
            </w:pPr>
          </w:p>
        </w:tc>
        <w:tc>
          <w:tcPr>
            <w:tcW w:w="975" w:type="dxa"/>
            <w:tcBorders>
              <w:top w:val="nil"/>
              <w:left w:val="nil"/>
              <w:bottom w:val="nil"/>
              <w:right w:val="nil"/>
              <w:tl2br w:val="nil"/>
              <w:tr2bl w:val="nil"/>
            </w:tcBorders>
            <w:shd w:val="clear" w:color="auto" w:fill="FFFFFF"/>
            <w:tcMar>
              <w:left w:w="115" w:type="dxa"/>
              <w:right w:w="115" w:type="dxa"/>
            </w:tcMar>
            <w:vAlign w:val="bottom"/>
          </w:tcPr>
          <w:p w14:paraId="12F4908E" w14:textId="77777777" w:rsidR="00724034" w:rsidRDefault="00724034">
            <w:pPr>
              <w:jc w:val="right"/>
              <w:rPr>
                <w:rFonts w:ascii="Arial" w:eastAsia="Arial" w:hAnsi="Arial" w:cs="Arial"/>
                <w:color w:val="000000"/>
                <w:sz w:val="16"/>
                <w:vertAlign w:val="superscript"/>
              </w:rPr>
            </w:pPr>
          </w:p>
        </w:tc>
        <w:tc>
          <w:tcPr>
            <w:tcW w:w="975" w:type="dxa"/>
            <w:tcBorders>
              <w:top w:val="nil"/>
              <w:left w:val="nil"/>
              <w:bottom w:val="nil"/>
              <w:right w:val="nil"/>
              <w:tl2br w:val="nil"/>
              <w:tr2bl w:val="nil"/>
            </w:tcBorders>
            <w:shd w:val="clear" w:color="auto" w:fill="FFFFFF"/>
            <w:tcMar>
              <w:left w:w="115" w:type="dxa"/>
              <w:right w:w="115" w:type="dxa"/>
            </w:tcMar>
            <w:vAlign w:val="bottom"/>
          </w:tcPr>
          <w:p w14:paraId="4B5A4298" w14:textId="77777777" w:rsidR="00724034" w:rsidRDefault="00724034">
            <w:pPr>
              <w:jc w:val="right"/>
              <w:rPr>
                <w:rFonts w:ascii="Arial" w:eastAsia="Arial" w:hAnsi="Arial" w:cs="Arial"/>
                <w:color w:val="000000"/>
                <w:sz w:val="16"/>
                <w:vertAlign w:val="superscript"/>
              </w:rPr>
            </w:pPr>
          </w:p>
        </w:tc>
        <w:tc>
          <w:tcPr>
            <w:tcW w:w="975" w:type="dxa"/>
            <w:tcBorders>
              <w:top w:val="nil"/>
              <w:left w:val="nil"/>
              <w:bottom w:val="nil"/>
              <w:right w:val="single" w:sz="6" w:space="0" w:color="000000"/>
              <w:tl2br w:val="nil"/>
              <w:tr2bl w:val="nil"/>
            </w:tcBorders>
            <w:shd w:val="clear" w:color="auto" w:fill="FFFFFF"/>
            <w:tcMar>
              <w:left w:w="115" w:type="dxa"/>
              <w:right w:w="115" w:type="dxa"/>
            </w:tcMar>
            <w:vAlign w:val="bottom"/>
          </w:tcPr>
          <w:p w14:paraId="60B9A519" w14:textId="77777777" w:rsidR="00724034" w:rsidRDefault="00724034">
            <w:pPr>
              <w:jc w:val="right"/>
              <w:rPr>
                <w:rFonts w:ascii="Arial" w:eastAsia="Arial" w:hAnsi="Arial" w:cs="Arial"/>
                <w:color w:val="000000"/>
                <w:sz w:val="16"/>
                <w:vertAlign w:val="superscript"/>
              </w:rPr>
            </w:pPr>
          </w:p>
        </w:tc>
      </w:tr>
      <w:tr w:rsidR="00724034" w14:paraId="4BF56804" w14:textId="77777777">
        <w:tblPrEx>
          <w:tblLook w:val="04A0" w:firstRow="1" w:lastRow="0" w:firstColumn="1" w:lastColumn="0" w:noHBand="0" w:noVBand="1"/>
        </w:tblPrEx>
        <w:trPr>
          <w:trHeight w:val="225"/>
        </w:trPr>
        <w:tc>
          <w:tcPr>
            <w:tcW w:w="3210" w:type="dxa"/>
            <w:tcBorders>
              <w:top w:val="nil"/>
              <w:left w:val="single" w:sz="6" w:space="0" w:color="000000"/>
              <w:bottom w:val="nil"/>
              <w:right w:val="nil"/>
              <w:tl2br w:val="nil"/>
              <w:tr2bl w:val="nil"/>
            </w:tcBorders>
            <w:shd w:val="clear" w:color="auto" w:fill="FFFFFF"/>
            <w:tcMar>
              <w:left w:w="115" w:type="dxa"/>
              <w:right w:w="115" w:type="dxa"/>
            </w:tcMar>
            <w:vAlign w:val="bottom"/>
          </w:tcPr>
          <w:p w14:paraId="0315CC01" w14:textId="77777777" w:rsidR="00724034" w:rsidRDefault="00FB7D0B">
            <w:pPr>
              <w:rPr>
                <w:rFonts w:ascii="Arial" w:eastAsia="Arial" w:hAnsi="Arial" w:cs="Arial"/>
                <w:color w:val="000000"/>
                <w:sz w:val="16"/>
                <w:vertAlign w:val="superscript"/>
              </w:rPr>
            </w:pPr>
            <w:r>
              <w:rPr>
                <w:rFonts w:ascii="Arial" w:eastAsia="Arial" w:hAnsi="Arial" w:cs="Arial"/>
                <w:b/>
                <w:i/>
                <w:color w:val="000000"/>
                <w:sz w:val="16"/>
              </w:rPr>
              <w:t>Travel for Treatment:</w:t>
            </w:r>
          </w:p>
        </w:tc>
        <w:tc>
          <w:tcPr>
            <w:tcW w:w="975" w:type="dxa"/>
            <w:tcBorders>
              <w:top w:val="nil"/>
              <w:left w:val="nil"/>
              <w:bottom w:val="nil"/>
              <w:right w:val="nil"/>
              <w:tl2br w:val="nil"/>
              <w:tr2bl w:val="nil"/>
            </w:tcBorders>
            <w:shd w:val="clear" w:color="auto" w:fill="FFFFFF"/>
            <w:tcMar>
              <w:left w:w="115" w:type="dxa"/>
              <w:right w:w="115" w:type="dxa"/>
            </w:tcMar>
            <w:vAlign w:val="bottom"/>
          </w:tcPr>
          <w:p w14:paraId="763FF610" w14:textId="77777777" w:rsidR="00724034" w:rsidRDefault="00724034">
            <w:pPr>
              <w:jc w:val="right"/>
              <w:rPr>
                <w:rFonts w:ascii="Arial" w:eastAsia="Arial" w:hAnsi="Arial" w:cs="Arial"/>
                <w:b/>
                <w:i/>
                <w:color w:val="000000"/>
                <w:sz w:val="16"/>
                <w:vertAlign w:val="superscript"/>
              </w:rPr>
            </w:pPr>
          </w:p>
        </w:tc>
        <w:tc>
          <w:tcPr>
            <w:tcW w:w="975" w:type="dxa"/>
            <w:tcBorders>
              <w:top w:val="nil"/>
              <w:left w:val="nil"/>
              <w:bottom w:val="nil"/>
              <w:right w:val="nil"/>
              <w:tl2br w:val="nil"/>
              <w:tr2bl w:val="nil"/>
            </w:tcBorders>
            <w:shd w:val="clear" w:color="auto" w:fill="FFFF00"/>
            <w:tcMar>
              <w:left w:w="115" w:type="dxa"/>
              <w:right w:w="115" w:type="dxa"/>
            </w:tcMar>
            <w:vAlign w:val="bottom"/>
          </w:tcPr>
          <w:p w14:paraId="0ECFAA65" w14:textId="77777777" w:rsidR="00724034" w:rsidRDefault="00724034">
            <w:pPr>
              <w:jc w:val="right"/>
              <w:rPr>
                <w:rFonts w:ascii="Arial" w:eastAsia="Arial" w:hAnsi="Arial" w:cs="Arial"/>
                <w:color w:val="000000"/>
                <w:sz w:val="16"/>
                <w:vertAlign w:val="superscript"/>
              </w:rPr>
            </w:pPr>
          </w:p>
        </w:tc>
        <w:tc>
          <w:tcPr>
            <w:tcW w:w="975" w:type="dxa"/>
            <w:tcBorders>
              <w:top w:val="nil"/>
              <w:left w:val="nil"/>
              <w:bottom w:val="nil"/>
              <w:right w:val="nil"/>
              <w:tl2br w:val="nil"/>
              <w:tr2bl w:val="nil"/>
            </w:tcBorders>
            <w:shd w:val="clear" w:color="auto" w:fill="FFFFFF"/>
            <w:tcMar>
              <w:left w:w="115" w:type="dxa"/>
              <w:right w:w="115" w:type="dxa"/>
            </w:tcMar>
            <w:vAlign w:val="bottom"/>
          </w:tcPr>
          <w:p w14:paraId="4FC8A25B" w14:textId="77777777" w:rsidR="00724034" w:rsidRDefault="00724034">
            <w:pPr>
              <w:jc w:val="right"/>
              <w:rPr>
                <w:rFonts w:ascii="Arial" w:eastAsia="Arial" w:hAnsi="Arial" w:cs="Arial"/>
                <w:color w:val="000000"/>
                <w:sz w:val="16"/>
                <w:vertAlign w:val="superscript"/>
              </w:rPr>
            </w:pPr>
          </w:p>
        </w:tc>
        <w:tc>
          <w:tcPr>
            <w:tcW w:w="975" w:type="dxa"/>
            <w:tcBorders>
              <w:top w:val="nil"/>
              <w:left w:val="nil"/>
              <w:bottom w:val="nil"/>
              <w:right w:val="nil"/>
              <w:tl2br w:val="nil"/>
              <w:tr2bl w:val="nil"/>
            </w:tcBorders>
            <w:shd w:val="clear" w:color="auto" w:fill="FFFFFF"/>
            <w:tcMar>
              <w:left w:w="115" w:type="dxa"/>
              <w:right w:w="115" w:type="dxa"/>
            </w:tcMar>
            <w:vAlign w:val="bottom"/>
          </w:tcPr>
          <w:p w14:paraId="5F0969B4" w14:textId="77777777" w:rsidR="00724034" w:rsidRDefault="00724034">
            <w:pPr>
              <w:jc w:val="right"/>
              <w:rPr>
                <w:rFonts w:ascii="Arial" w:eastAsia="Arial" w:hAnsi="Arial" w:cs="Arial"/>
                <w:color w:val="000000"/>
                <w:sz w:val="16"/>
                <w:vertAlign w:val="superscript"/>
              </w:rPr>
            </w:pPr>
          </w:p>
        </w:tc>
        <w:tc>
          <w:tcPr>
            <w:tcW w:w="975" w:type="dxa"/>
            <w:tcBorders>
              <w:top w:val="nil"/>
              <w:left w:val="nil"/>
              <w:bottom w:val="nil"/>
              <w:right w:val="single" w:sz="6" w:space="0" w:color="000000"/>
              <w:tl2br w:val="nil"/>
              <w:tr2bl w:val="nil"/>
            </w:tcBorders>
            <w:shd w:val="clear" w:color="auto" w:fill="FFFFFF"/>
            <w:tcMar>
              <w:left w:w="115" w:type="dxa"/>
              <w:right w:w="115" w:type="dxa"/>
            </w:tcMar>
            <w:vAlign w:val="bottom"/>
          </w:tcPr>
          <w:p w14:paraId="072906C5" w14:textId="77777777" w:rsidR="00724034" w:rsidRDefault="00724034">
            <w:pPr>
              <w:jc w:val="right"/>
              <w:rPr>
                <w:rFonts w:ascii="Arial" w:eastAsia="Arial" w:hAnsi="Arial" w:cs="Arial"/>
                <w:color w:val="000000"/>
                <w:sz w:val="16"/>
                <w:vertAlign w:val="superscript"/>
              </w:rPr>
            </w:pPr>
          </w:p>
        </w:tc>
      </w:tr>
      <w:tr w:rsidR="00724034" w14:paraId="6829CE4E" w14:textId="77777777">
        <w:tblPrEx>
          <w:tblLook w:val="04A0" w:firstRow="1" w:lastRow="0" w:firstColumn="1" w:lastColumn="0" w:noHBand="0" w:noVBand="1"/>
        </w:tblPrEx>
        <w:trPr>
          <w:trHeight w:val="60"/>
        </w:trPr>
        <w:tc>
          <w:tcPr>
            <w:tcW w:w="3210" w:type="dxa"/>
            <w:tcBorders>
              <w:top w:val="nil"/>
              <w:left w:val="single" w:sz="6" w:space="0" w:color="000000"/>
              <w:bottom w:val="nil"/>
              <w:right w:val="nil"/>
              <w:tl2br w:val="nil"/>
              <w:tr2bl w:val="nil"/>
            </w:tcBorders>
            <w:shd w:val="clear" w:color="auto" w:fill="FFFFFF"/>
            <w:tcMar>
              <w:left w:w="115" w:type="dxa"/>
              <w:right w:w="115" w:type="dxa"/>
            </w:tcMar>
            <w:vAlign w:val="bottom"/>
          </w:tcPr>
          <w:p w14:paraId="20A440FD" w14:textId="77777777" w:rsidR="00724034" w:rsidRDefault="00724034">
            <w:pPr>
              <w:rPr>
                <w:rFonts w:ascii="Arial" w:eastAsia="Arial" w:hAnsi="Arial" w:cs="Arial"/>
                <w:color w:val="000000"/>
                <w:sz w:val="16"/>
                <w:vertAlign w:val="superscript"/>
              </w:rPr>
            </w:pPr>
          </w:p>
        </w:tc>
        <w:tc>
          <w:tcPr>
            <w:tcW w:w="975" w:type="dxa"/>
            <w:tcBorders>
              <w:top w:val="nil"/>
              <w:left w:val="nil"/>
              <w:bottom w:val="nil"/>
              <w:right w:val="nil"/>
              <w:tl2br w:val="nil"/>
              <w:tr2bl w:val="nil"/>
            </w:tcBorders>
            <w:shd w:val="clear" w:color="auto" w:fill="FFFFFF"/>
            <w:tcMar>
              <w:left w:w="115" w:type="dxa"/>
              <w:right w:w="115" w:type="dxa"/>
            </w:tcMar>
            <w:vAlign w:val="bottom"/>
          </w:tcPr>
          <w:p w14:paraId="585DF417" w14:textId="77777777" w:rsidR="00724034" w:rsidRDefault="00724034">
            <w:pPr>
              <w:jc w:val="right"/>
              <w:rPr>
                <w:rFonts w:ascii="Arial" w:eastAsia="Arial" w:hAnsi="Arial" w:cs="Arial"/>
                <w:i/>
                <w:color w:val="000000"/>
                <w:sz w:val="16"/>
                <w:vertAlign w:val="superscript"/>
              </w:rPr>
            </w:pPr>
          </w:p>
        </w:tc>
        <w:tc>
          <w:tcPr>
            <w:tcW w:w="975" w:type="dxa"/>
            <w:tcBorders>
              <w:top w:val="nil"/>
              <w:left w:val="nil"/>
              <w:bottom w:val="nil"/>
              <w:right w:val="nil"/>
              <w:tl2br w:val="nil"/>
              <w:tr2bl w:val="nil"/>
            </w:tcBorders>
            <w:shd w:val="clear" w:color="auto" w:fill="FFFF00"/>
            <w:tcMar>
              <w:left w:w="115" w:type="dxa"/>
              <w:right w:w="115" w:type="dxa"/>
            </w:tcMar>
            <w:vAlign w:val="bottom"/>
          </w:tcPr>
          <w:p w14:paraId="2769E974" w14:textId="77777777" w:rsidR="00724034" w:rsidRDefault="00724034">
            <w:pPr>
              <w:jc w:val="right"/>
              <w:rPr>
                <w:rFonts w:ascii="Arial" w:eastAsia="Arial" w:hAnsi="Arial" w:cs="Arial"/>
                <w:color w:val="000000"/>
                <w:sz w:val="16"/>
                <w:vertAlign w:val="superscript"/>
              </w:rPr>
            </w:pPr>
          </w:p>
        </w:tc>
        <w:tc>
          <w:tcPr>
            <w:tcW w:w="975" w:type="dxa"/>
            <w:tcBorders>
              <w:top w:val="nil"/>
              <w:left w:val="nil"/>
              <w:bottom w:val="nil"/>
              <w:right w:val="nil"/>
              <w:tl2br w:val="nil"/>
              <w:tr2bl w:val="nil"/>
            </w:tcBorders>
            <w:shd w:val="clear" w:color="auto" w:fill="FFFFFF"/>
            <w:tcMar>
              <w:left w:w="115" w:type="dxa"/>
              <w:right w:w="115" w:type="dxa"/>
            </w:tcMar>
            <w:vAlign w:val="bottom"/>
          </w:tcPr>
          <w:p w14:paraId="252DCB7A" w14:textId="77777777" w:rsidR="00724034" w:rsidRDefault="00724034">
            <w:pPr>
              <w:jc w:val="right"/>
              <w:rPr>
                <w:rFonts w:ascii="Arial" w:eastAsia="Arial" w:hAnsi="Arial" w:cs="Arial"/>
                <w:color w:val="000000"/>
                <w:sz w:val="16"/>
                <w:vertAlign w:val="superscript"/>
              </w:rPr>
            </w:pPr>
          </w:p>
        </w:tc>
        <w:tc>
          <w:tcPr>
            <w:tcW w:w="975" w:type="dxa"/>
            <w:tcBorders>
              <w:top w:val="nil"/>
              <w:left w:val="nil"/>
              <w:bottom w:val="nil"/>
              <w:right w:val="nil"/>
              <w:tl2br w:val="nil"/>
              <w:tr2bl w:val="nil"/>
            </w:tcBorders>
            <w:shd w:val="clear" w:color="auto" w:fill="FFFFFF"/>
            <w:tcMar>
              <w:left w:w="115" w:type="dxa"/>
              <w:right w:w="115" w:type="dxa"/>
            </w:tcMar>
            <w:vAlign w:val="bottom"/>
          </w:tcPr>
          <w:p w14:paraId="68E3D3F8" w14:textId="77777777" w:rsidR="00724034" w:rsidRDefault="00724034">
            <w:pPr>
              <w:jc w:val="right"/>
              <w:rPr>
                <w:rFonts w:ascii="Arial" w:eastAsia="Arial" w:hAnsi="Arial" w:cs="Arial"/>
                <w:color w:val="000000"/>
                <w:sz w:val="16"/>
                <w:vertAlign w:val="superscript"/>
              </w:rPr>
            </w:pPr>
          </w:p>
        </w:tc>
        <w:tc>
          <w:tcPr>
            <w:tcW w:w="975" w:type="dxa"/>
            <w:tcBorders>
              <w:top w:val="nil"/>
              <w:left w:val="nil"/>
              <w:bottom w:val="nil"/>
              <w:right w:val="single" w:sz="6" w:space="0" w:color="000000"/>
              <w:tl2br w:val="nil"/>
              <w:tr2bl w:val="nil"/>
            </w:tcBorders>
            <w:shd w:val="clear" w:color="auto" w:fill="FFFFFF"/>
            <w:tcMar>
              <w:left w:w="115" w:type="dxa"/>
              <w:right w:w="115" w:type="dxa"/>
            </w:tcMar>
            <w:vAlign w:val="bottom"/>
          </w:tcPr>
          <w:p w14:paraId="0747CA55" w14:textId="77777777" w:rsidR="00724034" w:rsidRDefault="00724034">
            <w:pPr>
              <w:jc w:val="right"/>
              <w:rPr>
                <w:rFonts w:ascii="Arial" w:eastAsia="Arial" w:hAnsi="Arial" w:cs="Arial"/>
                <w:color w:val="000000"/>
                <w:sz w:val="16"/>
                <w:vertAlign w:val="superscript"/>
              </w:rPr>
            </w:pPr>
          </w:p>
        </w:tc>
      </w:tr>
      <w:tr w:rsidR="00724034" w14:paraId="2D591452" w14:textId="77777777">
        <w:tblPrEx>
          <w:tblLook w:val="04A0" w:firstRow="1" w:lastRow="0" w:firstColumn="1" w:lastColumn="0" w:noHBand="0" w:noVBand="1"/>
        </w:tblPrEx>
        <w:trPr>
          <w:trHeight w:val="450"/>
        </w:trPr>
        <w:tc>
          <w:tcPr>
            <w:tcW w:w="3210" w:type="dxa"/>
            <w:tcBorders>
              <w:top w:val="nil"/>
              <w:left w:val="single" w:sz="6" w:space="0" w:color="000000"/>
              <w:bottom w:val="nil"/>
              <w:right w:val="nil"/>
              <w:tl2br w:val="nil"/>
              <w:tr2bl w:val="nil"/>
            </w:tcBorders>
            <w:shd w:val="clear" w:color="auto" w:fill="FFFFFF"/>
            <w:tcMar>
              <w:left w:w="115" w:type="dxa"/>
              <w:right w:w="115" w:type="dxa"/>
            </w:tcMar>
            <w:vAlign w:val="bottom"/>
          </w:tcPr>
          <w:p w14:paraId="26DC85B7" w14:textId="77777777" w:rsidR="00724034" w:rsidRDefault="00FB7D0B">
            <w:pPr>
              <w:rPr>
                <w:rFonts w:ascii="Arial" w:eastAsia="Arial" w:hAnsi="Arial" w:cs="Arial"/>
                <w:color w:val="000000"/>
                <w:sz w:val="16"/>
                <w:vertAlign w:val="superscript"/>
              </w:rPr>
            </w:pPr>
            <w:r>
              <w:rPr>
                <w:rFonts w:ascii="Arial" w:eastAsia="Arial" w:hAnsi="Arial" w:cs="Arial"/>
                <w:color w:val="000000"/>
                <w:sz w:val="16"/>
              </w:rPr>
              <w:t>Number of processed claims for reimbursement</w:t>
            </w:r>
          </w:p>
        </w:tc>
        <w:tc>
          <w:tcPr>
            <w:tcW w:w="975" w:type="dxa"/>
            <w:tcBorders>
              <w:top w:val="nil"/>
              <w:left w:val="nil"/>
              <w:bottom w:val="nil"/>
              <w:right w:val="nil"/>
              <w:tl2br w:val="nil"/>
              <w:tr2bl w:val="nil"/>
            </w:tcBorders>
            <w:shd w:val="clear" w:color="auto" w:fill="FFFFFF"/>
            <w:tcMar>
              <w:left w:w="115" w:type="dxa"/>
              <w:right w:w="115" w:type="dxa"/>
            </w:tcMar>
            <w:vAlign w:val="bottom"/>
          </w:tcPr>
          <w:p w14:paraId="75028F39" w14:textId="77777777" w:rsidR="00724034" w:rsidRDefault="00FB7D0B">
            <w:pPr>
              <w:jc w:val="right"/>
              <w:rPr>
                <w:rFonts w:ascii="Arial" w:eastAsia="Arial" w:hAnsi="Arial" w:cs="Arial"/>
                <w:color w:val="000000"/>
                <w:sz w:val="16"/>
                <w:vertAlign w:val="superscript"/>
              </w:rPr>
            </w:pPr>
            <w:r>
              <w:rPr>
                <w:rFonts w:ascii="Arial" w:eastAsia="Arial" w:hAnsi="Arial" w:cs="Arial"/>
                <w:color w:val="000000"/>
                <w:sz w:val="16"/>
              </w:rPr>
              <w:t>156,235 </w:t>
            </w:r>
          </w:p>
        </w:tc>
        <w:tc>
          <w:tcPr>
            <w:tcW w:w="975" w:type="dxa"/>
            <w:tcBorders>
              <w:top w:val="nil"/>
              <w:left w:val="nil"/>
              <w:bottom w:val="nil"/>
              <w:right w:val="nil"/>
              <w:tl2br w:val="nil"/>
              <w:tr2bl w:val="nil"/>
            </w:tcBorders>
            <w:shd w:val="clear" w:color="auto" w:fill="FFFF00"/>
            <w:tcMar>
              <w:left w:w="115" w:type="dxa"/>
              <w:right w:w="115" w:type="dxa"/>
            </w:tcMar>
            <w:vAlign w:val="bottom"/>
          </w:tcPr>
          <w:p w14:paraId="7E3D846D" w14:textId="77777777" w:rsidR="00724034" w:rsidRDefault="00FB7D0B">
            <w:pPr>
              <w:jc w:val="right"/>
              <w:rPr>
                <w:rFonts w:ascii="Arial" w:eastAsia="Arial" w:hAnsi="Arial" w:cs="Arial"/>
                <w:color w:val="000000"/>
                <w:sz w:val="16"/>
              </w:rPr>
            </w:pPr>
            <w:r>
              <w:rPr>
                <w:rFonts w:ascii="Arial" w:eastAsia="Arial" w:hAnsi="Arial" w:cs="Arial"/>
                <w:color w:val="000000"/>
                <w:sz w:val="16"/>
              </w:rPr>
              <w:t>170,300 </w:t>
            </w:r>
          </w:p>
        </w:tc>
        <w:tc>
          <w:tcPr>
            <w:tcW w:w="975" w:type="dxa"/>
            <w:tcBorders>
              <w:top w:val="nil"/>
              <w:left w:val="nil"/>
              <w:bottom w:val="nil"/>
              <w:right w:val="nil"/>
              <w:tl2br w:val="nil"/>
              <w:tr2bl w:val="nil"/>
            </w:tcBorders>
            <w:shd w:val="clear" w:color="auto" w:fill="FFFFFF"/>
            <w:tcMar>
              <w:left w:w="115" w:type="dxa"/>
              <w:right w:w="115" w:type="dxa"/>
            </w:tcMar>
            <w:vAlign w:val="bottom"/>
          </w:tcPr>
          <w:p w14:paraId="190E3A38" w14:textId="77777777" w:rsidR="00724034" w:rsidRDefault="00FB7D0B">
            <w:pPr>
              <w:jc w:val="right"/>
              <w:rPr>
                <w:rFonts w:ascii="Arial" w:eastAsia="Arial" w:hAnsi="Arial" w:cs="Arial"/>
                <w:color w:val="000000"/>
                <w:sz w:val="16"/>
              </w:rPr>
            </w:pPr>
            <w:r>
              <w:rPr>
                <w:rFonts w:ascii="Arial" w:eastAsia="Arial" w:hAnsi="Arial" w:cs="Arial"/>
                <w:color w:val="000000"/>
                <w:sz w:val="16"/>
              </w:rPr>
              <w:t>185,600 </w:t>
            </w:r>
          </w:p>
        </w:tc>
        <w:tc>
          <w:tcPr>
            <w:tcW w:w="975" w:type="dxa"/>
            <w:tcBorders>
              <w:top w:val="nil"/>
              <w:left w:val="nil"/>
              <w:bottom w:val="nil"/>
              <w:right w:val="nil"/>
              <w:tl2br w:val="nil"/>
              <w:tr2bl w:val="nil"/>
            </w:tcBorders>
            <w:shd w:val="clear" w:color="auto" w:fill="FFFFFF"/>
            <w:tcMar>
              <w:left w:w="115" w:type="dxa"/>
              <w:right w:w="115" w:type="dxa"/>
            </w:tcMar>
            <w:vAlign w:val="bottom"/>
          </w:tcPr>
          <w:p w14:paraId="51DC2A1E" w14:textId="77777777" w:rsidR="00724034" w:rsidRDefault="00FB7D0B">
            <w:pPr>
              <w:jc w:val="right"/>
              <w:rPr>
                <w:rFonts w:ascii="Arial" w:eastAsia="Arial" w:hAnsi="Arial" w:cs="Arial"/>
                <w:color w:val="000000"/>
                <w:sz w:val="16"/>
              </w:rPr>
            </w:pPr>
            <w:r>
              <w:rPr>
                <w:rFonts w:ascii="Arial" w:eastAsia="Arial" w:hAnsi="Arial" w:cs="Arial"/>
                <w:color w:val="000000"/>
                <w:sz w:val="16"/>
              </w:rPr>
              <w:t>202,000 </w:t>
            </w:r>
          </w:p>
        </w:tc>
        <w:tc>
          <w:tcPr>
            <w:tcW w:w="975" w:type="dxa"/>
            <w:tcBorders>
              <w:top w:val="nil"/>
              <w:left w:val="nil"/>
              <w:bottom w:val="nil"/>
              <w:right w:val="single" w:sz="6" w:space="0" w:color="000000"/>
              <w:tl2br w:val="nil"/>
              <w:tr2bl w:val="nil"/>
            </w:tcBorders>
            <w:shd w:val="clear" w:color="auto" w:fill="FFFFFF"/>
            <w:tcMar>
              <w:left w:w="115" w:type="dxa"/>
              <w:right w:w="115" w:type="dxa"/>
            </w:tcMar>
            <w:vAlign w:val="bottom"/>
          </w:tcPr>
          <w:p w14:paraId="0648AE73" w14:textId="77777777" w:rsidR="00724034" w:rsidRDefault="00FB7D0B">
            <w:pPr>
              <w:jc w:val="right"/>
              <w:rPr>
                <w:rFonts w:ascii="Arial" w:eastAsia="Arial" w:hAnsi="Arial" w:cs="Arial"/>
                <w:color w:val="000000"/>
                <w:sz w:val="16"/>
              </w:rPr>
            </w:pPr>
            <w:r>
              <w:rPr>
                <w:rFonts w:ascii="Arial" w:eastAsia="Arial" w:hAnsi="Arial" w:cs="Arial"/>
                <w:color w:val="000000"/>
                <w:sz w:val="16"/>
              </w:rPr>
              <w:t xml:space="preserve"> 200,200 </w:t>
            </w:r>
          </w:p>
        </w:tc>
      </w:tr>
      <w:tr w:rsidR="00724034" w14:paraId="61014285" w14:textId="77777777">
        <w:tblPrEx>
          <w:tblLook w:val="04A0" w:firstRow="1" w:lastRow="0" w:firstColumn="1" w:lastColumn="0" w:noHBand="0" w:noVBand="1"/>
        </w:tblPrEx>
        <w:trPr>
          <w:trHeight w:val="60"/>
        </w:trPr>
        <w:tc>
          <w:tcPr>
            <w:tcW w:w="3210" w:type="dxa"/>
            <w:tcBorders>
              <w:top w:val="nil"/>
              <w:left w:val="single" w:sz="6" w:space="0" w:color="000000"/>
              <w:bottom w:val="nil"/>
              <w:right w:val="nil"/>
              <w:tl2br w:val="nil"/>
              <w:tr2bl w:val="nil"/>
            </w:tcBorders>
            <w:shd w:val="clear" w:color="auto" w:fill="FFFFFF"/>
            <w:tcMar>
              <w:left w:w="115" w:type="dxa"/>
              <w:right w:w="115" w:type="dxa"/>
            </w:tcMar>
            <w:vAlign w:val="bottom"/>
          </w:tcPr>
          <w:p w14:paraId="4D6D5D83" w14:textId="77777777" w:rsidR="00724034" w:rsidRDefault="00724034">
            <w:pPr>
              <w:rPr>
                <w:rFonts w:ascii="Arial" w:eastAsia="Arial" w:hAnsi="Arial" w:cs="Arial"/>
                <w:color w:val="000000"/>
                <w:sz w:val="16"/>
              </w:rPr>
            </w:pPr>
          </w:p>
        </w:tc>
        <w:tc>
          <w:tcPr>
            <w:tcW w:w="975" w:type="dxa"/>
            <w:tcBorders>
              <w:top w:val="nil"/>
              <w:left w:val="nil"/>
              <w:bottom w:val="nil"/>
              <w:right w:val="nil"/>
              <w:tl2br w:val="nil"/>
              <w:tr2bl w:val="nil"/>
            </w:tcBorders>
            <w:shd w:val="clear" w:color="auto" w:fill="FFFFFF"/>
            <w:tcMar>
              <w:left w:w="115" w:type="dxa"/>
              <w:right w:w="115" w:type="dxa"/>
            </w:tcMar>
            <w:vAlign w:val="bottom"/>
          </w:tcPr>
          <w:p w14:paraId="77A94E9E" w14:textId="77777777" w:rsidR="00724034" w:rsidRDefault="00724034">
            <w:pPr>
              <w:jc w:val="right"/>
              <w:rPr>
                <w:rFonts w:ascii="Arial" w:eastAsia="Arial" w:hAnsi="Arial" w:cs="Arial"/>
                <w:color w:val="000000"/>
                <w:sz w:val="16"/>
                <w:vertAlign w:val="superscript"/>
              </w:rPr>
            </w:pPr>
          </w:p>
        </w:tc>
        <w:tc>
          <w:tcPr>
            <w:tcW w:w="975" w:type="dxa"/>
            <w:tcBorders>
              <w:top w:val="nil"/>
              <w:left w:val="nil"/>
              <w:bottom w:val="nil"/>
              <w:right w:val="nil"/>
              <w:tl2br w:val="nil"/>
              <w:tr2bl w:val="nil"/>
            </w:tcBorders>
            <w:shd w:val="clear" w:color="auto" w:fill="FFFF00"/>
            <w:tcMar>
              <w:left w:w="115" w:type="dxa"/>
              <w:right w:w="115" w:type="dxa"/>
            </w:tcMar>
            <w:vAlign w:val="bottom"/>
          </w:tcPr>
          <w:p w14:paraId="3539F00C" w14:textId="77777777" w:rsidR="00724034" w:rsidRDefault="00724034">
            <w:pPr>
              <w:jc w:val="right"/>
              <w:rPr>
                <w:rFonts w:ascii="Arial" w:eastAsia="Arial" w:hAnsi="Arial" w:cs="Arial"/>
                <w:color w:val="000000"/>
                <w:sz w:val="16"/>
                <w:vertAlign w:val="superscript"/>
              </w:rPr>
            </w:pPr>
          </w:p>
        </w:tc>
        <w:tc>
          <w:tcPr>
            <w:tcW w:w="975" w:type="dxa"/>
            <w:tcBorders>
              <w:top w:val="nil"/>
              <w:left w:val="nil"/>
              <w:bottom w:val="nil"/>
              <w:right w:val="nil"/>
              <w:tl2br w:val="nil"/>
              <w:tr2bl w:val="nil"/>
            </w:tcBorders>
            <w:shd w:val="clear" w:color="auto" w:fill="FFFFFF"/>
            <w:tcMar>
              <w:left w:w="115" w:type="dxa"/>
              <w:right w:w="115" w:type="dxa"/>
            </w:tcMar>
            <w:vAlign w:val="bottom"/>
          </w:tcPr>
          <w:p w14:paraId="0ABABE86" w14:textId="77777777" w:rsidR="00724034" w:rsidRDefault="00724034">
            <w:pPr>
              <w:jc w:val="right"/>
              <w:rPr>
                <w:rFonts w:ascii="Arial" w:eastAsia="Arial" w:hAnsi="Arial" w:cs="Arial"/>
                <w:color w:val="000000"/>
                <w:sz w:val="16"/>
                <w:vertAlign w:val="superscript"/>
              </w:rPr>
            </w:pPr>
          </w:p>
        </w:tc>
        <w:tc>
          <w:tcPr>
            <w:tcW w:w="975" w:type="dxa"/>
            <w:tcBorders>
              <w:top w:val="nil"/>
              <w:left w:val="nil"/>
              <w:bottom w:val="nil"/>
              <w:right w:val="nil"/>
              <w:tl2br w:val="nil"/>
              <w:tr2bl w:val="nil"/>
            </w:tcBorders>
            <w:shd w:val="clear" w:color="auto" w:fill="FFFFFF"/>
            <w:tcMar>
              <w:left w:w="115" w:type="dxa"/>
              <w:right w:w="115" w:type="dxa"/>
            </w:tcMar>
            <w:vAlign w:val="bottom"/>
          </w:tcPr>
          <w:p w14:paraId="392BDD11" w14:textId="77777777" w:rsidR="00724034" w:rsidRDefault="00724034">
            <w:pPr>
              <w:jc w:val="right"/>
              <w:rPr>
                <w:rFonts w:ascii="Arial" w:eastAsia="Arial" w:hAnsi="Arial" w:cs="Arial"/>
                <w:color w:val="000000"/>
                <w:sz w:val="16"/>
                <w:vertAlign w:val="superscript"/>
              </w:rPr>
            </w:pPr>
          </w:p>
        </w:tc>
        <w:tc>
          <w:tcPr>
            <w:tcW w:w="975" w:type="dxa"/>
            <w:tcBorders>
              <w:top w:val="nil"/>
              <w:left w:val="nil"/>
              <w:bottom w:val="nil"/>
              <w:right w:val="single" w:sz="6" w:space="0" w:color="000000"/>
              <w:tl2br w:val="nil"/>
              <w:tr2bl w:val="nil"/>
            </w:tcBorders>
            <w:shd w:val="clear" w:color="auto" w:fill="FFFFFF"/>
            <w:tcMar>
              <w:left w:w="115" w:type="dxa"/>
              <w:right w:w="115" w:type="dxa"/>
            </w:tcMar>
            <w:vAlign w:val="bottom"/>
          </w:tcPr>
          <w:p w14:paraId="62CCAC77" w14:textId="77777777" w:rsidR="00724034" w:rsidRDefault="00724034">
            <w:pPr>
              <w:jc w:val="right"/>
              <w:rPr>
                <w:rFonts w:ascii="Arial" w:eastAsia="Arial" w:hAnsi="Arial" w:cs="Arial"/>
                <w:color w:val="000000"/>
                <w:sz w:val="16"/>
                <w:vertAlign w:val="superscript"/>
              </w:rPr>
            </w:pPr>
          </w:p>
        </w:tc>
      </w:tr>
      <w:tr w:rsidR="00724034" w14:paraId="5C7DBC47" w14:textId="77777777">
        <w:tblPrEx>
          <w:tblLook w:val="04A0" w:firstRow="1" w:lastRow="0" w:firstColumn="1" w:lastColumn="0" w:noHBand="0" w:noVBand="1"/>
        </w:tblPrEx>
        <w:trPr>
          <w:trHeight w:val="225"/>
        </w:trPr>
        <w:tc>
          <w:tcPr>
            <w:tcW w:w="3210" w:type="dxa"/>
            <w:tcBorders>
              <w:top w:val="nil"/>
              <w:left w:val="single" w:sz="6" w:space="0" w:color="000000"/>
              <w:bottom w:val="nil"/>
              <w:right w:val="nil"/>
              <w:tl2br w:val="nil"/>
              <w:tr2bl w:val="nil"/>
            </w:tcBorders>
            <w:shd w:val="clear" w:color="auto" w:fill="FFFFFF"/>
            <w:tcMar>
              <w:left w:w="115" w:type="dxa"/>
              <w:right w:w="115" w:type="dxa"/>
            </w:tcMar>
            <w:vAlign w:val="bottom"/>
          </w:tcPr>
          <w:p w14:paraId="0861DABC" w14:textId="77777777" w:rsidR="00724034" w:rsidRDefault="00FB7D0B">
            <w:pPr>
              <w:rPr>
                <w:rFonts w:ascii="Arial" w:eastAsia="Arial" w:hAnsi="Arial" w:cs="Arial"/>
                <w:color w:val="000000"/>
                <w:sz w:val="16"/>
                <w:vertAlign w:val="superscript"/>
              </w:rPr>
            </w:pPr>
            <w:r>
              <w:rPr>
                <w:rFonts w:ascii="Arial" w:eastAsia="Arial" w:hAnsi="Arial" w:cs="Arial"/>
                <w:color w:val="000000"/>
                <w:sz w:val="16"/>
              </w:rPr>
              <w:t>Number of DVA arranged person trips</w:t>
            </w:r>
          </w:p>
        </w:tc>
        <w:tc>
          <w:tcPr>
            <w:tcW w:w="975" w:type="dxa"/>
            <w:tcBorders>
              <w:top w:val="nil"/>
              <w:left w:val="nil"/>
              <w:bottom w:val="nil"/>
              <w:right w:val="nil"/>
              <w:tl2br w:val="nil"/>
              <w:tr2bl w:val="nil"/>
            </w:tcBorders>
            <w:shd w:val="clear" w:color="auto" w:fill="FFFFFF"/>
            <w:tcMar>
              <w:left w:w="115" w:type="dxa"/>
              <w:right w:w="115" w:type="dxa"/>
            </w:tcMar>
            <w:vAlign w:val="bottom"/>
          </w:tcPr>
          <w:p w14:paraId="2D111FC9" w14:textId="77777777" w:rsidR="00724034" w:rsidRDefault="00FB7D0B">
            <w:pPr>
              <w:jc w:val="right"/>
              <w:rPr>
                <w:rFonts w:ascii="Arial" w:eastAsia="Arial" w:hAnsi="Arial" w:cs="Arial"/>
                <w:color w:val="000000"/>
                <w:sz w:val="16"/>
                <w:vertAlign w:val="superscript"/>
              </w:rPr>
            </w:pPr>
            <w:r>
              <w:rPr>
                <w:rFonts w:ascii="Arial" w:eastAsia="Arial" w:hAnsi="Arial" w:cs="Arial"/>
                <w:color w:val="000000"/>
                <w:sz w:val="16"/>
              </w:rPr>
              <w:t>1,025,000 </w:t>
            </w:r>
          </w:p>
        </w:tc>
        <w:tc>
          <w:tcPr>
            <w:tcW w:w="975" w:type="dxa"/>
            <w:tcBorders>
              <w:top w:val="nil"/>
              <w:left w:val="nil"/>
              <w:bottom w:val="nil"/>
              <w:right w:val="nil"/>
              <w:tl2br w:val="nil"/>
              <w:tr2bl w:val="nil"/>
            </w:tcBorders>
            <w:shd w:val="clear" w:color="auto" w:fill="FFFF00"/>
            <w:tcMar>
              <w:left w:w="115" w:type="dxa"/>
              <w:right w:w="115" w:type="dxa"/>
            </w:tcMar>
            <w:vAlign w:val="bottom"/>
          </w:tcPr>
          <w:p w14:paraId="04FD326C" w14:textId="77777777" w:rsidR="00724034" w:rsidRDefault="00FB7D0B">
            <w:pPr>
              <w:jc w:val="right"/>
              <w:rPr>
                <w:rFonts w:ascii="Arial" w:eastAsia="Arial" w:hAnsi="Arial" w:cs="Arial"/>
                <w:color w:val="000000"/>
                <w:sz w:val="16"/>
              </w:rPr>
            </w:pPr>
            <w:r>
              <w:rPr>
                <w:rFonts w:ascii="Arial" w:eastAsia="Arial" w:hAnsi="Arial" w:cs="Arial"/>
                <w:color w:val="000000"/>
                <w:sz w:val="16"/>
              </w:rPr>
              <w:t>1,140,000 </w:t>
            </w:r>
          </w:p>
        </w:tc>
        <w:tc>
          <w:tcPr>
            <w:tcW w:w="975" w:type="dxa"/>
            <w:tcBorders>
              <w:top w:val="nil"/>
              <w:left w:val="nil"/>
              <w:bottom w:val="nil"/>
              <w:right w:val="nil"/>
              <w:tl2br w:val="nil"/>
              <w:tr2bl w:val="nil"/>
            </w:tcBorders>
            <w:shd w:val="clear" w:color="auto" w:fill="FFFFFF"/>
            <w:tcMar>
              <w:left w:w="115" w:type="dxa"/>
              <w:right w:w="115" w:type="dxa"/>
            </w:tcMar>
            <w:vAlign w:val="bottom"/>
          </w:tcPr>
          <w:p w14:paraId="008408E5" w14:textId="77777777" w:rsidR="00724034" w:rsidRDefault="00FB7D0B">
            <w:pPr>
              <w:jc w:val="right"/>
              <w:rPr>
                <w:rFonts w:ascii="Arial" w:eastAsia="Arial" w:hAnsi="Arial" w:cs="Arial"/>
                <w:color w:val="000000"/>
                <w:sz w:val="16"/>
              </w:rPr>
            </w:pPr>
            <w:r>
              <w:rPr>
                <w:rFonts w:ascii="Arial" w:eastAsia="Arial" w:hAnsi="Arial" w:cs="Arial"/>
                <w:color w:val="000000"/>
                <w:sz w:val="16"/>
              </w:rPr>
              <w:t>1,260,000 </w:t>
            </w:r>
          </w:p>
        </w:tc>
        <w:tc>
          <w:tcPr>
            <w:tcW w:w="975" w:type="dxa"/>
            <w:tcBorders>
              <w:top w:val="nil"/>
              <w:left w:val="nil"/>
              <w:bottom w:val="nil"/>
              <w:right w:val="nil"/>
              <w:tl2br w:val="nil"/>
              <w:tr2bl w:val="nil"/>
            </w:tcBorders>
            <w:shd w:val="clear" w:color="auto" w:fill="FFFFFF"/>
            <w:tcMar>
              <w:left w:w="115" w:type="dxa"/>
              <w:right w:w="115" w:type="dxa"/>
            </w:tcMar>
            <w:vAlign w:val="bottom"/>
          </w:tcPr>
          <w:p w14:paraId="6455DA62" w14:textId="77777777" w:rsidR="00724034" w:rsidRDefault="00FB7D0B">
            <w:pPr>
              <w:jc w:val="right"/>
              <w:rPr>
                <w:rFonts w:ascii="Arial" w:eastAsia="Arial" w:hAnsi="Arial" w:cs="Arial"/>
                <w:color w:val="000000"/>
                <w:sz w:val="16"/>
              </w:rPr>
            </w:pPr>
            <w:r>
              <w:rPr>
                <w:rFonts w:ascii="Arial" w:eastAsia="Arial" w:hAnsi="Arial" w:cs="Arial"/>
                <w:color w:val="000000"/>
                <w:sz w:val="16"/>
              </w:rPr>
              <w:t>1,400,000 </w:t>
            </w:r>
          </w:p>
        </w:tc>
        <w:tc>
          <w:tcPr>
            <w:tcW w:w="975" w:type="dxa"/>
            <w:tcBorders>
              <w:top w:val="nil"/>
              <w:left w:val="nil"/>
              <w:bottom w:val="nil"/>
              <w:right w:val="single" w:sz="6" w:space="0" w:color="000000"/>
              <w:tl2br w:val="nil"/>
              <w:tr2bl w:val="nil"/>
            </w:tcBorders>
            <w:shd w:val="clear" w:color="auto" w:fill="FFFFFF"/>
            <w:tcMar>
              <w:left w:w="115" w:type="dxa"/>
              <w:right w:w="115" w:type="dxa"/>
            </w:tcMar>
            <w:vAlign w:val="bottom"/>
          </w:tcPr>
          <w:p w14:paraId="4CA7CD59" w14:textId="77777777" w:rsidR="00724034" w:rsidRDefault="00FB7D0B">
            <w:pPr>
              <w:jc w:val="right"/>
              <w:rPr>
                <w:rFonts w:ascii="Arial" w:eastAsia="Arial" w:hAnsi="Arial" w:cs="Arial"/>
                <w:color w:val="000000"/>
                <w:sz w:val="16"/>
              </w:rPr>
            </w:pPr>
            <w:r>
              <w:rPr>
                <w:rFonts w:ascii="Arial" w:eastAsia="Arial" w:hAnsi="Arial" w:cs="Arial"/>
                <w:color w:val="000000"/>
                <w:sz w:val="16"/>
              </w:rPr>
              <w:t xml:space="preserve"> 1,500,000 </w:t>
            </w:r>
          </w:p>
        </w:tc>
      </w:tr>
      <w:tr w:rsidR="00724034" w14:paraId="1E10E169" w14:textId="77777777">
        <w:tblPrEx>
          <w:tblLook w:val="04A0" w:firstRow="1" w:lastRow="0" w:firstColumn="1" w:lastColumn="0" w:noHBand="0" w:noVBand="1"/>
        </w:tblPrEx>
        <w:trPr>
          <w:trHeight w:val="60"/>
        </w:trPr>
        <w:tc>
          <w:tcPr>
            <w:tcW w:w="3210" w:type="dxa"/>
            <w:tcBorders>
              <w:top w:val="nil"/>
              <w:left w:val="single" w:sz="6" w:space="0" w:color="000000"/>
              <w:bottom w:val="nil"/>
              <w:right w:val="nil"/>
              <w:tl2br w:val="nil"/>
              <w:tr2bl w:val="nil"/>
            </w:tcBorders>
            <w:shd w:val="clear" w:color="auto" w:fill="FFFFFF"/>
            <w:tcMar>
              <w:left w:w="115" w:type="dxa"/>
              <w:right w:w="115" w:type="dxa"/>
            </w:tcMar>
            <w:vAlign w:val="bottom"/>
          </w:tcPr>
          <w:p w14:paraId="5EACCDAD" w14:textId="77777777" w:rsidR="00724034" w:rsidRDefault="00724034">
            <w:pPr>
              <w:rPr>
                <w:rFonts w:ascii="Arial" w:eastAsia="Arial" w:hAnsi="Arial" w:cs="Arial"/>
                <w:color w:val="000000"/>
                <w:sz w:val="16"/>
              </w:rPr>
            </w:pPr>
          </w:p>
        </w:tc>
        <w:tc>
          <w:tcPr>
            <w:tcW w:w="975" w:type="dxa"/>
            <w:tcBorders>
              <w:top w:val="nil"/>
              <w:left w:val="nil"/>
              <w:bottom w:val="nil"/>
              <w:right w:val="nil"/>
              <w:tl2br w:val="nil"/>
              <w:tr2bl w:val="nil"/>
            </w:tcBorders>
            <w:shd w:val="clear" w:color="auto" w:fill="FFFFFF"/>
            <w:tcMar>
              <w:left w:w="115" w:type="dxa"/>
              <w:right w:w="115" w:type="dxa"/>
            </w:tcMar>
            <w:vAlign w:val="bottom"/>
          </w:tcPr>
          <w:p w14:paraId="265B568B" w14:textId="77777777" w:rsidR="00724034" w:rsidRDefault="00724034">
            <w:pPr>
              <w:jc w:val="right"/>
              <w:rPr>
                <w:rFonts w:ascii="Arial" w:eastAsia="Arial" w:hAnsi="Arial" w:cs="Arial"/>
                <w:i/>
                <w:color w:val="000000"/>
                <w:sz w:val="16"/>
                <w:vertAlign w:val="superscript"/>
              </w:rPr>
            </w:pPr>
          </w:p>
        </w:tc>
        <w:tc>
          <w:tcPr>
            <w:tcW w:w="975" w:type="dxa"/>
            <w:tcBorders>
              <w:top w:val="nil"/>
              <w:left w:val="nil"/>
              <w:bottom w:val="nil"/>
              <w:right w:val="nil"/>
              <w:tl2br w:val="nil"/>
              <w:tr2bl w:val="nil"/>
            </w:tcBorders>
            <w:shd w:val="clear" w:color="auto" w:fill="FFFF00"/>
            <w:tcMar>
              <w:left w:w="115" w:type="dxa"/>
              <w:right w:w="115" w:type="dxa"/>
            </w:tcMar>
            <w:vAlign w:val="bottom"/>
          </w:tcPr>
          <w:p w14:paraId="1913CD2B" w14:textId="77777777" w:rsidR="00724034" w:rsidRDefault="00724034">
            <w:pPr>
              <w:jc w:val="right"/>
              <w:rPr>
                <w:rFonts w:ascii="Arial" w:eastAsia="Arial" w:hAnsi="Arial" w:cs="Arial"/>
                <w:color w:val="000000"/>
                <w:sz w:val="16"/>
                <w:vertAlign w:val="superscript"/>
              </w:rPr>
            </w:pPr>
          </w:p>
        </w:tc>
        <w:tc>
          <w:tcPr>
            <w:tcW w:w="975" w:type="dxa"/>
            <w:tcBorders>
              <w:top w:val="nil"/>
              <w:left w:val="nil"/>
              <w:bottom w:val="nil"/>
              <w:right w:val="nil"/>
              <w:tl2br w:val="nil"/>
              <w:tr2bl w:val="nil"/>
            </w:tcBorders>
            <w:shd w:val="clear" w:color="auto" w:fill="FFFFFF"/>
            <w:tcMar>
              <w:left w:w="115" w:type="dxa"/>
              <w:right w:w="115" w:type="dxa"/>
            </w:tcMar>
            <w:vAlign w:val="bottom"/>
          </w:tcPr>
          <w:p w14:paraId="27B2A6B7" w14:textId="77777777" w:rsidR="00724034" w:rsidRDefault="00724034">
            <w:pPr>
              <w:jc w:val="right"/>
              <w:rPr>
                <w:rFonts w:ascii="Arial" w:eastAsia="Arial" w:hAnsi="Arial" w:cs="Arial"/>
                <w:color w:val="000000"/>
                <w:sz w:val="16"/>
                <w:vertAlign w:val="superscript"/>
              </w:rPr>
            </w:pPr>
          </w:p>
        </w:tc>
        <w:tc>
          <w:tcPr>
            <w:tcW w:w="975" w:type="dxa"/>
            <w:tcBorders>
              <w:top w:val="nil"/>
              <w:left w:val="nil"/>
              <w:bottom w:val="nil"/>
              <w:right w:val="nil"/>
              <w:tl2br w:val="nil"/>
              <w:tr2bl w:val="nil"/>
            </w:tcBorders>
            <w:shd w:val="clear" w:color="auto" w:fill="FFFFFF"/>
            <w:tcMar>
              <w:left w:w="115" w:type="dxa"/>
              <w:right w:w="115" w:type="dxa"/>
            </w:tcMar>
            <w:vAlign w:val="bottom"/>
          </w:tcPr>
          <w:p w14:paraId="0BB287E3" w14:textId="77777777" w:rsidR="00724034" w:rsidRDefault="00724034">
            <w:pPr>
              <w:jc w:val="right"/>
              <w:rPr>
                <w:rFonts w:ascii="Arial" w:eastAsia="Arial" w:hAnsi="Arial" w:cs="Arial"/>
                <w:color w:val="000000"/>
                <w:sz w:val="16"/>
                <w:vertAlign w:val="superscript"/>
              </w:rPr>
            </w:pPr>
          </w:p>
        </w:tc>
        <w:tc>
          <w:tcPr>
            <w:tcW w:w="975" w:type="dxa"/>
            <w:tcBorders>
              <w:top w:val="nil"/>
              <w:left w:val="nil"/>
              <w:bottom w:val="nil"/>
              <w:right w:val="single" w:sz="6" w:space="0" w:color="000000"/>
              <w:tl2br w:val="nil"/>
              <w:tr2bl w:val="nil"/>
            </w:tcBorders>
            <w:shd w:val="clear" w:color="auto" w:fill="FFFFFF"/>
            <w:tcMar>
              <w:left w:w="115" w:type="dxa"/>
              <w:right w:w="115" w:type="dxa"/>
            </w:tcMar>
            <w:vAlign w:val="bottom"/>
          </w:tcPr>
          <w:p w14:paraId="5B13B4ED" w14:textId="77777777" w:rsidR="00724034" w:rsidRDefault="00724034">
            <w:pPr>
              <w:jc w:val="right"/>
              <w:rPr>
                <w:rFonts w:ascii="Arial" w:eastAsia="Arial" w:hAnsi="Arial" w:cs="Arial"/>
                <w:color w:val="000000"/>
                <w:sz w:val="16"/>
                <w:vertAlign w:val="superscript"/>
              </w:rPr>
            </w:pPr>
          </w:p>
        </w:tc>
      </w:tr>
      <w:tr w:rsidR="00724034" w14:paraId="0AE6998B" w14:textId="77777777">
        <w:tblPrEx>
          <w:tblLook w:val="04A0" w:firstRow="1" w:lastRow="0" w:firstColumn="1" w:lastColumn="0" w:noHBand="0" w:noVBand="1"/>
        </w:tblPrEx>
        <w:trPr>
          <w:trHeight w:val="225"/>
        </w:trPr>
        <w:tc>
          <w:tcPr>
            <w:tcW w:w="3210" w:type="dxa"/>
            <w:tcBorders>
              <w:top w:val="nil"/>
              <w:left w:val="single" w:sz="6" w:space="0" w:color="000000"/>
              <w:bottom w:val="nil"/>
              <w:right w:val="nil"/>
              <w:tl2br w:val="nil"/>
              <w:tr2bl w:val="nil"/>
            </w:tcBorders>
            <w:shd w:val="clear" w:color="auto" w:fill="FFFFFF"/>
            <w:tcMar>
              <w:left w:w="115" w:type="dxa"/>
              <w:right w:w="115" w:type="dxa"/>
            </w:tcMar>
            <w:vAlign w:val="bottom"/>
          </w:tcPr>
          <w:p w14:paraId="08A42F8C" w14:textId="77777777" w:rsidR="00724034" w:rsidRDefault="00FB7D0B">
            <w:pPr>
              <w:rPr>
                <w:rFonts w:ascii="Arial" w:eastAsia="Arial" w:hAnsi="Arial" w:cs="Arial"/>
                <w:color w:val="000000"/>
                <w:sz w:val="16"/>
                <w:vertAlign w:val="superscript"/>
              </w:rPr>
            </w:pPr>
            <w:r>
              <w:rPr>
                <w:rFonts w:ascii="Arial" w:eastAsia="Arial" w:hAnsi="Arial" w:cs="Arial"/>
                <w:b/>
                <w:i/>
                <w:color w:val="000000"/>
                <w:sz w:val="16"/>
              </w:rPr>
              <w:t>Veteran Counselling:</w:t>
            </w:r>
          </w:p>
        </w:tc>
        <w:tc>
          <w:tcPr>
            <w:tcW w:w="975" w:type="dxa"/>
            <w:tcBorders>
              <w:top w:val="nil"/>
              <w:left w:val="nil"/>
              <w:bottom w:val="nil"/>
              <w:right w:val="nil"/>
              <w:tl2br w:val="nil"/>
              <w:tr2bl w:val="nil"/>
            </w:tcBorders>
            <w:shd w:val="clear" w:color="auto" w:fill="FFFFFF"/>
            <w:tcMar>
              <w:left w:w="115" w:type="dxa"/>
              <w:right w:w="115" w:type="dxa"/>
            </w:tcMar>
            <w:vAlign w:val="bottom"/>
          </w:tcPr>
          <w:p w14:paraId="1DC0BC64" w14:textId="77777777" w:rsidR="00724034" w:rsidRDefault="00724034">
            <w:pPr>
              <w:jc w:val="right"/>
              <w:rPr>
                <w:rFonts w:ascii="Arial" w:eastAsia="Arial" w:hAnsi="Arial" w:cs="Arial"/>
                <w:b/>
                <w:i/>
                <w:color w:val="000000"/>
                <w:sz w:val="16"/>
                <w:vertAlign w:val="superscript"/>
              </w:rPr>
            </w:pPr>
          </w:p>
        </w:tc>
        <w:tc>
          <w:tcPr>
            <w:tcW w:w="975" w:type="dxa"/>
            <w:tcBorders>
              <w:top w:val="nil"/>
              <w:left w:val="nil"/>
              <w:bottom w:val="nil"/>
              <w:right w:val="nil"/>
              <w:tl2br w:val="nil"/>
              <w:tr2bl w:val="nil"/>
            </w:tcBorders>
            <w:shd w:val="clear" w:color="auto" w:fill="FFFF00"/>
            <w:tcMar>
              <w:left w:w="115" w:type="dxa"/>
              <w:right w:w="115" w:type="dxa"/>
            </w:tcMar>
            <w:vAlign w:val="bottom"/>
          </w:tcPr>
          <w:p w14:paraId="06081A74" w14:textId="77777777" w:rsidR="00724034" w:rsidRDefault="00724034">
            <w:pPr>
              <w:jc w:val="right"/>
              <w:rPr>
                <w:rFonts w:ascii="Arial" w:eastAsia="Arial" w:hAnsi="Arial" w:cs="Arial"/>
                <w:color w:val="000000"/>
                <w:sz w:val="16"/>
                <w:vertAlign w:val="superscript"/>
              </w:rPr>
            </w:pPr>
          </w:p>
        </w:tc>
        <w:tc>
          <w:tcPr>
            <w:tcW w:w="975" w:type="dxa"/>
            <w:tcBorders>
              <w:top w:val="nil"/>
              <w:left w:val="nil"/>
              <w:bottom w:val="nil"/>
              <w:right w:val="nil"/>
              <w:tl2br w:val="nil"/>
              <w:tr2bl w:val="nil"/>
            </w:tcBorders>
            <w:shd w:val="clear" w:color="auto" w:fill="FFFFFF"/>
            <w:tcMar>
              <w:left w:w="115" w:type="dxa"/>
              <w:right w:w="115" w:type="dxa"/>
            </w:tcMar>
            <w:vAlign w:val="bottom"/>
          </w:tcPr>
          <w:p w14:paraId="7FEB8A9C" w14:textId="77777777" w:rsidR="00724034" w:rsidRDefault="00724034">
            <w:pPr>
              <w:jc w:val="right"/>
              <w:rPr>
                <w:rFonts w:ascii="Arial" w:eastAsia="Arial" w:hAnsi="Arial" w:cs="Arial"/>
                <w:color w:val="000000"/>
                <w:sz w:val="16"/>
                <w:vertAlign w:val="superscript"/>
              </w:rPr>
            </w:pPr>
          </w:p>
        </w:tc>
        <w:tc>
          <w:tcPr>
            <w:tcW w:w="975" w:type="dxa"/>
            <w:tcBorders>
              <w:top w:val="nil"/>
              <w:left w:val="nil"/>
              <w:bottom w:val="nil"/>
              <w:right w:val="nil"/>
              <w:tl2br w:val="nil"/>
              <w:tr2bl w:val="nil"/>
            </w:tcBorders>
            <w:shd w:val="clear" w:color="auto" w:fill="FFFFFF"/>
            <w:tcMar>
              <w:left w:w="115" w:type="dxa"/>
              <w:right w:w="115" w:type="dxa"/>
            </w:tcMar>
            <w:vAlign w:val="bottom"/>
          </w:tcPr>
          <w:p w14:paraId="0A3184E7" w14:textId="77777777" w:rsidR="00724034" w:rsidRDefault="00724034">
            <w:pPr>
              <w:jc w:val="right"/>
              <w:rPr>
                <w:rFonts w:ascii="Arial" w:eastAsia="Arial" w:hAnsi="Arial" w:cs="Arial"/>
                <w:color w:val="000000"/>
                <w:sz w:val="16"/>
                <w:vertAlign w:val="superscript"/>
              </w:rPr>
            </w:pPr>
          </w:p>
        </w:tc>
        <w:tc>
          <w:tcPr>
            <w:tcW w:w="975" w:type="dxa"/>
            <w:tcBorders>
              <w:top w:val="nil"/>
              <w:left w:val="nil"/>
              <w:bottom w:val="nil"/>
              <w:right w:val="single" w:sz="6" w:space="0" w:color="000000"/>
              <w:tl2br w:val="nil"/>
              <w:tr2bl w:val="nil"/>
            </w:tcBorders>
            <w:shd w:val="clear" w:color="auto" w:fill="FFFFFF"/>
            <w:tcMar>
              <w:left w:w="115" w:type="dxa"/>
              <w:right w:w="115" w:type="dxa"/>
            </w:tcMar>
            <w:vAlign w:val="bottom"/>
          </w:tcPr>
          <w:p w14:paraId="28C439B5" w14:textId="77777777" w:rsidR="00724034" w:rsidRDefault="00724034">
            <w:pPr>
              <w:jc w:val="right"/>
              <w:rPr>
                <w:rFonts w:ascii="Arial" w:eastAsia="Arial" w:hAnsi="Arial" w:cs="Arial"/>
                <w:color w:val="000000"/>
                <w:sz w:val="16"/>
                <w:vertAlign w:val="superscript"/>
              </w:rPr>
            </w:pPr>
          </w:p>
        </w:tc>
      </w:tr>
      <w:tr w:rsidR="00724034" w14:paraId="2E8B785B" w14:textId="77777777">
        <w:tblPrEx>
          <w:tblLook w:val="04A0" w:firstRow="1" w:lastRow="0" w:firstColumn="1" w:lastColumn="0" w:noHBand="0" w:noVBand="1"/>
        </w:tblPrEx>
        <w:trPr>
          <w:trHeight w:val="450"/>
        </w:trPr>
        <w:tc>
          <w:tcPr>
            <w:tcW w:w="3210" w:type="dxa"/>
            <w:tcBorders>
              <w:top w:val="nil"/>
              <w:left w:val="single" w:sz="6" w:space="0" w:color="000000"/>
              <w:bottom w:val="nil"/>
              <w:right w:val="nil"/>
              <w:tl2br w:val="nil"/>
              <w:tr2bl w:val="nil"/>
            </w:tcBorders>
            <w:shd w:val="clear" w:color="auto" w:fill="FFFFFF"/>
            <w:tcMar>
              <w:left w:w="115" w:type="dxa"/>
              <w:right w:w="115" w:type="dxa"/>
            </w:tcMar>
            <w:vAlign w:val="bottom"/>
          </w:tcPr>
          <w:p w14:paraId="4B9D133B" w14:textId="77777777" w:rsidR="00724034" w:rsidRDefault="00FB7D0B">
            <w:pPr>
              <w:rPr>
                <w:rFonts w:ascii="Arial" w:eastAsia="Arial" w:hAnsi="Arial" w:cs="Arial"/>
                <w:color w:val="000000"/>
                <w:sz w:val="16"/>
                <w:vertAlign w:val="superscript"/>
              </w:rPr>
            </w:pPr>
            <w:r>
              <w:rPr>
                <w:rFonts w:ascii="Arial" w:eastAsia="Arial" w:hAnsi="Arial" w:cs="Arial"/>
                <w:color w:val="000000"/>
                <w:sz w:val="16"/>
              </w:rPr>
              <w:t>Number of unique clients receiving intake referral services</w:t>
            </w:r>
          </w:p>
        </w:tc>
        <w:tc>
          <w:tcPr>
            <w:tcW w:w="975" w:type="dxa"/>
            <w:tcBorders>
              <w:top w:val="nil"/>
              <w:left w:val="nil"/>
              <w:bottom w:val="nil"/>
              <w:right w:val="nil"/>
              <w:tl2br w:val="nil"/>
              <w:tr2bl w:val="nil"/>
            </w:tcBorders>
            <w:shd w:val="clear" w:color="auto" w:fill="FFFFFF"/>
            <w:tcMar>
              <w:left w:w="115" w:type="dxa"/>
              <w:right w:w="115" w:type="dxa"/>
            </w:tcMar>
            <w:vAlign w:val="bottom"/>
          </w:tcPr>
          <w:p w14:paraId="63F79EF0" w14:textId="77777777" w:rsidR="00724034" w:rsidRDefault="00FB7D0B">
            <w:pPr>
              <w:jc w:val="right"/>
              <w:rPr>
                <w:rFonts w:ascii="Arial" w:eastAsia="Arial" w:hAnsi="Arial" w:cs="Arial"/>
                <w:color w:val="000000"/>
                <w:sz w:val="16"/>
                <w:vertAlign w:val="superscript"/>
              </w:rPr>
            </w:pPr>
            <w:r>
              <w:rPr>
                <w:rFonts w:ascii="Arial" w:eastAsia="Arial" w:hAnsi="Arial" w:cs="Arial"/>
                <w:color w:val="000000"/>
                <w:sz w:val="16"/>
              </w:rPr>
              <w:t xml:space="preserve"> 12,500 </w:t>
            </w:r>
          </w:p>
        </w:tc>
        <w:tc>
          <w:tcPr>
            <w:tcW w:w="975" w:type="dxa"/>
            <w:tcBorders>
              <w:top w:val="nil"/>
              <w:left w:val="nil"/>
              <w:bottom w:val="nil"/>
              <w:right w:val="nil"/>
              <w:tl2br w:val="nil"/>
              <w:tr2bl w:val="nil"/>
            </w:tcBorders>
            <w:shd w:val="clear" w:color="auto" w:fill="FFFF00"/>
            <w:tcMar>
              <w:left w:w="115" w:type="dxa"/>
              <w:right w:w="115" w:type="dxa"/>
            </w:tcMar>
            <w:vAlign w:val="bottom"/>
          </w:tcPr>
          <w:p w14:paraId="2D995B98" w14:textId="77777777" w:rsidR="00724034" w:rsidRDefault="00FB7D0B">
            <w:pPr>
              <w:jc w:val="right"/>
              <w:rPr>
                <w:rFonts w:ascii="Arial" w:eastAsia="Arial" w:hAnsi="Arial" w:cs="Arial"/>
                <w:color w:val="000000"/>
                <w:sz w:val="16"/>
              </w:rPr>
            </w:pPr>
            <w:r>
              <w:rPr>
                <w:rFonts w:ascii="Arial" w:eastAsia="Arial" w:hAnsi="Arial" w:cs="Arial"/>
                <w:color w:val="000000"/>
                <w:sz w:val="16"/>
              </w:rPr>
              <w:t xml:space="preserve"> 12,985 </w:t>
            </w:r>
          </w:p>
        </w:tc>
        <w:tc>
          <w:tcPr>
            <w:tcW w:w="975" w:type="dxa"/>
            <w:tcBorders>
              <w:top w:val="nil"/>
              <w:left w:val="nil"/>
              <w:bottom w:val="nil"/>
              <w:right w:val="nil"/>
              <w:tl2br w:val="nil"/>
              <w:tr2bl w:val="nil"/>
            </w:tcBorders>
            <w:shd w:val="clear" w:color="auto" w:fill="FFFFFF"/>
            <w:tcMar>
              <w:left w:w="115" w:type="dxa"/>
              <w:right w:w="115" w:type="dxa"/>
            </w:tcMar>
            <w:vAlign w:val="bottom"/>
          </w:tcPr>
          <w:p w14:paraId="6F5B9A1A" w14:textId="77777777" w:rsidR="00724034" w:rsidRDefault="00FB7D0B">
            <w:pPr>
              <w:jc w:val="right"/>
              <w:rPr>
                <w:rFonts w:ascii="Arial" w:eastAsia="Arial" w:hAnsi="Arial" w:cs="Arial"/>
                <w:color w:val="000000"/>
                <w:sz w:val="16"/>
              </w:rPr>
            </w:pPr>
            <w:r>
              <w:rPr>
                <w:rFonts w:ascii="Arial" w:eastAsia="Arial" w:hAnsi="Arial" w:cs="Arial"/>
                <w:color w:val="000000"/>
                <w:sz w:val="16"/>
              </w:rPr>
              <w:t xml:space="preserve"> 13,139 </w:t>
            </w:r>
          </w:p>
        </w:tc>
        <w:tc>
          <w:tcPr>
            <w:tcW w:w="975" w:type="dxa"/>
            <w:tcBorders>
              <w:top w:val="nil"/>
              <w:left w:val="nil"/>
              <w:bottom w:val="nil"/>
              <w:right w:val="nil"/>
              <w:tl2br w:val="nil"/>
              <w:tr2bl w:val="nil"/>
            </w:tcBorders>
            <w:shd w:val="clear" w:color="auto" w:fill="FFFFFF"/>
            <w:tcMar>
              <w:left w:w="115" w:type="dxa"/>
              <w:right w:w="115" w:type="dxa"/>
            </w:tcMar>
            <w:vAlign w:val="bottom"/>
          </w:tcPr>
          <w:p w14:paraId="2833C704" w14:textId="77777777" w:rsidR="00724034" w:rsidRDefault="00FB7D0B">
            <w:pPr>
              <w:jc w:val="right"/>
              <w:rPr>
                <w:rFonts w:ascii="Arial" w:eastAsia="Arial" w:hAnsi="Arial" w:cs="Arial"/>
                <w:color w:val="000000"/>
                <w:sz w:val="16"/>
              </w:rPr>
            </w:pPr>
            <w:r>
              <w:rPr>
                <w:rFonts w:ascii="Arial" w:eastAsia="Arial" w:hAnsi="Arial" w:cs="Arial"/>
                <w:color w:val="000000"/>
                <w:sz w:val="16"/>
              </w:rPr>
              <w:t xml:space="preserve"> 13,370 </w:t>
            </w:r>
          </w:p>
        </w:tc>
        <w:tc>
          <w:tcPr>
            <w:tcW w:w="975" w:type="dxa"/>
            <w:tcBorders>
              <w:top w:val="nil"/>
              <w:left w:val="nil"/>
              <w:bottom w:val="nil"/>
              <w:right w:val="single" w:sz="6" w:space="0" w:color="000000"/>
              <w:tl2br w:val="nil"/>
              <w:tr2bl w:val="nil"/>
            </w:tcBorders>
            <w:shd w:val="clear" w:color="auto" w:fill="FFFFFF"/>
            <w:tcMar>
              <w:left w:w="115" w:type="dxa"/>
              <w:right w:w="115" w:type="dxa"/>
            </w:tcMar>
            <w:vAlign w:val="bottom"/>
          </w:tcPr>
          <w:p w14:paraId="6566A9C3" w14:textId="77777777" w:rsidR="00724034" w:rsidRDefault="00FB7D0B">
            <w:pPr>
              <w:jc w:val="right"/>
              <w:rPr>
                <w:rFonts w:ascii="Arial" w:eastAsia="Arial" w:hAnsi="Arial" w:cs="Arial"/>
                <w:color w:val="000000"/>
                <w:sz w:val="16"/>
              </w:rPr>
            </w:pPr>
            <w:r>
              <w:rPr>
                <w:rFonts w:ascii="Arial" w:eastAsia="Arial" w:hAnsi="Arial" w:cs="Arial"/>
                <w:color w:val="000000"/>
                <w:sz w:val="16"/>
              </w:rPr>
              <w:t xml:space="preserve"> 13,370 </w:t>
            </w:r>
          </w:p>
        </w:tc>
      </w:tr>
      <w:tr w:rsidR="00724034" w14:paraId="0DDCC524" w14:textId="77777777">
        <w:tblPrEx>
          <w:tblLook w:val="04A0" w:firstRow="1" w:lastRow="0" w:firstColumn="1" w:lastColumn="0" w:noHBand="0" w:noVBand="1"/>
        </w:tblPrEx>
        <w:trPr>
          <w:trHeight w:val="60"/>
        </w:trPr>
        <w:tc>
          <w:tcPr>
            <w:tcW w:w="3210" w:type="dxa"/>
            <w:tcBorders>
              <w:top w:val="nil"/>
              <w:left w:val="single" w:sz="6" w:space="0" w:color="000000"/>
              <w:bottom w:val="nil"/>
              <w:right w:val="nil"/>
              <w:tl2br w:val="nil"/>
              <w:tr2bl w:val="nil"/>
            </w:tcBorders>
            <w:shd w:val="clear" w:color="auto" w:fill="FFFFFF"/>
            <w:tcMar>
              <w:left w:w="115" w:type="dxa"/>
              <w:right w:w="115" w:type="dxa"/>
            </w:tcMar>
            <w:vAlign w:val="bottom"/>
          </w:tcPr>
          <w:p w14:paraId="3794FEB8" w14:textId="77777777" w:rsidR="00724034" w:rsidRDefault="00724034">
            <w:pPr>
              <w:rPr>
                <w:rFonts w:ascii="Arial" w:eastAsia="Arial" w:hAnsi="Arial" w:cs="Arial"/>
                <w:color w:val="000000"/>
                <w:sz w:val="16"/>
              </w:rPr>
            </w:pPr>
          </w:p>
        </w:tc>
        <w:tc>
          <w:tcPr>
            <w:tcW w:w="975" w:type="dxa"/>
            <w:tcBorders>
              <w:top w:val="nil"/>
              <w:left w:val="nil"/>
              <w:bottom w:val="nil"/>
              <w:right w:val="nil"/>
              <w:tl2br w:val="nil"/>
              <w:tr2bl w:val="nil"/>
            </w:tcBorders>
            <w:shd w:val="clear" w:color="auto" w:fill="FFFFFF"/>
            <w:tcMar>
              <w:left w:w="115" w:type="dxa"/>
              <w:right w:w="115" w:type="dxa"/>
            </w:tcMar>
            <w:vAlign w:val="bottom"/>
          </w:tcPr>
          <w:p w14:paraId="69FCB381" w14:textId="77777777" w:rsidR="00724034" w:rsidRDefault="00724034">
            <w:pPr>
              <w:jc w:val="right"/>
              <w:rPr>
                <w:rFonts w:ascii="Arial" w:eastAsia="Arial" w:hAnsi="Arial" w:cs="Arial"/>
                <w:color w:val="000000"/>
                <w:sz w:val="16"/>
                <w:vertAlign w:val="superscript"/>
              </w:rPr>
            </w:pPr>
          </w:p>
        </w:tc>
        <w:tc>
          <w:tcPr>
            <w:tcW w:w="975" w:type="dxa"/>
            <w:tcBorders>
              <w:top w:val="nil"/>
              <w:left w:val="nil"/>
              <w:bottom w:val="nil"/>
              <w:right w:val="nil"/>
              <w:tl2br w:val="nil"/>
              <w:tr2bl w:val="nil"/>
            </w:tcBorders>
            <w:shd w:val="clear" w:color="auto" w:fill="FFFF00"/>
            <w:tcMar>
              <w:left w:w="115" w:type="dxa"/>
              <w:right w:w="115" w:type="dxa"/>
            </w:tcMar>
            <w:vAlign w:val="bottom"/>
          </w:tcPr>
          <w:p w14:paraId="1E7F53D3" w14:textId="77777777" w:rsidR="00724034" w:rsidRDefault="00724034">
            <w:pPr>
              <w:jc w:val="right"/>
              <w:rPr>
                <w:rFonts w:ascii="Arial" w:eastAsia="Arial" w:hAnsi="Arial" w:cs="Arial"/>
                <w:color w:val="000000"/>
                <w:sz w:val="16"/>
                <w:vertAlign w:val="superscript"/>
              </w:rPr>
            </w:pPr>
          </w:p>
        </w:tc>
        <w:tc>
          <w:tcPr>
            <w:tcW w:w="975" w:type="dxa"/>
            <w:tcBorders>
              <w:top w:val="nil"/>
              <w:left w:val="nil"/>
              <w:bottom w:val="nil"/>
              <w:right w:val="nil"/>
              <w:tl2br w:val="nil"/>
              <w:tr2bl w:val="nil"/>
            </w:tcBorders>
            <w:shd w:val="clear" w:color="auto" w:fill="FFFFFF"/>
            <w:tcMar>
              <w:left w:w="115" w:type="dxa"/>
              <w:right w:w="115" w:type="dxa"/>
            </w:tcMar>
            <w:vAlign w:val="bottom"/>
          </w:tcPr>
          <w:p w14:paraId="15BF9814" w14:textId="77777777" w:rsidR="00724034" w:rsidRDefault="00724034">
            <w:pPr>
              <w:jc w:val="right"/>
              <w:rPr>
                <w:rFonts w:ascii="Arial" w:eastAsia="Arial" w:hAnsi="Arial" w:cs="Arial"/>
                <w:color w:val="000000"/>
                <w:sz w:val="16"/>
                <w:vertAlign w:val="superscript"/>
              </w:rPr>
            </w:pPr>
          </w:p>
        </w:tc>
        <w:tc>
          <w:tcPr>
            <w:tcW w:w="975" w:type="dxa"/>
            <w:tcBorders>
              <w:top w:val="nil"/>
              <w:left w:val="nil"/>
              <w:bottom w:val="nil"/>
              <w:right w:val="nil"/>
              <w:tl2br w:val="nil"/>
              <w:tr2bl w:val="nil"/>
            </w:tcBorders>
            <w:shd w:val="clear" w:color="auto" w:fill="FFFFFF"/>
            <w:tcMar>
              <w:left w:w="115" w:type="dxa"/>
              <w:right w:w="115" w:type="dxa"/>
            </w:tcMar>
            <w:vAlign w:val="bottom"/>
          </w:tcPr>
          <w:p w14:paraId="7239E33F" w14:textId="77777777" w:rsidR="00724034" w:rsidRDefault="00724034">
            <w:pPr>
              <w:jc w:val="right"/>
              <w:rPr>
                <w:rFonts w:ascii="Arial" w:eastAsia="Arial" w:hAnsi="Arial" w:cs="Arial"/>
                <w:color w:val="000000"/>
                <w:sz w:val="16"/>
                <w:vertAlign w:val="superscript"/>
              </w:rPr>
            </w:pPr>
          </w:p>
        </w:tc>
        <w:tc>
          <w:tcPr>
            <w:tcW w:w="975" w:type="dxa"/>
            <w:tcBorders>
              <w:top w:val="nil"/>
              <w:left w:val="nil"/>
              <w:bottom w:val="nil"/>
              <w:right w:val="single" w:sz="6" w:space="0" w:color="000000"/>
              <w:tl2br w:val="nil"/>
              <w:tr2bl w:val="nil"/>
            </w:tcBorders>
            <w:shd w:val="clear" w:color="auto" w:fill="FFFFFF"/>
            <w:tcMar>
              <w:left w:w="115" w:type="dxa"/>
              <w:right w:w="115" w:type="dxa"/>
            </w:tcMar>
            <w:vAlign w:val="bottom"/>
          </w:tcPr>
          <w:p w14:paraId="31CFD9A1" w14:textId="77777777" w:rsidR="00724034" w:rsidRDefault="00724034">
            <w:pPr>
              <w:jc w:val="right"/>
              <w:rPr>
                <w:rFonts w:ascii="Arial" w:eastAsia="Arial" w:hAnsi="Arial" w:cs="Arial"/>
                <w:color w:val="000000"/>
                <w:sz w:val="16"/>
                <w:vertAlign w:val="superscript"/>
              </w:rPr>
            </w:pPr>
          </w:p>
        </w:tc>
      </w:tr>
      <w:tr w:rsidR="00724034" w14:paraId="5EB43DC1" w14:textId="77777777">
        <w:tblPrEx>
          <w:tblLook w:val="04A0" w:firstRow="1" w:lastRow="0" w:firstColumn="1" w:lastColumn="0" w:noHBand="0" w:noVBand="1"/>
        </w:tblPrEx>
        <w:trPr>
          <w:trHeight w:val="450"/>
        </w:trPr>
        <w:tc>
          <w:tcPr>
            <w:tcW w:w="3210" w:type="dxa"/>
            <w:tcBorders>
              <w:top w:val="nil"/>
              <w:left w:val="single" w:sz="6" w:space="0" w:color="000000"/>
              <w:bottom w:val="nil"/>
              <w:right w:val="nil"/>
              <w:tl2br w:val="nil"/>
              <w:tr2bl w:val="nil"/>
            </w:tcBorders>
            <w:shd w:val="clear" w:color="auto" w:fill="FFFFFF"/>
            <w:tcMar>
              <w:left w:w="115" w:type="dxa"/>
              <w:right w:w="115" w:type="dxa"/>
            </w:tcMar>
            <w:vAlign w:val="bottom"/>
          </w:tcPr>
          <w:p w14:paraId="6983ACC6" w14:textId="77777777" w:rsidR="00724034" w:rsidRDefault="00FB7D0B">
            <w:pPr>
              <w:rPr>
                <w:rFonts w:ascii="Arial" w:eastAsia="Arial" w:hAnsi="Arial" w:cs="Arial"/>
                <w:color w:val="000000"/>
                <w:sz w:val="16"/>
                <w:vertAlign w:val="superscript"/>
              </w:rPr>
            </w:pPr>
            <w:r>
              <w:rPr>
                <w:rFonts w:ascii="Arial" w:eastAsia="Arial" w:hAnsi="Arial" w:cs="Arial"/>
                <w:color w:val="000000"/>
                <w:sz w:val="16"/>
              </w:rPr>
              <w:t>Number of unique clients in receipt of counselling</w:t>
            </w:r>
          </w:p>
        </w:tc>
        <w:tc>
          <w:tcPr>
            <w:tcW w:w="975" w:type="dxa"/>
            <w:tcBorders>
              <w:top w:val="nil"/>
              <w:left w:val="nil"/>
              <w:bottom w:val="nil"/>
              <w:right w:val="nil"/>
              <w:tl2br w:val="nil"/>
              <w:tr2bl w:val="nil"/>
            </w:tcBorders>
            <w:shd w:val="clear" w:color="auto" w:fill="FFFFFF"/>
            <w:tcMar>
              <w:left w:w="115" w:type="dxa"/>
              <w:right w:w="115" w:type="dxa"/>
            </w:tcMar>
            <w:vAlign w:val="bottom"/>
          </w:tcPr>
          <w:p w14:paraId="7B8818B2" w14:textId="77777777" w:rsidR="00724034" w:rsidRDefault="00FB7D0B">
            <w:pPr>
              <w:jc w:val="right"/>
              <w:rPr>
                <w:rFonts w:ascii="Arial" w:eastAsia="Arial" w:hAnsi="Arial" w:cs="Arial"/>
                <w:color w:val="000000"/>
                <w:sz w:val="16"/>
                <w:vertAlign w:val="superscript"/>
              </w:rPr>
            </w:pPr>
            <w:r>
              <w:rPr>
                <w:rFonts w:ascii="Arial" w:eastAsia="Arial" w:hAnsi="Arial" w:cs="Arial"/>
                <w:color w:val="000000"/>
                <w:sz w:val="16"/>
              </w:rPr>
              <w:t xml:space="preserve"> 10,800 </w:t>
            </w:r>
          </w:p>
        </w:tc>
        <w:tc>
          <w:tcPr>
            <w:tcW w:w="975" w:type="dxa"/>
            <w:tcBorders>
              <w:top w:val="nil"/>
              <w:left w:val="nil"/>
              <w:bottom w:val="nil"/>
              <w:right w:val="nil"/>
              <w:tl2br w:val="nil"/>
              <w:tr2bl w:val="nil"/>
            </w:tcBorders>
            <w:shd w:val="clear" w:color="auto" w:fill="FFFF00"/>
            <w:tcMar>
              <w:left w:w="115" w:type="dxa"/>
              <w:right w:w="115" w:type="dxa"/>
            </w:tcMar>
            <w:vAlign w:val="bottom"/>
          </w:tcPr>
          <w:p w14:paraId="2F284CAA" w14:textId="77777777" w:rsidR="00724034" w:rsidRDefault="00FB7D0B">
            <w:pPr>
              <w:jc w:val="right"/>
              <w:rPr>
                <w:rFonts w:ascii="Arial" w:eastAsia="Arial" w:hAnsi="Arial" w:cs="Arial"/>
                <w:color w:val="000000"/>
                <w:sz w:val="16"/>
              </w:rPr>
            </w:pPr>
            <w:r>
              <w:rPr>
                <w:rFonts w:ascii="Arial" w:eastAsia="Arial" w:hAnsi="Arial" w:cs="Arial"/>
                <w:color w:val="000000"/>
                <w:sz w:val="16"/>
              </w:rPr>
              <w:t xml:space="preserve"> 11,485 </w:t>
            </w:r>
          </w:p>
        </w:tc>
        <w:tc>
          <w:tcPr>
            <w:tcW w:w="975" w:type="dxa"/>
            <w:tcBorders>
              <w:top w:val="nil"/>
              <w:left w:val="nil"/>
              <w:bottom w:val="nil"/>
              <w:right w:val="nil"/>
              <w:tl2br w:val="nil"/>
              <w:tr2bl w:val="nil"/>
            </w:tcBorders>
            <w:shd w:val="clear" w:color="auto" w:fill="FFFFFF"/>
            <w:tcMar>
              <w:left w:w="115" w:type="dxa"/>
              <w:right w:w="115" w:type="dxa"/>
            </w:tcMar>
            <w:vAlign w:val="bottom"/>
          </w:tcPr>
          <w:p w14:paraId="3811F418" w14:textId="77777777" w:rsidR="00724034" w:rsidRDefault="00FB7D0B">
            <w:pPr>
              <w:jc w:val="right"/>
              <w:rPr>
                <w:rFonts w:ascii="Arial" w:eastAsia="Arial" w:hAnsi="Arial" w:cs="Arial"/>
                <w:color w:val="000000"/>
                <w:sz w:val="16"/>
              </w:rPr>
            </w:pPr>
            <w:r>
              <w:rPr>
                <w:rFonts w:ascii="Arial" w:eastAsia="Arial" w:hAnsi="Arial" w:cs="Arial"/>
                <w:color w:val="000000"/>
                <w:sz w:val="16"/>
              </w:rPr>
              <w:t xml:space="preserve"> 11,839 </w:t>
            </w:r>
          </w:p>
        </w:tc>
        <w:tc>
          <w:tcPr>
            <w:tcW w:w="975" w:type="dxa"/>
            <w:tcBorders>
              <w:top w:val="nil"/>
              <w:left w:val="nil"/>
              <w:bottom w:val="nil"/>
              <w:right w:val="nil"/>
              <w:tl2br w:val="nil"/>
              <w:tr2bl w:val="nil"/>
            </w:tcBorders>
            <w:shd w:val="clear" w:color="auto" w:fill="FFFFFF"/>
            <w:tcMar>
              <w:left w:w="115" w:type="dxa"/>
              <w:right w:w="115" w:type="dxa"/>
            </w:tcMar>
            <w:vAlign w:val="bottom"/>
          </w:tcPr>
          <w:p w14:paraId="23CE0A7F" w14:textId="77777777" w:rsidR="00724034" w:rsidRDefault="00FB7D0B">
            <w:pPr>
              <w:jc w:val="right"/>
              <w:rPr>
                <w:rFonts w:ascii="Arial" w:eastAsia="Arial" w:hAnsi="Arial" w:cs="Arial"/>
                <w:color w:val="000000"/>
                <w:sz w:val="16"/>
              </w:rPr>
            </w:pPr>
            <w:r>
              <w:rPr>
                <w:rFonts w:ascii="Arial" w:eastAsia="Arial" w:hAnsi="Arial" w:cs="Arial"/>
                <w:color w:val="000000"/>
                <w:sz w:val="16"/>
              </w:rPr>
              <w:t xml:space="preserve"> 12,070 </w:t>
            </w:r>
          </w:p>
        </w:tc>
        <w:tc>
          <w:tcPr>
            <w:tcW w:w="975" w:type="dxa"/>
            <w:tcBorders>
              <w:top w:val="nil"/>
              <w:left w:val="nil"/>
              <w:bottom w:val="nil"/>
              <w:right w:val="single" w:sz="6" w:space="0" w:color="000000"/>
              <w:tl2br w:val="nil"/>
              <w:tr2bl w:val="nil"/>
            </w:tcBorders>
            <w:shd w:val="clear" w:color="auto" w:fill="FFFFFF"/>
            <w:tcMar>
              <w:left w:w="115" w:type="dxa"/>
              <w:right w:w="115" w:type="dxa"/>
            </w:tcMar>
            <w:vAlign w:val="bottom"/>
          </w:tcPr>
          <w:p w14:paraId="32757272" w14:textId="77777777" w:rsidR="00724034" w:rsidRDefault="00FB7D0B">
            <w:pPr>
              <w:jc w:val="right"/>
              <w:rPr>
                <w:rFonts w:ascii="Arial" w:eastAsia="Arial" w:hAnsi="Arial" w:cs="Arial"/>
                <w:color w:val="000000"/>
                <w:sz w:val="16"/>
              </w:rPr>
            </w:pPr>
            <w:r>
              <w:rPr>
                <w:rFonts w:ascii="Arial" w:eastAsia="Arial" w:hAnsi="Arial" w:cs="Arial"/>
                <w:color w:val="000000"/>
                <w:sz w:val="16"/>
              </w:rPr>
              <w:t xml:space="preserve"> 12,070 </w:t>
            </w:r>
          </w:p>
        </w:tc>
      </w:tr>
      <w:tr w:rsidR="00724034" w14:paraId="344DA7F6" w14:textId="77777777">
        <w:tblPrEx>
          <w:tblLook w:val="04A0" w:firstRow="1" w:lastRow="0" w:firstColumn="1" w:lastColumn="0" w:noHBand="0" w:noVBand="1"/>
        </w:tblPrEx>
        <w:trPr>
          <w:trHeight w:val="60"/>
        </w:trPr>
        <w:tc>
          <w:tcPr>
            <w:tcW w:w="3210" w:type="dxa"/>
            <w:tcBorders>
              <w:top w:val="nil"/>
              <w:left w:val="single" w:sz="6" w:space="0" w:color="000000"/>
              <w:bottom w:val="nil"/>
              <w:right w:val="nil"/>
              <w:tl2br w:val="nil"/>
              <w:tr2bl w:val="nil"/>
            </w:tcBorders>
            <w:shd w:val="clear" w:color="auto" w:fill="FFFFFF"/>
            <w:tcMar>
              <w:left w:w="115" w:type="dxa"/>
              <w:right w:w="115" w:type="dxa"/>
            </w:tcMar>
            <w:vAlign w:val="bottom"/>
          </w:tcPr>
          <w:p w14:paraId="43B1F3BF" w14:textId="77777777" w:rsidR="00724034" w:rsidRDefault="00724034">
            <w:pPr>
              <w:rPr>
                <w:rFonts w:ascii="Arial" w:eastAsia="Arial" w:hAnsi="Arial" w:cs="Arial"/>
                <w:color w:val="000000"/>
                <w:sz w:val="16"/>
              </w:rPr>
            </w:pPr>
          </w:p>
        </w:tc>
        <w:tc>
          <w:tcPr>
            <w:tcW w:w="975" w:type="dxa"/>
            <w:tcBorders>
              <w:top w:val="nil"/>
              <w:left w:val="nil"/>
              <w:bottom w:val="nil"/>
              <w:right w:val="nil"/>
              <w:tl2br w:val="nil"/>
              <w:tr2bl w:val="nil"/>
            </w:tcBorders>
            <w:shd w:val="clear" w:color="auto" w:fill="FFFFFF"/>
            <w:tcMar>
              <w:left w:w="115" w:type="dxa"/>
              <w:right w:w="115" w:type="dxa"/>
            </w:tcMar>
            <w:vAlign w:val="bottom"/>
          </w:tcPr>
          <w:p w14:paraId="1CE0D00A" w14:textId="77777777" w:rsidR="00724034" w:rsidRDefault="00724034">
            <w:pPr>
              <w:jc w:val="right"/>
              <w:rPr>
                <w:rFonts w:ascii="Arial" w:eastAsia="Arial" w:hAnsi="Arial" w:cs="Arial"/>
                <w:color w:val="000000"/>
                <w:sz w:val="16"/>
                <w:vertAlign w:val="superscript"/>
              </w:rPr>
            </w:pPr>
          </w:p>
        </w:tc>
        <w:tc>
          <w:tcPr>
            <w:tcW w:w="975" w:type="dxa"/>
            <w:tcBorders>
              <w:top w:val="nil"/>
              <w:left w:val="nil"/>
              <w:bottom w:val="nil"/>
              <w:right w:val="nil"/>
              <w:tl2br w:val="nil"/>
              <w:tr2bl w:val="nil"/>
            </w:tcBorders>
            <w:shd w:val="clear" w:color="auto" w:fill="FFFF00"/>
            <w:tcMar>
              <w:left w:w="115" w:type="dxa"/>
              <w:right w:w="115" w:type="dxa"/>
            </w:tcMar>
            <w:vAlign w:val="bottom"/>
          </w:tcPr>
          <w:p w14:paraId="7799C774" w14:textId="77777777" w:rsidR="00724034" w:rsidRDefault="00724034">
            <w:pPr>
              <w:jc w:val="right"/>
              <w:rPr>
                <w:rFonts w:ascii="Arial" w:eastAsia="Arial" w:hAnsi="Arial" w:cs="Arial"/>
                <w:color w:val="000000"/>
                <w:sz w:val="16"/>
                <w:vertAlign w:val="superscript"/>
              </w:rPr>
            </w:pPr>
          </w:p>
        </w:tc>
        <w:tc>
          <w:tcPr>
            <w:tcW w:w="975" w:type="dxa"/>
            <w:tcBorders>
              <w:top w:val="nil"/>
              <w:left w:val="nil"/>
              <w:bottom w:val="nil"/>
              <w:right w:val="nil"/>
              <w:tl2br w:val="nil"/>
              <w:tr2bl w:val="nil"/>
            </w:tcBorders>
            <w:shd w:val="clear" w:color="auto" w:fill="FFFFFF"/>
            <w:tcMar>
              <w:left w:w="115" w:type="dxa"/>
              <w:right w:w="115" w:type="dxa"/>
            </w:tcMar>
            <w:vAlign w:val="bottom"/>
          </w:tcPr>
          <w:p w14:paraId="61859357" w14:textId="77777777" w:rsidR="00724034" w:rsidRDefault="00724034">
            <w:pPr>
              <w:jc w:val="right"/>
              <w:rPr>
                <w:rFonts w:ascii="Arial" w:eastAsia="Arial" w:hAnsi="Arial" w:cs="Arial"/>
                <w:color w:val="000000"/>
                <w:sz w:val="16"/>
                <w:vertAlign w:val="superscript"/>
              </w:rPr>
            </w:pPr>
          </w:p>
        </w:tc>
        <w:tc>
          <w:tcPr>
            <w:tcW w:w="975" w:type="dxa"/>
            <w:tcBorders>
              <w:top w:val="nil"/>
              <w:left w:val="nil"/>
              <w:bottom w:val="nil"/>
              <w:right w:val="nil"/>
              <w:tl2br w:val="nil"/>
              <w:tr2bl w:val="nil"/>
            </w:tcBorders>
            <w:shd w:val="clear" w:color="auto" w:fill="FFFFFF"/>
            <w:tcMar>
              <w:left w:w="115" w:type="dxa"/>
              <w:right w:w="115" w:type="dxa"/>
            </w:tcMar>
            <w:vAlign w:val="bottom"/>
          </w:tcPr>
          <w:p w14:paraId="5C726784" w14:textId="77777777" w:rsidR="00724034" w:rsidRDefault="00724034">
            <w:pPr>
              <w:jc w:val="right"/>
              <w:rPr>
                <w:rFonts w:ascii="Arial" w:eastAsia="Arial" w:hAnsi="Arial" w:cs="Arial"/>
                <w:color w:val="000000"/>
                <w:sz w:val="16"/>
                <w:vertAlign w:val="superscript"/>
              </w:rPr>
            </w:pPr>
          </w:p>
        </w:tc>
        <w:tc>
          <w:tcPr>
            <w:tcW w:w="975" w:type="dxa"/>
            <w:tcBorders>
              <w:top w:val="nil"/>
              <w:left w:val="nil"/>
              <w:bottom w:val="nil"/>
              <w:right w:val="single" w:sz="6" w:space="0" w:color="000000"/>
              <w:tl2br w:val="nil"/>
              <w:tr2bl w:val="nil"/>
            </w:tcBorders>
            <w:shd w:val="clear" w:color="auto" w:fill="FFFFFF"/>
            <w:tcMar>
              <w:left w:w="115" w:type="dxa"/>
              <w:right w:w="115" w:type="dxa"/>
            </w:tcMar>
            <w:vAlign w:val="bottom"/>
          </w:tcPr>
          <w:p w14:paraId="2BFA16E9" w14:textId="77777777" w:rsidR="00724034" w:rsidRDefault="00724034">
            <w:pPr>
              <w:jc w:val="right"/>
              <w:rPr>
                <w:rFonts w:ascii="Arial" w:eastAsia="Arial" w:hAnsi="Arial" w:cs="Arial"/>
                <w:color w:val="000000"/>
                <w:sz w:val="16"/>
                <w:vertAlign w:val="superscript"/>
              </w:rPr>
            </w:pPr>
          </w:p>
        </w:tc>
      </w:tr>
      <w:tr w:rsidR="00724034" w14:paraId="71A846DF" w14:textId="77777777">
        <w:tblPrEx>
          <w:tblLook w:val="04A0" w:firstRow="1" w:lastRow="0" w:firstColumn="1" w:lastColumn="0" w:noHBand="0" w:noVBand="1"/>
        </w:tblPrEx>
        <w:trPr>
          <w:trHeight w:val="225"/>
        </w:trPr>
        <w:tc>
          <w:tcPr>
            <w:tcW w:w="3210" w:type="dxa"/>
            <w:tcBorders>
              <w:top w:val="nil"/>
              <w:left w:val="single" w:sz="6" w:space="0" w:color="000000"/>
              <w:bottom w:val="nil"/>
              <w:right w:val="nil"/>
              <w:tl2br w:val="nil"/>
              <w:tr2bl w:val="nil"/>
            </w:tcBorders>
            <w:shd w:val="clear" w:color="auto" w:fill="FFFFFF"/>
            <w:tcMar>
              <w:left w:w="115" w:type="dxa"/>
              <w:right w:w="115" w:type="dxa"/>
            </w:tcMar>
            <w:vAlign w:val="bottom"/>
          </w:tcPr>
          <w:p w14:paraId="22314E81" w14:textId="77777777" w:rsidR="00724034" w:rsidRDefault="00FB7D0B">
            <w:pPr>
              <w:rPr>
                <w:rFonts w:ascii="Arial" w:eastAsia="Arial" w:hAnsi="Arial" w:cs="Arial"/>
                <w:color w:val="000000"/>
                <w:sz w:val="16"/>
                <w:vertAlign w:val="superscript"/>
              </w:rPr>
            </w:pPr>
            <w:r>
              <w:rPr>
                <w:rFonts w:ascii="Arial" w:eastAsia="Arial" w:hAnsi="Arial" w:cs="Arial"/>
                <w:color w:val="000000"/>
                <w:sz w:val="16"/>
              </w:rPr>
              <w:t xml:space="preserve">Number of counselling sessions delivered </w:t>
            </w:r>
          </w:p>
        </w:tc>
        <w:tc>
          <w:tcPr>
            <w:tcW w:w="975" w:type="dxa"/>
            <w:tcBorders>
              <w:top w:val="nil"/>
              <w:left w:val="nil"/>
              <w:bottom w:val="nil"/>
              <w:right w:val="nil"/>
              <w:tl2br w:val="nil"/>
              <w:tr2bl w:val="nil"/>
            </w:tcBorders>
            <w:shd w:val="clear" w:color="auto" w:fill="FFFFFF"/>
            <w:tcMar>
              <w:left w:w="115" w:type="dxa"/>
              <w:right w:w="115" w:type="dxa"/>
            </w:tcMar>
            <w:vAlign w:val="bottom"/>
          </w:tcPr>
          <w:p w14:paraId="589D5EF0" w14:textId="77777777" w:rsidR="00724034" w:rsidRDefault="00FB7D0B">
            <w:pPr>
              <w:jc w:val="right"/>
              <w:rPr>
                <w:rFonts w:ascii="Arial" w:eastAsia="Arial" w:hAnsi="Arial" w:cs="Arial"/>
                <w:color w:val="000000"/>
                <w:sz w:val="16"/>
                <w:vertAlign w:val="superscript"/>
              </w:rPr>
            </w:pPr>
            <w:r>
              <w:rPr>
                <w:rFonts w:ascii="Arial" w:eastAsia="Arial" w:hAnsi="Arial" w:cs="Arial"/>
                <w:color w:val="000000"/>
                <w:sz w:val="16"/>
              </w:rPr>
              <w:t xml:space="preserve"> 63,000 </w:t>
            </w:r>
          </w:p>
        </w:tc>
        <w:tc>
          <w:tcPr>
            <w:tcW w:w="975" w:type="dxa"/>
            <w:tcBorders>
              <w:top w:val="nil"/>
              <w:left w:val="nil"/>
              <w:bottom w:val="nil"/>
              <w:right w:val="nil"/>
              <w:tl2br w:val="nil"/>
              <w:tr2bl w:val="nil"/>
            </w:tcBorders>
            <w:shd w:val="clear" w:color="auto" w:fill="FFFF00"/>
            <w:tcMar>
              <w:left w:w="115" w:type="dxa"/>
              <w:right w:w="115" w:type="dxa"/>
            </w:tcMar>
            <w:vAlign w:val="bottom"/>
          </w:tcPr>
          <w:p w14:paraId="2850003F" w14:textId="77777777" w:rsidR="00724034" w:rsidRDefault="00FB7D0B">
            <w:pPr>
              <w:jc w:val="right"/>
              <w:rPr>
                <w:rFonts w:ascii="Arial" w:eastAsia="Arial" w:hAnsi="Arial" w:cs="Arial"/>
                <w:color w:val="000000"/>
                <w:sz w:val="16"/>
              </w:rPr>
            </w:pPr>
            <w:r>
              <w:rPr>
                <w:rFonts w:ascii="Arial" w:eastAsia="Arial" w:hAnsi="Arial" w:cs="Arial"/>
                <w:color w:val="000000"/>
                <w:sz w:val="16"/>
              </w:rPr>
              <w:t xml:space="preserve"> 66,310 </w:t>
            </w:r>
          </w:p>
        </w:tc>
        <w:tc>
          <w:tcPr>
            <w:tcW w:w="975" w:type="dxa"/>
            <w:tcBorders>
              <w:top w:val="nil"/>
              <w:left w:val="nil"/>
              <w:bottom w:val="nil"/>
              <w:right w:val="nil"/>
              <w:tl2br w:val="nil"/>
              <w:tr2bl w:val="nil"/>
            </w:tcBorders>
            <w:shd w:val="clear" w:color="auto" w:fill="FFFFFF"/>
            <w:tcMar>
              <w:left w:w="115" w:type="dxa"/>
              <w:right w:w="115" w:type="dxa"/>
            </w:tcMar>
            <w:vAlign w:val="bottom"/>
          </w:tcPr>
          <w:p w14:paraId="2026294F" w14:textId="77777777" w:rsidR="00724034" w:rsidRDefault="00FB7D0B">
            <w:pPr>
              <w:jc w:val="right"/>
              <w:rPr>
                <w:rFonts w:ascii="Arial" w:eastAsia="Arial" w:hAnsi="Arial" w:cs="Arial"/>
                <w:color w:val="000000"/>
                <w:sz w:val="16"/>
              </w:rPr>
            </w:pPr>
            <w:r>
              <w:rPr>
                <w:rFonts w:ascii="Arial" w:eastAsia="Arial" w:hAnsi="Arial" w:cs="Arial"/>
                <w:color w:val="000000"/>
                <w:sz w:val="16"/>
              </w:rPr>
              <w:t xml:space="preserve"> 67,234 </w:t>
            </w:r>
          </w:p>
        </w:tc>
        <w:tc>
          <w:tcPr>
            <w:tcW w:w="975" w:type="dxa"/>
            <w:tcBorders>
              <w:top w:val="nil"/>
              <w:left w:val="nil"/>
              <w:bottom w:val="nil"/>
              <w:right w:val="nil"/>
              <w:tl2br w:val="nil"/>
              <w:tr2bl w:val="nil"/>
            </w:tcBorders>
            <w:shd w:val="clear" w:color="auto" w:fill="FFFFFF"/>
            <w:tcMar>
              <w:left w:w="115" w:type="dxa"/>
              <w:right w:w="115" w:type="dxa"/>
            </w:tcMar>
            <w:vAlign w:val="bottom"/>
          </w:tcPr>
          <w:p w14:paraId="730B8CEB" w14:textId="77777777" w:rsidR="00724034" w:rsidRDefault="00FB7D0B">
            <w:pPr>
              <w:jc w:val="right"/>
              <w:rPr>
                <w:rFonts w:ascii="Arial" w:eastAsia="Arial" w:hAnsi="Arial" w:cs="Arial"/>
                <w:color w:val="000000"/>
                <w:sz w:val="16"/>
              </w:rPr>
            </w:pPr>
            <w:r>
              <w:rPr>
                <w:rFonts w:ascii="Arial" w:eastAsia="Arial" w:hAnsi="Arial" w:cs="Arial"/>
                <w:color w:val="000000"/>
                <w:sz w:val="16"/>
              </w:rPr>
              <w:t xml:space="preserve"> 68,620 </w:t>
            </w:r>
          </w:p>
        </w:tc>
        <w:tc>
          <w:tcPr>
            <w:tcW w:w="975" w:type="dxa"/>
            <w:tcBorders>
              <w:top w:val="nil"/>
              <w:left w:val="nil"/>
              <w:bottom w:val="nil"/>
              <w:right w:val="single" w:sz="6" w:space="0" w:color="000000"/>
              <w:tl2br w:val="nil"/>
              <w:tr2bl w:val="nil"/>
            </w:tcBorders>
            <w:shd w:val="clear" w:color="auto" w:fill="FFFFFF"/>
            <w:tcMar>
              <w:left w:w="115" w:type="dxa"/>
              <w:right w:w="115" w:type="dxa"/>
            </w:tcMar>
            <w:vAlign w:val="bottom"/>
          </w:tcPr>
          <w:p w14:paraId="1D2A0FAE" w14:textId="77777777" w:rsidR="00724034" w:rsidRDefault="00FB7D0B">
            <w:pPr>
              <w:jc w:val="right"/>
              <w:rPr>
                <w:rFonts w:ascii="Arial" w:eastAsia="Arial" w:hAnsi="Arial" w:cs="Arial"/>
                <w:color w:val="000000"/>
                <w:sz w:val="16"/>
              </w:rPr>
            </w:pPr>
            <w:r>
              <w:rPr>
                <w:rFonts w:ascii="Arial" w:eastAsia="Arial" w:hAnsi="Arial" w:cs="Arial"/>
                <w:color w:val="000000"/>
                <w:sz w:val="16"/>
              </w:rPr>
              <w:t xml:space="preserve"> 68,620 </w:t>
            </w:r>
          </w:p>
        </w:tc>
      </w:tr>
      <w:tr w:rsidR="00724034" w14:paraId="4A1DA11F" w14:textId="77777777">
        <w:tblPrEx>
          <w:tblLook w:val="04A0" w:firstRow="1" w:lastRow="0" w:firstColumn="1" w:lastColumn="0" w:noHBand="0" w:noVBand="1"/>
        </w:tblPrEx>
        <w:trPr>
          <w:trHeight w:val="60"/>
        </w:trPr>
        <w:tc>
          <w:tcPr>
            <w:tcW w:w="3210" w:type="dxa"/>
            <w:tcBorders>
              <w:top w:val="nil"/>
              <w:left w:val="single" w:sz="6" w:space="0" w:color="000000"/>
              <w:bottom w:val="nil"/>
              <w:right w:val="nil"/>
              <w:tl2br w:val="nil"/>
              <w:tr2bl w:val="nil"/>
            </w:tcBorders>
            <w:shd w:val="clear" w:color="auto" w:fill="FFFFFF"/>
            <w:tcMar>
              <w:left w:w="115" w:type="dxa"/>
              <w:right w:w="115" w:type="dxa"/>
            </w:tcMar>
            <w:vAlign w:val="bottom"/>
          </w:tcPr>
          <w:p w14:paraId="5FB3CFD9" w14:textId="77777777" w:rsidR="00724034" w:rsidRDefault="00724034">
            <w:pPr>
              <w:rPr>
                <w:rFonts w:ascii="Arial" w:eastAsia="Arial" w:hAnsi="Arial" w:cs="Arial"/>
                <w:color w:val="000000"/>
                <w:sz w:val="16"/>
              </w:rPr>
            </w:pPr>
          </w:p>
        </w:tc>
        <w:tc>
          <w:tcPr>
            <w:tcW w:w="975" w:type="dxa"/>
            <w:tcBorders>
              <w:top w:val="nil"/>
              <w:left w:val="nil"/>
              <w:bottom w:val="nil"/>
              <w:right w:val="nil"/>
              <w:tl2br w:val="nil"/>
              <w:tr2bl w:val="nil"/>
            </w:tcBorders>
            <w:shd w:val="clear" w:color="auto" w:fill="FFFFFF"/>
            <w:tcMar>
              <w:left w:w="115" w:type="dxa"/>
              <w:right w:w="115" w:type="dxa"/>
            </w:tcMar>
            <w:vAlign w:val="bottom"/>
          </w:tcPr>
          <w:p w14:paraId="103994F9" w14:textId="77777777" w:rsidR="00724034" w:rsidRDefault="00724034">
            <w:pPr>
              <w:jc w:val="right"/>
              <w:rPr>
                <w:rFonts w:ascii="Arial" w:eastAsia="Arial" w:hAnsi="Arial" w:cs="Arial"/>
                <w:color w:val="000000"/>
                <w:sz w:val="16"/>
                <w:vertAlign w:val="superscript"/>
              </w:rPr>
            </w:pPr>
          </w:p>
        </w:tc>
        <w:tc>
          <w:tcPr>
            <w:tcW w:w="975" w:type="dxa"/>
            <w:tcBorders>
              <w:top w:val="nil"/>
              <w:left w:val="nil"/>
              <w:bottom w:val="nil"/>
              <w:right w:val="nil"/>
              <w:tl2br w:val="nil"/>
              <w:tr2bl w:val="nil"/>
            </w:tcBorders>
            <w:shd w:val="clear" w:color="auto" w:fill="FFFF00"/>
            <w:tcMar>
              <w:left w:w="115" w:type="dxa"/>
              <w:right w:w="115" w:type="dxa"/>
            </w:tcMar>
            <w:vAlign w:val="bottom"/>
          </w:tcPr>
          <w:p w14:paraId="0C14BF78" w14:textId="77777777" w:rsidR="00724034" w:rsidRDefault="00724034">
            <w:pPr>
              <w:jc w:val="right"/>
              <w:rPr>
                <w:rFonts w:ascii="Arial" w:eastAsia="Arial" w:hAnsi="Arial" w:cs="Arial"/>
                <w:color w:val="000000"/>
                <w:sz w:val="16"/>
                <w:vertAlign w:val="superscript"/>
              </w:rPr>
            </w:pPr>
          </w:p>
        </w:tc>
        <w:tc>
          <w:tcPr>
            <w:tcW w:w="975" w:type="dxa"/>
            <w:tcBorders>
              <w:top w:val="nil"/>
              <w:left w:val="nil"/>
              <w:bottom w:val="nil"/>
              <w:right w:val="nil"/>
              <w:tl2br w:val="nil"/>
              <w:tr2bl w:val="nil"/>
            </w:tcBorders>
            <w:shd w:val="clear" w:color="auto" w:fill="FFFFFF"/>
            <w:tcMar>
              <w:left w:w="115" w:type="dxa"/>
              <w:right w:w="115" w:type="dxa"/>
            </w:tcMar>
            <w:vAlign w:val="bottom"/>
          </w:tcPr>
          <w:p w14:paraId="13021C1D" w14:textId="77777777" w:rsidR="00724034" w:rsidRDefault="00724034">
            <w:pPr>
              <w:jc w:val="right"/>
              <w:rPr>
                <w:rFonts w:ascii="Arial" w:eastAsia="Arial" w:hAnsi="Arial" w:cs="Arial"/>
                <w:color w:val="000000"/>
                <w:sz w:val="16"/>
                <w:vertAlign w:val="superscript"/>
              </w:rPr>
            </w:pPr>
          </w:p>
        </w:tc>
        <w:tc>
          <w:tcPr>
            <w:tcW w:w="975" w:type="dxa"/>
            <w:tcBorders>
              <w:top w:val="nil"/>
              <w:left w:val="nil"/>
              <w:bottom w:val="nil"/>
              <w:right w:val="nil"/>
              <w:tl2br w:val="nil"/>
              <w:tr2bl w:val="nil"/>
            </w:tcBorders>
            <w:shd w:val="clear" w:color="auto" w:fill="FFFFFF"/>
            <w:tcMar>
              <w:left w:w="115" w:type="dxa"/>
              <w:right w:w="115" w:type="dxa"/>
            </w:tcMar>
            <w:vAlign w:val="bottom"/>
          </w:tcPr>
          <w:p w14:paraId="52FD3CE1" w14:textId="77777777" w:rsidR="00724034" w:rsidRDefault="00724034">
            <w:pPr>
              <w:jc w:val="right"/>
              <w:rPr>
                <w:rFonts w:ascii="Arial" w:eastAsia="Arial" w:hAnsi="Arial" w:cs="Arial"/>
                <w:color w:val="000000"/>
                <w:sz w:val="16"/>
                <w:vertAlign w:val="superscript"/>
              </w:rPr>
            </w:pPr>
          </w:p>
        </w:tc>
        <w:tc>
          <w:tcPr>
            <w:tcW w:w="975" w:type="dxa"/>
            <w:tcBorders>
              <w:top w:val="nil"/>
              <w:left w:val="nil"/>
              <w:bottom w:val="nil"/>
              <w:right w:val="single" w:sz="6" w:space="0" w:color="000000"/>
              <w:tl2br w:val="nil"/>
              <w:tr2bl w:val="nil"/>
            </w:tcBorders>
            <w:shd w:val="clear" w:color="auto" w:fill="FFFFFF"/>
            <w:tcMar>
              <w:left w:w="115" w:type="dxa"/>
              <w:right w:w="115" w:type="dxa"/>
            </w:tcMar>
            <w:vAlign w:val="bottom"/>
          </w:tcPr>
          <w:p w14:paraId="5815745B" w14:textId="77777777" w:rsidR="00724034" w:rsidRDefault="00724034">
            <w:pPr>
              <w:jc w:val="right"/>
              <w:rPr>
                <w:rFonts w:ascii="Arial" w:eastAsia="Arial" w:hAnsi="Arial" w:cs="Arial"/>
                <w:color w:val="000000"/>
                <w:sz w:val="16"/>
                <w:vertAlign w:val="superscript"/>
              </w:rPr>
            </w:pPr>
          </w:p>
        </w:tc>
      </w:tr>
      <w:tr w:rsidR="00724034" w14:paraId="3D34610B" w14:textId="77777777">
        <w:tblPrEx>
          <w:tblLook w:val="04A0" w:firstRow="1" w:lastRow="0" w:firstColumn="1" w:lastColumn="0" w:noHBand="0" w:noVBand="1"/>
        </w:tblPrEx>
        <w:trPr>
          <w:trHeight w:val="450"/>
        </w:trPr>
        <w:tc>
          <w:tcPr>
            <w:tcW w:w="3210" w:type="dxa"/>
            <w:tcBorders>
              <w:top w:val="nil"/>
              <w:left w:val="single" w:sz="6" w:space="0" w:color="000000"/>
              <w:bottom w:val="nil"/>
              <w:right w:val="nil"/>
              <w:tl2br w:val="nil"/>
              <w:tr2bl w:val="nil"/>
            </w:tcBorders>
            <w:shd w:val="clear" w:color="auto" w:fill="FFFFFF"/>
            <w:tcMar>
              <w:left w:w="115" w:type="dxa"/>
              <w:right w:w="115" w:type="dxa"/>
            </w:tcMar>
            <w:vAlign w:val="bottom"/>
          </w:tcPr>
          <w:p w14:paraId="6DBB08D6" w14:textId="77777777" w:rsidR="00724034" w:rsidRDefault="00FB7D0B">
            <w:pPr>
              <w:rPr>
                <w:rFonts w:ascii="Arial" w:eastAsia="Arial" w:hAnsi="Arial" w:cs="Arial"/>
                <w:color w:val="000000"/>
                <w:sz w:val="16"/>
                <w:vertAlign w:val="superscript"/>
              </w:rPr>
            </w:pPr>
            <w:r>
              <w:rPr>
                <w:rFonts w:ascii="Arial" w:eastAsia="Arial" w:hAnsi="Arial" w:cs="Arial"/>
                <w:color w:val="000000"/>
                <w:sz w:val="16"/>
              </w:rPr>
              <w:t>Number of calls received by the After Hours Counselling service</w:t>
            </w:r>
          </w:p>
        </w:tc>
        <w:tc>
          <w:tcPr>
            <w:tcW w:w="975" w:type="dxa"/>
            <w:tcBorders>
              <w:top w:val="nil"/>
              <w:left w:val="nil"/>
              <w:bottom w:val="nil"/>
              <w:right w:val="nil"/>
              <w:tl2br w:val="nil"/>
              <w:tr2bl w:val="nil"/>
            </w:tcBorders>
            <w:shd w:val="clear" w:color="auto" w:fill="FFFFFF"/>
            <w:tcMar>
              <w:left w:w="115" w:type="dxa"/>
              <w:right w:w="115" w:type="dxa"/>
            </w:tcMar>
            <w:vAlign w:val="bottom"/>
          </w:tcPr>
          <w:p w14:paraId="3B4EED22" w14:textId="77777777" w:rsidR="00724034" w:rsidRDefault="00FB7D0B">
            <w:pPr>
              <w:jc w:val="right"/>
              <w:rPr>
                <w:rFonts w:ascii="Arial" w:eastAsia="Arial" w:hAnsi="Arial" w:cs="Arial"/>
                <w:color w:val="000000"/>
                <w:sz w:val="16"/>
                <w:vertAlign w:val="superscript"/>
              </w:rPr>
            </w:pPr>
            <w:r>
              <w:rPr>
                <w:rFonts w:ascii="Arial" w:eastAsia="Arial" w:hAnsi="Arial" w:cs="Arial"/>
                <w:color w:val="000000"/>
                <w:sz w:val="16"/>
              </w:rPr>
              <w:t xml:space="preserve"> 6,700 </w:t>
            </w:r>
          </w:p>
        </w:tc>
        <w:tc>
          <w:tcPr>
            <w:tcW w:w="975" w:type="dxa"/>
            <w:tcBorders>
              <w:top w:val="nil"/>
              <w:left w:val="nil"/>
              <w:bottom w:val="nil"/>
              <w:right w:val="nil"/>
              <w:tl2br w:val="nil"/>
              <w:tr2bl w:val="nil"/>
            </w:tcBorders>
            <w:shd w:val="clear" w:color="auto" w:fill="FFFF00"/>
            <w:tcMar>
              <w:left w:w="115" w:type="dxa"/>
              <w:right w:w="115" w:type="dxa"/>
            </w:tcMar>
            <w:vAlign w:val="bottom"/>
          </w:tcPr>
          <w:p w14:paraId="5DEC00B3" w14:textId="77777777" w:rsidR="00724034" w:rsidRDefault="00FB7D0B">
            <w:pPr>
              <w:jc w:val="right"/>
              <w:rPr>
                <w:rFonts w:ascii="Arial" w:eastAsia="Arial" w:hAnsi="Arial" w:cs="Arial"/>
                <w:color w:val="000000"/>
                <w:sz w:val="16"/>
              </w:rPr>
            </w:pPr>
            <w:r>
              <w:rPr>
                <w:rFonts w:ascii="Arial" w:eastAsia="Arial" w:hAnsi="Arial" w:cs="Arial"/>
                <w:color w:val="000000"/>
                <w:sz w:val="16"/>
              </w:rPr>
              <w:t xml:space="preserve"> 7,115 </w:t>
            </w:r>
          </w:p>
        </w:tc>
        <w:tc>
          <w:tcPr>
            <w:tcW w:w="975" w:type="dxa"/>
            <w:tcBorders>
              <w:top w:val="nil"/>
              <w:left w:val="nil"/>
              <w:bottom w:val="nil"/>
              <w:right w:val="nil"/>
              <w:tl2br w:val="nil"/>
              <w:tr2bl w:val="nil"/>
            </w:tcBorders>
            <w:shd w:val="clear" w:color="auto" w:fill="FFFFFF"/>
            <w:tcMar>
              <w:left w:w="115" w:type="dxa"/>
              <w:right w:w="115" w:type="dxa"/>
            </w:tcMar>
            <w:vAlign w:val="bottom"/>
          </w:tcPr>
          <w:p w14:paraId="41E3BA94" w14:textId="77777777" w:rsidR="00724034" w:rsidRDefault="00FB7D0B">
            <w:pPr>
              <w:jc w:val="right"/>
              <w:rPr>
                <w:rFonts w:ascii="Arial" w:eastAsia="Arial" w:hAnsi="Arial" w:cs="Arial"/>
                <w:color w:val="000000"/>
                <w:sz w:val="16"/>
              </w:rPr>
            </w:pPr>
            <w:r>
              <w:rPr>
                <w:rFonts w:ascii="Arial" w:eastAsia="Arial" w:hAnsi="Arial" w:cs="Arial"/>
                <w:color w:val="000000"/>
                <w:sz w:val="16"/>
              </w:rPr>
              <w:t xml:space="preserve"> 7,412 </w:t>
            </w:r>
          </w:p>
        </w:tc>
        <w:tc>
          <w:tcPr>
            <w:tcW w:w="975" w:type="dxa"/>
            <w:tcBorders>
              <w:top w:val="nil"/>
              <w:left w:val="nil"/>
              <w:bottom w:val="nil"/>
              <w:right w:val="nil"/>
              <w:tl2br w:val="nil"/>
              <w:tr2bl w:val="nil"/>
            </w:tcBorders>
            <w:shd w:val="clear" w:color="auto" w:fill="FFFFFF"/>
            <w:tcMar>
              <w:left w:w="115" w:type="dxa"/>
              <w:right w:w="115" w:type="dxa"/>
            </w:tcMar>
            <w:vAlign w:val="bottom"/>
          </w:tcPr>
          <w:p w14:paraId="58799AA7" w14:textId="77777777" w:rsidR="00724034" w:rsidRDefault="00FB7D0B">
            <w:pPr>
              <w:jc w:val="right"/>
              <w:rPr>
                <w:rFonts w:ascii="Arial" w:eastAsia="Arial" w:hAnsi="Arial" w:cs="Arial"/>
                <w:color w:val="000000"/>
                <w:sz w:val="16"/>
              </w:rPr>
            </w:pPr>
            <w:r>
              <w:rPr>
                <w:rFonts w:ascii="Arial" w:eastAsia="Arial" w:hAnsi="Arial" w:cs="Arial"/>
                <w:color w:val="000000"/>
                <w:sz w:val="16"/>
              </w:rPr>
              <w:t xml:space="preserve"> 7,481 </w:t>
            </w:r>
          </w:p>
        </w:tc>
        <w:tc>
          <w:tcPr>
            <w:tcW w:w="975" w:type="dxa"/>
            <w:tcBorders>
              <w:top w:val="nil"/>
              <w:left w:val="nil"/>
              <w:bottom w:val="nil"/>
              <w:right w:val="single" w:sz="6" w:space="0" w:color="000000"/>
              <w:tl2br w:val="nil"/>
              <w:tr2bl w:val="nil"/>
            </w:tcBorders>
            <w:shd w:val="clear" w:color="auto" w:fill="FFFFFF"/>
            <w:tcMar>
              <w:left w:w="115" w:type="dxa"/>
              <w:right w:w="115" w:type="dxa"/>
            </w:tcMar>
            <w:vAlign w:val="bottom"/>
          </w:tcPr>
          <w:p w14:paraId="4C2EDF2B" w14:textId="77777777" w:rsidR="00724034" w:rsidRDefault="00FB7D0B">
            <w:pPr>
              <w:jc w:val="right"/>
              <w:rPr>
                <w:rFonts w:ascii="Arial" w:eastAsia="Arial" w:hAnsi="Arial" w:cs="Arial"/>
                <w:color w:val="000000"/>
                <w:sz w:val="16"/>
              </w:rPr>
            </w:pPr>
            <w:r>
              <w:rPr>
                <w:rFonts w:ascii="Arial" w:eastAsia="Arial" w:hAnsi="Arial" w:cs="Arial"/>
                <w:color w:val="000000"/>
                <w:sz w:val="16"/>
              </w:rPr>
              <w:t xml:space="preserve"> 7,481 </w:t>
            </w:r>
          </w:p>
        </w:tc>
      </w:tr>
      <w:tr w:rsidR="00724034" w14:paraId="5BA08C04" w14:textId="77777777">
        <w:tblPrEx>
          <w:tblLook w:val="04A0" w:firstRow="1" w:lastRow="0" w:firstColumn="1" w:lastColumn="0" w:noHBand="0" w:noVBand="1"/>
        </w:tblPrEx>
        <w:trPr>
          <w:trHeight w:val="60"/>
        </w:trPr>
        <w:tc>
          <w:tcPr>
            <w:tcW w:w="3210" w:type="dxa"/>
            <w:tcBorders>
              <w:top w:val="nil"/>
              <w:left w:val="single" w:sz="6" w:space="0" w:color="000000"/>
              <w:bottom w:val="nil"/>
              <w:right w:val="nil"/>
              <w:tl2br w:val="nil"/>
              <w:tr2bl w:val="nil"/>
            </w:tcBorders>
            <w:shd w:val="clear" w:color="auto" w:fill="FFFFFF"/>
            <w:tcMar>
              <w:left w:w="115" w:type="dxa"/>
              <w:right w:w="115" w:type="dxa"/>
            </w:tcMar>
            <w:vAlign w:val="bottom"/>
          </w:tcPr>
          <w:p w14:paraId="1D7BB678" w14:textId="77777777" w:rsidR="00724034" w:rsidRDefault="00724034">
            <w:pPr>
              <w:rPr>
                <w:rFonts w:ascii="Arial" w:eastAsia="Arial" w:hAnsi="Arial" w:cs="Arial"/>
                <w:color w:val="000000"/>
                <w:sz w:val="16"/>
              </w:rPr>
            </w:pPr>
          </w:p>
        </w:tc>
        <w:tc>
          <w:tcPr>
            <w:tcW w:w="975" w:type="dxa"/>
            <w:tcBorders>
              <w:top w:val="nil"/>
              <w:left w:val="nil"/>
              <w:bottom w:val="nil"/>
              <w:right w:val="nil"/>
              <w:tl2br w:val="nil"/>
              <w:tr2bl w:val="nil"/>
            </w:tcBorders>
            <w:shd w:val="clear" w:color="auto" w:fill="FFFFFF"/>
            <w:tcMar>
              <w:left w:w="115" w:type="dxa"/>
              <w:right w:w="115" w:type="dxa"/>
            </w:tcMar>
            <w:vAlign w:val="bottom"/>
          </w:tcPr>
          <w:p w14:paraId="2E13DA68" w14:textId="77777777" w:rsidR="00724034" w:rsidRDefault="00724034">
            <w:pPr>
              <w:jc w:val="right"/>
              <w:rPr>
                <w:rFonts w:ascii="Arial" w:eastAsia="Arial" w:hAnsi="Arial" w:cs="Arial"/>
                <w:color w:val="000000"/>
                <w:sz w:val="16"/>
                <w:vertAlign w:val="superscript"/>
              </w:rPr>
            </w:pPr>
          </w:p>
        </w:tc>
        <w:tc>
          <w:tcPr>
            <w:tcW w:w="975" w:type="dxa"/>
            <w:tcBorders>
              <w:top w:val="nil"/>
              <w:left w:val="nil"/>
              <w:bottom w:val="nil"/>
              <w:right w:val="nil"/>
              <w:tl2br w:val="nil"/>
              <w:tr2bl w:val="nil"/>
            </w:tcBorders>
            <w:shd w:val="clear" w:color="auto" w:fill="FFFF00"/>
            <w:tcMar>
              <w:left w:w="115" w:type="dxa"/>
              <w:right w:w="115" w:type="dxa"/>
            </w:tcMar>
            <w:vAlign w:val="bottom"/>
          </w:tcPr>
          <w:p w14:paraId="4AAEA631" w14:textId="77777777" w:rsidR="00724034" w:rsidRDefault="00724034">
            <w:pPr>
              <w:jc w:val="right"/>
              <w:rPr>
                <w:rFonts w:ascii="Arial" w:eastAsia="Arial" w:hAnsi="Arial" w:cs="Arial"/>
                <w:color w:val="000000"/>
                <w:sz w:val="16"/>
                <w:vertAlign w:val="superscript"/>
              </w:rPr>
            </w:pPr>
          </w:p>
        </w:tc>
        <w:tc>
          <w:tcPr>
            <w:tcW w:w="975" w:type="dxa"/>
            <w:tcBorders>
              <w:top w:val="nil"/>
              <w:left w:val="nil"/>
              <w:bottom w:val="nil"/>
              <w:right w:val="nil"/>
              <w:tl2br w:val="nil"/>
              <w:tr2bl w:val="nil"/>
            </w:tcBorders>
            <w:shd w:val="clear" w:color="auto" w:fill="FFFFFF"/>
            <w:tcMar>
              <w:left w:w="115" w:type="dxa"/>
              <w:right w:w="115" w:type="dxa"/>
            </w:tcMar>
            <w:vAlign w:val="bottom"/>
          </w:tcPr>
          <w:p w14:paraId="292A7A8C" w14:textId="77777777" w:rsidR="00724034" w:rsidRDefault="00724034">
            <w:pPr>
              <w:jc w:val="right"/>
              <w:rPr>
                <w:rFonts w:ascii="Arial" w:eastAsia="Arial" w:hAnsi="Arial" w:cs="Arial"/>
                <w:color w:val="000000"/>
                <w:sz w:val="16"/>
                <w:vertAlign w:val="superscript"/>
              </w:rPr>
            </w:pPr>
          </w:p>
        </w:tc>
        <w:tc>
          <w:tcPr>
            <w:tcW w:w="975" w:type="dxa"/>
            <w:tcBorders>
              <w:top w:val="nil"/>
              <w:left w:val="nil"/>
              <w:bottom w:val="nil"/>
              <w:right w:val="nil"/>
              <w:tl2br w:val="nil"/>
              <w:tr2bl w:val="nil"/>
            </w:tcBorders>
            <w:shd w:val="clear" w:color="auto" w:fill="FFFFFF"/>
            <w:tcMar>
              <w:left w:w="115" w:type="dxa"/>
              <w:right w:w="115" w:type="dxa"/>
            </w:tcMar>
            <w:vAlign w:val="bottom"/>
          </w:tcPr>
          <w:p w14:paraId="5DAC110B" w14:textId="77777777" w:rsidR="00724034" w:rsidRDefault="00724034">
            <w:pPr>
              <w:jc w:val="right"/>
              <w:rPr>
                <w:rFonts w:ascii="Arial" w:eastAsia="Arial" w:hAnsi="Arial" w:cs="Arial"/>
                <w:color w:val="000000"/>
                <w:sz w:val="16"/>
                <w:vertAlign w:val="superscript"/>
              </w:rPr>
            </w:pPr>
          </w:p>
        </w:tc>
        <w:tc>
          <w:tcPr>
            <w:tcW w:w="975" w:type="dxa"/>
            <w:tcBorders>
              <w:top w:val="nil"/>
              <w:left w:val="nil"/>
              <w:bottom w:val="nil"/>
              <w:right w:val="single" w:sz="6" w:space="0" w:color="000000"/>
              <w:tl2br w:val="nil"/>
              <w:tr2bl w:val="nil"/>
            </w:tcBorders>
            <w:shd w:val="clear" w:color="auto" w:fill="FFFFFF"/>
            <w:tcMar>
              <w:left w:w="115" w:type="dxa"/>
              <w:right w:w="115" w:type="dxa"/>
            </w:tcMar>
            <w:vAlign w:val="bottom"/>
          </w:tcPr>
          <w:p w14:paraId="2D16B813" w14:textId="77777777" w:rsidR="00724034" w:rsidRDefault="00724034">
            <w:pPr>
              <w:jc w:val="right"/>
              <w:rPr>
                <w:rFonts w:ascii="Arial" w:eastAsia="Arial" w:hAnsi="Arial" w:cs="Arial"/>
                <w:color w:val="000000"/>
                <w:sz w:val="16"/>
                <w:vertAlign w:val="superscript"/>
              </w:rPr>
            </w:pPr>
          </w:p>
        </w:tc>
      </w:tr>
      <w:tr w:rsidR="00724034" w14:paraId="31F98CA2" w14:textId="77777777">
        <w:tblPrEx>
          <w:tblLook w:val="04A0" w:firstRow="1" w:lastRow="0" w:firstColumn="1" w:lastColumn="0" w:noHBand="0" w:noVBand="1"/>
        </w:tblPrEx>
        <w:trPr>
          <w:trHeight w:val="450"/>
        </w:trPr>
        <w:tc>
          <w:tcPr>
            <w:tcW w:w="3210" w:type="dxa"/>
            <w:tcBorders>
              <w:top w:val="nil"/>
              <w:left w:val="single" w:sz="6" w:space="0" w:color="000000"/>
              <w:bottom w:val="single" w:sz="6" w:space="0" w:color="000000"/>
              <w:right w:val="nil"/>
              <w:tl2br w:val="nil"/>
              <w:tr2bl w:val="nil"/>
            </w:tcBorders>
            <w:shd w:val="clear" w:color="auto" w:fill="FFFFFF"/>
            <w:tcMar>
              <w:left w:w="115" w:type="dxa"/>
              <w:right w:w="115" w:type="dxa"/>
            </w:tcMar>
            <w:vAlign w:val="bottom"/>
          </w:tcPr>
          <w:p w14:paraId="39284A7F" w14:textId="77777777" w:rsidR="00724034" w:rsidRDefault="00FB7D0B">
            <w:pPr>
              <w:rPr>
                <w:rFonts w:ascii="Arial" w:eastAsia="Arial" w:hAnsi="Arial" w:cs="Arial"/>
                <w:color w:val="000000"/>
                <w:sz w:val="16"/>
                <w:vertAlign w:val="superscript"/>
              </w:rPr>
            </w:pPr>
            <w:r>
              <w:rPr>
                <w:rFonts w:ascii="Arial" w:eastAsia="Arial" w:hAnsi="Arial" w:cs="Arial"/>
                <w:color w:val="000000"/>
                <w:sz w:val="16"/>
              </w:rPr>
              <w:t>Number of unique clients receiving group programme intervention</w:t>
            </w:r>
          </w:p>
        </w:tc>
        <w:tc>
          <w:tcPr>
            <w:tcW w:w="975"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59BECA32" w14:textId="77777777" w:rsidR="00724034" w:rsidRDefault="00FB7D0B">
            <w:pPr>
              <w:jc w:val="right"/>
              <w:rPr>
                <w:rFonts w:ascii="Arial" w:eastAsia="Arial" w:hAnsi="Arial" w:cs="Arial"/>
                <w:color w:val="000000"/>
                <w:sz w:val="16"/>
                <w:vertAlign w:val="superscript"/>
              </w:rPr>
            </w:pPr>
            <w:r>
              <w:rPr>
                <w:rFonts w:ascii="Arial" w:eastAsia="Arial" w:hAnsi="Arial" w:cs="Arial"/>
                <w:color w:val="000000"/>
                <w:sz w:val="16"/>
              </w:rPr>
              <w:t xml:space="preserve"> 3,200 </w:t>
            </w:r>
          </w:p>
        </w:tc>
        <w:tc>
          <w:tcPr>
            <w:tcW w:w="975" w:type="dxa"/>
            <w:tcBorders>
              <w:top w:val="nil"/>
              <w:left w:val="nil"/>
              <w:bottom w:val="single" w:sz="6" w:space="0" w:color="000000"/>
              <w:right w:val="nil"/>
              <w:tl2br w:val="nil"/>
              <w:tr2bl w:val="nil"/>
            </w:tcBorders>
            <w:shd w:val="clear" w:color="auto" w:fill="FFFF00"/>
            <w:tcMar>
              <w:left w:w="115" w:type="dxa"/>
              <w:right w:w="115" w:type="dxa"/>
            </w:tcMar>
            <w:vAlign w:val="bottom"/>
          </w:tcPr>
          <w:p w14:paraId="075FB4C3" w14:textId="77777777" w:rsidR="00724034" w:rsidRDefault="00FB7D0B">
            <w:pPr>
              <w:jc w:val="right"/>
              <w:rPr>
                <w:rFonts w:ascii="Arial" w:eastAsia="Arial" w:hAnsi="Arial" w:cs="Arial"/>
                <w:color w:val="000000"/>
                <w:sz w:val="16"/>
              </w:rPr>
            </w:pPr>
            <w:r>
              <w:rPr>
                <w:rFonts w:ascii="Arial" w:eastAsia="Arial" w:hAnsi="Arial" w:cs="Arial"/>
                <w:color w:val="000000"/>
                <w:sz w:val="16"/>
              </w:rPr>
              <w:t xml:space="preserve"> 3,315 </w:t>
            </w:r>
          </w:p>
        </w:tc>
        <w:tc>
          <w:tcPr>
            <w:tcW w:w="975"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7DA65316" w14:textId="77777777" w:rsidR="00724034" w:rsidRDefault="00FB7D0B">
            <w:pPr>
              <w:jc w:val="right"/>
              <w:rPr>
                <w:rFonts w:ascii="Arial" w:eastAsia="Arial" w:hAnsi="Arial" w:cs="Arial"/>
                <w:color w:val="000000"/>
                <w:sz w:val="16"/>
              </w:rPr>
            </w:pPr>
            <w:r>
              <w:rPr>
                <w:rFonts w:ascii="Arial" w:eastAsia="Arial" w:hAnsi="Arial" w:cs="Arial"/>
                <w:color w:val="000000"/>
                <w:sz w:val="16"/>
              </w:rPr>
              <w:t xml:space="preserve"> 3,362 </w:t>
            </w:r>
          </w:p>
        </w:tc>
        <w:tc>
          <w:tcPr>
            <w:tcW w:w="975"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70CE604F" w14:textId="77777777" w:rsidR="00724034" w:rsidRDefault="00FB7D0B">
            <w:pPr>
              <w:jc w:val="right"/>
              <w:rPr>
                <w:rFonts w:ascii="Arial" w:eastAsia="Arial" w:hAnsi="Arial" w:cs="Arial"/>
                <w:color w:val="000000"/>
                <w:sz w:val="16"/>
              </w:rPr>
            </w:pPr>
            <w:r>
              <w:rPr>
                <w:rFonts w:ascii="Arial" w:eastAsia="Arial" w:hAnsi="Arial" w:cs="Arial"/>
                <w:color w:val="000000"/>
                <w:sz w:val="16"/>
              </w:rPr>
              <w:t xml:space="preserve"> 3,431 </w:t>
            </w:r>
          </w:p>
        </w:tc>
        <w:tc>
          <w:tcPr>
            <w:tcW w:w="975" w:type="dxa"/>
            <w:tcBorders>
              <w:top w:val="nil"/>
              <w:left w:val="nil"/>
              <w:bottom w:val="single" w:sz="6" w:space="0" w:color="000000"/>
              <w:right w:val="single" w:sz="6" w:space="0" w:color="000000"/>
              <w:tl2br w:val="nil"/>
              <w:tr2bl w:val="nil"/>
            </w:tcBorders>
            <w:shd w:val="clear" w:color="auto" w:fill="FFFFFF"/>
            <w:tcMar>
              <w:left w:w="115" w:type="dxa"/>
              <w:right w:w="115" w:type="dxa"/>
            </w:tcMar>
            <w:vAlign w:val="bottom"/>
          </w:tcPr>
          <w:p w14:paraId="3851B780" w14:textId="77777777" w:rsidR="00724034" w:rsidRDefault="00FB7D0B">
            <w:pPr>
              <w:jc w:val="right"/>
              <w:rPr>
                <w:rFonts w:ascii="Arial" w:eastAsia="Arial" w:hAnsi="Arial" w:cs="Arial"/>
                <w:color w:val="000000"/>
                <w:sz w:val="16"/>
              </w:rPr>
            </w:pPr>
            <w:r>
              <w:rPr>
                <w:rFonts w:ascii="Arial" w:eastAsia="Arial" w:hAnsi="Arial" w:cs="Arial"/>
                <w:color w:val="000000"/>
                <w:sz w:val="16"/>
              </w:rPr>
              <w:t xml:space="preserve"> 3,431 </w:t>
            </w:r>
          </w:p>
        </w:tc>
      </w:tr>
      <w:tr w:rsidR="00724034" w14:paraId="69078F01" w14:textId="77777777">
        <w:tblPrEx>
          <w:tblLook w:val="04A0" w:firstRow="1" w:lastRow="0" w:firstColumn="1" w:lastColumn="0" w:noHBand="0" w:noVBand="1"/>
        </w:tblPrEx>
        <w:trPr>
          <w:trHeight w:val="60"/>
        </w:trPr>
        <w:tc>
          <w:tcPr>
            <w:tcW w:w="3210"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4D94E23E" w14:textId="77777777" w:rsidR="00724034" w:rsidRDefault="00724034">
            <w:pPr>
              <w:rPr>
                <w:rFonts w:ascii="Arial" w:eastAsia="Arial" w:hAnsi="Arial" w:cs="Arial"/>
                <w:color w:val="000000"/>
                <w:sz w:val="16"/>
              </w:rPr>
            </w:pPr>
          </w:p>
        </w:tc>
        <w:tc>
          <w:tcPr>
            <w:tcW w:w="975"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63B8319F" w14:textId="77777777" w:rsidR="00724034" w:rsidRDefault="00724034">
            <w:pPr>
              <w:rPr>
                <w:rFonts w:ascii="Arial" w:eastAsia="Arial" w:hAnsi="Arial" w:cs="Arial"/>
                <w:color w:val="000000"/>
                <w:sz w:val="16"/>
                <w:vertAlign w:val="superscript"/>
              </w:rPr>
            </w:pPr>
          </w:p>
        </w:tc>
        <w:tc>
          <w:tcPr>
            <w:tcW w:w="975"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2C549D72" w14:textId="77777777" w:rsidR="00724034" w:rsidRDefault="00724034">
            <w:pPr>
              <w:rPr>
                <w:rFonts w:ascii="Arial" w:eastAsia="Arial" w:hAnsi="Arial" w:cs="Arial"/>
                <w:color w:val="000000"/>
                <w:sz w:val="16"/>
                <w:vertAlign w:val="superscript"/>
              </w:rPr>
            </w:pPr>
          </w:p>
        </w:tc>
        <w:tc>
          <w:tcPr>
            <w:tcW w:w="975"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4528DB7B" w14:textId="77777777" w:rsidR="00724034" w:rsidRDefault="00724034">
            <w:pPr>
              <w:rPr>
                <w:rFonts w:ascii="Arial" w:eastAsia="Arial" w:hAnsi="Arial" w:cs="Arial"/>
                <w:b/>
                <w:color w:val="000000"/>
                <w:sz w:val="16"/>
                <w:vertAlign w:val="superscript"/>
              </w:rPr>
            </w:pPr>
          </w:p>
        </w:tc>
        <w:tc>
          <w:tcPr>
            <w:tcW w:w="975"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4B78D8F2" w14:textId="77777777" w:rsidR="00724034" w:rsidRDefault="00724034">
            <w:pPr>
              <w:rPr>
                <w:rFonts w:ascii="Arial" w:eastAsia="Arial" w:hAnsi="Arial" w:cs="Arial"/>
                <w:color w:val="000000"/>
                <w:sz w:val="16"/>
                <w:vertAlign w:val="superscript"/>
              </w:rPr>
            </w:pPr>
          </w:p>
        </w:tc>
        <w:tc>
          <w:tcPr>
            <w:tcW w:w="975"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76279EE4" w14:textId="77777777" w:rsidR="00724034" w:rsidRDefault="00724034">
            <w:pPr>
              <w:rPr>
                <w:rFonts w:ascii="Arial" w:eastAsia="Arial" w:hAnsi="Arial" w:cs="Arial"/>
                <w:color w:val="000000"/>
                <w:sz w:val="16"/>
                <w:vertAlign w:val="superscript"/>
              </w:rPr>
            </w:pPr>
          </w:p>
        </w:tc>
      </w:tr>
    </w:tbl>
    <w:p w14:paraId="62061511" w14:textId="77777777" w:rsidR="00724034" w:rsidRDefault="00FB7D0B">
      <w:pPr>
        <w:spacing w:line="14" w:lineRule="exact"/>
      </w:pPr>
      <w:r>
        <w:br w:type="page"/>
      </w:r>
    </w:p>
    <w:tbl>
      <w:tblPr>
        <w:tblW w:w="0" w:type="auto"/>
        <w:tblBorders>
          <w:top w:val="single" w:sz="2" w:space="0" w:color="auto"/>
          <w:left w:val="single" w:sz="2" w:space="0" w:color="auto"/>
          <w:bottom w:val="single" w:sz="2" w:space="0" w:color="auto"/>
          <w:right w:val="single" w:sz="2" w:space="0" w:color="auto"/>
          <w:insideH w:val="single" w:sz="2" w:space="0" w:color="auto"/>
        </w:tblBorders>
        <w:tblLook w:val="01E0" w:firstRow="1" w:lastRow="1" w:firstColumn="1" w:lastColumn="1" w:noHBand="0" w:noVBand="0"/>
      </w:tblPr>
      <w:tblGrid>
        <w:gridCol w:w="8080"/>
      </w:tblGrid>
      <w:tr w:rsidR="00724034" w14:paraId="5D2CDB48" w14:textId="77777777" w:rsidTr="003F0EEA">
        <w:tc>
          <w:tcPr>
            <w:tcW w:w="8080" w:type="dxa"/>
            <w:tcBorders>
              <w:top w:val="single" w:sz="2" w:space="0" w:color="auto"/>
              <w:left w:val="single" w:sz="2" w:space="0" w:color="auto"/>
              <w:bottom w:val="single" w:sz="2" w:space="0" w:color="auto"/>
              <w:right w:val="single" w:sz="2" w:space="0" w:color="auto"/>
            </w:tcBorders>
            <w:shd w:val="clear" w:color="auto" w:fill="E6E6E6"/>
          </w:tcPr>
          <w:p w14:paraId="1E63291C" w14:textId="77777777" w:rsidR="003F0EEA" w:rsidRPr="00D043D0" w:rsidRDefault="00FB7D0B" w:rsidP="003F0EEA">
            <w:pPr>
              <w:pStyle w:val="TableColumnHeadingLeft3"/>
              <w:rPr>
                <w:rFonts w:cs="Arial"/>
              </w:rPr>
            </w:pPr>
            <w:r>
              <w:rPr>
                <w:rFonts w:cs="Arial"/>
              </w:rPr>
              <w:t xml:space="preserve">Programme 2.5: </w:t>
            </w:r>
            <w:r w:rsidRPr="00D043D0">
              <w:rPr>
                <w:rFonts w:cs="Arial"/>
              </w:rPr>
              <w:t>Veterans' Counselling and Other Health Services</w:t>
            </w:r>
            <w:r>
              <w:rPr>
                <w:rFonts w:cs="Arial"/>
              </w:rPr>
              <w:t xml:space="preserve"> (continued)</w:t>
            </w:r>
          </w:p>
        </w:tc>
      </w:tr>
    </w:tbl>
    <w:p w14:paraId="1CE53745" w14:textId="77777777" w:rsidR="003F0EEA" w:rsidRPr="00D72500" w:rsidRDefault="003F0EEA">
      <w:pPr>
        <w:rPr>
          <w:rFonts w:ascii="Arial" w:eastAsia="Times New Roman"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10"/>
        <w:gridCol w:w="975"/>
        <w:gridCol w:w="975"/>
        <w:gridCol w:w="975"/>
        <w:gridCol w:w="975"/>
        <w:gridCol w:w="975"/>
      </w:tblGrid>
      <w:tr w:rsidR="00724034" w14:paraId="00778E18" w14:textId="77777777" w:rsidTr="003F0EEA">
        <w:tc>
          <w:tcPr>
            <w:tcW w:w="8080" w:type="dxa"/>
            <w:gridSpan w:val="6"/>
            <w:tcBorders>
              <w:top w:val="single" w:sz="4" w:space="0" w:color="auto"/>
              <w:left w:val="single" w:sz="4" w:space="0" w:color="auto"/>
              <w:bottom w:val="single" w:sz="4" w:space="0" w:color="auto"/>
              <w:right w:val="single" w:sz="4" w:space="0" w:color="auto"/>
            </w:tcBorders>
          </w:tcPr>
          <w:p w14:paraId="20860AF0" w14:textId="77777777" w:rsidR="003F0EEA" w:rsidRDefault="00FB7D0B" w:rsidP="003F0EEA">
            <w:pPr>
              <w:pStyle w:val="TableTextLeft34"/>
              <w:keepNext/>
              <w:rPr>
                <w:b/>
              </w:rPr>
            </w:pPr>
            <w:r>
              <w:rPr>
                <w:b/>
              </w:rPr>
              <w:t>Programme 2.5 key performance indicators</w:t>
            </w:r>
          </w:p>
          <w:p w14:paraId="515E6DDB" w14:textId="77777777" w:rsidR="003F0EEA" w:rsidRDefault="00FB7D0B" w:rsidP="003F0EEA">
            <w:pPr>
              <w:pStyle w:val="TableTextBullet19"/>
              <w:numPr>
                <w:ilvl w:val="0"/>
                <w:numId w:val="0"/>
              </w:numPr>
              <w:tabs>
                <w:tab w:val="left" w:pos="720"/>
              </w:tabs>
            </w:pPr>
            <w:r>
              <w:rPr>
                <w:rFonts w:cs="Arial"/>
              </w:rPr>
              <w:t>The following KPIs measure the impact of the Programme:</w:t>
            </w:r>
          </w:p>
          <w:p w14:paraId="2EA94E24" w14:textId="77777777" w:rsidR="003F0EEA" w:rsidRDefault="00FB7D0B" w:rsidP="003F0EEA">
            <w:pPr>
              <w:pStyle w:val="TableTextBullet19"/>
              <w:numPr>
                <w:ilvl w:val="0"/>
                <w:numId w:val="45"/>
              </w:numPr>
            </w:pPr>
            <w:r>
              <w:t>Veterans’ claims for travel costs are reimbursed within 28 days.</w:t>
            </w:r>
          </w:p>
          <w:p w14:paraId="30277DEA" w14:textId="77777777" w:rsidR="003F0EEA" w:rsidRDefault="00FB7D0B" w:rsidP="003F0EEA">
            <w:pPr>
              <w:pStyle w:val="TableTextBullet19"/>
              <w:numPr>
                <w:ilvl w:val="0"/>
                <w:numId w:val="45"/>
              </w:numPr>
            </w:pPr>
            <w:r>
              <w:t>Veterans have access to ambulance services at the Repatriation Commission’s expense in all states and territories.</w:t>
            </w:r>
          </w:p>
          <w:p w14:paraId="761654BE" w14:textId="77777777" w:rsidR="003F0EEA" w:rsidRDefault="00FB7D0B" w:rsidP="003F0EEA">
            <w:pPr>
              <w:pStyle w:val="TableTextBullet19"/>
              <w:numPr>
                <w:ilvl w:val="0"/>
                <w:numId w:val="45"/>
              </w:numPr>
            </w:pPr>
            <w:r>
              <w:t>Level of veteran satisfaction is determined from six attitudinal questions contained in the satisfaction surveys completed by clients.</w:t>
            </w:r>
          </w:p>
          <w:p w14:paraId="51BDFBF4" w14:textId="77777777" w:rsidR="003F0EEA" w:rsidRPr="00575727" w:rsidRDefault="00FB7D0B" w:rsidP="003F0EEA">
            <w:pPr>
              <w:pStyle w:val="TableTextBullet19"/>
              <w:numPr>
                <w:ilvl w:val="0"/>
                <w:numId w:val="45"/>
              </w:numPr>
            </w:pPr>
            <w:r>
              <w:t>Percentage of unique clients presenting for service who receive attention within two weeks of intake.</w:t>
            </w:r>
          </w:p>
        </w:tc>
      </w:tr>
      <w:tr w:rsidR="00724034" w14:paraId="7D5CFBED" w14:textId="77777777">
        <w:tblPrEx>
          <w:tblLook w:val="04A0" w:firstRow="1" w:lastRow="0" w:firstColumn="1" w:lastColumn="0" w:noHBand="0" w:noVBand="1"/>
        </w:tblPrEx>
        <w:trPr>
          <w:trHeight w:val="225"/>
        </w:trPr>
        <w:tc>
          <w:tcPr>
            <w:tcW w:w="3210" w:type="dxa"/>
            <w:tcBorders>
              <w:top w:val="single" w:sz="6" w:space="0" w:color="000000"/>
              <w:left w:val="single" w:sz="6" w:space="0" w:color="000000"/>
              <w:bottom w:val="nil"/>
              <w:right w:val="nil"/>
              <w:tl2br w:val="nil"/>
              <w:tr2bl w:val="nil"/>
            </w:tcBorders>
            <w:shd w:val="clear" w:color="auto" w:fill="FFFFFF"/>
            <w:tcMar>
              <w:left w:w="115" w:type="dxa"/>
              <w:right w:w="115" w:type="dxa"/>
            </w:tcMar>
            <w:vAlign w:val="bottom"/>
          </w:tcPr>
          <w:p w14:paraId="0592E904" w14:textId="77777777" w:rsidR="00724034" w:rsidRDefault="00724034">
            <w:pPr>
              <w:jc w:val="center"/>
            </w:pPr>
          </w:p>
        </w:tc>
        <w:tc>
          <w:tcPr>
            <w:tcW w:w="975"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7001FE11" w14:textId="77777777" w:rsidR="00724034" w:rsidRDefault="00FB7D0B">
            <w:pPr>
              <w:jc w:val="right"/>
              <w:rPr>
                <w:rFonts w:ascii="Arial" w:eastAsia="Arial" w:hAnsi="Arial" w:cs="Arial"/>
                <w:b/>
                <w:color w:val="000000"/>
                <w:sz w:val="16"/>
                <w:vertAlign w:val="superscript"/>
              </w:rPr>
            </w:pPr>
            <w:r>
              <w:rPr>
                <w:rFonts w:ascii="Arial" w:eastAsia="Arial" w:hAnsi="Arial" w:cs="Arial"/>
                <w:color w:val="000000"/>
                <w:sz w:val="16"/>
              </w:rPr>
              <w:t>2013-14</w:t>
            </w:r>
          </w:p>
        </w:tc>
        <w:tc>
          <w:tcPr>
            <w:tcW w:w="975" w:type="dxa"/>
            <w:tcBorders>
              <w:top w:val="single" w:sz="6" w:space="0" w:color="000000"/>
              <w:left w:val="nil"/>
              <w:bottom w:val="nil"/>
              <w:right w:val="nil"/>
              <w:tl2br w:val="nil"/>
              <w:tr2bl w:val="nil"/>
            </w:tcBorders>
            <w:shd w:val="clear" w:color="auto" w:fill="FFFF00"/>
            <w:tcMar>
              <w:left w:w="115" w:type="dxa"/>
              <w:right w:w="115" w:type="dxa"/>
            </w:tcMar>
            <w:vAlign w:val="bottom"/>
          </w:tcPr>
          <w:p w14:paraId="177CBFAE" w14:textId="77777777" w:rsidR="00724034" w:rsidRDefault="00FB7D0B">
            <w:pPr>
              <w:jc w:val="right"/>
              <w:rPr>
                <w:rFonts w:ascii="Arial" w:eastAsia="Arial" w:hAnsi="Arial" w:cs="Arial"/>
                <w:color w:val="000000"/>
                <w:sz w:val="16"/>
              </w:rPr>
            </w:pPr>
            <w:r>
              <w:rPr>
                <w:rFonts w:ascii="Arial" w:eastAsia="Arial" w:hAnsi="Arial" w:cs="Arial"/>
                <w:color w:val="000000"/>
                <w:sz w:val="16"/>
              </w:rPr>
              <w:t>2014-15</w:t>
            </w:r>
          </w:p>
        </w:tc>
        <w:tc>
          <w:tcPr>
            <w:tcW w:w="975"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27D24736" w14:textId="77777777" w:rsidR="00724034" w:rsidRDefault="00FB7D0B">
            <w:pPr>
              <w:jc w:val="right"/>
              <w:rPr>
                <w:rFonts w:ascii="Arial" w:eastAsia="Arial" w:hAnsi="Arial" w:cs="Arial"/>
                <w:color w:val="000000"/>
                <w:sz w:val="16"/>
              </w:rPr>
            </w:pPr>
            <w:r>
              <w:rPr>
                <w:rFonts w:ascii="Arial" w:eastAsia="Arial" w:hAnsi="Arial" w:cs="Arial"/>
                <w:color w:val="000000"/>
                <w:sz w:val="16"/>
              </w:rPr>
              <w:t>2015-16</w:t>
            </w:r>
          </w:p>
        </w:tc>
        <w:tc>
          <w:tcPr>
            <w:tcW w:w="975"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4902A3A8" w14:textId="77777777" w:rsidR="00724034" w:rsidRDefault="00FB7D0B">
            <w:pPr>
              <w:jc w:val="right"/>
              <w:rPr>
                <w:rFonts w:ascii="Arial" w:eastAsia="Arial" w:hAnsi="Arial" w:cs="Arial"/>
                <w:color w:val="000000"/>
                <w:sz w:val="16"/>
              </w:rPr>
            </w:pPr>
            <w:r>
              <w:rPr>
                <w:rFonts w:ascii="Arial" w:eastAsia="Arial" w:hAnsi="Arial" w:cs="Arial"/>
                <w:color w:val="000000"/>
                <w:sz w:val="16"/>
              </w:rPr>
              <w:t>2016-17</w:t>
            </w:r>
          </w:p>
        </w:tc>
        <w:tc>
          <w:tcPr>
            <w:tcW w:w="975" w:type="dxa"/>
            <w:tcBorders>
              <w:top w:val="single" w:sz="6" w:space="0" w:color="000000"/>
              <w:left w:val="nil"/>
              <w:bottom w:val="nil"/>
              <w:right w:val="single" w:sz="6" w:space="0" w:color="000000"/>
              <w:tl2br w:val="nil"/>
              <w:tr2bl w:val="nil"/>
            </w:tcBorders>
            <w:shd w:val="clear" w:color="auto" w:fill="FFFFFF"/>
            <w:tcMar>
              <w:left w:w="115" w:type="dxa"/>
              <w:right w:w="115" w:type="dxa"/>
            </w:tcMar>
            <w:vAlign w:val="bottom"/>
          </w:tcPr>
          <w:p w14:paraId="054D30FD" w14:textId="77777777" w:rsidR="00724034" w:rsidRDefault="00FB7D0B">
            <w:pPr>
              <w:jc w:val="right"/>
              <w:rPr>
                <w:rFonts w:ascii="Arial" w:eastAsia="Arial" w:hAnsi="Arial" w:cs="Arial"/>
                <w:color w:val="000000"/>
                <w:sz w:val="16"/>
              </w:rPr>
            </w:pPr>
            <w:r>
              <w:rPr>
                <w:rFonts w:ascii="Arial" w:eastAsia="Arial" w:hAnsi="Arial" w:cs="Arial"/>
                <w:color w:val="000000"/>
                <w:sz w:val="16"/>
              </w:rPr>
              <w:t>2017-18</w:t>
            </w:r>
          </w:p>
        </w:tc>
      </w:tr>
      <w:tr w:rsidR="00724034" w14:paraId="63F96A97" w14:textId="77777777">
        <w:tblPrEx>
          <w:tblLook w:val="04A0" w:firstRow="1" w:lastRow="0" w:firstColumn="1" w:lastColumn="0" w:noHBand="0" w:noVBand="1"/>
        </w:tblPrEx>
        <w:trPr>
          <w:trHeight w:val="225"/>
        </w:trPr>
        <w:tc>
          <w:tcPr>
            <w:tcW w:w="3210" w:type="dxa"/>
            <w:tcBorders>
              <w:top w:val="nil"/>
              <w:left w:val="single" w:sz="6" w:space="0" w:color="000000"/>
              <w:bottom w:val="nil"/>
              <w:right w:val="nil"/>
              <w:tl2br w:val="nil"/>
              <w:tr2bl w:val="nil"/>
            </w:tcBorders>
            <w:shd w:val="clear" w:color="auto" w:fill="FFFFFF"/>
            <w:tcMar>
              <w:left w:w="115" w:type="dxa"/>
              <w:right w:w="115" w:type="dxa"/>
            </w:tcMar>
            <w:vAlign w:val="bottom"/>
          </w:tcPr>
          <w:p w14:paraId="73399EC4" w14:textId="77777777" w:rsidR="00724034" w:rsidRDefault="00FB7D0B">
            <w:pPr>
              <w:rPr>
                <w:rFonts w:ascii="Arial" w:eastAsia="Arial" w:hAnsi="Arial" w:cs="Arial"/>
                <w:color w:val="000000"/>
                <w:sz w:val="16"/>
              </w:rPr>
            </w:pPr>
            <w:r>
              <w:rPr>
                <w:rFonts w:ascii="Arial" w:eastAsia="Arial" w:hAnsi="Arial" w:cs="Arial"/>
                <w:color w:val="000000"/>
                <w:sz w:val="16"/>
              </w:rPr>
              <w:t>Key Performance</w:t>
            </w:r>
          </w:p>
        </w:tc>
        <w:tc>
          <w:tcPr>
            <w:tcW w:w="975" w:type="dxa"/>
            <w:tcBorders>
              <w:top w:val="nil"/>
              <w:left w:val="nil"/>
              <w:bottom w:val="nil"/>
              <w:right w:val="nil"/>
              <w:tl2br w:val="nil"/>
              <w:tr2bl w:val="nil"/>
            </w:tcBorders>
            <w:shd w:val="clear" w:color="auto" w:fill="FFFFFF"/>
            <w:tcMar>
              <w:left w:w="115" w:type="dxa"/>
              <w:right w:w="115" w:type="dxa"/>
            </w:tcMar>
            <w:vAlign w:val="bottom"/>
          </w:tcPr>
          <w:p w14:paraId="048CC629" w14:textId="77777777" w:rsidR="00724034" w:rsidRDefault="00FB7D0B">
            <w:pPr>
              <w:jc w:val="right"/>
              <w:rPr>
                <w:rFonts w:ascii="Arial" w:eastAsia="Arial" w:hAnsi="Arial" w:cs="Arial"/>
                <w:color w:val="000000"/>
                <w:sz w:val="16"/>
                <w:vertAlign w:val="superscript"/>
              </w:rPr>
            </w:pPr>
            <w:r>
              <w:rPr>
                <w:rFonts w:ascii="Arial" w:eastAsia="Arial" w:hAnsi="Arial" w:cs="Arial"/>
                <w:color w:val="000000"/>
                <w:sz w:val="16"/>
              </w:rPr>
              <w:t>Revised</w:t>
            </w:r>
          </w:p>
        </w:tc>
        <w:tc>
          <w:tcPr>
            <w:tcW w:w="975" w:type="dxa"/>
            <w:tcBorders>
              <w:top w:val="nil"/>
              <w:left w:val="nil"/>
              <w:bottom w:val="nil"/>
              <w:right w:val="nil"/>
              <w:tl2br w:val="nil"/>
              <w:tr2bl w:val="nil"/>
            </w:tcBorders>
            <w:shd w:val="clear" w:color="auto" w:fill="FFFF00"/>
            <w:tcMar>
              <w:left w:w="115" w:type="dxa"/>
              <w:right w:w="115" w:type="dxa"/>
            </w:tcMar>
            <w:vAlign w:val="bottom"/>
          </w:tcPr>
          <w:p w14:paraId="279AB73D" w14:textId="77777777" w:rsidR="00724034" w:rsidRDefault="00FB7D0B">
            <w:pPr>
              <w:jc w:val="right"/>
              <w:rPr>
                <w:rFonts w:ascii="Arial" w:eastAsia="Arial" w:hAnsi="Arial" w:cs="Arial"/>
                <w:color w:val="000000"/>
                <w:sz w:val="16"/>
              </w:rPr>
            </w:pPr>
            <w:r>
              <w:rPr>
                <w:rFonts w:ascii="Arial" w:eastAsia="Arial" w:hAnsi="Arial" w:cs="Arial"/>
                <w:color w:val="000000"/>
                <w:sz w:val="16"/>
              </w:rPr>
              <w:t>Budget</w:t>
            </w:r>
          </w:p>
        </w:tc>
        <w:tc>
          <w:tcPr>
            <w:tcW w:w="975" w:type="dxa"/>
            <w:tcBorders>
              <w:top w:val="nil"/>
              <w:left w:val="nil"/>
              <w:bottom w:val="nil"/>
              <w:right w:val="nil"/>
              <w:tl2br w:val="nil"/>
              <w:tr2bl w:val="nil"/>
            </w:tcBorders>
            <w:shd w:val="clear" w:color="auto" w:fill="FFFFFF"/>
            <w:tcMar>
              <w:left w:w="115" w:type="dxa"/>
              <w:right w:w="115" w:type="dxa"/>
            </w:tcMar>
            <w:vAlign w:val="bottom"/>
          </w:tcPr>
          <w:p w14:paraId="7574564E" w14:textId="77777777" w:rsidR="00724034" w:rsidRDefault="00FB7D0B">
            <w:pPr>
              <w:jc w:val="right"/>
              <w:rPr>
                <w:rFonts w:ascii="Arial" w:eastAsia="Arial" w:hAnsi="Arial" w:cs="Arial"/>
                <w:color w:val="000000"/>
                <w:sz w:val="16"/>
              </w:rPr>
            </w:pPr>
            <w:r>
              <w:rPr>
                <w:rFonts w:ascii="Arial" w:eastAsia="Arial" w:hAnsi="Arial" w:cs="Arial"/>
                <w:color w:val="000000"/>
                <w:sz w:val="16"/>
              </w:rPr>
              <w:t>Forward</w:t>
            </w:r>
          </w:p>
        </w:tc>
        <w:tc>
          <w:tcPr>
            <w:tcW w:w="975" w:type="dxa"/>
            <w:tcBorders>
              <w:top w:val="nil"/>
              <w:left w:val="nil"/>
              <w:bottom w:val="nil"/>
              <w:right w:val="nil"/>
              <w:tl2br w:val="nil"/>
              <w:tr2bl w:val="nil"/>
            </w:tcBorders>
            <w:shd w:val="clear" w:color="auto" w:fill="FFFFFF"/>
            <w:tcMar>
              <w:left w:w="115" w:type="dxa"/>
              <w:right w:w="115" w:type="dxa"/>
            </w:tcMar>
            <w:vAlign w:val="bottom"/>
          </w:tcPr>
          <w:p w14:paraId="0B1FE28E" w14:textId="77777777" w:rsidR="00724034" w:rsidRDefault="00FB7D0B">
            <w:pPr>
              <w:jc w:val="right"/>
              <w:rPr>
                <w:rFonts w:ascii="Arial" w:eastAsia="Arial" w:hAnsi="Arial" w:cs="Arial"/>
                <w:color w:val="000000"/>
                <w:sz w:val="16"/>
              </w:rPr>
            </w:pPr>
            <w:r>
              <w:rPr>
                <w:rFonts w:ascii="Arial" w:eastAsia="Arial" w:hAnsi="Arial" w:cs="Arial"/>
                <w:color w:val="000000"/>
                <w:sz w:val="16"/>
              </w:rPr>
              <w:t>Forward</w:t>
            </w:r>
          </w:p>
        </w:tc>
        <w:tc>
          <w:tcPr>
            <w:tcW w:w="975" w:type="dxa"/>
            <w:tcBorders>
              <w:top w:val="nil"/>
              <w:left w:val="nil"/>
              <w:bottom w:val="nil"/>
              <w:right w:val="single" w:sz="6" w:space="0" w:color="000000"/>
              <w:tl2br w:val="nil"/>
              <w:tr2bl w:val="nil"/>
            </w:tcBorders>
            <w:shd w:val="clear" w:color="auto" w:fill="FFFFFF"/>
            <w:tcMar>
              <w:left w:w="115" w:type="dxa"/>
              <w:right w:w="115" w:type="dxa"/>
            </w:tcMar>
            <w:vAlign w:val="bottom"/>
          </w:tcPr>
          <w:p w14:paraId="61430A92" w14:textId="77777777" w:rsidR="00724034" w:rsidRDefault="00FB7D0B">
            <w:pPr>
              <w:jc w:val="right"/>
              <w:rPr>
                <w:rFonts w:ascii="Arial" w:eastAsia="Arial" w:hAnsi="Arial" w:cs="Arial"/>
                <w:color w:val="000000"/>
                <w:sz w:val="16"/>
              </w:rPr>
            </w:pPr>
            <w:r>
              <w:rPr>
                <w:rFonts w:ascii="Arial" w:eastAsia="Arial" w:hAnsi="Arial" w:cs="Arial"/>
                <w:color w:val="000000"/>
                <w:sz w:val="16"/>
              </w:rPr>
              <w:t>Forward</w:t>
            </w:r>
          </w:p>
        </w:tc>
      </w:tr>
      <w:tr w:rsidR="00724034" w14:paraId="2614E7BD" w14:textId="77777777">
        <w:tblPrEx>
          <w:tblLook w:val="04A0" w:firstRow="1" w:lastRow="0" w:firstColumn="1" w:lastColumn="0" w:noHBand="0" w:noVBand="1"/>
        </w:tblPrEx>
        <w:trPr>
          <w:trHeight w:val="225"/>
        </w:trPr>
        <w:tc>
          <w:tcPr>
            <w:tcW w:w="3210" w:type="dxa"/>
            <w:tcBorders>
              <w:top w:val="nil"/>
              <w:left w:val="single" w:sz="6" w:space="0" w:color="000000"/>
              <w:bottom w:val="single" w:sz="6" w:space="0" w:color="000000"/>
              <w:right w:val="nil"/>
              <w:tl2br w:val="nil"/>
              <w:tr2bl w:val="nil"/>
            </w:tcBorders>
            <w:shd w:val="clear" w:color="auto" w:fill="FFFFFF"/>
            <w:tcMar>
              <w:left w:w="115" w:type="dxa"/>
              <w:right w:w="115" w:type="dxa"/>
            </w:tcMar>
            <w:vAlign w:val="bottom"/>
          </w:tcPr>
          <w:p w14:paraId="727AFDBE" w14:textId="77777777" w:rsidR="00724034" w:rsidRDefault="00FB7D0B">
            <w:pPr>
              <w:rPr>
                <w:rFonts w:ascii="Arial" w:eastAsia="Arial" w:hAnsi="Arial" w:cs="Arial"/>
                <w:color w:val="000000"/>
                <w:sz w:val="16"/>
              </w:rPr>
            </w:pPr>
            <w:r>
              <w:rPr>
                <w:rFonts w:ascii="Arial" w:eastAsia="Arial" w:hAnsi="Arial" w:cs="Arial"/>
                <w:color w:val="000000"/>
                <w:sz w:val="16"/>
              </w:rPr>
              <w:t>Indicators</w:t>
            </w:r>
          </w:p>
        </w:tc>
        <w:tc>
          <w:tcPr>
            <w:tcW w:w="975"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73654886" w14:textId="77777777" w:rsidR="00724034" w:rsidRDefault="00FB7D0B">
            <w:pPr>
              <w:jc w:val="right"/>
              <w:rPr>
                <w:rFonts w:ascii="Arial" w:eastAsia="Arial" w:hAnsi="Arial" w:cs="Arial"/>
                <w:color w:val="000000"/>
                <w:sz w:val="16"/>
                <w:vertAlign w:val="superscript"/>
              </w:rPr>
            </w:pPr>
            <w:r>
              <w:rPr>
                <w:rFonts w:ascii="Arial" w:eastAsia="Arial" w:hAnsi="Arial" w:cs="Arial"/>
                <w:color w:val="000000"/>
                <w:sz w:val="16"/>
              </w:rPr>
              <w:t>budget</w:t>
            </w:r>
          </w:p>
        </w:tc>
        <w:tc>
          <w:tcPr>
            <w:tcW w:w="975" w:type="dxa"/>
            <w:tcBorders>
              <w:top w:val="nil"/>
              <w:left w:val="nil"/>
              <w:bottom w:val="single" w:sz="6" w:space="0" w:color="000000"/>
              <w:right w:val="nil"/>
              <w:tl2br w:val="nil"/>
              <w:tr2bl w:val="nil"/>
            </w:tcBorders>
            <w:shd w:val="clear" w:color="auto" w:fill="FFFF00"/>
            <w:tcMar>
              <w:left w:w="115" w:type="dxa"/>
              <w:right w:w="115" w:type="dxa"/>
            </w:tcMar>
            <w:vAlign w:val="bottom"/>
          </w:tcPr>
          <w:p w14:paraId="0F9C291B" w14:textId="77777777" w:rsidR="00724034" w:rsidRDefault="00FB7D0B">
            <w:pPr>
              <w:jc w:val="right"/>
              <w:rPr>
                <w:rFonts w:ascii="Arial" w:eastAsia="Arial" w:hAnsi="Arial" w:cs="Arial"/>
                <w:color w:val="000000"/>
                <w:sz w:val="16"/>
              </w:rPr>
            </w:pPr>
            <w:r>
              <w:rPr>
                <w:rFonts w:ascii="Arial" w:eastAsia="Arial" w:hAnsi="Arial" w:cs="Arial"/>
                <w:color w:val="000000"/>
                <w:sz w:val="16"/>
              </w:rPr>
              <w:t>target</w:t>
            </w:r>
          </w:p>
        </w:tc>
        <w:tc>
          <w:tcPr>
            <w:tcW w:w="975"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74E19DFD" w14:textId="77777777" w:rsidR="00724034" w:rsidRDefault="00FB7D0B">
            <w:pPr>
              <w:jc w:val="right"/>
              <w:rPr>
                <w:rFonts w:ascii="Arial" w:eastAsia="Arial" w:hAnsi="Arial" w:cs="Arial"/>
                <w:color w:val="000000"/>
                <w:sz w:val="16"/>
              </w:rPr>
            </w:pPr>
            <w:r>
              <w:rPr>
                <w:rFonts w:ascii="Arial" w:eastAsia="Arial" w:hAnsi="Arial" w:cs="Arial"/>
                <w:color w:val="000000"/>
                <w:sz w:val="16"/>
              </w:rPr>
              <w:t>year 1</w:t>
            </w:r>
          </w:p>
        </w:tc>
        <w:tc>
          <w:tcPr>
            <w:tcW w:w="975"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0E76E10F" w14:textId="77777777" w:rsidR="00724034" w:rsidRDefault="00FB7D0B">
            <w:pPr>
              <w:jc w:val="right"/>
              <w:rPr>
                <w:rFonts w:ascii="Arial" w:eastAsia="Arial" w:hAnsi="Arial" w:cs="Arial"/>
                <w:color w:val="000000"/>
                <w:sz w:val="16"/>
              </w:rPr>
            </w:pPr>
            <w:r>
              <w:rPr>
                <w:rFonts w:ascii="Arial" w:eastAsia="Arial" w:hAnsi="Arial" w:cs="Arial"/>
                <w:color w:val="000000"/>
                <w:sz w:val="16"/>
              </w:rPr>
              <w:t>year 2</w:t>
            </w:r>
          </w:p>
        </w:tc>
        <w:tc>
          <w:tcPr>
            <w:tcW w:w="975" w:type="dxa"/>
            <w:tcBorders>
              <w:top w:val="nil"/>
              <w:left w:val="nil"/>
              <w:bottom w:val="single" w:sz="6" w:space="0" w:color="000000"/>
              <w:right w:val="single" w:sz="6" w:space="0" w:color="000000"/>
              <w:tl2br w:val="nil"/>
              <w:tr2bl w:val="nil"/>
            </w:tcBorders>
            <w:shd w:val="clear" w:color="auto" w:fill="FFFFFF"/>
            <w:tcMar>
              <w:left w:w="115" w:type="dxa"/>
              <w:right w:w="115" w:type="dxa"/>
            </w:tcMar>
            <w:vAlign w:val="bottom"/>
          </w:tcPr>
          <w:p w14:paraId="01A4B087" w14:textId="77777777" w:rsidR="00724034" w:rsidRDefault="00FB7D0B">
            <w:pPr>
              <w:jc w:val="right"/>
              <w:rPr>
                <w:rFonts w:ascii="Arial" w:eastAsia="Arial" w:hAnsi="Arial" w:cs="Arial"/>
                <w:color w:val="000000"/>
                <w:sz w:val="16"/>
              </w:rPr>
            </w:pPr>
            <w:r>
              <w:rPr>
                <w:rFonts w:ascii="Arial" w:eastAsia="Arial" w:hAnsi="Arial" w:cs="Arial"/>
                <w:color w:val="000000"/>
                <w:sz w:val="16"/>
              </w:rPr>
              <w:t>year 3</w:t>
            </w:r>
          </w:p>
        </w:tc>
      </w:tr>
      <w:tr w:rsidR="00724034" w14:paraId="3553B50B" w14:textId="77777777">
        <w:tblPrEx>
          <w:tblLook w:val="04A0" w:firstRow="1" w:lastRow="0" w:firstColumn="1" w:lastColumn="0" w:noHBand="0" w:noVBand="1"/>
        </w:tblPrEx>
        <w:trPr>
          <w:trHeight w:val="60"/>
        </w:trPr>
        <w:tc>
          <w:tcPr>
            <w:tcW w:w="3210" w:type="dxa"/>
            <w:tcBorders>
              <w:top w:val="single" w:sz="6" w:space="0" w:color="000000"/>
              <w:left w:val="single" w:sz="6" w:space="0" w:color="000000"/>
              <w:bottom w:val="nil"/>
              <w:right w:val="nil"/>
              <w:tl2br w:val="nil"/>
              <w:tr2bl w:val="nil"/>
            </w:tcBorders>
            <w:shd w:val="clear" w:color="auto" w:fill="FFFFFF"/>
            <w:tcMar>
              <w:left w:w="115" w:type="dxa"/>
              <w:right w:w="115" w:type="dxa"/>
            </w:tcMar>
            <w:vAlign w:val="bottom"/>
          </w:tcPr>
          <w:p w14:paraId="0B0AF616" w14:textId="77777777" w:rsidR="00724034" w:rsidRDefault="00724034">
            <w:pPr>
              <w:rPr>
                <w:rFonts w:ascii="Arial" w:eastAsia="Arial" w:hAnsi="Arial" w:cs="Arial"/>
                <w:color w:val="000000"/>
                <w:sz w:val="16"/>
              </w:rPr>
            </w:pPr>
          </w:p>
        </w:tc>
        <w:tc>
          <w:tcPr>
            <w:tcW w:w="975"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3E8F605A" w14:textId="77777777" w:rsidR="00724034" w:rsidRDefault="00724034">
            <w:pPr>
              <w:jc w:val="right"/>
              <w:rPr>
                <w:rFonts w:ascii="Arial" w:eastAsia="Arial" w:hAnsi="Arial" w:cs="Arial"/>
                <w:color w:val="000000"/>
                <w:sz w:val="16"/>
                <w:vertAlign w:val="superscript"/>
              </w:rPr>
            </w:pPr>
          </w:p>
        </w:tc>
        <w:tc>
          <w:tcPr>
            <w:tcW w:w="975" w:type="dxa"/>
            <w:tcBorders>
              <w:top w:val="single" w:sz="6" w:space="0" w:color="000000"/>
              <w:left w:val="nil"/>
              <w:bottom w:val="nil"/>
              <w:right w:val="nil"/>
              <w:tl2br w:val="nil"/>
              <w:tr2bl w:val="nil"/>
            </w:tcBorders>
            <w:shd w:val="clear" w:color="auto" w:fill="FFFF00"/>
            <w:tcMar>
              <w:left w:w="115" w:type="dxa"/>
              <w:right w:w="115" w:type="dxa"/>
            </w:tcMar>
            <w:vAlign w:val="bottom"/>
          </w:tcPr>
          <w:p w14:paraId="1D70414A" w14:textId="77777777" w:rsidR="00724034" w:rsidRDefault="00724034">
            <w:pPr>
              <w:jc w:val="right"/>
              <w:rPr>
                <w:rFonts w:ascii="Arial" w:eastAsia="Arial" w:hAnsi="Arial" w:cs="Arial"/>
                <w:color w:val="000000"/>
                <w:sz w:val="16"/>
                <w:vertAlign w:val="superscript"/>
              </w:rPr>
            </w:pPr>
          </w:p>
        </w:tc>
        <w:tc>
          <w:tcPr>
            <w:tcW w:w="975"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768574EB" w14:textId="77777777" w:rsidR="00724034" w:rsidRDefault="00724034">
            <w:pPr>
              <w:jc w:val="right"/>
              <w:rPr>
                <w:rFonts w:ascii="Arial" w:eastAsia="Arial" w:hAnsi="Arial" w:cs="Arial"/>
                <w:color w:val="000000"/>
                <w:sz w:val="16"/>
                <w:vertAlign w:val="superscript"/>
              </w:rPr>
            </w:pPr>
          </w:p>
        </w:tc>
        <w:tc>
          <w:tcPr>
            <w:tcW w:w="975"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78E34EAF" w14:textId="77777777" w:rsidR="00724034" w:rsidRDefault="00724034">
            <w:pPr>
              <w:jc w:val="right"/>
              <w:rPr>
                <w:rFonts w:ascii="Arial" w:eastAsia="Arial" w:hAnsi="Arial" w:cs="Arial"/>
                <w:color w:val="000000"/>
                <w:sz w:val="16"/>
                <w:vertAlign w:val="superscript"/>
              </w:rPr>
            </w:pPr>
          </w:p>
        </w:tc>
        <w:tc>
          <w:tcPr>
            <w:tcW w:w="975" w:type="dxa"/>
            <w:tcBorders>
              <w:top w:val="single" w:sz="6" w:space="0" w:color="000000"/>
              <w:left w:val="nil"/>
              <w:bottom w:val="nil"/>
              <w:right w:val="single" w:sz="6" w:space="0" w:color="000000"/>
              <w:tl2br w:val="nil"/>
              <w:tr2bl w:val="nil"/>
            </w:tcBorders>
            <w:shd w:val="clear" w:color="auto" w:fill="FFFFFF"/>
            <w:tcMar>
              <w:left w:w="115" w:type="dxa"/>
              <w:right w:w="115" w:type="dxa"/>
            </w:tcMar>
            <w:vAlign w:val="bottom"/>
          </w:tcPr>
          <w:p w14:paraId="434E7E65" w14:textId="77777777" w:rsidR="00724034" w:rsidRDefault="00724034">
            <w:pPr>
              <w:jc w:val="right"/>
              <w:rPr>
                <w:rFonts w:ascii="Arial" w:eastAsia="Arial" w:hAnsi="Arial" w:cs="Arial"/>
                <w:color w:val="000000"/>
                <w:sz w:val="16"/>
                <w:vertAlign w:val="superscript"/>
              </w:rPr>
            </w:pPr>
          </w:p>
        </w:tc>
      </w:tr>
      <w:tr w:rsidR="00724034" w14:paraId="57D18467" w14:textId="77777777">
        <w:tblPrEx>
          <w:tblLook w:val="04A0" w:firstRow="1" w:lastRow="0" w:firstColumn="1" w:lastColumn="0" w:noHBand="0" w:noVBand="1"/>
        </w:tblPrEx>
        <w:trPr>
          <w:trHeight w:val="240"/>
        </w:trPr>
        <w:tc>
          <w:tcPr>
            <w:tcW w:w="3210" w:type="dxa"/>
            <w:tcBorders>
              <w:top w:val="nil"/>
              <w:left w:val="single" w:sz="6" w:space="0" w:color="000000"/>
              <w:bottom w:val="nil"/>
              <w:right w:val="nil"/>
              <w:tl2br w:val="nil"/>
              <w:tr2bl w:val="nil"/>
            </w:tcBorders>
            <w:shd w:val="clear" w:color="auto" w:fill="FFFFFF"/>
            <w:tcMar>
              <w:left w:w="115" w:type="dxa"/>
              <w:right w:w="115" w:type="dxa"/>
            </w:tcMar>
            <w:vAlign w:val="bottom"/>
          </w:tcPr>
          <w:p w14:paraId="6755445B" w14:textId="77777777" w:rsidR="00724034" w:rsidRDefault="00FB7D0B">
            <w:pPr>
              <w:rPr>
                <w:rFonts w:ascii="Arial" w:eastAsia="Arial" w:hAnsi="Arial" w:cs="Arial"/>
                <w:color w:val="000000"/>
                <w:sz w:val="16"/>
                <w:vertAlign w:val="superscript"/>
              </w:rPr>
            </w:pPr>
            <w:r>
              <w:rPr>
                <w:rFonts w:ascii="Arial" w:eastAsia="Arial" w:hAnsi="Arial" w:cs="Arial"/>
                <w:i/>
                <w:color w:val="000000"/>
                <w:sz w:val="16"/>
              </w:rPr>
              <w:t xml:space="preserve">Price: </w:t>
            </w:r>
            <w:r>
              <w:rPr>
                <w:rFonts w:ascii="Arial" w:eastAsia="Arial" w:hAnsi="Arial" w:cs="Arial"/>
                <w:color w:val="000000"/>
                <w:sz w:val="16"/>
              </w:rPr>
              <w:t>Unit cost per cardholder</w:t>
            </w:r>
          </w:p>
        </w:tc>
        <w:tc>
          <w:tcPr>
            <w:tcW w:w="975" w:type="dxa"/>
            <w:tcBorders>
              <w:top w:val="nil"/>
              <w:left w:val="nil"/>
              <w:bottom w:val="nil"/>
              <w:right w:val="nil"/>
              <w:tl2br w:val="nil"/>
              <w:tr2bl w:val="nil"/>
            </w:tcBorders>
            <w:shd w:val="clear" w:color="auto" w:fill="FFFFFF"/>
            <w:tcMar>
              <w:left w:w="115" w:type="dxa"/>
              <w:right w:w="115" w:type="dxa"/>
            </w:tcMar>
            <w:vAlign w:val="bottom"/>
          </w:tcPr>
          <w:p w14:paraId="4D2C3D56" w14:textId="77777777" w:rsidR="00724034" w:rsidRDefault="00FB7D0B">
            <w:pPr>
              <w:jc w:val="right"/>
              <w:rPr>
                <w:rFonts w:ascii="Arial" w:eastAsia="Arial" w:hAnsi="Arial" w:cs="Arial"/>
                <w:i/>
                <w:color w:val="000000"/>
                <w:sz w:val="16"/>
                <w:vertAlign w:val="superscript"/>
              </w:rPr>
            </w:pPr>
            <w:r>
              <w:rPr>
                <w:rFonts w:ascii="Arial" w:eastAsia="Arial" w:hAnsi="Arial" w:cs="Arial"/>
                <w:color w:val="000000"/>
                <w:sz w:val="16"/>
              </w:rPr>
              <w:t>205 </w:t>
            </w:r>
          </w:p>
        </w:tc>
        <w:tc>
          <w:tcPr>
            <w:tcW w:w="975" w:type="dxa"/>
            <w:tcBorders>
              <w:top w:val="nil"/>
              <w:left w:val="nil"/>
              <w:bottom w:val="nil"/>
              <w:right w:val="nil"/>
              <w:tl2br w:val="nil"/>
              <w:tr2bl w:val="nil"/>
            </w:tcBorders>
            <w:shd w:val="clear" w:color="auto" w:fill="FFFF00"/>
            <w:tcMar>
              <w:left w:w="115" w:type="dxa"/>
              <w:right w:w="115" w:type="dxa"/>
            </w:tcMar>
            <w:vAlign w:val="bottom"/>
          </w:tcPr>
          <w:p w14:paraId="3539E3C2" w14:textId="77777777" w:rsidR="00724034" w:rsidRDefault="00FB7D0B">
            <w:pPr>
              <w:jc w:val="right"/>
              <w:rPr>
                <w:rFonts w:ascii="Arial" w:eastAsia="Arial" w:hAnsi="Arial" w:cs="Arial"/>
                <w:color w:val="000000"/>
                <w:sz w:val="16"/>
              </w:rPr>
            </w:pPr>
            <w:r>
              <w:rPr>
                <w:rFonts w:ascii="Arial" w:eastAsia="Arial" w:hAnsi="Arial" w:cs="Arial"/>
                <w:color w:val="000000"/>
                <w:sz w:val="16"/>
              </w:rPr>
              <w:t>209 </w:t>
            </w:r>
          </w:p>
        </w:tc>
        <w:tc>
          <w:tcPr>
            <w:tcW w:w="975" w:type="dxa"/>
            <w:tcBorders>
              <w:top w:val="nil"/>
              <w:left w:val="nil"/>
              <w:bottom w:val="nil"/>
              <w:right w:val="nil"/>
              <w:tl2br w:val="nil"/>
              <w:tr2bl w:val="nil"/>
            </w:tcBorders>
            <w:shd w:val="clear" w:color="auto" w:fill="FFFFFF"/>
            <w:tcMar>
              <w:left w:w="115" w:type="dxa"/>
              <w:right w:w="115" w:type="dxa"/>
            </w:tcMar>
            <w:vAlign w:val="bottom"/>
          </w:tcPr>
          <w:p w14:paraId="08E36950" w14:textId="77777777" w:rsidR="00724034" w:rsidRDefault="00FB7D0B">
            <w:pPr>
              <w:jc w:val="right"/>
              <w:rPr>
                <w:rFonts w:ascii="Arial" w:eastAsia="Arial" w:hAnsi="Arial" w:cs="Arial"/>
                <w:color w:val="000000"/>
                <w:sz w:val="16"/>
              </w:rPr>
            </w:pPr>
            <w:r>
              <w:rPr>
                <w:rFonts w:ascii="Arial" w:eastAsia="Arial" w:hAnsi="Arial" w:cs="Arial"/>
                <w:color w:val="000000"/>
                <w:sz w:val="16"/>
              </w:rPr>
              <w:t>216 </w:t>
            </w:r>
          </w:p>
        </w:tc>
        <w:tc>
          <w:tcPr>
            <w:tcW w:w="975" w:type="dxa"/>
            <w:tcBorders>
              <w:top w:val="nil"/>
              <w:left w:val="nil"/>
              <w:bottom w:val="nil"/>
              <w:right w:val="nil"/>
              <w:tl2br w:val="nil"/>
              <w:tr2bl w:val="nil"/>
            </w:tcBorders>
            <w:shd w:val="clear" w:color="auto" w:fill="FFFFFF"/>
            <w:tcMar>
              <w:left w:w="115" w:type="dxa"/>
              <w:right w:w="115" w:type="dxa"/>
            </w:tcMar>
            <w:vAlign w:val="bottom"/>
          </w:tcPr>
          <w:p w14:paraId="174BE1C1" w14:textId="77777777" w:rsidR="00724034" w:rsidRDefault="00FB7D0B">
            <w:pPr>
              <w:jc w:val="right"/>
              <w:rPr>
                <w:rFonts w:ascii="Arial" w:eastAsia="Arial" w:hAnsi="Arial" w:cs="Arial"/>
                <w:color w:val="000000"/>
                <w:sz w:val="16"/>
              </w:rPr>
            </w:pPr>
            <w:r>
              <w:rPr>
                <w:rFonts w:ascii="Arial" w:eastAsia="Arial" w:hAnsi="Arial" w:cs="Arial"/>
                <w:color w:val="000000"/>
                <w:sz w:val="16"/>
              </w:rPr>
              <w:t>225 </w:t>
            </w:r>
          </w:p>
        </w:tc>
        <w:tc>
          <w:tcPr>
            <w:tcW w:w="975" w:type="dxa"/>
            <w:tcBorders>
              <w:top w:val="nil"/>
              <w:left w:val="nil"/>
              <w:bottom w:val="nil"/>
              <w:right w:val="single" w:sz="6" w:space="0" w:color="000000"/>
              <w:tl2br w:val="nil"/>
              <w:tr2bl w:val="nil"/>
            </w:tcBorders>
            <w:shd w:val="clear" w:color="auto" w:fill="FFFFFF"/>
            <w:tcMar>
              <w:left w:w="115" w:type="dxa"/>
              <w:right w:w="115" w:type="dxa"/>
            </w:tcMar>
            <w:vAlign w:val="bottom"/>
          </w:tcPr>
          <w:p w14:paraId="55206BB9" w14:textId="77777777" w:rsidR="00724034" w:rsidRDefault="00FB7D0B">
            <w:pPr>
              <w:jc w:val="right"/>
              <w:rPr>
                <w:rFonts w:ascii="Arial" w:eastAsia="Arial" w:hAnsi="Arial" w:cs="Arial"/>
                <w:color w:val="000000"/>
                <w:sz w:val="16"/>
              </w:rPr>
            </w:pPr>
            <w:r>
              <w:rPr>
                <w:rFonts w:ascii="Arial" w:eastAsia="Arial" w:hAnsi="Arial" w:cs="Arial"/>
                <w:color w:val="000000"/>
                <w:sz w:val="16"/>
              </w:rPr>
              <w:t>238 </w:t>
            </w:r>
          </w:p>
        </w:tc>
      </w:tr>
      <w:tr w:rsidR="00724034" w14:paraId="7850BA8C" w14:textId="77777777">
        <w:tblPrEx>
          <w:tblLook w:val="04A0" w:firstRow="1" w:lastRow="0" w:firstColumn="1" w:lastColumn="0" w:noHBand="0" w:noVBand="1"/>
        </w:tblPrEx>
        <w:trPr>
          <w:trHeight w:val="30"/>
        </w:trPr>
        <w:tc>
          <w:tcPr>
            <w:tcW w:w="3210" w:type="dxa"/>
            <w:tcBorders>
              <w:top w:val="nil"/>
              <w:left w:val="single" w:sz="6" w:space="0" w:color="000000"/>
              <w:bottom w:val="nil"/>
              <w:right w:val="nil"/>
              <w:tl2br w:val="nil"/>
              <w:tr2bl w:val="nil"/>
            </w:tcBorders>
            <w:shd w:val="clear" w:color="auto" w:fill="FFFFFF"/>
            <w:tcMar>
              <w:left w:w="115" w:type="dxa"/>
              <w:right w:w="115" w:type="dxa"/>
            </w:tcMar>
            <w:vAlign w:val="bottom"/>
          </w:tcPr>
          <w:p w14:paraId="1BD14859" w14:textId="77777777" w:rsidR="00724034" w:rsidRDefault="00724034">
            <w:pPr>
              <w:rPr>
                <w:rFonts w:ascii="Arial" w:eastAsia="Arial" w:hAnsi="Arial" w:cs="Arial"/>
                <w:color w:val="000000"/>
                <w:sz w:val="16"/>
              </w:rPr>
            </w:pPr>
          </w:p>
        </w:tc>
        <w:tc>
          <w:tcPr>
            <w:tcW w:w="975" w:type="dxa"/>
            <w:tcBorders>
              <w:top w:val="nil"/>
              <w:left w:val="nil"/>
              <w:bottom w:val="nil"/>
              <w:right w:val="nil"/>
              <w:tl2br w:val="nil"/>
              <w:tr2bl w:val="nil"/>
            </w:tcBorders>
            <w:shd w:val="clear" w:color="auto" w:fill="FFFFFF"/>
            <w:tcMar>
              <w:left w:w="115" w:type="dxa"/>
              <w:right w:w="115" w:type="dxa"/>
            </w:tcMar>
            <w:vAlign w:val="bottom"/>
          </w:tcPr>
          <w:p w14:paraId="46D14B82" w14:textId="77777777" w:rsidR="00724034" w:rsidRDefault="00724034">
            <w:pPr>
              <w:jc w:val="right"/>
              <w:rPr>
                <w:rFonts w:ascii="Arial" w:eastAsia="Arial" w:hAnsi="Arial" w:cs="Arial"/>
                <w:color w:val="000000"/>
                <w:sz w:val="16"/>
                <w:vertAlign w:val="superscript"/>
              </w:rPr>
            </w:pPr>
          </w:p>
        </w:tc>
        <w:tc>
          <w:tcPr>
            <w:tcW w:w="975" w:type="dxa"/>
            <w:tcBorders>
              <w:top w:val="nil"/>
              <w:left w:val="nil"/>
              <w:bottom w:val="nil"/>
              <w:right w:val="nil"/>
              <w:tl2br w:val="nil"/>
              <w:tr2bl w:val="nil"/>
            </w:tcBorders>
            <w:shd w:val="clear" w:color="auto" w:fill="FFFF00"/>
            <w:tcMar>
              <w:left w:w="115" w:type="dxa"/>
              <w:right w:w="115" w:type="dxa"/>
            </w:tcMar>
            <w:vAlign w:val="bottom"/>
          </w:tcPr>
          <w:p w14:paraId="664A9783" w14:textId="77777777" w:rsidR="00724034" w:rsidRDefault="00724034">
            <w:pPr>
              <w:jc w:val="right"/>
              <w:rPr>
                <w:rFonts w:ascii="Arial" w:eastAsia="Arial" w:hAnsi="Arial" w:cs="Arial"/>
                <w:color w:val="000000"/>
                <w:sz w:val="16"/>
                <w:vertAlign w:val="superscript"/>
              </w:rPr>
            </w:pPr>
          </w:p>
        </w:tc>
        <w:tc>
          <w:tcPr>
            <w:tcW w:w="975" w:type="dxa"/>
            <w:tcBorders>
              <w:top w:val="nil"/>
              <w:left w:val="nil"/>
              <w:bottom w:val="nil"/>
              <w:right w:val="nil"/>
              <w:tl2br w:val="nil"/>
              <w:tr2bl w:val="nil"/>
            </w:tcBorders>
            <w:shd w:val="clear" w:color="auto" w:fill="FFFFFF"/>
            <w:tcMar>
              <w:left w:w="115" w:type="dxa"/>
              <w:right w:w="115" w:type="dxa"/>
            </w:tcMar>
            <w:vAlign w:val="bottom"/>
          </w:tcPr>
          <w:p w14:paraId="56A35BE6" w14:textId="77777777" w:rsidR="00724034" w:rsidRDefault="00724034">
            <w:pPr>
              <w:jc w:val="right"/>
              <w:rPr>
                <w:rFonts w:ascii="Arial" w:eastAsia="Arial" w:hAnsi="Arial" w:cs="Arial"/>
                <w:color w:val="000000"/>
                <w:sz w:val="16"/>
                <w:vertAlign w:val="superscript"/>
              </w:rPr>
            </w:pPr>
          </w:p>
        </w:tc>
        <w:tc>
          <w:tcPr>
            <w:tcW w:w="975" w:type="dxa"/>
            <w:tcBorders>
              <w:top w:val="nil"/>
              <w:left w:val="nil"/>
              <w:bottom w:val="nil"/>
              <w:right w:val="nil"/>
              <w:tl2br w:val="nil"/>
              <w:tr2bl w:val="nil"/>
            </w:tcBorders>
            <w:shd w:val="clear" w:color="auto" w:fill="FFFFFF"/>
            <w:tcMar>
              <w:left w:w="115" w:type="dxa"/>
              <w:right w:w="115" w:type="dxa"/>
            </w:tcMar>
            <w:vAlign w:val="bottom"/>
          </w:tcPr>
          <w:p w14:paraId="54096231" w14:textId="77777777" w:rsidR="00724034" w:rsidRDefault="00724034">
            <w:pPr>
              <w:jc w:val="right"/>
              <w:rPr>
                <w:rFonts w:ascii="Arial" w:eastAsia="Arial" w:hAnsi="Arial" w:cs="Arial"/>
                <w:color w:val="000000"/>
                <w:sz w:val="16"/>
                <w:vertAlign w:val="superscript"/>
              </w:rPr>
            </w:pPr>
          </w:p>
        </w:tc>
        <w:tc>
          <w:tcPr>
            <w:tcW w:w="975" w:type="dxa"/>
            <w:tcBorders>
              <w:top w:val="nil"/>
              <w:left w:val="nil"/>
              <w:bottom w:val="nil"/>
              <w:right w:val="single" w:sz="6" w:space="0" w:color="000000"/>
              <w:tl2br w:val="nil"/>
              <w:tr2bl w:val="nil"/>
            </w:tcBorders>
            <w:shd w:val="clear" w:color="auto" w:fill="FFFFFF"/>
            <w:tcMar>
              <w:left w:w="115" w:type="dxa"/>
              <w:right w:w="115" w:type="dxa"/>
            </w:tcMar>
            <w:vAlign w:val="bottom"/>
          </w:tcPr>
          <w:p w14:paraId="0708D143" w14:textId="77777777" w:rsidR="00724034" w:rsidRDefault="00724034">
            <w:pPr>
              <w:rPr>
                <w:rFonts w:ascii="Arial" w:eastAsia="Arial" w:hAnsi="Arial" w:cs="Arial"/>
                <w:color w:val="000000"/>
                <w:sz w:val="16"/>
                <w:vertAlign w:val="superscript"/>
              </w:rPr>
            </w:pPr>
          </w:p>
        </w:tc>
      </w:tr>
      <w:tr w:rsidR="00724034" w14:paraId="13AC69D6" w14:textId="77777777">
        <w:tblPrEx>
          <w:tblLook w:val="04A0" w:firstRow="1" w:lastRow="0" w:firstColumn="1" w:lastColumn="0" w:noHBand="0" w:noVBand="1"/>
        </w:tblPrEx>
        <w:trPr>
          <w:trHeight w:val="225"/>
        </w:trPr>
        <w:tc>
          <w:tcPr>
            <w:tcW w:w="3210" w:type="dxa"/>
            <w:tcBorders>
              <w:top w:val="nil"/>
              <w:left w:val="single" w:sz="6" w:space="0" w:color="000000"/>
              <w:bottom w:val="nil"/>
              <w:right w:val="nil"/>
              <w:tl2br w:val="nil"/>
              <w:tr2bl w:val="nil"/>
            </w:tcBorders>
            <w:shd w:val="clear" w:color="auto" w:fill="FFFFFF"/>
            <w:tcMar>
              <w:left w:w="115" w:type="dxa"/>
              <w:right w:w="115" w:type="dxa"/>
            </w:tcMar>
            <w:vAlign w:val="bottom"/>
          </w:tcPr>
          <w:p w14:paraId="4C118A70" w14:textId="77777777" w:rsidR="00724034" w:rsidRDefault="00FB7D0B">
            <w:pPr>
              <w:rPr>
                <w:rFonts w:ascii="Arial" w:eastAsia="Arial" w:hAnsi="Arial" w:cs="Arial"/>
                <w:color w:val="000000"/>
                <w:sz w:val="16"/>
                <w:vertAlign w:val="superscript"/>
              </w:rPr>
            </w:pPr>
            <w:r>
              <w:rPr>
                <w:rFonts w:ascii="Arial" w:eastAsia="Arial" w:hAnsi="Arial" w:cs="Arial"/>
                <w:b/>
                <w:i/>
                <w:color w:val="000000"/>
                <w:sz w:val="16"/>
              </w:rPr>
              <w:t>Travel for Treatment:</w:t>
            </w:r>
          </w:p>
        </w:tc>
        <w:tc>
          <w:tcPr>
            <w:tcW w:w="975" w:type="dxa"/>
            <w:tcBorders>
              <w:top w:val="nil"/>
              <w:left w:val="nil"/>
              <w:bottom w:val="nil"/>
              <w:right w:val="nil"/>
              <w:tl2br w:val="nil"/>
              <w:tr2bl w:val="nil"/>
            </w:tcBorders>
            <w:shd w:val="clear" w:color="auto" w:fill="FFFFFF"/>
            <w:tcMar>
              <w:left w:w="115" w:type="dxa"/>
              <w:right w:w="115" w:type="dxa"/>
            </w:tcMar>
            <w:vAlign w:val="bottom"/>
          </w:tcPr>
          <w:p w14:paraId="57F8D502" w14:textId="77777777" w:rsidR="00724034" w:rsidRDefault="00724034">
            <w:pPr>
              <w:jc w:val="right"/>
              <w:rPr>
                <w:rFonts w:ascii="Arial" w:eastAsia="Arial" w:hAnsi="Arial" w:cs="Arial"/>
                <w:b/>
                <w:i/>
                <w:color w:val="000000"/>
                <w:sz w:val="16"/>
                <w:vertAlign w:val="superscript"/>
              </w:rPr>
            </w:pPr>
          </w:p>
        </w:tc>
        <w:tc>
          <w:tcPr>
            <w:tcW w:w="975" w:type="dxa"/>
            <w:tcBorders>
              <w:top w:val="nil"/>
              <w:left w:val="nil"/>
              <w:bottom w:val="nil"/>
              <w:right w:val="nil"/>
              <w:tl2br w:val="nil"/>
              <w:tr2bl w:val="nil"/>
            </w:tcBorders>
            <w:shd w:val="clear" w:color="auto" w:fill="FFFF00"/>
            <w:tcMar>
              <w:left w:w="115" w:type="dxa"/>
              <w:right w:w="115" w:type="dxa"/>
            </w:tcMar>
            <w:vAlign w:val="bottom"/>
          </w:tcPr>
          <w:p w14:paraId="0010A444" w14:textId="77777777" w:rsidR="00724034" w:rsidRDefault="00724034">
            <w:pPr>
              <w:jc w:val="right"/>
              <w:rPr>
                <w:rFonts w:ascii="Arial" w:eastAsia="Arial" w:hAnsi="Arial" w:cs="Arial"/>
                <w:color w:val="000000"/>
                <w:sz w:val="16"/>
                <w:vertAlign w:val="superscript"/>
              </w:rPr>
            </w:pPr>
          </w:p>
        </w:tc>
        <w:tc>
          <w:tcPr>
            <w:tcW w:w="975" w:type="dxa"/>
            <w:tcBorders>
              <w:top w:val="nil"/>
              <w:left w:val="nil"/>
              <w:bottom w:val="nil"/>
              <w:right w:val="nil"/>
              <w:tl2br w:val="nil"/>
              <w:tr2bl w:val="nil"/>
            </w:tcBorders>
            <w:shd w:val="clear" w:color="auto" w:fill="FFFFFF"/>
            <w:tcMar>
              <w:left w:w="115" w:type="dxa"/>
              <w:right w:w="115" w:type="dxa"/>
            </w:tcMar>
            <w:vAlign w:val="bottom"/>
          </w:tcPr>
          <w:p w14:paraId="197A85D2" w14:textId="77777777" w:rsidR="00724034" w:rsidRDefault="00724034">
            <w:pPr>
              <w:jc w:val="right"/>
              <w:rPr>
                <w:rFonts w:ascii="Arial" w:eastAsia="Arial" w:hAnsi="Arial" w:cs="Arial"/>
                <w:color w:val="000000"/>
                <w:sz w:val="16"/>
                <w:vertAlign w:val="superscript"/>
              </w:rPr>
            </w:pPr>
          </w:p>
        </w:tc>
        <w:tc>
          <w:tcPr>
            <w:tcW w:w="975" w:type="dxa"/>
            <w:tcBorders>
              <w:top w:val="nil"/>
              <w:left w:val="nil"/>
              <w:bottom w:val="nil"/>
              <w:right w:val="nil"/>
              <w:tl2br w:val="nil"/>
              <w:tr2bl w:val="nil"/>
            </w:tcBorders>
            <w:shd w:val="clear" w:color="auto" w:fill="FFFFFF"/>
            <w:tcMar>
              <w:left w:w="115" w:type="dxa"/>
              <w:right w:w="115" w:type="dxa"/>
            </w:tcMar>
            <w:vAlign w:val="bottom"/>
          </w:tcPr>
          <w:p w14:paraId="0C6C76DA" w14:textId="77777777" w:rsidR="00724034" w:rsidRDefault="00724034">
            <w:pPr>
              <w:jc w:val="right"/>
              <w:rPr>
                <w:rFonts w:ascii="Arial" w:eastAsia="Arial" w:hAnsi="Arial" w:cs="Arial"/>
                <w:color w:val="000000"/>
                <w:sz w:val="16"/>
                <w:vertAlign w:val="superscript"/>
              </w:rPr>
            </w:pPr>
          </w:p>
        </w:tc>
        <w:tc>
          <w:tcPr>
            <w:tcW w:w="975" w:type="dxa"/>
            <w:tcBorders>
              <w:top w:val="nil"/>
              <w:left w:val="nil"/>
              <w:bottom w:val="nil"/>
              <w:right w:val="single" w:sz="6" w:space="0" w:color="000000"/>
              <w:tl2br w:val="nil"/>
              <w:tr2bl w:val="nil"/>
            </w:tcBorders>
            <w:shd w:val="clear" w:color="auto" w:fill="FFFFFF"/>
            <w:tcMar>
              <w:left w:w="115" w:type="dxa"/>
              <w:right w:w="115" w:type="dxa"/>
            </w:tcMar>
            <w:vAlign w:val="bottom"/>
          </w:tcPr>
          <w:p w14:paraId="381834C0" w14:textId="77777777" w:rsidR="00724034" w:rsidRDefault="00724034">
            <w:pPr>
              <w:rPr>
                <w:rFonts w:ascii="Arial" w:eastAsia="Arial" w:hAnsi="Arial" w:cs="Arial"/>
                <w:color w:val="000000"/>
                <w:sz w:val="16"/>
                <w:vertAlign w:val="superscript"/>
              </w:rPr>
            </w:pPr>
          </w:p>
        </w:tc>
      </w:tr>
      <w:tr w:rsidR="00724034" w14:paraId="2520EF70" w14:textId="77777777">
        <w:tblPrEx>
          <w:tblLook w:val="04A0" w:firstRow="1" w:lastRow="0" w:firstColumn="1" w:lastColumn="0" w:noHBand="0" w:noVBand="1"/>
        </w:tblPrEx>
        <w:trPr>
          <w:trHeight w:val="675"/>
        </w:trPr>
        <w:tc>
          <w:tcPr>
            <w:tcW w:w="3210" w:type="dxa"/>
            <w:tcBorders>
              <w:top w:val="nil"/>
              <w:left w:val="single" w:sz="6" w:space="0" w:color="000000"/>
              <w:bottom w:val="nil"/>
              <w:right w:val="nil"/>
              <w:tl2br w:val="nil"/>
              <w:tr2bl w:val="nil"/>
            </w:tcBorders>
            <w:shd w:val="clear" w:color="auto" w:fill="FFFFFF"/>
            <w:tcMar>
              <w:left w:w="115" w:type="dxa"/>
              <w:right w:w="115" w:type="dxa"/>
            </w:tcMar>
            <w:vAlign w:val="bottom"/>
          </w:tcPr>
          <w:p w14:paraId="5864EDF7" w14:textId="77777777" w:rsidR="00724034" w:rsidRDefault="00FB7D0B">
            <w:pPr>
              <w:rPr>
                <w:rFonts w:ascii="Arial" w:eastAsia="Arial" w:hAnsi="Arial" w:cs="Arial"/>
                <w:color w:val="000000"/>
                <w:sz w:val="16"/>
                <w:vertAlign w:val="superscript"/>
              </w:rPr>
            </w:pPr>
            <w:r>
              <w:rPr>
                <w:rFonts w:ascii="Arial" w:eastAsia="Arial" w:hAnsi="Arial" w:cs="Arial"/>
                <w:color w:val="000000"/>
                <w:sz w:val="16"/>
              </w:rPr>
              <w:t>Target percentage of claims for reimbursement processed within the Service Charter timeframe (28 days)</w:t>
            </w:r>
          </w:p>
        </w:tc>
        <w:tc>
          <w:tcPr>
            <w:tcW w:w="975" w:type="dxa"/>
            <w:tcBorders>
              <w:top w:val="nil"/>
              <w:left w:val="nil"/>
              <w:bottom w:val="nil"/>
              <w:right w:val="nil"/>
              <w:tl2br w:val="nil"/>
              <w:tr2bl w:val="nil"/>
            </w:tcBorders>
            <w:shd w:val="clear" w:color="auto" w:fill="FFFFFF"/>
            <w:tcMar>
              <w:left w:w="115" w:type="dxa"/>
              <w:right w:w="115" w:type="dxa"/>
            </w:tcMar>
            <w:vAlign w:val="bottom"/>
          </w:tcPr>
          <w:p w14:paraId="3309F18D" w14:textId="77777777" w:rsidR="00724034" w:rsidRDefault="00FB7D0B">
            <w:pPr>
              <w:jc w:val="right"/>
              <w:rPr>
                <w:rFonts w:ascii="Arial" w:eastAsia="Arial" w:hAnsi="Arial" w:cs="Arial"/>
                <w:color w:val="000000"/>
                <w:sz w:val="16"/>
                <w:vertAlign w:val="superscript"/>
              </w:rPr>
            </w:pPr>
            <w:r>
              <w:rPr>
                <w:rFonts w:ascii="Arial" w:eastAsia="Arial" w:hAnsi="Arial" w:cs="Arial"/>
                <w:color w:val="000000"/>
                <w:sz w:val="16"/>
              </w:rPr>
              <w:t>100%</w:t>
            </w:r>
          </w:p>
        </w:tc>
        <w:tc>
          <w:tcPr>
            <w:tcW w:w="975" w:type="dxa"/>
            <w:tcBorders>
              <w:top w:val="nil"/>
              <w:left w:val="nil"/>
              <w:bottom w:val="nil"/>
              <w:right w:val="nil"/>
              <w:tl2br w:val="nil"/>
              <w:tr2bl w:val="nil"/>
            </w:tcBorders>
            <w:shd w:val="clear" w:color="auto" w:fill="FFFF00"/>
            <w:tcMar>
              <w:left w:w="115" w:type="dxa"/>
              <w:right w:w="115" w:type="dxa"/>
            </w:tcMar>
            <w:vAlign w:val="bottom"/>
          </w:tcPr>
          <w:p w14:paraId="1F847961" w14:textId="77777777" w:rsidR="00724034" w:rsidRDefault="00FB7D0B">
            <w:pPr>
              <w:jc w:val="right"/>
              <w:rPr>
                <w:rFonts w:ascii="Arial" w:eastAsia="Arial" w:hAnsi="Arial" w:cs="Arial"/>
                <w:color w:val="000000"/>
                <w:sz w:val="16"/>
              </w:rPr>
            </w:pPr>
            <w:r>
              <w:rPr>
                <w:rFonts w:ascii="Arial" w:eastAsia="Arial" w:hAnsi="Arial" w:cs="Arial"/>
                <w:color w:val="000000"/>
                <w:sz w:val="16"/>
              </w:rPr>
              <w:t>100%</w:t>
            </w:r>
          </w:p>
        </w:tc>
        <w:tc>
          <w:tcPr>
            <w:tcW w:w="975" w:type="dxa"/>
            <w:tcBorders>
              <w:top w:val="nil"/>
              <w:left w:val="nil"/>
              <w:bottom w:val="nil"/>
              <w:right w:val="nil"/>
              <w:tl2br w:val="nil"/>
              <w:tr2bl w:val="nil"/>
            </w:tcBorders>
            <w:shd w:val="clear" w:color="auto" w:fill="FFFFFF"/>
            <w:tcMar>
              <w:left w:w="115" w:type="dxa"/>
              <w:right w:w="115" w:type="dxa"/>
            </w:tcMar>
            <w:vAlign w:val="bottom"/>
          </w:tcPr>
          <w:p w14:paraId="383138D5" w14:textId="77777777" w:rsidR="00724034" w:rsidRDefault="00FB7D0B">
            <w:pPr>
              <w:jc w:val="right"/>
              <w:rPr>
                <w:rFonts w:ascii="Arial" w:eastAsia="Arial" w:hAnsi="Arial" w:cs="Arial"/>
                <w:color w:val="000000"/>
                <w:sz w:val="16"/>
              </w:rPr>
            </w:pPr>
            <w:r>
              <w:rPr>
                <w:rFonts w:ascii="Arial" w:eastAsia="Arial" w:hAnsi="Arial" w:cs="Arial"/>
                <w:color w:val="000000"/>
                <w:sz w:val="16"/>
              </w:rPr>
              <w:t>100%</w:t>
            </w:r>
          </w:p>
        </w:tc>
        <w:tc>
          <w:tcPr>
            <w:tcW w:w="975" w:type="dxa"/>
            <w:tcBorders>
              <w:top w:val="nil"/>
              <w:left w:val="nil"/>
              <w:bottom w:val="nil"/>
              <w:right w:val="nil"/>
              <w:tl2br w:val="nil"/>
              <w:tr2bl w:val="nil"/>
            </w:tcBorders>
            <w:shd w:val="clear" w:color="auto" w:fill="FFFFFF"/>
            <w:tcMar>
              <w:left w:w="115" w:type="dxa"/>
              <w:right w:w="115" w:type="dxa"/>
            </w:tcMar>
            <w:vAlign w:val="bottom"/>
          </w:tcPr>
          <w:p w14:paraId="535E1EDE" w14:textId="77777777" w:rsidR="00724034" w:rsidRDefault="00FB7D0B">
            <w:pPr>
              <w:jc w:val="right"/>
              <w:rPr>
                <w:rFonts w:ascii="Arial" w:eastAsia="Arial" w:hAnsi="Arial" w:cs="Arial"/>
                <w:color w:val="000000"/>
                <w:sz w:val="16"/>
              </w:rPr>
            </w:pPr>
            <w:r>
              <w:rPr>
                <w:rFonts w:ascii="Arial" w:eastAsia="Arial" w:hAnsi="Arial" w:cs="Arial"/>
                <w:color w:val="000000"/>
                <w:sz w:val="16"/>
              </w:rPr>
              <w:t>100%</w:t>
            </w:r>
          </w:p>
        </w:tc>
        <w:tc>
          <w:tcPr>
            <w:tcW w:w="975" w:type="dxa"/>
            <w:tcBorders>
              <w:top w:val="nil"/>
              <w:left w:val="nil"/>
              <w:bottom w:val="nil"/>
              <w:right w:val="single" w:sz="6" w:space="0" w:color="000000"/>
              <w:tl2br w:val="nil"/>
              <w:tr2bl w:val="nil"/>
            </w:tcBorders>
            <w:shd w:val="clear" w:color="auto" w:fill="FFFFFF"/>
            <w:tcMar>
              <w:left w:w="115" w:type="dxa"/>
              <w:right w:w="115" w:type="dxa"/>
            </w:tcMar>
            <w:vAlign w:val="bottom"/>
          </w:tcPr>
          <w:p w14:paraId="5CD2FC2B" w14:textId="77777777" w:rsidR="00724034" w:rsidRDefault="00FB7D0B">
            <w:pPr>
              <w:jc w:val="right"/>
              <w:rPr>
                <w:rFonts w:ascii="Arial" w:eastAsia="Arial" w:hAnsi="Arial" w:cs="Arial"/>
                <w:color w:val="000000"/>
                <w:sz w:val="16"/>
              </w:rPr>
            </w:pPr>
            <w:r>
              <w:rPr>
                <w:rFonts w:ascii="Arial" w:eastAsia="Arial" w:hAnsi="Arial" w:cs="Arial"/>
                <w:color w:val="000000"/>
                <w:sz w:val="16"/>
              </w:rPr>
              <w:t>100%</w:t>
            </w:r>
          </w:p>
        </w:tc>
      </w:tr>
      <w:tr w:rsidR="00724034" w14:paraId="035842DA" w14:textId="77777777">
        <w:tblPrEx>
          <w:tblLook w:val="04A0" w:firstRow="1" w:lastRow="0" w:firstColumn="1" w:lastColumn="0" w:noHBand="0" w:noVBand="1"/>
        </w:tblPrEx>
        <w:trPr>
          <w:trHeight w:val="30"/>
        </w:trPr>
        <w:tc>
          <w:tcPr>
            <w:tcW w:w="3210" w:type="dxa"/>
            <w:tcBorders>
              <w:top w:val="nil"/>
              <w:left w:val="single" w:sz="6" w:space="0" w:color="000000"/>
              <w:bottom w:val="nil"/>
              <w:right w:val="nil"/>
              <w:tl2br w:val="nil"/>
              <w:tr2bl w:val="nil"/>
            </w:tcBorders>
            <w:shd w:val="clear" w:color="auto" w:fill="FFFFFF"/>
            <w:tcMar>
              <w:left w:w="115" w:type="dxa"/>
              <w:right w:w="115" w:type="dxa"/>
            </w:tcMar>
            <w:vAlign w:val="bottom"/>
          </w:tcPr>
          <w:p w14:paraId="7B8E7227" w14:textId="77777777" w:rsidR="00724034" w:rsidRDefault="00724034">
            <w:pPr>
              <w:rPr>
                <w:rFonts w:ascii="Arial" w:eastAsia="Arial" w:hAnsi="Arial" w:cs="Arial"/>
                <w:color w:val="000000"/>
                <w:sz w:val="16"/>
              </w:rPr>
            </w:pPr>
          </w:p>
        </w:tc>
        <w:tc>
          <w:tcPr>
            <w:tcW w:w="975" w:type="dxa"/>
            <w:tcBorders>
              <w:top w:val="nil"/>
              <w:left w:val="nil"/>
              <w:bottom w:val="nil"/>
              <w:right w:val="nil"/>
              <w:tl2br w:val="nil"/>
              <w:tr2bl w:val="nil"/>
            </w:tcBorders>
            <w:shd w:val="clear" w:color="auto" w:fill="FFFFFF"/>
            <w:tcMar>
              <w:left w:w="115" w:type="dxa"/>
              <w:right w:w="115" w:type="dxa"/>
            </w:tcMar>
            <w:vAlign w:val="bottom"/>
          </w:tcPr>
          <w:p w14:paraId="22BE3389" w14:textId="77777777" w:rsidR="00724034" w:rsidRDefault="00724034">
            <w:pPr>
              <w:jc w:val="right"/>
              <w:rPr>
                <w:rFonts w:ascii="Arial" w:eastAsia="Arial" w:hAnsi="Arial" w:cs="Arial"/>
                <w:color w:val="000000"/>
                <w:sz w:val="16"/>
                <w:vertAlign w:val="superscript"/>
              </w:rPr>
            </w:pPr>
          </w:p>
        </w:tc>
        <w:tc>
          <w:tcPr>
            <w:tcW w:w="975" w:type="dxa"/>
            <w:tcBorders>
              <w:top w:val="nil"/>
              <w:left w:val="nil"/>
              <w:bottom w:val="nil"/>
              <w:right w:val="nil"/>
              <w:tl2br w:val="nil"/>
              <w:tr2bl w:val="nil"/>
            </w:tcBorders>
            <w:shd w:val="clear" w:color="auto" w:fill="FFFF00"/>
            <w:tcMar>
              <w:left w:w="115" w:type="dxa"/>
              <w:right w:w="115" w:type="dxa"/>
            </w:tcMar>
            <w:vAlign w:val="bottom"/>
          </w:tcPr>
          <w:p w14:paraId="75CBE1DD" w14:textId="77777777" w:rsidR="00724034" w:rsidRDefault="00724034">
            <w:pPr>
              <w:jc w:val="right"/>
              <w:rPr>
                <w:rFonts w:ascii="Arial" w:eastAsia="Arial" w:hAnsi="Arial" w:cs="Arial"/>
                <w:color w:val="000000"/>
                <w:sz w:val="16"/>
                <w:vertAlign w:val="superscript"/>
              </w:rPr>
            </w:pPr>
          </w:p>
        </w:tc>
        <w:tc>
          <w:tcPr>
            <w:tcW w:w="975" w:type="dxa"/>
            <w:tcBorders>
              <w:top w:val="nil"/>
              <w:left w:val="nil"/>
              <w:bottom w:val="nil"/>
              <w:right w:val="nil"/>
              <w:tl2br w:val="nil"/>
              <w:tr2bl w:val="nil"/>
            </w:tcBorders>
            <w:shd w:val="clear" w:color="auto" w:fill="FFFFFF"/>
            <w:tcMar>
              <w:left w:w="115" w:type="dxa"/>
              <w:right w:w="115" w:type="dxa"/>
            </w:tcMar>
            <w:vAlign w:val="bottom"/>
          </w:tcPr>
          <w:p w14:paraId="29A4C5FC" w14:textId="77777777" w:rsidR="00724034" w:rsidRDefault="00724034">
            <w:pPr>
              <w:jc w:val="right"/>
              <w:rPr>
                <w:rFonts w:ascii="Arial" w:eastAsia="Arial" w:hAnsi="Arial" w:cs="Arial"/>
                <w:color w:val="000000"/>
                <w:sz w:val="16"/>
                <w:vertAlign w:val="superscript"/>
              </w:rPr>
            </w:pPr>
          </w:p>
        </w:tc>
        <w:tc>
          <w:tcPr>
            <w:tcW w:w="975" w:type="dxa"/>
            <w:tcBorders>
              <w:top w:val="nil"/>
              <w:left w:val="nil"/>
              <w:bottom w:val="nil"/>
              <w:right w:val="nil"/>
              <w:tl2br w:val="nil"/>
              <w:tr2bl w:val="nil"/>
            </w:tcBorders>
            <w:shd w:val="clear" w:color="auto" w:fill="FFFFFF"/>
            <w:tcMar>
              <w:left w:w="115" w:type="dxa"/>
              <w:right w:w="115" w:type="dxa"/>
            </w:tcMar>
            <w:vAlign w:val="bottom"/>
          </w:tcPr>
          <w:p w14:paraId="314C2133" w14:textId="77777777" w:rsidR="00724034" w:rsidRDefault="00724034">
            <w:pPr>
              <w:jc w:val="right"/>
              <w:rPr>
                <w:rFonts w:ascii="Arial" w:eastAsia="Arial" w:hAnsi="Arial" w:cs="Arial"/>
                <w:color w:val="000000"/>
                <w:sz w:val="16"/>
                <w:vertAlign w:val="superscript"/>
              </w:rPr>
            </w:pPr>
          </w:p>
        </w:tc>
        <w:tc>
          <w:tcPr>
            <w:tcW w:w="975" w:type="dxa"/>
            <w:tcBorders>
              <w:top w:val="nil"/>
              <w:left w:val="nil"/>
              <w:bottom w:val="nil"/>
              <w:right w:val="single" w:sz="6" w:space="0" w:color="000000"/>
              <w:tl2br w:val="nil"/>
              <w:tr2bl w:val="nil"/>
            </w:tcBorders>
            <w:shd w:val="clear" w:color="auto" w:fill="FFFFFF"/>
            <w:tcMar>
              <w:left w:w="115" w:type="dxa"/>
              <w:right w:w="115" w:type="dxa"/>
            </w:tcMar>
            <w:vAlign w:val="bottom"/>
          </w:tcPr>
          <w:p w14:paraId="50A27466" w14:textId="77777777" w:rsidR="00724034" w:rsidRDefault="00724034">
            <w:pPr>
              <w:rPr>
                <w:rFonts w:ascii="Arial" w:eastAsia="Arial" w:hAnsi="Arial" w:cs="Arial"/>
                <w:color w:val="000000"/>
                <w:sz w:val="16"/>
                <w:vertAlign w:val="superscript"/>
              </w:rPr>
            </w:pPr>
          </w:p>
        </w:tc>
      </w:tr>
      <w:tr w:rsidR="00724034" w14:paraId="2EE106B7" w14:textId="77777777">
        <w:tblPrEx>
          <w:tblLook w:val="04A0" w:firstRow="1" w:lastRow="0" w:firstColumn="1" w:lastColumn="0" w:noHBand="0" w:noVBand="1"/>
        </w:tblPrEx>
        <w:trPr>
          <w:trHeight w:val="450"/>
        </w:trPr>
        <w:tc>
          <w:tcPr>
            <w:tcW w:w="3210" w:type="dxa"/>
            <w:tcBorders>
              <w:top w:val="nil"/>
              <w:left w:val="single" w:sz="6" w:space="0" w:color="000000"/>
              <w:bottom w:val="nil"/>
              <w:right w:val="nil"/>
              <w:tl2br w:val="nil"/>
              <w:tr2bl w:val="nil"/>
            </w:tcBorders>
            <w:shd w:val="clear" w:color="auto" w:fill="FFFFFF"/>
            <w:tcMar>
              <w:left w:w="115" w:type="dxa"/>
              <w:right w:w="115" w:type="dxa"/>
            </w:tcMar>
            <w:vAlign w:val="bottom"/>
          </w:tcPr>
          <w:p w14:paraId="6C0957D8" w14:textId="77777777" w:rsidR="00724034" w:rsidRDefault="00FB7D0B">
            <w:pPr>
              <w:rPr>
                <w:rFonts w:ascii="Arial" w:eastAsia="Arial" w:hAnsi="Arial" w:cs="Arial"/>
                <w:color w:val="000000"/>
                <w:sz w:val="16"/>
                <w:vertAlign w:val="superscript"/>
              </w:rPr>
            </w:pPr>
            <w:r>
              <w:rPr>
                <w:rFonts w:ascii="Arial" w:eastAsia="Arial" w:hAnsi="Arial" w:cs="Arial"/>
                <w:color w:val="000000"/>
                <w:sz w:val="16"/>
              </w:rPr>
              <w:t>Degree of complaints about arranged travel relative to the quantity of bookings</w:t>
            </w:r>
          </w:p>
        </w:tc>
        <w:tc>
          <w:tcPr>
            <w:tcW w:w="975" w:type="dxa"/>
            <w:tcBorders>
              <w:top w:val="nil"/>
              <w:left w:val="nil"/>
              <w:bottom w:val="nil"/>
              <w:right w:val="nil"/>
              <w:tl2br w:val="nil"/>
              <w:tr2bl w:val="nil"/>
            </w:tcBorders>
            <w:shd w:val="clear" w:color="auto" w:fill="FFFFFF"/>
            <w:tcMar>
              <w:left w:w="115" w:type="dxa"/>
              <w:right w:w="115" w:type="dxa"/>
            </w:tcMar>
            <w:vAlign w:val="bottom"/>
          </w:tcPr>
          <w:p w14:paraId="3D7BF194" w14:textId="77777777" w:rsidR="00724034" w:rsidRDefault="00FB7D0B">
            <w:pPr>
              <w:jc w:val="right"/>
              <w:rPr>
                <w:rFonts w:ascii="Arial" w:eastAsia="Arial" w:hAnsi="Arial" w:cs="Arial"/>
                <w:color w:val="000000"/>
                <w:sz w:val="16"/>
                <w:vertAlign w:val="superscript"/>
              </w:rPr>
            </w:pPr>
            <w:r>
              <w:rPr>
                <w:rFonts w:ascii="Arial" w:eastAsia="Arial" w:hAnsi="Arial" w:cs="Arial"/>
                <w:color w:val="000000"/>
                <w:sz w:val="16"/>
              </w:rPr>
              <w:t>0.05%</w:t>
            </w:r>
          </w:p>
        </w:tc>
        <w:tc>
          <w:tcPr>
            <w:tcW w:w="975" w:type="dxa"/>
            <w:tcBorders>
              <w:top w:val="nil"/>
              <w:left w:val="nil"/>
              <w:bottom w:val="nil"/>
              <w:right w:val="nil"/>
              <w:tl2br w:val="nil"/>
              <w:tr2bl w:val="nil"/>
            </w:tcBorders>
            <w:shd w:val="clear" w:color="auto" w:fill="FFFF00"/>
            <w:tcMar>
              <w:left w:w="115" w:type="dxa"/>
              <w:right w:w="115" w:type="dxa"/>
            </w:tcMar>
            <w:vAlign w:val="bottom"/>
          </w:tcPr>
          <w:p w14:paraId="56EF9B32" w14:textId="77777777" w:rsidR="00724034" w:rsidRDefault="00FB7D0B">
            <w:pPr>
              <w:jc w:val="right"/>
              <w:rPr>
                <w:rFonts w:ascii="Arial" w:eastAsia="Arial" w:hAnsi="Arial" w:cs="Arial"/>
                <w:color w:val="000000"/>
                <w:sz w:val="16"/>
              </w:rPr>
            </w:pPr>
            <w:r>
              <w:rPr>
                <w:rFonts w:ascii="Arial" w:eastAsia="Arial" w:hAnsi="Arial" w:cs="Arial"/>
                <w:color w:val="000000"/>
                <w:sz w:val="16"/>
              </w:rPr>
              <w:t>0.05%</w:t>
            </w:r>
          </w:p>
        </w:tc>
        <w:tc>
          <w:tcPr>
            <w:tcW w:w="975" w:type="dxa"/>
            <w:tcBorders>
              <w:top w:val="nil"/>
              <w:left w:val="nil"/>
              <w:bottom w:val="nil"/>
              <w:right w:val="nil"/>
              <w:tl2br w:val="nil"/>
              <w:tr2bl w:val="nil"/>
            </w:tcBorders>
            <w:shd w:val="clear" w:color="auto" w:fill="FFFFFF"/>
            <w:tcMar>
              <w:left w:w="115" w:type="dxa"/>
              <w:right w:w="115" w:type="dxa"/>
            </w:tcMar>
            <w:vAlign w:val="bottom"/>
          </w:tcPr>
          <w:p w14:paraId="4121C49A" w14:textId="77777777" w:rsidR="00724034" w:rsidRDefault="00FB7D0B">
            <w:pPr>
              <w:jc w:val="right"/>
              <w:rPr>
                <w:rFonts w:ascii="Arial" w:eastAsia="Arial" w:hAnsi="Arial" w:cs="Arial"/>
                <w:color w:val="000000"/>
                <w:sz w:val="16"/>
              </w:rPr>
            </w:pPr>
            <w:r>
              <w:rPr>
                <w:rFonts w:ascii="Arial" w:eastAsia="Arial" w:hAnsi="Arial" w:cs="Arial"/>
                <w:color w:val="000000"/>
                <w:sz w:val="16"/>
              </w:rPr>
              <w:t>0.05%</w:t>
            </w:r>
          </w:p>
        </w:tc>
        <w:tc>
          <w:tcPr>
            <w:tcW w:w="975" w:type="dxa"/>
            <w:tcBorders>
              <w:top w:val="nil"/>
              <w:left w:val="nil"/>
              <w:bottom w:val="nil"/>
              <w:right w:val="nil"/>
              <w:tl2br w:val="nil"/>
              <w:tr2bl w:val="nil"/>
            </w:tcBorders>
            <w:shd w:val="clear" w:color="auto" w:fill="FFFFFF"/>
            <w:tcMar>
              <w:left w:w="115" w:type="dxa"/>
              <w:right w:w="115" w:type="dxa"/>
            </w:tcMar>
            <w:vAlign w:val="bottom"/>
          </w:tcPr>
          <w:p w14:paraId="47800FF4" w14:textId="77777777" w:rsidR="00724034" w:rsidRDefault="00FB7D0B">
            <w:pPr>
              <w:jc w:val="right"/>
              <w:rPr>
                <w:rFonts w:ascii="Arial" w:eastAsia="Arial" w:hAnsi="Arial" w:cs="Arial"/>
                <w:color w:val="000000"/>
                <w:sz w:val="16"/>
              </w:rPr>
            </w:pPr>
            <w:r>
              <w:rPr>
                <w:rFonts w:ascii="Arial" w:eastAsia="Arial" w:hAnsi="Arial" w:cs="Arial"/>
                <w:color w:val="000000"/>
                <w:sz w:val="16"/>
              </w:rPr>
              <w:t>0.05%</w:t>
            </w:r>
          </w:p>
        </w:tc>
        <w:tc>
          <w:tcPr>
            <w:tcW w:w="975" w:type="dxa"/>
            <w:tcBorders>
              <w:top w:val="nil"/>
              <w:left w:val="nil"/>
              <w:bottom w:val="nil"/>
              <w:right w:val="single" w:sz="6" w:space="0" w:color="000000"/>
              <w:tl2br w:val="nil"/>
              <w:tr2bl w:val="nil"/>
            </w:tcBorders>
            <w:shd w:val="clear" w:color="auto" w:fill="FFFFFF"/>
            <w:tcMar>
              <w:left w:w="115" w:type="dxa"/>
              <w:right w:w="115" w:type="dxa"/>
            </w:tcMar>
            <w:vAlign w:val="bottom"/>
          </w:tcPr>
          <w:p w14:paraId="16F0CC79" w14:textId="77777777" w:rsidR="00724034" w:rsidRDefault="00FB7D0B">
            <w:pPr>
              <w:jc w:val="right"/>
              <w:rPr>
                <w:rFonts w:ascii="Arial" w:eastAsia="Arial" w:hAnsi="Arial" w:cs="Arial"/>
                <w:color w:val="000000"/>
                <w:sz w:val="16"/>
              </w:rPr>
            </w:pPr>
            <w:r>
              <w:rPr>
                <w:rFonts w:ascii="Arial" w:eastAsia="Arial" w:hAnsi="Arial" w:cs="Arial"/>
                <w:color w:val="000000"/>
                <w:sz w:val="16"/>
              </w:rPr>
              <w:t>0.05%</w:t>
            </w:r>
          </w:p>
        </w:tc>
      </w:tr>
      <w:tr w:rsidR="00724034" w14:paraId="60C912AC" w14:textId="77777777">
        <w:tblPrEx>
          <w:tblLook w:val="04A0" w:firstRow="1" w:lastRow="0" w:firstColumn="1" w:lastColumn="0" w:noHBand="0" w:noVBand="1"/>
        </w:tblPrEx>
        <w:trPr>
          <w:trHeight w:val="30"/>
        </w:trPr>
        <w:tc>
          <w:tcPr>
            <w:tcW w:w="3210" w:type="dxa"/>
            <w:tcBorders>
              <w:top w:val="nil"/>
              <w:left w:val="single" w:sz="6" w:space="0" w:color="000000"/>
              <w:bottom w:val="nil"/>
              <w:right w:val="nil"/>
              <w:tl2br w:val="nil"/>
              <w:tr2bl w:val="nil"/>
            </w:tcBorders>
            <w:shd w:val="clear" w:color="auto" w:fill="FFFFFF"/>
            <w:tcMar>
              <w:left w:w="115" w:type="dxa"/>
              <w:right w:w="115" w:type="dxa"/>
            </w:tcMar>
            <w:vAlign w:val="bottom"/>
          </w:tcPr>
          <w:p w14:paraId="09CB5C45" w14:textId="77777777" w:rsidR="00724034" w:rsidRDefault="00724034">
            <w:pPr>
              <w:rPr>
                <w:rFonts w:ascii="Arial" w:eastAsia="Arial" w:hAnsi="Arial" w:cs="Arial"/>
                <w:color w:val="000000"/>
                <w:sz w:val="16"/>
              </w:rPr>
            </w:pPr>
          </w:p>
        </w:tc>
        <w:tc>
          <w:tcPr>
            <w:tcW w:w="975" w:type="dxa"/>
            <w:tcBorders>
              <w:top w:val="nil"/>
              <w:left w:val="nil"/>
              <w:bottom w:val="nil"/>
              <w:right w:val="nil"/>
              <w:tl2br w:val="nil"/>
              <w:tr2bl w:val="nil"/>
            </w:tcBorders>
            <w:shd w:val="clear" w:color="auto" w:fill="FFFFFF"/>
            <w:tcMar>
              <w:left w:w="115" w:type="dxa"/>
              <w:right w:w="115" w:type="dxa"/>
            </w:tcMar>
            <w:vAlign w:val="bottom"/>
          </w:tcPr>
          <w:p w14:paraId="599F88F9" w14:textId="77777777" w:rsidR="00724034" w:rsidRDefault="00724034">
            <w:pPr>
              <w:jc w:val="right"/>
              <w:rPr>
                <w:rFonts w:ascii="Arial" w:eastAsia="Arial" w:hAnsi="Arial" w:cs="Arial"/>
                <w:color w:val="000000"/>
                <w:sz w:val="16"/>
                <w:vertAlign w:val="superscript"/>
              </w:rPr>
            </w:pPr>
          </w:p>
        </w:tc>
        <w:tc>
          <w:tcPr>
            <w:tcW w:w="975" w:type="dxa"/>
            <w:tcBorders>
              <w:top w:val="nil"/>
              <w:left w:val="nil"/>
              <w:bottom w:val="nil"/>
              <w:right w:val="nil"/>
              <w:tl2br w:val="nil"/>
              <w:tr2bl w:val="nil"/>
            </w:tcBorders>
            <w:shd w:val="clear" w:color="auto" w:fill="FFFF00"/>
            <w:tcMar>
              <w:left w:w="115" w:type="dxa"/>
              <w:right w:w="115" w:type="dxa"/>
            </w:tcMar>
            <w:vAlign w:val="bottom"/>
          </w:tcPr>
          <w:p w14:paraId="5856A45A" w14:textId="77777777" w:rsidR="00724034" w:rsidRDefault="00724034">
            <w:pPr>
              <w:jc w:val="right"/>
              <w:rPr>
                <w:rFonts w:ascii="Arial" w:eastAsia="Arial" w:hAnsi="Arial" w:cs="Arial"/>
                <w:color w:val="000000"/>
                <w:sz w:val="16"/>
                <w:vertAlign w:val="superscript"/>
              </w:rPr>
            </w:pPr>
          </w:p>
        </w:tc>
        <w:tc>
          <w:tcPr>
            <w:tcW w:w="975" w:type="dxa"/>
            <w:tcBorders>
              <w:top w:val="nil"/>
              <w:left w:val="nil"/>
              <w:bottom w:val="nil"/>
              <w:right w:val="nil"/>
              <w:tl2br w:val="nil"/>
              <w:tr2bl w:val="nil"/>
            </w:tcBorders>
            <w:shd w:val="clear" w:color="auto" w:fill="FFFFFF"/>
            <w:tcMar>
              <w:left w:w="115" w:type="dxa"/>
              <w:right w:w="115" w:type="dxa"/>
            </w:tcMar>
            <w:vAlign w:val="bottom"/>
          </w:tcPr>
          <w:p w14:paraId="0EEC001E" w14:textId="77777777" w:rsidR="00724034" w:rsidRDefault="00724034">
            <w:pPr>
              <w:jc w:val="right"/>
              <w:rPr>
                <w:rFonts w:ascii="Arial" w:eastAsia="Arial" w:hAnsi="Arial" w:cs="Arial"/>
                <w:color w:val="000000"/>
                <w:sz w:val="16"/>
                <w:vertAlign w:val="superscript"/>
              </w:rPr>
            </w:pPr>
          </w:p>
        </w:tc>
        <w:tc>
          <w:tcPr>
            <w:tcW w:w="975" w:type="dxa"/>
            <w:tcBorders>
              <w:top w:val="nil"/>
              <w:left w:val="nil"/>
              <w:bottom w:val="nil"/>
              <w:right w:val="nil"/>
              <w:tl2br w:val="nil"/>
              <w:tr2bl w:val="nil"/>
            </w:tcBorders>
            <w:shd w:val="clear" w:color="auto" w:fill="FFFFFF"/>
            <w:tcMar>
              <w:left w:w="115" w:type="dxa"/>
              <w:right w:w="115" w:type="dxa"/>
            </w:tcMar>
            <w:vAlign w:val="bottom"/>
          </w:tcPr>
          <w:p w14:paraId="0ECD3633" w14:textId="77777777" w:rsidR="00724034" w:rsidRDefault="00724034">
            <w:pPr>
              <w:jc w:val="right"/>
              <w:rPr>
                <w:rFonts w:ascii="Arial" w:eastAsia="Arial" w:hAnsi="Arial" w:cs="Arial"/>
                <w:color w:val="000000"/>
                <w:sz w:val="16"/>
                <w:vertAlign w:val="superscript"/>
              </w:rPr>
            </w:pPr>
          </w:p>
        </w:tc>
        <w:tc>
          <w:tcPr>
            <w:tcW w:w="975" w:type="dxa"/>
            <w:tcBorders>
              <w:top w:val="nil"/>
              <w:left w:val="nil"/>
              <w:bottom w:val="nil"/>
              <w:right w:val="single" w:sz="6" w:space="0" w:color="000000"/>
              <w:tl2br w:val="nil"/>
              <w:tr2bl w:val="nil"/>
            </w:tcBorders>
            <w:shd w:val="clear" w:color="auto" w:fill="FFFFFF"/>
            <w:tcMar>
              <w:left w:w="115" w:type="dxa"/>
              <w:right w:w="115" w:type="dxa"/>
            </w:tcMar>
            <w:vAlign w:val="bottom"/>
          </w:tcPr>
          <w:p w14:paraId="71A4F7F3" w14:textId="77777777" w:rsidR="00724034" w:rsidRDefault="00724034">
            <w:pPr>
              <w:rPr>
                <w:rFonts w:ascii="Arial" w:eastAsia="Arial" w:hAnsi="Arial" w:cs="Arial"/>
                <w:color w:val="000000"/>
                <w:sz w:val="16"/>
                <w:vertAlign w:val="superscript"/>
              </w:rPr>
            </w:pPr>
          </w:p>
        </w:tc>
      </w:tr>
      <w:tr w:rsidR="00724034" w14:paraId="3522A9CC" w14:textId="77777777">
        <w:tblPrEx>
          <w:tblLook w:val="04A0" w:firstRow="1" w:lastRow="0" w:firstColumn="1" w:lastColumn="0" w:noHBand="0" w:noVBand="1"/>
        </w:tblPrEx>
        <w:trPr>
          <w:trHeight w:val="225"/>
        </w:trPr>
        <w:tc>
          <w:tcPr>
            <w:tcW w:w="3210" w:type="dxa"/>
            <w:tcBorders>
              <w:top w:val="nil"/>
              <w:left w:val="single" w:sz="6" w:space="0" w:color="000000"/>
              <w:bottom w:val="nil"/>
              <w:right w:val="nil"/>
              <w:tl2br w:val="nil"/>
              <w:tr2bl w:val="nil"/>
            </w:tcBorders>
            <w:shd w:val="clear" w:color="auto" w:fill="FFFFFF"/>
            <w:tcMar>
              <w:left w:w="115" w:type="dxa"/>
              <w:right w:w="115" w:type="dxa"/>
            </w:tcMar>
            <w:vAlign w:val="bottom"/>
          </w:tcPr>
          <w:p w14:paraId="1CDE31D2" w14:textId="77777777" w:rsidR="00724034" w:rsidRDefault="00FB7D0B">
            <w:pPr>
              <w:rPr>
                <w:rFonts w:ascii="Arial" w:eastAsia="Arial" w:hAnsi="Arial" w:cs="Arial"/>
                <w:color w:val="000000"/>
                <w:sz w:val="16"/>
                <w:vertAlign w:val="superscript"/>
              </w:rPr>
            </w:pPr>
            <w:r>
              <w:rPr>
                <w:rFonts w:ascii="Arial" w:eastAsia="Arial" w:hAnsi="Arial" w:cs="Arial"/>
                <w:b/>
                <w:i/>
                <w:color w:val="000000"/>
                <w:sz w:val="16"/>
              </w:rPr>
              <w:t>Rehabilitation Appliances:</w:t>
            </w:r>
          </w:p>
        </w:tc>
        <w:tc>
          <w:tcPr>
            <w:tcW w:w="975" w:type="dxa"/>
            <w:tcBorders>
              <w:top w:val="nil"/>
              <w:left w:val="nil"/>
              <w:bottom w:val="nil"/>
              <w:right w:val="nil"/>
              <w:tl2br w:val="nil"/>
              <w:tr2bl w:val="nil"/>
            </w:tcBorders>
            <w:shd w:val="clear" w:color="auto" w:fill="FFFFFF"/>
            <w:tcMar>
              <w:left w:w="115" w:type="dxa"/>
              <w:right w:w="115" w:type="dxa"/>
            </w:tcMar>
            <w:vAlign w:val="bottom"/>
          </w:tcPr>
          <w:p w14:paraId="1329F6E5" w14:textId="77777777" w:rsidR="00724034" w:rsidRDefault="00724034">
            <w:pPr>
              <w:jc w:val="right"/>
              <w:rPr>
                <w:rFonts w:ascii="Arial" w:eastAsia="Arial" w:hAnsi="Arial" w:cs="Arial"/>
                <w:b/>
                <w:i/>
                <w:color w:val="000000"/>
                <w:sz w:val="16"/>
                <w:vertAlign w:val="superscript"/>
              </w:rPr>
            </w:pPr>
          </w:p>
        </w:tc>
        <w:tc>
          <w:tcPr>
            <w:tcW w:w="975" w:type="dxa"/>
            <w:tcBorders>
              <w:top w:val="nil"/>
              <w:left w:val="nil"/>
              <w:bottom w:val="nil"/>
              <w:right w:val="nil"/>
              <w:tl2br w:val="nil"/>
              <w:tr2bl w:val="nil"/>
            </w:tcBorders>
            <w:shd w:val="clear" w:color="auto" w:fill="FFFF00"/>
            <w:tcMar>
              <w:left w:w="115" w:type="dxa"/>
              <w:right w:w="115" w:type="dxa"/>
            </w:tcMar>
            <w:vAlign w:val="bottom"/>
          </w:tcPr>
          <w:p w14:paraId="4BF16C1C" w14:textId="77777777" w:rsidR="00724034" w:rsidRDefault="00724034">
            <w:pPr>
              <w:jc w:val="right"/>
              <w:rPr>
                <w:rFonts w:ascii="Arial" w:eastAsia="Arial" w:hAnsi="Arial" w:cs="Arial"/>
                <w:color w:val="000000"/>
                <w:sz w:val="16"/>
                <w:vertAlign w:val="superscript"/>
              </w:rPr>
            </w:pPr>
          </w:p>
        </w:tc>
        <w:tc>
          <w:tcPr>
            <w:tcW w:w="975" w:type="dxa"/>
            <w:tcBorders>
              <w:top w:val="nil"/>
              <w:left w:val="nil"/>
              <w:bottom w:val="nil"/>
              <w:right w:val="nil"/>
              <w:tl2br w:val="nil"/>
              <w:tr2bl w:val="nil"/>
            </w:tcBorders>
            <w:shd w:val="clear" w:color="auto" w:fill="FFFFFF"/>
            <w:tcMar>
              <w:left w:w="115" w:type="dxa"/>
              <w:right w:w="115" w:type="dxa"/>
            </w:tcMar>
            <w:vAlign w:val="bottom"/>
          </w:tcPr>
          <w:p w14:paraId="07CD3B80" w14:textId="77777777" w:rsidR="00724034" w:rsidRDefault="00724034">
            <w:pPr>
              <w:jc w:val="right"/>
              <w:rPr>
                <w:rFonts w:ascii="Arial" w:eastAsia="Arial" w:hAnsi="Arial" w:cs="Arial"/>
                <w:color w:val="000000"/>
                <w:sz w:val="16"/>
                <w:vertAlign w:val="superscript"/>
              </w:rPr>
            </w:pPr>
          </w:p>
        </w:tc>
        <w:tc>
          <w:tcPr>
            <w:tcW w:w="975" w:type="dxa"/>
            <w:tcBorders>
              <w:top w:val="nil"/>
              <w:left w:val="nil"/>
              <w:bottom w:val="nil"/>
              <w:right w:val="nil"/>
              <w:tl2br w:val="nil"/>
              <w:tr2bl w:val="nil"/>
            </w:tcBorders>
            <w:shd w:val="clear" w:color="auto" w:fill="FFFFFF"/>
            <w:tcMar>
              <w:left w:w="115" w:type="dxa"/>
              <w:right w:w="115" w:type="dxa"/>
            </w:tcMar>
            <w:vAlign w:val="bottom"/>
          </w:tcPr>
          <w:p w14:paraId="6770625B" w14:textId="77777777" w:rsidR="00724034" w:rsidRDefault="00724034">
            <w:pPr>
              <w:jc w:val="right"/>
              <w:rPr>
                <w:rFonts w:ascii="Arial" w:eastAsia="Arial" w:hAnsi="Arial" w:cs="Arial"/>
                <w:color w:val="000000"/>
                <w:sz w:val="16"/>
                <w:vertAlign w:val="superscript"/>
              </w:rPr>
            </w:pPr>
          </w:p>
        </w:tc>
        <w:tc>
          <w:tcPr>
            <w:tcW w:w="975" w:type="dxa"/>
            <w:tcBorders>
              <w:top w:val="nil"/>
              <w:left w:val="nil"/>
              <w:bottom w:val="nil"/>
              <w:right w:val="single" w:sz="6" w:space="0" w:color="000000"/>
              <w:tl2br w:val="nil"/>
              <w:tr2bl w:val="nil"/>
            </w:tcBorders>
            <w:shd w:val="clear" w:color="auto" w:fill="FFFFFF"/>
            <w:tcMar>
              <w:left w:w="115" w:type="dxa"/>
              <w:right w:w="115" w:type="dxa"/>
            </w:tcMar>
            <w:vAlign w:val="bottom"/>
          </w:tcPr>
          <w:p w14:paraId="5D7A3A7D" w14:textId="77777777" w:rsidR="00724034" w:rsidRDefault="00724034">
            <w:pPr>
              <w:rPr>
                <w:rFonts w:ascii="Arial" w:eastAsia="Arial" w:hAnsi="Arial" w:cs="Arial"/>
                <w:color w:val="000000"/>
                <w:sz w:val="16"/>
                <w:vertAlign w:val="superscript"/>
              </w:rPr>
            </w:pPr>
          </w:p>
        </w:tc>
      </w:tr>
      <w:tr w:rsidR="00724034" w14:paraId="3F799D0B" w14:textId="77777777">
        <w:tblPrEx>
          <w:tblLook w:val="04A0" w:firstRow="1" w:lastRow="0" w:firstColumn="1" w:lastColumn="0" w:noHBand="0" w:noVBand="1"/>
        </w:tblPrEx>
        <w:trPr>
          <w:trHeight w:val="450"/>
        </w:trPr>
        <w:tc>
          <w:tcPr>
            <w:tcW w:w="3210" w:type="dxa"/>
            <w:tcBorders>
              <w:top w:val="nil"/>
              <w:left w:val="single" w:sz="6" w:space="0" w:color="000000"/>
              <w:bottom w:val="nil"/>
              <w:right w:val="nil"/>
              <w:tl2br w:val="nil"/>
              <w:tr2bl w:val="nil"/>
            </w:tcBorders>
            <w:shd w:val="clear" w:color="auto" w:fill="FFFFFF"/>
            <w:tcMar>
              <w:left w:w="115" w:type="dxa"/>
              <w:right w:w="115" w:type="dxa"/>
            </w:tcMar>
            <w:vAlign w:val="bottom"/>
          </w:tcPr>
          <w:p w14:paraId="0DD8CF87" w14:textId="77777777" w:rsidR="00724034" w:rsidRDefault="00FB7D0B">
            <w:pPr>
              <w:rPr>
                <w:rFonts w:ascii="Arial" w:eastAsia="Arial" w:hAnsi="Arial" w:cs="Arial"/>
                <w:color w:val="000000"/>
                <w:sz w:val="16"/>
                <w:vertAlign w:val="superscript"/>
              </w:rPr>
            </w:pPr>
            <w:r>
              <w:rPr>
                <w:rFonts w:ascii="Arial" w:eastAsia="Arial" w:hAnsi="Arial" w:cs="Arial"/>
                <w:i/>
                <w:color w:val="000000"/>
                <w:sz w:val="16"/>
              </w:rPr>
              <w:t>Cost:</w:t>
            </w:r>
            <w:r>
              <w:rPr>
                <w:rFonts w:ascii="Arial" w:eastAsia="Arial" w:hAnsi="Arial" w:cs="Arial"/>
                <w:color w:val="000000"/>
                <w:sz w:val="16"/>
              </w:rPr>
              <w:t xml:space="preserve"> Attributed across treatment population</w:t>
            </w:r>
          </w:p>
        </w:tc>
        <w:tc>
          <w:tcPr>
            <w:tcW w:w="975" w:type="dxa"/>
            <w:tcBorders>
              <w:top w:val="nil"/>
              <w:left w:val="nil"/>
              <w:bottom w:val="nil"/>
              <w:right w:val="nil"/>
              <w:tl2br w:val="nil"/>
              <w:tr2bl w:val="nil"/>
            </w:tcBorders>
            <w:shd w:val="clear" w:color="auto" w:fill="FFFFFF"/>
            <w:tcMar>
              <w:left w:w="115" w:type="dxa"/>
              <w:right w:w="115" w:type="dxa"/>
            </w:tcMar>
            <w:vAlign w:val="bottom"/>
          </w:tcPr>
          <w:p w14:paraId="519E2E68" w14:textId="77777777" w:rsidR="00724034" w:rsidRDefault="00FB7D0B">
            <w:pPr>
              <w:jc w:val="right"/>
              <w:rPr>
                <w:rFonts w:ascii="Arial" w:eastAsia="Arial" w:hAnsi="Arial" w:cs="Arial"/>
                <w:i/>
                <w:color w:val="000000"/>
                <w:sz w:val="16"/>
                <w:vertAlign w:val="superscript"/>
              </w:rPr>
            </w:pPr>
            <w:r>
              <w:rPr>
                <w:rFonts w:ascii="Arial" w:eastAsia="Arial" w:hAnsi="Arial" w:cs="Arial"/>
                <w:color w:val="000000"/>
                <w:sz w:val="16"/>
              </w:rPr>
              <w:t>664 </w:t>
            </w:r>
          </w:p>
        </w:tc>
        <w:tc>
          <w:tcPr>
            <w:tcW w:w="975" w:type="dxa"/>
            <w:tcBorders>
              <w:top w:val="nil"/>
              <w:left w:val="nil"/>
              <w:bottom w:val="nil"/>
              <w:right w:val="nil"/>
              <w:tl2br w:val="nil"/>
              <w:tr2bl w:val="nil"/>
            </w:tcBorders>
            <w:shd w:val="clear" w:color="auto" w:fill="FFFF00"/>
            <w:tcMar>
              <w:left w:w="115" w:type="dxa"/>
              <w:right w:w="115" w:type="dxa"/>
            </w:tcMar>
            <w:vAlign w:val="bottom"/>
          </w:tcPr>
          <w:p w14:paraId="3C6726BF" w14:textId="77777777" w:rsidR="00724034" w:rsidRDefault="00FB7D0B">
            <w:pPr>
              <w:jc w:val="right"/>
              <w:rPr>
                <w:rFonts w:ascii="Arial" w:eastAsia="Arial" w:hAnsi="Arial" w:cs="Arial"/>
                <w:color w:val="000000"/>
                <w:sz w:val="16"/>
              </w:rPr>
            </w:pPr>
            <w:r>
              <w:rPr>
                <w:rFonts w:ascii="Arial" w:eastAsia="Arial" w:hAnsi="Arial" w:cs="Arial"/>
                <w:color w:val="000000"/>
                <w:sz w:val="16"/>
              </w:rPr>
              <w:t>718 </w:t>
            </w:r>
          </w:p>
        </w:tc>
        <w:tc>
          <w:tcPr>
            <w:tcW w:w="975" w:type="dxa"/>
            <w:tcBorders>
              <w:top w:val="nil"/>
              <w:left w:val="nil"/>
              <w:bottom w:val="nil"/>
              <w:right w:val="nil"/>
              <w:tl2br w:val="nil"/>
              <w:tr2bl w:val="nil"/>
            </w:tcBorders>
            <w:shd w:val="clear" w:color="auto" w:fill="FFFFFF"/>
            <w:tcMar>
              <w:left w:w="115" w:type="dxa"/>
              <w:right w:w="115" w:type="dxa"/>
            </w:tcMar>
            <w:vAlign w:val="bottom"/>
          </w:tcPr>
          <w:p w14:paraId="5C46347E" w14:textId="77777777" w:rsidR="00724034" w:rsidRDefault="00FB7D0B">
            <w:pPr>
              <w:jc w:val="right"/>
              <w:rPr>
                <w:rFonts w:ascii="Arial" w:eastAsia="Arial" w:hAnsi="Arial" w:cs="Arial"/>
                <w:color w:val="000000"/>
                <w:sz w:val="16"/>
              </w:rPr>
            </w:pPr>
            <w:r>
              <w:rPr>
                <w:rFonts w:ascii="Arial" w:eastAsia="Arial" w:hAnsi="Arial" w:cs="Arial"/>
                <w:color w:val="000000"/>
                <w:sz w:val="16"/>
              </w:rPr>
              <w:t>778 </w:t>
            </w:r>
          </w:p>
        </w:tc>
        <w:tc>
          <w:tcPr>
            <w:tcW w:w="975" w:type="dxa"/>
            <w:tcBorders>
              <w:top w:val="nil"/>
              <w:left w:val="nil"/>
              <w:bottom w:val="nil"/>
              <w:right w:val="nil"/>
              <w:tl2br w:val="nil"/>
              <w:tr2bl w:val="nil"/>
            </w:tcBorders>
            <w:shd w:val="clear" w:color="auto" w:fill="FFFFFF"/>
            <w:tcMar>
              <w:left w:w="115" w:type="dxa"/>
              <w:right w:w="115" w:type="dxa"/>
            </w:tcMar>
            <w:vAlign w:val="bottom"/>
          </w:tcPr>
          <w:p w14:paraId="0C58AE14" w14:textId="77777777" w:rsidR="00724034" w:rsidRDefault="00FB7D0B">
            <w:pPr>
              <w:jc w:val="right"/>
              <w:rPr>
                <w:rFonts w:ascii="Arial" w:eastAsia="Arial" w:hAnsi="Arial" w:cs="Arial"/>
                <w:color w:val="000000"/>
                <w:sz w:val="16"/>
              </w:rPr>
            </w:pPr>
            <w:r>
              <w:rPr>
                <w:rFonts w:ascii="Arial" w:eastAsia="Arial" w:hAnsi="Arial" w:cs="Arial"/>
                <w:color w:val="000000"/>
                <w:sz w:val="16"/>
              </w:rPr>
              <w:t>843 </w:t>
            </w:r>
          </w:p>
        </w:tc>
        <w:tc>
          <w:tcPr>
            <w:tcW w:w="975" w:type="dxa"/>
            <w:tcBorders>
              <w:top w:val="nil"/>
              <w:left w:val="nil"/>
              <w:bottom w:val="nil"/>
              <w:right w:val="single" w:sz="6" w:space="0" w:color="000000"/>
              <w:tl2br w:val="nil"/>
              <w:tr2bl w:val="nil"/>
            </w:tcBorders>
            <w:shd w:val="clear" w:color="auto" w:fill="FFFFFF"/>
            <w:tcMar>
              <w:left w:w="115" w:type="dxa"/>
              <w:right w:w="115" w:type="dxa"/>
            </w:tcMar>
            <w:vAlign w:val="bottom"/>
          </w:tcPr>
          <w:p w14:paraId="411AE2BF" w14:textId="77777777" w:rsidR="00724034" w:rsidRDefault="00FB7D0B">
            <w:pPr>
              <w:jc w:val="right"/>
              <w:rPr>
                <w:rFonts w:ascii="Arial" w:eastAsia="Arial" w:hAnsi="Arial" w:cs="Arial"/>
                <w:color w:val="000000"/>
                <w:sz w:val="16"/>
              </w:rPr>
            </w:pPr>
            <w:r>
              <w:rPr>
                <w:rFonts w:ascii="Arial" w:eastAsia="Arial" w:hAnsi="Arial" w:cs="Arial"/>
                <w:color w:val="000000"/>
                <w:sz w:val="16"/>
              </w:rPr>
              <w:t>843 </w:t>
            </w:r>
          </w:p>
        </w:tc>
      </w:tr>
      <w:tr w:rsidR="00724034" w14:paraId="635DA417" w14:textId="77777777">
        <w:tblPrEx>
          <w:tblLook w:val="04A0" w:firstRow="1" w:lastRow="0" w:firstColumn="1" w:lastColumn="0" w:noHBand="0" w:noVBand="1"/>
        </w:tblPrEx>
        <w:trPr>
          <w:trHeight w:val="30"/>
        </w:trPr>
        <w:tc>
          <w:tcPr>
            <w:tcW w:w="3210" w:type="dxa"/>
            <w:tcBorders>
              <w:top w:val="nil"/>
              <w:left w:val="single" w:sz="6" w:space="0" w:color="000000"/>
              <w:bottom w:val="nil"/>
              <w:right w:val="nil"/>
              <w:tl2br w:val="nil"/>
              <w:tr2bl w:val="nil"/>
            </w:tcBorders>
            <w:shd w:val="clear" w:color="auto" w:fill="FFFFFF"/>
            <w:tcMar>
              <w:left w:w="115" w:type="dxa"/>
              <w:right w:w="115" w:type="dxa"/>
            </w:tcMar>
            <w:vAlign w:val="bottom"/>
          </w:tcPr>
          <w:p w14:paraId="378A78CD" w14:textId="77777777" w:rsidR="00724034" w:rsidRDefault="00724034">
            <w:pPr>
              <w:rPr>
                <w:rFonts w:ascii="Arial" w:eastAsia="Arial" w:hAnsi="Arial" w:cs="Arial"/>
                <w:color w:val="000000"/>
                <w:sz w:val="16"/>
              </w:rPr>
            </w:pPr>
          </w:p>
        </w:tc>
        <w:tc>
          <w:tcPr>
            <w:tcW w:w="975" w:type="dxa"/>
            <w:tcBorders>
              <w:top w:val="nil"/>
              <w:left w:val="nil"/>
              <w:bottom w:val="nil"/>
              <w:right w:val="nil"/>
              <w:tl2br w:val="nil"/>
              <w:tr2bl w:val="nil"/>
            </w:tcBorders>
            <w:shd w:val="clear" w:color="auto" w:fill="FFFFFF"/>
            <w:tcMar>
              <w:left w:w="115" w:type="dxa"/>
              <w:right w:w="115" w:type="dxa"/>
            </w:tcMar>
            <w:vAlign w:val="bottom"/>
          </w:tcPr>
          <w:p w14:paraId="56492717" w14:textId="77777777" w:rsidR="00724034" w:rsidRDefault="00724034">
            <w:pPr>
              <w:jc w:val="right"/>
              <w:rPr>
                <w:rFonts w:ascii="Arial" w:eastAsia="Arial" w:hAnsi="Arial" w:cs="Arial"/>
                <w:i/>
                <w:color w:val="000000"/>
                <w:sz w:val="16"/>
                <w:vertAlign w:val="superscript"/>
              </w:rPr>
            </w:pPr>
          </w:p>
        </w:tc>
        <w:tc>
          <w:tcPr>
            <w:tcW w:w="975" w:type="dxa"/>
            <w:tcBorders>
              <w:top w:val="nil"/>
              <w:left w:val="nil"/>
              <w:bottom w:val="nil"/>
              <w:right w:val="nil"/>
              <w:tl2br w:val="nil"/>
              <w:tr2bl w:val="nil"/>
            </w:tcBorders>
            <w:shd w:val="clear" w:color="auto" w:fill="FFFF00"/>
            <w:tcMar>
              <w:left w:w="115" w:type="dxa"/>
              <w:right w:w="115" w:type="dxa"/>
            </w:tcMar>
            <w:vAlign w:val="bottom"/>
          </w:tcPr>
          <w:p w14:paraId="4F6D764B" w14:textId="77777777" w:rsidR="00724034" w:rsidRDefault="00724034">
            <w:pPr>
              <w:jc w:val="right"/>
              <w:rPr>
                <w:rFonts w:ascii="Arial" w:eastAsia="Arial" w:hAnsi="Arial" w:cs="Arial"/>
                <w:color w:val="000000"/>
                <w:sz w:val="16"/>
                <w:vertAlign w:val="superscript"/>
              </w:rPr>
            </w:pPr>
          </w:p>
        </w:tc>
        <w:tc>
          <w:tcPr>
            <w:tcW w:w="975" w:type="dxa"/>
            <w:tcBorders>
              <w:top w:val="nil"/>
              <w:left w:val="nil"/>
              <w:bottom w:val="nil"/>
              <w:right w:val="nil"/>
              <w:tl2br w:val="nil"/>
              <w:tr2bl w:val="nil"/>
            </w:tcBorders>
            <w:shd w:val="clear" w:color="auto" w:fill="FFFFFF"/>
            <w:tcMar>
              <w:left w:w="115" w:type="dxa"/>
              <w:right w:w="115" w:type="dxa"/>
            </w:tcMar>
            <w:vAlign w:val="bottom"/>
          </w:tcPr>
          <w:p w14:paraId="35600C64" w14:textId="77777777" w:rsidR="00724034" w:rsidRDefault="00724034">
            <w:pPr>
              <w:jc w:val="right"/>
              <w:rPr>
                <w:rFonts w:ascii="Arial" w:eastAsia="Arial" w:hAnsi="Arial" w:cs="Arial"/>
                <w:color w:val="000000"/>
                <w:sz w:val="16"/>
                <w:vertAlign w:val="superscript"/>
              </w:rPr>
            </w:pPr>
          </w:p>
        </w:tc>
        <w:tc>
          <w:tcPr>
            <w:tcW w:w="975" w:type="dxa"/>
            <w:tcBorders>
              <w:top w:val="nil"/>
              <w:left w:val="nil"/>
              <w:bottom w:val="nil"/>
              <w:right w:val="nil"/>
              <w:tl2br w:val="nil"/>
              <w:tr2bl w:val="nil"/>
            </w:tcBorders>
            <w:shd w:val="clear" w:color="auto" w:fill="FFFFFF"/>
            <w:tcMar>
              <w:left w:w="115" w:type="dxa"/>
              <w:right w:w="115" w:type="dxa"/>
            </w:tcMar>
            <w:vAlign w:val="bottom"/>
          </w:tcPr>
          <w:p w14:paraId="40C81672" w14:textId="77777777" w:rsidR="00724034" w:rsidRDefault="00724034">
            <w:pPr>
              <w:jc w:val="right"/>
              <w:rPr>
                <w:rFonts w:ascii="Arial" w:eastAsia="Arial" w:hAnsi="Arial" w:cs="Arial"/>
                <w:color w:val="000000"/>
                <w:sz w:val="16"/>
                <w:vertAlign w:val="superscript"/>
              </w:rPr>
            </w:pPr>
          </w:p>
        </w:tc>
        <w:tc>
          <w:tcPr>
            <w:tcW w:w="975" w:type="dxa"/>
            <w:tcBorders>
              <w:top w:val="nil"/>
              <w:left w:val="nil"/>
              <w:bottom w:val="nil"/>
              <w:right w:val="single" w:sz="6" w:space="0" w:color="000000"/>
              <w:tl2br w:val="nil"/>
              <w:tr2bl w:val="nil"/>
            </w:tcBorders>
            <w:shd w:val="clear" w:color="auto" w:fill="FFFFFF"/>
            <w:tcMar>
              <w:left w:w="115" w:type="dxa"/>
              <w:right w:w="115" w:type="dxa"/>
            </w:tcMar>
            <w:vAlign w:val="bottom"/>
          </w:tcPr>
          <w:p w14:paraId="5711DD24" w14:textId="77777777" w:rsidR="00724034" w:rsidRDefault="00724034">
            <w:pPr>
              <w:rPr>
                <w:rFonts w:ascii="Arial" w:eastAsia="Arial" w:hAnsi="Arial" w:cs="Arial"/>
                <w:color w:val="000000"/>
                <w:sz w:val="16"/>
                <w:vertAlign w:val="superscript"/>
              </w:rPr>
            </w:pPr>
          </w:p>
        </w:tc>
      </w:tr>
      <w:tr w:rsidR="00724034" w14:paraId="3513D3D9" w14:textId="77777777">
        <w:tblPrEx>
          <w:tblLook w:val="04A0" w:firstRow="1" w:lastRow="0" w:firstColumn="1" w:lastColumn="0" w:noHBand="0" w:noVBand="1"/>
        </w:tblPrEx>
        <w:trPr>
          <w:trHeight w:val="675"/>
        </w:trPr>
        <w:tc>
          <w:tcPr>
            <w:tcW w:w="3210" w:type="dxa"/>
            <w:tcBorders>
              <w:top w:val="nil"/>
              <w:left w:val="single" w:sz="6" w:space="0" w:color="000000"/>
              <w:bottom w:val="nil"/>
              <w:right w:val="nil"/>
              <w:tl2br w:val="nil"/>
              <w:tr2bl w:val="nil"/>
            </w:tcBorders>
            <w:shd w:val="clear" w:color="auto" w:fill="FFFFFF"/>
            <w:tcMar>
              <w:left w:w="115" w:type="dxa"/>
              <w:right w:w="115" w:type="dxa"/>
            </w:tcMar>
            <w:vAlign w:val="bottom"/>
          </w:tcPr>
          <w:p w14:paraId="1A6CE36B" w14:textId="77777777" w:rsidR="00724034" w:rsidRDefault="00FB7D0B">
            <w:pPr>
              <w:rPr>
                <w:rFonts w:ascii="Arial" w:eastAsia="Arial" w:hAnsi="Arial" w:cs="Arial"/>
                <w:color w:val="000000"/>
                <w:sz w:val="16"/>
                <w:vertAlign w:val="superscript"/>
              </w:rPr>
            </w:pPr>
            <w:r>
              <w:rPr>
                <w:rFonts w:ascii="Arial" w:eastAsia="Arial" w:hAnsi="Arial" w:cs="Arial"/>
                <w:color w:val="000000"/>
                <w:sz w:val="16"/>
              </w:rPr>
              <w:t>Number of broad categories of aids and appliances available to the veteran community listed in the RAP Schedule</w:t>
            </w:r>
          </w:p>
        </w:tc>
        <w:tc>
          <w:tcPr>
            <w:tcW w:w="975" w:type="dxa"/>
            <w:tcBorders>
              <w:top w:val="nil"/>
              <w:left w:val="nil"/>
              <w:bottom w:val="nil"/>
              <w:right w:val="nil"/>
              <w:tl2br w:val="nil"/>
              <w:tr2bl w:val="nil"/>
            </w:tcBorders>
            <w:shd w:val="clear" w:color="auto" w:fill="FFFFFF"/>
            <w:tcMar>
              <w:left w:w="115" w:type="dxa"/>
              <w:right w:w="115" w:type="dxa"/>
            </w:tcMar>
            <w:vAlign w:val="bottom"/>
          </w:tcPr>
          <w:p w14:paraId="5E5D4A46" w14:textId="77777777" w:rsidR="00724034" w:rsidRDefault="00FB7D0B">
            <w:pPr>
              <w:jc w:val="right"/>
              <w:rPr>
                <w:rFonts w:ascii="Arial" w:eastAsia="Arial" w:hAnsi="Arial" w:cs="Arial"/>
                <w:color w:val="000000"/>
                <w:sz w:val="16"/>
                <w:vertAlign w:val="superscript"/>
              </w:rPr>
            </w:pPr>
            <w:r>
              <w:rPr>
                <w:rFonts w:ascii="Arial" w:eastAsia="Arial" w:hAnsi="Arial" w:cs="Arial"/>
                <w:color w:val="000000"/>
                <w:sz w:val="16"/>
              </w:rPr>
              <w:t>251 </w:t>
            </w:r>
          </w:p>
        </w:tc>
        <w:tc>
          <w:tcPr>
            <w:tcW w:w="975" w:type="dxa"/>
            <w:tcBorders>
              <w:top w:val="nil"/>
              <w:left w:val="nil"/>
              <w:bottom w:val="nil"/>
              <w:right w:val="nil"/>
              <w:tl2br w:val="nil"/>
              <w:tr2bl w:val="nil"/>
            </w:tcBorders>
            <w:shd w:val="clear" w:color="auto" w:fill="FFFF00"/>
            <w:tcMar>
              <w:left w:w="115" w:type="dxa"/>
              <w:right w:w="115" w:type="dxa"/>
            </w:tcMar>
            <w:vAlign w:val="bottom"/>
          </w:tcPr>
          <w:p w14:paraId="3BF7476E" w14:textId="77777777" w:rsidR="00724034" w:rsidRDefault="00FB7D0B">
            <w:pPr>
              <w:jc w:val="right"/>
              <w:rPr>
                <w:rFonts w:ascii="Arial" w:eastAsia="Arial" w:hAnsi="Arial" w:cs="Arial"/>
                <w:color w:val="000000"/>
                <w:sz w:val="16"/>
              </w:rPr>
            </w:pPr>
            <w:r>
              <w:rPr>
                <w:rFonts w:ascii="Arial" w:eastAsia="Arial" w:hAnsi="Arial" w:cs="Arial"/>
                <w:color w:val="000000"/>
                <w:sz w:val="16"/>
              </w:rPr>
              <w:t>251 </w:t>
            </w:r>
          </w:p>
        </w:tc>
        <w:tc>
          <w:tcPr>
            <w:tcW w:w="975" w:type="dxa"/>
            <w:tcBorders>
              <w:top w:val="nil"/>
              <w:left w:val="nil"/>
              <w:bottom w:val="nil"/>
              <w:right w:val="nil"/>
              <w:tl2br w:val="nil"/>
              <w:tr2bl w:val="nil"/>
            </w:tcBorders>
            <w:shd w:val="clear" w:color="auto" w:fill="FFFFFF"/>
            <w:tcMar>
              <w:left w:w="115" w:type="dxa"/>
              <w:right w:w="115" w:type="dxa"/>
            </w:tcMar>
            <w:vAlign w:val="bottom"/>
          </w:tcPr>
          <w:p w14:paraId="187C254C" w14:textId="77777777" w:rsidR="00724034" w:rsidRDefault="00FB7D0B">
            <w:pPr>
              <w:jc w:val="right"/>
              <w:rPr>
                <w:rFonts w:ascii="Arial" w:eastAsia="Arial" w:hAnsi="Arial" w:cs="Arial"/>
                <w:color w:val="000000"/>
                <w:sz w:val="16"/>
              </w:rPr>
            </w:pPr>
            <w:r>
              <w:rPr>
                <w:rFonts w:ascii="Arial" w:eastAsia="Arial" w:hAnsi="Arial" w:cs="Arial"/>
                <w:color w:val="000000"/>
                <w:sz w:val="16"/>
              </w:rPr>
              <w:t>251 </w:t>
            </w:r>
          </w:p>
        </w:tc>
        <w:tc>
          <w:tcPr>
            <w:tcW w:w="975" w:type="dxa"/>
            <w:tcBorders>
              <w:top w:val="nil"/>
              <w:left w:val="nil"/>
              <w:bottom w:val="nil"/>
              <w:right w:val="nil"/>
              <w:tl2br w:val="nil"/>
              <w:tr2bl w:val="nil"/>
            </w:tcBorders>
            <w:shd w:val="clear" w:color="auto" w:fill="FFFFFF"/>
            <w:tcMar>
              <w:left w:w="115" w:type="dxa"/>
              <w:right w:w="115" w:type="dxa"/>
            </w:tcMar>
            <w:vAlign w:val="bottom"/>
          </w:tcPr>
          <w:p w14:paraId="6DAFA262" w14:textId="77777777" w:rsidR="00724034" w:rsidRDefault="00FB7D0B">
            <w:pPr>
              <w:jc w:val="right"/>
              <w:rPr>
                <w:rFonts w:ascii="Arial" w:eastAsia="Arial" w:hAnsi="Arial" w:cs="Arial"/>
                <w:color w:val="000000"/>
                <w:sz w:val="16"/>
              </w:rPr>
            </w:pPr>
            <w:r>
              <w:rPr>
                <w:rFonts w:ascii="Arial" w:eastAsia="Arial" w:hAnsi="Arial" w:cs="Arial"/>
                <w:color w:val="000000"/>
                <w:sz w:val="16"/>
              </w:rPr>
              <w:t>251 </w:t>
            </w:r>
          </w:p>
        </w:tc>
        <w:tc>
          <w:tcPr>
            <w:tcW w:w="975" w:type="dxa"/>
            <w:tcBorders>
              <w:top w:val="nil"/>
              <w:left w:val="nil"/>
              <w:bottom w:val="nil"/>
              <w:right w:val="single" w:sz="6" w:space="0" w:color="000000"/>
              <w:tl2br w:val="nil"/>
              <w:tr2bl w:val="nil"/>
            </w:tcBorders>
            <w:shd w:val="clear" w:color="auto" w:fill="FFFFFF"/>
            <w:tcMar>
              <w:left w:w="115" w:type="dxa"/>
              <w:right w:w="115" w:type="dxa"/>
            </w:tcMar>
            <w:vAlign w:val="bottom"/>
          </w:tcPr>
          <w:p w14:paraId="05F57846" w14:textId="77777777" w:rsidR="00724034" w:rsidRDefault="00FB7D0B">
            <w:pPr>
              <w:jc w:val="right"/>
              <w:rPr>
                <w:rFonts w:ascii="Arial" w:eastAsia="Arial" w:hAnsi="Arial" w:cs="Arial"/>
                <w:color w:val="000000"/>
                <w:sz w:val="16"/>
              </w:rPr>
            </w:pPr>
            <w:r>
              <w:rPr>
                <w:rFonts w:ascii="Arial" w:eastAsia="Arial" w:hAnsi="Arial" w:cs="Arial"/>
                <w:color w:val="000000"/>
                <w:sz w:val="16"/>
              </w:rPr>
              <w:t>251 </w:t>
            </w:r>
          </w:p>
        </w:tc>
      </w:tr>
      <w:tr w:rsidR="00724034" w14:paraId="41187F9E" w14:textId="77777777">
        <w:tblPrEx>
          <w:tblLook w:val="04A0" w:firstRow="1" w:lastRow="0" w:firstColumn="1" w:lastColumn="0" w:noHBand="0" w:noVBand="1"/>
        </w:tblPrEx>
        <w:trPr>
          <w:trHeight w:val="30"/>
        </w:trPr>
        <w:tc>
          <w:tcPr>
            <w:tcW w:w="3210" w:type="dxa"/>
            <w:tcBorders>
              <w:top w:val="nil"/>
              <w:left w:val="single" w:sz="6" w:space="0" w:color="000000"/>
              <w:bottom w:val="nil"/>
              <w:right w:val="nil"/>
              <w:tl2br w:val="nil"/>
              <w:tr2bl w:val="nil"/>
            </w:tcBorders>
            <w:shd w:val="clear" w:color="auto" w:fill="FFFFFF"/>
            <w:tcMar>
              <w:left w:w="115" w:type="dxa"/>
              <w:right w:w="115" w:type="dxa"/>
            </w:tcMar>
            <w:vAlign w:val="bottom"/>
          </w:tcPr>
          <w:p w14:paraId="54B2EB12" w14:textId="77777777" w:rsidR="00724034" w:rsidRDefault="00724034">
            <w:pPr>
              <w:rPr>
                <w:rFonts w:ascii="Arial" w:eastAsia="Arial" w:hAnsi="Arial" w:cs="Arial"/>
                <w:color w:val="000000"/>
                <w:sz w:val="16"/>
              </w:rPr>
            </w:pPr>
          </w:p>
        </w:tc>
        <w:tc>
          <w:tcPr>
            <w:tcW w:w="975" w:type="dxa"/>
            <w:tcBorders>
              <w:top w:val="nil"/>
              <w:left w:val="nil"/>
              <w:bottom w:val="nil"/>
              <w:right w:val="nil"/>
              <w:tl2br w:val="nil"/>
              <w:tr2bl w:val="nil"/>
            </w:tcBorders>
            <w:shd w:val="clear" w:color="auto" w:fill="FFFFFF"/>
            <w:tcMar>
              <w:left w:w="115" w:type="dxa"/>
              <w:right w:w="115" w:type="dxa"/>
            </w:tcMar>
            <w:vAlign w:val="bottom"/>
          </w:tcPr>
          <w:p w14:paraId="6EF0F710" w14:textId="77777777" w:rsidR="00724034" w:rsidRDefault="00724034">
            <w:pPr>
              <w:jc w:val="right"/>
              <w:rPr>
                <w:rFonts w:ascii="Arial" w:eastAsia="Arial" w:hAnsi="Arial" w:cs="Arial"/>
                <w:color w:val="000000"/>
                <w:sz w:val="16"/>
                <w:vertAlign w:val="superscript"/>
              </w:rPr>
            </w:pPr>
          </w:p>
        </w:tc>
        <w:tc>
          <w:tcPr>
            <w:tcW w:w="975" w:type="dxa"/>
            <w:tcBorders>
              <w:top w:val="nil"/>
              <w:left w:val="nil"/>
              <w:bottom w:val="nil"/>
              <w:right w:val="nil"/>
              <w:tl2br w:val="nil"/>
              <w:tr2bl w:val="nil"/>
            </w:tcBorders>
            <w:shd w:val="clear" w:color="auto" w:fill="FFFF00"/>
            <w:tcMar>
              <w:left w:w="115" w:type="dxa"/>
              <w:right w:w="115" w:type="dxa"/>
            </w:tcMar>
            <w:vAlign w:val="bottom"/>
          </w:tcPr>
          <w:p w14:paraId="2D4325BD" w14:textId="77777777" w:rsidR="00724034" w:rsidRDefault="00724034">
            <w:pPr>
              <w:jc w:val="right"/>
              <w:rPr>
                <w:rFonts w:ascii="Arial" w:eastAsia="Arial" w:hAnsi="Arial" w:cs="Arial"/>
                <w:color w:val="000000"/>
                <w:sz w:val="16"/>
                <w:vertAlign w:val="superscript"/>
              </w:rPr>
            </w:pPr>
          </w:p>
        </w:tc>
        <w:tc>
          <w:tcPr>
            <w:tcW w:w="975" w:type="dxa"/>
            <w:tcBorders>
              <w:top w:val="nil"/>
              <w:left w:val="nil"/>
              <w:bottom w:val="nil"/>
              <w:right w:val="nil"/>
              <w:tl2br w:val="nil"/>
              <w:tr2bl w:val="nil"/>
            </w:tcBorders>
            <w:shd w:val="clear" w:color="auto" w:fill="FFFFFF"/>
            <w:tcMar>
              <w:left w:w="115" w:type="dxa"/>
              <w:right w:w="115" w:type="dxa"/>
            </w:tcMar>
            <w:vAlign w:val="bottom"/>
          </w:tcPr>
          <w:p w14:paraId="040B8022" w14:textId="77777777" w:rsidR="00724034" w:rsidRDefault="00724034">
            <w:pPr>
              <w:jc w:val="right"/>
              <w:rPr>
                <w:rFonts w:ascii="Arial" w:eastAsia="Arial" w:hAnsi="Arial" w:cs="Arial"/>
                <w:color w:val="000000"/>
                <w:sz w:val="16"/>
                <w:vertAlign w:val="superscript"/>
              </w:rPr>
            </w:pPr>
          </w:p>
        </w:tc>
        <w:tc>
          <w:tcPr>
            <w:tcW w:w="975" w:type="dxa"/>
            <w:tcBorders>
              <w:top w:val="nil"/>
              <w:left w:val="nil"/>
              <w:bottom w:val="nil"/>
              <w:right w:val="nil"/>
              <w:tl2br w:val="nil"/>
              <w:tr2bl w:val="nil"/>
            </w:tcBorders>
            <w:shd w:val="clear" w:color="auto" w:fill="FFFFFF"/>
            <w:tcMar>
              <w:left w:w="115" w:type="dxa"/>
              <w:right w:w="115" w:type="dxa"/>
            </w:tcMar>
            <w:vAlign w:val="bottom"/>
          </w:tcPr>
          <w:p w14:paraId="483F3BDE" w14:textId="77777777" w:rsidR="00724034" w:rsidRDefault="00724034">
            <w:pPr>
              <w:jc w:val="right"/>
              <w:rPr>
                <w:rFonts w:ascii="Arial" w:eastAsia="Arial" w:hAnsi="Arial" w:cs="Arial"/>
                <w:color w:val="000000"/>
                <w:sz w:val="16"/>
                <w:vertAlign w:val="superscript"/>
              </w:rPr>
            </w:pPr>
          </w:p>
        </w:tc>
        <w:tc>
          <w:tcPr>
            <w:tcW w:w="975" w:type="dxa"/>
            <w:tcBorders>
              <w:top w:val="nil"/>
              <w:left w:val="nil"/>
              <w:bottom w:val="nil"/>
              <w:right w:val="single" w:sz="6" w:space="0" w:color="000000"/>
              <w:tl2br w:val="nil"/>
              <w:tr2bl w:val="nil"/>
            </w:tcBorders>
            <w:shd w:val="clear" w:color="auto" w:fill="FFFFFF"/>
            <w:tcMar>
              <w:left w:w="115" w:type="dxa"/>
              <w:right w:w="115" w:type="dxa"/>
            </w:tcMar>
            <w:vAlign w:val="bottom"/>
          </w:tcPr>
          <w:p w14:paraId="3CE8913C" w14:textId="77777777" w:rsidR="00724034" w:rsidRDefault="00724034">
            <w:pPr>
              <w:rPr>
                <w:rFonts w:ascii="Arial" w:eastAsia="Arial" w:hAnsi="Arial" w:cs="Arial"/>
                <w:color w:val="000000"/>
                <w:sz w:val="16"/>
                <w:vertAlign w:val="superscript"/>
              </w:rPr>
            </w:pPr>
          </w:p>
        </w:tc>
      </w:tr>
      <w:tr w:rsidR="00724034" w14:paraId="094719EF" w14:textId="77777777">
        <w:tblPrEx>
          <w:tblLook w:val="04A0" w:firstRow="1" w:lastRow="0" w:firstColumn="1" w:lastColumn="0" w:noHBand="0" w:noVBand="1"/>
        </w:tblPrEx>
        <w:trPr>
          <w:trHeight w:val="900"/>
        </w:trPr>
        <w:tc>
          <w:tcPr>
            <w:tcW w:w="3210" w:type="dxa"/>
            <w:tcBorders>
              <w:top w:val="nil"/>
              <w:left w:val="single" w:sz="6" w:space="0" w:color="000000"/>
              <w:bottom w:val="nil"/>
              <w:right w:val="nil"/>
              <w:tl2br w:val="nil"/>
              <w:tr2bl w:val="nil"/>
            </w:tcBorders>
            <w:shd w:val="clear" w:color="auto" w:fill="FFFFFF"/>
            <w:tcMar>
              <w:left w:w="115" w:type="dxa"/>
              <w:right w:w="115" w:type="dxa"/>
            </w:tcMar>
            <w:vAlign w:val="bottom"/>
          </w:tcPr>
          <w:p w14:paraId="63E49B8D" w14:textId="77777777" w:rsidR="00724034" w:rsidRDefault="00FB7D0B">
            <w:pPr>
              <w:rPr>
                <w:rFonts w:ascii="Arial" w:eastAsia="Arial" w:hAnsi="Arial" w:cs="Arial"/>
                <w:color w:val="000000"/>
                <w:sz w:val="16"/>
                <w:vertAlign w:val="superscript"/>
              </w:rPr>
            </w:pPr>
            <w:r>
              <w:rPr>
                <w:rFonts w:ascii="Arial" w:eastAsia="Arial" w:hAnsi="Arial" w:cs="Arial"/>
                <w:color w:val="000000"/>
                <w:sz w:val="16"/>
              </w:rPr>
              <w:t>Percentage of aids and appliances listed may be prescribed by General Practitioners, Registered Nurses and Occupational Therapists</w:t>
            </w:r>
          </w:p>
        </w:tc>
        <w:tc>
          <w:tcPr>
            <w:tcW w:w="975" w:type="dxa"/>
            <w:tcBorders>
              <w:top w:val="nil"/>
              <w:left w:val="nil"/>
              <w:bottom w:val="nil"/>
              <w:right w:val="nil"/>
              <w:tl2br w:val="nil"/>
              <w:tr2bl w:val="nil"/>
            </w:tcBorders>
            <w:shd w:val="clear" w:color="auto" w:fill="FFFFFF"/>
            <w:tcMar>
              <w:left w:w="115" w:type="dxa"/>
              <w:right w:w="115" w:type="dxa"/>
            </w:tcMar>
            <w:vAlign w:val="bottom"/>
          </w:tcPr>
          <w:p w14:paraId="5430512E" w14:textId="77777777" w:rsidR="00724034" w:rsidRDefault="00FB7D0B">
            <w:pPr>
              <w:jc w:val="right"/>
              <w:rPr>
                <w:rFonts w:ascii="Arial" w:eastAsia="Arial" w:hAnsi="Arial" w:cs="Arial"/>
                <w:color w:val="000000"/>
                <w:sz w:val="16"/>
                <w:vertAlign w:val="superscript"/>
              </w:rPr>
            </w:pPr>
            <w:r>
              <w:rPr>
                <w:rFonts w:ascii="Arial" w:eastAsia="Arial" w:hAnsi="Arial" w:cs="Arial"/>
                <w:color w:val="000000"/>
                <w:sz w:val="16"/>
              </w:rPr>
              <w:t>95%</w:t>
            </w:r>
          </w:p>
        </w:tc>
        <w:tc>
          <w:tcPr>
            <w:tcW w:w="975" w:type="dxa"/>
            <w:tcBorders>
              <w:top w:val="nil"/>
              <w:left w:val="nil"/>
              <w:bottom w:val="nil"/>
              <w:right w:val="nil"/>
              <w:tl2br w:val="nil"/>
              <w:tr2bl w:val="nil"/>
            </w:tcBorders>
            <w:shd w:val="clear" w:color="auto" w:fill="FFFF00"/>
            <w:tcMar>
              <w:left w:w="115" w:type="dxa"/>
              <w:right w:w="115" w:type="dxa"/>
            </w:tcMar>
            <w:vAlign w:val="bottom"/>
          </w:tcPr>
          <w:p w14:paraId="5CA72D32" w14:textId="77777777" w:rsidR="00724034" w:rsidRDefault="00FB7D0B">
            <w:pPr>
              <w:jc w:val="right"/>
              <w:rPr>
                <w:rFonts w:ascii="Arial" w:eastAsia="Arial" w:hAnsi="Arial" w:cs="Arial"/>
                <w:color w:val="000000"/>
                <w:sz w:val="16"/>
              </w:rPr>
            </w:pPr>
            <w:r>
              <w:rPr>
                <w:rFonts w:ascii="Arial" w:eastAsia="Arial" w:hAnsi="Arial" w:cs="Arial"/>
                <w:color w:val="000000"/>
                <w:sz w:val="16"/>
              </w:rPr>
              <w:t>95%</w:t>
            </w:r>
          </w:p>
        </w:tc>
        <w:tc>
          <w:tcPr>
            <w:tcW w:w="975" w:type="dxa"/>
            <w:tcBorders>
              <w:top w:val="nil"/>
              <w:left w:val="nil"/>
              <w:bottom w:val="nil"/>
              <w:right w:val="nil"/>
              <w:tl2br w:val="nil"/>
              <w:tr2bl w:val="nil"/>
            </w:tcBorders>
            <w:shd w:val="clear" w:color="auto" w:fill="FFFFFF"/>
            <w:tcMar>
              <w:left w:w="115" w:type="dxa"/>
              <w:right w:w="115" w:type="dxa"/>
            </w:tcMar>
            <w:vAlign w:val="bottom"/>
          </w:tcPr>
          <w:p w14:paraId="147DCF0D" w14:textId="77777777" w:rsidR="00724034" w:rsidRDefault="00FB7D0B">
            <w:pPr>
              <w:jc w:val="right"/>
              <w:rPr>
                <w:rFonts w:ascii="Arial" w:eastAsia="Arial" w:hAnsi="Arial" w:cs="Arial"/>
                <w:color w:val="000000"/>
                <w:sz w:val="16"/>
              </w:rPr>
            </w:pPr>
            <w:r>
              <w:rPr>
                <w:rFonts w:ascii="Arial" w:eastAsia="Arial" w:hAnsi="Arial" w:cs="Arial"/>
                <w:color w:val="000000"/>
                <w:sz w:val="16"/>
              </w:rPr>
              <w:t>95%</w:t>
            </w:r>
          </w:p>
        </w:tc>
        <w:tc>
          <w:tcPr>
            <w:tcW w:w="975" w:type="dxa"/>
            <w:tcBorders>
              <w:top w:val="nil"/>
              <w:left w:val="nil"/>
              <w:bottom w:val="nil"/>
              <w:right w:val="nil"/>
              <w:tl2br w:val="nil"/>
              <w:tr2bl w:val="nil"/>
            </w:tcBorders>
            <w:shd w:val="clear" w:color="auto" w:fill="FFFFFF"/>
            <w:tcMar>
              <w:left w:w="115" w:type="dxa"/>
              <w:right w:w="115" w:type="dxa"/>
            </w:tcMar>
            <w:vAlign w:val="bottom"/>
          </w:tcPr>
          <w:p w14:paraId="397CF12D" w14:textId="77777777" w:rsidR="00724034" w:rsidRDefault="00FB7D0B">
            <w:pPr>
              <w:jc w:val="right"/>
              <w:rPr>
                <w:rFonts w:ascii="Arial" w:eastAsia="Arial" w:hAnsi="Arial" w:cs="Arial"/>
                <w:color w:val="000000"/>
                <w:sz w:val="16"/>
              </w:rPr>
            </w:pPr>
            <w:r>
              <w:rPr>
                <w:rFonts w:ascii="Arial" w:eastAsia="Arial" w:hAnsi="Arial" w:cs="Arial"/>
                <w:color w:val="000000"/>
                <w:sz w:val="16"/>
              </w:rPr>
              <w:t>100%</w:t>
            </w:r>
          </w:p>
        </w:tc>
        <w:tc>
          <w:tcPr>
            <w:tcW w:w="975" w:type="dxa"/>
            <w:tcBorders>
              <w:top w:val="nil"/>
              <w:left w:val="nil"/>
              <w:bottom w:val="nil"/>
              <w:right w:val="single" w:sz="6" w:space="0" w:color="000000"/>
              <w:tl2br w:val="nil"/>
              <w:tr2bl w:val="nil"/>
            </w:tcBorders>
            <w:shd w:val="clear" w:color="auto" w:fill="FFFFFF"/>
            <w:tcMar>
              <w:left w:w="115" w:type="dxa"/>
              <w:right w:w="115" w:type="dxa"/>
            </w:tcMar>
            <w:vAlign w:val="bottom"/>
          </w:tcPr>
          <w:p w14:paraId="093D21D2" w14:textId="77777777" w:rsidR="00724034" w:rsidRDefault="00FB7D0B">
            <w:pPr>
              <w:jc w:val="right"/>
              <w:rPr>
                <w:rFonts w:ascii="Arial" w:eastAsia="Arial" w:hAnsi="Arial" w:cs="Arial"/>
                <w:color w:val="000000"/>
                <w:sz w:val="16"/>
              </w:rPr>
            </w:pPr>
            <w:r>
              <w:rPr>
                <w:rFonts w:ascii="Arial" w:eastAsia="Arial" w:hAnsi="Arial" w:cs="Arial"/>
                <w:color w:val="000000"/>
                <w:sz w:val="16"/>
              </w:rPr>
              <w:t>100%</w:t>
            </w:r>
          </w:p>
        </w:tc>
      </w:tr>
      <w:tr w:rsidR="00724034" w14:paraId="4A3B42B6" w14:textId="77777777">
        <w:tblPrEx>
          <w:tblLook w:val="04A0" w:firstRow="1" w:lastRow="0" w:firstColumn="1" w:lastColumn="0" w:noHBand="0" w:noVBand="1"/>
        </w:tblPrEx>
        <w:trPr>
          <w:trHeight w:val="30"/>
        </w:trPr>
        <w:tc>
          <w:tcPr>
            <w:tcW w:w="3210" w:type="dxa"/>
            <w:tcBorders>
              <w:top w:val="nil"/>
              <w:left w:val="single" w:sz="6" w:space="0" w:color="000000"/>
              <w:bottom w:val="nil"/>
              <w:right w:val="nil"/>
              <w:tl2br w:val="nil"/>
              <w:tr2bl w:val="nil"/>
            </w:tcBorders>
            <w:shd w:val="clear" w:color="auto" w:fill="FFFFFF"/>
            <w:tcMar>
              <w:left w:w="115" w:type="dxa"/>
              <w:right w:w="115" w:type="dxa"/>
            </w:tcMar>
            <w:vAlign w:val="bottom"/>
          </w:tcPr>
          <w:p w14:paraId="07BA927C" w14:textId="77777777" w:rsidR="00724034" w:rsidRDefault="00724034">
            <w:pPr>
              <w:rPr>
                <w:rFonts w:ascii="Arial" w:eastAsia="Arial" w:hAnsi="Arial" w:cs="Arial"/>
                <w:color w:val="000000"/>
                <w:sz w:val="16"/>
              </w:rPr>
            </w:pPr>
          </w:p>
        </w:tc>
        <w:tc>
          <w:tcPr>
            <w:tcW w:w="975" w:type="dxa"/>
            <w:tcBorders>
              <w:top w:val="nil"/>
              <w:left w:val="nil"/>
              <w:bottom w:val="nil"/>
              <w:right w:val="nil"/>
              <w:tl2br w:val="nil"/>
              <w:tr2bl w:val="nil"/>
            </w:tcBorders>
            <w:shd w:val="clear" w:color="auto" w:fill="FFFFFF"/>
            <w:tcMar>
              <w:left w:w="115" w:type="dxa"/>
              <w:right w:w="115" w:type="dxa"/>
            </w:tcMar>
            <w:vAlign w:val="bottom"/>
          </w:tcPr>
          <w:p w14:paraId="1B925C6A" w14:textId="77777777" w:rsidR="00724034" w:rsidRDefault="00724034">
            <w:pPr>
              <w:jc w:val="right"/>
              <w:rPr>
                <w:rFonts w:ascii="Arial" w:eastAsia="Arial" w:hAnsi="Arial" w:cs="Arial"/>
                <w:color w:val="000000"/>
                <w:sz w:val="16"/>
                <w:vertAlign w:val="superscript"/>
              </w:rPr>
            </w:pPr>
          </w:p>
        </w:tc>
        <w:tc>
          <w:tcPr>
            <w:tcW w:w="975" w:type="dxa"/>
            <w:tcBorders>
              <w:top w:val="nil"/>
              <w:left w:val="nil"/>
              <w:bottom w:val="nil"/>
              <w:right w:val="nil"/>
              <w:tl2br w:val="nil"/>
              <w:tr2bl w:val="nil"/>
            </w:tcBorders>
            <w:shd w:val="clear" w:color="auto" w:fill="FFFF00"/>
            <w:tcMar>
              <w:left w:w="115" w:type="dxa"/>
              <w:right w:w="115" w:type="dxa"/>
            </w:tcMar>
            <w:vAlign w:val="bottom"/>
          </w:tcPr>
          <w:p w14:paraId="58F01F48" w14:textId="77777777" w:rsidR="00724034" w:rsidRDefault="00724034">
            <w:pPr>
              <w:jc w:val="right"/>
              <w:rPr>
                <w:rFonts w:ascii="Arial" w:eastAsia="Arial" w:hAnsi="Arial" w:cs="Arial"/>
                <w:color w:val="000000"/>
                <w:sz w:val="16"/>
                <w:vertAlign w:val="superscript"/>
              </w:rPr>
            </w:pPr>
          </w:p>
        </w:tc>
        <w:tc>
          <w:tcPr>
            <w:tcW w:w="975" w:type="dxa"/>
            <w:tcBorders>
              <w:top w:val="nil"/>
              <w:left w:val="nil"/>
              <w:bottom w:val="nil"/>
              <w:right w:val="nil"/>
              <w:tl2br w:val="nil"/>
              <w:tr2bl w:val="nil"/>
            </w:tcBorders>
            <w:shd w:val="clear" w:color="auto" w:fill="FFFFFF"/>
            <w:tcMar>
              <w:left w:w="115" w:type="dxa"/>
              <w:right w:w="115" w:type="dxa"/>
            </w:tcMar>
            <w:vAlign w:val="bottom"/>
          </w:tcPr>
          <w:p w14:paraId="0EECDFA8" w14:textId="77777777" w:rsidR="00724034" w:rsidRDefault="00724034">
            <w:pPr>
              <w:jc w:val="right"/>
              <w:rPr>
                <w:rFonts w:ascii="Arial" w:eastAsia="Arial" w:hAnsi="Arial" w:cs="Arial"/>
                <w:color w:val="000000"/>
                <w:sz w:val="16"/>
                <w:vertAlign w:val="superscript"/>
              </w:rPr>
            </w:pPr>
          </w:p>
        </w:tc>
        <w:tc>
          <w:tcPr>
            <w:tcW w:w="975" w:type="dxa"/>
            <w:tcBorders>
              <w:top w:val="nil"/>
              <w:left w:val="nil"/>
              <w:bottom w:val="nil"/>
              <w:right w:val="nil"/>
              <w:tl2br w:val="nil"/>
              <w:tr2bl w:val="nil"/>
            </w:tcBorders>
            <w:shd w:val="clear" w:color="auto" w:fill="FFFFFF"/>
            <w:tcMar>
              <w:left w:w="115" w:type="dxa"/>
              <w:right w:w="115" w:type="dxa"/>
            </w:tcMar>
            <w:vAlign w:val="bottom"/>
          </w:tcPr>
          <w:p w14:paraId="304CE2FC" w14:textId="77777777" w:rsidR="00724034" w:rsidRDefault="00724034">
            <w:pPr>
              <w:jc w:val="right"/>
              <w:rPr>
                <w:rFonts w:ascii="Arial" w:eastAsia="Arial" w:hAnsi="Arial" w:cs="Arial"/>
                <w:color w:val="000000"/>
                <w:sz w:val="16"/>
                <w:vertAlign w:val="superscript"/>
              </w:rPr>
            </w:pPr>
          </w:p>
        </w:tc>
        <w:tc>
          <w:tcPr>
            <w:tcW w:w="975" w:type="dxa"/>
            <w:tcBorders>
              <w:top w:val="nil"/>
              <w:left w:val="nil"/>
              <w:bottom w:val="nil"/>
              <w:right w:val="single" w:sz="6" w:space="0" w:color="000000"/>
              <w:tl2br w:val="nil"/>
              <w:tr2bl w:val="nil"/>
            </w:tcBorders>
            <w:shd w:val="clear" w:color="auto" w:fill="FFFFFF"/>
            <w:tcMar>
              <w:left w:w="115" w:type="dxa"/>
              <w:right w:w="115" w:type="dxa"/>
            </w:tcMar>
            <w:vAlign w:val="bottom"/>
          </w:tcPr>
          <w:p w14:paraId="10ACA4CF" w14:textId="77777777" w:rsidR="00724034" w:rsidRDefault="00724034">
            <w:pPr>
              <w:rPr>
                <w:rFonts w:ascii="Arial" w:eastAsia="Arial" w:hAnsi="Arial" w:cs="Arial"/>
                <w:color w:val="000000"/>
                <w:sz w:val="16"/>
                <w:vertAlign w:val="superscript"/>
              </w:rPr>
            </w:pPr>
          </w:p>
        </w:tc>
      </w:tr>
      <w:tr w:rsidR="00724034" w14:paraId="49D203D3" w14:textId="77777777">
        <w:tblPrEx>
          <w:tblLook w:val="04A0" w:firstRow="1" w:lastRow="0" w:firstColumn="1" w:lastColumn="0" w:noHBand="0" w:noVBand="1"/>
        </w:tblPrEx>
        <w:trPr>
          <w:trHeight w:val="225"/>
        </w:trPr>
        <w:tc>
          <w:tcPr>
            <w:tcW w:w="3210" w:type="dxa"/>
            <w:tcBorders>
              <w:top w:val="nil"/>
              <w:left w:val="single" w:sz="6" w:space="0" w:color="000000"/>
              <w:bottom w:val="nil"/>
              <w:right w:val="nil"/>
              <w:tl2br w:val="nil"/>
              <w:tr2bl w:val="nil"/>
            </w:tcBorders>
            <w:shd w:val="clear" w:color="auto" w:fill="FFFFFF"/>
            <w:tcMar>
              <w:left w:w="115" w:type="dxa"/>
              <w:right w:w="115" w:type="dxa"/>
            </w:tcMar>
            <w:vAlign w:val="bottom"/>
          </w:tcPr>
          <w:p w14:paraId="5E7B0BB8" w14:textId="77777777" w:rsidR="00724034" w:rsidRDefault="00FB7D0B">
            <w:pPr>
              <w:rPr>
                <w:rFonts w:ascii="Arial" w:eastAsia="Arial" w:hAnsi="Arial" w:cs="Arial"/>
                <w:color w:val="000000"/>
                <w:sz w:val="16"/>
                <w:vertAlign w:val="superscript"/>
              </w:rPr>
            </w:pPr>
            <w:r>
              <w:rPr>
                <w:rFonts w:ascii="Arial" w:eastAsia="Arial" w:hAnsi="Arial" w:cs="Arial"/>
                <w:b/>
                <w:i/>
                <w:color w:val="000000"/>
                <w:sz w:val="16"/>
              </w:rPr>
              <w:t>Veteran Counselling:</w:t>
            </w:r>
          </w:p>
        </w:tc>
        <w:tc>
          <w:tcPr>
            <w:tcW w:w="975" w:type="dxa"/>
            <w:tcBorders>
              <w:top w:val="nil"/>
              <w:left w:val="nil"/>
              <w:bottom w:val="nil"/>
              <w:right w:val="nil"/>
              <w:tl2br w:val="nil"/>
              <w:tr2bl w:val="nil"/>
            </w:tcBorders>
            <w:shd w:val="clear" w:color="auto" w:fill="FFFFFF"/>
            <w:tcMar>
              <w:left w:w="115" w:type="dxa"/>
              <w:right w:w="115" w:type="dxa"/>
            </w:tcMar>
            <w:vAlign w:val="bottom"/>
          </w:tcPr>
          <w:p w14:paraId="317D7640" w14:textId="77777777" w:rsidR="00724034" w:rsidRDefault="00724034">
            <w:pPr>
              <w:jc w:val="right"/>
              <w:rPr>
                <w:rFonts w:ascii="Arial" w:eastAsia="Arial" w:hAnsi="Arial" w:cs="Arial"/>
                <w:b/>
                <w:i/>
                <w:color w:val="000000"/>
                <w:sz w:val="16"/>
                <w:vertAlign w:val="superscript"/>
              </w:rPr>
            </w:pPr>
          </w:p>
        </w:tc>
        <w:tc>
          <w:tcPr>
            <w:tcW w:w="975" w:type="dxa"/>
            <w:tcBorders>
              <w:top w:val="nil"/>
              <w:left w:val="nil"/>
              <w:bottom w:val="nil"/>
              <w:right w:val="nil"/>
              <w:tl2br w:val="nil"/>
              <w:tr2bl w:val="nil"/>
            </w:tcBorders>
            <w:shd w:val="clear" w:color="auto" w:fill="FFFF00"/>
            <w:tcMar>
              <w:left w:w="115" w:type="dxa"/>
              <w:right w:w="115" w:type="dxa"/>
            </w:tcMar>
            <w:vAlign w:val="bottom"/>
          </w:tcPr>
          <w:p w14:paraId="352E3803" w14:textId="77777777" w:rsidR="00724034" w:rsidRDefault="00724034">
            <w:pPr>
              <w:jc w:val="right"/>
              <w:rPr>
                <w:rFonts w:ascii="Arial" w:eastAsia="Arial" w:hAnsi="Arial" w:cs="Arial"/>
                <w:color w:val="000000"/>
                <w:sz w:val="16"/>
                <w:vertAlign w:val="superscript"/>
              </w:rPr>
            </w:pPr>
          </w:p>
        </w:tc>
        <w:tc>
          <w:tcPr>
            <w:tcW w:w="975" w:type="dxa"/>
            <w:tcBorders>
              <w:top w:val="nil"/>
              <w:left w:val="nil"/>
              <w:bottom w:val="nil"/>
              <w:right w:val="nil"/>
              <w:tl2br w:val="nil"/>
              <w:tr2bl w:val="nil"/>
            </w:tcBorders>
            <w:shd w:val="clear" w:color="auto" w:fill="FFFFFF"/>
            <w:tcMar>
              <w:left w:w="115" w:type="dxa"/>
              <w:right w:w="115" w:type="dxa"/>
            </w:tcMar>
            <w:vAlign w:val="bottom"/>
          </w:tcPr>
          <w:p w14:paraId="49279EDC" w14:textId="77777777" w:rsidR="00724034" w:rsidRDefault="00724034">
            <w:pPr>
              <w:jc w:val="right"/>
              <w:rPr>
                <w:rFonts w:ascii="Arial" w:eastAsia="Arial" w:hAnsi="Arial" w:cs="Arial"/>
                <w:color w:val="000000"/>
                <w:sz w:val="16"/>
                <w:vertAlign w:val="superscript"/>
              </w:rPr>
            </w:pPr>
          </w:p>
        </w:tc>
        <w:tc>
          <w:tcPr>
            <w:tcW w:w="975" w:type="dxa"/>
            <w:tcBorders>
              <w:top w:val="nil"/>
              <w:left w:val="nil"/>
              <w:bottom w:val="nil"/>
              <w:right w:val="nil"/>
              <w:tl2br w:val="nil"/>
              <w:tr2bl w:val="nil"/>
            </w:tcBorders>
            <w:shd w:val="clear" w:color="auto" w:fill="FFFFFF"/>
            <w:tcMar>
              <w:left w:w="115" w:type="dxa"/>
              <w:right w:w="115" w:type="dxa"/>
            </w:tcMar>
            <w:vAlign w:val="bottom"/>
          </w:tcPr>
          <w:p w14:paraId="10063A9D" w14:textId="77777777" w:rsidR="00724034" w:rsidRDefault="00724034">
            <w:pPr>
              <w:jc w:val="right"/>
              <w:rPr>
                <w:rFonts w:ascii="Arial" w:eastAsia="Arial" w:hAnsi="Arial" w:cs="Arial"/>
                <w:color w:val="000000"/>
                <w:sz w:val="16"/>
                <w:vertAlign w:val="superscript"/>
              </w:rPr>
            </w:pPr>
          </w:p>
        </w:tc>
        <w:tc>
          <w:tcPr>
            <w:tcW w:w="975" w:type="dxa"/>
            <w:tcBorders>
              <w:top w:val="nil"/>
              <w:left w:val="nil"/>
              <w:bottom w:val="nil"/>
              <w:right w:val="single" w:sz="6" w:space="0" w:color="000000"/>
              <w:tl2br w:val="nil"/>
              <w:tr2bl w:val="nil"/>
            </w:tcBorders>
            <w:shd w:val="clear" w:color="auto" w:fill="FFFFFF"/>
            <w:tcMar>
              <w:left w:w="115" w:type="dxa"/>
              <w:right w:w="115" w:type="dxa"/>
            </w:tcMar>
            <w:vAlign w:val="bottom"/>
          </w:tcPr>
          <w:p w14:paraId="5A034099" w14:textId="77777777" w:rsidR="00724034" w:rsidRDefault="00724034">
            <w:pPr>
              <w:rPr>
                <w:rFonts w:ascii="Arial" w:eastAsia="Arial" w:hAnsi="Arial" w:cs="Arial"/>
                <w:color w:val="000000"/>
                <w:sz w:val="16"/>
                <w:vertAlign w:val="superscript"/>
              </w:rPr>
            </w:pPr>
          </w:p>
        </w:tc>
      </w:tr>
      <w:tr w:rsidR="00724034" w14:paraId="15CDFAB8" w14:textId="77777777">
        <w:tblPrEx>
          <w:tblLook w:val="04A0" w:firstRow="1" w:lastRow="0" w:firstColumn="1" w:lastColumn="0" w:noHBand="0" w:noVBand="1"/>
        </w:tblPrEx>
        <w:trPr>
          <w:trHeight w:val="900"/>
        </w:trPr>
        <w:tc>
          <w:tcPr>
            <w:tcW w:w="3210" w:type="dxa"/>
            <w:tcBorders>
              <w:top w:val="nil"/>
              <w:left w:val="single" w:sz="6" w:space="0" w:color="000000"/>
              <w:bottom w:val="nil"/>
              <w:right w:val="nil"/>
              <w:tl2br w:val="nil"/>
              <w:tr2bl w:val="nil"/>
            </w:tcBorders>
            <w:shd w:val="clear" w:color="auto" w:fill="FFFFFF"/>
            <w:tcMar>
              <w:left w:w="115" w:type="dxa"/>
              <w:right w:w="115" w:type="dxa"/>
            </w:tcMar>
            <w:vAlign w:val="bottom"/>
          </w:tcPr>
          <w:p w14:paraId="18E9921E" w14:textId="77777777" w:rsidR="00724034" w:rsidRDefault="00FB7D0B">
            <w:pPr>
              <w:rPr>
                <w:rFonts w:ascii="Arial" w:eastAsia="Arial" w:hAnsi="Arial" w:cs="Arial"/>
                <w:color w:val="000000"/>
                <w:sz w:val="16"/>
                <w:vertAlign w:val="superscript"/>
              </w:rPr>
            </w:pPr>
            <w:r>
              <w:rPr>
                <w:rFonts w:ascii="Arial" w:eastAsia="Arial" w:hAnsi="Arial" w:cs="Arial"/>
                <w:color w:val="000000"/>
                <w:sz w:val="16"/>
              </w:rPr>
              <w:t>Percentage of unique clients presenting for service who receive attention by a Outreach contracted Counsellor within two weeks of intake.</w:t>
            </w:r>
          </w:p>
        </w:tc>
        <w:tc>
          <w:tcPr>
            <w:tcW w:w="975" w:type="dxa"/>
            <w:tcBorders>
              <w:top w:val="nil"/>
              <w:left w:val="nil"/>
              <w:bottom w:val="nil"/>
              <w:right w:val="nil"/>
              <w:tl2br w:val="nil"/>
              <w:tr2bl w:val="nil"/>
            </w:tcBorders>
            <w:shd w:val="clear" w:color="auto" w:fill="FFFFFF"/>
            <w:tcMar>
              <w:left w:w="115" w:type="dxa"/>
              <w:right w:w="115" w:type="dxa"/>
            </w:tcMar>
            <w:vAlign w:val="bottom"/>
          </w:tcPr>
          <w:p w14:paraId="539741EB" w14:textId="77777777" w:rsidR="00724034" w:rsidRDefault="00FB7D0B">
            <w:pPr>
              <w:jc w:val="right"/>
              <w:rPr>
                <w:rFonts w:ascii="Arial" w:eastAsia="Arial" w:hAnsi="Arial" w:cs="Arial"/>
                <w:color w:val="000000"/>
                <w:sz w:val="16"/>
                <w:vertAlign w:val="superscript"/>
              </w:rPr>
            </w:pPr>
            <w:r>
              <w:rPr>
                <w:rFonts w:ascii="Arial" w:eastAsia="Arial" w:hAnsi="Arial" w:cs="Arial"/>
                <w:color w:val="000000"/>
                <w:sz w:val="16"/>
              </w:rPr>
              <w:t>63%</w:t>
            </w:r>
          </w:p>
        </w:tc>
        <w:tc>
          <w:tcPr>
            <w:tcW w:w="975" w:type="dxa"/>
            <w:tcBorders>
              <w:top w:val="nil"/>
              <w:left w:val="nil"/>
              <w:bottom w:val="nil"/>
              <w:right w:val="nil"/>
              <w:tl2br w:val="nil"/>
              <w:tr2bl w:val="nil"/>
            </w:tcBorders>
            <w:shd w:val="clear" w:color="auto" w:fill="FFFF00"/>
            <w:tcMar>
              <w:left w:w="115" w:type="dxa"/>
              <w:right w:w="115" w:type="dxa"/>
            </w:tcMar>
            <w:vAlign w:val="bottom"/>
          </w:tcPr>
          <w:p w14:paraId="6CC8B6F9" w14:textId="77777777" w:rsidR="00724034" w:rsidRDefault="00FB7D0B">
            <w:pPr>
              <w:jc w:val="right"/>
              <w:rPr>
                <w:rFonts w:ascii="Arial" w:eastAsia="Arial" w:hAnsi="Arial" w:cs="Arial"/>
                <w:color w:val="000000"/>
                <w:sz w:val="16"/>
              </w:rPr>
            </w:pPr>
            <w:r>
              <w:rPr>
                <w:rFonts w:ascii="Arial" w:eastAsia="Arial" w:hAnsi="Arial" w:cs="Arial"/>
                <w:color w:val="000000"/>
                <w:sz w:val="16"/>
              </w:rPr>
              <w:t>64%</w:t>
            </w:r>
          </w:p>
        </w:tc>
        <w:tc>
          <w:tcPr>
            <w:tcW w:w="975" w:type="dxa"/>
            <w:tcBorders>
              <w:top w:val="nil"/>
              <w:left w:val="nil"/>
              <w:bottom w:val="nil"/>
              <w:right w:val="nil"/>
              <w:tl2br w:val="nil"/>
              <w:tr2bl w:val="nil"/>
            </w:tcBorders>
            <w:shd w:val="clear" w:color="auto" w:fill="FFFFFF"/>
            <w:tcMar>
              <w:left w:w="115" w:type="dxa"/>
              <w:right w:w="115" w:type="dxa"/>
            </w:tcMar>
            <w:vAlign w:val="bottom"/>
          </w:tcPr>
          <w:p w14:paraId="6B207028" w14:textId="77777777" w:rsidR="00724034" w:rsidRDefault="00FB7D0B">
            <w:pPr>
              <w:jc w:val="right"/>
              <w:rPr>
                <w:rFonts w:ascii="Arial" w:eastAsia="Arial" w:hAnsi="Arial" w:cs="Arial"/>
                <w:color w:val="000000"/>
                <w:sz w:val="16"/>
              </w:rPr>
            </w:pPr>
            <w:r>
              <w:rPr>
                <w:rFonts w:ascii="Arial" w:eastAsia="Arial" w:hAnsi="Arial" w:cs="Arial"/>
                <w:color w:val="000000"/>
                <w:sz w:val="16"/>
              </w:rPr>
              <w:t>65%</w:t>
            </w:r>
          </w:p>
        </w:tc>
        <w:tc>
          <w:tcPr>
            <w:tcW w:w="975" w:type="dxa"/>
            <w:tcBorders>
              <w:top w:val="nil"/>
              <w:left w:val="nil"/>
              <w:bottom w:val="nil"/>
              <w:right w:val="nil"/>
              <w:tl2br w:val="nil"/>
              <w:tr2bl w:val="nil"/>
            </w:tcBorders>
            <w:shd w:val="clear" w:color="auto" w:fill="FFFFFF"/>
            <w:tcMar>
              <w:left w:w="115" w:type="dxa"/>
              <w:right w:w="115" w:type="dxa"/>
            </w:tcMar>
            <w:vAlign w:val="bottom"/>
          </w:tcPr>
          <w:p w14:paraId="567B988E" w14:textId="77777777" w:rsidR="00724034" w:rsidRDefault="00FB7D0B">
            <w:pPr>
              <w:jc w:val="right"/>
              <w:rPr>
                <w:rFonts w:ascii="Arial" w:eastAsia="Arial" w:hAnsi="Arial" w:cs="Arial"/>
                <w:color w:val="000000"/>
                <w:sz w:val="16"/>
              </w:rPr>
            </w:pPr>
            <w:r>
              <w:rPr>
                <w:rFonts w:ascii="Arial" w:eastAsia="Arial" w:hAnsi="Arial" w:cs="Arial"/>
                <w:color w:val="000000"/>
                <w:sz w:val="16"/>
              </w:rPr>
              <w:t>65%</w:t>
            </w:r>
          </w:p>
        </w:tc>
        <w:tc>
          <w:tcPr>
            <w:tcW w:w="975" w:type="dxa"/>
            <w:tcBorders>
              <w:top w:val="nil"/>
              <w:left w:val="nil"/>
              <w:bottom w:val="nil"/>
              <w:right w:val="single" w:sz="6" w:space="0" w:color="000000"/>
              <w:tl2br w:val="nil"/>
              <w:tr2bl w:val="nil"/>
            </w:tcBorders>
            <w:shd w:val="clear" w:color="auto" w:fill="FFFFFF"/>
            <w:tcMar>
              <w:left w:w="115" w:type="dxa"/>
              <w:right w:w="115" w:type="dxa"/>
            </w:tcMar>
            <w:vAlign w:val="bottom"/>
          </w:tcPr>
          <w:p w14:paraId="5E985A53" w14:textId="77777777" w:rsidR="00724034" w:rsidRDefault="00FB7D0B">
            <w:pPr>
              <w:jc w:val="right"/>
              <w:rPr>
                <w:rFonts w:ascii="Arial" w:eastAsia="Arial" w:hAnsi="Arial" w:cs="Arial"/>
                <w:color w:val="000000"/>
                <w:sz w:val="16"/>
              </w:rPr>
            </w:pPr>
            <w:r>
              <w:rPr>
                <w:rFonts w:ascii="Arial" w:eastAsia="Arial" w:hAnsi="Arial" w:cs="Arial"/>
                <w:color w:val="000000"/>
                <w:sz w:val="16"/>
              </w:rPr>
              <w:t>65%</w:t>
            </w:r>
          </w:p>
        </w:tc>
      </w:tr>
      <w:tr w:rsidR="00724034" w14:paraId="658EBF8C" w14:textId="77777777">
        <w:tblPrEx>
          <w:tblLook w:val="04A0" w:firstRow="1" w:lastRow="0" w:firstColumn="1" w:lastColumn="0" w:noHBand="0" w:noVBand="1"/>
        </w:tblPrEx>
        <w:trPr>
          <w:trHeight w:val="30"/>
        </w:trPr>
        <w:tc>
          <w:tcPr>
            <w:tcW w:w="3210" w:type="dxa"/>
            <w:tcBorders>
              <w:top w:val="nil"/>
              <w:left w:val="single" w:sz="6" w:space="0" w:color="000000"/>
              <w:bottom w:val="nil"/>
              <w:right w:val="nil"/>
              <w:tl2br w:val="nil"/>
              <w:tr2bl w:val="nil"/>
            </w:tcBorders>
            <w:shd w:val="clear" w:color="auto" w:fill="FFFFFF"/>
            <w:tcMar>
              <w:left w:w="115" w:type="dxa"/>
              <w:right w:w="115" w:type="dxa"/>
            </w:tcMar>
            <w:vAlign w:val="bottom"/>
          </w:tcPr>
          <w:p w14:paraId="1A183325" w14:textId="77777777" w:rsidR="00724034" w:rsidRDefault="00724034">
            <w:pPr>
              <w:rPr>
                <w:rFonts w:ascii="Arial" w:eastAsia="Arial" w:hAnsi="Arial" w:cs="Arial"/>
                <w:color w:val="000000"/>
                <w:sz w:val="16"/>
              </w:rPr>
            </w:pPr>
          </w:p>
        </w:tc>
        <w:tc>
          <w:tcPr>
            <w:tcW w:w="975" w:type="dxa"/>
            <w:tcBorders>
              <w:top w:val="nil"/>
              <w:left w:val="nil"/>
              <w:bottom w:val="nil"/>
              <w:right w:val="nil"/>
              <w:tl2br w:val="nil"/>
              <w:tr2bl w:val="nil"/>
            </w:tcBorders>
            <w:shd w:val="clear" w:color="auto" w:fill="FFFFFF"/>
            <w:tcMar>
              <w:left w:w="115" w:type="dxa"/>
              <w:right w:w="115" w:type="dxa"/>
            </w:tcMar>
            <w:vAlign w:val="bottom"/>
          </w:tcPr>
          <w:p w14:paraId="2D6EE52A" w14:textId="77777777" w:rsidR="00724034" w:rsidRDefault="00724034">
            <w:pPr>
              <w:jc w:val="right"/>
              <w:rPr>
                <w:rFonts w:ascii="Arial" w:eastAsia="Arial" w:hAnsi="Arial" w:cs="Arial"/>
                <w:color w:val="000000"/>
                <w:sz w:val="16"/>
                <w:vertAlign w:val="superscript"/>
              </w:rPr>
            </w:pPr>
          </w:p>
        </w:tc>
        <w:tc>
          <w:tcPr>
            <w:tcW w:w="975" w:type="dxa"/>
            <w:tcBorders>
              <w:top w:val="nil"/>
              <w:left w:val="nil"/>
              <w:bottom w:val="nil"/>
              <w:right w:val="nil"/>
              <w:tl2br w:val="nil"/>
              <w:tr2bl w:val="nil"/>
            </w:tcBorders>
            <w:shd w:val="clear" w:color="auto" w:fill="FFFF00"/>
            <w:tcMar>
              <w:left w:w="115" w:type="dxa"/>
              <w:right w:w="115" w:type="dxa"/>
            </w:tcMar>
            <w:vAlign w:val="bottom"/>
          </w:tcPr>
          <w:p w14:paraId="125A441E" w14:textId="77777777" w:rsidR="00724034" w:rsidRDefault="00724034">
            <w:pPr>
              <w:jc w:val="right"/>
              <w:rPr>
                <w:rFonts w:ascii="Arial" w:eastAsia="Arial" w:hAnsi="Arial" w:cs="Arial"/>
                <w:color w:val="000000"/>
                <w:sz w:val="16"/>
                <w:vertAlign w:val="superscript"/>
              </w:rPr>
            </w:pPr>
          </w:p>
        </w:tc>
        <w:tc>
          <w:tcPr>
            <w:tcW w:w="975" w:type="dxa"/>
            <w:tcBorders>
              <w:top w:val="nil"/>
              <w:left w:val="nil"/>
              <w:bottom w:val="nil"/>
              <w:right w:val="nil"/>
              <w:tl2br w:val="nil"/>
              <w:tr2bl w:val="nil"/>
            </w:tcBorders>
            <w:shd w:val="clear" w:color="auto" w:fill="FFFFFF"/>
            <w:tcMar>
              <w:left w:w="115" w:type="dxa"/>
              <w:right w:w="115" w:type="dxa"/>
            </w:tcMar>
            <w:vAlign w:val="bottom"/>
          </w:tcPr>
          <w:p w14:paraId="2BF3EDCB" w14:textId="77777777" w:rsidR="00724034" w:rsidRDefault="00724034">
            <w:pPr>
              <w:jc w:val="right"/>
              <w:rPr>
                <w:rFonts w:ascii="Arial" w:eastAsia="Arial" w:hAnsi="Arial" w:cs="Arial"/>
                <w:color w:val="000000"/>
                <w:sz w:val="16"/>
                <w:vertAlign w:val="superscript"/>
              </w:rPr>
            </w:pPr>
          </w:p>
        </w:tc>
        <w:tc>
          <w:tcPr>
            <w:tcW w:w="975" w:type="dxa"/>
            <w:tcBorders>
              <w:top w:val="nil"/>
              <w:left w:val="nil"/>
              <w:bottom w:val="nil"/>
              <w:right w:val="nil"/>
              <w:tl2br w:val="nil"/>
              <w:tr2bl w:val="nil"/>
            </w:tcBorders>
            <w:shd w:val="clear" w:color="auto" w:fill="FFFFFF"/>
            <w:tcMar>
              <w:left w:w="115" w:type="dxa"/>
              <w:right w:w="115" w:type="dxa"/>
            </w:tcMar>
            <w:vAlign w:val="bottom"/>
          </w:tcPr>
          <w:p w14:paraId="47F655BE" w14:textId="77777777" w:rsidR="00724034" w:rsidRDefault="00724034">
            <w:pPr>
              <w:jc w:val="right"/>
              <w:rPr>
                <w:rFonts w:ascii="Arial" w:eastAsia="Arial" w:hAnsi="Arial" w:cs="Arial"/>
                <w:color w:val="000000"/>
                <w:sz w:val="16"/>
                <w:vertAlign w:val="superscript"/>
              </w:rPr>
            </w:pPr>
          </w:p>
        </w:tc>
        <w:tc>
          <w:tcPr>
            <w:tcW w:w="975" w:type="dxa"/>
            <w:tcBorders>
              <w:top w:val="nil"/>
              <w:left w:val="nil"/>
              <w:bottom w:val="nil"/>
              <w:right w:val="single" w:sz="6" w:space="0" w:color="000000"/>
              <w:tl2br w:val="nil"/>
              <w:tr2bl w:val="nil"/>
            </w:tcBorders>
            <w:shd w:val="clear" w:color="auto" w:fill="FFFFFF"/>
            <w:tcMar>
              <w:left w:w="115" w:type="dxa"/>
              <w:right w:w="115" w:type="dxa"/>
            </w:tcMar>
            <w:vAlign w:val="bottom"/>
          </w:tcPr>
          <w:p w14:paraId="5044416C" w14:textId="77777777" w:rsidR="00724034" w:rsidRDefault="00724034">
            <w:pPr>
              <w:rPr>
                <w:rFonts w:ascii="Arial" w:eastAsia="Arial" w:hAnsi="Arial" w:cs="Arial"/>
                <w:color w:val="000000"/>
                <w:sz w:val="16"/>
                <w:vertAlign w:val="superscript"/>
              </w:rPr>
            </w:pPr>
          </w:p>
        </w:tc>
      </w:tr>
      <w:tr w:rsidR="00724034" w14:paraId="793553D1" w14:textId="77777777">
        <w:tblPrEx>
          <w:tblLook w:val="04A0" w:firstRow="1" w:lastRow="0" w:firstColumn="1" w:lastColumn="0" w:noHBand="0" w:noVBand="1"/>
        </w:tblPrEx>
        <w:trPr>
          <w:trHeight w:val="900"/>
        </w:trPr>
        <w:tc>
          <w:tcPr>
            <w:tcW w:w="3210" w:type="dxa"/>
            <w:tcBorders>
              <w:top w:val="nil"/>
              <w:left w:val="single" w:sz="6" w:space="0" w:color="000000"/>
              <w:bottom w:val="nil"/>
              <w:right w:val="nil"/>
              <w:tl2br w:val="nil"/>
              <w:tr2bl w:val="nil"/>
            </w:tcBorders>
            <w:shd w:val="clear" w:color="auto" w:fill="FFFFFF"/>
            <w:tcMar>
              <w:left w:w="115" w:type="dxa"/>
              <w:right w:w="115" w:type="dxa"/>
            </w:tcMar>
            <w:vAlign w:val="bottom"/>
          </w:tcPr>
          <w:p w14:paraId="30574C9B" w14:textId="77777777" w:rsidR="00724034" w:rsidRDefault="00FB7D0B">
            <w:pPr>
              <w:rPr>
                <w:rFonts w:ascii="Arial" w:eastAsia="Arial" w:hAnsi="Arial" w:cs="Arial"/>
                <w:color w:val="000000"/>
                <w:sz w:val="16"/>
                <w:vertAlign w:val="superscript"/>
              </w:rPr>
            </w:pPr>
            <w:r>
              <w:rPr>
                <w:rFonts w:ascii="Arial" w:eastAsia="Arial" w:hAnsi="Arial" w:cs="Arial"/>
                <w:color w:val="000000"/>
                <w:sz w:val="16"/>
              </w:rPr>
              <w:t>Centre based Counselling. Percentage of unique clients presenting for service who receive attention by a Centre based Counsellor within two weeks of intake.</w:t>
            </w:r>
          </w:p>
        </w:tc>
        <w:tc>
          <w:tcPr>
            <w:tcW w:w="975" w:type="dxa"/>
            <w:tcBorders>
              <w:top w:val="nil"/>
              <w:left w:val="nil"/>
              <w:bottom w:val="nil"/>
              <w:right w:val="nil"/>
              <w:tl2br w:val="nil"/>
              <w:tr2bl w:val="nil"/>
            </w:tcBorders>
            <w:shd w:val="clear" w:color="auto" w:fill="FFFFFF"/>
            <w:tcMar>
              <w:left w:w="115" w:type="dxa"/>
              <w:right w:w="115" w:type="dxa"/>
            </w:tcMar>
            <w:vAlign w:val="bottom"/>
          </w:tcPr>
          <w:p w14:paraId="20229B9F" w14:textId="77777777" w:rsidR="00724034" w:rsidRDefault="00FB7D0B">
            <w:pPr>
              <w:jc w:val="right"/>
              <w:rPr>
                <w:rFonts w:ascii="Arial" w:eastAsia="Arial" w:hAnsi="Arial" w:cs="Arial"/>
                <w:color w:val="000000"/>
                <w:sz w:val="16"/>
                <w:vertAlign w:val="superscript"/>
              </w:rPr>
            </w:pPr>
            <w:r>
              <w:rPr>
                <w:rFonts w:ascii="Arial" w:eastAsia="Arial" w:hAnsi="Arial" w:cs="Arial"/>
                <w:color w:val="000000"/>
                <w:sz w:val="16"/>
              </w:rPr>
              <w:t>73%</w:t>
            </w:r>
          </w:p>
        </w:tc>
        <w:tc>
          <w:tcPr>
            <w:tcW w:w="975" w:type="dxa"/>
            <w:tcBorders>
              <w:top w:val="nil"/>
              <w:left w:val="nil"/>
              <w:bottom w:val="nil"/>
              <w:right w:val="nil"/>
              <w:tl2br w:val="nil"/>
              <w:tr2bl w:val="nil"/>
            </w:tcBorders>
            <w:shd w:val="clear" w:color="auto" w:fill="FFFF00"/>
            <w:tcMar>
              <w:left w:w="115" w:type="dxa"/>
              <w:right w:w="115" w:type="dxa"/>
            </w:tcMar>
            <w:vAlign w:val="bottom"/>
          </w:tcPr>
          <w:p w14:paraId="6AB8D6E9" w14:textId="77777777" w:rsidR="00724034" w:rsidRDefault="00FB7D0B">
            <w:pPr>
              <w:jc w:val="right"/>
              <w:rPr>
                <w:rFonts w:ascii="Arial" w:eastAsia="Arial" w:hAnsi="Arial" w:cs="Arial"/>
                <w:color w:val="000000"/>
                <w:sz w:val="16"/>
              </w:rPr>
            </w:pPr>
            <w:r>
              <w:rPr>
                <w:rFonts w:ascii="Arial" w:eastAsia="Arial" w:hAnsi="Arial" w:cs="Arial"/>
                <w:color w:val="000000"/>
                <w:sz w:val="16"/>
              </w:rPr>
              <w:t>73%</w:t>
            </w:r>
          </w:p>
        </w:tc>
        <w:tc>
          <w:tcPr>
            <w:tcW w:w="975" w:type="dxa"/>
            <w:tcBorders>
              <w:top w:val="nil"/>
              <w:left w:val="nil"/>
              <w:bottom w:val="nil"/>
              <w:right w:val="nil"/>
              <w:tl2br w:val="nil"/>
              <w:tr2bl w:val="nil"/>
            </w:tcBorders>
            <w:shd w:val="clear" w:color="auto" w:fill="FFFFFF"/>
            <w:tcMar>
              <w:left w:w="115" w:type="dxa"/>
              <w:right w:w="115" w:type="dxa"/>
            </w:tcMar>
            <w:vAlign w:val="bottom"/>
          </w:tcPr>
          <w:p w14:paraId="501992AB" w14:textId="77777777" w:rsidR="00724034" w:rsidRDefault="00FB7D0B">
            <w:pPr>
              <w:jc w:val="right"/>
              <w:rPr>
                <w:rFonts w:ascii="Arial" w:eastAsia="Arial" w:hAnsi="Arial" w:cs="Arial"/>
                <w:color w:val="000000"/>
                <w:sz w:val="16"/>
              </w:rPr>
            </w:pPr>
            <w:r>
              <w:rPr>
                <w:rFonts w:ascii="Arial" w:eastAsia="Arial" w:hAnsi="Arial" w:cs="Arial"/>
                <w:color w:val="000000"/>
                <w:sz w:val="16"/>
              </w:rPr>
              <w:t>74%</w:t>
            </w:r>
          </w:p>
        </w:tc>
        <w:tc>
          <w:tcPr>
            <w:tcW w:w="975" w:type="dxa"/>
            <w:tcBorders>
              <w:top w:val="nil"/>
              <w:left w:val="nil"/>
              <w:bottom w:val="nil"/>
              <w:right w:val="nil"/>
              <w:tl2br w:val="nil"/>
              <w:tr2bl w:val="nil"/>
            </w:tcBorders>
            <w:shd w:val="clear" w:color="auto" w:fill="FFFFFF"/>
            <w:tcMar>
              <w:left w:w="115" w:type="dxa"/>
              <w:right w:w="115" w:type="dxa"/>
            </w:tcMar>
            <w:vAlign w:val="bottom"/>
          </w:tcPr>
          <w:p w14:paraId="001C84CA" w14:textId="77777777" w:rsidR="00724034" w:rsidRDefault="00FB7D0B">
            <w:pPr>
              <w:jc w:val="right"/>
              <w:rPr>
                <w:rFonts w:ascii="Arial" w:eastAsia="Arial" w:hAnsi="Arial" w:cs="Arial"/>
                <w:color w:val="000000"/>
                <w:sz w:val="16"/>
              </w:rPr>
            </w:pPr>
            <w:r>
              <w:rPr>
                <w:rFonts w:ascii="Arial" w:eastAsia="Arial" w:hAnsi="Arial" w:cs="Arial"/>
                <w:color w:val="000000"/>
                <w:sz w:val="16"/>
              </w:rPr>
              <w:t>75%</w:t>
            </w:r>
          </w:p>
        </w:tc>
        <w:tc>
          <w:tcPr>
            <w:tcW w:w="975" w:type="dxa"/>
            <w:tcBorders>
              <w:top w:val="nil"/>
              <w:left w:val="nil"/>
              <w:bottom w:val="nil"/>
              <w:right w:val="single" w:sz="6" w:space="0" w:color="000000"/>
              <w:tl2br w:val="nil"/>
              <w:tr2bl w:val="nil"/>
            </w:tcBorders>
            <w:shd w:val="clear" w:color="auto" w:fill="FFFFFF"/>
            <w:tcMar>
              <w:left w:w="115" w:type="dxa"/>
              <w:right w:w="115" w:type="dxa"/>
            </w:tcMar>
            <w:vAlign w:val="bottom"/>
          </w:tcPr>
          <w:p w14:paraId="611EE49D" w14:textId="77777777" w:rsidR="00724034" w:rsidRDefault="00FB7D0B">
            <w:pPr>
              <w:jc w:val="right"/>
              <w:rPr>
                <w:rFonts w:ascii="Arial" w:eastAsia="Arial" w:hAnsi="Arial" w:cs="Arial"/>
                <w:color w:val="000000"/>
                <w:sz w:val="16"/>
              </w:rPr>
            </w:pPr>
            <w:r>
              <w:rPr>
                <w:rFonts w:ascii="Arial" w:eastAsia="Arial" w:hAnsi="Arial" w:cs="Arial"/>
                <w:color w:val="000000"/>
                <w:sz w:val="16"/>
              </w:rPr>
              <w:t>75%</w:t>
            </w:r>
          </w:p>
        </w:tc>
      </w:tr>
      <w:tr w:rsidR="00724034" w14:paraId="36DEFD96" w14:textId="77777777">
        <w:tblPrEx>
          <w:tblLook w:val="04A0" w:firstRow="1" w:lastRow="0" w:firstColumn="1" w:lastColumn="0" w:noHBand="0" w:noVBand="1"/>
        </w:tblPrEx>
        <w:trPr>
          <w:trHeight w:val="30"/>
        </w:trPr>
        <w:tc>
          <w:tcPr>
            <w:tcW w:w="3210" w:type="dxa"/>
            <w:tcBorders>
              <w:top w:val="nil"/>
              <w:left w:val="single" w:sz="6" w:space="0" w:color="000000"/>
              <w:bottom w:val="nil"/>
              <w:right w:val="nil"/>
              <w:tl2br w:val="nil"/>
              <w:tr2bl w:val="nil"/>
            </w:tcBorders>
            <w:shd w:val="clear" w:color="auto" w:fill="FFFFFF"/>
            <w:tcMar>
              <w:left w:w="115" w:type="dxa"/>
              <w:right w:w="115" w:type="dxa"/>
            </w:tcMar>
            <w:vAlign w:val="bottom"/>
          </w:tcPr>
          <w:p w14:paraId="0DDD8006" w14:textId="77777777" w:rsidR="00724034" w:rsidRDefault="00724034">
            <w:pPr>
              <w:rPr>
                <w:rFonts w:ascii="Arial" w:eastAsia="Arial" w:hAnsi="Arial" w:cs="Arial"/>
                <w:color w:val="000000"/>
                <w:sz w:val="16"/>
              </w:rPr>
            </w:pPr>
          </w:p>
        </w:tc>
        <w:tc>
          <w:tcPr>
            <w:tcW w:w="975" w:type="dxa"/>
            <w:tcBorders>
              <w:top w:val="nil"/>
              <w:left w:val="nil"/>
              <w:bottom w:val="nil"/>
              <w:right w:val="nil"/>
              <w:tl2br w:val="nil"/>
              <w:tr2bl w:val="nil"/>
            </w:tcBorders>
            <w:shd w:val="clear" w:color="auto" w:fill="FFFFFF"/>
            <w:tcMar>
              <w:left w:w="115" w:type="dxa"/>
              <w:right w:w="115" w:type="dxa"/>
            </w:tcMar>
            <w:vAlign w:val="bottom"/>
          </w:tcPr>
          <w:p w14:paraId="05852CD7" w14:textId="77777777" w:rsidR="00724034" w:rsidRDefault="00724034">
            <w:pPr>
              <w:jc w:val="right"/>
              <w:rPr>
                <w:rFonts w:ascii="Arial" w:eastAsia="Arial" w:hAnsi="Arial" w:cs="Arial"/>
                <w:color w:val="000000"/>
                <w:sz w:val="16"/>
                <w:vertAlign w:val="superscript"/>
              </w:rPr>
            </w:pPr>
          </w:p>
        </w:tc>
        <w:tc>
          <w:tcPr>
            <w:tcW w:w="975" w:type="dxa"/>
            <w:tcBorders>
              <w:top w:val="nil"/>
              <w:left w:val="nil"/>
              <w:bottom w:val="nil"/>
              <w:right w:val="nil"/>
              <w:tl2br w:val="nil"/>
              <w:tr2bl w:val="nil"/>
            </w:tcBorders>
            <w:shd w:val="clear" w:color="auto" w:fill="FFFF00"/>
            <w:tcMar>
              <w:left w:w="115" w:type="dxa"/>
              <w:right w:w="115" w:type="dxa"/>
            </w:tcMar>
            <w:vAlign w:val="bottom"/>
          </w:tcPr>
          <w:p w14:paraId="6115F298" w14:textId="77777777" w:rsidR="00724034" w:rsidRDefault="00724034">
            <w:pPr>
              <w:jc w:val="right"/>
              <w:rPr>
                <w:rFonts w:ascii="Arial" w:eastAsia="Arial" w:hAnsi="Arial" w:cs="Arial"/>
                <w:color w:val="000000"/>
                <w:sz w:val="16"/>
                <w:vertAlign w:val="superscript"/>
              </w:rPr>
            </w:pPr>
          </w:p>
        </w:tc>
        <w:tc>
          <w:tcPr>
            <w:tcW w:w="975" w:type="dxa"/>
            <w:tcBorders>
              <w:top w:val="nil"/>
              <w:left w:val="nil"/>
              <w:bottom w:val="nil"/>
              <w:right w:val="nil"/>
              <w:tl2br w:val="nil"/>
              <w:tr2bl w:val="nil"/>
            </w:tcBorders>
            <w:shd w:val="clear" w:color="auto" w:fill="FFFFFF"/>
            <w:tcMar>
              <w:left w:w="115" w:type="dxa"/>
              <w:right w:w="115" w:type="dxa"/>
            </w:tcMar>
            <w:vAlign w:val="bottom"/>
          </w:tcPr>
          <w:p w14:paraId="22089DCB" w14:textId="77777777" w:rsidR="00724034" w:rsidRDefault="00724034">
            <w:pPr>
              <w:jc w:val="right"/>
              <w:rPr>
                <w:rFonts w:ascii="Arial" w:eastAsia="Arial" w:hAnsi="Arial" w:cs="Arial"/>
                <w:color w:val="000000"/>
                <w:sz w:val="16"/>
                <w:vertAlign w:val="superscript"/>
              </w:rPr>
            </w:pPr>
          </w:p>
        </w:tc>
        <w:tc>
          <w:tcPr>
            <w:tcW w:w="975" w:type="dxa"/>
            <w:tcBorders>
              <w:top w:val="nil"/>
              <w:left w:val="nil"/>
              <w:bottom w:val="nil"/>
              <w:right w:val="nil"/>
              <w:tl2br w:val="nil"/>
              <w:tr2bl w:val="nil"/>
            </w:tcBorders>
            <w:shd w:val="clear" w:color="auto" w:fill="FFFFFF"/>
            <w:tcMar>
              <w:left w:w="115" w:type="dxa"/>
              <w:right w:w="115" w:type="dxa"/>
            </w:tcMar>
            <w:vAlign w:val="bottom"/>
          </w:tcPr>
          <w:p w14:paraId="3F9A2FCA" w14:textId="77777777" w:rsidR="00724034" w:rsidRDefault="00724034">
            <w:pPr>
              <w:jc w:val="right"/>
              <w:rPr>
                <w:rFonts w:ascii="Arial" w:eastAsia="Arial" w:hAnsi="Arial" w:cs="Arial"/>
                <w:color w:val="000000"/>
                <w:sz w:val="16"/>
                <w:vertAlign w:val="superscript"/>
              </w:rPr>
            </w:pPr>
          </w:p>
        </w:tc>
        <w:tc>
          <w:tcPr>
            <w:tcW w:w="975" w:type="dxa"/>
            <w:tcBorders>
              <w:top w:val="nil"/>
              <w:left w:val="nil"/>
              <w:bottom w:val="nil"/>
              <w:right w:val="single" w:sz="6" w:space="0" w:color="000000"/>
              <w:tl2br w:val="nil"/>
              <w:tr2bl w:val="nil"/>
            </w:tcBorders>
            <w:shd w:val="clear" w:color="auto" w:fill="FFFFFF"/>
            <w:tcMar>
              <w:left w:w="115" w:type="dxa"/>
              <w:right w:w="115" w:type="dxa"/>
            </w:tcMar>
            <w:vAlign w:val="bottom"/>
          </w:tcPr>
          <w:p w14:paraId="19283752" w14:textId="77777777" w:rsidR="00724034" w:rsidRDefault="00724034">
            <w:pPr>
              <w:rPr>
                <w:rFonts w:ascii="Arial" w:eastAsia="Arial" w:hAnsi="Arial" w:cs="Arial"/>
                <w:color w:val="000000"/>
                <w:sz w:val="16"/>
                <w:vertAlign w:val="superscript"/>
              </w:rPr>
            </w:pPr>
          </w:p>
        </w:tc>
      </w:tr>
      <w:tr w:rsidR="00724034" w14:paraId="00307C87" w14:textId="77777777">
        <w:tblPrEx>
          <w:tblLook w:val="04A0" w:firstRow="1" w:lastRow="0" w:firstColumn="1" w:lastColumn="0" w:noHBand="0" w:noVBand="1"/>
        </w:tblPrEx>
        <w:trPr>
          <w:trHeight w:val="225"/>
        </w:trPr>
        <w:tc>
          <w:tcPr>
            <w:tcW w:w="3210" w:type="dxa"/>
            <w:tcBorders>
              <w:top w:val="nil"/>
              <w:left w:val="single" w:sz="6" w:space="0" w:color="000000"/>
              <w:bottom w:val="single" w:sz="6" w:space="0" w:color="000000"/>
              <w:right w:val="nil"/>
              <w:tl2br w:val="nil"/>
              <w:tr2bl w:val="nil"/>
            </w:tcBorders>
            <w:shd w:val="clear" w:color="auto" w:fill="FFFFFF"/>
            <w:tcMar>
              <w:left w:w="115" w:type="dxa"/>
              <w:right w:w="115" w:type="dxa"/>
            </w:tcMar>
            <w:vAlign w:val="bottom"/>
          </w:tcPr>
          <w:p w14:paraId="23B33132" w14:textId="77777777" w:rsidR="00724034" w:rsidRDefault="00FB7D0B">
            <w:pPr>
              <w:rPr>
                <w:rFonts w:ascii="Arial" w:eastAsia="Arial" w:hAnsi="Arial" w:cs="Arial"/>
                <w:color w:val="000000"/>
                <w:sz w:val="16"/>
                <w:vertAlign w:val="superscript"/>
              </w:rPr>
            </w:pPr>
            <w:r>
              <w:rPr>
                <w:rFonts w:ascii="Arial" w:eastAsia="Arial" w:hAnsi="Arial" w:cs="Arial"/>
                <w:color w:val="000000"/>
                <w:sz w:val="16"/>
              </w:rPr>
              <w:t>Level of veteran satisfaction.</w:t>
            </w:r>
          </w:p>
        </w:tc>
        <w:tc>
          <w:tcPr>
            <w:tcW w:w="975"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2C730C81" w14:textId="77777777" w:rsidR="00724034" w:rsidRDefault="00FB7D0B">
            <w:pPr>
              <w:jc w:val="right"/>
              <w:rPr>
                <w:rFonts w:ascii="Arial" w:eastAsia="Arial" w:hAnsi="Arial" w:cs="Arial"/>
                <w:color w:val="000000"/>
                <w:sz w:val="16"/>
                <w:vertAlign w:val="superscript"/>
              </w:rPr>
            </w:pPr>
            <w:r>
              <w:rPr>
                <w:rFonts w:ascii="Arial" w:eastAsia="Arial" w:hAnsi="Arial" w:cs="Arial"/>
                <w:color w:val="000000"/>
                <w:sz w:val="16"/>
              </w:rPr>
              <w:t>High</w:t>
            </w:r>
          </w:p>
        </w:tc>
        <w:tc>
          <w:tcPr>
            <w:tcW w:w="975" w:type="dxa"/>
            <w:tcBorders>
              <w:top w:val="nil"/>
              <w:left w:val="nil"/>
              <w:bottom w:val="single" w:sz="6" w:space="0" w:color="000000"/>
              <w:right w:val="nil"/>
              <w:tl2br w:val="nil"/>
              <w:tr2bl w:val="nil"/>
            </w:tcBorders>
            <w:shd w:val="clear" w:color="auto" w:fill="FFFF00"/>
            <w:tcMar>
              <w:left w:w="115" w:type="dxa"/>
              <w:right w:w="115" w:type="dxa"/>
            </w:tcMar>
            <w:vAlign w:val="bottom"/>
          </w:tcPr>
          <w:p w14:paraId="54B37353" w14:textId="77777777" w:rsidR="00724034" w:rsidRDefault="00FB7D0B">
            <w:pPr>
              <w:jc w:val="right"/>
              <w:rPr>
                <w:rFonts w:ascii="Arial" w:eastAsia="Arial" w:hAnsi="Arial" w:cs="Arial"/>
                <w:color w:val="000000"/>
                <w:sz w:val="16"/>
              </w:rPr>
            </w:pPr>
            <w:r>
              <w:rPr>
                <w:rFonts w:ascii="Arial" w:eastAsia="Arial" w:hAnsi="Arial" w:cs="Arial"/>
                <w:color w:val="000000"/>
                <w:sz w:val="16"/>
              </w:rPr>
              <w:t>High</w:t>
            </w:r>
          </w:p>
        </w:tc>
        <w:tc>
          <w:tcPr>
            <w:tcW w:w="975"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035C156B" w14:textId="77777777" w:rsidR="00724034" w:rsidRDefault="00FB7D0B">
            <w:pPr>
              <w:jc w:val="right"/>
              <w:rPr>
                <w:rFonts w:ascii="Arial" w:eastAsia="Arial" w:hAnsi="Arial" w:cs="Arial"/>
                <w:color w:val="000000"/>
                <w:sz w:val="16"/>
              </w:rPr>
            </w:pPr>
            <w:r>
              <w:rPr>
                <w:rFonts w:ascii="Arial" w:eastAsia="Arial" w:hAnsi="Arial" w:cs="Arial"/>
                <w:color w:val="000000"/>
                <w:sz w:val="16"/>
              </w:rPr>
              <w:t>High</w:t>
            </w:r>
          </w:p>
        </w:tc>
        <w:tc>
          <w:tcPr>
            <w:tcW w:w="975"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7EAE4A50" w14:textId="77777777" w:rsidR="00724034" w:rsidRDefault="00FB7D0B">
            <w:pPr>
              <w:jc w:val="right"/>
              <w:rPr>
                <w:rFonts w:ascii="Arial" w:eastAsia="Arial" w:hAnsi="Arial" w:cs="Arial"/>
                <w:color w:val="000000"/>
                <w:sz w:val="16"/>
              </w:rPr>
            </w:pPr>
            <w:r>
              <w:rPr>
                <w:rFonts w:ascii="Arial" w:eastAsia="Arial" w:hAnsi="Arial" w:cs="Arial"/>
                <w:color w:val="000000"/>
                <w:sz w:val="16"/>
              </w:rPr>
              <w:t>High</w:t>
            </w:r>
          </w:p>
        </w:tc>
        <w:tc>
          <w:tcPr>
            <w:tcW w:w="975" w:type="dxa"/>
            <w:tcBorders>
              <w:top w:val="nil"/>
              <w:left w:val="nil"/>
              <w:bottom w:val="single" w:sz="6" w:space="0" w:color="000000"/>
              <w:right w:val="single" w:sz="6" w:space="0" w:color="000000"/>
              <w:tl2br w:val="nil"/>
              <w:tr2bl w:val="nil"/>
            </w:tcBorders>
            <w:shd w:val="clear" w:color="auto" w:fill="FFFFFF"/>
            <w:tcMar>
              <w:left w:w="115" w:type="dxa"/>
              <w:right w:w="115" w:type="dxa"/>
            </w:tcMar>
            <w:vAlign w:val="bottom"/>
          </w:tcPr>
          <w:p w14:paraId="7F65D1D9" w14:textId="77777777" w:rsidR="00724034" w:rsidRDefault="00FB7D0B">
            <w:pPr>
              <w:jc w:val="right"/>
              <w:rPr>
                <w:rFonts w:ascii="Arial" w:eastAsia="Arial" w:hAnsi="Arial" w:cs="Arial"/>
                <w:color w:val="000000"/>
                <w:sz w:val="16"/>
              </w:rPr>
            </w:pPr>
            <w:r>
              <w:rPr>
                <w:rFonts w:ascii="Arial" w:eastAsia="Arial" w:hAnsi="Arial" w:cs="Arial"/>
                <w:color w:val="000000"/>
                <w:sz w:val="16"/>
              </w:rPr>
              <w:t>High</w:t>
            </w:r>
          </w:p>
        </w:tc>
      </w:tr>
      <w:tr w:rsidR="00724034" w14:paraId="46E32761" w14:textId="77777777">
        <w:tblPrEx>
          <w:tblLook w:val="04A0" w:firstRow="1" w:lastRow="0" w:firstColumn="1" w:lastColumn="0" w:noHBand="0" w:noVBand="1"/>
        </w:tblPrEx>
        <w:trPr>
          <w:trHeight w:val="60"/>
        </w:trPr>
        <w:tc>
          <w:tcPr>
            <w:tcW w:w="3210"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5F2602E9" w14:textId="77777777" w:rsidR="00724034" w:rsidRDefault="00724034">
            <w:pPr>
              <w:rPr>
                <w:rFonts w:ascii="Arial" w:eastAsia="Arial" w:hAnsi="Arial" w:cs="Arial"/>
                <w:color w:val="000000"/>
                <w:sz w:val="16"/>
              </w:rPr>
            </w:pPr>
          </w:p>
        </w:tc>
        <w:tc>
          <w:tcPr>
            <w:tcW w:w="975"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504A8381" w14:textId="77777777" w:rsidR="00724034" w:rsidRDefault="00724034">
            <w:pPr>
              <w:rPr>
                <w:rFonts w:ascii="Arial" w:eastAsia="Arial" w:hAnsi="Arial" w:cs="Arial"/>
                <w:b/>
                <w:color w:val="000000"/>
                <w:sz w:val="16"/>
                <w:vertAlign w:val="superscript"/>
              </w:rPr>
            </w:pPr>
          </w:p>
        </w:tc>
        <w:tc>
          <w:tcPr>
            <w:tcW w:w="975"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55A3D270" w14:textId="77777777" w:rsidR="00724034" w:rsidRDefault="00724034">
            <w:pPr>
              <w:rPr>
                <w:rFonts w:ascii="Arial" w:eastAsia="Arial" w:hAnsi="Arial" w:cs="Arial"/>
                <w:b/>
                <w:color w:val="000000"/>
                <w:sz w:val="16"/>
                <w:vertAlign w:val="superscript"/>
              </w:rPr>
            </w:pPr>
          </w:p>
        </w:tc>
        <w:tc>
          <w:tcPr>
            <w:tcW w:w="975"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08CD0615" w14:textId="77777777" w:rsidR="00724034" w:rsidRDefault="00724034">
            <w:pPr>
              <w:rPr>
                <w:rFonts w:ascii="Arial" w:eastAsia="Arial" w:hAnsi="Arial" w:cs="Arial"/>
                <w:b/>
                <w:color w:val="000000"/>
                <w:sz w:val="16"/>
                <w:vertAlign w:val="superscript"/>
              </w:rPr>
            </w:pPr>
          </w:p>
        </w:tc>
        <w:tc>
          <w:tcPr>
            <w:tcW w:w="975"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3C6EFC9D" w14:textId="77777777" w:rsidR="00724034" w:rsidRDefault="00724034">
            <w:pPr>
              <w:rPr>
                <w:rFonts w:ascii="Arial" w:eastAsia="Arial" w:hAnsi="Arial" w:cs="Arial"/>
                <w:b/>
                <w:color w:val="000000"/>
                <w:sz w:val="16"/>
                <w:vertAlign w:val="superscript"/>
              </w:rPr>
            </w:pPr>
          </w:p>
        </w:tc>
        <w:tc>
          <w:tcPr>
            <w:tcW w:w="975"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08DDFA97" w14:textId="77777777" w:rsidR="00724034" w:rsidRDefault="00724034">
            <w:pPr>
              <w:rPr>
                <w:rFonts w:ascii="Arial" w:eastAsia="Arial" w:hAnsi="Arial" w:cs="Arial"/>
                <w:b/>
                <w:color w:val="000000"/>
                <w:sz w:val="16"/>
                <w:vertAlign w:val="superscript"/>
              </w:rPr>
            </w:pPr>
          </w:p>
        </w:tc>
      </w:tr>
    </w:tbl>
    <w:p w14:paraId="136A9ABE" w14:textId="77777777" w:rsidR="00724034" w:rsidRDefault="00FB7D0B">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
        <w:gridCol w:w="351"/>
        <w:gridCol w:w="2854"/>
        <w:gridCol w:w="948"/>
        <w:gridCol w:w="934"/>
        <w:gridCol w:w="992"/>
        <w:gridCol w:w="992"/>
        <w:gridCol w:w="994"/>
      </w:tblGrid>
      <w:tr w:rsidR="00724034" w14:paraId="70CAC619" w14:textId="77777777" w:rsidTr="003F0EEA">
        <w:tc>
          <w:tcPr>
            <w:tcW w:w="8080" w:type="dxa"/>
            <w:gridSpan w:val="8"/>
            <w:tcBorders>
              <w:top w:val="single" w:sz="4" w:space="0" w:color="auto"/>
              <w:left w:val="single" w:sz="4" w:space="0" w:color="auto"/>
              <w:bottom w:val="single" w:sz="4" w:space="0" w:color="auto"/>
              <w:right w:val="single" w:sz="4" w:space="0" w:color="auto"/>
            </w:tcBorders>
            <w:shd w:val="clear" w:color="auto" w:fill="E6E6E6"/>
          </w:tcPr>
          <w:p w14:paraId="7BBF3114" w14:textId="77777777" w:rsidR="003F0EEA" w:rsidRPr="00A17252" w:rsidRDefault="00FB7D0B" w:rsidP="003F0EEA">
            <w:pPr>
              <w:pStyle w:val="TableTextLeft35"/>
              <w:rPr>
                <w:b/>
              </w:rPr>
            </w:pPr>
            <w:r>
              <w:rPr>
                <w:b/>
                <w:sz w:val="20"/>
              </w:rPr>
              <w:t>Programme 2.6: Military Rehabilitation and Compensation Acts - Health and Other Care Services</w:t>
            </w:r>
          </w:p>
        </w:tc>
      </w:tr>
      <w:tr w:rsidR="00724034" w14:paraId="66304633" w14:textId="77777777" w:rsidTr="003F0EEA">
        <w:tc>
          <w:tcPr>
            <w:tcW w:w="8080" w:type="dxa"/>
            <w:gridSpan w:val="8"/>
            <w:tcBorders>
              <w:top w:val="single" w:sz="4" w:space="0" w:color="auto"/>
              <w:left w:val="nil"/>
              <w:bottom w:val="single" w:sz="4" w:space="0" w:color="auto"/>
              <w:right w:val="nil"/>
            </w:tcBorders>
          </w:tcPr>
          <w:p w14:paraId="2E1E9469" w14:textId="77777777" w:rsidR="003F0EEA" w:rsidRDefault="003F0EEA" w:rsidP="003F0EEA">
            <w:pPr>
              <w:pStyle w:val="TableTextLeft35"/>
              <w:rPr>
                <w:b/>
              </w:rPr>
            </w:pPr>
          </w:p>
        </w:tc>
      </w:tr>
      <w:tr w:rsidR="00724034" w14:paraId="2F6D27FE" w14:textId="77777777" w:rsidTr="003F0EEA">
        <w:tc>
          <w:tcPr>
            <w:tcW w:w="8080" w:type="dxa"/>
            <w:gridSpan w:val="8"/>
            <w:tcBorders>
              <w:top w:val="single" w:sz="4" w:space="0" w:color="auto"/>
              <w:left w:val="single" w:sz="4" w:space="0" w:color="auto"/>
              <w:bottom w:val="single" w:sz="4" w:space="0" w:color="auto"/>
              <w:right w:val="single" w:sz="4" w:space="0" w:color="auto"/>
            </w:tcBorders>
          </w:tcPr>
          <w:p w14:paraId="65020C5C" w14:textId="77777777" w:rsidR="003F0EEA" w:rsidRDefault="00FB7D0B" w:rsidP="003F0EEA">
            <w:pPr>
              <w:pStyle w:val="TableTextLeft35"/>
              <w:rPr>
                <w:b/>
              </w:rPr>
            </w:pPr>
            <w:r>
              <w:rPr>
                <w:b/>
              </w:rPr>
              <w:t>Programme 2.6 objective</w:t>
            </w:r>
          </w:p>
          <w:p w14:paraId="1AA10C9A" w14:textId="77777777" w:rsidR="003F0EEA" w:rsidRDefault="00FB7D0B" w:rsidP="003F0EEA">
            <w:pPr>
              <w:pStyle w:val="TableTextLeft35"/>
            </w:pPr>
            <w:r>
              <w:rPr>
                <w:szCs w:val="18"/>
              </w:rPr>
              <w:t xml:space="preserve">To arrange for the provision of rehabilitation, medical  and other related services under the </w:t>
            </w:r>
            <w:r>
              <w:rPr>
                <w:i/>
                <w:iCs/>
                <w:szCs w:val="18"/>
              </w:rPr>
              <w:t xml:space="preserve">Safety, Rehabilitation and Compensation Act 1988 </w:t>
            </w:r>
            <w:r>
              <w:rPr>
                <w:szCs w:val="18"/>
              </w:rPr>
              <w:t xml:space="preserve">(SRCA) and the </w:t>
            </w:r>
            <w:r>
              <w:rPr>
                <w:i/>
                <w:iCs/>
                <w:szCs w:val="18"/>
              </w:rPr>
              <w:t xml:space="preserve">Military Rehabilitation and Compensation Act 2004 </w:t>
            </w:r>
            <w:r>
              <w:rPr>
                <w:szCs w:val="18"/>
              </w:rPr>
              <w:t>(MRCA) and related legislation. This includes payment for medical treatment, rehabilitation services, attendant care and household services.</w:t>
            </w:r>
          </w:p>
        </w:tc>
      </w:tr>
      <w:tr w:rsidR="00724034" w14:paraId="122E6915" w14:textId="77777777" w:rsidTr="003F0EEA">
        <w:trPr>
          <w:trHeight w:val="980"/>
        </w:trPr>
        <w:tc>
          <w:tcPr>
            <w:tcW w:w="8080" w:type="dxa"/>
            <w:gridSpan w:val="8"/>
            <w:tcBorders>
              <w:top w:val="single" w:sz="4" w:space="0" w:color="auto"/>
              <w:left w:val="single" w:sz="4" w:space="0" w:color="auto"/>
              <w:bottom w:val="single" w:sz="4" w:space="0" w:color="auto"/>
              <w:right w:val="single" w:sz="4" w:space="0" w:color="auto"/>
            </w:tcBorders>
          </w:tcPr>
          <w:p w14:paraId="09A41005" w14:textId="77777777" w:rsidR="003F0EEA" w:rsidRDefault="00FB7D0B" w:rsidP="003F0EEA">
            <w:pPr>
              <w:pStyle w:val="TableTextLeft35"/>
              <w:rPr>
                <w:b/>
              </w:rPr>
            </w:pPr>
            <w:r>
              <w:rPr>
                <w:b/>
              </w:rPr>
              <w:t>Linked to:</w:t>
            </w:r>
          </w:p>
          <w:p w14:paraId="76075400" w14:textId="77777777" w:rsidR="003F0EEA" w:rsidRDefault="00FB7D0B" w:rsidP="003F0EEA">
            <w:pPr>
              <w:pStyle w:val="TableTextLeft35"/>
              <w:rPr>
                <w:b/>
              </w:rPr>
            </w:pPr>
            <w:r w:rsidRPr="00646837">
              <w:t xml:space="preserve">This programme is linked to the Department of Human Services’ Programme </w:t>
            </w:r>
            <w:r>
              <w:t xml:space="preserve">1.1 – Services to the Community – Social Security and Welfare. </w:t>
            </w:r>
          </w:p>
        </w:tc>
      </w:tr>
      <w:tr w:rsidR="00724034" w14:paraId="2B31E127" w14:textId="77777777" w:rsidTr="003F0EEA">
        <w:tc>
          <w:tcPr>
            <w:tcW w:w="8080" w:type="dxa"/>
            <w:gridSpan w:val="8"/>
            <w:tcBorders>
              <w:top w:val="single" w:sz="4" w:space="0" w:color="auto"/>
              <w:left w:val="nil"/>
              <w:bottom w:val="single" w:sz="4" w:space="0" w:color="auto"/>
              <w:right w:val="nil"/>
            </w:tcBorders>
          </w:tcPr>
          <w:p w14:paraId="1981FF75" w14:textId="77777777" w:rsidR="003F0EEA" w:rsidRDefault="003F0EEA" w:rsidP="003F0EEA">
            <w:pPr>
              <w:pStyle w:val="TableTextLeft35"/>
              <w:rPr>
                <w:b/>
              </w:rPr>
            </w:pPr>
          </w:p>
        </w:tc>
      </w:tr>
      <w:tr w:rsidR="00724034" w14:paraId="10E0C463" w14:textId="77777777" w:rsidTr="003F0EEA">
        <w:trPr>
          <w:trHeight w:val="854"/>
        </w:trPr>
        <w:tc>
          <w:tcPr>
            <w:tcW w:w="8080" w:type="dxa"/>
            <w:gridSpan w:val="8"/>
            <w:tcBorders>
              <w:top w:val="single" w:sz="4" w:space="0" w:color="auto"/>
              <w:left w:val="single" w:sz="4" w:space="0" w:color="auto"/>
              <w:bottom w:val="single" w:sz="4" w:space="0" w:color="auto"/>
              <w:right w:val="single" w:sz="4" w:space="0" w:color="auto"/>
            </w:tcBorders>
          </w:tcPr>
          <w:p w14:paraId="3397711B" w14:textId="77777777" w:rsidR="003F0EEA" w:rsidRDefault="00FB7D0B" w:rsidP="003F0EEA">
            <w:pPr>
              <w:pStyle w:val="TableTextLeft35"/>
              <w:rPr>
                <w:b/>
              </w:rPr>
            </w:pPr>
            <w:r>
              <w:rPr>
                <w:b/>
              </w:rPr>
              <w:t>Programme 2.6 expenses</w:t>
            </w:r>
          </w:p>
          <w:p w14:paraId="53DAEDC7" w14:textId="77777777" w:rsidR="003F0EEA" w:rsidRDefault="00FB7D0B" w:rsidP="003F0EEA">
            <w:pPr>
              <w:pStyle w:val="TableTextLeft35"/>
              <w:rPr>
                <w:b/>
              </w:rPr>
            </w:pPr>
            <w:r>
              <w:t xml:space="preserve">Future </w:t>
            </w:r>
            <w:smartTag w:uri="urn:schemas-microsoft-com:office:smarttags" w:element="PersonName">
              <w:r>
                <w:t>budget</w:t>
              </w:r>
            </w:smartTag>
            <w:r>
              <w:t xml:space="preserve"> results are anticipated to reflect a shift from SRCA–related payments to MRCA–related payments, in line with the extent of claims made against each Act.</w:t>
            </w:r>
          </w:p>
        </w:tc>
      </w:tr>
      <w:tr w:rsidR="00724034" w14:paraId="75B006BE" w14:textId="77777777">
        <w:tblPrEx>
          <w:tblLook w:val="04A0" w:firstRow="1" w:lastRow="0" w:firstColumn="1" w:lastColumn="0" w:noHBand="0" w:noVBand="1"/>
        </w:tblPrEx>
        <w:trPr>
          <w:trHeight w:val="225"/>
        </w:trPr>
        <w:tc>
          <w:tcPr>
            <w:tcW w:w="0" w:type="auto"/>
            <w:tcBorders>
              <w:top w:val="single" w:sz="6" w:space="0" w:color="000000"/>
              <w:left w:val="single" w:sz="6" w:space="0" w:color="000000"/>
              <w:bottom w:val="single" w:sz="6" w:space="0" w:color="FFFFFF"/>
              <w:right w:val="nil"/>
              <w:tl2br w:val="nil"/>
              <w:tr2bl w:val="nil"/>
            </w:tcBorders>
            <w:shd w:val="clear" w:color="auto" w:fill="FFFFFF"/>
            <w:tcMar>
              <w:left w:w="101" w:type="dxa"/>
              <w:right w:w="101" w:type="dxa"/>
            </w:tcMar>
            <w:vAlign w:val="bottom"/>
          </w:tcPr>
          <w:p w14:paraId="19DABC52" w14:textId="77777777" w:rsidR="00724034" w:rsidRDefault="00724034"/>
        </w:tc>
        <w:tc>
          <w:tcPr>
            <w:tcW w:w="0" w:type="auto"/>
            <w:tcBorders>
              <w:top w:val="single" w:sz="6" w:space="0" w:color="000000"/>
              <w:left w:val="nil"/>
              <w:bottom w:val="single" w:sz="6" w:space="0" w:color="FFFFFF"/>
              <w:right w:val="nil"/>
              <w:tl2br w:val="nil"/>
              <w:tr2bl w:val="nil"/>
            </w:tcBorders>
            <w:shd w:val="clear" w:color="auto" w:fill="FFFFFF"/>
            <w:tcMar>
              <w:left w:w="101" w:type="dxa"/>
              <w:right w:w="101" w:type="dxa"/>
            </w:tcMar>
            <w:vAlign w:val="bottom"/>
          </w:tcPr>
          <w:p w14:paraId="77774BA9" w14:textId="77777777" w:rsidR="00724034" w:rsidRDefault="00724034">
            <w:pPr>
              <w:rPr>
                <w:rFonts w:ascii="Arial" w:eastAsia="Arial" w:hAnsi="Arial" w:cs="Arial"/>
                <w:color w:val="000000"/>
                <w:sz w:val="16"/>
              </w:rPr>
            </w:pPr>
          </w:p>
        </w:tc>
        <w:tc>
          <w:tcPr>
            <w:tcW w:w="0" w:type="auto"/>
            <w:tcBorders>
              <w:top w:val="single" w:sz="6" w:space="0" w:color="000000"/>
              <w:left w:val="nil"/>
              <w:bottom w:val="single" w:sz="6" w:space="0" w:color="FFFFFF"/>
              <w:right w:val="nil"/>
              <w:tl2br w:val="nil"/>
              <w:tr2bl w:val="nil"/>
            </w:tcBorders>
            <w:shd w:val="clear" w:color="auto" w:fill="FFFFFF"/>
            <w:tcMar>
              <w:left w:w="101" w:type="dxa"/>
              <w:right w:w="101" w:type="dxa"/>
            </w:tcMar>
            <w:vAlign w:val="bottom"/>
          </w:tcPr>
          <w:p w14:paraId="369E833D" w14:textId="77777777" w:rsidR="00724034" w:rsidRDefault="00724034">
            <w:pPr>
              <w:jc w:val="center"/>
              <w:rPr>
                <w:rFonts w:ascii="Arial" w:eastAsia="Arial" w:hAnsi="Arial" w:cs="Arial"/>
                <w:color w:val="000000"/>
                <w:sz w:val="16"/>
              </w:rPr>
            </w:pPr>
          </w:p>
        </w:tc>
        <w:tc>
          <w:tcPr>
            <w:tcW w:w="0" w:type="auto"/>
            <w:tcBorders>
              <w:top w:val="single" w:sz="6" w:space="0" w:color="000000"/>
              <w:left w:val="nil"/>
              <w:bottom w:val="nil"/>
              <w:right w:val="nil"/>
              <w:tl2br w:val="nil"/>
              <w:tr2bl w:val="nil"/>
            </w:tcBorders>
            <w:shd w:val="clear" w:color="auto" w:fill="FFFFFF"/>
            <w:tcMar>
              <w:left w:w="101" w:type="dxa"/>
              <w:right w:w="101" w:type="dxa"/>
            </w:tcMar>
            <w:vAlign w:val="bottom"/>
          </w:tcPr>
          <w:p w14:paraId="7A1D83EA" w14:textId="77777777" w:rsidR="00724034" w:rsidRDefault="00FB7D0B">
            <w:pPr>
              <w:jc w:val="right"/>
              <w:rPr>
                <w:rFonts w:ascii="Arial" w:eastAsia="Arial" w:hAnsi="Arial" w:cs="Arial"/>
                <w:b/>
                <w:color w:val="000000"/>
                <w:sz w:val="16"/>
                <w:vertAlign w:val="superscript"/>
              </w:rPr>
            </w:pPr>
            <w:r>
              <w:rPr>
                <w:rFonts w:ascii="Arial" w:eastAsia="Arial" w:hAnsi="Arial" w:cs="Arial"/>
                <w:color w:val="000000"/>
                <w:sz w:val="16"/>
              </w:rPr>
              <w:t>2013-14</w:t>
            </w:r>
          </w:p>
        </w:tc>
        <w:tc>
          <w:tcPr>
            <w:tcW w:w="0" w:type="auto"/>
            <w:tcBorders>
              <w:top w:val="single" w:sz="6" w:space="0" w:color="000000"/>
              <w:left w:val="nil"/>
              <w:bottom w:val="nil"/>
              <w:right w:val="nil"/>
              <w:tl2br w:val="nil"/>
              <w:tr2bl w:val="nil"/>
            </w:tcBorders>
            <w:shd w:val="clear" w:color="auto" w:fill="FFFF00"/>
            <w:tcMar>
              <w:left w:w="101" w:type="dxa"/>
              <w:right w:w="101" w:type="dxa"/>
            </w:tcMar>
            <w:vAlign w:val="bottom"/>
          </w:tcPr>
          <w:p w14:paraId="595A9028" w14:textId="77777777" w:rsidR="00724034" w:rsidRDefault="00FB7D0B">
            <w:pPr>
              <w:jc w:val="right"/>
              <w:rPr>
                <w:rFonts w:ascii="Arial" w:eastAsia="Arial" w:hAnsi="Arial" w:cs="Arial"/>
                <w:color w:val="000000"/>
                <w:sz w:val="16"/>
              </w:rPr>
            </w:pPr>
            <w:r>
              <w:rPr>
                <w:rFonts w:ascii="Arial" w:eastAsia="Arial" w:hAnsi="Arial" w:cs="Arial"/>
                <w:color w:val="000000"/>
                <w:sz w:val="16"/>
              </w:rPr>
              <w:t>2014-15</w:t>
            </w:r>
          </w:p>
        </w:tc>
        <w:tc>
          <w:tcPr>
            <w:tcW w:w="0" w:type="auto"/>
            <w:tcBorders>
              <w:top w:val="single" w:sz="6" w:space="0" w:color="000000"/>
              <w:left w:val="nil"/>
              <w:bottom w:val="nil"/>
              <w:right w:val="nil"/>
              <w:tl2br w:val="nil"/>
              <w:tr2bl w:val="nil"/>
            </w:tcBorders>
            <w:shd w:val="clear" w:color="auto" w:fill="FFFFFF"/>
            <w:tcMar>
              <w:left w:w="101" w:type="dxa"/>
              <w:right w:w="101" w:type="dxa"/>
            </w:tcMar>
            <w:vAlign w:val="bottom"/>
          </w:tcPr>
          <w:p w14:paraId="02593AF5" w14:textId="77777777" w:rsidR="00724034" w:rsidRDefault="00FB7D0B">
            <w:pPr>
              <w:jc w:val="right"/>
              <w:rPr>
                <w:rFonts w:ascii="Arial" w:eastAsia="Arial" w:hAnsi="Arial" w:cs="Arial"/>
                <w:color w:val="000000"/>
                <w:sz w:val="16"/>
              </w:rPr>
            </w:pPr>
            <w:r>
              <w:rPr>
                <w:rFonts w:ascii="Arial" w:eastAsia="Arial" w:hAnsi="Arial" w:cs="Arial"/>
                <w:color w:val="000000"/>
                <w:sz w:val="16"/>
              </w:rPr>
              <w:t>2015-16</w:t>
            </w:r>
          </w:p>
        </w:tc>
        <w:tc>
          <w:tcPr>
            <w:tcW w:w="0" w:type="auto"/>
            <w:tcBorders>
              <w:top w:val="single" w:sz="6" w:space="0" w:color="000000"/>
              <w:left w:val="nil"/>
              <w:bottom w:val="nil"/>
              <w:right w:val="nil"/>
              <w:tl2br w:val="nil"/>
              <w:tr2bl w:val="nil"/>
            </w:tcBorders>
            <w:shd w:val="clear" w:color="auto" w:fill="FFFFFF"/>
            <w:tcMar>
              <w:left w:w="101" w:type="dxa"/>
              <w:right w:w="101" w:type="dxa"/>
            </w:tcMar>
            <w:vAlign w:val="bottom"/>
          </w:tcPr>
          <w:p w14:paraId="3437761D" w14:textId="77777777" w:rsidR="00724034" w:rsidRDefault="00FB7D0B">
            <w:pPr>
              <w:jc w:val="right"/>
              <w:rPr>
                <w:rFonts w:ascii="Arial" w:eastAsia="Arial" w:hAnsi="Arial" w:cs="Arial"/>
                <w:color w:val="000000"/>
                <w:sz w:val="16"/>
              </w:rPr>
            </w:pPr>
            <w:r>
              <w:rPr>
                <w:rFonts w:ascii="Arial" w:eastAsia="Arial" w:hAnsi="Arial" w:cs="Arial"/>
                <w:color w:val="000000"/>
                <w:sz w:val="16"/>
              </w:rPr>
              <w:t>2016-17</w:t>
            </w:r>
          </w:p>
        </w:tc>
        <w:tc>
          <w:tcPr>
            <w:tcW w:w="0" w:type="auto"/>
            <w:tcBorders>
              <w:top w:val="single" w:sz="6" w:space="0" w:color="000000"/>
              <w:left w:val="nil"/>
              <w:bottom w:val="nil"/>
              <w:right w:val="single" w:sz="6" w:space="0" w:color="000000"/>
              <w:tl2br w:val="nil"/>
              <w:tr2bl w:val="nil"/>
            </w:tcBorders>
            <w:shd w:val="clear" w:color="auto" w:fill="FFFFFF"/>
            <w:tcMar>
              <w:left w:w="101" w:type="dxa"/>
              <w:right w:w="101" w:type="dxa"/>
            </w:tcMar>
            <w:vAlign w:val="bottom"/>
          </w:tcPr>
          <w:p w14:paraId="4EBAF75A" w14:textId="77777777" w:rsidR="00724034" w:rsidRDefault="00FB7D0B">
            <w:pPr>
              <w:jc w:val="right"/>
              <w:rPr>
                <w:rFonts w:ascii="Arial" w:eastAsia="Arial" w:hAnsi="Arial" w:cs="Arial"/>
                <w:color w:val="000000"/>
                <w:sz w:val="16"/>
              </w:rPr>
            </w:pPr>
            <w:r>
              <w:rPr>
                <w:rFonts w:ascii="Arial" w:eastAsia="Arial" w:hAnsi="Arial" w:cs="Arial"/>
                <w:color w:val="000000"/>
                <w:sz w:val="16"/>
              </w:rPr>
              <w:t>2017-18</w:t>
            </w:r>
          </w:p>
        </w:tc>
      </w:tr>
      <w:tr w:rsidR="00724034" w14:paraId="4CB33580" w14:textId="77777777">
        <w:tblPrEx>
          <w:tblLook w:val="04A0" w:firstRow="1" w:lastRow="0" w:firstColumn="1" w:lastColumn="0" w:noHBand="0" w:noVBand="1"/>
        </w:tblPrEx>
        <w:trPr>
          <w:trHeight w:val="225"/>
        </w:trPr>
        <w:tc>
          <w:tcPr>
            <w:tcW w:w="0" w:type="auto"/>
            <w:tcBorders>
              <w:top w:val="single" w:sz="6" w:space="0" w:color="FFFFFF"/>
              <w:left w:val="single" w:sz="6" w:space="0" w:color="000000"/>
              <w:bottom w:val="nil"/>
              <w:right w:val="nil"/>
              <w:tl2br w:val="nil"/>
              <w:tr2bl w:val="nil"/>
            </w:tcBorders>
            <w:shd w:val="clear" w:color="auto" w:fill="FFFFFF"/>
            <w:tcMar>
              <w:left w:w="101" w:type="dxa"/>
              <w:right w:w="101" w:type="dxa"/>
            </w:tcMar>
            <w:vAlign w:val="bottom"/>
          </w:tcPr>
          <w:p w14:paraId="7CFF9910" w14:textId="77777777" w:rsidR="00724034" w:rsidRDefault="00724034">
            <w:pPr>
              <w:rPr>
                <w:rFonts w:ascii="Arial" w:eastAsia="Arial" w:hAnsi="Arial" w:cs="Arial"/>
                <w:color w:val="000000"/>
                <w:sz w:val="16"/>
              </w:rPr>
            </w:pPr>
          </w:p>
        </w:tc>
        <w:tc>
          <w:tcPr>
            <w:tcW w:w="0" w:type="auto"/>
            <w:tcBorders>
              <w:top w:val="single" w:sz="6" w:space="0" w:color="FFFFFF"/>
              <w:left w:val="nil"/>
              <w:bottom w:val="nil"/>
              <w:right w:val="nil"/>
              <w:tl2br w:val="nil"/>
              <w:tr2bl w:val="nil"/>
            </w:tcBorders>
            <w:shd w:val="clear" w:color="auto" w:fill="FFFFFF"/>
            <w:tcMar>
              <w:left w:w="101" w:type="dxa"/>
              <w:right w:w="101" w:type="dxa"/>
            </w:tcMar>
            <w:vAlign w:val="bottom"/>
          </w:tcPr>
          <w:p w14:paraId="749FE655" w14:textId="77777777" w:rsidR="00724034" w:rsidRDefault="00724034">
            <w:pPr>
              <w:rPr>
                <w:rFonts w:ascii="Arial" w:eastAsia="Arial" w:hAnsi="Arial" w:cs="Arial"/>
                <w:color w:val="000000"/>
                <w:sz w:val="16"/>
              </w:rPr>
            </w:pPr>
          </w:p>
        </w:tc>
        <w:tc>
          <w:tcPr>
            <w:tcW w:w="0" w:type="auto"/>
            <w:tcBorders>
              <w:top w:val="single" w:sz="6" w:space="0" w:color="FFFFFF"/>
              <w:left w:val="nil"/>
              <w:bottom w:val="nil"/>
              <w:right w:val="nil"/>
              <w:tl2br w:val="nil"/>
              <w:tr2bl w:val="nil"/>
            </w:tcBorders>
            <w:shd w:val="clear" w:color="auto" w:fill="FFFFFF"/>
            <w:tcMar>
              <w:left w:w="101" w:type="dxa"/>
              <w:right w:w="101" w:type="dxa"/>
            </w:tcMar>
            <w:vAlign w:val="bottom"/>
          </w:tcPr>
          <w:p w14:paraId="35543DE5" w14:textId="77777777" w:rsidR="00724034" w:rsidRDefault="00724034">
            <w:pPr>
              <w:rPr>
                <w:rFonts w:ascii="Arial" w:eastAsia="Arial" w:hAnsi="Arial" w:cs="Arial"/>
                <w:color w:val="000000"/>
                <w:sz w:val="16"/>
              </w:rPr>
            </w:pPr>
          </w:p>
        </w:tc>
        <w:tc>
          <w:tcPr>
            <w:tcW w:w="0" w:type="auto"/>
            <w:tcBorders>
              <w:top w:val="nil"/>
              <w:left w:val="nil"/>
              <w:bottom w:val="nil"/>
              <w:right w:val="nil"/>
              <w:tl2br w:val="nil"/>
              <w:tr2bl w:val="nil"/>
            </w:tcBorders>
            <w:shd w:val="clear" w:color="auto" w:fill="FFFFFF"/>
            <w:tcMar>
              <w:left w:w="101" w:type="dxa"/>
              <w:right w:w="101" w:type="dxa"/>
            </w:tcMar>
            <w:vAlign w:val="bottom"/>
          </w:tcPr>
          <w:p w14:paraId="7BD74D22" w14:textId="77777777" w:rsidR="00724034" w:rsidRDefault="00FB7D0B">
            <w:pPr>
              <w:jc w:val="right"/>
              <w:rPr>
                <w:rFonts w:ascii="Arial" w:eastAsia="Arial" w:hAnsi="Arial" w:cs="Arial"/>
                <w:color w:val="000000"/>
                <w:sz w:val="16"/>
                <w:vertAlign w:val="superscript"/>
              </w:rPr>
            </w:pPr>
            <w:r>
              <w:rPr>
                <w:rFonts w:ascii="Arial" w:eastAsia="Arial" w:hAnsi="Arial" w:cs="Arial"/>
                <w:color w:val="000000"/>
                <w:sz w:val="16"/>
              </w:rPr>
              <w:t>Revised</w:t>
            </w:r>
          </w:p>
        </w:tc>
        <w:tc>
          <w:tcPr>
            <w:tcW w:w="0" w:type="auto"/>
            <w:tcBorders>
              <w:top w:val="nil"/>
              <w:left w:val="nil"/>
              <w:bottom w:val="nil"/>
              <w:right w:val="nil"/>
              <w:tl2br w:val="nil"/>
              <w:tr2bl w:val="nil"/>
            </w:tcBorders>
            <w:shd w:val="clear" w:color="auto" w:fill="FFFF00"/>
            <w:tcMar>
              <w:left w:w="101" w:type="dxa"/>
              <w:right w:w="101" w:type="dxa"/>
            </w:tcMar>
            <w:vAlign w:val="bottom"/>
          </w:tcPr>
          <w:p w14:paraId="0DB7147B" w14:textId="77777777" w:rsidR="00724034" w:rsidRDefault="00FB7D0B">
            <w:pPr>
              <w:jc w:val="right"/>
              <w:rPr>
                <w:rFonts w:ascii="Arial" w:eastAsia="Arial" w:hAnsi="Arial" w:cs="Arial"/>
                <w:color w:val="000000"/>
                <w:sz w:val="16"/>
              </w:rPr>
            </w:pPr>
            <w:r>
              <w:rPr>
                <w:rFonts w:ascii="Arial" w:eastAsia="Arial" w:hAnsi="Arial" w:cs="Arial"/>
                <w:color w:val="000000"/>
                <w:sz w:val="16"/>
              </w:rPr>
              <w:t>Budget</w:t>
            </w:r>
          </w:p>
        </w:tc>
        <w:tc>
          <w:tcPr>
            <w:tcW w:w="0" w:type="auto"/>
            <w:tcBorders>
              <w:top w:val="nil"/>
              <w:left w:val="nil"/>
              <w:bottom w:val="nil"/>
              <w:right w:val="nil"/>
              <w:tl2br w:val="nil"/>
              <w:tr2bl w:val="nil"/>
            </w:tcBorders>
            <w:shd w:val="clear" w:color="auto" w:fill="FFFFFF"/>
            <w:tcMar>
              <w:left w:w="101" w:type="dxa"/>
              <w:right w:w="101" w:type="dxa"/>
            </w:tcMar>
            <w:vAlign w:val="bottom"/>
          </w:tcPr>
          <w:p w14:paraId="4399615D" w14:textId="77777777" w:rsidR="00724034" w:rsidRDefault="00FB7D0B">
            <w:pPr>
              <w:jc w:val="right"/>
              <w:rPr>
                <w:rFonts w:ascii="Arial" w:eastAsia="Arial" w:hAnsi="Arial" w:cs="Arial"/>
                <w:color w:val="000000"/>
                <w:sz w:val="16"/>
              </w:rPr>
            </w:pPr>
            <w:r>
              <w:rPr>
                <w:rFonts w:ascii="Arial" w:eastAsia="Arial" w:hAnsi="Arial" w:cs="Arial"/>
                <w:color w:val="000000"/>
                <w:sz w:val="16"/>
              </w:rPr>
              <w:t>Forward</w:t>
            </w:r>
          </w:p>
        </w:tc>
        <w:tc>
          <w:tcPr>
            <w:tcW w:w="0" w:type="auto"/>
            <w:tcBorders>
              <w:top w:val="nil"/>
              <w:left w:val="nil"/>
              <w:bottom w:val="nil"/>
              <w:right w:val="nil"/>
              <w:tl2br w:val="nil"/>
              <w:tr2bl w:val="nil"/>
            </w:tcBorders>
            <w:shd w:val="clear" w:color="auto" w:fill="FFFFFF"/>
            <w:tcMar>
              <w:left w:w="101" w:type="dxa"/>
              <w:right w:w="101" w:type="dxa"/>
            </w:tcMar>
            <w:vAlign w:val="bottom"/>
          </w:tcPr>
          <w:p w14:paraId="6E390CD7" w14:textId="77777777" w:rsidR="00724034" w:rsidRDefault="00FB7D0B">
            <w:pPr>
              <w:jc w:val="right"/>
              <w:rPr>
                <w:rFonts w:ascii="Arial" w:eastAsia="Arial" w:hAnsi="Arial" w:cs="Arial"/>
                <w:color w:val="000000"/>
                <w:sz w:val="16"/>
              </w:rPr>
            </w:pPr>
            <w:r>
              <w:rPr>
                <w:rFonts w:ascii="Arial" w:eastAsia="Arial" w:hAnsi="Arial" w:cs="Arial"/>
                <w:color w:val="000000"/>
                <w:sz w:val="16"/>
              </w:rPr>
              <w:t>Forward</w:t>
            </w:r>
          </w:p>
        </w:tc>
        <w:tc>
          <w:tcPr>
            <w:tcW w:w="0" w:type="auto"/>
            <w:tcBorders>
              <w:top w:val="nil"/>
              <w:left w:val="nil"/>
              <w:bottom w:val="nil"/>
              <w:right w:val="single" w:sz="6" w:space="0" w:color="000000"/>
              <w:tl2br w:val="nil"/>
              <w:tr2bl w:val="nil"/>
            </w:tcBorders>
            <w:shd w:val="clear" w:color="auto" w:fill="FFFFFF"/>
            <w:tcMar>
              <w:left w:w="101" w:type="dxa"/>
              <w:right w:w="101" w:type="dxa"/>
            </w:tcMar>
            <w:vAlign w:val="bottom"/>
          </w:tcPr>
          <w:p w14:paraId="1DAE8F11" w14:textId="77777777" w:rsidR="00724034" w:rsidRDefault="00FB7D0B">
            <w:pPr>
              <w:jc w:val="right"/>
              <w:rPr>
                <w:rFonts w:ascii="Arial" w:eastAsia="Arial" w:hAnsi="Arial" w:cs="Arial"/>
                <w:color w:val="000000"/>
                <w:sz w:val="16"/>
              </w:rPr>
            </w:pPr>
            <w:r>
              <w:rPr>
                <w:rFonts w:ascii="Arial" w:eastAsia="Arial" w:hAnsi="Arial" w:cs="Arial"/>
                <w:color w:val="000000"/>
                <w:sz w:val="16"/>
              </w:rPr>
              <w:t>Forward</w:t>
            </w:r>
          </w:p>
        </w:tc>
      </w:tr>
      <w:tr w:rsidR="00FB7D0B" w14:paraId="2818892F" w14:textId="77777777" w:rsidTr="00FB7D0B">
        <w:tblPrEx>
          <w:tblLook w:val="04A0" w:firstRow="1" w:lastRow="0" w:firstColumn="1" w:lastColumn="0" w:noHBand="0" w:noVBand="1"/>
        </w:tblPrEx>
        <w:trPr>
          <w:trHeight w:val="255"/>
        </w:trPr>
        <w:tc>
          <w:tcPr>
            <w:tcW w:w="0" w:type="auto"/>
            <w:gridSpan w:val="3"/>
            <w:tcBorders>
              <w:top w:val="nil"/>
              <w:left w:val="single" w:sz="6" w:space="0" w:color="000000"/>
              <w:bottom w:val="single" w:sz="6" w:space="0" w:color="000000"/>
              <w:right w:val="nil"/>
              <w:tl2br w:val="nil"/>
              <w:tr2bl w:val="nil"/>
            </w:tcBorders>
            <w:shd w:val="clear" w:color="auto" w:fill="FFFFFF"/>
            <w:tcMar>
              <w:left w:w="101" w:type="dxa"/>
              <w:right w:w="101" w:type="dxa"/>
            </w:tcMar>
            <w:vAlign w:val="bottom"/>
          </w:tcPr>
          <w:p w14:paraId="12183D6E" w14:textId="77777777" w:rsidR="00724034" w:rsidRDefault="00FB7D0B">
            <w:pPr>
              <w:rPr>
                <w:rFonts w:ascii="Arial" w:eastAsia="Arial" w:hAnsi="Arial" w:cs="Arial"/>
                <w:color w:val="000000"/>
                <w:sz w:val="16"/>
              </w:rPr>
            </w:pPr>
            <w:r>
              <w:rPr>
                <w:rFonts w:ascii="Arial" w:eastAsia="Arial" w:hAnsi="Arial" w:cs="Arial"/>
                <w:color w:val="000000"/>
                <w:sz w:val="16"/>
              </w:rPr>
              <w:t>$('000)</w:t>
            </w:r>
          </w:p>
        </w:tc>
        <w:tc>
          <w:tcPr>
            <w:tcW w:w="0" w:type="auto"/>
            <w:tcBorders>
              <w:top w:val="nil"/>
              <w:left w:val="nil"/>
              <w:bottom w:val="single" w:sz="6" w:space="0" w:color="000000"/>
              <w:right w:val="nil"/>
              <w:tl2br w:val="nil"/>
              <w:tr2bl w:val="nil"/>
            </w:tcBorders>
            <w:shd w:val="clear" w:color="auto" w:fill="FFFFFF"/>
            <w:tcMar>
              <w:left w:w="101" w:type="dxa"/>
              <w:right w:w="101" w:type="dxa"/>
            </w:tcMar>
            <w:vAlign w:val="bottom"/>
          </w:tcPr>
          <w:p w14:paraId="46F954D7" w14:textId="77777777" w:rsidR="00724034" w:rsidRDefault="00FB7D0B">
            <w:pPr>
              <w:jc w:val="right"/>
              <w:rPr>
                <w:rFonts w:ascii="Arial" w:eastAsia="Arial" w:hAnsi="Arial" w:cs="Arial"/>
                <w:color w:val="000000"/>
                <w:sz w:val="16"/>
                <w:vertAlign w:val="superscript"/>
              </w:rPr>
            </w:pPr>
            <w:r>
              <w:rPr>
                <w:rFonts w:ascii="Arial" w:eastAsia="Arial" w:hAnsi="Arial" w:cs="Arial"/>
                <w:color w:val="000000"/>
                <w:sz w:val="16"/>
              </w:rPr>
              <w:t>budget</w:t>
            </w:r>
          </w:p>
        </w:tc>
        <w:tc>
          <w:tcPr>
            <w:tcW w:w="0" w:type="auto"/>
            <w:tcBorders>
              <w:top w:val="nil"/>
              <w:left w:val="nil"/>
              <w:bottom w:val="single" w:sz="6" w:space="0" w:color="000000"/>
              <w:right w:val="nil"/>
              <w:tl2br w:val="nil"/>
              <w:tr2bl w:val="nil"/>
            </w:tcBorders>
            <w:shd w:val="clear" w:color="auto" w:fill="FFFF00"/>
            <w:tcMar>
              <w:left w:w="101" w:type="dxa"/>
              <w:right w:w="101" w:type="dxa"/>
            </w:tcMar>
            <w:vAlign w:val="bottom"/>
          </w:tcPr>
          <w:p w14:paraId="66389891" w14:textId="77777777" w:rsidR="00724034" w:rsidRDefault="00724034">
            <w:pPr>
              <w:jc w:val="right"/>
              <w:rPr>
                <w:rFonts w:ascii="Arial" w:eastAsia="Arial" w:hAnsi="Arial" w:cs="Arial"/>
                <w:color w:val="000000"/>
                <w:sz w:val="16"/>
              </w:rPr>
            </w:pPr>
          </w:p>
        </w:tc>
        <w:tc>
          <w:tcPr>
            <w:tcW w:w="0" w:type="auto"/>
            <w:tcBorders>
              <w:top w:val="nil"/>
              <w:left w:val="nil"/>
              <w:bottom w:val="single" w:sz="6" w:space="0" w:color="000000"/>
              <w:right w:val="nil"/>
              <w:tl2br w:val="nil"/>
              <w:tr2bl w:val="nil"/>
            </w:tcBorders>
            <w:shd w:val="clear" w:color="auto" w:fill="FFFFFF"/>
            <w:tcMar>
              <w:left w:w="101" w:type="dxa"/>
              <w:right w:w="101" w:type="dxa"/>
            </w:tcMar>
            <w:vAlign w:val="bottom"/>
          </w:tcPr>
          <w:p w14:paraId="2441D210" w14:textId="77777777" w:rsidR="00724034" w:rsidRDefault="00FB7D0B">
            <w:pPr>
              <w:jc w:val="right"/>
              <w:rPr>
                <w:rFonts w:ascii="Arial" w:eastAsia="Arial" w:hAnsi="Arial" w:cs="Arial"/>
                <w:color w:val="000000"/>
                <w:sz w:val="16"/>
              </w:rPr>
            </w:pPr>
            <w:r>
              <w:rPr>
                <w:rFonts w:ascii="Arial" w:eastAsia="Arial" w:hAnsi="Arial" w:cs="Arial"/>
                <w:color w:val="000000"/>
                <w:sz w:val="16"/>
              </w:rPr>
              <w:t>year 1</w:t>
            </w:r>
          </w:p>
        </w:tc>
        <w:tc>
          <w:tcPr>
            <w:tcW w:w="0" w:type="auto"/>
            <w:tcBorders>
              <w:top w:val="nil"/>
              <w:left w:val="nil"/>
              <w:bottom w:val="single" w:sz="6" w:space="0" w:color="000000"/>
              <w:right w:val="nil"/>
              <w:tl2br w:val="nil"/>
              <w:tr2bl w:val="nil"/>
            </w:tcBorders>
            <w:shd w:val="clear" w:color="auto" w:fill="FFFFFF"/>
            <w:tcMar>
              <w:left w:w="101" w:type="dxa"/>
              <w:right w:w="101" w:type="dxa"/>
            </w:tcMar>
            <w:vAlign w:val="bottom"/>
          </w:tcPr>
          <w:p w14:paraId="0C246C0F" w14:textId="77777777" w:rsidR="00724034" w:rsidRDefault="00FB7D0B">
            <w:pPr>
              <w:jc w:val="right"/>
              <w:rPr>
                <w:rFonts w:ascii="Arial" w:eastAsia="Arial" w:hAnsi="Arial" w:cs="Arial"/>
                <w:color w:val="000000"/>
                <w:sz w:val="16"/>
              </w:rPr>
            </w:pPr>
            <w:r>
              <w:rPr>
                <w:rFonts w:ascii="Arial" w:eastAsia="Arial" w:hAnsi="Arial" w:cs="Arial"/>
                <w:color w:val="000000"/>
                <w:sz w:val="16"/>
              </w:rPr>
              <w:t>year 2</w:t>
            </w:r>
          </w:p>
        </w:tc>
        <w:tc>
          <w:tcPr>
            <w:tcW w:w="0" w:type="auto"/>
            <w:tcBorders>
              <w:top w:val="nil"/>
              <w:left w:val="nil"/>
              <w:bottom w:val="single" w:sz="6" w:space="0" w:color="000000"/>
              <w:right w:val="single" w:sz="6" w:space="0" w:color="000000"/>
              <w:tl2br w:val="nil"/>
              <w:tr2bl w:val="nil"/>
            </w:tcBorders>
            <w:shd w:val="clear" w:color="auto" w:fill="FFFFFF"/>
            <w:tcMar>
              <w:left w:w="101" w:type="dxa"/>
              <w:right w:w="101" w:type="dxa"/>
            </w:tcMar>
            <w:vAlign w:val="bottom"/>
          </w:tcPr>
          <w:p w14:paraId="6C52306C" w14:textId="77777777" w:rsidR="00724034" w:rsidRDefault="00FB7D0B">
            <w:pPr>
              <w:jc w:val="right"/>
              <w:rPr>
                <w:rFonts w:ascii="Arial" w:eastAsia="Arial" w:hAnsi="Arial" w:cs="Arial"/>
                <w:color w:val="000000"/>
                <w:sz w:val="16"/>
              </w:rPr>
            </w:pPr>
            <w:r>
              <w:rPr>
                <w:rFonts w:ascii="Arial" w:eastAsia="Arial" w:hAnsi="Arial" w:cs="Arial"/>
                <w:color w:val="000000"/>
                <w:sz w:val="16"/>
              </w:rPr>
              <w:t>year 3</w:t>
            </w:r>
          </w:p>
        </w:tc>
      </w:tr>
      <w:tr w:rsidR="00FB7D0B" w14:paraId="4622B3E4" w14:textId="77777777" w:rsidTr="00FB7D0B">
        <w:tblPrEx>
          <w:tblLook w:val="04A0" w:firstRow="1" w:lastRow="0" w:firstColumn="1" w:lastColumn="0" w:noHBand="0" w:noVBand="1"/>
        </w:tblPrEx>
        <w:trPr>
          <w:trHeight w:val="225"/>
        </w:trPr>
        <w:tc>
          <w:tcPr>
            <w:tcW w:w="0" w:type="auto"/>
            <w:gridSpan w:val="3"/>
            <w:tcBorders>
              <w:top w:val="nil"/>
              <w:left w:val="single" w:sz="6" w:space="0" w:color="000000"/>
              <w:bottom w:val="nil"/>
              <w:right w:val="nil"/>
              <w:tl2br w:val="nil"/>
              <w:tr2bl w:val="nil"/>
            </w:tcBorders>
            <w:shd w:val="clear" w:color="auto" w:fill="FFFFFF"/>
            <w:tcMar>
              <w:left w:w="101" w:type="dxa"/>
              <w:right w:w="101" w:type="dxa"/>
            </w:tcMar>
            <w:vAlign w:val="bottom"/>
          </w:tcPr>
          <w:p w14:paraId="5053A3EB" w14:textId="77777777" w:rsidR="00724034" w:rsidRDefault="00FB7D0B">
            <w:pPr>
              <w:rPr>
                <w:rFonts w:ascii="Arial" w:eastAsia="Arial" w:hAnsi="Arial" w:cs="Arial"/>
                <w:color w:val="000000"/>
                <w:sz w:val="16"/>
              </w:rPr>
            </w:pPr>
            <w:r>
              <w:rPr>
                <w:rFonts w:ascii="Arial" w:eastAsia="Arial" w:hAnsi="Arial" w:cs="Arial"/>
                <w:b/>
                <w:color w:val="000000"/>
                <w:sz w:val="16"/>
              </w:rPr>
              <w:t>Special Appropriations:</w:t>
            </w:r>
          </w:p>
        </w:tc>
        <w:tc>
          <w:tcPr>
            <w:tcW w:w="0" w:type="auto"/>
            <w:tcBorders>
              <w:top w:val="nil"/>
              <w:left w:val="nil"/>
              <w:bottom w:val="nil"/>
              <w:right w:val="nil"/>
              <w:tl2br w:val="nil"/>
              <w:tr2bl w:val="nil"/>
            </w:tcBorders>
            <w:shd w:val="clear" w:color="auto" w:fill="FFFFFF"/>
            <w:tcMar>
              <w:left w:w="101" w:type="dxa"/>
              <w:right w:w="101" w:type="dxa"/>
            </w:tcMar>
            <w:vAlign w:val="bottom"/>
          </w:tcPr>
          <w:p w14:paraId="33C45207" w14:textId="77777777" w:rsidR="00724034" w:rsidRDefault="00724034">
            <w:pPr>
              <w:rPr>
                <w:rFonts w:ascii="Arial" w:eastAsia="Arial" w:hAnsi="Arial" w:cs="Arial"/>
                <w:b/>
                <w:color w:val="000000"/>
                <w:sz w:val="16"/>
                <w:vertAlign w:val="superscript"/>
              </w:rPr>
            </w:pPr>
          </w:p>
        </w:tc>
        <w:tc>
          <w:tcPr>
            <w:tcW w:w="0" w:type="auto"/>
            <w:tcBorders>
              <w:top w:val="nil"/>
              <w:left w:val="nil"/>
              <w:bottom w:val="nil"/>
              <w:right w:val="nil"/>
              <w:tl2br w:val="nil"/>
              <w:tr2bl w:val="nil"/>
            </w:tcBorders>
            <w:shd w:val="clear" w:color="auto" w:fill="FFFF00"/>
            <w:tcMar>
              <w:left w:w="101" w:type="dxa"/>
              <w:right w:w="101" w:type="dxa"/>
            </w:tcMar>
            <w:vAlign w:val="bottom"/>
          </w:tcPr>
          <w:p w14:paraId="0D8BA05A" w14:textId="77777777" w:rsidR="00724034" w:rsidRDefault="00724034">
            <w:pPr>
              <w:jc w:val="right"/>
              <w:rPr>
                <w:rFonts w:ascii="Arial" w:eastAsia="Arial" w:hAnsi="Arial" w:cs="Arial"/>
                <w:color w:val="000000"/>
                <w:sz w:val="16"/>
                <w:vertAlign w:val="superscript"/>
              </w:rPr>
            </w:pPr>
          </w:p>
        </w:tc>
        <w:tc>
          <w:tcPr>
            <w:tcW w:w="0" w:type="auto"/>
            <w:tcBorders>
              <w:top w:val="nil"/>
              <w:left w:val="nil"/>
              <w:bottom w:val="nil"/>
              <w:right w:val="nil"/>
              <w:tl2br w:val="nil"/>
              <w:tr2bl w:val="nil"/>
            </w:tcBorders>
            <w:shd w:val="clear" w:color="auto" w:fill="FFFFFF"/>
            <w:tcMar>
              <w:left w:w="101" w:type="dxa"/>
              <w:right w:w="101" w:type="dxa"/>
            </w:tcMar>
            <w:vAlign w:val="bottom"/>
          </w:tcPr>
          <w:p w14:paraId="40934CF3" w14:textId="77777777" w:rsidR="00724034" w:rsidRDefault="00724034">
            <w:pPr>
              <w:jc w:val="right"/>
              <w:rPr>
                <w:rFonts w:ascii="Arial" w:eastAsia="Arial" w:hAnsi="Arial" w:cs="Arial"/>
                <w:color w:val="000000"/>
                <w:sz w:val="16"/>
                <w:vertAlign w:val="superscript"/>
              </w:rPr>
            </w:pPr>
          </w:p>
        </w:tc>
        <w:tc>
          <w:tcPr>
            <w:tcW w:w="0" w:type="auto"/>
            <w:tcBorders>
              <w:top w:val="nil"/>
              <w:left w:val="nil"/>
              <w:bottom w:val="nil"/>
              <w:right w:val="nil"/>
              <w:tl2br w:val="nil"/>
              <w:tr2bl w:val="nil"/>
            </w:tcBorders>
            <w:shd w:val="clear" w:color="auto" w:fill="FFFFFF"/>
            <w:tcMar>
              <w:left w:w="101" w:type="dxa"/>
              <w:right w:w="101" w:type="dxa"/>
            </w:tcMar>
            <w:vAlign w:val="bottom"/>
          </w:tcPr>
          <w:p w14:paraId="6DFBDF37" w14:textId="77777777" w:rsidR="00724034" w:rsidRDefault="00724034">
            <w:pPr>
              <w:jc w:val="right"/>
              <w:rPr>
                <w:rFonts w:ascii="Arial" w:eastAsia="Arial" w:hAnsi="Arial" w:cs="Arial"/>
                <w:color w:val="000000"/>
                <w:sz w:val="16"/>
                <w:vertAlign w:val="superscript"/>
              </w:rPr>
            </w:pPr>
          </w:p>
        </w:tc>
        <w:tc>
          <w:tcPr>
            <w:tcW w:w="0" w:type="auto"/>
            <w:tcBorders>
              <w:top w:val="nil"/>
              <w:left w:val="nil"/>
              <w:bottom w:val="nil"/>
              <w:right w:val="single" w:sz="6" w:space="0" w:color="000000"/>
              <w:tl2br w:val="nil"/>
              <w:tr2bl w:val="nil"/>
            </w:tcBorders>
            <w:shd w:val="clear" w:color="auto" w:fill="FFFFFF"/>
            <w:tcMar>
              <w:left w:w="101" w:type="dxa"/>
              <w:right w:w="101" w:type="dxa"/>
            </w:tcMar>
            <w:vAlign w:val="bottom"/>
          </w:tcPr>
          <w:p w14:paraId="72AF321F" w14:textId="77777777" w:rsidR="00724034" w:rsidRDefault="00724034">
            <w:pPr>
              <w:jc w:val="right"/>
              <w:rPr>
                <w:rFonts w:ascii="Arial" w:eastAsia="Arial" w:hAnsi="Arial" w:cs="Arial"/>
                <w:color w:val="000000"/>
                <w:sz w:val="16"/>
                <w:vertAlign w:val="superscript"/>
              </w:rPr>
            </w:pPr>
          </w:p>
        </w:tc>
      </w:tr>
      <w:tr w:rsidR="00FB7D0B" w14:paraId="37DFFD96" w14:textId="77777777" w:rsidTr="00FB7D0B">
        <w:tblPrEx>
          <w:tblLook w:val="04A0" w:firstRow="1" w:lastRow="0" w:firstColumn="1" w:lastColumn="0" w:noHBand="0" w:noVBand="1"/>
        </w:tblPrEx>
        <w:trPr>
          <w:trHeight w:val="450"/>
        </w:trPr>
        <w:tc>
          <w:tcPr>
            <w:tcW w:w="0" w:type="auto"/>
            <w:tcBorders>
              <w:top w:val="single" w:sz="6" w:space="0" w:color="FFFFFF"/>
              <w:left w:val="single" w:sz="6" w:space="0" w:color="000000"/>
              <w:bottom w:val="nil"/>
              <w:right w:val="nil"/>
              <w:tl2br w:val="nil"/>
              <w:tr2bl w:val="nil"/>
            </w:tcBorders>
            <w:shd w:val="clear" w:color="auto" w:fill="FFFFFF"/>
            <w:tcMar>
              <w:left w:w="101" w:type="dxa"/>
              <w:right w:w="101" w:type="dxa"/>
            </w:tcMar>
            <w:vAlign w:val="bottom"/>
          </w:tcPr>
          <w:p w14:paraId="3C5C0992" w14:textId="77777777" w:rsidR="00724034" w:rsidRDefault="00724034">
            <w:pPr>
              <w:rPr>
                <w:rFonts w:ascii="Arial" w:eastAsia="Arial" w:hAnsi="Arial" w:cs="Arial"/>
                <w:color w:val="000000"/>
                <w:sz w:val="16"/>
                <w:vertAlign w:val="superscript"/>
              </w:rPr>
            </w:pPr>
          </w:p>
        </w:tc>
        <w:tc>
          <w:tcPr>
            <w:tcW w:w="0" w:type="auto"/>
            <w:gridSpan w:val="2"/>
            <w:tcBorders>
              <w:top w:val="single" w:sz="6" w:space="0" w:color="FFFFFF"/>
              <w:left w:val="nil"/>
              <w:bottom w:val="nil"/>
              <w:right w:val="nil"/>
              <w:tl2br w:val="nil"/>
              <w:tr2bl w:val="nil"/>
            </w:tcBorders>
            <w:shd w:val="clear" w:color="auto" w:fill="FFFFFF"/>
            <w:tcMar>
              <w:left w:w="101" w:type="dxa"/>
              <w:right w:w="101" w:type="dxa"/>
            </w:tcMar>
            <w:vAlign w:val="bottom"/>
          </w:tcPr>
          <w:p w14:paraId="31E7F46A" w14:textId="77777777" w:rsidR="00724034" w:rsidRDefault="00FB7D0B">
            <w:pPr>
              <w:rPr>
                <w:rFonts w:ascii="Arial" w:eastAsia="Arial" w:hAnsi="Arial" w:cs="Arial"/>
                <w:color w:val="000000"/>
                <w:sz w:val="16"/>
                <w:vertAlign w:val="superscript"/>
              </w:rPr>
            </w:pPr>
            <w:r>
              <w:rPr>
                <w:rFonts w:ascii="Arial" w:eastAsia="Arial" w:hAnsi="Arial" w:cs="Arial"/>
                <w:i/>
                <w:color w:val="000000"/>
                <w:sz w:val="16"/>
              </w:rPr>
              <w:t>Safety, Rehabilitation and Compensation Act 1988</w:t>
            </w:r>
          </w:p>
        </w:tc>
        <w:tc>
          <w:tcPr>
            <w:tcW w:w="0" w:type="auto"/>
            <w:tcBorders>
              <w:top w:val="nil"/>
              <w:left w:val="nil"/>
              <w:bottom w:val="nil"/>
              <w:right w:val="nil"/>
              <w:tl2br w:val="nil"/>
              <w:tr2bl w:val="nil"/>
            </w:tcBorders>
            <w:shd w:val="clear" w:color="auto" w:fill="FFFFFF"/>
            <w:tcMar>
              <w:left w:w="101" w:type="dxa"/>
              <w:right w:w="101" w:type="dxa"/>
            </w:tcMar>
            <w:vAlign w:val="bottom"/>
          </w:tcPr>
          <w:p w14:paraId="2A986033" w14:textId="77777777" w:rsidR="00724034" w:rsidRDefault="00724034">
            <w:pPr>
              <w:rPr>
                <w:rFonts w:ascii="Arial" w:eastAsia="Arial" w:hAnsi="Arial" w:cs="Arial"/>
                <w:i/>
                <w:color w:val="000000"/>
                <w:sz w:val="16"/>
                <w:vertAlign w:val="superscript"/>
              </w:rPr>
            </w:pPr>
          </w:p>
        </w:tc>
        <w:tc>
          <w:tcPr>
            <w:tcW w:w="0" w:type="auto"/>
            <w:tcBorders>
              <w:top w:val="nil"/>
              <w:left w:val="nil"/>
              <w:bottom w:val="nil"/>
              <w:right w:val="nil"/>
              <w:tl2br w:val="nil"/>
              <w:tr2bl w:val="nil"/>
            </w:tcBorders>
            <w:shd w:val="clear" w:color="auto" w:fill="FFFF00"/>
            <w:tcMar>
              <w:left w:w="101" w:type="dxa"/>
              <w:right w:w="101" w:type="dxa"/>
            </w:tcMar>
            <w:vAlign w:val="bottom"/>
          </w:tcPr>
          <w:p w14:paraId="32AF4843" w14:textId="77777777" w:rsidR="00724034" w:rsidRDefault="00724034">
            <w:pPr>
              <w:jc w:val="right"/>
              <w:rPr>
                <w:rFonts w:ascii="Arial" w:eastAsia="Arial" w:hAnsi="Arial" w:cs="Arial"/>
                <w:color w:val="000000"/>
                <w:sz w:val="16"/>
                <w:vertAlign w:val="superscript"/>
              </w:rPr>
            </w:pPr>
          </w:p>
        </w:tc>
        <w:tc>
          <w:tcPr>
            <w:tcW w:w="0" w:type="auto"/>
            <w:tcBorders>
              <w:top w:val="nil"/>
              <w:left w:val="nil"/>
              <w:bottom w:val="nil"/>
              <w:right w:val="nil"/>
              <w:tl2br w:val="nil"/>
              <w:tr2bl w:val="nil"/>
            </w:tcBorders>
            <w:shd w:val="clear" w:color="auto" w:fill="FFFFFF"/>
            <w:tcMar>
              <w:left w:w="101" w:type="dxa"/>
              <w:right w:w="101" w:type="dxa"/>
            </w:tcMar>
            <w:vAlign w:val="bottom"/>
          </w:tcPr>
          <w:p w14:paraId="097413FA" w14:textId="77777777" w:rsidR="00724034" w:rsidRDefault="00724034">
            <w:pPr>
              <w:jc w:val="right"/>
              <w:rPr>
                <w:rFonts w:ascii="Arial" w:eastAsia="Arial" w:hAnsi="Arial" w:cs="Arial"/>
                <w:color w:val="000000"/>
                <w:sz w:val="16"/>
                <w:vertAlign w:val="superscript"/>
              </w:rPr>
            </w:pPr>
          </w:p>
        </w:tc>
        <w:tc>
          <w:tcPr>
            <w:tcW w:w="0" w:type="auto"/>
            <w:tcBorders>
              <w:top w:val="nil"/>
              <w:left w:val="nil"/>
              <w:bottom w:val="nil"/>
              <w:right w:val="nil"/>
              <w:tl2br w:val="nil"/>
              <w:tr2bl w:val="nil"/>
            </w:tcBorders>
            <w:shd w:val="clear" w:color="auto" w:fill="FFFFFF"/>
            <w:tcMar>
              <w:left w:w="101" w:type="dxa"/>
              <w:right w:w="101" w:type="dxa"/>
            </w:tcMar>
            <w:vAlign w:val="bottom"/>
          </w:tcPr>
          <w:p w14:paraId="452F04EF" w14:textId="77777777" w:rsidR="00724034" w:rsidRDefault="00724034">
            <w:pPr>
              <w:jc w:val="right"/>
              <w:rPr>
                <w:rFonts w:ascii="Arial" w:eastAsia="Arial" w:hAnsi="Arial" w:cs="Arial"/>
                <w:color w:val="000000"/>
                <w:sz w:val="16"/>
                <w:vertAlign w:val="superscript"/>
              </w:rPr>
            </w:pPr>
          </w:p>
        </w:tc>
        <w:tc>
          <w:tcPr>
            <w:tcW w:w="0" w:type="auto"/>
            <w:tcBorders>
              <w:top w:val="nil"/>
              <w:left w:val="nil"/>
              <w:bottom w:val="nil"/>
              <w:right w:val="single" w:sz="6" w:space="0" w:color="000000"/>
              <w:tl2br w:val="nil"/>
              <w:tr2bl w:val="nil"/>
            </w:tcBorders>
            <w:shd w:val="clear" w:color="auto" w:fill="FFFFFF"/>
            <w:tcMar>
              <w:left w:w="101" w:type="dxa"/>
              <w:right w:w="101" w:type="dxa"/>
            </w:tcMar>
            <w:vAlign w:val="bottom"/>
          </w:tcPr>
          <w:p w14:paraId="37DD179F" w14:textId="77777777" w:rsidR="00724034" w:rsidRDefault="00724034">
            <w:pPr>
              <w:jc w:val="right"/>
              <w:rPr>
                <w:rFonts w:ascii="Arial" w:eastAsia="Arial" w:hAnsi="Arial" w:cs="Arial"/>
                <w:color w:val="000000"/>
                <w:sz w:val="16"/>
                <w:vertAlign w:val="superscript"/>
              </w:rPr>
            </w:pPr>
          </w:p>
        </w:tc>
      </w:tr>
      <w:tr w:rsidR="00724034" w14:paraId="5D1261EA" w14:textId="77777777">
        <w:tblPrEx>
          <w:tblLook w:val="04A0" w:firstRow="1" w:lastRow="0" w:firstColumn="1" w:lastColumn="0" w:noHBand="0" w:noVBand="1"/>
        </w:tblPrEx>
        <w:trPr>
          <w:trHeight w:val="225"/>
        </w:trPr>
        <w:tc>
          <w:tcPr>
            <w:tcW w:w="0" w:type="auto"/>
            <w:tcBorders>
              <w:top w:val="nil"/>
              <w:left w:val="single" w:sz="6" w:space="0" w:color="000000"/>
              <w:bottom w:val="nil"/>
              <w:right w:val="nil"/>
              <w:tl2br w:val="nil"/>
              <w:tr2bl w:val="nil"/>
            </w:tcBorders>
            <w:shd w:val="clear" w:color="auto" w:fill="FFFFFF"/>
            <w:tcMar>
              <w:left w:w="101" w:type="dxa"/>
              <w:right w:w="101" w:type="dxa"/>
            </w:tcMar>
            <w:vAlign w:val="bottom"/>
          </w:tcPr>
          <w:p w14:paraId="271040A1" w14:textId="77777777" w:rsidR="00724034" w:rsidRDefault="00724034">
            <w:pPr>
              <w:rPr>
                <w:rFonts w:ascii="Arial" w:eastAsia="Arial" w:hAnsi="Arial" w:cs="Arial"/>
                <w:color w:val="000000"/>
                <w:sz w:val="16"/>
                <w:vertAlign w:val="superscript"/>
              </w:rPr>
            </w:pPr>
          </w:p>
        </w:tc>
        <w:tc>
          <w:tcPr>
            <w:tcW w:w="0" w:type="auto"/>
            <w:tcBorders>
              <w:top w:val="nil"/>
              <w:left w:val="nil"/>
              <w:bottom w:val="nil"/>
              <w:right w:val="nil"/>
              <w:tl2br w:val="nil"/>
              <w:tr2bl w:val="nil"/>
            </w:tcBorders>
            <w:shd w:val="clear" w:color="auto" w:fill="FFFFFF"/>
            <w:tcMar>
              <w:left w:w="101" w:type="dxa"/>
              <w:right w:w="101" w:type="dxa"/>
            </w:tcMar>
            <w:vAlign w:val="bottom"/>
          </w:tcPr>
          <w:p w14:paraId="358C31DD" w14:textId="77777777" w:rsidR="00724034" w:rsidRDefault="00724034">
            <w:pPr>
              <w:rPr>
                <w:rFonts w:ascii="Arial" w:eastAsia="Arial" w:hAnsi="Arial" w:cs="Arial"/>
                <w:color w:val="000000"/>
                <w:sz w:val="16"/>
                <w:vertAlign w:val="superscript"/>
              </w:rPr>
            </w:pPr>
          </w:p>
        </w:tc>
        <w:tc>
          <w:tcPr>
            <w:tcW w:w="0" w:type="auto"/>
            <w:tcBorders>
              <w:top w:val="nil"/>
              <w:left w:val="nil"/>
              <w:bottom w:val="nil"/>
              <w:right w:val="nil"/>
              <w:tl2br w:val="nil"/>
              <w:tr2bl w:val="nil"/>
            </w:tcBorders>
            <w:shd w:val="clear" w:color="auto" w:fill="FFFFFF"/>
            <w:tcMar>
              <w:left w:w="101" w:type="dxa"/>
              <w:right w:w="101" w:type="dxa"/>
            </w:tcMar>
            <w:vAlign w:val="bottom"/>
          </w:tcPr>
          <w:p w14:paraId="5E61A8CD" w14:textId="77777777" w:rsidR="00724034" w:rsidRDefault="00FB7D0B">
            <w:pPr>
              <w:rPr>
                <w:rFonts w:ascii="Arial" w:eastAsia="Arial" w:hAnsi="Arial" w:cs="Arial"/>
                <w:color w:val="000000"/>
                <w:sz w:val="16"/>
                <w:vertAlign w:val="superscript"/>
              </w:rPr>
            </w:pPr>
            <w:r>
              <w:rPr>
                <w:rFonts w:ascii="Arial" w:eastAsia="Arial" w:hAnsi="Arial" w:cs="Arial"/>
                <w:color w:val="000000"/>
                <w:sz w:val="16"/>
              </w:rPr>
              <w:t>Medical services</w:t>
            </w:r>
          </w:p>
        </w:tc>
        <w:tc>
          <w:tcPr>
            <w:tcW w:w="0" w:type="auto"/>
            <w:tcBorders>
              <w:top w:val="nil"/>
              <w:left w:val="nil"/>
              <w:bottom w:val="nil"/>
              <w:right w:val="nil"/>
              <w:tl2br w:val="nil"/>
              <w:tr2bl w:val="nil"/>
            </w:tcBorders>
            <w:shd w:val="clear" w:color="auto" w:fill="FFFFFF"/>
            <w:tcMar>
              <w:left w:w="101" w:type="dxa"/>
              <w:right w:w="101" w:type="dxa"/>
            </w:tcMar>
            <w:vAlign w:val="bottom"/>
          </w:tcPr>
          <w:p w14:paraId="63959F2E" w14:textId="77777777" w:rsidR="00724034" w:rsidRDefault="00FB7D0B">
            <w:pPr>
              <w:jc w:val="right"/>
              <w:rPr>
                <w:rFonts w:ascii="Arial" w:eastAsia="Arial" w:hAnsi="Arial" w:cs="Arial"/>
                <w:color w:val="000000"/>
                <w:sz w:val="16"/>
                <w:vertAlign w:val="superscript"/>
              </w:rPr>
            </w:pPr>
            <w:r>
              <w:rPr>
                <w:rFonts w:ascii="Arial" w:eastAsia="Arial" w:hAnsi="Arial" w:cs="Arial"/>
                <w:color w:val="000000"/>
                <w:sz w:val="16"/>
              </w:rPr>
              <w:t>20,576 </w:t>
            </w:r>
          </w:p>
        </w:tc>
        <w:tc>
          <w:tcPr>
            <w:tcW w:w="0" w:type="auto"/>
            <w:tcBorders>
              <w:top w:val="nil"/>
              <w:left w:val="nil"/>
              <w:bottom w:val="nil"/>
              <w:right w:val="nil"/>
              <w:tl2br w:val="nil"/>
              <w:tr2bl w:val="nil"/>
            </w:tcBorders>
            <w:shd w:val="clear" w:color="auto" w:fill="FFFF00"/>
            <w:tcMar>
              <w:left w:w="101" w:type="dxa"/>
              <w:right w:w="101" w:type="dxa"/>
            </w:tcMar>
            <w:vAlign w:val="bottom"/>
          </w:tcPr>
          <w:p w14:paraId="7E089853" w14:textId="77777777" w:rsidR="00724034" w:rsidRDefault="00FB7D0B">
            <w:pPr>
              <w:jc w:val="right"/>
              <w:rPr>
                <w:rFonts w:ascii="Arial" w:eastAsia="Arial" w:hAnsi="Arial" w:cs="Arial"/>
                <w:color w:val="000000"/>
                <w:sz w:val="16"/>
              </w:rPr>
            </w:pPr>
            <w:r>
              <w:rPr>
                <w:rFonts w:ascii="Arial" w:eastAsia="Arial" w:hAnsi="Arial" w:cs="Arial"/>
                <w:color w:val="000000"/>
                <w:sz w:val="16"/>
              </w:rPr>
              <w:t>20,264 </w:t>
            </w:r>
          </w:p>
        </w:tc>
        <w:tc>
          <w:tcPr>
            <w:tcW w:w="0" w:type="auto"/>
            <w:tcBorders>
              <w:top w:val="nil"/>
              <w:left w:val="nil"/>
              <w:bottom w:val="nil"/>
              <w:right w:val="nil"/>
              <w:tl2br w:val="nil"/>
              <w:tr2bl w:val="nil"/>
            </w:tcBorders>
            <w:shd w:val="clear" w:color="auto" w:fill="FFFFFF"/>
            <w:tcMar>
              <w:left w:w="101" w:type="dxa"/>
              <w:right w:w="101" w:type="dxa"/>
            </w:tcMar>
            <w:vAlign w:val="bottom"/>
          </w:tcPr>
          <w:p w14:paraId="2AC8A895" w14:textId="77777777" w:rsidR="00724034" w:rsidRDefault="00FB7D0B">
            <w:pPr>
              <w:jc w:val="right"/>
              <w:rPr>
                <w:rFonts w:ascii="Arial" w:eastAsia="Arial" w:hAnsi="Arial" w:cs="Arial"/>
                <w:color w:val="000000"/>
                <w:sz w:val="16"/>
              </w:rPr>
            </w:pPr>
            <w:r>
              <w:rPr>
                <w:rFonts w:ascii="Arial" w:eastAsia="Arial" w:hAnsi="Arial" w:cs="Arial"/>
                <w:color w:val="000000"/>
                <w:sz w:val="16"/>
              </w:rPr>
              <w:t>20,238 </w:t>
            </w:r>
          </w:p>
        </w:tc>
        <w:tc>
          <w:tcPr>
            <w:tcW w:w="0" w:type="auto"/>
            <w:tcBorders>
              <w:top w:val="nil"/>
              <w:left w:val="nil"/>
              <w:bottom w:val="nil"/>
              <w:right w:val="nil"/>
              <w:tl2br w:val="nil"/>
              <w:tr2bl w:val="nil"/>
            </w:tcBorders>
            <w:shd w:val="clear" w:color="auto" w:fill="FFFFFF"/>
            <w:tcMar>
              <w:left w:w="101" w:type="dxa"/>
              <w:right w:w="101" w:type="dxa"/>
            </w:tcMar>
            <w:vAlign w:val="bottom"/>
          </w:tcPr>
          <w:p w14:paraId="6EF81C7D" w14:textId="77777777" w:rsidR="00724034" w:rsidRDefault="00FB7D0B">
            <w:pPr>
              <w:jc w:val="right"/>
              <w:rPr>
                <w:rFonts w:ascii="Arial" w:eastAsia="Arial" w:hAnsi="Arial" w:cs="Arial"/>
                <w:color w:val="000000"/>
                <w:sz w:val="16"/>
              </w:rPr>
            </w:pPr>
            <w:r>
              <w:rPr>
                <w:rFonts w:ascii="Arial" w:eastAsia="Arial" w:hAnsi="Arial" w:cs="Arial"/>
                <w:color w:val="000000"/>
                <w:sz w:val="16"/>
              </w:rPr>
              <w:t>20,214 </w:t>
            </w:r>
          </w:p>
        </w:tc>
        <w:tc>
          <w:tcPr>
            <w:tcW w:w="0" w:type="auto"/>
            <w:tcBorders>
              <w:top w:val="nil"/>
              <w:left w:val="nil"/>
              <w:bottom w:val="nil"/>
              <w:right w:val="single" w:sz="6" w:space="0" w:color="000000"/>
              <w:tl2br w:val="nil"/>
              <w:tr2bl w:val="nil"/>
            </w:tcBorders>
            <w:shd w:val="clear" w:color="auto" w:fill="FFFFFF"/>
            <w:tcMar>
              <w:left w:w="101" w:type="dxa"/>
              <w:right w:w="101" w:type="dxa"/>
            </w:tcMar>
            <w:vAlign w:val="bottom"/>
          </w:tcPr>
          <w:p w14:paraId="3F69E8BD" w14:textId="77777777" w:rsidR="00724034" w:rsidRDefault="00FB7D0B">
            <w:pPr>
              <w:jc w:val="right"/>
              <w:rPr>
                <w:rFonts w:ascii="Arial" w:eastAsia="Arial" w:hAnsi="Arial" w:cs="Arial"/>
                <w:color w:val="000000"/>
                <w:sz w:val="16"/>
              </w:rPr>
            </w:pPr>
            <w:r>
              <w:rPr>
                <w:rFonts w:ascii="Arial" w:eastAsia="Arial" w:hAnsi="Arial" w:cs="Arial"/>
                <w:color w:val="000000"/>
                <w:sz w:val="16"/>
              </w:rPr>
              <w:t>20,678 </w:t>
            </w:r>
          </w:p>
        </w:tc>
      </w:tr>
      <w:tr w:rsidR="00724034" w14:paraId="4077C1AE" w14:textId="77777777">
        <w:tblPrEx>
          <w:tblLook w:val="04A0" w:firstRow="1" w:lastRow="0" w:firstColumn="1" w:lastColumn="0" w:noHBand="0" w:noVBand="1"/>
        </w:tblPrEx>
        <w:trPr>
          <w:trHeight w:val="225"/>
        </w:trPr>
        <w:tc>
          <w:tcPr>
            <w:tcW w:w="0" w:type="auto"/>
            <w:tcBorders>
              <w:top w:val="nil"/>
              <w:left w:val="single" w:sz="6" w:space="0" w:color="000000"/>
              <w:bottom w:val="nil"/>
              <w:right w:val="nil"/>
              <w:tl2br w:val="nil"/>
              <w:tr2bl w:val="nil"/>
            </w:tcBorders>
            <w:shd w:val="clear" w:color="auto" w:fill="FFFFFF"/>
            <w:tcMar>
              <w:left w:w="101" w:type="dxa"/>
              <w:right w:w="101" w:type="dxa"/>
            </w:tcMar>
            <w:vAlign w:val="bottom"/>
          </w:tcPr>
          <w:p w14:paraId="2543443F" w14:textId="77777777" w:rsidR="00724034" w:rsidRDefault="00724034">
            <w:pPr>
              <w:rPr>
                <w:rFonts w:ascii="Arial" w:eastAsia="Arial" w:hAnsi="Arial" w:cs="Arial"/>
                <w:color w:val="000000"/>
                <w:sz w:val="16"/>
              </w:rPr>
            </w:pPr>
          </w:p>
        </w:tc>
        <w:tc>
          <w:tcPr>
            <w:tcW w:w="0" w:type="auto"/>
            <w:tcBorders>
              <w:top w:val="nil"/>
              <w:left w:val="nil"/>
              <w:bottom w:val="nil"/>
              <w:right w:val="nil"/>
              <w:tl2br w:val="nil"/>
              <w:tr2bl w:val="nil"/>
            </w:tcBorders>
            <w:shd w:val="clear" w:color="auto" w:fill="FFFFFF"/>
            <w:tcMar>
              <w:left w:w="101" w:type="dxa"/>
              <w:right w:w="101" w:type="dxa"/>
            </w:tcMar>
            <w:vAlign w:val="bottom"/>
          </w:tcPr>
          <w:p w14:paraId="209DF07E" w14:textId="77777777" w:rsidR="00724034" w:rsidRDefault="00724034">
            <w:pPr>
              <w:rPr>
                <w:rFonts w:ascii="Arial" w:eastAsia="Arial" w:hAnsi="Arial" w:cs="Arial"/>
                <w:color w:val="000000"/>
                <w:sz w:val="16"/>
              </w:rPr>
            </w:pPr>
          </w:p>
        </w:tc>
        <w:tc>
          <w:tcPr>
            <w:tcW w:w="0" w:type="auto"/>
            <w:tcBorders>
              <w:top w:val="nil"/>
              <w:left w:val="nil"/>
              <w:bottom w:val="nil"/>
              <w:right w:val="nil"/>
              <w:tl2br w:val="nil"/>
              <w:tr2bl w:val="nil"/>
            </w:tcBorders>
            <w:shd w:val="clear" w:color="auto" w:fill="FFFFFF"/>
            <w:tcMar>
              <w:left w:w="101" w:type="dxa"/>
              <w:right w:w="101" w:type="dxa"/>
            </w:tcMar>
            <w:vAlign w:val="bottom"/>
          </w:tcPr>
          <w:p w14:paraId="661FCFD0" w14:textId="77777777" w:rsidR="00724034" w:rsidRDefault="00FB7D0B">
            <w:pPr>
              <w:rPr>
                <w:rFonts w:ascii="Arial" w:eastAsia="Arial" w:hAnsi="Arial" w:cs="Arial"/>
                <w:color w:val="000000"/>
                <w:sz w:val="16"/>
              </w:rPr>
            </w:pPr>
            <w:r>
              <w:rPr>
                <w:rFonts w:ascii="Arial" w:eastAsia="Arial" w:hAnsi="Arial" w:cs="Arial"/>
                <w:color w:val="000000"/>
                <w:sz w:val="16"/>
              </w:rPr>
              <w:t>Rehabilitation services</w:t>
            </w:r>
          </w:p>
        </w:tc>
        <w:tc>
          <w:tcPr>
            <w:tcW w:w="0" w:type="auto"/>
            <w:tcBorders>
              <w:top w:val="nil"/>
              <w:left w:val="nil"/>
              <w:bottom w:val="nil"/>
              <w:right w:val="nil"/>
              <w:tl2br w:val="nil"/>
              <w:tr2bl w:val="nil"/>
            </w:tcBorders>
            <w:shd w:val="clear" w:color="auto" w:fill="FFFFFF"/>
            <w:tcMar>
              <w:left w:w="101" w:type="dxa"/>
              <w:right w:w="101" w:type="dxa"/>
            </w:tcMar>
            <w:vAlign w:val="bottom"/>
          </w:tcPr>
          <w:p w14:paraId="6D7447AF" w14:textId="77777777" w:rsidR="00724034" w:rsidRDefault="00FB7D0B">
            <w:pPr>
              <w:jc w:val="right"/>
              <w:rPr>
                <w:rFonts w:ascii="Arial" w:eastAsia="Arial" w:hAnsi="Arial" w:cs="Arial"/>
                <w:color w:val="000000"/>
                <w:sz w:val="16"/>
                <w:vertAlign w:val="superscript"/>
              </w:rPr>
            </w:pPr>
            <w:r>
              <w:rPr>
                <w:rFonts w:ascii="Arial" w:eastAsia="Arial" w:hAnsi="Arial" w:cs="Arial"/>
                <w:color w:val="000000"/>
                <w:sz w:val="16"/>
              </w:rPr>
              <w:t>6,450 </w:t>
            </w:r>
          </w:p>
        </w:tc>
        <w:tc>
          <w:tcPr>
            <w:tcW w:w="0" w:type="auto"/>
            <w:tcBorders>
              <w:top w:val="nil"/>
              <w:left w:val="nil"/>
              <w:bottom w:val="nil"/>
              <w:right w:val="nil"/>
              <w:tl2br w:val="nil"/>
              <w:tr2bl w:val="nil"/>
            </w:tcBorders>
            <w:shd w:val="clear" w:color="auto" w:fill="FFFF00"/>
            <w:tcMar>
              <w:left w:w="101" w:type="dxa"/>
              <w:right w:w="101" w:type="dxa"/>
            </w:tcMar>
            <w:vAlign w:val="bottom"/>
          </w:tcPr>
          <w:p w14:paraId="20EEFEB6" w14:textId="77777777" w:rsidR="00724034" w:rsidRDefault="00FB7D0B">
            <w:pPr>
              <w:jc w:val="right"/>
              <w:rPr>
                <w:rFonts w:ascii="Arial" w:eastAsia="Arial" w:hAnsi="Arial" w:cs="Arial"/>
                <w:color w:val="000000"/>
                <w:sz w:val="16"/>
              </w:rPr>
            </w:pPr>
            <w:r>
              <w:rPr>
                <w:rFonts w:ascii="Arial" w:eastAsia="Arial" w:hAnsi="Arial" w:cs="Arial"/>
                <w:color w:val="000000"/>
                <w:sz w:val="16"/>
              </w:rPr>
              <w:t>6,369 </w:t>
            </w:r>
          </w:p>
        </w:tc>
        <w:tc>
          <w:tcPr>
            <w:tcW w:w="0" w:type="auto"/>
            <w:tcBorders>
              <w:top w:val="nil"/>
              <w:left w:val="nil"/>
              <w:bottom w:val="nil"/>
              <w:right w:val="nil"/>
              <w:tl2br w:val="nil"/>
              <w:tr2bl w:val="nil"/>
            </w:tcBorders>
            <w:shd w:val="clear" w:color="auto" w:fill="FFFFFF"/>
            <w:tcMar>
              <w:left w:w="101" w:type="dxa"/>
              <w:right w:w="101" w:type="dxa"/>
            </w:tcMar>
            <w:vAlign w:val="bottom"/>
          </w:tcPr>
          <w:p w14:paraId="0BAE4298" w14:textId="77777777" w:rsidR="00724034" w:rsidRDefault="00FB7D0B">
            <w:pPr>
              <w:jc w:val="right"/>
              <w:rPr>
                <w:rFonts w:ascii="Arial" w:eastAsia="Arial" w:hAnsi="Arial" w:cs="Arial"/>
                <w:color w:val="000000"/>
                <w:sz w:val="16"/>
              </w:rPr>
            </w:pPr>
            <w:r>
              <w:rPr>
                <w:rFonts w:ascii="Arial" w:eastAsia="Arial" w:hAnsi="Arial" w:cs="Arial"/>
                <w:color w:val="000000"/>
                <w:sz w:val="16"/>
              </w:rPr>
              <w:t>6,276 </w:t>
            </w:r>
          </w:p>
        </w:tc>
        <w:tc>
          <w:tcPr>
            <w:tcW w:w="0" w:type="auto"/>
            <w:tcBorders>
              <w:top w:val="nil"/>
              <w:left w:val="nil"/>
              <w:bottom w:val="nil"/>
              <w:right w:val="nil"/>
              <w:tl2br w:val="nil"/>
              <w:tr2bl w:val="nil"/>
            </w:tcBorders>
            <w:shd w:val="clear" w:color="auto" w:fill="FFFFFF"/>
            <w:tcMar>
              <w:left w:w="101" w:type="dxa"/>
              <w:right w:w="101" w:type="dxa"/>
            </w:tcMar>
            <w:vAlign w:val="bottom"/>
          </w:tcPr>
          <w:p w14:paraId="373D76B8" w14:textId="77777777" w:rsidR="00724034" w:rsidRDefault="00FB7D0B">
            <w:pPr>
              <w:jc w:val="right"/>
              <w:rPr>
                <w:rFonts w:ascii="Arial" w:eastAsia="Arial" w:hAnsi="Arial" w:cs="Arial"/>
                <w:color w:val="000000"/>
                <w:sz w:val="16"/>
              </w:rPr>
            </w:pPr>
            <w:r>
              <w:rPr>
                <w:rFonts w:ascii="Arial" w:eastAsia="Arial" w:hAnsi="Arial" w:cs="Arial"/>
                <w:color w:val="000000"/>
                <w:sz w:val="16"/>
              </w:rPr>
              <w:t>6,184 </w:t>
            </w:r>
          </w:p>
        </w:tc>
        <w:tc>
          <w:tcPr>
            <w:tcW w:w="0" w:type="auto"/>
            <w:tcBorders>
              <w:top w:val="nil"/>
              <w:left w:val="nil"/>
              <w:bottom w:val="nil"/>
              <w:right w:val="single" w:sz="6" w:space="0" w:color="000000"/>
              <w:tl2br w:val="nil"/>
              <w:tr2bl w:val="nil"/>
            </w:tcBorders>
            <w:shd w:val="clear" w:color="auto" w:fill="FFFFFF"/>
            <w:tcMar>
              <w:left w:w="101" w:type="dxa"/>
              <w:right w:w="101" w:type="dxa"/>
            </w:tcMar>
            <w:vAlign w:val="bottom"/>
          </w:tcPr>
          <w:p w14:paraId="4C003ED8" w14:textId="77777777" w:rsidR="00724034" w:rsidRDefault="00FB7D0B">
            <w:pPr>
              <w:jc w:val="right"/>
              <w:rPr>
                <w:rFonts w:ascii="Arial" w:eastAsia="Arial" w:hAnsi="Arial" w:cs="Arial"/>
                <w:color w:val="000000"/>
                <w:sz w:val="16"/>
              </w:rPr>
            </w:pPr>
            <w:r>
              <w:rPr>
                <w:rFonts w:ascii="Arial" w:eastAsia="Arial" w:hAnsi="Arial" w:cs="Arial"/>
                <w:color w:val="000000"/>
                <w:sz w:val="16"/>
              </w:rPr>
              <w:t>6,307 </w:t>
            </w:r>
          </w:p>
        </w:tc>
      </w:tr>
      <w:tr w:rsidR="00724034" w14:paraId="12296AD9" w14:textId="77777777">
        <w:tblPrEx>
          <w:tblLook w:val="04A0" w:firstRow="1" w:lastRow="0" w:firstColumn="1" w:lastColumn="0" w:noHBand="0" w:noVBand="1"/>
        </w:tblPrEx>
        <w:trPr>
          <w:trHeight w:val="225"/>
        </w:trPr>
        <w:tc>
          <w:tcPr>
            <w:tcW w:w="0" w:type="auto"/>
            <w:tcBorders>
              <w:top w:val="nil"/>
              <w:left w:val="single" w:sz="6" w:space="0" w:color="000000"/>
              <w:bottom w:val="nil"/>
              <w:right w:val="nil"/>
              <w:tl2br w:val="nil"/>
              <w:tr2bl w:val="nil"/>
            </w:tcBorders>
            <w:shd w:val="clear" w:color="auto" w:fill="FFFFFF"/>
            <w:tcMar>
              <w:left w:w="101" w:type="dxa"/>
              <w:right w:w="101" w:type="dxa"/>
            </w:tcMar>
            <w:vAlign w:val="bottom"/>
          </w:tcPr>
          <w:p w14:paraId="4D4E088D" w14:textId="77777777" w:rsidR="00724034" w:rsidRDefault="00724034">
            <w:pPr>
              <w:rPr>
                <w:rFonts w:ascii="Arial" w:eastAsia="Arial" w:hAnsi="Arial" w:cs="Arial"/>
                <w:color w:val="000000"/>
                <w:sz w:val="16"/>
              </w:rPr>
            </w:pPr>
          </w:p>
        </w:tc>
        <w:tc>
          <w:tcPr>
            <w:tcW w:w="0" w:type="auto"/>
            <w:tcBorders>
              <w:top w:val="nil"/>
              <w:left w:val="nil"/>
              <w:bottom w:val="nil"/>
              <w:right w:val="nil"/>
              <w:tl2br w:val="nil"/>
              <w:tr2bl w:val="nil"/>
            </w:tcBorders>
            <w:shd w:val="clear" w:color="auto" w:fill="FFFFFF"/>
            <w:tcMar>
              <w:left w:w="101" w:type="dxa"/>
              <w:right w:w="101" w:type="dxa"/>
            </w:tcMar>
            <w:vAlign w:val="bottom"/>
          </w:tcPr>
          <w:p w14:paraId="45AAE8FB" w14:textId="77777777" w:rsidR="00724034" w:rsidRDefault="00724034">
            <w:pPr>
              <w:rPr>
                <w:rFonts w:ascii="Arial" w:eastAsia="Arial" w:hAnsi="Arial" w:cs="Arial"/>
                <w:color w:val="000000"/>
                <w:sz w:val="16"/>
              </w:rPr>
            </w:pPr>
          </w:p>
        </w:tc>
        <w:tc>
          <w:tcPr>
            <w:tcW w:w="0" w:type="auto"/>
            <w:tcBorders>
              <w:top w:val="nil"/>
              <w:left w:val="nil"/>
              <w:bottom w:val="nil"/>
              <w:right w:val="nil"/>
              <w:tl2br w:val="nil"/>
              <w:tr2bl w:val="nil"/>
            </w:tcBorders>
            <w:shd w:val="clear" w:color="auto" w:fill="FFFFFF"/>
            <w:tcMar>
              <w:left w:w="101" w:type="dxa"/>
              <w:right w:w="101" w:type="dxa"/>
            </w:tcMar>
            <w:vAlign w:val="bottom"/>
          </w:tcPr>
          <w:p w14:paraId="48B8C444" w14:textId="77777777" w:rsidR="00724034" w:rsidRDefault="00FB7D0B">
            <w:pPr>
              <w:rPr>
                <w:rFonts w:ascii="Arial" w:eastAsia="Arial" w:hAnsi="Arial" w:cs="Arial"/>
                <w:color w:val="000000"/>
                <w:sz w:val="16"/>
              </w:rPr>
            </w:pPr>
            <w:r>
              <w:rPr>
                <w:rFonts w:ascii="Arial" w:eastAsia="Arial" w:hAnsi="Arial" w:cs="Arial"/>
                <w:color w:val="000000"/>
                <w:sz w:val="16"/>
              </w:rPr>
              <w:t>Other services</w:t>
            </w:r>
          </w:p>
        </w:tc>
        <w:tc>
          <w:tcPr>
            <w:tcW w:w="0" w:type="auto"/>
            <w:tcBorders>
              <w:top w:val="nil"/>
              <w:left w:val="nil"/>
              <w:bottom w:val="nil"/>
              <w:right w:val="nil"/>
              <w:tl2br w:val="nil"/>
              <w:tr2bl w:val="nil"/>
            </w:tcBorders>
            <w:shd w:val="clear" w:color="auto" w:fill="FFFFFF"/>
            <w:tcMar>
              <w:left w:w="101" w:type="dxa"/>
              <w:right w:w="101" w:type="dxa"/>
            </w:tcMar>
            <w:vAlign w:val="bottom"/>
          </w:tcPr>
          <w:p w14:paraId="734E51CC" w14:textId="77777777" w:rsidR="00724034" w:rsidRDefault="00FB7D0B">
            <w:pPr>
              <w:jc w:val="right"/>
              <w:rPr>
                <w:rFonts w:ascii="Arial" w:eastAsia="Arial" w:hAnsi="Arial" w:cs="Arial"/>
                <w:color w:val="000000"/>
                <w:sz w:val="16"/>
                <w:vertAlign w:val="superscript"/>
              </w:rPr>
            </w:pPr>
            <w:r>
              <w:rPr>
                <w:rFonts w:ascii="Arial" w:eastAsia="Arial" w:hAnsi="Arial" w:cs="Arial"/>
                <w:color w:val="000000"/>
                <w:sz w:val="16"/>
              </w:rPr>
              <w:t>13,147 </w:t>
            </w:r>
          </w:p>
        </w:tc>
        <w:tc>
          <w:tcPr>
            <w:tcW w:w="0" w:type="auto"/>
            <w:tcBorders>
              <w:top w:val="nil"/>
              <w:left w:val="nil"/>
              <w:bottom w:val="nil"/>
              <w:right w:val="nil"/>
              <w:tl2br w:val="nil"/>
              <w:tr2bl w:val="nil"/>
            </w:tcBorders>
            <w:shd w:val="clear" w:color="auto" w:fill="FFFF00"/>
            <w:tcMar>
              <w:left w:w="101" w:type="dxa"/>
              <w:right w:w="101" w:type="dxa"/>
            </w:tcMar>
            <w:vAlign w:val="bottom"/>
          </w:tcPr>
          <w:p w14:paraId="1EA4EAEF" w14:textId="77777777" w:rsidR="00724034" w:rsidRDefault="00FB7D0B">
            <w:pPr>
              <w:jc w:val="right"/>
              <w:rPr>
                <w:rFonts w:ascii="Arial" w:eastAsia="Arial" w:hAnsi="Arial" w:cs="Arial"/>
                <w:color w:val="000000"/>
                <w:sz w:val="16"/>
              </w:rPr>
            </w:pPr>
            <w:r>
              <w:rPr>
                <w:rFonts w:ascii="Arial" w:eastAsia="Arial" w:hAnsi="Arial" w:cs="Arial"/>
                <w:color w:val="000000"/>
                <w:sz w:val="16"/>
              </w:rPr>
              <w:t>13,156 </w:t>
            </w:r>
          </w:p>
        </w:tc>
        <w:tc>
          <w:tcPr>
            <w:tcW w:w="0" w:type="auto"/>
            <w:tcBorders>
              <w:top w:val="nil"/>
              <w:left w:val="nil"/>
              <w:bottom w:val="nil"/>
              <w:right w:val="nil"/>
              <w:tl2br w:val="nil"/>
              <w:tr2bl w:val="nil"/>
            </w:tcBorders>
            <w:shd w:val="clear" w:color="auto" w:fill="FFFFFF"/>
            <w:tcMar>
              <w:left w:w="101" w:type="dxa"/>
              <w:right w:w="101" w:type="dxa"/>
            </w:tcMar>
            <w:vAlign w:val="bottom"/>
          </w:tcPr>
          <w:p w14:paraId="37D594FD" w14:textId="77777777" w:rsidR="00724034" w:rsidRDefault="00FB7D0B">
            <w:pPr>
              <w:jc w:val="right"/>
              <w:rPr>
                <w:rFonts w:ascii="Arial" w:eastAsia="Arial" w:hAnsi="Arial" w:cs="Arial"/>
                <w:color w:val="000000"/>
                <w:sz w:val="16"/>
              </w:rPr>
            </w:pPr>
            <w:r>
              <w:rPr>
                <w:rFonts w:ascii="Arial" w:eastAsia="Arial" w:hAnsi="Arial" w:cs="Arial"/>
                <w:color w:val="000000"/>
                <w:sz w:val="16"/>
              </w:rPr>
              <w:t>13,151 </w:t>
            </w:r>
          </w:p>
        </w:tc>
        <w:tc>
          <w:tcPr>
            <w:tcW w:w="0" w:type="auto"/>
            <w:tcBorders>
              <w:top w:val="nil"/>
              <w:left w:val="nil"/>
              <w:bottom w:val="nil"/>
              <w:right w:val="nil"/>
              <w:tl2br w:val="nil"/>
              <w:tr2bl w:val="nil"/>
            </w:tcBorders>
            <w:shd w:val="clear" w:color="auto" w:fill="FFFFFF"/>
            <w:tcMar>
              <w:left w:w="101" w:type="dxa"/>
              <w:right w:w="101" w:type="dxa"/>
            </w:tcMar>
            <w:vAlign w:val="bottom"/>
          </w:tcPr>
          <w:p w14:paraId="17C1704D" w14:textId="77777777" w:rsidR="00724034" w:rsidRDefault="00FB7D0B">
            <w:pPr>
              <w:jc w:val="right"/>
              <w:rPr>
                <w:rFonts w:ascii="Arial" w:eastAsia="Arial" w:hAnsi="Arial" w:cs="Arial"/>
                <w:color w:val="000000"/>
                <w:sz w:val="16"/>
              </w:rPr>
            </w:pPr>
            <w:r>
              <w:rPr>
                <w:rFonts w:ascii="Arial" w:eastAsia="Arial" w:hAnsi="Arial" w:cs="Arial"/>
                <w:color w:val="000000"/>
                <w:sz w:val="16"/>
              </w:rPr>
              <w:t>13,142 </w:t>
            </w:r>
          </w:p>
        </w:tc>
        <w:tc>
          <w:tcPr>
            <w:tcW w:w="0" w:type="auto"/>
            <w:tcBorders>
              <w:top w:val="nil"/>
              <w:left w:val="nil"/>
              <w:bottom w:val="nil"/>
              <w:right w:val="single" w:sz="6" w:space="0" w:color="000000"/>
              <w:tl2br w:val="nil"/>
              <w:tr2bl w:val="nil"/>
            </w:tcBorders>
            <w:shd w:val="clear" w:color="auto" w:fill="FFFFFF"/>
            <w:tcMar>
              <w:left w:w="101" w:type="dxa"/>
              <w:right w:w="101" w:type="dxa"/>
            </w:tcMar>
            <w:vAlign w:val="bottom"/>
          </w:tcPr>
          <w:p w14:paraId="72FDEAE6" w14:textId="77777777" w:rsidR="00724034" w:rsidRDefault="00FB7D0B">
            <w:pPr>
              <w:jc w:val="right"/>
              <w:rPr>
                <w:rFonts w:ascii="Arial" w:eastAsia="Arial" w:hAnsi="Arial" w:cs="Arial"/>
                <w:color w:val="000000"/>
                <w:sz w:val="16"/>
              </w:rPr>
            </w:pPr>
            <w:r>
              <w:rPr>
                <w:rFonts w:ascii="Arial" w:eastAsia="Arial" w:hAnsi="Arial" w:cs="Arial"/>
                <w:color w:val="000000"/>
                <w:sz w:val="16"/>
              </w:rPr>
              <w:t>13,324 </w:t>
            </w:r>
          </w:p>
        </w:tc>
      </w:tr>
      <w:tr w:rsidR="00FB7D0B" w14:paraId="3B1765AA" w14:textId="77777777" w:rsidTr="00FB7D0B">
        <w:tblPrEx>
          <w:tblLook w:val="04A0" w:firstRow="1" w:lastRow="0" w:firstColumn="1" w:lastColumn="0" w:noHBand="0" w:noVBand="1"/>
        </w:tblPrEx>
        <w:trPr>
          <w:trHeight w:val="450"/>
        </w:trPr>
        <w:tc>
          <w:tcPr>
            <w:tcW w:w="0" w:type="auto"/>
            <w:tcBorders>
              <w:top w:val="nil"/>
              <w:left w:val="single" w:sz="6" w:space="0" w:color="000000"/>
              <w:bottom w:val="nil"/>
              <w:right w:val="nil"/>
              <w:tl2br w:val="nil"/>
              <w:tr2bl w:val="nil"/>
            </w:tcBorders>
            <w:shd w:val="clear" w:color="auto" w:fill="FFFFFF"/>
            <w:tcMar>
              <w:left w:w="101" w:type="dxa"/>
              <w:right w:w="101" w:type="dxa"/>
            </w:tcMar>
            <w:vAlign w:val="bottom"/>
          </w:tcPr>
          <w:p w14:paraId="59F4D2E2" w14:textId="77777777" w:rsidR="00724034" w:rsidRDefault="00724034">
            <w:pPr>
              <w:rPr>
                <w:rFonts w:ascii="Arial" w:eastAsia="Arial" w:hAnsi="Arial" w:cs="Arial"/>
                <w:color w:val="000000"/>
                <w:sz w:val="16"/>
              </w:rPr>
            </w:pPr>
          </w:p>
        </w:tc>
        <w:tc>
          <w:tcPr>
            <w:tcW w:w="0" w:type="auto"/>
            <w:gridSpan w:val="2"/>
            <w:tcBorders>
              <w:top w:val="nil"/>
              <w:left w:val="nil"/>
              <w:bottom w:val="nil"/>
              <w:right w:val="nil"/>
              <w:tl2br w:val="nil"/>
              <w:tr2bl w:val="nil"/>
            </w:tcBorders>
            <w:shd w:val="clear" w:color="auto" w:fill="FFFFFF"/>
            <w:tcMar>
              <w:left w:w="101" w:type="dxa"/>
              <w:right w:w="101" w:type="dxa"/>
            </w:tcMar>
            <w:vAlign w:val="bottom"/>
          </w:tcPr>
          <w:p w14:paraId="204B0FF4" w14:textId="77777777" w:rsidR="00724034" w:rsidRDefault="00FB7D0B">
            <w:pPr>
              <w:rPr>
                <w:rFonts w:ascii="Arial" w:eastAsia="Arial" w:hAnsi="Arial" w:cs="Arial"/>
                <w:color w:val="000000"/>
                <w:sz w:val="16"/>
              </w:rPr>
            </w:pPr>
            <w:r>
              <w:rPr>
                <w:rFonts w:ascii="Arial" w:eastAsia="Arial" w:hAnsi="Arial" w:cs="Arial"/>
                <w:i/>
                <w:color w:val="000000"/>
                <w:sz w:val="16"/>
              </w:rPr>
              <w:t>Military Rehabilitation and Compensation Act 2004</w:t>
            </w:r>
          </w:p>
        </w:tc>
        <w:tc>
          <w:tcPr>
            <w:tcW w:w="0" w:type="auto"/>
            <w:tcBorders>
              <w:top w:val="nil"/>
              <w:left w:val="nil"/>
              <w:bottom w:val="nil"/>
              <w:right w:val="nil"/>
              <w:tl2br w:val="nil"/>
              <w:tr2bl w:val="nil"/>
            </w:tcBorders>
            <w:shd w:val="clear" w:color="auto" w:fill="FFFFFF"/>
            <w:tcMar>
              <w:left w:w="101" w:type="dxa"/>
              <w:right w:w="101" w:type="dxa"/>
            </w:tcMar>
            <w:vAlign w:val="bottom"/>
          </w:tcPr>
          <w:p w14:paraId="7AAFD409" w14:textId="77777777" w:rsidR="00724034" w:rsidRDefault="00724034">
            <w:pPr>
              <w:rPr>
                <w:rFonts w:ascii="Arial" w:eastAsia="Arial" w:hAnsi="Arial" w:cs="Arial"/>
                <w:i/>
                <w:color w:val="000000"/>
                <w:sz w:val="16"/>
                <w:vertAlign w:val="superscript"/>
              </w:rPr>
            </w:pPr>
          </w:p>
        </w:tc>
        <w:tc>
          <w:tcPr>
            <w:tcW w:w="0" w:type="auto"/>
            <w:tcBorders>
              <w:top w:val="nil"/>
              <w:left w:val="nil"/>
              <w:bottom w:val="nil"/>
              <w:right w:val="nil"/>
              <w:tl2br w:val="nil"/>
              <w:tr2bl w:val="nil"/>
            </w:tcBorders>
            <w:shd w:val="clear" w:color="auto" w:fill="FFFF00"/>
            <w:tcMar>
              <w:left w:w="101" w:type="dxa"/>
              <w:right w:w="101" w:type="dxa"/>
            </w:tcMar>
            <w:vAlign w:val="bottom"/>
          </w:tcPr>
          <w:p w14:paraId="466659A7" w14:textId="77777777" w:rsidR="00724034" w:rsidRDefault="00724034">
            <w:pPr>
              <w:jc w:val="right"/>
              <w:rPr>
                <w:rFonts w:ascii="Arial" w:eastAsia="Arial" w:hAnsi="Arial" w:cs="Arial"/>
                <w:color w:val="000000"/>
                <w:sz w:val="16"/>
                <w:vertAlign w:val="superscript"/>
              </w:rPr>
            </w:pPr>
          </w:p>
        </w:tc>
        <w:tc>
          <w:tcPr>
            <w:tcW w:w="0" w:type="auto"/>
            <w:tcBorders>
              <w:top w:val="nil"/>
              <w:left w:val="nil"/>
              <w:bottom w:val="nil"/>
              <w:right w:val="nil"/>
              <w:tl2br w:val="nil"/>
              <w:tr2bl w:val="nil"/>
            </w:tcBorders>
            <w:shd w:val="clear" w:color="auto" w:fill="FFFFFF"/>
            <w:tcMar>
              <w:left w:w="101" w:type="dxa"/>
              <w:right w:w="101" w:type="dxa"/>
            </w:tcMar>
            <w:vAlign w:val="bottom"/>
          </w:tcPr>
          <w:p w14:paraId="5F8A2339" w14:textId="77777777" w:rsidR="00724034" w:rsidRDefault="00724034">
            <w:pPr>
              <w:jc w:val="right"/>
              <w:rPr>
                <w:rFonts w:ascii="Arial" w:eastAsia="Arial" w:hAnsi="Arial" w:cs="Arial"/>
                <w:color w:val="000000"/>
                <w:sz w:val="16"/>
                <w:vertAlign w:val="superscript"/>
              </w:rPr>
            </w:pPr>
          </w:p>
        </w:tc>
        <w:tc>
          <w:tcPr>
            <w:tcW w:w="0" w:type="auto"/>
            <w:tcBorders>
              <w:top w:val="nil"/>
              <w:left w:val="nil"/>
              <w:bottom w:val="nil"/>
              <w:right w:val="nil"/>
              <w:tl2br w:val="nil"/>
              <w:tr2bl w:val="nil"/>
            </w:tcBorders>
            <w:shd w:val="clear" w:color="auto" w:fill="FFFFFF"/>
            <w:tcMar>
              <w:left w:w="101" w:type="dxa"/>
              <w:right w:w="101" w:type="dxa"/>
            </w:tcMar>
            <w:vAlign w:val="bottom"/>
          </w:tcPr>
          <w:p w14:paraId="51762D74" w14:textId="77777777" w:rsidR="00724034" w:rsidRDefault="00724034">
            <w:pPr>
              <w:jc w:val="right"/>
              <w:rPr>
                <w:rFonts w:ascii="Arial" w:eastAsia="Arial" w:hAnsi="Arial" w:cs="Arial"/>
                <w:color w:val="000000"/>
                <w:sz w:val="16"/>
                <w:vertAlign w:val="superscript"/>
              </w:rPr>
            </w:pPr>
          </w:p>
        </w:tc>
        <w:tc>
          <w:tcPr>
            <w:tcW w:w="0" w:type="auto"/>
            <w:tcBorders>
              <w:top w:val="nil"/>
              <w:left w:val="nil"/>
              <w:bottom w:val="nil"/>
              <w:right w:val="single" w:sz="6" w:space="0" w:color="000000"/>
              <w:tl2br w:val="nil"/>
              <w:tr2bl w:val="nil"/>
            </w:tcBorders>
            <w:shd w:val="clear" w:color="auto" w:fill="FFFFFF"/>
            <w:tcMar>
              <w:left w:w="101" w:type="dxa"/>
              <w:right w:w="101" w:type="dxa"/>
            </w:tcMar>
            <w:vAlign w:val="bottom"/>
          </w:tcPr>
          <w:p w14:paraId="3DBA9C9F" w14:textId="77777777" w:rsidR="00724034" w:rsidRDefault="00724034">
            <w:pPr>
              <w:jc w:val="right"/>
              <w:rPr>
                <w:rFonts w:ascii="Arial" w:eastAsia="Arial" w:hAnsi="Arial" w:cs="Arial"/>
                <w:color w:val="000000"/>
                <w:sz w:val="16"/>
                <w:vertAlign w:val="superscript"/>
              </w:rPr>
            </w:pPr>
          </w:p>
        </w:tc>
      </w:tr>
      <w:tr w:rsidR="00724034" w14:paraId="4A121D69" w14:textId="77777777">
        <w:tblPrEx>
          <w:tblLook w:val="04A0" w:firstRow="1" w:lastRow="0" w:firstColumn="1" w:lastColumn="0" w:noHBand="0" w:noVBand="1"/>
        </w:tblPrEx>
        <w:trPr>
          <w:trHeight w:val="225"/>
        </w:trPr>
        <w:tc>
          <w:tcPr>
            <w:tcW w:w="0" w:type="auto"/>
            <w:tcBorders>
              <w:top w:val="nil"/>
              <w:left w:val="single" w:sz="6" w:space="0" w:color="000000"/>
              <w:bottom w:val="nil"/>
              <w:right w:val="nil"/>
              <w:tl2br w:val="nil"/>
              <w:tr2bl w:val="nil"/>
            </w:tcBorders>
            <w:shd w:val="clear" w:color="auto" w:fill="FFFFFF"/>
            <w:tcMar>
              <w:left w:w="101" w:type="dxa"/>
              <w:right w:w="101" w:type="dxa"/>
            </w:tcMar>
            <w:vAlign w:val="bottom"/>
          </w:tcPr>
          <w:p w14:paraId="0BA405CD" w14:textId="77777777" w:rsidR="00724034" w:rsidRDefault="00724034">
            <w:pPr>
              <w:rPr>
                <w:rFonts w:ascii="Arial" w:eastAsia="Arial" w:hAnsi="Arial" w:cs="Arial"/>
                <w:color w:val="000000"/>
                <w:sz w:val="16"/>
                <w:vertAlign w:val="superscript"/>
              </w:rPr>
            </w:pPr>
          </w:p>
        </w:tc>
        <w:tc>
          <w:tcPr>
            <w:tcW w:w="0" w:type="auto"/>
            <w:tcBorders>
              <w:top w:val="nil"/>
              <w:left w:val="nil"/>
              <w:bottom w:val="nil"/>
              <w:right w:val="nil"/>
              <w:tl2br w:val="nil"/>
              <w:tr2bl w:val="nil"/>
            </w:tcBorders>
            <w:shd w:val="clear" w:color="auto" w:fill="FFFFFF"/>
            <w:tcMar>
              <w:left w:w="101" w:type="dxa"/>
              <w:right w:w="101" w:type="dxa"/>
            </w:tcMar>
            <w:vAlign w:val="bottom"/>
          </w:tcPr>
          <w:p w14:paraId="2E7F3130" w14:textId="77777777" w:rsidR="00724034" w:rsidRDefault="00724034">
            <w:pPr>
              <w:rPr>
                <w:rFonts w:ascii="Arial" w:eastAsia="Arial" w:hAnsi="Arial" w:cs="Arial"/>
                <w:color w:val="000000"/>
                <w:sz w:val="16"/>
                <w:vertAlign w:val="superscript"/>
              </w:rPr>
            </w:pPr>
          </w:p>
        </w:tc>
        <w:tc>
          <w:tcPr>
            <w:tcW w:w="0" w:type="auto"/>
            <w:tcBorders>
              <w:top w:val="nil"/>
              <w:left w:val="nil"/>
              <w:bottom w:val="nil"/>
              <w:right w:val="nil"/>
              <w:tl2br w:val="nil"/>
              <w:tr2bl w:val="nil"/>
            </w:tcBorders>
            <w:shd w:val="clear" w:color="auto" w:fill="FFFFFF"/>
            <w:tcMar>
              <w:left w:w="101" w:type="dxa"/>
              <w:right w:w="101" w:type="dxa"/>
            </w:tcMar>
            <w:vAlign w:val="bottom"/>
          </w:tcPr>
          <w:p w14:paraId="608EBC40" w14:textId="77777777" w:rsidR="00724034" w:rsidRDefault="00FB7D0B">
            <w:pPr>
              <w:rPr>
                <w:rFonts w:ascii="Arial" w:eastAsia="Arial" w:hAnsi="Arial" w:cs="Arial"/>
                <w:color w:val="000000"/>
                <w:sz w:val="16"/>
                <w:vertAlign w:val="superscript"/>
              </w:rPr>
            </w:pPr>
            <w:r>
              <w:rPr>
                <w:rFonts w:ascii="Arial" w:eastAsia="Arial" w:hAnsi="Arial" w:cs="Arial"/>
                <w:color w:val="000000"/>
                <w:sz w:val="16"/>
              </w:rPr>
              <w:t>Medical services</w:t>
            </w:r>
          </w:p>
        </w:tc>
        <w:tc>
          <w:tcPr>
            <w:tcW w:w="0" w:type="auto"/>
            <w:tcBorders>
              <w:top w:val="nil"/>
              <w:left w:val="nil"/>
              <w:bottom w:val="nil"/>
              <w:right w:val="nil"/>
              <w:tl2br w:val="nil"/>
              <w:tr2bl w:val="nil"/>
            </w:tcBorders>
            <w:shd w:val="clear" w:color="auto" w:fill="FFFFFF"/>
            <w:tcMar>
              <w:left w:w="101" w:type="dxa"/>
              <w:right w:w="101" w:type="dxa"/>
            </w:tcMar>
            <w:vAlign w:val="bottom"/>
          </w:tcPr>
          <w:p w14:paraId="5ED8DDD5" w14:textId="77777777" w:rsidR="00724034" w:rsidRDefault="00FB7D0B">
            <w:pPr>
              <w:jc w:val="right"/>
              <w:rPr>
                <w:rFonts w:ascii="Arial" w:eastAsia="Arial" w:hAnsi="Arial" w:cs="Arial"/>
                <w:color w:val="000000"/>
                <w:sz w:val="16"/>
                <w:vertAlign w:val="superscript"/>
              </w:rPr>
            </w:pPr>
            <w:r>
              <w:rPr>
                <w:rFonts w:ascii="Arial" w:eastAsia="Arial" w:hAnsi="Arial" w:cs="Arial"/>
                <w:color w:val="000000"/>
                <w:sz w:val="16"/>
              </w:rPr>
              <w:t>21,815 </w:t>
            </w:r>
          </w:p>
        </w:tc>
        <w:tc>
          <w:tcPr>
            <w:tcW w:w="0" w:type="auto"/>
            <w:tcBorders>
              <w:top w:val="nil"/>
              <w:left w:val="nil"/>
              <w:bottom w:val="nil"/>
              <w:right w:val="nil"/>
              <w:tl2br w:val="nil"/>
              <w:tr2bl w:val="nil"/>
            </w:tcBorders>
            <w:shd w:val="clear" w:color="auto" w:fill="FFFF00"/>
            <w:tcMar>
              <w:left w:w="101" w:type="dxa"/>
              <w:right w:w="101" w:type="dxa"/>
            </w:tcMar>
            <w:vAlign w:val="bottom"/>
          </w:tcPr>
          <w:p w14:paraId="40C31483" w14:textId="77777777" w:rsidR="00724034" w:rsidRDefault="00FB7D0B">
            <w:pPr>
              <w:jc w:val="right"/>
              <w:rPr>
                <w:rFonts w:ascii="Arial" w:eastAsia="Arial" w:hAnsi="Arial" w:cs="Arial"/>
                <w:color w:val="000000"/>
                <w:sz w:val="16"/>
              </w:rPr>
            </w:pPr>
            <w:r>
              <w:rPr>
                <w:rFonts w:ascii="Arial" w:eastAsia="Arial" w:hAnsi="Arial" w:cs="Arial"/>
                <w:color w:val="000000"/>
                <w:sz w:val="16"/>
              </w:rPr>
              <w:t>24,449 </w:t>
            </w:r>
          </w:p>
        </w:tc>
        <w:tc>
          <w:tcPr>
            <w:tcW w:w="0" w:type="auto"/>
            <w:tcBorders>
              <w:top w:val="nil"/>
              <w:left w:val="nil"/>
              <w:bottom w:val="nil"/>
              <w:right w:val="nil"/>
              <w:tl2br w:val="nil"/>
              <w:tr2bl w:val="nil"/>
            </w:tcBorders>
            <w:shd w:val="clear" w:color="auto" w:fill="FFFFFF"/>
            <w:tcMar>
              <w:left w:w="101" w:type="dxa"/>
              <w:right w:w="101" w:type="dxa"/>
            </w:tcMar>
            <w:vAlign w:val="bottom"/>
          </w:tcPr>
          <w:p w14:paraId="16F6C128" w14:textId="77777777" w:rsidR="00724034" w:rsidRDefault="00FB7D0B">
            <w:pPr>
              <w:jc w:val="right"/>
              <w:rPr>
                <w:rFonts w:ascii="Arial" w:eastAsia="Arial" w:hAnsi="Arial" w:cs="Arial"/>
                <w:color w:val="000000"/>
                <w:sz w:val="16"/>
              </w:rPr>
            </w:pPr>
            <w:r>
              <w:rPr>
                <w:rFonts w:ascii="Arial" w:eastAsia="Arial" w:hAnsi="Arial" w:cs="Arial"/>
                <w:color w:val="000000"/>
                <w:sz w:val="16"/>
              </w:rPr>
              <w:t>28,112 </w:t>
            </w:r>
          </w:p>
        </w:tc>
        <w:tc>
          <w:tcPr>
            <w:tcW w:w="0" w:type="auto"/>
            <w:tcBorders>
              <w:top w:val="nil"/>
              <w:left w:val="nil"/>
              <w:bottom w:val="nil"/>
              <w:right w:val="nil"/>
              <w:tl2br w:val="nil"/>
              <w:tr2bl w:val="nil"/>
            </w:tcBorders>
            <w:shd w:val="clear" w:color="auto" w:fill="FFFFFF"/>
            <w:tcMar>
              <w:left w:w="101" w:type="dxa"/>
              <w:right w:w="101" w:type="dxa"/>
            </w:tcMar>
            <w:vAlign w:val="bottom"/>
          </w:tcPr>
          <w:p w14:paraId="135CCDA9" w14:textId="77777777" w:rsidR="00724034" w:rsidRDefault="00FB7D0B">
            <w:pPr>
              <w:jc w:val="right"/>
              <w:rPr>
                <w:rFonts w:ascii="Arial" w:eastAsia="Arial" w:hAnsi="Arial" w:cs="Arial"/>
                <w:color w:val="000000"/>
                <w:sz w:val="16"/>
              </w:rPr>
            </w:pPr>
            <w:r>
              <w:rPr>
                <w:rFonts w:ascii="Arial" w:eastAsia="Arial" w:hAnsi="Arial" w:cs="Arial"/>
                <w:color w:val="000000"/>
                <w:sz w:val="16"/>
              </w:rPr>
              <w:t>32,327 </w:t>
            </w:r>
          </w:p>
        </w:tc>
        <w:tc>
          <w:tcPr>
            <w:tcW w:w="0" w:type="auto"/>
            <w:tcBorders>
              <w:top w:val="nil"/>
              <w:left w:val="nil"/>
              <w:bottom w:val="nil"/>
              <w:right w:val="single" w:sz="6" w:space="0" w:color="000000"/>
              <w:tl2br w:val="nil"/>
              <w:tr2bl w:val="nil"/>
            </w:tcBorders>
            <w:shd w:val="clear" w:color="auto" w:fill="FFFFFF"/>
            <w:tcMar>
              <w:left w:w="101" w:type="dxa"/>
              <w:right w:w="101" w:type="dxa"/>
            </w:tcMar>
            <w:vAlign w:val="bottom"/>
          </w:tcPr>
          <w:p w14:paraId="6A4A93B9" w14:textId="77777777" w:rsidR="00724034" w:rsidRDefault="00FB7D0B">
            <w:pPr>
              <w:jc w:val="right"/>
              <w:rPr>
                <w:rFonts w:ascii="Arial" w:eastAsia="Arial" w:hAnsi="Arial" w:cs="Arial"/>
                <w:color w:val="000000"/>
                <w:sz w:val="16"/>
              </w:rPr>
            </w:pPr>
            <w:r>
              <w:rPr>
                <w:rFonts w:ascii="Arial" w:eastAsia="Arial" w:hAnsi="Arial" w:cs="Arial"/>
                <w:color w:val="000000"/>
                <w:sz w:val="16"/>
              </w:rPr>
              <w:t>32,973 </w:t>
            </w:r>
          </w:p>
        </w:tc>
      </w:tr>
      <w:tr w:rsidR="00724034" w14:paraId="1CBA2D56" w14:textId="77777777">
        <w:tblPrEx>
          <w:tblLook w:val="04A0" w:firstRow="1" w:lastRow="0" w:firstColumn="1" w:lastColumn="0" w:noHBand="0" w:noVBand="1"/>
        </w:tblPrEx>
        <w:trPr>
          <w:trHeight w:val="225"/>
        </w:trPr>
        <w:tc>
          <w:tcPr>
            <w:tcW w:w="0" w:type="auto"/>
            <w:tcBorders>
              <w:top w:val="nil"/>
              <w:left w:val="single" w:sz="6" w:space="0" w:color="000000"/>
              <w:bottom w:val="nil"/>
              <w:right w:val="nil"/>
              <w:tl2br w:val="nil"/>
              <w:tr2bl w:val="nil"/>
            </w:tcBorders>
            <w:shd w:val="clear" w:color="auto" w:fill="FFFFFF"/>
            <w:tcMar>
              <w:left w:w="101" w:type="dxa"/>
              <w:right w:w="101" w:type="dxa"/>
            </w:tcMar>
            <w:vAlign w:val="bottom"/>
          </w:tcPr>
          <w:p w14:paraId="33FF32FE" w14:textId="77777777" w:rsidR="00724034" w:rsidRDefault="00724034">
            <w:pPr>
              <w:rPr>
                <w:rFonts w:ascii="Arial" w:eastAsia="Arial" w:hAnsi="Arial" w:cs="Arial"/>
                <w:color w:val="000000"/>
                <w:sz w:val="16"/>
              </w:rPr>
            </w:pPr>
          </w:p>
        </w:tc>
        <w:tc>
          <w:tcPr>
            <w:tcW w:w="0" w:type="auto"/>
            <w:tcBorders>
              <w:top w:val="nil"/>
              <w:left w:val="nil"/>
              <w:bottom w:val="nil"/>
              <w:right w:val="nil"/>
              <w:tl2br w:val="nil"/>
              <w:tr2bl w:val="nil"/>
            </w:tcBorders>
            <w:shd w:val="clear" w:color="auto" w:fill="FFFFFF"/>
            <w:tcMar>
              <w:left w:w="101" w:type="dxa"/>
              <w:right w:w="101" w:type="dxa"/>
            </w:tcMar>
            <w:vAlign w:val="bottom"/>
          </w:tcPr>
          <w:p w14:paraId="6053F8B0" w14:textId="77777777" w:rsidR="00724034" w:rsidRDefault="00724034">
            <w:pPr>
              <w:rPr>
                <w:rFonts w:ascii="Arial" w:eastAsia="Arial" w:hAnsi="Arial" w:cs="Arial"/>
                <w:color w:val="000000"/>
                <w:sz w:val="16"/>
              </w:rPr>
            </w:pPr>
          </w:p>
        </w:tc>
        <w:tc>
          <w:tcPr>
            <w:tcW w:w="0" w:type="auto"/>
            <w:tcBorders>
              <w:top w:val="nil"/>
              <w:left w:val="nil"/>
              <w:bottom w:val="nil"/>
              <w:right w:val="nil"/>
              <w:tl2br w:val="nil"/>
              <w:tr2bl w:val="nil"/>
            </w:tcBorders>
            <w:shd w:val="clear" w:color="auto" w:fill="FFFFFF"/>
            <w:tcMar>
              <w:left w:w="101" w:type="dxa"/>
              <w:right w:w="101" w:type="dxa"/>
            </w:tcMar>
            <w:vAlign w:val="bottom"/>
          </w:tcPr>
          <w:p w14:paraId="10785D8B" w14:textId="77777777" w:rsidR="00724034" w:rsidRDefault="00FB7D0B">
            <w:pPr>
              <w:rPr>
                <w:rFonts w:ascii="Arial" w:eastAsia="Arial" w:hAnsi="Arial" w:cs="Arial"/>
                <w:color w:val="000000"/>
                <w:sz w:val="16"/>
              </w:rPr>
            </w:pPr>
            <w:r>
              <w:rPr>
                <w:rFonts w:ascii="Arial" w:eastAsia="Arial" w:hAnsi="Arial" w:cs="Arial"/>
                <w:color w:val="000000"/>
                <w:sz w:val="16"/>
              </w:rPr>
              <w:t>Rehabilitation services</w:t>
            </w:r>
          </w:p>
        </w:tc>
        <w:tc>
          <w:tcPr>
            <w:tcW w:w="0" w:type="auto"/>
            <w:tcBorders>
              <w:top w:val="nil"/>
              <w:left w:val="nil"/>
              <w:bottom w:val="nil"/>
              <w:right w:val="nil"/>
              <w:tl2br w:val="nil"/>
              <w:tr2bl w:val="nil"/>
            </w:tcBorders>
            <w:shd w:val="clear" w:color="auto" w:fill="FFFFFF"/>
            <w:tcMar>
              <w:left w:w="101" w:type="dxa"/>
              <w:right w:w="101" w:type="dxa"/>
            </w:tcMar>
            <w:vAlign w:val="bottom"/>
          </w:tcPr>
          <w:p w14:paraId="74A95CA8" w14:textId="77777777" w:rsidR="00724034" w:rsidRDefault="00FB7D0B">
            <w:pPr>
              <w:jc w:val="right"/>
              <w:rPr>
                <w:rFonts w:ascii="Arial" w:eastAsia="Arial" w:hAnsi="Arial" w:cs="Arial"/>
                <w:color w:val="000000"/>
                <w:sz w:val="16"/>
                <w:vertAlign w:val="superscript"/>
              </w:rPr>
            </w:pPr>
            <w:r>
              <w:rPr>
                <w:rFonts w:ascii="Arial" w:eastAsia="Arial" w:hAnsi="Arial" w:cs="Arial"/>
                <w:color w:val="000000"/>
                <w:sz w:val="16"/>
              </w:rPr>
              <w:t>7,712 </w:t>
            </w:r>
          </w:p>
        </w:tc>
        <w:tc>
          <w:tcPr>
            <w:tcW w:w="0" w:type="auto"/>
            <w:tcBorders>
              <w:top w:val="nil"/>
              <w:left w:val="nil"/>
              <w:bottom w:val="nil"/>
              <w:right w:val="nil"/>
              <w:tl2br w:val="nil"/>
              <w:tr2bl w:val="nil"/>
            </w:tcBorders>
            <w:shd w:val="clear" w:color="auto" w:fill="FFFF00"/>
            <w:tcMar>
              <w:left w:w="101" w:type="dxa"/>
              <w:right w:w="101" w:type="dxa"/>
            </w:tcMar>
            <w:vAlign w:val="bottom"/>
          </w:tcPr>
          <w:p w14:paraId="20549DF5" w14:textId="77777777" w:rsidR="00724034" w:rsidRDefault="00FB7D0B">
            <w:pPr>
              <w:jc w:val="right"/>
              <w:rPr>
                <w:rFonts w:ascii="Arial" w:eastAsia="Arial" w:hAnsi="Arial" w:cs="Arial"/>
                <w:color w:val="000000"/>
                <w:sz w:val="16"/>
              </w:rPr>
            </w:pPr>
            <w:r>
              <w:rPr>
                <w:rFonts w:ascii="Arial" w:eastAsia="Arial" w:hAnsi="Arial" w:cs="Arial"/>
                <w:color w:val="000000"/>
                <w:sz w:val="16"/>
              </w:rPr>
              <w:t>7,971 </w:t>
            </w:r>
          </w:p>
        </w:tc>
        <w:tc>
          <w:tcPr>
            <w:tcW w:w="0" w:type="auto"/>
            <w:tcBorders>
              <w:top w:val="nil"/>
              <w:left w:val="nil"/>
              <w:bottom w:val="nil"/>
              <w:right w:val="nil"/>
              <w:tl2br w:val="nil"/>
              <w:tr2bl w:val="nil"/>
            </w:tcBorders>
            <w:shd w:val="clear" w:color="auto" w:fill="FFFFFF"/>
            <w:tcMar>
              <w:left w:w="101" w:type="dxa"/>
              <w:right w:w="101" w:type="dxa"/>
            </w:tcMar>
            <w:vAlign w:val="bottom"/>
          </w:tcPr>
          <w:p w14:paraId="693C7C78" w14:textId="77777777" w:rsidR="00724034" w:rsidRDefault="00FB7D0B">
            <w:pPr>
              <w:jc w:val="right"/>
              <w:rPr>
                <w:rFonts w:ascii="Arial" w:eastAsia="Arial" w:hAnsi="Arial" w:cs="Arial"/>
                <w:color w:val="000000"/>
                <w:sz w:val="16"/>
              </w:rPr>
            </w:pPr>
            <w:r>
              <w:rPr>
                <w:rFonts w:ascii="Arial" w:eastAsia="Arial" w:hAnsi="Arial" w:cs="Arial"/>
                <w:color w:val="000000"/>
                <w:sz w:val="16"/>
              </w:rPr>
              <w:t>8,823 </w:t>
            </w:r>
          </w:p>
        </w:tc>
        <w:tc>
          <w:tcPr>
            <w:tcW w:w="0" w:type="auto"/>
            <w:tcBorders>
              <w:top w:val="nil"/>
              <w:left w:val="nil"/>
              <w:bottom w:val="nil"/>
              <w:right w:val="nil"/>
              <w:tl2br w:val="nil"/>
              <w:tr2bl w:val="nil"/>
            </w:tcBorders>
            <w:shd w:val="clear" w:color="auto" w:fill="FFFFFF"/>
            <w:tcMar>
              <w:left w:w="101" w:type="dxa"/>
              <w:right w:w="101" w:type="dxa"/>
            </w:tcMar>
            <w:vAlign w:val="bottom"/>
          </w:tcPr>
          <w:p w14:paraId="507FF7D6" w14:textId="77777777" w:rsidR="00724034" w:rsidRDefault="00FB7D0B">
            <w:pPr>
              <w:jc w:val="right"/>
              <w:rPr>
                <w:rFonts w:ascii="Arial" w:eastAsia="Arial" w:hAnsi="Arial" w:cs="Arial"/>
                <w:color w:val="000000"/>
                <w:sz w:val="16"/>
              </w:rPr>
            </w:pPr>
            <w:r>
              <w:rPr>
                <w:rFonts w:ascii="Arial" w:eastAsia="Arial" w:hAnsi="Arial" w:cs="Arial"/>
                <w:color w:val="000000"/>
                <w:sz w:val="16"/>
              </w:rPr>
              <w:t>9,765 </w:t>
            </w:r>
          </w:p>
        </w:tc>
        <w:tc>
          <w:tcPr>
            <w:tcW w:w="0" w:type="auto"/>
            <w:tcBorders>
              <w:top w:val="nil"/>
              <w:left w:val="nil"/>
              <w:bottom w:val="nil"/>
              <w:right w:val="single" w:sz="6" w:space="0" w:color="000000"/>
              <w:tl2br w:val="nil"/>
              <w:tr2bl w:val="nil"/>
            </w:tcBorders>
            <w:shd w:val="clear" w:color="auto" w:fill="FFFFFF"/>
            <w:tcMar>
              <w:left w:w="101" w:type="dxa"/>
              <w:right w:w="101" w:type="dxa"/>
            </w:tcMar>
            <w:vAlign w:val="bottom"/>
          </w:tcPr>
          <w:p w14:paraId="5853AA54" w14:textId="77777777" w:rsidR="00724034" w:rsidRDefault="00FB7D0B">
            <w:pPr>
              <w:jc w:val="right"/>
              <w:rPr>
                <w:rFonts w:ascii="Arial" w:eastAsia="Arial" w:hAnsi="Arial" w:cs="Arial"/>
                <w:color w:val="000000"/>
                <w:sz w:val="16"/>
              </w:rPr>
            </w:pPr>
            <w:r>
              <w:rPr>
                <w:rFonts w:ascii="Arial" w:eastAsia="Arial" w:hAnsi="Arial" w:cs="Arial"/>
                <w:color w:val="000000"/>
                <w:sz w:val="16"/>
              </w:rPr>
              <w:t>9,961 </w:t>
            </w:r>
          </w:p>
        </w:tc>
      </w:tr>
      <w:tr w:rsidR="00724034" w14:paraId="11916F43" w14:textId="77777777">
        <w:tblPrEx>
          <w:tblLook w:val="04A0" w:firstRow="1" w:lastRow="0" w:firstColumn="1" w:lastColumn="0" w:noHBand="0" w:noVBand="1"/>
        </w:tblPrEx>
        <w:trPr>
          <w:trHeight w:val="225"/>
        </w:trPr>
        <w:tc>
          <w:tcPr>
            <w:tcW w:w="0" w:type="auto"/>
            <w:tcBorders>
              <w:top w:val="nil"/>
              <w:left w:val="single" w:sz="6" w:space="0" w:color="000000"/>
              <w:bottom w:val="nil"/>
              <w:right w:val="nil"/>
              <w:tl2br w:val="nil"/>
              <w:tr2bl w:val="nil"/>
            </w:tcBorders>
            <w:shd w:val="clear" w:color="auto" w:fill="FFFFFF"/>
            <w:tcMar>
              <w:left w:w="101" w:type="dxa"/>
              <w:right w:w="101" w:type="dxa"/>
            </w:tcMar>
            <w:vAlign w:val="bottom"/>
          </w:tcPr>
          <w:p w14:paraId="2D6A0766" w14:textId="77777777" w:rsidR="00724034" w:rsidRDefault="00724034">
            <w:pPr>
              <w:rPr>
                <w:rFonts w:ascii="Arial" w:eastAsia="Arial" w:hAnsi="Arial" w:cs="Arial"/>
                <w:color w:val="000000"/>
                <w:sz w:val="16"/>
              </w:rPr>
            </w:pPr>
          </w:p>
        </w:tc>
        <w:tc>
          <w:tcPr>
            <w:tcW w:w="0" w:type="auto"/>
            <w:tcBorders>
              <w:top w:val="nil"/>
              <w:left w:val="nil"/>
              <w:bottom w:val="nil"/>
              <w:right w:val="nil"/>
              <w:tl2br w:val="nil"/>
              <w:tr2bl w:val="nil"/>
            </w:tcBorders>
            <w:shd w:val="clear" w:color="auto" w:fill="FFFFFF"/>
            <w:tcMar>
              <w:left w:w="101" w:type="dxa"/>
              <w:right w:w="101" w:type="dxa"/>
            </w:tcMar>
            <w:vAlign w:val="bottom"/>
          </w:tcPr>
          <w:p w14:paraId="57AA8EA6" w14:textId="77777777" w:rsidR="00724034" w:rsidRDefault="00724034">
            <w:pPr>
              <w:rPr>
                <w:rFonts w:ascii="Arial" w:eastAsia="Arial" w:hAnsi="Arial" w:cs="Arial"/>
                <w:color w:val="000000"/>
                <w:sz w:val="16"/>
              </w:rPr>
            </w:pPr>
          </w:p>
        </w:tc>
        <w:tc>
          <w:tcPr>
            <w:tcW w:w="0" w:type="auto"/>
            <w:tcBorders>
              <w:top w:val="nil"/>
              <w:left w:val="nil"/>
              <w:bottom w:val="nil"/>
              <w:right w:val="nil"/>
              <w:tl2br w:val="nil"/>
              <w:tr2bl w:val="nil"/>
            </w:tcBorders>
            <w:shd w:val="clear" w:color="auto" w:fill="FFFFFF"/>
            <w:tcMar>
              <w:left w:w="101" w:type="dxa"/>
              <w:right w:w="101" w:type="dxa"/>
            </w:tcMar>
            <w:vAlign w:val="bottom"/>
          </w:tcPr>
          <w:p w14:paraId="452F51CB" w14:textId="77777777" w:rsidR="00724034" w:rsidRDefault="00FB7D0B">
            <w:pPr>
              <w:rPr>
                <w:rFonts w:ascii="Arial" w:eastAsia="Arial" w:hAnsi="Arial" w:cs="Arial"/>
                <w:color w:val="000000"/>
                <w:sz w:val="16"/>
              </w:rPr>
            </w:pPr>
            <w:r>
              <w:rPr>
                <w:rFonts w:ascii="Arial" w:eastAsia="Arial" w:hAnsi="Arial" w:cs="Arial"/>
                <w:color w:val="000000"/>
                <w:sz w:val="16"/>
              </w:rPr>
              <w:t>Other services</w:t>
            </w:r>
          </w:p>
        </w:tc>
        <w:tc>
          <w:tcPr>
            <w:tcW w:w="0" w:type="auto"/>
            <w:tcBorders>
              <w:top w:val="nil"/>
              <w:left w:val="nil"/>
              <w:bottom w:val="nil"/>
              <w:right w:val="nil"/>
              <w:tl2br w:val="nil"/>
              <w:tr2bl w:val="nil"/>
            </w:tcBorders>
            <w:shd w:val="clear" w:color="auto" w:fill="FFFFFF"/>
            <w:tcMar>
              <w:left w:w="101" w:type="dxa"/>
              <w:right w:w="101" w:type="dxa"/>
            </w:tcMar>
            <w:vAlign w:val="bottom"/>
          </w:tcPr>
          <w:p w14:paraId="4361AA45" w14:textId="77777777" w:rsidR="00724034" w:rsidRDefault="00FB7D0B">
            <w:pPr>
              <w:jc w:val="right"/>
              <w:rPr>
                <w:rFonts w:ascii="Arial" w:eastAsia="Arial" w:hAnsi="Arial" w:cs="Arial"/>
                <w:color w:val="000000"/>
                <w:sz w:val="16"/>
                <w:vertAlign w:val="superscript"/>
              </w:rPr>
            </w:pPr>
            <w:r>
              <w:rPr>
                <w:rFonts w:ascii="Arial" w:eastAsia="Arial" w:hAnsi="Arial" w:cs="Arial"/>
                <w:color w:val="000000"/>
                <w:sz w:val="16"/>
              </w:rPr>
              <w:t>1,523 </w:t>
            </w:r>
          </w:p>
        </w:tc>
        <w:tc>
          <w:tcPr>
            <w:tcW w:w="0" w:type="auto"/>
            <w:tcBorders>
              <w:top w:val="nil"/>
              <w:left w:val="nil"/>
              <w:bottom w:val="nil"/>
              <w:right w:val="nil"/>
              <w:tl2br w:val="nil"/>
              <w:tr2bl w:val="nil"/>
            </w:tcBorders>
            <w:shd w:val="clear" w:color="auto" w:fill="FFFF00"/>
            <w:tcMar>
              <w:left w:w="101" w:type="dxa"/>
              <w:right w:w="101" w:type="dxa"/>
            </w:tcMar>
            <w:vAlign w:val="bottom"/>
          </w:tcPr>
          <w:p w14:paraId="14CDE486" w14:textId="77777777" w:rsidR="00724034" w:rsidRDefault="00FB7D0B">
            <w:pPr>
              <w:jc w:val="right"/>
              <w:rPr>
                <w:rFonts w:ascii="Arial" w:eastAsia="Arial" w:hAnsi="Arial" w:cs="Arial"/>
                <w:color w:val="000000"/>
                <w:sz w:val="16"/>
              </w:rPr>
            </w:pPr>
            <w:r>
              <w:rPr>
                <w:rFonts w:ascii="Arial" w:eastAsia="Arial" w:hAnsi="Arial" w:cs="Arial"/>
                <w:color w:val="000000"/>
                <w:sz w:val="16"/>
              </w:rPr>
              <w:t>2,031 </w:t>
            </w:r>
          </w:p>
        </w:tc>
        <w:tc>
          <w:tcPr>
            <w:tcW w:w="0" w:type="auto"/>
            <w:tcBorders>
              <w:top w:val="nil"/>
              <w:left w:val="nil"/>
              <w:bottom w:val="nil"/>
              <w:right w:val="nil"/>
              <w:tl2br w:val="nil"/>
              <w:tr2bl w:val="nil"/>
            </w:tcBorders>
            <w:shd w:val="clear" w:color="auto" w:fill="FFFFFF"/>
            <w:tcMar>
              <w:left w:w="101" w:type="dxa"/>
              <w:right w:w="101" w:type="dxa"/>
            </w:tcMar>
            <w:vAlign w:val="bottom"/>
          </w:tcPr>
          <w:p w14:paraId="39C498C9" w14:textId="77777777" w:rsidR="00724034" w:rsidRDefault="00FB7D0B">
            <w:pPr>
              <w:jc w:val="right"/>
              <w:rPr>
                <w:rFonts w:ascii="Arial" w:eastAsia="Arial" w:hAnsi="Arial" w:cs="Arial"/>
                <w:color w:val="000000"/>
                <w:sz w:val="16"/>
              </w:rPr>
            </w:pPr>
            <w:r>
              <w:rPr>
                <w:rFonts w:ascii="Arial" w:eastAsia="Arial" w:hAnsi="Arial" w:cs="Arial"/>
                <w:color w:val="000000"/>
                <w:sz w:val="16"/>
              </w:rPr>
              <w:t>2,410 </w:t>
            </w:r>
          </w:p>
        </w:tc>
        <w:tc>
          <w:tcPr>
            <w:tcW w:w="0" w:type="auto"/>
            <w:tcBorders>
              <w:top w:val="nil"/>
              <w:left w:val="nil"/>
              <w:bottom w:val="nil"/>
              <w:right w:val="nil"/>
              <w:tl2br w:val="nil"/>
              <w:tr2bl w:val="nil"/>
            </w:tcBorders>
            <w:shd w:val="clear" w:color="auto" w:fill="FFFFFF"/>
            <w:tcMar>
              <w:left w:w="101" w:type="dxa"/>
              <w:right w:w="101" w:type="dxa"/>
            </w:tcMar>
            <w:vAlign w:val="bottom"/>
          </w:tcPr>
          <w:p w14:paraId="46262206" w14:textId="77777777" w:rsidR="00724034" w:rsidRDefault="00FB7D0B">
            <w:pPr>
              <w:jc w:val="right"/>
              <w:rPr>
                <w:rFonts w:ascii="Arial" w:eastAsia="Arial" w:hAnsi="Arial" w:cs="Arial"/>
                <w:color w:val="000000"/>
                <w:sz w:val="16"/>
              </w:rPr>
            </w:pPr>
            <w:r>
              <w:rPr>
                <w:rFonts w:ascii="Arial" w:eastAsia="Arial" w:hAnsi="Arial" w:cs="Arial"/>
                <w:color w:val="000000"/>
                <w:sz w:val="16"/>
              </w:rPr>
              <w:t>2,858 </w:t>
            </w:r>
          </w:p>
        </w:tc>
        <w:tc>
          <w:tcPr>
            <w:tcW w:w="0" w:type="auto"/>
            <w:tcBorders>
              <w:top w:val="nil"/>
              <w:left w:val="nil"/>
              <w:bottom w:val="nil"/>
              <w:right w:val="single" w:sz="6" w:space="0" w:color="000000"/>
              <w:tl2br w:val="nil"/>
              <w:tr2bl w:val="nil"/>
            </w:tcBorders>
            <w:shd w:val="clear" w:color="auto" w:fill="FFFFFF"/>
            <w:tcMar>
              <w:left w:w="101" w:type="dxa"/>
              <w:right w:w="101" w:type="dxa"/>
            </w:tcMar>
            <w:vAlign w:val="bottom"/>
          </w:tcPr>
          <w:p w14:paraId="3FF41333" w14:textId="77777777" w:rsidR="00724034" w:rsidRDefault="00FB7D0B">
            <w:pPr>
              <w:jc w:val="right"/>
              <w:rPr>
                <w:rFonts w:ascii="Arial" w:eastAsia="Arial" w:hAnsi="Arial" w:cs="Arial"/>
                <w:color w:val="000000"/>
                <w:sz w:val="16"/>
              </w:rPr>
            </w:pPr>
            <w:r>
              <w:rPr>
                <w:rFonts w:ascii="Arial" w:eastAsia="Arial" w:hAnsi="Arial" w:cs="Arial"/>
                <w:color w:val="000000"/>
                <w:sz w:val="16"/>
              </w:rPr>
              <w:t>2,915 </w:t>
            </w:r>
          </w:p>
        </w:tc>
      </w:tr>
      <w:tr w:rsidR="00FB7D0B" w14:paraId="088113DD" w14:textId="77777777" w:rsidTr="00FB7D0B">
        <w:tblPrEx>
          <w:tblLook w:val="04A0" w:firstRow="1" w:lastRow="0" w:firstColumn="1" w:lastColumn="0" w:noHBand="0" w:noVBand="1"/>
        </w:tblPrEx>
        <w:trPr>
          <w:trHeight w:val="225"/>
        </w:trPr>
        <w:tc>
          <w:tcPr>
            <w:tcW w:w="0" w:type="auto"/>
            <w:gridSpan w:val="3"/>
            <w:tcBorders>
              <w:top w:val="nil"/>
              <w:left w:val="single" w:sz="6" w:space="0" w:color="000000"/>
              <w:bottom w:val="nil"/>
              <w:right w:val="nil"/>
              <w:tl2br w:val="nil"/>
              <w:tr2bl w:val="nil"/>
            </w:tcBorders>
            <w:shd w:val="clear" w:color="auto" w:fill="FFFFFF"/>
            <w:tcMar>
              <w:left w:w="101" w:type="dxa"/>
              <w:right w:w="101" w:type="dxa"/>
            </w:tcMar>
            <w:vAlign w:val="bottom"/>
          </w:tcPr>
          <w:p w14:paraId="136607C1" w14:textId="77777777" w:rsidR="00724034" w:rsidRDefault="00FB7D0B">
            <w:pPr>
              <w:rPr>
                <w:rFonts w:ascii="Arial" w:eastAsia="Arial" w:hAnsi="Arial" w:cs="Arial"/>
                <w:color w:val="000000"/>
                <w:sz w:val="16"/>
              </w:rPr>
            </w:pPr>
            <w:r>
              <w:rPr>
                <w:rFonts w:ascii="Arial" w:eastAsia="Arial" w:hAnsi="Arial" w:cs="Arial"/>
                <w:color w:val="000000"/>
                <w:sz w:val="16"/>
              </w:rPr>
              <w:t>Programme support</w:t>
            </w:r>
          </w:p>
        </w:tc>
        <w:tc>
          <w:tcPr>
            <w:tcW w:w="0" w:type="auto"/>
            <w:tcBorders>
              <w:top w:val="nil"/>
              <w:left w:val="nil"/>
              <w:bottom w:val="nil"/>
              <w:right w:val="nil"/>
              <w:tl2br w:val="nil"/>
              <w:tr2bl w:val="nil"/>
            </w:tcBorders>
            <w:shd w:val="clear" w:color="auto" w:fill="FFFFFF"/>
            <w:tcMar>
              <w:left w:w="101" w:type="dxa"/>
              <w:right w:w="101" w:type="dxa"/>
            </w:tcMar>
            <w:vAlign w:val="bottom"/>
          </w:tcPr>
          <w:p w14:paraId="4C44233F" w14:textId="77777777" w:rsidR="00724034" w:rsidRDefault="00FB7D0B">
            <w:pPr>
              <w:jc w:val="right"/>
              <w:rPr>
                <w:rFonts w:ascii="Arial" w:eastAsia="Arial" w:hAnsi="Arial" w:cs="Arial"/>
                <w:color w:val="000000"/>
                <w:sz w:val="16"/>
                <w:vertAlign w:val="superscript"/>
              </w:rPr>
            </w:pPr>
            <w:r>
              <w:rPr>
                <w:rFonts w:ascii="Arial" w:eastAsia="Arial" w:hAnsi="Arial" w:cs="Arial"/>
                <w:color w:val="000000"/>
                <w:sz w:val="16"/>
              </w:rPr>
              <w:t>19,835 </w:t>
            </w:r>
          </w:p>
        </w:tc>
        <w:tc>
          <w:tcPr>
            <w:tcW w:w="0" w:type="auto"/>
            <w:tcBorders>
              <w:top w:val="nil"/>
              <w:left w:val="nil"/>
              <w:bottom w:val="nil"/>
              <w:right w:val="nil"/>
              <w:tl2br w:val="nil"/>
              <w:tr2bl w:val="nil"/>
            </w:tcBorders>
            <w:shd w:val="clear" w:color="auto" w:fill="FFFF00"/>
            <w:tcMar>
              <w:left w:w="101" w:type="dxa"/>
              <w:right w:w="101" w:type="dxa"/>
            </w:tcMar>
            <w:vAlign w:val="bottom"/>
          </w:tcPr>
          <w:p w14:paraId="6D090133" w14:textId="77777777" w:rsidR="00724034" w:rsidRDefault="00FB7D0B">
            <w:pPr>
              <w:jc w:val="right"/>
              <w:rPr>
                <w:rFonts w:ascii="Arial" w:eastAsia="Arial" w:hAnsi="Arial" w:cs="Arial"/>
                <w:color w:val="000000"/>
                <w:sz w:val="16"/>
              </w:rPr>
            </w:pPr>
            <w:r>
              <w:rPr>
                <w:rFonts w:ascii="Arial" w:eastAsia="Arial" w:hAnsi="Arial" w:cs="Arial"/>
                <w:color w:val="000000"/>
                <w:sz w:val="16"/>
              </w:rPr>
              <w:t>19,645 </w:t>
            </w:r>
          </w:p>
        </w:tc>
        <w:tc>
          <w:tcPr>
            <w:tcW w:w="0" w:type="auto"/>
            <w:tcBorders>
              <w:top w:val="nil"/>
              <w:left w:val="nil"/>
              <w:bottom w:val="nil"/>
              <w:right w:val="nil"/>
              <w:tl2br w:val="nil"/>
              <w:tr2bl w:val="nil"/>
            </w:tcBorders>
            <w:shd w:val="clear" w:color="auto" w:fill="FFFFFF"/>
            <w:tcMar>
              <w:left w:w="101" w:type="dxa"/>
              <w:right w:w="101" w:type="dxa"/>
            </w:tcMar>
            <w:vAlign w:val="bottom"/>
          </w:tcPr>
          <w:p w14:paraId="0D7FEF27" w14:textId="77777777" w:rsidR="00724034" w:rsidRDefault="00FB7D0B">
            <w:pPr>
              <w:jc w:val="right"/>
              <w:rPr>
                <w:rFonts w:ascii="Arial" w:eastAsia="Arial" w:hAnsi="Arial" w:cs="Arial"/>
                <w:color w:val="000000"/>
                <w:sz w:val="16"/>
              </w:rPr>
            </w:pPr>
            <w:r>
              <w:rPr>
                <w:rFonts w:ascii="Arial" w:eastAsia="Arial" w:hAnsi="Arial" w:cs="Arial"/>
                <w:color w:val="000000"/>
                <w:sz w:val="16"/>
              </w:rPr>
              <w:t>19,344 </w:t>
            </w:r>
          </w:p>
        </w:tc>
        <w:tc>
          <w:tcPr>
            <w:tcW w:w="0" w:type="auto"/>
            <w:tcBorders>
              <w:top w:val="nil"/>
              <w:left w:val="nil"/>
              <w:bottom w:val="nil"/>
              <w:right w:val="nil"/>
              <w:tl2br w:val="nil"/>
              <w:tr2bl w:val="nil"/>
            </w:tcBorders>
            <w:shd w:val="clear" w:color="auto" w:fill="FFFFFF"/>
            <w:tcMar>
              <w:left w:w="101" w:type="dxa"/>
              <w:right w:w="101" w:type="dxa"/>
            </w:tcMar>
            <w:vAlign w:val="bottom"/>
          </w:tcPr>
          <w:p w14:paraId="000654C2" w14:textId="77777777" w:rsidR="00724034" w:rsidRDefault="00FB7D0B">
            <w:pPr>
              <w:jc w:val="right"/>
              <w:rPr>
                <w:rFonts w:ascii="Arial" w:eastAsia="Arial" w:hAnsi="Arial" w:cs="Arial"/>
                <w:color w:val="000000"/>
                <w:sz w:val="16"/>
              </w:rPr>
            </w:pPr>
            <w:r>
              <w:rPr>
                <w:rFonts w:ascii="Arial" w:eastAsia="Arial" w:hAnsi="Arial" w:cs="Arial"/>
                <w:color w:val="000000"/>
                <w:sz w:val="16"/>
              </w:rPr>
              <w:t>18,991 </w:t>
            </w:r>
          </w:p>
        </w:tc>
        <w:tc>
          <w:tcPr>
            <w:tcW w:w="0" w:type="auto"/>
            <w:tcBorders>
              <w:top w:val="nil"/>
              <w:left w:val="nil"/>
              <w:bottom w:val="nil"/>
              <w:right w:val="single" w:sz="6" w:space="0" w:color="000000"/>
              <w:tl2br w:val="nil"/>
              <w:tr2bl w:val="nil"/>
            </w:tcBorders>
            <w:shd w:val="clear" w:color="auto" w:fill="FFFFFF"/>
            <w:tcMar>
              <w:left w:w="101" w:type="dxa"/>
              <w:right w:w="101" w:type="dxa"/>
            </w:tcMar>
            <w:vAlign w:val="bottom"/>
          </w:tcPr>
          <w:p w14:paraId="0DEE42B0" w14:textId="77777777" w:rsidR="00724034" w:rsidRDefault="00FB7D0B">
            <w:pPr>
              <w:jc w:val="right"/>
              <w:rPr>
                <w:rFonts w:ascii="Arial" w:eastAsia="Arial" w:hAnsi="Arial" w:cs="Arial"/>
                <w:color w:val="000000"/>
                <w:sz w:val="16"/>
              </w:rPr>
            </w:pPr>
            <w:r>
              <w:rPr>
                <w:rFonts w:ascii="Arial" w:eastAsia="Arial" w:hAnsi="Arial" w:cs="Arial"/>
                <w:color w:val="000000"/>
                <w:sz w:val="16"/>
              </w:rPr>
              <w:t>18,451 </w:t>
            </w:r>
          </w:p>
        </w:tc>
      </w:tr>
      <w:tr w:rsidR="00FB7D0B" w14:paraId="18AAB518" w14:textId="77777777" w:rsidTr="00FB7D0B">
        <w:tblPrEx>
          <w:tblLook w:val="04A0" w:firstRow="1" w:lastRow="0" w:firstColumn="1" w:lastColumn="0" w:noHBand="0" w:noVBand="1"/>
        </w:tblPrEx>
        <w:trPr>
          <w:trHeight w:val="450"/>
        </w:trPr>
        <w:tc>
          <w:tcPr>
            <w:tcW w:w="0" w:type="auto"/>
            <w:gridSpan w:val="3"/>
            <w:tcBorders>
              <w:top w:val="single" w:sz="6" w:space="0" w:color="FFFFFF"/>
              <w:left w:val="single" w:sz="6" w:space="0" w:color="000000"/>
              <w:bottom w:val="nil"/>
              <w:right w:val="nil"/>
              <w:tl2br w:val="nil"/>
              <w:tr2bl w:val="nil"/>
            </w:tcBorders>
            <w:shd w:val="clear" w:color="auto" w:fill="FFFFFF"/>
            <w:tcMar>
              <w:left w:w="101" w:type="dxa"/>
              <w:right w:w="101" w:type="dxa"/>
            </w:tcMar>
            <w:vAlign w:val="bottom"/>
          </w:tcPr>
          <w:p w14:paraId="5AE3AFB6" w14:textId="77777777" w:rsidR="00724034" w:rsidRDefault="00FB7D0B">
            <w:pPr>
              <w:rPr>
                <w:rFonts w:ascii="Arial" w:eastAsia="Arial" w:hAnsi="Arial" w:cs="Arial"/>
                <w:color w:val="000000"/>
                <w:sz w:val="16"/>
              </w:rPr>
            </w:pPr>
            <w:r>
              <w:rPr>
                <w:rFonts w:ascii="Arial" w:eastAsia="Arial" w:hAnsi="Arial" w:cs="Arial"/>
                <w:color w:val="000000"/>
                <w:sz w:val="16"/>
              </w:rPr>
              <w:t>Expenses not requiring appropriation in the Budget year</w:t>
            </w:r>
            <w:r>
              <w:rPr>
                <w:rFonts w:ascii="Arial" w:eastAsia="Arial" w:hAnsi="Arial" w:cs="Arial"/>
                <w:color w:val="000000"/>
                <w:sz w:val="16"/>
                <w:vertAlign w:val="superscript"/>
              </w:rPr>
              <w:t>1 </w:t>
            </w:r>
          </w:p>
        </w:tc>
        <w:tc>
          <w:tcPr>
            <w:tcW w:w="0" w:type="auto"/>
            <w:tcBorders>
              <w:top w:val="nil"/>
              <w:left w:val="nil"/>
              <w:bottom w:val="nil"/>
              <w:right w:val="nil"/>
              <w:tl2br w:val="nil"/>
              <w:tr2bl w:val="nil"/>
            </w:tcBorders>
            <w:shd w:val="clear" w:color="auto" w:fill="FFFFFF"/>
            <w:tcMar>
              <w:left w:w="101" w:type="dxa"/>
              <w:right w:w="101" w:type="dxa"/>
            </w:tcMar>
            <w:vAlign w:val="bottom"/>
          </w:tcPr>
          <w:p w14:paraId="6BD8CA20" w14:textId="77777777" w:rsidR="00724034" w:rsidRDefault="00FB7D0B">
            <w:pPr>
              <w:jc w:val="right"/>
              <w:rPr>
                <w:rFonts w:ascii="Arial" w:eastAsia="Arial" w:hAnsi="Arial" w:cs="Arial"/>
                <w:color w:val="000000"/>
                <w:sz w:val="16"/>
                <w:vertAlign w:val="superscript"/>
              </w:rPr>
            </w:pPr>
            <w:r>
              <w:rPr>
                <w:rFonts w:ascii="Arial" w:eastAsia="Arial" w:hAnsi="Arial" w:cs="Arial"/>
                <w:color w:val="000000"/>
                <w:sz w:val="16"/>
              </w:rPr>
              <w:t>2,141 </w:t>
            </w:r>
          </w:p>
        </w:tc>
        <w:tc>
          <w:tcPr>
            <w:tcW w:w="0" w:type="auto"/>
            <w:tcBorders>
              <w:top w:val="nil"/>
              <w:left w:val="nil"/>
              <w:bottom w:val="nil"/>
              <w:right w:val="nil"/>
              <w:tl2br w:val="nil"/>
              <w:tr2bl w:val="nil"/>
            </w:tcBorders>
            <w:shd w:val="clear" w:color="auto" w:fill="FFFF00"/>
            <w:tcMar>
              <w:left w:w="101" w:type="dxa"/>
              <w:right w:w="101" w:type="dxa"/>
            </w:tcMar>
            <w:vAlign w:val="bottom"/>
          </w:tcPr>
          <w:p w14:paraId="76CF22A9" w14:textId="77777777" w:rsidR="00724034" w:rsidRDefault="00FB7D0B">
            <w:pPr>
              <w:jc w:val="right"/>
              <w:rPr>
                <w:rFonts w:ascii="Arial" w:eastAsia="Arial" w:hAnsi="Arial" w:cs="Arial"/>
                <w:color w:val="000000"/>
                <w:sz w:val="16"/>
              </w:rPr>
            </w:pPr>
            <w:r>
              <w:rPr>
                <w:rFonts w:ascii="Arial" w:eastAsia="Arial" w:hAnsi="Arial" w:cs="Arial"/>
                <w:color w:val="000000"/>
                <w:sz w:val="16"/>
              </w:rPr>
              <w:t>2,393 </w:t>
            </w:r>
          </w:p>
        </w:tc>
        <w:tc>
          <w:tcPr>
            <w:tcW w:w="0" w:type="auto"/>
            <w:tcBorders>
              <w:top w:val="nil"/>
              <w:left w:val="nil"/>
              <w:bottom w:val="nil"/>
              <w:right w:val="nil"/>
              <w:tl2br w:val="nil"/>
              <w:tr2bl w:val="nil"/>
            </w:tcBorders>
            <w:shd w:val="clear" w:color="auto" w:fill="FFFFFF"/>
            <w:tcMar>
              <w:left w:w="101" w:type="dxa"/>
              <w:right w:w="101" w:type="dxa"/>
            </w:tcMar>
            <w:vAlign w:val="bottom"/>
          </w:tcPr>
          <w:p w14:paraId="0371A31C" w14:textId="77777777" w:rsidR="00724034" w:rsidRDefault="00FB7D0B">
            <w:pPr>
              <w:jc w:val="right"/>
              <w:rPr>
                <w:rFonts w:ascii="Arial" w:eastAsia="Arial" w:hAnsi="Arial" w:cs="Arial"/>
                <w:color w:val="000000"/>
                <w:sz w:val="16"/>
              </w:rPr>
            </w:pPr>
            <w:r>
              <w:rPr>
                <w:rFonts w:ascii="Arial" w:eastAsia="Arial" w:hAnsi="Arial" w:cs="Arial"/>
                <w:color w:val="000000"/>
                <w:sz w:val="16"/>
              </w:rPr>
              <w:t>2,207 </w:t>
            </w:r>
          </w:p>
        </w:tc>
        <w:tc>
          <w:tcPr>
            <w:tcW w:w="0" w:type="auto"/>
            <w:tcBorders>
              <w:top w:val="nil"/>
              <w:left w:val="nil"/>
              <w:bottom w:val="nil"/>
              <w:right w:val="nil"/>
              <w:tl2br w:val="nil"/>
              <w:tr2bl w:val="nil"/>
            </w:tcBorders>
            <w:shd w:val="clear" w:color="auto" w:fill="FFFFFF"/>
            <w:tcMar>
              <w:left w:w="101" w:type="dxa"/>
              <w:right w:w="101" w:type="dxa"/>
            </w:tcMar>
            <w:vAlign w:val="bottom"/>
          </w:tcPr>
          <w:p w14:paraId="398B2A6F" w14:textId="77777777" w:rsidR="00724034" w:rsidRDefault="00FB7D0B">
            <w:pPr>
              <w:jc w:val="right"/>
              <w:rPr>
                <w:rFonts w:ascii="Arial" w:eastAsia="Arial" w:hAnsi="Arial" w:cs="Arial"/>
                <w:color w:val="000000"/>
                <w:sz w:val="16"/>
              </w:rPr>
            </w:pPr>
            <w:r>
              <w:rPr>
                <w:rFonts w:ascii="Arial" w:eastAsia="Arial" w:hAnsi="Arial" w:cs="Arial"/>
                <w:color w:val="000000"/>
                <w:sz w:val="16"/>
              </w:rPr>
              <w:t>2,037 </w:t>
            </w:r>
          </w:p>
        </w:tc>
        <w:tc>
          <w:tcPr>
            <w:tcW w:w="0" w:type="auto"/>
            <w:tcBorders>
              <w:top w:val="nil"/>
              <w:left w:val="nil"/>
              <w:bottom w:val="nil"/>
              <w:right w:val="single" w:sz="6" w:space="0" w:color="000000"/>
              <w:tl2br w:val="nil"/>
              <w:tr2bl w:val="nil"/>
            </w:tcBorders>
            <w:shd w:val="clear" w:color="auto" w:fill="FFFFFF"/>
            <w:tcMar>
              <w:left w:w="101" w:type="dxa"/>
              <w:right w:w="101" w:type="dxa"/>
            </w:tcMar>
            <w:vAlign w:val="bottom"/>
          </w:tcPr>
          <w:p w14:paraId="2AE7C62F" w14:textId="77777777" w:rsidR="00724034" w:rsidRDefault="00FB7D0B">
            <w:pPr>
              <w:jc w:val="right"/>
              <w:rPr>
                <w:rFonts w:ascii="Arial" w:eastAsia="Arial" w:hAnsi="Arial" w:cs="Arial"/>
                <w:color w:val="000000"/>
                <w:sz w:val="16"/>
              </w:rPr>
            </w:pPr>
            <w:r>
              <w:rPr>
                <w:rFonts w:ascii="Arial" w:eastAsia="Arial" w:hAnsi="Arial" w:cs="Arial"/>
                <w:color w:val="000000"/>
                <w:sz w:val="16"/>
              </w:rPr>
              <w:t>1,700 </w:t>
            </w:r>
          </w:p>
        </w:tc>
      </w:tr>
      <w:tr w:rsidR="00724034" w14:paraId="4A85834B" w14:textId="77777777">
        <w:tblPrEx>
          <w:tblLook w:val="04A0" w:firstRow="1" w:lastRow="0" w:firstColumn="1" w:lastColumn="0" w:noHBand="0" w:noVBand="1"/>
        </w:tblPrEx>
        <w:trPr>
          <w:trHeight w:val="60"/>
        </w:trPr>
        <w:tc>
          <w:tcPr>
            <w:tcW w:w="0" w:type="auto"/>
            <w:tcBorders>
              <w:top w:val="single" w:sz="6" w:space="0" w:color="FFFFFF"/>
              <w:left w:val="single" w:sz="6" w:space="0" w:color="000000"/>
              <w:bottom w:val="nil"/>
              <w:right w:val="nil"/>
              <w:tl2br w:val="nil"/>
              <w:tr2bl w:val="nil"/>
            </w:tcBorders>
            <w:shd w:val="clear" w:color="auto" w:fill="FFFFFF"/>
            <w:tcMar>
              <w:left w:w="101" w:type="dxa"/>
              <w:right w:w="101" w:type="dxa"/>
            </w:tcMar>
            <w:vAlign w:val="bottom"/>
          </w:tcPr>
          <w:p w14:paraId="67F22026" w14:textId="77777777" w:rsidR="00724034" w:rsidRDefault="00724034">
            <w:pPr>
              <w:rPr>
                <w:rFonts w:ascii="Arial" w:eastAsia="Arial" w:hAnsi="Arial" w:cs="Arial"/>
                <w:color w:val="000000"/>
                <w:sz w:val="16"/>
              </w:rPr>
            </w:pPr>
          </w:p>
        </w:tc>
        <w:tc>
          <w:tcPr>
            <w:tcW w:w="0" w:type="auto"/>
            <w:tcBorders>
              <w:top w:val="single" w:sz="6" w:space="0" w:color="FFFFFF"/>
              <w:left w:val="nil"/>
              <w:bottom w:val="nil"/>
              <w:right w:val="nil"/>
              <w:tl2br w:val="nil"/>
              <w:tr2bl w:val="nil"/>
            </w:tcBorders>
            <w:shd w:val="clear" w:color="auto" w:fill="FFFFFF"/>
            <w:tcMar>
              <w:left w:w="101" w:type="dxa"/>
              <w:right w:w="101" w:type="dxa"/>
            </w:tcMar>
            <w:vAlign w:val="bottom"/>
          </w:tcPr>
          <w:p w14:paraId="4EC8481E" w14:textId="77777777" w:rsidR="00724034" w:rsidRDefault="00724034">
            <w:pPr>
              <w:rPr>
                <w:rFonts w:ascii="Arial" w:eastAsia="Arial" w:hAnsi="Arial" w:cs="Arial"/>
                <w:color w:val="000000"/>
                <w:sz w:val="16"/>
              </w:rPr>
            </w:pPr>
          </w:p>
        </w:tc>
        <w:tc>
          <w:tcPr>
            <w:tcW w:w="0" w:type="auto"/>
            <w:tcBorders>
              <w:top w:val="single" w:sz="6" w:space="0" w:color="FFFFFF"/>
              <w:left w:val="nil"/>
              <w:bottom w:val="nil"/>
              <w:right w:val="nil"/>
              <w:tl2br w:val="nil"/>
              <w:tr2bl w:val="nil"/>
            </w:tcBorders>
            <w:shd w:val="clear" w:color="auto" w:fill="FFFFFF"/>
            <w:tcMar>
              <w:left w:w="101" w:type="dxa"/>
              <w:right w:w="101" w:type="dxa"/>
            </w:tcMar>
            <w:vAlign w:val="bottom"/>
          </w:tcPr>
          <w:p w14:paraId="74837977" w14:textId="77777777" w:rsidR="00724034" w:rsidRDefault="00724034">
            <w:pPr>
              <w:rPr>
                <w:rFonts w:ascii="Arial" w:eastAsia="Arial" w:hAnsi="Arial" w:cs="Arial"/>
                <w:color w:val="000000"/>
                <w:sz w:val="16"/>
              </w:rPr>
            </w:pPr>
          </w:p>
        </w:tc>
        <w:tc>
          <w:tcPr>
            <w:tcW w:w="0" w:type="auto"/>
            <w:tcBorders>
              <w:top w:val="nil"/>
              <w:left w:val="nil"/>
              <w:bottom w:val="single" w:sz="6" w:space="0" w:color="000000"/>
              <w:right w:val="nil"/>
              <w:tl2br w:val="nil"/>
              <w:tr2bl w:val="nil"/>
            </w:tcBorders>
            <w:shd w:val="clear" w:color="auto" w:fill="FFFFFF"/>
            <w:tcMar>
              <w:left w:w="101" w:type="dxa"/>
              <w:right w:w="101" w:type="dxa"/>
            </w:tcMar>
            <w:vAlign w:val="bottom"/>
          </w:tcPr>
          <w:p w14:paraId="72D7D0E0" w14:textId="77777777" w:rsidR="00724034" w:rsidRDefault="00724034">
            <w:pPr>
              <w:jc w:val="right"/>
              <w:rPr>
                <w:rFonts w:ascii="Arial" w:eastAsia="Arial" w:hAnsi="Arial" w:cs="Arial"/>
                <w:color w:val="000000"/>
                <w:sz w:val="16"/>
                <w:vertAlign w:val="superscript"/>
              </w:rPr>
            </w:pPr>
          </w:p>
        </w:tc>
        <w:tc>
          <w:tcPr>
            <w:tcW w:w="0" w:type="auto"/>
            <w:tcBorders>
              <w:top w:val="nil"/>
              <w:left w:val="nil"/>
              <w:bottom w:val="single" w:sz="6" w:space="0" w:color="000000"/>
              <w:right w:val="nil"/>
              <w:tl2br w:val="nil"/>
              <w:tr2bl w:val="nil"/>
            </w:tcBorders>
            <w:shd w:val="clear" w:color="auto" w:fill="FFFF00"/>
            <w:tcMar>
              <w:left w:w="101" w:type="dxa"/>
              <w:right w:w="101" w:type="dxa"/>
            </w:tcMar>
            <w:vAlign w:val="bottom"/>
          </w:tcPr>
          <w:p w14:paraId="5C750AF3" w14:textId="77777777" w:rsidR="00724034" w:rsidRDefault="00724034">
            <w:pPr>
              <w:jc w:val="right"/>
              <w:rPr>
                <w:rFonts w:ascii="Arial" w:eastAsia="Arial" w:hAnsi="Arial" w:cs="Arial"/>
                <w:color w:val="000000"/>
                <w:sz w:val="16"/>
                <w:vertAlign w:val="superscript"/>
              </w:rPr>
            </w:pPr>
          </w:p>
        </w:tc>
        <w:tc>
          <w:tcPr>
            <w:tcW w:w="0" w:type="auto"/>
            <w:tcBorders>
              <w:top w:val="nil"/>
              <w:left w:val="nil"/>
              <w:bottom w:val="single" w:sz="6" w:space="0" w:color="000000"/>
              <w:right w:val="nil"/>
              <w:tl2br w:val="nil"/>
              <w:tr2bl w:val="nil"/>
            </w:tcBorders>
            <w:shd w:val="clear" w:color="auto" w:fill="FFFFFF"/>
            <w:tcMar>
              <w:left w:w="101" w:type="dxa"/>
              <w:right w:w="101" w:type="dxa"/>
            </w:tcMar>
            <w:vAlign w:val="bottom"/>
          </w:tcPr>
          <w:p w14:paraId="1131E392" w14:textId="77777777" w:rsidR="00724034" w:rsidRDefault="00724034">
            <w:pPr>
              <w:jc w:val="right"/>
              <w:rPr>
                <w:rFonts w:ascii="Arial" w:eastAsia="Arial" w:hAnsi="Arial" w:cs="Arial"/>
                <w:color w:val="000000"/>
                <w:sz w:val="16"/>
                <w:vertAlign w:val="superscript"/>
              </w:rPr>
            </w:pPr>
          </w:p>
        </w:tc>
        <w:tc>
          <w:tcPr>
            <w:tcW w:w="0" w:type="auto"/>
            <w:tcBorders>
              <w:top w:val="nil"/>
              <w:left w:val="nil"/>
              <w:bottom w:val="single" w:sz="6" w:space="0" w:color="000000"/>
              <w:right w:val="nil"/>
              <w:tl2br w:val="nil"/>
              <w:tr2bl w:val="nil"/>
            </w:tcBorders>
            <w:shd w:val="clear" w:color="auto" w:fill="FFFFFF"/>
            <w:tcMar>
              <w:left w:w="101" w:type="dxa"/>
              <w:right w:w="101" w:type="dxa"/>
            </w:tcMar>
            <w:vAlign w:val="bottom"/>
          </w:tcPr>
          <w:p w14:paraId="41F422F8" w14:textId="77777777" w:rsidR="00724034" w:rsidRDefault="00724034">
            <w:pPr>
              <w:jc w:val="right"/>
              <w:rPr>
                <w:rFonts w:ascii="Arial" w:eastAsia="Arial" w:hAnsi="Arial" w:cs="Arial"/>
                <w:color w:val="000000"/>
                <w:sz w:val="16"/>
                <w:vertAlign w:val="superscript"/>
              </w:rPr>
            </w:pPr>
          </w:p>
        </w:tc>
        <w:tc>
          <w:tcPr>
            <w:tcW w:w="0" w:type="auto"/>
            <w:tcBorders>
              <w:top w:val="nil"/>
              <w:left w:val="nil"/>
              <w:bottom w:val="single" w:sz="6" w:space="0" w:color="000000"/>
              <w:right w:val="single" w:sz="6" w:space="0" w:color="000000"/>
              <w:tl2br w:val="nil"/>
              <w:tr2bl w:val="nil"/>
            </w:tcBorders>
            <w:shd w:val="clear" w:color="auto" w:fill="FFFFFF"/>
            <w:tcMar>
              <w:left w:w="101" w:type="dxa"/>
              <w:right w:w="101" w:type="dxa"/>
            </w:tcMar>
            <w:vAlign w:val="bottom"/>
          </w:tcPr>
          <w:p w14:paraId="4DEE5025" w14:textId="77777777" w:rsidR="00724034" w:rsidRDefault="00724034">
            <w:pPr>
              <w:jc w:val="right"/>
              <w:rPr>
                <w:rFonts w:ascii="Arial" w:eastAsia="Arial" w:hAnsi="Arial" w:cs="Arial"/>
                <w:color w:val="000000"/>
                <w:sz w:val="16"/>
                <w:vertAlign w:val="superscript"/>
              </w:rPr>
            </w:pPr>
          </w:p>
        </w:tc>
      </w:tr>
      <w:tr w:rsidR="00FB7D0B" w14:paraId="2840910C" w14:textId="77777777" w:rsidTr="00FB7D0B">
        <w:tblPrEx>
          <w:tblLook w:val="04A0" w:firstRow="1" w:lastRow="0" w:firstColumn="1" w:lastColumn="0" w:noHBand="0" w:noVBand="1"/>
        </w:tblPrEx>
        <w:trPr>
          <w:trHeight w:val="225"/>
        </w:trPr>
        <w:tc>
          <w:tcPr>
            <w:tcW w:w="0" w:type="auto"/>
            <w:gridSpan w:val="3"/>
            <w:tcBorders>
              <w:top w:val="nil"/>
              <w:left w:val="single" w:sz="6" w:space="0" w:color="000000"/>
              <w:bottom w:val="single" w:sz="6" w:space="0" w:color="000000"/>
              <w:right w:val="nil"/>
              <w:tl2br w:val="nil"/>
              <w:tr2bl w:val="nil"/>
            </w:tcBorders>
            <w:shd w:val="clear" w:color="auto" w:fill="FFFFFF"/>
            <w:tcMar>
              <w:left w:w="101" w:type="dxa"/>
              <w:right w:w="101" w:type="dxa"/>
            </w:tcMar>
            <w:vAlign w:val="bottom"/>
          </w:tcPr>
          <w:p w14:paraId="7F0AA4A4" w14:textId="77777777" w:rsidR="00724034" w:rsidRDefault="00FB7D0B">
            <w:pPr>
              <w:rPr>
                <w:rFonts w:ascii="Arial" w:eastAsia="Arial" w:hAnsi="Arial" w:cs="Arial"/>
                <w:color w:val="000000"/>
                <w:sz w:val="16"/>
                <w:vertAlign w:val="superscript"/>
              </w:rPr>
            </w:pPr>
            <w:r>
              <w:rPr>
                <w:rFonts w:ascii="Arial" w:eastAsia="Arial" w:hAnsi="Arial" w:cs="Arial"/>
                <w:b/>
                <w:color w:val="000000"/>
                <w:sz w:val="16"/>
              </w:rPr>
              <w:t xml:space="preserve">Total programme expenses </w:t>
            </w:r>
          </w:p>
        </w:tc>
        <w:tc>
          <w:tcPr>
            <w:tcW w:w="0" w:type="auto"/>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565B23F5" w14:textId="77777777" w:rsidR="00724034" w:rsidRDefault="00FB7D0B">
            <w:pPr>
              <w:jc w:val="right"/>
              <w:rPr>
                <w:rFonts w:ascii="Arial" w:eastAsia="Arial" w:hAnsi="Arial" w:cs="Arial"/>
                <w:b/>
                <w:color w:val="000000"/>
                <w:sz w:val="16"/>
                <w:vertAlign w:val="superscript"/>
              </w:rPr>
            </w:pPr>
            <w:r>
              <w:rPr>
                <w:rFonts w:ascii="Arial" w:eastAsia="Arial" w:hAnsi="Arial" w:cs="Arial"/>
                <w:b/>
                <w:color w:val="000000"/>
                <w:sz w:val="16"/>
              </w:rPr>
              <w:t>93,199 </w:t>
            </w:r>
          </w:p>
        </w:tc>
        <w:tc>
          <w:tcPr>
            <w:tcW w:w="0" w:type="auto"/>
            <w:tcBorders>
              <w:top w:val="single" w:sz="6" w:space="0" w:color="000000"/>
              <w:left w:val="nil"/>
              <w:bottom w:val="single" w:sz="6" w:space="0" w:color="000000"/>
              <w:right w:val="nil"/>
              <w:tl2br w:val="nil"/>
              <w:tr2bl w:val="nil"/>
            </w:tcBorders>
            <w:shd w:val="clear" w:color="auto" w:fill="FFFF00"/>
            <w:tcMar>
              <w:left w:w="101" w:type="dxa"/>
              <w:right w:w="101" w:type="dxa"/>
            </w:tcMar>
            <w:vAlign w:val="bottom"/>
          </w:tcPr>
          <w:p w14:paraId="017F5BEE" w14:textId="77777777" w:rsidR="00724034" w:rsidRDefault="00FB7D0B">
            <w:pPr>
              <w:jc w:val="right"/>
              <w:rPr>
                <w:rFonts w:ascii="Arial" w:eastAsia="Arial" w:hAnsi="Arial" w:cs="Arial"/>
                <w:b/>
                <w:color w:val="000000"/>
                <w:sz w:val="16"/>
              </w:rPr>
            </w:pPr>
            <w:r>
              <w:rPr>
                <w:rFonts w:ascii="Arial" w:eastAsia="Arial" w:hAnsi="Arial" w:cs="Arial"/>
                <w:b/>
                <w:color w:val="000000"/>
                <w:sz w:val="16"/>
              </w:rPr>
              <w:t>96,278 </w:t>
            </w:r>
          </w:p>
        </w:tc>
        <w:tc>
          <w:tcPr>
            <w:tcW w:w="0" w:type="auto"/>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0DF6587C" w14:textId="77777777" w:rsidR="00724034" w:rsidRDefault="00FB7D0B">
            <w:pPr>
              <w:jc w:val="right"/>
              <w:rPr>
                <w:rFonts w:ascii="Arial" w:eastAsia="Arial" w:hAnsi="Arial" w:cs="Arial"/>
                <w:b/>
                <w:color w:val="000000"/>
                <w:sz w:val="16"/>
              </w:rPr>
            </w:pPr>
            <w:r>
              <w:rPr>
                <w:rFonts w:ascii="Arial" w:eastAsia="Arial" w:hAnsi="Arial" w:cs="Arial"/>
                <w:b/>
                <w:color w:val="000000"/>
                <w:sz w:val="16"/>
              </w:rPr>
              <w:t>100,561 </w:t>
            </w:r>
          </w:p>
        </w:tc>
        <w:tc>
          <w:tcPr>
            <w:tcW w:w="0" w:type="auto"/>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3EAD482B" w14:textId="77777777" w:rsidR="00724034" w:rsidRDefault="00FB7D0B">
            <w:pPr>
              <w:jc w:val="right"/>
              <w:rPr>
                <w:rFonts w:ascii="Arial" w:eastAsia="Arial" w:hAnsi="Arial" w:cs="Arial"/>
                <w:b/>
                <w:color w:val="000000"/>
                <w:sz w:val="16"/>
              </w:rPr>
            </w:pPr>
            <w:r>
              <w:rPr>
                <w:rFonts w:ascii="Arial" w:eastAsia="Arial" w:hAnsi="Arial" w:cs="Arial"/>
                <w:b/>
                <w:color w:val="000000"/>
                <w:sz w:val="16"/>
              </w:rPr>
              <w:t>105,518 </w:t>
            </w:r>
          </w:p>
        </w:tc>
        <w:tc>
          <w:tcPr>
            <w:tcW w:w="0" w:type="auto"/>
            <w:tcBorders>
              <w:top w:val="single" w:sz="6" w:space="0" w:color="000000"/>
              <w:left w:val="nil"/>
              <w:bottom w:val="single" w:sz="6" w:space="0" w:color="000000"/>
              <w:right w:val="single" w:sz="6" w:space="0" w:color="000000"/>
              <w:tl2br w:val="nil"/>
              <w:tr2bl w:val="nil"/>
            </w:tcBorders>
            <w:shd w:val="clear" w:color="auto" w:fill="FFFFFF"/>
            <w:tcMar>
              <w:left w:w="101" w:type="dxa"/>
              <w:right w:w="101" w:type="dxa"/>
            </w:tcMar>
            <w:vAlign w:val="bottom"/>
          </w:tcPr>
          <w:p w14:paraId="18B664AA" w14:textId="77777777" w:rsidR="00724034" w:rsidRDefault="00FB7D0B">
            <w:pPr>
              <w:jc w:val="right"/>
              <w:rPr>
                <w:rFonts w:ascii="Arial" w:eastAsia="Arial" w:hAnsi="Arial" w:cs="Arial"/>
                <w:b/>
                <w:color w:val="000000"/>
                <w:sz w:val="16"/>
              </w:rPr>
            </w:pPr>
            <w:r>
              <w:rPr>
                <w:rFonts w:ascii="Arial" w:eastAsia="Arial" w:hAnsi="Arial" w:cs="Arial"/>
                <w:b/>
                <w:color w:val="000000"/>
                <w:sz w:val="16"/>
              </w:rPr>
              <w:t>106,309 </w:t>
            </w:r>
          </w:p>
        </w:tc>
      </w:tr>
    </w:tbl>
    <w:p w14:paraId="5009312E" w14:textId="77777777" w:rsidR="00724034" w:rsidRDefault="00724034">
      <w:pPr>
        <w:rPr>
          <w:rFonts w:ascii="Times New Roman" w:eastAsia="Times New Roman" w:hAnsi="Times New Roman" w:cs="Times New Roman"/>
        </w:rPr>
      </w:pPr>
    </w:p>
    <w:p w14:paraId="0BB097EB" w14:textId="77777777" w:rsidR="003F0EEA" w:rsidRPr="004D4F1D" w:rsidRDefault="00FB7D0B" w:rsidP="003F0EEA">
      <w:pPr>
        <w:pStyle w:val="ListParagraph14"/>
        <w:numPr>
          <w:ilvl w:val="0"/>
          <w:numId w:val="46"/>
        </w:numPr>
        <w:spacing w:after="200" w:line="276" w:lineRule="auto"/>
        <w:ind w:left="284" w:hanging="284"/>
        <w:rPr>
          <w:rFonts w:ascii="Arial" w:eastAsia="Calibri" w:hAnsi="Arial" w:cs="Arial"/>
          <w:sz w:val="16"/>
          <w:szCs w:val="16"/>
          <w:lang w:eastAsia="en-US"/>
        </w:rPr>
      </w:pPr>
      <w:r w:rsidRPr="004D4F1D">
        <w:rPr>
          <w:rFonts w:ascii="Arial" w:eastAsia="Calibri" w:hAnsi="Arial" w:cs="Arial"/>
          <w:sz w:val="16"/>
          <w:szCs w:val="16"/>
          <w:lang w:eastAsia="en-US"/>
        </w:rPr>
        <w:t xml:space="preserve">Expenses not requiring appropriation in the Budget year is made up of Depreciation Expense, Amortisation </w:t>
      </w:r>
      <w:r w:rsidRPr="004D4F1D">
        <w:rPr>
          <w:rFonts w:ascii="Arial" w:eastAsia="Calibri" w:hAnsi="Arial" w:cs="Arial"/>
          <w:sz w:val="16"/>
          <w:szCs w:val="16"/>
          <w:lang w:eastAsia="en-US"/>
        </w:rPr>
        <w:br/>
        <w:t xml:space="preserve">Expense and Resources Received Free of Charge. </w:t>
      </w:r>
    </w:p>
    <w:p w14:paraId="10C0BC8F" w14:textId="77777777" w:rsidR="003F0EEA" w:rsidRPr="004D4F1D" w:rsidRDefault="00FB7D0B">
      <w:pPr>
        <w:spacing w:line="14" w:lineRule="exact"/>
        <w:rPr>
          <w:rFonts w:ascii="Arial" w:hAnsi="Arial" w:cs="Arial"/>
          <w:sz w:val="16"/>
          <w:szCs w:val="16"/>
          <w:lang w:eastAsia="en-US"/>
        </w:rPr>
      </w:pPr>
      <w:r w:rsidRPr="004D4F1D">
        <w:rPr>
          <w:rFonts w:ascii="Arial" w:hAnsi="Arial" w:cs="Arial"/>
          <w:sz w:val="16"/>
          <w:szCs w:val="16"/>
          <w:lang w:eastAsia="en-U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4A0" w:firstRow="1" w:lastRow="0" w:firstColumn="1" w:lastColumn="0" w:noHBand="0" w:noVBand="1"/>
      </w:tblPr>
      <w:tblGrid>
        <w:gridCol w:w="8324"/>
      </w:tblGrid>
      <w:tr w:rsidR="00724034" w14:paraId="3F0CCED0" w14:textId="77777777" w:rsidTr="00355BFE">
        <w:tc>
          <w:tcPr>
            <w:tcW w:w="8335" w:type="dxa"/>
            <w:shd w:val="clear" w:color="auto" w:fill="E6E6E6"/>
            <w:vAlign w:val="center"/>
          </w:tcPr>
          <w:p w14:paraId="4D0E778A" w14:textId="77777777" w:rsidR="003F0EEA" w:rsidRPr="00355BFE" w:rsidRDefault="00FB7D0B" w:rsidP="00355BFE">
            <w:pPr>
              <w:pStyle w:val="Normal142"/>
              <w:spacing w:before="60" w:after="60" w:line="276" w:lineRule="auto"/>
              <w:rPr>
                <w:rFonts w:ascii="Arial" w:eastAsia="Calibri" w:hAnsi="Arial" w:cs="Arial"/>
                <w:b/>
                <w:sz w:val="22"/>
                <w:szCs w:val="22"/>
                <w:lang w:eastAsia="en-US"/>
              </w:rPr>
            </w:pPr>
            <w:r w:rsidRPr="00355BFE">
              <w:rPr>
                <w:rFonts w:ascii="Arial" w:eastAsia="Calibri" w:hAnsi="Arial" w:cs="Arial"/>
                <w:b/>
                <w:sz w:val="22"/>
                <w:szCs w:val="22"/>
                <w:lang w:eastAsia="en-US"/>
              </w:rPr>
              <w:t>Programme 2.6: Military Rehabilitation and Compensation Acts - Health and Other Care Services (continued)</w:t>
            </w:r>
          </w:p>
        </w:tc>
      </w:tr>
    </w:tbl>
    <w:p w14:paraId="6966C7B1" w14:textId="77777777" w:rsidR="003F0EEA" w:rsidRDefault="003F0EEA">
      <w:pPr>
        <w:rPr>
          <w:rFonts w:cs="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
        <w:gridCol w:w="3423"/>
        <w:gridCol w:w="974"/>
        <w:gridCol w:w="974"/>
        <w:gridCol w:w="974"/>
        <w:gridCol w:w="974"/>
        <w:gridCol w:w="974"/>
        <w:gridCol w:w="25"/>
      </w:tblGrid>
      <w:tr w:rsidR="00724034" w14:paraId="0716974A" w14:textId="77777777" w:rsidTr="00355BFE">
        <w:trPr>
          <w:gridBefore w:val="1"/>
        </w:trPr>
        <w:tc>
          <w:tcPr>
            <w:tcW w:w="8335" w:type="dxa"/>
            <w:gridSpan w:val="7"/>
          </w:tcPr>
          <w:p w14:paraId="2707D21B" w14:textId="77777777" w:rsidR="003F0EEA" w:rsidRPr="00355BFE" w:rsidRDefault="00FB7D0B" w:rsidP="00355BFE">
            <w:pPr>
              <w:pStyle w:val="Normal142"/>
              <w:spacing w:before="60" w:after="200" w:line="276" w:lineRule="auto"/>
              <w:rPr>
                <w:rFonts w:ascii="Arial" w:eastAsia="Calibri" w:hAnsi="Arial" w:cs="Arial"/>
                <w:b/>
                <w:sz w:val="18"/>
                <w:szCs w:val="22"/>
                <w:lang w:eastAsia="en-US"/>
              </w:rPr>
            </w:pPr>
            <w:r w:rsidRPr="00355BFE">
              <w:rPr>
                <w:rFonts w:ascii="Arial" w:eastAsia="Calibri" w:hAnsi="Arial" w:cs="Arial"/>
                <w:b/>
                <w:sz w:val="18"/>
                <w:szCs w:val="22"/>
                <w:lang w:eastAsia="en-US"/>
              </w:rPr>
              <w:t>Programme 2.6 deliverables</w:t>
            </w:r>
          </w:p>
          <w:p w14:paraId="7214127F" w14:textId="77777777" w:rsidR="003F0EEA" w:rsidRPr="00355BFE" w:rsidRDefault="00FB7D0B" w:rsidP="00355BFE">
            <w:pPr>
              <w:pStyle w:val="Normal142"/>
              <w:spacing w:before="60" w:after="200" w:line="276" w:lineRule="auto"/>
              <w:rPr>
                <w:rFonts w:ascii="Calibri" w:eastAsia="Calibri" w:hAnsi="Calibri"/>
                <w:sz w:val="22"/>
                <w:szCs w:val="22"/>
                <w:lang w:eastAsia="en-US"/>
              </w:rPr>
            </w:pPr>
            <w:r w:rsidRPr="00355BFE">
              <w:rPr>
                <w:rFonts w:ascii="Arial" w:eastAsia="Calibri" w:hAnsi="Arial" w:cs="Arial"/>
                <w:sz w:val="18"/>
                <w:szCs w:val="22"/>
                <w:lang w:eastAsia="en-US"/>
              </w:rPr>
              <w:t>Under the SRCA &amp; MRCA, the Department will administer a range of benefits for Defence-related claims, including payment for rehabilitation services, medical treatment, attendant care and household services.</w:t>
            </w:r>
          </w:p>
        </w:tc>
      </w:tr>
      <w:tr w:rsidR="00724034" w14:paraId="55925C9F" w14:textId="77777777">
        <w:trPr>
          <w:gridAfter w:val="1"/>
          <w:wAfter w:w="21" w:type="dxa"/>
          <w:trHeight w:val="225"/>
        </w:trPr>
        <w:tc>
          <w:tcPr>
            <w:tcW w:w="3435" w:type="dxa"/>
            <w:gridSpan w:val="2"/>
            <w:tcBorders>
              <w:top w:val="single" w:sz="6" w:space="0" w:color="000000"/>
              <w:left w:val="single" w:sz="6" w:space="0" w:color="000000"/>
              <w:bottom w:val="nil"/>
              <w:right w:val="nil"/>
              <w:tl2br w:val="nil"/>
              <w:tr2bl w:val="nil"/>
            </w:tcBorders>
            <w:shd w:val="clear" w:color="auto" w:fill="FFFFFF"/>
            <w:tcMar>
              <w:left w:w="115" w:type="dxa"/>
              <w:right w:w="115" w:type="dxa"/>
            </w:tcMar>
            <w:vAlign w:val="bottom"/>
          </w:tcPr>
          <w:p w14:paraId="08B69CD2" w14:textId="77777777" w:rsidR="00724034" w:rsidRDefault="00724034">
            <w:pPr>
              <w:jc w:val="center"/>
            </w:pPr>
          </w:p>
        </w:tc>
        <w:tc>
          <w:tcPr>
            <w:tcW w:w="975"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60AADAD6" w14:textId="77777777" w:rsidR="00724034" w:rsidRDefault="00FB7D0B">
            <w:pPr>
              <w:jc w:val="right"/>
              <w:rPr>
                <w:rFonts w:ascii="Arial" w:eastAsia="Arial" w:hAnsi="Arial" w:cs="Arial"/>
                <w:b/>
                <w:color w:val="000000"/>
                <w:sz w:val="16"/>
              </w:rPr>
            </w:pPr>
            <w:r>
              <w:rPr>
                <w:rFonts w:ascii="Arial" w:eastAsia="Arial" w:hAnsi="Arial" w:cs="Arial"/>
                <w:color w:val="000000"/>
                <w:sz w:val="16"/>
              </w:rPr>
              <w:t>2013-14</w:t>
            </w:r>
          </w:p>
        </w:tc>
        <w:tc>
          <w:tcPr>
            <w:tcW w:w="975" w:type="dxa"/>
            <w:tcBorders>
              <w:top w:val="single" w:sz="6" w:space="0" w:color="000000"/>
              <w:left w:val="nil"/>
              <w:bottom w:val="nil"/>
              <w:right w:val="nil"/>
              <w:tl2br w:val="nil"/>
              <w:tr2bl w:val="nil"/>
            </w:tcBorders>
            <w:shd w:val="clear" w:color="auto" w:fill="FFFF00"/>
            <w:tcMar>
              <w:left w:w="115" w:type="dxa"/>
              <w:right w:w="115" w:type="dxa"/>
            </w:tcMar>
            <w:vAlign w:val="bottom"/>
          </w:tcPr>
          <w:p w14:paraId="159A2693" w14:textId="77777777" w:rsidR="00724034" w:rsidRDefault="00FB7D0B">
            <w:pPr>
              <w:jc w:val="right"/>
              <w:rPr>
                <w:rFonts w:ascii="Arial" w:eastAsia="Arial" w:hAnsi="Arial" w:cs="Arial"/>
                <w:color w:val="000000"/>
                <w:sz w:val="16"/>
              </w:rPr>
            </w:pPr>
            <w:r>
              <w:rPr>
                <w:rFonts w:ascii="Arial" w:eastAsia="Arial" w:hAnsi="Arial" w:cs="Arial"/>
                <w:color w:val="000000"/>
                <w:sz w:val="16"/>
              </w:rPr>
              <w:t>2014-15</w:t>
            </w:r>
          </w:p>
        </w:tc>
        <w:tc>
          <w:tcPr>
            <w:tcW w:w="975"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55C69F48" w14:textId="77777777" w:rsidR="00724034" w:rsidRDefault="00FB7D0B">
            <w:pPr>
              <w:jc w:val="right"/>
              <w:rPr>
                <w:rFonts w:ascii="Arial" w:eastAsia="Arial" w:hAnsi="Arial" w:cs="Arial"/>
                <w:color w:val="000000"/>
                <w:sz w:val="16"/>
              </w:rPr>
            </w:pPr>
            <w:r>
              <w:rPr>
                <w:rFonts w:ascii="Arial" w:eastAsia="Arial" w:hAnsi="Arial" w:cs="Arial"/>
                <w:color w:val="000000"/>
                <w:sz w:val="16"/>
              </w:rPr>
              <w:t>2015-16</w:t>
            </w:r>
          </w:p>
        </w:tc>
        <w:tc>
          <w:tcPr>
            <w:tcW w:w="975"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3FD96ABE" w14:textId="77777777" w:rsidR="00724034" w:rsidRDefault="00FB7D0B">
            <w:pPr>
              <w:jc w:val="right"/>
              <w:rPr>
                <w:rFonts w:ascii="Arial" w:eastAsia="Arial" w:hAnsi="Arial" w:cs="Arial"/>
                <w:color w:val="000000"/>
                <w:sz w:val="16"/>
              </w:rPr>
            </w:pPr>
            <w:r>
              <w:rPr>
                <w:rFonts w:ascii="Arial" w:eastAsia="Arial" w:hAnsi="Arial" w:cs="Arial"/>
                <w:color w:val="000000"/>
                <w:sz w:val="16"/>
              </w:rPr>
              <w:t>2016-17</w:t>
            </w:r>
          </w:p>
        </w:tc>
        <w:tc>
          <w:tcPr>
            <w:tcW w:w="975" w:type="dxa"/>
            <w:tcBorders>
              <w:top w:val="single" w:sz="6" w:space="0" w:color="000000"/>
              <w:left w:val="nil"/>
              <w:bottom w:val="nil"/>
              <w:right w:val="single" w:sz="6" w:space="0" w:color="000000"/>
              <w:tl2br w:val="nil"/>
              <w:tr2bl w:val="nil"/>
            </w:tcBorders>
            <w:shd w:val="clear" w:color="auto" w:fill="FFFFFF"/>
            <w:tcMar>
              <w:left w:w="115" w:type="dxa"/>
              <w:right w:w="115" w:type="dxa"/>
            </w:tcMar>
            <w:vAlign w:val="bottom"/>
          </w:tcPr>
          <w:p w14:paraId="12E0CFD8" w14:textId="77777777" w:rsidR="00724034" w:rsidRDefault="00FB7D0B">
            <w:pPr>
              <w:jc w:val="right"/>
              <w:rPr>
                <w:rFonts w:ascii="Arial" w:eastAsia="Arial" w:hAnsi="Arial" w:cs="Arial"/>
                <w:color w:val="000000"/>
                <w:sz w:val="16"/>
              </w:rPr>
            </w:pPr>
            <w:r>
              <w:rPr>
                <w:rFonts w:ascii="Arial" w:eastAsia="Arial" w:hAnsi="Arial" w:cs="Arial"/>
                <w:color w:val="000000"/>
                <w:sz w:val="16"/>
              </w:rPr>
              <w:t>2017-18</w:t>
            </w:r>
          </w:p>
        </w:tc>
      </w:tr>
      <w:tr w:rsidR="00724034" w14:paraId="6B30CE53" w14:textId="77777777">
        <w:trPr>
          <w:gridAfter w:val="1"/>
          <w:wAfter w:w="21" w:type="dxa"/>
          <w:trHeight w:val="225"/>
        </w:trPr>
        <w:tc>
          <w:tcPr>
            <w:tcW w:w="3435" w:type="dxa"/>
            <w:gridSpan w:val="2"/>
            <w:tcBorders>
              <w:top w:val="nil"/>
              <w:left w:val="single" w:sz="6" w:space="0" w:color="000000"/>
              <w:bottom w:val="nil"/>
              <w:right w:val="nil"/>
              <w:tl2br w:val="nil"/>
              <w:tr2bl w:val="nil"/>
            </w:tcBorders>
            <w:shd w:val="clear" w:color="auto" w:fill="FFFFFF"/>
            <w:tcMar>
              <w:left w:w="115" w:type="dxa"/>
              <w:right w:w="115" w:type="dxa"/>
            </w:tcMar>
            <w:vAlign w:val="bottom"/>
          </w:tcPr>
          <w:p w14:paraId="6AF820B7" w14:textId="77777777" w:rsidR="00724034" w:rsidRDefault="00724034">
            <w:pPr>
              <w:rPr>
                <w:rFonts w:ascii="Arial" w:eastAsia="Arial" w:hAnsi="Arial" w:cs="Arial"/>
                <w:color w:val="000000"/>
                <w:sz w:val="16"/>
              </w:rPr>
            </w:pPr>
          </w:p>
        </w:tc>
        <w:tc>
          <w:tcPr>
            <w:tcW w:w="975" w:type="dxa"/>
            <w:tcBorders>
              <w:top w:val="nil"/>
              <w:left w:val="nil"/>
              <w:bottom w:val="nil"/>
              <w:right w:val="nil"/>
              <w:tl2br w:val="nil"/>
              <w:tr2bl w:val="nil"/>
            </w:tcBorders>
            <w:shd w:val="clear" w:color="auto" w:fill="FFFFFF"/>
            <w:tcMar>
              <w:left w:w="115" w:type="dxa"/>
              <w:right w:w="115" w:type="dxa"/>
            </w:tcMar>
            <w:vAlign w:val="bottom"/>
          </w:tcPr>
          <w:p w14:paraId="4C0C0E55" w14:textId="77777777" w:rsidR="00724034" w:rsidRDefault="00FB7D0B">
            <w:pPr>
              <w:jc w:val="right"/>
              <w:rPr>
                <w:rFonts w:ascii="Arial" w:eastAsia="Arial" w:hAnsi="Arial" w:cs="Arial"/>
                <w:color w:val="000000"/>
                <w:sz w:val="16"/>
              </w:rPr>
            </w:pPr>
            <w:r>
              <w:rPr>
                <w:rFonts w:ascii="Arial" w:eastAsia="Arial" w:hAnsi="Arial" w:cs="Arial"/>
                <w:color w:val="000000"/>
                <w:sz w:val="16"/>
              </w:rPr>
              <w:t>Revised</w:t>
            </w:r>
          </w:p>
        </w:tc>
        <w:tc>
          <w:tcPr>
            <w:tcW w:w="975" w:type="dxa"/>
            <w:tcBorders>
              <w:top w:val="nil"/>
              <w:left w:val="nil"/>
              <w:bottom w:val="nil"/>
              <w:right w:val="nil"/>
              <w:tl2br w:val="nil"/>
              <w:tr2bl w:val="nil"/>
            </w:tcBorders>
            <w:shd w:val="clear" w:color="auto" w:fill="FFFF00"/>
            <w:tcMar>
              <w:left w:w="115" w:type="dxa"/>
              <w:right w:w="115" w:type="dxa"/>
            </w:tcMar>
            <w:vAlign w:val="bottom"/>
          </w:tcPr>
          <w:p w14:paraId="058EA47B" w14:textId="77777777" w:rsidR="00724034" w:rsidRDefault="00FB7D0B">
            <w:pPr>
              <w:jc w:val="right"/>
              <w:rPr>
                <w:rFonts w:ascii="Arial" w:eastAsia="Arial" w:hAnsi="Arial" w:cs="Arial"/>
                <w:color w:val="000000"/>
                <w:sz w:val="16"/>
              </w:rPr>
            </w:pPr>
            <w:r>
              <w:rPr>
                <w:rFonts w:ascii="Arial" w:eastAsia="Arial" w:hAnsi="Arial" w:cs="Arial"/>
                <w:color w:val="000000"/>
                <w:sz w:val="16"/>
              </w:rPr>
              <w:t>Budget</w:t>
            </w:r>
          </w:p>
        </w:tc>
        <w:tc>
          <w:tcPr>
            <w:tcW w:w="975" w:type="dxa"/>
            <w:tcBorders>
              <w:top w:val="nil"/>
              <w:left w:val="nil"/>
              <w:bottom w:val="nil"/>
              <w:right w:val="nil"/>
              <w:tl2br w:val="nil"/>
              <w:tr2bl w:val="nil"/>
            </w:tcBorders>
            <w:shd w:val="clear" w:color="auto" w:fill="FFFFFF"/>
            <w:tcMar>
              <w:left w:w="115" w:type="dxa"/>
              <w:right w:w="115" w:type="dxa"/>
            </w:tcMar>
            <w:vAlign w:val="bottom"/>
          </w:tcPr>
          <w:p w14:paraId="4C48AEBE" w14:textId="77777777" w:rsidR="00724034" w:rsidRDefault="00FB7D0B">
            <w:pPr>
              <w:jc w:val="right"/>
              <w:rPr>
                <w:rFonts w:ascii="Arial" w:eastAsia="Arial" w:hAnsi="Arial" w:cs="Arial"/>
                <w:color w:val="000000"/>
                <w:sz w:val="16"/>
              </w:rPr>
            </w:pPr>
            <w:r>
              <w:rPr>
                <w:rFonts w:ascii="Arial" w:eastAsia="Arial" w:hAnsi="Arial" w:cs="Arial"/>
                <w:color w:val="000000"/>
                <w:sz w:val="16"/>
              </w:rPr>
              <w:t>Forward</w:t>
            </w:r>
          </w:p>
        </w:tc>
        <w:tc>
          <w:tcPr>
            <w:tcW w:w="975" w:type="dxa"/>
            <w:tcBorders>
              <w:top w:val="nil"/>
              <w:left w:val="nil"/>
              <w:bottom w:val="nil"/>
              <w:right w:val="nil"/>
              <w:tl2br w:val="nil"/>
              <w:tr2bl w:val="nil"/>
            </w:tcBorders>
            <w:shd w:val="clear" w:color="auto" w:fill="FFFFFF"/>
            <w:tcMar>
              <w:left w:w="115" w:type="dxa"/>
              <w:right w:w="115" w:type="dxa"/>
            </w:tcMar>
            <w:vAlign w:val="bottom"/>
          </w:tcPr>
          <w:p w14:paraId="1B64815F" w14:textId="77777777" w:rsidR="00724034" w:rsidRDefault="00FB7D0B">
            <w:pPr>
              <w:jc w:val="right"/>
              <w:rPr>
                <w:rFonts w:ascii="Arial" w:eastAsia="Arial" w:hAnsi="Arial" w:cs="Arial"/>
                <w:color w:val="000000"/>
                <w:sz w:val="16"/>
              </w:rPr>
            </w:pPr>
            <w:r>
              <w:rPr>
                <w:rFonts w:ascii="Arial" w:eastAsia="Arial" w:hAnsi="Arial" w:cs="Arial"/>
                <w:color w:val="000000"/>
                <w:sz w:val="16"/>
              </w:rPr>
              <w:t>Forward</w:t>
            </w:r>
          </w:p>
        </w:tc>
        <w:tc>
          <w:tcPr>
            <w:tcW w:w="975" w:type="dxa"/>
            <w:tcBorders>
              <w:top w:val="nil"/>
              <w:left w:val="nil"/>
              <w:bottom w:val="nil"/>
              <w:right w:val="single" w:sz="6" w:space="0" w:color="000000"/>
              <w:tl2br w:val="nil"/>
              <w:tr2bl w:val="nil"/>
            </w:tcBorders>
            <w:shd w:val="clear" w:color="auto" w:fill="FFFFFF"/>
            <w:tcMar>
              <w:left w:w="115" w:type="dxa"/>
              <w:right w:w="115" w:type="dxa"/>
            </w:tcMar>
            <w:vAlign w:val="bottom"/>
          </w:tcPr>
          <w:p w14:paraId="79C3E4E3" w14:textId="77777777" w:rsidR="00724034" w:rsidRDefault="00FB7D0B">
            <w:pPr>
              <w:jc w:val="right"/>
              <w:rPr>
                <w:rFonts w:ascii="Arial" w:eastAsia="Arial" w:hAnsi="Arial" w:cs="Arial"/>
                <w:color w:val="000000"/>
                <w:sz w:val="16"/>
              </w:rPr>
            </w:pPr>
            <w:r>
              <w:rPr>
                <w:rFonts w:ascii="Arial" w:eastAsia="Arial" w:hAnsi="Arial" w:cs="Arial"/>
                <w:color w:val="000000"/>
                <w:sz w:val="16"/>
              </w:rPr>
              <w:t>Forward</w:t>
            </w:r>
          </w:p>
        </w:tc>
      </w:tr>
      <w:tr w:rsidR="00724034" w14:paraId="3D56841B" w14:textId="77777777">
        <w:trPr>
          <w:gridAfter w:val="1"/>
          <w:wAfter w:w="21" w:type="dxa"/>
          <w:trHeight w:val="225"/>
        </w:trPr>
        <w:tc>
          <w:tcPr>
            <w:tcW w:w="3435" w:type="dxa"/>
            <w:gridSpan w:val="2"/>
            <w:tcBorders>
              <w:top w:val="nil"/>
              <w:left w:val="single" w:sz="6" w:space="0" w:color="000000"/>
              <w:bottom w:val="single" w:sz="6" w:space="0" w:color="000000"/>
              <w:right w:val="nil"/>
              <w:tl2br w:val="nil"/>
              <w:tr2bl w:val="nil"/>
            </w:tcBorders>
            <w:shd w:val="clear" w:color="auto" w:fill="FFFFFF"/>
            <w:tcMar>
              <w:left w:w="115" w:type="dxa"/>
              <w:right w:w="115" w:type="dxa"/>
            </w:tcMar>
            <w:vAlign w:val="bottom"/>
          </w:tcPr>
          <w:p w14:paraId="4A683BB7" w14:textId="77777777" w:rsidR="00724034" w:rsidRDefault="00FB7D0B">
            <w:pPr>
              <w:rPr>
                <w:rFonts w:ascii="Arial" w:eastAsia="Arial" w:hAnsi="Arial" w:cs="Arial"/>
                <w:color w:val="000000"/>
                <w:sz w:val="16"/>
              </w:rPr>
            </w:pPr>
            <w:r>
              <w:rPr>
                <w:rFonts w:ascii="Arial" w:eastAsia="Arial" w:hAnsi="Arial" w:cs="Arial"/>
                <w:color w:val="000000"/>
                <w:sz w:val="16"/>
              </w:rPr>
              <w:t xml:space="preserve">Deliverables </w:t>
            </w:r>
          </w:p>
        </w:tc>
        <w:tc>
          <w:tcPr>
            <w:tcW w:w="975"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1BC7B52C" w14:textId="77777777" w:rsidR="00724034" w:rsidRDefault="00FB7D0B">
            <w:pPr>
              <w:jc w:val="right"/>
              <w:rPr>
                <w:rFonts w:ascii="Arial" w:eastAsia="Arial" w:hAnsi="Arial" w:cs="Arial"/>
                <w:color w:val="000000"/>
                <w:sz w:val="16"/>
              </w:rPr>
            </w:pPr>
            <w:r>
              <w:rPr>
                <w:rFonts w:ascii="Arial" w:eastAsia="Arial" w:hAnsi="Arial" w:cs="Arial"/>
                <w:color w:val="000000"/>
                <w:sz w:val="16"/>
              </w:rPr>
              <w:t>budget</w:t>
            </w:r>
          </w:p>
        </w:tc>
        <w:tc>
          <w:tcPr>
            <w:tcW w:w="975" w:type="dxa"/>
            <w:tcBorders>
              <w:top w:val="nil"/>
              <w:left w:val="nil"/>
              <w:bottom w:val="single" w:sz="6" w:space="0" w:color="000000"/>
              <w:right w:val="nil"/>
              <w:tl2br w:val="nil"/>
              <w:tr2bl w:val="nil"/>
            </w:tcBorders>
            <w:shd w:val="clear" w:color="auto" w:fill="FFFF00"/>
            <w:tcMar>
              <w:left w:w="115" w:type="dxa"/>
              <w:right w:w="115" w:type="dxa"/>
            </w:tcMar>
            <w:vAlign w:val="bottom"/>
          </w:tcPr>
          <w:p w14:paraId="577E1CB8" w14:textId="77777777" w:rsidR="00724034" w:rsidRDefault="00724034">
            <w:pPr>
              <w:jc w:val="right"/>
              <w:rPr>
                <w:rFonts w:ascii="Arial" w:eastAsia="Arial" w:hAnsi="Arial" w:cs="Arial"/>
                <w:color w:val="000000"/>
                <w:sz w:val="16"/>
              </w:rPr>
            </w:pPr>
          </w:p>
        </w:tc>
        <w:tc>
          <w:tcPr>
            <w:tcW w:w="975"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1C20A07A" w14:textId="77777777" w:rsidR="00724034" w:rsidRDefault="00FB7D0B">
            <w:pPr>
              <w:jc w:val="right"/>
              <w:rPr>
                <w:rFonts w:ascii="Arial" w:eastAsia="Arial" w:hAnsi="Arial" w:cs="Arial"/>
                <w:color w:val="000000"/>
                <w:sz w:val="16"/>
              </w:rPr>
            </w:pPr>
            <w:r>
              <w:rPr>
                <w:rFonts w:ascii="Arial" w:eastAsia="Arial" w:hAnsi="Arial" w:cs="Arial"/>
                <w:color w:val="000000"/>
                <w:sz w:val="16"/>
              </w:rPr>
              <w:t>year 1</w:t>
            </w:r>
          </w:p>
        </w:tc>
        <w:tc>
          <w:tcPr>
            <w:tcW w:w="975"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2AB935CC" w14:textId="77777777" w:rsidR="00724034" w:rsidRDefault="00FB7D0B">
            <w:pPr>
              <w:jc w:val="right"/>
              <w:rPr>
                <w:rFonts w:ascii="Arial" w:eastAsia="Arial" w:hAnsi="Arial" w:cs="Arial"/>
                <w:color w:val="000000"/>
                <w:sz w:val="16"/>
              </w:rPr>
            </w:pPr>
            <w:r>
              <w:rPr>
                <w:rFonts w:ascii="Arial" w:eastAsia="Arial" w:hAnsi="Arial" w:cs="Arial"/>
                <w:color w:val="000000"/>
                <w:sz w:val="16"/>
              </w:rPr>
              <w:t>year 2</w:t>
            </w:r>
          </w:p>
        </w:tc>
        <w:tc>
          <w:tcPr>
            <w:tcW w:w="975" w:type="dxa"/>
            <w:tcBorders>
              <w:top w:val="nil"/>
              <w:left w:val="nil"/>
              <w:bottom w:val="single" w:sz="6" w:space="0" w:color="000000"/>
              <w:right w:val="single" w:sz="6" w:space="0" w:color="000000"/>
              <w:tl2br w:val="nil"/>
              <w:tr2bl w:val="nil"/>
            </w:tcBorders>
            <w:shd w:val="clear" w:color="auto" w:fill="FFFFFF"/>
            <w:tcMar>
              <w:left w:w="115" w:type="dxa"/>
              <w:right w:w="115" w:type="dxa"/>
            </w:tcMar>
            <w:vAlign w:val="bottom"/>
          </w:tcPr>
          <w:p w14:paraId="1E51A5E8" w14:textId="77777777" w:rsidR="00724034" w:rsidRDefault="00FB7D0B">
            <w:pPr>
              <w:jc w:val="right"/>
              <w:rPr>
                <w:rFonts w:ascii="Arial" w:eastAsia="Arial" w:hAnsi="Arial" w:cs="Arial"/>
                <w:color w:val="000000"/>
                <w:sz w:val="16"/>
              </w:rPr>
            </w:pPr>
            <w:r>
              <w:rPr>
                <w:rFonts w:ascii="Arial" w:eastAsia="Arial" w:hAnsi="Arial" w:cs="Arial"/>
                <w:color w:val="000000"/>
                <w:sz w:val="16"/>
              </w:rPr>
              <w:t>year 3</w:t>
            </w:r>
          </w:p>
        </w:tc>
      </w:tr>
      <w:tr w:rsidR="00724034" w14:paraId="08008076" w14:textId="77777777">
        <w:trPr>
          <w:gridAfter w:val="1"/>
          <w:wAfter w:w="21" w:type="dxa"/>
          <w:trHeight w:hRule="exact" w:val="30"/>
        </w:trPr>
        <w:tc>
          <w:tcPr>
            <w:tcW w:w="3435" w:type="dxa"/>
            <w:gridSpan w:val="2"/>
            <w:tcBorders>
              <w:top w:val="single" w:sz="6" w:space="0" w:color="000000"/>
              <w:left w:val="single" w:sz="6" w:space="0" w:color="000000"/>
              <w:bottom w:val="nil"/>
              <w:right w:val="nil"/>
              <w:tl2br w:val="nil"/>
              <w:tr2bl w:val="nil"/>
            </w:tcBorders>
            <w:shd w:val="clear" w:color="auto" w:fill="FFFFFF"/>
            <w:tcMar>
              <w:left w:w="115" w:type="dxa"/>
              <w:right w:w="115" w:type="dxa"/>
            </w:tcMar>
            <w:vAlign w:val="bottom"/>
          </w:tcPr>
          <w:p w14:paraId="3B16DCF2" w14:textId="77777777" w:rsidR="00724034" w:rsidRDefault="00724034">
            <w:pPr>
              <w:rPr>
                <w:rFonts w:ascii="Arial" w:eastAsia="Arial" w:hAnsi="Arial" w:cs="Arial"/>
                <w:color w:val="000000"/>
                <w:sz w:val="16"/>
              </w:rPr>
            </w:pPr>
          </w:p>
        </w:tc>
        <w:tc>
          <w:tcPr>
            <w:tcW w:w="975"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77270148" w14:textId="77777777" w:rsidR="00724034" w:rsidRDefault="00724034">
            <w:pPr>
              <w:jc w:val="right"/>
              <w:rPr>
                <w:rFonts w:ascii="Arial" w:eastAsia="Arial" w:hAnsi="Arial" w:cs="Arial"/>
                <w:color w:val="000000"/>
                <w:sz w:val="16"/>
              </w:rPr>
            </w:pPr>
          </w:p>
        </w:tc>
        <w:tc>
          <w:tcPr>
            <w:tcW w:w="975" w:type="dxa"/>
            <w:tcBorders>
              <w:top w:val="single" w:sz="6" w:space="0" w:color="000000"/>
              <w:left w:val="nil"/>
              <w:bottom w:val="nil"/>
              <w:right w:val="nil"/>
              <w:tl2br w:val="nil"/>
              <w:tr2bl w:val="nil"/>
            </w:tcBorders>
            <w:shd w:val="clear" w:color="auto" w:fill="FFFF00"/>
            <w:tcMar>
              <w:left w:w="115" w:type="dxa"/>
              <w:right w:w="115" w:type="dxa"/>
            </w:tcMar>
            <w:vAlign w:val="bottom"/>
          </w:tcPr>
          <w:p w14:paraId="2E693166" w14:textId="77777777" w:rsidR="00724034" w:rsidRDefault="00724034">
            <w:pPr>
              <w:jc w:val="right"/>
              <w:rPr>
                <w:rFonts w:ascii="Arial" w:eastAsia="Arial" w:hAnsi="Arial" w:cs="Arial"/>
                <w:color w:val="000000"/>
                <w:sz w:val="16"/>
              </w:rPr>
            </w:pPr>
          </w:p>
        </w:tc>
        <w:tc>
          <w:tcPr>
            <w:tcW w:w="975"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1498F4D8" w14:textId="77777777" w:rsidR="00724034" w:rsidRDefault="00724034">
            <w:pPr>
              <w:jc w:val="right"/>
              <w:rPr>
                <w:rFonts w:ascii="Arial" w:eastAsia="Arial" w:hAnsi="Arial" w:cs="Arial"/>
                <w:color w:val="000000"/>
                <w:sz w:val="16"/>
              </w:rPr>
            </w:pPr>
          </w:p>
        </w:tc>
        <w:tc>
          <w:tcPr>
            <w:tcW w:w="975"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4AF5AD54" w14:textId="77777777" w:rsidR="00724034" w:rsidRDefault="00724034">
            <w:pPr>
              <w:jc w:val="right"/>
              <w:rPr>
                <w:rFonts w:ascii="Arial" w:eastAsia="Arial" w:hAnsi="Arial" w:cs="Arial"/>
                <w:color w:val="000000"/>
                <w:sz w:val="16"/>
              </w:rPr>
            </w:pPr>
          </w:p>
        </w:tc>
        <w:tc>
          <w:tcPr>
            <w:tcW w:w="975" w:type="dxa"/>
            <w:tcBorders>
              <w:top w:val="single" w:sz="6" w:space="0" w:color="000000"/>
              <w:left w:val="nil"/>
              <w:bottom w:val="nil"/>
              <w:right w:val="single" w:sz="6" w:space="0" w:color="000000"/>
              <w:tl2br w:val="nil"/>
              <w:tr2bl w:val="nil"/>
            </w:tcBorders>
            <w:shd w:val="clear" w:color="auto" w:fill="FFFFFF"/>
            <w:tcMar>
              <w:left w:w="115" w:type="dxa"/>
              <w:right w:w="115" w:type="dxa"/>
            </w:tcMar>
            <w:vAlign w:val="bottom"/>
          </w:tcPr>
          <w:p w14:paraId="4E074575" w14:textId="77777777" w:rsidR="00724034" w:rsidRDefault="00724034">
            <w:pPr>
              <w:jc w:val="right"/>
              <w:rPr>
                <w:rFonts w:ascii="Arial" w:eastAsia="Arial" w:hAnsi="Arial" w:cs="Arial"/>
                <w:color w:val="000000"/>
                <w:sz w:val="16"/>
              </w:rPr>
            </w:pPr>
          </w:p>
        </w:tc>
      </w:tr>
      <w:tr w:rsidR="00724034" w14:paraId="3949012B" w14:textId="77777777">
        <w:trPr>
          <w:gridAfter w:val="1"/>
          <w:wAfter w:w="21" w:type="dxa"/>
          <w:trHeight w:val="450"/>
        </w:trPr>
        <w:tc>
          <w:tcPr>
            <w:tcW w:w="3435" w:type="dxa"/>
            <w:gridSpan w:val="2"/>
            <w:tcBorders>
              <w:top w:val="nil"/>
              <w:left w:val="single" w:sz="6" w:space="0" w:color="000000"/>
              <w:bottom w:val="nil"/>
              <w:right w:val="nil"/>
              <w:tl2br w:val="nil"/>
              <w:tr2bl w:val="nil"/>
            </w:tcBorders>
            <w:shd w:val="clear" w:color="auto" w:fill="FFFFFF"/>
            <w:tcMar>
              <w:left w:w="115" w:type="dxa"/>
              <w:right w:w="115" w:type="dxa"/>
            </w:tcMar>
            <w:vAlign w:val="bottom"/>
          </w:tcPr>
          <w:p w14:paraId="164CD203" w14:textId="77777777" w:rsidR="00724034" w:rsidRDefault="00FB7D0B">
            <w:pPr>
              <w:rPr>
                <w:rFonts w:ascii="Arial" w:eastAsia="Arial" w:hAnsi="Arial" w:cs="Arial"/>
                <w:color w:val="000000"/>
                <w:sz w:val="16"/>
              </w:rPr>
            </w:pPr>
            <w:r>
              <w:rPr>
                <w:rFonts w:ascii="Arial" w:eastAsia="Arial" w:hAnsi="Arial" w:cs="Arial"/>
                <w:i/>
                <w:color w:val="000000"/>
                <w:sz w:val="16"/>
              </w:rPr>
              <w:t xml:space="preserve">Quantity: </w:t>
            </w:r>
            <w:r>
              <w:rPr>
                <w:rFonts w:ascii="Arial" w:eastAsia="Arial" w:hAnsi="Arial" w:cs="Arial"/>
                <w:color w:val="000000"/>
                <w:sz w:val="16"/>
              </w:rPr>
              <w:t>Number of SRCA rehabilitation assessments</w:t>
            </w:r>
          </w:p>
        </w:tc>
        <w:tc>
          <w:tcPr>
            <w:tcW w:w="975" w:type="dxa"/>
            <w:tcBorders>
              <w:top w:val="nil"/>
              <w:left w:val="nil"/>
              <w:bottom w:val="nil"/>
              <w:right w:val="nil"/>
              <w:tl2br w:val="nil"/>
              <w:tr2bl w:val="nil"/>
            </w:tcBorders>
            <w:shd w:val="clear" w:color="auto" w:fill="FFFFFF"/>
            <w:tcMar>
              <w:left w:w="115" w:type="dxa"/>
              <w:right w:w="115" w:type="dxa"/>
            </w:tcMar>
            <w:vAlign w:val="bottom"/>
          </w:tcPr>
          <w:p w14:paraId="1C2177D6" w14:textId="77777777" w:rsidR="00724034" w:rsidRDefault="00FB7D0B">
            <w:pPr>
              <w:jc w:val="right"/>
              <w:rPr>
                <w:rFonts w:ascii="Arial" w:eastAsia="Arial" w:hAnsi="Arial" w:cs="Arial"/>
                <w:color w:val="000000"/>
                <w:sz w:val="16"/>
              </w:rPr>
            </w:pPr>
            <w:r>
              <w:rPr>
                <w:rFonts w:ascii="Arial" w:eastAsia="Arial" w:hAnsi="Arial" w:cs="Arial"/>
                <w:color w:val="000000"/>
                <w:sz w:val="16"/>
              </w:rPr>
              <w:t xml:space="preserve"> 764 </w:t>
            </w:r>
          </w:p>
        </w:tc>
        <w:tc>
          <w:tcPr>
            <w:tcW w:w="975" w:type="dxa"/>
            <w:tcBorders>
              <w:top w:val="nil"/>
              <w:left w:val="nil"/>
              <w:bottom w:val="nil"/>
              <w:right w:val="nil"/>
              <w:tl2br w:val="nil"/>
              <w:tr2bl w:val="nil"/>
            </w:tcBorders>
            <w:shd w:val="clear" w:color="auto" w:fill="FFFF00"/>
            <w:tcMar>
              <w:left w:w="115" w:type="dxa"/>
              <w:right w:w="115" w:type="dxa"/>
            </w:tcMar>
            <w:vAlign w:val="bottom"/>
          </w:tcPr>
          <w:p w14:paraId="4AFF0FCD" w14:textId="77777777" w:rsidR="00724034" w:rsidRDefault="00FB7D0B">
            <w:pPr>
              <w:jc w:val="right"/>
              <w:rPr>
                <w:rFonts w:ascii="Arial" w:eastAsia="Arial" w:hAnsi="Arial" w:cs="Arial"/>
                <w:color w:val="000000"/>
                <w:sz w:val="16"/>
              </w:rPr>
            </w:pPr>
            <w:r>
              <w:rPr>
                <w:rFonts w:ascii="Arial" w:eastAsia="Arial" w:hAnsi="Arial" w:cs="Arial"/>
                <w:color w:val="000000"/>
                <w:sz w:val="16"/>
              </w:rPr>
              <w:t xml:space="preserve"> 724 </w:t>
            </w:r>
          </w:p>
        </w:tc>
        <w:tc>
          <w:tcPr>
            <w:tcW w:w="975" w:type="dxa"/>
            <w:tcBorders>
              <w:top w:val="nil"/>
              <w:left w:val="nil"/>
              <w:bottom w:val="nil"/>
              <w:right w:val="nil"/>
              <w:tl2br w:val="nil"/>
              <w:tr2bl w:val="nil"/>
            </w:tcBorders>
            <w:shd w:val="clear" w:color="auto" w:fill="FFFFFF"/>
            <w:tcMar>
              <w:left w:w="115" w:type="dxa"/>
              <w:right w:w="115" w:type="dxa"/>
            </w:tcMar>
            <w:vAlign w:val="bottom"/>
          </w:tcPr>
          <w:p w14:paraId="360E1B1E" w14:textId="77777777" w:rsidR="00724034" w:rsidRDefault="00FB7D0B">
            <w:pPr>
              <w:jc w:val="right"/>
              <w:rPr>
                <w:rFonts w:ascii="Arial" w:eastAsia="Arial" w:hAnsi="Arial" w:cs="Arial"/>
                <w:color w:val="000000"/>
                <w:sz w:val="16"/>
              </w:rPr>
            </w:pPr>
            <w:r>
              <w:rPr>
                <w:rFonts w:ascii="Arial" w:eastAsia="Arial" w:hAnsi="Arial" w:cs="Arial"/>
                <w:color w:val="000000"/>
                <w:sz w:val="16"/>
              </w:rPr>
              <w:t xml:space="preserve"> 686 </w:t>
            </w:r>
          </w:p>
        </w:tc>
        <w:tc>
          <w:tcPr>
            <w:tcW w:w="975" w:type="dxa"/>
            <w:tcBorders>
              <w:top w:val="nil"/>
              <w:left w:val="nil"/>
              <w:bottom w:val="nil"/>
              <w:right w:val="nil"/>
              <w:tl2br w:val="nil"/>
              <w:tr2bl w:val="nil"/>
            </w:tcBorders>
            <w:shd w:val="clear" w:color="auto" w:fill="FFFFFF"/>
            <w:tcMar>
              <w:left w:w="115" w:type="dxa"/>
              <w:right w:w="115" w:type="dxa"/>
            </w:tcMar>
            <w:vAlign w:val="bottom"/>
          </w:tcPr>
          <w:p w14:paraId="56331A19" w14:textId="77777777" w:rsidR="00724034" w:rsidRDefault="00FB7D0B">
            <w:pPr>
              <w:jc w:val="right"/>
              <w:rPr>
                <w:rFonts w:ascii="Arial" w:eastAsia="Arial" w:hAnsi="Arial" w:cs="Arial"/>
                <w:color w:val="000000"/>
                <w:sz w:val="16"/>
              </w:rPr>
            </w:pPr>
            <w:r>
              <w:rPr>
                <w:rFonts w:ascii="Arial" w:eastAsia="Arial" w:hAnsi="Arial" w:cs="Arial"/>
                <w:color w:val="000000"/>
                <w:sz w:val="16"/>
              </w:rPr>
              <w:t xml:space="preserve"> 650 </w:t>
            </w:r>
          </w:p>
        </w:tc>
        <w:tc>
          <w:tcPr>
            <w:tcW w:w="975" w:type="dxa"/>
            <w:tcBorders>
              <w:top w:val="nil"/>
              <w:left w:val="nil"/>
              <w:bottom w:val="nil"/>
              <w:right w:val="single" w:sz="6" w:space="0" w:color="000000"/>
              <w:tl2br w:val="nil"/>
              <w:tr2bl w:val="nil"/>
            </w:tcBorders>
            <w:shd w:val="clear" w:color="auto" w:fill="FFFFFF"/>
            <w:tcMar>
              <w:left w:w="115" w:type="dxa"/>
              <w:right w:w="115" w:type="dxa"/>
            </w:tcMar>
            <w:vAlign w:val="bottom"/>
          </w:tcPr>
          <w:p w14:paraId="017D26E0" w14:textId="77777777" w:rsidR="00724034" w:rsidRDefault="00FB7D0B">
            <w:pPr>
              <w:jc w:val="right"/>
              <w:rPr>
                <w:rFonts w:ascii="Arial" w:eastAsia="Arial" w:hAnsi="Arial" w:cs="Arial"/>
                <w:color w:val="000000"/>
                <w:sz w:val="16"/>
              </w:rPr>
            </w:pPr>
            <w:r>
              <w:rPr>
                <w:rFonts w:ascii="Arial" w:eastAsia="Arial" w:hAnsi="Arial" w:cs="Arial"/>
                <w:color w:val="000000"/>
                <w:sz w:val="16"/>
              </w:rPr>
              <w:t xml:space="preserve"> 650 </w:t>
            </w:r>
          </w:p>
        </w:tc>
      </w:tr>
      <w:tr w:rsidR="00724034" w14:paraId="06B6E267" w14:textId="77777777">
        <w:trPr>
          <w:gridAfter w:val="1"/>
          <w:wAfter w:w="21" w:type="dxa"/>
          <w:trHeight w:hRule="exact" w:val="30"/>
        </w:trPr>
        <w:tc>
          <w:tcPr>
            <w:tcW w:w="3435" w:type="dxa"/>
            <w:gridSpan w:val="2"/>
            <w:tcBorders>
              <w:top w:val="nil"/>
              <w:left w:val="single" w:sz="6" w:space="0" w:color="000000"/>
              <w:bottom w:val="nil"/>
              <w:right w:val="nil"/>
              <w:tl2br w:val="nil"/>
              <w:tr2bl w:val="nil"/>
            </w:tcBorders>
            <w:shd w:val="clear" w:color="auto" w:fill="FFFFFF"/>
            <w:tcMar>
              <w:left w:w="115" w:type="dxa"/>
              <w:right w:w="115" w:type="dxa"/>
            </w:tcMar>
            <w:vAlign w:val="bottom"/>
          </w:tcPr>
          <w:p w14:paraId="40BEA564" w14:textId="77777777" w:rsidR="00724034" w:rsidRDefault="00724034">
            <w:pPr>
              <w:rPr>
                <w:rFonts w:ascii="Arial" w:eastAsia="Arial" w:hAnsi="Arial" w:cs="Arial"/>
                <w:color w:val="000000"/>
                <w:sz w:val="16"/>
              </w:rPr>
            </w:pPr>
          </w:p>
        </w:tc>
        <w:tc>
          <w:tcPr>
            <w:tcW w:w="975" w:type="dxa"/>
            <w:tcBorders>
              <w:top w:val="nil"/>
              <w:left w:val="nil"/>
              <w:bottom w:val="nil"/>
              <w:right w:val="nil"/>
              <w:tl2br w:val="nil"/>
              <w:tr2bl w:val="nil"/>
            </w:tcBorders>
            <w:shd w:val="clear" w:color="auto" w:fill="FFFFFF"/>
            <w:tcMar>
              <w:left w:w="115" w:type="dxa"/>
              <w:right w:w="115" w:type="dxa"/>
            </w:tcMar>
            <w:vAlign w:val="bottom"/>
          </w:tcPr>
          <w:p w14:paraId="6CDBB94E" w14:textId="77777777" w:rsidR="00724034" w:rsidRDefault="00724034">
            <w:pPr>
              <w:jc w:val="right"/>
              <w:rPr>
                <w:rFonts w:ascii="Arial" w:eastAsia="Arial" w:hAnsi="Arial" w:cs="Arial"/>
                <w:i/>
                <w:color w:val="000000"/>
                <w:sz w:val="16"/>
              </w:rPr>
            </w:pPr>
          </w:p>
        </w:tc>
        <w:tc>
          <w:tcPr>
            <w:tcW w:w="975" w:type="dxa"/>
            <w:tcBorders>
              <w:top w:val="nil"/>
              <w:left w:val="nil"/>
              <w:bottom w:val="nil"/>
              <w:right w:val="nil"/>
              <w:tl2br w:val="nil"/>
              <w:tr2bl w:val="nil"/>
            </w:tcBorders>
            <w:shd w:val="clear" w:color="auto" w:fill="FFFF00"/>
            <w:tcMar>
              <w:left w:w="115" w:type="dxa"/>
              <w:right w:w="115" w:type="dxa"/>
            </w:tcMar>
            <w:vAlign w:val="bottom"/>
          </w:tcPr>
          <w:p w14:paraId="4460C638" w14:textId="77777777" w:rsidR="00724034" w:rsidRDefault="00724034">
            <w:pPr>
              <w:jc w:val="right"/>
              <w:rPr>
                <w:rFonts w:ascii="Arial" w:eastAsia="Arial" w:hAnsi="Arial" w:cs="Arial"/>
                <w:color w:val="000000"/>
                <w:sz w:val="16"/>
              </w:rPr>
            </w:pPr>
          </w:p>
        </w:tc>
        <w:tc>
          <w:tcPr>
            <w:tcW w:w="975" w:type="dxa"/>
            <w:tcBorders>
              <w:top w:val="nil"/>
              <w:left w:val="nil"/>
              <w:bottom w:val="nil"/>
              <w:right w:val="nil"/>
              <w:tl2br w:val="nil"/>
              <w:tr2bl w:val="nil"/>
            </w:tcBorders>
            <w:shd w:val="clear" w:color="auto" w:fill="FFFFFF"/>
            <w:tcMar>
              <w:left w:w="115" w:type="dxa"/>
              <w:right w:w="115" w:type="dxa"/>
            </w:tcMar>
            <w:vAlign w:val="bottom"/>
          </w:tcPr>
          <w:p w14:paraId="4FA126F0" w14:textId="77777777" w:rsidR="00724034" w:rsidRDefault="00724034">
            <w:pPr>
              <w:jc w:val="right"/>
              <w:rPr>
                <w:rFonts w:ascii="Arial" w:eastAsia="Arial" w:hAnsi="Arial" w:cs="Arial"/>
                <w:color w:val="000000"/>
                <w:sz w:val="16"/>
              </w:rPr>
            </w:pPr>
          </w:p>
        </w:tc>
        <w:tc>
          <w:tcPr>
            <w:tcW w:w="975" w:type="dxa"/>
            <w:tcBorders>
              <w:top w:val="nil"/>
              <w:left w:val="nil"/>
              <w:bottom w:val="nil"/>
              <w:right w:val="nil"/>
              <w:tl2br w:val="nil"/>
              <w:tr2bl w:val="nil"/>
            </w:tcBorders>
            <w:shd w:val="clear" w:color="auto" w:fill="FFFFFF"/>
            <w:tcMar>
              <w:left w:w="115" w:type="dxa"/>
              <w:right w:w="115" w:type="dxa"/>
            </w:tcMar>
            <w:vAlign w:val="bottom"/>
          </w:tcPr>
          <w:p w14:paraId="745FA1CC" w14:textId="77777777" w:rsidR="00724034" w:rsidRDefault="00724034">
            <w:pPr>
              <w:rPr>
                <w:rFonts w:ascii="Arial" w:eastAsia="Arial" w:hAnsi="Arial" w:cs="Arial"/>
                <w:color w:val="000000"/>
                <w:sz w:val="16"/>
              </w:rPr>
            </w:pPr>
          </w:p>
        </w:tc>
        <w:tc>
          <w:tcPr>
            <w:tcW w:w="975" w:type="dxa"/>
            <w:tcBorders>
              <w:top w:val="nil"/>
              <w:left w:val="nil"/>
              <w:bottom w:val="nil"/>
              <w:right w:val="single" w:sz="6" w:space="0" w:color="000000"/>
              <w:tl2br w:val="nil"/>
              <w:tr2bl w:val="nil"/>
            </w:tcBorders>
            <w:shd w:val="clear" w:color="auto" w:fill="FFFFFF"/>
            <w:tcMar>
              <w:left w:w="115" w:type="dxa"/>
              <w:right w:w="115" w:type="dxa"/>
            </w:tcMar>
            <w:vAlign w:val="bottom"/>
          </w:tcPr>
          <w:p w14:paraId="13CEFC6F" w14:textId="77777777" w:rsidR="00724034" w:rsidRDefault="00724034">
            <w:pPr>
              <w:rPr>
                <w:rFonts w:ascii="Arial" w:eastAsia="Arial" w:hAnsi="Arial" w:cs="Arial"/>
                <w:color w:val="000000"/>
                <w:sz w:val="16"/>
              </w:rPr>
            </w:pPr>
          </w:p>
        </w:tc>
      </w:tr>
      <w:tr w:rsidR="00724034" w14:paraId="6A9C5D9B" w14:textId="77777777">
        <w:trPr>
          <w:gridAfter w:val="1"/>
          <w:wAfter w:w="21" w:type="dxa"/>
          <w:trHeight w:val="450"/>
        </w:trPr>
        <w:tc>
          <w:tcPr>
            <w:tcW w:w="3435" w:type="dxa"/>
            <w:gridSpan w:val="2"/>
            <w:tcBorders>
              <w:top w:val="nil"/>
              <w:left w:val="single" w:sz="6" w:space="0" w:color="000000"/>
              <w:bottom w:val="nil"/>
              <w:right w:val="nil"/>
              <w:tl2br w:val="nil"/>
              <w:tr2bl w:val="nil"/>
            </w:tcBorders>
            <w:shd w:val="clear" w:color="auto" w:fill="FFFFFF"/>
            <w:tcMar>
              <w:left w:w="115" w:type="dxa"/>
              <w:right w:w="115" w:type="dxa"/>
            </w:tcMar>
            <w:vAlign w:val="bottom"/>
          </w:tcPr>
          <w:p w14:paraId="3118461C" w14:textId="77777777" w:rsidR="00724034" w:rsidRDefault="00FB7D0B">
            <w:pPr>
              <w:rPr>
                <w:rFonts w:ascii="Arial" w:eastAsia="Arial" w:hAnsi="Arial" w:cs="Arial"/>
                <w:color w:val="000000"/>
                <w:sz w:val="16"/>
              </w:rPr>
            </w:pPr>
            <w:r>
              <w:rPr>
                <w:rFonts w:ascii="Arial" w:eastAsia="Arial" w:hAnsi="Arial" w:cs="Arial"/>
                <w:i/>
                <w:color w:val="000000"/>
                <w:sz w:val="16"/>
              </w:rPr>
              <w:t xml:space="preserve">Quantity: </w:t>
            </w:r>
            <w:r>
              <w:rPr>
                <w:rFonts w:ascii="Arial" w:eastAsia="Arial" w:hAnsi="Arial" w:cs="Arial"/>
                <w:color w:val="000000"/>
                <w:sz w:val="16"/>
              </w:rPr>
              <w:t>Number of SRCA medical and treatment accounts paid</w:t>
            </w:r>
          </w:p>
        </w:tc>
        <w:tc>
          <w:tcPr>
            <w:tcW w:w="975" w:type="dxa"/>
            <w:tcBorders>
              <w:top w:val="nil"/>
              <w:left w:val="nil"/>
              <w:bottom w:val="nil"/>
              <w:right w:val="nil"/>
              <w:tl2br w:val="nil"/>
              <w:tr2bl w:val="nil"/>
            </w:tcBorders>
            <w:shd w:val="clear" w:color="auto" w:fill="FFFFFF"/>
            <w:tcMar>
              <w:left w:w="115" w:type="dxa"/>
              <w:right w:w="115" w:type="dxa"/>
            </w:tcMar>
            <w:vAlign w:val="bottom"/>
          </w:tcPr>
          <w:p w14:paraId="0B467EF6" w14:textId="77777777" w:rsidR="00724034" w:rsidRDefault="00FB7D0B">
            <w:pPr>
              <w:jc w:val="right"/>
              <w:rPr>
                <w:rFonts w:ascii="Arial" w:eastAsia="Arial" w:hAnsi="Arial" w:cs="Arial"/>
                <w:color w:val="000000"/>
                <w:sz w:val="16"/>
              </w:rPr>
            </w:pPr>
            <w:r>
              <w:rPr>
                <w:rFonts w:ascii="Arial" w:eastAsia="Arial" w:hAnsi="Arial" w:cs="Arial"/>
                <w:color w:val="000000"/>
                <w:sz w:val="16"/>
              </w:rPr>
              <w:t xml:space="preserve"> 100,928 </w:t>
            </w:r>
          </w:p>
        </w:tc>
        <w:tc>
          <w:tcPr>
            <w:tcW w:w="975" w:type="dxa"/>
            <w:tcBorders>
              <w:top w:val="nil"/>
              <w:left w:val="nil"/>
              <w:bottom w:val="nil"/>
              <w:right w:val="nil"/>
              <w:tl2br w:val="nil"/>
              <w:tr2bl w:val="nil"/>
            </w:tcBorders>
            <w:shd w:val="clear" w:color="auto" w:fill="FFFF00"/>
            <w:tcMar>
              <w:left w:w="115" w:type="dxa"/>
              <w:right w:w="115" w:type="dxa"/>
            </w:tcMar>
            <w:vAlign w:val="bottom"/>
          </w:tcPr>
          <w:p w14:paraId="2A814E3A" w14:textId="77777777" w:rsidR="00724034" w:rsidRDefault="00FB7D0B">
            <w:pPr>
              <w:jc w:val="right"/>
              <w:rPr>
                <w:rFonts w:ascii="Arial" w:eastAsia="Arial" w:hAnsi="Arial" w:cs="Arial"/>
                <w:color w:val="000000"/>
                <w:sz w:val="16"/>
              </w:rPr>
            </w:pPr>
            <w:r>
              <w:rPr>
                <w:rFonts w:ascii="Arial" w:eastAsia="Arial" w:hAnsi="Arial" w:cs="Arial"/>
                <w:color w:val="000000"/>
                <w:sz w:val="16"/>
              </w:rPr>
              <w:t xml:space="preserve"> 96,891 </w:t>
            </w:r>
          </w:p>
        </w:tc>
        <w:tc>
          <w:tcPr>
            <w:tcW w:w="975" w:type="dxa"/>
            <w:tcBorders>
              <w:top w:val="nil"/>
              <w:left w:val="nil"/>
              <w:bottom w:val="nil"/>
              <w:right w:val="nil"/>
              <w:tl2br w:val="nil"/>
              <w:tr2bl w:val="nil"/>
            </w:tcBorders>
            <w:shd w:val="clear" w:color="auto" w:fill="FFFFFF"/>
            <w:tcMar>
              <w:left w:w="115" w:type="dxa"/>
              <w:right w:w="115" w:type="dxa"/>
            </w:tcMar>
            <w:vAlign w:val="bottom"/>
          </w:tcPr>
          <w:p w14:paraId="3DA2DD03" w14:textId="77777777" w:rsidR="00724034" w:rsidRDefault="00FB7D0B">
            <w:pPr>
              <w:jc w:val="right"/>
              <w:rPr>
                <w:rFonts w:ascii="Arial" w:eastAsia="Arial" w:hAnsi="Arial" w:cs="Arial"/>
                <w:color w:val="000000"/>
                <w:sz w:val="16"/>
              </w:rPr>
            </w:pPr>
            <w:r>
              <w:rPr>
                <w:rFonts w:ascii="Arial" w:eastAsia="Arial" w:hAnsi="Arial" w:cs="Arial"/>
                <w:color w:val="000000"/>
                <w:sz w:val="16"/>
              </w:rPr>
              <w:t xml:space="preserve"> 93,015 </w:t>
            </w:r>
          </w:p>
        </w:tc>
        <w:tc>
          <w:tcPr>
            <w:tcW w:w="975" w:type="dxa"/>
            <w:tcBorders>
              <w:top w:val="nil"/>
              <w:left w:val="nil"/>
              <w:bottom w:val="nil"/>
              <w:right w:val="nil"/>
              <w:tl2br w:val="nil"/>
              <w:tr2bl w:val="nil"/>
            </w:tcBorders>
            <w:shd w:val="clear" w:color="auto" w:fill="FFFFFF"/>
            <w:tcMar>
              <w:left w:w="115" w:type="dxa"/>
              <w:right w:w="115" w:type="dxa"/>
            </w:tcMar>
            <w:vAlign w:val="bottom"/>
          </w:tcPr>
          <w:p w14:paraId="2C05A30B" w14:textId="77777777" w:rsidR="00724034" w:rsidRDefault="00FB7D0B">
            <w:pPr>
              <w:jc w:val="right"/>
              <w:rPr>
                <w:rFonts w:ascii="Arial" w:eastAsia="Arial" w:hAnsi="Arial" w:cs="Arial"/>
                <w:color w:val="000000"/>
                <w:sz w:val="16"/>
              </w:rPr>
            </w:pPr>
            <w:r>
              <w:rPr>
                <w:rFonts w:ascii="Arial" w:eastAsia="Arial" w:hAnsi="Arial" w:cs="Arial"/>
                <w:color w:val="000000"/>
                <w:sz w:val="16"/>
              </w:rPr>
              <w:t xml:space="preserve"> 89,400 </w:t>
            </w:r>
          </w:p>
        </w:tc>
        <w:tc>
          <w:tcPr>
            <w:tcW w:w="975" w:type="dxa"/>
            <w:tcBorders>
              <w:top w:val="nil"/>
              <w:left w:val="nil"/>
              <w:bottom w:val="nil"/>
              <w:right w:val="single" w:sz="6" w:space="0" w:color="000000"/>
              <w:tl2br w:val="nil"/>
              <w:tr2bl w:val="nil"/>
            </w:tcBorders>
            <w:shd w:val="clear" w:color="auto" w:fill="FFFFFF"/>
            <w:tcMar>
              <w:left w:w="115" w:type="dxa"/>
              <w:right w:w="115" w:type="dxa"/>
            </w:tcMar>
            <w:vAlign w:val="bottom"/>
          </w:tcPr>
          <w:p w14:paraId="6F4CA680" w14:textId="77777777" w:rsidR="00724034" w:rsidRDefault="00FB7D0B">
            <w:pPr>
              <w:jc w:val="right"/>
              <w:rPr>
                <w:rFonts w:ascii="Arial" w:eastAsia="Arial" w:hAnsi="Arial" w:cs="Arial"/>
                <w:color w:val="000000"/>
                <w:sz w:val="16"/>
              </w:rPr>
            </w:pPr>
            <w:r>
              <w:rPr>
                <w:rFonts w:ascii="Arial" w:eastAsia="Arial" w:hAnsi="Arial" w:cs="Arial"/>
                <w:color w:val="000000"/>
                <w:sz w:val="16"/>
              </w:rPr>
              <w:t xml:space="preserve"> 89,400 </w:t>
            </w:r>
          </w:p>
        </w:tc>
      </w:tr>
      <w:tr w:rsidR="00724034" w14:paraId="62D8A115" w14:textId="77777777">
        <w:trPr>
          <w:gridAfter w:val="1"/>
          <w:wAfter w:w="21" w:type="dxa"/>
          <w:trHeight w:hRule="exact" w:val="30"/>
        </w:trPr>
        <w:tc>
          <w:tcPr>
            <w:tcW w:w="3435" w:type="dxa"/>
            <w:gridSpan w:val="2"/>
            <w:tcBorders>
              <w:top w:val="nil"/>
              <w:left w:val="single" w:sz="6" w:space="0" w:color="000000"/>
              <w:bottom w:val="nil"/>
              <w:right w:val="nil"/>
              <w:tl2br w:val="nil"/>
              <w:tr2bl w:val="nil"/>
            </w:tcBorders>
            <w:shd w:val="clear" w:color="auto" w:fill="FFFFFF"/>
            <w:tcMar>
              <w:left w:w="115" w:type="dxa"/>
              <w:right w:w="115" w:type="dxa"/>
            </w:tcMar>
            <w:vAlign w:val="bottom"/>
          </w:tcPr>
          <w:p w14:paraId="0BBFECBC" w14:textId="77777777" w:rsidR="00724034" w:rsidRDefault="00724034">
            <w:pPr>
              <w:rPr>
                <w:rFonts w:ascii="Arial" w:eastAsia="Arial" w:hAnsi="Arial" w:cs="Arial"/>
                <w:color w:val="000000"/>
                <w:sz w:val="16"/>
              </w:rPr>
            </w:pPr>
          </w:p>
        </w:tc>
        <w:tc>
          <w:tcPr>
            <w:tcW w:w="975" w:type="dxa"/>
            <w:tcBorders>
              <w:top w:val="nil"/>
              <w:left w:val="nil"/>
              <w:bottom w:val="nil"/>
              <w:right w:val="nil"/>
              <w:tl2br w:val="nil"/>
              <w:tr2bl w:val="nil"/>
            </w:tcBorders>
            <w:shd w:val="clear" w:color="auto" w:fill="FFFFFF"/>
            <w:tcMar>
              <w:left w:w="115" w:type="dxa"/>
              <w:right w:w="115" w:type="dxa"/>
            </w:tcMar>
            <w:vAlign w:val="bottom"/>
          </w:tcPr>
          <w:p w14:paraId="5CE9B193" w14:textId="77777777" w:rsidR="00724034" w:rsidRDefault="00724034">
            <w:pPr>
              <w:jc w:val="right"/>
              <w:rPr>
                <w:rFonts w:ascii="Arial" w:eastAsia="Arial" w:hAnsi="Arial" w:cs="Arial"/>
                <w:color w:val="000000"/>
                <w:sz w:val="16"/>
              </w:rPr>
            </w:pPr>
          </w:p>
        </w:tc>
        <w:tc>
          <w:tcPr>
            <w:tcW w:w="975" w:type="dxa"/>
            <w:tcBorders>
              <w:top w:val="nil"/>
              <w:left w:val="nil"/>
              <w:bottom w:val="nil"/>
              <w:right w:val="nil"/>
              <w:tl2br w:val="nil"/>
              <w:tr2bl w:val="nil"/>
            </w:tcBorders>
            <w:shd w:val="clear" w:color="auto" w:fill="FFFF00"/>
            <w:tcMar>
              <w:left w:w="115" w:type="dxa"/>
              <w:right w:w="115" w:type="dxa"/>
            </w:tcMar>
            <w:vAlign w:val="bottom"/>
          </w:tcPr>
          <w:p w14:paraId="0C4E46F9" w14:textId="77777777" w:rsidR="00724034" w:rsidRDefault="00724034">
            <w:pPr>
              <w:jc w:val="right"/>
              <w:rPr>
                <w:rFonts w:ascii="Arial" w:eastAsia="Arial" w:hAnsi="Arial" w:cs="Arial"/>
                <w:color w:val="000000"/>
                <w:sz w:val="16"/>
              </w:rPr>
            </w:pPr>
          </w:p>
        </w:tc>
        <w:tc>
          <w:tcPr>
            <w:tcW w:w="975" w:type="dxa"/>
            <w:tcBorders>
              <w:top w:val="nil"/>
              <w:left w:val="nil"/>
              <w:bottom w:val="nil"/>
              <w:right w:val="nil"/>
              <w:tl2br w:val="nil"/>
              <w:tr2bl w:val="nil"/>
            </w:tcBorders>
            <w:shd w:val="clear" w:color="auto" w:fill="FFFFFF"/>
            <w:tcMar>
              <w:left w:w="115" w:type="dxa"/>
              <w:right w:w="115" w:type="dxa"/>
            </w:tcMar>
            <w:vAlign w:val="bottom"/>
          </w:tcPr>
          <w:p w14:paraId="32056785" w14:textId="77777777" w:rsidR="00724034" w:rsidRDefault="00724034">
            <w:pPr>
              <w:jc w:val="right"/>
              <w:rPr>
                <w:rFonts w:ascii="Arial" w:eastAsia="Arial" w:hAnsi="Arial" w:cs="Arial"/>
                <w:color w:val="000000"/>
                <w:sz w:val="16"/>
              </w:rPr>
            </w:pPr>
          </w:p>
        </w:tc>
        <w:tc>
          <w:tcPr>
            <w:tcW w:w="975" w:type="dxa"/>
            <w:tcBorders>
              <w:top w:val="nil"/>
              <w:left w:val="nil"/>
              <w:bottom w:val="nil"/>
              <w:right w:val="nil"/>
              <w:tl2br w:val="nil"/>
              <w:tr2bl w:val="nil"/>
            </w:tcBorders>
            <w:shd w:val="clear" w:color="auto" w:fill="FFFFFF"/>
            <w:tcMar>
              <w:left w:w="115" w:type="dxa"/>
              <w:right w:w="115" w:type="dxa"/>
            </w:tcMar>
            <w:vAlign w:val="bottom"/>
          </w:tcPr>
          <w:p w14:paraId="1461217A" w14:textId="77777777" w:rsidR="00724034" w:rsidRDefault="00724034">
            <w:pPr>
              <w:rPr>
                <w:rFonts w:ascii="Arial" w:eastAsia="Arial" w:hAnsi="Arial" w:cs="Arial"/>
                <w:color w:val="000000"/>
                <w:sz w:val="16"/>
              </w:rPr>
            </w:pPr>
          </w:p>
        </w:tc>
        <w:tc>
          <w:tcPr>
            <w:tcW w:w="975" w:type="dxa"/>
            <w:tcBorders>
              <w:top w:val="nil"/>
              <w:left w:val="nil"/>
              <w:bottom w:val="nil"/>
              <w:right w:val="single" w:sz="6" w:space="0" w:color="000000"/>
              <w:tl2br w:val="nil"/>
              <w:tr2bl w:val="nil"/>
            </w:tcBorders>
            <w:shd w:val="clear" w:color="auto" w:fill="FFFFFF"/>
            <w:tcMar>
              <w:left w:w="115" w:type="dxa"/>
              <w:right w:w="115" w:type="dxa"/>
            </w:tcMar>
            <w:vAlign w:val="bottom"/>
          </w:tcPr>
          <w:p w14:paraId="6D4DF5B9" w14:textId="77777777" w:rsidR="00724034" w:rsidRDefault="00724034">
            <w:pPr>
              <w:rPr>
                <w:rFonts w:ascii="Arial" w:eastAsia="Arial" w:hAnsi="Arial" w:cs="Arial"/>
                <w:color w:val="000000"/>
                <w:sz w:val="16"/>
              </w:rPr>
            </w:pPr>
          </w:p>
        </w:tc>
      </w:tr>
      <w:tr w:rsidR="00724034" w14:paraId="406C9F5E" w14:textId="77777777">
        <w:trPr>
          <w:gridAfter w:val="1"/>
          <w:wAfter w:w="21" w:type="dxa"/>
          <w:trHeight w:val="450"/>
        </w:trPr>
        <w:tc>
          <w:tcPr>
            <w:tcW w:w="3435" w:type="dxa"/>
            <w:gridSpan w:val="2"/>
            <w:tcBorders>
              <w:top w:val="nil"/>
              <w:left w:val="single" w:sz="6" w:space="0" w:color="000000"/>
              <w:bottom w:val="nil"/>
              <w:right w:val="nil"/>
              <w:tl2br w:val="nil"/>
              <w:tr2bl w:val="nil"/>
            </w:tcBorders>
            <w:shd w:val="clear" w:color="auto" w:fill="FFFFFF"/>
            <w:tcMar>
              <w:left w:w="115" w:type="dxa"/>
              <w:right w:w="115" w:type="dxa"/>
            </w:tcMar>
            <w:vAlign w:val="bottom"/>
          </w:tcPr>
          <w:p w14:paraId="2BA88B9B" w14:textId="77777777" w:rsidR="00724034" w:rsidRDefault="00FB7D0B">
            <w:pPr>
              <w:rPr>
                <w:rFonts w:ascii="Arial" w:eastAsia="Arial" w:hAnsi="Arial" w:cs="Arial"/>
                <w:color w:val="000000"/>
                <w:sz w:val="16"/>
              </w:rPr>
            </w:pPr>
            <w:r>
              <w:rPr>
                <w:rFonts w:ascii="Arial" w:eastAsia="Arial" w:hAnsi="Arial" w:cs="Arial"/>
                <w:i/>
                <w:color w:val="000000"/>
                <w:sz w:val="16"/>
              </w:rPr>
              <w:t xml:space="preserve">Quantity: </w:t>
            </w:r>
            <w:r>
              <w:rPr>
                <w:rFonts w:ascii="Arial" w:eastAsia="Arial" w:hAnsi="Arial" w:cs="Arial"/>
                <w:color w:val="000000"/>
                <w:sz w:val="16"/>
              </w:rPr>
              <w:t>Number of MRCA rehabilitation assessments</w:t>
            </w:r>
          </w:p>
        </w:tc>
        <w:tc>
          <w:tcPr>
            <w:tcW w:w="975" w:type="dxa"/>
            <w:tcBorders>
              <w:top w:val="nil"/>
              <w:left w:val="nil"/>
              <w:bottom w:val="nil"/>
              <w:right w:val="nil"/>
              <w:tl2br w:val="nil"/>
              <w:tr2bl w:val="nil"/>
            </w:tcBorders>
            <w:shd w:val="clear" w:color="auto" w:fill="FFFFFF"/>
            <w:tcMar>
              <w:left w:w="115" w:type="dxa"/>
              <w:right w:w="115" w:type="dxa"/>
            </w:tcMar>
            <w:vAlign w:val="bottom"/>
          </w:tcPr>
          <w:p w14:paraId="7C007F23" w14:textId="77777777" w:rsidR="00724034" w:rsidRDefault="00FB7D0B">
            <w:pPr>
              <w:jc w:val="right"/>
              <w:rPr>
                <w:rFonts w:ascii="Arial" w:eastAsia="Arial" w:hAnsi="Arial" w:cs="Arial"/>
                <w:color w:val="000000"/>
                <w:sz w:val="16"/>
              </w:rPr>
            </w:pPr>
            <w:r>
              <w:rPr>
                <w:rFonts w:ascii="Arial" w:eastAsia="Arial" w:hAnsi="Arial" w:cs="Arial"/>
                <w:color w:val="000000"/>
                <w:sz w:val="16"/>
              </w:rPr>
              <w:t xml:space="preserve"> 773 </w:t>
            </w:r>
          </w:p>
        </w:tc>
        <w:tc>
          <w:tcPr>
            <w:tcW w:w="975" w:type="dxa"/>
            <w:tcBorders>
              <w:top w:val="nil"/>
              <w:left w:val="nil"/>
              <w:bottom w:val="nil"/>
              <w:right w:val="nil"/>
              <w:tl2br w:val="nil"/>
              <w:tr2bl w:val="nil"/>
            </w:tcBorders>
            <w:shd w:val="clear" w:color="auto" w:fill="FFFF00"/>
            <w:tcMar>
              <w:left w:w="115" w:type="dxa"/>
              <w:right w:w="115" w:type="dxa"/>
            </w:tcMar>
            <w:vAlign w:val="bottom"/>
          </w:tcPr>
          <w:p w14:paraId="3A1A6D02" w14:textId="77777777" w:rsidR="00724034" w:rsidRDefault="00FB7D0B">
            <w:pPr>
              <w:jc w:val="right"/>
              <w:rPr>
                <w:rFonts w:ascii="Arial" w:eastAsia="Arial" w:hAnsi="Arial" w:cs="Arial"/>
                <w:color w:val="000000"/>
                <w:sz w:val="16"/>
              </w:rPr>
            </w:pPr>
            <w:r>
              <w:rPr>
                <w:rFonts w:ascii="Arial" w:eastAsia="Arial" w:hAnsi="Arial" w:cs="Arial"/>
                <w:color w:val="000000"/>
                <w:sz w:val="16"/>
              </w:rPr>
              <w:t xml:space="preserve"> 873 </w:t>
            </w:r>
          </w:p>
        </w:tc>
        <w:tc>
          <w:tcPr>
            <w:tcW w:w="975" w:type="dxa"/>
            <w:tcBorders>
              <w:top w:val="nil"/>
              <w:left w:val="nil"/>
              <w:bottom w:val="nil"/>
              <w:right w:val="nil"/>
              <w:tl2br w:val="nil"/>
              <w:tr2bl w:val="nil"/>
            </w:tcBorders>
            <w:shd w:val="clear" w:color="auto" w:fill="FFFFFF"/>
            <w:tcMar>
              <w:left w:w="115" w:type="dxa"/>
              <w:right w:w="115" w:type="dxa"/>
            </w:tcMar>
            <w:vAlign w:val="bottom"/>
          </w:tcPr>
          <w:p w14:paraId="22D4B2FB" w14:textId="77777777" w:rsidR="00724034" w:rsidRDefault="00FB7D0B">
            <w:pPr>
              <w:jc w:val="right"/>
              <w:rPr>
                <w:rFonts w:ascii="Arial" w:eastAsia="Arial" w:hAnsi="Arial" w:cs="Arial"/>
                <w:color w:val="000000"/>
                <w:sz w:val="16"/>
              </w:rPr>
            </w:pPr>
            <w:r>
              <w:rPr>
                <w:rFonts w:ascii="Arial" w:eastAsia="Arial" w:hAnsi="Arial" w:cs="Arial"/>
                <w:color w:val="000000"/>
                <w:sz w:val="16"/>
              </w:rPr>
              <w:t xml:space="preserve"> 986 </w:t>
            </w:r>
          </w:p>
        </w:tc>
        <w:tc>
          <w:tcPr>
            <w:tcW w:w="975" w:type="dxa"/>
            <w:tcBorders>
              <w:top w:val="nil"/>
              <w:left w:val="nil"/>
              <w:bottom w:val="nil"/>
              <w:right w:val="nil"/>
              <w:tl2br w:val="nil"/>
              <w:tr2bl w:val="nil"/>
            </w:tcBorders>
            <w:shd w:val="clear" w:color="auto" w:fill="FFFFFF"/>
            <w:tcMar>
              <w:left w:w="115" w:type="dxa"/>
              <w:right w:w="115" w:type="dxa"/>
            </w:tcMar>
            <w:vAlign w:val="bottom"/>
          </w:tcPr>
          <w:p w14:paraId="54E30513" w14:textId="77777777" w:rsidR="00724034" w:rsidRDefault="00FB7D0B">
            <w:pPr>
              <w:jc w:val="right"/>
              <w:rPr>
                <w:rFonts w:ascii="Arial" w:eastAsia="Arial" w:hAnsi="Arial" w:cs="Arial"/>
                <w:color w:val="000000"/>
                <w:sz w:val="16"/>
              </w:rPr>
            </w:pPr>
            <w:r>
              <w:rPr>
                <w:rFonts w:ascii="Arial" w:eastAsia="Arial" w:hAnsi="Arial" w:cs="Arial"/>
                <w:color w:val="000000"/>
                <w:sz w:val="16"/>
              </w:rPr>
              <w:t xml:space="preserve"> 1,100 </w:t>
            </w:r>
          </w:p>
        </w:tc>
        <w:tc>
          <w:tcPr>
            <w:tcW w:w="975" w:type="dxa"/>
            <w:tcBorders>
              <w:top w:val="nil"/>
              <w:left w:val="nil"/>
              <w:bottom w:val="nil"/>
              <w:right w:val="single" w:sz="6" w:space="0" w:color="000000"/>
              <w:tl2br w:val="nil"/>
              <w:tr2bl w:val="nil"/>
            </w:tcBorders>
            <w:shd w:val="clear" w:color="auto" w:fill="FFFFFF"/>
            <w:tcMar>
              <w:left w:w="115" w:type="dxa"/>
              <w:right w:w="115" w:type="dxa"/>
            </w:tcMar>
            <w:vAlign w:val="bottom"/>
          </w:tcPr>
          <w:p w14:paraId="24468518" w14:textId="77777777" w:rsidR="00724034" w:rsidRDefault="00FB7D0B">
            <w:pPr>
              <w:jc w:val="right"/>
              <w:rPr>
                <w:rFonts w:ascii="Arial" w:eastAsia="Arial" w:hAnsi="Arial" w:cs="Arial"/>
                <w:color w:val="000000"/>
                <w:sz w:val="16"/>
              </w:rPr>
            </w:pPr>
            <w:r>
              <w:rPr>
                <w:rFonts w:ascii="Arial" w:eastAsia="Arial" w:hAnsi="Arial" w:cs="Arial"/>
                <w:color w:val="000000"/>
                <w:sz w:val="16"/>
              </w:rPr>
              <w:t xml:space="preserve"> 1,100 </w:t>
            </w:r>
          </w:p>
        </w:tc>
      </w:tr>
      <w:tr w:rsidR="00724034" w14:paraId="43221748" w14:textId="77777777">
        <w:trPr>
          <w:gridAfter w:val="1"/>
          <w:wAfter w:w="21" w:type="dxa"/>
          <w:trHeight w:hRule="exact" w:val="30"/>
        </w:trPr>
        <w:tc>
          <w:tcPr>
            <w:tcW w:w="3435" w:type="dxa"/>
            <w:gridSpan w:val="2"/>
            <w:tcBorders>
              <w:top w:val="nil"/>
              <w:left w:val="single" w:sz="6" w:space="0" w:color="000000"/>
              <w:bottom w:val="nil"/>
              <w:right w:val="nil"/>
              <w:tl2br w:val="nil"/>
              <w:tr2bl w:val="nil"/>
            </w:tcBorders>
            <w:shd w:val="clear" w:color="auto" w:fill="FFFFFF"/>
            <w:tcMar>
              <w:left w:w="115" w:type="dxa"/>
              <w:right w:w="115" w:type="dxa"/>
            </w:tcMar>
            <w:vAlign w:val="bottom"/>
          </w:tcPr>
          <w:p w14:paraId="222AB516" w14:textId="77777777" w:rsidR="00724034" w:rsidRDefault="00724034">
            <w:pPr>
              <w:rPr>
                <w:rFonts w:ascii="Arial" w:eastAsia="Arial" w:hAnsi="Arial" w:cs="Arial"/>
                <w:color w:val="000000"/>
                <w:sz w:val="16"/>
              </w:rPr>
            </w:pPr>
          </w:p>
        </w:tc>
        <w:tc>
          <w:tcPr>
            <w:tcW w:w="975" w:type="dxa"/>
            <w:tcBorders>
              <w:top w:val="nil"/>
              <w:left w:val="nil"/>
              <w:bottom w:val="nil"/>
              <w:right w:val="nil"/>
              <w:tl2br w:val="nil"/>
              <w:tr2bl w:val="nil"/>
            </w:tcBorders>
            <w:shd w:val="clear" w:color="auto" w:fill="FFFFFF"/>
            <w:tcMar>
              <w:left w:w="115" w:type="dxa"/>
              <w:right w:w="115" w:type="dxa"/>
            </w:tcMar>
            <w:vAlign w:val="bottom"/>
          </w:tcPr>
          <w:p w14:paraId="5B71E1F6" w14:textId="77777777" w:rsidR="00724034" w:rsidRDefault="00724034">
            <w:pPr>
              <w:jc w:val="right"/>
              <w:rPr>
                <w:rFonts w:ascii="Arial" w:eastAsia="Arial" w:hAnsi="Arial" w:cs="Arial"/>
                <w:i/>
                <w:color w:val="000000"/>
                <w:sz w:val="16"/>
              </w:rPr>
            </w:pPr>
          </w:p>
        </w:tc>
        <w:tc>
          <w:tcPr>
            <w:tcW w:w="975" w:type="dxa"/>
            <w:tcBorders>
              <w:top w:val="nil"/>
              <w:left w:val="nil"/>
              <w:bottom w:val="nil"/>
              <w:right w:val="nil"/>
              <w:tl2br w:val="nil"/>
              <w:tr2bl w:val="nil"/>
            </w:tcBorders>
            <w:shd w:val="clear" w:color="auto" w:fill="FFFF00"/>
            <w:tcMar>
              <w:left w:w="115" w:type="dxa"/>
              <w:right w:w="115" w:type="dxa"/>
            </w:tcMar>
            <w:vAlign w:val="bottom"/>
          </w:tcPr>
          <w:p w14:paraId="3AF67375" w14:textId="77777777" w:rsidR="00724034" w:rsidRDefault="00724034">
            <w:pPr>
              <w:jc w:val="right"/>
              <w:rPr>
                <w:rFonts w:ascii="Arial" w:eastAsia="Arial" w:hAnsi="Arial" w:cs="Arial"/>
                <w:color w:val="000000"/>
                <w:sz w:val="16"/>
              </w:rPr>
            </w:pPr>
          </w:p>
        </w:tc>
        <w:tc>
          <w:tcPr>
            <w:tcW w:w="975" w:type="dxa"/>
            <w:tcBorders>
              <w:top w:val="nil"/>
              <w:left w:val="nil"/>
              <w:bottom w:val="nil"/>
              <w:right w:val="nil"/>
              <w:tl2br w:val="nil"/>
              <w:tr2bl w:val="nil"/>
            </w:tcBorders>
            <w:shd w:val="clear" w:color="auto" w:fill="FFFFFF"/>
            <w:tcMar>
              <w:left w:w="115" w:type="dxa"/>
              <w:right w:w="115" w:type="dxa"/>
            </w:tcMar>
            <w:vAlign w:val="bottom"/>
          </w:tcPr>
          <w:p w14:paraId="1BB82839" w14:textId="77777777" w:rsidR="00724034" w:rsidRDefault="00724034">
            <w:pPr>
              <w:jc w:val="right"/>
              <w:rPr>
                <w:rFonts w:ascii="Arial" w:eastAsia="Arial" w:hAnsi="Arial" w:cs="Arial"/>
                <w:color w:val="000000"/>
                <w:sz w:val="16"/>
              </w:rPr>
            </w:pPr>
          </w:p>
        </w:tc>
        <w:tc>
          <w:tcPr>
            <w:tcW w:w="975" w:type="dxa"/>
            <w:tcBorders>
              <w:top w:val="nil"/>
              <w:left w:val="nil"/>
              <w:bottom w:val="nil"/>
              <w:right w:val="nil"/>
              <w:tl2br w:val="nil"/>
              <w:tr2bl w:val="nil"/>
            </w:tcBorders>
            <w:shd w:val="clear" w:color="auto" w:fill="FFFFFF"/>
            <w:tcMar>
              <w:left w:w="115" w:type="dxa"/>
              <w:right w:w="115" w:type="dxa"/>
            </w:tcMar>
            <w:vAlign w:val="bottom"/>
          </w:tcPr>
          <w:p w14:paraId="02EBC896" w14:textId="77777777" w:rsidR="00724034" w:rsidRDefault="00724034">
            <w:pPr>
              <w:rPr>
                <w:rFonts w:ascii="Arial" w:eastAsia="Arial" w:hAnsi="Arial" w:cs="Arial"/>
                <w:color w:val="000000"/>
                <w:sz w:val="16"/>
              </w:rPr>
            </w:pPr>
          </w:p>
        </w:tc>
        <w:tc>
          <w:tcPr>
            <w:tcW w:w="975" w:type="dxa"/>
            <w:tcBorders>
              <w:top w:val="nil"/>
              <w:left w:val="nil"/>
              <w:bottom w:val="nil"/>
              <w:right w:val="single" w:sz="6" w:space="0" w:color="000000"/>
              <w:tl2br w:val="nil"/>
              <w:tr2bl w:val="nil"/>
            </w:tcBorders>
            <w:shd w:val="clear" w:color="auto" w:fill="FFFFFF"/>
            <w:tcMar>
              <w:left w:w="115" w:type="dxa"/>
              <w:right w:w="115" w:type="dxa"/>
            </w:tcMar>
            <w:vAlign w:val="bottom"/>
          </w:tcPr>
          <w:p w14:paraId="2A7AC69C" w14:textId="77777777" w:rsidR="00724034" w:rsidRDefault="00724034">
            <w:pPr>
              <w:rPr>
                <w:rFonts w:ascii="Arial" w:eastAsia="Arial" w:hAnsi="Arial" w:cs="Arial"/>
                <w:color w:val="000000"/>
                <w:sz w:val="16"/>
              </w:rPr>
            </w:pPr>
          </w:p>
        </w:tc>
      </w:tr>
      <w:tr w:rsidR="00724034" w14:paraId="4FD75075" w14:textId="77777777">
        <w:trPr>
          <w:gridAfter w:val="1"/>
          <w:wAfter w:w="21" w:type="dxa"/>
          <w:trHeight w:val="450"/>
        </w:trPr>
        <w:tc>
          <w:tcPr>
            <w:tcW w:w="3435" w:type="dxa"/>
            <w:gridSpan w:val="2"/>
            <w:tcBorders>
              <w:top w:val="nil"/>
              <w:left w:val="single" w:sz="6" w:space="0" w:color="000000"/>
              <w:bottom w:val="single" w:sz="6" w:space="0" w:color="000000"/>
              <w:right w:val="nil"/>
              <w:tl2br w:val="nil"/>
              <w:tr2bl w:val="nil"/>
            </w:tcBorders>
            <w:shd w:val="clear" w:color="auto" w:fill="FFFFFF"/>
            <w:tcMar>
              <w:left w:w="115" w:type="dxa"/>
              <w:right w:w="115" w:type="dxa"/>
            </w:tcMar>
            <w:vAlign w:val="bottom"/>
          </w:tcPr>
          <w:p w14:paraId="0DE3F003" w14:textId="77777777" w:rsidR="00724034" w:rsidRDefault="00FB7D0B">
            <w:pPr>
              <w:rPr>
                <w:rFonts w:ascii="Arial" w:eastAsia="Arial" w:hAnsi="Arial" w:cs="Arial"/>
                <w:color w:val="000000"/>
                <w:sz w:val="16"/>
              </w:rPr>
            </w:pPr>
            <w:r>
              <w:rPr>
                <w:rFonts w:ascii="Arial" w:eastAsia="Arial" w:hAnsi="Arial" w:cs="Arial"/>
                <w:i/>
                <w:color w:val="000000"/>
                <w:sz w:val="16"/>
              </w:rPr>
              <w:t xml:space="preserve">Quantity: </w:t>
            </w:r>
            <w:r>
              <w:rPr>
                <w:rFonts w:ascii="Arial" w:eastAsia="Arial" w:hAnsi="Arial" w:cs="Arial"/>
                <w:color w:val="000000"/>
                <w:sz w:val="16"/>
              </w:rPr>
              <w:t>Number of MRCA medical and treatment accounts paid</w:t>
            </w:r>
          </w:p>
        </w:tc>
        <w:tc>
          <w:tcPr>
            <w:tcW w:w="975"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7C7B682C" w14:textId="77777777" w:rsidR="00724034" w:rsidRDefault="00FB7D0B">
            <w:pPr>
              <w:jc w:val="right"/>
              <w:rPr>
                <w:rFonts w:ascii="Arial" w:eastAsia="Arial" w:hAnsi="Arial" w:cs="Arial"/>
                <w:color w:val="000000"/>
                <w:sz w:val="16"/>
              </w:rPr>
            </w:pPr>
            <w:r>
              <w:rPr>
                <w:rFonts w:ascii="Arial" w:eastAsia="Arial" w:hAnsi="Arial" w:cs="Arial"/>
                <w:color w:val="000000"/>
                <w:sz w:val="16"/>
              </w:rPr>
              <w:t xml:space="preserve"> 25,317 </w:t>
            </w:r>
          </w:p>
        </w:tc>
        <w:tc>
          <w:tcPr>
            <w:tcW w:w="975" w:type="dxa"/>
            <w:tcBorders>
              <w:top w:val="nil"/>
              <w:left w:val="nil"/>
              <w:bottom w:val="single" w:sz="6" w:space="0" w:color="000000"/>
              <w:right w:val="nil"/>
              <w:tl2br w:val="nil"/>
              <w:tr2bl w:val="nil"/>
            </w:tcBorders>
            <w:shd w:val="clear" w:color="auto" w:fill="FFFF00"/>
            <w:tcMar>
              <w:left w:w="115" w:type="dxa"/>
              <w:right w:w="115" w:type="dxa"/>
            </w:tcMar>
            <w:vAlign w:val="bottom"/>
          </w:tcPr>
          <w:p w14:paraId="25584BF5" w14:textId="77777777" w:rsidR="00724034" w:rsidRDefault="00FB7D0B">
            <w:pPr>
              <w:jc w:val="right"/>
              <w:rPr>
                <w:rFonts w:ascii="Arial" w:eastAsia="Arial" w:hAnsi="Arial" w:cs="Arial"/>
                <w:color w:val="000000"/>
                <w:sz w:val="16"/>
              </w:rPr>
            </w:pPr>
            <w:r>
              <w:rPr>
                <w:rFonts w:ascii="Arial" w:eastAsia="Arial" w:hAnsi="Arial" w:cs="Arial"/>
                <w:color w:val="000000"/>
                <w:sz w:val="16"/>
              </w:rPr>
              <w:t xml:space="preserve"> 30,284 </w:t>
            </w:r>
          </w:p>
        </w:tc>
        <w:tc>
          <w:tcPr>
            <w:tcW w:w="975"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4766C61A" w14:textId="77777777" w:rsidR="00724034" w:rsidRDefault="00FB7D0B">
            <w:pPr>
              <w:jc w:val="right"/>
              <w:rPr>
                <w:rFonts w:ascii="Arial" w:eastAsia="Arial" w:hAnsi="Arial" w:cs="Arial"/>
                <w:color w:val="000000"/>
                <w:sz w:val="16"/>
              </w:rPr>
            </w:pPr>
            <w:r>
              <w:rPr>
                <w:rFonts w:ascii="Arial" w:eastAsia="Arial" w:hAnsi="Arial" w:cs="Arial"/>
                <w:color w:val="000000"/>
                <w:sz w:val="16"/>
              </w:rPr>
              <w:t xml:space="preserve"> 36,220 </w:t>
            </w:r>
          </w:p>
        </w:tc>
        <w:tc>
          <w:tcPr>
            <w:tcW w:w="975"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4CCAB3F4" w14:textId="77777777" w:rsidR="00724034" w:rsidRDefault="00FB7D0B">
            <w:pPr>
              <w:jc w:val="right"/>
              <w:rPr>
                <w:rFonts w:ascii="Arial" w:eastAsia="Arial" w:hAnsi="Arial" w:cs="Arial"/>
                <w:color w:val="000000"/>
                <w:sz w:val="16"/>
              </w:rPr>
            </w:pPr>
            <w:r>
              <w:rPr>
                <w:rFonts w:ascii="Arial" w:eastAsia="Arial" w:hAnsi="Arial" w:cs="Arial"/>
                <w:color w:val="000000"/>
                <w:sz w:val="16"/>
              </w:rPr>
              <w:t xml:space="preserve"> 42,500 </w:t>
            </w:r>
          </w:p>
        </w:tc>
        <w:tc>
          <w:tcPr>
            <w:tcW w:w="975" w:type="dxa"/>
            <w:tcBorders>
              <w:top w:val="nil"/>
              <w:left w:val="nil"/>
              <w:bottom w:val="single" w:sz="6" w:space="0" w:color="000000"/>
              <w:right w:val="single" w:sz="6" w:space="0" w:color="000000"/>
              <w:tl2br w:val="nil"/>
              <w:tr2bl w:val="nil"/>
            </w:tcBorders>
            <w:shd w:val="clear" w:color="auto" w:fill="FFFFFF"/>
            <w:tcMar>
              <w:left w:w="115" w:type="dxa"/>
              <w:right w:w="115" w:type="dxa"/>
            </w:tcMar>
            <w:vAlign w:val="bottom"/>
          </w:tcPr>
          <w:p w14:paraId="17666FAF" w14:textId="77777777" w:rsidR="00724034" w:rsidRDefault="00FB7D0B">
            <w:pPr>
              <w:jc w:val="right"/>
              <w:rPr>
                <w:rFonts w:ascii="Arial" w:eastAsia="Arial" w:hAnsi="Arial" w:cs="Arial"/>
                <w:color w:val="000000"/>
                <w:sz w:val="16"/>
              </w:rPr>
            </w:pPr>
            <w:r>
              <w:rPr>
                <w:rFonts w:ascii="Arial" w:eastAsia="Arial" w:hAnsi="Arial" w:cs="Arial"/>
                <w:color w:val="000000"/>
                <w:sz w:val="16"/>
              </w:rPr>
              <w:t xml:space="preserve"> 42,500 </w:t>
            </w:r>
          </w:p>
        </w:tc>
      </w:tr>
      <w:tr w:rsidR="00724034" w14:paraId="25455FA2" w14:textId="77777777">
        <w:trPr>
          <w:gridAfter w:val="1"/>
          <w:wAfter w:w="21" w:type="dxa"/>
          <w:trHeight w:hRule="exact" w:val="30"/>
        </w:trPr>
        <w:tc>
          <w:tcPr>
            <w:tcW w:w="3435" w:type="dxa"/>
            <w:gridSpan w:val="2"/>
            <w:tcBorders>
              <w:top w:val="single" w:sz="6" w:space="0" w:color="000000"/>
              <w:left w:val="nil"/>
              <w:bottom w:val="nil"/>
              <w:right w:val="nil"/>
              <w:tl2br w:val="nil"/>
              <w:tr2bl w:val="nil"/>
            </w:tcBorders>
            <w:shd w:val="clear" w:color="auto" w:fill="FFFFFF"/>
            <w:tcMar>
              <w:left w:w="115" w:type="dxa"/>
              <w:right w:w="115" w:type="dxa"/>
            </w:tcMar>
            <w:vAlign w:val="bottom"/>
          </w:tcPr>
          <w:p w14:paraId="12368813" w14:textId="77777777" w:rsidR="00724034" w:rsidRDefault="00724034">
            <w:pPr>
              <w:rPr>
                <w:rFonts w:ascii="Arial" w:eastAsia="Arial" w:hAnsi="Arial" w:cs="Arial"/>
                <w:color w:val="000000"/>
                <w:sz w:val="16"/>
              </w:rPr>
            </w:pPr>
          </w:p>
        </w:tc>
        <w:tc>
          <w:tcPr>
            <w:tcW w:w="975"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510F0623" w14:textId="77777777" w:rsidR="00724034" w:rsidRDefault="00724034">
            <w:pPr>
              <w:rPr>
                <w:rFonts w:ascii="Arial" w:eastAsia="Arial" w:hAnsi="Arial" w:cs="Arial"/>
                <w:color w:val="000000"/>
                <w:sz w:val="16"/>
              </w:rPr>
            </w:pPr>
          </w:p>
        </w:tc>
        <w:tc>
          <w:tcPr>
            <w:tcW w:w="975"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486B4042" w14:textId="77777777" w:rsidR="00724034" w:rsidRDefault="00724034">
            <w:pPr>
              <w:rPr>
                <w:rFonts w:ascii="Arial" w:eastAsia="Arial" w:hAnsi="Arial" w:cs="Arial"/>
                <w:color w:val="000000"/>
                <w:sz w:val="16"/>
              </w:rPr>
            </w:pPr>
          </w:p>
        </w:tc>
        <w:tc>
          <w:tcPr>
            <w:tcW w:w="975"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558D121F" w14:textId="77777777" w:rsidR="00724034" w:rsidRDefault="00724034">
            <w:pPr>
              <w:rPr>
                <w:rFonts w:ascii="Arial" w:eastAsia="Arial" w:hAnsi="Arial" w:cs="Arial"/>
                <w:b/>
                <w:color w:val="000000"/>
                <w:sz w:val="16"/>
              </w:rPr>
            </w:pPr>
          </w:p>
        </w:tc>
        <w:tc>
          <w:tcPr>
            <w:tcW w:w="975"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1FFD098D" w14:textId="77777777" w:rsidR="00724034" w:rsidRDefault="00724034">
            <w:pPr>
              <w:rPr>
                <w:rFonts w:ascii="Arial" w:eastAsia="Arial" w:hAnsi="Arial" w:cs="Arial"/>
                <w:color w:val="000000"/>
                <w:sz w:val="16"/>
              </w:rPr>
            </w:pPr>
          </w:p>
        </w:tc>
        <w:tc>
          <w:tcPr>
            <w:tcW w:w="975"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49643B57" w14:textId="77777777" w:rsidR="00724034" w:rsidRDefault="00724034">
            <w:pPr>
              <w:rPr>
                <w:rFonts w:ascii="Arial" w:eastAsia="Arial" w:hAnsi="Arial" w:cs="Arial"/>
                <w:color w:val="000000"/>
                <w:sz w:val="16"/>
              </w:rPr>
            </w:pPr>
          </w:p>
        </w:tc>
      </w:tr>
    </w:tbl>
    <w:p w14:paraId="71729A52" w14:textId="77777777" w:rsidR="00724034" w:rsidRDefault="00724034">
      <w:pPr>
        <w:rPr>
          <w:rFonts w:ascii="Times New Roman" w:eastAsia="Times New Roman" w:hAnsi="Times New Roman" w:cs="Times New Roman"/>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35"/>
        <w:gridCol w:w="975"/>
        <w:gridCol w:w="975"/>
        <w:gridCol w:w="975"/>
        <w:gridCol w:w="975"/>
        <w:gridCol w:w="975"/>
      </w:tblGrid>
      <w:tr w:rsidR="00724034" w14:paraId="37EF6C95" w14:textId="77777777" w:rsidTr="003F0EEA">
        <w:tc>
          <w:tcPr>
            <w:tcW w:w="8307" w:type="dxa"/>
            <w:gridSpan w:val="6"/>
            <w:tcBorders>
              <w:top w:val="single" w:sz="4" w:space="0" w:color="auto"/>
              <w:left w:val="single" w:sz="4" w:space="0" w:color="auto"/>
              <w:bottom w:val="single" w:sz="4" w:space="0" w:color="auto"/>
              <w:right w:val="single" w:sz="4" w:space="0" w:color="auto"/>
            </w:tcBorders>
          </w:tcPr>
          <w:p w14:paraId="54973F23" w14:textId="77777777" w:rsidR="003F0EEA" w:rsidRDefault="00FB7D0B" w:rsidP="003F0EEA">
            <w:pPr>
              <w:pStyle w:val="TableTextLeft36"/>
              <w:tabs>
                <w:tab w:val="left" w:pos="5832"/>
              </w:tabs>
              <w:rPr>
                <w:b/>
              </w:rPr>
            </w:pPr>
            <w:r>
              <w:rPr>
                <w:b/>
              </w:rPr>
              <w:t>Programme 2.6 key performance measure</w:t>
            </w:r>
          </w:p>
          <w:p w14:paraId="495E0B97" w14:textId="77777777" w:rsidR="003F0EEA" w:rsidRDefault="00FB7D0B" w:rsidP="003F0EEA">
            <w:pPr>
              <w:pStyle w:val="TableTextLeft36"/>
            </w:pPr>
            <w:r>
              <w:t>The following KPIs measure the impact of the Programme:</w:t>
            </w:r>
          </w:p>
        </w:tc>
      </w:tr>
      <w:tr w:rsidR="00724034" w14:paraId="72F9E067" w14:textId="77777777">
        <w:tblPrEx>
          <w:tblLook w:val="04A0" w:firstRow="1" w:lastRow="0" w:firstColumn="1" w:lastColumn="0" w:noHBand="0" w:noVBand="1"/>
        </w:tblPrEx>
        <w:trPr>
          <w:trHeight w:val="225"/>
        </w:trPr>
        <w:tc>
          <w:tcPr>
            <w:tcW w:w="3435" w:type="dxa"/>
            <w:tcBorders>
              <w:top w:val="single" w:sz="6" w:space="0" w:color="000000"/>
              <w:left w:val="single" w:sz="6" w:space="0" w:color="000000"/>
              <w:bottom w:val="nil"/>
              <w:right w:val="nil"/>
              <w:tl2br w:val="nil"/>
              <w:tr2bl w:val="nil"/>
            </w:tcBorders>
            <w:shd w:val="clear" w:color="auto" w:fill="FFFFFF"/>
            <w:tcMar>
              <w:left w:w="115" w:type="dxa"/>
              <w:right w:w="115" w:type="dxa"/>
            </w:tcMar>
            <w:vAlign w:val="bottom"/>
          </w:tcPr>
          <w:p w14:paraId="772569F7" w14:textId="77777777" w:rsidR="00724034" w:rsidRDefault="00724034">
            <w:pPr>
              <w:jc w:val="center"/>
            </w:pPr>
          </w:p>
        </w:tc>
        <w:tc>
          <w:tcPr>
            <w:tcW w:w="975"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715F20C3" w14:textId="77777777" w:rsidR="00724034" w:rsidRDefault="00FB7D0B">
            <w:pPr>
              <w:jc w:val="right"/>
              <w:rPr>
                <w:rFonts w:ascii="Arial" w:eastAsia="Arial" w:hAnsi="Arial" w:cs="Arial"/>
                <w:b/>
                <w:color w:val="000000"/>
                <w:sz w:val="16"/>
                <w:vertAlign w:val="superscript"/>
              </w:rPr>
            </w:pPr>
            <w:r>
              <w:rPr>
                <w:rFonts w:ascii="Arial" w:eastAsia="Arial" w:hAnsi="Arial" w:cs="Arial"/>
                <w:color w:val="000000"/>
                <w:sz w:val="16"/>
              </w:rPr>
              <w:t>2013-14</w:t>
            </w:r>
          </w:p>
        </w:tc>
        <w:tc>
          <w:tcPr>
            <w:tcW w:w="975" w:type="dxa"/>
            <w:tcBorders>
              <w:top w:val="single" w:sz="6" w:space="0" w:color="000000"/>
              <w:left w:val="nil"/>
              <w:bottom w:val="nil"/>
              <w:right w:val="nil"/>
              <w:tl2br w:val="nil"/>
              <w:tr2bl w:val="nil"/>
            </w:tcBorders>
            <w:shd w:val="clear" w:color="auto" w:fill="FFFF00"/>
            <w:tcMar>
              <w:left w:w="115" w:type="dxa"/>
              <w:right w:w="115" w:type="dxa"/>
            </w:tcMar>
            <w:vAlign w:val="bottom"/>
          </w:tcPr>
          <w:p w14:paraId="6978D8BE" w14:textId="77777777" w:rsidR="00724034" w:rsidRDefault="00FB7D0B">
            <w:pPr>
              <w:jc w:val="right"/>
              <w:rPr>
                <w:rFonts w:ascii="Arial" w:eastAsia="Arial" w:hAnsi="Arial" w:cs="Arial"/>
                <w:color w:val="000000"/>
                <w:sz w:val="16"/>
              </w:rPr>
            </w:pPr>
            <w:r>
              <w:rPr>
                <w:rFonts w:ascii="Arial" w:eastAsia="Arial" w:hAnsi="Arial" w:cs="Arial"/>
                <w:color w:val="000000"/>
                <w:sz w:val="16"/>
              </w:rPr>
              <w:t>2014-15</w:t>
            </w:r>
          </w:p>
        </w:tc>
        <w:tc>
          <w:tcPr>
            <w:tcW w:w="975"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5C1FCD42" w14:textId="77777777" w:rsidR="00724034" w:rsidRDefault="00FB7D0B">
            <w:pPr>
              <w:jc w:val="right"/>
              <w:rPr>
                <w:rFonts w:ascii="Arial" w:eastAsia="Arial" w:hAnsi="Arial" w:cs="Arial"/>
                <w:color w:val="000000"/>
                <w:sz w:val="16"/>
              </w:rPr>
            </w:pPr>
            <w:r>
              <w:rPr>
                <w:rFonts w:ascii="Arial" w:eastAsia="Arial" w:hAnsi="Arial" w:cs="Arial"/>
                <w:color w:val="000000"/>
                <w:sz w:val="16"/>
              </w:rPr>
              <w:t>2015-16</w:t>
            </w:r>
          </w:p>
        </w:tc>
        <w:tc>
          <w:tcPr>
            <w:tcW w:w="975"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4B124DD1" w14:textId="77777777" w:rsidR="00724034" w:rsidRDefault="00FB7D0B">
            <w:pPr>
              <w:jc w:val="right"/>
              <w:rPr>
                <w:rFonts w:ascii="Arial" w:eastAsia="Arial" w:hAnsi="Arial" w:cs="Arial"/>
                <w:color w:val="000000"/>
                <w:sz w:val="16"/>
              </w:rPr>
            </w:pPr>
            <w:r>
              <w:rPr>
                <w:rFonts w:ascii="Arial" w:eastAsia="Arial" w:hAnsi="Arial" w:cs="Arial"/>
                <w:color w:val="000000"/>
                <w:sz w:val="16"/>
              </w:rPr>
              <w:t>2016-17</w:t>
            </w:r>
          </w:p>
        </w:tc>
        <w:tc>
          <w:tcPr>
            <w:tcW w:w="975" w:type="dxa"/>
            <w:tcBorders>
              <w:top w:val="single" w:sz="6" w:space="0" w:color="000000"/>
              <w:left w:val="nil"/>
              <w:bottom w:val="nil"/>
              <w:right w:val="single" w:sz="6" w:space="0" w:color="000000"/>
              <w:tl2br w:val="nil"/>
              <w:tr2bl w:val="nil"/>
            </w:tcBorders>
            <w:shd w:val="clear" w:color="auto" w:fill="FFFFFF"/>
            <w:tcMar>
              <w:left w:w="115" w:type="dxa"/>
              <w:right w:w="115" w:type="dxa"/>
            </w:tcMar>
            <w:vAlign w:val="bottom"/>
          </w:tcPr>
          <w:p w14:paraId="184039E6" w14:textId="77777777" w:rsidR="00724034" w:rsidRDefault="00FB7D0B">
            <w:pPr>
              <w:jc w:val="right"/>
              <w:rPr>
                <w:rFonts w:ascii="Arial" w:eastAsia="Arial" w:hAnsi="Arial" w:cs="Arial"/>
                <w:color w:val="000000"/>
                <w:sz w:val="16"/>
              </w:rPr>
            </w:pPr>
            <w:r>
              <w:rPr>
                <w:rFonts w:ascii="Arial" w:eastAsia="Arial" w:hAnsi="Arial" w:cs="Arial"/>
                <w:color w:val="000000"/>
                <w:sz w:val="16"/>
              </w:rPr>
              <w:t>2017-18</w:t>
            </w:r>
          </w:p>
        </w:tc>
      </w:tr>
      <w:tr w:rsidR="00724034" w14:paraId="76E780F3" w14:textId="77777777">
        <w:tblPrEx>
          <w:tblLook w:val="04A0" w:firstRow="1" w:lastRow="0" w:firstColumn="1" w:lastColumn="0" w:noHBand="0" w:noVBand="1"/>
        </w:tblPrEx>
        <w:trPr>
          <w:trHeight w:val="225"/>
        </w:trPr>
        <w:tc>
          <w:tcPr>
            <w:tcW w:w="3435" w:type="dxa"/>
            <w:tcBorders>
              <w:top w:val="nil"/>
              <w:left w:val="single" w:sz="6" w:space="0" w:color="000000"/>
              <w:bottom w:val="nil"/>
              <w:right w:val="nil"/>
              <w:tl2br w:val="nil"/>
              <w:tr2bl w:val="nil"/>
            </w:tcBorders>
            <w:shd w:val="clear" w:color="auto" w:fill="FFFFFF"/>
            <w:tcMar>
              <w:left w:w="115" w:type="dxa"/>
              <w:right w:w="115" w:type="dxa"/>
            </w:tcMar>
            <w:vAlign w:val="bottom"/>
          </w:tcPr>
          <w:p w14:paraId="7722C3EE" w14:textId="77777777" w:rsidR="00724034" w:rsidRDefault="00FB7D0B">
            <w:pPr>
              <w:rPr>
                <w:rFonts w:ascii="Arial" w:eastAsia="Arial" w:hAnsi="Arial" w:cs="Arial"/>
                <w:color w:val="000000"/>
                <w:sz w:val="16"/>
              </w:rPr>
            </w:pPr>
            <w:r>
              <w:rPr>
                <w:rFonts w:ascii="Arial" w:eastAsia="Arial" w:hAnsi="Arial" w:cs="Arial"/>
                <w:color w:val="000000"/>
                <w:sz w:val="16"/>
              </w:rPr>
              <w:t>Key Performance</w:t>
            </w:r>
          </w:p>
        </w:tc>
        <w:tc>
          <w:tcPr>
            <w:tcW w:w="975" w:type="dxa"/>
            <w:tcBorders>
              <w:top w:val="nil"/>
              <w:left w:val="nil"/>
              <w:bottom w:val="nil"/>
              <w:right w:val="nil"/>
              <w:tl2br w:val="nil"/>
              <w:tr2bl w:val="nil"/>
            </w:tcBorders>
            <w:shd w:val="clear" w:color="auto" w:fill="FFFFFF"/>
            <w:tcMar>
              <w:left w:w="115" w:type="dxa"/>
              <w:right w:w="115" w:type="dxa"/>
            </w:tcMar>
            <w:vAlign w:val="bottom"/>
          </w:tcPr>
          <w:p w14:paraId="0BC36CB0" w14:textId="77777777" w:rsidR="00724034" w:rsidRDefault="00FB7D0B">
            <w:pPr>
              <w:jc w:val="right"/>
              <w:rPr>
                <w:rFonts w:ascii="Arial" w:eastAsia="Arial" w:hAnsi="Arial" w:cs="Arial"/>
                <w:color w:val="000000"/>
                <w:sz w:val="16"/>
                <w:vertAlign w:val="superscript"/>
              </w:rPr>
            </w:pPr>
            <w:r>
              <w:rPr>
                <w:rFonts w:ascii="Arial" w:eastAsia="Arial" w:hAnsi="Arial" w:cs="Arial"/>
                <w:color w:val="000000"/>
                <w:sz w:val="16"/>
              </w:rPr>
              <w:t>Revised</w:t>
            </w:r>
          </w:p>
        </w:tc>
        <w:tc>
          <w:tcPr>
            <w:tcW w:w="975" w:type="dxa"/>
            <w:tcBorders>
              <w:top w:val="nil"/>
              <w:left w:val="nil"/>
              <w:bottom w:val="nil"/>
              <w:right w:val="nil"/>
              <w:tl2br w:val="nil"/>
              <w:tr2bl w:val="nil"/>
            </w:tcBorders>
            <w:shd w:val="clear" w:color="auto" w:fill="FFFF00"/>
            <w:tcMar>
              <w:left w:w="115" w:type="dxa"/>
              <w:right w:w="115" w:type="dxa"/>
            </w:tcMar>
            <w:vAlign w:val="bottom"/>
          </w:tcPr>
          <w:p w14:paraId="632D4CB7" w14:textId="77777777" w:rsidR="00724034" w:rsidRDefault="00FB7D0B">
            <w:pPr>
              <w:jc w:val="right"/>
              <w:rPr>
                <w:rFonts w:ascii="Arial" w:eastAsia="Arial" w:hAnsi="Arial" w:cs="Arial"/>
                <w:color w:val="000000"/>
                <w:sz w:val="16"/>
              </w:rPr>
            </w:pPr>
            <w:r>
              <w:rPr>
                <w:rFonts w:ascii="Arial" w:eastAsia="Arial" w:hAnsi="Arial" w:cs="Arial"/>
                <w:color w:val="000000"/>
                <w:sz w:val="16"/>
              </w:rPr>
              <w:t>Budget</w:t>
            </w:r>
          </w:p>
        </w:tc>
        <w:tc>
          <w:tcPr>
            <w:tcW w:w="975" w:type="dxa"/>
            <w:tcBorders>
              <w:top w:val="nil"/>
              <w:left w:val="nil"/>
              <w:bottom w:val="nil"/>
              <w:right w:val="nil"/>
              <w:tl2br w:val="nil"/>
              <w:tr2bl w:val="nil"/>
            </w:tcBorders>
            <w:shd w:val="clear" w:color="auto" w:fill="FFFFFF"/>
            <w:tcMar>
              <w:left w:w="115" w:type="dxa"/>
              <w:right w:w="115" w:type="dxa"/>
            </w:tcMar>
            <w:vAlign w:val="bottom"/>
          </w:tcPr>
          <w:p w14:paraId="5BE4EBD6" w14:textId="77777777" w:rsidR="00724034" w:rsidRDefault="00FB7D0B">
            <w:pPr>
              <w:jc w:val="right"/>
              <w:rPr>
                <w:rFonts w:ascii="Arial" w:eastAsia="Arial" w:hAnsi="Arial" w:cs="Arial"/>
                <w:color w:val="000000"/>
                <w:sz w:val="16"/>
              </w:rPr>
            </w:pPr>
            <w:r>
              <w:rPr>
                <w:rFonts w:ascii="Arial" w:eastAsia="Arial" w:hAnsi="Arial" w:cs="Arial"/>
                <w:color w:val="000000"/>
                <w:sz w:val="16"/>
              </w:rPr>
              <w:t>Forward</w:t>
            </w:r>
          </w:p>
        </w:tc>
        <w:tc>
          <w:tcPr>
            <w:tcW w:w="975" w:type="dxa"/>
            <w:tcBorders>
              <w:top w:val="nil"/>
              <w:left w:val="nil"/>
              <w:bottom w:val="nil"/>
              <w:right w:val="nil"/>
              <w:tl2br w:val="nil"/>
              <w:tr2bl w:val="nil"/>
            </w:tcBorders>
            <w:shd w:val="clear" w:color="auto" w:fill="FFFFFF"/>
            <w:tcMar>
              <w:left w:w="115" w:type="dxa"/>
              <w:right w:w="115" w:type="dxa"/>
            </w:tcMar>
            <w:vAlign w:val="bottom"/>
          </w:tcPr>
          <w:p w14:paraId="78384509" w14:textId="77777777" w:rsidR="00724034" w:rsidRDefault="00FB7D0B">
            <w:pPr>
              <w:jc w:val="right"/>
              <w:rPr>
                <w:rFonts w:ascii="Arial" w:eastAsia="Arial" w:hAnsi="Arial" w:cs="Arial"/>
                <w:color w:val="000000"/>
                <w:sz w:val="16"/>
              </w:rPr>
            </w:pPr>
            <w:r>
              <w:rPr>
                <w:rFonts w:ascii="Arial" w:eastAsia="Arial" w:hAnsi="Arial" w:cs="Arial"/>
                <w:color w:val="000000"/>
                <w:sz w:val="16"/>
              </w:rPr>
              <w:t>Forward</w:t>
            </w:r>
          </w:p>
        </w:tc>
        <w:tc>
          <w:tcPr>
            <w:tcW w:w="975" w:type="dxa"/>
            <w:tcBorders>
              <w:top w:val="nil"/>
              <w:left w:val="nil"/>
              <w:bottom w:val="nil"/>
              <w:right w:val="single" w:sz="6" w:space="0" w:color="000000"/>
              <w:tl2br w:val="nil"/>
              <w:tr2bl w:val="nil"/>
            </w:tcBorders>
            <w:shd w:val="clear" w:color="auto" w:fill="FFFFFF"/>
            <w:tcMar>
              <w:left w:w="115" w:type="dxa"/>
              <w:right w:w="115" w:type="dxa"/>
            </w:tcMar>
            <w:vAlign w:val="bottom"/>
          </w:tcPr>
          <w:p w14:paraId="21BD515F" w14:textId="77777777" w:rsidR="00724034" w:rsidRDefault="00FB7D0B">
            <w:pPr>
              <w:jc w:val="right"/>
              <w:rPr>
                <w:rFonts w:ascii="Arial" w:eastAsia="Arial" w:hAnsi="Arial" w:cs="Arial"/>
                <w:color w:val="000000"/>
                <w:sz w:val="16"/>
              </w:rPr>
            </w:pPr>
            <w:r>
              <w:rPr>
                <w:rFonts w:ascii="Arial" w:eastAsia="Arial" w:hAnsi="Arial" w:cs="Arial"/>
                <w:color w:val="000000"/>
                <w:sz w:val="16"/>
              </w:rPr>
              <w:t>Forward</w:t>
            </w:r>
          </w:p>
        </w:tc>
      </w:tr>
      <w:tr w:rsidR="00724034" w14:paraId="524DA210" w14:textId="77777777">
        <w:tblPrEx>
          <w:tblLook w:val="04A0" w:firstRow="1" w:lastRow="0" w:firstColumn="1" w:lastColumn="0" w:noHBand="0" w:noVBand="1"/>
        </w:tblPrEx>
        <w:trPr>
          <w:trHeight w:val="225"/>
        </w:trPr>
        <w:tc>
          <w:tcPr>
            <w:tcW w:w="3435" w:type="dxa"/>
            <w:tcBorders>
              <w:top w:val="nil"/>
              <w:left w:val="single" w:sz="6" w:space="0" w:color="000000"/>
              <w:bottom w:val="single" w:sz="6" w:space="0" w:color="000000"/>
              <w:right w:val="nil"/>
              <w:tl2br w:val="nil"/>
              <w:tr2bl w:val="nil"/>
            </w:tcBorders>
            <w:shd w:val="clear" w:color="auto" w:fill="FFFFFF"/>
            <w:tcMar>
              <w:left w:w="115" w:type="dxa"/>
              <w:right w:w="115" w:type="dxa"/>
            </w:tcMar>
            <w:vAlign w:val="bottom"/>
          </w:tcPr>
          <w:p w14:paraId="2A4AE982" w14:textId="77777777" w:rsidR="00724034" w:rsidRDefault="00FB7D0B">
            <w:pPr>
              <w:rPr>
                <w:rFonts w:ascii="Arial" w:eastAsia="Arial" w:hAnsi="Arial" w:cs="Arial"/>
                <w:color w:val="000000"/>
                <w:sz w:val="16"/>
              </w:rPr>
            </w:pPr>
            <w:r>
              <w:rPr>
                <w:rFonts w:ascii="Arial" w:eastAsia="Arial" w:hAnsi="Arial" w:cs="Arial"/>
                <w:color w:val="000000"/>
                <w:sz w:val="16"/>
              </w:rPr>
              <w:t>Indicators</w:t>
            </w:r>
          </w:p>
        </w:tc>
        <w:tc>
          <w:tcPr>
            <w:tcW w:w="975"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16ECE430" w14:textId="77777777" w:rsidR="00724034" w:rsidRDefault="00FB7D0B">
            <w:pPr>
              <w:jc w:val="right"/>
              <w:rPr>
                <w:rFonts w:ascii="Arial" w:eastAsia="Arial" w:hAnsi="Arial" w:cs="Arial"/>
                <w:color w:val="000000"/>
                <w:sz w:val="16"/>
                <w:vertAlign w:val="superscript"/>
              </w:rPr>
            </w:pPr>
            <w:r>
              <w:rPr>
                <w:rFonts w:ascii="Arial" w:eastAsia="Arial" w:hAnsi="Arial" w:cs="Arial"/>
                <w:color w:val="000000"/>
                <w:sz w:val="16"/>
              </w:rPr>
              <w:t>budget</w:t>
            </w:r>
          </w:p>
        </w:tc>
        <w:tc>
          <w:tcPr>
            <w:tcW w:w="975" w:type="dxa"/>
            <w:tcBorders>
              <w:top w:val="nil"/>
              <w:left w:val="nil"/>
              <w:bottom w:val="single" w:sz="6" w:space="0" w:color="000000"/>
              <w:right w:val="nil"/>
              <w:tl2br w:val="nil"/>
              <w:tr2bl w:val="nil"/>
            </w:tcBorders>
            <w:shd w:val="clear" w:color="auto" w:fill="FFFF00"/>
            <w:tcMar>
              <w:left w:w="115" w:type="dxa"/>
              <w:right w:w="115" w:type="dxa"/>
            </w:tcMar>
            <w:vAlign w:val="bottom"/>
          </w:tcPr>
          <w:p w14:paraId="18FAD59D" w14:textId="77777777" w:rsidR="00724034" w:rsidRDefault="00FB7D0B">
            <w:pPr>
              <w:jc w:val="right"/>
              <w:rPr>
                <w:rFonts w:ascii="Arial" w:eastAsia="Arial" w:hAnsi="Arial" w:cs="Arial"/>
                <w:color w:val="000000"/>
                <w:sz w:val="16"/>
              </w:rPr>
            </w:pPr>
            <w:r>
              <w:rPr>
                <w:rFonts w:ascii="Arial" w:eastAsia="Arial" w:hAnsi="Arial" w:cs="Arial"/>
                <w:color w:val="000000"/>
                <w:sz w:val="16"/>
              </w:rPr>
              <w:t>target</w:t>
            </w:r>
          </w:p>
        </w:tc>
        <w:tc>
          <w:tcPr>
            <w:tcW w:w="975"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69E1A925" w14:textId="77777777" w:rsidR="00724034" w:rsidRDefault="00FB7D0B">
            <w:pPr>
              <w:jc w:val="right"/>
              <w:rPr>
                <w:rFonts w:ascii="Arial" w:eastAsia="Arial" w:hAnsi="Arial" w:cs="Arial"/>
                <w:color w:val="000000"/>
                <w:sz w:val="16"/>
              </w:rPr>
            </w:pPr>
            <w:r>
              <w:rPr>
                <w:rFonts w:ascii="Arial" w:eastAsia="Arial" w:hAnsi="Arial" w:cs="Arial"/>
                <w:color w:val="000000"/>
                <w:sz w:val="16"/>
              </w:rPr>
              <w:t>year 1</w:t>
            </w:r>
          </w:p>
        </w:tc>
        <w:tc>
          <w:tcPr>
            <w:tcW w:w="975"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1122EABA" w14:textId="77777777" w:rsidR="00724034" w:rsidRDefault="00FB7D0B">
            <w:pPr>
              <w:jc w:val="right"/>
              <w:rPr>
                <w:rFonts w:ascii="Arial" w:eastAsia="Arial" w:hAnsi="Arial" w:cs="Arial"/>
                <w:color w:val="000000"/>
                <w:sz w:val="16"/>
              </w:rPr>
            </w:pPr>
            <w:r>
              <w:rPr>
                <w:rFonts w:ascii="Arial" w:eastAsia="Arial" w:hAnsi="Arial" w:cs="Arial"/>
                <w:color w:val="000000"/>
                <w:sz w:val="16"/>
              </w:rPr>
              <w:t>year 2</w:t>
            </w:r>
          </w:p>
        </w:tc>
        <w:tc>
          <w:tcPr>
            <w:tcW w:w="975" w:type="dxa"/>
            <w:tcBorders>
              <w:top w:val="nil"/>
              <w:left w:val="nil"/>
              <w:bottom w:val="single" w:sz="6" w:space="0" w:color="000000"/>
              <w:right w:val="single" w:sz="6" w:space="0" w:color="000000"/>
              <w:tl2br w:val="nil"/>
              <w:tr2bl w:val="nil"/>
            </w:tcBorders>
            <w:shd w:val="clear" w:color="auto" w:fill="FFFFFF"/>
            <w:tcMar>
              <w:left w:w="115" w:type="dxa"/>
              <w:right w:w="115" w:type="dxa"/>
            </w:tcMar>
            <w:vAlign w:val="bottom"/>
          </w:tcPr>
          <w:p w14:paraId="0393A5D6" w14:textId="77777777" w:rsidR="00724034" w:rsidRDefault="00FB7D0B">
            <w:pPr>
              <w:jc w:val="right"/>
              <w:rPr>
                <w:rFonts w:ascii="Arial" w:eastAsia="Arial" w:hAnsi="Arial" w:cs="Arial"/>
                <w:color w:val="000000"/>
                <w:sz w:val="16"/>
              </w:rPr>
            </w:pPr>
            <w:r>
              <w:rPr>
                <w:rFonts w:ascii="Arial" w:eastAsia="Arial" w:hAnsi="Arial" w:cs="Arial"/>
                <w:color w:val="000000"/>
                <w:sz w:val="16"/>
              </w:rPr>
              <w:t>year 3</w:t>
            </w:r>
          </w:p>
        </w:tc>
      </w:tr>
      <w:tr w:rsidR="00724034" w14:paraId="6BEDF8FE" w14:textId="77777777">
        <w:tblPrEx>
          <w:tblLook w:val="04A0" w:firstRow="1" w:lastRow="0" w:firstColumn="1" w:lastColumn="0" w:noHBand="0" w:noVBand="1"/>
        </w:tblPrEx>
        <w:trPr>
          <w:trHeight w:val="60"/>
        </w:trPr>
        <w:tc>
          <w:tcPr>
            <w:tcW w:w="3435" w:type="dxa"/>
            <w:tcBorders>
              <w:top w:val="single" w:sz="6" w:space="0" w:color="000000"/>
              <w:left w:val="single" w:sz="6" w:space="0" w:color="000000"/>
              <w:bottom w:val="nil"/>
              <w:right w:val="nil"/>
              <w:tl2br w:val="nil"/>
              <w:tr2bl w:val="nil"/>
            </w:tcBorders>
            <w:shd w:val="clear" w:color="auto" w:fill="FFFFFF"/>
            <w:tcMar>
              <w:left w:w="115" w:type="dxa"/>
              <w:right w:w="115" w:type="dxa"/>
            </w:tcMar>
            <w:vAlign w:val="bottom"/>
          </w:tcPr>
          <w:p w14:paraId="074F16CF" w14:textId="77777777" w:rsidR="00724034" w:rsidRDefault="00724034">
            <w:pPr>
              <w:rPr>
                <w:rFonts w:ascii="Arial" w:eastAsia="Arial" w:hAnsi="Arial" w:cs="Arial"/>
                <w:color w:val="000000"/>
                <w:sz w:val="16"/>
              </w:rPr>
            </w:pPr>
          </w:p>
        </w:tc>
        <w:tc>
          <w:tcPr>
            <w:tcW w:w="975"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002AB242" w14:textId="77777777" w:rsidR="00724034" w:rsidRDefault="00724034">
            <w:pPr>
              <w:jc w:val="right"/>
              <w:rPr>
                <w:rFonts w:ascii="Arial" w:eastAsia="Arial" w:hAnsi="Arial" w:cs="Arial"/>
                <w:color w:val="000000"/>
                <w:sz w:val="16"/>
                <w:vertAlign w:val="superscript"/>
              </w:rPr>
            </w:pPr>
          </w:p>
        </w:tc>
        <w:tc>
          <w:tcPr>
            <w:tcW w:w="975" w:type="dxa"/>
            <w:tcBorders>
              <w:top w:val="single" w:sz="6" w:space="0" w:color="000000"/>
              <w:left w:val="nil"/>
              <w:bottom w:val="nil"/>
              <w:right w:val="nil"/>
              <w:tl2br w:val="nil"/>
              <w:tr2bl w:val="nil"/>
            </w:tcBorders>
            <w:shd w:val="clear" w:color="auto" w:fill="FFFF00"/>
            <w:tcMar>
              <w:left w:w="115" w:type="dxa"/>
              <w:right w:w="115" w:type="dxa"/>
            </w:tcMar>
            <w:vAlign w:val="bottom"/>
          </w:tcPr>
          <w:p w14:paraId="01054427" w14:textId="77777777" w:rsidR="00724034" w:rsidRDefault="00724034">
            <w:pPr>
              <w:jc w:val="right"/>
              <w:rPr>
                <w:rFonts w:ascii="Arial" w:eastAsia="Arial" w:hAnsi="Arial" w:cs="Arial"/>
                <w:color w:val="000000"/>
                <w:sz w:val="16"/>
                <w:vertAlign w:val="superscript"/>
              </w:rPr>
            </w:pPr>
          </w:p>
        </w:tc>
        <w:tc>
          <w:tcPr>
            <w:tcW w:w="975"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42144C29" w14:textId="77777777" w:rsidR="00724034" w:rsidRDefault="00724034">
            <w:pPr>
              <w:jc w:val="right"/>
              <w:rPr>
                <w:rFonts w:ascii="Arial" w:eastAsia="Arial" w:hAnsi="Arial" w:cs="Arial"/>
                <w:color w:val="000000"/>
                <w:sz w:val="16"/>
                <w:vertAlign w:val="superscript"/>
              </w:rPr>
            </w:pPr>
          </w:p>
        </w:tc>
        <w:tc>
          <w:tcPr>
            <w:tcW w:w="975"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1FBA8764" w14:textId="77777777" w:rsidR="00724034" w:rsidRDefault="00724034">
            <w:pPr>
              <w:jc w:val="right"/>
              <w:rPr>
                <w:rFonts w:ascii="Arial" w:eastAsia="Arial" w:hAnsi="Arial" w:cs="Arial"/>
                <w:color w:val="000000"/>
                <w:sz w:val="16"/>
                <w:vertAlign w:val="superscript"/>
              </w:rPr>
            </w:pPr>
          </w:p>
        </w:tc>
        <w:tc>
          <w:tcPr>
            <w:tcW w:w="975" w:type="dxa"/>
            <w:tcBorders>
              <w:top w:val="single" w:sz="6" w:space="0" w:color="000000"/>
              <w:left w:val="nil"/>
              <w:bottom w:val="nil"/>
              <w:right w:val="single" w:sz="6" w:space="0" w:color="000000"/>
              <w:tl2br w:val="nil"/>
              <w:tr2bl w:val="nil"/>
            </w:tcBorders>
            <w:shd w:val="clear" w:color="auto" w:fill="FFFFFF"/>
            <w:tcMar>
              <w:left w:w="115" w:type="dxa"/>
              <w:right w:w="115" w:type="dxa"/>
            </w:tcMar>
            <w:vAlign w:val="bottom"/>
          </w:tcPr>
          <w:p w14:paraId="51E8D2DB" w14:textId="77777777" w:rsidR="00724034" w:rsidRDefault="00724034">
            <w:pPr>
              <w:jc w:val="right"/>
              <w:rPr>
                <w:rFonts w:ascii="Arial" w:eastAsia="Arial" w:hAnsi="Arial" w:cs="Arial"/>
                <w:color w:val="000000"/>
                <w:sz w:val="16"/>
                <w:vertAlign w:val="superscript"/>
              </w:rPr>
            </w:pPr>
          </w:p>
        </w:tc>
      </w:tr>
      <w:tr w:rsidR="00724034" w14:paraId="535ED72E" w14:textId="77777777">
        <w:tblPrEx>
          <w:tblLook w:val="04A0" w:firstRow="1" w:lastRow="0" w:firstColumn="1" w:lastColumn="0" w:noHBand="0" w:noVBand="1"/>
        </w:tblPrEx>
        <w:trPr>
          <w:trHeight w:val="450"/>
        </w:trPr>
        <w:tc>
          <w:tcPr>
            <w:tcW w:w="3435" w:type="dxa"/>
            <w:tcBorders>
              <w:top w:val="nil"/>
              <w:left w:val="single" w:sz="6" w:space="0" w:color="000000"/>
              <w:bottom w:val="nil"/>
              <w:right w:val="nil"/>
              <w:tl2br w:val="nil"/>
              <w:tr2bl w:val="nil"/>
            </w:tcBorders>
            <w:shd w:val="clear" w:color="auto" w:fill="FFFFFF"/>
            <w:tcMar>
              <w:left w:w="115" w:type="dxa"/>
              <w:right w:w="115" w:type="dxa"/>
            </w:tcMar>
            <w:vAlign w:val="bottom"/>
          </w:tcPr>
          <w:p w14:paraId="23761585" w14:textId="77777777" w:rsidR="00724034" w:rsidRDefault="00FB7D0B">
            <w:pPr>
              <w:rPr>
                <w:rFonts w:ascii="Arial" w:eastAsia="Arial" w:hAnsi="Arial" w:cs="Arial"/>
                <w:color w:val="000000"/>
                <w:sz w:val="16"/>
                <w:vertAlign w:val="superscript"/>
              </w:rPr>
            </w:pPr>
            <w:r>
              <w:rPr>
                <w:rFonts w:ascii="Arial" w:eastAsia="Arial" w:hAnsi="Arial" w:cs="Arial"/>
                <w:i/>
                <w:color w:val="000000"/>
                <w:sz w:val="16"/>
              </w:rPr>
              <w:t xml:space="preserve">Quality: </w:t>
            </w:r>
            <w:r>
              <w:rPr>
                <w:rFonts w:ascii="Arial" w:eastAsia="Arial" w:hAnsi="Arial" w:cs="Arial"/>
                <w:color w:val="000000"/>
                <w:sz w:val="16"/>
              </w:rPr>
              <w:t>Error rates SRCA rehabilitation assessments</w:t>
            </w:r>
          </w:p>
        </w:tc>
        <w:tc>
          <w:tcPr>
            <w:tcW w:w="975" w:type="dxa"/>
            <w:tcBorders>
              <w:top w:val="nil"/>
              <w:left w:val="nil"/>
              <w:bottom w:val="nil"/>
              <w:right w:val="nil"/>
              <w:tl2br w:val="nil"/>
              <w:tr2bl w:val="nil"/>
            </w:tcBorders>
            <w:shd w:val="clear" w:color="auto" w:fill="FFFFFF"/>
            <w:tcMar>
              <w:left w:w="115" w:type="dxa"/>
              <w:right w:w="115" w:type="dxa"/>
            </w:tcMar>
            <w:vAlign w:val="bottom"/>
          </w:tcPr>
          <w:p w14:paraId="042462DE" w14:textId="77777777" w:rsidR="00724034" w:rsidRDefault="00FB7D0B">
            <w:pPr>
              <w:jc w:val="right"/>
              <w:rPr>
                <w:rFonts w:ascii="Arial" w:eastAsia="Arial" w:hAnsi="Arial" w:cs="Arial"/>
                <w:i/>
                <w:color w:val="000000"/>
                <w:sz w:val="16"/>
                <w:vertAlign w:val="superscript"/>
              </w:rPr>
            </w:pPr>
            <w:r>
              <w:rPr>
                <w:rFonts w:ascii="Arial" w:eastAsia="Arial" w:hAnsi="Arial" w:cs="Arial"/>
                <w:color w:val="000000"/>
                <w:sz w:val="16"/>
              </w:rPr>
              <w:t>&lt; 5%</w:t>
            </w:r>
          </w:p>
        </w:tc>
        <w:tc>
          <w:tcPr>
            <w:tcW w:w="975" w:type="dxa"/>
            <w:tcBorders>
              <w:top w:val="nil"/>
              <w:left w:val="nil"/>
              <w:bottom w:val="nil"/>
              <w:right w:val="nil"/>
              <w:tl2br w:val="nil"/>
              <w:tr2bl w:val="nil"/>
            </w:tcBorders>
            <w:shd w:val="clear" w:color="auto" w:fill="FFFF00"/>
            <w:tcMar>
              <w:left w:w="115" w:type="dxa"/>
              <w:right w:w="115" w:type="dxa"/>
            </w:tcMar>
            <w:vAlign w:val="bottom"/>
          </w:tcPr>
          <w:p w14:paraId="02F18012" w14:textId="77777777" w:rsidR="00724034" w:rsidRDefault="00FB7D0B">
            <w:pPr>
              <w:jc w:val="right"/>
              <w:rPr>
                <w:rFonts w:ascii="Arial" w:eastAsia="Arial" w:hAnsi="Arial" w:cs="Arial"/>
                <w:color w:val="000000"/>
                <w:sz w:val="16"/>
              </w:rPr>
            </w:pPr>
            <w:r>
              <w:rPr>
                <w:rFonts w:ascii="Arial" w:eastAsia="Arial" w:hAnsi="Arial" w:cs="Arial"/>
                <w:color w:val="000000"/>
                <w:sz w:val="16"/>
              </w:rPr>
              <w:t>&lt; 5%</w:t>
            </w:r>
          </w:p>
        </w:tc>
        <w:tc>
          <w:tcPr>
            <w:tcW w:w="975" w:type="dxa"/>
            <w:tcBorders>
              <w:top w:val="nil"/>
              <w:left w:val="nil"/>
              <w:bottom w:val="nil"/>
              <w:right w:val="nil"/>
              <w:tl2br w:val="nil"/>
              <w:tr2bl w:val="nil"/>
            </w:tcBorders>
            <w:shd w:val="clear" w:color="auto" w:fill="FFFFFF"/>
            <w:tcMar>
              <w:left w:w="115" w:type="dxa"/>
              <w:right w:w="115" w:type="dxa"/>
            </w:tcMar>
            <w:vAlign w:val="bottom"/>
          </w:tcPr>
          <w:p w14:paraId="05CAE678" w14:textId="77777777" w:rsidR="00724034" w:rsidRDefault="00FB7D0B">
            <w:pPr>
              <w:jc w:val="right"/>
              <w:rPr>
                <w:rFonts w:ascii="Arial" w:eastAsia="Arial" w:hAnsi="Arial" w:cs="Arial"/>
                <w:color w:val="000000"/>
                <w:sz w:val="16"/>
              </w:rPr>
            </w:pPr>
            <w:r>
              <w:rPr>
                <w:rFonts w:ascii="Arial" w:eastAsia="Arial" w:hAnsi="Arial" w:cs="Arial"/>
                <w:color w:val="000000"/>
                <w:sz w:val="16"/>
              </w:rPr>
              <w:t>&lt; 5%</w:t>
            </w:r>
          </w:p>
        </w:tc>
        <w:tc>
          <w:tcPr>
            <w:tcW w:w="975" w:type="dxa"/>
            <w:tcBorders>
              <w:top w:val="nil"/>
              <w:left w:val="nil"/>
              <w:bottom w:val="nil"/>
              <w:right w:val="nil"/>
              <w:tl2br w:val="nil"/>
              <w:tr2bl w:val="nil"/>
            </w:tcBorders>
            <w:shd w:val="clear" w:color="auto" w:fill="FFFFFF"/>
            <w:tcMar>
              <w:left w:w="115" w:type="dxa"/>
              <w:right w:w="115" w:type="dxa"/>
            </w:tcMar>
            <w:vAlign w:val="bottom"/>
          </w:tcPr>
          <w:p w14:paraId="53F8385A" w14:textId="77777777" w:rsidR="00724034" w:rsidRDefault="00FB7D0B">
            <w:pPr>
              <w:jc w:val="right"/>
              <w:rPr>
                <w:rFonts w:ascii="Arial" w:eastAsia="Arial" w:hAnsi="Arial" w:cs="Arial"/>
                <w:color w:val="000000"/>
                <w:sz w:val="16"/>
              </w:rPr>
            </w:pPr>
            <w:r>
              <w:rPr>
                <w:rFonts w:ascii="Arial" w:eastAsia="Arial" w:hAnsi="Arial" w:cs="Arial"/>
                <w:color w:val="000000"/>
                <w:sz w:val="16"/>
              </w:rPr>
              <w:t>&lt; 5%</w:t>
            </w:r>
          </w:p>
        </w:tc>
        <w:tc>
          <w:tcPr>
            <w:tcW w:w="975" w:type="dxa"/>
            <w:tcBorders>
              <w:top w:val="nil"/>
              <w:left w:val="nil"/>
              <w:bottom w:val="nil"/>
              <w:right w:val="single" w:sz="6" w:space="0" w:color="000000"/>
              <w:tl2br w:val="nil"/>
              <w:tr2bl w:val="nil"/>
            </w:tcBorders>
            <w:shd w:val="clear" w:color="auto" w:fill="FFFFFF"/>
            <w:tcMar>
              <w:left w:w="115" w:type="dxa"/>
              <w:right w:w="115" w:type="dxa"/>
            </w:tcMar>
            <w:vAlign w:val="bottom"/>
          </w:tcPr>
          <w:p w14:paraId="7496AC59" w14:textId="77777777" w:rsidR="00724034" w:rsidRDefault="00FB7D0B">
            <w:pPr>
              <w:jc w:val="right"/>
              <w:rPr>
                <w:rFonts w:ascii="Arial" w:eastAsia="Arial" w:hAnsi="Arial" w:cs="Arial"/>
                <w:color w:val="000000"/>
                <w:sz w:val="16"/>
              </w:rPr>
            </w:pPr>
            <w:r>
              <w:rPr>
                <w:rFonts w:ascii="Arial" w:eastAsia="Arial" w:hAnsi="Arial" w:cs="Arial"/>
                <w:color w:val="000000"/>
                <w:sz w:val="16"/>
              </w:rPr>
              <w:t>&lt; 5%</w:t>
            </w:r>
          </w:p>
        </w:tc>
      </w:tr>
      <w:tr w:rsidR="00724034" w14:paraId="52105B08" w14:textId="77777777">
        <w:tblPrEx>
          <w:tblLook w:val="04A0" w:firstRow="1" w:lastRow="0" w:firstColumn="1" w:lastColumn="0" w:noHBand="0" w:noVBand="1"/>
        </w:tblPrEx>
        <w:trPr>
          <w:trHeight w:val="30"/>
        </w:trPr>
        <w:tc>
          <w:tcPr>
            <w:tcW w:w="3435" w:type="dxa"/>
            <w:tcBorders>
              <w:top w:val="nil"/>
              <w:left w:val="single" w:sz="6" w:space="0" w:color="000000"/>
              <w:bottom w:val="nil"/>
              <w:right w:val="nil"/>
              <w:tl2br w:val="nil"/>
              <w:tr2bl w:val="nil"/>
            </w:tcBorders>
            <w:shd w:val="clear" w:color="auto" w:fill="FFFFFF"/>
            <w:tcMar>
              <w:left w:w="115" w:type="dxa"/>
              <w:right w:w="115" w:type="dxa"/>
            </w:tcMar>
            <w:vAlign w:val="bottom"/>
          </w:tcPr>
          <w:p w14:paraId="7871DB7F" w14:textId="77777777" w:rsidR="00724034" w:rsidRDefault="00724034">
            <w:pPr>
              <w:rPr>
                <w:rFonts w:ascii="Arial" w:eastAsia="Arial" w:hAnsi="Arial" w:cs="Arial"/>
                <w:color w:val="000000"/>
                <w:sz w:val="16"/>
              </w:rPr>
            </w:pPr>
          </w:p>
        </w:tc>
        <w:tc>
          <w:tcPr>
            <w:tcW w:w="975" w:type="dxa"/>
            <w:tcBorders>
              <w:top w:val="nil"/>
              <w:left w:val="nil"/>
              <w:bottom w:val="nil"/>
              <w:right w:val="nil"/>
              <w:tl2br w:val="nil"/>
              <w:tr2bl w:val="nil"/>
            </w:tcBorders>
            <w:shd w:val="clear" w:color="auto" w:fill="FFFFFF"/>
            <w:tcMar>
              <w:left w:w="115" w:type="dxa"/>
              <w:right w:w="115" w:type="dxa"/>
            </w:tcMar>
            <w:vAlign w:val="bottom"/>
          </w:tcPr>
          <w:p w14:paraId="42FE8488" w14:textId="77777777" w:rsidR="00724034" w:rsidRDefault="00724034">
            <w:pPr>
              <w:jc w:val="right"/>
              <w:rPr>
                <w:rFonts w:ascii="Arial" w:eastAsia="Arial" w:hAnsi="Arial" w:cs="Arial"/>
                <w:color w:val="000000"/>
                <w:sz w:val="16"/>
                <w:vertAlign w:val="superscript"/>
              </w:rPr>
            </w:pPr>
          </w:p>
        </w:tc>
        <w:tc>
          <w:tcPr>
            <w:tcW w:w="975" w:type="dxa"/>
            <w:tcBorders>
              <w:top w:val="nil"/>
              <w:left w:val="nil"/>
              <w:bottom w:val="nil"/>
              <w:right w:val="nil"/>
              <w:tl2br w:val="nil"/>
              <w:tr2bl w:val="nil"/>
            </w:tcBorders>
            <w:shd w:val="clear" w:color="auto" w:fill="FFFF00"/>
            <w:tcMar>
              <w:left w:w="115" w:type="dxa"/>
              <w:right w:w="115" w:type="dxa"/>
            </w:tcMar>
            <w:vAlign w:val="bottom"/>
          </w:tcPr>
          <w:p w14:paraId="392F36BD" w14:textId="77777777" w:rsidR="00724034" w:rsidRDefault="00724034">
            <w:pPr>
              <w:jc w:val="right"/>
              <w:rPr>
                <w:rFonts w:ascii="Arial" w:eastAsia="Arial" w:hAnsi="Arial" w:cs="Arial"/>
                <w:color w:val="000000"/>
                <w:sz w:val="16"/>
                <w:vertAlign w:val="superscript"/>
              </w:rPr>
            </w:pPr>
          </w:p>
        </w:tc>
        <w:tc>
          <w:tcPr>
            <w:tcW w:w="975" w:type="dxa"/>
            <w:tcBorders>
              <w:top w:val="nil"/>
              <w:left w:val="nil"/>
              <w:bottom w:val="nil"/>
              <w:right w:val="nil"/>
              <w:tl2br w:val="nil"/>
              <w:tr2bl w:val="nil"/>
            </w:tcBorders>
            <w:shd w:val="clear" w:color="auto" w:fill="FFFFFF"/>
            <w:tcMar>
              <w:left w:w="115" w:type="dxa"/>
              <w:right w:w="115" w:type="dxa"/>
            </w:tcMar>
            <w:vAlign w:val="bottom"/>
          </w:tcPr>
          <w:p w14:paraId="6353C8A0" w14:textId="77777777" w:rsidR="00724034" w:rsidRDefault="00724034">
            <w:pPr>
              <w:jc w:val="right"/>
              <w:rPr>
                <w:rFonts w:ascii="Arial" w:eastAsia="Arial" w:hAnsi="Arial" w:cs="Arial"/>
                <w:color w:val="000000"/>
                <w:sz w:val="16"/>
                <w:vertAlign w:val="superscript"/>
              </w:rPr>
            </w:pPr>
          </w:p>
        </w:tc>
        <w:tc>
          <w:tcPr>
            <w:tcW w:w="975" w:type="dxa"/>
            <w:tcBorders>
              <w:top w:val="nil"/>
              <w:left w:val="nil"/>
              <w:bottom w:val="nil"/>
              <w:right w:val="nil"/>
              <w:tl2br w:val="nil"/>
              <w:tr2bl w:val="nil"/>
            </w:tcBorders>
            <w:shd w:val="clear" w:color="auto" w:fill="FFFFFF"/>
            <w:tcMar>
              <w:left w:w="115" w:type="dxa"/>
              <w:right w:w="115" w:type="dxa"/>
            </w:tcMar>
            <w:vAlign w:val="bottom"/>
          </w:tcPr>
          <w:p w14:paraId="20448568" w14:textId="77777777" w:rsidR="00724034" w:rsidRDefault="00724034">
            <w:pPr>
              <w:jc w:val="right"/>
              <w:rPr>
                <w:rFonts w:ascii="Arial" w:eastAsia="Arial" w:hAnsi="Arial" w:cs="Arial"/>
                <w:color w:val="000000"/>
                <w:sz w:val="16"/>
                <w:vertAlign w:val="superscript"/>
              </w:rPr>
            </w:pPr>
          </w:p>
        </w:tc>
        <w:tc>
          <w:tcPr>
            <w:tcW w:w="975" w:type="dxa"/>
            <w:tcBorders>
              <w:top w:val="nil"/>
              <w:left w:val="nil"/>
              <w:bottom w:val="nil"/>
              <w:right w:val="single" w:sz="6" w:space="0" w:color="000000"/>
              <w:tl2br w:val="nil"/>
              <w:tr2bl w:val="nil"/>
            </w:tcBorders>
            <w:shd w:val="clear" w:color="auto" w:fill="FFFFFF"/>
            <w:tcMar>
              <w:left w:w="115" w:type="dxa"/>
              <w:right w:w="115" w:type="dxa"/>
            </w:tcMar>
            <w:vAlign w:val="bottom"/>
          </w:tcPr>
          <w:p w14:paraId="7FBEB41B" w14:textId="77777777" w:rsidR="00724034" w:rsidRDefault="00724034">
            <w:pPr>
              <w:jc w:val="right"/>
              <w:rPr>
                <w:rFonts w:ascii="Arial" w:eastAsia="Arial" w:hAnsi="Arial" w:cs="Arial"/>
                <w:color w:val="000000"/>
                <w:sz w:val="16"/>
                <w:vertAlign w:val="superscript"/>
              </w:rPr>
            </w:pPr>
          </w:p>
        </w:tc>
      </w:tr>
      <w:tr w:rsidR="00724034" w14:paraId="0996388B" w14:textId="77777777">
        <w:tblPrEx>
          <w:tblLook w:val="04A0" w:firstRow="1" w:lastRow="0" w:firstColumn="1" w:lastColumn="0" w:noHBand="0" w:noVBand="1"/>
        </w:tblPrEx>
        <w:trPr>
          <w:trHeight w:val="225"/>
        </w:trPr>
        <w:tc>
          <w:tcPr>
            <w:tcW w:w="3435" w:type="dxa"/>
            <w:tcBorders>
              <w:top w:val="nil"/>
              <w:left w:val="single" w:sz="6" w:space="0" w:color="000000"/>
              <w:bottom w:val="nil"/>
              <w:right w:val="nil"/>
              <w:tl2br w:val="nil"/>
              <w:tr2bl w:val="nil"/>
            </w:tcBorders>
            <w:shd w:val="clear" w:color="auto" w:fill="FFFFFF"/>
            <w:tcMar>
              <w:left w:w="115" w:type="dxa"/>
              <w:right w:w="115" w:type="dxa"/>
            </w:tcMar>
            <w:vAlign w:val="bottom"/>
          </w:tcPr>
          <w:p w14:paraId="5881190C" w14:textId="77777777" w:rsidR="00724034" w:rsidRDefault="00FB7D0B">
            <w:pPr>
              <w:rPr>
                <w:rFonts w:ascii="Arial" w:eastAsia="Arial" w:hAnsi="Arial" w:cs="Arial"/>
                <w:color w:val="000000"/>
                <w:sz w:val="16"/>
                <w:vertAlign w:val="superscript"/>
              </w:rPr>
            </w:pPr>
            <w:r>
              <w:rPr>
                <w:rFonts w:ascii="Arial" w:eastAsia="Arial" w:hAnsi="Arial" w:cs="Arial"/>
                <w:i/>
                <w:color w:val="000000"/>
                <w:sz w:val="16"/>
              </w:rPr>
              <w:t xml:space="preserve">Quality: </w:t>
            </w:r>
            <w:r>
              <w:rPr>
                <w:rFonts w:ascii="Arial" w:eastAsia="Arial" w:hAnsi="Arial" w:cs="Arial"/>
                <w:color w:val="000000"/>
                <w:sz w:val="16"/>
              </w:rPr>
              <w:t>Error rates SRCA accounts</w:t>
            </w:r>
          </w:p>
        </w:tc>
        <w:tc>
          <w:tcPr>
            <w:tcW w:w="975" w:type="dxa"/>
            <w:tcBorders>
              <w:top w:val="nil"/>
              <w:left w:val="nil"/>
              <w:bottom w:val="nil"/>
              <w:right w:val="nil"/>
              <w:tl2br w:val="nil"/>
              <w:tr2bl w:val="nil"/>
            </w:tcBorders>
            <w:shd w:val="clear" w:color="auto" w:fill="FFFFFF"/>
            <w:tcMar>
              <w:left w:w="115" w:type="dxa"/>
              <w:right w:w="115" w:type="dxa"/>
            </w:tcMar>
            <w:vAlign w:val="bottom"/>
          </w:tcPr>
          <w:p w14:paraId="6BAAC4B6" w14:textId="77777777" w:rsidR="00724034" w:rsidRDefault="00FB7D0B">
            <w:pPr>
              <w:jc w:val="right"/>
              <w:rPr>
                <w:rFonts w:ascii="Arial" w:eastAsia="Arial" w:hAnsi="Arial" w:cs="Arial"/>
                <w:i/>
                <w:color w:val="000000"/>
                <w:sz w:val="16"/>
                <w:vertAlign w:val="superscript"/>
              </w:rPr>
            </w:pPr>
            <w:r>
              <w:rPr>
                <w:rFonts w:ascii="Arial" w:eastAsia="Arial" w:hAnsi="Arial" w:cs="Arial"/>
                <w:color w:val="000000"/>
                <w:sz w:val="16"/>
              </w:rPr>
              <w:t>&lt; 5%</w:t>
            </w:r>
          </w:p>
        </w:tc>
        <w:tc>
          <w:tcPr>
            <w:tcW w:w="975" w:type="dxa"/>
            <w:tcBorders>
              <w:top w:val="nil"/>
              <w:left w:val="nil"/>
              <w:bottom w:val="nil"/>
              <w:right w:val="nil"/>
              <w:tl2br w:val="nil"/>
              <w:tr2bl w:val="nil"/>
            </w:tcBorders>
            <w:shd w:val="clear" w:color="auto" w:fill="FFFF00"/>
            <w:tcMar>
              <w:left w:w="115" w:type="dxa"/>
              <w:right w:w="115" w:type="dxa"/>
            </w:tcMar>
            <w:vAlign w:val="bottom"/>
          </w:tcPr>
          <w:p w14:paraId="114974C7" w14:textId="77777777" w:rsidR="00724034" w:rsidRDefault="00FB7D0B">
            <w:pPr>
              <w:jc w:val="right"/>
              <w:rPr>
                <w:rFonts w:ascii="Arial" w:eastAsia="Arial" w:hAnsi="Arial" w:cs="Arial"/>
                <w:color w:val="000000"/>
                <w:sz w:val="16"/>
              </w:rPr>
            </w:pPr>
            <w:r>
              <w:rPr>
                <w:rFonts w:ascii="Arial" w:eastAsia="Arial" w:hAnsi="Arial" w:cs="Arial"/>
                <w:color w:val="000000"/>
                <w:sz w:val="16"/>
              </w:rPr>
              <w:t>&lt; 5%</w:t>
            </w:r>
          </w:p>
        </w:tc>
        <w:tc>
          <w:tcPr>
            <w:tcW w:w="975" w:type="dxa"/>
            <w:tcBorders>
              <w:top w:val="nil"/>
              <w:left w:val="nil"/>
              <w:bottom w:val="nil"/>
              <w:right w:val="nil"/>
              <w:tl2br w:val="nil"/>
              <w:tr2bl w:val="nil"/>
            </w:tcBorders>
            <w:shd w:val="clear" w:color="auto" w:fill="FFFFFF"/>
            <w:tcMar>
              <w:left w:w="115" w:type="dxa"/>
              <w:right w:w="115" w:type="dxa"/>
            </w:tcMar>
            <w:vAlign w:val="bottom"/>
          </w:tcPr>
          <w:p w14:paraId="4A11B71B" w14:textId="77777777" w:rsidR="00724034" w:rsidRDefault="00FB7D0B">
            <w:pPr>
              <w:jc w:val="right"/>
              <w:rPr>
                <w:rFonts w:ascii="Arial" w:eastAsia="Arial" w:hAnsi="Arial" w:cs="Arial"/>
                <w:color w:val="000000"/>
                <w:sz w:val="16"/>
              </w:rPr>
            </w:pPr>
            <w:r>
              <w:rPr>
                <w:rFonts w:ascii="Arial" w:eastAsia="Arial" w:hAnsi="Arial" w:cs="Arial"/>
                <w:color w:val="000000"/>
                <w:sz w:val="16"/>
              </w:rPr>
              <w:t>&lt; 5%</w:t>
            </w:r>
          </w:p>
        </w:tc>
        <w:tc>
          <w:tcPr>
            <w:tcW w:w="975" w:type="dxa"/>
            <w:tcBorders>
              <w:top w:val="nil"/>
              <w:left w:val="nil"/>
              <w:bottom w:val="nil"/>
              <w:right w:val="nil"/>
              <w:tl2br w:val="nil"/>
              <w:tr2bl w:val="nil"/>
            </w:tcBorders>
            <w:shd w:val="clear" w:color="auto" w:fill="FFFFFF"/>
            <w:tcMar>
              <w:left w:w="115" w:type="dxa"/>
              <w:right w:w="115" w:type="dxa"/>
            </w:tcMar>
            <w:vAlign w:val="bottom"/>
          </w:tcPr>
          <w:p w14:paraId="24AA6538" w14:textId="77777777" w:rsidR="00724034" w:rsidRDefault="00FB7D0B">
            <w:pPr>
              <w:jc w:val="right"/>
              <w:rPr>
                <w:rFonts w:ascii="Arial" w:eastAsia="Arial" w:hAnsi="Arial" w:cs="Arial"/>
                <w:color w:val="000000"/>
                <w:sz w:val="16"/>
              </w:rPr>
            </w:pPr>
            <w:r>
              <w:rPr>
                <w:rFonts w:ascii="Arial" w:eastAsia="Arial" w:hAnsi="Arial" w:cs="Arial"/>
                <w:color w:val="000000"/>
                <w:sz w:val="16"/>
              </w:rPr>
              <w:t>&lt; 5%</w:t>
            </w:r>
          </w:p>
        </w:tc>
        <w:tc>
          <w:tcPr>
            <w:tcW w:w="975" w:type="dxa"/>
            <w:tcBorders>
              <w:top w:val="nil"/>
              <w:left w:val="nil"/>
              <w:bottom w:val="nil"/>
              <w:right w:val="single" w:sz="6" w:space="0" w:color="000000"/>
              <w:tl2br w:val="nil"/>
              <w:tr2bl w:val="nil"/>
            </w:tcBorders>
            <w:shd w:val="clear" w:color="auto" w:fill="FFFFFF"/>
            <w:tcMar>
              <w:left w:w="115" w:type="dxa"/>
              <w:right w:w="115" w:type="dxa"/>
            </w:tcMar>
            <w:vAlign w:val="bottom"/>
          </w:tcPr>
          <w:p w14:paraId="37F9EA17" w14:textId="77777777" w:rsidR="00724034" w:rsidRDefault="00FB7D0B">
            <w:pPr>
              <w:jc w:val="right"/>
              <w:rPr>
                <w:rFonts w:ascii="Arial" w:eastAsia="Arial" w:hAnsi="Arial" w:cs="Arial"/>
                <w:color w:val="000000"/>
                <w:sz w:val="16"/>
              </w:rPr>
            </w:pPr>
            <w:r>
              <w:rPr>
                <w:rFonts w:ascii="Arial" w:eastAsia="Arial" w:hAnsi="Arial" w:cs="Arial"/>
                <w:color w:val="000000"/>
                <w:sz w:val="16"/>
              </w:rPr>
              <w:t>&lt; 5%</w:t>
            </w:r>
          </w:p>
        </w:tc>
      </w:tr>
      <w:tr w:rsidR="00724034" w14:paraId="63B3DA31" w14:textId="77777777">
        <w:tblPrEx>
          <w:tblLook w:val="04A0" w:firstRow="1" w:lastRow="0" w:firstColumn="1" w:lastColumn="0" w:noHBand="0" w:noVBand="1"/>
        </w:tblPrEx>
        <w:trPr>
          <w:trHeight w:val="30"/>
        </w:trPr>
        <w:tc>
          <w:tcPr>
            <w:tcW w:w="3435" w:type="dxa"/>
            <w:tcBorders>
              <w:top w:val="nil"/>
              <w:left w:val="single" w:sz="6" w:space="0" w:color="000000"/>
              <w:bottom w:val="nil"/>
              <w:right w:val="nil"/>
              <w:tl2br w:val="nil"/>
              <w:tr2bl w:val="nil"/>
            </w:tcBorders>
            <w:shd w:val="clear" w:color="auto" w:fill="FFFFFF"/>
            <w:tcMar>
              <w:left w:w="115" w:type="dxa"/>
              <w:right w:w="115" w:type="dxa"/>
            </w:tcMar>
            <w:vAlign w:val="bottom"/>
          </w:tcPr>
          <w:p w14:paraId="6303EB36" w14:textId="77777777" w:rsidR="00724034" w:rsidRDefault="00724034">
            <w:pPr>
              <w:rPr>
                <w:rFonts w:ascii="Arial" w:eastAsia="Arial" w:hAnsi="Arial" w:cs="Arial"/>
                <w:color w:val="000000"/>
                <w:sz w:val="16"/>
              </w:rPr>
            </w:pPr>
          </w:p>
        </w:tc>
        <w:tc>
          <w:tcPr>
            <w:tcW w:w="975" w:type="dxa"/>
            <w:tcBorders>
              <w:top w:val="nil"/>
              <w:left w:val="nil"/>
              <w:bottom w:val="nil"/>
              <w:right w:val="nil"/>
              <w:tl2br w:val="nil"/>
              <w:tr2bl w:val="nil"/>
            </w:tcBorders>
            <w:shd w:val="clear" w:color="auto" w:fill="FFFFFF"/>
            <w:tcMar>
              <w:left w:w="115" w:type="dxa"/>
              <w:right w:w="115" w:type="dxa"/>
            </w:tcMar>
            <w:vAlign w:val="bottom"/>
          </w:tcPr>
          <w:p w14:paraId="286351BB" w14:textId="77777777" w:rsidR="00724034" w:rsidRDefault="00724034">
            <w:pPr>
              <w:jc w:val="right"/>
              <w:rPr>
                <w:rFonts w:ascii="Arial" w:eastAsia="Arial" w:hAnsi="Arial" w:cs="Arial"/>
                <w:color w:val="000000"/>
                <w:sz w:val="16"/>
                <w:vertAlign w:val="superscript"/>
              </w:rPr>
            </w:pPr>
          </w:p>
        </w:tc>
        <w:tc>
          <w:tcPr>
            <w:tcW w:w="975" w:type="dxa"/>
            <w:tcBorders>
              <w:top w:val="nil"/>
              <w:left w:val="nil"/>
              <w:bottom w:val="nil"/>
              <w:right w:val="nil"/>
              <w:tl2br w:val="nil"/>
              <w:tr2bl w:val="nil"/>
            </w:tcBorders>
            <w:shd w:val="clear" w:color="auto" w:fill="FFFF00"/>
            <w:tcMar>
              <w:left w:w="115" w:type="dxa"/>
              <w:right w:w="115" w:type="dxa"/>
            </w:tcMar>
            <w:vAlign w:val="bottom"/>
          </w:tcPr>
          <w:p w14:paraId="054347FB" w14:textId="77777777" w:rsidR="00724034" w:rsidRDefault="00724034">
            <w:pPr>
              <w:jc w:val="right"/>
              <w:rPr>
                <w:rFonts w:ascii="Arial" w:eastAsia="Arial" w:hAnsi="Arial" w:cs="Arial"/>
                <w:color w:val="000000"/>
                <w:sz w:val="16"/>
                <w:vertAlign w:val="superscript"/>
              </w:rPr>
            </w:pPr>
          </w:p>
        </w:tc>
        <w:tc>
          <w:tcPr>
            <w:tcW w:w="975" w:type="dxa"/>
            <w:tcBorders>
              <w:top w:val="nil"/>
              <w:left w:val="nil"/>
              <w:bottom w:val="nil"/>
              <w:right w:val="nil"/>
              <w:tl2br w:val="nil"/>
              <w:tr2bl w:val="nil"/>
            </w:tcBorders>
            <w:shd w:val="clear" w:color="auto" w:fill="FFFFFF"/>
            <w:tcMar>
              <w:left w:w="115" w:type="dxa"/>
              <w:right w:w="115" w:type="dxa"/>
            </w:tcMar>
            <w:vAlign w:val="bottom"/>
          </w:tcPr>
          <w:p w14:paraId="012D21E2" w14:textId="77777777" w:rsidR="00724034" w:rsidRDefault="00724034">
            <w:pPr>
              <w:jc w:val="right"/>
              <w:rPr>
                <w:rFonts w:ascii="Arial" w:eastAsia="Arial" w:hAnsi="Arial" w:cs="Arial"/>
                <w:color w:val="000000"/>
                <w:sz w:val="16"/>
                <w:vertAlign w:val="superscript"/>
              </w:rPr>
            </w:pPr>
          </w:p>
        </w:tc>
        <w:tc>
          <w:tcPr>
            <w:tcW w:w="975" w:type="dxa"/>
            <w:tcBorders>
              <w:top w:val="nil"/>
              <w:left w:val="nil"/>
              <w:bottom w:val="nil"/>
              <w:right w:val="nil"/>
              <w:tl2br w:val="nil"/>
              <w:tr2bl w:val="nil"/>
            </w:tcBorders>
            <w:shd w:val="clear" w:color="auto" w:fill="FFFFFF"/>
            <w:tcMar>
              <w:left w:w="115" w:type="dxa"/>
              <w:right w:w="115" w:type="dxa"/>
            </w:tcMar>
            <w:vAlign w:val="bottom"/>
          </w:tcPr>
          <w:p w14:paraId="3B798955" w14:textId="77777777" w:rsidR="00724034" w:rsidRDefault="00724034">
            <w:pPr>
              <w:jc w:val="right"/>
              <w:rPr>
                <w:rFonts w:ascii="Arial" w:eastAsia="Arial" w:hAnsi="Arial" w:cs="Arial"/>
                <w:color w:val="000000"/>
                <w:sz w:val="16"/>
                <w:vertAlign w:val="superscript"/>
              </w:rPr>
            </w:pPr>
          </w:p>
        </w:tc>
        <w:tc>
          <w:tcPr>
            <w:tcW w:w="975" w:type="dxa"/>
            <w:tcBorders>
              <w:top w:val="nil"/>
              <w:left w:val="nil"/>
              <w:bottom w:val="nil"/>
              <w:right w:val="single" w:sz="6" w:space="0" w:color="000000"/>
              <w:tl2br w:val="nil"/>
              <w:tr2bl w:val="nil"/>
            </w:tcBorders>
            <w:shd w:val="clear" w:color="auto" w:fill="FFFFFF"/>
            <w:tcMar>
              <w:left w:w="115" w:type="dxa"/>
              <w:right w:w="115" w:type="dxa"/>
            </w:tcMar>
            <w:vAlign w:val="bottom"/>
          </w:tcPr>
          <w:p w14:paraId="40965E7E" w14:textId="77777777" w:rsidR="00724034" w:rsidRDefault="00724034">
            <w:pPr>
              <w:jc w:val="right"/>
              <w:rPr>
                <w:rFonts w:ascii="Arial" w:eastAsia="Arial" w:hAnsi="Arial" w:cs="Arial"/>
                <w:color w:val="000000"/>
                <w:sz w:val="16"/>
                <w:vertAlign w:val="superscript"/>
              </w:rPr>
            </w:pPr>
          </w:p>
        </w:tc>
      </w:tr>
      <w:tr w:rsidR="00724034" w14:paraId="76C1430B" w14:textId="77777777">
        <w:tblPrEx>
          <w:tblLook w:val="04A0" w:firstRow="1" w:lastRow="0" w:firstColumn="1" w:lastColumn="0" w:noHBand="0" w:noVBand="1"/>
        </w:tblPrEx>
        <w:trPr>
          <w:trHeight w:val="450"/>
        </w:trPr>
        <w:tc>
          <w:tcPr>
            <w:tcW w:w="3435" w:type="dxa"/>
            <w:tcBorders>
              <w:top w:val="nil"/>
              <w:left w:val="single" w:sz="6" w:space="0" w:color="000000"/>
              <w:bottom w:val="nil"/>
              <w:right w:val="nil"/>
              <w:tl2br w:val="nil"/>
              <w:tr2bl w:val="nil"/>
            </w:tcBorders>
            <w:shd w:val="clear" w:color="auto" w:fill="FFFFFF"/>
            <w:tcMar>
              <w:left w:w="115" w:type="dxa"/>
              <w:right w:w="115" w:type="dxa"/>
            </w:tcMar>
            <w:vAlign w:val="bottom"/>
          </w:tcPr>
          <w:p w14:paraId="05C68284" w14:textId="77777777" w:rsidR="00724034" w:rsidRDefault="00FB7D0B">
            <w:pPr>
              <w:rPr>
                <w:rFonts w:ascii="Arial" w:eastAsia="Arial" w:hAnsi="Arial" w:cs="Arial"/>
                <w:color w:val="000000"/>
                <w:sz w:val="16"/>
                <w:vertAlign w:val="superscript"/>
              </w:rPr>
            </w:pPr>
            <w:r>
              <w:rPr>
                <w:rFonts w:ascii="Arial" w:eastAsia="Arial" w:hAnsi="Arial" w:cs="Arial"/>
                <w:i/>
                <w:color w:val="000000"/>
                <w:sz w:val="16"/>
              </w:rPr>
              <w:t xml:space="preserve">Quality: </w:t>
            </w:r>
            <w:r>
              <w:rPr>
                <w:rFonts w:ascii="Arial" w:eastAsia="Arial" w:hAnsi="Arial" w:cs="Arial"/>
                <w:color w:val="000000"/>
                <w:sz w:val="16"/>
              </w:rPr>
              <w:t>Error rates MRCA rehabilitation assessments</w:t>
            </w:r>
          </w:p>
        </w:tc>
        <w:tc>
          <w:tcPr>
            <w:tcW w:w="975" w:type="dxa"/>
            <w:tcBorders>
              <w:top w:val="nil"/>
              <w:left w:val="nil"/>
              <w:bottom w:val="nil"/>
              <w:right w:val="nil"/>
              <w:tl2br w:val="nil"/>
              <w:tr2bl w:val="nil"/>
            </w:tcBorders>
            <w:shd w:val="clear" w:color="auto" w:fill="FFFFFF"/>
            <w:tcMar>
              <w:left w:w="115" w:type="dxa"/>
              <w:right w:w="115" w:type="dxa"/>
            </w:tcMar>
            <w:vAlign w:val="bottom"/>
          </w:tcPr>
          <w:p w14:paraId="2B89A6F8" w14:textId="77777777" w:rsidR="00724034" w:rsidRDefault="00FB7D0B">
            <w:pPr>
              <w:jc w:val="right"/>
              <w:rPr>
                <w:rFonts w:ascii="Arial" w:eastAsia="Arial" w:hAnsi="Arial" w:cs="Arial"/>
                <w:i/>
                <w:color w:val="000000"/>
                <w:sz w:val="16"/>
                <w:vertAlign w:val="superscript"/>
              </w:rPr>
            </w:pPr>
            <w:r>
              <w:rPr>
                <w:rFonts w:ascii="Arial" w:eastAsia="Arial" w:hAnsi="Arial" w:cs="Arial"/>
                <w:color w:val="000000"/>
                <w:sz w:val="16"/>
              </w:rPr>
              <w:t>&lt; 5%</w:t>
            </w:r>
          </w:p>
        </w:tc>
        <w:tc>
          <w:tcPr>
            <w:tcW w:w="975" w:type="dxa"/>
            <w:tcBorders>
              <w:top w:val="nil"/>
              <w:left w:val="nil"/>
              <w:bottom w:val="nil"/>
              <w:right w:val="nil"/>
              <w:tl2br w:val="nil"/>
              <w:tr2bl w:val="nil"/>
            </w:tcBorders>
            <w:shd w:val="clear" w:color="auto" w:fill="FFFF00"/>
            <w:tcMar>
              <w:left w:w="115" w:type="dxa"/>
              <w:right w:w="115" w:type="dxa"/>
            </w:tcMar>
            <w:vAlign w:val="bottom"/>
          </w:tcPr>
          <w:p w14:paraId="5AD74797" w14:textId="77777777" w:rsidR="00724034" w:rsidRDefault="00FB7D0B">
            <w:pPr>
              <w:jc w:val="right"/>
              <w:rPr>
                <w:rFonts w:ascii="Arial" w:eastAsia="Arial" w:hAnsi="Arial" w:cs="Arial"/>
                <w:color w:val="000000"/>
                <w:sz w:val="16"/>
              </w:rPr>
            </w:pPr>
            <w:r>
              <w:rPr>
                <w:rFonts w:ascii="Arial" w:eastAsia="Arial" w:hAnsi="Arial" w:cs="Arial"/>
                <w:color w:val="000000"/>
                <w:sz w:val="16"/>
              </w:rPr>
              <w:t>&lt; 5%</w:t>
            </w:r>
          </w:p>
        </w:tc>
        <w:tc>
          <w:tcPr>
            <w:tcW w:w="975" w:type="dxa"/>
            <w:tcBorders>
              <w:top w:val="nil"/>
              <w:left w:val="nil"/>
              <w:bottom w:val="nil"/>
              <w:right w:val="nil"/>
              <w:tl2br w:val="nil"/>
              <w:tr2bl w:val="nil"/>
            </w:tcBorders>
            <w:shd w:val="clear" w:color="auto" w:fill="FFFFFF"/>
            <w:tcMar>
              <w:left w:w="115" w:type="dxa"/>
              <w:right w:w="115" w:type="dxa"/>
            </w:tcMar>
            <w:vAlign w:val="bottom"/>
          </w:tcPr>
          <w:p w14:paraId="0FE26159" w14:textId="77777777" w:rsidR="00724034" w:rsidRDefault="00FB7D0B">
            <w:pPr>
              <w:jc w:val="right"/>
              <w:rPr>
                <w:rFonts w:ascii="Arial" w:eastAsia="Arial" w:hAnsi="Arial" w:cs="Arial"/>
                <w:color w:val="000000"/>
                <w:sz w:val="16"/>
              </w:rPr>
            </w:pPr>
            <w:r>
              <w:rPr>
                <w:rFonts w:ascii="Arial" w:eastAsia="Arial" w:hAnsi="Arial" w:cs="Arial"/>
                <w:color w:val="000000"/>
                <w:sz w:val="16"/>
              </w:rPr>
              <w:t>&lt; 5%</w:t>
            </w:r>
          </w:p>
        </w:tc>
        <w:tc>
          <w:tcPr>
            <w:tcW w:w="975" w:type="dxa"/>
            <w:tcBorders>
              <w:top w:val="nil"/>
              <w:left w:val="nil"/>
              <w:bottom w:val="nil"/>
              <w:right w:val="nil"/>
              <w:tl2br w:val="nil"/>
              <w:tr2bl w:val="nil"/>
            </w:tcBorders>
            <w:shd w:val="clear" w:color="auto" w:fill="FFFFFF"/>
            <w:tcMar>
              <w:left w:w="115" w:type="dxa"/>
              <w:right w:w="115" w:type="dxa"/>
            </w:tcMar>
            <w:vAlign w:val="bottom"/>
          </w:tcPr>
          <w:p w14:paraId="7ABD3F9D" w14:textId="77777777" w:rsidR="00724034" w:rsidRDefault="00FB7D0B">
            <w:pPr>
              <w:jc w:val="right"/>
              <w:rPr>
                <w:rFonts w:ascii="Arial" w:eastAsia="Arial" w:hAnsi="Arial" w:cs="Arial"/>
                <w:color w:val="000000"/>
                <w:sz w:val="16"/>
              </w:rPr>
            </w:pPr>
            <w:r>
              <w:rPr>
                <w:rFonts w:ascii="Arial" w:eastAsia="Arial" w:hAnsi="Arial" w:cs="Arial"/>
                <w:color w:val="000000"/>
                <w:sz w:val="16"/>
              </w:rPr>
              <w:t>&lt; 5%</w:t>
            </w:r>
          </w:p>
        </w:tc>
        <w:tc>
          <w:tcPr>
            <w:tcW w:w="975" w:type="dxa"/>
            <w:tcBorders>
              <w:top w:val="nil"/>
              <w:left w:val="nil"/>
              <w:bottom w:val="nil"/>
              <w:right w:val="single" w:sz="6" w:space="0" w:color="000000"/>
              <w:tl2br w:val="nil"/>
              <w:tr2bl w:val="nil"/>
            </w:tcBorders>
            <w:shd w:val="clear" w:color="auto" w:fill="FFFFFF"/>
            <w:tcMar>
              <w:left w:w="115" w:type="dxa"/>
              <w:right w:w="115" w:type="dxa"/>
            </w:tcMar>
            <w:vAlign w:val="bottom"/>
          </w:tcPr>
          <w:p w14:paraId="493E5149" w14:textId="77777777" w:rsidR="00724034" w:rsidRDefault="00FB7D0B">
            <w:pPr>
              <w:jc w:val="right"/>
              <w:rPr>
                <w:rFonts w:ascii="Arial" w:eastAsia="Arial" w:hAnsi="Arial" w:cs="Arial"/>
                <w:color w:val="000000"/>
                <w:sz w:val="16"/>
              </w:rPr>
            </w:pPr>
            <w:r>
              <w:rPr>
                <w:rFonts w:ascii="Arial" w:eastAsia="Arial" w:hAnsi="Arial" w:cs="Arial"/>
                <w:color w:val="000000"/>
                <w:sz w:val="16"/>
              </w:rPr>
              <w:t>&lt; 5%</w:t>
            </w:r>
          </w:p>
        </w:tc>
      </w:tr>
      <w:tr w:rsidR="00724034" w14:paraId="76DCB902" w14:textId="77777777">
        <w:tblPrEx>
          <w:tblLook w:val="04A0" w:firstRow="1" w:lastRow="0" w:firstColumn="1" w:lastColumn="0" w:noHBand="0" w:noVBand="1"/>
        </w:tblPrEx>
        <w:trPr>
          <w:trHeight w:val="30"/>
        </w:trPr>
        <w:tc>
          <w:tcPr>
            <w:tcW w:w="3435" w:type="dxa"/>
            <w:tcBorders>
              <w:top w:val="nil"/>
              <w:left w:val="single" w:sz="6" w:space="0" w:color="000000"/>
              <w:bottom w:val="nil"/>
              <w:right w:val="nil"/>
              <w:tl2br w:val="nil"/>
              <w:tr2bl w:val="nil"/>
            </w:tcBorders>
            <w:shd w:val="clear" w:color="auto" w:fill="FFFFFF"/>
            <w:tcMar>
              <w:left w:w="115" w:type="dxa"/>
              <w:right w:w="115" w:type="dxa"/>
            </w:tcMar>
            <w:vAlign w:val="bottom"/>
          </w:tcPr>
          <w:p w14:paraId="6F3601EB" w14:textId="77777777" w:rsidR="00724034" w:rsidRDefault="00724034">
            <w:pPr>
              <w:rPr>
                <w:rFonts w:ascii="Arial" w:eastAsia="Arial" w:hAnsi="Arial" w:cs="Arial"/>
                <w:color w:val="000000"/>
                <w:sz w:val="16"/>
              </w:rPr>
            </w:pPr>
          </w:p>
        </w:tc>
        <w:tc>
          <w:tcPr>
            <w:tcW w:w="975" w:type="dxa"/>
            <w:tcBorders>
              <w:top w:val="nil"/>
              <w:left w:val="nil"/>
              <w:bottom w:val="nil"/>
              <w:right w:val="nil"/>
              <w:tl2br w:val="nil"/>
              <w:tr2bl w:val="nil"/>
            </w:tcBorders>
            <w:shd w:val="clear" w:color="auto" w:fill="FFFFFF"/>
            <w:tcMar>
              <w:left w:w="115" w:type="dxa"/>
              <w:right w:w="115" w:type="dxa"/>
            </w:tcMar>
            <w:vAlign w:val="bottom"/>
          </w:tcPr>
          <w:p w14:paraId="05F47735" w14:textId="77777777" w:rsidR="00724034" w:rsidRDefault="00724034">
            <w:pPr>
              <w:jc w:val="right"/>
              <w:rPr>
                <w:rFonts w:ascii="Arial" w:eastAsia="Arial" w:hAnsi="Arial" w:cs="Arial"/>
                <w:color w:val="000000"/>
                <w:sz w:val="16"/>
                <w:vertAlign w:val="superscript"/>
              </w:rPr>
            </w:pPr>
          </w:p>
        </w:tc>
        <w:tc>
          <w:tcPr>
            <w:tcW w:w="975" w:type="dxa"/>
            <w:tcBorders>
              <w:top w:val="nil"/>
              <w:left w:val="nil"/>
              <w:bottom w:val="nil"/>
              <w:right w:val="nil"/>
              <w:tl2br w:val="nil"/>
              <w:tr2bl w:val="nil"/>
            </w:tcBorders>
            <w:shd w:val="clear" w:color="auto" w:fill="FFFF00"/>
            <w:tcMar>
              <w:left w:w="115" w:type="dxa"/>
              <w:right w:w="115" w:type="dxa"/>
            </w:tcMar>
            <w:vAlign w:val="bottom"/>
          </w:tcPr>
          <w:p w14:paraId="0E8DCFD9" w14:textId="77777777" w:rsidR="00724034" w:rsidRDefault="00724034">
            <w:pPr>
              <w:jc w:val="right"/>
              <w:rPr>
                <w:rFonts w:ascii="Arial" w:eastAsia="Arial" w:hAnsi="Arial" w:cs="Arial"/>
                <w:color w:val="000000"/>
                <w:sz w:val="16"/>
                <w:vertAlign w:val="superscript"/>
              </w:rPr>
            </w:pPr>
          </w:p>
        </w:tc>
        <w:tc>
          <w:tcPr>
            <w:tcW w:w="975" w:type="dxa"/>
            <w:tcBorders>
              <w:top w:val="nil"/>
              <w:left w:val="nil"/>
              <w:bottom w:val="nil"/>
              <w:right w:val="nil"/>
              <w:tl2br w:val="nil"/>
              <w:tr2bl w:val="nil"/>
            </w:tcBorders>
            <w:shd w:val="clear" w:color="auto" w:fill="FFFFFF"/>
            <w:tcMar>
              <w:left w:w="115" w:type="dxa"/>
              <w:right w:w="115" w:type="dxa"/>
            </w:tcMar>
            <w:vAlign w:val="bottom"/>
          </w:tcPr>
          <w:p w14:paraId="716B7605" w14:textId="77777777" w:rsidR="00724034" w:rsidRDefault="00724034">
            <w:pPr>
              <w:jc w:val="right"/>
              <w:rPr>
                <w:rFonts w:ascii="Arial" w:eastAsia="Arial" w:hAnsi="Arial" w:cs="Arial"/>
                <w:color w:val="000000"/>
                <w:sz w:val="16"/>
                <w:vertAlign w:val="superscript"/>
              </w:rPr>
            </w:pPr>
          </w:p>
        </w:tc>
        <w:tc>
          <w:tcPr>
            <w:tcW w:w="975" w:type="dxa"/>
            <w:tcBorders>
              <w:top w:val="nil"/>
              <w:left w:val="nil"/>
              <w:bottom w:val="nil"/>
              <w:right w:val="nil"/>
              <w:tl2br w:val="nil"/>
              <w:tr2bl w:val="nil"/>
            </w:tcBorders>
            <w:shd w:val="clear" w:color="auto" w:fill="FFFFFF"/>
            <w:tcMar>
              <w:left w:w="115" w:type="dxa"/>
              <w:right w:w="115" w:type="dxa"/>
            </w:tcMar>
            <w:vAlign w:val="bottom"/>
          </w:tcPr>
          <w:p w14:paraId="429B94E1" w14:textId="77777777" w:rsidR="00724034" w:rsidRDefault="00724034">
            <w:pPr>
              <w:jc w:val="right"/>
              <w:rPr>
                <w:rFonts w:ascii="Arial" w:eastAsia="Arial" w:hAnsi="Arial" w:cs="Arial"/>
                <w:color w:val="000000"/>
                <w:sz w:val="16"/>
                <w:vertAlign w:val="superscript"/>
              </w:rPr>
            </w:pPr>
          </w:p>
        </w:tc>
        <w:tc>
          <w:tcPr>
            <w:tcW w:w="975" w:type="dxa"/>
            <w:tcBorders>
              <w:top w:val="nil"/>
              <w:left w:val="nil"/>
              <w:bottom w:val="nil"/>
              <w:right w:val="single" w:sz="6" w:space="0" w:color="000000"/>
              <w:tl2br w:val="nil"/>
              <w:tr2bl w:val="nil"/>
            </w:tcBorders>
            <w:shd w:val="clear" w:color="auto" w:fill="FFFFFF"/>
            <w:tcMar>
              <w:left w:w="115" w:type="dxa"/>
              <w:right w:w="115" w:type="dxa"/>
            </w:tcMar>
            <w:vAlign w:val="bottom"/>
          </w:tcPr>
          <w:p w14:paraId="65AB4757" w14:textId="77777777" w:rsidR="00724034" w:rsidRDefault="00724034">
            <w:pPr>
              <w:jc w:val="right"/>
              <w:rPr>
                <w:rFonts w:ascii="Arial" w:eastAsia="Arial" w:hAnsi="Arial" w:cs="Arial"/>
                <w:color w:val="000000"/>
                <w:sz w:val="16"/>
                <w:vertAlign w:val="superscript"/>
              </w:rPr>
            </w:pPr>
          </w:p>
        </w:tc>
      </w:tr>
      <w:tr w:rsidR="00724034" w14:paraId="525AA41E" w14:textId="77777777">
        <w:tblPrEx>
          <w:tblLook w:val="04A0" w:firstRow="1" w:lastRow="0" w:firstColumn="1" w:lastColumn="0" w:noHBand="0" w:noVBand="1"/>
        </w:tblPrEx>
        <w:trPr>
          <w:trHeight w:val="450"/>
        </w:trPr>
        <w:tc>
          <w:tcPr>
            <w:tcW w:w="3435" w:type="dxa"/>
            <w:tcBorders>
              <w:top w:val="nil"/>
              <w:left w:val="single" w:sz="6" w:space="0" w:color="000000"/>
              <w:bottom w:val="single" w:sz="6" w:space="0" w:color="000000"/>
              <w:right w:val="nil"/>
              <w:tl2br w:val="nil"/>
              <w:tr2bl w:val="nil"/>
            </w:tcBorders>
            <w:shd w:val="clear" w:color="auto" w:fill="FFFFFF"/>
            <w:tcMar>
              <w:left w:w="115" w:type="dxa"/>
              <w:right w:w="115" w:type="dxa"/>
            </w:tcMar>
            <w:vAlign w:val="bottom"/>
          </w:tcPr>
          <w:p w14:paraId="0CB26ADB" w14:textId="77777777" w:rsidR="00724034" w:rsidRDefault="00FB7D0B">
            <w:pPr>
              <w:rPr>
                <w:rFonts w:ascii="Arial" w:eastAsia="Arial" w:hAnsi="Arial" w:cs="Arial"/>
                <w:color w:val="000000"/>
                <w:sz w:val="16"/>
                <w:vertAlign w:val="superscript"/>
              </w:rPr>
            </w:pPr>
            <w:r>
              <w:rPr>
                <w:rFonts w:ascii="Arial" w:eastAsia="Arial" w:hAnsi="Arial" w:cs="Arial"/>
                <w:i/>
                <w:color w:val="000000"/>
                <w:sz w:val="16"/>
              </w:rPr>
              <w:t xml:space="preserve">Quality: </w:t>
            </w:r>
            <w:r>
              <w:rPr>
                <w:rFonts w:ascii="Arial" w:eastAsia="Arial" w:hAnsi="Arial" w:cs="Arial"/>
                <w:color w:val="000000"/>
                <w:sz w:val="16"/>
              </w:rPr>
              <w:t>Error rate of MRCA accounts paid incorrectly</w:t>
            </w:r>
          </w:p>
        </w:tc>
        <w:tc>
          <w:tcPr>
            <w:tcW w:w="975"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33BA010B" w14:textId="77777777" w:rsidR="00724034" w:rsidRDefault="00FB7D0B">
            <w:pPr>
              <w:jc w:val="right"/>
              <w:rPr>
                <w:rFonts w:ascii="Arial" w:eastAsia="Arial" w:hAnsi="Arial" w:cs="Arial"/>
                <w:i/>
                <w:color w:val="000000"/>
                <w:sz w:val="16"/>
                <w:vertAlign w:val="superscript"/>
              </w:rPr>
            </w:pPr>
            <w:r>
              <w:rPr>
                <w:rFonts w:ascii="Arial" w:eastAsia="Arial" w:hAnsi="Arial" w:cs="Arial"/>
                <w:color w:val="000000"/>
                <w:sz w:val="16"/>
              </w:rPr>
              <w:t>&lt; 5%</w:t>
            </w:r>
          </w:p>
        </w:tc>
        <w:tc>
          <w:tcPr>
            <w:tcW w:w="975" w:type="dxa"/>
            <w:tcBorders>
              <w:top w:val="nil"/>
              <w:left w:val="nil"/>
              <w:bottom w:val="single" w:sz="6" w:space="0" w:color="000000"/>
              <w:right w:val="nil"/>
              <w:tl2br w:val="nil"/>
              <w:tr2bl w:val="nil"/>
            </w:tcBorders>
            <w:shd w:val="clear" w:color="auto" w:fill="FFFF00"/>
            <w:tcMar>
              <w:left w:w="115" w:type="dxa"/>
              <w:right w:w="115" w:type="dxa"/>
            </w:tcMar>
            <w:vAlign w:val="bottom"/>
          </w:tcPr>
          <w:p w14:paraId="01C6C04B" w14:textId="77777777" w:rsidR="00724034" w:rsidRDefault="00FB7D0B">
            <w:pPr>
              <w:jc w:val="right"/>
              <w:rPr>
                <w:rFonts w:ascii="Arial" w:eastAsia="Arial" w:hAnsi="Arial" w:cs="Arial"/>
                <w:color w:val="000000"/>
                <w:sz w:val="16"/>
              </w:rPr>
            </w:pPr>
            <w:r>
              <w:rPr>
                <w:rFonts w:ascii="Arial" w:eastAsia="Arial" w:hAnsi="Arial" w:cs="Arial"/>
                <w:color w:val="000000"/>
                <w:sz w:val="16"/>
              </w:rPr>
              <w:t>&lt; 5%</w:t>
            </w:r>
          </w:p>
        </w:tc>
        <w:tc>
          <w:tcPr>
            <w:tcW w:w="975"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40CBA0B0" w14:textId="77777777" w:rsidR="00724034" w:rsidRDefault="00FB7D0B">
            <w:pPr>
              <w:jc w:val="right"/>
              <w:rPr>
                <w:rFonts w:ascii="Arial" w:eastAsia="Arial" w:hAnsi="Arial" w:cs="Arial"/>
                <w:color w:val="000000"/>
                <w:sz w:val="16"/>
              </w:rPr>
            </w:pPr>
            <w:r>
              <w:rPr>
                <w:rFonts w:ascii="Arial" w:eastAsia="Arial" w:hAnsi="Arial" w:cs="Arial"/>
                <w:color w:val="000000"/>
                <w:sz w:val="16"/>
              </w:rPr>
              <w:t>&lt; 5%</w:t>
            </w:r>
          </w:p>
        </w:tc>
        <w:tc>
          <w:tcPr>
            <w:tcW w:w="975"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5EE0568E" w14:textId="77777777" w:rsidR="00724034" w:rsidRDefault="00FB7D0B">
            <w:pPr>
              <w:jc w:val="right"/>
              <w:rPr>
                <w:rFonts w:ascii="Arial" w:eastAsia="Arial" w:hAnsi="Arial" w:cs="Arial"/>
                <w:color w:val="000000"/>
                <w:sz w:val="16"/>
              </w:rPr>
            </w:pPr>
            <w:r>
              <w:rPr>
                <w:rFonts w:ascii="Arial" w:eastAsia="Arial" w:hAnsi="Arial" w:cs="Arial"/>
                <w:color w:val="000000"/>
                <w:sz w:val="16"/>
              </w:rPr>
              <w:t>&lt; 5%</w:t>
            </w:r>
          </w:p>
        </w:tc>
        <w:tc>
          <w:tcPr>
            <w:tcW w:w="975" w:type="dxa"/>
            <w:tcBorders>
              <w:top w:val="nil"/>
              <w:left w:val="nil"/>
              <w:bottom w:val="single" w:sz="6" w:space="0" w:color="000000"/>
              <w:right w:val="single" w:sz="6" w:space="0" w:color="000000"/>
              <w:tl2br w:val="nil"/>
              <w:tr2bl w:val="nil"/>
            </w:tcBorders>
            <w:shd w:val="clear" w:color="auto" w:fill="FFFFFF"/>
            <w:tcMar>
              <w:left w:w="115" w:type="dxa"/>
              <w:right w:w="115" w:type="dxa"/>
            </w:tcMar>
            <w:vAlign w:val="bottom"/>
          </w:tcPr>
          <w:p w14:paraId="5F657587" w14:textId="77777777" w:rsidR="00724034" w:rsidRDefault="00FB7D0B">
            <w:pPr>
              <w:jc w:val="right"/>
              <w:rPr>
                <w:rFonts w:ascii="Arial" w:eastAsia="Arial" w:hAnsi="Arial" w:cs="Arial"/>
                <w:color w:val="000000"/>
                <w:sz w:val="16"/>
              </w:rPr>
            </w:pPr>
            <w:r>
              <w:rPr>
                <w:rFonts w:ascii="Arial" w:eastAsia="Arial" w:hAnsi="Arial" w:cs="Arial"/>
                <w:color w:val="000000"/>
                <w:sz w:val="16"/>
              </w:rPr>
              <w:t>&lt; 5%</w:t>
            </w:r>
          </w:p>
        </w:tc>
      </w:tr>
      <w:tr w:rsidR="00724034" w14:paraId="722EB5E7" w14:textId="77777777">
        <w:tblPrEx>
          <w:tblLook w:val="04A0" w:firstRow="1" w:lastRow="0" w:firstColumn="1" w:lastColumn="0" w:noHBand="0" w:noVBand="1"/>
        </w:tblPrEx>
        <w:trPr>
          <w:trHeight w:val="30"/>
        </w:trPr>
        <w:tc>
          <w:tcPr>
            <w:tcW w:w="3435"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7A56F833" w14:textId="77777777" w:rsidR="00724034" w:rsidRDefault="00724034">
            <w:pPr>
              <w:rPr>
                <w:rFonts w:ascii="Arial" w:eastAsia="Arial" w:hAnsi="Arial" w:cs="Arial"/>
                <w:color w:val="000000"/>
                <w:sz w:val="16"/>
              </w:rPr>
            </w:pPr>
          </w:p>
        </w:tc>
        <w:tc>
          <w:tcPr>
            <w:tcW w:w="975"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757CAC8B" w14:textId="77777777" w:rsidR="00724034" w:rsidRDefault="00724034">
            <w:pPr>
              <w:rPr>
                <w:rFonts w:ascii="Arial" w:eastAsia="Arial" w:hAnsi="Arial" w:cs="Arial"/>
                <w:color w:val="000000"/>
                <w:sz w:val="16"/>
                <w:vertAlign w:val="superscript"/>
              </w:rPr>
            </w:pPr>
          </w:p>
        </w:tc>
        <w:tc>
          <w:tcPr>
            <w:tcW w:w="975"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4AF43F9D" w14:textId="77777777" w:rsidR="00724034" w:rsidRDefault="00724034">
            <w:pPr>
              <w:rPr>
                <w:rFonts w:ascii="Arial" w:eastAsia="Arial" w:hAnsi="Arial" w:cs="Arial"/>
                <w:color w:val="000000"/>
                <w:sz w:val="16"/>
                <w:vertAlign w:val="superscript"/>
              </w:rPr>
            </w:pPr>
          </w:p>
        </w:tc>
        <w:tc>
          <w:tcPr>
            <w:tcW w:w="975"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17395243" w14:textId="77777777" w:rsidR="00724034" w:rsidRDefault="00724034">
            <w:pPr>
              <w:rPr>
                <w:rFonts w:ascii="Arial" w:eastAsia="Arial" w:hAnsi="Arial" w:cs="Arial"/>
                <w:b/>
                <w:color w:val="000000"/>
                <w:sz w:val="16"/>
                <w:vertAlign w:val="superscript"/>
              </w:rPr>
            </w:pPr>
          </w:p>
        </w:tc>
        <w:tc>
          <w:tcPr>
            <w:tcW w:w="975"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0D15A138" w14:textId="77777777" w:rsidR="00724034" w:rsidRDefault="00724034">
            <w:pPr>
              <w:rPr>
                <w:rFonts w:ascii="Arial" w:eastAsia="Arial" w:hAnsi="Arial" w:cs="Arial"/>
                <w:color w:val="000000"/>
                <w:sz w:val="16"/>
                <w:vertAlign w:val="superscript"/>
              </w:rPr>
            </w:pPr>
          </w:p>
        </w:tc>
        <w:tc>
          <w:tcPr>
            <w:tcW w:w="975"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11D6A2C2" w14:textId="77777777" w:rsidR="00724034" w:rsidRDefault="00724034">
            <w:pPr>
              <w:rPr>
                <w:rFonts w:ascii="Arial" w:eastAsia="Arial" w:hAnsi="Arial" w:cs="Arial"/>
                <w:color w:val="000000"/>
                <w:sz w:val="16"/>
                <w:vertAlign w:val="superscript"/>
              </w:rPr>
            </w:pPr>
          </w:p>
        </w:tc>
      </w:tr>
    </w:tbl>
    <w:p w14:paraId="05055F6D" w14:textId="77777777" w:rsidR="00724034" w:rsidRDefault="00FB7D0B">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1"/>
        <w:gridCol w:w="931"/>
        <w:gridCol w:w="931"/>
        <w:gridCol w:w="1108"/>
        <w:gridCol w:w="1087"/>
        <w:gridCol w:w="1112"/>
        <w:gridCol w:w="1112"/>
        <w:gridCol w:w="1112"/>
      </w:tblGrid>
      <w:tr w:rsidR="00724034" w14:paraId="0A83A6A7" w14:textId="77777777" w:rsidTr="003F0EEA">
        <w:tc>
          <w:tcPr>
            <w:tcW w:w="8080" w:type="dxa"/>
            <w:gridSpan w:val="8"/>
            <w:tcBorders>
              <w:top w:val="single" w:sz="4" w:space="0" w:color="auto"/>
              <w:left w:val="single" w:sz="4" w:space="0" w:color="auto"/>
              <w:bottom w:val="single" w:sz="4" w:space="0" w:color="auto"/>
              <w:right w:val="single" w:sz="4" w:space="0" w:color="auto"/>
            </w:tcBorders>
            <w:shd w:val="clear" w:color="auto" w:fill="E6E6E6"/>
          </w:tcPr>
          <w:p w14:paraId="3A2A797E" w14:textId="77777777" w:rsidR="003F0EEA" w:rsidRPr="00A17252" w:rsidRDefault="00FB7D0B" w:rsidP="003F0EEA">
            <w:pPr>
              <w:pStyle w:val="TableTextLeft37"/>
              <w:rPr>
                <w:b/>
              </w:rPr>
            </w:pPr>
            <w:r>
              <w:rPr>
                <w:b/>
                <w:sz w:val="20"/>
              </w:rPr>
              <w:t>Programme 2.7: Adjustment to the Military Rehabilitation and Compensation Acts Liability Provision - Health and Other Care Services</w:t>
            </w:r>
          </w:p>
        </w:tc>
      </w:tr>
      <w:tr w:rsidR="00724034" w14:paraId="5C2C1DAF" w14:textId="77777777" w:rsidTr="003F0EEA">
        <w:tc>
          <w:tcPr>
            <w:tcW w:w="8080" w:type="dxa"/>
            <w:gridSpan w:val="8"/>
            <w:tcBorders>
              <w:top w:val="single" w:sz="4" w:space="0" w:color="auto"/>
              <w:left w:val="nil"/>
              <w:bottom w:val="single" w:sz="4" w:space="0" w:color="auto"/>
              <w:right w:val="nil"/>
            </w:tcBorders>
          </w:tcPr>
          <w:p w14:paraId="779CF9E7" w14:textId="77777777" w:rsidR="003F0EEA" w:rsidRDefault="003F0EEA" w:rsidP="003F0EEA">
            <w:pPr>
              <w:pStyle w:val="TableTextLeft37"/>
              <w:rPr>
                <w:b/>
              </w:rPr>
            </w:pPr>
          </w:p>
        </w:tc>
      </w:tr>
      <w:tr w:rsidR="00724034" w14:paraId="198EFFCC" w14:textId="77777777" w:rsidTr="003F0EEA">
        <w:tc>
          <w:tcPr>
            <w:tcW w:w="8080" w:type="dxa"/>
            <w:gridSpan w:val="8"/>
            <w:tcBorders>
              <w:top w:val="single" w:sz="4" w:space="0" w:color="auto"/>
              <w:left w:val="single" w:sz="4" w:space="0" w:color="auto"/>
              <w:bottom w:val="single" w:sz="4" w:space="0" w:color="auto"/>
              <w:right w:val="single" w:sz="4" w:space="0" w:color="auto"/>
            </w:tcBorders>
          </w:tcPr>
          <w:p w14:paraId="237BABB3" w14:textId="77777777" w:rsidR="003F0EEA" w:rsidRDefault="00FB7D0B" w:rsidP="003F0EEA">
            <w:pPr>
              <w:pStyle w:val="TableTextLeft37"/>
              <w:rPr>
                <w:b/>
              </w:rPr>
            </w:pPr>
            <w:r>
              <w:rPr>
                <w:b/>
              </w:rPr>
              <w:t>Programme 2.7 objective</w:t>
            </w:r>
          </w:p>
          <w:p w14:paraId="5A76C5CC" w14:textId="77777777" w:rsidR="003F0EEA" w:rsidRDefault="00FB7D0B" w:rsidP="003F0EEA">
            <w:pPr>
              <w:pStyle w:val="TableTextLeft37"/>
              <w:rPr>
                <w:b/>
              </w:rPr>
            </w:pPr>
            <w:r>
              <w:t>To provide an updated actuarial assessment of the movement in the liability for health and other care services under the rehabilitation and compensation Acts.</w:t>
            </w:r>
          </w:p>
        </w:tc>
      </w:tr>
      <w:tr w:rsidR="00724034" w14:paraId="4E994683" w14:textId="77777777" w:rsidTr="003F0EEA">
        <w:tc>
          <w:tcPr>
            <w:tcW w:w="8080" w:type="dxa"/>
            <w:gridSpan w:val="8"/>
            <w:tcBorders>
              <w:top w:val="single" w:sz="4" w:space="0" w:color="auto"/>
              <w:left w:val="nil"/>
              <w:bottom w:val="single" w:sz="4" w:space="0" w:color="auto"/>
              <w:right w:val="nil"/>
            </w:tcBorders>
          </w:tcPr>
          <w:p w14:paraId="1DF8030A" w14:textId="77777777" w:rsidR="003F0EEA" w:rsidRDefault="003F0EEA" w:rsidP="003F0EEA">
            <w:pPr>
              <w:pStyle w:val="TableTextLeft37"/>
              <w:rPr>
                <w:b/>
              </w:rPr>
            </w:pPr>
          </w:p>
        </w:tc>
      </w:tr>
      <w:tr w:rsidR="00724034" w14:paraId="67D6846A" w14:textId="77777777" w:rsidTr="003F0EEA">
        <w:trPr>
          <w:trHeight w:val="854"/>
        </w:trPr>
        <w:tc>
          <w:tcPr>
            <w:tcW w:w="8080" w:type="dxa"/>
            <w:gridSpan w:val="8"/>
            <w:tcBorders>
              <w:top w:val="single" w:sz="4" w:space="0" w:color="auto"/>
              <w:left w:val="single" w:sz="4" w:space="0" w:color="auto"/>
              <w:bottom w:val="single" w:sz="4" w:space="0" w:color="auto"/>
              <w:right w:val="single" w:sz="4" w:space="0" w:color="auto"/>
            </w:tcBorders>
          </w:tcPr>
          <w:p w14:paraId="6932EC0D" w14:textId="77777777" w:rsidR="003F0EEA" w:rsidRDefault="00FB7D0B" w:rsidP="003F0EEA">
            <w:pPr>
              <w:pStyle w:val="TableTextLeft37"/>
              <w:rPr>
                <w:b/>
              </w:rPr>
            </w:pPr>
            <w:r>
              <w:rPr>
                <w:b/>
              </w:rPr>
              <w:t>Programme 2.7 expenses</w:t>
            </w:r>
          </w:p>
          <w:p w14:paraId="61968E1B" w14:textId="77777777" w:rsidR="003F0EEA" w:rsidRDefault="00FB7D0B" w:rsidP="003F0EEA">
            <w:pPr>
              <w:pStyle w:val="TableTextLeft37"/>
              <w:rPr>
                <w:b/>
              </w:rPr>
            </w:pPr>
            <w:r>
              <w:t>The movement in the liability provision for SRCA and MRCA is adjusted based on annual actuarial assessment from the Australian Government Actuary.</w:t>
            </w:r>
          </w:p>
        </w:tc>
      </w:tr>
      <w:tr w:rsidR="00724034" w14:paraId="2159B85B" w14:textId="77777777">
        <w:tblPrEx>
          <w:tblLook w:val="04A0" w:firstRow="1" w:lastRow="0" w:firstColumn="1" w:lastColumn="0" w:noHBand="0" w:noVBand="1"/>
        </w:tblPrEx>
        <w:trPr>
          <w:trHeight w:val="225"/>
        </w:trPr>
        <w:tc>
          <w:tcPr>
            <w:tcW w:w="0" w:type="auto"/>
            <w:tcBorders>
              <w:top w:val="single" w:sz="6" w:space="0" w:color="000000"/>
              <w:left w:val="single" w:sz="6" w:space="0" w:color="000000"/>
              <w:bottom w:val="single" w:sz="6" w:space="0" w:color="FFFFFF"/>
              <w:right w:val="nil"/>
              <w:tl2br w:val="nil"/>
              <w:tr2bl w:val="nil"/>
            </w:tcBorders>
            <w:shd w:val="clear" w:color="auto" w:fill="FFFFFF"/>
            <w:tcMar>
              <w:left w:w="101" w:type="dxa"/>
              <w:right w:w="101" w:type="dxa"/>
            </w:tcMar>
            <w:vAlign w:val="bottom"/>
          </w:tcPr>
          <w:p w14:paraId="2BA2B1D9" w14:textId="77777777" w:rsidR="00724034" w:rsidRDefault="00724034"/>
        </w:tc>
        <w:tc>
          <w:tcPr>
            <w:tcW w:w="0" w:type="auto"/>
            <w:tcBorders>
              <w:top w:val="single" w:sz="6" w:space="0" w:color="000000"/>
              <w:left w:val="nil"/>
              <w:bottom w:val="single" w:sz="6" w:space="0" w:color="FFFFFF"/>
              <w:right w:val="nil"/>
              <w:tl2br w:val="nil"/>
              <w:tr2bl w:val="nil"/>
            </w:tcBorders>
            <w:shd w:val="clear" w:color="auto" w:fill="FFFFFF"/>
            <w:tcMar>
              <w:left w:w="101" w:type="dxa"/>
              <w:right w:w="101" w:type="dxa"/>
            </w:tcMar>
            <w:vAlign w:val="bottom"/>
          </w:tcPr>
          <w:p w14:paraId="1B8D956B" w14:textId="77777777" w:rsidR="00724034" w:rsidRDefault="00724034">
            <w:pPr>
              <w:rPr>
                <w:rFonts w:ascii="Arial" w:eastAsia="Arial" w:hAnsi="Arial" w:cs="Arial"/>
                <w:color w:val="000000"/>
                <w:sz w:val="16"/>
              </w:rPr>
            </w:pPr>
          </w:p>
        </w:tc>
        <w:tc>
          <w:tcPr>
            <w:tcW w:w="0" w:type="auto"/>
            <w:tcBorders>
              <w:top w:val="single" w:sz="6" w:space="0" w:color="000000"/>
              <w:left w:val="nil"/>
              <w:bottom w:val="single" w:sz="6" w:space="0" w:color="FFFFFF"/>
              <w:right w:val="nil"/>
              <w:tl2br w:val="nil"/>
              <w:tr2bl w:val="nil"/>
            </w:tcBorders>
            <w:shd w:val="clear" w:color="auto" w:fill="FFFFFF"/>
            <w:tcMar>
              <w:left w:w="101" w:type="dxa"/>
              <w:right w:w="101" w:type="dxa"/>
            </w:tcMar>
            <w:vAlign w:val="bottom"/>
          </w:tcPr>
          <w:p w14:paraId="21A9FD91" w14:textId="77777777" w:rsidR="00724034" w:rsidRDefault="00724034">
            <w:pPr>
              <w:jc w:val="center"/>
              <w:rPr>
                <w:rFonts w:ascii="Arial" w:eastAsia="Arial" w:hAnsi="Arial" w:cs="Arial"/>
                <w:color w:val="000000"/>
                <w:sz w:val="16"/>
              </w:rPr>
            </w:pPr>
          </w:p>
        </w:tc>
        <w:tc>
          <w:tcPr>
            <w:tcW w:w="0" w:type="auto"/>
            <w:tcBorders>
              <w:top w:val="single" w:sz="6" w:space="0" w:color="000000"/>
              <w:left w:val="nil"/>
              <w:bottom w:val="nil"/>
              <w:right w:val="nil"/>
              <w:tl2br w:val="nil"/>
              <w:tr2bl w:val="nil"/>
            </w:tcBorders>
            <w:shd w:val="clear" w:color="auto" w:fill="FFFFFF"/>
            <w:tcMar>
              <w:left w:w="101" w:type="dxa"/>
              <w:right w:w="101" w:type="dxa"/>
            </w:tcMar>
            <w:vAlign w:val="bottom"/>
          </w:tcPr>
          <w:p w14:paraId="11717966" w14:textId="77777777" w:rsidR="00724034" w:rsidRDefault="00FB7D0B">
            <w:pPr>
              <w:jc w:val="right"/>
              <w:rPr>
                <w:rFonts w:ascii="Arial" w:eastAsia="Arial" w:hAnsi="Arial" w:cs="Arial"/>
                <w:b/>
                <w:color w:val="000000"/>
                <w:sz w:val="16"/>
                <w:vertAlign w:val="superscript"/>
              </w:rPr>
            </w:pPr>
            <w:r>
              <w:rPr>
                <w:rFonts w:ascii="Arial" w:eastAsia="Arial" w:hAnsi="Arial" w:cs="Arial"/>
                <w:color w:val="000000"/>
                <w:sz w:val="16"/>
              </w:rPr>
              <w:t>2013-14</w:t>
            </w:r>
          </w:p>
        </w:tc>
        <w:tc>
          <w:tcPr>
            <w:tcW w:w="0" w:type="auto"/>
            <w:tcBorders>
              <w:top w:val="single" w:sz="6" w:space="0" w:color="000000"/>
              <w:left w:val="nil"/>
              <w:bottom w:val="nil"/>
              <w:right w:val="nil"/>
              <w:tl2br w:val="nil"/>
              <w:tr2bl w:val="nil"/>
            </w:tcBorders>
            <w:shd w:val="clear" w:color="auto" w:fill="FFFF00"/>
            <w:tcMar>
              <w:left w:w="101" w:type="dxa"/>
              <w:right w:w="101" w:type="dxa"/>
            </w:tcMar>
            <w:vAlign w:val="bottom"/>
          </w:tcPr>
          <w:p w14:paraId="494AE9BD" w14:textId="77777777" w:rsidR="00724034" w:rsidRDefault="00FB7D0B">
            <w:pPr>
              <w:jc w:val="right"/>
              <w:rPr>
                <w:rFonts w:ascii="Arial" w:eastAsia="Arial" w:hAnsi="Arial" w:cs="Arial"/>
                <w:color w:val="000000"/>
                <w:sz w:val="16"/>
              </w:rPr>
            </w:pPr>
            <w:r>
              <w:rPr>
                <w:rFonts w:ascii="Arial" w:eastAsia="Arial" w:hAnsi="Arial" w:cs="Arial"/>
                <w:color w:val="000000"/>
                <w:sz w:val="16"/>
              </w:rPr>
              <w:t>2014-15</w:t>
            </w:r>
          </w:p>
        </w:tc>
        <w:tc>
          <w:tcPr>
            <w:tcW w:w="0" w:type="auto"/>
            <w:tcBorders>
              <w:top w:val="single" w:sz="6" w:space="0" w:color="000000"/>
              <w:left w:val="nil"/>
              <w:bottom w:val="nil"/>
              <w:right w:val="nil"/>
              <w:tl2br w:val="nil"/>
              <w:tr2bl w:val="nil"/>
            </w:tcBorders>
            <w:shd w:val="clear" w:color="auto" w:fill="FFFFFF"/>
            <w:tcMar>
              <w:left w:w="101" w:type="dxa"/>
              <w:right w:w="101" w:type="dxa"/>
            </w:tcMar>
            <w:vAlign w:val="bottom"/>
          </w:tcPr>
          <w:p w14:paraId="59F5CD87" w14:textId="77777777" w:rsidR="00724034" w:rsidRDefault="00FB7D0B">
            <w:pPr>
              <w:jc w:val="right"/>
              <w:rPr>
                <w:rFonts w:ascii="Arial" w:eastAsia="Arial" w:hAnsi="Arial" w:cs="Arial"/>
                <w:color w:val="000000"/>
                <w:sz w:val="16"/>
              </w:rPr>
            </w:pPr>
            <w:r>
              <w:rPr>
                <w:rFonts w:ascii="Arial" w:eastAsia="Arial" w:hAnsi="Arial" w:cs="Arial"/>
                <w:color w:val="000000"/>
                <w:sz w:val="16"/>
              </w:rPr>
              <w:t>2015-16</w:t>
            </w:r>
          </w:p>
        </w:tc>
        <w:tc>
          <w:tcPr>
            <w:tcW w:w="0" w:type="auto"/>
            <w:tcBorders>
              <w:top w:val="single" w:sz="6" w:space="0" w:color="000000"/>
              <w:left w:val="nil"/>
              <w:bottom w:val="nil"/>
              <w:right w:val="nil"/>
              <w:tl2br w:val="nil"/>
              <w:tr2bl w:val="nil"/>
            </w:tcBorders>
            <w:shd w:val="clear" w:color="auto" w:fill="FFFFFF"/>
            <w:tcMar>
              <w:left w:w="101" w:type="dxa"/>
              <w:right w:w="101" w:type="dxa"/>
            </w:tcMar>
            <w:vAlign w:val="bottom"/>
          </w:tcPr>
          <w:p w14:paraId="45DA9407" w14:textId="77777777" w:rsidR="00724034" w:rsidRDefault="00FB7D0B">
            <w:pPr>
              <w:jc w:val="right"/>
              <w:rPr>
                <w:rFonts w:ascii="Arial" w:eastAsia="Arial" w:hAnsi="Arial" w:cs="Arial"/>
                <w:color w:val="000000"/>
                <w:sz w:val="16"/>
              </w:rPr>
            </w:pPr>
            <w:r>
              <w:rPr>
                <w:rFonts w:ascii="Arial" w:eastAsia="Arial" w:hAnsi="Arial" w:cs="Arial"/>
                <w:color w:val="000000"/>
                <w:sz w:val="16"/>
              </w:rPr>
              <w:t>2016-17</w:t>
            </w:r>
          </w:p>
        </w:tc>
        <w:tc>
          <w:tcPr>
            <w:tcW w:w="0" w:type="auto"/>
            <w:tcBorders>
              <w:top w:val="single" w:sz="6" w:space="0" w:color="000000"/>
              <w:left w:val="nil"/>
              <w:bottom w:val="nil"/>
              <w:right w:val="single" w:sz="6" w:space="0" w:color="000000"/>
              <w:tl2br w:val="nil"/>
              <w:tr2bl w:val="nil"/>
            </w:tcBorders>
            <w:shd w:val="clear" w:color="auto" w:fill="FFFFFF"/>
            <w:tcMar>
              <w:left w:w="101" w:type="dxa"/>
              <w:right w:w="101" w:type="dxa"/>
            </w:tcMar>
            <w:vAlign w:val="bottom"/>
          </w:tcPr>
          <w:p w14:paraId="6D6D9E2B" w14:textId="77777777" w:rsidR="00724034" w:rsidRDefault="00FB7D0B">
            <w:pPr>
              <w:jc w:val="right"/>
              <w:rPr>
                <w:rFonts w:ascii="Arial" w:eastAsia="Arial" w:hAnsi="Arial" w:cs="Arial"/>
                <w:color w:val="000000"/>
                <w:sz w:val="16"/>
              </w:rPr>
            </w:pPr>
            <w:r>
              <w:rPr>
                <w:rFonts w:ascii="Arial" w:eastAsia="Arial" w:hAnsi="Arial" w:cs="Arial"/>
                <w:color w:val="000000"/>
                <w:sz w:val="16"/>
              </w:rPr>
              <w:t>2017-18</w:t>
            </w:r>
          </w:p>
        </w:tc>
      </w:tr>
      <w:tr w:rsidR="00724034" w14:paraId="32346CD4" w14:textId="77777777">
        <w:tblPrEx>
          <w:tblLook w:val="04A0" w:firstRow="1" w:lastRow="0" w:firstColumn="1" w:lastColumn="0" w:noHBand="0" w:noVBand="1"/>
        </w:tblPrEx>
        <w:trPr>
          <w:trHeight w:val="225"/>
        </w:trPr>
        <w:tc>
          <w:tcPr>
            <w:tcW w:w="0" w:type="auto"/>
            <w:tcBorders>
              <w:top w:val="single" w:sz="6" w:space="0" w:color="FFFFFF"/>
              <w:left w:val="single" w:sz="6" w:space="0" w:color="000000"/>
              <w:bottom w:val="nil"/>
              <w:right w:val="nil"/>
              <w:tl2br w:val="nil"/>
              <w:tr2bl w:val="nil"/>
            </w:tcBorders>
            <w:shd w:val="clear" w:color="auto" w:fill="FFFFFF"/>
            <w:tcMar>
              <w:left w:w="101" w:type="dxa"/>
              <w:right w:w="101" w:type="dxa"/>
            </w:tcMar>
            <w:vAlign w:val="bottom"/>
          </w:tcPr>
          <w:p w14:paraId="0A0241B8" w14:textId="77777777" w:rsidR="00724034" w:rsidRDefault="00724034">
            <w:pPr>
              <w:rPr>
                <w:rFonts w:ascii="Arial" w:eastAsia="Arial" w:hAnsi="Arial" w:cs="Arial"/>
                <w:color w:val="000000"/>
                <w:sz w:val="16"/>
              </w:rPr>
            </w:pPr>
          </w:p>
        </w:tc>
        <w:tc>
          <w:tcPr>
            <w:tcW w:w="0" w:type="auto"/>
            <w:tcBorders>
              <w:top w:val="single" w:sz="6" w:space="0" w:color="FFFFFF"/>
              <w:left w:val="nil"/>
              <w:bottom w:val="nil"/>
              <w:right w:val="nil"/>
              <w:tl2br w:val="nil"/>
              <w:tr2bl w:val="nil"/>
            </w:tcBorders>
            <w:shd w:val="clear" w:color="auto" w:fill="FFFFFF"/>
            <w:tcMar>
              <w:left w:w="101" w:type="dxa"/>
              <w:right w:w="101" w:type="dxa"/>
            </w:tcMar>
            <w:vAlign w:val="bottom"/>
          </w:tcPr>
          <w:p w14:paraId="139FEE56" w14:textId="77777777" w:rsidR="00724034" w:rsidRDefault="00724034">
            <w:pPr>
              <w:rPr>
                <w:rFonts w:ascii="Arial" w:eastAsia="Arial" w:hAnsi="Arial" w:cs="Arial"/>
                <w:color w:val="000000"/>
                <w:sz w:val="16"/>
              </w:rPr>
            </w:pPr>
          </w:p>
        </w:tc>
        <w:tc>
          <w:tcPr>
            <w:tcW w:w="0" w:type="auto"/>
            <w:tcBorders>
              <w:top w:val="single" w:sz="6" w:space="0" w:color="FFFFFF"/>
              <w:left w:val="nil"/>
              <w:bottom w:val="nil"/>
              <w:right w:val="nil"/>
              <w:tl2br w:val="nil"/>
              <w:tr2bl w:val="nil"/>
            </w:tcBorders>
            <w:shd w:val="clear" w:color="auto" w:fill="FFFFFF"/>
            <w:tcMar>
              <w:left w:w="101" w:type="dxa"/>
              <w:right w:w="101" w:type="dxa"/>
            </w:tcMar>
            <w:vAlign w:val="bottom"/>
          </w:tcPr>
          <w:p w14:paraId="79871F72" w14:textId="77777777" w:rsidR="00724034" w:rsidRDefault="00724034">
            <w:pPr>
              <w:rPr>
                <w:rFonts w:ascii="Arial" w:eastAsia="Arial" w:hAnsi="Arial" w:cs="Arial"/>
                <w:color w:val="000000"/>
                <w:sz w:val="16"/>
              </w:rPr>
            </w:pPr>
          </w:p>
        </w:tc>
        <w:tc>
          <w:tcPr>
            <w:tcW w:w="0" w:type="auto"/>
            <w:tcBorders>
              <w:top w:val="nil"/>
              <w:left w:val="nil"/>
              <w:bottom w:val="nil"/>
              <w:right w:val="nil"/>
              <w:tl2br w:val="nil"/>
              <w:tr2bl w:val="nil"/>
            </w:tcBorders>
            <w:shd w:val="clear" w:color="auto" w:fill="FFFFFF"/>
            <w:tcMar>
              <w:left w:w="101" w:type="dxa"/>
              <w:right w:w="101" w:type="dxa"/>
            </w:tcMar>
            <w:vAlign w:val="bottom"/>
          </w:tcPr>
          <w:p w14:paraId="4FCE602F" w14:textId="77777777" w:rsidR="00724034" w:rsidRDefault="00FB7D0B">
            <w:pPr>
              <w:jc w:val="right"/>
              <w:rPr>
                <w:rFonts w:ascii="Arial" w:eastAsia="Arial" w:hAnsi="Arial" w:cs="Arial"/>
                <w:color w:val="000000"/>
                <w:sz w:val="16"/>
                <w:vertAlign w:val="superscript"/>
              </w:rPr>
            </w:pPr>
            <w:r>
              <w:rPr>
                <w:rFonts w:ascii="Arial" w:eastAsia="Arial" w:hAnsi="Arial" w:cs="Arial"/>
                <w:color w:val="000000"/>
                <w:sz w:val="16"/>
              </w:rPr>
              <w:t>Revised</w:t>
            </w:r>
          </w:p>
        </w:tc>
        <w:tc>
          <w:tcPr>
            <w:tcW w:w="0" w:type="auto"/>
            <w:tcBorders>
              <w:top w:val="nil"/>
              <w:left w:val="nil"/>
              <w:bottom w:val="nil"/>
              <w:right w:val="nil"/>
              <w:tl2br w:val="nil"/>
              <w:tr2bl w:val="nil"/>
            </w:tcBorders>
            <w:shd w:val="clear" w:color="auto" w:fill="FFFF00"/>
            <w:tcMar>
              <w:left w:w="101" w:type="dxa"/>
              <w:right w:w="101" w:type="dxa"/>
            </w:tcMar>
            <w:vAlign w:val="bottom"/>
          </w:tcPr>
          <w:p w14:paraId="3B4CCA02" w14:textId="77777777" w:rsidR="00724034" w:rsidRDefault="00FB7D0B">
            <w:pPr>
              <w:jc w:val="right"/>
              <w:rPr>
                <w:rFonts w:ascii="Arial" w:eastAsia="Arial" w:hAnsi="Arial" w:cs="Arial"/>
                <w:color w:val="000000"/>
                <w:sz w:val="16"/>
              </w:rPr>
            </w:pPr>
            <w:r>
              <w:rPr>
                <w:rFonts w:ascii="Arial" w:eastAsia="Arial" w:hAnsi="Arial" w:cs="Arial"/>
                <w:color w:val="000000"/>
                <w:sz w:val="16"/>
              </w:rPr>
              <w:t>Budget</w:t>
            </w:r>
          </w:p>
        </w:tc>
        <w:tc>
          <w:tcPr>
            <w:tcW w:w="0" w:type="auto"/>
            <w:tcBorders>
              <w:top w:val="nil"/>
              <w:left w:val="nil"/>
              <w:bottom w:val="nil"/>
              <w:right w:val="nil"/>
              <w:tl2br w:val="nil"/>
              <w:tr2bl w:val="nil"/>
            </w:tcBorders>
            <w:shd w:val="clear" w:color="auto" w:fill="FFFFFF"/>
            <w:tcMar>
              <w:left w:w="101" w:type="dxa"/>
              <w:right w:w="101" w:type="dxa"/>
            </w:tcMar>
            <w:vAlign w:val="bottom"/>
          </w:tcPr>
          <w:p w14:paraId="0BEE8DE4" w14:textId="77777777" w:rsidR="00724034" w:rsidRDefault="00FB7D0B">
            <w:pPr>
              <w:jc w:val="right"/>
              <w:rPr>
                <w:rFonts w:ascii="Arial" w:eastAsia="Arial" w:hAnsi="Arial" w:cs="Arial"/>
                <w:color w:val="000000"/>
                <w:sz w:val="16"/>
              </w:rPr>
            </w:pPr>
            <w:r>
              <w:rPr>
                <w:rFonts w:ascii="Arial" w:eastAsia="Arial" w:hAnsi="Arial" w:cs="Arial"/>
                <w:color w:val="000000"/>
                <w:sz w:val="16"/>
              </w:rPr>
              <w:t>Forward</w:t>
            </w:r>
          </w:p>
        </w:tc>
        <w:tc>
          <w:tcPr>
            <w:tcW w:w="0" w:type="auto"/>
            <w:tcBorders>
              <w:top w:val="nil"/>
              <w:left w:val="nil"/>
              <w:bottom w:val="nil"/>
              <w:right w:val="nil"/>
              <w:tl2br w:val="nil"/>
              <w:tr2bl w:val="nil"/>
            </w:tcBorders>
            <w:shd w:val="clear" w:color="auto" w:fill="FFFFFF"/>
            <w:tcMar>
              <w:left w:w="101" w:type="dxa"/>
              <w:right w:w="101" w:type="dxa"/>
            </w:tcMar>
            <w:vAlign w:val="bottom"/>
          </w:tcPr>
          <w:p w14:paraId="59C60B2A" w14:textId="77777777" w:rsidR="00724034" w:rsidRDefault="00FB7D0B">
            <w:pPr>
              <w:jc w:val="right"/>
              <w:rPr>
                <w:rFonts w:ascii="Arial" w:eastAsia="Arial" w:hAnsi="Arial" w:cs="Arial"/>
                <w:color w:val="000000"/>
                <w:sz w:val="16"/>
              </w:rPr>
            </w:pPr>
            <w:r>
              <w:rPr>
                <w:rFonts w:ascii="Arial" w:eastAsia="Arial" w:hAnsi="Arial" w:cs="Arial"/>
                <w:color w:val="000000"/>
                <w:sz w:val="16"/>
              </w:rPr>
              <w:t>Forward</w:t>
            </w:r>
          </w:p>
        </w:tc>
        <w:tc>
          <w:tcPr>
            <w:tcW w:w="0" w:type="auto"/>
            <w:tcBorders>
              <w:top w:val="nil"/>
              <w:left w:val="nil"/>
              <w:bottom w:val="nil"/>
              <w:right w:val="single" w:sz="6" w:space="0" w:color="000000"/>
              <w:tl2br w:val="nil"/>
              <w:tr2bl w:val="nil"/>
            </w:tcBorders>
            <w:shd w:val="clear" w:color="auto" w:fill="FFFFFF"/>
            <w:tcMar>
              <w:left w:w="101" w:type="dxa"/>
              <w:right w:w="101" w:type="dxa"/>
            </w:tcMar>
            <w:vAlign w:val="bottom"/>
          </w:tcPr>
          <w:p w14:paraId="1DA731F6" w14:textId="77777777" w:rsidR="00724034" w:rsidRDefault="00FB7D0B">
            <w:pPr>
              <w:jc w:val="right"/>
              <w:rPr>
                <w:rFonts w:ascii="Arial" w:eastAsia="Arial" w:hAnsi="Arial" w:cs="Arial"/>
                <w:color w:val="000000"/>
                <w:sz w:val="16"/>
              </w:rPr>
            </w:pPr>
            <w:r>
              <w:rPr>
                <w:rFonts w:ascii="Arial" w:eastAsia="Arial" w:hAnsi="Arial" w:cs="Arial"/>
                <w:color w:val="000000"/>
                <w:sz w:val="16"/>
              </w:rPr>
              <w:t>Forward</w:t>
            </w:r>
          </w:p>
        </w:tc>
      </w:tr>
      <w:tr w:rsidR="00FB7D0B" w14:paraId="4970A0D2" w14:textId="77777777" w:rsidTr="00FB7D0B">
        <w:tblPrEx>
          <w:tblLook w:val="04A0" w:firstRow="1" w:lastRow="0" w:firstColumn="1" w:lastColumn="0" w:noHBand="0" w:noVBand="1"/>
        </w:tblPrEx>
        <w:trPr>
          <w:trHeight w:val="225"/>
        </w:trPr>
        <w:tc>
          <w:tcPr>
            <w:tcW w:w="0" w:type="auto"/>
            <w:gridSpan w:val="3"/>
            <w:vMerge w:val="restart"/>
            <w:tcBorders>
              <w:top w:val="nil"/>
              <w:left w:val="single" w:sz="6" w:space="0" w:color="000000"/>
              <w:bottom w:val="single" w:sz="6" w:space="0" w:color="000000"/>
              <w:right w:val="nil"/>
              <w:tl2br w:val="nil"/>
              <w:tr2bl w:val="nil"/>
            </w:tcBorders>
            <w:shd w:val="clear" w:color="auto" w:fill="FFFFFF"/>
            <w:tcMar>
              <w:left w:w="101" w:type="dxa"/>
              <w:right w:w="101" w:type="dxa"/>
            </w:tcMar>
            <w:vAlign w:val="bottom"/>
          </w:tcPr>
          <w:p w14:paraId="203FDF47" w14:textId="77777777" w:rsidR="00724034" w:rsidRDefault="00FB7D0B">
            <w:pPr>
              <w:rPr>
                <w:rFonts w:ascii="Arial" w:eastAsia="Arial" w:hAnsi="Arial" w:cs="Arial"/>
                <w:color w:val="000000"/>
                <w:sz w:val="16"/>
              </w:rPr>
            </w:pPr>
            <w:r>
              <w:rPr>
                <w:rFonts w:ascii="Arial" w:eastAsia="Arial" w:hAnsi="Arial" w:cs="Arial"/>
                <w:color w:val="000000"/>
                <w:sz w:val="16"/>
              </w:rPr>
              <w:t>$('000)</w:t>
            </w:r>
          </w:p>
        </w:tc>
        <w:tc>
          <w:tcPr>
            <w:tcW w:w="0" w:type="auto"/>
            <w:tcBorders>
              <w:top w:val="nil"/>
              <w:left w:val="nil"/>
              <w:bottom w:val="single" w:sz="6" w:space="0" w:color="000000"/>
              <w:right w:val="nil"/>
              <w:tl2br w:val="nil"/>
              <w:tr2bl w:val="nil"/>
            </w:tcBorders>
            <w:shd w:val="clear" w:color="auto" w:fill="FFFFFF"/>
            <w:tcMar>
              <w:left w:w="101" w:type="dxa"/>
              <w:right w:w="101" w:type="dxa"/>
            </w:tcMar>
            <w:vAlign w:val="bottom"/>
          </w:tcPr>
          <w:p w14:paraId="4D656D9A" w14:textId="77777777" w:rsidR="00724034" w:rsidRDefault="00FB7D0B">
            <w:pPr>
              <w:jc w:val="right"/>
              <w:rPr>
                <w:rFonts w:ascii="Arial" w:eastAsia="Arial" w:hAnsi="Arial" w:cs="Arial"/>
                <w:color w:val="000000"/>
                <w:sz w:val="16"/>
                <w:vertAlign w:val="superscript"/>
              </w:rPr>
            </w:pPr>
            <w:r>
              <w:rPr>
                <w:rFonts w:ascii="Arial" w:eastAsia="Arial" w:hAnsi="Arial" w:cs="Arial"/>
                <w:color w:val="000000"/>
                <w:sz w:val="16"/>
              </w:rPr>
              <w:t>budget</w:t>
            </w:r>
          </w:p>
        </w:tc>
        <w:tc>
          <w:tcPr>
            <w:tcW w:w="0" w:type="auto"/>
            <w:tcBorders>
              <w:top w:val="nil"/>
              <w:left w:val="nil"/>
              <w:bottom w:val="single" w:sz="6" w:space="0" w:color="000000"/>
              <w:right w:val="nil"/>
              <w:tl2br w:val="nil"/>
              <w:tr2bl w:val="nil"/>
            </w:tcBorders>
            <w:shd w:val="clear" w:color="auto" w:fill="FFFF00"/>
            <w:tcMar>
              <w:left w:w="101" w:type="dxa"/>
              <w:right w:w="101" w:type="dxa"/>
            </w:tcMar>
            <w:vAlign w:val="bottom"/>
          </w:tcPr>
          <w:p w14:paraId="472A795F" w14:textId="77777777" w:rsidR="00724034" w:rsidRDefault="00724034">
            <w:pPr>
              <w:jc w:val="right"/>
              <w:rPr>
                <w:rFonts w:ascii="Arial" w:eastAsia="Arial" w:hAnsi="Arial" w:cs="Arial"/>
                <w:color w:val="000000"/>
                <w:sz w:val="16"/>
              </w:rPr>
            </w:pPr>
          </w:p>
        </w:tc>
        <w:tc>
          <w:tcPr>
            <w:tcW w:w="0" w:type="auto"/>
            <w:tcBorders>
              <w:top w:val="nil"/>
              <w:left w:val="nil"/>
              <w:bottom w:val="single" w:sz="6" w:space="0" w:color="000000"/>
              <w:right w:val="nil"/>
              <w:tl2br w:val="nil"/>
              <w:tr2bl w:val="nil"/>
            </w:tcBorders>
            <w:shd w:val="clear" w:color="auto" w:fill="FFFFFF"/>
            <w:tcMar>
              <w:left w:w="101" w:type="dxa"/>
              <w:right w:w="101" w:type="dxa"/>
            </w:tcMar>
            <w:vAlign w:val="bottom"/>
          </w:tcPr>
          <w:p w14:paraId="437F15D7" w14:textId="77777777" w:rsidR="00724034" w:rsidRDefault="00FB7D0B">
            <w:pPr>
              <w:jc w:val="right"/>
              <w:rPr>
                <w:rFonts w:ascii="Arial" w:eastAsia="Arial" w:hAnsi="Arial" w:cs="Arial"/>
                <w:color w:val="000000"/>
                <w:sz w:val="16"/>
              </w:rPr>
            </w:pPr>
            <w:r>
              <w:rPr>
                <w:rFonts w:ascii="Arial" w:eastAsia="Arial" w:hAnsi="Arial" w:cs="Arial"/>
                <w:color w:val="000000"/>
                <w:sz w:val="16"/>
              </w:rPr>
              <w:t>year 1</w:t>
            </w:r>
          </w:p>
        </w:tc>
        <w:tc>
          <w:tcPr>
            <w:tcW w:w="0" w:type="auto"/>
            <w:tcBorders>
              <w:top w:val="nil"/>
              <w:left w:val="nil"/>
              <w:bottom w:val="single" w:sz="6" w:space="0" w:color="000000"/>
              <w:right w:val="nil"/>
              <w:tl2br w:val="nil"/>
              <w:tr2bl w:val="nil"/>
            </w:tcBorders>
            <w:shd w:val="clear" w:color="auto" w:fill="FFFFFF"/>
            <w:tcMar>
              <w:left w:w="101" w:type="dxa"/>
              <w:right w:w="101" w:type="dxa"/>
            </w:tcMar>
            <w:vAlign w:val="bottom"/>
          </w:tcPr>
          <w:p w14:paraId="7D75BB42" w14:textId="77777777" w:rsidR="00724034" w:rsidRDefault="00FB7D0B">
            <w:pPr>
              <w:jc w:val="right"/>
              <w:rPr>
                <w:rFonts w:ascii="Arial" w:eastAsia="Arial" w:hAnsi="Arial" w:cs="Arial"/>
                <w:color w:val="000000"/>
                <w:sz w:val="16"/>
              </w:rPr>
            </w:pPr>
            <w:r>
              <w:rPr>
                <w:rFonts w:ascii="Arial" w:eastAsia="Arial" w:hAnsi="Arial" w:cs="Arial"/>
                <w:color w:val="000000"/>
                <w:sz w:val="16"/>
              </w:rPr>
              <w:t>year 2</w:t>
            </w:r>
          </w:p>
        </w:tc>
        <w:tc>
          <w:tcPr>
            <w:tcW w:w="0" w:type="auto"/>
            <w:tcBorders>
              <w:top w:val="nil"/>
              <w:left w:val="nil"/>
              <w:bottom w:val="single" w:sz="6" w:space="0" w:color="000000"/>
              <w:right w:val="single" w:sz="6" w:space="0" w:color="000000"/>
              <w:tl2br w:val="nil"/>
              <w:tr2bl w:val="nil"/>
            </w:tcBorders>
            <w:shd w:val="clear" w:color="auto" w:fill="FFFFFF"/>
            <w:tcMar>
              <w:left w:w="101" w:type="dxa"/>
              <w:right w:w="101" w:type="dxa"/>
            </w:tcMar>
            <w:vAlign w:val="bottom"/>
          </w:tcPr>
          <w:p w14:paraId="289DD13C" w14:textId="77777777" w:rsidR="00724034" w:rsidRDefault="00FB7D0B">
            <w:pPr>
              <w:jc w:val="right"/>
              <w:rPr>
                <w:rFonts w:ascii="Arial" w:eastAsia="Arial" w:hAnsi="Arial" w:cs="Arial"/>
                <w:color w:val="000000"/>
                <w:sz w:val="16"/>
              </w:rPr>
            </w:pPr>
            <w:r>
              <w:rPr>
                <w:rFonts w:ascii="Arial" w:eastAsia="Arial" w:hAnsi="Arial" w:cs="Arial"/>
                <w:color w:val="000000"/>
                <w:sz w:val="16"/>
              </w:rPr>
              <w:t>year 3</w:t>
            </w:r>
          </w:p>
        </w:tc>
      </w:tr>
      <w:tr w:rsidR="00FB7D0B" w14:paraId="47427D57" w14:textId="77777777" w:rsidTr="00FB7D0B">
        <w:tblPrEx>
          <w:tblLook w:val="04A0" w:firstRow="1" w:lastRow="0" w:firstColumn="1" w:lastColumn="0" w:noHBand="0" w:noVBand="1"/>
        </w:tblPrEx>
        <w:trPr>
          <w:trHeight w:val="225"/>
        </w:trPr>
        <w:tc>
          <w:tcPr>
            <w:tcW w:w="0" w:type="auto"/>
            <w:gridSpan w:val="3"/>
            <w:vMerge w:val="restart"/>
            <w:tcBorders>
              <w:top w:val="nil"/>
              <w:left w:val="single" w:sz="6" w:space="0" w:color="000000"/>
              <w:bottom w:val="nil"/>
              <w:right w:val="nil"/>
              <w:tl2br w:val="nil"/>
              <w:tr2bl w:val="nil"/>
            </w:tcBorders>
            <w:shd w:val="clear" w:color="auto" w:fill="FFFFFF"/>
            <w:tcMar>
              <w:left w:w="101" w:type="dxa"/>
              <w:right w:w="101" w:type="dxa"/>
            </w:tcMar>
            <w:vAlign w:val="bottom"/>
          </w:tcPr>
          <w:p w14:paraId="00D670B5" w14:textId="77777777" w:rsidR="00724034" w:rsidRDefault="00FB7D0B">
            <w:pPr>
              <w:rPr>
                <w:rFonts w:ascii="Arial" w:eastAsia="Arial" w:hAnsi="Arial" w:cs="Arial"/>
                <w:color w:val="000000"/>
                <w:sz w:val="16"/>
              </w:rPr>
            </w:pPr>
            <w:r>
              <w:rPr>
                <w:rFonts w:ascii="Arial" w:eastAsia="Arial" w:hAnsi="Arial" w:cs="Arial"/>
                <w:color w:val="000000"/>
                <w:sz w:val="16"/>
              </w:rPr>
              <w:t>Administered Expenses</w:t>
            </w:r>
          </w:p>
        </w:tc>
        <w:tc>
          <w:tcPr>
            <w:tcW w:w="0" w:type="auto"/>
            <w:tcBorders>
              <w:top w:val="nil"/>
              <w:left w:val="nil"/>
              <w:bottom w:val="nil"/>
              <w:right w:val="nil"/>
              <w:tl2br w:val="nil"/>
              <w:tr2bl w:val="nil"/>
            </w:tcBorders>
            <w:shd w:val="clear" w:color="auto" w:fill="FFFFFF"/>
            <w:tcMar>
              <w:left w:w="101" w:type="dxa"/>
              <w:right w:w="101" w:type="dxa"/>
            </w:tcMar>
            <w:vAlign w:val="bottom"/>
          </w:tcPr>
          <w:p w14:paraId="3DAE901E" w14:textId="77777777" w:rsidR="00724034" w:rsidRDefault="00724034">
            <w:pPr>
              <w:rPr>
                <w:rFonts w:ascii="Arial" w:eastAsia="Arial" w:hAnsi="Arial" w:cs="Arial"/>
                <w:color w:val="000000"/>
                <w:sz w:val="16"/>
                <w:vertAlign w:val="superscript"/>
              </w:rPr>
            </w:pPr>
          </w:p>
        </w:tc>
        <w:tc>
          <w:tcPr>
            <w:tcW w:w="0" w:type="auto"/>
            <w:tcBorders>
              <w:top w:val="nil"/>
              <w:left w:val="nil"/>
              <w:bottom w:val="nil"/>
              <w:right w:val="nil"/>
              <w:tl2br w:val="nil"/>
              <w:tr2bl w:val="nil"/>
            </w:tcBorders>
            <w:shd w:val="clear" w:color="auto" w:fill="FFFF00"/>
            <w:tcMar>
              <w:left w:w="101" w:type="dxa"/>
              <w:right w:w="101" w:type="dxa"/>
            </w:tcMar>
            <w:vAlign w:val="bottom"/>
          </w:tcPr>
          <w:p w14:paraId="6CDBA9DC" w14:textId="77777777" w:rsidR="00724034" w:rsidRDefault="00724034">
            <w:pPr>
              <w:jc w:val="right"/>
              <w:rPr>
                <w:rFonts w:ascii="Arial" w:eastAsia="Arial" w:hAnsi="Arial" w:cs="Arial"/>
                <w:color w:val="000000"/>
                <w:sz w:val="16"/>
                <w:vertAlign w:val="superscript"/>
              </w:rPr>
            </w:pPr>
          </w:p>
        </w:tc>
        <w:tc>
          <w:tcPr>
            <w:tcW w:w="0" w:type="auto"/>
            <w:tcBorders>
              <w:top w:val="nil"/>
              <w:left w:val="nil"/>
              <w:bottom w:val="nil"/>
              <w:right w:val="nil"/>
              <w:tl2br w:val="nil"/>
              <w:tr2bl w:val="nil"/>
            </w:tcBorders>
            <w:shd w:val="clear" w:color="auto" w:fill="FFFFFF"/>
            <w:tcMar>
              <w:left w:w="101" w:type="dxa"/>
              <w:right w:w="101" w:type="dxa"/>
            </w:tcMar>
            <w:vAlign w:val="bottom"/>
          </w:tcPr>
          <w:p w14:paraId="421055DB" w14:textId="77777777" w:rsidR="00724034" w:rsidRDefault="00724034">
            <w:pPr>
              <w:jc w:val="right"/>
              <w:rPr>
                <w:rFonts w:ascii="Arial" w:eastAsia="Arial" w:hAnsi="Arial" w:cs="Arial"/>
                <w:color w:val="000000"/>
                <w:sz w:val="16"/>
                <w:vertAlign w:val="superscript"/>
              </w:rPr>
            </w:pPr>
          </w:p>
        </w:tc>
        <w:tc>
          <w:tcPr>
            <w:tcW w:w="0" w:type="auto"/>
            <w:tcBorders>
              <w:top w:val="nil"/>
              <w:left w:val="nil"/>
              <w:bottom w:val="nil"/>
              <w:right w:val="nil"/>
              <w:tl2br w:val="nil"/>
              <w:tr2bl w:val="nil"/>
            </w:tcBorders>
            <w:shd w:val="clear" w:color="auto" w:fill="FFFFFF"/>
            <w:tcMar>
              <w:left w:w="101" w:type="dxa"/>
              <w:right w:w="101" w:type="dxa"/>
            </w:tcMar>
            <w:vAlign w:val="bottom"/>
          </w:tcPr>
          <w:p w14:paraId="07BA92FF" w14:textId="77777777" w:rsidR="00724034" w:rsidRDefault="00724034">
            <w:pPr>
              <w:jc w:val="right"/>
              <w:rPr>
                <w:rFonts w:ascii="Arial" w:eastAsia="Arial" w:hAnsi="Arial" w:cs="Arial"/>
                <w:color w:val="000000"/>
                <w:sz w:val="16"/>
                <w:vertAlign w:val="superscript"/>
              </w:rPr>
            </w:pPr>
          </w:p>
        </w:tc>
        <w:tc>
          <w:tcPr>
            <w:tcW w:w="0" w:type="auto"/>
            <w:tcBorders>
              <w:top w:val="nil"/>
              <w:left w:val="nil"/>
              <w:bottom w:val="nil"/>
              <w:right w:val="single" w:sz="6" w:space="0" w:color="000000"/>
              <w:tl2br w:val="nil"/>
              <w:tr2bl w:val="nil"/>
            </w:tcBorders>
            <w:shd w:val="clear" w:color="auto" w:fill="FFFFFF"/>
            <w:tcMar>
              <w:left w:w="101" w:type="dxa"/>
              <w:right w:w="101" w:type="dxa"/>
            </w:tcMar>
            <w:vAlign w:val="bottom"/>
          </w:tcPr>
          <w:p w14:paraId="1BA5EB59" w14:textId="77777777" w:rsidR="00724034" w:rsidRDefault="00724034">
            <w:pPr>
              <w:jc w:val="right"/>
              <w:rPr>
                <w:rFonts w:ascii="Arial" w:eastAsia="Arial" w:hAnsi="Arial" w:cs="Arial"/>
                <w:color w:val="000000"/>
                <w:sz w:val="16"/>
                <w:vertAlign w:val="superscript"/>
              </w:rPr>
            </w:pPr>
          </w:p>
        </w:tc>
      </w:tr>
      <w:tr w:rsidR="00FB7D0B" w14:paraId="1601BC52" w14:textId="77777777" w:rsidTr="00FB7D0B">
        <w:tblPrEx>
          <w:tblLook w:val="04A0" w:firstRow="1" w:lastRow="0" w:firstColumn="1" w:lastColumn="0" w:noHBand="0" w:noVBand="1"/>
        </w:tblPrEx>
        <w:trPr>
          <w:trHeight w:val="465"/>
        </w:trPr>
        <w:tc>
          <w:tcPr>
            <w:tcW w:w="0" w:type="auto"/>
            <w:gridSpan w:val="3"/>
            <w:tcBorders>
              <w:top w:val="single" w:sz="6" w:space="0" w:color="FFFFFF"/>
              <w:left w:val="single" w:sz="6" w:space="0" w:color="000000"/>
              <w:bottom w:val="single" w:sz="6" w:space="0" w:color="FFFFFF"/>
              <w:right w:val="nil"/>
              <w:tl2br w:val="nil"/>
              <w:tr2bl w:val="nil"/>
            </w:tcBorders>
            <w:shd w:val="clear" w:color="auto" w:fill="FFFFFF"/>
            <w:tcMar>
              <w:left w:w="101" w:type="dxa"/>
              <w:right w:w="101" w:type="dxa"/>
            </w:tcMar>
            <w:vAlign w:val="bottom"/>
          </w:tcPr>
          <w:p w14:paraId="5CCF3B6F" w14:textId="77777777" w:rsidR="00724034" w:rsidRDefault="00FB7D0B">
            <w:pPr>
              <w:rPr>
                <w:rFonts w:ascii="Arial" w:eastAsia="Arial" w:hAnsi="Arial" w:cs="Arial"/>
                <w:color w:val="000000"/>
                <w:sz w:val="16"/>
                <w:vertAlign w:val="superscript"/>
              </w:rPr>
            </w:pPr>
            <w:r>
              <w:rPr>
                <w:rFonts w:ascii="Arial" w:eastAsia="Arial" w:hAnsi="Arial" w:cs="Arial"/>
                <w:color w:val="000000"/>
                <w:sz w:val="16"/>
              </w:rPr>
              <w:t>Expenses not requiring appropriation in the Budget year</w:t>
            </w:r>
            <w:r>
              <w:rPr>
                <w:rFonts w:ascii="Arial" w:eastAsia="Arial" w:hAnsi="Arial" w:cs="Arial"/>
                <w:color w:val="000000"/>
                <w:sz w:val="16"/>
                <w:vertAlign w:val="superscript"/>
              </w:rPr>
              <w:t>1 </w:t>
            </w:r>
          </w:p>
        </w:tc>
        <w:tc>
          <w:tcPr>
            <w:tcW w:w="0" w:type="auto"/>
            <w:tcBorders>
              <w:top w:val="nil"/>
              <w:left w:val="nil"/>
              <w:bottom w:val="nil"/>
              <w:right w:val="nil"/>
              <w:tl2br w:val="nil"/>
              <w:tr2bl w:val="nil"/>
            </w:tcBorders>
            <w:shd w:val="clear" w:color="auto" w:fill="FFFFFF"/>
            <w:tcMar>
              <w:left w:w="101" w:type="dxa"/>
              <w:right w:w="101" w:type="dxa"/>
            </w:tcMar>
            <w:vAlign w:val="bottom"/>
          </w:tcPr>
          <w:p w14:paraId="15280072" w14:textId="77777777" w:rsidR="00724034" w:rsidRDefault="00FB7D0B">
            <w:pPr>
              <w:jc w:val="right"/>
              <w:rPr>
                <w:rFonts w:ascii="Arial" w:eastAsia="Arial" w:hAnsi="Arial" w:cs="Arial"/>
                <w:color w:val="000000"/>
                <w:sz w:val="16"/>
                <w:vertAlign w:val="superscript"/>
              </w:rPr>
            </w:pPr>
            <w:r>
              <w:rPr>
                <w:rFonts w:ascii="Arial" w:eastAsia="Arial" w:hAnsi="Arial" w:cs="Arial"/>
                <w:color w:val="000000"/>
                <w:sz w:val="16"/>
              </w:rPr>
              <w:t>32,600 </w:t>
            </w:r>
          </w:p>
        </w:tc>
        <w:tc>
          <w:tcPr>
            <w:tcW w:w="0" w:type="auto"/>
            <w:tcBorders>
              <w:top w:val="nil"/>
              <w:left w:val="nil"/>
              <w:bottom w:val="nil"/>
              <w:right w:val="nil"/>
              <w:tl2br w:val="nil"/>
              <w:tr2bl w:val="nil"/>
            </w:tcBorders>
            <w:shd w:val="clear" w:color="auto" w:fill="FFFF00"/>
            <w:tcMar>
              <w:left w:w="101" w:type="dxa"/>
              <w:right w:w="101" w:type="dxa"/>
            </w:tcMar>
            <w:vAlign w:val="bottom"/>
          </w:tcPr>
          <w:p w14:paraId="3AA5D734" w14:textId="77777777" w:rsidR="00724034" w:rsidRDefault="00FB7D0B">
            <w:pPr>
              <w:jc w:val="right"/>
              <w:rPr>
                <w:rFonts w:ascii="Arial" w:eastAsia="Arial" w:hAnsi="Arial" w:cs="Arial"/>
                <w:color w:val="000000"/>
                <w:sz w:val="16"/>
              </w:rPr>
            </w:pPr>
            <w:r>
              <w:rPr>
                <w:rFonts w:ascii="Arial" w:eastAsia="Arial" w:hAnsi="Arial" w:cs="Arial"/>
                <w:color w:val="000000"/>
                <w:sz w:val="16"/>
              </w:rPr>
              <w:t>57,400 </w:t>
            </w:r>
          </w:p>
        </w:tc>
        <w:tc>
          <w:tcPr>
            <w:tcW w:w="0" w:type="auto"/>
            <w:tcBorders>
              <w:top w:val="nil"/>
              <w:left w:val="nil"/>
              <w:bottom w:val="nil"/>
              <w:right w:val="nil"/>
              <w:tl2br w:val="nil"/>
              <w:tr2bl w:val="nil"/>
            </w:tcBorders>
            <w:shd w:val="clear" w:color="auto" w:fill="FFFFFF"/>
            <w:tcMar>
              <w:left w:w="101" w:type="dxa"/>
              <w:right w:w="101" w:type="dxa"/>
            </w:tcMar>
            <w:vAlign w:val="bottom"/>
          </w:tcPr>
          <w:p w14:paraId="073DABCD" w14:textId="77777777" w:rsidR="00724034" w:rsidRDefault="00FB7D0B">
            <w:pPr>
              <w:jc w:val="right"/>
              <w:rPr>
                <w:rFonts w:ascii="Arial" w:eastAsia="Arial" w:hAnsi="Arial" w:cs="Arial"/>
                <w:color w:val="000000"/>
                <w:sz w:val="16"/>
              </w:rPr>
            </w:pPr>
            <w:r>
              <w:rPr>
                <w:rFonts w:ascii="Arial" w:eastAsia="Arial" w:hAnsi="Arial" w:cs="Arial"/>
                <w:color w:val="000000"/>
                <w:sz w:val="16"/>
              </w:rPr>
              <w:t>59,600 </w:t>
            </w:r>
          </w:p>
        </w:tc>
        <w:tc>
          <w:tcPr>
            <w:tcW w:w="0" w:type="auto"/>
            <w:tcBorders>
              <w:top w:val="nil"/>
              <w:left w:val="nil"/>
              <w:bottom w:val="nil"/>
              <w:right w:val="nil"/>
              <w:tl2br w:val="nil"/>
              <w:tr2bl w:val="nil"/>
            </w:tcBorders>
            <w:shd w:val="clear" w:color="auto" w:fill="FFFFFF"/>
            <w:tcMar>
              <w:left w:w="101" w:type="dxa"/>
              <w:right w:w="101" w:type="dxa"/>
            </w:tcMar>
            <w:vAlign w:val="bottom"/>
          </w:tcPr>
          <w:p w14:paraId="63F49D01" w14:textId="77777777" w:rsidR="00724034" w:rsidRDefault="00FB7D0B">
            <w:pPr>
              <w:jc w:val="right"/>
              <w:rPr>
                <w:rFonts w:ascii="Arial" w:eastAsia="Arial" w:hAnsi="Arial" w:cs="Arial"/>
                <w:color w:val="000000"/>
                <w:sz w:val="16"/>
              </w:rPr>
            </w:pPr>
            <w:r>
              <w:rPr>
                <w:rFonts w:ascii="Arial" w:eastAsia="Arial" w:hAnsi="Arial" w:cs="Arial"/>
                <w:color w:val="000000"/>
                <w:sz w:val="16"/>
              </w:rPr>
              <w:t>61,800 </w:t>
            </w:r>
          </w:p>
        </w:tc>
        <w:tc>
          <w:tcPr>
            <w:tcW w:w="0" w:type="auto"/>
            <w:tcBorders>
              <w:top w:val="nil"/>
              <w:left w:val="nil"/>
              <w:bottom w:val="nil"/>
              <w:right w:val="single" w:sz="6" w:space="0" w:color="000000"/>
              <w:tl2br w:val="nil"/>
              <w:tr2bl w:val="nil"/>
            </w:tcBorders>
            <w:shd w:val="clear" w:color="auto" w:fill="FFFFFF"/>
            <w:tcMar>
              <w:left w:w="101" w:type="dxa"/>
              <w:right w:w="101" w:type="dxa"/>
            </w:tcMar>
            <w:vAlign w:val="bottom"/>
          </w:tcPr>
          <w:p w14:paraId="3A381EC8" w14:textId="77777777" w:rsidR="00724034" w:rsidRDefault="00FB7D0B">
            <w:pPr>
              <w:jc w:val="right"/>
              <w:rPr>
                <w:rFonts w:ascii="Arial" w:eastAsia="Arial" w:hAnsi="Arial" w:cs="Arial"/>
                <w:color w:val="000000"/>
                <w:sz w:val="16"/>
              </w:rPr>
            </w:pPr>
            <w:r>
              <w:rPr>
                <w:rFonts w:ascii="Arial" w:eastAsia="Arial" w:hAnsi="Arial" w:cs="Arial"/>
                <w:color w:val="000000"/>
                <w:sz w:val="16"/>
              </w:rPr>
              <w:t>61,800 </w:t>
            </w:r>
          </w:p>
        </w:tc>
      </w:tr>
      <w:tr w:rsidR="00FB7D0B" w14:paraId="3DEF441B" w14:textId="77777777" w:rsidTr="00FB7D0B">
        <w:tblPrEx>
          <w:tblLook w:val="04A0" w:firstRow="1" w:lastRow="0" w:firstColumn="1" w:lastColumn="0" w:noHBand="0" w:noVBand="1"/>
        </w:tblPrEx>
        <w:trPr>
          <w:trHeight w:val="300"/>
        </w:trPr>
        <w:tc>
          <w:tcPr>
            <w:tcW w:w="0" w:type="auto"/>
            <w:gridSpan w:val="3"/>
            <w:tcBorders>
              <w:top w:val="nil"/>
              <w:left w:val="single" w:sz="6" w:space="0" w:color="000000"/>
              <w:bottom w:val="single" w:sz="6" w:space="0" w:color="000000"/>
              <w:right w:val="nil"/>
              <w:tl2br w:val="nil"/>
              <w:tr2bl w:val="nil"/>
            </w:tcBorders>
            <w:shd w:val="clear" w:color="auto" w:fill="FFFFFF"/>
            <w:tcMar>
              <w:left w:w="101" w:type="dxa"/>
              <w:right w:w="101" w:type="dxa"/>
            </w:tcMar>
            <w:vAlign w:val="bottom"/>
          </w:tcPr>
          <w:p w14:paraId="5BA24B36" w14:textId="77777777" w:rsidR="00724034" w:rsidRDefault="00FB7D0B">
            <w:pPr>
              <w:rPr>
                <w:rFonts w:ascii="Arial" w:eastAsia="Arial" w:hAnsi="Arial" w:cs="Arial"/>
                <w:color w:val="000000"/>
                <w:sz w:val="16"/>
              </w:rPr>
            </w:pPr>
            <w:r>
              <w:rPr>
                <w:rFonts w:ascii="Arial" w:eastAsia="Arial" w:hAnsi="Arial" w:cs="Arial"/>
                <w:b/>
                <w:color w:val="000000"/>
                <w:sz w:val="16"/>
              </w:rPr>
              <w:t xml:space="preserve">Total programme expenses </w:t>
            </w:r>
          </w:p>
        </w:tc>
        <w:tc>
          <w:tcPr>
            <w:tcW w:w="0" w:type="auto"/>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7C2C4402" w14:textId="77777777" w:rsidR="00724034" w:rsidRDefault="00FB7D0B">
            <w:pPr>
              <w:jc w:val="right"/>
              <w:rPr>
                <w:rFonts w:ascii="Arial" w:eastAsia="Arial" w:hAnsi="Arial" w:cs="Arial"/>
                <w:b/>
                <w:color w:val="000000"/>
                <w:sz w:val="16"/>
                <w:vertAlign w:val="superscript"/>
              </w:rPr>
            </w:pPr>
            <w:r>
              <w:rPr>
                <w:rFonts w:ascii="Arial" w:eastAsia="Arial" w:hAnsi="Arial" w:cs="Arial"/>
                <w:b/>
                <w:color w:val="000000"/>
                <w:sz w:val="16"/>
              </w:rPr>
              <w:t>32,600 </w:t>
            </w:r>
          </w:p>
        </w:tc>
        <w:tc>
          <w:tcPr>
            <w:tcW w:w="0" w:type="auto"/>
            <w:tcBorders>
              <w:top w:val="single" w:sz="6" w:space="0" w:color="000000"/>
              <w:left w:val="nil"/>
              <w:bottom w:val="single" w:sz="6" w:space="0" w:color="000000"/>
              <w:right w:val="nil"/>
              <w:tl2br w:val="nil"/>
              <w:tr2bl w:val="nil"/>
            </w:tcBorders>
            <w:shd w:val="clear" w:color="auto" w:fill="FFFF00"/>
            <w:tcMar>
              <w:left w:w="101" w:type="dxa"/>
              <w:right w:w="101" w:type="dxa"/>
            </w:tcMar>
            <w:vAlign w:val="bottom"/>
          </w:tcPr>
          <w:p w14:paraId="493A086C" w14:textId="77777777" w:rsidR="00724034" w:rsidRDefault="00FB7D0B">
            <w:pPr>
              <w:jc w:val="right"/>
              <w:rPr>
                <w:rFonts w:ascii="Arial" w:eastAsia="Arial" w:hAnsi="Arial" w:cs="Arial"/>
                <w:b/>
                <w:color w:val="000000"/>
                <w:sz w:val="16"/>
              </w:rPr>
            </w:pPr>
            <w:r>
              <w:rPr>
                <w:rFonts w:ascii="Arial" w:eastAsia="Arial" w:hAnsi="Arial" w:cs="Arial"/>
                <w:b/>
                <w:color w:val="000000"/>
                <w:sz w:val="16"/>
              </w:rPr>
              <w:t>57,400 </w:t>
            </w:r>
          </w:p>
        </w:tc>
        <w:tc>
          <w:tcPr>
            <w:tcW w:w="0" w:type="auto"/>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5261EF46" w14:textId="77777777" w:rsidR="00724034" w:rsidRDefault="00FB7D0B">
            <w:pPr>
              <w:jc w:val="right"/>
              <w:rPr>
                <w:rFonts w:ascii="Arial" w:eastAsia="Arial" w:hAnsi="Arial" w:cs="Arial"/>
                <w:b/>
                <w:color w:val="000000"/>
                <w:sz w:val="16"/>
              </w:rPr>
            </w:pPr>
            <w:r>
              <w:rPr>
                <w:rFonts w:ascii="Arial" w:eastAsia="Arial" w:hAnsi="Arial" w:cs="Arial"/>
                <w:b/>
                <w:color w:val="000000"/>
                <w:sz w:val="16"/>
              </w:rPr>
              <w:t>59,600 </w:t>
            </w:r>
          </w:p>
        </w:tc>
        <w:tc>
          <w:tcPr>
            <w:tcW w:w="0" w:type="auto"/>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12253AAE" w14:textId="77777777" w:rsidR="00724034" w:rsidRDefault="00FB7D0B">
            <w:pPr>
              <w:jc w:val="right"/>
              <w:rPr>
                <w:rFonts w:ascii="Arial" w:eastAsia="Arial" w:hAnsi="Arial" w:cs="Arial"/>
                <w:b/>
                <w:color w:val="000000"/>
                <w:sz w:val="16"/>
              </w:rPr>
            </w:pPr>
            <w:r>
              <w:rPr>
                <w:rFonts w:ascii="Arial" w:eastAsia="Arial" w:hAnsi="Arial" w:cs="Arial"/>
                <w:b/>
                <w:color w:val="000000"/>
                <w:sz w:val="16"/>
              </w:rPr>
              <w:t>61,800 </w:t>
            </w:r>
          </w:p>
        </w:tc>
        <w:tc>
          <w:tcPr>
            <w:tcW w:w="0" w:type="auto"/>
            <w:tcBorders>
              <w:top w:val="single" w:sz="6" w:space="0" w:color="000000"/>
              <w:left w:val="nil"/>
              <w:bottom w:val="single" w:sz="6" w:space="0" w:color="000000"/>
              <w:right w:val="single" w:sz="6" w:space="0" w:color="000000"/>
              <w:tl2br w:val="nil"/>
              <w:tr2bl w:val="nil"/>
            </w:tcBorders>
            <w:shd w:val="clear" w:color="auto" w:fill="FFFFFF"/>
            <w:tcMar>
              <w:left w:w="101" w:type="dxa"/>
              <w:right w:w="101" w:type="dxa"/>
            </w:tcMar>
            <w:vAlign w:val="bottom"/>
          </w:tcPr>
          <w:p w14:paraId="3948EE6B" w14:textId="77777777" w:rsidR="00724034" w:rsidRDefault="00FB7D0B">
            <w:pPr>
              <w:jc w:val="right"/>
              <w:rPr>
                <w:rFonts w:ascii="Arial" w:eastAsia="Arial" w:hAnsi="Arial" w:cs="Arial"/>
                <w:b/>
                <w:color w:val="000000"/>
                <w:sz w:val="16"/>
              </w:rPr>
            </w:pPr>
            <w:r>
              <w:rPr>
                <w:rFonts w:ascii="Arial" w:eastAsia="Arial" w:hAnsi="Arial" w:cs="Arial"/>
                <w:b/>
                <w:color w:val="000000"/>
                <w:sz w:val="16"/>
              </w:rPr>
              <w:t>61,800 </w:t>
            </w:r>
          </w:p>
        </w:tc>
      </w:tr>
    </w:tbl>
    <w:p w14:paraId="1F14935B" w14:textId="77777777" w:rsidR="00724034" w:rsidRDefault="00724034">
      <w:pPr>
        <w:rPr>
          <w:rFonts w:ascii="Times New Roman" w:eastAsia="Times New Roman" w:hAnsi="Times New Roman" w:cs="Times New Roman"/>
        </w:rPr>
      </w:pPr>
    </w:p>
    <w:p w14:paraId="7365D1D6" w14:textId="77777777" w:rsidR="003F0EEA" w:rsidRPr="00BF7A99" w:rsidRDefault="00FB7D0B" w:rsidP="003F0EEA">
      <w:pPr>
        <w:pStyle w:val="ListParagraph15"/>
        <w:numPr>
          <w:ilvl w:val="0"/>
          <w:numId w:val="47"/>
        </w:numPr>
        <w:spacing w:after="200" w:line="276" w:lineRule="auto"/>
        <w:ind w:left="284" w:hanging="284"/>
        <w:rPr>
          <w:rFonts w:ascii="Arial" w:eastAsia="Calibri" w:hAnsi="Arial" w:cs="Arial"/>
          <w:sz w:val="16"/>
          <w:szCs w:val="16"/>
          <w:lang w:eastAsia="en-US"/>
        </w:rPr>
      </w:pPr>
      <w:r w:rsidRPr="004D4F1D">
        <w:rPr>
          <w:rFonts w:ascii="Arial" w:eastAsia="Calibri" w:hAnsi="Arial" w:cs="Arial"/>
          <w:sz w:val="16"/>
          <w:szCs w:val="16"/>
          <w:lang w:eastAsia="en-US"/>
        </w:rPr>
        <w:t xml:space="preserve">Expenses not requiring appropriation in the Budget year is made up of Depreciation Expense, Amortisation </w:t>
      </w:r>
      <w:r w:rsidRPr="004D4F1D">
        <w:rPr>
          <w:rFonts w:ascii="Arial" w:eastAsia="Calibri" w:hAnsi="Arial" w:cs="Arial"/>
          <w:sz w:val="16"/>
          <w:szCs w:val="16"/>
          <w:lang w:eastAsia="en-US"/>
        </w:rPr>
        <w:br/>
        <w:t>Expense and Resources Received Free of Charge.</w:t>
      </w:r>
    </w:p>
    <w:p w14:paraId="242FFF65" w14:textId="77777777" w:rsidR="003F0EEA" w:rsidRPr="00BF7A99" w:rsidRDefault="003F0EEA">
      <w:pPr>
        <w:rPr>
          <w:rFonts w:ascii="Arial" w:hAnsi="Arial" w:cs="Arial"/>
          <w:sz w:val="16"/>
          <w:szCs w:val="16"/>
          <w:lang w:eastAsia="en-US"/>
        </w:rPr>
        <w:sectPr w:rsidR="003F0EEA" w:rsidRPr="00BF7A99">
          <w:pgSz w:w="10319" w:h="14572"/>
          <w:pgMar w:top="1077" w:right="1077" w:bottom="1134" w:left="1134" w:header="709" w:footer="709" w:gutter="0"/>
          <w:cols w:space="708"/>
        </w:sectPr>
      </w:pPr>
    </w:p>
    <w:p w14:paraId="60659AE2" w14:textId="77777777" w:rsidR="003F0EEA" w:rsidRDefault="00FB7D0B" w:rsidP="003F0EEA">
      <w:pPr>
        <w:pStyle w:val="Part2"/>
        <w:spacing w:before="240" w:after="240"/>
        <w:jc w:val="left"/>
        <w:rPr>
          <w:bCs w:val="0"/>
          <w:sz w:val="26"/>
          <w:szCs w:val="26"/>
        </w:rPr>
      </w:pPr>
      <w:r w:rsidRPr="00A51C80">
        <w:rPr>
          <w:bCs w:val="0"/>
          <w:sz w:val="26"/>
          <w:szCs w:val="26"/>
        </w:rPr>
        <w:lastRenderedPageBreak/>
        <w:t xml:space="preserve">Outcome </w:t>
      </w:r>
      <w:r>
        <w:rPr>
          <w:bCs w:val="0"/>
          <w:sz w:val="26"/>
          <w:szCs w:val="26"/>
        </w:rPr>
        <w:t>3</w:t>
      </w:r>
    </w:p>
    <w:tbl>
      <w:tblPr>
        <w:tblW w:w="836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8364"/>
      </w:tblGrid>
      <w:tr w:rsidR="00724034" w14:paraId="05D09170" w14:textId="77777777" w:rsidTr="003F0EEA">
        <w:tc>
          <w:tcPr>
            <w:tcW w:w="8364" w:type="dxa"/>
            <w:tcBorders>
              <w:top w:val="single" w:sz="2" w:space="0" w:color="auto"/>
              <w:left w:val="single" w:sz="2" w:space="0" w:color="auto"/>
              <w:bottom w:val="single" w:sz="2" w:space="0" w:color="auto"/>
              <w:right w:val="single" w:sz="2" w:space="0" w:color="auto"/>
            </w:tcBorders>
            <w:shd w:val="clear" w:color="auto" w:fill="E6E6E6"/>
          </w:tcPr>
          <w:p w14:paraId="34F3BE19" w14:textId="77777777" w:rsidR="003F0EEA" w:rsidRPr="002E4004" w:rsidRDefault="00FB7D0B" w:rsidP="003F0EEA">
            <w:pPr>
              <w:pStyle w:val="BoxHeading1"/>
              <w:rPr>
                <w:rFonts w:cs="Arial"/>
              </w:rPr>
            </w:pPr>
            <w:r w:rsidRPr="002E4004">
              <w:t>Outcome 3: Acknowledgement and commemoration of those who served Australia and its allies in wars, conflicts and peace operations through promoting recognition of service and sacrifice, preservation of Australia’s wartime heritage, and official commemorations.</w:t>
            </w:r>
          </w:p>
        </w:tc>
      </w:tr>
    </w:tbl>
    <w:p w14:paraId="2D682CB0" w14:textId="77777777" w:rsidR="003F0EEA" w:rsidRDefault="00FB7D0B" w:rsidP="003F0EEA">
      <w:pPr>
        <w:pStyle w:val="Heading46"/>
      </w:pPr>
      <w:r>
        <w:rPr>
          <w:rFonts w:cs="Arial"/>
        </w:rPr>
        <w:t>Outcome 3 Strategy</w:t>
      </w:r>
    </w:p>
    <w:p w14:paraId="10871BDB" w14:textId="77777777" w:rsidR="003F0EEA" w:rsidRDefault="00FB7D0B" w:rsidP="003F0EEA">
      <w:pPr>
        <w:pStyle w:val="Bullet3"/>
      </w:pPr>
      <w:r>
        <w:t>Promote community involvement in commemorations programmes, in conjunction with other government agencies and ex-service and community organisations.</w:t>
      </w:r>
    </w:p>
    <w:p w14:paraId="2A4451B7" w14:textId="77777777" w:rsidR="003F0EEA" w:rsidRDefault="00FB7D0B" w:rsidP="003F0EEA">
      <w:pPr>
        <w:pStyle w:val="Bullet3"/>
      </w:pPr>
      <w:r>
        <w:t xml:space="preserve">Support community awareness and preservation of </w:t>
      </w:r>
      <w:smartTag w:uri="urn:schemas-microsoft-com:office:smarttags" w:element="country-region">
        <w:smartTag w:uri="urn:schemas-microsoft-com:office:smarttags" w:element="place">
          <w:r>
            <w:t>Australia</w:t>
          </w:r>
        </w:smartTag>
      </w:smartTag>
      <w:r>
        <w:t>’s wartime and service heritage and veterans’ experiences.</w:t>
      </w:r>
    </w:p>
    <w:p w14:paraId="19FF92F4" w14:textId="77777777" w:rsidR="003F0EEA" w:rsidRDefault="00FB7D0B" w:rsidP="003F0EEA">
      <w:pPr>
        <w:pStyle w:val="Bullet3"/>
      </w:pPr>
      <w:r>
        <w:t>Commemorate eligible war dead and deceased veterans by maintaining individual graves, war cemeteries and Gardens of Remembrance.</w:t>
      </w:r>
    </w:p>
    <w:p w14:paraId="7CB55A54" w14:textId="77777777" w:rsidR="003F0EEA" w:rsidRDefault="00FB7D0B" w:rsidP="003F0EEA">
      <w:pPr>
        <w:pStyle w:val="Bullet3"/>
      </w:pPr>
      <w:r>
        <w:t>Maintain existing national memorials overseas and construct new memorials as determined by government processes.</w:t>
      </w:r>
    </w:p>
    <w:p w14:paraId="5457317D" w14:textId="77777777" w:rsidR="003F0EEA" w:rsidRDefault="00FB7D0B" w:rsidP="003F0EEA">
      <w:pPr>
        <w:pStyle w:val="Bullet3"/>
      </w:pPr>
      <w:r>
        <w:t>Manage Anzac Day services at Gallipoli, Turkey and Villers-Bretonneux, France, and support Anzac Day services at a number of other overseas locations, including Malaysia, Papua New Guinea and Thailand.</w:t>
      </w:r>
    </w:p>
    <w:p w14:paraId="301274AF" w14:textId="77777777" w:rsidR="003F0EEA" w:rsidRPr="00A51C80" w:rsidRDefault="00FB7D0B">
      <w:pPr>
        <w:spacing w:line="14" w:lineRule="exact"/>
        <w:rPr>
          <w:rFonts w:eastAsia="Times New Roman" w:cs="Times New Roman"/>
        </w:rPr>
      </w:pPr>
      <w:r w:rsidRPr="00A51C80">
        <w:rPr>
          <w:rFonts w:eastAsia="Times New Roman" w:cs="Times New Roman"/>
        </w:rPr>
        <w:br w:type="page"/>
      </w:r>
    </w:p>
    <w:p w14:paraId="4F13231B" w14:textId="77777777" w:rsidR="003F0EEA" w:rsidRDefault="00FB7D0B" w:rsidP="003F0EEA">
      <w:pPr>
        <w:pStyle w:val="Heading47"/>
      </w:pPr>
      <w:r>
        <w:t>Outcome 3 Expense Statement</w:t>
      </w:r>
    </w:p>
    <w:p w14:paraId="2C36B23A" w14:textId="77777777" w:rsidR="003F0EEA" w:rsidRDefault="00FB7D0B" w:rsidP="003F0EEA">
      <w:pPr>
        <w:pStyle w:val="Normal147"/>
        <w:spacing w:after="0" w:line="240" w:lineRule="auto"/>
      </w:pPr>
      <w:r>
        <w:t>Table 2.3 provides an overview of the total expenses for Outcome 3 by programme.</w:t>
      </w:r>
    </w:p>
    <w:p w14:paraId="496038BB" w14:textId="77777777" w:rsidR="003F0EEA" w:rsidRDefault="00FB7D0B" w:rsidP="003F0EEA">
      <w:pPr>
        <w:pStyle w:val="TableHeading6"/>
      </w:pPr>
      <w:r>
        <w:t>Table 2.3: Budgeted Expenses and Resources for Outcome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5"/>
        <w:gridCol w:w="5325"/>
        <w:gridCol w:w="1230"/>
        <w:gridCol w:w="1230"/>
      </w:tblGrid>
      <w:tr w:rsidR="00FB7D0B" w14:paraId="78D427D0" w14:textId="77777777" w:rsidTr="00FB7D0B">
        <w:trPr>
          <w:trHeight w:val="225"/>
        </w:trPr>
        <w:tc>
          <w:tcPr>
            <w:tcW w:w="5610" w:type="dxa"/>
            <w:gridSpan w:val="2"/>
            <w:vMerge w:val="restart"/>
            <w:tcBorders>
              <w:top w:val="single" w:sz="6" w:space="0" w:color="000000"/>
              <w:left w:val="nil"/>
              <w:bottom w:val="nil"/>
              <w:right w:val="nil"/>
              <w:tl2br w:val="nil"/>
              <w:tr2bl w:val="nil"/>
            </w:tcBorders>
            <w:shd w:val="clear" w:color="auto" w:fill="FFFFFF"/>
            <w:tcMar>
              <w:left w:w="101" w:type="dxa"/>
              <w:right w:w="101" w:type="dxa"/>
            </w:tcMar>
          </w:tcPr>
          <w:p w14:paraId="0B6D39B9" w14:textId="77777777" w:rsidR="003F0EEA" w:rsidRDefault="00FB7D0B">
            <w:pPr>
              <w:rPr>
                <w:rFonts w:eastAsia="Times New Roman" w:cs="Times New Roman"/>
              </w:rPr>
            </w:pPr>
            <w:r>
              <w:rPr>
                <w:rFonts w:ascii="Arial" w:eastAsia="Arial" w:hAnsi="Arial" w:cs="Arial"/>
                <w:b/>
                <w:color w:val="000000"/>
                <w:sz w:val="16"/>
              </w:rPr>
              <w:t xml:space="preserve">Outcome 3:   </w:t>
            </w:r>
            <w:r>
              <w:rPr>
                <w:rFonts w:ascii="Arial" w:eastAsia="Arial" w:hAnsi="Arial" w:cs="Arial"/>
                <w:color w:val="000000"/>
                <w:sz w:val="16"/>
              </w:rPr>
              <w:t>Acknowledgement and commemoration of those who served Australia and its allies in wars, conflicts and peace operations through promoting recognition of service and sacrifice, preservation of Australia’s wartime heritage, and official commemorations.</w:t>
            </w:r>
          </w:p>
        </w:tc>
        <w:tc>
          <w:tcPr>
            <w:tcW w:w="1230"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784C353C" w14:textId="77777777" w:rsidR="003F0EEA" w:rsidRDefault="00FB7D0B">
            <w:pPr>
              <w:jc w:val="right"/>
              <w:rPr>
                <w:rFonts w:ascii="Arial" w:eastAsia="Arial" w:hAnsi="Arial" w:cs="Arial"/>
                <w:b/>
                <w:color w:val="000000"/>
                <w:sz w:val="16"/>
                <w:vertAlign w:val="superscript"/>
              </w:rPr>
            </w:pPr>
            <w:r>
              <w:rPr>
                <w:rFonts w:ascii="Arial" w:eastAsia="Arial" w:hAnsi="Arial" w:cs="Arial"/>
                <w:color w:val="000000"/>
                <w:sz w:val="16"/>
              </w:rPr>
              <w:t>2013-14</w:t>
            </w:r>
          </w:p>
        </w:tc>
        <w:tc>
          <w:tcPr>
            <w:tcW w:w="1230" w:type="dxa"/>
            <w:tcBorders>
              <w:top w:val="single" w:sz="6" w:space="0" w:color="000000"/>
              <w:left w:val="nil"/>
              <w:bottom w:val="nil"/>
              <w:right w:val="nil"/>
              <w:tl2br w:val="nil"/>
              <w:tr2bl w:val="nil"/>
            </w:tcBorders>
            <w:shd w:val="clear" w:color="auto" w:fill="FFFF00"/>
            <w:tcMar>
              <w:left w:w="101" w:type="dxa"/>
              <w:right w:w="101" w:type="dxa"/>
            </w:tcMar>
            <w:vAlign w:val="bottom"/>
          </w:tcPr>
          <w:p w14:paraId="1EA3467F" w14:textId="77777777" w:rsidR="003F0EEA" w:rsidRDefault="00FB7D0B">
            <w:pPr>
              <w:jc w:val="right"/>
              <w:rPr>
                <w:rFonts w:ascii="Arial" w:eastAsia="Arial" w:hAnsi="Arial" w:cs="Arial"/>
                <w:color w:val="000000"/>
                <w:sz w:val="16"/>
              </w:rPr>
            </w:pPr>
            <w:r>
              <w:rPr>
                <w:rFonts w:ascii="Arial" w:eastAsia="Arial" w:hAnsi="Arial" w:cs="Arial"/>
                <w:color w:val="000000"/>
                <w:sz w:val="16"/>
              </w:rPr>
              <w:t>2014-15</w:t>
            </w:r>
          </w:p>
        </w:tc>
      </w:tr>
      <w:tr w:rsidR="00FB7D0B" w14:paraId="19E3F5AC" w14:textId="77777777" w:rsidTr="00FB7D0B">
        <w:trPr>
          <w:trHeight w:val="225"/>
        </w:trPr>
        <w:tc>
          <w:tcPr>
            <w:tcW w:w="5610" w:type="dxa"/>
            <w:gridSpan w:val="2"/>
            <w:vMerge/>
            <w:tcBorders>
              <w:top w:val="nil"/>
              <w:left w:val="nil"/>
              <w:bottom w:val="nil"/>
              <w:right w:val="nil"/>
              <w:tl2br w:val="nil"/>
              <w:tr2bl w:val="nil"/>
            </w:tcBorders>
            <w:shd w:val="clear" w:color="auto" w:fill="FFFF00"/>
            <w:tcMar>
              <w:left w:w="101" w:type="dxa"/>
              <w:right w:w="101" w:type="dxa"/>
            </w:tcMar>
            <w:vAlign w:val="bottom"/>
          </w:tcPr>
          <w:p w14:paraId="7E0840CF" w14:textId="77777777" w:rsidR="003F0EEA" w:rsidRDefault="003F0EEA">
            <w:pPr>
              <w:jc w:val="right"/>
              <w:rPr>
                <w:rFonts w:ascii="Arial" w:eastAsia="Arial" w:hAnsi="Arial" w:cs="Arial"/>
                <w:color w:val="000000"/>
                <w:sz w:val="16"/>
              </w:rPr>
            </w:pPr>
          </w:p>
        </w:tc>
        <w:tc>
          <w:tcPr>
            <w:tcW w:w="1230" w:type="dxa"/>
            <w:tcBorders>
              <w:top w:val="nil"/>
              <w:left w:val="nil"/>
              <w:bottom w:val="nil"/>
              <w:right w:val="nil"/>
              <w:tl2br w:val="nil"/>
              <w:tr2bl w:val="nil"/>
            </w:tcBorders>
            <w:shd w:val="clear" w:color="auto" w:fill="FFFFFF"/>
            <w:tcMar>
              <w:left w:w="101" w:type="dxa"/>
              <w:right w:w="101" w:type="dxa"/>
            </w:tcMar>
            <w:vAlign w:val="bottom"/>
          </w:tcPr>
          <w:p w14:paraId="1DAB34EB" w14:textId="77777777" w:rsidR="003F0EEA" w:rsidRDefault="00FB7D0B">
            <w:pPr>
              <w:jc w:val="right"/>
              <w:rPr>
                <w:rFonts w:ascii="Arial" w:eastAsia="Arial" w:hAnsi="Arial" w:cs="Arial"/>
                <w:color w:val="000000"/>
                <w:sz w:val="16"/>
              </w:rPr>
            </w:pPr>
            <w:r>
              <w:rPr>
                <w:rFonts w:ascii="Arial" w:eastAsia="Arial" w:hAnsi="Arial" w:cs="Arial"/>
                <w:color w:val="000000"/>
                <w:sz w:val="16"/>
              </w:rPr>
              <w:t>Estimated</w:t>
            </w:r>
          </w:p>
        </w:tc>
        <w:tc>
          <w:tcPr>
            <w:tcW w:w="1230" w:type="dxa"/>
            <w:tcBorders>
              <w:top w:val="nil"/>
              <w:left w:val="nil"/>
              <w:bottom w:val="nil"/>
              <w:right w:val="nil"/>
              <w:tl2br w:val="nil"/>
              <w:tr2bl w:val="nil"/>
            </w:tcBorders>
            <w:shd w:val="clear" w:color="auto" w:fill="FFFF00"/>
            <w:tcMar>
              <w:left w:w="101" w:type="dxa"/>
              <w:right w:w="101" w:type="dxa"/>
            </w:tcMar>
            <w:vAlign w:val="bottom"/>
          </w:tcPr>
          <w:p w14:paraId="4C19EE9E" w14:textId="77777777" w:rsidR="003F0EEA" w:rsidRDefault="00FB7D0B">
            <w:pPr>
              <w:jc w:val="right"/>
              <w:rPr>
                <w:rFonts w:ascii="Arial" w:eastAsia="Arial" w:hAnsi="Arial" w:cs="Arial"/>
                <w:color w:val="000000"/>
                <w:sz w:val="16"/>
              </w:rPr>
            </w:pPr>
            <w:r>
              <w:rPr>
                <w:rFonts w:ascii="Arial" w:eastAsia="Arial" w:hAnsi="Arial" w:cs="Arial"/>
                <w:color w:val="000000"/>
                <w:sz w:val="16"/>
              </w:rPr>
              <w:t>Estimated</w:t>
            </w:r>
          </w:p>
        </w:tc>
      </w:tr>
      <w:tr w:rsidR="00FB7D0B" w14:paraId="5F04A03A" w14:textId="77777777" w:rsidTr="00FB7D0B">
        <w:trPr>
          <w:trHeight w:val="225"/>
        </w:trPr>
        <w:tc>
          <w:tcPr>
            <w:tcW w:w="5610" w:type="dxa"/>
            <w:gridSpan w:val="2"/>
            <w:vMerge/>
            <w:tcBorders>
              <w:top w:val="nil"/>
              <w:left w:val="nil"/>
              <w:bottom w:val="nil"/>
              <w:right w:val="nil"/>
              <w:tl2br w:val="nil"/>
              <w:tr2bl w:val="nil"/>
            </w:tcBorders>
            <w:shd w:val="clear" w:color="auto" w:fill="FFFF00"/>
            <w:tcMar>
              <w:left w:w="101" w:type="dxa"/>
              <w:right w:w="101" w:type="dxa"/>
            </w:tcMar>
            <w:vAlign w:val="bottom"/>
          </w:tcPr>
          <w:p w14:paraId="59548BE5" w14:textId="77777777" w:rsidR="003F0EEA" w:rsidRDefault="003F0EEA">
            <w:pPr>
              <w:jc w:val="right"/>
              <w:rPr>
                <w:rFonts w:ascii="Arial" w:eastAsia="Arial" w:hAnsi="Arial" w:cs="Arial"/>
                <w:color w:val="000000"/>
                <w:sz w:val="16"/>
              </w:rPr>
            </w:pPr>
          </w:p>
        </w:tc>
        <w:tc>
          <w:tcPr>
            <w:tcW w:w="1230" w:type="dxa"/>
            <w:tcBorders>
              <w:top w:val="nil"/>
              <w:left w:val="nil"/>
              <w:bottom w:val="nil"/>
              <w:right w:val="nil"/>
              <w:tl2br w:val="nil"/>
              <w:tr2bl w:val="nil"/>
            </w:tcBorders>
            <w:shd w:val="clear" w:color="auto" w:fill="FFFFFF"/>
            <w:tcMar>
              <w:left w:w="101" w:type="dxa"/>
              <w:right w:w="101" w:type="dxa"/>
            </w:tcMar>
            <w:vAlign w:val="bottom"/>
          </w:tcPr>
          <w:p w14:paraId="1B87A3D0" w14:textId="77777777" w:rsidR="003F0EEA" w:rsidRDefault="00FB7D0B">
            <w:pPr>
              <w:jc w:val="right"/>
              <w:rPr>
                <w:rFonts w:ascii="Arial" w:eastAsia="Arial" w:hAnsi="Arial" w:cs="Arial"/>
                <w:color w:val="000000"/>
                <w:sz w:val="16"/>
              </w:rPr>
            </w:pPr>
            <w:r>
              <w:rPr>
                <w:rFonts w:ascii="Arial" w:eastAsia="Arial" w:hAnsi="Arial" w:cs="Arial"/>
                <w:color w:val="000000"/>
                <w:sz w:val="16"/>
              </w:rPr>
              <w:t>actual</w:t>
            </w:r>
          </w:p>
        </w:tc>
        <w:tc>
          <w:tcPr>
            <w:tcW w:w="1230" w:type="dxa"/>
            <w:tcBorders>
              <w:top w:val="nil"/>
              <w:left w:val="nil"/>
              <w:bottom w:val="nil"/>
              <w:right w:val="nil"/>
              <w:tl2br w:val="nil"/>
              <w:tr2bl w:val="nil"/>
            </w:tcBorders>
            <w:shd w:val="clear" w:color="auto" w:fill="FFFF00"/>
            <w:tcMar>
              <w:left w:w="101" w:type="dxa"/>
              <w:right w:w="101" w:type="dxa"/>
            </w:tcMar>
            <w:vAlign w:val="bottom"/>
          </w:tcPr>
          <w:p w14:paraId="3DA43150" w14:textId="77777777" w:rsidR="003F0EEA" w:rsidRDefault="00FB7D0B">
            <w:pPr>
              <w:jc w:val="right"/>
              <w:rPr>
                <w:rFonts w:ascii="Arial" w:eastAsia="Arial" w:hAnsi="Arial" w:cs="Arial"/>
                <w:color w:val="000000"/>
                <w:sz w:val="16"/>
              </w:rPr>
            </w:pPr>
            <w:r>
              <w:rPr>
                <w:rFonts w:ascii="Arial" w:eastAsia="Arial" w:hAnsi="Arial" w:cs="Arial"/>
                <w:color w:val="000000"/>
                <w:sz w:val="16"/>
              </w:rPr>
              <w:t>expenses</w:t>
            </w:r>
          </w:p>
        </w:tc>
      </w:tr>
      <w:tr w:rsidR="00FB7D0B" w14:paraId="64A6D634" w14:textId="77777777" w:rsidTr="00FB7D0B">
        <w:trPr>
          <w:trHeight w:val="225"/>
        </w:trPr>
        <w:tc>
          <w:tcPr>
            <w:tcW w:w="5610" w:type="dxa"/>
            <w:gridSpan w:val="2"/>
            <w:vMerge/>
            <w:tcBorders>
              <w:top w:val="nil"/>
              <w:left w:val="nil"/>
              <w:bottom w:val="nil"/>
              <w:right w:val="nil"/>
              <w:tl2br w:val="nil"/>
              <w:tr2bl w:val="nil"/>
            </w:tcBorders>
            <w:shd w:val="clear" w:color="auto" w:fill="FFFF00"/>
            <w:tcMar>
              <w:left w:w="101" w:type="dxa"/>
              <w:right w:w="101" w:type="dxa"/>
            </w:tcMar>
            <w:vAlign w:val="bottom"/>
          </w:tcPr>
          <w:p w14:paraId="4F83CCED" w14:textId="77777777" w:rsidR="003F0EEA" w:rsidRDefault="003F0EEA">
            <w:pPr>
              <w:jc w:val="right"/>
              <w:rPr>
                <w:rFonts w:ascii="Arial" w:eastAsia="Arial" w:hAnsi="Arial" w:cs="Arial"/>
                <w:color w:val="000000"/>
                <w:sz w:val="16"/>
              </w:rPr>
            </w:pPr>
          </w:p>
        </w:tc>
        <w:tc>
          <w:tcPr>
            <w:tcW w:w="1230" w:type="dxa"/>
            <w:tcBorders>
              <w:top w:val="nil"/>
              <w:left w:val="nil"/>
              <w:bottom w:val="nil"/>
              <w:right w:val="nil"/>
              <w:tl2br w:val="nil"/>
              <w:tr2bl w:val="nil"/>
            </w:tcBorders>
            <w:shd w:val="clear" w:color="auto" w:fill="FFFFFF"/>
            <w:tcMar>
              <w:left w:w="101" w:type="dxa"/>
              <w:right w:w="101" w:type="dxa"/>
            </w:tcMar>
            <w:vAlign w:val="bottom"/>
          </w:tcPr>
          <w:p w14:paraId="0E59839B" w14:textId="77777777" w:rsidR="003F0EEA" w:rsidRDefault="00FB7D0B">
            <w:pPr>
              <w:jc w:val="right"/>
              <w:rPr>
                <w:rFonts w:ascii="Arial" w:eastAsia="Arial" w:hAnsi="Arial" w:cs="Arial"/>
                <w:color w:val="000000"/>
                <w:sz w:val="16"/>
              </w:rPr>
            </w:pPr>
            <w:r>
              <w:rPr>
                <w:rFonts w:ascii="Arial" w:eastAsia="Arial" w:hAnsi="Arial" w:cs="Arial"/>
                <w:color w:val="000000"/>
                <w:sz w:val="16"/>
              </w:rPr>
              <w:t>expenses</w:t>
            </w:r>
          </w:p>
        </w:tc>
        <w:tc>
          <w:tcPr>
            <w:tcW w:w="1230" w:type="dxa"/>
            <w:tcBorders>
              <w:top w:val="nil"/>
              <w:left w:val="nil"/>
              <w:bottom w:val="nil"/>
              <w:right w:val="nil"/>
              <w:tl2br w:val="nil"/>
              <w:tr2bl w:val="nil"/>
            </w:tcBorders>
            <w:shd w:val="clear" w:color="auto" w:fill="FFFF00"/>
            <w:tcMar>
              <w:left w:w="101" w:type="dxa"/>
              <w:right w:w="101" w:type="dxa"/>
            </w:tcMar>
            <w:vAlign w:val="bottom"/>
          </w:tcPr>
          <w:p w14:paraId="1B1A8D2E" w14:textId="77777777" w:rsidR="003F0EEA" w:rsidRDefault="003F0EEA">
            <w:pPr>
              <w:jc w:val="right"/>
              <w:rPr>
                <w:rFonts w:ascii="Arial" w:eastAsia="Arial" w:hAnsi="Arial" w:cs="Arial"/>
                <w:color w:val="000000"/>
                <w:sz w:val="16"/>
              </w:rPr>
            </w:pPr>
          </w:p>
        </w:tc>
      </w:tr>
      <w:tr w:rsidR="00FB7D0B" w14:paraId="64C7C49B" w14:textId="77777777" w:rsidTr="00FB7D0B">
        <w:trPr>
          <w:trHeight w:val="225"/>
        </w:trPr>
        <w:tc>
          <w:tcPr>
            <w:tcW w:w="5610" w:type="dxa"/>
            <w:gridSpan w:val="2"/>
            <w:vMerge/>
            <w:tcBorders>
              <w:top w:val="nil"/>
              <w:left w:val="nil"/>
              <w:bottom w:val="nil"/>
              <w:right w:val="nil"/>
              <w:tl2br w:val="nil"/>
              <w:tr2bl w:val="nil"/>
            </w:tcBorders>
            <w:shd w:val="clear" w:color="auto" w:fill="FFFF00"/>
            <w:tcMar>
              <w:left w:w="101" w:type="dxa"/>
              <w:right w:w="101" w:type="dxa"/>
            </w:tcMar>
            <w:vAlign w:val="bottom"/>
          </w:tcPr>
          <w:p w14:paraId="6F748771" w14:textId="77777777" w:rsidR="003F0EEA" w:rsidRDefault="003F0EEA">
            <w:pPr>
              <w:jc w:val="right"/>
              <w:rPr>
                <w:rFonts w:ascii="Arial" w:eastAsia="Arial" w:hAnsi="Arial" w:cs="Arial"/>
                <w:color w:val="000000"/>
                <w:sz w:val="16"/>
              </w:rPr>
            </w:pPr>
          </w:p>
        </w:tc>
        <w:tc>
          <w:tcPr>
            <w:tcW w:w="1230"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647CF23C" w14:textId="77777777" w:rsidR="003F0EEA" w:rsidRDefault="00FB7D0B">
            <w:pPr>
              <w:jc w:val="right"/>
              <w:rPr>
                <w:rFonts w:ascii="Arial" w:eastAsia="Arial" w:hAnsi="Arial" w:cs="Arial"/>
                <w:color w:val="000000"/>
                <w:sz w:val="16"/>
              </w:rPr>
            </w:pPr>
            <w:r>
              <w:rPr>
                <w:rFonts w:ascii="Arial" w:eastAsia="Arial" w:hAnsi="Arial" w:cs="Arial"/>
                <w:color w:val="000000"/>
                <w:sz w:val="16"/>
              </w:rPr>
              <w:t>$'000</w:t>
            </w:r>
          </w:p>
        </w:tc>
        <w:tc>
          <w:tcPr>
            <w:tcW w:w="1230" w:type="dxa"/>
            <w:tcBorders>
              <w:top w:val="nil"/>
              <w:left w:val="nil"/>
              <w:bottom w:val="single" w:sz="6" w:space="0" w:color="000000"/>
              <w:right w:val="nil"/>
              <w:tl2br w:val="nil"/>
              <w:tr2bl w:val="nil"/>
            </w:tcBorders>
            <w:shd w:val="clear" w:color="auto" w:fill="FFFF00"/>
            <w:tcMar>
              <w:left w:w="101" w:type="dxa"/>
              <w:right w:w="101" w:type="dxa"/>
            </w:tcMar>
            <w:vAlign w:val="bottom"/>
          </w:tcPr>
          <w:p w14:paraId="2865CF20" w14:textId="77777777" w:rsidR="003F0EEA" w:rsidRDefault="00FB7D0B">
            <w:pPr>
              <w:jc w:val="right"/>
              <w:rPr>
                <w:rFonts w:ascii="Arial" w:eastAsia="Arial" w:hAnsi="Arial" w:cs="Arial"/>
                <w:color w:val="000000"/>
                <w:sz w:val="16"/>
              </w:rPr>
            </w:pPr>
            <w:r>
              <w:rPr>
                <w:rFonts w:ascii="Arial" w:eastAsia="Arial" w:hAnsi="Arial" w:cs="Arial"/>
                <w:color w:val="000000"/>
                <w:sz w:val="16"/>
              </w:rPr>
              <w:t>$'000</w:t>
            </w:r>
          </w:p>
        </w:tc>
      </w:tr>
      <w:tr w:rsidR="00FB7D0B" w14:paraId="6574F810" w14:textId="77777777" w:rsidTr="00FB7D0B">
        <w:trPr>
          <w:trHeight w:val="225"/>
        </w:trPr>
        <w:tc>
          <w:tcPr>
            <w:tcW w:w="5610" w:type="dxa"/>
            <w:gridSpan w:val="2"/>
            <w:tcBorders>
              <w:top w:val="nil"/>
              <w:left w:val="nil"/>
              <w:bottom w:val="nil"/>
              <w:right w:val="nil"/>
              <w:tl2br w:val="nil"/>
              <w:tr2bl w:val="nil"/>
            </w:tcBorders>
            <w:shd w:val="clear" w:color="auto" w:fill="FFFFFF"/>
            <w:tcMar>
              <w:left w:w="101" w:type="dxa"/>
              <w:right w:w="101" w:type="dxa"/>
            </w:tcMar>
            <w:vAlign w:val="bottom"/>
          </w:tcPr>
          <w:p w14:paraId="5ECE612C" w14:textId="77777777" w:rsidR="003F0EEA" w:rsidRDefault="00FB7D0B">
            <w:pPr>
              <w:rPr>
                <w:rFonts w:ascii="Arial" w:eastAsia="Arial" w:hAnsi="Arial" w:cs="Arial"/>
                <w:color w:val="000000"/>
                <w:sz w:val="16"/>
              </w:rPr>
            </w:pPr>
            <w:r>
              <w:rPr>
                <w:rFonts w:ascii="Arial" w:eastAsia="Arial" w:hAnsi="Arial" w:cs="Arial"/>
                <w:b/>
                <w:color w:val="000000"/>
                <w:sz w:val="16"/>
              </w:rPr>
              <w:t>Programme 3.1:  War Graves and Commemorations</w:t>
            </w:r>
          </w:p>
        </w:tc>
        <w:tc>
          <w:tcPr>
            <w:tcW w:w="1230"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2E72C048" w14:textId="77777777" w:rsidR="003F0EEA" w:rsidRDefault="003F0EEA">
            <w:pPr>
              <w:jc w:val="right"/>
              <w:rPr>
                <w:rFonts w:ascii="Arial" w:eastAsia="Arial" w:hAnsi="Arial" w:cs="Arial"/>
                <w:color w:val="000000"/>
                <w:sz w:val="16"/>
                <w:vertAlign w:val="superscript"/>
              </w:rPr>
            </w:pPr>
          </w:p>
        </w:tc>
        <w:tc>
          <w:tcPr>
            <w:tcW w:w="1230" w:type="dxa"/>
            <w:tcBorders>
              <w:top w:val="single" w:sz="6" w:space="0" w:color="000000"/>
              <w:left w:val="nil"/>
              <w:bottom w:val="nil"/>
              <w:right w:val="nil"/>
              <w:tl2br w:val="nil"/>
              <w:tr2bl w:val="nil"/>
            </w:tcBorders>
            <w:shd w:val="clear" w:color="auto" w:fill="FFFF00"/>
            <w:tcMar>
              <w:left w:w="101" w:type="dxa"/>
              <w:right w:w="101" w:type="dxa"/>
            </w:tcMar>
            <w:vAlign w:val="bottom"/>
          </w:tcPr>
          <w:p w14:paraId="03476832" w14:textId="77777777" w:rsidR="003F0EEA" w:rsidRDefault="003F0EEA">
            <w:pPr>
              <w:jc w:val="right"/>
              <w:rPr>
                <w:rFonts w:ascii="Arial" w:eastAsia="Arial" w:hAnsi="Arial" w:cs="Arial"/>
                <w:color w:val="000000"/>
                <w:sz w:val="16"/>
                <w:vertAlign w:val="superscript"/>
              </w:rPr>
            </w:pPr>
          </w:p>
        </w:tc>
      </w:tr>
      <w:tr w:rsidR="00FB7D0B" w14:paraId="1F046B47" w14:textId="77777777" w:rsidTr="00FB7D0B">
        <w:trPr>
          <w:trHeight w:val="225"/>
        </w:trPr>
        <w:tc>
          <w:tcPr>
            <w:tcW w:w="5610" w:type="dxa"/>
            <w:gridSpan w:val="2"/>
            <w:tcBorders>
              <w:top w:val="nil"/>
              <w:left w:val="nil"/>
              <w:bottom w:val="nil"/>
              <w:right w:val="nil"/>
              <w:tl2br w:val="nil"/>
              <w:tr2bl w:val="nil"/>
            </w:tcBorders>
            <w:shd w:val="clear" w:color="auto" w:fill="FFFFFF"/>
            <w:tcMar>
              <w:left w:w="101" w:type="dxa"/>
              <w:right w:w="101" w:type="dxa"/>
            </w:tcMar>
            <w:vAlign w:val="bottom"/>
          </w:tcPr>
          <w:p w14:paraId="535D7CF8" w14:textId="77777777" w:rsidR="003F0EEA" w:rsidRDefault="00FB7D0B">
            <w:pPr>
              <w:rPr>
                <w:rFonts w:ascii="Arial" w:eastAsia="Arial" w:hAnsi="Arial" w:cs="Arial"/>
                <w:color w:val="000000"/>
                <w:sz w:val="16"/>
                <w:vertAlign w:val="superscript"/>
              </w:rPr>
            </w:pPr>
            <w:r>
              <w:rPr>
                <w:rFonts w:ascii="Arial" w:eastAsia="Arial" w:hAnsi="Arial" w:cs="Arial"/>
                <w:color w:val="000000"/>
                <w:sz w:val="16"/>
              </w:rPr>
              <w:t>Administered Expenses</w:t>
            </w:r>
          </w:p>
        </w:tc>
        <w:tc>
          <w:tcPr>
            <w:tcW w:w="1230" w:type="dxa"/>
            <w:tcBorders>
              <w:top w:val="nil"/>
              <w:left w:val="nil"/>
              <w:bottom w:val="nil"/>
              <w:right w:val="nil"/>
              <w:tl2br w:val="nil"/>
              <w:tr2bl w:val="nil"/>
            </w:tcBorders>
            <w:shd w:val="clear" w:color="auto" w:fill="FFFFFF"/>
            <w:tcMar>
              <w:left w:w="101" w:type="dxa"/>
              <w:right w:w="101" w:type="dxa"/>
            </w:tcMar>
            <w:vAlign w:val="bottom"/>
          </w:tcPr>
          <w:p w14:paraId="449009F0" w14:textId="77777777" w:rsidR="003F0EEA" w:rsidRDefault="003F0EEA">
            <w:pPr>
              <w:jc w:val="right"/>
              <w:rPr>
                <w:rFonts w:ascii="Arial" w:eastAsia="Arial" w:hAnsi="Arial" w:cs="Arial"/>
                <w:color w:val="000000"/>
                <w:sz w:val="16"/>
                <w:vertAlign w:val="superscript"/>
              </w:rPr>
            </w:pPr>
          </w:p>
        </w:tc>
        <w:tc>
          <w:tcPr>
            <w:tcW w:w="1230" w:type="dxa"/>
            <w:tcBorders>
              <w:top w:val="nil"/>
              <w:left w:val="nil"/>
              <w:bottom w:val="nil"/>
              <w:right w:val="nil"/>
              <w:tl2br w:val="nil"/>
              <w:tr2bl w:val="nil"/>
            </w:tcBorders>
            <w:shd w:val="clear" w:color="auto" w:fill="FFFF00"/>
            <w:tcMar>
              <w:left w:w="101" w:type="dxa"/>
              <w:right w:w="101" w:type="dxa"/>
            </w:tcMar>
            <w:vAlign w:val="bottom"/>
          </w:tcPr>
          <w:p w14:paraId="64DA1FD7" w14:textId="77777777" w:rsidR="003F0EEA" w:rsidRDefault="003F0EEA">
            <w:pPr>
              <w:jc w:val="right"/>
              <w:rPr>
                <w:rFonts w:ascii="Arial" w:eastAsia="Arial" w:hAnsi="Arial" w:cs="Arial"/>
                <w:color w:val="000000"/>
                <w:sz w:val="16"/>
                <w:vertAlign w:val="superscript"/>
              </w:rPr>
            </w:pPr>
          </w:p>
        </w:tc>
      </w:tr>
      <w:tr w:rsidR="00724034" w14:paraId="3846332A" w14:textId="77777777">
        <w:trPr>
          <w:trHeight w:val="225"/>
        </w:trPr>
        <w:tc>
          <w:tcPr>
            <w:tcW w:w="285" w:type="dxa"/>
            <w:tcBorders>
              <w:top w:val="nil"/>
              <w:left w:val="nil"/>
              <w:bottom w:val="nil"/>
              <w:right w:val="nil"/>
              <w:tl2br w:val="nil"/>
              <w:tr2bl w:val="nil"/>
            </w:tcBorders>
            <w:shd w:val="clear" w:color="auto" w:fill="FFFFFF"/>
            <w:tcMar>
              <w:left w:w="101" w:type="dxa"/>
              <w:right w:w="101" w:type="dxa"/>
            </w:tcMar>
            <w:vAlign w:val="bottom"/>
          </w:tcPr>
          <w:p w14:paraId="0794330D" w14:textId="77777777" w:rsidR="003F0EEA" w:rsidRDefault="003F0EEA">
            <w:pPr>
              <w:rPr>
                <w:rFonts w:ascii="Arial" w:eastAsia="Arial" w:hAnsi="Arial" w:cs="Arial"/>
                <w:color w:val="000000"/>
                <w:sz w:val="16"/>
                <w:vertAlign w:val="superscript"/>
              </w:rPr>
            </w:pPr>
          </w:p>
        </w:tc>
        <w:tc>
          <w:tcPr>
            <w:tcW w:w="5325" w:type="dxa"/>
            <w:tcBorders>
              <w:top w:val="nil"/>
              <w:left w:val="nil"/>
              <w:bottom w:val="nil"/>
              <w:right w:val="nil"/>
              <w:tl2br w:val="nil"/>
              <w:tr2bl w:val="nil"/>
            </w:tcBorders>
            <w:shd w:val="clear" w:color="auto" w:fill="FFFFFF"/>
            <w:tcMar>
              <w:left w:w="101" w:type="dxa"/>
              <w:right w:w="101" w:type="dxa"/>
            </w:tcMar>
            <w:vAlign w:val="bottom"/>
          </w:tcPr>
          <w:p w14:paraId="5B772C4C" w14:textId="77777777" w:rsidR="003F0EEA" w:rsidRDefault="00FB7D0B">
            <w:pPr>
              <w:rPr>
                <w:rFonts w:ascii="Arial" w:eastAsia="Arial" w:hAnsi="Arial" w:cs="Arial"/>
                <w:color w:val="000000"/>
                <w:sz w:val="16"/>
                <w:vertAlign w:val="superscript"/>
              </w:rPr>
            </w:pPr>
            <w:r>
              <w:rPr>
                <w:rFonts w:ascii="Arial" w:eastAsia="Arial" w:hAnsi="Arial" w:cs="Arial"/>
                <w:color w:val="000000"/>
                <w:sz w:val="16"/>
              </w:rPr>
              <w:t>Ordinary annual services (Appropriation Bill No. 1 &amp; 3)</w:t>
            </w:r>
          </w:p>
        </w:tc>
        <w:tc>
          <w:tcPr>
            <w:tcW w:w="1230" w:type="dxa"/>
            <w:tcBorders>
              <w:top w:val="nil"/>
              <w:left w:val="nil"/>
              <w:bottom w:val="nil"/>
              <w:right w:val="nil"/>
              <w:tl2br w:val="nil"/>
              <w:tr2bl w:val="nil"/>
            </w:tcBorders>
            <w:shd w:val="clear" w:color="auto" w:fill="FFFFFF"/>
            <w:tcMar>
              <w:left w:w="101" w:type="dxa"/>
              <w:right w:w="101" w:type="dxa"/>
            </w:tcMar>
            <w:vAlign w:val="bottom"/>
          </w:tcPr>
          <w:p w14:paraId="05EB50C1" w14:textId="77777777" w:rsidR="003F0EEA" w:rsidRDefault="00FB7D0B">
            <w:pPr>
              <w:jc w:val="right"/>
              <w:rPr>
                <w:rFonts w:ascii="Arial" w:eastAsia="Arial" w:hAnsi="Arial" w:cs="Arial"/>
                <w:color w:val="000000"/>
                <w:sz w:val="16"/>
                <w:vertAlign w:val="superscript"/>
              </w:rPr>
            </w:pPr>
            <w:r>
              <w:rPr>
                <w:rFonts w:ascii="Arial" w:eastAsia="Arial" w:hAnsi="Arial" w:cs="Arial"/>
                <w:color w:val="000000"/>
                <w:sz w:val="16"/>
              </w:rPr>
              <w:t xml:space="preserve"> 48,832 </w:t>
            </w:r>
          </w:p>
        </w:tc>
        <w:tc>
          <w:tcPr>
            <w:tcW w:w="1230" w:type="dxa"/>
            <w:tcBorders>
              <w:top w:val="nil"/>
              <w:left w:val="nil"/>
              <w:bottom w:val="nil"/>
              <w:right w:val="nil"/>
              <w:tl2br w:val="nil"/>
              <w:tr2bl w:val="nil"/>
            </w:tcBorders>
            <w:shd w:val="clear" w:color="auto" w:fill="FFFF00"/>
            <w:tcMar>
              <w:left w:w="101" w:type="dxa"/>
              <w:right w:w="101" w:type="dxa"/>
            </w:tcMar>
            <w:vAlign w:val="bottom"/>
          </w:tcPr>
          <w:p w14:paraId="2F85BA3B" w14:textId="77777777" w:rsidR="003F0EEA" w:rsidRDefault="00FB7D0B">
            <w:pPr>
              <w:jc w:val="right"/>
              <w:rPr>
                <w:rFonts w:ascii="Arial" w:eastAsia="Arial" w:hAnsi="Arial" w:cs="Arial"/>
                <w:color w:val="000000"/>
                <w:sz w:val="16"/>
              </w:rPr>
            </w:pPr>
            <w:r>
              <w:rPr>
                <w:rFonts w:ascii="Arial" w:eastAsia="Arial" w:hAnsi="Arial" w:cs="Arial"/>
                <w:color w:val="000000"/>
                <w:sz w:val="16"/>
              </w:rPr>
              <w:t xml:space="preserve"> 47,720 </w:t>
            </w:r>
          </w:p>
        </w:tc>
      </w:tr>
      <w:tr w:rsidR="00724034" w14:paraId="1E0E47B5" w14:textId="77777777">
        <w:trPr>
          <w:trHeight w:val="225"/>
        </w:trPr>
        <w:tc>
          <w:tcPr>
            <w:tcW w:w="285" w:type="dxa"/>
            <w:tcBorders>
              <w:top w:val="nil"/>
              <w:left w:val="nil"/>
              <w:bottom w:val="nil"/>
              <w:right w:val="nil"/>
              <w:tl2br w:val="nil"/>
              <w:tr2bl w:val="nil"/>
            </w:tcBorders>
            <w:shd w:val="clear" w:color="auto" w:fill="FFFFFF"/>
            <w:tcMar>
              <w:left w:w="101" w:type="dxa"/>
              <w:right w:w="101" w:type="dxa"/>
            </w:tcMar>
            <w:vAlign w:val="bottom"/>
          </w:tcPr>
          <w:p w14:paraId="7825A1E7" w14:textId="77777777" w:rsidR="003F0EEA" w:rsidRDefault="003F0EEA">
            <w:pPr>
              <w:rPr>
                <w:rFonts w:ascii="Arial" w:eastAsia="Arial" w:hAnsi="Arial" w:cs="Arial"/>
                <w:color w:val="000000"/>
                <w:sz w:val="16"/>
              </w:rPr>
            </w:pPr>
          </w:p>
        </w:tc>
        <w:tc>
          <w:tcPr>
            <w:tcW w:w="5325" w:type="dxa"/>
            <w:tcBorders>
              <w:top w:val="nil"/>
              <w:left w:val="nil"/>
              <w:bottom w:val="nil"/>
              <w:right w:val="nil"/>
              <w:tl2br w:val="nil"/>
              <w:tr2bl w:val="nil"/>
            </w:tcBorders>
            <w:shd w:val="clear" w:color="auto" w:fill="FFFFFF"/>
            <w:tcMar>
              <w:left w:w="101" w:type="dxa"/>
              <w:right w:w="101" w:type="dxa"/>
            </w:tcMar>
            <w:vAlign w:val="bottom"/>
          </w:tcPr>
          <w:p w14:paraId="56C11E57" w14:textId="77777777" w:rsidR="003F0EEA" w:rsidRDefault="00FB7D0B">
            <w:pPr>
              <w:rPr>
                <w:rFonts w:ascii="Arial" w:eastAsia="Arial" w:hAnsi="Arial" w:cs="Arial"/>
                <w:color w:val="000000"/>
                <w:sz w:val="16"/>
              </w:rPr>
            </w:pPr>
            <w:r>
              <w:rPr>
                <w:rFonts w:ascii="Arial" w:eastAsia="Arial" w:hAnsi="Arial" w:cs="Arial"/>
                <w:color w:val="000000"/>
                <w:sz w:val="16"/>
              </w:rPr>
              <w:t>Other services (Appropriation Bill No. 2 &amp; 4)</w:t>
            </w:r>
          </w:p>
        </w:tc>
        <w:tc>
          <w:tcPr>
            <w:tcW w:w="1230" w:type="dxa"/>
            <w:tcBorders>
              <w:top w:val="nil"/>
              <w:left w:val="nil"/>
              <w:bottom w:val="nil"/>
              <w:right w:val="nil"/>
              <w:tl2br w:val="nil"/>
              <w:tr2bl w:val="nil"/>
            </w:tcBorders>
            <w:shd w:val="clear" w:color="auto" w:fill="FFFFFF"/>
            <w:tcMar>
              <w:left w:w="101" w:type="dxa"/>
              <w:right w:w="101" w:type="dxa"/>
            </w:tcMar>
            <w:vAlign w:val="bottom"/>
          </w:tcPr>
          <w:p w14:paraId="49B5E086" w14:textId="77777777" w:rsidR="003F0EEA" w:rsidRDefault="00FB7D0B">
            <w:pPr>
              <w:jc w:val="right"/>
              <w:rPr>
                <w:rFonts w:ascii="Arial" w:eastAsia="Arial" w:hAnsi="Arial" w:cs="Arial"/>
                <w:color w:val="000000"/>
                <w:sz w:val="16"/>
                <w:vertAlign w:val="superscript"/>
              </w:rPr>
            </w:pPr>
            <w:r>
              <w:rPr>
                <w:rFonts w:ascii="Arial" w:eastAsia="Arial" w:hAnsi="Arial" w:cs="Arial"/>
                <w:color w:val="000000"/>
                <w:sz w:val="16"/>
              </w:rPr>
              <w:t xml:space="preserve"> - </w:t>
            </w:r>
          </w:p>
        </w:tc>
        <w:tc>
          <w:tcPr>
            <w:tcW w:w="1230" w:type="dxa"/>
            <w:tcBorders>
              <w:top w:val="nil"/>
              <w:left w:val="nil"/>
              <w:bottom w:val="nil"/>
              <w:right w:val="nil"/>
              <w:tl2br w:val="nil"/>
              <w:tr2bl w:val="nil"/>
            </w:tcBorders>
            <w:shd w:val="clear" w:color="auto" w:fill="FFFF00"/>
            <w:tcMar>
              <w:left w:w="101" w:type="dxa"/>
              <w:right w:w="101" w:type="dxa"/>
            </w:tcMar>
            <w:vAlign w:val="bottom"/>
          </w:tcPr>
          <w:p w14:paraId="61734440" w14:textId="77777777" w:rsidR="003F0EEA" w:rsidRDefault="00FB7D0B">
            <w:pPr>
              <w:jc w:val="right"/>
              <w:rPr>
                <w:rFonts w:ascii="Arial" w:eastAsia="Arial" w:hAnsi="Arial" w:cs="Arial"/>
                <w:color w:val="000000"/>
                <w:sz w:val="16"/>
              </w:rPr>
            </w:pPr>
            <w:r>
              <w:rPr>
                <w:rFonts w:ascii="Arial" w:eastAsia="Arial" w:hAnsi="Arial" w:cs="Arial"/>
                <w:color w:val="000000"/>
                <w:sz w:val="16"/>
              </w:rPr>
              <w:t xml:space="preserve"> - </w:t>
            </w:r>
          </w:p>
        </w:tc>
      </w:tr>
      <w:tr w:rsidR="00724034" w14:paraId="48E00513" w14:textId="77777777">
        <w:trPr>
          <w:trHeight w:val="225"/>
        </w:trPr>
        <w:tc>
          <w:tcPr>
            <w:tcW w:w="285" w:type="dxa"/>
            <w:tcBorders>
              <w:top w:val="nil"/>
              <w:left w:val="nil"/>
              <w:bottom w:val="nil"/>
              <w:right w:val="nil"/>
              <w:tl2br w:val="nil"/>
              <w:tr2bl w:val="nil"/>
            </w:tcBorders>
            <w:shd w:val="clear" w:color="auto" w:fill="FFFFFF"/>
            <w:tcMar>
              <w:left w:w="101" w:type="dxa"/>
              <w:right w:w="101" w:type="dxa"/>
            </w:tcMar>
            <w:vAlign w:val="bottom"/>
          </w:tcPr>
          <w:p w14:paraId="24E1B948" w14:textId="77777777" w:rsidR="003F0EEA" w:rsidRDefault="003F0EEA">
            <w:pPr>
              <w:rPr>
                <w:rFonts w:ascii="Arial" w:eastAsia="Arial" w:hAnsi="Arial" w:cs="Arial"/>
                <w:color w:val="000000"/>
                <w:sz w:val="16"/>
              </w:rPr>
            </w:pPr>
          </w:p>
        </w:tc>
        <w:tc>
          <w:tcPr>
            <w:tcW w:w="5325" w:type="dxa"/>
            <w:tcBorders>
              <w:top w:val="nil"/>
              <w:left w:val="nil"/>
              <w:bottom w:val="nil"/>
              <w:right w:val="nil"/>
              <w:tl2br w:val="nil"/>
              <w:tr2bl w:val="nil"/>
            </w:tcBorders>
            <w:shd w:val="clear" w:color="auto" w:fill="FFFFFF"/>
            <w:tcMar>
              <w:left w:w="101" w:type="dxa"/>
              <w:right w:w="101" w:type="dxa"/>
            </w:tcMar>
            <w:vAlign w:val="bottom"/>
          </w:tcPr>
          <w:p w14:paraId="028DC06C" w14:textId="77777777" w:rsidR="003F0EEA" w:rsidRDefault="00FB7D0B">
            <w:pPr>
              <w:rPr>
                <w:rFonts w:ascii="Arial" w:eastAsia="Arial" w:hAnsi="Arial" w:cs="Arial"/>
                <w:color w:val="000000"/>
                <w:sz w:val="16"/>
              </w:rPr>
            </w:pPr>
            <w:r>
              <w:rPr>
                <w:rFonts w:ascii="Arial" w:eastAsia="Arial" w:hAnsi="Arial" w:cs="Arial"/>
                <w:color w:val="000000"/>
                <w:sz w:val="16"/>
              </w:rPr>
              <w:t>Special Appropriations</w:t>
            </w:r>
          </w:p>
        </w:tc>
        <w:tc>
          <w:tcPr>
            <w:tcW w:w="1230" w:type="dxa"/>
            <w:tcBorders>
              <w:top w:val="nil"/>
              <w:left w:val="nil"/>
              <w:bottom w:val="nil"/>
              <w:right w:val="nil"/>
              <w:tl2br w:val="nil"/>
              <w:tr2bl w:val="nil"/>
            </w:tcBorders>
            <w:shd w:val="clear" w:color="auto" w:fill="FFFFFF"/>
            <w:tcMar>
              <w:left w:w="101" w:type="dxa"/>
              <w:right w:w="101" w:type="dxa"/>
            </w:tcMar>
            <w:vAlign w:val="bottom"/>
          </w:tcPr>
          <w:p w14:paraId="131BAABB" w14:textId="77777777" w:rsidR="003F0EEA" w:rsidRDefault="00FB7D0B">
            <w:pPr>
              <w:jc w:val="right"/>
              <w:rPr>
                <w:rFonts w:ascii="Arial" w:eastAsia="Arial" w:hAnsi="Arial" w:cs="Arial"/>
                <w:color w:val="000000"/>
                <w:sz w:val="16"/>
                <w:vertAlign w:val="superscript"/>
              </w:rPr>
            </w:pPr>
            <w:r>
              <w:rPr>
                <w:rFonts w:ascii="Arial" w:eastAsia="Arial" w:hAnsi="Arial" w:cs="Arial"/>
                <w:color w:val="000000"/>
                <w:sz w:val="16"/>
              </w:rPr>
              <w:t xml:space="preserve"> - </w:t>
            </w:r>
          </w:p>
        </w:tc>
        <w:tc>
          <w:tcPr>
            <w:tcW w:w="1230" w:type="dxa"/>
            <w:tcBorders>
              <w:top w:val="nil"/>
              <w:left w:val="nil"/>
              <w:bottom w:val="nil"/>
              <w:right w:val="nil"/>
              <w:tl2br w:val="nil"/>
              <w:tr2bl w:val="nil"/>
            </w:tcBorders>
            <w:shd w:val="clear" w:color="auto" w:fill="FFFF00"/>
            <w:tcMar>
              <w:left w:w="101" w:type="dxa"/>
              <w:right w:w="101" w:type="dxa"/>
            </w:tcMar>
            <w:vAlign w:val="bottom"/>
          </w:tcPr>
          <w:p w14:paraId="277183F5" w14:textId="77777777" w:rsidR="003F0EEA" w:rsidRDefault="00FB7D0B">
            <w:pPr>
              <w:jc w:val="right"/>
              <w:rPr>
                <w:rFonts w:ascii="Arial" w:eastAsia="Arial" w:hAnsi="Arial" w:cs="Arial"/>
                <w:color w:val="000000"/>
                <w:sz w:val="16"/>
              </w:rPr>
            </w:pPr>
            <w:r>
              <w:rPr>
                <w:rFonts w:ascii="Arial" w:eastAsia="Arial" w:hAnsi="Arial" w:cs="Arial"/>
                <w:color w:val="000000"/>
                <w:sz w:val="16"/>
              </w:rPr>
              <w:t xml:space="preserve"> - </w:t>
            </w:r>
          </w:p>
        </w:tc>
      </w:tr>
      <w:tr w:rsidR="00724034" w14:paraId="259A3363" w14:textId="77777777">
        <w:trPr>
          <w:trHeight w:val="225"/>
        </w:trPr>
        <w:tc>
          <w:tcPr>
            <w:tcW w:w="285" w:type="dxa"/>
            <w:tcBorders>
              <w:top w:val="nil"/>
              <w:left w:val="nil"/>
              <w:bottom w:val="nil"/>
              <w:right w:val="nil"/>
              <w:tl2br w:val="nil"/>
              <w:tr2bl w:val="nil"/>
            </w:tcBorders>
            <w:shd w:val="clear" w:color="auto" w:fill="FFFFFF"/>
            <w:tcMar>
              <w:left w:w="101" w:type="dxa"/>
              <w:right w:w="101" w:type="dxa"/>
            </w:tcMar>
            <w:vAlign w:val="bottom"/>
          </w:tcPr>
          <w:p w14:paraId="552F9726" w14:textId="77777777" w:rsidR="003F0EEA" w:rsidRDefault="003F0EEA">
            <w:pPr>
              <w:rPr>
                <w:rFonts w:ascii="Arial" w:eastAsia="Arial" w:hAnsi="Arial" w:cs="Arial"/>
                <w:color w:val="000000"/>
                <w:sz w:val="16"/>
              </w:rPr>
            </w:pPr>
          </w:p>
        </w:tc>
        <w:tc>
          <w:tcPr>
            <w:tcW w:w="5325" w:type="dxa"/>
            <w:tcBorders>
              <w:top w:val="nil"/>
              <w:left w:val="nil"/>
              <w:bottom w:val="nil"/>
              <w:right w:val="nil"/>
              <w:tl2br w:val="nil"/>
              <w:tr2bl w:val="nil"/>
            </w:tcBorders>
            <w:shd w:val="clear" w:color="auto" w:fill="FFFFFF"/>
            <w:tcMar>
              <w:left w:w="101" w:type="dxa"/>
              <w:right w:w="101" w:type="dxa"/>
            </w:tcMar>
            <w:vAlign w:val="bottom"/>
          </w:tcPr>
          <w:p w14:paraId="1DC66034" w14:textId="77777777" w:rsidR="003F0EEA" w:rsidRDefault="00FB7D0B">
            <w:pPr>
              <w:rPr>
                <w:rFonts w:ascii="Arial" w:eastAsia="Arial" w:hAnsi="Arial" w:cs="Arial"/>
                <w:color w:val="000000"/>
                <w:sz w:val="16"/>
              </w:rPr>
            </w:pPr>
            <w:r>
              <w:rPr>
                <w:rFonts w:ascii="Arial" w:eastAsia="Arial" w:hAnsi="Arial" w:cs="Arial"/>
                <w:color w:val="000000"/>
                <w:sz w:val="16"/>
              </w:rPr>
              <w:t>Special Accounts</w:t>
            </w:r>
          </w:p>
        </w:tc>
        <w:tc>
          <w:tcPr>
            <w:tcW w:w="1230" w:type="dxa"/>
            <w:tcBorders>
              <w:top w:val="nil"/>
              <w:left w:val="nil"/>
              <w:bottom w:val="nil"/>
              <w:right w:val="nil"/>
              <w:tl2br w:val="nil"/>
              <w:tr2bl w:val="nil"/>
            </w:tcBorders>
            <w:shd w:val="clear" w:color="auto" w:fill="FFFFFF"/>
            <w:tcMar>
              <w:left w:w="101" w:type="dxa"/>
              <w:right w:w="101" w:type="dxa"/>
            </w:tcMar>
            <w:vAlign w:val="bottom"/>
          </w:tcPr>
          <w:p w14:paraId="5E6564BC" w14:textId="77777777" w:rsidR="003F0EEA" w:rsidRDefault="00FB7D0B">
            <w:pPr>
              <w:jc w:val="right"/>
              <w:rPr>
                <w:rFonts w:ascii="Arial" w:eastAsia="Arial" w:hAnsi="Arial" w:cs="Arial"/>
                <w:color w:val="000000"/>
                <w:sz w:val="16"/>
                <w:vertAlign w:val="superscript"/>
              </w:rPr>
            </w:pPr>
            <w:r>
              <w:rPr>
                <w:rFonts w:ascii="Arial" w:eastAsia="Arial" w:hAnsi="Arial" w:cs="Arial"/>
                <w:color w:val="000000"/>
                <w:sz w:val="16"/>
              </w:rPr>
              <w:t xml:space="preserve"> 61 </w:t>
            </w:r>
          </w:p>
        </w:tc>
        <w:tc>
          <w:tcPr>
            <w:tcW w:w="1230" w:type="dxa"/>
            <w:tcBorders>
              <w:top w:val="nil"/>
              <w:left w:val="nil"/>
              <w:bottom w:val="nil"/>
              <w:right w:val="nil"/>
              <w:tl2br w:val="nil"/>
              <w:tr2bl w:val="nil"/>
            </w:tcBorders>
            <w:shd w:val="clear" w:color="auto" w:fill="FFFF00"/>
            <w:tcMar>
              <w:left w:w="101" w:type="dxa"/>
              <w:right w:w="101" w:type="dxa"/>
            </w:tcMar>
            <w:vAlign w:val="bottom"/>
          </w:tcPr>
          <w:p w14:paraId="72D662D3" w14:textId="77777777" w:rsidR="003F0EEA" w:rsidRDefault="00FB7D0B">
            <w:pPr>
              <w:jc w:val="right"/>
              <w:rPr>
                <w:rFonts w:ascii="Arial" w:eastAsia="Arial" w:hAnsi="Arial" w:cs="Arial"/>
                <w:color w:val="000000"/>
                <w:sz w:val="16"/>
              </w:rPr>
            </w:pPr>
            <w:r>
              <w:rPr>
                <w:rFonts w:ascii="Arial" w:eastAsia="Arial" w:hAnsi="Arial" w:cs="Arial"/>
                <w:color w:val="000000"/>
                <w:sz w:val="16"/>
              </w:rPr>
              <w:t xml:space="preserve"> 24,086 </w:t>
            </w:r>
          </w:p>
        </w:tc>
      </w:tr>
      <w:tr w:rsidR="00FB7D0B" w14:paraId="13B80D0A" w14:textId="77777777" w:rsidTr="00FB7D0B">
        <w:trPr>
          <w:trHeight w:val="225"/>
        </w:trPr>
        <w:tc>
          <w:tcPr>
            <w:tcW w:w="5610" w:type="dxa"/>
            <w:gridSpan w:val="2"/>
            <w:tcBorders>
              <w:top w:val="nil"/>
              <w:left w:val="nil"/>
              <w:bottom w:val="nil"/>
              <w:right w:val="nil"/>
              <w:tl2br w:val="nil"/>
              <w:tr2bl w:val="nil"/>
            </w:tcBorders>
            <w:shd w:val="clear" w:color="auto" w:fill="FFFFFF"/>
            <w:tcMar>
              <w:left w:w="101" w:type="dxa"/>
              <w:right w:w="101" w:type="dxa"/>
            </w:tcMar>
            <w:vAlign w:val="bottom"/>
          </w:tcPr>
          <w:p w14:paraId="27B224D3" w14:textId="77777777" w:rsidR="003F0EEA" w:rsidRDefault="00FB7D0B">
            <w:pPr>
              <w:rPr>
                <w:rFonts w:ascii="Arial" w:eastAsia="Arial" w:hAnsi="Arial" w:cs="Arial"/>
                <w:color w:val="000000"/>
                <w:sz w:val="16"/>
              </w:rPr>
            </w:pPr>
            <w:r>
              <w:rPr>
                <w:rFonts w:ascii="Arial" w:eastAsia="Arial" w:hAnsi="Arial" w:cs="Arial"/>
                <w:color w:val="000000"/>
                <w:sz w:val="16"/>
              </w:rPr>
              <w:t>Departmental Expenses</w:t>
            </w:r>
          </w:p>
        </w:tc>
        <w:tc>
          <w:tcPr>
            <w:tcW w:w="1230" w:type="dxa"/>
            <w:tcBorders>
              <w:top w:val="nil"/>
              <w:left w:val="nil"/>
              <w:bottom w:val="nil"/>
              <w:right w:val="nil"/>
              <w:tl2br w:val="nil"/>
              <w:tr2bl w:val="nil"/>
            </w:tcBorders>
            <w:shd w:val="clear" w:color="auto" w:fill="FFFFFF"/>
            <w:tcMar>
              <w:left w:w="101" w:type="dxa"/>
              <w:right w:w="101" w:type="dxa"/>
            </w:tcMar>
            <w:vAlign w:val="bottom"/>
          </w:tcPr>
          <w:p w14:paraId="783B6D8B" w14:textId="77777777" w:rsidR="003F0EEA" w:rsidRDefault="003F0EEA">
            <w:pPr>
              <w:jc w:val="right"/>
              <w:rPr>
                <w:rFonts w:ascii="Arial" w:eastAsia="Arial" w:hAnsi="Arial" w:cs="Arial"/>
                <w:color w:val="000000"/>
                <w:sz w:val="16"/>
                <w:vertAlign w:val="superscript"/>
              </w:rPr>
            </w:pPr>
          </w:p>
        </w:tc>
        <w:tc>
          <w:tcPr>
            <w:tcW w:w="1230" w:type="dxa"/>
            <w:tcBorders>
              <w:top w:val="nil"/>
              <w:left w:val="nil"/>
              <w:bottom w:val="nil"/>
              <w:right w:val="nil"/>
              <w:tl2br w:val="nil"/>
              <w:tr2bl w:val="nil"/>
            </w:tcBorders>
            <w:shd w:val="clear" w:color="auto" w:fill="FFFF00"/>
            <w:tcMar>
              <w:left w:w="101" w:type="dxa"/>
              <w:right w:w="101" w:type="dxa"/>
            </w:tcMar>
            <w:vAlign w:val="bottom"/>
          </w:tcPr>
          <w:p w14:paraId="1AE664DC" w14:textId="77777777" w:rsidR="003F0EEA" w:rsidRDefault="003F0EEA">
            <w:pPr>
              <w:jc w:val="right"/>
              <w:rPr>
                <w:rFonts w:ascii="Arial" w:eastAsia="Arial" w:hAnsi="Arial" w:cs="Arial"/>
                <w:color w:val="000000"/>
                <w:sz w:val="16"/>
                <w:vertAlign w:val="superscript"/>
              </w:rPr>
            </w:pPr>
          </w:p>
        </w:tc>
      </w:tr>
      <w:tr w:rsidR="00724034" w14:paraId="3449DF68" w14:textId="77777777">
        <w:trPr>
          <w:trHeight w:val="225"/>
        </w:trPr>
        <w:tc>
          <w:tcPr>
            <w:tcW w:w="285" w:type="dxa"/>
            <w:tcBorders>
              <w:top w:val="nil"/>
              <w:left w:val="nil"/>
              <w:bottom w:val="nil"/>
              <w:right w:val="nil"/>
              <w:tl2br w:val="nil"/>
              <w:tr2bl w:val="nil"/>
            </w:tcBorders>
            <w:shd w:val="clear" w:color="auto" w:fill="FFFFFF"/>
            <w:tcMar>
              <w:left w:w="101" w:type="dxa"/>
              <w:right w:w="101" w:type="dxa"/>
            </w:tcMar>
            <w:vAlign w:val="bottom"/>
          </w:tcPr>
          <w:p w14:paraId="16D8E631" w14:textId="77777777" w:rsidR="003F0EEA" w:rsidRDefault="003F0EEA">
            <w:pPr>
              <w:rPr>
                <w:rFonts w:ascii="Arial" w:eastAsia="Arial" w:hAnsi="Arial" w:cs="Arial"/>
                <w:color w:val="000000"/>
                <w:sz w:val="16"/>
                <w:vertAlign w:val="superscript"/>
              </w:rPr>
            </w:pPr>
          </w:p>
        </w:tc>
        <w:tc>
          <w:tcPr>
            <w:tcW w:w="5325" w:type="dxa"/>
            <w:tcBorders>
              <w:top w:val="nil"/>
              <w:left w:val="nil"/>
              <w:bottom w:val="nil"/>
              <w:right w:val="nil"/>
              <w:tl2br w:val="nil"/>
              <w:tr2bl w:val="nil"/>
            </w:tcBorders>
            <w:shd w:val="clear" w:color="auto" w:fill="FFFFFF"/>
            <w:tcMar>
              <w:left w:w="101" w:type="dxa"/>
              <w:right w:w="101" w:type="dxa"/>
            </w:tcMar>
            <w:vAlign w:val="bottom"/>
          </w:tcPr>
          <w:p w14:paraId="1A03AA10" w14:textId="77777777" w:rsidR="003F0EEA" w:rsidRDefault="00FB7D0B">
            <w:pPr>
              <w:rPr>
                <w:rFonts w:ascii="Arial" w:eastAsia="Arial" w:hAnsi="Arial" w:cs="Arial"/>
                <w:color w:val="000000"/>
                <w:sz w:val="16"/>
                <w:vertAlign w:val="superscript"/>
              </w:rPr>
            </w:pPr>
            <w:r>
              <w:rPr>
                <w:rFonts w:ascii="Arial" w:eastAsia="Arial" w:hAnsi="Arial" w:cs="Arial"/>
                <w:color w:val="000000"/>
                <w:sz w:val="16"/>
              </w:rPr>
              <w:t>Departmental appropriation</w:t>
            </w:r>
            <w:r>
              <w:rPr>
                <w:rFonts w:ascii="Arial" w:eastAsia="Arial" w:hAnsi="Arial" w:cs="Arial"/>
                <w:color w:val="000000"/>
                <w:sz w:val="16"/>
                <w:vertAlign w:val="superscript"/>
              </w:rPr>
              <w:t>1 </w:t>
            </w:r>
          </w:p>
        </w:tc>
        <w:tc>
          <w:tcPr>
            <w:tcW w:w="1230" w:type="dxa"/>
            <w:tcBorders>
              <w:top w:val="nil"/>
              <w:left w:val="nil"/>
              <w:bottom w:val="nil"/>
              <w:right w:val="nil"/>
              <w:tl2br w:val="nil"/>
              <w:tr2bl w:val="nil"/>
            </w:tcBorders>
            <w:shd w:val="clear" w:color="auto" w:fill="FFFFFF"/>
            <w:tcMar>
              <w:left w:w="101" w:type="dxa"/>
              <w:right w:w="101" w:type="dxa"/>
            </w:tcMar>
            <w:vAlign w:val="bottom"/>
          </w:tcPr>
          <w:p w14:paraId="199FED80" w14:textId="77777777" w:rsidR="003F0EEA" w:rsidRDefault="00FB7D0B">
            <w:pPr>
              <w:jc w:val="right"/>
              <w:rPr>
                <w:rFonts w:ascii="Arial" w:eastAsia="Arial" w:hAnsi="Arial" w:cs="Arial"/>
                <w:color w:val="000000"/>
                <w:sz w:val="16"/>
                <w:vertAlign w:val="superscript"/>
              </w:rPr>
            </w:pPr>
            <w:r>
              <w:rPr>
                <w:rFonts w:ascii="Arial" w:eastAsia="Arial" w:hAnsi="Arial" w:cs="Arial"/>
                <w:color w:val="000000"/>
                <w:sz w:val="16"/>
              </w:rPr>
              <w:t xml:space="preserve"> 21,139 </w:t>
            </w:r>
          </w:p>
        </w:tc>
        <w:tc>
          <w:tcPr>
            <w:tcW w:w="1230" w:type="dxa"/>
            <w:tcBorders>
              <w:top w:val="nil"/>
              <w:left w:val="nil"/>
              <w:bottom w:val="nil"/>
              <w:right w:val="nil"/>
              <w:tl2br w:val="nil"/>
              <w:tr2bl w:val="nil"/>
            </w:tcBorders>
            <w:shd w:val="clear" w:color="auto" w:fill="FFFF00"/>
            <w:tcMar>
              <w:left w:w="101" w:type="dxa"/>
              <w:right w:w="101" w:type="dxa"/>
            </w:tcMar>
            <w:vAlign w:val="bottom"/>
          </w:tcPr>
          <w:p w14:paraId="2766F821" w14:textId="77777777" w:rsidR="003F0EEA" w:rsidRDefault="00FB7D0B">
            <w:pPr>
              <w:jc w:val="right"/>
              <w:rPr>
                <w:rFonts w:ascii="Arial" w:eastAsia="Arial" w:hAnsi="Arial" w:cs="Arial"/>
                <w:color w:val="000000"/>
                <w:sz w:val="16"/>
              </w:rPr>
            </w:pPr>
            <w:r>
              <w:rPr>
                <w:rFonts w:ascii="Arial" w:eastAsia="Arial" w:hAnsi="Arial" w:cs="Arial"/>
                <w:color w:val="000000"/>
                <w:sz w:val="16"/>
              </w:rPr>
              <w:t xml:space="preserve"> 20,640 </w:t>
            </w:r>
          </w:p>
        </w:tc>
      </w:tr>
      <w:tr w:rsidR="00724034" w14:paraId="079A24CB" w14:textId="77777777">
        <w:trPr>
          <w:trHeight w:val="225"/>
        </w:trPr>
        <w:tc>
          <w:tcPr>
            <w:tcW w:w="285" w:type="dxa"/>
            <w:tcBorders>
              <w:top w:val="nil"/>
              <w:left w:val="nil"/>
              <w:bottom w:val="nil"/>
              <w:right w:val="nil"/>
              <w:tl2br w:val="nil"/>
              <w:tr2bl w:val="nil"/>
            </w:tcBorders>
            <w:shd w:val="clear" w:color="auto" w:fill="FFFFFF"/>
            <w:tcMar>
              <w:left w:w="101" w:type="dxa"/>
              <w:right w:w="101" w:type="dxa"/>
            </w:tcMar>
            <w:vAlign w:val="bottom"/>
          </w:tcPr>
          <w:p w14:paraId="110C7552" w14:textId="77777777" w:rsidR="003F0EEA" w:rsidRDefault="003F0EEA">
            <w:pPr>
              <w:rPr>
                <w:rFonts w:ascii="Arial" w:eastAsia="Arial" w:hAnsi="Arial" w:cs="Arial"/>
                <w:color w:val="000000"/>
                <w:sz w:val="16"/>
              </w:rPr>
            </w:pPr>
          </w:p>
        </w:tc>
        <w:tc>
          <w:tcPr>
            <w:tcW w:w="5325" w:type="dxa"/>
            <w:tcBorders>
              <w:top w:val="nil"/>
              <w:left w:val="nil"/>
              <w:bottom w:val="nil"/>
              <w:right w:val="nil"/>
              <w:tl2br w:val="nil"/>
              <w:tr2bl w:val="nil"/>
            </w:tcBorders>
            <w:shd w:val="clear" w:color="auto" w:fill="FFFFFF"/>
            <w:tcMar>
              <w:left w:w="101" w:type="dxa"/>
              <w:right w:w="101" w:type="dxa"/>
            </w:tcMar>
            <w:vAlign w:val="bottom"/>
          </w:tcPr>
          <w:p w14:paraId="25FD8AC8" w14:textId="77777777" w:rsidR="003F0EEA" w:rsidRDefault="00FB7D0B">
            <w:pPr>
              <w:rPr>
                <w:rFonts w:ascii="Arial" w:eastAsia="Arial" w:hAnsi="Arial" w:cs="Arial"/>
                <w:color w:val="000000"/>
                <w:sz w:val="16"/>
              </w:rPr>
            </w:pPr>
            <w:r>
              <w:rPr>
                <w:rFonts w:ascii="Arial" w:eastAsia="Arial" w:hAnsi="Arial" w:cs="Arial"/>
                <w:color w:val="000000"/>
                <w:sz w:val="16"/>
              </w:rPr>
              <w:t>Expenses not requiring appropriation in the Budget year</w:t>
            </w:r>
            <w:r>
              <w:rPr>
                <w:rFonts w:ascii="Arial" w:eastAsia="Arial" w:hAnsi="Arial" w:cs="Arial"/>
                <w:color w:val="000000"/>
                <w:sz w:val="16"/>
                <w:vertAlign w:val="superscript"/>
              </w:rPr>
              <w:t>2 </w:t>
            </w:r>
          </w:p>
        </w:tc>
        <w:tc>
          <w:tcPr>
            <w:tcW w:w="1230"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0AC1D2C8" w14:textId="77777777" w:rsidR="003F0EEA" w:rsidRDefault="00FB7D0B">
            <w:pPr>
              <w:jc w:val="right"/>
              <w:rPr>
                <w:rFonts w:ascii="Arial" w:eastAsia="Arial" w:hAnsi="Arial" w:cs="Arial"/>
                <w:color w:val="000000"/>
                <w:sz w:val="16"/>
                <w:vertAlign w:val="superscript"/>
              </w:rPr>
            </w:pPr>
            <w:r>
              <w:rPr>
                <w:rFonts w:ascii="Arial" w:eastAsia="Arial" w:hAnsi="Arial" w:cs="Arial"/>
                <w:color w:val="000000"/>
                <w:sz w:val="16"/>
              </w:rPr>
              <w:t xml:space="preserve"> 2,116 </w:t>
            </w:r>
          </w:p>
        </w:tc>
        <w:tc>
          <w:tcPr>
            <w:tcW w:w="1230" w:type="dxa"/>
            <w:tcBorders>
              <w:top w:val="nil"/>
              <w:left w:val="nil"/>
              <w:bottom w:val="single" w:sz="6" w:space="0" w:color="000000"/>
              <w:right w:val="nil"/>
              <w:tl2br w:val="nil"/>
              <w:tr2bl w:val="nil"/>
            </w:tcBorders>
            <w:shd w:val="clear" w:color="auto" w:fill="FFFF00"/>
            <w:tcMar>
              <w:left w:w="101" w:type="dxa"/>
              <w:right w:w="101" w:type="dxa"/>
            </w:tcMar>
            <w:vAlign w:val="bottom"/>
          </w:tcPr>
          <w:p w14:paraId="48BFF801" w14:textId="77777777" w:rsidR="003F0EEA" w:rsidRDefault="00FB7D0B">
            <w:pPr>
              <w:jc w:val="right"/>
              <w:rPr>
                <w:rFonts w:ascii="Arial" w:eastAsia="Arial" w:hAnsi="Arial" w:cs="Arial"/>
                <w:color w:val="000000"/>
                <w:sz w:val="16"/>
              </w:rPr>
            </w:pPr>
            <w:r>
              <w:rPr>
                <w:rFonts w:ascii="Arial" w:eastAsia="Arial" w:hAnsi="Arial" w:cs="Arial"/>
                <w:color w:val="000000"/>
                <w:sz w:val="16"/>
              </w:rPr>
              <w:t xml:space="preserve"> 2,363 </w:t>
            </w:r>
          </w:p>
        </w:tc>
      </w:tr>
      <w:tr w:rsidR="00724034" w14:paraId="3B3E8C6E" w14:textId="77777777">
        <w:trPr>
          <w:trHeight w:val="225"/>
        </w:trPr>
        <w:tc>
          <w:tcPr>
            <w:tcW w:w="285" w:type="dxa"/>
            <w:tcBorders>
              <w:top w:val="nil"/>
              <w:left w:val="nil"/>
              <w:bottom w:val="nil"/>
              <w:right w:val="nil"/>
              <w:tl2br w:val="nil"/>
              <w:tr2bl w:val="nil"/>
            </w:tcBorders>
            <w:shd w:val="clear" w:color="auto" w:fill="FFFFFF"/>
            <w:tcMar>
              <w:left w:w="101" w:type="dxa"/>
              <w:right w:w="101" w:type="dxa"/>
            </w:tcMar>
            <w:vAlign w:val="bottom"/>
          </w:tcPr>
          <w:p w14:paraId="3F823ED6" w14:textId="77777777" w:rsidR="003F0EEA" w:rsidRDefault="003F0EEA">
            <w:pPr>
              <w:rPr>
                <w:rFonts w:ascii="Arial" w:eastAsia="Arial" w:hAnsi="Arial" w:cs="Arial"/>
                <w:color w:val="000000"/>
                <w:sz w:val="16"/>
              </w:rPr>
            </w:pPr>
          </w:p>
        </w:tc>
        <w:tc>
          <w:tcPr>
            <w:tcW w:w="5325" w:type="dxa"/>
            <w:tcBorders>
              <w:top w:val="nil"/>
              <w:left w:val="nil"/>
              <w:bottom w:val="nil"/>
              <w:right w:val="nil"/>
              <w:tl2br w:val="nil"/>
              <w:tr2bl w:val="nil"/>
            </w:tcBorders>
            <w:shd w:val="clear" w:color="auto" w:fill="FFFFFF"/>
            <w:tcMar>
              <w:left w:w="101" w:type="dxa"/>
              <w:right w:w="101" w:type="dxa"/>
            </w:tcMar>
            <w:vAlign w:val="bottom"/>
          </w:tcPr>
          <w:p w14:paraId="02B16F56" w14:textId="77777777" w:rsidR="003F0EEA" w:rsidRDefault="00FB7D0B">
            <w:pPr>
              <w:rPr>
                <w:rFonts w:ascii="Arial" w:eastAsia="Arial" w:hAnsi="Arial" w:cs="Arial"/>
                <w:color w:val="000000"/>
                <w:sz w:val="16"/>
              </w:rPr>
            </w:pPr>
            <w:r>
              <w:rPr>
                <w:rFonts w:ascii="Arial" w:eastAsia="Arial" w:hAnsi="Arial" w:cs="Arial"/>
                <w:b/>
                <w:color w:val="000000"/>
                <w:sz w:val="16"/>
              </w:rPr>
              <w:t>Total for Programme 3.1</w:t>
            </w:r>
          </w:p>
        </w:tc>
        <w:tc>
          <w:tcPr>
            <w:tcW w:w="1230"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6C08F6AE" w14:textId="77777777" w:rsidR="003F0EEA" w:rsidRDefault="00FB7D0B">
            <w:pPr>
              <w:jc w:val="right"/>
              <w:rPr>
                <w:rFonts w:ascii="Arial" w:eastAsia="Arial" w:hAnsi="Arial" w:cs="Arial"/>
                <w:color w:val="000000"/>
                <w:sz w:val="16"/>
                <w:vertAlign w:val="superscript"/>
              </w:rPr>
            </w:pPr>
            <w:r>
              <w:rPr>
                <w:rFonts w:ascii="Arial" w:eastAsia="Arial" w:hAnsi="Arial" w:cs="Arial"/>
                <w:b/>
                <w:color w:val="000000"/>
                <w:sz w:val="16"/>
              </w:rPr>
              <w:t xml:space="preserve"> 72,148 </w:t>
            </w:r>
          </w:p>
        </w:tc>
        <w:tc>
          <w:tcPr>
            <w:tcW w:w="1230" w:type="dxa"/>
            <w:tcBorders>
              <w:top w:val="single" w:sz="6" w:space="0" w:color="000000"/>
              <w:left w:val="nil"/>
              <w:bottom w:val="single" w:sz="6" w:space="0" w:color="000000"/>
              <w:right w:val="nil"/>
              <w:tl2br w:val="nil"/>
              <w:tr2bl w:val="nil"/>
            </w:tcBorders>
            <w:shd w:val="clear" w:color="auto" w:fill="FFFF00"/>
            <w:tcMar>
              <w:left w:w="101" w:type="dxa"/>
              <w:right w:w="101" w:type="dxa"/>
            </w:tcMar>
            <w:vAlign w:val="bottom"/>
          </w:tcPr>
          <w:p w14:paraId="2EEC5325" w14:textId="77777777" w:rsidR="003F0EEA" w:rsidRDefault="00FB7D0B">
            <w:pPr>
              <w:jc w:val="right"/>
              <w:rPr>
                <w:rFonts w:ascii="Arial" w:eastAsia="Arial" w:hAnsi="Arial" w:cs="Arial"/>
                <w:b/>
                <w:color w:val="000000"/>
                <w:sz w:val="16"/>
              </w:rPr>
            </w:pPr>
            <w:r>
              <w:rPr>
                <w:rFonts w:ascii="Arial" w:eastAsia="Arial" w:hAnsi="Arial" w:cs="Arial"/>
                <w:b/>
                <w:color w:val="000000"/>
                <w:sz w:val="16"/>
              </w:rPr>
              <w:t xml:space="preserve"> 94,809 </w:t>
            </w:r>
          </w:p>
        </w:tc>
      </w:tr>
      <w:tr w:rsidR="00724034" w14:paraId="570AF937" w14:textId="77777777">
        <w:trPr>
          <w:trHeight w:val="225"/>
        </w:trPr>
        <w:tc>
          <w:tcPr>
            <w:tcW w:w="285" w:type="dxa"/>
            <w:tcBorders>
              <w:top w:val="nil"/>
              <w:left w:val="nil"/>
              <w:bottom w:val="nil"/>
              <w:right w:val="nil"/>
              <w:tl2br w:val="nil"/>
              <w:tr2bl w:val="nil"/>
            </w:tcBorders>
            <w:shd w:val="clear" w:color="auto" w:fill="FFFFFF"/>
            <w:tcMar>
              <w:left w:w="101" w:type="dxa"/>
              <w:right w:w="101" w:type="dxa"/>
            </w:tcMar>
            <w:vAlign w:val="bottom"/>
          </w:tcPr>
          <w:p w14:paraId="699E3791" w14:textId="77777777" w:rsidR="003F0EEA" w:rsidRDefault="003F0EEA">
            <w:pPr>
              <w:rPr>
                <w:rFonts w:ascii="Arial" w:eastAsia="Arial" w:hAnsi="Arial" w:cs="Arial"/>
                <w:b/>
                <w:color w:val="000000"/>
                <w:sz w:val="16"/>
              </w:rPr>
            </w:pPr>
          </w:p>
        </w:tc>
        <w:tc>
          <w:tcPr>
            <w:tcW w:w="5325" w:type="dxa"/>
            <w:tcBorders>
              <w:top w:val="nil"/>
              <w:left w:val="nil"/>
              <w:bottom w:val="nil"/>
              <w:right w:val="nil"/>
              <w:tl2br w:val="nil"/>
              <w:tr2bl w:val="nil"/>
            </w:tcBorders>
            <w:shd w:val="clear" w:color="auto" w:fill="FFFFFF"/>
            <w:tcMar>
              <w:left w:w="101" w:type="dxa"/>
              <w:right w:w="101" w:type="dxa"/>
            </w:tcMar>
            <w:vAlign w:val="bottom"/>
          </w:tcPr>
          <w:p w14:paraId="75C6AD2F" w14:textId="77777777" w:rsidR="003F0EEA" w:rsidRDefault="003F0EEA">
            <w:pPr>
              <w:rPr>
                <w:rFonts w:ascii="Arial" w:eastAsia="Arial" w:hAnsi="Arial" w:cs="Arial"/>
                <w:color w:val="000000"/>
                <w:sz w:val="16"/>
              </w:rPr>
            </w:pPr>
          </w:p>
        </w:tc>
        <w:tc>
          <w:tcPr>
            <w:tcW w:w="1230"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61EED969" w14:textId="77777777" w:rsidR="003F0EEA" w:rsidRDefault="003F0EEA">
            <w:pPr>
              <w:jc w:val="right"/>
              <w:rPr>
                <w:rFonts w:ascii="Arial" w:eastAsia="Arial" w:hAnsi="Arial" w:cs="Arial"/>
                <w:color w:val="000000"/>
                <w:sz w:val="16"/>
                <w:vertAlign w:val="superscript"/>
              </w:rPr>
            </w:pPr>
          </w:p>
        </w:tc>
        <w:tc>
          <w:tcPr>
            <w:tcW w:w="1230" w:type="dxa"/>
            <w:tcBorders>
              <w:top w:val="single" w:sz="6" w:space="0" w:color="000000"/>
              <w:left w:val="nil"/>
              <w:bottom w:val="nil"/>
              <w:right w:val="nil"/>
              <w:tl2br w:val="nil"/>
              <w:tr2bl w:val="nil"/>
            </w:tcBorders>
            <w:shd w:val="clear" w:color="auto" w:fill="FFFF00"/>
            <w:tcMar>
              <w:left w:w="101" w:type="dxa"/>
              <w:right w:w="101" w:type="dxa"/>
            </w:tcMar>
            <w:vAlign w:val="bottom"/>
          </w:tcPr>
          <w:p w14:paraId="23177C5E" w14:textId="77777777" w:rsidR="003F0EEA" w:rsidRDefault="003F0EEA">
            <w:pPr>
              <w:jc w:val="right"/>
              <w:rPr>
                <w:rFonts w:ascii="Arial" w:eastAsia="Arial" w:hAnsi="Arial" w:cs="Arial"/>
                <w:color w:val="000000"/>
                <w:sz w:val="16"/>
                <w:vertAlign w:val="superscript"/>
              </w:rPr>
            </w:pPr>
          </w:p>
        </w:tc>
      </w:tr>
      <w:tr w:rsidR="00FB7D0B" w14:paraId="5C8FB298" w14:textId="77777777" w:rsidTr="00FB7D0B">
        <w:trPr>
          <w:trHeight w:val="225"/>
        </w:trPr>
        <w:tc>
          <w:tcPr>
            <w:tcW w:w="5610" w:type="dxa"/>
            <w:gridSpan w:val="2"/>
            <w:tcBorders>
              <w:top w:val="nil"/>
              <w:left w:val="nil"/>
              <w:bottom w:val="nil"/>
              <w:right w:val="nil"/>
              <w:tl2br w:val="nil"/>
              <w:tr2bl w:val="nil"/>
            </w:tcBorders>
            <w:shd w:val="clear" w:color="auto" w:fill="FFFFFF"/>
            <w:tcMar>
              <w:left w:w="101" w:type="dxa"/>
              <w:right w:w="101" w:type="dxa"/>
            </w:tcMar>
            <w:vAlign w:val="bottom"/>
          </w:tcPr>
          <w:p w14:paraId="5B078F5E" w14:textId="77777777" w:rsidR="003F0EEA" w:rsidRDefault="00FB7D0B">
            <w:pPr>
              <w:rPr>
                <w:rFonts w:ascii="Arial" w:eastAsia="Arial" w:hAnsi="Arial" w:cs="Arial"/>
                <w:color w:val="000000"/>
                <w:sz w:val="16"/>
                <w:vertAlign w:val="superscript"/>
              </w:rPr>
            </w:pPr>
            <w:r>
              <w:rPr>
                <w:rFonts w:ascii="Arial" w:eastAsia="Arial" w:hAnsi="Arial" w:cs="Arial"/>
                <w:b/>
                <w:color w:val="000000"/>
                <w:sz w:val="16"/>
              </w:rPr>
              <w:t>Programme 3.2:  Gallipoli-related Activities</w:t>
            </w:r>
          </w:p>
        </w:tc>
        <w:tc>
          <w:tcPr>
            <w:tcW w:w="1230" w:type="dxa"/>
            <w:tcBorders>
              <w:top w:val="nil"/>
              <w:left w:val="nil"/>
              <w:bottom w:val="nil"/>
              <w:right w:val="nil"/>
              <w:tl2br w:val="nil"/>
              <w:tr2bl w:val="nil"/>
            </w:tcBorders>
            <w:shd w:val="clear" w:color="auto" w:fill="FFFFFF"/>
            <w:tcMar>
              <w:left w:w="101" w:type="dxa"/>
              <w:right w:w="101" w:type="dxa"/>
            </w:tcMar>
            <w:vAlign w:val="bottom"/>
          </w:tcPr>
          <w:p w14:paraId="4C13E190" w14:textId="77777777" w:rsidR="003F0EEA" w:rsidRDefault="003F0EEA">
            <w:pPr>
              <w:jc w:val="right"/>
              <w:rPr>
                <w:rFonts w:ascii="Arial" w:eastAsia="Arial" w:hAnsi="Arial" w:cs="Arial"/>
                <w:color w:val="000000"/>
                <w:sz w:val="16"/>
                <w:vertAlign w:val="superscript"/>
              </w:rPr>
            </w:pPr>
          </w:p>
        </w:tc>
        <w:tc>
          <w:tcPr>
            <w:tcW w:w="1230" w:type="dxa"/>
            <w:tcBorders>
              <w:top w:val="nil"/>
              <w:left w:val="nil"/>
              <w:bottom w:val="nil"/>
              <w:right w:val="nil"/>
              <w:tl2br w:val="nil"/>
              <w:tr2bl w:val="nil"/>
            </w:tcBorders>
            <w:shd w:val="clear" w:color="auto" w:fill="FFFF00"/>
            <w:tcMar>
              <w:left w:w="101" w:type="dxa"/>
              <w:right w:w="101" w:type="dxa"/>
            </w:tcMar>
            <w:vAlign w:val="bottom"/>
          </w:tcPr>
          <w:p w14:paraId="31C1380A" w14:textId="77777777" w:rsidR="003F0EEA" w:rsidRDefault="003F0EEA">
            <w:pPr>
              <w:jc w:val="right"/>
              <w:rPr>
                <w:rFonts w:ascii="Arial" w:eastAsia="Arial" w:hAnsi="Arial" w:cs="Arial"/>
                <w:color w:val="000000"/>
                <w:sz w:val="16"/>
                <w:vertAlign w:val="superscript"/>
              </w:rPr>
            </w:pPr>
          </w:p>
        </w:tc>
      </w:tr>
      <w:tr w:rsidR="00FB7D0B" w14:paraId="29188005" w14:textId="77777777" w:rsidTr="00FB7D0B">
        <w:trPr>
          <w:trHeight w:val="225"/>
        </w:trPr>
        <w:tc>
          <w:tcPr>
            <w:tcW w:w="5610" w:type="dxa"/>
            <w:gridSpan w:val="2"/>
            <w:tcBorders>
              <w:top w:val="nil"/>
              <w:left w:val="nil"/>
              <w:bottom w:val="nil"/>
              <w:right w:val="nil"/>
              <w:tl2br w:val="nil"/>
              <w:tr2bl w:val="nil"/>
            </w:tcBorders>
            <w:shd w:val="clear" w:color="auto" w:fill="FFFFFF"/>
            <w:tcMar>
              <w:left w:w="101" w:type="dxa"/>
              <w:right w:w="101" w:type="dxa"/>
            </w:tcMar>
            <w:vAlign w:val="bottom"/>
          </w:tcPr>
          <w:p w14:paraId="0FC35EB1" w14:textId="77777777" w:rsidR="003F0EEA" w:rsidRDefault="00FB7D0B">
            <w:pPr>
              <w:rPr>
                <w:rFonts w:ascii="Arial" w:eastAsia="Arial" w:hAnsi="Arial" w:cs="Arial"/>
                <w:color w:val="000000"/>
                <w:sz w:val="16"/>
                <w:vertAlign w:val="superscript"/>
              </w:rPr>
            </w:pPr>
            <w:r>
              <w:rPr>
                <w:rFonts w:ascii="Arial" w:eastAsia="Arial" w:hAnsi="Arial" w:cs="Arial"/>
                <w:color w:val="000000"/>
                <w:sz w:val="16"/>
              </w:rPr>
              <w:t>Administered Expenses</w:t>
            </w:r>
          </w:p>
        </w:tc>
        <w:tc>
          <w:tcPr>
            <w:tcW w:w="1230" w:type="dxa"/>
            <w:tcBorders>
              <w:top w:val="nil"/>
              <w:left w:val="nil"/>
              <w:bottom w:val="nil"/>
              <w:right w:val="nil"/>
              <w:tl2br w:val="nil"/>
              <w:tr2bl w:val="nil"/>
            </w:tcBorders>
            <w:shd w:val="clear" w:color="auto" w:fill="FFFFFF"/>
            <w:tcMar>
              <w:left w:w="101" w:type="dxa"/>
              <w:right w:w="101" w:type="dxa"/>
            </w:tcMar>
            <w:vAlign w:val="bottom"/>
          </w:tcPr>
          <w:p w14:paraId="55146E3D" w14:textId="77777777" w:rsidR="003F0EEA" w:rsidRDefault="003F0EEA">
            <w:pPr>
              <w:jc w:val="right"/>
              <w:rPr>
                <w:rFonts w:ascii="Arial" w:eastAsia="Arial" w:hAnsi="Arial" w:cs="Arial"/>
                <w:color w:val="000000"/>
                <w:sz w:val="16"/>
                <w:vertAlign w:val="superscript"/>
              </w:rPr>
            </w:pPr>
          </w:p>
        </w:tc>
        <w:tc>
          <w:tcPr>
            <w:tcW w:w="1230" w:type="dxa"/>
            <w:tcBorders>
              <w:top w:val="nil"/>
              <w:left w:val="nil"/>
              <w:bottom w:val="nil"/>
              <w:right w:val="nil"/>
              <w:tl2br w:val="nil"/>
              <w:tr2bl w:val="nil"/>
            </w:tcBorders>
            <w:shd w:val="clear" w:color="auto" w:fill="FFFF00"/>
            <w:tcMar>
              <w:left w:w="101" w:type="dxa"/>
              <w:right w:w="101" w:type="dxa"/>
            </w:tcMar>
            <w:vAlign w:val="bottom"/>
          </w:tcPr>
          <w:p w14:paraId="0BD5EE02" w14:textId="77777777" w:rsidR="003F0EEA" w:rsidRDefault="003F0EEA">
            <w:pPr>
              <w:jc w:val="right"/>
              <w:rPr>
                <w:rFonts w:ascii="Arial" w:eastAsia="Arial" w:hAnsi="Arial" w:cs="Arial"/>
                <w:color w:val="000000"/>
                <w:sz w:val="16"/>
                <w:vertAlign w:val="superscript"/>
              </w:rPr>
            </w:pPr>
          </w:p>
        </w:tc>
      </w:tr>
      <w:tr w:rsidR="00724034" w14:paraId="777BCFE3" w14:textId="77777777">
        <w:trPr>
          <w:trHeight w:val="225"/>
        </w:trPr>
        <w:tc>
          <w:tcPr>
            <w:tcW w:w="285" w:type="dxa"/>
            <w:tcBorders>
              <w:top w:val="nil"/>
              <w:left w:val="nil"/>
              <w:bottom w:val="nil"/>
              <w:right w:val="nil"/>
              <w:tl2br w:val="nil"/>
              <w:tr2bl w:val="nil"/>
            </w:tcBorders>
            <w:shd w:val="clear" w:color="auto" w:fill="FFFFFF"/>
            <w:tcMar>
              <w:left w:w="101" w:type="dxa"/>
              <w:right w:w="101" w:type="dxa"/>
            </w:tcMar>
            <w:vAlign w:val="bottom"/>
          </w:tcPr>
          <w:p w14:paraId="2BF4099F" w14:textId="77777777" w:rsidR="003F0EEA" w:rsidRDefault="003F0EEA">
            <w:pPr>
              <w:rPr>
                <w:rFonts w:ascii="Arial" w:eastAsia="Arial" w:hAnsi="Arial" w:cs="Arial"/>
                <w:color w:val="000000"/>
                <w:sz w:val="16"/>
                <w:vertAlign w:val="superscript"/>
              </w:rPr>
            </w:pPr>
          </w:p>
        </w:tc>
        <w:tc>
          <w:tcPr>
            <w:tcW w:w="5325" w:type="dxa"/>
            <w:tcBorders>
              <w:top w:val="nil"/>
              <w:left w:val="nil"/>
              <w:bottom w:val="nil"/>
              <w:right w:val="nil"/>
              <w:tl2br w:val="nil"/>
              <w:tr2bl w:val="nil"/>
            </w:tcBorders>
            <w:shd w:val="clear" w:color="auto" w:fill="FFFFFF"/>
            <w:tcMar>
              <w:left w:w="101" w:type="dxa"/>
              <w:right w:w="101" w:type="dxa"/>
            </w:tcMar>
            <w:vAlign w:val="bottom"/>
          </w:tcPr>
          <w:p w14:paraId="4C21EF61" w14:textId="77777777" w:rsidR="003F0EEA" w:rsidRDefault="00FB7D0B">
            <w:pPr>
              <w:rPr>
                <w:rFonts w:ascii="Arial" w:eastAsia="Arial" w:hAnsi="Arial" w:cs="Arial"/>
                <w:color w:val="000000"/>
                <w:sz w:val="16"/>
                <w:vertAlign w:val="superscript"/>
              </w:rPr>
            </w:pPr>
            <w:r>
              <w:rPr>
                <w:rFonts w:ascii="Arial" w:eastAsia="Arial" w:hAnsi="Arial" w:cs="Arial"/>
                <w:color w:val="000000"/>
                <w:sz w:val="16"/>
              </w:rPr>
              <w:t>Ordinary annual services (Appropriation Bill No. 1 &amp; 3)</w:t>
            </w:r>
          </w:p>
        </w:tc>
        <w:tc>
          <w:tcPr>
            <w:tcW w:w="1230" w:type="dxa"/>
            <w:tcBorders>
              <w:top w:val="nil"/>
              <w:left w:val="nil"/>
              <w:bottom w:val="nil"/>
              <w:right w:val="nil"/>
              <w:tl2br w:val="nil"/>
              <w:tr2bl w:val="nil"/>
            </w:tcBorders>
            <w:shd w:val="clear" w:color="auto" w:fill="FFFFFF"/>
            <w:tcMar>
              <w:left w:w="101" w:type="dxa"/>
              <w:right w:w="101" w:type="dxa"/>
            </w:tcMar>
            <w:vAlign w:val="bottom"/>
          </w:tcPr>
          <w:p w14:paraId="4CE9352D" w14:textId="77777777" w:rsidR="003F0EEA" w:rsidRDefault="00FB7D0B">
            <w:pPr>
              <w:jc w:val="right"/>
              <w:rPr>
                <w:rFonts w:ascii="Arial" w:eastAsia="Arial" w:hAnsi="Arial" w:cs="Arial"/>
                <w:color w:val="000000"/>
                <w:sz w:val="16"/>
                <w:vertAlign w:val="superscript"/>
              </w:rPr>
            </w:pPr>
            <w:r>
              <w:rPr>
                <w:rFonts w:ascii="Arial" w:eastAsia="Arial" w:hAnsi="Arial" w:cs="Arial"/>
                <w:color w:val="000000"/>
                <w:sz w:val="16"/>
              </w:rPr>
              <w:t xml:space="preserve"> 3,381 </w:t>
            </w:r>
          </w:p>
        </w:tc>
        <w:tc>
          <w:tcPr>
            <w:tcW w:w="1230" w:type="dxa"/>
            <w:tcBorders>
              <w:top w:val="nil"/>
              <w:left w:val="nil"/>
              <w:bottom w:val="nil"/>
              <w:right w:val="nil"/>
              <w:tl2br w:val="nil"/>
              <w:tr2bl w:val="nil"/>
            </w:tcBorders>
            <w:shd w:val="clear" w:color="auto" w:fill="FFFF00"/>
            <w:tcMar>
              <w:left w:w="101" w:type="dxa"/>
              <w:right w:w="101" w:type="dxa"/>
            </w:tcMar>
            <w:vAlign w:val="bottom"/>
          </w:tcPr>
          <w:p w14:paraId="29A9F07E" w14:textId="77777777" w:rsidR="003F0EEA" w:rsidRDefault="00FB7D0B">
            <w:pPr>
              <w:jc w:val="right"/>
              <w:rPr>
                <w:rFonts w:ascii="Arial" w:eastAsia="Arial" w:hAnsi="Arial" w:cs="Arial"/>
                <w:color w:val="000000"/>
                <w:sz w:val="16"/>
              </w:rPr>
            </w:pPr>
            <w:r>
              <w:rPr>
                <w:rFonts w:ascii="Arial" w:eastAsia="Arial" w:hAnsi="Arial" w:cs="Arial"/>
                <w:color w:val="000000"/>
                <w:sz w:val="16"/>
              </w:rPr>
              <w:t xml:space="preserve"> 6,616 </w:t>
            </w:r>
          </w:p>
        </w:tc>
      </w:tr>
      <w:tr w:rsidR="00724034" w14:paraId="5A05ADF8" w14:textId="77777777">
        <w:trPr>
          <w:trHeight w:val="225"/>
        </w:trPr>
        <w:tc>
          <w:tcPr>
            <w:tcW w:w="285" w:type="dxa"/>
            <w:tcBorders>
              <w:top w:val="nil"/>
              <w:left w:val="nil"/>
              <w:bottom w:val="nil"/>
              <w:right w:val="nil"/>
              <w:tl2br w:val="nil"/>
              <w:tr2bl w:val="nil"/>
            </w:tcBorders>
            <w:shd w:val="clear" w:color="auto" w:fill="FFFFFF"/>
            <w:tcMar>
              <w:left w:w="101" w:type="dxa"/>
              <w:right w:w="101" w:type="dxa"/>
            </w:tcMar>
            <w:vAlign w:val="bottom"/>
          </w:tcPr>
          <w:p w14:paraId="63E3278E" w14:textId="77777777" w:rsidR="003F0EEA" w:rsidRDefault="003F0EEA">
            <w:pPr>
              <w:rPr>
                <w:rFonts w:ascii="Arial" w:eastAsia="Arial" w:hAnsi="Arial" w:cs="Arial"/>
                <w:color w:val="000000"/>
                <w:sz w:val="16"/>
              </w:rPr>
            </w:pPr>
          </w:p>
        </w:tc>
        <w:tc>
          <w:tcPr>
            <w:tcW w:w="5325" w:type="dxa"/>
            <w:tcBorders>
              <w:top w:val="nil"/>
              <w:left w:val="nil"/>
              <w:bottom w:val="nil"/>
              <w:right w:val="nil"/>
              <w:tl2br w:val="nil"/>
              <w:tr2bl w:val="nil"/>
            </w:tcBorders>
            <w:shd w:val="clear" w:color="auto" w:fill="FFFFFF"/>
            <w:tcMar>
              <w:left w:w="101" w:type="dxa"/>
              <w:right w:w="101" w:type="dxa"/>
            </w:tcMar>
            <w:vAlign w:val="bottom"/>
          </w:tcPr>
          <w:p w14:paraId="1C71689A" w14:textId="77777777" w:rsidR="003F0EEA" w:rsidRDefault="00FB7D0B">
            <w:pPr>
              <w:rPr>
                <w:rFonts w:ascii="Arial" w:eastAsia="Arial" w:hAnsi="Arial" w:cs="Arial"/>
                <w:color w:val="000000"/>
                <w:sz w:val="16"/>
              </w:rPr>
            </w:pPr>
            <w:r>
              <w:rPr>
                <w:rFonts w:ascii="Arial" w:eastAsia="Arial" w:hAnsi="Arial" w:cs="Arial"/>
                <w:color w:val="000000"/>
                <w:sz w:val="16"/>
              </w:rPr>
              <w:t>Other services (Appropriation Bill No. 2 &amp; 4)</w:t>
            </w:r>
          </w:p>
        </w:tc>
        <w:tc>
          <w:tcPr>
            <w:tcW w:w="1230" w:type="dxa"/>
            <w:tcBorders>
              <w:top w:val="nil"/>
              <w:left w:val="nil"/>
              <w:bottom w:val="nil"/>
              <w:right w:val="nil"/>
              <w:tl2br w:val="nil"/>
              <w:tr2bl w:val="nil"/>
            </w:tcBorders>
            <w:shd w:val="clear" w:color="auto" w:fill="FFFFFF"/>
            <w:tcMar>
              <w:left w:w="101" w:type="dxa"/>
              <w:right w:w="101" w:type="dxa"/>
            </w:tcMar>
            <w:vAlign w:val="bottom"/>
          </w:tcPr>
          <w:p w14:paraId="45C692A5" w14:textId="77777777" w:rsidR="003F0EEA" w:rsidRDefault="00FB7D0B">
            <w:pPr>
              <w:jc w:val="right"/>
              <w:rPr>
                <w:rFonts w:ascii="Arial" w:eastAsia="Arial" w:hAnsi="Arial" w:cs="Arial"/>
                <w:color w:val="000000"/>
                <w:sz w:val="16"/>
                <w:vertAlign w:val="superscript"/>
              </w:rPr>
            </w:pPr>
            <w:r>
              <w:rPr>
                <w:rFonts w:ascii="Arial" w:eastAsia="Arial" w:hAnsi="Arial" w:cs="Arial"/>
                <w:color w:val="000000"/>
                <w:sz w:val="16"/>
              </w:rPr>
              <w:t xml:space="preserve"> - </w:t>
            </w:r>
          </w:p>
        </w:tc>
        <w:tc>
          <w:tcPr>
            <w:tcW w:w="1230" w:type="dxa"/>
            <w:tcBorders>
              <w:top w:val="nil"/>
              <w:left w:val="nil"/>
              <w:bottom w:val="nil"/>
              <w:right w:val="nil"/>
              <w:tl2br w:val="nil"/>
              <w:tr2bl w:val="nil"/>
            </w:tcBorders>
            <w:shd w:val="clear" w:color="auto" w:fill="FFFF00"/>
            <w:tcMar>
              <w:left w:w="101" w:type="dxa"/>
              <w:right w:w="101" w:type="dxa"/>
            </w:tcMar>
            <w:vAlign w:val="bottom"/>
          </w:tcPr>
          <w:p w14:paraId="6DF48E58" w14:textId="77777777" w:rsidR="003F0EEA" w:rsidRDefault="00FB7D0B">
            <w:pPr>
              <w:jc w:val="right"/>
              <w:rPr>
                <w:rFonts w:ascii="Arial" w:eastAsia="Arial" w:hAnsi="Arial" w:cs="Arial"/>
                <w:color w:val="000000"/>
                <w:sz w:val="16"/>
              </w:rPr>
            </w:pPr>
            <w:r>
              <w:rPr>
                <w:rFonts w:ascii="Arial" w:eastAsia="Arial" w:hAnsi="Arial" w:cs="Arial"/>
                <w:color w:val="000000"/>
                <w:sz w:val="16"/>
              </w:rPr>
              <w:t xml:space="preserve"> - </w:t>
            </w:r>
          </w:p>
        </w:tc>
      </w:tr>
      <w:tr w:rsidR="00724034" w14:paraId="771E50F5" w14:textId="77777777">
        <w:trPr>
          <w:trHeight w:val="225"/>
        </w:trPr>
        <w:tc>
          <w:tcPr>
            <w:tcW w:w="285" w:type="dxa"/>
            <w:tcBorders>
              <w:top w:val="nil"/>
              <w:left w:val="nil"/>
              <w:bottom w:val="nil"/>
              <w:right w:val="nil"/>
              <w:tl2br w:val="nil"/>
              <w:tr2bl w:val="nil"/>
            </w:tcBorders>
            <w:shd w:val="clear" w:color="auto" w:fill="FFFFFF"/>
            <w:tcMar>
              <w:left w:w="101" w:type="dxa"/>
              <w:right w:w="101" w:type="dxa"/>
            </w:tcMar>
            <w:vAlign w:val="bottom"/>
          </w:tcPr>
          <w:p w14:paraId="26EFE16E" w14:textId="77777777" w:rsidR="003F0EEA" w:rsidRDefault="003F0EEA">
            <w:pPr>
              <w:rPr>
                <w:rFonts w:ascii="Arial" w:eastAsia="Arial" w:hAnsi="Arial" w:cs="Arial"/>
                <w:color w:val="000000"/>
                <w:sz w:val="16"/>
              </w:rPr>
            </w:pPr>
          </w:p>
        </w:tc>
        <w:tc>
          <w:tcPr>
            <w:tcW w:w="5325" w:type="dxa"/>
            <w:tcBorders>
              <w:top w:val="nil"/>
              <w:left w:val="nil"/>
              <w:bottom w:val="nil"/>
              <w:right w:val="nil"/>
              <w:tl2br w:val="nil"/>
              <w:tr2bl w:val="nil"/>
            </w:tcBorders>
            <w:shd w:val="clear" w:color="auto" w:fill="FFFFFF"/>
            <w:tcMar>
              <w:left w:w="101" w:type="dxa"/>
              <w:right w:w="101" w:type="dxa"/>
            </w:tcMar>
            <w:vAlign w:val="bottom"/>
          </w:tcPr>
          <w:p w14:paraId="5BA806BC" w14:textId="77777777" w:rsidR="003F0EEA" w:rsidRDefault="00FB7D0B">
            <w:pPr>
              <w:rPr>
                <w:rFonts w:ascii="Arial" w:eastAsia="Arial" w:hAnsi="Arial" w:cs="Arial"/>
                <w:color w:val="000000"/>
                <w:sz w:val="16"/>
              </w:rPr>
            </w:pPr>
            <w:r>
              <w:rPr>
                <w:rFonts w:ascii="Arial" w:eastAsia="Arial" w:hAnsi="Arial" w:cs="Arial"/>
                <w:color w:val="000000"/>
                <w:sz w:val="16"/>
              </w:rPr>
              <w:t>Special Appropriations</w:t>
            </w:r>
          </w:p>
        </w:tc>
        <w:tc>
          <w:tcPr>
            <w:tcW w:w="1230" w:type="dxa"/>
            <w:tcBorders>
              <w:top w:val="nil"/>
              <w:left w:val="nil"/>
              <w:bottom w:val="nil"/>
              <w:right w:val="nil"/>
              <w:tl2br w:val="nil"/>
              <w:tr2bl w:val="nil"/>
            </w:tcBorders>
            <w:shd w:val="clear" w:color="auto" w:fill="FFFFFF"/>
            <w:tcMar>
              <w:left w:w="101" w:type="dxa"/>
              <w:right w:w="101" w:type="dxa"/>
            </w:tcMar>
            <w:vAlign w:val="bottom"/>
          </w:tcPr>
          <w:p w14:paraId="581748F7" w14:textId="77777777" w:rsidR="003F0EEA" w:rsidRDefault="00FB7D0B">
            <w:pPr>
              <w:jc w:val="right"/>
              <w:rPr>
                <w:rFonts w:ascii="Arial" w:eastAsia="Arial" w:hAnsi="Arial" w:cs="Arial"/>
                <w:color w:val="000000"/>
                <w:sz w:val="16"/>
                <w:vertAlign w:val="superscript"/>
              </w:rPr>
            </w:pPr>
            <w:r>
              <w:rPr>
                <w:rFonts w:ascii="Arial" w:eastAsia="Arial" w:hAnsi="Arial" w:cs="Arial"/>
                <w:color w:val="000000"/>
                <w:sz w:val="16"/>
              </w:rPr>
              <w:t xml:space="preserve"> - </w:t>
            </w:r>
          </w:p>
        </w:tc>
        <w:tc>
          <w:tcPr>
            <w:tcW w:w="1230" w:type="dxa"/>
            <w:tcBorders>
              <w:top w:val="nil"/>
              <w:left w:val="nil"/>
              <w:bottom w:val="nil"/>
              <w:right w:val="nil"/>
              <w:tl2br w:val="nil"/>
              <w:tr2bl w:val="nil"/>
            </w:tcBorders>
            <w:shd w:val="clear" w:color="auto" w:fill="FFFF00"/>
            <w:tcMar>
              <w:left w:w="101" w:type="dxa"/>
              <w:right w:w="101" w:type="dxa"/>
            </w:tcMar>
            <w:vAlign w:val="bottom"/>
          </w:tcPr>
          <w:p w14:paraId="10571070" w14:textId="77777777" w:rsidR="003F0EEA" w:rsidRDefault="00FB7D0B">
            <w:pPr>
              <w:jc w:val="right"/>
              <w:rPr>
                <w:rFonts w:ascii="Arial" w:eastAsia="Arial" w:hAnsi="Arial" w:cs="Arial"/>
                <w:color w:val="000000"/>
                <w:sz w:val="16"/>
              </w:rPr>
            </w:pPr>
            <w:r>
              <w:rPr>
                <w:rFonts w:ascii="Arial" w:eastAsia="Arial" w:hAnsi="Arial" w:cs="Arial"/>
                <w:color w:val="000000"/>
                <w:sz w:val="16"/>
              </w:rPr>
              <w:t xml:space="preserve"> - </w:t>
            </w:r>
          </w:p>
        </w:tc>
      </w:tr>
      <w:tr w:rsidR="00724034" w14:paraId="73126A0B" w14:textId="77777777">
        <w:trPr>
          <w:trHeight w:val="225"/>
        </w:trPr>
        <w:tc>
          <w:tcPr>
            <w:tcW w:w="285" w:type="dxa"/>
            <w:tcBorders>
              <w:top w:val="nil"/>
              <w:left w:val="nil"/>
              <w:bottom w:val="nil"/>
              <w:right w:val="nil"/>
              <w:tl2br w:val="nil"/>
              <w:tr2bl w:val="nil"/>
            </w:tcBorders>
            <w:shd w:val="clear" w:color="auto" w:fill="FFFFFF"/>
            <w:tcMar>
              <w:left w:w="101" w:type="dxa"/>
              <w:right w:w="101" w:type="dxa"/>
            </w:tcMar>
            <w:vAlign w:val="bottom"/>
          </w:tcPr>
          <w:p w14:paraId="6114B0A7" w14:textId="77777777" w:rsidR="003F0EEA" w:rsidRDefault="003F0EEA">
            <w:pPr>
              <w:rPr>
                <w:rFonts w:ascii="Arial" w:eastAsia="Arial" w:hAnsi="Arial" w:cs="Arial"/>
                <w:color w:val="000000"/>
                <w:sz w:val="16"/>
              </w:rPr>
            </w:pPr>
          </w:p>
        </w:tc>
        <w:tc>
          <w:tcPr>
            <w:tcW w:w="5325" w:type="dxa"/>
            <w:tcBorders>
              <w:top w:val="nil"/>
              <w:left w:val="nil"/>
              <w:bottom w:val="nil"/>
              <w:right w:val="nil"/>
              <w:tl2br w:val="nil"/>
              <w:tr2bl w:val="nil"/>
            </w:tcBorders>
            <w:shd w:val="clear" w:color="auto" w:fill="FFFFFF"/>
            <w:tcMar>
              <w:left w:w="101" w:type="dxa"/>
              <w:right w:w="101" w:type="dxa"/>
            </w:tcMar>
            <w:vAlign w:val="bottom"/>
          </w:tcPr>
          <w:p w14:paraId="71C9D500" w14:textId="77777777" w:rsidR="003F0EEA" w:rsidRDefault="00FB7D0B">
            <w:pPr>
              <w:rPr>
                <w:rFonts w:ascii="Arial" w:eastAsia="Arial" w:hAnsi="Arial" w:cs="Arial"/>
                <w:color w:val="000000"/>
                <w:sz w:val="16"/>
              </w:rPr>
            </w:pPr>
            <w:r>
              <w:rPr>
                <w:rFonts w:ascii="Arial" w:eastAsia="Arial" w:hAnsi="Arial" w:cs="Arial"/>
                <w:color w:val="000000"/>
                <w:sz w:val="16"/>
              </w:rPr>
              <w:t>Special Accounts</w:t>
            </w:r>
          </w:p>
        </w:tc>
        <w:tc>
          <w:tcPr>
            <w:tcW w:w="1230" w:type="dxa"/>
            <w:tcBorders>
              <w:top w:val="nil"/>
              <w:left w:val="nil"/>
              <w:bottom w:val="nil"/>
              <w:right w:val="nil"/>
              <w:tl2br w:val="nil"/>
              <w:tr2bl w:val="nil"/>
            </w:tcBorders>
            <w:shd w:val="clear" w:color="auto" w:fill="FFFFFF"/>
            <w:tcMar>
              <w:left w:w="101" w:type="dxa"/>
              <w:right w:w="101" w:type="dxa"/>
            </w:tcMar>
            <w:vAlign w:val="bottom"/>
          </w:tcPr>
          <w:p w14:paraId="66FD5523" w14:textId="77777777" w:rsidR="003F0EEA" w:rsidRDefault="00FB7D0B">
            <w:pPr>
              <w:jc w:val="right"/>
              <w:rPr>
                <w:rFonts w:ascii="Arial" w:eastAsia="Arial" w:hAnsi="Arial" w:cs="Arial"/>
                <w:color w:val="000000"/>
                <w:sz w:val="16"/>
                <w:vertAlign w:val="superscript"/>
              </w:rPr>
            </w:pPr>
            <w:r>
              <w:rPr>
                <w:rFonts w:ascii="Arial" w:eastAsia="Arial" w:hAnsi="Arial" w:cs="Arial"/>
                <w:color w:val="000000"/>
                <w:sz w:val="16"/>
              </w:rPr>
              <w:t xml:space="preserve"> - </w:t>
            </w:r>
          </w:p>
        </w:tc>
        <w:tc>
          <w:tcPr>
            <w:tcW w:w="1230" w:type="dxa"/>
            <w:tcBorders>
              <w:top w:val="nil"/>
              <w:left w:val="nil"/>
              <w:bottom w:val="nil"/>
              <w:right w:val="nil"/>
              <w:tl2br w:val="nil"/>
              <w:tr2bl w:val="nil"/>
            </w:tcBorders>
            <w:shd w:val="clear" w:color="auto" w:fill="FFFF00"/>
            <w:tcMar>
              <w:left w:w="101" w:type="dxa"/>
              <w:right w:w="101" w:type="dxa"/>
            </w:tcMar>
            <w:vAlign w:val="bottom"/>
          </w:tcPr>
          <w:p w14:paraId="1FB80E89" w14:textId="77777777" w:rsidR="003F0EEA" w:rsidRDefault="00FB7D0B">
            <w:pPr>
              <w:jc w:val="right"/>
              <w:rPr>
                <w:rFonts w:ascii="Arial" w:eastAsia="Arial" w:hAnsi="Arial" w:cs="Arial"/>
                <w:color w:val="000000"/>
                <w:sz w:val="16"/>
              </w:rPr>
            </w:pPr>
            <w:r>
              <w:rPr>
                <w:rFonts w:ascii="Arial" w:eastAsia="Arial" w:hAnsi="Arial" w:cs="Arial"/>
                <w:color w:val="000000"/>
                <w:sz w:val="16"/>
              </w:rPr>
              <w:t xml:space="preserve"> - </w:t>
            </w:r>
          </w:p>
        </w:tc>
      </w:tr>
      <w:tr w:rsidR="00FB7D0B" w14:paraId="2095DD29" w14:textId="77777777" w:rsidTr="00FB7D0B">
        <w:trPr>
          <w:trHeight w:val="225"/>
        </w:trPr>
        <w:tc>
          <w:tcPr>
            <w:tcW w:w="5610" w:type="dxa"/>
            <w:gridSpan w:val="2"/>
            <w:tcBorders>
              <w:top w:val="nil"/>
              <w:left w:val="nil"/>
              <w:bottom w:val="nil"/>
              <w:right w:val="nil"/>
              <w:tl2br w:val="nil"/>
              <w:tr2bl w:val="nil"/>
            </w:tcBorders>
            <w:shd w:val="clear" w:color="auto" w:fill="FFFFFF"/>
            <w:tcMar>
              <w:left w:w="101" w:type="dxa"/>
              <w:right w:w="101" w:type="dxa"/>
            </w:tcMar>
            <w:vAlign w:val="bottom"/>
          </w:tcPr>
          <w:p w14:paraId="247B24C1" w14:textId="77777777" w:rsidR="003F0EEA" w:rsidRDefault="00FB7D0B">
            <w:pPr>
              <w:rPr>
                <w:rFonts w:ascii="Arial" w:eastAsia="Arial" w:hAnsi="Arial" w:cs="Arial"/>
                <w:color w:val="000000"/>
                <w:sz w:val="16"/>
              </w:rPr>
            </w:pPr>
            <w:r>
              <w:rPr>
                <w:rFonts w:ascii="Arial" w:eastAsia="Arial" w:hAnsi="Arial" w:cs="Arial"/>
                <w:color w:val="000000"/>
                <w:sz w:val="16"/>
              </w:rPr>
              <w:t>Departmental Expenses</w:t>
            </w:r>
          </w:p>
        </w:tc>
        <w:tc>
          <w:tcPr>
            <w:tcW w:w="1230" w:type="dxa"/>
            <w:tcBorders>
              <w:top w:val="nil"/>
              <w:left w:val="nil"/>
              <w:bottom w:val="nil"/>
              <w:right w:val="nil"/>
              <w:tl2br w:val="nil"/>
              <w:tr2bl w:val="nil"/>
            </w:tcBorders>
            <w:shd w:val="clear" w:color="auto" w:fill="FFFFFF"/>
            <w:tcMar>
              <w:left w:w="101" w:type="dxa"/>
              <w:right w:w="101" w:type="dxa"/>
            </w:tcMar>
            <w:vAlign w:val="bottom"/>
          </w:tcPr>
          <w:p w14:paraId="233DC43A" w14:textId="77777777" w:rsidR="003F0EEA" w:rsidRDefault="003F0EEA">
            <w:pPr>
              <w:jc w:val="right"/>
              <w:rPr>
                <w:rFonts w:ascii="Arial" w:eastAsia="Arial" w:hAnsi="Arial" w:cs="Arial"/>
                <w:color w:val="000000"/>
                <w:sz w:val="16"/>
                <w:vertAlign w:val="superscript"/>
              </w:rPr>
            </w:pPr>
          </w:p>
        </w:tc>
        <w:tc>
          <w:tcPr>
            <w:tcW w:w="1230" w:type="dxa"/>
            <w:tcBorders>
              <w:top w:val="nil"/>
              <w:left w:val="nil"/>
              <w:bottom w:val="nil"/>
              <w:right w:val="nil"/>
              <w:tl2br w:val="nil"/>
              <w:tr2bl w:val="nil"/>
            </w:tcBorders>
            <w:shd w:val="clear" w:color="auto" w:fill="FFFF00"/>
            <w:tcMar>
              <w:left w:w="101" w:type="dxa"/>
              <w:right w:w="101" w:type="dxa"/>
            </w:tcMar>
            <w:vAlign w:val="bottom"/>
          </w:tcPr>
          <w:p w14:paraId="139D9CD2" w14:textId="77777777" w:rsidR="003F0EEA" w:rsidRDefault="003F0EEA">
            <w:pPr>
              <w:jc w:val="right"/>
              <w:rPr>
                <w:rFonts w:ascii="Arial" w:eastAsia="Arial" w:hAnsi="Arial" w:cs="Arial"/>
                <w:color w:val="000000"/>
                <w:sz w:val="16"/>
                <w:vertAlign w:val="superscript"/>
              </w:rPr>
            </w:pPr>
          </w:p>
        </w:tc>
      </w:tr>
      <w:tr w:rsidR="00724034" w14:paraId="5A8376CC" w14:textId="77777777">
        <w:trPr>
          <w:trHeight w:val="225"/>
        </w:trPr>
        <w:tc>
          <w:tcPr>
            <w:tcW w:w="285" w:type="dxa"/>
            <w:tcBorders>
              <w:top w:val="nil"/>
              <w:left w:val="nil"/>
              <w:bottom w:val="nil"/>
              <w:right w:val="nil"/>
              <w:tl2br w:val="nil"/>
              <w:tr2bl w:val="nil"/>
            </w:tcBorders>
            <w:shd w:val="clear" w:color="auto" w:fill="FFFFFF"/>
            <w:tcMar>
              <w:left w:w="101" w:type="dxa"/>
              <w:right w:w="101" w:type="dxa"/>
            </w:tcMar>
            <w:vAlign w:val="bottom"/>
          </w:tcPr>
          <w:p w14:paraId="30524291" w14:textId="77777777" w:rsidR="003F0EEA" w:rsidRDefault="003F0EEA">
            <w:pPr>
              <w:rPr>
                <w:rFonts w:ascii="Arial" w:eastAsia="Arial" w:hAnsi="Arial" w:cs="Arial"/>
                <w:color w:val="000000"/>
                <w:sz w:val="16"/>
                <w:vertAlign w:val="superscript"/>
              </w:rPr>
            </w:pPr>
          </w:p>
        </w:tc>
        <w:tc>
          <w:tcPr>
            <w:tcW w:w="5325" w:type="dxa"/>
            <w:tcBorders>
              <w:top w:val="nil"/>
              <w:left w:val="nil"/>
              <w:bottom w:val="nil"/>
              <w:right w:val="nil"/>
              <w:tl2br w:val="nil"/>
              <w:tr2bl w:val="nil"/>
            </w:tcBorders>
            <w:shd w:val="clear" w:color="auto" w:fill="FFFFFF"/>
            <w:tcMar>
              <w:left w:w="101" w:type="dxa"/>
              <w:right w:w="101" w:type="dxa"/>
            </w:tcMar>
            <w:vAlign w:val="bottom"/>
          </w:tcPr>
          <w:p w14:paraId="5ED071E4" w14:textId="77777777" w:rsidR="003F0EEA" w:rsidRDefault="00FB7D0B">
            <w:pPr>
              <w:rPr>
                <w:rFonts w:ascii="Arial" w:eastAsia="Arial" w:hAnsi="Arial" w:cs="Arial"/>
                <w:color w:val="000000"/>
                <w:sz w:val="16"/>
                <w:vertAlign w:val="superscript"/>
              </w:rPr>
            </w:pPr>
            <w:r>
              <w:rPr>
                <w:rFonts w:ascii="Arial" w:eastAsia="Arial" w:hAnsi="Arial" w:cs="Arial"/>
                <w:color w:val="000000"/>
                <w:sz w:val="16"/>
              </w:rPr>
              <w:t>Departmental appropriation</w:t>
            </w:r>
            <w:r>
              <w:rPr>
                <w:rFonts w:ascii="Arial" w:eastAsia="Arial" w:hAnsi="Arial" w:cs="Arial"/>
                <w:color w:val="000000"/>
                <w:sz w:val="16"/>
                <w:vertAlign w:val="superscript"/>
              </w:rPr>
              <w:t>1 </w:t>
            </w:r>
          </w:p>
        </w:tc>
        <w:tc>
          <w:tcPr>
            <w:tcW w:w="1230" w:type="dxa"/>
            <w:tcBorders>
              <w:top w:val="nil"/>
              <w:left w:val="nil"/>
              <w:bottom w:val="nil"/>
              <w:right w:val="nil"/>
              <w:tl2br w:val="nil"/>
              <w:tr2bl w:val="nil"/>
            </w:tcBorders>
            <w:shd w:val="clear" w:color="auto" w:fill="FFFFFF"/>
            <w:tcMar>
              <w:left w:w="101" w:type="dxa"/>
              <w:right w:w="101" w:type="dxa"/>
            </w:tcMar>
            <w:vAlign w:val="bottom"/>
          </w:tcPr>
          <w:p w14:paraId="7DAE2106" w14:textId="77777777" w:rsidR="003F0EEA" w:rsidRDefault="00FB7D0B">
            <w:pPr>
              <w:jc w:val="right"/>
              <w:rPr>
                <w:rFonts w:ascii="Arial" w:eastAsia="Arial" w:hAnsi="Arial" w:cs="Arial"/>
                <w:color w:val="000000"/>
                <w:sz w:val="16"/>
                <w:vertAlign w:val="superscript"/>
              </w:rPr>
            </w:pPr>
            <w:r>
              <w:rPr>
                <w:rFonts w:ascii="Arial" w:eastAsia="Arial" w:hAnsi="Arial" w:cs="Arial"/>
                <w:color w:val="000000"/>
                <w:sz w:val="16"/>
              </w:rPr>
              <w:t xml:space="preserve"> 1,284 </w:t>
            </w:r>
          </w:p>
        </w:tc>
        <w:tc>
          <w:tcPr>
            <w:tcW w:w="1230" w:type="dxa"/>
            <w:tcBorders>
              <w:top w:val="nil"/>
              <w:left w:val="nil"/>
              <w:bottom w:val="nil"/>
              <w:right w:val="nil"/>
              <w:tl2br w:val="nil"/>
              <w:tr2bl w:val="nil"/>
            </w:tcBorders>
            <w:shd w:val="clear" w:color="auto" w:fill="FFFF00"/>
            <w:tcMar>
              <w:left w:w="101" w:type="dxa"/>
              <w:right w:w="101" w:type="dxa"/>
            </w:tcMar>
            <w:vAlign w:val="bottom"/>
          </w:tcPr>
          <w:p w14:paraId="1C35E449" w14:textId="77777777" w:rsidR="003F0EEA" w:rsidRDefault="00FB7D0B">
            <w:pPr>
              <w:jc w:val="right"/>
              <w:rPr>
                <w:rFonts w:ascii="Arial" w:eastAsia="Arial" w:hAnsi="Arial" w:cs="Arial"/>
                <w:color w:val="000000"/>
                <w:sz w:val="16"/>
              </w:rPr>
            </w:pPr>
            <w:r>
              <w:rPr>
                <w:rFonts w:ascii="Arial" w:eastAsia="Arial" w:hAnsi="Arial" w:cs="Arial"/>
                <w:color w:val="000000"/>
                <w:sz w:val="16"/>
              </w:rPr>
              <w:t xml:space="preserve"> 1,274 </w:t>
            </w:r>
          </w:p>
        </w:tc>
      </w:tr>
      <w:tr w:rsidR="00724034" w14:paraId="7ED85DD5" w14:textId="77777777">
        <w:trPr>
          <w:trHeight w:val="225"/>
        </w:trPr>
        <w:tc>
          <w:tcPr>
            <w:tcW w:w="285" w:type="dxa"/>
            <w:tcBorders>
              <w:top w:val="nil"/>
              <w:left w:val="nil"/>
              <w:bottom w:val="nil"/>
              <w:right w:val="nil"/>
              <w:tl2br w:val="nil"/>
              <w:tr2bl w:val="nil"/>
            </w:tcBorders>
            <w:shd w:val="clear" w:color="auto" w:fill="FFFFFF"/>
            <w:tcMar>
              <w:left w:w="101" w:type="dxa"/>
              <w:right w:w="101" w:type="dxa"/>
            </w:tcMar>
            <w:vAlign w:val="bottom"/>
          </w:tcPr>
          <w:p w14:paraId="00714562" w14:textId="77777777" w:rsidR="003F0EEA" w:rsidRDefault="003F0EEA">
            <w:pPr>
              <w:rPr>
                <w:rFonts w:ascii="Arial" w:eastAsia="Arial" w:hAnsi="Arial" w:cs="Arial"/>
                <w:color w:val="000000"/>
                <w:sz w:val="16"/>
              </w:rPr>
            </w:pPr>
          </w:p>
        </w:tc>
        <w:tc>
          <w:tcPr>
            <w:tcW w:w="5325" w:type="dxa"/>
            <w:tcBorders>
              <w:top w:val="nil"/>
              <w:left w:val="nil"/>
              <w:bottom w:val="nil"/>
              <w:right w:val="nil"/>
              <w:tl2br w:val="nil"/>
              <w:tr2bl w:val="nil"/>
            </w:tcBorders>
            <w:shd w:val="clear" w:color="auto" w:fill="FFFFFF"/>
            <w:tcMar>
              <w:left w:w="101" w:type="dxa"/>
              <w:right w:w="101" w:type="dxa"/>
            </w:tcMar>
            <w:vAlign w:val="bottom"/>
          </w:tcPr>
          <w:p w14:paraId="147F68D7" w14:textId="77777777" w:rsidR="003F0EEA" w:rsidRDefault="00FB7D0B">
            <w:pPr>
              <w:rPr>
                <w:rFonts w:ascii="Arial" w:eastAsia="Arial" w:hAnsi="Arial" w:cs="Arial"/>
                <w:color w:val="000000"/>
                <w:sz w:val="16"/>
              </w:rPr>
            </w:pPr>
            <w:r>
              <w:rPr>
                <w:rFonts w:ascii="Arial" w:eastAsia="Arial" w:hAnsi="Arial" w:cs="Arial"/>
                <w:color w:val="000000"/>
                <w:sz w:val="16"/>
              </w:rPr>
              <w:t>Expenses not requiring appropriation in the Budget year</w:t>
            </w:r>
            <w:r>
              <w:rPr>
                <w:rFonts w:ascii="Arial" w:eastAsia="Arial" w:hAnsi="Arial" w:cs="Arial"/>
                <w:color w:val="000000"/>
                <w:sz w:val="16"/>
                <w:vertAlign w:val="superscript"/>
              </w:rPr>
              <w:t>2 </w:t>
            </w:r>
          </w:p>
        </w:tc>
        <w:tc>
          <w:tcPr>
            <w:tcW w:w="1230"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76E5C856" w14:textId="77777777" w:rsidR="003F0EEA" w:rsidRDefault="00FB7D0B">
            <w:pPr>
              <w:jc w:val="right"/>
              <w:rPr>
                <w:rFonts w:ascii="Arial" w:eastAsia="Arial" w:hAnsi="Arial" w:cs="Arial"/>
                <w:color w:val="000000"/>
                <w:sz w:val="16"/>
                <w:vertAlign w:val="superscript"/>
              </w:rPr>
            </w:pPr>
            <w:r>
              <w:rPr>
                <w:rFonts w:ascii="Arial" w:eastAsia="Arial" w:hAnsi="Arial" w:cs="Arial"/>
                <w:color w:val="000000"/>
                <w:sz w:val="16"/>
              </w:rPr>
              <w:t xml:space="preserve"> 171 </w:t>
            </w:r>
          </w:p>
        </w:tc>
        <w:tc>
          <w:tcPr>
            <w:tcW w:w="1230" w:type="dxa"/>
            <w:tcBorders>
              <w:top w:val="nil"/>
              <w:left w:val="nil"/>
              <w:bottom w:val="single" w:sz="6" w:space="0" w:color="000000"/>
              <w:right w:val="nil"/>
              <w:tl2br w:val="nil"/>
              <w:tr2bl w:val="nil"/>
            </w:tcBorders>
            <w:shd w:val="clear" w:color="auto" w:fill="FFFF00"/>
            <w:tcMar>
              <w:left w:w="101" w:type="dxa"/>
              <w:right w:w="101" w:type="dxa"/>
            </w:tcMar>
            <w:vAlign w:val="bottom"/>
          </w:tcPr>
          <w:p w14:paraId="6843747A" w14:textId="77777777" w:rsidR="003F0EEA" w:rsidRDefault="00FB7D0B">
            <w:pPr>
              <w:jc w:val="right"/>
              <w:rPr>
                <w:rFonts w:ascii="Arial" w:eastAsia="Arial" w:hAnsi="Arial" w:cs="Arial"/>
                <w:color w:val="000000"/>
                <w:sz w:val="16"/>
              </w:rPr>
            </w:pPr>
            <w:r>
              <w:rPr>
                <w:rFonts w:ascii="Arial" w:eastAsia="Arial" w:hAnsi="Arial" w:cs="Arial"/>
                <w:color w:val="000000"/>
                <w:sz w:val="16"/>
              </w:rPr>
              <w:t xml:space="preserve"> 191 </w:t>
            </w:r>
          </w:p>
        </w:tc>
      </w:tr>
      <w:tr w:rsidR="00724034" w14:paraId="1CCC3BCE" w14:textId="77777777">
        <w:trPr>
          <w:trHeight w:val="225"/>
        </w:trPr>
        <w:tc>
          <w:tcPr>
            <w:tcW w:w="285" w:type="dxa"/>
            <w:tcBorders>
              <w:top w:val="nil"/>
              <w:left w:val="nil"/>
              <w:bottom w:val="nil"/>
              <w:right w:val="nil"/>
              <w:tl2br w:val="nil"/>
              <w:tr2bl w:val="nil"/>
            </w:tcBorders>
            <w:shd w:val="clear" w:color="auto" w:fill="FFFFFF"/>
            <w:tcMar>
              <w:left w:w="101" w:type="dxa"/>
              <w:right w:w="101" w:type="dxa"/>
            </w:tcMar>
            <w:vAlign w:val="bottom"/>
          </w:tcPr>
          <w:p w14:paraId="4D94BBB3" w14:textId="77777777" w:rsidR="003F0EEA" w:rsidRDefault="003F0EEA">
            <w:pPr>
              <w:rPr>
                <w:rFonts w:ascii="Arial" w:eastAsia="Arial" w:hAnsi="Arial" w:cs="Arial"/>
                <w:color w:val="000000"/>
                <w:sz w:val="16"/>
              </w:rPr>
            </w:pPr>
          </w:p>
        </w:tc>
        <w:tc>
          <w:tcPr>
            <w:tcW w:w="5325" w:type="dxa"/>
            <w:tcBorders>
              <w:top w:val="nil"/>
              <w:left w:val="nil"/>
              <w:bottom w:val="nil"/>
              <w:right w:val="nil"/>
              <w:tl2br w:val="nil"/>
              <w:tr2bl w:val="nil"/>
            </w:tcBorders>
            <w:shd w:val="clear" w:color="auto" w:fill="FFFFFF"/>
            <w:tcMar>
              <w:left w:w="101" w:type="dxa"/>
              <w:right w:w="101" w:type="dxa"/>
            </w:tcMar>
            <w:vAlign w:val="bottom"/>
          </w:tcPr>
          <w:p w14:paraId="5DF19DAA" w14:textId="77777777" w:rsidR="003F0EEA" w:rsidRDefault="00FB7D0B">
            <w:pPr>
              <w:rPr>
                <w:rFonts w:ascii="Arial" w:eastAsia="Arial" w:hAnsi="Arial" w:cs="Arial"/>
                <w:color w:val="000000"/>
                <w:sz w:val="16"/>
              </w:rPr>
            </w:pPr>
            <w:r>
              <w:rPr>
                <w:rFonts w:ascii="Arial" w:eastAsia="Arial" w:hAnsi="Arial" w:cs="Arial"/>
                <w:b/>
                <w:color w:val="000000"/>
                <w:sz w:val="16"/>
              </w:rPr>
              <w:t>Total for Programme 3.2</w:t>
            </w:r>
          </w:p>
        </w:tc>
        <w:tc>
          <w:tcPr>
            <w:tcW w:w="1230"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193A6238" w14:textId="77777777" w:rsidR="003F0EEA" w:rsidRDefault="00FB7D0B">
            <w:pPr>
              <w:jc w:val="right"/>
              <w:rPr>
                <w:rFonts w:ascii="Arial" w:eastAsia="Arial" w:hAnsi="Arial" w:cs="Arial"/>
                <w:color w:val="000000"/>
                <w:sz w:val="16"/>
                <w:vertAlign w:val="superscript"/>
              </w:rPr>
            </w:pPr>
            <w:r>
              <w:rPr>
                <w:rFonts w:ascii="Arial" w:eastAsia="Arial" w:hAnsi="Arial" w:cs="Arial"/>
                <w:b/>
                <w:color w:val="000000"/>
                <w:sz w:val="16"/>
              </w:rPr>
              <w:t xml:space="preserve"> 4,836 </w:t>
            </w:r>
          </w:p>
        </w:tc>
        <w:tc>
          <w:tcPr>
            <w:tcW w:w="1230" w:type="dxa"/>
            <w:tcBorders>
              <w:top w:val="single" w:sz="6" w:space="0" w:color="000000"/>
              <w:left w:val="nil"/>
              <w:bottom w:val="single" w:sz="6" w:space="0" w:color="000000"/>
              <w:right w:val="nil"/>
              <w:tl2br w:val="nil"/>
              <w:tr2bl w:val="nil"/>
            </w:tcBorders>
            <w:shd w:val="clear" w:color="auto" w:fill="FFFF00"/>
            <w:tcMar>
              <w:left w:w="101" w:type="dxa"/>
              <w:right w:w="101" w:type="dxa"/>
            </w:tcMar>
            <w:vAlign w:val="bottom"/>
          </w:tcPr>
          <w:p w14:paraId="6FD6C18D" w14:textId="77777777" w:rsidR="003F0EEA" w:rsidRDefault="00FB7D0B">
            <w:pPr>
              <w:jc w:val="right"/>
              <w:rPr>
                <w:rFonts w:ascii="Arial" w:eastAsia="Arial" w:hAnsi="Arial" w:cs="Arial"/>
                <w:b/>
                <w:color w:val="000000"/>
                <w:sz w:val="16"/>
              </w:rPr>
            </w:pPr>
            <w:r>
              <w:rPr>
                <w:rFonts w:ascii="Arial" w:eastAsia="Arial" w:hAnsi="Arial" w:cs="Arial"/>
                <w:b/>
                <w:color w:val="000000"/>
                <w:sz w:val="16"/>
              </w:rPr>
              <w:t xml:space="preserve"> 8,081 </w:t>
            </w:r>
          </w:p>
        </w:tc>
      </w:tr>
      <w:tr w:rsidR="00724034" w14:paraId="3964A631" w14:textId="77777777">
        <w:trPr>
          <w:trHeight w:val="225"/>
        </w:trPr>
        <w:tc>
          <w:tcPr>
            <w:tcW w:w="285" w:type="dxa"/>
            <w:tcBorders>
              <w:top w:val="nil"/>
              <w:left w:val="nil"/>
              <w:bottom w:val="nil"/>
              <w:right w:val="nil"/>
              <w:tl2br w:val="nil"/>
              <w:tr2bl w:val="nil"/>
            </w:tcBorders>
            <w:shd w:val="clear" w:color="auto" w:fill="FFFFFF"/>
            <w:tcMar>
              <w:left w:w="101" w:type="dxa"/>
              <w:right w:w="101" w:type="dxa"/>
            </w:tcMar>
            <w:vAlign w:val="bottom"/>
          </w:tcPr>
          <w:p w14:paraId="621F11CB" w14:textId="77777777" w:rsidR="003F0EEA" w:rsidRDefault="003F0EEA">
            <w:pPr>
              <w:rPr>
                <w:rFonts w:ascii="Arial" w:eastAsia="Arial" w:hAnsi="Arial" w:cs="Arial"/>
                <w:b/>
                <w:color w:val="000000"/>
                <w:sz w:val="16"/>
              </w:rPr>
            </w:pPr>
          </w:p>
        </w:tc>
        <w:tc>
          <w:tcPr>
            <w:tcW w:w="5325" w:type="dxa"/>
            <w:tcBorders>
              <w:top w:val="nil"/>
              <w:left w:val="nil"/>
              <w:bottom w:val="nil"/>
              <w:right w:val="nil"/>
              <w:tl2br w:val="nil"/>
              <w:tr2bl w:val="nil"/>
            </w:tcBorders>
            <w:shd w:val="clear" w:color="auto" w:fill="FFFFFF"/>
            <w:tcMar>
              <w:left w:w="101" w:type="dxa"/>
              <w:right w:w="101" w:type="dxa"/>
            </w:tcMar>
            <w:vAlign w:val="bottom"/>
          </w:tcPr>
          <w:p w14:paraId="5CFA8F48" w14:textId="77777777" w:rsidR="003F0EEA" w:rsidRDefault="003F0EEA">
            <w:pPr>
              <w:rPr>
                <w:rFonts w:ascii="Arial" w:eastAsia="Arial" w:hAnsi="Arial" w:cs="Arial"/>
                <w:color w:val="000000"/>
                <w:sz w:val="16"/>
              </w:rPr>
            </w:pPr>
          </w:p>
        </w:tc>
        <w:tc>
          <w:tcPr>
            <w:tcW w:w="1230"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1357A4A3" w14:textId="77777777" w:rsidR="003F0EEA" w:rsidRDefault="003F0EEA">
            <w:pPr>
              <w:jc w:val="right"/>
              <w:rPr>
                <w:rFonts w:ascii="Arial" w:eastAsia="Arial" w:hAnsi="Arial" w:cs="Arial"/>
                <w:color w:val="000000"/>
                <w:sz w:val="16"/>
                <w:vertAlign w:val="superscript"/>
              </w:rPr>
            </w:pPr>
          </w:p>
        </w:tc>
        <w:tc>
          <w:tcPr>
            <w:tcW w:w="1230" w:type="dxa"/>
            <w:tcBorders>
              <w:top w:val="single" w:sz="6" w:space="0" w:color="000000"/>
              <w:left w:val="nil"/>
              <w:bottom w:val="nil"/>
              <w:right w:val="nil"/>
              <w:tl2br w:val="nil"/>
              <w:tr2bl w:val="nil"/>
            </w:tcBorders>
            <w:shd w:val="clear" w:color="auto" w:fill="FFFF00"/>
            <w:tcMar>
              <w:left w:w="101" w:type="dxa"/>
              <w:right w:w="101" w:type="dxa"/>
            </w:tcMar>
            <w:vAlign w:val="bottom"/>
          </w:tcPr>
          <w:p w14:paraId="2453AEC6" w14:textId="77777777" w:rsidR="003F0EEA" w:rsidRDefault="003F0EEA">
            <w:pPr>
              <w:jc w:val="right"/>
              <w:rPr>
                <w:rFonts w:ascii="Arial" w:eastAsia="Arial" w:hAnsi="Arial" w:cs="Arial"/>
                <w:color w:val="000000"/>
                <w:sz w:val="16"/>
                <w:vertAlign w:val="superscript"/>
              </w:rPr>
            </w:pPr>
          </w:p>
        </w:tc>
      </w:tr>
      <w:tr w:rsidR="00FB7D0B" w14:paraId="614B9342" w14:textId="77777777" w:rsidTr="00FB7D0B">
        <w:trPr>
          <w:trHeight w:val="225"/>
        </w:trPr>
        <w:tc>
          <w:tcPr>
            <w:tcW w:w="5610" w:type="dxa"/>
            <w:gridSpan w:val="2"/>
            <w:tcBorders>
              <w:top w:val="nil"/>
              <w:left w:val="nil"/>
              <w:bottom w:val="nil"/>
              <w:right w:val="nil"/>
              <w:tl2br w:val="nil"/>
              <w:tr2bl w:val="nil"/>
            </w:tcBorders>
            <w:shd w:val="clear" w:color="auto" w:fill="FFFFFF"/>
            <w:tcMar>
              <w:left w:w="101" w:type="dxa"/>
              <w:right w:w="101" w:type="dxa"/>
            </w:tcMar>
            <w:vAlign w:val="bottom"/>
          </w:tcPr>
          <w:p w14:paraId="65486B7B" w14:textId="77777777" w:rsidR="003F0EEA" w:rsidRDefault="00FB7D0B">
            <w:pPr>
              <w:rPr>
                <w:rFonts w:ascii="Arial" w:eastAsia="Arial" w:hAnsi="Arial" w:cs="Arial"/>
                <w:color w:val="000000"/>
                <w:sz w:val="16"/>
                <w:vertAlign w:val="superscript"/>
              </w:rPr>
            </w:pPr>
            <w:r>
              <w:rPr>
                <w:rFonts w:ascii="Arial" w:eastAsia="Arial" w:hAnsi="Arial" w:cs="Arial"/>
                <w:b/>
                <w:color w:val="000000"/>
                <w:sz w:val="16"/>
              </w:rPr>
              <w:t>Outcome 3 Totals by appropriation type</w:t>
            </w:r>
          </w:p>
        </w:tc>
        <w:tc>
          <w:tcPr>
            <w:tcW w:w="1230" w:type="dxa"/>
            <w:tcBorders>
              <w:top w:val="nil"/>
              <w:left w:val="nil"/>
              <w:bottom w:val="nil"/>
              <w:right w:val="nil"/>
              <w:tl2br w:val="nil"/>
              <w:tr2bl w:val="nil"/>
            </w:tcBorders>
            <w:shd w:val="clear" w:color="auto" w:fill="FFFFFF"/>
            <w:tcMar>
              <w:left w:w="101" w:type="dxa"/>
              <w:right w:w="101" w:type="dxa"/>
            </w:tcMar>
            <w:vAlign w:val="bottom"/>
          </w:tcPr>
          <w:p w14:paraId="26504B0A" w14:textId="77777777" w:rsidR="003F0EEA" w:rsidRDefault="003F0EEA">
            <w:pPr>
              <w:jc w:val="right"/>
              <w:rPr>
                <w:rFonts w:ascii="Arial" w:eastAsia="Arial" w:hAnsi="Arial" w:cs="Arial"/>
                <w:color w:val="000000"/>
                <w:sz w:val="16"/>
                <w:vertAlign w:val="superscript"/>
              </w:rPr>
            </w:pPr>
          </w:p>
        </w:tc>
        <w:tc>
          <w:tcPr>
            <w:tcW w:w="1230" w:type="dxa"/>
            <w:tcBorders>
              <w:top w:val="nil"/>
              <w:left w:val="nil"/>
              <w:bottom w:val="nil"/>
              <w:right w:val="nil"/>
              <w:tl2br w:val="nil"/>
              <w:tr2bl w:val="nil"/>
            </w:tcBorders>
            <w:shd w:val="clear" w:color="auto" w:fill="FFFF00"/>
            <w:tcMar>
              <w:left w:w="101" w:type="dxa"/>
              <w:right w:w="101" w:type="dxa"/>
            </w:tcMar>
            <w:vAlign w:val="bottom"/>
          </w:tcPr>
          <w:p w14:paraId="715B940C" w14:textId="77777777" w:rsidR="003F0EEA" w:rsidRDefault="003F0EEA">
            <w:pPr>
              <w:jc w:val="right"/>
              <w:rPr>
                <w:rFonts w:ascii="Arial" w:eastAsia="Arial" w:hAnsi="Arial" w:cs="Arial"/>
                <w:color w:val="000000"/>
                <w:sz w:val="16"/>
                <w:vertAlign w:val="superscript"/>
              </w:rPr>
            </w:pPr>
          </w:p>
        </w:tc>
      </w:tr>
      <w:tr w:rsidR="00FB7D0B" w14:paraId="4219DDBF" w14:textId="77777777" w:rsidTr="00FB7D0B">
        <w:trPr>
          <w:trHeight w:val="225"/>
        </w:trPr>
        <w:tc>
          <w:tcPr>
            <w:tcW w:w="5610" w:type="dxa"/>
            <w:gridSpan w:val="2"/>
            <w:tcBorders>
              <w:top w:val="nil"/>
              <w:left w:val="nil"/>
              <w:bottom w:val="nil"/>
              <w:right w:val="nil"/>
              <w:tl2br w:val="nil"/>
              <w:tr2bl w:val="nil"/>
            </w:tcBorders>
            <w:shd w:val="clear" w:color="auto" w:fill="FFFFFF"/>
            <w:tcMar>
              <w:left w:w="101" w:type="dxa"/>
              <w:right w:w="101" w:type="dxa"/>
            </w:tcMar>
            <w:vAlign w:val="bottom"/>
          </w:tcPr>
          <w:p w14:paraId="2B5D3168" w14:textId="77777777" w:rsidR="003F0EEA" w:rsidRDefault="00FB7D0B">
            <w:pPr>
              <w:rPr>
                <w:rFonts w:ascii="Arial" w:eastAsia="Arial" w:hAnsi="Arial" w:cs="Arial"/>
                <w:color w:val="000000"/>
                <w:sz w:val="16"/>
                <w:vertAlign w:val="superscript"/>
              </w:rPr>
            </w:pPr>
            <w:r>
              <w:rPr>
                <w:rFonts w:ascii="Arial" w:eastAsia="Arial" w:hAnsi="Arial" w:cs="Arial"/>
                <w:color w:val="000000"/>
                <w:sz w:val="16"/>
              </w:rPr>
              <w:t>Administered Expenses</w:t>
            </w:r>
          </w:p>
        </w:tc>
        <w:tc>
          <w:tcPr>
            <w:tcW w:w="1230" w:type="dxa"/>
            <w:tcBorders>
              <w:top w:val="nil"/>
              <w:left w:val="nil"/>
              <w:bottom w:val="nil"/>
              <w:right w:val="nil"/>
              <w:tl2br w:val="nil"/>
              <w:tr2bl w:val="nil"/>
            </w:tcBorders>
            <w:shd w:val="clear" w:color="auto" w:fill="FFFFFF"/>
            <w:tcMar>
              <w:left w:w="101" w:type="dxa"/>
              <w:right w:w="101" w:type="dxa"/>
            </w:tcMar>
            <w:vAlign w:val="bottom"/>
          </w:tcPr>
          <w:p w14:paraId="313D21DF" w14:textId="77777777" w:rsidR="003F0EEA" w:rsidRDefault="003F0EEA">
            <w:pPr>
              <w:jc w:val="right"/>
              <w:rPr>
                <w:rFonts w:ascii="Arial" w:eastAsia="Arial" w:hAnsi="Arial" w:cs="Arial"/>
                <w:color w:val="000000"/>
                <w:sz w:val="16"/>
                <w:vertAlign w:val="superscript"/>
              </w:rPr>
            </w:pPr>
          </w:p>
        </w:tc>
        <w:tc>
          <w:tcPr>
            <w:tcW w:w="1230" w:type="dxa"/>
            <w:tcBorders>
              <w:top w:val="nil"/>
              <w:left w:val="nil"/>
              <w:bottom w:val="nil"/>
              <w:right w:val="nil"/>
              <w:tl2br w:val="nil"/>
              <w:tr2bl w:val="nil"/>
            </w:tcBorders>
            <w:shd w:val="clear" w:color="auto" w:fill="FFFF00"/>
            <w:tcMar>
              <w:left w:w="101" w:type="dxa"/>
              <w:right w:w="101" w:type="dxa"/>
            </w:tcMar>
            <w:vAlign w:val="bottom"/>
          </w:tcPr>
          <w:p w14:paraId="11493F9B" w14:textId="77777777" w:rsidR="003F0EEA" w:rsidRDefault="003F0EEA">
            <w:pPr>
              <w:jc w:val="right"/>
              <w:rPr>
                <w:rFonts w:ascii="Arial" w:eastAsia="Arial" w:hAnsi="Arial" w:cs="Arial"/>
                <w:color w:val="000000"/>
                <w:sz w:val="16"/>
                <w:vertAlign w:val="superscript"/>
              </w:rPr>
            </w:pPr>
          </w:p>
        </w:tc>
      </w:tr>
      <w:tr w:rsidR="00724034" w14:paraId="3FDBE5AF" w14:textId="77777777">
        <w:trPr>
          <w:trHeight w:val="225"/>
        </w:trPr>
        <w:tc>
          <w:tcPr>
            <w:tcW w:w="285" w:type="dxa"/>
            <w:tcBorders>
              <w:top w:val="nil"/>
              <w:left w:val="nil"/>
              <w:bottom w:val="nil"/>
              <w:right w:val="nil"/>
              <w:tl2br w:val="nil"/>
              <w:tr2bl w:val="nil"/>
            </w:tcBorders>
            <w:shd w:val="clear" w:color="auto" w:fill="FFFFFF"/>
            <w:tcMar>
              <w:left w:w="101" w:type="dxa"/>
              <w:right w:w="101" w:type="dxa"/>
            </w:tcMar>
            <w:vAlign w:val="bottom"/>
          </w:tcPr>
          <w:p w14:paraId="755CCA51" w14:textId="77777777" w:rsidR="003F0EEA" w:rsidRDefault="003F0EEA">
            <w:pPr>
              <w:rPr>
                <w:rFonts w:ascii="Arial" w:eastAsia="Arial" w:hAnsi="Arial" w:cs="Arial"/>
                <w:color w:val="000000"/>
                <w:sz w:val="16"/>
                <w:vertAlign w:val="superscript"/>
              </w:rPr>
            </w:pPr>
          </w:p>
        </w:tc>
        <w:tc>
          <w:tcPr>
            <w:tcW w:w="5325" w:type="dxa"/>
            <w:tcBorders>
              <w:top w:val="nil"/>
              <w:left w:val="nil"/>
              <w:bottom w:val="nil"/>
              <w:right w:val="nil"/>
              <w:tl2br w:val="nil"/>
              <w:tr2bl w:val="nil"/>
            </w:tcBorders>
            <w:shd w:val="clear" w:color="auto" w:fill="FFFFFF"/>
            <w:tcMar>
              <w:left w:w="101" w:type="dxa"/>
              <w:right w:w="101" w:type="dxa"/>
            </w:tcMar>
            <w:vAlign w:val="bottom"/>
          </w:tcPr>
          <w:p w14:paraId="03CA6EC7" w14:textId="77777777" w:rsidR="003F0EEA" w:rsidRDefault="00FB7D0B">
            <w:pPr>
              <w:rPr>
                <w:rFonts w:ascii="Arial" w:eastAsia="Arial" w:hAnsi="Arial" w:cs="Arial"/>
                <w:color w:val="000000"/>
                <w:sz w:val="16"/>
                <w:vertAlign w:val="superscript"/>
              </w:rPr>
            </w:pPr>
            <w:r>
              <w:rPr>
                <w:rFonts w:ascii="Arial" w:eastAsia="Arial" w:hAnsi="Arial" w:cs="Arial"/>
                <w:color w:val="000000"/>
                <w:sz w:val="16"/>
              </w:rPr>
              <w:t>Ordinary annual services (Appropriation Bill No. 1 &amp; 3)</w:t>
            </w:r>
          </w:p>
        </w:tc>
        <w:tc>
          <w:tcPr>
            <w:tcW w:w="1230" w:type="dxa"/>
            <w:tcBorders>
              <w:top w:val="nil"/>
              <w:left w:val="nil"/>
              <w:bottom w:val="nil"/>
              <w:right w:val="nil"/>
              <w:tl2br w:val="nil"/>
              <w:tr2bl w:val="nil"/>
            </w:tcBorders>
            <w:shd w:val="clear" w:color="auto" w:fill="FFFFFF"/>
            <w:tcMar>
              <w:left w:w="101" w:type="dxa"/>
              <w:right w:w="101" w:type="dxa"/>
            </w:tcMar>
            <w:vAlign w:val="bottom"/>
          </w:tcPr>
          <w:p w14:paraId="08088AC2" w14:textId="77777777" w:rsidR="003F0EEA" w:rsidRDefault="00FB7D0B">
            <w:pPr>
              <w:jc w:val="right"/>
              <w:rPr>
                <w:rFonts w:ascii="Arial" w:eastAsia="Arial" w:hAnsi="Arial" w:cs="Arial"/>
                <w:color w:val="000000"/>
                <w:sz w:val="16"/>
                <w:vertAlign w:val="superscript"/>
              </w:rPr>
            </w:pPr>
            <w:r>
              <w:rPr>
                <w:rFonts w:ascii="Arial" w:eastAsia="Arial" w:hAnsi="Arial" w:cs="Arial"/>
                <w:color w:val="000000"/>
                <w:sz w:val="16"/>
              </w:rPr>
              <w:t xml:space="preserve"> 52,213 </w:t>
            </w:r>
          </w:p>
        </w:tc>
        <w:tc>
          <w:tcPr>
            <w:tcW w:w="1230" w:type="dxa"/>
            <w:tcBorders>
              <w:top w:val="nil"/>
              <w:left w:val="nil"/>
              <w:bottom w:val="nil"/>
              <w:right w:val="nil"/>
              <w:tl2br w:val="nil"/>
              <w:tr2bl w:val="nil"/>
            </w:tcBorders>
            <w:shd w:val="clear" w:color="auto" w:fill="FFFF00"/>
            <w:tcMar>
              <w:left w:w="101" w:type="dxa"/>
              <w:right w:w="101" w:type="dxa"/>
            </w:tcMar>
            <w:vAlign w:val="bottom"/>
          </w:tcPr>
          <w:p w14:paraId="4ABFEC5F" w14:textId="77777777" w:rsidR="003F0EEA" w:rsidRDefault="00FB7D0B">
            <w:pPr>
              <w:jc w:val="right"/>
              <w:rPr>
                <w:rFonts w:ascii="Arial" w:eastAsia="Arial" w:hAnsi="Arial" w:cs="Arial"/>
                <w:color w:val="000000"/>
                <w:sz w:val="16"/>
              </w:rPr>
            </w:pPr>
            <w:r>
              <w:rPr>
                <w:rFonts w:ascii="Arial" w:eastAsia="Arial" w:hAnsi="Arial" w:cs="Arial"/>
                <w:color w:val="000000"/>
                <w:sz w:val="16"/>
              </w:rPr>
              <w:t xml:space="preserve"> 54,336 </w:t>
            </w:r>
          </w:p>
        </w:tc>
      </w:tr>
      <w:tr w:rsidR="00724034" w14:paraId="22D9A214" w14:textId="77777777">
        <w:trPr>
          <w:trHeight w:val="225"/>
        </w:trPr>
        <w:tc>
          <w:tcPr>
            <w:tcW w:w="285" w:type="dxa"/>
            <w:tcBorders>
              <w:top w:val="nil"/>
              <w:left w:val="nil"/>
              <w:bottom w:val="nil"/>
              <w:right w:val="nil"/>
              <w:tl2br w:val="nil"/>
              <w:tr2bl w:val="nil"/>
            </w:tcBorders>
            <w:shd w:val="clear" w:color="auto" w:fill="FFFFFF"/>
            <w:tcMar>
              <w:left w:w="101" w:type="dxa"/>
              <w:right w:w="101" w:type="dxa"/>
            </w:tcMar>
            <w:vAlign w:val="bottom"/>
          </w:tcPr>
          <w:p w14:paraId="72073700" w14:textId="77777777" w:rsidR="003F0EEA" w:rsidRDefault="003F0EEA">
            <w:pPr>
              <w:rPr>
                <w:rFonts w:ascii="Arial" w:eastAsia="Arial" w:hAnsi="Arial" w:cs="Arial"/>
                <w:color w:val="000000"/>
                <w:sz w:val="16"/>
              </w:rPr>
            </w:pPr>
          </w:p>
        </w:tc>
        <w:tc>
          <w:tcPr>
            <w:tcW w:w="5325" w:type="dxa"/>
            <w:tcBorders>
              <w:top w:val="nil"/>
              <w:left w:val="nil"/>
              <w:bottom w:val="nil"/>
              <w:right w:val="nil"/>
              <w:tl2br w:val="nil"/>
              <w:tr2bl w:val="nil"/>
            </w:tcBorders>
            <w:shd w:val="clear" w:color="auto" w:fill="FFFFFF"/>
            <w:tcMar>
              <w:left w:w="101" w:type="dxa"/>
              <w:right w:w="101" w:type="dxa"/>
            </w:tcMar>
            <w:vAlign w:val="bottom"/>
          </w:tcPr>
          <w:p w14:paraId="19D5DF55" w14:textId="77777777" w:rsidR="003F0EEA" w:rsidRDefault="00FB7D0B">
            <w:pPr>
              <w:rPr>
                <w:rFonts w:ascii="Arial" w:eastAsia="Arial" w:hAnsi="Arial" w:cs="Arial"/>
                <w:color w:val="000000"/>
                <w:sz w:val="16"/>
              </w:rPr>
            </w:pPr>
            <w:r>
              <w:rPr>
                <w:rFonts w:ascii="Arial" w:eastAsia="Arial" w:hAnsi="Arial" w:cs="Arial"/>
                <w:color w:val="000000"/>
                <w:sz w:val="16"/>
              </w:rPr>
              <w:t>Other services (Appropriation Bill No. 2 &amp; 4)</w:t>
            </w:r>
          </w:p>
        </w:tc>
        <w:tc>
          <w:tcPr>
            <w:tcW w:w="1230" w:type="dxa"/>
            <w:tcBorders>
              <w:top w:val="nil"/>
              <w:left w:val="nil"/>
              <w:bottom w:val="nil"/>
              <w:right w:val="nil"/>
              <w:tl2br w:val="nil"/>
              <w:tr2bl w:val="nil"/>
            </w:tcBorders>
            <w:shd w:val="clear" w:color="auto" w:fill="FFFFFF"/>
            <w:tcMar>
              <w:left w:w="101" w:type="dxa"/>
              <w:right w:w="101" w:type="dxa"/>
            </w:tcMar>
            <w:vAlign w:val="bottom"/>
          </w:tcPr>
          <w:p w14:paraId="3CE57BBF" w14:textId="77777777" w:rsidR="003F0EEA" w:rsidRDefault="00FB7D0B">
            <w:pPr>
              <w:jc w:val="right"/>
              <w:rPr>
                <w:rFonts w:ascii="Arial" w:eastAsia="Arial" w:hAnsi="Arial" w:cs="Arial"/>
                <w:color w:val="000000"/>
                <w:sz w:val="16"/>
                <w:vertAlign w:val="superscript"/>
              </w:rPr>
            </w:pPr>
            <w:r>
              <w:rPr>
                <w:rFonts w:ascii="Arial" w:eastAsia="Arial" w:hAnsi="Arial" w:cs="Arial"/>
                <w:color w:val="000000"/>
                <w:sz w:val="16"/>
              </w:rPr>
              <w:t xml:space="preserve"> - </w:t>
            </w:r>
          </w:p>
        </w:tc>
        <w:tc>
          <w:tcPr>
            <w:tcW w:w="1230" w:type="dxa"/>
            <w:tcBorders>
              <w:top w:val="nil"/>
              <w:left w:val="nil"/>
              <w:bottom w:val="nil"/>
              <w:right w:val="nil"/>
              <w:tl2br w:val="nil"/>
              <w:tr2bl w:val="nil"/>
            </w:tcBorders>
            <w:shd w:val="clear" w:color="auto" w:fill="FFFF00"/>
            <w:tcMar>
              <w:left w:w="101" w:type="dxa"/>
              <w:right w:w="101" w:type="dxa"/>
            </w:tcMar>
            <w:vAlign w:val="bottom"/>
          </w:tcPr>
          <w:p w14:paraId="4AC92D3F" w14:textId="77777777" w:rsidR="003F0EEA" w:rsidRDefault="00FB7D0B">
            <w:pPr>
              <w:jc w:val="right"/>
              <w:rPr>
                <w:rFonts w:ascii="Arial" w:eastAsia="Arial" w:hAnsi="Arial" w:cs="Arial"/>
                <w:color w:val="000000"/>
                <w:sz w:val="16"/>
              </w:rPr>
            </w:pPr>
            <w:r>
              <w:rPr>
                <w:rFonts w:ascii="Arial" w:eastAsia="Arial" w:hAnsi="Arial" w:cs="Arial"/>
                <w:color w:val="000000"/>
                <w:sz w:val="16"/>
              </w:rPr>
              <w:t xml:space="preserve"> - </w:t>
            </w:r>
          </w:p>
        </w:tc>
      </w:tr>
      <w:tr w:rsidR="00724034" w14:paraId="3EB76055" w14:textId="77777777">
        <w:trPr>
          <w:trHeight w:val="225"/>
        </w:trPr>
        <w:tc>
          <w:tcPr>
            <w:tcW w:w="285" w:type="dxa"/>
            <w:tcBorders>
              <w:top w:val="nil"/>
              <w:left w:val="nil"/>
              <w:bottom w:val="nil"/>
              <w:right w:val="nil"/>
              <w:tl2br w:val="nil"/>
              <w:tr2bl w:val="nil"/>
            </w:tcBorders>
            <w:shd w:val="clear" w:color="auto" w:fill="FFFFFF"/>
            <w:tcMar>
              <w:left w:w="101" w:type="dxa"/>
              <w:right w:w="101" w:type="dxa"/>
            </w:tcMar>
            <w:vAlign w:val="bottom"/>
          </w:tcPr>
          <w:p w14:paraId="122BAB17" w14:textId="77777777" w:rsidR="003F0EEA" w:rsidRDefault="003F0EEA">
            <w:pPr>
              <w:rPr>
                <w:rFonts w:ascii="Arial" w:eastAsia="Arial" w:hAnsi="Arial" w:cs="Arial"/>
                <w:color w:val="000000"/>
                <w:sz w:val="16"/>
              </w:rPr>
            </w:pPr>
          </w:p>
        </w:tc>
        <w:tc>
          <w:tcPr>
            <w:tcW w:w="5325" w:type="dxa"/>
            <w:tcBorders>
              <w:top w:val="nil"/>
              <w:left w:val="nil"/>
              <w:bottom w:val="nil"/>
              <w:right w:val="nil"/>
              <w:tl2br w:val="nil"/>
              <w:tr2bl w:val="nil"/>
            </w:tcBorders>
            <w:shd w:val="clear" w:color="auto" w:fill="FFFFFF"/>
            <w:tcMar>
              <w:left w:w="101" w:type="dxa"/>
              <w:right w:w="101" w:type="dxa"/>
            </w:tcMar>
            <w:vAlign w:val="bottom"/>
          </w:tcPr>
          <w:p w14:paraId="304F5252" w14:textId="77777777" w:rsidR="003F0EEA" w:rsidRDefault="00FB7D0B">
            <w:pPr>
              <w:rPr>
                <w:rFonts w:ascii="Arial" w:eastAsia="Arial" w:hAnsi="Arial" w:cs="Arial"/>
                <w:color w:val="000000"/>
                <w:sz w:val="16"/>
              </w:rPr>
            </w:pPr>
            <w:r>
              <w:rPr>
                <w:rFonts w:ascii="Arial" w:eastAsia="Arial" w:hAnsi="Arial" w:cs="Arial"/>
                <w:color w:val="000000"/>
                <w:sz w:val="16"/>
              </w:rPr>
              <w:t>Special Appropriations</w:t>
            </w:r>
          </w:p>
        </w:tc>
        <w:tc>
          <w:tcPr>
            <w:tcW w:w="1230" w:type="dxa"/>
            <w:tcBorders>
              <w:top w:val="nil"/>
              <w:left w:val="nil"/>
              <w:bottom w:val="nil"/>
              <w:right w:val="nil"/>
              <w:tl2br w:val="nil"/>
              <w:tr2bl w:val="nil"/>
            </w:tcBorders>
            <w:shd w:val="clear" w:color="auto" w:fill="FFFFFF"/>
            <w:tcMar>
              <w:left w:w="101" w:type="dxa"/>
              <w:right w:w="101" w:type="dxa"/>
            </w:tcMar>
            <w:vAlign w:val="bottom"/>
          </w:tcPr>
          <w:p w14:paraId="6E15D9C5" w14:textId="77777777" w:rsidR="003F0EEA" w:rsidRDefault="00FB7D0B">
            <w:pPr>
              <w:jc w:val="right"/>
              <w:rPr>
                <w:rFonts w:ascii="Arial" w:eastAsia="Arial" w:hAnsi="Arial" w:cs="Arial"/>
                <w:color w:val="000000"/>
                <w:sz w:val="16"/>
                <w:vertAlign w:val="superscript"/>
              </w:rPr>
            </w:pPr>
            <w:r>
              <w:rPr>
                <w:rFonts w:ascii="Arial" w:eastAsia="Arial" w:hAnsi="Arial" w:cs="Arial"/>
                <w:color w:val="000000"/>
                <w:sz w:val="16"/>
              </w:rPr>
              <w:t xml:space="preserve"> - </w:t>
            </w:r>
          </w:p>
        </w:tc>
        <w:tc>
          <w:tcPr>
            <w:tcW w:w="1230" w:type="dxa"/>
            <w:tcBorders>
              <w:top w:val="nil"/>
              <w:left w:val="nil"/>
              <w:bottom w:val="nil"/>
              <w:right w:val="nil"/>
              <w:tl2br w:val="nil"/>
              <w:tr2bl w:val="nil"/>
            </w:tcBorders>
            <w:shd w:val="clear" w:color="auto" w:fill="FFFF00"/>
            <w:tcMar>
              <w:left w:w="101" w:type="dxa"/>
              <w:right w:w="101" w:type="dxa"/>
            </w:tcMar>
            <w:vAlign w:val="bottom"/>
          </w:tcPr>
          <w:p w14:paraId="57504D6E" w14:textId="77777777" w:rsidR="003F0EEA" w:rsidRDefault="00FB7D0B">
            <w:pPr>
              <w:jc w:val="right"/>
              <w:rPr>
                <w:rFonts w:ascii="Arial" w:eastAsia="Arial" w:hAnsi="Arial" w:cs="Arial"/>
                <w:color w:val="000000"/>
                <w:sz w:val="16"/>
              </w:rPr>
            </w:pPr>
            <w:r>
              <w:rPr>
                <w:rFonts w:ascii="Arial" w:eastAsia="Arial" w:hAnsi="Arial" w:cs="Arial"/>
                <w:color w:val="000000"/>
                <w:sz w:val="16"/>
              </w:rPr>
              <w:t xml:space="preserve"> - </w:t>
            </w:r>
          </w:p>
        </w:tc>
      </w:tr>
      <w:tr w:rsidR="00724034" w14:paraId="54BDA85C" w14:textId="77777777">
        <w:trPr>
          <w:trHeight w:val="225"/>
        </w:trPr>
        <w:tc>
          <w:tcPr>
            <w:tcW w:w="285" w:type="dxa"/>
            <w:tcBorders>
              <w:top w:val="nil"/>
              <w:left w:val="nil"/>
              <w:bottom w:val="nil"/>
              <w:right w:val="nil"/>
              <w:tl2br w:val="nil"/>
              <w:tr2bl w:val="nil"/>
            </w:tcBorders>
            <w:shd w:val="clear" w:color="auto" w:fill="FFFFFF"/>
            <w:tcMar>
              <w:left w:w="101" w:type="dxa"/>
              <w:right w:w="101" w:type="dxa"/>
            </w:tcMar>
            <w:vAlign w:val="bottom"/>
          </w:tcPr>
          <w:p w14:paraId="1BF781E3" w14:textId="77777777" w:rsidR="003F0EEA" w:rsidRDefault="003F0EEA">
            <w:pPr>
              <w:rPr>
                <w:rFonts w:ascii="Arial" w:eastAsia="Arial" w:hAnsi="Arial" w:cs="Arial"/>
                <w:color w:val="000000"/>
                <w:sz w:val="16"/>
              </w:rPr>
            </w:pPr>
          </w:p>
        </w:tc>
        <w:tc>
          <w:tcPr>
            <w:tcW w:w="5325" w:type="dxa"/>
            <w:tcBorders>
              <w:top w:val="nil"/>
              <w:left w:val="nil"/>
              <w:bottom w:val="nil"/>
              <w:right w:val="nil"/>
              <w:tl2br w:val="nil"/>
              <w:tr2bl w:val="nil"/>
            </w:tcBorders>
            <w:shd w:val="clear" w:color="auto" w:fill="FFFFFF"/>
            <w:tcMar>
              <w:left w:w="101" w:type="dxa"/>
              <w:right w:w="101" w:type="dxa"/>
            </w:tcMar>
            <w:vAlign w:val="bottom"/>
          </w:tcPr>
          <w:p w14:paraId="013E8F40" w14:textId="77777777" w:rsidR="003F0EEA" w:rsidRDefault="00FB7D0B">
            <w:pPr>
              <w:rPr>
                <w:rFonts w:ascii="Arial" w:eastAsia="Arial" w:hAnsi="Arial" w:cs="Arial"/>
                <w:color w:val="000000"/>
                <w:sz w:val="16"/>
              </w:rPr>
            </w:pPr>
            <w:r>
              <w:rPr>
                <w:rFonts w:ascii="Arial" w:eastAsia="Arial" w:hAnsi="Arial" w:cs="Arial"/>
                <w:color w:val="000000"/>
                <w:sz w:val="16"/>
              </w:rPr>
              <w:t>Special Accounts</w:t>
            </w:r>
          </w:p>
        </w:tc>
        <w:tc>
          <w:tcPr>
            <w:tcW w:w="1230" w:type="dxa"/>
            <w:tcBorders>
              <w:top w:val="nil"/>
              <w:left w:val="nil"/>
              <w:bottom w:val="nil"/>
              <w:right w:val="nil"/>
              <w:tl2br w:val="nil"/>
              <w:tr2bl w:val="nil"/>
            </w:tcBorders>
            <w:shd w:val="clear" w:color="auto" w:fill="FFFFFF"/>
            <w:tcMar>
              <w:left w:w="101" w:type="dxa"/>
              <w:right w:w="101" w:type="dxa"/>
            </w:tcMar>
            <w:vAlign w:val="bottom"/>
          </w:tcPr>
          <w:p w14:paraId="580A3D0D" w14:textId="77777777" w:rsidR="003F0EEA" w:rsidRDefault="00FB7D0B">
            <w:pPr>
              <w:jc w:val="right"/>
              <w:rPr>
                <w:rFonts w:ascii="Arial" w:eastAsia="Arial" w:hAnsi="Arial" w:cs="Arial"/>
                <w:color w:val="000000"/>
                <w:sz w:val="16"/>
                <w:vertAlign w:val="superscript"/>
              </w:rPr>
            </w:pPr>
            <w:r>
              <w:rPr>
                <w:rFonts w:ascii="Arial" w:eastAsia="Arial" w:hAnsi="Arial" w:cs="Arial"/>
                <w:color w:val="000000"/>
                <w:sz w:val="16"/>
              </w:rPr>
              <w:t xml:space="preserve"> 61 </w:t>
            </w:r>
          </w:p>
        </w:tc>
        <w:tc>
          <w:tcPr>
            <w:tcW w:w="1230" w:type="dxa"/>
            <w:tcBorders>
              <w:top w:val="nil"/>
              <w:left w:val="nil"/>
              <w:bottom w:val="nil"/>
              <w:right w:val="nil"/>
              <w:tl2br w:val="nil"/>
              <w:tr2bl w:val="nil"/>
            </w:tcBorders>
            <w:shd w:val="clear" w:color="auto" w:fill="FFFF00"/>
            <w:tcMar>
              <w:left w:w="101" w:type="dxa"/>
              <w:right w:w="101" w:type="dxa"/>
            </w:tcMar>
            <w:vAlign w:val="bottom"/>
          </w:tcPr>
          <w:p w14:paraId="1BD4FB69" w14:textId="77777777" w:rsidR="003F0EEA" w:rsidRDefault="00FB7D0B">
            <w:pPr>
              <w:jc w:val="right"/>
              <w:rPr>
                <w:rFonts w:ascii="Arial" w:eastAsia="Arial" w:hAnsi="Arial" w:cs="Arial"/>
                <w:color w:val="000000"/>
                <w:sz w:val="16"/>
              </w:rPr>
            </w:pPr>
            <w:r>
              <w:rPr>
                <w:rFonts w:ascii="Arial" w:eastAsia="Arial" w:hAnsi="Arial" w:cs="Arial"/>
                <w:color w:val="000000"/>
                <w:sz w:val="16"/>
              </w:rPr>
              <w:t xml:space="preserve"> 24,086 </w:t>
            </w:r>
          </w:p>
        </w:tc>
      </w:tr>
      <w:tr w:rsidR="00FB7D0B" w14:paraId="0302257B" w14:textId="77777777" w:rsidTr="00FB7D0B">
        <w:trPr>
          <w:trHeight w:val="225"/>
        </w:trPr>
        <w:tc>
          <w:tcPr>
            <w:tcW w:w="5610" w:type="dxa"/>
            <w:gridSpan w:val="2"/>
            <w:tcBorders>
              <w:top w:val="nil"/>
              <w:left w:val="nil"/>
              <w:bottom w:val="nil"/>
              <w:right w:val="nil"/>
              <w:tl2br w:val="nil"/>
              <w:tr2bl w:val="nil"/>
            </w:tcBorders>
            <w:shd w:val="clear" w:color="auto" w:fill="FFFFFF"/>
            <w:tcMar>
              <w:left w:w="101" w:type="dxa"/>
              <w:right w:w="101" w:type="dxa"/>
            </w:tcMar>
            <w:vAlign w:val="bottom"/>
          </w:tcPr>
          <w:p w14:paraId="0AF0BAA0" w14:textId="77777777" w:rsidR="003F0EEA" w:rsidRDefault="00FB7D0B">
            <w:pPr>
              <w:rPr>
                <w:rFonts w:ascii="Arial" w:eastAsia="Arial" w:hAnsi="Arial" w:cs="Arial"/>
                <w:color w:val="000000"/>
                <w:sz w:val="16"/>
              </w:rPr>
            </w:pPr>
            <w:r>
              <w:rPr>
                <w:rFonts w:ascii="Arial" w:eastAsia="Arial" w:hAnsi="Arial" w:cs="Arial"/>
                <w:color w:val="000000"/>
                <w:sz w:val="16"/>
              </w:rPr>
              <w:t>Departmental Expenses</w:t>
            </w:r>
          </w:p>
        </w:tc>
        <w:tc>
          <w:tcPr>
            <w:tcW w:w="1230" w:type="dxa"/>
            <w:tcBorders>
              <w:top w:val="nil"/>
              <w:left w:val="nil"/>
              <w:bottom w:val="nil"/>
              <w:right w:val="nil"/>
              <w:tl2br w:val="nil"/>
              <w:tr2bl w:val="nil"/>
            </w:tcBorders>
            <w:shd w:val="clear" w:color="auto" w:fill="FFFFFF"/>
            <w:tcMar>
              <w:left w:w="101" w:type="dxa"/>
              <w:right w:w="101" w:type="dxa"/>
            </w:tcMar>
            <w:vAlign w:val="bottom"/>
          </w:tcPr>
          <w:p w14:paraId="50344080" w14:textId="77777777" w:rsidR="003F0EEA" w:rsidRDefault="003F0EEA">
            <w:pPr>
              <w:jc w:val="right"/>
              <w:rPr>
                <w:rFonts w:ascii="Arial" w:eastAsia="Arial" w:hAnsi="Arial" w:cs="Arial"/>
                <w:color w:val="000000"/>
                <w:sz w:val="16"/>
                <w:vertAlign w:val="superscript"/>
              </w:rPr>
            </w:pPr>
          </w:p>
        </w:tc>
        <w:tc>
          <w:tcPr>
            <w:tcW w:w="1230" w:type="dxa"/>
            <w:tcBorders>
              <w:top w:val="nil"/>
              <w:left w:val="nil"/>
              <w:bottom w:val="nil"/>
              <w:right w:val="nil"/>
              <w:tl2br w:val="nil"/>
              <w:tr2bl w:val="nil"/>
            </w:tcBorders>
            <w:shd w:val="clear" w:color="auto" w:fill="FFFF00"/>
            <w:tcMar>
              <w:left w:w="101" w:type="dxa"/>
              <w:right w:w="101" w:type="dxa"/>
            </w:tcMar>
            <w:vAlign w:val="bottom"/>
          </w:tcPr>
          <w:p w14:paraId="7F9B4710" w14:textId="77777777" w:rsidR="003F0EEA" w:rsidRDefault="003F0EEA">
            <w:pPr>
              <w:jc w:val="right"/>
              <w:rPr>
                <w:rFonts w:ascii="Arial" w:eastAsia="Arial" w:hAnsi="Arial" w:cs="Arial"/>
                <w:color w:val="000000"/>
                <w:sz w:val="16"/>
                <w:vertAlign w:val="superscript"/>
              </w:rPr>
            </w:pPr>
          </w:p>
        </w:tc>
      </w:tr>
      <w:tr w:rsidR="00724034" w14:paraId="40DF68AB" w14:textId="77777777">
        <w:trPr>
          <w:trHeight w:val="225"/>
        </w:trPr>
        <w:tc>
          <w:tcPr>
            <w:tcW w:w="285" w:type="dxa"/>
            <w:tcBorders>
              <w:top w:val="nil"/>
              <w:left w:val="nil"/>
              <w:bottom w:val="nil"/>
              <w:right w:val="nil"/>
              <w:tl2br w:val="nil"/>
              <w:tr2bl w:val="nil"/>
            </w:tcBorders>
            <w:shd w:val="clear" w:color="auto" w:fill="FFFFFF"/>
            <w:tcMar>
              <w:left w:w="101" w:type="dxa"/>
              <w:right w:w="101" w:type="dxa"/>
            </w:tcMar>
            <w:vAlign w:val="bottom"/>
          </w:tcPr>
          <w:p w14:paraId="04648C1F" w14:textId="77777777" w:rsidR="003F0EEA" w:rsidRDefault="003F0EEA">
            <w:pPr>
              <w:rPr>
                <w:rFonts w:ascii="Arial" w:eastAsia="Arial" w:hAnsi="Arial" w:cs="Arial"/>
                <w:color w:val="000000"/>
                <w:sz w:val="16"/>
                <w:vertAlign w:val="superscript"/>
              </w:rPr>
            </w:pPr>
          </w:p>
        </w:tc>
        <w:tc>
          <w:tcPr>
            <w:tcW w:w="5325" w:type="dxa"/>
            <w:tcBorders>
              <w:top w:val="nil"/>
              <w:left w:val="nil"/>
              <w:bottom w:val="nil"/>
              <w:right w:val="nil"/>
              <w:tl2br w:val="nil"/>
              <w:tr2bl w:val="nil"/>
            </w:tcBorders>
            <w:shd w:val="clear" w:color="auto" w:fill="FFFFFF"/>
            <w:tcMar>
              <w:left w:w="101" w:type="dxa"/>
              <w:right w:w="101" w:type="dxa"/>
            </w:tcMar>
            <w:vAlign w:val="bottom"/>
          </w:tcPr>
          <w:p w14:paraId="206029BA" w14:textId="77777777" w:rsidR="003F0EEA" w:rsidRDefault="00FB7D0B">
            <w:pPr>
              <w:rPr>
                <w:rFonts w:ascii="Arial" w:eastAsia="Arial" w:hAnsi="Arial" w:cs="Arial"/>
                <w:color w:val="000000"/>
                <w:sz w:val="16"/>
                <w:vertAlign w:val="superscript"/>
              </w:rPr>
            </w:pPr>
            <w:r>
              <w:rPr>
                <w:rFonts w:ascii="Arial" w:eastAsia="Arial" w:hAnsi="Arial" w:cs="Arial"/>
                <w:color w:val="000000"/>
                <w:sz w:val="16"/>
              </w:rPr>
              <w:t>Departmental appropriation</w:t>
            </w:r>
            <w:r>
              <w:rPr>
                <w:rFonts w:ascii="Arial" w:eastAsia="Arial" w:hAnsi="Arial" w:cs="Arial"/>
                <w:color w:val="000000"/>
                <w:sz w:val="16"/>
                <w:vertAlign w:val="superscript"/>
              </w:rPr>
              <w:t>1 </w:t>
            </w:r>
          </w:p>
        </w:tc>
        <w:tc>
          <w:tcPr>
            <w:tcW w:w="1230" w:type="dxa"/>
            <w:tcBorders>
              <w:top w:val="nil"/>
              <w:left w:val="nil"/>
              <w:bottom w:val="nil"/>
              <w:right w:val="nil"/>
              <w:tl2br w:val="nil"/>
              <w:tr2bl w:val="nil"/>
            </w:tcBorders>
            <w:shd w:val="clear" w:color="auto" w:fill="FFFFFF"/>
            <w:tcMar>
              <w:left w:w="101" w:type="dxa"/>
              <w:right w:w="101" w:type="dxa"/>
            </w:tcMar>
            <w:vAlign w:val="bottom"/>
          </w:tcPr>
          <w:p w14:paraId="242D9257" w14:textId="77777777" w:rsidR="003F0EEA" w:rsidRDefault="00FB7D0B">
            <w:pPr>
              <w:jc w:val="right"/>
              <w:rPr>
                <w:rFonts w:ascii="Arial" w:eastAsia="Arial" w:hAnsi="Arial" w:cs="Arial"/>
                <w:color w:val="000000"/>
                <w:sz w:val="16"/>
                <w:vertAlign w:val="superscript"/>
              </w:rPr>
            </w:pPr>
            <w:r>
              <w:rPr>
                <w:rFonts w:ascii="Arial" w:eastAsia="Arial" w:hAnsi="Arial" w:cs="Arial"/>
                <w:color w:val="000000"/>
                <w:sz w:val="16"/>
              </w:rPr>
              <w:t xml:space="preserve"> 22,423 </w:t>
            </w:r>
          </w:p>
        </w:tc>
        <w:tc>
          <w:tcPr>
            <w:tcW w:w="1230" w:type="dxa"/>
            <w:tcBorders>
              <w:top w:val="nil"/>
              <w:left w:val="nil"/>
              <w:bottom w:val="nil"/>
              <w:right w:val="nil"/>
              <w:tl2br w:val="nil"/>
              <w:tr2bl w:val="nil"/>
            </w:tcBorders>
            <w:shd w:val="clear" w:color="auto" w:fill="FFFF00"/>
            <w:tcMar>
              <w:left w:w="101" w:type="dxa"/>
              <w:right w:w="101" w:type="dxa"/>
            </w:tcMar>
            <w:vAlign w:val="bottom"/>
          </w:tcPr>
          <w:p w14:paraId="0353CCAB" w14:textId="77777777" w:rsidR="003F0EEA" w:rsidRDefault="00FB7D0B">
            <w:pPr>
              <w:jc w:val="right"/>
              <w:rPr>
                <w:rFonts w:ascii="Arial" w:eastAsia="Arial" w:hAnsi="Arial" w:cs="Arial"/>
                <w:color w:val="000000"/>
                <w:sz w:val="16"/>
              </w:rPr>
            </w:pPr>
            <w:r>
              <w:rPr>
                <w:rFonts w:ascii="Arial" w:eastAsia="Arial" w:hAnsi="Arial" w:cs="Arial"/>
                <w:color w:val="000000"/>
                <w:sz w:val="16"/>
              </w:rPr>
              <w:t xml:space="preserve"> 21,914 </w:t>
            </w:r>
          </w:p>
        </w:tc>
      </w:tr>
      <w:tr w:rsidR="00724034" w14:paraId="3F137AF4" w14:textId="77777777">
        <w:trPr>
          <w:trHeight w:val="225"/>
        </w:trPr>
        <w:tc>
          <w:tcPr>
            <w:tcW w:w="285" w:type="dxa"/>
            <w:tcBorders>
              <w:top w:val="nil"/>
              <w:left w:val="nil"/>
              <w:bottom w:val="nil"/>
              <w:right w:val="nil"/>
              <w:tl2br w:val="nil"/>
              <w:tr2bl w:val="nil"/>
            </w:tcBorders>
            <w:shd w:val="clear" w:color="auto" w:fill="FFFFFF"/>
            <w:tcMar>
              <w:left w:w="101" w:type="dxa"/>
              <w:right w:w="101" w:type="dxa"/>
            </w:tcMar>
            <w:vAlign w:val="bottom"/>
          </w:tcPr>
          <w:p w14:paraId="55BF2E38" w14:textId="77777777" w:rsidR="003F0EEA" w:rsidRDefault="003F0EEA">
            <w:pPr>
              <w:rPr>
                <w:rFonts w:ascii="Arial" w:eastAsia="Arial" w:hAnsi="Arial" w:cs="Arial"/>
                <w:color w:val="000000"/>
                <w:sz w:val="16"/>
              </w:rPr>
            </w:pPr>
          </w:p>
        </w:tc>
        <w:tc>
          <w:tcPr>
            <w:tcW w:w="5325" w:type="dxa"/>
            <w:tcBorders>
              <w:top w:val="nil"/>
              <w:left w:val="nil"/>
              <w:bottom w:val="nil"/>
              <w:right w:val="nil"/>
              <w:tl2br w:val="nil"/>
              <w:tr2bl w:val="nil"/>
            </w:tcBorders>
            <w:shd w:val="clear" w:color="auto" w:fill="FFFFFF"/>
            <w:tcMar>
              <w:left w:w="101" w:type="dxa"/>
              <w:right w:w="101" w:type="dxa"/>
            </w:tcMar>
            <w:vAlign w:val="bottom"/>
          </w:tcPr>
          <w:p w14:paraId="225CF516" w14:textId="77777777" w:rsidR="003F0EEA" w:rsidRDefault="00FB7D0B">
            <w:pPr>
              <w:rPr>
                <w:rFonts w:ascii="Arial" w:eastAsia="Arial" w:hAnsi="Arial" w:cs="Arial"/>
                <w:color w:val="000000"/>
                <w:sz w:val="16"/>
              </w:rPr>
            </w:pPr>
            <w:r>
              <w:rPr>
                <w:rFonts w:ascii="Arial" w:eastAsia="Arial" w:hAnsi="Arial" w:cs="Arial"/>
                <w:color w:val="000000"/>
                <w:sz w:val="16"/>
              </w:rPr>
              <w:t>Expenses not requiring appropriation in the Budget year</w:t>
            </w:r>
            <w:r>
              <w:rPr>
                <w:rFonts w:ascii="Arial" w:eastAsia="Arial" w:hAnsi="Arial" w:cs="Arial"/>
                <w:color w:val="000000"/>
                <w:sz w:val="16"/>
                <w:vertAlign w:val="superscript"/>
              </w:rPr>
              <w:t>2 </w:t>
            </w:r>
          </w:p>
        </w:tc>
        <w:tc>
          <w:tcPr>
            <w:tcW w:w="1230"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6332FF31" w14:textId="77777777" w:rsidR="003F0EEA" w:rsidRDefault="00FB7D0B">
            <w:pPr>
              <w:jc w:val="right"/>
              <w:rPr>
                <w:rFonts w:ascii="Arial" w:eastAsia="Arial" w:hAnsi="Arial" w:cs="Arial"/>
                <w:color w:val="000000"/>
                <w:sz w:val="16"/>
                <w:vertAlign w:val="superscript"/>
              </w:rPr>
            </w:pPr>
            <w:r>
              <w:rPr>
                <w:rFonts w:ascii="Arial" w:eastAsia="Arial" w:hAnsi="Arial" w:cs="Arial"/>
                <w:color w:val="000000"/>
                <w:sz w:val="16"/>
              </w:rPr>
              <w:t xml:space="preserve"> 2,287 </w:t>
            </w:r>
          </w:p>
        </w:tc>
        <w:tc>
          <w:tcPr>
            <w:tcW w:w="1230" w:type="dxa"/>
            <w:tcBorders>
              <w:top w:val="nil"/>
              <w:left w:val="nil"/>
              <w:bottom w:val="single" w:sz="6" w:space="0" w:color="000000"/>
              <w:right w:val="nil"/>
              <w:tl2br w:val="nil"/>
              <w:tr2bl w:val="nil"/>
            </w:tcBorders>
            <w:shd w:val="clear" w:color="auto" w:fill="FFFF00"/>
            <w:tcMar>
              <w:left w:w="101" w:type="dxa"/>
              <w:right w:w="101" w:type="dxa"/>
            </w:tcMar>
            <w:vAlign w:val="bottom"/>
          </w:tcPr>
          <w:p w14:paraId="3674EF77" w14:textId="77777777" w:rsidR="003F0EEA" w:rsidRDefault="00FB7D0B">
            <w:pPr>
              <w:jc w:val="right"/>
              <w:rPr>
                <w:rFonts w:ascii="Arial" w:eastAsia="Arial" w:hAnsi="Arial" w:cs="Arial"/>
                <w:color w:val="000000"/>
                <w:sz w:val="16"/>
              </w:rPr>
            </w:pPr>
            <w:r>
              <w:rPr>
                <w:rFonts w:ascii="Arial" w:eastAsia="Arial" w:hAnsi="Arial" w:cs="Arial"/>
                <w:color w:val="000000"/>
                <w:sz w:val="16"/>
              </w:rPr>
              <w:t xml:space="preserve"> 2,554 </w:t>
            </w:r>
          </w:p>
        </w:tc>
      </w:tr>
      <w:tr w:rsidR="00FB7D0B" w14:paraId="7E26D156" w14:textId="77777777" w:rsidTr="00FB7D0B">
        <w:trPr>
          <w:trHeight w:val="225"/>
        </w:trPr>
        <w:tc>
          <w:tcPr>
            <w:tcW w:w="5610" w:type="dxa"/>
            <w:gridSpan w:val="2"/>
            <w:tcBorders>
              <w:top w:val="nil"/>
              <w:left w:val="nil"/>
              <w:bottom w:val="none" w:sz="2" w:space="0" w:color="000000"/>
              <w:right w:val="nil"/>
              <w:tl2br w:val="nil"/>
              <w:tr2bl w:val="nil"/>
            </w:tcBorders>
            <w:shd w:val="clear" w:color="auto" w:fill="FFFFFF"/>
            <w:tcMar>
              <w:left w:w="101" w:type="dxa"/>
              <w:right w:w="101" w:type="dxa"/>
            </w:tcMar>
            <w:vAlign w:val="bottom"/>
          </w:tcPr>
          <w:p w14:paraId="6960AA7F" w14:textId="77777777" w:rsidR="003F0EEA" w:rsidRDefault="00FB7D0B">
            <w:pPr>
              <w:rPr>
                <w:rFonts w:ascii="Arial" w:eastAsia="Arial" w:hAnsi="Arial" w:cs="Arial"/>
                <w:color w:val="000000"/>
                <w:sz w:val="16"/>
              </w:rPr>
            </w:pPr>
            <w:r>
              <w:rPr>
                <w:rFonts w:ascii="Arial" w:eastAsia="Arial" w:hAnsi="Arial" w:cs="Arial"/>
                <w:b/>
                <w:color w:val="000000"/>
                <w:sz w:val="16"/>
              </w:rPr>
              <w:t>Total expenses for Outcome 3</w:t>
            </w:r>
          </w:p>
        </w:tc>
        <w:tc>
          <w:tcPr>
            <w:tcW w:w="1230" w:type="dxa"/>
            <w:tcBorders>
              <w:top w:val="single" w:sz="6" w:space="0" w:color="000000"/>
              <w:left w:val="nil"/>
              <w:bottom w:val="none" w:sz="2" w:space="0" w:color="000000"/>
              <w:right w:val="nil"/>
              <w:tl2br w:val="nil"/>
              <w:tr2bl w:val="nil"/>
            </w:tcBorders>
            <w:shd w:val="clear" w:color="auto" w:fill="FFFFFF"/>
            <w:tcMar>
              <w:left w:w="101" w:type="dxa"/>
              <w:right w:w="101" w:type="dxa"/>
            </w:tcMar>
            <w:vAlign w:val="bottom"/>
          </w:tcPr>
          <w:p w14:paraId="3C79AB65" w14:textId="77777777" w:rsidR="003F0EEA" w:rsidRDefault="00FB7D0B">
            <w:pPr>
              <w:jc w:val="right"/>
              <w:rPr>
                <w:rFonts w:ascii="Arial" w:eastAsia="Arial" w:hAnsi="Arial" w:cs="Arial"/>
                <w:b/>
                <w:color w:val="000000"/>
                <w:sz w:val="16"/>
                <w:vertAlign w:val="superscript"/>
              </w:rPr>
            </w:pPr>
            <w:r>
              <w:rPr>
                <w:rFonts w:ascii="Arial" w:eastAsia="Arial" w:hAnsi="Arial" w:cs="Arial"/>
                <w:b/>
                <w:color w:val="000000"/>
                <w:sz w:val="16"/>
              </w:rPr>
              <w:t xml:space="preserve"> 76,984 </w:t>
            </w:r>
          </w:p>
        </w:tc>
        <w:tc>
          <w:tcPr>
            <w:tcW w:w="1230" w:type="dxa"/>
            <w:tcBorders>
              <w:top w:val="single" w:sz="6" w:space="0" w:color="000000"/>
              <w:left w:val="nil"/>
              <w:bottom w:val="none" w:sz="2" w:space="0" w:color="000000"/>
              <w:right w:val="nil"/>
              <w:tl2br w:val="nil"/>
              <w:tr2bl w:val="nil"/>
            </w:tcBorders>
            <w:shd w:val="clear" w:color="auto" w:fill="FFFF00"/>
            <w:tcMar>
              <w:left w:w="101" w:type="dxa"/>
              <w:right w:w="101" w:type="dxa"/>
            </w:tcMar>
            <w:vAlign w:val="bottom"/>
          </w:tcPr>
          <w:p w14:paraId="22B112B1" w14:textId="77777777" w:rsidR="003F0EEA" w:rsidRDefault="00FB7D0B">
            <w:pPr>
              <w:jc w:val="right"/>
              <w:rPr>
                <w:rFonts w:ascii="Arial" w:eastAsia="Arial" w:hAnsi="Arial" w:cs="Arial"/>
                <w:b/>
                <w:color w:val="000000"/>
                <w:sz w:val="16"/>
              </w:rPr>
            </w:pPr>
            <w:r>
              <w:rPr>
                <w:rFonts w:ascii="Arial" w:eastAsia="Arial" w:hAnsi="Arial" w:cs="Arial"/>
                <w:b/>
                <w:color w:val="000000"/>
                <w:sz w:val="16"/>
              </w:rPr>
              <w:t xml:space="preserve"> 102,890 </w:t>
            </w:r>
          </w:p>
        </w:tc>
      </w:tr>
      <w:tr w:rsidR="00724034" w14:paraId="6AE6B63E" w14:textId="77777777">
        <w:trPr>
          <w:trHeight w:val="225"/>
        </w:trPr>
        <w:tc>
          <w:tcPr>
            <w:tcW w:w="28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3239C38F" w14:textId="77777777" w:rsidR="003F0EEA" w:rsidRDefault="003F0EEA">
            <w:pPr>
              <w:rPr>
                <w:rFonts w:ascii="Arial" w:eastAsia="Arial" w:hAnsi="Arial" w:cs="Arial"/>
                <w:b/>
                <w:color w:val="000000"/>
                <w:sz w:val="16"/>
              </w:rPr>
            </w:pPr>
          </w:p>
        </w:tc>
        <w:tc>
          <w:tcPr>
            <w:tcW w:w="532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6D100D67" w14:textId="77777777" w:rsidR="003F0EEA" w:rsidRDefault="003F0EEA">
            <w:pPr>
              <w:rPr>
                <w:rFonts w:ascii="Arial" w:eastAsia="Arial" w:hAnsi="Arial" w:cs="Arial"/>
                <w:color w:val="000000"/>
                <w:sz w:val="16"/>
              </w:rPr>
            </w:pPr>
          </w:p>
        </w:tc>
        <w:tc>
          <w:tcPr>
            <w:tcW w:w="1230"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1BDF1B10" w14:textId="77777777" w:rsidR="003F0EEA" w:rsidRDefault="00FB7D0B">
            <w:pPr>
              <w:jc w:val="right"/>
              <w:rPr>
                <w:rFonts w:ascii="Arial" w:eastAsia="Arial" w:hAnsi="Arial" w:cs="Arial"/>
                <w:color w:val="000000"/>
                <w:sz w:val="16"/>
                <w:vertAlign w:val="superscript"/>
              </w:rPr>
            </w:pPr>
            <w:r>
              <w:rPr>
                <w:rFonts w:ascii="Arial" w:eastAsia="Arial" w:hAnsi="Arial" w:cs="Arial"/>
                <w:color w:val="000000"/>
                <w:sz w:val="16"/>
              </w:rPr>
              <w:t>2013-14</w:t>
            </w:r>
          </w:p>
        </w:tc>
        <w:tc>
          <w:tcPr>
            <w:tcW w:w="1230" w:type="dxa"/>
            <w:tcBorders>
              <w:top w:val="single" w:sz="6" w:space="0" w:color="000000"/>
              <w:left w:val="nil"/>
              <w:bottom w:val="single" w:sz="6" w:space="0" w:color="000000"/>
              <w:right w:val="nil"/>
              <w:tl2br w:val="nil"/>
              <w:tr2bl w:val="nil"/>
            </w:tcBorders>
            <w:shd w:val="clear" w:color="auto" w:fill="FFFF00"/>
            <w:tcMar>
              <w:left w:w="101" w:type="dxa"/>
              <w:right w:w="101" w:type="dxa"/>
            </w:tcMar>
            <w:vAlign w:val="bottom"/>
          </w:tcPr>
          <w:p w14:paraId="591DE4FD" w14:textId="77777777" w:rsidR="003F0EEA" w:rsidRDefault="00FB7D0B">
            <w:pPr>
              <w:jc w:val="right"/>
              <w:rPr>
                <w:rFonts w:ascii="Arial" w:eastAsia="Arial" w:hAnsi="Arial" w:cs="Arial"/>
                <w:color w:val="000000"/>
                <w:sz w:val="16"/>
              </w:rPr>
            </w:pPr>
            <w:r>
              <w:rPr>
                <w:rFonts w:ascii="Arial" w:eastAsia="Arial" w:hAnsi="Arial" w:cs="Arial"/>
                <w:color w:val="000000"/>
                <w:sz w:val="16"/>
              </w:rPr>
              <w:t>2014-15</w:t>
            </w:r>
          </w:p>
        </w:tc>
      </w:tr>
      <w:tr w:rsidR="00FB7D0B" w14:paraId="7DA14384" w14:textId="77777777" w:rsidTr="00FB7D0B">
        <w:trPr>
          <w:trHeight w:val="225"/>
        </w:trPr>
        <w:tc>
          <w:tcPr>
            <w:tcW w:w="5610" w:type="dxa"/>
            <w:gridSpan w:val="2"/>
            <w:tcBorders>
              <w:top w:val="nil"/>
              <w:left w:val="nil"/>
              <w:bottom w:val="single" w:sz="6" w:space="0" w:color="000000"/>
              <w:right w:val="nil"/>
              <w:tl2br w:val="nil"/>
              <w:tr2bl w:val="nil"/>
            </w:tcBorders>
            <w:shd w:val="clear" w:color="auto" w:fill="FFFFFF"/>
            <w:tcMar>
              <w:left w:w="101" w:type="dxa"/>
              <w:right w:w="101" w:type="dxa"/>
            </w:tcMar>
            <w:vAlign w:val="bottom"/>
          </w:tcPr>
          <w:p w14:paraId="2FEA5DCA" w14:textId="77777777" w:rsidR="003F0EEA" w:rsidRDefault="00FB7D0B">
            <w:pPr>
              <w:rPr>
                <w:rFonts w:ascii="Arial" w:eastAsia="Arial" w:hAnsi="Arial" w:cs="Arial"/>
                <w:color w:val="000000"/>
                <w:sz w:val="16"/>
              </w:rPr>
            </w:pPr>
            <w:r>
              <w:rPr>
                <w:rFonts w:ascii="Arial" w:eastAsia="Arial" w:hAnsi="Arial" w:cs="Arial"/>
                <w:b/>
                <w:color w:val="000000"/>
                <w:sz w:val="16"/>
              </w:rPr>
              <w:t>Average Staffing Level (number)</w:t>
            </w:r>
          </w:p>
        </w:tc>
        <w:tc>
          <w:tcPr>
            <w:tcW w:w="1230"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4D1CCC33" w14:textId="77777777" w:rsidR="003F0EEA" w:rsidRDefault="00FB7D0B">
            <w:pPr>
              <w:jc w:val="right"/>
              <w:rPr>
                <w:rFonts w:ascii="Arial" w:eastAsia="Arial" w:hAnsi="Arial" w:cs="Arial"/>
                <w:b/>
                <w:color w:val="000000"/>
                <w:sz w:val="16"/>
                <w:vertAlign w:val="superscript"/>
              </w:rPr>
            </w:pPr>
            <w:r>
              <w:rPr>
                <w:rFonts w:ascii="Arial" w:eastAsia="Arial" w:hAnsi="Arial" w:cs="Arial"/>
                <w:color w:val="000000"/>
                <w:sz w:val="16"/>
              </w:rPr>
              <w:t xml:space="preserve"> 158 </w:t>
            </w:r>
          </w:p>
        </w:tc>
        <w:tc>
          <w:tcPr>
            <w:tcW w:w="1230" w:type="dxa"/>
            <w:tcBorders>
              <w:top w:val="single" w:sz="6" w:space="0" w:color="000000"/>
              <w:left w:val="nil"/>
              <w:bottom w:val="single" w:sz="6" w:space="0" w:color="000000"/>
              <w:right w:val="nil"/>
              <w:tl2br w:val="nil"/>
              <w:tr2bl w:val="nil"/>
            </w:tcBorders>
            <w:shd w:val="clear" w:color="auto" w:fill="FFFF00"/>
            <w:tcMar>
              <w:left w:w="101" w:type="dxa"/>
              <w:right w:w="101" w:type="dxa"/>
            </w:tcMar>
            <w:vAlign w:val="bottom"/>
          </w:tcPr>
          <w:p w14:paraId="64D294BF" w14:textId="77777777" w:rsidR="003F0EEA" w:rsidRDefault="00FB7D0B">
            <w:pPr>
              <w:jc w:val="right"/>
              <w:rPr>
                <w:rFonts w:ascii="Arial" w:eastAsia="Arial" w:hAnsi="Arial" w:cs="Arial"/>
                <w:color w:val="000000"/>
                <w:sz w:val="16"/>
              </w:rPr>
            </w:pPr>
            <w:r>
              <w:rPr>
                <w:rFonts w:ascii="Arial" w:eastAsia="Arial" w:hAnsi="Arial" w:cs="Arial"/>
                <w:color w:val="000000"/>
                <w:sz w:val="16"/>
              </w:rPr>
              <w:t xml:space="preserve"> 154 </w:t>
            </w:r>
          </w:p>
        </w:tc>
      </w:tr>
      <w:tr w:rsidR="00724034" w14:paraId="342AE73E" w14:textId="77777777">
        <w:trPr>
          <w:trHeight w:val="90"/>
        </w:trPr>
        <w:tc>
          <w:tcPr>
            <w:tcW w:w="285" w:type="dxa"/>
            <w:tcBorders>
              <w:top w:val="single" w:sz="6" w:space="0" w:color="000000"/>
              <w:left w:val="nil"/>
              <w:bottom w:val="nil"/>
              <w:right w:val="nil"/>
              <w:tl2br w:val="nil"/>
              <w:tr2bl w:val="nil"/>
            </w:tcBorders>
            <w:shd w:val="clear" w:color="auto" w:fill="FFFFFF"/>
            <w:tcMar>
              <w:left w:w="101" w:type="dxa"/>
              <w:right w:w="101" w:type="dxa"/>
            </w:tcMar>
            <w:vAlign w:val="center"/>
          </w:tcPr>
          <w:p w14:paraId="2EA820E1" w14:textId="77777777" w:rsidR="003F0EEA" w:rsidRDefault="003F0EEA">
            <w:pPr>
              <w:rPr>
                <w:rFonts w:ascii="Arial" w:eastAsia="Arial" w:hAnsi="Arial" w:cs="Arial"/>
                <w:color w:val="000000"/>
                <w:sz w:val="16"/>
              </w:rPr>
            </w:pPr>
          </w:p>
        </w:tc>
        <w:tc>
          <w:tcPr>
            <w:tcW w:w="5325" w:type="dxa"/>
            <w:tcBorders>
              <w:top w:val="single" w:sz="6" w:space="0" w:color="000000"/>
              <w:left w:val="nil"/>
              <w:bottom w:val="nil"/>
              <w:right w:val="nil"/>
              <w:tl2br w:val="nil"/>
              <w:tr2bl w:val="nil"/>
            </w:tcBorders>
            <w:shd w:val="clear" w:color="auto" w:fill="FFFFFF"/>
            <w:tcMar>
              <w:left w:w="101" w:type="dxa"/>
              <w:right w:w="101" w:type="dxa"/>
            </w:tcMar>
            <w:vAlign w:val="center"/>
          </w:tcPr>
          <w:p w14:paraId="03023062" w14:textId="77777777" w:rsidR="003F0EEA" w:rsidRDefault="003F0EEA">
            <w:pPr>
              <w:rPr>
                <w:rFonts w:ascii="Arial" w:eastAsia="Arial" w:hAnsi="Arial" w:cs="Arial"/>
                <w:b/>
                <w:color w:val="000000"/>
                <w:sz w:val="16"/>
              </w:rPr>
            </w:pPr>
          </w:p>
        </w:tc>
        <w:tc>
          <w:tcPr>
            <w:tcW w:w="1230" w:type="dxa"/>
            <w:tcBorders>
              <w:top w:val="single" w:sz="6" w:space="0" w:color="000000"/>
              <w:left w:val="nil"/>
              <w:bottom w:val="nil"/>
              <w:right w:val="nil"/>
              <w:tl2br w:val="nil"/>
              <w:tr2bl w:val="nil"/>
            </w:tcBorders>
            <w:shd w:val="clear" w:color="auto" w:fill="FFFFFF"/>
            <w:tcMar>
              <w:left w:w="101" w:type="dxa"/>
              <w:right w:w="101" w:type="dxa"/>
            </w:tcMar>
            <w:vAlign w:val="center"/>
          </w:tcPr>
          <w:p w14:paraId="0606CE83" w14:textId="77777777" w:rsidR="003F0EEA" w:rsidRDefault="003F0EEA">
            <w:pPr>
              <w:jc w:val="right"/>
              <w:rPr>
                <w:rFonts w:ascii="Arial" w:eastAsia="Arial" w:hAnsi="Arial" w:cs="Arial"/>
                <w:b/>
                <w:color w:val="000000"/>
                <w:sz w:val="16"/>
                <w:vertAlign w:val="superscript"/>
              </w:rPr>
            </w:pPr>
          </w:p>
        </w:tc>
        <w:tc>
          <w:tcPr>
            <w:tcW w:w="1230" w:type="dxa"/>
            <w:tcBorders>
              <w:top w:val="single" w:sz="6" w:space="0" w:color="000000"/>
              <w:left w:val="nil"/>
              <w:bottom w:val="nil"/>
              <w:right w:val="nil"/>
              <w:tl2br w:val="nil"/>
              <w:tr2bl w:val="nil"/>
            </w:tcBorders>
            <w:shd w:val="clear" w:color="auto" w:fill="FFFFFF"/>
            <w:tcMar>
              <w:left w:w="101" w:type="dxa"/>
              <w:right w:w="101" w:type="dxa"/>
            </w:tcMar>
            <w:vAlign w:val="center"/>
          </w:tcPr>
          <w:p w14:paraId="4E2D1FD4" w14:textId="77777777" w:rsidR="003F0EEA" w:rsidRDefault="003F0EEA">
            <w:pPr>
              <w:jc w:val="right"/>
              <w:rPr>
                <w:rFonts w:ascii="Arial" w:eastAsia="Arial" w:hAnsi="Arial" w:cs="Arial"/>
                <w:color w:val="000000"/>
                <w:sz w:val="16"/>
                <w:vertAlign w:val="superscript"/>
              </w:rPr>
            </w:pPr>
          </w:p>
        </w:tc>
      </w:tr>
    </w:tbl>
    <w:p w14:paraId="6CF5FAE8" w14:textId="77777777" w:rsidR="003F0EEA" w:rsidRPr="00F5536D" w:rsidRDefault="00FB7D0B" w:rsidP="003F0EEA">
      <w:pPr>
        <w:pStyle w:val="ListParagraph16"/>
        <w:numPr>
          <w:ilvl w:val="0"/>
          <w:numId w:val="49"/>
        </w:numPr>
        <w:spacing w:after="0" w:line="240" w:lineRule="auto"/>
        <w:ind w:left="357" w:right="379" w:hanging="357"/>
        <w:jc w:val="both"/>
        <w:rPr>
          <w:rFonts w:ascii="Arial" w:eastAsia="Calibri" w:hAnsi="Arial" w:cs="Arial"/>
          <w:sz w:val="16"/>
          <w:szCs w:val="16"/>
        </w:rPr>
      </w:pPr>
      <w:r w:rsidRPr="00F5536D">
        <w:rPr>
          <w:rFonts w:ascii="Arial" w:eastAsia="Calibri" w:hAnsi="Arial" w:cs="Arial"/>
          <w:sz w:val="16"/>
          <w:szCs w:val="16"/>
        </w:rPr>
        <w:t>Departmental Appropriation combines ‘Ordinary annual services (Appropriation Bills No. 1)’ and ‘Revenue from independent sources (s31)’.</w:t>
      </w:r>
    </w:p>
    <w:p w14:paraId="33A777C4" w14:textId="77777777" w:rsidR="003F0EEA" w:rsidRPr="00F5536D" w:rsidRDefault="00FB7D0B" w:rsidP="003F0EEA">
      <w:pPr>
        <w:pStyle w:val="ListParagraph16"/>
        <w:numPr>
          <w:ilvl w:val="0"/>
          <w:numId w:val="49"/>
        </w:numPr>
        <w:spacing w:after="0" w:line="240" w:lineRule="auto"/>
        <w:ind w:left="357" w:right="379" w:hanging="357"/>
        <w:jc w:val="both"/>
        <w:rPr>
          <w:rFonts w:ascii="Arial" w:eastAsia="Calibri" w:hAnsi="Arial" w:cs="Arial"/>
          <w:sz w:val="16"/>
          <w:szCs w:val="16"/>
        </w:rPr>
      </w:pPr>
      <w:r w:rsidRPr="00F5536D">
        <w:rPr>
          <w:rFonts w:ascii="Arial" w:eastAsia="Calibri" w:hAnsi="Arial" w:cs="Arial"/>
          <w:sz w:val="16"/>
          <w:szCs w:val="16"/>
        </w:rPr>
        <w:t>Expenses not requiring appropriation in the Budget year are made up of Depreciation Expense, Amortisation Expense and Audit Fees.</w:t>
      </w:r>
    </w:p>
    <w:p w14:paraId="3AAA59D1" w14:textId="77777777" w:rsidR="003F0EEA" w:rsidRDefault="003F0EEA" w:rsidP="003F0EEA">
      <w:pPr>
        <w:pStyle w:val="Source1"/>
        <w:ind w:right="379"/>
        <w:rPr>
          <w:rFonts w:cs="Arial"/>
          <w:sz w:val="15"/>
          <w:szCs w:val="15"/>
        </w:rPr>
      </w:pPr>
    </w:p>
    <w:p w14:paraId="344488EF" w14:textId="77777777" w:rsidR="003F0EEA" w:rsidRPr="004B3995" w:rsidRDefault="00FB7D0B" w:rsidP="003F0EEA">
      <w:pPr>
        <w:pStyle w:val="Source1"/>
        <w:ind w:right="379"/>
      </w:pPr>
      <w:r>
        <w:t>Note: Departmental appropriation splits and totals are indicative estimates and may change in the course of the budget year as government priorities change.</w:t>
      </w:r>
    </w:p>
    <w:p w14:paraId="444602C7" w14:textId="77777777" w:rsidR="003F0EEA" w:rsidRPr="004B3995" w:rsidRDefault="00FB7D0B">
      <w:pPr>
        <w:spacing w:line="14" w:lineRule="exact"/>
        <w:rPr>
          <w:rFonts w:cs="Times New Roman"/>
        </w:rPr>
      </w:pPr>
      <w:r w:rsidRPr="004B3995">
        <w:rPr>
          <w:rFonts w:cs="Times New Roman"/>
        </w:rPr>
        <w:br w:type="page"/>
      </w:r>
    </w:p>
    <w:p w14:paraId="4CE570D9" w14:textId="77777777" w:rsidR="003F0EEA" w:rsidRDefault="00FB7D0B" w:rsidP="003F0EEA">
      <w:pPr>
        <w:pStyle w:val="Heading48"/>
      </w:pPr>
      <w:r>
        <w:rPr>
          <w:rFonts w:cs="Arial"/>
        </w:rPr>
        <w:t>Contributions to Outcome 3</w:t>
      </w:r>
    </w:p>
    <w:tbl>
      <w:tblPr>
        <w:tblW w:w="0" w:type="auto"/>
        <w:tblBorders>
          <w:top w:val="single" w:sz="2" w:space="0" w:color="auto"/>
          <w:left w:val="single" w:sz="2" w:space="0" w:color="auto"/>
          <w:bottom w:val="single" w:sz="2" w:space="0" w:color="auto"/>
          <w:right w:val="single" w:sz="2" w:space="0" w:color="auto"/>
          <w:insideH w:val="single" w:sz="2" w:space="0" w:color="auto"/>
        </w:tblBorders>
        <w:tblLook w:val="01E0" w:firstRow="1" w:lastRow="1" w:firstColumn="1" w:lastColumn="1" w:noHBand="0" w:noVBand="0"/>
      </w:tblPr>
      <w:tblGrid>
        <w:gridCol w:w="8165"/>
      </w:tblGrid>
      <w:tr w:rsidR="00724034" w14:paraId="090BFDF0" w14:textId="77777777" w:rsidTr="003F0EEA">
        <w:tc>
          <w:tcPr>
            <w:tcW w:w="8165" w:type="dxa"/>
            <w:tcBorders>
              <w:top w:val="single" w:sz="2" w:space="0" w:color="auto"/>
              <w:left w:val="single" w:sz="2" w:space="0" w:color="auto"/>
              <w:bottom w:val="single" w:sz="2" w:space="0" w:color="auto"/>
              <w:right w:val="single" w:sz="2" w:space="0" w:color="auto"/>
            </w:tcBorders>
            <w:shd w:val="clear" w:color="auto" w:fill="E6E6E6"/>
          </w:tcPr>
          <w:p w14:paraId="19270588" w14:textId="77777777" w:rsidR="003F0EEA" w:rsidRPr="00635793" w:rsidRDefault="00FB7D0B">
            <w:pPr>
              <w:pStyle w:val="TableColumnHeadingLeft4"/>
              <w:rPr>
                <w:rFonts w:cs="Arial"/>
              </w:rPr>
            </w:pPr>
            <w:r>
              <w:rPr>
                <w:rFonts w:cs="Arial"/>
              </w:rPr>
              <w:t xml:space="preserve">Programme 3.1: </w:t>
            </w:r>
            <w:r w:rsidRPr="00635793">
              <w:rPr>
                <w:rFonts w:cs="Arial"/>
              </w:rPr>
              <w:t>War Graves and Commemorations</w:t>
            </w:r>
          </w:p>
        </w:tc>
      </w:tr>
    </w:tbl>
    <w:p w14:paraId="2C199743" w14:textId="77777777" w:rsidR="003F0EEA" w:rsidRPr="00435DDA" w:rsidRDefault="003F0EEA" w:rsidP="003F0EEA">
      <w:pPr>
        <w:pStyle w:val="Normal149"/>
        <w:rPr>
          <w:rFonts w:ascii="Arial" w:hAnsi="Arial" w:cs="Arial"/>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65"/>
      </w:tblGrid>
      <w:tr w:rsidR="00724034" w14:paraId="7976F7BA" w14:textId="77777777" w:rsidTr="003F0EEA">
        <w:tc>
          <w:tcPr>
            <w:tcW w:w="8165" w:type="dxa"/>
            <w:tcBorders>
              <w:top w:val="single" w:sz="4" w:space="0" w:color="auto"/>
              <w:left w:val="single" w:sz="4" w:space="0" w:color="auto"/>
              <w:bottom w:val="single" w:sz="4" w:space="0" w:color="auto"/>
              <w:right w:val="single" w:sz="4" w:space="0" w:color="auto"/>
            </w:tcBorders>
          </w:tcPr>
          <w:p w14:paraId="6CCCAC38" w14:textId="77777777" w:rsidR="003F0EEA" w:rsidRDefault="00FB7D0B">
            <w:pPr>
              <w:pStyle w:val="TableTextLeft38"/>
              <w:rPr>
                <w:b/>
              </w:rPr>
            </w:pPr>
            <w:r>
              <w:rPr>
                <w:b/>
              </w:rPr>
              <w:t>Programme 3.1 objective</w:t>
            </w:r>
          </w:p>
          <w:p w14:paraId="02F7DA1B" w14:textId="77777777" w:rsidR="003F0EEA" w:rsidRDefault="00FB7D0B">
            <w:pPr>
              <w:pStyle w:val="TableTextLeft38"/>
              <w:spacing w:before="0"/>
            </w:pPr>
            <w:r>
              <w:t xml:space="preserve">Acknowledge and commemorate the service and sacrifice of the men and women who served </w:t>
            </w:r>
            <w:smartTag w:uri="urn:schemas-microsoft-com:office:smarttags" w:element="country-region">
              <w:smartTag w:uri="urn:schemas-microsoft-com:office:smarttags" w:element="place">
                <w:r>
                  <w:t>Australia</w:t>
                </w:r>
              </w:smartTag>
            </w:smartTag>
            <w:r>
              <w:t xml:space="preserve"> and its allies in wars, conflicts and peace operations. </w:t>
            </w:r>
          </w:p>
        </w:tc>
      </w:tr>
    </w:tbl>
    <w:p w14:paraId="640A8412" w14:textId="77777777" w:rsidR="003F0EEA" w:rsidRPr="00435DDA" w:rsidRDefault="003F0EEA">
      <w:pPr>
        <w:rPr>
          <w:rFonts w:ascii="Arial" w:eastAsia="Times New Roman" w:hAnsi="Arial" w:cs="Arial"/>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
        <w:gridCol w:w="225"/>
        <w:gridCol w:w="236"/>
        <w:gridCol w:w="2805"/>
        <w:gridCol w:w="975"/>
        <w:gridCol w:w="975"/>
        <w:gridCol w:w="975"/>
        <w:gridCol w:w="975"/>
        <w:gridCol w:w="1100"/>
        <w:gridCol w:w="8"/>
      </w:tblGrid>
      <w:tr w:rsidR="00724034" w14:paraId="522CF42D" w14:textId="77777777" w:rsidTr="00355BFE">
        <w:trPr>
          <w:gridBefore w:val="1"/>
          <w:gridAfter w:val="1"/>
          <w:wAfter w:w="8" w:type="dxa"/>
        </w:trPr>
        <w:tc>
          <w:tcPr>
            <w:tcW w:w="8165" w:type="dxa"/>
            <w:gridSpan w:val="8"/>
          </w:tcPr>
          <w:p w14:paraId="02798DDF" w14:textId="77777777" w:rsidR="003F0EEA" w:rsidRPr="00355BFE" w:rsidRDefault="00FB7D0B" w:rsidP="003F0EEA">
            <w:pPr>
              <w:pStyle w:val="TableTextLeft38"/>
              <w:rPr>
                <w:b/>
              </w:rPr>
            </w:pPr>
            <w:r w:rsidRPr="00355BFE">
              <w:rPr>
                <w:b/>
              </w:rPr>
              <w:t>Programme 3.1 expenses</w:t>
            </w:r>
          </w:p>
          <w:p w14:paraId="0C4443A3" w14:textId="77777777" w:rsidR="003F0EEA" w:rsidRDefault="00FB7D0B" w:rsidP="00355BFE">
            <w:pPr>
              <w:pStyle w:val="TableTextLeft38"/>
              <w:spacing w:after="0"/>
            </w:pPr>
            <w:r>
              <w:t>Public interest in commemorative activities and war graves matters continues to rise because of significant wartime anniversaries, the ageing veteran population and ongoing Australian Defence Force deployment overseas.</w:t>
            </w:r>
          </w:p>
          <w:p w14:paraId="31E36A5B" w14:textId="77777777" w:rsidR="003F0EEA" w:rsidRDefault="00FB7D0B" w:rsidP="00355BFE">
            <w:pPr>
              <w:pStyle w:val="TableTextLeft38"/>
              <w:spacing w:after="0"/>
            </w:pPr>
            <w:r>
              <w:t xml:space="preserve">There is continuing interest in funding under the commemorations programme, </w:t>
            </w:r>
            <w:r w:rsidRPr="00355BFE">
              <w:rPr>
                <w:i/>
              </w:rPr>
              <w:t>Saluting Their Service</w:t>
            </w:r>
            <w:r>
              <w:t>, and an increased demand for community awareness, education and online resources.</w:t>
            </w:r>
          </w:p>
          <w:p w14:paraId="7C7400FC" w14:textId="77777777" w:rsidR="003F0EEA" w:rsidRDefault="00FB7D0B" w:rsidP="00355BFE">
            <w:pPr>
              <w:pStyle w:val="TableTextLeft38"/>
              <w:spacing w:after="0"/>
            </w:pPr>
            <w:r>
              <w:t>The Office of Australian War Graves (OAWG) constructs and maintains national memorials overseas.  Projects in progress include the Australian Remembrance Trail in France and Belgium, the Australian Memorial in New Zealand, and the Australian contribution to the Vietnam Veterans’ Education Centre in the United States. OAWG has been providing official commemoration since 1922. As the average age of these commemorations grows, significant future works have been identified to maintain them at approved standards.</w:t>
            </w:r>
          </w:p>
          <w:p w14:paraId="0956AFA2" w14:textId="77777777" w:rsidR="003F0EEA" w:rsidRDefault="00FB7D0B" w:rsidP="00355BFE">
            <w:pPr>
              <w:pStyle w:val="TableTextLeft38"/>
              <w:spacing w:after="0"/>
            </w:pPr>
            <w:r>
              <w:t>A number of significant anniversaries will occur this year.  In addition to the centenary of the start of the First World War (2014) and the centenary of the Gallipoli landings (2015), other important anniversaries include the centenary of the first AIF convoy departing from Albany (2014), the 70</w:t>
            </w:r>
            <w:r w:rsidRPr="00355BFE">
              <w:rPr>
                <w:vertAlign w:val="superscript"/>
              </w:rPr>
              <w:t>th</w:t>
            </w:r>
            <w:r>
              <w:t xml:space="preserve"> anniversary of VE day (2015) and the 70</w:t>
            </w:r>
            <w:r w:rsidRPr="00355BFE">
              <w:rPr>
                <w:vertAlign w:val="superscript"/>
              </w:rPr>
              <w:t>th</w:t>
            </w:r>
            <w:r>
              <w:t xml:space="preserve"> anniversary of the Borneo campaign (2015). </w:t>
            </w:r>
          </w:p>
          <w:p w14:paraId="5D9CA142" w14:textId="77777777" w:rsidR="003F0EEA" w:rsidRDefault="00FB7D0B" w:rsidP="00355BFE">
            <w:pPr>
              <w:pStyle w:val="TableTextLeft38"/>
              <w:spacing w:after="0"/>
            </w:pPr>
            <w:r>
              <w:t xml:space="preserve">The Department conducts an annual Anzac Day dawn service at Villers-Bretonneux in France and supports Anzac Day services at a number of other overseas locations, including Malaysia, Papua New Guinea and Thailand. </w:t>
            </w:r>
          </w:p>
          <w:p w14:paraId="5CE33EC9" w14:textId="77777777" w:rsidR="003F0EEA" w:rsidRPr="00435DDA" w:rsidRDefault="00FB7D0B" w:rsidP="00355BFE">
            <w:pPr>
              <w:pStyle w:val="TableTextLeft38"/>
              <w:spacing w:after="0"/>
            </w:pPr>
            <w:r>
              <w:t>The Department has been tasked as the lead agency for preparing and managing the Australian Government’s arrangements for the Anzac Centenary 2014-18, including the Centenary of the First World War and the Centenary of the Gallipoli campaign in 2015.</w:t>
            </w:r>
          </w:p>
          <w:p w14:paraId="14EC8EBF" w14:textId="77777777" w:rsidR="003F0EEA" w:rsidRPr="00355BFE" w:rsidRDefault="003F0EEA" w:rsidP="003F0EEA">
            <w:pPr>
              <w:pStyle w:val="Normal149"/>
              <w:rPr>
                <w:rFonts w:ascii="Arial" w:hAnsi="Arial" w:cs="Arial"/>
                <w:sz w:val="18"/>
                <w:szCs w:val="18"/>
              </w:rPr>
            </w:pPr>
          </w:p>
        </w:tc>
      </w:tr>
      <w:tr w:rsidR="00724034" w14:paraId="7E802C92" w14:textId="77777777">
        <w:trPr>
          <w:trHeight w:val="225"/>
        </w:trPr>
        <w:tc>
          <w:tcPr>
            <w:tcW w:w="180" w:type="dxa"/>
            <w:gridSpan w:val="2"/>
            <w:tcBorders>
              <w:top w:val="single" w:sz="6" w:space="0" w:color="000000"/>
              <w:left w:val="single" w:sz="6" w:space="0" w:color="000000"/>
              <w:bottom w:val="single" w:sz="6" w:space="0" w:color="FFFFFF"/>
              <w:right w:val="nil"/>
              <w:tl2br w:val="nil"/>
              <w:tr2bl w:val="nil"/>
            </w:tcBorders>
            <w:shd w:val="clear" w:color="auto" w:fill="FFFFFF"/>
            <w:tcMar>
              <w:left w:w="115" w:type="dxa"/>
              <w:right w:w="115" w:type="dxa"/>
            </w:tcMar>
            <w:vAlign w:val="bottom"/>
          </w:tcPr>
          <w:p w14:paraId="21A0446E" w14:textId="77777777" w:rsidR="00724034" w:rsidRDefault="00724034"/>
        </w:tc>
        <w:tc>
          <w:tcPr>
            <w:tcW w:w="180" w:type="dxa"/>
            <w:tcBorders>
              <w:top w:val="single" w:sz="6" w:space="0" w:color="000000"/>
              <w:left w:val="nil"/>
              <w:bottom w:val="single" w:sz="6" w:space="0" w:color="FFFFFF"/>
              <w:right w:val="nil"/>
              <w:tl2br w:val="nil"/>
              <w:tr2bl w:val="nil"/>
            </w:tcBorders>
            <w:shd w:val="clear" w:color="auto" w:fill="FFFFFF"/>
            <w:tcMar>
              <w:left w:w="115" w:type="dxa"/>
              <w:right w:w="115" w:type="dxa"/>
            </w:tcMar>
            <w:vAlign w:val="bottom"/>
          </w:tcPr>
          <w:p w14:paraId="1C6E00E3" w14:textId="77777777" w:rsidR="00724034" w:rsidRDefault="00724034">
            <w:pPr>
              <w:rPr>
                <w:rFonts w:ascii="Arial" w:eastAsia="Arial" w:hAnsi="Arial" w:cs="Arial"/>
                <w:color w:val="000000"/>
                <w:sz w:val="16"/>
              </w:rPr>
            </w:pPr>
          </w:p>
        </w:tc>
        <w:tc>
          <w:tcPr>
            <w:tcW w:w="2805" w:type="dxa"/>
            <w:tcBorders>
              <w:top w:val="single" w:sz="6" w:space="0" w:color="000000"/>
              <w:left w:val="nil"/>
              <w:bottom w:val="single" w:sz="6" w:space="0" w:color="FFFFFF"/>
              <w:right w:val="nil"/>
              <w:tl2br w:val="nil"/>
              <w:tr2bl w:val="nil"/>
            </w:tcBorders>
            <w:shd w:val="clear" w:color="auto" w:fill="FFFFFF"/>
            <w:tcMar>
              <w:left w:w="115" w:type="dxa"/>
              <w:right w:w="115" w:type="dxa"/>
            </w:tcMar>
            <w:vAlign w:val="bottom"/>
          </w:tcPr>
          <w:p w14:paraId="4324BE89" w14:textId="77777777" w:rsidR="00724034" w:rsidRDefault="00724034">
            <w:pPr>
              <w:jc w:val="center"/>
              <w:rPr>
                <w:rFonts w:ascii="Arial" w:eastAsia="Arial" w:hAnsi="Arial" w:cs="Arial"/>
                <w:color w:val="000000"/>
                <w:sz w:val="16"/>
              </w:rPr>
            </w:pPr>
          </w:p>
        </w:tc>
        <w:tc>
          <w:tcPr>
            <w:tcW w:w="975"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73AE5ED7" w14:textId="77777777" w:rsidR="00724034" w:rsidRDefault="00FB7D0B">
            <w:pPr>
              <w:jc w:val="right"/>
              <w:rPr>
                <w:rFonts w:ascii="Arial" w:eastAsia="Arial" w:hAnsi="Arial" w:cs="Arial"/>
                <w:b/>
                <w:color w:val="000000"/>
                <w:sz w:val="16"/>
                <w:vertAlign w:val="superscript"/>
              </w:rPr>
            </w:pPr>
            <w:r>
              <w:rPr>
                <w:rFonts w:ascii="Arial" w:eastAsia="Arial" w:hAnsi="Arial" w:cs="Arial"/>
                <w:color w:val="000000"/>
                <w:sz w:val="16"/>
              </w:rPr>
              <w:t>2013-14</w:t>
            </w:r>
          </w:p>
        </w:tc>
        <w:tc>
          <w:tcPr>
            <w:tcW w:w="975" w:type="dxa"/>
            <w:tcBorders>
              <w:top w:val="single" w:sz="6" w:space="0" w:color="000000"/>
              <w:left w:val="nil"/>
              <w:bottom w:val="nil"/>
              <w:right w:val="nil"/>
              <w:tl2br w:val="nil"/>
              <w:tr2bl w:val="nil"/>
            </w:tcBorders>
            <w:shd w:val="clear" w:color="auto" w:fill="FFFF00"/>
            <w:tcMar>
              <w:left w:w="115" w:type="dxa"/>
              <w:right w:w="115" w:type="dxa"/>
            </w:tcMar>
            <w:vAlign w:val="bottom"/>
          </w:tcPr>
          <w:p w14:paraId="03794C7B" w14:textId="77777777" w:rsidR="00724034" w:rsidRDefault="00FB7D0B">
            <w:pPr>
              <w:jc w:val="right"/>
              <w:rPr>
                <w:rFonts w:ascii="Arial" w:eastAsia="Arial" w:hAnsi="Arial" w:cs="Arial"/>
                <w:color w:val="000000"/>
                <w:sz w:val="16"/>
              </w:rPr>
            </w:pPr>
            <w:r>
              <w:rPr>
                <w:rFonts w:ascii="Arial" w:eastAsia="Arial" w:hAnsi="Arial" w:cs="Arial"/>
                <w:color w:val="000000"/>
                <w:sz w:val="16"/>
              </w:rPr>
              <w:t>2014-15</w:t>
            </w:r>
          </w:p>
        </w:tc>
        <w:tc>
          <w:tcPr>
            <w:tcW w:w="975"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5F77AD39" w14:textId="77777777" w:rsidR="00724034" w:rsidRDefault="00FB7D0B">
            <w:pPr>
              <w:jc w:val="right"/>
              <w:rPr>
                <w:rFonts w:ascii="Arial" w:eastAsia="Arial" w:hAnsi="Arial" w:cs="Arial"/>
                <w:color w:val="000000"/>
                <w:sz w:val="16"/>
              </w:rPr>
            </w:pPr>
            <w:r>
              <w:rPr>
                <w:rFonts w:ascii="Arial" w:eastAsia="Arial" w:hAnsi="Arial" w:cs="Arial"/>
                <w:color w:val="000000"/>
                <w:sz w:val="16"/>
              </w:rPr>
              <w:t>2015-16</w:t>
            </w:r>
          </w:p>
        </w:tc>
        <w:tc>
          <w:tcPr>
            <w:tcW w:w="975"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0D3D59CC" w14:textId="77777777" w:rsidR="00724034" w:rsidRDefault="00FB7D0B">
            <w:pPr>
              <w:jc w:val="right"/>
              <w:rPr>
                <w:rFonts w:ascii="Arial" w:eastAsia="Arial" w:hAnsi="Arial" w:cs="Arial"/>
                <w:color w:val="000000"/>
                <w:sz w:val="16"/>
              </w:rPr>
            </w:pPr>
            <w:r>
              <w:rPr>
                <w:rFonts w:ascii="Arial" w:eastAsia="Arial" w:hAnsi="Arial" w:cs="Arial"/>
                <w:color w:val="000000"/>
                <w:sz w:val="16"/>
              </w:rPr>
              <w:t>2016-17</w:t>
            </w:r>
          </w:p>
        </w:tc>
        <w:tc>
          <w:tcPr>
            <w:tcW w:w="975" w:type="dxa"/>
            <w:gridSpan w:val="2"/>
            <w:tcBorders>
              <w:top w:val="single" w:sz="6" w:space="0" w:color="000000"/>
              <w:left w:val="nil"/>
              <w:bottom w:val="nil"/>
              <w:right w:val="single" w:sz="6" w:space="0" w:color="000000"/>
              <w:tl2br w:val="nil"/>
              <w:tr2bl w:val="nil"/>
            </w:tcBorders>
            <w:shd w:val="clear" w:color="auto" w:fill="FFFFFF"/>
            <w:tcMar>
              <w:left w:w="115" w:type="dxa"/>
              <w:right w:w="115" w:type="dxa"/>
            </w:tcMar>
            <w:vAlign w:val="bottom"/>
          </w:tcPr>
          <w:p w14:paraId="05AAA4C7" w14:textId="77777777" w:rsidR="00724034" w:rsidRDefault="00FB7D0B">
            <w:pPr>
              <w:jc w:val="right"/>
              <w:rPr>
                <w:rFonts w:ascii="Arial" w:eastAsia="Arial" w:hAnsi="Arial" w:cs="Arial"/>
                <w:color w:val="000000"/>
                <w:sz w:val="16"/>
              </w:rPr>
            </w:pPr>
            <w:r>
              <w:rPr>
                <w:rFonts w:ascii="Arial" w:eastAsia="Arial" w:hAnsi="Arial" w:cs="Arial"/>
                <w:color w:val="000000"/>
                <w:sz w:val="16"/>
              </w:rPr>
              <w:t>2017-18</w:t>
            </w:r>
          </w:p>
        </w:tc>
      </w:tr>
      <w:tr w:rsidR="00724034" w14:paraId="4858AA86" w14:textId="77777777">
        <w:trPr>
          <w:trHeight w:val="225"/>
        </w:trPr>
        <w:tc>
          <w:tcPr>
            <w:tcW w:w="180" w:type="dxa"/>
            <w:gridSpan w:val="2"/>
            <w:tcBorders>
              <w:top w:val="single" w:sz="6" w:space="0" w:color="FFFFFF"/>
              <w:left w:val="single" w:sz="6" w:space="0" w:color="000000"/>
              <w:bottom w:val="nil"/>
              <w:right w:val="nil"/>
              <w:tl2br w:val="nil"/>
              <w:tr2bl w:val="nil"/>
            </w:tcBorders>
            <w:shd w:val="clear" w:color="auto" w:fill="FFFFFF"/>
            <w:tcMar>
              <w:left w:w="115" w:type="dxa"/>
              <w:right w:w="115" w:type="dxa"/>
            </w:tcMar>
            <w:vAlign w:val="bottom"/>
          </w:tcPr>
          <w:p w14:paraId="163AEBC8" w14:textId="77777777" w:rsidR="00724034" w:rsidRDefault="00724034">
            <w:pPr>
              <w:rPr>
                <w:rFonts w:ascii="Arial" w:eastAsia="Arial" w:hAnsi="Arial" w:cs="Arial"/>
                <w:color w:val="000000"/>
                <w:sz w:val="16"/>
              </w:rPr>
            </w:pPr>
          </w:p>
        </w:tc>
        <w:tc>
          <w:tcPr>
            <w:tcW w:w="180" w:type="dxa"/>
            <w:tcBorders>
              <w:top w:val="single" w:sz="6" w:space="0" w:color="FFFFFF"/>
              <w:left w:val="nil"/>
              <w:bottom w:val="nil"/>
              <w:right w:val="nil"/>
              <w:tl2br w:val="nil"/>
              <w:tr2bl w:val="nil"/>
            </w:tcBorders>
            <w:shd w:val="clear" w:color="auto" w:fill="FFFFFF"/>
            <w:tcMar>
              <w:left w:w="115" w:type="dxa"/>
              <w:right w:w="115" w:type="dxa"/>
            </w:tcMar>
            <w:vAlign w:val="bottom"/>
          </w:tcPr>
          <w:p w14:paraId="6D740C2E" w14:textId="77777777" w:rsidR="00724034" w:rsidRDefault="00724034">
            <w:pPr>
              <w:rPr>
                <w:rFonts w:ascii="Arial" w:eastAsia="Arial" w:hAnsi="Arial" w:cs="Arial"/>
                <w:color w:val="000000"/>
                <w:sz w:val="16"/>
              </w:rPr>
            </w:pPr>
          </w:p>
        </w:tc>
        <w:tc>
          <w:tcPr>
            <w:tcW w:w="2805" w:type="dxa"/>
            <w:tcBorders>
              <w:top w:val="single" w:sz="6" w:space="0" w:color="FFFFFF"/>
              <w:left w:val="nil"/>
              <w:bottom w:val="nil"/>
              <w:right w:val="nil"/>
              <w:tl2br w:val="nil"/>
              <w:tr2bl w:val="nil"/>
            </w:tcBorders>
            <w:shd w:val="clear" w:color="auto" w:fill="FFFFFF"/>
            <w:tcMar>
              <w:left w:w="115" w:type="dxa"/>
              <w:right w:w="115" w:type="dxa"/>
            </w:tcMar>
            <w:vAlign w:val="bottom"/>
          </w:tcPr>
          <w:p w14:paraId="18042737" w14:textId="77777777" w:rsidR="00724034" w:rsidRDefault="00724034">
            <w:pPr>
              <w:rPr>
                <w:rFonts w:ascii="Arial" w:eastAsia="Arial" w:hAnsi="Arial" w:cs="Arial"/>
                <w:color w:val="000000"/>
                <w:sz w:val="16"/>
              </w:rPr>
            </w:pPr>
          </w:p>
        </w:tc>
        <w:tc>
          <w:tcPr>
            <w:tcW w:w="975" w:type="dxa"/>
            <w:tcBorders>
              <w:top w:val="nil"/>
              <w:left w:val="nil"/>
              <w:bottom w:val="nil"/>
              <w:right w:val="nil"/>
              <w:tl2br w:val="nil"/>
              <w:tr2bl w:val="nil"/>
            </w:tcBorders>
            <w:shd w:val="clear" w:color="auto" w:fill="FFFFFF"/>
            <w:tcMar>
              <w:left w:w="115" w:type="dxa"/>
              <w:right w:w="115" w:type="dxa"/>
            </w:tcMar>
            <w:vAlign w:val="bottom"/>
          </w:tcPr>
          <w:p w14:paraId="72612F09" w14:textId="77777777" w:rsidR="00724034" w:rsidRDefault="00FB7D0B">
            <w:pPr>
              <w:jc w:val="right"/>
              <w:rPr>
                <w:rFonts w:ascii="Arial" w:eastAsia="Arial" w:hAnsi="Arial" w:cs="Arial"/>
                <w:color w:val="000000"/>
                <w:sz w:val="16"/>
                <w:vertAlign w:val="superscript"/>
              </w:rPr>
            </w:pPr>
            <w:r>
              <w:rPr>
                <w:rFonts w:ascii="Arial" w:eastAsia="Arial" w:hAnsi="Arial" w:cs="Arial"/>
                <w:color w:val="000000"/>
                <w:sz w:val="16"/>
              </w:rPr>
              <w:t>Revised</w:t>
            </w:r>
          </w:p>
        </w:tc>
        <w:tc>
          <w:tcPr>
            <w:tcW w:w="975" w:type="dxa"/>
            <w:tcBorders>
              <w:top w:val="nil"/>
              <w:left w:val="nil"/>
              <w:bottom w:val="nil"/>
              <w:right w:val="nil"/>
              <w:tl2br w:val="nil"/>
              <w:tr2bl w:val="nil"/>
            </w:tcBorders>
            <w:shd w:val="clear" w:color="auto" w:fill="FFFF00"/>
            <w:tcMar>
              <w:left w:w="115" w:type="dxa"/>
              <w:right w:w="115" w:type="dxa"/>
            </w:tcMar>
            <w:vAlign w:val="bottom"/>
          </w:tcPr>
          <w:p w14:paraId="1556661B" w14:textId="77777777" w:rsidR="00724034" w:rsidRDefault="00FB7D0B">
            <w:pPr>
              <w:jc w:val="right"/>
              <w:rPr>
                <w:rFonts w:ascii="Arial" w:eastAsia="Arial" w:hAnsi="Arial" w:cs="Arial"/>
                <w:color w:val="000000"/>
                <w:sz w:val="16"/>
              </w:rPr>
            </w:pPr>
            <w:r>
              <w:rPr>
                <w:rFonts w:ascii="Arial" w:eastAsia="Arial" w:hAnsi="Arial" w:cs="Arial"/>
                <w:color w:val="000000"/>
                <w:sz w:val="16"/>
              </w:rPr>
              <w:t>Budget</w:t>
            </w:r>
          </w:p>
        </w:tc>
        <w:tc>
          <w:tcPr>
            <w:tcW w:w="975" w:type="dxa"/>
            <w:tcBorders>
              <w:top w:val="nil"/>
              <w:left w:val="nil"/>
              <w:bottom w:val="nil"/>
              <w:right w:val="nil"/>
              <w:tl2br w:val="nil"/>
              <w:tr2bl w:val="nil"/>
            </w:tcBorders>
            <w:shd w:val="clear" w:color="auto" w:fill="FFFFFF"/>
            <w:tcMar>
              <w:left w:w="115" w:type="dxa"/>
              <w:right w:w="115" w:type="dxa"/>
            </w:tcMar>
            <w:vAlign w:val="bottom"/>
          </w:tcPr>
          <w:p w14:paraId="2E97DAC6" w14:textId="77777777" w:rsidR="00724034" w:rsidRDefault="00FB7D0B">
            <w:pPr>
              <w:jc w:val="right"/>
              <w:rPr>
                <w:rFonts w:ascii="Arial" w:eastAsia="Arial" w:hAnsi="Arial" w:cs="Arial"/>
                <w:color w:val="000000"/>
                <w:sz w:val="16"/>
              </w:rPr>
            </w:pPr>
            <w:r>
              <w:rPr>
                <w:rFonts w:ascii="Arial" w:eastAsia="Arial" w:hAnsi="Arial" w:cs="Arial"/>
                <w:color w:val="000000"/>
                <w:sz w:val="16"/>
              </w:rPr>
              <w:t>Forward</w:t>
            </w:r>
          </w:p>
        </w:tc>
        <w:tc>
          <w:tcPr>
            <w:tcW w:w="975" w:type="dxa"/>
            <w:tcBorders>
              <w:top w:val="nil"/>
              <w:left w:val="nil"/>
              <w:bottom w:val="nil"/>
              <w:right w:val="nil"/>
              <w:tl2br w:val="nil"/>
              <w:tr2bl w:val="nil"/>
            </w:tcBorders>
            <w:shd w:val="clear" w:color="auto" w:fill="FFFFFF"/>
            <w:tcMar>
              <w:left w:w="115" w:type="dxa"/>
              <w:right w:w="115" w:type="dxa"/>
            </w:tcMar>
            <w:vAlign w:val="bottom"/>
          </w:tcPr>
          <w:p w14:paraId="12B0A3EA" w14:textId="77777777" w:rsidR="00724034" w:rsidRDefault="00FB7D0B">
            <w:pPr>
              <w:jc w:val="right"/>
              <w:rPr>
                <w:rFonts w:ascii="Arial" w:eastAsia="Arial" w:hAnsi="Arial" w:cs="Arial"/>
                <w:color w:val="000000"/>
                <w:sz w:val="16"/>
              </w:rPr>
            </w:pPr>
            <w:r>
              <w:rPr>
                <w:rFonts w:ascii="Arial" w:eastAsia="Arial" w:hAnsi="Arial" w:cs="Arial"/>
                <w:color w:val="000000"/>
                <w:sz w:val="16"/>
              </w:rPr>
              <w:t>Forward</w:t>
            </w:r>
          </w:p>
        </w:tc>
        <w:tc>
          <w:tcPr>
            <w:tcW w:w="975" w:type="dxa"/>
            <w:gridSpan w:val="2"/>
            <w:tcBorders>
              <w:top w:val="nil"/>
              <w:left w:val="nil"/>
              <w:bottom w:val="nil"/>
              <w:right w:val="single" w:sz="6" w:space="0" w:color="000000"/>
              <w:tl2br w:val="nil"/>
              <w:tr2bl w:val="nil"/>
            </w:tcBorders>
            <w:shd w:val="clear" w:color="auto" w:fill="FFFFFF"/>
            <w:tcMar>
              <w:left w:w="115" w:type="dxa"/>
              <w:right w:w="115" w:type="dxa"/>
            </w:tcMar>
            <w:vAlign w:val="bottom"/>
          </w:tcPr>
          <w:p w14:paraId="1D8D1483" w14:textId="77777777" w:rsidR="00724034" w:rsidRDefault="00FB7D0B">
            <w:pPr>
              <w:jc w:val="right"/>
              <w:rPr>
                <w:rFonts w:ascii="Arial" w:eastAsia="Arial" w:hAnsi="Arial" w:cs="Arial"/>
                <w:color w:val="000000"/>
                <w:sz w:val="16"/>
              </w:rPr>
            </w:pPr>
            <w:r>
              <w:rPr>
                <w:rFonts w:ascii="Arial" w:eastAsia="Arial" w:hAnsi="Arial" w:cs="Arial"/>
                <w:color w:val="000000"/>
                <w:sz w:val="16"/>
              </w:rPr>
              <w:t>Forward</w:t>
            </w:r>
          </w:p>
        </w:tc>
      </w:tr>
      <w:tr w:rsidR="00FB7D0B" w14:paraId="24C817FB" w14:textId="77777777" w:rsidTr="00FB7D0B">
        <w:trPr>
          <w:trHeight w:val="225"/>
        </w:trPr>
        <w:tc>
          <w:tcPr>
            <w:tcW w:w="3165" w:type="dxa"/>
            <w:gridSpan w:val="4"/>
            <w:tcBorders>
              <w:top w:val="nil"/>
              <w:left w:val="single" w:sz="6" w:space="0" w:color="000000"/>
              <w:bottom w:val="single" w:sz="6" w:space="0" w:color="000000"/>
              <w:right w:val="nil"/>
              <w:tl2br w:val="nil"/>
              <w:tr2bl w:val="nil"/>
            </w:tcBorders>
            <w:shd w:val="clear" w:color="auto" w:fill="FFFFFF"/>
            <w:tcMar>
              <w:left w:w="115" w:type="dxa"/>
              <w:right w:w="115" w:type="dxa"/>
            </w:tcMar>
            <w:vAlign w:val="bottom"/>
          </w:tcPr>
          <w:p w14:paraId="0C92B4B8" w14:textId="77777777" w:rsidR="00724034" w:rsidRDefault="00FB7D0B">
            <w:pPr>
              <w:rPr>
                <w:rFonts w:ascii="Arial" w:eastAsia="Arial" w:hAnsi="Arial" w:cs="Arial"/>
                <w:color w:val="000000"/>
                <w:sz w:val="16"/>
              </w:rPr>
            </w:pPr>
            <w:r>
              <w:rPr>
                <w:rFonts w:ascii="Arial" w:eastAsia="Arial" w:hAnsi="Arial" w:cs="Arial"/>
                <w:color w:val="000000"/>
                <w:sz w:val="16"/>
              </w:rPr>
              <w:t>$('000)</w:t>
            </w:r>
          </w:p>
        </w:tc>
        <w:tc>
          <w:tcPr>
            <w:tcW w:w="975"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732BA8BE" w14:textId="77777777" w:rsidR="00724034" w:rsidRDefault="00FB7D0B">
            <w:pPr>
              <w:jc w:val="right"/>
              <w:rPr>
                <w:rFonts w:ascii="Arial" w:eastAsia="Arial" w:hAnsi="Arial" w:cs="Arial"/>
                <w:color w:val="000000"/>
                <w:sz w:val="16"/>
                <w:vertAlign w:val="superscript"/>
              </w:rPr>
            </w:pPr>
            <w:r>
              <w:rPr>
                <w:rFonts w:ascii="Arial" w:eastAsia="Arial" w:hAnsi="Arial" w:cs="Arial"/>
                <w:color w:val="000000"/>
                <w:sz w:val="16"/>
              </w:rPr>
              <w:t>budget</w:t>
            </w:r>
          </w:p>
        </w:tc>
        <w:tc>
          <w:tcPr>
            <w:tcW w:w="975" w:type="dxa"/>
            <w:tcBorders>
              <w:top w:val="nil"/>
              <w:left w:val="nil"/>
              <w:bottom w:val="single" w:sz="6" w:space="0" w:color="000000"/>
              <w:right w:val="nil"/>
              <w:tl2br w:val="nil"/>
              <w:tr2bl w:val="nil"/>
            </w:tcBorders>
            <w:shd w:val="clear" w:color="auto" w:fill="FFFF00"/>
            <w:tcMar>
              <w:left w:w="115" w:type="dxa"/>
              <w:right w:w="115" w:type="dxa"/>
            </w:tcMar>
            <w:vAlign w:val="bottom"/>
          </w:tcPr>
          <w:p w14:paraId="6CF5802D" w14:textId="77777777" w:rsidR="00724034" w:rsidRDefault="00724034">
            <w:pPr>
              <w:jc w:val="right"/>
              <w:rPr>
                <w:rFonts w:ascii="Arial" w:eastAsia="Arial" w:hAnsi="Arial" w:cs="Arial"/>
                <w:color w:val="000000"/>
                <w:sz w:val="16"/>
              </w:rPr>
            </w:pPr>
          </w:p>
        </w:tc>
        <w:tc>
          <w:tcPr>
            <w:tcW w:w="975"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214321A1" w14:textId="77777777" w:rsidR="00724034" w:rsidRDefault="00FB7D0B">
            <w:pPr>
              <w:jc w:val="right"/>
              <w:rPr>
                <w:rFonts w:ascii="Arial" w:eastAsia="Arial" w:hAnsi="Arial" w:cs="Arial"/>
                <w:color w:val="000000"/>
                <w:sz w:val="16"/>
              </w:rPr>
            </w:pPr>
            <w:r>
              <w:rPr>
                <w:rFonts w:ascii="Arial" w:eastAsia="Arial" w:hAnsi="Arial" w:cs="Arial"/>
                <w:color w:val="000000"/>
                <w:sz w:val="16"/>
              </w:rPr>
              <w:t>year 1</w:t>
            </w:r>
          </w:p>
        </w:tc>
        <w:tc>
          <w:tcPr>
            <w:tcW w:w="975"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276DEAE4" w14:textId="77777777" w:rsidR="00724034" w:rsidRDefault="00FB7D0B">
            <w:pPr>
              <w:jc w:val="right"/>
              <w:rPr>
                <w:rFonts w:ascii="Arial" w:eastAsia="Arial" w:hAnsi="Arial" w:cs="Arial"/>
                <w:color w:val="000000"/>
                <w:sz w:val="16"/>
              </w:rPr>
            </w:pPr>
            <w:r>
              <w:rPr>
                <w:rFonts w:ascii="Arial" w:eastAsia="Arial" w:hAnsi="Arial" w:cs="Arial"/>
                <w:color w:val="000000"/>
                <w:sz w:val="16"/>
              </w:rPr>
              <w:t>year 2</w:t>
            </w:r>
          </w:p>
        </w:tc>
        <w:tc>
          <w:tcPr>
            <w:tcW w:w="975" w:type="dxa"/>
            <w:gridSpan w:val="2"/>
            <w:tcBorders>
              <w:top w:val="nil"/>
              <w:left w:val="nil"/>
              <w:bottom w:val="single" w:sz="6" w:space="0" w:color="000000"/>
              <w:right w:val="single" w:sz="6" w:space="0" w:color="000000"/>
              <w:tl2br w:val="nil"/>
              <w:tr2bl w:val="nil"/>
            </w:tcBorders>
            <w:shd w:val="clear" w:color="auto" w:fill="FFFFFF"/>
            <w:tcMar>
              <w:left w:w="115" w:type="dxa"/>
              <w:right w:w="115" w:type="dxa"/>
            </w:tcMar>
            <w:vAlign w:val="bottom"/>
          </w:tcPr>
          <w:p w14:paraId="3ED8F8A8" w14:textId="77777777" w:rsidR="00724034" w:rsidRDefault="00FB7D0B">
            <w:pPr>
              <w:jc w:val="right"/>
              <w:rPr>
                <w:rFonts w:ascii="Arial" w:eastAsia="Arial" w:hAnsi="Arial" w:cs="Arial"/>
                <w:color w:val="000000"/>
                <w:sz w:val="16"/>
              </w:rPr>
            </w:pPr>
            <w:r>
              <w:rPr>
                <w:rFonts w:ascii="Arial" w:eastAsia="Arial" w:hAnsi="Arial" w:cs="Arial"/>
                <w:color w:val="000000"/>
                <w:sz w:val="16"/>
              </w:rPr>
              <w:t>year 3</w:t>
            </w:r>
          </w:p>
        </w:tc>
      </w:tr>
      <w:tr w:rsidR="00FB7D0B" w14:paraId="4CC52197" w14:textId="77777777" w:rsidTr="00FB7D0B">
        <w:trPr>
          <w:trHeight w:val="225"/>
        </w:trPr>
        <w:tc>
          <w:tcPr>
            <w:tcW w:w="3165" w:type="dxa"/>
            <w:gridSpan w:val="4"/>
            <w:tcBorders>
              <w:top w:val="single" w:sz="6" w:space="0" w:color="000000"/>
              <w:left w:val="single" w:sz="6" w:space="0" w:color="000000"/>
              <w:bottom w:val="nil"/>
              <w:right w:val="nil"/>
              <w:tl2br w:val="nil"/>
              <w:tr2bl w:val="nil"/>
            </w:tcBorders>
            <w:shd w:val="clear" w:color="auto" w:fill="FFFFFF"/>
            <w:tcMar>
              <w:left w:w="115" w:type="dxa"/>
              <w:right w:w="115" w:type="dxa"/>
            </w:tcMar>
            <w:vAlign w:val="bottom"/>
          </w:tcPr>
          <w:p w14:paraId="2B4CAE95" w14:textId="77777777" w:rsidR="00724034" w:rsidRDefault="00FB7D0B">
            <w:pPr>
              <w:rPr>
                <w:rFonts w:ascii="Arial" w:eastAsia="Arial" w:hAnsi="Arial" w:cs="Arial"/>
                <w:color w:val="000000"/>
                <w:sz w:val="16"/>
              </w:rPr>
            </w:pPr>
            <w:r>
              <w:rPr>
                <w:rFonts w:ascii="Arial" w:eastAsia="Arial" w:hAnsi="Arial" w:cs="Arial"/>
                <w:color w:val="000000"/>
                <w:sz w:val="16"/>
              </w:rPr>
              <w:t>Annual administered expenses:</w:t>
            </w:r>
          </w:p>
        </w:tc>
        <w:tc>
          <w:tcPr>
            <w:tcW w:w="975"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37D25F06" w14:textId="77777777" w:rsidR="00724034" w:rsidRDefault="00724034">
            <w:pPr>
              <w:jc w:val="right"/>
              <w:rPr>
                <w:rFonts w:ascii="Arial" w:eastAsia="Arial" w:hAnsi="Arial" w:cs="Arial"/>
                <w:b/>
                <w:color w:val="000000"/>
                <w:sz w:val="16"/>
                <w:vertAlign w:val="superscript"/>
              </w:rPr>
            </w:pPr>
          </w:p>
        </w:tc>
        <w:tc>
          <w:tcPr>
            <w:tcW w:w="975" w:type="dxa"/>
            <w:tcBorders>
              <w:top w:val="single" w:sz="6" w:space="0" w:color="000000"/>
              <w:left w:val="nil"/>
              <w:bottom w:val="nil"/>
              <w:right w:val="nil"/>
              <w:tl2br w:val="nil"/>
              <w:tr2bl w:val="nil"/>
            </w:tcBorders>
            <w:shd w:val="clear" w:color="auto" w:fill="FFFF00"/>
            <w:tcMar>
              <w:left w:w="115" w:type="dxa"/>
              <w:right w:w="115" w:type="dxa"/>
            </w:tcMar>
            <w:vAlign w:val="bottom"/>
          </w:tcPr>
          <w:p w14:paraId="1C943B4E" w14:textId="77777777" w:rsidR="00724034" w:rsidRDefault="00724034">
            <w:pPr>
              <w:rPr>
                <w:rFonts w:ascii="Arial" w:eastAsia="Arial" w:hAnsi="Arial" w:cs="Arial"/>
                <w:color w:val="000000"/>
                <w:sz w:val="16"/>
                <w:vertAlign w:val="superscript"/>
              </w:rPr>
            </w:pPr>
          </w:p>
        </w:tc>
        <w:tc>
          <w:tcPr>
            <w:tcW w:w="975"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7DB3D5CE" w14:textId="77777777" w:rsidR="00724034" w:rsidRDefault="00724034">
            <w:pPr>
              <w:jc w:val="right"/>
              <w:rPr>
                <w:rFonts w:ascii="Arial" w:eastAsia="Arial" w:hAnsi="Arial" w:cs="Arial"/>
                <w:color w:val="000000"/>
                <w:sz w:val="16"/>
                <w:vertAlign w:val="superscript"/>
              </w:rPr>
            </w:pPr>
          </w:p>
        </w:tc>
        <w:tc>
          <w:tcPr>
            <w:tcW w:w="975"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771E420F" w14:textId="77777777" w:rsidR="00724034" w:rsidRDefault="00724034">
            <w:pPr>
              <w:jc w:val="right"/>
              <w:rPr>
                <w:rFonts w:ascii="Arial" w:eastAsia="Arial" w:hAnsi="Arial" w:cs="Arial"/>
                <w:color w:val="000000"/>
                <w:sz w:val="16"/>
                <w:vertAlign w:val="superscript"/>
              </w:rPr>
            </w:pPr>
          </w:p>
        </w:tc>
        <w:tc>
          <w:tcPr>
            <w:tcW w:w="975" w:type="dxa"/>
            <w:gridSpan w:val="2"/>
            <w:tcBorders>
              <w:top w:val="single" w:sz="6" w:space="0" w:color="000000"/>
              <w:left w:val="nil"/>
              <w:bottom w:val="nil"/>
              <w:right w:val="single" w:sz="6" w:space="0" w:color="000000"/>
              <w:tl2br w:val="nil"/>
              <w:tr2bl w:val="nil"/>
            </w:tcBorders>
            <w:shd w:val="clear" w:color="auto" w:fill="FFFFFF"/>
            <w:tcMar>
              <w:left w:w="115" w:type="dxa"/>
              <w:right w:w="115" w:type="dxa"/>
            </w:tcMar>
            <w:vAlign w:val="bottom"/>
          </w:tcPr>
          <w:p w14:paraId="5ED92DF6" w14:textId="77777777" w:rsidR="00724034" w:rsidRDefault="00724034">
            <w:pPr>
              <w:jc w:val="right"/>
              <w:rPr>
                <w:rFonts w:ascii="Arial" w:eastAsia="Arial" w:hAnsi="Arial" w:cs="Arial"/>
                <w:color w:val="000000"/>
                <w:sz w:val="16"/>
                <w:vertAlign w:val="superscript"/>
              </w:rPr>
            </w:pPr>
          </w:p>
        </w:tc>
      </w:tr>
      <w:tr w:rsidR="00FB7D0B" w14:paraId="1D43EEDB" w14:textId="77777777" w:rsidTr="00FB7D0B">
        <w:trPr>
          <w:trHeight w:val="225"/>
        </w:trPr>
        <w:tc>
          <w:tcPr>
            <w:tcW w:w="180" w:type="dxa"/>
            <w:gridSpan w:val="2"/>
            <w:tcBorders>
              <w:top w:val="single" w:sz="6" w:space="0" w:color="FFFFFF"/>
              <w:left w:val="single" w:sz="6" w:space="0" w:color="000000"/>
              <w:bottom w:val="nil"/>
              <w:right w:val="nil"/>
              <w:tl2br w:val="nil"/>
              <w:tr2bl w:val="nil"/>
            </w:tcBorders>
            <w:shd w:val="clear" w:color="auto" w:fill="FFFFFF"/>
            <w:tcMar>
              <w:left w:w="115" w:type="dxa"/>
              <w:right w:w="115" w:type="dxa"/>
            </w:tcMar>
            <w:vAlign w:val="bottom"/>
          </w:tcPr>
          <w:p w14:paraId="41A674EC" w14:textId="77777777" w:rsidR="00724034" w:rsidRDefault="00724034">
            <w:pPr>
              <w:rPr>
                <w:rFonts w:ascii="Arial" w:eastAsia="Arial" w:hAnsi="Arial" w:cs="Arial"/>
                <w:color w:val="000000"/>
                <w:sz w:val="16"/>
                <w:vertAlign w:val="superscript"/>
              </w:rPr>
            </w:pPr>
          </w:p>
        </w:tc>
        <w:tc>
          <w:tcPr>
            <w:tcW w:w="2985" w:type="dxa"/>
            <w:gridSpan w:val="2"/>
            <w:tcBorders>
              <w:top w:val="single" w:sz="6" w:space="0" w:color="FFFFFF"/>
              <w:left w:val="nil"/>
              <w:bottom w:val="nil"/>
              <w:right w:val="nil"/>
              <w:tl2br w:val="nil"/>
              <w:tr2bl w:val="nil"/>
            </w:tcBorders>
            <w:shd w:val="clear" w:color="auto" w:fill="FFFFFF"/>
            <w:tcMar>
              <w:left w:w="115" w:type="dxa"/>
              <w:right w:w="115" w:type="dxa"/>
            </w:tcMar>
            <w:vAlign w:val="bottom"/>
          </w:tcPr>
          <w:p w14:paraId="29E05E1F" w14:textId="77777777" w:rsidR="00724034" w:rsidRDefault="00FB7D0B">
            <w:pPr>
              <w:rPr>
                <w:rFonts w:ascii="Arial" w:eastAsia="Arial" w:hAnsi="Arial" w:cs="Arial"/>
                <w:color w:val="000000"/>
                <w:sz w:val="16"/>
                <w:vertAlign w:val="superscript"/>
              </w:rPr>
            </w:pPr>
            <w:r>
              <w:rPr>
                <w:rFonts w:ascii="Arial" w:eastAsia="Arial" w:hAnsi="Arial" w:cs="Arial"/>
                <w:color w:val="000000"/>
                <w:sz w:val="16"/>
              </w:rPr>
              <w:t>Appropriation Bill 1</w:t>
            </w:r>
            <w:r>
              <w:rPr>
                <w:rFonts w:ascii="Arial" w:eastAsia="Arial" w:hAnsi="Arial" w:cs="Arial"/>
                <w:color w:val="000000"/>
                <w:sz w:val="16"/>
                <w:vertAlign w:val="superscript"/>
              </w:rPr>
              <w:t>1 </w:t>
            </w:r>
          </w:p>
        </w:tc>
        <w:tc>
          <w:tcPr>
            <w:tcW w:w="975" w:type="dxa"/>
            <w:tcBorders>
              <w:top w:val="nil"/>
              <w:left w:val="nil"/>
              <w:bottom w:val="nil"/>
              <w:right w:val="nil"/>
              <w:tl2br w:val="nil"/>
              <w:tr2bl w:val="nil"/>
            </w:tcBorders>
            <w:shd w:val="clear" w:color="auto" w:fill="FFFFFF"/>
            <w:tcMar>
              <w:left w:w="115" w:type="dxa"/>
              <w:right w:w="115" w:type="dxa"/>
            </w:tcMar>
            <w:vAlign w:val="bottom"/>
          </w:tcPr>
          <w:p w14:paraId="1F87A3AE" w14:textId="77777777" w:rsidR="00724034" w:rsidRDefault="00724034">
            <w:pPr>
              <w:jc w:val="right"/>
              <w:rPr>
                <w:rFonts w:ascii="Arial" w:eastAsia="Arial" w:hAnsi="Arial" w:cs="Arial"/>
                <w:color w:val="000000"/>
                <w:sz w:val="16"/>
                <w:vertAlign w:val="superscript"/>
              </w:rPr>
            </w:pPr>
          </w:p>
        </w:tc>
        <w:tc>
          <w:tcPr>
            <w:tcW w:w="975" w:type="dxa"/>
            <w:tcBorders>
              <w:top w:val="nil"/>
              <w:left w:val="nil"/>
              <w:bottom w:val="nil"/>
              <w:right w:val="nil"/>
              <w:tl2br w:val="nil"/>
              <w:tr2bl w:val="nil"/>
            </w:tcBorders>
            <w:shd w:val="clear" w:color="auto" w:fill="FFFF00"/>
            <w:tcMar>
              <w:left w:w="115" w:type="dxa"/>
              <w:right w:w="115" w:type="dxa"/>
            </w:tcMar>
            <w:vAlign w:val="bottom"/>
          </w:tcPr>
          <w:p w14:paraId="319F0A93" w14:textId="77777777" w:rsidR="00724034" w:rsidRDefault="00724034">
            <w:pPr>
              <w:rPr>
                <w:rFonts w:ascii="Arial" w:eastAsia="Arial" w:hAnsi="Arial" w:cs="Arial"/>
                <w:color w:val="000000"/>
                <w:sz w:val="16"/>
                <w:vertAlign w:val="superscript"/>
              </w:rPr>
            </w:pPr>
          </w:p>
        </w:tc>
        <w:tc>
          <w:tcPr>
            <w:tcW w:w="975" w:type="dxa"/>
            <w:tcBorders>
              <w:top w:val="nil"/>
              <w:left w:val="nil"/>
              <w:bottom w:val="nil"/>
              <w:right w:val="nil"/>
              <w:tl2br w:val="nil"/>
              <w:tr2bl w:val="nil"/>
            </w:tcBorders>
            <w:shd w:val="clear" w:color="auto" w:fill="FFFFFF"/>
            <w:tcMar>
              <w:left w:w="115" w:type="dxa"/>
              <w:right w:w="115" w:type="dxa"/>
            </w:tcMar>
            <w:vAlign w:val="bottom"/>
          </w:tcPr>
          <w:p w14:paraId="3D65845E" w14:textId="77777777" w:rsidR="00724034" w:rsidRDefault="00724034">
            <w:pPr>
              <w:jc w:val="right"/>
              <w:rPr>
                <w:rFonts w:ascii="Arial" w:eastAsia="Arial" w:hAnsi="Arial" w:cs="Arial"/>
                <w:color w:val="000000"/>
                <w:sz w:val="16"/>
                <w:vertAlign w:val="superscript"/>
              </w:rPr>
            </w:pPr>
          </w:p>
        </w:tc>
        <w:tc>
          <w:tcPr>
            <w:tcW w:w="975" w:type="dxa"/>
            <w:tcBorders>
              <w:top w:val="nil"/>
              <w:left w:val="nil"/>
              <w:bottom w:val="nil"/>
              <w:right w:val="nil"/>
              <w:tl2br w:val="nil"/>
              <w:tr2bl w:val="nil"/>
            </w:tcBorders>
            <w:shd w:val="clear" w:color="auto" w:fill="FFFFFF"/>
            <w:tcMar>
              <w:left w:w="115" w:type="dxa"/>
              <w:right w:w="115" w:type="dxa"/>
            </w:tcMar>
            <w:vAlign w:val="bottom"/>
          </w:tcPr>
          <w:p w14:paraId="7A93D141" w14:textId="77777777" w:rsidR="00724034" w:rsidRDefault="00724034">
            <w:pPr>
              <w:jc w:val="right"/>
              <w:rPr>
                <w:rFonts w:ascii="Arial" w:eastAsia="Arial" w:hAnsi="Arial" w:cs="Arial"/>
                <w:color w:val="000000"/>
                <w:sz w:val="16"/>
                <w:vertAlign w:val="superscript"/>
              </w:rPr>
            </w:pPr>
          </w:p>
        </w:tc>
        <w:tc>
          <w:tcPr>
            <w:tcW w:w="975" w:type="dxa"/>
            <w:gridSpan w:val="2"/>
            <w:tcBorders>
              <w:top w:val="nil"/>
              <w:left w:val="nil"/>
              <w:bottom w:val="nil"/>
              <w:right w:val="single" w:sz="6" w:space="0" w:color="000000"/>
              <w:tl2br w:val="nil"/>
              <w:tr2bl w:val="nil"/>
            </w:tcBorders>
            <w:shd w:val="clear" w:color="auto" w:fill="FFFFFF"/>
            <w:tcMar>
              <w:left w:w="115" w:type="dxa"/>
              <w:right w:w="115" w:type="dxa"/>
            </w:tcMar>
            <w:vAlign w:val="bottom"/>
          </w:tcPr>
          <w:p w14:paraId="13CF92EB" w14:textId="77777777" w:rsidR="00724034" w:rsidRDefault="00724034">
            <w:pPr>
              <w:jc w:val="right"/>
              <w:rPr>
                <w:rFonts w:ascii="Arial" w:eastAsia="Arial" w:hAnsi="Arial" w:cs="Arial"/>
                <w:color w:val="000000"/>
                <w:sz w:val="16"/>
                <w:vertAlign w:val="superscript"/>
              </w:rPr>
            </w:pPr>
          </w:p>
        </w:tc>
      </w:tr>
      <w:tr w:rsidR="00724034" w14:paraId="1CB1ABF9" w14:textId="77777777">
        <w:trPr>
          <w:trHeight w:val="210"/>
        </w:trPr>
        <w:tc>
          <w:tcPr>
            <w:tcW w:w="180" w:type="dxa"/>
            <w:gridSpan w:val="2"/>
            <w:tcBorders>
              <w:top w:val="nil"/>
              <w:left w:val="single" w:sz="6" w:space="0" w:color="000000"/>
              <w:bottom w:val="nil"/>
              <w:right w:val="nil"/>
              <w:tl2br w:val="nil"/>
              <w:tr2bl w:val="nil"/>
            </w:tcBorders>
            <w:shd w:val="clear" w:color="auto" w:fill="FFFFFF"/>
            <w:tcMar>
              <w:left w:w="115" w:type="dxa"/>
              <w:right w:w="115" w:type="dxa"/>
            </w:tcMar>
            <w:vAlign w:val="bottom"/>
          </w:tcPr>
          <w:p w14:paraId="522F04D9" w14:textId="77777777" w:rsidR="00724034" w:rsidRDefault="00724034">
            <w:pPr>
              <w:rPr>
                <w:rFonts w:ascii="Arial" w:eastAsia="Arial" w:hAnsi="Arial" w:cs="Arial"/>
                <w:color w:val="000000"/>
                <w:sz w:val="16"/>
                <w:vertAlign w:val="superscript"/>
              </w:rPr>
            </w:pPr>
          </w:p>
        </w:tc>
        <w:tc>
          <w:tcPr>
            <w:tcW w:w="180" w:type="dxa"/>
            <w:tcBorders>
              <w:top w:val="nil"/>
              <w:left w:val="nil"/>
              <w:bottom w:val="nil"/>
              <w:right w:val="nil"/>
              <w:tl2br w:val="nil"/>
              <w:tr2bl w:val="nil"/>
            </w:tcBorders>
            <w:shd w:val="clear" w:color="auto" w:fill="FFFFFF"/>
            <w:tcMar>
              <w:left w:w="115" w:type="dxa"/>
              <w:right w:w="115" w:type="dxa"/>
            </w:tcMar>
            <w:vAlign w:val="bottom"/>
          </w:tcPr>
          <w:p w14:paraId="70D9E8FF" w14:textId="77777777" w:rsidR="00724034" w:rsidRDefault="00724034">
            <w:pPr>
              <w:rPr>
                <w:rFonts w:ascii="Arial" w:eastAsia="Arial" w:hAnsi="Arial" w:cs="Arial"/>
                <w:color w:val="000000"/>
                <w:sz w:val="16"/>
                <w:vertAlign w:val="superscript"/>
              </w:rPr>
            </w:pPr>
          </w:p>
        </w:tc>
        <w:tc>
          <w:tcPr>
            <w:tcW w:w="2805" w:type="dxa"/>
            <w:tcBorders>
              <w:top w:val="nil"/>
              <w:left w:val="nil"/>
              <w:bottom w:val="nil"/>
              <w:right w:val="nil"/>
              <w:tl2br w:val="nil"/>
              <w:tr2bl w:val="nil"/>
            </w:tcBorders>
            <w:shd w:val="clear" w:color="auto" w:fill="FFFFFF"/>
            <w:tcMar>
              <w:left w:w="115" w:type="dxa"/>
              <w:right w:w="115" w:type="dxa"/>
            </w:tcMar>
            <w:vAlign w:val="bottom"/>
          </w:tcPr>
          <w:p w14:paraId="72CC7B9D" w14:textId="77777777" w:rsidR="00724034" w:rsidRDefault="00FB7D0B">
            <w:pPr>
              <w:rPr>
                <w:rFonts w:ascii="Arial" w:eastAsia="Arial" w:hAnsi="Arial" w:cs="Arial"/>
                <w:color w:val="000000"/>
                <w:sz w:val="16"/>
                <w:vertAlign w:val="superscript"/>
              </w:rPr>
            </w:pPr>
            <w:r>
              <w:rPr>
                <w:rFonts w:ascii="Arial" w:eastAsia="Arial" w:hAnsi="Arial" w:cs="Arial"/>
                <w:color w:val="000000"/>
                <w:sz w:val="16"/>
              </w:rPr>
              <w:t>War graves care &amp; maintenance</w:t>
            </w:r>
          </w:p>
        </w:tc>
        <w:tc>
          <w:tcPr>
            <w:tcW w:w="975" w:type="dxa"/>
            <w:tcBorders>
              <w:top w:val="nil"/>
              <w:left w:val="nil"/>
              <w:bottom w:val="nil"/>
              <w:right w:val="nil"/>
              <w:tl2br w:val="nil"/>
              <w:tr2bl w:val="nil"/>
            </w:tcBorders>
            <w:shd w:val="clear" w:color="auto" w:fill="FFFFFF"/>
            <w:tcMar>
              <w:left w:w="115" w:type="dxa"/>
              <w:right w:w="115" w:type="dxa"/>
            </w:tcMar>
            <w:vAlign w:val="bottom"/>
          </w:tcPr>
          <w:p w14:paraId="29AF3557" w14:textId="77777777" w:rsidR="00724034" w:rsidRDefault="00FB7D0B">
            <w:pPr>
              <w:jc w:val="right"/>
              <w:rPr>
                <w:rFonts w:ascii="Arial" w:eastAsia="Arial" w:hAnsi="Arial" w:cs="Arial"/>
                <w:color w:val="000000"/>
                <w:sz w:val="16"/>
                <w:vertAlign w:val="superscript"/>
              </w:rPr>
            </w:pPr>
            <w:r>
              <w:rPr>
                <w:rFonts w:ascii="Arial" w:eastAsia="Arial" w:hAnsi="Arial" w:cs="Arial"/>
                <w:color w:val="000000"/>
                <w:sz w:val="16"/>
              </w:rPr>
              <w:t xml:space="preserve"> 21,680 </w:t>
            </w:r>
          </w:p>
        </w:tc>
        <w:tc>
          <w:tcPr>
            <w:tcW w:w="975" w:type="dxa"/>
            <w:tcBorders>
              <w:top w:val="nil"/>
              <w:left w:val="nil"/>
              <w:bottom w:val="nil"/>
              <w:right w:val="nil"/>
              <w:tl2br w:val="nil"/>
              <w:tr2bl w:val="nil"/>
            </w:tcBorders>
            <w:shd w:val="clear" w:color="auto" w:fill="FFFF00"/>
            <w:tcMar>
              <w:left w:w="115" w:type="dxa"/>
              <w:right w:w="115" w:type="dxa"/>
            </w:tcMar>
            <w:vAlign w:val="bottom"/>
          </w:tcPr>
          <w:p w14:paraId="419E1576" w14:textId="77777777" w:rsidR="00724034" w:rsidRDefault="00FB7D0B">
            <w:pPr>
              <w:jc w:val="right"/>
              <w:rPr>
                <w:rFonts w:ascii="Arial" w:eastAsia="Arial" w:hAnsi="Arial" w:cs="Arial"/>
                <w:color w:val="000000"/>
                <w:sz w:val="16"/>
              </w:rPr>
            </w:pPr>
            <w:r>
              <w:rPr>
                <w:rFonts w:ascii="Arial" w:eastAsia="Arial" w:hAnsi="Arial" w:cs="Arial"/>
                <w:color w:val="000000"/>
                <w:sz w:val="16"/>
              </w:rPr>
              <w:t xml:space="preserve"> 17,147 </w:t>
            </w:r>
          </w:p>
        </w:tc>
        <w:tc>
          <w:tcPr>
            <w:tcW w:w="975" w:type="dxa"/>
            <w:tcBorders>
              <w:top w:val="nil"/>
              <w:left w:val="nil"/>
              <w:bottom w:val="nil"/>
              <w:right w:val="nil"/>
              <w:tl2br w:val="nil"/>
              <w:tr2bl w:val="nil"/>
            </w:tcBorders>
            <w:shd w:val="clear" w:color="auto" w:fill="FFFFFF"/>
            <w:tcMar>
              <w:left w:w="115" w:type="dxa"/>
              <w:right w:w="115" w:type="dxa"/>
            </w:tcMar>
            <w:vAlign w:val="bottom"/>
          </w:tcPr>
          <w:p w14:paraId="68AA14F3" w14:textId="77777777" w:rsidR="00724034" w:rsidRDefault="00FB7D0B">
            <w:pPr>
              <w:jc w:val="right"/>
              <w:rPr>
                <w:rFonts w:ascii="Arial" w:eastAsia="Arial" w:hAnsi="Arial" w:cs="Arial"/>
                <w:color w:val="000000"/>
                <w:sz w:val="16"/>
              </w:rPr>
            </w:pPr>
            <w:r>
              <w:rPr>
                <w:rFonts w:ascii="Arial" w:eastAsia="Arial" w:hAnsi="Arial" w:cs="Arial"/>
                <w:color w:val="000000"/>
                <w:sz w:val="16"/>
              </w:rPr>
              <w:t xml:space="preserve"> 13,073 </w:t>
            </w:r>
          </w:p>
        </w:tc>
        <w:tc>
          <w:tcPr>
            <w:tcW w:w="975" w:type="dxa"/>
            <w:tcBorders>
              <w:top w:val="nil"/>
              <w:left w:val="nil"/>
              <w:bottom w:val="nil"/>
              <w:right w:val="nil"/>
              <w:tl2br w:val="nil"/>
              <w:tr2bl w:val="nil"/>
            </w:tcBorders>
            <w:shd w:val="clear" w:color="auto" w:fill="FFFFFF"/>
            <w:tcMar>
              <w:left w:w="115" w:type="dxa"/>
              <w:right w:w="115" w:type="dxa"/>
            </w:tcMar>
            <w:vAlign w:val="bottom"/>
          </w:tcPr>
          <w:p w14:paraId="5FF29A3F" w14:textId="77777777" w:rsidR="00724034" w:rsidRDefault="00FB7D0B">
            <w:pPr>
              <w:jc w:val="right"/>
              <w:rPr>
                <w:rFonts w:ascii="Arial" w:eastAsia="Arial" w:hAnsi="Arial" w:cs="Arial"/>
                <w:color w:val="000000"/>
                <w:sz w:val="16"/>
              </w:rPr>
            </w:pPr>
            <w:r>
              <w:rPr>
                <w:rFonts w:ascii="Arial" w:eastAsia="Arial" w:hAnsi="Arial" w:cs="Arial"/>
                <w:color w:val="000000"/>
                <w:sz w:val="16"/>
              </w:rPr>
              <w:t xml:space="preserve"> 13,429 </w:t>
            </w:r>
          </w:p>
        </w:tc>
        <w:tc>
          <w:tcPr>
            <w:tcW w:w="975" w:type="dxa"/>
            <w:gridSpan w:val="2"/>
            <w:tcBorders>
              <w:top w:val="nil"/>
              <w:left w:val="nil"/>
              <w:bottom w:val="nil"/>
              <w:right w:val="single" w:sz="6" w:space="0" w:color="000000"/>
              <w:tl2br w:val="nil"/>
              <w:tr2bl w:val="nil"/>
            </w:tcBorders>
            <w:shd w:val="clear" w:color="auto" w:fill="FFFFFF"/>
            <w:tcMar>
              <w:left w:w="115" w:type="dxa"/>
              <w:right w:w="115" w:type="dxa"/>
            </w:tcMar>
            <w:vAlign w:val="bottom"/>
          </w:tcPr>
          <w:p w14:paraId="79145945" w14:textId="77777777" w:rsidR="00724034" w:rsidRDefault="00FB7D0B">
            <w:pPr>
              <w:jc w:val="right"/>
              <w:rPr>
                <w:rFonts w:ascii="Arial" w:eastAsia="Arial" w:hAnsi="Arial" w:cs="Arial"/>
                <w:color w:val="000000"/>
                <w:sz w:val="16"/>
              </w:rPr>
            </w:pPr>
            <w:r>
              <w:rPr>
                <w:rFonts w:ascii="Arial" w:eastAsia="Arial" w:hAnsi="Arial" w:cs="Arial"/>
                <w:color w:val="000000"/>
                <w:sz w:val="16"/>
              </w:rPr>
              <w:t xml:space="preserve"> 13,644 </w:t>
            </w:r>
          </w:p>
        </w:tc>
      </w:tr>
      <w:tr w:rsidR="00724034" w14:paraId="2FCD1E44" w14:textId="77777777">
        <w:trPr>
          <w:trHeight w:val="405"/>
        </w:trPr>
        <w:tc>
          <w:tcPr>
            <w:tcW w:w="180" w:type="dxa"/>
            <w:gridSpan w:val="2"/>
            <w:tcBorders>
              <w:top w:val="nil"/>
              <w:left w:val="single" w:sz="6" w:space="0" w:color="000000"/>
              <w:bottom w:val="nil"/>
              <w:right w:val="nil"/>
              <w:tl2br w:val="nil"/>
              <w:tr2bl w:val="nil"/>
            </w:tcBorders>
            <w:shd w:val="clear" w:color="auto" w:fill="FFFFFF"/>
            <w:tcMar>
              <w:left w:w="115" w:type="dxa"/>
              <w:right w:w="115" w:type="dxa"/>
            </w:tcMar>
            <w:vAlign w:val="bottom"/>
          </w:tcPr>
          <w:p w14:paraId="671F2554" w14:textId="77777777" w:rsidR="00724034" w:rsidRDefault="00724034">
            <w:pPr>
              <w:rPr>
                <w:rFonts w:ascii="Arial" w:eastAsia="Arial" w:hAnsi="Arial" w:cs="Arial"/>
                <w:color w:val="000000"/>
                <w:sz w:val="16"/>
              </w:rPr>
            </w:pPr>
          </w:p>
        </w:tc>
        <w:tc>
          <w:tcPr>
            <w:tcW w:w="180" w:type="dxa"/>
            <w:tcBorders>
              <w:top w:val="nil"/>
              <w:left w:val="nil"/>
              <w:bottom w:val="nil"/>
              <w:right w:val="nil"/>
              <w:tl2br w:val="nil"/>
              <w:tr2bl w:val="nil"/>
            </w:tcBorders>
            <w:shd w:val="clear" w:color="auto" w:fill="FFFFFF"/>
            <w:tcMar>
              <w:left w:w="115" w:type="dxa"/>
              <w:right w:w="115" w:type="dxa"/>
            </w:tcMar>
            <w:vAlign w:val="bottom"/>
          </w:tcPr>
          <w:p w14:paraId="30E7F85C" w14:textId="77777777" w:rsidR="00724034" w:rsidRDefault="00724034">
            <w:pPr>
              <w:rPr>
                <w:rFonts w:ascii="Arial" w:eastAsia="Arial" w:hAnsi="Arial" w:cs="Arial"/>
                <w:color w:val="000000"/>
                <w:sz w:val="16"/>
              </w:rPr>
            </w:pPr>
          </w:p>
        </w:tc>
        <w:tc>
          <w:tcPr>
            <w:tcW w:w="2805" w:type="dxa"/>
            <w:tcBorders>
              <w:top w:val="nil"/>
              <w:left w:val="nil"/>
              <w:bottom w:val="nil"/>
              <w:right w:val="nil"/>
              <w:tl2br w:val="nil"/>
              <w:tr2bl w:val="nil"/>
            </w:tcBorders>
            <w:shd w:val="clear" w:color="auto" w:fill="FFFFFF"/>
            <w:tcMar>
              <w:left w:w="115" w:type="dxa"/>
              <w:right w:w="115" w:type="dxa"/>
            </w:tcMar>
            <w:vAlign w:val="bottom"/>
          </w:tcPr>
          <w:p w14:paraId="4E2FAA07" w14:textId="77777777" w:rsidR="00724034" w:rsidRDefault="00FB7D0B">
            <w:pPr>
              <w:rPr>
                <w:rFonts w:ascii="Arial" w:eastAsia="Arial" w:hAnsi="Arial" w:cs="Arial"/>
                <w:color w:val="000000"/>
                <w:sz w:val="16"/>
              </w:rPr>
            </w:pPr>
            <w:r>
              <w:rPr>
                <w:rFonts w:ascii="Arial" w:eastAsia="Arial" w:hAnsi="Arial" w:cs="Arial"/>
                <w:color w:val="000000"/>
                <w:sz w:val="16"/>
              </w:rPr>
              <w:t>OAWG refurbishment, reconstruction &amp; relocation</w:t>
            </w:r>
          </w:p>
        </w:tc>
        <w:tc>
          <w:tcPr>
            <w:tcW w:w="975" w:type="dxa"/>
            <w:tcBorders>
              <w:top w:val="nil"/>
              <w:left w:val="nil"/>
              <w:bottom w:val="nil"/>
              <w:right w:val="nil"/>
              <w:tl2br w:val="nil"/>
              <w:tr2bl w:val="nil"/>
            </w:tcBorders>
            <w:shd w:val="clear" w:color="auto" w:fill="FFFFFF"/>
            <w:tcMar>
              <w:left w:w="115" w:type="dxa"/>
              <w:right w:w="115" w:type="dxa"/>
            </w:tcMar>
            <w:vAlign w:val="bottom"/>
          </w:tcPr>
          <w:p w14:paraId="159AA8C2" w14:textId="77777777" w:rsidR="00724034" w:rsidRDefault="00FB7D0B">
            <w:pPr>
              <w:jc w:val="right"/>
              <w:rPr>
                <w:rFonts w:ascii="Arial" w:eastAsia="Arial" w:hAnsi="Arial" w:cs="Arial"/>
                <w:color w:val="000000"/>
                <w:sz w:val="16"/>
                <w:vertAlign w:val="superscript"/>
              </w:rPr>
            </w:pPr>
            <w:r>
              <w:rPr>
                <w:rFonts w:ascii="Arial" w:eastAsia="Arial" w:hAnsi="Arial" w:cs="Arial"/>
                <w:color w:val="000000"/>
                <w:sz w:val="16"/>
              </w:rPr>
              <w:t xml:space="preserve"> 1,006 </w:t>
            </w:r>
          </w:p>
        </w:tc>
        <w:tc>
          <w:tcPr>
            <w:tcW w:w="975" w:type="dxa"/>
            <w:tcBorders>
              <w:top w:val="nil"/>
              <w:left w:val="nil"/>
              <w:bottom w:val="nil"/>
              <w:right w:val="nil"/>
              <w:tl2br w:val="nil"/>
              <w:tr2bl w:val="nil"/>
            </w:tcBorders>
            <w:shd w:val="clear" w:color="auto" w:fill="FFFF00"/>
            <w:tcMar>
              <w:left w:w="115" w:type="dxa"/>
              <w:right w:w="115" w:type="dxa"/>
            </w:tcMar>
            <w:vAlign w:val="bottom"/>
          </w:tcPr>
          <w:p w14:paraId="6948E8A0" w14:textId="77777777" w:rsidR="00724034" w:rsidRDefault="00FB7D0B">
            <w:pPr>
              <w:jc w:val="right"/>
              <w:rPr>
                <w:rFonts w:ascii="Arial" w:eastAsia="Arial" w:hAnsi="Arial" w:cs="Arial"/>
                <w:color w:val="000000"/>
                <w:sz w:val="16"/>
              </w:rPr>
            </w:pPr>
            <w:r>
              <w:rPr>
                <w:rFonts w:ascii="Arial" w:eastAsia="Arial" w:hAnsi="Arial" w:cs="Arial"/>
                <w:color w:val="000000"/>
                <w:sz w:val="16"/>
              </w:rPr>
              <w:t xml:space="preserve"> 1,009 </w:t>
            </w:r>
          </w:p>
        </w:tc>
        <w:tc>
          <w:tcPr>
            <w:tcW w:w="975" w:type="dxa"/>
            <w:tcBorders>
              <w:top w:val="nil"/>
              <w:left w:val="nil"/>
              <w:bottom w:val="nil"/>
              <w:right w:val="nil"/>
              <w:tl2br w:val="nil"/>
              <w:tr2bl w:val="nil"/>
            </w:tcBorders>
            <w:shd w:val="clear" w:color="auto" w:fill="FFFFFF"/>
            <w:tcMar>
              <w:left w:w="115" w:type="dxa"/>
              <w:right w:w="115" w:type="dxa"/>
            </w:tcMar>
            <w:vAlign w:val="bottom"/>
          </w:tcPr>
          <w:p w14:paraId="2D112D46" w14:textId="77777777" w:rsidR="00724034" w:rsidRDefault="00FB7D0B">
            <w:pPr>
              <w:jc w:val="right"/>
              <w:rPr>
                <w:rFonts w:ascii="Arial" w:eastAsia="Arial" w:hAnsi="Arial" w:cs="Arial"/>
                <w:color w:val="000000"/>
                <w:sz w:val="16"/>
              </w:rPr>
            </w:pPr>
            <w:r>
              <w:rPr>
                <w:rFonts w:ascii="Arial" w:eastAsia="Arial" w:hAnsi="Arial" w:cs="Arial"/>
                <w:color w:val="000000"/>
                <w:sz w:val="16"/>
              </w:rPr>
              <w:t xml:space="preserve"> 1,010 </w:t>
            </w:r>
          </w:p>
        </w:tc>
        <w:tc>
          <w:tcPr>
            <w:tcW w:w="975" w:type="dxa"/>
            <w:tcBorders>
              <w:top w:val="nil"/>
              <w:left w:val="nil"/>
              <w:bottom w:val="nil"/>
              <w:right w:val="nil"/>
              <w:tl2br w:val="nil"/>
              <w:tr2bl w:val="nil"/>
            </w:tcBorders>
            <w:shd w:val="clear" w:color="auto" w:fill="FFFFFF"/>
            <w:tcMar>
              <w:left w:w="115" w:type="dxa"/>
              <w:right w:w="115" w:type="dxa"/>
            </w:tcMar>
            <w:vAlign w:val="bottom"/>
          </w:tcPr>
          <w:p w14:paraId="0702A688" w14:textId="77777777" w:rsidR="00724034" w:rsidRDefault="00FB7D0B">
            <w:pPr>
              <w:jc w:val="right"/>
              <w:rPr>
                <w:rFonts w:ascii="Arial" w:eastAsia="Arial" w:hAnsi="Arial" w:cs="Arial"/>
                <w:color w:val="000000"/>
                <w:sz w:val="16"/>
              </w:rPr>
            </w:pPr>
            <w:r>
              <w:rPr>
                <w:rFonts w:ascii="Arial" w:eastAsia="Arial" w:hAnsi="Arial" w:cs="Arial"/>
                <w:color w:val="000000"/>
                <w:sz w:val="16"/>
              </w:rPr>
              <w:t xml:space="preserve"> 1,035 </w:t>
            </w:r>
          </w:p>
        </w:tc>
        <w:tc>
          <w:tcPr>
            <w:tcW w:w="975" w:type="dxa"/>
            <w:gridSpan w:val="2"/>
            <w:tcBorders>
              <w:top w:val="nil"/>
              <w:left w:val="nil"/>
              <w:bottom w:val="nil"/>
              <w:right w:val="single" w:sz="6" w:space="0" w:color="000000"/>
              <w:tl2br w:val="nil"/>
              <w:tr2bl w:val="nil"/>
            </w:tcBorders>
            <w:shd w:val="clear" w:color="auto" w:fill="FFFFFF"/>
            <w:tcMar>
              <w:left w:w="115" w:type="dxa"/>
              <w:right w:w="115" w:type="dxa"/>
            </w:tcMar>
            <w:vAlign w:val="bottom"/>
          </w:tcPr>
          <w:p w14:paraId="0BBB698E" w14:textId="77777777" w:rsidR="00724034" w:rsidRDefault="00FB7D0B">
            <w:pPr>
              <w:jc w:val="right"/>
              <w:rPr>
                <w:rFonts w:ascii="Arial" w:eastAsia="Arial" w:hAnsi="Arial" w:cs="Arial"/>
                <w:color w:val="000000"/>
                <w:sz w:val="16"/>
              </w:rPr>
            </w:pPr>
            <w:r>
              <w:rPr>
                <w:rFonts w:ascii="Arial" w:eastAsia="Arial" w:hAnsi="Arial" w:cs="Arial"/>
                <w:color w:val="000000"/>
                <w:sz w:val="16"/>
              </w:rPr>
              <w:t xml:space="preserve"> 1,061 </w:t>
            </w:r>
          </w:p>
        </w:tc>
      </w:tr>
      <w:tr w:rsidR="00724034" w14:paraId="6B7A113B" w14:textId="77777777">
        <w:trPr>
          <w:trHeight w:val="225"/>
        </w:trPr>
        <w:tc>
          <w:tcPr>
            <w:tcW w:w="180" w:type="dxa"/>
            <w:gridSpan w:val="2"/>
            <w:tcBorders>
              <w:top w:val="nil"/>
              <w:left w:val="single" w:sz="6" w:space="0" w:color="000000"/>
              <w:bottom w:val="nil"/>
              <w:right w:val="nil"/>
              <w:tl2br w:val="nil"/>
              <w:tr2bl w:val="nil"/>
            </w:tcBorders>
            <w:shd w:val="clear" w:color="auto" w:fill="FFFFFF"/>
            <w:tcMar>
              <w:left w:w="115" w:type="dxa"/>
              <w:right w:w="115" w:type="dxa"/>
            </w:tcMar>
            <w:vAlign w:val="bottom"/>
          </w:tcPr>
          <w:p w14:paraId="6B0EDA96" w14:textId="77777777" w:rsidR="00724034" w:rsidRDefault="00724034">
            <w:pPr>
              <w:rPr>
                <w:rFonts w:ascii="Arial" w:eastAsia="Arial" w:hAnsi="Arial" w:cs="Arial"/>
                <w:color w:val="000000"/>
                <w:sz w:val="16"/>
              </w:rPr>
            </w:pPr>
          </w:p>
        </w:tc>
        <w:tc>
          <w:tcPr>
            <w:tcW w:w="180" w:type="dxa"/>
            <w:tcBorders>
              <w:top w:val="nil"/>
              <w:left w:val="nil"/>
              <w:bottom w:val="nil"/>
              <w:right w:val="nil"/>
              <w:tl2br w:val="nil"/>
              <w:tr2bl w:val="nil"/>
            </w:tcBorders>
            <w:shd w:val="clear" w:color="auto" w:fill="FFFFFF"/>
            <w:tcMar>
              <w:left w:w="115" w:type="dxa"/>
              <w:right w:w="115" w:type="dxa"/>
            </w:tcMar>
            <w:vAlign w:val="bottom"/>
          </w:tcPr>
          <w:p w14:paraId="33E49C10" w14:textId="77777777" w:rsidR="00724034" w:rsidRDefault="00724034">
            <w:pPr>
              <w:rPr>
                <w:rFonts w:ascii="Arial" w:eastAsia="Arial" w:hAnsi="Arial" w:cs="Arial"/>
                <w:color w:val="000000"/>
                <w:sz w:val="16"/>
              </w:rPr>
            </w:pPr>
          </w:p>
        </w:tc>
        <w:tc>
          <w:tcPr>
            <w:tcW w:w="2805" w:type="dxa"/>
            <w:tcBorders>
              <w:top w:val="nil"/>
              <w:left w:val="nil"/>
              <w:bottom w:val="nil"/>
              <w:right w:val="nil"/>
              <w:tl2br w:val="nil"/>
              <w:tr2bl w:val="nil"/>
            </w:tcBorders>
            <w:shd w:val="clear" w:color="auto" w:fill="FFFFFF"/>
            <w:tcMar>
              <w:left w:w="115" w:type="dxa"/>
              <w:right w:w="115" w:type="dxa"/>
            </w:tcMar>
            <w:vAlign w:val="bottom"/>
          </w:tcPr>
          <w:p w14:paraId="6443D71F" w14:textId="77777777" w:rsidR="00724034" w:rsidRDefault="00FB7D0B">
            <w:pPr>
              <w:rPr>
                <w:rFonts w:ascii="Arial" w:eastAsia="Arial" w:hAnsi="Arial" w:cs="Arial"/>
                <w:color w:val="000000"/>
                <w:sz w:val="16"/>
              </w:rPr>
            </w:pPr>
            <w:r>
              <w:rPr>
                <w:rFonts w:ascii="Arial" w:eastAsia="Arial" w:hAnsi="Arial" w:cs="Arial"/>
                <w:color w:val="000000"/>
                <w:sz w:val="16"/>
              </w:rPr>
              <w:t>Legal expenses</w:t>
            </w:r>
          </w:p>
        </w:tc>
        <w:tc>
          <w:tcPr>
            <w:tcW w:w="975" w:type="dxa"/>
            <w:tcBorders>
              <w:top w:val="nil"/>
              <w:left w:val="nil"/>
              <w:bottom w:val="nil"/>
              <w:right w:val="nil"/>
              <w:tl2br w:val="nil"/>
              <w:tr2bl w:val="nil"/>
            </w:tcBorders>
            <w:shd w:val="clear" w:color="auto" w:fill="FFFFFF"/>
            <w:tcMar>
              <w:left w:w="115" w:type="dxa"/>
              <w:right w:w="115" w:type="dxa"/>
            </w:tcMar>
            <w:vAlign w:val="bottom"/>
          </w:tcPr>
          <w:p w14:paraId="19A09AC7" w14:textId="77777777" w:rsidR="00724034" w:rsidRDefault="00FB7D0B">
            <w:pPr>
              <w:jc w:val="right"/>
              <w:rPr>
                <w:rFonts w:ascii="Arial" w:eastAsia="Arial" w:hAnsi="Arial" w:cs="Arial"/>
                <w:color w:val="000000"/>
                <w:sz w:val="16"/>
                <w:vertAlign w:val="superscript"/>
              </w:rPr>
            </w:pPr>
            <w:r>
              <w:rPr>
                <w:rFonts w:ascii="Arial" w:eastAsia="Arial" w:hAnsi="Arial" w:cs="Arial"/>
                <w:color w:val="000000"/>
                <w:sz w:val="16"/>
              </w:rPr>
              <w:t xml:space="preserve"> 5 </w:t>
            </w:r>
          </w:p>
        </w:tc>
        <w:tc>
          <w:tcPr>
            <w:tcW w:w="975" w:type="dxa"/>
            <w:tcBorders>
              <w:top w:val="nil"/>
              <w:left w:val="nil"/>
              <w:bottom w:val="nil"/>
              <w:right w:val="nil"/>
              <w:tl2br w:val="nil"/>
              <w:tr2bl w:val="nil"/>
            </w:tcBorders>
            <w:shd w:val="clear" w:color="auto" w:fill="FFFF00"/>
            <w:tcMar>
              <w:left w:w="115" w:type="dxa"/>
              <w:right w:w="115" w:type="dxa"/>
            </w:tcMar>
            <w:vAlign w:val="bottom"/>
          </w:tcPr>
          <w:p w14:paraId="415E87F4" w14:textId="77777777" w:rsidR="00724034" w:rsidRDefault="00FB7D0B">
            <w:pPr>
              <w:jc w:val="right"/>
              <w:rPr>
                <w:rFonts w:ascii="Arial" w:eastAsia="Arial" w:hAnsi="Arial" w:cs="Arial"/>
                <w:color w:val="000000"/>
                <w:sz w:val="16"/>
              </w:rPr>
            </w:pPr>
            <w:r>
              <w:rPr>
                <w:rFonts w:ascii="Arial" w:eastAsia="Arial" w:hAnsi="Arial" w:cs="Arial"/>
                <w:color w:val="000000"/>
                <w:sz w:val="16"/>
              </w:rPr>
              <w:t xml:space="preserve"> 5 </w:t>
            </w:r>
          </w:p>
        </w:tc>
        <w:tc>
          <w:tcPr>
            <w:tcW w:w="975" w:type="dxa"/>
            <w:tcBorders>
              <w:top w:val="nil"/>
              <w:left w:val="nil"/>
              <w:bottom w:val="nil"/>
              <w:right w:val="nil"/>
              <w:tl2br w:val="nil"/>
              <w:tr2bl w:val="nil"/>
            </w:tcBorders>
            <w:shd w:val="clear" w:color="auto" w:fill="FFFFFF"/>
            <w:tcMar>
              <w:left w:w="115" w:type="dxa"/>
              <w:right w:w="115" w:type="dxa"/>
            </w:tcMar>
            <w:vAlign w:val="bottom"/>
          </w:tcPr>
          <w:p w14:paraId="6292764D" w14:textId="77777777" w:rsidR="00724034" w:rsidRDefault="00FB7D0B">
            <w:pPr>
              <w:jc w:val="right"/>
              <w:rPr>
                <w:rFonts w:ascii="Arial" w:eastAsia="Arial" w:hAnsi="Arial" w:cs="Arial"/>
                <w:color w:val="000000"/>
                <w:sz w:val="16"/>
              </w:rPr>
            </w:pPr>
            <w:r>
              <w:rPr>
                <w:rFonts w:ascii="Arial" w:eastAsia="Arial" w:hAnsi="Arial" w:cs="Arial"/>
                <w:color w:val="000000"/>
                <w:sz w:val="16"/>
              </w:rPr>
              <w:t xml:space="preserve"> 5 </w:t>
            </w:r>
          </w:p>
        </w:tc>
        <w:tc>
          <w:tcPr>
            <w:tcW w:w="975" w:type="dxa"/>
            <w:tcBorders>
              <w:top w:val="nil"/>
              <w:left w:val="nil"/>
              <w:bottom w:val="nil"/>
              <w:right w:val="nil"/>
              <w:tl2br w:val="nil"/>
              <w:tr2bl w:val="nil"/>
            </w:tcBorders>
            <w:shd w:val="clear" w:color="auto" w:fill="FFFFFF"/>
            <w:tcMar>
              <w:left w:w="115" w:type="dxa"/>
              <w:right w:w="115" w:type="dxa"/>
            </w:tcMar>
            <w:vAlign w:val="bottom"/>
          </w:tcPr>
          <w:p w14:paraId="27D15FEF" w14:textId="77777777" w:rsidR="00724034" w:rsidRDefault="00FB7D0B">
            <w:pPr>
              <w:jc w:val="right"/>
              <w:rPr>
                <w:rFonts w:ascii="Arial" w:eastAsia="Arial" w:hAnsi="Arial" w:cs="Arial"/>
                <w:color w:val="000000"/>
                <w:sz w:val="16"/>
              </w:rPr>
            </w:pPr>
            <w:r>
              <w:rPr>
                <w:rFonts w:ascii="Arial" w:eastAsia="Arial" w:hAnsi="Arial" w:cs="Arial"/>
                <w:color w:val="000000"/>
                <w:sz w:val="16"/>
              </w:rPr>
              <w:t xml:space="preserve"> 5 </w:t>
            </w:r>
          </w:p>
        </w:tc>
        <w:tc>
          <w:tcPr>
            <w:tcW w:w="975" w:type="dxa"/>
            <w:gridSpan w:val="2"/>
            <w:tcBorders>
              <w:top w:val="nil"/>
              <w:left w:val="nil"/>
              <w:bottom w:val="nil"/>
              <w:right w:val="single" w:sz="6" w:space="0" w:color="000000"/>
              <w:tl2br w:val="nil"/>
              <w:tr2bl w:val="nil"/>
            </w:tcBorders>
            <w:shd w:val="clear" w:color="auto" w:fill="FFFFFF"/>
            <w:tcMar>
              <w:left w:w="115" w:type="dxa"/>
              <w:right w:w="115" w:type="dxa"/>
            </w:tcMar>
            <w:vAlign w:val="bottom"/>
          </w:tcPr>
          <w:p w14:paraId="265A263F" w14:textId="77777777" w:rsidR="00724034" w:rsidRDefault="00FB7D0B">
            <w:pPr>
              <w:jc w:val="right"/>
              <w:rPr>
                <w:rFonts w:ascii="Arial" w:eastAsia="Arial" w:hAnsi="Arial" w:cs="Arial"/>
                <w:color w:val="000000"/>
                <w:sz w:val="16"/>
              </w:rPr>
            </w:pPr>
            <w:r>
              <w:rPr>
                <w:rFonts w:ascii="Arial" w:eastAsia="Arial" w:hAnsi="Arial" w:cs="Arial"/>
                <w:color w:val="000000"/>
                <w:sz w:val="16"/>
              </w:rPr>
              <w:t xml:space="preserve"> 5 </w:t>
            </w:r>
          </w:p>
        </w:tc>
      </w:tr>
      <w:tr w:rsidR="00724034" w14:paraId="412C51CD" w14:textId="77777777">
        <w:trPr>
          <w:trHeight w:val="225"/>
        </w:trPr>
        <w:tc>
          <w:tcPr>
            <w:tcW w:w="180" w:type="dxa"/>
            <w:gridSpan w:val="2"/>
            <w:tcBorders>
              <w:top w:val="nil"/>
              <w:left w:val="single" w:sz="6" w:space="0" w:color="000000"/>
              <w:bottom w:val="nil"/>
              <w:right w:val="nil"/>
              <w:tl2br w:val="nil"/>
              <w:tr2bl w:val="nil"/>
            </w:tcBorders>
            <w:shd w:val="clear" w:color="auto" w:fill="FFFFFF"/>
            <w:tcMar>
              <w:left w:w="115" w:type="dxa"/>
              <w:right w:w="115" w:type="dxa"/>
            </w:tcMar>
            <w:vAlign w:val="bottom"/>
          </w:tcPr>
          <w:p w14:paraId="44F3F62D" w14:textId="77777777" w:rsidR="00724034" w:rsidRDefault="00724034">
            <w:pPr>
              <w:rPr>
                <w:rFonts w:ascii="Arial" w:eastAsia="Arial" w:hAnsi="Arial" w:cs="Arial"/>
                <w:color w:val="000000"/>
                <w:sz w:val="16"/>
              </w:rPr>
            </w:pPr>
          </w:p>
        </w:tc>
        <w:tc>
          <w:tcPr>
            <w:tcW w:w="180" w:type="dxa"/>
            <w:tcBorders>
              <w:top w:val="nil"/>
              <w:left w:val="nil"/>
              <w:bottom w:val="nil"/>
              <w:right w:val="nil"/>
              <w:tl2br w:val="nil"/>
              <w:tr2bl w:val="nil"/>
            </w:tcBorders>
            <w:shd w:val="clear" w:color="auto" w:fill="FFFFFF"/>
            <w:tcMar>
              <w:left w:w="115" w:type="dxa"/>
              <w:right w:w="115" w:type="dxa"/>
            </w:tcMar>
            <w:vAlign w:val="bottom"/>
          </w:tcPr>
          <w:p w14:paraId="5E37EBFF" w14:textId="77777777" w:rsidR="00724034" w:rsidRDefault="00724034">
            <w:pPr>
              <w:rPr>
                <w:rFonts w:ascii="Arial" w:eastAsia="Arial" w:hAnsi="Arial" w:cs="Arial"/>
                <w:color w:val="000000"/>
                <w:sz w:val="16"/>
              </w:rPr>
            </w:pPr>
          </w:p>
        </w:tc>
        <w:tc>
          <w:tcPr>
            <w:tcW w:w="2805" w:type="dxa"/>
            <w:tcBorders>
              <w:top w:val="nil"/>
              <w:left w:val="nil"/>
              <w:bottom w:val="nil"/>
              <w:right w:val="nil"/>
              <w:tl2br w:val="nil"/>
              <w:tr2bl w:val="nil"/>
            </w:tcBorders>
            <w:shd w:val="clear" w:color="auto" w:fill="FFFFFF"/>
            <w:tcMar>
              <w:left w:w="115" w:type="dxa"/>
              <w:right w:w="115" w:type="dxa"/>
            </w:tcMar>
            <w:vAlign w:val="bottom"/>
          </w:tcPr>
          <w:p w14:paraId="226572B3" w14:textId="77777777" w:rsidR="00724034" w:rsidRDefault="00FB7D0B">
            <w:pPr>
              <w:rPr>
                <w:rFonts w:ascii="Arial" w:eastAsia="Arial" w:hAnsi="Arial" w:cs="Arial"/>
                <w:color w:val="000000"/>
                <w:sz w:val="16"/>
              </w:rPr>
            </w:pPr>
            <w:r>
              <w:rPr>
                <w:rFonts w:ascii="Arial" w:eastAsia="Arial" w:hAnsi="Arial" w:cs="Arial"/>
                <w:color w:val="000000"/>
                <w:sz w:val="16"/>
              </w:rPr>
              <w:t>Veterans' commemorative activities</w:t>
            </w:r>
          </w:p>
        </w:tc>
        <w:tc>
          <w:tcPr>
            <w:tcW w:w="975" w:type="dxa"/>
            <w:tcBorders>
              <w:top w:val="nil"/>
              <w:left w:val="nil"/>
              <w:bottom w:val="nil"/>
              <w:right w:val="nil"/>
              <w:tl2br w:val="nil"/>
              <w:tr2bl w:val="nil"/>
            </w:tcBorders>
            <w:shd w:val="clear" w:color="auto" w:fill="FFFFFF"/>
            <w:tcMar>
              <w:left w:w="115" w:type="dxa"/>
              <w:right w:w="115" w:type="dxa"/>
            </w:tcMar>
            <w:vAlign w:val="bottom"/>
          </w:tcPr>
          <w:p w14:paraId="28EE076F" w14:textId="77777777" w:rsidR="00724034" w:rsidRDefault="00FB7D0B">
            <w:pPr>
              <w:jc w:val="right"/>
              <w:rPr>
                <w:rFonts w:ascii="Arial" w:eastAsia="Arial" w:hAnsi="Arial" w:cs="Arial"/>
                <w:color w:val="000000"/>
                <w:sz w:val="16"/>
                <w:vertAlign w:val="superscript"/>
              </w:rPr>
            </w:pPr>
            <w:r>
              <w:rPr>
                <w:rFonts w:ascii="Arial" w:eastAsia="Arial" w:hAnsi="Arial" w:cs="Arial"/>
                <w:color w:val="000000"/>
                <w:sz w:val="16"/>
              </w:rPr>
              <w:t xml:space="preserve"> 26,141 </w:t>
            </w:r>
          </w:p>
        </w:tc>
        <w:tc>
          <w:tcPr>
            <w:tcW w:w="975" w:type="dxa"/>
            <w:tcBorders>
              <w:top w:val="nil"/>
              <w:left w:val="nil"/>
              <w:bottom w:val="nil"/>
              <w:right w:val="nil"/>
              <w:tl2br w:val="nil"/>
              <w:tr2bl w:val="nil"/>
            </w:tcBorders>
            <w:shd w:val="clear" w:color="auto" w:fill="FFFF00"/>
            <w:tcMar>
              <w:left w:w="115" w:type="dxa"/>
              <w:right w:w="115" w:type="dxa"/>
            </w:tcMar>
            <w:vAlign w:val="bottom"/>
          </w:tcPr>
          <w:p w14:paraId="4E9FEEF6" w14:textId="77777777" w:rsidR="00724034" w:rsidRDefault="00FB7D0B">
            <w:pPr>
              <w:jc w:val="right"/>
              <w:rPr>
                <w:rFonts w:ascii="Arial" w:eastAsia="Arial" w:hAnsi="Arial" w:cs="Arial"/>
                <w:color w:val="000000"/>
                <w:sz w:val="16"/>
              </w:rPr>
            </w:pPr>
            <w:r>
              <w:rPr>
                <w:rFonts w:ascii="Arial" w:eastAsia="Arial" w:hAnsi="Arial" w:cs="Arial"/>
                <w:color w:val="000000"/>
                <w:sz w:val="16"/>
              </w:rPr>
              <w:t xml:space="preserve"> 29,559 </w:t>
            </w:r>
          </w:p>
        </w:tc>
        <w:tc>
          <w:tcPr>
            <w:tcW w:w="975" w:type="dxa"/>
            <w:tcBorders>
              <w:top w:val="nil"/>
              <w:left w:val="nil"/>
              <w:bottom w:val="nil"/>
              <w:right w:val="nil"/>
              <w:tl2br w:val="nil"/>
              <w:tr2bl w:val="nil"/>
            </w:tcBorders>
            <w:shd w:val="clear" w:color="auto" w:fill="FFFFFF"/>
            <w:tcMar>
              <w:left w:w="115" w:type="dxa"/>
              <w:right w:w="115" w:type="dxa"/>
            </w:tcMar>
            <w:vAlign w:val="bottom"/>
          </w:tcPr>
          <w:p w14:paraId="689F31B3" w14:textId="77777777" w:rsidR="00724034" w:rsidRDefault="00FB7D0B">
            <w:pPr>
              <w:jc w:val="right"/>
              <w:rPr>
                <w:rFonts w:ascii="Arial" w:eastAsia="Arial" w:hAnsi="Arial" w:cs="Arial"/>
                <w:color w:val="000000"/>
                <w:sz w:val="16"/>
              </w:rPr>
            </w:pPr>
            <w:r>
              <w:rPr>
                <w:rFonts w:ascii="Arial" w:eastAsia="Arial" w:hAnsi="Arial" w:cs="Arial"/>
                <w:color w:val="000000"/>
                <w:sz w:val="16"/>
              </w:rPr>
              <w:t xml:space="preserve"> 9,922 </w:t>
            </w:r>
          </w:p>
        </w:tc>
        <w:tc>
          <w:tcPr>
            <w:tcW w:w="975" w:type="dxa"/>
            <w:tcBorders>
              <w:top w:val="nil"/>
              <w:left w:val="nil"/>
              <w:bottom w:val="nil"/>
              <w:right w:val="nil"/>
              <w:tl2br w:val="nil"/>
              <w:tr2bl w:val="nil"/>
            </w:tcBorders>
            <w:shd w:val="clear" w:color="auto" w:fill="FFFFFF"/>
            <w:tcMar>
              <w:left w:w="115" w:type="dxa"/>
              <w:right w:w="115" w:type="dxa"/>
            </w:tcMar>
            <w:vAlign w:val="bottom"/>
          </w:tcPr>
          <w:p w14:paraId="3E42942B" w14:textId="77777777" w:rsidR="00724034" w:rsidRDefault="00FB7D0B">
            <w:pPr>
              <w:jc w:val="right"/>
              <w:rPr>
                <w:rFonts w:ascii="Arial" w:eastAsia="Arial" w:hAnsi="Arial" w:cs="Arial"/>
                <w:color w:val="000000"/>
                <w:sz w:val="16"/>
              </w:rPr>
            </w:pPr>
            <w:r>
              <w:rPr>
                <w:rFonts w:ascii="Arial" w:eastAsia="Arial" w:hAnsi="Arial" w:cs="Arial"/>
                <w:color w:val="000000"/>
                <w:sz w:val="16"/>
              </w:rPr>
              <w:t xml:space="preserve"> 7,986 </w:t>
            </w:r>
          </w:p>
        </w:tc>
        <w:tc>
          <w:tcPr>
            <w:tcW w:w="975" w:type="dxa"/>
            <w:gridSpan w:val="2"/>
            <w:tcBorders>
              <w:top w:val="nil"/>
              <w:left w:val="nil"/>
              <w:bottom w:val="nil"/>
              <w:right w:val="single" w:sz="6" w:space="0" w:color="000000"/>
              <w:tl2br w:val="nil"/>
              <w:tr2bl w:val="nil"/>
            </w:tcBorders>
            <w:shd w:val="clear" w:color="auto" w:fill="FFFFFF"/>
            <w:tcMar>
              <w:left w:w="115" w:type="dxa"/>
              <w:right w:w="115" w:type="dxa"/>
            </w:tcMar>
            <w:vAlign w:val="bottom"/>
          </w:tcPr>
          <w:p w14:paraId="1B3AFDEE" w14:textId="77777777" w:rsidR="00724034" w:rsidRDefault="00FB7D0B">
            <w:pPr>
              <w:jc w:val="right"/>
              <w:rPr>
                <w:rFonts w:ascii="Arial" w:eastAsia="Arial" w:hAnsi="Arial" w:cs="Arial"/>
                <w:color w:val="000000"/>
                <w:sz w:val="16"/>
              </w:rPr>
            </w:pPr>
            <w:r>
              <w:rPr>
                <w:rFonts w:ascii="Arial" w:eastAsia="Arial" w:hAnsi="Arial" w:cs="Arial"/>
                <w:color w:val="000000"/>
                <w:sz w:val="16"/>
              </w:rPr>
              <w:t xml:space="preserve"> 7,591 </w:t>
            </w:r>
          </w:p>
        </w:tc>
      </w:tr>
      <w:tr w:rsidR="00FB7D0B" w14:paraId="485700F1" w14:textId="77777777" w:rsidTr="00FB7D0B">
        <w:trPr>
          <w:trHeight w:val="225"/>
        </w:trPr>
        <w:tc>
          <w:tcPr>
            <w:tcW w:w="3165" w:type="dxa"/>
            <w:gridSpan w:val="4"/>
            <w:tcBorders>
              <w:top w:val="nil"/>
              <w:left w:val="single" w:sz="6" w:space="0" w:color="000000"/>
              <w:bottom w:val="nil"/>
              <w:right w:val="nil"/>
              <w:tl2br w:val="nil"/>
              <w:tr2bl w:val="nil"/>
            </w:tcBorders>
            <w:shd w:val="clear" w:color="auto" w:fill="FFFFFF"/>
            <w:tcMar>
              <w:left w:w="115" w:type="dxa"/>
              <w:right w:w="115" w:type="dxa"/>
            </w:tcMar>
            <w:vAlign w:val="bottom"/>
          </w:tcPr>
          <w:p w14:paraId="5C4B041B" w14:textId="77777777" w:rsidR="00724034" w:rsidRDefault="00FB7D0B">
            <w:pPr>
              <w:rPr>
                <w:rFonts w:ascii="Arial" w:eastAsia="Arial" w:hAnsi="Arial" w:cs="Arial"/>
                <w:color w:val="000000"/>
                <w:sz w:val="16"/>
              </w:rPr>
            </w:pPr>
            <w:r>
              <w:rPr>
                <w:rFonts w:ascii="Arial" w:eastAsia="Arial" w:hAnsi="Arial" w:cs="Arial"/>
                <w:color w:val="000000"/>
                <w:sz w:val="16"/>
              </w:rPr>
              <w:t xml:space="preserve">Special Account Expenses: </w:t>
            </w:r>
          </w:p>
        </w:tc>
        <w:tc>
          <w:tcPr>
            <w:tcW w:w="975" w:type="dxa"/>
            <w:tcBorders>
              <w:top w:val="nil"/>
              <w:left w:val="nil"/>
              <w:bottom w:val="nil"/>
              <w:right w:val="nil"/>
              <w:tl2br w:val="nil"/>
              <w:tr2bl w:val="nil"/>
            </w:tcBorders>
            <w:shd w:val="clear" w:color="auto" w:fill="FFFFFF"/>
            <w:tcMar>
              <w:left w:w="115" w:type="dxa"/>
              <w:right w:w="115" w:type="dxa"/>
            </w:tcMar>
            <w:vAlign w:val="bottom"/>
          </w:tcPr>
          <w:p w14:paraId="44E96975" w14:textId="77777777" w:rsidR="00724034" w:rsidRDefault="00724034">
            <w:pPr>
              <w:jc w:val="right"/>
              <w:rPr>
                <w:rFonts w:ascii="Arial" w:eastAsia="Arial" w:hAnsi="Arial" w:cs="Arial"/>
                <w:color w:val="000000"/>
                <w:sz w:val="16"/>
                <w:vertAlign w:val="superscript"/>
              </w:rPr>
            </w:pPr>
          </w:p>
        </w:tc>
        <w:tc>
          <w:tcPr>
            <w:tcW w:w="975" w:type="dxa"/>
            <w:tcBorders>
              <w:top w:val="nil"/>
              <w:left w:val="nil"/>
              <w:bottom w:val="nil"/>
              <w:right w:val="nil"/>
              <w:tl2br w:val="nil"/>
              <w:tr2bl w:val="nil"/>
            </w:tcBorders>
            <w:shd w:val="clear" w:color="auto" w:fill="FFFF00"/>
            <w:tcMar>
              <w:left w:w="115" w:type="dxa"/>
              <w:right w:w="115" w:type="dxa"/>
            </w:tcMar>
            <w:vAlign w:val="bottom"/>
          </w:tcPr>
          <w:p w14:paraId="497F8BB0" w14:textId="77777777" w:rsidR="00724034" w:rsidRDefault="00724034">
            <w:pPr>
              <w:jc w:val="right"/>
              <w:rPr>
                <w:rFonts w:ascii="Arial" w:eastAsia="Arial" w:hAnsi="Arial" w:cs="Arial"/>
                <w:color w:val="000000"/>
                <w:sz w:val="16"/>
                <w:vertAlign w:val="superscript"/>
              </w:rPr>
            </w:pPr>
          </w:p>
        </w:tc>
        <w:tc>
          <w:tcPr>
            <w:tcW w:w="975" w:type="dxa"/>
            <w:tcBorders>
              <w:top w:val="nil"/>
              <w:left w:val="nil"/>
              <w:bottom w:val="nil"/>
              <w:right w:val="nil"/>
              <w:tl2br w:val="nil"/>
              <w:tr2bl w:val="nil"/>
            </w:tcBorders>
            <w:shd w:val="clear" w:color="auto" w:fill="FFFFFF"/>
            <w:tcMar>
              <w:left w:w="115" w:type="dxa"/>
              <w:right w:w="115" w:type="dxa"/>
            </w:tcMar>
            <w:vAlign w:val="bottom"/>
          </w:tcPr>
          <w:p w14:paraId="3D1EC524" w14:textId="77777777" w:rsidR="00724034" w:rsidRDefault="00724034">
            <w:pPr>
              <w:jc w:val="right"/>
              <w:rPr>
                <w:rFonts w:ascii="Arial" w:eastAsia="Arial" w:hAnsi="Arial" w:cs="Arial"/>
                <w:color w:val="000000"/>
                <w:sz w:val="16"/>
                <w:vertAlign w:val="superscript"/>
              </w:rPr>
            </w:pPr>
          </w:p>
        </w:tc>
        <w:tc>
          <w:tcPr>
            <w:tcW w:w="975" w:type="dxa"/>
            <w:tcBorders>
              <w:top w:val="nil"/>
              <w:left w:val="nil"/>
              <w:bottom w:val="nil"/>
              <w:right w:val="nil"/>
              <w:tl2br w:val="nil"/>
              <w:tr2bl w:val="nil"/>
            </w:tcBorders>
            <w:shd w:val="clear" w:color="auto" w:fill="FFFFFF"/>
            <w:tcMar>
              <w:left w:w="115" w:type="dxa"/>
              <w:right w:w="115" w:type="dxa"/>
            </w:tcMar>
            <w:vAlign w:val="bottom"/>
          </w:tcPr>
          <w:p w14:paraId="607DC6A0" w14:textId="77777777" w:rsidR="00724034" w:rsidRDefault="00724034">
            <w:pPr>
              <w:jc w:val="right"/>
              <w:rPr>
                <w:rFonts w:ascii="Arial" w:eastAsia="Arial" w:hAnsi="Arial" w:cs="Arial"/>
                <w:color w:val="000000"/>
                <w:sz w:val="16"/>
                <w:vertAlign w:val="superscript"/>
              </w:rPr>
            </w:pPr>
          </w:p>
        </w:tc>
        <w:tc>
          <w:tcPr>
            <w:tcW w:w="975" w:type="dxa"/>
            <w:gridSpan w:val="2"/>
            <w:tcBorders>
              <w:top w:val="nil"/>
              <w:left w:val="nil"/>
              <w:bottom w:val="nil"/>
              <w:right w:val="single" w:sz="6" w:space="0" w:color="000000"/>
              <w:tl2br w:val="nil"/>
              <w:tr2bl w:val="nil"/>
            </w:tcBorders>
            <w:shd w:val="clear" w:color="auto" w:fill="FFFFFF"/>
            <w:tcMar>
              <w:left w:w="115" w:type="dxa"/>
              <w:right w:w="115" w:type="dxa"/>
            </w:tcMar>
            <w:vAlign w:val="bottom"/>
          </w:tcPr>
          <w:p w14:paraId="5439CC14" w14:textId="77777777" w:rsidR="00724034" w:rsidRDefault="00724034">
            <w:pPr>
              <w:jc w:val="right"/>
              <w:rPr>
                <w:rFonts w:ascii="Arial" w:eastAsia="Arial" w:hAnsi="Arial" w:cs="Arial"/>
                <w:color w:val="000000"/>
                <w:sz w:val="16"/>
                <w:vertAlign w:val="superscript"/>
              </w:rPr>
            </w:pPr>
          </w:p>
        </w:tc>
      </w:tr>
      <w:tr w:rsidR="00724034" w14:paraId="1AFDBC6E" w14:textId="77777777">
        <w:trPr>
          <w:trHeight w:val="225"/>
        </w:trPr>
        <w:tc>
          <w:tcPr>
            <w:tcW w:w="180" w:type="dxa"/>
            <w:gridSpan w:val="2"/>
            <w:tcBorders>
              <w:top w:val="single" w:sz="6" w:space="0" w:color="FFFFFF"/>
              <w:left w:val="single" w:sz="6" w:space="0" w:color="000000"/>
              <w:bottom w:val="nil"/>
              <w:right w:val="nil"/>
              <w:tl2br w:val="nil"/>
              <w:tr2bl w:val="nil"/>
            </w:tcBorders>
            <w:shd w:val="clear" w:color="auto" w:fill="FFFFFF"/>
            <w:tcMar>
              <w:left w:w="115" w:type="dxa"/>
              <w:right w:w="115" w:type="dxa"/>
            </w:tcMar>
            <w:vAlign w:val="bottom"/>
          </w:tcPr>
          <w:p w14:paraId="4CCC0A0C" w14:textId="77777777" w:rsidR="00724034" w:rsidRDefault="00724034">
            <w:pPr>
              <w:rPr>
                <w:rFonts w:ascii="Arial" w:eastAsia="Arial" w:hAnsi="Arial" w:cs="Arial"/>
                <w:color w:val="000000"/>
                <w:sz w:val="16"/>
                <w:vertAlign w:val="superscript"/>
              </w:rPr>
            </w:pPr>
          </w:p>
        </w:tc>
        <w:tc>
          <w:tcPr>
            <w:tcW w:w="180" w:type="dxa"/>
            <w:tcBorders>
              <w:top w:val="single" w:sz="6" w:space="0" w:color="FFFFFF"/>
              <w:left w:val="nil"/>
              <w:bottom w:val="nil"/>
              <w:right w:val="nil"/>
              <w:tl2br w:val="nil"/>
              <w:tr2bl w:val="nil"/>
            </w:tcBorders>
            <w:shd w:val="clear" w:color="auto" w:fill="FFFFFF"/>
            <w:tcMar>
              <w:left w:w="115" w:type="dxa"/>
              <w:right w:w="115" w:type="dxa"/>
            </w:tcMar>
            <w:vAlign w:val="bottom"/>
          </w:tcPr>
          <w:p w14:paraId="4AAA48CC" w14:textId="77777777" w:rsidR="00724034" w:rsidRDefault="00724034">
            <w:pPr>
              <w:rPr>
                <w:rFonts w:ascii="Arial" w:eastAsia="Arial" w:hAnsi="Arial" w:cs="Arial"/>
                <w:color w:val="000000"/>
                <w:sz w:val="16"/>
                <w:vertAlign w:val="superscript"/>
              </w:rPr>
            </w:pPr>
          </w:p>
        </w:tc>
        <w:tc>
          <w:tcPr>
            <w:tcW w:w="2805" w:type="dxa"/>
            <w:tcBorders>
              <w:top w:val="single" w:sz="6" w:space="0" w:color="FFFFFF"/>
              <w:left w:val="nil"/>
              <w:bottom w:val="nil"/>
              <w:right w:val="nil"/>
              <w:tl2br w:val="nil"/>
              <w:tr2bl w:val="nil"/>
            </w:tcBorders>
            <w:shd w:val="clear" w:color="auto" w:fill="FFFFFF"/>
            <w:tcMar>
              <w:left w:w="115" w:type="dxa"/>
              <w:right w:w="115" w:type="dxa"/>
            </w:tcMar>
            <w:vAlign w:val="bottom"/>
          </w:tcPr>
          <w:p w14:paraId="01B79D2B" w14:textId="77777777" w:rsidR="00724034" w:rsidRDefault="00FB7D0B">
            <w:pPr>
              <w:rPr>
                <w:rFonts w:ascii="Arial" w:eastAsia="Arial" w:hAnsi="Arial" w:cs="Arial"/>
                <w:color w:val="000000"/>
                <w:sz w:val="16"/>
                <w:vertAlign w:val="superscript"/>
              </w:rPr>
            </w:pPr>
            <w:r>
              <w:rPr>
                <w:rFonts w:ascii="Arial" w:eastAsia="Arial" w:hAnsi="Arial" w:cs="Arial"/>
                <w:color w:val="000000"/>
                <w:sz w:val="16"/>
              </w:rPr>
              <w:t>Australians at War</w:t>
            </w:r>
          </w:p>
        </w:tc>
        <w:tc>
          <w:tcPr>
            <w:tcW w:w="975" w:type="dxa"/>
            <w:tcBorders>
              <w:top w:val="nil"/>
              <w:left w:val="nil"/>
              <w:bottom w:val="nil"/>
              <w:right w:val="nil"/>
              <w:tl2br w:val="nil"/>
              <w:tr2bl w:val="nil"/>
            </w:tcBorders>
            <w:shd w:val="clear" w:color="auto" w:fill="FFFFFF"/>
            <w:tcMar>
              <w:left w:w="115" w:type="dxa"/>
              <w:right w:w="115" w:type="dxa"/>
            </w:tcMar>
            <w:vAlign w:val="bottom"/>
          </w:tcPr>
          <w:p w14:paraId="7C15330A" w14:textId="77777777" w:rsidR="00724034" w:rsidRDefault="00FB7D0B">
            <w:pPr>
              <w:jc w:val="right"/>
              <w:rPr>
                <w:rFonts w:ascii="Arial" w:eastAsia="Arial" w:hAnsi="Arial" w:cs="Arial"/>
                <w:color w:val="000000"/>
                <w:sz w:val="16"/>
                <w:vertAlign w:val="superscript"/>
              </w:rPr>
            </w:pPr>
            <w:r>
              <w:rPr>
                <w:rFonts w:ascii="Arial" w:eastAsia="Arial" w:hAnsi="Arial" w:cs="Arial"/>
                <w:color w:val="000000"/>
                <w:sz w:val="16"/>
              </w:rPr>
              <w:t xml:space="preserve"> 1 </w:t>
            </w:r>
          </w:p>
        </w:tc>
        <w:tc>
          <w:tcPr>
            <w:tcW w:w="975" w:type="dxa"/>
            <w:tcBorders>
              <w:top w:val="nil"/>
              <w:left w:val="nil"/>
              <w:bottom w:val="nil"/>
              <w:right w:val="nil"/>
              <w:tl2br w:val="nil"/>
              <w:tr2bl w:val="nil"/>
            </w:tcBorders>
            <w:shd w:val="clear" w:color="auto" w:fill="FFFF00"/>
            <w:tcMar>
              <w:left w:w="115" w:type="dxa"/>
              <w:right w:w="115" w:type="dxa"/>
            </w:tcMar>
            <w:vAlign w:val="bottom"/>
          </w:tcPr>
          <w:p w14:paraId="5453FE38" w14:textId="77777777" w:rsidR="00724034" w:rsidRDefault="00FB7D0B">
            <w:pPr>
              <w:jc w:val="right"/>
              <w:rPr>
                <w:rFonts w:ascii="Arial" w:eastAsia="Arial" w:hAnsi="Arial" w:cs="Arial"/>
                <w:color w:val="000000"/>
                <w:sz w:val="16"/>
              </w:rPr>
            </w:pPr>
            <w:r>
              <w:rPr>
                <w:rFonts w:ascii="Arial" w:eastAsia="Arial" w:hAnsi="Arial" w:cs="Arial"/>
                <w:color w:val="000000"/>
                <w:sz w:val="16"/>
              </w:rPr>
              <w:t xml:space="preserve"> 1 </w:t>
            </w:r>
          </w:p>
        </w:tc>
        <w:tc>
          <w:tcPr>
            <w:tcW w:w="975" w:type="dxa"/>
            <w:tcBorders>
              <w:top w:val="nil"/>
              <w:left w:val="nil"/>
              <w:bottom w:val="nil"/>
              <w:right w:val="nil"/>
              <w:tl2br w:val="nil"/>
              <w:tr2bl w:val="nil"/>
            </w:tcBorders>
            <w:shd w:val="clear" w:color="auto" w:fill="FFFFFF"/>
            <w:tcMar>
              <w:left w:w="115" w:type="dxa"/>
              <w:right w:w="115" w:type="dxa"/>
            </w:tcMar>
            <w:vAlign w:val="bottom"/>
          </w:tcPr>
          <w:p w14:paraId="354C975E" w14:textId="77777777" w:rsidR="00724034" w:rsidRDefault="00FB7D0B">
            <w:pPr>
              <w:jc w:val="right"/>
              <w:rPr>
                <w:rFonts w:ascii="Arial" w:eastAsia="Arial" w:hAnsi="Arial" w:cs="Arial"/>
                <w:color w:val="000000"/>
                <w:sz w:val="16"/>
              </w:rPr>
            </w:pPr>
            <w:r>
              <w:rPr>
                <w:rFonts w:ascii="Arial" w:eastAsia="Arial" w:hAnsi="Arial" w:cs="Arial"/>
                <w:color w:val="000000"/>
                <w:sz w:val="16"/>
              </w:rPr>
              <w:t xml:space="preserve"> 1 </w:t>
            </w:r>
          </w:p>
        </w:tc>
        <w:tc>
          <w:tcPr>
            <w:tcW w:w="975" w:type="dxa"/>
            <w:tcBorders>
              <w:top w:val="nil"/>
              <w:left w:val="nil"/>
              <w:bottom w:val="nil"/>
              <w:right w:val="nil"/>
              <w:tl2br w:val="nil"/>
              <w:tr2bl w:val="nil"/>
            </w:tcBorders>
            <w:shd w:val="clear" w:color="auto" w:fill="FFFFFF"/>
            <w:tcMar>
              <w:left w:w="115" w:type="dxa"/>
              <w:right w:w="115" w:type="dxa"/>
            </w:tcMar>
            <w:vAlign w:val="bottom"/>
          </w:tcPr>
          <w:p w14:paraId="5657AFA3" w14:textId="77777777" w:rsidR="00724034" w:rsidRDefault="00FB7D0B">
            <w:pPr>
              <w:jc w:val="right"/>
              <w:rPr>
                <w:rFonts w:ascii="Arial" w:eastAsia="Arial" w:hAnsi="Arial" w:cs="Arial"/>
                <w:color w:val="000000"/>
                <w:sz w:val="16"/>
              </w:rPr>
            </w:pPr>
            <w:r>
              <w:rPr>
                <w:rFonts w:ascii="Arial" w:eastAsia="Arial" w:hAnsi="Arial" w:cs="Arial"/>
                <w:color w:val="000000"/>
                <w:sz w:val="16"/>
              </w:rPr>
              <w:t xml:space="preserve"> 1 </w:t>
            </w:r>
          </w:p>
        </w:tc>
        <w:tc>
          <w:tcPr>
            <w:tcW w:w="975" w:type="dxa"/>
            <w:gridSpan w:val="2"/>
            <w:tcBorders>
              <w:top w:val="nil"/>
              <w:left w:val="nil"/>
              <w:bottom w:val="nil"/>
              <w:right w:val="single" w:sz="6" w:space="0" w:color="000000"/>
              <w:tl2br w:val="nil"/>
              <w:tr2bl w:val="nil"/>
            </w:tcBorders>
            <w:shd w:val="clear" w:color="auto" w:fill="FFFFFF"/>
            <w:tcMar>
              <w:left w:w="115" w:type="dxa"/>
              <w:right w:w="115" w:type="dxa"/>
            </w:tcMar>
            <w:vAlign w:val="bottom"/>
          </w:tcPr>
          <w:p w14:paraId="7CF9ECC8" w14:textId="77777777" w:rsidR="00724034" w:rsidRDefault="00FB7D0B">
            <w:pPr>
              <w:jc w:val="right"/>
              <w:rPr>
                <w:rFonts w:ascii="Arial" w:eastAsia="Arial" w:hAnsi="Arial" w:cs="Arial"/>
                <w:color w:val="000000"/>
                <w:sz w:val="16"/>
              </w:rPr>
            </w:pPr>
            <w:r>
              <w:rPr>
                <w:rFonts w:ascii="Arial" w:eastAsia="Arial" w:hAnsi="Arial" w:cs="Arial"/>
                <w:color w:val="000000"/>
                <w:sz w:val="16"/>
              </w:rPr>
              <w:t xml:space="preserve"> 1 </w:t>
            </w:r>
          </w:p>
        </w:tc>
      </w:tr>
      <w:tr w:rsidR="00724034" w14:paraId="0B8DF01E" w14:textId="77777777">
        <w:trPr>
          <w:trHeight w:val="405"/>
        </w:trPr>
        <w:tc>
          <w:tcPr>
            <w:tcW w:w="180" w:type="dxa"/>
            <w:gridSpan w:val="2"/>
            <w:tcBorders>
              <w:top w:val="nil"/>
              <w:left w:val="single" w:sz="6" w:space="0" w:color="000000"/>
              <w:bottom w:val="nil"/>
              <w:right w:val="nil"/>
              <w:tl2br w:val="nil"/>
              <w:tr2bl w:val="nil"/>
            </w:tcBorders>
            <w:shd w:val="clear" w:color="auto" w:fill="FFFFFF"/>
            <w:tcMar>
              <w:left w:w="115" w:type="dxa"/>
              <w:right w:w="115" w:type="dxa"/>
            </w:tcMar>
            <w:vAlign w:val="bottom"/>
          </w:tcPr>
          <w:p w14:paraId="13328089" w14:textId="77777777" w:rsidR="00724034" w:rsidRDefault="00724034">
            <w:pPr>
              <w:rPr>
                <w:rFonts w:ascii="Arial" w:eastAsia="Arial" w:hAnsi="Arial" w:cs="Arial"/>
                <w:color w:val="000000"/>
                <w:sz w:val="16"/>
              </w:rPr>
            </w:pPr>
          </w:p>
        </w:tc>
        <w:tc>
          <w:tcPr>
            <w:tcW w:w="180" w:type="dxa"/>
            <w:tcBorders>
              <w:top w:val="nil"/>
              <w:left w:val="nil"/>
              <w:bottom w:val="nil"/>
              <w:right w:val="nil"/>
              <w:tl2br w:val="nil"/>
              <w:tr2bl w:val="nil"/>
            </w:tcBorders>
            <w:shd w:val="clear" w:color="auto" w:fill="FFFFFF"/>
            <w:tcMar>
              <w:left w:w="115" w:type="dxa"/>
              <w:right w:w="115" w:type="dxa"/>
            </w:tcMar>
            <w:vAlign w:val="bottom"/>
          </w:tcPr>
          <w:p w14:paraId="1379C091" w14:textId="77777777" w:rsidR="00724034" w:rsidRDefault="00724034">
            <w:pPr>
              <w:rPr>
                <w:rFonts w:ascii="Arial" w:eastAsia="Arial" w:hAnsi="Arial" w:cs="Arial"/>
                <w:color w:val="000000"/>
                <w:sz w:val="16"/>
              </w:rPr>
            </w:pPr>
          </w:p>
        </w:tc>
        <w:tc>
          <w:tcPr>
            <w:tcW w:w="2805" w:type="dxa"/>
            <w:tcBorders>
              <w:top w:val="nil"/>
              <w:left w:val="nil"/>
              <w:bottom w:val="nil"/>
              <w:right w:val="nil"/>
              <w:tl2br w:val="nil"/>
              <w:tr2bl w:val="nil"/>
            </w:tcBorders>
            <w:shd w:val="clear" w:color="auto" w:fill="FFFFFF"/>
            <w:tcMar>
              <w:left w:w="115" w:type="dxa"/>
              <w:right w:w="115" w:type="dxa"/>
            </w:tcMar>
            <w:vAlign w:val="bottom"/>
          </w:tcPr>
          <w:p w14:paraId="40DD4860" w14:textId="77777777" w:rsidR="00724034" w:rsidRDefault="00FB7D0B">
            <w:pPr>
              <w:rPr>
                <w:rFonts w:ascii="Arial" w:eastAsia="Arial" w:hAnsi="Arial" w:cs="Arial"/>
                <w:color w:val="000000"/>
                <w:sz w:val="16"/>
              </w:rPr>
            </w:pPr>
            <w:r>
              <w:rPr>
                <w:rFonts w:ascii="Arial" w:eastAsia="Arial" w:hAnsi="Arial" w:cs="Arial"/>
                <w:color w:val="000000"/>
                <w:sz w:val="16"/>
              </w:rPr>
              <w:t>Services for Other Entity and Trust Moneys</w:t>
            </w:r>
          </w:p>
        </w:tc>
        <w:tc>
          <w:tcPr>
            <w:tcW w:w="975" w:type="dxa"/>
            <w:tcBorders>
              <w:top w:val="nil"/>
              <w:left w:val="nil"/>
              <w:bottom w:val="nil"/>
              <w:right w:val="nil"/>
              <w:tl2br w:val="nil"/>
              <w:tr2bl w:val="nil"/>
            </w:tcBorders>
            <w:shd w:val="clear" w:color="auto" w:fill="FFFFFF"/>
            <w:tcMar>
              <w:left w:w="115" w:type="dxa"/>
              <w:right w:w="115" w:type="dxa"/>
            </w:tcMar>
            <w:vAlign w:val="bottom"/>
          </w:tcPr>
          <w:p w14:paraId="042E7294" w14:textId="77777777" w:rsidR="00724034" w:rsidRDefault="00FB7D0B">
            <w:pPr>
              <w:jc w:val="right"/>
              <w:rPr>
                <w:rFonts w:ascii="Arial" w:eastAsia="Arial" w:hAnsi="Arial" w:cs="Arial"/>
                <w:color w:val="000000"/>
                <w:sz w:val="16"/>
                <w:vertAlign w:val="superscript"/>
              </w:rPr>
            </w:pPr>
            <w:r>
              <w:rPr>
                <w:rFonts w:ascii="Arial" w:eastAsia="Arial" w:hAnsi="Arial" w:cs="Arial"/>
                <w:color w:val="000000"/>
                <w:sz w:val="16"/>
              </w:rPr>
              <w:t xml:space="preserve"> 60 </w:t>
            </w:r>
          </w:p>
        </w:tc>
        <w:tc>
          <w:tcPr>
            <w:tcW w:w="975" w:type="dxa"/>
            <w:tcBorders>
              <w:top w:val="nil"/>
              <w:left w:val="nil"/>
              <w:bottom w:val="nil"/>
              <w:right w:val="nil"/>
              <w:tl2br w:val="nil"/>
              <w:tr2bl w:val="nil"/>
            </w:tcBorders>
            <w:shd w:val="clear" w:color="auto" w:fill="FFFF00"/>
            <w:tcMar>
              <w:left w:w="115" w:type="dxa"/>
              <w:right w:w="115" w:type="dxa"/>
            </w:tcMar>
            <w:vAlign w:val="bottom"/>
          </w:tcPr>
          <w:p w14:paraId="04EE5A3B" w14:textId="77777777" w:rsidR="00724034" w:rsidRDefault="00FB7D0B">
            <w:pPr>
              <w:jc w:val="right"/>
              <w:rPr>
                <w:rFonts w:ascii="Arial" w:eastAsia="Arial" w:hAnsi="Arial" w:cs="Arial"/>
                <w:color w:val="000000"/>
                <w:sz w:val="16"/>
              </w:rPr>
            </w:pPr>
            <w:r>
              <w:rPr>
                <w:rFonts w:ascii="Arial" w:eastAsia="Arial" w:hAnsi="Arial" w:cs="Arial"/>
                <w:color w:val="000000"/>
                <w:sz w:val="16"/>
              </w:rPr>
              <w:t xml:space="preserve"> 60 </w:t>
            </w:r>
          </w:p>
        </w:tc>
        <w:tc>
          <w:tcPr>
            <w:tcW w:w="975" w:type="dxa"/>
            <w:tcBorders>
              <w:top w:val="nil"/>
              <w:left w:val="nil"/>
              <w:bottom w:val="nil"/>
              <w:right w:val="nil"/>
              <w:tl2br w:val="nil"/>
              <w:tr2bl w:val="nil"/>
            </w:tcBorders>
            <w:shd w:val="clear" w:color="auto" w:fill="FFFFFF"/>
            <w:tcMar>
              <w:left w:w="115" w:type="dxa"/>
              <w:right w:w="115" w:type="dxa"/>
            </w:tcMar>
            <w:vAlign w:val="bottom"/>
          </w:tcPr>
          <w:p w14:paraId="47084154" w14:textId="77777777" w:rsidR="00724034" w:rsidRDefault="00FB7D0B">
            <w:pPr>
              <w:jc w:val="right"/>
              <w:rPr>
                <w:rFonts w:ascii="Arial" w:eastAsia="Arial" w:hAnsi="Arial" w:cs="Arial"/>
                <w:color w:val="000000"/>
                <w:sz w:val="16"/>
              </w:rPr>
            </w:pPr>
            <w:r>
              <w:rPr>
                <w:rFonts w:ascii="Arial" w:eastAsia="Arial" w:hAnsi="Arial" w:cs="Arial"/>
                <w:color w:val="000000"/>
                <w:sz w:val="16"/>
              </w:rPr>
              <w:t xml:space="preserve"> 60 </w:t>
            </w:r>
          </w:p>
        </w:tc>
        <w:tc>
          <w:tcPr>
            <w:tcW w:w="975" w:type="dxa"/>
            <w:tcBorders>
              <w:top w:val="nil"/>
              <w:left w:val="nil"/>
              <w:bottom w:val="nil"/>
              <w:right w:val="nil"/>
              <w:tl2br w:val="nil"/>
              <w:tr2bl w:val="nil"/>
            </w:tcBorders>
            <w:shd w:val="clear" w:color="auto" w:fill="FFFFFF"/>
            <w:tcMar>
              <w:left w:w="115" w:type="dxa"/>
              <w:right w:w="115" w:type="dxa"/>
            </w:tcMar>
            <w:vAlign w:val="bottom"/>
          </w:tcPr>
          <w:p w14:paraId="22BF20B0" w14:textId="77777777" w:rsidR="00724034" w:rsidRDefault="00FB7D0B">
            <w:pPr>
              <w:jc w:val="right"/>
              <w:rPr>
                <w:rFonts w:ascii="Arial" w:eastAsia="Arial" w:hAnsi="Arial" w:cs="Arial"/>
                <w:color w:val="000000"/>
                <w:sz w:val="16"/>
              </w:rPr>
            </w:pPr>
            <w:r>
              <w:rPr>
                <w:rFonts w:ascii="Arial" w:eastAsia="Arial" w:hAnsi="Arial" w:cs="Arial"/>
                <w:color w:val="000000"/>
                <w:sz w:val="16"/>
              </w:rPr>
              <w:t xml:space="preserve"> 60 </w:t>
            </w:r>
          </w:p>
        </w:tc>
        <w:tc>
          <w:tcPr>
            <w:tcW w:w="975" w:type="dxa"/>
            <w:gridSpan w:val="2"/>
            <w:tcBorders>
              <w:top w:val="nil"/>
              <w:left w:val="nil"/>
              <w:bottom w:val="nil"/>
              <w:right w:val="single" w:sz="6" w:space="0" w:color="000000"/>
              <w:tl2br w:val="nil"/>
              <w:tr2bl w:val="nil"/>
            </w:tcBorders>
            <w:shd w:val="clear" w:color="auto" w:fill="FFFFFF"/>
            <w:tcMar>
              <w:left w:w="115" w:type="dxa"/>
              <w:right w:w="115" w:type="dxa"/>
            </w:tcMar>
            <w:vAlign w:val="bottom"/>
          </w:tcPr>
          <w:p w14:paraId="1955CC5E" w14:textId="77777777" w:rsidR="00724034" w:rsidRDefault="00FB7D0B">
            <w:pPr>
              <w:jc w:val="right"/>
              <w:rPr>
                <w:rFonts w:ascii="Arial" w:eastAsia="Arial" w:hAnsi="Arial" w:cs="Arial"/>
                <w:color w:val="000000"/>
                <w:sz w:val="16"/>
              </w:rPr>
            </w:pPr>
            <w:r>
              <w:rPr>
                <w:rFonts w:ascii="Arial" w:eastAsia="Arial" w:hAnsi="Arial" w:cs="Arial"/>
                <w:color w:val="000000"/>
                <w:sz w:val="16"/>
              </w:rPr>
              <w:t xml:space="preserve"> 20 </w:t>
            </w:r>
          </w:p>
        </w:tc>
      </w:tr>
      <w:tr w:rsidR="00724034" w14:paraId="6B731DBA" w14:textId="77777777">
        <w:trPr>
          <w:trHeight w:val="195"/>
        </w:trPr>
        <w:tc>
          <w:tcPr>
            <w:tcW w:w="180" w:type="dxa"/>
            <w:gridSpan w:val="2"/>
            <w:tcBorders>
              <w:top w:val="nil"/>
              <w:left w:val="single" w:sz="6" w:space="0" w:color="000000"/>
              <w:bottom w:val="nil"/>
              <w:right w:val="nil"/>
              <w:tl2br w:val="nil"/>
              <w:tr2bl w:val="nil"/>
            </w:tcBorders>
            <w:shd w:val="clear" w:color="auto" w:fill="FFFFFF"/>
            <w:tcMar>
              <w:left w:w="115" w:type="dxa"/>
              <w:right w:w="115" w:type="dxa"/>
            </w:tcMar>
            <w:vAlign w:val="bottom"/>
          </w:tcPr>
          <w:p w14:paraId="5F416AB1" w14:textId="77777777" w:rsidR="00724034" w:rsidRDefault="00724034">
            <w:pPr>
              <w:rPr>
                <w:rFonts w:ascii="Arial" w:eastAsia="Arial" w:hAnsi="Arial" w:cs="Arial"/>
                <w:color w:val="000000"/>
                <w:sz w:val="16"/>
              </w:rPr>
            </w:pPr>
          </w:p>
        </w:tc>
        <w:tc>
          <w:tcPr>
            <w:tcW w:w="180" w:type="dxa"/>
            <w:tcBorders>
              <w:top w:val="nil"/>
              <w:left w:val="nil"/>
              <w:bottom w:val="nil"/>
              <w:right w:val="nil"/>
              <w:tl2br w:val="nil"/>
              <w:tr2bl w:val="nil"/>
            </w:tcBorders>
            <w:shd w:val="clear" w:color="auto" w:fill="FFFFFF"/>
            <w:tcMar>
              <w:left w:w="115" w:type="dxa"/>
              <w:right w:w="115" w:type="dxa"/>
            </w:tcMar>
            <w:vAlign w:val="bottom"/>
          </w:tcPr>
          <w:p w14:paraId="6BA6E030" w14:textId="77777777" w:rsidR="00724034" w:rsidRDefault="00724034">
            <w:pPr>
              <w:rPr>
                <w:rFonts w:ascii="Arial" w:eastAsia="Arial" w:hAnsi="Arial" w:cs="Arial"/>
                <w:color w:val="000000"/>
                <w:sz w:val="16"/>
              </w:rPr>
            </w:pPr>
          </w:p>
        </w:tc>
        <w:tc>
          <w:tcPr>
            <w:tcW w:w="2805" w:type="dxa"/>
            <w:tcBorders>
              <w:top w:val="nil"/>
              <w:left w:val="nil"/>
              <w:bottom w:val="nil"/>
              <w:right w:val="nil"/>
              <w:tl2br w:val="nil"/>
              <w:tr2bl w:val="nil"/>
            </w:tcBorders>
            <w:shd w:val="clear" w:color="auto" w:fill="FFFFFF"/>
            <w:tcMar>
              <w:left w:w="115" w:type="dxa"/>
              <w:right w:w="115" w:type="dxa"/>
            </w:tcMar>
            <w:vAlign w:val="bottom"/>
          </w:tcPr>
          <w:p w14:paraId="7BF3941C" w14:textId="77777777" w:rsidR="00724034" w:rsidRDefault="00FB7D0B">
            <w:pPr>
              <w:rPr>
                <w:rFonts w:ascii="Arial" w:eastAsia="Arial" w:hAnsi="Arial" w:cs="Arial"/>
                <w:color w:val="000000"/>
                <w:sz w:val="16"/>
              </w:rPr>
            </w:pPr>
            <w:r>
              <w:rPr>
                <w:rFonts w:ascii="Arial" w:eastAsia="Arial" w:hAnsi="Arial" w:cs="Arial"/>
                <w:color w:val="000000"/>
                <w:sz w:val="16"/>
              </w:rPr>
              <w:t>Anzac Centenary Public Fund</w:t>
            </w:r>
          </w:p>
        </w:tc>
        <w:tc>
          <w:tcPr>
            <w:tcW w:w="975" w:type="dxa"/>
            <w:tcBorders>
              <w:top w:val="nil"/>
              <w:left w:val="nil"/>
              <w:bottom w:val="nil"/>
              <w:right w:val="nil"/>
              <w:tl2br w:val="nil"/>
              <w:tr2bl w:val="nil"/>
            </w:tcBorders>
            <w:shd w:val="clear" w:color="auto" w:fill="FFFFFF"/>
            <w:tcMar>
              <w:left w:w="115" w:type="dxa"/>
              <w:right w:w="115" w:type="dxa"/>
            </w:tcMar>
            <w:vAlign w:val="bottom"/>
          </w:tcPr>
          <w:p w14:paraId="4A85EDFB" w14:textId="77777777" w:rsidR="00724034" w:rsidRDefault="00FB7D0B">
            <w:pPr>
              <w:jc w:val="right"/>
              <w:rPr>
                <w:rFonts w:ascii="Arial" w:eastAsia="Arial" w:hAnsi="Arial" w:cs="Arial"/>
                <w:color w:val="000000"/>
                <w:sz w:val="16"/>
                <w:vertAlign w:val="superscript"/>
              </w:rPr>
            </w:pPr>
            <w:r>
              <w:rPr>
                <w:rFonts w:ascii="Arial" w:eastAsia="Arial" w:hAnsi="Arial" w:cs="Arial"/>
                <w:color w:val="000000"/>
                <w:sz w:val="16"/>
              </w:rPr>
              <w:t xml:space="preserve"> - </w:t>
            </w:r>
          </w:p>
        </w:tc>
        <w:tc>
          <w:tcPr>
            <w:tcW w:w="975" w:type="dxa"/>
            <w:tcBorders>
              <w:top w:val="nil"/>
              <w:left w:val="nil"/>
              <w:bottom w:val="nil"/>
              <w:right w:val="nil"/>
              <w:tl2br w:val="nil"/>
              <w:tr2bl w:val="nil"/>
            </w:tcBorders>
            <w:shd w:val="clear" w:color="auto" w:fill="FFFF00"/>
            <w:tcMar>
              <w:left w:w="115" w:type="dxa"/>
              <w:right w:w="115" w:type="dxa"/>
            </w:tcMar>
            <w:vAlign w:val="bottom"/>
          </w:tcPr>
          <w:p w14:paraId="0F07A11C" w14:textId="77777777" w:rsidR="00724034" w:rsidRDefault="00FB7D0B">
            <w:pPr>
              <w:jc w:val="right"/>
              <w:rPr>
                <w:rFonts w:ascii="Arial" w:eastAsia="Arial" w:hAnsi="Arial" w:cs="Arial"/>
                <w:color w:val="000000"/>
                <w:sz w:val="16"/>
              </w:rPr>
            </w:pPr>
            <w:r>
              <w:rPr>
                <w:rFonts w:ascii="Arial" w:eastAsia="Arial" w:hAnsi="Arial" w:cs="Arial"/>
                <w:color w:val="000000"/>
                <w:sz w:val="16"/>
              </w:rPr>
              <w:t xml:space="preserve"> 24,025 </w:t>
            </w:r>
          </w:p>
        </w:tc>
        <w:tc>
          <w:tcPr>
            <w:tcW w:w="975" w:type="dxa"/>
            <w:tcBorders>
              <w:top w:val="nil"/>
              <w:left w:val="nil"/>
              <w:bottom w:val="nil"/>
              <w:right w:val="nil"/>
              <w:tl2br w:val="nil"/>
              <w:tr2bl w:val="nil"/>
            </w:tcBorders>
            <w:shd w:val="clear" w:color="auto" w:fill="FFFFFF"/>
            <w:tcMar>
              <w:left w:w="115" w:type="dxa"/>
              <w:right w:w="115" w:type="dxa"/>
            </w:tcMar>
            <w:vAlign w:val="bottom"/>
          </w:tcPr>
          <w:p w14:paraId="32BC6A5E" w14:textId="77777777" w:rsidR="00724034" w:rsidRDefault="00FB7D0B">
            <w:pPr>
              <w:jc w:val="right"/>
              <w:rPr>
                <w:rFonts w:ascii="Arial" w:eastAsia="Arial" w:hAnsi="Arial" w:cs="Arial"/>
                <w:color w:val="000000"/>
                <w:sz w:val="16"/>
              </w:rPr>
            </w:pPr>
            <w:r>
              <w:rPr>
                <w:rFonts w:ascii="Arial" w:eastAsia="Arial" w:hAnsi="Arial" w:cs="Arial"/>
                <w:color w:val="000000"/>
                <w:sz w:val="16"/>
              </w:rPr>
              <w:t xml:space="preserve"> 22,425 </w:t>
            </w:r>
          </w:p>
        </w:tc>
        <w:tc>
          <w:tcPr>
            <w:tcW w:w="975" w:type="dxa"/>
            <w:tcBorders>
              <w:top w:val="nil"/>
              <w:left w:val="nil"/>
              <w:bottom w:val="nil"/>
              <w:right w:val="nil"/>
              <w:tl2br w:val="nil"/>
              <w:tr2bl w:val="nil"/>
            </w:tcBorders>
            <w:shd w:val="clear" w:color="auto" w:fill="FFFFFF"/>
            <w:tcMar>
              <w:left w:w="115" w:type="dxa"/>
              <w:right w:w="115" w:type="dxa"/>
            </w:tcMar>
            <w:vAlign w:val="bottom"/>
          </w:tcPr>
          <w:p w14:paraId="01495EA9" w14:textId="77777777" w:rsidR="00724034" w:rsidRDefault="00FB7D0B">
            <w:pPr>
              <w:jc w:val="right"/>
              <w:rPr>
                <w:rFonts w:ascii="Arial" w:eastAsia="Arial" w:hAnsi="Arial" w:cs="Arial"/>
                <w:color w:val="000000"/>
                <w:sz w:val="16"/>
              </w:rPr>
            </w:pPr>
            <w:r>
              <w:rPr>
                <w:rFonts w:ascii="Arial" w:eastAsia="Arial" w:hAnsi="Arial" w:cs="Arial"/>
                <w:color w:val="000000"/>
                <w:sz w:val="16"/>
              </w:rPr>
              <w:t xml:space="preserve"> 19,600 </w:t>
            </w:r>
          </w:p>
        </w:tc>
        <w:tc>
          <w:tcPr>
            <w:tcW w:w="975" w:type="dxa"/>
            <w:gridSpan w:val="2"/>
            <w:tcBorders>
              <w:top w:val="nil"/>
              <w:left w:val="nil"/>
              <w:bottom w:val="nil"/>
              <w:right w:val="single" w:sz="6" w:space="0" w:color="000000"/>
              <w:tl2br w:val="nil"/>
              <w:tr2bl w:val="nil"/>
            </w:tcBorders>
            <w:shd w:val="clear" w:color="auto" w:fill="FFFFFF"/>
            <w:tcMar>
              <w:left w:w="115" w:type="dxa"/>
              <w:right w:w="115" w:type="dxa"/>
            </w:tcMar>
            <w:vAlign w:val="bottom"/>
          </w:tcPr>
          <w:p w14:paraId="76C129F2" w14:textId="77777777" w:rsidR="00724034" w:rsidRDefault="00FB7D0B">
            <w:pPr>
              <w:jc w:val="right"/>
              <w:rPr>
                <w:rFonts w:ascii="Arial" w:eastAsia="Arial" w:hAnsi="Arial" w:cs="Arial"/>
                <w:color w:val="000000"/>
                <w:sz w:val="16"/>
              </w:rPr>
            </w:pPr>
            <w:r>
              <w:rPr>
                <w:rFonts w:ascii="Arial" w:eastAsia="Arial" w:hAnsi="Arial" w:cs="Arial"/>
                <w:color w:val="000000"/>
                <w:sz w:val="16"/>
              </w:rPr>
              <w:t xml:space="preserve"> 8,500 </w:t>
            </w:r>
          </w:p>
        </w:tc>
      </w:tr>
      <w:tr w:rsidR="00FB7D0B" w14:paraId="512D35B3" w14:textId="77777777" w:rsidTr="00FB7D0B">
        <w:trPr>
          <w:trHeight w:val="225"/>
        </w:trPr>
        <w:tc>
          <w:tcPr>
            <w:tcW w:w="3165" w:type="dxa"/>
            <w:gridSpan w:val="4"/>
            <w:vMerge w:val="restart"/>
            <w:tcBorders>
              <w:top w:val="nil"/>
              <w:left w:val="single" w:sz="6" w:space="0" w:color="000000"/>
              <w:bottom w:val="nil"/>
              <w:right w:val="nil"/>
              <w:tl2br w:val="nil"/>
              <w:tr2bl w:val="nil"/>
            </w:tcBorders>
            <w:shd w:val="clear" w:color="auto" w:fill="FFFFFF"/>
            <w:tcMar>
              <w:left w:w="115" w:type="dxa"/>
              <w:right w:w="115" w:type="dxa"/>
            </w:tcMar>
            <w:vAlign w:val="bottom"/>
          </w:tcPr>
          <w:p w14:paraId="3A4854D8" w14:textId="77777777" w:rsidR="00724034" w:rsidRDefault="00FB7D0B">
            <w:pPr>
              <w:rPr>
                <w:rFonts w:ascii="Arial" w:eastAsia="Arial" w:hAnsi="Arial" w:cs="Arial"/>
                <w:color w:val="000000"/>
                <w:sz w:val="16"/>
              </w:rPr>
            </w:pPr>
            <w:r>
              <w:rPr>
                <w:rFonts w:ascii="Arial" w:eastAsia="Arial" w:hAnsi="Arial" w:cs="Arial"/>
                <w:color w:val="000000"/>
                <w:sz w:val="16"/>
              </w:rPr>
              <w:t>Programme support</w:t>
            </w:r>
          </w:p>
        </w:tc>
        <w:tc>
          <w:tcPr>
            <w:tcW w:w="975" w:type="dxa"/>
            <w:tcBorders>
              <w:top w:val="nil"/>
              <w:left w:val="nil"/>
              <w:bottom w:val="nil"/>
              <w:right w:val="nil"/>
              <w:tl2br w:val="nil"/>
              <w:tr2bl w:val="nil"/>
            </w:tcBorders>
            <w:shd w:val="clear" w:color="auto" w:fill="FFFFFF"/>
            <w:tcMar>
              <w:left w:w="115" w:type="dxa"/>
              <w:right w:w="115" w:type="dxa"/>
            </w:tcMar>
            <w:vAlign w:val="bottom"/>
          </w:tcPr>
          <w:p w14:paraId="03EBA815" w14:textId="77777777" w:rsidR="00724034" w:rsidRDefault="00FB7D0B">
            <w:pPr>
              <w:jc w:val="right"/>
              <w:rPr>
                <w:rFonts w:ascii="Arial" w:eastAsia="Arial" w:hAnsi="Arial" w:cs="Arial"/>
                <w:color w:val="000000"/>
                <w:sz w:val="16"/>
                <w:vertAlign w:val="superscript"/>
              </w:rPr>
            </w:pPr>
            <w:r>
              <w:rPr>
                <w:rFonts w:ascii="Arial" w:eastAsia="Arial" w:hAnsi="Arial" w:cs="Arial"/>
                <w:color w:val="000000"/>
                <w:sz w:val="16"/>
              </w:rPr>
              <w:t xml:space="preserve"> 21,139 </w:t>
            </w:r>
          </w:p>
        </w:tc>
        <w:tc>
          <w:tcPr>
            <w:tcW w:w="975" w:type="dxa"/>
            <w:tcBorders>
              <w:top w:val="nil"/>
              <w:left w:val="nil"/>
              <w:bottom w:val="nil"/>
              <w:right w:val="nil"/>
              <w:tl2br w:val="nil"/>
              <w:tr2bl w:val="nil"/>
            </w:tcBorders>
            <w:shd w:val="clear" w:color="auto" w:fill="FFFF00"/>
            <w:tcMar>
              <w:left w:w="115" w:type="dxa"/>
              <w:right w:w="115" w:type="dxa"/>
            </w:tcMar>
            <w:vAlign w:val="bottom"/>
          </w:tcPr>
          <w:p w14:paraId="029BD74B" w14:textId="77777777" w:rsidR="00724034" w:rsidRDefault="00FB7D0B">
            <w:pPr>
              <w:jc w:val="right"/>
              <w:rPr>
                <w:rFonts w:ascii="Arial" w:eastAsia="Arial" w:hAnsi="Arial" w:cs="Arial"/>
                <w:color w:val="000000"/>
                <w:sz w:val="16"/>
              </w:rPr>
            </w:pPr>
            <w:r>
              <w:rPr>
                <w:rFonts w:ascii="Arial" w:eastAsia="Arial" w:hAnsi="Arial" w:cs="Arial"/>
                <w:color w:val="000000"/>
                <w:sz w:val="16"/>
              </w:rPr>
              <w:t xml:space="preserve"> 20,640 </w:t>
            </w:r>
          </w:p>
        </w:tc>
        <w:tc>
          <w:tcPr>
            <w:tcW w:w="975" w:type="dxa"/>
            <w:tcBorders>
              <w:top w:val="nil"/>
              <w:left w:val="nil"/>
              <w:bottom w:val="nil"/>
              <w:right w:val="nil"/>
              <w:tl2br w:val="nil"/>
              <w:tr2bl w:val="nil"/>
            </w:tcBorders>
            <w:shd w:val="clear" w:color="auto" w:fill="FFFFFF"/>
            <w:tcMar>
              <w:left w:w="115" w:type="dxa"/>
              <w:right w:w="115" w:type="dxa"/>
            </w:tcMar>
            <w:vAlign w:val="bottom"/>
          </w:tcPr>
          <w:p w14:paraId="2F9F0B6C" w14:textId="77777777" w:rsidR="00724034" w:rsidRDefault="00FB7D0B">
            <w:pPr>
              <w:jc w:val="right"/>
              <w:rPr>
                <w:rFonts w:ascii="Arial" w:eastAsia="Arial" w:hAnsi="Arial" w:cs="Arial"/>
                <w:color w:val="000000"/>
                <w:sz w:val="16"/>
              </w:rPr>
            </w:pPr>
            <w:r>
              <w:rPr>
                <w:rFonts w:ascii="Arial" w:eastAsia="Arial" w:hAnsi="Arial" w:cs="Arial"/>
                <w:color w:val="000000"/>
                <w:sz w:val="16"/>
              </w:rPr>
              <w:t xml:space="preserve"> 17,816 </w:t>
            </w:r>
          </w:p>
        </w:tc>
        <w:tc>
          <w:tcPr>
            <w:tcW w:w="975" w:type="dxa"/>
            <w:tcBorders>
              <w:top w:val="nil"/>
              <w:left w:val="nil"/>
              <w:bottom w:val="nil"/>
              <w:right w:val="nil"/>
              <w:tl2br w:val="nil"/>
              <w:tr2bl w:val="nil"/>
            </w:tcBorders>
            <w:shd w:val="clear" w:color="auto" w:fill="FFFFFF"/>
            <w:tcMar>
              <w:left w:w="115" w:type="dxa"/>
              <w:right w:w="115" w:type="dxa"/>
            </w:tcMar>
            <w:vAlign w:val="bottom"/>
          </w:tcPr>
          <w:p w14:paraId="03860A67" w14:textId="77777777" w:rsidR="00724034" w:rsidRDefault="00FB7D0B">
            <w:pPr>
              <w:jc w:val="right"/>
              <w:rPr>
                <w:rFonts w:ascii="Arial" w:eastAsia="Arial" w:hAnsi="Arial" w:cs="Arial"/>
                <w:color w:val="000000"/>
                <w:sz w:val="16"/>
              </w:rPr>
            </w:pPr>
            <w:r>
              <w:rPr>
                <w:rFonts w:ascii="Arial" w:eastAsia="Arial" w:hAnsi="Arial" w:cs="Arial"/>
                <w:color w:val="000000"/>
                <w:sz w:val="16"/>
              </w:rPr>
              <w:t xml:space="preserve"> 17,348 </w:t>
            </w:r>
          </w:p>
        </w:tc>
        <w:tc>
          <w:tcPr>
            <w:tcW w:w="975" w:type="dxa"/>
            <w:gridSpan w:val="2"/>
            <w:tcBorders>
              <w:top w:val="nil"/>
              <w:left w:val="nil"/>
              <w:bottom w:val="nil"/>
              <w:right w:val="single" w:sz="6" w:space="0" w:color="000000"/>
              <w:tl2br w:val="nil"/>
              <w:tr2bl w:val="nil"/>
            </w:tcBorders>
            <w:shd w:val="clear" w:color="auto" w:fill="FFFFFF"/>
            <w:tcMar>
              <w:left w:w="115" w:type="dxa"/>
              <w:right w:w="115" w:type="dxa"/>
            </w:tcMar>
            <w:vAlign w:val="bottom"/>
          </w:tcPr>
          <w:p w14:paraId="4849C591" w14:textId="77777777" w:rsidR="00724034" w:rsidRDefault="00FB7D0B">
            <w:pPr>
              <w:jc w:val="right"/>
              <w:rPr>
                <w:rFonts w:ascii="Arial" w:eastAsia="Arial" w:hAnsi="Arial" w:cs="Arial"/>
                <w:color w:val="000000"/>
                <w:sz w:val="16"/>
              </w:rPr>
            </w:pPr>
            <w:r>
              <w:rPr>
                <w:rFonts w:ascii="Arial" w:eastAsia="Arial" w:hAnsi="Arial" w:cs="Arial"/>
                <w:color w:val="000000"/>
                <w:sz w:val="16"/>
              </w:rPr>
              <w:t xml:space="preserve"> 17,566 </w:t>
            </w:r>
          </w:p>
        </w:tc>
      </w:tr>
      <w:tr w:rsidR="00FB7D0B" w14:paraId="2C77A45E" w14:textId="77777777" w:rsidTr="00FB7D0B">
        <w:trPr>
          <w:trHeight w:val="420"/>
        </w:trPr>
        <w:tc>
          <w:tcPr>
            <w:tcW w:w="3165" w:type="dxa"/>
            <w:gridSpan w:val="4"/>
            <w:tcBorders>
              <w:top w:val="single" w:sz="6" w:space="0" w:color="FFFFFF"/>
              <w:left w:val="single" w:sz="6" w:space="0" w:color="000000"/>
              <w:bottom w:val="nil"/>
              <w:right w:val="nil"/>
              <w:tl2br w:val="nil"/>
              <w:tr2bl w:val="nil"/>
            </w:tcBorders>
            <w:shd w:val="clear" w:color="auto" w:fill="FFFFFF"/>
            <w:tcMar>
              <w:left w:w="115" w:type="dxa"/>
              <w:right w:w="115" w:type="dxa"/>
            </w:tcMar>
            <w:vAlign w:val="bottom"/>
          </w:tcPr>
          <w:p w14:paraId="4E71EEB1" w14:textId="77777777" w:rsidR="00724034" w:rsidRDefault="00FB7D0B">
            <w:pPr>
              <w:rPr>
                <w:rFonts w:ascii="Arial" w:eastAsia="Arial" w:hAnsi="Arial" w:cs="Arial"/>
                <w:color w:val="000000"/>
                <w:sz w:val="16"/>
              </w:rPr>
            </w:pPr>
            <w:r>
              <w:rPr>
                <w:rFonts w:ascii="Arial" w:eastAsia="Arial" w:hAnsi="Arial" w:cs="Arial"/>
                <w:color w:val="000000"/>
                <w:sz w:val="16"/>
              </w:rPr>
              <w:t>Expenses not requiring appropriation in the Budget year</w:t>
            </w:r>
            <w:r>
              <w:rPr>
                <w:rFonts w:ascii="Arial" w:eastAsia="Arial" w:hAnsi="Arial" w:cs="Arial"/>
                <w:color w:val="000000"/>
                <w:sz w:val="16"/>
                <w:vertAlign w:val="superscript"/>
              </w:rPr>
              <w:t>2 </w:t>
            </w:r>
          </w:p>
        </w:tc>
        <w:tc>
          <w:tcPr>
            <w:tcW w:w="975"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03DECDE7" w14:textId="77777777" w:rsidR="00724034" w:rsidRDefault="00FB7D0B">
            <w:pPr>
              <w:jc w:val="right"/>
              <w:rPr>
                <w:rFonts w:ascii="Arial" w:eastAsia="Arial" w:hAnsi="Arial" w:cs="Arial"/>
                <w:color w:val="000000"/>
                <w:sz w:val="16"/>
                <w:vertAlign w:val="superscript"/>
              </w:rPr>
            </w:pPr>
            <w:r>
              <w:rPr>
                <w:rFonts w:ascii="Arial" w:eastAsia="Arial" w:hAnsi="Arial" w:cs="Arial"/>
                <w:color w:val="000000"/>
                <w:sz w:val="16"/>
              </w:rPr>
              <w:t xml:space="preserve"> 2,116 </w:t>
            </w:r>
          </w:p>
        </w:tc>
        <w:tc>
          <w:tcPr>
            <w:tcW w:w="975" w:type="dxa"/>
            <w:tcBorders>
              <w:top w:val="nil"/>
              <w:left w:val="nil"/>
              <w:bottom w:val="single" w:sz="6" w:space="0" w:color="000000"/>
              <w:right w:val="nil"/>
              <w:tl2br w:val="nil"/>
              <w:tr2bl w:val="nil"/>
            </w:tcBorders>
            <w:shd w:val="clear" w:color="auto" w:fill="FFFF00"/>
            <w:tcMar>
              <w:left w:w="115" w:type="dxa"/>
              <w:right w:w="115" w:type="dxa"/>
            </w:tcMar>
            <w:vAlign w:val="bottom"/>
          </w:tcPr>
          <w:p w14:paraId="158DC2FB" w14:textId="77777777" w:rsidR="00724034" w:rsidRDefault="00FB7D0B">
            <w:pPr>
              <w:jc w:val="right"/>
              <w:rPr>
                <w:rFonts w:ascii="Arial" w:eastAsia="Arial" w:hAnsi="Arial" w:cs="Arial"/>
                <w:color w:val="000000"/>
                <w:sz w:val="16"/>
              </w:rPr>
            </w:pPr>
            <w:r>
              <w:rPr>
                <w:rFonts w:ascii="Arial" w:eastAsia="Arial" w:hAnsi="Arial" w:cs="Arial"/>
                <w:color w:val="000000"/>
                <w:sz w:val="16"/>
              </w:rPr>
              <w:t xml:space="preserve"> 2,363 </w:t>
            </w:r>
          </w:p>
        </w:tc>
        <w:tc>
          <w:tcPr>
            <w:tcW w:w="975"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7A7DC32A" w14:textId="77777777" w:rsidR="00724034" w:rsidRDefault="00FB7D0B">
            <w:pPr>
              <w:jc w:val="right"/>
              <w:rPr>
                <w:rFonts w:ascii="Arial" w:eastAsia="Arial" w:hAnsi="Arial" w:cs="Arial"/>
                <w:color w:val="000000"/>
                <w:sz w:val="16"/>
              </w:rPr>
            </w:pPr>
            <w:r>
              <w:rPr>
                <w:rFonts w:ascii="Arial" w:eastAsia="Arial" w:hAnsi="Arial" w:cs="Arial"/>
                <w:color w:val="000000"/>
                <w:sz w:val="16"/>
              </w:rPr>
              <w:t xml:space="preserve"> 1,929 </w:t>
            </w:r>
          </w:p>
        </w:tc>
        <w:tc>
          <w:tcPr>
            <w:tcW w:w="975"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45B51400" w14:textId="77777777" w:rsidR="00724034" w:rsidRDefault="00FB7D0B">
            <w:pPr>
              <w:jc w:val="right"/>
              <w:rPr>
                <w:rFonts w:ascii="Arial" w:eastAsia="Arial" w:hAnsi="Arial" w:cs="Arial"/>
                <w:color w:val="000000"/>
                <w:sz w:val="16"/>
              </w:rPr>
            </w:pPr>
            <w:r>
              <w:rPr>
                <w:rFonts w:ascii="Arial" w:eastAsia="Arial" w:hAnsi="Arial" w:cs="Arial"/>
                <w:color w:val="000000"/>
                <w:sz w:val="16"/>
              </w:rPr>
              <w:t xml:space="preserve"> 1,768 </w:t>
            </w:r>
          </w:p>
        </w:tc>
        <w:tc>
          <w:tcPr>
            <w:tcW w:w="975" w:type="dxa"/>
            <w:gridSpan w:val="2"/>
            <w:tcBorders>
              <w:top w:val="nil"/>
              <w:left w:val="nil"/>
              <w:bottom w:val="single" w:sz="6" w:space="0" w:color="000000"/>
              <w:right w:val="single" w:sz="6" w:space="0" w:color="000000"/>
              <w:tl2br w:val="nil"/>
              <w:tr2bl w:val="nil"/>
            </w:tcBorders>
            <w:shd w:val="clear" w:color="auto" w:fill="FFFFFF"/>
            <w:tcMar>
              <w:left w:w="115" w:type="dxa"/>
              <w:right w:w="115" w:type="dxa"/>
            </w:tcMar>
            <w:vAlign w:val="bottom"/>
          </w:tcPr>
          <w:p w14:paraId="4ECD13A6" w14:textId="77777777" w:rsidR="00724034" w:rsidRDefault="00FB7D0B">
            <w:pPr>
              <w:jc w:val="right"/>
              <w:rPr>
                <w:rFonts w:ascii="Arial" w:eastAsia="Arial" w:hAnsi="Arial" w:cs="Arial"/>
                <w:color w:val="000000"/>
                <w:sz w:val="16"/>
              </w:rPr>
            </w:pPr>
            <w:r>
              <w:rPr>
                <w:rFonts w:ascii="Arial" w:eastAsia="Arial" w:hAnsi="Arial" w:cs="Arial"/>
                <w:color w:val="000000"/>
                <w:sz w:val="16"/>
              </w:rPr>
              <w:t xml:space="preserve"> 1,469 </w:t>
            </w:r>
          </w:p>
        </w:tc>
      </w:tr>
      <w:tr w:rsidR="00FB7D0B" w14:paraId="059CDC23" w14:textId="77777777" w:rsidTr="00FB7D0B">
        <w:trPr>
          <w:trHeight w:val="225"/>
        </w:trPr>
        <w:tc>
          <w:tcPr>
            <w:tcW w:w="3165" w:type="dxa"/>
            <w:gridSpan w:val="4"/>
            <w:tcBorders>
              <w:top w:val="single" w:sz="6" w:space="0" w:color="FFFFFF"/>
              <w:left w:val="single" w:sz="6" w:space="0" w:color="000000"/>
              <w:bottom w:val="single" w:sz="6" w:space="0" w:color="000000"/>
              <w:right w:val="nil"/>
              <w:tl2br w:val="nil"/>
              <w:tr2bl w:val="nil"/>
            </w:tcBorders>
            <w:shd w:val="clear" w:color="auto" w:fill="FFFFFF"/>
            <w:tcMar>
              <w:left w:w="115" w:type="dxa"/>
              <w:right w:w="115" w:type="dxa"/>
            </w:tcMar>
            <w:vAlign w:val="bottom"/>
          </w:tcPr>
          <w:p w14:paraId="04E9748E" w14:textId="77777777" w:rsidR="00724034" w:rsidRDefault="00FB7D0B">
            <w:pPr>
              <w:rPr>
                <w:rFonts w:ascii="Arial" w:eastAsia="Arial" w:hAnsi="Arial" w:cs="Arial"/>
                <w:color w:val="000000"/>
                <w:sz w:val="16"/>
              </w:rPr>
            </w:pPr>
            <w:r>
              <w:rPr>
                <w:rFonts w:ascii="Arial" w:eastAsia="Arial" w:hAnsi="Arial" w:cs="Arial"/>
                <w:b/>
                <w:color w:val="000000"/>
                <w:sz w:val="16"/>
              </w:rPr>
              <w:t xml:space="preserve">Total programme expenses </w:t>
            </w:r>
          </w:p>
        </w:tc>
        <w:tc>
          <w:tcPr>
            <w:tcW w:w="975" w:type="dxa"/>
            <w:tcBorders>
              <w:top w:val="single" w:sz="6" w:space="0" w:color="000000"/>
              <w:left w:val="nil"/>
              <w:bottom w:val="single" w:sz="6" w:space="0" w:color="000000"/>
              <w:right w:val="nil"/>
              <w:tl2br w:val="nil"/>
              <w:tr2bl w:val="nil"/>
            </w:tcBorders>
            <w:shd w:val="clear" w:color="auto" w:fill="FFFFFF"/>
            <w:tcMar>
              <w:left w:w="115" w:type="dxa"/>
              <w:right w:w="115" w:type="dxa"/>
            </w:tcMar>
            <w:vAlign w:val="bottom"/>
          </w:tcPr>
          <w:p w14:paraId="0B292D3A" w14:textId="77777777" w:rsidR="00724034" w:rsidRDefault="00FB7D0B">
            <w:pPr>
              <w:jc w:val="right"/>
              <w:rPr>
                <w:rFonts w:ascii="Arial" w:eastAsia="Arial" w:hAnsi="Arial" w:cs="Arial"/>
                <w:b/>
                <w:color w:val="000000"/>
                <w:sz w:val="16"/>
                <w:vertAlign w:val="superscript"/>
              </w:rPr>
            </w:pPr>
            <w:r>
              <w:rPr>
                <w:rFonts w:ascii="Arial" w:eastAsia="Arial" w:hAnsi="Arial" w:cs="Arial"/>
                <w:b/>
                <w:color w:val="000000"/>
                <w:sz w:val="16"/>
              </w:rPr>
              <w:t xml:space="preserve"> 72,148 </w:t>
            </w:r>
          </w:p>
        </w:tc>
        <w:tc>
          <w:tcPr>
            <w:tcW w:w="975" w:type="dxa"/>
            <w:tcBorders>
              <w:top w:val="single" w:sz="6" w:space="0" w:color="000000"/>
              <w:left w:val="nil"/>
              <w:bottom w:val="single" w:sz="6" w:space="0" w:color="000000"/>
              <w:right w:val="nil"/>
              <w:tl2br w:val="nil"/>
              <w:tr2bl w:val="nil"/>
            </w:tcBorders>
            <w:shd w:val="clear" w:color="auto" w:fill="FFFF00"/>
            <w:tcMar>
              <w:left w:w="115" w:type="dxa"/>
              <w:right w:w="115" w:type="dxa"/>
            </w:tcMar>
            <w:vAlign w:val="bottom"/>
          </w:tcPr>
          <w:p w14:paraId="45B8C20B" w14:textId="77777777" w:rsidR="00724034" w:rsidRDefault="00FB7D0B">
            <w:pPr>
              <w:jc w:val="right"/>
              <w:rPr>
                <w:rFonts w:ascii="Arial" w:eastAsia="Arial" w:hAnsi="Arial" w:cs="Arial"/>
                <w:b/>
                <w:color w:val="000000"/>
                <w:sz w:val="16"/>
              </w:rPr>
            </w:pPr>
            <w:r>
              <w:rPr>
                <w:rFonts w:ascii="Arial" w:eastAsia="Arial" w:hAnsi="Arial" w:cs="Arial"/>
                <w:b/>
                <w:color w:val="000000"/>
                <w:sz w:val="16"/>
              </w:rPr>
              <w:t xml:space="preserve"> 94,809 </w:t>
            </w:r>
          </w:p>
        </w:tc>
        <w:tc>
          <w:tcPr>
            <w:tcW w:w="975" w:type="dxa"/>
            <w:tcBorders>
              <w:top w:val="single" w:sz="6" w:space="0" w:color="000000"/>
              <w:left w:val="nil"/>
              <w:bottom w:val="single" w:sz="6" w:space="0" w:color="000000"/>
              <w:right w:val="nil"/>
              <w:tl2br w:val="nil"/>
              <w:tr2bl w:val="nil"/>
            </w:tcBorders>
            <w:shd w:val="clear" w:color="auto" w:fill="FFFFFF"/>
            <w:tcMar>
              <w:left w:w="115" w:type="dxa"/>
              <w:right w:w="115" w:type="dxa"/>
            </w:tcMar>
            <w:vAlign w:val="bottom"/>
          </w:tcPr>
          <w:p w14:paraId="5BF8EDC5" w14:textId="77777777" w:rsidR="00724034" w:rsidRDefault="00FB7D0B">
            <w:pPr>
              <w:jc w:val="right"/>
              <w:rPr>
                <w:rFonts w:ascii="Arial" w:eastAsia="Arial" w:hAnsi="Arial" w:cs="Arial"/>
                <w:b/>
                <w:color w:val="000000"/>
                <w:sz w:val="16"/>
              </w:rPr>
            </w:pPr>
            <w:r>
              <w:rPr>
                <w:rFonts w:ascii="Arial" w:eastAsia="Arial" w:hAnsi="Arial" w:cs="Arial"/>
                <w:b/>
                <w:color w:val="000000"/>
                <w:sz w:val="16"/>
              </w:rPr>
              <w:t xml:space="preserve"> 66,241 </w:t>
            </w:r>
          </w:p>
        </w:tc>
        <w:tc>
          <w:tcPr>
            <w:tcW w:w="975" w:type="dxa"/>
            <w:tcBorders>
              <w:top w:val="single" w:sz="6" w:space="0" w:color="000000"/>
              <w:left w:val="nil"/>
              <w:bottom w:val="single" w:sz="6" w:space="0" w:color="000000"/>
              <w:right w:val="nil"/>
              <w:tl2br w:val="nil"/>
              <w:tr2bl w:val="nil"/>
            </w:tcBorders>
            <w:shd w:val="clear" w:color="auto" w:fill="FFFFFF"/>
            <w:tcMar>
              <w:left w:w="115" w:type="dxa"/>
              <w:right w:w="115" w:type="dxa"/>
            </w:tcMar>
            <w:vAlign w:val="bottom"/>
          </w:tcPr>
          <w:p w14:paraId="77C68D3B" w14:textId="77777777" w:rsidR="00724034" w:rsidRDefault="00FB7D0B">
            <w:pPr>
              <w:jc w:val="right"/>
              <w:rPr>
                <w:rFonts w:ascii="Arial" w:eastAsia="Arial" w:hAnsi="Arial" w:cs="Arial"/>
                <w:b/>
                <w:color w:val="000000"/>
                <w:sz w:val="16"/>
              </w:rPr>
            </w:pPr>
            <w:r>
              <w:rPr>
                <w:rFonts w:ascii="Arial" w:eastAsia="Arial" w:hAnsi="Arial" w:cs="Arial"/>
                <w:b/>
                <w:color w:val="000000"/>
                <w:sz w:val="16"/>
              </w:rPr>
              <w:t xml:space="preserve"> 61,232 </w:t>
            </w:r>
          </w:p>
        </w:tc>
        <w:tc>
          <w:tcPr>
            <w:tcW w:w="975" w:type="dxa"/>
            <w:gridSpan w:val="2"/>
            <w:tcBorders>
              <w:top w:val="single" w:sz="6" w:space="0" w:color="000000"/>
              <w:left w:val="nil"/>
              <w:bottom w:val="single" w:sz="6" w:space="0" w:color="000000"/>
              <w:right w:val="single" w:sz="6" w:space="0" w:color="000000"/>
              <w:tl2br w:val="nil"/>
              <w:tr2bl w:val="nil"/>
            </w:tcBorders>
            <w:shd w:val="clear" w:color="auto" w:fill="FFFFFF"/>
            <w:tcMar>
              <w:left w:w="115" w:type="dxa"/>
              <w:right w:w="115" w:type="dxa"/>
            </w:tcMar>
            <w:vAlign w:val="bottom"/>
          </w:tcPr>
          <w:p w14:paraId="17251B81" w14:textId="77777777" w:rsidR="00724034" w:rsidRDefault="00FB7D0B">
            <w:pPr>
              <w:jc w:val="right"/>
              <w:rPr>
                <w:rFonts w:ascii="Arial" w:eastAsia="Arial" w:hAnsi="Arial" w:cs="Arial"/>
                <w:b/>
                <w:color w:val="000000"/>
                <w:sz w:val="16"/>
              </w:rPr>
            </w:pPr>
            <w:r>
              <w:rPr>
                <w:rFonts w:ascii="Arial" w:eastAsia="Arial" w:hAnsi="Arial" w:cs="Arial"/>
                <w:b/>
                <w:color w:val="000000"/>
                <w:sz w:val="16"/>
              </w:rPr>
              <w:t xml:space="preserve"> 49,857 </w:t>
            </w:r>
          </w:p>
        </w:tc>
      </w:tr>
    </w:tbl>
    <w:p w14:paraId="6DB5EDFF" w14:textId="77777777" w:rsidR="003F0EEA" w:rsidRPr="00B877E6" w:rsidRDefault="00FB7D0B" w:rsidP="003F0EEA">
      <w:pPr>
        <w:pStyle w:val="ListParagraph17"/>
        <w:numPr>
          <w:ilvl w:val="0"/>
          <w:numId w:val="50"/>
        </w:numPr>
        <w:spacing w:after="200" w:line="276" w:lineRule="auto"/>
        <w:ind w:left="284" w:hanging="284"/>
        <w:rPr>
          <w:rFonts w:ascii="Arial" w:eastAsia="Calibri" w:hAnsi="Arial" w:cs="Arial"/>
          <w:sz w:val="16"/>
          <w:szCs w:val="16"/>
          <w:lang w:eastAsia="en-US"/>
        </w:rPr>
      </w:pPr>
      <w:r>
        <w:rPr>
          <w:rFonts w:ascii="Arial" w:eastAsia="Calibri" w:hAnsi="Arial" w:cs="Arial"/>
          <w:sz w:val="16"/>
          <w:szCs w:val="16"/>
          <w:lang w:eastAsia="en-US"/>
        </w:rPr>
        <w:t>Refer to the Movement of Funds Table 3.1.1</w:t>
      </w:r>
    </w:p>
    <w:p w14:paraId="7778542F" w14:textId="77777777" w:rsidR="003F0EEA" w:rsidRPr="004D4F1D" w:rsidRDefault="00FB7D0B" w:rsidP="003F0EEA">
      <w:pPr>
        <w:pStyle w:val="ListParagraph17"/>
        <w:numPr>
          <w:ilvl w:val="0"/>
          <w:numId w:val="50"/>
        </w:numPr>
        <w:spacing w:after="200" w:line="276" w:lineRule="auto"/>
        <w:ind w:left="284" w:hanging="284"/>
        <w:rPr>
          <w:rFonts w:ascii="Arial" w:eastAsia="Calibri" w:hAnsi="Arial" w:cs="Arial"/>
          <w:sz w:val="16"/>
          <w:szCs w:val="16"/>
          <w:lang w:eastAsia="en-US"/>
        </w:rPr>
      </w:pPr>
      <w:r w:rsidRPr="004D4F1D">
        <w:rPr>
          <w:rFonts w:ascii="Arial" w:eastAsia="Calibri" w:hAnsi="Arial" w:cs="Arial"/>
          <w:sz w:val="16"/>
          <w:szCs w:val="16"/>
          <w:lang w:eastAsia="en-US"/>
        </w:rPr>
        <w:t xml:space="preserve">Expenses not requiring appropriation in the Budget year is made up of Depreciation Expense, Amortisation </w:t>
      </w:r>
      <w:r w:rsidRPr="004D4F1D">
        <w:rPr>
          <w:rFonts w:ascii="Arial" w:eastAsia="Calibri" w:hAnsi="Arial" w:cs="Arial"/>
          <w:sz w:val="16"/>
          <w:szCs w:val="16"/>
          <w:lang w:eastAsia="en-US"/>
        </w:rPr>
        <w:br/>
        <w:t xml:space="preserve">Expense and Resources Received Free of Charge. </w:t>
      </w:r>
    </w:p>
    <w:p w14:paraId="5E42755A" w14:textId="77777777" w:rsidR="003F0EEA" w:rsidRPr="004D4F1D" w:rsidRDefault="00FB7D0B">
      <w:pPr>
        <w:rPr>
          <w:rFonts w:ascii="Arial" w:hAnsi="Arial" w:cs="Arial"/>
          <w:sz w:val="16"/>
          <w:szCs w:val="16"/>
          <w:lang w:eastAsia="en-US"/>
        </w:rPr>
      </w:pPr>
      <w:r w:rsidRPr="004D4F1D">
        <w:rPr>
          <w:rFonts w:ascii="Arial" w:hAnsi="Arial" w:cs="Arial"/>
          <w:sz w:val="16"/>
          <w:szCs w:val="16"/>
          <w:lang w:eastAsia="en-US"/>
        </w:rPr>
        <w:br w:type="page"/>
      </w:r>
    </w:p>
    <w:tbl>
      <w:tblPr>
        <w:tblW w:w="8080" w:type="dxa"/>
        <w:tblBorders>
          <w:top w:val="single" w:sz="2" w:space="0" w:color="auto"/>
          <w:left w:val="single" w:sz="2" w:space="0" w:color="auto"/>
          <w:bottom w:val="single" w:sz="2" w:space="0" w:color="auto"/>
          <w:right w:val="single" w:sz="2" w:space="0" w:color="auto"/>
          <w:insideH w:val="single" w:sz="2" w:space="0" w:color="auto"/>
        </w:tblBorders>
        <w:tblLook w:val="01E0" w:firstRow="1" w:lastRow="1" w:firstColumn="1" w:lastColumn="1" w:noHBand="0" w:noVBand="0"/>
      </w:tblPr>
      <w:tblGrid>
        <w:gridCol w:w="3793"/>
        <w:gridCol w:w="853"/>
        <w:gridCol w:w="853"/>
        <w:gridCol w:w="853"/>
        <w:gridCol w:w="853"/>
        <w:gridCol w:w="875"/>
      </w:tblGrid>
      <w:tr w:rsidR="00724034" w14:paraId="39AF3852" w14:textId="77777777" w:rsidTr="003F0EEA">
        <w:tc>
          <w:tcPr>
            <w:tcW w:w="8080" w:type="dxa"/>
            <w:gridSpan w:val="6"/>
            <w:tcBorders>
              <w:top w:val="single" w:sz="2" w:space="0" w:color="auto"/>
              <w:left w:val="single" w:sz="2" w:space="0" w:color="auto"/>
              <w:bottom w:val="single" w:sz="2" w:space="0" w:color="auto"/>
              <w:right w:val="single" w:sz="2" w:space="0" w:color="auto"/>
            </w:tcBorders>
            <w:shd w:val="clear" w:color="auto" w:fill="E6E6E6"/>
          </w:tcPr>
          <w:p w14:paraId="369CD54A" w14:textId="77777777" w:rsidR="003F0EEA" w:rsidRPr="00635793" w:rsidRDefault="00FB7D0B">
            <w:pPr>
              <w:pStyle w:val="TableColumnHeadingLeft5"/>
              <w:rPr>
                <w:rFonts w:cs="Arial"/>
              </w:rPr>
            </w:pPr>
            <w:r>
              <w:rPr>
                <w:rFonts w:cs="Arial"/>
              </w:rPr>
              <w:t xml:space="preserve">Programme 3.1: </w:t>
            </w:r>
            <w:r w:rsidRPr="00635793">
              <w:rPr>
                <w:rFonts w:cs="Arial"/>
              </w:rPr>
              <w:t>War Graves and Commemorations</w:t>
            </w:r>
            <w:r>
              <w:rPr>
                <w:rFonts w:cs="Arial"/>
              </w:rPr>
              <w:t xml:space="preserve"> (continued)</w:t>
            </w:r>
          </w:p>
        </w:tc>
      </w:tr>
      <w:tr w:rsidR="00724034" w14:paraId="1E9A1332" w14:textId="77777777" w:rsidTr="003F0EEA">
        <w:tc>
          <w:tcPr>
            <w:tcW w:w="8080" w:type="dxa"/>
            <w:gridSpan w:val="6"/>
            <w:tcBorders>
              <w:top w:val="single" w:sz="2" w:space="0" w:color="auto"/>
              <w:left w:val="nil"/>
              <w:bottom w:val="single" w:sz="4" w:space="0" w:color="auto"/>
              <w:right w:val="nil"/>
            </w:tcBorders>
            <w:shd w:val="clear" w:color="auto" w:fill="auto"/>
          </w:tcPr>
          <w:p w14:paraId="121083B9" w14:textId="77777777" w:rsidR="003F0EEA" w:rsidRDefault="003F0EEA">
            <w:pPr>
              <w:pStyle w:val="TableColumnHeadingLeft5"/>
              <w:rPr>
                <w:rFonts w:cs="Arial"/>
              </w:rPr>
            </w:pPr>
          </w:p>
        </w:tc>
      </w:tr>
      <w:tr w:rsidR="00724034" w14:paraId="772BBD3F" w14:textId="77777777" w:rsidTr="003F0E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080" w:type="dxa"/>
            <w:gridSpan w:val="6"/>
            <w:tcBorders>
              <w:top w:val="single" w:sz="4" w:space="0" w:color="auto"/>
              <w:left w:val="single" w:sz="4" w:space="0" w:color="auto"/>
              <w:bottom w:val="single" w:sz="4" w:space="0" w:color="auto"/>
              <w:right w:val="single" w:sz="4" w:space="0" w:color="auto"/>
            </w:tcBorders>
          </w:tcPr>
          <w:p w14:paraId="17DF277A" w14:textId="77777777" w:rsidR="003F0EEA" w:rsidRDefault="00FB7D0B" w:rsidP="003F0EEA">
            <w:pPr>
              <w:pStyle w:val="TableTextLeft39"/>
              <w:keepNext/>
              <w:rPr>
                <w:b/>
              </w:rPr>
            </w:pPr>
            <w:r>
              <w:rPr>
                <w:b/>
              </w:rPr>
              <w:t>Programme 3.1 deliverables</w:t>
            </w:r>
          </w:p>
          <w:p w14:paraId="66FA43A4" w14:textId="77777777" w:rsidR="003F0EEA" w:rsidRDefault="00FB7D0B" w:rsidP="003F0EEA">
            <w:pPr>
              <w:pStyle w:val="TableTextBullet20"/>
            </w:pPr>
            <w:r>
              <w:t xml:space="preserve">Develop and implement commemorative initiatives and provide support and funding under the commemorations programme, </w:t>
            </w:r>
            <w:r w:rsidRPr="003166C8">
              <w:rPr>
                <w:i/>
              </w:rPr>
              <w:t>Saluting Their Service</w:t>
            </w:r>
            <w:r>
              <w:t>.</w:t>
            </w:r>
          </w:p>
          <w:p w14:paraId="2A01DFFE" w14:textId="77777777" w:rsidR="003F0EEA" w:rsidRDefault="00FB7D0B" w:rsidP="003F0EEA">
            <w:pPr>
              <w:pStyle w:val="TableTextBullet20"/>
            </w:pPr>
            <w:r>
              <w:t>Promote community involvement in commemorations programmes, in conjunction with other government agencies and ex-service and community organisations.</w:t>
            </w:r>
          </w:p>
          <w:p w14:paraId="24FADEF4" w14:textId="77777777" w:rsidR="003F0EEA" w:rsidRDefault="00FB7D0B" w:rsidP="003F0EEA">
            <w:pPr>
              <w:pStyle w:val="TableTextBullet20"/>
            </w:pPr>
            <w:r>
              <w:t>Support community awareness and preservation of Australia’s wartime and service heritage and veterans’ experiences.</w:t>
            </w:r>
          </w:p>
          <w:p w14:paraId="4747FBA6" w14:textId="77777777" w:rsidR="003F0EEA" w:rsidRDefault="00FB7D0B" w:rsidP="003F0EEA">
            <w:pPr>
              <w:pStyle w:val="TableTextBullet20"/>
            </w:pPr>
            <w:r>
              <w:t>Lead and manage the Anzac Centenary 2014-18, including the Centenary of the First World War and the Centenary of the Gallipoli Campaign in 2015.</w:t>
            </w:r>
          </w:p>
          <w:p w14:paraId="2F8DF44F" w14:textId="77777777" w:rsidR="003F0EEA" w:rsidRDefault="00FB7D0B" w:rsidP="003F0EEA">
            <w:pPr>
              <w:pStyle w:val="TableTextBullet20"/>
            </w:pPr>
            <w:r>
              <w:t>Commemorate eligible war dead and deceased veterans by maintaining war graves and war cemeteries in Australia, Papua New Guinea, Solomon Islands and Norfolk Island, South Africa, Korea, Japan, Malaysia and Singapore.</w:t>
            </w:r>
          </w:p>
          <w:p w14:paraId="73E24ED7" w14:textId="77777777" w:rsidR="003F0EEA" w:rsidRDefault="00FB7D0B" w:rsidP="003F0EEA">
            <w:pPr>
              <w:pStyle w:val="TableTextBullet20"/>
            </w:pPr>
            <w:r>
              <w:t>Process claims for, and provide new, official post-war commemorations.</w:t>
            </w:r>
          </w:p>
          <w:p w14:paraId="4BF78DA2" w14:textId="77777777" w:rsidR="003F0EEA" w:rsidRDefault="00FB7D0B" w:rsidP="003F0EEA">
            <w:pPr>
              <w:pStyle w:val="TableTextBullet20"/>
            </w:pPr>
            <w:r>
              <w:t>Provide Australian commemorative information on cemeteries and memorials.</w:t>
            </w:r>
          </w:p>
          <w:p w14:paraId="73015FAF" w14:textId="77777777" w:rsidR="003F0EEA" w:rsidRDefault="00FB7D0B" w:rsidP="003F0EEA">
            <w:pPr>
              <w:pStyle w:val="TableTextBullet20"/>
            </w:pPr>
            <w:r>
              <w:t>Maintain existing Australian Government memorials overseas and construct new memorials as determined by government processes.</w:t>
            </w:r>
          </w:p>
          <w:p w14:paraId="16C0A2A1" w14:textId="77777777" w:rsidR="003F0EEA" w:rsidRDefault="00FB7D0B" w:rsidP="003F0EEA">
            <w:pPr>
              <w:pStyle w:val="TableTextBullet20"/>
            </w:pPr>
            <w:r>
              <w:t>Manage the “Graves of the Bravest” programme for recipients of the Victoria Cross, George Cross and Cross of Valour.</w:t>
            </w:r>
          </w:p>
        </w:tc>
      </w:tr>
      <w:tr w:rsidR="00724034" w14:paraId="06FEFDD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25"/>
        </w:trPr>
        <w:tc>
          <w:tcPr>
            <w:tcW w:w="0" w:type="auto"/>
            <w:tcBorders>
              <w:top w:val="single" w:sz="6" w:space="0" w:color="000000"/>
              <w:left w:val="single" w:sz="6" w:space="0" w:color="000000"/>
              <w:bottom w:val="nil"/>
              <w:right w:val="nil"/>
              <w:tl2br w:val="nil"/>
              <w:tr2bl w:val="nil"/>
            </w:tcBorders>
            <w:shd w:val="clear" w:color="auto" w:fill="FFFFFF"/>
            <w:tcMar>
              <w:left w:w="115" w:type="dxa"/>
              <w:right w:w="115" w:type="dxa"/>
            </w:tcMar>
            <w:vAlign w:val="bottom"/>
          </w:tcPr>
          <w:p w14:paraId="64081405" w14:textId="77777777" w:rsidR="00724034" w:rsidRDefault="00724034">
            <w:pPr>
              <w:jc w:val="center"/>
            </w:pPr>
          </w:p>
        </w:tc>
        <w:tc>
          <w:tcPr>
            <w:tcW w:w="0" w:type="auto"/>
            <w:tcBorders>
              <w:top w:val="single" w:sz="6" w:space="0" w:color="000000"/>
              <w:left w:val="nil"/>
              <w:bottom w:val="nil"/>
              <w:right w:val="nil"/>
              <w:tl2br w:val="nil"/>
              <w:tr2bl w:val="nil"/>
            </w:tcBorders>
            <w:shd w:val="clear" w:color="auto" w:fill="FFFFFF"/>
            <w:tcMar>
              <w:left w:w="115" w:type="dxa"/>
              <w:right w:w="115" w:type="dxa"/>
            </w:tcMar>
            <w:vAlign w:val="bottom"/>
          </w:tcPr>
          <w:p w14:paraId="24F4E0A8" w14:textId="77777777" w:rsidR="00724034" w:rsidRDefault="00FB7D0B">
            <w:pPr>
              <w:jc w:val="right"/>
              <w:rPr>
                <w:rFonts w:ascii="Arial" w:eastAsia="Arial" w:hAnsi="Arial" w:cs="Arial"/>
                <w:b/>
                <w:color w:val="000000"/>
                <w:sz w:val="16"/>
              </w:rPr>
            </w:pPr>
            <w:r>
              <w:rPr>
                <w:rFonts w:ascii="Arial" w:eastAsia="Arial" w:hAnsi="Arial" w:cs="Arial"/>
                <w:color w:val="000000"/>
                <w:sz w:val="16"/>
              </w:rPr>
              <w:t>2013-14</w:t>
            </w:r>
          </w:p>
        </w:tc>
        <w:tc>
          <w:tcPr>
            <w:tcW w:w="0" w:type="auto"/>
            <w:tcBorders>
              <w:top w:val="single" w:sz="6" w:space="0" w:color="000000"/>
              <w:left w:val="nil"/>
              <w:bottom w:val="nil"/>
              <w:right w:val="nil"/>
              <w:tl2br w:val="nil"/>
              <w:tr2bl w:val="nil"/>
            </w:tcBorders>
            <w:shd w:val="clear" w:color="auto" w:fill="FFFF00"/>
            <w:tcMar>
              <w:left w:w="115" w:type="dxa"/>
              <w:right w:w="115" w:type="dxa"/>
            </w:tcMar>
            <w:vAlign w:val="bottom"/>
          </w:tcPr>
          <w:p w14:paraId="615B4287" w14:textId="77777777" w:rsidR="00724034" w:rsidRDefault="00FB7D0B">
            <w:pPr>
              <w:jc w:val="right"/>
              <w:rPr>
                <w:rFonts w:ascii="Arial" w:eastAsia="Arial" w:hAnsi="Arial" w:cs="Arial"/>
                <w:color w:val="000000"/>
                <w:sz w:val="16"/>
              </w:rPr>
            </w:pPr>
            <w:r>
              <w:rPr>
                <w:rFonts w:ascii="Arial" w:eastAsia="Arial" w:hAnsi="Arial" w:cs="Arial"/>
                <w:color w:val="000000"/>
                <w:sz w:val="16"/>
              </w:rPr>
              <w:t>2014-15</w:t>
            </w:r>
          </w:p>
        </w:tc>
        <w:tc>
          <w:tcPr>
            <w:tcW w:w="0" w:type="auto"/>
            <w:tcBorders>
              <w:top w:val="single" w:sz="6" w:space="0" w:color="000000"/>
              <w:left w:val="nil"/>
              <w:bottom w:val="nil"/>
              <w:right w:val="nil"/>
              <w:tl2br w:val="nil"/>
              <w:tr2bl w:val="nil"/>
            </w:tcBorders>
            <w:shd w:val="clear" w:color="auto" w:fill="FFFFFF"/>
            <w:tcMar>
              <w:left w:w="115" w:type="dxa"/>
              <w:right w:w="115" w:type="dxa"/>
            </w:tcMar>
            <w:vAlign w:val="bottom"/>
          </w:tcPr>
          <w:p w14:paraId="05142969" w14:textId="77777777" w:rsidR="00724034" w:rsidRDefault="00FB7D0B">
            <w:pPr>
              <w:jc w:val="right"/>
              <w:rPr>
                <w:rFonts w:ascii="Arial" w:eastAsia="Arial" w:hAnsi="Arial" w:cs="Arial"/>
                <w:color w:val="000000"/>
                <w:sz w:val="16"/>
              </w:rPr>
            </w:pPr>
            <w:r>
              <w:rPr>
                <w:rFonts w:ascii="Arial" w:eastAsia="Arial" w:hAnsi="Arial" w:cs="Arial"/>
                <w:color w:val="000000"/>
                <w:sz w:val="16"/>
              </w:rPr>
              <w:t>2015-16</w:t>
            </w:r>
          </w:p>
        </w:tc>
        <w:tc>
          <w:tcPr>
            <w:tcW w:w="0" w:type="auto"/>
            <w:tcBorders>
              <w:top w:val="single" w:sz="6" w:space="0" w:color="000000"/>
              <w:left w:val="nil"/>
              <w:bottom w:val="nil"/>
              <w:right w:val="nil"/>
              <w:tl2br w:val="nil"/>
              <w:tr2bl w:val="nil"/>
            </w:tcBorders>
            <w:shd w:val="clear" w:color="auto" w:fill="FFFFFF"/>
            <w:tcMar>
              <w:left w:w="115" w:type="dxa"/>
              <w:right w:w="115" w:type="dxa"/>
            </w:tcMar>
            <w:vAlign w:val="bottom"/>
          </w:tcPr>
          <w:p w14:paraId="718557FD" w14:textId="77777777" w:rsidR="00724034" w:rsidRDefault="00FB7D0B">
            <w:pPr>
              <w:jc w:val="right"/>
              <w:rPr>
                <w:rFonts w:ascii="Arial" w:eastAsia="Arial" w:hAnsi="Arial" w:cs="Arial"/>
                <w:color w:val="000000"/>
                <w:sz w:val="16"/>
              </w:rPr>
            </w:pPr>
            <w:r>
              <w:rPr>
                <w:rFonts w:ascii="Arial" w:eastAsia="Arial" w:hAnsi="Arial" w:cs="Arial"/>
                <w:color w:val="000000"/>
                <w:sz w:val="16"/>
              </w:rPr>
              <w:t>2016-17</w:t>
            </w:r>
          </w:p>
        </w:tc>
        <w:tc>
          <w:tcPr>
            <w:tcW w:w="0" w:type="auto"/>
            <w:tcBorders>
              <w:top w:val="single" w:sz="6" w:space="0" w:color="000000"/>
              <w:left w:val="nil"/>
              <w:bottom w:val="nil"/>
              <w:right w:val="single" w:sz="6" w:space="0" w:color="000000"/>
              <w:tl2br w:val="nil"/>
              <w:tr2bl w:val="nil"/>
            </w:tcBorders>
            <w:shd w:val="clear" w:color="auto" w:fill="FFFFFF"/>
            <w:tcMar>
              <w:left w:w="115" w:type="dxa"/>
              <w:right w:w="115" w:type="dxa"/>
            </w:tcMar>
            <w:vAlign w:val="bottom"/>
          </w:tcPr>
          <w:p w14:paraId="238D839E" w14:textId="77777777" w:rsidR="00724034" w:rsidRDefault="00FB7D0B">
            <w:pPr>
              <w:jc w:val="right"/>
              <w:rPr>
                <w:rFonts w:ascii="Arial" w:eastAsia="Arial" w:hAnsi="Arial" w:cs="Arial"/>
                <w:color w:val="000000"/>
                <w:sz w:val="16"/>
              </w:rPr>
            </w:pPr>
            <w:r>
              <w:rPr>
                <w:rFonts w:ascii="Arial" w:eastAsia="Arial" w:hAnsi="Arial" w:cs="Arial"/>
                <w:color w:val="000000"/>
                <w:sz w:val="16"/>
              </w:rPr>
              <w:t>2017-18</w:t>
            </w:r>
          </w:p>
        </w:tc>
      </w:tr>
      <w:tr w:rsidR="00724034" w14:paraId="69076B5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25"/>
        </w:trPr>
        <w:tc>
          <w:tcPr>
            <w:tcW w:w="0" w:type="auto"/>
            <w:tcBorders>
              <w:top w:val="nil"/>
              <w:left w:val="single" w:sz="6" w:space="0" w:color="000000"/>
              <w:bottom w:val="nil"/>
              <w:right w:val="nil"/>
              <w:tl2br w:val="nil"/>
              <w:tr2bl w:val="nil"/>
            </w:tcBorders>
            <w:shd w:val="clear" w:color="auto" w:fill="FFFFFF"/>
            <w:tcMar>
              <w:left w:w="115" w:type="dxa"/>
              <w:right w:w="115" w:type="dxa"/>
            </w:tcMar>
            <w:vAlign w:val="bottom"/>
          </w:tcPr>
          <w:p w14:paraId="7F5E13B2" w14:textId="77777777" w:rsidR="00724034" w:rsidRDefault="00724034">
            <w:pPr>
              <w:rPr>
                <w:rFonts w:ascii="Arial" w:eastAsia="Arial" w:hAnsi="Arial" w:cs="Arial"/>
                <w:color w:val="000000"/>
                <w:sz w:val="16"/>
              </w:rPr>
            </w:pPr>
          </w:p>
        </w:tc>
        <w:tc>
          <w:tcPr>
            <w:tcW w:w="0" w:type="auto"/>
            <w:tcBorders>
              <w:top w:val="nil"/>
              <w:left w:val="nil"/>
              <w:bottom w:val="nil"/>
              <w:right w:val="nil"/>
              <w:tl2br w:val="nil"/>
              <w:tr2bl w:val="nil"/>
            </w:tcBorders>
            <w:shd w:val="clear" w:color="auto" w:fill="FFFFFF"/>
            <w:tcMar>
              <w:left w:w="115" w:type="dxa"/>
              <w:right w:w="115" w:type="dxa"/>
            </w:tcMar>
            <w:vAlign w:val="bottom"/>
          </w:tcPr>
          <w:p w14:paraId="5726A300" w14:textId="77777777" w:rsidR="00724034" w:rsidRDefault="00FB7D0B">
            <w:pPr>
              <w:jc w:val="right"/>
              <w:rPr>
                <w:rFonts w:ascii="Arial" w:eastAsia="Arial" w:hAnsi="Arial" w:cs="Arial"/>
                <w:color w:val="000000"/>
                <w:sz w:val="16"/>
              </w:rPr>
            </w:pPr>
            <w:r>
              <w:rPr>
                <w:rFonts w:ascii="Arial" w:eastAsia="Arial" w:hAnsi="Arial" w:cs="Arial"/>
                <w:color w:val="000000"/>
                <w:sz w:val="16"/>
              </w:rPr>
              <w:t>Revised</w:t>
            </w:r>
          </w:p>
        </w:tc>
        <w:tc>
          <w:tcPr>
            <w:tcW w:w="0" w:type="auto"/>
            <w:tcBorders>
              <w:top w:val="nil"/>
              <w:left w:val="nil"/>
              <w:bottom w:val="nil"/>
              <w:right w:val="nil"/>
              <w:tl2br w:val="nil"/>
              <w:tr2bl w:val="nil"/>
            </w:tcBorders>
            <w:shd w:val="clear" w:color="auto" w:fill="FFFF00"/>
            <w:tcMar>
              <w:left w:w="115" w:type="dxa"/>
              <w:right w:w="115" w:type="dxa"/>
            </w:tcMar>
            <w:vAlign w:val="bottom"/>
          </w:tcPr>
          <w:p w14:paraId="00482347" w14:textId="77777777" w:rsidR="00724034" w:rsidRDefault="00FB7D0B">
            <w:pPr>
              <w:jc w:val="right"/>
              <w:rPr>
                <w:rFonts w:ascii="Arial" w:eastAsia="Arial" w:hAnsi="Arial" w:cs="Arial"/>
                <w:color w:val="000000"/>
                <w:sz w:val="16"/>
              </w:rPr>
            </w:pPr>
            <w:r>
              <w:rPr>
                <w:rFonts w:ascii="Arial" w:eastAsia="Arial" w:hAnsi="Arial" w:cs="Arial"/>
                <w:color w:val="000000"/>
                <w:sz w:val="16"/>
              </w:rPr>
              <w:t>Budget</w:t>
            </w:r>
          </w:p>
        </w:tc>
        <w:tc>
          <w:tcPr>
            <w:tcW w:w="0" w:type="auto"/>
            <w:tcBorders>
              <w:top w:val="nil"/>
              <w:left w:val="nil"/>
              <w:bottom w:val="nil"/>
              <w:right w:val="nil"/>
              <w:tl2br w:val="nil"/>
              <w:tr2bl w:val="nil"/>
            </w:tcBorders>
            <w:shd w:val="clear" w:color="auto" w:fill="FFFFFF"/>
            <w:tcMar>
              <w:left w:w="115" w:type="dxa"/>
              <w:right w:w="115" w:type="dxa"/>
            </w:tcMar>
            <w:vAlign w:val="bottom"/>
          </w:tcPr>
          <w:p w14:paraId="6A7DF9F6" w14:textId="77777777" w:rsidR="00724034" w:rsidRDefault="00FB7D0B">
            <w:pPr>
              <w:jc w:val="right"/>
              <w:rPr>
                <w:rFonts w:ascii="Arial" w:eastAsia="Arial" w:hAnsi="Arial" w:cs="Arial"/>
                <w:color w:val="000000"/>
                <w:sz w:val="16"/>
              </w:rPr>
            </w:pPr>
            <w:r>
              <w:rPr>
                <w:rFonts w:ascii="Arial" w:eastAsia="Arial" w:hAnsi="Arial" w:cs="Arial"/>
                <w:color w:val="000000"/>
                <w:sz w:val="16"/>
              </w:rPr>
              <w:t>Forward</w:t>
            </w:r>
          </w:p>
        </w:tc>
        <w:tc>
          <w:tcPr>
            <w:tcW w:w="0" w:type="auto"/>
            <w:tcBorders>
              <w:top w:val="nil"/>
              <w:left w:val="nil"/>
              <w:bottom w:val="nil"/>
              <w:right w:val="nil"/>
              <w:tl2br w:val="nil"/>
              <w:tr2bl w:val="nil"/>
            </w:tcBorders>
            <w:shd w:val="clear" w:color="auto" w:fill="FFFFFF"/>
            <w:tcMar>
              <w:left w:w="115" w:type="dxa"/>
              <w:right w:w="115" w:type="dxa"/>
            </w:tcMar>
            <w:vAlign w:val="bottom"/>
          </w:tcPr>
          <w:p w14:paraId="7DEB41C9" w14:textId="77777777" w:rsidR="00724034" w:rsidRDefault="00FB7D0B">
            <w:pPr>
              <w:jc w:val="right"/>
              <w:rPr>
                <w:rFonts w:ascii="Arial" w:eastAsia="Arial" w:hAnsi="Arial" w:cs="Arial"/>
                <w:color w:val="000000"/>
                <w:sz w:val="16"/>
              </w:rPr>
            </w:pPr>
            <w:r>
              <w:rPr>
                <w:rFonts w:ascii="Arial" w:eastAsia="Arial" w:hAnsi="Arial" w:cs="Arial"/>
                <w:color w:val="000000"/>
                <w:sz w:val="16"/>
              </w:rPr>
              <w:t>Forward</w:t>
            </w:r>
          </w:p>
        </w:tc>
        <w:tc>
          <w:tcPr>
            <w:tcW w:w="0" w:type="auto"/>
            <w:tcBorders>
              <w:top w:val="nil"/>
              <w:left w:val="nil"/>
              <w:bottom w:val="nil"/>
              <w:right w:val="single" w:sz="6" w:space="0" w:color="000000"/>
              <w:tl2br w:val="nil"/>
              <w:tr2bl w:val="nil"/>
            </w:tcBorders>
            <w:shd w:val="clear" w:color="auto" w:fill="FFFFFF"/>
            <w:tcMar>
              <w:left w:w="115" w:type="dxa"/>
              <w:right w:w="115" w:type="dxa"/>
            </w:tcMar>
            <w:vAlign w:val="bottom"/>
          </w:tcPr>
          <w:p w14:paraId="4547A811" w14:textId="77777777" w:rsidR="00724034" w:rsidRDefault="00FB7D0B">
            <w:pPr>
              <w:jc w:val="right"/>
              <w:rPr>
                <w:rFonts w:ascii="Arial" w:eastAsia="Arial" w:hAnsi="Arial" w:cs="Arial"/>
                <w:color w:val="000000"/>
                <w:sz w:val="16"/>
              </w:rPr>
            </w:pPr>
            <w:r>
              <w:rPr>
                <w:rFonts w:ascii="Arial" w:eastAsia="Arial" w:hAnsi="Arial" w:cs="Arial"/>
                <w:color w:val="000000"/>
                <w:sz w:val="16"/>
              </w:rPr>
              <w:t>Forward</w:t>
            </w:r>
          </w:p>
        </w:tc>
      </w:tr>
      <w:tr w:rsidR="00724034" w14:paraId="5A4B1E8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25"/>
        </w:trPr>
        <w:tc>
          <w:tcPr>
            <w:tcW w:w="0" w:type="auto"/>
            <w:tcBorders>
              <w:top w:val="nil"/>
              <w:left w:val="single" w:sz="6" w:space="0" w:color="000000"/>
              <w:bottom w:val="single" w:sz="6" w:space="0" w:color="000000"/>
              <w:right w:val="nil"/>
              <w:tl2br w:val="nil"/>
              <w:tr2bl w:val="nil"/>
            </w:tcBorders>
            <w:shd w:val="clear" w:color="auto" w:fill="FFFFFF"/>
            <w:tcMar>
              <w:left w:w="115" w:type="dxa"/>
              <w:right w:w="115" w:type="dxa"/>
            </w:tcMar>
            <w:vAlign w:val="bottom"/>
          </w:tcPr>
          <w:p w14:paraId="5CACE5C7" w14:textId="77777777" w:rsidR="00724034" w:rsidRDefault="00FB7D0B">
            <w:pPr>
              <w:rPr>
                <w:rFonts w:ascii="Arial" w:eastAsia="Arial" w:hAnsi="Arial" w:cs="Arial"/>
                <w:color w:val="000000"/>
                <w:sz w:val="16"/>
              </w:rPr>
            </w:pPr>
            <w:r>
              <w:rPr>
                <w:rFonts w:ascii="Arial" w:eastAsia="Arial" w:hAnsi="Arial" w:cs="Arial"/>
                <w:color w:val="000000"/>
                <w:sz w:val="16"/>
              </w:rPr>
              <w:t xml:space="preserve">Deliverables </w:t>
            </w:r>
          </w:p>
        </w:tc>
        <w:tc>
          <w:tcPr>
            <w:tcW w:w="0" w:type="auto"/>
            <w:tcBorders>
              <w:top w:val="nil"/>
              <w:left w:val="nil"/>
              <w:bottom w:val="single" w:sz="6" w:space="0" w:color="000000"/>
              <w:right w:val="nil"/>
              <w:tl2br w:val="nil"/>
              <w:tr2bl w:val="nil"/>
            </w:tcBorders>
            <w:shd w:val="clear" w:color="auto" w:fill="FFFFFF"/>
            <w:tcMar>
              <w:left w:w="115" w:type="dxa"/>
              <w:right w:w="115" w:type="dxa"/>
            </w:tcMar>
            <w:vAlign w:val="bottom"/>
          </w:tcPr>
          <w:p w14:paraId="6FF7FDF3" w14:textId="77777777" w:rsidR="00724034" w:rsidRDefault="00FB7D0B">
            <w:pPr>
              <w:jc w:val="right"/>
              <w:rPr>
                <w:rFonts w:ascii="Arial" w:eastAsia="Arial" w:hAnsi="Arial" w:cs="Arial"/>
                <w:color w:val="000000"/>
                <w:sz w:val="16"/>
              </w:rPr>
            </w:pPr>
            <w:r>
              <w:rPr>
                <w:rFonts w:ascii="Arial" w:eastAsia="Arial" w:hAnsi="Arial" w:cs="Arial"/>
                <w:color w:val="000000"/>
                <w:sz w:val="16"/>
              </w:rPr>
              <w:t>budget</w:t>
            </w:r>
          </w:p>
        </w:tc>
        <w:tc>
          <w:tcPr>
            <w:tcW w:w="0" w:type="auto"/>
            <w:tcBorders>
              <w:top w:val="nil"/>
              <w:left w:val="nil"/>
              <w:bottom w:val="single" w:sz="6" w:space="0" w:color="000000"/>
              <w:right w:val="nil"/>
              <w:tl2br w:val="nil"/>
              <w:tr2bl w:val="nil"/>
            </w:tcBorders>
            <w:shd w:val="clear" w:color="auto" w:fill="FFFF00"/>
            <w:tcMar>
              <w:left w:w="115" w:type="dxa"/>
              <w:right w:w="115" w:type="dxa"/>
            </w:tcMar>
            <w:vAlign w:val="bottom"/>
          </w:tcPr>
          <w:p w14:paraId="17D63A62" w14:textId="77777777" w:rsidR="00724034" w:rsidRDefault="00724034">
            <w:pPr>
              <w:jc w:val="right"/>
              <w:rPr>
                <w:rFonts w:ascii="Arial" w:eastAsia="Arial" w:hAnsi="Arial" w:cs="Arial"/>
                <w:color w:val="000000"/>
                <w:sz w:val="16"/>
              </w:rPr>
            </w:pPr>
          </w:p>
        </w:tc>
        <w:tc>
          <w:tcPr>
            <w:tcW w:w="0" w:type="auto"/>
            <w:tcBorders>
              <w:top w:val="nil"/>
              <w:left w:val="nil"/>
              <w:bottom w:val="single" w:sz="6" w:space="0" w:color="000000"/>
              <w:right w:val="nil"/>
              <w:tl2br w:val="nil"/>
              <w:tr2bl w:val="nil"/>
            </w:tcBorders>
            <w:shd w:val="clear" w:color="auto" w:fill="FFFFFF"/>
            <w:tcMar>
              <w:left w:w="115" w:type="dxa"/>
              <w:right w:w="115" w:type="dxa"/>
            </w:tcMar>
            <w:vAlign w:val="bottom"/>
          </w:tcPr>
          <w:p w14:paraId="108A72AF" w14:textId="77777777" w:rsidR="00724034" w:rsidRDefault="00FB7D0B">
            <w:pPr>
              <w:jc w:val="right"/>
              <w:rPr>
                <w:rFonts w:ascii="Arial" w:eastAsia="Arial" w:hAnsi="Arial" w:cs="Arial"/>
                <w:color w:val="000000"/>
                <w:sz w:val="16"/>
              </w:rPr>
            </w:pPr>
            <w:r>
              <w:rPr>
                <w:rFonts w:ascii="Arial" w:eastAsia="Arial" w:hAnsi="Arial" w:cs="Arial"/>
                <w:color w:val="000000"/>
                <w:sz w:val="16"/>
              </w:rPr>
              <w:t>year 1</w:t>
            </w:r>
          </w:p>
        </w:tc>
        <w:tc>
          <w:tcPr>
            <w:tcW w:w="0" w:type="auto"/>
            <w:tcBorders>
              <w:top w:val="nil"/>
              <w:left w:val="nil"/>
              <w:bottom w:val="single" w:sz="6" w:space="0" w:color="000000"/>
              <w:right w:val="nil"/>
              <w:tl2br w:val="nil"/>
              <w:tr2bl w:val="nil"/>
            </w:tcBorders>
            <w:shd w:val="clear" w:color="auto" w:fill="FFFFFF"/>
            <w:tcMar>
              <w:left w:w="115" w:type="dxa"/>
              <w:right w:w="115" w:type="dxa"/>
            </w:tcMar>
            <w:vAlign w:val="bottom"/>
          </w:tcPr>
          <w:p w14:paraId="2A5E5614" w14:textId="77777777" w:rsidR="00724034" w:rsidRDefault="00FB7D0B">
            <w:pPr>
              <w:jc w:val="right"/>
              <w:rPr>
                <w:rFonts w:ascii="Arial" w:eastAsia="Arial" w:hAnsi="Arial" w:cs="Arial"/>
                <w:color w:val="000000"/>
                <w:sz w:val="16"/>
              </w:rPr>
            </w:pPr>
            <w:r>
              <w:rPr>
                <w:rFonts w:ascii="Arial" w:eastAsia="Arial" w:hAnsi="Arial" w:cs="Arial"/>
                <w:color w:val="000000"/>
                <w:sz w:val="16"/>
              </w:rPr>
              <w:t>year 2</w:t>
            </w:r>
          </w:p>
        </w:tc>
        <w:tc>
          <w:tcPr>
            <w:tcW w:w="0" w:type="auto"/>
            <w:tcBorders>
              <w:top w:val="nil"/>
              <w:left w:val="nil"/>
              <w:bottom w:val="single" w:sz="6" w:space="0" w:color="000000"/>
              <w:right w:val="single" w:sz="6" w:space="0" w:color="000000"/>
              <w:tl2br w:val="nil"/>
              <w:tr2bl w:val="nil"/>
            </w:tcBorders>
            <w:shd w:val="clear" w:color="auto" w:fill="FFFFFF"/>
            <w:tcMar>
              <w:left w:w="115" w:type="dxa"/>
              <w:right w:w="115" w:type="dxa"/>
            </w:tcMar>
            <w:vAlign w:val="bottom"/>
          </w:tcPr>
          <w:p w14:paraId="00190114" w14:textId="77777777" w:rsidR="00724034" w:rsidRDefault="00FB7D0B">
            <w:pPr>
              <w:jc w:val="right"/>
              <w:rPr>
                <w:rFonts w:ascii="Arial" w:eastAsia="Arial" w:hAnsi="Arial" w:cs="Arial"/>
                <w:color w:val="000000"/>
                <w:sz w:val="16"/>
              </w:rPr>
            </w:pPr>
            <w:r>
              <w:rPr>
                <w:rFonts w:ascii="Arial" w:eastAsia="Arial" w:hAnsi="Arial" w:cs="Arial"/>
                <w:color w:val="000000"/>
                <w:sz w:val="16"/>
              </w:rPr>
              <w:t>year 3</w:t>
            </w:r>
          </w:p>
        </w:tc>
      </w:tr>
      <w:tr w:rsidR="00724034" w14:paraId="78040D0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hRule="exact" w:val="60"/>
        </w:trPr>
        <w:tc>
          <w:tcPr>
            <w:tcW w:w="0" w:type="auto"/>
            <w:tcBorders>
              <w:top w:val="single" w:sz="6" w:space="0" w:color="000000"/>
              <w:left w:val="single" w:sz="6" w:space="0" w:color="000000"/>
              <w:bottom w:val="nil"/>
              <w:right w:val="nil"/>
              <w:tl2br w:val="nil"/>
              <w:tr2bl w:val="nil"/>
            </w:tcBorders>
            <w:shd w:val="clear" w:color="auto" w:fill="FFFFFF"/>
            <w:tcMar>
              <w:left w:w="115" w:type="dxa"/>
              <w:right w:w="115" w:type="dxa"/>
            </w:tcMar>
          </w:tcPr>
          <w:p w14:paraId="0EDE0439" w14:textId="77777777" w:rsidR="00724034" w:rsidRDefault="00724034">
            <w:pPr>
              <w:rPr>
                <w:rFonts w:ascii="Arial" w:eastAsia="Arial" w:hAnsi="Arial" w:cs="Arial"/>
                <w:color w:val="000000"/>
                <w:sz w:val="16"/>
              </w:rPr>
            </w:pPr>
          </w:p>
        </w:tc>
        <w:tc>
          <w:tcPr>
            <w:tcW w:w="0" w:type="auto"/>
            <w:tcBorders>
              <w:top w:val="single" w:sz="6" w:space="0" w:color="000000"/>
              <w:left w:val="nil"/>
              <w:bottom w:val="nil"/>
              <w:right w:val="nil"/>
              <w:tl2br w:val="nil"/>
              <w:tr2bl w:val="nil"/>
            </w:tcBorders>
            <w:shd w:val="clear" w:color="auto" w:fill="FFFFFF"/>
            <w:tcMar>
              <w:left w:w="115" w:type="dxa"/>
              <w:right w:w="115" w:type="dxa"/>
            </w:tcMar>
          </w:tcPr>
          <w:p w14:paraId="7654B926" w14:textId="77777777" w:rsidR="00724034" w:rsidRDefault="00724034">
            <w:pPr>
              <w:jc w:val="right"/>
              <w:rPr>
                <w:rFonts w:ascii="Arial" w:eastAsia="Arial" w:hAnsi="Arial" w:cs="Arial"/>
                <w:color w:val="000000"/>
                <w:sz w:val="16"/>
              </w:rPr>
            </w:pPr>
          </w:p>
        </w:tc>
        <w:tc>
          <w:tcPr>
            <w:tcW w:w="0" w:type="auto"/>
            <w:tcBorders>
              <w:top w:val="single" w:sz="6" w:space="0" w:color="000000"/>
              <w:left w:val="nil"/>
              <w:bottom w:val="nil"/>
              <w:right w:val="nil"/>
              <w:tl2br w:val="nil"/>
              <w:tr2bl w:val="nil"/>
            </w:tcBorders>
            <w:shd w:val="clear" w:color="auto" w:fill="FFFF00"/>
            <w:tcMar>
              <w:left w:w="115" w:type="dxa"/>
              <w:right w:w="115" w:type="dxa"/>
            </w:tcMar>
          </w:tcPr>
          <w:p w14:paraId="2B4FDAB8" w14:textId="77777777" w:rsidR="00724034" w:rsidRDefault="00724034">
            <w:pPr>
              <w:jc w:val="right"/>
              <w:rPr>
                <w:rFonts w:ascii="Arial" w:eastAsia="Arial" w:hAnsi="Arial" w:cs="Arial"/>
                <w:color w:val="000000"/>
                <w:sz w:val="16"/>
              </w:rPr>
            </w:pPr>
          </w:p>
        </w:tc>
        <w:tc>
          <w:tcPr>
            <w:tcW w:w="0" w:type="auto"/>
            <w:tcBorders>
              <w:top w:val="single" w:sz="6" w:space="0" w:color="000000"/>
              <w:left w:val="nil"/>
              <w:bottom w:val="nil"/>
              <w:right w:val="nil"/>
              <w:tl2br w:val="nil"/>
              <w:tr2bl w:val="nil"/>
            </w:tcBorders>
            <w:shd w:val="clear" w:color="auto" w:fill="FFFFFF"/>
            <w:tcMar>
              <w:left w:w="115" w:type="dxa"/>
              <w:right w:w="115" w:type="dxa"/>
            </w:tcMar>
          </w:tcPr>
          <w:p w14:paraId="31869EAF" w14:textId="77777777" w:rsidR="00724034" w:rsidRDefault="00724034">
            <w:pPr>
              <w:jc w:val="right"/>
              <w:rPr>
                <w:rFonts w:ascii="Arial" w:eastAsia="Arial" w:hAnsi="Arial" w:cs="Arial"/>
                <w:color w:val="000000"/>
                <w:sz w:val="16"/>
              </w:rPr>
            </w:pPr>
          </w:p>
        </w:tc>
        <w:tc>
          <w:tcPr>
            <w:tcW w:w="0" w:type="auto"/>
            <w:tcBorders>
              <w:top w:val="single" w:sz="6" w:space="0" w:color="000000"/>
              <w:left w:val="nil"/>
              <w:bottom w:val="nil"/>
              <w:right w:val="nil"/>
              <w:tl2br w:val="nil"/>
              <w:tr2bl w:val="nil"/>
            </w:tcBorders>
            <w:shd w:val="clear" w:color="auto" w:fill="FFFFFF"/>
            <w:tcMar>
              <w:left w:w="115" w:type="dxa"/>
              <w:right w:w="115" w:type="dxa"/>
            </w:tcMar>
          </w:tcPr>
          <w:p w14:paraId="14827140" w14:textId="77777777" w:rsidR="00724034" w:rsidRDefault="00724034">
            <w:pPr>
              <w:jc w:val="right"/>
              <w:rPr>
                <w:rFonts w:ascii="Arial" w:eastAsia="Arial" w:hAnsi="Arial" w:cs="Arial"/>
                <w:color w:val="000000"/>
                <w:sz w:val="16"/>
              </w:rPr>
            </w:pPr>
          </w:p>
        </w:tc>
        <w:tc>
          <w:tcPr>
            <w:tcW w:w="0" w:type="auto"/>
            <w:tcBorders>
              <w:top w:val="single" w:sz="6" w:space="0" w:color="000000"/>
              <w:left w:val="nil"/>
              <w:bottom w:val="nil"/>
              <w:right w:val="single" w:sz="6" w:space="0" w:color="000000"/>
              <w:tl2br w:val="nil"/>
              <w:tr2bl w:val="nil"/>
            </w:tcBorders>
            <w:shd w:val="clear" w:color="auto" w:fill="FFFFFF"/>
            <w:tcMar>
              <w:left w:w="115" w:type="dxa"/>
              <w:right w:w="115" w:type="dxa"/>
            </w:tcMar>
          </w:tcPr>
          <w:p w14:paraId="6B3F5746" w14:textId="77777777" w:rsidR="00724034" w:rsidRDefault="00724034">
            <w:pPr>
              <w:jc w:val="right"/>
              <w:rPr>
                <w:rFonts w:ascii="Arial" w:eastAsia="Arial" w:hAnsi="Arial" w:cs="Arial"/>
                <w:color w:val="000000"/>
                <w:sz w:val="16"/>
              </w:rPr>
            </w:pPr>
          </w:p>
        </w:tc>
      </w:tr>
      <w:tr w:rsidR="00724034" w14:paraId="0EC8C08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40"/>
        </w:trPr>
        <w:tc>
          <w:tcPr>
            <w:tcW w:w="0" w:type="auto"/>
            <w:tcBorders>
              <w:top w:val="nil"/>
              <w:left w:val="single" w:sz="6" w:space="0" w:color="000000"/>
              <w:bottom w:val="nil"/>
              <w:right w:val="nil"/>
              <w:tl2br w:val="nil"/>
              <w:tr2bl w:val="nil"/>
            </w:tcBorders>
            <w:shd w:val="clear" w:color="auto" w:fill="FFFFFF"/>
            <w:tcMar>
              <w:left w:w="115" w:type="dxa"/>
              <w:right w:w="115" w:type="dxa"/>
            </w:tcMar>
            <w:vAlign w:val="bottom"/>
          </w:tcPr>
          <w:p w14:paraId="4E744492" w14:textId="77777777" w:rsidR="00724034" w:rsidRDefault="00FB7D0B">
            <w:pPr>
              <w:rPr>
                <w:rFonts w:ascii="Arial" w:eastAsia="Arial" w:hAnsi="Arial" w:cs="Arial"/>
                <w:color w:val="000000"/>
                <w:sz w:val="16"/>
              </w:rPr>
            </w:pPr>
            <w:r>
              <w:rPr>
                <w:rFonts w:ascii="Arial" w:eastAsia="Arial" w:hAnsi="Arial" w:cs="Arial"/>
                <w:color w:val="000000"/>
                <w:sz w:val="16"/>
              </w:rPr>
              <w:t>Maintain Commemorations:</w:t>
            </w:r>
          </w:p>
        </w:tc>
        <w:tc>
          <w:tcPr>
            <w:tcW w:w="0" w:type="auto"/>
            <w:tcBorders>
              <w:top w:val="nil"/>
              <w:left w:val="nil"/>
              <w:bottom w:val="nil"/>
              <w:right w:val="nil"/>
              <w:tl2br w:val="nil"/>
              <w:tr2bl w:val="nil"/>
            </w:tcBorders>
            <w:shd w:val="clear" w:color="auto" w:fill="FFFFFF"/>
            <w:tcMar>
              <w:left w:w="115" w:type="dxa"/>
              <w:right w:w="115" w:type="dxa"/>
            </w:tcMar>
          </w:tcPr>
          <w:p w14:paraId="5D776117" w14:textId="77777777" w:rsidR="00724034" w:rsidRDefault="00724034">
            <w:pPr>
              <w:jc w:val="right"/>
              <w:rPr>
                <w:rFonts w:ascii="Arial" w:eastAsia="Arial" w:hAnsi="Arial" w:cs="Arial"/>
                <w:color w:val="000000"/>
                <w:sz w:val="16"/>
              </w:rPr>
            </w:pPr>
          </w:p>
        </w:tc>
        <w:tc>
          <w:tcPr>
            <w:tcW w:w="0" w:type="auto"/>
            <w:tcBorders>
              <w:top w:val="nil"/>
              <w:left w:val="nil"/>
              <w:bottom w:val="nil"/>
              <w:right w:val="nil"/>
              <w:tl2br w:val="nil"/>
              <w:tr2bl w:val="nil"/>
            </w:tcBorders>
            <w:shd w:val="clear" w:color="auto" w:fill="FFFF00"/>
            <w:tcMar>
              <w:left w:w="115" w:type="dxa"/>
              <w:right w:w="115" w:type="dxa"/>
            </w:tcMar>
          </w:tcPr>
          <w:p w14:paraId="47D49735" w14:textId="77777777" w:rsidR="00724034" w:rsidRDefault="00724034">
            <w:pPr>
              <w:jc w:val="right"/>
              <w:rPr>
                <w:rFonts w:ascii="Arial" w:eastAsia="Arial" w:hAnsi="Arial" w:cs="Arial"/>
                <w:color w:val="000000"/>
                <w:sz w:val="16"/>
              </w:rPr>
            </w:pPr>
          </w:p>
        </w:tc>
        <w:tc>
          <w:tcPr>
            <w:tcW w:w="0" w:type="auto"/>
            <w:tcBorders>
              <w:top w:val="nil"/>
              <w:left w:val="nil"/>
              <w:bottom w:val="nil"/>
              <w:right w:val="nil"/>
              <w:tl2br w:val="nil"/>
              <w:tr2bl w:val="nil"/>
            </w:tcBorders>
            <w:shd w:val="clear" w:color="auto" w:fill="FFFFFF"/>
            <w:tcMar>
              <w:left w:w="115" w:type="dxa"/>
              <w:right w:w="115" w:type="dxa"/>
            </w:tcMar>
          </w:tcPr>
          <w:p w14:paraId="41B99CA7" w14:textId="77777777" w:rsidR="00724034" w:rsidRDefault="00724034">
            <w:pPr>
              <w:jc w:val="right"/>
              <w:rPr>
                <w:rFonts w:ascii="Arial" w:eastAsia="Arial" w:hAnsi="Arial" w:cs="Arial"/>
                <w:color w:val="000000"/>
                <w:sz w:val="16"/>
              </w:rPr>
            </w:pPr>
          </w:p>
        </w:tc>
        <w:tc>
          <w:tcPr>
            <w:tcW w:w="0" w:type="auto"/>
            <w:tcBorders>
              <w:top w:val="nil"/>
              <w:left w:val="nil"/>
              <w:bottom w:val="nil"/>
              <w:right w:val="nil"/>
              <w:tl2br w:val="nil"/>
              <w:tr2bl w:val="nil"/>
            </w:tcBorders>
            <w:shd w:val="clear" w:color="auto" w:fill="FFFFFF"/>
            <w:tcMar>
              <w:left w:w="115" w:type="dxa"/>
              <w:right w:w="115" w:type="dxa"/>
            </w:tcMar>
          </w:tcPr>
          <w:p w14:paraId="08BB88B0" w14:textId="77777777" w:rsidR="00724034" w:rsidRDefault="00724034">
            <w:pPr>
              <w:jc w:val="right"/>
              <w:rPr>
                <w:rFonts w:ascii="Arial" w:eastAsia="Arial" w:hAnsi="Arial" w:cs="Arial"/>
                <w:color w:val="000000"/>
                <w:sz w:val="16"/>
              </w:rPr>
            </w:pPr>
          </w:p>
        </w:tc>
        <w:tc>
          <w:tcPr>
            <w:tcW w:w="0" w:type="auto"/>
            <w:tcBorders>
              <w:top w:val="nil"/>
              <w:left w:val="nil"/>
              <w:bottom w:val="nil"/>
              <w:right w:val="single" w:sz="6" w:space="0" w:color="000000"/>
              <w:tl2br w:val="nil"/>
              <w:tr2bl w:val="nil"/>
            </w:tcBorders>
            <w:shd w:val="clear" w:color="auto" w:fill="FFFFFF"/>
            <w:tcMar>
              <w:left w:w="115" w:type="dxa"/>
              <w:right w:w="115" w:type="dxa"/>
            </w:tcMar>
            <w:vAlign w:val="bottom"/>
          </w:tcPr>
          <w:p w14:paraId="1D778F7F" w14:textId="77777777" w:rsidR="00724034" w:rsidRDefault="00724034">
            <w:pPr>
              <w:rPr>
                <w:rFonts w:ascii="Arial" w:eastAsia="Arial" w:hAnsi="Arial" w:cs="Arial"/>
                <w:color w:val="000000"/>
                <w:sz w:val="16"/>
              </w:rPr>
            </w:pPr>
          </w:p>
        </w:tc>
      </w:tr>
      <w:tr w:rsidR="00724034" w14:paraId="056E43C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25"/>
        </w:trPr>
        <w:tc>
          <w:tcPr>
            <w:tcW w:w="0" w:type="auto"/>
            <w:tcBorders>
              <w:top w:val="nil"/>
              <w:left w:val="single" w:sz="6" w:space="0" w:color="000000"/>
              <w:bottom w:val="nil"/>
              <w:right w:val="nil"/>
              <w:tl2br w:val="nil"/>
              <w:tr2bl w:val="nil"/>
            </w:tcBorders>
            <w:shd w:val="clear" w:color="auto" w:fill="FFFFFF"/>
            <w:tcMar>
              <w:left w:w="115" w:type="dxa"/>
              <w:right w:w="115" w:type="dxa"/>
            </w:tcMar>
          </w:tcPr>
          <w:p w14:paraId="468E8FCC" w14:textId="77777777" w:rsidR="00724034" w:rsidRDefault="00FB7D0B">
            <w:pPr>
              <w:rPr>
                <w:rFonts w:ascii="Arial" w:eastAsia="Arial" w:hAnsi="Arial" w:cs="Arial"/>
                <w:color w:val="000000"/>
                <w:sz w:val="16"/>
              </w:rPr>
            </w:pPr>
            <w:r>
              <w:rPr>
                <w:rFonts w:ascii="Arial" w:eastAsia="Arial" w:hAnsi="Arial" w:cs="Arial"/>
                <w:color w:val="000000"/>
                <w:sz w:val="16"/>
              </w:rPr>
              <w:t>War Cemeteries</w:t>
            </w:r>
          </w:p>
        </w:tc>
        <w:tc>
          <w:tcPr>
            <w:tcW w:w="0" w:type="auto"/>
            <w:tcBorders>
              <w:top w:val="nil"/>
              <w:left w:val="nil"/>
              <w:bottom w:val="nil"/>
              <w:right w:val="nil"/>
              <w:tl2br w:val="nil"/>
              <w:tr2bl w:val="nil"/>
            </w:tcBorders>
            <w:shd w:val="clear" w:color="auto" w:fill="FFFFFF"/>
            <w:tcMar>
              <w:left w:w="115" w:type="dxa"/>
              <w:right w:w="115" w:type="dxa"/>
            </w:tcMar>
            <w:vAlign w:val="bottom"/>
          </w:tcPr>
          <w:p w14:paraId="662F6B03" w14:textId="77777777" w:rsidR="00724034" w:rsidRDefault="00FB7D0B">
            <w:pPr>
              <w:jc w:val="right"/>
              <w:rPr>
                <w:rFonts w:ascii="Arial" w:eastAsia="Arial" w:hAnsi="Arial" w:cs="Arial"/>
                <w:color w:val="000000"/>
                <w:sz w:val="16"/>
              </w:rPr>
            </w:pPr>
            <w:r>
              <w:rPr>
                <w:rFonts w:ascii="Arial" w:eastAsia="Arial" w:hAnsi="Arial" w:cs="Arial"/>
                <w:color w:val="000000"/>
                <w:sz w:val="16"/>
              </w:rPr>
              <w:t>75 </w:t>
            </w:r>
          </w:p>
        </w:tc>
        <w:tc>
          <w:tcPr>
            <w:tcW w:w="0" w:type="auto"/>
            <w:tcBorders>
              <w:top w:val="nil"/>
              <w:left w:val="nil"/>
              <w:bottom w:val="nil"/>
              <w:right w:val="nil"/>
              <w:tl2br w:val="nil"/>
              <w:tr2bl w:val="nil"/>
            </w:tcBorders>
            <w:shd w:val="clear" w:color="auto" w:fill="FFFF00"/>
            <w:tcMar>
              <w:left w:w="115" w:type="dxa"/>
              <w:right w:w="115" w:type="dxa"/>
            </w:tcMar>
            <w:vAlign w:val="bottom"/>
          </w:tcPr>
          <w:p w14:paraId="44292D21" w14:textId="77777777" w:rsidR="00724034" w:rsidRDefault="00FB7D0B">
            <w:pPr>
              <w:jc w:val="right"/>
              <w:rPr>
                <w:rFonts w:ascii="Arial" w:eastAsia="Arial" w:hAnsi="Arial" w:cs="Arial"/>
                <w:color w:val="000000"/>
                <w:sz w:val="16"/>
              </w:rPr>
            </w:pPr>
            <w:r>
              <w:rPr>
                <w:rFonts w:ascii="Arial" w:eastAsia="Arial" w:hAnsi="Arial" w:cs="Arial"/>
                <w:color w:val="000000"/>
                <w:sz w:val="16"/>
              </w:rPr>
              <w:t>75 </w:t>
            </w:r>
          </w:p>
        </w:tc>
        <w:tc>
          <w:tcPr>
            <w:tcW w:w="0" w:type="auto"/>
            <w:tcBorders>
              <w:top w:val="nil"/>
              <w:left w:val="nil"/>
              <w:bottom w:val="nil"/>
              <w:right w:val="nil"/>
              <w:tl2br w:val="nil"/>
              <w:tr2bl w:val="nil"/>
            </w:tcBorders>
            <w:shd w:val="clear" w:color="auto" w:fill="FFFFFF"/>
            <w:tcMar>
              <w:left w:w="115" w:type="dxa"/>
              <w:right w:w="115" w:type="dxa"/>
            </w:tcMar>
            <w:vAlign w:val="bottom"/>
          </w:tcPr>
          <w:p w14:paraId="7AB5190F" w14:textId="77777777" w:rsidR="00724034" w:rsidRDefault="00FB7D0B">
            <w:pPr>
              <w:jc w:val="right"/>
              <w:rPr>
                <w:rFonts w:ascii="Arial" w:eastAsia="Arial" w:hAnsi="Arial" w:cs="Arial"/>
                <w:color w:val="000000"/>
                <w:sz w:val="16"/>
              </w:rPr>
            </w:pPr>
            <w:r>
              <w:rPr>
                <w:rFonts w:ascii="Arial" w:eastAsia="Arial" w:hAnsi="Arial" w:cs="Arial"/>
                <w:color w:val="000000"/>
                <w:sz w:val="16"/>
              </w:rPr>
              <w:t>75 </w:t>
            </w:r>
          </w:p>
        </w:tc>
        <w:tc>
          <w:tcPr>
            <w:tcW w:w="0" w:type="auto"/>
            <w:tcBorders>
              <w:top w:val="nil"/>
              <w:left w:val="nil"/>
              <w:bottom w:val="nil"/>
              <w:right w:val="nil"/>
              <w:tl2br w:val="nil"/>
              <w:tr2bl w:val="nil"/>
            </w:tcBorders>
            <w:shd w:val="clear" w:color="auto" w:fill="FFFFFF"/>
            <w:tcMar>
              <w:left w:w="115" w:type="dxa"/>
              <w:right w:w="115" w:type="dxa"/>
            </w:tcMar>
            <w:vAlign w:val="bottom"/>
          </w:tcPr>
          <w:p w14:paraId="108F5EFF" w14:textId="77777777" w:rsidR="00724034" w:rsidRDefault="00FB7D0B">
            <w:pPr>
              <w:jc w:val="right"/>
              <w:rPr>
                <w:rFonts w:ascii="Arial" w:eastAsia="Arial" w:hAnsi="Arial" w:cs="Arial"/>
                <w:color w:val="000000"/>
                <w:sz w:val="16"/>
              </w:rPr>
            </w:pPr>
            <w:r>
              <w:rPr>
                <w:rFonts w:ascii="Arial" w:eastAsia="Arial" w:hAnsi="Arial" w:cs="Arial"/>
                <w:color w:val="000000"/>
                <w:sz w:val="16"/>
              </w:rPr>
              <w:t>75 </w:t>
            </w:r>
          </w:p>
        </w:tc>
        <w:tc>
          <w:tcPr>
            <w:tcW w:w="0" w:type="auto"/>
            <w:tcBorders>
              <w:top w:val="nil"/>
              <w:left w:val="nil"/>
              <w:bottom w:val="nil"/>
              <w:right w:val="single" w:sz="6" w:space="0" w:color="000000"/>
              <w:tl2br w:val="nil"/>
              <w:tr2bl w:val="nil"/>
            </w:tcBorders>
            <w:shd w:val="clear" w:color="auto" w:fill="FFFFFF"/>
            <w:tcMar>
              <w:left w:w="115" w:type="dxa"/>
              <w:right w:w="115" w:type="dxa"/>
            </w:tcMar>
            <w:vAlign w:val="bottom"/>
          </w:tcPr>
          <w:p w14:paraId="673C0A91" w14:textId="77777777" w:rsidR="00724034" w:rsidRDefault="00FB7D0B">
            <w:pPr>
              <w:jc w:val="right"/>
              <w:rPr>
                <w:rFonts w:ascii="Arial" w:eastAsia="Arial" w:hAnsi="Arial" w:cs="Arial"/>
                <w:color w:val="000000"/>
                <w:sz w:val="16"/>
              </w:rPr>
            </w:pPr>
            <w:r>
              <w:rPr>
                <w:rFonts w:ascii="Arial" w:eastAsia="Arial" w:hAnsi="Arial" w:cs="Arial"/>
                <w:color w:val="000000"/>
                <w:sz w:val="16"/>
              </w:rPr>
              <w:t xml:space="preserve"> 75 </w:t>
            </w:r>
          </w:p>
        </w:tc>
      </w:tr>
      <w:tr w:rsidR="00724034" w14:paraId="197B3A5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25"/>
        </w:trPr>
        <w:tc>
          <w:tcPr>
            <w:tcW w:w="0" w:type="auto"/>
            <w:tcBorders>
              <w:top w:val="nil"/>
              <w:left w:val="single" w:sz="6" w:space="0" w:color="000000"/>
              <w:bottom w:val="nil"/>
              <w:right w:val="nil"/>
              <w:tl2br w:val="nil"/>
              <w:tr2bl w:val="nil"/>
            </w:tcBorders>
            <w:shd w:val="clear" w:color="auto" w:fill="FFFFFF"/>
            <w:tcMar>
              <w:left w:w="115" w:type="dxa"/>
              <w:right w:w="115" w:type="dxa"/>
            </w:tcMar>
          </w:tcPr>
          <w:p w14:paraId="722B00BB" w14:textId="77777777" w:rsidR="00724034" w:rsidRDefault="00FB7D0B">
            <w:pPr>
              <w:rPr>
                <w:rFonts w:ascii="Arial" w:eastAsia="Arial" w:hAnsi="Arial" w:cs="Arial"/>
                <w:color w:val="000000"/>
                <w:sz w:val="16"/>
              </w:rPr>
            </w:pPr>
            <w:r>
              <w:rPr>
                <w:rFonts w:ascii="Arial" w:eastAsia="Arial" w:hAnsi="Arial" w:cs="Arial"/>
                <w:color w:val="000000"/>
                <w:sz w:val="16"/>
              </w:rPr>
              <w:t>Gardens of Remembrance</w:t>
            </w:r>
          </w:p>
        </w:tc>
        <w:tc>
          <w:tcPr>
            <w:tcW w:w="0" w:type="auto"/>
            <w:tcBorders>
              <w:top w:val="nil"/>
              <w:left w:val="nil"/>
              <w:bottom w:val="nil"/>
              <w:right w:val="nil"/>
              <w:tl2br w:val="nil"/>
              <w:tr2bl w:val="nil"/>
            </w:tcBorders>
            <w:shd w:val="clear" w:color="auto" w:fill="FFFFFF"/>
            <w:tcMar>
              <w:left w:w="115" w:type="dxa"/>
              <w:right w:w="115" w:type="dxa"/>
            </w:tcMar>
            <w:vAlign w:val="bottom"/>
          </w:tcPr>
          <w:p w14:paraId="76C80529" w14:textId="77777777" w:rsidR="00724034" w:rsidRDefault="00FB7D0B">
            <w:pPr>
              <w:jc w:val="right"/>
              <w:rPr>
                <w:rFonts w:ascii="Arial" w:eastAsia="Arial" w:hAnsi="Arial" w:cs="Arial"/>
                <w:color w:val="000000"/>
                <w:sz w:val="16"/>
              </w:rPr>
            </w:pPr>
            <w:r>
              <w:rPr>
                <w:rFonts w:ascii="Arial" w:eastAsia="Arial" w:hAnsi="Arial" w:cs="Arial"/>
                <w:color w:val="000000"/>
                <w:sz w:val="16"/>
              </w:rPr>
              <w:t>10 </w:t>
            </w:r>
          </w:p>
        </w:tc>
        <w:tc>
          <w:tcPr>
            <w:tcW w:w="0" w:type="auto"/>
            <w:tcBorders>
              <w:top w:val="nil"/>
              <w:left w:val="nil"/>
              <w:bottom w:val="nil"/>
              <w:right w:val="nil"/>
              <w:tl2br w:val="nil"/>
              <w:tr2bl w:val="nil"/>
            </w:tcBorders>
            <w:shd w:val="clear" w:color="auto" w:fill="FFFF00"/>
            <w:tcMar>
              <w:left w:w="115" w:type="dxa"/>
              <w:right w:w="115" w:type="dxa"/>
            </w:tcMar>
            <w:vAlign w:val="bottom"/>
          </w:tcPr>
          <w:p w14:paraId="727AE037" w14:textId="77777777" w:rsidR="00724034" w:rsidRDefault="00FB7D0B">
            <w:pPr>
              <w:jc w:val="right"/>
              <w:rPr>
                <w:rFonts w:ascii="Arial" w:eastAsia="Arial" w:hAnsi="Arial" w:cs="Arial"/>
                <w:color w:val="000000"/>
                <w:sz w:val="16"/>
              </w:rPr>
            </w:pPr>
            <w:r>
              <w:rPr>
                <w:rFonts w:ascii="Arial" w:eastAsia="Arial" w:hAnsi="Arial" w:cs="Arial"/>
                <w:color w:val="000000"/>
                <w:sz w:val="16"/>
              </w:rPr>
              <w:t>10 </w:t>
            </w:r>
          </w:p>
        </w:tc>
        <w:tc>
          <w:tcPr>
            <w:tcW w:w="0" w:type="auto"/>
            <w:tcBorders>
              <w:top w:val="nil"/>
              <w:left w:val="nil"/>
              <w:bottom w:val="nil"/>
              <w:right w:val="nil"/>
              <w:tl2br w:val="nil"/>
              <w:tr2bl w:val="nil"/>
            </w:tcBorders>
            <w:shd w:val="clear" w:color="auto" w:fill="FFFFFF"/>
            <w:tcMar>
              <w:left w:w="115" w:type="dxa"/>
              <w:right w:w="115" w:type="dxa"/>
            </w:tcMar>
            <w:vAlign w:val="bottom"/>
          </w:tcPr>
          <w:p w14:paraId="6EF89497" w14:textId="77777777" w:rsidR="00724034" w:rsidRDefault="00FB7D0B">
            <w:pPr>
              <w:jc w:val="right"/>
              <w:rPr>
                <w:rFonts w:ascii="Arial" w:eastAsia="Arial" w:hAnsi="Arial" w:cs="Arial"/>
                <w:color w:val="000000"/>
                <w:sz w:val="16"/>
              </w:rPr>
            </w:pPr>
            <w:r>
              <w:rPr>
                <w:rFonts w:ascii="Arial" w:eastAsia="Arial" w:hAnsi="Arial" w:cs="Arial"/>
                <w:color w:val="000000"/>
                <w:sz w:val="16"/>
              </w:rPr>
              <w:t>10 </w:t>
            </w:r>
          </w:p>
        </w:tc>
        <w:tc>
          <w:tcPr>
            <w:tcW w:w="0" w:type="auto"/>
            <w:tcBorders>
              <w:top w:val="nil"/>
              <w:left w:val="nil"/>
              <w:bottom w:val="nil"/>
              <w:right w:val="nil"/>
              <w:tl2br w:val="nil"/>
              <w:tr2bl w:val="nil"/>
            </w:tcBorders>
            <w:shd w:val="clear" w:color="auto" w:fill="FFFFFF"/>
            <w:tcMar>
              <w:left w:w="115" w:type="dxa"/>
              <w:right w:w="115" w:type="dxa"/>
            </w:tcMar>
            <w:vAlign w:val="bottom"/>
          </w:tcPr>
          <w:p w14:paraId="51695360" w14:textId="77777777" w:rsidR="00724034" w:rsidRDefault="00FB7D0B">
            <w:pPr>
              <w:jc w:val="right"/>
              <w:rPr>
                <w:rFonts w:ascii="Arial" w:eastAsia="Arial" w:hAnsi="Arial" w:cs="Arial"/>
                <w:color w:val="000000"/>
                <w:sz w:val="16"/>
              </w:rPr>
            </w:pPr>
            <w:r>
              <w:rPr>
                <w:rFonts w:ascii="Arial" w:eastAsia="Arial" w:hAnsi="Arial" w:cs="Arial"/>
                <w:color w:val="000000"/>
                <w:sz w:val="16"/>
              </w:rPr>
              <w:t>10 </w:t>
            </w:r>
          </w:p>
        </w:tc>
        <w:tc>
          <w:tcPr>
            <w:tcW w:w="0" w:type="auto"/>
            <w:tcBorders>
              <w:top w:val="nil"/>
              <w:left w:val="nil"/>
              <w:bottom w:val="nil"/>
              <w:right w:val="single" w:sz="6" w:space="0" w:color="000000"/>
              <w:tl2br w:val="nil"/>
              <w:tr2bl w:val="nil"/>
            </w:tcBorders>
            <w:shd w:val="clear" w:color="auto" w:fill="FFFFFF"/>
            <w:tcMar>
              <w:left w:w="115" w:type="dxa"/>
              <w:right w:w="115" w:type="dxa"/>
            </w:tcMar>
            <w:vAlign w:val="bottom"/>
          </w:tcPr>
          <w:p w14:paraId="50B060B7" w14:textId="77777777" w:rsidR="00724034" w:rsidRDefault="00FB7D0B">
            <w:pPr>
              <w:jc w:val="right"/>
              <w:rPr>
                <w:rFonts w:ascii="Arial" w:eastAsia="Arial" w:hAnsi="Arial" w:cs="Arial"/>
                <w:color w:val="000000"/>
                <w:sz w:val="16"/>
              </w:rPr>
            </w:pPr>
            <w:r>
              <w:rPr>
                <w:rFonts w:ascii="Arial" w:eastAsia="Arial" w:hAnsi="Arial" w:cs="Arial"/>
                <w:color w:val="000000"/>
                <w:sz w:val="16"/>
              </w:rPr>
              <w:t xml:space="preserve"> 10 </w:t>
            </w:r>
          </w:p>
        </w:tc>
      </w:tr>
      <w:tr w:rsidR="00724034" w14:paraId="09834AC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25"/>
        </w:trPr>
        <w:tc>
          <w:tcPr>
            <w:tcW w:w="0" w:type="auto"/>
            <w:tcBorders>
              <w:top w:val="nil"/>
              <w:left w:val="single" w:sz="6" w:space="0" w:color="000000"/>
              <w:bottom w:val="nil"/>
              <w:right w:val="nil"/>
              <w:tl2br w:val="nil"/>
              <w:tr2bl w:val="nil"/>
            </w:tcBorders>
            <w:shd w:val="clear" w:color="auto" w:fill="FFFFFF"/>
            <w:tcMar>
              <w:left w:w="115" w:type="dxa"/>
              <w:right w:w="115" w:type="dxa"/>
            </w:tcMar>
          </w:tcPr>
          <w:p w14:paraId="277966EF" w14:textId="77777777" w:rsidR="00724034" w:rsidRDefault="00FB7D0B">
            <w:pPr>
              <w:rPr>
                <w:rFonts w:ascii="Arial" w:eastAsia="Arial" w:hAnsi="Arial" w:cs="Arial"/>
                <w:color w:val="000000"/>
                <w:sz w:val="16"/>
              </w:rPr>
            </w:pPr>
            <w:r>
              <w:rPr>
                <w:rFonts w:ascii="Arial" w:eastAsia="Arial" w:hAnsi="Arial" w:cs="Arial"/>
                <w:color w:val="000000"/>
                <w:sz w:val="16"/>
              </w:rPr>
              <w:t>Memorials to the Missing</w:t>
            </w:r>
          </w:p>
        </w:tc>
        <w:tc>
          <w:tcPr>
            <w:tcW w:w="0" w:type="auto"/>
            <w:tcBorders>
              <w:top w:val="nil"/>
              <w:left w:val="nil"/>
              <w:bottom w:val="nil"/>
              <w:right w:val="nil"/>
              <w:tl2br w:val="nil"/>
              <w:tr2bl w:val="nil"/>
            </w:tcBorders>
            <w:shd w:val="clear" w:color="auto" w:fill="FFFFFF"/>
            <w:tcMar>
              <w:left w:w="115" w:type="dxa"/>
              <w:right w:w="115" w:type="dxa"/>
            </w:tcMar>
            <w:vAlign w:val="bottom"/>
          </w:tcPr>
          <w:p w14:paraId="776E9E10" w14:textId="77777777" w:rsidR="00724034" w:rsidRDefault="00FB7D0B">
            <w:pPr>
              <w:jc w:val="right"/>
              <w:rPr>
                <w:rFonts w:ascii="Arial" w:eastAsia="Arial" w:hAnsi="Arial" w:cs="Arial"/>
                <w:color w:val="000000"/>
                <w:sz w:val="16"/>
              </w:rPr>
            </w:pPr>
            <w:r>
              <w:rPr>
                <w:rFonts w:ascii="Arial" w:eastAsia="Arial" w:hAnsi="Arial" w:cs="Arial"/>
                <w:color w:val="000000"/>
                <w:sz w:val="16"/>
              </w:rPr>
              <w:t>5 </w:t>
            </w:r>
          </w:p>
        </w:tc>
        <w:tc>
          <w:tcPr>
            <w:tcW w:w="0" w:type="auto"/>
            <w:tcBorders>
              <w:top w:val="nil"/>
              <w:left w:val="nil"/>
              <w:bottom w:val="nil"/>
              <w:right w:val="nil"/>
              <w:tl2br w:val="nil"/>
              <w:tr2bl w:val="nil"/>
            </w:tcBorders>
            <w:shd w:val="clear" w:color="auto" w:fill="FFFF00"/>
            <w:tcMar>
              <w:left w:w="115" w:type="dxa"/>
              <w:right w:w="115" w:type="dxa"/>
            </w:tcMar>
            <w:vAlign w:val="bottom"/>
          </w:tcPr>
          <w:p w14:paraId="69B2B157" w14:textId="77777777" w:rsidR="00724034" w:rsidRDefault="00FB7D0B">
            <w:pPr>
              <w:jc w:val="right"/>
              <w:rPr>
                <w:rFonts w:ascii="Arial" w:eastAsia="Arial" w:hAnsi="Arial" w:cs="Arial"/>
                <w:color w:val="000000"/>
                <w:sz w:val="16"/>
              </w:rPr>
            </w:pPr>
            <w:r>
              <w:rPr>
                <w:rFonts w:ascii="Arial" w:eastAsia="Arial" w:hAnsi="Arial" w:cs="Arial"/>
                <w:color w:val="000000"/>
                <w:sz w:val="16"/>
              </w:rPr>
              <w:t>5 </w:t>
            </w:r>
          </w:p>
        </w:tc>
        <w:tc>
          <w:tcPr>
            <w:tcW w:w="0" w:type="auto"/>
            <w:tcBorders>
              <w:top w:val="nil"/>
              <w:left w:val="nil"/>
              <w:bottom w:val="nil"/>
              <w:right w:val="nil"/>
              <w:tl2br w:val="nil"/>
              <w:tr2bl w:val="nil"/>
            </w:tcBorders>
            <w:shd w:val="clear" w:color="auto" w:fill="FFFFFF"/>
            <w:tcMar>
              <w:left w:w="115" w:type="dxa"/>
              <w:right w:w="115" w:type="dxa"/>
            </w:tcMar>
            <w:vAlign w:val="bottom"/>
          </w:tcPr>
          <w:p w14:paraId="074A353E" w14:textId="77777777" w:rsidR="00724034" w:rsidRDefault="00FB7D0B">
            <w:pPr>
              <w:jc w:val="right"/>
              <w:rPr>
                <w:rFonts w:ascii="Arial" w:eastAsia="Arial" w:hAnsi="Arial" w:cs="Arial"/>
                <w:color w:val="000000"/>
                <w:sz w:val="16"/>
              </w:rPr>
            </w:pPr>
            <w:r>
              <w:rPr>
                <w:rFonts w:ascii="Arial" w:eastAsia="Arial" w:hAnsi="Arial" w:cs="Arial"/>
                <w:color w:val="000000"/>
                <w:sz w:val="16"/>
              </w:rPr>
              <w:t>5 </w:t>
            </w:r>
          </w:p>
        </w:tc>
        <w:tc>
          <w:tcPr>
            <w:tcW w:w="0" w:type="auto"/>
            <w:tcBorders>
              <w:top w:val="nil"/>
              <w:left w:val="nil"/>
              <w:bottom w:val="nil"/>
              <w:right w:val="nil"/>
              <w:tl2br w:val="nil"/>
              <w:tr2bl w:val="nil"/>
            </w:tcBorders>
            <w:shd w:val="clear" w:color="auto" w:fill="FFFFFF"/>
            <w:tcMar>
              <w:left w:w="115" w:type="dxa"/>
              <w:right w:w="115" w:type="dxa"/>
            </w:tcMar>
            <w:vAlign w:val="bottom"/>
          </w:tcPr>
          <w:p w14:paraId="44E94ECF" w14:textId="77777777" w:rsidR="00724034" w:rsidRDefault="00FB7D0B">
            <w:pPr>
              <w:jc w:val="right"/>
              <w:rPr>
                <w:rFonts w:ascii="Arial" w:eastAsia="Arial" w:hAnsi="Arial" w:cs="Arial"/>
                <w:color w:val="000000"/>
                <w:sz w:val="16"/>
              </w:rPr>
            </w:pPr>
            <w:r>
              <w:rPr>
                <w:rFonts w:ascii="Arial" w:eastAsia="Arial" w:hAnsi="Arial" w:cs="Arial"/>
                <w:color w:val="000000"/>
                <w:sz w:val="16"/>
              </w:rPr>
              <w:t>5 </w:t>
            </w:r>
          </w:p>
        </w:tc>
        <w:tc>
          <w:tcPr>
            <w:tcW w:w="0" w:type="auto"/>
            <w:tcBorders>
              <w:top w:val="nil"/>
              <w:left w:val="nil"/>
              <w:bottom w:val="nil"/>
              <w:right w:val="single" w:sz="6" w:space="0" w:color="000000"/>
              <w:tl2br w:val="nil"/>
              <w:tr2bl w:val="nil"/>
            </w:tcBorders>
            <w:shd w:val="clear" w:color="auto" w:fill="FFFFFF"/>
            <w:tcMar>
              <w:left w:w="115" w:type="dxa"/>
              <w:right w:w="115" w:type="dxa"/>
            </w:tcMar>
            <w:vAlign w:val="bottom"/>
          </w:tcPr>
          <w:p w14:paraId="45813962" w14:textId="77777777" w:rsidR="00724034" w:rsidRDefault="00FB7D0B">
            <w:pPr>
              <w:jc w:val="right"/>
              <w:rPr>
                <w:rFonts w:ascii="Arial" w:eastAsia="Arial" w:hAnsi="Arial" w:cs="Arial"/>
                <w:color w:val="000000"/>
                <w:sz w:val="16"/>
              </w:rPr>
            </w:pPr>
            <w:r>
              <w:rPr>
                <w:rFonts w:ascii="Arial" w:eastAsia="Arial" w:hAnsi="Arial" w:cs="Arial"/>
                <w:color w:val="000000"/>
                <w:sz w:val="16"/>
              </w:rPr>
              <w:t xml:space="preserve"> 5 </w:t>
            </w:r>
          </w:p>
        </w:tc>
      </w:tr>
      <w:tr w:rsidR="00724034" w14:paraId="54939FF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25"/>
        </w:trPr>
        <w:tc>
          <w:tcPr>
            <w:tcW w:w="0" w:type="auto"/>
            <w:tcBorders>
              <w:top w:val="nil"/>
              <w:left w:val="single" w:sz="6" w:space="0" w:color="000000"/>
              <w:bottom w:val="nil"/>
              <w:right w:val="nil"/>
              <w:tl2br w:val="nil"/>
              <w:tr2bl w:val="nil"/>
            </w:tcBorders>
            <w:shd w:val="clear" w:color="auto" w:fill="FFFFFF"/>
            <w:tcMar>
              <w:left w:w="115" w:type="dxa"/>
              <w:right w:w="115" w:type="dxa"/>
            </w:tcMar>
          </w:tcPr>
          <w:p w14:paraId="0CD99163" w14:textId="77777777" w:rsidR="00724034" w:rsidRDefault="00FB7D0B">
            <w:pPr>
              <w:rPr>
                <w:rFonts w:ascii="Arial" w:eastAsia="Arial" w:hAnsi="Arial" w:cs="Arial"/>
                <w:color w:val="000000"/>
                <w:sz w:val="16"/>
              </w:rPr>
            </w:pPr>
            <w:r>
              <w:rPr>
                <w:rFonts w:ascii="Arial" w:eastAsia="Arial" w:hAnsi="Arial" w:cs="Arial"/>
                <w:color w:val="000000"/>
                <w:sz w:val="16"/>
              </w:rPr>
              <w:t>War Graves in Australia and PNG</w:t>
            </w:r>
          </w:p>
        </w:tc>
        <w:tc>
          <w:tcPr>
            <w:tcW w:w="0" w:type="auto"/>
            <w:tcBorders>
              <w:top w:val="nil"/>
              <w:left w:val="nil"/>
              <w:bottom w:val="nil"/>
              <w:right w:val="nil"/>
              <w:tl2br w:val="nil"/>
              <w:tr2bl w:val="nil"/>
            </w:tcBorders>
            <w:shd w:val="clear" w:color="auto" w:fill="FFFFFF"/>
            <w:tcMar>
              <w:left w:w="115" w:type="dxa"/>
              <w:right w:w="115" w:type="dxa"/>
            </w:tcMar>
            <w:vAlign w:val="bottom"/>
          </w:tcPr>
          <w:p w14:paraId="11AB408F" w14:textId="77777777" w:rsidR="00724034" w:rsidRDefault="00FB7D0B">
            <w:pPr>
              <w:jc w:val="right"/>
              <w:rPr>
                <w:rFonts w:ascii="Arial" w:eastAsia="Arial" w:hAnsi="Arial" w:cs="Arial"/>
                <w:color w:val="000000"/>
                <w:sz w:val="16"/>
              </w:rPr>
            </w:pPr>
            <w:r>
              <w:rPr>
                <w:rFonts w:ascii="Arial" w:eastAsia="Arial" w:hAnsi="Arial" w:cs="Arial"/>
                <w:color w:val="000000"/>
                <w:sz w:val="16"/>
              </w:rPr>
              <w:t>21,012 </w:t>
            </w:r>
          </w:p>
        </w:tc>
        <w:tc>
          <w:tcPr>
            <w:tcW w:w="0" w:type="auto"/>
            <w:tcBorders>
              <w:top w:val="nil"/>
              <w:left w:val="nil"/>
              <w:bottom w:val="nil"/>
              <w:right w:val="nil"/>
              <w:tl2br w:val="nil"/>
              <w:tr2bl w:val="nil"/>
            </w:tcBorders>
            <w:shd w:val="clear" w:color="auto" w:fill="FFFF00"/>
            <w:tcMar>
              <w:left w:w="115" w:type="dxa"/>
              <w:right w:w="115" w:type="dxa"/>
            </w:tcMar>
            <w:vAlign w:val="bottom"/>
          </w:tcPr>
          <w:p w14:paraId="71D86D43" w14:textId="77777777" w:rsidR="00724034" w:rsidRDefault="00FB7D0B">
            <w:pPr>
              <w:jc w:val="right"/>
              <w:rPr>
                <w:rFonts w:ascii="Arial" w:eastAsia="Arial" w:hAnsi="Arial" w:cs="Arial"/>
                <w:color w:val="000000"/>
                <w:sz w:val="16"/>
              </w:rPr>
            </w:pPr>
            <w:r>
              <w:rPr>
                <w:rFonts w:ascii="Arial" w:eastAsia="Arial" w:hAnsi="Arial" w:cs="Arial"/>
                <w:color w:val="000000"/>
                <w:sz w:val="16"/>
              </w:rPr>
              <w:t>21,012 </w:t>
            </w:r>
          </w:p>
        </w:tc>
        <w:tc>
          <w:tcPr>
            <w:tcW w:w="0" w:type="auto"/>
            <w:tcBorders>
              <w:top w:val="nil"/>
              <w:left w:val="nil"/>
              <w:bottom w:val="nil"/>
              <w:right w:val="nil"/>
              <w:tl2br w:val="nil"/>
              <w:tr2bl w:val="nil"/>
            </w:tcBorders>
            <w:shd w:val="clear" w:color="auto" w:fill="FFFFFF"/>
            <w:tcMar>
              <w:left w:w="115" w:type="dxa"/>
              <w:right w:w="115" w:type="dxa"/>
            </w:tcMar>
            <w:vAlign w:val="bottom"/>
          </w:tcPr>
          <w:p w14:paraId="16E48FD7" w14:textId="77777777" w:rsidR="00724034" w:rsidRDefault="00FB7D0B">
            <w:pPr>
              <w:jc w:val="right"/>
              <w:rPr>
                <w:rFonts w:ascii="Arial" w:eastAsia="Arial" w:hAnsi="Arial" w:cs="Arial"/>
                <w:color w:val="000000"/>
                <w:sz w:val="16"/>
              </w:rPr>
            </w:pPr>
            <w:r>
              <w:rPr>
                <w:rFonts w:ascii="Arial" w:eastAsia="Arial" w:hAnsi="Arial" w:cs="Arial"/>
                <w:color w:val="000000"/>
                <w:sz w:val="16"/>
              </w:rPr>
              <w:t>21,012 </w:t>
            </w:r>
          </w:p>
        </w:tc>
        <w:tc>
          <w:tcPr>
            <w:tcW w:w="0" w:type="auto"/>
            <w:tcBorders>
              <w:top w:val="nil"/>
              <w:left w:val="nil"/>
              <w:bottom w:val="nil"/>
              <w:right w:val="nil"/>
              <w:tl2br w:val="nil"/>
              <w:tr2bl w:val="nil"/>
            </w:tcBorders>
            <w:shd w:val="clear" w:color="auto" w:fill="FFFFFF"/>
            <w:tcMar>
              <w:left w:w="115" w:type="dxa"/>
              <w:right w:w="115" w:type="dxa"/>
            </w:tcMar>
            <w:vAlign w:val="bottom"/>
          </w:tcPr>
          <w:p w14:paraId="596EDF2E" w14:textId="77777777" w:rsidR="00724034" w:rsidRDefault="00FB7D0B">
            <w:pPr>
              <w:jc w:val="right"/>
              <w:rPr>
                <w:rFonts w:ascii="Arial" w:eastAsia="Arial" w:hAnsi="Arial" w:cs="Arial"/>
                <w:color w:val="000000"/>
                <w:sz w:val="16"/>
              </w:rPr>
            </w:pPr>
            <w:r>
              <w:rPr>
                <w:rFonts w:ascii="Arial" w:eastAsia="Arial" w:hAnsi="Arial" w:cs="Arial"/>
                <w:color w:val="000000"/>
                <w:sz w:val="16"/>
              </w:rPr>
              <w:t>21,012 </w:t>
            </w:r>
          </w:p>
        </w:tc>
        <w:tc>
          <w:tcPr>
            <w:tcW w:w="0" w:type="auto"/>
            <w:tcBorders>
              <w:top w:val="nil"/>
              <w:left w:val="nil"/>
              <w:bottom w:val="nil"/>
              <w:right w:val="single" w:sz="6" w:space="0" w:color="000000"/>
              <w:tl2br w:val="nil"/>
              <w:tr2bl w:val="nil"/>
            </w:tcBorders>
            <w:shd w:val="clear" w:color="auto" w:fill="FFFFFF"/>
            <w:tcMar>
              <w:left w:w="115" w:type="dxa"/>
              <w:right w:w="115" w:type="dxa"/>
            </w:tcMar>
            <w:vAlign w:val="bottom"/>
          </w:tcPr>
          <w:p w14:paraId="0D74CAC5" w14:textId="77777777" w:rsidR="00724034" w:rsidRDefault="00FB7D0B">
            <w:pPr>
              <w:jc w:val="right"/>
              <w:rPr>
                <w:rFonts w:ascii="Arial" w:eastAsia="Arial" w:hAnsi="Arial" w:cs="Arial"/>
                <w:color w:val="000000"/>
                <w:sz w:val="16"/>
              </w:rPr>
            </w:pPr>
            <w:r>
              <w:rPr>
                <w:rFonts w:ascii="Arial" w:eastAsia="Arial" w:hAnsi="Arial" w:cs="Arial"/>
                <w:color w:val="000000"/>
                <w:sz w:val="16"/>
              </w:rPr>
              <w:t xml:space="preserve"> 21,012 </w:t>
            </w:r>
          </w:p>
        </w:tc>
      </w:tr>
      <w:tr w:rsidR="00724034" w14:paraId="67B5491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55"/>
        </w:trPr>
        <w:tc>
          <w:tcPr>
            <w:tcW w:w="0" w:type="auto"/>
            <w:tcBorders>
              <w:top w:val="nil"/>
              <w:left w:val="single" w:sz="6" w:space="0" w:color="000000"/>
              <w:bottom w:val="nil"/>
              <w:right w:val="nil"/>
              <w:tl2br w:val="nil"/>
              <w:tr2bl w:val="nil"/>
            </w:tcBorders>
            <w:shd w:val="clear" w:color="auto" w:fill="FFFFFF"/>
            <w:tcMar>
              <w:left w:w="115" w:type="dxa"/>
              <w:right w:w="115" w:type="dxa"/>
            </w:tcMar>
          </w:tcPr>
          <w:p w14:paraId="3E6D7E22" w14:textId="77777777" w:rsidR="00724034" w:rsidRDefault="00FB7D0B">
            <w:pPr>
              <w:rPr>
                <w:rFonts w:ascii="Arial" w:eastAsia="Arial" w:hAnsi="Arial" w:cs="Arial"/>
                <w:color w:val="000000"/>
                <w:sz w:val="16"/>
              </w:rPr>
            </w:pPr>
            <w:r>
              <w:rPr>
                <w:rFonts w:ascii="Arial" w:eastAsia="Arial" w:hAnsi="Arial" w:cs="Arial"/>
                <w:color w:val="000000"/>
                <w:sz w:val="16"/>
              </w:rPr>
              <w:t>Overseas Graves (non world wars)</w:t>
            </w:r>
          </w:p>
        </w:tc>
        <w:tc>
          <w:tcPr>
            <w:tcW w:w="0" w:type="auto"/>
            <w:tcBorders>
              <w:top w:val="nil"/>
              <w:left w:val="nil"/>
              <w:bottom w:val="nil"/>
              <w:right w:val="nil"/>
              <w:tl2br w:val="nil"/>
              <w:tr2bl w:val="nil"/>
            </w:tcBorders>
            <w:shd w:val="clear" w:color="auto" w:fill="FFFFFF"/>
            <w:tcMar>
              <w:left w:w="115" w:type="dxa"/>
              <w:right w:w="115" w:type="dxa"/>
            </w:tcMar>
            <w:vAlign w:val="bottom"/>
          </w:tcPr>
          <w:p w14:paraId="098CB44C" w14:textId="77777777" w:rsidR="00724034" w:rsidRDefault="00FB7D0B">
            <w:pPr>
              <w:jc w:val="right"/>
              <w:rPr>
                <w:rFonts w:ascii="Arial" w:eastAsia="Arial" w:hAnsi="Arial" w:cs="Arial"/>
                <w:color w:val="000000"/>
                <w:sz w:val="16"/>
              </w:rPr>
            </w:pPr>
            <w:r>
              <w:rPr>
                <w:rFonts w:ascii="Arial" w:eastAsia="Arial" w:hAnsi="Arial" w:cs="Arial"/>
                <w:color w:val="000000"/>
                <w:sz w:val="16"/>
              </w:rPr>
              <w:t>1,043 </w:t>
            </w:r>
          </w:p>
        </w:tc>
        <w:tc>
          <w:tcPr>
            <w:tcW w:w="0" w:type="auto"/>
            <w:tcBorders>
              <w:top w:val="nil"/>
              <w:left w:val="nil"/>
              <w:bottom w:val="nil"/>
              <w:right w:val="nil"/>
              <w:tl2br w:val="nil"/>
              <w:tr2bl w:val="nil"/>
            </w:tcBorders>
            <w:shd w:val="clear" w:color="auto" w:fill="FFFF00"/>
            <w:tcMar>
              <w:left w:w="115" w:type="dxa"/>
              <w:right w:w="115" w:type="dxa"/>
            </w:tcMar>
            <w:vAlign w:val="bottom"/>
          </w:tcPr>
          <w:p w14:paraId="75ED8832" w14:textId="77777777" w:rsidR="00724034" w:rsidRDefault="00FB7D0B">
            <w:pPr>
              <w:jc w:val="right"/>
              <w:rPr>
                <w:rFonts w:ascii="Arial" w:eastAsia="Arial" w:hAnsi="Arial" w:cs="Arial"/>
                <w:color w:val="000000"/>
                <w:sz w:val="16"/>
              </w:rPr>
            </w:pPr>
            <w:r>
              <w:rPr>
                <w:rFonts w:ascii="Arial" w:eastAsia="Arial" w:hAnsi="Arial" w:cs="Arial"/>
                <w:color w:val="000000"/>
                <w:sz w:val="16"/>
              </w:rPr>
              <w:t>1,043 </w:t>
            </w:r>
          </w:p>
        </w:tc>
        <w:tc>
          <w:tcPr>
            <w:tcW w:w="0" w:type="auto"/>
            <w:tcBorders>
              <w:top w:val="nil"/>
              <w:left w:val="nil"/>
              <w:bottom w:val="nil"/>
              <w:right w:val="nil"/>
              <w:tl2br w:val="nil"/>
              <w:tr2bl w:val="nil"/>
            </w:tcBorders>
            <w:shd w:val="clear" w:color="auto" w:fill="FFFFFF"/>
            <w:tcMar>
              <w:left w:w="115" w:type="dxa"/>
              <w:right w:w="115" w:type="dxa"/>
            </w:tcMar>
            <w:vAlign w:val="bottom"/>
          </w:tcPr>
          <w:p w14:paraId="348ED608" w14:textId="77777777" w:rsidR="00724034" w:rsidRDefault="00FB7D0B">
            <w:pPr>
              <w:jc w:val="right"/>
              <w:rPr>
                <w:rFonts w:ascii="Arial" w:eastAsia="Arial" w:hAnsi="Arial" w:cs="Arial"/>
                <w:color w:val="000000"/>
                <w:sz w:val="16"/>
              </w:rPr>
            </w:pPr>
            <w:r>
              <w:rPr>
                <w:rFonts w:ascii="Arial" w:eastAsia="Arial" w:hAnsi="Arial" w:cs="Arial"/>
                <w:color w:val="000000"/>
                <w:sz w:val="16"/>
              </w:rPr>
              <w:t>1,043 </w:t>
            </w:r>
          </w:p>
        </w:tc>
        <w:tc>
          <w:tcPr>
            <w:tcW w:w="0" w:type="auto"/>
            <w:tcBorders>
              <w:top w:val="nil"/>
              <w:left w:val="nil"/>
              <w:bottom w:val="nil"/>
              <w:right w:val="nil"/>
              <w:tl2br w:val="nil"/>
              <w:tr2bl w:val="nil"/>
            </w:tcBorders>
            <w:shd w:val="clear" w:color="auto" w:fill="FFFFFF"/>
            <w:tcMar>
              <w:left w:w="115" w:type="dxa"/>
              <w:right w:w="115" w:type="dxa"/>
            </w:tcMar>
            <w:vAlign w:val="bottom"/>
          </w:tcPr>
          <w:p w14:paraId="66B5D216" w14:textId="77777777" w:rsidR="00724034" w:rsidRDefault="00FB7D0B">
            <w:pPr>
              <w:jc w:val="right"/>
              <w:rPr>
                <w:rFonts w:ascii="Arial" w:eastAsia="Arial" w:hAnsi="Arial" w:cs="Arial"/>
                <w:color w:val="000000"/>
                <w:sz w:val="16"/>
              </w:rPr>
            </w:pPr>
            <w:r>
              <w:rPr>
                <w:rFonts w:ascii="Arial" w:eastAsia="Arial" w:hAnsi="Arial" w:cs="Arial"/>
                <w:color w:val="000000"/>
                <w:sz w:val="16"/>
              </w:rPr>
              <w:t>1,043 </w:t>
            </w:r>
          </w:p>
        </w:tc>
        <w:tc>
          <w:tcPr>
            <w:tcW w:w="0" w:type="auto"/>
            <w:tcBorders>
              <w:top w:val="nil"/>
              <w:left w:val="nil"/>
              <w:bottom w:val="nil"/>
              <w:right w:val="single" w:sz="6" w:space="0" w:color="000000"/>
              <w:tl2br w:val="nil"/>
              <w:tr2bl w:val="nil"/>
            </w:tcBorders>
            <w:shd w:val="clear" w:color="auto" w:fill="FFFFFF"/>
            <w:tcMar>
              <w:left w:w="115" w:type="dxa"/>
              <w:right w:w="115" w:type="dxa"/>
            </w:tcMar>
            <w:vAlign w:val="bottom"/>
          </w:tcPr>
          <w:p w14:paraId="68498662" w14:textId="77777777" w:rsidR="00724034" w:rsidRDefault="00FB7D0B">
            <w:pPr>
              <w:jc w:val="right"/>
              <w:rPr>
                <w:rFonts w:ascii="Arial" w:eastAsia="Arial" w:hAnsi="Arial" w:cs="Arial"/>
                <w:color w:val="000000"/>
                <w:sz w:val="16"/>
              </w:rPr>
            </w:pPr>
            <w:r>
              <w:rPr>
                <w:rFonts w:ascii="Arial" w:eastAsia="Arial" w:hAnsi="Arial" w:cs="Arial"/>
                <w:color w:val="000000"/>
                <w:sz w:val="16"/>
              </w:rPr>
              <w:t xml:space="preserve"> 1,043 </w:t>
            </w:r>
          </w:p>
        </w:tc>
      </w:tr>
      <w:tr w:rsidR="00724034" w14:paraId="3A236C6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25"/>
        </w:trPr>
        <w:tc>
          <w:tcPr>
            <w:tcW w:w="0" w:type="auto"/>
            <w:tcBorders>
              <w:top w:val="nil"/>
              <w:left w:val="single" w:sz="6" w:space="0" w:color="000000"/>
              <w:bottom w:val="nil"/>
              <w:right w:val="nil"/>
              <w:tl2br w:val="nil"/>
              <w:tr2bl w:val="nil"/>
            </w:tcBorders>
            <w:shd w:val="clear" w:color="auto" w:fill="FFFFFF"/>
            <w:tcMar>
              <w:left w:w="115" w:type="dxa"/>
              <w:right w:w="115" w:type="dxa"/>
            </w:tcMar>
          </w:tcPr>
          <w:p w14:paraId="30C31D34" w14:textId="77777777" w:rsidR="00724034" w:rsidRDefault="00FB7D0B">
            <w:pPr>
              <w:rPr>
                <w:rFonts w:ascii="Arial" w:eastAsia="Arial" w:hAnsi="Arial" w:cs="Arial"/>
                <w:color w:val="000000"/>
                <w:sz w:val="16"/>
              </w:rPr>
            </w:pPr>
            <w:r>
              <w:rPr>
                <w:rFonts w:ascii="Arial" w:eastAsia="Arial" w:hAnsi="Arial" w:cs="Arial"/>
                <w:color w:val="000000"/>
                <w:sz w:val="16"/>
              </w:rPr>
              <w:t>Post War Commemorations</w:t>
            </w:r>
          </w:p>
        </w:tc>
        <w:tc>
          <w:tcPr>
            <w:tcW w:w="0" w:type="auto"/>
            <w:tcBorders>
              <w:top w:val="nil"/>
              <w:left w:val="nil"/>
              <w:bottom w:val="nil"/>
              <w:right w:val="nil"/>
              <w:tl2br w:val="nil"/>
              <w:tr2bl w:val="nil"/>
            </w:tcBorders>
            <w:shd w:val="clear" w:color="auto" w:fill="FFFFFF"/>
            <w:tcMar>
              <w:left w:w="115" w:type="dxa"/>
              <w:right w:w="115" w:type="dxa"/>
            </w:tcMar>
            <w:vAlign w:val="bottom"/>
          </w:tcPr>
          <w:p w14:paraId="48441FCB" w14:textId="77777777" w:rsidR="00724034" w:rsidRDefault="00FB7D0B">
            <w:pPr>
              <w:jc w:val="right"/>
              <w:rPr>
                <w:rFonts w:ascii="Arial" w:eastAsia="Arial" w:hAnsi="Arial" w:cs="Arial"/>
                <w:color w:val="000000"/>
                <w:sz w:val="16"/>
              </w:rPr>
            </w:pPr>
            <w:r>
              <w:rPr>
                <w:rFonts w:ascii="Arial" w:eastAsia="Arial" w:hAnsi="Arial" w:cs="Arial"/>
                <w:color w:val="000000"/>
                <w:sz w:val="16"/>
              </w:rPr>
              <w:t>310,104 </w:t>
            </w:r>
          </w:p>
        </w:tc>
        <w:tc>
          <w:tcPr>
            <w:tcW w:w="0" w:type="auto"/>
            <w:tcBorders>
              <w:top w:val="nil"/>
              <w:left w:val="nil"/>
              <w:bottom w:val="nil"/>
              <w:right w:val="nil"/>
              <w:tl2br w:val="nil"/>
              <w:tr2bl w:val="nil"/>
            </w:tcBorders>
            <w:shd w:val="clear" w:color="auto" w:fill="FFFF00"/>
            <w:tcMar>
              <w:left w:w="115" w:type="dxa"/>
              <w:right w:w="115" w:type="dxa"/>
            </w:tcMar>
            <w:vAlign w:val="bottom"/>
          </w:tcPr>
          <w:p w14:paraId="788488A8" w14:textId="77777777" w:rsidR="00724034" w:rsidRDefault="00FB7D0B">
            <w:pPr>
              <w:jc w:val="right"/>
              <w:rPr>
                <w:rFonts w:ascii="Arial" w:eastAsia="Arial" w:hAnsi="Arial" w:cs="Arial"/>
                <w:color w:val="000000"/>
                <w:sz w:val="16"/>
              </w:rPr>
            </w:pPr>
            <w:r>
              <w:rPr>
                <w:rFonts w:ascii="Arial" w:eastAsia="Arial" w:hAnsi="Arial" w:cs="Arial"/>
                <w:color w:val="000000"/>
                <w:sz w:val="16"/>
              </w:rPr>
              <w:t>313,970 </w:t>
            </w:r>
          </w:p>
        </w:tc>
        <w:tc>
          <w:tcPr>
            <w:tcW w:w="0" w:type="auto"/>
            <w:tcBorders>
              <w:top w:val="nil"/>
              <w:left w:val="nil"/>
              <w:bottom w:val="nil"/>
              <w:right w:val="nil"/>
              <w:tl2br w:val="nil"/>
              <w:tr2bl w:val="nil"/>
            </w:tcBorders>
            <w:shd w:val="clear" w:color="auto" w:fill="FFFFFF"/>
            <w:tcMar>
              <w:left w:w="115" w:type="dxa"/>
              <w:right w:w="115" w:type="dxa"/>
            </w:tcMar>
            <w:vAlign w:val="bottom"/>
          </w:tcPr>
          <w:p w14:paraId="0F7B940A" w14:textId="77777777" w:rsidR="00724034" w:rsidRDefault="00FB7D0B">
            <w:pPr>
              <w:jc w:val="right"/>
              <w:rPr>
                <w:rFonts w:ascii="Arial" w:eastAsia="Arial" w:hAnsi="Arial" w:cs="Arial"/>
                <w:color w:val="000000"/>
                <w:sz w:val="16"/>
              </w:rPr>
            </w:pPr>
            <w:r>
              <w:rPr>
                <w:rFonts w:ascii="Arial" w:eastAsia="Arial" w:hAnsi="Arial" w:cs="Arial"/>
                <w:color w:val="000000"/>
                <w:sz w:val="16"/>
              </w:rPr>
              <w:t>317,581 </w:t>
            </w:r>
          </w:p>
        </w:tc>
        <w:tc>
          <w:tcPr>
            <w:tcW w:w="0" w:type="auto"/>
            <w:tcBorders>
              <w:top w:val="nil"/>
              <w:left w:val="nil"/>
              <w:bottom w:val="nil"/>
              <w:right w:val="nil"/>
              <w:tl2br w:val="nil"/>
              <w:tr2bl w:val="nil"/>
            </w:tcBorders>
            <w:shd w:val="clear" w:color="auto" w:fill="FFFFFF"/>
            <w:tcMar>
              <w:left w:w="115" w:type="dxa"/>
              <w:right w:w="115" w:type="dxa"/>
            </w:tcMar>
            <w:vAlign w:val="bottom"/>
          </w:tcPr>
          <w:p w14:paraId="12EAF29E" w14:textId="77777777" w:rsidR="00724034" w:rsidRDefault="00FB7D0B">
            <w:pPr>
              <w:jc w:val="right"/>
              <w:rPr>
                <w:rFonts w:ascii="Arial" w:eastAsia="Arial" w:hAnsi="Arial" w:cs="Arial"/>
                <w:color w:val="000000"/>
                <w:sz w:val="16"/>
              </w:rPr>
            </w:pPr>
            <w:r>
              <w:rPr>
                <w:rFonts w:ascii="Arial" w:eastAsia="Arial" w:hAnsi="Arial" w:cs="Arial"/>
                <w:color w:val="000000"/>
                <w:sz w:val="16"/>
              </w:rPr>
              <w:t>320,937 </w:t>
            </w:r>
          </w:p>
        </w:tc>
        <w:tc>
          <w:tcPr>
            <w:tcW w:w="0" w:type="auto"/>
            <w:tcBorders>
              <w:top w:val="nil"/>
              <w:left w:val="nil"/>
              <w:bottom w:val="nil"/>
              <w:right w:val="single" w:sz="6" w:space="0" w:color="000000"/>
              <w:tl2br w:val="nil"/>
              <w:tr2bl w:val="nil"/>
            </w:tcBorders>
            <w:shd w:val="clear" w:color="auto" w:fill="FFFFFF"/>
            <w:tcMar>
              <w:left w:w="115" w:type="dxa"/>
              <w:right w:w="115" w:type="dxa"/>
            </w:tcMar>
            <w:vAlign w:val="bottom"/>
          </w:tcPr>
          <w:p w14:paraId="5A6A469A" w14:textId="77777777" w:rsidR="00724034" w:rsidRDefault="00FB7D0B">
            <w:pPr>
              <w:jc w:val="right"/>
              <w:rPr>
                <w:rFonts w:ascii="Arial" w:eastAsia="Arial" w:hAnsi="Arial" w:cs="Arial"/>
                <w:color w:val="000000"/>
                <w:sz w:val="16"/>
              </w:rPr>
            </w:pPr>
            <w:r>
              <w:rPr>
                <w:rFonts w:ascii="Arial" w:eastAsia="Arial" w:hAnsi="Arial" w:cs="Arial"/>
                <w:color w:val="000000"/>
                <w:sz w:val="16"/>
              </w:rPr>
              <w:t xml:space="preserve"> 324,038 </w:t>
            </w:r>
          </w:p>
        </w:tc>
      </w:tr>
      <w:tr w:rsidR="00724034" w14:paraId="3BE2883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hRule="exact" w:val="60"/>
        </w:trPr>
        <w:tc>
          <w:tcPr>
            <w:tcW w:w="0" w:type="auto"/>
            <w:tcBorders>
              <w:top w:val="nil"/>
              <w:left w:val="single" w:sz="6" w:space="0" w:color="000000"/>
              <w:bottom w:val="nil"/>
              <w:right w:val="nil"/>
              <w:tl2br w:val="nil"/>
              <w:tr2bl w:val="nil"/>
            </w:tcBorders>
            <w:shd w:val="clear" w:color="auto" w:fill="FFFFFF"/>
            <w:tcMar>
              <w:left w:w="115" w:type="dxa"/>
              <w:right w:w="115" w:type="dxa"/>
            </w:tcMar>
          </w:tcPr>
          <w:p w14:paraId="7C0322FA" w14:textId="77777777" w:rsidR="00724034" w:rsidRDefault="00724034">
            <w:pPr>
              <w:rPr>
                <w:rFonts w:ascii="Arial" w:eastAsia="Arial" w:hAnsi="Arial" w:cs="Arial"/>
                <w:color w:val="000000"/>
                <w:sz w:val="16"/>
              </w:rPr>
            </w:pPr>
          </w:p>
        </w:tc>
        <w:tc>
          <w:tcPr>
            <w:tcW w:w="0" w:type="auto"/>
            <w:tcBorders>
              <w:top w:val="nil"/>
              <w:left w:val="nil"/>
              <w:bottom w:val="nil"/>
              <w:right w:val="nil"/>
              <w:tl2br w:val="nil"/>
              <w:tr2bl w:val="nil"/>
            </w:tcBorders>
            <w:shd w:val="clear" w:color="auto" w:fill="FFFFFF"/>
            <w:tcMar>
              <w:left w:w="115" w:type="dxa"/>
              <w:right w:w="115" w:type="dxa"/>
            </w:tcMar>
            <w:vAlign w:val="bottom"/>
          </w:tcPr>
          <w:p w14:paraId="1F61D66B" w14:textId="77777777" w:rsidR="00724034" w:rsidRDefault="00724034">
            <w:pPr>
              <w:rPr>
                <w:rFonts w:ascii="Arial" w:eastAsia="Arial" w:hAnsi="Arial" w:cs="Arial"/>
                <w:color w:val="000000"/>
                <w:sz w:val="16"/>
              </w:rPr>
            </w:pPr>
          </w:p>
        </w:tc>
        <w:tc>
          <w:tcPr>
            <w:tcW w:w="0" w:type="auto"/>
            <w:tcBorders>
              <w:top w:val="nil"/>
              <w:left w:val="nil"/>
              <w:bottom w:val="nil"/>
              <w:right w:val="nil"/>
              <w:tl2br w:val="nil"/>
              <w:tr2bl w:val="nil"/>
            </w:tcBorders>
            <w:shd w:val="clear" w:color="auto" w:fill="FFFF00"/>
            <w:tcMar>
              <w:left w:w="115" w:type="dxa"/>
              <w:right w:w="115" w:type="dxa"/>
            </w:tcMar>
            <w:vAlign w:val="bottom"/>
          </w:tcPr>
          <w:p w14:paraId="076B9B9E" w14:textId="77777777" w:rsidR="00724034" w:rsidRDefault="00724034">
            <w:pPr>
              <w:rPr>
                <w:rFonts w:ascii="Arial" w:eastAsia="Arial" w:hAnsi="Arial" w:cs="Arial"/>
                <w:color w:val="000000"/>
                <w:sz w:val="16"/>
              </w:rPr>
            </w:pPr>
          </w:p>
        </w:tc>
        <w:tc>
          <w:tcPr>
            <w:tcW w:w="0" w:type="auto"/>
            <w:tcBorders>
              <w:top w:val="nil"/>
              <w:left w:val="nil"/>
              <w:bottom w:val="nil"/>
              <w:right w:val="nil"/>
              <w:tl2br w:val="nil"/>
              <w:tr2bl w:val="nil"/>
            </w:tcBorders>
            <w:shd w:val="clear" w:color="auto" w:fill="FFFFFF"/>
            <w:tcMar>
              <w:left w:w="115" w:type="dxa"/>
              <w:right w:w="115" w:type="dxa"/>
            </w:tcMar>
            <w:vAlign w:val="bottom"/>
          </w:tcPr>
          <w:p w14:paraId="463DC095" w14:textId="77777777" w:rsidR="00724034" w:rsidRDefault="00724034">
            <w:pPr>
              <w:rPr>
                <w:rFonts w:ascii="Arial" w:eastAsia="Arial" w:hAnsi="Arial" w:cs="Arial"/>
                <w:color w:val="000000"/>
                <w:sz w:val="16"/>
              </w:rPr>
            </w:pPr>
          </w:p>
        </w:tc>
        <w:tc>
          <w:tcPr>
            <w:tcW w:w="0" w:type="auto"/>
            <w:tcBorders>
              <w:top w:val="nil"/>
              <w:left w:val="nil"/>
              <w:bottom w:val="nil"/>
              <w:right w:val="nil"/>
              <w:tl2br w:val="nil"/>
              <w:tr2bl w:val="nil"/>
            </w:tcBorders>
            <w:shd w:val="clear" w:color="auto" w:fill="FFFFFF"/>
            <w:tcMar>
              <w:left w:w="115" w:type="dxa"/>
              <w:right w:w="115" w:type="dxa"/>
            </w:tcMar>
            <w:vAlign w:val="bottom"/>
          </w:tcPr>
          <w:p w14:paraId="4A11F935" w14:textId="77777777" w:rsidR="00724034" w:rsidRDefault="00724034">
            <w:pPr>
              <w:rPr>
                <w:rFonts w:ascii="Arial" w:eastAsia="Arial" w:hAnsi="Arial" w:cs="Arial"/>
                <w:color w:val="000000"/>
                <w:sz w:val="16"/>
              </w:rPr>
            </w:pPr>
          </w:p>
        </w:tc>
        <w:tc>
          <w:tcPr>
            <w:tcW w:w="0" w:type="auto"/>
            <w:tcBorders>
              <w:top w:val="nil"/>
              <w:left w:val="nil"/>
              <w:bottom w:val="nil"/>
              <w:right w:val="single" w:sz="6" w:space="0" w:color="000000"/>
              <w:tl2br w:val="nil"/>
              <w:tr2bl w:val="nil"/>
            </w:tcBorders>
            <w:shd w:val="clear" w:color="auto" w:fill="FFFFFF"/>
            <w:tcMar>
              <w:left w:w="115" w:type="dxa"/>
              <w:right w:w="115" w:type="dxa"/>
            </w:tcMar>
            <w:vAlign w:val="bottom"/>
          </w:tcPr>
          <w:p w14:paraId="2E92415E" w14:textId="77777777" w:rsidR="00724034" w:rsidRDefault="00724034">
            <w:pPr>
              <w:jc w:val="right"/>
              <w:rPr>
                <w:rFonts w:ascii="Arial" w:eastAsia="Arial" w:hAnsi="Arial" w:cs="Arial"/>
                <w:color w:val="000000"/>
                <w:sz w:val="16"/>
              </w:rPr>
            </w:pPr>
          </w:p>
        </w:tc>
      </w:tr>
      <w:tr w:rsidR="00724034" w14:paraId="733D6D7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25"/>
        </w:trPr>
        <w:tc>
          <w:tcPr>
            <w:tcW w:w="0" w:type="auto"/>
            <w:tcBorders>
              <w:top w:val="nil"/>
              <w:left w:val="single" w:sz="6" w:space="0" w:color="000000"/>
              <w:bottom w:val="nil"/>
              <w:right w:val="nil"/>
              <w:tl2br w:val="nil"/>
              <w:tr2bl w:val="nil"/>
            </w:tcBorders>
            <w:shd w:val="clear" w:color="auto" w:fill="FFFFFF"/>
            <w:tcMar>
              <w:left w:w="115" w:type="dxa"/>
              <w:right w:w="115" w:type="dxa"/>
            </w:tcMar>
            <w:vAlign w:val="bottom"/>
          </w:tcPr>
          <w:p w14:paraId="7C8F9FDB" w14:textId="77777777" w:rsidR="00724034" w:rsidRDefault="00FB7D0B">
            <w:pPr>
              <w:rPr>
                <w:rFonts w:ascii="Arial" w:eastAsia="Arial" w:hAnsi="Arial" w:cs="Arial"/>
                <w:color w:val="000000"/>
                <w:sz w:val="16"/>
              </w:rPr>
            </w:pPr>
            <w:r>
              <w:rPr>
                <w:rFonts w:ascii="Arial" w:eastAsia="Arial" w:hAnsi="Arial" w:cs="Arial"/>
                <w:color w:val="000000"/>
                <w:sz w:val="16"/>
              </w:rPr>
              <w:t>Provide new Post War Commemorations</w:t>
            </w:r>
          </w:p>
        </w:tc>
        <w:tc>
          <w:tcPr>
            <w:tcW w:w="0" w:type="auto"/>
            <w:tcBorders>
              <w:top w:val="nil"/>
              <w:left w:val="nil"/>
              <w:bottom w:val="nil"/>
              <w:right w:val="nil"/>
              <w:tl2br w:val="nil"/>
              <w:tr2bl w:val="nil"/>
            </w:tcBorders>
            <w:shd w:val="clear" w:color="auto" w:fill="FFFFFF"/>
            <w:tcMar>
              <w:left w:w="115" w:type="dxa"/>
              <w:right w:w="115" w:type="dxa"/>
            </w:tcMar>
            <w:vAlign w:val="bottom"/>
          </w:tcPr>
          <w:p w14:paraId="2CF48F84" w14:textId="77777777" w:rsidR="00724034" w:rsidRDefault="00FB7D0B">
            <w:pPr>
              <w:jc w:val="right"/>
              <w:rPr>
                <w:rFonts w:ascii="Arial" w:eastAsia="Arial" w:hAnsi="Arial" w:cs="Arial"/>
                <w:color w:val="000000"/>
                <w:sz w:val="16"/>
              </w:rPr>
            </w:pPr>
            <w:r>
              <w:rPr>
                <w:rFonts w:ascii="Arial" w:eastAsia="Arial" w:hAnsi="Arial" w:cs="Arial"/>
                <w:color w:val="000000"/>
                <w:sz w:val="16"/>
              </w:rPr>
              <w:t>4,205 </w:t>
            </w:r>
          </w:p>
        </w:tc>
        <w:tc>
          <w:tcPr>
            <w:tcW w:w="0" w:type="auto"/>
            <w:tcBorders>
              <w:top w:val="nil"/>
              <w:left w:val="nil"/>
              <w:bottom w:val="nil"/>
              <w:right w:val="nil"/>
              <w:tl2br w:val="nil"/>
              <w:tr2bl w:val="nil"/>
            </w:tcBorders>
            <w:shd w:val="clear" w:color="auto" w:fill="FFFF00"/>
            <w:tcMar>
              <w:left w:w="115" w:type="dxa"/>
              <w:right w:w="115" w:type="dxa"/>
            </w:tcMar>
            <w:vAlign w:val="bottom"/>
          </w:tcPr>
          <w:p w14:paraId="3D3297A4" w14:textId="77777777" w:rsidR="00724034" w:rsidRDefault="00FB7D0B">
            <w:pPr>
              <w:jc w:val="right"/>
              <w:rPr>
                <w:rFonts w:ascii="Arial" w:eastAsia="Arial" w:hAnsi="Arial" w:cs="Arial"/>
                <w:color w:val="000000"/>
                <w:sz w:val="16"/>
              </w:rPr>
            </w:pPr>
            <w:r>
              <w:rPr>
                <w:rFonts w:ascii="Arial" w:eastAsia="Arial" w:hAnsi="Arial" w:cs="Arial"/>
                <w:color w:val="000000"/>
                <w:sz w:val="16"/>
              </w:rPr>
              <w:t>4,121 </w:t>
            </w:r>
          </w:p>
        </w:tc>
        <w:tc>
          <w:tcPr>
            <w:tcW w:w="0" w:type="auto"/>
            <w:tcBorders>
              <w:top w:val="nil"/>
              <w:left w:val="nil"/>
              <w:bottom w:val="nil"/>
              <w:right w:val="nil"/>
              <w:tl2br w:val="nil"/>
              <w:tr2bl w:val="nil"/>
            </w:tcBorders>
            <w:shd w:val="clear" w:color="auto" w:fill="FFFFFF"/>
            <w:tcMar>
              <w:left w:w="115" w:type="dxa"/>
              <w:right w:w="115" w:type="dxa"/>
            </w:tcMar>
            <w:vAlign w:val="bottom"/>
          </w:tcPr>
          <w:p w14:paraId="58F03C81" w14:textId="77777777" w:rsidR="00724034" w:rsidRDefault="00FB7D0B">
            <w:pPr>
              <w:jc w:val="right"/>
              <w:rPr>
                <w:rFonts w:ascii="Arial" w:eastAsia="Arial" w:hAnsi="Arial" w:cs="Arial"/>
                <w:color w:val="000000"/>
                <w:sz w:val="16"/>
              </w:rPr>
            </w:pPr>
            <w:r>
              <w:rPr>
                <w:rFonts w:ascii="Arial" w:eastAsia="Arial" w:hAnsi="Arial" w:cs="Arial"/>
                <w:color w:val="000000"/>
                <w:sz w:val="16"/>
              </w:rPr>
              <w:t>3,866 </w:t>
            </w:r>
          </w:p>
        </w:tc>
        <w:tc>
          <w:tcPr>
            <w:tcW w:w="0" w:type="auto"/>
            <w:tcBorders>
              <w:top w:val="nil"/>
              <w:left w:val="nil"/>
              <w:bottom w:val="nil"/>
              <w:right w:val="nil"/>
              <w:tl2br w:val="nil"/>
              <w:tr2bl w:val="nil"/>
            </w:tcBorders>
            <w:shd w:val="clear" w:color="auto" w:fill="FFFFFF"/>
            <w:tcMar>
              <w:left w:w="115" w:type="dxa"/>
              <w:right w:w="115" w:type="dxa"/>
            </w:tcMar>
            <w:vAlign w:val="bottom"/>
          </w:tcPr>
          <w:p w14:paraId="134DF71C" w14:textId="77777777" w:rsidR="00724034" w:rsidRDefault="00FB7D0B">
            <w:pPr>
              <w:jc w:val="right"/>
              <w:rPr>
                <w:rFonts w:ascii="Arial" w:eastAsia="Arial" w:hAnsi="Arial" w:cs="Arial"/>
                <w:color w:val="000000"/>
                <w:sz w:val="16"/>
              </w:rPr>
            </w:pPr>
            <w:r>
              <w:rPr>
                <w:rFonts w:ascii="Arial" w:eastAsia="Arial" w:hAnsi="Arial" w:cs="Arial"/>
                <w:color w:val="000000"/>
                <w:sz w:val="16"/>
              </w:rPr>
              <w:t xml:space="preserve"> 3,611 </w:t>
            </w:r>
          </w:p>
        </w:tc>
        <w:tc>
          <w:tcPr>
            <w:tcW w:w="0" w:type="auto"/>
            <w:tcBorders>
              <w:top w:val="nil"/>
              <w:left w:val="nil"/>
              <w:bottom w:val="nil"/>
              <w:right w:val="single" w:sz="6" w:space="0" w:color="000000"/>
              <w:tl2br w:val="nil"/>
              <w:tr2bl w:val="nil"/>
            </w:tcBorders>
            <w:shd w:val="clear" w:color="auto" w:fill="FFFFFF"/>
            <w:tcMar>
              <w:left w:w="115" w:type="dxa"/>
              <w:right w:w="115" w:type="dxa"/>
            </w:tcMar>
            <w:vAlign w:val="bottom"/>
          </w:tcPr>
          <w:p w14:paraId="310DA345" w14:textId="77777777" w:rsidR="00724034" w:rsidRDefault="00FB7D0B">
            <w:pPr>
              <w:jc w:val="right"/>
              <w:rPr>
                <w:rFonts w:ascii="Arial" w:eastAsia="Arial" w:hAnsi="Arial" w:cs="Arial"/>
                <w:color w:val="000000"/>
                <w:sz w:val="16"/>
              </w:rPr>
            </w:pPr>
            <w:r>
              <w:rPr>
                <w:rFonts w:ascii="Arial" w:eastAsia="Arial" w:hAnsi="Arial" w:cs="Arial"/>
                <w:color w:val="000000"/>
                <w:sz w:val="16"/>
              </w:rPr>
              <w:t xml:space="preserve"> 3,101 </w:t>
            </w:r>
          </w:p>
        </w:tc>
      </w:tr>
      <w:tr w:rsidR="00724034" w14:paraId="0F9247C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hRule="exact" w:val="60"/>
        </w:trPr>
        <w:tc>
          <w:tcPr>
            <w:tcW w:w="0" w:type="auto"/>
            <w:tcBorders>
              <w:top w:val="nil"/>
              <w:left w:val="single" w:sz="6" w:space="0" w:color="000000"/>
              <w:bottom w:val="nil"/>
              <w:right w:val="nil"/>
              <w:tl2br w:val="nil"/>
              <w:tr2bl w:val="nil"/>
            </w:tcBorders>
            <w:shd w:val="clear" w:color="auto" w:fill="FFFFFF"/>
            <w:tcMar>
              <w:left w:w="115" w:type="dxa"/>
              <w:right w:w="115" w:type="dxa"/>
            </w:tcMar>
            <w:vAlign w:val="bottom"/>
          </w:tcPr>
          <w:p w14:paraId="169CB763" w14:textId="77777777" w:rsidR="00724034" w:rsidRDefault="00724034">
            <w:pPr>
              <w:rPr>
                <w:rFonts w:ascii="Arial" w:eastAsia="Arial" w:hAnsi="Arial" w:cs="Arial"/>
                <w:color w:val="000000"/>
                <w:sz w:val="16"/>
              </w:rPr>
            </w:pPr>
          </w:p>
        </w:tc>
        <w:tc>
          <w:tcPr>
            <w:tcW w:w="0" w:type="auto"/>
            <w:tcBorders>
              <w:top w:val="nil"/>
              <w:left w:val="nil"/>
              <w:bottom w:val="nil"/>
              <w:right w:val="nil"/>
              <w:tl2br w:val="nil"/>
              <w:tr2bl w:val="nil"/>
            </w:tcBorders>
            <w:shd w:val="clear" w:color="auto" w:fill="FFFFFF"/>
            <w:tcMar>
              <w:left w:w="115" w:type="dxa"/>
              <w:right w:w="115" w:type="dxa"/>
            </w:tcMar>
            <w:vAlign w:val="bottom"/>
          </w:tcPr>
          <w:p w14:paraId="153405F1" w14:textId="77777777" w:rsidR="00724034" w:rsidRDefault="00724034">
            <w:pPr>
              <w:rPr>
                <w:rFonts w:ascii="Arial" w:eastAsia="Arial" w:hAnsi="Arial" w:cs="Arial"/>
                <w:color w:val="000000"/>
                <w:sz w:val="16"/>
              </w:rPr>
            </w:pPr>
          </w:p>
        </w:tc>
        <w:tc>
          <w:tcPr>
            <w:tcW w:w="0" w:type="auto"/>
            <w:tcBorders>
              <w:top w:val="nil"/>
              <w:left w:val="nil"/>
              <w:bottom w:val="nil"/>
              <w:right w:val="nil"/>
              <w:tl2br w:val="nil"/>
              <w:tr2bl w:val="nil"/>
            </w:tcBorders>
            <w:shd w:val="clear" w:color="auto" w:fill="FFFF00"/>
            <w:tcMar>
              <w:left w:w="115" w:type="dxa"/>
              <w:right w:w="115" w:type="dxa"/>
            </w:tcMar>
            <w:vAlign w:val="bottom"/>
          </w:tcPr>
          <w:p w14:paraId="07D4B224" w14:textId="77777777" w:rsidR="00724034" w:rsidRDefault="00724034">
            <w:pPr>
              <w:rPr>
                <w:rFonts w:ascii="Arial" w:eastAsia="Arial" w:hAnsi="Arial" w:cs="Arial"/>
                <w:color w:val="000000"/>
                <w:sz w:val="16"/>
              </w:rPr>
            </w:pPr>
          </w:p>
        </w:tc>
        <w:tc>
          <w:tcPr>
            <w:tcW w:w="0" w:type="auto"/>
            <w:tcBorders>
              <w:top w:val="nil"/>
              <w:left w:val="nil"/>
              <w:bottom w:val="nil"/>
              <w:right w:val="nil"/>
              <w:tl2br w:val="nil"/>
              <w:tr2bl w:val="nil"/>
            </w:tcBorders>
            <w:shd w:val="clear" w:color="auto" w:fill="FFFFFF"/>
            <w:tcMar>
              <w:left w:w="115" w:type="dxa"/>
              <w:right w:w="115" w:type="dxa"/>
            </w:tcMar>
            <w:vAlign w:val="bottom"/>
          </w:tcPr>
          <w:p w14:paraId="05C2BC6A" w14:textId="77777777" w:rsidR="00724034" w:rsidRDefault="00724034">
            <w:pPr>
              <w:rPr>
                <w:rFonts w:ascii="Arial" w:eastAsia="Arial" w:hAnsi="Arial" w:cs="Arial"/>
                <w:color w:val="000000"/>
                <w:sz w:val="16"/>
              </w:rPr>
            </w:pPr>
          </w:p>
        </w:tc>
        <w:tc>
          <w:tcPr>
            <w:tcW w:w="0" w:type="auto"/>
            <w:tcBorders>
              <w:top w:val="nil"/>
              <w:left w:val="nil"/>
              <w:bottom w:val="nil"/>
              <w:right w:val="nil"/>
              <w:tl2br w:val="nil"/>
              <w:tr2bl w:val="nil"/>
            </w:tcBorders>
            <w:shd w:val="clear" w:color="auto" w:fill="FFFFFF"/>
            <w:tcMar>
              <w:left w:w="115" w:type="dxa"/>
              <w:right w:w="115" w:type="dxa"/>
            </w:tcMar>
            <w:vAlign w:val="bottom"/>
          </w:tcPr>
          <w:p w14:paraId="1AC2DDDD" w14:textId="77777777" w:rsidR="00724034" w:rsidRDefault="00724034">
            <w:pPr>
              <w:rPr>
                <w:rFonts w:ascii="Arial" w:eastAsia="Arial" w:hAnsi="Arial" w:cs="Arial"/>
                <w:color w:val="000000"/>
                <w:sz w:val="16"/>
              </w:rPr>
            </w:pPr>
          </w:p>
        </w:tc>
        <w:tc>
          <w:tcPr>
            <w:tcW w:w="0" w:type="auto"/>
            <w:tcBorders>
              <w:top w:val="nil"/>
              <w:left w:val="nil"/>
              <w:bottom w:val="nil"/>
              <w:right w:val="single" w:sz="6" w:space="0" w:color="000000"/>
              <w:tl2br w:val="nil"/>
              <w:tr2bl w:val="nil"/>
            </w:tcBorders>
            <w:shd w:val="clear" w:color="auto" w:fill="FFFFFF"/>
            <w:tcMar>
              <w:left w:w="115" w:type="dxa"/>
              <w:right w:w="115" w:type="dxa"/>
            </w:tcMar>
            <w:vAlign w:val="bottom"/>
          </w:tcPr>
          <w:p w14:paraId="40C63955" w14:textId="77777777" w:rsidR="00724034" w:rsidRDefault="00724034">
            <w:pPr>
              <w:jc w:val="right"/>
              <w:rPr>
                <w:rFonts w:ascii="Arial" w:eastAsia="Arial" w:hAnsi="Arial" w:cs="Arial"/>
                <w:color w:val="000000"/>
                <w:sz w:val="16"/>
              </w:rPr>
            </w:pPr>
          </w:p>
        </w:tc>
      </w:tr>
      <w:tr w:rsidR="00724034" w14:paraId="100F5E9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25"/>
        </w:trPr>
        <w:tc>
          <w:tcPr>
            <w:tcW w:w="0" w:type="auto"/>
            <w:tcBorders>
              <w:top w:val="nil"/>
              <w:left w:val="single" w:sz="6" w:space="0" w:color="000000"/>
              <w:bottom w:val="nil"/>
              <w:right w:val="nil"/>
              <w:tl2br w:val="nil"/>
              <w:tr2bl w:val="nil"/>
            </w:tcBorders>
            <w:shd w:val="clear" w:color="auto" w:fill="FFFFFF"/>
            <w:tcMar>
              <w:left w:w="115" w:type="dxa"/>
              <w:right w:w="115" w:type="dxa"/>
            </w:tcMar>
            <w:vAlign w:val="bottom"/>
          </w:tcPr>
          <w:p w14:paraId="79D74A5E" w14:textId="77777777" w:rsidR="00724034" w:rsidRDefault="00FB7D0B">
            <w:pPr>
              <w:rPr>
                <w:rFonts w:ascii="Arial" w:eastAsia="Arial" w:hAnsi="Arial" w:cs="Arial"/>
                <w:color w:val="000000"/>
                <w:sz w:val="16"/>
              </w:rPr>
            </w:pPr>
            <w:r>
              <w:rPr>
                <w:rFonts w:ascii="Arial" w:eastAsia="Arial" w:hAnsi="Arial" w:cs="Arial"/>
                <w:color w:val="000000"/>
                <w:sz w:val="16"/>
              </w:rPr>
              <w:t>Manage national memorials overseas</w:t>
            </w:r>
          </w:p>
        </w:tc>
        <w:tc>
          <w:tcPr>
            <w:tcW w:w="0" w:type="auto"/>
            <w:tcBorders>
              <w:top w:val="nil"/>
              <w:left w:val="nil"/>
              <w:bottom w:val="nil"/>
              <w:right w:val="nil"/>
              <w:tl2br w:val="nil"/>
              <w:tr2bl w:val="nil"/>
            </w:tcBorders>
            <w:shd w:val="clear" w:color="auto" w:fill="FFFFFF"/>
            <w:tcMar>
              <w:left w:w="115" w:type="dxa"/>
              <w:right w:w="115" w:type="dxa"/>
            </w:tcMar>
            <w:vAlign w:val="bottom"/>
          </w:tcPr>
          <w:p w14:paraId="534CEC23" w14:textId="77777777" w:rsidR="00724034" w:rsidRDefault="00FB7D0B">
            <w:pPr>
              <w:jc w:val="right"/>
              <w:rPr>
                <w:rFonts w:ascii="Arial" w:eastAsia="Arial" w:hAnsi="Arial" w:cs="Arial"/>
                <w:color w:val="000000"/>
                <w:sz w:val="16"/>
              </w:rPr>
            </w:pPr>
            <w:r>
              <w:rPr>
                <w:rFonts w:ascii="Arial" w:eastAsia="Arial" w:hAnsi="Arial" w:cs="Arial"/>
                <w:color w:val="000000"/>
                <w:sz w:val="16"/>
              </w:rPr>
              <w:t>36 </w:t>
            </w:r>
          </w:p>
        </w:tc>
        <w:tc>
          <w:tcPr>
            <w:tcW w:w="0" w:type="auto"/>
            <w:tcBorders>
              <w:top w:val="nil"/>
              <w:left w:val="nil"/>
              <w:bottom w:val="nil"/>
              <w:right w:val="nil"/>
              <w:tl2br w:val="nil"/>
              <w:tr2bl w:val="nil"/>
            </w:tcBorders>
            <w:shd w:val="clear" w:color="auto" w:fill="FFFF00"/>
            <w:tcMar>
              <w:left w:w="115" w:type="dxa"/>
              <w:right w:w="115" w:type="dxa"/>
            </w:tcMar>
            <w:vAlign w:val="bottom"/>
          </w:tcPr>
          <w:p w14:paraId="490BDB72" w14:textId="77777777" w:rsidR="00724034" w:rsidRDefault="00FB7D0B">
            <w:pPr>
              <w:jc w:val="right"/>
              <w:rPr>
                <w:rFonts w:ascii="Arial" w:eastAsia="Arial" w:hAnsi="Arial" w:cs="Arial"/>
                <w:color w:val="000000"/>
                <w:sz w:val="16"/>
              </w:rPr>
            </w:pPr>
            <w:r>
              <w:rPr>
                <w:rFonts w:ascii="Arial" w:eastAsia="Arial" w:hAnsi="Arial" w:cs="Arial"/>
                <w:color w:val="000000"/>
                <w:sz w:val="16"/>
              </w:rPr>
              <w:t>36 </w:t>
            </w:r>
          </w:p>
        </w:tc>
        <w:tc>
          <w:tcPr>
            <w:tcW w:w="0" w:type="auto"/>
            <w:tcBorders>
              <w:top w:val="nil"/>
              <w:left w:val="nil"/>
              <w:bottom w:val="nil"/>
              <w:right w:val="nil"/>
              <w:tl2br w:val="nil"/>
              <w:tr2bl w:val="nil"/>
            </w:tcBorders>
            <w:shd w:val="clear" w:color="auto" w:fill="FFFFFF"/>
            <w:tcMar>
              <w:left w:w="115" w:type="dxa"/>
              <w:right w:w="115" w:type="dxa"/>
            </w:tcMar>
            <w:vAlign w:val="bottom"/>
          </w:tcPr>
          <w:p w14:paraId="66EE915C" w14:textId="77777777" w:rsidR="00724034" w:rsidRDefault="00FB7D0B">
            <w:pPr>
              <w:jc w:val="right"/>
              <w:rPr>
                <w:rFonts w:ascii="Arial" w:eastAsia="Arial" w:hAnsi="Arial" w:cs="Arial"/>
                <w:color w:val="000000"/>
                <w:sz w:val="16"/>
              </w:rPr>
            </w:pPr>
            <w:r>
              <w:rPr>
                <w:rFonts w:ascii="Arial" w:eastAsia="Arial" w:hAnsi="Arial" w:cs="Arial"/>
                <w:color w:val="000000"/>
                <w:sz w:val="16"/>
              </w:rPr>
              <w:t>37 </w:t>
            </w:r>
          </w:p>
        </w:tc>
        <w:tc>
          <w:tcPr>
            <w:tcW w:w="0" w:type="auto"/>
            <w:tcBorders>
              <w:top w:val="nil"/>
              <w:left w:val="nil"/>
              <w:bottom w:val="nil"/>
              <w:right w:val="nil"/>
              <w:tl2br w:val="nil"/>
              <w:tr2bl w:val="nil"/>
            </w:tcBorders>
            <w:shd w:val="clear" w:color="auto" w:fill="FFFFFF"/>
            <w:tcMar>
              <w:left w:w="115" w:type="dxa"/>
              <w:right w:w="115" w:type="dxa"/>
            </w:tcMar>
            <w:vAlign w:val="bottom"/>
          </w:tcPr>
          <w:p w14:paraId="694B544E" w14:textId="77777777" w:rsidR="00724034" w:rsidRDefault="00FB7D0B">
            <w:pPr>
              <w:jc w:val="right"/>
              <w:rPr>
                <w:rFonts w:ascii="Arial" w:eastAsia="Arial" w:hAnsi="Arial" w:cs="Arial"/>
                <w:color w:val="000000"/>
                <w:sz w:val="16"/>
              </w:rPr>
            </w:pPr>
            <w:r>
              <w:rPr>
                <w:rFonts w:ascii="Arial" w:eastAsia="Arial" w:hAnsi="Arial" w:cs="Arial"/>
                <w:color w:val="000000"/>
                <w:sz w:val="16"/>
              </w:rPr>
              <w:t>37 </w:t>
            </w:r>
          </w:p>
        </w:tc>
        <w:tc>
          <w:tcPr>
            <w:tcW w:w="0" w:type="auto"/>
            <w:tcBorders>
              <w:top w:val="nil"/>
              <w:left w:val="nil"/>
              <w:bottom w:val="nil"/>
              <w:right w:val="single" w:sz="6" w:space="0" w:color="000000"/>
              <w:tl2br w:val="nil"/>
              <w:tr2bl w:val="nil"/>
            </w:tcBorders>
            <w:shd w:val="clear" w:color="auto" w:fill="FFFFFF"/>
            <w:tcMar>
              <w:left w:w="115" w:type="dxa"/>
              <w:right w:w="115" w:type="dxa"/>
            </w:tcMar>
            <w:vAlign w:val="bottom"/>
          </w:tcPr>
          <w:p w14:paraId="09EE2508" w14:textId="77777777" w:rsidR="00724034" w:rsidRDefault="00FB7D0B">
            <w:pPr>
              <w:jc w:val="right"/>
              <w:rPr>
                <w:rFonts w:ascii="Arial" w:eastAsia="Arial" w:hAnsi="Arial" w:cs="Arial"/>
                <w:color w:val="000000"/>
                <w:sz w:val="16"/>
              </w:rPr>
            </w:pPr>
            <w:r>
              <w:rPr>
                <w:rFonts w:ascii="Arial" w:eastAsia="Arial" w:hAnsi="Arial" w:cs="Arial"/>
                <w:color w:val="000000"/>
                <w:sz w:val="16"/>
              </w:rPr>
              <w:t xml:space="preserve"> 37 </w:t>
            </w:r>
          </w:p>
        </w:tc>
      </w:tr>
      <w:tr w:rsidR="00724034" w14:paraId="5E50D91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hRule="exact" w:val="60"/>
        </w:trPr>
        <w:tc>
          <w:tcPr>
            <w:tcW w:w="0" w:type="auto"/>
            <w:tcBorders>
              <w:top w:val="nil"/>
              <w:left w:val="single" w:sz="6" w:space="0" w:color="000000"/>
              <w:bottom w:val="nil"/>
              <w:right w:val="nil"/>
              <w:tl2br w:val="nil"/>
              <w:tr2bl w:val="nil"/>
            </w:tcBorders>
            <w:shd w:val="clear" w:color="auto" w:fill="FFFFFF"/>
            <w:tcMar>
              <w:left w:w="115" w:type="dxa"/>
              <w:right w:w="115" w:type="dxa"/>
            </w:tcMar>
            <w:vAlign w:val="bottom"/>
          </w:tcPr>
          <w:p w14:paraId="38AC0FDC" w14:textId="77777777" w:rsidR="00724034" w:rsidRDefault="00724034">
            <w:pPr>
              <w:rPr>
                <w:rFonts w:ascii="Arial" w:eastAsia="Arial" w:hAnsi="Arial" w:cs="Arial"/>
                <w:color w:val="000000"/>
                <w:sz w:val="16"/>
              </w:rPr>
            </w:pPr>
          </w:p>
        </w:tc>
        <w:tc>
          <w:tcPr>
            <w:tcW w:w="0" w:type="auto"/>
            <w:tcBorders>
              <w:top w:val="nil"/>
              <w:left w:val="nil"/>
              <w:bottom w:val="nil"/>
              <w:right w:val="nil"/>
              <w:tl2br w:val="nil"/>
              <w:tr2bl w:val="nil"/>
            </w:tcBorders>
            <w:shd w:val="clear" w:color="auto" w:fill="FFFFFF"/>
            <w:tcMar>
              <w:left w:w="115" w:type="dxa"/>
              <w:right w:w="115" w:type="dxa"/>
            </w:tcMar>
            <w:vAlign w:val="bottom"/>
          </w:tcPr>
          <w:p w14:paraId="3BE93853" w14:textId="77777777" w:rsidR="00724034" w:rsidRDefault="00724034">
            <w:pPr>
              <w:rPr>
                <w:rFonts w:ascii="Arial" w:eastAsia="Arial" w:hAnsi="Arial" w:cs="Arial"/>
                <w:color w:val="000000"/>
                <w:sz w:val="16"/>
              </w:rPr>
            </w:pPr>
          </w:p>
        </w:tc>
        <w:tc>
          <w:tcPr>
            <w:tcW w:w="0" w:type="auto"/>
            <w:tcBorders>
              <w:top w:val="nil"/>
              <w:left w:val="nil"/>
              <w:bottom w:val="nil"/>
              <w:right w:val="nil"/>
              <w:tl2br w:val="nil"/>
              <w:tr2bl w:val="nil"/>
            </w:tcBorders>
            <w:shd w:val="clear" w:color="auto" w:fill="FFFF00"/>
            <w:tcMar>
              <w:left w:w="115" w:type="dxa"/>
              <w:right w:w="115" w:type="dxa"/>
            </w:tcMar>
            <w:vAlign w:val="bottom"/>
          </w:tcPr>
          <w:p w14:paraId="7D2293FA" w14:textId="77777777" w:rsidR="00724034" w:rsidRDefault="00724034">
            <w:pPr>
              <w:rPr>
                <w:rFonts w:ascii="Arial" w:eastAsia="Arial" w:hAnsi="Arial" w:cs="Arial"/>
                <w:color w:val="000000"/>
                <w:sz w:val="16"/>
              </w:rPr>
            </w:pPr>
          </w:p>
        </w:tc>
        <w:tc>
          <w:tcPr>
            <w:tcW w:w="0" w:type="auto"/>
            <w:tcBorders>
              <w:top w:val="nil"/>
              <w:left w:val="nil"/>
              <w:bottom w:val="nil"/>
              <w:right w:val="nil"/>
              <w:tl2br w:val="nil"/>
              <w:tr2bl w:val="nil"/>
            </w:tcBorders>
            <w:shd w:val="clear" w:color="auto" w:fill="FFFFFF"/>
            <w:tcMar>
              <w:left w:w="115" w:type="dxa"/>
              <w:right w:w="115" w:type="dxa"/>
            </w:tcMar>
            <w:vAlign w:val="bottom"/>
          </w:tcPr>
          <w:p w14:paraId="3293D721" w14:textId="77777777" w:rsidR="00724034" w:rsidRDefault="00724034">
            <w:pPr>
              <w:rPr>
                <w:rFonts w:ascii="Arial" w:eastAsia="Arial" w:hAnsi="Arial" w:cs="Arial"/>
                <w:color w:val="000000"/>
                <w:sz w:val="16"/>
              </w:rPr>
            </w:pPr>
          </w:p>
        </w:tc>
        <w:tc>
          <w:tcPr>
            <w:tcW w:w="0" w:type="auto"/>
            <w:tcBorders>
              <w:top w:val="nil"/>
              <w:left w:val="nil"/>
              <w:bottom w:val="nil"/>
              <w:right w:val="nil"/>
              <w:tl2br w:val="nil"/>
              <w:tr2bl w:val="nil"/>
            </w:tcBorders>
            <w:shd w:val="clear" w:color="auto" w:fill="FFFFFF"/>
            <w:tcMar>
              <w:left w:w="115" w:type="dxa"/>
              <w:right w:w="115" w:type="dxa"/>
            </w:tcMar>
            <w:vAlign w:val="bottom"/>
          </w:tcPr>
          <w:p w14:paraId="6CB0E9D2" w14:textId="77777777" w:rsidR="00724034" w:rsidRDefault="00724034">
            <w:pPr>
              <w:rPr>
                <w:rFonts w:ascii="Arial" w:eastAsia="Arial" w:hAnsi="Arial" w:cs="Arial"/>
                <w:color w:val="000000"/>
                <w:sz w:val="16"/>
              </w:rPr>
            </w:pPr>
          </w:p>
        </w:tc>
        <w:tc>
          <w:tcPr>
            <w:tcW w:w="0" w:type="auto"/>
            <w:tcBorders>
              <w:top w:val="nil"/>
              <w:left w:val="nil"/>
              <w:bottom w:val="nil"/>
              <w:right w:val="single" w:sz="6" w:space="0" w:color="000000"/>
              <w:tl2br w:val="nil"/>
              <w:tr2bl w:val="nil"/>
            </w:tcBorders>
            <w:shd w:val="clear" w:color="auto" w:fill="FFFFFF"/>
            <w:tcMar>
              <w:left w:w="115" w:type="dxa"/>
              <w:right w:w="115" w:type="dxa"/>
            </w:tcMar>
            <w:vAlign w:val="bottom"/>
          </w:tcPr>
          <w:p w14:paraId="5A071F83" w14:textId="77777777" w:rsidR="00724034" w:rsidRDefault="00724034">
            <w:pPr>
              <w:jc w:val="right"/>
              <w:rPr>
                <w:rFonts w:ascii="Arial" w:eastAsia="Arial" w:hAnsi="Arial" w:cs="Arial"/>
                <w:color w:val="000000"/>
                <w:sz w:val="16"/>
              </w:rPr>
            </w:pPr>
          </w:p>
        </w:tc>
      </w:tr>
      <w:tr w:rsidR="00724034" w14:paraId="2666A0F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25"/>
        </w:trPr>
        <w:tc>
          <w:tcPr>
            <w:tcW w:w="0" w:type="auto"/>
            <w:tcBorders>
              <w:top w:val="nil"/>
              <w:left w:val="single" w:sz="6" w:space="0" w:color="000000"/>
              <w:bottom w:val="nil"/>
              <w:right w:val="nil"/>
              <w:tl2br w:val="nil"/>
              <w:tr2bl w:val="nil"/>
            </w:tcBorders>
            <w:shd w:val="clear" w:color="auto" w:fill="FFFFFF"/>
            <w:tcMar>
              <w:left w:w="115" w:type="dxa"/>
              <w:right w:w="115" w:type="dxa"/>
            </w:tcMar>
            <w:vAlign w:val="bottom"/>
          </w:tcPr>
          <w:p w14:paraId="5EA5A597" w14:textId="77777777" w:rsidR="00724034" w:rsidRDefault="00FB7D0B">
            <w:pPr>
              <w:rPr>
                <w:rFonts w:ascii="Arial" w:eastAsia="Arial" w:hAnsi="Arial" w:cs="Arial"/>
                <w:color w:val="000000"/>
                <w:sz w:val="16"/>
              </w:rPr>
            </w:pPr>
            <w:r>
              <w:rPr>
                <w:rFonts w:ascii="Arial" w:eastAsia="Arial" w:hAnsi="Arial" w:cs="Arial"/>
                <w:color w:val="000000"/>
                <w:sz w:val="16"/>
              </w:rPr>
              <w:t>Implement War Graves related projects</w:t>
            </w:r>
          </w:p>
        </w:tc>
        <w:tc>
          <w:tcPr>
            <w:tcW w:w="0" w:type="auto"/>
            <w:tcBorders>
              <w:top w:val="nil"/>
              <w:left w:val="nil"/>
              <w:bottom w:val="nil"/>
              <w:right w:val="nil"/>
              <w:tl2br w:val="nil"/>
              <w:tr2bl w:val="nil"/>
            </w:tcBorders>
            <w:shd w:val="clear" w:color="auto" w:fill="FFFFFF"/>
            <w:tcMar>
              <w:left w:w="115" w:type="dxa"/>
              <w:right w:w="115" w:type="dxa"/>
            </w:tcMar>
            <w:vAlign w:val="bottom"/>
          </w:tcPr>
          <w:p w14:paraId="13CE8852" w14:textId="77777777" w:rsidR="00724034" w:rsidRDefault="00FB7D0B">
            <w:pPr>
              <w:jc w:val="right"/>
              <w:rPr>
                <w:rFonts w:ascii="Arial" w:eastAsia="Arial" w:hAnsi="Arial" w:cs="Arial"/>
                <w:color w:val="000000"/>
                <w:sz w:val="16"/>
              </w:rPr>
            </w:pPr>
            <w:r>
              <w:rPr>
                <w:rFonts w:ascii="Arial" w:eastAsia="Arial" w:hAnsi="Arial" w:cs="Arial"/>
                <w:color w:val="000000"/>
                <w:sz w:val="16"/>
              </w:rPr>
              <w:t>3 </w:t>
            </w:r>
          </w:p>
        </w:tc>
        <w:tc>
          <w:tcPr>
            <w:tcW w:w="0" w:type="auto"/>
            <w:tcBorders>
              <w:top w:val="nil"/>
              <w:left w:val="nil"/>
              <w:bottom w:val="nil"/>
              <w:right w:val="nil"/>
              <w:tl2br w:val="nil"/>
              <w:tr2bl w:val="nil"/>
            </w:tcBorders>
            <w:shd w:val="clear" w:color="auto" w:fill="FFFF00"/>
            <w:tcMar>
              <w:left w:w="115" w:type="dxa"/>
              <w:right w:w="115" w:type="dxa"/>
            </w:tcMar>
            <w:vAlign w:val="bottom"/>
          </w:tcPr>
          <w:p w14:paraId="75506BEE" w14:textId="77777777" w:rsidR="00724034" w:rsidRDefault="00FB7D0B">
            <w:pPr>
              <w:jc w:val="right"/>
              <w:rPr>
                <w:rFonts w:ascii="Arial" w:eastAsia="Arial" w:hAnsi="Arial" w:cs="Arial"/>
                <w:color w:val="000000"/>
                <w:sz w:val="16"/>
              </w:rPr>
            </w:pPr>
            <w:r>
              <w:rPr>
                <w:rFonts w:ascii="Arial" w:eastAsia="Arial" w:hAnsi="Arial" w:cs="Arial"/>
                <w:color w:val="000000"/>
                <w:sz w:val="16"/>
              </w:rPr>
              <w:t>3 </w:t>
            </w:r>
          </w:p>
        </w:tc>
        <w:tc>
          <w:tcPr>
            <w:tcW w:w="0" w:type="auto"/>
            <w:tcBorders>
              <w:top w:val="nil"/>
              <w:left w:val="nil"/>
              <w:bottom w:val="nil"/>
              <w:right w:val="nil"/>
              <w:tl2br w:val="nil"/>
              <w:tr2bl w:val="nil"/>
            </w:tcBorders>
            <w:shd w:val="clear" w:color="auto" w:fill="FFFFFF"/>
            <w:tcMar>
              <w:left w:w="115" w:type="dxa"/>
              <w:right w:w="115" w:type="dxa"/>
            </w:tcMar>
            <w:vAlign w:val="bottom"/>
          </w:tcPr>
          <w:p w14:paraId="294987DE" w14:textId="77777777" w:rsidR="00724034" w:rsidRDefault="00FB7D0B">
            <w:pPr>
              <w:jc w:val="right"/>
              <w:rPr>
                <w:rFonts w:ascii="Arial" w:eastAsia="Arial" w:hAnsi="Arial" w:cs="Arial"/>
                <w:color w:val="000000"/>
                <w:sz w:val="16"/>
              </w:rPr>
            </w:pPr>
            <w:r>
              <w:rPr>
                <w:rFonts w:ascii="Arial" w:eastAsia="Arial" w:hAnsi="Arial" w:cs="Arial"/>
                <w:color w:val="000000"/>
                <w:sz w:val="16"/>
              </w:rPr>
              <w:t>2 </w:t>
            </w:r>
          </w:p>
        </w:tc>
        <w:tc>
          <w:tcPr>
            <w:tcW w:w="0" w:type="auto"/>
            <w:tcBorders>
              <w:top w:val="nil"/>
              <w:left w:val="nil"/>
              <w:bottom w:val="nil"/>
              <w:right w:val="nil"/>
              <w:tl2br w:val="nil"/>
              <w:tr2bl w:val="nil"/>
            </w:tcBorders>
            <w:shd w:val="clear" w:color="auto" w:fill="FFFFFF"/>
            <w:tcMar>
              <w:left w:w="115" w:type="dxa"/>
              <w:right w:w="115" w:type="dxa"/>
            </w:tcMar>
            <w:vAlign w:val="bottom"/>
          </w:tcPr>
          <w:p w14:paraId="04EE139D" w14:textId="77777777" w:rsidR="00724034" w:rsidRDefault="00FB7D0B">
            <w:pPr>
              <w:jc w:val="right"/>
              <w:rPr>
                <w:rFonts w:ascii="Arial" w:eastAsia="Arial" w:hAnsi="Arial" w:cs="Arial"/>
                <w:color w:val="000000"/>
                <w:sz w:val="16"/>
              </w:rPr>
            </w:pPr>
            <w:r>
              <w:rPr>
                <w:rFonts w:ascii="Arial" w:eastAsia="Arial" w:hAnsi="Arial" w:cs="Arial"/>
                <w:color w:val="000000"/>
                <w:sz w:val="16"/>
              </w:rPr>
              <w:t xml:space="preserve"> 1 </w:t>
            </w:r>
          </w:p>
        </w:tc>
        <w:tc>
          <w:tcPr>
            <w:tcW w:w="0" w:type="auto"/>
            <w:tcBorders>
              <w:top w:val="nil"/>
              <w:left w:val="nil"/>
              <w:bottom w:val="nil"/>
              <w:right w:val="single" w:sz="6" w:space="0" w:color="000000"/>
              <w:tl2br w:val="nil"/>
              <w:tr2bl w:val="nil"/>
            </w:tcBorders>
            <w:shd w:val="clear" w:color="auto" w:fill="FFFFFF"/>
            <w:tcMar>
              <w:left w:w="115" w:type="dxa"/>
              <w:right w:w="115" w:type="dxa"/>
            </w:tcMar>
            <w:vAlign w:val="bottom"/>
          </w:tcPr>
          <w:p w14:paraId="3C7317D8" w14:textId="77777777" w:rsidR="00724034" w:rsidRDefault="00FB7D0B">
            <w:pPr>
              <w:jc w:val="right"/>
              <w:rPr>
                <w:rFonts w:ascii="Arial" w:eastAsia="Arial" w:hAnsi="Arial" w:cs="Arial"/>
                <w:color w:val="000000"/>
                <w:sz w:val="16"/>
              </w:rPr>
            </w:pPr>
            <w:r>
              <w:rPr>
                <w:rFonts w:ascii="Arial" w:eastAsia="Arial" w:hAnsi="Arial" w:cs="Arial"/>
                <w:color w:val="000000"/>
                <w:sz w:val="16"/>
              </w:rPr>
              <w:t xml:space="preserve"> - </w:t>
            </w:r>
          </w:p>
        </w:tc>
      </w:tr>
      <w:tr w:rsidR="00724034" w14:paraId="537493E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hRule="exact" w:val="60"/>
        </w:trPr>
        <w:tc>
          <w:tcPr>
            <w:tcW w:w="0" w:type="auto"/>
            <w:tcBorders>
              <w:top w:val="nil"/>
              <w:left w:val="single" w:sz="6" w:space="0" w:color="000000"/>
              <w:bottom w:val="nil"/>
              <w:right w:val="nil"/>
              <w:tl2br w:val="nil"/>
              <w:tr2bl w:val="nil"/>
            </w:tcBorders>
            <w:shd w:val="clear" w:color="auto" w:fill="FFFFFF"/>
            <w:tcMar>
              <w:left w:w="115" w:type="dxa"/>
              <w:right w:w="115" w:type="dxa"/>
            </w:tcMar>
            <w:vAlign w:val="bottom"/>
          </w:tcPr>
          <w:p w14:paraId="4A3937D5" w14:textId="77777777" w:rsidR="00724034" w:rsidRDefault="00724034">
            <w:pPr>
              <w:rPr>
                <w:rFonts w:ascii="Arial" w:eastAsia="Arial" w:hAnsi="Arial" w:cs="Arial"/>
                <w:color w:val="000000"/>
                <w:sz w:val="16"/>
              </w:rPr>
            </w:pPr>
          </w:p>
        </w:tc>
        <w:tc>
          <w:tcPr>
            <w:tcW w:w="0" w:type="auto"/>
            <w:tcBorders>
              <w:top w:val="nil"/>
              <w:left w:val="nil"/>
              <w:bottom w:val="nil"/>
              <w:right w:val="nil"/>
              <w:tl2br w:val="nil"/>
              <w:tr2bl w:val="nil"/>
            </w:tcBorders>
            <w:shd w:val="clear" w:color="auto" w:fill="FFFFFF"/>
            <w:tcMar>
              <w:left w:w="115" w:type="dxa"/>
              <w:right w:w="115" w:type="dxa"/>
            </w:tcMar>
            <w:vAlign w:val="bottom"/>
          </w:tcPr>
          <w:p w14:paraId="101FD101" w14:textId="77777777" w:rsidR="00724034" w:rsidRDefault="00724034">
            <w:pPr>
              <w:rPr>
                <w:rFonts w:ascii="Arial" w:eastAsia="Arial" w:hAnsi="Arial" w:cs="Arial"/>
                <w:color w:val="000000"/>
                <w:sz w:val="16"/>
              </w:rPr>
            </w:pPr>
          </w:p>
        </w:tc>
        <w:tc>
          <w:tcPr>
            <w:tcW w:w="0" w:type="auto"/>
            <w:tcBorders>
              <w:top w:val="nil"/>
              <w:left w:val="nil"/>
              <w:bottom w:val="nil"/>
              <w:right w:val="nil"/>
              <w:tl2br w:val="nil"/>
              <w:tr2bl w:val="nil"/>
            </w:tcBorders>
            <w:shd w:val="clear" w:color="auto" w:fill="FFFF00"/>
            <w:tcMar>
              <w:left w:w="115" w:type="dxa"/>
              <w:right w:w="115" w:type="dxa"/>
            </w:tcMar>
            <w:vAlign w:val="bottom"/>
          </w:tcPr>
          <w:p w14:paraId="2FA1D90C" w14:textId="77777777" w:rsidR="00724034" w:rsidRDefault="00724034">
            <w:pPr>
              <w:rPr>
                <w:rFonts w:ascii="Arial" w:eastAsia="Arial" w:hAnsi="Arial" w:cs="Arial"/>
                <w:color w:val="000000"/>
                <w:sz w:val="16"/>
              </w:rPr>
            </w:pPr>
          </w:p>
        </w:tc>
        <w:tc>
          <w:tcPr>
            <w:tcW w:w="0" w:type="auto"/>
            <w:tcBorders>
              <w:top w:val="nil"/>
              <w:left w:val="nil"/>
              <w:bottom w:val="nil"/>
              <w:right w:val="nil"/>
              <w:tl2br w:val="nil"/>
              <w:tr2bl w:val="nil"/>
            </w:tcBorders>
            <w:shd w:val="clear" w:color="auto" w:fill="FFFFFF"/>
            <w:tcMar>
              <w:left w:w="115" w:type="dxa"/>
              <w:right w:w="115" w:type="dxa"/>
            </w:tcMar>
            <w:vAlign w:val="bottom"/>
          </w:tcPr>
          <w:p w14:paraId="6F107859" w14:textId="77777777" w:rsidR="00724034" w:rsidRDefault="00724034">
            <w:pPr>
              <w:rPr>
                <w:rFonts w:ascii="Arial" w:eastAsia="Arial" w:hAnsi="Arial" w:cs="Arial"/>
                <w:color w:val="000000"/>
                <w:sz w:val="16"/>
              </w:rPr>
            </w:pPr>
          </w:p>
        </w:tc>
        <w:tc>
          <w:tcPr>
            <w:tcW w:w="0" w:type="auto"/>
            <w:tcBorders>
              <w:top w:val="nil"/>
              <w:left w:val="nil"/>
              <w:bottom w:val="nil"/>
              <w:right w:val="nil"/>
              <w:tl2br w:val="nil"/>
              <w:tr2bl w:val="nil"/>
            </w:tcBorders>
            <w:shd w:val="clear" w:color="auto" w:fill="FFFFFF"/>
            <w:tcMar>
              <w:left w:w="115" w:type="dxa"/>
              <w:right w:w="115" w:type="dxa"/>
            </w:tcMar>
            <w:vAlign w:val="bottom"/>
          </w:tcPr>
          <w:p w14:paraId="65E5EA1D" w14:textId="77777777" w:rsidR="00724034" w:rsidRDefault="00724034">
            <w:pPr>
              <w:rPr>
                <w:rFonts w:ascii="Arial" w:eastAsia="Arial" w:hAnsi="Arial" w:cs="Arial"/>
                <w:color w:val="000000"/>
                <w:sz w:val="16"/>
              </w:rPr>
            </w:pPr>
          </w:p>
        </w:tc>
        <w:tc>
          <w:tcPr>
            <w:tcW w:w="0" w:type="auto"/>
            <w:tcBorders>
              <w:top w:val="nil"/>
              <w:left w:val="nil"/>
              <w:bottom w:val="nil"/>
              <w:right w:val="single" w:sz="6" w:space="0" w:color="000000"/>
              <w:tl2br w:val="nil"/>
              <w:tr2bl w:val="nil"/>
            </w:tcBorders>
            <w:shd w:val="clear" w:color="auto" w:fill="FFFFFF"/>
            <w:tcMar>
              <w:left w:w="115" w:type="dxa"/>
              <w:right w:w="115" w:type="dxa"/>
            </w:tcMar>
            <w:vAlign w:val="bottom"/>
          </w:tcPr>
          <w:p w14:paraId="40533712" w14:textId="77777777" w:rsidR="00724034" w:rsidRDefault="00724034">
            <w:pPr>
              <w:jc w:val="right"/>
              <w:rPr>
                <w:rFonts w:ascii="Arial" w:eastAsia="Arial" w:hAnsi="Arial" w:cs="Arial"/>
                <w:color w:val="000000"/>
                <w:sz w:val="16"/>
              </w:rPr>
            </w:pPr>
          </w:p>
        </w:tc>
      </w:tr>
      <w:tr w:rsidR="00724034" w14:paraId="5900058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450"/>
        </w:trPr>
        <w:tc>
          <w:tcPr>
            <w:tcW w:w="0" w:type="auto"/>
            <w:tcBorders>
              <w:top w:val="nil"/>
              <w:left w:val="single" w:sz="6" w:space="0" w:color="000000"/>
              <w:bottom w:val="nil"/>
              <w:right w:val="nil"/>
              <w:tl2br w:val="nil"/>
              <w:tr2bl w:val="nil"/>
            </w:tcBorders>
            <w:shd w:val="clear" w:color="auto" w:fill="FFFFFF"/>
            <w:tcMar>
              <w:left w:w="115" w:type="dxa"/>
              <w:right w:w="115" w:type="dxa"/>
            </w:tcMar>
            <w:vAlign w:val="bottom"/>
          </w:tcPr>
          <w:p w14:paraId="3A5A7050" w14:textId="77777777" w:rsidR="00724034" w:rsidRDefault="00FB7D0B">
            <w:pPr>
              <w:rPr>
                <w:rFonts w:ascii="Arial" w:eastAsia="Arial" w:hAnsi="Arial" w:cs="Arial"/>
                <w:color w:val="000000"/>
                <w:sz w:val="16"/>
              </w:rPr>
            </w:pPr>
            <w:r>
              <w:rPr>
                <w:rFonts w:ascii="Arial" w:eastAsia="Arial" w:hAnsi="Arial" w:cs="Arial"/>
                <w:color w:val="000000"/>
                <w:sz w:val="16"/>
              </w:rPr>
              <w:t>Community awareness and education resources</w:t>
            </w:r>
          </w:p>
        </w:tc>
        <w:tc>
          <w:tcPr>
            <w:tcW w:w="0" w:type="auto"/>
            <w:tcBorders>
              <w:top w:val="nil"/>
              <w:left w:val="nil"/>
              <w:bottom w:val="nil"/>
              <w:right w:val="nil"/>
              <w:tl2br w:val="nil"/>
              <w:tr2bl w:val="nil"/>
            </w:tcBorders>
            <w:shd w:val="clear" w:color="auto" w:fill="FFFFFF"/>
            <w:tcMar>
              <w:left w:w="115" w:type="dxa"/>
              <w:right w:w="115" w:type="dxa"/>
            </w:tcMar>
            <w:vAlign w:val="bottom"/>
          </w:tcPr>
          <w:p w14:paraId="3A9388C6" w14:textId="77777777" w:rsidR="00724034" w:rsidRDefault="00FB7D0B">
            <w:pPr>
              <w:jc w:val="right"/>
              <w:rPr>
                <w:rFonts w:ascii="Arial" w:eastAsia="Arial" w:hAnsi="Arial" w:cs="Arial"/>
                <w:color w:val="000000"/>
                <w:sz w:val="16"/>
              </w:rPr>
            </w:pPr>
            <w:r>
              <w:rPr>
                <w:rFonts w:ascii="Arial" w:eastAsia="Arial" w:hAnsi="Arial" w:cs="Arial"/>
                <w:color w:val="000000"/>
                <w:sz w:val="16"/>
              </w:rPr>
              <w:t>392,801 </w:t>
            </w:r>
          </w:p>
        </w:tc>
        <w:tc>
          <w:tcPr>
            <w:tcW w:w="0" w:type="auto"/>
            <w:tcBorders>
              <w:top w:val="nil"/>
              <w:left w:val="nil"/>
              <w:bottom w:val="nil"/>
              <w:right w:val="nil"/>
              <w:tl2br w:val="nil"/>
              <w:tr2bl w:val="nil"/>
            </w:tcBorders>
            <w:shd w:val="clear" w:color="auto" w:fill="FFFF00"/>
            <w:tcMar>
              <w:left w:w="115" w:type="dxa"/>
              <w:right w:w="115" w:type="dxa"/>
            </w:tcMar>
            <w:vAlign w:val="bottom"/>
          </w:tcPr>
          <w:p w14:paraId="48F2FA5B" w14:textId="77777777" w:rsidR="00724034" w:rsidRDefault="00FB7D0B">
            <w:pPr>
              <w:jc w:val="right"/>
              <w:rPr>
                <w:rFonts w:ascii="Arial" w:eastAsia="Arial" w:hAnsi="Arial" w:cs="Arial"/>
                <w:color w:val="000000"/>
                <w:sz w:val="16"/>
              </w:rPr>
            </w:pPr>
            <w:r>
              <w:rPr>
                <w:rFonts w:ascii="Arial" w:eastAsia="Arial" w:hAnsi="Arial" w:cs="Arial"/>
                <w:color w:val="000000"/>
                <w:sz w:val="16"/>
              </w:rPr>
              <w:t>483,000 </w:t>
            </w:r>
          </w:p>
        </w:tc>
        <w:tc>
          <w:tcPr>
            <w:tcW w:w="0" w:type="auto"/>
            <w:tcBorders>
              <w:top w:val="nil"/>
              <w:left w:val="nil"/>
              <w:bottom w:val="nil"/>
              <w:right w:val="nil"/>
              <w:tl2br w:val="nil"/>
              <w:tr2bl w:val="nil"/>
            </w:tcBorders>
            <w:shd w:val="clear" w:color="auto" w:fill="FFFFFF"/>
            <w:tcMar>
              <w:left w:w="115" w:type="dxa"/>
              <w:right w:w="115" w:type="dxa"/>
            </w:tcMar>
            <w:vAlign w:val="bottom"/>
          </w:tcPr>
          <w:p w14:paraId="2C7B5A83" w14:textId="77777777" w:rsidR="00724034" w:rsidRDefault="00FB7D0B">
            <w:pPr>
              <w:jc w:val="right"/>
              <w:rPr>
                <w:rFonts w:ascii="Arial" w:eastAsia="Arial" w:hAnsi="Arial" w:cs="Arial"/>
                <w:color w:val="000000"/>
                <w:sz w:val="16"/>
              </w:rPr>
            </w:pPr>
            <w:r>
              <w:rPr>
                <w:rFonts w:ascii="Arial" w:eastAsia="Arial" w:hAnsi="Arial" w:cs="Arial"/>
                <w:color w:val="000000"/>
                <w:sz w:val="16"/>
              </w:rPr>
              <w:t>531,000 </w:t>
            </w:r>
          </w:p>
        </w:tc>
        <w:tc>
          <w:tcPr>
            <w:tcW w:w="0" w:type="auto"/>
            <w:tcBorders>
              <w:top w:val="nil"/>
              <w:left w:val="nil"/>
              <w:bottom w:val="nil"/>
              <w:right w:val="nil"/>
              <w:tl2br w:val="nil"/>
              <w:tr2bl w:val="nil"/>
            </w:tcBorders>
            <w:shd w:val="clear" w:color="auto" w:fill="FFFFFF"/>
            <w:tcMar>
              <w:left w:w="115" w:type="dxa"/>
              <w:right w:w="115" w:type="dxa"/>
            </w:tcMar>
            <w:vAlign w:val="bottom"/>
          </w:tcPr>
          <w:p w14:paraId="134C2B2F" w14:textId="77777777" w:rsidR="00724034" w:rsidRDefault="00FB7D0B">
            <w:pPr>
              <w:jc w:val="right"/>
              <w:rPr>
                <w:rFonts w:ascii="Arial" w:eastAsia="Arial" w:hAnsi="Arial" w:cs="Arial"/>
                <w:color w:val="000000"/>
                <w:sz w:val="16"/>
              </w:rPr>
            </w:pPr>
            <w:r>
              <w:rPr>
                <w:rFonts w:ascii="Arial" w:eastAsia="Arial" w:hAnsi="Arial" w:cs="Arial"/>
                <w:color w:val="000000"/>
                <w:sz w:val="16"/>
              </w:rPr>
              <w:t>584,000 </w:t>
            </w:r>
          </w:p>
        </w:tc>
        <w:tc>
          <w:tcPr>
            <w:tcW w:w="0" w:type="auto"/>
            <w:tcBorders>
              <w:top w:val="nil"/>
              <w:left w:val="nil"/>
              <w:bottom w:val="nil"/>
              <w:right w:val="single" w:sz="6" w:space="0" w:color="000000"/>
              <w:tl2br w:val="nil"/>
              <w:tr2bl w:val="nil"/>
            </w:tcBorders>
            <w:shd w:val="clear" w:color="auto" w:fill="FFFFFF"/>
            <w:tcMar>
              <w:left w:w="115" w:type="dxa"/>
              <w:right w:w="115" w:type="dxa"/>
            </w:tcMar>
            <w:vAlign w:val="bottom"/>
          </w:tcPr>
          <w:p w14:paraId="6C216A83" w14:textId="77777777" w:rsidR="00724034" w:rsidRDefault="00FB7D0B">
            <w:pPr>
              <w:jc w:val="right"/>
              <w:rPr>
                <w:rFonts w:ascii="Arial" w:eastAsia="Arial" w:hAnsi="Arial" w:cs="Arial"/>
                <w:color w:val="000000"/>
                <w:sz w:val="16"/>
              </w:rPr>
            </w:pPr>
            <w:r>
              <w:rPr>
                <w:rFonts w:ascii="Arial" w:eastAsia="Arial" w:hAnsi="Arial" w:cs="Arial"/>
                <w:color w:val="000000"/>
                <w:sz w:val="16"/>
              </w:rPr>
              <w:t xml:space="preserve"> 531,000 </w:t>
            </w:r>
          </w:p>
        </w:tc>
      </w:tr>
      <w:tr w:rsidR="00724034" w14:paraId="1FAB061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hRule="exact" w:val="60"/>
        </w:trPr>
        <w:tc>
          <w:tcPr>
            <w:tcW w:w="0" w:type="auto"/>
            <w:tcBorders>
              <w:top w:val="nil"/>
              <w:left w:val="single" w:sz="6" w:space="0" w:color="000000"/>
              <w:bottom w:val="nil"/>
              <w:right w:val="nil"/>
              <w:tl2br w:val="nil"/>
              <w:tr2bl w:val="nil"/>
            </w:tcBorders>
            <w:shd w:val="clear" w:color="auto" w:fill="FFFFFF"/>
            <w:tcMar>
              <w:left w:w="115" w:type="dxa"/>
              <w:right w:w="115" w:type="dxa"/>
            </w:tcMar>
            <w:vAlign w:val="bottom"/>
          </w:tcPr>
          <w:p w14:paraId="70E0A8BD" w14:textId="77777777" w:rsidR="00724034" w:rsidRDefault="00724034">
            <w:pPr>
              <w:rPr>
                <w:rFonts w:ascii="Arial" w:eastAsia="Arial" w:hAnsi="Arial" w:cs="Arial"/>
                <w:color w:val="000000"/>
                <w:sz w:val="16"/>
              </w:rPr>
            </w:pPr>
          </w:p>
        </w:tc>
        <w:tc>
          <w:tcPr>
            <w:tcW w:w="0" w:type="auto"/>
            <w:tcBorders>
              <w:top w:val="nil"/>
              <w:left w:val="nil"/>
              <w:bottom w:val="nil"/>
              <w:right w:val="nil"/>
              <w:tl2br w:val="nil"/>
              <w:tr2bl w:val="nil"/>
            </w:tcBorders>
            <w:shd w:val="clear" w:color="auto" w:fill="FFFFFF"/>
            <w:tcMar>
              <w:left w:w="115" w:type="dxa"/>
              <w:right w:w="115" w:type="dxa"/>
            </w:tcMar>
            <w:vAlign w:val="bottom"/>
          </w:tcPr>
          <w:p w14:paraId="75B64A4D" w14:textId="77777777" w:rsidR="00724034" w:rsidRDefault="00724034">
            <w:pPr>
              <w:rPr>
                <w:rFonts w:ascii="Arial" w:eastAsia="Arial" w:hAnsi="Arial" w:cs="Arial"/>
                <w:color w:val="000000"/>
                <w:sz w:val="16"/>
              </w:rPr>
            </w:pPr>
          </w:p>
        </w:tc>
        <w:tc>
          <w:tcPr>
            <w:tcW w:w="0" w:type="auto"/>
            <w:tcBorders>
              <w:top w:val="nil"/>
              <w:left w:val="nil"/>
              <w:bottom w:val="nil"/>
              <w:right w:val="nil"/>
              <w:tl2br w:val="nil"/>
              <w:tr2bl w:val="nil"/>
            </w:tcBorders>
            <w:shd w:val="clear" w:color="auto" w:fill="FFFF00"/>
            <w:tcMar>
              <w:left w:w="115" w:type="dxa"/>
              <w:right w:w="115" w:type="dxa"/>
            </w:tcMar>
            <w:vAlign w:val="bottom"/>
          </w:tcPr>
          <w:p w14:paraId="6D4D5EAF" w14:textId="77777777" w:rsidR="00724034" w:rsidRDefault="00724034">
            <w:pPr>
              <w:rPr>
                <w:rFonts w:ascii="Arial" w:eastAsia="Arial" w:hAnsi="Arial" w:cs="Arial"/>
                <w:color w:val="000000"/>
                <w:sz w:val="16"/>
              </w:rPr>
            </w:pPr>
          </w:p>
        </w:tc>
        <w:tc>
          <w:tcPr>
            <w:tcW w:w="0" w:type="auto"/>
            <w:tcBorders>
              <w:top w:val="nil"/>
              <w:left w:val="nil"/>
              <w:bottom w:val="nil"/>
              <w:right w:val="nil"/>
              <w:tl2br w:val="nil"/>
              <w:tr2bl w:val="nil"/>
            </w:tcBorders>
            <w:shd w:val="clear" w:color="auto" w:fill="FFFFFF"/>
            <w:tcMar>
              <w:left w:w="115" w:type="dxa"/>
              <w:right w:w="115" w:type="dxa"/>
            </w:tcMar>
            <w:vAlign w:val="bottom"/>
          </w:tcPr>
          <w:p w14:paraId="4C36635F" w14:textId="77777777" w:rsidR="00724034" w:rsidRDefault="00724034">
            <w:pPr>
              <w:jc w:val="right"/>
              <w:rPr>
                <w:rFonts w:ascii="Arial" w:eastAsia="Arial" w:hAnsi="Arial" w:cs="Arial"/>
                <w:color w:val="000000"/>
                <w:sz w:val="16"/>
              </w:rPr>
            </w:pPr>
          </w:p>
        </w:tc>
        <w:tc>
          <w:tcPr>
            <w:tcW w:w="0" w:type="auto"/>
            <w:tcBorders>
              <w:top w:val="nil"/>
              <w:left w:val="nil"/>
              <w:bottom w:val="nil"/>
              <w:right w:val="nil"/>
              <w:tl2br w:val="nil"/>
              <w:tr2bl w:val="nil"/>
            </w:tcBorders>
            <w:shd w:val="clear" w:color="auto" w:fill="FFFFFF"/>
            <w:tcMar>
              <w:left w:w="115" w:type="dxa"/>
              <w:right w:w="115" w:type="dxa"/>
            </w:tcMar>
            <w:vAlign w:val="bottom"/>
          </w:tcPr>
          <w:p w14:paraId="5D8F20D5" w14:textId="77777777" w:rsidR="00724034" w:rsidRDefault="00724034">
            <w:pPr>
              <w:jc w:val="right"/>
              <w:rPr>
                <w:rFonts w:ascii="Arial" w:eastAsia="Arial" w:hAnsi="Arial" w:cs="Arial"/>
                <w:color w:val="000000"/>
                <w:sz w:val="16"/>
              </w:rPr>
            </w:pPr>
          </w:p>
        </w:tc>
        <w:tc>
          <w:tcPr>
            <w:tcW w:w="0" w:type="auto"/>
            <w:tcBorders>
              <w:top w:val="nil"/>
              <w:left w:val="nil"/>
              <w:bottom w:val="nil"/>
              <w:right w:val="single" w:sz="6" w:space="0" w:color="000000"/>
              <w:tl2br w:val="nil"/>
              <w:tr2bl w:val="nil"/>
            </w:tcBorders>
            <w:shd w:val="clear" w:color="auto" w:fill="FFFFFF"/>
            <w:tcMar>
              <w:left w:w="115" w:type="dxa"/>
              <w:right w:w="115" w:type="dxa"/>
            </w:tcMar>
            <w:vAlign w:val="bottom"/>
          </w:tcPr>
          <w:p w14:paraId="56EB65BE" w14:textId="77777777" w:rsidR="00724034" w:rsidRDefault="00724034">
            <w:pPr>
              <w:jc w:val="right"/>
              <w:rPr>
                <w:rFonts w:ascii="Arial" w:eastAsia="Arial" w:hAnsi="Arial" w:cs="Arial"/>
                <w:color w:val="000000"/>
                <w:sz w:val="16"/>
              </w:rPr>
            </w:pPr>
          </w:p>
        </w:tc>
      </w:tr>
      <w:tr w:rsidR="00724034" w14:paraId="3BACA08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25"/>
        </w:trPr>
        <w:tc>
          <w:tcPr>
            <w:tcW w:w="0" w:type="auto"/>
            <w:tcBorders>
              <w:top w:val="nil"/>
              <w:left w:val="single" w:sz="6" w:space="0" w:color="000000"/>
              <w:bottom w:val="nil"/>
              <w:right w:val="nil"/>
              <w:tl2br w:val="nil"/>
              <w:tr2bl w:val="nil"/>
            </w:tcBorders>
            <w:shd w:val="clear" w:color="auto" w:fill="FFFFFF"/>
            <w:tcMar>
              <w:left w:w="115" w:type="dxa"/>
              <w:right w:w="115" w:type="dxa"/>
            </w:tcMar>
            <w:vAlign w:val="bottom"/>
          </w:tcPr>
          <w:p w14:paraId="7F164313" w14:textId="77777777" w:rsidR="00724034" w:rsidRDefault="00FB7D0B">
            <w:pPr>
              <w:rPr>
                <w:rFonts w:ascii="Arial" w:eastAsia="Arial" w:hAnsi="Arial" w:cs="Arial"/>
                <w:color w:val="000000"/>
                <w:sz w:val="16"/>
              </w:rPr>
            </w:pPr>
            <w:r>
              <w:rPr>
                <w:rFonts w:ascii="Arial" w:eastAsia="Arial" w:hAnsi="Arial" w:cs="Arial"/>
                <w:color w:val="000000"/>
                <w:sz w:val="16"/>
              </w:rPr>
              <w:t>Grants applications processed</w:t>
            </w:r>
          </w:p>
        </w:tc>
        <w:tc>
          <w:tcPr>
            <w:tcW w:w="0" w:type="auto"/>
            <w:tcBorders>
              <w:top w:val="nil"/>
              <w:left w:val="nil"/>
              <w:bottom w:val="nil"/>
              <w:right w:val="nil"/>
              <w:tl2br w:val="nil"/>
              <w:tr2bl w:val="nil"/>
            </w:tcBorders>
            <w:shd w:val="clear" w:color="auto" w:fill="FFFFFF"/>
            <w:tcMar>
              <w:left w:w="115" w:type="dxa"/>
              <w:right w:w="115" w:type="dxa"/>
            </w:tcMar>
            <w:vAlign w:val="bottom"/>
          </w:tcPr>
          <w:p w14:paraId="1418271E" w14:textId="77777777" w:rsidR="00724034" w:rsidRDefault="00FB7D0B">
            <w:pPr>
              <w:jc w:val="right"/>
              <w:rPr>
                <w:rFonts w:ascii="Arial" w:eastAsia="Arial" w:hAnsi="Arial" w:cs="Arial"/>
                <w:color w:val="000000"/>
                <w:sz w:val="16"/>
              </w:rPr>
            </w:pPr>
            <w:r>
              <w:rPr>
                <w:rFonts w:ascii="Arial" w:eastAsia="Arial" w:hAnsi="Arial" w:cs="Arial"/>
                <w:color w:val="000000"/>
                <w:sz w:val="16"/>
              </w:rPr>
              <w:t>190 </w:t>
            </w:r>
          </w:p>
        </w:tc>
        <w:tc>
          <w:tcPr>
            <w:tcW w:w="0" w:type="auto"/>
            <w:tcBorders>
              <w:top w:val="nil"/>
              <w:left w:val="nil"/>
              <w:bottom w:val="nil"/>
              <w:right w:val="nil"/>
              <w:tl2br w:val="nil"/>
              <w:tr2bl w:val="nil"/>
            </w:tcBorders>
            <w:shd w:val="clear" w:color="auto" w:fill="FFFF00"/>
            <w:tcMar>
              <w:left w:w="115" w:type="dxa"/>
              <w:right w:w="115" w:type="dxa"/>
            </w:tcMar>
            <w:vAlign w:val="bottom"/>
          </w:tcPr>
          <w:p w14:paraId="7DA15D12" w14:textId="77777777" w:rsidR="00724034" w:rsidRDefault="00FB7D0B">
            <w:pPr>
              <w:jc w:val="right"/>
              <w:rPr>
                <w:rFonts w:ascii="Arial" w:eastAsia="Arial" w:hAnsi="Arial" w:cs="Arial"/>
                <w:color w:val="000000"/>
                <w:sz w:val="16"/>
              </w:rPr>
            </w:pPr>
            <w:r>
              <w:rPr>
                <w:rFonts w:ascii="Arial" w:eastAsia="Arial" w:hAnsi="Arial" w:cs="Arial"/>
                <w:color w:val="000000"/>
                <w:sz w:val="16"/>
              </w:rPr>
              <w:t>874 </w:t>
            </w:r>
          </w:p>
        </w:tc>
        <w:tc>
          <w:tcPr>
            <w:tcW w:w="0" w:type="auto"/>
            <w:tcBorders>
              <w:top w:val="nil"/>
              <w:left w:val="nil"/>
              <w:bottom w:val="nil"/>
              <w:right w:val="nil"/>
              <w:tl2br w:val="nil"/>
              <w:tr2bl w:val="nil"/>
            </w:tcBorders>
            <w:shd w:val="clear" w:color="auto" w:fill="FFFFFF"/>
            <w:tcMar>
              <w:left w:w="115" w:type="dxa"/>
              <w:right w:w="115" w:type="dxa"/>
            </w:tcMar>
            <w:vAlign w:val="bottom"/>
          </w:tcPr>
          <w:p w14:paraId="327C7E11" w14:textId="77777777" w:rsidR="00724034" w:rsidRDefault="00FB7D0B">
            <w:pPr>
              <w:jc w:val="right"/>
              <w:rPr>
                <w:rFonts w:ascii="Arial" w:eastAsia="Arial" w:hAnsi="Arial" w:cs="Arial"/>
                <w:color w:val="000000"/>
                <w:sz w:val="16"/>
              </w:rPr>
            </w:pPr>
            <w:r>
              <w:rPr>
                <w:rFonts w:ascii="Arial" w:eastAsia="Arial" w:hAnsi="Arial" w:cs="Arial"/>
                <w:color w:val="000000"/>
                <w:sz w:val="16"/>
              </w:rPr>
              <w:t xml:space="preserve"> 570 </w:t>
            </w:r>
          </w:p>
        </w:tc>
        <w:tc>
          <w:tcPr>
            <w:tcW w:w="0" w:type="auto"/>
            <w:tcBorders>
              <w:top w:val="nil"/>
              <w:left w:val="nil"/>
              <w:bottom w:val="nil"/>
              <w:right w:val="nil"/>
              <w:tl2br w:val="nil"/>
              <w:tr2bl w:val="nil"/>
            </w:tcBorders>
            <w:shd w:val="clear" w:color="auto" w:fill="FFFFFF"/>
            <w:tcMar>
              <w:left w:w="115" w:type="dxa"/>
              <w:right w:w="115" w:type="dxa"/>
            </w:tcMar>
            <w:vAlign w:val="bottom"/>
          </w:tcPr>
          <w:p w14:paraId="6CFD15D5" w14:textId="77777777" w:rsidR="00724034" w:rsidRDefault="00FB7D0B">
            <w:pPr>
              <w:jc w:val="right"/>
              <w:rPr>
                <w:rFonts w:ascii="Arial" w:eastAsia="Arial" w:hAnsi="Arial" w:cs="Arial"/>
                <w:color w:val="000000"/>
                <w:sz w:val="16"/>
              </w:rPr>
            </w:pPr>
            <w:r>
              <w:rPr>
                <w:rFonts w:ascii="Arial" w:eastAsia="Arial" w:hAnsi="Arial" w:cs="Arial"/>
                <w:color w:val="000000"/>
                <w:sz w:val="16"/>
              </w:rPr>
              <w:t xml:space="preserve"> 570 </w:t>
            </w:r>
          </w:p>
        </w:tc>
        <w:tc>
          <w:tcPr>
            <w:tcW w:w="0" w:type="auto"/>
            <w:tcBorders>
              <w:top w:val="nil"/>
              <w:left w:val="nil"/>
              <w:bottom w:val="nil"/>
              <w:right w:val="single" w:sz="6" w:space="0" w:color="000000"/>
              <w:tl2br w:val="nil"/>
              <w:tr2bl w:val="nil"/>
            </w:tcBorders>
            <w:shd w:val="clear" w:color="auto" w:fill="FFFFFF"/>
            <w:tcMar>
              <w:left w:w="115" w:type="dxa"/>
              <w:right w:w="115" w:type="dxa"/>
            </w:tcMar>
            <w:vAlign w:val="bottom"/>
          </w:tcPr>
          <w:p w14:paraId="443B8D68" w14:textId="77777777" w:rsidR="00724034" w:rsidRDefault="00FB7D0B">
            <w:pPr>
              <w:jc w:val="right"/>
              <w:rPr>
                <w:rFonts w:ascii="Arial" w:eastAsia="Arial" w:hAnsi="Arial" w:cs="Arial"/>
                <w:color w:val="000000"/>
                <w:sz w:val="16"/>
              </w:rPr>
            </w:pPr>
            <w:r>
              <w:rPr>
                <w:rFonts w:ascii="Arial" w:eastAsia="Arial" w:hAnsi="Arial" w:cs="Arial"/>
                <w:color w:val="000000"/>
                <w:sz w:val="16"/>
              </w:rPr>
              <w:t xml:space="preserve"> 510 </w:t>
            </w:r>
          </w:p>
        </w:tc>
      </w:tr>
      <w:tr w:rsidR="00724034" w14:paraId="114C89A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hRule="exact" w:val="60"/>
        </w:trPr>
        <w:tc>
          <w:tcPr>
            <w:tcW w:w="0" w:type="auto"/>
            <w:tcBorders>
              <w:top w:val="nil"/>
              <w:left w:val="single" w:sz="6" w:space="0" w:color="000000"/>
              <w:bottom w:val="nil"/>
              <w:right w:val="nil"/>
              <w:tl2br w:val="nil"/>
              <w:tr2bl w:val="nil"/>
            </w:tcBorders>
            <w:shd w:val="clear" w:color="auto" w:fill="FFFFFF"/>
            <w:tcMar>
              <w:left w:w="115" w:type="dxa"/>
              <w:right w:w="115" w:type="dxa"/>
            </w:tcMar>
            <w:vAlign w:val="bottom"/>
          </w:tcPr>
          <w:p w14:paraId="68973B66" w14:textId="77777777" w:rsidR="00724034" w:rsidRDefault="00724034">
            <w:pPr>
              <w:rPr>
                <w:rFonts w:ascii="Arial" w:eastAsia="Arial" w:hAnsi="Arial" w:cs="Arial"/>
                <w:color w:val="000000"/>
                <w:sz w:val="16"/>
              </w:rPr>
            </w:pPr>
          </w:p>
        </w:tc>
        <w:tc>
          <w:tcPr>
            <w:tcW w:w="0" w:type="auto"/>
            <w:tcBorders>
              <w:top w:val="nil"/>
              <w:left w:val="nil"/>
              <w:bottom w:val="nil"/>
              <w:right w:val="nil"/>
              <w:tl2br w:val="nil"/>
              <w:tr2bl w:val="nil"/>
            </w:tcBorders>
            <w:shd w:val="clear" w:color="auto" w:fill="FFFFFF"/>
            <w:tcMar>
              <w:left w:w="115" w:type="dxa"/>
              <w:right w:w="115" w:type="dxa"/>
            </w:tcMar>
            <w:vAlign w:val="bottom"/>
          </w:tcPr>
          <w:p w14:paraId="0CCEA887" w14:textId="77777777" w:rsidR="00724034" w:rsidRDefault="00724034">
            <w:pPr>
              <w:rPr>
                <w:rFonts w:ascii="Arial" w:eastAsia="Arial" w:hAnsi="Arial" w:cs="Arial"/>
                <w:color w:val="000000"/>
                <w:sz w:val="16"/>
              </w:rPr>
            </w:pPr>
          </w:p>
        </w:tc>
        <w:tc>
          <w:tcPr>
            <w:tcW w:w="0" w:type="auto"/>
            <w:tcBorders>
              <w:top w:val="nil"/>
              <w:left w:val="nil"/>
              <w:bottom w:val="nil"/>
              <w:right w:val="nil"/>
              <w:tl2br w:val="nil"/>
              <w:tr2bl w:val="nil"/>
            </w:tcBorders>
            <w:shd w:val="clear" w:color="auto" w:fill="FFFF00"/>
            <w:tcMar>
              <w:left w:w="115" w:type="dxa"/>
              <w:right w:w="115" w:type="dxa"/>
            </w:tcMar>
            <w:vAlign w:val="bottom"/>
          </w:tcPr>
          <w:p w14:paraId="6F23E8CE" w14:textId="77777777" w:rsidR="00724034" w:rsidRDefault="00724034">
            <w:pPr>
              <w:rPr>
                <w:rFonts w:ascii="Arial" w:eastAsia="Arial" w:hAnsi="Arial" w:cs="Arial"/>
                <w:color w:val="000000"/>
                <w:sz w:val="16"/>
              </w:rPr>
            </w:pPr>
          </w:p>
        </w:tc>
        <w:tc>
          <w:tcPr>
            <w:tcW w:w="0" w:type="auto"/>
            <w:tcBorders>
              <w:top w:val="nil"/>
              <w:left w:val="nil"/>
              <w:bottom w:val="nil"/>
              <w:right w:val="nil"/>
              <w:tl2br w:val="nil"/>
              <w:tr2bl w:val="nil"/>
            </w:tcBorders>
            <w:shd w:val="clear" w:color="auto" w:fill="FFFFFF"/>
            <w:tcMar>
              <w:left w:w="115" w:type="dxa"/>
              <w:right w:w="115" w:type="dxa"/>
            </w:tcMar>
            <w:vAlign w:val="bottom"/>
          </w:tcPr>
          <w:p w14:paraId="4FA715A7" w14:textId="77777777" w:rsidR="00724034" w:rsidRDefault="00724034">
            <w:pPr>
              <w:rPr>
                <w:rFonts w:ascii="Arial" w:eastAsia="Arial" w:hAnsi="Arial" w:cs="Arial"/>
                <w:color w:val="000000"/>
                <w:sz w:val="16"/>
              </w:rPr>
            </w:pPr>
          </w:p>
        </w:tc>
        <w:tc>
          <w:tcPr>
            <w:tcW w:w="0" w:type="auto"/>
            <w:tcBorders>
              <w:top w:val="nil"/>
              <w:left w:val="nil"/>
              <w:bottom w:val="nil"/>
              <w:right w:val="nil"/>
              <w:tl2br w:val="nil"/>
              <w:tr2bl w:val="nil"/>
            </w:tcBorders>
            <w:shd w:val="clear" w:color="auto" w:fill="FFFFFF"/>
            <w:tcMar>
              <w:left w:w="115" w:type="dxa"/>
              <w:right w:w="115" w:type="dxa"/>
            </w:tcMar>
            <w:vAlign w:val="bottom"/>
          </w:tcPr>
          <w:p w14:paraId="57F69A62" w14:textId="77777777" w:rsidR="00724034" w:rsidRDefault="00724034">
            <w:pPr>
              <w:rPr>
                <w:rFonts w:ascii="Arial" w:eastAsia="Arial" w:hAnsi="Arial" w:cs="Arial"/>
                <w:color w:val="000000"/>
                <w:sz w:val="16"/>
              </w:rPr>
            </w:pPr>
          </w:p>
        </w:tc>
        <w:tc>
          <w:tcPr>
            <w:tcW w:w="0" w:type="auto"/>
            <w:tcBorders>
              <w:top w:val="nil"/>
              <w:left w:val="nil"/>
              <w:bottom w:val="nil"/>
              <w:right w:val="single" w:sz="6" w:space="0" w:color="000000"/>
              <w:tl2br w:val="nil"/>
              <w:tr2bl w:val="nil"/>
            </w:tcBorders>
            <w:shd w:val="clear" w:color="auto" w:fill="FFFFFF"/>
            <w:tcMar>
              <w:left w:w="115" w:type="dxa"/>
              <w:right w:w="115" w:type="dxa"/>
            </w:tcMar>
            <w:vAlign w:val="bottom"/>
          </w:tcPr>
          <w:p w14:paraId="2A8D7EF7" w14:textId="77777777" w:rsidR="00724034" w:rsidRDefault="00724034">
            <w:pPr>
              <w:jc w:val="right"/>
              <w:rPr>
                <w:rFonts w:ascii="Arial" w:eastAsia="Arial" w:hAnsi="Arial" w:cs="Arial"/>
                <w:color w:val="000000"/>
                <w:sz w:val="16"/>
              </w:rPr>
            </w:pPr>
          </w:p>
        </w:tc>
      </w:tr>
      <w:tr w:rsidR="00724034" w14:paraId="2383EEF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25"/>
        </w:trPr>
        <w:tc>
          <w:tcPr>
            <w:tcW w:w="0" w:type="auto"/>
            <w:tcBorders>
              <w:top w:val="nil"/>
              <w:left w:val="single" w:sz="6" w:space="0" w:color="000000"/>
              <w:bottom w:val="nil"/>
              <w:right w:val="nil"/>
              <w:tl2br w:val="nil"/>
              <w:tr2bl w:val="nil"/>
            </w:tcBorders>
            <w:shd w:val="clear" w:color="auto" w:fill="FFFFFF"/>
            <w:tcMar>
              <w:left w:w="115" w:type="dxa"/>
              <w:right w:w="115" w:type="dxa"/>
            </w:tcMar>
            <w:vAlign w:val="bottom"/>
          </w:tcPr>
          <w:p w14:paraId="40495675" w14:textId="77777777" w:rsidR="00724034" w:rsidRDefault="00FB7D0B">
            <w:pPr>
              <w:rPr>
                <w:rFonts w:ascii="Arial" w:eastAsia="Arial" w:hAnsi="Arial" w:cs="Arial"/>
                <w:color w:val="000000"/>
                <w:sz w:val="16"/>
              </w:rPr>
            </w:pPr>
            <w:r>
              <w:rPr>
                <w:rFonts w:ascii="Arial" w:eastAsia="Arial" w:hAnsi="Arial" w:cs="Arial"/>
                <w:color w:val="000000"/>
                <w:sz w:val="16"/>
              </w:rPr>
              <w:t>Domestic commemorative events</w:t>
            </w:r>
          </w:p>
        </w:tc>
        <w:tc>
          <w:tcPr>
            <w:tcW w:w="0" w:type="auto"/>
            <w:tcBorders>
              <w:top w:val="nil"/>
              <w:left w:val="nil"/>
              <w:bottom w:val="nil"/>
              <w:right w:val="nil"/>
              <w:tl2br w:val="nil"/>
              <w:tr2bl w:val="nil"/>
            </w:tcBorders>
            <w:shd w:val="clear" w:color="auto" w:fill="FFFFFF"/>
            <w:tcMar>
              <w:left w:w="115" w:type="dxa"/>
              <w:right w:w="115" w:type="dxa"/>
            </w:tcMar>
            <w:vAlign w:val="bottom"/>
          </w:tcPr>
          <w:p w14:paraId="5886A656" w14:textId="77777777" w:rsidR="00724034" w:rsidRDefault="00FB7D0B">
            <w:pPr>
              <w:jc w:val="right"/>
              <w:rPr>
                <w:rFonts w:ascii="Arial" w:eastAsia="Arial" w:hAnsi="Arial" w:cs="Arial"/>
                <w:color w:val="000000"/>
                <w:sz w:val="16"/>
              </w:rPr>
            </w:pPr>
            <w:r>
              <w:rPr>
                <w:rFonts w:ascii="Arial" w:eastAsia="Arial" w:hAnsi="Arial" w:cs="Arial"/>
                <w:color w:val="000000"/>
                <w:sz w:val="16"/>
              </w:rPr>
              <w:t>1 </w:t>
            </w:r>
          </w:p>
        </w:tc>
        <w:tc>
          <w:tcPr>
            <w:tcW w:w="0" w:type="auto"/>
            <w:tcBorders>
              <w:top w:val="nil"/>
              <w:left w:val="nil"/>
              <w:bottom w:val="nil"/>
              <w:right w:val="nil"/>
              <w:tl2br w:val="nil"/>
              <w:tr2bl w:val="nil"/>
            </w:tcBorders>
            <w:shd w:val="clear" w:color="auto" w:fill="FFFF00"/>
            <w:tcMar>
              <w:left w:w="115" w:type="dxa"/>
              <w:right w:w="115" w:type="dxa"/>
            </w:tcMar>
            <w:vAlign w:val="bottom"/>
          </w:tcPr>
          <w:p w14:paraId="40A8174B" w14:textId="77777777" w:rsidR="00724034" w:rsidRDefault="00FB7D0B">
            <w:pPr>
              <w:jc w:val="right"/>
              <w:rPr>
                <w:rFonts w:ascii="Arial" w:eastAsia="Arial" w:hAnsi="Arial" w:cs="Arial"/>
                <w:color w:val="000000"/>
                <w:sz w:val="16"/>
              </w:rPr>
            </w:pPr>
            <w:r>
              <w:rPr>
                <w:rFonts w:ascii="Arial" w:eastAsia="Arial" w:hAnsi="Arial" w:cs="Arial"/>
                <w:color w:val="000000"/>
                <w:sz w:val="16"/>
              </w:rPr>
              <w:t>2 </w:t>
            </w:r>
          </w:p>
        </w:tc>
        <w:tc>
          <w:tcPr>
            <w:tcW w:w="0" w:type="auto"/>
            <w:tcBorders>
              <w:top w:val="nil"/>
              <w:left w:val="nil"/>
              <w:bottom w:val="nil"/>
              <w:right w:val="nil"/>
              <w:tl2br w:val="nil"/>
              <w:tr2bl w:val="nil"/>
            </w:tcBorders>
            <w:shd w:val="clear" w:color="auto" w:fill="FFFFFF"/>
            <w:tcMar>
              <w:left w:w="115" w:type="dxa"/>
              <w:right w:w="115" w:type="dxa"/>
            </w:tcMar>
            <w:vAlign w:val="bottom"/>
          </w:tcPr>
          <w:p w14:paraId="0B928139" w14:textId="77777777" w:rsidR="00724034" w:rsidRDefault="00FB7D0B">
            <w:pPr>
              <w:jc w:val="right"/>
              <w:rPr>
                <w:rFonts w:ascii="Arial" w:eastAsia="Arial" w:hAnsi="Arial" w:cs="Arial"/>
                <w:color w:val="000000"/>
                <w:sz w:val="16"/>
              </w:rPr>
            </w:pPr>
            <w:r>
              <w:rPr>
                <w:rFonts w:ascii="Arial" w:eastAsia="Arial" w:hAnsi="Arial" w:cs="Arial"/>
                <w:color w:val="000000"/>
                <w:sz w:val="16"/>
              </w:rPr>
              <w:t>3 </w:t>
            </w:r>
          </w:p>
        </w:tc>
        <w:tc>
          <w:tcPr>
            <w:tcW w:w="0" w:type="auto"/>
            <w:tcBorders>
              <w:top w:val="nil"/>
              <w:left w:val="nil"/>
              <w:bottom w:val="nil"/>
              <w:right w:val="nil"/>
              <w:tl2br w:val="nil"/>
              <w:tr2bl w:val="nil"/>
            </w:tcBorders>
            <w:shd w:val="clear" w:color="auto" w:fill="FFFFFF"/>
            <w:tcMar>
              <w:left w:w="115" w:type="dxa"/>
              <w:right w:w="115" w:type="dxa"/>
            </w:tcMar>
            <w:vAlign w:val="bottom"/>
          </w:tcPr>
          <w:p w14:paraId="0E742D8B" w14:textId="77777777" w:rsidR="00724034" w:rsidRDefault="00FB7D0B">
            <w:pPr>
              <w:jc w:val="right"/>
              <w:rPr>
                <w:rFonts w:ascii="Arial" w:eastAsia="Arial" w:hAnsi="Arial" w:cs="Arial"/>
                <w:color w:val="000000"/>
                <w:sz w:val="16"/>
              </w:rPr>
            </w:pPr>
            <w:r>
              <w:rPr>
                <w:rFonts w:ascii="Arial" w:eastAsia="Arial" w:hAnsi="Arial" w:cs="Arial"/>
                <w:color w:val="000000"/>
                <w:sz w:val="16"/>
              </w:rPr>
              <w:t>3 </w:t>
            </w:r>
          </w:p>
        </w:tc>
        <w:tc>
          <w:tcPr>
            <w:tcW w:w="0" w:type="auto"/>
            <w:tcBorders>
              <w:top w:val="nil"/>
              <w:left w:val="nil"/>
              <w:bottom w:val="nil"/>
              <w:right w:val="single" w:sz="6" w:space="0" w:color="000000"/>
              <w:tl2br w:val="nil"/>
              <w:tr2bl w:val="nil"/>
            </w:tcBorders>
            <w:shd w:val="clear" w:color="auto" w:fill="FFFFFF"/>
            <w:tcMar>
              <w:left w:w="115" w:type="dxa"/>
              <w:right w:w="115" w:type="dxa"/>
            </w:tcMar>
            <w:vAlign w:val="bottom"/>
          </w:tcPr>
          <w:p w14:paraId="1A03EC10" w14:textId="77777777" w:rsidR="00724034" w:rsidRDefault="00FB7D0B">
            <w:pPr>
              <w:jc w:val="right"/>
              <w:rPr>
                <w:rFonts w:ascii="Arial" w:eastAsia="Arial" w:hAnsi="Arial" w:cs="Arial"/>
                <w:color w:val="000000"/>
                <w:sz w:val="16"/>
              </w:rPr>
            </w:pPr>
            <w:r>
              <w:rPr>
                <w:rFonts w:ascii="Arial" w:eastAsia="Arial" w:hAnsi="Arial" w:cs="Arial"/>
                <w:color w:val="000000"/>
                <w:sz w:val="16"/>
              </w:rPr>
              <w:t xml:space="preserve"> 3 </w:t>
            </w:r>
          </w:p>
        </w:tc>
      </w:tr>
      <w:tr w:rsidR="00724034" w14:paraId="0393331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hRule="exact" w:val="60"/>
        </w:trPr>
        <w:tc>
          <w:tcPr>
            <w:tcW w:w="0" w:type="auto"/>
            <w:tcBorders>
              <w:top w:val="nil"/>
              <w:left w:val="single" w:sz="6" w:space="0" w:color="000000"/>
              <w:bottom w:val="nil"/>
              <w:right w:val="nil"/>
              <w:tl2br w:val="nil"/>
              <w:tr2bl w:val="nil"/>
            </w:tcBorders>
            <w:shd w:val="clear" w:color="auto" w:fill="FFFFFF"/>
            <w:tcMar>
              <w:left w:w="115" w:type="dxa"/>
              <w:right w:w="115" w:type="dxa"/>
            </w:tcMar>
            <w:vAlign w:val="bottom"/>
          </w:tcPr>
          <w:p w14:paraId="17743D33" w14:textId="77777777" w:rsidR="00724034" w:rsidRDefault="00724034">
            <w:pPr>
              <w:rPr>
                <w:rFonts w:ascii="Arial" w:eastAsia="Arial" w:hAnsi="Arial" w:cs="Arial"/>
                <w:color w:val="000000"/>
                <w:sz w:val="16"/>
              </w:rPr>
            </w:pPr>
          </w:p>
        </w:tc>
        <w:tc>
          <w:tcPr>
            <w:tcW w:w="0" w:type="auto"/>
            <w:tcBorders>
              <w:top w:val="nil"/>
              <w:left w:val="nil"/>
              <w:bottom w:val="nil"/>
              <w:right w:val="nil"/>
              <w:tl2br w:val="nil"/>
              <w:tr2bl w:val="nil"/>
            </w:tcBorders>
            <w:shd w:val="clear" w:color="auto" w:fill="FFFFFF"/>
            <w:tcMar>
              <w:left w:w="115" w:type="dxa"/>
              <w:right w:w="115" w:type="dxa"/>
            </w:tcMar>
            <w:vAlign w:val="bottom"/>
          </w:tcPr>
          <w:p w14:paraId="615C8679" w14:textId="77777777" w:rsidR="00724034" w:rsidRDefault="00724034">
            <w:pPr>
              <w:rPr>
                <w:rFonts w:ascii="Arial" w:eastAsia="Arial" w:hAnsi="Arial" w:cs="Arial"/>
                <w:color w:val="000000"/>
                <w:sz w:val="16"/>
              </w:rPr>
            </w:pPr>
          </w:p>
        </w:tc>
        <w:tc>
          <w:tcPr>
            <w:tcW w:w="0" w:type="auto"/>
            <w:tcBorders>
              <w:top w:val="nil"/>
              <w:left w:val="nil"/>
              <w:bottom w:val="nil"/>
              <w:right w:val="nil"/>
              <w:tl2br w:val="nil"/>
              <w:tr2bl w:val="nil"/>
            </w:tcBorders>
            <w:shd w:val="clear" w:color="auto" w:fill="FFFF00"/>
            <w:tcMar>
              <w:left w:w="115" w:type="dxa"/>
              <w:right w:w="115" w:type="dxa"/>
            </w:tcMar>
            <w:vAlign w:val="bottom"/>
          </w:tcPr>
          <w:p w14:paraId="359FAB98" w14:textId="77777777" w:rsidR="00724034" w:rsidRDefault="00724034">
            <w:pPr>
              <w:rPr>
                <w:rFonts w:ascii="Arial" w:eastAsia="Arial" w:hAnsi="Arial" w:cs="Arial"/>
                <w:color w:val="000000"/>
                <w:sz w:val="16"/>
              </w:rPr>
            </w:pPr>
          </w:p>
        </w:tc>
        <w:tc>
          <w:tcPr>
            <w:tcW w:w="0" w:type="auto"/>
            <w:tcBorders>
              <w:top w:val="nil"/>
              <w:left w:val="nil"/>
              <w:bottom w:val="nil"/>
              <w:right w:val="nil"/>
              <w:tl2br w:val="nil"/>
              <w:tr2bl w:val="nil"/>
            </w:tcBorders>
            <w:shd w:val="clear" w:color="auto" w:fill="FFFFFF"/>
            <w:tcMar>
              <w:left w:w="115" w:type="dxa"/>
              <w:right w:w="115" w:type="dxa"/>
            </w:tcMar>
            <w:vAlign w:val="bottom"/>
          </w:tcPr>
          <w:p w14:paraId="4986C5AD" w14:textId="77777777" w:rsidR="00724034" w:rsidRDefault="00724034">
            <w:pPr>
              <w:rPr>
                <w:rFonts w:ascii="Arial" w:eastAsia="Arial" w:hAnsi="Arial" w:cs="Arial"/>
                <w:color w:val="000000"/>
                <w:sz w:val="16"/>
              </w:rPr>
            </w:pPr>
          </w:p>
        </w:tc>
        <w:tc>
          <w:tcPr>
            <w:tcW w:w="0" w:type="auto"/>
            <w:tcBorders>
              <w:top w:val="nil"/>
              <w:left w:val="nil"/>
              <w:bottom w:val="nil"/>
              <w:right w:val="nil"/>
              <w:tl2br w:val="nil"/>
              <w:tr2bl w:val="nil"/>
            </w:tcBorders>
            <w:shd w:val="clear" w:color="auto" w:fill="FFFFFF"/>
            <w:tcMar>
              <w:left w:w="115" w:type="dxa"/>
              <w:right w:w="115" w:type="dxa"/>
            </w:tcMar>
            <w:vAlign w:val="bottom"/>
          </w:tcPr>
          <w:p w14:paraId="525A676C" w14:textId="77777777" w:rsidR="00724034" w:rsidRDefault="00724034">
            <w:pPr>
              <w:rPr>
                <w:rFonts w:ascii="Arial" w:eastAsia="Arial" w:hAnsi="Arial" w:cs="Arial"/>
                <w:color w:val="000000"/>
                <w:sz w:val="16"/>
              </w:rPr>
            </w:pPr>
          </w:p>
        </w:tc>
        <w:tc>
          <w:tcPr>
            <w:tcW w:w="0" w:type="auto"/>
            <w:tcBorders>
              <w:top w:val="nil"/>
              <w:left w:val="nil"/>
              <w:bottom w:val="nil"/>
              <w:right w:val="single" w:sz="6" w:space="0" w:color="000000"/>
              <w:tl2br w:val="nil"/>
              <w:tr2bl w:val="nil"/>
            </w:tcBorders>
            <w:shd w:val="clear" w:color="auto" w:fill="FFFFFF"/>
            <w:tcMar>
              <w:left w:w="115" w:type="dxa"/>
              <w:right w:w="115" w:type="dxa"/>
            </w:tcMar>
            <w:vAlign w:val="bottom"/>
          </w:tcPr>
          <w:p w14:paraId="713E7173" w14:textId="77777777" w:rsidR="00724034" w:rsidRDefault="00724034">
            <w:pPr>
              <w:jc w:val="right"/>
              <w:rPr>
                <w:rFonts w:ascii="Arial" w:eastAsia="Arial" w:hAnsi="Arial" w:cs="Arial"/>
                <w:color w:val="000000"/>
                <w:sz w:val="16"/>
              </w:rPr>
            </w:pPr>
          </w:p>
        </w:tc>
      </w:tr>
      <w:tr w:rsidR="00724034" w14:paraId="298A71C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675"/>
        </w:trPr>
        <w:tc>
          <w:tcPr>
            <w:tcW w:w="0" w:type="auto"/>
            <w:tcBorders>
              <w:top w:val="nil"/>
              <w:left w:val="single" w:sz="6" w:space="0" w:color="000000"/>
              <w:bottom w:val="single" w:sz="6" w:space="0" w:color="000000"/>
              <w:right w:val="nil"/>
              <w:tl2br w:val="nil"/>
              <w:tr2bl w:val="nil"/>
            </w:tcBorders>
            <w:shd w:val="clear" w:color="auto" w:fill="FFFFFF"/>
            <w:tcMar>
              <w:left w:w="115" w:type="dxa"/>
              <w:right w:w="115" w:type="dxa"/>
            </w:tcMar>
            <w:vAlign w:val="bottom"/>
          </w:tcPr>
          <w:p w14:paraId="411C3CB2" w14:textId="77777777" w:rsidR="00724034" w:rsidRDefault="00FB7D0B">
            <w:pPr>
              <w:rPr>
                <w:rFonts w:ascii="Arial" w:eastAsia="Arial" w:hAnsi="Arial" w:cs="Arial"/>
                <w:color w:val="000000"/>
                <w:sz w:val="16"/>
              </w:rPr>
            </w:pPr>
            <w:r>
              <w:rPr>
                <w:rFonts w:ascii="Arial" w:eastAsia="Arial" w:hAnsi="Arial" w:cs="Arial"/>
                <w:color w:val="000000"/>
                <w:sz w:val="16"/>
              </w:rPr>
              <w:t>International commemorative events (excludes Gallipoli, includes Villers-Bretonneux)</w:t>
            </w:r>
          </w:p>
        </w:tc>
        <w:tc>
          <w:tcPr>
            <w:tcW w:w="0" w:type="auto"/>
            <w:tcBorders>
              <w:top w:val="nil"/>
              <w:left w:val="nil"/>
              <w:bottom w:val="single" w:sz="6" w:space="0" w:color="000000"/>
              <w:right w:val="nil"/>
              <w:tl2br w:val="nil"/>
              <w:tr2bl w:val="nil"/>
            </w:tcBorders>
            <w:shd w:val="clear" w:color="auto" w:fill="FFFFFF"/>
            <w:tcMar>
              <w:left w:w="115" w:type="dxa"/>
              <w:right w:w="115" w:type="dxa"/>
            </w:tcMar>
            <w:vAlign w:val="bottom"/>
          </w:tcPr>
          <w:p w14:paraId="735140BE" w14:textId="77777777" w:rsidR="00724034" w:rsidRDefault="00FB7D0B">
            <w:pPr>
              <w:jc w:val="right"/>
              <w:rPr>
                <w:rFonts w:ascii="Arial" w:eastAsia="Arial" w:hAnsi="Arial" w:cs="Arial"/>
                <w:color w:val="000000"/>
                <w:sz w:val="16"/>
              </w:rPr>
            </w:pPr>
            <w:r>
              <w:rPr>
                <w:rFonts w:ascii="Arial" w:eastAsia="Arial" w:hAnsi="Arial" w:cs="Arial"/>
                <w:color w:val="000000"/>
                <w:sz w:val="16"/>
              </w:rPr>
              <w:t>3 </w:t>
            </w:r>
          </w:p>
        </w:tc>
        <w:tc>
          <w:tcPr>
            <w:tcW w:w="0" w:type="auto"/>
            <w:tcBorders>
              <w:top w:val="nil"/>
              <w:left w:val="nil"/>
              <w:bottom w:val="single" w:sz="6" w:space="0" w:color="000000"/>
              <w:right w:val="nil"/>
              <w:tl2br w:val="nil"/>
              <w:tr2bl w:val="nil"/>
            </w:tcBorders>
            <w:shd w:val="clear" w:color="auto" w:fill="FFFF00"/>
            <w:tcMar>
              <w:left w:w="115" w:type="dxa"/>
              <w:right w:w="115" w:type="dxa"/>
            </w:tcMar>
            <w:vAlign w:val="bottom"/>
          </w:tcPr>
          <w:p w14:paraId="0F2DAF30" w14:textId="77777777" w:rsidR="00724034" w:rsidRDefault="00FB7D0B">
            <w:pPr>
              <w:jc w:val="right"/>
              <w:rPr>
                <w:rFonts w:ascii="Arial" w:eastAsia="Arial" w:hAnsi="Arial" w:cs="Arial"/>
                <w:color w:val="000000"/>
                <w:sz w:val="16"/>
              </w:rPr>
            </w:pPr>
            <w:r>
              <w:rPr>
                <w:rFonts w:ascii="Arial" w:eastAsia="Arial" w:hAnsi="Arial" w:cs="Arial"/>
                <w:color w:val="000000"/>
                <w:sz w:val="16"/>
              </w:rPr>
              <w:t>2 </w:t>
            </w:r>
          </w:p>
        </w:tc>
        <w:tc>
          <w:tcPr>
            <w:tcW w:w="0" w:type="auto"/>
            <w:tcBorders>
              <w:top w:val="nil"/>
              <w:left w:val="nil"/>
              <w:bottom w:val="single" w:sz="6" w:space="0" w:color="000000"/>
              <w:right w:val="nil"/>
              <w:tl2br w:val="nil"/>
              <w:tr2bl w:val="nil"/>
            </w:tcBorders>
            <w:shd w:val="clear" w:color="auto" w:fill="FFFFFF"/>
            <w:tcMar>
              <w:left w:w="115" w:type="dxa"/>
              <w:right w:w="115" w:type="dxa"/>
            </w:tcMar>
            <w:vAlign w:val="bottom"/>
          </w:tcPr>
          <w:p w14:paraId="66A68925" w14:textId="77777777" w:rsidR="00724034" w:rsidRDefault="00FB7D0B">
            <w:pPr>
              <w:jc w:val="right"/>
              <w:rPr>
                <w:rFonts w:ascii="Arial" w:eastAsia="Arial" w:hAnsi="Arial" w:cs="Arial"/>
                <w:color w:val="000000"/>
                <w:sz w:val="16"/>
              </w:rPr>
            </w:pPr>
            <w:r>
              <w:rPr>
                <w:rFonts w:ascii="Arial" w:eastAsia="Arial" w:hAnsi="Arial" w:cs="Arial"/>
                <w:color w:val="000000"/>
                <w:sz w:val="16"/>
              </w:rPr>
              <w:t>4 </w:t>
            </w:r>
          </w:p>
        </w:tc>
        <w:tc>
          <w:tcPr>
            <w:tcW w:w="0" w:type="auto"/>
            <w:tcBorders>
              <w:top w:val="nil"/>
              <w:left w:val="nil"/>
              <w:bottom w:val="single" w:sz="6" w:space="0" w:color="000000"/>
              <w:right w:val="nil"/>
              <w:tl2br w:val="nil"/>
              <w:tr2bl w:val="nil"/>
            </w:tcBorders>
            <w:shd w:val="clear" w:color="auto" w:fill="FFFFFF"/>
            <w:tcMar>
              <w:left w:w="115" w:type="dxa"/>
              <w:right w:w="115" w:type="dxa"/>
            </w:tcMar>
            <w:vAlign w:val="bottom"/>
          </w:tcPr>
          <w:p w14:paraId="1DE83FF0" w14:textId="77777777" w:rsidR="00724034" w:rsidRDefault="00FB7D0B">
            <w:pPr>
              <w:jc w:val="right"/>
              <w:rPr>
                <w:rFonts w:ascii="Arial" w:eastAsia="Arial" w:hAnsi="Arial" w:cs="Arial"/>
                <w:color w:val="000000"/>
                <w:sz w:val="16"/>
              </w:rPr>
            </w:pPr>
            <w:r>
              <w:rPr>
                <w:rFonts w:ascii="Arial" w:eastAsia="Arial" w:hAnsi="Arial" w:cs="Arial"/>
                <w:color w:val="000000"/>
                <w:sz w:val="16"/>
              </w:rPr>
              <w:t>4 </w:t>
            </w:r>
          </w:p>
        </w:tc>
        <w:tc>
          <w:tcPr>
            <w:tcW w:w="0" w:type="auto"/>
            <w:tcBorders>
              <w:top w:val="nil"/>
              <w:left w:val="nil"/>
              <w:bottom w:val="single" w:sz="6" w:space="0" w:color="000000"/>
              <w:right w:val="single" w:sz="6" w:space="0" w:color="000000"/>
              <w:tl2br w:val="nil"/>
              <w:tr2bl w:val="nil"/>
            </w:tcBorders>
            <w:shd w:val="clear" w:color="auto" w:fill="FFFFFF"/>
            <w:tcMar>
              <w:left w:w="115" w:type="dxa"/>
              <w:right w:w="115" w:type="dxa"/>
            </w:tcMar>
            <w:vAlign w:val="bottom"/>
          </w:tcPr>
          <w:p w14:paraId="71E99873" w14:textId="77777777" w:rsidR="00724034" w:rsidRDefault="00FB7D0B">
            <w:pPr>
              <w:jc w:val="right"/>
              <w:rPr>
                <w:rFonts w:ascii="Arial" w:eastAsia="Arial" w:hAnsi="Arial" w:cs="Arial"/>
                <w:color w:val="000000"/>
                <w:sz w:val="16"/>
              </w:rPr>
            </w:pPr>
            <w:r>
              <w:rPr>
                <w:rFonts w:ascii="Arial" w:eastAsia="Arial" w:hAnsi="Arial" w:cs="Arial"/>
                <w:color w:val="000000"/>
                <w:sz w:val="16"/>
              </w:rPr>
              <w:t xml:space="preserve"> 3 </w:t>
            </w:r>
          </w:p>
        </w:tc>
      </w:tr>
    </w:tbl>
    <w:p w14:paraId="3F3CD9C2" w14:textId="77777777" w:rsidR="00724034" w:rsidRDefault="00FB7D0B">
      <w:pPr>
        <w:spacing w:line="14" w:lineRule="exact"/>
      </w:pPr>
      <w:r>
        <w:br w:type="page"/>
      </w:r>
    </w:p>
    <w:tbl>
      <w:tblPr>
        <w:tblW w:w="8080" w:type="dxa"/>
        <w:tblBorders>
          <w:top w:val="single" w:sz="2" w:space="0" w:color="auto"/>
          <w:left w:val="single" w:sz="2" w:space="0" w:color="auto"/>
          <w:bottom w:val="single" w:sz="2" w:space="0" w:color="auto"/>
          <w:right w:val="single" w:sz="2" w:space="0" w:color="auto"/>
          <w:insideH w:val="single" w:sz="2" w:space="0" w:color="auto"/>
        </w:tblBorders>
        <w:tblLook w:val="01E0" w:firstRow="1" w:lastRow="1" w:firstColumn="1" w:lastColumn="1" w:noHBand="0" w:noVBand="0"/>
      </w:tblPr>
      <w:tblGrid>
        <w:gridCol w:w="8080"/>
      </w:tblGrid>
      <w:tr w:rsidR="00724034" w14:paraId="29465568" w14:textId="77777777" w:rsidTr="003F0EEA">
        <w:tc>
          <w:tcPr>
            <w:tcW w:w="8080" w:type="dxa"/>
            <w:tcBorders>
              <w:top w:val="single" w:sz="2" w:space="0" w:color="auto"/>
              <w:left w:val="single" w:sz="2" w:space="0" w:color="auto"/>
              <w:bottom w:val="single" w:sz="2" w:space="0" w:color="auto"/>
              <w:right w:val="single" w:sz="2" w:space="0" w:color="auto"/>
            </w:tcBorders>
            <w:shd w:val="clear" w:color="auto" w:fill="E6E6E6"/>
          </w:tcPr>
          <w:p w14:paraId="1C7AACDD" w14:textId="77777777" w:rsidR="003F0EEA" w:rsidRPr="00635793" w:rsidRDefault="00FB7D0B">
            <w:pPr>
              <w:pStyle w:val="TableColumnHeadingLeft6"/>
              <w:rPr>
                <w:rFonts w:cs="Arial"/>
              </w:rPr>
            </w:pPr>
            <w:r>
              <w:rPr>
                <w:rFonts w:cs="Arial"/>
              </w:rPr>
              <w:t xml:space="preserve">Programme 3.1: </w:t>
            </w:r>
            <w:r w:rsidRPr="00635793">
              <w:rPr>
                <w:rFonts w:cs="Arial"/>
              </w:rPr>
              <w:t>War Graves and Commemorations</w:t>
            </w:r>
            <w:r>
              <w:rPr>
                <w:rFonts w:cs="Arial"/>
              </w:rPr>
              <w:t xml:space="preserve"> (continued)</w:t>
            </w:r>
          </w:p>
        </w:tc>
      </w:tr>
    </w:tbl>
    <w:p w14:paraId="0A473653" w14:textId="77777777" w:rsidR="003F0EEA" w:rsidRPr="00CF2C4C" w:rsidRDefault="003F0EEA" w:rsidP="003F0EEA">
      <w:pPr>
        <w:pStyle w:val="Normal152"/>
        <w:rPr>
          <w:rFonts w:ascii="Arial" w:hAnsi="Arial" w:cs="Arial"/>
          <w:sz w:val="18"/>
          <w:szCs w:val="18"/>
        </w:rPr>
      </w:pPr>
    </w:p>
    <w:tbl>
      <w:tblPr>
        <w:tblW w:w="8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4552"/>
      </w:tblGrid>
      <w:tr w:rsidR="00724034" w14:paraId="1D6E0D18" w14:textId="77777777" w:rsidTr="003F0EEA">
        <w:trPr>
          <w:trHeight w:val="476"/>
        </w:trPr>
        <w:tc>
          <w:tcPr>
            <w:tcW w:w="8080" w:type="dxa"/>
            <w:gridSpan w:val="2"/>
            <w:tcBorders>
              <w:top w:val="single" w:sz="4" w:space="0" w:color="auto"/>
              <w:left w:val="single" w:sz="4" w:space="0" w:color="auto"/>
              <w:bottom w:val="single" w:sz="4" w:space="0" w:color="auto"/>
              <w:right w:val="single" w:sz="4" w:space="0" w:color="auto"/>
            </w:tcBorders>
          </w:tcPr>
          <w:p w14:paraId="68FBC2D3" w14:textId="77777777" w:rsidR="003F0EEA" w:rsidRPr="008818EF" w:rsidRDefault="00FB7D0B" w:rsidP="003F0EEA">
            <w:pPr>
              <w:pStyle w:val="TableTextLeft40"/>
              <w:keepNext/>
              <w:spacing w:line="260" w:lineRule="exact"/>
              <w:jc w:val="both"/>
              <w:rPr>
                <w:b/>
              </w:rPr>
            </w:pPr>
            <w:r w:rsidRPr="008818EF">
              <w:rPr>
                <w:b/>
              </w:rPr>
              <w:t>Program</w:t>
            </w:r>
            <w:r>
              <w:rPr>
                <w:b/>
              </w:rPr>
              <w:t>me</w:t>
            </w:r>
            <w:r w:rsidRPr="008818EF">
              <w:rPr>
                <w:b/>
              </w:rPr>
              <w:t xml:space="preserve"> 3.1 key performance targets</w:t>
            </w:r>
          </w:p>
        </w:tc>
      </w:tr>
      <w:tr w:rsidR="00724034" w14:paraId="2772A00C" w14:textId="77777777" w:rsidTr="003F0EEA">
        <w:trPr>
          <w:trHeight w:val="336"/>
        </w:trPr>
        <w:tc>
          <w:tcPr>
            <w:tcW w:w="3528" w:type="dxa"/>
            <w:tcBorders>
              <w:top w:val="single" w:sz="4" w:space="0" w:color="auto"/>
              <w:left w:val="single" w:sz="4" w:space="0" w:color="auto"/>
              <w:bottom w:val="single" w:sz="4" w:space="0" w:color="auto"/>
              <w:right w:val="single" w:sz="4" w:space="0" w:color="auto"/>
            </w:tcBorders>
          </w:tcPr>
          <w:p w14:paraId="21F90F89" w14:textId="77777777" w:rsidR="003F0EEA" w:rsidRPr="008818EF" w:rsidRDefault="00FB7D0B" w:rsidP="003F0EEA">
            <w:pPr>
              <w:pStyle w:val="Normal152"/>
              <w:spacing w:before="120"/>
              <w:jc w:val="center"/>
              <w:rPr>
                <w:rFonts w:ascii="Arial" w:hAnsi="Arial" w:cs="Arial"/>
                <w:b/>
                <w:sz w:val="16"/>
                <w:szCs w:val="16"/>
              </w:rPr>
            </w:pPr>
            <w:r w:rsidRPr="008818EF">
              <w:rPr>
                <w:rFonts w:ascii="Arial" w:hAnsi="Arial" w:cs="Arial"/>
                <w:b/>
                <w:sz w:val="16"/>
                <w:szCs w:val="16"/>
              </w:rPr>
              <w:t>Deliverables (as shown in previous table)</w:t>
            </w:r>
          </w:p>
        </w:tc>
        <w:tc>
          <w:tcPr>
            <w:tcW w:w="4552" w:type="dxa"/>
            <w:tcBorders>
              <w:top w:val="single" w:sz="4" w:space="0" w:color="auto"/>
              <w:left w:val="single" w:sz="4" w:space="0" w:color="auto"/>
              <w:bottom w:val="single" w:sz="4" w:space="0" w:color="auto"/>
              <w:right w:val="single" w:sz="4" w:space="0" w:color="auto"/>
            </w:tcBorders>
          </w:tcPr>
          <w:p w14:paraId="6AD5CEFD" w14:textId="77777777" w:rsidR="003F0EEA" w:rsidRPr="008818EF" w:rsidRDefault="00FB7D0B" w:rsidP="003F0EEA">
            <w:pPr>
              <w:pStyle w:val="Normal152"/>
              <w:spacing w:before="120"/>
              <w:jc w:val="center"/>
              <w:rPr>
                <w:rFonts w:ascii="Arial" w:hAnsi="Arial" w:cs="Arial"/>
                <w:b/>
                <w:sz w:val="16"/>
                <w:szCs w:val="16"/>
              </w:rPr>
            </w:pPr>
            <w:r w:rsidRPr="008818EF">
              <w:rPr>
                <w:rFonts w:ascii="Arial" w:hAnsi="Arial" w:cs="Arial"/>
                <w:b/>
                <w:sz w:val="16"/>
                <w:szCs w:val="16"/>
              </w:rPr>
              <w:t>Key Performance Indicators</w:t>
            </w:r>
          </w:p>
        </w:tc>
      </w:tr>
      <w:tr w:rsidR="00724034" w14:paraId="7369F57F" w14:textId="77777777" w:rsidTr="003F0EEA">
        <w:trPr>
          <w:trHeight w:val="1771"/>
        </w:trPr>
        <w:tc>
          <w:tcPr>
            <w:tcW w:w="3528" w:type="dxa"/>
            <w:tcBorders>
              <w:top w:val="single" w:sz="4" w:space="0" w:color="auto"/>
              <w:left w:val="single" w:sz="4" w:space="0" w:color="auto"/>
              <w:bottom w:val="single" w:sz="4" w:space="0" w:color="auto"/>
              <w:right w:val="single" w:sz="4" w:space="0" w:color="auto"/>
            </w:tcBorders>
          </w:tcPr>
          <w:p w14:paraId="7372A1A1" w14:textId="77777777" w:rsidR="003F0EEA" w:rsidRPr="008818EF" w:rsidRDefault="00FB7D0B" w:rsidP="003F0EEA">
            <w:pPr>
              <w:pStyle w:val="Normal152"/>
              <w:spacing w:before="120" w:after="120"/>
              <w:rPr>
                <w:rFonts w:ascii="Arial" w:hAnsi="Arial" w:cs="Arial"/>
                <w:sz w:val="16"/>
                <w:szCs w:val="16"/>
              </w:rPr>
            </w:pPr>
            <w:r w:rsidRPr="008818EF">
              <w:rPr>
                <w:rFonts w:ascii="Arial" w:hAnsi="Arial" w:cs="Arial"/>
                <w:sz w:val="16"/>
                <w:szCs w:val="16"/>
              </w:rPr>
              <w:t xml:space="preserve">Maintain facilities and individual  </w:t>
            </w:r>
            <w:r w:rsidRPr="008818EF">
              <w:rPr>
                <w:rFonts w:ascii="Arial" w:hAnsi="Arial" w:cs="Arial"/>
                <w:sz w:val="16"/>
                <w:szCs w:val="16"/>
                <w:vertAlign w:val="superscript"/>
              </w:rPr>
              <w:t xml:space="preserve"> </w:t>
            </w:r>
            <w:r w:rsidRPr="008818EF">
              <w:rPr>
                <w:rFonts w:ascii="Arial" w:hAnsi="Arial" w:cs="Arial"/>
                <w:sz w:val="16"/>
                <w:szCs w:val="16"/>
              </w:rPr>
              <w:t xml:space="preserve">commemorations in </w:t>
            </w:r>
            <w:smartTag w:uri="urn:schemas-microsoft-com:office:smarttags" w:element="country-region">
              <w:r w:rsidRPr="008818EF">
                <w:rPr>
                  <w:rFonts w:ascii="Arial" w:hAnsi="Arial" w:cs="Arial"/>
                  <w:sz w:val="16"/>
                  <w:szCs w:val="16"/>
                </w:rPr>
                <w:t>Australia</w:t>
              </w:r>
            </w:smartTag>
            <w:r w:rsidRPr="008818EF">
              <w:rPr>
                <w:rFonts w:ascii="Arial" w:hAnsi="Arial" w:cs="Arial"/>
                <w:sz w:val="16"/>
                <w:szCs w:val="16"/>
              </w:rPr>
              <w:t xml:space="preserve">, PNG, </w:t>
            </w:r>
            <w:smartTag w:uri="urn:schemas-microsoft-com:office:smarttags" w:element="country-region">
              <w:r w:rsidRPr="008818EF">
                <w:rPr>
                  <w:rFonts w:ascii="Arial" w:hAnsi="Arial" w:cs="Arial"/>
                  <w:sz w:val="16"/>
                  <w:szCs w:val="16"/>
                </w:rPr>
                <w:t>South Africa</w:t>
              </w:r>
            </w:smartTag>
            <w:r w:rsidRPr="008818EF">
              <w:rPr>
                <w:rFonts w:ascii="Arial" w:hAnsi="Arial" w:cs="Arial"/>
                <w:sz w:val="16"/>
                <w:szCs w:val="16"/>
              </w:rPr>
              <w:t xml:space="preserve">, </w:t>
            </w:r>
            <w:smartTag w:uri="urn:schemas-microsoft-com:office:smarttags" w:element="country-region">
              <w:r w:rsidRPr="008818EF">
                <w:rPr>
                  <w:rFonts w:ascii="Arial" w:hAnsi="Arial" w:cs="Arial"/>
                  <w:sz w:val="16"/>
                  <w:szCs w:val="16"/>
                </w:rPr>
                <w:t>Korea</w:t>
              </w:r>
            </w:smartTag>
            <w:r w:rsidRPr="008818EF">
              <w:rPr>
                <w:rFonts w:ascii="Arial" w:hAnsi="Arial" w:cs="Arial"/>
                <w:sz w:val="16"/>
                <w:szCs w:val="16"/>
              </w:rPr>
              <w:t xml:space="preserve">, </w:t>
            </w:r>
            <w:smartTag w:uri="urn:schemas-microsoft-com:office:smarttags" w:element="country-region">
              <w:r w:rsidRPr="008818EF">
                <w:rPr>
                  <w:rFonts w:ascii="Arial" w:hAnsi="Arial" w:cs="Arial"/>
                  <w:sz w:val="16"/>
                  <w:szCs w:val="16"/>
                </w:rPr>
                <w:t>Japan</w:t>
              </w:r>
            </w:smartTag>
            <w:r w:rsidRPr="008818EF">
              <w:rPr>
                <w:rFonts w:ascii="Arial" w:hAnsi="Arial" w:cs="Arial"/>
                <w:sz w:val="16"/>
                <w:szCs w:val="16"/>
              </w:rPr>
              <w:t xml:space="preserve">, </w:t>
            </w:r>
            <w:smartTag w:uri="urn:schemas-microsoft-com:office:smarttags" w:element="country-region">
              <w:r w:rsidRPr="008818EF">
                <w:rPr>
                  <w:rFonts w:ascii="Arial" w:hAnsi="Arial" w:cs="Arial"/>
                  <w:sz w:val="16"/>
                  <w:szCs w:val="16"/>
                </w:rPr>
                <w:t>Malaysia</w:t>
              </w:r>
            </w:smartTag>
            <w:r w:rsidRPr="008818EF">
              <w:rPr>
                <w:rFonts w:ascii="Arial" w:hAnsi="Arial" w:cs="Arial"/>
                <w:sz w:val="16"/>
                <w:szCs w:val="16"/>
              </w:rPr>
              <w:t xml:space="preserve"> &amp; </w:t>
            </w:r>
            <w:smartTag w:uri="urn:schemas-microsoft-com:office:smarttags" w:element="country-region">
              <w:smartTag w:uri="urn:schemas-microsoft-com:office:smarttags" w:element="place">
                <w:r w:rsidRPr="008818EF">
                  <w:rPr>
                    <w:rFonts w:ascii="Arial" w:hAnsi="Arial" w:cs="Arial"/>
                    <w:sz w:val="16"/>
                    <w:szCs w:val="16"/>
                  </w:rPr>
                  <w:t>Singapore</w:t>
                </w:r>
              </w:smartTag>
            </w:smartTag>
            <w:r w:rsidRPr="008818EF">
              <w:rPr>
                <w:rFonts w:ascii="Arial" w:hAnsi="Arial" w:cs="Arial"/>
                <w:sz w:val="16"/>
                <w:szCs w:val="16"/>
              </w:rPr>
              <w:t>:</w:t>
            </w:r>
          </w:p>
          <w:p w14:paraId="0FAFA350" w14:textId="77777777" w:rsidR="003F0EEA" w:rsidRPr="008818EF" w:rsidRDefault="00FB7D0B" w:rsidP="003F0EEA">
            <w:pPr>
              <w:pStyle w:val="Normal152"/>
              <w:ind w:left="181"/>
              <w:jc w:val="both"/>
              <w:rPr>
                <w:rFonts w:ascii="Arial" w:hAnsi="Arial" w:cs="Arial"/>
                <w:sz w:val="16"/>
                <w:szCs w:val="16"/>
              </w:rPr>
            </w:pPr>
            <w:r w:rsidRPr="008818EF">
              <w:rPr>
                <w:rFonts w:ascii="Arial" w:hAnsi="Arial" w:cs="Arial"/>
                <w:sz w:val="16"/>
                <w:szCs w:val="16"/>
              </w:rPr>
              <w:t>War Cemeteries</w:t>
            </w:r>
          </w:p>
          <w:p w14:paraId="6018F76C" w14:textId="77777777" w:rsidR="003F0EEA" w:rsidRPr="008818EF" w:rsidRDefault="00FB7D0B" w:rsidP="003F0EEA">
            <w:pPr>
              <w:pStyle w:val="Normal152"/>
              <w:ind w:left="181"/>
              <w:jc w:val="both"/>
              <w:rPr>
                <w:rFonts w:ascii="Arial" w:hAnsi="Arial" w:cs="Arial"/>
                <w:sz w:val="16"/>
                <w:szCs w:val="16"/>
              </w:rPr>
            </w:pPr>
            <w:r w:rsidRPr="008818EF">
              <w:rPr>
                <w:rFonts w:ascii="Arial" w:hAnsi="Arial" w:cs="Arial"/>
                <w:sz w:val="16"/>
                <w:szCs w:val="16"/>
              </w:rPr>
              <w:t>Gardens of Remembrance</w:t>
            </w:r>
          </w:p>
          <w:p w14:paraId="38D8CF63" w14:textId="77777777" w:rsidR="003F0EEA" w:rsidRPr="008818EF" w:rsidRDefault="00FB7D0B" w:rsidP="003F0EEA">
            <w:pPr>
              <w:pStyle w:val="Normal152"/>
              <w:ind w:left="181"/>
              <w:jc w:val="both"/>
              <w:rPr>
                <w:rFonts w:ascii="Arial" w:hAnsi="Arial" w:cs="Arial"/>
                <w:sz w:val="16"/>
                <w:szCs w:val="16"/>
              </w:rPr>
            </w:pPr>
            <w:r w:rsidRPr="008818EF">
              <w:rPr>
                <w:rFonts w:ascii="Arial" w:hAnsi="Arial" w:cs="Arial"/>
                <w:sz w:val="16"/>
                <w:szCs w:val="16"/>
              </w:rPr>
              <w:t>Memorials to the Missing</w:t>
            </w:r>
          </w:p>
          <w:p w14:paraId="7098EB0B" w14:textId="77777777" w:rsidR="003F0EEA" w:rsidRPr="008818EF" w:rsidRDefault="00FB7D0B" w:rsidP="003F0EEA">
            <w:pPr>
              <w:pStyle w:val="Normal152"/>
              <w:ind w:left="181"/>
              <w:jc w:val="both"/>
              <w:rPr>
                <w:rFonts w:ascii="Arial" w:hAnsi="Arial" w:cs="Arial"/>
                <w:sz w:val="16"/>
                <w:szCs w:val="16"/>
              </w:rPr>
            </w:pPr>
            <w:r w:rsidRPr="008818EF">
              <w:rPr>
                <w:rFonts w:ascii="Arial" w:hAnsi="Arial" w:cs="Arial"/>
                <w:sz w:val="16"/>
                <w:szCs w:val="16"/>
              </w:rPr>
              <w:t xml:space="preserve">War </w:t>
            </w:r>
            <w:smartTag w:uri="urn:schemas-microsoft-com:office:smarttags" w:element="place">
              <w:r w:rsidRPr="008818EF">
                <w:rPr>
                  <w:rFonts w:ascii="Arial" w:hAnsi="Arial" w:cs="Arial"/>
                  <w:sz w:val="16"/>
                  <w:szCs w:val="16"/>
                </w:rPr>
                <w:t>Graves</w:t>
              </w:r>
            </w:smartTag>
            <w:r w:rsidRPr="008818EF">
              <w:rPr>
                <w:rFonts w:ascii="Arial" w:hAnsi="Arial" w:cs="Arial"/>
                <w:sz w:val="16"/>
                <w:szCs w:val="16"/>
              </w:rPr>
              <w:t xml:space="preserve"> in Australia &amp; PNG</w:t>
            </w:r>
          </w:p>
          <w:p w14:paraId="357DFC48" w14:textId="77777777" w:rsidR="003F0EEA" w:rsidRPr="008818EF" w:rsidRDefault="00FB7D0B" w:rsidP="003F0EEA">
            <w:pPr>
              <w:pStyle w:val="Normal152"/>
              <w:ind w:left="181"/>
              <w:jc w:val="both"/>
              <w:rPr>
                <w:rFonts w:ascii="Arial" w:hAnsi="Arial" w:cs="Arial"/>
                <w:sz w:val="16"/>
                <w:szCs w:val="16"/>
              </w:rPr>
            </w:pPr>
            <w:r w:rsidRPr="008818EF">
              <w:rPr>
                <w:rFonts w:ascii="Arial" w:hAnsi="Arial" w:cs="Arial"/>
                <w:sz w:val="16"/>
                <w:szCs w:val="16"/>
              </w:rPr>
              <w:t>Overseas graves (non world wars)</w:t>
            </w:r>
          </w:p>
          <w:p w14:paraId="3D443697" w14:textId="77777777" w:rsidR="003F0EEA" w:rsidRPr="008818EF" w:rsidRDefault="00FB7D0B" w:rsidP="003F0EEA">
            <w:pPr>
              <w:pStyle w:val="Normal152"/>
              <w:ind w:left="181"/>
              <w:jc w:val="both"/>
              <w:rPr>
                <w:rFonts w:ascii="Arial" w:hAnsi="Arial" w:cs="Arial"/>
                <w:sz w:val="16"/>
                <w:szCs w:val="16"/>
              </w:rPr>
            </w:pPr>
            <w:r w:rsidRPr="008818EF">
              <w:rPr>
                <w:rFonts w:ascii="Arial" w:hAnsi="Arial" w:cs="Arial"/>
                <w:sz w:val="16"/>
                <w:szCs w:val="16"/>
              </w:rPr>
              <w:t>Post War commemorations</w:t>
            </w:r>
            <w:r w:rsidRPr="008818EF">
              <w:rPr>
                <w:rFonts w:ascii="Arial" w:hAnsi="Arial" w:cs="Arial"/>
                <w:sz w:val="16"/>
                <w:szCs w:val="16"/>
                <w:vertAlign w:val="superscript"/>
              </w:rPr>
              <w:t>1</w:t>
            </w:r>
            <w:r w:rsidRPr="008818EF">
              <w:rPr>
                <w:rFonts w:ascii="Arial" w:hAnsi="Arial" w:cs="Arial"/>
                <w:sz w:val="16"/>
                <w:szCs w:val="16"/>
              </w:rPr>
              <w:t xml:space="preserve">       </w:t>
            </w:r>
          </w:p>
          <w:p w14:paraId="7CEF0FED" w14:textId="77777777" w:rsidR="003F0EEA" w:rsidRPr="008818EF" w:rsidRDefault="003F0EEA" w:rsidP="003F0EEA">
            <w:pPr>
              <w:pStyle w:val="Normal152"/>
              <w:ind w:left="181"/>
              <w:jc w:val="both"/>
              <w:rPr>
                <w:rFonts w:ascii="Arial" w:hAnsi="Arial" w:cs="Arial"/>
                <w:sz w:val="16"/>
                <w:szCs w:val="16"/>
              </w:rPr>
            </w:pPr>
          </w:p>
        </w:tc>
        <w:tc>
          <w:tcPr>
            <w:tcW w:w="4552" w:type="dxa"/>
            <w:tcBorders>
              <w:top w:val="single" w:sz="4" w:space="0" w:color="auto"/>
              <w:left w:val="single" w:sz="4" w:space="0" w:color="auto"/>
              <w:bottom w:val="single" w:sz="4" w:space="0" w:color="auto"/>
              <w:right w:val="single" w:sz="4" w:space="0" w:color="auto"/>
            </w:tcBorders>
          </w:tcPr>
          <w:p w14:paraId="7A42E577" w14:textId="77777777" w:rsidR="003F0EEA" w:rsidRPr="008818EF" w:rsidRDefault="00FB7D0B" w:rsidP="003F0EEA">
            <w:pPr>
              <w:pStyle w:val="Normal152"/>
              <w:spacing w:before="120" w:after="120"/>
              <w:jc w:val="both"/>
              <w:rPr>
                <w:rFonts w:ascii="Arial" w:hAnsi="Arial" w:cs="Arial"/>
                <w:sz w:val="16"/>
                <w:szCs w:val="16"/>
              </w:rPr>
            </w:pPr>
            <w:r w:rsidRPr="008818EF">
              <w:rPr>
                <w:rFonts w:ascii="Arial" w:hAnsi="Arial" w:cs="Arial"/>
                <w:sz w:val="16"/>
                <w:szCs w:val="16"/>
              </w:rPr>
              <w:t>The Maintenance of war cemeteries, memorials and graves is undertaken in accordance with Commonwealth War Graves Commission (CWGC) published standards. Performance is measured through CWGC inspections and veteran and community feedback.</w:t>
            </w:r>
          </w:p>
        </w:tc>
      </w:tr>
      <w:tr w:rsidR="00724034" w14:paraId="72AD8FB4" w14:textId="77777777" w:rsidTr="003F0EEA">
        <w:trPr>
          <w:trHeight w:val="700"/>
        </w:trPr>
        <w:tc>
          <w:tcPr>
            <w:tcW w:w="3528" w:type="dxa"/>
            <w:tcBorders>
              <w:top w:val="single" w:sz="4" w:space="0" w:color="auto"/>
              <w:left w:val="single" w:sz="4" w:space="0" w:color="auto"/>
              <w:bottom w:val="single" w:sz="4" w:space="0" w:color="auto"/>
              <w:right w:val="single" w:sz="4" w:space="0" w:color="auto"/>
            </w:tcBorders>
          </w:tcPr>
          <w:p w14:paraId="42FBFF4C" w14:textId="77777777" w:rsidR="003F0EEA" w:rsidRPr="008818EF" w:rsidRDefault="00FB7D0B" w:rsidP="003F0EEA">
            <w:pPr>
              <w:pStyle w:val="Normal152"/>
              <w:spacing w:before="120" w:after="120"/>
              <w:jc w:val="both"/>
              <w:rPr>
                <w:rFonts w:ascii="Book Antiqua" w:hAnsi="Book Antiqua"/>
              </w:rPr>
            </w:pPr>
            <w:r w:rsidRPr="008818EF">
              <w:rPr>
                <w:rFonts w:ascii="Arial" w:hAnsi="Arial" w:cs="Arial"/>
                <w:sz w:val="16"/>
                <w:szCs w:val="16"/>
              </w:rPr>
              <w:t>Provide new Post War Commemorations</w:t>
            </w:r>
          </w:p>
        </w:tc>
        <w:tc>
          <w:tcPr>
            <w:tcW w:w="4552" w:type="dxa"/>
            <w:tcBorders>
              <w:top w:val="single" w:sz="4" w:space="0" w:color="auto"/>
              <w:left w:val="single" w:sz="4" w:space="0" w:color="auto"/>
              <w:bottom w:val="single" w:sz="4" w:space="0" w:color="auto"/>
              <w:right w:val="single" w:sz="4" w:space="0" w:color="auto"/>
            </w:tcBorders>
          </w:tcPr>
          <w:p w14:paraId="587DF1AE" w14:textId="77777777" w:rsidR="003F0EEA" w:rsidRPr="008818EF" w:rsidRDefault="00FB7D0B" w:rsidP="003F0EEA">
            <w:pPr>
              <w:pStyle w:val="Normal152"/>
              <w:spacing w:before="120" w:after="120"/>
              <w:jc w:val="both"/>
              <w:rPr>
                <w:rFonts w:ascii="Arial" w:hAnsi="Arial" w:cs="Arial"/>
                <w:sz w:val="16"/>
                <w:szCs w:val="16"/>
              </w:rPr>
            </w:pPr>
            <w:r w:rsidRPr="008818EF">
              <w:rPr>
                <w:rFonts w:ascii="Arial" w:hAnsi="Arial" w:cs="Arial"/>
                <w:sz w:val="16"/>
                <w:szCs w:val="16"/>
              </w:rPr>
              <w:t>Commemorations are provided within published timeframes to meet Australian standards of production/ construction.</w:t>
            </w:r>
          </w:p>
        </w:tc>
      </w:tr>
      <w:tr w:rsidR="00724034" w14:paraId="08CB3054" w14:textId="77777777" w:rsidTr="003F0EEA">
        <w:tc>
          <w:tcPr>
            <w:tcW w:w="3528" w:type="dxa"/>
            <w:tcBorders>
              <w:top w:val="single" w:sz="4" w:space="0" w:color="auto"/>
              <w:left w:val="single" w:sz="4" w:space="0" w:color="auto"/>
              <w:bottom w:val="single" w:sz="4" w:space="0" w:color="auto"/>
              <w:right w:val="single" w:sz="4" w:space="0" w:color="auto"/>
            </w:tcBorders>
          </w:tcPr>
          <w:p w14:paraId="076ED106" w14:textId="77777777" w:rsidR="003F0EEA" w:rsidRPr="008818EF" w:rsidRDefault="00FB7D0B" w:rsidP="003F0EEA">
            <w:pPr>
              <w:pStyle w:val="Normal152"/>
              <w:spacing w:before="120" w:after="120"/>
              <w:jc w:val="both"/>
              <w:rPr>
                <w:rFonts w:ascii="Book Antiqua" w:hAnsi="Book Antiqua"/>
              </w:rPr>
            </w:pPr>
            <w:r w:rsidRPr="008818EF">
              <w:rPr>
                <w:rFonts w:ascii="Arial" w:hAnsi="Arial" w:cs="Arial"/>
                <w:sz w:val="16"/>
                <w:szCs w:val="16"/>
              </w:rPr>
              <w:t>Manage national memorials overseas</w:t>
            </w:r>
          </w:p>
        </w:tc>
        <w:tc>
          <w:tcPr>
            <w:tcW w:w="4552" w:type="dxa"/>
            <w:tcBorders>
              <w:top w:val="single" w:sz="4" w:space="0" w:color="auto"/>
              <w:left w:val="single" w:sz="4" w:space="0" w:color="auto"/>
              <w:bottom w:val="single" w:sz="4" w:space="0" w:color="auto"/>
              <w:right w:val="single" w:sz="4" w:space="0" w:color="auto"/>
            </w:tcBorders>
          </w:tcPr>
          <w:p w14:paraId="4155848F" w14:textId="77777777" w:rsidR="003F0EEA" w:rsidRPr="008818EF" w:rsidRDefault="00FB7D0B" w:rsidP="003F0EEA">
            <w:pPr>
              <w:pStyle w:val="Normal152"/>
              <w:spacing w:before="120" w:after="120"/>
              <w:jc w:val="both"/>
              <w:rPr>
                <w:rFonts w:ascii="Arial" w:hAnsi="Arial" w:cs="Arial"/>
                <w:sz w:val="16"/>
                <w:szCs w:val="16"/>
              </w:rPr>
            </w:pPr>
            <w:r w:rsidRPr="008818EF">
              <w:rPr>
                <w:rFonts w:ascii="Arial" w:hAnsi="Arial" w:cs="Arial"/>
                <w:sz w:val="16"/>
                <w:szCs w:val="16"/>
              </w:rPr>
              <w:t>Memorial presentation meets veteran and community approval and local requirements. Access and equity standards are met and, where applicable, information provided is both accurate and presented in a variety of formats.</w:t>
            </w:r>
          </w:p>
        </w:tc>
      </w:tr>
      <w:tr w:rsidR="00724034" w14:paraId="0FBD4787" w14:textId="77777777" w:rsidTr="003F0EEA">
        <w:tc>
          <w:tcPr>
            <w:tcW w:w="3528" w:type="dxa"/>
            <w:tcBorders>
              <w:top w:val="single" w:sz="4" w:space="0" w:color="auto"/>
              <w:left w:val="single" w:sz="4" w:space="0" w:color="auto"/>
              <w:bottom w:val="single" w:sz="4" w:space="0" w:color="auto"/>
              <w:right w:val="single" w:sz="4" w:space="0" w:color="auto"/>
            </w:tcBorders>
          </w:tcPr>
          <w:p w14:paraId="7609B9D7" w14:textId="77777777" w:rsidR="003F0EEA" w:rsidRPr="008818EF" w:rsidRDefault="00FB7D0B" w:rsidP="003F0EEA">
            <w:pPr>
              <w:pStyle w:val="Normal152"/>
              <w:spacing w:before="120" w:after="120"/>
              <w:jc w:val="both"/>
              <w:rPr>
                <w:rFonts w:ascii="Book Antiqua" w:hAnsi="Book Antiqua"/>
              </w:rPr>
            </w:pPr>
            <w:r w:rsidRPr="008818EF">
              <w:rPr>
                <w:rFonts w:ascii="Arial" w:hAnsi="Arial" w:cs="Arial"/>
                <w:sz w:val="16"/>
                <w:szCs w:val="16"/>
              </w:rPr>
              <w:t>Implement War Graves related projects</w:t>
            </w:r>
          </w:p>
        </w:tc>
        <w:tc>
          <w:tcPr>
            <w:tcW w:w="4552" w:type="dxa"/>
            <w:tcBorders>
              <w:top w:val="single" w:sz="4" w:space="0" w:color="auto"/>
              <w:left w:val="single" w:sz="4" w:space="0" w:color="auto"/>
              <w:bottom w:val="single" w:sz="4" w:space="0" w:color="auto"/>
              <w:right w:val="single" w:sz="4" w:space="0" w:color="auto"/>
            </w:tcBorders>
          </w:tcPr>
          <w:p w14:paraId="6E2B5734" w14:textId="77777777" w:rsidR="003F0EEA" w:rsidRPr="008818EF" w:rsidRDefault="00FB7D0B" w:rsidP="003F0EEA">
            <w:pPr>
              <w:pStyle w:val="Normal152"/>
              <w:spacing w:before="120" w:after="120"/>
              <w:jc w:val="both"/>
              <w:rPr>
                <w:rFonts w:ascii="Arial" w:hAnsi="Arial" w:cs="Arial"/>
                <w:sz w:val="16"/>
                <w:szCs w:val="16"/>
              </w:rPr>
            </w:pPr>
            <w:r w:rsidRPr="008818EF">
              <w:rPr>
                <w:rFonts w:ascii="Arial" w:hAnsi="Arial" w:cs="Arial"/>
                <w:sz w:val="16"/>
                <w:szCs w:val="16"/>
              </w:rPr>
              <w:t>Project implementation meets the budget and timing agreed and announced by Government.</w:t>
            </w:r>
          </w:p>
        </w:tc>
      </w:tr>
      <w:tr w:rsidR="00724034" w14:paraId="0F119162" w14:textId="77777777" w:rsidTr="003F0EEA">
        <w:tc>
          <w:tcPr>
            <w:tcW w:w="3528" w:type="dxa"/>
            <w:tcBorders>
              <w:top w:val="single" w:sz="4" w:space="0" w:color="auto"/>
              <w:left w:val="single" w:sz="4" w:space="0" w:color="auto"/>
              <w:bottom w:val="single" w:sz="4" w:space="0" w:color="auto"/>
              <w:right w:val="single" w:sz="4" w:space="0" w:color="auto"/>
            </w:tcBorders>
          </w:tcPr>
          <w:p w14:paraId="6B6DAD3A" w14:textId="77777777" w:rsidR="003F0EEA" w:rsidRPr="008818EF" w:rsidRDefault="00FB7D0B" w:rsidP="003F0EEA">
            <w:pPr>
              <w:pStyle w:val="Normal152"/>
              <w:spacing w:before="120" w:after="120"/>
              <w:jc w:val="both"/>
              <w:rPr>
                <w:rFonts w:ascii="Arial" w:hAnsi="Arial" w:cs="Arial"/>
                <w:sz w:val="16"/>
                <w:szCs w:val="16"/>
              </w:rPr>
            </w:pPr>
            <w:r w:rsidRPr="008818EF">
              <w:rPr>
                <w:rFonts w:ascii="Arial" w:hAnsi="Arial" w:cs="Arial"/>
                <w:sz w:val="16"/>
                <w:szCs w:val="16"/>
              </w:rPr>
              <w:t>Community awareness &amp; education resources</w:t>
            </w:r>
          </w:p>
        </w:tc>
        <w:tc>
          <w:tcPr>
            <w:tcW w:w="4552" w:type="dxa"/>
            <w:tcBorders>
              <w:top w:val="single" w:sz="4" w:space="0" w:color="auto"/>
              <w:left w:val="single" w:sz="4" w:space="0" w:color="auto"/>
              <w:bottom w:val="single" w:sz="4" w:space="0" w:color="auto"/>
              <w:right w:val="single" w:sz="4" w:space="0" w:color="auto"/>
            </w:tcBorders>
          </w:tcPr>
          <w:p w14:paraId="699B8A32" w14:textId="77777777" w:rsidR="003F0EEA" w:rsidRPr="008818EF" w:rsidRDefault="00FB7D0B" w:rsidP="003F0EEA">
            <w:pPr>
              <w:pStyle w:val="Normal152"/>
              <w:spacing w:before="120" w:after="120"/>
              <w:jc w:val="both"/>
              <w:rPr>
                <w:rFonts w:ascii="Arial" w:hAnsi="Arial" w:cs="Arial"/>
                <w:sz w:val="16"/>
                <w:szCs w:val="16"/>
              </w:rPr>
            </w:pPr>
            <w:r w:rsidRPr="008818EF">
              <w:rPr>
                <w:rFonts w:ascii="Arial" w:hAnsi="Arial" w:cs="Arial"/>
                <w:sz w:val="16"/>
                <w:szCs w:val="16"/>
              </w:rPr>
              <w:t>High level of community and veteran satisfaction with quality and accessibility of resources.</w:t>
            </w:r>
          </w:p>
        </w:tc>
      </w:tr>
      <w:tr w:rsidR="00724034" w14:paraId="68AA24E1" w14:textId="77777777" w:rsidTr="003F0EEA">
        <w:tc>
          <w:tcPr>
            <w:tcW w:w="3528" w:type="dxa"/>
            <w:tcBorders>
              <w:top w:val="single" w:sz="4" w:space="0" w:color="auto"/>
              <w:left w:val="single" w:sz="4" w:space="0" w:color="auto"/>
              <w:bottom w:val="single" w:sz="4" w:space="0" w:color="auto"/>
              <w:right w:val="single" w:sz="4" w:space="0" w:color="auto"/>
            </w:tcBorders>
          </w:tcPr>
          <w:p w14:paraId="300321B0" w14:textId="77777777" w:rsidR="003F0EEA" w:rsidRPr="008818EF" w:rsidRDefault="00FB7D0B" w:rsidP="003F0EEA">
            <w:pPr>
              <w:pStyle w:val="Normal152"/>
              <w:spacing w:before="120" w:after="120"/>
              <w:jc w:val="both"/>
              <w:rPr>
                <w:rFonts w:ascii="Book Antiqua" w:hAnsi="Book Antiqua"/>
              </w:rPr>
            </w:pPr>
            <w:r w:rsidRPr="008818EF">
              <w:rPr>
                <w:rFonts w:ascii="Arial" w:hAnsi="Arial" w:cs="Arial"/>
                <w:sz w:val="16"/>
                <w:szCs w:val="16"/>
              </w:rPr>
              <w:t>Grants applications approved</w:t>
            </w:r>
          </w:p>
        </w:tc>
        <w:tc>
          <w:tcPr>
            <w:tcW w:w="4552" w:type="dxa"/>
            <w:tcBorders>
              <w:top w:val="single" w:sz="4" w:space="0" w:color="auto"/>
              <w:left w:val="single" w:sz="4" w:space="0" w:color="auto"/>
              <w:bottom w:val="single" w:sz="4" w:space="0" w:color="auto"/>
              <w:right w:val="single" w:sz="4" w:space="0" w:color="auto"/>
            </w:tcBorders>
          </w:tcPr>
          <w:p w14:paraId="0330228D" w14:textId="77777777" w:rsidR="003F0EEA" w:rsidRPr="008818EF" w:rsidRDefault="00FB7D0B" w:rsidP="003F0EEA">
            <w:pPr>
              <w:pStyle w:val="Normal152"/>
              <w:spacing w:before="120" w:after="120"/>
              <w:jc w:val="both"/>
              <w:rPr>
                <w:rFonts w:ascii="Book Antiqua" w:hAnsi="Book Antiqua"/>
              </w:rPr>
            </w:pPr>
            <w:r w:rsidRPr="008818EF">
              <w:rPr>
                <w:rFonts w:ascii="Arial" w:hAnsi="Arial" w:cs="Arial"/>
                <w:sz w:val="16"/>
                <w:szCs w:val="16"/>
              </w:rPr>
              <w:t>Grant applications are processed within timelines. High level of community and veteran satisfaction with grant outcomes.</w:t>
            </w:r>
          </w:p>
        </w:tc>
      </w:tr>
      <w:tr w:rsidR="00724034" w14:paraId="0AEA6AD6" w14:textId="77777777" w:rsidTr="003F0EEA">
        <w:tc>
          <w:tcPr>
            <w:tcW w:w="3528" w:type="dxa"/>
            <w:tcBorders>
              <w:top w:val="single" w:sz="4" w:space="0" w:color="auto"/>
              <w:left w:val="single" w:sz="4" w:space="0" w:color="auto"/>
              <w:bottom w:val="single" w:sz="4" w:space="0" w:color="auto"/>
              <w:right w:val="single" w:sz="4" w:space="0" w:color="auto"/>
            </w:tcBorders>
          </w:tcPr>
          <w:p w14:paraId="6255CBA4" w14:textId="77777777" w:rsidR="003F0EEA" w:rsidRPr="008818EF" w:rsidRDefault="00FB7D0B" w:rsidP="003F0EEA">
            <w:pPr>
              <w:pStyle w:val="Normal152"/>
              <w:spacing w:before="120" w:after="120"/>
              <w:jc w:val="both"/>
              <w:rPr>
                <w:rFonts w:ascii="Book Antiqua" w:hAnsi="Book Antiqua"/>
              </w:rPr>
            </w:pPr>
            <w:r w:rsidRPr="008818EF">
              <w:rPr>
                <w:rFonts w:ascii="Arial" w:hAnsi="Arial" w:cs="Arial"/>
                <w:sz w:val="16"/>
                <w:szCs w:val="16"/>
              </w:rPr>
              <w:t>Domestic commemorative events</w:t>
            </w:r>
          </w:p>
        </w:tc>
        <w:tc>
          <w:tcPr>
            <w:tcW w:w="4552" w:type="dxa"/>
            <w:tcBorders>
              <w:top w:val="single" w:sz="4" w:space="0" w:color="auto"/>
              <w:left w:val="single" w:sz="4" w:space="0" w:color="auto"/>
              <w:bottom w:val="single" w:sz="4" w:space="0" w:color="auto"/>
              <w:right w:val="single" w:sz="4" w:space="0" w:color="auto"/>
            </w:tcBorders>
          </w:tcPr>
          <w:p w14:paraId="107245BF" w14:textId="77777777" w:rsidR="003F0EEA" w:rsidRPr="008818EF" w:rsidRDefault="00FB7D0B" w:rsidP="003F0EEA">
            <w:pPr>
              <w:pStyle w:val="Normal152"/>
              <w:spacing w:before="120" w:after="120"/>
              <w:jc w:val="both"/>
              <w:rPr>
                <w:rFonts w:ascii="Arial" w:hAnsi="Arial" w:cs="Arial"/>
                <w:sz w:val="16"/>
                <w:szCs w:val="16"/>
              </w:rPr>
            </w:pPr>
            <w:r w:rsidRPr="008818EF">
              <w:rPr>
                <w:rFonts w:ascii="Arial" w:hAnsi="Arial" w:cs="Arial"/>
                <w:sz w:val="16"/>
                <w:szCs w:val="16"/>
              </w:rPr>
              <w:t>High level of community and veteran satisfaction with commemorative events.</w:t>
            </w:r>
          </w:p>
        </w:tc>
      </w:tr>
    </w:tbl>
    <w:p w14:paraId="5E113AEE" w14:textId="77777777" w:rsidR="003F0EEA" w:rsidRDefault="003F0EEA" w:rsidP="003F0EEA">
      <w:pPr>
        <w:pStyle w:val="Normal152"/>
        <w:tabs>
          <w:tab w:val="left" w:pos="360"/>
        </w:tabs>
        <w:ind w:left="360" w:right="150" w:hanging="360"/>
        <w:rPr>
          <w:rFonts w:ascii="Arial" w:hAnsi="Arial"/>
          <w:sz w:val="16"/>
          <w:szCs w:val="20"/>
        </w:rPr>
      </w:pPr>
    </w:p>
    <w:p w14:paraId="560E9639" w14:textId="77777777" w:rsidR="003F0EEA" w:rsidRPr="00B10D0C" w:rsidRDefault="00FB7D0B" w:rsidP="003F0EEA">
      <w:pPr>
        <w:pStyle w:val="Normal152"/>
        <w:tabs>
          <w:tab w:val="left" w:pos="360"/>
        </w:tabs>
        <w:ind w:left="360" w:right="150" w:hanging="360"/>
        <w:rPr>
          <w:rFonts w:ascii="Book Antiqua" w:hAnsi="Book Antiqua"/>
          <w:sz w:val="20"/>
        </w:rPr>
      </w:pPr>
      <w:r>
        <w:rPr>
          <w:rFonts w:ascii="Arial" w:hAnsi="Arial"/>
          <w:sz w:val="16"/>
        </w:rPr>
        <w:t>1.</w:t>
      </w:r>
      <w:r>
        <w:rPr>
          <w:rFonts w:ascii="Arial" w:hAnsi="Arial"/>
          <w:sz w:val="16"/>
        </w:rPr>
        <w:tab/>
        <w:t>Individual commemorations provided in cemeteries, crematoria and Gardens of Remembrance to eligible veterans whose death is determined to be related to their service in conflict or on peacekeeping.</w:t>
      </w:r>
    </w:p>
    <w:p w14:paraId="08A5F9C7" w14:textId="77777777" w:rsidR="003F0EEA" w:rsidRPr="00B10D0C" w:rsidRDefault="00FB7D0B">
      <w:pPr>
        <w:rPr>
          <w:rFonts w:ascii="Book Antiqua" w:eastAsia="Times New Roman" w:hAnsi="Book Antiqua" w:cs="Times New Roman"/>
          <w:sz w:val="20"/>
        </w:rPr>
      </w:pPr>
      <w:r w:rsidRPr="00B10D0C">
        <w:rPr>
          <w:rFonts w:ascii="Book Antiqua" w:eastAsia="Times New Roman" w:hAnsi="Book Antiqua" w:cs="Times New Roman"/>
          <w:sz w:val="2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2"/>
        <w:gridCol w:w="222"/>
        <w:gridCol w:w="2835"/>
        <w:gridCol w:w="975"/>
        <w:gridCol w:w="975"/>
        <w:gridCol w:w="975"/>
        <w:gridCol w:w="975"/>
        <w:gridCol w:w="975"/>
      </w:tblGrid>
      <w:tr w:rsidR="00724034" w14:paraId="640D02E6" w14:textId="77777777" w:rsidTr="003F0EEA">
        <w:tc>
          <w:tcPr>
            <w:tcW w:w="8080" w:type="dxa"/>
            <w:gridSpan w:val="8"/>
            <w:tcBorders>
              <w:top w:val="single" w:sz="4" w:space="0" w:color="auto"/>
              <w:left w:val="single" w:sz="4" w:space="0" w:color="auto"/>
              <w:bottom w:val="single" w:sz="4" w:space="0" w:color="auto"/>
              <w:right w:val="single" w:sz="4" w:space="0" w:color="auto"/>
            </w:tcBorders>
            <w:shd w:val="clear" w:color="auto" w:fill="E6E6E6"/>
          </w:tcPr>
          <w:p w14:paraId="626BFE70" w14:textId="77777777" w:rsidR="003F0EEA" w:rsidRPr="005314C4" w:rsidRDefault="00FB7D0B">
            <w:pPr>
              <w:pStyle w:val="TableTextLeft41"/>
              <w:rPr>
                <w:b/>
              </w:rPr>
            </w:pPr>
            <w:r w:rsidRPr="005314C4">
              <w:rPr>
                <w:b/>
              </w:rPr>
              <w:t>Program</w:t>
            </w:r>
            <w:r>
              <w:rPr>
                <w:b/>
              </w:rPr>
              <w:t>me</w:t>
            </w:r>
            <w:r w:rsidRPr="005314C4">
              <w:rPr>
                <w:b/>
              </w:rPr>
              <w:t xml:space="preserve"> 3.2: Gallipoli-related Activities</w:t>
            </w:r>
          </w:p>
        </w:tc>
      </w:tr>
      <w:tr w:rsidR="00724034" w14:paraId="2C2D6363" w14:textId="77777777" w:rsidTr="003F0EEA">
        <w:tc>
          <w:tcPr>
            <w:tcW w:w="8080" w:type="dxa"/>
            <w:gridSpan w:val="8"/>
            <w:tcBorders>
              <w:top w:val="single" w:sz="4" w:space="0" w:color="auto"/>
              <w:left w:val="nil"/>
              <w:bottom w:val="single" w:sz="4" w:space="0" w:color="auto"/>
              <w:right w:val="nil"/>
            </w:tcBorders>
          </w:tcPr>
          <w:p w14:paraId="62352731" w14:textId="77777777" w:rsidR="003F0EEA" w:rsidRDefault="003F0EEA">
            <w:pPr>
              <w:pStyle w:val="TableTextLeft41"/>
              <w:rPr>
                <w:b/>
              </w:rPr>
            </w:pPr>
          </w:p>
        </w:tc>
      </w:tr>
      <w:tr w:rsidR="00724034" w14:paraId="57705D0D" w14:textId="77777777" w:rsidTr="003F0EEA">
        <w:tc>
          <w:tcPr>
            <w:tcW w:w="8080" w:type="dxa"/>
            <w:gridSpan w:val="8"/>
            <w:tcBorders>
              <w:top w:val="single" w:sz="4" w:space="0" w:color="auto"/>
              <w:left w:val="single" w:sz="4" w:space="0" w:color="auto"/>
              <w:bottom w:val="single" w:sz="4" w:space="0" w:color="auto"/>
              <w:right w:val="single" w:sz="4" w:space="0" w:color="auto"/>
            </w:tcBorders>
          </w:tcPr>
          <w:p w14:paraId="644A859C" w14:textId="77777777" w:rsidR="003F0EEA" w:rsidRDefault="00FB7D0B" w:rsidP="003F0EEA">
            <w:pPr>
              <w:pStyle w:val="TableTextLeft41"/>
              <w:rPr>
                <w:b/>
              </w:rPr>
            </w:pPr>
            <w:r>
              <w:rPr>
                <w:b/>
              </w:rPr>
              <w:t>Programme 3.2 objective</w:t>
            </w:r>
          </w:p>
          <w:p w14:paraId="19F497CD" w14:textId="77777777" w:rsidR="003F0EEA" w:rsidRDefault="00FB7D0B" w:rsidP="003F0EEA">
            <w:pPr>
              <w:pStyle w:val="TableTextLeft41"/>
              <w:rPr>
                <w:b/>
              </w:rPr>
            </w:pPr>
            <w:r>
              <w:t>Coordinate and manage the delivery of annual commemorative and related activities at Gallipoli</w:t>
            </w:r>
            <w:r>
              <w:rPr>
                <w:i/>
              </w:rPr>
              <w:t>.</w:t>
            </w:r>
          </w:p>
        </w:tc>
      </w:tr>
      <w:tr w:rsidR="00724034" w14:paraId="22CEAE6A" w14:textId="77777777" w:rsidTr="003F0EEA">
        <w:tc>
          <w:tcPr>
            <w:tcW w:w="8080" w:type="dxa"/>
            <w:gridSpan w:val="8"/>
            <w:tcBorders>
              <w:top w:val="single" w:sz="4" w:space="0" w:color="auto"/>
              <w:left w:val="nil"/>
              <w:bottom w:val="single" w:sz="4" w:space="0" w:color="auto"/>
              <w:right w:val="nil"/>
            </w:tcBorders>
          </w:tcPr>
          <w:p w14:paraId="0CAEA3CD" w14:textId="77777777" w:rsidR="003F0EEA" w:rsidRDefault="003F0EEA">
            <w:pPr>
              <w:pStyle w:val="TableTextLeft41"/>
              <w:rPr>
                <w:b/>
              </w:rPr>
            </w:pPr>
          </w:p>
        </w:tc>
      </w:tr>
      <w:tr w:rsidR="00724034" w14:paraId="1E693186" w14:textId="77777777" w:rsidTr="003F0EEA">
        <w:tc>
          <w:tcPr>
            <w:tcW w:w="8080" w:type="dxa"/>
            <w:gridSpan w:val="8"/>
            <w:tcBorders>
              <w:top w:val="single" w:sz="4" w:space="0" w:color="auto"/>
              <w:left w:val="single" w:sz="4" w:space="0" w:color="auto"/>
              <w:bottom w:val="single" w:sz="4" w:space="0" w:color="auto"/>
              <w:right w:val="single" w:sz="4" w:space="0" w:color="auto"/>
            </w:tcBorders>
          </w:tcPr>
          <w:p w14:paraId="6E05E229" w14:textId="77777777" w:rsidR="003F0EEA" w:rsidRDefault="00FB7D0B" w:rsidP="003F0EEA">
            <w:pPr>
              <w:pStyle w:val="TableTextLeft41"/>
              <w:rPr>
                <w:b/>
              </w:rPr>
            </w:pPr>
            <w:r>
              <w:rPr>
                <w:b/>
              </w:rPr>
              <w:t>Programme 3.2 expenses</w:t>
            </w:r>
          </w:p>
          <w:p w14:paraId="72C22DEF" w14:textId="77777777" w:rsidR="003F0EEA" w:rsidRDefault="00FB7D0B" w:rsidP="003F0EEA">
            <w:pPr>
              <w:pStyle w:val="TableTextLeft41"/>
              <w:rPr>
                <w:b/>
              </w:rPr>
            </w:pPr>
            <w:r w:rsidRPr="00BD4C6E">
              <w:t xml:space="preserve">The Department is the lead government agency responsible for the planning and conduct of </w:t>
            </w:r>
            <w:r>
              <w:t xml:space="preserve">annual </w:t>
            </w:r>
            <w:r w:rsidRPr="00BD4C6E">
              <w:t>Anzac Day commemorations at Gallipoli.</w:t>
            </w:r>
          </w:p>
        </w:tc>
      </w:tr>
      <w:tr w:rsidR="00724034" w14:paraId="3D980A57" w14:textId="77777777">
        <w:tblPrEx>
          <w:tblLook w:val="04A0" w:firstRow="1" w:lastRow="0" w:firstColumn="1" w:lastColumn="0" w:noHBand="0" w:noVBand="1"/>
        </w:tblPrEx>
        <w:trPr>
          <w:trHeight w:val="225"/>
        </w:trPr>
        <w:tc>
          <w:tcPr>
            <w:tcW w:w="180" w:type="dxa"/>
            <w:tcBorders>
              <w:top w:val="single" w:sz="6" w:space="0" w:color="000000"/>
              <w:left w:val="single" w:sz="6" w:space="0" w:color="000000"/>
              <w:bottom w:val="single" w:sz="6" w:space="0" w:color="FFFFFF"/>
              <w:right w:val="nil"/>
              <w:tl2br w:val="nil"/>
              <w:tr2bl w:val="nil"/>
            </w:tcBorders>
            <w:shd w:val="clear" w:color="auto" w:fill="FFFFFF"/>
            <w:tcMar>
              <w:left w:w="101" w:type="dxa"/>
              <w:right w:w="101" w:type="dxa"/>
            </w:tcMar>
            <w:vAlign w:val="bottom"/>
          </w:tcPr>
          <w:p w14:paraId="449D935B" w14:textId="77777777" w:rsidR="00724034" w:rsidRDefault="00724034"/>
        </w:tc>
        <w:tc>
          <w:tcPr>
            <w:tcW w:w="195" w:type="dxa"/>
            <w:tcBorders>
              <w:top w:val="single" w:sz="6" w:space="0" w:color="000000"/>
              <w:left w:val="nil"/>
              <w:bottom w:val="single" w:sz="6" w:space="0" w:color="FFFFFF"/>
              <w:right w:val="nil"/>
              <w:tl2br w:val="nil"/>
              <w:tr2bl w:val="nil"/>
            </w:tcBorders>
            <w:shd w:val="clear" w:color="auto" w:fill="FFFFFF"/>
            <w:tcMar>
              <w:left w:w="101" w:type="dxa"/>
              <w:right w:w="101" w:type="dxa"/>
            </w:tcMar>
            <w:vAlign w:val="bottom"/>
          </w:tcPr>
          <w:p w14:paraId="6C2AF44E" w14:textId="77777777" w:rsidR="00724034" w:rsidRDefault="00724034">
            <w:pPr>
              <w:rPr>
                <w:rFonts w:ascii="Arial" w:eastAsia="Arial" w:hAnsi="Arial" w:cs="Arial"/>
                <w:color w:val="000000"/>
                <w:sz w:val="16"/>
              </w:rPr>
            </w:pPr>
          </w:p>
        </w:tc>
        <w:tc>
          <w:tcPr>
            <w:tcW w:w="2835" w:type="dxa"/>
            <w:tcBorders>
              <w:top w:val="single" w:sz="6" w:space="0" w:color="000000"/>
              <w:left w:val="nil"/>
              <w:bottom w:val="single" w:sz="6" w:space="0" w:color="FFFFFF"/>
              <w:right w:val="nil"/>
              <w:tl2br w:val="nil"/>
              <w:tr2bl w:val="nil"/>
            </w:tcBorders>
            <w:shd w:val="clear" w:color="auto" w:fill="FFFFFF"/>
            <w:tcMar>
              <w:left w:w="101" w:type="dxa"/>
              <w:right w:w="101" w:type="dxa"/>
            </w:tcMar>
            <w:vAlign w:val="bottom"/>
          </w:tcPr>
          <w:p w14:paraId="46EB43E7" w14:textId="77777777" w:rsidR="00724034" w:rsidRDefault="00724034">
            <w:pPr>
              <w:jc w:val="center"/>
              <w:rPr>
                <w:rFonts w:ascii="Arial" w:eastAsia="Arial" w:hAnsi="Arial" w:cs="Arial"/>
                <w:color w:val="000000"/>
                <w:sz w:val="16"/>
              </w:rPr>
            </w:pPr>
          </w:p>
        </w:tc>
        <w:tc>
          <w:tcPr>
            <w:tcW w:w="97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4A98E097" w14:textId="77777777" w:rsidR="00724034" w:rsidRDefault="00FB7D0B">
            <w:pPr>
              <w:jc w:val="right"/>
              <w:rPr>
                <w:rFonts w:ascii="Arial" w:eastAsia="Arial" w:hAnsi="Arial" w:cs="Arial"/>
                <w:b/>
                <w:color w:val="000000"/>
                <w:sz w:val="16"/>
                <w:vertAlign w:val="superscript"/>
              </w:rPr>
            </w:pPr>
            <w:r>
              <w:rPr>
                <w:rFonts w:ascii="Arial" w:eastAsia="Arial" w:hAnsi="Arial" w:cs="Arial"/>
                <w:color w:val="000000"/>
                <w:sz w:val="16"/>
              </w:rPr>
              <w:t>2013-14</w:t>
            </w:r>
          </w:p>
        </w:tc>
        <w:tc>
          <w:tcPr>
            <w:tcW w:w="975" w:type="dxa"/>
            <w:tcBorders>
              <w:top w:val="single" w:sz="6" w:space="0" w:color="000000"/>
              <w:left w:val="nil"/>
              <w:bottom w:val="nil"/>
              <w:right w:val="nil"/>
              <w:tl2br w:val="nil"/>
              <w:tr2bl w:val="nil"/>
            </w:tcBorders>
            <w:shd w:val="clear" w:color="auto" w:fill="FFFF00"/>
            <w:tcMar>
              <w:left w:w="101" w:type="dxa"/>
              <w:right w:w="101" w:type="dxa"/>
            </w:tcMar>
            <w:vAlign w:val="bottom"/>
          </w:tcPr>
          <w:p w14:paraId="65ECDB5E" w14:textId="77777777" w:rsidR="00724034" w:rsidRDefault="00FB7D0B">
            <w:pPr>
              <w:jc w:val="right"/>
              <w:rPr>
                <w:rFonts w:ascii="Arial" w:eastAsia="Arial" w:hAnsi="Arial" w:cs="Arial"/>
                <w:color w:val="000000"/>
                <w:sz w:val="16"/>
              </w:rPr>
            </w:pPr>
            <w:r>
              <w:rPr>
                <w:rFonts w:ascii="Arial" w:eastAsia="Arial" w:hAnsi="Arial" w:cs="Arial"/>
                <w:color w:val="000000"/>
                <w:sz w:val="16"/>
              </w:rPr>
              <w:t>2014-15</w:t>
            </w:r>
          </w:p>
        </w:tc>
        <w:tc>
          <w:tcPr>
            <w:tcW w:w="97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4AA88F2C" w14:textId="77777777" w:rsidR="00724034" w:rsidRDefault="00FB7D0B">
            <w:pPr>
              <w:jc w:val="right"/>
              <w:rPr>
                <w:rFonts w:ascii="Arial" w:eastAsia="Arial" w:hAnsi="Arial" w:cs="Arial"/>
                <w:color w:val="000000"/>
                <w:sz w:val="16"/>
              </w:rPr>
            </w:pPr>
            <w:r>
              <w:rPr>
                <w:rFonts w:ascii="Arial" w:eastAsia="Arial" w:hAnsi="Arial" w:cs="Arial"/>
                <w:color w:val="000000"/>
                <w:sz w:val="16"/>
              </w:rPr>
              <w:t>2015-16</w:t>
            </w:r>
          </w:p>
        </w:tc>
        <w:tc>
          <w:tcPr>
            <w:tcW w:w="97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3F8965A6" w14:textId="77777777" w:rsidR="00724034" w:rsidRDefault="00FB7D0B">
            <w:pPr>
              <w:jc w:val="right"/>
              <w:rPr>
                <w:rFonts w:ascii="Arial" w:eastAsia="Arial" w:hAnsi="Arial" w:cs="Arial"/>
                <w:color w:val="000000"/>
                <w:sz w:val="16"/>
              </w:rPr>
            </w:pPr>
            <w:r>
              <w:rPr>
                <w:rFonts w:ascii="Arial" w:eastAsia="Arial" w:hAnsi="Arial" w:cs="Arial"/>
                <w:color w:val="000000"/>
                <w:sz w:val="16"/>
              </w:rPr>
              <w:t>2016-17</w:t>
            </w:r>
          </w:p>
        </w:tc>
        <w:tc>
          <w:tcPr>
            <w:tcW w:w="975" w:type="dxa"/>
            <w:tcBorders>
              <w:top w:val="single" w:sz="6" w:space="0" w:color="000000"/>
              <w:left w:val="nil"/>
              <w:bottom w:val="nil"/>
              <w:right w:val="single" w:sz="6" w:space="0" w:color="000000"/>
              <w:tl2br w:val="nil"/>
              <w:tr2bl w:val="nil"/>
            </w:tcBorders>
            <w:shd w:val="clear" w:color="auto" w:fill="FFFFFF"/>
            <w:tcMar>
              <w:left w:w="101" w:type="dxa"/>
              <w:right w:w="101" w:type="dxa"/>
            </w:tcMar>
            <w:vAlign w:val="bottom"/>
          </w:tcPr>
          <w:p w14:paraId="150D62E8" w14:textId="77777777" w:rsidR="00724034" w:rsidRDefault="00FB7D0B">
            <w:pPr>
              <w:jc w:val="right"/>
              <w:rPr>
                <w:rFonts w:ascii="Arial" w:eastAsia="Arial" w:hAnsi="Arial" w:cs="Arial"/>
                <w:color w:val="000000"/>
                <w:sz w:val="16"/>
              </w:rPr>
            </w:pPr>
            <w:r>
              <w:rPr>
                <w:rFonts w:ascii="Arial" w:eastAsia="Arial" w:hAnsi="Arial" w:cs="Arial"/>
                <w:color w:val="000000"/>
                <w:sz w:val="16"/>
              </w:rPr>
              <w:t>2017-18</w:t>
            </w:r>
          </w:p>
        </w:tc>
      </w:tr>
      <w:tr w:rsidR="00724034" w14:paraId="74C2FD34" w14:textId="77777777">
        <w:tblPrEx>
          <w:tblLook w:val="04A0" w:firstRow="1" w:lastRow="0" w:firstColumn="1" w:lastColumn="0" w:noHBand="0" w:noVBand="1"/>
        </w:tblPrEx>
        <w:trPr>
          <w:trHeight w:val="225"/>
        </w:trPr>
        <w:tc>
          <w:tcPr>
            <w:tcW w:w="180" w:type="dxa"/>
            <w:tcBorders>
              <w:top w:val="single" w:sz="6" w:space="0" w:color="FFFFFF"/>
              <w:left w:val="single" w:sz="6" w:space="0" w:color="000000"/>
              <w:bottom w:val="nil"/>
              <w:right w:val="nil"/>
              <w:tl2br w:val="nil"/>
              <w:tr2bl w:val="nil"/>
            </w:tcBorders>
            <w:shd w:val="clear" w:color="auto" w:fill="FFFFFF"/>
            <w:tcMar>
              <w:left w:w="101" w:type="dxa"/>
              <w:right w:w="101" w:type="dxa"/>
            </w:tcMar>
            <w:vAlign w:val="bottom"/>
          </w:tcPr>
          <w:p w14:paraId="0CD17DF5" w14:textId="77777777" w:rsidR="00724034" w:rsidRDefault="00724034">
            <w:pPr>
              <w:rPr>
                <w:rFonts w:ascii="Arial" w:eastAsia="Arial" w:hAnsi="Arial" w:cs="Arial"/>
                <w:color w:val="000000"/>
                <w:sz w:val="16"/>
              </w:rPr>
            </w:pPr>
          </w:p>
        </w:tc>
        <w:tc>
          <w:tcPr>
            <w:tcW w:w="195" w:type="dxa"/>
            <w:tcBorders>
              <w:top w:val="single" w:sz="6" w:space="0" w:color="FFFFFF"/>
              <w:left w:val="nil"/>
              <w:bottom w:val="nil"/>
              <w:right w:val="nil"/>
              <w:tl2br w:val="nil"/>
              <w:tr2bl w:val="nil"/>
            </w:tcBorders>
            <w:shd w:val="clear" w:color="auto" w:fill="FFFFFF"/>
            <w:tcMar>
              <w:left w:w="101" w:type="dxa"/>
              <w:right w:w="101" w:type="dxa"/>
            </w:tcMar>
            <w:vAlign w:val="bottom"/>
          </w:tcPr>
          <w:p w14:paraId="5BD9C504" w14:textId="77777777" w:rsidR="00724034" w:rsidRDefault="00724034">
            <w:pPr>
              <w:rPr>
                <w:rFonts w:ascii="Arial" w:eastAsia="Arial" w:hAnsi="Arial" w:cs="Arial"/>
                <w:color w:val="000000"/>
                <w:sz w:val="16"/>
              </w:rPr>
            </w:pPr>
          </w:p>
        </w:tc>
        <w:tc>
          <w:tcPr>
            <w:tcW w:w="2835" w:type="dxa"/>
            <w:tcBorders>
              <w:top w:val="single" w:sz="6" w:space="0" w:color="FFFFFF"/>
              <w:left w:val="nil"/>
              <w:bottom w:val="nil"/>
              <w:right w:val="nil"/>
              <w:tl2br w:val="nil"/>
              <w:tr2bl w:val="nil"/>
            </w:tcBorders>
            <w:shd w:val="clear" w:color="auto" w:fill="FFFFFF"/>
            <w:tcMar>
              <w:left w:w="101" w:type="dxa"/>
              <w:right w:w="101" w:type="dxa"/>
            </w:tcMar>
            <w:vAlign w:val="bottom"/>
          </w:tcPr>
          <w:p w14:paraId="4C682051" w14:textId="77777777" w:rsidR="00724034" w:rsidRDefault="00724034">
            <w:pPr>
              <w:rPr>
                <w:rFonts w:ascii="Arial" w:eastAsia="Arial" w:hAnsi="Arial" w:cs="Arial"/>
                <w:color w:val="000000"/>
                <w:sz w:val="16"/>
              </w:rPr>
            </w:pPr>
          </w:p>
        </w:tc>
        <w:tc>
          <w:tcPr>
            <w:tcW w:w="975" w:type="dxa"/>
            <w:tcBorders>
              <w:top w:val="nil"/>
              <w:left w:val="nil"/>
              <w:bottom w:val="nil"/>
              <w:right w:val="nil"/>
              <w:tl2br w:val="nil"/>
              <w:tr2bl w:val="nil"/>
            </w:tcBorders>
            <w:shd w:val="clear" w:color="auto" w:fill="FFFFFF"/>
            <w:tcMar>
              <w:left w:w="101" w:type="dxa"/>
              <w:right w:w="101" w:type="dxa"/>
            </w:tcMar>
            <w:vAlign w:val="bottom"/>
          </w:tcPr>
          <w:p w14:paraId="51AC928D" w14:textId="77777777" w:rsidR="00724034" w:rsidRDefault="00FB7D0B">
            <w:pPr>
              <w:jc w:val="right"/>
              <w:rPr>
                <w:rFonts w:ascii="Arial" w:eastAsia="Arial" w:hAnsi="Arial" w:cs="Arial"/>
                <w:color w:val="000000"/>
                <w:sz w:val="16"/>
                <w:vertAlign w:val="superscript"/>
              </w:rPr>
            </w:pPr>
            <w:r>
              <w:rPr>
                <w:rFonts w:ascii="Arial" w:eastAsia="Arial" w:hAnsi="Arial" w:cs="Arial"/>
                <w:color w:val="000000"/>
                <w:sz w:val="16"/>
              </w:rPr>
              <w:t>Revised</w:t>
            </w:r>
          </w:p>
        </w:tc>
        <w:tc>
          <w:tcPr>
            <w:tcW w:w="975" w:type="dxa"/>
            <w:tcBorders>
              <w:top w:val="nil"/>
              <w:left w:val="nil"/>
              <w:bottom w:val="nil"/>
              <w:right w:val="nil"/>
              <w:tl2br w:val="nil"/>
              <w:tr2bl w:val="nil"/>
            </w:tcBorders>
            <w:shd w:val="clear" w:color="auto" w:fill="FFFF00"/>
            <w:tcMar>
              <w:left w:w="101" w:type="dxa"/>
              <w:right w:w="101" w:type="dxa"/>
            </w:tcMar>
            <w:vAlign w:val="bottom"/>
          </w:tcPr>
          <w:p w14:paraId="647EFDDE" w14:textId="77777777" w:rsidR="00724034" w:rsidRDefault="00FB7D0B">
            <w:pPr>
              <w:jc w:val="right"/>
              <w:rPr>
                <w:rFonts w:ascii="Arial" w:eastAsia="Arial" w:hAnsi="Arial" w:cs="Arial"/>
                <w:color w:val="000000"/>
                <w:sz w:val="16"/>
              </w:rPr>
            </w:pPr>
            <w:r>
              <w:rPr>
                <w:rFonts w:ascii="Arial" w:eastAsia="Arial" w:hAnsi="Arial" w:cs="Arial"/>
                <w:color w:val="000000"/>
                <w:sz w:val="16"/>
              </w:rPr>
              <w:t>Budget</w:t>
            </w:r>
          </w:p>
        </w:tc>
        <w:tc>
          <w:tcPr>
            <w:tcW w:w="975" w:type="dxa"/>
            <w:tcBorders>
              <w:top w:val="nil"/>
              <w:left w:val="nil"/>
              <w:bottom w:val="nil"/>
              <w:right w:val="nil"/>
              <w:tl2br w:val="nil"/>
              <w:tr2bl w:val="nil"/>
            </w:tcBorders>
            <w:shd w:val="clear" w:color="auto" w:fill="FFFFFF"/>
            <w:tcMar>
              <w:left w:w="101" w:type="dxa"/>
              <w:right w:w="101" w:type="dxa"/>
            </w:tcMar>
            <w:vAlign w:val="bottom"/>
          </w:tcPr>
          <w:p w14:paraId="76DE14E6" w14:textId="77777777" w:rsidR="00724034" w:rsidRDefault="00FB7D0B">
            <w:pPr>
              <w:jc w:val="right"/>
              <w:rPr>
                <w:rFonts w:ascii="Arial" w:eastAsia="Arial" w:hAnsi="Arial" w:cs="Arial"/>
                <w:color w:val="000000"/>
                <w:sz w:val="16"/>
              </w:rPr>
            </w:pPr>
            <w:r>
              <w:rPr>
                <w:rFonts w:ascii="Arial" w:eastAsia="Arial" w:hAnsi="Arial" w:cs="Arial"/>
                <w:color w:val="000000"/>
                <w:sz w:val="16"/>
              </w:rPr>
              <w:t>Forward</w:t>
            </w:r>
          </w:p>
        </w:tc>
        <w:tc>
          <w:tcPr>
            <w:tcW w:w="975" w:type="dxa"/>
            <w:tcBorders>
              <w:top w:val="nil"/>
              <w:left w:val="nil"/>
              <w:bottom w:val="nil"/>
              <w:right w:val="nil"/>
              <w:tl2br w:val="nil"/>
              <w:tr2bl w:val="nil"/>
            </w:tcBorders>
            <w:shd w:val="clear" w:color="auto" w:fill="FFFFFF"/>
            <w:tcMar>
              <w:left w:w="101" w:type="dxa"/>
              <w:right w:w="101" w:type="dxa"/>
            </w:tcMar>
            <w:vAlign w:val="bottom"/>
          </w:tcPr>
          <w:p w14:paraId="40D4A0EF" w14:textId="77777777" w:rsidR="00724034" w:rsidRDefault="00FB7D0B">
            <w:pPr>
              <w:jc w:val="right"/>
              <w:rPr>
                <w:rFonts w:ascii="Arial" w:eastAsia="Arial" w:hAnsi="Arial" w:cs="Arial"/>
                <w:color w:val="000000"/>
                <w:sz w:val="16"/>
              </w:rPr>
            </w:pPr>
            <w:r>
              <w:rPr>
                <w:rFonts w:ascii="Arial" w:eastAsia="Arial" w:hAnsi="Arial" w:cs="Arial"/>
                <w:color w:val="000000"/>
                <w:sz w:val="16"/>
              </w:rPr>
              <w:t>Forward</w:t>
            </w:r>
          </w:p>
        </w:tc>
        <w:tc>
          <w:tcPr>
            <w:tcW w:w="975" w:type="dxa"/>
            <w:tcBorders>
              <w:top w:val="nil"/>
              <w:left w:val="nil"/>
              <w:bottom w:val="nil"/>
              <w:right w:val="single" w:sz="6" w:space="0" w:color="000000"/>
              <w:tl2br w:val="nil"/>
              <w:tr2bl w:val="nil"/>
            </w:tcBorders>
            <w:shd w:val="clear" w:color="auto" w:fill="FFFFFF"/>
            <w:tcMar>
              <w:left w:w="101" w:type="dxa"/>
              <w:right w:w="101" w:type="dxa"/>
            </w:tcMar>
            <w:vAlign w:val="bottom"/>
          </w:tcPr>
          <w:p w14:paraId="382EC186" w14:textId="77777777" w:rsidR="00724034" w:rsidRDefault="00FB7D0B">
            <w:pPr>
              <w:jc w:val="right"/>
              <w:rPr>
                <w:rFonts w:ascii="Arial" w:eastAsia="Arial" w:hAnsi="Arial" w:cs="Arial"/>
                <w:color w:val="000000"/>
                <w:sz w:val="16"/>
              </w:rPr>
            </w:pPr>
            <w:r>
              <w:rPr>
                <w:rFonts w:ascii="Arial" w:eastAsia="Arial" w:hAnsi="Arial" w:cs="Arial"/>
                <w:color w:val="000000"/>
                <w:sz w:val="16"/>
              </w:rPr>
              <w:t>Forward</w:t>
            </w:r>
          </w:p>
        </w:tc>
      </w:tr>
      <w:tr w:rsidR="00FB7D0B" w14:paraId="7F9F907A" w14:textId="77777777" w:rsidTr="00FB7D0B">
        <w:tblPrEx>
          <w:tblLook w:val="04A0" w:firstRow="1" w:lastRow="0" w:firstColumn="1" w:lastColumn="0" w:noHBand="0" w:noVBand="1"/>
        </w:tblPrEx>
        <w:trPr>
          <w:trHeight w:val="225"/>
        </w:trPr>
        <w:tc>
          <w:tcPr>
            <w:tcW w:w="3210" w:type="dxa"/>
            <w:gridSpan w:val="3"/>
            <w:tcBorders>
              <w:top w:val="nil"/>
              <w:left w:val="single" w:sz="6" w:space="0" w:color="000000"/>
              <w:bottom w:val="single" w:sz="6" w:space="0" w:color="000000"/>
              <w:right w:val="nil"/>
              <w:tl2br w:val="nil"/>
              <w:tr2bl w:val="nil"/>
            </w:tcBorders>
            <w:shd w:val="clear" w:color="auto" w:fill="FFFFFF"/>
            <w:tcMar>
              <w:left w:w="101" w:type="dxa"/>
              <w:right w:w="101" w:type="dxa"/>
            </w:tcMar>
            <w:vAlign w:val="bottom"/>
          </w:tcPr>
          <w:p w14:paraId="7778B7B0" w14:textId="77777777" w:rsidR="00724034" w:rsidRDefault="00FB7D0B">
            <w:pPr>
              <w:rPr>
                <w:rFonts w:ascii="Arial" w:eastAsia="Arial" w:hAnsi="Arial" w:cs="Arial"/>
                <w:color w:val="000000"/>
                <w:sz w:val="16"/>
              </w:rPr>
            </w:pPr>
            <w:r>
              <w:rPr>
                <w:rFonts w:ascii="Arial" w:eastAsia="Arial" w:hAnsi="Arial" w:cs="Arial"/>
                <w:color w:val="000000"/>
                <w:sz w:val="16"/>
              </w:rPr>
              <w:t>$('000)</w:t>
            </w:r>
          </w:p>
        </w:tc>
        <w:tc>
          <w:tcPr>
            <w:tcW w:w="975"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6D2BC841" w14:textId="77777777" w:rsidR="00724034" w:rsidRDefault="00FB7D0B">
            <w:pPr>
              <w:jc w:val="right"/>
              <w:rPr>
                <w:rFonts w:ascii="Arial" w:eastAsia="Arial" w:hAnsi="Arial" w:cs="Arial"/>
                <w:color w:val="000000"/>
                <w:sz w:val="16"/>
                <w:vertAlign w:val="superscript"/>
              </w:rPr>
            </w:pPr>
            <w:r>
              <w:rPr>
                <w:rFonts w:ascii="Arial" w:eastAsia="Arial" w:hAnsi="Arial" w:cs="Arial"/>
                <w:color w:val="000000"/>
                <w:sz w:val="16"/>
              </w:rPr>
              <w:t>budget</w:t>
            </w:r>
          </w:p>
        </w:tc>
        <w:tc>
          <w:tcPr>
            <w:tcW w:w="975" w:type="dxa"/>
            <w:tcBorders>
              <w:top w:val="nil"/>
              <w:left w:val="nil"/>
              <w:bottom w:val="single" w:sz="6" w:space="0" w:color="000000"/>
              <w:right w:val="nil"/>
              <w:tl2br w:val="nil"/>
              <w:tr2bl w:val="nil"/>
            </w:tcBorders>
            <w:shd w:val="clear" w:color="auto" w:fill="FFFF00"/>
            <w:tcMar>
              <w:left w:w="101" w:type="dxa"/>
              <w:right w:w="101" w:type="dxa"/>
            </w:tcMar>
            <w:vAlign w:val="bottom"/>
          </w:tcPr>
          <w:p w14:paraId="43AE666A" w14:textId="77777777" w:rsidR="00724034" w:rsidRDefault="00724034">
            <w:pPr>
              <w:jc w:val="right"/>
              <w:rPr>
                <w:rFonts w:ascii="Arial" w:eastAsia="Arial" w:hAnsi="Arial" w:cs="Arial"/>
                <w:color w:val="000000"/>
                <w:sz w:val="16"/>
              </w:rPr>
            </w:pPr>
          </w:p>
        </w:tc>
        <w:tc>
          <w:tcPr>
            <w:tcW w:w="975"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149BD3A4" w14:textId="77777777" w:rsidR="00724034" w:rsidRDefault="00FB7D0B">
            <w:pPr>
              <w:jc w:val="right"/>
              <w:rPr>
                <w:rFonts w:ascii="Arial" w:eastAsia="Arial" w:hAnsi="Arial" w:cs="Arial"/>
                <w:color w:val="000000"/>
                <w:sz w:val="16"/>
              </w:rPr>
            </w:pPr>
            <w:r>
              <w:rPr>
                <w:rFonts w:ascii="Arial" w:eastAsia="Arial" w:hAnsi="Arial" w:cs="Arial"/>
                <w:color w:val="000000"/>
                <w:sz w:val="16"/>
              </w:rPr>
              <w:t>year 1</w:t>
            </w:r>
          </w:p>
        </w:tc>
        <w:tc>
          <w:tcPr>
            <w:tcW w:w="975"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3912F9F8" w14:textId="77777777" w:rsidR="00724034" w:rsidRDefault="00FB7D0B">
            <w:pPr>
              <w:jc w:val="right"/>
              <w:rPr>
                <w:rFonts w:ascii="Arial" w:eastAsia="Arial" w:hAnsi="Arial" w:cs="Arial"/>
                <w:color w:val="000000"/>
                <w:sz w:val="16"/>
              </w:rPr>
            </w:pPr>
            <w:r>
              <w:rPr>
                <w:rFonts w:ascii="Arial" w:eastAsia="Arial" w:hAnsi="Arial" w:cs="Arial"/>
                <w:color w:val="000000"/>
                <w:sz w:val="16"/>
              </w:rPr>
              <w:t>year 2</w:t>
            </w:r>
          </w:p>
        </w:tc>
        <w:tc>
          <w:tcPr>
            <w:tcW w:w="975" w:type="dxa"/>
            <w:tcBorders>
              <w:top w:val="nil"/>
              <w:left w:val="nil"/>
              <w:bottom w:val="single" w:sz="6" w:space="0" w:color="000000"/>
              <w:right w:val="single" w:sz="6" w:space="0" w:color="000000"/>
              <w:tl2br w:val="nil"/>
              <w:tr2bl w:val="nil"/>
            </w:tcBorders>
            <w:shd w:val="clear" w:color="auto" w:fill="FFFFFF"/>
            <w:tcMar>
              <w:left w:w="101" w:type="dxa"/>
              <w:right w:w="101" w:type="dxa"/>
            </w:tcMar>
            <w:vAlign w:val="bottom"/>
          </w:tcPr>
          <w:p w14:paraId="280C6C32" w14:textId="77777777" w:rsidR="00724034" w:rsidRDefault="00FB7D0B">
            <w:pPr>
              <w:jc w:val="right"/>
              <w:rPr>
                <w:rFonts w:ascii="Arial" w:eastAsia="Arial" w:hAnsi="Arial" w:cs="Arial"/>
                <w:color w:val="000000"/>
                <w:sz w:val="16"/>
              </w:rPr>
            </w:pPr>
            <w:r>
              <w:rPr>
                <w:rFonts w:ascii="Arial" w:eastAsia="Arial" w:hAnsi="Arial" w:cs="Arial"/>
                <w:color w:val="000000"/>
                <w:sz w:val="16"/>
              </w:rPr>
              <w:t>year 3</w:t>
            </w:r>
          </w:p>
        </w:tc>
      </w:tr>
      <w:tr w:rsidR="00FB7D0B" w14:paraId="28FF8DE7" w14:textId="77777777" w:rsidTr="00FB7D0B">
        <w:tblPrEx>
          <w:tblLook w:val="04A0" w:firstRow="1" w:lastRow="0" w:firstColumn="1" w:lastColumn="0" w:noHBand="0" w:noVBand="1"/>
        </w:tblPrEx>
        <w:trPr>
          <w:trHeight w:val="225"/>
        </w:trPr>
        <w:tc>
          <w:tcPr>
            <w:tcW w:w="3210" w:type="dxa"/>
            <w:gridSpan w:val="3"/>
            <w:tcBorders>
              <w:top w:val="single" w:sz="6" w:space="0" w:color="000000"/>
              <w:left w:val="single" w:sz="6" w:space="0" w:color="000000"/>
              <w:bottom w:val="nil"/>
              <w:right w:val="nil"/>
              <w:tl2br w:val="nil"/>
              <w:tr2bl w:val="nil"/>
            </w:tcBorders>
            <w:shd w:val="clear" w:color="auto" w:fill="FFFFFF"/>
            <w:tcMar>
              <w:left w:w="101" w:type="dxa"/>
              <w:right w:w="101" w:type="dxa"/>
            </w:tcMar>
            <w:vAlign w:val="bottom"/>
          </w:tcPr>
          <w:p w14:paraId="2776A21E" w14:textId="77777777" w:rsidR="00724034" w:rsidRDefault="00FB7D0B">
            <w:pPr>
              <w:rPr>
                <w:rFonts w:ascii="Arial" w:eastAsia="Arial" w:hAnsi="Arial" w:cs="Arial"/>
                <w:color w:val="000000"/>
                <w:sz w:val="16"/>
              </w:rPr>
            </w:pPr>
            <w:r>
              <w:rPr>
                <w:rFonts w:ascii="Arial" w:eastAsia="Arial" w:hAnsi="Arial" w:cs="Arial"/>
                <w:color w:val="000000"/>
                <w:sz w:val="16"/>
              </w:rPr>
              <w:t>Annual administered expenses:</w:t>
            </w:r>
          </w:p>
        </w:tc>
        <w:tc>
          <w:tcPr>
            <w:tcW w:w="97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0D360DE0" w14:textId="77777777" w:rsidR="00724034" w:rsidRDefault="00724034">
            <w:pPr>
              <w:jc w:val="right"/>
              <w:rPr>
                <w:rFonts w:ascii="Arial" w:eastAsia="Arial" w:hAnsi="Arial" w:cs="Arial"/>
                <w:color w:val="000000"/>
                <w:sz w:val="16"/>
                <w:vertAlign w:val="superscript"/>
              </w:rPr>
            </w:pPr>
          </w:p>
        </w:tc>
        <w:tc>
          <w:tcPr>
            <w:tcW w:w="975" w:type="dxa"/>
            <w:tcBorders>
              <w:top w:val="single" w:sz="6" w:space="0" w:color="000000"/>
              <w:left w:val="nil"/>
              <w:bottom w:val="nil"/>
              <w:right w:val="nil"/>
              <w:tl2br w:val="nil"/>
              <w:tr2bl w:val="nil"/>
            </w:tcBorders>
            <w:shd w:val="clear" w:color="auto" w:fill="FFFF00"/>
            <w:tcMar>
              <w:left w:w="101" w:type="dxa"/>
              <w:right w:w="101" w:type="dxa"/>
            </w:tcMar>
            <w:vAlign w:val="bottom"/>
          </w:tcPr>
          <w:p w14:paraId="6DBF0DF5" w14:textId="77777777" w:rsidR="00724034" w:rsidRDefault="00724034">
            <w:pPr>
              <w:rPr>
                <w:rFonts w:ascii="Arial" w:eastAsia="Arial" w:hAnsi="Arial" w:cs="Arial"/>
                <w:color w:val="000000"/>
                <w:sz w:val="16"/>
                <w:vertAlign w:val="superscript"/>
              </w:rPr>
            </w:pPr>
          </w:p>
        </w:tc>
        <w:tc>
          <w:tcPr>
            <w:tcW w:w="97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55876A10" w14:textId="77777777" w:rsidR="00724034" w:rsidRDefault="00724034">
            <w:pPr>
              <w:jc w:val="right"/>
              <w:rPr>
                <w:rFonts w:ascii="Arial" w:eastAsia="Arial" w:hAnsi="Arial" w:cs="Arial"/>
                <w:color w:val="000000"/>
                <w:sz w:val="16"/>
                <w:vertAlign w:val="superscript"/>
              </w:rPr>
            </w:pPr>
          </w:p>
        </w:tc>
        <w:tc>
          <w:tcPr>
            <w:tcW w:w="97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46FCBD9B" w14:textId="77777777" w:rsidR="00724034" w:rsidRDefault="00724034">
            <w:pPr>
              <w:jc w:val="right"/>
              <w:rPr>
                <w:rFonts w:ascii="Arial" w:eastAsia="Arial" w:hAnsi="Arial" w:cs="Arial"/>
                <w:color w:val="000000"/>
                <w:sz w:val="16"/>
                <w:vertAlign w:val="superscript"/>
              </w:rPr>
            </w:pPr>
          </w:p>
        </w:tc>
        <w:tc>
          <w:tcPr>
            <w:tcW w:w="975" w:type="dxa"/>
            <w:tcBorders>
              <w:top w:val="single" w:sz="6" w:space="0" w:color="000000"/>
              <w:left w:val="nil"/>
              <w:bottom w:val="nil"/>
              <w:right w:val="single" w:sz="6" w:space="0" w:color="000000"/>
              <w:tl2br w:val="nil"/>
              <w:tr2bl w:val="nil"/>
            </w:tcBorders>
            <w:shd w:val="clear" w:color="auto" w:fill="FFFFFF"/>
            <w:tcMar>
              <w:left w:w="101" w:type="dxa"/>
              <w:right w:w="101" w:type="dxa"/>
            </w:tcMar>
            <w:vAlign w:val="bottom"/>
          </w:tcPr>
          <w:p w14:paraId="6902BC52" w14:textId="77777777" w:rsidR="00724034" w:rsidRDefault="00724034">
            <w:pPr>
              <w:jc w:val="right"/>
              <w:rPr>
                <w:rFonts w:ascii="Arial" w:eastAsia="Arial" w:hAnsi="Arial" w:cs="Arial"/>
                <w:color w:val="000000"/>
                <w:sz w:val="16"/>
                <w:vertAlign w:val="superscript"/>
              </w:rPr>
            </w:pPr>
          </w:p>
        </w:tc>
      </w:tr>
      <w:tr w:rsidR="00FB7D0B" w14:paraId="45D9B9E8" w14:textId="77777777" w:rsidTr="00FB7D0B">
        <w:tblPrEx>
          <w:tblLook w:val="04A0" w:firstRow="1" w:lastRow="0" w:firstColumn="1" w:lastColumn="0" w:noHBand="0" w:noVBand="1"/>
        </w:tblPrEx>
        <w:trPr>
          <w:trHeight w:val="225"/>
        </w:trPr>
        <w:tc>
          <w:tcPr>
            <w:tcW w:w="180" w:type="dxa"/>
            <w:tcBorders>
              <w:top w:val="single" w:sz="6" w:space="0" w:color="FFFFFF"/>
              <w:left w:val="single" w:sz="6" w:space="0" w:color="000000"/>
              <w:bottom w:val="nil"/>
              <w:right w:val="nil"/>
              <w:tl2br w:val="nil"/>
              <w:tr2bl w:val="nil"/>
            </w:tcBorders>
            <w:shd w:val="clear" w:color="auto" w:fill="FFFFFF"/>
            <w:tcMar>
              <w:left w:w="101" w:type="dxa"/>
              <w:right w:w="101" w:type="dxa"/>
            </w:tcMar>
            <w:vAlign w:val="bottom"/>
          </w:tcPr>
          <w:p w14:paraId="6EF390E9" w14:textId="77777777" w:rsidR="00724034" w:rsidRDefault="00724034">
            <w:pPr>
              <w:rPr>
                <w:rFonts w:ascii="Arial" w:eastAsia="Arial" w:hAnsi="Arial" w:cs="Arial"/>
                <w:color w:val="000000"/>
                <w:sz w:val="16"/>
                <w:vertAlign w:val="superscript"/>
              </w:rPr>
            </w:pPr>
          </w:p>
        </w:tc>
        <w:tc>
          <w:tcPr>
            <w:tcW w:w="3030" w:type="dxa"/>
            <w:gridSpan w:val="2"/>
            <w:tcBorders>
              <w:top w:val="single" w:sz="6" w:space="0" w:color="FFFFFF"/>
              <w:left w:val="nil"/>
              <w:bottom w:val="nil"/>
              <w:right w:val="nil"/>
              <w:tl2br w:val="nil"/>
              <w:tr2bl w:val="nil"/>
            </w:tcBorders>
            <w:shd w:val="clear" w:color="auto" w:fill="FFFFFF"/>
            <w:tcMar>
              <w:left w:w="101" w:type="dxa"/>
              <w:right w:w="101" w:type="dxa"/>
            </w:tcMar>
            <w:vAlign w:val="bottom"/>
          </w:tcPr>
          <w:p w14:paraId="110B2B1D" w14:textId="77777777" w:rsidR="00724034" w:rsidRDefault="00FB7D0B">
            <w:pPr>
              <w:rPr>
                <w:rFonts w:ascii="Arial" w:eastAsia="Arial" w:hAnsi="Arial" w:cs="Arial"/>
                <w:color w:val="000000"/>
                <w:sz w:val="16"/>
                <w:vertAlign w:val="superscript"/>
              </w:rPr>
            </w:pPr>
            <w:r>
              <w:rPr>
                <w:rFonts w:ascii="Arial" w:eastAsia="Arial" w:hAnsi="Arial" w:cs="Arial"/>
                <w:color w:val="000000"/>
                <w:sz w:val="16"/>
              </w:rPr>
              <w:t>Appropriation Bill 1</w:t>
            </w:r>
          </w:p>
        </w:tc>
        <w:tc>
          <w:tcPr>
            <w:tcW w:w="975" w:type="dxa"/>
            <w:tcBorders>
              <w:top w:val="nil"/>
              <w:left w:val="nil"/>
              <w:bottom w:val="nil"/>
              <w:right w:val="nil"/>
              <w:tl2br w:val="nil"/>
              <w:tr2bl w:val="nil"/>
            </w:tcBorders>
            <w:shd w:val="clear" w:color="auto" w:fill="FFFFFF"/>
            <w:tcMar>
              <w:left w:w="101" w:type="dxa"/>
              <w:right w:w="101" w:type="dxa"/>
            </w:tcMar>
            <w:vAlign w:val="bottom"/>
          </w:tcPr>
          <w:p w14:paraId="7481C3BC" w14:textId="77777777" w:rsidR="00724034" w:rsidRDefault="00724034">
            <w:pPr>
              <w:jc w:val="right"/>
              <w:rPr>
                <w:rFonts w:ascii="Arial" w:eastAsia="Arial" w:hAnsi="Arial" w:cs="Arial"/>
                <w:color w:val="000000"/>
                <w:sz w:val="16"/>
                <w:vertAlign w:val="superscript"/>
              </w:rPr>
            </w:pPr>
          </w:p>
        </w:tc>
        <w:tc>
          <w:tcPr>
            <w:tcW w:w="975" w:type="dxa"/>
            <w:tcBorders>
              <w:top w:val="nil"/>
              <w:left w:val="nil"/>
              <w:bottom w:val="nil"/>
              <w:right w:val="nil"/>
              <w:tl2br w:val="nil"/>
              <w:tr2bl w:val="nil"/>
            </w:tcBorders>
            <w:shd w:val="clear" w:color="auto" w:fill="FFFF00"/>
            <w:tcMar>
              <w:left w:w="101" w:type="dxa"/>
              <w:right w:w="101" w:type="dxa"/>
            </w:tcMar>
            <w:vAlign w:val="bottom"/>
          </w:tcPr>
          <w:p w14:paraId="313EF916" w14:textId="77777777" w:rsidR="00724034" w:rsidRDefault="00724034">
            <w:pPr>
              <w:rPr>
                <w:rFonts w:ascii="Arial" w:eastAsia="Arial" w:hAnsi="Arial" w:cs="Arial"/>
                <w:color w:val="000000"/>
                <w:sz w:val="16"/>
                <w:vertAlign w:val="superscript"/>
              </w:rPr>
            </w:pPr>
          </w:p>
        </w:tc>
        <w:tc>
          <w:tcPr>
            <w:tcW w:w="975" w:type="dxa"/>
            <w:tcBorders>
              <w:top w:val="nil"/>
              <w:left w:val="nil"/>
              <w:bottom w:val="nil"/>
              <w:right w:val="nil"/>
              <w:tl2br w:val="nil"/>
              <w:tr2bl w:val="nil"/>
            </w:tcBorders>
            <w:shd w:val="clear" w:color="auto" w:fill="FFFFFF"/>
            <w:tcMar>
              <w:left w:w="101" w:type="dxa"/>
              <w:right w:w="101" w:type="dxa"/>
            </w:tcMar>
            <w:vAlign w:val="bottom"/>
          </w:tcPr>
          <w:p w14:paraId="57E68926" w14:textId="77777777" w:rsidR="00724034" w:rsidRDefault="00724034">
            <w:pPr>
              <w:jc w:val="right"/>
              <w:rPr>
                <w:rFonts w:ascii="Arial" w:eastAsia="Arial" w:hAnsi="Arial" w:cs="Arial"/>
                <w:color w:val="000000"/>
                <w:sz w:val="16"/>
                <w:vertAlign w:val="superscript"/>
              </w:rPr>
            </w:pPr>
          </w:p>
        </w:tc>
        <w:tc>
          <w:tcPr>
            <w:tcW w:w="975" w:type="dxa"/>
            <w:tcBorders>
              <w:top w:val="nil"/>
              <w:left w:val="nil"/>
              <w:bottom w:val="nil"/>
              <w:right w:val="nil"/>
              <w:tl2br w:val="nil"/>
              <w:tr2bl w:val="nil"/>
            </w:tcBorders>
            <w:shd w:val="clear" w:color="auto" w:fill="FFFFFF"/>
            <w:tcMar>
              <w:left w:w="101" w:type="dxa"/>
              <w:right w:w="101" w:type="dxa"/>
            </w:tcMar>
            <w:vAlign w:val="bottom"/>
          </w:tcPr>
          <w:p w14:paraId="42284D92" w14:textId="77777777" w:rsidR="00724034" w:rsidRDefault="00724034">
            <w:pPr>
              <w:jc w:val="right"/>
              <w:rPr>
                <w:rFonts w:ascii="Arial" w:eastAsia="Arial" w:hAnsi="Arial" w:cs="Arial"/>
                <w:color w:val="000000"/>
                <w:sz w:val="16"/>
                <w:vertAlign w:val="superscript"/>
              </w:rPr>
            </w:pPr>
          </w:p>
        </w:tc>
        <w:tc>
          <w:tcPr>
            <w:tcW w:w="975" w:type="dxa"/>
            <w:tcBorders>
              <w:top w:val="nil"/>
              <w:left w:val="nil"/>
              <w:bottom w:val="nil"/>
              <w:right w:val="single" w:sz="6" w:space="0" w:color="000000"/>
              <w:tl2br w:val="nil"/>
              <w:tr2bl w:val="nil"/>
            </w:tcBorders>
            <w:shd w:val="clear" w:color="auto" w:fill="FFFFFF"/>
            <w:tcMar>
              <w:left w:w="101" w:type="dxa"/>
              <w:right w:w="101" w:type="dxa"/>
            </w:tcMar>
            <w:vAlign w:val="bottom"/>
          </w:tcPr>
          <w:p w14:paraId="1F34C0EB" w14:textId="77777777" w:rsidR="00724034" w:rsidRDefault="00724034">
            <w:pPr>
              <w:jc w:val="right"/>
              <w:rPr>
                <w:rFonts w:ascii="Arial" w:eastAsia="Arial" w:hAnsi="Arial" w:cs="Arial"/>
                <w:color w:val="000000"/>
                <w:sz w:val="16"/>
                <w:vertAlign w:val="superscript"/>
              </w:rPr>
            </w:pPr>
          </w:p>
        </w:tc>
      </w:tr>
      <w:tr w:rsidR="00724034" w14:paraId="560AF7F8" w14:textId="77777777">
        <w:tblPrEx>
          <w:tblLook w:val="04A0" w:firstRow="1" w:lastRow="0" w:firstColumn="1" w:lastColumn="0" w:noHBand="0" w:noVBand="1"/>
        </w:tblPrEx>
        <w:trPr>
          <w:trHeight w:val="225"/>
        </w:trPr>
        <w:tc>
          <w:tcPr>
            <w:tcW w:w="180" w:type="dxa"/>
            <w:tcBorders>
              <w:top w:val="nil"/>
              <w:left w:val="single" w:sz="6" w:space="0" w:color="000000"/>
              <w:bottom w:val="nil"/>
              <w:right w:val="nil"/>
              <w:tl2br w:val="nil"/>
              <w:tr2bl w:val="nil"/>
            </w:tcBorders>
            <w:shd w:val="clear" w:color="auto" w:fill="FFFFFF"/>
            <w:tcMar>
              <w:left w:w="101" w:type="dxa"/>
              <w:right w:w="101" w:type="dxa"/>
            </w:tcMar>
            <w:vAlign w:val="bottom"/>
          </w:tcPr>
          <w:p w14:paraId="4CBDDE82" w14:textId="77777777" w:rsidR="00724034" w:rsidRDefault="00724034">
            <w:pPr>
              <w:rPr>
                <w:rFonts w:ascii="Arial" w:eastAsia="Arial" w:hAnsi="Arial" w:cs="Arial"/>
                <w:color w:val="000000"/>
                <w:sz w:val="16"/>
                <w:vertAlign w:val="superscript"/>
              </w:rPr>
            </w:pPr>
          </w:p>
        </w:tc>
        <w:tc>
          <w:tcPr>
            <w:tcW w:w="195" w:type="dxa"/>
            <w:tcBorders>
              <w:top w:val="nil"/>
              <w:left w:val="nil"/>
              <w:bottom w:val="nil"/>
              <w:right w:val="nil"/>
              <w:tl2br w:val="nil"/>
              <w:tr2bl w:val="nil"/>
            </w:tcBorders>
            <w:shd w:val="clear" w:color="auto" w:fill="FFFFFF"/>
            <w:tcMar>
              <w:left w:w="101" w:type="dxa"/>
              <w:right w:w="101" w:type="dxa"/>
            </w:tcMar>
            <w:vAlign w:val="bottom"/>
          </w:tcPr>
          <w:p w14:paraId="2B0E0A47" w14:textId="77777777" w:rsidR="00724034" w:rsidRDefault="00724034">
            <w:pPr>
              <w:rPr>
                <w:rFonts w:ascii="Arial" w:eastAsia="Arial" w:hAnsi="Arial" w:cs="Arial"/>
                <w:color w:val="000000"/>
                <w:sz w:val="16"/>
                <w:vertAlign w:val="superscript"/>
              </w:rPr>
            </w:pPr>
          </w:p>
        </w:tc>
        <w:tc>
          <w:tcPr>
            <w:tcW w:w="2835" w:type="dxa"/>
            <w:tcBorders>
              <w:top w:val="nil"/>
              <w:left w:val="nil"/>
              <w:bottom w:val="nil"/>
              <w:right w:val="nil"/>
              <w:tl2br w:val="nil"/>
              <w:tr2bl w:val="nil"/>
            </w:tcBorders>
            <w:shd w:val="clear" w:color="auto" w:fill="FFFFFF"/>
            <w:tcMar>
              <w:left w:w="101" w:type="dxa"/>
              <w:right w:w="101" w:type="dxa"/>
            </w:tcMar>
            <w:vAlign w:val="bottom"/>
          </w:tcPr>
          <w:p w14:paraId="54AD1298" w14:textId="77777777" w:rsidR="00724034" w:rsidRDefault="00FB7D0B">
            <w:pPr>
              <w:rPr>
                <w:rFonts w:ascii="Arial" w:eastAsia="Arial" w:hAnsi="Arial" w:cs="Arial"/>
                <w:color w:val="000000"/>
                <w:sz w:val="16"/>
                <w:vertAlign w:val="superscript"/>
              </w:rPr>
            </w:pPr>
            <w:r>
              <w:rPr>
                <w:rFonts w:ascii="Arial" w:eastAsia="Arial" w:hAnsi="Arial" w:cs="Arial"/>
                <w:color w:val="000000"/>
                <w:sz w:val="16"/>
              </w:rPr>
              <w:t>Gallipoli-related activities</w:t>
            </w:r>
            <w:r>
              <w:rPr>
                <w:rFonts w:ascii="Arial" w:eastAsia="Arial" w:hAnsi="Arial" w:cs="Arial"/>
                <w:color w:val="000000"/>
                <w:sz w:val="16"/>
                <w:vertAlign w:val="superscript"/>
              </w:rPr>
              <w:t>1 </w:t>
            </w:r>
          </w:p>
        </w:tc>
        <w:tc>
          <w:tcPr>
            <w:tcW w:w="975" w:type="dxa"/>
            <w:tcBorders>
              <w:top w:val="nil"/>
              <w:left w:val="nil"/>
              <w:bottom w:val="nil"/>
              <w:right w:val="nil"/>
              <w:tl2br w:val="nil"/>
              <w:tr2bl w:val="nil"/>
            </w:tcBorders>
            <w:shd w:val="clear" w:color="auto" w:fill="FFFFFF"/>
            <w:tcMar>
              <w:left w:w="101" w:type="dxa"/>
              <w:right w:w="101" w:type="dxa"/>
            </w:tcMar>
            <w:vAlign w:val="bottom"/>
          </w:tcPr>
          <w:p w14:paraId="0EAF3208" w14:textId="77777777" w:rsidR="00724034" w:rsidRDefault="00FB7D0B">
            <w:pPr>
              <w:jc w:val="right"/>
              <w:rPr>
                <w:rFonts w:ascii="Arial" w:eastAsia="Arial" w:hAnsi="Arial" w:cs="Arial"/>
                <w:color w:val="000000"/>
                <w:sz w:val="16"/>
                <w:vertAlign w:val="superscript"/>
              </w:rPr>
            </w:pPr>
            <w:r>
              <w:rPr>
                <w:rFonts w:ascii="Arial" w:eastAsia="Arial" w:hAnsi="Arial" w:cs="Arial"/>
                <w:color w:val="000000"/>
                <w:sz w:val="16"/>
              </w:rPr>
              <w:t>3,381 </w:t>
            </w:r>
          </w:p>
        </w:tc>
        <w:tc>
          <w:tcPr>
            <w:tcW w:w="975" w:type="dxa"/>
            <w:tcBorders>
              <w:top w:val="nil"/>
              <w:left w:val="nil"/>
              <w:bottom w:val="nil"/>
              <w:right w:val="nil"/>
              <w:tl2br w:val="nil"/>
              <w:tr2bl w:val="nil"/>
            </w:tcBorders>
            <w:shd w:val="clear" w:color="auto" w:fill="FFFF00"/>
            <w:tcMar>
              <w:left w:w="101" w:type="dxa"/>
              <w:right w:w="101" w:type="dxa"/>
            </w:tcMar>
            <w:vAlign w:val="bottom"/>
          </w:tcPr>
          <w:p w14:paraId="721F0417" w14:textId="77777777" w:rsidR="00724034" w:rsidRDefault="00FB7D0B">
            <w:pPr>
              <w:jc w:val="right"/>
              <w:rPr>
                <w:rFonts w:ascii="Arial" w:eastAsia="Arial" w:hAnsi="Arial" w:cs="Arial"/>
                <w:color w:val="000000"/>
                <w:sz w:val="16"/>
              </w:rPr>
            </w:pPr>
            <w:r>
              <w:rPr>
                <w:rFonts w:ascii="Arial" w:eastAsia="Arial" w:hAnsi="Arial" w:cs="Arial"/>
                <w:color w:val="000000"/>
                <w:sz w:val="16"/>
              </w:rPr>
              <w:t>6,616 </w:t>
            </w:r>
          </w:p>
        </w:tc>
        <w:tc>
          <w:tcPr>
            <w:tcW w:w="975" w:type="dxa"/>
            <w:tcBorders>
              <w:top w:val="nil"/>
              <w:left w:val="nil"/>
              <w:bottom w:val="nil"/>
              <w:right w:val="nil"/>
              <w:tl2br w:val="nil"/>
              <w:tr2bl w:val="nil"/>
            </w:tcBorders>
            <w:shd w:val="clear" w:color="auto" w:fill="FFFFFF"/>
            <w:tcMar>
              <w:left w:w="101" w:type="dxa"/>
              <w:right w:w="101" w:type="dxa"/>
            </w:tcMar>
            <w:vAlign w:val="bottom"/>
          </w:tcPr>
          <w:p w14:paraId="2AECE67C" w14:textId="77777777" w:rsidR="00724034" w:rsidRDefault="00FB7D0B">
            <w:pPr>
              <w:jc w:val="right"/>
              <w:rPr>
                <w:rFonts w:ascii="Arial" w:eastAsia="Arial" w:hAnsi="Arial" w:cs="Arial"/>
                <w:color w:val="000000"/>
                <w:sz w:val="16"/>
              </w:rPr>
            </w:pPr>
            <w:r>
              <w:rPr>
                <w:rFonts w:ascii="Arial" w:eastAsia="Arial" w:hAnsi="Arial" w:cs="Arial"/>
                <w:color w:val="000000"/>
                <w:sz w:val="16"/>
              </w:rPr>
              <w:t>3,083 </w:t>
            </w:r>
          </w:p>
        </w:tc>
        <w:tc>
          <w:tcPr>
            <w:tcW w:w="975" w:type="dxa"/>
            <w:tcBorders>
              <w:top w:val="nil"/>
              <w:left w:val="nil"/>
              <w:bottom w:val="nil"/>
              <w:right w:val="nil"/>
              <w:tl2br w:val="nil"/>
              <w:tr2bl w:val="nil"/>
            </w:tcBorders>
            <w:shd w:val="clear" w:color="auto" w:fill="FFFFFF"/>
            <w:tcMar>
              <w:left w:w="101" w:type="dxa"/>
              <w:right w:w="101" w:type="dxa"/>
            </w:tcMar>
            <w:vAlign w:val="bottom"/>
          </w:tcPr>
          <w:p w14:paraId="5D52EDE6" w14:textId="77777777" w:rsidR="00724034" w:rsidRDefault="00FB7D0B">
            <w:pPr>
              <w:jc w:val="right"/>
              <w:rPr>
                <w:rFonts w:ascii="Arial" w:eastAsia="Arial" w:hAnsi="Arial" w:cs="Arial"/>
                <w:color w:val="000000"/>
                <w:sz w:val="16"/>
              </w:rPr>
            </w:pPr>
            <w:r>
              <w:rPr>
                <w:rFonts w:ascii="Arial" w:eastAsia="Arial" w:hAnsi="Arial" w:cs="Arial"/>
                <w:color w:val="000000"/>
                <w:sz w:val="16"/>
              </w:rPr>
              <w:t>3,160 </w:t>
            </w:r>
          </w:p>
        </w:tc>
        <w:tc>
          <w:tcPr>
            <w:tcW w:w="975" w:type="dxa"/>
            <w:tcBorders>
              <w:top w:val="nil"/>
              <w:left w:val="nil"/>
              <w:bottom w:val="nil"/>
              <w:right w:val="single" w:sz="6" w:space="0" w:color="000000"/>
              <w:tl2br w:val="nil"/>
              <w:tr2bl w:val="nil"/>
            </w:tcBorders>
            <w:shd w:val="clear" w:color="auto" w:fill="FFFFFF"/>
            <w:tcMar>
              <w:left w:w="101" w:type="dxa"/>
              <w:right w:w="101" w:type="dxa"/>
            </w:tcMar>
            <w:vAlign w:val="bottom"/>
          </w:tcPr>
          <w:p w14:paraId="517D7C00" w14:textId="77777777" w:rsidR="00724034" w:rsidRDefault="00FB7D0B">
            <w:pPr>
              <w:jc w:val="right"/>
              <w:rPr>
                <w:rFonts w:ascii="Arial" w:eastAsia="Arial" w:hAnsi="Arial" w:cs="Arial"/>
                <w:color w:val="000000"/>
                <w:sz w:val="16"/>
              </w:rPr>
            </w:pPr>
            <w:r>
              <w:rPr>
                <w:rFonts w:ascii="Arial" w:eastAsia="Arial" w:hAnsi="Arial" w:cs="Arial"/>
                <w:color w:val="000000"/>
                <w:sz w:val="16"/>
              </w:rPr>
              <w:t>3,239 </w:t>
            </w:r>
          </w:p>
        </w:tc>
      </w:tr>
      <w:tr w:rsidR="00FB7D0B" w14:paraId="1BB4AFCE" w14:textId="77777777" w:rsidTr="00FB7D0B">
        <w:tblPrEx>
          <w:tblLook w:val="04A0" w:firstRow="1" w:lastRow="0" w:firstColumn="1" w:lastColumn="0" w:noHBand="0" w:noVBand="1"/>
        </w:tblPrEx>
        <w:trPr>
          <w:trHeight w:val="225"/>
        </w:trPr>
        <w:tc>
          <w:tcPr>
            <w:tcW w:w="3210" w:type="dxa"/>
            <w:gridSpan w:val="3"/>
            <w:tcBorders>
              <w:top w:val="nil"/>
              <w:left w:val="single" w:sz="6" w:space="0" w:color="000000"/>
              <w:bottom w:val="nil"/>
              <w:right w:val="nil"/>
              <w:tl2br w:val="nil"/>
              <w:tr2bl w:val="nil"/>
            </w:tcBorders>
            <w:shd w:val="clear" w:color="auto" w:fill="FFFFFF"/>
            <w:tcMar>
              <w:left w:w="101" w:type="dxa"/>
              <w:right w:w="101" w:type="dxa"/>
            </w:tcMar>
            <w:vAlign w:val="bottom"/>
          </w:tcPr>
          <w:p w14:paraId="7DD7DB7A" w14:textId="77777777" w:rsidR="00724034" w:rsidRDefault="00FB7D0B">
            <w:pPr>
              <w:rPr>
                <w:rFonts w:ascii="Arial" w:eastAsia="Arial" w:hAnsi="Arial" w:cs="Arial"/>
                <w:color w:val="000000"/>
                <w:sz w:val="16"/>
              </w:rPr>
            </w:pPr>
            <w:r>
              <w:rPr>
                <w:rFonts w:ascii="Arial" w:eastAsia="Arial" w:hAnsi="Arial" w:cs="Arial"/>
                <w:color w:val="000000"/>
                <w:sz w:val="16"/>
              </w:rPr>
              <w:t>Programme support</w:t>
            </w:r>
          </w:p>
        </w:tc>
        <w:tc>
          <w:tcPr>
            <w:tcW w:w="975" w:type="dxa"/>
            <w:tcBorders>
              <w:top w:val="nil"/>
              <w:left w:val="nil"/>
              <w:bottom w:val="nil"/>
              <w:right w:val="nil"/>
              <w:tl2br w:val="nil"/>
              <w:tr2bl w:val="nil"/>
            </w:tcBorders>
            <w:shd w:val="clear" w:color="auto" w:fill="FFFFFF"/>
            <w:tcMar>
              <w:left w:w="101" w:type="dxa"/>
              <w:right w:w="101" w:type="dxa"/>
            </w:tcMar>
            <w:vAlign w:val="bottom"/>
          </w:tcPr>
          <w:p w14:paraId="5D0BD739" w14:textId="77777777" w:rsidR="00724034" w:rsidRDefault="00FB7D0B">
            <w:pPr>
              <w:jc w:val="right"/>
              <w:rPr>
                <w:rFonts w:ascii="Arial" w:eastAsia="Arial" w:hAnsi="Arial" w:cs="Arial"/>
                <w:color w:val="000000"/>
                <w:sz w:val="16"/>
                <w:vertAlign w:val="superscript"/>
              </w:rPr>
            </w:pPr>
            <w:r>
              <w:rPr>
                <w:rFonts w:ascii="Arial" w:eastAsia="Arial" w:hAnsi="Arial" w:cs="Arial"/>
                <w:color w:val="000000"/>
                <w:sz w:val="16"/>
              </w:rPr>
              <w:t>1,284 </w:t>
            </w:r>
          </w:p>
        </w:tc>
        <w:tc>
          <w:tcPr>
            <w:tcW w:w="975" w:type="dxa"/>
            <w:tcBorders>
              <w:top w:val="nil"/>
              <w:left w:val="nil"/>
              <w:bottom w:val="nil"/>
              <w:right w:val="nil"/>
              <w:tl2br w:val="nil"/>
              <w:tr2bl w:val="nil"/>
            </w:tcBorders>
            <w:shd w:val="clear" w:color="auto" w:fill="FFFF00"/>
            <w:tcMar>
              <w:left w:w="101" w:type="dxa"/>
              <w:right w:w="101" w:type="dxa"/>
            </w:tcMar>
            <w:vAlign w:val="bottom"/>
          </w:tcPr>
          <w:p w14:paraId="2A4C81F2" w14:textId="77777777" w:rsidR="00724034" w:rsidRDefault="00FB7D0B">
            <w:pPr>
              <w:jc w:val="right"/>
              <w:rPr>
                <w:rFonts w:ascii="Arial" w:eastAsia="Arial" w:hAnsi="Arial" w:cs="Arial"/>
                <w:color w:val="000000"/>
                <w:sz w:val="16"/>
              </w:rPr>
            </w:pPr>
            <w:r>
              <w:rPr>
                <w:rFonts w:ascii="Arial" w:eastAsia="Arial" w:hAnsi="Arial" w:cs="Arial"/>
                <w:color w:val="000000"/>
                <w:sz w:val="16"/>
              </w:rPr>
              <w:t>1,274 </w:t>
            </w:r>
          </w:p>
        </w:tc>
        <w:tc>
          <w:tcPr>
            <w:tcW w:w="975" w:type="dxa"/>
            <w:tcBorders>
              <w:top w:val="nil"/>
              <w:left w:val="nil"/>
              <w:bottom w:val="nil"/>
              <w:right w:val="nil"/>
              <w:tl2br w:val="nil"/>
              <w:tr2bl w:val="nil"/>
            </w:tcBorders>
            <w:shd w:val="clear" w:color="auto" w:fill="FFFFFF"/>
            <w:tcMar>
              <w:left w:w="101" w:type="dxa"/>
              <w:right w:w="101" w:type="dxa"/>
            </w:tcMar>
            <w:vAlign w:val="bottom"/>
          </w:tcPr>
          <w:p w14:paraId="5421EB64" w14:textId="77777777" w:rsidR="00724034" w:rsidRDefault="00FB7D0B">
            <w:pPr>
              <w:jc w:val="right"/>
              <w:rPr>
                <w:rFonts w:ascii="Arial" w:eastAsia="Arial" w:hAnsi="Arial" w:cs="Arial"/>
                <w:color w:val="000000"/>
                <w:sz w:val="16"/>
              </w:rPr>
            </w:pPr>
            <w:r>
              <w:rPr>
                <w:rFonts w:ascii="Arial" w:eastAsia="Arial" w:hAnsi="Arial" w:cs="Arial"/>
                <w:color w:val="000000"/>
                <w:sz w:val="16"/>
              </w:rPr>
              <w:t>1,158 </w:t>
            </w:r>
          </w:p>
        </w:tc>
        <w:tc>
          <w:tcPr>
            <w:tcW w:w="975" w:type="dxa"/>
            <w:tcBorders>
              <w:top w:val="nil"/>
              <w:left w:val="nil"/>
              <w:bottom w:val="nil"/>
              <w:right w:val="nil"/>
              <w:tl2br w:val="nil"/>
              <w:tr2bl w:val="nil"/>
            </w:tcBorders>
            <w:shd w:val="clear" w:color="auto" w:fill="FFFFFF"/>
            <w:tcMar>
              <w:left w:w="101" w:type="dxa"/>
              <w:right w:w="101" w:type="dxa"/>
            </w:tcMar>
            <w:vAlign w:val="bottom"/>
          </w:tcPr>
          <w:p w14:paraId="34504A4C" w14:textId="77777777" w:rsidR="00724034" w:rsidRDefault="00FB7D0B">
            <w:pPr>
              <w:jc w:val="right"/>
              <w:rPr>
                <w:rFonts w:ascii="Arial" w:eastAsia="Arial" w:hAnsi="Arial" w:cs="Arial"/>
                <w:color w:val="000000"/>
                <w:sz w:val="16"/>
              </w:rPr>
            </w:pPr>
            <w:r>
              <w:rPr>
                <w:rFonts w:ascii="Arial" w:eastAsia="Arial" w:hAnsi="Arial" w:cs="Arial"/>
                <w:color w:val="000000"/>
                <w:sz w:val="16"/>
              </w:rPr>
              <w:t>1,094 </w:t>
            </w:r>
          </w:p>
        </w:tc>
        <w:tc>
          <w:tcPr>
            <w:tcW w:w="975" w:type="dxa"/>
            <w:tcBorders>
              <w:top w:val="nil"/>
              <w:left w:val="nil"/>
              <w:bottom w:val="nil"/>
              <w:right w:val="single" w:sz="6" w:space="0" w:color="000000"/>
              <w:tl2br w:val="nil"/>
              <w:tr2bl w:val="nil"/>
            </w:tcBorders>
            <w:shd w:val="clear" w:color="auto" w:fill="FFFFFF"/>
            <w:tcMar>
              <w:left w:w="101" w:type="dxa"/>
              <w:right w:w="101" w:type="dxa"/>
            </w:tcMar>
            <w:vAlign w:val="bottom"/>
          </w:tcPr>
          <w:p w14:paraId="073F1FD4" w14:textId="77777777" w:rsidR="00724034" w:rsidRDefault="00FB7D0B">
            <w:pPr>
              <w:jc w:val="right"/>
              <w:rPr>
                <w:rFonts w:ascii="Arial" w:eastAsia="Arial" w:hAnsi="Arial" w:cs="Arial"/>
                <w:color w:val="000000"/>
                <w:sz w:val="16"/>
              </w:rPr>
            </w:pPr>
            <w:r>
              <w:rPr>
                <w:rFonts w:ascii="Arial" w:eastAsia="Arial" w:hAnsi="Arial" w:cs="Arial"/>
                <w:color w:val="000000"/>
                <w:sz w:val="16"/>
              </w:rPr>
              <w:t>1,109 </w:t>
            </w:r>
          </w:p>
        </w:tc>
      </w:tr>
      <w:tr w:rsidR="00FB7D0B" w14:paraId="1D707423" w14:textId="77777777" w:rsidTr="00FB7D0B">
        <w:tblPrEx>
          <w:tblLook w:val="04A0" w:firstRow="1" w:lastRow="0" w:firstColumn="1" w:lastColumn="0" w:noHBand="0" w:noVBand="1"/>
        </w:tblPrEx>
        <w:trPr>
          <w:trHeight w:val="450"/>
        </w:trPr>
        <w:tc>
          <w:tcPr>
            <w:tcW w:w="3210" w:type="dxa"/>
            <w:gridSpan w:val="3"/>
            <w:tcBorders>
              <w:top w:val="single" w:sz="6" w:space="0" w:color="FFFFFF"/>
              <w:left w:val="single" w:sz="6" w:space="0" w:color="000000"/>
              <w:bottom w:val="nil"/>
              <w:right w:val="nil"/>
              <w:tl2br w:val="nil"/>
              <w:tr2bl w:val="nil"/>
            </w:tcBorders>
            <w:shd w:val="clear" w:color="auto" w:fill="FFFFFF"/>
            <w:tcMar>
              <w:left w:w="101" w:type="dxa"/>
              <w:right w:w="101" w:type="dxa"/>
            </w:tcMar>
            <w:vAlign w:val="bottom"/>
          </w:tcPr>
          <w:p w14:paraId="7DC9369E" w14:textId="77777777" w:rsidR="00724034" w:rsidRDefault="00FB7D0B">
            <w:pPr>
              <w:rPr>
                <w:rFonts w:ascii="Arial" w:eastAsia="Arial" w:hAnsi="Arial" w:cs="Arial"/>
                <w:color w:val="000000"/>
                <w:sz w:val="16"/>
              </w:rPr>
            </w:pPr>
            <w:r>
              <w:rPr>
                <w:rFonts w:ascii="Arial" w:eastAsia="Arial" w:hAnsi="Arial" w:cs="Arial"/>
                <w:color w:val="000000"/>
                <w:sz w:val="16"/>
              </w:rPr>
              <w:t>Expenses not requiring appropriation in the Budget year</w:t>
            </w:r>
            <w:r>
              <w:rPr>
                <w:rFonts w:ascii="Arial" w:eastAsia="Arial" w:hAnsi="Arial" w:cs="Arial"/>
                <w:color w:val="000000"/>
                <w:sz w:val="16"/>
                <w:vertAlign w:val="superscript"/>
              </w:rPr>
              <w:t>2 </w:t>
            </w:r>
          </w:p>
        </w:tc>
        <w:tc>
          <w:tcPr>
            <w:tcW w:w="975" w:type="dxa"/>
            <w:tcBorders>
              <w:top w:val="nil"/>
              <w:left w:val="nil"/>
              <w:bottom w:val="nil"/>
              <w:right w:val="nil"/>
              <w:tl2br w:val="nil"/>
              <w:tr2bl w:val="nil"/>
            </w:tcBorders>
            <w:shd w:val="clear" w:color="auto" w:fill="FFFFFF"/>
            <w:tcMar>
              <w:left w:w="101" w:type="dxa"/>
              <w:right w:w="101" w:type="dxa"/>
            </w:tcMar>
            <w:vAlign w:val="bottom"/>
          </w:tcPr>
          <w:p w14:paraId="2B4141DD" w14:textId="77777777" w:rsidR="00724034" w:rsidRDefault="00FB7D0B">
            <w:pPr>
              <w:jc w:val="right"/>
              <w:rPr>
                <w:rFonts w:ascii="Arial" w:eastAsia="Arial" w:hAnsi="Arial" w:cs="Arial"/>
                <w:color w:val="000000"/>
                <w:sz w:val="16"/>
                <w:vertAlign w:val="superscript"/>
              </w:rPr>
            </w:pPr>
            <w:r>
              <w:rPr>
                <w:rFonts w:ascii="Arial" w:eastAsia="Arial" w:hAnsi="Arial" w:cs="Arial"/>
                <w:color w:val="000000"/>
                <w:sz w:val="16"/>
              </w:rPr>
              <w:t>171 </w:t>
            </w:r>
          </w:p>
        </w:tc>
        <w:tc>
          <w:tcPr>
            <w:tcW w:w="975" w:type="dxa"/>
            <w:tcBorders>
              <w:top w:val="nil"/>
              <w:left w:val="nil"/>
              <w:bottom w:val="nil"/>
              <w:right w:val="nil"/>
              <w:tl2br w:val="nil"/>
              <w:tr2bl w:val="nil"/>
            </w:tcBorders>
            <w:shd w:val="clear" w:color="auto" w:fill="FFFF00"/>
            <w:tcMar>
              <w:left w:w="101" w:type="dxa"/>
              <w:right w:w="101" w:type="dxa"/>
            </w:tcMar>
            <w:vAlign w:val="bottom"/>
          </w:tcPr>
          <w:p w14:paraId="01887582" w14:textId="77777777" w:rsidR="00724034" w:rsidRDefault="00FB7D0B">
            <w:pPr>
              <w:jc w:val="right"/>
              <w:rPr>
                <w:rFonts w:ascii="Arial" w:eastAsia="Arial" w:hAnsi="Arial" w:cs="Arial"/>
                <w:color w:val="000000"/>
                <w:sz w:val="16"/>
              </w:rPr>
            </w:pPr>
            <w:r>
              <w:rPr>
                <w:rFonts w:ascii="Arial" w:eastAsia="Arial" w:hAnsi="Arial" w:cs="Arial"/>
                <w:color w:val="000000"/>
                <w:sz w:val="16"/>
              </w:rPr>
              <w:t>191 </w:t>
            </w:r>
          </w:p>
        </w:tc>
        <w:tc>
          <w:tcPr>
            <w:tcW w:w="975" w:type="dxa"/>
            <w:tcBorders>
              <w:top w:val="nil"/>
              <w:left w:val="nil"/>
              <w:bottom w:val="nil"/>
              <w:right w:val="nil"/>
              <w:tl2br w:val="nil"/>
              <w:tr2bl w:val="nil"/>
            </w:tcBorders>
            <w:shd w:val="clear" w:color="auto" w:fill="FFFFFF"/>
            <w:tcMar>
              <w:left w:w="101" w:type="dxa"/>
              <w:right w:w="101" w:type="dxa"/>
            </w:tcMar>
            <w:vAlign w:val="bottom"/>
          </w:tcPr>
          <w:p w14:paraId="6B10B4DF" w14:textId="77777777" w:rsidR="00724034" w:rsidRDefault="00FB7D0B">
            <w:pPr>
              <w:jc w:val="right"/>
              <w:rPr>
                <w:rFonts w:ascii="Arial" w:eastAsia="Arial" w:hAnsi="Arial" w:cs="Arial"/>
                <w:color w:val="000000"/>
                <w:sz w:val="16"/>
              </w:rPr>
            </w:pPr>
            <w:r>
              <w:rPr>
                <w:rFonts w:ascii="Arial" w:eastAsia="Arial" w:hAnsi="Arial" w:cs="Arial"/>
                <w:color w:val="000000"/>
                <w:sz w:val="16"/>
              </w:rPr>
              <w:t>156 </w:t>
            </w:r>
          </w:p>
        </w:tc>
        <w:tc>
          <w:tcPr>
            <w:tcW w:w="975" w:type="dxa"/>
            <w:tcBorders>
              <w:top w:val="nil"/>
              <w:left w:val="nil"/>
              <w:bottom w:val="nil"/>
              <w:right w:val="nil"/>
              <w:tl2br w:val="nil"/>
              <w:tr2bl w:val="nil"/>
            </w:tcBorders>
            <w:shd w:val="clear" w:color="auto" w:fill="FFFFFF"/>
            <w:tcMar>
              <w:left w:w="101" w:type="dxa"/>
              <w:right w:w="101" w:type="dxa"/>
            </w:tcMar>
            <w:vAlign w:val="bottom"/>
          </w:tcPr>
          <w:p w14:paraId="7AF7B523" w14:textId="77777777" w:rsidR="00724034" w:rsidRDefault="00FB7D0B">
            <w:pPr>
              <w:jc w:val="right"/>
              <w:rPr>
                <w:rFonts w:ascii="Arial" w:eastAsia="Arial" w:hAnsi="Arial" w:cs="Arial"/>
                <w:color w:val="000000"/>
                <w:sz w:val="16"/>
              </w:rPr>
            </w:pPr>
            <w:r>
              <w:rPr>
                <w:rFonts w:ascii="Arial" w:eastAsia="Arial" w:hAnsi="Arial" w:cs="Arial"/>
                <w:color w:val="000000"/>
                <w:sz w:val="16"/>
              </w:rPr>
              <w:t>143 </w:t>
            </w:r>
          </w:p>
        </w:tc>
        <w:tc>
          <w:tcPr>
            <w:tcW w:w="975" w:type="dxa"/>
            <w:tcBorders>
              <w:top w:val="nil"/>
              <w:left w:val="nil"/>
              <w:bottom w:val="nil"/>
              <w:right w:val="single" w:sz="6" w:space="0" w:color="000000"/>
              <w:tl2br w:val="nil"/>
              <w:tr2bl w:val="nil"/>
            </w:tcBorders>
            <w:shd w:val="clear" w:color="auto" w:fill="FFFFFF"/>
            <w:tcMar>
              <w:left w:w="101" w:type="dxa"/>
              <w:right w:w="101" w:type="dxa"/>
            </w:tcMar>
            <w:vAlign w:val="bottom"/>
          </w:tcPr>
          <w:p w14:paraId="0BECFB46" w14:textId="77777777" w:rsidR="00724034" w:rsidRDefault="00FB7D0B">
            <w:pPr>
              <w:jc w:val="right"/>
              <w:rPr>
                <w:rFonts w:ascii="Arial" w:eastAsia="Arial" w:hAnsi="Arial" w:cs="Arial"/>
                <w:color w:val="000000"/>
                <w:sz w:val="16"/>
              </w:rPr>
            </w:pPr>
            <w:r>
              <w:rPr>
                <w:rFonts w:ascii="Arial" w:eastAsia="Arial" w:hAnsi="Arial" w:cs="Arial"/>
                <w:color w:val="000000"/>
                <w:sz w:val="16"/>
              </w:rPr>
              <w:t>119 </w:t>
            </w:r>
          </w:p>
        </w:tc>
      </w:tr>
      <w:tr w:rsidR="00724034" w14:paraId="48CD5179" w14:textId="77777777">
        <w:tblPrEx>
          <w:tblLook w:val="04A0" w:firstRow="1" w:lastRow="0" w:firstColumn="1" w:lastColumn="0" w:noHBand="0" w:noVBand="1"/>
        </w:tblPrEx>
        <w:trPr>
          <w:trHeight w:val="60"/>
        </w:trPr>
        <w:tc>
          <w:tcPr>
            <w:tcW w:w="180" w:type="dxa"/>
            <w:tcBorders>
              <w:top w:val="single" w:sz="6" w:space="0" w:color="FFFFFF"/>
              <w:left w:val="single" w:sz="6" w:space="0" w:color="000000"/>
              <w:bottom w:val="nil"/>
              <w:right w:val="nil"/>
              <w:tl2br w:val="nil"/>
              <w:tr2bl w:val="nil"/>
            </w:tcBorders>
            <w:shd w:val="clear" w:color="auto" w:fill="FFFFFF"/>
            <w:tcMar>
              <w:left w:w="101" w:type="dxa"/>
              <w:right w:w="101" w:type="dxa"/>
            </w:tcMar>
            <w:vAlign w:val="bottom"/>
          </w:tcPr>
          <w:p w14:paraId="7E243608" w14:textId="77777777" w:rsidR="00724034" w:rsidRDefault="00724034">
            <w:pPr>
              <w:rPr>
                <w:rFonts w:ascii="Arial" w:eastAsia="Arial" w:hAnsi="Arial" w:cs="Arial"/>
                <w:color w:val="000000"/>
                <w:sz w:val="16"/>
              </w:rPr>
            </w:pPr>
          </w:p>
        </w:tc>
        <w:tc>
          <w:tcPr>
            <w:tcW w:w="195" w:type="dxa"/>
            <w:tcBorders>
              <w:top w:val="single" w:sz="6" w:space="0" w:color="FFFFFF"/>
              <w:left w:val="nil"/>
              <w:bottom w:val="nil"/>
              <w:right w:val="nil"/>
              <w:tl2br w:val="nil"/>
              <w:tr2bl w:val="nil"/>
            </w:tcBorders>
            <w:shd w:val="clear" w:color="auto" w:fill="FFFFFF"/>
            <w:tcMar>
              <w:left w:w="101" w:type="dxa"/>
              <w:right w:w="101" w:type="dxa"/>
            </w:tcMar>
            <w:vAlign w:val="bottom"/>
          </w:tcPr>
          <w:p w14:paraId="4E39D082" w14:textId="77777777" w:rsidR="00724034" w:rsidRDefault="00724034">
            <w:pPr>
              <w:rPr>
                <w:rFonts w:ascii="Arial" w:eastAsia="Arial" w:hAnsi="Arial" w:cs="Arial"/>
                <w:color w:val="000000"/>
                <w:sz w:val="16"/>
              </w:rPr>
            </w:pPr>
          </w:p>
        </w:tc>
        <w:tc>
          <w:tcPr>
            <w:tcW w:w="2835" w:type="dxa"/>
            <w:tcBorders>
              <w:top w:val="single" w:sz="6" w:space="0" w:color="FFFFFF"/>
              <w:left w:val="nil"/>
              <w:bottom w:val="nil"/>
              <w:right w:val="nil"/>
              <w:tl2br w:val="nil"/>
              <w:tr2bl w:val="nil"/>
            </w:tcBorders>
            <w:shd w:val="clear" w:color="auto" w:fill="FFFFFF"/>
            <w:tcMar>
              <w:left w:w="101" w:type="dxa"/>
              <w:right w:w="101" w:type="dxa"/>
            </w:tcMar>
            <w:vAlign w:val="bottom"/>
          </w:tcPr>
          <w:p w14:paraId="1B00F1F5" w14:textId="77777777" w:rsidR="00724034" w:rsidRDefault="00724034">
            <w:pPr>
              <w:rPr>
                <w:rFonts w:ascii="Arial" w:eastAsia="Arial" w:hAnsi="Arial" w:cs="Arial"/>
                <w:color w:val="000000"/>
                <w:sz w:val="16"/>
              </w:rPr>
            </w:pPr>
          </w:p>
        </w:tc>
        <w:tc>
          <w:tcPr>
            <w:tcW w:w="975"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0E4EF89B" w14:textId="77777777" w:rsidR="00724034" w:rsidRDefault="00724034">
            <w:pPr>
              <w:rPr>
                <w:rFonts w:ascii="Arial" w:eastAsia="Arial" w:hAnsi="Arial" w:cs="Arial"/>
                <w:color w:val="000000"/>
                <w:sz w:val="16"/>
                <w:vertAlign w:val="superscript"/>
              </w:rPr>
            </w:pPr>
          </w:p>
        </w:tc>
        <w:tc>
          <w:tcPr>
            <w:tcW w:w="975" w:type="dxa"/>
            <w:tcBorders>
              <w:top w:val="nil"/>
              <w:left w:val="nil"/>
              <w:bottom w:val="single" w:sz="6" w:space="0" w:color="000000"/>
              <w:right w:val="nil"/>
              <w:tl2br w:val="nil"/>
              <w:tr2bl w:val="nil"/>
            </w:tcBorders>
            <w:shd w:val="clear" w:color="auto" w:fill="FFFF00"/>
            <w:tcMar>
              <w:left w:w="101" w:type="dxa"/>
              <w:right w:w="101" w:type="dxa"/>
            </w:tcMar>
            <w:vAlign w:val="bottom"/>
          </w:tcPr>
          <w:p w14:paraId="06A4196B" w14:textId="77777777" w:rsidR="00724034" w:rsidRDefault="00724034">
            <w:pPr>
              <w:rPr>
                <w:rFonts w:ascii="Arial" w:eastAsia="Arial" w:hAnsi="Arial" w:cs="Arial"/>
                <w:color w:val="000000"/>
                <w:sz w:val="16"/>
                <w:vertAlign w:val="superscript"/>
              </w:rPr>
            </w:pPr>
          </w:p>
        </w:tc>
        <w:tc>
          <w:tcPr>
            <w:tcW w:w="975"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606FDFCE" w14:textId="77777777" w:rsidR="00724034" w:rsidRDefault="00724034">
            <w:pPr>
              <w:rPr>
                <w:rFonts w:ascii="Arial" w:eastAsia="Arial" w:hAnsi="Arial" w:cs="Arial"/>
                <w:color w:val="000000"/>
                <w:sz w:val="16"/>
                <w:vertAlign w:val="superscript"/>
              </w:rPr>
            </w:pPr>
          </w:p>
        </w:tc>
        <w:tc>
          <w:tcPr>
            <w:tcW w:w="975"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3EE9DC0B" w14:textId="77777777" w:rsidR="00724034" w:rsidRDefault="00724034">
            <w:pPr>
              <w:rPr>
                <w:rFonts w:ascii="Arial" w:eastAsia="Arial" w:hAnsi="Arial" w:cs="Arial"/>
                <w:color w:val="000000"/>
                <w:sz w:val="16"/>
                <w:vertAlign w:val="superscript"/>
              </w:rPr>
            </w:pPr>
          </w:p>
        </w:tc>
        <w:tc>
          <w:tcPr>
            <w:tcW w:w="975" w:type="dxa"/>
            <w:tcBorders>
              <w:top w:val="nil"/>
              <w:left w:val="nil"/>
              <w:bottom w:val="single" w:sz="6" w:space="0" w:color="000000"/>
              <w:right w:val="single" w:sz="6" w:space="0" w:color="000000"/>
              <w:tl2br w:val="nil"/>
              <w:tr2bl w:val="nil"/>
            </w:tcBorders>
            <w:shd w:val="clear" w:color="auto" w:fill="FFFFFF"/>
            <w:tcMar>
              <w:left w:w="101" w:type="dxa"/>
              <w:right w:w="101" w:type="dxa"/>
            </w:tcMar>
            <w:vAlign w:val="bottom"/>
          </w:tcPr>
          <w:p w14:paraId="2CAB75A7" w14:textId="77777777" w:rsidR="00724034" w:rsidRDefault="00724034">
            <w:pPr>
              <w:rPr>
                <w:rFonts w:ascii="Arial" w:eastAsia="Arial" w:hAnsi="Arial" w:cs="Arial"/>
                <w:color w:val="000000"/>
                <w:sz w:val="16"/>
                <w:vertAlign w:val="superscript"/>
              </w:rPr>
            </w:pPr>
          </w:p>
        </w:tc>
      </w:tr>
      <w:tr w:rsidR="00FB7D0B" w14:paraId="07C5BD88" w14:textId="77777777" w:rsidTr="00FB7D0B">
        <w:tblPrEx>
          <w:tblLook w:val="04A0" w:firstRow="1" w:lastRow="0" w:firstColumn="1" w:lastColumn="0" w:noHBand="0" w:noVBand="1"/>
        </w:tblPrEx>
        <w:trPr>
          <w:trHeight w:val="225"/>
        </w:trPr>
        <w:tc>
          <w:tcPr>
            <w:tcW w:w="3210" w:type="dxa"/>
            <w:gridSpan w:val="3"/>
            <w:tcBorders>
              <w:top w:val="nil"/>
              <w:left w:val="single" w:sz="6" w:space="0" w:color="000000"/>
              <w:bottom w:val="single" w:sz="6" w:space="0" w:color="000000"/>
              <w:right w:val="nil"/>
              <w:tl2br w:val="nil"/>
              <w:tr2bl w:val="nil"/>
            </w:tcBorders>
            <w:shd w:val="clear" w:color="auto" w:fill="FFFFFF"/>
            <w:tcMar>
              <w:left w:w="101" w:type="dxa"/>
              <w:right w:w="101" w:type="dxa"/>
            </w:tcMar>
            <w:vAlign w:val="bottom"/>
          </w:tcPr>
          <w:p w14:paraId="07BB6594" w14:textId="77777777" w:rsidR="00724034" w:rsidRDefault="00FB7D0B">
            <w:pPr>
              <w:rPr>
                <w:rFonts w:ascii="Arial" w:eastAsia="Arial" w:hAnsi="Arial" w:cs="Arial"/>
                <w:color w:val="000000"/>
                <w:sz w:val="16"/>
                <w:vertAlign w:val="superscript"/>
              </w:rPr>
            </w:pPr>
            <w:r>
              <w:rPr>
                <w:rFonts w:ascii="Arial" w:eastAsia="Arial" w:hAnsi="Arial" w:cs="Arial"/>
                <w:b/>
                <w:color w:val="000000"/>
                <w:sz w:val="16"/>
              </w:rPr>
              <w:t xml:space="preserve">Total programme expenses </w:t>
            </w:r>
          </w:p>
        </w:tc>
        <w:tc>
          <w:tcPr>
            <w:tcW w:w="975"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3B349158" w14:textId="77777777" w:rsidR="00724034" w:rsidRDefault="00FB7D0B">
            <w:pPr>
              <w:jc w:val="right"/>
              <w:rPr>
                <w:rFonts w:ascii="Arial" w:eastAsia="Arial" w:hAnsi="Arial" w:cs="Arial"/>
                <w:b/>
                <w:color w:val="000000"/>
                <w:sz w:val="16"/>
                <w:vertAlign w:val="superscript"/>
              </w:rPr>
            </w:pPr>
            <w:r>
              <w:rPr>
                <w:rFonts w:ascii="Arial" w:eastAsia="Arial" w:hAnsi="Arial" w:cs="Arial"/>
                <w:b/>
                <w:color w:val="000000"/>
                <w:sz w:val="16"/>
              </w:rPr>
              <w:t>4,836 </w:t>
            </w:r>
          </w:p>
        </w:tc>
        <w:tc>
          <w:tcPr>
            <w:tcW w:w="975" w:type="dxa"/>
            <w:tcBorders>
              <w:top w:val="single" w:sz="6" w:space="0" w:color="000000"/>
              <w:left w:val="nil"/>
              <w:bottom w:val="single" w:sz="6" w:space="0" w:color="000000"/>
              <w:right w:val="nil"/>
              <w:tl2br w:val="nil"/>
              <w:tr2bl w:val="nil"/>
            </w:tcBorders>
            <w:shd w:val="clear" w:color="auto" w:fill="FFFF00"/>
            <w:tcMar>
              <w:left w:w="101" w:type="dxa"/>
              <w:right w:w="101" w:type="dxa"/>
            </w:tcMar>
            <w:vAlign w:val="bottom"/>
          </w:tcPr>
          <w:p w14:paraId="6AB8A7BF" w14:textId="77777777" w:rsidR="00724034" w:rsidRDefault="00FB7D0B">
            <w:pPr>
              <w:jc w:val="right"/>
              <w:rPr>
                <w:rFonts w:ascii="Arial" w:eastAsia="Arial" w:hAnsi="Arial" w:cs="Arial"/>
                <w:b/>
                <w:color w:val="000000"/>
                <w:sz w:val="16"/>
              </w:rPr>
            </w:pPr>
            <w:r>
              <w:rPr>
                <w:rFonts w:ascii="Arial" w:eastAsia="Arial" w:hAnsi="Arial" w:cs="Arial"/>
                <w:b/>
                <w:color w:val="000000"/>
                <w:sz w:val="16"/>
              </w:rPr>
              <w:t>8,081 </w:t>
            </w:r>
          </w:p>
        </w:tc>
        <w:tc>
          <w:tcPr>
            <w:tcW w:w="975"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49082EDE" w14:textId="77777777" w:rsidR="00724034" w:rsidRDefault="00FB7D0B">
            <w:pPr>
              <w:jc w:val="right"/>
              <w:rPr>
                <w:rFonts w:ascii="Arial" w:eastAsia="Arial" w:hAnsi="Arial" w:cs="Arial"/>
                <w:b/>
                <w:color w:val="000000"/>
                <w:sz w:val="16"/>
              </w:rPr>
            </w:pPr>
            <w:r>
              <w:rPr>
                <w:rFonts w:ascii="Arial" w:eastAsia="Arial" w:hAnsi="Arial" w:cs="Arial"/>
                <w:b/>
                <w:color w:val="000000"/>
                <w:sz w:val="16"/>
              </w:rPr>
              <w:t>4,397 </w:t>
            </w:r>
          </w:p>
        </w:tc>
        <w:tc>
          <w:tcPr>
            <w:tcW w:w="975"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59FAC460" w14:textId="77777777" w:rsidR="00724034" w:rsidRDefault="00FB7D0B">
            <w:pPr>
              <w:jc w:val="right"/>
              <w:rPr>
                <w:rFonts w:ascii="Arial" w:eastAsia="Arial" w:hAnsi="Arial" w:cs="Arial"/>
                <w:b/>
                <w:color w:val="000000"/>
                <w:sz w:val="16"/>
              </w:rPr>
            </w:pPr>
            <w:r>
              <w:rPr>
                <w:rFonts w:ascii="Arial" w:eastAsia="Arial" w:hAnsi="Arial" w:cs="Arial"/>
                <w:b/>
                <w:color w:val="000000"/>
                <w:sz w:val="16"/>
              </w:rPr>
              <w:t>4,397 </w:t>
            </w:r>
          </w:p>
        </w:tc>
        <w:tc>
          <w:tcPr>
            <w:tcW w:w="975" w:type="dxa"/>
            <w:tcBorders>
              <w:top w:val="single" w:sz="6" w:space="0" w:color="000000"/>
              <w:left w:val="nil"/>
              <w:bottom w:val="single" w:sz="6" w:space="0" w:color="000000"/>
              <w:right w:val="single" w:sz="6" w:space="0" w:color="000000"/>
              <w:tl2br w:val="nil"/>
              <w:tr2bl w:val="nil"/>
            </w:tcBorders>
            <w:shd w:val="clear" w:color="auto" w:fill="FFFFFF"/>
            <w:tcMar>
              <w:left w:w="101" w:type="dxa"/>
              <w:right w:w="101" w:type="dxa"/>
            </w:tcMar>
            <w:vAlign w:val="bottom"/>
          </w:tcPr>
          <w:p w14:paraId="044C8CE4" w14:textId="77777777" w:rsidR="00724034" w:rsidRDefault="00FB7D0B">
            <w:pPr>
              <w:jc w:val="right"/>
              <w:rPr>
                <w:rFonts w:ascii="Arial" w:eastAsia="Arial" w:hAnsi="Arial" w:cs="Arial"/>
                <w:b/>
                <w:color w:val="000000"/>
                <w:sz w:val="16"/>
              </w:rPr>
            </w:pPr>
            <w:r>
              <w:rPr>
                <w:rFonts w:ascii="Arial" w:eastAsia="Arial" w:hAnsi="Arial" w:cs="Arial"/>
                <w:b/>
                <w:color w:val="000000"/>
                <w:sz w:val="16"/>
              </w:rPr>
              <w:t>4,467 </w:t>
            </w:r>
          </w:p>
        </w:tc>
      </w:tr>
    </w:tbl>
    <w:p w14:paraId="4804AE72" w14:textId="77777777" w:rsidR="003F0EEA" w:rsidRDefault="00FB7D0B" w:rsidP="003F0EEA">
      <w:pPr>
        <w:pStyle w:val="ListParagraph18"/>
        <w:numPr>
          <w:ilvl w:val="0"/>
          <w:numId w:val="52"/>
        </w:numPr>
        <w:spacing w:after="0" w:line="240" w:lineRule="auto"/>
        <w:ind w:left="357" w:right="566" w:hanging="357"/>
        <w:rPr>
          <w:rFonts w:ascii="Arial" w:eastAsia="Calibri" w:hAnsi="Arial" w:cs="Arial"/>
          <w:sz w:val="16"/>
          <w:szCs w:val="16"/>
        </w:rPr>
      </w:pPr>
      <w:r>
        <w:rPr>
          <w:rFonts w:ascii="Arial" w:eastAsia="Calibri" w:hAnsi="Arial" w:cs="Arial"/>
          <w:sz w:val="16"/>
          <w:szCs w:val="16"/>
        </w:rPr>
        <w:t>Refer to the Movement of Funds table 3.1.1.</w:t>
      </w:r>
    </w:p>
    <w:p w14:paraId="76A53369" w14:textId="77777777" w:rsidR="003F0EEA" w:rsidRDefault="00FB7D0B" w:rsidP="003F0EEA">
      <w:pPr>
        <w:pStyle w:val="ListParagraph18"/>
        <w:numPr>
          <w:ilvl w:val="0"/>
          <w:numId w:val="52"/>
        </w:numPr>
        <w:spacing w:after="0" w:line="240" w:lineRule="auto"/>
        <w:ind w:left="357" w:right="566" w:hanging="357"/>
        <w:rPr>
          <w:rFonts w:ascii="Arial" w:eastAsia="Calibri" w:hAnsi="Arial" w:cs="Arial"/>
          <w:sz w:val="16"/>
          <w:szCs w:val="16"/>
        </w:rPr>
      </w:pPr>
      <w:r>
        <w:rPr>
          <w:rFonts w:ascii="Arial" w:eastAsia="Calibri" w:hAnsi="Arial" w:cs="Arial"/>
          <w:sz w:val="16"/>
          <w:szCs w:val="16"/>
        </w:rPr>
        <w:t xml:space="preserve">Expenses not requiring appropriation in the Budget year is made up of Depreciation Expense, </w:t>
      </w:r>
      <w:r>
        <w:rPr>
          <w:rFonts w:ascii="Arial" w:eastAsia="Calibri" w:hAnsi="Arial" w:cs="Arial"/>
          <w:sz w:val="16"/>
          <w:szCs w:val="16"/>
        </w:rPr>
        <w:br/>
        <w:t xml:space="preserve">Amortisation Expense and Resources Received Free of Charge. </w:t>
      </w:r>
    </w:p>
    <w:p w14:paraId="3AB247D8" w14:textId="77777777" w:rsidR="003F0EEA" w:rsidRDefault="003F0EEA">
      <w:pPr>
        <w:rPr>
          <w:rFonts w:ascii="Times New Roman" w:eastAsia="Times New Roman" w:hAnsi="Times New Roman" w:cs="Times New Roman"/>
          <w:szCs w:val="16"/>
        </w:rPr>
      </w:pPr>
    </w:p>
    <w:p w14:paraId="647AF751" w14:textId="77777777" w:rsidR="003F0EEA" w:rsidRDefault="003F0EEA">
      <w:pPr>
        <w:rPr>
          <w:rFonts w:ascii="Times New Roman" w:eastAsia="Times New Roman" w:hAnsi="Times New Roman" w:cs="Times New Roman"/>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0"/>
        <w:gridCol w:w="975"/>
        <w:gridCol w:w="975"/>
        <w:gridCol w:w="975"/>
        <w:gridCol w:w="975"/>
        <w:gridCol w:w="975"/>
      </w:tblGrid>
      <w:tr w:rsidR="00724034" w14:paraId="4594E3B3" w14:textId="77777777" w:rsidTr="00355BFE">
        <w:tc>
          <w:tcPr>
            <w:tcW w:w="8080" w:type="dxa"/>
            <w:gridSpan w:val="6"/>
          </w:tcPr>
          <w:p w14:paraId="5C6ED410" w14:textId="77777777" w:rsidR="003F0EEA" w:rsidRPr="00355BFE" w:rsidRDefault="00FB7D0B" w:rsidP="00355BFE">
            <w:pPr>
              <w:pStyle w:val="Normal155"/>
              <w:spacing w:before="60" w:after="60" w:line="276" w:lineRule="auto"/>
              <w:rPr>
                <w:rFonts w:ascii="Arial" w:eastAsia="Calibri" w:hAnsi="Arial" w:cs="Arial"/>
                <w:b/>
                <w:sz w:val="18"/>
                <w:szCs w:val="22"/>
                <w:lang w:eastAsia="en-US"/>
              </w:rPr>
            </w:pPr>
            <w:r w:rsidRPr="00355BFE">
              <w:rPr>
                <w:rFonts w:ascii="Arial" w:eastAsia="Calibri" w:hAnsi="Arial" w:cs="Arial"/>
                <w:b/>
                <w:sz w:val="18"/>
                <w:szCs w:val="22"/>
                <w:lang w:eastAsia="en-US"/>
              </w:rPr>
              <w:t>Programme 3.2 deliverables</w:t>
            </w:r>
          </w:p>
          <w:p w14:paraId="22CA4A66" w14:textId="77777777" w:rsidR="003F0EEA" w:rsidRPr="00355BFE" w:rsidRDefault="00FB7D0B" w:rsidP="00355BFE">
            <w:pPr>
              <w:pStyle w:val="Normal155"/>
              <w:spacing w:before="60" w:after="60" w:line="276" w:lineRule="auto"/>
              <w:rPr>
                <w:rFonts w:ascii="Calibri" w:eastAsia="Calibri" w:hAnsi="Calibri"/>
                <w:sz w:val="22"/>
                <w:szCs w:val="22"/>
                <w:lang w:eastAsia="en-US"/>
              </w:rPr>
            </w:pPr>
            <w:r w:rsidRPr="00355BFE">
              <w:rPr>
                <w:rFonts w:ascii="Arial" w:eastAsia="Calibri" w:hAnsi="Arial" w:cs="Arial"/>
                <w:sz w:val="18"/>
                <w:szCs w:val="22"/>
                <w:lang w:eastAsia="en-US"/>
              </w:rPr>
              <w:t>Planning for and conduct of annual Anzac Day services and management of related reviews and research.</w:t>
            </w:r>
          </w:p>
        </w:tc>
      </w:tr>
      <w:tr w:rsidR="00724034" w14:paraId="545090DD" w14:textId="77777777">
        <w:trPr>
          <w:trHeight w:val="225"/>
        </w:trPr>
        <w:tc>
          <w:tcPr>
            <w:tcW w:w="3210" w:type="dxa"/>
            <w:tcBorders>
              <w:top w:val="single" w:sz="6" w:space="0" w:color="000000"/>
              <w:left w:val="single" w:sz="6" w:space="0" w:color="000000"/>
              <w:bottom w:val="single" w:sz="6" w:space="0" w:color="FFFFFF"/>
              <w:right w:val="nil"/>
              <w:tl2br w:val="nil"/>
              <w:tr2bl w:val="nil"/>
            </w:tcBorders>
            <w:shd w:val="clear" w:color="auto" w:fill="FFFFFF"/>
            <w:tcMar>
              <w:left w:w="115" w:type="dxa"/>
              <w:right w:w="115" w:type="dxa"/>
            </w:tcMar>
            <w:vAlign w:val="bottom"/>
          </w:tcPr>
          <w:p w14:paraId="7BF03027" w14:textId="77777777" w:rsidR="00724034" w:rsidRDefault="00724034"/>
        </w:tc>
        <w:tc>
          <w:tcPr>
            <w:tcW w:w="975" w:type="dxa"/>
            <w:tcBorders>
              <w:top w:val="single" w:sz="6" w:space="0" w:color="000000"/>
              <w:left w:val="nil"/>
              <w:bottom w:val="nil"/>
              <w:right w:val="nil"/>
              <w:tl2br w:val="nil"/>
              <w:tr2bl w:val="nil"/>
            </w:tcBorders>
            <w:shd w:val="clear" w:color="auto" w:fill="FFFFFF"/>
            <w:tcMar>
              <w:left w:w="115" w:type="dxa"/>
              <w:right w:w="115" w:type="dxa"/>
            </w:tcMar>
            <w:vAlign w:val="center"/>
          </w:tcPr>
          <w:p w14:paraId="4874381C" w14:textId="77777777" w:rsidR="00724034" w:rsidRDefault="00FB7D0B">
            <w:pPr>
              <w:jc w:val="center"/>
              <w:rPr>
                <w:rFonts w:ascii="Arial" w:eastAsia="Arial" w:hAnsi="Arial" w:cs="Arial"/>
                <w:b/>
                <w:color w:val="000000"/>
                <w:sz w:val="16"/>
                <w:vertAlign w:val="superscript"/>
              </w:rPr>
            </w:pPr>
            <w:r>
              <w:rPr>
                <w:rFonts w:ascii="Arial" w:eastAsia="Arial" w:hAnsi="Arial" w:cs="Arial"/>
                <w:color w:val="000000"/>
                <w:sz w:val="16"/>
              </w:rPr>
              <w:t>2013-14</w:t>
            </w:r>
          </w:p>
        </w:tc>
        <w:tc>
          <w:tcPr>
            <w:tcW w:w="975" w:type="dxa"/>
            <w:tcBorders>
              <w:top w:val="single" w:sz="6" w:space="0" w:color="000000"/>
              <w:left w:val="nil"/>
              <w:bottom w:val="nil"/>
              <w:right w:val="nil"/>
              <w:tl2br w:val="nil"/>
              <w:tr2bl w:val="nil"/>
            </w:tcBorders>
            <w:shd w:val="clear" w:color="auto" w:fill="FFFF00"/>
            <w:tcMar>
              <w:left w:w="115" w:type="dxa"/>
              <w:right w:w="115" w:type="dxa"/>
            </w:tcMar>
            <w:vAlign w:val="center"/>
          </w:tcPr>
          <w:p w14:paraId="2D997266" w14:textId="77777777" w:rsidR="00724034" w:rsidRDefault="00FB7D0B">
            <w:pPr>
              <w:jc w:val="center"/>
              <w:rPr>
                <w:rFonts w:ascii="Arial" w:eastAsia="Arial" w:hAnsi="Arial" w:cs="Arial"/>
                <w:color w:val="000000"/>
                <w:sz w:val="16"/>
              </w:rPr>
            </w:pPr>
            <w:r>
              <w:rPr>
                <w:rFonts w:ascii="Arial" w:eastAsia="Arial" w:hAnsi="Arial" w:cs="Arial"/>
                <w:color w:val="000000"/>
                <w:sz w:val="16"/>
              </w:rPr>
              <w:t>2014-15</w:t>
            </w:r>
          </w:p>
        </w:tc>
        <w:tc>
          <w:tcPr>
            <w:tcW w:w="975" w:type="dxa"/>
            <w:tcBorders>
              <w:top w:val="single" w:sz="6" w:space="0" w:color="000000"/>
              <w:left w:val="nil"/>
              <w:bottom w:val="nil"/>
              <w:right w:val="nil"/>
              <w:tl2br w:val="nil"/>
              <w:tr2bl w:val="nil"/>
            </w:tcBorders>
            <w:shd w:val="clear" w:color="auto" w:fill="FFFFFF"/>
            <w:tcMar>
              <w:left w:w="115" w:type="dxa"/>
              <w:right w:w="115" w:type="dxa"/>
            </w:tcMar>
            <w:vAlign w:val="center"/>
          </w:tcPr>
          <w:p w14:paraId="72C67FEE" w14:textId="77777777" w:rsidR="00724034" w:rsidRDefault="00FB7D0B">
            <w:pPr>
              <w:jc w:val="center"/>
              <w:rPr>
                <w:rFonts w:ascii="Arial" w:eastAsia="Arial" w:hAnsi="Arial" w:cs="Arial"/>
                <w:color w:val="000000"/>
                <w:sz w:val="16"/>
              </w:rPr>
            </w:pPr>
            <w:r>
              <w:rPr>
                <w:rFonts w:ascii="Arial" w:eastAsia="Arial" w:hAnsi="Arial" w:cs="Arial"/>
                <w:color w:val="000000"/>
                <w:sz w:val="16"/>
              </w:rPr>
              <w:t>2015-16</w:t>
            </w:r>
          </w:p>
        </w:tc>
        <w:tc>
          <w:tcPr>
            <w:tcW w:w="975" w:type="dxa"/>
            <w:tcBorders>
              <w:top w:val="single" w:sz="6" w:space="0" w:color="000000"/>
              <w:left w:val="nil"/>
              <w:bottom w:val="nil"/>
              <w:right w:val="nil"/>
              <w:tl2br w:val="nil"/>
              <w:tr2bl w:val="nil"/>
            </w:tcBorders>
            <w:shd w:val="clear" w:color="auto" w:fill="FFFFFF"/>
            <w:tcMar>
              <w:left w:w="115" w:type="dxa"/>
              <w:right w:w="115" w:type="dxa"/>
            </w:tcMar>
            <w:vAlign w:val="center"/>
          </w:tcPr>
          <w:p w14:paraId="4426B53D" w14:textId="77777777" w:rsidR="00724034" w:rsidRDefault="00FB7D0B">
            <w:pPr>
              <w:jc w:val="center"/>
              <w:rPr>
                <w:rFonts w:ascii="Arial" w:eastAsia="Arial" w:hAnsi="Arial" w:cs="Arial"/>
                <w:color w:val="000000"/>
                <w:sz w:val="16"/>
              </w:rPr>
            </w:pPr>
            <w:r>
              <w:rPr>
                <w:rFonts w:ascii="Arial" w:eastAsia="Arial" w:hAnsi="Arial" w:cs="Arial"/>
                <w:color w:val="000000"/>
                <w:sz w:val="16"/>
              </w:rPr>
              <w:t>2016-17</w:t>
            </w:r>
          </w:p>
        </w:tc>
        <w:tc>
          <w:tcPr>
            <w:tcW w:w="975" w:type="dxa"/>
            <w:tcBorders>
              <w:top w:val="single" w:sz="6" w:space="0" w:color="000000"/>
              <w:left w:val="nil"/>
              <w:bottom w:val="nil"/>
              <w:right w:val="single" w:sz="6" w:space="0" w:color="000000"/>
              <w:tl2br w:val="nil"/>
              <w:tr2bl w:val="nil"/>
            </w:tcBorders>
            <w:shd w:val="clear" w:color="auto" w:fill="FFFFFF"/>
            <w:tcMar>
              <w:left w:w="115" w:type="dxa"/>
              <w:right w:w="115" w:type="dxa"/>
            </w:tcMar>
            <w:vAlign w:val="center"/>
          </w:tcPr>
          <w:p w14:paraId="1C03AEAB" w14:textId="77777777" w:rsidR="00724034" w:rsidRDefault="00FB7D0B">
            <w:pPr>
              <w:jc w:val="center"/>
              <w:rPr>
                <w:rFonts w:ascii="Arial" w:eastAsia="Arial" w:hAnsi="Arial" w:cs="Arial"/>
                <w:color w:val="000000"/>
                <w:sz w:val="16"/>
              </w:rPr>
            </w:pPr>
            <w:r>
              <w:rPr>
                <w:rFonts w:ascii="Arial" w:eastAsia="Arial" w:hAnsi="Arial" w:cs="Arial"/>
                <w:color w:val="000000"/>
                <w:sz w:val="16"/>
              </w:rPr>
              <w:t>2017-18</w:t>
            </w:r>
          </w:p>
        </w:tc>
      </w:tr>
      <w:tr w:rsidR="00724034" w14:paraId="60BE83B3" w14:textId="77777777">
        <w:trPr>
          <w:trHeight w:val="225"/>
        </w:trPr>
        <w:tc>
          <w:tcPr>
            <w:tcW w:w="3210" w:type="dxa"/>
            <w:tcBorders>
              <w:top w:val="single" w:sz="6" w:space="0" w:color="FFFFFF"/>
              <w:left w:val="single" w:sz="6" w:space="0" w:color="000000"/>
              <w:bottom w:val="nil"/>
              <w:right w:val="nil"/>
              <w:tl2br w:val="nil"/>
              <w:tr2bl w:val="nil"/>
            </w:tcBorders>
            <w:shd w:val="clear" w:color="auto" w:fill="FFFFFF"/>
            <w:tcMar>
              <w:left w:w="115" w:type="dxa"/>
              <w:right w:w="115" w:type="dxa"/>
            </w:tcMar>
            <w:vAlign w:val="bottom"/>
          </w:tcPr>
          <w:p w14:paraId="31D257B6" w14:textId="77777777" w:rsidR="00724034" w:rsidRDefault="00724034">
            <w:pPr>
              <w:rPr>
                <w:rFonts w:ascii="Arial" w:eastAsia="Arial" w:hAnsi="Arial" w:cs="Arial"/>
                <w:color w:val="000000"/>
                <w:sz w:val="16"/>
              </w:rPr>
            </w:pPr>
          </w:p>
        </w:tc>
        <w:tc>
          <w:tcPr>
            <w:tcW w:w="975" w:type="dxa"/>
            <w:tcBorders>
              <w:top w:val="nil"/>
              <w:left w:val="nil"/>
              <w:bottom w:val="nil"/>
              <w:right w:val="nil"/>
              <w:tl2br w:val="nil"/>
              <w:tr2bl w:val="nil"/>
            </w:tcBorders>
            <w:shd w:val="clear" w:color="auto" w:fill="FFFFFF"/>
            <w:tcMar>
              <w:left w:w="115" w:type="dxa"/>
              <w:right w:w="115" w:type="dxa"/>
            </w:tcMar>
            <w:vAlign w:val="bottom"/>
          </w:tcPr>
          <w:p w14:paraId="6D7BAA65" w14:textId="77777777" w:rsidR="00724034" w:rsidRDefault="00FB7D0B">
            <w:pPr>
              <w:jc w:val="right"/>
              <w:rPr>
                <w:rFonts w:ascii="Arial" w:eastAsia="Arial" w:hAnsi="Arial" w:cs="Arial"/>
                <w:color w:val="000000"/>
                <w:sz w:val="16"/>
                <w:vertAlign w:val="superscript"/>
              </w:rPr>
            </w:pPr>
            <w:r>
              <w:rPr>
                <w:rFonts w:ascii="Arial" w:eastAsia="Arial" w:hAnsi="Arial" w:cs="Arial"/>
                <w:color w:val="000000"/>
                <w:sz w:val="16"/>
              </w:rPr>
              <w:t>Revised</w:t>
            </w:r>
          </w:p>
        </w:tc>
        <w:tc>
          <w:tcPr>
            <w:tcW w:w="975" w:type="dxa"/>
            <w:tcBorders>
              <w:top w:val="nil"/>
              <w:left w:val="nil"/>
              <w:bottom w:val="nil"/>
              <w:right w:val="nil"/>
              <w:tl2br w:val="nil"/>
              <w:tr2bl w:val="nil"/>
            </w:tcBorders>
            <w:shd w:val="clear" w:color="auto" w:fill="FFFF00"/>
            <w:tcMar>
              <w:left w:w="115" w:type="dxa"/>
              <w:right w:w="115" w:type="dxa"/>
            </w:tcMar>
            <w:vAlign w:val="bottom"/>
          </w:tcPr>
          <w:p w14:paraId="3C44D742" w14:textId="77777777" w:rsidR="00724034" w:rsidRDefault="00FB7D0B">
            <w:pPr>
              <w:jc w:val="right"/>
              <w:rPr>
                <w:rFonts w:ascii="Arial" w:eastAsia="Arial" w:hAnsi="Arial" w:cs="Arial"/>
                <w:color w:val="000000"/>
                <w:sz w:val="16"/>
              </w:rPr>
            </w:pPr>
            <w:r>
              <w:rPr>
                <w:rFonts w:ascii="Arial" w:eastAsia="Arial" w:hAnsi="Arial" w:cs="Arial"/>
                <w:color w:val="000000"/>
                <w:sz w:val="16"/>
              </w:rPr>
              <w:t>Budget</w:t>
            </w:r>
          </w:p>
        </w:tc>
        <w:tc>
          <w:tcPr>
            <w:tcW w:w="975" w:type="dxa"/>
            <w:tcBorders>
              <w:top w:val="nil"/>
              <w:left w:val="nil"/>
              <w:bottom w:val="nil"/>
              <w:right w:val="nil"/>
              <w:tl2br w:val="nil"/>
              <w:tr2bl w:val="nil"/>
            </w:tcBorders>
            <w:shd w:val="clear" w:color="auto" w:fill="FFFFFF"/>
            <w:tcMar>
              <w:left w:w="115" w:type="dxa"/>
              <w:right w:w="115" w:type="dxa"/>
            </w:tcMar>
            <w:vAlign w:val="bottom"/>
          </w:tcPr>
          <w:p w14:paraId="3802CE7A" w14:textId="77777777" w:rsidR="00724034" w:rsidRDefault="00FB7D0B">
            <w:pPr>
              <w:jc w:val="right"/>
              <w:rPr>
                <w:rFonts w:ascii="Arial" w:eastAsia="Arial" w:hAnsi="Arial" w:cs="Arial"/>
                <w:color w:val="000000"/>
                <w:sz w:val="16"/>
              </w:rPr>
            </w:pPr>
            <w:r>
              <w:rPr>
                <w:rFonts w:ascii="Arial" w:eastAsia="Arial" w:hAnsi="Arial" w:cs="Arial"/>
                <w:color w:val="000000"/>
                <w:sz w:val="16"/>
              </w:rPr>
              <w:t>Forward</w:t>
            </w:r>
          </w:p>
        </w:tc>
        <w:tc>
          <w:tcPr>
            <w:tcW w:w="975" w:type="dxa"/>
            <w:tcBorders>
              <w:top w:val="nil"/>
              <w:left w:val="nil"/>
              <w:bottom w:val="nil"/>
              <w:right w:val="nil"/>
              <w:tl2br w:val="nil"/>
              <w:tr2bl w:val="nil"/>
            </w:tcBorders>
            <w:shd w:val="clear" w:color="auto" w:fill="FFFFFF"/>
            <w:tcMar>
              <w:left w:w="115" w:type="dxa"/>
              <w:right w:w="115" w:type="dxa"/>
            </w:tcMar>
            <w:vAlign w:val="bottom"/>
          </w:tcPr>
          <w:p w14:paraId="5EB7ED71" w14:textId="77777777" w:rsidR="00724034" w:rsidRDefault="00FB7D0B">
            <w:pPr>
              <w:jc w:val="right"/>
              <w:rPr>
                <w:rFonts w:ascii="Arial" w:eastAsia="Arial" w:hAnsi="Arial" w:cs="Arial"/>
                <w:color w:val="000000"/>
                <w:sz w:val="16"/>
              </w:rPr>
            </w:pPr>
            <w:r>
              <w:rPr>
                <w:rFonts w:ascii="Arial" w:eastAsia="Arial" w:hAnsi="Arial" w:cs="Arial"/>
                <w:color w:val="000000"/>
                <w:sz w:val="16"/>
              </w:rPr>
              <w:t>Forward</w:t>
            </w:r>
          </w:p>
        </w:tc>
        <w:tc>
          <w:tcPr>
            <w:tcW w:w="975" w:type="dxa"/>
            <w:tcBorders>
              <w:top w:val="nil"/>
              <w:left w:val="nil"/>
              <w:bottom w:val="nil"/>
              <w:right w:val="single" w:sz="6" w:space="0" w:color="000000"/>
              <w:tl2br w:val="nil"/>
              <w:tr2bl w:val="nil"/>
            </w:tcBorders>
            <w:shd w:val="clear" w:color="auto" w:fill="FFFFFF"/>
            <w:tcMar>
              <w:left w:w="115" w:type="dxa"/>
              <w:right w:w="115" w:type="dxa"/>
            </w:tcMar>
            <w:vAlign w:val="bottom"/>
          </w:tcPr>
          <w:p w14:paraId="511D010F" w14:textId="77777777" w:rsidR="00724034" w:rsidRDefault="00FB7D0B">
            <w:pPr>
              <w:jc w:val="right"/>
              <w:rPr>
                <w:rFonts w:ascii="Arial" w:eastAsia="Arial" w:hAnsi="Arial" w:cs="Arial"/>
                <w:color w:val="000000"/>
                <w:sz w:val="16"/>
              </w:rPr>
            </w:pPr>
            <w:r>
              <w:rPr>
                <w:rFonts w:ascii="Arial" w:eastAsia="Arial" w:hAnsi="Arial" w:cs="Arial"/>
                <w:color w:val="000000"/>
                <w:sz w:val="16"/>
              </w:rPr>
              <w:t>Forward</w:t>
            </w:r>
          </w:p>
        </w:tc>
      </w:tr>
      <w:tr w:rsidR="00724034" w14:paraId="0B06A0B7" w14:textId="77777777">
        <w:trPr>
          <w:trHeight w:val="225"/>
        </w:trPr>
        <w:tc>
          <w:tcPr>
            <w:tcW w:w="3210" w:type="dxa"/>
            <w:tcBorders>
              <w:top w:val="nil"/>
              <w:left w:val="single" w:sz="6" w:space="0" w:color="000000"/>
              <w:bottom w:val="single" w:sz="6" w:space="0" w:color="000000"/>
              <w:right w:val="nil"/>
              <w:tl2br w:val="nil"/>
              <w:tr2bl w:val="nil"/>
            </w:tcBorders>
            <w:shd w:val="clear" w:color="auto" w:fill="FFFFFF"/>
            <w:tcMar>
              <w:left w:w="115" w:type="dxa"/>
              <w:right w:w="115" w:type="dxa"/>
            </w:tcMar>
            <w:vAlign w:val="bottom"/>
          </w:tcPr>
          <w:p w14:paraId="07CF4F69" w14:textId="77777777" w:rsidR="00724034" w:rsidRDefault="00FB7D0B">
            <w:pPr>
              <w:rPr>
                <w:rFonts w:ascii="Arial" w:eastAsia="Arial" w:hAnsi="Arial" w:cs="Arial"/>
                <w:color w:val="000000"/>
                <w:sz w:val="16"/>
              </w:rPr>
            </w:pPr>
            <w:r>
              <w:rPr>
                <w:rFonts w:ascii="Arial" w:eastAsia="Arial" w:hAnsi="Arial" w:cs="Arial"/>
                <w:color w:val="000000"/>
                <w:sz w:val="16"/>
              </w:rPr>
              <w:t>Deliverables $('000)</w:t>
            </w:r>
          </w:p>
        </w:tc>
        <w:tc>
          <w:tcPr>
            <w:tcW w:w="975"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37261968" w14:textId="77777777" w:rsidR="00724034" w:rsidRDefault="00FB7D0B">
            <w:pPr>
              <w:jc w:val="right"/>
              <w:rPr>
                <w:rFonts w:ascii="Arial" w:eastAsia="Arial" w:hAnsi="Arial" w:cs="Arial"/>
                <w:color w:val="000000"/>
                <w:sz w:val="16"/>
                <w:vertAlign w:val="superscript"/>
              </w:rPr>
            </w:pPr>
            <w:r>
              <w:rPr>
                <w:rFonts w:ascii="Arial" w:eastAsia="Arial" w:hAnsi="Arial" w:cs="Arial"/>
                <w:color w:val="000000"/>
                <w:sz w:val="16"/>
              </w:rPr>
              <w:t>budget</w:t>
            </w:r>
          </w:p>
        </w:tc>
        <w:tc>
          <w:tcPr>
            <w:tcW w:w="975" w:type="dxa"/>
            <w:tcBorders>
              <w:top w:val="nil"/>
              <w:left w:val="nil"/>
              <w:bottom w:val="single" w:sz="6" w:space="0" w:color="000000"/>
              <w:right w:val="nil"/>
              <w:tl2br w:val="nil"/>
              <w:tr2bl w:val="nil"/>
            </w:tcBorders>
            <w:shd w:val="clear" w:color="auto" w:fill="FFFF00"/>
            <w:tcMar>
              <w:left w:w="115" w:type="dxa"/>
              <w:right w:w="115" w:type="dxa"/>
            </w:tcMar>
            <w:vAlign w:val="bottom"/>
          </w:tcPr>
          <w:p w14:paraId="4BA96F57" w14:textId="77777777" w:rsidR="00724034" w:rsidRDefault="00724034">
            <w:pPr>
              <w:jc w:val="right"/>
              <w:rPr>
                <w:rFonts w:ascii="Arial" w:eastAsia="Arial" w:hAnsi="Arial" w:cs="Arial"/>
                <w:color w:val="000000"/>
                <w:sz w:val="16"/>
              </w:rPr>
            </w:pPr>
          </w:p>
        </w:tc>
        <w:tc>
          <w:tcPr>
            <w:tcW w:w="975"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3E213E2A" w14:textId="77777777" w:rsidR="00724034" w:rsidRDefault="00FB7D0B">
            <w:pPr>
              <w:jc w:val="right"/>
              <w:rPr>
                <w:rFonts w:ascii="Arial" w:eastAsia="Arial" w:hAnsi="Arial" w:cs="Arial"/>
                <w:color w:val="000000"/>
                <w:sz w:val="16"/>
              </w:rPr>
            </w:pPr>
            <w:r>
              <w:rPr>
                <w:rFonts w:ascii="Arial" w:eastAsia="Arial" w:hAnsi="Arial" w:cs="Arial"/>
                <w:color w:val="000000"/>
                <w:sz w:val="16"/>
              </w:rPr>
              <w:t>year 1</w:t>
            </w:r>
          </w:p>
        </w:tc>
        <w:tc>
          <w:tcPr>
            <w:tcW w:w="975"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1C5A97C5" w14:textId="77777777" w:rsidR="00724034" w:rsidRDefault="00FB7D0B">
            <w:pPr>
              <w:jc w:val="right"/>
              <w:rPr>
                <w:rFonts w:ascii="Arial" w:eastAsia="Arial" w:hAnsi="Arial" w:cs="Arial"/>
                <w:color w:val="000000"/>
                <w:sz w:val="16"/>
              </w:rPr>
            </w:pPr>
            <w:r>
              <w:rPr>
                <w:rFonts w:ascii="Arial" w:eastAsia="Arial" w:hAnsi="Arial" w:cs="Arial"/>
                <w:color w:val="000000"/>
                <w:sz w:val="16"/>
              </w:rPr>
              <w:t>year 2</w:t>
            </w:r>
          </w:p>
        </w:tc>
        <w:tc>
          <w:tcPr>
            <w:tcW w:w="975" w:type="dxa"/>
            <w:tcBorders>
              <w:top w:val="nil"/>
              <w:left w:val="nil"/>
              <w:bottom w:val="single" w:sz="6" w:space="0" w:color="000000"/>
              <w:right w:val="single" w:sz="6" w:space="0" w:color="000000"/>
              <w:tl2br w:val="nil"/>
              <w:tr2bl w:val="nil"/>
            </w:tcBorders>
            <w:shd w:val="clear" w:color="auto" w:fill="FFFFFF"/>
            <w:tcMar>
              <w:left w:w="115" w:type="dxa"/>
              <w:right w:w="115" w:type="dxa"/>
            </w:tcMar>
            <w:vAlign w:val="bottom"/>
          </w:tcPr>
          <w:p w14:paraId="5A7D111E" w14:textId="77777777" w:rsidR="00724034" w:rsidRDefault="00FB7D0B">
            <w:pPr>
              <w:jc w:val="right"/>
              <w:rPr>
                <w:rFonts w:ascii="Arial" w:eastAsia="Arial" w:hAnsi="Arial" w:cs="Arial"/>
                <w:color w:val="000000"/>
                <w:sz w:val="16"/>
              </w:rPr>
            </w:pPr>
            <w:r>
              <w:rPr>
                <w:rFonts w:ascii="Arial" w:eastAsia="Arial" w:hAnsi="Arial" w:cs="Arial"/>
                <w:color w:val="000000"/>
                <w:sz w:val="16"/>
              </w:rPr>
              <w:t>year 3</w:t>
            </w:r>
          </w:p>
        </w:tc>
      </w:tr>
      <w:tr w:rsidR="00724034" w14:paraId="7649A539" w14:textId="77777777">
        <w:trPr>
          <w:trHeight w:val="450"/>
        </w:trPr>
        <w:tc>
          <w:tcPr>
            <w:tcW w:w="3210" w:type="dxa"/>
            <w:tcBorders>
              <w:top w:val="single" w:sz="6" w:space="0" w:color="000000"/>
              <w:left w:val="single" w:sz="6" w:space="0" w:color="000000"/>
              <w:bottom w:val="single" w:sz="6" w:space="0" w:color="FFFFFF"/>
              <w:right w:val="nil"/>
              <w:tl2br w:val="nil"/>
              <w:tr2bl w:val="nil"/>
            </w:tcBorders>
            <w:shd w:val="clear" w:color="auto" w:fill="FFFFFF"/>
            <w:tcMar>
              <w:left w:w="115" w:type="dxa"/>
              <w:right w:w="115" w:type="dxa"/>
            </w:tcMar>
            <w:vAlign w:val="bottom"/>
          </w:tcPr>
          <w:p w14:paraId="185046C7" w14:textId="77777777" w:rsidR="00724034" w:rsidRDefault="00FB7D0B">
            <w:pPr>
              <w:rPr>
                <w:rFonts w:ascii="Arial" w:eastAsia="Arial" w:hAnsi="Arial" w:cs="Arial"/>
                <w:color w:val="000000"/>
                <w:sz w:val="16"/>
              </w:rPr>
            </w:pPr>
            <w:r>
              <w:rPr>
                <w:rFonts w:ascii="Arial" w:eastAsia="Arial" w:hAnsi="Arial" w:cs="Arial"/>
                <w:color w:val="000000"/>
                <w:sz w:val="16"/>
              </w:rPr>
              <w:t>Conduct annual Anzac Day services at Anzac Cove and Lone Pine, Gallipoli</w:t>
            </w:r>
          </w:p>
        </w:tc>
        <w:tc>
          <w:tcPr>
            <w:tcW w:w="975"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5AB7FFE8" w14:textId="77777777" w:rsidR="00724034" w:rsidRDefault="00FB7D0B">
            <w:pPr>
              <w:jc w:val="right"/>
              <w:rPr>
                <w:rFonts w:ascii="Arial" w:eastAsia="Arial" w:hAnsi="Arial" w:cs="Arial"/>
                <w:color w:val="000000"/>
                <w:sz w:val="16"/>
                <w:vertAlign w:val="superscript"/>
              </w:rPr>
            </w:pPr>
            <w:r>
              <w:rPr>
                <w:rFonts w:ascii="Arial" w:eastAsia="Arial" w:hAnsi="Arial" w:cs="Arial"/>
                <w:color w:val="000000"/>
                <w:sz w:val="16"/>
              </w:rPr>
              <w:t>3,113 </w:t>
            </w:r>
          </w:p>
        </w:tc>
        <w:tc>
          <w:tcPr>
            <w:tcW w:w="975" w:type="dxa"/>
            <w:tcBorders>
              <w:top w:val="single" w:sz="6" w:space="0" w:color="000000"/>
              <w:left w:val="nil"/>
              <w:bottom w:val="nil"/>
              <w:right w:val="nil"/>
              <w:tl2br w:val="nil"/>
              <w:tr2bl w:val="nil"/>
            </w:tcBorders>
            <w:shd w:val="clear" w:color="auto" w:fill="FFFF00"/>
            <w:tcMar>
              <w:left w:w="115" w:type="dxa"/>
              <w:right w:w="115" w:type="dxa"/>
            </w:tcMar>
            <w:vAlign w:val="bottom"/>
          </w:tcPr>
          <w:p w14:paraId="5FE14949" w14:textId="77777777" w:rsidR="00724034" w:rsidRDefault="00FB7D0B">
            <w:pPr>
              <w:jc w:val="right"/>
              <w:rPr>
                <w:rFonts w:ascii="Arial" w:eastAsia="Arial" w:hAnsi="Arial" w:cs="Arial"/>
                <w:color w:val="000000"/>
                <w:sz w:val="16"/>
              </w:rPr>
            </w:pPr>
            <w:r>
              <w:rPr>
                <w:rFonts w:ascii="Arial" w:eastAsia="Arial" w:hAnsi="Arial" w:cs="Arial"/>
                <w:color w:val="000000"/>
                <w:sz w:val="16"/>
              </w:rPr>
              <w:t>6,616 </w:t>
            </w:r>
          </w:p>
        </w:tc>
        <w:tc>
          <w:tcPr>
            <w:tcW w:w="975"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60C565D6" w14:textId="77777777" w:rsidR="00724034" w:rsidRDefault="00FB7D0B">
            <w:pPr>
              <w:jc w:val="right"/>
              <w:rPr>
                <w:rFonts w:ascii="Arial" w:eastAsia="Arial" w:hAnsi="Arial" w:cs="Arial"/>
                <w:color w:val="000000"/>
                <w:sz w:val="16"/>
              </w:rPr>
            </w:pPr>
            <w:r>
              <w:rPr>
                <w:rFonts w:ascii="Arial" w:eastAsia="Arial" w:hAnsi="Arial" w:cs="Arial"/>
                <w:color w:val="000000"/>
                <w:sz w:val="16"/>
              </w:rPr>
              <w:t>3,083 </w:t>
            </w:r>
          </w:p>
        </w:tc>
        <w:tc>
          <w:tcPr>
            <w:tcW w:w="975"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0FE0A74D" w14:textId="77777777" w:rsidR="00724034" w:rsidRDefault="00FB7D0B">
            <w:pPr>
              <w:jc w:val="right"/>
              <w:rPr>
                <w:rFonts w:ascii="Arial" w:eastAsia="Arial" w:hAnsi="Arial" w:cs="Arial"/>
                <w:color w:val="000000"/>
                <w:sz w:val="16"/>
              </w:rPr>
            </w:pPr>
            <w:r>
              <w:rPr>
                <w:rFonts w:ascii="Arial" w:eastAsia="Arial" w:hAnsi="Arial" w:cs="Arial"/>
                <w:color w:val="000000"/>
                <w:sz w:val="16"/>
              </w:rPr>
              <w:t>3,160 </w:t>
            </w:r>
          </w:p>
        </w:tc>
        <w:tc>
          <w:tcPr>
            <w:tcW w:w="975" w:type="dxa"/>
            <w:tcBorders>
              <w:top w:val="single" w:sz="6" w:space="0" w:color="000000"/>
              <w:left w:val="nil"/>
              <w:bottom w:val="nil"/>
              <w:right w:val="single" w:sz="6" w:space="0" w:color="000000"/>
              <w:tl2br w:val="nil"/>
              <w:tr2bl w:val="nil"/>
            </w:tcBorders>
            <w:shd w:val="clear" w:color="auto" w:fill="FFFFFF"/>
            <w:tcMar>
              <w:left w:w="115" w:type="dxa"/>
              <w:right w:w="115" w:type="dxa"/>
            </w:tcMar>
            <w:vAlign w:val="bottom"/>
          </w:tcPr>
          <w:p w14:paraId="387EDF4F" w14:textId="77777777" w:rsidR="00724034" w:rsidRDefault="00FB7D0B">
            <w:pPr>
              <w:jc w:val="right"/>
              <w:rPr>
                <w:rFonts w:ascii="Arial" w:eastAsia="Arial" w:hAnsi="Arial" w:cs="Arial"/>
                <w:color w:val="000000"/>
                <w:sz w:val="16"/>
              </w:rPr>
            </w:pPr>
            <w:r>
              <w:rPr>
                <w:rFonts w:ascii="Arial" w:eastAsia="Arial" w:hAnsi="Arial" w:cs="Arial"/>
                <w:color w:val="000000"/>
                <w:sz w:val="16"/>
              </w:rPr>
              <w:t>3,239 </w:t>
            </w:r>
          </w:p>
        </w:tc>
      </w:tr>
      <w:tr w:rsidR="00724034" w14:paraId="6AE83AC5" w14:textId="77777777">
        <w:trPr>
          <w:trHeight w:val="225"/>
        </w:trPr>
        <w:tc>
          <w:tcPr>
            <w:tcW w:w="3210" w:type="dxa"/>
            <w:tcBorders>
              <w:top w:val="single" w:sz="6" w:space="0" w:color="FFFFFF"/>
              <w:left w:val="single" w:sz="6" w:space="0" w:color="000000"/>
              <w:bottom w:val="single" w:sz="6" w:space="0" w:color="000000"/>
              <w:right w:val="nil"/>
              <w:tl2br w:val="nil"/>
              <w:tr2bl w:val="nil"/>
            </w:tcBorders>
            <w:shd w:val="clear" w:color="auto" w:fill="FFFFFF"/>
            <w:tcMar>
              <w:left w:w="115" w:type="dxa"/>
              <w:right w:w="115" w:type="dxa"/>
            </w:tcMar>
            <w:vAlign w:val="bottom"/>
          </w:tcPr>
          <w:p w14:paraId="02547F83" w14:textId="77777777" w:rsidR="00724034" w:rsidRDefault="00FB7D0B">
            <w:pPr>
              <w:rPr>
                <w:rFonts w:ascii="Arial" w:eastAsia="Arial" w:hAnsi="Arial" w:cs="Arial"/>
                <w:color w:val="000000"/>
                <w:sz w:val="16"/>
              </w:rPr>
            </w:pPr>
            <w:r>
              <w:rPr>
                <w:rFonts w:ascii="Arial" w:eastAsia="Arial" w:hAnsi="Arial" w:cs="Arial"/>
                <w:color w:val="000000"/>
                <w:sz w:val="16"/>
              </w:rPr>
              <w:t>Manage Gallipoli related works</w:t>
            </w:r>
          </w:p>
        </w:tc>
        <w:tc>
          <w:tcPr>
            <w:tcW w:w="975"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7EAC652E" w14:textId="77777777" w:rsidR="00724034" w:rsidRDefault="00FB7D0B">
            <w:pPr>
              <w:jc w:val="right"/>
              <w:rPr>
                <w:rFonts w:ascii="Arial" w:eastAsia="Arial" w:hAnsi="Arial" w:cs="Arial"/>
                <w:color w:val="000000"/>
                <w:sz w:val="16"/>
                <w:vertAlign w:val="superscript"/>
              </w:rPr>
            </w:pPr>
            <w:r>
              <w:rPr>
                <w:rFonts w:ascii="Arial" w:eastAsia="Arial" w:hAnsi="Arial" w:cs="Arial"/>
                <w:color w:val="000000"/>
                <w:sz w:val="16"/>
              </w:rPr>
              <w:t xml:space="preserve"> 268 </w:t>
            </w:r>
          </w:p>
        </w:tc>
        <w:tc>
          <w:tcPr>
            <w:tcW w:w="975" w:type="dxa"/>
            <w:tcBorders>
              <w:top w:val="nil"/>
              <w:left w:val="nil"/>
              <w:bottom w:val="single" w:sz="6" w:space="0" w:color="000000"/>
              <w:right w:val="nil"/>
              <w:tl2br w:val="nil"/>
              <w:tr2bl w:val="nil"/>
            </w:tcBorders>
            <w:shd w:val="clear" w:color="auto" w:fill="FFFF00"/>
            <w:tcMar>
              <w:left w:w="115" w:type="dxa"/>
              <w:right w:w="115" w:type="dxa"/>
            </w:tcMar>
            <w:vAlign w:val="bottom"/>
          </w:tcPr>
          <w:p w14:paraId="36B29671" w14:textId="77777777" w:rsidR="00724034" w:rsidRDefault="00FB7D0B">
            <w:pPr>
              <w:jc w:val="right"/>
              <w:rPr>
                <w:rFonts w:ascii="Arial" w:eastAsia="Arial" w:hAnsi="Arial" w:cs="Arial"/>
                <w:color w:val="000000"/>
                <w:sz w:val="16"/>
              </w:rPr>
            </w:pPr>
            <w:r>
              <w:rPr>
                <w:rFonts w:ascii="Arial" w:eastAsia="Arial" w:hAnsi="Arial" w:cs="Arial"/>
                <w:color w:val="000000"/>
                <w:sz w:val="16"/>
              </w:rPr>
              <w:t xml:space="preserve"> - </w:t>
            </w:r>
          </w:p>
        </w:tc>
        <w:tc>
          <w:tcPr>
            <w:tcW w:w="975"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7C4239D9" w14:textId="77777777" w:rsidR="00724034" w:rsidRDefault="00FB7D0B">
            <w:pPr>
              <w:jc w:val="right"/>
              <w:rPr>
                <w:rFonts w:ascii="Arial" w:eastAsia="Arial" w:hAnsi="Arial" w:cs="Arial"/>
                <w:color w:val="000000"/>
                <w:sz w:val="16"/>
              </w:rPr>
            </w:pPr>
            <w:r>
              <w:rPr>
                <w:rFonts w:ascii="Arial" w:eastAsia="Arial" w:hAnsi="Arial" w:cs="Arial"/>
                <w:color w:val="000000"/>
                <w:sz w:val="16"/>
              </w:rPr>
              <w:t xml:space="preserve"> - </w:t>
            </w:r>
          </w:p>
        </w:tc>
        <w:tc>
          <w:tcPr>
            <w:tcW w:w="975"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13B24101" w14:textId="77777777" w:rsidR="00724034" w:rsidRDefault="00FB7D0B">
            <w:pPr>
              <w:jc w:val="right"/>
              <w:rPr>
                <w:rFonts w:ascii="Arial" w:eastAsia="Arial" w:hAnsi="Arial" w:cs="Arial"/>
                <w:color w:val="000000"/>
                <w:sz w:val="16"/>
              </w:rPr>
            </w:pPr>
            <w:r>
              <w:rPr>
                <w:rFonts w:ascii="Arial" w:eastAsia="Arial" w:hAnsi="Arial" w:cs="Arial"/>
                <w:color w:val="000000"/>
                <w:sz w:val="16"/>
              </w:rPr>
              <w:t xml:space="preserve"> - </w:t>
            </w:r>
          </w:p>
        </w:tc>
        <w:tc>
          <w:tcPr>
            <w:tcW w:w="975" w:type="dxa"/>
            <w:tcBorders>
              <w:top w:val="nil"/>
              <w:left w:val="nil"/>
              <w:bottom w:val="single" w:sz="6" w:space="0" w:color="000000"/>
              <w:right w:val="single" w:sz="6" w:space="0" w:color="000000"/>
              <w:tl2br w:val="nil"/>
              <w:tr2bl w:val="nil"/>
            </w:tcBorders>
            <w:shd w:val="clear" w:color="auto" w:fill="FFFFFF"/>
            <w:tcMar>
              <w:left w:w="115" w:type="dxa"/>
              <w:right w:w="115" w:type="dxa"/>
            </w:tcMar>
            <w:vAlign w:val="bottom"/>
          </w:tcPr>
          <w:p w14:paraId="387490EA" w14:textId="77777777" w:rsidR="00724034" w:rsidRDefault="00FB7D0B">
            <w:pPr>
              <w:jc w:val="right"/>
              <w:rPr>
                <w:rFonts w:ascii="Arial" w:eastAsia="Arial" w:hAnsi="Arial" w:cs="Arial"/>
                <w:color w:val="000000"/>
                <w:sz w:val="16"/>
              </w:rPr>
            </w:pPr>
            <w:r>
              <w:rPr>
                <w:rFonts w:ascii="Arial" w:eastAsia="Arial" w:hAnsi="Arial" w:cs="Arial"/>
                <w:color w:val="000000"/>
                <w:sz w:val="16"/>
              </w:rPr>
              <w:t xml:space="preserve"> - </w:t>
            </w:r>
          </w:p>
        </w:tc>
      </w:tr>
      <w:tr w:rsidR="00724034" w14:paraId="73FC8E30" w14:textId="77777777">
        <w:trPr>
          <w:trHeight w:val="60"/>
        </w:trPr>
        <w:tc>
          <w:tcPr>
            <w:tcW w:w="3210"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6A2388A2" w14:textId="77777777" w:rsidR="00724034" w:rsidRDefault="00724034">
            <w:pPr>
              <w:rPr>
                <w:rFonts w:ascii="Arial" w:eastAsia="Arial" w:hAnsi="Arial" w:cs="Arial"/>
                <w:color w:val="000000"/>
                <w:sz w:val="16"/>
              </w:rPr>
            </w:pPr>
          </w:p>
        </w:tc>
        <w:tc>
          <w:tcPr>
            <w:tcW w:w="975"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703D8C6F" w14:textId="77777777" w:rsidR="00724034" w:rsidRDefault="00724034">
            <w:pPr>
              <w:rPr>
                <w:rFonts w:ascii="Arial" w:eastAsia="Arial" w:hAnsi="Arial" w:cs="Arial"/>
                <w:color w:val="000000"/>
                <w:sz w:val="16"/>
                <w:vertAlign w:val="superscript"/>
              </w:rPr>
            </w:pPr>
          </w:p>
        </w:tc>
        <w:tc>
          <w:tcPr>
            <w:tcW w:w="975"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04417983" w14:textId="77777777" w:rsidR="00724034" w:rsidRDefault="00724034">
            <w:pPr>
              <w:rPr>
                <w:rFonts w:ascii="Arial" w:eastAsia="Arial" w:hAnsi="Arial" w:cs="Arial"/>
                <w:color w:val="000000"/>
                <w:sz w:val="16"/>
                <w:vertAlign w:val="superscript"/>
              </w:rPr>
            </w:pPr>
          </w:p>
        </w:tc>
        <w:tc>
          <w:tcPr>
            <w:tcW w:w="975"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5EDF3B61" w14:textId="77777777" w:rsidR="00724034" w:rsidRDefault="00724034">
            <w:pPr>
              <w:rPr>
                <w:rFonts w:ascii="Arial" w:eastAsia="Arial" w:hAnsi="Arial" w:cs="Arial"/>
                <w:color w:val="000000"/>
                <w:sz w:val="16"/>
                <w:vertAlign w:val="superscript"/>
              </w:rPr>
            </w:pPr>
          </w:p>
        </w:tc>
        <w:tc>
          <w:tcPr>
            <w:tcW w:w="975"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34F5D932" w14:textId="77777777" w:rsidR="00724034" w:rsidRDefault="00724034">
            <w:pPr>
              <w:rPr>
                <w:rFonts w:ascii="Arial" w:eastAsia="Arial" w:hAnsi="Arial" w:cs="Arial"/>
                <w:color w:val="000000"/>
                <w:sz w:val="16"/>
                <w:vertAlign w:val="superscript"/>
              </w:rPr>
            </w:pPr>
          </w:p>
        </w:tc>
        <w:tc>
          <w:tcPr>
            <w:tcW w:w="975"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569A2EA7" w14:textId="77777777" w:rsidR="00724034" w:rsidRDefault="00724034">
            <w:pPr>
              <w:rPr>
                <w:rFonts w:ascii="Arial" w:eastAsia="Arial" w:hAnsi="Arial" w:cs="Arial"/>
                <w:color w:val="000000"/>
                <w:sz w:val="16"/>
                <w:vertAlign w:val="superscript"/>
              </w:rPr>
            </w:pPr>
          </w:p>
        </w:tc>
      </w:tr>
      <w:tr w:rsidR="00724034" w14:paraId="26C3D581" w14:textId="77777777" w:rsidTr="003F0EEA">
        <w:tblPrEx>
          <w:tblLook w:val="01E0" w:firstRow="1" w:lastRow="1" w:firstColumn="1" w:lastColumn="1" w:noHBand="0" w:noVBand="0"/>
        </w:tblPrEx>
        <w:tc>
          <w:tcPr>
            <w:tcW w:w="8080" w:type="dxa"/>
            <w:gridSpan w:val="6"/>
            <w:tcBorders>
              <w:top w:val="single" w:sz="4" w:space="0" w:color="auto"/>
              <w:left w:val="single" w:sz="4" w:space="0" w:color="auto"/>
              <w:bottom w:val="single" w:sz="4" w:space="0" w:color="auto"/>
              <w:right w:val="single" w:sz="4" w:space="0" w:color="auto"/>
            </w:tcBorders>
          </w:tcPr>
          <w:p w14:paraId="3AE7B941" w14:textId="77777777" w:rsidR="003F0EEA" w:rsidRDefault="00FB7D0B" w:rsidP="003F0EEA">
            <w:pPr>
              <w:pStyle w:val="TableTextLeft42"/>
              <w:rPr>
                <w:b/>
              </w:rPr>
            </w:pPr>
            <w:r>
              <w:rPr>
                <w:b/>
              </w:rPr>
              <w:t>Programme 3.2 key performance targets</w:t>
            </w:r>
          </w:p>
          <w:p w14:paraId="66BAC927" w14:textId="77777777" w:rsidR="003F0EEA" w:rsidRDefault="00FB7D0B" w:rsidP="003F0EEA">
            <w:pPr>
              <w:pStyle w:val="TableTextBullet21"/>
              <w:numPr>
                <w:ilvl w:val="0"/>
                <w:numId w:val="0"/>
              </w:numPr>
            </w:pPr>
            <w:r>
              <w:t>Deliver commemorative and associated activities at Gallipoli.</w:t>
            </w:r>
          </w:p>
        </w:tc>
      </w:tr>
      <w:tr w:rsidR="00724034" w14:paraId="1663BA47" w14:textId="77777777">
        <w:trPr>
          <w:trHeight w:val="225"/>
        </w:trPr>
        <w:tc>
          <w:tcPr>
            <w:tcW w:w="3210" w:type="dxa"/>
            <w:tcBorders>
              <w:top w:val="single" w:sz="6" w:space="0" w:color="000000"/>
              <w:left w:val="single" w:sz="6" w:space="0" w:color="000000"/>
              <w:bottom w:val="nil"/>
              <w:right w:val="nil"/>
              <w:tl2br w:val="nil"/>
              <w:tr2bl w:val="nil"/>
            </w:tcBorders>
            <w:shd w:val="clear" w:color="auto" w:fill="FFFFFF"/>
            <w:tcMar>
              <w:left w:w="115" w:type="dxa"/>
              <w:right w:w="115" w:type="dxa"/>
            </w:tcMar>
            <w:vAlign w:val="bottom"/>
          </w:tcPr>
          <w:p w14:paraId="41E284C3" w14:textId="77777777" w:rsidR="00724034" w:rsidRDefault="00724034">
            <w:pPr>
              <w:jc w:val="center"/>
            </w:pPr>
          </w:p>
        </w:tc>
        <w:tc>
          <w:tcPr>
            <w:tcW w:w="975"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2A0C10F2" w14:textId="77777777" w:rsidR="00724034" w:rsidRDefault="00FB7D0B">
            <w:pPr>
              <w:jc w:val="right"/>
              <w:rPr>
                <w:rFonts w:ascii="Arial" w:eastAsia="Arial" w:hAnsi="Arial" w:cs="Arial"/>
                <w:b/>
                <w:color w:val="000000"/>
                <w:sz w:val="16"/>
              </w:rPr>
            </w:pPr>
            <w:r>
              <w:rPr>
                <w:rFonts w:ascii="Arial" w:eastAsia="Arial" w:hAnsi="Arial" w:cs="Arial"/>
                <w:color w:val="000000"/>
                <w:sz w:val="16"/>
              </w:rPr>
              <w:t>2013-14</w:t>
            </w:r>
          </w:p>
        </w:tc>
        <w:tc>
          <w:tcPr>
            <w:tcW w:w="975" w:type="dxa"/>
            <w:tcBorders>
              <w:top w:val="single" w:sz="6" w:space="0" w:color="000000"/>
              <w:left w:val="nil"/>
              <w:bottom w:val="nil"/>
              <w:right w:val="nil"/>
              <w:tl2br w:val="nil"/>
              <w:tr2bl w:val="nil"/>
            </w:tcBorders>
            <w:shd w:val="clear" w:color="auto" w:fill="FFFF00"/>
            <w:tcMar>
              <w:left w:w="115" w:type="dxa"/>
              <w:right w:w="115" w:type="dxa"/>
            </w:tcMar>
            <w:vAlign w:val="bottom"/>
          </w:tcPr>
          <w:p w14:paraId="2BF2E12B" w14:textId="77777777" w:rsidR="00724034" w:rsidRDefault="00FB7D0B">
            <w:pPr>
              <w:jc w:val="right"/>
              <w:rPr>
                <w:rFonts w:ascii="Arial" w:eastAsia="Arial" w:hAnsi="Arial" w:cs="Arial"/>
                <w:color w:val="000000"/>
                <w:sz w:val="16"/>
              </w:rPr>
            </w:pPr>
            <w:r>
              <w:rPr>
                <w:rFonts w:ascii="Arial" w:eastAsia="Arial" w:hAnsi="Arial" w:cs="Arial"/>
                <w:color w:val="000000"/>
                <w:sz w:val="16"/>
              </w:rPr>
              <w:t>2014-15</w:t>
            </w:r>
          </w:p>
        </w:tc>
        <w:tc>
          <w:tcPr>
            <w:tcW w:w="975"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1FB4EC84" w14:textId="77777777" w:rsidR="00724034" w:rsidRDefault="00FB7D0B">
            <w:pPr>
              <w:jc w:val="right"/>
              <w:rPr>
                <w:rFonts w:ascii="Arial" w:eastAsia="Arial" w:hAnsi="Arial" w:cs="Arial"/>
                <w:color w:val="000000"/>
                <w:sz w:val="16"/>
              </w:rPr>
            </w:pPr>
            <w:r>
              <w:rPr>
                <w:rFonts w:ascii="Arial" w:eastAsia="Arial" w:hAnsi="Arial" w:cs="Arial"/>
                <w:color w:val="000000"/>
                <w:sz w:val="16"/>
              </w:rPr>
              <w:t>2015-16</w:t>
            </w:r>
          </w:p>
        </w:tc>
        <w:tc>
          <w:tcPr>
            <w:tcW w:w="975"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7AE238C6" w14:textId="77777777" w:rsidR="00724034" w:rsidRDefault="00FB7D0B">
            <w:pPr>
              <w:jc w:val="right"/>
              <w:rPr>
                <w:rFonts w:ascii="Arial" w:eastAsia="Arial" w:hAnsi="Arial" w:cs="Arial"/>
                <w:color w:val="000000"/>
                <w:sz w:val="16"/>
              </w:rPr>
            </w:pPr>
            <w:r>
              <w:rPr>
                <w:rFonts w:ascii="Arial" w:eastAsia="Arial" w:hAnsi="Arial" w:cs="Arial"/>
                <w:color w:val="000000"/>
                <w:sz w:val="16"/>
              </w:rPr>
              <w:t>2016-17</w:t>
            </w:r>
          </w:p>
        </w:tc>
        <w:tc>
          <w:tcPr>
            <w:tcW w:w="975" w:type="dxa"/>
            <w:tcBorders>
              <w:top w:val="single" w:sz="6" w:space="0" w:color="000000"/>
              <w:left w:val="nil"/>
              <w:bottom w:val="nil"/>
              <w:right w:val="single" w:sz="6" w:space="0" w:color="000000"/>
              <w:tl2br w:val="nil"/>
              <w:tr2bl w:val="nil"/>
            </w:tcBorders>
            <w:shd w:val="clear" w:color="auto" w:fill="FFFFFF"/>
            <w:tcMar>
              <w:left w:w="115" w:type="dxa"/>
              <w:right w:w="115" w:type="dxa"/>
            </w:tcMar>
            <w:vAlign w:val="bottom"/>
          </w:tcPr>
          <w:p w14:paraId="53A9064E" w14:textId="77777777" w:rsidR="00724034" w:rsidRDefault="00FB7D0B">
            <w:pPr>
              <w:jc w:val="right"/>
              <w:rPr>
                <w:rFonts w:ascii="Arial" w:eastAsia="Arial" w:hAnsi="Arial" w:cs="Arial"/>
                <w:color w:val="000000"/>
                <w:sz w:val="16"/>
              </w:rPr>
            </w:pPr>
            <w:r>
              <w:rPr>
                <w:rFonts w:ascii="Arial" w:eastAsia="Arial" w:hAnsi="Arial" w:cs="Arial"/>
                <w:color w:val="000000"/>
                <w:sz w:val="16"/>
              </w:rPr>
              <w:t>2017-18</w:t>
            </w:r>
          </w:p>
        </w:tc>
      </w:tr>
      <w:tr w:rsidR="00724034" w14:paraId="65717FD5" w14:textId="77777777">
        <w:trPr>
          <w:trHeight w:val="225"/>
        </w:trPr>
        <w:tc>
          <w:tcPr>
            <w:tcW w:w="3210" w:type="dxa"/>
            <w:tcBorders>
              <w:top w:val="nil"/>
              <w:left w:val="single" w:sz="6" w:space="0" w:color="000000"/>
              <w:bottom w:val="nil"/>
              <w:right w:val="nil"/>
              <w:tl2br w:val="nil"/>
              <w:tr2bl w:val="nil"/>
            </w:tcBorders>
            <w:shd w:val="clear" w:color="auto" w:fill="FFFFFF"/>
            <w:tcMar>
              <w:left w:w="115" w:type="dxa"/>
              <w:right w:w="115" w:type="dxa"/>
            </w:tcMar>
            <w:vAlign w:val="bottom"/>
          </w:tcPr>
          <w:p w14:paraId="0AEDE467" w14:textId="77777777" w:rsidR="00724034" w:rsidRDefault="00FB7D0B">
            <w:pPr>
              <w:rPr>
                <w:rFonts w:ascii="Arial" w:eastAsia="Arial" w:hAnsi="Arial" w:cs="Arial"/>
                <w:color w:val="000000"/>
                <w:sz w:val="16"/>
              </w:rPr>
            </w:pPr>
            <w:r>
              <w:rPr>
                <w:rFonts w:ascii="Arial" w:eastAsia="Arial" w:hAnsi="Arial" w:cs="Arial"/>
                <w:color w:val="000000"/>
                <w:sz w:val="16"/>
              </w:rPr>
              <w:t>Key Performance</w:t>
            </w:r>
          </w:p>
        </w:tc>
        <w:tc>
          <w:tcPr>
            <w:tcW w:w="975" w:type="dxa"/>
            <w:tcBorders>
              <w:top w:val="nil"/>
              <w:left w:val="nil"/>
              <w:bottom w:val="nil"/>
              <w:right w:val="nil"/>
              <w:tl2br w:val="nil"/>
              <w:tr2bl w:val="nil"/>
            </w:tcBorders>
            <w:shd w:val="clear" w:color="auto" w:fill="FFFFFF"/>
            <w:tcMar>
              <w:left w:w="115" w:type="dxa"/>
              <w:right w:w="115" w:type="dxa"/>
            </w:tcMar>
            <w:vAlign w:val="bottom"/>
          </w:tcPr>
          <w:p w14:paraId="635FF625" w14:textId="77777777" w:rsidR="00724034" w:rsidRDefault="00FB7D0B">
            <w:pPr>
              <w:jc w:val="right"/>
              <w:rPr>
                <w:rFonts w:ascii="Arial" w:eastAsia="Arial" w:hAnsi="Arial" w:cs="Arial"/>
                <w:color w:val="000000"/>
                <w:sz w:val="16"/>
              </w:rPr>
            </w:pPr>
            <w:r>
              <w:rPr>
                <w:rFonts w:ascii="Arial" w:eastAsia="Arial" w:hAnsi="Arial" w:cs="Arial"/>
                <w:color w:val="000000"/>
                <w:sz w:val="16"/>
              </w:rPr>
              <w:t>Revised</w:t>
            </w:r>
          </w:p>
        </w:tc>
        <w:tc>
          <w:tcPr>
            <w:tcW w:w="975" w:type="dxa"/>
            <w:tcBorders>
              <w:top w:val="nil"/>
              <w:left w:val="nil"/>
              <w:bottom w:val="nil"/>
              <w:right w:val="nil"/>
              <w:tl2br w:val="nil"/>
              <w:tr2bl w:val="nil"/>
            </w:tcBorders>
            <w:shd w:val="clear" w:color="auto" w:fill="FFFF00"/>
            <w:tcMar>
              <w:left w:w="115" w:type="dxa"/>
              <w:right w:w="115" w:type="dxa"/>
            </w:tcMar>
            <w:vAlign w:val="bottom"/>
          </w:tcPr>
          <w:p w14:paraId="7372C227" w14:textId="77777777" w:rsidR="00724034" w:rsidRDefault="00FB7D0B">
            <w:pPr>
              <w:jc w:val="right"/>
              <w:rPr>
                <w:rFonts w:ascii="Arial" w:eastAsia="Arial" w:hAnsi="Arial" w:cs="Arial"/>
                <w:color w:val="000000"/>
                <w:sz w:val="16"/>
              </w:rPr>
            </w:pPr>
            <w:r>
              <w:rPr>
                <w:rFonts w:ascii="Arial" w:eastAsia="Arial" w:hAnsi="Arial" w:cs="Arial"/>
                <w:color w:val="000000"/>
                <w:sz w:val="16"/>
              </w:rPr>
              <w:t>Budget</w:t>
            </w:r>
          </w:p>
        </w:tc>
        <w:tc>
          <w:tcPr>
            <w:tcW w:w="975" w:type="dxa"/>
            <w:tcBorders>
              <w:top w:val="nil"/>
              <w:left w:val="nil"/>
              <w:bottom w:val="nil"/>
              <w:right w:val="nil"/>
              <w:tl2br w:val="nil"/>
              <w:tr2bl w:val="nil"/>
            </w:tcBorders>
            <w:shd w:val="clear" w:color="auto" w:fill="FFFFFF"/>
            <w:tcMar>
              <w:left w:w="115" w:type="dxa"/>
              <w:right w:w="115" w:type="dxa"/>
            </w:tcMar>
            <w:vAlign w:val="bottom"/>
          </w:tcPr>
          <w:p w14:paraId="148F54C5" w14:textId="77777777" w:rsidR="00724034" w:rsidRDefault="00FB7D0B">
            <w:pPr>
              <w:jc w:val="right"/>
              <w:rPr>
                <w:rFonts w:ascii="Arial" w:eastAsia="Arial" w:hAnsi="Arial" w:cs="Arial"/>
                <w:color w:val="000000"/>
                <w:sz w:val="16"/>
              </w:rPr>
            </w:pPr>
            <w:r>
              <w:rPr>
                <w:rFonts w:ascii="Arial" w:eastAsia="Arial" w:hAnsi="Arial" w:cs="Arial"/>
                <w:color w:val="000000"/>
                <w:sz w:val="16"/>
              </w:rPr>
              <w:t>Forward</w:t>
            </w:r>
          </w:p>
        </w:tc>
        <w:tc>
          <w:tcPr>
            <w:tcW w:w="975" w:type="dxa"/>
            <w:tcBorders>
              <w:top w:val="nil"/>
              <w:left w:val="nil"/>
              <w:bottom w:val="nil"/>
              <w:right w:val="nil"/>
              <w:tl2br w:val="nil"/>
              <w:tr2bl w:val="nil"/>
            </w:tcBorders>
            <w:shd w:val="clear" w:color="auto" w:fill="FFFFFF"/>
            <w:tcMar>
              <w:left w:w="115" w:type="dxa"/>
              <w:right w:w="115" w:type="dxa"/>
            </w:tcMar>
            <w:vAlign w:val="bottom"/>
          </w:tcPr>
          <w:p w14:paraId="59B3D41E" w14:textId="77777777" w:rsidR="00724034" w:rsidRDefault="00FB7D0B">
            <w:pPr>
              <w:jc w:val="right"/>
              <w:rPr>
                <w:rFonts w:ascii="Arial" w:eastAsia="Arial" w:hAnsi="Arial" w:cs="Arial"/>
                <w:color w:val="000000"/>
                <w:sz w:val="16"/>
              </w:rPr>
            </w:pPr>
            <w:r>
              <w:rPr>
                <w:rFonts w:ascii="Arial" w:eastAsia="Arial" w:hAnsi="Arial" w:cs="Arial"/>
                <w:color w:val="000000"/>
                <w:sz w:val="16"/>
              </w:rPr>
              <w:t>Forward</w:t>
            </w:r>
          </w:p>
        </w:tc>
        <w:tc>
          <w:tcPr>
            <w:tcW w:w="975" w:type="dxa"/>
            <w:tcBorders>
              <w:top w:val="nil"/>
              <w:left w:val="nil"/>
              <w:bottom w:val="nil"/>
              <w:right w:val="single" w:sz="6" w:space="0" w:color="000000"/>
              <w:tl2br w:val="nil"/>
              <w:tr2bl w:val="nil"/>
            </w:tcBorders>
            <w:shd w:val="clear" w:color="auto" w:fill="FFFFFF"/>
            <w:tcMar>
              <w:left w:w="115" w:type="dxa"/>
              <w:right w:w="115" w:type="dxa"/>
            </w:tcMar>
            <w:vAlign w:val="bottom"/>
          </w:tcPr>
          <w:p w14:paraId="62DD78D5" w14:textId="77777777" w:rsidR="00724034" w:rsidRDefault="00FB7D0B">
            <w:pPr>
              <w:jc w:val="right"/>
              <w:rPr>
                <w:rFonts w:ascii="Arial" w:eastAsia="Arial" w:hAnsi="Arial" w:cs="Arial"/>
                <w:color w:val="000000"/>
                <w:sz w:val="16"/>
              </w:rPr>
            </w:pPr>
            <w:r>
              <w:rPr>
                <w:rFonts w:ascii="Arial" w:eastAsia="Arial" w:hAnsi="Arial" w:cs="Arial"/>
                <w:color w:val="000000"/>
                <w:sz w:val="16"/>
              </w:rPr>
              <w:t>Forward</w:t>
            </w:r>
          </w:p>
        </w:tc>
      </w:tr>
      <w:tr w:rsidR="00724034" w14:paraId="324B2D79" w14:textId="77777777">
        <w:trPr>
          <w:trHeight w:val="225"/>
        </w:trPr>
        <w:tc>
          <w:tcPr>
            <w:tcW w:w="3210" w:type="dxa"/>
            <w:tcBorders>
              <w:top w:val="nil"/>
              <w:left w:val="single" w:sz="6" w:space="0" w:color="000000"/>
              <w:bottom w:val="single" w:sz="6" w:space="0" w:color="000000"/>
              <w:right w:val="nil"/>
              <w:tl2br w:val="nil"/>
              <w:tr2bl w:val="nil"/>
            </w:tcBorders>
            <w:shd w:val="clear" w:color="auto" w:fill="FFFFFF"/>
            <w:tcMar>
              <w:left w:w="115" w:type="dxa"/>
              <w:right w:w="115" w:type="dxa"/>
            </w:tcMar>
            <w:vAlign w:val="bottom"/>
          </w:tcPr>
          <w:p w14:paraId="4E420344" w14:textId="77777777" w:rsidR="00724034" w:rsidRDefault="00FB7D0B">
            <w:pPr>
              <w:rPr>
                <w:rFonts w:ascii="Arial" w:eastAsia="Arial" w:hAnsi="Arial" w:cs="Arial"/>
                <w:color w:val="000000"/>
                <w:sz w:val="16"/>
              </w:rPr>
            </w:pPr>
            <w:r>
              <w:rPr>
                <w:rFonts w:ascii="Arial" w:eastAsia="Arial" w:hAnsi="Arial" w:cs="Arial"/>
                <w:color w:val="000000"/>
                <w:sz w:val="16"/>
              </w:rPr>
              <w:t>Indicators</w:t>
            </w:r>
          </w:p>
        </w:tc>
        <w:tc>
          <w:tcPr>
            <w:tcW w:w="975"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55842F54" w14:textId="77777777" w:rsidR="00724034" w:rsidRDefault="00FB7D0B">
            <w:pPr>
              <w:jc w:val="right"/>
              <w:rPr>
                <w:rFonts w:ascii="Arial" w:eastAsia="Arial" w:hAnsi="Arial" w:cs="Arial"/>
                <w:color w:val="000000"/>
                <w:sz w:val="16"/>
              </w:rPr>
            </w:pPr>
            <w:r>
              <w:rPr>
                <w:rFonts w:ascii="Arial" w:eastAsia="Arial" w:hAnsi="Arial" w:cs="Arial"/>
                <w:color w:val="000000"/>
                <w:sz w:val="16"/>
              </w:rPr>
              <w:t>budget</w:t>
            </w:r>
          </w:p>
        </w:tc>
        <w:tc>
          <w:tcPr>
            <w:tcW w:w="975" w:type="dxa"/>
            <w:tcBorders>
              <w:top w:val="nil"/>
              <w:left w:val="nil"/>
              <w:bottom w:val="single" w:sz="6" w:space="0" w:color="000000"/>
              <w:right w:val="nil"/>
              <w:tl2br w:val="nil"/>
              <w:tr2bl w:val="nil"/>
            </w:tcBorders>
            <w:shd w:val="clear" w:color="auto" w:fill="FFFF00"/>
            <w:tcMar>
              <w:left w:w="115" w:type="dxa"/>
              <w:right w:w="115" w:type="dxa"/>
            </w:tcMar>
            <w:vAlign w:val="bottom"/>
          </w:tcPr>
          <w:p w14:paraId="4B188B5F" w14:textId="77777777" w:rsidR="00724034" w:rsidRDefault="00FB7D0B">
            <w:pPr>
              <w:jc w:val="right"/>
              <w:rPr>
                <w:rFonts w:ascii="Arial" w:eastAsia="Arial" w:hAnsi="Arial" w:cs="Arial"/>
                <w:color w:val="000000"/>
                <w:sz w:val="16"/>
              </w:rPr>
            </w:pPr>
            <w:r>
              <w:rPr>
                <w:rFonts w:ascii="Arial" w:eastAsia="Arial" w:hAnsi="Arial" w:cs="Arial"/>
                <w:color w:val="000000"/>
                <w:sz w:val="16"/>
              </w:rPr>
              <w:t>target</w:t>
            </w:r>
          </w:p>
        </w:tc>
        <w:tc>
          <w:tcPr>
            <w:tcW w:w="975"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07A79DE5" w14:textId="77777777" w:rsidR="00724034" w:rsidRDefault="00FB7D0B">
            <w:pPr>
              <w:jc w:val="right"/>
              <w:rPr>
                <w:rFonts w:ascii="Arial" w:eastAsia="Arial" w:hAnsi="Arial" w:cs="Arial"/>
                <w:color w:val="000000"/>
                <w:sz w:val="16"/>
              </w:rPr>
            </w:pPr>
            <w:r>
              <w:rPr>
                <w:rFonts w:ascii="Arial" w:eastAsia="Arial" w:hAnsi="Arial" w:cs="Arial"/>
                <w:color w:val="000000"/>
                <w:sz w:val="16"/>
              </w:rPr>
              <w:t>year 1</w:t>
            </w:r>
          </w:p>
        </w:tc>
        <w:tc>
          <w:tcPr>
            <w:tcW w:w="975"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446120A0" w14:textId="77777777" w:rsidR="00724034" w:rsidRDefault="00FB7D0B">
            <w:pPr>
              <w:jc w:val="right"/>
              <w:rPr>
                <w:rFonts w:ascii="Arial" w:eastAsia="Arial" w:hAnsi="Arial" w:cs="Arial"/>
                <w:color w:val="000000"/>
                <w:sz w:val="16"/>
              </w:rPr>
            </w:pPr>
            <w:r>
              <w:rPr>
                <w:rFonts w:ascii="Arial" w:eastAsia="Arial" w:hAnsi="Arial" w:cs="Arial"/>
                <w:color w:val="000000"/>
                <w:sz w:val="16"/>
              </w:rPr>
              <w:t>year 2</w:t>
            </w:r>
          </w:p>
        </w:tc>
        <w:tc>
          <w:tcPr>
            <w:tcW w:w="975" w:type="dxa"/>
            <w:tcBorders>
              <w:top w:val="nil"/>
              <w:left w:val="nil"/>
              <w:bottom w:val="single" w:sz="6" w:space="0" w:color="000000"/>
              <w:right w:val="single" w:sz="6" w:space="0" w:color="000000"/>
              <w:tl2br w:val="nil"/>
              <w:tr2bl w:val="nil"/>
            </w:tcBorders>
            <w:shd w:val="clear" w:color="auto" w:fill="FFFFFF"/>
            <w:tcMar>
              <w:left w:w="115" w:type="dxa"/>
              <w:right w:w="115" w:type="dxa"/>
            </w:tcMar>
            <w:vAlign w:val="bottom"/>
          </w:tcPr>
          <w:p w14:paraId="5D2D6A12" w14:textId="77777777" w:rsidR="00724034" w:rsidRDefault="00FB7D0B">
            <w:pPr>
              <w:jc w:val="right"/>
              <w:rPr>
                <w:rFonts w:ascii="Arial" w:eastAsia="Arial" w:hAnsi="Arial" w:cs="Arial"/>
                <w:color w:val="000000"/>
                <w:sz w:val="16"/>
              </w:rPr>
            </w:pPr>
            <w:r>
              <w:rPr>
                <w:rFonts w:ascii="Arial" w:eastAsia="Arial" w:hAnsi="Arial" w:cs="Arial"/>
                <w:color w:val="000000"/>
                <w:sz w:val="16"/>
              </w:rPr>
              <w:t>year 3</w:t>
            </w:r>
          </w:p>
        </w:tc>
      </w:tr>
      <w:tr w:rsidR="00724034" w14:paraId="0B719D74" w14:textId="77777777">
        <w:trPr>
          <w:trHeight w:hRule="exact" w:val="30"/>
        </w:trPr>
        <w:tc>
          <w:tcPr>
            <w:tcW w:w="3210" w:type="dxa"/>
            <w:tcBorders>
              <w:top w:val="single" w:sz="6" w:space="0" w:color="000000"/>
              <w:left w:val="single" w:sz="6" w:space="0" w:color="000000"/>
              <w:bottom w:val="nil"/>
              <w:right w:val="nil"/>
              <w:tl2br w:val="nil"/>
              <w:tr2bl w:val="nil"/>
            </w:tcBorders>
            <w:shd w:val="clear" w:color="auto" w:fill="FFFFFF"/>
            <w:tcMar>
              <w:left w:w="115" w:type="dxa"/>
              <w:right w:w="115" w:type="dxa"/>
            </w:tcMar>
            <w:vAlign w:val="bottom"/>
          </w:tcPr>
          <w:p w14:paraId="091C5B3E" w14:textId="77777777" w:rsidR="00724034" w:rsidRDefault="00724034">
            <w:pPr>
              <w:rPr>
                <w:rFonts w:ascii="Arial" w:eastAsia="Arial" w:hAnsi="Arial" w:cs="Arial"/>
                <w:color w:val="000000"/>
                <w:sz w:val="16"/>
              </w:rPr>
            </w:pPr>
          </w:p>
        </w:tc>
        <w:tc>
          <w:tcPr>
            <w:tcW w:w="975"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1FE51CA9" w14:textId="77777777" w:rsidR="00724034" w:rsidRDefault="00724034">
            <w:pPr>
              <w:jc w:val="right"/>
              <w:rPr>
                <w:rFonts w:ascii="Arial" w:eastAsia="Arial" w:hAnsi="Arial" w:cs="Arial"/>
                <w:color w:val="000000"/>
                <w:sz w:val="16"/>
              </w:rPr>
            </w:pPr>
          </w:p>
        </w:tc>
        <w:tc>
          <w:tcPr>
            <w:tcW w:w="975" w:type="dxa"/>
            <w:tcBorders>
              <w:top w:val="single" w:sz="6" w:space="0" w:color="000000"/>
              <w:left w:val="nil"/>
              <w:bottom w:val="nil"/>
              <w:right w:val="nil"/>
              <w:tl2br w:val="nil"/>
              <w:tr2bl w:val="nil"/>
            </w:tcBorders>
            <w:shd w:val="clear" w:color="auto" w:fill="FFFF00"/>
            <w:tcMar>
              <w:left w:w="115" w:type="dxa"/>
              <w:right w:w="115" w:type="dxa"/>
            </w:tcMar>
            <w:vAlign w:val="bottom"/>
          </w:tcPr>
          <w:p w14:paraId="33894FA5" w14:textId="77777777" w:rsidR="00724034" w:rsidRDefault="00724034">
            <w:pPr>
              <w:jc w:val="right"/>
              <w:rPr>
                <w:rFonts w:ascii="Arial" w:eastAsia="Arial" w:hAnsi="Arial" w:cs="Arial"/>
                <w:color w:val="000000"/>
                <w:sz w:val="16"/>
              </w:rPr>
            </w:pPr>
          </w:p>
        </w:tc>
        <w:tc>
          <w:tcPr>
            <w:tcW w:w="975"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35C13506" w14:textId="77777777" w:rsidR="00724034" w:rsidRDefault="00724034">
            <w:pPr>
              <w:jc w:val="right"/>
              <w:rPr>
                <w:rFonts w:ascii="Arial" w:eastAsia="Arial" w:hAnsi="Arial" w:cs="Arial"/>
                <w:color w:val="000000"/>
                <w:sz w:val="16"/>
              </w:rPr>
            </w:pPr>
          </w:p>
        </w:tc>
        <w:tc>
          <w:tcPr>
            <w:tcW w:w="975"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501BF6FA" w14:textId="77777777" w:rsidR="00724034" w:rsidRDefault="00724034">
            <w:pPr>
              <w:jc w:val="right"/>
              <w:rPr>
                <w:rFonts w:ascii="Arial" w:eastAsia="Arial" w:hAnsi="Arial" w:cs="Arial"/>
                <w:color w:val="000000"/>
                <w:sz w:val="16"/>
              </w:rPr>
            </w:pPr>
          </w:p>
        </w:tc>
        <w:tc>
          <w:tcPr>
            <w:tcW w:w="975" w:type="dxa"/>
            <w:tcBorders>
              <w:top w:val="single" w:sz="6" w:space="0" w:color="000000"/>
              <w:left w:val="nil"/>
              <w:bottom w:val="nil"/>
              <w:right w:val="single" w:sz="6" w:space="0" w:color="000000"/>
              <w:tl2br w:val="nil"/>
              <w:tr2bl w:val="nil"/>
            </w:tcBorders>
            <w:shd w:val="clear" w:color="auto" w:fill="FFFFFF"/>
            <w:tcMar>
              <w:left w:w="115" w:type="dxa"/>
              <w:right w:w="115" w:type="dxa"/>
            </w:tcMar>
            <w:vAlign w:val="bottom"/>
          </w:tcPr>
          <w:p w14:paraId="5BDEBFD1" w14:textId="77777777" w:rsidR="00724034" w:rsidRDefault="00724034">
            <w:pPr>
              <w:jc w:val="right"/>
              <w:rPr>
                <w:rFonts w:ascii="Arial" w:eastAsia="Arial" w:hAnsi="Arial" w:cs="Arial"/>
                <w:color w:val="000000"/>
                <w:sz w:val="16"/>
              </w:rPr>
            </w:pPr>
          </w:p>
        </w:tc>
      </w:tr>
      <w:tr w:rsidR="00724034" w14:paraId="134FC46A" w14:textId="77777777">
        <w:trPr>
          <w:trHeight w:val="465"/>
        </w:trPr>
        <w:tc>
          <w:tcPr>
            <w:tcW w:w="3210" w:type="dxa"/>
            <w:tcBorders>
              <w:top w:val="nil"/>
              <w:left w:val="single" w:sz="6" w:space="0" w:color="000000"/>
              <w:bottom w:val="nil"/>
              <w:right w:val="nil"/>
              <w:tl2br w:val="nil"/>
              <w:tr2bl w:val="nil"/>
            </w:tcBorders>
            <w:shd w:val="clear" w:color="auto" w:fill="FFFFFF"/>
            <w:tcMar>
              <w:left w:w="115" w:type="dxa"/>
              <w:right w:w="115" w:type="dxa"/>
            </w:tcMar>
            <w:vAlign w:val="bottom"/>
          </w:tcPr>
          <w:p w14:paraId="20B22D88" w14:textId="77777777" w:rsidR="00724034" w:rsidRDefault="00FB7D0B">
            <w:pPr>
              <w:rPr>
                <w:rFonts w:ascii="Arial" w:eastAsia="Arial" w:hAnsi="Arial" w:cs="Arial"/>
                <w:color w:val="000000"/>
                <w:sz w:val="16"/>
              </w:rPr>
            </w:pPr>
            <w:r>
              <w:rPr>
                <w:rFonts w:ascii="Arial" w:eastAsia="Arial" w:hAnsi="Arial" w:cs="Arial"/>
                <w:color w:val="000000"/>
                <w:sz w:val="16"/>
              </w:rPr>
              <w:t>Quality: Level of community engagement and satisfaction</w:t>
            </w:r>
          </w:p>
        </w:tc>
        <w:tc>
          <w:tcPr>
            <w:tcW w:w="975" w:type="dxa"/>
            <w:tcBorders>
              <w:top w:val="nil"/>
              <w:left w:val="nil"/>
              <w:bottom w:val="nil"/>
              <w:right w:val="nil"/>
              <w:tl2br w:val="nil"/>
              <w:tr2bl w:val="nil"/>
            </w:tcBorders>
            <w:shd w:val="clear" w:color="auto" w:fill="FFFFFF"/>
            <w:tcMar>
              <w:left w:w="115" w:type="dxa"/>
              <w:right w:w="115" w:type="dxa"/>
            </w:tcMar>
            <w:vAlign w:val="bottom"/>
          </w:tcPr>
          <w:p w14:paraId="6E896B55" w14:textId="77777777" w:rsidR="00724034" w:rsidRDefault="00FB7D0B">
            <w:pPr>
              <w:jc w:val="right"/>
              <w:rPr>
                <w:rFonts w:ascii="Arial" w:eastAsia="Arial" w:hAnsi="Arial" w:cs="Arial"/>
                <w:color w:val="000000"/>
                <w:sz w:val="16"/>
              </w:rPr>
            </w:pPr>
            <w:r>
              <w:rPr>
                <w:rFonts w:ascii="Arial" w:eastAsia="Arial" w:hAnsi="Arial" w:cs="Arial"/>
                <w:color w:val="000000"/>
                <w:sz w:val="16"/>
              </w:rPr>
              <w:t>High</w:t>
            </w:r>
          </w:p>
        </w:tc>
        <w:tc>
          <w:tcPr>
            <w:tcW w:w="975" w:type="dxa"/>
            <w:tcBorders>
              <w:top w:val="nil"/>
              <w:left w:val="nil"/>
              <w:bottom w:val="nil"/>
              <w:right w:val="nil"/>
              <w:tl2br w:val="nil"/>
              <w:tr2bl w:val="nil"/>
            </w:tcBorders>
            <w:shd w:val="clear" w:color="auto" w:fill="FFFF00"/>
            <w:tcMar>
              <w:left w:w="115" w:type="dxa"/>
              <w:right w:w="115" w:type="dxa"/>
            </w:tcMar>
            <w:vAlign w:val="bottom"/>
          </w:tcPr>
          <w:p w14:paraId="28E78D2C" w14:textId="77777777" w:rsidR="00724034" w:rsidRDefault="00FB7D0B">
            <w:pPr>
              <w:jc w:val="right"/>
              <w:rPr>
                <w:rFonts w:ascii="Arial" w:eastAsia="Arial" w:hAnsi="Arial" w:cs="Arial"/>
                <w:color w:val="000000"/>
                <w:sz w:val="16"/>
              </w:rPr>
            </w:pPr>
            <w:r>
              <w:rPr>
                <w:rFonts w:ascii="Arial" w:eastAsia="Arial" w:hAnsi="Arial" w:cs="Arial"/>
                <w:color w:val="000000"/>
                <w:sz w:val="16"/>
              </w:rPr>
              <w:t>High</w:t>
            </w:r>
          </w:p>
        </w:tc>
        <w:tc>
          <w:tcPr>
            <w:tcW w:w="975" w:type="dxa"/>
            <w:tcBorders>
              <w:top w:val="nil"/>
              <w:left w:val="nil"/>
              <w:bottom w:val="nil"/>
              <w:right w:val="nil"/>
              <w:tl2br w:val="nil"/>
              <w:tr2bl w:val="nil"/>
            </w:tcBorders>
            <w:shd w:val="clear" w:color="auto" w:fill="FFFFFF"/>
            <w:tcMar>
              <w:left w:w="115" w:type="dxa"/>
              <w:right w:w="115" w:type="dxa"/>
            </w:tcMar>
            <w:vAlign w:val="bottom"/>
          </w:tcPr>
          <w:p w14:paraId="561F9D09" w14:textId="77777777" w:rsidR="00724034" w:rsidRDefault="00FB7D0B">
            <w:pPr>
              <w:jc w:val="right"/>
              <w:rPr>
                <w:rFonts w:ascii="Arial" w:eastAsia="Arial" w:hAnsi="Arial" w:cs="Arial"/>
                <w:color w:val="000000"/>
                <w:sz w:val="16"/>
              </w:rPr>
            </w:pPr>
            <w:r>
              <w:rPr>
                <w:rFonts w:ascii="Arial" w:eastAsia="Arial" w:hAnsi="Arial" w:cs="Arial"/>
                <w:color w:val="000000"/>
                <w:sz w:val="16"/>
              </w:rPr>
              <w:t>High</w:t>
            </w:r>
          </w:p>
        </w:tc>
        <w:tc>
          <w:tcPr>
            <w:tcW w:w="975" w:type="dxa"/>
            <w:tcBorders>
              <w:top w:val="nil"/>
              <w:left w:val="nil"/>
              <w:bottom w:val="nil"/>
              <w:right w:val="nil"/>
              <w:tl2br w:val="nil"/>
              <w:tr2bl w:val="nil"/>
            </w:tcBorders>
            <w:shd w:val="clear" w:color="auto" w:fill="FFFFFF"/>
            <w:tcMar>
              <w:left w:w="115" w:type="dxa"/>
              <w:right w:w="115" w:type="dxa"/>
            </w:tcMar>
            <w:vAlign w:val="bottom"/>
          </w:tcPr>
          <w:p w14:paraId="15D84A1F" w14:textId="77777777" w:rsidR="00724034" w:rsidRDefault="00FB7D0B">
            <w:pPr>
              <w:jc w:val="right"/>
              <w:rPr>
                <w:rFonts w:ascii="Arial" w:eastAsia="Arial" w:hAnsi="Arial" w:cs="Arial"/>
                <w:color w:val="000000"/>
                <w:sz w:val="16"/>
              </w:rPr>
            </w:pPr>
            <w:r>
              <w:rPr>
                <w:rFonts w:ascii="Arial" w:eastAsia="Arial" w:hAnsi="Arial" w:cs="Arial"/>
                <w:color w:val="000000"/>
                <w:sz w:val="16"/>
              </w:rPr>
              <w:t>High</w:t>
            </w:r>
          </w:p>
        </w:tc>
        <w:tc>
          <w:tcPr>
            <w:tcW w:w="975" w:type="dxa"/>
            <w:tcBorders>
              <w:top w:val="nil"/>
              <w:left w:val="nil"/>
              <w:bottom w:val="nil"/>
              <w:right w:val="single" w:sz="6" w:space="0" w:color="000000"/>
              <w:tl2br w:val="nil"/>
              <w:tr2bl w:val="nil"/>
            </w:tcBorders>
            <w:shd w:val="clear" w:color="auto" w:fill="FFFFFF"/>
            <w:tcMar>
              <w:left w:w="115" w:type="dxa"/>
              <w:right w:w="115" w:type="dxa"/>
            </w:tcMar>
            <w:vAlign w:val="bottom"/>
          </w:tcPr>
          <w:p w14:paraId="25A057A9" w14:textId="77777777" w:rsidR="00724034" w:rsidRDefault="00FB7D0B">
            <w:pPr>
              <w:jc w:val="right"/>
              <w:rPr>
                <w:rFonts w:ascii="Arial" w:eastAsia="Arial" w:hAnsi="Arial" w:cs="Arial"/>
                <w:color w:val="000000"/>
                <w:sz w:val="16"/>
              </w:rPr>
            </w:pPr>
            <w:r>
              <w:rPr>
                <w:rFonts w:ascii="Arial" w:eastAsia="Arial" w:hAnsi="Arial" w:cs="Arial"/>
                <w:color w:val="000000"/>
                <w:sz w:val="16"/>
              </w:rPr>
              <w:t>High</w:t>
            </w:r>
          </w:p>
        </w:tc>
      </w:tr>
      <w:tr w:rsidR="00724034" w14:paraId="64BA69EE" w14:textId="77777777">
        <w:trPr>
          <w:trHeight w:hRule="exact" w:val="30"/>
        </w:trPr>
        <w:tc>
          <w:tcPr>
            <w:tcW w:w="3210" w:type="dxa"/>
            <w:tcBorders>
              <w:top w:val="nil"/>
              <w:left w:val="single" w:sz="6" w:space="0" w:color="000000"/>
              <w:bottom w:val="nil"/>
              <w:right w:val="nil"/>
              <w:tl2br w:val="nil"/>
              <w:tr2bl w:val="nil"/>
            </w:tcBorders>
            <w:shd w:val="clear" w:color="auto" w:fill="FFFFFF"/>
            <w:tcMar>
              <w:left w:w="115" w:type="dxa"/>
              <w:right w:w="115" w:type="dxa"/>
            </w:tcMar>
            <w:vAlign w:val="bottom"/>
          </w:tcPr>
          <w:p w14:paraId="762EDE10" w14:textId="77777777" w:rsidR="00724034" w:rsidRDefault="00724034">
            <w:pPr>
              <w:rPr>
                <w:rFonts w:ascii="Arial" w:eastAsia="Arial" w:hAnsi="Arial" w:cs="Arial"/>
                <w:color w:val="000000"/>
                <w:sz w:val="16"/>
              </w:rPr>
            </w:pPr>
          </w:p>
        </w:tc>
        <w:tc>
          <w:tcPr>
            <w:tcW w:w="975" w:type="dxa"/>
            <w:tcBorders>
              <w:top w:val="nil"/>
              <w:left w:val="nil"/>
              <w:bottom w:val="nil"/>
              <w:right w:val="nil"/>
              <w:tl2br w:val="nil"/>
              <w:tr2bl w:val="nil"/>
            </w:tcBorders>
            <w:shd w:val="clear" w:color="auto" w:fill="FFFFFF"/>
            <w:tcMar>
              <w:left w:w="115" w:type="dxa"/>
              <w:right w:w="115" w:type="dxa"/>
            </w:tcMar>
            <w:vAlign w:val="bottom"/>
          </w:tcPr>
          <w:p w14:paraId="7F09F78E" w14:textId="77777777" w:rsidR="00724034" w:rsidRDefault="00724034">
            <w:pPr>
              <w:jc w:val="right"/>
              <w:rPr>
                <w:rFonts w:ascii="Arial" w:eastAsia="Arial" w:hAnsi="Arial" w:cs="Arial"/>
                <w:color w:val="000000"/>
                <w:sz w:val="16"/>
              </w:rPr>
            </w:pPr>
          </w:p>
        </w:tc>
        <w:tc>
          <w:tcPr>
            <w:tcW w:w="975" w:type="dxa"/>
            <w:tcBorders>
              <w:top w:val="nil"/>
              <w:left w:val="nil"/>
              <w:bottom w:val="nil"/>
              <w:right w:val="nil"/>
              <w:tl2br w:val="nil"/>
              <w:tr2bl w:val="nil"/>
            </w:tcBorders>
            <w:shd w:val="clear" w:color="auto" w:fill="FFFF00"/>
            <w:tcMar>
              <w:left w:w="115" w:type="dxa"/>
              <w:right w:w="115" w:type="dxa"/>
            </w:tcMar>
            <w:vAlign w:val="bottom"/>
          </w:tcPr>
          <w:p w14:paraId="3C6B0A95" w14:textId="77777777" w:rsidR="00724034" w:rsidRDefault="00724034">
            <w:pPr>
              <w:jc w:val="right"/>
              <w:rPr>
                <w:rFonts w:ascii="Arial" w:eastAsia="Arial" w:hAnsi="Arial" w:cs="Arial"/>
                <w:color w:val="000000"/>
                <w:sz w:val="16"/>
              </w:rPr>
            </w:pPr>
          </w:p>
        </w:tc>
        <w:tc>
          <w:tcPr>
            <w:tcW w:w="975" w:type="dxa"/>
            <w:tcBorders>
              <w:top w:val="nil"/>
              <w:left w:val="nil"/>
              <w:bottom w:val="nil"/>
              <w:right w:val="nil"/>
              <w:tl2br w:val="nil"/>
              <w:tr2bl w:val="nil"/>
            </w:tcBorders>
            <w:shd w:val="clear" w:color="auto" w:fill="FFFFFF"/>
            <w:tcMar>
              <w:left w:w="115" w:type="dxa"/>
              <w:right w:w="115" w:type="dxa"/>
            </w:tcMar>
            <w:vAlign w:val="bottom"/>
          </w:tcPr>
          <w:p w14:paraId="7181C3AD" w14:textId="77777777" w:rsidR="00724034" w:rsidRDefault="00724034">
            <w:pPr>
              <w:jc w:val="right"/>
              <w:rPr>
                <w:rFonts w:ascii="Arial" w:eastAsia="Arial" w:hAnsi="Arial" w:cs="Arial"/>
                <w:color w:val="000000"/>
                <w:sz w:val="16"/>
              </w:rPr>
            </w:pPr>
          </w:p>
        </w:tc>
        <w:tc>
          <w:tcPr>
            <w:tcW w:w="975" w:type="dxa"/>
            <w:tcBorders>
              <w:top w:val="nil"/>
              <w:left w:val="nil"/>
              <w:bottom w:val="nil"/>
              <w:right w:val="nil"/>
              <w:tl2br w:val="nil"/>
              <w:tr2bl w:val="nil"/>
            </w:tcBorders>
            <w:shd w:val="clear" w:color="auto" w:fill="FFFFFF"/>
            <w:tcMar>
              <w:left w:w="115" w:type="dxa"/>
              <w:right w:w="115" w:type="dxa"/>
            </w:tcMar>
            <w:vAlign w:val="bottom"/>
          </w:tcPr>
          <w:p w14:paraId="1A3CC3FA" w14:textId="77777777" w:rsidR="00724034" w:rsidRDefault="00724034">
            <w:pPr>
              <w:jc w:val="right"/>
              <w:rPr>
                <w:rFonts w:ascii="Arial" w:eastAsia="Arial" w:hAnsi="Arial" w:cs="Arial"/>
                <w:color w:val="000000"/>
                <w:sz w:val="16"/>
              </w:rPr>
            </w:pPr>
          </w:p>
        </w:tc>
        <w:tc>
          <w:tcPr>
            <w:tcW w:w="975" w:type="dxa"/>
            <w:tcBorders>
              <w:top w:val="nil"/>
              <w:left w:val="nil"/>
              <w:bottom w:val="nil"/>
              <w:right w:val="single" w:sz="6" w:space="0" w:color="000000"/>
              <w:tl2br w:val="nil"/>
              <w:tr2bl w:val="nil"/>
            </w:tcBorders>
            <w:shd w:val="clear" w:color="auto" w:fill="FFFFFF"/>
            <w:tcMar>
              <w:left w:w="115" w:type="dxa"/>
              <w:right w:w="115" w:type="dxa"/>
            </w:tcMar>
            <w:vAlign w:val="bottom"/>
          </w:tcPr>
          <w:p w14:paraId="283718AD" w14:textId="77777777" w:rsidR="00724034" w:rsidRDefault="00724034">
            <w:pPr>
              <w:jc w:val="right"/>
              <w:rPr>
                <w:rFonts w:ascii="Arial" w:eastAsia="Arial" w:hAnsi="Arial" w:cs="Arial"/>
                <w:color w:val="000000"/>
                <w:sz w:val="16"/>
              </w:rPr>
            </w:pPr>
          </w:p>
        </w:tc>
      </w:tr>
      <w:tr w:rsidR="00724034" w14:paraId="7A5EC624" w14:textId="77777777">
        <w:trPr>
          <w:trHeight w:val="225"/>
        </w:trPr>
        <w:tc>
          <w:tcPr>
            <w:tcW w:w="3210" w:type="dxa"/>
            <w:tcBorders>
              <w:top w:val="nil"/>
              <w:left w:val="single" w:sz="6" w:space="0" w:color="000000"/>
              <w:bottom w:val="single" w:sz="6" w:space="0" w:color="000000"/>
              <w:right w:val="nil"/>
              <w:tl2br w:val="nil"/>
              <w:tr2bl w:val="nil"/>
            </w:tcBorders>
            <w:shd w:val="clear" w:color="auto" w:fill="FFFFFF"/>
            <w:tcMar>
              <w:left w:w="115" w:type="dxa"/>
              <w:right w:w="115" w:type="dxa"/>
            </w:tcMar>
            <w:vAlign w:val="bottom"/>
          </w:tcPr>
          <w:p w14:paraId="5E7EBB6E" w14:textId="77777777" w:rsidR="00724034" w:rsidRDefault="00FB7D0B">
            <w:pPr>
              <w:rPr>
                <w:rFonts w:ascii="Arial" w:eastAsia="Arial" w:hAnsi="Arial" w:cs="Arial"/>
                <w:color w:val="000000"/>
                <w:sz w:val="16"/>
              </w:rPr>
            </w:pPr>
            <w:r>
              <w:rPr>
                <w:rFonts w:ascii="Arial" w:eastAsia="Arial" w:hAnsi="Arial" w:cs="Arial"/>
                <w:color w:val="000000"/>
                <w:sz w:val="16"/>
              </w:rPr>
              <w:t>Quality: Media interest</w:t>
            </w:r>
          </w:p>
        </w:tc>
        <w:tc>
          <w:tcPr>
            <w:tcW w:w="975"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3EE96159" w14:textId="77777777" w:rsidR="00724034" w:rsidRDefault="00FB7D0B">
            <w:pPr>
              <w:jc w:val="right"/>
              <w:rPr>
                <w:rFonts w:ascii="Arial" w:eastAsia="Arial" w:hAnsi="Arial" w:cs="Arial"/>
                <w:color w:val="000000"/>
                <w:sz w:val="16"/>
              </w:rPr>
            </w:pPr>
            <w:r>
              <w:rPr>
                <w:rFonts w:ascii="Arial" w:eastAsia="Arial" w:hAnsi="Arial" w:cs="Arial"/>
                <w:color w:val="000000"/>
                <w:sz w:val="16"/>
              </w:rPr>
              <w:t>Positive</w:t>
            </w:r>
          </w:p>
        </w:tc>
        <w:tc>
          <w:tcPr>
            <w:tcW w:w="975" w:type="dxa"/>
            <w:tcBorders>
              <w:top w:val="nil"/>
              <w:left w:val="nil"/>
              <w:bottom w:val="single" w:sz="6" w:space="0" w:color="000000"/>
              <w:right w:val="nil"/>
              <w:tl2br w:val="nil"/>
              <w:tr2bl w:val="nil"/>
            </w:tcBorders>
            <w:shd w:val="clear" w:color="auto" w:fill="FFFF00"/>
            <w:tcMar>
              <w:left w:w="115" w:type="dxa"/>
              <w:right w:w="115" w:type="dxa"/>
            </w:tcMar>
            <w:vAlign w:val="bottom"/>
          </w:tcPr>
          <w:p w14:paraId="1A486CE0" w14:textId="77777777" w:rsidR="00724034" w:rsidRDefault="00FB7D0B">
            <w:pPr>
              <w:jc w:val="right"/>
              <w:rPr>
                <w:rFonts w:ascii="Arial" w:eastAsia="Arial" w:hAnsi="Arial" w:cs="Arial"/>
                <w:color w:val="000000"/>
                <w:sz w:val="16"/>
              </w:rPr>
            </w:pPr>
            <w:r>
              <w:rPr>
                <w:rFonts w:ascii="Arial" w:eastAsia="Arial" w:hAnsi="Arial" w:cs="Arial"/>
                <w:color w:val="000000"/>
                <w:sz w:val="16"/>
              </w:rPr>
              <w:t>Positive</w:t>
            </w:r>
          </w:p>
        </w:tc>
        <w:tc>
          <w:tcPr>
            <w:tcW w:w="975"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6785832C" w14:textId="77777777" w:rsidR="00724034" w:rsidRDefault="00FB7D0B">
            <w:pPr>
              <w:jc w:val="right"/>
              <w:rPr>
                <w:rFonts w:ascii="Arial" w:eastAsia="Arial" w:hAnsi="Arial" w:cs="Arial"/>
                <w:color w:val="000000"/>
                <w:sz w:val="16"/>
              </w:rPr>
            </w:pPr>
            <w:r>
              <w:rPr>
                <w:rFonts w:ascii="Arial" w:eastAsia="Arial" w:hAnsi="Arial" w:cs="Arial"/>
                <w:color w:val="000000"/>
                <w:sz w:val="16"/>
              </w:rPr>
              <w:t>Positive</w:t>
            </w:r>
          </w:p>
        </w:tc>
        <w:tc>
          <w:tcPr>
            <w:tcW w:w="975"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080618DD" w14:textId="77777777" w:rsidR="00724034" w:rsidRDefault="00FB7D0B">
            <w:pPr>
              <w:jc w:val="right"/>
              <w:rPr>
                <w:rFonts w:ascii="Arial" w:eastAsia="Arial" w:hAnsi="Arial" w:cs="Arial"/>
                <w:color w:val="000000"/>
                <w:sz w:val="16"/>
              </w:rPr>
            </w:pPr>
            <w:r>
              <w:rPr>
                <w:rFonts w:ascii="Arial" w:eastAsia="Arial" w:hAnsi="Arial" w:cs="Arial"/>
                <w:color w:val="000000"/>
                <w:sz w:val="16"/>
              </w:rPr>
              <w:t>Positive</w:t>
            </w:r>
          </w:p>
        </w:tc>
        <w:tc>
          <w:tcPr>
            <w:tcW w:w="975" w:type="dxa"/>
            <w:tcBorders>
              <w:top w:val="nil"/>
              <w:left w:val="nil"/>
              <w:bottom w:val="single" w:sz="6" w:space="0" w:color="000000"/>
              <w:right w:val="single" w:sz="6" w:space="0" w:color="000000"/>
              <w:tl2br w:val="nil"/>
              <w:tr2bl w:val="nil"/>
            </w:tcBorders>
            <w:shd w:val="clear" w:color="auto" w:fill="FFFFFF"/>
            <w:tcMar>
              <w:left w:w="115" w:type="dxa"/>
              <w:right w:w="115" w:type="dxa"/>
            </w:tcMar>
            <w:vAlign w:val="bottom"/>
          </w:tcPr>
          <w:p w14:paraId="6CF47CA5" w14:textId="77777777" w:rsidR="00724034" w:rsidRDefault="00FB7D0B">
            <w:pPr>
              <w:jc w:val="right"/>
              <w:rPr>
                <w:rFonts w:ascii="Arial" w:eastAsia="Arial" w:hAnsi="Arial" w:cs="Arial"/>
                <w:color w:val="000000"/>
                <w:sz w:val="16"/>
              </w:rPr>
            </w:pPr>
            <w:r>
              <w:rPr>
                <w:rFonts w:ascii="Arial" w:eastAsia="Arial" w:hAnsi="Arial" w:cs="Arial"/>
                <w:color w:val="000000"/>
                <w:sz w:val="16"/>
              </w:rPr>
              <w:t>Positive</w:t>
            </w:r>
          </w:p>
        </w:tc>
      </w:tr>
      <w:tr w:rsidR="00724034" w14:paraId="6C6F7CE8" w14:textId="77777777">
        <w:trPr>
          <w:trHeight w:hRule="exact" w:val="60"/>
        </w:trPr>
        <w:tc>
          <w:tcPr>
            <w:tcW w:w="3210" w:type="dxa"/>
            <w:tcBorders>
              <w:top w:val="single" w:sz="6" w:space="0" w:color="000000"/>
              <w:left w:val="nil"/>
              <w:bottom w:val="nil"/>
              <w:right w:val="nil"/>
              <w:tl2br w:val="nil"/>
              <w:tr2bl w:val="nil"/>
            </w:tcBorders>
            <w:shd w:val="clear" w:color="auto" w:fill="FFFFFF"/>
            <w:tcMar>
              <w:left w:w="115" w:type="dxa"/>
              <w:right w:w="115" w:type="dxa"/>
            </w:tcMar>
          </w:tcPr>
          <w:p w14:paraId="20E44B31" w14:textId="77777777" w:rsidR="00724034" w:rsidRDefault="00724034">
            <w:pPr>
              <w:rPr>
                <w:rFonts w:ascii="Arial" w:eastAsia="Arial" w:hAnsi="Arial" w:cs="Arial"/>
                <w:color w:val="000000"/>
                <w:sz w:val="16"/>
              </w:rPr>
            </w:pPr>
          </w:p>
        </w:tc>
        <w:tc>
          <w:tcPr>
            <w:tcW w:w="975" w:type="dxa"/>
            <w:tcBorders>
              <w:top w:val="single" w:sz="6" w:space="0" w:color="000000"/>
              <w:left w:val="nil"/>
              <w:bottom w:val="nil"/>
              <w:right w:val="nil"/>
              <w:tl2br w:val="nil"/>
              <w:tr2bl w:val="nil"/>
            </w:tcBorders>
            <w:shd w:val="clear" w:color="auto" w:fill="FFFFFF"/>
            <w:tcMar>
              <w:left w:w="115" w:type="dxa"/>
              <w:right w:w="115" w:type="dxa"/>
            </w:tcMar>
          </w:tcPr>
          <w:p w14:paraId="712550DE" w14:textId="77777777" w:rsidR="00724034" w:rsidRDefault="00724034">
            <w:pPr>
              <w:jc w:val="right"/>
              <w:rPr>
                <w:rFonts w:ascii="Arial" w:eastAsia="Arial" w:hAnsi="Arial" w:cs="Arial"/>
                <w:i/>
                <w:color w:val="000000"/>
                <w:sz w:val="16"/>
              </w:rPr>
            </w:pPr>
          </w:p>
        </w:tc>
        <w:tc>
          <w:tcPr>
            <w:tcW w:w="975" w:type="dxa"/>
            <w:tcBorders>
              <w:top w:val="single" w:sz="6" w:space="0" w:color="000000"/>
              <w:left w:val="nil"/>
              <w:bottom w:val="nil"/>
              <w:right w:val="nil"/>
              <w:tl2br w:val="nil"/>
              <w:tr2bl w:val="nil"/>
            </w:tcBorders>
            <w:shd w:val="clear" w:color="auto" w:fill="FFFFFF"/>
            <w:tcMar>
              <w:left w:w="115" w:type="dxa"/>
              <w:right w:w="115" w:type="dxa"/>
            </w:tcMar>
          </w:tcPr>
          <w:p w14:paraId="3F9C4C16" w14:textId="77777777" w:rsidR="00724034" w:rsidRDefault="00724034">
            <w:pPr>
              <w:jc w:val="right"/>
              <w:rPr>
                <w:rFonts w:ascii="Arial" w:eastAsia="Arial" w:hAnsi="Arial" w:cs="Arial"/>
                <w:color w:val="000000"/>
                <w:sz w:val="16"/>
              </w:rPr>
            </w:pPr>
          </w:p>
        </w:tc>
        <w:tc>
          <w:tcPr>
            <w:tcW w:w="975" w:type="dxa"/>
            <w:tcBorders>
              <w:top w:val="single" w:sz="6" w:space="0" w:color="000000"/>
              <w:left w:val="nil"/>
              <w:bottom w:val="nil"/>
              <w:right w:val="nil"/>
              <w:tl2br w:val="nil"/>
              <w:tr2bl w:val="nil"/>
            </w:tcBorders>
            <w:shd w:val="clear" w:color="auto" w:fill="FFFFFF"/>
            <w:tcMar>
              <w:left w:w="115" w:type="dxa"/>
              <w:right w:w="115" w:type="dxa"/>
            </w:tcMar>
          </w:tcPr>
          <w:p w14:paraId="6A1FB025" w14:textId="77777777" w:rsidR="00724034" w:rsidRDefault="00724034">
            <w:pPr>
              <w:jc w:val="right"/>
              <w:rPr>
                <w:rFonts w:ascii="Arial" w:eastAsia="Arial" w:hAnsi="Arial" w:cs="Arial"/>
                <w:color w:val="000000"/>
                <w:sz w:val="16"/>
              </w:rPr>
            </w:pPr>
          </w:p>
        </w:tc>
        <w:tc>
          <w:tcPr>
            <w:tcW w:w="975" w:type="dxa"/>
            <w:tcBorders>
              <w:top w:val="single" w:sz="6" w:space="0" w:color="000000"/>
              <w:left w:val="nil"/>
              <w:bottom w:val="nil"/>
              <w:right w:val="nil"/>
              <w:tl2br w:val="nil"/>
              <w:tr2bl w:val="nil"/>
            </w:tcBorders>
            <w:shd w:val="clear" w:color="auto" w:fill="FFFFFF"/>
            <w:tcMar>
              <w:left w:w="115" w:type="dxa"/>
              <w:right w:w="115" w:type="dxa"/>
            </w:tcMar>
          </w:tcPr>
          <w:p w14:paraId="5CB57892" w14:textId="77777777" w:rsidR="00724034" w:rsidRDefault="00724034">
            <w:pPr>
              <w:jc w:val="right"/>
              <w:rPr>
                <w:rFonts w:ascii="Arial" w:eastAsia="Arial" w:hAnsi="Arial" w:cs="Arial"/>
                <w:color w:val="000000"/>
                <w:sz w:val="16"/>
              </w:rPr>
            </w:pPr>
          </w:p>
        </w:tc>
        <w:tc>
          <w:tcPr>
            <w:tcW w:w="975" w:type="dxa"/>
            <w:tcBorders>
              <w:top w:val="single" w:sz="6" w:space="0" w:color="000000"/>
              <w:left w:val="nil"/>
              <w:bottom w:val="nil"/>
              <w:right w:val="nil"/>
              <w:tl2br w:val="nil"/>
              <w:tr2bl w:val="nil"/>
            </w:tcBorders>
            <w:shd w:val="clear" w:color="auto" w:fill="FFFFFF"/>
            <w:tcMar>
              <w:left w:w="115" w:type="dxa"/>
              <w:right w:w="115" w:type="dxa"/>
            </w:tcMar>
          </w:tcPr>
          <w:p w14:paraId="38DF5FEB" w14:textId="77777777" w:rsidR="00724034" w:rsidRDefault="00724034">
            <w:pPr>
              <w:jc w:val="right"/>
              <w:rPr>
                <w:rFonts w:ascii="Arial" w:eastAsia="Arial" w:hAnsi="Arial" w:cs="Arial"/>
                <w:color w:val="000000"/>
                <w:sz w:val="16"/>
              </w:rPr>
            </w:pPr>
          </w:p>
        </w:tc>
      </w:tr>
    </w:tbl>
    <w:p w14:paraId="0C17B583" w14:textId="77777777" w:rsidR="00724034" w:rsidRDefault="00724034">
      <w:pPr>
        <w:sectPr w:rsidR="00724034">
          <w:pgSz w:w="10319" w:h="14572"/>
          <w:pgMar w:top="1077" w:right="1077" w:bottom="1134" w:left="1134" w:header="709" w:footer="709" w:gutter="0"/>
          <w:cols w:space="708"/>
        </w:sectPr>
      </w:pPr>
    </w:p>
    <w:p w14:paraId="049B255B" w14:textId="77777777" w:rsidR="003F0EEA" w:rsidRDefault="00FB7D0B" w:rsidP="003F0EEA">
      <w:pPr>
        <w:pStyle w:val="Heading21"/>
        <w:spacing w:before="0"/>
        <w:ind w:right="748"/>
      </w:pPr>
      <w:r>
        <w:lastRenderedPageBreak/>
        <w:t>Section 3: Explanatory tables and budgeted financial statements</w:t>
      </w:r>
    </w:p>
    <w:p w14:paraId="4EF4C177" w14:textId="77777777" w:rsidR="003F0EEA" w:rsidRPr="00AF14D7" w:rsidRDefault="00FB7D0B" w:rsidP="003F0EEA">
      <w:pPr>
        <w:pStyle w:val="Normal157"/>
        <w:spacing w:after="120"/>
      </w:pPr>
      <w:r>
        <w:t>Section 3 presents explanatory tables and budgeted financial statements which provide a comprehensive snapshot of agency finances for the 2014-15 budget year. It explains how budget plans are incorporated into the financial statements and provides further details of the reconciliation between appropriations and program expenses, movements in administered funds and special accounts.</w:t>
      </w:r>
    </w:p>
    <w:p w14:paraId="1EAECEEB" w14:textId="77777777" w:rsidR="003F0EEA" w:rsidRPr="00B63E3E" w:rsidRDefault="00FB7D0B" w:rsidP="003F0EEA">
      <w:pPr>
        <w:pStyle w:val="Heading37"/>
        <w:spacing w:before="120" w:after="120"/>
      </w:pPr>
      <w:r>
        <w:t>3.1</w:t>
      </w:r>
      <w:r>
        <w:tab/>
        <w:t>Explanatory Tables</w:t>
      </w:r>
      <w:r>
        <w:br/>
      </w:r>
    </w:p>
    <w:p w14:paraId="3344DB4C" w14:textId="77777777" w:rsidR="003F0EEA" w:rsidRDefault="00FB7D0B" w:rsidP="003F0EEA">
      <w:pPr>
        <w:pStyle w:val="Heading49"/>
      </w:pPr>
      <w:r>
        <w:t>3.1.1</w:t>
      </w:r>
      <w:r>
        <w:tab/>
        <w:t>Movement of administered funds between years</w:t>
      </w:r>
    </w:p>
    <w:p w14:paraId="739DC8D9" w14:textId="77777777" w:rsidR="003F0EEA" w:rsidRDefault="00FB7D0B" w:rsidP="003F0EEA">
      <w:pPr>
        <w:pStyle w:val="Normal157"/>
        <w:ind w:right="566"/>
      </w:pPr>
      <w:r>
        <w:t xml:space="preserve">Administered funds can be provided for a specified period, for example under annual appropriation Acts. Funds not used in the specified period with the agreement of the Finance Minister may be moved to a future year. Table 3.1.1 shows the approved movement of administered funds between years. </w:t>
      </w:r>
    </w:p>
    <w:p w14:paraId="072F2FA9" w14:textId="77777777" w:rsidR="003F0EEA" w:rsidRPr="00BC69CF" w:rsidRDefault="00FB7D0B">
      <w:pPr>
        <w:pStyle w:val="Normal158"/>
        <w:rPr>
          <w:rFonts w:ascii="Arial" w:hAnsi="Arial" w:cs="Arial"/>
          <w:b/>
          <w:sz w:val="20"/>
          <w:szCs w:val="20"/>
        </w:rPr>
      </w:pPr>
      <w:r w:rsidRPr="00BC69CF">
        <w:rPr>
          <w:rFonts w:ascii="Arial" w:hAnsi="Arial" w:cs="Arial"/>
          <w:b/>
          <w:sz w:val="20"/>
          <w:szCs w:val="20"/>
        </w:rPr>
        <w:t>Table 3.1.1: Movement of Administered Funds between years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00"/>
        <w:gridCol w:w="990"/>
        <w:gridCol w:w="990"/>
        <w:gridCol w:w="990"/>
        <w:gridCol w:w="990"/>
        <w:gridCol w:w="990"/>
      </w:tblGrid>
      <w:tr w:rsidR="00724034" w14:paraId="2E82CAC4" w14:textId="77777777">
        <w:trPr>
          <w:trHeight w:val="255"/>
        </w:trPr>
        <w:tc>
          <w:tcPr>
            <w:tcW w:w="3600" w:type="dxa"/>
            <w:tcBorders>
              <w:top w:val="single" w:sz="6" w:space="0" w:color="000000"/>
              <w:left w:val="nil"/>
              <w:bottom w:val="nil"/>
              <w:right w:val="nil"/>
              <w:tl2br w:val="nil"/>
              <w:tr2bl w:val="nil"/>
            </w:tcBorders>
            <w:shd w:val="clear" w:color="auto" w:fill="FFFFFF"/>
            <w:tcMar>
              <w:left w:w="115" w:type="dxa"/>
              <w:right w:w="115" w:type="dxa"/>
            </w:tcMar>
            <w:vAlign w:val="center"/>
          </w:tcPr>
          <w:p w14:paraId="38441F91" w14:textId="77777777" w:rsidR="003F0EEA" w:rsidRPr="00BC69CF" w:rsidRDefault="003F0EEA">
            <w:pPr>
              <w:rPr>
                <w:rFonts w:ascii="Arial" w:eastAsia="Times New Roman" w:hAnsi="Arial" w:cs="Arial"/>
                <w:b/>
                <w:sz w:val="20"/>
                <w:szCs w:val="20"/>
              </w:rPr>
            </w:pPr>
          </w:p>
        </w:tc>
        <w:tc>
          <w:tcPr>
            <w:tcW w:w="990" w:type="dxa"/>
            <w:tcBorders>
              <w:top w:val="single" w:sz="6" w:space="0" w:color="000000"/>
              <w:left w:val="nil"/>
              <w:bottom w:val="nil"/>
              <w:right w:val="nil"/>
              <w:tl2br w:val="nil"/>
              <w:tr2bl w:val="nil"/>
            </w:tcBorders>
            <w:shd w:val="clear" w:color="auto" w:fill="FFFFFF"/>
            <w:tcMar>
              <w:left w:w="115" w:type="dxa"/>
              <w:right w:w="115" w:type="dxa"/>
            </w:tcMar>
            <w:vAlign w:val="center"/>
          </w:tcPr>
          <w:p w14:paraId="287BC7DB" w14:textId="77777777" w:rsidR="003F0EEA" w:rsidRPr="00BC69CF" w:rsidRDefault="00FB7D0B">
            <w:pPr>
              <w:jc w:val="right"/>
              <w:rPr>
                <w:rFonts w:ascii="Arial" w:eastAsia="Arial" w:hAnsi="Arial" w:cs="Arial"/>
                <w:color w:val="000000"/>
                <w:sz w:val="16"/>
                <w:szCs w:val="20"/>
                <w:vertAlign w:val="superscript"/>
              </w:rPr>
            </w:pPr>
            <w:r w:rsidRPr="00BC69CF">
              <w:rPr>
                <w:rFonts w:ascii="Arial" w:eastAsia="Arial" w:hAnsi="Arial" w:cs="Arial"/>
                <w:color w:val="000000"/>
                <w:sz w:val="16"/>
                <w:szCs w:val="20"/>
              </w:rPr>
              <w:t>2013-14</w:t>
            </w:r>
          </w:p>
        </w:tc>
        <w:tc>
          <w:tcPr>
            <w:tcW w:w="990" w:type="dxa"/>
            <w:tcBorders>
              <w:top w:val="single" w:sz="6" w:space="0" w:color="000000"/>
              <w:left w:val="nil"/>
              <w:bottom w:val="nil"/>
              <w:right w:val="nil"/>
              <w:tl2br w:val="nil"/>
              <w:tr2bl w:val="nil"/>
            </w:tcBorders>
            <w:shd w:val="clear" w:color="auto" w:fill="C0C0C0"/>
            <w:tcMar>
              <w:left w:w="115" w:type="dxa"/>
              <w:right w:w="115" w:type="dxa"/>
            </w:tcMar>
            <w:vAlign w:val="center"/>
          </w:tcPr>
          <w:p w14:paraId="2FAEEFA8" w14:textId="77777777" w:rsidR="003F0EEA" w:rsidRPr="00BC69CF" w:rsidRDefault="00FB7D0B">
            <w:pPr>
              <w:jc w:val="right"/>
              <w:rPr>
                <w:rFonts w:ascii="Arial" w:eastAsia="Arial" w:hAnsi="Arial" w:cs="Arial"/>
                <w:color w:val="000000"/>
                <w:sz w:val="16"/>
                <w:szCs w:val="20"/>
              </w:rPr>
            </w:pPr>
            <w:r w:rsidRPr="00BC69CF">
              <w:rPr>
                <w:rFonts w:ascii="Arial" w:eastAsia="Arial" w:hAnsi="Arial" w:cs="Arial"/>
                <w:color w:val="000000"/>
                <w:sz w:val="16"/>
                <w:szCs w:val="20"/>
              </w:rPr>
              <w:t>2014-15</w:t>
            </w:r>
          </w:p>
        </w:tc>
        <w:tc>
          <w:tcPr>
            <w:tcW w:w="990" w:type="dxa"/>
            <w:tcBorders>
              <w:top w:val="single" w:sz="6" w:space="0" w:color="000000"/>
              <w:left w:val="nil"/>
              <w:bottom w:val="nil"/>
              <w:right w:val="nil"/>
              <w:tl2br w:val="nil"/>
              <w:tr2bl w:val="nil"/>
            </w:tcBorders>
            <w:shd w:val="clear" w:color="auto" w:fill="FFFFFF"/>
            <w:tcMar>
              <w:left w:w="115" w:type="dxa"/>
              <w:right w:w="115" w:type="dxa"/>
            </w:tcMar>
            <w:vAlign w:val="center"/>
          </w:tcPr>
          <w:p w14:paraId="652CC45D" w14:textId="77777777" w:rsidR="003F0EEA" w:rsidRPr="00BC69CF" w:rsidRDefault="00FB7D0B">
            <w:pPr>
              <w:jc w:val="right"/>
              <w:rPr>
                <w:rFonts w:ascii="Arial" w:eastAsia="Arial" w:hAnsi="Arial" w:cs="Arial"/>
                <w:color w:val="000000"/>
                <w:sz w:val="16"/>
                <w:szCs w:val="20"/>
              </w:rPr>
            </w:pPr>
            <w:r w:rsidRPr="00BC69CF">
              <w:rPr>
                <w:rFonts w:ascii="Arial" w:eastAsia="Arial" w:hAnsi="Arial" w:cs="Arial"/>
                <w:color w:val="000000"/>
                <w:sz w:val="16"/>
                <w:szCs w:val="20"/>
              </w:rPr>
              <w:t>2015-16</w:t>
            </w:r>
          </w:p>
        </w:tc>
        <w:tc>
          <w:tcPr>
            <w:tcW w:w="990" w:type="dxa"/>
            <w:tcBorders>
              <w:top w:val="single" w:sz="6" w:space="0" w:color="000000"/>
              <w:left w:val="nil"/>
              <w:bottom w:val="nil"/>
              <w:right w:val="nil"/>
              <w:tl2br w:val="nil"/>
              <w:tr2bl w:val="nil"/>
            </w:tcBorders>
            <w:shd w:val="clear" w:color="auto" w:fill="FFFFFF"/>
            <w:tcMar>
              <w:left w:w="115" w:type="dxa"/>
              <w:right w:w="115" w:type="dxa"/>
            </w:tcMar>
            <w:vAlign w:val="center"/>
          </w:tcPr>
          <w:p w14:paraId="017616CE" w14:textId="77777777" w:rsidR="003F0EEA" w:rsidRPr="00BC69CF" w:rsidRDefault="00FB7D0B">
            <w:pPr>
              <w:jc w:val="right"/>
              <w:rPr>
                <w:rFonts w:ascii="Arial" w:eastAsia="Arial" w:hAnsi="Arial" w:cs="Arial"/>
                <w:color w:val="000000"/>
                <w:sz w:val="16"/>
                <w:szCs w:val="20"/>
              </w:rPr>
            </w:pPr>
            <w:r w:rsidRPr="00BC69CF">
              <w:rPr>
                <w:rFonts w:ascii="Arial" w:eastAsia="Arial" w:hAnsi="Arial" w:cs="Arial"/>
                <w:color w:val="000000"/>
                <w:sz w:val="16"/>
                <w:szCs w:val="20"/>
              </w:rPr>
              <w:t>2016-17</w:t>
            </w:r>
          </w:p>
        </w:tc>
        <w:tc>
          <w:tcPr>
            <w:tcW w:w="990" w:type="dxa"/>
            <w:tcBorders>
              <w:top w:val="single" w:sz="6" w:space="0" w:color="000000"/>
              <w:left w:val="nil"/>
              <w:bottom w:val="nil"/>
              <w:right w:val="nil"/>
              <w:tl2br w:val="nil"/>
              <w:tr2bl w:val="nil"/>
            </w:tcBorders>
            <w:shd w:val="clear" w:color="auto" w:fill="FFFFFF"/>
            <w:tcMar>
              <w:left w:w="115" w:type="dxa"/>
              <w:right w:w="115" w:type="dxa"/>
            </w:tcMar>
            <w:vAlign w:val="center"/>
          </w:tcPr>
          <w:p w14:paraId="2A558958" w14:textId="77777777" w:rsidR="003F0EEA" w:rsidRPr="00BC69CF" w:rsidRDefault="00FB7D0B">
            <w:pPr>
              <w:jc w:val="right"/>
              <w:rPr>
                <w:rFonts w:ascii="Arial" w:eastAsia="Arial" w:hAnsi="Arial" w:cs="Arial"/>
                <w:color w:val="000000"/>
                <w:sz w:val="16"/>
                <w:szCs w:val="20"/>
              </w:rPr>
            </w:pPr>
            <w:r w:rsidRPr="00BC69CF">
              <w:rPr>
                <w:rFonts w:ascii="Arial" w:eastAsia="Arial" w:hAnsi="Arial" w:cs="Arial"/>
                <w:color w:val="000000"/>
                <w:sz w:val="16"/>
                <w:szCs w:val="20"/>
              </w:rPr>
              <w:t>2017-18</w:t>
            </w:r>
          </w:p>
        </w:tc>
      </w:tr>
      <w:tr w:rsidR="00724034" w14:paraId="11F02EEF" w14:textId="77777777">
        <w:trPr>
          <w:trHeight w:val="255"/>
        </w:trPr>
        <w:tc>
          <w:tcPr>
            <w:tcW w:w="3600" w:type="dxa"/>
            <w:tcBorders>
              <w:top w:val="nil"/>
              <w:left w:val="nil"/>
              <w:bottom w:val="nil"/>
              <w:right w:val="nil"/>
              <w:tl2br w:val="nil"/>
              <w:tr2bl w:val="nil"/>
            </w:tcBorders>
            <w:shd w:val="clear" w:color="auto" w:fill="FFFFFF"/>
            <w:tcMar>
              <w:left w:w="115" w:type="dxa"/>
              <w:right w:w="115" w:type="dxa"/>
            </w:tcMar>
            <w:vAlign w:val="center"/>
          </w:tcPr>
          <w:p w14:paraId="6AA97F5B" w14:textId="77777777" w:rsidR="003F0EEA" w:rsidRPr="00BC69CF" w:rsidRDefault="003F0EEA">
            <w:pPr>
              <w:rPr>
                <w:rFonts w:ascii="Arial" w:eastAsia="Arial" w:hAnsi="Arial" w:cs="Arial"/>
                <w:color w:val="000000"/>
                <w:sz w:val="16"/>
                <w:szCs w:val="20"/>
              </w:rPr>
            </w:pPr>
          </w:p>
        </w:tc>
        <w:tc>
          <w:tcPr>
            <w:tcW w:w="990" w:type="dxa"/>
            <w:tcBorders>
              <w:top w:val="nil"/>
              <w:left w:val="nil"/>
              <w:bottom w:val="single" w:sz="6" w:space="0" w:color="000000"/>
              <w:right w:val="nil"/>
              <w:tl2br w:val="nil"/>
              <w:tr2bl w:val="nil"/>
            </w:tcBorders>
            <w:shd w:val="clear" w:color="auto" w:fill="FFFFFF"/>
            <w:tcMar>
              <w:left w:w="115" w:type="dxa"/>
              <w:right w:w="115" w:type="dxa"/>
            </w:tcMar>
            <w:vAlign w:val="center"/>
          </w:tcPr>
          <w:p w14:paraId="0387A675" w14:textId="77777777" w:rsidR="003F0EEA" w:rsidRPr="00BC69CF" w:rsidRDefault="00FB7D0B">
            <w:pPr>
              <w:jc w:val="right"/>
              <w:rPr>
                <w:rFonts w:ascii="Arial" w:eastAsia="Arial" w:hAnsi="Arial" w:cs="Arial"/>
                <w:color w:val="000000"/>
                <w:sz w:val="16"/>
                <w:szCs w:val="20"/>
                <w:vertAlign w:val="superscript"/>
              </w:rPr>
            </w:pPr>
            <w:r w:rsidRPr="00BC69CF">
              <w:rPr>
                <w:rFonts w:ascii="Arial" w:eastAsia="Arial" w:hAnsi="Arial" w:cs="Arial"/>
                <w:color w:val="000000"/>
                <w:sz w:val="16"/>
                <w:szCs w:val="20"/>
              </w:rPr>
              <w:t>$'000</w:t>
            </w:r>
          </w:p>
        </w:tc>
        <w:tc>
          <w:tcPr>
            <w:tcW w:w="990" w:type="dxa"/>
            <w:tcBorders>
              <w:top w:val="nil"/>
              <w:left w:val="nil"/>
              <w:bottom w:val="single" w:sz="6" w:space="0" w:color="000000"/>
              <w:right w:val="nil"/>
              <w:tl2br w:val="nil"/>
              <w:tr2bl w:val="nil"/>
            </w:tcBorders>
            <w:shd w:val="clear" w:color="auto" w:fill="C0C0C0"/>
            <w:tcMar>
              <w:left w:w="115" w:type="dxa"/>
              <w:right w:w="115" w:type="dxa"/>
            </w:tcMar>
            <w:vAlign w:val="center"/>
          </w:tcPr>
          <w:p w14:paraId="060990F4" w14:textId="77777777" w:rsidR="003F0EEA" w:rsidRPr="00BC69CF" w:rsidRDefault="00FB7D0B">
            <w:pPr>
              <w:jc w:val="right"/>
              <w:rPr>
                <w:rFonts w:ascii="Arial" w:eastAsia="Arial" w:hAnsi="Arial" w:cs="Arial"/>
                <w:color w:val="000000"/>
                <w:sz w:val="16"/>
                <w:szCs w:val="20"/>
              </w:rPr>
            </w:pPr>
            <w:r w:rsidRPr="00BC69CF">
              <w:rPr>
                <w:rFonts w:ascii="Arial" w:eastAsia="Arial" w:hAnsi="Arial" w:cs="Arial"/>
                <w:color w:val="000000"/>
                <w:sz w:val="16"/>
                <w:szCs w:val="20"/>
              </w:rPr>
              <w:t>$'000</w:t>
            </w:r>
          </w:p>
        </w:tc>
        <w:tc>
          <w:tcPr>
            <w:tcW w:w="990" w:type="dxa"/>
            <w:tcBorders>
              <w:top w:val="nil"/>
              <w:left w:val="nil"/>
              <w:bottom w:val="single" w:sz="6" w:space="0" w:color="000000"/>
              <w:right w:val="nil"/>
              <w:tl2br w:val="nil"/>
              <w:tr2bl w:val="nil"/>
            </w:tcBorders>
            <w:shd w:val="clear" w:color="auto" w:fill="FFFFFF"/>
            <w:tcMar>
              <w:left w:w="115" w:type="dxa"/>
              <w:right w:w="115" w:type="dxa"/>
            </w:tcMar>
            <w:vAlign w:val="center"/>
          </w:tcPr>
          <w:p w14:paraId="380A87D4" w14:textId="77777777" w:rsidR="003F0EEA" w:rsidRPr="00BC69CF" w:rsidRDefault="00FB7D0B">
            <w:pPr>
              <w:jc w:val="right"/>
              <w:rPr>
                <w:rFonts w:ascii="Arial" w:eastAsia="Arial" w:hAnsi="Arial" w:cs="Arial"/>
                <w:color w:val="000000"/>
                <w:sz w:val="16"/>
                <w:szCs w:val="20"/>
              </w:rPr>
            </w:pPr>
            <w:r w:rsidRPr="00BC69CF">
              <w:rPr>
                <w:rFonts w:ascii="Arial" w:eastAsia="Arial" w:hAnsi="Arial" w:cs="Arial"/>
                <w:color w:val="000000"/>
                <w:sz w:val="16"/>
                <w:szCs w:val="20"/>
              </w:rPr>
              <w:t>$'000</w:t>
            </w:r>
          </w:p>
        </w:tc>
        <w:tc>
          <w:tcPr>
            <w:tcW w:w="990" w:type="dxa"/>
            <w:tcBorders>
              <w:top w:val="nil"/>
              <w:left w:val="nil"/>
              <w:bottom w:val="single" w:sz="6" w:space="0" w:color="000000"/>
              <w:right w:val="nil"/>
              <w:tl2br w:val="nil"/>
              <w:tr2bl w:val="nil"/>
            </w:tcBorders>
            <w:shd w:val="clear" w:color="auto" w:fill="FFFFFF"/>
            <w:tcMar>
              <w:left w:w="115" w:type="dxa"/>
              <w:right w:w="115" w:type="dxa"/>
            </w:tcMar>
            <w:vAlign w:val="center"/>
          </w:tcPr>
          <w:p w14:paraId="0709A9C9" w14:textId="77777777" w:rsidR="003F0EEA" w:rsidRPr="00BC69CF" w:rsidRDefault="00FB7D0B">
            <w:pPr>
              <w:jc w:val="right"/>
              <w:rPr>
                <w:rFonts w:ascii="Arial" w:eastAsia="Arial" w:hAnsi="Arial" w:cs="Arial"/>
                <w:color w:val="000000"/>
                <w:sz w:val="16"/>
                <w:szCs w:val="20"/>
              </w:rPr>
            </w:pPr>
            <w:r w:rsidRPr="00BC69CF">
              <w:rPr>
                <w:rFonts w:ascii="Arial" w:eastAsia="Arial" w:hAnsi="Arial" w:cs="Arial"/>
                <w:color w:val="000000"/>
                <w:sz w:val="16"/>
                <w:szCs w:val="20"/>
              </w:rPr>
              <w:t>$'000</w:t>
            </w:r>
          </w:p>
        </w:tc>
        <w:tc>
          <w:tcPr>
            <w:tcW w:w="990" w:type="dxa"/>
            <w:tcBorders>
              <w:top w:val="nil"/>
              <w:left w:val="nil"/>
              <w:bottom w:val="single" w:sz="6" w:space="0" w:color="000000"/>
              <w:right w:val="nil"/>
              <w:tl2br w:val="nil"/>
              <w:tr2bl w:val="nil"/>
            </w:tcBorders>
            <w:shd w:val="clear" w:color="auto" w:fill="FFFFFF"/>
            <w:tcMar>
              <w:left w:w="115" w:type="dxa"/>
              <w:right w:w="115" w:type="dxa"/>
            </w:tcMar>
            <w:vAlign w:val="center"/>
          </w:tcPr>
          <w:p w14:paraId="18C3285D" w14:textId="77777777" w:rsidR="003F0EEA" w:rsidRPr="00BC69CF" w:rsidRDefault="00FB7D0B">
            <w:pPr>
              <w:jc w:val="right"/>
              <w:rPr>
                <w:rFonts w:ascii="Arial" w:eastAsia="Arial" w:hAnsi="Arial" w:cs="Arial"/>
                <w:color w:val="000000"/>
                <w:sz w:val="16"/>
                <w:szCs w:val="20"/>
              </w:rPr>
            </w:pPr>
            <w:r w:rsidRPr="00BC69CF">
              <w:rPr>
                <w:rFonts w:ascii="Arial" w:eastAsia="Arial" w:hAnsi="Arial" w:cs="Arial"/>
                <w:color w:val="000000"/>
                <w:sz w:val="16"/>
                <w:szCs w:val="20"/>
              </w:rPr>
              <w:t>$'000</w:t>
            </w:r>
          </w:p>
        </w:tc>
      </w:tr>
      <w:tr w:rsidR="00724034" w14:paraId="2DC9D057" w14:textId="77777777">
        <w:trPr>
          <w:trHeight w:val="255"/>
        </w:trPr>
        <w:tc>
          <w:tcPr>
            <w:tcW w:w="3600" w:type="dxa"/>
            <w:tcBorders>
              <w:top w:val="nil"/>
              <w:left w:val="nil"/>
              <w:bottom w:val="nil"/>
              <w:right w:val="nil"/>
              <w:tl2br w:val="nil"/>
              <w:tr2bl w:val="nil"/>
            </w:tcBorders>
            <w:shd w:val="clear" w:color="auto" w:fill="FFFFFF"/>
            <w:tcMar>
              <w:left w:w="115" w:type="dxa"/>
              <w:right w:w="115" w:type="dxa"/>
            </w:tcMar>
            <w:vAlign w:val="bottom"/>
          </w:tcPr>
          <w:p w14:paraId="464554AD" w14:textId="77777777" w:rsidR="003F0EEA" w:rsidRPr="00BC69CF" w:rsidRDefault="00FB7D0B">
            <w:pPr>
              <w:rPr>
                <w:rFonts w:ascii="Arial" w:eastAsia="Arial" w:hAnsi="Arial" w:cs="Arial"/>
                <w:color w:val="000000"/>
                <w:sz w:val="16"/>
                <w:szCs w:val="20"/>
              </w:rPr>
            </w:pPr>
            <w:r w:rsidRPr="00BC69CF">
              <w:rPr>
                <w:rFonts w:ascii="Arial" w:eastAsia="Arial" w:hAnsi="Arial" w:cs="Arial"/>
                <w:b/>
                <w:color w:val="000000"/>
                <w:sz w:val="16"/>
                <w:szCs w:val="20"/>
              </w:rPr>
              <w:t xml:space="preserve">Outcome 3: </w:t>
            </w:r>
          </w:p>
        </w:tc>
        <w:tc>
          <w:tcPr>
            <w:tcW w:w="990"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6CCE401F" w14:textId="77777777" w:rsidR="003F0EEA" w:rsidRPr="00BC69CF" w:rsidRDefault="003F0EEA">
            <w:pPr>
              <w:rPr>
                <w:rFonts w:ascii="Arial" w:eastAsia="Arial" w:hAnsi="Arial" w:cs="Arial"/>
                <w:b/>
                <w:color w:val="000000"/>
                <w:sz w:val="16"/>
                <w:szCs w:val="20"/>
                <w:vertAlign w:val="superscript"/>
              </w:rPr>
            </w:pPr>
          </w:p>
        </w:tc>
        <w:tc>
          <w:tcPr>
            <w:tcW w:w="990" w:type="dxa"/>
            <w:tcBorders>
              <w:top w:val="single" w:sz="6" w:space="0" w:color="000000"/>
              <w:left w:val="nil"/>
              <w:bottom w:val="nil"/>
              <w:right w:val="nil"/>
              <w:tl2br w:val="nil"/>
              <w:tr2bl w:val="nil"/>
            </w:tcBorders>
            <w:shd w:val="clear" w:color="auto" w:fill="C0C0C0"/>
            <w:tcMar>
              <w:left w:w="115" w:type="dxa"/>
              <w:right w:w="115" w:type="dxa"/>
            </w:tcMar>
            <w:vAlign w:val="bottom"/>
          </w:tcPr>
          <w:p w14:paraId="3F7EC5D8" w14:textId="77777777" w:rsidR="003F0EEA" w:rsidRPr="00BC69CF" w:rsidRDefault="003F0EEA">
            <w:pPr>
              <w:rPr>
                <w:rFonts w:ascii="Arial" w:eastAsia="Arial" w:hAnsi="Arial" w:cs="Arial"/>
                <w:color w:val="000000"/>
                <w:sz w:val="16"/>
                <w:szCs w:val="20"/>
                <w:vertAlign w:val="superscript"/>
              </w:rPr>
            </w:pPr>
          </w:p>
        </w:tc>
        <w:tc>
          <w:tcPr>
            <w:tcW w:w="990"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7D78CE8D" w14:textId="77777777" w:rsidR="003F0EEA" w:rsidRPr="00BC69CF" w:rsidRDefault="003F0EEA">
            <w:pPr>
              <w:rPr>
                <w:rFonts w:ascii="Arial" w:eastAsia="Arial" w:hAnsi="Arial" w:cs="Arial"/>
                <w:color w:val="000000"/>
                <w:sz w:val="16"/>
                <w:szCs w:val="20"/>
                <w:vertAlign w:val="superscript"/>
              </w:rPr>
            </w:pPr>
          </w:p>
        </w:tc>
        <w:tc>
          <w:tcPr>
            <w:tcW w:w="990"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1E98E452" w14:textId="77777777" w:rsidR="003F0EEA" w:rsidRPr="00BC69CF" w:rsidRDefault="003F0EEA">
            <w:pPr>
              <w:rPr>
                <w:rFonts w:ascii="Arial" w:eastAsia="Arial" w:hAnsi="Arial" w:cs="Arial"/>
                <w:color w:val="000000"/>
                <w:sz w:val="16"/>
                <w:szCs w:val="20"/>
                <w:vertAlign w:val="superscript"/>
              </w:rPr>
            </w:pPr>
          </w:p>
        </w:tc>
        <w:tc>
          <w:tcPr>
            <w:tcW w:w="990"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6A7BE33F" w14:textId="77777777" w:rsidR="003F0EEA" w:rsidRPr="00BC69CF" w:rsidRDefault="003F0EEA">
            <w:pPr>
              <w:rPr>
                <w:rFonts w:ascii="Arial" w:eastAsia="Arial" w:hAnsi="Arial" w:cs="Arial"/>
                <w:color w:val="000000"/>
                <w:sz w:val="16"/>
                <w:szCs w:val="20"/>
                <w:vertAlign w:val="superscript"/>
              </w:rPr>
            </w:pPr>
          </w:p>
        </w:tc>
      </w:tr>
      <w:tr w:rsidR="00724034" w14:paraId="32362FAC" w14:textId="77777777">
        <w:trPr>
          <w:trHeight w:val="675"/>
        </w:trPr>
        <w:tc>
          <w:tcPr>
            <w:tcW w:w="3600" w:type="dxa"/>
            <w:tcBorders>
              <w:top w:val="nil"/>
              <w:left w:val="nil"/>
              <w:bottom w:val="nil"/>
              <w:right w:val="nil"/>
              <w:tl2br w:val="nil"/>
              <w:tr2bl w:val="nil"/>
            </w:tcBorders>
            <w:shd w:val="clear" w:color="auto" w:fill="FFFFFF"/>
            <w:tcMar>
              <w:left w:w="115" w:type="dxa"/>
              <w:right w:w="115" w:type="dxa"/>
            </w:tcMar>
            <w:vAlign w:val="bottom"/>
          </w:tcPr>
          <w:p w14:paraId="324A5506" w14:textId="77777777" w:rsidR="003F0EEA" w:rsidRPr="00BC69CF" w:rsidRDefault="00FB7D0B">
            <w:pPr>
              <w:rPr>
                <w:rFonts w:ascii="Arial" w:eastAsia="Arial" w:hAnsi="Arial" w:cs="Arial"/>
                <w:color w:val="000000"/>
                <w:sz w:val="16"/>
                <w:szCs w:val="20"/>
                <w:vertAlign w:val="superscript"/>
              </w:rPr>
            </w:pPr>
            <w:r w:rsidRPr="00BC69CF">
              <w:rPr>
                <w:rFonts w:ascii="Arial" w:eastAsia="Arial" w:hAnsi="Arial" w:cs="Arial"/>
                <w:color w:val="000000"/>
                <w:sz w:val="16"/>
                <w:szCs w:val="20"/>
              </w:rPr>
              <w:t>Programme 3.1 War Graves and Commemorations - Albany Convoy Commemorative Event</w:t>
            </w:r>
            <w:r w:rsidRPr="00BC69CF">
              <w:rPr>
                <w:rFonts w:ascii="Arial" w:eastAsia="Arial" w:hAnsi="Arial" w:cs="Arial"/>
                <w:color w:val="000000"/>
                <w:sz w:val="16"/>
                <w:szCs w:val="20"/>
                <w:vertAlign w:val="superscript"/>
              </w:rPr>
              <w:t>1 </w:t>
            </w:r>
          </w:p>
        </w:tc>
        <w:tc>
          <w:tcPr>
            <w:tcW w:w="990" w:type="dxa"/>
            <w:tcBorders>
              <w:top w:val="nil"/>
              <w:left w:val="nil"/>
              <w:bottom w:val="nil"/>
              <w:right w:val="nil"/>
              <w:tl2br w:val="nil"/>
              <w:tr2bl w:val="nil"/>
            </w:tcBorders>
            <w:shd w:val="clear" w:color="auto" w:fill="FFFFFF"/>
            <w:tcMar>
              <w:left w:w="115" w:type="dxa"/>
              <w:right w:w="115" w:type="dxa"/>
            </w:tcMar>
            <w:vAlign w:val="bottom"/>
          </w:tcPr>
          <w:p w14:paraId="68ACA297" w14:textId="77777777" w:rsidR="003F0EEA" w:rsidRPr="00BC69CF" w:rsidRDefault="00FB7D0B">
            <w:pPr>
              <w:jc w:val="right"/>
              <w:rPr>
                <w:rFonts w:ascii="Arial" w:eastAsia="Arial" w:hAnsi="Arial" w:cs="Arial"/>
                <w:color w:val="000000"/>
                <w:sz w:val="16"/>
                <w:szCs w:val="20"/>
                <w:vertAlign w:val="superscript"/>
              </w:rPr>
            </w:pPr>
            <w:r w:rsidRPr="00BC69CF">
              <w:rPr>
                <w:rFonts w:ascii="Arial" w:eastAsia="Arial" w:hAnsi="Arial" w:cs="Arial"/>
                <w:color w:val="000000"/>
                <w:sz w:val="16"/>
                <w:szCs w:val="20"/>
              </w:rPr>
              <w:t>(1,429)</w:t>
            </w:r>
          </w:p>
        </w:tc>
        <w:tc>
          <w:tcPr>
            <w:tcW w:w="990" w:type="dxa"/>
            <w:tcBorders>
              <w:top w:val="nil"/>
              <w:left w:val="nil"/>
              <w:bottom w:val="nil"/>
              <w:right w:val="nil"/>
              <w:tl2br w:val="nil"/>
              <w:tr2bl w:val="nil"/>
            </w:tcBorders>
            <w:shd w:val="clear" w:color="auto" w:fill="C0C0C0"/>
            <w:tcMar>
              <w:left w:w="115" w:type="dxa"/>
              <w:right w:w="115" w:type="dxa"/>
            </w:tcMar>
            <w:vAlign w:val="bottom"/>
          </w:tcPr>
          <w:p w14:paraId="41E66BC6" w14:textId="77777777" w:rsidR="003F0EEA" w:rsidRPr="00BC69CF" w:rsidRDefault="00FB7D0B">
            <w:pPr>
              <w:jc w:val="right"/>
              <w:rPr>
                <w:rFonts w:ascii="Arial" w:eastAsia="Arial" w:hAnsi="Arial" w:cs="Arial"/>
                <w:color w:val="000000"/>
                <w:sz w:val="16"/>
                <w:szCs w:val="20"/>
              </w:rPr>
            </w:pPr>
            <w:r w:rsidRPr="00BC69CF">
              <w:rPr>
                <w:rFonts w:ascii="Arial" w:eastAsia="Arial" w:hAnsi="Arial" w:cs="Arial"/>
                <w:color w:val="000000"/>
                <w:sz w:val="16"/>
                <w:szCs w:val="20"/>
              </w:rPr>
              <w:t>1,429 </w:t>
            </w:r>
          </w:p>
        </w:tc>
        <w:tc>
          <w:tcPr>
            <w:tcW w:w="990" w:type="dxa"/>
            <w:tcBorders>
              <w:top w:val="nil"/>
              <w:left w:val="nil"/>
              <w:bottom w:val="nil"/>
              <w:right w:val="nil"/>
              <w:tl2br w:val="nil"/>
              <w:tr2bl w:val="nil"/>
            </w:tcBorders>
            <w:shd w:val="clear" w:color="auto" w:fill="FFFFFF"/>
            <w:tcMar>
              <w:left w:w="115" w:type="dxa"/>
              <w:right w:w="115" w:type="dxa"/>
            </w:tcMar>
            <w:vAlign w:val="bottom"/>
          </w:tcPr>
          <w:p w14:paraId="3FC15A81" w14:textId="77777777" w:rsidR="003F0EEA" w:rsidRPr="00BC69CF" w:rsidRDefault="00FB7D0B">
            <w:pPr>
              <w:jc w:val="right"/>
              <w:rPr>
                <w:rFonts w:ascii="Arial" w:eastAsia="Arial" w:hAnsi="Arial" w:cs="Arial"/>
                <w:color w:val="000000"/>
                <w:sz w:val="16"/>
                <w:szCs w:val="20"/>
              </w:rPr>
            </w:pPr>
            <w:r w:rsidRPr="00BC69CF">
              <w:rPr>
                <w:rFonts w:ascii="Arial" w:eastAsia="Arial" w:hAnsi="Arial" w:cs="Arial"/>
                <w:color w:val="000000"/>
                <w:sz w:val="16"/>
                <w:szCs w:val="20"/>
              </w:rPr>
              <w:t>- </w:t>
            </w:r>
          </w:p>
        </w:tc>
        <w:tc>
          <w:tcPr>
            <w:tcW w:w="990" w:type="dxa"/>
            <w:tcBorders>
              <w:top w:val="nil"/>
              <w:left w:val="nil"/>
              <w:bottom w:val="nil"/>
              <w:right w:val="nil"/>
              <w:tl2br w:val="nil"/>
              <w:tr2bl w:val="nil"/>
            </w:tcBorders>
            <w:shd w:val="clear" w:color="auto" w:fill="FFFFFF"/>
            <w:tcMar>
              <w:left w:w="115" w:type="dxa"/>
              <w:right w:w="115" w:type="dxa"/>
            </w:tcMar>
            <w:vAlign w:val="bottom"/>
          </w:tcPr>
          <w:p w14:paraId="77B9DCF4" w14:textId="77777777" w:rsidR="003F0EEA" w:rsidRPr="00BC69CF" w:rsidRDefault="00FB7D0B">
            <w:pPr>
              <w:jc w:val="right"/>
              <w:rPr>
                <w:rFonts w:ascii="Arial" w:eastAsia="Arial" w:hAnsi="Arial" w:cs="Arial"/>
                <w:color w:val="000000"/>
                <w:sz w:val="16"/>
                <w:szCs w:val="20"/>
              </w:rPr>
            </w:pPr>
            <w:r w:rsidRPr="00BC69CF">
              <w:rPr>
                <w:rFonts w:ascii="Arial" w:eastAsia="Arial" w:hAnsi="Arial" w:cs="Arial"/>
                <w:color w:val="000000"/>
                <w:sz w:val="16"/>
                <w:szCs w:val="20"/>
              </w:rPr>
              <w:t>- </w:t>
            </w:r>
          </w:p>
        </w:tc>
        <w:tc>
          <w:tcPr>
            <w:tcW w:w="990" w:type="dxa"/>
            <w:tcBorders>
              <w:top w:val="nil"/>
              <w:left w:val="nil"/>
              <w:bottom w:val="nil"/>
              <w:right w:val="nil"/>
              <w:tl2br w:val="nil"/>
              <w:tr2bl w:val="nil"/>
            </w:tcBorders>
            <w:shd w:val="clear" w:color="auto" w:fill="FFFFFF"/>
            <w:tcMar>
              <w:left w:w="115" w:type="dxa"/>
              <w:right w:w="115" w:type="dxa"/>
            </w:tcMar>
            <w:vAlign w:val="bottom"/>
          </w:tcPr>
          <w:p w14:paraId="305E7188" w14:textId="77777777" w:rsidR="003F0EEA" w:rsidRPr="00BC69CF" w:rsidRDefault="00FB7D0B">
            <w:pPr>
              <w:jc w:val="right"/>
              <w:rPr>
                <w:rFonts w:ascii="Arial" w:eastAsia="Arial" w:hAnsi="Arial" w:cs="Arial"/>
                <w:color w:val="000000"/>
                <w:sz w:val="16"/>
                <w:szCs w:val="20"/>
              </w:rPr>
            </w:pPr>
            <w:r w:rsidRPr="00BC69CF">
              <w:rPr>
                <w:rFonts w:ascii="Arial" w:eastAsia="Arial" w:hAnsi="Arial" w:cs="Arial"/>
                <w:color w:val="000000"/>
                <w:sz w:val="16"/>
                <w:szCs w:val="20"/>
              </w:rPr>
              <w:t>- </w:t>
            </w:r>
          </w:p>
        </w:tc>
      </w:tr>
      <w:tr w:rsidR="00724034" w14:paraId="316066B0" w14:textId="77777777">
        <w:trPr>
          <w:trHeight w:val="60"/>
        </w:trPr>
        <w:tc>
          <w:tcPr>
            <w:tcW w:w="3600" w:type="dxa"/>
            <w:tcBorders>
              <w:top w:val="nil"/>
              <w:left w:val="nil"/>
              <w:bottom w:val="nil"/>
              <w:right w:val="nil"/>
              <w:tl2br w:val="nil"/>
              <w:tr2bl w:val="nil"/>
            </w:tcBorders>
            <w:shd w:val="clear" w:color="auto" w:fill="FFFFFF"/>
            <w:tcMar>
              <w:left w:w="115" w:type="dxa"/>
              <w:right w:w="115" w:type="dxa"/>
            </w:tcMar>
            <w:vAlign w:val="bottom"/>
          </w:tcPr>
          <w:p w14:paraId="63CF94FA" w14:textId="77777777" w:rsidR="003F0EEA" w:rsidRPr="00BC69CF" w:rsidRDefault="003F0EEA">
            <w:pPr>
              <w:rPr>
                <w:rFonts w:ascii="Arial" w:eastAsia="Arial" w:hAnsi="Arial" w:cs="Arial"/>
                <w:color w:val="000000"/>
                <w:sz w:val="16"/>
                <w:szCs w:val="20"/>
              </w:rPr>
            </w:pPr>
          </w:p>
        </w:tc>
        <w:tc>
          <w:tcPr>
            <w:tcW w:w="990" w:type="dxa"/>
            <w:tcBorders>
              <w:top w:val="nil"/>
              <w:left w:val="nil"/>
              <w:bottom w:val="nil"/>
              <w:right w:val="nil"/>
              <w:tl2br w:val="nil"/>
              <w:tr2bl w:val="nil"/>
            </w:tcBorders>
            <w:shd w:val="clear" w:color="auto" w:fill="FFFFFF"/>
            <w:tcMar>
              <w:left w:w="115" w:type="dxa"/>
              <w:right w:w="115" w:type="dxa"/>
            </w:tcMar>
            <w:vAlign w:val="bottom"/>
          </w:tcPr>
          <w:p w14:paraId="2D931D34" w14:textId="77777777" w:rsidR="003F0EEA" w:rsidRPr="00BC69CF" w:rsidRDefault="003F0EEA">
            <w:pPr>
              <w:rPr>
                <w:rFonts w:ascii="Arial" w:eastAsia="Arial" w:hAnsi="Arial" w:cs="Arial"/>
                <w:color w:val="000000"/>
                <w:sz w:val="16"/>
                <w:szCs w:val="20"/>
                <w:vertAlign w:val="superscript"/>
              </w:rPr>
            </w:pPr>
          </w:p>
        </w:tc>
        <w:tc>
          <w:tcPr>
            <w:tcW w:w="990" w:type="dxa"/>
            <w:tcBorders>
              <w:top w:val="nil"/>
              <w:left w:val="nil"/>
              <w:bottom w:val="nil"/>
              <w:right w:val="nil"/>
              <w:tl2br w:val="nil"/>
              <w:tr2bl w:val="nil"/>
            </w:tcBorders>
            <w:shd w:val="clear" w:color="auto" w:fill="C0C0C0"/>
            <w:tcMar>
              <w:left w:w="115" w:type="dxa"/>
              <w:right w:w="115" w:type="dxa"/>
            </w:tcMar>
            <w:vAlign w:val="bottom"/>
          </w:tcPr>
          <w:p w14:paraId="7FD41A52" w14:textId="77777777" w:rsidR="003F0EEA" w:rsidRPr="00BC69CF" w:rsidRDefault="003F0EEA">
            <w:pPr>
              <w:rPr>
                <w:rFonts w:ascii="Arial" w:eastAsia="Arial" w:hAnsi="Arial" w:cs="Arial"/>
                <w:color w:val="000000"/>
                <w:sz w:val="16"/>
                <w:szCs w:val="20"/>
                <w:vertAlign w:val="superscript"/>
              </w:rPr>
            </w:pPr>
          </w:p>
        </w:tc>
        <w:tc>
          <w:tcPr>
            <w:tcW w:w="990" w:type="dxa"/>
            <w:tcBorders>
              <w:top w:val="nil"/>
              <w:left w:val="nil"/>
              <w:bottom w:val="nil"/>
              <w:right w:val="nil"/>
              <w:tl2br w:val="nil"/>
              <w:tr2bl w:val="nil"/>
            </w:tcBorders>
            <w:shd w:val="clear" w:color="auto" w:fill="FFFFFF"/>
            <w:tcMar>
              <w:left w:w="115" w:type="dxa"/>
              <w:right w:w="115" w:type="dxa"/>
            </w:tcMar>
            <w:vAlign w:val="bottom"/>
          </w:tcPr>
          <w:p w14:paraId="0702B21B" w14:textId="77777777" w:rsidR="003F0EEA" w:rsidRPr="00BC69CF" w:rsidRDefault="003F0EEA">
            <w:pPr>
              <w:rPr>
                <w:rFonts w:ascii="Arial" w:eastAsia="Arial" w:hAnsi="Arial" w:cs="Arial"/>
                <w:color w:val="000000"/>
                <w:sz w:val="16"/>
                <w:szCs w:val="20"/>
                <w:vertAlign w:val="superscript"/>
              </w:rPr>
            </w:pPr>
          </w:p>
        </w:tc>
        <w:tc>
          <w:tcPr>
            <w:tcW w:w="990" w:type="dxa"/>
            <w:tcBorders>
              <w:top w:val="nil"/>
              <w:left w:val="nil"/>
              <w:bottom w:val="nil"/>
              <w:right w:val="nil"/>
              <w:tl2br w:val="nil"/>
              <w:tr2bl w:val="nil"/>
            </w:tcBorders>
            <w:shd w:val="clear" w:color="auto" w:fill="FFFFFF"/>
            <w:tcMar>
              <w:left w:w="115" w:type="dxa"/>
              <w:right w:w="115" w:type="dxa"/>
            </w:tcMar>
            <w:vAlign w:val="bottom"/>
          </w:tcPr>
          <w:p w14:paraId="0D776218" w14:textId="77777777" w:rsidR="003F0EEA" w:rsidRPr="00BC69CF" w:rsidRDefault="003F0EEA">
            <w:pPr>
              <w:rPr>
                <w:rFonts w:ascii="Arial" w:eastAsia="Arial" w:hAnsi="Arial" w:cs="Arial"/>
                <w:color w:val="000000"/>
                <w:sz w:val="16"/>
                <w:szCs w:val="20"/>
                <w:vertAlign w:val="superscript"/>
              </w:rPr>
            </w:pPr>
          </w:p>
        </w:tc>
        <w:tc>
          <w:tcPr>
            <w:tcW w:w="990" w:type="dxa"/>
            <w:tcBorders>
              <w:top w:val="nil"/>
              <w:left w:val="nil"/>
              <w:bottom w:val="nil"/>
              <w:right w:val="nil"/>
              <w:tl2br w:val="nil"/>
              <w:tr2bl w:val="nil"/>
            </w:tcBorders>
            <w:shd w:val="clear" w:color="auto" w:fill="FFFFFF"/>
            <w:tcMar>
              <w:left w:w="115" w:type="dxa"/>
              <w:right w:w="115" w:type="dxa"/>
            </w:tcMar>
            <w:vAlign w:val="bottom"/>
          </w:tcPr>
          <w:p w14:paraId="37FAF39C" w14:textId="77777777" w:rsidR="003F0EEA" w:rsidRPr="00BC69CF" w:rsidRDefault="003F0EEA">
            <w:pPr>
              <w:rPr>
                <w:rFonts w:ascii="Arial" w:eastAsia="Arial" w:hAnsi="Arial" w:cs="Arial"/>
                <w:color w:val="000000"/>
                <w:sz w:val="16"/>
                <w:szCs w:val="20"/>
                <w:vertAlign w:val="superscript"/>
              </w:rPr>
            </w:pPr>
          </w:p>
        </w:tc>
      </w:tr>
      <w:tr w:rsidR="00724034" w14:paraId="61ACD192" w14:textId="77777777">
        <w:trPr>
          <w:trHeight w:val="675"/>
        </w:trPr>
        <w:tc>
          <w:tcPr>
            <w:tcW w:w="3600" w:type="dxa"/>
            <w:tcBorders>
              <w:top w:val="nil"/>
              <w:left w:val="nil"/>
              <w:bottom w:val="nil"/>
              <w:right w:val="nil"/>
              <w:tl2br w:val="nil"/>
              <w:tr2bl w:val="nil"/>
            </w:tcBorders>
            <w:shd w:val="clear" w:color="auto" w:fill="FFFFFF"/>
            <w:tcMar>
              <w:left w:w="115" w:type="dxa"/>
              <w:right w:w="115" w:type="dxa"/>
            </w:tcMar>
            <w:vAlign w:val="bottom"/>
          </w:tcPr>
          <w:p w14:paraId="5A503E8F" w14:textId="77777777" w:rsidR="003F0EEA" w:rsidRPr="00BC69CF" w:rsidRDefault="00FB7D0B">
            <w:pPr>
              <w:rPr>
                <w:rFonts w:ascii="Arial" w:eastAsia="Arial" w:hAnsi="Arial" w:cs="Arial"/>
                <w:color w:val="000000"/>
                <w:sz w:val="16"/>
                <w:szCs w:val="20"/>
                <w:vertAlign w:val="superscript"/>
              </w:rPr>
            </w:pPr>
            <w:r w:rsidRPr="00BC69CF">
              <w:rPr>
                <w:rFonts w:ascii="Arial" w:eastAsia="Arial" w:hAnsi="Arial" w:cs="Arial"/>
                <w:color w:val="000000"/>
                <w:sz w:val="16"/>
                <w:szCs w:val="20"/>
              </w:rPr>
              <w:t>Programme 3.1 War Graves and Commemorations - Anzac Centenary Local Grants Program</w:t>
            </w:r>
            <w:r w:rsidRPr="00BC69CF">
              <w:rPr>
                <w:rFonts w:ascii="Arial" w:eastAsia="Arial" w:hAnsi="Arial" w:cs="Arial"/>
                <w:color w:val="000000"/>
                <w:sz w:val="16"/>
                <w:szCs w:val="20"/>
                <w:vertAlign w:val="superscript"/>
              </w:rPr>
              <w:t>2 </w:t>
            </w:r>
          </w:p>
        </w:tc>
        <w:tc>
          <w:tcPr>
            <w:tcW w:w="990" w:type="dxa"/>
            <w:tcBorders>
              <w:top w:val="nil"/>
              <w:left w:val="nil"/>
              <w:bottom w:val="nil"/>
              <w:right w:val="nil"/>
              <w:tl2br w:val="nil"/>
              <w:tr2bl w:val="nil"/>
            </w:tcBorders>
            <w:shd w:val="clear" w:color="auto" w:fill="FFFFFF"/>
            <w:tcMar>
              <w:left w:w="115" w:type="dxa"/>
              <w:right w:w="115" w:type="dxa"/>
            </w:tcMar>
            <w:vAlign w:val="bottom"/>
          </w:tcPr>
          <w:p w14:paraId="537CDEDF" w14:textId="77777777" w:rsidR="003F0EEA" w:rsidRPr="00BC69CF" w:rsidRDefault="00FB7D0B">
            <w:pPr>
              <w:jc w:val="right"/>
              <w:rPr>
                <w:rFonts w:ascii="Arial" w:eastAsia="Arial" w:hAnsi="Arial" w:cs="Arial"/>
                <w:color w:val="000000"/>
                <w:sz w:val="16"/>
                <w:szCs w:val="20"/>
                <w:vertAlign w:val="superscript"/>
              </w:rPr>
            </w:pPr>
            <w:r w:rsidRPr="00BC69CF">
              <w:rPr>
                <w:rFonts w:ascii="Arial" w:eastAsia="Arial" w:hAnsi="Arial" w:cs="Arial"/>
                <w:color w:val="000000"/>
                <w:sz w:val="16"/>
                <w:szCs w:val="20"/>
              </w:rPr>
              <w:t>(13,750)</w:t>
            </w:r>
          </w:p>
        </w:tc>
        <w:tc>
          <w:tcPr>
            <w:tcW w:w="990" w:type="dxa"/>
            <w:tcBorders>
              <w:top w:val="nil"/>
              <w:left w:val="nil"/>
              <w:bottom w:val="nil"/>
              <w:right w:val="nil"/>
              <w:tl2br w:val="nil"/>
              <w:tr2bl w:val="nil"/>
            </w:tcBorders>
            <w:shd w:val="clear" w:color="auto" w:fill="C0C0C0"/>
            <w:tcMar>
              <w:left w:w="115" w:type="dxa"/>
              <w:right w:w="115" w:type="dxa"/>
            </w:tcMar>
            <w:vAlign w:val="bottom"/>
          </w:tcPr>
          <w:p w14:paraId="787EF291" w14:textId="77777777" w:rsidR="003F0EEA" w:rsidRPr="00BC69CF" w:rsidRDefault="00FB7D0B">
            <w:pPr>
              <w:jc w:val="right"/>
              <w:rPr>
                <w:rFonts w:ascii="Arial" w:eastAsia="Arial" w:hAnsi="Arial" w:cs="Arial"/>
                <w:color w:val="000000"/>
                <w:sz w:val="16"/>
                <w:szCs w:val="20"/>
              </w:rPr>
            </w:pPr>
            <w:r w:rsidRPr="00BC69CF">
              <w:rPr>
                <w:rFonts w:ascii="Arial" w:eastAsia="Arial" w:hAnsi="Arial" w:cs="Arial"/>
                <w:color w:val="000000"/>
                <w:sz w:val="16"/>
                <w:szCs w:val="20"/>
              </w:rPr>
              <w:t>13,750 </w:t>
            </w:r>
          </w:p>
        </w:tc>
        <w:tc>
          <w:tcPr>
            <w:tcW w:w="990" w:type="dxa"/>
            <w:tcBorders>
              <w:top w:val="nil"/>
              <w:left w:val="nil"/>
              <w:bottom w:val="nil"/>
              <w:right w:val="nil"/>
              <w:tl2br w:val="nil"/>
              <w:tr2bl w:val="nil"/>
            </w:tcBorders>
            <w:shd w:val="clear" w:color="auto" w:fill="FFFFFF"/>
            <w:tcMar>
              <w:left w:w="115" w:type="dxa"/>
              <w:right w:w="115" w:type="dxa"/>
            </w:tcMar>
            <w:vAlign w:val="bottom"/>
          </w:tcPr>
          <w:p w14:paraId="392C918C" w14:textId="77777777" w:rsidR="003F0EEA" w:rsidRPr="00BC69CF" w:rsidRDefault="00FB7D0B">
            <w:pPr>
              <w:jc w:val="right"/>
              <w:rPr>
                <w:rFonts w:ascii="Arial" w:eastAsia="Arial" w:hAnsi="Arial" w:cs="Arial"/>
                <w:color w:val="000000"/>
                <w:sz w:val="16"/>
                <w:szCs w:val="20"/>
              </w:rPr>
            </w:pPr>
            <w:r w:rsidRPr="00BC69CF">
              <w:rPr>
                <w:rFonts w:ascii="Arial" w:eastAsia="Arial" w:hAnsi="Arial" w:cs="Arial"/>
                <w:color w:val="000000"/>
                <w:sz w:val="16"/>
                <w:szCs w:val="20"/>
              </w:rPr>
              <w:t>- </w:t>
            </w:r>
          </w:p>
        </w:tc>
        <w:tc>
          <w:tcPr>
            <w:tcW w:w="990" w:type="dxa"/>
            <w:tcBorders>
              <w:top w:val="nil"/>
              <w:left w:val="nil"/>
              <w:bottom w:val="nil"/>
              <w:right w:val="nil"/>
              <w:tl2br w:val="nil"/>
              <w:tr2bl w:val="nil"/>
            </w:tcBorders>
            <w:shd w:val="clear" w:color="auto" w:fill="FFFFFF"/>
            <w:tcMar>
              <w:left w:w="115" w:type="dxa"/>
              <w:right w:w="115" w:type="dxa"/>
            </w:tcMar>
            <w:vAlign w:val="bottom"/>
          </w:tcPr>
          <w:p w14:paraId="7DD87ED9" w14:textId="77777777" w:rsidR="003F0EEA" w:rsidRPr="00BC69CF" w:rsidRDefault="00FB7D0B">
            <w:pPr>
              <w:jc w:val="right"/>
              <w:rPr>
                <w:rFonts w:ascii="Arial" w:eastAsia="Arial" w:hAnsi="Arial" w:cs="Arial"/>
                <w:color w:val="000000"/>
                <w:sz w:val="16"/>
                <w:szCs w:val="20"/>
              </w:rPr>
            </w:pPr>
            <w:r w:rsidRPr="00BC69CF">
              <w:rPr>
                <w:rFonts w:ascii="Arial" w:eastAsia="Arial" w:hAnsi="Arial" w:cs="Arial"/>
                <w:color w:val="000000"/>
                <w:sz w:val="16"/>
                <w:szCs w:val="20"/>
              </w:rPr>
              <w:t>- </w:t>
            </w:r>
          </w:p>
        </w:tc>
        <w:tc>
          <w:tcPr>
            <w:tcW w:w="990" w:type="dxa"/>
            <w:tcBorders>
              <w:top w:val="nil"/>
              <w:left w:val="nil"/>
              <w:bottom w:val="nil"/>
              <w:right w:val="nil"/>
              <w:tl2br w:val="nil"/>
              <w:tr2bl w:val="nil"/>
            </w:tcBorders>
            <w:shd w:val="clear" w:color="auto" w:fill="FFFFFF"/>
            <w:tcMar>
              <w:left w:w="115" w:type="dxa"/>
              <w:right w:w="115" w:type="dxa"/>
            </w:tcMar>
            <w:vAlign w:val="bottom"/>
          </w:tcPr>
          <w:p w14:paraId="7587469C" w14:textId="77777777" w:rsidR="003F0EEA" w:rsidRPr="00BC69CF" w:rsidRDefault="00FB7D0B">
            <w:pPr>
              <w:jc w:val="right"/>
              <w:rPr>
                <w:rFonts w:ascii="Arial" w:eastAsia="Arial" w:hAnsi="Arial" w:cs="Arial"/>
                <w:color w:val="000000"/>
                <w:sz w:val="16"/>
                <w:szCs w:val="20"/>
              </w:rPr>
            </w:pPr>
            <w:r w:rsidRPr="00BC69CF">
              <w:rPr>
                <w:rFonts w:ascii="Arial" w:eastAsia="Arial" w:hAnsi="Arial" w:cs="Arial"/>
                <w:color w:val="000000"/>
                <w:sz w:val="16"/>
                <w:szCs w:val="20"/>
              </w:rPr>
              <w:t>- </w:t>
            </w:r>
          </w:p>
        </w:tc>
      </w:tr>
      <w:tr w:rsidR="00724034" w14:paraId="0A3D572C" w14:textId="77777777">
        <w:trPr>
          <w:trHeight w:val="675"/>
        </w:trPr>
        <w:tc>
          <w:tcPr>
            <w:tcW w:w="3600" w:type="dxa"/>
            <w:tcBorders>
              <w:top w:val="nil"/>
              <w:left w:val="nil"/>
              <w:bottom w:val="nil"/>
              <w:right w:val="nil"/>
              <w:tl2br w:val="nil"/>
              <w:tr2bl w:val="nil"/>
            </w:tcBorders>
            <w:shd w:val="clear" w:color="auto" w:fill="FFFFFF"/>
            <w:tcMar>
              <w:left w:w="115" w:type="dxa"/>
              <w:right w:w="115" w:type="dxa"/>
            </w:tcMar>
            <w:vAlign w:val="bottom"/>
          </w:tcPr>
          <w:p w14:paraId="3DF0B477" w14:textId="77777777" w:rsidR="003F0EEA" w:rsidRPr="00BC69CF" w:rsidRDefault="00FB7D0B">
            <w:pPr>
              <w:rPr>
                <w:rFonts w:ascii="Arial" w:eastAsia="Arial" w:hAnsi="Arial" w:cs="Arial"/>
                <w:color w:val="000000"/>
                <w:sz w:val="16"/>
                <w:szCs w:val="20"/>
              </w:rPr>
            </w:pPr>
            <w:r w:rsidRPr="00BC69CF">
              <w:rPr>
                <w:rFonts w:ascii="Arial" w:eastAsia="Arial" w:hAnsi="Arial" w:cs="Arial"/>
                <w:color w:val="000000"/>
                <w:sz w:val="16"/>
                <w:szCs w:val="20"/>
              </w:rPr>
              <w:t>Programme 3.1 War Graves and Commemorations - Contribution to the Vietnam Veterans' Education Centre, Washington</w:t>
            </w:r>
            <w:r w:rsidRPr="00BC69CF">
              <w:rPr>
                <w:rFonts w:ascii="Arial" w:eastAsia="Arial" w:hAnsi="Arial" w:cs="Arial"/>
                <w:color w:val="000000"/>
                <w:sz w:val="16"/>
                <w:szCs w:val="20"/>
                <w:vertAlign w:val="superscript"/>
              </w:rPr>
              <w:t>3 </w:t>
            </w:r>
          </w:p>
        </w:tc>
        <w:tc>
          <w:tcPr>
            <w:tcW w:w="990" w:type="dxa"/>
            <w:tcBorders>
              <w:top w:val="nil"/>
              <w:left w:val="nil"/>
              <w:bottom w:val="nil"/>
              <w:right w:val="nil"/>
              <w:tl2br w:val="nil"/>
              <w:tr2bl w:val="nil"/>
            </w:tcBorders>
            <w:shd w:val="clear" w:color="auto" w:fill="FFFFFF"/>
            <w:tcMar>
              <w:left w:w="115" w:type="dxa"/>
              <w:right w:w="115" w:type="dxa"/>
            </w:tcMar>
            <w:vAlign w:val="bottom"/>
          </w:tcPr>
          <w:p w14:paraId="56481EAF" w14:textId="77777777" w:rsidR="003F0EEA" w:rsidRPr="00BC69CF" w:rsidRDefault="00FB7D0B">
            <w:pPr>
              <w:jc w:val="right"/>
              <w:rPr>
                <w:rFonts w:ascii="Arial" w:eastAsia="Arial" w:hAnsi="Arial" w:cs="Arial"/>
                <w:color w:val="000000"/>
                <w:sz w:val="16"/>
                <w:szCs w:val="20"/>
                <w:vertAlign w:val="superscript"/>
              </w:rPr>
            </w:pPr>
            <w:r w:rsidRPr="00BC69CF">
              <w:rPr>
                <w:rFonts w:ascii="Arial" w:eastAsia="Arial" w:hAnsi="Arial" w:cs="Arial"/>
                <w:color w:val="000000"/>
                <w:sz w:val="16"/>
                <w:szCs w:val="20"/>
              </w:rPr>
              <w:t>(217)</w:t>
            </w:r>
          </w:p>
        </w:tc>
        <w:tc>
          <w:tcPr>
            <w:tcW w:w="990" w:type="dxa"/>
            <w:tcBorders>
              <w:top w:val="nil"/>
              <w:left w:val="nil"/>
              <w:bottom w:val="nil"/>
              <w:right w:val="nil"/>
              <w:tl2br w:val="nil"/>
              <w:tr2bl w:val="nil"/>
            </w:tcBorders>
            <w:shd w:val="clear" w:color="auto" w:fill="C0C0C0"/>
            <w:tcMar>
              <w:left w:w="115" w:type="dxa"/>
              <w:right w:w="115" w:type="dxa"/>
            </w:tcMar>
            <w:vAlign w:val="bottom"/>
          </w:tcPr>
          <w:p w14:paraId="27CDF72B" w14:textId="77777777" w:rsidR="003F0EEA" w:rsidRPr="00BC69CF" w:rsidRDefault="00FB7D0B">
            <w:pPr>
              <w:jc w:val="right"/>
              <w:rPr>
                <w:rFonts w:ascii="Arial" w:eastAsia="Arial" w:hAnsi="Arial" w:cs="Arial"/>
                <w:color w:val="000000"/>
                <w:sz w:val="16"/>
                <w:szCs w:val="20"/>
              </w:rPr>
            </w:pPr>
            <w:r w:rsidRPr="00BC69CF">
              <w:rPr>
                <w:rFonts w:ascii="Arial" w:eastAsia="Arial" w:hAnsi="Arial" w:cs="Arial"/>
                <w:color w:val="000000"/>
                <w:sz w:val="16"/>
                <w:szCs w:val="20"/>
              </w:rPr>
              <w:t>50 </w:t>
            </w:r>
          </w:p>
        </w:tc>
        <w:tc>
          <w:tcPr>
            <w:tcW w:w="990" w:type="dxa"/>
            <w:tcBorders>
              <w:top w:val="nil"/>
              <w:left w:val="nil"/>
              <w:bottom w:val="nil"/>
              <w:right w:val="nil"/>
              <w:tl2br w:val="nil"/>
              <w:tr2bl w:val="nil"/>
            </w:tcBorders>
            <w:shd w:val="clear" w:color="auto" w:fill="FFFFFF"/>
            <w:tcMar>
              <w:left w:w="115" w:type="dxa"/>
              <w:right w:w="115" w:type="dxa"/>
            </w:tcMar>
            <w:vAlign w:val="bottom"/>
          </w:tcPr>
          <w:p w14:paraId="238FED10" w14:textId="77777777" w:rsidR="003F0EEA" w:rsidRPr="00BC69CF" w:rsidRDefault="00FB7D0B">
            <w:pPr>
              <w:jc w:val="right"/>
              <w:rPr>
                <w:rFonts w:ascii="Arial" w:eastAsia="Arial" w:hAnsi="Arial" w:cs="Arial"/>
                <w:color w:val="000000"/>
                <w:sz w:val="16"/>
                <w:szCs w:val="20"/>
              </w:rPr>
            </w:pPr>
            <w:r w:rsidRPr="00BC69CF">
              <w:rPr>
                <w:rFonts w:ascii="Arial" w:eastAsia="Arial" w:hAnsi="Arial" w:cs="Arial"/>
                <w:color w:val="000000"/>
                <w:sz w:val="16"/>
                <w:szCs w:val="20"/>
              </w:rPr>
              <w:t>50 </w:t>
            </w:r>
          </w:p>
        </w:tc>
        <w:tc>
          <w:tcPr>
            <w:tcW w:w="990" w:type="dxa"/>
            <w:tcBorders>
              <w:top w:val="nil"/>
              <w:left w:val="nil"/>
              <w:bottom w:val="nil"/>
              <w:right w:val="nil"/>
              <w:tl2br w:val="nil"/>
              <w:tr2bl w:val="nil"/>
            </w:tcBorders>
            <w:shd w:val="clear" w:color="auto" w:fill="FFFFFF"/>
            <w:tcMar>
              <w:left w:w="115" w:type="dxa"/>
              <w:right w:w="115" w:type="dxa"/>
            </w:tcMar>
            <w:vAlign w:val="bottom"/>
          </w:tcPr>
          <w:p w14:paraId="63863A61" w14:textId="77777777" w:rsidR="003F0EEA" w:rsidRPr="00BC69CF" w:rsidRDefault="00FB7D0B">
            <w:pPr>
              <w:jc w:val="right"/>
              <w:rPr>
                <w:rFonts w:ascii="Arial" w:eastAsia="Arial" w:hAnsi="Arial" w:cs="Arial"/>
                <w:color w:val="000000"/>
                <w:sz w:val="16"/>
                <w:szCs w:val="20"/>
              </w:rPr>
            </w:pPr>
            <w:r w:rsidRPr="00BC69CF">
              <w:rPr>
                <w:rFonts w:ascii="Arial" w:eastAsia="Arial" w:hAnsi="Arial" w:cs="Arial"/>
                <w:color w:val="000000"/>
                <w:sz w:val="16"/>
                <w:szCs w:val="20"/>
              </w:rPr>
              <w:t>117 </w:t>
            </w:r>
          </w:p>
        </w:tc>
        <w:tc>
          <w:tcPr>
            <w:tcW w:w="990" w:type="dxa"/>
            <w:tcBorders>
              <w:top w:val="nil"/>
              <w:left w:val="nil"/>
              <w:bottom w:val="nil"/>
              <w:right w:val="nil"/>
              <w:tl2br w:val="nil"/>
              <w:tr2bl w:val="nil"/>
            </w:tcBorders>
            <w:shd w:val="clear" w:color="auto" w:fill="FFFFFF"/>
            <w:tcMar>
              <w:left w:w="115" w:type="dxa"/>
              <w:right w:w="115" w:type="dxa"/>
            </w:tcMar>
            <w:vAlign w:val="bottom"/>
          </w:tcPr>
          <w:p w14:paraId="2F7A8497" w14:textId="77777777" w:rsidR="003F0EEA" w:rsidRPr="00BC69CF" w:rsidRDefault="00FB7D0B">
            <w:pPr>
              <w:jc w:val="right"/>
              <w:rPr>
                <w:rFonts w:ascii="Arial" w:eastAsia="Arial" w:hAnsi="Arial" w:cs="Arial"/>
                <w:color w:val="000000"/>
                <w:sz w:val="16"/>
                <w:szCs w:val="20"/>
              </w:rPr>
            </w:pPr>
            <w:r w:rsidRPr="00BC69CF">
              <w:rPr>
                <w:rFonts w:ascii="Arial" w:eastAsia="Arial" w:hAnsi="Arial" w:cs="Arial"/>
                <w:color w:val="000000"/>
                <w:sz w:val="16"/>
                <w:szCs w:val="20"/>
              </w:rPr>
              <w:t>- </w:t>
            </w:r>
          </w:p>
        </w:tc>
      </w:tr>
      <w:tr w:rsidR="00724034" w14:paraId="768CCD64" w14:textId="77777777">
        <w:trPr>
          <w:trHeight w:val="255"/>
        </w:trPr>
        <w:tc>
          <w:tcPr>
            <w:tcW w:w="3600" w:type="dxa"/>
            <w:tcBorders>
              <w:top w:val="nil"/>
              <w:left w:val="nil"/>
              <w:bottom w:val="nil"/>
              <w:right w:val="nil"/>
              <w:tl2br w:val="nil"/>
              <w:tr2bl w:val="nil"/>
            </w:tcBorders>
            <w:shd w:val="clear" w:color="auto" w:fill="FFFFFF"/>
            <w:tcMar>
              <w:left w:w="115" w:type="dxa"/>
              <w:right w:w="115" w:type="dxa"/>
            </w:tcMar>
            <w:vAlign w:val="bottom"/>
          </w:tcPr>
          <w:p w14:paraId="6E45DCF1" w14:textId="77777777" w:rsidR="003F0EEA" w:rsidRPr="00BC69CF" w:rsidRDefault="00FB7D0B">
            <w:pPr>
              <w:rPr>
                <w:rFonts w:ascii="Arial" w:eastAsia="Arial" w:hAnsi="Arial" w:cs="Arial"/>
                <w:color w:val="000000"/>
                <w:sz w:val="16"/>
                <w:szCs w:val="20"/>
              </w:rPr>
            </w:pPr>
            <w:r w:rsidRPr="00BC69CF">
              <w:rPr>
                <w:rFonts w:ascii="Arial" w:eastAsia="Arial" w:hAnsi="Arial" w:cs="Arial"/>
                <w:color w:val="000000"/>
                <w:sz w:val="16"/>
                <w:szCs w:val="20"/>
              </w:rPr>
              <w:t>Australian War Memorial Travelling Exhibition</w:t>
            </w:r>
            <w:r w:rsidRPr="00BC69CF">
              <w:rPr>
                <w:rFonts w:ascii="Arial" w:eastAsia="Arial" w:hAnsi="Arial" w:cs="Arial"/>
                <w:color w:val="000000"/>
                <w:sz w:val="16"/>
                <w:szCs w:val="20"/>
                <w:vertAlign w:val="superscript"/>
              </w:rPr>
              <w:t>4 </w:t>
            </w:r>
          </w:p>
        </w:tc>
        <w:tc>
          <w:tcPr>
            <w:tcW w:w="990" w:type="dxa"/>
            <w:tcBorders>
              <w:top w:val="nil"/>
              <w:left w:val="nil"/>
              <w:bottom w:val="nil"/>
              <w:right w:val="nil"/>
              <w:tl2br w:val="nil"/>
              <w:tr2bl w:val="nil"/>
            </w:tcBorders>
            <w:shd w:val="clear" w:color="auto" w:fill="FFFFFF"/>
            <w:tcMar>
              <w:left w:w="115" w:type="dxa"/>
              <w:right w:w="115" w:type="dxa"/>
            </w:tcMar>
            <w:vAlign w:val="bottom"/>
          </w:tcPr>
          <w:p w14:paraId="0939FEF8" w14:textId="77777777" w:rsidR="003F0EEA" w:rsidRPr="00BC69CF" w:rsidRDefault="00FB7D0B">
            <w:pPr>
              <w:jc w:val="right"/>
              <w:rPr>
                <w:rFonts w:ascii="Arial" w:eastAsia="Arial" w:hAnsi="Arial" w:cs="Arial"/>
                <w:color w:val="000000"/>
                <w:sz w:val="16"/>
                <w:szCs w:val="20"/>
                <w:vertAlign w:val="superscript"/>
              </w:rPr>
            </w:pPr>
            <w:r w:rsidRPr="00BC69CF">
              <w:rPr>
                <w:rFonts w:ascii="Arial" w:eastAsia="Arial" w:hAnsi="Arial" w:cs="Arial"/>
                <w:color w:val="000000"/>
                <w:sz w:val="16"/>
                <w:szCs w:val="20"/>
              </w:rPr>
              <w:t>(8,400)</w:t>
            </w:r>
          </w:p>
        </w:tc>
        <w:tc>
          <w:tcPr>
            <w:tcW w:w="990" w:type="dxa"/>
            <w:tcBorders>
              <w:top w:val="nil"/>
              <w:left w:val="nil"/>
              <w:bottom w:val="single" w:sz="6" w:space="0" w:color="000000"/>
              <w:right w:val="nil"/>
              <w:tl2br w:val="nil"/>
              <w:tr2bl w:val="nil"/>
            </w:tcBorders>
            <w:shd w:val="clear" w:color="auto" w:fill="C0C0C0"/>
            <w:tcMar>
              <w:left w:w="115" w:type="dxa"/>
              <w:right w:w="115" w:type="dxa"/>
            </w:tcMar>
            <w:vAlign w:val="bottom"/>
          </w:tcPr>
          <w:p w14:paraId="10F7157C" w14:textId="77777777" w:rsidR="003F0EEA" w:rsidRPr="00BC69CF" w:rsidRDefault="00FB7D0B">
            <w:pPr>
              <w:jc w:val="right"/>
              <w:rPr>
                <w:rFonts w:ascii="Arial" w:eastAsia="Arial" w:hAnsi="Arial" w:cs="Arial"/>
                <w:color w:val="000000"/>
                <w:sz w:val="16"/>
                <w:szCs w:val="20"/>
              </w:rPr>
            </w:pPr>
            <w:r w:rsidRPr="00BC69CF">
              <w:rPr>
                <w:rFonts w:ascii="Arial" w:eastAsia="Arial" w:hAnsi="Arial" w:cs="Arial"/>
                <w:color w:val="000000"/>
                <w:sz w:val="16"/>
                <w:szCs w:val="20"/>
              </w:rPr>
              <w:t>8,400 </w:t>
            </w:r>
          </w:p>
        </w:tc>
        <w:tc>
          <w:tcPr>
            <w:tcW w:w="990"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72000205" w14:textId="77777777" w:rsidR="003F0EEA" w:rsidRPr="00BC69CF" w:rsidRDefault="00FB7D0B">
            <w:pPr>
              <w:jc w:val="right"/>
              <w:rPr>
                <w:rFonts w:ascii="Arial" w:eastAsia="Arial" w:hAnsi="Arial" w:cs="Arial"/>
                <w:color w:val="000000"/>
                <w:sz w:val="16"/>
                <w:szCs w:val="20"/>
              </w:rPr>
            </w:pPr>
            <w:r w:rsidRPr="00BC69CF">
              <w:rPr>
                <w:rFonts w:ascii="Arial" w:eastAsia="Arial" w:hAnsi="Arial" w:cs="Arial"/>
                <w:color w:val="000000"/>
                <w:sz w:val="16"/>
                <w:szCs w:val="20"/>
              </w:rPr>
              <w:t>- </w:t>
            </w:r>
          </w:p>
        </w:tc>
        <w:tc>
          <w:tcPr>
            <w:tcW w:w="990" w:type="dxa"/>
            <w:tcBorders>
              <w:top w:val="nil"/>
              <w:left w:val="nil"/>
              <w:bottom w:val="nil"/>
              <w:right w:val="nil"/>
              <w:tl2br w:val="nil"/>
              <w:tr2bl w:val="nil"/>
            </w:tcBorders>
            <w:shd w:val="clear" w:color="auto" w:fill="FFFFFF"/>
            <w:tcMar>
              <w:left w:w="115" w:type="dxa"/>
              <w:right w:w="115" w:type="dxa"/>
            </w:tcMar>
            <w:vAlign w:val="bottom"/>
          </w:tcPr>
          <w:p w14:paraId="055A8111" w14:textId="77777777" w:rsidR="003F0EEA" w:rsidRPr="00BC69CF" w:rsidRDefault="00FB7D0B">
            <w:pPr>
              <w:jc w:val="right"/>
              <w:rPr>
                <w:rFonts w:ascii="Arial" w:eastAsia="Arial" w:hAnsi="Arial" w:cs="Arial"/>
                <w:color w:val="000000"/>
                <w:sz w:val="16"/>
                <w:szCs w:val="20"/>
              </w:rPr>
            </w:pPr>
            <w:r w:rsidRPr="00BC69CF">
              <w:rPr>
                <w:rFonts w:ascii="Arial" w:eastAsia="Arial" w:hAnsi="Arial" w:cs="Arial"/>
                <w:color w:val="000000"/>
                <w:sz w:val="16"/>
                <w:szCs w:val="20"/>
              </w:rPr>
              <w:t>- </w:t>
            </w:r>
          </w:p>
        </w:tc>
        <w:tc>
          <w:tcPr>
            <w:tcW w:w="990" w:type="dxa"/>
            <w:tcBorders>
              <w:top w:val="nil"/>
              <w:left w:val="nil"/>
              <w:bottom w:val="nil"/>
              <w:right w:val="nil"/>
              <w:tl2br w:val="nil"/>
              <w:tr2bl w:val="nil"/>
            </w:tcBorders>
            <w:shd w:val="clear" w:color="auto" w:fill="FFFFFF"/>
            <w:tcMar>
              <w:left w:w="115" w:type="dxa"/>
              <w:right w:w="115" w:type="dxa"/>
            </w:tcMar>
            <w:vAlign w:val="bottom"/>
          </w:tcPr>
          <w:p w14:paraId="7C161767" w14:textId="77777777" w:rsidR="003F0EEA" w:rsidRPr="00BC69CF" w:rsidRDefault="00FB7D0B">
            <w:pPr>
              <w:jc w:val="right"/>
              <w:rPr>
                <w:rFonts w:ascii="Arial" w:eastAsia="Arial" w:hAnsi="Arial" w:cs="Arial"/>
                <w:color w:val="000000"/>
                <w:sz w:val="16"/>
                <w:szCs w:val="20"/>
              </w:rPr>
            </w:pPr>
            <w:r w:rsidRPr="00BC69CF">
              <w:rPr>
                <w:rFonts w:ascii="Arial" w:eastAsia="Arial" w:hAnsi="Arial" w:cs="Arial"/>
                <w:color w:val="000000"/>
                <w:sz w:val="16"/>
                <w:szCs w:val="20"/>
              </w:rPr>
              <w:t>- </w:t>
            </w:r>
          </w:p>
        </w:tc>
      </w:tr>
      <w:tr w:rsidR="00724034" w14:paraId="6E2E1E82" w14:textId="77777777">
        <w:trPr>
          <w:trHeight w:val="60"/>
        </w:trPr>
        <w:tc>
          <w:tcPr>
            <w:tcW w:w="3600" w:type="dxa"/>
            <w:tcBorders>
              <w:top w:val="nil"/>
              <w:left w:val="nil"/>
              <w:bottom w:val="nil"/>
              <w:right w:val="nil"/>
              <w:tl2br w:val="nil"/>
              <w:tr2bl w:val="nil"/>
            </w:tcBorders>
            <w:shd w:val="clear" w:color="auto" w:fill="FFFFFF"/>
            <w:tcMar>
              <w:left w:w="115" w:type="dxa"/>
              <w:right w:w="115" w:type="dxa"/>
            </w:tcMar>
            <w:vAlign w:val="bottom"/>
          </w:tcPr>
          <w:p w14:paraId="12B062A7" w14:textId="77777777" w:rsidR="003F0EEA" w:rsidRPr="00BC69CF" w:rsidRDefault="003F0EEA">
            <w:pPr>
              <w:rPr>
                <w:rFonts w:ascii="Arial" w:eastAsia="Arial" w:hAnsi="Arial" w:cs="Arial"/>
                <w:color w:val="000000"/>
                <w:sz w:val="16"/>
                <w:szCs w:val="20"/>
              </w:rPr>
            </w:pPr>
          </w:p>
        </w:tc>
        <w:tc>
          <w:tcPr>
            <w:tcW w:w="990"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13C554BF" w14:textId="77777777" w:rsidR="003F0EEA" w:rsidRPr="00BC69CF" w:rsidRDefault="003F0EEA">
            <w:pPr>
              <w:rPr>
                <w:rFonts w:ascii="Arial" w:eastAsia="Arial" w:hAnsi="Arial" w:cs="Arial"/>
                <w:color w:val="000000"/>
                <w:sz w:val="20"/>
                <w:szCs w:val="20"/>
                <w:vertAlign w:val="superscript"/>
              </w:rPr>
            </w:pPr>
          </w:p>
        </w:tc>
        <w:tc>
          <w:tcPr>
            <w:tcW w:w="990" w:type="dxa"/>
            <w:tcBorders>
              <w:top w:val="single" w:sz="6" w:space="0" w:color="000000"/>
              <w:left w:val="nil"/>
              <w:bottom w:val="nil"/>
              <w:right w:val="nil"/>
              <w:tl2br w:val="nil"/>
              <w:tr2bl w:val="nil"/>
            </w:tcBorders>
            <w:shd w:val="clear" w:color="auto" w:fill="C0C0C0"/>
            <w:tcMar>
              <w:left w:w="115" w:type="dxa"/>
              <w:right w:w="115" w:type="dxa"/>
            </w:tcMar>
            <w:vAlign w:val="bottom"/>
          </w:tcPr>
          <w:p w14:paraId="1450E015" w14:textId="77777777" w:rsidR="003F0EEA" w:rsidRPr="00BC69CF" w:rsidRDefault="003F0EEA">
            <w:pPr>
              <w:rPr>
                <w:rFonts w:ascii="Arial" w:eastAsia="Arial" w:hAnsi="Arial" w:cs="Arial"/>
                <w:color w:val="000000"/>
                <w:sz w:val="20"/>
                <w:szCs w:val="20"/>
                <w:vertAlign w:val="superscript"/>
              </w:rPr>
            </w:pPr>
          </w:p>
        </w:tc>
        <w:tc>
          <w:tcPr>
            <w:tcW w:w="990"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7DB13E0C" w14:textId="77777777" w:rsidR="003F0EEA" w:rsidRPr="00BC69CF" w:rsidRDefault="003F0EEA">
            <w:pPr>
              <w:rPr>
                <w:rFonts w:ascii="Arial" w:eastAsia="Arial" w:hAnsi="Arial" w:cs="Arial"/>
                <w:color w:val="000000"/>
                <w:sz w:val="16"/>
                <w:szCs w:val="20"/>
                <w:vertAlign w:val="superscript"/>
              </w:rPr>
            </w:pPr>
          </w:p>
        </w:tc>
        <w:tc>
          <w:tcPr>
            <w:tcW w:w="990"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13A649F3" w14:textId="77777777" w:rsidR="003F0EEA" w:rsidRPr="00BC69CF" w:rsidRDefault="003F0EEA">
            <w:pPr>
              <w:rPr>
                <w:rFonts w:ascii="Arial" w:eastAsia="Arial" w:hAnsi="Arial" w:cs="Arial"/>
                <w:color w:val="000000"/>
                <w:sz w:val="20"/>
                <w:szCs w:val="20"/>
                <w:vertAlign w:val="superscript"/>
              </w:rPr>
            </w:pPr>
          </w:p>
        </w:tc>
        <w:tc>
          <w:tcPr>
            <w:tcW w:w="990"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6D6F9EDB" w14:textId="77777777" w:rsidR="003F0EEA" w:rsidRPr="00BC69CF" w:rsidRDefault="003F0EEA">
            <w:pPr>
              <w:rPr>
                <w:rFonts w:ascii="Arial" w:eastAsia="Arial" w:hAnsi="Arial" w:cs="Arial"/>
                <w:color w:val="000000"/>
                <w:sz w:val="20"/>
                <w:szCs w:val="20"/>
                <w:vertAlign w:val="superscript"/>
              </w:rPr>
            </w:pPr>
          </w:p>
        </w:tc>
      </w:tr>
      <w:tr w:rsidR="00724034" w14:paraId="38FDE4E7" w14:textId="77777777">
        <w:trPr>
          <w:trHeight w:val="255"/>
        </w:trPr>
        <w:tc>
          <w:tcPr>
            <w:tcW w:w="3600" w:type="dxa"/>
            <w:tcBorders>
              <w:top w:val="nil"/>
              <w:left w:val="nil"/>
              <w:bottom w:val="nil"/>
              <w:right w:val="nil"/>
              <w:tl2br w:val="nil"/>
              <w:tr2bl w:val="nil"/>
            </w:tcBorders>
            <w:shd w:val="clear" w:color="auto" w:fill="FFFFFF"/>
            <w:tcMar>
              <w:left w:w="115" w:type="dxa"/>
              <w:right w:w="115" w:type="dxa"/>
            </w:tcMar>
            <w:vAlign w:val="bottom"/>
          </w:tcPr>
          <w:p w14:paraId="7A55513E" w14:textId="77777777" w:rsidR="003F0EEA" w:rsidRPr="00BC69CF" w:rsidRDefault="00FB7D0B">
            <w:pPr>
              <w:rPr>
                <w:rFonts w:ascii="Arial" w:eastAsia="Arial" w:hAnsi="Arial" w:cs="Arial"/>
                <w:color w:val="000000"/>
                <w:sz w:val="20"/>
                <w:szCs w:val="20"/>
                <w:vertAlign w:val="superscript"/>
              </w:rPr>
            </w:pPr>
            <w:r w:rsidRPr="00BC69CF">
              <w:rPr>
                <w:rFonts w:ascii="Arial" w:eastAsia="Arial" w:hAnsi="Arial" w:cs="Arial"/>
                <w:b/>
                <w:color w:val="000000"/>
                <w:sz w:val="16"/>
                <w:szCs w:val="20"/>
              </w:rPr>
              <w:t>Total Movement of</w:t>
            </w:r>
          </w:p>
        </w:tc>
        <w:tc>
          <w:tcPr>
            <w:tcW w:w="990" w:type="dxa"/>
            <w:tcBorders>
              <w:top w:val="nil"/>
              <w:left w:val="nil"/>
              <w:bottom w:val="nil"/>
              <w:right w:val="nil"/>
              <w:tl2br w:val="nil"/>
              <w:tr2bl w:val="nil"/>
            </w:tcBorders>
            <w:shd w:val="clear" w:color="auto" w:fill="FFFFFF"/>
            <w:tcMar>
              <w:left w:w="115" w:type="dxa"/>
              <w:right w:w="115" w:type="dxa"/>
            </w:tcMar>
            <w:vAlign w:val="bottom"/>
          </w:tcPr>
          <w:p w14:paraId="361AA6A5" w14:textId="77777777" w:rsidR="003F0EEA" w:rsidRPr="00BC69CF" w:rsidRDefault="003F0EEA">
            <w:pPr>
              <w:rPr>
                <w:rFonts w:ascii="Arial" w:eastAsia="Arial" w:hAnsi="Arial" w:cs="Arial"/>
                <w:b/>
                <w:color w:val="000000"/>
                <w:sz w:val="16"/>
                <w:szCs w:val="20"/>
                <w:vertAlign w:val="superscript"/>
              </w:rPr>
            </w:pPr>
          </w:p>
        </w:tc>
        <w:tc>
          <w:tcPr>
            <w:tcW w:w="990" w:type="dxa"/>
            <w:tcBorders>
              <w:top w:val="nil"/>
              <w:left w:val="nil"/>
              <w:bottom w:val="nil"/>
              <w:right w:val="nil"/>
              <w:tl2br w:val="nil"/>
              <w:tr2bl w:val="nil"/>
            </w:tcBorders>
            <w:shd w:val="clear" w:color="auto" w:fill="C0C0C0"/>
            <w:tcMar>
              <w:left w:w="115" w:type="dxa"/>
              <w:right w:w="115" w:type="dxa"/>
            </w:tcMar>
            <w:vAlign w:val="bottom"/>
          </w:tcPr>
          <w:p w14:paraId="3777C9CE" w14:textId="77777777" w:rsidR="003F0EEA" w:rsidRPr="00BC69CF" w:rsidRDefault="003F0EEA">
            <w:pPr>
              <w:rPr>
                <w:rFonts w:ascii="Arial" w:eastAsia="Arial" w:hAnsi="Arial" w:cs="Arial"/>
                <w:color w:val="000000"/>
                <w:sz w:val="16"/>
                <w:szCs w:val="20"/>
                <w:vertAlign w:val="superscript"/>
              </w:rPr>
            </w:pPr>
          </w:p>
        </w:tc>
        <w:tc>
          <w:tcPr>
            <w:tcW w:w="990" w:type="dxa"/>
            <w:tcBorders>
              <w:top w:val="nil"/>
              <w:left w:val="nil"/>
              <w:bottom w:val="nil"/>
              <w:right w:val="nil"/>
              <w:tl2br w:val="nil"/>
              <w:tr2bl w:val="nil"/>
            </w:tcBorders>
            <w:shd w:val="clear" w:color="auto" w:fill="FFFFFF"/>
            <w:tcMar>
              <w:left w:w="115" w:type="dxa"/>
              <w:right w:w="115" w:type="dxa"/>
            </w:tcMar>
            <w:vAlign w:val="bottom"/>
          </w:tcPr>
          <w:p w14:paraId="0985B0B7" w14:textId="77777777" w:rsidR="003F0EEA" w:rsidRPr="00BC69CF" w:rsidRDefault="003F0EEA">
            <w:pPr>
              <w:rPr>
                <w:rFonts w:ascii="Arial" w:eastAsia="Arial" w:hAnsi="Arial" w:cs="Arial"/>
                <w:color w:val="000000"/>
                <w:sz w:val="16"/>
                <w:szCs w:val="20"/>
                <w:vertAlign w:val="superscript"/>
              </w:rPr>
            </w:pPr>
          </w:p>
        </w:tc>
        <w:tc>
          <w:tcPr>
            <w:tcW w:w="990" w:type="dxa"/>
            <w:tcBorders>
              <w:top w:val="nil"/>
              <w:left w:val="nil"/>
              <w:bottom w:val="nil"/>
              <w:right w:val="nil"/>
              <w:tl2br w:val="nil"/>
              <w:tr2bl w:val="nil"/>
            </w:tcBorders>
            <w:shd w:val="clear" w:color="auto" w:fill="FFFFFF"/>
            <w:tcMar>
              <w:left w:w="115" w:type="dxa"/>
              <w:right w:w="115" w:type="dxa"/>
            </w:tcMar>
            <w:vAlign w:val="bottom"/>
          </w:tcPr>
          <w:p w14:paraId="68D91DE4" w14:textId="77777777" w:rsidR="003F0EEA" w:rsidRPr="00BC69CF" w:rsidRDefault="003F0EEA">
            <w:pPr>
              <w:rPr>
                <w:rFonts w:ascii="Arial" w:eastAsia="Arial" w:hAnsi="Arial" w:cs="Arial"/>
                <w:color w:val="000000"/>
                <w:sz w:val="16"/>
                <w:szCs w:val="20"/>
                <w:vertAlign w:val="superscript"/>
              </w:rPr>
            </w:pPr>
          </w:p>
        </w:tc>
        <w:tc>
          <w:tcPr>
            <w:tcW w:w="990" w:type="dxa"/>
            <w:tcBorders>
              <w:top w:val="nil"/>
              <w:left w:val="nil"/>
              <w:bottom w:val="nil"/>
              <w:right w:val="nil"/>
              <w:tl2br w:val="nil"/>
              <w:tr2bl w:val="nil"/>
            </w:tcBorders>
            <w:shd w:val="clear" w:color="auto" w:fill="FFFFFF"/>
            <w:tcMar>
              <w:left w:w="115" w:type="dxa"/>
              <w:right w:w="115" w:type="dxa"/>
            </w:tcMar>
            <w:vAlign w:val="bottom"/>
          </w:tcPr>
          <w:p w14:paraId="6C5CA39E" w14:textId="77777777" w:rsidR="003F0EEA" w:rsidRPr="00BC69CF" w:rsidRDefault="003F0EEA">
            <w:pPr>
              <w:rPr>
                <w:rFonts w:ascii="Arial" w:eastAsia="Arial" w:hAnsi="Arial" w:cs="Arial"/>
                <w:color w:val="000000"/>
                <w:sz w:val="16"/>
                <w:szCs w:val="20"/>
                <w:vertAlign w:val="superscript"/>
              </w:rPr>
            </w:pPr>
          </w:p>
        </w:tc>
      </w:tr>
      <w:tr w:rsidR="00724034" w14:paraId="68716A67" w14:textId="77777777">
        <w:trPr>
          <w:trHeight w:val="255"/>
        </w:trPr>
        <w:tc>
          <w:tcPr>
            <w:tcW w:w="3600"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7F43392C" w14:textId="77777777" w:rsidR="003F0EEA" w:rsidRPr="00BC69CF" w:rsidRDefault="00FB7D0B">
            <w:pPr>
              <w:rPr>
                <w:rFonts w:ascii="Arial" w:eastAsia="Arial" w:hAnsi="Arial" w:cs="Arial"/>
                <w:color w:val="000000"/>
                <w:sz w:val="16"/>
                <w:szCs w:val="20"/>
                <w:vertAlign w:val="superscript"/>
              </w:rPr>
            </w:pPr>
            <w:r w:rsidRPr="00BC69CF">
              <w:rPr>
                <w:rFonts w:ascii="Arial" w:eastAsia="Arial" w:hAnsi="Arial" w:cs="Arial"/>
                <w:b/>
                <w:color w:val="000000"/>
                <w:sz w:val="16"/>
                <w:szCs w:val="20"/>
              </w:rPr>
              <w:t>Administered Funds</w:t>
            </w:r>
          </w:p>
        </w:tc>
        <w:tc>
          <w:tcPr>
            <w:tcW w:w="990"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50F54338" w14:textId="77777777" w:rsidR="003F0EEA" w:rsidRPr="00BC69CF" w:rsidRDefault="00FB7D0B">
            <w:pPr>
              <w:jc w:val="right"/>
              <w:rPr>
                <w:rFonts w:ascii="Arial" w:eastAsia="Arial" w:hAnsi="Arial" w:cs="Arial"/>
                <w:b/>
                <w:color w:val="000000"/>
                <w:sz w:val="16"/>
                <w:szCs w:val="20"/>
                <w:vertAlign w:val="superscript"/>
              </w:rPr>
            </w:pPr>
            <w:r w:rsidRPr="00BC69CF">
              <w:rPr>
                <w:rFonts w:ascii="Arial" w:eastAsia="Arial" w:hAnsi="Arial" w:cs="Arial"/>
                <w:b/>
                <w:color w:val="000000"/>
                <w:sz w:val="16"/>
                <w:szCs w:val="20"/>
              </w:rPr>
              <w:t>(23,796)</w:t>
            </w:r>
          </w:p>
        </w:tc>
        <w:tc>
          <w:tcPr>
            <w:tcW w:w="990" w:type="dxa"/>
            <w:tcBorders>
              <w:top w:val="nil"/>
              <w:left w:val="nil"/>
              <w:bottom w:val="single" w:sz="6" w:space="0" w:color="000000"/>
              <w:right w:val="nil"/>
              <w:tl2br w:val="nil"/>
              <w:tr2bl w:val="nil"/>
            </w:tcBorders>
            <w:shd w:val="clear" w:color="auto" w:fill="C0C0C0"/>
            <w:tcMar>
              <w:left w:w="115" w:type="dxa"/>
              <w:right w:w="115" w:type="dxa"/>
            </w:tcMar>
            <w:vAlign w:val="bottom"/>
          </w:tcPr>
          <w:p w14:paraId="6C20AD75" w14:textId="77777777" w:rsidR="003F0EEA" w:rsidRPr="00BC69CF" w:rsidRDefault="00FB7D0B">
            <w:pPr>
              <w:jc w:val="right"/>
              <w:rPr>
                <w:rFonts w:ascii="Arial" w:eastAsia="Arial" w:hAnsi="Arial" w:cs="Arial"/>
                <w:b/>
                <w:color w:val="000000"/>
                <w:sz w:val="16"/>
                <w:szCs w:val="20"/>
              </w:rPr>
            </w:pPr>
            <w:r w:rsidRPr="00BC69CF">
              <w:rPr>
                <w:rFonts w:ascii="Arial" w:eastAsia="Arial" w:hAnsi="Arial" w:cs="Arial"/>
                <w:b/>
                <w:color w:val="000000"/>
                <w:sz w:val="16"/>
                <w:szCs w:val="20"/>
              </w:rPr>
              <w:t>23,629 </w:t>
            </w:r>
          </w:p>
        </w:tc>
        <w:tc>
          <w:tcPr>
            <w:tcW w:w="990"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3CAB53D8" w14:textId="77777777" w:rsidR="003F0EEA" w:rsidRPr="00BC69CF" w:rsidRDefault="00FB7D0B">
            <w:pPr>
              <w:jc w:val="right"/>
              <w:rPr>
                <w:rFonts w:ascii="Arial" w:eastAsia="Arial" w:hAnsi="Arial" w:cs="Arial"/>
                <w:b/>
                <w:color w:val="000000"/>
                <w:sz w:val="16"/>
                <w:szCs w:val="20"/>
              </w:rPr>
            </w:pPr>
            <w:r w:rsidRPr="00BC69CF">
              <w:rPr>
                <w:rFonts w:ascii="Arial" w:eastAsia="Arial" w:hAnsi="Arial" w:cs="Arial"/>
                <w:b/>
                <w:color w:val="000000"/>
                <w:sz w:val="16"/>
                <w:szCs w:val="20"/>
              </w:rPr>
              <w:t>50 </w:t>
            </w:r>
          </w:p>
        </w:tc>
        <w:tc>
          <w:tcPr>
            <w:tcW w:w="990"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13BC6681" w14:textId="77777777" w:rsidR="003F0EEA" w:rsidRPr="00BC69CF" w:rsidRDefault="00FB7D0B">
            <w:pPr>
              <w:jc w:val="right"/>
              <w:rPr>
                <w:rFonts w:ascii="Arial" w:eastAsia="Arial" w:hAnsi="Arial" w:cs="Arial"/>
                <w:b/>
                <w:color w:val="000000"/>
                <w:sz w:val="16"/>
                <w:szCs w:val="20"/>
              </w:rPr>
            </w:pPr>
            <w:r w:rsidRPr="00BC69CF">
              <w:rPr>
                <w:rFonts w:ascii="Arial" w:eastAsia="Arial" w:hAnsi="Arial" w:cs="Arial"/>
                <w:b/>
                <w:color w:val="000000"/>
                <w:sz w:val="16"/>
                <w:szCs w:val="20"/>
              </w:rPr>
              <w:t>117 </w:t>
            </w:r>
          </w:p>
        </w:tc>
        <w:tc>
          <w:tcPr>
            <w:tcW w:w="990"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3DB51EF5" w14:textId="77777777" w:rsidR="003F0EEA" w:rsidRPr="00BC69CF" w:rsidRDefault="00FB7D0B">
            <w:pPr>
              <w:jc w:val="right"/>
              <w:rPr>
                <w:rFonts w:ascii="Arial" w:eastAsia="Arial" w:hAnsi="Arial" w:cs="Arial"/>
                <w:b/>
                <w:color w:val="000000"/>
                <w:sz w:val="16"/>
                <w:szCs w:val="20"/>
              </w:rPr>
            </w:pPr>
            <w:r w:rsidRPr="00BC69CF">
              <w:rPr>
                <w:rFonts w:ascii="Arial" w:eastAsia="Arial" w:hAnsi="Arial" w:cs="Arial"/>
                <w:b/>
                <w:color w:val="000000"/>
                <w:sz w:val="16"/>
                <w:szCs w:val="20"/>
              </w:rPr>
              <w:t>- </w:t>
            </w:r>
          </w:p>
        </w:tc>
      </w:tr>
    </w:tbl>
    <w:p w14:paraId="620BE39B" w14:textId="77777777" w:rsidR="003F0EEA" w:rsidRPr="007D2D44" w:rsidRDefault="00FB7D0B" w:rsidP="003F0EEA">
      <w:pPr>
        <w:pStyle w:val="ChartandTableFootnote3"/>
        <w:rPr>
          <w:rFonts w:eastAsia="Calibri"/>
          <w:color w:val="000000"/>
          <w:szCs w:val="16"/>
        </w:rPr>
      </w:pPr>
      <w:r w:rsidRPr="007D2D44">
        <w:rPr>
          <w:rFonts w:eastAsia="Calibri"/>
          <w:color w:val="000000"/>
          <w:szCs w:val="16"/>
        </w:rPr>
        <w:t>Figures displayed as a negative (-) represent a decrease in funds; a positive reflects an increase in funds.</w:t>
      </w:r>
    </w:p>
    <w:p w14:paraId="7D27AA9D" w14:textId="77777777" w:rsidR="003F0EEA" w:rsidRPr="007D2D44" w:rsidRDefault="003F0EEA" w:rsidP="003F0EEA">
      <w:pPr>
        <w:pStyle w:val="ChartandTableFootnote3"/>
        <w:rPr>
          <w:rFonts w:eastAsia="Calibri"/>
          <w:color w:val="000000"/>
          <w:szCs w:val="16"/>
        </w:rPr>
      </w:pPr>
    </w:p>
    <w:p w14:paraId="75C94C28" w14:textId="77777777" w:rsidR="003F0EEA" w:rsidRDefault="00FB7D0B" w:rsidP="003F0EEA">
      <w:pPr>
        <w:pStyle w:val="ChartandTableFootnote3"/>
        <w:rPr>
          <w:rFonts w:eastAsia="Calibri"/>
          <w:color w:val="000000"/>
          <w:szCs w:val="16"/>
        </w:rPr>
      </w:pPr>
      <w:r w:rsidRPr="007D2D44">
        <w:rPr>
          <w:rFonts w:eastAsia="Calibri"/>
          <w:color w:val="000000"/>
          <w:szCs w:val="16"/>
        </w:rPr>
        <w:t>1.</w:t>
      </w:r>
      <w:r w:rsidRPr="007D2D44">
        <w:rPr>
          <w:rFonts w:eastAsia="Calibri"/>
          <w:color w:val="000000"/>
          <w:szCs w:val="16"/>
        </w:rPr>
        <w:tab/>
      </w:r>
      <w:r w:rsidRPr="00FF39E7">
        <w:rPr>
          <w:rFonts w:eastAsia="Calibri"/>
          <w:color w:val="000000"/>
          <w:szCs w:val="16"/>
        </w:rPr>
        <w:t xml:space="preserve">Movement of funds for $1.4 million in unspent administered funding to provide for extended timeframes in relation to the Albany Convoy commemorative event. </w:t>
      </w:r>
    </w:p>
    <w:p w14:paraId="467B95F0" w14:textId="77777777" w:rsidR="003F0EEA" w:rsidRPr="00FF39E7" w:rsidRDefault="00FB7D0B" w:rsidP="003F0EEA">
      <w:pPr>
        <w:pStyle w:val="ChartandTableFootnote3"/>
        <w:rPr>
          <w:rFonts w:eastAsia="Calibri"/>
          <w:color w:val="000000"/>
          <w:szCs w:val="16"/>
        </w:rPr>
      </w:pPr>
      <w:r>
        <w:rPr>
          <w:rFonts w:eastAsia="Calibri"/>
          <w:color w:val="000000"/>
          <w:szCs w:val="16"/>
        </w:rPr>
        <w:t>2.</w:t>
      </w:r>
      <w:r>
        <w:rPr>
          <w:rFonts w:eastAsia="Calibri"/>
          <w:color w:val="000000"/>
          <w:szCs w:val="16"/>
        </w:rPr>
        <w:tab/>
      </w:r>
      <w:r w:rsidRPr="00FF39E7">
        <w:rPr>
          <w:rFonts w:eastAsia="Calibri"/>
          <w:color w:val="000000"/>
          <w:szCs w:val="16"/>
        </w:rPr>
        <w:t>Movement of funds for $13.8 million in unspent Anzac Centenary Local Grants Programme administered funding to.</w:t>
      </w:r>
    </w:p>
    <w:p w14:paraId="0E33F853" w14:textId="77777777" w:rsidR="003F0EEA" w:rsidRPr="00FF39E7" w:rsidRDefault="00FB7D0B" w:rsidP="003F0EEA">
      <w:pPr>
        <w:pStyle w:val="ChartandTableFootnote3"/>
        <w:rPr>
          <w:rFonts w:eastAsia="Calibri"/>
          <w:color w:val="000000"/>
          <w:szCs w:val="16"/>
        </w:rPr>
      </w:pPr>
      <w:r w:rsidRPr="00FF39E7">
        <w:rPr>
          <w:rFonts w:eastAsia="Calibri"/>
          <w:color w:val="000000"/>
          <w:szCs w:val="16"/>
        </w:rPr>
        <w:t>3.</w:t>
      </w:r>
      <w:r w:rsidRPr="00FF39E7">
        <w:rPr>
          <w:rFonts w:eastAsia="Calibri"/>
          <w:color w:val="000000"/>
          <w:szCs w:val="16"/>
        </w:rPr>
        <w:tab/>
        <w:t xml:space="preserve">Movement of funds for $0.217 million in unspent administered funding to provide for extended deadlines for the development of Vietnam Veterans Education Centre. </w:t>
      </w:r>
    </w:p>
    <w:p w14:paraId="7ACA3D59" w14:textId="77777777" w:rsidR="003F0EEA" w:rsidRPr="00FF39E7" w:rsidRDefault="00FB7D0B" w:rsidP="003F0EEA">
      <w:pPr>
        <w:pStyle w:val="ChartandTableFootnote3"/>
        <w:rPr>
          <w:rFonts w:eastAsia="Calibri"/>
          <w:color w:val="000000"/>
          <w:szCs w:val="16"/>
        </w:rPr>
      </w:pPr>
      <w:r w:rsidRPr="00FF39E7">
        <w:rPr>
          <w:rFonts w:eastAsia="Calibri"/>
          <w:color w:val="000000"/>
          <w:szCs w:val="16"/>
        </w:rPr>
        <w:t>4.</w:t>
      </w:r>
      <w:r w:rsidRPr="00FF39E7">
        <w:rPr>
          <w:rFonts w:eastAsia="Calibri"/>
          <w:color w:val="000000"/>
          <w:szCs w:val="16"/>
        </w:rPr>
        <w:tab/>
        <w:t xml:space="preserve">Movement of funds for $8.4 million in unspent administered funding to provide for extended timeframes in relation to the Australian War </w:t>
      </w:r>
      <w:r>
        <w:rPr>
          <w:rFonts w:eastAsia="Calibri"/>
          <w:color w:val="000000"/>
          <w:szCs w:val="16"/>
        </w:rPr>
        <w:t>Memorial Travelling Exhibition.</w:t>
      </w:r>
    </w:p>
    <w:p w14:paraId="3BA07E30" w14:textId="77777777" w:rsidR="003F0EEA" w:rsidRPr="00FF39E7" w:rsidRDefault="00FB7D0B">
      <w:pPr>
        <w:spacing w:line="14" w:lineRule="exact"/>
        <w:rPr>
          <w:color w:val="000000"/>
          <w:szCs w:val="16"/>
        </w:rPr>
      </w:pPr>
      <w:r w:rsidRPr="00FF39E7">
        <w:rPr>
          <w:color w:val="000000"/>
          <w:szCs w:val="16"/>
        </w:rPr>
        <w:br w:type="page"/>
      </w:r>
    </w:p>
    <w:p w14:paraId="1715BED9" w14:textId="77777777" w:rsidR="003F0EEA" w:rsidRDefault="00FB7D0B" w:rsidP="003F0EEA">
      <w:pPr>
        <w:pStyle w:val="Heading410"/>
      </w:pPr>
      <w:r>
        <w:t>3.1.2</w:t>
      </w:r>
      <w:r>
        <w:tab/>
        <w:t>Special Accounts</w:t>
      </w:r>
    </w:p>
    <w:p w14:paraId="38474248" w14:textId="77777777" w:rsidR="003F0EEA" w:rsidRDefault="00FB7D0B" w:rsidP="003F0EEA">
      <w:pPr>
        <w:pStyle w:val="Normal160"/>
        <w:ind w:right="566"/>
      </w:pPr>
      <w:r>
        <w:t>Special accounts provide a means to set aside and record amounts used for specified purposes. Special accounts can be created by a Finance Minister’s Determination under the FMA Act</w:t>
      </w:r>
      <w:r>
        <w:rPr>
          <w:i/>
        </w:rPr>
        <w:t xml:space="preserve"> </w:t>
      </w:r>
      <w:r>
        <w:t>or under separate enabling legislation. Table 3.1.2 shows the expected additions (receipts) and reductions (payments) for each account used by Department of Veterans' Affairs.</w:t>
      </w:r>
    </w:p>
    <w:p w14:paraId="20C68785" w14:textId="77777777" w:rsidR="003F0EEA" w:rsidRDefault="00FB7D0B" w:rsidP="003F0EEA">
      <w:pPr>
        <w:pStyle w:val="TableHeading7"/>
      </w:pPr>
      <w:r>
        <w:t>Table 3.1.2: Estimates of Special Account Flows and Balances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0"/>
        <w:gridCol w:w="2385"/>
        <w:gridCol w:w="915"/>
        <w:gridCol w:w="1050"/>
        <w:gridCol w:w="1050"/>
        <w:gridCol w:w="1005"/>
        <w:gridCol w:w="1170"/>
        <w:gridCol w:w="1080"/>
      </w:tblGrid>
      <w:tr w:rsidR="00724034" w14:paraId="229F03B9" w14:textId="77777777">
        <w:trPr>
          <w:trHeight w:val="225"/>
        </w:trPr>
        <w:tc>
          <w:tcPr>
            <w:tcW w:w="180" w:type="dxa"/>
            <w:tcBorders>
              <w:top w:val="single" w:sz="6" w:space="0" w:color="000000"/>
              <w:left w:val="nil"/>
              <w:bottom w:val="nil"/>
              <w:right w:val="nil"/>
              <w:tl2br w:val="nil"/>
              <w:tr2bl w:val="nil"/>
            </w:tcBorders>
            <w:shd w:val="clear" w:color="auto" w:fill="FFFFFF"/>
            <w:tcMar>
              <w:left w:w="115" w:type="dxa"/>
              <w:right w:w="115" w:type="dxa"/>
            </w:tcMar>
            <w:vAlign w:val="center"/>
          </w:tcPr>
          <w:p w14:paraId="7B49B81A" w14:textId="77777777" w:rsidR="003F0EEA" w:rsidRDefault="003F0EEA"/>
        </w:tc>
        <w:tc>
          <w:tcPr>
            <w:tcW w:w="2385" w:type="dxa"/>
            <w:tcBorders>
              <w:top w:val="single" w:sz="6" w:space="0" w:color="000000"/>
              <w:left w:val="nil"/>
              <w:bottom w:val="nil"/>
              <w:right w:val="nil"/>
              <w:tl2br w:val="nil"/>
              <w:tr2bl w:val="nil"/>
            </w:tcBorders>
            <w:shd w:val="clear" w:color="auto" w:fill="FFFFFF"/>
            <w:tcMar>
              <w:left w:w="115" w:type="dxa"/>
              <w:right w:w="115" w:type="dxa"/>
            </w:tcMar>
            <w:vAlign w:val="center"/>
          </w:tcPr>
          <w:p w14:paraId="5628C5E4" w14:textId="77777777" w:rsidR="003F0EEA" w:rsidRDefault="003F0EEA">
            <w:pPr>
              <w:rPr>
                <w:rFonts w:ascii="Arial" w:eastAsia="Arial" w:hAnsi="Arial" w:cs="Arial"/>
                <w:color w:val="000000"/>
                <w:sz w:val="16"/>
              </w:rPr>
            </w:pPr>
          </w:p>
        </w:tc>
        <w:tc>
          <w:tcPr>
            <w:tcW w:w="915" w:type="dxa"/>
            <w:tcBorders>
              <w:top w:val="single" w:sz="6" w:space="0" w:color="000000"/>
              <w:left w:val="nil"/>
              <w:bottom w:val="nil"/>
              <w:right w:val="nil"/>
              <w:tl2br w:val="nil"/>
              <w:tr2bl w:val="nil"/>
            </w:tcBorders>
            <w:shd w:val="clear" w:color="auto" w:fill="FFFFFF"/>
            <w:tcMar>
              <w:left w:w="115" w:type="dxa"/>
              <w:right w:w="115" w:type="dxa"/>
            </w:tcMar>
            <w:vAlign w:val="center"/>
          </w:tcPr>
          <w:p w14:paraId="753C8CD3" w14:textId="77777777" w:rsidR="003F0EEA" w:rsidRDefault="003F0EEA">
            <w:pPr>
              <w:jc w:val="right"/>
              <w:rPr>
                <w:rFonts w:ascii="Arial" w:eastAsia="Arial" w:hAnsi="Arial" w:cs="Arial"/>
                <w:color w:val="000000"/>
                <w:sz w:val="16"/>
                <w:vertAlign w:val="superscript"/>
              </w:rPr>
            </w:pPr>
          </w:p>
        </w:tc>
        <w:tc>
          <w:tcPr>
            <w:tcW w:w="1050" w:type="dxa"/>
            <w:tcBorders>
              <w:top w:val="single" w:sz="6" w:space="0" w:color="000000"/>
              <w:left w:val="nil"/>
              <w:bottom w:val="nil"/>
              <w:right w:val="nil"/>
              <w:tl2br w:val="nil"/>
              <w:tr2bl w:val="nil"/>
            </w:tcBorders>
            <w:shd w:val="clear" w:color="auto" w:fill="FFFFFF"/>
            <w:tcMar>
              <w:left w:w="115" w:type="dxa"/>
              <w:right w:w="115" w:type="dxa"/>
            </w:tcMar>
            <w:vAlign w:val="center"/>
          </w:tcPr>
          <w:p w14:paraId="2EF3620E" w14:textId="77777777" w:rsidR="003F0EEA" w:rsidRDefault="00FB7D0B">
            <w:pPr>
              <w:jc w:val="right"/>
              <w:rPr>
                <w:rFonts w:ascii="Arial" w:eastAsia="Arial" w:hAnsi="Arial" w:cs="Arial"/>
                <w:color w:val="000000"/>
                <w:sz w:val="16"/>
                <w:vertAlign w:val="superscript"/>
              </w:rPr>
            </w:pPr>
            <w:r>
              <w:rPr>
                <w:rFonts w:ascii="Arial" w:eastAsia="Arial" w:hAnsi="Arial" w:cs="Arial"/>
                <w:color w:val="000000"/>
                <w:sz w:val="16"/>
              </w:rPr>
              <w:t>Opening</w:t>
            </w:r>
          </w:p>
        </w:tc>
        <w:tc>
          <w:tcPr>
            <w:tcW w:w="1050" w:type="dxa"/>
            <w:tcBorders>
              <w:top w:val="single" w:sz="6" w:space="0" w:color="000000"/>
              <w:left w:val="nil"/>
              <w:bottom w:val="nil"/>
              <w:right w:val="nil"/>
              <w:tl2br w:val="nil"/>
              <w:tr2bl w:val="nil"/>
            </w:tcBorders>
            <w:shd w:val="clear" w:color="auto" w:fill="FFFF00"/>
            <w:tcMar>
              <w:left w:w="115" w:type="dxa"/>
              <w:right w:w="115" w:type="dxa"/>
            </w:tcMar>
            <w:vAlign w:val="center"/>
          </w:tcPr>
          <w:p w14:paraId="4A058009" w14:textId="77777777" w:rsidR="003F0EEA" w:rsidRDefault="003F0EEA">
            <w:pPr>
              <w:jc w:val="right"/>
              <w:rPr>
                <w:rFonts w:ascii="Arial" w:eastAsia="Arial" w:hAnsi="Arial" w:cs="Arial"/>
                <w:color w:val="000000"/>
                <w:sz w:val="16"/>
              </w:rPr>
            </w:pPr>
          </w:p>
        </w:tc>
        <w:tc>
          <w:tcPr>
            <w:tcW w:w="1005" w:type="dxa"/>
            <w:tcBorders>
              <w:top w:val="single" w:sz="6" w:space="0" w:color="000000"/>
              <w:left w:val="nil"/>
              <w:bottom w:val="nil"/>
              <w:right w:val="nil"/>
              <w:tl2br w:val="nil"/>
              <w:tr2bl w:val="nil"/>
            </w:tcBorders>
            <w:shd w:val="clear" w:color="auto" w:fill="FFFF00"/>
            <w:tcMar>
              <w:left w:w="115" w:type="dxa"/>
              <w:right w:w="115" w:type="dxa"/>
            </w:tcMar>
            <w:vAlign w:val="center"/>
          </w:tcPr>
          <w:p w14:paraId="500DC803" w14:textId="77777777" w:rsidR="003F0EEA" w:rsidRDefault="003F0EEA">
            <w:pPr>
              <w:jc w:val="right"/>
              <w:rPr>
                <w:rFonts w:ascii="Arial" w:eastAsia="Arial" w:hAnsi="Arial" w:cs="Arial"/>
                <w:color w:val="000000"/>
                <w:sz w:val="16"/>
              </w:rPr>
            </w:pPr>
          </w:p>
        </w:tc>
        <w:tc>
          <w:tcPr>
            <w:tcW w:w="1170" w:type="dxa"/>
            <w:tcBorders>
              <w:top w:val="single" w:sz="6" w:space="0" w:color="000000"/>
              <w:left w:val="nil"/>
              <w:bottom w:val="nil"/>
              <w:right w:val="nil"/>
              <w:tl2br w:val="nil"/>
              <w:tr2bl w:val="nil"/>
            </w:tcBorders>
            <w:shd w:val="clear" w:color="auto" w:fill="FFFF00"/>
            <w:tcMar>
              <w:left w:w="115" w:type="dxa"/>
              <w:right w:w="115" w:type="dxa"/>
            </w:tcMar>
            <w:vAlign w:val="center"/>
          </w:tcPr>
          <w:p w14:paraId="3BBF06C3" w14:textId="77777777" w:rsidR="003F0EEA" w:rsidRDefault="003F0EEA">
            <w:pPr>
              <w:jc w:val="right"/>
              <w:rPr>
                <w:rFonts w:ascii="Arial" w:eastAsia="Arial" w:hAnsi="Arial" w:cs="Arial"/>
                <w:color w:val="000000"/>
                <w:sz w:val="16"/>
              </w:rPr>
            </w:pPr>
          </w:p>
        </w:tc>
        <w:tc>
          <w:tcPr>
            <w:tcW w:w="1080" w:type="dxa"/>
            <w:tcBorders>
              <w:top w:val="single" w:sz="6" w:space="0" w:color="000000"/>
              <w:left w:val="nil"/>
              <w:bottom w:val="nil"/>
              <w:right w:val="nil"/>
              <w:tl2br w:val="nil"/>
              <w:tr2bl w:val="nil"/>
            </w:tcBorders>
            <w:shd w:val="clear" w:color="auto" w:fill="FFFF00"/>
            <w:tcMar>
              <w:left w:w="115" w:type="dxa"/>
              <w:right w:w="115" w:type="dxa"/>
            </w:tcMar>
            <w:vAlign w:val="center"/>
          </w:tcPr>
          <w:p w14:paraId="2A73415B" w14:textId="77777777" w:rsidR="003F0EEA" w:rsidRDefault="00FB7D0B">
            <w:pPr>
              <w:jc w:val="right"/>
              <w:rPr>
                <w:rFonts w:ascii="Arial" w:eastAsia="Arial" w:hAnsi="Arial" w:cs="Arial"/>
                <w:color w:val="000000"/>
                <w:sz w:val="16"/>
              </w:rPr>
            </w:pPr>
            <w:r>
              <w:rPr>
                <w:rFonts w:ascii="Arial" w:eastAsia="Arial" w:hAnsi="Arial" w:cs="Arial"/>
                <w:color w:val="000000"/>
                <w:sz w:val="16"/>
              </w:rPr>
              <w:t>Closing</w:t>
            </w:r>
          </w:p>
        </w:tc>
      </w:tr>
      <w:tr w:rsidR="00724034" w14:paraId="5D04BDAA" w14:textId="77777777">
        <w:trPr>
          <w:trHeight w:val="225"/>
        </w:trPr>
        <w:tc>
          <w:tcPr>
            <w:tcW w:w="180" w:type="dxa"/>
            <w:tcBorders>
              <w:top w:val="nil"/>
              <w:left w:val="nil"/>
              <w:bottom w:val="nil"/>
              <w:right w:val="nil"/>
              <w:tl2br w:val="nil"/>
              <w:tr2bl w:val="nil"/>
            </w:tcBorders>
            <w:shd w:val="clear" w:color="auto" w:fill="FFFFFF"/>
            <w:tcMar>
              <w:left w:w="115" w:type="dxa"/>
              <w:right w:w="115" w:type="dxa"/>
            </w:tcMar>
            <w:vAlign w:val="center"/>
          </w:tcPr>
          <w:p w14:paraId="495E8482" w14:textId="77777777" w:rsidR="003F0EEA" w:rsidRDefault="003F0EEA">
            <w:pPr>
              <w:rPr>
                <w:rFonts w:ascii="Arial" w:eastAsia="Arial" w:hAnsi="Arial" w:cs="Arial"/>
                <w:color w:val="000000"/>
                <w:sz w:val="16"/>
              </w:rPr>
            </w:pPr>
          </w:p>
        </w:tc>
        <w:tc>
          <w:tcPr>
            <w:tcW w:w="2385" w:type="dxa"/>
            <w:tcBorders>
              <w:top w:val="nil"/>
              <w:left w:val="nil"/>
              <w:bottom w:val="nil"/>
              <w:right w:val="nil"/>
              <w:tl2br w:val="nil"/>
              <w:tr2bl w:val="nil"/>
            </w:tcBorders>
            <w:shd w:val="clear" w:color="auto" w:fill="FFFFFF"/>
            <w:tcMar>
              <w:left w:w="115" w:type="dxa"/>
              <w:right w:w="115" w:type="dxa"/>
            </w:tcMar>
            <w:vAlign w:val="center"/>
          </w:tcPr>
          <w:p w14:paraId="4A0E40D3" w14:textId="77777777" w:rsidR="003F0EEA" w:rsidRDefault="003F0EEA">
            <w:pPr>
              <w:rPr>
                <w:rFonts w:ascii="Arial" w:eastAsia="Arial" w:hAnsi="Arial" w:cs="Arial"/>
                <w:color w:val="000000"/>
                <w:sz w:val="16"/>
              </w:rPr>
            </w:pPr>
          </w:p>
        </w:tc>
        <w:tc>
          <w:tcPr>
            <w:tcW w:w="915" w:type="dxa"/>
            <w:tcBorders>
              <w:top w:val="nil"/>
              <w:left w:val="nil"/>
              <w:bottom w:val="nil"/>
              <w:right w:val="nil"/>
              <w:tl2br w:val="nil"/>
              <w:tr2bl w:val="nil"/>
            </w:tcBorders>
            <w:shd w:val="clear" w:color="auto" w:fill="FFFFFF"/>
            <w:tcMar>
              <w:left w:w="115" w:type="dxa"/>
              <w:right w:w="115" w:type="dxa"/>
            </w:tcMar>
            <w:vAlign w:val="center"/>
          </w:tcPr>
          <w:p w14:paraId="1FD9B113" w14:textId="77777777" w:rsidR="003F0EEA" w:rsidRDefault="003F0EEA">
            <w:pPr>
              <w:jc w:val="right"/>
              <w:rPr>
                <w:rFonts w:ascii="Arial" w:eastAsia="Arial" w:hAnsi="Arial" w:cs="Arial"/>
                <w:color w:val="000000"/>
                <w:sz w:val="16"/>
                <w:vertAlign w:val="superscript"/>
              </w:rPr>
            </w:pPr>
          </w:p>
        </w:tc>
        <w:tc>
          <w:tcPr>
            <w:tcW w:w="1050" w:type="dxa"/>
            <w:tcBorders>
              <w:top w:val="nil"/>
              <w:left w:val="nil"/>
              <w:bottom w:val="nil"/>
              <w:right w:val="nil"/>
              <w:tl2br w:val="nil"/>
              <w:tr2bl w:val="nil"/>
            </w:tcBorders>
            <w:shd w:val="clear" w:color="auto" w:fill="FFFFFF"/>
            <w:tcMar>
              <w:left w:w="115" w:type="dxa"/>
              <w:right w:w="115" w:type="dxa"/>
            </w:tcMar>
            <w:vAlign w:val="center"/>
          </w:tcPr>
          <w:p w14:paraId="7D6AF83F" w14:textId="77777777" w:rsidR="003F0EEA" w:rsidRDefault="00FB7D0B">
            <w:pPr>
              <w:jc w:val="right"/>
              <w:rPr>
                <w:rFonts w:ascii="Arial" w:eastAsia="Arial" w:hAnsi="Arial" w:cs="Arial"/>
                <w:color w:val="000000"/>
                <w:sz w:val="16"/>
                <w:vertAlign w:val="superscript"/>
              </w:rPr>
            </w:pPr>
            <w:r>
              <w:rPr>
                <w:rFonts w:ascii="Arial" w:eastAsia="Arial" w:hAnsi="Arial" w:cs="Arial"/>
                <w:color w:val="000000"/>
                <w:sz w:val="16"/>
              </w:rPr>
              <w:t>balance</w:t>
            </w:r>
          </w:p>
        </w:tc>
        <w:tc>
          <w:tcPr>
            <w:tcW w:w="1050" w:type="dxa"/>
            <w:tcBorders>
              <w:top w:val="nil"/>
              <w:left w:val="nil"/>
              <w:bottom w:val="nil"/>
              <w:right w:val="nil"/>
              <w:tl2br w:val="nil"/>
              <w:tr2bl w:val="nil"/>
            </w:tcBorders>
            <w:shd w:val="clear" w:color="auto" w:fill="FFFF00"/>
            <w:tcMar>
              <w:left w:w="115" w:type="dxa"/>
              <w:right w:w="115" w:type="dxa"/>
            </w:tcMar>
            <w:vAlign w:val="center"/>
          </w:tcPr>
          <w:p w14:paraId="0BC27AA2" w14:textId="77777777" w:rsidR="003F0EEA" w:rsidRDefault="00FB7D0B">
            <w:pPr>
              <w:jc w:val="right"/>
              <w:rPr>
                <w:rFonts w:ascii="Arial" w:eastAsia="Arial" w:hAnsi="Arial" w:cs="Arial"/>
                <w:color w:val="000000"/>
                <w:sz w:val="16"/>
              </w:rPr>
            </w:pPr>
            <w:r>
              <w:rPr>
                <w:rFonts w:ascii="Arial" w:eastAsia="Arial" w:hAnsi="Arial" w:cs="Arial"/>
                <w:color w:val="000000"/>
                <w:sz w:val="16"/>
              </w:rPr>
              <w:t>Receipts</w:t>
            </w:r>
          </w:p>
        </w:tc>
        <w:tc>
          <w:tcPr>
            <w:tcW w:w="1005" w:type="dxa"/>
            <w:tcBorders>
              <w:top w:val="nil"/>
              <w:left w:val="nil"/>
              <w:bottom w:val="nil"/>
              <w:right w:val="nil"/>
              <w:tl2br w:val="nil"/>
              <w:tr2bl w:val="nil"/>
            </w:tcBorders>
            <w:shd w:val="clear" w:color="auto" w:fill="FFFF00"/>
            <w:tcMar>
              <w:left w:w="115" w:type="dxa"/>
              <w:right w:w="115" w:type="dxa"/>
            </w:tcMar>
            <w:vAlign w:val="center"/>
          </w:tcPr>
          <w:p w14:paraId="3EE74223" w14:textId="77777777" w:rsidR="003F0EEA" w:rsidRDefault="00FB7D0B">
            <w:pPr>
              <w:jc w:val="right"/>
              <w:rPr>
                <w:rFonts w:ascii="Arial" w:eastAsia="Arial" w:hAnsi="Arial" w:cs="Arial"/>
                <w:color w:val="000000"/>
                <w:sz w:val="16"/>
              </w:rPr>
            </w:pPr>
            <w:r>
              <w:rPr>
                <w:rFonts w:ascii="Arial" w:eastAsia="Arial" w:hAnsi="Arial" w:cs="Arial"/>
                <w:color w:val="000000"/>
                <w:sz w:val="16"/>
              </w:rPr>
              <w:t>Payments</w:t>
            </w:r>
          </w:p>
        </w:tc>
        <w:tc>
          <w:tcPr>
            <w:tcW w:w="1170" w:type="dxa"/>
            <w:tcBorders>
              <w:top w:val="nil"/>
              <w:left w:val="nil"/>
              <w:bottom w:val="nil"/>
              <w:right w:val="nil"/>
              <w:tl2br w:val="nil"/>
              <w:tr2bl w:val="nil"/>
            </w:tcBorders>
            <w:shd w:val="clear" w:color="auto" w:fill="FFFF00"/>
            <w:tcMar>
              <w:left w:w="115" w:type="dxa"/>
              <w:right w:w="115" w:type="dxa"/>
            </w:tcMar>
            <w:vAlign w:val="center"/>
          </w:tcPr>
          <w:p w14:paraId="48E115C7" w14:textId="77777777" w:rsidR="003F0EEA" w:rsidRDefault="00FB7D0B">
            <w:pPr>
              <w:jc w:val="right"/>
              <w:rPr>
                <w:rFonts w:ascii="Arial" w:eastAsia="Arial" w:hAnsi="Arial" w:cs="Arial"/>
                <w:color w:val="000000"/>
                <w:sz w:val="16"/>
              </w:rPr>
            </w:pPr>
            <w:r>
              <w:rPr>
                <w:rFonts w:ascii="Arial" w:eastAsia="Arial" w:hAnsi="Arial" w:cs="Arial"/>
                <w:color w:val="000000"/>
                <w:sz w:val="16"/>
              </w:rPr>
              <w:t>Adjustments</w:t>
            </w:r>
          </w:p>
        </w:tc>
        <w:tc>
          <w:tcPr>
            <w:tcW w:w="1080" w:type="dxa"/>
            <w:tcBorders>
              <w:top w:val="nil"/>
              <w:left w:val="nil"/>
              <w:bottom w:val="nil"/>
              <w:right w:val="nil"/>
              <w:tl2br w:val="nil"/>
              <w:tr2bl w:val="nil"/>
            </w:tcBorders>
            <w:shd w:val="clear" w:color="auto" w:fill="FFFF00"/>
            <w:tcMar>
              <w:left w:w="115" w:type="dxa"/>
              <w:right w:w="115" w:type="dxa"/>
            </w:tcMar>
            <w:vAlign w:val="center"/>
          </w:tcPr>
          <w:p w14:paraId="7E0D3DB1" w14:textId="77777777" w:rsidR="003F0EEA" w:rsidRDefault="00FB7D0B">
            <w:pPr>
              <w:jc w:val="right"/>
              <w:rPr>
                <w:rFonts w:ascii="Arial" w:eastAsia="Arial" w:hAnsi="Arial" w:cs="Arial"/>
                <w:color w:val="000000"/>
                <w:sz w:val="16"/>
              </w:rPr>
            </w:pPr>
            <w:r>
              <w:rPr>
                <w:rFonts w:ascii="Arial" w:eastAsia="Arial" w:hAnsi="Arial" w:cs="Arial"/>
                <w:color w:val="000000"/>
                <w:sz w:val="16"/>
              </w:rPr>
              <w:t>balance</w:t>
            </w:r>
          </w:p>
        </w:tc>
      </w:tr>
      <w:tr w:rsidR="00724034" w14:paraId="3F2D9484" w14:textId="77777777">
        <w:trPr>
          <w:trHeight w:val="225"/>
        </w:trPr>
        <w:tc>
          <w:tcPr>
            <w:tcW w:w="180" w:type="dxa"/>
            <w:tcBorders>
              <w:top w:val="nil"/>
              <w:left w:val="nil"/>
              <w:bottom w:val="nil"/>
              <w:right w:val="nil"/>
              <w:tl2br w:val="nil"/>
              <w:tr2bl w:val="nil"/>
            </w:tcBorders>
            <w:shd w:val="clear" w:color="auto" w:fill="FFFFFF"/>
            <w:tcMar>
              <w:left w:w="115" w:type="dxa"/>
              <w:right w:w="115" w:type="dxa"/>
            </w:tcMar>
            <w:vAlign w:val="center"/>
          </w:tcPr>
          <w:p w14:paraId="19ED0118" w14:textId="77777777" w:rsidR="003F0EEA" w:rsidRDefault="003F0EEA">
            <w:pPr>
              <w:rPr>
                <w:rFonts w:ascii="Arial" w:eastAsia="Arial" w:hAnsi="Arial" w:cs="Arial"/>
                <w:color w:val="000000"/>
                <w:sz w:val="16"/>
              </w:rPr>
            </w:pPr>
          </w:p>
        </w:tc>
        <w:tc>
          <w:tcPr>
            <w:tcW w:w="2385" w:type="dxa"/>
            <w:tcBorders>
              <w:top w:val="nil"/>
              <w:left w:val="nil"/>
              <w:bottom w:val="nil"/>
              <w:right w:val="nil"/>
              <w:tl2br w:val="nil"/>
              <w:tr2bl w:val="nil"/>
            </w:tcBorders>
            <w:shd w:val="clear" w:color="auto" w:fill="FFFFFF"/>
            <w:tcMar>
              <w:left w:w="115" w:type="dxa"/>
              <w:right w:w="115" w:type="dxa"/>
            </w:tcMar>
            <w:vAlign w:val="center"/>
          </w:tcPr>
          <w:p w14:paraId="344FC37F" w14:textId="77777777" w:rsidR="003F0EEA" w:rsidRDefault="003F0EEA">
            <w:pPr>
              <w:rPr>
                <w:rFonts w:ascii="Arial" w:eastAsia="Arial" w:hAnsi="Arial" w:cs="Arial"/>
                <w:color w:val="000000"/>
                <w:sz w:val="16"/>
              </w:rPr>
            </w:pPr>
          </w:p>
        </w:tc>
        <w:tc>
          <w:tcPr>
            <w:tcW w:w="915" w:type="dxa"/>
            <w:tcBorders>
              <w:top w:val="nil"/>
              <w:left w:val="nil"/>
              <w:bottom w:val="nil"/>
              <w:right w:val="nil"/>
              <w:tl2br w:val="nil"/>
              <w:tr2bl w:val="nil"/>
            </w:tcBorders>
            <w:shd w:val="clear" w:color="auto" w:fill="FFFFFF"/>
            <w:tcMar>
              <w:left w:w="115" w:type="dxa"/>
              <w:right w:w="115" w:type="dxa"/>
            </w:tcMar>
            <w:vAlign w:val="center"/>
          </w:tcPr>
          <w:p w14:paraId="730BA771" w14:textId="77777777" w:rsidR="003F0EEA" w:rsidRDefault="003F0EEA">
            <w:pPr>
              <w:jc w:val="right"/>
              <w:rPr>
                <w:rFonts w:ascii="Arial" w:eastAsia="Arial" w:hAnsi="Arial" w:cs="Arial"/>
                <w:color w:val="000000"/>
                <w:sz w:val="16"/>
                <w:vertAlign w:val="superscript"/>
              </w:rPr>
            </w:pPr>
          </w:p>
        </w:tc>
        <w:tc>
          <w:tcPr>
            <w:tcW w:w="1050" w:type="dxa"/>
            <w:tcBorders>
              <w:top w:val="nil"/>
              <w:left w:val="nil"/>
              <w:bottom w:val="nil"/>
              <w:right w:val="nil"/>
              <w:tl2br w:val="nil"/>
              <w:tr2bl w:val="nil"/>
            </w:tcBorders>
            <w:shd w:val="clear" w:color="auto" w:fill="FFFFFF"/>
            <w:tcMar>
              <w:left w:w="115" w:type="dxa"/>
              <w:right w:w="115" w:type="dxa"/>
            </w:tcMar>
            <w:vAlign w:val="center"/>
          </w:tcPr>
          <w:p w14:paraId="21237EC2" w14:textId="77777777" w:rsidR="003F0EEA" w:rsidRDefault="00FB7D0B">
            <w:pPr>
              <w:jc w:val="right"/>
              <w:rPr>
                <w:rFonts w:ascii="Arial" w:eastAsia="Arial" w:hAnsi="Arial" w:cs="Arial"/>
                <w:color w:val="000000"/>
                <w:sz w:val="16"/>
                <w:vertAlign w:val="superscript"/>
              </w:rPr>
            </w:pPr>
            <w:r>
              <w:rPr>
                <w:rFonts w:ascii="Arial" w:eastAsia="Arial" w:hAnsi="Arial" w:cs="Arial"/>
                <w:b/>
                <w:color w:val="000000"/>
                <w:sz w:val="16"/>
              </w:rPr>
              <w:t>2014-15</w:t>
            </w:r>
          </w:p>
        </w:tc>
        <w:tc>
          <w:tcPr>
            <w:tcW w:w="1050" w:type="dxa"/>
            <w:tcBorders>
              <w:top w:val="nil"/>
              <w:left w:val="nil"/>
              <w:bottom w:val="nil"/>
              <w:right w:val="nil"/>
              <w:tl2br w:val="nil"/>
              <w:tr2bl w:val="nil"/>
            </w:tcBorders>
            <w:shd w:val="clear" w:color="auto" w:fill="FFFF00"/>
            <w:tcMar>
              <w:left w:w="115" w:type="dxa"/>
              <w:right w:w="115" w:type="dxa"/>
            </w:tcMar>
            <w:vAlign w:val="center"/>
          </w:tcPr>
          <w:p w14:paraId="69C290BF" w14:textId="77777777" w:rsidR="003F0EEA" w:rsidRDefault="00FB7D0B">
            <w:pPr>
              <w:jc w:val="right"/>
              <w:rPr>
                <w:rFonts w:ascii="Arial" w:eastAsia="Arial" w:hAnsi="Arial" w:cs="Arial"/>
                <w:b/>
                <w:color w:val="000000"/>
                <w:sz w:val="16"/>
              </w:rPr>
            </w:pPr>
            <w:r>
              <w:rPr>
                <w:rFonts w:ascii="Arial" w:eastAsia="Arial" w:hAnsi="Arial" w:cs="Arial"/>
                <w:b/>
                <w:color w:val="000000"/>
                <w:sz w:val="16"/>
              </w:rPr>
              <w:t>2014-15</w:t>
            </w:r>
          </w:p>
        </w:tc>
        <w:tc>
          <w:tcPr>
            <w:tcW w:w="1005" w:type="dxa"/>
            <w:tcBorders>
              <w:top w:val="nil"/>
              <w:left w:val="nil"/>
              <w:bottom w:val="nil"/>
              <w:right w:val="nil"/>
              <w:tl2br w:val="nil"/>
              <w:tr2bl w:val="nil"/>
            </w:tcBorders>
            <w:shd w:val="clear" w:color="auto" w:fill="FFFF00"/>
            <w:tcMar>
              <w:left w:w="115" w:type="dxa"/>
              <w:right w:w="115" w:type="dxa"/>
            </w:tcMar>
            <w:vAlign w:val="center"/>
          </w:tcPr>
          <w:p w14:paraId="6837D909" w14:textId="77777777" w:rsidR="003F0EEA" w:rsidRDefault="00FB7D0B">
            <w:pPr>
              <w:jc w:val="right"/>
              <w:rPr>
                <w:rFonts w:ascii="Arial" w:eastAsia="Arial" w:hAnsi="Arial" w:cs="Arial"/>
                <w:b/>
                <w:color w:val="000000"/>
                <w:sz w:val="16"/>
              </w:rPr>
            </w:pPr>
            <w:r>
              <w:rPr>
                <w:rFonts w:ascii="Arial" w:eastAsia="Arial" w:hAnsi="Arial" w:cs="Arial"/>
                <w:b/>
                <w:color w:val="000000"/>
                <w:sz w:val="16"/>
              </w:rPr>
              <w:t>2014-15</w:t>
            </w:r>
          </w:p>
        </w:tc>
        <w:tc>
          <w:tcPr>
            <w:tcW w:w="1170" w:type="dxa"/>
            <w:tcBorders>
              <w:top w:val="nil"/>
              <w:left w:val="nil"/>
              <w:bottom w:val="nil"/>
              <w:right w:val="nil"/>
              <w:tl2br w:val="nil"/>
              <w:tr2bl w:val="nil"/>
            </w:tcBorders>
            <w:shd w:val="clear" w:color="auto" w:fill="FFFF00"/>
            <w:tcMar>
              <w:left w:w="115" w:type="dxa"/>
              <w:right w:w="115" w:type="dxa"/>
            </w:tcMar>
            <w:vAlign w:val="center"/>
          </w:tcPr>
          <w:p w14:paraId="418E0C74" w14:textId="77777777" w:rsidR="003F0EEA" w:rsidRDefault="00FB7D0B">
            <w:pPr>
              <w:jc w:val="right"/>
              <w:rPr>
                <w:rFonts w:ascii="Arial" w:eastAsia="Arial" w:hAnsi="Arial" w:cs="Arial"/>
                <w:b/>
                <w:color w:val="000000"/>
                <w:sz w:val="16"/>
              </w:rPr>
            </w:pPr>
            <w:r>
              <w:rPr>
                <w:rFonts w:ascii="Arial" w:eastAsia="Arial" w:hAnsi="Arial" w:cs="Arial"/>
                <w:b/>
                <w:color w:val="000000"/>
                <w:sz w:val="16"/>
              </w:rPr>
              <w:t>2014-15</w:t>
            </w:r>
          </w:p>
        </w:tc>
        <w:tc>
          <w:tcPr>
            <w:tcW w:w="1080" w:type="dxa"/>
            <w:tcBorders>
              <w:top w:val="nil"/>
              <w:left w:val="nil"/>
              <w:bottom w:val="nil"/>
              <w:right w:val="nil"/>
              <w:tl2br w:val="nil"/>
              <w:tr2bl w:val="nil"/>
            </w:tcBorders>
            <w:shd w:val="clear" w:color="auto" w:fill="FFFF00"/>
            <w:tcMar>
              <w:left w:w="115" w:type="dxa"/>
              <w:right w:w="115" w:type="dxa"/>
            </w:tcMar>
            <w:vAlign w:val="center"/>
          </w:tcPr>
          <w:p w14:paraId="0180A459" w14:textId="77777777" w:rsidR="003F0EEA" w:rsidRDefault="00FB7D0B">
            <w:pPr>
              <w:jc w:val="right"/>
              <w:rPr>
                <w:rFonts w:ascii="Arial" w:eastAsia="Arial" w:hAnsi="Arial" w:cs="Arial"/>
                <w:b/>
                <w:color w:val="000000"/>
                <w:sz w:val="16"/>
              </w:rPr>
            </w:pPr>
            <w:r>
              <w:rPr>
                <w:rFonts w:ascii="Arial" w:eastAsia="Arial" w:hAnsi="Arial" w:cs="Arial"/>
                <w:b/>
                <w:color w:val="000000"/>
                <w:sz w:val="16"/>
              </w:rPr>
              <w:t>2014-15</w:t>
            </w:r>
          </w:p>
        </w:tc>
      </w:tr>
      <w:tr w:rsidR="00724034" w14:paraId="1D89DBF1" w14:textId="77777777">
        <w:trPr>
          <w:trHeight w:val="225"/>
        </w:trPr>
        <w:tc>
          <w:tcPr>
            <w:tcW w:w="180" w:type="dxa"/>
            <w:tcBorders>
              <w:top w:val="nil"/>
              <w:left w:val="nil"/>
              <w:bottom w:val="nil"/>
              <w:right w:val="nil"/>
              <w:tl2br w:val="nil"/>
              <w:tr2bl w:val="nil"/>
            </w:tcBorders>
            <w:shd w:val="clear" w:color="auto" w:fill="FFFFFF"/>
            <w:tcMar>
              <w:left w:w="115" w:type="dxa"/>
              <w:right w:w="115" w:type="dxa"/>
            </w:tcMar>
            <w:vAlign w:val="center"/>
          </w:tcPr>
          <w:p w14:paraId="52A76FE8" w14:textId="77777777" w:rsidR="003F0EEA" w:rsidRDefault="003F0EEA">
            <w:pPr>
              <w:rPr>
                <w:rFonts w:ascii="Arial" w:eastAsia="Arial" w:hAnsi="Arial" w:cs="Arial"/>
                <w:b/>
                <w:color w:val="000000"/>
                <w:sz w:val="16"/>
              </w:rPr>
            </w:pPr>
          </w:p>
        </w:tc>
        <w:tc>
          <w:tcPr>
            <w:tcW w:w="2385" w:type="dxa"/>
            <w:tcBorders>
              <w:top w:val="nil"/>
              <w:left w:val="nil"/>
              <w:bottom w:val="nil"/>
              <w:right w:val="nil"/>
              <w:tl2br w:val="nil"/>
              <w:tr2bl w:val="nil"/>
            </w:tcBorders>
            <w:shd w:val="clear" w:color="auto" w:fill="FFFFFF"/>
            <w:tcMar>
              <w:left w:w="115" w:type="dxa"/>
              <w:right w:w="115" w:type="dxa"/>
            </w:tcMar>
            <w:vAlign w:val="center"/>
          </w:tcPr>
          <w:p w14:paraId="7C7D086B" w14:textId="77777777" w:rsidR="003F0EEA" w:rsidRDefault="003F0EEA">
            <w:pPr>
              <w:rPr>
                <w:rFonts w:ascii="Arial" w:eastAsia="Arial" w:hAnsi="Arial" w:cs="Arial"/>
                <w:color w:val="000000"/>
                <w:sz w:val="16"/>
              </w:rPr>
            </w:pPr>
          </w:p>
        </w:tc>
        <w:tc>
          <w:tcPr>
            <w:tcW w:w="915" w:type="dxa"/>
            <w:tcBorders>
              <w:top w:val="nil"/>
              <w:left w:val="nil"/>
              <w:bottom w:val="nil"/>
              <w:right w:val="nil"/>
              <w:tl2br w:val="nil"/>
              <w:tr2bl w:val="nil"/>
            </w:tcBorders>
            <w:shd w:val="clear" w:color="auto" w:fill="FFFFFF"/>
            <w:tcMar>
              <w:left w:w="115" w:type="dxa"/>
              <w:right w:w="115" w:type="dxa"/>
            </w:tcMar>
            <w:vAlign w:val="center"/>
          </w:tcPr>
          <w:p w14:paraId="63B8FBB6" w14:textId="77777777" w:rsidR="003F0EEA" w:rsidRDefault="003F0EEA">
            <w:pPr>
              <w:jc w:val="right"/>
              <w:rPr>
                <w:rFonts w:ascii="Arial" w:eastAsia="Arial" w:hAnsi="Arial" w:cs="Arial"/>
                <w:color w:val="000000"/>
                <w:sz w:val="16"/>
                <w:vertAlign w:val="superscript"/>
              </w:rPr>
            </w:pPr>
          </w:p>
        </w:tc>
        <w:tc>
          <w:tcPr>
            <w:tcW w:w="1050" w:type="dxa"/>
            <w:tcBorders>
              <w:top w:val="nil"/>
              <w:left w:val="nil"/>
              <w:bottom w:val="nil"/>
              <w:right w:val="nil"/>
              <w:tl2br w:val="nil"/>
              <w:tr2bl w:val="nil"/>
            </w:tcBorders>
            <w:shd w:val="clear" w:color="auto" w:fill="FFFFFF"/>
            <w:tcMar>
              <w:left w:w="115" w:type="dxa"/>
              <w:right w:w="115" w:type="dxa"/>
            </w:tcMar>
            <w:vAlign w:val="center"/>
          </w:tcPr>
          <w:p w14:paraId="4A9D6549" w14:textId="77777777" w:rsidR="003F0EEA" w:rsidRDefault="00FB7D0B">
            <w:pPr>
              <w:jc w:val="right"/>
              <w:rPr>
                <w:rFonts w:ascii="Arial" w:eastAsia="Arial" w:hAnsi="Arial" w:cs="Arial"/>
                <w:color w:val="000000"/>
                <w:sz w:val="16"/>
                <w:vertAlign w:val="superscript"/>
              </w:rPr>
            </w:pPr>
            <w:r>
              <w:rPr>
                <w:rFonts w:ascii="Arial" w:eastAsia="Arial" w:hAnsi="Arial" w:cs="Arial"/>
                <w:i/>
                <w:color w:val="000000"/>
                <w:sz w:val="16"/>
              </w:rPr>
              <w:t>2013-14</w:t>
            </w:r>
          </w:p>
        </w:tc>
        <w:tc>
          <w:tcPr>
            <w:tcW w:w="1050" w:type="dxa"/>
            <w:tcBorders>
              <w:top w:val="nil"/>
              <w:left w:val="nil"/>
              <w:bottom w:val="nil"/>
              <w:right w:val="nil"/>
              <w:tl2br w:val="nil"/>
              <w:tr2bl w:val="nil"/>
            </w:tcBorders>
            <w:shd w:val="clear" w:color="auto" w:fill="FFFF00"/>
            <w:tcMar>
              <w:left w:w="115" w:type="dxa"/>
              <w:right w:w="115" w:type="dxa"/>
            </w:tcMar>
            <w:vAlign w:val="center"/>
          </w:tcPr>
          <w:p w14:paraId="13437824" w14:textId="77777777" w:rsidR="003F0EEA" w:rsidRDefault="00FB7D0B">
            <w:pPr>
              <w:jc w:val="right"/>
              <w:rPr>
                <w:rFonts w:ascii="Arial" w:eastAsia="Arial" w:hAnsi="Arial" w:cs="Arial"/>
                <w:i/>
                <w:color w:val="000000"/>
                <w:sz w:val="16"/>
              </w:rPr>
            </w:pPr>
            <w:r>
              <w:rPr>
                <w:rFonts w:ascii="Arial" w:eastAsia="Arial" w:hAnsi="Arial" w:cs="Arial"/>
                <w:i/>
                <w:color w:val="000000"/>
                <w:sz w:val="16"/>
              </w:rPr>
              <w:t>2013-14</w:t>
            </w:r>
          </w:p>
        </w:tc>
        <w:tc>
          <w:tcPr>
            <w:tcW w:w="1005" w:type="dxa"/>
            <w:tcBorders>
              <w:top w:val="nil"/>
              <w:left w:val="nil"/>
              <w:bottom w:val="nil"/>
              <w:right w:val="nil"/>
              <w:tl2br w:val="nil"/>
              <w:tr2bl w:val="nil"/>
            </w:tcBorders>
            <w:shd w:val="clear" w:color="auto" w:fill="FFFF00"/>
            <w:tcMar>
              <w:left w:w="115" w:type="dxa"/>
              <w:right w:w="115" w:type="dxa"/>
            </w:tcMar>
            <w:vAlign w:val="center"/>
          </w:tcPr>
          <w:p w14:paraId="1E64AFA8" w14:textId="77777777" w:rsidR="003F0EEA" w:rsidRDefault="00FB7D0B">
            <w:pPr>
              <w:jc w:val="right"/>
              <w:rPr>
                <w:rFonts w:ascii="Arial" w:eastAsia="Arial" w:hAnsi="Arial" w:cs="Arial"/>
                <w:i/>
                <w:color w:val="000000"/>
                <w:sz w:val="16"/>
              </w:rPr>
            </w:pPr>
            <w:r>
              <w:rPr>
                <w:rFonts w:ascii="Arial" w:eastAsia="Arial" w:hAnsi="Arial" w:cs="Arial"/>
                <w:i/>
                <w:color w:val="000000"/>
                <w:sz w:val="16"/>
              </w:rPr>
              <w:t>2013-14</w:t>
            </w:r>
          </w:p>
        </w:tc>
        <w:tc>
          <w:tcPr>
            <w:tcW w:w="1170" w:type="dxa"/>
            <w:tcBorders>
              <w:top w:val="nil"/>
              <w:left w:val="nil"/>
              <w:bottom w:val="nil"/>
              <w:right w:val="nil"/>
              <w:tl2br w:val="nil"/>
              <w:tr2bl w:val="nil"/>
            </w:tcBorders>
            <w:shd w:val="clear" w:color="auto" w:fill="FFFF00"/>
            <w:tcMar>
              <w:left w:w="115" w:type="dxa"/>
              <w:right w:w="115" w:type="dxa"/>
            </w:tcMar>
            <w:vAlign w:val="center"/>
          </w:tcPr>
          <w:p w14:paraId="17B38AD0" w14:textId="77777777" w:rsidR="003F0EEA" w:rsidRDefault="00FB7D0B">
            <w:pPr>
              <w:jc w:val="right"/>
              <w:rPr>
                <w:rFonts w:ascii="Arial" w:eastAsia="Arial" w:hAnsi="Arial" w:cs="Arial"/>
                <w:i/>
                <w:color w:val="000000"/>
                <w:sz w:val="16"/>
              </w:rPr>
            </w:pPr>
            <w:r>
              <w:rPr>
                <w:rFonts w:ascii="Arial" w:eastAsia="Arial" w:hAnsi="Arial" w:cs="Arial"/>
                <w:i/>
                <w:color w:val="000000"/>
                <w:sz w:val="16"/>
              </w:rPr>
              <w:t>2013-14</w:t>
            </w:r>
          </w:p>
        </w:tc>
        <w:tc>
          <w:tcPr>
            <w:tcW w:w="1080" w:type="dxa"/>
            <w:tcBorders>
              <w:top w:val="nil"/>
              <w:left w:val="nil"/>
              <w:bottom w:val="nil"/>
              <w:right w:val="nil"/>
              <w:tl2br w:val="nil"/>
              <w:tr2bl w:val="nil"/>
            </w:tcBorders>
            <w:shd w:val="clear" w:color="auto" w:fill="FFFF00"/>
            <w:tcMar>
              <w:left w:w="115" w:type="dxa"/>
              <w:right w:w="115" w:type="dxa"/>
            </w:tcMar>
            <w:vAlign w:val="center"/>
          </w:tcPr>
          <w:p w14:paraId="5DE10BAD" w14:textId="77777777" w:rsidR="003F0EEA" w:rsidRDefault="00FB7D0B">
            <w:pPr>
              <w:jc w:val="right"/>
              <w:rPr>
                <w:rFonts w:ascii="Arial" w:eastAsia="Arial" w:hAnsi="Arial" w:cs="Arial"/>
                <w:i/>
                <w:color w:val="000000"/>
                <w:sz w:val="16"/>
              </w:rPr>
            </w:pPr>
            <w:r>
              <w:rPr>
                <w:rFonts w:ascii="Arial" w:eastAsia="Arial" w:hAnsi="Arial" w:cs="Arial"/>
                <w:i/>
                <w:color w:val="000000"/>
                <w:sz w:val="16"/>
              </w:rPr>
              <w:t>2013-14</w:t>
            </w:r>
          </w:p>
        </w:tc>
      </w:tr>
      <w:tr w:rsidR="00724034" w14:paraId="65E74EE7" w14:textId="77777777">
        <w:trPr>
          <w:trHeight w:val="225"/>
        </w:trPr>
        <w:tc>
          <w:tcPr>
            <w:tcW w:w="180" w:type="dxa"/>
            <w:tcBorders>
              <w:top w:val="nil"/>
              <w:left w:val="nil"/>
              <w:bottom w:val="nil"/>
              <w:right w:val="nil"/>
              <w:tl2br w:val="nil"/>
              <w:tr2bl w:val="nil"/>
            </w:tcBorders>
            <w:shd w:val="clear" w:color="auto" w:fill="FFFFFF"/>
            <w:tcMar>
              <w:left w:w="115" w:type="dxa"/>
              <w:right w:w="115" w:type="dxa"/>
            </w:tcMar>
            <w:vAlign w:val="center"/>
          </w:tcPr>
          <w:p w14:paraId="4CC77C33" w14:textId="77777777" w:rsidR="003F0EEA" w:rsidRDefault="003F0EEA">
            <w:pPr>
              <w:rPr>
                <w:rFonts w:ascii="Arial" w:eastAsia="Arial" w:hAnsi="Arial" w:cs="Arial"/>
                <w:i/>
                <w:color w:val="000000"/>
                <w:sz w:val="16"/>
              </w:rPr>
            </w:pPr>
          </w:p>
        </w:tc>
        <w:tc>
          <w:tcPr>
            <w:tcW w:w="2385" w:type="dxa"/>
            <w:tcBorders>
              <w:top w:val="nil"/>
              <w:left w:val="nil"/>
              <w:bottom w:val="nil"/>
              <w:right w:val="nil"/>
              <w:tl2br w:val="nil"/>
              <w:tr2bl w:val="nil"/>
            </w:tcBorders>
            <w:shd w:val="clear" w:color="auto" w:fill="FFFFFF"/>
            <w:tcMar>
              <w:left w:w="115" w:type="dxa"/>
              <w:right w:w="115" w:type="dxa"/>
            </w:tcMar>
            <w:vAlign w:val="center"/>
          </w:tcPr>
          <w:p w14:paraId="1BF48D97" w14:textId="77777777" w:rsidR="003F0EEA" w:rsidRDefault="003F0EEA">
            <w:pPr>
              <w:rPr>
                <w:rFonts w:ascii="Arial" w:eastAsia="Arial" w:hAnsi="Arial" w:cs="Arial"/>
                <w:color w:val="000000"/>
                <w:sz w:val="16"/>
              </w:rPr>
            </w:pPr>
          </w:p>
        </w:tc>
        <w:tc>
          <w:tcPr>
            <w:tcW w:w="915" w:type="dxa"/>
            <w:tcBorders>
              <w:top w:val="nil"/>
              <w:left w:val="nil"/>
              <w:bottom w:val="single" w:sz="6" w:space="0" w:color="000000"/>
              <w:right w:val="nil"/>
              <w:tl2br w:val="nil"/>
              <w:tr2bl w:val="nil"/>
            </w:tcBorders>
            <w:shd w:val="clear" w:color="auto" w:fill="FFFFFF"/>
            <w:tcMar>
              <w:left w:w="115" w:type="dxa"/>
              <w:right w:w="115" w:type="dxa"/>
            </w:tcMar>
            <w:vAlign w:val="center"/>
          </w:tcPr>
          <w:p w14:paraId="0FE8A443" w14:textId="77777777" w:rsidR="003F0EEA" w:rsidRDefault="00FB7D0B">
            <w:pPr>
              <w:jc w:val="right"/>
              <w:rPr>
                <w:rFonts w:ascii="Arial" w:eastAsia="Arial" w:hAnsi="Arial" w:cs="Arial"/>
                <w:color w:val="000000"/>
                <w:sz w:val="16"/>
                <w:vertAlign w:val="superscript"/>
              </w:rPr>
            </w:pPr>
            <w:r>
              <w:rPr>
                <w:rFonts w:ascii="Arial" w:eastAsia="Arial" w:hAnsi="Arial" w:cs="Arial"/>
                <w:color w:val="000000"/>
                <w:sz w:val="16"/>
              </w:rPr>
              <w:t>Outcome</w:t>
            </w:r>
          </w:p>
        </w:tc>
        <w:tc>
          <w:tcPr>
            <w:tcW w:w="1050" w:type="dxa"/>
            <w:tcBorders>
              <w:top w:val="nil"/>
              <w:left w:val="nil"/>
              <w:bottom w:val="single" w:sz="6" w:space="0" w:color="000000"/>
              <w:right w:val="nil"/>
              <w:tl2br w:val="nil"/>
              <w:tr2bl w:val="nil"/>
            </w:tcBorders>
            <w:shd w:val="clear" w:color="auto" w:fill="FFFFFF"/>
            <w:tcMar>
              <w:left w:w="115" w:type="dxa"/>
              <w:right w:w="115" w:type="dxa"/>
            </w:tcMar>
            <w:vAlign w:val="center"/>
          </w:tcPr>
          <w:p w14:paraId="6AF25FFA" w14:textId="77777777" w:rsidR="003F0EEA" w:rsidRDefault="00FB7D0B">
            <w:pPr>
              <w:jc w:val="right"/>
              <w:rPr>
                <w:rFonts w:ascii="Arial" w:eastAsia="Arial" w:hAnsi="Arial" w:cs="Arial"/>
                <w:color w:val="000000"/>
                <w:sz w:val="16"/>
              </w:rPr>
            </w:pPr>
            <w:r>
              <w:rPr>
                <w:rFonts w:ascii="Arial" w:eastAsia="Arial" w:hAnsi="Arial" w:cs="Arial"/>
                <w:color w:val="000000"/>
                <w:sz w:val="16"/>
              </w:rPr>
              <w:t>$'000</w:t>
            </w:r>
          </w:p>
        </w:tc>
        <w:tc>
          <w:tcPr>
            <w:tcW w:w="1050" w:type="dxa"/>
            <w:tcBorders>
              <w:top w:val="nil"/>
              <w:left w:val="nil"/>
              <w:bottom w:val="single" w:sz="6" w:space="0" w:color="000000"/>
              <w:right w:val="nil"/>
              <w:tl2br w:val="nil"/>
              <w:tr2bl w:val="nil"/>
            </w:tcBorders>
            <w:shd w:val="clear" w:color="auto" w:fill="FFFF00"/>
            <w:tcMar>
              <w:left w:w="115" w:type="dxa"/>
              <w:right w:w="115" w:type="dxa"/>
            </w:tcMar>
            <w:vAlign w:val="center"/>
          </w:tcPr>
          <w:p w14:paraId="6F58D827" w14:textId="77777777" w:rsidR="003F0EEA" w:rsidRDefault="00FB7D0B">
            <w:pPr>
              <w:jc w:val="right"/>
              <w:rPr>
                <w:rFonts w:ascii="Arial" w:eastAsia="Arial" w:hAnsi="Arial" w:cs="Arial"/>
                <w:color w:val="000000"/>
                <w:sz w:val="16"/>
              </w:rPr>
            </w:pPr>
            <w:r>
              <w:rPr>
                <w:rFonts w:ascii="Arial" w:eastAsia="Arial" w:hAnsi="Arial" w:cs="Arial"/>
                <w:color w:val="000000"/>
                <w:sz w:val="16"/>
              </w:rPr>
              <w:t>$'000</w:t>
            </w:r>
          </w:p>
        </w:tc>
        <w:tc>
          <w:tcPr>
            <w:tcW w:w="1005" w:type="dxa"/>
            <w:tcBorders>
              <w:top w:val="nil"/>
              <w:left w:val="nil"/>
              <w:bottom w:val="single" w:sz="6" w:space="0" w:color="000000"/>
              <w:right w:val="nil"/>
              <w:tl2br w:val="nil"/>
              <w:tr2bl w:val="nil"/>
            </w:tcBorders>
            <w:shd w:val="clear" w:color="auto" w:fill="FFFF00"/>
            <w:tcMar>
              <w:left w:w="115" w:type="dxa"/>
              <w:right w:w="115" w:type="dxa"/>
            </w:tcMar>
            <w:vAlign w:val="center"/>
          </w:tcPr>
          <w:p w14:paraId="3E694462" w14:textId="77777777" w:rsidR="003F0EEA" w:rsidRDefault="00FB7D0B">
            <w:pPr>
              <w:jc w:val="right"/>
              <w:rPr>
                <w:rFonts w:ascii="Arial" w:eastAsia="Arial" w:hAnsi="Arial" w:cs="Arial"/>
                <w:color w:val="000000"/>
                <w:sz w:val="16"/>
              </w:rPr>
            </w:pPr>
            <w:r>
              <w:rPr>
                <w:rFonts w:ascii="Arial" w:eastAsia="Arial" w:hAnsi="Arial" w:cs="Arial"/>
                <w:color w:val="000000"/>
                <w:sz w:val="16"/>
              </w:rPr>
              <w:t>$'000</w:t>
            </w:r>
          </w:p>
        </w:tc>
        <w:tc>
          <w:tcPr>
            <w:tcW w:w="1170" w:type="dxa"/>
            <w:tcBorders>
              <w:top w:val="nil"/>
              <w:left w:val="nil"/>
              <w:bottom w:val="single" w:sz="6" w:space="0" w:color="000000"/>
              <w:right w:val="nil"/>
              <w:tl2br w:val="nil"/>
              <w:tr2bl w:val="nil"/>
            </w:tcBorders>
            <w:shd w:val="clear" w:color="auto" w:fill="FFFF00"/>
            <w:tcMar>
              <w:left w:w="115" w:type="dxa"/>
              <w:right w:w="115" w:type="dxa"/>
            </w:tcMar>
            <w:vAlign w:val="center"/>
          </w:tcPr>
          <w:p w14:paraId="677132F3" w14:textId="77777777" w:rsidR="003F0EEA" w:rsidRDefault="00FB7D0B">
            <w:pPr>
              <w:jc w:val="right"/>
              <w:rPr>
                <w:rFonts w:ascii="Arial" w:eastAsia="Arial" w:hAnsi="Arial" w:cs="Arial"/>
                <w:color w:val="000000"/>
                <w:sz w:val="16"/>
              </w:rPr>
            </w:pPr>
            <w:r>
              <w:rPr>
                <w:rFonts w:ascii="Arial" w:eastAsia="Arial" w:hAnsi="Arial" w:cs="Arial"/>
                <w:color w:val="000000"/>
                <w:sz w:val="16"/>
              </w:rPr>
              <w:t>$'000</w:t>
            </w:r>
          </w:p>
        </w:tc>
        <w:tc>
          <w:tcPr>
            <w:tcW w:w="1080" w:type="dxa"/>
            <w:tcBorders>
              <w:top w:val="nil"/>
              <w:left w:val="nil"/>
              <w:bottom w:val="single" w:sz="6" w:space="0" w:color="000000"/>
              <w:right w:val="nil"/>
              <w:tl2br w:val="nil"/>
              <w:tr2bl w:val="nil"/>
            </w:tcBorders>
            <w:shd w:val="clear" w:color="auto" w:fill="FFFF00"/>
            <w:tcMar>
              <w:left w:w="115" w:type="dxa"/>
              <w:right w:w="115" w:type="dxa"/>
            </w:tcMar>
            <w:vAlign w:val="center"/>
          </w:tcPr>
          <w:p w14:paraId="7CBC7BD3" w14:textId="77777777" w:rsidR="003F0EEA" w:rsidRDefault="00FB7D0B">
            <w:pPr>
              <w:jc w:val="right"/>
              <w:rPr>
                <w:rFonts w:ascii="Arial" w:eastAsia="Arial" w:hAnsi="Arial" w:cs="Arial"/>
                <w:color w:val="000000"/>
                <w:sz w:val="16"/>
              </w:rPr>
            </w:pPr>
            <w:r>
              <w:rPr>
                <w:rFonts w:ascii="Arial" w:eastAsia="Arial" w:hAnsi="Arial" w:cs="Arial"/>
                <w:color w:val="000000"/>
                <w:sz w:val="16"/>
              </w:rPr>
              <w:t>$'000</w:t>
            </w:r>
          </w:p>
        </w:tc>
      </w:tr>
      <w:tr w:rsidR="00FB7D0B" w14:paraId="58FEEF7F" w14:textId="77777777" w:rsidTr="00FB7D0B">
        <w:trPr>
          <w:trHeight w:val="225"/>
        </w:trPr>
        <w:tc>
          <w:tcPr>
            <w:tcW w:w="2565" w:type="dxa"/>
            <w:gridSpan w:val="2"/>
            <w:vMerge w:val="restart"/>
            <w:tcBorders>
              <w:top w:val="nil"/>
              <w:left w:val="nil"/>
              <w:bottom w:val="nil"/>
              <w:right w:val="nil"/>
              <w:tl2br w:val="nil"/>
              <w:tr2bl w:val="nil"/>
            </w:tcBorders>
            <w:shd w:val="clear" w:color="auto" w:fill="FFFFFF"/>
            <w:tcMar>
              <w:left w:w="115" w:type="dxa"/>
              <w:right w:w="115" w:type="dxa"/>
            </w:tcMar>
            <w:vAlign w:val="bottom"/>
          </w:tcPr>
          <w:p w14:paraId="75CADA7E" w14:textId="77777777" w:rsidR="003F0EEA" w:rsidRDefault="00FB7D0B">
            <w:pPr>
              <w:rPr>
                <w:rFonts w:ascii="Arial" w:eastAsia="Arial" w:hAnsi="Arial" w:cs="Arial"/>
                <w:color w:val="000000"/>
                <w:sz w:val="16"/>
              </w:rPr>
            </w:pPr>
            <w:r>
              <w:rPr>
                <w:rFonts w:ascii="Arial" w:eastAsia="Arial" w:hAnsi="Arial" w:cs="Arial"/>
                <w:color w:val="000000"/>
                <w:sz w:val="16"/>
              </w:rPr>
              <w:t xml:space="preserve">Military Death Claim </w:t>
            </w:r>
          </w:p>
        </w:tc>
        <w:tc>
          <w:tcPr>
            <w:tcW w:w="915" w:type="dxa"/>
            <w:tcBorders>
              <w:top w:val="single" w:sz="6" w:space="0" w:color="000000"/>
              <w:left w:val="nil"/>
              <w:bottom w:val="nil"/>
              <w:right w:val="nil"/>
              <w:tl2br w:val="nil"/>
              <w:tr2bl w:val="nil"/>
            </w:tcBorders>
            <w:shd w:val="clear" w:color="auto" w:fill="FFFFFF"/>
            <w:tcMar>
              <w:left w:w="115" w:type="dxa"/>
              <w:right w:w="115" w:type="dxa"/>
            </w:tcMar>
            <w:vAlign w:val="center"/>
          </w:tcPr>
          <w:p w14:paraId="022D072B" w14:textId="77777777" w:rsidR="003F0EEA" w:rsidRDefault="00FB7D0B">
            <w:pPr>
              <w:jc w:val="center"/>
              <w:rPr>
                <w:rFonts w:ascii="Arial" w:eastAsia="Arial" w:hAnsi="Arial" w:cs="Arial"/>
                <w:color w:val="000000"/>
                <w:sz w:val="16"/>
                <w:vertAlign w:val="superscript"/>
              </w:rPr>
            </w:pPr>
            <w:r>
              <w:rPr>
                <w:rFonts w:ascii="Arial" w:eastAsia="Arial" w:hAnsi="Arial" w:cs="Arial"/>
                <w:color w:val="000000"/>
                <w:sz w:val="16"/>
              </w:rPr>
              <w:t>1</w:t>
            </w:r>
          </w:p>
        </w:tc>
        <w:tc>
          <w:tcPr>
            <w:tcW w:w="1050" w:type="dxa"/>
            <w:tcBorders>
              <w:top w:val="single" w:sz="6" w:space="0" w:color="000000"/>
              <w:left w:val="nil"/>
              <w:bottom w:val="nil"/>
              <w:right w:val="nil"/>
              <w:tl2br w:val="nil"/>
              <w:tr2bl w:val="nil"/>
            </w:tcBorders>
            <w:shd w:val="clear" w:color="auto" w:fill="FFFFFF"/>
            <w:tcMar>
              <w:left w:w="115" w:type="dxa"/>
              <w:right w:w="115" w:type="dxa"/>
            </w:tcMar>
            <w:vAlign w:val="center"/>
          </w:tcPr>
          <w:p w14:paraId="1478A59C" w14:textId="77777777" w:rsidR="003F0EEA" w:rsidRDefault="00FB7D0B">
            <w:pPr>
              <w:jc w:val="right"/>
              <w:rPr>
                <w:rFonts w:ascii="Arial" w:eastAsia="Arial" w:hAnsi="Arial" w:cs="Arial"/>
                <w:color w:val="000000"/>
                <w:sz w:val="16"/>
              </w:rPr>
            </w:pPr>
            <w:r>
              <w:rPr>
                <w:rFonts w:ascii="Arial" w:eastAsia="Arial" w:hAnsi="Arial" w:cs="Arial"/>
                <w:b/>
                <w:color w:val="000000"/>
                <w:sz w:val="16"/>
              </w:rPr>
              <w:t xml:space="preserve"> 293 </w:t>
            </w:r>
          </w:p>
        </w:tc>
        <w:tc>
          <w:tcPr>
            <w:tcW w:w="1050" w:type="dxa"/>
            <w:tcBorders>
              <w:top w:val="single" w:sz="6" w:space="0" w:color="000000"/>
              <w:left w:val="nil"/>
              <w:bottom w:val="nil"/>
              <w:right w:val="nil"/>
              <w:tl2br w:val="nil"/>
              <w:tr2bl w:val="nil"/>
            </w:tcBorders>
            <w:shd w:val="clear" w:color="auto" w:fill="FFFF00"/>
            <w:tcMar>
              <w:left w:w="115" w:type="dxa"/>
              <w:right w:w="115" w:type="dxa"/>
            </w:tcMar>
            <w:vAlign w:val="center"/>
          </w:tcPr>
          <w:p w14:paraId="737612DC" w14:textId="77777777" w:rsidR="003F0EEA" w:rsidRDefault="00FB7D0B">
            <w:pPr>
              <w:jc w:val="right"/>
              <w:rPr>
                <w:rFonts w:ascii="Arial" w:eastAsia="Arial" w:hAnsi="Arial" w:cs="Arial"/>
                <w:b/>
                <w:color w:val="000000"/>
                <w:sz w:val="16"/>
              </w:rPr>
            </w:pPr>
            <w:r>
              <w:rPr>
                <w:rFonts w:ascii="Arial" w:eastAsia="Arial" w:hAnsi="Arial" w:cs="Arial"/>
                <w:b/>
                <w:color w:val="000000"/>
                <w:sz w:val="16"/>
              </w:rPr>
              <w:t xml:space="preserve"> 380 </w:t>
            </w:r>
          </w:p>
        </w:tc>
        <w:tc>
          <w:tcPr>
            <w:tcW w:w="1005" w:type="dxa"/>
            <w:tcBorders>
              <w:top w:val="single" w:sz="6" w:space="0" w:color="000000"/>
              <w:left w:val="nil"/>
              <w:bottom w:val="nil"/>
              <w:right w:val="nil"/>
              <w:tl2br w:val="nil"/>
              <w:tr2bl w:val="nil"/>
            </w:tcBorders>
            <w:shd w:val="clear" w:color="auto" w:fill="FFFF00"/>
            <w:tcMar>
              <w:left w:w="115" w:type="dxa"/>
              <w:right w:w="115" w:type="dxa"/>
            </w:tcMar>
            <w:vAlign w:val="center"/>
          </w:tcPr>
          <w:p w14:paraId="13BE73D1" w14:textId="77777777" w:rsidR="003F0EEA" w:rsidRDefault="00FB7D0B">
            <w:pPr>
              <w:jc w:val="right"/>
              <w:rPr>
                <w:rFonts w:ascii="Arial" w:eastAsia="Arial" w:hAnsi="Arial" w:cs="Arial"/>
                <w:b/>
                <w:color w:val="000000"/>
                <w:sz w:val="16"/>
              </w:rPr>
            </w:pPr>
            <w:r>
              <w:rPr>
                <w:rFonts w:ascii="Arial" w:eastAsia="Arial" w:hAnsi="Arial" w:cs="Arial"/>
                <w:b/>
                <w:color w:val="000000"/>
                <w:sz w:val="16"/>
              </w:rPr>
              <w:t xml:space="preserve"> 215 </w:t>
            </w:r>
          </w:p>
        </w:tc>
        <w:tc>
          <w:tcPr>
            <w:tcW w:w="1170" w:type="dxa"/>
            <w:tcBorders>
              <w:top w:val="single" w:sz="6" w:space="0" w:color="000000"/>
              <w:left w:val="nil"/>
              <w:bottom w:val="nil"/>
              <w:right w:val="nil"/>
              <w:tl2br w:val="nil"/>
              <w:tr2bl w:val="nil"/>
            </w:tcBorders>
            <w:shd w:val="clear" w:color="auto" w:fill="FFFF00"/>
            <w:tcMar>
              <w:left w:w="115" w:type="dxa"/>
              <w:right w:w="115" w:type="dxa"/>
            </w:tcMar>
            <w:vAlign w:val="center"/>
          </w:tcPr>
          <w:p w14:paraId="0C6DD000" w14:textId="77777777" w:rsidR="003F0EEA" w:rsidRDefault="00FB7D0B">
            <w:pPr>
              <w:jc w:val="right"/>
              <w:rPr>
                <w:rFonts w:ascii="Arial" w:eastAsia="Arial" w:hAnsi="Arial" w:cs="Arial"/>
                <w:b/>
                <w:color w:val="000000"/>
                <w:sz w:val="16"/>
              </w:rPr>
            </w:pPr>
            <w:r>
              <w:rPr>
                <w:rFonts w:ascii="Arial" w:eastAsia="Arial" w:hAnsi="Arial" w:cs="Arial"/>
                <w:b/>
                <w:color w:val="000000"/>
                <w:sz w:val="16"/>
              </w:rPr>
              <w:t xml:space="preserve"> - </w:t>
            </w:r>
          </w:p>
        </w:tc>
        <w:tc>
          <w:tcPr>
            <w:tcW w:w="1080" w:type="dxa"/>
            <w:tcBorders>
              <w:top w:val="single" w:sz="6" w:space="0" w:color="000000"/>
              <w:left w:val="nil"/>
              <w:bottom w:val="nil"/>
              <w:right w:val="nil"/>
              <w:tl2br w:val="nil"/>
              <w:tr2bl w:val="nil"/>
            </w:tcBorders>
            <w:shd w:val="clear" w:color="auto" w:fill="FFFF00"/>
            <w:tcMar>
              <w:left w:w="115" w:type="dxa"/>
              <w:right w:w="115" w:type="dxa"/>
            </w:tcMar>
            <w:vAlign w:val="center"/>
          </w:tcPr>
          <w:p w14:paraId="6BD156E1" w14:textId="77777777" w:rsidR="003F0EEA" w:rsidRDefault="00FB7D0B">
            <w:pPr>
              <w:jc w:val="right"/>
              <w:rPr>
                <w:rFonts w:ascii="Arial" w:eastAsia="Arial" w:hAnsi="Arial" w:cs="Arial"/>
                <w:b/>
                <w:color w:val="000000"/>
                <w:sz w:val="16"/>
              </w:rPr>
            </w:pPr>
            <w:r>
              <w:rPr>
                <w:rFonts w:ascii="Arial" w:eastAsia="Arial" w:hAnsi="Arial" w:cs="Arial"/>
                <w:b/>
                <w:color w:val="000000"/>
                <w:sz w:val="16"/>
              </w:rPr>
              <w:t xml:space="preserve"> 458 </w:t>
            </w:r>
          </w:p>
        </w:tc>
      </w:tr>
      <w:tr w:rsidR="00FB7D0B" w14:paraId="3FD0AD31" w14:textId="77777777" w:rsidTr="00FB7D0B">
        <w:trPr>
          <w:trHeight w:val="225"/>
        </w:trPr>
        <w:tc>
          <w:tcPr>
            <w:tcW w:w="2565" w:type="dxa"/>
            <w:gridSpan w:val="2"/>
            <w:vMerge w:val="restart"/>
            <w:tcBorders>
              <w:top w:val="nil"/>
              <w:left w:val="nil"/>
              <w:bottom w:val="nil"/>
              <w:right w:val="nil"/>
              <w:tl2br w:val="nil"/>
              <w:tr2bl w:val="nil"/>
            </w:tcBorders>
            <w:shd w:val="clear" w:color="auto" w:fill="FFFFFF"/>
            <w:tcMar>
              <w:left w:w="115" w:type="dxa"/>
              <w:right w:w="115" w:type="dxa"/>
            </w:tcMar>
            <w:vAlign w:val="bottom"/>
          </w:tcPr>
          <w:p w14:paraId="4736BB6B" w14:textId="77777777" w:rsidR="003F0EEA" w:rsidRDefault="00FB7D0B">
            <w:pPr>
              <w:rPr>
                <w:rFonts w:ascii="Arial" w:eastAsia="Arial" w:hAnsi="Arial" w:cs="Arial"/>
                <w:b/>
                <w:color w:val="000000"/>
                <w:sz w:val="16"/>
              </w:rPr>
            </w:pPr>
            <w:r>
              <w:rPr>
                <w:rFonts w:ascii="Arial" w:eastAsia="Arial" w:hAnsi="Arial" w:cs="Arial"/>
                <w:color w:val="000000"/>
                <w:sz w:val="16"/>
              </w:rPr>
              <w:t>Compensation Special</w:t>
            </w:r>
          </w:p>
        </w:tc>
        <w:tc>
          <w:tcPr>
            <w:tcW w:w="915" w:type="dxa"/>
            <w:tcBorders>
              <w:top w:val="nil"/>
              <w:left w:val="nil"/>
              <w:bottom w:val="nil"/>
              <w:right w:val="nil"/>
              <w:tl2br w:val="nil"/>
              <w:tr2bl w:val="nil"/>
            </w:tcBorders>
            <w:shd w:val="clear" w:color="auto" w:fill="FFFFFF"/>
            <w:tcMar>
              <w:left w:w="115" w:type="dxa"/>
              <w:right w:w="115" w:type="dxa"/>
            </w:tcMar>
            <w:vAlign w:val="center"/>
          </w:tcPr>
          <w:p w14:paraId="19C0E15F" w14:textId="77777777" w:rsidR="003F0EEA" w:rsidRDefault="003F0EEA">
            <w:pPr>
              <w:jc w:val="center"/>
              <w:rPr>
                <w:rFonts w:ascii="Arial" w:eastAsia="Arial" w:hAnsi="Arial" w:cs="Arial"/>
                <w:color w:val="000000"/>
                <w:sz w:val="16"/>
                <w:vertAlign w:val="superscript"/>
              </w:rPr>
            </w:pPr>
          </w:p>
        </w:tc>
        <w:tc>
          <w:tcPr>
            <w:tcW w:w="1050" w:type="dxa"/>
            <w:tcBorders>
              <w:top w:val="nil"/>
              <w:left w:val="nil"/>
              <w:bottom w:val="nil"/>
              <w:right w:val="nil"/>
              <w:tl2br w:val="nil"/>
              <w:tr2bl w:val="nil"/>
            </w:tcBorders>
            <w:shd w:val="clear" w:color="auto" w:fill="FFFFFF"/>
            <w:tcMar>
              <w:left w:w="115" w:type="dxa"/>
              <w:right w:w="115" w:type="dxa"/>
            </w:tcMar>
            <w:vAlign w:val="center"/>
          </w:tcPr>
          <w:p w14:paraId="1792C9C3" w14:textId="77777777" w:rsidR="003F0EEA" w:rsidRDefault="003F0EEA">
            <w:pPr>
              <w:rPr>
                <w:rFonts w:ascii="Arial" w:eastAsia="Arial" w:hAnsi="Arial" w:cs="Arial"/>
                <w:color w:val="000000"/>
                <w:sz w:val="16"/>
                <w:vertAlign w:val="superscript"/>
              </w:rPr>
            </w:pPr>
          </w:p>
        </w:tc>
        <w:tc>
          <w:tcPr>
            <w:tcW w:w="1050" w:type="dxa"/>
            <w:tcBorders>
              <w:top w:val="nil"/>
              <w:left w:val="nil"/>
              <w:bottom w:val="nil"/>
              <w:right w:val="nil"/>
              <w:tl2br w:val="nil"/>
              <w:tr2bl w:val="nil"/>
            </w:tcBorders>
            <w:shd w:val="clear" w:color="auto" w:fill="FFFF00"/>
            <w:tcMar>
              <w:left w:w="115" w:type="dxa"/>
              <w:right w:w="115" w:type="dxa"/>
            </w:tcMar>
            <w:vAlign w:val="center"/>
          </w:tcPr>
          <w:p w14:paraId="755305EB" w14:textId="77777777" w:rsidR="003F0EEA" w:rsidRDefault="003F0EEA">
            <w:pPr>
              <w:rPr>
                <w:rFonts w:ascii="Arial" w:eastAsia="Arial" w:hAnsi="Arial" w:cs="Arial"/>
                <w:i/>
                <w:color w:val="000000"/>
                <w:sz w:val="16"/>
                <w:vertAlign w:val="superscript"/>
              </w:rPr>
            </w:pPr>
          </w:p>
        </w:tc>
        <w:tc>
          <w:tcPr>
            <w:tcW w:w="1005" w:type="dxa"/>
            <w:tcBorders>
              <w:top w:val="nil"/>
              <w:left w:val="nil"/>
              <w:bottom w:val="nil"/>
              <w:right w:val="nil"/>
              <w:tl2br w:val="nil"/>
              <w:tr2bl w:val="nil"/>
            </w:tcBorders>
            <w:shd w:val="clear" w:color="auto" w:fill="FFFF00"/>
            <w:tcMar>
              <w:left w:w="115" w:type="dxa"/>
              <w:right w:w="115" w:type="dxa"/>
            </w:tcMar>
            <w:vAlign w:val="center"/>
          </w:tcPr>
          <w:p w14:paraId="0D16FE89" w14:textId="77777777" w:rsidR="003F0EEA" w:rsidRDefault="003F0EEA">
            <w:pPr>
              <w:rPr>
                <w:rFonts w:ascii="Arial" w:eastAsia="Arial" w:hAnsi="Arial" w:cs="Arial"/>
                <w:i/>
                <w:color w:val="000000"/>
                <w:sz w:val="16"/>
                <w:vertAlign w:val="superscript"/>
              </w:rPr>
            </w:pPr>
          </w:p>
        </w:tc>
        <w:tc>
          <w:tcPr>
            <w:tcW w:w="1170" w:type="dxa"/>
            <w:tcBorders>
              <w:top w:val="nil"/>
              <w:left w:val="nil"/>
              <w:bottom w:val="nil"/>
              <w:right w:val="nil"/>
              <w:tl2br w:val="nil"/>
              <w:tr2bl w:val="nil"/>
            </w:tcBorders>
            <w:shd w:val="clear" w:color="auto" w:fill="FFFF00"/>
            <w:tcMar>
              <w:left w:w="115" w:type="dxa"/>
              <w:right w:w="115" w:type="dxa"/>
            </w:tcMar>
            <w:vAlign w:val="center"/>
          </w:tcPr>
          <w:p w14:paraId="462F927B" w14:textId="77777777" w:rsidR="003F0EEA" w:rsidRDefault="003F0EEA">
            <w:pPr>
              <w:rPr>
                <w:rFonts w:ascii="Arial" w:eastAsia="Arial" w:hAnsi="Arial" w:cs="Arial"/>
                <w:i/>
                <w:color w:val="000000"/>
                <w:sz w:val="16"/>
                <w:vertAlign w:val="superscript"/>
              </w:rPr>
            </w:pPr>
          </w:p>
        </w:tc>
        <w:tc>
          <w:tcPr>
            <w:tcW w:w="1080" w:type="dxa"/>
            <w:tcBorders>
              <w:top w:val="nil"/>
              <w:left w:val="nil"/>
              <w:bottom w:val="nil"/>
              <w:right w:val="nil"/>
              <w:tl2br w:val="nil"/>
              <w:tr2bl w:val="nil"/>
            </w:tcBorders>
            <w:shd w:val="clear" w:color="auto" w:fill="FFFF00"/>
            <w:tcMar>
              <w:left w:w="115" w:type="dxa"/>
              <w:right w:w="115" w:type="dxa"/>
            </w:tcMar>
            <w:vAlign w:val="center"/>
          </w:tcPr>
          <w:p w14:paraId="2A1341D1" w14:textId="77777777" w:rsidR="003F0EEA" w:rsidRDefault="003F0EEA">
            <w:pPr>
              <w:rPr>
                <w:rFonts w:ascii="Arial" w:eastAsia="Arial" w:hAnsi="Arial" w:cs="Arial"/>
                <w:i/>
                <w:color w:val="000000"/>
                <w:sz w:val="16"/>
                <w:vertAlign w:val="superscript"/>
              </w:rPr>
            </w:pPr>
          </w:p>
        </w:tc>
      </w:tr>
      <w:tr w:rsidR="00FB7D0B" w14:paraId="3C5AF1F6" w14:textId="77777777" w:rsidTr="00FB7D0B">
        <w:trPr>
          <w:trHeight w:val="225"/>
        </w:trPr>
        <w:tc>
          <w:tcPr>
            <w:tcW w:w="2565" w:type="dxa"/>
            <w:gridSpan w:val="2"/>
            <w:vMerge w:val="restart"/>
            <w:tcBorders>
              <w:top w:val="nil"/>
              <w:left w:val="nil"/>
              <w:bottom w:val="single" w:sz="6" w:space="0" w:color="000000"/>
              <w:right w:val="nil"/>
              <w:tl2br w:val="nil"/>
              <w:tr2bl w:val="nil"/>
            </w:tcBorders>
            <w:shd w:val="clear" w:color="auto" w:fill="FFFFFF"/>
            <w:tcMar>
              <w:left w:w="115" w:type="dxa"/>
              <w:right w:w="115" w:type="dxa"/>
            </w:tcMar>
            <w:vAlign w:val="bottom"/>
          </w:tcPr>
          <w:p w14:paraId="43910878" w14:textId="77777777" w:rsidR="003F0EEA" w:rsidRDefault="00FB7D0B">
            <w:pPr>
              <w:rPr>
                <w:rFonts w:ascii="Arial" w:eastAsia="Arial" w:hAnsi="Arial" w:cs="Arial"/>
                <w:i/>
                <w:color w:val="000000"/>
                <w:sz w:val="16"/>
                <w:vertAlign w:val="superscript"/>
              </w:rPr>
            </w:pPr>
            <w:r>
              <w:rPr>
                <w:rFonts w:ascii="Arial" w:eastAsia="Arial" w:hAnsi="Arial" w:cs="Arial"/>
                <w:color w:val="000000"/>
                <w:sz w:val="16"/>
              </w:rPr>
              <w:t>Account (A)</w:t>
            </w:r>
          </w:p>
        </w:tc>
        <w:tc>
          <w:tcPr>
            <w:tcW w:w="915" w:type="dxa"/>
            <w:tcBorders>
              <w:top w:val="nil"/>
              <w:left w:val="nil"/>
              <w:bottom w:val="single" w:sz="6" w:space="0" w:color="000000"/>
              <w:right w:val="nil"/>
              <w:tl2br w:val="nil"/>
              <w:tr2bl w:val="nil"/>
            </w:tcBorders>
            <w:shd w:val="clear" w:color="auto" w:fill="FFFFFF"/>
            <w:tcMar>
              <w:left w:w="115" w:type="dxa"/>
              <w:right w:w="115" w:type="dxa"/>
            </w:tcMar>
            <w:vAlign w:val="center"/>
          </w:tcPr>
          <w:p w14:paraId="2DFEAB00" w14:textId="77777777" w:rsidR="003F0EEA" w:rsidRDefault="003F0EEA">
            <w:pPr>
              <w:jc w:val="center"/>
              <w:rPr>
                <w:rFonts w:ascii="Arial" w:eastAsia="Arial" w:hAnsi="Arial" w:cs="Arial"/>
                <w:color w:val="000000"/>
                <w:sz w:val="16"/>
                <w:vertAlign w:val="superscript"/>
              </w:rPr>
            </w:pPr>
          </w:p>
        </w:tc>
        <w:tc>
          <w:tcPr>
            <w:tcW w:w="1050" w:type="dxa"/>
            <w:tcBorders>
              <w:top w:val="nil"/>
              <w:left w:val="nil"/>
              <w:bottom w:val="single" w:sz="6" w:space="0" w:color="000000"/>
              <w:right w:val="nil"/>
              <w:tl2br w:val="nil"/>
              <w:tr2bl w:val="nil"/>
            </w:tcBorders>
            <w:shd w:val="clear" w:color="auto" w:fill="FFFFFF"/>
            <w:tcMar>
              <w:left w:w="115" w:type="dxa"/>
              <w:right w:w="115" w:type="dxa"/>
            </w:tcMar>
            <w:vAlign w:val="center"/>
          </w:tcPr>
          <w:p w14:paraId="1DF2FCD0" w14:textId="77777777" w:rsidR="003F0EEA" w:rsidRDefault="00FB7D0B">
            <w:pPr>
              <w:jc w:val="right"/>
              <w:rPr>
                <w:rFonts w:ascii="Arial" w:eastAsia="Arial" w:hAnsi="Arial" w:cs="Arial"/>
                <w:i/>
                <w:color w:val="000000"/>
                <w:sz w:val="16"/>
                <w:vertAlign w:val="superscript"/>
              </w:rPr>
            </w:pPr>
            <w:r>
              <w:rPr>
                <w:rFonts w:ascii="Arial" w:eastAsia="Arial" w:hAnsi="Arial" w:cs="Arial"/>
                <w:i/>
                <w:color w:val="000000"/>
                <w:sz w:val="16"/>
              </w:rPr>
              <w:t xml:space="preserve"> 533 </w:t>
            </w:r>
          </w:p>
        </w:tc>
        <w:tc>
          <w:tcPr>
            <w:tcW w:w="1050" w:type="dxa"/>
            <w:tcBorders>
              <w:top w:val="nil"/>
              <w:left w:val="nil"/>
              <w:bottom w:val="single" w:sz="6" w:space="0" w:color="000000"/>
              <w:right w:val="nil"/>
              <w:tl2br w:val="nil"/>
              <w:tr2bl w:val="nil"/>
            </w:tcBorders>
            <w:shd w:val="clear" w:color="auto" w:fill="FFFF00"/>
            <w:tcMar>
              <w:left w:w="115" w:type="dxa"/>
              <w:right w:w="115" w:type="dxa"/>
            </w:tcMar>
            <w:vAlign w:val="center"/>
          </w:tcPr>
          <w:p w14:paraId="0DD97AED" w14:textId="77777777" w:rsidR="003F0EEA" w:rsidRDefault="00FB7D0B">
            <w:pPr>
              <w:jc w:val="right"/>
              <w:rPr>
                <w:rFonts w:ascii="Arial" w:eastAsia="Arial" w:hAnsi="Arial" w:cs="Arial"/>
                <w:i/>
                <w:color w:val="000000"/>
                <w:sz w:val="16"/>
              </w:rPr>
            </w:pPr>
            <w:r>
              <w:rPr>
                <w:rFonts w:ascii="Arial" w:eastAsia="Arial" w:hAnsi="Arial" w:cs="Arial"/>
                <w:i/>
                <w:color w:val="000000"/>
                <w:sz w:val="16"/>
              </w:rPr>
              <w:t xml:space="preserve"> 540 </w:t>
            </w:r>
          </w:p>
        </w:tc>
        <w:tc>
          <w:tcPr>
            <w:tcW w:w="1005" w:type="dxa"/>
            <w:tcBorders>
              <w:top w:val="nil"/>
              <w:left w:val="nil"/>
              <w:bottom w:val="single" w:sz="6" w:space="0" w:color="000000"/>
              <w:right w:val="nil"/>
              <w:tl2br w:val="nil"/>
              <w:tr2bl w:val="nil"/>
            </w:tcBorders>
            <w:shd w:val="clear" w:color="auto" w:fill="FFFF00"/>
            <w:tcMar>
              <w:left w:w="115" w:type="dxa"/>
              <w:right w:w="115" w:type="dxa"/>
            </w:tcMar>
            <w:vAlign w:val="center"/>
          </w:tcPr>
          <w:p w14:paraId="6B4D94E3" w14:textId="77777777" w:rsidR="003F0EEA" w:rsidRDefault="00FB7D0B">
            <w:pPr>
              <w:jc w:val="right"/>
              <w:rPr>
                <w:rFonts w:ascii="Arial" w:eastAsia="Arial" w:hAnsi="Arial" w:cs="Arial"/>
                <w:i/>
                <w:color w:val="000000"/>
                <w:sz w:val="16"/>
              </w:rPr>
            </w:pPr>
            <w:r>
              <w:rPr>
                <w:rFonts w:ascii="Arial" w:eastAsia="Arial" w:hAnsi="Arial" w:cs="Arial"/>
                <w:i/>
                <w:color w:val="000000"/>
                <w:sz w:val="16"/>
              </w:rPr>
              <w:t xml:space="preserve"> 780 </w:t>
            </w:r>
          </w:p>
        </w:tc>
        <w:tc>
          <w:tcPr>
            <w:tcW w:w="1170" w:type="dxa"/>
            <w:tcBorders>
              <w:top w:val="nil"/>
              <w:left w:val="nil"/>
              <w:bottom w:val="single" w:sz="6" w:space="0" w:color="000000"/>
              <w:right w:val="nil"/>
              <w:tl2br w:val="nil"/>
              <w:tr2bl w:val="nil"/>
            </w:tcBorders>
            <w:shd w:val="clear" w:color="auto" w:fill="FFFF00"/>
            <w:tcMar>
              <w:left w:w="115" w:type="dxa"/>
              <w:right w:w="115" w:type="dxa"/>
            </w:tcMar>
            <w:vAlign w:val="center"/>
          </w:tcPr>
          <w:p w14:paraId="1A55AA8C" w14:textId="77777777" w:rsidR="003F0EEA" w:rsidRDefault="00FB7D0B">
            <w:pPr>
              <w:jc w:val="right"/>
              <w:rPr>
                <w:rFonts w:ascii="Arial" w:eastAsia="Arial" w:hAnsi="Arial" w:cs="Arial"/>
                <w:i/>
                <w:color w:val="000000"/>
                <w:sz w:val="16"/>
              </w:rPr>
            </w:pPr>
            <w:r>
              <w:rPr>
                <w:rFonts w:ascii="Arial" w:eastAsia="Arial" w:hAnsi="Arial" w:cs="Arial"/>
                <w:i/>
                <w:color w:val="000000"/>
                <w:sz w:val="16"/>
              </w:rPr>
              <w:t xml:space="preserve"> - </w:t>
            </w:r>
          </w:p>
        </w:tc>
        <w:tc>
          <w:tcPr>
            <w:tcW w:w="1080" w:type="dxa"/>
            <w:tcBorders>
              <w:top w:val="nil"/>
              <w:left w:val="nil"/>
              <w:bottom w:val="single" w:sz="6" w:space="0" w:color="000000"/>
              <w:right w:val="nil"/>
              <w:tl2br w:val="nil"/>
              <w:tr2bl w:val="nil"/>
            </w:tcBorders>
            <w:shd w:val="clear" w:color="auto" w:fill="FFFF00"/>
            <w:tcMar>
              <w:left w:w="115" w:type="dxa"/>
              <w:right w:w="115" w:type="dxa"/>
            </w:tcMar>
            <w:vAlign w:val="center"/>
          </w:tcPr>
          <w:p w14:paraId="637C8DDB" w14:textId="77777777" w:rsidR="003F0EEA" w:rsidRDefault="00FB7D0B">
            <w:pPr>
              <w:jc w:val="right"/>
              <w:rPr>
                <w:rFonts w:ascii="Arial" w:eastAsia="Arial" w:hAnsi="Arial" w:cs="Arial"/>
                <w:i/>
                <w:color w:val="000000"/>
                <w:sz w:val="16"/>
              </w:rPr>
            </w:pPr>
            <w:r>
              <w:rPr>
                <w:rFonts w:ascii="Arial" w:eastAsia="Arial" w:hAnsi="Arial" w:cs="Arial"/>
                <w:i/>
                <w:color w:val="000000"/>
                <w:sz w:val="16"/>
              </w:rPr>
              <w:t xml:space="preserve"> 293 </w:t>
            </w:r>
          </w:p>
        </w:tc>
      </w:tr>
      <w:tr w:rsidR="00FB7D0B" w14:paraId="7D555BDE" w14:textId="77777777" w:rsidTr="00FB7D0B">
        <w:trPr>
          <w:trHeight w:val="225"/>
        </w:trPr>
        <w:tc>
          <w:tcPr>
            <w:tcW w:w="2565" w:type="dxa"/>
            <w:gridSpan w:val="2"/>
            <w:vMerge w:val="restart"/>
            <w:tcBorders>
              <w:top w:val="single" w:sz="6" w:space="0" w:color="000000"/>
              <w:left w:val="nil"/>
              <w:bottom w:val="nil"/>
              <w:right w:val="nil"/>
              <w:tl2br w:val="nil"/>
              <w:tr2bl w:val="nil"/>
            </w:tcBorders>
            <w:shd w:val="clear" w:color="auto" w:fill="FFFFFF"/>
            <w:tcMar>
              <w:left w:w="115" w:type="dxa"/>
              <w:right w:w="115" w:type="dxa"/>
            </w:tcMar>
            <w:vAlign w:val="bottom"/>
          </w:tcPr>
          <w:p w14:paraId="08013753" w14:textId="77777777" w:rsidR="003F0EEA" w:rsidRDefault="00FB7D0B">
            <w:pPr>
              <w:rPr>
                <w:rFonts w:ascii="Arial" w:eastAsia="Arial" w:hAnsi="Arial" w:cs="Arial"/>
                <w:i/>
                <w:color w:val="000000"/>
                <w:sz w:val="16"/>
              </w:rPr>
            </w:pPr>
            <w:r>
              <w:rPr>
                <w:rFonts w:ascii="Arial" w:eastAsia="Arial" w:hAnsi="Arial" w:cs="Arial"/>
                <w:color w:val="000000"/>
                <w:sz w:val="16"/>
              </w:rPr>
              <w:t>Defence Service Homes</w:t>
            </w:r>
          </w:p>
        </w:tc>
        <w:tc>
          <w:tcPr>
            <w:tcW w:w="915" w:type="dxa"/>
            <w:tcBorders>
              <w:top w:val="single" w:sz="6" w:space="0" w:color="000000"/>
              <w:left w:val="nil"/>
              <w:bottom w:val="nil"/>
              <w:right w:val="nil"/>
              <w:tl2br w:val="nil"/>
              <w:tr2bl w:val="nil"/>
            </w:tcBorders>
            <w:shd w:val="clear" w:color="auto" w:fill="FFFFFF"/>
            <w:tcMar>
              <w:left w:w="115" w:type="dxa"/>
              <w:right w:w="115" w:type="dxa"/>
            </w:tcMar>
            <w:vAlign w:val="center"/>
          </w:tcPr>
          <w:p w14:paraId="31B40D2C" w14:textId="77777777" w:rsidR="003F0EEA" w:rsidRDefault="00FB7D0B">
            <w:pPr>
              <w:jc w:val="center"/>
              <w:rPr>
                <w:rFonts w:ascii="Arial" w:eastAsia="Arial" w:hAnsi="Arial" w:cs="Arial"/>
                <w:color w:val="000000"/>
                <w:sz w:val="16"/>
                <w:vertAlign w:val="superscript"/>
              </w:rPr>
            </w:pPr>
            <w:r>
              <w:rPr>
                <w:rFonts w:ascii="Arial" w:eastAsia="Arial" w:hAnsi="Arial" w:cs="Arial"/>
                <w:color w:val="000000"/>
                <w:sz w:val="16"/>
              </w:rPr>
              <w:t>1</w:t>
            </w:r>
          </w:p>
        </w:tc>
        <w:tc>
          <w:tcPr>
            <w:tcW w:w="1050" w:type="dxa"/>
            <w:tcBorders>
              <w:top w:val="single" w:sz="6" w:space="0" w:color="000000"/>
              <w:left w:val="nil"/>
              <w:bottom w:val="nil"/>
              <w:right w:val="nil"/>
              <w:tl2br w:val="nil"/>
              <w:tr2bl w:val="nil"/>
            </w:tcBorders>
            <w:shd w:val="clear" w:color="auto" w:fill="FFFFFF"/>
            <w:tcMar>
              <w:left w:w="115" w:type="dxa"/>
              <w:right w:w="115" w:type="dxa"/>
            </w:tcMar>
            <w:vAlign w:val="center"/>
          </w:tcPr>
          <w:p w14:paraId="636A164B" w14:textId="77777777" w:rsidR="003F0EEA" w:rsidRDefault="00FB7D0B">
            <w:pPr>
              <w:jc w:val="right"/>
              <w:rPr>
                <w:rFonts w:ascii="Arial" w:eastAsia="Arial" w:hAnsi="Arial" w:cs="Arial"/>
                <w:color w:val="000000"/>
                <w:sz w:val="16"/>
              </w:rPr>
            </w:pPr>
            <w:r>
              <w:rPr>
                <w:rFonts w:ascii="Arial" w:eastAsia="Arial" w:hAnsi="Arial" w:cs="Arial"/>
                <w:b/>
                <w:color w:val="000000"/>
                <w:sz w:val="16"/>
              </w:rPr>
              <w:t xml:space="preserve"> 1,094 </w:t>
            </w:r>
          </w:p>
        </w:tc>
        <w:tc>
          <w:tcPr>
            <w:tcW w:w="1050" w:type="dxa"/>
            <w:tcBorders>
              <w:top w:val="single" w:sz="6" w:space="0" w:color="000000"/>
              <w:left w:val="nil"/>
              <w:bottom w:val="nil"/>
              <w:right w:val="nil"/>
              <w:tl2br w:val="nil"/>
              <w:tr2bl w:val="nil"/>
            </w:tcBorders>
            <w:shd w:val="clear" w:color="auto" w:fill="FFFF00"/>
            <w:tcMar>
              <w:left w:w="115" w:type="dxa"/>
              <w:right w:w="115" w:type="dxa"/>
            </w:tcMar>
            <w:vAlign w:val="center"/>
          </w:tcPr>
          <w:p w14:paraId="77E615C2" w14:textId="77777777" w:rsidR="003F0EEA" w:rsidRDefault="00FB7D0B">
            <w:pPr>
              <w:jc w:val="right"/>
              <w:rPr>
                <w:rFonts w:ascii="Arial" w:eastAsia="Arial" w:hAnsi="Arial" w:cs="Arial"/>
                <w:b/>
                <w:color w:val="000000"/>
                <w:sz w:val="16"/>
              </w:rPr>
            </w:pPr>
            <w:r>
              <w:rPr>
                <w:rFonts w:ascii="Arial" w:eastAsia="Arial" w:hAnsi="Arial" w:cs="Arial"/>
                <w:b/>
                <w:color w:val="000000"/>
                <w:sz w:val="16"/>
              </w:rPr>
              <w:t xml:space="preserve"> 46,690 </w:t>
            </w:r>
          </w:p>
        </w:tc>
        <w:tc>
          <w:tcPr>
            <w:tcW w:w="1005" w:type="dxa"/>
            <w:tcBorders>
              <w:top w:val="single" w:sz="6" w:space="0" w:color="000000"/>
              <w:left w:val="nil"/>
              <w:bottom w:val="nil"/>
              <w:right w:val="nil"/>
              <w:tl2br w:val="nil"/>
              <w:tr2bl w:val="nil"/>
            </w:tcBorders>
            <w:shd w:val="clear" w:color="auto" w:fill="FFFF00"/>
            <w:tcMar>
              <w:left w:w="115" w:type="dxa"/>
              <w:right w:w="115" w:type="dxa"/>
            </w:tcMar>
            <w:vAlign w:val="center"/>
          </w:tcPr>
          <w:p w14:paraId="50DD9D80" w14:textId="77777777" w:rsidR="003F0EEA" w:rsidRDefault="00FB7D0B">
            <w:pPr>
              <w:jc w:val="right"/>
              <w:rPr>
                <w:rFonts w:ascii="Arial" w:eastAsia="Arial" w:hAnsi="Arial" w:cs="Arial"/>
                <w:b/>
                <w:color w:val="000000"/>
                <w:sz w:val="16"/>
              </w:rPr>
            </w:pPr>
            <w:r>
              <w:rPr>
                <w:rFonts w:ascii="Arial" w:eastAsia="Arial" w:hAnsi="Arial" w:cs="Arial"/>
                <w:b/>
                <w:color w:val="000000"/>
                <w:sz w:val="16"/>
              </w:rPr>
              <w:t xml:space="preserve"> 46,731 </w:t>
            </w:r>
          </w:p>
        </w:tc>
        <w:tc>
          <w:tcPr>
            <w:tcW w:w="1170" w:type="dxa"/>
            <w:tcBorders>
              <w:top w:val="single" w:sz="6" w:space="0" w:color="000000"/>
              <w:left w:val="nil"/>
              <w:bottom w:val="nil"/>
              <w:right w:val="nil"/>
              <w:tl2br w:val="nil"/>
              <w:tr2bl w:val="nil"/>
            </w:tcBorders>
            <w:shd w:val="clear" w:color="auto" w:fill="FFFF00"/>
            <w:tcMar>
              <w:left w:w="115" w:type="dxa"/>
              <w:right w:w="115" w:type="dxa"/>
            </w:tcMar>
            <w:vAlign w:val="center"/>
          </w:tcPr>
          <w:p w14:paraId="60F0123D" w14:textId="77777777" w:rsidR="003F0EEA" w:rsidRDefault="00FB7D0B">
            <w:pPr>
              <w:jc w:val="right"/>
              <w:rPr>
                <w:rFonts w:ascii="Arial" w:eastAsia="Arial" w:hAnsi="Arial" w:cs="Arial"/>
                <w:b/>
                <w:color w:val="000000"/>
                <w:sz w:val="16"/>
              </w:rPr>
            </w:pPr>
            <w:r>
              <w:rPr>
                <w:rFonts w:ascii="Arial" w:eastAsia="Arial" w:hAnsi="Arial" w:cs="Arial"/>
                <w:b/>
                <w:color w:val="000000"/>
                <w:sz w:val="16"/>
              </w:rPr>
              <w:t xml:space="preserve"> - </w:t>
            </w:r>
          </w:p>
        </w:tc>
        <w:tc>
          <w:tcPr>
            <w:tcW w:w="1080" w:type="dxa"/>
            <w:tcBorders>
              <w:top w:val="single" w:sz="6" w:space="0" w:color="000000"/>
              <w:left w:val="nil"/>
              <w:bottom w:val="nil"/>
              <w:right w:val="nil"/>
              <w:tl2br w:val="nil"/>
              <w:tr2bl w:val="nil"/>
            </w:tcBorders>
            <w:shd w:val="clear" w:color="auto" w:fill="FFFF00"/>
            <w:tcMar>
              <w:left w:w="115" w:type="dxa"/>
              <w:right w:w="115" w:type="dxa"/>
            </w:tcMar>
            <w:vAlign w:val="center"/>
          </w:tcPr>
          <w:p w14:paraId="74F886B9" w14:textId="77777777" w:rsidR="003F0EEA" w:rsidRDefault="00FB7D0B">
            <w:pPr>
              <w:jc w:val="right"/>
              <w:rPr>
                <w:rFonts w:ascii="Arial" w:eastAsia="Arial" w:hAnsi="Arial" w:cs="Arial"/>
                <w:b/>
                <w:color w:val="000000"/>
                <w:sz w:val="16"/>
              </w:rPr>
            </w:pPr>
            <w:r>
              <w:rPr>
                <w:rFonts w:ascii="Arial" w:eastAsia="Arial" w:hAnsi="Arial" w:cs="Arial"/>
                <w:b/>
                <w:color w:val="000000"/>
                <w:sz w:val="16"/>
              </w:rPr>
              <w:t xml:space="preserve"> 1,053 </w:t>
            </w:r>
          </w:p>
        </w:tc>
      </w:tr>
      <w:tr w:rsidR="00FB7D0B" w14:paraId="18C495AD" w14:textId="77777777" w:rsidTr="00FB7D0B">
        <w:trPr>
          <w:trHeight w:val="225"/>
        </w:trPr>
        <w:tc>
          <w:tcPr>
            <w:tcW w:w="2565" w:type="dxa"/>
            <w:gridSpan w:val="2"/>
            <w:vMerge w:val="restart"/>
            <w:tcBorders>
              <w:top w:val="nil"/>
              <w:left w:val="nil"/>
              <w:bottom w:val="single" w:sz="6" w:space="0" w:color="000000"/>
              <w:right w:val="nil"/>
              <w:tl2br w:val="nil"/>
              <w:tr2bl w:val="nil"/>
            </w:tcBorders>
            <w:shd w:val="clear" w:color="auto" w:fill="FFFFFF"/>
            <w:tcMar>
              <w:left w:w="115" w:type="dxa"/>
              <w:right w:w="115" w:type="dxa"/>
            </w:tcMar>
            <w:vAlign w:val="bottom"/>
          </w:tcPr>
          <w:p w14:paraId="4EB24CCF" w14:textId="77777777" w:rsidR="003F0EEA" w:rsidRDefault="00FB7D0B">
            <w:pPr>
              <w:rPr>
                <w:rFonts w:ascii="Arial" w:eastAsia="Arial" w:hAnsi="Arial" w:cs="Arial"/>
                <w:b/>
                <w:color w:val="000000"/>
                <w:sz w:val="16"/>
              </w:rPr>
            </w:pPr>
            <w:r>
              <w:rPr>
                <w:rFonts w:ascii="Arial" w:eastAsia="Arial" w:hAnsi="Arial" w:cs="Arial"/>
                <w:color w:val="000000"/>
                <w:sz w:val="16"/>
              </w:rPr>
              <w:t>Insurance Account (D)</w:t>
            </w:r>
          </w:p>
        </w:tc>
        <w:tc>
          <w:tcPr>
            <w:tcW w:w="915" w:type="dxa"/>
            <w:tcBorders>
              <w:top w:val="nil"/>
              <w:left w:val="nil"/>
              <w:bottom w:val="single" w:sz="6" w:space="0" w:color="000000"/>
              <w:right w:val="nil"/>
              <w:tl2br w:val="nil"/>
              <w:tr2bl w:val="nil"/>
            </w:tcBorders>
            <w:shd w:val="clear" w:color="auto" w:fill="FFFFFF"/>
            <w:tcMar>
              <w:left w:w="115" w:type="dxa"/>
              <w:right w:w="115" w:type="dxa"/>
            </w:tcMar>
            <w:vAlign w:val="center"/>
          </w:tcPr>
          <w:p w14:paraId="2939701A" w14:textId="77777777" w:rsidR="003F0EEA" w:rsidRDefault="003F0EEA">
            <w:pPr>
              <w:jc w:val="center"/>
              <w:rPr>
                <w:rFonts w:ascii="Arial" w:eastAsia="Arial" w:hAnsi="Arial" w:cs="Arial"/>
                <w:color w:val="000000"/>
                <w:sz w:val="16"/>
                <w:vertAlign w:val="superscript"/>
              </w:rPr>
            </w:pPr>
          </w:p>
        </w:tc>
        <w:tc>
          <w:tcPr>
            <w:tcW w:w="1050" w:type="dxa"/>
            <w:tcBorders>
              <w:top w:val="nil"/>
              <w:left w:val="nil"/>
              <w:bottom w:val="single" w:sz="6" w:space="0" w:color="000000"/>
              <w:right w:val="nil"/>
              <w:tl2br w:val="nil"/>
              <w:tr2bl w:val="nil"/>
            </w:tcBorders>
            <w:shd w:val="clear" w:color="auto" w:fill="FFFFFF"/>
            <w:tcMar>
              <w:left w:w="115" w:type="dxa"/>
              <w:right w:w="115" w:type="dxa"/>
            </w:tcMar>
            <w:vAlign w:val="center"/>
          </w:tcPr>
          <w:p w14:paraId="1B8E5330" w14:textId="77777777" w:rsidR="003F0EEA" w:rsidRDefault="00FB7D0B">
            <w:pPr>
              <w:jc w:val="right"/>
              <w:rPr>
                <w:rFonts w:ascii="Arial" w:eastAsia="Arial" w:hAnsi="Arial" w:cs="Arial"/>
                <w:color w:val="000000"/>
                <w:sz w:val="16"/>
                <w:vertAlign w:val="superscript"/>
              </w:rPr>
            </w:pPr>
            <w:r>
              <w:rPr>
                <w:rFonts w:ascii="Arial" w:eastAsia="Arial" w:hAnsi="Arial" w:cs="Arial"/>
                <w:i/>
                <w:color w:val="000000"/>
                <w:sz w:val="16"/>
              </w:rPr>
              <w:t xml:space="preserve"> 1,875 </w:t>
            </w:r>
          </w:p>
        </w:tc>
        <w:tc>
          <w:tcPr>
            <w:tcW w:w="1050" w:type="dxa"/>
            <w:tcBorders>
              <w:top w:val="nil"/>
              <w:left w:val="nil"/>
              <w:bottom w:val="single" w:sz="6" w:space="0" w:color="000000"/>
              <w:right w:val="nil"/>
              <w:tl2br w:val="nil"/>
              <w:tr2bl w:val="nil"/>
            </w:tcBorders>
            <w:shd w:val="clear" w:color="auto" w:fill="FFFF00"/>
            <w:tcMar>
              <w:left w:w="115" w:type="dxa"/>
              <w:right w:w="115" w:type="dxa"/>
            </w:tcMar>
            <w:vAlign w:val="center"/>
          </w:tcPr>
          <w:p w14:paraId="3E1A25B0" w14:textId="77777777" w:rsidR="003F0EEA" w:rsidRDefault="00FB7D0B">
            <w:pPr>
              <w:jc w:val="right"/>
              <w:rPr>
                <w:rFonts w:ascii="Arial" w:eastAsia="Arial" w:hAnsi="Arial" w:cs="Arial"/>
                <w:i/>
                <w:color w:val="000000"/>
                <w:sz w:val="16"/>
              </w:rPr>
            </w:pPr>
            <w:r>
              <w:rPr>
                <w:rFonts w:ascii="Arial" w:eastAsia="Arial" w:hAnsi="Arial" w:cs="Arial"/>
                <w:i/>
                <w:color w:val="000000"/>
                <w:sz w:val="16"/>
              </w:rPr>
              <w:t xml:space="preserve"> 43,900 </w:t>
            </w:r>
          </w:p>
        </w:tc>
        <w:tc>
          <w:tcPr>
            <w:tcW w:w="1005" w:type="dxa"/>
            <w:tcBorders>
              <w:top w:val="nil"/>
              <w:left w:val="nil"/>
              <w:bottom w:val="single" w:sz="6" w:space="0" w:color="000000"/>
              <w:right w:val="nil"/>
              <w:tl2br w:val="nil"/>
              <w:tr2bl w:val="nil"/>
            </w:tcBorders>
            <w:shd w:val="clear" w:color="auto" w:fill="FFFF00"/>
            <w:tcMar>
              <w:left w:w="115" w:type="dxa"/>
              <w:right w:w="115" w:type="dxa"/>
            </w:tcMar>
            <w:vAlign w:val="center"/>
          </w:tcPr>
          <w:p w14:paraId="0C24B532" w14:textId="77777777" w:rsidR="003F0EEA" w:rsidRDefault="00FB7D0B">
            <w:pPr>
              <w:jc w:val="right"/>
              <w:rPr>
                <w:rFonts w:ascii="Arial" w:eastAsia="Arial" w:hAnsi="Arial" w:cs="Arial"/>
                <w:i/>
                <w:color w:val="000000"/>
                <w:sz w:val="16"/>
              </w:rPr>
            </w:pPr>
            <w:r>
              <w:rPr>
                <w:rFonts w:ascii="Arial" w:eastAsia="Arial" w:hAnsi="Arial" w:cs="Arial"/>
                <w:i/>
                <w:color w:val="000000"/>
                <w:sz w:val="16"/>
              </w:rPr>
              <w:t xml:space="preserve"> 44,681 </w:t>
            </w:r>
          </w:p>
        </w:tc>
        <w:tc>
          <w:tcPr>
            <w:tcW w:w="1170" w:type="dxa"/>
            <w:tcBorders>
              <w:top w:val="nil"/>
              <w:left w:val="nil"/>
              <w:bottom w:val="single" w:sz="6" w:space="0" w:color="000000"/>
              <w:right w:val="nil"/>
              <w:tl2br w:val="nil"/>
              <w:tr2bl w:val="nil"/>
            </w:tcBorders>
            <w:shd w:val="clear" w:color="auto" w:fill="FFFF00"/>
            <w:tcMar>
              <w:left w:w="115" w:type="dxa"/>
              <w:right w:w="115" w:type="dxa"/>
            </w:tcMar>
            <w:vAlign w:val="center"/>
          </w:tcPr>
          <w:p w14:paraId="7747F3FC" w14:textId="77777777" w:rsidR="003F0EEA" w:rsidRDefault="00FB7D0B">
            <w:pPr>
              <w:jc w:val="right"/>
              <w:rPr>
                <w:rFonts w:ascii="Arial" w:eastAsia="Arial" w:hAnsi="Arial" w:cs="Arial"/>
                <w:i/>
                <w:color w:val="000000"/>
                <w:sz w:val="16"/>
              </w:rPr>
            </w:pPr>
            <w:r>
              <w:rPr>
                <w:rFonts w:ascii="Arial" w:eastAsia="Arial" w:hAnsi="Arial" w:cs="Arial"/>
                <w:i/>
                <w:color w:val="000000"/>
                <w:sz w:val="16"/>
              </w:rPr>
              <w:t xml:space="preserve"> - </w:t>
            </w:r>
          </w:p>
        </w:tc>
        <w:tc>
          <w:tcPr>
            <w:tcW w:w="1080" w:type="dxa"/>
            <w:tcBorders>
              <w:top w:val="nil"/>
              <w:left w:val="nil"/>
              <w:bottom w:val="single" w:sz="6" w:space="0" w:color="000000"/>
              <w:right w:val="nil"/>
              <w:tl2br w:val="nil"/>
              <w:tr2bl w:val="nil"/>
            </w:tcBorders>
            <w:shd w:val="clear" w:color="auto" w:fill="FFFF00"/>
            <w:tcMar>
              <w:left w:w="115" w:type="dxa"/>
              <w:right w:w="115" w:type="dxa"/>
            </w:tcMar>
            <w:vAlign w:val="center"/>
          </w:tcPr>
          <w:p w14:paraId="1E680CED" w14:textId="77777777" w:rsidR="003F0EEA" w:rsidRDefault="00FB7D0B">
            <w:pPr>
              <w:jc w:val="right"/>
              <w:rPr>
                <w:rFonts w:ascii="Arial" w:eastAsia="Arial" w:hAnsi="Arial" w:cs="Arial"/>
                <w:i/>
                <w:color w:val="000000"/>
                <w:sz w:val="16"/>
              </w:rPr>
            </w:pPr>
            <w:r>
              <w:rPr>
                <w:rFonts w:ascii="Arial" w:eastAsia="Arial" w:hAnsi="Arial" w:cs="Arial"/>
                <w:i/>
                <w:color w:val="000000"/>
                <w:sz w:val="16"/>
              </w:rPr>
              <w:t xml:space="preserve"> 1,094 </w:t>
            </w:r>
          </w:p>
        </w:tc>
      </w:tr>
      <w:tr w:rsidR="00FB7D0B" w14:paraId="2373BE37" w14:textId="77777777" w:rsidTr="00FB7D0B">
        <w:trPr>
          <w:trHeight w:val="225"/>
        </w:trPr>
        <w:tc>
          <w:tcPr>
            <w:tcW w:w="2565" w:type="dxa"/>
            <w:gridSpan w:val="2"/>
            <w:vMerge w:val="restart"/>
            <w:tcBorders>
              <w:top w:val="single" w:sz="6" w:space="0" w:color="000000"/>
              <w:left w:val="nil"/>
              <w:bottom w:val="nil"/>
              <w:right w:val="nil"/>
              <w:tl2br w:val="nil"/>
              <w:tr2bl w:val="nil"/>
            </w:tcBorders>
            <w:shd w:val="clear" w:color="auto" w:fill="FFFFFF"/>
            <w:tcMar>
              <w:left w:w="115" w:type="dxa"/>
              <w:right w:w="115" w:type="dxa"/>
            </w:tcMar>
            <w:vAlign w:val="bottom"/>
          </w:tcPr>
          <w:p w14:paraId="48AEBC74" w14:textId="77777777" w:rsidR="003F0EEA" w:rsidRDefault="00FB7D0B">
            <w:pPr>
              <w:rPr>
                <w:rFonts w:ascii="Arial" w:eastAsia="Arial" w:hAnsi="Arial" w:cs="Arial"/>
                <w:i/>
                <w:color w:val="000000"/>
                <w:sz w:val="16"/>
              </w:rPr>
            </w:pPr>
            <w:r>
              <w:rPr>
                <w:rFonts w:ascii="Arial" w:eastAsia="Arial" w:hAnsi="Arial" w:cs="Arial"/>
                <w:color w:val="000000"/>
                <w:sz w:val="16"/>
              </w:rPr>
              <w:t>Australians at War</w:t>
            </w:r>
          </w:p>
        </w:tc>
        <w:tc>
          <w:tcPr>
            <w:tcW w:w="915" w:type="dxa"/>
            <w:tcBorders>
              <w:top w:val="single" w:sz="6" w:space="0" w:color="000000"/>
              <w:left w:val="nil"/>
              <w:bottom w:val="nil"/>
              <w:right w:val="nil"/>
              <w:tl2br w:val="nil"/>
              <w:tr2bl w:val="nil"/>
            </w:tcBorders>
            <w:shd w:val="clear" w:color="auto" w:fill="FFFFFF"/>
            <w:tcMar>
              <w:left w:w="115" w:type="dxa"/>
              <w:right w:w="115" w:type="dxa"/>
            </w:tcMar>
            <w:vAlign w:val="center"/>
          </w:tcPr>
          <w:p w14:paraId="7280873A" w14:textId="77777777" w:rsidR="003F0EEA" w:rsidRDefault="00FB7D0B">
            <w:pPr>
              <w:jc w:val="center"/>
              <w:rPr>
                <w:rFonts w:ascii="Arial" w:eastAsia="Arial" w:hAnsi="Arial" w:cs="Arial"/>
                <w:color w:val="000000"/>
                <w:sz w:val="16"/>
                <w:vertAlign w:val="superscript"/>
              </w:rPr>
            </w:pPr>
            <w:r>
              <w:rPr>
                <w:rFonts w:ascii="Arial" w:eastAsia="Arial" w:hAnsi="Arial" w:cs="Arial"/>
                <w:color w:val="000000"/>
                <w:sz w:val="16"/>
              </w:rPr>
              <w:t>3</w:t>
            </w:r>
          </w:p>
        </w:tc>
        <w:tc>
          <w:tcPr>
            <w:tcW w:w="1050" w:type="dxa"/>
            <w:tcBorders>
              <w:top w:val="single" w:sz="6" w:space="0" w:color="000000"/>
              <w:left w:val="nil"/>
              <w:bottom w:val="nil"/>
              <w:right w:val="nil"/>
              <w:tl2br w:val="nil"/>
              <w:tr2bl w:val="nil"/>
            </w:tcBorders>
            <w:shd w:val="clear" w:color="auto" w:fill="FFFFFF"/>
            <w:tcMar>
              <w:left w:w="115" w:type="dxa"/>
              <w:right w:w="115" w:type="dxa"/>
            </w:tcMar>
            <w:vAlign w:val="center"/>
          </w:tcPr>
          <w:p w14:paraId="47D0BB26" w14:textId="77777777" w:rsidR="003F0EEA" w:rsidRDefault="00FB7D0B">
            <w:pPr>
              <w:jc w:val="right"/>
              <w:rPr>
                <w:rFonts w:ascii="Arial" w:eastAsia="Arial" w:hAnsi="Arial" w:cs="Arial"/>
                <w:color w:val="000000"/>
                <w:sz w:val="16"/>
              </w:rPr>
            </w:pPr>
            <w:r>
              <w:rPr>
                <w:rFonts w:ascii="Arial" w:eastAsia="Arial" w:hAnsi="Arial" w:cs="Arial"/>
                <w:b/>
                <w:color w:val="000000"/>
                <w:sz w:val="16"/>
              </w:rPr>
              <w:t xml:space="preserve"> 229 </w:t>
            </w:r>
          </w:p>
        </w:tc>
        <w:tc>
          <w:tcPr>
            <w:tcW w:w="1050" w:type="dxa"/>
            <w:tcBorders>
              <w:top w:val="single" w:sz="6" w:space="0" w:color="000000"/>
              <w:left w:val="nil"/>
              <w:bottom w:val="nil"/>
              <w:right w:val="nil"/>
              <w:tl2br w:val="nil"/>
              <w:tr2bl w:val="nil"/>
            </w:tcBorders>
            <w:shd w:val="clear" w:color="auto" w:fill="FFFF00"/>
            <w:tcMar>
              <w:left w:w="115" w:type="dxa"/>
              <w:right w:w="115" w:type="dxa"/>
            </w:tcMar>
            <w:vAlign w:val="center"/>
          </w:tcPr>
          <w:p w14:paraId="2DA87D0B" w14:textId="77777777" w:rsidR="003F0EEA" w:rsidRDefault="00FB7D0B">
            <w:pPr>
              <w:jc w:val="right"/>
              <w:rPr>
                <w:rFonts w:ascii="Arial" w:eastAsia="Arial" w:hAnsi="Arial" w:cs="Arial"/>
                <w:b/>
                <w:color w:val="000000"/>
                <w:sz w:val="16"/>
              </w:rPr>
            </w:pPr>
            <w:r>
              <w:rPr>
                <w:rFonts w:ascii="Arial" w:eastAsia="Arial" w:hAnsi="Arial" w:cs="Arial"/>
                <w:b/>
                <w:color w:val="000000"/>
                <w:sz w:val="16"/>
              </w:rPr>
              <w:t xml:space="preserve"> 5 </w:t>
            </w:r>
          </w:p>
        </w:tc>
        <w:tc>
          <w:tcPr>
            <w:tcW w:w="1005" w:type="dxa"/>
            <w:tcBorders>
              <w:top w:val="single" w:sz="6" w:space="0" w:color="000000"/>
              <w:left w:val="nil"/>
              <w:bottom w:val="nil"/>
              <w:right w:val="nil"/>
              <w:tl2br w:val="nil"/>
              <w:tr2bl w:val="nil"/>
            </w:tcBorders>
            <w:shd w:val="clear" w:color="auto" w:fill="FFFF00"/>
            <w:tcMar>
              <w:left w:w="115" w:type="dxa"/>
              <w:right w:w="115" w:type="dxa"/>
            </w:tcMar>
            <w:vAlign w:val="center"/>
          </w:tcPr>
          <w:p w14:paraId="33D1D97A" w14:textId="77777777" w:rsidR="003F0EEA" w:rsidRDefault="00FB7D0B">
            <w:pPr>
              <w:jc w:val="right"/>
              <w:rPr>
                <w:rFonts w:ascii="Arial" w:eastAsia="Arial" w:hAnsi="Arial" w:cs="Arial"/>
                <w:b/>
                <w:color w:val="000000"/>
                <w:sz w:val="16"/>
              </w:rPr>
            </w:pPr>
            <w:r>
              <w:rPr>
                <w:rFonts w:ascii="Arial" w:eastAsia="Arial" w:hAnsi="Arial" w:cs="Arial"/>
                <w:b/>
                <w:color w:val="000000"/>
                <w:sz w:val="16"/>
              </w:rPr>
              <w:t xml:space="preserve"> 1 </w:t>
            </w:r>
          </w:p>
        </w:tc>
        <w:tc>
          <w:tcPr>
            <w:tcW w:w="1170" w:type="dxa"/>
            <w:tcBorders>
              <w:top w:val="single" w:sz="6" w:space="0" w:color="000000"/>
              <w:left w:val="nil"/>
              <w:bottom w:val="nil"/>
              <w:right w:val="nil"/>
              <w:tl2br w:val="nil"/>
              <w:tr2bl w:val="nil"/>
            </w:tcBorders>
            <w:shd w:val="clear" w:color="auto" w:fill="FFFF00"/>
            <w:tcMar>
              <w:left w:w="115" w:type="dxa"/>
              <w:right w:w="115" w:type="dxa"/>
            </w:tcMar>
            <w:vAlign w:val="center"/>
          </w:tcPr>
          <w:p w14:paraId="1490E5EE" w14:textId="77777777" w:rsidR="003F0EEA" w:rsidRDefault="00FB7D0B">
            <w:pPr>
              <w:jc w:val="right"/>
              <w:rPr>
                <w:rFonts w:ascii="Arial" w:eastAsia="Arial" w:hAnsi="Arial" w:cs="Arial"/>
                <w:b/>
                <w:color w:val="000000"/>
                <w:sz w:val="16"/>
              </w:rPr>
            </w:pPr>
            <w:r>
              <w:rPr>
                <w:rFonts w:ascii="Arial" w:eastAsia="Arial" w:hAnsi="Arial" w:cs="Arial"/>
                <w:b/>
                <w:color w:val="000000"/>
                <w:sz w:val="16"/>
              </w:rPr>
              <w:t xml:space="preserve"> - </w:t>
            </w:r>
          </w:p>
        </w:tc>
        <w:tc>
          <w:tcPr>
            <w:tcW w:w="1080" w:type="dxa"/>
            <w:tcBorders>
              <w:top w:val="single" w:sz="6" w:space="0" w:color="000000"/>
              <w:left w:val="nil"/>
              <w:bottom w:val="nil"/>
              <w:right w:val="nil"/>
              <w:tl2br w:val="nil"/>
              <w:tr2bl w:val="nil"/>
            </w:tcBorders>
            <w:shd w:val="clear" w:color="auto" w:fill="FFFF00"/>
            <w:tcMar>
              <w:left w:w="115" w:type="dxa"/>
              <w:right w:w="115" w:type="dxa"/>
            </w:tcMar>
            <w:vAlign w:val="center"/>
          </w:tcPr>
          <w:p w14:paraId="15D18F50" w14:textId="77777777" w:rsidR="003F0EEA" w:rsidRDefault="00FB7D0B">
            <w:pPr>
              <w:jc w:val="right"/>
              <w:rPr>
                <w:rFonts w:ascii="Arial" w:eastAsia="Arial" w:hAnsi="Arial" w:cs="Arial"/>
                <w:b/>
                <w:color w:val="000000"/>
                <w:sz w:val="16"/>
              </w:rPr>
            </w:pPr>
            <w:r>
              <w:rPr>
                <w:rFonts w:ascii="Arial" w:eastAsia="Arial" w:hAnsi="Arial" w:cs="Arial"/>
                <w:b/>
                <w:color w:val="000000"/>
                <w:sz w:val="16"/>
              </w:rPr>
              <w:t xml:space="preserve"> 233 </w:t>
            </w:r>
          </w:p>
        </w:tc>
      </w:tr>
      <w:tr w:rsidR="00FB7D0B" w14:paraId="1A7A51E5" w14:textId="77777777" w:rsidTr="00FB7D0B">
        <w:trPr>
          <w:trHeight w:val="225"/>
        </w:trPr>
        <w:tc>
          <w:tcPr>
            <w:tcW w:w="2565" w:type="dxa"/>
            <w:gridSpan w:val="2"/>
            <w:vMerge w:val="restart"/>
            <w:tcBorders>
              <w:top w:val="nil"/>
              <w:left w:val="nil"/>
              <w:bottom w:val="single" w:sz="6" w:space="0" w:color="000000"/>
              <w:right w:val="nil"/>
              <w:tl2br w:val="nil"/>
              <w:tr2bl w:val="nil"/>
            </w:tcBorders>
            <w:shd w:val="clear" w:color="auto" w:fill="FFFFFF"/>
            <w:tcMar>
              <w:left w:w="115" w:type="dxa"/>
              <w:right w:w="115" w:type="dxa"/>
            </w:tcMar>
            <w:vAlign w:val="bottom"/>
          </w:tcPr>
          <w:p w14:paraId="2A5508C4" w14:textId="77777777" w:rsidR="003F0EEA" w:rsidRDefault="00FB7D0B">
            <w:pPr>
              <w:rPr>
                <w:rFonts w:ascii="Arial" w:eastAsia="Arial" w:hAnsi="Arial" w:cs="Arial"/>
                <w:b/>
                <w:color w:val="000000"/>
                <w:sz w:val="16"/>
              </w:rPr>
            </w:pPr>
            <w:r>
              <w:rPr>
                <w:rFonts w:ascii="Arial" w:eastAsia="Arial" w:hAnsi="Arial" w:cs="Arial"/>
                <w:color w:val="000000"/>
                <w:sz w:val="16"/>
              </w:rPr>
              <w:t>Special Account (A)</w:t>
            </w:r>
          </w:p>
        </w:tc>
        <w:tc>
          <w:tcPr>
            <w:tcW w:w="915" w:type="dxa"/>
            <w:tcBorders>
              <w:top w:val="nil"/>
              <w:left w:val="nil"/>
              <w:bottom w:val="single" w:sz="6" w:space="0" w:color="000000"/>
              <w:right w:val="nil"/>
              <w:tl2br w:val="nil"/>
              <w:tr2bl w:val="nil"/>
            </w:tcBorders>
            <w:shd w:val="clear" w:color="auto" w:fill="FFFFFF"/>
            <w:tcMar>
              <w:left w:w="115" w:type="dxa"/>
              <w:right w:w="115" w:type="dxa"/>
            </w:tcMar>
            <w:vAlign w:val="center"/>
          </w:tcPr>
          <w:p w14:paraId="1B3E174E" w14:textId="77777777" w:rsidR="003F0EEA" w:rsidRDefault="003F0EEA">
            <w:pPr>
              <w:jc w:val="center"/>
              <w:rPr>
                <w:rFonts w:ascii="Arial" w:eastAsia="Arial" w:hAnsi="Arial" w:cs="Arial"/>
                <w:color w:val="000000"/>
                <w:sz w:val="16"/>
                <w:vertAlign w:val="superscript"/>
              </w:rPr>
            </w:pPr>
          </w:p>
        </w:tc>
        <w:tc>
          <w:tcPr>
            <w:tcW w:w="1050" w:type="dxa"/>
            <w:tcBorders>
              <w:top w:val="nil"/>
              <w:left w:val="nil"/>
              <w:bottom w:val="single" w:sz="6" w:space="0" w:color="000000"/>
              <w:right w:val="nil"/>
              <w:tl2br w:val="nil"/>
              <w:tr2bl w:val="nil"/>
            </w:tcBorders>
            <w:shd w:val="clear" w:color="auto" w:fill="FFFFFF"/>
            <w:tcMar>
              <w:left w:w="115" w:type="dxa"/>
              <w:right w:w="115" w:type="dxa"/>
            </w:tcMar>
            <w:vAlign w:val="center"/>
          </w:tcPr>
          <w:p w14:paraId="3810C57B" w14:textId="77777777" w:rsidR="003F0EEA" w:rsidRDefault="00FB7D0B">
            <w:pPr>
              <w:jc w:val="right"/>
              <w:rPr>
                <w:rFonts w:ascii="Arial" w:eastAsia="Arial" w:hAnsi="Arial" w:cs="Arial"/>
                <w:color w:val="000000"/>
                <w:sz w:val="16"/>
                <w:vertAlign w:val="superscript"/>
              </w:rPr>
            </w:pPr>
            <w:r>
              <w:rPr>
                <w:rFonts w:ascii="Arial" w:eastAsia="Arial" w:hAnsi="Arial" w:cs="Arial"/>
                <w:i/>
                <w:color w:val="000000"/>
                <w:sz w:val="16"/>
              </w:rPr>
              <w:t xml:space="preserve"> 225 </w:t>
            </w:r>
          </w:p>
        </w:tc>
        <w:tc>
          <w:tcPr>
            <w:tcW w:w="1050" w:type="dxa"/>
            <w:tcBorders>
              <w:top w:val="nil"/>
              <w:left w:val="nil"/>
              <w:bottom w:val="single" w:sz="6" w:space="0" w:color="000000"/>
              <w:right w:val="nil"/>
              <w:tl2br w:val="nil"/>
              <w:tr2bl w:val="nil"/>
            </w:tcBorders>
            <w:shd w:val="clear" w:color="auto" w:fill="FFFF00"/>
            <w:tcMar>
              <w:left w:w="115" w:type="dxa"/>
              <w:right w:w="115" w:type="dxa"/>
            </w:tcMar>
            <w:vAlign w:val="center"/>
          </w:tcPr>
          <w:p w14:paraId="7674D7B9" w14:textId="77777777" w:rsidR="003F0EEA" w:rsidRDefault="00FB7D0B">
            <w:pPr>
              <w:jc w:val="right"/>
              <w:rPr>
                <w:rFonts w:ascii="Arial" w:eastAsia="Arial" w:hAnsi="Arial" w:cs="Arial"/>
                <w:i/>
                <w:color w:val="000000"/>
                <w:sz w:val="16"/>
              </w:rPr>
            </w:pPr>
            <w:r>
              <w:rPr>
                <w:rFonts w:ascii="Arial" w:eastAsia="Arial" w:hAnsi="Arial" w:cs="Arial"/>
                <w:i/>
                <w:color w:val="000000"/>
                <w:sz w:val="16"/>
              </w:rPr>
              <w:t xml:space="preserve"> 5 </w:t>
            </w:r>
          </w:p>
        </w:tc>
        <w:tc>
          <w:tcPr>
            <w:tcW w:w="1005" w:type="dxa"/>
            <w:tcBorders>
              <w:top w:val="nil"/>
              <w:left w:val="nil"/>
              <w:bottom w:val="single" w:sz="6" w:space="0" w:color="000000"/>
              <w:right w:val="nil"/>
              <w:tl2br w:val="nil"/>
              <w:tr2bl w:val="nil"/>
            </w:tcBorders>
            <w:shd w:val="clear" w:color="auto" w:fill="FFFF00"/>
            <w:tcMar>
              <w:left w:w="115" w:type="dxa"/>
              <w:right w:w="115" w:type="dxa"/>
            </w:tcMar>
            <w:vAlign w:val="center"/>
          </w:tcPr>
          <w:p w14:paraId="7B84BE74" w14:textId="77777777" w:rsidR="003F0EEA" w:rsidRDefault="00FB7D0B">
            <w:pPr>
              <w:jc w:val="right"/>
              <w:rPr>
                <w:rFonts w:ascii="Arial" w:eastAsia="Arial" w:hAnsi="Arial" w:cs="Arial"/>
                <w:i/>
                <w:color w:val="000000"/>
                <w:sz w:val="16"/>
              </w:rPr>
            </w:pPr>
            <w:r>
              <w:rPr>
                <w:rFonts w:ascii="Arial" w:eastAsia="Arial" w:hAnsi="Arial" w:cs="Arial"/>
                <w:i/>
                <w:color w:val="000000"/>
                <w:sz w:val="16"/>
              </w:rPr>
              <w:t xml:space="preserve"> 1 </w:t>
            </w:r>
          </w:p>
        </w:tc>
        <w:tc>
          <w:tcPr>
            <w:tcW w:w="1170" w:type="dxa"/>
            <w:tcBorders>
              <w:top w:val="nil"/>
              <w:left w:val="nil"/>
              <w:bottom w:val="single" w:sz="6" w:space="0" w:color="000000"/>
              <w:right w:val="nil"/>
              <w:tl2br w:val="nil"/>
              <w:tr2bl w:val="nil"/>
            </w:tcBorders>
            <w:shd w:val="clear" w:color="auto" w:fill="FFFF00"/>
            <w:tcMar>
              <w:left w:w="115" w:type="dxa"/>
              <w:right w:w="115" w:type="dxa"/>
            </w:tcMar>
            <w:vAlign w:val="center"/>
          </w:tcPr>
          <w:p w14:paraId="2E8B57DC" w14:textId="77777777" w:rsidR="003F0EEA" w:rsidRDefault="00FB7D0B">
            <w:pPr>
              <w:jc w:val="right"/>
              <w:rPr>
                <w:rFonts w:ascii="Arial" w:eastAsia="Arial" w:hAnsi="Arial" w:cs="Arial"/>
                <w:i/>
                <w:color w:val="000000"/>
                <w:sz w:val="16"/>
              </w:rPr>
            </w:pPr>
            <w:r>
              <w:rPr>
                <w:rFonts w:ascii="Arial" w:eastAsia="Arial" w:hAnsi="Arial" w:cs="Arial"/>
                <w:i/>
                <w:color w:val="000000"/>
                <w:sz w:val="16"/>
              </w:rPr>
              <w:t xml:space="preserve"> - </w:t>
            </w:r>
          </w:p>
        </w:tc>
        <w:tc>
          <w:tcPr>
            <w:tcW w:w="1080" w:type="dxa"/>
            <w:tcBorders>
              <w:top w:val="nil"/>
              <w:left w:val="nil"/>
              <w:bottom w:val="single" w:sz="6" w:space="0" w:color="000000"/>
              <w:right w:val="nil"/>
              <w:tl2br w:val="nil"/>
              <w:tr2bl w:val="nil"/>
            </w:tcBorders>
            <w:shd w:val="clear" w:color="auto" w:fill="FFFF00"/>
            <w:tcMar>
              <w:left w:w="115" w:type="dxa"/>
              <w:right w:w="115" w:type="dxa"/>
            </w:tcMar>
            <w:vAlign w:val="center"/>
          </w:tcPr>
          <w:p w14:paraId="32B6662B" w14:textId="77777777" w:rsidR="003F0EEA" w:rsidRDefault="00FB7D0B">
            <w:pPr>
              <w:jc w:val="right"/>
              <w:rPr>
                <w:rFonts w:ascii="Arial" w:eastAsia="Arial" w:hAnsi="Arial" w:cs="Arial"/>
                <w:i/>
                <w:color w:val="000000"/>
                <w:sz w:val="16"/>
              </w:rPr>
            </w:pPr>
            <w:r>
              <w:rPr>
                <w:rFonts w:ascii="Arial" w:eastAsia="Arial" w:hAnsi="Arial" w:cs="Arial"/>
                <w:i/>
                <w:color w:val="000000"/>
                <w:sz w:val="16"/>
              </w:rPr>
              <w:t xml:space="preserve"> 229 </w:t>
            </w:r>
          </w:p>
        </w:tc>
      </w:tr>
      <w:tr w:rsidR="00FB7D0B" w14:paraId="1E7BA54C" w14:textId="77777777" w:rsidTr="00FB7D0B">
        <w:trPr>
          <w:trHeight w:val="225"/>
        </w:trPr>
        <w:tc>
          <w:tcPr>
            <w:tcW w:w="2565" w:type="dxa"/>
            <w:gridSpan w:val="2"/>
            <w:vMerge w:val="restart"/>
            <w:tcBorders>
              <w:top w:val="single" w:sz="6" w:space="0" w:color="000000"/>
              <w:left w:val="nil"/>
              <w:bottom w:val="nil"/>
              <w:right w:val="nil"/>
              <w:tl2br w:val="nil"/>
              <w:tr2bl w:val="nil"/>
            </w:tcBorders>
            <w:shd w:val="clear" w:color="auto" w:fill="FFFFFF"/>
            <w:tcMar>
              <w:left w:w="115" w:type="dxa"/>
              <w:right w:w="115" w:type="dxa"/>
            </w:tcMar>
            <w:vAlign w:val="bottom"/>
          </w:tcPr>
          <w:p w14:paraId="61A48299" w14:textId="77777777" w:rsidR="003F0EEA" w:rsidRDefault="00FB7D0B">
            <w:pPr>
              <w:rPr>
                <w:rFonts w:ascii="Arial" w:eastAsia="Arial" w:hAnsi="Arial" w:cs="Arial"/>
                <w:i/>
                <w:color w:val="000000"/>
                <w:sz w:val="16"/>
              </w:rPr>
            </w:pPr>
            <w:r>
              <w:rPr>
                <w:rFonts w:ascii="Arial" w:eastAsia="Arial" w:hAnsi="Arial" w:cs="Arial"/>
                <w:color w:val="000000"/>
                <w:sz w:val="16"/>
              </w:rPr>
              <w:t>Anzac Centenary Public Fund</w:t>
            </w:r>
          </w:p>
        </w:tc>
        <w:tc>
          <w:tcPr>
            <w:tcW w:w="915" w:type="dxa"/>
            <w:tcBorders>
              <w:top w:val="single" w:sz="6" w:space="0" w:color="000000"/>
              <w:left w:val="nil"/>
              <w:bottom w:val="nil"/>
              <w:right w:val="nil"/>
              <w:tl2br w:val="nil"/>
              <w:tr2bl w:val="nil"/>
            </w:tcBorders>
            <w:shd w:val="clear" w:color="auto" w:fill="FFFFFF"/>
            <w:tcMar>
              <w:left w:w="115" w:type="dxa"/>
              <w:right w:w="115" w:type="dxa"/>
            </w:tcMar>
            <w:vAlign w:val="center"/>
          </w:tcPr>
          <w:p w14:paraId="7F332190" w14:textId="77777777" w:rsidR="003F0EEA" w:rsidRDefault="00FB7D0B">
            <w:pPr>
              <w:jc w:val="center"/>
              <w:rPr>
                <w:rFonts w:ascii="Arial" w:eastAsia="Arial" w:hAnsi="Arial" w:cs="Arial"/>
                <w:color w:val="000000"/>
                <w:sz w:val="16"/>
                <w:vertAlign w:val="superscript"/>
              </w:rPr>
            </w:pPr>
            <w:r>
              <w:rPr>
                <w:rFonts w:ascii="Arial" w:eastAsia="Arial" w:hAnsi="Arial" w:cs="Arial"/>
                <w:color w:val="000000"/>
                <w:sz w:val="16"/>
              </w:rPr>
              <w:t>3</w:t>
            </w:r>
          </w:p>
        </w:tc>
        <w:tc>
          <w:tcPr>
            <w:tcW w:w="1050" w:type="dxa"/>
            <w:tcBorders>
              <w:top w:val="single" w:sz="6" w:space="0" w:color="000000"/>
              <w:left w:val="nil"/>
              <w:bottom w:val="nil"/>
              <w:right w:val="nil"/>
              <w:tl2br w:val="nil"/>
              <w:tr2bl w:val="nil"/>
            </w:tcBorders>
            <w:shd w:val="clear" w:color="auto" w:fill="FFFFFF"/>
            <w:tcMar>
              <w:left w:w="115" w:type="dxa"/>
              <w:right w:w="115" w:type="dxa"/>
            </w:tcMar>
            <w:vAlign w:val="center"/>
          </w:tcPr>
          <w:p w14:paraId="679B866C" w14:textId="77777777" w:rsidR="003F0EEA" w:rsidRDefault="00FB7D0B">
            <w:pPr>
              <w:jc w:val="right"/>
              <w:rPr>
                <w:rFonts w:ascii="Arial" w:eastAsia="Arial" w:hAnsi="Arial" w:cs="Arial"/>
                <w:color w:val="000000"/>
                <w:sz w:val="16"/>
              </w:rPr>
            </w:pPr>
            <w:r>
              <w:rPr>
                <w:rFonts w:ascii="Arial" w:eastAsia="Arial" w:hAnsi="Arial" w:cs="Arial"/>
                <w:b/>
                <w:color w:val="000000"/>
                <w:sz w:val="16"/>
              </w:rPr>
              <w:t xml:space="preserve"> 28 </w:t>
            </w:r>
          </w:p>
        </w:tc>
        <w:tc>
          <w:tcPr>
            <w:tcW w:w="1050" w:type="dxa"/>
            <w:tcBorders>
              <w:top w:val="single" w:sz="6" w:space="0" w:color="000000"/>
              <w:left w:val="nil"/>
              <w:bottom w:val="nil"/>
              <w:right w:val="nil"/>
              <w:tl2br w:val="nil"/>
              <w:tr2bl w:val="nil"/>
            </w:tcBorders>
            <w:shd w:val="clear" w:color="auto" w:fill="FFFF00"/>
            <w:tcMar>
              <w:left w:w="115" w:type="dxa"/>
              <w:right w:w="115" w:type="dxa"/>
            </w:tcMar>
            <w:vAlign w:val="center"/>
          </w:tcPr>
          <w:p w14:paraId="5480D9D7" w14:textId="77777777" w:rsidR="003F0EEA" w:rsidRDefault="00FB7D0B">
            <w:pPr>
              <w:jc w:val="right"/>
              <w:rPr>
                <w:rFonts w:ascii="Arial" w:eastAsia="Arial" w:hAnsi="Arial" w:cs="Arial"/>
                <w:b/>
                <w:color w:val="000000"/>
                <w:sz w:val="16"/>
              </w:rPr>
            </w:pPr>
            <w:r>
              <w:rPr>
                <w:rFonts w:ascii="Arial" w:eastAsia="Arial" w:hAnsi="Arial" w:cs="Arial"/>
                <w:b/>
                <w:color w:val="000000"/>
                <w:sz w:val="16"/>
              </w:rPr>
              <w:t xml:space="preserve"> 24,000 </w:t>
            </w:r>
          </w:p>
        </w:tc>
        <w:tc>
          <w:tcPr>
            <w:tcW w:w="1005" w:type="dxa"/>
            <w:tcBorders>
              <w:top w:val="single" w:sz="6" w:space="0" w:color="000000"/>
              <w:left w:val="nil"/>
              <w:bottom w:val="nil"/>
              <w:right w:val="nil"/>
              <w:tl2br w:val="nil"/>
              <w:tr2bl w:val="nil"/>
            </w:tcBorders>
            <w:shd w:val="clear" w:color="auto" w:fill="FFFF00"/>
            <w:tcMar>
              <w:left w:w="115" w:type="dxa"/>
              <w:right w:w="115" w:type="dxa"/>
            </w:tcMar>
            <w:vAlign w:val="center"/>
          </w:tcPr>
          <w:p w14:paraId="6E31E991" w14:textId="77777777" w:rsidR="003F0EEA" w:rsidRDefault="00FB7D0B">
            <w:pPr>
              <w:jc w:val="right"/>
              <w:rPr>
                <w:rFonts w:ascii="Arial" w:eastAsia="Arial" w:hAnsi="Arial" w:cs="Arial"/>
                <w:b/>
                <w:color w:val="000000"/>
                <w:sz w:val="16"/>
              </w:rPr>
            </w:pPr>
            <w:r>
              <w:rPr>
                <w:rFonts w:ascii="Arial" w:eastAsia="Arial" w:hAnsi="Arial" w:cs="Arial"/>
                <w:b/>
                <w:color w:val="000000"/>
                <w:sz w:val="16"/>
              </w:rPr>
              <w:t xml:space="preserve"> 24,025 </w:t>
            </w:r>
          </w:p>
        </w:tc>
        <w:tc>
          <w:tcPr>
            <w:tcW w:w="1170" w:type="dxa"/>
            <w:tcBorders>
              <w:top w:val="single" w:sz="6" w:space="0" w:color="000000"/>
              <w:left w:val="nil"/>
              <w:bottom w:val="nil"/>
              <w:right w:val="nil"/>
              <w:tl2br w:val="nil"/>
              <w:tr2bl w:val="nil"/>
            </w:tcBorders>
            <w:shd w:val="clear" w:color="auto" w:fill="FFFF00"/>
            <w:tcMar>
              <w:left w:w="115" w:type="dxa"/>
              <w:right w:w="115" w:type="dxa"/>
            </w:tcMar>
            <w:vAlign w:val="center"/>
          </w:tcPr>
          <w:p w14:paraId="0BDA3F10" w14:textId="77777777" w:rsidR="003F0EEA" w:rsidRDefault="00FB7D0B">
            <w:pPr>
              <w:jc w:val="right"/>
              <w:rPr>
                <w:rFonts w:ascii="Arial" w:eastAsia="Arial" w:hAnsi="Arial" w:cs="Arial"/>
                <w:b/>
                <w:color w:val="000000"/>
                <w:sz w:val="16"/>
              </w:rPr>
            </w:pPr>
            <w:r>
              <w:rPr>
                <w:rFonts w:ascii="Arial" w:eastAsia="Arial" w:hAnsi="Arial" w:cs="Arial"/>
                <w:b/>
                <w:color w:val="000000"/>
                <w:sz w:val="16"/>
              </w:rPr>
              <w:t xml:space="preserve"> - </w:t>
            </w:r>
          </w:p>
        </w:tc>
        <w:tc>
          <w:tcPr>
            <w:tcW w:w="1080" w:type="dxa"/>
            <w:tcBorders>
              <w:top w:val="single" w:sz="6" w:space="0" w:color="000000"/>
              <w:left w:val="nil"/>
              <w:bottom w:val="nil"/>
              <w:right w:val="nil"/>
              <w:tl2br w:val="nil"/>
              <w:tr2bl w:val="nil"/>
            </w:tcBorders>
            <w:shd w:val="clear" w:color="auto" w:fill="FFFF00"/>
            <w:tcMar>
              <w:left w:w="115" w:type="dxa"/>
              <w:right w:w="115" w:type="dxa"/>
            </w:tcMar>
            <w:vAlign w:val="center"/>
          </w:tcPr>
          <w:p w14:paraId="4EB20521" w14:textId="77777777" w:rsidR="003F0EEA" w:rsidRDefault="00FB7D0B">
            <w:pPr>
              <w:jc w:val="right"/>
              <w:rPr>
                <w:rFonts w:ascii="Arial" w:eastAsia="Arial" w:hAnsi="Arial" w:cs="Arial"/>
                <w:b/>
                <w:color w:val="000000"/>
                <w:sz w:val="16"/>
              </w:rPr>
            </w:pPr>
            <w:r>
              <w:rPr>
                <w:rFonts w:ascii="Arial" w:eastAsia="Arial" w:hAnsi="Arial" w:cs="Arial"/>
                <w:b/>
                <w:color w:val="000000"/>
                <w:sz w:val="16"/>
              </w:rPr>
              <w:t xml:space="preserve"> 3 </w:t>
            </w:r>
          </w:p>
        </w:tc>
      </w:tr>
      <w:tr w:rsidR="00FB7D0B" w14:paraId="58D0B4E8" w14:textId="77777777" w:rsidTr="00FB7D0B">
        <w:trPr>
          <w:trHeight w:val="225"/>
        </w:trPr>
        <w:tc>
          <w:tcPr>
            <w:tcW w:w="2565" w:type="dxa"/>
            <w:gridSpan w:val="2"/>
            <w:vMerge w:val="restart"/>
            <w:tcBorders>
              <w:top w:val="nil"/>
              <w:left w:val="nil"/>
              <w:bottom w:val="single" w:sz="6" w:space="0" w:color="000000"/>
              <w:right w:val="nil"/>
              <w:tl2br w:val="nil"/>
              <w:tr2bl w:val="nil"/>
            </w:tcBorders>
            <w:shd w:val="clear" w:color="auto" w:fill="FFFFFF"/>
            <w:tcMar>
              <w:left w:w="115" w:type="dxa"/>
              <w:right w:w="115" w:type="dxa"/>
            </w:tcMar>
            <w:vAlign w:val="bottom"/>
          </w:tcPr>
          <w:p w14:paraId="08811414" w14:textId="77777777" w:rsidR="003F0EEA" w:rsidRDefault="00FB7D0B">
            <w:pPr>
              <w:rPr>
                <w:rFonts w:ascii="Arial" w:eastAsia="Arial" w:hAnsi="Arial" w:cs="Arial"/>
                <w:b/>
                <w:color w:val="000000"/>
                <w:sz w:val="16"/>
              </w:rPr>
            </w:pPr>
            <w:r>
              <w:rPr>
                <w:rFonts w:ascii="Arial" w:eastAsia="Arial" w:hAnsi="Arial" w:cs="Arial"/>
                <w:color w:val="000000"/>
                <w:sz w:val="16"/>
              </w:rPr>
              <w:t>Special Account (A)</w:t>
            </w:r>
          </w:p>
        </w:tc>
        <w:tc>
          <w:tcPr>
            <w:tcW w:w="915" w:type="dxa"/>
            <w:tcBorders>
              <w:top w:val="nil"/>
              <w:left w:val="nil"/>
              <w:bottom w:val="single" w:sz="6" w:space="0" w:color="000000"/>
              <w:right w:val="nil"/>
              <w:tl2br w:val="nil"/>
              <w:tr2bl w:val="nil"/>
            </w:tcBorders>
            <w:shd w:val="clear" w:color="auto" w:fill="FFFFFF"/>
            <w:tcMar>
              <w:left w:w="115" w:type="dxa"/>
              <w:right w:w="115" w:type="dxa"/>
            </w:tcMar>
            <w:vAlign w:val="center"/>
          </w:tcPr>
          <w:p w14:paraId="5AEBF0F8" w14:textId="77777777" w:rsidR="003F0EEA" w:rsidRDefault="003F0EEA">
            <w:pPr>
              <w:jc w:val="center"/>
              <w:rPr>
                <w:rFonts w:ascii="Arial" w:eastAsia="Arial" w:hAnsi="Arial" w:cs="Arial"/>
                <w:color w:val="000000"/>
                <w:sz w:val="16"/>
                <w:vertAlign w:val="superscript"/>
              </w:rPr>
            </w:pPr>
          </w:p>
        </w:tc>
        <w:tc>
          <w:tcPr>
            <w:tcW w:w="1050" w:type="dxa"/>
            <w:tcBorders>
              <w:top w:val="nil"/>
              <w:left w:val="nil"/>
              <w:bottom w:val="single" w:sz="6" w:space="0" w:color="000000"/>
              <w:right w:val="nil"/>
              <w:tl2br w:val="nil"/>
              <w:tr2bl w:val="nil"/>
            </w:tcBorders>
            <w:shd w:val="clear" w:color="auto" w:fill="FFFFFF"/>
            <w:tcMar>
              <w:left w:w="115" w:type="dxa"/>
              <w:right w:w="115" w:type="dxa"/>
            </w:tcMar>
            <w:vAlign w:val="center"/>
          </w:tcPr>
          <w:p w14:paraId="288852A8" w14:textId="77777777" w:rsidR="003F0EEA" w:rsidRDefault="00FB7D0B">
            <w:pPr>
              <w:jc w:val="right"/>
              <w:rPr>
                <w:rFonts w:ascii="Arial" w:eastAsia="Arial" w:hAnsi="Arial" w:cs="Arial"/>
                <w:color w:val="000000"/>
                <w:sz w:val="16"/>
                <w:vertAlign w:val="superscript"/>
              </w:rPr>
            </w:pPr>
            <w:r>
              <w:rPr>
                <w:rFonts w:ascii="Arial" w:eastAsia="Arial" w:hAnsi="Arial" w:cs="Arial"/>
                <w:i/>
                <w:color w:val="000000"/>
                <w:sz w:val="16"/>
              </w:rPr>
              <w:t xml:space="preserve"> 1 </w:t>
            </w:r>
          </w:p>
        </w:tc>
        <w:tc>
          <w:tcPr>
            <w:tcW w:w="1050" w:type="dxa"/>
            <w:tcBorders>
              <w:top w:val="nil"/>
              <w:left w:val="nil"/>
              <w:bottom w:val="single" w:sz="6" w:space="0" w:color="000000"/>
              <w:right w:val="nil"/>
              <w:tl2br w:val="nil"/>
              <w:tr2bl w:val="nil"/>
            </w:tcBorders>
            <w:shd w:val="clear" w:color="auto" w:fill="FFFF00"/>
            <w:tcMar>
              <w:left w:w="115" w:type="dxa"/>
              <w:right w:w="115" w:type="dxa"/>
            </w:tcMar>
            <w:vAlign w:val="center"/>
          </w:tcPr>
          <w:p w14:paraId="10D7B47A" w14:textId="77777777" w:rsidR="003F0EEA" w:rsidRDefault="00FB7D0B">
            <w:pPr>
              <w:jc w:val="right"/>
              <w:rPr>
                <w:rFonts w:ascii="Arial" w:eastAsia="Arial" w:hAnsi="Arial" w:cs="Arial"/>
                <w:i/>
                <w:color w:val="000000"/>
                <w:sz w:val="16"/>
              </w:rPr>
            </w:pPr>
            <w:r>
              <w:rPr>
                <w:rFonts w:ascii="Arial" w:eastAsia="Arial" w:hAnsi="Arial" w:cs="Arial"/>
                <w:i/>
                <w:color w:val="000000"/>
                <w:sz w:val="16"/>
              </w:rPr>
              <w:t xml:space="preserve"> 27 </w:t>
            </w:r>
          </w:p>
        </w:tc>
        <w:tc>
          <w:tcPr>
            <w:tcW w:w="1005" w:type="dxa"/>
            <w:tcBorders>
              <w:top w:val="nil"/>
              <w:left w:val="nil"/>
              <w:bottom w:val="single" w:sz="6" w:space="0" w:color="000000"/>
              <w:right w:val="nil"/>
              <w:tl2br w:val="nil"/>
              <w:tr2bl w:val="nil"/>
            </w:tcBorders>
            <w:shd w:val="clear" w:color="auto" w:fill="FFFF00"/>
            <w:tcMar>
              <w:left w:w="115" w:type="dxa"/>
              <w:right w:w="115" w:type="dxa"/>
            </w:tcMar>
            <w:vAlign w:val="center"/>
          </w:tcPr>
          <w:p w14:paraId="3E335DB3" w14:textId="77777777" w:rsidR="003F0EEA" w:rsidRDefault="00FB7D0B">
            <w:pPr>
              <w:jc w:val="right"/>
              <w:rPr>
                <w:rFonts w:ascii="Arial" w:eastAsia="Arial" w:hAnsi="Arial" w:cs="Arial"/>
                <w:i/>
                <w:color w:val="000000"/>
                <w:sz w:val="16"/>
              </w:rPr>
            </w:pPr>
            <w:r>
              <w:rPr>
                <w:rFonts w:ascii="Arial" w:eastAsia="Arial" w:hAnsi="Arial" w:cs="Arial"/>
                <w:i/>
                <w:color w:val="000000"/>
                <w:sz w:val="16"/>
              </w:rPr>
              <w:t xml:space="preserve"> - </w:t>
            </w:r>
          </w:p>
        </w:tc>
        <w:tc>
          <w:tcPr>
            <w:tcW w:w="1170" w:type="dxa"/>
            <w:tcBorders>
              <w:top w:val="nil"/>
              <w:left w:val="nil"/>
              <w:bottom w:val="single" w:sz="6" w:space="0" w:color="000000"/>
              <w:right w:val="nil"/>
              <w:tl2br w:val="nil"/>
              <w:tr2bl w:val="nil"/>
            </w:tcBorders>
            <w:shd w:val="clear" w:color="auto" w:fill="FFFF00"/>
            <w:tcMar>
              <w:left w:w="115" w:type="dxa"/>
              <w:right w:w="115" w:type="dxa"/>
            </w:tcMar>
            <w:vAlign w:val="center"/>
          </w:tcPr>
          <w:p w14:paraId="539E6A67" w14:textId="77777777" w:rsidR="003F0EEA" w:rsidRDefault="00FB7D0B">
            <w:pPr>
              <w:jc w:val="right"/>
              <w:rPr>
                <w:rFonts w:ascii="Arial" w:eastAsia="Arial" w:hAnsi="Arial" w:cs="Arial"/>
                <w:i/>
                <w:color w:val="000000"/>
                <w:sz w:val="16"/>
              </w:rPr>
            </w:pPr>
            <w:r>
              <w:rPr>
                <w:rFonts w:ascii="Arial" w:eastAsia="Arial" w:hAnsi="Arial" w:cs="Arial"/>
                <w:i/>
                <w:color w:val="000000"/>
                <w:sz w:val="16"/>
              </w:rPr>
              <w:t xml:space="preserve"> - </w:t>
            </w:r>
          </w:p>
        </w:tc>
        <w:tc>
          <w:tcPr>
            <w:tcW w:w="1080" w:type="dxa"/>
            <w:tcBorders>
              <w:top w:val="nil"/>
              <w:left w:val="nil"/>
              <w:bottom w:val="single" w:sz="6" w:space="0" w:color="000000"/>
              <w:right w:val="nil"/>
              <w:tl2br w:val="nil"/>
              <w:tr2bl w:val="nil"/>
            </w:tcBorders>
            <w:shd w:val="clear" w:color="auto" w:fill="FFFF00"/>
            <w:tcMar>
              <w:left w:w="115" w:type="dxa"/>
              <w:right w:w="115" w:type="dxa"/>
            </w:tcMar>
            <w:vAlign w:val="center"/>
          </w:tcPr>
          <w:p w14:paraId="7F64CB1B" w14:textId="77777777" w:rsidR="003F0EEA" w:rsidRDefault="00FB7D0B">
            <w:pPr>
              <w:jc w:val="right"/>
              <w:rPr>
                <w:rFonts w:ascii="Arial" w:eastAsia="Arial" w:hAnsi="Arial" w:cs="Arial"/>
                <w:i/>
                <w:color w:val="000000"/>
                <w:sz w:val="16"/>
              </w:rPr>
            </w:pPr>
            <w:r>
              <w:rPr>
                <w:rFonts w:ascii="Arial" w:eastAsia="Arial" w:hAnsi="Arial" w:cs="Arial"/>
                <w:i/>
                <w:color w:val="000000"/>
                <w:sz w:val="16"/>
              </w:rPr>
              <w:t xml:space="preserve"> 28 </w:t>
            </w:r>
          </w:p>
        </w:tc>
      </w:tr>
      <w:tr w:rsidR="00FB7D0B" w14:paraId="52A32AF3" w14:textId="77777777" w:rsidTr="00FB7D0B">
        <w:trPr>
          <w:trHeight w:val="225"/>
        </w:trPr>
        <w:tc>
          <w:tcPr>
            <w:tcW w:w="2565" w:type="dxa"/>
            <w:gridSpan w:val="2"/>
            <w:vMerge w:val="restart"/>
            <w:tcBorders>
              <w:top w:val="single" w:sz="6" w:space="0" w:color="000000"/>
              <w:left w:val="nil"/>
              <w:bottom w:val="nil"/>
              <w:right w:val="nil"/>
              <w:tl2br w:val="nil"/>
              <w:tr2bl w:val="nil"/>
            </w:tcBorders>
            <w:shd w:val="clear" w:color="auto" w:fill="FFFFFF"/>
            <w:tcMar>
              <w:left w:w="115" w:type="dxa"/>
              <w:right w:w="115" w:type="dxa"/>
            </w:tcMar>
            <w:vAlign w:val="bottom"/>
          </w:tcPr>
          <w:p w14:paraId="59B909E9" w14:textId="77777777" w:rsidR="003F0EEA" w:rsidRDefault="00FB7D0B">
            <w:pPr>
              <w:rPr>
                <w:rFonts w:ascii="Arial" w:eastAsia="Arial" w:hAnsi="Arial" w:cs="Arial"/>
                <w:i/>
                <w:color w:val="000000"/>
                <w:sz w:val="16"/>
              </w:rPr>
            </w:pPr>
            <w:r>
              <w:rPr>
                <w:rFonts w:ascii="Arial" w:eastAsia="Arial" w:hAnsi="Arial" w:cs="Arial"/>
                <w:color w:val="000000"/>
                <w:sz w:val="16"/>
              </w:rPr>
              <w:t>Services for Other Entities and</w:t>
            </w:r>
          </w:p>
        </w:tc>
        <w:tc>
          <w:tcPr>
            <w:tcW w:w="915" w:type="dxa"/>
            <w:tcBorders>
              <w:top w:val="single" w:sz="6" w:space="0" w:color="000000"/>
              <w:left w:val="nil"/>
              <w:bottom w:val="nil"/>
              <w:right w:val="nil"/>
              <w:tl2br w:val="nil"/>
              <w:tr2bl w:val="nil"/>
            </w:tcBorders>
            <w:shd w:val="clear" w:color="auto" w:fill="FFFFFF"/>
            <w:tcMar>
              <w:left w:w="115" w:type="dxa"/>
              <w:right w:w="115" w:type="dxa"/>
            </w:tcMar>
            <w:vAlign w:val="center"/>
          </w:tcPr>
          <w:p w14:paraId="2ABE237C" w14:textId="77777777" w:rsidR="003F0EEA" w:rsidRDefault="003F0EEA">
            <w:pPr>
              <w:jc w:val="center"/>
              <w:rPr>
                <w:rFonts w:ascii="Arial" w:eastAsia="Arial" w:hAnsi="Arial" w:cs="Arial"/>
                <w:color w:val="000000"/>
                <w:sz w:val="16"/>
                <w:vertAlign w:val="superscript"/>
              </w:rPr>
            </w:pPr>
          </w:p>
        </w:tc>
        <w:tc>
          <w:tcPr>
            <w:tcW w:w="1050" w:type="dxa"/>
            <w:tcBorders>
              <w:top w:val="single" w:sz="6" w:space="0" w:color="000000"/>
              <w:left w:val="nil"/>
              <w:bottom w:val="nil"/>
              <w:right w:val="nil"/>
              <w:tl2br w:val="nil"/>
              <w:tr2bl w:val="nil"/>
            </w:tcBorders>
            <w:shd w:val="clear" w:color="auto" w:fill="FFFFFF"/>
            <w:tcMar>
              <w:left w:w="115" w:type="dxa"/>
              <w:right w:w="115" w:type="dxa"/>
            </w:tcMar>
            <w:vAlign w:val="center"/>
          </w:tcPr>
          <w:p w14:paraId="5B641ED7" w14:textId="77777777" w:rsidR="003F0EEA" w:rsidRDefault="00FB7D0B">
            <w:pPr>
              <w:jc w:val="right"/>
              <w:rPr>
                <w:rFonts w:ascii="Arial" w:eastAsia="Arial" w:hAnsi="Arial" w:cs="Arial"/>
                <w:color w:val="000000"/>
                <w:sz w:val="16"/>
                <w:vertAlign w:val="superscript"/>
              </w:rPr>
            </w:pPr>
            <w:r>
              <w:rPr>
                <w:rFonts w:ascii="Arial" w:eastAsia="Arial" w:hAnsi="Arial" w:cs="Arial"/>
                <w:b/>
                <w:color w:val="000000"/>
                <w:sz w:val="16"/>
              </w:rPr>
              <w:t xml:space="preserve"> 227 </w:t>
            </w:r>
          </w:p>
        </w:tc>
        <w:tc>
          <w:tcPr>
            <w:tcW w:w="1050" w:type="dxa"/>
            <w:tcBorders>
              <w:top w:val="single" w:sz="6" w:space="0" w:color="000000"/>
              <w:left w:val="nil"/>
              <w:bottom w:val="nil"/>
              <w:right w:val="nil"/>
              <w:tl2br w:val="nil"/>
              <w:tr2bl w:val="nil"/>
            </w:tcBorders>
            <w:shd w:val="clear" w:color="auto" w:fill="FFFF00"/>
            <w:tcMar>
              <w:left w:w="115" w:type="dxa"/>
              <w:right w:w="115" w:type="dxa"/>
            </w:tcMar>
            <w:vAlign w:val="center"/>
          </w:tcPr>
          <w:p w14:paraId="2B00134B" w14:textId="77777777" w:rsidR="003F0EEA" w:rsidRDefault="00FB7D0B">
            <w:pPr>
              <w:jc w:val="right"/>
              <w:rPr>
                <w:rFonts w:ascii="Arial" w:eastAsia="Arial" w:hAnsi="Arial" w:cs="Arial"/>
                <w:b/>
                <w:color w:val="000000"/>
                <w:sz w:val="16"/>
              </w:rPr>
            </w:pPr>
            <w:r>
              <w:rPr>
                <w:rFonts w:ascii="Arial" w:eastAsia="Arial" w:hAnsi="Arial" w:cs="Arial"/>
                <w:b/>
                <w:color w:val="000000"/>
                <w:sz w:val="16"/>
              </w:rPr>
              <w:t xml:space="preserve"> 62 </w:t>
            </w:r>
          </w:p>
        </w:tc>
        <w:tc>
          <w:tcPr>
            <w:tcW w:w="1005" w:type="dxa"/>
            <w:tcBorders>
              <w:top w:val="single" w:sz="6" w:space="0" w:color="000000"/>
              <w:left w:val="nil"/>
              <w:bottom w:val="nil"/>
              <w:right w:val="nil"/>
              <w:tl2br w:val="nil"/>
              <w:tr2bl w:val="nil"/>
            </w:tcBorders>
            <w:shd w:val="clear" w:color="auto" w:fill="FFFF00"/>
            <w:tcMar>
              <w:left w:w="115" w:type="dxa"/>
              <w:right w:w="115" w:type="dxa"/>
            </w:tcMar>
            <w:vAlign w:val="center"/>
          </w:tcPr>
          <w:p w14:paraId="3CF10162" w14:textId="77777777" w:rsidR="003F0EEA" w:rsidRDefault="00FB7D0B">
            <w:pPr>
              <w:jc w:val="right"/>
              <w:rPr>
                <w:rFonts w:ascii="Arial" w:eastAsia="Arial" w:hAnsi="Arial" w:cs="Arial"/>
                <w:b/>
                <w:color w:val="000000"/>
                <w:sz w:val="16"/>
              </w:rPr>
            </w:pPr>
            <w:r>
              <w:rPr>
                <w:rFonts w:ascii="Arial" w:eastAsia="Arial" w:hAnsi="Arial" w:cs="Arial"/>
                <w:b/>
                <w:color w:val="000000"/>
                <w:sz w:val="16"/>
              </w:rPr>
              <w:t xml:space="preserve"> 60 </w:t>
            </w:r>
          </w:p>
        </w:tc>
        <w:tc>
          <w:tcPr>
            <w:tcW w:w="1170" w:type="dxa"/>
            <w:tcBorders>
              <w:top w:val="single" w:sz="6" w:space="0" w:color="000000"/>
              <w:left w:val="nil"/>
              <w:bottom w:val="nil"/>
              <w:right w:val="nil"/>
              <w:tl2br w:val="nil"/>
              <w:tr2bl w:val="nil"/>
            </w:tcBorders>
            <w:shd w:val="clear" w:color="auto" w:fill="FFFF00"/>
            <w:tcMar>
              <w:left w:w="115" w:type="dxa"/>
              <w:right w:w="115" w:type="dxa"/>
            </w:tcMar>
            <w:vAlign w:val="center"/>
          </w:tcPr>
          <w:p w14:paraId="04CEDDFA" w14:textId="77777777" w:rsidR="003F0EEA" w:rsidRDefault="00FB7D0B">
            <w:pPr>
              <w:jc w:val="right"/>
              <w:rPr>
                <w:rFonts w:ascii="Arial" w:eastAsia="Arial" w:hAnsi="Arial" w:cs="Arial"/>
                <w:b/>
                <w:color w:val="000000"/>
                <w:sz w:val="16"/>
              </w:rPr>
            </w:pPr>
            <w:r>
              <w:rPr>
                <w:rFonts w:ascii="Arial" w:eastAsia="Arial" w:hAnsi="Arial" w:cs="Arial"/>
                <w:b/>
                <w:color w:val="000000"/>
                <w:sz w:val="16"/>
              </w:rPr>
              <w:t xml:space="preserve"> - </w:t>
            </w:r>
          </w:p>
        </w:tc>
        <w:tc>
          <w:tcPr>
            <w:tcW w:w="1080" w:type="dxa"/>
            <w:tcBorders>
              <w:top w:val="single" w:sz="6" w:space="0" w:color="000000"/>
              <w:left w:val="nil"/>
              <w:bottom w:val="nil"/>
              <w:right w:val="nil"/>
              <w:tl2br w:val="nil"/>
              <w:tr2bl w:val="nil"/>
            </w:tcBorders>
            <w:shd w:val="clear" w:color="auto" w:fill="FFFF00"/>
            <w:tcMar>
              <w:left w:w="115" w:type="dxa"/>
              <w:right w:w="115" w:type="dxa"/>
            </w:tcMar>
            <w:vAlign w:val="center"/>
          </w:tcPr>
          <w:p w14:paraId="0F267D57" w14:textId="77777777" w:rsidR="003F0EEA" w:rsidRDefault="00FB7D0B">
            <w:pPr>
              <w:jc w:val="right"/>
              <w:rPr>
                <w:rFonts w:ascii="Arial" w:eastAsia="Arial" w:hAnsi="Arial" w:cs="Arial"/>
                <w:b/>
                <w:color w:val="000000"/>
                <w:sz w:val="16"/>
              </w:rPr>
            </w:pPr>
            <w:r>
              <w:rPr>
                <w:rFonts w:ascii="Arial" w:eastAsia="Arial" w:hAnsi="Arial" w:cs="Arial"/>
                <w:b/>
                <w:color w:val="000000"/>
                <w:sz w:val="16"/>
              </w:rPr>
              <w:t xml:space="preserve"> 229 </w:t>
            </w:r>
          </w:p>
        </w:tc>
      </w:tr>
      <w:tr w:rsidR="00FB7D0B" w14:paraId="0D4B9FDD" w14:textId="77777777" w:rsidTr="00FB7D0B">
        <w:trPr>
          <w:trHeight w:val="225"/>
        </w:trPr>
        <w:tc>
          <w:tcPr>
            <w:tcW w:w="2565" w:type="dxa"/>
            <w:gridSpan w:val="2"/>
            <w:vMerge w:val="restart"/>
            <w:tcBorders>
              <w:top w:val="nil"/>
              <w:left w:val="nil"/>
              <w:bottom w:val="nil"/>
              <w:right w:val="nil"/>
              <w:tl2br w:val="nil"/>
              <w:tr2bl w:val="nil"/>
            </w:tcBorders>
            <w:shd w:val="clear" w:color="auto" w:fill="FFFFFF"/>
            <w:tcMar>
              <w:left w:w="115" w:type="dxa"/>
              <w:right w:w="115" w:type="dxa"/>
            </w:tcMar>
            <w:vAlign w:val="bottom"/>
          </w:tcPr>
          <w:p w14:paraId="58B39CE5" w14:textId="77777777" w:rsidR="003F0EEA" w:rsidRDefault="00FB7D0B">
            <w:pPr>
              <w:rPr>
                <w:rFonts w:ascii="Arial" w:eastAsia="Arial" w:hAnsi="Arial" w:cs="Arial"/>
                <w:b/>
                <w:color w:val="000000"/>
                <w:sz w:val="16"/>
              </w:rPr>
            </w:pPr>
            <w:r>
              <w:rPr>
                <w:rFonts w:ascii="Arial" w:eastAsia="Arial" w:hAnsi="Arial" w:cs="Arial"/>
                <w:color w:val="000000"/>
                <w:sz w:val="16"/>
              </w:rPr>
              <w:t xml:space="preserve">Trust Moneys Special </w:t>
            </w:r>
          </w:p>
        </w:tc>
        <w:tc>
          <w:tcPr>
            <w:tcW w:w="915" w:type="dxa"/>
            <w:tcBorders>
              <w:top w:val="nil"/>
              <w:left w:val="nil"/>
              <w:bottom w:val="nil"/>
              <w:right w:val="nil"/>
              <w:tl2br w:val="nil"/>
              <w:tr2bl w:val="nil"/>
            </w:tcBorders>
            <w:shd w:val="clear" w:color="auto" w:fill="FFFFFF"/>
            <w:tcMar>
              <w:left w:w="115" w:type="dxa"/>
              <w:right w:w="115" w:type="dxa"/>
            </w:tcMar>
            <w:vAlign w:val="center"/>
          </w:tcPr>
          <w:p w14:paraId="7D96D740" w14:textId="77777777" w:rsidR="003F0EEA" w:rsidRDefault="003F0EEA">
            <w:pPr>
              <w:jc w:val="center"/>
              <w:rPr>
                <w:rFonts w:ascii="Arial" w:eastAsia="Arial" w:hAnsi="Arial" w:cs="Arial"/>
                <w:color w:val="000000"/>
                <w:sz w:val="16"/>
                <w:vertAlign w:val="superscript"/>
              </w:rPr>
            </w:pPr>
          </w:p>
        </w:tc>
        <w:tc>
          <w:tcPr>
            <w:tcW w:w="1050" w:type="dxa"/>
            <w:tcBorders>
              <w:top w:val="nil"/>
              <w:left w:val="nil"/>
              <w:bottom w:val="nil"/>
              <w:right w:val="nil"/>
              <w:tl2br w:val="nil"/>
              <w:tr2bl w:val="nil"/>
            </w:tcBorders>
            <w:shd w:val="clear" w:color="auto" w:fill="FFFFFF"/>
            <w:tcMar>
              <w:left w:w="115" w:type="dxa"/>
              <w:right w:w="115" w:type="dxa"/>
            </w:tcMar>
            <w:vAlign w:val="center"/>
          </w:tcPr>
          <w:p w14:paraId="1ECCBF31" w14:textId="77777777" w:rsidR="003F0EEA" w:rsidRDefault="003F0EEA">
            <w:pPr>
              <w:rPr>
                <w:rFonts w:ascii="Arial" w:eastAsia="Arial" w:hAnsi="Arial" w:cs="Arial"/>
                <w:color w:val="000000"/>
                <w:sz w:val="16"/>
                <w:vertAlign w:val="superscript"/>
              </w:rPr>
            </w:pPr>
          </w:p>
        </w:tc>
        <w:tc>
          <w:tcPr>
            <w:tcW w:w="1050" w:type="dxa"/>
            <w:tcBorders>
              <w:top w:val="nil"/>
              <w:left w:val="nil"/>
              <w:bottom w:val="nil"/>
              <w:right w:val="nil"/>
              <w:tl2br w:val="nil"/>
              <w:tr2bl w:val="nil"/>
            </w:tcBorders>
            <w:shd w:val="clear" w:color="auto" w:fill="FFFF00"/>
            <w:tcMar>
              <w:left w:w="115" w:type="dxa"/>
              <w:right w:w="115" w:type="dxa"/>
            </w:tcMar>
            <w:vAlign w:val="center"/>
          </w:tcPr>
          <w:p w14:paraId="2FCF87E7" w14:textId="77777777" w:rsidR="003F0EEA" w:rsidRDefault="003F0EEA">
            <w:pPr>
              <w:rPr>
                <w:rFonts w:ascii="Arial" w:eastAsia="Arial" w:hAnsi="Arial" w:cs="Arial"/>
                <w:b/>
                <w:color w:val="000000"/>
                <w:sz w:val="16"/>
                <w:vertAlign w:val="superscript"/>
              </w:rPr>
            </w:pPr>
          </w:p>
        </w:tc>
        <w:tc>
          <w:tcPr>
            <w:tcW w:w="1005" w:type="dxa"/>
            <w:tcBorders>
              <w:top w:val="nil"/>
              <w:left w:val="nil"/>
              <w:bottom w:val="nil"/>
              <w:right w:val="nil"/>
              <w:tl2br w:val="nil"/>
              <w:tr2bl w:val="nil"/>
            </w:tcBorders>
            <w:shd w:val="clear" w:color="auto" w:fill="FFFF00"/>
            <w:tcMar>
              <w:left w:w="115" w:type="dxa"/>
              <w:right w:w="115" w:type="dxa"/>
            </w:tcMar>
            <w:vAlign w:val="center"/>
          </w:tcPr>
          <w:p w14:paraId="479D7F3C" w14:textId="77777777" w:rsidR="003F0EEA" w:rsidRDefault="003F0EEA">
            <w:pPr>
              <w:rPr>
                <w:rFonts w:ascii="Arial" w:eastAsia="Arial" w:hAnsi="Arial" w:cs="Arial"/>
                <w:b/>
                <w:color w:val="000000"/>
                <w:sz w:val="16"/>
                <w:vertAlign w:val="superscript"/>
              </w:rPr>
            </w:pPr>
          </w:p>
        </w:tc>
        <w:tc>
          <w:tcPr>
            <w:tcW w:w="1170" w:type="dxa"/>
            <w:tcBorders>
              <w:top w:val="nil"/>
              <w:left w:val="nil"/>
              <w:bottom w:val="nil"/>
              <w:right w:val="nil"/>
              <w:tl2br w:val="nil"/>
              <w:tr2bl w:val="nil"/>
            </w:tcBorders>
            <w:shd w:val="clear" w:color="auto" w:fill="FFFF00"/>
            <w:tcMar>
              <w:left w:w="115" w:type="dxa"/>
              <w:right w:w="115" w:type="dxa"/>
            </w:tcMar>
            <w:vAlign w:val="center"/>
          </w:tcPr>
          <w:p w14:paraId="0027043B" w14:textId="77777777" w:rsidR="003F0EEA" w:rsidRDefault="003F0EEA">
            <w:pPr>
              <w:rPr>
                <w:rFonts w:ascii="Arial" w:eastAsia="Arial" w:hAnsi="Arial" w:cs="Arial"/>
                <w:b/>
                <w:color w:val="000000"/>
                <w:sz w:val="16"/>
                <w:vertAlign w:val="superscript"/>
              </w:rPr>
            </w:pPr>
          </w:p>
        </w:tc>
        <w:tc>
          <w:tcPr>
            <w:tcW w:w="1080" w:type="dxa"/>
            <w:tcBorders>
              <w:top w:val="nil"/>
              <w:left w:val="nil"/>
              <w:bottom w:val="nil"/>
              <w:right w:val="nil"/>
              <w:tl2br w:val="nil"/>
              <w:tr2bl w:val="nil"/>
            </w:tcBorders>
            <w:shd w:val="clear" w:color="auto" w:fill="FFFF00"/>
            <w:tcMar>
              <w:left w:w="115" w:type="dxa"/>
              <w:right w:w="115" w:type="dxa"/>
            </w:tcMar>
            <w:vAlign w:val="center"/>
          </w:tcPr>
          <w:p w14:paraId="73DA0055" w14:textId="77777777" w:rsidR="003F0EEA" w:rsidRDefault="003F0EEA">
            <w:pPr>
              <w:rPr>
                <w:rFonts w:ascii="Arial" w:eastAsia="Arial" w:hAnsi="Arial" w:cs="Arial"/>
                <w:b/>
                <w:color w:val="000000"/>
                <w:sz w:val="16"/>
                <w:vertAlign w:val="superscript"/>
              </w:rPr>
            </w:pPr>
          </w:p>
        </w:tc>
      </w:tr>
      <w:tr w:rsidR="00FB7D0B" w14:paraId="61151987" w14:textId="77777777" w:rsidTr="00FB7D0B">
        <w:trPr>
          <w:trHeight w:val="225"/>
        </w:trPr>
        <w:tc>
          <w:tcPr>
            <w:tcW w:w="2565" w:type="dxa"/>
            <w:gridSpan w:val="2"/>
            <w:tcBorders>
              <w:top w:val="nil"/>
              <w:left w:val="nil"/>
              <w:bottom w:val="single" w:sz="6" w:space="0" w:color="000000"/>
              <w:right w:val="nil"/>
              <w:tl2br w:val="nil"/>
              <w:tr2bl w:val="nil"/>
            </w:tcBorders>
            <w:shd w:val="clear" w:color="auto" w:fill="FFFFFF"/>
            <w:tcMar>
              <w:left w:w="115" w:type="dxa"/>
              <w:right w:w="115" w:type="dxa"/>
            </w:tcMar>
            <w:vAlign w:val="bottom"/>
          </w:tcPr>
          <w:p w14:paraId="2940A133" w14:textId="77777777" w:rsidR="003F0EEA" w:rsidRDefault="00FB7D0B">
            <w:pPr>
              <w:rPr>
                <w:rFonts w:ascii="Arial" w:eastAsia="Arial" w:hAnsi="Arial" w:cs="Arial"/>
                <w:b/>
                <w:color w:val="000000"/>
                <w:sz w:val="16"/>
                <w:vertAlign w:val="superscript"/>
              </w:rPr>
            </w:pPr>
            <w:r>
              <w:rPr>
                <w:rFonts w:ascii="Arial" w:eastAsia="Arial" w:hAnsi="Arial" w:cs="Arial"/>
                <w:color w:val="000000"/>
                <w:sz w:val="16"/>
              </w:rPr>
              <w:t>Account (A)</w:t>
            </w:r>
          </w:p>
        </w:tc>
        <w:tc>
          <w:tcPr>
            <w:tcW w:w="915" w:type="dxa"/>
            <w:tcBorders>
              <w:top w:val="nil"/>
              <w:left w:val="nil"/>
              <w:bottom w:val="single" w:sz="6" w:space="0" w:color="000000"/>
              <w:right w:val="nil"/>
              <w:tl2br w:val="nil"/>
              <w:tr2bl w:val="nil"/>
            </w:tcBorders>
            <w:shd w:val="clear" w:color="auto" w:fill="FFFFFF"/>
            <w:tcMar>
              <w:left w:w="115" w:type="dxa"/>
              <w:right w:w="115" w:type="dxa"/>
            </w:tcMar>
            <w:vAlign w:val="center"/>
          </w:tcPr>
          <w:p w14:paraId="2F74F90C" w14:textId="77777777" w:rsidR="003F0EEA" w:rsidRDefault="00FB7D0B">
            <w:pPr>
              <w:jc w:val="center"/>
              <w:rPr>
                <w:rFonts w:ascii="Arial" w:eastAsia="Arial" w:hAnsi="Arial" w:cs="Arial"/>
                <w:color w:val="000000"/>
                <w:sz w:val="16"/>
                <w:vertAlign w:val="superscript"/>
              </w:rPr>
            </w:pPr>
            <w:r>
              <w:rPr>
                <w:rFonts w:ascii="Arial" w:eastAsia="Arial" w:hAnsi="Arial" w:cs="Arial"/>
                <w:color w:val="000000"/>
                <w:sz w:val="16"/>
              </w:rPr>
              <w:t>3</w:t>
            </w:r>
          </w:p>
        </w:tc>
        <w:tc>
          <w:tcPr>
            <w:tcW w:w="1050" w:type="dxa"/>
            <w:tcBorders>
              <w:top w:val="nil"/>
              <w:left w:val="nil"/>
              <w:bottom w:val="single" w:sz="6" w:space="0" w:color="000000"/>
              <w:right w:val="nil"/>
              <w:tl2br w:val="nil"/>
              <w:tr2bl w:val="nil"/>
            </w:tcBorders>
            <w:shd w:val="clear" w:color="auto" w:fill="FFFFFF"/>
            <w:tcMar>
              <w:left w:w="115" w:type="dxa"/>
              <w:right w:w="115" w:type="dxa"/>
            </w:tcMar>
            <w:vAlign w:val="center"/>
          </w:tcPr>
          <w:p w14:paraId="3582FAD5" w14:textId="77777777" w:rsidR="003F0EEA" w:rsidRDefault="00FB7D0B">
            <w:pPr>
              <w:jc w:val="right"/>
              <w:rPr>
                <w:rFonts w:ascii="Arial" w:eastAsia="Arial" w:hAnsi="Arial" w:cs="Arial"/>
                <w:color w:val="000000"/>
                <w:sz w:val="16"/>
              </w:rPr>
            </w:pPr>
            <w:r>
              <w:rPr>
                <w:rFonts w:ascii="Arial" w:eastAsia="Arial" w:hAnsi="Arial" w:cs="Arial"/>
                <w:i/>
                <w:color w:val="000000"/>
                <w:sz w:val="16"/>
              </w:rPr>
              <w:t xml:space="preserve"> 75 </w:t>
            </w:r>
          </w:p>
        </w:tc>
        <w:tc>
          <w:tcPr>
            <w:tcW w:w="1050" w:type="dxa"/>
            <w:tcBorders>
              <w:top w:val="nil"/>
              <w:left w:val="nil"/>
              <w:bottom w:val="single" w:sz="6" w:space="0" w:color="000000"/>
              <w:right w:val="nil"/>
              <w:tl2br w:val="nil"/>
              <w:tr2bl w:val="nil"/>
            </w:tcBorders>
            <w:shd w:val="clear" w:color="auto" w:fill="FFFF00"/>
            <w:tcMar>
              <w:left w:w="115" w:type="dxa"/>
              <w:right w:w="115" w:type="dxa"/>
            </w:tcMar>
            <w:vAlign w:val="center"/>
          </w:tcPr>
          <w:p w14:paraId="7CDD7D11" w14:textId="77777777" w:rsidR="003F0EEA" w:rsidRDefault="00FB7D0B">
            <w:pPr>
              <w:jc w:val="right"/>
              <w:rPr>
                <w:rFonts w:ascii="Arial" w:eastAsia="Arial" w:hAnsi="Arial" w:cs="Arial"/>
                <w:i/>
                <w:color w:val="000000"/>
                <w:sz w:val="16"/>
              </w:rPr>
            </w:pPr>
            <w:r>
              <w:rPr>
                <w:rFonts w:ascii="Arial" w:eastAsia="Arial" w:hAnsi="Arial" w:cs="Arial"/>
                <w:i/>
                <w:color w:val="000000"/>
                <w:sz w:val="16"/>
              </w:rPr>
              <w:t xml:space="preserve"> 212 </w:t>
            </w:r>
          </w:p>
        </w:tc>
        <w:tc>
          <w:tcPr>
            <w:tcW w:w="1005" w:type="dxa"/>
            <w:tcBorders>
              <w:top w:val="nil"/>
              <w:left w:val="nil"/>
              <w:bottom w:val="single" w:sz="6" w:space="0" w:color="000000"/>
              <w:right w:val="nil"/>
              <w:tl2br w:val="nil"/>
              <w:tr2bl w:val="nil"/>
            </w:tcBorders>
            <w:shd w:val="clear" w:color="auto" w:fill="FFFF00"/>
            <w:tcMar>
              <w:left w:w="115" w:type="dxa"/>
              <w:right w:w="115" w:type="dxa"/>
            </w:tcMar>
            <w:vAlign w:val="center"/>
          </w:tcPr>
          <w:p w14:paraId="5813DE26" w14:textId="77777777" w:rsidR="003F0EEA" w:rsidRDefault="00FB7D0B">
            <w:pPr>
              <w:jc w:val="right"/>
              <w:rPr>
                <w:rFonts w:ascii="Arial" w:eastAsia="Arial" w:hAnsi="Arial" w:cs="Arial"/>
                <w:i/>
                <w:color w:val="000000"/>
                <w:sz w:val="16"/>
              </w:rPr>
            </w:pPr>
            <w:r>
              <w:rPr>
                <w:rFonts w:ascii="Arial" w:eastAsia="Arial" w:hAnsi="Arial" w:cs="Arial"/>
                <w:i/>
                <w:color w:val="000000"/>
                <w:sz w:val="16"/>
              </w:rPr>
              <w:t xml:space="preserve"> 60 </w:t>
            </w:r>
          </w:p>
        </w:tc>
        <w:tc>
          <w:tcPr>
            <w:tcW w:w="1170" w:type="dxa"/>
            <w:tcBorders>
              <w:top w:val="nil"/>
              <w:left w:val="nil"/>
              <w:bottom w:val="single" w:sz="6" w:space="0" w:color="000000"/>
              <w:right w:val="nil"/>
              <w:tl2br w:val="nil"/>
              <w:tr2bl w:val="nil"/>
            </w:tcBorders>
            <w:shd w:val="clear" w:color="auto" w:fill="FFFF00"/>
            <w:tcMar>
              <w:left w:w="115" w:type="dxa"/>
              <w:right w:w="115" w:type="dxa"/>
            </w:tcMar>
            <w:vAlign w:val="center"/>
          </w:tcPr>
          <w:p w14:paraId="0D3E4414" w14:textId="77777777" w:rsidR="003F0EEA" w:rsidRDefault="00FB7D0B">
            <w:pPr>
              <w:jc w:val="right"/>
              <w:rPr>
                <w:rFonts w:ascii="Arial" w:eastAsia="Arial" w:hAnsi="Arial" w:cs="Arial"/>
                <w:i/>
                <w:color w:val="000000"/>
                <w:sz w:val="16"/>
              </w:rPr>
            </w:pPr>
            <w:r>
              <w:rPr>
                <w:rFonts w:ascii="Arial" w:eastAsia="Arial" w:hAnsi="Arial" w:cs="Arial"/>
                <w:i/>
                <w:color w:val="000000"/>
                <w:sz w:val="16"/>
              </w:rPr>
              <w:t xml:space="preserve"> - </w:t>
            </w:r>
          </w:p>
        </w:tc>
        <w:tc>
          <w:tcPr>
            <w:tcW w:w="1080" w:type="dxa"/>
            <w:tcBorders>
              <w:top w:val="nil"/>
              <w:left w:val="nil"/>
              <w:bottom w:val="single" w:sz="6" w:space="0" w:color="000000"/>
              <w:right w:val="nil"/>
              <w:tl2br w:val="nil"/>
              <w:tr2bl w:val="nil"/>
            </w:tcBorders>
            <w:shd w:val="clear" w:color="auto" w:fill="FFFF00"/>
            <w:tcMar>
              <w:left w:w="115" w:type="dxa"/>
              <w:right w:w="115" w:type="dxa"/>
            </w:tcMar>
            <w:vAlign w:val="center"/>
          </w:tcPr>
          <w:p w14:paraId="28C678CD" w14:textId="77777777" w:rsidR="003F0EEA" w:rsidRDefault="00FB7D0B">
            <w:pPr>
              <w:jc w:val="right"/>
              <w:rPr>
                <w:rFonts w:ascii="Arial" w:eastAsia="Arial" w:hAnsi="Arial" w:cs="Arial"/>
                <w:i/>
                <w:color w:val="000000"/>
                <w:sz w:val="16"/>
              </w:rPr>
            </w:pPr>
            <w:r>
              <w:rPr>
                <w:rFonts w:ascii="Arial" w:eastAsia="Arial" w:hAnsi="Arial" w:cs="Arial"/>
                <w:i/>
                <w:color w:val="000000"/>
                <w:sz w:val="16"/>
              </w:rPr>
              <w:t xml:space="preserve"> 227 </w:t>
            </w:r>
          </w:p>
        </w:tc>
      </w:tr>
      <w:tr w:rsidR="00FB7D0B" w14:paraId="135DB4B0" w14:textId="77777777" w:rsidTr="00FB7D0B">
        <w:trPr>
          <w:trHeight w:val="225"/>
        </w:trPr>
        <w:tc>
          <w:tcPr>
            <w:tcW w:w="2565" w:type="dxa"/>
            <w:gridSpan w:val="2"/>
            <w:tcBorders>
              <w:top w:val="single" w:sz="6" w:space="0" w:color="000000"/>
              <w:left w:val="nil"/>
              <w:bottom w:val="nil"/>
              <w:right w:val="nil"/>
              <w:tl2br w:val="nil"/>
              <w:tr2bl w:val="nil"/>
            </w:tcBorders>
            <w:shd w:val="clear" w:color="auto" w:fill="FFFFFF"/>
            <w:tcMar>
              <w:left w:w="115" w:type="dxa"/>
              <w:right w:w="115" w:type="dxa"/>
            </w:tcMar>
            <w:vAlign w:val="bottom"/>
          </w:tcPr>
          <w:p w14:paraId="01812DB5" w14:textId="77777777" w:rsidR="003F0EEA" w:rsidRDefault="00FB7D0B">
            <w:pPr>
              <w:rPr>
                <w:rFonts w:ascii="Arial" w:eastAsia="Arial" w:hAnsi="Arial" w:cs="Arial"/>
                <w:i/>
                <w:color w:val="000000"/>
                <w:sz w:val="16"/>
              </w:rPr>
            </w:pPr>
            <w:r>
              <w:rPr>
                <w:rFonts w:ascii="Arial" w:eastAsia="Arial" w:hAnsi="Arial" w:cs="Arial"/>
                <w:b/>
                <w:color w:val="000000"/>
                <w:sz w:val="16"/>
              </w:rPr>
              <w:t xml:space="preserve">Total Special Accounts </w:t>
            </w:r>
          </w:p>
        </w:tc>
        <w:tc>
          <w:tcPr>
            <w:tcW w:w="915" w:type="dxa"/>
            <w:tcBorders>
              <w:top w:val="single" w:sz="6" w:space="0" w:color="000000"/>
              <w:left w:val="nil"/>
              <w:bottom w:val="nil"/>
              <w:right w:val="nil"/>
              <w:tl2br w:val="nil"/>
              <w:tr2bl w:val="nil"/>
            </w:tcBorders>
            <w:shd w:val="clear" w:color="auto" w:fill="FFFFFF"/>
            <w:tcMar>
              <w:left w:w="115" w:type="dxa"/>
              <w:right w:w="115" w:type="dxa"/>
            </w:tcMar>
            <w:vAlign w:val="center"/>
          </w:tcPr>
          <w:p w14:paraId="53C32E2D" w14:textId="77777777" w:rsidR="003F0EEA" w:rsidRDefault="003F0EEA">
            <w:pPr>
              <w:jc w:val="center"/>
              <w:rPr>
                <w:rFonts w:ascii="Arial" w:eastAsia="Arial" w:hAnsi="Arial" w:cs="Arial"/>
                <w:b/>
                <w:color w:val="000000"/>
                <w:sz w:val="16"/>
                <w:vertAlign w:val="superscript"/>
              </w:rPr>
            </w:pPr>
          </w:p>
        </w:tc>
        <w:tc>
          <w:tcPr>
            <w:tcW w:w="1050" w:type="dxa"/>
            <w:tcBorders>
              <w:top w:val="single" w:sz="6" w:space="0" w:color="000000"/>
              <w:left w:val="nil"/>
              <w:bottom w:val="nil"/>
              <w:right w:val="nil"/>
              <w:tl2br w:val="nil"/>
              <w:tr2bl w:val="nil"/>
            </w:tcBorders>
            <w:shd w:val="clear" w:color="auto" w:fill="FFFFFF"/>
            <w:tcMar>
              <w:left w:w="115" w:type="dxa"/>
              <w:right w:w="115" w:type="dxa"/>
            </w:tcMar>
            <w:vAlign w:val="center"/>
          </w:tcPr>
          <w:p w14:paraId="01CF61C0" w14:textId="77777777" w:rsidR="003F0EEA" w:rsidRDefault="003F0EEA">
            <w:pPr>
              <w:rPr>
                <w:rFonts w:ascii="Arial" w:eastAsia="Arial" w:hAnsi="Arial" w:cs="Arial"/>
                <w:color w:val="000000"/>
                <w:sz w:val="16"/>
                <w:vertAlign w:val="superscript"/>
              </w:rPr>
            </w:pPr>
          </w:p>
        </w:tc>
        <w:tc>
          <w:tcPr>
            <w:tcW w:w="1050" w:type="dxa"/>
            <w:tcBorders>
              <w:top w:val="single" w:sz="6" w:space="0" w:color="000000"/>
              <w:left w:val="nil"/>
              <w:bottom w:val="nil"/>
              <w:right w:val="nil"/>
              <w:tl2br w:val="nil"/>
              <w:tr2bl w:val="nil"/>
            </w:tcBorders>
            <w:shd w:val="clear" w:color="auto" w:fill="FFFF00"/>
            <w:tcMar>
              <w:left w:w="115" w:type="dxa"/>
              <w:right w:w="115" w:type="dxa"/>
            </w:tcMar>
            <w:vAlign w:val="center"/>
          </w:tcPr>
          <w:p w14:paraId="0BE5A2D3" w14:textId="77777777" w:rsidR="003F0EEA" w:rsidRDefault="003F0EEA">
            <w:pPr>
              <w:rPr>
                <w:rFonts w:ascii="Arial" w:eastAsia="Arial" w:hAnsi="Arial" w:cs="Arial"/>
                <w:i/>
                <w:color w:val="000000"/>
                <w:sz w:val="16"/>
                <w:vertAlign w:val="superscript"/>
              </w:rPr>
            </w:pPr>
          </w:p>
        </w:tc>
        <w:tc>
          <w:tcPr>
            <w:tcW w:w="1005" w:type="dxa"/>
            <w:tcBorders>
              <w:top w:val="single" w:sz="6" w:space="0" w:color="000000"/>
              <w:left w:val="nil"/>
              <w:bottom w:val="nil"/>
              <w:right w:val="nil"/>
              <w:tl2br w:val="nil"/>
              <w:tr2bl w:val="nil"/>
            </w:tcBorders>
            <w:shd w:val="clear" w:color="auto" w:fill="FFFF00"/>
            <w:tcMar>
              <w:left w:w="115" w:type="dxa"/>
              <w:right w:w="115" w:type="dxa"/>
            </w:tcMar>
            <w:vAlign w:val="center"/>
          </w:tcPr>
          <w:p w14:paraId="03A4223E" w14:textId="77777777" w:rsidR="003F0EEA" w:rsidRDefault="003F0EEA">
            <w:pPr>
              <w:rPr>
                <w:rFonts w:ascii="Arial" w:eastAsia="Arial" w:hAnsi="Arial" w:cs="Arial"/>
                <w:i/>
                <w:color w:val="000000"/>
                <w:sz w:val="16"/>
                <w:vertAlign w:val="superscript"/>
              </w:rPr>
            </w:pPr>
          </w:p>
        </w:tc>
        <w:tc>
          <w:tcPr>
            <w:tcW w:w="1170" w:type="dxa"/>
            <w:tcBorders>
              <w:top w:val="single" w:sz="6" w:space="0" w:color="000000"/>
              <w:left w:val="nil"/>
              <w:bottom w:val="nil"/>
              <w:right w:val="nil"/>
              <w:tl2br w:val="nil"/>
              <w:tr2bl w:val="nil"/>
            </w:tcBorders>
            <w:shd w:val="clear" w:color="auto" w:fill="FFFF00"/>
            <w:tcMar>
              <w:left w:w="115" w:type="dxa"/>
              <w:right w:w="115" w:type="dxa"/>
            </w:tcMar>
            <w:vAlign w:val="center"/>
          </w:tcPr>
          <w:p w14:paraId="4AC267B9" w14:textId="77777777" w:rsidR="003F0EEA" w:rsidRDefault="003F0EEA">
            <w:pPr>
              <w:rPr>
                <w:rFonts w:ascii="Arial" w:eastAsia="Arial" w:hAnsi="Arial" w:cs="Arial"/>
                <w:i/>
                <w:color w:val="000000"/>
                <w:sz w:val="16"/>
                <w:vertAlign w:val="superscript"/>
              </w:rPr>
            </w:pPr>
          </w:p>
        </w:tc>
        <w:tc>
          <w:tcPr>
            <w:tcW w:w="1080" w:type="dxa"/>
            <w:tcBorders>
              <w:top w:val="single" w:sz="6" w:space="0" w:color="000000"/>
              <w:left w:val="nil"/>
              <w:bottom w:val="nil"/>
              <w:right w:val="nil"/>
              <w:tl2br w:val="nil"/>
              <w:tr2bl w:val="nil"/>
            </w:tcBorders>
            <w:shd w:val="clear" w:color="auto" w:fill="FFFF00"/>
            <w:tcMar>
              <w:left w:w="115" w:type="dxa"/>
              <w:right w:w="115" w:type="dxa"/>
            </w:tcMar>
            <w:vAlign w:val="center"/>
          </w:tcPr>
          <w:p w14:paraId="1F121288" w14:textId="77777777" w:rsidR="003F0EEA" w:rsidRDefault="003F0EEA">
            <w:pPr>
              <w:rPr>
                <w:rFonts w:ascii="Arial" w:eastAsia="Arial" w:hAnsi="Arial" w:cs="Arial"/>
                <w:i/>
                <w:color w:val="000000"/>
                <w:sz w:val="16"/>
                <w:vertAlign w:val="superscript"/>
              </w:rPr>
            </w:pPr>
          </w:p>
        </w:tc>
      </w:tr>
      <w:tr w:rsidR="00724034" w14:paraId="13A0CA48" w14:textId="77777777">
        <w:trPr>
          <w:trHeight w:val="225"/>
        </w:trPr>
        <w:tc>
          <w:tcPr>
            <w:tcW w:w="180" w:type="dxa"/>
            <w:tcBorders>
              <w:top w:val="nil"/>
              <w:left w:val="nil"/>
              <w:bottom w:val="single" w:sz="6" w:space="0" w:color="000000"/>
              <w:right w:val="nil"/>
              <w:tl2br w:val="nil"/>
              <w:tr2bl w:val="nil"/>
            </w:tcBorders>
            <w:shd w:val="clear" w:color="auto" w:fill="FFFFFF"/>
            <w:tcMar>
              <w:left w:w="115" w:type="dxa"/>
              <w:right w:w="115" w:type="dxa"/>
            </w:tcMar>
            <w:vAlign w:val="center"/>
          </w:tcPr>
          <w:p w14:paraId="0CE99025" w14:textId="77777777" w:rsidR="003F0EEA" w:rsidRDefault="003F0EEA">
            <w:pPr>
              <w:rPr>
                <w:rFonts w:ascii="Arial" w:eastAsia="Arial" w:hAnsi="Arial" w:cs="Arial"/>
                <w:i/>
                <w:color w:val="000000"/>
                <w:sz w:val="16"/>
                <w:vertAlign w:val="superscript"/>
              </w:rPr>
            </w:pPr>
          </w:p>
        </w:tc>
        <w:tc>
          <w:tcPr>
            <w:tcW w:w="2385"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774B8480" w14:textId="77777777" w:rsidR="003F0EEA" w:rsidRDefault="00FB7D0B">
            <w:pPr>
              <w:rPr>
                <w:rFonts w:ascii="Arial" w:eastAsia="Arial" w:hAnsi="Arial" w:cs="Arial"/>
                <w:color w:val="000000"/>
                <w:sz w:val="16"/>
                <w:vertAlign w:val="superscript"/>
              </w:rPr>
            </w:pPr>
            <w:r>
              <w:rPr>
                <w:rFonts w:ascii="Arial" w:eastAsia="Arial" w:hAnsi="Arial" w:cs="Arial"/>
                <w:b/>
                <w:color w:val="000000"/>
                <w:sz w:val="16"/>
              </w:rPr>
              <w:t>2014-15 Budget estimate</w:t>
            </w:r>
          </w:p>
        </w:tc>
        <w:tc>
          <w:tcPr>
            <w:tcW w:w="915" w:type="dxa"/>
            <w:tcBorders>
              <w:top w:val="nil"/>
              <w:left w:val="nil"/>
              <w:bottom w:val="single" w:sz="6" w:space="0" w:color="000000"/>
              <w:right w:val="nil"/>
              <w:tl2br w:val="nil"/>
              <w:tr2bl w:val="nil"/>
            </w:tcBorders>
            <w:shd w:val="clear" w:color="auto" w:fill="FFFFFF"/>
            <w:tcMar>
              <w:left w:w="115" w:type="dxa"/>
              <w:right w:w="115" w:type="dxa"/>
            </w:tcMar>
            <w:vAlign w:val="center"/>
          </w:tcPr>
          <w:p w14:paraId="27271105" w14:textId="77777777" w:rsidR="003F0EEA" w:rsidRDefault="003F0EEA">
            <w:pPr>
              <w:jc w:val="center"/>
              <w:rPr>
                <w:rFonts w:ascii="Arial" w:eastAsia="Arial" w:hAnsi="Arial" w:cs="Arial"/>
                <w:b/>
                <w:color w:val="000000"/>
                <w:sz w:val="16"/>
                <w:vertAlign w:val="superscript"/>
              </w:rPr>
            </w:pPr>
          </w:p>
        </w:tc>
        <w:tc>
          <w:tcPr>
            <w:tcW w:w="1050" w:type="dxa"/>
            <w:tcBorders>
              <w:top w:val="nil"/>
              <w:left w:val="nil"/>
              <w:bottom w:val="single" w:sz="6" w:space="0" w:color="000000"/>
              <w:right w:val="nil"/>
              <w:tl2br w:val="nil"/>
              <w:tr2bl w:val="nil"/>
            </w:tcBorders>
            <w:shd w:val="clear" w:color="auto" w:fill="FFFFFF"/>
            <w:tcMar>
              <w:left w:w="115" w:type="dxa"/>
              <w:right w:w="115" w:type="dxa"/>
            </w:tcMar>
            <w:vAlign w:val="center"/>
          </w:tcPr>
          <w:p w14:paraId="20C4C3A9" w14:textId="77777777" w:rsidR="003F0EEA" w:rsidRDefault="00FB7D0B">
            <w:pPr>
              <w:jc w:val="right"/>
              <w:rPr>
                <w:rFonts w:ascii="Arial" w:eastAsia="Arial" w:hAnsi="Arial" w:cs="Arial"/>
                <w:color w:val="000000"/>
                <w:sz w:val="16"/>
                <w:vertAlign w:val="superscript"/>
              </w:rPr>
            </w:pPr>
            <w:r>
              <w:rPr>
                <w:rFonts w:ascii="Arial" w:eastAsia="Arial" w:hAnsi="Arial" w:cs="Arial"/>
                <w:b/>
                <w:color w:val="000000"/>
                <w:sz w:val="16"/>
              </w:rPr>
              <w:t xml:space="preserve"> 1,871 </w:t>
            </w:r>
          </w:p>
        </w:tc>
        <w:tc>
          <w:tcPr>
            <w:tcW w:w="1050" w:type="dxa"/>
            <w:tcBorders>
              <w:top w:val="nil"/>
              <w:left w:val="nil"/>
              <w:bottom w:val="single" w:sz="6" w:space="0" w:color="000000"/>
              <w:right w:val="nil"/>
              <w:tl2br w:val="nil"/>
              <w:tr2bl w:val="nil"/>
            </w:tcBorders>
            <w:shd w:val="clear" w:color="auto" w:fill="FFFF00"/>
            <w:tcMar>
              <w:left w:w="115" w:type="dxa"/>
              <w:right w:w="115" w:type="dxa"/>
            </w:tcMar>
            <w:vAlign w:val="center"/>
          </w:tcPr>
          <w:p w14:paraId="3792F1E1" w14:textId="77777777" w:rsidR="003F0EEA" w:rsidRDefault="00FB7D0B">
            <w:pPr>
              <w:jc w:val="right"/>
              <w:rPr>
                <w:rFonts w:ascii="Arial" w:eastAsia="Arial" w:hAnsi="Arial" w:cs="Arial"/>
                <w:b/>
                <w:color w:val="000000"/>
                <w:sz w:val="16"/>
              </w:rPr>
            </w:pPr>
            <w:r>
              <w:rPr>
                <w:rFonts w:ascii="Arial" w:eastAsia="Arial" w:hAnsi="Arial" w:cs="Arial"/>
                <w:b/>
                <w:color w:val="000000"/>
                <w:sz w:val="16"/>
              </w:rPr>
              <w:t xml:space="preserve"> 71,137 </w:t>
            </w:r>
          </w:p>
        </w:tc>
        <w:tc>
          <w:tcPr>
            <w:tcW w:w="1005" w:type="dxa"/>
            <w:tcBorders>
              <w:top w:val="nil"/>
              <w:left w:val="nil"/>
              <w:bottom w:val="single" w:sz="6" w:space="0" w:color="000000"/>
              <w:right w:val="nil"/>
              <w:tl2br w:val="nil"/>
              <w:tr2bl w:val="nil"/>
            </w:tcBorders>
            <w:shd w:val="clear" w:color="auto" w:fill="FFFF00"/>
            <w:tcMar>
              <w:left w:w="115" w:type="dxa"/>
              <w:right w:w="115" w:type="dxa"/>
            </w:tcMar>
            <w:vAlign w:val="center"/>
          </w:tcPr>
          <w:p w14:paraId="1B560328" w14:textId="77777777" w:rsidR="003F0EEA" w:rsidRDefault="00FB7D0B">
            <w:pPr>
              <w:jc w:val="right"/>
              <w:rPr>
                <w:rFonts w:ascii="Arial" w:eastAsia="Arial" w:hAnsi="Arial" w:cs="Arial"/>
                <w:b/>
                <w:color w:val="000000"/>
                <w:sz w:val="16"/>
              </w:rPr>
            </w:pPr>
            <w:r>
              <w:rPr>
                <w:rFonts w:ascii="Arial" w:eastAsia="Arial" w:hAnsi="Arial" w:cs="Arial"/>
                <w:b/>
                <w:color w:val="000000"/>
                <w:sz w:val="16"/>
              </w:rPr>
              <w:t xml:space="preserve"> 71,032 </w:t>
            </w:r>
          </w:p>
        </w:tc>
        <w:tc>
          <w:tcPr>
            <w:tcW w:w="1170" w:type="dxa"/>
            <w:tcBorders>
              <w:top w:val="nil"/>
              <w:left w:val="nil"/>
              <w:bottom w:val="single" w:sz="6" w:space="0" w:color="000000"/>
              <w:right w:val="nil"/>
              <w:tl2br w:val="nil"/>
              <w:tr2bl w:val="nil"/>
            </w:tcBorders>
            <w:shd w:val="clear" w:color="auto" w:fill="FFFF00"/>
            <w:tcMar>
              <w:left w:w="115" w:type="dxa"/>
              <w:right w:w="115" w:type="dxa"/>
            </w:tcMar>
            <w:vAlign w:val="center"/>
          </w:tcPr>
          <w:p w14:paraId="4DC3D4C5" w14:textId="77777777" w:rsidR="003F0EEA" w:rsidRDefault="00FB7D0B">
            <w:pPr>
              <w:jc w:val="right"/>
              <w:rPr>
                <w:rFonts w:ascii="Arial" w:eastAsia="Arial" w:hAnsi="Arial" w:cs="Arial"/>
                <w:b/>
                <w:color w:val="000000"/>
                <w:sz w:val="16"/>
              </w:rPr>
            </w:pPr>
            <w:r>
              <w:rPr>
                <w:rFonts w:ascii="Arial" w:eastAsia="Arial" w:hAnsi="Arial" w:cs="Arial"/>
                <w:b/>
                <w:color w:val="000000"/>
                <w:sz w:val="16"/>
              </w:rPr>
              <w:t xml:space="preserve"> - </w:t>
            </w:r>
          </w:p>
        </w:tc>
        <w:tc>
          <w:tcPr>
            <w:tcW w:w="1080" w:type="dxa"/>
            <w:tcBorders>
              <w:top w:val="nil"/>
              <w:left w:val="nil"/>
              <w:bottom w:val="single" w:sz="6" w:space="0" w:color="000000"/>
              <w:right w:val="nil"/>
              <w:tl2br w:val="nil"/>
              <w:tr2bl w:val="nil"/>
            </w:tcBorders>
            <w:shd w:val="clear" w:color="auto" w:fill="FFFF00"/>
            <w:tcMar>
              <w:left w:w="115" w:type="dxa"/>
              <w:right w:w="115" w:type="dxa"/>
            </w:tcMar>
            <w:vAlign w:val="center"/>
          </w:tcPr>
          <w:p w14:paraId="6CC66F18" w14:textId="77777777" w:rsidR="003F0EEA" w:rsidRDefault="00FB7D0B">
            <w:pPr>
              <w:jc w:val="right"/>
              <w:rPr>
                <w:rFonts w:ascii="Arial" w:eastAsia="Arial" w:hAnsi="Arial" w:cs="Arial"/>
                <w:b/>
                <w:color w:val="000000"/>
                <w:sz w:val="16"/>
              </w:rPr>
            </w:pPr>
            <w:r>
              <w:rPr>
                <w:rFonts w:ascii="Arial" w:eastAsia="Arial" w:hAnsi="Arial" w:cs="Arial"/>
                <w:b/>
                <w:color w:val="000000"/>
                <w:sz w:val="16"/>
              </w:rPr>
              <w:t xml:space="preserve"> 1,976 </w:t>
            </w:r>
          </w:p>
        </w:tc>
      </w:tr>
      <w:tr w:rsidR="00FB7D0B" w14:paraId="018A9279" w14:textId="77777777" w:rsidTr="00FB7D0B">
        <w:trPr>
          <w:trHeight w:val="225"/>
        </w:trPr>
        <w:tc>
          <w:tcPr>
            <w:tcW w:w="2565" w:type="dxa"/>
            <w:gridSpan w:val="2"/>
            <w:tcBorders>
              <w:top w:val="single" w:sz="6" w:space="0" w:color="000000"/>
              <w:left w:val="nil"/>
              <w:bottom w:val="nil"/>
              <w:right w:val="nil"/>
              <w:tl2br w:val="nil"/>
              <w:tr2bl w:val="nil"/>
            </w:tcBorders>
            <w:shd w:val="clear" w:color="auto" w:fill="FFFFFF"/>
            <w:tcMar>
              <w:left w:w="115" w:type="dxa"/>
              <w:right w:w="115" w:type="dxa"/>
            </w:tcMar>
            <w:vAlign w:val="bottom"/>
          </w:tcPr>
          <w:p w14:paraId="1A7CE8A0" w14:textId="77777777" w:rsidR="003F0EEA" w:rsidRDefault="00FB7D0B">
            <w:pPr>
              <w:rPr>
                <w:rFonts w:ascii="Arial" w:eastAsia="Arial" w:hAnsi="Arial" w:cs="Arial"/>
                <w:b/>
                <w:color w:val="000000"/>
                <w:sz w:val="16"/>
              </w:rPr>
            </w:pPr>
            <w:r>
              <w:rPr>
                <w:rFonts w:ascii="Arial" w:eastAsia="Arial" w:hAnsi="Arial" w:cs="Arial"/>
                <w:i/>
                <w:color w:val="000000"/>
                <w:sz w:val="16"/>
              </w:rPr>
              <w:t>Total Special Accounts</w:t>
            </w:r>
          </w:p>
        </w:tc>
        <w:tc>
          <w:tcPr>
            <w:tcW w:w="915" w:type="dxa"/>
            <w:tcBorders>
              <w:top w:val="single" w:sz="6" w:space="0" w:color="000000"/>
              <w:left w:val="nil"/>
              <w:bottom w:val="nil"/>
              <w:right w:val="nil"/>
              <w:tl2br w:val="nil"/>
              <w:tr2bl w:val="nil"/>
            </w:tcBorders>
            <w:shd w:val="clear" w:color="auto" w:fill="FFFFFF"/>
            <w:tcMar>
              <w:left w:w="115" w:type="dxa"/>
              <w:right w:w="115" w:type="dxa"/>
            </w:tcMar>
            <w:vAlign w:val="center"/>
          </w:tcPr>
          <w:p w14:paraId="44F50C01" w14:textId="77777777" w:rsidR="003F0EEA" w:rsidRDefault="003F0EEA">
            <w:pPr>
              <w:jc w:val="center"/>
              <w:rPr>
                <w:rFonts w:ascii="Arial" w:eastAsia="Arial" w:hAnsi="Arial" w:cs="Arial"/>
                <w:i/>
                <w:color w:val="000000"/>
                <w:sz w:val="16"/>
                <w:vertAlign w:val="superscript"/>
              </w:rPr>
            </w:pPr>
          </w:p>
        </w:tc>
        <w:tc>
          <w:tcPr>
            <w:tcW w:w="1050" w:type="dxa"/>
            <w:tcBorders>
              <w:top w:val="single" w:sz="6" w:space="0" w:color="000000"/>
              <w:left w:val="nil"/>
              <w:bottom w:val="nil"/>
              <w:right w:val="nil"/>
              <w:tl2br w:val="nil"/>
              <w:tr2bl w:val="nil"/>
            </w:tcBorders>
            <w:shd w:val="clear" w:color="auto" w:fill="FFFFFF"/>
            <w:tcMar>
              <w:left w:w="115" w:type="dxa"/>
              <w:right w:w="115" w:type="dxa"/>
            </w:tcMar>
            <w:vAlign w:val="center"/>
          </w:tcPr>
          <w:p w14:paraId="07DA5FF4" w14:textId="77777777" w:rsidR="003F0EEA" w:rsidRDefault="003F0EEA">
            <w:pPr>
              <w:rPr>
                <w:rFonts w:ascii="Arial" w:eastAsia="Arial" w:hAnsi="Arial" w:cs="Arial"/>
                <w:color w:val="000000"/>
                <w:sz w:val="16"/>
                <w:vertAlign w:val="superscript"/>
              </w:rPr>
            </w:pPr>
          </w:p>
        </w:tc>
        <w:tc>
          <w:tcPr>
            <w:tcW w:w="1050" w:type="dxa"/>
            <w:tcBorders>
              <w:top w:val="single" w:sz="6" w:space="0" w:color="000000"/>
              <w:left w:val="nil"/>
              <w:bottom w:val="nil"/>
              <w:right w:val="nil"/>
              <w:tl2br w:val="nil"/>
              <w:tr2bl w:val="nil"/>
            </w:tcBorders>
            <w:shd w:val="clear" w:color="auto" w:fill="FFFF00"/>
            <w:tcMar>
              <w:left w:w="115" w:type="dxa"/>
              <w:right w:w="115" w:type="dxa"/>
            </w:tcMar>
            <w:vAlign w:val="center"/>
          </w:tcPr>
          <w:p w14:paraId="5F9FC218" w14:textId="77777777" w:rsidR="003F0EEA" w:rsidRDefault="003F0EEA">
            <w:pPr>
              <w:rPr>
                <w:rFonts w:ascii="Arial" w:eastAsia="Arial" w:hAnsi="Arial" w:cs="Arial"/>
                <w:color w:val="000000"/>
                <w:sz w:val="16"/>
                <w:vertAlign w:val="superscript"/>
              </w:rPr>
            </w:pPr>
          </w:p>
        </w:tc>
        <w:tc>
          <w:tcPr>
            <w:tcW w:w="1005" w:type="dxa"/>
            <w:tcBorders>
              <w:top w:val="single" w:sz="6" w:space="0" w:color="000000"/>
              <w:left w:val="nil"/>
              <w:bottom w:val="nil"/>
              <w:right w:val="nil"/>
              <w:tl2br w:val="nil"/>
              <w:tr2bl w:val="nil"/>
            </w:tcBorders>
            <w:shd w:val="clear" w:color="auto" w:fill="FFFF00"/>
            <w:tcMar>
              <w:left w:w="115" w:type="dxa"/>
              <w:right w:w="115" w:type="dxa"/>
            </w:tcMar>
            <w:vAlign w:val="center"/>
          </w:tcPr>
          <w:p w14:paraId="0EE6043D" w14:textId="77777777" w:rsidR="003F0EEA" w:rsidRDefault="003F0EEA">
            <w:pPr>
              <w:rPr>
                <w:rFonts w:ascii="Arial" w:eastAsia="Arial" w:hAnsi="Arial" w:cs="Arial"/>
                <w:color w:val="000000"/>
                <w:sz w:val="16"/>
                <w:vertAlign w:val="superscript"/>
              </w:rPr>
            </w:pPr>
          </w:p>
        </w:tc>
        <w:tc>
          <w:tcPr>
            <w:tcW w:w="1170" w:type="dxa"/>
            <w:tcBorders>
              <w:top w:val="single" w:sz="6" w:space="0" w:color="000000"/>
              <w:left w:val="nil"/>
              <w:bottom w:val="nil"/>
              <w:right w:val="nil"/>
              <w:tl2br w:val="nil"/>
              <w:tr2bl w:val="nil"/>
            </w:tcBorders>
            <w:shd w:val="clear" w:color="auto" w:fill="FFFF00"/>
            <w:tcMar>
              <w:left w:w="115" w:type="dxa"/>
              <w:right w:w="115" w:type="dxa"/>
            </w:tcMar>
            <w:vAlign w:val="center"/>
          </w:tcPr>
          <w:p w14:paraId="293D52C1" w14:textId="77777777" w:rsidR="003F0EEA" w:rsidRDefault="003F0EEA">
            <w:pPr>
              <w:rPr>
                <w:rFonts w:ascii="Arial" w:eastAsia="Arial" w:hAnsi="Arial" w:cs="Arial"/>
                <w:color w:val="000000"/>
                <w:sz w:val="16"/>
                <w:vertAlign w:val="superscript"/>
              </w:rPr>
            </w:pPr>
          </w:p>
        </w:tc>
        <w:tc>
          <w:tcPr>
            <w:tcW w:w="1080" w:type="dxa"/>
            <w:tcBorders>
              <w:top w:val="single" w:sz="6" w:space="0" w:color="000000"/>
              <w:left w:val="nil"/>
              <w:bottom w:val="nil"/>
              <w:right w:val="nil"/>
              <w:tl2br w:val="nil"/>
              <w:tr2bl w:val="nil"/>
            </w:tcBorders>
            <w:shd w:val="clear" w:color="auto" w:fill="FFFF00"/>
            <w:tcMar>
              <w:left w:w="115" w:type="dxa"/>
              <w:right w:w="115" w:type="dxa"/>
            </w:tcMar>
            <w:vAlign w:val="center"/>
          </w:tcPr>
          <w:p w14:paraId="309C919A" w14:textId="77777777" w:rsidR="003F0EEA" w:rsidRDefault="003F0EEA">
            <w:pPr>
              <w:rPr>
                <w:rFonts w:ascii="Arial" w:eastAsia="Arial" w:hAnsi="Arial" w:cs="Arial"/>
                <w:color w:val="000000"/>
                <w:sz w:val="16"/>
                <w:vertAlign w:val="superscript"/>
              </w:rPr>
            </w:pPr>
          </w:p>
        </w:tc>
      </w:tr>
      <w:tr w:rsidR="00724034" w14:paraId="4CFBF57E" w14:textId="77777777">
        <w:trPr>
          <w:trHeight w:val="225"/>
        </w:trPr>
        <w:tc>
          <w:tcPr>
            <w:tcW w:w="180" w:type="dxa"/>
            <w:tcBorders>
              <w:top w:val="nil"/>
              <w:left w:val="nil"/>
              <w:bottom w:val="single" w:sz="6" w:space="0" w:color="000000"/>
              <w:right w:val="nil"/>
              <w:tl2br w:val="nil"/>
              <w:tr2bl w:val="nil"/>
            </w:tcBorders>
            <w:shd w:val="clear" w:color="auto" w:fill="FFFFFF"/>
            <w:tcMar>
              <w:left w:w="115" w:type="dxa"/>
              <w:right w:w="115" w:type="dxa"/>
            </w:tcMar>
            <w:vAlign w:val="center"/>
          </w:tcPr>
          <w:p w14:paraId="3C21D10C" w14:textId="77777777" w:rsidR="003F0EEA" w:rsidRDefault="003F0EEA">
            <w:pPr>
              <w:rPr>
                <w:rFonts w:ascii="Arial" w:eastAsia="Arial" w:hAnsi="Arial" w:cs="Arial"/>
                <w:color w:val="000000"/>
                <w:sz w:val="16"/>
                <w:vertAlign w:val="superscript"/>
              </w:rPr>
            </w:pPr>
          </w:p>
        </w:tc>
        <w:tc>
          <w:tcPr>
            <w:tcW w:w="2385"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785D8FD3" w14:textId="77777777" w:rsidR="003F0EEA" w:rsidRDefault="00FB7D0B">
            <w:pPr>
              <w:rPr>
                <w:rFonts w:ascii="Arial" w:eastAsia="Arial" w:hAnsi="Arial" w:cs="Arial"/>
                <w:color w:val="000000"/>
                <w:sz w:val="16"/>
                <w:vertAlign w:val="superscript"/>
              </w:rPr>
            </w:pPr>
            <w:r>
              <w:rPr>
                <w:rFonts w:ascii="Arial" w:eastAsia="Arial" w:hAnsi="Arial" w:cs="Arial"/>
                <w:i/>
                <w:color w:val="000000"/>
                <w:sz w:val="16"/>
              </w:rPr>
              <w:t>2013-14 estimate actual</w:t>
            </w:r>
          </w:p>
        </w:tc>
        <w:tc>
          <w:tcPr>
            <w:tcW w:w="915" w:type="dxa"/>
            <w:tcBorders>
              <w:top w:val="nil"/>
              <w:left w:val="nil"/>
              <w:bottom w:val="single" w:sz="6" w:space="0" w:color="000000"/>
              <w:right w:val="nil"/>
              <w:tl2br w:val="nil"/>
              <w:tr2bl w:val="nil"/>
            </w:tcBorders>
            <w:shd w:val="clear" w:color="auto" w:fill="FFFFFF"/>
            <w:tcMar>
              <w:left w:w="115" w:type="dxa"/>
              <w:right w:w="115" w:type="dxa"/>
            </w:tcMar>
            <w:vAlign w:val="center"/>
          </w:tcPr>
          <w:p w14:paraId="38638E7C" w14:textId="77777777" w:rsidR="003F0EEA" w:rsidRDefault="003F0EEA">
            <w:pPr>
              <w:jc w:val="center"/>
              <w:rPr>
                <w:rFonts w:ascii="Arial" w:eastAsia="Arial" w:hAnsi="Arial" w:cs="Arial"/>
                <w:i/>
                <w:color w:val="000000"/>
                <w:sz w:val="16"/>
                <w:vertAlign w:val="superscript"/>
              </w:rPr>
            </w:pPr>
          </w:p>
        </w:tc>
        <w:tc>
          <w:tcPr>
            <w:tcW w:w="1050" w:type="dxa"/>
            <w:tcBorders>
              <w:top w:val="nil"/>
              <w:left w:val="nil"/>
              <w:bottom w:val="single" w:sz="6" w:space="0" w:color="000000"/>
              <w:right w:val="nil"/>
              <w:tl2br w:val="nil"/>
              <w:tr2bl w:val="nil"/>
            </w:tcBorders>
            <w:shd w:val="clear" w:color="auto" w:fill="FFFFFF"/>
            <w:tcMar>
              <w:left w:w="115" w:type="dxa"/>
              <w:right w:w="115" w:type="dxa"/>
            </w:tcMar>
            <w:vAlign w:val="center"/>
          </w:tcPr>
          <w:p w14:paraId="5E5DF633" w14:textId="77777777" w:rsidR="003F0EEA" w:rsidRDefault="00FB7D0B">
            <w:pPr>
              <w:jc w:val="right"/>
              <w:rPr>
                <w:rFonts w:ascii="Arial" w:eastAsia="Arial" w:hAnsi="Arial" w:cs="Arial"/>
                <w:color w:val="000000"/>
                <w:sz w:val="16"/>
                <w:vertAlign w:val="superscript"/>
              </w:rPr>
            </w:pPr>
            <w:r>
              <w:rPr>
                <w:rFonts w:ascii="Arial" w:eastAsia="Arial" w:hAnsi="Arial" w:cs="Arial"/>
                <w:i/>
                <w:color w:val="000000"/>
                <w:sz w:val="16"/>
              </w:rPr>
              <w:t xml:space="preserve"> 2,709 </w:t>
            </w:r>
          </w:p>
        </w:tc>
        <w:tc>
          <w:tcPr>
            <w:tcW w:w="1050" w:type="dxa"/>
            <w:tcBorders>
              <w:top w:val="nil"/>
              <w:left w:val="nil"/>
              <w:bottom w:val="single" w:sz="6" w:space="0" w:color="000000"/>
              <w:right w:val="nil"/>
              <w:tl2br w:val="nil"/>
              <w:tr2bl w:val="nil"/>
            </w:tcBorders>
            <w:shd w:val="clear" w:color="auto" w:fill="FFFF00"/>
            <w:tcMar>
              <w:left w:w="115" w:type="dxa"/>
              <w:right w:w="115" w:type="dxa"/>
            </w:tcMar>
            <w:vAlign w:val="center"/>
          </w:tcPr>
          <w:p w14:paraId="55BAE37C" w14:textId="77777777" w:rsidR="003F0EEA" w:rsidRDefault="00FB7D0B">
            <w:pPr>
              <w:jc w:val="right"/>
              <w:rPr>
                <w:rFonts w:ascii="Arial" w:eastAsia="Arial" w:hAnsi="Arial" w:cs="Arial"/>
                <w:i/>
                <w:color w:val="000000"/>
                <w:sz w:val="16"/>
              </w:rPr>
            </w:pPr>
            <w:r>
              <w:rPr>
                <w:rFonts w:ascii="Arial" w:eastAsia="Arial" w:hAnsi="Arial" w:cs="Arial"/>
                <w:i/>
                <w:color w:val="000000"/>
                <w:sz w:val="16"/>
              </w:rPr>
              <w:t xml:space="preserve"> 44,684 </w:t>
            </w:r>
          </w:p>
        </w:tc>
        <w:tc>
          <w:tcPr>
            <w:tcW w:w="1005" w:type="dxa"/>
            <w:tcBorders>
              <w:top w:val="nil"/>
              <w:left w:val="nil"/>
              <w:bottom w:val="single" w:sz="6" w:space="0" w:color="000000"/>
              <w:right w:val="nil"/>
              <w:tl2br w:val="nil"/>
              <w:tr2bl w:val="nil"/>
            </w:tcBorders>
            <w:shd w:val="clear" w:color="auto" w:fill="FFFF00"/>
            <w:tcMar>
              <w:left w:w="115" w:type="dxa"/>
              <w:right w:w="115" w:type="dxa"/>
            </w:tcMar>
            <w:vAlign w:val="center"/>
          </w:tcPr>
          <w:p w14:paraId="7DB5E788" w14:textId="77777777" w:rsidR="003F0EEA" w:rsidRDefault="00FB7D0B">
            <w:pPr>
              <w:jc w:val="right"/>
              <w:rPr>
                <w:rFonts w:ascii="Arial" w:eastAsia="Arial" w:hAnsi="Arial" w:cs="Arial"/>
                <w:i/>
                <w:color w:val="000000"/>
                <w:sz w:val="16"/>
              </w:rPr>
            </w:pPr>
            <w:r>
              <w:rPr>
                <w:rFonts w:ascii="Arial" w:eastAsia="Arial" w:hAnsi="Arial" w:cs="Arial"/>
                <w:i/>
                <w:color w:val="000000"/>
                <w:sz w:val="16"/>
              </w:rPr>
              <w:t xml:space="preserve"> 45,522 </w:t>
            </w:r>
          </w:p>
        </w:tc>
        <w:tc>
          <w:tcPr>
            <w:tcW w:w="1170" w:type="dxa"/>
            <w:tcBorders>
              <w:top w:val="nil"/>
              <w:left w:val="nil"/>
              <w:bottom w:val="single" w:sz="6" w:space="0" w:color="000000"/>
              <w:right w:val="nil"/>
              <w:tl2br w:val="nil"/>
              <w:tr2bl w:val="nil"/>
            </w:tcBorders>
            <w:shd w:val="clear" w:color="auto" w:fill="FFFF00"/>
            <w:tcMar>
              <w:left w:w="115" w:type="dxa"/>
              <w:right w:w="115" w:type="dxa"/>
            </w:tcMar>
            <w:vAlign w:val="center"/>
          </w:tcPr>
          <w:p w14:paraId="4680444B" w14:textId="77777777" w:rsidR="003F0EEA" w:rsidRDefault="00FB7D0B">
            <w:pPr>
              <w:jc w:val="right"/>
              <w:rPr>
                <w:rFonts w:ascii="Arial" w:eastAsia="Arial" w:hAnsi="Arial" w:cs="Arial"/>
                <w:i/>
                <w:color w:val="000000"/>
                <w:sz w:val="16"/>
              </w:rPr>
            </w:pPr>
            <w:r>
              <w:rPr>
                <w:rFonts w:ascii="Arial" w:eastAsia="Arial" w:hAnsi="Arial" w:cs="Arial"/>
                <w:i/>
                <w:color w:val="000000"/>
                <w:sz w:val="16"/>
              </w:rPr>
              <w:t xml:space="preserve"> - </w:t>
            </w:r>
          </w:p>
        </w:tc>
        <w:tc>
          <w:tcPr>
            <w:tcW w:w="1080" w:type="dxa"/>
            <w:tcBorders>
              <w:top w:val="nil"/>
              <w:left w:val="nil"/>
              <w:bottom w:val="single" w:sz="6" w:space="0" w:color="000000"/>
              <w:right w:val="nil"/>
              <w:tl2br w:val="nil"/>
              <w:tr2bl w:val="nil"/>
            </w:tcBorders>
            <w:shd w:val="clear" w:color="auto" w:fill="FFFF00"/>
            <w:tcMar>
              <w:left w:w="115" w:type="dxa"/>
              <w:right w:w="115" w:type="dxa"/>
            </w:tcMar>
            <w:vAlign w:val="center"/>
          </w:tcPr>
          <w:p w14:paraId="41C8BCB3" w14:textId="77777777" w:rsidR="003F0EEA" w:rsidRDefault="00FB7D0B">
            <w:pPr>
              <w:jc w:val="right"/>
              <w:rPr>
                <w:rFonts w:ascii="Arial" w:eastAsia="Arial" w:hAnsi="Arial" w:cs="Arial"/>
                <w:i/>
                <w:color w:val="000000"/>
                <w:sz w:val="16"/>
              </w:rPr>
            </w:pPr>
            <w:r>
              <w:rPr>
                <w:rFonts w:ascii="Arial" w:eastAsia="Arial" w:hAnsi="Arial" w:cs="Arial"/>
                <w:i/>
                <w:color w:val="000000"/>
                <w:sz w:val="16"/>
              </w:rPr>
              <w:t xml:space="preserve"> 1,871 </w:t>
            </w:r>
          </w:p>
        </w:tc>
      </w:tr>
    </w:tbl>
    <w:p w14:paraId="7905D423" w14:textId="77777777" w:rsidR="003F0EEA" w:rsidRDefault="003F0EEA" w:rsidP="003F0EEA">
      <w:pPr>
        <w:pStyle w:val="ChartandTableFootnote4"/>
        <w:rPr>
          <w:rFonts w:eastAsia="Calibri"/>
        </w:rPr>
      </w:pPr>
    </w:p>
    <w:p w14:paraId="6FA83C19" w14:textId="77777777" w:rsidR="003F0EEA" w:rsidRDefault="00FB7D0B" w:rsidP="003F0EEA">
      <w:pPr>
        <w:pStyle w:val="ChartandTableFootnote4"/>
        <w:rPr>
          <w:rFonts w:eastAsia="Calibri"/>
        </w:rPr>
      </w:pPr>
      <w:r>
        <w:rPr>
          <w:rFonts w:eastAsia="Calibri"/>
        </w:rPr>
        <w:t>(A) = Special Public Money, Administered</w:t>
      </w:r>
    </w:p>
    <w:p w14:paraId="24166ED0" w14:textId="77777777" w:rsidR="003F0EEA" w:rsidRPr="002363B0" w:rsidRDefault="00FB7D0B" w:rsidP="003F0EEA">
      <w:pPr>
        <w:pStyle w:val="ChartandTableFootnote4"/>
        <w:rPr>
          <w:rFonts w:eastAsia="Calibri"/>
        </w:rPr>
      </w:pPr>
      <w:r>
        <w:rPr>
          <w:rFonts w:eastAsia="Calibri"/>
        </w:rPr>
        <w:t>(D) = Departmental</w:t>
      </w:r>
    </w:p>
    <w:p w14:paraId="0BA5F26A" w14:textId="77777777" w:rsidR="003F0EEA" w:rsidRDefault="003F0EEA" w:rsidP="003F0EEA">
      <w:pPr>
        <w:pStyle w:val="Heading411"/>
        <w:spacing w:before="0" w:after="0"/>
      </w:pPr>
    </w:p>
    <w:p w14:paraId="78517F9B" w14:textId="77777777" w:rsidR="003F0EEA" w:rsidRDefault="00FB7D0B" w:rsidP="003F0EEA">
      <w:pPr>
        <w:pStyle w:val="Heading411"/>
      </w:pPr>
      <w:r>
        <w:t>3.1.3</w:t>
      </w:r>
      <w:r>
        <w:tab/>
        <w:t>Australian Government Indigenous Expenditure</w:t>
      </w:r>
    </w:p>
    <w:p w14:paraId="699958DD" w14:textId="77777777" w:rsidR="003F0EEA" w:rsidRDefault="00FB7D0B" w:rsidP="003F0EEA">
      <w:pPr>
        <w:pStyle w:val="Normal162"/>
        <w:ind w:right="566"/>
      </w:pPr>
      <w:r>
        <w:t xml:space="preserve"> The 2014-15 Australian Government Indigenous Statement is not applicable because Department of Veterans' Affairs has no indigenous specific expenses.</w:t>
      </w:r>
    </w:p>
    <w:p w14:paraId="3AF3045B" w14:textId="77777777" w:rsidR="003F0EEA" w:rsidRDefault="003F0EEA">
      <w:pPr>
        <w:rPr>
          <w:rFonts w:cs="Times New Roman"/>
        </w:rPr>
        <w:sectPr w:rsidR="003F0EEA">
          <w:pgSz w:w="10319" w:h="14572"/>
          <w:pgMar w:top="1077" w:right="1077" w:bottom="1134" w:left="1134" w:header="709" w:footer="709" w:gutter="0"/>
          <w:cols w:space="708"/>
        </w:sectPr>
      </w:pPr>
    </w:p>
    <w:p w14:paraId="17FAEA62" w14:textId="77777777" w:rsidR="003F0EEA" w:rsidRDefault="00FB7D0B" w:rsidP="003F0EEA">
      <w:pPr>
        <w:pStyle w:val="Heading38"/>
      </w:pPr>
      <w:r>
        <w:lastRenderedPageBreak/>
        <w:t>3.2</w:t>
      </w:r>
      <w:r>
        <w:tab/>
        <w:t>Budgeted Financial Statements</w:t>
      </w:r>
    </w:p>
    <w:p w14:paraId="0FFE647B" w14:textId="77777777" w:rsidR="003F0EEA" w:rsidRDefault="00FB7D0B" w:rsidP="003F0EEA">
      <w:pPr>
        <w:pStyle w:val="Heading412"/>
      </w:pPr>
      <w:r>
        <w:t>3.2.1</w:t>
      </w:r>
      <w:r>
        <w:tab/>
        <w:t>Differences in Agency Resourcing and Financial Statements</w:t>
      </w:r>
    </w:p>
    <w:p w14:paraId="2D6182F9" w14:textId="77777777" w:rsidR="003F0EEA" w:rsidRDefault="00FB7D0B" w:rsidP="003F0EEA">
      <w:pPr>
        <w:pStyle w:val="Exampletext"/>
        <w:rPr>
          <w:i w:val="0"/>
          <w:color w:val="auto"/>
        </w:rPr>
      </w:pPr>
      <w:r>
        <w:rPr>
          <w:i w:val="0"/>
          <w:color w:val="auto"/>
        </w:rPr>
        <w:t>There are differences between agency resourcing and the financial statements. These differences are caused by the accounting treatment for the departmental capital budget (DCB) that was implemented under net cost of services through Operation Sunlight. Additionally the Department has received funding where expenses have been incurred within the 2013-14 financial year and the related appropriation will be received in the 2014-15 financial year.</w:t>
      </w:r>
    </w:p>
    <w:p w14:paraId="10EA5E74" w14:textId="77777777" w:rsidR="003F0EEA" w:rsidRDefault="00FB7D0B" w:rsidP="003F0EEA">
      <w:pPr>
        <w:pStyle w:val="Heading412"/>
      </w:pPr>
      <w:r>
        <w:t>3.2.2</w:t>
      </w:r>
      <w:r>
        <w:tab/>
        <w:t>Analysis of Budgeted Financial Statements</w:t>
      </w:r>
    </w:p>
    <w:p w14:paraId="0A36535F" w14:textId="77777777" w:rsidR="003F0EEA" w:rsidRDefault="00FB7D0B" w:rsidP="003F0EEA">
      <w:pPr>
        <w:pStyle w:val="Normal163"/>
        <w:rPr>
          <w:lang w:val="en-GB"/>
        </w:rPr>
      </w:pPr>
      <w:r>
        <w:rPr>
          <w:lang w:val="en-GB"/>
        </w:rPr>
        <w:t>The Strategic Financial Plan and the Capital Management Plan provide the framework for Department of Veterans' Affairs (DVA) planning and response to future budgets and financial sustainability.</w:t>
      </w:r>
    </w:p>
    <w:p w14:paraId="61292513" w14:textId="77777777" w:rsidR="003F0EEA" w:rsidRDefault="00FB7D0B" w:rsidP="003F0EEA">
      <w:pPr>
        <w:pStyle w:val="Normal163"/>
        <w:rPr>
          <w:lang w:val="en-GB"/>
        </w:rPr>
      </w:pPr>
      <w:r>
        <w:rPr>
          <w:lang w:val="en-GB"/>
        </w:rPr>
        <w:t xml:space="preserve">The budgeted financial statements are shown at three levels and reflect the financial results of the three reporting entities that comprise DVA’s departmental accounts: DVA amalgamated, DVA excluding Defence Service Homes Insurance Scheme (DSHIS), and DSHIS. </w:t>
      </w:r>
    </w:p>
    <w:p w14:paraId="02802146" w14:textId="77777777" w:rsidR="003F0EEA" w:rsidRPr="00826D98" w:rsidRDefault="00FB7D0B" w:rsidP="003F0EEA">
      <w:pPr>
        <w:pStyle w:val="Heading5"/>
        <w:spacing w:before="0" w:after="120"/>
        <w:rPr>
          <w:rFonts w:ascii="Arial" w:hAnsi="Arial" w:cs="Arial"/>
          <w:i w:val="0"/>
          <w:sz w:val="20"/>
          <w:szCs w:val="20"/>
          <w:lang w:val="en-GB"/>
        </w:rPr>
      </w:pPr>
      <w:r w:rsidRPr="00826D98">
        <w:rPr>
          <w:rFonts w:ascii="Arial" w:hAnsi="Arial" w:cs="Arial"/>
          <w:i w:val="0"/>
          <w:sz w:val="20"/>
          <w:szCs w:val="20"/>
          <w:lang w:val="en-GB"/>
        </w:rPr>
        <w:t>Departmental (</w:t>
      </w:r>
      <w:r w:rsidRPr="00826D98">
        <w:rPr>
          <w:rFonts w:ascii="Arial" w:hAnsi="Arial" w:cs="Arial"/>
          <w:i w:val="0"/>
          <w:sz w:val="20"/>
          <w:szCs w:val="20"/>
        </w:rPr>
        <w:t>amalgamated</w:t>
      </w:r>
      <w:r w:rsidRPr="00826D98">
        <w:rPr>
          <w:rFonts w:ascii="Arial" w:hAnsi="Arial" w:cs="Arial"/>
          <w:i w:val="0"/>
          <w:sz w:val="20"/>
          <w:szCs w:val="20"/>
          <w:lang w:val="en-GB"/>
        </w:rPr>
        <w:t>)</w:t>
      </w:r>
    </w:p>
    <w:p w14:paraId="088925F7" w14:textId="77777777" w:rsidR="003F0EEA" w:rsidRDefault="00FB7D0B" w:rsidP="003F0EEA">
      <w:pPr>
        <w:pStyle w:val="Normal163"/>
        <w:rPr>
          <w:lang w:val="en-GB"/>
        </w:rPr>
      </w:pPr>
      <w:r>
        <w:rPr>
          <w:lang w:val="en-GB"/>
        </w:rPr>
        <w:t xml:space="preserve">The budgeted DVA and DSHIS financial statements form the basis of the financial statements that will appear in the organisation’s 2013-14 Annual Report, and input into the whole-of-government accounts. The </w:t>
      </w:r>
      <w:smartTag w:uri="urn:schemas-microsoft-com:office:smarttags" w:element="place">
        <w:r>
          <w:rPr>
            <w:lang w:val="en-GB"/>
          </w:rPr>
          <w:t>budget</w:t>
        </w:r>
      </w:smartTag>
      <w:r>
        <w:rPr>
          <w:lang w:val="en-GB"/>
        </w:rPr>
        <w:t>ed financial statements are prepared on an accrual basis in accordance with the Australian Equivalents to International Financial Reporting Standards (AEIFRS) and the Finance Ministers Orders (FMOs).</w:t>
      </w:r>
    </w:p>
    <w:p w14:paraId="10823CAB" w14:textId="77777777" w:rsidR="003F0EEA" w:rsidRPr="00826D98" w:rsidRDefault="00FB7D0B" w:rsidP="003F0EEA">
      <w:pPr>
        <w:pStyle w:val="Heading5"/>
        <w:spacing w:before="0" w:after="120"/>
        <w:rPr>
          <w:rFonts w:ascii="Arial" w:hAnsi="Arial" w:cs="Arial"/>
          <w:i w:val="0"/>
          <w:sz w:val="20"/>
          <w:szCs w:val="20"/>
        </w:rPr>
      </w:pPr>
      <w:r w:rsidRPr="00826D98">
        <w:rPr>
          <w:rFonts w:ascii="Arial" w:hAnsi="Arial" w:cs="Arial"/>
          <w:i w:val="0"/>
          <w:sz w:val="20"/>
          <w:szCs w:val="20"/>
          <w:lang w:val="en-GB"/>
        </w:rPr>
        <w:t>Departmental (DVA excluding DSHIS)</w:t>
      </w:r>
    </w:p>
    <w:p w14:paraId="6F5E1E9C" w14:textId="77777777" w:rsidR="003F0EEA" w:rsidRDefault="00FB7D0B" w:rsidP="003F0EEA">
      <w:pPr>
        <w:pStyle w:val="Heading6"/>
        <w:spacing w:before="0" w:after="120"/>
        <w:rPr>
          <w:rFonts w:ascii="Book Antiqua" w:hAnsi="Book Antiqua"/>
          <w:b w:val="0"/>
          <w:sz w:val="20"/>
          <w:szCs w:val="20"/>
          <w:lang w:val="en-GB"/>
        </w:rPr>
      </w:pPr>
      <w:r w:rsidRPr="00826D98">
        <w:rPr>
          <w:rFonts w:ascii="Book Antiqua" w:hAnsi="Book Antiqua"/>
          <w:b w:val="0"/>
          <w:sz w:val="20"/>
          <w:szCs w:val="20"/>
          <w:lang w:val="en-GB"/>
        </w:rPr>
        <w:t>Budgeted departmental income statement</w:t>
      </w:r>
    </w:p>
    <w:p w14:paraId="08C947F7" w14:textId="77777777" w:rsidR="003F0EEA" w:rsidRDefault="00FB7D0B" w:rsidP="003F0EEA">
      <w:pPr>
        <w:pStyle w:val="Normal163"/>
        <w:rPr>
          <w:lang w:val="en-GB"/>
        </w:rPr>
      </w:pPr>
      <w:r>
        <w:rPr>
          <w:lang w:val="en-GB"/>
        </w:rPr>
        <w:t xml:space="preserve">The Department (excluding DSHIS) is budgeting for a breakeven operating result before depreciation and amortisation expense in 2014-15 and the forward estimates. Total revenue for the 2014-15 financial year is $295.6 million which represents an decrease of $4.9 million from the 2013-14 financial year. It comprises of $283.0 million of revenue from government, $11.8 million of own-source income and resources received free of charge of $0.8 million. </w:t>
      </w:r>
    </w:p>
    <w:p w14:paraId="2CDA7F36" w14:textId="77777777" w:rsidR="003F0EEA" w:rsidRPr="00F30EE9" w:rsidRDefault="00FB7D0B" w:rsidP="003F0EEA">
      <w:pPr>
        <w:pStyle w:val="Heading6"/>
        <w:spacing w:before="0" w:after="120"/>
        <w:rPr>
          <w:rFonts w:ascii="Book Antiqua" w:hAnsi="Book Antiqua"/>
          <w:b w:val="0"/>
          <w:sz w:val="20"/>
          <w:szCs w:val="20"/>
          <w:lang w:val="en-GB"/>
        </w:rPr>
      </w:pPr>
      <w:r w:rsidRPr="00F30EE9">
        <w:rPr>
          <w:rFonts w:ascii="Book Antiqua" w:hAnsi="Book Antiqua"/>
          <w:b w:val="0"/>
          <w:sz w:val="20"/>
          <w:szCs w:val="20"/>
          <w:lang w:val="en-GB"/>
        </w:rPr>
        <w:t>Budgeted departmental balance sheet</w:t>
      </w:r>
    </w:p>
    <w:p w14:paraId="554F0219" w14:textId="77777777" w:rsidR="003F0EEA" w:rsidRDefault="00FB7D0B" w:rsidP="003F0EEA">
      <w:pPr>
        <w:pStyle w:val="Normal163"/>
        <w:rPr>
          <w:lang w:val="en-GB"/>
        </w:rPr>
      </w:pPr>
      <w:r>
        <w:rPr>
          <w:lang w:val="en-GB"/>
        </w:rPr>
        <w:t xml:space="preserve">The Department’s (excluding DSHIS) net asset (equity) position for the 2014-15 financial year is projected to be $47.0 million, and represents a decrease of $16.5 million from the 2013-14 position $63.5 million. </w:t>
      </w:r>
    </w:p>
    <w:p w14:paraId="53105DDC" w14:textId="77777777" w:rsidR="003F0EEA" w:rsidRDefault="00FB7D0B" w:rsidP="003F0EEA">
      <w:pPr>
        <w:pStyle w:val="Normal163"/>
        <w:rPr>
          <w:lang w:val="en-GB"/>
        </w:rPr>
      </w:pPr>
      <w:r>
        <w:rPr>
          <w:lang w:val="en-GB"/>
        </w:rPr>
        <w:t>Budgeted total assets of $136.5 million in 2014-15 represent a decrease of $17.7 million from 2013-14 of $154.2 million.  This mainly comprises of a decrease in appropriation receivables of $1.4 million and a decrease in non-financial assets of $16.5 million.</w:t>
      </w:r>
    </w:p>
    <w:p w14:paraId="35EDA687" w14:textId="77777777" w:rsidR="003F0EEA" w:rsidRDefault="00FB7D0B">
      <w:pPr>
        <w:spacing w:line="14" w:lineRule="exact"/>
        <w:rPr>
          <w:rFonts w:cs="Times New Roman"/>
        </w:rPr>
      </w:pPr>
      <w:r>
        <w:rPr>
          <w:rFonts w:cs="Times New Roman"/>
        </w:rPr>
        <w:br w:type="page"/>
      </w:r>
    </w:p>
    <w:p w14:paraId="791A4834" w14:textId="77777777" w:rsidR="003F0EEA" w:rsidRDefault="00FB7D0B" w:rsidP="003F0EEA">
      <w:pPr>
        <w:pStyle w:val="Normal164"/>
        <w:rPr>
          <w:lang w:val="en-GB"/>
        </w:rPr>
      </w:pPr>
      <w:r>
        <w:rPr>
          <w:lang w:val="en-GB"/>
        </w:rPr>
        <w:t>Budgeted liabilities of $89.6 million in 2014-15 represent a decrease of $1.2 million from 2013-14 of $90.8 million and are primarily a result of a decrease in employee provisions of $1.4 million.</w:t>
      </w:r>
    </w:p>
    <w:p w14:paraId="0050F7D1" w14:textId="77777777" w:rsidR="003F0EEA" w:rsidRPr="00BD461F" w:rsidRDefault="00FB7D0B" w:rsidP="003F0EEA">
      <w:pPr>
        <w:pStyle w:val="Heading50"/>
        <w:spacing w:before="0" w:after="120"/>
        <w:rPr>
          <w:rFonts w:ascii="Arial" w:hAnsi="Arial" w:cs="Arial"/>
          <w:i w:val="0"/>
          <w:sz w:val="20"/>
          <w:szCs w:val="20"/>
        </w:rPr>
      </w:pPr>
      <w:r w:rsidRPr="00BD461F">
        <w:rPr>
          <w:rFonts w:ascii="Arial" w:hAnsi="Arial" w:cs="Arial"/>
          <w:i w:val="0"/>
          <w:sz w:val="20"/>
          <w:szCs w:val="20"/>
          <w:lang w:val="en-GB"/>
        </w:rPr>
        <w:t>Departmental (DSHIS)</w:t>
      </w:r>
    </w:p>
    <w:p w14:paraId="3D3FC965" w14:textId="77777777" w:rsidR="003F0EEA" w:rsidRPr="00BD461F" w:rsidRDefault="00FB7D0B" w:rsidP="003F0EEA">
      <w:pPr>
        <w:pStyle w:val="Heading60"/>
        <w:spacing w:before="0" w:after="120"/>
        <w:rPr>
          <w:rFonts w:ascii="Book Antiqua" w:hAnsi="Book Antiqua"/>
          <w:b w:val="0"/>
          <w:sz w:val="20"/>
          <w:szCs w:val="20"/>
        </w:rPr>
      </w:pPr>
      <w:r w:rsidRPr="00BD461F">
        <w:rPr>
          <w:rFonts w:ascii="Book Antiqua" w:hAnsi="Book Antiqua"/>
          <w:b w:val="0"/>
          <w:sz w:val="20"/>
          <w:szCs w:val="20"/>
          <w:lang w:val="en-GB"/>
        </w:rPr>
        <w:t>Budgeted departmental income statement</w:t>
      </w:r>
    </w:p>
    <w:p w14:paraId="531DF192" w14:textId="77777777" w:rsidR="003F0EEA" w:rsidRPr="00BD461F" w:rsidRDefault="00FB7D0B" w:rsidP="003F0EEA">
      <w:pPr>
        <w:pStyle w:val="Normal164"/>
        <w:rPr>
          <w:lang w:val="en-GB"/>
        </w:rPr>
      </w:pPr>
      <w:r w:rsidRPr="00BD461F">
        <w:rPr>
          <w:lang w:val="en-GB"/>
        </w:rPr>
        <w:t>DSHIS is budgeting for a</w:t>
      </w:r>
      <w:r>
        <w:rPr>
          <w:lang w:val="en-GB"/>
        </w:rPr>
        <w:t>n</w:t>
      </w:r>
      <w:r w:rsidRPr="00BD461F">
        <w:rPr>
          <w:lang w:val="en-GB"/>
        </w:rPr>
        <w:t xml:space="preserve"> </w:t>
      </w:r>
      <w:r>
        <w:rPr>
          <w:lang w:val="en-GB"/>
        </w:rPr>
        <w:t>operating surplus</w:t>
      </w:r>
      <w:r w:rsidRPr="00BD461F">
        <w:rPr>
          <w:lang w:val="en-GB"/>
        </w:rPr>
        <w:t xml:space="preserve"> </w:t>
      </w:r>
      <w:r>
        <w:rPr>
          <w:lang w:val="en-GB"/>
        </w:rPr>
        <w:t xml:space="preserve">of </w:t>
      </w:r>
      <w:r w:rsidRPr="00BD461F">
        <w:rPr>
          <w:lang w:val="en-GB"/>
        </w:rPr>
        <w:t>$</w:t>
      </w:r>
      <w:r>
        <w:rPr>
          <w:lang w:val="en-GB"/>
        </w:rPr>
        <w:t xml:space="preserve">3.5 million before depreciation and amortisation expense </w:t>
      </w:r>
      <w:r w:rsidRPr="00BD461F">
        <w:rPr>
          <w:lang w:val="en-GB"/>
        </w:rPr>
        <w:t xml:space="preserve">in </w:t>
      </w:r>
      <w:r>
        <w:rPr>
          <w:lang w:val="en-GB"/>
        </w:rPr>
        <w:t>2014-15</w:t>
      </w:r>
      <w:r w:rsidRPr="00BD461F">
        <w:rPr>
          <w:lang w:val="en-GB"/>
        </w:rPr>
        <w:t xml:space="preserve">.  Revenue for </w:t>
      </w:r>
      <w:r>
        <w:rPr>
          <w:lang w:val="en-GB"/>
        </w:rPr>
        <w:t>2014-15</w:t>
      </w:r>
      <w:r w:rsidRPr="00BD461F">
        <w:rPr>
          <w:lang w:val="en-GB"/>
        </w:rPr>
        <w:t xml:space="preserve"> is expected to be $</w:t>
      </w:r>
      <w:r>
        <w:rPr>
          <w:lang w:val="en-GB"/>
        </w:rPr>
        <w:t>40.6 million and consists of $40.3</w:t>
      </w:r>
      <w:r w:rsidRPr="00BD461F">
        <w:rPr>
          <w:lang w:val="en-GB"/>
        </w:rPr>
        <w:t xml:space="preserve"> millio</w:t>
      </w:r>
      <w:r>
        <w:rPr>
          <w:lang w:val="en-GB"/>
        </w:rPr>
        <w:t>n of own-source income and $0.3</w:t>
      </w:r>
      <w:r w:rsidRPr="00BD461F">
        <w:rPr>
          <w:lang w:val="en-GB"/>
        </w:rPr>
        <w:t xml:space="preserve"> million of revenue from government, a</w:t>
      </w:r>
      <w:r>
        <w:rPr>
          <w:lang w:val="en-GB"/>
        </w:rPr>
        <w:t>n</w:t>
      </w:r>
      <w:r w:rsidRPr="00BD461F">
        <w:rPr>
          <w:lang w:val="en-GB"/>
        </w:rPr>
        <w:t xml:space="preserve"> </w:t>
      </w:r>
      <w:r>
        <w:rPr>
          <w:lang w:val="en-GB"/>
        </w:rPr>
        <w:t>increase</w:t>
      </w:r>
      <w:r w:rsidRPr="00BD461F">
        <w:rPr>
          <w:lang w:val="en-GB"/>
        </w:rPr>
        <w:t xml:space="preserve"> of $</w:t>
      </w:r>
      <w:r>
        <w:rPr>
          <w:lang w:val="en-GB"/>
        </w:rPr>
        <w:t xml:space="preserve">3.8 </w:t>
      </w:r>
      <w:r w:rsidRPr="00BD461F">
        <w:rPr>
          <w:lang w:val="en-GB"/>
        </w:rPr>
        <w:t xml:space="preserve">million from </w:t>
      </w:r>
      <w:r>
        <w:rPr>
          <w:lang w:val="en-GB"/>
        </w:rPr>
        <w:t xml:space="preserve">2013-14 of </w:t>
      </w:r>
      <w:r w:rsidRPr="00BD461F">
        <w:rPr>
          <w:lang w:val="en-GB"/>
        </w:rPr>
        <w:t>$</w:t>
      </w:r>
      <w:r>
        <w:rPr>
          <w:lang w:val="en-GB"/>
        </w:rPr>
        <w:t xml:space="preserve">36.8 </w:t>
      </w:r>
      <w:r w:rsidRPr="00BD461F">
        <w:rPr>
          <w:lang w:val="en-GB"/>
        </w:rPr>
        <w:t xml:space="preserve">million. This </w:t>
      </w:r>
      <w:r>
        <w:rPr>
          <w:lang w:val="en-GB"/>
        </w:rPr>
        <w:t>increase</w:t>
      </w:r>
      <w:r w:rsidRPr="00BD461F">
        <w:rPr>
          <w:lang w:val="en-GB"/>
        </w:rPr>
        <w:t xml:space="preserve"> is primarily driven by the sale of goods and services (premium revenue) which is expected to </w:t>
      </w:r>
      <w:r>
        <w:rPr>
          <w:lang w:val="en-GB"/>
        </w:rPr>
        <w:t>increase</w:t>
      </w:r>
      <w:r w:rsidRPr="00BD461F">
        <w:rPr>
          <w:lang w:val="en-GB"/>
        </w:rPr>
        <w:t xml:space="preserve"> from $</w:t>
      </w:r>
      <w:r>
        <w:rPr>
          <w:lang w:val="en-GB"/>
        </w:rPr>
        <w:t>32.4</w:t>
      </w:r>
      <w:r w:rsidRPr="00BD461F">
        <w:rPr>
          <w:lang w:val="en-GB"/>
        </w:rPr>
        <w:t xml:space="preserve"> million in </w:t>
      </w:r>
      <w:r>
        <w:rPr>
          <w:lang w:val="en-GB"/>
        </w:rPr>
        <w:t xml:space="preserve">2013-14 to </w:t>
      </w:r>
      <w:r w:rsidRPr="00BD461F">
        <w:rPr>
          <w:lang w:val="en-GB"/>
        </w:rPr>
        <w:t>$</w:t>
      </w:r>
      <w:r>
        <w:rPr>
          <w:lang w:val="en-GB"/>
        </w:rPr>
        <w:t xml:space="preserve">35.8 </w:t>
      </w:r>
      <w:r w:rsidRPr="00BD461F">
        <w:rPr>
          <w:lang w:val="en-GB"/>
        </w:rPr>
        <w:t xml:space="preserve">million in the </w:t>
      </w:r>
      <w:r>
        <w:rPr>
          <w:lang w:val="en-GB"/>
        </w:rPr>
        <w:t xml:space="preserve">2014-15 </w:t>
      </w:r>
      <w:r w:rsidRPr="00BD461F">
        <w:rPr>
          <w:lang w:val="en-GB"/>
        </w:rPr>
        <w:t>financial year.</w:t>
      </w:r>
    </w:p>
    <w:p w14:paraId="3EC95A03" w14:textId="77777777" w:rsidR="003F0EEA" w:rsidRPr="00BD461F" w:rsidRDefault="00FB7D0B" w:rsidP="003F0EEA">
      <w:pPr>
        <w:pStyle w:val="Heading60"/>
        <w:spacing w:before="0" w:after="120"/>
        <w:rPr>
          <w:rFonts w:ascii="Book Antiqua" w:hAnsi="Book Antiqua" w:cs="Arial"/>
          <w:b w:val="0"/>
          <w:iCs/>
          <w:sz w:val="20"/>
          <w:szCs w:val="20"/>
          <w:lang w:val="en-GB"/>
        </w:rPr>
      </w:pPr>
      <w:r w:rsidRPr="00BD461F">
        <w:rPr>
          <w:rFonts w:ascii="Book Antiqua" w:hAnsi="Book Antiqua" w:cs="Arial"/>
          <w:b w:val="0"/>
          <w:iCs/>
          <w:sz w:val="20"/>
          <w:szCs w:val="20"/>
          <w:lang w:val="en-GB"/>
        </w:rPr>
        <w:t>Budgeted departmental balance sheet</w:t>
      </w:r>
    </w:p>
    <w:p w14:paraId="4D8EF51D" w14:textId="77777777" w:rsidR="003F0EEA" w:rsidRPr="00BD461F" w:rsidRDefault="00FB7D0B" w:rsidP="003F0EEA">
      <w:pPr>
        <w:pStyle w:val="Normal164"/>
        <w:rPr>
          <w:lang w:val="en-GB"/>
        </w:rPr>
      </w:pPr>
      <w:r w:rsidRPr="00BD461F">
        <w:rPr>
          <w:lang w:val="en-GB"/>
        </w:rPr>
        <w:t xml:space="preserve">DSHIS’s net asset position for </w:t>
      </w:r>
      <w:r>
        <w:rPr>
          <w:lang w:val="en-GB"/>
        </w:rPr>
        <w:t xml:space="preserve">2014-15 is projected to be $29.3 </w:t>
      </w:r>
      <w:r w:rsidRPr="00BD461F">
        <w:rPr>
          <w:lang w:val="en-GB"/>
        </w:rPr>
        <w:t xml:space="preserve">million, and </w:t>
      </w:r>
      <w:r>
        <w:rPr>
          <w:lang w:val="en-GB"/>
        </w:rPr>
        <w:t>increase over the forward years</w:t>
      </w:r>
      <w:r w:rsidRPr="00BD461F">
        <w:rPr>
          <w:lang w:val="en-GB"/>
        </w:rPr>
        <w:t>.</w:t>
      </w:r>
    </w:p>
    <w:p w14:paraId="005E3314" w14:textId="77777777" w:rsidR="003F0EEA" w:rsidRPr="00BD461F" w:rsidRDefault="00FB7D0B" w:rsidP="003F0EEA">
      <w:pPr>
        <w:pStyle w:val="Normal164"/>
        <w:rPr>
          <w:lang w:val="en-GB"/>
        </w:rPr>
      </w:pPr>
      <w:r w:rsidRPr="00BD461F">
        <w:rPr>
          <w:lang w:val="en-GB"/>
        </w:rPr>
        <w:t xml:space="preserve">Budgeted liabilities </w:t>
      </w:r>
      <w:r>
        <w:rPr>
          <w:lang w:val="en-GB"/>
        </w:rPr>
        <w:t>for 2014-15 are</w:t>
      </w:r>
      <w:r w:rsidRPr="00BD461F">
        <w:rPr>
          <w:lang w:val="en-GB"/>
        </w:rPr>
        <w:t xml:space="preserve"> expected to</w:t>
      </w:r>
      <w:r>
        <w:rPr>
          <w:lang w:val="en-GB"/>
        </w:rPr>
        <w:t xml:space="preserve"> be $35.9</w:t>
      </w:r>
      <w:r w:rsidRPr="00BD461F">
        <w:rPr>
          <w:lang w:val="en-GB"/>
        </w:rPr>
        <w:t xml:space="preserve"> million</w:t>
      </w:r>
      <w:r>
        <w:rPr>
          <w:lang w:val="en-GB"/>
        </w:rPr>
        <w:t xml:space="preserve"> and reduce over the forward years. </w:t>
      </w:r>
    </w:p>
    <w:p w14:paraId="38DA3C11" w14:textId="77777777" w:rsidR="003F0EEA" w:rsidRPr="00BD461F" w:rsidRDefault="00FB7D0B" w:rsidP="003F0EEA">
      <w:pPr>
        <w:pStyle w:val="Heading50"/>
        <w:spacing w:before="0" w:after="120"/>
        <w:rPr>
          <w:rFonts w:ascii="Arial" w:hAnsi="Arial" w:cs="Arial"/>
          <w:i w:val="0"/>
          <w:sz w:val="20"/>
          <w:szCs w:val="20"/>
        </w:rPr>
      </w:pPr>
      <w:r w:rsidRPr="00BD461F">
        <w:rPr>
          <w:rFonts w:ascii="Arial" w:hAnsi="Arial" w:cs="Arial"/>
          <w:i w:val="0"/>
          <w:sz w:val="20"/>
          <w:szCs w:val="20"/>
          <w:lang w:val="en-GB"/>
        </w:rPr>
        <w:t>Administered statements</w:t>
      </w:r>
    </w:p>
    <w:p w14:paraId="273F1BB1" w14:textId="77777777" w:rsidR="003F0EEA" w:rsidRPr="00BD461F" w:rsidRDefault="00FB7D0B" w:rsidP="003F0EEA">
      <w:pPr>
        <w:pStyle w:val="Heading60"/>
        <w:spacing w:before="0" w:after="120"/>
        <w:rPr>
          <w:rFonts w:ascii="Book Antiqua" w:hAnsi="Book Antiqua"/>
          <w:b w:val="0"/>
          <w:sz w:val="20"/>
          <w:szCs w:val="20"/>
        </w:rPr>
      </w:pPr>
      <w:r w:rsidRPr="00BD461F">
        <w:rPr>
          <w:rFonts w:ascii="Book Antiqua" w:hAnsi="Book Antiqua"/>
          <w:b w:val="0"/>
          <w:sz w:val="20"/>
          <w:szCs w:val="20"/>
          <w:lang w:val="en-GB"/>
        </w:rPr>
        <w:t>Budgeted revenue and expenses</w:t>
      </w:r>
    </w:p>
    <w:p w14:paraId="3B160A0D" w14:textId="77777777" w:rsidR="003F0EEA" w:rsidRDefault="00FB7D0B" w:rsidP="003F0EEA">
      <w:pPr>
        <w:pStyle w:val="Normal164"/>
        <w:spacing w:after="120"/>
        <w:rPr>
          <w:lang w:val="en-GB"/>
        </w:rPr>
      </w:pPr>
      <w:r>
        <w:rPr>
          <w:lang w:val="en-GB"/>
        </w:rPr>
        <w:t>The Department will administer $12.2 billion of administered funding in the 2014-15 financial year.</w:t>
      </w:r>
    </w:p>
    <w:p w14:paraId="578C69C4" w14:textId="77777777" w:rsidR="003F0EEA" w:rsidRPr="00BD461F" w:rsidRDefault="00FB7D0B" w:rsidP="003F0EEA">
      <w:pPr>
        <w:pStyle w:val="Heading60"/>
        <w:spacing w:before="0" w:after="120"/>
        <w:rPr>
          <w:rFonts w:ascii="Book Antiqua" w:hAnsi="Book Antiqua"/>
          <w:b w:val="0"/>
          <w:sz w:val="20"/>
          <w:szCs w:val="20"/>
        </w:rPr>
      </w:pPr>
      <w:r w:rsidRPr="00BD461F">
        <w:rPr>
          <w:rFonts w:ascii="Book Antiqua" w:hAnsi="Book Antiqua"/>
          <w:b w:val="0"/>
          <w:sz w:val="20"/>
          <w:szCs w:val="20"/>
          <w:lang w:val="en-GB"/>
        </w:rPr>
        <w:t>Budgeted assets and liabilities</w:t>
      </w:r>
    </w:p>
    <w:p w14:paraId="40C26443" w14:textId="77777777" w:rsidR="003F0EEA" w:rsidRDefault="00FB7D0B" w:rsidP="003F0EEA">
      <w:pPr>
        <w:pStyle w:val="Normal164"/>
        <w:keepNext/>
        <w:spacing w:after="120"/>
        <w:rPr>
          <w:lang w:val="en-GB"/>
        </w:rPr>
      </w:pPr>
      <w:r>
        <w:rPr>
          <w:lang w:val="en-GB"/>
        </w:rPr>
        <w:t>Total administered assets are expected to remain stable at $1.4 billion. Total administered liabilities are expected to increase by $0.2 billion to $5.6 billion in 2014-15 from the 2013-14 estimated actual of $5.4 billion, represented by an increase in personal benefits of $0.1 billion.</w:t>
      </w:r>
    </w:p>
    <w:p w14:paraId="7C8D32EE" w14:textId="77777777" w:rsidR="003F0EEA" w:rsidRDefault="00FB7D0B">
      <w:pPr>
        <w:spacing w:line="14" w:lineRule="exact"/>
        <w:rPr>
          <w:rFonts w:cs="Times New Roman"/>
        </w:rPr>
      </w:pPr>
      <w:r>
        <w:rPr>
          <w:rFonts w:cs="Times New Roman"/>
        </w:rPr>
        <w:br w:type="page"/>
      </w:r>
    </w:p>
    <w:p w14:paraId="4FE7D76F" w14:textId="77777777" w:rsidR="003F0EEA" w:rsidRPr="00D640B3" w:rsidRDefault="00FB7D0B" w:rsidP="003F0EEA">
      <w:pPr>
        <w:pStyle w:val="ContentsHeading1"/>
        <w:spacing w:before="120" w:after="120"/>
        <w:jc w:val="left"/>
        <w:rPr>
          <w:sz w:val="22"/>
          <w:szCs w:val="22"/>
        </w:rPr>
      </w:pPr>
      <w:r w:rsidRPr="00D640B3">
        <w:rPr>
          <w:sz w:val="22"/>
          <w:szCs w:val="22"/>
        </w:rPr>
        <w:t>3.2.3</w:t>
      </w:r>
      <w:r w:rsidRPr="00D640B3">
        <w:rPr>
          <w:sz w:val="22"/>
          <w:szCs w:val="22"/>
        </w:rPr>
        <w:tab/>
      </w:r>
      <w:r w:rsidRPr="00BE4610">
        <w:rPr>
          <w:rFonts w:ascii="Arial (W1)" w:hAnsi="Arial (W1)"/>
          <w:smallCaps w:val="0"/>
          <w:sz w:val="22"/>
          <w:szCs w:val="22"/>
        </w:rPr>
        <w:t>Budgeted financial statements</w:t>
      </w:r>
      <w:r>
        <w:rPr>
          <w:rFonts w:ascii="Arial (W1)" w:hAnsi="Arial (W1)"/>
          <w:smallCaps w:val="0"/>
          <w:sz w:val="22"/>
          <w:szCs w:val="22"/>
        </w:rPr>
        <w:t xml:space="preserve"> tables</w:t>
      </w:r>
    </w:p>
    <w:p w14:paraId="0C40AAA6" w14:textId="77777777" w:rsidR="003F0EEA" w:rsidRDefault="00FB7D0B" w:rsidP="003F0EEA">
      <w:pPr>
        <w:pStyle w:val="TableHeading8"/>
        <w:spacing w:before="0" w:after="0"/>
        <w:rPr>
          <w:rFonts w:eastAsia="Calibri"/>
        </w:rPr>
      </w:pPr>
      <w:r>
        <w:rPr>
          <w:rFonts w:eastAsia="Calibri"/>
        </w:rPr>
        <w:t xml:space="preserve">Table 3.2.1a: Departmental Comprehensive Income Statement (amalgamated) </w:t>
      </w:r>
    </w:p>
    <w:p w14:paraId="27DF564F" w14:textId="77777777" w:rsidR="003F0EEA" w:rsidRPr="00A6389F" w:rsidRDefault="00FB7D0B" w:rsidP="003F0EEA">
      <w:pPr>
        <w:pStyle w:val="TableHeading8"/>
        <w:spacing w:before="0" w:after="0"/>
        <w:rPr>
          <w:rFonts w:eastAsia="Calibri"/>
        </w:rPr>
      </w:pPr>
      <w:r>
        <w:rPr>
          <w:rFonts w:eastAsia="Calibri"/>
        </w:rPr>
        <w:t xml:space="preserve">(Showing Net Cost of Services) </w:t>
      </w:r>
      <w:r w:rsidRPr="00A6389F">
        <w:rPr>
          <w:rFonts w:eastAsia="Calibri"/>
          <w:snapToGrid w:val="0"/>
        </w:rPr>
        <w:t>for the period ended 30 June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2"/>
        <w:gridCol w:w="222"/>
        <w:gridCol w:w="2700"/>
        <w:gridCol w:w="915"/>
        <w:gridCol w:w="915"/>
        <w:gridCol w:w="915"/>
        <w:gridCol w:w="915"/>
        <w:gridCol w:w="915"/>
      </w:tblGrid>
      <w:tr w:rsidR="00724034" w14:paraId="121AD192" w14:textId="77777777">
        <w:trPr>
          <w:trHeight w:val="225"/>
        </w:trPr>
        <w:tc>
          <w:tcPr>
            <w:tcW w:w="180"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3DFECA6C" w14:textId="77777777" w:rsidR="003F0EEA" w:rsidRPr="00A6389F" w:rsidRDefault="003F0EEA">
            <w:pPr>
              <w:jc w:val="right"/>
            </w:pPr>
          </w:p>
        </w:tc>
        <w:tc>
          <w:tcPr>
            <w:tcW w:w="180"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72A87423" w14:textId="77777777" w:rsidR="003F0EEA" w:rsidRPr="00A6389F" w:rsidRDefault="003F0EEA">
            <w:pPr>
              <w:jc w:val="right"/>
              <w:rPr>
                <w:rFonts w:ascii="Arial" w:eastAsia="Arial" w:hAnsi="Arial" w:cs="Arial"/>
                <w:color w:val="000000"/>
                <w:sz w:val="16"/>
              </w:rPr>
            </w:pPr>
          </w:p>
        </w:tc>
        <w:tc>
          <w:tcPr>
            <w:tcW w:w="2700"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437C59ED" w14:textId="77777777" w:rsidR="003F0EEA" w:rsidRPr="00A6389F" w:rsidRDefault="003F0EEA">
            <w:pPr>
              <w:jc w:val="right"/>
              <w:rPr>
                <w:rFonts w:ascii="Arial" w:eastAsia="Arial" w:hAnsi="Arial" w:cs="Arial"/>
                <w:color w:val="000000"/>
                <w:sz w:val="16"/>
              </w:rPr>
            </w:pPr>
          </w:p>
        </w:tc>
        <w:tc>
          <w:tcPr>
            <w:tcW w:w="91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1492B2A4" w14:textId="77777777" w:rsidR="003F0EEA" w:rsidRPr="00A6389F" w:rsidRDefault="00FB7D0B">
            <w:pPr>
              <w:jc w:val="right"/>
              <w:rPr>
                <w:rFonts w:ascii="Arial" w:eastAsia="Arial" w:hAnsi="Arial" w:cs="Arial"/>
                <w:color w:val="000000"/>
                <w:sz w:val="16"/>
              </w:rPr>
            </w:pPr>
            <w:r w:rsidRPr="00A6389F">
              <w:rPr>
                <w:rFonts w:ascii="Arial" w:eastAsia="Arial" w:hAnsi="Arial" w:cs="Arial"/>
                <w:color w:val="000000"/>
                <w:sz w:val="16"/>
              </w:rPr>
              <w:t>Estimated</w:t>
            </w:r>
          </w:p>
        </w:tc>
        <w:tc>
          <w:tcPr>
            <w:tcW w:w="915" w:type="dxa"/>
            <w:tcBorders>
              <w:top w:val="single" w:sz="6" w:space="0" w:color="000000"/>
              <w:left w:val="nil"/>
              <w:bottom w:val="nil"/>
              <w:right w:val="nil"/>
              <w:tl2br w:val="nil"/>
              <w:tr2bl w:val="nil"/>
            </w:tcBorders>
            <w:shd w:val="clear" w:color="auto" w:fill="FFFF00"/>
            <w:tcMar>
              <w:left w:w="101" w:type="dxa"/>
              <w:right w:w="101" w:type="dxa"/>
            </w:tcMar>
            <w:vAlign w:val="bottom"/>
          </w:tcPr>
          <w:p w14:paraId="5ADBF360" w14:textId="77777777" w:rsidR="003F0EEA" w:rsidRPr="00A6389F" w:rsidRDefault="00FB7D0B">
            <w:pPr>
              <w:jc w:val="right"/>
              <w:rPr>
                <w:rFonts w:ascii="Arial" w:eastAsia="Arial" w:hAnsi="Arial" w:cs="Arial"/>
                <w:color w:val="000000"/>
                <w:sz w:val="16"/>
              </w:rPr>
            </w:pPr>
            <w:r w:rsidRPr="00A6389F">
              <w:rPr>
                <w:rFonts w:ascii="Arial" w:eastAsia="Arial" w:hAnsi="Arial" w:cs="Arial"/>
                <w:color w:val="000000"/>
                <w:sz w:val="16"/>
              </w:rPr>
              <w:t>Budget</w:t>
            </w:r>
          </w:p>
        </w:tc>
        <w:tc>
          <w:tcPr>
            <w:tcW w:w="91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431493C0" w14:textId="77777777" w:rsidR="003F0EEA" w:rsidRPr="00A6389F" w:rsidRDefault="00FB7D0B">
            <w:pPr>
              <w:jc w:val="right"/>
              <w:rPr>
                <w:rFonts w:ascii="Arial" w:eastAsia="Arial" w:hAnsi="Arial" w:cs="Arial"/>
                <w:color w:val="000000"/>
                <w:sz w:val="16"/>
              </w:rPr>
            </w:pPr>
            <w:r w:rsidRPr="00A6389F">
              <w:rPr>
                <w:rFonts w:ascii="Arial" w:eastAsia="Arial" w:hAnsi="Arial" w:cs="Arial"/>
                <w:color w:val="000000"/>
                <w:sz w:val="16"/>
              </w:rPr>
              <w:t>Forward</w:t>
            </w:r>
          </w:p>
        </w:tc>
        <w:tc>
          <w:tcPr>
            <w:tcW w:w="91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0774F97B" w14:textId="77777777" w:rsidR="003F0EEA" w:rsidRPr="00A6389F" w:rsidRDefault="00FB7D0B">
            <w:pPr>
              <w:jc w:val="right"/>
              <w:rPr>
                <w:rFonts w:ascii="Arial" w:eastAsia="Arial" w:hAnsi="Arial" w:cs="Arial"/>
                <w:color w:val="000000"/>
                <w:sz w:val="16"/>
              </w:rPr>
            </w:pPr>
            <w:r w:rsidRPr="00A6389F">
              <w:rPr>
                <w:rFonts w:ascii="Arial" w:eastAsia="Arial" w:hAnsi="Arial" w:cs="Arial"/>
                <w:color w:val="000000"/>
                <w:sz w:val="16"/>
              </w:rPr>
              <w:t>Forward</w:t>
            </w:r>
          </w:p>
        </w:tc>
        <w:tc>
          <w:tcPr>
            <w:tcW w:w="91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2D939729" w14:textId="77777777" w:rsidR="003F0EEA" w:rsidRPr="00A6389F" w:rsidRDefault="00FB7D0B">
            <w:pPr>
              <w:jc w:val="right"/>
              <w:rPr>
                <w:rFonts w:ascii="Arial" w:eastAsia="Arial" w:hAnsi="Arial" w:cs="Arial"/>
                <w:color w:val="000000"/>
                <w:sz w:val="16"/>
              </w:rPr>
            </w:pPr>
            <w:r w:rsidRPr="00A6389F">
              <w:rPr>
                <w:rFonts w:ascii="Arial" w:eastAsia="Arial" w:hAnsi="Arial" w:cs="Arial"/>
                <w:color w:val="000000"/>
                <w:sz w:val="16"/>
              </w:rPr>
              <w:t>Forward</w:t>
            </w:r>
          </w:p>
        </w:tc>
      </w:tr>
      <w:tr w:rsidR="00724034" w14:paraId="360035A7" w14:textId="77777777">
        <w:trPr>
          <w:trHeight w:val="225"/>
        </w:trPr>
        <w:tc>
          <w:tcPr>
            <w:tcW w:w="180" w:type="dxa"/>
            <w:tcBorders>
              <w:top w:val="nil"/>
              <w:left w:val="nil"/>
              <w:bottom w:val="nil"/>
              <w:right w:val="nil"/>
              <w:tl2br w:val="nil"/>
              <w:tr2bl w:val="nil"/>
            </w:tcBorders>
            <w:shd w:val="clear" w:color="auto" w:fill="FFFFFF"/>
            <w:tcMar>
              <w:left w:w="101" w:type="dxa"/>
              <w:right w:w="101" w:type="dxa"/>
            </w:tcMar>
            <w:vAlign w:val="bottom"/>
          </w:tcPr>
          <w:p w14:paraId="29E68111" w14:textId="77777777" w:rsidR="003F0EEA" w:rsidRPr="00A6389F" w:rsidRDefault="003F0EEA">
            <w:pPr>
              <w:jc w:val="right"/>
              <w:rPr>
                <w:rFonts w:ascii="Arial" w:eastAsia="Arial" w:hAnsi="Arial" w:cs="Arial"/>
                <w:color w:val="000000"/>
                <w:sz w:val="16"/>
              </w:rPr>
            </w:pPr>
          </w:p>
        </w:tc>
        <w:tc>
          <w:tcPr>
            <w:tcW w:w="180" w:type="dxa"/>
            <w:tcBorders>
              <w:top w:val="nil"/>
              <w:left w:val="nil"/>
              <w:bottom w:val="nil"/>
              <w:right w:val="nil"/>
              <w:tl2br w:val="nil"/>
              <w:tr2bl w:val="nil"/>
            </w:tcBorders>
            <w:shd w:val="clear" w:color="auto" w:fill="FFFFFF"/>
            <w:tcMar>
              <w:left w:w="101" w:type="dxa"/>
              <w:right w:w="101" w:type="dxa"/>
            </w:tcMar>
            <w:vAlign w:val="bottom"/>
          </w:tcPr>
          <w:p w14:paraId="0AF23768" w14:textId="77777777" w:rsidR="003F0EEA" w:rsidRPr="00A6389F" w:rsidRDefault="003F0EEA">
            <w:pPr>
              <w:jc w:val="right"/>
              <w:rPr>
                <w:rFonts w:ascii="Arial" w:eastAsia="Arial" w:hAnsi="Arial" w:cs="Arial"/>
                <w:color w:val="000000"/>
                <w:sz w:val="16"/>
              </w:rPr>
            </w:pPr>
          </w:p>
        </w:tc>
        <w:tc>
          <w:tcPr>
            <w:tcW w:w="2700" w:type="dxa"/>
            <w:tcBorders>
              <w:top w:val="nil"/>
              <w:left w:val="nil"/>
              <w:bottom w:val="nil"/>
              <w:right w:val="nil"/>
              <w:tl2br w:val="nil"/>
              <w:tr2bl w:val="nil"/>
            </w:tcBorders>
            <w:shd w:val="clear" w:color="auto" w:fill="FFFFFF"/>
            <w:tcMar>
              <w:left w:w="101" w:type="dxa"/>
              <w:right w:w="101" w:type="dxa"/>
            </w:tcMar>
            <w:vAlign w:val="bottom"/>
          </w:tcPr>
          <w:p w14:paraId="0944362D" w14:textId="77777777" w:rsidR="003F0EEA" w:rsidRPr="00A6389F" w:rsidRDefault="003F0EEA">
            <w:pPr>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18DF01F7" w14:textId="77777777" w:rsidR="003F0EEA" w:rsidRPr="00A6389F" w:rsidRDefault="00FB7D0B">
            <w:pPr>
              <w:jc w:val="right"/>
              <w:rPr>
                <w:rFonts w:ascii="Arial" w:eastAsia="Arial" w:hAnsi="Arial" w:cs="Arial"/>
                <w:color w:val="000000"/>
                <w:sz w:val="16"/>
              </w:rPr>
            </w:pPr>
            <w:r w:rsidRPr="00A6389F">
              <w:rPr>
                <w:rFonts w:ascii="Arial" w:eastAsia="Arial" w:hAnsi="Arial" w:cs="Arial"/>
                <w:color w:val="000000"/>
                <w:sz w:val="16"/>
              </w:rPr>
              <w:t>actual</w:t>
            </w:r>
          </w:p>
        </w:tc>
        <w:tc>
          <w:tcPr>
            <w:tcW w:w="915" w:type="dxa"/>
            <w:tcBorders>
              <w:top w:val="nil"/>
              <w:left w:val="nil"/>
              <w:bottom w:val="nil"/>
              <w:right w:val="nil"/>
              <w:tl2br w:val="nil"/>
              <w:tr2bl w:val="nil"/>
            </w:tcBorders>
            <w:shd w:val="clear" w:color="auto" w:fill="FFFF00"/>
            <w:tcMar>
              <w:left w:w="101" w:type="dxa"/>
              <w:right w:w="101" w:type="dxa"/>
            </w:tcMar>
            <w:vAlign w:val="bottom"/>
          </w:tcPr>
          <w:p w14:paraId="3E5B1B40" w14:textId="77777777" w:rsidR="003F0EEA" w:rsidRPr="00A6389F" w:rsidRDefault="00FB7D0B">
            <w:pPr>
              <w:jc w:val="right"/>
              <w:rPr>
                <w:rFonts w:ascii="Arial" w:eastAsia="Arial" w:hAnsi="Arial" w:cs="Arial"/>
                <w:color w:val="000000"/>
                <w:sz w:val="16"/>
              </w:rPr>
            </w:pPr>
            <w:r w:rsidRPr="00A6389F">
              <w:rPr>
                <w:rFonts w:ascii="Arial" w:eastAsia="Arial" w:hAnsi="Arial" w:cs="Arial"/>
                <w:color w:val="000000"/>
                <w:sz w:val="16"/>
              </w:rPr>
              <w:t>estimate</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48313AC5" w14:textId="77777777" w:rsidR="003F0EEA" w:rsidRPr="00A6389F" w:rsidRDefault="00FB7D0B">
            <w:pPr>
              <w:jc w:val="right"/>
              <w:rPr>
                <w:rFonts w:ascii="Arial" w:eastAsia="Arial" w:hAnsi="Arial" w:cs="Arial"/>
                <w:color w:val="000000"/>
                <w:sz w:val="16"/>
              </w:rPr>
            </w:pPr>
            <w:r w:rsidRPr="00A6389F">
              <w:rPr>
                <w:rFonts w:ascii="Arial" w:eastAsia="Arial" w:hAnsi="Arial" w:cs="Arial"/>
                <w:color w:val="000000"/>
                <w:sz w:val="16"/>
              </w:rPr>
              <w:t>estimate</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23A86D36" w14:textId="77777777" w:rsidR="003F0EEA" w:rsidRPr="00A6389F" w:rsidRDefault="00FB7D0B">
            <w:pPr>
              <w:jc w:val="right"/>
              <w:rPr>
                <w:rFonts w:ascii="Arial" w:eastAsia="Arial" w:hAnsi="Arial" w:cs="Arial"/>
                <w:color w:val="000000"/>
                <w:sz w:val="16"/>
              </w:rPr>
            </w:pPr>
            <w:r w:rsidRPr="00A6389F">
              <w:rPr>
                <w:rFonts w:ascii="Arial" w:eastAsia="Arial" w:hAnsi="Arial" w:cs="Arial"/>
                <w:color w:val="000000"/>
                <w:sz w:val="16"/>
              </w:rPr>
              <w:t>estimate</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0F727BB3" w14:textId="77777777" w:rsidR="003F0EEA" w:rsidRPr="00A6389F" w:rsidRDefault="00FB7D0B">
            <w:pPr>
              <w:jc w:val="right"/>
              <w:rPr>
                <w:rFonts w:ascii="Arial" w:eastAsia="Arial" w:hAnsi="Arial" w:cs="Arial"/>
                <w:color w:val="000000"/>
                <w:sz w:val="16"/>
              </w:rPr>
            </w:pPr>
            <w:r w:rsidRPr="00A6389F">
              <w:rPr>
                <w:rFonts w:ascii="Arial" w:eastAsia="Arial" w:hAnsi="Arial" w:cs="Arial"/>
                <w:color w:val="000000"/>
                <w:sz w:val="16"/>
              </w:rPr>
              <w:t>estimate</w:t>
            </w:r>
          </w:p>
        </w:tc>
      </w:tr>
      <w:tr w:rsidR="00724034" w14:paraId="19FFA59E" w14:textId="77777777">
        <w:trPr>
          <w:trHeight w:val="225"/>
        </w:trPr>
        <w:tc>
          <w:tcPr>
            <w:tcW w:w="180" w:type="dxa"/>
            <w:tcBorders>
              <w:top w:val="nil"/>
              <w:left w:val="nil"/>
              <w:bottom w:val="nil"/>
              <w:right w:val="nil"/>
              <w:tl2br w:val="nil"/>
              <w:tr2bl w:val="nil"/>
            </w:tcBorders>
            <w:shd w:val="clear" w:color="auto" w:fill="FFFFFF"/>
            <w:tcMar>
              <w:left w:w="101" w:type="dxa"/>
              <w:right w:w="101" w:type="dxa"/>
            </w:tcMar>
            <w:vAlign w:val="bottom"/>
          </w:tcPr>
          <w:p w14:paraId="41172747" w14:textId="77777777" w:rsidR="003F0EEA" w:rsidRPr="00A6389F" w:rsidRDefault="003F0EEA">
            <w:pPr>
              <w:jc w:val="right"/>
              <w:rPr>
                <w:rFonts w:ascii="Arial" w:eastAsia="Arial" w:hAnsi="Arial" w:cs="Arial"/>
                <w:color w:val="000000"/>
                <w:sz w:val="16"/>
              </w:rPr>
            </w:pPr>
          </w:p>
        </w:tc>
        <w:tc>
          <w:tcPr>
            <w:tcW w:w="180" w:type="dxa"/>
            <w:tcBorders>
              <w:top w:val="nil"/>
              <w:left w:val="nil"/>
              <w:bottom w:val="nil"/>
              <w:right w:val="nil"/>
              <w:tl2br w:val="nil"/>
              <w:tr2bl w:val="nil"/>
            </w:tcBorders>
            <w:shd w:val="clear" w:color="auto" w:fill="FFFFFF"/>
            <w:tcMar>
              <w:left w:w="101" w:type="dxa"/>
              <w:right w:w="101" w:type="dxa"/>
            </w:tcMar>
            <w:vAlign w:val="bottom"/>
          </w:tcPr>
          <w:p w14:paraId="304A9FF1" w14:textId="77777777" w:rsidR="003F0EEA" w:rsidRPr="00A6389F" w:rsidRDefault="003F0EEA">
            <w:pPr>
              <w:jc w:val="right"/>
              <w:rPr>
                <w:rFonts w:ascii="Arial" w:eastAsia="Arial" w:hAnsi="Arial" w:cs="Arial"/>
                <w:color w:val="000000"/>
                <w:sz w:val="16"/>
              </w:rPr>
            </w:pPr>
          </w:p>
        </w:tc>
        <w:tc>
          <w:tcPr>
            <w:tcW w:w="2700" w:type="dxa"/>
            <w:tcBorders>
              <w:top w:val="nil"/>
              <w:left w:val="nil"/>
              <w:bottom w:val="nil"/>
              <w:right w:val="nil"/>
              <w:tl2br w:val="nil"/>
              <w:tr2bl w:val="nil"/>
            </w:tcBorders>
            <w:shd w:val="clear" w:color="auto" w:fill="FFFFFF"/>
            <w:tcMar>
              <w:left w:w="101" w:type="dxa"/>
              <w:right w:w="101" w:type="dxa"/>
            </w:tcMar>
            <w:vAlign w:val="bottom"/>
          </w:tcPr>
          <w:p w14:paraId="39E6AF87" w14:textId="77777777" w:rsidR="003F0EEA" w:rsidRPr="00A6389F" w:rsidRDefault="003F0EEA">
            <w:pPr>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61E892C0" w14:textId="77777777" w:rsidR="003F0EEA" w:rsidRPr="00A6389F" w:rsidRDefault="00FB7D0B">
            <w:pPr>
              <w:jc w:val="right"/>
              <w:rPr>
                <w:rFonts w:ascii="Arial" w:eastAsia="Arial" w:hAnsi="Arial" w:cs="Arial"/>
                <w:color w:val="000000"/>
                <w:sz w:val="16"/>
              </w:rPr>
            </w:pPr>
            <w:r w:rsidRPr="00A6389F">
              <w:rPr>
                <w:rFonts w:ascii="Arial" w:eastAsia="Arial" w:hAnsi="Arial" w:cs="Arial"/>
                <w:color w:val="000000"/>
                <w:sz w:val="16"/>
              </w:rPr>
              <w:t>2013-14</w:t>
            </w:r>
          </w:p>
        </w:tc>
        <w:tc>
          <w:tcPr>
            <w:tcW w:w="915" w:type="dxa"/>
            <w:tcBorders>
              <w:top w:val="nil"/>
              <w:left w:val="nil"/>
              <w:bottom w:val="nil"/>
              <w:right w:val="nil"/>
              <w:tl2br w:val="nil"/>
              <w:tr2bl w:val="nil"/>
            </w:tcBorders>
            <w:shd w:val="clear" w:color="auto" w:fill="FFFF00"/>
            <w:tcMar>
              <w:left w:w="101" w:type="dxa"/>
              <w:right w:w="101" w:type="dxa"/>
            </w:tcMar>
            <w:vAlign w:val="bottom"/>
          </w:tcPr>
          <w:p w14:paraId="3252BF3F" w14:textId="77777777" w:rsidR="003F0EEA" w:rsidRPr="00A6389F" w:rsidRDefault="00FB7D0B">
            <w:pPr>
              <w:jc w:val="right"/>
              <w:rPr>
                <w:rFonts w:ascii="Arial" w:eastAsia="Arial" w:hAnsi="Arial" w:cs="Arial"/>
                <w:color w:val="000000"/>
                <w:sz w:val="16"/>
              </w:rPr>
            </w:pPr>
            <w:r w:rsidRPr="00A6389F">
              <w:rPr>
                <w:rFonts w:ascii="Arial" w:eastAsia="Arial" w:hAnsi="Arial" w:cs="Arial"/>
                <w:color w:val="000000"/>
                <w:sz w:val="16"/>
              </w:rPr>
              <w:t>2014-15</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2B7F9227" w14:textId="77777777" w:rsidR="003F0EEA" w:rsidRPr="00A6389F" w:rsidRDefault="00FB7D0B">
            <w:pPr>
              <w:jc w:val="right"/>
              <w:rPr>
                <w:rFonts w:ascii="Arial" w:eastAsia="Arial" w:hAnsi="Arial" w:cs="Arial"/>
                <w:color w:val="000000"/>
                <w:sz w:val="16"/>
              </w:rPr>
            </w:pPr>
            <w:r w:rsidRPr="00A6389F">
              <w:rPr>
                <w:rFonts w:ascii="Arial" w:eastAsia="Arial" w:hAnsi="Arial" w:cs="Arial"/>
                <w:color w:val="000000"/>
                <w:sz w:val="16"/>
              </w:rPr>
              <w:t>2015-16</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5816B9D5" w14:textId="77777777" w:rsidR="003F0EEA" w:rsidRPr="00A6389F" w:rsidRDefault="00FB7D0B">
            <w:pPr>
              <w:jc w:val="right"/>
              <w:rPr>
                <w:rFonts w:ascii="Arial" w:eastAsia="Arial" w:hAnsi="Arial" w:cs="Arial"/>
                <w:color w:val="000000"/>
                <w:sz w:val="16"/>
              </w:rPr>
            </w:pPr>
            <w:r w:rsidRPr="00A6389F">
              <w:rPr>
                <w:rFonts w:ascii="Arial" w:eastAsia="Arial" w:hAnsi="Arial" w:cs="Arial"/>
                <w:color w:val="000000"/>
                <w:sz w:val="16"/>
              </w:rPr>
              <w:t>2016-17</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7AE40E25" w14:textId="77777777" w:rsidR="003F0EEA" w:rsidRPr="00A6389F" w:rsidRDefault="00FB7D0B">
            <w:pPr>
              <w:jc w:val="right"/>
              <w:rPr>
                <w:rFonts w:ascii="Arial" w:eastAsia="Arial" w:hAnsi="Arial" w:cs="Arial"/>
                <w:color w:val="000000"/>
                <w:sz w:val="16"/>
              </w:rPr>
            </w:pPr>
            <w:r w:rsidRPr="00A6389F">
              <w:rPr>
                <w:rFonts w:ascii="Arial" w:eastAsia="Arial" w:hAnsi="Arial" w:cs="Arial"/>
                <w:color w:val="000000"/>
                <w:sz w:val="16"/>
              </w:rPr>
              <w:t>2017-18</w:t>
            </w:r>
          </w:p>
        </w:tc>
      </w:tr>
      <w:tr w:rsidR="00724034" w14:paraId="756C0FBF" w14:textId="77777777">
        <w:trPr>
          <w:trHeight w:val="225"/>
        </w:trPr>
        <w:tc>
          <w:tcPr>
            <w:tcW w:w="180" w:type="dxa"/>
            <w:tcBorders>
              <w:top w:val="nil"/>
              <w:left w:val="nil"/>
              <w:bottom w:val="nil"/>
              <w:right w:val="nil"/>
              <w:tl2br w:val="nil"/>
              <w:tr2bl w:val="nil"/>
            </w:tcBorders>
            <w:shd w:val="clear" w:color="auto" w:fill="FFFFFF"/>
            <w:tcMar>
              <w:left w:w="101" w:type="dxa"/>
              <w:right w:w="101" w:type="dxa"/>
            </w:tcMar>
            <w:vAlign w:val="bottom"/>
          </w:tcPr>
          <w:p w14:paraId="7F8161C1" w14:textId="77777777" w:rsidR="003F0EEA" w:rsidRPr="00A6389F" w:rsidRDefault="003F0EEA">
            <w:pPr>
              <w:jc w:val="right"/>
              <w:rPr>
                <w:rFonts w:ascii="Arial" w:eastAsia="Arial" w:hAnsi="Arial" w:cs="Arial"/>
                <w:color w:val="000000"/>
                <w:sz w:val="16"/>
              </w:rPr>
            </w:pPr>
          </w:p>
        </w:tc>
        <w:tc>
          <w:tcPr>
            <w:tcW w:w="180" w:type="dxa"/>
            <w:tcBorders>
              <w:top w:val="nil"/>
              <w:left w:val="nil"/>
              <w:bottom w:val="nil"/>
              <w:right w:val="nil"/>
              <w:tl2br w:val="nil"/>
              <w:tr2bl w:val="nil"/>
            </w:tcBorders>
            <w:shd w:val="clear" w:color="auto" w:fill="FFFFFF"/>
            <w:tcMar>
              <w:left w:w="101" w:type="dxa"/>
              <w:right w:w="101" w:type="dxa"/>
            </w:tcMar>
            <w:vAlign w:val="bottom"/>
          </w:tcPr>
          <w:p w14:paraId="219034A2" w14:textId="77777777" w:rsidR="003F0EEA" w:rsidRPr="00A6389F" w:rsidRDefault="003F0EEA">
            <w:pPr>
              <w:jc w:val="right"/>
              <w:rPr>
                <w:rFonts w:ascii="Arial" w:eastAsia="Arial" w:hAnsi="Arial" w:cs="Arial"/>
                <w:color w:val="000000"/>
                <w:sz w:val="16"/>
              </w:rPr>
            </w:pPr>
          </w:p>
        </w:tc>
        <w:tc>
          <w:tcPr>
            <w:tcW w:w="2700" w:type="dxa"/>
            <w:tcBorders>
              <w:top w:val="nil"/>
              <w:left w:val="nil"/>
              <w:bottom w:val="nil"/>
              <w:right w:val="nil"/>
              <w:tl2br w:val="nil"/>
              <w:tr2bl w:val="nil"/>
            </w:tcBorders>
            <w:shd w:val="clear" w:color="auto" w:fill="FFFFFF"/>
            <w:tcMar>
              <w:left w:w="101" w:type="dxa"/>
              <w:right w:w="101" w:type="dxa"/>
            </w:tcMar>
            <w:vAlign w:val="bottom"/>
          </w:tcPr>
          <w:p w14:paraId="343FE6B8" w14:textId="77777777" w:rsidR="003F0EEA" w:rsidRPr="00A6389F" w:rsidRDefault="003F0EEA">
            <w:pPr>
              <w:jc w:val="right"/>
              <w:rPr>
                <w:rFonts w:ascii="Arial" w:eastAsia="Arial" w:hAnsi="Arial" w:cs="Arial"/>
                <w:color w:val="000000"/>
                <w:sz w:val="16"/>
              </w:rPr>
            </w:pPr>
          </w:p>
        </w:tc>
        <w:tc>
          <w:tcPr>
            <w:tcW w:w="915"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1282FFB5" w14:textId="77777777" w:rsidR="003F0EEA" w:rsidRPr="00A6389F" w:rsidRDefault="00FB7D0B">
            <w:pPr>
              <w:jc w:val="right"/>
              <w:rPr>
                <w:rFonts w:ascii="Arial" w:eastAsia="Arial" w:hAnsi="Arial" w:cs="Arial"/>
                <w:color w:val="000000"/>
                <w:sz w:val="16"/>
              </w:rPr>
            </w:pPr>
            <w:r w:rsidRPr="00A6389F">
              <w:rPr>
                <w:rFonts w:ascii="Arial" w:eastAsia="Arial" w:hAnsi="Arial" w:cs="Arial"/>
                <w:color w:val="000000"/>
                <w:sz w:val="16"/>
              </w:rPr>
              <w:t>$'000</w:t>
            </w:r>
          </w:p>
        </w:tc>
        <w:tc>
          <w:tcPr>
            <w:tcW w:w="915" w:type="dxa"/>
            <w:tcBorders>
              <w:top w:val="nil"/>
              <w:left w:val="nil"/>
              <w:bottom w:val="single" w:sz="6" w:space="0" w:color="000000"/>
              <w:right w:val="nil"/>
              <w:tl2br w:val="nil"/>
              <w:tr2bl w:val="nil"/>
            </w:tcBorders>
            <w:shd w:val="clear" w:color="auto" w:fill="FFFF00"/>
            <w:tcMar>
              <w:left w:w="101" w:type="dxa"/>
              <w:right w:w="101" w:type="dxa"/>
            </w:tcMar>
            <w:vAlign w:val="bottom"/>
          </w:tcPr>
          <w:p w14:paraId="46987495" w14:textId="77777777" w:rsidR="003F0EEA" w:rsidRPr="00A6389F" w:rsidRDefault="00FB7D0B">
            <w:pPr>
              <w:jc w:val="right"/>
              <w:rPr>
                <w:rFonts w:ascii="Arial" w:eastAsia="Arial" w:hAnsi="Arial" w:cs="Arial"/>
                <w:color w:val="000000"/>
                <w:sz w:val="16"/>
              </w:rPr>
            </w:pPr>
            <w:r w:rsidRPr="00A6389F">
              <w:rPr>
                <w:rFonts w:ascii="Arial" w:eastAsia="Arial" w:hAnsi="Arial" w:cs="Arial"/>
                <w:color w:val="000000"/>
                <w:sz w:val="16"/>
              </w:rPr>
              <w:t>$'000</w:t>
            </w:r>
          </w:p>
        </w:tc>
        <w:tc>
          <w:tcPr>
            <w:tcW w:w="915"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61BD49F3" w14:textId="77777777" w:rsidR="003F0EEA" w:rsidRPr="00A6389F" w:rsidRDefault="00FB7D0B">
            <w:pPr>
              <w:jc w:val="right"/>
              <w:rPr>
                <w:rFonts w:ascii="Arial" w:eastAsia="Arial" w:hAnsi="Arial" w:cs="Arial"/>
                <w:color w:val="000000"/>
                <w:sz w:val="16"/>
              </w:rPr>
            </w:pPr>
            <w:r w:rsidRPr="00A6389F">
              <w:rPr>
                <w:rFonts w:ascii="Arial" w:eastAsia="Arial" w:hAnsi="Arial" w:cs="Arial"/>
                <w:color w:val="000000"/>
                <w:sz w:val="16"/>
              </w:rPr>
              <w:t>$'000</w:t>
            </w:r>
          </w:p>
        </w:tc>
        <w:tc>
          <w:tcPr>
            <w:tcW w:w="915"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35CAD69B" w14:textId="77777777" w:rsidR="003F0EEA" w:rsidRPr="00A6389F" w:rsidRDefault="00FB7D0B">
            <w:pPr>
              <w:jc w:val="right"/>
              <w:rPr>
                <w:rFonts w:ascii="Arial" w:eastAsia="Arial" w:hAnsi="Arial" w:cs="Arial"/>
                <w:color w:val="000000"/>
                <w:sz w:val="16"/>
              </w:rPr>
            </w:pPr>
            <w:r w:rsidRPr="00A6389F">
              <w:rPr>
                <w:rFonts w:ascii="Arial" w:eastAsia="Arial" w:hAnsi="Arial" w:cs="Arial"/>
                <w:color w:val="000000"/>
                <w:sz w:val="16"/>
              </w:rPr>
              <w:t>$'000</w:t>
            </w:r>
          </w:p>
        </w:tc>
        <w:tc>
          <w:tcPr>
            <w:tcW w:w="915"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4197BE4B" w14:textId="77777777" w:rsidR="003F0EEA" w:rsidRPr="00A6389F" w:rsidRDefault="00FB7D0B">
            <w:pPr>
              <w:jc w:val="right"/>
              <w:rPr>
                <w:rFonts w:ascii="Arial" w:eastAsia="Arial" w:hAnsi="Arial" w:cs="Arial"/>
                <w:color w:val="000000"/>
                <w:sz w:val="16"/>
              </w:rPr>
            </w:pPr>
            <w:r w:rsidRPr="00A6389F">
              <w:rPr>
                <w:rFonts w:ascii="Arial" w:eastAsia="Arial" w:hAnsi="Arial" w:cs="Arial"/>
                <w:color w:val="000000"/>
                <w:sz w:val="16"/>
              </w:rPr>
              <w:t>$'000</w:t>
            </w:r>
          </w:p>
        </w:tc>
      </w:tr>
      <w:tr w:rsidR="00FB7D0B" w14:paraId="38E21DF9" w14:textId="77777777" w:rsidTr="00FB7D0B">
        <w:trPr>
          <w:trHeight w:val="225"/>
        </w:trPr>
        <w:tc>
          <w:tcPr>
            <w:tcW w:w="3060" w:type="dxa"/>
            <w:gridSpan w:val="3"/>
            <w:tcBorders>
              <w:top w:val="nil"/>
              <w:left w:val="nil"/>
              <w:bottom w:val="nil"/>
              <w:right w:val="nil"/>
              <w:tl2br w:val="nil"/>
              <w:tr2bl w:val="nil"/>
            </w:tcBorders>
            <w:shd w:val="clear" w:color="auto" w:fill="FFFFFF"/>
            <w:tcMar>
              <w:left w:w="101" w:type="dxa"/>
              <w:right w:w="101" w:type="dxa"/>
            </w:tcMar>
            <w:vAlign w:val="bottom"/>
          </w:tcPr>
          <w:p w14:paraId="4DA4FDAF" w14:textId="77777777" w:rsidR="003F0EEA" w:rsidRPr="00A6389F" w:rsidRDefault="00FB7D0B">
            <w:pPr>
              <w:rPr>
                <w:rFonts w:ascii="Arial" w:eastAsia="Arial" w:hAnsi="Arial" w:cs="Arial"/>
                <w:color w:val="000000"/>
                <w:sz w:val="16"/>
              </w:rPr>
            </w:pPr>
            <w:r w:rsidRPr="00A6389F">
              <w:rPr>
                <w:rFonts w:ascii="Arial" w:eastAsia="Arial" w:hAnsi="Arial" w:cs="Arial"/>
                <w:b/>
                <w:color w:val="000000"/>
                <w:sz w:val="16"/>
              </w:rPr>
              <w:t>EXPENSE</w:t>
            </w:r>
          </w:p>
        </w:tc>
        <w:tc>
          <w:tcPr>
            <w:tcW w:w="91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4DA5009C" w14:textId="77777777" w:rsidR="003F0EEA" w:rsidRPr="00A6389F" w:rsidRDefault="003F0EEA">
            <w:pPr>
              <w:rPr>
                <w:rFonts w:ascii="Arial" w:eastAsia="Arial" w:hAnsi="Arial" w:cs="Arial"/>
                <w:b/>
                <w:color w:val="000000"/>
                <w:sz w:val="16"/>
              </w:rPr>
            </w:pPr>
          </w:p>
        </w:tc>
        <w:tc>
          <w:tcPr>
            <w:tcW w:w="915" w:type="dxa"/>
            <w:tcBorders>
              <w:top w:val="single" w:sz="6" w:space="0" w:color="000000"/>
              <w:left w:val="nil"/>
              <w:bottom w:val="nil"/>
              <w:right w:val="nil"/>
              <w:tl2br w:val="nil"/>
              <w:tr2bl w:val="nil"/>
            </w:tcBorders>
            <w:shd w:val="clear" w:color="auto" w:fill="FFFF00"/>
            <w:tcMar>
              <w:left w:w="101" w:type="dxa"/>
              <w:right w:w="101" w:type="dxa"/>
            </w:tcMar>
            <w:vAlign w:val="bottom"/>
          </w:tcPr>
          <w:p w14:paraId="4E1538F0" w14:textId="77777777" w:rsidR="003F0EEA" w:rsidRPr="00A6389F" w:rsidRDefault="003F0EEA">
            <w:pPr>
              <w:rPr>
                <w:rFonts w:ascii="Arial" w:eastAsia="Arial" w:hAnsi="Arial" w:cs="Arial"/>
                <w:color w:val="000000"/>
                <w:sz w:val="16"/>
              </w:rPr>
            </w:pPr>
          </w:p>
        </w:tc>
        <w:tc>
          <w:tcPr>
            <w:tcW w:w="91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1F3627FB" w14:textId="77777777" w:rsidR="003F0EEA" w:rsidRPr="00A6389F" w:rsidRDefault="003F0EEA">
            <w:pPr>
              <w:rPr>
                <w:rFonts w:ascii="Arial" w:eastAsia="Arial" w:hAnsi="Arial" w:cs="Arial"/>
                <w:color w:val="000000"/>
                <w:sz w:val="16"/>
              </w:rPr>
            </w:pPr>
          </w:p>
        </w:tc>
        <w:tc>
          <w:tcPr>
            <w:tcW w:w="91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7BA88506" w14:textId="77777777" w:rsidR="003F0EEA" w:rsidRPr="00A6389F" w:rsidRDefault="003F0EEA">
            <w:pPr>
              <w:rPr>
                <w:rFonts w:ascii="Arial" w:eastAsia="Arial" w:hAnsi="Arial" w:cs="Arial"/>
                <w:color w:val="000000"/>
                <w:sz w:val="16"/>
              </w:rPr>
            </w:pPr>
          </w:p>
        </w:tc>
        <w:tc>
          <w:tcPr>
            <w:tcW w:w="91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0B0423E7" w14:textId="77777777" w:rsidR="003F0EEA" w:rsidRPr="00A6389F" w:rsidRDefault="003F0EEA">
            <w:pPr>
              <w:rPr>
                <w:rFonts w:ascii="Arial" w:eastAsia="Arial" w:hAnsi="Arial" w:cs="Arial"/>
                <w:color w:val="000000"/>
                <w:sz w:val="16"/>
              </w:rPr>
            </w:pPr>
          </w:p>
        </w:tc>
      </w:tr>
      <w:tr w:rsidR="00FB7D0B" w14:paraId="79E6C9B7" w14:textId="77777777" w:rsidTr="00FB7D0B">
        <w:trPr>
          <w:trHeight w:val="225"/>
        </w:trPr>
        <w:tc>
          <w:tcPr>
            <w:tcW w:w="180" w:type="dxa"/>
            <w:tcBorders>
              <w:top w:val="nil"/>
              <w:left w:val="nil"/>
              <w:bottom w:val="nil"/>
              <w:right w:val="nil"/>
              <w:tl2br w:val="nil"/>
              <w:tr2bl w:val="nil"/>
            </w:tcBorders>
            <w:shd w:val="clear" w:color="auto" w:fill="FFFFFF"/>
            <w:tcMar>
              <w:left w:w="101" w:type="dxa"/>
              <w:right w:w="101" w:type="dxa"/>
            </w:tcMar>
            <w:vAlign w:val="bottom"/>
          </w:tcPr>
          <w:p w14:paraId="55A4B71E" w14:textId="77777777" w:rsidR="003F0EEA" w:rsidRPr="00A6389F" w:rsidRDefault="003F0EEA">
            <w:pPr>
              <w:rPr>
                <w:rFonts w:ascii="Arial" w:eastAsia="Arial" w:hAnsi="Arial" w:cs="Arial"/>
                <w:color w:val="000000"/>
                <w:sz w:val="16"/>
              </w:rPr>
            </w:pPr>
          </w:p>
        </w:tc>
        <w:tc>
          <w:tcPr>
            <w:tcW w:w="2880" w:type="dxa"/>
            <w:gridSpan w:val="2"/>
            <w:vMerge w:val="restart"/>
            <w:tcBorders>
              <w:top w:val="nil"/>
              <w:left w:val="nil"/>
              <w:bottom w:val="nil"/>
              <w:right w:val="nil"/>
              <w:tl2br w:val="nil"/>
              <w:tr2bl w:val="nil"/>
            </w:tcBorders>
            <w:shd w:val="clear" w:color="auto" w:fill="FFFFFF"/>
            <w:tcMar>
              <w:left w:w="101" w:type="dxa"/>
              <w:right w:w="101" w:type="dxa"/>
            </w:tcMar>
            <w:vAlign w:val="bottom"/>
          </w:tcPr>
          <w:p w14:paraId="2B11D5B0" w14:textId="77777777" w:rsidR="003F0EEA" w:rsidRPr="00A6389F" w:rsidRDefault="00FB7D0B">
            <w:pPr>
              <w:rPr>
                <w:rFonts w:ascii="Arial" w:eastAsia="Arial" w:hAnsi="Arial" w:cs="Arial"/>
                <w:color w:val="000000"/>
                <w:sz w:val="16"/>
              </w:rPr>
            </w:pPr>
            <w:r w:rsidRPr="00A6389F">
              <w:rPr>
                <w:rFonts w:ascii="Arial" w:eastAsia="Arial" w:hAnsi="Arial" w:cs="Arial"/>
                <w:color w:val="000000"/>
                <w:sz w:val="16"/>
              </w:rPr>
              <w:t>Employee benefits</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663F87F8" w14:textId="77777777" w:rsidR="003F0EEA" w:rsidRPr="00A6389F" w:rsidRDefault="00FB7D0B">
            <w:pPr>
              <w:jc w:val="right"/>
              <w:rPr>
                <w:rFonts w:ascii="Arial" w:eastAsia="Arial" w:hAnsi="Arial" w:cs="Arial"/>
                <w:color w:val="000000"/>
                <w:sz w:val="16"/>
              </w:rPr>
            </w:pPr>
            <w:r w:rsidRPr="00A6389F">
              <w:rPr>
                <w:rFonts w:ascii="Arial" w:eastAsia="Arial" w:hAnsi="Arial" w:cs="Arial"/>
                <w:color w:val="000000"/>
                <w:sz w:val="16"/>
              </w:rPr>
              <w:t>192,161 </w:t>
            </w:r>
          </w:p>
        </w:tc>
        <w:tc>
          <w:tcPr>
            <w:tcW w:w="915" w:type="dxa"/>
            <w:tcBorders>
              <w:top w:val="nil"/>
              <w:left w:val="nil"/>
              <w:bottom w:val="nil"/>
              <w:right w:val="nil"/>
              <w:tl2br w:val="nil"/>
              <w:tr2bl w:val="nil"/>
            </w:tcBorders>
            <w:shd w:val="clear" w:color="auto" w:fill="FFFF00"/>
            <w:tcMar>
              <w:left w:w="101" w:type="dxa"/>
              <w:right w:w="101" w:type="dxa"/>
            </w:tcMar>
            <w:vAlign w:val="bottom"/>
          </w:tcPr>
          <w:p w14:paraId="2E50166D" w14:textId="77777777" w:rsidR="003F0EEA" w:rsidRPr="00A6389F" w:rsidRDefault="00FB7D0B">
            <w:pPr>
              <w:jc w:val="right"/>
              <w:rPr>
                <w:rFonts w:ascii="Arial" w:eastAsia="Arial" w:hAnsi="Arial" w:cs="Arial"/>
                <w:color w:val="000000"/>
                <w:sz w:val="16"/>
              </w:rPr>
            </w:pPr>
            <w:r w:rsidRPr="00A6389F">
              <w:rPr>
                <w:rFonts w:ascii="Arial" w:eastAsia="Arial" w:hAnsi="Arial" w:cs="Arial"/>
                <w:color w:val="000000"/>
                <w:sz w:val="16"/>
              </w:rPr>
              <w:t>189,221 </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51792B90" w14:textId="77777777" w:rsidR="003F0EEA" w:rsidRPr="00A6389F" w:rsidRDefault="00FB7D0B">
            <w:pPr>
              <w:jc w:val="right"/>
              <w:rPr>
                <w:rFonts w:ascii="Arial" w:eastAsia="Arial" w:hAnsi="Arial" w:cs="Arial"/>
                <w:color w:val="000000"/>
                <w:sz w:val="16"/>
              </w:rPr>
            </w:pPr>
            <w:r w:rsidRPr="00A6389F">
              <w:rPr>
                <w:rFonts w:ascii="Arial" w:eastAsia="Arial" w:hAnsi="Arial" w:cs="Arial"/>
                <w:color w:val="000000"/>
                <w:sz w:val="16"/>
              </w:rPr>
              <w:t>181,381 </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30891698" w14:textId="77777777" w:rsidR="003F0EEA" w:rsidRPr="00A6389F" w:rsidRDefault="00FB7D0B">
            <w:pPr>
              <w:jc w:val="right"/>
              <w:rPr>
                <w:rFonts w:ascii="Arial" w:eastAsia="Arial" w:hAnsi="Arial" w:cs="Arial"/>
                <w:color w:val="000000"/>
                <w:sz w:val="16"/>
              </w:rPr>
            </w:pPr>
            <w:r w:rsidRPr="00A6389F">
              <w:rPr>
                <w:rFonts w:ascii="Arial" w:eastAsia="Arial" w:hAnsi="Arial" w:cs="Arial"/>
                <w:color w:val="000000"/>
                <w:sz w:val="16"/>
              </w:rPr>
              <w:t>178,469 </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1634928C" w14:textId="77777777" w:rsidR="003F0EEA" w:rsidRPr="00A6389F" w:rsidRDefault="00FB7D0B">
            <w:pPr>
              <w:jc w:val="right"/>
              <w:rPr>
                <w:rFonts w:ascii="Arial" w:eastAsia="Arial" w:hAnsi="Arial" w:cs="Arial"/>
                <w:color w:val="000000"/>
                <w:sz w:val="16"/>
              </w:rPr>
            </w:pPr>
            <w:r w:rsidRPr="00A6389F">
              <w:rPr>
                <w:rFonts w:ascii="Arial" w:eastAsia="Arial" w:hAnsi="Arial" w:cs="Arial"/>
                <w:color w:val="000000"/>
                <w:sz w:val="16"/>
              </w:rPr>
              <w:t>181,209 </w:t>
            </w:r>
          </w:p>
        </w:tc>
      </w:tr>
      <w:tr w:rsidR="00FB7D0B" w14:paraId="51395431" w14:textId="77777777" w:rsidTr="00FB7D0B">
        <w:trPr>
          <w:trHeight w:val="225"/>
        </w:trPr>
        <w:tc>
          <w:tcPr>
            <w:tcW w:w="180" w:type="dxa"/>
            <w:tcBorders>
              <w:top w:val="nil"/>
              <w:left w:val="nil"/>
              <w:bottom w:val="nil"/>
              <w:right w:val="nil"/>
              <w:tl2br w:val="nil"/>
              <w:tr2bl w:val="nil"/>
            </w:tcBorders>
            <w:shd w:val="clear" w:color="auto" w:fill="FFFFFF"/>
            <w:tcMar>
              <w:left w:w="101" w:type="dxa"/>
              <w:right w:w="101" w:type="dxa"/>
            </w:tcMar>
            <w:vAlign w:val="bottom"/>
          </w:tcPr>
          <w:p w14:paraId="25D56EEA" w14:textId="77777777" w:rsidR="003F0EEA" w:rsidRPr="00A6389F" w:rsidRDefault="003F0EEA">
            <w:pPr>
              <w:rPr>
                <w:rFonts w:ascii="Arial" w:eastAsia="Arial" w:hAnsi="Arial" w:cs="Arial"/>
                <w:color w:val="000000"/>
                <w:sz w:val="16"/>
              </w:rPr>
            </w:pPr>
          </w:p>
        </w:tc>
        <w:tc>
          <w:tcPr>
            <w:tcW w:w="2880" w:type="dxa"/>
            <w:gridSpan w:val="2"/>
            <w:vMerge w:val="restart"/>
            <w:tcBorders>
              <w:top w:val="nil"/>
              <w:left w:val="nil"/>
              <w:bottom w:val="nil"/>
              <w:right w:val="nil"/>
              <w:tl2br w:val="nil"/>
              <w:tr2bl w:val="nil"/>
            </w:tcBorders>
            <w:shd w:val="clear" w:color="auto" w:fill="FFFFFF"/>
            <w:tcMar>
              <w:left w:w="101" w:type="dxa"/>
              <w:right w:w="101" w:type="dxa"/>
            </w:tcMar>
            <w:vAlign w:val="bottom"/>
          </w:tcPr>
          <w:p w14:paraId="080CBD2F" w14:textId="77777777" w:rsidR="003F0EEA" w:rsidRPr="00A6389F" w:rsidRDefault="00FB7D0B">
            <w:pPr>
              <w:rPr>
                <w:rFonts w:ascii="Arial" w:eastAsia="Arial" w:hAnsi="Arial" w:cs="Arial"/>
                <w:color w:val="000000"/>
                <w:sz w:val="16"/>
              </w:rPr>
            </w:pPr>
            <w:r w:rsidRPr="00A6389F">
              <w:rPr>
                <w:rFonts w:ascii="Arial" w:eastAsia="Arial" w:hAnsi="Arial" w:cs="Arial"/>
                <w:color w:val="000000"/>
                <w:sz w:val="16"/>
              </w:rPr>
              <w:t>Supplier expenses</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6BC27410" w14:textId="77777777" w:rsidR="003F0EEA" w:rsidRPr="00A6389F" w:rsidRDefault="00FB7D0B">
            <w:pPr>
              <w:jc w:val="right"/>
              <w:rPr>
                <w:rFonts w:ascii="Arial" w:eastAsia="Arial" w:hAnsi="Arial" w:cs="Arial"/>
                <w:color w:val="000000"/>
                <w:sz w:val="16"/>
              </w:rPr>
            </w:pPr>
            <w:r w:rsidRPr="00A6389F">
              <w:rPr>
                <w:rFonts w:ascii="Arial" w:eastAsia="Arial" w:hAnsi="Arial" w:cs="Arial"/>
                <w:color w:val="000000"/>
                <w:sz w:val="16"/>
              </w:rPr>
              <w:t>114,265 </w:t>
            </w:r>
          </w:p>
        </w:tc>
        <w:tc>
          <w:tcPr>
            <w:tcW w:w="915" w:type="dxa"/>
            <w:tcBorders>
              <w:top w:val="nil"/>
              <w:left w:val="nil"/>
              <w:bottom w:val="nil"/>
              <w:right w:val="nil"/>
              <w:tl2br w:val="nil"/>
              <w:tr2bl w:val="nil"/>
            </w:tcBorders>
            <w:shd w:val="clear" w:color="auto" w:fill="FFFF00"/>
            <w:tcMar>
              <w:left w:w="101" w:type="dxa"/>
              <w:right w:w="101" w:type="dxa"/>
            </w:tcMar>
            <w:vAlign w:val="bottom"/>
          </w:tcPr>
          <w:p w14:paraId="1DEB684D" w14:textId="77777777" w:rsidR="003F0EEA" w:rsidRPr="00A6389F" w:rsidRDefault="00FB7D0B">
            <w:pPr>
              <w:jc w:val="right"/>
              <w:rPr>
                <w:rFonts w:ascii="Arial" w:eastAsia="Arial" w:hAnsi="Arial" w:cs="Arial"/>
                <w:color w:val="000000"/>
                <w:sz w:val="16"/>
              </w:rPr>
            </w:pPr>
            <w:r w:rsidRPr="00A6389F">
              <w:rPr>
                <w:rFonts w:ascii="Arial" w:eastAsia="Arial" w:hAnsi="Arial" w:cs="Arial"/>
                <w:color w:val="000000"/>
                <w:sz w:val="16"/>
              </w:rPr>
              <w:t>113,061 </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6B0D0765" w14:textId="77777777" w:rsidR="003F0EEA" w:rsidRPr="00A6389F" w:rsidRDefault="00FB7D0B">
            <w:pPr>
              <w:jc w:val="right"/>
              <w:rPr>
                <w:rFonts w:ascii="Arial" w:eastAsia="Arial" w:hAnsi="Arial" w:cs="Arial"/>
                <w:color w:val="000000"/>
                <w:sz w:val="16"/>
              </w:rPr>
            </w:pPr>
            <w:r w:rsidRPr="00A6389F">
              <w:rPr>
                <w:rFonts w:ascii="Arial" w:eastAsia="Arial" w:hAnsi="Arial" w:cs="Arial"/>
                <w:color w:val="000000"/>
                <w:sz w:val="16"/>
              </w:rPr>
              <w:t>111,882 </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6DE19B16" w14:textId="77777777" w:rsidR="003F0EEA" w:rsidRPr="00A6389F" w:rsidRDefault="00FB7D0B">
            <w:pPr>
              <w:jc w:val="right"/>
              <w:rPr>
                <w:rFonts w:ascii="Arial" w:eastAsia="Arial" w:hAnsi="Arial" w:cs="Arial"/>
                <w:color w:val="000000"/>
                <w:sz w:val="16"/>
              </w:rPr>
            </w:pPr>
            <w:r w:rsidRPr="00A6389F">
              <w:rPr>
                <w:rFonts w:ascii="Arial" w:eastAsia="Arial" w:hAnsi="Arial" w:cs="Arial"/>
                <w:color w:val="000000"/>
                <w:sz w:val="16"/>
              </w:rPr>
              <w:t>108,497 </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03077C54" w14:textId="77777777" w:rsidR="003F0EEA" w:rsidRPr="00A6389F" w:rsidRDefault="00FB7D0B">
            <w:pPr>
              <w:jc w:val="right"/>
              <w:rPr>
                <w:rFonts w:ascii="Arial" w:eastAsia="Arial" w:hAnsi="Arial" w:cs="Arial"/>
                <w:color w:val="000000"/>
                <w:sz w:val="16"/>
              </w:rPr>
            </w:pPr>
            <w:r w:rsidRPr="00A6389F">
              <w:rPr>
                <w:rFonts w:ascii="Arial" w:eastAsia="Arial" w:hAnsi="Arial" w:cs="Arial"/>
                <w:color w:val="000000"/>
                <w:sz w:val="16"/>
              </w:rPr>
              <w:t>108,470 </w:t>
            </w:r>
          </w:p>
        </w:tc>
      </w:tr>
      <w:tr w:rsidR="00FB7D0B" w14:paraId="5C230D6F" w14:textId="77777777" w:rsidTr="00FB7D0B">
        <w:trPr>
          <w:trHeight w:val="225"/>
        </w:trPr>
        <w:tc>
          <w:tcPr>
            <w:tcW w:w="180" w:type="dxa"/>
            <w:tcBorders>
              <w:top w:val="nil"/>
              <w:left w:val="nil"/>
              <w:bottom w:val="nil"/>
              <w:right w:val="nil"/>
              <w:tl2br w:val="nil"/>
              <w:tr2bl w:val="nil"/>
            </w:tcBorders>
            <w:shd w:val="clear" w:color="auto" w:fill="FFFFFF"/>
            <w:tcMar>
              <w:left w:w="101" w:type="dxa"/>
              <w:right w:w="101" w:type="dxa"/>
            </w:tcMar>
            <w:vAlign w:val="bottom"/>
          </w:tcPr>
          <w:p w14:paraId="1F5FC60E" w14:textId="77777777" w:rsidR="003F0EEA" w:rsidRPr="00A6389F" w:rsidRDefault="003F0EEA">
            <w:pPr>
              <w:rPr>
                <w:rFonts w:ascii="Arial" w:eastAsia="Arial" w:hAnsi="Arial" w:cs="Arial"/>
                <w:color w:val="000000"/>
                <w:sz w:val="16"/>
              </w:rPr>
            </w:pPr>
          </w:p>
        </w:tc>
        <w:tc>
          <w:tcPr>
            <w:tcW w:w="2880" w:type="dxa"/>
            <w:gridSpan w:val="2"/>
            <w:vMerge w:val="restart"/>
            <w:tcBorders>
              <w:top w:val="nil"/>
              <w:left w:val="nil"/>
              <w:bottom w:val="nil"/>
              <w:right w:val="nil"/>
              <w:tl2br w:val="nil"/>
              <w:tr2bl w:val="nil"/>
            </w:tcBorders>
            <w:shd w:val="clear" w:color="auto" w:fill="FFFFFF"/>
            <w:tcMar>
              <w:left w:w="101" w:type="dxa"/>
              <w:right w:w="101" w:type="dxa"/>
            </w:tcMar>
            <w:vAlign w:val="bottom"/>
          </w:tcPr>
          <w:p w14:paraId="383DC0EE" w14:textId="77777777" w:rsidR="003F0EEA" w:rsidRPr="00A6389F" w:rsidRDefault="00FB7D0B">
            <w:pPr>
              <w:rPr>
                <w:rFonts w:ascii="Arial" w:eastAsia="Arial" w:hAnsi="Arial" w:cs="Arial"/>
                <w:color w:val="000000"/>
                <w:sz w:val="16"/>
              </w:rPr>
            </w:pPr>
            <w:r w:rsidRPr="00A6389F">
              <w:rPr>
                <w:rFonts w:ascii="Arial" w:eastAsia="Arial" w:hAnsi="Arial" w:cs="Arial"/>
                <w:color w:val="000000"/>
                <w:sz w:val="16"/>
              </w:rPr>
              <w:t>Depreciation and amortisation</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341F4CFE" w14:textId="77777777" w:rsidR="003F0EEA" w:rsidRPr="00A6389F" w:rsidRDefault="00FB7D0B">
            <w:pPr>
              <w:jc w:val="right"/>
              <w:rPr>
                <w:rFonts w:ascii="Arial" w:eastAsia="Arial" w:hAnsi="Arial" w:cs="Arial"/>
                <w:color w:val="000000"/>
                <w:sz w:val="16"/>
              </w:rPr>
            </w:pPr>
            <w:r w:rsidRPr="00A6389F">
              <w:rPr>
                <w:rFonts w:ascii="Arial" w:eastAsia="Arial" w:hAnsi="Arial" w:cs="Arial"/>
                <w:color w:val="000000"/>
                <w:sz w:val="16"/>
              </w:rPr>
              <w:t>29,071 </w:t>
            </w:r>
          </w:p>
        </w:tc>
        <w:tc>
          <w:tcPr>
            <w:tcW w:w="915" w:type="dxa"/>
            <w:tcBorders>
              <w:top w:val="nil"/>
              <w:left w:val="nil"/>
              <w:bottom w:val="nil"/>
              <w:right w:val="nil"/>
              <w:tl2br w:val="nil"/>
              <w:tr2bl w:val="nil"/>
            </w:tcBorders>
            <w:shd w:val="clear" w:color="auto" w:fill="FFFF00"/>
            <w:tcMar>
              <w:left w:w="101" w:type="dxa"/>
              <w:right w:w="101" w:type="dxa"/>
            </w:tcMar>
            <w:vAlign w:val="bottom"/>
          </w:tcPr>
          <w:p w14:paraId="2FD980A5" w14:textId="77777777" w:rsidR="003F0EEA" w:rsidRPr="00A6389F" w:rsidRDefault="00FB7D0B">
            <w:pPr>
              <w:jc w:val="right"/>
              <w:rPr>
                <w:rFonts w:ascii="Arial" w:eastAsia="Arial" w:hAnsi="Arial" w:cs="Arial"/>
                <w:color w:val="000000"/>
                <w:sz w:val="16"/>
              </w:rPr>
            </w:pPr>
            <w:r w:rsidRPr="00A6389F">
              <w:rPr>
                <w:rFonts w:ascii="Arial" w:eastAsia="Arial" w:hAnsi="Arial" w:cs="Arial"/>
                <w:color w:val="000000"/>
                <w:sz w:val="16"/>
              </w:rPr>
              <w:t>32,665 </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462901A6" w14:textId="77777777" w:rsidR="003F0EEA" w:rsidRPr="00A6389F" w:rsidRDefault="00FB7D0B">
            <w:pPr>
              <w:jc w:val="right"/>
              <w:rPr>
                <w:rFonts w:ascii="Arial" w:eastAsia="Arial" w:hAnsi="Arial" w:cs="Arial"/>
                <w:color w:val="000000"/>
                <w:sz w:val="16"/>
              </w:rPr>
            </w:pPr>
            <w:r w:rsidRPr="00A6389F">
              <w:rPr>
                <w:rFonts w:ascii="Arial" w:eastAsia="Arial" w:hAnsi="Arial" w:cs="Arial"/>
                <w:color w:val="000000"/>
                <w:sz w:val="16"/>
              </w:rPr>
              <w:t>29,641 </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2E3110A0" w14:textId="77777777" w:rsidR="003F0EEA" w:rsidRPr="00A6389F" w:rsidRDefault="00FB7D0B">
            <w:pPr>
              <w:jc w:val="right"/>
              <w:rPr>
                <w:rFonts w:ascii="Arial" w:eastAsia="Arial" w:hAnsi="Arial" w:cs="Arial"/>
                <w:color w:val="000000"/>
                <w:sz w:val="16"/>
              </w:rPr>
            </w:pPr>
            <w:r w:rsidRPr="00A6389F">
              <w:rPr>
                <w:rFonts w:ascii="Arial" w:eastAsia="Arial" w:hAnsi="Arial" w:cs="Arial"/>
                <w:color w:val="000000"/>
                <w:sz w:val="16"/>
              </w:rPr>
              <w:t>27,120 </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2B57A35E" w14:textId="77777777" w:rsidR="003F0EEA" w:rsidRPr="00A6389F" w:rsidRDefault="00FB7D0B">
            <w:pPr>
              <w:jc w:val="right"/>
              <w:rPr>
                <w:rFonts w:ascii="Arial" w:eastAsia="Arial" w:hAnsi="Arial" w:cs="Arial"/>
                <w:color w:val="000000"/>
                <w:sz w:val="16"/>
              </w:rPr>
            </w:pPr>
            <w:r w:rsidRPr="00A6389F">
              <w:rPr>
                <w:rFonts w:ascii="Arial" w:eastAsia="Arial" w:hAnsi="Arial" w:cs="Arial"/>
                <w:color w:val="000000"/>
                <w:sz w:val="16"/>
              </w:rPr>
              <w:t>22,530 </w:t>
            </w:r>
          </w:p>
        </w:tc>
      </w:tr>
      <w:tr w:rsidR="00FB7D0B" w14:paraId="4642A87A" w14:textId="77777777" w:rsidTr="00FB7D0B">
        <w:trPr>
          <w:trHeight w:val="225"/>
        </w:trPr>
        <w:tc>
          <w:tcPr>
            <w:tcW w:w="180" w:type="dxa"/>
            <w:tcBorders>
              <w:top w:val="nil"/>
              <w:left w:val="nil"/>
              <w:bottom w:val="nil"/>
              <w:right w:val="nil"/>
              <w:tl2br w:val="nil"/>
              <w:tr2bl w:val="nil"/>
            </w:tcBorders>
            <w:shd w:val="clear" w:color="auto" w:fill="FFFFFF"/>
            <w:tcMar>
              <w:left w:w="101" w:type="dxa"/>
              <w:right w:w="101" w:type="dxa"/>
            </w:tcMar>
            <w:vAlign w:val="bottom"/>
          </w:tcPr>
          <w:p w14:paraId="47C755AF" w14:textId="77777777" w:rsidR="003F0EEA" w:rsidRPr="00A6389F" w:rsidRDefault="003F0EEA">
            <w:pPr>
              <w:rPr>
                <w:rFonts w:ascii="Arial" w:eastAsia="Arial" w:hAnsi="Arial" w:cs="Arial"/>
                <w:color w:val="000000"/>
                <w:sz w:val="16"/>
              </w:rPr>
            </w:pPr>
          </w:p>
        </w:tc>
        <w:tc>
          <w:tcPr>
            <w:tcW w:w="2880" w:type="dxa"/>
            <w:gridSpan w:val="2"/>
            <w:tcBorders>
              <w:top w:val="nil"/>
              <w:left w:val="nil"/>
              <w:bottom w:val="nil"/>
              <w:right w:val="nil"/>
              <w:tl2br w:val="nil"/>
              <w:tr2bl w:val="nil"/>
            </w:tcBorders>
            <w:shd w:val="clear" w:color="auto" w:fill="FFFFFF"/>
            <w:tcMar>
              <w:left w:w="101" w:type="dxa"/>
              <w:right w:w="101" w:type="dxa"/>
            </w:tcMar>
            <w:vAlign w:val="bottom"/>
          </w:tcPr>
          <w:p w14:paraId="452EE5CD" w14:textId="77777777" w:rsidR="003F0EEA" w:rsidRPr="00A6389F" w:rsidRDefault="00FB7D0B">
            <w:pPr>
              <w:rPr>
                <w:rFonts w:ascii="Arial" w:eastAsia="Arial" w:hAnsi="Arial" w:cs="Arial"/>
                <w:color w:val="000000"/>
                <w:sz w:val="16"/>
              </w:rPr>
            </w:pPr>
            <w:r w:rsidRPr="00A6389F">
              <w:rPr>
                <w:rFonts w:ascii="Arial" w:eastAsia="Arial" w:hAnsi="Arial" w:cs="Arial"/>
                <w:color w:val="000000"/>
                <w:sz w:val="16"/>
              </w:rPr>
              <w:t>Insurance claims</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3332D166" w14:textId="77777777" w:rsidR="003F0EEA" w:rsidRPr="00A6389F" w:rsidRDefault="00FB7D0B">
            <w:pPr>
              <w:jc w:val="right"/>
              <w:rPr>
                <w:rFonts w:ascii="Arial" w:eastAsia="Arial" w:hAnsi="Arial" w:cs="Arial"/>
                <w:color w:val="000000"/>
                <w:sz w:val="16"/>
              </w:rPr>
            </w:pPr>
            <w:r w:rsidRPr="00A6389F">
              <w:rPr>
                <w:rFonts w:ascii="Arial" w:eastAsia="Arial" w:hAnsi="Arial" w:cs="Arial"/>
                <w:color w:val="000000"/>
                <w:sz w:val="16"/>
              </w:rPr>
              <w:t>27,484 </w:t>
            </w:r>
          </w:p>
        </w:tc>
        <w:tc>
          <w:tcPr>
            <w:tcW w:w="915" w:type="dxa"/>
            <w:tcBorders>
              <w:top w:val="nil"/>
              <w:left w:val="nil"/>
              <w:bottom w:val="nil"/>
              <w:right w:val="nil"/>
              <w:tl2br w:val="nil"/>
              <w:tr2bl w:val="nil"/>
            </w:tcBorders>
            <w:shd w:val="clear" w:color="auto" w:fill="FFFF00"/>
            <w:tcMar>
              <w:left w:w="101" w:type="dxa"/>
              <w:right w:w="101" w:type="dxa"/>
            </w:tcMar>
            <w:vAlign w:val="bottom"/>
          </w:tcPr>
          <w:p w14:paraId="3F980D6C" w14:textId="77777777" w:rsidR="003F0EEA" w:rsidRPr="00A6389F" w:rsidRDefault="00FB7D0B">
            <w:pPr>
              <w:jc w:val="right"/>
              <w:rPr>
                <w:rFonts w:ascii="Arial" w:eastAsia="Arial" w:hAnsi="Arial" w:cs="Arial"/>
                <w:color w:val="000000"/>
                <w:sz w:val="16"/>
              </w:rPr>
            </w:pPr>
            <w:r w:rsidRPr="00A6389F">
              <w:rPr>
                <w:rFonts w:ascii="Arial" w:eastAsia="Arial" w:hAnsi="Arial" w:cs="Arial"/>
                <w:color w:val="000000"/>
                <w:sz w:val="16"/>
              </w:rPr>
              <w:t>29,467 </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4747BA22" w14:textId="77777777" w:rsidR="003F0EEA" w:rsidRPr="00A6389F" w:rsidRDefault="00FB7D0B">
            <w:pPr>
              <w:jc w:val="right"/>
              <w:rPr>
                <w:rFonts w:ascii="Arial" w:eastAsia="Arial" w:hAnsi="Arial" w:cs="Arial"/>
                <w:color w:val="000000"/>
                <w:sz w:val="16"/>
              </w:rPr>
            </w:pPr>
            <w:r w:rsidRPr="00A6389F">
              <w:rPr>
                <w:rFonts w:ascii="Arial" w:eastAsia="Arial" w:hAnsi="Arial" w:cs="Arial"/>
                <w:color w:val="000000"/>
                <w:sz w:val="16"/>
              </w:rPr>
              <w:t>31,596 </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25BC7249" w14:textId="77777777" w:rsidR="003F0EEA" w:rsidRPr="00A6389F" w:rsidRDefault="00FB7D0B">
            <w:pPr>
              <w:jc w:val="right"/>
              <w:rPr>
                <w:rFonts w:ascii="Arial" w:eastAsia="Arial" w:hAnsi="Arial" w:cs="Arial"/>
                <w:color w:val="000000"/>
                <w:sz w:val="16"/>
              </w:rPr>
            </w:pPr>
            <w:r w:rsidRPr="00A6389F">
              <w:rPr>
                <w:rFonts w:ascii="Arial" w:eastAsia="Arial" w:hAnsi="Arial" w:cs="Arial"/>
                <w:color w:val="000000"/>
                <w:sz w:val="16"/>
              </w:rPr>
              <w:t>33,880 </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49791C62" w14:textId="77777777" w:rsidR="003F0EEA" w:rsidRPr="00A6389F" w:rsidRDefault="00FB7D0B">
            <w:pPr>
              <w:jc w:val="right"/>
              <w:rPr>
                <w:rFonts w:ascii="Arial" w:eastAsia="Arial" w:hAnsi="Arial" w:cs="Arial"/>
                <w:color w:val="000000"/>
                <w:sz w:val="16"/>
              </w:rPr>
            </w:pPr>
            <w:r w:rsidRPr="00A6389F">
              <w:rPr>
                <w:rFonts w:ascii="Arial" w:eastAsia="Arial" w:hAnsi="Arial" w:cs="Arial"/>
                <w:color w:val="000000"/>
                <w:sz w:val="16"/>
              </w:rPr>
              <w:t>36,330 </w:t>
            </w:r>
          </w:p>
        </w:tc>
      </w:tr>
      <w:tr w:rsidR="00FB7D0B" w14:paraId="27DBE6E9" w14:textId="77777777" w:rsidTr="00FB7D0B">
        <w:trPr>
          <w:trHeight w:val="225"/>
        </w:trPr>
        <w:tc>
          <w:tcPr>
            <w:tcW w:w="3060" w:type="dxa"/>
            <w:gridSpan w:val="3"/>
            <w:tcBorders>
              <w:top w:val="nil"/>
              <w:left w:val="nil"/>
              <w:bottom w:val="nil"/>
              <w:right w:val="nil"/>
              <w:tl2br w:val="nil"/>
              <w:tr2bl w:val="nil"/>
            </w:tcBorders>
            <w:shd w:val="clear" w:color="auto" w:fill="FFFFFF"/>
            <w:tcMar>
              <w:left w:w="101" w:type="dxa"/>
              <w:right w:w="101" w:type="dxa"/>
            </w:tcMar>
            <w:vAlign w:val="bottom"/>
          </w:tcPr>
          <w:p w14:paraId="0646381A" w14:textId="77777777" w:rsidR="003F0EEA" w:rsidRPr="00A6389F" w:rsidRDefault="00FB7D0B">
            <w:pPr>
              <w:rPr>
                <w:rFonts w:ascii="Arial" w:eastAsia="Arial" w:hAnsi="Arial" w:cs="Arial"/>
                <w:color w:val="000000"/>
                <w:sz w:val="16"/>
              </w:rPr>
            </w:pPr>
            <w:r w:rsidRPr="00A6389F">
              <w:rPr>
                <w:rFonts w:ascii="Arial" w:eastAsia="Arial" w:hAnsi="Arial" w:cs="Arial"/>
                <w:b/>
                <w:color w:val="000000"/>
                <w:sz w:val="16"/>
              </w:rPr>
              <w:t>Total expenses</w:t>
            </w:r>
          </w:p>
        </w:tc>
        <w:tc>
          <w:tcPr>
            <w:tcW w:w="915"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4EE2E083" w14:textId="77777777" w:rsidR="003F0EEA" w:rsidRPr="00A6389F" w:rsidRDefault="00FB7D0B">
            <w:pPr>
              <w:jc w:val="right"/>
              <w:rPr>
                <w:rFonts w:ascii="Arial" w:eastAsia="Arial" w:hAnsi="Arial" w:cs="Arial"/>
                <w:b/>
                <w:color w:val="000000"/>
                <w:sz w:val="16"/>
              </w:rPr>
            </w:pPr>
            <w:r w:rsidRPr="00A6389F">
              <w:rPr>
                <w:rFonts w:ascii="Arial" w:eastAsia="Arial" w:hAnsi="Arial" w:cs="Arial"/>
                <w:b/>
                <w:color w:val="000000"/>
                <w:sz w:val="16"/>
              </w:rPr>
              <w:t>362,981 </w:t>
            </w:r>
          </w:p>
        </w:tc>
        <w:tc>
          <w:tcPr>
            <w:tcW w:w="915" w:type="dxa"/>
            <w:tcBorders>
              <w:top w:val="single" w:sz="6" w:space="0" w:color="000000"/>
              <w:left w:val="nil"/>
              <w:bottom w:val="single" w:sz="6" w:space="0" w:color="000000"/>
              <w:right w:val="nil"/>
              <w:tl2br w:val="nil"/>
              <w:tr2bl w:val="nil"/>
            </w:tcBorders>
            <w:shd w:val="clear" w:color="auto" w:fill="FFFF00"/>
            <w:tcMar>
              <w:left w:w="101" w:type="dxa"/>
              <w:right w:w="101" w:type="dxa"/>
            </w:tcMar>
            <w:vAlign w:val="bottom"/>
          </w:tcPr>
          <w:p w14:paraId="70CBDBBA" w14:textId="77777777" w:rsidR="003F0EEA" w:rsidRPr="00A6389F" w:rsidRDefault="00FB7D0B">
            <w:pPr>
              <w:jc w:val="right"/>
              <w:rPr>
                <w:rFonts w:ascii="Arial" w:eastAsia="Arial" w:hAnsi="Arial" w:cs="Arial"/>
                <w:b/>
                <w:color w:val="000000"/>
                <w:sz w:val="16"/>
              </w:rPr>
            </w:pPr>
            <w:r w:rsidRPr="00A6389F">
              <w:rPr>
                <w:rFonts w:ascii="Arial" w:eastAsia="Arial" w:hAnsi="Arial" w:cs="Arial"/>
                <w:b/>
                <w:color w:val="000000"/>
                <w:sz w:val="16"/>
              </w:rPr>
              <w:t>364,414 </w:t>
            </w:r>
          </w:p>
        </w:tc>
        <w:tc>
          <w:tcPr>
            <w:tcW w:w="915"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57B95C1D" w14:textId="77777777" w:rsidR="003F0EEA" w:rsidRPr="00A6389F" w:rsidRDefault="00FB7D0B">
            <w:pPr>
              <w:jc w:val="right"/>
              <w:rPr>
                <w:rFonts w:ascii="Arial" w:eastAsia="Arial" w:hAnsi="Arial" w:cs="Arial"/>
                <w:b/>
                <w:color w:val="000000"/>
                <w:sz w:val="16"/>
              </w:rPr>
            </w:pPr>
            <w:r w:rsidRPr="00A6389F">
              <w:rPr>
                <w:rFonts w:ascii="Arial" w:eastAsia="Arial" w:hAnsi="Arial" w:cs="Arial"/>
                <w:b/>
                <w:color w:val="000000"/>
                <w:sz w:val="16"/>
              </w:rPr>
              <w:t>354,500 </w:t>
            </w:r>
          </w:p>
        </w:tc>
        <w:tc>
          <w:tcPr>
            <w:tcW w:w="915"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7D0FB3F3" w14:textId="77777777" w:rsidR="003F0EEA" w:rsidRPr="00A6389F" w:rsidRDefault="00FB7D0B">
            <w:pPr>
              <w:jc w:val="right"/>
              <w:rPr>
                <w:rFonts w:ascii="Arial" w:eastAsia="Arial" w:hAnsi="Arial" w:cs="Arial"/>
                <w:b/>
                <w:color w:val="000000"/>
                <w:sz w:val="16"/>
              </w:rPr>
            </w:pPr>
            <w:r w:rsidRPr="00A6389F">
              <w:rPr>
                <w:rFonts w:ascii="Arial" w:eastAsia="Arial" w:hAnsi="Arial" w:cs="Arial"/>
                <w:b/>
                <w:color w:val="000000"/>
                <w:sz w:val="16"/>
              </w:rPr>
              <w:t>347,966 </w:t>
            </w:r>
          </w:p>
        </w:tc>
        <w:tc>
          <w:tcPr>
            <w:tcW w:w="915"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5E77754D" w14:textId="77777777" w:rsidR="003F0EEA" w:rsidRPr="00A6389F" w:rsidRDefault="00FB7D0B">
            <w:pPr>
              <w:jc w:val="right"/>
              <w:rPr>
                <w:rFonts w:ascii="Arial" w:eastAsia="Arial" w:hAnsi="Arial" w:cs="Arial"/>
                <w:b/>
                <w:color w:val="000000"/>
                <w:sz w:val="16"/>
              </w:rPr>
            </w:pPr>
            <w:r w:rsidRPr="00A6389F">
              <w:rPr>
                <w:rFonts w:ascii="Arial" w:eastAsia="Arial" w:hAnsi="Arial" w:cs="Arial"/>
                <w:b/>
                <w:color w:val="000000"/>
                <w:sz w:val="16"/>
              </w:rPr>
              <w:t>348,539 </w:t>
            </w:r>
          </w:p>
        </w:tc>
      </w:tr>
      <w:tr w:rsidR="00724034" w14:paraId="630AB7C3" w14:textId="77777777">
        <w:trPr>
          <w:trHeight w:hRule="exact" w:val="225"/>
        </w:trPr>
        <w:tc>
          <w:tcPr>
            <w:tcW w:w="180" w:type="dxa"/>
            <w:tcBorders>
              <w:top w:val="nil"/>
              <w:left w:val="nil"/>
              <w:bottom w:val="nil"/>
              <w:right w:val="nil"/>
              <w:tl2br w:val="nil"/>
              <w:tr2bl w:val="nil"/>
            </w:tcBorders>
            <w:shd w:val="clear" w:color="auto" w:fill="FFFFFF"/>
            <w:tcMar>
              <w:left w:w="101" w:type="dxa"/>
              <w:right w:w="101" w:type="dxa"/>
            </w:tcMar>
            <w:vAlign w:val="bottom"/>
          </w:tcPr>
          <w:p w14:paraId="3A364D9D" w14:textId="77777777" w:rsidR="003F0EEA" w:rsidRPr="00A6389F" w:rsidRDefault="003F0EEA">
            <w:pPr>
              <w:rPr>
                <w:rFonts w:ascii="Arial" w:eastAsia="Arial" w:hAnsi="Arial" w:cs="Arial"/>
                <w:b/>
                <w:color w:val="000000"/>
                <w:sz w:val="16"/>
              </w:rPr>
            </w:pPr>
          </w:p>
        </w:tc>
        <w:tc>
          <w:tcPr>
            <w:tcW w:w="180" w:type="dxa"/>
            <w:tcBorders>
              <w:top w:val="nil"/>
              <w:left w:val="nil"/>
              <w:bottom w:val="nil"/>
              <w:right w:val="nil"/>
              <w:tl2br w:val="nil"/>
              <w:tr2bl w:val="nil"/>
            </w:tcBorders>
            <w:shd w:val="clear" w:color="auto" w:fill="FFFFFF"/>
            <w:tcMar>
              <w:left w:w="101" w:type="dxa"/>
              <w:right w:w="101" w:type="dxa"/>
            </w:tcMar>
            <w:vAlign w:val="bottom"/>
          </w:tcPr>
          <w:p w14:paraId="504C5920" w14:textId="77777777" w:rsidR="003F0EEA" w:rsidRPr="00A6389F" w:rsidRDefault="003F0EEA">
            <w:pPr>
              <w:rPr>
                <w:rFonts w:ascii="Arial" w:eastAsia="Arial" w:hAnsi="Arial" w:cs="Arial"/>
                <w:color w:val="000000"/>
                <w:sz w:val="16"/>
              </w:rPr>
            </w:pPr>
          </w:p>
        </w:tc>
        <w:tc>
          <w:tcPr>
            <w:tcW w:w="2700" w:type="dxa"/>
            <w:tcBorders>
              <w:top w:val="nil"/>
              <w:left w:val="nil"/>
              <w:bottom w:val="nil"/>
              <w:right w:val="nil"/>
              <w:tl2br w:val="nil"/>
              <w:tr2bl w:val="nil"/>
            </w:tcBorders>
            <w:shd w:val="clear" w:color="auto" w:fill="FFFFFF"/>
            <w:tcMar>
              <w:left w:w="101" w:type="dxa"/>
              <w:right w:w="101" w:type="dxa"/>
            </w:tcMar>
            <w:vAlign w:val="bottom"/>
          </w:tcPr>
          <w:p w14:paraId="1C03F958" w14:textId="77777777" w:rsidR="003F0EEA" w:rsidRPr="00A6389F" w:rsidRDefault="003F0EEA">
            <w:pPr>
              <w:rPr>
                <w:rFonts w:ascii="Arial" w:eastAsia="Arial" w:hAnsi="Arial" w:cs="Arial"/>
                <w:color w:val="000000"/>
                <w:sz w:val="16"/>
              </w:rPr>
            </w:pPr>
          </w:p>
        </w:tc>
        <w:tc>
          <w:tcPr>
            <w:tcW w:w="91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5F815AD7" w14:textId="77777777" w:rsidR="003F0EEA" w:rsidRPr="00A6389F" w:rsidRDefault="003F0EEA">
            <w:pPr>
              <w:rPr>
                <w:rFonts w:ascii="Arial" w:eastAsia="Arial" w:hAnsi="Arial" w:cs="Arial"/>
                <w:color w:val="000000"/>
                <w:sz w:val="16"/>
              </w:rPr>
            </w:pPr>
          </w:p>
        </w:tc>
        <w:tc>
          <w:tcPr>
            <w:tcW w:w="915" w:type="dxa"/>
            <w:tcBorders>
              <w:top w:val="single" w:sz="6" w:space="0" w:color="000000"/>
              <w:left w:val="nil"/>
              <w:bottom w:val="nil"/>
              <w:right w:val="nil"/>
              <w:tl2br w:val="nil"/>
              <w:tr2bl w:val="nil"/>
            </w:tcBorders>
            <w:shd w:val="clear" w:color="auto" w:fill="FFFF00"/>
            <w:tcMar>
              <w:left w:w="101" w:type="dxa"/>
              <w:right w:w="101" w:type="dxa"/>
            </w:tcMar>
            <w:vAlign w:val="bottom"/>
          </w:tcPr>
          <w:p w14:paraId="0086DAF4" w14:textId="77777777" w:rsidR="003F0EEA" w:rsidRPr="00A6389F" w:rsidRDefault="003F0EEA">
            <w:pPr>
              <w:rPr>
                <w:rFonts w:ascii="Arial" w:eastAsia="Arial" w:hAnsi="Arial" w:cs="Arial"/>
                <w:color w:val="000000"/>
                <w:sz w:val="16"/>
              </w:rPr>
            </w:pPr>
          </w:p>
        </w:tc>
        <w:tc>
          <w:tcPr>
            <w:tcW w:w="91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508A64E2" w14:textId="77777777" w:rsidR="003F0EEA" w:rsidRPr="00A6389F" w:rsidRDefault="003F0EEA">
            <w:pPr>
              <w:rPr>
                <w:rFonts w:ascii="Arial" w:eastAsia="Arial" w:hAnsi="Arial" w:cs="Arial"/>
                <w:color w:val="000000"/>
                <w:sz w:val="16"/>
              </w:rPr>
            </w:pPr>
          </w:p>
        </w:tc>
        <w:tc>
          <w:tcPr>
            <w:tcW w:w="91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684D0C50" w14:textId="77777777" w:rsidR="003F0EEA" w:rsidRPr="00A6389F" w:rsidRDefault="003F0EEA">
            <w:pPr>
              <w:rPr>
                <w:rFonts w:ascii="Arial" w:eastAsia="Arial" w:hAnsi="Arial" w:cs="Arial"/>
                <w:color w:val="000000"/>
                <w:sz w:val="16"/>
              </w:rPr>
            </w:pPr>
          </w:p>
        </w:tc>
        <w:tc>
          <w:tcPr>
            <w:tcW w:w="91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6EDE590A" w14:textId="77777777" w:rsidR="003F0EEA" w:rsidRPr="00A6389F" w:rsidRDefault="003F0EEA">
            <w:pPr>
              <w:rPr>
                <w:rFonts w:ascii="Arial" w:eastAsia="Arial" w:hAnsi="Arial" w:cs="Arial"/>
                <w:color w:val="000000"/>
                <w:sz w:val="16"/>
              </w:rPr>
            </w:pPr>
          </w:p>
        </w:tc>
      </w:tr>
      <w:tr w:rsidR="00FB7D0B" w14:paraId="3D20A727" w14:textId="77777777" w:rsidTr="00FB7D0B">
        <w:trPr>
          <w:trHeight w:val="225"/>
        </w:trPr>
        <w:tc>
          <w:tcPr>
            <w:tcW w:w="3060" w:type="dxa"/>
            <w:gridSpan w:val="3"/>
            <w:vMerge w:val="restart"/>
            <w:tcBorders>
              <w:top w:val="nil"/>
              <w:left w:val="nil"/>
              <w:bottom w:val="nil"/>
              <w:right w:val="nil"/>
              <w:tl2br w:val="nil"/>
              <w:tr2bl w:val="nil"/>
            </w:tcBorders>
            <w:shd w:val="clear" w:color="auto" w:fill="FFFFFF"/>
            <w:tcMar>
              <w:left w:w="101" w:type="dxa"/>
              <w:right w:w="101" w:type="dxa"/>
            </w:tcMar>
            <w:vAlign w:val="bottom"/>
          </w:tcPr>
          <w:p w14:paraId="2D3899AB" w14:textId="77777777" w:rsidR="003F0EEA" w:rsidRPr="00A6389F" w:rsidRDefault="00FB7D0B">
            <w:pPr>
              <w:rPr>
                <w:rFonts w:ascii="Arial" w:eastAsia="Arial" w:hAnsi="Arial" w:cs="Arial"/>
                <w:color w:val="000000"/>
                <w:sz w:val="16"/>
              </w:rPr>
            </w:pPr>
            <w:r w:rsidRPr="00A6389F">
              <w:rPr>
                <w:rFonts w:ascii="Arial" w:eastAsia="Arial" w:hAnsi="Arial" w:cs="Arial"/>
                <w:b/>
                <w:color w:val="000000"/>
                <w:sz w:val="16"/>
              </w:rPr>
              <w:t>LESS:</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6F6C0930" w14:textId="77777777" w:rsidR="003F0EEA" w:rsidRPr="00A6389F" w:rsidRDefault="003F0EEA">
            <w:pPr>
              <w:rPr>
                <w:rFonts w:ascii="Arial" w:eastAsia="Arial" w:hAnsi="Arial" w:cs="Arial"/>
                <w:b/>
                <w:color w:val="000000"/>
                <w:sz w:val="16"/>
              </w:rPr>
            </w:pPr>
          </w:p>
        </w:tc>
        <w:tc>
          <w:tcPr>
            <w:tcW w:w="915" w:type="dxa"/>
            <w:tcBorders>
              <w:top w:val="nil"/>
              <w:left w:val="nil"/>
              <w:bottom w:val="nil"/>
              <w:right w:val="nil"/>
              <w:tl2br w:val="nil"/>
              <w:tr2bl w:val="nil"/>
            </w:tcBorders>
            <w:shd w:val="clear" w:color="auto" w:fill="FFFF00"/>
            <w:tcMar>
              <w:left w:w="101" w:type="dxa"/>
              <w:right w:w="101" w:type="dxa"/>
            </w:tcMar>
            <w:vAlign w:val="bottom"/>
          </w:tcPr>
          <w:p w14:paraId="1EA96F00" w14:textId="77777777" w:rsidR="003F0EEA" w:rsidRPr="00A6389F" w:rsidRDefault="003F0EEA">
            <w:pPr>
              <w:rPr>
                <w:rFonts w:ascii="Arial" w:eastAsia="Arial" w:hAnsi="Arial" w:cs="Arial"/>
                <w:color w:val="000000"/>
                <w:sz w:val="16"/>
              </w:rPr>
            </w:pP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65141084" w14:textId="77777777" w:rsidR="003F0EEA" w:rsidRPr="00A6389F" w:rsidRDefault="003F0EEA">
            <w:pPr>
              <w:rPr>
                <w:rFonts w:ascii="Arial" w:eastAsia="Arial" w:hAnsi="Arial" w:cs="Arial"/>
                <w:color w:val="000000"/>
                <w:sz w:val="16"/>
              </w:rPr>
            </w:pP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4DCA76A9" w14:textId="77777777" w:rsidR="003F0EEA" w:rsidRPr="00A6389F" w:rsidRDefault="003F0EEA">
            <w:pPr>
              <w:rPr>
                <w:rFonts w:ascii="Arial" w:eastAsia="Arial" w:hAnsi="Arial" w:cs="Arial"/>
                <w:color w:val="000000"/>
                <w:sz w:val="16"/>
              </w:rPr>
            </w:pP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6B372202" w14:textId="77777777" w:rsidR="003F0EEA" w:rsidRPr="00A6389F" w:rsidRDefault="003F0EEA">
            <w:pPr>
              <w:rPr>
                <w:rFonts w:ascii="Arial" w:eastAsia="Arial" w:hAnsi="Arial" w:cs="Arial"/>
                <w:color w:val="000000"/>
                <w:sz w:val="16"/>
              </w:rPr>
            </w:pPr>
          </w:p>
        </w:tc>
      </w:tr>
      <w:tr w:rsidR="00FB7D0B" w14:paraId="60C62835" w14:textId="77777777" w:rsidTr="00FB7D0B">
        <w:trPr>
          <w:trHeight w:val="225"/>
        </w:trPr>
        <w:tc>
          <w:tcPr>
            <w:tcW w:w="3060" w:type="dxa"/>
            <w:gridSpan w:val="3"/>
            <w:tcBorders>
              <w:top w:val="nil"/>
              <w:left w:val="nil"/>
              <w:bottom w:val="nil"/>
              <w:right w:val="nil"/>
              <w:tl2br w:val="nil"/>
              <w:tr2bl w:val="nil"/>
            </w:tcBorders>
            <w:shd w:val="clear" w:color="auto" w:fill="FFFFFF"/>
            <w:tcMar>
              <w:left w:w="101" w:type="dxa"/>
              <w:right w:w="101" w:type="dxa"/>
            </w:tcMar>
            <w:vAlign w:val="bottom"/>
          </w:tcPr>
          <w:p w14:paraId="28B969E5" w14:textId="77777777" w:rsidR="003F0EEA" w:rsidRPr="00A6389F" w:rsidRDefault="00FB7D0B">
            <w:pPr>
              <w:rPr>
                <w:rFonts w:ascii="Arial" w:eastAsia="Arial" w:hAnsi="Arial" w:cs="Arial"/>
                <w:color w:val="000000"/>
                <w:sz w:val="16"/>
              </w:rPr>
            </w:pPr>
            <w:r w:rsidRPr="00A6389F">
              <w:rPr>
                <w:rFonts w:ascii="Arial" w:eastAsia="Arial" w:hAnsi="Arial" w:cs="Arial"/>
                <w:b/>
                <w:color w:val="000000"/>
                <w:sz w:val="16"/>
              </w:rPr>
              <w:t>OWN-SOURCE INCOME</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6C205127" w14:textId="77777777" w:rsidR="003F0EEA" w:rsidRPr="00A6389F" w:rsidRDefault="003F0EEA">
            <w:pPr>
              <w:rPr>
                <w:rFonts w:ascii="Arial" w:eastAsia="Arial" w:hAnsi="Arial" w:cs="Arial"/>
                <w:b/>
                <w:color w:val="000000"/>
                <w:sz w:val="16"/>
              </w:rPr>
            </w:pPr>
          </w:p>
        </w:tc>
        <w:tc>
          <w:tcPr>
            <w:tcW w:w="915" w:type="dxa"/>
            <w:tcBorders>
              <w:top w:val="nil"/>
              <w:left w:val="nil"/>
              <w:bottom w:val="nil"/>
              <w:right w:val="nil"/>
              <w:tl2br w:val="nil"/>
              <w:tr2bl w:val="nil"/>
            </w:tcBorders>
            <w:shd w:val="clear" w:color="auto" w:fill="FFFF00"/>
            <w:tcMar>
              <w:left w:w="101" w:type="dxa"/>
              <w:right w:w="101" w:type="dxa"/>
            </w:tcMar>
            <w:vAlign w:val="bottom"/>
          </w:tcPr>
          <w:p w14:paraId="2ED632A4" w14:textId="77777777" w:rsidR="003F0EEA" w:rsidRPr="00A6389F" w:rsidRDefault="003F0EEA">
            <w:pPr>
              <w:rPr>
                <w:rFonts w:ascii="Arial" w:eastAsia="Arial" w:hAnsi="Arial" w:cs="Arial"/>
                <w:color w:val="000000"/>
                <w:sz w:val="16"/>
              </w:rPr>
            </w:pP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6A617F96" w14:textId="77777777" w:rsidR="003F0EEA" w:rsidRPr="00A6389F" w:rsidRDefault="003F0EEA">
            <w:pPr>
              <w:rPr>
                <w:rFonts w:ascii="Arial" w:eastAsia="Arial" w:hAnsi="Arial" w:cs="Arial"/>
                <w:color w:val="000000"/>
                <w:sz w:val="16"/>
              </w:rPr>
            </w:pP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39689EAB" w14:textId="77777777" w:rsidR="003F0EEA" w:rsidRPr="00A6389F" w:rsidRDefault="003F0EEA">
            <w:pPr>
              <w:rPr>
                <w:rFonts w:ascii="Arial" w:eastAsia="Arial" w:hAnsi="Arial" w:cs="Arial"/>
                <w:color w:val="000000"/>
                <w:sz w:val="16"/>
              </w:rPr>
            </w:pP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7D9BE5A7" w14:textId="77777777" w:rsidR="003F0EEA" w:rsidRPr="00A6389F" w:rsidRDefault="003F0EEA">
            <w:pPr>
              <w:rPr>
                <w:rFonts w:ascii="Arial" w:eastAsia="Arial" w:hAnsi="Arial" w:cs="Arial"/>
                <w:color w:val="000000"/>
                <w:sz w:val="16"/>
              </w:rPr>
            </w:pPr>
          </w:p>
        </w:tc>
      </w:tr>
      <w:tr w:rsidR="00FB7D0B" w14:paraId="4A4DE714" w14:textId="77777777" w:rsidTr="00FB7D0B">
        <w:trPr>
          <w:trHeight w:val="225"/>
        </w:trPr>
        <w:tc>
          <w:tcPr>
            <w:tcW w:w="3060" w:type="dxa"/>
            <w:gridSpan w:val="3"/>
            <w:tcBorders>
              <w:top w:val="nil"/>
              <w:left w:val="nil"/>
              <w:bottom w:val="nil"/>
              <w:right w:val="nil"/>
              <w:tl2br w:val="nil"/>
              <w:tr2bl w:val="nil"/>
            </w:tcBorders>
            <w:shd w:val="clear" w:color="auto" w:fill="FFFFFF"/>
            <w:tcMar>
              <w:left w:w="101" w:type="dxa"/>
              <w:right w:w="101" w:type="dxa"/>
            </w:tcMar>
            <w:vAlign w:val="bottom"/>
          </w:tcPr>
          <w:p w14:paraId="2D0172DD" w14:textId="77777777" w:rsidR="003F0EEA" w:rsidRPr="00A6389F" w:rsidRDefault="00FB7D0B">
            <w:pPr>
              <w:rPr>
                <w:rFonts w:ascii="Arial" w:eastAsia="Arial" w:hAnsi="Arial" w:cs="Arial"/>
                <w:color w:val="000000"/>
                <w:sz w:val="16"/>
              </w:rPr>
            </w:pPr>
            <w:r w:rsidRPr="00A6389F">
              <w:rPr>
                <w:rFonts w:ascii="Arial" w:eastAsia="Arial" w:hAnsi="Arial" w:cs="Arial"/>
                <w:b/>
                <w:color w:val="000000"/>
                <w:sz w:val="16"/>
              </w:rPr>
              <w:t>Own-source revenue</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2BA05A8F" w14:textId="77777777" w:rsidR="003F0EEA" w:rsidRPr="00A6389F" w:rsidRDefault="003F0EEA">
            <w:pPr>
              <w:rPr>
                <w:rFonts w:ascii="Arial" w:eastAsia="Arial" w:hAnsi="Arial" w:cs="Arial"/>
                <w:b/>
                <w:color w:val="000000"/>
                <w:sz w:val="16"/>
              </w:rPr>
            </w:pPr>
          </w:p>
        </w:tc>
        <w:tc>
          <w:tcPr>
            <w:tcW w:w="915" w:type="dxa"/>
            <w:tcBorders>
              <w:top w:val="nil"/>
              <w:left w:val="nil"/>
              <w:bottom w:val="nil"/>
              <w:right w:val="nil"/>
              <w:tl2br w:val="nil"/>
              <w:tr2bl w:val="nil"/>
            </w:tcBorders>
            <w:shd w:val="clear" w:color="auto" w:fill="FFFF00"/>
            <w:tcMar>
              <w:left w:w="101" w:type="dxa"/>
              <w:right w:w="101" w:type="dxa"/>
            </w:tcMar>
            <w:vAlign w:val="bottom"/>
          </w:tcPr>
          <w:p w14:paraId="41BEE45C" w14:textId="77777777" w:rsidR="003F0EEA" w:rsidRPr="00A6389F" w:rsidRDefault="003F0EEA">
            <w:pPr>
              <w:rPr>
                <w:rFonts w:ascii="Arial" w:eastAsia="Arial" w:hAnsi="Arial" w:cs="Arial"/>
                <w:color w:val="000000"/>
                <w:sz w:val="16"/>
              </w:rPr>
            </w:pP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534B710A" w14:textId="77777777" w:rsidR="003F0EEA" w:rsidRPr="00A6389F" w:rsidRDefault="003F0EEA">
            <w:pPr>
              <w:rPr>
                <w:rFonts w:ascii="Arial" w:eastAsia="Arial" w:hAnsi="Arial" w:cs="Arial"/>
                <w:color w:val="000000"/>
                <w:sz w:val="16"/>
              </w:rPr>
            </w:pP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103C81C0" w14:textId="77777777" w:rsidR="003F0EEA" w:rsidRPr="00A6389F" w:rsidRDefault="003F0EEA">
            <w:pPr>
              <w:rPr>
                <w:rFonts w:ascii="Arial" w:eastAsia="Arial" w:hAnsi="Arial" w:cs="Arial"/>
                <w:color w:val="000000"/>
                <w:sz w:val="16"/>
              </w:rPr>
            </w:pP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7C4A528D" w14:textId="77777777" w:rsidR="003F0EEA" w:rsidRPr="00A6389F" w:rsidRDefault="003F0EEA">
            <w:pPr>
              <w:rPr>
                <w:rFonts w:ascii="Arial" w:eastAsia="Arial" w:hAnsi="Arial" w:cs="Arial"/>
                <w:color w:val="000000"/>
                <w:sz w:val="16"/>
              </w:rPr>
            </w:pPr>
          </w:p>
        </w:tc>
      </w:tr>
      <w:tr w:rsidR="00FB7D0B" w14:paraId="46F8087E" w14:textId="77777777" w:rsidTr="00FB7D0B">
        <w:trPr>
          <w:trHeight w:val="225"/>
        </w:trPr>
        <w:tc>
          <w:tcPr>
            <w:tcW w:w="180" w:type="dxa"/>
            <w:tcBorders>
              <w:top w:val="nil"/>
              <w:left w:val="nil"/>
              <w:bottom w:val="nil"/>
              <w:right w:val="nil"/>
              <w:tl2br w:val="nil"/>
              <w:tr2bl w:val="nil"/>
            </w:tcBorders>
            <w:shd w:val="clear" w:color="auto" w:fill="FFFFFF"/>
            <w:tcMar>
              <w:left w:w="101" w:type="dxa"/>
              <w:right w:w="101" w:type="dxa"/>
            </w:tcMar>
            <w:vAlign w:val="bottom"/>
          </w:tcPr>
          <w:p w14:paraId="29A6CDD9" w14:textId="77777777" w:rsidR="003F0EEA" w:rsidRPr="00A6389F" w:rsidRDefault="003F0EEA">
            <w:pPr>
              <w:rPr>
                <w:rFonts w:ascii="Arial" w:eastAsia="Arial" w:hAnsi="Arial" w:cs="Arial"/>
                <w:color w:val="000000"/>
                <w:sz w:val="16"/>
              </w:rPr>
            </w:pPr>
          </w:p>
        </w:tc>
        <w:tc>
          <w:tcPr>
            <w:tcW w:w="2880" w:type="dxa"/>
            <w:gridSpan w:val="2"/>
            <w:tcBorders>
              <w:top w:val="nil"/>
              <w:left w:val="nil"/>
              <w:bottom w:val="nil"/>
              <w:right w:val="nil"/>
              <w:tl2br w:val="nil"/>
              <w:tr2bl w:val="nil"/>
            </w:tcBorders>
            <w:shd w:val="clear" w:color="auto" w:fill="FFFFFF"/>
            <w:tcMar>
              <w:left w:w="101" w:type="dxa"/>
              <w:right w:w="101" w:type="dxa"/>
            </w:tcMar>
            <w:vAlign w:val="bottom"/>
          </w:tcPr>
          <w:p w14:paraId="7F33C0AA" w14:textId="77777777" w:rsidR="003F0EEA" w:rsidRPr="00A6389F" w:rsidRDefault="00FB7D0B">
            <w:pPr>
              <w:rPr>
                <w:rFonts w:ascii="Arial" w:eastAsia="Arial" w:hAnsi="Arial" w:cs="Arial"/>
                <w:color w:val="000000"/>
                <w:sz w:val="16"/>
              </w:rPr>
            </w:pPr>
            <w:r w:rsidRPr="00A6389F">
              <w:rPr>
                <w:rFonts w:ascii="Arial" w:eastAsia="Arial" w:hAnsi="Arial" w:cs="Arial"/>
                <w:color w:val="000000"/>
                <w:sz w:val="16"/>
              </w:rPr>
              <w:t xml:space="preserve">Sale of goods and rendering </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7F733ADB" w14:textId="77777777" w:rsidR="003F0EEA" w:rsidRPr="00A6389F" w:rsidRDefault="003F0EEA">
            <w:pPr>
              <w:rPr>
                <w:rFonts w:ascii="Arial" w:eastAsia="Arial" w:hAnsi="Arial" w:cs="Arial"/>
                <w:color w:val="000000"/>
                <w:sz w:val="16"/>
              </w:rPr>
            </w:pPr>
          </w:p>
        </w:tc>
        <w:tc>
          <w:tcPr>
            <w:tcW w:w="915" w:type="dxa"/>
            <w:tcBorders>
              <w:top w:val="nil"/>
              <w:left w:val="nil"/>
              <w:bottom w:val="nil"/>
              <w:right w:val="nil"/>
              <w:tl2br w:val="nil"/>
              <w:tr2bl w:val="nil"/>
            </w:tcBorders>
            <w:shd w:val="clear" w:color="auto" w:fill="FFFF00"/>
            <w:tcMar>
              <w:left w:w="101" w:type="dxa"/>
              <w:right w:w="101" w:type="dxa"/>
            </w:tcMar>
            <w:vAlign w:val="bottom"/>
          </w:tcPr>
          <w:p w14:paraId="02A5E291" w14:textId="77777777" w:rsidR="003F0EEA" w:rsidRPr="00A6389F" w:rsidRDefault="003F0EEA">
            <w:pPr>
              <w:rPr>
                <w:rFonts w:ascii="Arial" w:eastAsia="Arial" w:hAnsi="Arial" w:cs="Arial"/>
                <w:color w:val="000000"/>
                <w:sz w:val="16"/>
              </w:rPr>
            </w:pP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30F183A8" w14:textId="77777777" w:rsidR="003F0EEA" w:rsidRPr="00A6389F" w:rsidRDefault="003F0EEA">
            <w:pPr>
              <w:rPr>
                <w:rFonts w:ascii="Arial" w:eastAsia="Arial" w:hAnsi="Arial" w:cs="Arial"/>
                <w:color w:val="000000"/>
                <w:sz w:val="16"/>
              </w:rPr>
            </w:pP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3C54999A" w14:textId="77777777" w:rsidR="003F0EEA" w:rsidRPr="00A6389F" w:rsidRDefault="003F0EEA">
            <w:pPr>
              <w:rPr>
                <w:rFonts w:ascii="Arial" w:eastAsia="Arial" w:hAnsi="Arial" w:cs="Arial"/>
                <w:color w:val="000000"/>
                <w:sz w:val="16"/>
              </w:rPr>
            </w:pP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14958410" w14:textId="77777777" w:rsidR="003F0EEA" w:rsidRPr="00A6389F" w:rsidRDefault="003F0EEA">
            <w:pPr>
              <w:rPr>
                <w:rFonts w:ascii="Arial" w:eastAsia="Arial" w:hAnsi="Arial" w:cs="Arial"/>
                <w:color w:val="000000"/>
                <w:sz w:val="16"/>
              </w:rPr>
            </w:pPr>
          </w:p>
        </w:tc>
      </w:tr>
      <w:tr w:rsidR="00724034" w14:paraId="1EBAADD5" w14:textId="77777777">
        <w:trPr>
          <w:trHeight w:val="225"/>
        </w:trPr>
        <w:tc>
          <w:tcPr>
            <w:tcW w:w="180" w:type="dxa"/>
            <w:tcBorders>
              <w:top w:val="nil"/>
              <w:left w:val="nil"/>
              <w:bottom w:val="nil"/>
              <w:right w:val="nil"/>
              <w:tl2br w:val="nil"/>
              <w:tr2bl w:val="nil"/>
            </w:tcBorders>
            <w:shd w:val="clear" w:color="auto" w:fill="FFFFFF"/>
            <w:tcMar>
              <w:left w:w="101" w:type="dxa"/>
              <w:right w:w="101" w:type="dxa"/>
            </w:tcMar>
            <w:vAlign w:val="bottom"/>
          </w:tcPr>
          <w:p w14:paraId="346AA9D5" w14:textId="77777777" w:rsidR="003F0EEA" w:rsidRPr="00A6389F" w:rsidRDefault="003F0EEA">
            <w:pPr>
              <w:rPr>
                <w:rFonts w:ascii="Arial" w:eastAsia="Arial" w:hAnsi="Arial" w:cs="Arial"/>
                <w:color w:val="000000"/>
                <w:sz w:val="16"/>
              </w:rPr>
            </w:pPr>
          </w:p>
        </w:tc>
        <w:tc>
          <w:tcPr>
            <w:tcW w:w="180" w:type="dxa"/>
            <w:tcBorders>
              <w:top w:val="nil"/>
              <w:left w:val="nil"/>
              <w:bottom w:val="nil"/>
              <w:right w:val="nil"/>
              <w:tl2br w:val="nil"/>
              <w:tr2bl w:val="nil"/>
            </w:tcBorders>
            <w:shd w:val="clear" w:color="auto" w:fill="FFFFFF"/>
            <w:tcMar>
              <w:left w:w="101" w:type="dxa"/>
              <w:right w:w="101" w:type="dxa"/>
            </w:tcMar>
            <w:vAlign w:val="bottom"/>
          </w:tcPr>
          <w:p w14:paraId="7B0224F8" w14:textId="77777777" w:rsidR="003F0EEA" w:rsidRPr="00A6389F" w:rsidRDefault="003F0EEA">
            <w:pPr>
              <w:rPr>
                <w:rFonts w:ascii="Arial" w:eastAsia="Arial" w:hAnsi="Arial" w:cs="Arial"/>
                <w:color w:val="000000"/>
                <w:sz w:val="16"/>
              </w:rPr>
            </w:pPr>
          </w:p>
        </w:tc>
        <w:tc>
          <w:tcPr>
            <w:tcW w:w="2700" w:type="dxa"/>
            <w:tcBorders>
              <w:top w:val="nil"/>
              <w:left w:val="nil"/>
              <w:bottom w:val="nil"/>
              <w:right w:val="nil"/>
              <w:tl2br w:val="nil"/>
              <w:tr2bl w:val="nil"/>
            </w:tcBorders>
            <w:shd w:val="clear" w:color="auto" w:fill="FFFFFF"/>
            <w:tcMar>
              <w:left w:w="101" w:type="dxa"/>
              <w:right w:w="101" w:type="dxa"/>
            </w:tcMar>
            <w:vAlign w:val="bottom"/>
          </w:tcPr>
          <w:p w14:paraId="1C514112" w14:textId="77777777" w:rsidR="003F0EEA" w:rsidRPr="00A6389F" w:rsidRDefault="00FB7D0B">
            <w:pPr>
              <w:rPr>
                <w:rFonts w:ascii="Arial" w:eastAsia="Arial" w:hAnsi="Arial" w:cs="Arial"/>
                <w:color w:val="000000"/>
                <w:sz w:val="16"/>
              </w:rPr>
            </w:pPr>
            <w:r w:rsidRPr="00A6389F">
              <w:rPr>
                <w:rFonts w:ascii="Arial" w:eastAsia="Arial" w:hAnsi="Arial" w:cs="Arial"/>
                <w:color w:val="000000"/>
                <w:sz w:val="16"/>
              </w:rPr>
              <w:t>of services</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743A167E" w14:textId="77777777" w:rsidR="003F0EEA" w:rsidRPr="00A6389F" w:rsidRDefault="00FB7D0B">
            <w:pPr>
              <w:jc w:val="right"/>
              <w:rPr>
                <w:rFonts w:ascii="Arial" w:eastAsia="Arial" w:hAnsi="Arial" w:cs="Arial"/>
                <w:color w:val="000000"/>
                <w:sz w:val="16"/>
              </w:rPr>
            </w:pPr>
            <w:r w:rsidRPr="00A6389F">
              <w:rPr>
                <w:rFonts w:ascii="Arial" w:eastAsia="Arial" w:hAnsi="Arial" w:cs="Arial"/>
                <w:color w:val="000000"/>
                <w:sz w:val="16"/>
              </w:rPr>
              <w:t>42,631 </w:t>
            </w:r>
          </w:p>
        </w:tc>
        <w:tc>
          <w:tcPr>
            <w:tcW w:w="915" w:type="dxa"/>
            <w:tcBorders>
              <w:top w:val="nil"/>
              <w:left w:val="nil"/>
              <w:bottom w:val="nil"/>
              <w:right w:val="nil"/>
              <w:tl2br w:val="nil"/>
              <w:tr2bl w:val="nil"/>
            </w:tcBorders>
            <w:shd w:val="clear" w:color="auto" w:fill="FFFF00"/>
            <w:tcMar>
              <w:left w:w="101" w:type="dxa"/>
              <w:right w:w="101" w:type="dxa"/>
            </w:tcMar>
            <w:vAlign w:val="bottom"/>
          </w:tcPr>
          <w:p w14:paraId="737DE07F" w14:textId="77777777" w:rsidR="003F0EEA" w:rsidRPr="00A6389F" w:rsidRDefault="00FB7D0B">
            <w:pPr>
              <w:jc w:val="right"/>
              <w:rPr>
                <w:rFonts w:ascii="Arial" w:eastAsia="Arial" w:hAnsi="Arial" w:cs="Arial"/>
                <w:color w:val="000000"/>
                <w:sz w:val="16"/>
              </w:rPr>
            </w:pPr>
            <w:r w:rsidRPr="00A6389F">
              <w:rPr>
                <w:rFonts w:ascii="Arial" w:eastAsia="Arial" w:hAnsi="Arial" w:cs="Arial"/>
                <w:color w:val="000000"/>
                <w:sz w:val="16"/>
              </w:rPr>
              <w:t>46,702 </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3F1A6ABD" w14:textId="77777777" w:rsidR="003F0EEA" w:rsidRPr="00A6389F" w:rsidRDefault="00FB7D0B">
            <w:pPr>
              <w:jc w:val="right"/>
              <w:rPr>
                <w:rFonts w:ascii="Arial" w:eastAsia="Arial" w:hAnsi="Arial" w:cs="Arial"/>
                <w:color w:val="000000"/>
                <w:sz w:val="16"/>
              </w:rPr>
            </w:pPr>
            <w:r w:rsidRPr="00A6389F">
              <w:rPr>
                <w:rFonts w:ascii="Arial" w:eastAsia="Arial" w:hAnsi="Arial" w:cs="Arial"/>
                <w:color w:val="000000"/>
                <w:sz w:val="16"/>
              </w:rPr>
              <w:t>50,755 </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737D9F36" w14:textId="77777777" w:rsidR="003F0EEA" w:rsidRPr="00A6389F" w:rsidRDefault="00FB7D0B">
            <w:pPr>
              <w:jc w:val="right"/>
              <w:rPr>
                <w:rFonts w:ascii="Arial" w:eastAsia="Arial" w:hAnsi="Arial" w:cs="Arial"/>
                <w:color w:val="000000"/>
                <w:sz w:val="16"/>
              </w:rPr>
            </w:pPr>
            <w:r w:rsidRPr="00A6389F">
              <w:rPr>
                <w:rFonts w:ascii="Arial" w:eastAsia="Arial" w:hAnsi="Arial" w:cs="Arial"/>
                <w:color w:val="000000"/>
                <w:sz w:val="16"/>
              </w:rPr>
              <w:t>51,358 </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3551D08E" w14:textId="77777777" w:rsidR="003F0EEA" w:rsidRPr="00A6389F" w:rsidRDefault="00FB7D0B">
            <w:pPr>
              <w:jc w:val="right"/>
              <w:rPr>
                <w:rFonts w:ascii="Arial" w:eastAsia="Arial" w:hAnsi="Arial" w:cs="Arial"/>
                <w:color w:val="000000"/>
                <w:sz w:val="16"/>
              </w:rPr>
            </w:pPr>
            <w:r w:rsidRPr="00A6389F">
              <w:rPr>
                <w:rFonts w:ascii="Arial" w:eastAsia="Arial" w:hAnsi="Arial" w:cs="Arial"/>
                <w:color w:val="000000"/>
                <w:sz w:val="16"/>
              </w:rPr>
              <w:t>56,134 </w:t>
            </w:r>
          </w:p>
        </w:tc>
      </w:tr>
      <w:tr w:rsidR="00FB7D0B" w14:paraId="60087E96" w14:textId="77777777" w:rsidTr="00FB7D0B">
        <w:trPr>
          <w:trHeight w:val="225"/>
        </w:trPr>
        <w:tc>
          <w:tcPr>
            <w:tcW w:w="180" w:type="dxa"/>
            <w:tcBorders>
              <w:top w:val="nil"/>
              <w:left w:val="nil"/>
              <w:bottom w:val="nil"/>
              <w:right w:val="nil"/>
              <w:tl2br w:val="nil"/>
              <w:tr2bl w:val="nil"/>
            </w:tcBorders>
            <w:shd w:val="clear" w:color="auto" w:fill="FFFFFF"/>
            <w:tcMar>
              <w:left w:w="101" w:type="dxa"/>
              <w:right w:w="101" w:type="dxa"/>
            </w:tcMar>
            <w:vAlign w:val="bottom"/>
          </w:tcPr>
          <w:p w14:paraId="7AAB7A79" w14:textId="77777777" w:rsidR="003F0EEA" w:rsidRPr="00A6389F" w:rsidRDefault="003F0EEA">
            <w:pPr>
              <w:rPr>
                <w:rFonts w:ascii="Arial" w:eastAsia="Arial" w:hAnsi="Arial" w:cs="Arial"/>
                <w:color w:val="000000"/>
                <w:sz w:val="16"/>
              </w:rPr>
            </w:pPr>
          </w:p>
        </w:tc>
        <w:tc>
          <w:tcPr>
            <w:tcW w:w="2880" w:type="dxa"/>
            <w:gridSpan w:val="2"/>
            <w:tcBorders>
              <w:top w:val="nil"/>
              <w:left w:val="nil"/>
              <w:bottom w:val="nil"/>
              <w:right w:val="nil"/>
              <w:tl2br w:val="nil"/>
              <w:tr2bl w:val="nil"/>
            </w:tcBorders>
            <w:shd w:val="clear" w:color="auto" w:fill="FFFFFF"/>
            <w:tcMar>
              <w:left w:w="101" w:type="dxa"/>
              <w:right w:w="101" w:type="dxa"/>
            </w:tcMar>
            <w:vAlign w:val="bottom"/>
          </w:tcPr>
          <w:p w14:paraId="1F8679B5" w14:textId="77777777" w:rsidR="003F0EEA" w:rsidRPr="00A6389F" w:rsidRDefault="00FB7D0B">
            <w:pPr>
              <w:rPr>
                <w:rFonts w:ascii="Arial" w:eastAsia="Arial" w:hAnsi="Arial" w:cs="Arial"/>
                <w:color w:val="000000"/>
                <w:sz w:val="16"/>
              </w:rPr>
            </w:pPr>
            <w:r w:rsidRPr="00A6389F">
              <w:rPr>
                <w:rFonts w:ascii="Arial" w:eastAsia="Arial" w:hAnsi="Arial" w:cs="Arial"/>
                <w:color w:val="000000"/>
                <w:sz w:val="16"/>
              </w:rPr>
              <w:t>Other revenue</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04F7D113" w14:textId="77777777" w:rsidR="003F0EEA" w:rsidRPr="00A6389F" w:rsidRDefault="00FB7D0B">
            <w:pPr>
              <w:jc w:val="right"/>
              <w:rPr>
                <w:rFonts w:ascii="Arial" w:eastAsia="Arial" w:hAnsi="Arial" w:cs="Arial"/>
                <w:color w:val="000000"/>
                <w:sz w:val="16"/>
              </w:rPr>
            </w:pPr>
            <w:r w:rsidRPr="00A6389F">
              <w:rPr>
                <w:rFonts w:ascii="Arial" w:eastAsia="Arial" w:hAnsi="Arial" w:cs="Arial"/>
                <w:color w:val="000000"/>
                <w:sz w:val="16"/>
              </w:rPr>
              <w:t>4,300 </w:t>
            </w:r>
          </w:p>
        </w:tc>
        <w:tc>
          <w:tcPr>
            <w:tcW w:w="915" w:type="dxa"/>
            <w:tcBorders>
              <w:top w:val="nil"/>
              <w:left w:val="nil"/>
              <w:bottom w:val="nil"/>
              <w:right w:val="nil"/>
              <w:tl2br w:val="nil"/>
              <w:tr2bl w:val="nil"/>
            </w:tcBorders>
            <w:shd w:val="clear" w:color="auto" w:fill="FFFF00"/>
            <w:tcMar>
              <w:left w:w="101" w:type="dxa"/>
              <w:right w:w="101" w:type="dxa"/>
            </w:tcMar>
            <w:vAlign w:val="bottom"/>
          </w:tcPr>
          <w:p w14:paraId="321C81D9" w14:textId="77777777" w:rsidR="003F0EEA" w:rsidRPr="00A6389F" w:rsidRDefault="00FB7D0B">
            <w:pPr>
              <w:jc w:val="right"/>
              <w:rPr>
                <w:rFonts w:ascii="Arial" w:eastAsia="Arial" w:hAnsi="Arial" w:cs="Arial"/>
                <w:color w:val="000000"/>
                <w:sz w:val="16"/>
              </w:rPr>
            </w:pPr>
            <w:r w:rsidRPr="00A6389F">
              <w:rPr>
                <w:rFonts w:ascii="Arial" w:eastAsia="Arial" w:hAnsi="Arial" w:cs="Arial"/>
                <w:color w:val="000000"/>
                <w:sz w:val="16"/>
              </w:rPr>
              <w:t>4,440 </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0AAE214D" w14:textId="77777777" w:rsidR="003F0EEA" w:rsidRPr="00A6389F" w:rsidRDefault="00FB7D0B">
            <w:pPr>
              <w:jc w:val="right"/>
              <w:rPr>
                <w:rFonts w:ascii="Arial" w:eastAsia="Arial" w:hAnsi="Arial" w:cs="Arial"/>
                <w:color w:val="000000"/>
                <w:sz w:val="16"/>
              </w:rPr>
            </w:pPr>
            <w:r w:rsidRPr="00A6389F">
              <w:rPr>
                <w:rFonts w:ascii="Arial" w:eastAsia="Arial" w:hAnsi="Arial" w:cs="Arial"/>
                <w:color w:val="000000"/>
                <w:sz w:val="16"/>
              </w:rPr>
              <w:t>4,587 </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554034AE" w14:textId="77777777" w:rsidR="003F0EEA" w:rsidRPr="00A6389F" w:rsidRDefault="00FB7D0B">
            <w:pPr>
              <w:jc w:val="right"/>
              <w:rPr>
                <w:rFonts w:ascii="Arial" w:eastAsia="Arial" w:hAnsi="Arial" w:cs="Arial"/>
                <w:color w:val="000000"/>
                <w:sz w:val="16"/>
              </w:rPr>
            </w:pPr>
            <w:r w:rsidRPr="00A6389F">
              <w:rPr>
                <w:rFonts w:ascii="Arial" w:eastAsia="Arial" w:hAnsi="Arial" w:cs="Arial"/>
                <w:color w:val="000000"/>
                <w:sz w:val="16"/>
              </w:rPr>
              <w:t>4,741 </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1B31C969" w14:textId="77777777" w:rsidR="003F0EEA" w:rsidRPr="00A6389F" w:rsidRDefault="00FB7D0B">
            <w:pPr>
              <w:jc w:val="right"/>
              <w:rPr>
                <w:rFonts w:ascii="Arial" w:eastAsia="Arial" w:hAnsi="Arial" w:cs="Arial"/>
                <w:color w:val="000000"/>
                <w:sz w:val="16"/>
              </w:rPr>
            </w:pPr>
            <w:r w:rsidRPr="00A6389F">
              <w:rPr>
                <w:rFonts w:ascii="Arial" w:eastAsia="Arial" w:hAnsi="Arial" w:cs="Arial"/>
                <w:color w:val="000000"/>
                <w:sz w:val="16"/>
              </w:rPr>
              <w:t>4,903 </w:t>
            </w:r>
          </w:p>
        </w:tc>
      </w:tr>
      <w:tr w:rsidR="00FB7D0B" w14:paraId="1C43A639" w14:textId="77777777" w:rsidTr="00FB7D0B">
        <w:trPr>
          <w:trHeight w:val="225"/>
        </w:trPr>
        <w:tc>
          <w:tcPr>
            <w:tcW w:w="3060" w:type="dxa"/>
            <w:gridSpan w:val="3"/>
            <w:tcBorders>
              <w:top w:val="nil"/>
              <w:left w:val="nil"/>
              <w:bottom w:val="nil"/>
              <w:right w:val="nil"/>
              <w:tl2br w:val="nil"/>
              <w:tr2bl w:val="nil"/>
            </w:tcBorders>
            <w:shd w:val="clear" w:color="auto" w:fill="FFFFFF"/>
            <w:tcMar>
              <w:left w:w="101" w:type="dxa"/>
              <w:right w:w="101" w:type="dxa"/>
            </w:tcMar>
            <w:vAlign w:val="bottom"/>
          </w:tcPr>
          <w:p w14:paraId="40ED183C" w14:textId="77777777" w:rsidR="003F0EEA" w:rsidRPr="00A6389F" w:rsidRDefault="00FB7D0B">
            <w:pPr>
              <w:rPr>
                <w:rFonts w:ascii="Arial" w:eastAsia="Arial" w:hAnsi="Arial" w:cs="Arial"/>
                <w:color w:val="000000"/>
                <w:sz w:val="16"/>
              </w:rPr>
            </w:pPr>
            <w:r w:rsidRPr="00A6389F">
              <w:rPr>
                <w:rFonts w:ascii="Arial" w:eastAsia="Arial" w:hAnsi="Arial" w:cs="Arial"/>
                <w:b/>
                <w:color w:val="000000"/>
                <w:sz w:val="16"/>
              </w:rPr>
              <w:t>Total own-source revenue</w:t>
            </w:r>
          </w:p>
        </w:tc>
        <w:tc>
          <w:tcPr>
            <w:tcW w:w="915"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62C7842C" w14:textId="77777777" w:rsidR="003F0EEA" w:rsidRPr="00A6389F" w:rsidRDefault="00FB7D0B">
            <w:pPr>
              <w:jc w:val="right"/>
              <w:rPr>
                <w:rFonts w:ascii="Arial" w:eastAsia="Arial" w:hAnsi="Arial" w:cs="Arial"/>
                <w:b/>
                <w:color w:val="000000"/>
                <w:sz w:val="16"/>
              </w:rPr>
            </w:pPr>
            <w:r w:rsidRPr="00A6389F">
              <w:rPr>
                <w:rFonts w:ascii="Arial" w:eastAsia="Arial" w:hAnsi="Arial" w:cs="Arial"/>
                <w:b/>
                <w:color w:val="000000"/>
                <w:sz w:val="16"/>
              </w:rPr>
              <w:t>46,931 </w:t>
            </w:r>
          </w:p>
        </w:tc>
        <w:tc>
          <w:tcPr>
            <w:tcW w:w="915" w:type="dxa"/>
            <w:tcBorders>
              <w:top w:val="single" w:sz="6" w:space="0" w:color="000000"/>
              <w:left w:val="nil"/>
              <w:bottom w:val="single" w:sz="6" w:space="0" w:color="000000"/>
              <w:right w:val="nil"/>
              <w:tl2br w:val="nil"/>
              <w:tr2bl w:val="nil"/>
            </w:tcBorders>
            <w:shd w:val="clear" w:color="auto" w:fill="FFFF00"/>
            <w:tcMar>
              <w:left w:w="101" w:type="dxa"/>
              <w:right w:w="101" w:type="dxa"/>
            </w:tcMar>
            <w:vAlign w:val="bottom"/>
          </w:tcPr>
          <w:p w14:paraId="1B2665AD" w14:textId="77777777" w:rsidR="003F0EEA" w:rsidRPr="00A6389F" w:rsidRDefault="00FB7D0B">
            <w:pPr>
              <w:jc w:val="right"/>
              <w:rPr>
                <w:rFonts w:ascii="Arial" w:eastAsia="Arial" w:hAnsi="Arial" w:cs="Arial"/>
                <w:b/>
                <w:color w:val="000000"/>
                <w:sz w:val="16"/>
              </w:rPr>
            </w:pPr>
            <w:r w:rsidRPr="00A6389F">
              <w:rPr>
                <w:rFonts w:ascii="Arial" w:eastAsia="Arial" w:hAnsi="Arial" w:cs="Arial"/>
                <w:b/>
                <w:color w:val="000000"/>
                <w:sz w:val="16"/>
              </w:rPr>
              <w:t>51,142 </w:t>
            </w:r>
          </w:p>
        </w:tc>
        <w:tc>
          <w:tcPr>
            <w:tcW w:w="915"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2B176196" w14:textId="77777777" w:rsidR="003F0EEA" w:rsidRPr="00A6389F" w:rsidRDefault="00FB7D0B">
            <w:pPr>
              <w:jc w:val="right"/>
              <w:rPr>
                <w:rFonts w:ascii="Arial" w:eastAsia="Arial" w:hAnsi="Arial" w:cs="Arial"/>
                <w:b/>
                <w:color w:val="000000"/>
                <w:sz w:val="16"/>
              </w:rPr>
            </w:pPr>
            <w:r w:rsidRPr="00A6389F">
              <w:rPr>
                <w:rFonts w:ascii="Arial" w:eastAsia="Arial" w:hAnsi="Arial" w:cs="Arial"/>
                <w:b/>
                <w:color w:val="000000"/>
                <w:sz w:val="16"/>
              </w:rPr>
              <w:t>55,342 </w:t>
            </w:r>
          </w:p>
        </w:tc>
        <w:tc>
          <w:tcPr>
            <w:tcW w:w="915"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3B0772C3" w14:textId="77777777" w:rsidR="003F0EEA" w:rsidRPr="00A6389F" w:rsidRDefault="00FB7D0B">
            <w:pPr>
              <w:jc w:val="right"/>
              <w:rPr>
                <w:rFonts w:ascii="Arial" w:eastAsia="Arial" w:hAnsi="Arial" w:cs="Arial"/>
                <w:b/>
                <w:color w:val="000000"/>
                <w:sz w:val="16"/>
              </w:rPr>
            </w:pPr>
            <w:r w:rsidRPr="00A6389F">
              <w:rPr>
                <w:rFonts w:ascii="Arial" w:eastAsia="Arial" w:hAnsi="Arial" w:cs="Arial"/>
                <w:b/>
                <w:color w:val="000000"/>
                <w:sz w:val="16"/>
              </w:rPr>
              <w:t>56,099 </w:t>
            </w:r>
          </w:p>
        </w:tc>
        <w:tc>
          <w:tcPr>
            <w:tcW w:w="915"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27CA7051" w14:textId="77777777" w:rsidR="003F0EEA" w:rsidRPr="00A6389F" w:rsidRDefault="00FB7D0B">
            <w:pPr>
              <w:jc w:val="right"/>
              <w:rPr>
                <w:rFonts w:ascii="Arial" w:eastAsia="Arial" w:hAnsi="Arial" w:cs="Arial"/>
                <w:b/>
                <w:color w:val="000000"/>
                <w:sz w:val="16"/>
              </w:rPr>
            </w:pPr>
            <w:r w:rsidRPr="00A6389F">
              <w:rPr>
                <w:rFonts w:ascii="Arial" w:eastAsia="Arial" w:hAnsi="Arial" w:cs="Arial"/>
                <w:b/>
                <w:color w:val="000000"/>
                <w:sz w:val="16"/>
              </w:rPr>
              <w:t>61,037 </w:t>
            </w:r>
          </w:p>
        </w:tc>
      </w:tr>
      <w:tr w:rsidR="00724034" w14:paraId="0846F9EF" w14:textId="77777777">
        <w:trPr>
          <w:trHeight w:hRule="exact" w:val="225"/>
        </w:trPr>
        <w:tc>
          <w:tcPr>
            <w:tcW w:w="180" w:type="dxa"/>
            <w:tcBorders>
              <w:top w:val="nil"/>
              <w:left w:val="nil"/>
              <w:bottom w:val="nil"/>
              <w:right w:val="nil"/>
              <w:tl2br w:val="nil"/>
              <w:tr2bl w:val="nil"/>
            </w:tcBorders>
            <w:shd w:val="clear" w:color="auto" w:fill="FFFFFF"/>
            <w:tcMar>
              <w:left w:w="101" w:type="dxa"/>
              <w:right w:w="101" w:type="dxa"/>
            </w:tcMar>
            <w:vAlign w:val="bottom"/>
          </w:tcPr>
          <w:p w14:paraId="6A4CA788" w14:textId="77777777" w:rsidR="003F0EEA" w:rsidRPr="00A6389F" w:rsidRDefault="003F0EEA">
            <w:pPr>
              <w:rPr>
                <w:rFonts w:ascii="Arial" w:eastAsia="Arial" w:hAnsi="Arial" w:cs="Arial"/>
                <w:b/>
                <w:color w:val="000000"/>
                <w:sz w:val="16"/>
              </w:rPr>
            </w:pPr>
          </w:p>
        </w:tc>
        <w:tc>
          <w:tcPr>
            <w:tcW w:w="180" w:type="dxa"/>
            <w:tcBorders>
              <w:top w:val="nil"/>
              <w:left w:val="nil"/>
              <w:bottom w:val="nil"/>
              <w:right w:val="nil"/>
              <w:tl2br w:val="nil"/>
              <w:tr2bl w:val="nil"/>
            </w:tcBorders>
            <w:shd w:val="clear" w:color="auto" w:fill="FFFFFF"/>
            <w:tcMar>
              <w:left w:w="101" w:type="dxa"/>
              <w:right w:w="101" w:type="dxa"/>
            </w:tcMar>
            <w:vAlign w:val="bottom"/>
          </w:tcPr>
          <w:p w14:paraId="19C3E98B" w14:textId="77777777" w:rsidR="003F0EEA" w:rsidRPr="00A6389F" w:rsidRDefault="003F0EEA">
            <w:pPr>
              <w:rPr>
                <w:rFonts w:ascii="Arial" w:eastAsia="Arial" w:hAnsi="Arial" w:cs="Arial"/>
                <w:color w:val="000000"/>
                <w:sz w:val="16"/>
              </w:rPr>
            </w:pPr>
          </w:p>
        </w:tc>
        <w:tc>
          <w:tcPr>
            <w:tcW w:w="2700" w:type="dxa"/>
            <w:tcBorders>
              <w:top w:val="nil"/>
              <w:left w:val="nil"/>
              <w:bottom w:val="nil"/>
              <w:right w:val="nil"/>
              <w:tl2br w:val="nil"/>
              <w:tr2bl w:val="nil"/>
            </w:tcBorders>
            <w:shd w:val="clear" w:color="auto" w:fill="FFFFFF"/>
            <w:tcMar>
              <w:left w:w="101" w:type="dxa"/>
              <w:right w:w="101" w:type="dxa"/>
            </w:tcMar>
            <w:vAlign w:val="bottom"/>
          </w:tcPr>
          <w:p w14:paraId="0BE34ADF" w14:textId="77777777" w:rsidR="003F0EEA" w:rsidRPr="00A6389F" w:rsidRDefault="003F0EEA">
            <w:pPr>
              <w:rPr>
                <w:rFonts w:ascii="Arial" w:eastAsia="Arial" w:hAnsi="Arial" w:cs="Arial"/>
                <w:color w:val="000000"/>
                <w:sz w:val="16"/>
              </w:rPr>
            </w:pPr>
          </w:p>
        </w:tc>
        <w:tc>
          <w:tcPr>
            <w:tcW w:w="91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29BC0A88" w14:textId="77777777" w:rsidR="003F0EEA" w:rsidRPr="00A6389F" w:rsidRDefault="003F0EEA">
            <w:pPr>
              <w:rPr>
                <w:rFonts w:ascii="Arial" w:eastAsia="Arial" w:hAnsi="Arial" w:cs="Arial"/>
                <w:color w:val="000000"/>
                <w:sz w:val="16"/>
              </w:rPr>
            </w:pPr>
          </w:p>
        </w:tc>
        <w:tc>
          <w:tcPr>
            <w:tcW w:w="915" w:type="dxa"/>
            <w:tcBorders>
              <w:top w:val="single" w:sz="6" w:space="0" w:color="000000"/>
              <w:left w:val="nil"/>
              <w:bottom w:val="nil"/>
              <w:right w:val="nil"/>
              <w:tl2br w:val="nil"/>
              <w:tr2bl w:val="nil"/>
            </w:tcBorders>
            <w:shd w:val="clear" w:color="auto" w:fill="FFFF00"/>
            <w:tcMar>
              <w:left w:w="101" w:type="dxa"/>
              <w:right w:w="101" w:type="dxa"/>
            </w:tcMar>
            <w:vAlign w:val="bottom"/>
          </w:tcPr>
          <w:p w14:paraId="2DECBBC1" w14:textId="77777777" w:rsidR="003F0EEA" w:rsidRPr="00A6389F" w:rsidRDefault="003F0EEA">
            <w:pPr>
              <w:rPr>
                <w:rFonts w:ascii="Arial" w:eastAsia="Arial" w:hAnsi="Arial" w:cs="Arial"/>
                <w:color w:val="000000"/>
                <w:sz w:val="16"/>
              </w:rPr>
            </w:pPr>
          </w:p>
        </w:tc>
        <w:tc>
          <w:tcPr>
            <w:tcW w:w="91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6DEBA55D" w14:textId="77777777" w:rsidR="003F0EEA" w:rsidRPr="00A6389F" w:rsidRDefault="003F0EEA">
            <w:pPr>
              <w:rPr>
                <w:rFonts w:ascii="Arial" w:eastAsia="Arial" w:hAnsi="Arial" w:cs="Arial"/>
                <w:color w:val="000000"/>
                <w:sz w:val="16"/>
              </w:rPr>
            </w:pPr>
          </w:p>
        </w:tc>
        <w:tc>
          <w:tcPr>
            <w:tcW w:w="91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0433E137" w14:textId="77777777" w:rsidR="003F0EEA" w:rsidRPr="00A6389F" w:rsidRDefault="003F0EEA">
            <w:pPr>
              <w:rPr>
                <w:rFonts w:ascii="Arial" w:eastAsia="Arial" w:hAnsi="Arial" w:cs="Arial"/>
                <w:color w:val="000000"/>
                <w:sz w:val="16"/>
              </w:rPr>
            </w:pPr>
          </w:p>
        </w:tc>
        <w:tc>
          <w:tcPr>
            <w:tcW w:w="91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5553BB58" w14:textId="77777777" w:rsidR="003F0EEA" w:rsidRPr="00A6389F" w:rsidRDefault="003F0EEA">
            <w:pPr>
              <w:rPr>
                <w:rFonts w:ascii="Arial" w:eastAsia="Arial" w:hAnsi="Arial" w:cs="Arial"/>
                <w:color w:val="000000"/>
                <w:sz w:val="16"/>
              </w:rPr>
            </w:pPr>
          </w:p>
        </w:tc>
      </w:tr>
      <w:tr w:rsidR="00FB7D0B" w14:paraId="62F5993B" w14:textId="77777777" w:rsidTr="00FB7D0B">
        <w:trPr>
          <w:trHeight w:val="225"/>
        </w:trPr>
        <w:tc>
          <w:tcPr>
            <w:tcW w:w="3060" w:type="dxa"/>
            <w:gridSpan w:val="3"/>
            <w:tcBorders>
              <w:top w:val="nil"/>
              <w:left w:val="nil"/>
              <w:bottom w:val="nil"/>
              <w:right w:val="nil"/>
              <w:tl2br w:val="nil"/>
              <w:tr2bl w:val="nil"/>
            </w:tcBorders>
            <w:shd w:val="clear" w:color="auto" w:fill="FFFFFF"/>
            <w:tcMar>
              <w:left w:w="101" w:type="dxa"/>
              <w:right w:w="101" w:type="dxa"/>
            </w:tcMar>
            <w:vAlign w:val="bottom"/>
          </w:tcPr>
          <w:p w14:paraId="25EF0CEF" w14:textId="77777777" w:rsidR="003F0EEA" w:rsidRPr="00A6389F" w:rsidRDefault="00FB7D0B">
            <w:pPr>
              <w:rPr>
                <w:rFonts w:ascii="Arial" w:eastAsia="Arial" w:hAnsi="Arial" w:cs="Arial"/>
                <w:color w:val="000000"/>
                <w:sz w:val="16"/>
              </w:rPr>
            </w:pPr>
            <w:r w:rsidRPr="00A6389F">
              <w:rPr>
                <w:rFonts w:ascii="Arial" w:eastAsia="Arial" w:hAnsi="Arial" w:cs="Arial"/>
                <w:b/>
                <w:color w:val="000000"/>
                <w:sz w:val="16"/>
              </w:rPr>
              <w:t>Gains</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5ECFEEC2" w14:textId="77777777" w:rsidR="003F0EEA" w:rsidRPr="00A6389F" w:rsidRDefault="003F0EEA">
            <w:pPr>
              <w:rPr>
                <w:rFonts w:ascii="Arial" w:eastAsia="Arial" w:hAnsi="Arial" w:cs="Arial"/>
                <w:b/>
                <w:color w:val="000000"/>
                <w:sz w:val="16"/>
              </w:rPr>
            </w:pPr>
          </w:p>
        </w:tc>
        <w:tc>
          <w:tcPr>
            <w:tcW w:w="915" w:type="dxa"/>
            <w:tcBorders>
              <w:top w:val="nil"/>
              <w:left w:val="nil"/>
              <w:bottom w:val="nil"/>
              <w:right w:val="nil"/>
              <w:tl2br w:val="nil"/>
              <w:tr2bl w:val="nil"/>
            </w:tcBorders>
            <w:shd w:val="clear" w:color="auto" w:fill="FFFF00"/>
            <w:tcMar>
              <w:left w:w="101" w:type="dxa"/>
              <w:right w:w="101" w:type="dxa"/>
            </w:tcMar>
            <w:vAlign w:val="bottom"/>
          </w:tcPr>
          <w:p w14:paraId="6A0782AF" w14:textId="77777777" w:rsidR="003F0EEA" w:rsidRPr="00A6389F" w:rsidRDefault="003F0EEA">
            <w:pPr>
              <w:rPr>
                <w:rFonts w:ascii="Arial" w:eastAsia="Arial" w:hAnsi="Arial" w:cs="Arial"/>
                <w:color w:val="000000"/>
                <w:sz w:val="16"/>
              </w:rPr>
            </w:pP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3D2D573B" w14:textId="77777777" w:rsidR="003F0EEA" w:rsidRPr="00A6389F" w:rsidRDefault="003F0EEA">
            <w:pPr>
              <w:rPr>
                <w:rFonts w:ascii="Arial" w:eastAsia="Arial" w:hAnsi="Arial" w:cs="Arial"/>
                <w:color w:val="000000"/>
                <w:sz w:val="16"/>
              </w:rPr>
            </w:pP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0F783C3E" w14:textId="77777777" w:rsidR="003F0EEA" w:rsidRPr="00A6389F" w:rsidRDefault="003F0EEA">
            <w:pPr>
              <w:rPr>
                <w:rFonts w:ascii="Arial" w:eastAsia="Arial" w:hAnsi="Arial" w:cs="Arial"/>
                <w:color w:val="000000"/>
                <w:sz w:val="16"/>
              </w:rPr>
            </w:pP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12ABC6C8" w14:textId="77777777" w:rsidR="003F0EEA" w:rsidRPr="00A6389F" w:rsidRDefault="003F0EEA">
            <w:pPr>
              <w:rPr>
                <w:rFonts w:ascii="Arial" w:eastAsia="Arial" w:hAnsi="Arial" w:cs="Arial"/>
                <w:color w:val="000000"/>
                <w:sz w:val="16"/>
              </w:rPr>
            </w:pPr>
          </w:p>
        </w:tc>
      </w:tr>
      <w:tr w:rsidR="00FB7D0B" w14:paraId="552D4E68" w14:textId="77777777" w:rsidTr="00FB7D0B">
        <w:trPr>
          <w:trHeight w:val="225"/>
        </w:trPr>
        <w:tc>
          <w:tcPr>
            <w:tcW w:w="180" w:type="dxa"/>
            <w:tcBorders>
              <w:top w:val="nil"/>
              <w:left w:val="nil"/>
              <w:bottom w:val="nil"/>
              <w:right w:val="nil"/>
              <w:tl2br w:val="nil"/>
              <w:tr2bl w:val="nil"/>
            </w:tcBorders>
            <w:shd w:val="clear" w:color="auto" w:fill="FFFFFF"/>
            <w:tcMar>
              <w:left w:w="101" w:type="dxa"/>
              <w:right w:w="101" w:type="dxa"/>
            </w:tcMar>
            <w:vAlign w:val="bottom"/>
          </w:tcPr>
          <w:p w14:paraId="03045D94" w14:textId="77777777" w:rsidR="003F0EEA" w:rsidRPr="00A6389F" w:rsidRDefault="003F0EEA">
            <w:pPr>
              <w:rPr>
                <w:rFonts w:ascii="Arial" w:eastAsia="Arial" w:hAnsi="Arial" w:cs="Arial"/>
                <w:color w:val="000000"/>
                <w:sz w:val="16"/>
              </w:rPr>
            </w:pPr>
          </w:p>
        </w:tc>
        <w:tc>
          <w:tcPr>
            <w:tcW w:w="2880" w:type="dxa"/>
            <w:gridSpan w:val="2"/>
            <w:vMerge w:val="restart"/>
            <w:tcBorders>
              <w:top w:val="nil"/>
              <w:left w:val="nil"/>
              <w:bottom w:val="nil"/>
              <w:right w:val="nil"/>
              <w:tl2br w:val="nil"/>
              <w:tr2bl w:val="nil"/>
            </w:tcBorders>
            <w:shd w:val="clear" w:color="auto" w:fill="FFFFFF"/>
            <w:tcMar>
              <w:left w:w="101" w:type="dxa"/>
              <w:right w:w="101" w:type="dxa"/>
            </w:tcMar>
            <w:vAlign w:val="bottom"/>
          </w:tcPr>
          <w:p w14:paraId="5986B4E1" w14:textId="77777777" w:rsidR="003F0EEA" w:rsidRPr="00A6389F" w:rsidRDefault="00FB7D0B">
            <w:pPr>
              <w:rPr>
                <w:rFonts w:ascii="Arial" w:eastAsia="Arial" w:hAnsi="Arial" w:cs="Arial"/>
                <w:color w:val="000000"/>
                <w:sz w:val="16"/>
              </w:rPr>
            </w:pPr>
            <w:r w:rsidRPr="00A6389F">
              <w:rPr>
                <w:rFonts w:ascii="Arial" w:eastAsia="Arial" w:hAnsi="Arial" w:cs="Arial"/>
                <w:color w:val="000000"/>
                <w:sz w:val="16"/>
              </w:rPr>
              <w:t>Resources received free of charge</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1FD60BD6" w14:textId="77777777" w:rsidR="003F0EEA" w:rsidRPr="00A6389F" w:rsidRDefault="00FB7D0B">
            <w:pPr>
              <w:jc w:val="right"/>
              <w:rPr>
                <w:rFonts w:ascii="Arial" w:eastAsia="Arial" w:hAnsi="Arial" w:cs="Arial"/>
                <w:color w:val="000000"/>
                <w:sz w:val="16"/>
              </w:rPr>
            </w:pPr>
            <w:r w:rsidRPr="00A6389F">
              <w:rPr>
                <w:rFonts w:ascii="Arial" w:eastAsia="Arial" w:hAnsi="Arial" w:cs="Arial"/>
                <w:color w:val="000000"/>
                <w:sz w:val="16"/>
              </w:rPr>
              <w:t>805 </w:t>
            </w:r>
          </w:p>
        </w:tc>
        <w:tc>
          <w:tcPr>
            <w:tcW w:w="915" w:type="dxa"/>
            <w:tcBorders>
              <w:top w:val="nil"/>
              <w:left w:val="nil"/>
              <w:bottom w:val="nil"/>
              <w:right w:val="nil"/>
              <w:tl2br w:val="nil"/>
              <w:tr2bl w:val="nil"/>
            </w:tcBorders>
            <w:shd w:val="clear" w:color="auto" w:fill="FFFF00"/>
            <w:tcMar>
              <w:left w:w="101" w:type="dxa"/>
              <w:right w:w="101" w:type="dxa"/>
            </w:tcMar>
            <w:vAlign w:val="bottom"/>
          </w:tcPr>
          <w:p w14:paraId="7190D107" w14:textId="77777777" w:rsidR="003F0EEA" w:rsidRPr="00A6389F" w:rsidRDefault="00FB7D0B">
            <w:pPr>
              <w:jc w:val="right"/>
              <w:rPr>
                <w:rFonts w:ascii="Arial" w:eastAsia="Arial" w:hAnsi="Arial" w:cs="Arial"/>
                <w:color w:val="000000"/>
                <w:sz w:val="16"/>
              </w:rPr>
            </w:pPr>
            <w:r w:rsidRPr="00A6389F">
              <w:rPr>
                <w:rFonts w:ascii="Arial" w:eastAsia="Arial" w:hAnsi="Arial" w:cs="Arial"/>
                <w:color w:val="000000"/>
                <w:sz w:val="16"/>
              </w:rPr>
              <w:t>805 </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5BAFF3E6" w14:textId="77777777" w:rsidR="003F0EEA" w:rsidRPr="00A6389F" w:rsidRDefault="00FB7D0B">
            <w:pPr>
              <w:jc w:val="right"/>
              <w:rPr>
                <w:rFonts w:ascii="Arial" w:eastAsia="Arial" w:hAnsi="Arial" w:cs="Arial"/>
                <w:color w:val="000000"/>
                <w:sz w:val="16"/>
              </w:rPr>
            </w:pPr>
            <w:r w:rsidRPr="00A6389F">
              <w:rPr>
                <w:rFonts w:ascii="Arial" w:eastAsia="Arial" w:hAnsi="Arial" w:cs="Arial"/>
                <w:color w:val="000000"/>
                <w:sz w:val="16"/>
              </w:rPr>
              <w:t>805 </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082CB03A" w14:textId="77777777" w:rsidR="003F0EEA" w:rsidRPr="00A6389F" w:rsidRDefault="00FB7D0B">
            <w:pPr>
              <w:jc w:val="right"/>
              <w:rPr>
                <w:rFonts w:ascii="Arial" w:eastAsia="Arial" w:hAnsi="Arial" w:cs="Arial"/>
                <w:color w:val="000000"/>
                <w:sz w:val="16"/>
              </w:rPr>
            </w:pPr>
            <w:r w:rsidRPr="00A6389F">
              <w:rPr>
                <w:rFonts w:ascii="Arial" w:eastAsia="Arial" w:hAnsi="Arial" w:cs="Arial"/>
                <w:color w:val="000000"/>
                <w:sz w:val="16"/>
              </w:rPr>
              <w:t>805 </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3571433D" w14:textId="77777777" w:rsidR="003F0EEA" w:rsidRPr="00A6389F" w:rsidRDefault="00FB7D0B">
            <w:pPr>
              <w:jc w:val="right"/>
              <w:rPr>
                <w:rFonts w:ascii="Arial" w:eastAsia="Arial" w:hAnsi="Arial" w:cs="Arial"/>
                <w:color w:val="000000"/>
                <w:sz w:val="16"/>
              </w:rPr>
            </w:pPr>
            <w:r w:rsidRPr="00A6389F">
              <w:rPr>
                <w:rFonts w:ascii="Arial" w:eastAsia="Arial" w:hAnsi="Arial" w:cs="Arial"/>
                <w:color w:val="000000"/>
                <w:sz w:val="16"/>
              </w:rPr>
              <w:t>805 </w:t>
            </w:r>
          </w:p>
        </w:tc>
      </w:tr>
      <w:tr w:rsidR="00FB7D0B" w14:paraId="067FB52D" w14:textId="77777777" w:rsidTr="00FB7D0B">
        <w:trPr>
          <w:trHeight w:val="225"/>
        </w:trPr>
        <w:tc>
          <w:tcPr>
            <w:tcW w:w="3060" w:type="dxa"/>
            <w:gridSpan w:val="3"/>
            <w:tcBorders>
              <w:top w:val="nil"/>
              <w:left w:val="nil"/>
              <w:bottom w:val="nil"/>
              <w:right w:val="nil"/>
              <w:tl2br w:val="nil"/>
              <w:tr2bl w:val="nil"/>
            </w:tcBorders>
            <w:shd w:val="clear" w:color="auto" w:fill="FFFFFF"/>
            <w:tcMar>
              <w:left w:w="101" w:type="dxa"/>
              <w:right w:w="101" w:type="dxa"/>
            </w:tcMar>
            <w:vAlign w:val="bottom"/>
          </w:tcPr>
          <w:p w14:paraId="4625BE0D" w14:textId="77777777" w:rsidR="003F0EEA" w:rsidRPr="00A6389F" w:rsidRDefault="00FB7D0B">
            <w:pPr>
              <w:rPr>
                <w:rFonts w:ascii="Arial" w:eastAsia="Arial" w:hAnsi="Arial" w:cs="Arial"/>
                <w:color w:val="000000"/>
                <w:sz w:val="16"/>
              </w:rPr>
            </w:pPr>
            <w:r w:rsidRPr="00A6389F">
              <w:rPr>
                <w:rFonts w:ascii="Arial" w:eastAsia="Arial" w:hAnsi="Arial" w:cs="Arial"/>
                <w:b/>
                <w:color w:val="000000"/>
                <w:sz w:val="16"/>
              </w:rPr>
              <w:t>Total gains</w:t>
            </w:r>
          </w:p>
        </w:tc>
        <w:tc>
          <w:tcPr>
            <w:tcW w:w="915"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30F8E37F" w14:textId="77777777" w:rsidR="003F0EEA" w:rsidRPr="00A6389F" w:rsidRDefault="00FB7D0B">
            <w:pPr>
              <w:jc w:val="right"/>
              <w:rPr>
                <w:rFonts w:ascii="Arial" w:eastAsia="Arial" w:hAnsi="Arial" w:cs="Arial"/>
                <w:b/>
                <w:color w:val="000000"/>
                <w:sz w:val="16"/>
              </w:rPr>
            </w:pPr>
            <w:r w:rsidRPr="00A6389F">
              <w:rPr>
                <w:rFonts w:ascii="Arial" w:eastAsia="Arial" w:hAnsi="Arial" w:cs="Arial"/>
                <w:b/>
                <w:color w:val="000000"/>
                <w:sz w:val="16"/>
              </w:rPr>
              <w:t>805 </w:t>
            </w:r>
          </w:p>
        </w:tc>
        <w:tc>
          <w:tcPr>
            <w:tcW w:w="915" w:type="dxa"/>
            <w:tcBorders>
              <w:top w:val="single" w:sz="6" w:space="0" w:color="000000"/>
              <w:left w:val="nil"/>
              <w:bottom w:val="single" w:sz="6" w:space="0" w:color="000000"/>
              <w:right w:val="nil"/>
              <w:tl2br w:val="nil"/>
              <w:tr2bl w:val="nil"/>
            </w:tcBorders>
            <w:shd w:val="clear" w:color="auto" w:fill="FFFF00"/>
            <w:tcMar>
              <w:left w:w="101" w:type="dxa"/>
              <w:right w:w="101" w:type="dxa"/>
            </w:tcMar>
            <w:vAlign w:val="bottom"/>
          </w:tcPr>
          <w:p w14:paraId="573C52C1" w14:textId="77777777" w:rsidR="003F0EEA" w:rsidRPr="00A6389F" w:rsidRDefault="00FB7D0B">
            <w:pPr>
              <w:jc w:val="right"/>
              <w:rPr>
                <w:rFonts w:ascii="Arial" w:eastAsia="Arial" w:hAnsi="Arial" w:cs="Arial"/>
                <w:b/>
                <w:color w:val="000000"/>
                <w:sz w:val="16"/>
              </w:rPr>
            </w:pPr>
            <w:r w:rsidRPr="00A6389F">
              <w:rPr>
                <w:rFonts w:ascii="Arial" w:eastAsia="Arial" w:hAnsi="Arial" w:cs="Arial"/>
                <w:b/>
                <w:color w:val="000000"/>
                <w:sz w:val="16"/>
              </w:rPr>
              <w:t>805 </w:t>
            </w:r>
          </w:p>
        </w:tc>
        <w:tc>
          <w:tcPr>
            <w:tcW w:w="915"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403FAB3A" w14:textId="77777777" w:rsidR="003F0EEA" w:rsidRPr="00A6389F" w:rsidRDefault="00FB7D0B">
            <w:pPr>
              <w:jc w:val="right"/>
              <w:rPr>
                <w:rFonts w:ascii="Arial" w:eastAsia="Arial" w:hAnsi="Arial" w:cs="Arial"/>
                <w:b/>
                <w:color w:val="000000"/>
                <w:sz w:val="16"/>
              </w:rPr>
            </w:pPr>
            <w:r w:rsidRPr="00A6389F">
              <w:rPr>
                <w:rFonts w:ascii="Arial" w:eastAsia="Arial" w:hAnsi="Arial" w:cs="Arial"/>
                <w:b/>
                <w:color w:val="000000"/>
                <w:sz w:val="16"/>
              </w:rPr>
              <w:t>805 </w:t>
            </w:r>
          </w:p>
        </w:tc>
        <w:tc>
          <w:tcPr>
            <w:tcW w:w="915"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6598A63C" w14:textId="77777777" w:rsidR="003F0EEA" w:rsidRPr="00A6389F" w:rsidRDefault="00FB7D0B">
            <w:pPr>
              <w:jc w:val="right"/>
              <w:rPr>
                <w:rFonts w:ascii="Arial" w:eastAsia="Arial" w:hAnsi="Arial" w:cs="Arial"/>
                <w:b/>
                <w:color w:val="000000"/>
                <w:sz w:val="16"/>
              </w:rPr>
            </w:pPr>
            <w:r w:rsidRPr="00A6389F">
              <w:rPr>
                <w:rFonts w:ascii="Arial" w:eastAsia="Arial" w:hAnsi="Arial" w:cs="Arial"/>
                <w:b/>
                <w:color w:val="000000"/>
                <w:sz w:val="16"/>
              </w:rPr>
              <w:t>805 </w:t>
            </w:r>
          </w:p>
        </w:tc>
        <w:tc>
          <w:tcPr>
            <w:tcW w:w="915"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2C2E47A8" w14:textId="77777777" w:rsidR="003F0EEA" w:rsidRPr="00A6389F" w:rsidRDefault="00FB7D0B">
            <w:pPr>
              <w:jc w:val="right"/>
              <w:rPr>
                <w:rFonts w:ascii="Arial" w:eastAsia="Arial" w:hAnsi="Arial" w:cs="Arial"/>
                <w:b/>
                <w:color w:val="000000"/>
                <w:sz w:val="16"/>
              </w:rPr>
            </w:pPr>
            <w:r w:rsidRPr="00A6389F">
              <w:rPr>
                <w:rFonts w:ascii="Arial" w:eastAsia="Arial" w:hAnsi="Arial" w:cs="Arial"/>
                <w:b/>
                <w:color w:val="000000"/>
                <w:sz w:val="16"/>
              </w:rPr>
              <w:t>805 </w:t>
            </w:r>
          </w:p>
        </w:tc>
      </w:tr>
      <w:tr w:rsidR="00FB7D0B" w14:paraId="3B7E2EE4" w14:textId="77777777" w:rsidTr="00FB7D0B">
        <w:trPr>
          <w:trHeight w:val="225"/>
        </w:trPr>
        <w:tc>
          <w:tcPr>
            <w:tcW w:w="3060" w:type="dxa"/>
            <w:gridSpan w:val="3"/>
            <w:tcBorders>
              <w:top w:val="nil"/>
              <w:left w:val="nil"/>
              <w:bottom w:val="nil"/>
              <w:right w:val="nil"/>
              <w:tl2br w:val="nil"/>
              <w:tr2bl w:val="nil"/>
            </w:tcBorders>
            <w:shd w:val="clear" w:color="auto" w:fill="FFFFFF"/>
            <w:tcMar>
              <w:left w:w="101" w:type="dxa"/>
              <w:right w:w="101" w:type="dxa"/>
            </w:tcMar>
            <w:vAlign w:val="bottom"/>
          </w:tcPr>
          <w:p w14:paraId="6C563B37" w14:textId="77777777" w:rsidR="003F0EEA" w:rsidRPr="00A6389F" w:rsidRDefault="00FB7D0B">
            <w:pPr>
              <w:rPr>
                <w:rFonts w:ascii="Arial" w:eastAsia="Arial" w:hAnsi="Arial" w:cs="Arial"/>
                <w:b/>
                <w:color w:val="000000"/>
                <w:sz w:val="16"/>
              </w:rPr>
            </w:pPr>
            <w:r w:rsidRPr="00A6389F">
              <w:rPr>
                <w:rFonts w:ascii="Arial" w:eastAsia="Arial" w:hAnsi="Arial" w:cs="Arial"/>
                <w:b/>
                <w:color w:val="000000"/>
                <w:sz w:val="16"/>
              </w:rPr>
              <w:t>Total own-source income</w:t>
            </w:r>
          </w:p>
        </w:tc>
        <w:tc>
          <w:tcPr>
            <w:tcW w:w="915"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432A8BD7" w14:textId="77777777" w:rsidR="003F0EEA" w:rsidRPr="00A6389F" w:rsidRDefault="00FB7D0B">
            <w:pPr>
              <w:jc w:val="right"/>
              <w:rPr>
                <w:rFonts w:ascii="Arial" w:eastAsia="Arial" w:hAnsi="Arial" w:cs="Arial"/>
                <w:b/>
                <w:color w:val="000000"/>
                <w:sz w:val="16"/>
              </w:rPr>
            </w:pPr>
            <w:r w:rsidRPr="00A6389F">
              <w:rPr>
                <w:rFonts w:ascii="Arial" w:eastAsia="Arial" w:hAnsi="Arial" w:cs="Arial"/>
                <w:b/>
                <w:color w:val="000000"/>
                <w:sz w:val="16"/>
              </w:rPr>
              <w:t>47,736 </w:t>
            </w:r>
          </w:p>
        </w:tc>
        <w:tc>
          <w:tcPr>
            <w:tcW w:w="915" w:type="dxa"/>
            <w:tcBorders>
              <w:top w:val="single" w:sz="6" w:space="0" w:color="000000"/>
              <w:left w:val="nil"/>
              <w:bottom w:val="single" w:sz="6" w:space="0" w:color="000000"/>
              <w:right w:val="nil"/>
              <w:tl2br w:val="nil"/>
              <w:tr2bl w:val="nil"/>
            </w:tcBorders>
            <w:shd w:val="clear" w:color="auto" w:fill="FFFF00"/>
            <w:tcMar>
              <w:left w:w="101" w:type="dxa"/>
              <w:right w:w="101" w:type="dxa"/>
            </w:tcMar>
            <w:vAlign w:val="bottom"/>
          </w:tcPr>
          <w:p w14:paraId="52438F72" w14:textId="77777777" w:rsidR="003F0EEA" w:rsidRPr="00A6389F" w:rsidRDefault="00FB7D0B">
            <w:pPr>
              <w:jc w:val="right"/>
              <w:rPr>
                <w:rFonts w:ascii="Arial" w:eastAsia="Arial" w:hAnsi="Arial" w:cs="Arial"/>
                <w:b/>
                <w:color w:val="000000"/>
                <w:sz w:val="16"/>
              </w:rPr>
            </w:pPr>
            <w:r w:rsidRPr="00A6389F">
              <w:rPr>
                <w:rFonts w:ascii="Arial" w:eastAsia="Arial" w:hAnsi="Arial" w:cs="Arial"/>
                <w:b/>
                <w:color w:val="000000"/>
                <w:sz w:val="16"/>
              </w:rPr>
              <w:t>51,947 </w:t>
            </w:r>
          </w:p>
        </w:tc>
        <w:tc>
          <w:tcPr>
            <w:tcW w:w="915"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04E2E82D" w14:textId="77777777" w:rsidR="003F0EEA" w:rsidRPr="00A6389F" w:rsidRDefault="00FB7D0B">
            <w:pPr>
              <w:jc w:val="right"/>
              <w:rPr>
                <w:rFonts w:ascii="Arial" w:eastAsia="Arial" w:hAnsi="Arial" w:cs="Arial"/>
                <w:b/>
                <w:color w:val="000000"/>
                <w:sz w:val="16"/>
              </w:rPr>
            </w:pPr>
            <w:r w:rsidRPr="00A6389F">
              <w:rPr>
                <w:rFonts w:ascii="Arial" w:eastAsia="Arial" w:hAnsi="Arial" w:cs="Arial"/>
                <w:b/>
                <w:color w:val="000000"/>
                <w:sz w:val="16"/>
              </w:rPr>
              <w:t>56,147 </w:t>
            </w:r>
          </w:p>
        </w:tc>
        <w:tc>
          <w:tcPr>
            <w:tcW w:w="915"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0FF1BF12" w14:textId="77777777" w:rsidR="003F0EEA" w:rsidRPr="00A6389F" w:rsidRDefault="00FB7D0B">
            <w:pPr>
              <w:jc w:val="right"/>
              <w:rPr>
                <w:rFonts w:ascii="Arial" w:eastAsia="Arial" w:hAnsi="Arial" w:cs="Arial"/>
                <w:b/>
                <w:color w:val="000000"/>
                <w:sz w:val="16"/>
              </w:rPr>
            </w:pPr>
            <w:r w:rsidRPr="00A6389F">
              <w:rPr>
                <w:rFonts w:ascii="Arial" w:eastAsia="Arial" w:hAnsi="Arial" w:cs="Arial"/>
                <w:b/>
                <w:color w:val="000000"/>
                <w:sz w:val="16"/>
              </w:rPr>
              <w:t>56,904 </w:t>
            </w:r>
          </w:p>
        </w:tc>
        <w:tc>
          <w:tcPr>
            <w:tcW w:w="915"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483BDC45" w14:textId="77777777" w:rsidR="003F0EEA" w:rsidRPr="00A6389F" w:rsidRDefault="00FB7D0B">
            <w:pPr>
              <w:jc w:val="right"/>
              <w:rPr>
                <w:rFonts w:ascii="Arial" w:eastAsia="Arial" w:hAnsi="Arial" w:cs="Arial"/>
                <w:b/>
                <w:color w:val="000000"/>
                <w:sz w:val="16"/>
              </w:rPr>
            </w:pPr>
            <w:r w:rsidRPr="00A6389F">
              <w:rPr>
                <w:rFonts w:ascii="Arial" w:eastAsia="Arial" w:hAnsi="Arial" w:cs="Arial"/>
                <w:b/>
                <w:color w:val="000000"/>
                <w:sz w:val="16"/>
              </w:rPr>
              <w:t>61,842 </w:t>
            </w:r>
          </w:p>
        </w:tc>
      </w:tr>
      <w:tr w:rsidR="00724034" w14:paraId="4C44F46A" w14:textId="77777777">
        <w:trPr>
          <w:trHeight w:hRule="exact" w:val="225"/>
        </w:trPr>
        <w:tc>
          <w:tcPr>
            <w:tcW w:w="180" w:type="dxa"/>
            <w:tcBorders>
              <w:top w:val="nil"/>
              <w:left w:val="nil"/>
              <w:bottom w:val="nil"/>
              <w:right w:val="nil"/>
              <w:tl2br w:val="nil"/>
              <w:tr2bl w:val="nil"/>
            </w:tcBorders>
            <w:shd w:val="clear" w:color="auto" w:fill="FFFFFF"/>
            <w:tcMar>
              <w:left w:w="101" w:type="dxa"/>
              <w:right w:w="101" w:type="dxa"/>
            </w:tcMar>
            <w:vAlign w:val="bottom"/>
          </w:tcPr>
          <w:p w14:paraId="72D9A2E9" w14:textId="77777777" w:rsidR="003F0EEA" w:rsidRPr="00A6389F" w:rsidRDefault="003F0EEA">
            <w:pPr>
              <w:rPr>
                <w:rFonts w:ascii="Arial" w:eastAsia="Arial" w:hAnsi="Arial" w:cs="Arial"/>
                <w:b/>
                <w:color w:val="000000"/>
                <w:sz w:val="16"/>
              </w:rPr>
            </w:pPr>
          </w:p>
        </w:tc>
        <w:tc>
          <w:tcPr>
            <w:tcW w:w="180" w:type="dxa"/>
            <w:tcBorders>
              <w:top w:val="nil"/>
              <w:left w:val="nil"/>
              <w:bottom w:val="nil"/>
              <w:right w:val="nil"/>
              <w:tl2br w:val="nil"/>
              <w:tr2bl w:val="nil"/>
            </w:tcBorders>
            <w:shd w:val="clear" w:color="auto" w:fill="FFFFFF"/>
            <w:tcMar>
              <w:left w:w="101" w:type="dxa"/>
              <w:right w:w="101" w:type="dxa"/>
            </w:tcMar>
            <w:vAlign w:val="bottom"/>
          </w:tcPr>
          <w:p w14:paraId="224BCCCB" w14:textId="77777777" w:rsidR="003F0EEA" w:rsidRPr="00A6389F" w:rsidRDefault="003F0EEA">
            <w:pPr>
              <w:rPr>
                <w:rFonts w:ascii="Arial" w:eastAsia="Arial" w:hAnsi="Arial" w:cs="Arial"/>
                <w:color w:val="000000"/>
                <w:sz w:val="16"/>
              </w:rPr>
            </w:pPr>
          </w:p>
        </w:tc>
        <w:tc>
          <w:tcPr>
            <w:tcW w:w="2700" w:type="dxa"/>
            <w:tcBorders>
              <w:top w:val="nil"/>
              <w:left w:val="nil"/>
              <w:bottom w:val="nil"/>
              <w:right w:val="nil"/>
              <w:tl2br w:val="nil"/>
              <w:tr2bl w:val="nil"/>
            </w:tcBorders>
            <w:shd w:val="clear" w:color="auto" w:fill="FFFFFF"/>
            <w:tcMar>
              <w:left w:w="101" w:type="dxa"/>
              <w:right w:w="101" w:type="dxa"/>
            </w:tcMar>
            <w:vAlign w:val="bottom"/>
          </w:tcPr>
          <w:p w14:paraId="50FC3CDF" w14:textId="77777777" w:rsidR="003F0EEA" w:rsidRPr="00A6389F" w:rsidRDefault="003F0EEA">
            <w:pPr>
              <w:rPr>
                <w:rFonts w:ascii="Arial" w:eastAsia="Arial" w:hAnsi="Arial" w:cs="Arial"/>
                <w:color w:val="000000"/>
                <w:sz w:val="16"/>
              </w:rPr>
            </w:pPr>
          </w:p>
        </w:tc>
        <w:tc>
          <w:tcPr>
            <w:tcW w:w="915"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77B80888" w14:textId="77777777" w:rsidR="003F0EEA" w:rsidRPr="00A6389F" w:rsidRDefault="003F0EEA">
            <w:pPr>
              <w:rPr>
                <w:rFonts w:ascii="Arial" w:eastAsia="Arial" w:hAnsi="Arial" w:cs="Arial"/>
                <w:color w:val="000000"/>
                <w:sz w:val="16"/>
              </w:rPr>
            </w:pPr>
          </w:p>
        </w:tc>
        <w:tc>
          <w:tcPr>
            <w:tcW w:w="915" w:type="dxa"/>
            <w:tcBorders>
              <w:top w:val="single" w:sz="6" w:space="0" w:color="000000"/>
              <w:left w:val="nil"/>
              <w:bottom w:val="single" w:sz="6" w:space="0" w:color="000000"/>
              <w:right w:val="nil"/>
              <w:tl2br w:val="nil"/>
              <w:tr2bl w:val="nil"/>
            </w:tcBorders>
            <w:shd w:val="clear" w:color="auto" w:fill="FFFF00"/>
            <w:tcMar>
              <w:left w:w="101" w:type="dxa"/>
              <w:right w:w="101" w:type="dxa"/>
            </w:tcMar>
            <w:vAlign w:val="bottom"/>
          </w:tcPr>
          <w:p w14:paraId="6A2C3B38" w14:textId="77777777" w:rsidR="003F0EEA" w:rsidRPr="00A6389F" w:rsidRDefault="003F0EEA">
            <w:pPr>
              <w:rPr>
                <w:rFonts w:ascii="Arial" w:eastAsia="Arial" w:hAnsi="Arial" w:cs="Arial"/>
                <w:color w:val="000000"/>
                <w:sz w:val="16"/>
              </w:rPr>
            </w:pPr>
          </w:p>
        </w:tc>
        <w:tc>
          <w:tcPr>
            <w:tcW w:w="915"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3DE8D040" w14:textId="77777777" w:rsidR="003F0EEA" w:rsidRPr="00A6389F" w:rsidRDefault="003F0EEA">
            <w:pPr>
              <w:rPr>
                <w:rFonts w:ascii="Arial" w:eastAsia="Arial" w:hAnsi="Arial" w:cs="Arial"/>
                <w:color w:val="000000"/>
                <w:sz w:val="16"/>
              </w:rPr>
            </w:pPr>
          </w:p>
        </w:tc>
        <w:tc>
          <w:tcPr>
            <w:tcW w:w="915"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2789F939" w14:textId="77777777" w:rsidR="003F0EEA" w:rsidRPr="00A6389F" w:rsidRDefault="003F0EEA">
            <w:pPr>
              <w:rPr>
                <w:rFonts w:ascii="Arial" w:eastAsia="Arial" w:hAnsi="Arial" w:cs="Arial"/>
                <w:color w:val="000000"/>
                <w:sz w:val="16"/>
              </w:rPr>
            </w:pPr>
          </w:p>
        </w:tc>
        <w:tc>
          <w:tcPr>
            <w:tcW w:w="915"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732ACE9B" w14:textId="77777777" w:rsidR="003F0EEA" w:rsidRPr="00A6389F" w:rsidRDefault="003F0EEA">
            <w:pPr>
              <w:rPr>
                <w:rFonts w:ascii="Arial" w:eastAsia="Arial" w:hAnsi="Arial" w:cs="Arial"/>
                <w:color w:val="000000"/>
                <w:sz w:val="16"/>
              </w:rPr>
            </w:pPr>
          </w:p>
        </w:tc>
      </w:tr>
      <w:tr w:rsidR="00FB7D0B" w14:paraId="343CA6FD" w14:textId="77777777" w:rsidTr="00FB7D0B">
        <w:trPr>
          <w:trHeight w:val="225"/>
        </w:trPr>
        <w:tc>
          <w:tcPr>
            <w:tcW w:w="3060" w:type="dxa"/>
            <w:gridSpan w:val="3"/>
            <w:tcBorders>
              <w:top w:val="nil"/>
              <w:left w:val="nil"/>
              <w:bottom w:val="nil"/>
              <w:right w:val="nil"/>
              <w:tl2br w:val="nil"/>
              <w:tr2bl w:val="nil"/>
            </w:tcBorders>
            <w:shd w:val="clear" w:color="auto" w:fill="FFFFFF"/>
            <w:tcMar>
              <w:left w:w="101" w:type="dxa"/>
              <w:right w:w="101" w:type="dxa"/>
            </w:tcMar>
            <w:vAlign w:val="bottom"/>
          </w:tcPr>
          <w:p w14:paraId="0C6153C3" w14:textId="77777777" w:rsidR="003F0EEA" w:rsidRPr="00A6389F" w:rsidRDefault="00FB7D0B">
            <w:pPr>
              <w:rPr>
                <w:rFonts w:ascii="Arial" w:eastAsia="Arial" w:hAnsi="Arial" w:cs="Arial"/>
                <w:color w:val="000000"/>
                <w:sz w:val="16"/>
              </w:rPr>
            </w:pPr>
            <w:r w:rsidRPr="00A6389F">
              <w:rPr>
                <w:rFonts w:ascii="Arial" w:eastAsia="Arial" w:hAnsi="Arial" w:cs="Arial"/>
                <w:b/>
                <w:color w:val="000000"/>
                <w:sz w:val="16"/>
              </w:rPr>
              <w:t>Net cost of services</w:t>
            </w:r>
          </w:p>
        </w:tc>
        <w:tc>
          <w:tcPr>
            <w:tcW w:w="915"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0CD71DBC" w14:textId="77777777" w:rsidR="003F0EEA" w:rsidRPr="00A6389F" w:rsidRDefault="00FB7D0B">
            <w:pPr>
              <w:jc w:val="right"/>
              <w:rPr>
                <w:rFonts w:ascii="Arial" w:eastAsia="Arial" w:hAnsi="Arial" w:cs="Arial"/>
                <w:b/>
                <w:color w:val="000000"/>
                <w:sz w:val="16"/>
              </w:rPr>
            </w:pPr>
            <w:r w:rsidRPr="00A6389F">
              <w:rPr>
                <w:rFonts w:ascii="Arial" w:eastAsia="Arial" w:hAnsi="Arial" w:cs="Arial"/>
                <w:b/>
                <w:color w:val="000000"/>
                <w:sz w:val="16"/>
              </w:rPr>
              <w:t>315,245 </w:t>
            </w:r>
          </w:p>
        </w:tc>
        <w:tc>
          <w:tcPr>
            <w:tcW w:w="915" w:type="dxa"/>
            <w:tcBorders>
              <w:top w:val="single" w:sz="6" w:space="0" w:color="000000"/>
              <w:left w:val="nil"/>
              <w:bottom w:val="single" w:sz="6" w:space="0" w:color="000000"/>
              <w:right w:val="nil"/>
              <w:tl2br w:val="nil"/>
              <w:tr2bl w:val="nil"/>
            </w:tcBorders>
            <w:shd w:val="clear" w:color="auto" w:fill="FFFF00"/>
            <w:tcMar>
              <w:left w:w="101" w:type="dxa"/>
              <w:right w:w="101" w:type="dxa"/>
            </w:tcMar>
            <w:vAlign w:val="bottom"/>
          </w:tcPr>
          <w:p w14:paraId="339C6A1F" w14:textId="77777777" w:rsidR="003F0EEA" w:rsidRPr="00A6389F" w:rsidRDefault="00FB7D0B">
            <w:pPr>
              <w:jc w:val="right"/>
              <w:rPr>
                <w:rFonts w:ascii="Arial" w:eastAsia="Arial" w:hAnsi="Arial" w:cs="Arial"/>
                <w:b/>
                <w:color w:val="000000"/>
                <w:sz w:val="16"/>
              </w:rPr>
            </w:pPr>
            <w:r w:rsidRPr="00A6389F">
              <w:rPr>
                <w:rFonts w:ascii="Arial" w:eastAsia="Arial" w:hAnsi="Arial" w:cs="Arial"/>
                <w:b/>
                <w:color w:val="000000"/>
                <w:sz w:val="16"/>
              </w:rPr>
              <w:t>312,467 </w:t>
            </w:r>
          </w:p>
        </w:tc>
        <w:tc>
          <w:tcPr>
            <w:tcW w:w="915"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12A00347" w14:textId="77777777" w:rsidR="003F0EEA" w:rsidRPr="00A6389F" w:rsidRDefault="00FB7D0B">
            <w:pPr>
              <w:jc w:val="right"/>
              <w:rPr>
                <w:rFonts w:ascii="Arial" w:eastAsia="Arial" w:hAnsi="Arial" w:cs="Arial"/>
                <w:b/>
                <w:color w:val="000000"/>
                <w:sz w:val="16"/>
              </w:rPr>
            </w:pPr>
            <w:r w:rsidRPr="00A6389F">
              <w:rPr>
                <w:rFonts w:ascii="Arial" w:eastAsia="Arial" w:hAnsi="Arial" w:cs="Arial"/>
                <w:b/>
                <w:color w:val="000000"/>
                <w:sz w:val="16"/>
              </w:rPr>
              <w:t>298,353 </w:t>
            </w:r>
          </w:p>
        </w:tc>
        <w:tc>
          <w:tcPr>
            <w:tcW w:w="915"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1FAA705E" w14:textId="77777777" w:rsidR="003F0EEA" w:rsidRPr="00A6389F" w:rsidRDefault="00FB7D0B">
            <w:pPr>
              <w:jc w:val="right"/>
              <w:rPr>
                <w:rFonts w:ascii="Arial" w:eastAsia="Arial" w:hAnsi="Arial" w:cs="Arial"/>
                <w:b/>
                <w:color w:val="000000"/>
                <w:sz w:val="16"/>
              </w:rPr>
            </w:pPr>
            <w:r w:rsidRPr="00A6389F">
              <w:rPr>
                <w:rFonts w:ascii="Arial" w:eastAsia="Arial" w:hAnsi="Arial" w:cs="Arial"/>
                <w:b/>
                <w:color w:val="000000"/>
                <w:sz w:val="16"/>
              </w:rPr>
              <w:t>291,062 </w:t>
            </w:r>
          </w:p>
        </w:tc>
        <w:tc>
          <w:tcPr>
            <w:tcW w:w="915"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68A59B1D" w14:textId="77777777" w:rsidR="003F0EEA" w:rsidRPr="00A6389F" w:rsidRDefault="00FB7D0B">
            <w:pPr>
              <w:jc w:val="right"/>
              <w:rPr>
                <w:rFonts w:ascii="Arial" w:eastAsia="Arial" w:hAnsi="Arial" w:cs="Arial"/>
                <w:b/>
                <w:color w:val="000000"/>
                <w:sz w:val="16"/>
              </w:rPr>
            </w:pPr>
            <w:r w:rsidRPr="00A6389F">
              <w:rPr>
                <w:rFonts w:ascii="Arial" w:eastAsia="Arial" w:hAnsi="Arial" w:cs="Arial"/>
                <w:b/>
                <w:color w:val="000000"/>
                <w:sz w:val="16"/>
              </w:rPr>
              <w:t>286,697 </w:t>
            </w:r>
          </w:p>
        </w:tc>
      </w:tr>
      <w:tr w:rsidR="00724034" w14:paraId="52E3EC99" w14:textId="77777777">
        <w:trPr>
          <w:trHeight w:hRule="exact" w:val="225"/>
        </w:trPr>
        <w:tc>
          <w:tcPr>
            <w:tcW w:w="180" w:type="dxa"/>
            <w:tcBorders>
              <w:top w:val="nil"/>
              <w:left w:val="nil"/>
              <w:bottom w:val="nil"/>
              <w:right w:val="nil"/>
              <w:tl2br w:val="nil"/>
              <w:tr2bl w:val="nil"/>
            </w:tcBorders>
            <w:shd w:val="clear" w:color="auto" w:fill="FFFFFF"/>
            <w:tcMar>
              <w:left w:w="101" w:type="dxa"/>
              <w:right w:w="101" w:type="dxa"/>
            </w:tcMar>
            <w:vAlign w:val="bottom"/>
          </w:tcPr>
          <w:p w14:paraId="15DF10A1" w14:textId="77777777" w:rsidR="003F0EEA" w:rsidRPr="00A6389F" w:rsidRDefault="003F0EEA">
            <w:pPr>
              <w:rPr>
                <w:rFonts w:ascii="Arial" w:eastAsia="Arial" w:hAnsi="Arial" w:cs="Arial"/>
                <w:b/>
                <w:color w:val="000000"/>
                <w:sz w:val="16"/>
              </w:rPr>
            </w:pPr>
          </w:p>
        </w:tc>
        <w:tc>
          <w:tcPr>
            <w:tcW w:w="180" w:type="dxa"/>
            <w:tcBorders>
              <w:top w:val="nil"/>
              <w:left w:val="nil"/>
              <w:bottom w:val="nil"/>
              <w:right w:val="nil"/>
              <w:tl2br w:val="nil"/>
              <w:tr2bl w:val="nil"/>
            </w:tcBorders>
            <w:shd w:val="clear" w:color="auto" w:fill="FFFFFF"/>
            <w:tcMar>
              <w:left w:w="101" w:type="dxa"/>
              <w:right w:w="101" w:type="dxa"/>
            </w:tcMar>
            <w:vAlign w:val="bottom"/>
          </w:tcPr>
          <w:p w14:paraId="298DA65D" w14:textId="77777777" w:rsidR="003F0EEA" w:rsidRPr="00A6389F" w:rsidRDefault="003F0EEA">
            <w:pPr>
              <w:rPr>
                <w:rFonts w:ascii="Arial" w:eastAsia="Arial" w:hAnsi="Arial" w:cs="Arial"/>
                <w:b/>
                <w:color w:val="000000"/>
                <w:sz w:val="16"/>
              </w:rPr>
            </w:pPr>
          </w:p>
        </w:tc>
        <w:tc>
          <w:tcPr>
            <w:tcW w:w="2700" w:type="dxa"/>
            <w:tcBorders>
              <w:top w:val="nil"/>
              <w:left w:val="nil"/>
              <w:bottom w:val="nil"/>
              <w:right w:val="nil"/>
              <w:tl2br w:val="nil"/>
              <w:tr2bl w:val="nil"/>
            </w:tcBorders>
            <w:shd w:val="clear" w:color="auto" w:fill="FFFFFF"/>
            <w:tcMar>
              <w:left w:w="101" w:type="dxa"/>
              <w:right w:w="101" w:type="dxa"/>
            </w:tcMar>
            <w:vAlign w:val="bottom"/>
          </w:tcPr>
          <w:p w14:paraId="3A340844" w14:textId="77777777" w:rsidR="003F0EEA" w:rsidRPr="00A6389F" w:rsidRDefault="003F0EEA">
            <w:pPr>
              <w:rPr>
                <w:rFonts w:ascii="Arial" w:eastAsia="Arial" w:hAnsi="Arial" w:cs="Arial"/>
                <w:b/>
                <w:color w:val="000000"/>
                <w:sz w:val="16"/>
              </w:rPr>
            </w:pPr>
          </w:p>
        </w:tc>
        <w:tc>
          <w:tcPr>
            <w:tcW w:w="915"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792DE14E" w14:textId="77777777" w:rsidR="003F0EEA" w:rsidRPr="00A6389F" w:rsidRDefault="003F0EEA">
            <w:pPr>
              <w:rPr>
                <w:rFonts w:ascii="Arial" w:eastAsia="Arial" w:hAnsi="Arial" w:cs="Arial"/>
                <w:b/>
                <w:color w:val="000000"/>
                <w:sz w:val="16"/>
              </w:rPr>
            </w:pPr>
          </w:p>
        </w:tc>
        <w:tc>
          <w:tcPr>
            <w:tcW w:w="915" w:type="dxa"/>
            <w:tcBorders>
              <w:top w:val="single" w:sz="6" w:space="0" w:color="000000"/>
              <w:left w:val="nil"/>
              <w:bottom w:val="single" w:sz="6" w:space="0" w:color="000000"/>
              <w:right w:val="nil"/>
              <w:tl2br w:val="nil"/>
              <w:tr2bl w:val="nil"/>
            </w:tcBorders>
            <w:shd w:val="clear" w:color="auto" w:fill="FFFF00"/>
            <w:tcMar>
              <w:left w:w="101" w:type="dxa"/>
              <w:right w:w="101" w:type="dxa"/>
            </w:tcMar>
            <w:vAlign w:val="bottom"/>
          </w:tcPr>
          <w:p w14:paraId="70296DE9" w14:textId="77777777" w:rsidR="003F0EEA" w:rsidRPr="00A6389F" w:rsidRDefault="003F0EEA">
            <w:pPr>
              <w:rPr>
                <w:rFonts w:ascii="Arial" w:eastAsia="Arial" w:hAnsi="Arial" w:cs="Arial"/>
                <w:b/>
                <w:color w:val="000000"/>
                <w:sz w:val="16"/>
              </w:rPr>
            </w:pPr>
          </w:p>
        </w:tc>
        <w:tc>
          <w:tcPr>
            <w:tcW w:w="915"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006A782A" w14:textId="77777777" w:rsidR="003F0EEA" w:rsidRPr="00A6389F" w:rsidRDefault="003F0EEA">
            <w:pPr>
              <w:rPr>
                <w:rFonts w:ascii="Arial" w:eastAsia="Arial" w:hAnsi="Arial" w:cs="Arial"/>
                <w:b/>
                <w:color w:val="000000"/>
                <w:sz w:val="16"/>
              </w:rPr>
            </w:pPr>
          </w:p>
        </w:tc>
        <w:tc>
          <w:tcPr>
            <w:tcW w:w="915"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0F9081C2" w14:textId="77777777" w:rsidR="003F0EEA" w:rsidRPr="00A6389F" w:rsidRDefault="003F0EEA">
            <w:pPr>
              <w:rPr>
                <w:rFonts w:ascii="Arial" w:eastAsia="Arial" w:hAnsi="Arial" w:cs="Arial"/>
                <w:b/>
                <w:color w:val="000000"/>
                <w:sz w:val="16"/>
              </w:rPr>
            </w:pPr>
          </w:p>
        </w:tc>
        <w:tc>
          <w:tcPr>
            <w:tcW w:w="915"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35CEA02F" w14:textId="77777777" w:rsidR="003F0EEA" w:rsidRPr="00A6389F" w:rsidRDefault="003F0EEA">
            <w:pPr>
              <w:rPr>
                <w:rFonts w:ascii="Arial" w:eastAsia="Arial" w:hAnsi="Arial" w:cs="Arial"/>
                <w:b/>
                <w:color w:val="000000"/>
                <w:sz w:val="16"/>
              </w:rPr>
            </w:pPr>
          </w:p>
        </w:tc>
      </w:tr>
      <w:tr w:rsidR="00FB7D0B" w14:paraId="02B7D8A9" w14:textId="77777777" w:rsidTr="00FB7D0B">
        <w:trPr>
          <w:trHeight w:val="225"/>
        </w:trPr>
        <w:tc>
          <w:tcPr>
            <w:tcW w:w="180" w:type="dxa"/>
            <w:tcBorders>
              <w:top w:val="nil"/>
              <w:left w:val="nil"/>
              <w:bottom w:val="nil"/>
              <w:right w:val="nil"/>
              <w:tl2br w:val="nil"/>
              <w:tr2bl w:val="nil"/>
            </w:tcBorders>
            <w:shd w:val="clear" w:color="auto" w:fill="FFFFFF"/>
            <w:tcMar>
              <w:left w:w="101" w:type="dxa"/>
              <w:right w:w="101" w:type="dxa"/>
            </w:tcMar>
            <w:vAlign w:val="bottom"/>
          </w:tcPr>
          <w:p w14:paraId="0CF890B0" w14:textId="77777777" w:rsidR="003F0EEA" w:rsidRPr="00A6389F" w:rsidRDefault="003F0EEA">
            <w:pPr>
              <w:rPr>
                <w:rFonts w:ascii="Arial" w:eastAsia="Arial" w:hAnsi="Arial" w:cs="Arial"/>
                <w:b/>
                <w:color w:val="000000"/>
                <w:sz w:val="16"/>
              </w:rPr>
            </w:pPr>
          </w:p>
        </w:tc>
        <w:tc>
          <w:tcPr>
            <w:tcW w:w="2880" w:type="dxa"/>
            <w:gridSpan w:val="2"/>
            <w:vMerge w:val="restart"/>
            <w:tcBorders>
              <w:top w:val="nil"/>
              <w:left w:val="nil"/>
              <w:bottom w:val="nil"/>
              <w:right w:val="nil"/>
              <w:tl2br w:val="nil"/>
              <w:tr2bl w:val="nil"/>
            </w:tcBorders>
            <w:shd w:val="clear" w:color="auto" w:fill="FFFFFF"/>
            <w:tcMar>
              <w:left w:w="101" w:type="dxa"/>
              <w:right w:w="101" w:type="dxa"/>
            </w:tcMar>
            <w:vAlign w:val="bottom"/>
          </w:tcPr>
          <w:p w14:paraId="36D36104" w14:textId="77777777" w:rsidR="003F0EEA" w:rsidRPr="00A6389F" w:rsidRDefault="00FB7D0B">
            <w:pPr>
              <w:rPr>
                <w:rFonts w:ascii="Arial" w:eastAsia="Arial" w:hAnsi="Arial" w:cs="Arial"/>
                <w:color w:val="000000"/>
                <w:sz w:val="16"/>
              </w:rPr>
            </w:pPr>
            <w:r w:rsidRPr="00A6389F">
              <w:rPr>
                <w:rFonts w:ascii="Arial" w:eastAsia="Arial" w:hAnsi="Arial" w:cs="Arial"/>
                <w:color w:val="000000"/>
                <w:sz w:val="16"/>
              </w:rPr>
              <w:t>Revenue from Government</w:t>
            </w:r>
          </w:p>
        </w:tc>
        <w:tc>
          <w:tcPr>
            <w:tcW w:w="915"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663DAF51" w14:textId="77777777" w:rsidR="003F0EEA" w:rsidRPr="00A6389F" w:rsidRDefault="00FB7D0B">
            <w:pPr>
              <w:jc w:val="right"/>
              <w:rPr>
                <w:rFonts w:ascii="Arial" w:eastAsia="Arial" w:hAnsi="Arial" w:cs="Arial"/>
                <w:color w:val="000000"/>
                <w:sz w:val="16"/>
              </w:rPr>
            </w:pPr>
            <w:r w:rsidRPr="00A6389F">
              <w:rPr>
                <w:rFonts w:ascii="Arial" w:eastAsia="Arial" w:hAnsi="Arial" w:cs="Arial"/>
                <w:color w:val="000000"/>
                <w:sz w:val="16"/>
              </w:rPr>
              <w:t>288,581 </w:t>
            </w:r>
          </w:p>
        </w:tc>
        <w:tc>
          <w:tcPr>
            <w:tcW w:w="915" w:type="dxa"/>
            <w:tcBorders>
              <w:top w:val="single" w:sz="6" w:space="0" w:color="000000"/>
              <w:left w:val="nil"/>
              <w:bottom w:val="single" w:sz="6" w:space="0" w:color="000000"/>
              <w:right w:val="nil"/>
              <w:tl2br w:val="nil"/>
              <w:tr2bl w:val="nil"/>
            </w:tcBorders>
            <w:shd w:val="clear" w:color="auto" w:fill="FFFF00"/>
            <w:tcMar>
              <w:left w:w="101" w:type="dxa"/>
              <w:right w:w="101" w:type="dxa"/>
            </w:tcMar>
            <w:vAlign w:val="bottom"/>
          </w:tcPr>
          <w:p w14:paraId="677BA099" w14:textId="77777777" w:rsidR="003F0EEA" w:rsidRPr="00A6389F" w:rsidRDefault="00FB7D0B">
            <w:pPr>
              <w:jc w:val="right"/>
              <w:rPr>
                <w:rFonts w:ascii="Arial" w:eastAsia="Arial" w:hAnsi="Arial" w:cs="Arial"/>
                <w:color w:val="000000"/>
                <w:sz w:val="16"/>
              </w:rPr>
            </w:pPr>
            <w:r w:rsidRPr="00A6389F">
              <w:rPr>
                <w:rFonts w:ascii="Arial" w:eastAsia="Arial" w:hAnsi="Arial" w:cs="Arial"/>
                <w:color w:val="000000"/>
                <w:sz w:val="16"/>
              </w:rPr>
              <w:t>283,306 </w:t>
            </w:r>
          </w:p>
        </w:tc>
        <w:tc>
          <w:tcPr>
            <w:tcW w:w="915"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0CCCF62F" w14:textId="77777777" w:rsidR="003F0EEA" w:rsidRPr="00A6389F" w:rsidRDefault="00FB7D0B">
            <w:pPr>
              <w:jc w:val="right"/>
              <w:rPr>
                <w:rFonts w:ascii="Arial" w:eastAsia="Arial" w:hAnsi="Arial" w:cs="Arial"/>
                <w:color w:val="000000"/>
                <w:sz w:val="16"/>
              </w:rPr>
            </w:pPr>
            <w:r w:rsidRPr="00A6389F">
              <w:rPr>
                <w:rFonts w:ascii="Arial" w:eastAsia="Arial" w:hAnsi="Arial" w:cs="Arial"/>
                <w:color w:val="000000"/>
                <w:sz w:val="16"/>
              </w:rPr>
              <w:t>273,577 </w:t>
            </w:r>
          </w:p>
        </w:tc>
        <w:tc>
          <w:tcPr>
            <w:tcW w:w="915"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2E0D326E" w14:textId="77777777" w:rsidR="003F0EEA" w:rsidRPr="00A6389F" w:rsidRDefault="00FB7D0B">
            <w:pPr>
              <w:jc w:val="right"/>
              <w:rPr>
                <w:rFonts w:ascii="Arial" w:eastAsia="Arial" w:hAnsi="Arial" w:cs="Arial"/>
                <w:color w:val="000000"/>
                <w:sz w:val="16"/>
              </w:rPr>
            </w:pPr>
            <w:r w:rsidRPr="00A6389F">
              <w:rPr>
                <w:rFonts w:ascii="Arial" w:eastAsia="Arial" w:hAnsi="Arial" w:cs="Arial"/>
                <w:color w:val="000000"/>
                <w:sz w:val="16"/>
              </w:rPr>
              <w:t>270,387 </w:t>
            </w:r>
          </w:p>
        </w:tc>
        <w:tc>
          <w:tcPr>
            <w:tcW w:w="915"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4B547922" w14:textId="77777777" w:rsidR="003F0EEA" w:rsidRPr="00A6389F" w:rsidRDefault="00FB7D0B">
            <w:pPr>
              <w:jc w:val="right"/>
              <w:rPr>
                <w:rFonts w:ascii="Arial" w:eastAsia="Arial" w:hAnsi="Arial" w:cs="Arial"/>
                <w:color w:val="000000"/>
                <w:sz w:val="16"/>
              </w:rPr>
            </w:pPr>
            <w:r w:rsidRPr="00A6389F">
              <w:rPr>
                <w:rFonts w:ascii="Arial" w:eastAsia="Arial" w:hAnsi="Arial" w:cs="Arial"/>
                <w:color w:val="000000"/>
                <w:sz w:val="16"/>
              </w:rPr>
              <w:t>272,436 </w:t>
            </w:r>
          </w:p>
        </w:tc>
      </w:tr>
      <w:tr w:rsidR="00FB7D0B" w14:paraId="55DF7EA0" w14:textId="77777777" w:rsidTr="00FB7D0B">
        <w:trPr>
          <w:trHeight w:val="225"/>
        </w:trPr>
        <w:tc>
          <w:tcPr>
            <w:tcW w:w="3060" w:type="dxa"/>
            <w:gridSpan w:val="3"/>
            <w:tcBorders>
              <w:top w:val="nil"/>
              <w:left w:val="nil"/>
              <w:bottom w:val="nil"/>
              <w:right w:val="nil"/>
              <w:tl2br w:val="nil"/>
              <w:tr2bl w:val="nil"/>
            </w:tcBorders>
            <w:shd w:val="clear" w:color="auto" w:fill="FFFFFF"/>
            <w:tcMar>
              <w:left w:w="101" w:type="dxa"/>
              <w:right w:w="101" w:type="dxa"/>
            </w:tcMar>
            <w:vAlign w:val="bottom"/>
          </w:tcPr>
          <w:p w14:paraId="61FF6D8F" w14:textId="77777777" w:rsidR="003F0EEA" w:rsidRPr="00A6389F" w:rsidRDefault="00FB7D0B">
            <w:pPr>
              <w:rPr>
                <w:rFonts w:ascii="Arial" w:eastAsia="Arial" w:hAnsi="Arial" w:cs="Arial"/>
                <w:color w:val="000000"/>
                <w:sz w:val="16"/>
              </w:rPr>
            </w:pPr>
            <w:r w:rsidRPr="00A6389F">
              <w:rPr>
                <w:rFonts w:ascii="Arial" w:eastAsia="Arial" w:hAnsi="Arial" w:cs="Arial"/>
                <w:b/>
                <w:color w:val="000000"/>
                <w:sz w:val="16"/>
              </w:rPr>
              <w:t>Surplus (Deficit) attributable to</w:t>
            </w:r>
          </w:p>
        </w:tc>
        <w:tc>
          <w:tcPr>
            <w:tcW w:w="91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1F1B0090" w14:textId="77777777" w:rsidR="003F0EEA" w:rsidRPr="00A6389F" w:rsidRDefault="003F0EEA">
            <w:pPr>
              <w:rPr>
                <w:rFonts w:ascii="Arial" w:eastAsia="Arial" w:hAnsi="Arial" w:cs="Arial"/>
                <w:b/>
                <w:color w:val="000000"/>
                <w:sz w:val="16"/>
              </w:rPr>
            </w:pPr>
          </w:p>
        </w:tc>
        <w:tc>
          <w:tcPr>
            <w:tcW w:w="915" w:type="dxa"/>
            <w:tcBorders>
              <w:top w:val="single" w:sz="6" w:space="0" w:color="000000"/>
              <w:left w:val="nil"/>
              <w:bottom w:val="nil"/>
              <w:right w:val="nil"/>
              <w:tl2br w:val="nil"/>
              <w:tr2bl w:val="nil"/>
            </w:tcBorders>
            <w:shd w:val="clear" w:color="auto" w:fill="FFFF00"/>
            <w:tcMar>
              <w:left w:w="101" w:type="dxa"/>
              <w:right w:w="101" w:type="dxa"/>
            </w:tcMar>
            <w:vAlign w:val="bottom"/>
          </w:tcPr>
          <w:p w14:paraId="69F15739" w14:textId="77777777" w:rsidR="003F0EEA" w:rsidRPr="00A6389F" w:rsidRDefault="003F0EEA">
            <w:pPr>
              <w:rPr>
                <w:rFonts w:ascii="Arial" w:eastAsia="Arial" w:hAnsi="Arial" w:cs="Arial"/>
                <w:color w:val="000000"/>
                <w:sz w:val="16"/>
              </w:rPr>
            </w:pPr>
          </w:p>
        </w:tc>
        <w:tc>
          <w:tcPr>
            <w:tcW w:w="91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6AAC0769" w14:textId="77777777" w:rsidR="003F0EEA" w:rsidRPr="00A6389F" w:rsidRDefault="003F0EEA">
            <w:pPr>
              <w:rPr>
                <w:rFonts w:ascii="Arial" w:eastAsia="Arial" w:hAnsi="Arial" w:cs="Arial"/>
                <w:color w:val="000000"/>
                <w:sz w:val="16"/>
              </w:rPr>
            </w:pPr>
          </w:p>
        </w:tc>
        <w:tc>
          <w:tcPr>
            <w:tcW w:w="91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64A541F3" w14:textId="77777777" w:rsidR="003F0EEA" w:rsidRPr="00A6389F" w:rsidRDefault="003F0EEA">
            <w:pPr>
              <w:rPr>
                <w:rFonts w:ascii="Arial" w:eastAsia="Arial" w:hAnsi="Arial" w:cs="Arial"/>
                <w:color w:val="000000"/>
                <w:sz w:val="16"/>
              </w:rPr>
            </w:pPr>
          </w:p>
        </w:tc>
        <w:tc>
          <w:tcPr>
            <w:tcW w:w="91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32DFFC51" w14:textId="77777777" w:rsidR="003F0EEA" w:rsidRPr="00A6389F" w:rsidRDefault="003F0EEA">
            <w:pPr>
              <w:rPr>
                <w:rFonts w:ascii="Arial" w:eastAsia="Arial" w:hAnsi="Arial" w:cs="Arial"/>
                <w:color w:val="000000"/>
                <w:sz w:val="16"/>
              </w:rPr>
            </w:pPr>
          </w:p>
        </w:tc>
      </w:tr>
      <w:tr w:rsidR="00FB7D0B" w14:paraId="44F443E1" w14:textId="77777777" w:rsidTr="00FB7D0B">
        <w:trPr>
          <w:trHeight w:val="225"/>
        </w:trPr>
        <w:tc>
          <w:tcPr>
            <w:tcW w:w="180" w:type="dxa"/>
            <w:tcBorders>
              <w:top w:val="nil"/>
              <w:left w:val="nil"/>
              <w:bottom w:val="nil"/>
              <w:right w:val="nil"/>
              <w:tl2br w:val="nil"/>
              <w:tr2bl w:val="nil"/>
            </w:tcBorders>
            <w:shd w:val="clear" w:color="auto" w:fill="FFFFFF"/>
            <w:tcMar>
              <w:left w:w="101" w:type="dxa"/>
              <w:right w:w="101" w:type="dxa"/>
            </w:tcMar>
            <w:vAlign w:val="bottom"/>
          </w:tcPr>
          <w:p w14:paraId="7A0999BC" w14:textId="77777777" w:rsidR="003F0EEA" w:rsidRPr="00A6389F" w:rsidRDefault="003F0EEA">
            <w:pPr>
              <w:rPr>
                <w:rFonts w:ascii="Arial" w:eastAsia="Arial" w:hAnsi="Arial" w:cs="Arial"/>
                <w:color w:val="000000"/>
                <w:sz w:val="16"/>
              </w:rPr>
            </w:pPr>
          </w:p>
        </w:tc>
        <w:tc>
          <w:tcPr>
            <w:tcW w:w="2880" w:type="dxa"/>
            <w:gridSpan w:val="2"/>
            <w:tcBorders>
              <w:top w:val="nil"/>
              <w:left w:val="nil"/>
              <w:bottom w:val="nil"/>
              <w:right w:val="nil"/>
              <w:tl2br w:val="nil"/>
              <w:tr2bl w:val="nil"/>
            </w:tcBorders>
            <w:shd w:val="clear" w:color="auto" w:fill="FFFFFF"/>
            <w:tcMar>
              <w:left w:w="101" w:type="dxa"/>
              <w:right w:w="101" w:type="dxa"/>
            </w:tcMar>
            <w:vAlign w:val="bottom"/>
          </w:tcPr>
          <w:p w14:paraId="5D5BCACA" w14:textId="77777777" w:rsidR="003F0EEA" w:rsidRPr="00A6389F" w:rsidRDefault="00FB7D0B">
            <w:pPr>
              <w:rPr>
                <w:rFonts w:ascii="Arial" w:eastAsia="Arial" w:hAnsi="Arial" w:cs="Arial"/>
                <w:b/>
                <w:color w:val="000000"/>
                <w:sz w:val="16"/>
              </w:rPr>
            </w:pPr>
            <w:r w:rsidRPr="00A6389F">
              <w:rPr>
                <w:rFonts w:ascii="Arial" w:eastAsia="Arial" w:hAnsi="Arial" w:cs="Arial"/>
                <w:b/>
                <w:color w:val="000000"/>
                <w:sz w:val="16"/>
              </w:rPr>
              <w:t>the Australian Government</w:t>
            </w:r>
          </w:p>
        </w:tc>
        <w:tc>
          <w:tcPr>
            <w:tcW w:w="915"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257F8D36" w14:textId="77777777" w:rsidR="003F0EEA" w:rsidRPr="00A6389F" w:rsidRDefault="00FB7D0B">
            <w:pPr>
              <w:jc w:val="right"/>
              <w:rPr>
                <w:rFonts w:ascii="Arial" w:eastAsia="Arial" w:hAnsi="Arial" w:cs="Arial"/>
                <w:b/>
                <w:color w:val="000000"/>
                <w:sz w:val="16"/>
              </w:rPr>
            </w:pPr>
            <w:r w:rsidRPr="00A6389F">
              <w:rPr>
                <w:rFonts w:ascii="Arial" w:eastAsia="Arial" w:hAnsi="Arial" w:cs="Arial"/>
                <w:b/>
                <w:color w:val="000000"/>
                <w:sz w:val="16"/>
              </w:rPr>
              <w:t>(26,664)</w:t>
            </w:r>
          </w:p>
        </w:tc>
        <w:tc>
          <w:tcPr>
            <w:tcW w:w="915" w:type="dxa"/>
            <w:tcBorders>
              <w:top w:val="nil"/>
              <w:left w:val="nil"/>
              <w:bottom w:val="single" w:sz="6" w:space="0" w:color="000000"/>
              <w:right w:val="nil"/>
              <w:tl2br w:val="nil"/>
              <w:tr2bl w:val="nil"/>
            </w:tcBorders>
            <w:shd w:val="clear" w:color="auto" w:fill="FFFF00"/>
            <w:tcMar>
              <w:left w:w="101" w:type="dxa"/>
              <w:right w:w="101" w:type="dxa"/>
            </w:tcMar>
            <w:vAlign w:val="bottom"/>
          </w:tcPr>
          <w:p w14:paraId="295924B0" w14:textId="77777777" w:rsidR="003F0EEA" w:rsidRPr="00A6389F" w:rsidRDefault="00FB7D0B">
            <w:pPr>
              <w:jc w:val="right"/>
              <w:rPr>
                <w:rFonts w:ascii="Arial" w:eastAsia="Arial" w:hAnsi="Arial" w:cs="Arial"/>
                <w:b/>
                <w:color w:val="000000"/>
                <w:sz w:val="16"/>
              </w:rPr>
            </w:pPr>
            <w:r w:rsidRPr="00A6389F">
              <w:rPr>
                <w:rFonts w:ascii="Arial" w:eastAsia="Arial" w:hAnsi="Arial" w:cs="Arial"/>
                <w:b/>
                <w:color w:val="000000"/>
                <w:sz w:val="16"/>
              </w:rPr>
              <w:t>(29,161)</w:t>
            </w:r>
          </w:p>
        </w:tc>
        <w:tc>
          <w:tcPr>
            <w:tcW w:w="915"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5BE14622" w14:textId="77777777" w:rsidR="003F0EEA" w:rsidRPr="00A6389F" w:rsidRDefault="00FB7D0B">
            <w:pPr>
              <w:jc w:val="right"/>
              <w:rPr>
                <w:rFonts w:ascii="Arial" w:eastAsia="Arial" w:hAnsi="Arial" w:cs="Arial"/>
                <w:b/>
                <w:color w:val="000000"/>
                <w:sz w:val="16"/>
              </w:rPr>
            </w:pPr>
            <w:r w:rsidRPr="00A6389F">
              <w:rPr>
                <w:rFonts w:ascii="Arial" w:eastAsia="Arial" w:hAnsi="Arial" w:cs="Arial"/>
                <w:b/>
                <w:color w:val="000000"/>
                <w:sz w:val="16"/>
              </w:rPr>
              <w:t>(24,776)</w:t>
            </w:r>
          </w:p>
        </w:tc>
        <w:tc>
          <w:tcPr>
            <w:tcW w:w="915"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6C4C6A27" w14:textId="77777777" w:rsidR="003F0EEA" w:rsidRPr="00A6389F" w:rsidRDefault="00FB7D0B">
            <w:pPr>
              <w:jc w:val="right"/>
              <w:rPr>
                <w:rFonts w:ascii="Arial" w:eastAsia="Arial" w:hAnsi="Arial" w:cs="Arial"/>
                <w:b/>
                <w:color w:val="000000"/>
                <w:sz w:val="16"/>
              </w:rPr>
            </w:pPr>
            <w:r w:rsidRPr="00A6389F">
              <w:rPr>
                <w:rFonts w:ascii="Arial" w:eastAsia="Arial" w:hAnsi="Arial" w:cs="Arial"/>
                <w:b/>
                <w:color w:val="000000"/>
                <w:sz w:val="16"/>
              </w:rPr>
              <w:t>(20,675)</w:t>
            </w:r>
          </w:p>
        </w:tc>
        <w:tc>
          <w:tcPr>
            <w:tcW w:w="915"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4A915846" w14:textId="77777777" w:rsidR="003F0EEA" w:rsidRPr="00A6389F" w:rsidRDefault="00FB7D0B">
            <w:pPr>
              <w:jc w:val="right"/>
              <w:rPr>
                <w:rFonts w:ascii="Arial" w:eastAsia="Arial" w:hAnsi="Arial" w:cs="Arial"/>
                <w:b/>
                <w:color w:val="000000"/>
                <w:sz w:val="16"/>
              </w:rPr>
            </w:pPr>
            <w:r w:rsidRPr="00A6389F">
              <w:rPr>
                <w:rFonts w:ascii="Arial" w:eastAsia="Arial" w:hAnsi="Arial" w:cs="Arial"/>
                <w:b/>
                <w:color w:val="000000"/>
                <w:sz w:val="16"/>
              </w:rPr>
              <w:t>(14,261)</w:t>
            </w:r>
          </w:p>
        </w:tc>
      </w:tr>
    </w:tbl>
    <w:p w14:paraId="69DCEF65" w14:textId="77777777" w:rsidR="003F0EEA" w:rsidRDefault="00FB7D0B" w:rsidP="003F0EEA">
      <w:pPr>
        <w:pStyle w:val="Source2"/>
      </w:pPr>
      <w:r>
        <w:rPr>
          <w:rFonts w:cs="Arial"/>
        </w:rPr>
        <w:t>Prepared on Australian Accounting Standards basis</w:t>
      </w:r>
    </w:p>
    <w:p w14:paraId="5BD8DBAB" w14:textId="77777777" w:rsidR="003F0EEA" w:rsidRDefault="00FB7D0B" w:rsidP="003F0EEA">
      <w:pPr>
        <w:pStyle w:val="TableHeading9"/>
        <w:ind w:left="5103"/>
        <w:jc w:val="right"/>
        <w:rPr>
          <w:b w:val="0"/>
          <w:sz w:val="16"/>
          <w:szCs w:val="16"/>
        </w:rPr>
      </w:pPr>
      <w:r>
        <w:rPr>
          <w:b w:val="0"/>
          <w:sz w:val="16"/>
          <w:szCs w:val="16"/>
        </w:rPr>
        <w:t>Continued on next page</w:t>
      </w:r>
    </w:p>
    <w:p w14:paraId="29701121" w14:textId="77777777" w:rsidR="003F0EEA" w:rsidRDefault="00FB7D0B">
      <w:pPr>
        <w:spacing w:line="14" w:lineRule="exact"/>
        <w:rPr>
          <w:rFonts w:eastAsia="Times New Roman"/>
          <w:sz w:val="16"/>
          <w:szCs w:val="16"/>
        </w:rPr>
      </w:pPr>
      <w:r>
        <w:rPr>
          <w:rFonts w:eastAsia="Times New Roman"/>
          <w:sz w:val="16"/>
          <w:szCs w:val="16"/>
        </w:rPr>
        <w:br w:type="page"/>
      </w:r>
    </w:p>
    <w:p w14:paraId="4B4DE8F1" w14:textId="77777777" w:rsidR="003F0EEA" w:rsidRPr="00A6389F" w:rsidRDefault="00FB7D0B" w:rsidP="003F0EEA">
      <w:pPr>
        <w:pStyle w:val="TableHeading10"/>
        <w:spacing w:after="0"/>
        <w:rPr>
          <w:rFonts w:eastAsia="Calibri"/>
        </w:rPr>
      </w:pPr>
      <w:r>
        <w:rPr>
          <w:rFonts w:eastAsia="Calibri"/>
        </w:rPr>
        <w:t xml:space="preserve">Table 3.2.1a: Departmental Comprehensive Income statement (amalgamated) (Showing Net Cost of Services) </w:t>
      </w:r>
      <w:r w:rsidRPr="00A6389F">
        <w:rPr>
          <w:rFonts w:eastAsia="Calibri"/>
          <w:snapToGrid w:val="0"/>
        </w:rPr>
        <w:t>for the period ended 30 June</w:t>
      </w:r>
      <w:r>
        <w:rPr>
          <w:rFonts w:eastAsia="Calibri"/>
          <w:snapToGrid w:val="0"/>
        </w:rPr>
        <w:t xml:space="preserve"> (continued)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2"/>
        <w:gridCol w:w="222"/>
        <w:gridCol w:w="3150"/>
        <w:gridCol w:w="915"/>
        <w:gridCol w:w="915"/>
        <w:gridCol w:w="915"/>
        <w:gridCol w:w="915"/>
        <w:gridCol w:w="915"/>
      </w:tblGrid>
      <w:tr w:rsidR="00724034" w14:paraId="11055F68" w14:textId="77777777">
        <w:trPr>
          <w:trHeight w:val="225"/>
        </w:trPr>
        <w:tc>
          <w:tcPr>
            <w:tcW w:w="180"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06EE4A1C" w14:textId="77777777" w:rsidR="003F0EEA" w:rsidRPr="00A6389F" w:rsidRDefault="003F0EEA">
            <w:pPr>
              <w:jc w:val="right"/>
            </w:pPr>
          </w:p>
        </w:tc>
        <w:tc>
          <w:tcPr>
            <w:tcW w:w="180"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7E9DBE81" w14:textId="77777777" w:rsidR="003F0EEA" w:rsidRPr="00A6389F" w:rsidRDefault="003F0EEA">
            <w:pPr>
              <w:jc w:val="right"/>
              <w:rPr>
                <w:rFonts w:ascii="Arial" w:eastAsia="Arial" w:hAnsi="Arial" w:cs="Arial"/>
                <w:color w:val="000000"/>
                <w:sz w:val="16"/>
              </w:rPr>
            </w:pPr>
          </w:p>
        </w:tc>
        <w:tc>
          <w:tcPr>
            <w:tcW w:w="3150"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04A24CC2" w14:textId="77777777" w:rsidR="003F0EEA" w:rsidRPr="00A6389F" w:rsidRDefault="003F0EEA">
            <w:pPr>
              <w:jc w:val="right"/>
              <w:rPr>
                <w:rFonts w:ascii="Arial" w:eastAsia="Arial" w:hAnsi="Arial" w:cs="Arial"/>
                <w:color w:val="000000"/>
                <w:sz w:val="16"/>
              </w:rPr>
            </w:pPr>
          </w:p>
        </w:tc>
        <w:tc>
          <w:tcPr>
            <w:tcW w:w="91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6167658C" w14:textId="77777777" w:rsidR="003F0EEA" w:rsidRPr="00A6389F" w:rsidRDefault="00FB7D0B">
            <w:pPr>
              <w:jc w:val="right"/>
              <w:rPr>
                <w:rFonts w:ascii="Arial" w:eastAsia="Arial" w:hAnsi="Arial" w:cs="Arial"/>
                <w:color w:val="000000"/>
                <w:sz w:val="16"/>
                <w:vertAlign w:val="superscript"/>
              </w:rPr>
            </w:pPr>
            <w:r w:rsidRPr="00A6389F">
              <w:rPr>
                <w:rFonts w:ascii="Arial" w:eastAsia="Arial" w:hAnsi="Arial" w:cs="Arial"/>
                <w:color w:val="000000"/>
                <w:sz w:val="16"/>
              </w:rPr>
              <w:t>Estimated</w:t>
            </w:r>
          </w:p>
        </w:tc>
        <w:tc>
          <w:tcPr>
            <w:tcW w:w="915" w:type="dxa"/>
            <w:tcBorders>
              <w:top w:val="single" w:sz="6" w:space="0" w:color="000000"/>
              <w:left w:val="nil"/>
              <w:bottom w:val="nil"/>
              <w:right w:val="nil"/>
              <w:tl2br w:val="nil"/>
              <w:tr2bl w:val="nil"/>
            </w:tcBorders>
            <w:shd w:val="clear" w:color="auto" w:fill="FFFF00"/>
            <w:tcMar>
              <w:left w:w="101" w:type="dxa"/>
              <w:right w:w="101" w:type="dxa"/>
            </w:tcMar>
            <w:vAlign w:val="bottom"/>
          </w:tcPr>
          <w:p w14:paraId="56AF991B" w14:textId="77777777" w:rsidR="003F0EEA" w:rsidRPr="00A6389F" w:rsidRDefault="00FB7D0B">
            <w:pPr>
              <w:jc w:val="right"/>
              <w:rPr>
                <w:rFonts w:ascii="Arial" w:eastAsia="Arial" w:hAnsi="Arial" w:cs="Arial"/>
                <w:color w:val="000000"/>
                <w:sz w:val="16"/>
              </w:rPr>
            </w:pPr>
            <w:r w:rsidRPr="00A6389F">
              <w:rPr>
                <w:rFonts w:ascii="Arial" w:eastAsia="Arial" w:hAnsi="Arial" w:cs="Arial"/>
                <w:color w:val="000000"/>
                <w:sz w:val="16"/>
              </w:rPr>
              <w:t>Budget</w:t>
            </w:r>
          </w:p>
        </w:tc>
        <w:tc>
          <w:tcPr>
            <w:tcW w:w="91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29917435" w14:textId="77777777" w:rsidR="003F0EEA" w:rsidRPr="00A6389F" w:rsidRDefault="00FB7D0B">
            <w:pPr>
              <w:jc w:val="right"/>
              <w:rPr>
                <w:rFonts w:ascii="Arial" w:eastAsia="Arial" w:hAnsi="Arial" w:cs="Arial"/>
                <w:color w:val="000000"/>
                <w:sz w:val="16"/>
              </w:rPr>
            </w:pPr>
            <w:r w:rsidRPr="00A6389F">
              <w:rPr>
                <w:rFonts w:ascii="Arial" w:eastAsia="Arial" w:hAnsi="Arial" w:cs="Arial"/>
                <w:color w:val="000000"/>
                <w:sz w:val="16"/>
              </w:rPr>
              <w:t>Forward</w:t>
            </w:r>
          </w:p>
        </w:tc>
        <w:tc>
          <w:tcPr>
            <w:tcW w:w="91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4C23CF19" w14:textId="77777777" w:rsidR="003F0EEA" w:rsidRPr="00A6389F" w:rsidRDefault="00FB7D0B">
            <w:pPr>
              <w:jc w:val="right"/>
              <w:rPr>
                <w:rFonts w:ascii="Arial" w:eastAsia="Arial" w:hAnsi="Arial" w:cs="Arial"/>
                <w:color w:val="000000"/>
                <w:sz w:val="16"/>
              </w:rPr>
            </w:pPr>
            <w:r w:rsidRPr="00A6389F">
              <w:rPr>
                <w:rFonts w:ascii="Arial" w:eastAsia="Arial" w:hAnsi="Arial" w:cs="Arial"/>
                <w:color w:val="000000"/>
                <w:sz w:val="16"/>
              </w:rPr>
              <w:t>Forward</w:t>
            </w:r>
          </w:p>
        </w:tc>
        <w:tc>
          <w:tcPr>
            <w:tcW w:w="91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14CCD49E" w14:textId="77777777" w:rsidR="003F0EEA" w:rsidRPr="00A6389F" w:rsidRDefault="00FB7D0B">
            <w:pPr>
              <w:jc w:val="right"/>
              <w:rPr>
                <w:rFonts w:ascii="Arial" w:eastAsia="Arial" w:hAnsi="Arial" w:cs="Arial"/>
                <w:color w:val="000000"/>
                <w:sz w:val="16"/>
              </w:rPr>
            </w:pPr>
            <w:r w:rsidRPr="00A6389F">
              <w:rPr>
                <w:rFonts w:ascii="Arial" w:eastAsia="Arial" w:hAnsi="Arial" w:cs="Arial"/>
                <w:color w:val="000000"/>
                <w:sz w:val="16"/>
              </w:rPr>
              <w:t>Forward</w:t>
            </w:r>
          </w:p>
        </w:tc>
      </w:tr>
      <w:tr w:rsidR="00724034" w14:paraId="55984758" w14:textId="77777777">
        <w:trPr>
          <w:trHeight w:val="225"/>
        </w:trPr>
        <w:tc>
          <w:tcPr>
            <w:tcW w:w="180" w:type="dxa"/>
            <w:tcBorders>
              <w:top w:val="nil"/>
              <w:left w:val="nil"/>
              <w:bottom w:val="nil"/>
              <w:right w:val="nil"/>
              <w:tl2br w:val="nil"/>
              <w:tr2bl w:val="nil"/>
            </w:tcBorders>
            <w:shd w:val="clear" w:color="auto" w:fill="FFFFFF"/>
            <w:tcMar>
              <w:left w:w="101" w:type="dxa"/>
              <w:right w:w="101" w:type="dxa"/>
            </w:tcMar>
            <w:vAlign w:val="bottom"/>
          </w:tcPr>
          <w:p w14:paraId="1629E07E" w14:textId="77777777" w:rsidR="003F0EEA" w:rsidRPr="00A6389F" w:rsidRDefault="003F0EEA">
            <w:pPr>
              <w:jc w:val="right"/>
              <w:rPr>
                <w:rFonts w:ascii="Arial" w:eastAsia="Arial" w:hAnsi="Arial" w:cs="Arial"/>
                <w:color w:val="000000"/>
                <w:sz w:val="16"/>
              </w:rPr>
            </w:pPr>
          </w:p>
        </w:tc>
        <w:tc>
          <w:tcPr>
            <w:tcW w:w="180" w:type="dxa"/>
            <w:tcBorders>
              <w:top w:val="nil"/>
              <w:left w:val="nil"/>
              <w:bottom w:val="nil"/>
              <w:right w:val="nil"/>
              <w:tl2br w:val="nil"/>
              <w:tr2bl w:val="nil"/>
            </w:tcBorders>
            <w:shd w:val="clear" w:color="auto" w:fill="FFFFFF"/>
            <w:tcMar>
              <w:left w:w="101" w:type="dxa"/>
              <w:right w:w="101" w:type="dxa"/>
            </w:tcMar>
            <w:vAlign w:val="bottom"/>
          </w:tcPr>
          <w:p w14:paraId="5F95EEBB" w14:textId="77777777" w:rsidR="003F0EEA" w:rsidRPr="00A6389F" w:rsidRDefault="003F0EEA">
            <w:pPr>
              <w:jc w:val="right"/>
              <w:rPr>
                <w:rFonts w:ascii="Arial" w:eastAsia="Arial" w:hAnsi="Arial" w:cs="Arial"/>
                <w:color w:val="000000"/>
                <w:sz w:val="16"/>
              </w:rPr>
            </w:pPr>
          </w:p>
        </w:tc>
        <w:tc>
          <w:tcPr>
            <w:tcW w:w="3150" w:type="dxa"/>
            <w:tcBorders>
              <w:top w:val="nil"/>
              <w:left w:val="nil"/>
              <w:bottom w:val="nil"/>
              <w:right w:val="nil"/>
              <w:tl2br w:val="nil"/>
              <w:tr2bl w:val="nil"/>
            </w:tcBorders>
            <w:shd w:val="clear" w:color="auto" w:fill="FFFFFF"/>
            <w:tcMar>
              <w:left w:w="101" w:type="dxa"/>
              <w:right w:w="101" w:type="dxa"/>
            </w:tcMar>
            <w:vAlign w:val="bottom"/>
          </w:tcPr>
          <w:p w14:paraId="15F4552D" w14:textId="77777777" w:rsidR="003F0EEA" w:rsidRPr="00A6389F" w:rsidRDefault="003F0EEA">
            <w:pPr>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59745FA3" w14:textId="77777777" w:rsidR="003F0EEA" w:rsidRPr="00A6389F" w:rsidRDefault="00FB7D0B">
            <w:pPr>
              <w:jc w:val="right"/>
              <w:rPr>
                <w:rFonts w:ascii="Arial" w:eastAsia="Arial" w:hAnsi="Arial" w:cs="Arial"/>
                <w:color w:val="000000"/>
                <w:sz w:val="16"/>
                <w:vertAlign w:val="superscript"/>
              </w:rPr>
            </w:pPr>
            <w:r w:rsidRPr="00A6389F">
              <w:rPr>
                <w:rFonts w:ascii="Arial" w:eastAsia="Arial" w:hAnsi="Arial" w:cs="Arial"/>
                <w:color w:val="000000"/>
                <w:sz w:val="16"/>
              </w:rPr>
              <w:t>actual</w:t>
            </w:r>
          </w:p>
        </w:tc>
        <w:tc>
          <w:tcPr>
            <w:tcW w:w="915" w:type="dxa"/>
            <w:tcBorders>
              <w:top w:val="nil"/>
              <w:left w:val="nil"/>
              <w:bottom w:val="nil"/>
              <w:right w:val="nil"/>
              <w:tl2br w:val="nil"/>
              <w:tr2bl w:val="nil"/>
            </w:tcBorders>
            <w:shd w:val="clear" w:color="auto" w:fill="FFFF00"/>
            <w:tcMar>
              <w:left w:w="101" w:type="dxa"/>
              <w:right w:w="101" w:type="dxa"/>
            </w:tcMar>
            <w:vAlign w:val="bottom"/>
          </w:tcPr>
          <w:p w14:paraId="6085C435" w14:textId="77777777" w:rsidR="003F0EEA" w:rsidRPr="00A6389F" w:rsidRDefault="00FB7D0B">
            <w:pPr>
              <w:jc w:val="right"/>
              <w:rPr>
                <w:rFonts w:ascii="Arial" w:eastAsia="Arial" w:hAnsi="Arial" w:cs="Arial"/>
                <w:color w:val="000000"/>
                <w:sz w:val="16"/>
              </w:rPr>
            </w:pPr>
            <w:r w:rsidRPr="00A6389F">
              <w:rPr>
                <w:rFonts w:ascii="Arial" w:eastAsia="Arial" w:hAnsi="Arial" w:cs="Arial"/>
                <w:color w:val="000000"/>
                <w:sz w:val="16"/>
              </w:rPr>
              <w:t>estimate</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06C516D9" w14:textId="77777777" w:rsidR="003F0EEA" w:rsidRPr="00A6389F" w:rsidRDefault="00FB7D0B">
            <w:pPr>
              <w:jc w:val="right"/>
              <w:rPr>
                <w:rFonts w:ascii="Arial" w:eastAsia="Arial" w:hAnsi="Arial" w:cs="Arial"/>
                <w:color w:val="000000"/>
                <w:sz w:val="16"/>
              </w:rPr>
            </w:pPr>
            <w:r w:rsidRPr="00A6389F">
              <w:rPr>
                <w:rFonts w:ascii="Arial" w:eastAsia="Arial" w:hAnsi="Arial" w:cs="Arial"/>
                <w:color w:val="000000"/>
                <w:sz w:val="16"/>
              </w:rPr>
              <w:t>estimate</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520A4465" w14:textId="77777777" w:rsidR="003F0EEA" w:rsidRPr="00A6389F" w:rsidRDefault="00FB7D0B">
            <w:pPr>
              <w:jc w:val="right"/>
              <w:rPr>
                <w:rFonts w:ascii="Arial" w:eastAsia="Arial" w:hAnsi="Arial" w:cs="Arial"/>
                <w:color w:val="000000"/>
                <w:sz w:val="16"/>
              </w:rPr>
            </w:pPr>
            <w:r w:rsidRPr="00A6389F">
              <w:rPr>
                <w:rFonts w:ascii="Arial" w:eastAsia="Arial" w:hAnsi="Arial" w:cs="Arial"/>
                <w:color w:val="000000"/>
                <w:sz w:val="16"/>
              </w:rPr>
              <w:t>estimate</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6EEEAE0E" w14:textId="77777777" w:rsidR="003F0EEA" w:rsidRPr="00A6389F" w:rsidRDefault="00FB7D0B">
            <w:pPr>
              <w:jc w:val="right"/>
              <w:rPr>
                <w:rFonts w:ascii="Arial" w:eastAsia="Arial" w:hAnsi="Arial" w:cs="Arial"/>
                <w:color w:val="000000"/>
                <w:sz w:val="16"/>
              </w:rPr>
            </w:pPr>
            <w:r w:rsidRPr="00A6389F">
              <w:rPr>
                <w:rFonts w:ascii="Arial" w:eastAsia="Arial" w:hAnsi="Arial" w:cs="Arial"/>
                <w:color w:val="000000"/>
                <w:sz w:val="16"/>
              </w:rPr>
              <w:t>estimate</w:t>
            </w:r>
          </w:p>
        </w:tc>
      </w:tr>
      <w:tr w:rsidR="00724034" w14:paraId="49FF7A1E" w14:textId="77777777">
        <w:trPr>
          <w:trHeight w:val="225"/>
        </w:trPr>
        <w:tc>
          <w:tcPr>
            <w:tcW w:w="180" w:type="dxa"/>
            <w:tcBorders>
              <w:top w:val="nil"/>
              <w:left w:val="nil"/>
              <w:bottom w:val="nil"/>
              <w:right w:val="nil"/>
              <w:tl2br w:val="nil"/>
              <w:tr2bl w:val="nil"/>
            </w:tcBorders>
            <w:shd w:val="clear" w:color="auto" w:fill="FFFFFF"/>
            <w:tcMar>
              <w:left w:w="101" w:type="dxa"/>
              <w:right w:w="101" w:type="dxa"/>
            </w:tcMar>
            <w:vAlign w:val="bottom"/>
          </w:tcPr>
          <w:p w14:paraId="4DF5E956" w14:textId="77777777" w:rsidR="003F0EEA" w:rsidRPr="00A6389F" w:rsidRDefault="003F0EEA">
            <w:pPr>
              <w:jc w:val="right"/>
              <w:rPr>
                <w:rFonts w:ascii="Arial" w:eastAsia="Arial" w:hAnsi="Arial" w:cs="Arial"/>
                <w:color w:val="000000"/>
                <w:sz w:val="16"/>
              </w:rPr>
            </w:pPr>
          </w:p>
        </w:tc>
        <w:tc>
          <w:tcPr>
            <w:tcW w:w="180" w:type="dxa"/>
            <w:tcBorders>
              <w:top w:val="nil"/>
              <w:left w:val="nil"/>
              <w:bottom w:val="nil"/>
              <w:right w:val="nil"/>
              <w:tl2br w:val="nil"/>
              <w:tr2bl w:val="nil"/>
            </w:tcBorders>
            <w:shd w:val="clear" w:color="auto" w:fill="FFFFFF"/>
            <w:tcMar>
              <w:left w:w="101" w:type="dxa"/>
              <w:right w:w="101" w:type="dxa"/>
            </w:tcMar>
            <w:vAlign w:val="bottom"/>
          </w:tcPr>
          <w:p w14:paraId="6E05776F" w14:textId="77777777" w:rsidR="003F0EEA" w:rsidRPr="00A6389F" w:rsidRDefault="003F0EEA">
            <w:pPr>
              <w:jc w:val="right"/>
              <w:rPr>
                <w:rFonts w:ascii="Arial" w:eastAsia="Arial" w:hAnsi="Arial" w:cs="Arial"/>
                <w:color w:val="000000"/>
                <w:sz w:val="16"/>
              </w:rPr>
            </w:pPr>
          </w:p>
        </w:tc>
        <w:tc>
          <w:tcPr>
            <w:tcW w:w="3150" w:type="dxa"/>
            <w:tcBorders>
              <w:top w:val="nil"/>
              <w:left w:val="nil"/>
              <w:bottom w:val="nil"/>
              <w:right w:val="nil"/>
              <w:tl2br w:val="nil"/>
              <w:tr2bl w:val="nil"/>
            </w:tcBorders>
            <w:shd w:val="clear" w:color="auto" w:fill="FFFFFF"/>
            <w:tcMar>
              <w:left w:w="101" w:type="dxa"/>
              <w:right w:w="101" w:type="dxa"/>
            </w:tcMar>
            <w:vAlign w:val="bottom"/>
          </w:tcPr>
          <w:p w14:paraId="62C3CC71" w14:textId="77777777" w:rsidR="003F0EEA" w:rsidRPr="00A6389F" w:rsidRDefault="003F0EEA">
            <w:pPr>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0C86F348" w14:textId="77777777" w:rsidR="003F0EEA" w:rsidRPr="00A6389F" w:rsidRDefault="00FB7D0B">
            <w:pPr>
              <w:jc w:val="right"/>
              <w:rPr>
                <w:rFonts w:ascii="Arial" w:eastAsia="Arial" w:hAnsi="Arial" w:cs="Arial"/>
                <w:color w:val="000000"/>
                <w:sz w:val="16"/>
                <w:vertAlign w:val="superscript"/>
              </w:rPr>
            </w:pPr>
            <w:r w:rsidRPr="00A6389F">
              <w:rPr>
                <w:rFonts w:ascii="Arial" w:eastAsia="Arial" w:hAnsi="Arial" w:cs="Arial"/>
                <w:color w:val="000000"/>
                <w:sz w:val="16"/>
              </w:rPr>
              <w:t>2013-14</w:t>
            </w:r>
          </w:p>
        </w:tc>
        <w:tc>
          <w:tcPr>
            <w:tcW w:w="915" w:type="dxa"/>
            <w:tcBorders>
              <w:top w:val="nil"/>
              <w:left w:val="nil"/>
              <w:bottom w:val="nil"/>
              <w:right w:val="nil"/>
              <w:tl2br w:val="nil"/>
              <w:tr2bl w:val="nil"/>
            </w:tcBorders>
            <w:shd w:val="clear" w:color="auto" w:fill="FFFF00"/>
            <w:tcMar>
              <w:left w:w="101" w:type="dxa"/>
              <w:right w:w="101" w:type="dxa"/>
            </w:tcMar>
            <w:vAlign w:val="bottom"/>
          </w:tcPr>
          <w:p w14:paraId="302FB7AC" w14:textId="77777777" w:rsidR="003F0EEA" w:rsidRPr="00A6389F" w:rsidRDefault="00FB7D0B">
            <w:pPr>
              <w:jc w:val="right"/>
              <w:rPr>
                <w:rFonts w:ascii="Arial" w:eastAsia="Arial" w:hAnsi="Arial" w:cs="Arial"/>
                <w:color w:val="000000"/>
                <w:sz w:val="16"/>
              </w:rPr>
            </w:pPr>
            <w:r w:rsidRPr="00A6389F">
              <w:rPr>
                <w:rFonts w:ascii="Arial" w:eastAsia="Arial" w:hAnsi="Arial" w:cs="Arial"/>
                <w:color w:val="000000"/>
                <w:sz w:val="16"/>
              </w:rPr>
              <w:t>2014-15</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31A602E6" w14:textId="77777777" w:rsidR="003F0EEA" w:rsidRPr="00A6389F" w:rsidRDefault="00FB7D0B">
            <w:pPr>
              <w:jc w:val="right"/>
              <w:rPr>
                <w:rFonts w:ascii="Arial" w:eastAsia="Arial" w:hAnsi="Arial" w:cs="Arial"/>
                <w:color w:val="000000"/>
                <w:sz w:val="16"/>
              </w:rPr>
            </w:pPr>
            <w:r w:rsidRPr="00A6389F">
              <w:rPr>
                <w:rFonts w:ascii="Arial" w:eastAsia="Arial" w:hAnsi="Arial" w:cs="Arial"/>
                <w:color w:val="000000"/>
                <w:sz w:val="16"/>
              </w:rPr>
              <w:t>2015-16</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48C9FAFC" w14:textId="77777777" w:rsidR="003F0EEA" w:rsidRPr="00A6389F" w:rsidRDefault="00FB7D0B">
            <w:pPr>
              <w:jc w:val="right"/>
              <w:rPr>
                <w:rFonts w:ascii="Arial" w:eastAsia="Arial" w:hAnsi="Arial" w:cs="Arial"/>
                <w:color w:val="000000"/>
                <w:sz w:val="16"/>
              </w:rPr>
            </w:pPr>
            <w:r w:rsidRPr="00A6389F">
              <w:rPr>
                <w:rFonts w:ascii="Arial" w:eastAsia="Arial" w:hAnsi="Arial" w:cs="Arial"/>
                <w:color w:val="000000"/>
                <w:sz w:val="16"/>
              </w:rPr>
              <w:t>2016-17</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07AE6FB0" w14:textId="77777777" w:rsidR="003F0EEA" w:rsidRPr="00A6389F" w:rsidRDefault="00FB7D0B">
            <w:pPr>
              <w:jc w:val="right"/>
              <w:rPr>
                <w:rFonts w:ascii="Arial" w:eastAsia="Arial" w:hAnsi="Arial" w:cs="Arial"/>
                <w:color w:val="000000"/>
                <w:sz w:val="16"/>
              </w:rPr>
            </w:pPr>
            <w:r w:rsidRPr="00A6389F">
              <w:rPr>
                <w:rFonts w:ascii="Arial" w:eastAsia="Arial" w:hAnsi="Arial" w:cs="Arial"/>
                <w:color w:val="000000"/>
                <w:sz w:val="16"/>
              </w:rPr>
              <w:t>2017-18</w:t>
            </w:r>
          </w:p>
        </w:tc>
      </w:tr>
      <w:tr w:rsidR="00724034" w14:paraId="1B7F5778" w14:textId="77777777">
        <w:trPr>
          <w:trHeight w:val="225"/>
        </w:trPr>
        <w:tc>
          <w:tcPr>
            <w:tcW w:w="180" w:type="dxa"/>
            <w:tcBorders>
              <w:top w:val="nil"/>
              <w:left w:val="nil"/>
              <w:bottom w:val="nil"/>
              <w:right w:val="nil"/>
              <w:tl2br w:val="nil"/>
              <w:tr2bl w:val="nil"/>
            </w:tcBorders>
            <w:shd w:val="clear" w:color="auto" w:fill="FFFFFF"/>
            <w:tcMar>
              <w:left w:w="101" w:type="dxa"/>
              <w:right w:w="101" w:type="dxa"/>
            </w:tcMar>
            <w:vAlign w:val="bottom"/>
          </w:tcPr>
          <w:p w14:paraId="68FCC02A" w14:textId="77777777" w:rsidR="003F0EEA" w:rsidRPr="00A6389F" w:rsidRDefault="003F0EEA">
            <w:pPr>
              <w:jc w:val="right"/>
              <w:rPr>
                <w:rFonts w:ascii="Arial" w:eastAsia="Arial" w:hAnsi="Arial" w:cs="Arial"/>
                <w:color w:val="000000"/>
                <w:sz w:val="16"/>
              </w:rPr>
            </w:pPr>
          </w:p>
        </w:tc>
        <w:tc>
          <w:tcPr>
            <w:tcW w:w="180" w:type="dxa"/>
            <w:tcBorders>
              <w:top w:val="nil"/>
              <w:left w:val="nil"/>
              <w:bottom w:val="nil"/>
              <w:right w:val="nil"/>
              <w:tl2br w:val="nil"/>
              <w:tr2bl w:val="nil"/>
            </w:tcBorders>
            <w:shd w:val="clear" w:color="auto" w:fill="FFFFFF"/>
            <w:tcMar>
              <w:left w:w="101" w:type="dxa"/>
              <w:right w:w="101" w:type="dxa"/>
            </w:tcMar>
            <w:vAlign w:val="bottom"/>
          </w:tcPr>
          <w:p w14:paraId="43650158" w14:textId="77777777" w:rsidR="003F0EEA" w:rsidRPr="00A6389F" w:rsidRDefault="003F0EEA">
            <w:pPr>
              <w:jc w:val="right"/>
              <w:rPr>
                <w:rFonts w:ascii="Arial" w:eastAsia="Arial" w:hAnsi="Arial" w:cs="Arial"/>
                <w:color w:val="000000"/>
                <w:sz w:val="16"/>
              </w:rPr>
            </w:pPr>
          </w:p>
        </w:tc>
        <w:tc>
          <w:tcPr>
            <w:tcW w:w="3150" w:type="dxa"/>
            <w:tcBorders>
              <w:top w:val="nil"/>
              <w:left w:val="nil"/>
              <w:bottom w:val="nil"/>
              <w:right w:val="nil"/>
              <w:tl2br w:val="nil"/>
              <w:tr2bl w:val="nil"/>
            </w:tcBorders>
            <w:shd w:val="clear" w:color="auto" w:fill="FFFFFF"/>
            <w:tcMar>
              <w:left w:w="101" w:type="dxa"/>
              <w:right w:w="101" w:type="dxa"/>
            </w:tcMar>
            <w:vAlign w:val="bottom"/>
          </w:tcPr>
          <w:p w14:paraId="14F17100" w14:textId="77777777" w:rsidR="003F0EEA" w:rsidRPr="00A6389F" w:rsidRDefault="003F0EEA">
            <w:pPr>
              <w:jc w:val="right"/>
              <w:rPr>
                <w:rFonts w:ascii="Arial" w:eastAsia="Arial" w:hAnsi="Arial" w:cs="Arial"/>
                <w:color w:val="000000"/>
                <w:sz w:val="16"/>
              </w:rPr>
            </w:pPr>
          </w:p>
        </w:tc>
        <w:tc>
          <w:tcPr>
            <w:tcW w:w="915"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0D88D349" w14:textId="77777777" w:rsidR="003F0EEA" w:rsidRPr="00A6389F" w:rsidRDefault="00FB7D0B">
            <w:pPr>
              <w:jc w:val="right"/>
              <w:rPr>
                <w:rFonts w:ascii="Arial" w:eastAsia="Arial" w:hAnsi="Arial" w:cs="Arial"/>
                <w:color w:val="000000"/>
                <w:sz w:val="16"/>
                <w:vertAlign w:val="superscript"/>
              </w:rPr>
            </w:pPr>
            <w:r w:rsidRPr="00A6389F">
              <w:rPr>
                <w:rFonts w:ascii="Arial" w:eastAsia="Arial" w:hAnsi="Arial" w:cs="Arial"/>
                <w:color w:val="000000"/>
                <w:sz w:val="16"/>
              </w:rPr>
              <w:t>$'000</w:t>
            </w:r>
          </w:p>
        </w:tc>
        <w:tc>
          <w:tcPr>
            <w:tcW w:w="915" w:type="dxa"/>
            <w:tcBorders>
              <w:top w:val="nil"/>
              <w:left w:val="nil"/>
              <w:bottom w:val="single" w:sz="6" w:space="0" w:color="000000"/>
              <w:right w:val="nil"/>
              <w:tl2br w:val="nil"/>
              <w:tr2bl w:val="nil"/>
            </w:tcBorders>
            <w:shd w:val="clear" w:color="auto" w:fill="FFFF00"/>
            <w:tcMar>
              <w:left w:w="101" w:type="dxa"/>
              <w:right w:w="101" w:type="dxa"/>
            </w:tcMar>
            <w:vAlign w:val="bottom"/>
          </w:tcPr>
          <w:p w14:paraId="551E5988" w14:textId="77777777" w:rsidR="003F0EEA" w:rsidRPr="00A6389F" w:rsidRDefault="00FB7D0B">
            <w:pPr>
              <w:jc w:val="right"/>
              <w:rPr>
                <w:rFonts w:ascii="Arial" w:eastAsia="Arial" w:hAnsi="Arial" w:cs="Arial"/>
                <w:color w:val="000000"/>
                <w:sz w:val="16"/>
              </w:rPr>
            </w:pPr>
            <w:r w:rsidRPr="00A6389F">
              <w:rPr>
                <w:rFonts w:ascii="Arial" w:eastAsia="Arial" w:hAnsi="Arial" w:cs="Arial"/>
                <w:color w:val="000000"/>
                <w:sz w:val="16"/>
              </w:rPr>
              <w:t>$'000</w:t>
            </w:r>
          </w:p>
        </w:tc>
        <w:tc>
          <w:tcPr>
            <w:tcW w:w="915"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085D9139" w14:textId="77777777" w:rsidR="003F0EEA" w:rsidRPr="00A6389F" w:rsidRDefault="00FB7D0B">
            <w:pPr>
              <w:jc w:val="right"/>
              <w:rPr>
                <w:rFonts w:ascii="Arial" w:eastAsia="Arial" w:hAnsi="Arial" w:cs="Arial"/>
                <w:color w:val="000000"/>
                <w:sz w:val="16"/>
              </w:rPr>
            </w:pPr>
            <w:r w:rsidRPr="00A6389F">
              <w:rPr>
                <w:rFonts w:ascii="Arial" w:eastAsia="Arial" w:hAnsi="Arial" w:cs="Arial"/>
                <w:color w:val="000000"/>
                <w:sz w:val="16"/>
              </w:rPr>
              <w:t>$'000</w:t>
            </w:r>
          </w:p>
        </w:tc>
        <w:tc>
          <w:tcPr>
            <w:tcW w:w="915"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0898F0E2" w14:textId="77777777" w:rsidR="003F0EEA" w:rsidRPr="00A6389F" w:rsidRDefault="00FB7D0B">
            <w:pPr>
              <w:jc w:val="right"/>
              <w:rPr>
                <w:rFonts w:ascii="Arial" w:eastAsia="Arial" w:hAnsi="Arial" w:cs="Arial"/>
                <w:color w:val="000000"/>
                <w:sz w:val="16"/>
              </w:rPr>
            </w:pPr>
            <w:r w:rsidRPr="00A6389F">
              <w:rPr>
                <w:rFonts w:ascii="Arial" w:eastAsia="Arial" w:hAnsi="Arial" w:cs="Arial"/>
                <w:color w:val="000000"/>
                <w:sz w:val="16"/>
              </w:rPr>
              <w:t>$'000</w:t>
            </w:r>
          </w:p>
        </w:tc>
        <w:tc>
          <w:tcPr>
            <w:tcW w:w="915"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6E5DB1EA" w14:textId="77777777" w:rsidR="003F0EEA" w:rsidRPr="00A6389F" w:rsidRDefault="00FB7D0B">
            <w:pPr>
              <w:jc w:val="right"/>
              <w:rPr>
                <w:rFonts w:ascii="Arial" w:eastAsia="Arial" w:hAnsi="Arial" w:cs="Arial"/>
                <w:color w:val="000000"/>
                <w:sz w:val="16"/>
              </w:rPr>
            </w:pPr>
            <w:r w:rsidRPr="00A6389F">
              <w:rPr>
                <w:rFonts w:ascii="Arial" w:eastAsia="Arial" w:hAnsi="Arial" w:cs="Arial"/>
                <w:color w:val="000000"/>
                <w:sz w:val="16"/>
              </w:rPr>
              <w:t>$'000</w:t>
            </w:r>
          </w:p>
        </w:tc>
      </w:tr>
      <w:tr w:rsidR="00724034" w14:paraId="7674B841" w14:textId="77777777">
        <w:trPr>
          <w:trHeight w:val="225"/>
        </w:trPr>
        <w:tc>
          <w:tcPr>
            <w:tcW w:w="180" w:type="dxa"/>
            <w:tcBorders>
              <w:top w:val="nil"/>
              <w:left w:val="nil"/>
              <w:bottom w:val="nil"/>
              <w:right w:val="nil"/>
              <w:tl2br w:val="nil"/>
              <w:tr2bl w:val="nil"/>
            </w:tcBorders>
            <w:shd w:val="clear" w:color="auto" w:fill="FFFFFF"/>
            <w:tcMar>
              <w:left w:w="101" w:type="dxa"/>
              <w:right w:w="101" w:type="dxa"/>
            </w:tcMar>
            <w:vAlign w:val="bottom"/>
          </w:tcPr>
          <w:p w14:paraId="7F4B5B00" w14:textId="77777777" w:rsidR="003F0EEA" w:rsidRPr="00A6389F" w:rsidRDefault="003F0EEA">
            <w:pPr>
              <w:rPr>
                <w:rFonts w:ascii="Arial" w:eastAsia="Arial" w:hAnsi="Arial" w:cs="Arial"/>
                <w:color w:val="000000"/>
                <w:sz w:val="16"/>
              </w:rPr>
            </w:pPr>
          </w:p>
        </w:tc>
        <w:tc>
          <w:tcPr>
            <w:tcW w:w="180" w:type="dxa"/>
            <w:tcBorders>
              <w:top w:val="nil"/>
              <w:left w:val="nil"/>
              <w:bottom w:val="nil"/>
              <w:right w:val="nil"/>
              <w:tl2br w:val="nil"/>
              <w:tr2bl w:val="nil"/>
            </w:tcBorders>
            <w:shd w:val="clear" w:color="auto" w:fill="FFFFFF"/>
            <w:tcMar>
              <w:left w:w="101" w:type="dxa"/>
              <w:right w:w="101" w:type="dxa"/>
            </w:tcMar>
            <w:vAlign w:val="bottom"/>
          </w:tcPr>
          <w:p w14:paraId="08EF08FD" w14:textId="77777777" w:rsidR="003F0EEA" w:rsidRPr="00A6389F" w:rsidRDefault="003F0EEA">
            <w:pPr>
              <w:rPr>
                <w:rFonts w:ascii="Arial" w:eastAsia="Arial" w:hAnsi="Arial" w:cs="Arial"/>
                <w:b/>
                <w:color w:val="000000"/>
                <w:sz w:val="16"/>
              </w:rPr>
            </w:pPr>
          </w:p>
        </w:tc>
        <w:tc>
          <w:tcPr>
            <w:tcW w:w="3150" w:type="dxa"/>
            <w:tcBorders>
              <w:top w:val="nil"/>
              <w:left w:val="nil"/>
              <w:bottom w:val="nil"/>
              <w:right w:val="nil"/>
              <w:tl2br w:val="nil"/>
              <w:tr2bl w:val="nil"/>
            </w:tcBorders>
            <w:shd w:val="clear" w:color="auto" w:fill="FFFFFF"/>
            <w:tcMar>
              <w:left w:w="101" w:type="dxa"/>
              <w:right w:w="101" w:type="dxa"/>
            </w:tcMar>
            <w:vAlign w:val="bottom"/>
          </w:tcPr>
          <w:p w14:paraId="55387A4C" w14:textId="77777777" w:rsidR="003F0EEA" w:rsidRPr="00A6389F" w:rsidRDefault="003F0EEA">
            <w:pPr>
              <w:rPr>
                <w:rFonts w:ascii="Arial" w:eastAsia="Arial" w:hAnsi="Arial" w:cs="Arial"/>
                <w:b/>
                <w:color w:val="000000"/>
                <w:sz w:val="16"/>
              </w:rPr>
            </w:pPr>
          </w:p>
        </w:tc>
        <w:tc>
          <w:tcPr>
            <w:tcW w:w="91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72B88BC6" w14:textId="77777777" w:rsidR="003F0EEA" w:rsidRPr="00A6389F" w:rsidRDefault="003F0EEA">
            <w:pPr>
              <w:rPr>
                <w:rFonts w:ascii="Arial" w:eastAsia="Arial" w:hAnsi="Arial" w:cs="Arial"/>
                <w:b/>
                <w:color w:val="000000"/>
                <w:sz w:val="16"/>
                <w:vertAlign w:val="superscript"/>
              </w:rPr>
            </w:pPr>
          </w:p>
        </w:tc>
        <w:tc>
          <w:tcPr>
            <w:tcW w:w="915" w:type="dxa"/>
            <w:tcBorders>
              <w:top w:val="single" w:sz="6" w:space="0" w:color="000000"/>
              <w:left w:val="nil"/>
              <w:bottom w:val="nil"/>
              <w:right w:val="nil"/>
              <w:tl2br w:val="nil"/>
              <w:tr2bl w:val="nil"/>
            </w:tcBorders>
            <w:shd w:val="clear" w:color="auto" w:fill="FFFF00"/>
            <w:tcMar>
              <w:left w:w="101" w:type="dxa"/>
              <w:right w:w="101" w:type="dxa"/>
            </w:tcMar>
            <w:vAlign w:val="bottom"/>
          </w:tcPr>
          <w:p w14:paraId="2CD726CA" w14:textId="77777777" w:rsidR="003F0EEA" w:rsidRPr="00A6389F" w:rsidRDefault="003F0EEA">
            <w:pPr>
              <w:rPr>
                <w:rFonts w:ascii="Arial" w:eastAsia="Arial" w:hAnsi="Arial" w:cs="Arial"/>
                <w:b/>
                <w:color w:val="000000"/>
                <w:sz w:val="16"/>
                <w:vertAlign w:val="superscript"/>
              </w:rPr>
            </w:pPr>
          </w:p>
        </w:tc>
        <w:tc>
          <w:tcPr>
            <w:tcW w:w="91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54F7D099" w14:textId="77777777" w:rsidR="003F0EEA" w:rsidRPr="00A6389F" w:rsidRDefault="003F0EEA">
            <w:pPr>
              <w:rPr>
                <w:rFonts w:ascii="Arial" w:eastAsia="Arial" w:hAnsi="Arial" w:cs="Arial"/>
                <w:b/>
                <w:color w:val="000000"/>
                <w:sz w:val="16"/>
                <w:vertAlign w:val="superscript"/>
              </w:rPr>
            </w:pPr>
          </w:p>
        </w:tc>
        <w:tc>
          <w:tcPr>
            <w:tcW w:w="91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420A66C8" w14:textId="77777777" w:rsidR="003F0EEA" w:rsidRPr="00A6389F" w:rsidRDefault="003F0EEA">
            <w:pPr>
              <w:rPr>
                <w:rFonts w:ascii="Arial" w:eastAsia="Arial" w:hAnsi="Arial" w:cs="Arial"/>
                <w:b/>
                <w:color w:val="000000"/>
                <w:sz w:val="16"/>
                <w:vertAlign w:val="superscript"/>
              </w:rPr>
            </w:pPr>
          </w:p>
        </w:tc>
        <w:tc>
          <w:tcPr>
            <w:tcW w:w="91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2415E165" w14:textId="77777777" w:rsidR="003F0EEA" w:rsidRPr="00A6389F" w:rsidRDefault="003F0EEA">
            <w:pPr>
              <w:rPr>
                <w:rFonts w:ascii="Arial" w:eastAsia="Arial" w:hAnsi="Arial" w:cs="Arial"/>
                <w:b/>
                <w:color w:val="000000"/>
                <w:sz w:val="16"/>
                <w:vertAlign w:val="superscript"/>
              </w:rPr>
            </w:pPr>
          </w:p>
        </w:tc>
      </w:tr>
      <w:tr w:rsidR="00FB7D0B" w14:paraId="75C3DC03" w14:textId="77777777" w:rsidTr="00FB7D0B">
        <w:trPr>
          <w:trHeight w:val="225"/>
        </w:trPr>
        <w:tc>
          <w:tcPr>
            <w:tcW w:w="3510" w:type="dxa"/>
            <w:gridSpan w:val="3"/>
            <w:tcBorders>
              <w:top w:val="nil"/>
              <w:left w:val="nil"/>
              <w:bottom w:val="nil"/>
              <w:right w:val="nil"/>
              <w:tl2br w:val="nil"/>
              <w:tr2bl w:val="nil"/>
            </w:tcBorders>
            <w:shd w:val="clear" w:color="auto" w:fill="FFFFFF"/>
            <w:tcMar>
              <w:left w:w="101" w:type="dxa"/>
              <w:right w:w="101" w:type="dxa"/>
            </w:tcMar>
            <w:vAlign w:val="bottom"/>
          </w:tcPr>
          <w:p w14:paraId="76CD8A46" w14:textId="77777777" w:rsidR="003F0EEA" w:rsidRPr="00A6389F" w:rsidRDefault="00FB7D0B">
            <w:pPr>
              <w:rPr>
                <w:rFonts w:ascii="Arial" w:eastAsia="Arial" w:hAnsi="Arial" w:cs="Arial"/>
                <w:b/>
                <w:color w:val="000000"/>
                <w:sz w:val="16"/>
                <w:vertAlign w:val="superscript"/>
              </w:rPr>
            </w:pPr>
            <w:r w:rsidRPr="00A6389F">
              <w:rPr>
                <w:rFonts w:ascii="Arial" w:eastAsia="Arial" w:hAnsi="Arial" w:cs="Arial"/>
                <w:b/>
                <w:color w:val="000000"/>
                <w:sz w:val="16"/>
              </w:rPr>
              <w:t>OTHER COMPREHENSIVE INCOME</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463E9897" w14:textId="77777777" w:rsidR="003F0EEA" w:rsidRPr="00A6389F" w:rsidRDefault="003F0EEA">
            <w:pPr>
              <w:rPr>
                <w:rFonts w:ascii="Arial" w:eastAsia="Arial" w:hAnsi="Arial" w:cs="Arial"/>
                <w:b/>
                <w:color w:val="000000"/>
                <w:sz w:val="16"/>
                <w:vertAlign w:val="superscript"/>
              </w:rPr>
            </w:pPr>
          </w:p>
        </w:tc>
        <w:tc>
          <w:tcPr>
            <w:tcW w:w="915" w:type="dxa"/>
            <w:tcBorders>
              <w:top w:val="nil"/>
              <w:left w:val="nil"/>
              <w:bottom w:val="nil"/>
              <w:right w:val="nil"/>
              <w:tl2br w:val="nil"/>
              <w:tr2bl w:val="nil"/>
            </w:tcBorders>
            <w:shd w:val="clear" w:color="auto" w:fill="FFFF00"/>
            <w:tcMar>
              <w:left w:w="101" w:type="dxa"/>
              <w:right w:w="101" w:type="dxa"/>
            </w:tcMar>
            <w:vAlign w:val="bottom"/>
          </w:tcPr>
          <w:p w14:paraId="6A70A7C1" w14:textId="77777777" w:rsidR="003F0EEA" w:rsidRPr="00A6389F" w:rsidRDefault="003F0EEA">
            <w:pPr>
              <w:rPr>
                <w:rFonts w:ascii="Arial" w:eastAsia="Arial" w:hAnsi="Arial" w:cs="Arial"/>
                <w:b/>
                <w:color w:val="000000"/>
                <w:sz w:val="16"/>
                <w:vertAlign w:val="superscript"/>
              </w:rPr>
            </w:pP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7EE07B37" w14:textId="77777777" w:rsidR="003F0EEA" w:rsidRPr="00A6389F" w:rsidRDefault="003F0EEA">
            <w:pPr>
              <w:rPr>
                <w:rFonts w:ascii="Arial" w:eastAsia="Arial" w:hAnsi="Arial" w:cs="Arial"/>
                <w:b/>
                <w:color w:val="000000"/>
                <w:sz w:val="16"/>
                <w:vertAlign w:val="superscript"/>
              </w:rPr>
            </w:pP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04E3E099" w14:textId="77777777" w:rsidR="003F0EEA" w:rsidRPr="00A6389F" w:rsidRDefault="003F0EEA">
            <w:pPr>
              <w:rPr>
                <w:rFonts w:ascii="Arial" w:eastAsia="Arial" w:hAnsi="Arial" w:cs="Arial"/>
                <w:b/>
                <w:color w:val="000000"/>
                <w:sz w:val="16"/>
                <w:vertAlign w:val="superscript"/>
              </w:rPr>
            </w:pP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352C0B8C" w14:textId="77777777" w:rsidR="003F0EEA" w:rsidRPr="00A6389F" w:rsidRDefault="003F0EEA">
            <w:pPr>
              <w:rPr>
                <w:rFonts w:ascii="Arial" w:eastAsia="Arial" w:hAnsi="Arial" w:cs="Arial"/>
                <w:b/>
                <w:color w:val="000000"/>
                <w:sz w:val="16"/>
                <w:vertAlign w:val="superscript"/>
              </w:rPr>
            </w:pPr>
          </w:p>
        </w:tc>
      </w:tr>
      <w:tr w:rsidR="00FB7D0B" w14:paraId="41160082" w14:textId="77777777" w:rsidTr="00FB7D0B">
        <w:trPr>
          <w:trHeight w:val="225"/>
        </w:trPr>
        <w:tc>
          <w:tcPr>
            <w:tcW w:w="180" w:type="dxa"/>
            <w:tcBorders>
              <w:top w:val="nil"/>
              <w:left w:val="nil"/>
              <w:bottom w:val="nil"/>
              <w:right w:val="nil"/>
              <w:tl2br w:val="nil"/>
              <w:tr2bl w:val="nil"/>
            </w:tcBorders>
            <w:shd w:val="clear" w:color="auto" w:fill="FFFFFF"/>
            <w:tcMar>
              <w:left w:w="101" w:type="dxa"/>
              <w:right w:w="101" w:type="dxa"/>
            </w:tcMar>
            <w:vAlign w:val="bottom"/>
          </w:tcPr>
          <w:p w14:paraId="75DC5D57" w14:textId="77777777" w:rsidR="003F0EEA" w:rsidRPr="00A6389F" w:rsidRDefault="003F0EEA">
            <w:pPr>
              <w:rPr>
                <w:rFonts w:ascii="Arial" w:eastAsia="Arial" w:hAnsi="Arial" w:cs="Arial"/>
                <w:b/>
                <w:color w:val="000000"/>
                <w:sz w:val="16"/>
                <w:vertAlign w:val="superscript"/>
              </w:rPr>
            </w:pPr>
          </w:p>
        </w:tc>
        <w:tc>
          <w:tcPr>
            <w:tcW w:w="3330" w:type="dxa"/>
            <w:gridSpan w:val="2"/>
            <w:vMerge w:val="restart"/>
            <w:tcBorders>
              <w:top w:val="nil"/>
              <w:left w:val="nil"/>
              <w:bottom w:val="nil"/>
              <w:right w:val="nil"/>
              <w:tl2br w:val="nil"/>
              <w:tr2bl w:val="nil"/>
            </w:tcBorders>
            <w:shd w:val="clear" w:color="auto" w:fill="FFFFFF"/>
            <w:tcMar>
              <w:left w:w="101" w:type="dxa"/>
              <w:right w:w="101" w:type="dxa"/>
            </w:tcMar>
            <w:vAlign w:val="bottom"/>
          </w:tcPr>
          <w:p w14:paraId="21F5D55C" w14:textId="77777777" w:rsidR="003F0EEA" w:rsidRPr="00A6389F" w:rsidRDefault="00FB7D0B">
            <w:pPr>
              <w:rPr>
                <w:rFonts w:ascii="Arial" w:eastAsia="Arial" w:hAnsi="Arial" w:cs="Arial"/>
                <w:b/>
                <w:color w:val="000000"/>
                <w:sz w:val="16"/>
                <w:vertAlign w:val="superscript"/>
              </w:rPr>
            </w:pPr>
            <w:r w:rsidRPr="00A6389F">
              <w:rPr>
                <w:rFonts w:ascii="Arial" w:eastAsia="Arial" w:hAnsi="Arial" w:cs="Arial"/>
                <w:color w:val="000000"/>
                <w:sz w:val="16"/>
              </w:rPr>
              <w:t>Changes in assets revaluation</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6F06DC8C" w14:textId="77777777" w:rsidR="003F0EEA" w:rsidRPr="00A6389F" w:rsidRDefault="003F0EEA">
            <w:pPr>
              <w:rPr>
                <w:rFonts w:ascii="Arial" w:eastAsia="Arial" w:hAnsi="Arial" w:cs="Arial"/>
                <w:color w:val="000000"/>
                <w:sz w:val="16"/>
                <w:vertAlign w:val="superscript"/>
              </w:rPr>
            </w:pPr>
          </w:p>
        </w:tc>
        <w:tc>
          <w:tcPr>
            <w:tcW w:w="915" w:type="dxa"/>
            <w:tcBorders>
              <w:top w:val="nil"/>
              <w:left w:val="nil"/>
              <w:bottom w:val="nil"/>
              <w:right w:val="nil"/>
              <w:tl2br w:val="nil"/>
              <w:tr2bl w:val="nil"/>
            </w:tcBorders>
            <w:shd w:val="clear" w:color="auto" w:fill="FFFF00"/>
            <w:tcMar>
              <w:left w:w="101" w:type="dxa"/>
              <w:right w:w="101" w:type="dxa"/>
            </w:tcMar>
            <w:vAlign w:val="bottom"/>
          </w:tcPr>
          <w:p w14:paraId="7547D48D" w14:textId="77777777" w:rsidR="003F0EEA" w:rsidRPr="00A6389F" w:rsidRDefault="003F0EEA">
            <w:pPr>
              <w:rPr>
                <w:rFonts w:ascii="Arial" w:eastAsia="Arial" w:hAnsi="Arial" w:cs="Arial"/>
                <w:b/>
                <w:color w:val="000000"/>
                <w:sz w:val="16"/>
                <w:vertAlign w:val="superscript"/>
              </w:rPr>
            </w:pP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5FB2226D" w14:textId="77777777" w:rsidR="003F0EEA" w:rsidRPr="00A6389F" w:rsidRDefault="003F0EEA">
            <w:pPr>
              <w:rPr>
                <w:rFonts w:ascii="Arial" w:eastAsia="Arial" w:hAnsi="Arial" w:cs="Arial"/>
                <w:b/>
                <w:color w:val="000000"/>
                <w:sz w:val="16"/>
                <w:vertAlign w:val="superscript"/>
              </w:rPr>
            </w:pP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4FDF9D84" w14:textId="77777777" w:rsidR="003F0EEA" w:rsidRPr="00A6389F" w:rsidRDefault="003F0EEA">
            <w:pPr>
              <w:rPr>
                <w:rFonts w:ascii="Arial" w:eastAsia="Arial" w:hAnsi="Arial" w:cs="Arial"/>
                <w:b/>
                <w:color w:val="000000"/>
                <w:sz w:val="16"/>
                <w:vertAlign w:val="superscript"/>
              </w:rPr>
            </w:pP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50AABCB3" w14:textId="77777777" w:rsidR="003F0EEA" w:rsidRPr="00A6389F" w:rsidRDefault="003F0EEA">
            <w:pPr>
              <w:rPr>
                <w:rFonts w:ascii="Arial" w:eastAsia="Arial" w:hAnsi="Arial" w:cs="Arial"/>
                <w:b/>
                <w:color w:val="000000"/>
                <w:sz w:val="16"/>
                <w:vertAlign w:val="superscript"/>
              </w:rPr>
            </w:pPr>
          </w:p>
        </w:tc>
      </w:tr>
      <w:tr w:rsidR="00FB7D0B" w14:paraId="0309276D" w14:textId="77777777" w:rsidTr="00FB7D0B">
        <w:trPr>
          <w:trHeight w:val="225"/>
        </w:trPr>
        <w:tc>
          <w:tcPr>
            <w:tcW w:w="180" w:type="dxa"/>
            <w:tcBorders>
              <w:top w:val="nil"/>
              <w:left w:val="nil"/>
              <w:bottom w:val="nil"/>
              <w:right w:val="nil"/>
              <w:tl2br w:val="nil"/>
              <w:tr2bl w:val="nil"/>
            </w:tcBorders>
            <w:shd w:val="clear" w:color="auto" w:fill="FFFFFF"/>
            <w:tcMar>
              <w:left w:w="101" w:type="dxa"/>
              <w:right w:w="101" w:type="dxa"/>
            </w:tcMar>
            <w:vAlign w:val="bottom"/>
          </w:tcPr>
          <w:p w14:paraId="041E6122" w14:textId="77777777" w:rsidR="003F0EEA" w:rsidRPr="00A6389F" w:rsidRDefault="003F0EEA">
            <w:pPr>
              <w:rPr>
                <w:rFonts w:ascii="Arial" w:eastAsia="Arial" w:hAnsi="Arial" w:cs="Arial"/>
                <w:b/>
                <w:color w:val="000000"/>
                <w:sz w:val="16"/>
                <w:vertAlign w:val="superscript"/>
              </w:rPr>
            </w:pPr>
          </w:p>
        </w:tc>
        <w:tc>
          <w:tcPr>
            <w:tcW w:w="3330" w:type="dxa"/>
            <w:gridSpan w:val="2"/>
            <w:tcBorders>
              <w:top w:val="nil"/>
              <w:left w:val="nil"/>
              <w:bottom w:val="nil"/>
              <w:right w:val="nil"/>
              <w:tl2br w:val="nil"/>
              <w:tr2bl w:val="nil"/>
            </w:tcBorders>
            <w:shd w:val="clear" w:color="auto" w:fill="FFFFFF"/>
            <w:tcMar>
              <w:left w:w="101" w:type="dxa"/>
              <w:right w:w="101" w:type="dxa"/>
            </w:tcMar>
            <w:vAlign w:val="bottom"/>
          </w:tcPr>
          <w:p w14:paraId="1C810A07" w14:textId="77777777" w:rsidR="003F0EEA" w:rsidRPr="00A6389F" w:rsidRDefault="00FB7D0B">
            <w:pPr>
              <w:rPr>
                <w:rFonts w:ascii="Arial" w:eastAsia="Arial" w:hAnsi="Arial" w:cs="Arial"/>
                <w:b/>
                <w:color w:val="000000"/>
                <w:sz w:val="16"/>
                <w:vertAlign w:val="superscript"/>
              </w:rPr>
            </w:pPr>
            <w:r w:rsidRPr="00A6389F">
              <w:rPr>
                <w:rFonts w:ascii="Arial" w:eastAsia="Arial" w:hAnsi="Arial" w:cs="Arial"/>
                <w:color w:val="000000"/>
                <w:sz w:val="16"/>
              </w:rPr>
              <w:t>reserve</w:t>
            </w:r>
          </w:p>
        </w:tc>
        <w:tc>
          <w:tcPr>
            <w:tcW w:w="915"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1D6A7C9F" w14:textId="77777777" w:rsidR="003F0EEA" w:rsidRPr="00A6389F" w:rsidRDefault="00FB7D0B">
            <w:pPr>
              <w:jc w:val="right"/>
              <w:rPr>
                <w:rFonts w:ascii="Arial" w:eastAsia="Arial" w:hAnsi="Arial" w:cs="Arial"/>
                <w:color w:val="000000"/>
                <w:sz w:val="16"/>
                <w:vertAlign w:val="superscript"/>
              </w:rPr>
            </w:pPr>
            <w:r w:rsidRPr="00A6389F">
              <w:rPr>
                <w:rFonts w:ascii="Arial" w:eastAsia="Arial" w:hAnsi="Arial" w:cs="Arial"/>
                <w:color w:val="000000"/>
                <w:sz w:val="16"/>
              </w:rPr>
              <w:t>- </w:t>
            </w:r>
          </w:p>
        </w:tc>
        <w:tc>
          <w:tcPr>
            <w:tcW w:w="915" w:type="dxa"/>
            <w:tcBorders>
              <w:top w:val="nil"/>
              <w:left w:val="nil"/>
              <w:bottom w:val="single" w:sz="6" w:space="0" w:color="000000"/>
              <w:right w:val="nil"/>
              <w:tl2br w:val="nil"/>
              <w:tr2bl w:val="nil"/>
            </w:tcBorders>
            <w:shd w:val="clear" w:color="auto" w:fill="FFFF00"/>
            <w:tcMar>
              <w:left w:w="101" w:type="dxa"/>
              <w:right w:w="101" w:type="dxa"/>
            </w:tcMar>
            <w:vAlign w:val="bottom"/>
          </w:tcPr>
          <w:p w14:paraId="193B9D95" w14:textId="77777777" w:rsidR="003F0EEA" w:rsidRPr="00A6389F" w:rsidRDefault="00FB7D0B">
            <w:pPr>
              <w:jc w:val="right"/>
              <w:rPr>
                <w:rFonts w:ascii="Arial" w:eastAsia="Arial" w:hAnsi="Arial" w:cs="Arial"/>
                <w:color w:val="000000"/>
                <w:sz w:val="16"/>
              </w:rPr>
            </w:pPr>
            <w:r w:rsidRPr="00A6389F">
              <w:rPr>
                <w:rFonts w:ascii="Arial" w:eastAsia="Arial" w:hAnsi="Arial" w:cs="Arial"/>
                <w:color w:val="000000"/>
                <w:sz w:val="16"/>
              </w:rPr>
              <w:t>- </w:t>
            </w:r>
          </w:p>
        </w:tc>
        <w:tc>
          <w:tcPr>
            <w:tcW w:w="915"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1F190AFD" w14:textId="77777777" w:rsidR="003F0EEA" w:rsidRPr="00A6389F" w:rsidRDefault="00FB7D0B">
            <w:pPr>
              <w:jc w:val="right"/>
              <w:rPr>
                <w:rFonts w:ascii="Arial" w:eastAsia="Arial" w:hAnsi="Arial" w:cs="Arial"/>
                <w:color w:val="000000"/>
                <w:sz w:val="16"/>
              </w:rPr>
            </w:pPr>
            <w:r w:rsidRPr="00A6389F">
              <w:rPr>
                <w:rFonts w:ascii="Arial" w:eastAsia="Arial" w:hAnsi="Arial" w:cs="Arial"/>
                <w:color w:val="000000"/>
                <w:sz w:val="16"/>
              </w:rPr>
              <w:t>- </w:t>
            </w:r>
          </w:p>
        </w:tc>
        <w:tc>
          <w:tcPr>
            <w:tcW w:w="915"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1EC745AF" w14:textId="77777777" w:rsidR="003F0EEA" w:rsidRPr="00A6389F" w:rsidRDefault="00FB7D0B">
            <w:pPr>
              <w:jc w:val="right"/>
              <w:rPr>
                <w:rFonts w:ascii="Arial" w:eastAsia="Arial" w:hAnsi="Arial" w:cs="Arial"/>
                <w:color w:val="000000"/>
                <w:sz w:val="16"/>
              </w:rPr>
            </w:pPr>
            <w:r w:rsidRPr="00A6389F">
              <w:rPr>
                <w:rFonts w:ascii="Arial" w:eastAsia="Arial" w:hAnsi="Arial" w:cs="Arial"/>
                <w:color w:val="000000"/>
                <w:sz w:val="16"/>
              </w:rPr>
              <w:t>- </w:t>
            </w:r>
          </w:p>
        </w:tc>
        <w:tc>
          <w:tcPr>
            <w:tcW w:w="915"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5DC8FFC6" w14:textId="77777777" w:rsidR="003F0EEA" w:rsidRPr="00A6389F" w:rsidRDefault="00FB7D0B">
            <w:pPr>
              <w:jc w:val="right"/>
              <w:rPr>
                <w:rFonts w:ascii="Arial" w:eastAsia="Arial" w:hAnsi="Arial" w:cs="Arial"/>
                <w:color w:val="000000"/>
                <w:sz w:val="16"/>
              </w:rPr>
            </w:pPr>
            <w:r w:rsidRPr="00A6389F">
              <w:rPr>
                <w:rFonts w:ascii="Arial" w:eastAsia="Arial" w:hAnsi="Arial" w:cs="Arial"/>
                <w:color w:val="000000"/>
                <w:sz w:val="16"/>
              </w:rPr>
              <w:t>- </w:t>
            </w:r>
          </w:p>
        </w:tc>
      </w:tr>
      <w:tr w:rsidR="00FB7D0B" w14:paraId="0BD9BE70" w14:textId="77777777" w:rsidTr="00FB7D0B">
        <w:trPr>
          <w:trHeight w:val="225"/>
        </w:trPr>
        <w:tc>
          <w:tcPr>
            <w:tcW w:w="3510" w:type="dxa"/>
            <w:gridSpan w:val="3"/>
            <w:tcBorders>
              <w:top w:val="nil"/>
              <w:left w:val="nil"/>
              <w:bottom w:val="nil"/>
              <w:right w:val="nil"/>
              <w:tl2br w:val="nil"/>
              <w:tr2bl w:val="nil"/>
            </w:tcBorders>
            <w:shd w:val="clear" w:color="auto" w:fill="FFFFFF"/>
            <w:tcMar>
              <w:left w:w="101" w:type="dxa"/>
              <w:right w:w="101" w:type="dxa"/>
            </w:tcMar>
            <w:vAlign w:val="bottom"/>
          </w:tcPr>
          <w:p w14:paraId="113A2192" w14:textId="77777777" w:rsidR="003F0EEA" w:rsidRPr="00A6389F" w:rsidRDefault="00FB7D0B">
            <w:pPr>
              <w:rPr>
                <w:rFonts w:ascii="Arial" w:eastAsia="Arial" w:hAnsi="Arial" w:cs="Arial"/>
                <w:color w:val="000000"/>
                <w:sz w:val="16"/>
              </w:rPr>
            </w:pPr>
            <w:r w:rsidRPr="00A6389F">
              <w:rPr>
                <w:rFonts w:ascii="Arial" w:eastAsia="Arial" w:hAnsi="Arial" w:cs="Arial"/>
                <w:b/>
                <w:color w:val="000000"/>
                <w:sz w:val="16"/>
              </w:rPr>
              <w:t xml:space="preserve">Total other comprehensive income </w:t>
            </w:r>
          </w:p>
        </w:tc>
        <w:tc>
          <w:tcPr>
            <w:tcW w:w="915"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7E268E84" w14:textId="77777777" w:rsidR="003F0EEA" w:rsidRPr="00A6389F" w:rsidRDefault="00FB7D0B">
            <w:pPr>
              <w:jc w:val="right"/>
              <w:rPr>
                <w:rFonts w:ascii="Arial" w:eastAsia="Arial" w:hAnsi="Arial" w:cs="Arial"/>
                <w:b/>
                <w:color w:val="000000"/>
                <w:sz w:val="16"/>
                <w:vertAlign w:val="superscript"/>
              </w:rPr>
            </w:pPr>
            <w:r w:rsidRPr="00A6389F">
              <w:rPr>
                <w:rFonts w:ascii="Arial" w:eastAsia="Arial" w:hAnsi="Arial" w:cs="Arial"/>
                <w:b/>
                <w:color w:val="000000"/>
                <w:sz w:val="16"/>
              </w:rPr>
              <w:t>- </w:t>
            </w:r>
          </w:p>
        </w:tc>
        <w:tc>
          <w:tcPr>
            <w:tcW w:w="915" w:type="dxa"/>
            <w:tcBorders>
              <w:top w:val="single" w:sz="6" w:space="0" w:color="000000"/>
              <w:left w:val="nil"/>
              <w:bottom w:val="single" w:sz="6" w:space="0" w:color="000000"/>
              <w:right w:val="nil"/>
              <w:tl2br w:val="nil"/>
              <w:tr2bl w:val="nil"/>
            </w:tcBorders>
            <w:shd w:val="clear" w:color="auto" w:fill="FFFF00"/>
            <w:tcMar>
              <w:left w:w="101" w:type="dxa"/>
              <w:right w:w="101" w:type="dxa"/>
            </w:tcMar>
            <w:vAlign w:val="bottom"/>
          </w:tcPr>
          <w:p w14:paraId="283662CE" w14:textId="77777777" w:rsidR="003F0EEA" w:rsidRPr="00A6389F" w:rsidRDefault="00FB7D0B">
            <w:pPr>
              <w:jc w:val="right"/>
              <w:rPr>
                <w:rFonts w:ascii="Arial" w:eastAsia="Arial" w:hAnsi="Arial" w:cs="Arial"/>
                <w:b/>
                <w:color w:val="000000"/>
                <w:sz w:val="16"/>
              </w:rPr>
            </w:pPr>
            <w:r w:rsidRPr="00A6389F">
              <w:rPr>
                <w:rFonts w:ascii="Arial" w:eastAsia="Arial" w:hAnsi="Arial" w:cs="Arial"/>
                <w:b/>
                <w:color w:val="000000"/>
                <w:sz w:val="16"/>
              </w:rPr>
              <w:t>- </w:t>
            </w:r>
          </w:p>
        </w:tc>
        <w:tc>
          <w:tcPr>
            <w:tcW w:w="915"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49792E42" w14:textId="77777777" w:rsidR="003F0EEA" w:rsidRPr="00A6389F" w:rsidRDefault="00FB7D0B">
            <w:pPr>
              <w:jc w:val="right"/>
              <w:rPr>
                <w:rFonts w:ascii="Arial" w:eastAsia="Arial" w:hAnsi="Arial" w:cs="Arial"/>
                <w:b/>
                <w:color w:val="000000"/>
                <w:sz w:val="16"/>
              </w:rPr>
            </w:pPr>
            <w:r w:rsidRPr="00A6389F">
              <w:rPr>
                <w:rFonts w:ascii="Arial" w:eastAsia="Arial" w:hAnsi="Arial" w:cs="Arial"/>
                <w:b/>
                <w:color w:val="000000"/>
                <w:sz w:val="16"/>
              </w:rPr>
              <w:t>- </w:t>
            </w:r>
          </w:p>
        </w:tc>
        <w:tc>
          <w:tcPr>
            <w:tcW w:w="915"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48F0875F" w14:textId="77777777" w:rsidR="003F0EEA" w:rsidRPr="00A6389F" w:rsidRDefault="00FB7D0B">
            <w:pPr>
              <w:jc w:val="right"/>
              <w:rPr>
                <w:rFonts w:ascii="Arial" w:eastAsia="Arial" w:hAnsi="Arial" w:cs="Arial"/>
                <w:b/>
                <w:color w:val="000000"/>
                <w:sz w:val="16"/>
              </w:rPr>
            </w:pPr>
            <w:r w:rsidRPr="00A6389F">
              <w:rPr>
                <w:rFonts w:ascii="Arial" w:eastAsia="Arial" w:hAnsi="Arial" w:cs="Arial"/>
                <w:b/>
                <w:color w:val="000000"/>
                <w:sz w:val="16"/>
              </w:rPr>
              <w:t>- </w:t>
            </w:r>
          </w:p>
        </w:tc>
        <w:tc>
          <w:tcPr>
            <w:tcW w:w="915"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4E8628D8" w14:textId="77777777" w:rsidR="003F0EEA" w:rsidRPr="00A6389F" w:rsidRDefault="00FB7D0B">
            <w:pPr>
              <w:jc w:val="right"/>
              <w:rPr>
                <w:rFonts w:ascii="Arial" w:eastAsia="Arial" w:hAnsi="Arial" w:cs="Arial"/>
                <w:b/>
                <w:color w:val="000000"/>
                <w:sz w:val="16"/>
              </w:rPr>
            </w:pPr>
            <w:r w:rsidRPr="00A6389F">
              <w:rPr>
                <w:rFonts w:ascii="Arial" w:eastAsia="Arial" w:hAnsi="Arial" w:cs="Arial"/>
                <w:b/>
                <w:color w:val="000000"/>
                <w:sz w:val="16"/>
              </w:rPr>
              <w:t>- </w:t>
            </w:r>
          </w:p>
        </w:tc>
      </w:tr>
      <w:tr w:rsidR="00724034" w14:paraId="56CE2B83" w14:textId="77777777">
        <w:trPr>
          <w:trHeight w:val="225"/>
        </w:trPr>
        <w:tc>
          <w:tcPr>
            <w:tcW w:w="180" w:type="dxa"/>
            <w:tcBorders>
              <w:top w:val="nil"/>
              <w:left w:val="nil"/>
              <w:bottom w:val="nil"/>
              <w:right w:val="nil"/>
              <w:tl2br w:val="nil"/>
              <w:tr2bl w:val="nil"/>
            </w:tcBorders>
            <w:shd w:val="clear" w:color="auto" w:fill="FFFFFF"/>
            <w:tcMar>
              <w:left w:w="101" w:type="dxa"/>
              <w:right w:w="101" w:type="dxa"/>
            </w:tcMar>
            <w:vAlign w:val="bottom"/>
          </w:tcPr>
          <w:p w14:paraId="3B6B8B9B" w14:textId="77777777" w:rsidR="003F0EEA" w:rsidRPr="00A6389F" w:rsidRDefault="003F0EEA">
            <w:pPr>
              <w:rPr>
                <w:rFonts w:ascii="Arial" w:eastAsia="Arial" w:hAnsi="Arial" w:cs="Arial"/>
                <w:b/>
                <w:color w:val="000000"/>
                <w:sz w:val="16"/>
              </w:rPr>
            </w:pPr>
          </w:p>
        </w:tc>
        <w:tc>
          <w:tcPr>
            <w:tcW w:w="180" w:type="dxa"/>
            <w:tcBorders>
              <w:top w:val="nil"/>
              <w:left w:val="nil"/>
              <w:bottom w:val="nil"/>
              <w:right w:val="nil"/>
              <w:tl2br w:val="nil"/>
              <w:tr2bl w:val="nil"/>
            </w:tcBorders>
            <w:shd w:val="clear" w:color="auto" w:fill="FFFFFF"/>
            <w:tcMar>
              <w:left w:w="101" w:type="dxa"/>
              <w:right w:w="101" w:type="dxa"/>
            </w:tcMar>
            <w:vAlign w:val="bottom"/>
          </w:tcPr>
          <w:p w14:paraId="27D786A3" w14:textId="77777777" w:rsidR="003F0EEA" w:rsidRPr="00A6389F" w:rsidRDefault="003F0EEA">
            <w:pPr>
              <w:rPr>
                <w:rFonts w:ascii="Arial" w:eastAsia="Arial" w:hAnsi="Arial" w:cs="Arial"/>
                <w:b/>
                <w:color w:val="000000"/>
                <w:sz w:val="16"/>
              </w:rPr>
            </w:pPr>
          </w:p>
        </w:tc>
        <w:tc>
          <w:tcPr>
            <w:tcW w:w="3150" w:type="dxa"/>
            <w:tcBorders>
              <w:top w:val="nil"/>
              <w:left w:val="nil"/>
              <w:bottom w:val="nil"/>
              <w:right w:val="nil"/>
              <w:tl2br w:val="nil"/>
              <w:tr2bl w:val="nil"/>
            </w:tcBorders>
            <w:shd w:val="clear" w:color="auto" w:fill="FFFFFF"/>
            <w:tcMar>
              <w:left w:w="101" w:type="dxa"/>
              <w:right w:w="101" w:type="dxa"/>
            </w:tcMar>
            <w:vAlign w:val="bottom"/>
          </w:tcPr>
          <w:p w14:paraId="1254E014" w14:textId="77777777" w:rsidR="003F0EEA" w:rsidRPr="00A6389F" w:rsidRDefault="003F0EEA">
            <w:pPr>
              <w:rPr>
                <w:rFonts w:ascii="Arial" w:eastAsia="Arial" w:hAnsi="Arial" w:cs="Arial"/>
                <w:b/>
                <w:color w:val="000000"/>
                <w:sz w:val="16"/>
              </w:rPr>
            </w:pPr>
          </w:p>
        </w:tc>
        <w:tc>
          <w:tcPr>
            <w:tcW w:w="91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5D250FF8" w14:textId="77777777" w:rsidR="003F0EEA" w:rsidRPr="00A6389F" w:rsidRDefault="003F0EEA">
            <w:pPr>
              <w:rPr>
                <w:rFonts w:ascii="Arial" w:eastAsia="Arial" w:hAnsi="Arial" w:cs="Arial"/>
                <w:b/>
                <w:color w:val="000000"/>
                <w:sz w:val="16"/>
                <w:vertAlign w:val="superscript"/>
              </w:rPr>
            </w:pPr>
          </w:p>
        </w:tc>
        <w:tc>
          <w:tcPr>
            <w:tcW w:w="915" w:type="dxa"/>
            <w:tcBorders>
              <w:top w:val="single" w:sz="6" w:space="0" w:color="000000"/>
              <w:left w:val="nil"/>
              <w:bottom w:val="nil"/>
              <w:right w:val="nil"/>
              <w:tl2br w:val="nil"/>
              <w:tr2bl w:val="nil"/>
            </w:tcBorders>
            <w:shd w:val="clear" w:color="auto" w:fill="FFFF00"/>
            <w:tcMar>
              <w:left w:w="101" w:type="dxa"/>
              <w:right w:w="101" w:type="dxa"/>
            </w:tcMar>
            <w:vAlign w:val="bottom"/>
          </w:tcPr>
          <w:p w14:paraId="71E2797A" w14:textId="77777777" w:rsidR="003F0EEA" w:rsidRPr="00A6389F" w:rsidRDefault="003F0EEA">
            <w:pPr>
              <w:rPr>
                <w:rFonts w:ascii="Arial" w:eastAsia="Arial" w:hAnsi="Arial" w:cs="Arial"/>
                <w:b/>
                <w:color w:val="000000"/>
                <w:sz w:val="16"/>
                <w:vertAlign w:val="superscript"/>
              </w:rPr>
            </w:pPr>
          </w:p>
        </w:tc>
        <w:tc>
          <w:tcPr>
            <w:tcW w:w="91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185B3C1A" w14:textId="77777777" w:rsidR="003F0EEA" w:rsidRPr="00A6389F" w:rsidRDefault="003F0EEA">
            <w:pPr>
              <w:rPr>
                <w:rFonts w:ascii="Arial" w:eastAsia="Arial" w:hAnsi="Arial" w:cs="Arial"/>
                <w:b/>
                <w:color w:val="000000"/>
                <w:sz w:val="16"/>
                <w:vertAlign w:val="superscript"/>
              </w:rPr>
            </w:pPr>
          </w:p>
        </w:tc>
        <w:tc>
          <w:tcPr>
            <w:tcW w:w="91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7F1D71CE" w14:textId="77777777" w:rsidR="003F0EEA" w:rsidRPr="00A6389F" w:rsidRDefault="003F0EEA">
            <w:pPr>
              <w:rPr>
                <w:rFonts w:ascii="Arial" w:eastAsia="Arial" w:hAnsi="Arial" w:cs="Arial"/>
                <w:b/>
                <w:color w:val="000000"/>
                <w:sz w:val="16"/>
                <w:vertAlign w:val="superscript"/>
              </w:rPr>
            </w:pPr>
          </w:p>
        </w:tc>
        <w:tc>
          <w:tcPr>
            <w:tcW w:w="91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27A3ED2A" w14:textId="77777777" w:rsidR="003F0EEA" w:rsidRPr="00A6389F" w:rsidRDefault="003F0EEA">
            <w:pPr>
              <w:rPr>
                <w:rFonts w:ascii="Arial" w:eastAsia="Arial" w:hAnsi="Arial" w:cs="Arial"/>
                <w:b/>
                <w:color w:val="000000"/>
                <w:sz w:val="16"/>
                <w:vertAlign w:val="superscript"/>
              </w:rPr>
            </w:pPr>
          </w:p>
        </w:tc>
      </w:tr>
      <w:tr w:rsidR="00FB7D0B" w14:paraId="74557786" w14:textId="77777777" w:rsidTr="00FB7D0B">
        <w:trPr>
          <w:trHeight w:val="225"/>
        </w:trPr>
        <w:tc>
          <w:tcPr>
            <w:tcW w:w="3510" w:type="dxa"/>
            <w:gridSpan w:val="3"/>
            <w:tcBorders>
              <w:top w:val="nil"/>
              <w:left w:val="nil"/>
              <w:bottom w:val="nil"/>
              <w:right w:val="nil"/>
              <w:tl2br w:val="nil"/>
              <w:tr2bl w:val="nil"/>
            </w:tcBorders>
            <w:shd w:val="clear" w:color="auto" w:fill="FFFFFF"/>
            <w:tcMar>
              <w:left w:w="101" w:type="dxa"/>
              <w:right w:w="101" w:type="dxa"/>
            </w:tcMar>
            <w:vAlign w:val="bottom"/>
          </w:tcPr>
          <w:p w14:paraId="3E6836D4" w14:textId="77777777" w:rsidR="003F0EEA" w:rsidRPr="00A6389F" w:rsidRDefault="00FB7D0B">
            <w:pPr>
              <w:rPr>
                <w:rFonts w:ascii="Arial" w:eastAsia="Arial" w:hAnsi="Arial" w:cs="Arial"/>
                <w:b/>
                <w:color w:val="000000"/>
                <w:sz w:val="16"/>
                <w:vertAlign w:val="superscript"/>
              </w:rPr>
            </w:pPr>
            <w:r w:rsidRPr="00A6389F">
              <w:rPr>
                <w:rFonts w:ascii="Arial" w:eastAsia="Arial" w:hAnsi="Arial" w:cs="Arial"/>
                <w:b/>
                <w:color w:val="000000"/>
                <w:sz w:val="16"/>
              </w:rPr>
              <w:t>Total comprehensive income (loss)</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3F0C2E9E" w14:textId="77777777" w:rsidR="003F0EEA" w:rsidRPr="00A6389F" w:rsidRDefault="003F0EEA">
            <w:pPr>
              <w:rPr>
                <w:rFonts w:ascii="Arial" w:eastAsia="Arial" w:hAnsi="Arial" w:cs="Arial"/>
                <w:b/>
                <w:color w:val="000000"/>
                <w:sz w:val="16"/>
                <w:vertAlign w:val="superscript"/>
              </w:rPr>
            </w:pPr>
          </w:p>
        </w:tc>
        <w:tc>
          <w:tcPr>
            <w:tcW w:w="915" w:type="dxa"/>
            <w:tcBorders>
              <w:top w:val="nil"/>
              <w:left w:val="nil"/>
              <w:bottom w:val="nil"/>
              <w:right w:val="nil"/>
              <w:tl2br w:val="nil"/>
              <w:tr2bl w:val="nil"/>
            </w:tcBorders>
            <w:shd w:val="clear" w:color="auto" w:fill="FFFF00"/>
            <w:tcMar>
              <w:left w:w="101" w:type="dxa"/>
              <w:right w:w="101" w:type="dxa"/>
            </w:tcMar>
            <w:vAlign w:val="bottom"/>
          </w:tcPr>
          <w:p w14:paraId="516547CD" w14:textId="77777777" w:rsidR="003F0EEA" w:rsidRPr="00A6389F" w:rsidRDefault="003F0EEA">
            <w:pPr>
              <w:rPr>
                <w:rFonts w:ascii="Arial" w:eastAsia="Arial" w:hAnsi="Arial" w:cs="Arial"/>
                <w:b/>
                <w:color w:val="000000"/>
                <w:sz w:val="16"/>
                <w:vertAlign w:val="superscript"/>
              </w:rPr>
            </w:pP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35806C99" w14:textId="77777777" w:rsidR="003F0EEA" w:rsidRPr="00A6389F" w:rsidRDefault="003F0EEA">
            <w:pPr>
              <w:rPr>
                <w:rFonts w:ascii="Arial" w:eastAsia="Arial" w:hAnsi="Arial" w:cs="Arial"/>
                <w:b/>
                <w:color w:val="000000"/>
                <w:sz w:val="16"/>
                <w:vertAlign w:val="superscript"/>
              </w:rPr>
            </w:pP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1AD2FD5B" w14:textId="77777777" w:rsidR="003F0EEA" w:rsidRPr="00A6389F" w:rsidRDefault="003F0EEA">
            <w:pPr>
              <w:rPr>
                <w:rFonts w:ascii="Arial" w:eastAsia="Arial" w:hAnsi="Arial" w:cs="Arial"/>
                <w:b/>
                <w:color w:val="000000"/>
                <w:sz w:val="16"/>
                <w:vertAlign w:val="superscript"/>
              </w:rPr>
            </w:pP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2B4E4262" w14:textId="77777777" w:rsidR="003F0EEA" w:rsidRPr="00A6389F" w:rsidRDefault="003F0EEA">
            <w:pPr>
              <w:rPr>
                <w:rFonts w:ascii="Arial" w:eastAsia="Arial" w:hAnsi="Arial" w:cs="Arial"/>
                <w:b/>
                <w:color w:val="000000"/>
                <w:sz w:val="16"/>
                <w:vertAlign w:val="superscript"/>
              </w:rPr>
            </w:pPr>
          </w:p>
        </w:tc>
      </w:tr>
      <w:tr w:rsidR="00FB7D0B" w14:paraId="12A3555F" w14:textId="77777777" w:rsidTr="00FB7D0B">
        <w:trPr>
          <w:trHeight w:val="225"/>
        </w:trPr>
        <w:tc>
          <w:tcPr>
            <w:tcW w:w="180" w:type="dxa"/>
            <w:tcBorders>
              <w:top w:val="nil"/>
              <w:left w:val="nil"/>
              <w:bottom w:val="nil"/>
              <w:right w:val="nil"/>
              <w:tl2br w:val="nil"/>
              <w:tr2bl w:val="nil"/>
            </w:tcBorders>
            <w:shd w:val="clear" w:color="auto" w:fill="FFFFFF"/>
            <w:tcMar>
              <w:left w:w="101" w:type="dxa"/>
              <w:right w:w="101" w:type="dxa"/>
            </w:tcMar>
            <w:vAlign w:val="bottom"/>
          </w:tcPr>
          <w:p w14:paraId="0DD74C4A" w14:textId="77777777" w:rsidR="003F0EEA" w:rsidRPr="00A6389F" w:rsidRDefault="003F0EEA">
            <w:pPr>
              <w:rPr>
                <w:rFonts w:ascii="Arial" w:eastAsia="Arial" w:hAnsi="Arial" w:cs="Arial"/>
                <w:b/>
                <w:color w:val="000000"/>
                <w:sz w:val="16"/>
                <w:vertAlign w:val="superscript"/>
              </w:rPr>
            </w:pPr>
          </w:p>
        </w:tc>
        <w:tc>
          <w:tcPr>
            <w:tcW w:w="3330" w:type="dxa"/>
            <w:gridSpan w:val="2"/>
            <w:tcBorders>
              <w:top w:val="nil"/>
              <w:left w:val="nil"/>
              <w:bottom w:val="nil"/>
              <w:right w:val="nil"/>
              <w:tl2br w:val="nil"/>
              <w:tr2bl w:val="nil"/>
            </w:tcBorders>
            <w:shd w:val="clear" w:color="auto" w:fill="FFFFFF"/>
            <w:tcMar>
              <w:left w:w="101" w:type="dxa"/>
              <w:right w:w="101" w:type="dxa"/>
            </w:tcMar>
            <w:vAlign w:val="bottom"/>
          </w:tcPr>
          <w:p w14:paraId="1796690F" w14:textId="77777777" w:rsidR="003F0EEA" w:rsidRPr="00A6389F" w:rsidRDefault="00FB7D0B">
            <w:pPr>
              <w:rPr>
                <w:rFonts w:ascii="Arial" w:eastAsia="Arial" w:hAnsi="Arial" w:cs="Arial"/>
                <w:b/>
                <w:color w:val="000000"/>
                <w:sz w:val="16"/>
                <w:vertAlign w:val="superscript"/>
              </w:rPr>
            </w:pPr>
            <w:r w:rsidRPr="00A6389F">
              <w:rPr>
                <w:rFonts w:ascii="Arial" w:eastAsia="Arial" w:hAnsi="Arial" w:cs="Arial"/>
                <w:b/>
                <w:color w:val="000000"/>
                <w:sz w:val="16"/>
              </w:rPr>
              <w:t>attributable to the</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00492471" w14:textId="77777777" w:rsidR="003F0EEA" w:rsidRPr="00A6389F" w:rsidRDefault="003F0EEA">
            <w:pPr>
              <w:rPr>
                <w:rFonts w:ascii="Arial" w:eastAsia="Arial" w:hAnsi="Arial" w:cs="Arial"/>
                <w:b/>
                <w:color w:val="000000"/>
                <w:sz w:val="16"/>
                <w:vertAlign w:val="superscript"/>
              </w:rPr>
            </w:pPr>
          </w:p>
        </w:tc>
        <w:tc>
          <w:tcPr>
            <w:tcW w:w="915" w:type="dxa"/>
            <w:tcBorders>
              <w:top w:val="nil"/>
              <w:left w:val="nil"/>
              <w:bottom w:val="nil"/>
              <w:right w:val="nil"/>
              <w:tl2br w:val="nil"/>
              <w:tr2bl w:val="nil"/>
            </w:tcBorders>
            <w:shd w:val="clear" w:color="auto" w:fill="FFFF00"/>
            <w:tcMar>
              <w:left w:w="101" w:type="dxa"/>
              <w:right w:w="101" w:type="dxa"/>
            </w:tcMar>
            <w:vAlign w:val="bottom"/>
          </w:tcPr>
          <w:p w14:paraId="1107BB2D" w14:textId="77777777" w:rsidR="003F0EEA" w:rsidRPr="00A6389F" w:rsidRDefault="003F0EEA">
            <w:pPr>
              <w:rPr>
                <w:rFonts w:ascii="Arial" w:eastAsia="Arial" w:hAnsi="Arial" w:cs="Arial"/>
                <w:b/>
                <w:color w:val="000000"/>
                <w:sz w:val="16"/>
                <w:vertAlign w:val="superscript"/>
              </w:rPr>
            </w:pP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70A462B2" w14:textId="77777777" w:rsidR="003F0EEA" w:rsidRPr="00A6389F" w:rsidRDefault="003F0EEA">
            <w:pPr>
              <w:rPr>
                <w:rFonts w:ascii="Arial" w:eastAsia="Arial" w:hAnsi="Arial" w:cs="Arial"/>
                <w:b/>
                <w:color w:val="000000"/>
                <w:sz w:val="16"/>
                <w:vertAlign w:val="superscript"/>
              </w:rPr>
            </w:pP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6D6B3B75" w14:textId="77777777" w:rsidR="003F0EEA" w:rsidRPr="00A6389F" w:rsidRDefault="003F0EEA">
            <w:pPr>
              <w:rPr>
                <w:rFonts w:ascii="Arial" w:eastAsia="Arial" w:hAnsi="Arial" w:cs="Arial"/>
                <w:b/>
                <w:color w:val="000000"/>
                <w:sz w:val="16"/>
                <w:vertAlign w:val="superscript"/>
              </w:rPr>
            </w:pP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45D4E007" w14:textId="77777777" w:rsidR="003F0EEA" w:rsidRPr="00A6389F" w:rsidRDefault="003F0EEA">
            <w:pPr>
              <w:rPr>
                <w:rFonts w:ascii="Arial" w:eastAsia="Arial" w:hAnsi="Arial" w:cs="Arial"/>
                <w:b/>
                <w:color w:val="000000"/>
                <w:sz w:val="16"/>
                <w:vertAlign w:val="superscript"/>
              </w:rPr>
            </w:pPr>
          </w:p>
        </w:tc>
      </w:tr>
      <w:tr w:rsidR="00FB7D0B" w14:paraId="4C0E8FE6" w14:textId="77777777" w:rsidTr="00FB7D0B">
        <w:trPr>
          <w:trHeight w:val="225"/>
        </w:trPr>
        <w:tc>
          <w:tcPr>
            <w:tcW w:w="180"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1F0ED569" w14:textId="77777777" w:rsidR="003F0EEA" w:rsidRPr="00A6389F" w:rsidRDefault="003F0EEA">
            <w:pPr>
              <w:rPr>
                <w:rFonts w:ascii="Arial" w:eastAsia="Arial" w:hAnsi="Arial" w:cs="Arial"/>
                <w:b/>
                <w:color w:val="000000"/>
                <w:sz w:val="16"/>
                <w:vertAlign w:val="superscript"/>
              </w:rPr>
            </w:pPr>
          </w:p>
        </w:tc>
        <w:tc>
          <w:tcPr>
            <w:tcW w:w="3330" w:type="dxa"/>
            <w:gridSpan w:val="2"/>
            <w:tcBorders>
              <w:top w:val="nil"/>
              <w:left w:val="nil"/>
              <w:bottom w:val="single" w:sz="6" w:space="0" w:color="000000"/>
              <w:right w:val="nil"/>
              <w:tl2br w:val="nil"/>
              <w:tr2bl w:val="nil"/>
            </w:tcBorders>
            <w:shd w:val="clear" w:color="auto" w:fill="FFFFFF"/>
            <w:tcMar>
              <w:left w:w="101" w:type="dxa"/>
              <w:right w:w="101" w:type="dxa"/>
            </w:tcMar>
            <w:vAlign w:val="bottom"/>
          </w:tcPr>
          <w:p w14:paraId="171DE3F4" w14:textId="77777777" w:rsidR="003F0EEA" w:rsidRPr="00A6389F" w:rsidRDefault="00FB7D0B">
            <w:pPr>
              <w:rPr>
                <w:rFonts w:ascii="Arial" w:eastAsia="Arial" w:hAnsi="Arial" w:cs="Arial"/>
                <w:b/>
                <w:color w:val="000000"/>
                <w:sz w:val="16"/>
                <w:vertAlign w:val="superscript"/>
              </w:rPr>
            </w:pPr>
            <w:r w:rsidRPr="00A6389F">
              <w:rPr>
                <w:rFonts w:ascii="Arial" w:eastAsia="Arial" w:hAnsi="Arial" w:cs="Arial"/>
                <w:b/>
                <w:color w:val="000000"/>
                <w:sz w:val="16"/>
              </w:rPr>
              <w:t>Australian Government</w:t>
            </w:r>
          </w:p>
        </w:tc>
        <w:tc>
          <w:tcPr>
            <w:tcW w:w="915"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70BED411" w14:textId="77777777" w:rsidR="003F0EEA" w:rsidRPr="00A6389F" w:rsidRDefault="00FB7D0B">
            <w:pPr>
              <w:jc w:val="right"/>
              <w:rPr>
                <w:rFonts w:ascii="Arial" w:eastAsia="Arial" w:hAnsi="Arial" w:cs="Arial"/>
                <w:b/>
                <w:color w:val="000000"/>
                <w:sz w:val="16"/>
                <w:vertAlign w:val="superscript"/>
              </w:rPr>
            </w:pPr>
            <w:r w:rsidRPr="00A6389F">
              <w:rPr>
                <w:rFonts w:ascii="Arial" w:eastAsia="Arial" w:hAnsi="Arial" w:cs="Arial"/>
                <w:b/>
                <w:color w:val="000000"/>
                <w:sz w:val="16"/>
              </w:rPr>
              <w:t>(26,664)</w:t>
            </w:r>
          </w:p>
        </w:tc>
        <w:tc>
          <w:tcPr>
            <w:tcW w:w="915" w:type="dxa"/>
            <w:tcBorders>
              <w:top w:val="nil"/>
              <w:left w:val="nil"/>
              <w:bottom w:val="single" w:sz="6" w:space="0" w:color="000000"/>
              <w:right w:val="nil"/>
              <w:tl2br w:val="nil"/>
              <w:tr2bl w:val="nil"/>
            </w:tcBorders>
            <w:shd w:val="clear" w:color="auto" w:fill="FFFF00"/>
            <w:tcMar>
              <w:left w:w="101" w:type="dxa"/>
              <w:right w:w="101" w:type="dxa"/>
            </w:tcMar>
            <w:vAlign w:val="bottom"/>
          </w:tcPr>
          <w:p w14:paraId="63DA7481" w14:textId="77777777" w:rsidR="003F0EEA" w:rsidRPr="00A6389F" w:rsidRDefault="00FB7D0B">
            <w:pPr>
              <w:jc w:val="right"/>
              <w:rPr>
                <w:rFonts w:ascii="Arial" w:eastAsia="Arial" w:hAnsi="Arial" w:cs="Arial"/>
                <w:b/>
                <w:color w:val="000000"/>
                <w:sz w:val="16"/>
              </w:rPr>
            </w:pPr>
            <w:r w:rsidRPr="00A6389F">
              <w:rPr>
                <w:rFonts w:ascii="Arial" w:eastAsia="Arial" w:hAnsi="Arial" w:cs="Arial"/>
                <w:b/>
                <w:color w:val="000000"/>
                <w:sz w:val="16"/>
              </w:rPr>
              <w:t>(29,161)</w:t>
            </w:r>
          </w:p>
        </w:tc>
        <w:tc>
          <w:tcPr>
            <w:tcW w:w="915"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4EB45B18" w14:textId="77777777" w:rsidR="003F0EEA" w:rsidRPr="00A6389F" w:rsidRDefault="00FB7D0B">
            <w:pPr>
              <w:jc w:val="right"/>
              <w:rPr>
                <w:rFonts w:ascii="Arial" w:eastAsia="Arial" w:hAnsi="Arial" w:cs="Arial"/>
                <w:b/>
                <w:color w:val="000000"/>
                <w:sz w:val="16"/>
              </w:rPr>
            </w:pPr>
            <w:r w:rsidRPr="00A6389F">
              <w:rPr>
                <w:rFonts w:ascii="Arial" w:eastAsia="Arial" w:hAnsi="Arial" w:cs="Arial"/>
                <w:b/>
                <w:color w:val="000000"/>
                <w:sz w:val="16"/>
              </w:rPr>
              <w:t>(24,776)</w:t>
            </w:r>
          </w:p>
        </w:tc>
        <w:tc>
          <w:tcPr>
            <w:tcW w:w="915"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78178693" w14:textId="77777777" w:rsidR="003F0EEA" w:rsidRPr="00A6389F" w:rsidRDefault="00FB7D0B">
            <w:pPr>
              <w:jc w:val="right"/>
              <w:rPr>
                <w:rFonts w:ascii="Arial" w:eastAsia="Arial" w:hAnsi="Arial" w:cs="Arial"/>
                <w:b/>
                <w:color w:val="000000"/>
                <w:sz w:val="16"/>
              </w:rPr>
            </w:pPr>
            <w:r w:rsidRPr="00A6389F">
              <w:rPr>
                <w:rFonts w:ascii="Arial" w:eastAsia="Arial" w:hAnsi="Arial" w:cs="Arial"/>
                <w:b/>
                <w:color w:val="000000"/>
                <w:sz w:val="16"/>
              </w:rPr>
              <w:t>(20,675)</w:t>
            </w:r>
          </w:p>
        </w:tc>
        <w:tc>
          <w:tcPr>
            <w:tcW w:w="915"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3992B3F5" w14:textId="77777777" w:rsidR="003F0EEA" w:rsidRPr="00A6389F" w:rsidRDefault="00FB7D0B">
            <w:pPr>
              <w:jc w:val="right"/>
              <w:rPr>
                <w:rFonts w:ascii="Arial" w:eastAsia="Arial" w:hAnsi="Arial" w:cs="Arial"/>
                <w:b/>
                <w:color w:val="000000"/>
                <w:sz w:val="16"/>
              </w:rPr>
            </w:pPr>
            <w:r w:rsidRPr="00A6389F">
              <w:rPr>
                <w:rFonts w:ascii="Arial" w:eastAsia="Arial" w:hAnsi="Arial" w:cs="Arial"/>
                <w:b/>
                <w:color w:val="000000"/>
                <w:sz w:val="16"/>
              </w:rPr>
              <w:t>(14,261)</w:t>
            </w:r>
          </w:p>
        </w:tc>
      </w:tr>
      <w:tr w:rsidR="00724034" w14:paraId="22AC1A41" w14:textId="77777777">
        <w:trPr>
          <w:trHeight w:val="225"/>
        </w:trPr>
        <w:tc>
          <w:tcPr>
            <w:tcW w:w="180"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65B358D9" w14:textId="77777777" w:rsidR="003F0EEA" w:rsidRPr="00A6389F" w:rsidRDefault="003F0EEA">
            <w:pPr>
              <w:rPr>
                <w:rFonts w:ascii="Arial" w:eastAsia="Arial" w:hAnsi="Arial" w:cs="Arial"/>
                <w:b/>
                <w:color w:val="000000"/>
                <w:sz w:val="16"/>
              </w:rPr>
            </w:pPr>
          </w:p>
        </w:tc>
        <w:tc>
          <w:tcPr>
            <w:tcW w:w="180"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2C64650F" w14:textId="77777777" w:rsidR="003F0EEA" w:rsidRPr="00A6389F" w:rsidRDefault="003F0EEA">
            <w:pPr>
              <w:rPr>
                <w:rFonts w:ascii="Arial" w:eastAsia="Arial" w:hAnsi="Arial" w:cs="Arial"/>
                <w:color w:val="000000"/>
                <w:sz w:val="16"/>
              </w:rPr>
            </w:pPr>
          </w:p>
        </w:tc>
        <w:tc>
          <w:tcPr>
            <w:tcW w:w="3150"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2285BD54" w14:textId="77777777" w:rsidR="003F0EEA" w:rsidRPr="00A6389F" w:rsidRDefault="003F0EEA">
            <w:pPr>
              <w:rPr>
                <w:rFonts w:ascii="Arial" w:eastAsia="Arial" w:hAnsi="Arial" w:cs="Arial"/>
                <w:color w:val="000000"/>
                <w:sz w:val="16"/>
              </w:rPr>
            </w:pPr>
          </w:p>
        </w:tc>
        <w:tc>
          <w:tcPr>
            <w:tcW w:w="915"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7FBD00ED" w14:textId="77777777" w:rsidR="003F0EEA" w:rsidRPr="00A6389F" w:rsidRDefault="003F0EEA">
            <w:pPr>
              <w:rPr>
                <w:rFonts w:ascii="Arial" w:eastAsia="Arial" w:hAnsi="Arial" w:cs="Arial"/>
                <w:color w:val="000000"/>
                <w:sz w:val="16"/>
                <w:vertAlign w:val="superscript"/>
              </w:rPr>
            </w:pPr>
          </w:p>
        </w:tc>
        <w:tc>
          <w:tcPr>
            <w:tcW w:w="915"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10D973E5" w14:textId="77777777" w:rsidR="003F0EEA" w:rsidRPr="00A6389F" w:rsidRDefault="003F0EEA">
            <w:pPr>
              <w:rPr>
                <w:rFonts w:ascii="Arial" w:eastAsia="Arial" w:hAnsi="Arial" w:cs="Arial"/>
                <w:color w:val="000000"/>
                <w:sz w:val="16"/>
                <w:vertAlign w:val="superscript"/>
              </w:rPr>
            </w:pPr>
          </w:p>
        </w:tc>
        <w:tc>
          <w:tcPr>
            <w:tcW w:w="915"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013FCBF9" w14:textId="77777777" w:rsidR="003F0EEA" w:rsidRPr="00A6389F" w:rsidRDefault="003F0EEA">
            <w:pPr>
              <w:rPr>
                <w:rFonts w:ascii="Arial" w:eastAsia="Arial" w:hAnsi="Arial" w:cs="Arial"/>
                <w:color w:val="000000"/>
                <w:sz w:val="16"/>
                <w:vertAlign w:val="superscript"/>
              </w:rPr>
            </w:pPr>
          </w:p>
        </w:tc>
        <w:tc>
          <w:tcPr>
            <w:tcW w:w="915"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0780B048" w14:textId="77777777" w:rsidR="003F0EEA" w:rsidRPr="00A6389F" w:rsidRDefault="003F0EEA">
            <w:pPr>
              <w:rPr>
                <w:rFonts w:ascii="Arial" w:eastAsia="Arial" w:hAnsi="Arial" w:cs="Arial"/>
                <w:color w:val="000000"/>
                <w:sz w:val="16"/>
                <w:vertAlign w:val="superscript"/>
              </w:rPr>
            </w:pPr>
          </w:p>
        </w:tc>
        <w:tc>
          <w:tcPr>
            <w:tcW w:w="915"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6EF75CB2" w14:textId="77777777" w:rsidR="003F0EEA" w:rsidRPr="00A6389F" w:rsidRDefault="003F0EEA">
            <w:pPr>
              <w:rPr>
                <w:rFonts w:ascii="Arial" w:eastAsia="Arial" w:hAnsi="Arial" w:cs="Arial"/>
                <w:color w:val="000000"/>
                <w:sz w:val="16"/>
                <w:vertAlign w:val="superscript"/>
              </w:rPr>
            </w:pPr>
          </w:p>
        </w:tc>
      </w:tr>
      <w:tr w:rsidR="00FB7D0B" w14:paraId="790A1017" w14:textId="77777777" w:rsidTr="00FB7D0B">
        <w:trPr>
          <w:trHeight w:val="225"/>
        </w:trPr>
        <w:tc>
          <w:tcPr>
            <w:tcW w:w="8085" w:type="dxa"/>
            <w:gridSpan w:val="8"/>
            <w:tcBorders>
              <w:top w:val="single" w:sz="6" w:space="0" w:color="000000"/>
              <w:left w:val="nil"/>
              <w:bottom w:val="nil"/>
              <w:right w:val="nil"/>
              <w:tl2br w:val="nil"/>
              <w:tr2bl w:val="nil"/>
            </w:tcBorders>
            <w:shd w:val="clear" w:color="auto" w:fill="FFFFFF"/>
            <w:tcMar>
              <w:left w:w="101" w:type="dxa"/>
              <w:right w:w="101" w:type="dxa"/>
            </w:tcMar>
            <w:vAlign w:val="bottom"/>
          </w:tcPr>
          <w:p w14:paraId="3F77FBF7" w14:textId="77777777" w:rsidR="003F0EEA" w:rsidRPr="00A6389F" w:rsidRDefault="00FB7D0B">
            <w:pPr>
              <w:rPr>
                <w:rFonts w:ascii="Arial" w:eastAsia="Arial" w:hAnsi="Arial" w:cs="Arial"/>
                <w:color w:val="000000"/>
                <w:sz w:val="16"/>
                <w:vertAlign w:val="superscript"/>
              </w:rPr>
            </w:pPr>
            <w:r w:rsidRPr="00A6389F">
              <w:rPr>
                <w:rFonts w:ascii="Arial" w:eastAsia="Arial" w:hAnsi="Arial" w:cs="Arial"/>
                <w:b/>
                <w:color w:val="000000"/>
                <w:sz w:val="16"/>
              </w:rPr>
              <w:t>Note: Impact of Net Cash Appropriation Arrangements</w:t>
            </w:r>
          </w:p>
        </w:tc>
      </w:tr>
      <w:tr w:rsidR="00724034" w14:paraId="19AD5F3C" w14:textId="77777777">
        <w:trPr>
          <w:trHeight w:val="225"/>
        </w:trPr>
        <w:tc>
          <w:tcPr>
            <w:tcW w:w="180" w:type="dxa"/>
            <w:tcBorders>
              <w:top w:val="nil"/>
              <w:left w:val="nil"/>
              <w:bottom w:val="nil"/>
              <w:right w:val="nil"/>
              <w:tl2br w:val="nil"/>
              <w:tr2bl w:val="nil"/>
            </w:tcBorders>
            <w:shd w:val="clear" w:color="auto" w:fill="FFFFFF"/>
            <w:tcMar>
              <w:left w:w="101" w:type="dxa"/>
              <w:right w:w="101" w:type="dxa"/>
            </w:tcMar>
            <w:vAlign w:val="bottom"/>
          </w:tcPr>
          <w:p w14:paraId="121828A3" w14:textId="77777777" w:rsidR="003F0EEA" w:rsidRPr="00A6389F" w:rsidRDefault="003F0EEA">
            <w:pPr>
              <w:rPr>
                <w:rFonts w:ascii="Arial" w:eastAsia="Arial" w:hAnsi="Arial" w:cs="Arial"/>
                <w:b/>
                <w:color w:val="000000"/>
                <w:sz w:val="16"/>
              </w:rPr>
            </w:pPr>
          </w:p>
        </w:tc>
        <w:tc>
          <w:tcPr>
            <w:tcW w:w="180" w:type="dxa"/>
            <w:tcBorders>
              <w:top w:val="nil"/>
              <w:left w:val="nil"/>
              <w:bottom w:val="nil"/>
              <w:right w:val="nil"/>
              <w:tl2br w:val="nil"/>
              <w:tr2bl w:val="nil"/>
            </w:tcBorders>
            <w:shd w:val="clear" w:color="auto" w:fill="FFFFFF"/>
            <w:tcMar>
              <w:left w:w="101" w:type="dxa"/>
              <w:right w:w="101" w:type="dxa"/>
            </w:tcMar>
            <w:vAlign w:val="bottom"/>
          </w:tcPr>
          <w:p w14:paraId="43DBA671" w14:textId="77777777" w:rsidR="003F0EEA" w:rsidRPr="00A6389F" w:rsidRDefault="003F0EEA">
            <w:pPr>
              <w:rPr>
                <w:rFonts w:ascii="Arial" w:eastAsia="Arial" w:hAnsi="Arial" w:cs="Arial"/>
                <w:color w:val="000000"/>
                <w:sz w:val="16"/>
              </w:rPr>
            </w:pPr>
          </w:p>
        </w:tc>
        <w:tc>
          <w:tcPr>
            <w:tcW w:w="3150" w:type="dxa"/>
            <w:tcBorders>
              <w:top w:val="nil"/>
              <w:left w:val="nil"/>
              <w:bottom w:val="nil"/>
              <w:right w:val="nil"/>
              <w:tl2br w:val="nil"/>
              <w:tr2bl w:val="nil"/>
            </w:tcBorders>
            <w:shd w:val="clear" w:color="auto" w:fill="FFFFFF"/>
            <w:tcMar>
              <w:left w:w="101" w:type="dxa"/>
              <w:right w:w="101" w:type="dxa"/>
            </w:tcMar>
            <w:vAlign w:val="bottom"/>
          </w:tcPr>
          <w:p w14:paraId="5C8D23DA" w14:textId="77777777" w:rsidR="003F0EEA" w:rsidRPr="00A6389F" w:rsidRDefault="003F0EEA">
            <w:pPr>
              <w:rPr>
                <w:rFonts w:ascii="Arial" w:eastAsia="Arial" w:hAnsi="Arial" w:cs="Arial"/>
                <w:color w:val="000000"/>
                <w:sz w:val="16"/>
              </w:rPr>
            </w:pPr>
          </w:p>
        </w:tc>
        <w:tc>
          <w:tcPr>
            <w:tcW w:w="91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2DA54421" w14:textId="77777777" w:rsidR="003F0EEA" w:rsidRPr="00A6389F" w:rsidRDefault="00FB7D0B">
            <w:pPr>
              <w:jc w:val="right"/>
              <w:rPr>
                <w:rFonts w:ascii="Arial" w:eastAsia="Arial" w:hAnsi="Arial" w:cs="Arial"/>
                <w:color w:val="000000"/>
                <w:sz w:val="16"/>
                <w:vertAlign w:val="superscript"/>
              </w:rPr>
            </w:pPr>
            <w:r w:rsidRPr="00A6389F">
              <w:rPr>
                <w:rFonts w:ascii="Arial" w:eastAsia="Arial" w:hAnsi="Arial" w:cs="Arial"/>
                <w:color w:val="000000"/>
                <w:sz w:val="16"/>
              </w:rPr>
              <w:t>2013-14</w:t>
            </w:r>
          </w:p>
        </w:tc>
        <w:tc>
          <w:tcPr>
            <w:tcW w:w="915" w:type="dxa"/>
            <w:tcBorders>
              <w:top w:val="single" w:sz="6" w:space="0" w:color="000000"/>
              <w:left w:val="nil"/>
              <w:bottom w:val="nil"/>
              <w:right w:val="nil"/>
              <w:tl2br w:val="nil"/>
              <w:tr2bl w:val="nil"/>
            </w:tcBorders>
            <w:shd w:val="clear" w:color="auto" w:fill="FFFF00"/>
            <w:tcMar>
              <w:left w:w="101" w:type="dxa"/>
              <w:right w:w="101" w:type="dxa"/>
            </w:tcMar>
            <w:vAlign w:val="bottom"/>
          </w:tcPr>
          <w:p w14:paraId="383368FA" w14:textId="77777777" w:rsidR="003F0EEA" w:rsidRPr="00A6389F" w:rsidRDefault="00FB7D0B">
            <w:pPr>
              <w:jc w:val="right"/>
              <w:rPr>
                <w:rFonts w:ascii="Arial" w:eastAsia="Arial" w:hAnsi="Arial" w:cs="Arial"/>
                <w:color w:val="000000"/>
                <w:sz w:val="16"/>
              </w:rPr>
            </w:pPr>
            <w:r w:rsidRPr="00A6389F">
              <w:rPr>
                <w:rFonts w:ascii="Arial" w:eastAsia="Arial" w:hAnsi="Arial" w:cs="Arial"/>
                <w:color w:val="000000"/>
                <w:sz w:val="16"/>
              </w:rPr>
              <w:t>2014-15</w:t>
            </w:r>
          </w:p>
        </w:tc>
        <w:tc>
          <w:tcPr>
            <w:tcW w:w="91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274F0122" w14:textId="77777777" w:rsidR="003F0EEA" w:rsidRPr="00A6389F" w:rsidRDefault="00FB7D0B">
            <w:pPr>
              <w:jc w:val="right"/>
              <w:rPr>
                <w:rFonts w:ascii="Arial" w:eastAsia="Arial" w:hAnsi="Arial" w:cs="Arial"/>
                <w:color w:val="000000"/>
                <w:sz w:val="16"/>
              </w:rPr>
            </w:pPr>
            <w:r w:rsidRPr="00A6389F">
              <w:rPr>
                <w:rFonts w:ascii="Arial" w:eastAsia="Arial" w:hAnsi="Arial" w:cs="Arial"/>
                <w:color w:val="000000"/>
                <w:sz w:val="16"/>
              </w:rPr>
              <w:t>2015-16</w:t>
            </w:r>
          </w:p>
        </w:tc>
        <w:tc>
          <w:tcPr>
            <w:tcW w:w="91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1CEB45AD" w14:textId="77777777" w:rsidR="003F0EEA" w:rsidRPr="00A6389F" w:rsidRDefault="00FB7D0B">
            <w:pPr>
              <w:jc w:val="right"/>
              <w:rPr>
                <w:rFonts w:ascii="Arial" w:eastAsia="Arial" w:hAnsi="Arial" w:cs="Arial"/>
                <w:color w:val="000000"/>
                <w:sz w:val="16"/>
              </w:rPr>
            </w:pPr>
            <w:r w:rsidRPr="00A6389F">
              <w:rPr>
                <w:rFonts w:ascii="Arial" w:eastAsia="Arial" w:hAnsi="Arial" w:cs="Arial"/>
                <w:color w:val="000000"/>
                <w:sz w:val="16"/>
              </w:rPr>
              <w:t>2016-17</w:t>
            </w:r>
          </w:p>
        </w:tc>
        <w:tc>
          <w:tcPr>
            <w:tcW w:w="91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08DCCCE7" w14:textId="77777777" w:rsidR="003F0EEA" w:rsidRPr="00A6389F" w:rsidRDefault="00FB7D0B">
            <w:pPr>
              <w:jc w:val="right"/>
              <w:rPr>
                <w:rFonts w:ascii="Arial" w:eastAsia="Arial" w:hAnsi="Arial" w:cs="Arial"/>
                <w:color w:val="000000"/>
                <w:sz w:val="16"/>
              </w:rPr>
            </w:pPr>
            <w:r w:rsidRPr="00A6389F">
              <w:rPr>
                <w:rFonts w:ascii="Arial" w:eastAsia="Arial" w:hAnsi="Arial" w:cs="Arial"/>
                <w:color w:val="000000"/>
                <w:sz w:val="16"/>
              </w:rPr>
              <w:t>2017-18</w:t>
            </w:r>
          </w:p>
        </w:tc>
      </w:tr>
      <w:tr w:rsidR="00724034" w14:paraId="7391C149" w14:textId="77777777">
        <w:trPr>
          <w:trHeight w:val="225"/>
        </w:trPr>
        <w:tc>
          <w:tcPr>
            <w:tcW w:w="180" w:type="dxa"/>
            <w:tcBorders>
              <w:top w:val="nil"/>
              <w:left w:val="nil"/>
              <w:bottom w:val="nil"/>
              <w:right w:val="nil"/>
              <w:tl2br w:val="nil"/>
              <w:tr2bl w:val="nil"/>
            </w:tcBorders>
            <w:shd w:val="clear" w:color="auto" w:fill="FFFFFF"/>
            <w:tcMar>
              <w:left w:w="101" w:type="dxa"/>
              <w:right w:w="101" w:type="dxa"/>
            </w:tcMar>
            <w:vAlign w:val="bottom"/>
          </w:tcPr>
          <w:p w14:paraId="2B2B45CF" w14:textId="77777777" w:rsidR="003F0EEA" w:rsidRPr="00A6389F" w:rsidRDefault="003F0EEA">
            <w:pPr>
              <w:rPr>
                <w:rFonts w:ascii="Arial" w:eastAsia="Arial" w:hAnsi="Arial" w:cs="Arial"/>
                <w:color w:val="000000"/>
                <w:sz w:val="16"/>
              </w:rPr>
            </w:pPr>
          </w:p>
        </w:tc>
        <w:tc>
          <w:tcPr>
            <w:tcW w:w="180" w:type="dxa"/>
            <w:tcBorders>
              <w:top w:val="nil"/>
              <w:left w:val="nil"/>
              <w:bottom w:val="nil"/>
              <w:right w:val="nil"/>
              <w:tl2br w:val="nil"/>
              <w:tr2bl w:val="nil"/>
            </w:tcBorders>
            <w:shd w:val="clear" w:color="auto" w:fill="FFFFFF"/>
            <w:tcMar>
              <w:left w:w="101" w:type="dxa"/>
              <w:right w:w="101" w:type="dxa"/>
            </w:tcMar>
            <w:vAlign w:val="bottom"/>
          </w:tcPr>
          <w:p w14:paraId="3621D4D7" w14:textId="77777777" w:rsidR="003F0EEA" w:rsidRPr="00A6389F" w:rsidRDefault="003F0EEA">
            <w:pPr>
              <w:rPr>
                <w:rFonts w:ascii="Arial" w:eastAsia="Arial" w:hAnsi="Arial" w:cs="Arial"/>
                <w:color w:val="000000"/>
                <w:sz w:val="16"/>
              </w:rPr>
            </w:pPr>
          </w:p>
        </w:tc>
        <w:tc>
          <w:tcPr>
            <w:tcW w:w="3150" w:type="dxa"/>
            <w:tcBorders>
              <w:top w:val="nil"/>
              <w:left w:val="nil"/>
              <w:bottom w:val="nil"/>
              <w:right w:val="nil"/>
              <w:tl2br w:val="nil"/>
              <w:tr2bl w:val="nil"/>
            </w:tcBorders>
            <w:shd w:val="clear" w:color="auto" w:fill="FFFFFF"/>
            <w:tcMar>
              <w:left w:w="101" w:type="dxa"/>
              <w:right w:w="101" w:type="dxa"/>
            </w:tcMar>
            <w:vAlign w:val="bottom"/>
          </w:tcPr>
          <w:p w14:paraId="4AEF1040" w14:textId="77777777" w:rsidR="003F0EEA" w:rsidRPr="00A6389F" w:rsidRDefault="003F0EEA">
            <w:pPr>
              <w:rPr>
                <w:rFonts w:ascii="Arial" w:eastAsia="Arial" w:hAnsi="Arial" w:cs="Arial"/>
                <w:color w:val="000000"/>
                <w:sz w:val="16"/>
              </w:rPr>
            </w:pPr>
          </w:p>
        </w:tc>
        <w:tc>
          <w:tcPr>
            <w:tcW w:w="915"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504F406A" w14:textId="77777777" w:rsidR="003F0EEA" w:rsidRPr="00A6389F" w:rsidRDefault="00FB7D0B">
            <w:pPr>
              <w:jc w:val="right"/>
              <w:rPr>
                <w:rFonts w:ascii="Arial" w:eastAsia="Arial" w:hAnsi="Arial" w:cs="Arial"/>
                <w:color w:val="000000"/>
                <w:sz w:val="16"/>
                <w:vertAlign w:val="superscript"/>
              </w:rPr>
            </w:pPr>
            <w:r w:rsidRPr="00A6389F">
              <w:rPr>
                <w:rFonts w:ascii="Arial" w:eastAsia="Arial" w:hAnsi="Arial" w:cs="Arial"/>
                <w:color w:val="000000"/>
                <w:sz w:val="16"/>
              </w:rPr>
              <w:t>$'000</w:t>
            </w:r>
          </w:p>
        </w:tc>
        <w:tc>
          <w:tcPr>
            <w:tcW w:w="915" w:type="dxa"/>
            <w:tcBorders>
              <w:top w:val="nil"/>
              <w:left w:val="nil"/>
              <w:bottom w:val="single" w:sz="6" w:space="0" w:color="000000"/>
              <w:right w:val="nil"/>
              <w:tl2br w:val="nil"/>
              <w:tr2bl w:val="nil"/>
            </w:tcBorders>
            <w:shd w:val="clear" w:color="auto" w:fill="FFFF00"/>
            <w:tcMar>
              <w:left w:w="101" w:type="dxa"/>
              <w:right w:w="101" w:type="dxa"/>
            </w:tcMar>
            <w:vAlign w:val="bottom"/>
          </w:tcPr>
          <w:p w14:paraId="0B670232" w14:textId="77777777" w:rsidR="003F0EEA" w:rsidRPr="00A6389F" w:rsidRDefault="00FB7D0B">
            <w:pPr>
              <w:jc w:val="right"/>
              <w:rPr>
                <w:rFonts w:ascii="Arial" w:eastAsia="Arial" w:hAnsi="Arial" w:cs="Arial"/>
                <w:color w:val="000000"/>
                <w:sz w:val="16"/>
              </w:rPr>
            </w:pPr>
            <w:r w:rsidRPr="00A6389F">
              <w:rPr>
                <w:rFonts w:ascii="Arial" w:eastAsia="Arial" w:hAnsi="Arial" w:cs="Arial"/>
                <w:color w:val="000000"/>
                <w:sz w:val="16"/>
              </w:rPr>
              <w:t>$'000</w:t>
            </w:r>
          </w:p>
        </w:tc>
        <w:tc>
          <w:tcPr>
            <w:tcW w:w="915"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09CBE9EC" w14:textId="77777777" w:rsidR="003F0EEA" w:rsidRPr="00A6389F" w:rsidRDefault="00FB7D0B">
            <w:pPr>
              <w:jc w:val="right"/>
              <w:rPr>
                <w:rFonts w:ascii="Arial" w:eastAsia="Arial" w:hAnsi="Arial" w:cs="Arial"/>
                <w:color w:val="000000"/>
                <w:sz w:val="16"/>
              </w:rPr>
            </w:pPr>
            <w:r w:rsidRPr="00A6389F">
              <w:rPr>
                <w:rFonts w:ascii="Arial" w:eastAsia="Arial" w:hAnsi="Arial" w:cs="Arial"/>
                <w:color w:val="000000"/>
                <w:sz w:val="16"/>
              </w:rPr>
              <w:t>$'000</w:t>
            </w:r>
          </w:p>
        </w:tc>
        <w:tc>
          <w:tcPr>
            <w:tcW w:w="915"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6ED9A739" w14:textId="77777777" w:rsidR="003F0EEA" w:rsidRPr="00A6389F" w:rsidRDefault="00FB7D0B">
            <w:pPr>
              <w:jc w:val="right"/>
              <w:rPr>
                <w:rFonts w:ascii="Arial" w:eastAsia="Arial" w:hAnsi="Arial" w:cs="Arial"/>
                <w:color w:val="000000"/>
                <w:sz w:val="16"/>
              </w:rPr>
            </w:pPr>
            <w:r w:rsidRPr="00A6389F">
              <w:rPr>
                <w:rFonts w:ascii="Arial" w:eastAsia="Arial" w:hAnsi="Arial" w:cs="Arial"/>
                <w:color w:val="000000"/>
                <w:sz w:val="16"/>
              </w:rPr>
              <w:t>$'000</w:t>
            </w:r>
          </w:p>
        </w:tc>
        <w:tc>
          <w:tcPr>
            <w:tcW w:w="915"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2EF12128" w14:textId="77777777" w:rsidR="003F0EEA" w:rsidRPr="00A6389F" w:rsidRDefault="00FB7D0B">
            <w:pPr>
              <w:jc w:val="right"/>
              <w:rPr>
                <w:rFonts w:ascii="Arial" w:eastAsia="Arial" w:hAnsi="Arial" w:cs="Arial"/>
                <w:color w:val="000000"/>
                <w:sz w:val="16"/>
              </w:rPr>
            </w:pPr>
            <w:r w:rsidRPr="00A6389F">
              <w:rPr>
                <w:rFonts w:ascii="Arial" w:eastAsia="Arial" w:hAnsi="Arial" w:cs="Arial"/>
                <w:color w:val="000000"/>
                <w:sz w:val="16"/>
              </w:rPr>
              <w:t>$'000</w:t>
            </w:r>
          </w:p>
        </w:tc>
      </w:tr>
      <w:tr w:rsidR="00FB7D0B" w14:paraId="38A27D9F" w14:textId="77777777" w:rsidTr="00FB7D0B">
        <w:trPr>
          <w:trHeight w:val="225"/>
        </w:trPr>
        <w:tc>
          <w:tcPr>
            <w:tcW w:w="3510" w:type="dxa"/>
            <w:gridSpan w:val="3"/>
            <w:tcBorders>
              <w:top w:val="nil"/>
              <w:left w:val="nil"/>
              <w:bottom w:val="nil"/>
              <w:right w:val="nil"/>
              <w:tl2br w:val="nil"/>
              <w:tr2bl w:val="nil"/>
            </w:tcBorders>
            <w:shd w:val="clear" w:color="auto" w:fill="FFFFFF"/>
            <w:tcMar>
              <w:left w:w="101" w:type="dxa"/>
              <w:right w:w="101" w:type="dxa"/>
            </w:tcMar>
            <w:vAlign w:val="bottom"/>
          </w:tcPr>
          <w:p w14:paraId="39B111D8" w14:textId="77777777" w:rsidR="003F0EEA" w:rsidRPr="00A6389F" w:rsidRDefault="00FB7D0B">
            <w:pPr>
              <w:rPr>
                <w:rFonts w:ascii="Arial" w:eastAsia="Arial" w:hAnsi="Arial" w:cs="Arial"/>
                <w:color w:val="000000"/>
                <w:sz w:val="16"/>
              </w:rPr>
            </w:pPr>
            <w:r w:rsidRPr="00A6389F">
              <w:rPr>
                <w:rFonts w:ascii="Arial" w:eastAsia="Arial" w:hAnsi="Arial" w:cs="Arial"/>
                <w:b/>
                <w:color w:val="000000"/>
                <w:sz w:val="16"/>
              </w:rPr>
              <w:t>Total Comprehensive Income</w:t>
            </w:r>
          </w:p>
        </w:tc>
        <w:tc>
          <w:tcPr>
            <w:tcW w:w="91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59065CEA" w14:textId="77777777" w:rsidR="003F0EEA" w:rsidRPr="00A6389F" w:rsidRDefault="003F0EEA">
            <w:pPr>
              <w:rPr>
                <w:rFonts w:ascii="Arial" w:eastAsia="Arial" w:hAnsi="Arial" w:cs="Arial"/>
                <w:b/>
                <w:color w:val="000000"/>
                <w:sz w:val="16"/>
                <w:vertAlign w:val="superscript"/>
              </w:rPr>
            </w:pPr>
          </w:p>
        </w:tc>
        <w:tc>
          <w:tcPr>
            <w:tcW w:w="915" w:type="dxa"/>
            <w:tcBorders>
              <w:top w:val="single" w:sz="6" w:space="0" w:color="000000"/>
              <w:left w:val="nil"/>
              <w:bottom w:val="nil"/>
              <w:right w:val="nil"/>
              <w:tl2br w:val="nil"/>
              <w:tr2bl w:val="nil"/>
            </w:tcBorders>
            <w:shd w:val="clear" w:color="auto" w:fill="FFFF00"/>
            <w:tcMar>
              <w:left w:w="101" w:type="dxa"/>
              <w:right w:w="101" w:type="dxa"/>
            </w:tcMar>
            <w:vAlign w:val="bottom"/>
          </w:tcPr>
          <w:p w14:paraId="642767DB" w14:textId="77777777" w:rsidR="003F0EEA" w:rsidRPr="00A6389F" w:rsidRDefault="003F0EEA">
            <w:pPr>
              <w:rPr>
                <w:rFonts w:ascii="Arial" w:eastAsia="Arial" w:hAnsi="Arial" w:cs="Arial"/>
                <w:color w:val="000000"/>
                <w:sz w:val="16"/>
                <w:vertAlign w:val="superscript"/>
              </w:rPr>
            </w:pPr>
          </w:p>
        </w:tc>
        <w:tc>
          <w:tcPr>
            <w:tcW w:w="91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56C81725" w14:textId="77777777" w:rsidR="003F0EEA" w:rsidRPr="00A6389F" w:rsidRDefault="003F0EEA">
            <w:pPr>
              <w:rPr>
                <w:rFonts w:ascii="Arial" w:eastAsia="Arial" w:hAnsi="Arial" w:cs="Arial"/>
                <w:color w:val="000000"/>
                <w:sz w:val="16"/>
                <w:vertAlign w:val="superscript"/>
              </w:rPr>
            </w:pPr>
          </w:p>
        </w:tc>
        <w:tc>
          <w:tcPr>
            <w:tcW w:w="91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552CD76F" w14:textId="77777777" w:rsidR="003F0EEA" w:rsidRPr="00A6389F" w:rsidRDefault="003F0EEA">
            <w:pPr>
              <w:rPr>
                <w:rFonts w:ascii="Arial" w:eastAsia="Arial" w:hAnsi="Arial" w:cs="Arial"/>
                <w:color w:val="000000"/>
                <w:sz w:val="16"/>
                <w:vertAlign w:val="superscript"/>
              </w:rPr>
            </w:pPr>
          </w:p>
        </w:tc>
        <w:tc>
          <w:tcPr>
            <w:tcW w:w="91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345193DE" w14:textId="77777777" w:rsidR="003F0EEA" w:rsidRPr="00A6389F" w:rsidRDefault="003F0EEA">
            <w:pPr>
              <w:rPr>
                <w:rFonts w:ascii="Arial" w:eastAsia="Arial" w:hAnsi="Arial" w:cs="Arial"/>
                <w:color w:val="000000"/>
                <w:sz w:val="16"/>
                <w:vertAlign w:val="superscript"/>
              </w:rPr>
            </w:pPr>
          </w:p>
        </w:tc>
      </w:tr>
      <w:tr w:rsidR="00FB7D0B" w14:paraId="40DB4F6A" w14:textId="77777777" w:rsidTr="00FB7D0B">
        <w:trPr>
          <w:trHeight w:val="225"/>
        </w:trPr>
        <w:tc>
          <w:tcPr>
            <w:tcW w:w="180" w:type="dxa"/>
            <w:tcBorders>
              <w:top w:val="nil"/>
              <w:left w:val="nil"/>
              <w:bottom w:val="nil"/>
              <w:right w:val="nil"/>
              <w:tl2br w:val="nil"/>
              <w:tr2bl w:val="nil"/>
            </w:tcBorders>
            <w:shd w:val="clear" w:color="auto" w:fill="FFFFFF"/>
            <w:tcMar>
              <w:left w:w="101" w:type="dxa"/>
              <w:right w:w="101" w:type="dxa"/>
            </w:tcMar>
            <w:vAlign w:val="bottom"/>
          </w:tcPr>
          <w:p w14:paraId="4CBA0BA9" w14:textId="77777777" w:rsidR="003F0EEA" w:rsidRPr="00A6389F" w:rsidRDefault="003F0EEA">
            <w:pPr>
              <w:rPr>
                <w:rFonts w:ascii="Arial" w:eastAsia="Arial" w:hAnsi="Arial" w:cs="Arial"/>
                <w:color w:val="000000"/>
                <w:sz w:val="16"/>
                <w:vertAlign w:val="superscript"/>
              </w:rPr>
            </w:pPr>
          </w:p>
        </w:tc>
        <w:tc>
          <w:tcPr>
            <w:tcW w:w="3330" w:type="dxa"/>
            <w:gridSpan w:val="2"/>
            <w:vMerge w:val="restart"/>
            <w:tcBorders>
              <w:top w:val="nil"/>
              <w:left w:val="nil"/>
              <w:bottom w:val="nil"/>
              <w:right w:val="nil"/>
              <w:tl2br w:val="nil"/>
              <w:tr2bl w:val="nil"/>
            </w:tcBorders>
            <w:shd w:val="clear" w:color="auto" w:fill="FFFFFF"/>
            <w:tcMar>
              <w:left w:w="101" w:type="dxa"/>
              <w:right w:w="101" w:type="dxa"/>
            </w:tcMar>
            <w:vAlign w:val="bottom"/>
          </w:tcPr>
          <w:p w14:paraId="185E3680" w14:textId="77777777" w:rsidR="003F0EEA" w:rsidRPr="00A6389F" w:rsidRDefault="00FB7D0B">
            <w:pPr>
              <w:rPr>
                <w:rFonts w:ascii="Arial" w:eastAsia="Arial" w:hAnsi="Arial" w:cs="Arial"/>
                <w:b/>
                <w:color w:val="000000"/>
                <w:sz w:val="16"/>
                <w:vertAlign w:val="superscript"/>
              </w:rPr>
            </w:pPr>
            <w:r w:rsidRPr="00A6389F">
              <w:rPr>
                <w:rFonts w:ascii="Arial" w:eastAsia="Arial" w:hAnsi="Arial" w:cs="Arial"/>
                <w:b/>
                <w:color w:val="000000"/>
                <w:sz w:val="16"/>
              </w:rPr>
              <w:t>(loss) less depreciation/amortisation</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715D99C0" w14:textId="77777777" w:rsidR="003F0EEA" w:rsidRPr="00A6389F" w:rsidRDefault="003F0EEA">
            <w:pPr>
              <w:rPr>
                <w:rFonts w:ascii="Arial" w:eastAsia="Arial" w:hAnsi="Arial" w:cs="Arial"/>
                <w:b/>
                <w:color w:val="000000"/>
                <w:sz w:val="16"/>
                <w:vertAlign w:val="superscript"/>
              </w:rPr>
            </w:pPr>
          </w:p>
        </w:tc>
        <w:tc>
          <w:tcPr>
            <w:tcW w:w="915" w:type="dxa"/>
            <w:tcBorders>
              <w:top w:val="nil"/>
              <w:left w:val="nil"/>
              <w:bottom w:val="nil"/>
              <w:right w:val="nil"/>
              <w:tl2br w:val="nil"/>
              <w:tr2bl w:val="nil"/>
            </w:tcBorders>
            <w:shd w:val="clear" w:color="auto" w:fill="FFFF00"/>
            <w:tcMar>
              <w:left w:w="101" w:type="dxa"/>
              <w:right w:w="101" w:type="dxa"/>
            </w:tcMar>
            <w:vAlign w:val="bottom"/>
          </w:tcPr>
          <w:p w14:paraId="2EE03F01" w14:textId="77777777" w:rsidR="003F0EEA" w:rsidRPr="00A6389F" w:rsidRDefault="003F0EEA">
            <w:pPr>
              <w:rPr>
                <w:rFonts w:ascii="Arial" w:eastAsia="Arial" w:hAnsi="Arial" w:cs="Arial"/>
                <w:color w:val="000000"/>
                <w:sz w:val="16"/>
                <w:vertAlign w:val="superscript"/>
              </w:rPr>
            </w:pP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6BDDE4B3" w14:textId="77777777" w:rsidR="003F0EEA" w:rsidRPr="00A6389F" w:rsidRDefault="003F0EEA">
            <w:pPr>
              <w:rPr>
                <w:rFonts w:ascii="Arial" w:eastAsia="Arial" w:hAnsi="Arial" w:cs="Arial"/>
                <w:color w:val="000000"/>
                <w:sz w:val="16"/>
                <w:vertAlign w:val="superscript"/>
              </w:rPr>
            </w:pP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3A9B90FA" w14:textId="77777777" w:rsidR="003F0EEA" w:rsidRPr="00A6389F" w:rsidRDefault="003F0EEA">
            <w:pPr>
              <w:rPr>
                <w:rFonts w:ascii="Arial" w:eastAsia="Arial" w:hAnsi="Arial" w:cs="Arial"/>
                <w:color w:val="000000"/>
                <w:sz w:val="16"/>
                <w:vertAlign w:val="superscript"/>
              </w:rPr>
            </w:pP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7D159AA9" w14:textId="77777777" w:rsidR="003F0EEA" w:rsidRPr="00A6389F" w:rsidRDefault="003F0EEA">
            <w:pPr>
              <w:rPr>
                <w:rFonts w:ascii="Arial" w:eastAsia="Arial" w:hAnsi="Arial" w:cs="Arial"/>
                <w:color w:val="000000"/>
                <w:sz w:val="16"/>
                <w:vertAlign w:val="superscript"/>
              </w:rPr>
            </w:pPr>
          </w:p>
        </w:tc>
      </w:tr>
      <w:tr w:rsidR="00FB7D0B" w14:paraId="0B71BA96" w14:textId="77777777" w:rsidTr="00FB7D0B">
        <w:trPr>
          <w:trHeight w:val="225"/>
        </w:trPr>
        <w:tc>
          <w:tcPr>
            <w:tcW w:w="180" w:type="dxa"/>
            <w:tcBorders>
              <w:top w:val="nil"/>
              <w:left w:val="nil"/>
              <w:bottom w:val="nil"/>
              <w:right w:val="nil"/>
              <w:tl2br w:val="nil"/>
              <w:tr2bl w:val="nil"/>
            </w:tcBorders>
            <w:shd w:val="clear" w:color="auto" w:fill="FFFFFF"/>
            <w:tcMar>
              <w:left w:w="101" w:type="dxa"/>
              <w:right w:w="101" w:type="dxa"/>
            </w:tcMar>
            <w:vAlign w:val="bottom"/>
          </w:tcPr>
          <w:p w14:paraId="38825F76" w14:textId="77777777" w:rsidR="003F0EEA" w:rsidRPr="00A6389F" w:rsidRDefault="003F0EEA">
            <w:pPr>
              <w:rPr>
                <w:rFonts w:ascii="Arial" w:eastAsia="Arial" w:hAnsi="Arial" w:cs="Arial"/>
                <w:color w:val="000000"/>
                <w:sz w:val="16"/>
                <w:vertAlign w:val="superscript"/>
              </w:rPr>
            </w:pPr>
          </w:p>
        </w:tc>
        <w:tc>
          <w:tcPr>
            <w:tcW w:w="3330" w:type="dxa"/>
            <w:gridSpan w:val="2"/>
            <w:tcBorders>
              <w:top w:val="nil"/>
              <w:left w:val="nil"/>
              <w:bottom w:val="nil"/>
              <w:right w:val="nil"/>
              <w:tl2br w:val="nil"/>
              <w:tr2bl w:val="nil"/>
            </w:tcBorders>
            <w:shd w:val="clear" w:color="auto" w:fill="FFFFFF"/>
            <w:tcMar>
              <w:left w:w="101" w:type="dxa"/>
              <w:right w:w="101" w:type="dxa"/>
            </w:tcMar>
            <w:vAlign w:val="bottom"/>
          </w:tcPr>
          <w:p w14:paraId="7C95166B" w14:textId="77777777" w:rsidR="003F0EEA" w:rsidRPr="00A6389F" w:rsidRDefault="00FB7D0B">
            <w:pPr>
              <w:rPr>
                <w:rFonts w:ascii="Arial" w:eastAsia="Arial" w:hAnsi="Arial" w:cs="Arial"/>
                <w:b/>
                <w:color w:val="000000"/>
                <w:sz w:val="16"/>
                <w:vertAlign w:val="superscript"/>
              </w:rPr>
            </w:pPr>
            <w:r w:rsidRPr="00A6389F">
              <w:rPr>
                <w:rFonts w:ascii="Arial" w:eastAsia="Arial" w:hAnsi="Arial" w:cs="Arial"/>
                <w:b/>
                <w:color w:val="000000"/>
                <w:sz w:val="16"/>
              </w:rPr>
              <w:t>expenses previously funded through</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7E89FDEE" w14:textId="77777777" w:rsidR="003F0EEA" w:rsidRPr="00A6389F" w:rsidRDefault="003F0EEA">
            <w:pPr>
              <w:rPr>
                <w:rFonts w:ascii="Arial" w:eastAsia="Arial" w:hAnsi="Arial" w:cs="Arial"/>
                <w:b/>
                <w:color w:val="000000"/>
                <w:sz w:val="16"/>
                <w:vertAlign w:val="superscript"/>
              </w:rPr>
            </w:pPr>
          </w:p>
        </w:tc>
        <w:tc>
          <w:tcPr>
            <w:tcW w:w="915" w:type="dxa"/>
            <w:tcBorders>
              <w:top w:val="nil"/>
              <w:left w:val="nil"/>
              <w:bottom w:val="nil"/>
              <w:right w:val="nil"/>
              <w:tl2br w:val="nil"/>
              <w:tr2bl w:val="nil"/>
            </w:tcBorders>
            <w:shd w:val="clear" w:color="auto" w:fill="FFFF00"/>
            <w:tcMar>
              <w:left w:w="101" w:type="dxa"/>
              <w:right w:w="101" w:type="dxa"/>
            </w:tcMar>
            <w:vAlign w:val="bottom"/>
          </w:tcPr>
          <w:p w14:paraId="0EDF856E" w14:textId="77777777" w:rsidR="003F0EEA" w:rsidRPr="00A6389F" w:rsidRDefault="003F0EEA">
            <w:pPr>
              <w:rPr>
                <w:rFonts w:ascii="Arial" w:eastAsia="Arial" w:hAnsi="Arial" w:cs="Arial"/>
                <w:color w:val="000000"/>
                <w:sz w:val="16"/>
                <w:vertAlign w:val="superscript"/>
              </w:rPr>
            </w:pP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300E8B14" w14:textId="77777777" w:rsidR="003F0EEA" w:rsidRPr="00A6389F" w:rsidRDefault="003F0EEA">
            <w:pPr>
              <w:rPr>
                <w:rFonts w:ascii="Arial" w:eastAsia="Arial" w:hAnsi="Arial" w:cs="Arial"/>
                <w:color w:val="000000"/>
                <w:sz w:val="16"/>
                <w:vertAlign w:val="superscript"/>
              </w:rPr>
            </w:pP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38FA47FF" w14:textId="77777777" w:rsidR="003F0EEA" w:rsidRPr="00A6389F" w:rsidRDefault="003F0EEA">
            <w:pPr>
              <w:rPr>
                <w:rFonts w:ascii="Arial" w:eastAsia="Arial" w:hAnsi="Arial" w:cs="Arial"/>
                <w:color w:val="000000"/>
                <w:sz w:val="16"/>
                <w:vertAlign w:val="superscript"/>
              </w:rPr>
            </w:pP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74A8D148" w14:textId="77777777" w:rsidR="003F0EEA" w:rsidRPr="00A6389F" w:rsidRDefault="003F0EEA">
            <w:pPr>
              <w:rPr>
                <w:rFonts w:ascii="Arial" w:eastAsia="Arial" w:hAnsi="Arial" w:cs="Arial"/>
                <w:color w:val="000000"/>
                <w:sz w:val="16"/>
                <w:vertAlign w:val="superscript"/>
              </w:rPr>
            </w:pPr>
          </w:p>
        </w:tc>
      </w:tr>
      <w:tr w:rsidR="00FB7D0B" w14:paraId="23FAA883" w14:textId="77777777" w:rsidTr="00FB7D0B">
        <w:trPr>
          <w:trHeight w:val="225"/>
        </w:trPr>
        <w:tc>
          <w:tcPr>
            <w:tcW w:w="180" w:type="dxa"/>
            <w:tcBorders>
              <w:top w:val="nil"/>
              <w:left w:val="nil"/>
              <w:bottom w:val="nil"/>
              <w:right w:val="nil"/>
              <w:tl2br w:val="nil"/>
              <w:tr2bl w:val="nil"/>
            </w:tcBorders>
            <w:shd w:val="clear" w:color="auto" w:fill="FFFFFF"/>
            <w:tcMar>
              <w:left w:w="101" w:type="dxa"/>
              <w:right w:w="101" w:type="dxa"/>
            </w:tcMar>
            <w:vAlign w:val="bottom"/>
          </w:tcPr>
          <w:p w14:paraId="250FB0AF" w14:textId="77777777" w:rsidR="003F0EEA" w:rsidRPr="00A6389F" w:rsidRDefault="003F0EEA">
            <w:pPr>
              <w:rPr>
                <w:rFonts w:ascii="Arial" w:eastAsia="Arial" w:hAnsi="Arial" w:cs="Arial"/>
                <w:color w:val="000000"/>
                <w:sz w:val="16"/>
                <w:vertAlign w:val="superscript"/>
              </w:rPr>
            </w:pPr>
          </w:p>
        </w:tc>
        <w:tc>
          <w:tcPr>
            <w:tcW w:w="3330" w:type="dxa"/>
            <w:gridSpan w:val="2"/>
            <w:tcBorders>
              <w:top w:val="nil"/>
              <w:left w:val="nil"/>
              <w:bottom w:val="nil"/>
              <w:right w:val="nil"/>
              <w:tl2br w:val="nil"/>
              <w:tr2bl w:val="nil"/>
            </w:tcBorders>
            <w:shd w:val="clear" w:color="auto" w:fill="FFFFFF"/>
            <w:tcMar>
              <w:left w:w="101" w:type="dxa"/>
              <w:right w:w="101" w:type="dxa"/>
            </w:tcMar>
            <w:vAlign w:val="bottom"/>
          </w:tcPr>
          <w:p w14:paraId="65F9F925" w14:textId="77777777" w:rsidR="003F0EEA" w:rsidRPr="00A6389F" w:rsidRDefault="00FB7D0B">
            <w:pPr>
              <w:rPr>
                <w:rFonts w:ascii="Arial" w:eastAsia="Arial" w:hAnsi="Arial" w:cs="Arial"/>
                <w:b/>
                <w:color w:val="000000"/>
                <w:sz w:val="16"/>
                <w:vertAlign w:val="superscript"/>
              </w:rPr>
            </w:pPr>
            <w:r w:rsidRPr="00A6389F">
              <w:rPr>
                <w:rFonts w:ascii="Arial" w:eastAsia="Arial" w:hAnsi="Arial" w:cs="Arial"/>
                <w:b/>
                <w:color w:val="000000"/>
                <w:sz w:val="16"/>
              </w:rPr>
              <w:t>revenue appropriations</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41D7FCE6" w14:textId="77777777" w:rsidR="003F0EEA" w:rsidRPr="00A6389F" w:rsidRDefault="00FB7D0B">
            <w:pPr>
              <w:jc w:val="right"/>
              <w:rPr>
                <w:rFonts w:ascii="Arial" w:eastAsia="Arial" w:hAnsi="Arial" w:cs="Arial"/>
                <w:b/>
                <w:color w:val="000000"/>
                <w:sz w:val="16"/>
                <w:vertAlign w:val="superscript"/>
              </w:rPr>
            </w:pPr>
            <w:r w:rsidRPr="00A6389F">
              <w:rPr>
                <w:rFonts w:ascii="Arial" w:eastAsia="Arial" w:hAnsi="Arial" w:cs="Arial"/>
                <w:b/>
                <w:color w:val="000000"/>
                <w:sz w:val="16"/>
              </w:rPr>
              <w:t>(26,664)</w:t>
            </w:r>
          </w:p>
        </w:tc>
        <w:tc>
          <w:tcPr>
            <w:tcW w:w="915" w:type="dxa"/>
            <w:tcBorders>
              <w:top w:val="nil"/>
              <w:left w:val="nil"/>
              <w:bottom w:val="nil"/>
              <w:right w:val="nil"/>
              <w:tl2br w:val="nil"/>
              <w:tr2bl w:val="nil"/>
            </w:tcBorders>
            <w:shd w:val="clear" w:color="auto" w:fill="FFFF00"/>
            <w:tcMar>
              <w:left w:w="101" w:type="dxa"/>
              <w:right w:w="101" w:type="dxa"/>
            </w:tcMar>
            <w:vAlign w:val="bottom"/>
          </w:tcPr>
          <w:p w14:paraId="160DD215" w14:textId="77777777" w:rsidR="003F0EEA" w:rsidRPr="00A6389F" w:rsidRDefault="00FB7D0B">
            <w:pPr>
              <w:jc w:val="right"/>
              <w:rPr>
                <w:rFonts w:ascii="Arial" w:eastAsia="Arial" w:hAnsi="Arial" w:cs="Arial"/>
                <w:b/>
                <w:color w:val="000000"/>
                <w:sz w:val="16"/>
              </w:rPr>
            </w:pPr>
            <w:r w:rsidRPr="00A6389F">
              <w:rPr>
                <w:rFonts w:ascii="Arial" w:eastAsia="Arial" w:hAnsi="Arial" w:cs="Arial"/>
                <w:b/>
                <w:color w:val="000000"/>
                <w:sz w:val="16"/>
              </w:rPr>
              <w:t>(29,161)</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2B4130E5" w14:textId="77777777" w:rsidR="003F0EEA" w:rsidRPr="00A6389F" w:rsidRDefault="00FB7D0B">
            <w:pPr>
              <w:jc w:val="right"/>
              <w:rPr>
                <w:rFonts w:ascii="Arial" w:eastAsia="Arial" w:hAnsi="Arial" w:cs="Arial"/>
                <w:b/>
                <w:color w:val="000000"/>
                <w:sz w:val="16"/>
              </w:rPr>
            </w:pPr>
            <w:r w:rsidRPr="00A6389F">
              <w:rPr>
                <w:rFonts w:ascii="Arial" w:eastAsia="Arial" w:hAnsi="Arial" w:cs="Arial"/>
                <w:b/>
                <w:color w:val="000000"/>
                <w:sz w:val="16"/>
              </w:rPr>
              <w:t>(24,776)</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7EFD7CAE" w14:textId="77777777" w:rsidR="003F0EEA" w:rsidRPr="00A6389F" w:rsidRDefault="00FB7D0B">
            <w:pPr>
              <w:jc w:val="right"/>
              <w:rPr>
                <w:rFonts w:ascii="Arial" w:eastAsia="Arial" w:hAnsi="Arial" w:cs="Arial"/>
                <w:b/>
                <w:color w:val="000000"/>
                <w:sz w:val="16"/>
              </w:rPr>
            </w:pPr>
            <w:r w:rsidRPr="00A6389F">
              <w:rPr>
                <w:rFonts w:ascii="Arial" w:eastAsia="Arial" w:hAnsi="Arial" w:cs="Arial"/>
                <w:b/>
                <w:color w:val="000000"/>
                <w:sz w:val="16"/>
              </w:rPr>
              <w:t>(20,675)</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5DA527F4" w14:textId="77777777" w:rsidR="003F0EEA" w:rsidRPr="00A6389F" w:rsidRDefault="00FB7D0B">
            <w:pPr>
              <w:jc w:val="right"/>
              <w:rPr>
                <w:rFonts w:ascii="Arial" w:eastAsia="Arial" w:hAnsi="Arial" w:cs="Arial"/>
                <w:b/>
                <w:color w:val="000000"/>
                <w:sz w:val="16"/>
              </w:rPr>
            </w:pPr>
            <w:r w:rsidRPr="00A6389F">
              <w:rPr>
                <w:rFonts w:ascii="Arial" w:eastAsia="Arial" w:hAnsi="Arial" w:cs="Arial"/>
                <w:b/>
                <w:color w:val="000000"/>
                <w:sz w:val="16"/>
              </w:rPr>
              <w:t>(14,261)</w:t>
            </w:r>
          </w:p>
        </w:tc>
      </w:tr>
      <w:tr w:rsidR="00724034" w14:paraId="18A4C04E" w14:textId="77777777">
        <w:trPr>
          <w:trHeight w:val="225"/>
        </w:trPr>
        <w:tc>
          <w:tcPr>
            <w:tcW w:w="180" w:type="dxa"/>
            <w:tcBorders>
              <w:top w:val="nil"/>
              <w:left w:val="nil"/>
              <w:bottom w:val="nil"/>
              <w:right w:val="nil"/>
              <w:tl2br w:val="nil"/>
              <w:tr2bl w:val="nil"/>
            </w:tcBorders>
            <w:shd w:val="clear" w:color="auto" w:fill="FFFFFF"/>
            <w:tcMar>
              <w:left w:w="101" w:type="dxa"/>
              <w:right w:w="101" w:type="dxa"/>
            </w:tcMar>
            <w:vAlign w:val="bottom"/>
          </w:tcPr>
          <w:p w14:paraId="621F8081" w14:textId="77777777" w:rsidR="003F0EEA" w:rsidRPr="00A6389F" w:rsidRDefault="003F0EEA">
            <w:pPr>
              <w:rPr>
                <w:rFonts w:ascii="Arial" w:eastAsia="Arial" w:hAnsi="Arial" w:cs="Arial"/>
                <w:b/>
                <w:color w:val="000000"/>
                <w:sz w:val="16"/>
              </w:rPr>
            </w:pPr>
          </w:p>
        </w:tc>
        <w:tc>
          <w:tcPr>
            <w:tcW w:w="180" w:type="dxa"/>
            <w:tcBorders>
              <w:top w:val="nil"/>
              <w:left w:val="nil"/>
              <w:bottom w:val="nil"/>
              <w:right w:val="nil"/>
              <w:tl2br w:val="nil"/>
              <w:tr2bl w:val="nil"/>
            </w:tcBorders>
            <w:shd w:val="clear" w:color="auto" w:fill="FFFFFF"/>
            <w:tcMar>
              <w:left w:w="101" w:type="dxa"/>
              <w:right w:w="101" w:type="dxa"/>
            </w:tcMar>
            <w:vAlign w:val="bottom"/>
          </w:tcPr>
          <w:p w14:paraId="6D91C9AD" w14:textId="77777777" w:rsidR="003F0EEA" w:rsidRPr="00A6389F" w:rsidRDefault="003F0EEA">
            <w:pPr>
              <w:rPr>
                <w:rFonts w:ascii="Arial" w:eastAsia="Arial" w:hAnsi="Arial" w:cs="Arial"/>
                <w:b/>
                <w:color w:val="000000"/>
                <w:sz w:val="16"/>
              </w:rPr>
            </w:pPr>
          </w:p>
        </w:tc>
        <w:tc>
          <w:tcPr>
            <w:tcW w:w="3150" w:type="dxa"/>
            <w:tcBorders>
              <w:top w:val="nil"/>
              <w:left w:val="nil"/>
              <w:bottom w:val="nil"/>
              <w:right w:val="nil"/>
              <w:tl2br w:val="nil"/>
              <w:tr2bl w:val="nil"/>
            </w:tcBorders>
            <w:shd w:val="clear" w:color="auto" w:fill="FFFFFF"/>
            <w:tcMar>
              <w:left w:w="101" w:type="dxa"/>
              <w:right w:w="101" w:type="dxa"/>
            </w:tcMar>
            <w:vAlign w:val="bottom"/>
          </w:tcPr>
          <w:p w14:paraId="0CF2D282" w14:textId="77777777" w:rsidR="003F0EEA" w:rsidRPr="00A6389F" w:rsidRDefault="003F0EEA">
            <w:pPr>
              <w:rPr>
                <w:rFonts w:ascii="Arial" w:eastAsia="Arial" w:hAnsi="Arial" w:cs="Arial"/>
                <w:b/>
                <w:color w:val="000000"/>
                <w:sz w:val="16"/>
              </w:rPr>
            </w:pP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5A8284FD" w14:textId="77777777" w:rsidR="003F0EEA" w:rsidRPr="00A6389F" w:rsidRDefault="003F0EEA">
            <w:pPr>
              <w:rPr>
                <w:rFonts w:ascii="Arial" w:eastAsia="Arial" w:hAnsi="Arial" w:cs="Arial"/>
                <w:b/>
                <w:color w:val="000000"/>
                <w:sz w:val="16"/>
                <w:vertAlign w:val="superscript"/>
              </w:rPr>
            </w:pPr>
          </w:p>
        </w:tc>
        <w:tc>
          <w:tcPr>
            <w:tcW w:w="915" w:type="dxa"/>
            <w:tcBorders>
              <w:top w:val="nil"/>
              <w:left w:val="nil"/>
              <w:bottom w:val="nil"/>
              <w:right w:val="nil"/>
              <w:tl2br w:val="nil"/>
              <w:tr2bl w:val="nil"/>
            </w:tcBorders>
            <w:shd w:val="clear" w:color="auto" w:fill="FFFF00"/>
            <w:tcMar>
              <w:left w:w="101" w:type="dxa"/>
              <w:right w:w="101" w:type="dxa"/>
            </w:tcMar>
            <w:vAlign w:val="bottom"/>
          </w:tcPr>
          <w:p w14:paraId="5C34CDDA" w14:textId="77777777" w:rsidR="003F0EEA" w:rsidRPr="00A6389F" w:rsidRDefault="003F0EEA">
            <w:pPr>
              <w:rPr>
                <w:rFonts w:ascii="Arial" w:eastAsia="Arial" w:hAnsi="Arial" w:cs="Arial"/>
                <w:b/>
                <w:color w:val="000000"/>
                <w:sz w:val="16"/>
                <w:vertAlign w:val="superscript"/>
              </w:rPr>
            </w:pP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70CA0C45" w14:textId="77777777" w:rsidR="003F0EEA" w:rsidRPr="00A6389F" w:rsidRDefault="003F0EEA">
            <w:pPr>
              <w:rPr>
                <w:rFonts w:ascii="Arial" w:eastAsia="Arial" w:hAnsi="Arial" w:cs="Arial"/>
                <w:b/>
                <w:color w:val="000000"/>
                <w:sz w:val="16"/>
                <w:vertAlign w:val="superscript"/>
              </w:rPr>
            </w:pP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1245985F" w14:textId="77777777" w:rsidR="003F0EEA" w:rsidRPr="00A6389F" w:rsidRDefault="003F0EEA">
            <w:pPr>
              <w:rPr>
                <w:rFonts w:ascii="Arial" w:eastAsia="Arial" w:hAnsi="Arial" w:cs="Arial"/>
                <w:b/>
                <w:color w:val="000000"/>
                <w:sz w:val="16"/>
                <w:vertAlign w:val="superscript"/>
              </w:rPr>
            </w:pP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12F33E2B" w14:textId="77777777" w:rsidR="003F0EEA" w:rsidRPr="00A6389F" w:rsidRDefault="003F0EEA">
            <w:pPr>
              <w:rPr>
                <w:rFonts w:ascii="Arial" w:eastAsia="Arial" w:hAnsi="Arial" w:cs="Arial"/>
                <w:b/>
                <w:color w:val="000000"/>
                <w:sz w:val="16"/>
                <w:vertAlign w:val="superscript"/>
              </w:rPr>
            </w:pPr>
          </w:p>
        </w:tc>
      </w:tr>
      <w:tr w:rsidR="00FB7D0B" w14:paraId="381316B2" w14:textId="77777777" w:rsidTr="00FB7D0B">
        <w:trPr>
          <w:trHeight w:val="225"/>
        </w:trPr>
        <w:tc>
          <w:tcPr>
            <w:tcW w:w="3510" w:type="dxa"/>
            <w:gridSpan w:val="3"/>
            <w:tcBorders>
              <w:top w:val="nil"/>
              <w:left w:val="nil"/>
              <w:bottom w:val="nil"/>
              <w:right w:val="nil"/>
              <w:tl2br w:val="nil"/>
              <w:tr2bl w:val="nil"/>
            </w:tcBorders>
            <w:shd w:val="clear" w:color="auto" w:fill="FFFFFF"/>
            <w:tcMar>
              <w:left w:w="101" w:type="dxa"/>
              <w:right w:w="101" w:type="dxa"/>
            </w:tcMar>
            <w:vAlign w:val="bottom"/>
          </w:tcPr>
          <w:p w14:paraId="03722B29" w14:textId="77777777" w:rsidR="003F0EEA" w:rsidRPr="00A6389F" w:rsidRDefault="00FB7D0B">
            <w:pPr>
              <w:rPr>
                <w:rFonts w:ascii="Arial" w:eastAsia="Arial" w:hAnsi="Arial" w:cs="Arial"/>
                <w:b/>
                <w:color w:val="000000"/>
                <w:sz w:val="16"/>
                <w:vertAlign w:val="superscript"/>
              </w:rPr>
            </w:pPr>
            <w:r w:rsidRPr="00A6389F">
              <w:rPr>
                <w:rFonts w:ascii="Arial" w:eastAsia="Arial" w:hAnsi="Arial" w:cs="Arial"/>
                <w:color w:val="000000"/>
                <w:sz w:val="16"/>
              </w:rPr>
              <w:t>plus depreciation/amortisation expenses</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4DEE678F" w14:textId="77777777" w:rsidR="003F0EEA" w:rsidRPr="00A6389F" w:rsidRDefault="003F0EEA">
            <w:pPr>
              <w:rPr>
                <w:rFonts w:ascii="Arial" w:eastAsia="Arial" w:hAnsi="Arial" w:cs="Arial"/>
                <w:color w:val="000000"/>
                <w:sz w:val="16"/>
                <w:vertAlign w:val="superscript"/>
              </w:rPr>
            </w:pPr>
          </w:p>
        </w:tc>
        <w:tc>
          <w:tcPr>
            <w:tcW w:w="915" w:type="dxa"/>
            <w:tcBorders>
              <w:top w:val="nil"/>
              <w:left w:val="nil"/>
              <w:bottom w:val="nil"/>
              <w:right w:val="nil"/>
              <w:tl2br w:val="nil"/>
              <w:tr2bl w:val="nil"/>
            </w:tcBorders>
            <w:shd w:val="clear" w:color="auto" w:fill="FFFF00"/>
            <w:tcMar>
              <w:left w:w="101" w:type="dxa"/>
              <w:right w:w="101" w:type="dxa"/>
            </w:tcMar>
            <w:vAlign w:val="bottom"/>
          </w:tcPr>
          <w:p w14:paraId="4E07C479" w14:textId="77777777" w:rsidR="003F0EEA" w:rsidRPr="00A6389F" w:rsidRDefault="003F0EEA">
            <w:pPr>
              <w:rPr>
                <w:rFonts w:ascii="Arial" w:eastAsia="Arial" w:hAnsi="Arial" w:cs="Arial"/>
                <w:color w:val="000000"/>
                <w:sz w:val="16"/>
                <w:vertAlign w:val="superscript"/>
              </w:rPr>
            </w:pP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1B092289" w14:textId="77777777" w:rsidR="003F0EEA" w:rsidRPr="00A6389F" w:rsidRDefault="003F0EEA">
            <w:pPr>
              <w:rPr>
                <w:rFonts w:ascii="Arial" w:eastAsia="Arial" w:hAnsi="Arial" w:cs="Arial"/>
                <w:color w:val="000000"/>
                <w:sz w:val="16"/>
                <w:vertAlign w:val="superscript"/>
              </w:rPr>
            </w:pP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487EADAC" w14:textId="77777777" w:rsidR="003F0EEA" w:rsidRPr="00A6389F" w:rsidRDefault="003F0EEA">
            <w:pPr>
              <w:rPr>
                <w:rFonts w:ascii="Arial" w:eastAsia="Arial" w:hAnsi="Arial" w:cs="Arial"/>
                <w:color w:val="000000"/>
                <w:sz w:val="16"/>
                <w:vertAlign w:val="superscript"/>
              </w:rPr>
            </w:pP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3ED97966" w14:textId="77777777" w:rsidR="003F0EEA" w:rsidRPr="00A6389F" w:rsidRDefault="003F0EEA">
            <w:pPr>
              <w:rPr>
                <w:rFonts w:ascii="Arial" w:eastAsia="Arial" w:hAnsi="Arial" w:cs="Arial"/>
                <w:color w:val="000000"/>
                <w:sz w:val="16"/>
                <w:vertAlign w:val="superscript"/>
              </w:rPr>
            </w:pPr>
          </w:p>
        </w:tc>
      </w:tr>
      <w:tr w:rsidR="00FB7D0B" w14:paraId="5204A6AE" w14:textId="77777777" w:rsidTr="00FB7D0B">
        <w:trPr>
          <w:trHeight w:val="225"/>
        </w:trPr>
        <w:tc>
          <w:tcPr>
            <w:tcW w:w="180" w:type="dxa"/>
            <w:tcBorders>
              <w:top w:val="nil"/>
              <w:left w:val="nil"/>
              <w:bottom w:val="nil"/>
              <w:right w:val="nil"/>
              <w:tl2br w:val="nil"/>
              <w:tr2bl w:val="nil"/>
            </w:tcBorders>
            <w:shd w:val="clear" w:color="auto" w:fill="FFFFFF"/>
            <w:tcMar>
              <w:left w:w="101" w:type="dxa"/>
              <w:right w:w="101" w:type="dxa"/>
            </w:tcMar>
            <w:vAlign w:val="bottom"/>
          </w:tcPr>
          <w:p w14:paraId="4F5A7FEF" w14:textId="77777777" w:rsidR="003F0EEA" w:rsidRPr="00A6389F" w:rsidRDefault="003F0EEA">
            <w:pPr>
              <w:rPr>
                <w:rFonts w:ascii="Arial" w:eastAsia="Arial" w:hAnsi="Arial" w:cs="Arial"/>
                <w:color w:val="000000"/>
                <w:sz w:val="16"/>
                <w:vertAlign w:val="superscript"/>
              </w:rPr>
            </w:pPr>
          </w:p>
        </w:tc>
        <w:tc>
          <w:tcPr>
            <w:tcW w:w="3330" w:type="dxa"/>
            <w:gridSpan w:val="2"/>
            <w:tcBorders>
              <w:top w:val="nil"/>
              <w:left w:val="nil"/>
              <w:bottom w:val="nil"/>
              <w:right w:val="nil"/>
              <w:tl2br w:val="nil"/>
              <w:tr2bl w:val="nil"/>
            </w:tcBorders>
            <w:shd w:val="clear" w:color="auto" w:fill="FFFFFF"/>
            <w:tcMar>
              <w:left w:w="101" w:type="dxa"/>
              <w:right w:w="101" w:type="dxa"/>
            </w:tcMar>
            <w:vAlign w:val="bottom"/>
          </w:tcPr>
          <w:p w14:paraId="5DEAC26C" w14:textId="77777777" w:rsidR="003F0EEA" w:rsidRPr="00A6389F" w:rsidRDefault="00FB7D0B">
            <w:pPr>
              <w:rPr>
                <w:rFonts w:ascii="Arial" w:eastAsia="Arial" w:hAnsi="Arial" w:cs="Arial"/>
                <w:color w:val="000000"/>
                <w:sz w:val="16"/>
                <w:vertAlign w:val="superscript"/>
              </w:rPr>
            </w:pPr>
            <w:r w:rsidRPr="00A6389F">
              <w:rPr>
                <w:rFonts w:ascii="Arial" w:eastAsia="Arial" w:hAnsi="Arial" w:cs="Arial"/>
                <w:color w:val="000000"/>
                <w:sz w:val="16"/>
              </w:rPr>
              <w:t>previously funded through revenue</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123197D5" w14:textId="77777777" w:rsidR="003F0EEA" w:rsidRPr="00A6389F" w:rsidRDefault="003F0EEA">
            <w:pPr>
              <w:rPr>
                <w:rFonts w:ascii="Arial" w:eastAsia="Arial" w:hAnsi="Arial" w:cs="Arial"/>
                <w:color w:val="000000"/>
                <w:sz w:val="16"/>
                <w:vertAlign w:val="superscript"/>
              </w:rPr>
            </w:pPr>
          </w:p>
        </w:tc>
        <w:tc>
          <w:tcPr>
            <w:tcW w:w="915" w:type="dxa"/>
            <w:tcBorders>
              <w:top w:val="nil"/>
              <w:left w:val="nil"/>
              <w:bottom w:val="nil"/>
              <w:right w:val="nil"/>
              <w:tl2br w:val="nil"/>
              <w:tr2bl w:val="nil"/>
            </w:tcBorders>
            <w:shd w:val="clear" w:color="auto" w:fill="FFFF00"/>
            <w:tcMar>
              <w:left w:w="101" w:type="dxa"/>
              <w:right w:w="101" w:type="dxa"/>
            </w:tcMar>
            <w:vAlign w:val="bottom"/>
          </w:tcPr>
          <w:p w14:paraId="139A7DC1" w14:textId="77777777" w:rsidR="003F0EEA" w:rsidRPr="00A6389F" w:rsidRDefault="003F0EEA">
            <w:pPr>
              <w:rPr>
                <w:rFonts w:ascii="Arial" w:eastAsia="Arial" w:hAnsi="Arial" w:cs="Arial"/>
                <w:color w:val="000000"/>
                <w:sz w:val="16"/>
                <w:vertAlign w:val="superscript"/>
              </w:rPr>
            </w:pP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28D71182" w14:textId="77777777" w:rsidR="003F0EEA" w:rsidRPr="00A6389F" w:rsidRDefault="003F0EEA">
            <w:pPr>
              <w:rPr>
                <w:rFonts w:ascii="Arial" w:eastAsia="Arial" w:hAnsi="Arial" w:cs="Arial"/>
                <w:color w:val="000000"/>
                <w:sz w:val="16"/>
                <w:vertAlign w:val="superscript"/>
              </w:rPr>
            </w:pP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5DC76B23" w14:textId="77777777" w:rsidR="003F0EEA" w:rsidRPr="00A6389F" w:rsidRDefault="003F0EEA">
            <w:pPr>
              <w:rPr>
                <w:rFonts w:ascii="Arial" w:eastAsia="Arial" w:hAnsi="Arial" w:cs="Arial"/>
                <w:color w:val="000000"/>
                <w:sz w:val="16"/>
                <w:vertAlign w:val="superscript"/>
              </w:rPr>
            </w:pP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4665FF6C" w14:textId="77777777" w:rsidR="003F0EEA" w:rsidRPr="00A6389F" w:rsidRDefault="003F0EEA">
            <w:pPr>
              <w:rPr>
                <w:rFonts w:ascii="Arial" w:eastAsia="Arial" w:hAnsi="Arial" w:cs="Arial"/>
                <w:color w:val="000000"/>
                <w:sz w:val="16"/>
                <w:vertAlign w:val="superscript"/>
              </w:rPr>
            </w:pPr>
          </w:p>
        </w:tc>
      </w:tr>
      <w:tr w:rsidR="00FB7D0B" w14:paraId="163236B7" w14:textId="77777777" w:rsidTr="00FB7D0B">
        <w:trPr>
          <w:trHeight w:val="225"/>
        </w:trPr>
        <w:tc>
          <w:tcPr>
            <w:tcW w:w="180" w:type="dxa"/>
            <w:tcBorders>
              <w:top w:val="nil"/>
              <w:left w:val="nil"/>
              <w:bottom w:val="nil"/>
              <w:right w:val="nil"/>
              <w:tl2br w:val="nil"/>
              <w:tr2bl w:val="nil"/>
            </w:tcBorders>
            <w:shd w:val="clear" w:color="auto" w:fill="FFFFFF"/>
            <w:tcMar>
              <w:left w:w="101" w:type="dxa"/>
              <w:right w:w="101" w:type="dxa"/>
            </w:tcMar>
            <w:vAlign w:val="bottom"/>
          </w:tcPr>
          <w:p w14:paraId="177B2FE3" w14:textId="77777777" w:rsidR="003F0EEA" w:rsidRPr="00A6389F" w:rsidRDefault="003F0EEA">
            <w:pPr>
              <w:rPr>
                <w:rFonts w:ascii="Arial" w:eastAsia="Arial" w:hAnsi="Arial" w:cs="Arial"/>
                <w:color w:val="000000"/>
                <w:sz w:val="16"/>
                <w:vertAlign w:val="superscript"/>
              </w:rPr>
            </w:pPr>
          </w:p>
        </w:tc>
        <w:tc>
          <w:tcPr>
            <w:tcW w:w="3330" w:type="dxa"/>
            <w:gridSpan w:val="2"/>
            <w:tcBorders>
              <w:top w:val="nil"/>
              <w:left w:val="nil"/>
              <w:bottom w:val="nil"/>
              <w:right w:val="nil"/>
              <w:tl2br w:val="nil"/>
              <w:tr2bl w:val="nil"/>
            </w:tcBorders>
            <w:shd w:val="clear" w:color="auto" w:fill="FFFFFF"/>
            <w:tcMar>
              <w:left w:w="101" w:type="dxa"/>
              <w:right w:w="101" w:type="dxa"/>
            </w:tcMar>
            <w:vAlign w:val="bottom"/>
          </w:tcPr>
          <w:p w14:paraId="6BE8E6A9" w14:textId="77777777" w:rsidR="003F0EEA" w:rsidRPr="00A6389F" w:rsidRDefault="00FB7D0B">
            <w:pPr>
              <w:rPr>
                <w:rFonts w:ascii="Arial" w:eastAsia="Arial" w:hAnsi="Arial" w:cs="Arial"/>
                <w:color w:val="000000"/>
                <w:sz w:val="16"/>
                <w:vertAlign w:val="superscript"/>
              </w:rPr>
            </w:pPr>
            <w:r w:rsidRPr="00A6389F">
              <w:rPr>
                <w:rFonts w:ascii="Arial" w:eastAsia="Arial" w:hAnsi="Arial" w:cs="Arial"/>
                <w:color w:val="000000"/>
                <w:sz w:val="16"/>
              </w:rPr>
              <w:t>appropriations</w:t>
            </w:r>
            <w:r w:rsidRPr="00A6389F">
              <w:rPr>
                <w:rFonts w:ascii="Arial" w:eastAsia="Arial" w:hAnsi="Arial" w:cs="Arial"/>
                <w:color w:val="000000"/>
                <w:sz w:val="16"/>
                <w:vertAlign w:val="superscript"/>
              </w:rPr>
              <w:t>1 </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60E5E15F" w14:textId="77777777" w:rsidR="003F0EEA" w:rsidRPr="00A6389F" w:rsidRDefault="00FB7D0B">
            <w:pPr>
              <w:jc w:val="right"/>
              <w:rPr>
                <w:rFonts w:ascii="Arial" w:eastAsia="Arial" w:hAnsi="Arial" w:cs="Arial"/>
                <w:color w:val="000000"/>
                <w:sz w:val="16"/>
                <w:vertAlign w:val="superscript"/>
              </w:rPr>
            </w:pPr>
            <w:r w:rsidRPr="00A6389F">
              <w:rPr>
                <w:rFonts w:ascii="Arial" w:eastAsia="Arial" w:hAnsi="Arial" w:cs="Arial"/>
                <w:color w:val="000000"/>
                <w:sz w:val="16"/>
              </w:rPr>
              <w:t>29,071 </w:t>
            </w:r>
          </w:p>
        </w:tc>
        <w:tc>
          <w:tcPr>
            <w:tcW w:w="915" w:type="dxa"/>
            <w:tcBorders>
              <w:top w:val="nil"/>
              <w:left w:val="nil"/>
              <w:bottom w:val="nil"/>
              <w:right w:val="nil"/>
              <w:tl2br w:val="nil"/>
              <w:tr2bl w:val="nil"/>
            </w:tcBorders>
            <w:shd w:val="clear" w:color="auto" w:fill="FFFF00"/>
            <w:tcMar>
              <w:left w:w="101" w:type="dxa"/>
              <w:right w:w="101" w:type="dxa"/>
            </w:tcMar>
            <w:vAlign w:val="bottom"/>
          </w:tcPr>
          <w:p w14:paraId="6E03DCA4" w14:textId="77777777" w:rsidR="003F0EEA" w:rsidRPr="00A6389F" w:rsidRDefault="00FB7D0B">
            <w:pPr>
              <w:jc w:val="right"/>
              <w:rPr>
                <w:rFonts w:ascii="Arial" w:eastAsia="Arial" w:hAnsi="Arial" w:cs="Arial"/>
                <w:color w:val="000000"/>
                <w:sz w:val="16"/>
              </w:rPr>
            </w:pPr>
            <w:r w:rsidRPr="00A6389F">
              <w:rPr>
                <w:rFonts w:ascii="Arial" w:eastAsia="Arial" w:hAnsi="Arial" w:cs="Arial"/>
                <w:color w:val="000000"/>
                <w:sz w:val="16"/>
              </w:rPr>
              <w:t>32,665 </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25346555" w14:textId="77777777" w:rsidR="003F0EEA" w:rsidRPr="00A6389F" w:rsidRDefault="00FB7D0B">
            <w:pPr>
              <w:jc w:val="right"/>
              <w:rPr>
                <w:rFonts w:ascii="Arial" w:eastAsia="Arial" w:hAnsi="Arial" w:cs="Arial"/>
                <w:color w:val="000000"/>
                <w:sz w:val="16"/>
              </w:rPr>
            </w:pPr>
            <w:r w:rsidRPr="00A6389F">
              <w:rPr>
                <w:rFonts w:ascii="Arial" w:eastAsia="Arial" w:hAnsi="Arial" w:cs="Arial"/>
                <w:color w:val="000000"/>
                <w:sz w:val="16"/>
              </w:rPr>
              <w:t>29,641 </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66203B21" w14:textId="77777777" w:rsidR="003F0EEA" w:rsidRPr="00A6389F" w:rsidRDefault="00FB7D0B">
            <w:pPr>
              <w:jc w:val="right"/>
              <w:rPr>
                <w:rFonts w:ascii="Arial" w:eastAsia="Arial" w:hAnsi="Arial" w:cs="Arial"/>
                <w:color w:val="000000"/>
                <w:sz w:val="16"/>
              </w:rPr>
            </w:pPr>
            <w:r w:rsidRPr="00A6389F">
              <w:rPr>
                <w:rFonts w:ascii="Arial" w:eastAsia="Arial" w:hAnsi="Arial" w:cs="Arial"/>
                <w:color w:val="000000"/>
                <w:sz w:val="16"/>
              </w:rPr>
              <w:t>27,120 </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7D89453D" w14:textId="77777777" w:rsidR="003F0EEA" w:rsidRPr="00A6389F" w:rsidRDefault="00FB7D0B">
            <w:pPr>
              <w:jc w:val="right"/>
              <w:rPr>
                <w:rFonts w:ascii="Arial" w:eastAsia="Arial" w:hAnsi="Arial" w:cs="Arial"/>
                <w:color w:val="000000"/>
                <w:sz w:val="16"/>
              </w:rPr>
            </w:pPr>
            <w:r w:rsidRPr="00A6389F">
              <w:rPr>
                <w:rFonts w:ascii="Arial" w:eastAsia="Arial" w:hAnsi="Arial" w:cs="Arial"/>
                <w:color w:val="000000"/>
                <w:sz w:val="16"/>
              </w:rPr>
              <w:t>22,530 </w:t>
            </w:r>
          </w:p>
        </w:tc>
      </w:tr>
      <w:tr w:rsidR="00724034" w14:paraId="746A5893" w14:textId="77777777">
        <w:trPr>
          <w:trHeight w:val="225"/>
        </w:trPr>
        <w:tc>
          <w:tcPr>
            <w:tcW w:w="180" w:type="dxa"/>
            <w:tcBorders>
              <w:top w:val="nil"/>
              <w:left w:val="nil"/>
              <w:bottom w:val="nil"/>
              <w:right w:val="nil"/>
              <w:tl2br w:val="nil"/>
              <w:tr2bl w:val="nil"/>
            </w:tcBorders>
            <w:shd w:val="clear" w:color="auto" w:fill="FFFFFF"/>
            <w:tcMar>
              <w:left w:w="101" w:type="dxa"/>
              <w:right w:w="101" w:type="dxa"/>
            </w:tcMar>
            <w:vAlign w:val="bottom"/>
          </w:tcPr>
          <w:p w14:paraId="1F69C035" w14:textId="77777777" w:rsidR="003F0EEA" w:rsidRPr="00A6389F" w:rsidRDefault="003F0EEA">
            <w:pPr>
              <w:rPr>
                <w:rFonts w:ascii="Arial" w:eastAsia="Arial" w:hAnsi="Arial" w:cs="Arial"/>
                <w:color w:val="000000"/>
                <w:sz w:val="16"/>
              </w:rPr>
            </w:pPr>
          </w:p>
        </w:tc>
        <w:tc>
          <w:tcPr>
            <w:tcW w:w="180" w:type="dxa"/>
            <w:tcBorders>
              <w:top w:val="nil"/>
              <w:left w:val="nil"/>
              <w:bottom w:val="nil"/>
              <w:right w:val="nil"/>
              <w:tl2br w:val="nil"/>
              <w:tr2bl w:val="nil"/>
            </w:tcBorders>
            <w:shd w:val="clear" w:color="auto" w:fill="FFFFFF"/>
            <w:tcMar>
              <w:left w:w="101" w:type="dxa"/>
              <w:right w:w="101" w:type="dxa"/>
            </w:tcMar>
            <w:vAlign w:val="bottom"/>
          </w:tcPr>
          <w:p w14:paraId="36FF6DCC" w14:textId="77777777" w:rsidR="003F0EEA" w:rsidRPr="00A6389F" w:rsidRDefault="003F0EEA">
            <w:pPr>
              <w:rPr>
                <w:rFonts w:ascii="Arial" w:eastAsia="Arial" w:hAnsi="Arial" w:cs="Arial"/>
                <w:color w:val="000000"/>
                <w:sz w:val="16"/>
              </w:rPr>
            </w:pPr>
          </w:p>
        </w:tc>
        <w:tc>
          <w:tcPr>
            <w:tcW w:w="3150" w:type="dxa"/>
            <w:tcBorders>
              <w:top w:val="nil"/>
              <w:left w:val="nil"/>
              <w:bottom w:val="nil"/>
              <w:right w:val="nil"/>
              <w:tl2br w:val="nil"/>
              <w:tr2bl w:val="nil"/>
            </w:tcBorders>
            <w:shd w:val="clear" w:color="auto" w:fill="FFFFFF"/>
            <w:tcMar>
              <w:left w:w="101" w:type="dxa"/>
              <w:right w:w="101" w:type="dxa"/>
            </w:tcMar>
            <w:vAlign w:val="bottom"/>
          </w:tcPr>
          <w:p w14:paraId="0023FBF6" w14:textId="77777777" w:rsidR="003F0EEA" w:rsidRPr="00A6389F" w:rsidRDefault="003F0EEA">
            <w:pPr>
              <w:rPr>
                <w:rFonts w:ascii="Arial" w:eastAsia="Arial" w:hAnsi="Arial" w:cs="Arial"/>
                <w:color w:val="000000"/>
                <w:sz w:val="16"/>
              </w:rPr>
            </w:pP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7F85BF77" w14:textId="77777777" w:rsidR="003F0EEA" w:rsidRPr="00A6389F" w:rsidRDefault="003F0EEA">
            <w:pPr>
              <w:rPr>
                <w:rFonts w:ascii="Arial" w:eastAsia="Arial" w:hAnsi="Arial" w:cs="Arial"/>
                <w:color w:val="000000"/>
                <w:sz w:val="16"/>
                <w:vertAlign w:val="superscript"/>
              </w:rPr>
            </w:pPr>
          </w:p>
        </w:tc>
        <w:tc>
          <w:tcPr>
            <w:tcW w:w="915" w:type="dxa"/>
            <w:tcBorders>
              <w:top w:val="nil"/>
              <w:left w:val="nil"/>
              <w:bottom w:val="nil"/>
              <w:right w:val="nil"/>
              <w:tl2br w:val="nil"/>
              <w:tr2bl w:val="nil"/>
            </w:tcBorders>
            <w:shd w:val="clear" w:color="auto" w:fill="FFFF00"/>
            <w:tcMar>
              <w:left w:w="101" w:type="dxa"/>
              <w:right w:w="101" w:type="dxa"/>
            </w:tcMar>
            <w:vAlign w:val="bottom"/>
          </w:tcPr>
          <w:p w14:paraId="490F33CA" w14:textId="77777777" w:rsidR="003F0EEA" w:rsidRPr="00A6389F" w:rsidRDefault="003F0EEA">
            <w:pPr>
              <w:rPr>
                <w:rFonts w:ascii="Arial" w:eastAsia="Arial" w:hAnsi="Arial" w:cs="Arial"/>
                <w:color w:val="000000"/>
                <w:sz w:val="16"/>
                <w:vertAlign w:val="superscript"/>
              </w:rPr>
            </w:pP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6742A279" w14:textId="77777777" w:rsidR="003F0EEA" w:rsidRPr="00A6389F" w:rsidRDefault="003F0EEA">
            <w:pPr>
              <w:rPr>
                <w:rFonts w:ascii="Arial" w:eastAsia="Arial" w:hAnsi="Arial" w:cs="Arial"/>
                <w:color w:val="000000"/>
                <w:sz w:val="16"/>
                <w:vertAlign w:val="superscript"/>
              </w:rPr>
            </w:pP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025FF0D9" w14:textId="77777777" w:rsidR="003F0EEA" w:rsidRPr="00A6389F" w:rsidRDefault="003F0EEA">
            <w:pPr>
              <w:rPr>
                <w:rFonts w:ascii="Arial" w:eastAsia="Arial" w:hAnsi="Arial" w:cs="Arial"/>
                <w:color w:val="000000"/>
                <w:sz w:val="16"/>
                <w:vertAlign w:val="superscript"/>
              </w:rPr>
            </w:pP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35A77618" w14:textId="77777777" w:rsidR="003F0EEA" w:rsidRPr="00A6389F" w:rsidRDefault="003F0EEA">
            <w:pPr>
              <w:rPr>
                <w:rFonts w:ascii="Arial" w:eastAsia="Arial" w:hAnsi="Arial" w:cs="Arial"/>
                <w:color w:val="000000"/>
                <w:sz w:val="16"/>
                <w:vertAlign w:val="superscript"/>
              </w:rPr>
            </w:pPr>
          </w:p>
        </w:tc>
      </w:tr>
      <w:tr w:rsidR="00FB7D0B" w14:paraId="5D74A066" w14:textId="77777777" w:rsidTr="00FB7D0B">
        <w:trPr>
          <w:trHeight w:val="225"/>
        </w:trPr>
        <w:tc>
          <w:tcPr>
            <w:tcW w:w="3510" w:type="dxa"/>
            <w:gridSpan w:val="3"/>
            <w:tcBorders>
              <w:top w:val="nil"/>
              <w:left w:val="nil"/>
              <w:bottom w:val="nil"/>
              <w:right w:val="nil"/>
              <w:tl2br w:val="nil"/>
              <w:tr2bl w:val="nil"/>
            </w:tcBorders>
            <w:shd w:val="clear" w:color="auto" w:fill="FFFFFF"/>
            <w:tcMar>
              <w:left w:w="101" w:type="dxa"/>
              <w:right w:w="101" w:type="dxa"/>
            </w:tcMar>
            <w:vAlign w:val="bottom"/>
          </w:tcPr>
          <w:p w14:paraId="2ED4F8CA" w14:textId="77777777" w:rsidR="003F0EEA" w:rsidRPr="00A6389F" w:rsidRDefault="00FB7D0B">
            <w:pPr>
              <w:rPr>
                <w:rFonts w:ascii="Arial" w:eastAsia="Arial" w:hAnsi="Arial" w:cs="Arial"/>
                <w:color w:val="000000"/>
                <w:sz w:val="16"/>
                <w:vertAlign w:val="superscript"/>
              </w:rPr>
            </w:pPr>
            <w:r w:rsidRPr="00A6389F">
              <w:rPr>
                <w:rFonts w:ascii="Arial" w:eastAsia="Arial" w:hAnsi="Arial" w:cs="Arial"/>
                <w:b/>
                <w:color w:val="000000"/>
                <w:sz w:val="16"/>
              </w:rPr>
              <w:t>Total Comprehensive Income</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3B591AC0" w14:textId="77777777" w:rsidR="003F0EEA" w:rsidRPr="00A6389F" w:rsidRDefault="003F0EEA">
            <w:pPr>
              <w:rPr>
                <w:rFonts w:ascii="Arial" w:eastAsia="Arial" w:hAnsi="Arial" w:cs="Arial"/>
                <w:b/>
                <w:color w:val="000000"/>
                <w:sz w:val="16"/>
                <w:vertAlign w:val="superscript"/>
              </w:rPr>
            </w:pPr>
          </w:p>
        </w:tc>
        <w:tc>
          <w:tcPr>
            <w:tcW w:w="915" w:type="dxa"/>
            <w:tcBorders>
              <w:top w:val="nil"/>
              <w:left w:val="nil"/>
              <w:bottom w:val="nil"/>
              <w:right w:val="nil"/>
              <w:tl2br w:val="nil"/>
              <w:tr2bl w:val="nil"/>
            </w:tcBorders>
            <w:shd w:val="clear" w:color="auto" w:fill="FFFF00"/>
            <w:tcMar>
              <w:left w:w="101" w:type="dxa"/>
              <w:right w:w="101" w:type="dxa"/>
            </w:tcMar>
            <w:vAlign w:val="bottom"/>
          </w:tcPr>
          <w:p w14:paraId="64640885" w14:textId="77777777" w:rsidR="003F0EEA" w:rsidRPr="00A6389F" w:rsidRDefault="003F0EEA">
            <w:pPr>
              <w:rPr>
                <w:rFonts w:ascii="Arial" w:eastAsia="Arial" w:hAnsi="Arial" w:cs="Arial"/>
                <w:color w:val="000000"/>
                <w:sz w:val="16"/>
                <w:vertAlign w:val="superscript"/>
              </w:rPr>
            </w:pP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6CA7CF2C" w14:textId="77777777" w:rsidR="003F0EEA" w:rsidRPr="00A6389F" w:rsidRDefault="003F0EEA">
            <w:pPr>
              <w:rPr>
                <w:rFonts w:ascii="Arial" w:eastAsia="Arial" w:hAnsi="Arial" w:cs="Arial"/>
                <w:color w:val="000000"/>
                <w:sz w:val="16"/>
                <w:vertAlign w:val="superscript"/>
              </w:rPr>
            </w:pP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7CC3CAA9" w14:textId="77777777" w:rsidR="003F0EEA" w:rsidRPr="00A6389F" w:rsidRDefault="003F0EEA">
            <w:pPr>
              <w:rPr>
                <w:rFonts w:ascii="Arial" w:eastAsia="Arial" w:hAnsi="Arial" w:cs="Arial"/>
                <w:color w:val="000000"/>
                <w:sz w:val="16"/>
                <w:vertAlign w:val="superscript"/>
              </w:rPr>
            </w:pP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7E42A303" w14:textId="77777777" w:rsidR="003F0EEA" w:rsidRPr="00A6389F" w:rsidRDefault="003F0EEA">
            <w:pPr>
              <w:rPr>
                <w:rFonts w:ascii="Arial" w:eastAsia="Arial" w:hAnsi="Arial" w:cs="Arial"/>
                <w:color w:val="000000"/>
                <w:sz w:val="16"/>
                <w:vertAlign w:val="superscript"/>
              </w:rPr>
            </w:pPr>
          </w:p>
        </w:tc>
      </w:tr>
      <w:tr w:rsidR="00FB7D0B" w14:paraId="20F1443A" w14:textId="77777777" w:rsidTr="00FB7D0B">
        <w:trPr>
          <w:trHeight w:val="225"/>
        </w:trPr>
        <w:tc>
          <w:tcPr>
            <w:tcW w:w="180" w:type="dxa"/>
            <w:tcBorders>
              <w:top w:val="nil"/>
              <w:left w:val="nil"/>
              <w:bottom w:val="nil"/>
              <w:right w:val="nil"/>
              <w:tl2br w:val="nil"/>
              <w:tr2bl w:val="nil"/>
            </w:tcBorders>
            <w:shd w:val="clear" w:color="auto" w:fill="FFFFFF"/>
            <w:tcMar>
              <w:left w:w="101" w:type="dxa"/>
              <w:right w:w="101" w:type="dxa"/>
            </w:tcMar>
            <w:vAlign w:val="bottom"/>
          </w:tcPr>
          <w:p w14:paraId="5E3A6210" w14:textId="77777777" w:rsidR="003F0EEA" w:rsidRPr="00A6389F" w:rsidRDefault="003F0EEA">
            <w:pPr>
              <w:rPr>
                <w:rFonts w:ascii="Arial" w:eastAsia="Arial" w:hAnsi="Arial" w:cs="Arial"/>
                <w:color w:val="000000"/>
                <w:sz w:val="16"/>
                <w:vertAlign w:val="superscript"/>
              </w:rPr>
            </w:pPr>
          </w:p>
        </w:tc>
        <w:tc>
          <w:tcPr>
            <w:tcW w:w="3330" w:type="dxa"/>
            <w:gridSpan w:val="2"/>
            <w:tcBorders>
              <w:top w:val="nil"/>
              <w:left w:val="nil"/>
              <w:bottom w:val="nil"/>
              <w:right w:val="nil"/>
              <w:tl2br w:val="nil"/>
              <w:tr2bl w:val="nil"/>
            </w:tcBorders>
            <w:shd w:val="clear" w:color="auto" w:fill="FFFFFF"/>
            <w:tcMar>
              <w:left w:w="101" w:type="dxa"/>
              <w:right w:w="101" w:type="dxa"/>
            </w:tcMar>
            <w:vAlign w:val="bottom"/>
          </w:tcPr>
          <w:p w14:paraId="00D0E711" w14:textId="77777777" w:rsidR="003F0EEA" w:rsidRPr="00A6389F" w:rsidRDefault="00FB7D0B">
            <w:pPr>
              <w:rPr>
                <w:rFonts w:ascii="Arial" w:eastAsia="Arial" w:hAnsi="Arial" w:cs="Arial"/>
                <w:b/>
                <w:color w:val="000000"/>
                <w:sz w:val="16"/>
                <w:vertAlign w:val="superscript"/>
              </w:rPr>
            </w:pPr>
            <w:r w:rsidRPr="00A6389F">
              <w:rPr>
                <w:rFonts w:ascii="Arial" w:eastAsia="Arial" w:hAnsi="Arial" w:cs="Arial"/>
                <w:b/>
                <w:color w:val="000000"/>
                <w:sz w:val="16"/>
              </w:rPr>
              <w:t xml:space="preserve">(loss) - as per the Statement of </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693D3630" w14:textId="77777777" w:rsidR="003F0EEA" w:rsidRPr="00A6389F" w:rsidRDefault="003F0EEA">
            <w:pPr>
              <w:rPr>
                <w:rFonts w:ascii="Arial" w:eastAsia="Arial" w:hAnsi="Arial" w:cs="Arial"/>
                <w:b/>
                <w:color w:val="000000"/>
                <w:sz w:val="16"/>
                <w:vertAlign w:val="superscript"/>
              </w:rPr>
            </w:pPr>
          </w:p>
        </w:tc>
        <w:tc>
          <w:tcPr>
            <w:tcW w:w="915" w:type="dxa"/>
            <w:tcBorders>
              <w:top w:val="nil"/>
              <w:left w:val="nil"/>
              <w:bottom w:val="nil"/>
              <w:right w:val="nil"/>
              <w:tl2br w:val="nil"/>
              <w:tr2bl w:val="nil"/>
            </w:tcBorders>
            <w:shd w:val="clear" w:color="auto" w:fill="FFFF00"/>
            <w:tcMar>
              <w:left w:w="101" w:type="dxa"/>
              <w:right w:w="101" w:type="dxa"/>
            </w:tcMar>
            <w:vAlign w:val="bottom"/>
          </w:tcPr>
          <w:p w14:paraId="6C54C66C" w14:textId="77777777" w:rsidR="003F0EEA" w:rsidRPr="00A6389F" w:rsidRDefault="003F0EEA">
            <w:pPr>
              <w:rPr>
                <w:rFonts w:ascii="Arial" w:eastAsia="Arial" w:hAnsi="Arial" w:cs="Arial"/>
                <w:color w:val="000000"/>
                <w:sz w:val="16"/>
                <w:vertAlign w:val="superscript"/>
              </w:rPr>
            </w:pP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0B4D13A0" w14:textId="77777777" w:rsidR="003F0EEA" w:rsidRPr="00A6389F" w:rsidRDefault="003F0EEA">
            <w:pPr>
              <w:rPr>
                <w:rFonts w:ascii="Arial" w:eastAsia="Arial" w:hAnsi="Arial" w:cs="Arial"/>
                <w:color w:val="000000"/>
                <w:sz w:val="16"/>
                <w:vertAlign w:val="superscript"/>
              </w:rPr>
            </w:pP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26F6944E" w14:textId="77777777" w:rsidR="003F0EEA" w:rsidRPr="00A6389F" w:rsidRDefault="003F0EEA">
            <w:pPr>
              <w:rPr>
                <w:rFonts w:ascii="Arial" w:eastAsia="Arial" w:hAnsi="Arial" w:cs="Arial"/>
                <w:color w:val="000000"/>
                <w:sz w:val="16"/>
                <w:vertAlign w:val="superscript"/>
              </w:rPr>
            </w:pP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5CA42A22" w14:textId="77777777" w:rsidR="003F0EEA" w:rsidRPr="00A6389F" w:rsidRDefault="003F0EEA">
            <w:pPr>
              <w:rPr>
                <w:rFonts w:ascii="Arial" w:eastAsia="Arial" w:hAnsi="Arial" w:cs="Arial"/>
                <w:color w:val="000000"/>
                <w:sz w:val="16"/>
                <w:vertAlign w:val="superscript"/>
              </w:rPr>
            </w:pPr>
          </w:p>
        </w:tc>
      </w:tr>
      <w:tr w:rsidR="00FB7D0B" w14:paraId="1EC3582E" w14:textId="77777777" w:rsidTr="00FB7D0B">
        <w:trPr>
          <w:trHeight w:val="225"/>
        </w:trPr>
        <w:tc>
          <w:tcPr>
            <w:tcW w:w="180"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62D331CC" w14:textId="77777777" w:rsidR="003F0EEA" w:rsidRPr="00A6389F" w:rsidRDefault="003F0EEA">
            <w:pPr>
              <w:rPr>
                <w:rFonts w:ascii="Arial" w:eastAsia="Arial" w:hAnsi="Arial" w:cs="Arial"/>
                <w:color w:val="000000"/>
                <w:sz w:val="16"/>
                <w:vertAlign w:val="superscript"/>
              </w:rPr>
            </w:pPr>
          </w:p>
        </w:tc>
        <w:tc>
          <w:tcPr>
            <w:tcW w:w="3330" w:type="dxa"/>
            <w:gridSpan w:val="2"/>
            <w:tcBorders>
              <w:top w:val="nil"/>
              <w:left w:val="nil"/>
              <w:bottom w:val="single" w:sz="6" w:space="0" w:color="000000"/>
              <w:right w:val="nil"/>
              <w:tl2br w:val="nil"/>
              <w:tr2bl w:val="nil"/>
            </w:tcBorders>
            <w:shd w:val="clear" w:color="auto" w:fill="FFFFFF"/>
            <w:tcMar>
              <w:left w:w="101" w:type="dxa"/>
              <w:right w:w="101" w:type="dxa"/>
            </w:tcMar>
            <w:vAlign w:val="bottom"/>
          </w:tcPr>
          <w:p w14:paraId="5B2A38F2" w14:textId="77777777" w:rsidR="003F0EEA" w:rsidRPr="00A6389F" w:rsidRDefault="00FB7D0B">
            <w:pPr>
              <w:rPr>
                <w:rFonts w:ascii="Arial" w:eastAsia="Arial" w:hAnsi="Arial" w:cs="Arial"/>
                <w:b/>
                <w:color w:val="000000"/>
                <w:sz w:val="16"/>
                <w:vertAlign w:val="superscript"/>
              </w:rPr>
            </w:pPr>
            <w:r w:rsidRPr="00A6389F">
              <w:rPr>
                <w:rFonts w:ascii="Arial" w:eastAsia="Arial" w:hAnsi="Arial" w:cs="Arial"/>
                <w:b/>
                <w:color w:val="000000"/>
                <w:sz w:val="16"/>
              </w:rPr>
              <w:t>Comprehensive Income</w:t>
            </w:r>
          </w:p>
        </w:tc>
        <w:tc>
          <w:tcPr>
            <w:tcW w:w="915"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7DD793F2" w14:textId="77777777" w:rsidR="003F0EEA" w:rsidRPr="00A6389F" w:rsidRDefault="00FB7D0B">
            <w:pPr>
              <w:jc w:val="right"/>
              <w:rPr>
                <w:rFonts w:ascii="Arial" w:eastAsia="Arial" w:hAnsi="Arial" w:cs="Arial"/>
                <w:b/>
                <w:color w:val="000000"/>
                <w:sz w:val="16"/>
                <w:vertAlign w:val="superscript"/>
              </w:rPr>
            </w:pPr>
            <w:r w:rsidRPr="00A6389F">
              <w:rPr>
                <w:rFonts w:ascii="Arial" w:eastAsia="Arial" w:hAnsi="Arial" w:cs="Arial"/>
                <w:b/>
                <w:color w:val="000000"/>
                <w:sz w:val="16"/>
              </w:rPr>
              <w:t>2,407 </w:t>
            </w:r>
          </w:p>
        </w:tc>
        <w:tc>
          <w:tcPr>
            <w:tcW w:w="915" w:type="dxa"/>
            <w:tcBorders>
              <w:top w:val="nil"/>
              <w:left w:val="nil"/>
              <w:bottom w:val="single" w:sz="6" w:space="0" w:color="000000"/>
              <w:right w:val="nil"/>
              <w:tl2br w:val="nil"/>
              <w:tr2bl w:val="nil"/>
            </w:tcBorders>
            <w:shd w:val="clear" w:color="auto" w:fill="FFFF00"/>
            <w:tcMar>
              <w:left w:w="101" w:type="dxa"/>
              <w:right w:w="101" w:type="dxa"/>
            </w:tcMar>
            <w:vAlign w:val="bottom"/>
          </w:tcPr>
          <w:p w14:paraId="5253AAAA" w14:textId="77777777" w:rsidR="003F0EEA" w:rsidRPr="00A6389F" w:rsidRDefault="00FB7D0B">
            <w:pPr>
              <w:jc w:val="right"/>
              <w:rPr>
                <w:rFonts w:ascii="Arial" w:eastAsia="Arial" w:hAnsi="Arial" w:cs="Arial"/>
                <w:b/>
                <w:color w:val="000000"/>
                <w:sz w:val="16"/>
              </w:rPr>
            </w:pPr>
            <w:r w:rsidRPr="00A6389F">
              <w:rPr>
                <w:rFonts w:ascii="Arial" w:eastAsia="Arial" w:hAnsi="Arial" w:cs="Arial"/>
                <w:b/>
                <w:color w:val="000000"/>
                <w:sz w:val="16"/>
              </w:rPr>
              <w:t>3,504 </w:t>
            </w:r>
          </w:p>
        </w:tc>
        <w:tc>
          <w:tcPr>
            <w:tcW w:w="915"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6EC7306B" w14:textId="77777777" w:rsidR="003F0EEA" w:rsidRPr="00A6389F" w:rsidRDefault="00FB7D0B">
            <w:pPr>
              <w:jc w:val="right"/>
              <w:rPr>
                <w:rFonts w:ascii="Arial" w:eastAsia="Arial" w:hAnsi="Arial" w:cs="Arial"/>
                <w:b/>
                <w:color w:val="000000"/>
                <w:sz w:val="16"/>
              </w:rPr>
            </w:pPr>
            <w:r w:rsidRPr="00A6389F">
              <w:rPr>
                <w:rFonts w:ascii="Arial" w:eastAsia="Arial" w:hAnsi="Arial" w:cs="Arial"/>
                <w:b/>
                <w:color w:val="000000"/>
                <w:sz w:val="16"/>
              </w:rPr>
              <w:t>4,865 </w:t>
            </w:r>
          </w:p>
        </w:tc>
        <w:tc>
          <w:tcPr>
            <w:tcW w:w="915"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6A9971F4" w14:textId="77777777" w:rsidR="003F0EEA" w:rsidRPr="00A6389F" w:rsidRDefault="00FB7D0B">
            <w:pPr>
              <w:jc w:val="right"/>
              <w:rPr>
                <w:rFonts w:ascii="Arial" w:eastAsia="Arial" w:hAnsi="Arial" w:cs="Arial"/>
                <w:b/>
                <w:color w:val="000000"/>
                <w:sz w:val="16"/>
              </w:rPr>
            </w:pPr>
            <w:r w:rsidRPr="00A6389F">
              <w:rPr>
                <w:rFonts w:ascii="Arial" w:eastAsia="Arial" w:hAnsi="Arial" w:cs="Arial"/>
                <w:b/>
                <w:color w:val="000000"/>
                <w:sz w:val="16"/>
              </w:rPr>
              <w:t>6,445 </w:t>
            </w:r>
          </w:p>
        </w:tc>
        <w:tc>
          <w:tcPr>
            <w:tcW w:w="915"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1BB58BDD" w14:textId="77777777" w:rsidR="003F0EEA" w:rsidRPr="00A6389F" w:rsidRDefault="00FB7D0B">
            <w:pPr>
              <w:jc w:val="right"/>
              <w:rPr>
                <w:rFonts w:ascii="Arial" w:eastAsia="Arial" w:hAnsi="Arial" w:cs="Arial"/>
                <w:b/>
                <w:color w:val="000000"/>
                <w:sz w:val="16"/>
              </w:rPr>
            </w:pPr>
            <w:r w:rsidRPr="00A6389F">
              <w:rPr>
                <w:rFonts w:ascii="Arial" w:eastAsia="Arial" w:hAnsi="Arial" w:cs="Arial"/>
                <w:b/>
                <w:color w:val="000000"/>
                <w:sz w:val="16"/>
              </w:rPr>
              <w:t>8,269 </w:t>
            </w:r>
          </w:p>
        </w:tc>
      </w:tr>
    </w:tbl>
    <w:p w14:paraId="471AADB5" w14:textId="77777777" w:rsidR="003F0EEA" w:rsidRDefault="00FB7D0B" w:rsidP="003F0EEA">
      <w:pPr>
        <w:pStyle w:val="Source3"/>
      </w:pPr>
      <w:r>
        <w:t>Prepared on Australian Accounting Standards basis</w:t>
      </w:r>
    </w:p>
    <w:p w14:paraId="6586E027" w14:textId="77777777" w:rsidR="003F0EEA" w:rsidRDefault="003F0EEA" w:rsidP="003F0EEA">
      <w:pPr>
        <w:pStyle w:val="Source3"/>
      </w:pPr>
    </w:p>
    <w:p w14:paraId="02522B7D" w14:textId="77777777" w:rsidR="003F0EEA" w:rsidRPr="00AE3DD3" w:rsidRDefault="00FB7D0B" w:rsidP="003F0EEA">
      <w:pPr>
        <w:pStyle w:val="Source3"/>
      </w:pPr>
      <w:r>
        <w:t xml:space="preserve">1. </w:t>
      </w:r>
      <w:r w:rsidRPr="007B142F">
        <w:t>From 2010-11, the Government introduced net cash appropriation arrangements where Bill 1 revenue appropriations for the depreciation/amortisation expenses of FMA Act agencies were replaced with a separate capital budget (the Departmental Capital Budget, or DCB) provided through Bill 1 equity appropriations. For information regarding DCBs, please refer to Table 3.2.5 Departmental Capital Budget Statement.</w:t>
      </w:r>
    </w:p>
    <w:p w14:paraId="255AFC6E" w14:textId="77777777" w:rsidR="003F0EEA" w:rsidRPr="00AE3DD3" w:rsidRDefault="00FB7D0B">
      <w:pPr>
        <w:spacing w:line="14" w:lineRule="exact"/>
        <w:rPr>
          <w:rFonts w:eastAsia="Times New Roman" w:cs="Times New Roman"/>
        </w:rPr>
      </w:pPr>
      <w:r w:rsidRPr="00AE3DD3">
        <w:rPr>
          <w:rFonts w:eastAsia="Times New Roman" w:cs="Times New Roman"/>
        </w:rPr>
        <w:br w:type="page"/>
      </w:r>
    </w:p>
    <w:p w14:paraId="2E92CD46" w14:textId="77777777" w:rsidR="003F0EEA" w:rsidRDefault="00FB7D0B" w:rsidP="003F0EEA">
      <w:pPr>
        <w:pStyle w:val="TableHeading11"/>
        <w:spacing w:after="0"/>
        <w:rPr>
          <w:rFonts w:eastAsia="Calibri"/>
        </w:rPr>
      </w:pPr>
      <w:r>
        <w:rPr>
          <w:rFonts w:eastAsia="Calibri"/>
        </w:rPr>
        <w:t xml:space="preserve">Table 3.2.2a: Budgeted Departmental Balance Sheet (amalgamated) </w:t>
      </w:r>
    </w:p>
    <w:p w14:paraId="50D9C195" w14:textId="77777777" w:rsidR="003F0EEA" w:rsidRPr="0092199D" w:rsidRDefault="00FB7D0B" w:rsidP="003F0EEA">
      <w:pPr>
        <w:pStyle w:val="TableHeading11"/>
        <w:spacing w:before="0" w:after="0"/>
        <w:rPr>
          <w:rFonts w:eastAsia="Calibri"/>
        </w:rPr>
      </w:pPr>
      <w:r w:rsidRPr="0092199D">
        <w:rPr>
          <w:rFonts w:eastAsia="Calibri"/>
        </w:rPr>
        <w:t>as at 30</w:t>
      </w:r>
      <w:r w:rsidRPr="0092199D">
        <w:rPr>
          <w:rFonts w:eastAsia="Calibri"/>
          <w:snapToGrid w:val="0"/>
        </w:rPr>
        <w:t> June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2"/>
        <w:gridCol w:w="222"/>
        <w:gridCol w:w="2700"/>
        <w:gridCol w:w="930"/>
        <w:gridCol w:w="930"/>
        <w:gridCol w:w="930"/>
        <w:gridCol w:w="975"/>
        <w:gridCol w:w="975"/>
      </w:tblGrid>
      <w:tr w:rsidR="00724034" w14:paraId="1234286E" w14:textId="77777777">
        <w:trPr>
          <w:trHeight w:val="225"/>
        </w:trPr>
        <w:tc>
          <w:tcPr>
            <w:tcW w:w="180"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4CE45216" w14:textId="77777777" w:rsidR="003F0EEA" w:rsidRPr="0092199D" w:rsidRDefault="003F0EEA"/>
        </w:tc>
        <w:tc>
          <w:tcPr>
            <w:tcW w:w="180"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6E2DF17A" w14:textId="77777777" w:rsidR="003F0EEA" w:rsidRPr="0092199D" w:rsidRDefault="003F0EEA">
            <w:pPr>
              <w:rPr>
                <w:rFonts w:ascii="Arial" w:eastAsia="Arial" w:hAnsi="Arial" w:cs="Arial"/>
                <w:color w:val="000000"/>
                <w:sz w:val="16"/>
              </w:rPr>
            </w:pPr>
          </w:p>
        </w:tc>
        <w:tc>
          <w:tcPr>
            <w:tcW w:w="2700"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7395CD34" w14:textId="77777777" w:rsidR="003F0EEA" w:rsidRPr="0092199D" w:rsidRDefault="003F0EEA">
            <w:pPr>
              <w:rPr>
                <w:rFonts w:ascii="Arial" w:eastAsia="Arial" w:hAnsi="Arial" w:cs="Arial"/>
                <w:color w:val="000000"/>
                <w:sz w:val="16"/>
              </w:rPr>
            </w:pPr>
          </w:p>
        </w:tc>
        <w:tc>
          <w:tcPr>
            <w:tcW w:w="930"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54EE35B5" w14:textId="77777777" w:rsidR="003F0EEA" w:rsidRPr="0092199D" w:rsidRDefault="00FB7D0B">
            <w:pPr>
              <w:jc w:val="right"/>
              <w:rPr>
                <w:rFonts w:ascii="Arial" w:eastAsia="Arial" w:hAnsi="Arial" w:cs="Arial"/>
                <w:color w:val="000000"/>
                <w:sz w:val="16"/>
              </w:rPr>
            </w:pPr>
            <w:r w:rsidRPr="0092199D">
              <w:rPr>
                <w:rFonts w:ascii="Arial" w:eastAsia="Arial" w:hAnsi="Arial" w:cs="Arial"/>
                <w:color w:val="000000"/>
                <w:sz w:val="16"/>
              </w:rPr>
              <w:t>Estimated</w:t>
            </w:r>
          </w:p>
        </w:tc>
        <w:tc>
          <w:tcPr>
            <w:tcW w:w="930" w:type="dxa"/>
            <w:tcBorders>
              <w:top w:val="single" w:sz="6" w:space="0" w:color="000000"/>
              <w:left w:val="nil"/>
              <w:bottom w:val="nil"/>
              <w:right w:val="nil"/>
              <w:tl2br w:val="nil"/>
              <w:tr2bl w:val="nil"/>
            </w:tcBorders>
            <w:shd w:val="clear" w:color="auto" w:fill="FFFF00"/>
            <w:tcMar>
              <w:left w:w="101" w:type="dxa"/>
              <w:right w:w="101" w:type="dxa"/>
            </w:tcMar>
            <w:vAlign w:val="bottom"/>
          </w:tcPr>
          <w:p w14:paraId="518F374C" w14:textId="77777777" w:rsidR="003F0EEA" w:rsidRPr="0092199D" w:rsidRDefault="00FB7D0B">
            <w:pPr>
              <w:jc w:val="right"/>
              <w:rPr>
                <w:rFonts w:ascii="Arial" w:eastAsia="Arial" w:hAnsi="Arial" w:cs="Arial"/>
                <w:color w:val="000000"/>
                <w:sz w:val="16"/>
              </w:rPr>
            </w:pPr>
            <w:r w:rsidRPr="0092199D">
              <w:rPr>
                <w:rFonts w:ascii="Arial" w:eastAsia="Arial" w:hAnsi="Arial" w:cs="Arial"/>
                <w:color w:val="000000"/>
                <w:sz w:val="16"/>
              </w:rPr>
              <w:t>Budget</w:t>
            </w:r>
          </w:p>
        </w:tc>
        <w:tc>
          <w:tcPr>
            <w:tcW w:w="930"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7E493094" w14:textId="77777777" w:rsidR="003F0EEA" w:rsidRPr="0092199D" w:rsidRDefault="00FB7D0B">
            <w:pPr>
              <w:jc w:val="right"/>
              <w:rPr>
                <w:rFonts w:ascii="Arial" w:eastAsia="Arial" w:hAnsi="Arial" w:cs="Arial"/>
                <w:color w:val="000000"/>
                <w:sz w:val="16"/>
              </w:rPr>
            </w:pPr>
            <w:r w:rsidRPr="0092199D">
              <w:rPr>
                <w:rFonts w:ascii="Arial" w:eastAsia="Arial" w:hAnsi="Arial" w:cs="Arial"/>
                <w:color w:val="000000"/>
                <w:sz w:val="16"/>
              </w:rPr>
              <w:t>Forward</w:t>
            </w:r>
          </w:p>
        </w:tc>
        <w:tc>
          <w:tcPr>
            <w:tcW w:w="97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58D99307" w14:textId="77777777" w:rsidR="003F0EEA" w:rsidRPr="0092199D" w:rsidRDefault="00FB7D0B">
            <w:pPr>
              <w:jc w:val="right"/>
              <w:rPr>
                <w:rFonts w:ascii="Arial" w:eastAsia="Arial" w:hAnsi="Arial" w:cs="Arial"/>
                <w:color w:val="000000"/>
                <w:sz w:val="16"/>
              </w:rPr>
            </w:pPr>
            <w:r w:rsidRPr="0092199D">
              <w:rPr>
                <w:rFonts w:ascii="Arial" w:eastAsia="Arial" w:hAnsi="Arial" w:cs="Arial"/>
                <w:color w:val="000000"/>
                <w:sz w:val="16"/>
              </w:rPr>
              <w:t>Forward</w:t>
            </w:r>
          </w:p>
        </w:tc>
        <w:tc>
          <w:tcPr>
            <w:tcW w:w="97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2DEA57B9" w14:textId="77777777" w:rsidR="003F0EEA" w:rsidRPr="0092199D" w:rsidRDefault="00FB7D0B">
            <w:pPr>
              <w:jc w:val="right"/>
              <w:rPr>
                <w:rFonts w:ascii="Arial" w:eastAsia="Arial" w:hAnsi="Arial" w:cs="Arial"/>
                <w:color w:val="000000"/>
                <w:sz w:val="16"/>
              </w:rPr>
            </w:pPr>
            <w:r w:rsidRPr="0092199D">
              <w:rPr>
                <w:rFonts w:ascii="Arial" w:eastAsia="Arial" w:hAnsi="Arial" w:cs="Arial"/>
                <w:color w:val="000000"/>
                <w:sz w:val="16"/>
              </w:rPr>
              <w:t>Forward</w:t>
            </w:r>
          </w:p>
        </w:tc>
      </w:tr>
      <w:tr w:rsidR="00724034" w14:paraId="716F4A9E" w14:textId="77777777">
        <w:trPr>
          <w:trHeight w:val="225"/>
        </w:trPr>
        <w:tc>
          <w:tcPr>
            <w:tcW w:w="180" w:type="dxa"/>
            <w:tcBorders>
              <w:top w:val="nil"/>
              <w:left w:val="nil"/>
              <w:bottom w:val="nil"/>
              <w:right w:val="nil"/>
              <w:tl2br w:val="nil"/>
              <w:tr2bl w:val="nil"/>
            </w:tcBorders>
            <w:shd w:val="clear" w:color="auto" w:fill="FFFFFF"/>
            <w:tcMar>
              <w:left w:w="101" w:type="dxa"/>
              <w:right w:w="101" w:type="dxa"/>
            </w:tcMar>
            <w:vAlign w:val="bottom"/>
          </w:tcPr>
          <w:p w14:paraId="75FFBDBA" w14:textId="77777777" w:rsidR="003F0EEA" w:rsidRPr="0092199D" w:rsidRDefault="003F0EEA">
            <w:pPr>
              <w:rPr>
                <w:rFonts w:ascii="Arial" w:eastAsia="Arial" w:hAnsi="Arial" w:cs="Arial"/>
                <w:color w:val="000000"/>
                <w:sz w:val="16"/>
              </w:rPr>
            </w:pPr>
          </w:p>
        </w:tc>
        <w:tc>
          <w:tcPr>
            <w:tcW w:w="180" w:type="dxa"/>
            <w:tcBorders>
              <w:top w:val="nil"/>
              <w:left w:val="nil"/>
              <w:bottom w:val="nil"/>
              <w:right w:val="nil"/>
              <w:tl2br w:val="nil"/>
              <w:tr2bl w:val="nil"/>
            </w:tcBorders>
            <w:shd w:val="clear" w:color="auto" w:fill="FFFFFF"/>
            <w:tcMar>
              <w:left w:w="101" w:type="dxa"/>
              <w:right w:w="101" w:type="dxa"/>
            </w:tcMar>
            <w:vAlign w:val="bottom"/>
          </w:tcPr>
          <w:p w14:paraId="6F1E8A7E" w14:textId="77777777" w:rsidR="003F0EEA" w:rsidRPr="0092199D" w:rsidRDefault="003F0EEA">
            <w:pPr>
              <w:rPr>
                <w:rFonts w:ascii="Arial" w:eastAsia="Arial" w:hAnsi="Arial" w:cs="Arial"/>
                <w:color w:val="000000"/>
                <w:sz w:val="16"/>
              </w:rPr>
            </w:pPr>
          </w:p>
        </w:tc>
        <w:tc>
          <w:tcPr>
            <w:tcW w:w="2700" w:type="dxa"/>
            <w:tcBorders>
              <w:top w:val="nil"/>
              <w:left w:val="nil"/>
              <w:bottom w:val="nil"/>
              <w:right w:val="nil"/>
              <w:tl2br w:val="nil"/>
              <w:tr2bl w:val="nil"/>
            </w:tcBorders>
            <w:shd w:val="clear" w:color="auto" w:fill="FFFFFF"/>
            <w:tcMar>
              <w:left w:w="101" w:type="dxa"/>
              <w:right w:w="101" w:type="dxa"/>
            </w:tcMar>
            <w:vAlign w:val="bottom"/>
          </w:tcPr>
          <w:p w14:paraId="01B402C8" w14:textId="77777777" w:rsidR="003F0EEA" w:rsidRPr="0092199D" w:rsidRDefault="003F0EEA">
            <w:pPr>
              <w:rPr>
                <w:rFonts w:ascii="Arial" w:eastAsia="Arial" w:hAnsi="Arial" w:cs="Arial"/>
                <w:color w:val="000000"/>
                <w:sz w:val="16"/>
              </w:rPr>
            </w:pPr>
          </w:p>
        </w:tc>
        <w:tc>
          <w:tcPr>
            <w:tcW w:w="930" w:type="dxa"/>
            <w:tcBorders>
              <w:top w:val="nil"/>
              <w:left w:val="nil"/>
              <w:bottom w:val="nil"/>
              <w:right w:val="nil"/>
              <w:tl2br w:val="nil"/>
              <w:tr2bl w:val="nil"/>
            </w:tcBorders>
            <w:shd w:val="clear" w:color="auto" w:fill="FFFFFF"/>
            <w:tcMar>
              <w:left w:w="101" w:type="dxa"/>
              <w:right w:w="101" w:type="dxa"/>
            </w:tcMar>
            <w:vAlign w:val="bottom"/>
          </w:tcPr>
          <w:p w14:paraId="71DB61A2" w14:textId="77777777" w:rsidR="003F0EEA" w:rsidRPr="0092199D" w:rsidRDefault="00FB7D0B">
            <w:pPr>
              <w:jc w:val="right"/>
              <w:rPr>
                <w:rFonts w:ascii="Arial" w:eastAsia="Arial" w:hAnsi="Arial" w:cs="Arial"/>
                <w:color w:val="000000"/>
                <w:sz w:val="16"/>
              </w:rPr>
            </w:pPr>
            <w:r w:rsidRPr="0092199D">
              <w:rPr>
                <w:rFonts w:ascii="Arial" w:eastAsia="Arial" w:hAnsi="Arial" w:cs="Arial"/>
                <w:color w:val="000000"/>
                <w:sz w:val="16"/>
              </w:rPr>
              <w:t>actual</w:t>
            </w:r>
          </w:p>
        </w:tc>
        <w:tc>
          <w:tcPr>
            <w:tcW w:w="930" w:type="dxa"/>
            <w:tcBorders>
              <w:top w:val="nil"/>
              <w:left w:val="nil"/>
              <w:bottom w:val="nil"/>
              <w:right w:val="nil"/>
              <w:tl2br w:val="nil"/>
              <w:tr2bl w:val="nil"/>
            </w:tcBorders>
            <w:shd w:val="clear" w:color="auto" w:fill="FFFF00"/>
            <w:tcMar>
              <w:left w:w="101" w:type="dxa"/>
              <w:right w:w="101" w:type="dxa"/>
            </w:tcMar>
            <w:vAlign w:val="bottom"/>
          </w:tcPr>
          <w:p w14:paraId="083D7FCA" w14:textId="77777777" w:rsidR="003F0EEA" w:rsidRPr="0092199D" w:rsidRDefault="00FB7D0B">
            <w:pPr>
              <w:jc w:val="right"/>
              <w:rPr>
                <w:rFonts w:ascii="Arial" w:eastAsia="Arial" w:hAnsi="Arial" w:cs="Arial"/>
                <w:color w:val="000000"/>
                <w:sz w:val="16"/>
              </w:rPr>
            </w:pPr>
            <w:r w:rsidRPr="0092199D">
              <w:rPr>
                <w:rFonts w:ascii="Arial" w:eastAsia="Arial" w:hAnsi="Arial" w:cs="Arial"/>
                <w:color w:val="000000"/>
                <w:sz w:val="16"/>
              </w:rPr>
              <w:t>estimate</w:t>
            </w:r>
          </w:p>
        </w:tc>
        <w:tc>
          <w:tcPr>
            <w:tcW w:w="930" w:type="dxa"/>
            <w:tcBorders>
              <w:top w:val="nil"/>
              <w:left w:val="nil"/>
              <w:bottom w:val="nil"/>
              <w:right w:val="nil"/>
              <w:tl2br w:val="nil"/>
              <w:tr2bl w:val="nil"/>
            </w:tcBorders>
            <w:shd w:val="clear" w:color="auto" w:fill="FFFFFF"/>
            <w:tcMar>
              <w:left w:w="101" w:type="dxa"/>
              <w:right w:w="101" w:type="dxa"/>
            </w:tcMar>
            <w:vAlign w:val="bottom"/>
          </w:tcPr>
          <w:p w14:paraId="3A5C1D35" w14:textId="77777777" w:rsidR="003F0EEA" w:rsidRPr="0092199D" w:rsidRDefault="00FB7D0B">
            <w:pPr>
              <w:jc w:val="right"/>
              <w:rPr>
                <w:rFonts w:ascii="Arial" w:eastAsia="Arial" w:hAnsi="Arial" w:cs="Arial"/>
                <w:color w:val="000000"/>
                <w:sz w:val="16"/>
              </w:rPr>
            </w:pPr>
            <w:r w:rsidRPr="0092199D">
              <w:rPr>
                <w:rFonts w:ascii="Arial" w:eastAsia="Arial" w:hAnsi="Arial" w:cs="Arial"/>
                <w:color w:val="000000"/>
                <w:sz w:val="16"/>
              </w:rPr>
              <w:t>estimate</w:t>
            </w:r>
          </w:p>
        </w:tc>
        <w:tc>
          <w:tcPr>
            <w:tcW w:w="975" w:type="dxa"/>
            <w:tcBorders>
              <w:top w:val="nil"/>
              <w:left w:val="nil"/>
              <w:bottom w:val="nil"/>
              <w:right w:val="nil"/>
              <w:tl2br w:val="nil"/>
              <w:tr2bl w:val="nil"/>
            </w:tcBorders>
            <w:shd w:val="clear" w:color="auto" w:fill="FFFFFF"/>
            <w:tcMar>
              <w:left w:w="101" w:type="dxa"/>
              <w:right w:w="101" w:type="dxa"/>
            </w:tcMar>
            <w:vAlign w:val="bottom"/>
          </w:tcPr>
          <w:p w14:paraId="7AD95643" w14:textId="77777777" w:rsidR="003F0EEA" w:rsidRPr="0092199D" w:rsidRDefault="00FB7D0B">
            <w:pPr>
              <w:jc w:val="right"/>
              <w:rPr>
                <w:rFonts w:ascii="Arial" w:eastAsia="Arial" w:hAnsi="Arial" w:cs="Arial"/>
                <w:color w:val="000000"/>
                <w:sz w:val="16"/>
              </w:rPr>
            </w:pPr>
            <w:r w:rsidRPr="0092199D">
              <w:rPr>
                <w:rFonts w:ascii="Arial" w:eastAsia="Arial" w:hAnsi="Arial" w:cs="Arial"/>
                <w:color w:val="000000"/>
                <w:sz w:val="16"/>
              </w:rPr>
              <w:t>estimate</w:t>
            </w:r>
          </w:p>
        </w:tc>
        <w:tc>
          <w:tcPr>
            <w:tcW w:w="975" w:type="dxa"/>
            <w:tcBorders>
              <w:top w:val="nil"/>
              <w:left w:val="nil"/>
              <w:bottom w:val="nil"/>
              <w:right w:val="nil"/>
              <w:tl2br w:val="nil"/>
              <w:tr2bl w:val="nil"/>
            </w:tcBorders>
            <w:shd w:val="clear" w:color="auto" w:fill="FFFFFF"/>
            <w:tcMar>
              <w:left w:w="101" w:type="dxa"/>
              <w:right w:w="101" w:type="dxa"/>
            </w:tcMar>
            <w:vAlign w:val="bottom"/>
          </w:tcPr>
          <w:p w14:paraId="7ECF4AA3" w14:textId="77777777" w:rsidR="003F0EEA" w:rsidRPr="0092199D" w:rsidRDefault="00FB7D0B">
            <w:pPr>
              <w:jc w:val="right"/>
              <w:rPr>
                <w:rFonts w:ascii="Arial" w:eastAsia="Arial" w:hAnsi="Arial" w:cs="Arial"/>
                <w:color w:val="000000"/>
                <w:sz w:val="16"/>
              </w:rPr>
            </w:pPr>
            <w:r w:rsidRPr="0092199D">
              <w:rPr>
                <w:rFonts w:ascii="Arial" w:eastAsia="Arial" w:hAnsi="Arial" w:cs="Arial"/>
                <w:color w:val="000000"/>
                <w:sz w:val="16"/>
              </w:rPr>
              <w:t>estimate</w:t>
            </w:r>
          </w:p>
        </w:tc>
      </w:tr>
      <w:tr w:rsidR="00724034" w14:paraId="61F21837" w14:textId="77777777">
        <w:trPr>
          <w:trHeight w:val="225"/>
        </w:trPr>
        <w:tc>
          <w:tcPr>
            <w:tcW w:w="180" w:type="dxa"/>
            <w:tcBorders>
              <w:top w:val="nil"/>
              <w:left w:val="nil"/>
              <w:bottom w:val="nil"/>
              <w:right w:val="nil"/>
              <w:tl2br w:val="nil"/>
              <w:tr2bl w:val="nil"/>
            </w:tcBorders>
            <w:shd w:val="clear" w:color="auto" w:fill="FFFFFF"/>
            <w:tcMar>
              <w:left w:w="101" w:type="dxa"/>
              <w:right w:w="101" w:type="dxa"/>
            </w:tcMar>
            <w:vAlign w:val="bottom"/>
          </w:tcPr>
          <w:p w14:paraId="558E95E5" w14:textId="77777777" w:rsidR="003F0EEA" w:rsidRPr="0092199D" w:rsidRDefault="003F0EEA">
            <w:pPr>
              <w:rPr>
                <w:rFonts w:ascii="Arial" w:eastAsia="Arial" w:hAnsi="Arial" w:cs="Arial"/>
                <w:color w:val="000000"/>
                <w:sz w:val="16"/>
              </w:rPr>
            </w:pPr>
          </w:p>
        </w:tc>
        <w:tc>
          <w:tcPr>
            <w:tcW w:w="180" w:type="dxa"/>
            <w:tcBorders>
              <w:top w:val="nil"/>
              <w:left w:val="nil"/>
              <w:bottom w:val="nil"/>
              <w:right w:val="nil"/>
              <w:tl2br w:val="nil"/>
              <w:tr2bl w:val="nil"/>
            </w:tcBorders>
            <w:shd w:val="clear" w:color="auto" w:fill="FFFFFF"/>
            <w:tcMar>
              <w:left w:w="101" w:type="dxa"/>
              <w:right w:w="101" w:type="dxa"/>
            </w:tcMar>
            <w:vAlign w:val="bottom"/>
          </w:tcPr>
          <w:p w14:paraId="5A194DD4" w14:textId="77777777" w:rsidR="003F0EEA" w:rsidRPr="0092199D" w:rsidRDefault="003F0EEA">
            <w:pPr>
              <w:rPr>
                <w:rFonts w:ascii="Arial" w:eastAsia="Arial" w:hAnsi="Arial" w:cs="Arial"/>
                <w:color w:val="000000"/>
                <w:sz w:val="16"/>
              </w:rPr>
            </w:pPr>
          </w:p>
        </w:tc>
        <w:tc>
          <w:tcPr>
            <w:tcW w:w="2700" w:type="dxa"/>
            <w:tcBorders>
              <w:top w:val="nil"/>
              <w:left w:val="nil"/>
              <w:bottom w:val="nil"/>
              <w:right w:val="nil"/>
              <w:tl2br w:val="nil"/>
              <w:tr2bl w:val="nil"/>
            </w:tcBorders>
            <w:shd w:val="clear" w:color="auto" w:fill="FFFFFF"/>
            <w:tcMar>
              <w:left w:w="101" w:type="dxa"/>
              <w:right w:w="101" w:type="dxa"/>
            </w:tcMar>
            <w:vAlign w:val="bottom"/>
          </w:tcPr>
          <w:p w14:paraId="17CB9D7A" w14:textId="77777777" w:rsidR="003F0EEA" w:rsidRPr="0092199D" w:rsidRDefault="003F0EEA">
            <w:pPr>
              <w:rPr>
                <w:rFonts w:ascii="Arial" w:eastAsia="Arial" w:hAnsi="Arial" w:cs="Arial"/>
                <w:color w:val="000000"/>
                <w:sz w:val="16"/>
              </w:rPr>
            </w:pPr>
          </w:p>
        </w:tc>
        <w:tc>
          <w:tcPr>
            <w:tcW w:w="930" w:type="dxa"/>
            <w:tcBorders>
              <w:top w:val="nil"/>
              <w:left w:val="nil"/>
              <w:bottom w:val="nil"/>
              <w:right w:val="nil"/>
              <w:tl2br w:val="nil"/>
              <w:tr2bl w:val="nil"/>
            </w:tcBorders>
            <w:shd w:val="clear" w:color="auto" w:fill="FFFFFF"/>
            <w:tcMar>
              <w:left w:w="101" w:type="dxa"/>
              <w:right w:w="101" w:type="dxa"/>
            </w:tcMar>
            <w:vAlign w:val="bottom"/>
          </w:tcPr>
          <w:p w14:paraId="79651487" w14:textId="77777777" w:rsidR="003F0EEA" w:rsidRPr="0092199D" w:rsidRDefault="00FB7D0B">
            <w:pPr>
              <w:jc w:val="right"/>
              <w:rPr>
                <w:rFonts w:ascii="Arial" w:eastAsia="Arial" w:hAnsi="Arial" w:cs="Arial"/>
                <w:color w:val="000000"/>
                <w:sz w:val="16"/>
              </w:rPr>
            </w:pPr>
            <w:r w:rsidRPr="0092199D">
              <w:rPr>
                <w:rFonts w:ascii="Arial" w:eastAsia="Arial" w:hAnsi="Arial" w:cs="Arial"/>
                <w:color w:val="000000"/>
                <w:sz w:val="16"/>
              </w:rPr>
              <w:t>2013-14</w:t>
            </w:r>
          </w:p>
        </w:tc>
        <w:tc>
          <w:tcPr>
            <w:tcW w:w="930" w:type="dxa"/>
            <w:tcBorders>
              <w:top w:val="nil"/>
              <w:left w:val="nil"/>
              <w:bottom w:val="nil"/>
              <w:right w:val="nil"/>
              <w:tl2br w:val="nil"/>
              <w:tr2bl w:val="nil"/>
            </w:tcBorders>
            <w:shd w:val="clear" w:color="auto" w:fill="FFFF00"/>
            <w:tcMar>
              <w:left w:w="101" w:type="dxa"/>
              <w:right w:w="101" w:type="dxa"/>
            </w:tcMar>
            <w:vAlign w:val="bottom"/>
          </w:tcPr>
          <w:p w14:paraId="35D17CA0" w14:textId="77777777" w:rsidR="003F0EEA" w:rsidRPr="0092199D" w:rsidRDefault="00FB7D0B">
            <w:pPr>
              <w:jc w:val="right"/>
              <w:rPr>
                <w:rFonts w:ascii="Arial" w:eastAsia="Arial" w:hAnsi="Arial" w:cs="Arial"/>
                <w:color w:val="000000"/>
                <w:sz w:val="16"/>
              </w:rPr>
            </w:pPr>
            <w:r w:rsidRPr="0092199D">
              <w:rPr>
                <w:rFonts w:ascii="Arial" w:eastAsia="Arial" w:hAnsi="Arial" w:cs="Arial"/>
                <w:color w:val="000000"/>
                <w:sz w:val="16"/>
              </w:rPr>
              <w:t>2014-15</w:t>
            </w:r>
          </w:p>
        </w:tc>
        <w:tc>
          <w:tcPr>
            <w:tcW w:w="930" w:type="dxa"/>
            <w:tcBorders>
              <w:top w:val="nil"/>
              <w:left w:val="nil"/>
              <w:bottom w:val="nil"/>
              <w:right w:val="nil"/>
              <w:tl2br w:val="nil"/>
              <w:tr2bl w:val="nil"/>
            </w:tcBorders>
            <w:shd w:val="clear" w:color="auto" w:fill="FFFFFF"/>
            <w:tcMar>
              <w:left w:w="101" w:type="dxa"/>
              <w:right w:w="101" w:type="dxa"/>
            </w:tcMar>
            <w:vAlign w:val="bottom"/>
          </w:tcPr>
          <w:p w14:paraId="40A6CA16" w14:textId="77777777" w:rsidR="003F0EEA" w:rsidRPr="0092199D" w:rsidRDefault="00FB7D0B">
            <w:pPr>
              <w:jc w:val="right"/>
              <w:rPr>
                <w:rFonts w:ascii="Arial" w:eastAsia="Arial" w:hAnsi="Arial" w:cs="Arial"/>
                <w:color w:val="000000"/>
                <w:sz w:val="16"/>
              </w:rPr>
            </w:pPr>
            <w:r w:rsidRPr="0092199D">
              <w:rPr>
                <w:rFonts w:ascii="Arial" w:eastAsia="Arial" w:hAnsi="Arial" w:cs="Arial"/>
                <w:color w:val="000000"/>
                <w:sz w:val="16"/>
              </w:rPr>
              <w:t>2015-16</w:t>
            </w:r>
          </w:p>
        </w:tc>
        <w:tc>
          <w:tcPr>
            <w:tcW w:w="975" w:type="dxa"/>
            <w:tcBorders>
              <w:top w:val="nil"/>
              <w:left w:val="nil"/>
              <w:bottom w:val="nil"/>
              <w:right w:val="nil"/>
              <w:tl2br w:val="nil"/>
              <w:tr2bl w:val="nil"/>
            </w:tcBorders>
            <w:shd w:val="clear" w:color="auto" w:fill="FFFFFF"/>
            <w:tcMar>
              <w:left w:w="101" w:type="dxa"/>
              <w:right w:w="101" w:type="dxa"/>
            </w:tcMar>
            <w:vAlign w:val="bottom"/>
          </w:tcPr>
          <w:p w14:paraId="59A37E2A" w14:textId="77777777" w:rsidR="003F0EEA" w:rsidRPr="0092199D" w:rsidRDefault="00FB7D0B">
            <w:pPr>
              <w:jc w:val="right"/>
              <w:rPr>
                <w:rFonts w:ascii="Arial" w:eastAsia="Arial" w:hAnsi="Arial" w:cs="Arial"/>
                <w:color w:val="000000"/>
                <w:sz w:val="16"/>
              </w:rPr>
            </w:pPr>
            <w:r w:rsidRPr="0092199D">
              <w:rPr>
                <w:rFonts w:ascii="Arial" w:eastAsia="Arial" w:hAnsi="Arial" w:cs="Arial"/>
                <w:color w:val="000000"/>
                <w:sz w:val="16"/>
              </w:rPr>
              <w:t>2016-17</w:t>
            </w:r>
          </w:p>
        </w:tc>
        <w:tc>
          <w:tcPr>
            <w:tcW w:w="975" w:type="dxa"/>
            <w:tcBorders>
              <w:top w:val="nil"/>
              <w:left w:val="nil"/>
              <w:bottom w:val="nil"/>
              <w:right w:val="nil"/>
              <w:tl2br w:val="nil"/>
              <w:tr2bl w:val="nil"/>
            </w:tcBorders>
            <w:shd w:val="clear" w:color="auto" w:fill="FFFFFF"/>
            <w:tcMar>
              <w:left w:w="101" w:type="dxa"/>
              <w:right w:w="101" w:type="dxa"/>
            </w:tcMar>
            <w:vAlign w:val="bottom"/>
          </w:tcPr>
          <w:p w14:paraId="702BF8BB" w14:textId="77777777" w:rsidR="003F0EEA" w:rsidRPr="0092199D" w:rsidRDefault="00FB7D0B">
            <w:pPr>
              <w:jc w:val="right"/>
              <w:rPr>
                <w:rFonts w:ascii="Arial" w:eastAsia="Arial" w:hAnsi="Arial" w:cs="Arial"/>
                <w:color w:val="000000"/>
                <w:sz w:val="16"/>
              </w:rPr>
            </w:pPr>
            <w:r w:rsidRPr="0092199D">
              <w:rPr>
                <w:rFonts w:ascii="Arial" w:eastAsia="Arial" w:hAnsi="Arial" w:cs="Arial"/>
                <w:color w:val="000000"/>
                <w:sz w:val="16"/>
              </w:rPr>
              <w:t>2017-18</w:t>
            </w:r>
          </w:p>
        </w:tc>
      </w:tr>
      <w:tr w:rsidR="00724034" w14:paraId="6328BA35" w14:textId="77777777">
        <w:trPr>
          <w:trHeight w:val="225"/>
        </w:trPr>
        <w:tc>
          <w:tcPr>
            <w:tcW w:w="180" w:type="dxa"/>
            <w:tcBorders>
              <w:top w:val="nil"/>
              <w:left w:val="nil"/>
              <w:bottom w:val="nil"/>
              <w:right w:val="nil"/>
              <w:tl2br w:val="nil"/>
              <w:tr2bl w:val="nil"/>
            </w:tcBorders>
            <w:shd w:val="clear" w:color="auto" w:fill="FFFFFF"/>
            <w:tcMar>
              <w:left w:w="101" w:type="dxa"/>
              <w:right w:w="101" w:type="dxa"/>
            </w:tcMar>
            <w:vAlign w:val="bottom"/>
          </w:tcPr>
          <w:p w14:paraId="1F97E09B" w14:textId="77777777" w:rsidR="003F0EEA" w:rsidRPr="0092199D" w:rsidRDefault="003F0EEA">
            <w:pPr>
              <w:rPr>
                <w:rFonts w:ascii="Arial" w:eastAsia="Arial" w:hAnsi="Arial" w:cs="Arial"/>
                <w:color w:val="000000"/>
                <w:sz w:val="16"/>
              </w:rPr>
            </w:pPr>
          </w:p>
        </w:tc>
        <w:tc>
          <w:tcPr>
            <w:tcW w:w="180" w:type="dxa"/>
            <w:tcBorders>
              <w:top w:val="nil"/>
              <w:left w:val="nil"/>
              <w:bottom w:val="nil"/>
              <w:right w:val="nil"/>
              <w:tl2br w:val="nil"/>
              <w:tr2bl w:val="nil"/>
            </w:tcBorders>
            <w:shd w:val="clear" w:color="auto" w:fill="FFFFFF"/>
            <w:tcMar>
              <w:left w:w="101" w:type="dxa"/>
              <w:right w:w="101" w:type="dxa"/>
            </w:tcMar>
            <w:vAlign w:val="bottom"/>
          </w:tcPr>
          <w:p w14:paraId="20905FFF" w14:textId="77777777" w:rsidR="003F0EEA" w:rsidRPr="0092199D" w:rsidRDefault="003F0EEA">
            <w:pPr>
              <w:rPr>
                <w:rFonts w:ascii="Arial" w:eastAsia="Arial" w:hAnsi="Arial" w:cs="Arial"/>
                <w:color w:val="000000"/>
                <w:sz w:val="16"/>
              </w:rPr>
            </w:pPr>
          </w:p>
        </w:tc>
        <w:tc>
          <w:tcPr>
            <w:tcW w:w="2700" w:type="dxa"/>
            <w:tcBorders>
              <w:top w:val="nil"/>
              <w:left w:val="nil"/>
              <w:bottom w:val="nil"/>
              <w:right w:val="nil"/>
              <w:tl2br w:val="nil"/>
              <w:tr2bl w:val="nil"/>
            </w:tcBorders>
            <w:shd w:val="clear" w:color="auto" w:fill="FFFFFF"/>
            <w:tcMar>
              <w:left w:w="101" w:type="dxa"/>
              <w:right w:w="101" w:type="dxa"/>
            </w:tcMar>
            <w:vAlign w:val="bottom"/>
          </w:tcPr>
          <w:p w14:paraId="5DBF6A44" w14:textId="77777777" w:rsidR="003F0EEA" w:rsidRPr="0092199D" w:rsidRDefault="003F0EEA">
            <w:pPr>
              <w:rPr>
                <w:rFonts w:ascii="Arial" w:eastAsia="Arial" w:hAnsi="Arial" w:cs="Arial"/>
                <w:color w:val="000000"/>
                <w:sz w:val="16"/>
              </w:rPr>
            </w:pPr>
          </w:p>
        </w:tc>
        <w:tc>
          <w:tcPr>
            <w:tcW w:w="930"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135C8820" w14:textId="77777777" w:rsidR="003F0EEA" w:rsidRPr="0092199D" w:rsidRDefault="00FB7D0B">
            <w:pPr>
              <w:jc w:val="right"/>
              <w:rPr>
                <w:rFonts w:ascii="Arial" w:eastAsia="Arial" w:hAnsi="Arial" w:cs="Arial"/>
                <w:color w:val="000000"/>
                <w:sz w:val="16"/>
              </w:rPr>
            </w:pPr>
            <w:r w:rsidRPr="0092199D">
              <w:rPr>
                <w:rFonts w:ascii="Arial" w:eastAsia="Arial" w:hAnsi="Arial" w:cs="Arial"/>
                <w:color w:val="000000"/>
                <w:sz w:val="16"/>
              </w:rPr>
              <w:t>$'000</w:t>
            </w:r>
          </w:p>
        </w:tc>
        <w:tc>
          <w:tcPr>
            <w:tcW w:w="930" w:type="dxa"/>
            <w:tcBorders>
              <w:top w:val="nil"/>
              <w:left w:val="nil"/>
              <w:bottom w:val="single" w:sz="6" w:space="0" w:color="000000"/>
              <w:right w:val="nil"/>
              <w:tl2br w:val="nil"/>
              <w:tr2bl w:val="nil"/>
            </w:tcBorders>
            <w:shd w:val="clear" w:color="auto" w:fill="FFFF00"/>
            <w:tcMar>
              <w:left w:w="101" w:type="dxa"/>
              <w:right w:w="101" w:type="dxa"/>
            </w:tcMar>
            <w:vAlign w:val="bottom"/>
          </w:tcPr>
          <w:p w14:paraId="5FDEE9CC" w14:textId="77777777" w:rsidR="003F0EEA" w:rsidRPr="0092199D" w:rsidRDefault="00FB7D0B">
            <w:pPr>
              <w:jc w:val="right"/>
              <w:rPr>
                <w:rFonts w:ascii="Arial" w:eastAsia="Arial" w:hAnsi="Arial" w:cs="Arial"/>
                <w:color w:val="000000"/>
                <w:sz w:val="16"/>
              </w:rPr>
            </w:pPr>
            <w:r w:rsidRPr="0092199D">
              <w:rPr>
                <w:rFonts w:ascii="Arial" w:eastAsia="Arial" w:hAnsi="Arial" w:cs="Arial"/>
                <w:color w:val="000000"/>
                <w:sz w:val="16"/>
              </w:rPr>
              <w:t>$'000</w:t>
            </w:r>
          </w:p>
        </w:tc>
        <w:tc>
          <w:tcPr>
            <w:tcW w:w="930"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05BC1D77" w14:textId="77777777" w:rsidR="003F0EEA" w:rsidRPr="0092199D" w:rsidRDefault="00FB7D0B">
            <w:pPr>
              <w:jc w:val="right"/>
              <w:rPr>
                <w:rFonts w:ascii="Arial" w:eastAsia="Arial" w:hAnsi="Arial" w:cs="Arial"/>
                <w:color w:val="000000"/>
                <w:sz w:val="16"/>
              </w:rPr>
            </w:pPr>
            <w:r w:rsidRPr="0092199D">
              <w:rPr>
                <w:rFonts w:ascii="Arial" w:eastAsia="Arial" w:hAnsi="Arial" w:cs="Arial"/>
                <w:color w:val="000000"/>
                <w:sz w:val="16"/>
              </w:rPr>
              <w:t>$'000</w:t>
            </w:r>
          </w:p>
        </w:tc>
        <w:tc>
          <w:tcPr>
            <w:tcW w:w="975"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1CC3165B" w14:textId="77777777" w:rsidR="003F0EEA" w:rsidRPr="0092199D" w:rsidRDefault="00FB7D0B">
            <w:pPr>
              <w:jc w:val="right"/>
              <w:rPr>
                <w:rFonts w:ascii="Arial" w:eastAsia="Arial" w:hAnsi="Arial" w:cs="Arial"/>
                <w:color w:val="000000"/>
                <w:sz w:val="16"/>
              </w:rPr>
            </w:pPr>
            <w:r w:rsidRPr="0092199D">
              <w:rPr>
                <w:rFonts w:ascii="Arial" w:eastAsia="Arial" w:hAnsi="Arial" w:cs="Arial"/>
                <w:color w:val="000000"/>
                <w:sz w:val="16"/>
              </w:rPr>
              <w:t>$'000</w:t>
            </w:r>
          </w:p>
        </w:tc>
        <w:tc>
          <w:tcPr>
            <w:tcW w:w="975"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033D5669" w14:textId="77777777" w:rsidR="003F0EEA" w:rsidRPr="0092199D" w:rsidRDefault="00FB7D0B">
            <w:pPr>
              <w:jc w:val="right"/>
              <w:rPr>
                <w:rFonts w:ascii="Arial" w:eastAsia="Arial" w:hAnsi="Arial" w:cs="Arial"/>
                <w:color w:val="000000"/>
                <w:sz w:val="16"/>
              </w:rPr>
            </w:pPr>
            <w:r w:rsidRPr="0092199D">
              <w:rPr>
                <w:rFonts w:ascii="Arial" w:eastAsia="Arial" w:hAnsi="Arial" w:cs="Arial"/>
                <w:color w:val="000000"/>
                <w:sz w:val="16"/>
              </w:rPr>
              <w:t>$'000</w:t>
            </w:r>
          </w:p>
        </w:tc>
      </w:tr>
      <w:tr w:rsidR="00FB7D0B" w14:paraId="654913AD" w14:textId="77777777" w:rsidTr="00FB7D0B">
        <w:trPr>
          <w:trHeight w:val="225"/>
        </w:trPr>
        <w:tc>
          <w:tcPr>
            <w:tcW w:w="3060" w:type="dxa"/>
            <w:gridSpan w:val="3"/>
            <w:tcBorders>
              <w:top w:val="nil"/>
              <w:left w:val="nil"/>
              <w:bottom w:val="nil"/>
              <w:right w:val="nil"/>
              <w:tl2br w:val="nil"/>
              <w:tr2bl w:val="nil"/>
            </w:tcBorders>
            <w:shd w:val="clear" w:color="auto" w:fill="FFFFFF"/>
            <w:tcMar>
              <w:left w:w="101" w:type="dxa"/>
              <w:right w:w="101" w:type="dxa"/>
            </w:tcMar>
            <w:vAlign w:val="bottom"/>
          </w:tcPr>
          <w:p w14:paraId="2C7C68B6" w14:textId="77777777" w:rsidR="003F0EEA" w:rsidRPr="0092199D" w:rsidRDefault="00FB7D0B">
            <w:pPr>
              <w:rPr>
                <w:rFonts w:ascii="Arial" w:eastAsia="Arial" w:hAnsi="Arial" w:cs="Arial"/>
                <w:color w:val="000000"/>
                <w:sz w:val="16"/>
              </w:rPr>
            </w:pPr>
            <w:r w:rsidRPr="0092199D">
              <w:rPr>
                <w:rFonts w:ascii="Arial" w:eastAsia="Arial" w:hAnsi="Arial" w:cs="Arial"/>
                <w:b/>
                <w:color w:val="000000"/>
                <w:sz w:val="16"/>
              </w:rPr>
              <w:t>ASSETS</w:t>
            </w:r>
          </w:p>
        </w:tc>
        <w:tc>
          <w:tcPr>
            <w:tcW w:w="930"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3BC9D659" w14:textId="77777777" w:rsidR="003F0EEA" w:rsidRPr="0092199D" w:rsidRDefault="003F0EEA">
            <w:pPr>
              <w:rPr>
                <w:rFonts w:ascii="Arial" w:eastAsia="Arial" w:hAnsi="Arial" w:cs="Arial"/>
                <w:b/>
                <w:color w:val="000000"/>
                <w:sz w:val="16"/>
              </w:rPr>
            </w:pPr>
          </w:p>
        </w:tc>
        <w:tc>
          <w:tcPr>
            <w:tcW w:w="930" w:type="dxa"/>
            <w:tcBorders>
              <w:top w:val="single" w:sz="6" w:space="0" w:color="000000"/>
              <w:left w:val="nil"/>
              <w:bottom w:val="nil"/>
              <w:right w:val="nil"/>
              <w:tl2br w:val="nil"/>
              <w:tr2bl w:val="nil"/>
            </w:tcBorders>
            <w:shd w:val="clear" w:color="auto" w:fill="FFFF00"/>
            <w:tcMar>
              <w:left w:w="101" w:type="dxa"/>
              <w:right w:w="101" w:type="dxa"/>
            </w:tcMar>
            <w:vAlign w:val="bottom"/>
          </w:tcPr>
          <w:p w14:paraId="4930F211" w14:textId="77777777" w:rsidR="003F0EEA" w:rsidRPr="0092199D" w:rsidRDefault="003F0EEA">
            <w:pPr>
              <w:rPr>
                <w:rFonts w:ascii="Arial" w:eastAsia="Arial" w:hAnsi="Arial" w:cs="Arial"/>
                <w:color w:val="000000"/>
                <w:sz w:val="16"/>
              </w:rPr>
            </w:pPr>
          </w:p>
        </w:tc>
        <w:tc>
          <w:tcPr>
            <w:tcW w:w="930"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75C358EE" w14:textId="77777777" w:rsidR="003F0EEA" w:rsidRPr="0092199D" w:rsidRDefault="003F0EEA">
            <w:pPr>
              <w:rPr>
                <w:rFonts w:ascii="Arial" w:eastAsia="Arial" w:hAnsi="Arial" w:cs="Arial"/>
                <w:color w:val="000000"/>
                <w:sz w:val="16"/>
              </w:rPr>
            </w:pPr>
          </w:p>
        </w:tc>
        <w:tc>
          <w:tcPr>
            <w:tcW w:w="97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62378BBC" w14:textId="77777777" w:rsidR="003F0EEA" w:rsidRPr="0092199D" w:rsidRDefault="003F0EEA">
            <w:pPr>
              <w:rPr>
                <w:rFonts w:ascii="Arial" w:eastAsia="Arial" w:hAnsi="Arial" w:cs="Arial"/>
                <w:color w:val="000000"/>
                <w:sz w:val="16"/>
              </w:rPr>
            </w:pPr>
          </w:p>
        </w:tc>
        <w:tc>
          <w:tcPr>
            <w:tcW w:w="97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07F88D15" w14:textId="77777777" w:rsidR="003F0EEA" w:rsidRPr="0092199D" w:rsidRDefault="003F0EEA">
            <w:pPr>
              <w:rPr>
                <w:rFonts w:ascii="Arial" w:eastAsia="Arial" w:hAnsi="Arial" w:cs="Arial"/>
                <w:color w:val="000000"/>
                <w:sz w:val="16"/>
              </w:rPr>
            </w:pPr>
          </w:p>
        </w:tc>
      </w:tr>
      <w:tr w:rsidR="00FB7D0B" w14:paraId="3E4E2E02" w14:textId="77777777" w:rsidTr="00FB7D0B">
        <w:trPr>
          <w:trHeight w:val="225"/>
        </w:trPr>
        <w:tc>
          <w:tcPr>
            <w:tcW w:w="3060" w:type="dxa"/>
            <w:gridSpan w:val="3"/>
            <w:tcBorders>
              <w:top w:val="nil"/>
              <w:left w:val="nil"/>
              <w:bottom w:val="nil"/>
              <w:right w:val="nil"/>
              <w:tl2br w:val="nil"/>
              <w:tr2bl w:val="nil"/>
            </w:tcBorders>
            <w:shd w:val="clear" w:color="auto" w:fill="FFFFFF"/>
            <w:tcMar>
              <w:left w:w="101" w:type="dxa"/>
              <w:right w:w="101" w:type="dxa"/>
            </w:tcMar>
            <w:vAlign w:val="bottom"/>
          </w:tcPr>
          <w:p w14:paraId="3F84C4C4" w14:textId="77777777" w:rsidR="003F0EEA" w:rsidRPr="0092199D" w:rsidRDefault="00FB7D0B">
            <w:pPr>
              <w:rPr>
                <w:rFonts w:ascii="Arial" w:eastAsia="Arial" w:hAnsi="Arial" w:cs="Arial"/>
                <w:color w:val="000000"/>
                <w:sz w:val="16"/>
              </w:rPr>
            </w:pPr>
            <w:r w:rsidRPr="0092199D">
              <w:rPr>
                <w:rFonts w:ascii="Arial" w:eastAsia="Arial" w:hAnsi="Arial" w:cs="Arial"/>
                <w:b/>
                <w:color w:val="000000"/>
                <w:sz w:val="16"/>
              </w:rPr>
              <w:t>Financial assets</w:t>
            </w:r>
          </w:p>
        </w:tc>
        <w:tc>
          <w:tcPr>
            <w:tcW w:w="930" w:type="dxa"/>
            <w:tcBorders>
              <w:top w:val="nil"/>
              <w:left w:val="nil"/>
              <w:bottom w:val="nil"/>
              <w:right w:val="nil"/>
              <w:tl2br w:val="nil"/>
              <w:tr2bl w:val="nil"/>
            </w:tcBorders>
            <w:shd w:val="clear" w:color="auto" w:fill="FFFFFF"/>
            <w:tcMar>
              <w:left w:w="101" w:type="dxa"/>
              <w:right w:w="101" w:type="dxa"/>
            </w:tcMar>
            <w:vAlign w:val="bottom"/>
          </w:tcPr>
          <w:p w14:paraId="637D62C6" w14:textId="77777777" w:rsidR="003F0EEA" w:rsidRPr="0092199D" w:rsidRDefault="003F0EEA">
            <w:pPr>
              <w:rPr>
                <w:rFonts w:ascii="Arial" w:eastAsia="Arial" w:hAnsi="Arial" w:cs="Arial"/>
                <w:b/>
                <w:color w:val="000000"/>
                <w:sz w:val="16"/>
              </w:rPr>
            </w:pPr>
          </w:p>
        </w:tc>
        <w:tc>
          <w:tcPr>
            <w:tcW w:w="930" w:type="dxa"/>
            <w:tcBorders>
              <w:top w:val="nil"/>
              <w:left w:val="nil"/>
              <w:bottom w:val="nil"/>
              <w:right w:val="nil"/>
              <w:tl2br w:val="nil"/>
              <w:tr2bl w:val="nil"/>
            </w:tcBorders>
            <w:shd w:val="clear" w:color="auto" w:fill="FFFF00"/>
            <w:tcMar>
              <w:left w:w="101" w:type="dxa"/>
              <w:right w:w="101" w:type="dxa"/>
            </w:tcMar>
            <w:vAlign w:val="bottom"/>
          </w:tcPr>
          <w:p w14:paraId="5C434262" w14:textId="77777777" w:rsidR="003F0EEA" w:rsidRPr="0092199D" w:rsidRDefault="003F0EEA">
            <w:pPr>
              <w:rPr>
                <w:rFonts w:ascii="Arial" w:eastAsia="Arial" w:hAnsi="Arial" w:cs="Arial"/>
                <w:color w:val="000000"/>
                <w:sz w:val="16"/>
              </w:rPr>
            </w:pPr>
          </w:p>
        </w:tc>
        <w:tc>
          <w:tcPr>
            <w:tcW w:w="930" w:type="dxa"/>
            <w:tcBorders>
              <w:top w:val="nil"/>
              <w:left w:val="nil"/>
              <w:bottom w:val="nil"/>
              <w:right w:val="nil"/>
              <w:tl2br w:val="nil"/>
              <w:tr2bl w:val="nil"/>
            </w:tcBorders>
            <w:shd w:val="clear" w:color="auto" w:fill="FFFFFF"/>
            <w:tcMar>
              <w:left w:w="101" w:type="dxa"/>
              <w:right w:w="101" w:type="dxa"/>
            </w:tcMar>
            <w:vAlign w:val="bottom"/>
          </w:tcPr>
          <w:p w14:paraId="1B569E7E" w14:textId="77777777" w:rsidR="003F0EEA" w:rsidRPr="0092199D" w:rsidRDefault="003F0EEA">
            <w:pPr>
              <w:rPr>
                <w:rFonts w:ascii="Arial" w:eastAsia="Arial" w:hAnsi="Arial" w:cs="Arial"/>
                <w:color w:val="000000"/>
                <w:sz w:val="16"/>
              </w:rPr>
            </w:pPr>
          </w:p>
        </w:tc>
        <w:tc>
          <w:tcPr>
            <w:tcW w:w="975" w:type="dxa"/>
            <w:tcBorders>
              <w:top w:val="nil"/>
              <w:left w:val="nil"/>
              <w:bottom w:val="nil"/>
              <w:right w:val="nil"/>
              <w:tl2br w:val="nil"/>
              <w:tr2bl w:val="nil"/>
            </w:tcBorders>
            <w:shd w:val="clear" w:color="auto" w:fill="FFFFFF"/>
            <w:tcMar>
              <w:left w:w="101" w:type="dxa"/>
              <w:right w:w="101" w:type="dxa"/>
            </w:tcMar>
            <w:vAlign w:val="bottom"/>
          </w:tcPr>
          <w:p w14:paraId="650B0909" w14:textId="77777777" w:rsidR="003F0EEA" w:rsidRPr="0092199D" w:rsidRDefault="003F0EEA">
            <w:pPr>
              <w:rPr>
                <w:rFonts w:ascii="Arial" w:eastAsia="Arial" w:hAnsi="Arial" w:cs="Arial"/>
                <w:color w:val="000000"/>
                <w:sz w:val="16"/>
              </w:rPr>
            </w:pPr>
          </w:p>
        </w:tc>
        <w:tc>
          <w:tcPr>
            <w:tcW w:w="975" w:type="dxa"/>
            <w:tcBorders>
              <w:top w:val="nil"/>
              <w:left w:val="nil"/>
              <w:bottom w:val="nil"/>
              <w:right w:val="nil"/>
              <w:tl2br w:val="nil"/>
              <w:tr2bl w:val="nil"/>
            </w:tcBorders>
            <w:shd w:val="clear" w:color="auto" w:fill="FFFFFF"/>
            <w:tcMar>
              <w:left w:w="101" w:type="dxa"/>
              <w:right w:w="101" w:type="dxa"/>
            </w:tcMar>
            <w:vAlign w:val="bottom"/>
          </w:tcPr>
          <w:p w14:paraId="73668020" w14:textId="77777777" w:rsidR="003F0EEA" w:rsidRPr="0092199D" w:rsidRDefault="003F0EEA">
            <w:pPr>
              <w:rPr>
                <w:rFonts w:ascii="Arial" w:eastAsia="Arial" w:hAnsi="Arial" w:cs="Arial"/>
                <w:color w:val="000000"/>
                <w:sz w:val="16"/>
              </w:rPr>
            </w:pPr>
          </w:p>
        </w:tc>
      </w:tr>
      <w:tr w:rsidR="00FB7D0B" w14:paraId="1578C870" w14:textId="77777777" w:rsidTr="00FB7D0B">
        <w:trPr>
          <w:trHeight w:val="225"/>
        </w:trPr>
        <w:tc>
          <w:tcPr>
            <w:tcW w:w="180" w:type="dxa"/>
            <w:tcBorders>
              <w:top w:val="nil"/>
              <w:left w:val="nil"/>
              <w:bottom w:val="nil"/>
              <w:right w:val="nil"/>
              <w:tl2br w:val="nil"/>
              <w:tr2bl w:val="nil"/>
            </w:tcBorders>
            <w:shd w:val="clear" w:color="auto" w:fill="FFFFFF"/>
            <w:tcMar>
              <w:left w:w="101" w:type="dxa"/>
              <w:right w:w="101" w:type="dxa"/>
            </w:tcMar>
            <w:vAlign w:val="bottom"/>
          </w:tcPr>
          <w:p w14:paraId="5847C93C" w14:textId="77777777" w:rsidR="003F0EEA" w:rsidRPr="0092199D" w:rsidRDefault="003F0EEA">
            <w:pPr>
              <w:rPr>
                <w:rFonts w:ascii="Arial" w:eastAsia="Arial" w:hAnsi="Arial" w:cs="Arial"/>
                <w:color w:val="000000"/>
                <w:sz w:val="16"/>
              </w:rPr>
            </w:pPr>
          </w:p>
        </w:tc>
        <w:tc>
          <w:tcPr>
            <w:tcW w:w="2880" w:type="dxa"/>
            <w:gridSpan w:val="2"/>
            <w:vMerge w:val="restart"/>
            <w:tcBorders>
              <w:top w:val="nil"/>
              <w:left w:val="nil"/>
              <w:bottom w:val="nil"/>
              <w:right w:val="nil"/>
              <w:tl2br w:val="nil"/>
              <w:tr2bl w:val="nil"/>
            </w:tcBorders>
            <w:shd w:val="clear" w:color="auto" w:fill="FFFFFF"/>
            <w:tcMar>
              <w:left w:w="101" w:type="dxa"/>
              <w:right w:w="101" w:type="dxa"/>
            </w:tcMar>
            <w:vAlign w:val="bottom"/>
          </w:tcPr>
          <w:p w14:paraId="54FFD9B6" w14:textId="77777777" w:rsidR="003F0EEA" w:rsidRPr="0092199D" w:rsidRDefault="00FB7D0B">
            <w:pPr>
              <w:rPr>
                <w:rFonts w:ascii="Arial" w:eastAsia="Arial" w:hAnsi="Arial" w:cs="Arial"/>
                <w:color w:val="000000"/>
                <w:sz w:val="16"/>
              </w:rPr>
            </w:pPr>
            <w:r w:rsidRPr="0092199D">
              <w:rPr>
                <w:rFonts w:ascii="Arial" w:eastAsia="Arial" w:hAnsi="Arial" w:cs="Arial"/>
                <w:color w:val="000000"/>
                <w:sz w:val="16"/>
              </w:rPr>
              <w:t>Cash and cash equivalents</w:t>
            </w:r>
          </w:p>
        </w:tc>
        <w:tc>
          <w:tcPr>
            <w:tcW w:w="930" w:type="dxa"/>
            <w:tcBorders>
              <w:top w:val="nil"/>
              <w:left w:val="nil"/>
              <w:bottom w:val="nil"/>
              <w:right w:val="nil"/>
              <w:tl2br w:val="nil"/>
              <w:tr2bl w:val="nil"/>
            </w:tcBorders>
            <w:shd w:val="clear" w:color="auto" w:fill="FFFFFF"/>
            <w:tcMar>
              <w:left w:w="101" w:type="dxa"/>
              <w:right w:w="101" w:type="dxa"/>
            </w:tcMar>
            <w:vAlign w:val="bottom"/>
          </w:tcPr>
          <w:p w14:paraId="76500FED" w14:textId="77777777" w:rsidR="003F0EEA" w:rsidRPr="0092199D" w:rsidRDefault="00FB7D0B">
            <w:pPr>
              <w:jc w:val="right"/>
              <w:rPr>
                <w:rFonts w:ascii="Arial" w:eastAsia="Arial" w:hAnsi="Arial" w:cs="Arial"/>
                <w:color w:val="000000"/>
                <w:sz w:val="16"/>
              </w:rPr>
            </w:pPr>
            <w:r w:rsidRPr="0092199D">
              <w:rPr>
                <w:rFonts w:ascii="Arial" w:eastAsia="Arial" w:hAnsi="Arial" w:cs="Arial"/>
                <w:color w:val="000000"/>
                <w:sz w:val="16"/>
              </w:rPr>
              <w:t xml:space="preserve"> 3,321 </w:t>
            </w:r>
          </w:p>
        </w:tc>
        <w:tc>
          <w:tcPr>
            <w:tcW w:w="930" w:type="dxa"/>
            <w:tcBorders>
              <w:top w:val="nil"/>
              <w:left w:val="nil"/>
              <w:bottom w:val="nil"/>
              <w:right w:val="nil"/>
              <w:tl2br w:val="nil"/>
              <w:tr2bl w:val="nil"/>
            </w:tcBorders>
            <w:shd w:val="clear" w:color="auto" w:fill="FFFF00"/>
            <w:tcMar>
              <w:left w:w="101" w:type="dxa"/>
              <w:right w:w="101" w:type="dxa"/>
            </w:tcMar>
            <w:vAlign w:val="bottom"/>
          </w:tcPr>
          <w:p w14:paraId="787FFE1E" w14:textId="77777777" w:rsidR="003F0EEA" w:rsidRPr="0092199D" w:rsidRDefault="00FB7D0B">
            <w:pPr>
              <w:jc w:val="right"/>
              <w:rPr>
                <w:rFonts w:ascii="Arial" w:eastAsia="Arial" w:hAnsi="Arial" w:cs="Arial"/>
                <w:color w:val="000000"/>
                <w:sz w:val="16"/>
              </w:rPr>
            </w:pPr>
            <w:r w:rsidRPr="0092199D">
              <w:rPr>
                <w:rFonts w:ascii="Arial" w:eastAsia="Arial" w:hAnsi="Arial" w:cs="Arial"/>
                <w:color w:val="000000"/>
                <w:sz w:val="16"/>
              </w:rPr>
              <w:t xml:space="preserve"> 3,448 </w:t>
            </w:r>
          </w:p>
        </w:tc>
        <w:tc>
          <w:tcPr>
            <w:tcW w:w="930" w:type="dxa"/>
            <w:tcBorders>
              <w:top w:val="nil"/>
              <w:left w:val="nil"/>
              <w:bottom w:val="nil"/>
              <w:right w:val="nil"/>
              <w:tl2br w:val="nil"/>
              <w:tr2bl w:val="nil"/>
            </w:tcBorders>
            <w:shd w:val="clear" w:color="auto" w:fill="FFFFFF"/>
            <w:tcMar>
              <w:left w:w="101" w:type="dxa"/>
              <w:right w:w="101" w:type="dxa"/>
            </w:tcMar>
            <w:vAlign w:val="bottom"/>
          </w:tcPr>
          <w:p w14:paraId="6144AB06" w14:textId="77777777" w:rsidR="003F0EEA" w:rsidRPr="0092199D" w:rsidRDefault="00FB7D0B">
            <w:pPr>
              <w:jc w:val="right"/>
              <w:rPr>
                <w:rFonts w:ascii="Arial" w:eastAsia="Arial" w:hAnsi="Arial" w:cs="Arial"/>
                <w:color w:val="000000"/>
                <w:sz w:val="16"/>
              </w:rPr>
            </w:pPr>
            <w:r w:rsidRPr="0092199D">
              <w:rPr>
                <w:rFonts w:ascii="Arial" w:eastAsia="Arial" w:hAnsi="Arial" w:cs="Arial"/>
                <w:color w:val="000000"/>
                <w:sz w:val="16"/>
              </w:rPr>
              <w:t xml:space="preserve"> 2,778 </w:t>
            </w:r>
          </w:p>
        </w:tc>
        <w:tc>
          <w:tcPr>
            <w:tcW w:w="975" w:type="dxa"/>
            <w:tcBorders>
              <w:top w:val="nil"/>
              <w:left w:val="nil"/>
              <w:bottom w:val="nil"/>
              <w:right w:val="nil"/>
              <w:tl2br w:val="nil"/>
              <w:tr2bl w:val="nil"/>
            </w:tcBorders>
            <w:shd w:val="clear" w:color="auto" w:fill="FFFFFF"/>
            <w:tcMar>
              <w:left w:w="101" w:type="dxa"/>
              <w:right w:w="101" w:type="dxa"/>
            </w:tcMar>
            <w:vAlign w:val="bottom"/>
          </w:tcPr>
          <w:p w14:paraId="2261F533" w14:textId="77777777" w:rsidR="003F0EEA" w:rsidRPr="0092199D" w:rsidRDefault="00FB7D0B">
            <w:pPr>
              <w:jc w:val="right"/>
              <w:rPr>
                <w:rFonts w:ascii="Arial" w:eastAsia="Arial" w:hAnsi="Arial" w:cs="Arial"/>
                <w:color w:val="000000"/>
                <w:sz w:val="16"/>
              </w:rPr>
            </w:pPr>
            <w:r w:rsidRPr="0092199D">
              <w:rPr>
                <w:rFonts w:ascii="Arial" w:eastAsia="Arial" w:hAnsi="Arial" w:cs="Arial"/>
                <w:color w:val="000000"/>
                <w:sz w:val="16"/>
              </w:rPr>
              <w:t xml:space="preserve"> 2,598 </w:t>
            </w:r>
          </w:p>
        </w:tc>
        <w:tc>
          <w:tcPr>
            <w:tcW w:w="975" w:type="dxa"/>
            <w:tcBorders>
              <w:top w:val="nil"/>
              <w:left w:val="nil"/>
              <w:bottom w:val="nil"/>
              <w:right w:val="nil"/>
              <w:tl2br w:val="nil"/>
              <w:tr2bl w:val="nil"/>
            </w:tcBorders>
            <w:shd w:val="clear" w:color="auto" w:fill="FFFFFF"/>
            <w:tcMar>
              <w:left w:w="101" w:type="dxa"/>
              <w:right w:w="101" w:type="dxa"/>
            </w:tcMar>
            <w:vAlign w:val="bottom"/>
          </w:tcPr>
          <w:p w14:paraId="23086E36" w14:textId="77777777" w:rsidR="003F0EEA" w:rsidRPr="0092199D" w:rsidRDefault="00FB7D0B">
            <w:pPr>
              <w:jc w:val="right"/>
              <w:rPr>
                <w:rFonts w:ascii="Arial" w:eastAsia="Arial" w:hAnsi="Arial" w:cs="Arial"/>
                <w:color w:val="000000"/>
                <w:sz w:val="16"/>
              </w:rPr>
            </w:pPr>
            <w:r w:rsidRPr="0092199D">
              <w:rPr>
                <w:rFonts w:ascii="Arial" w:eastAsia="Arial" w:hAnsi="Arial" w:cs="Arial"/>
                <w:color w:val="000000"/>
                <w:sz w:val="16"/>
              </w:rPr>
              <w:t xml:space="preserve"> 2,864 </w:t>
            </w:r>
          </w:p>
        </w:tc>
      </w:tr>
      <w:tr w:rsidR="00FB7D0B" w14:paraId="2ED34CA7" w14:textId="77777777" w:rsidTr="00FB7D0B">
        <w:trPr>
          <w:trHeight w:val="225"/>
        </w:trPr>
        <w:tc>
          <w:tcPr>
            <w:tcW w:w="180" w:type="dxa"/>
            <w:tcBorders>
              <w:top w:val="nil"/>
              <w:left w:val="nil"/>
              <w:bottom w:val="nil"/>
              <w:right w:val="nil"/>
              <w:tl2br w:val="nil"/>
              <w:tr2bl w:val="nil"/>
            </w:tcBorders>
            <w:shd w:val="clear" w:color="auto" w:fill="FFFFFF"/>
            <w:tcMar>
              <w:left w:w="101" w:type="dxa"/>
              <w:right w:w="101" w:type="dxa"/>
            </w:tcMar>
            <w:vAlign w:val="bottom"/>
          </w:tcPr>
          <w:p w14:paraId="55AE3AB7" w14:textId="77777777" w:rsidR="003F0EEA" w:rsidRPr="0092199D" w:rsidRDefault="003F0EEA">
            <w:pPr>
              <w:rPr>
                <w:rFonts w:ascii="Arial" w:eastAsia="Arial" w:hAnsi="Arial" w:cs="Arial"/>
                <w:color w:val="000000"/>
                <w:sz w:val="16"/>
              </w:rPr>
            </w:pPr>
          </w:p>
        </w:tc>
        <w:tc>
          <w:tcPr>
            <w:tcW w:w="2880" w:type="dxa"/>
            <w:gridSpan w:val="2"/>
            <w:vMerge w:val="restart"/>
            <w:tcBorders>
              <w:top w:val="nil"/>
              <w:left w:val="nil"/>
              <w:bottom w:val="nil"/>
              <w:right w:val="nil"/>
              <w:tl2br w:val="nil"/>
              <w:tr2bl w:val="nil"/>
            </w:tcBorders>
            <w:shd w:val="clear" w:color="auto" w:fill="FFFFFF"/>
            <w:tcMar>
              <w:left w:w="101" w:type="dxa"/>
              <w:right w:w="101" w:type="dxa"/>
            </w:tcMar>
            <w:vAlign w:val="bottom"/>
          </w:tcPr>
          <w:p w14:paraId="180F6A01" w14:textId="77777777" w:rsidR="003F0EEA" w:rsidRPr="0092199D" w:rsidRDefault="00FB7D0B">
            <w:pPr>
              <w:rPr>
                <w:rFonts w:ascii="Arial" w:eastAsia="Arial" w:hAnsi="Arial" w:cs="Arial"/>
                <w:color w:val="000000"/>
                <w:sz w:val="16"/>
              </w:rPr>
            </w:pPr>
            <w:r w:rsidRPr="0092199D">
              <w:rPr>
                <w:rFonts w:ascii="Arial" w:eastAsia="Arial" w:hAnsi="Arial" w:cs="Arial"/>
                <w:color w:val="000000"/>
                <w:sz w:val="16"/>
              </w:rPr>
              <w:t>Trade and other receivables</w:t>
            </w:r>
          </w:p>
        </w:tc>
        <w:tc>
          <w:tcPr>
            <w:tcW w:w="930" w:type="dxa"/>
            <w:tcBorders>
              <w:top w:val="nil"/>
              <w:left w:val="nil"/>
              <w:bottom w:val="nil"/>
              <w:right w:val="nil"/>
              <w:tl2br w:val="nil"/>
              <w:tr2bl w:val="nil"/>
            </w:tcBorders>
            <w:shd w:val="clear" w:color="auto" w:fill="FFFFFF"/>
            <w:tcMar>
              <w:left w:w="101" w:type="dxa"/>
              <w:right w:w="101" w:type="dxa"/>
            </w:tcMar>
            <w:vAlign w:val="bottom"/>
          </w:tcPr>
          <w:p w14:paraId="226274F1" w14:textId="77777777" w:rsidR="003F0EEA" w:rsidRPr="0092199D" w:rsidRDefault="00FB7D0B">
            <w:pPr>
              <w:jc w:val="right"/>
              <w:rPr>
                <w:rFonts w:ascii="Arial" w:eastAsia="Arial" w:hAnsi="Arial" w:cs="Arial"/>
                <w:color w:val="000000"/>
                <w:sz w:val="16"/>
              </w:rPr>
            </w:pPr>
            <w:r w:rsidRPr="0092199D">
              <w:rPr>
                <w:rFonts w:ascii="Arial" w:eastAsia="Arial" w:hAnsi="Arial" w:cs="Arial"/>
                <w:color w:val="000000"/>
                <w:sz w:val="16"/>
              </w:rPr>
              <w:t xml:space="preserve"> 11,906 </w:t>
            </w:r>
          </w:p>
        </w:tc>
        <w:tc>
          <w:tcPr>
            <w:tcW w:w="930" w:type="dxa"/>
            <w:tcBorders>
              <w:top w:val="nil"/>
              <w:left w:val="nil"/>
              <w:bottom w:val="nil"/>
              <w:right w:val="nil"/>
              <w:tl2br w:val="nil"/>
              <w:tr2bl w:val="nil"/>
            </w:tcBorders>
            <w:shd w:val="clear" w:color="auto" w:fill="FFFF00"/>
            <w:tcMar>
              <w:left w:w="101" w:type="dxa"/>
              <w:right w:w="101" w:type="dxa"/>
            </w:tcMar>
            <w:vAlign w:val="bottom"/>
          </w:tcPr>
          <w:p w14:paraId="362D0D74" w14:textId="77777777" w:rsidR="003F0EEA" w:rsidRPr="0092199D" w:rsidRDefault="00FB7D0B">
            <w:pPr>
              <w:jc w:val="right"/>
              <w:rPr>
                <w:rFonts w:ascii="Arial" w:eastAsia="Arial" w:hAnsi="Arial" w:cs="Arial"/>
                <w:color w:val="000000"/>
                <w:sz w:val="16"/>
              </w:rPr>
            </w:pPr>
            <w:r w:rsidRPr="0092199D">
              <w:rPr>
                <w:rFonts w:ascii="Arial" w:eastAsia="Arial" w:hAnsi="Arial" w:cs="Arial"/>
                <w:color w:val="000000"/>
                <w:sz w:val="16"/>
              </w:rPr>
              <w:t xml:space="preserve"> 12,906 </w:t>
            </w:r>
          </w:p>
        </w:tc>
        <w:tc>
          <w:tcPr>
            <w:tcW w:w="930" w:type="dxa"/>
            <w:tcBorders>
              <w:top w:val="nil"/>
              <w:left w:val="nil"/>
              <w:bottom w:val="nil"/>
              <w:right w:val="nil"/>
              <w:tl2br w:val="nil"/>
              <w:tr2bl w:val="nil"/>
            </w:tcBorders>
            <w:shd w:val="clear" w:color="auto" w:fill="FFFFFF"/>
            <w:tcMar>
              <w:left w:w="101" w:type="dxa"/>
              <w:right w:w="101" w:type="dxa"/>
            </w:tcMar>
            <w:vAlign w:val="bottom"/>
          </w:tcPr>
          <w:p w14:paraId="7969F50D" w14:textId="77777777" w:rsidR="003F0EEA" w:rsidRPr="0092199D" w:rsidRDefault="00FB7D0B">
            <w:pPr>
              <w:jc w:val="right"/>
              <w:rPr>
                <w:rFonts w:ascii="Arial" w:eastAsia="Arial" w:hAnsi="Arial" w:cs="Arial"/>
                <w:color w:val="000000"/>
                <w:sz w:val="16"/>
              </w:rPr>
            </w:pPr>
            <w:r w:rsidRPr="0092199D">
              <w:rPr>
                <w:rFonts w:ascii="Arial" w:eastAsia="Arial" w:hAnsi="Arial" w:cs="Arial"/>
                <w:color w:val="000000"/>
                <w:sz w:val="16"/>
              </w:rPr>
              <w:t xml:space="preserve"> 12,906 </w:t>
            </w:r>
          </w:p>
        </w:tc>
        <w:tc>
          <w:tcPr>
            <w:tcW w:w="975" w:type="dxa"/>
            <w:tcBorders>
              <w:top w:val="nil"/>
              <w:left w:val="nil"/>
              <w:bottom w:val="nil"/>
              <w:right w:val="nil"/>
              <w:tl2br w:val="nil"/>
              <w:tr2bl w:val="nil"/>
            </w:tcBorders>
            <w:shd w:val="clear" w:color="auto" w:fill="FFFFFF"/>
            <w:tcMar>
              <w:left w:w="101" w:type="dxa"/>
              <w:right w:w="101" w:type="dxa"/>
            </w:tcMar>
            <w:vAlign w:val="bottom"/>
          </w:tcPr>
          <w:p w14:paraId="70EAF2B9" w14:textId="77777777" w:rsidR="003F0EEA" w:rsidRPr="0092199D" w:rsidRDefault="00FB7D0B">
            <w:pPr>
              <w:jc w:val="right"/>
              <w:rPr>
                <w:rFonts w:ascii="Arial" w:eastAsia="Arial" w:hAnsi="Arial" w:cs="Arial"/>
                <w:color w:val="000000"/>
                <w:sz w:val="16"/>
              </w:rPr>
            </w:pPr>
            <w:r w:rsidRPr="0092199D">
              <w:rPr>
                <w:rFonts w:ascii="Arial" w:eastAsia="Arial" w:hAnsi="Arial" w:cs="Arial"/>
                <w:color w:val="000000"/>
                <w:sz w:val="16"/>
              </w:rPr>
              <w:t xml:space="preserve"> 12,906 </w:t>
            </w:r>
          </w:p>
        </w:tc>
        <w:tc>
          <w:tcPr>
            <w:tcW w:w="975" w:type="dxa"/>
            <w:tcBorders>
              <w:top w:val="nil"/>
              <w:left w:val="nil"/>
              <w:bottom w:val="nil"/>
              <w:right w:val="nil"/>
              <w:tl2br w:val="nil"/>
              <w:tr2bl w:val="nil"/>
            </w:tcBorders>
            <w:shd w:val="clear" w:color="auto" w:fill="FFFFFF"/>
            <w:tcMar>
              <w:left w:w="101" w:type="dxa"/>
              <w:right w:w="101" w:type="dxa"/>
            </w:tcMar>
            <w:vAlign w:val="bottom"/>
          </w:tcPr>
          <w:p w14:paraId="006E9EEB" w14:textId="77777777" w:rsidR="003F0EEA" w:rsidRPr="0092199D" w:rsidRDefault="00FB7D0B">
            <w:pPr>
              <w:jc w:val="right"/>
              <w:rPr>
                <w:rFonts w:ascii="Arial" w:eastAsia="Arial" w:hAnsi="Arial" w:cs="Arial"/>
                <w:color w:val="000000"/>
                <w:sz w:val="16"/>
              </w:rPr>
            </w:pPr>
            <w:r w:rsidRPr="0092199D">
              <w:rPr>
                <w:rFonts w:ascii="Arial" w:eastAsia="Arial" w:hAnsi="Arial" w:cs="Arial"/>
                <w:color w:val="000000"/>
                <w:sz w:val="16"/>
              </w:rPr>
              <w:t xml:space="preserve"> 12,906 </w:t>
            </w:r>
          </w:p>
        </w:tc>
      </w:tr>
      <w:tr w:rsidR="00FB7D0B" w14:paraId="631A560C" w14:textId="77777777" w:rsidTr="00FB7D0B">
        <w:trPr>
          <w:trHeight w:val="225"/>
        </w:trPr>
        <w:tc>
          <w:tcPr>
            <w:tcW w:w="180" w:type="dxa"/>
            <w:tcBorders>
              <w:top w:val="nil"/>
              <w:left w:val="nil"/>
              <w:bottom w:val="nil"/>
              <w:right w:val="nil"/>
              <w:tl2br w:val="nil"/>
              <w:tr2bl w:val="nil"/>
            </w:tcBorders>
            <w:shd w:val="clear" w:color="auto" w:fill="FFFFFF"/>
            <w:tcMar>
              <w:left w:w="101" w:type="dxa"/>
              <w:right w:w="101" w:type="dxa"/>
            </w:tcMar>
            <w:vAlign w:val="bottom"/>
          </w:tcPr>
          <w:p w14:paraId="7B306DBE" w14:textId="77777777" w:rsidR="003F0EEA" w:rsidRPr="0092199D" w:rsidRDefault="003F0EEA">
            <w:pPr>
              <w:rPr>
                <w:rFonts w:ascii="Arial" w:eastAsia="Arial" w:hAnsi="Arial" w:cs="Arial"/>
                <w:color w:val="000000"/>
                <w:sz w:val="16"/>
              </w:rPr>
            </w:pPr>
          </w:p>
        </w:tc>
        <w:tc>
          <w:tcPr>
            <w:tcW w:w="2880" w:type="dxa"/>
            <w:gridSpan w:val="2"/>
            <w:vMerge w:val="restart"/>
            <w:tcBorders>
              <w:top w:val="nil"/>
              <w:left w:val="nil"/>
              <w:bottom w:val="nil"/>
              <w:right w:val="nil"/>
              <w:tl2br w:val="nil"/>
              <w:tr2bl w:val="nil"/>
            </w:tcBorders>
            <w:shd w:val="clear" w:color="auto" w:fill="FFFFFF"/>
            <w:tcMar>
              <w:left w:w="101" w:type="dxa"/>
              <w:right w:w="101" w:type="dxa"/>
            </w:tcMar>
            <w:vAlign w:val="bottom"/>
          </w:tcPr>
          <w:p w14:paraId="0BEF1DE1" w14:textId="77777777" w:rsidR="003F0EEA" w:rsidRPr="0092199D" w:rsidRDefault="00FB7D0B">
            <w:pPr>
              <w:rPr>
                <w:rFonts w:ascii="Arial" w:eastAsia="Arial" w:hAnsi="Arial" w:cs="Arial"/>
                <w:color w:val="000000"/>
                <w:sz w:val="16"/>
              </w:rPr>
            </w:pPr>
            <w:r w:rsidRPr="0092199D">
              <w:rPr>
                <w:rFonts w:ascii="Arial" w:eastAsia="Arial" w:hAnsi="Arial" w:cs="Arial"/>
                <w:color w:val="000000"/>
                <w:sz w:val="16"/>
              </w:rPr>
              <w:t>Appropriation receivables</w:t>
            </w:r>
          </w:p>
        </w:tc>
        <w:tc>
          <w:tcPr>
            <w:tcW w:w="930" w:type="dxa"/>
            <w:tcBorders>
              <w:top w:val="nil"/>
              <w:left w:val="nil"/>
              <w:bottom w:val="nil"/>
              <w:right w:val="nil"/>
              <w:tl2br w:val="nil"/>
              <w:tr2bl w:val="nil"/>
            </w:tcBorders>
            <w:shd w:val="clear" w:color="auto" w:fill="FFFFFF"/>
            <w:tcMar>
              <w:left w:w="101" w:type="dxa"/>
              <w:right w:w="101" w:type="dxa"/>
            </w:tcMar>
            <w:vAlign w:val="bottom"/>
          </w:tcPr>
          <w:p w14:paraId="6F5A08BE" w14:textId="77777777" w:rsidR="003F0EEA" w:rsidRPr="0092199D" w:rsidRDefault="00FB7D0B">
            <w:pPr>
              <w:jc w:val="right"/>
              <w:rPr>
                <w:rFonts w:ascii="Arial" w:eastAsia="Arial" w:hAnsi="Arial" w:cs="Arial"/>
                <w:color w:val="000000"/>
                <w:sz w:val="16"/>
              </w:rPr>
            </w:pPr>
            <w:r w:rsidRPr="0092199D">
              <w:rPr>
                <w:rFonts w:ascii="Arial" w:eastAsia="Arial" w:hAnsi="Arial" w:cs="Arial"/>
                <w:color w:val="000000"/>
                <w:sz w:val="16"/>
              </w:rPr>
              <w:t xml:space="preserve"> 8,368 </w:t>
            </w:r>
          </w:p>
        </w:tc>
        <w:tc>
          <w:tcPr>
            <w:tcW w:w="930" w:type="dxa"/>
            <w:tcBorders>
              <w:top w:val="nil"/>
              <w:left w:val="nil"/>
              <w:bottom w:val="nil"/>
              <w:right w:val="nil"/>
              <w:tl2br w:val="nil"/>
              <w:tr2bl w:val="nil"/>
            </w:tcBorders>
            <w:shd w:val="clear" w:color="auto" w:fill="FFFF00"/>
            <w:tcMar>
              <w:left w:w="101" w:type="dxa"/>
              <w:right w:w="101" w:type="dxa"/>
            </w:tcMar>
            <w:vAlign w:val="bottom"/>
          </w:tcPr>
          <w:p w14:paraId="6C0E5037" w14:textId="77777777" w:rsidR="003F0EEA" w:rsidRPr="0092199D" w:rsidRDefault="00FB7D0B">
            <w:pPr>
              <w:jc w:val="right"/>
              <w:rPr>
                <w:rFonts w:ascii="Arial" w:eastAsia="Arial" w:hAnsi="Arial" w:cs="Arial"/>
                <w:color w:val="000000"/>
                <w:sz w:val="16"/>
              </w:rPr>
            </w:pPr>
            <w:r w:rsidRPr="0092199D">
              <w:rPr>
                <w:rFonts w:ascii="Arial" w:eastAsia="Arial" w:hAnsi="Arial" w:cs="Arial"/>
                <w:color w:val="000000"/>
                <w:sz w:val="16"/>
              </w:rPr>
              <w:t xml:space="preserve"> 6,986 </w:t>
            </w:r>
          </w:p>
        </w:tc>
        <w:tc>
          <w:tcPr>
            <w:tcW w:w="930" w:type="dxa"/>
            <w:tcBorders>
              <w:top w:val="nil"/>
              <w:left w:val="nil"/>
              <w:bottom w:val="nil"/>
              <w:right w:val="nil"/>
              <w:tl2br w:val="nil"/>
              <w:tr2bl w:val="nil"/>
            </w:tcBorders>
            <w:shd w:val="clear" w:color="auto" w:fill="FFFFFF"/>
            <w:tcMar>
              <w:left w:w="101" w:type="dxa"/>
              <w:right w:w="101" w:type="dxa"/>
            </w:tcMar>
            <w:vAlign w:val="bottom"/>
          </w:tcPr>
          <w:p w14:paraId="7C283D19" w14:textId="77777777" w:rsidR="003F0EEA" w:rsidRPr="0092199D" w:rsidRDefault="00FB7D0B">
            <w:pPr>
              <w:jc w:val="right"/>
              <w:rPr>
                <w:rFonts w:ascii="Arial" w:eastAsia="Arial" w:hAnsi="Arial" w:cs="Arial"/>
                <w:color w:val="000000"/>
                <w:sz w:val="16"/>
              </w:rPr>
            </w:pPr>
            <w:r w:rsidRPr="0092199D">
              <w:rPr>
                <w:rFonts w:ascii="Arial" w:eastAsia="Arial" w:hAnsi="Arial" w:cs="Arial"/>
                <w:color w:val="000000"/>
                <w:sz w:val="16"/>
              </w:rPr>
              <w:t xml:space="preserve"> 5,199 </w:t>
            </w:r>
          </w:p>
        </w:tc>
        <w:tc>
          <w:tcPr>
            <w:tcW w:w="975" w:type="dxa"/>
            <w:tcBorders>
              <w:top w:val="nil"/>
              <w:left w:val="nil"/>
              <w:bottom w:val="nil"/>
              <w:right w:val="nil"/>
              <w:tl2br w:val="nil"/>
              <w:tr2bl w:val="nil"/>
            </w:tcBorders>
            <w:shd w:val="clear" w:color="auto" w:fill="FFFFFF"/>
            <w:tcMar>
              <w:left w:w="101" w:type="dxa"/>
              <w:right w:w="101" w:type="dxa"/>
            </w:tcMar>
            <w:vAlign w:val="bottom"/>
          </w:tcPr>
          <w:p w14:paraId="2EBCD04F" w14:textId="77777777" w:rsidR="003F0EEA" w:rsidRPr="0092199D" w:rsidRDefault="00FB7D0B">
            <w:pPr>
              <w:jc w:val="right"/>
              <w:rPr>
                <w:rFonts w:ascii="Arial" w:eastAsia="Arial" w:hAnsi="Arial" w:cs="Arial"/>
                <w:color w:val="000000"/>
                <w:sz w:val="16"/>
              </w:rPr>
            </w:pPr>
            <w:r w:rsidRPr="0092199D">
              <w:rPr>
                <w:rFonts w:ascii="Arial" w:eastAsia="Arial" w:hAnsi="Arial" w:cs="Arial"/>
                <w:color w:val="000000"/>
                <w:sz w:val="16"/>
              </w:rPr>
              <w:t xml:space="preserve"> 4,225 </w:t>
            </w:r>
          </w:p>
        </w:tc>
        <w:tc>
          <w:tcPr>
            <w:tcW w:w="975" w:type="dxa"/>
            <w:tcBorders>
              <w:top w:val="nil"/>
              <w:left w:val="nil"/>
              <w:bottom w:val="nil"/>
              <w:right w:val="nil"/>
              <w:tl2br w:val="nil"/>
              <w:tr2bl w:val="nil"/>
            </w:tcBorders>
            <w:shd w:val="clear" w:color="auto" w:fill="FFFFFF"/>
            <w:tcMar>
              <w:left w:w="101" w:type="dxa"/>
              <w:right w:w="101" w:type="dxa"/>
            </w:tcMar>
            <w:vAlign w:val="bottom"/>
          </w:tcPr>
          <w:p w14:paraId="1C9033A7" w14:textId="77777777" w:rsidR="003F0EEA" w:rsidRPr="0092199D" w:rsidRDefault="00FB7D0B">
            <w:pPr>
              <w:jc w:val="right"/>
              <w:rPr>
                <w:rFonts w:ascii="Arial" w:eastAsia="Arial" w:hAnsi="Arial" w:cs="Arial"/>
                <w:color w:val="000000"/>
                <w:sz w:val="16"/>
              </w:rPr>
            </w:pPr>
            <w:r w:rsidRPr="0092199D">
              <w:rPr>
                <w:rFonts w:ascii="Arial" w:eastAsia="Arial" w:hAnsi="Arial" w:cs="Arial"/>
                <w:color w:val="000000"/>
                <w:sz w:val="16"/>
              </w:rPr>
              <w:t xml:space="preserve"> 4,730 </w:t>
            </w:r>
          </w:p>
        </w:tc>
      </w:tr>
      <w:tr w:rsidR="00FB7D0B" w14:paraId="185B1260" w14:textId="77777777" w:rsidTr="00FB7D0B">
        <w:trPr>
          <w:trHeight w:val="225"/>
        </w:trPr>
        <w:tc>
          <w:tcPr>
            <w:tcW w:w="180" w:type="dxa"/>
            <w:tcBorders>
              <w:top w:val="nil"/>
              <w:left w:val="nil"/>
              <w:bottom w:val="nil"/>
              <w:right w:val="nil"/>
              <w:tl2br w:val="nil"/>
              <w:tr2bl w:val="nil"/>
            </w:tcBorders>
            <w:shd w:val="clear" w:color="auto" w:fill="FFFFFF"/>
            <w:tcMar>
              <w:left w:w="101" w:type="dxa"/>
              <w:right w:w="101" w:type="dxa"/>
            </w:tcMar>
            <w:vAlign w:val="bottom"/>
          </w:tcPr>
          <w:p w14:paraId="0463F609" w14:textId="77777777" w:rsidR="003F0EEA" w:rsidRPr="0092199D" w:rsidRDefault="003F0EEA">
            <w:pPr>
              <w:rPr>
                <w:rFonts w:ascii="Arial" w:eastAsia="Arial" w:hAnsi="Arial" w:cs="Arial"/>
                <w:color w:val="000000"/>
                <w:sz w:val="16"/>
              </w:rPr>
            </w:pPr>
          </w:p>
        </w:tc>
        <w:tc>
          <w:tcPr>
            <w:tcW w:w="2880" w:type="dxa"/>
            <w:gridSpan w:val="2"/>
            <w:tcBorders>
              <w:top w:val="nil"/>
              <w:left w:val="nil"/>
              <w:bottom w:val="nil"/>
              <w:right w:val="nil"/>
              <w:tl2br w:val="nil"/>
              <w:tr2bl w:val="nil"/>
            </w:tcBorders>
            <w:shd w:val="clear" w:color="auto" w:fill="FFFFFF"/>
            <w:tcMar>
              <w:left w:w="101" w:type="dxa"/>
              <w:right w:w="101" w:type="dxa"/>
            </w:tcMar>
            <w:vAlign w:val="bottom"/>
          </w:tcPr>
          <w:p w14:paraId="09E26B6C" w14:textId="77777777" w:rsidR="003F0EEA" w:rsidRPr="0092199D" w:rsidRDefault="00FB7D0B">
            <w:pPr>
              <w:rPr>
                <w:rFonts w:ascii="Arial" w:eastAsia="Arial" w:hAnsi="Arial" w:cs="Arial"/>
                <w:color w:val="000000"/>
                <w:sz w:val="16"/>
              </w:rPr>
            </w:pPr>
            <w:r w:rsidRPr="0092199D">
              <w:rPr>
                <w:rFonts w:ascii="Arial" w:eastAsia="Arial" w:hAnsi="Arial" w:cs="Arial"/>
                <w:color w:val="000000"/>
                <w:sz w:val="16"/>
              </w:rPr>
              <w:t>Investments</w:t>
            </w:r>
          </w:p>
        </w:tc>
        <w:tc>
          <w:tcPr>
            <w:tcW w:w="930" w:type="dxa"/>
            <w:tcBorders>
              <w:top w:val="nil"/>
              <w:left w:val="nil"/>
              <w:bottom w:val="nil"/>
              <w:right w:val="nil"/>
              <w:tl2br w:val="nil"/>
              <w:tr2bl w:val="nil"/>
            </w:tcBorders>
            <w:shd w:val="clear" w:color="auto" w:fill="FFFFFF"/>
            <w:tcMar>
              <w:left w:w="101" w:type="dxa"/>
              <w:right w:w="101" w:type="dxa"/>
            </w:tcMar>
            <w:vAlign w:val="bottom"/>
          </w:tcPr>
          <w:p w14:paraId="4E3FD1E5" w14:textId="77777777" w:rsidR="003F0EEA" w:rsidRPr="0092199D" w:rsidRDefault="00FB7D0B">
            <w:pPr>
              <w:jc w:val="right"/>
              <w:rPr>
                <w:rFonts w:ascii="Arial" w:eastAsia="Arial" w:hAnsi="Arial" w:cs="Arial"/>
                <w:color w:val="000000"/>
                <w:sz w:val="16"/>
              </w:rPr>
            </w:pPr>
            <w:r w:rsidRPr="0092199D">
              <w:rPr>
                <w:rFonts w:ascii="Arial" w:eastAsia="Arial" w:hAnsi="Arial" w:cs="Arial"/>
                <w:color w:val="000000"/>
                <w:sz w:val="16"/>
              </w:rPr>
              <w:t xml:space="preserve"> 49,930 </w:t>
            </w:r>
          </w:p>
        </w:tc>
        <w:tc>
          <w:tcPr>
            <w:tcW w:w="930" w:type="dxa"/>
            <w:tcBorders>
              <w:top w:val="nil"/>
              <w:left w:val="nil"/>
              <w:bottom w:val="nil"/>
              <w:right w:val="nil"/>
              <w:tl2br w:val="nil"/>
              <w:tr2bl w:val="nil"/>
            </w:tcBorders>
            <w:shd w:val="clear" w:color="auto" w:fill="FFFF00"/>
            <w:tcMar>
              <w:left w:w="101" w:type="dxa"/>
              <w:right w:w="101" w:type="dxa"/>
            </w:tcMar>
            <w:vAlign w:val="bottom"/>
          </w:tcPr>
          <w:p w14:paraId="016418DC" w14:textId="77777777" w:rsidR="003F0EEA" w:rsidRPr="0092199D" w:rsidRDefault="00FB7D0B">
            <w:pPr>
              <w:jc w:val="right"/>
              <w:rPr>
                <w:rFonts w:ascii="Arial" w:eastAsia="Arial" w:hAnsi="Arial" w:cs="Arial"/>
                <w:color w:val="000000"/>
                <w:sz w:val="16"/>
              </w:rPr>
            </w:pPr>
            <w:r w:rsidRPr="0092199D">
              <w:rPr>
                <w:rFonts w:ascii="Arial" w:eastAsia="Arial" w:hAnsi="Arial" w:cs="Arial"/>
                <w:color w:val="000000"/>
                <w:sz w:val="16"/>
              </w:rPr>
              <w:t xml:space="preserve"> 51,730 </w:t>
            </w:r>
          </w:p>
        </w:tc>
        <w:tc>
          <w:tcPr>
            <w:tcW w:w="930" w:type="dxa"/>
            <w:tcBorders>
              <w:top w:val="nil"/>
              <w:left w:val="nil"/>
              <w:bottom w:val="nil"/>
              <w:right w:val="nil"/>
              <w:tl2br w:val="nil"/>
              <w:tr2bl w:val="nil"/>
            </w:tcBorders>
            <w:shd w:val="clear" w:color="auto" w:fill="FFFFFF"/>
            <w:tcMar>
              <w:left w:w="101" w:type="dxa"/>
              <w:right w:w="101" w:type="dxa"/>
            </w:tcMar>
            <w:vAlign w:val="bottom"/>
          </w:tcPr>
          <w:p w14:paraId="781A5B27" w14:textId="77777777" w:rsidR="003F0EEA" w:rsidRPr="0092199D" w:rsidRDefault="00FB7D0B">
            <w:pPr>
              <w:jc w:val="right"/>
              <w:rPr>
                <w:rFonts w:ascii="Arial" w:eastAsia="Arial" w:hAnsi="Arial" w:cs="Arial"/>
                <w:color w:val="000000"/>
                <w:sz w:val="16"/>
              </w:rPr>
            </w:pPr>
            <w:r w:rsidRPr="0092199D">
              <w:rPr>
                <w:rFonts w:ascii="Arial" w:eastAsia="Arial" w:hAnsi="Arial" w:cs="Arial"/>
                <w:color w:val="000000"/>
                <w:sz w:val="16"/>
              </w:rPr>
              <w:t xml:space="preserve"> 54,730 </w:t>
            </w:r>
          </w:p>
        </w:tc>
        <w:tc>
          <w:tcPr>
            <w:tcW w:w="975" w:type="dxa"/>
            <w:tcBorders>
              <w:top w:val="nil"/>
              <w:left w:val="nil"/>
              <w:bottom w:val="nil"/>
              <w:right w:val="nil"/>
              <w:tl2br w:val="nil"/>
              <w:tr2bl w:val="nil"/>
            </w:tcBorders>
            <w:shd w:val="clear" w:color="auto" w:fill="FFFFFF"/>
            <w:tcMar>
              <w:left w:w="101" w:type="dxa"/>
              <w:right w:w="101" w:type="dxa"/>
            </w:tcMar>
            <w:vAlign w:val="bottom"/>
          </w:tcPr>
          <w:p w14:paraId="2627DFF5" w14:textId="77777777" w:rsidR="003F0EEA" w:rsidRPr="0092199D" w:rsidRDefault="00FB7D0B">
            <w:pPr>
              <w:jc w:val="right"/>
              <w:rPr>
                <w:rFonts w:ascii="Arial" w:eastAsia="Arial" w:hAnsi="Arial" w:cs="Arial"/>
                <w:color w:val="000000"/>
                <w:sz w:val="16"/>
              </w:rPr>
            </w:pPr>
            <w:r w:rsidRPr="0092199D">
              <w:rPr>
                <w:rFonts w:ascii="Arial" w:eastAsia="Arial" w:hAnsi="Arial" w:cs="Arial"/>
                <w:color w:val="000000"/>
                <w:sz w:val="16"/>
              </w:rPr>
              <w:t xml:space="preserve"> 59,130 </w:t>
            </w:r>
          </w:p>
        </w:tc>
        <w:tc>
          <w:tcPr>
            <w:tcW w:w="975" w:type="dxa"/>
            <w:tcBorders>
              <w:top w:val="nil"/>
              <w:left w:val="nil"/>
              <w:bottom w:val="nil"/>
              <w:right w:val="nil"/>
              <w:tl2br w:val="nil"/>
              <w:tr2bl w:val="nil"/>
            </w:tcBorders>
            <w:shd w:val="clear" w:color="auto" w:fill="FFFFFF"/>
            <w:tcMar>
              <w:left w:w="101" w:type="dxa"/>
              <w:right w:w="101" w:type="dxa"/>
            </w:tcMar>
            <w:vAlign w:val="bottom"/>
          </w:tcPr>
          <w:p w14:paraId="62C77186" w14:textId="77777777" w:rsidR="003F0EEA" w:rsidRPr="0092199D" w:rsidRDefault="00FB7D0B">
            <w:pPr>
              <w:jc w:val="right"/>
              <w:rPr>
                <w:rFonts w:ascii="Arial" w:eastAsia="Arial" w:hAnsi="Arial" w:cs="Arial"/>
                <w:color w:val="000000"/>
                <w:sz w:val="16"/>
              </w:rPr>
            </w:pPr>
            <w:r w:rsidRPr="0092199D">
              <w:rPr>
                <w:rFonts w:ascii="Arial" w:eastAsia="Arial" w:hAnsi="Arial" w:cs="Arial"/>
                <w:color w:val="000000"/>
                <w:sz w:val="16"/>
              </w:rPr>
              <w:t xml:space="preserve"> 65,130 </w:t>
            </w:r>
          </w:p>
        </w:tc>
      </w:tr>
      <w:tr w:rsidR="00FB7D0B" w14:paraId="77738E99" w14:textId="77777777" w:rsidTr="00FB7D0B">
        <w:trPr>
          <w:trHeight w:val="225"/>
        </w:trPr>
        <w:tc>
          <w:tcPr>
            <w:tcW w:w="3060" w:type="dxa"/>
            <w:gridSpan w:val="3"/>
            <w:tcBorders>
              <w:top w:val="nil"/>
              <w:left w:val="nil"/>
              <w:bottom w:val="nil"/>
              <w:right w:val="nil"/>
              <w:tl2br w:val="nil"/>
              <w:tr2bl w:val="nil"/>
            </w:tcBorders>
            <w:shd w:val="clear" w:color="auto" w:fill="FFFFFF"/>
            <w:tcMar>
              <w:left w:w="101" w:type="dxa"/>
              <w:right w:w="101" w:type="dxa"/>
            </w:tcMar>
            <w:vAlign w:val="bottom"/>
          </w:tcPr>
          <w:p w14:paraId="78DCA78A" w14:textId="77777777" w:rsidR="003F0EEA" w:rsidRPr="0092199D" w:rsidRDefault="00FB7D0B">
            <w:pPr>
              <w:rPr>
                <w:rFonts w:ascii="Arial" w:eastAsia="Arial" w:hAnsi="Arial" w:cs="Arial"/>
                <w:color w:val="000000"/>
                <w:sz w:val="16"/>
              </w:rPr>
            </w:pPr>
            <w:r w:rsidRPr="0092199D">
              <w:rPr>
                <w:rFonts w:ascii="Arial" w:eastAsia="Arial" w:hAnsi="Arial" w:cs="Arial"/>
                <w:b/>
                <w:i/>
                <w:color w:val="000000"/>
                <w:sz w:val="16"/>
              </w:rPr>
              <w:t>Total financial assets</w:t>
            </w:r>
          </w:p>
        </w:tc>
        <w:tc>
          <w:tcPr>
            <w:tcW w:w="930"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441461F4" w14:textId="77777777" w:rsidR="003F0EEA" w:rsidRPr="0092199D" w:rsidRDefault="00FB7D0B">
            <w:pPr>
              <w:jc w:val="right"/>
              <w:rPr>
                <w:rFonts w:ascii="Arial" w:eastAsia="Arial" w:hAnsi="Arial" w:cs="Arial"/>
                <w:b/>
                <w:i/>
                <w:color w:val="000000"/>
                <w:sz w:val="16"/>
              </w:rPr>
            </w:pPr>
            <w:r w:rsidRPr="0092199D">
              <w:rPr>
                <w:rFonts w:ascii="Arial" w:eastAsia="Arial" w:hAnsi="Arial" w:cs="Arial"/>
                <w:b/>
                <w:color w:val="000000"/>
                <w:sz w:val="16"/>
              </w:rPr>
              <w:t xml:space="preserve"> 73,525 </w:t>
            </w:r>
          </w:p>
        </w:tc>
        <w:tc>
          <w:tcPr>
            <w:tcW w:w="930" w:type="dxa"/>
            <w:tcBorders>
              <w:top w:val="single" w:sz="6" w:space="0" w:color="000000"/>
              <w:left w:val="nil"/>
              <w:bottom w:val="single" w:sz="6" w:space="0" w:color="000000"/>
              <w:right w:val="nil"/>
              <w:tl2br w:val="nil"/>
              <w:tr2bl w:val="nil"/>
            </w:tcBorders>
            <w:shd w:val="clear" w:color="auto" w:fill="FFFF00"/>
            <w:tcMar>
              <w:left w:w="101" w:type="dxa"/>
              <w:right w:w="101" w:type="dxa"/>
            </w:tcMar>
            <w:vAlign w:val="bottom"/>
          </w:tcPr>
          <w:p w14:paraId="5CFE9B31" w14:textId="77777777" w:rsidR="003F0EEA" w:rsidRPr="0092199D" w:rsidRDefault="00FB7D0B">
            <w:pPr>
              <w:jc w:val="right"/>
              <w:rPr>
                <w:rFonts w:ascii="Arial" w:eastAsia="Arial" w:hAnsi="Arial" w:cs="Arial"/>
                <w:b/>
                <w:color w:val="000000"/>
                <w:sz w:val="16"/>
              </w:rPr>
            </w:pPr>
            <w:r w:rsidRPr="0092199D">
              <w:rPr>
                <w:rFonts w:ascii="Arial" w:eastAsia="Arial" w:hAnsi="Arial" w:cs="Arial"/>
                <w:b/>
                <w:color w:val="000000"/>
                <w:sz w:val="16"/>
              </w:rPr>
              <w:t xml:space="preserve"> 75,070 </w:t>
            </w:r>
          </w:p>
        </w:tc>
        <w:tc>
          <w:tcPr>
            <w:tcW w:w="930"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2E948091" w14:textId="77777777" w:rsidR="003F0EEA" w:rsidRPr="0092199D" w:rsidRDefault="00FB7D0B">
            <w:pPr>
              <w:jc w:val="right"/>
              <w:rPr>
                <w:rFonts w:ascii="Arial" w:eastAsia="Arial" w:hAnsi="Arial" w:cs="Arial"/>
                <w:b/>
                <w:color w:val="000000"/>
                <w:sz w:val="16"/>
              </w:rPr>
            </w:pPr>
            <w:r w:rsidRPr="0092199D">
              <w:rPr>
                <w:rFonts w:ascii="Arial" w:eastAsia="Arial" w:hAnsi="Arial" w:cs="Arial"/>
                <w:b/>
                <w:color w:val="000000"/>
                <w:sz w:val="16"/>
              </w:rPr>
              <w:t xml:space="preserve"> 75,613 </w:t>
            </w:r>
          </w:p>
        </w:tc>
        <w:tc>
          <w:tcPr>
            <w:tcW w:w="975"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12150562" w14:textId="77777777" w:rsidR="003F0EEA" w:rsidRPr="0092199D" w:rsidRDefault="00FB7D0B">
            <w:pPr>
              <w:jc w:val="right"/>
              <w:rPr>
                <w:rFonts w:ascii="Arial" w:eastAsia="Arial" w:hAnsi="Arial" w:cs="Arial"/>
                <w:b/>
                <w:color w:val="000000"/>
                <w:sz w:val="16"/>
              </w:rPr>
            </w:pPr>
            <w:r w:rsidRPr="0092199D">
              <w:rPr>
                <w:rFonts w:ascii="Arial" w:eastAsia="Arial" w:hAnsi="Arial" w:cs="Arial"/>
                <w:b/>
                <w:color w:val="000000"/>
                <w:sz w:val="16"/>
              </w:rPr>
              <w:t xml:space="preserve"> 78,859 </w:t>
            </w:r>
          </w:p>
        </w:tc>
        <w:tc>
          <w:tcPr>
            <w:tcW w:w="975"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4B7C37C0" w14:textId="77777777" w:rsidR="003F0EEA" w:rsidRPr="0092199D" w:rsidRDefault="00FB7D0B">
            <w:pPr>
              <w:jc w:val="right"/>
              <w:rPr>
                <w:rFonts w:ascii="Arial" w:eastAsia="Arial" w:hAnsi="Arial" w:cs="Arial"/>
                <w:b/>
                <w:color w:val="000000"/>
                <w:sz w:val="16"/>
              </w:rPr>
            </w:pPr>
            <w:r w:rsidRPr="0092199D">
              <w:rPr>
                <w:rFonts w:ascii="Arial" w:eastAsia="Arial" w:hAnsi="Arial" w:cs="Arial"/>
                <w:b/>
                <w:color w:val="000000"/>
                <w:sz w:val="16"/>
              </w:rPr>
              <w:t xml:space="preserve"> 85,630 </w:t>
            </w:r>
          </w:p>
        </w:tc>
      </w:tr>
      <w:tr w:rsidR="00724034" w14:paraId="0D77DD8F" w14:textId="77777777">
        <w:trPr>
          <w:trHeight w:hRule="exact" w:val="225"/>
        </w:trPr>
        <w:tc>
          <w:tcPr>
            <w:tcW w:w="180" w:type="dxa"/>
            <w:tcBorders>
              <w:top w:val="nil"/>
              <w:left w:val="nil"/>
              <w:bottom w:val="nil"/>
              <w:right w:val="nil"/>
              <w:tl2br w:val="nil"/>
              <w:tr2bl w:val="nil"/>
            </w:tcBorders>
            <w:shd w:val="clear" w:color="auto" w:fill="FFFFFF"/>
            <w:tcMar>
              <w:left w:w="101" w:type="dxa"/>
              <w:right w:w="101" w:type="dxa"/>
            </w:tcMar>
            <w:vAlign w:val="bottom"/>
          </w:tcPr>
          <w:p w14:paraId="27327939" w14:textId="77777777" w:rsidR="003F0EEA" w:rsidRPr="0092199D" w:rsidRDefault="003F0EEA">
            <w:pPr>
              <w:rPr>
                <w:rFonts w:ascii="Arial" w:eastAsia="Arial" w:hAnsi="Arial" w:cs="Arial"/>
                <w:b/>
                <w:color w:val="000000"/>
                <w:sz w:val="16"/>
              </w:rPr>
            </w:pPr>
          </w:p>
        </w:tc>
        <w:tc>
          <w:tcPr>
            <w:tcW w:w="180" w:type="dxa"/>
            <w:tcBorders>
              <w:top w:val="nil"/>
              <w:left w:val="nil"/>
              <w:bottom w:val="nil"/>
              <w:right w:val="nil"/>
              <w:tl2br w:val="nil"/>
              <w:tr2bl w:val="nil"/>
            </w:tcBorders>
            <w:shd w:val="clear" w:color="auto" w:fill="FFFFFF"/>
            <w:tcMar>
              <w:left w:w="101" w:type="dxa"/>
              <w:right w:w="101" w:type="dxa"/>
            </w:tcMar>
            <w:vAlign w:val="bottom"/>
          </w:tcPr>
          <w:p w14:paraId="56613A13" w14:textId="77777777" w:rsidR="003F0EEA" w:rsidRPr="0092199D" w:rsidRDefault="003F0EEA">
            <w:pPr>
              <w:rPr>
                <w:rFonts w:ascii="Arial" w:eastAsia="Arial" w:hAnsi="Arial" w:cs="Arial"/>
                <w:color w:val="000000"/>
                <w:sz w:val="16"/>
              </w:rPr>
            </w:pPr>
          </w:p>
        </w:tc>
        <w:tc>
          <w:tcPr>
            <w:tcW w:w="2700" w:type="dxa"/>
            <w:tcBorders>
              <w:top w:val="nil"/>
              <w:left w:val="nil"/>
              <w:bottom w:val="nil"/>
              <w:right w:val="nil"/>
              <w:tl2br w:val="nil"/>
              <w:tr2bl w:val="nil"/>
            </w:tcBorders>
            <w:shd w:val="clear" w:color="auto" w:fill="FFFFFF"/>
            <w:tcMar>
              <w:left w:w="101" w:type="dxa"/>
              <w:right w:w="101" w:type="dxa"/>
            </w:tcMar>
            <w:vAlign w:val="bottom"/>
          </w:tcPr>
          <w:p w14:paraId="6AFDD7D9" w14:textId="77777777" w:rsidR="003F0EEA" w:rsidRPr="0092199D" w:rsidRDefault="003F0EEA">
            <w:pPr>
              <w:rPr>
                <w:rFonts w:ascii="Arial" w:eastAsia="Arial" w:hAnsi="Arial" w:cs="Arial"/>
                <w:color w:val="000000"/>
                <w:sz w:val="16"/>
              </w:rPr>
            </w:pPr>
          </w:p>
        </w:tc>
        <w:tc>
          <w:tcPr>
            <w:tcW w:w="930"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274E7DB8" w14:textId="77777777" w:rsidR="003F0EEA" w:rsidRPr="0092199D" w:rsidRDefault="003F0EEA">
            <w:pPr>
              <w:rPr>
                <w:rFonts w:ascii="Arial" w:eastAsia="Arial" w:hAnsi="Arial" w:cs="Arial"/>
                <w:color w:val="000000"/>
                <w:sz w:val="16"/>
              </w:rPr>
            </w:pPr>
          </w:p>
        </w:tc>
        <w:tc>
          <w:tcPr>
            <w:tcW w:w="930" w:type="dxa"/>
            <w:tcBorders>
              <w:top w:val="single" w:sz="6" w:space="0" w:color="000000"/>
              <w:left w:val="nil"/>
              <w:bottom w:val="nil"/>
              <w:right w:val="nil"/>
              <w:tl2br w:val="nil"/>
              <w:tr2bl w:val="nil"/>
            </w:tcBorders>
            <w:shd w:val="clear" w:color="auto" w:fill="FFFF00"/>
            <w:tcMar>
              <w:left w:w="101" w:type="dxa"/>
              <w:right w:w="101" w:type="dxa"/>
            </w:tcMar>
            <w:vAlign w:val="bottom"/>
          </w:tcPr>
          <w:p w14:paraId="0939C640" w14:textId="77777777" w:rsidR="003F0EEA" w:rsidRPr="0092199D" w:rsidRDefault="003F0EEA">
            <w:pPr>
              <w:rPr>
                <w:rFonts w:ascii="Arial" w:eastAsia="Arial" w:hAnsi="Arial" w:cs="Arial"/>
                <w:color w:val="000000"/>
                <w:sz w:val="16"/>
              </w:rPr>
            </w:pPr>
          </w:p>
        </w:tc>
        <w:tc>
          <w:tcPr>
            <w:tcW w:w="930"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087746E4" w14:textId="77777777" w:rsidR="003F0EEA" w:rsidRPr="0092199D" w:rsidRDefault="003F0EEA">
            <w:pPr>
              <w:rPr>
                <w:rFonts w:ascii="Arial" w:eastAsia="Arial" w:hAnsi="Arial" w:cs="Arial"/>
                <w:color w:val="000000"/>
                <w:sz w:val="16"/>
              </w:rPr>
            </w:pPr>
          </w:p>
        </w:tc>
        <w:tc>
          <w:tcPr>
            <w:tcW w:w="97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62E750CC" w14:textId="77777777" w:rsidR="003F0EEA" w:rsidRPr="0092199D" w:rsidRDefault="003F0EEA">
            <w:pPr>
              <w:rPr>
                <w:rFonts w:ascii="Arial" w:eastAsia="Arial" w:hAnsi="Arial" w:cs="Arial"/>
                <w:color w:val="000000"/>
                <w:sz w:val="16"/>
              </w:rPr>
            </w:pPr>
          </w:p>
        </w:tc>
        <w:tc>
          <w:tcPr>
            <w:tcW w:w="97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5F13963F" w14:textId="77777777" w:rsidR="003F0EEA" w:rsidRPr="0092199D" w:rsidRDefault="003F0EEA">
            <w:pPr>
              <w:rPr>
                <w:rFonts w:ascii="Arial" w:eastAsia="Arial" w:hAnsi="Arial" w:cs="Arial"/>
                <w:color w:val="000000"/>
                <w:sz w:val="16"/>
              </w:rPr>
            </w:pPr>
          </w:p>
        </w:tc>
      </w:tr>
      <w:tr w:rsidR="00FB7D0B" w14:paraId="0A99DD96" w14:textId="77777777" w:rsidTr="00FB7D0B">
        <w:trPr>
          <w:trHeight w:val="225"/>
        </w:trPr>
        <w:tc>
          <w:tcPr>
            <w:tcW w:w="3060" w:type="dxa"/>
            <w:gridSpan w:val="3"/>
            <w:tcBorders>
              <w:top w:val="nil"/>
              <w:left w:val="nil"/>
              <w:bottom w:val="nil"/>
              <w:right w:val="nil"/>
              <w:tl2br w:val="nil"/>
              <w:tr2bl w:val="nil"/>
            </w:tcBorders>
            <w:shd w:val="clear" w:color="auto" w:fill="FFFFFF"/>
            <w:tcMar>
              <w:left w:w="101" w:type="dxa"/>
              <w:right w:w="101" w:type="dxa"/>
            </w:tcMar>
            <w:vAlign w:val="bottom"/>
          </w:tcPr>
          <w:p w14:paraId="4A7B754A" w14:textId="77777777" w:rsidR="003F0EEA" w:rsidRPr="0092199D" w:rsidRDefault="00FB7D0B">
            <w:pPr>
              <w:rPr>
                <w:rFonts w:ascii="Arial" w:eastAsia="Arial" w:hAnsi="Arial" w:cs="Arial"/>
                <w:color w:val="000000"/>
                <w:sz w:val="16"/>
              </w:rPr>
            </w:pPr>
            <w:r w:rsidRPr="0092199D">
              <w:rPr>
                <w:rFonts w:ascii="Arial" w:eastAsia="Arial" w:hAnsi="Arial" w:cs="Arial"/>
                <w:b/>
                <w:color w:val="000000"/>
                <w:sz w:val="16"/>
              </w:rPr>
              <w:t>Non-financial assets</w:t>
            </w:r>
          </w:p>
        </w:tc>
        <w:tc>
          <w:tcPr>
            <w:tcW w:w="930" w:type="dxa"/>
            <w:tcBorders>
              <w:top w:val="nil"/>
              <w:left w:val="nil"/>
              <w:bottom w:val="nil"/>
              <w:right w:val="nil"/>
              <w:tl2br w:val="nil"/>
              <w:tr2bl w:val="nil"/>
            </w:tcBorders>
            <w:shd w:val="clear" w:color="auto" w:fill="FFFFFF"/>
            <w:tcMar>
              <w:left w:w="101" w:type="dxa"/>
              <w:right w:w="101" w:type="dxa"/>
            </w:tcMar>
            <w:vAlign w:val="bottom"/>
          </w:tcPr>
          <w:p w14:paraId="7D4F7684" w14:textId="77777777" w:rsidR="003F0EEA" w:rsidRPr="0092199D" w:rsidRDefault="003F0EEA">
            <w:pPr>
              <w:rPr>
                <w:rFonts w:ascii="Arial" w:eastAsia="Arial" w:hAnsi="Arial" w:cs="Arial"/>
                <w:b/>
                <w:color w:val="000000"/>
                <w:sz w:val="16"/>
              </w:rPr>
            </w:pPr>
          </w:p>
        </w:tc>
        <w:tc>
          <w:tcPr>
            <w:tcW w:w="930" w:type="dxa"/>
            <w:tcBorders>
              <w:top w:val="nil"/>
              <w:left w:val="nil"/>
              <w:bottom w:val="nil"/>
              <w:right w:val="nil"/>
              <w:tl2br w:val="nil"/>
              <w:tr2bl w:val="nil"/>
            </w:tcBorders>
            <w:shd w:val="clear" w:color="auto" w:fill="FFFF00"/>
            <w:tcMar>
              <w:left w:w="101" w:type="dxa"/>
              <w:right w:w="101" w:type="dxa"/>
            </w:tcMar>
            <w:vAlign w:val="bottom"/>
          </w:tcPr>
          <w:p w14:paraId="6C828F9A" w14:textId="77777777" w:rsidR="003F0EEA" w:rsidRPr="0092199D" w:rsidRDefault="003F0EEA">
            <w:pPr>
              <w:rPr>
                <w:rFonts w:ascii="Arial" w:eastAsia="Arial" w:hAnsi="Arial" w:cs="Arial"/>
                <w:color w:val="000000"/>
                <w:sz w:val="16"/>
              </w:rPr>
            </w:pPr>
          </w:p>
        </w:tc>
        <w:tc>
          <w:tcPr>
            <w:tcW w:w="930" w:type="dxa"/>
            <w:tcBorders>
              <w:top w:val="nil"/>
              <w:left w:val="nil"/>
              <w:bottom w:val="nil"/>
              <w:right w:val="nil"/>
              <w:tl2br w:val="nil"/>
              <w:tr2bl w:val="nil"/>
            </w:tcBorders>
            <w:shd w:val="clear" w:color="auto" w:fill="FFFFFF"/>
            <w:tcMar>
              <w:left w:w="101" w:type="dxa"/>
              <w:right w:w="101" w:type="dxa"/>
            </w:tcMar>
            <w:vAlign w:val="bottom"/>
          </w:tcPr>
          <w:p w14:paraId="67CBE547" w14:textId="77777777" w:rsidR="003F0EEA" w:rsidRPr="0092199D" w:rsidRDefault="003F0EEA">
            <w:pPr>
              <w:rPr>
                <w:rFonts w:ascii="Arial" w:eastAsia="Arial" w:hAnsi="Arial" w:cs="Arial"/>
                <w:color w:val="000000"/>
                <w:sz w:val="16"/>
              </w:rPr>
            </w:pPr>
          </w:p>
        </w:tc>
        <w:tc>
          <w:tcPr>
            <w:tcW w:w="975" w:type="dxa"/>
            <w:tcBorders>
              <w:top w:val="nil"/>
              <w:left w:val="nil"/>
              <w:bottom w:val="nil"/>
              <w:right w:val="nil"/>
              <w:tl2br w:val="nil"/>
              <w:tr2bl w:val="nil"/>
            </w:tcBorders>
            <w:shd w:val="clear" w:color="auto" w:fill="FFFFFF"/>
            <w:tcMar>
              <w:left w:w="101" w:type="dxa"/>
              <w:right w:w="101" w:type="dxa"/>
            </w:tcMar>
            <w:vAlign w:val="bottom"/>
          </w:tcPr>
          <w:p w14:paraId="1427C902" w14:textId="77777777" w:rsidR="003F0EEA" w:rsidRPr="0092199D" w:rsidRDefault="003F0EEA">
            <w:pPr>
              <w:rPr>
                <w:rFonts w:ascii="Arial" w:eastAsia="Arial" w:hAnsi="Arial" w:cs="Arial"/>
                <w:color w:val="000000"/>
                <w:sz w:val="16"/>
              </w:rPr>
            </w:pPr>
          </w:p>
        </w:tc>
        <w:tc>
          <w:tcPr>
            <w:tcW w:w="975" w:type="dxa"/>
            <w:tcBorders>
              <w:top w:val="nil"/>
              <w:left w:val="nil"/>
              <w:bottom w:val="nil"/>
              <w:right w:val="nil"/>
              <w:tl2br w:val="nil"/>
              <w:tr2bl w:val="nil"/>
            </w:tcBorders>
            <w:shd w:val="clear" w:color="auto" w:fill="FFFFFF"/>
            <w:tcMar>
              <w:left w:w="101" w:type="dxa"/>
              <w:right w:w="101" w:type="dxa"/>
            </w:tcMar>
            <w:vAlign w:val="bottom"/>
          </w:tcPr>
          <w:p w14:paraId="55572100" w14:textId="77777777" w:rsidR="003F0EEA" w:rsidRPr="0092199D" w:rsidRDefault="003F0EEA">
            <w:pPr>
              <w:rPr>
                <w:rFonts w:ascii="Arial" w:eastAsia="Arial" w:hAnsi="Arial" w:cs="Arial"/>
                <w:color w:val="000000"/>
                <w:sz w:val="16"/>
              </w:rPr>
            </w:pPr>
          </w:p>
        </w:tc>
      </w:tr>
      <w:tr w:rsidR="00FB7D0B" w14:paraId="1A4695F7" w14:textId="77777777" w:rsidTr="00FB7D0B">
        <w:trPr>
          <w:trHeight w:val="225"/>
        </w:trPr>
        <w:tc>
          <w:tcPr>
            <w:tcW w:w="180" w:type="dxa"/>
            <w:tcBorders>
              <w:top w:val="nil"/>
              <w:left w:val="nil"/>
              <w:bottom w:val="nil"/>
              <w:right w:val="nil"/>
              <w:tl2br w:val="nil"/>
              <w:tr2bl w:val="nil"/>
            </w:tcBorders>
            <w:shd w:val="clear" w:color="auto" w:fill="FFFFFF"/>
            <w:tcMar>
              <w:left w:w="101" w:type="dxa"/>
              <w:right w:w="101" w:type="dxa"/>
            </w:tcMar>
            <w:vAlign w:val="bottom"/>
          </w:tcPr>
          <w:p w14:paraId="4BD67C23" w14:textId="77777777" w:rsidR="003F0EEA" w:rsidRPr="0092199D" w:rsidRDefault="003F0EEA">
            <w:pPr>
              <w:rPr>
                <w:rFonts w:ascii="Arial" w:eastAsia="Arial" w:hAnsi="Arial" w:cs="Arial"/>
                <w:color w:val="000000"/>
                <w:sz w:val="16"/>
              </w:rPr>
            </w:pPr>
          </w:p>
        </w:tc>
        <w:tc>
          <w:tcPr>
            <w:tcW w:w="2880" w:type="dxa"/>
            <w:gridSpan w:val="2"/>
            <w:vMerge w:val="restart"/>
            <w:tcBorders>
              <w:top w:val="nil"/>
              <w:left w:val="nil"/>
              <w:bottom w:val="nil"/>
              <w:right w:val="nil"/>
              <w:tl2br w:val="nil"/>
              <w:tr2bl w:val="nil"/>
            </w:tcBorders>
            <w:shd w:val="clear" w:color="auto" w:fill="FFFFFF"/>
            <w:tcMar>
              <w:left w:w="101" w:type="dxa"/>
              <w:right w:w="101" w:type="dxa"/>
            </w:tcMar>
            <w:vAlign w:val="bottom"/>
          </w:tcPr>
          <w:p w14:paraId="7E6530D7" w14:textId="77777777" w:rsidR="003F0EEA" w:rsidRPr="0092199D" w:rsidRDefault="00FB7D0B">
            <w:pPr>
              <w:rPr>
                <w:rFonts w:ascii="Arial" w:eastAsia="Arial" w:hAnsi="Arial" w:cs="Arial"/>
                <w:color w:val="000000"/>
                <w:sz w:val="16"/>
              </w:rPr>
            </w:pPr>
            <w:r w:rsidRPr="0092199D">
              <w:rPr>
                <w:rFonts w:ascii="Arial" w:eastAsia="Arial" w:hAnsi="Arial" w:cs="Arial"/>
                <w:color w:val="000000"/>
                <w:sz w:val="16"/>
              </w:rPr>
              <w:t>Land and buildings</w:t>
            </w:r>
          </w:p>
        </w:tc>
        <w:tc>
          <w:tcPr>
            <w:tcW w:w="930" w:type="dxa"/>
            <w:tcBorders>
              <w:top w:val="nil"/>
              <w:left w:val="nil"/>
              <w:bottom w:val="nil"/>
              <w:right w:val="nil"/>
              <w:tl2br w:val="nil"/>
              <w:tr2bl w:val="nil"/>
            </w:tcBorders>
            <w:shd w:val="clear" w:color="auto" w:fill="FFFFFF"/>
            <w:tcMar>
              <w:left w:w="101" w:type="dxa"/>
              <w:right w:w="101" w:type="dxa"/>
            </w:tcMar>
            <w:vAlign w:val="bottom"/>
          </w:tcPr>
          <w:p w14:paraId="0B0F980D" w14:textId="77777777" w:rsidR="003F0EEA" w:rsidRPr="0092199D" w:rsidRDefault="00FB7D0B">
            <w:pPr>
              <w:jc w:val="right"/>
              <w:rPr>
                <w:rFonts w:ascii="Arial" w:eastAsia="Arial" w:hAnsi="Arial" w:cs="Arial"/>
                <w:color w:val="000000"/>
                <w:sz w:val="16"/>
              </w:rPr>
            </w:pPr>
            <w:r w:rsidRPr="0092199D">
              <w:rPr>
                <w:rFonts w:ascii="Arial" w:eastAsia="Arial" w:hAnsi="Arial" w:cs="Arial"/>
                <w:color w:val="000000"/>
                <w:sz w:val="16"/>
              </w:rPr>
              <w:t xml:space="preserve"> 20,423 </w:t>
            </w:r>
          </w:p>
        </w:tc>
        <w:tc>
          <w:tcPr>
            <w:tcW w:w="930" w:type="dxa"/>
            <w:tcBorders>
              <w:top w:val="nil"/>
              <w:left w:val="nil"/>
              <w:bottom w:val="nil"/>
              <w:right w:val="nil"/>
              <w:tl2br w:val="nil"/>
              <w:tr2bl w:val="nil"/>
            </w:tcBorders>
            <w:shd w:val="clear" w:color="auto" w:fill="FFFF00"/>
            <w:tcMar>
              <w:left w:w="101" w:type="dxa"/>
              <w:right w:w="101" w:type="dxa"/>
            </w:tcMar>
            <w:vAlign w:val="bottom"/>
          </w:tcPr>
          <w:p w14:paraId="7048EC95" w14:textId="77777777" w:rsidR="003F0EEA" w:rsidRPr="0092199D" w:rsidRDefault="00FB7D0B">
            <w:pPr>
              <w:jc w:val="right"/>
              <w:rPr>
                <w:rFonts w:ascii="Arial" w:eastAsia="Arial" w:hAnsi="Arial" w:cs="Arial"/>
                <w:color w:val="000000"/>
                <w:sz w:val="16"/>
              </w:rPr>
            </w:pPr>
            <w:r w:rsidRPr="0092199D">
              <w:rPr>
                <w:rFonts w:ascii="Arial" w:eastAsia="Arial" w:hAnsi="Arial" w:cs="Arial"/>
                <w:color w:val="000000"/>
                <w:sz w:val="16"/>
              </w:rPr>
              <w:t xml:space="preserve"> 17,153 </w:t>
            </w:r>
          </w:p>
        </w:tc>
        <w:tc>
          <w:tcPr>
            <w:tcW w:w="930" w:type="dxa"/>
            <w:tcBorders>
              <w:top w:val="nil"/>
              <w:left w:val="nil"/>
              <w:bottom w:val="nil"/>
              <w:right w:val="nil"/>
              <w:tl2br w:val="nil"/>
              <w:tr2bl w:val="nil"/>
            </w:tcBorders>
            <w:shd w:val="clear" w:color="auto" w:fill="FFFFFF"/>
            <w:tcMar>
              <w:left w:w="101" w:type="dxa"/>
              <w:right w:w="101" w:type="dxa"/>
            </w:tcMar>
            <w:vAlign w:val="bottom"/>
          </w:tcPr>
          <w:p w14:paraId="38A9035F" w14:textId="77777777" w:rsidR="003F0EEA" w:rsidRPr="0092199D" w:rsidRDefault="00FB7D0B">
            <w:pPr>
              <w:jc w:val="right"/>
              <w:rPr>
                <w:rFonts w:ascii="Arial" w:eastAsia="Arial" w:hAnsi="Arial" w:cs="Arial"/>
                <w:color w:val="000000"/>
                <w:sz w:val="16"/>
              </w:rPr>
            </w:pPr>
            <w:r w:rsidRPr="0092199D">
              <w:rPr>
                <w:rFonts w:ascii="Arial" w:eastAsia="Arial" w:hAnsi="Arial" w:cs="Arial"/>
                <w:color w:val="000000"/>
                <w:sz w:val="16"/>
              </w:rPr>
              <w:t xml:space="preserve"> 15,813 </w:t>
            </w:r>
          </w:p>
        </w:tc>
        <w:tc>
          <w:tcPr>
            <w:tcW w:w="975" w:type="dxa"/>
            <w:tcBorders>
              <w:top w:val="nil"/>
              <w:left w:val="nil"/>
              <w:bottom w:val="nil"/>
              <w:right w:val="nil"/>
              <w:tl2br w:val="nil"/>
              <w:tr2bl w:val="nil"/>
            </w:tcBorders>
            <w:shd w:val="clear" w:color="auto" w:fill="FFFFFF"/>
            <w:tcMar>
              <w:left w:w="101" w:type="dxa"/>
              <w:right w:w="101" w:type="dxa"/>
            </w:tcMar>
            <w:vAlign w:val="bottom"/>
          </w:tcPr>
          <w:p w14:paraId="46F31513" w14:textId="77777777" w:rsidR="003F0EEA" w:rsidRPr="0092199D" w:rsidRDefault="00FB7D0B">
            <w:pPr>
              <w:jc w:val="right"/>
              <w:rPr>
                <w:rFonts w:ascii="Arial" w:eastAsia="Arial" w:hAnsi="Arial" w:cs="Arial"/>
                <w:color w:val="000000"/>
                <w:sz w:val="16"/>
              </w:rPr>
            </w:pPr>
            <w:r w:rsidRPr="0092199D">
              <w:rPr>
                <w:rFonts w:ascii="Arial" w:eastAsia="Arial" w:hAnsi="Arial" w:cs="Arial"/>
                <w:color w:val="000000"/>
                <w:sz w:val="16"/>
              </w:rPr>
              <w:t xml:space="preserve"> 13,969 </w:t>
            </w:r>
          </w:p>
        </w:tc>
        <w:tc>
          <w:tcPr>
            <w:tcW w:w="975" w:type="dxa"/>
            <w:tcBorders>
              <w:top w:val="nil"/>
              <w:left w:val="nil"/>
              <w:bottom w:val="nil"/>
              <w:right w:val="nil"/>
              <w:tl2br w:val="nil"/>
              <w:tr2bl w:val="nil"/>
            </w:tcBorders>
            <w:shd w:val="clear" w:color="auto" w:fill="FFFFFF"/>
            <w:tcMar>
              <w:left w:w="101" w:type="dxa"/>
              <w:right w:w="101" w:type="dxa"/>
            </w:tcMar>
            <w:vAlign w:val="bottom"/>
          </w:tcPr>
          <w:p w14:paraId="767C5144" w14:textId="77777777" w:rsidR="003F0EEA" w:rsidRPr="0092199D" w:rsidRDefault="00FB7D0B">
            <w:pPr>
              <w:jc w:val="right"/>
              <w:rPr>
                <w:rFonts w:ascii="Arial" w:eastAsia="Arial" w:hAnsi="Arial" w:cs="Arial"/>
                <w:color w:val="000000"/>
                <w:sz w:val="16"/>
              </w:rPr>
            </w:pPr>
            <w:r w:rsidRPr="0092199D">
              <w:rPr>
                <w:rFonts w:ascii="Arial" w:eastAsia="Arial" w:hAnsi="Arial" w:cs="Arial"/>
                <w:color w:val="000000"/>
                <w:sz w:val="16"/>
              </w:rPr>
              <w:t xml:space="preserve"> 14,228 </w:t>
            </w:r>
          </w:p>
        </w:tc>
      </w:tr>
      <w:tr w:rsidR="00FB7D0B" w14:paraId="3BF059AF" w14:textId="77777777" w:rsidTr="00FB7D0B">
        <w:trPr>
          <w:trHeight w:val="225"/>
        </w:trPr>
        <w:tc>
          <w:tcPr>
            <w:tcW w:w="180" w:type="dxa"/>
            <w:tcBorders>
              <w:top w:val="nil"/>
              <w:left w:val="nil"/>
              <w:bottom w:val="nil"/>
              <w:right w:val="nil"/>
              <w:tl2br w:val="nil"/>
              <w:tr2bl w:val="nil"/>
            </w:tcBorders>
            <w:shd w:val="clear" w:color="auto" w:fill="FFFFFF"/>
            <w:tcMar>
              <w:left w:w="101" w:type="dxa"/>
              <w:right w:w="101" w:type="dxa"/>
            </w:tcMar>
            <w:vAlign w:val="bottom"/>
          </w:tcPr>
          <w:p w14:paraId="20F3ECBD" w14:textId="77777777" w:rsidR="003F0EEA" w:rsidRPr="0092199D" w:rsidRDefault="003F0EEA">
            <w:pPr>
              <w:rPr>
                <w:rFonts w:ascii="Arial" w:eastAsia="Arial" w:hAnsi="Arial" w:cs="Arial"/>
                <w:color w:val="000000"/>
                <w:sz w:val="16"/>
              </w:rPr>
            </w:pPr>
          </w:p>
        </w:tc>
        <w:tc>
          <w:tcPr>
            <w:tcW w:w="2880" w:type="dxa"/>
            <w:gridSpan w:val="2"/>
            <w:vMerge w:val="restart"/>
            <w:tcBorders>
              <w:top w:val="nil"/>
              <w:left w:val="nil"/>
              <w:bottom w:val="nil"/>
              <w:right w:val="nil"/>
              <w:tl2br w:val="nil"/>
              <w:tr2bl w:val="nil"/>
            </w:tcBorders>
            <w:shd w:val="clear" w:color="auto" w:fill="FFFFFF"/>
            <w:tcMar>
              <w:left w:w="101" w:type="dxa"/>
              <w:right w:w="101" w:type="dxa"/>
            </w:tcMar>
            <w:vAlign w:val="bottom"/>
          </w:tcPr>
          <w:p w14:paraId="48CDD77E" w14:textId="77777777" w:rsidR="003F0EEA" w:rsidRPr="0092199D" w:rsidRDefault="00FB7D0B">
            <w:pPr>
              <w:rPr>
                <w:rFonts w:ascii="Arial" w:eastAsia="Arial" w:hAnsi="Arial" w:cs="Arial"/>
                <w:color w:val="000000"/>
                <w:sz w:val="16"/>
              </w:rPr>
            </w:pPr>
            <w:r w:rsidRPr="0092199D">
              <w:rPr>
                <w:rFonts w:ascii="Arial" w:eastAsia="Arial" w:hAnsi="Arial" w:cs="Arial"/>
                <w:color w:val="000000"/>
                <w:sz w:val="16"/>
              </w:rPr>
              <w:t>Infrastructure, plant and equipment</w:t>
            </w:r>
          </w:p>
        </w:tc>
        <w:tc>
          <w:tcPr>
            <w:tcW w:w="930" w:type="dxa"/>
            <w:tcBorders>
              <w:top w:val="nil"/>
              <w:left w:val="nil"/>
              <w:bottom w:val="nil"/>
              <w:right w:val="nil"/>
              <w:tl2br w:val="nil"/>
              <w:tr2bl w:val="nil"/>
            </w:tcBorders>
            <w:shd w:val="clear" w:color="auto" w:fill="FFFFFF"/>
            <w:tcMar>
              <w:left w:w="101" w:type="dxa"/>
              <w:right w:w="101" w:type="dxa"/>
            </w:tcMar>
            <w:vAlign w:val="bottom"/>
          </w:tcPr>
          <w:p w14:paraId="1BD0C588" w14:textId="77777777" w:rsidR="003F0EEA" w:rsidRPr="0092199D" w:rsidRDefault="00FB7D0B">
            <w:pPr>
              <w:jc w:val="right"/>
              <w:rPr>
                <w:rFonts w:ascii="Arial" w:eastAsia="Arial" w:hAnsi="Arial" w:cs="Arial"/>
                <w:color w:val="000000"/>
                <w:sz w:val="16"/>
              </w:rPr>
            </w:pPr>
            <w:r w:rsidRPr="0092199D">
              <w:rPr>
                <w:rFonts w:ascii="Arial" w:eastAsia="Arial" w:hAnsi="Arial" w:cs="Arial"/>
                <w:color w:val="000000"/>
                <w:sz w:val="16"/>
              </w:rPr>
              <w:t xml:space="preserve"> 11,746 </w:t>
            </w:r>
          </w:p>
        </w:tc>
        <w:tc>
          <w:tcPr>
            <w:tcW w:w="930" w:type="dxa"/>
            <w:tcBorders>
              <w:top w:val="nil"/>
              <w:left w:val="nil"/>
              <w:bottom w:val="nil"/>
              <w:right w:val="nil"/>
              <w:tl2br w:val="nil"/>
              <w:tr2bl w:val="nil"/>
            </w:tcBorders>
            <w:shd w:val="clear" w:color="auto" w:fill="FFFF00"/>
            <w:tcMar>
              <w:left w:w="101" w:type="dxa"/>
              <w:right w:w="101" w:type="dxa"/>
            </w:tcMar>
            <w:vAlign w:val="bottom"/>
          </w:tcPr>
          <w:p w14:paraId="3336B432" w14:textId="77777777" w:rsidR="003F0EEA" w:rsidRPr="0092199D" w:rsidRDefault="00FB7D0B">
            <w:pPr>
              <w:jc w:val="right"/>
              <w:rPr>
                <w:rFonts w:ascii="Arial" w:eastAsia="Arial" w:hAnsi="Arial" w:cs="Arial"/>
                <w:color w:val="000000"/>
                <w:sz w:val="16"/>
              </w:rPr>
            </w:pPr>
            <w:r w:rsidRPr="0092199D">
              <w:rPr>
                <w:rFonts w:ascii="Arial" w:eastAsia="Arial" w:hAnsi="Arial" w:cs="Arial"/>
                <w:color w:val="000000"/>
                <w:sz w:val="16"/>
              </w:rPr>
              <w:t xml:space="preserve"> 5,168 </w:t>
            </w:r>
          </w:p>
        </w:tc>
        <w:tc>
          <w:tcPr>
            <w:tcW w:w="930" w:type="dxa"/>
            <w:tcBorders>
              <w:top w:val="nil"/>
              <w:left w:val="nil"/>
              <w:bottom w:val="nil"/>
              <w:right w:val="nil"/>
              <w:tl2br w:val="nil"/>
              <w:tr2bl w:val="nil"/>
            </w:tcBorders>
            <w:shd w:val="clear" w:color="auto" w:fill="FFFFFF"/>
            <w:tcMar>
              <w:left w:w="101" w:type="dxa"/>
              <w:right w:w="101" w:type="dxa"/>
            </w:tcMar>
            <w:vAlign w:val="bottom"/>
          </w:tcPr>
          <w:p w14:paraId="54ABA812" w14:textId="77777777" w:rsidR="003F0EEA" w:rsidRPr="0092199D" w:rsidRDefault="00FB7D0B">
            <w:pPr>
              <w:jc w:val="right"/>
              <w:rPr>
                <w:rFonts w:ascii="Arial" w:eastAsia="Arial" w:hAnsi="Arial" w:cs="Arial"/>
                <w:color w:val="000000"/>
                <w:sz w:val="16"/>
              </w:rPr>
            </w:pPr>
            <w:r w:rsidRPr="0092199D">
              <w:rPr>
                <w:rFonts w:ascii="Arial" w:eastAsia="Arial" w:hAnsi="Arial" w:cs="Arial"/>
                <w:color w:val="000000"/>
                <w:sz w:val="16"/>
              </w:rPr>
              <w:t xml:space="preserve"> 2,708 </w:t>
            </w:r>
          </w:p>
        </w:tc>
        <w:tc>
          <w:tcPr>
            <w:tcW w:w="975" w:type="dxa"/>
            <w:tcBorders>
              <w:top w:val="nil"/>
              <w:left w:val="nil"/>
              <w:bottom w:val="nil"/>
              <w:right w:val="nil"/>
              <w:tl2br w:val="nil"/>
              <w:tr2bl w:val="nil"/>
            </w:tcBorders>
            <w:shd w:val="clear" w:color="auto" w:fill="FFFFFF"/>
            <w:tcMar>
              <w:left w:w="101" w:type="dxa"/>
              <w:right w:w="101" w:type="dxa"/>
            </w:tcMar>
            <w:vAlign w:val="bottom"/>
          </w:tcPr>
          <w:p w14:paraId="585BA66F" w14:textId="77777777" w:rsidR="003F0EEA" w:rsidRPr="0092199D" w:rsidRDefault="00FB7D0B">
            <w:pPr>
              <w:jc w:val="right"/>
              <w:rPr>
                <w:rFonts w:ascii="Arial" w:eastAsia="Arial" w:hAnsi="Arial" w:cs="Arial"/>
                <w:color w:val="000000"/>
                <w:sz w:val="16"/>
              </w:rPr>
            </w:pPr>
            <w:r w:rsidRPr="0092199D">
              <w:rPr>
                <w:rFonts w:ascii="Arial" w:eastAsia="Arial" w:hAnsi="Arial" w:cs="Arial"/>
                <w:color w:val="000000"/>
                <w:sz w:val="16"/>
              </w:rPr>
              <w:t xml:space="preserve"> 4,041 </w:t>
            </w:r>
          </w:p>
        </w:tc>
        <w:tc>
          <w:tcPr>
            <w:tcW w:w="975" w:type="dxa"/>
            <w:tcBorders>
              <w:top w:val="nil"/>
              <w:left w:val="nil"/>
              <w:bottom w:val="nil"/>
              <w:right w:val="nil"/>
              <w:tl2br w:val="nil"/>
              <w:tr2bl w:val="nil"/>
            </w:tcBorders>
            <w:shd w:val="clear" w:color="auto" w:fill="FFFFFF"/>
            <w:tcMar>
              <w:left w:w="101" w:type="dxa"/>
              <w:right w:w="101" w:type="dxa"/>
            </w:tcMar>
            <w:vAlign w:val="bottom"/>
          </w:tcPr>
          <w:p w14:paraId="4F0CDFBE" w14:textId="77777777" w:rsidR="003F0EEA" w:rsidRPr="0092199D" w:rsidRDefault="00FB7D0B">
            <w:pPr>
              <w:jc w:val="right"/>
              <w:rPr>
                <w:rFonts w:ascii="Arial" w:eastAsia="Arial" w:hAnsi="Arial" w:cs="Arial"/>
                <w:color w:val="000000"/>
                <w:sz w:val="16"/>
              </w:rPr>
            </w:pPr>
            <w:r w:rsidRPr="0092199D">
              <w:rPr>
                <w:rFonts w:ascii="Arial" w:eastAsia="Arial" w:hAnsi="Arial" w:cs="Arial"/>
                <w:color w:val="000000"/>
                <w:sz w:val="16"/>
              </w:rPr>
              <w:t xml:space="preserve"> 8,956 </w:t>
            </w:r>
          </w:p>
        </w:tc>
      </w:tr>
      <w:tr w:rsidR="00FB7D0B" w14:paraId="4E406DFE" w14:textId="77777777" w:rsidTr="00FB7D0B">
        <w:trPr>
          <w:trHeight w:val="225"/>
        </w:trPr>
        <w:tc>
          <w:tcPr>
            <w:tcW w:w="180" w:type="dxa"/>
            <w:tcBorders>
              <w:top w:val="nil"/>
              <w:left w:val="nil"/>
              <w:bottom w:val="nil"/>
              <w:right w:val="nil"/>
              <w:tl2br w:val="nil"/>
              <w:tr2bl w:val="nil"/>
            </w:tcBorders>
            <w:shd w:val="clear" w:color="auto" w:fill="FFFFFF"/>
            <w:tcMar>
              <w:left w:w="101" w:type="dxa"/>
              <w:right w:w="101" w:type="dxa"/>
            </w:tcMar>
            <w:vAlign w:val="bottom"/>
          </w:tcPr>
          <w:p w14:paraId="0EAD6A5D" w14:textId="77777777" w:rsidR="003F0EEA" w:rsidRPr="0092199D" w:rsidRDefault="003F0EEA">
            <w:pPr>
              <w:rPr>
                <w:rFonts w:ascii="Arial" w:eastAsia="Arial" w:hAnsi="Arial" w:cs="Arial"/>
                <w:color w:val="000000"/>
                <w:sz w:val="16"/>
              </w:rPr>
            </w:pPr>
          </w:p>
        </w:tc>
        <w:tc>
          <w:tcPr>
            <w:tcW w:w="2880" w:type="dxa"/>
            <w:gridSpan w:val="2"/>
            <w:vMerge w:val="restart"/>
            <w:tcBorders>
              <w:top w:val="nil"/>
              <w:left w:val="nil"/>
              <w:bottom w:val="nil"/>
              <w:right w:val="nil"/>
              <w:tl2br w:val="nil"/>
              <w:tr2bl w:val="nil"/>
            </w:tcBorders>
            <w:shd w:val="clear" w:color="auto" w:fill="FFFFFF"/>
            <w:tcMar>
              <w:left w:w="101" w:type="dxa"/>
              <w:right w:w="101" w:type="dxa"/>
            </w:tcMar>
            <w:vAlign w:val="bottom"/>
          </w:tcPr>
          <w:p w14:paraId="2DD638D2" w14:textId="77777777" w:rsidR="003F0EEA" w:rsidRPr="0092199D" w:rsidRDefault="00FB7D0B">
            <w:pPr>
              <w:rPr>
                <w:rFonts w:ascii="Arial" w:eastAsia="Arial" w:hAnsi="Arial" w:cs="Arial"/>
                <w:color w:val="000000"/>
                <w:sz w:val="16"/>
              </w:rPr>
            </w:pPr>
            <w:r w:rsidRPr="0092199D">
              <w:rPr>
                <w:rFonts w:ascii="Arial" w:eastAsia="Arial" w:hAnsi="Arial" w:cs="Arial"/>
                <w:color w:val="000000"/>
                <w:sz w:val="16"/>
              </w:rPr>
              <w:t>Intangibles - Computer Software</w:t>
            </w:r>
          </w:p>
        </w:tc>
        <w:tc>
          <w:tcPr>
            <w:tcW w:w="930" w:type="dxa"/>
            <w:tcBorders>
              <w:top w:val="nil"/>
              <w:left w:val="nil"/>
              <w:bottom w:val="nil"/>
              <w:right w:val="nil"/>
              <w:tl2br w:val="nil"/>
              <w:tr2bl w:val="nil"/>
            </w:tcBorders>
            <w:shd w:val="clear" w:color="auto" w:fill="FFFFFF"/>
            <w:tcMar>
              <w:left w:w="101" w:type="dxa"/>
              <w:right w:w="101" w:type="dxa"/>
            </w:tcMar>
            <w:vAlign w:val="bottom"/>
          </w:tcPr>
          <w:p w14:paraId="0E4E8B43" w14:textId="77777777" w:rsidR="003F0EEA" w:rsidRPr="0092199D" w:rsidRDefault="00FB7D0B">
            <w:pPr>
              <w:jc w:val="right"/>
              <w:rPr>
                <w:rFonts w:ascii="Arial" w:eastAsia="Arial" w:hAnsi="Arial" w:cs="Arial"/>
                <w:color w:val="000000"/>
                <w:sz w:val="16"/>
              </w:rPr>
            </w:pPr>
            <w:r w:rsidRPr="0092199D">
              <w:rPr>
                <w:rFonts w:ascii="Arial" w:eastAsia="Arial" w:hAnsi="Arial" w:cs="Arial"/>
                <w:color w:val="000000"/>
                <w:sz w:val="16"/>
              </w:rPr>
              <w:t xml:space="preserve"> 101,541 </w:t>
            </w:r>
          </w:p>
        </w:tc>
        <w:tc>
          <w:tcPr>
            <w:tcW w:w="930" w:type="dxa"/>
            <w:tcBorders>
              <w:top w:val="nil"/>
              <w:left w:val="nil"/>
              <w:bottom w:val="nil"/>
              <w:right w:val="nil"/>
              <w:tl2br w:val="nil"/>
              <w:tr2bl w:val="nil"/>
            </w:tcBorders>
            <w:shd w:val="clear" w:color="auto" w:fill="FFFF00"/>
            <w:tcMar>
              <w:left w:w="101" w:type="dxa"/>
              <w:right w:w="101" w:type="dxa"/>
            </w:tcMar>
            <w:vAlign w:val="bottom"/>
          </w:tcPr>
          <w:p w14:paraId="76413AF0" w14:textId="77777777" w:rsidR="003F0EEA" w:rsidRPr="0092199D" w:rsidRDefault="00FB7D0B">
            <w:pPr>
              <w:jc w:val="right"/>
              <w:rPr>
                <w:rFonts w:ascii="Arial" w:eastAsia="Arial" w:hAnsi="Arial" w:cs="Arial"/>
                <w:color w:val="000000"/>
                <w:sz w:val="16"/>
              </w:rPr>
            </w:pPr>
            <w:r w:rsidRPr="0092199D">
              <w:rPr>
                <w:rFonts w:ascii="Arial" w:eastAsia="Arial" w:hAnsi="Arial" w:cs="Arial"/>
                <w:color w:val="000000"/>
                <w:sz w:val="16"/>
              </w:rPr>
              <w:t xml:space="preserve"> 94,810 </w:t>
            </w:r>
          </w:p>
        </w:tc>
        <w:tc>
          <w:tcPr>
            <w:tcW w:w="930" w:type="dxa"/>
            <w:tcBorders>
              <w:top w:val="nil"/>
              <w:left w:val="nil"/>
              <w:bottom w:val="nil"/>
              <w:right w:val="nil"/>
              <w:tl2br w:val="nil"/>
              <w:tr2bl w:val="nil"/>
            </w:tcBorders>
            <w:shd w:val="clear" w:color="auto" w:fill="FFFFFF"/>
            <w:tcMar>
              <w:left w:w="101" w:type="dxa"/>
              <w:right w:w="101" w:type="dxa"/>
            </w:tcMar>
            <w:vAlign w:val="bottom"/>
          </w:tcPr>
          <w:p w14:paraId="3F7F12D5" w14:textId="77777777" w:rsidR="003F0EEA" w:rsidRPr="0092199D" w:rsidRDefault="00FB7D0B">
            <w:pPr>
              <w:jc w:val="right"/>
              <w:rPr>
                <w:rFonts w:ascii="Arial" w:eastAsia="Arial" w:hAnsi="Arial" w:cs="Arial"/>
                <w:color w:val="000000"/>
                <w:sz w:val="16"/>
              </w:rPr>
            </w:pPr>
            <w:r w:rsidRPr="0092199D">
              <w:rPr>
                <w:rFonts w:ascii="Arial" w:eastAsia="Arial" w:hAnsi="Arial" w:cs="Arial"/>
                <w:color w:val="000000"/>
                <w:sz w:val="16"/>
              </w:rPr>
              <w:t xml:space="preserve"> 83,085 </w:t>
            </w:r>
          </w:p>
        </w:tc>
        <w:tc>
          <w:tcPr>
            <w:tcW w:w="975" w:type="dxa"/>
            <w:tcBorders>
              <w:top w:val="nil"/>
              <w:left w:val="nil"/>
              <w:bottom w:val="nil"/>
              <w:right w:val="nil"/>
              <w:tl2br w:val="nil"/>
              <w:tr2bl w:val="nil"/>
            </w:tcBorders>
            <w:shd w:val="clear" w:color="auto" w:fill="FFFFFF"/>
            <w:tcMar>
              <w:left w:w="101" w:type="dxa"/>
              <w:right w:w="101" w:type="dxa"/>
            </w:tcMar>
            <w:vAlign w:val="bottom"/>
          </w:tcPr>
          <w:p w14:paraId="090242C9" w14:textId="77777777" w:rsidR="003F0EEA" w:rsidRPr="0092199D" w:rsidRDefault="00FB7D0B">
            <w:pPr>
              <w:jc w:val="right"/>
              <w:rPr>
                <w:rFonts w:ascii="Arial" w:eastAsia="Arial" w:hAnsi="Arial" w:cs="Arial"/>
                <w:color w:val="000000"/>
                <w:sz w:val="16"/>
              </w:rPr>
            </w:pPr>
            <w:r w:rsidRPr="0092199D">
              <w:rPr>
                <w:rFonts w:ascii="Arial" w:eastAsia="Arial" w:hAnsi="Arial" w:cs="Arial"/>
                <w:color w:val="000000"/>
                <w:sz w:val="16"/>
              </w:rPr>
              <w:t xml:space="preserve"> 69,849 </w:t>
            </w:r>
          </w:p>
        </w:tc>
        <w:tc>
          <w:tcPr>
            <w:tcW w:w="975" w:type="dxa"/>
            <w:tcBorders>
              <w:top w:val="nil"/>
              <w:left w:val="nil"/>
              <w:bottom w:val="nil"/>
              <w:right w:val="nil"/>
              <w:tl2br w:val="nil"/>
              <w:tr2bl w:val="nil"/>
            </w:tcBorders>
            <w:shd w:val="clear" w:color="auto" w:fill="FFFFFF"/>
            <w:tcMar>
              <w:left w:w="101" w:type="dxa"/>
              <w:right w:w="101" w:type="dxa"/>
            </w:tcMar>
            <w:vAlign w:val="bottom"/>
          </w:tcPr>
          <w:p w14:paraId="36C8BE7C" w14:textId="77777777" w:rsidR="003F0EEA" w:rsidRPr="0092199D" w:rsidRDefault="00FB7D0B">
            <w:pPr>
              <w:jc w:val="right"/>
              <w:rPr>
                <w:rFonts w:ascii="Arial" w:eastAsia="Arial" w:hAnsi="Arial" w:cs="Arial"/>
                <w:color w:val="000000"/>
                <w:sz w:val="16"/>
              </w:rPr>
            </w:pPr>
            <w:r w:rsidRPr="0092199D">
              <w:rPr>
                <w:rFonts w:ascii="Arial" w:eastAsia="Arial" w:hAnsi="Arial" w:cs="Arial"/>
                <w:color w:val="000000"/>
                <w:sz w:val="16"/>
              </w:rPr>
              <w:t xml:space="preserve"> 56,181 </w:t>
            </w:r>
          </w:p>
        </w:tc>
      </w:tr>
      <w:tr w:rsidR="00FB7D0B" w14:paraId="65BC39C9" w14:textId="77777777" w:rsidTr="00FB7D0B">
        <w:trPr>
          <w:trHeight w:val="225"/>
        </w:trPr>
        <w:tc>
          <w:tcPr>
            <w:tcW w:w="180" w:type="dxa"/>
            <w:tcBorders>
              <w:top w:val="nil"/>
              <w:left w:val="nil"/>
              <w:bottom w:val="nil"/>
              <w:right w:val="nil"/>
              <w:tl2br w:val="nil"/>
              <w:tr2bl w:val="nil"/>
            </w:tcBorders>
            <w:shd w:val="clear" w:color="auto" w:fill="FFFFFF"/>
            <w:tcMar>
              <w:left w:w="101" w:type="dxa"/>
              <w:right w:w="101" w:type="dxa"/>
            </w:tcMar>
            <w:vAlign w:val="bottom"/>
          </w:tcPr>
          <w:p w14:paraId="18C8860A" w14:textId="77777777" w:rsidR="003F0EEA" w:rsidRPr="0092199D" w:rsidRDefault="003F0EEA">
            <w:pPr>
              <w:rPr>
                <w:rFonts w:ascii="Arial" w:eastAsia="Arial" w:hAnsi="Arial" w:cs="Arial"/>
                <w:color w:val="000000"/>
                <w:sz w:val="16"/>
              </w:rPr>
            </w:pPr>
          </w:p>
        </w:tc>
        <w:tc>
          <w:tcPr>
            <w:tcW w:w="2880" w:type="dxa"/>
            <w:gridSpan w:val="2"/>
            <w:vMerge w:val="restart"/>
            <w:tcBorders>
              <w:top w:val="nil"/>
              <w:left w:val="nil"/>
              <w:bottom w:val="nil"/>
              <w:right w:val="nil"/>
              <w:tl2br w:val="nil"/>
              <w:tr2bl w:val="nil"/>
            </w:tcBorders>
            <w:shd w:val="clear" w:color="auto" w:fill="FFFFFF"/>
            <w:tcMar>
              <w:left w:w="101" w:type="dxa"/>
              <w:right w:w="101" w:type="dxa"/>
            </w:tcMar>
            <w:vAlign w:val="bottom"/>
          </w:tcPr>
          <w:p w14:paraId="5FCADC29" w14:textId="77777777" w:rsidR="003F0EEA" w:rsidRPr="0092199D" w:rsidRDefault="00FB7D0B">
            <w:pPr>
              <w:rPr>
                <w:rFonts w:ascii="Arial" w:eastAsia="Arial" w:hAnsi="Arial" w:cs="Arial"/>
                <w:color w:val="000000"/>
                <w:sz w:val="16"/>
              </w:rPr>
            </w:pPr>
            <w:r w:rsidRPr="0092199D">
              <w:rPr>
                <w:rFonts w:ascii="Arial" w:eastAsia="Arial" w:hAnsi="Arial" w:cs="Arial"/>
                <w:color w:val="000000"/>
                <w:sz w:val="16"/>
              </w:rPr>
              <w:t>Other non-financial assets</w:t>
            </w:r>
          </w:p>
        </w:tc>
        <w:tc>
          <w:tcPr>
            <w:tcW w:w="930" w:type="dxa"/>
            <w:tcBorders>
              <w:top w:val="nil"/>
              <w:left w:val="nil"/>
              <w:bottom w:val="nil"/>
              <w:right w:val="nil"/>
              <w:tl2br w:val="nil"/>
              <w:tr2bl w:val="nil"/>
            </w:tcBorders>
            <w:shd w:val="clear" w:color="auto" w:fill="FFFFFF"/>
            <w:tcMar>
              <w:left w:w="101" w:type="dxa"/>
              <w:right w:w="101" w:type="dxa"/>
            </w:tcMar>
            <w:vAlign w:val="bottom"/>
          </w:tcPr>
          <w:p w14:paraId="046D0962" w14:textId="77777777" w:rsidR="003F0EEA" w:rsidRPr="0092199D" w:rsidRDefault="00FB7D0B">
            <w:pPr>
              <w:jc w:val="right"/>
              <w:rPr>
                <w:rFonts w:ascii="Arial" w:eastAsia="Arial" w:hAnsi="Arial" w:cs="Arial"/>
                <w:color w:val="000000"/>
                <w:sz w:val="16"/>
              </w:rPr>
            </w:pPr>
            <w:r w:rsidRPr="0092199D">
              <w:rPr>
                <w:rFonts w:ascii="Arial" w:eastAsia="Arial" w:hAnsi="Arial" w:cs="Arial"/>
                <w:color w:val="000000"/>
                <w:sz w:val="16"/>
              </w:rPr>
              <w:t xml:space="preserve"> 9,231 </w:t>
            </w:r>
          </w:p>
        </w:tc>
        <w:tc>
          <w:tcPr>
            <w:tcW w:w="930" w:type="dxa"/>
            <w:tcBorders>
              <w:top w:val="nil"/>
              <w:left w:val="nil"/>
              <w:bottom w:val="nil"/>
              <w:right w:val="nil"/>
              <w:tl2br w:val="nil"/>
              <w:tr2bl w:val="nil"/>
            </w:tcBorders>
            <w:shd w:val="clear" w:color="auto" w:fill="FFFF00"/>
            <w:tcMar>
              <w:left w:w="101" w:type="dxa"/>
              <w:right w:w="101" w:type="dxa"/>
            </w:tcMar>
            <w:vAlign w:val="bottom"/>
          </w:tcPr>
          <w:p w14:paraId="660DAB13" w14:textId="77777777" w:rsidR="003F0EEA" w:rsidRPr="0092199D" w:rsidRDefault="00FB7D0B">
            <w:pPr>
              <w:jc w:val="right"/>
              <w:rPr>
                <w:rFonts w:ascii="Arial" w:eastAsia="Arial" w:hAnsi="Arial" w:cs="Arial"/>
                <w:color w:val="000000"/>
                <w:sz w:val="16"/>
              </w:rPr>
            </w:pPr>
            <w:r w:rsidRPr="0092199D">
              <w:rPr>
                <w:rFonts w:ascii="Arial" w:eastAsia="Arial" w:hAnsi="Arial" w:cs="Arial"/>
                <w:color w:val="000000"/>
                <w:sz w:val="16"/>
              </w:rPr>
              <w:t xml:space="preserve"> 9,231 </w:t>
            </w:r>
          </w:p>
        </w:tc>
        <w:tc>
          <w:tcPr>
            <w:tcW w:w="930" w:type="dxa"/>
            <w:tcBorders>
              <w:top w:val="nil"/>
              <w:left w:val="nil"/>
              <w:bottom w:val="nil"/>
              <w:right w:val="nil"/>
              <w:tl2br w:val="nil"/>
              <w:tr2bl w:val="nil"/>
            </w:tcBorders>
            <w:shd w:val="clear" w:color="auto" w:fill="FFFFFF"/>
            <w:tcMar>
              <w:left w:w="101" w:type="dxa"/>
              <w:right w:w="101" w:type="dxa"/>
            </w:tcMar>
            <w:vAlign w:val="bottom"/>
          </w:tcPr>
          <w:p w14:paraId="3568D3C4" w14:textId="77777777" w:rsidR="003F0EEA" w:rsidRPr="0092199D" w:rsidRDefault="00FB7D0B">
            <w:pPr>
              <w:jc w:val="right"/>
              <w:rPr>
                <w:rFonts w:ascii="Arial" w:eastAsia="Arial" w:hAnsi="Arial" w:cs="Arial"/>
                <w:color w:val="000000"/>
                <w:sz w:val="16"/>
              </w:rPr>
            </w:pPr>
            <w:r w:rsidRPr="0092199D">
              <w:rPr>
                <w:rFonts w:ascii="Arial" w:eastAsia="Arial" w:hAnsi="Arial" w:cs="Arial"/>
                <w:color w:val="000000"/>
                <w:sz w:val="16"/>
              </w:rPr>
              <w:t xml:space="preserve"> 9,231 </w:t>
            </w:r>
          </w:p>
        </w:tc>
        <w:tc>
          <w:tcPr>
            <w:tcW w:w="975" w:type="dxa"/>
            <w:tcBorders>
              <w:top w:val="nil"/>
              <w:left w:val="nil"/>
              <w:bottom w:val="nil"/>
              <w:right w:val="nil"/>
              <w:tl2br w:val="nil"/>
              <w:tr2bl w:val="nil"/>
            </w:tcBorders>
            <w:shd w:val="clear" w:color="auto" w:fill="FFFFFF"/>
            <w:tcMar>
              <w:left w:w="101" w:type="dxa"/>
              <w:right w:w="101" w:type="dxa"/>
            </w:tcMar>
            <w:vAlign w:val="bottom"/>
          </w:tcPr>
          <w:p w14:paraId="1190D435" w14:textId="77777777" w:rsidR="003F0EEA" w:rsidRPr="0092199D" w:rsidRDefault="00FB7D0B">
            <w:pPr>
              <w:jc w:val="right"/>
              <w:rPr>
                <w:rFonts w:ascii="Arial" w:eastAsia="Arial" w:hAnsi="Arial" w:cs="Arial"/>
                <w:color w:val="000000"/>
                <w:sz w:val="16"/>
              </w:rPr>
            </w:pPr>
            <w:r w:rsidRPr="0092199D">
              <w:rPr>
                <w:rFonts w:ascii="Arial" w:eastAsia="Arial" w:hAnsi="Arial" w:cs="Arial"/>
                <w:color w:val="000000"/>
                <w:sz w:val="16"/>
              </w:rPr>
              <w:t xml:space="preserve"> 9,231 </w:t>
            </w:r>
          </w:p>
        </w:tc>
        <w:tc>
          <w:tcPr>
            <w:tcW w:w="975" w:type="dxa"/>
            <w:tcBorders>
              <w:top w:val="nil"/>
              <w:left w:val="nil"/>
              <w:bottom w:val="nil"/>
              <w:right w:val="nil"/>
              <w:tl2br w:val="nil"/>
              <w:tr2bl w:val="nil"/>
            </w:tcBorders>
            <w:shd w:val="clear" w:color="auto" w:fill="FFFFFF"/>
            <w:tcMar>
              <w:left w:w="101" w:type="dxa"/>
              <w:right w:w="101" w:type="dxa"/>
            </w:tcMar>
            <w:vAlign w:val="bottom"/>
          </w:tcPr>
          <w:p w14:paraId="7C29AC19" w14:textId="77777777" w:rsidR="003F0EEA" w:rsidRPr="0092199D" w:rsidRDefault="00FB7D0B">
            <w:pPr>
              <w:jc w:val="right"/>
              <w:rPr>
                <w:rFonts w:ascii="Arial" w:eastAsia="Arial" w:hAnsi="Arial" w:cs="Arial"/>
                <w:color w:val="000000"/>
                <w:sz w:val="16"/>
              </w:rPr>
            </w:pPr>
            <w:r w:rsidRPr="0092199D">
              <w:rPr>
                <w:rFonts w:ascii="Arial" w:eastAsia="Arial" w:hAnsi="Arial" w:cs="Arial"/>
                <w:color w:val="000000"/>
                <w:sz w:val="16"/>
              </w:rPr>
              <w:t xml:space="preserve"> 9,231 </w:t>
            </w:r>
          </w:p>
        </w:tc>
      </w:tr>
      <w:tr w:rsidR="00FB7D0B" w14:paraId="34A3BE30" w14:textId="77777777" w:rsidTr="00FB7D0B">
        <w:trPr>
          <w:trHeight w:val="225"/>
        </w:trPr>
        <w:tc>
          <w:tcPr>
            <w:tcW w:w="3060" w:type="dxa"/>
            <w:gridSpan w:val="3"/>
            <w:tcBorders>
              <w:top w:val="nil"/>
              <w:left w:val="nil"/>
              <w:bottom w:val="nil"/>
              <w:right w:val="nil"/>
              <w:tl2br w:val="nil"/>
              <w:tr2bl w:val="nil"/>
            </w:tcBorders>
            <w:shd w:val="clear" w:color="auto" w:fill="FFFFFF"/>
            <w:tcMar>
              <w:left w:w="101" w:type="dxa"/>
              <w:right w:w="101" w:type="dxa"/>
            </w:tcMar>
            <w:vAlign w:val="bottom"/>
          </w:tcPr>
          <w:p w14:paraId="0101B3DB" w14:textId="77777777" w:rsidR="003F0EEA" w:rsidRPr="0092199D" w:rsidRDefault="00FB7D0B">
            <w:pPr>
              <w:rPr>
                <w:rFonts w:ascii="Arial" w:eastAsia="Arial" w:hAnsi="Arial" w:cs="Arial"/>
                <w:color w:val="000000"/>
                <w:sz w:val="16"/>
              </w:rPr>
            </w:pPr>
            <w:r w:rsidRPr="0092199D">
              <w:rPr>
                <w:rFonts w:ascii="Arial" w:eastAsia="Arial" w:hAnsi="Arial" w:cs="Arial"/>
                <w:b/>
                <w:i/>
                <w:color w:val="000000"/>
                <w:sz w:val="16"/>
              </w:rPr>
              <w:t>Total non-financial assets</w:t>
            </w:r>
          </w:p>
        </w:tc>
        <w:tc>
          <w:tcPr>
            <w:tcW w:w="930"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395D9840" w14:textId="77777777" w:rsidR="003F0EEA" w:rsidRPr="0092199D" w:rsidRDefault="00FB7D0B">
            <w:pPr>
              <w:jc w:val="right"/>
              <w:rPr>
                <w:rFonts w:ascii="Arial" w:eastAsia="Arial" w:hAnsi="Arial" w:cs="Arial"/>
                <w:b/>
                <w:i/>
                <w:color w:val="000000"/>
                <w:sz w:val="16"/>
              </w:rPr>
            </w:pPr>
            <w:r w:rsidRPr="0092199D">
              <w:rPr>
                <w:rFonts w:ascii="Arial" w:eastAsia="Arial" w:hAnsi="Arial" w:cs="Arial"/>
                <w:b/>
                <w:color w:val="000000"/>
                <w:sz w:val="16"/>
              </w:rPr>
              <w:t xml:space="preserve"> 142,941 </w:t>
            </w:r>
          </w:p>
        </w:tc>
        <w:tc>
          <w:tcPr>
            <w:tcW w:w="930" w:type="dxa"/>
            <w:tcBorders>
              <w:top w:val="single" w:sz="6" w:space="0" w:color="000000"/>
              <w:left w:val="nil"/>
              <w:bottom w:val="single" w:sz="6" w:space="0" w:color="000000"/>
              <w:right w:val="nil"/>
              <w:tl2br w:val="nil"/>
              <w:tr2bl w:val="nil"/>
            </w:tcBorders>
            <w:shd w:val="clear" w:color="auto" w:fill="FFFF00"/>
            <w:tcMar>
              <w:left w:w="101" w:type="dxa"/>
              <w:right w:w="101" w:type="dxa"/>
            </w:tcMar>
            <w:vAlign w:val="bottom"/>
          </w:tcPr>
          <w:p w14:paraId="56A691DD" w14:textId="77777777" w:rsidR="003F0EEA" w:rsidRPr="0092199D" w:rsidRDefault="00FB7D0B">
            <w:pPr>
              <w:jc w:val="right"/>
              <w:rPr>
                <w:rFonts w:ascii="Arial" w:eastAsia="Arial" w:hAnsi="Arial" w:cs="Arial"/>
                <w:b/>
                <w:color w:val="000000"/>
                <w:sz w:val="16"/>
              </w:rPr>
            </w:pPr>
            <w:r w:rsidRPr="0092199D">
              <w:rPr>
                <w:rFonts w:ascii="Arial" w:eastAsia="Arial" w:hAnsi="Arial" w:cs="Arial"/>
                <w:b/>
                <w:color w:val="000000"/>
                <w:sz w:val="16"/>
              </w:rPr>
              <w:t xml:space="preserve"> 126,362 </w:t>
            </w:r>
          </w:p>
        </w:tc>
        <w:tc>
          <w:tcPr>
            <w:tcW w:w="930"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4F369C95" w14:textId="77777777" w:rsidR="003F0EEA" w:rsidRPr="0092199D" w:rsidRDefault="00FB7D0B">
            <w:pPr>
              <w:jc w:val="right"/>
              <w:rPr>
                <w:rFonts w:ascii="Arial" w:eastAsia="Arial" w:hAnsi="Arial" w:cs="Arial"/>
                <w:b/>
                <w:color w:val="000000"/>
                <w:sz w:val="16"/>
              </w:rPr>
            </w:pPr>
            <w:r w:rsidRPr="0092199D">
              <w:rPr>
                <w:rFonts w:ascii="Arial" w:eastAsia="Arial" w:hAnsi="Arial" w:cs="Arial"/>
                <w:b/>
                <w:color w:val="000000"/>
                <w:sz w:val="16"/>
              </w:rPr>
              <w:t xml:space="preserve"> 110,837 </w:t>
            </w:r>
          </w:p>
        </w:tc>
        <w:tc>
          <w:tcPr>
            <w:tcW w:w="975"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7D21DD09" w14:textId="77777777" w:rsidR="003F0EEA" w:rsidRPr="0092199D" w:rsidRDefault="00FB7D0B">
            <w:pPr>
              <w:jc w:val="right"/>
              <w:rPr>
                <w:rFonts w:ascii="Arial" w:eastAsia="Arial" w:hAnsi="Arial" w:cs="Arial"/>
                <w:b/>
                <w:color w:val="000000"/>
                <w:sz w:val="16"/>
              </w:rPr>
            </w:pPr>
            <w:r w:rsidRPr="0092199D">
              <w:rPr>
                <w:rFonts w:ascii="Arial" w:eastAsia="Arial" w:hAnsi="Arial" w:cs="Arial"/>
                <w:b/>
                <w:color w:val="000000"/>
                <w:sz w:val="16"/>
              </w:rPr>
              <w:t xml:space="preserve"> 97,090 </w:t>
            </w:r>
          </w:p>
        </w:tc>
        <w:tc>
          <w:tcPr>
            <w:tcW w:w="975"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1729AB77" w14:textId="77777777" w:rsidR="003F0EEA" w:rsidRPr="0092199D" w:rsidRDefault="00FB7D0B">
            <w:pPr>
              <w:jc w:val="right"/>
              <w:rPr>
                <w:rFonts w:ascii="Arial" w:eastAsia="Arial" w:hAnsi="Arial" w:cs="Arial"/>
                <w:b/>
                <w:color w:val="000000"/>
                <w:sz w:val="16"/>
              </w:rPr>
            </w:pPr>
            <w:r w:rsidRPr="0092199D">
              <w:rPr>
                <w:rFonts w:ascii="Arial" w:eastAsia="Arial" w:hAnsi="Arial" w:cs="Arial"/>
                <w:b/>
                <w:color w:val="000000"/>
                <w:sz w:val="16"/>
              </w:rPr>
              <w:t xml:space="preserve"> 88,596 </w:t>
            </w:r>
          </w:p>
        </w:tc>
      </w:tr>
      <w:tr w:rsidR="00FB7D0B" w14:paraId="79FC7CD6" w14:textId="77777777" w:rsidTr="00FB7D0B">
        <w:trPr>
          <w:trHeight w:val="225"/>
        </w:trPr>
        <w:tc>
          <w:tcPr>
            <w:tcW w:w="3060" w:type="dxa"/>
            <w:gridSpan w:val="3"/>
            <w:tcBorders>
              <w:top w:val="nil"/>
              <w:left w:val="nil"/>
              <w:bottom w:val="nil"/>
              <w:right w:val="nil"/>
              <w:tl2br w:val="nil"/>
              <w:tr2bl w:val="nil"/>
            </w:tcBorders>
            <w:shd w:val="clear" w:color="auto" w:fill="FFFFFF"/>
            <w:tcMar>
              <w:left w:w="101" w:type="dxa"/>
              <w:right w:w="101" w:type="dxa"/>
            </w:tcMar>
            <w:vAlign w:val="bottom"/>
          </w:tcPr>
          <w:p w14:paraId="08C3F5A2" w14:textId="77777777" w:rsidR="003F0EEA" w:rsidRPr="0092199D" w:rsidRDefault="00FB7D0B">
            <w:pPr>
              <w:rPr>
                <w:rFonts w:ascii="Arial" w:eastAsia="Arial" w:hAnsi="Arial" w:cs="Arial"/>
                <w:b/>
                <w:color w:val="000000"/>
                <w:sz w:val="16"/>
              </w:rPr>
            </w:pPr>
            <w:r w:rsidRPr="0092199D">
              <w:rPr>
                <w:rFonts w:ascii="Arial" w:eastAsia="Arial" w:hAnsi="Arial" w:cs="Arial"/>
                <w:b/>
                <w:color w:val="000000"/>
                <w:sz w:val="16"/>
              </w:rPr>
              <w:t>Total assets</w:t>
            </w:r>
          </w:p>
        </w:tc>
        <w:tc>
          <w:tcPr>
            <w:tcW w:w="930"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60B2F22F" w14:textId="77777777" w:rsidR="003F0EEA" w:rsidRPr="0092199D" w:rsidRDefault="00FB7D0B">
            <w:pPr>
              <w:jc w:val="right"/>
              <w:rPr>
                <w:rFonts w:ascii="Arial" w:eastAsia="Arial" w:hAnsi="Arial" w:cs="Arial"/>
                <w:b/>
                <w:color w:val="000000"/>
                <w:sz w:val="16"/>
              </w:rPr>
            </w:pPr>
            <w:r w:rsidRPr="0092199D">
              <w:rPr>
                <w:rFonts w:ascii="Arial" w:eastAsia="Arial" w:hAnsi="Arial" w:cs="Arial"/>
                <w:b/>
                <w:color w:val="000000"/>
                <w:sz w:val="16"/>
              </w:rPr>
              <w:t xml:space="preserve"> 216,466 </w:t>
            </w:r>
          </w:p>
        </w:tc>
        <w:tc>
          <w:tcPr>
            <w:tcW w:w="930" w:type="dxa"/>
            <w:tcBorders>
              <w:top w:val="single" w:sz="6" w:space="0" w:color="000000"/>
              <w:left w:val="nil"/>
              <w:bottom w:val="single" w:sz="6" w:space="0" w:color="000000"/>
              <w:right w:val="nil"/>
              <w:tl2br w:val="nil"/>
              <w:tr2bl w:val="nil"/>
            </w:tcBorders>
            <w:shd w:val="clear" w:color="auto" w:fill="FFFF00"/>
            <w:tcMar>
              <w:left w:w="101" w:type="dxa"/>
              <w:right w:w="101" w:type="dxa"/>
            </w:tcMar>
            <w:vAlign w:val="bottom"/>
          </w:tcPr>
          <w:p w14:paraId="4C01E6F7" w14:textId="77777777" w:rsidR="003F0EEA" w:rsidRPr="0092199D" w:rsidRDefault="00FB7D0B">
            <w:pPr>
              <w:jc w:val="right"/>
              <w:rPr>
                <w:rFonts w:ascii="Arial" w:eastAsia="Arial" w:hAnsi="Arial" w:cs="Arial"/>
                <w:b/>
                <w:color w:val="000000"/>
                <w:sz w:val="16"/>
              </w:rPr>
            </w:pPr>
            <w:r w:rsidRPr="0092199D">
              <w:rPr>
                <w:rFonts w:ascii="Arial" w:eastAsia="Arial" w:hAnsi="Arial" w:cs="Arial"/>
                <w:b/>
                <w:color w:val="000000"/>
                <w:sz w:val="16"/>
              </w:rPr>
              <w:t xml:space="preserve"> 201,432 </w:t>
            </w:r>
          </w:p>
        </w:tc>
        <w:tc>
          <w:tcPr>
            <w:tcW w:w="930"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00066F2C" w14:textId="77777777" w:rsidR="003F0EEA" w:rsidRPr="0092199D" w:rsidRDefault="00FB7D0B">
            <w:pPr>
              <w:jc w:val="right"/>
              <w:rPr>
                <w:rFonts w:ascii="Arial" w:eastAsia="Arial" w:hAnsi="Arial" w:cs="Arial"/>
                <w:b/>
                <w:color w:val="000000"/>
                <w:sz w:val="16"/>
              </w:rPr>
            </w:pPr>
            <w:r w:rsidRPr="0092199D">
              <w:rPr>
                <w:rFonts w:ascii="Arial" w:eastAsia="Arial" w:hAnsi="Arial" w:cs="Arial"/>
                <w:b/>
                <w:color w:val="000000"/>
                <w:sz w:val="16"/>
              </w:rPr>
              <w:t xml:space="preserve"> 186,450 </w:t>
            </w:r>
          </w:p>
        </w:tc>
        <w:tc>
          <w:tcPr>
            <w:tcW w:w="975"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11E38B82" w14:textId="77777777" w:rsidR="003F0EEA" w:rsidRPr="0092199D" w:rsidRDefault="00FB7D0B">
            <w:pPr>
              <w:jc w:val="right"/>
              <w:rPr>
                <w:rFonts w:ascii="Arial" w:eastAsia="Arial" w:hAnsi="Arial" w:cs="Arial"/>
                <w:b/>
                <w:color w:val="000000"/>
                <w:sz w:val="16"/>
              </w:rPr>
            </w:pPr>
            <w:r w:rsidRPr="0092199D">
              <w:rPr>
                <w:rFonts w:ascii="Arial" w:eastAsia="Arial" w:hAnsi="Arial" w:cs="Arial"/>
                <w:b/>
                <w:color w:val="000000"/>
                <w:sz w:val="16"/>
              </w:rPr>
              <w:t xml:space="preserve"> 175,949 </w:t>
            </w:r>
          </w:p>
        </w:tc>
        <w:tc>
          <w:tcPr>
            <w:tcW w:w="975"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616BA742" w14:textId="77777777" w:rsidR="003F0EEA" w:rsidRPr="0092199D" w:rsidRDefault="00FB7D0B">
            <w:pPr>
              <w:jc w:val="right"/>
              <w:rPr>
                <w:rFonts w:ascii="Arial" w:eastAsia="Arial" w:hAnsi="Arial" w:cs="Arial"/>
                <w:b/>
                <w:color w:val="000000"/>
                <w:sz w:val="16"/>
              </w:rPr>
            </w:pPr>
            <w:r w:rsidRPr="0092199D">
              <w:rPr>
                <w:rFonts w:ascii="Arial" w:eastAsia="Arial" w:hAnsi="Arial" w:cs="Arial"/>
                <w:b/>
                <w:color w:val="000000"/>
                <w:sz w:val="16"/>
              </w:rPr>
              <w:t xml:space="preserve"> 174,226 </w:t>
            </w:r>
          </w:p>
        </w:tc>
      </w:tr>
      <w:tr w:rsidR="00724034" w14:paraId="4C729755" w14:textId="77777777">
        <w:trPr>
          <w:trHeight w:hRule="exact" w:val="225"/>
        </w:trPr>
        <w:tc>
          <w:tcPr>
            <w:tcW w:w="180" w:type="dxa"/>
            <w:tcBorders>
              <w:top w:val="nil"/>
              <w:left w:val="nil"/>
              <w:bottom w:val="nil"/>
              <w:right w:val="nil"/>
              <w:tl2br w:val="nil"/>
              <w:tr2bl w:val="nil"/>
            </w:tcBorders>
            <w:shd w:val="clear" w:color="auto" w:fill="FFFFFF"/>
            <w:tcMar>
              <w:left w:w="101" w:type="dxa"/>
              <w:right w:w="101" w:type="dxa"/>
            </w:tcMar>
            <w:vAlign w:val="bottom"/>
          </w:tcPr>
          <w:p w14:paraId="664E2104" w14:textId="77777777" w:rsidR="003F0EEA" w:rsidRPr="0092199D" w:rsidRDefault="003F0EEA">
            <w:pPr>
              <w:rPr>
                <w:rFonts w:ascii="Arial" w:eastAsia="Arial" w:hAnsi="Arial" w:cs="Arial"/>
                <w:b/>
                <w:color w:val="000000"/>
                <w:sz w:val="16"/>
              </w:rPr>
            </w:pPr>
          </w:p>
        </w:tc>
        <w:tc>
          <w:tcPr>
            <w:tcW w:w="180" w:type="dxa"/>
            <w:tcBorders>
              <w:top w:val="nil"/>
              <w:left w:val="nil"/>
              <w:bottom w:val="nil"/>
              <w:right w:val="nil"/>
              <w:tl2br w:val="nil"/>
              <w:tr2bl w:val="nil"/>
            </w:tcBorders>
            <w:shd w:val="clear" w:color="auto" w:fill="FFFFFF"/>
            <w:tcMar>
              <w:left w:w="101" w:type="dxa"/>
              <w:right w:w="101" w:type="dxa"/>
            </w:tcMar>
            <w:vAlign w:val="bottom"/>
          </w:tcPr>
          <w:p w14:paraId="5E557948" w14:textId="77777777" w:rsidR="003F0EEA" w:rsidRPr="0092199D" w:rsidRDefault="003F0EEA">
            <w:pPr>
              <w:rPr>
                <w:rFonts w:ascii="Arial" w:eastAsia="Arial" w:hAnsi="Arial" w:cs="Arial"/>
                <w:color w:val="000000"/>
                <w:sz w:val="16"/>
              </w:rPr>
            </w:pPr>
          </w:p>
        </w:tc>
        <w:tc>
          <w:tcPr>
            <w:tcW w:w="2700" w:type="dxa"/>
            <w:tcBorders>
              <w:top w:val="nil"/>
              <w:left w:val="nil"/>
              <w:bottom w:val="nil"/>
              <w:right w:val="nil"/>
              <w:tl2br w:val="nil"/>
              <w:tr2bl w:val="nil"/>
            </w:tcBorders>
            <w:shd w:val="clear" w:color="auto" w:fill="FFFFFF"/>
            <w:tcMar>
              <w:left w:w="101" w:type="dxa"/>
              <w:right w:w="101" w:type="dxa"/>
            </w:tcMar>
            <w:vAlign w:val="bottom"/>
          </w:tcPr>
          <w:p w14:paraId="101AAF67" w14:textId="77777777" w:rsidR="003F0EEA" w:rsidRPr="0092199D" w:rsidRDefault="003F0EEA">
            <w:pPr>
              <w:rPr>
                <w:rFonts w:ascii="Arial" w:eastAsia="Arial" w:hAnsi="Arial" w:cs="Arial"/>
                <w:color w:val="000000"/>
                <w:sz w:val="16"/>
              </w:rPr>
            </w:pPr>
          </w:p>
        </w:tc>
        <w:tc>
          <w:tcPr>
            <w:tcW w:w="930"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6AC7B9A3" w14:textId="77777777" w:rsidR="003F0EEA" w:rsidRPr="0092199D" w:rsidRDefault="003F0EEA">
            <w:pPr>
              <w:rPr>
                <w:rFonts w:ascii="Arial" w:eastAsia="Arial" w:hAnsi="Arial" w:cs="Arial"/>
                <w:color w:val="000000"/>
                <w:sz w:val="16"/>
              </w:rPr>
            </w:pPr>
          </w:p>
        </w:tc>
        <w:tc>
          <w:tcPr>
            <w:tcW w:w="930" w:type="dxa"/>
            <w:tcBorders>
              <w:top w:val="single" w:sz="6" w:space="0" w:color="000000"/>
              <w:left w:val="nil"/>
              <w:bottom w:val="nil"/>
              <w:right w:val="nil"/>
              <w:tl2br w:val="nil"/>
              <w:tr2bl w:val="nil"/>
            </w:tcBorders>
            <w:shd w:val="clear" w:color="auto" w:fill="FFFF00"/>
            <w:tcMar>
              <w:left w:w="101" w:type="dxa"/>
              <w:right w:w="101" w:type="dxa"/>
            </w:tcMar>
            <w:vAlign w:val="bottom"/>
          </w:tcPr>
          <w:p w14:paraId="0B299D67" w14:textId="77777777" w:rsidR="003F0EEA" w:rsidRPr="0092199D" w:rsidRDefault="003F0EEA">
            <w:pPr>
              <w:rPr>
                <w:rFonts w:ascii="Arial" w:eastAsia="Arial" w:hAnsi="Arial" w:cs="Arial"/>
                <w:color w:val="000000"/>
                <w:sz w:val="16"/>
              </w:rPr>
            </w:pPr>
          </w:p>
        </w:tc>
        <w:tc>
          <w:tcPr>
            <w:tcW w:w="930"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56881D35" w14:textId="77777777" w:rsidR="003F0EEA" w:rsidRPr="0092199D" w:rsidRDefault="003F0EEA">
            <w:pPr>
              <w:rPr>
                <w:rFonts w:ascii="Arial" w:eastAsia="Arial" w:hAnsi="Arial" w:cs="Arial"/>
                <w:color w:val="000000"/>
                <w:sz w:val="16"/>
              </w:rPr>
            </w:pPr>
          </w:p>
        </w:tc>
        <w:tc>
          <w:tcPr>
            <w:tcW w:w="97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3ED55B36" w14:textId="77777777" w:rsidR="003F0EEA" w:rsidRPr="0092199D" w:rsidRDefault="003F0EEA">
            <w:pPr>
              <w:rPr>
                <w:rFonts w:ascii="Arial" w:eastAsia="Arial" w:hAnsi="Arial" w:cs="Arial"/>
                <w:color w:val="000000"/>
                <w:sz w:val="16"/>
              </w:rPr>
            </w:pPr>
          </w:p>
        </w:tc>
        <w:tc>
          <w:tcPr>
            <w:tcW w:w="97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1A19021B" w14:textId="77777777" w:rsidR="003F0EEA" w:rsidRPr="0092199D" w:rsidRDefault="003F0EEA">
            <w:pPr>
              <w:rPr>
                <w:rFonts w:ascii="Arial" w:eastAsia="Arial" w:hAnsi="Arial" w:cs="Arial"/>
                <w:color w:val="000000"/>
                <w:sz w:val="16"/>
              </w:rPr>
            </w:pPr>
          </w:p>
        </w:tc>
      </w:tr>
      <w:tr w:rsidR="00FB7D0B" w14:paraId="5BCF858F" w14:textId="77777777" w:rsidTr="00FB7D0B">
        <w:trPr>
          <w:trHeight w:val="225"/>
        </w:trPr>
        <w:tc>
          <w:tcPr>
            <w:tcW w:w="3060" w:type="dxa"/>
            <w:gridSpan w:val="3"/>
            <w:tcBorders>
              <w:top w:val="nil"/>
              <w:left w:val="nil"/>
              <w:bottom w:val="nil"/>
              <w:right w:val="nil"/>
              <w:tl2br w:val="nil"/>
              <w:tr2bl w:val="nil"/>
            </w:tcBorders>
            <w:shd w:val="clear" w:color="auto" w:fill="FFFFFF"/>
            <w:tcMar>
              <w:left w:w="101" w:type="dxa"/>
              <w:right w:w="101" w:type="dxa"/>
            </w:tcMar>
            <w:vAlign w:val="bottom"/>
          </w:tcPr>
          <w:p w14:paraId="63246354" w14:textId="77777777" w:rsidR="003F0EEA" w:rsidRPr="0092199D" w:rsidRDefault="00FB7D0B">
            <w:pPr>
              <w:rPr>
                <w:rFonts w:ascii="Arial" w:eastAsia="Arial" w:hAnsi="Arial" w:cs="Arial"/>
                <w:color w:val="000000"/>
                <w:sz w:val="16"/>
              </w:rPr>
            </w:pPr>
            <w:r w:rsidRPr="0092199D">
              <w:rPr>
                <w:rFonts w:ascii="Arial" w:eastAsia="Arial" w:hAnsi="Arial" w:cs="Arial"/>
                <w:b/>
                <w:color w:val="000000"/>
                <w:sz w:val="16"/>
              </w:rPr>
              <w:t>LIABILITIES</w:t>
            </w:r>
          </w:p>
        </w:tc>
        <w:tc>
          <w:tcPr>
            <w:tcW w:w="930" w:type="dxa"/>
            <w:tcBorders>
              <w:top w:val="nil"/>
              <w:left w:val="nil"/>
              <w:bottom w:val="nil"/>
              <w:right w:val="nil"/>
              <w:tl2br w:val="nil"/>
              <w:tr2bl w:val="nil"/>
            </w:tcBorders>
            <w:shd w:val="clear" w:color="auto" w:fill="FFFFFF"/>
            <w:tcMar>
              <w:left w:w="101" w:type="dxa"/>
              <w:right w:w="101" w:type="dxa"/>
            </w:tcMar>
            <w:vAlign w:val="bottom"/>
          </w:tcPr>
          <w:p w14:paraId="06038A5A" w14:textId="77777777" w:rsidR="003F0EEA" w:rsidRPr="0092199D" w:rsidRDefault="003F0EEA">
            <w:pPr>
              <w:rPr>
                <w:rFonts w:ascii="Arial" w:eastAsia="Arial" w:hAnsi="Arial" w:cs="Arial"/>
                <w:b/>
                <w:color w:val="000000"/>
                <w:sz w:val="16"/>
              </w:rPr>
            </w:pPr>
          </w:p>
        </w:tc>
        <w:tc>
          <w:tcPr>
            <w:tcW w:w="930" w:type="dxa"/>
            <w:tcBorders>
              <w:top w:val="nil"/>
              <w:left w:val="nil"/>
              <w:bottom w:val="nil"/>
              <w:right w:val="nil"/>
              <w:tl2br w:val="nil"/>
              <w:tr2bl w:val="nil"/>
            </w:tcBorders>
            <w:shd w:val="clear" w:color="auto" w:fill="FFFF00"/>
            <w:tcMar>
              <w:left w:w="101" w:type="dxa"/>
              <w:right w:w="101" w:type="dxa"/>
            </w:tcMar>
            <w:vAlign w:val="bottom"/>
          </w:tcPr>
          <w:p w14:paraId="50DF4356" w14:textId="77777777" w:rsidR="003F0EEA" w:rsidRPr="0092199D" w:rsidRDefault="003F0EEA">
            <w:pPr>
              <w:rPr>
                <w:rFonts w:ascii="Arial" w:eastAsia="Arial" w:hAnsi="Arial" w:cs="Arial"/>
                <w:color w:val="000000"/>
                <w:sz w:val="16"/>
              </w:rPr>
            </w:pPr>
          </w:p>
        </w:tc>
        <w:tc>
          <w:tcPr>
            <w:tcW w:w="930" w:type="dxa"/>
            <w:tcBorders>
              <w:top w:val="nil"/>
              <w:left w:val="nil"/>
              <w:bottom w:val="nil"/>
              <w:right w:val="nil"/>
              <w:tl2br w:val="nil"/>
              <w:tr2bl w:val="nil"/>
            </w:tcBorders>
            <w:shd w:val="clear" w:color="auto" w:fill="FFFFFF"/>
            <w:tcMar>
              <w:left w:w="101" w:type="dxa"/>
              <w:right w:w="101" w:type="dxa"/>
            </w:tcMar>
            <w:vAlign w:val="bottom"/>
          </w:tcPr>
          <w:p w14:paraId="20270D44" w14:textId="77777777" w:rsidR="003F0EEA" w:rsidRPr="0092199D" w:rsidRDefault="003F0EEA">
            <w:pPr>
              <w:rPr>
                <w:rFonts w:ascii="Arial" w:eastAsia="Arial" w:hAnsi="Arial" w:cs="Arial"/>
                <w:color w:val="000000"/>
                <w:sz w:val="16"/>
              </w:rPr>
            </w:pPr>
          </w:p>
        </w:tc>
        <w:tc>
          <w:tcPr>
            <w:tcW w:w="975" w:type="dxa"/>
            <w:tcBorders>
              <w:top w:val="nil"/>
              <w:left w:val="nil"/>
              <w:bottom w:val="nil"/>
              <w:right w:val="nil"/>
              <w:tl2br w:val="nil"/>
              <w:tr2bl w:val="nil"/>
            </w:tcBorders>
            <w:shd w:val="clear" w:color="auto" w:fill="FFFFFF"/>
            <w:tcMar>
              <w:left w:w="101" w:type="dxa"/>
              <w:right w:w="101" w:type="dxa"/>
            </w:tcMar>
            <w:vAlign w:val="bottom"/>
          </w:tcPr>
          <w:p w14:paraId="1534A713" w14:textId="77777777" w:rsidR="003F0EEA" w:rsidRPr="0092199D" w:rsidRDefault="003F0EEA">
            <w:pPr>
              <w:rPr>
                <w:rFonts w:ascii="Arial" w:eastAsia="Arial" w:hAnsi="Arial" w:cs="Arial"/>
                <w:color w:val="000000"/>
                <w:sz w:val="16"/>
              </w:rPr>
            </w:pPr>
          </w:p>
        </w:tc>
        <w:tc>
          <w:tcPr>
            <w:tcW w:w="975" w:type="dxa"/>
            <w:tcBorders>
              <w:top w:val="nil"/>
              <w:left w:val="nil"/>
              <w:bottom w:val="nil"/>
              <w:right w:val="nil"/>
              <w:tl2br w:val="nil"/>
              <w:tr2bl w:val="nil"/>
            </w:tcBorders>
            <w:shd w:val="clear" w:color="auto" w:fill="FFFFFF"/>
            <w:tcMar>
              <w:left w:w="101" w:type="dxa"/>
              <w:right w:w="101" w:type="dxa"/>
            </w:tcMar>
            <w:vAlign w:val="bottom"/>
          </w:tcPr>
          <w:p w14:paraId="1FFA2E50" w14:textId="77777777" w:rsidR="003F0EEA" w:rsidRPr="0092199D" w:rsidRDefault="003F0EEA">
            <w:pPr>
              <w:rPr>
                <w:rFonts w:ascii="Arial" w:eastAsia="Arial" w:hAnsi="Arial" w:cs="Arial"/>
                <w:color w:val="000000"/>
                <w:sz w:val="16"/>
              </w:rPr>
            </w:pPr>
          </w:p>
        </w:tc>
      </w:tr>
      <w:tr w:rsidR="00FB7D0B" w14:paraId="13383CC9" w14:textId="77777777" w:rsidTr="00FB7D0B">
        <w:trPr>
          <w:trHeight w:val="225"/>
        </w:trPr>
        <w:tc>
          <w:tcPr>
            <w:tcW w:w="3060" w:type="dxa"/>
            <w:gridSpan w:val="3"/>
            <w:tcBorders>
              <w:top w:val="nil"/>
              <w:left w:val="nil"/>
              <w:bottom w:val="nil"/>
              <w:right w:val="nil"/>
              <w:tl2br w:val="nil"/>
              <w:tr2bl w:val="nil"/>
            </w:tcBorders>
            <w:shd w:val="clear" w:color="auto" w:fill="FFFFFF"/>
            <w:tcMar>
              <w:left w:w="101" w:type="dxa"/>
              <w:right w:w="101" w:type="dxa"/>
            </w:tcMar>
            <w:vAlign w:val="bottom"/>
          </w:tcPr>
          <w:p w14:paraId="43439844" w14:textId="77777777" w:rsidR="003F0EEA" w:rsidRPr="0092199D" w:rsidRDefault="00FB7D0B">
            <w:pPr>
              <w:rPr>
                <w:rFonts w:ascii="Arial" w:eastAsia="Arial" w:hAnsi="Arial" w:cs="Arial"/>
                <w:color w:val="000000"/>
                <w:sz w:val="16"/>
              </w:rPr>
            </w:pPr>
            <w:r w:rsidRPr="0092199D">
              <w:rPr>
                <w:rFonts w:ascii="Arial" w:eastAsia="Arial" w:hAnsi="Arial" w:cs="Arial"/>
                <w:b/>
                <w:color w:val="000000"/>
                <w:sz w:val="16"/>
              </w:rPr>
              <w:t>Payables</w:t>
            </w:r>
          </w:p>
        </w:tc>
        <w:tc>
          <w:tcPr>
            <w:tcW w:w="930" w:type="dxa"/>
            <w:tcBorders>
              <w:top w:val="nil"/>
              <w:left w:val="nil"/>
              <w:bottom w:val="nil"/>
              <w:right w:val="nil"/>
              <w:tl2br w:val="nil"/>
              <w:tr2bl w:val="nil"/>
            </w:tcBorders>
            <w:shd w:val="clear" w:color="auto" w:fill="FFFFFF"/>
            <w:tcMar>
              <w:left w:w="101" w:type="dxa"/>
              <w:right w:w="101" w:type="dxa"/>
            </w:tcMar>
            <w:vAlign w:val="bottom"/>
          </w:tcPr>
          <w:p w14:paraId="13352FF7" w14:textId="77777777" w:rsidR="003F0EEA" w:rsidRPr="0092199D" w:rsidRDefault="003F0EEA">
            <w:pPr>
              <w:rPr>
                <w:rFonts w:ascii="Arial" w:eastAsia="Arial" w:hAnsi="Arial" w:cs="Arial"/>
                <w:b/>
                <w:color w:val="000000"/>
                <w:sz w:val="16"/>
              </w:rPr>
            </w:pPr>
          </w:p>
        </w:tc>
        <w:tc>
          <w:tcPr>
            <w:tcW w:w="930" w:type="dxa"/>
            <w:tcBorders>
              <w:top w:val="nil"/>
              <w:left w:val="nil"/>
              <w:bottom w:val="nil"/>
              <w:right w:val="nil"/>
              <w:tl2br w:val="nil"/>
              <w:tr2bl w:val="nil"/>
            </w:tcBorders>
            <w:shd w:val="clear" w:color="auto" w:fill="FFFF00"/>
            <w:tcMar>
              <w:left w:w="101" w:type="dxa"/>
              <w:right w:w="101" w:type="dxa"/>
            </w:tcMar>
            <w:vAlign w:val="bottom"/>
          </w:tcPr>
          <w:p w14:paraId="7A7DC03D" w14:textId="77777777" w:rsidR="003F0EEA" w:rsidRPr="0092199D" w:rsidRDefault="003F0EEA">
            <w:pPr>
              <w:rPr>
                <w:rFonts w:ascii="Arial" w:eastAsia="Arial" w:hAnsi="Arial" w:cs="Arial"/>
                <w:color w:val="000000"/>
                <w:sz w:val="16"/>
              </w:rPr>
            </w:pPr>
          </w:p>
        </w:tc>
        <w:tc>
          <w:tcPr>
            <w:tcW w:w="930" w:type="dxa"/>
            <w:tcBorders>
              <w:top w:val="nil"/>
              <w:left w:val="nil"/>
              <w:bottom w:val="nil"/>
              <w:right w:val="nil"/>
              <w:tl2br w:val="nil"/>
              <w:tr2bl w:val="nil"/>
            </w:tcBorders>
            <w:shd w:val="clear" w:color="auto" w:fill="FFFFFF"/>
            <w:tcMar>
              <w:left w:w="101" w:type="dxa"/>
              <w:right w:w="101" w:type="dxa"/>
            </w:tcMar>
            <w:vAlign w:val="bottom"/>
          </w:tcPr>
          <w:p w14:paraId="4544D620" w14:textId="77777777" w:rsidR="003F0EEA" w:rsidRPr="0092199D" w:rsidRDefault="003F0EEA">
            <w:pPr>
              <w:rPr>
                <w:rFonts w:ascii="Arial" w:eastAsia="Arial" w:hAnsi="Arial" w:cs="Arial"/>
                <w:color w:val="000000"/>
                <w:sz w:val="16"/>
              </w:rPr>
            </w:pPr>
          </w:p>
        </w:tc>
        <w:tc>
          <w:tcPr>
            <w:tcW w:w="975" w:type="dxa"/>
            <w:tcBorders>
              <w:top w:val="nil"/>
              <w:left w:val="nil"/>
              <w:bottom w:val="nil"/>
              <w:right w:val="nil"/>
              <w:tl2br w:val="nil"/>
              <w:tr2bl w:val="nil"/>
            </w:tcBorders>
            <w:shd w:val="clear" w:color="auto" w:fill="FFFFFF"/>
            <w:tcMar>
              <w:left w:w="101" w:type="dxa"/>
              <w:right w:w="101" w:type="dxa"/>
            </w:tcMar>
            <w:vAlign w:val="bottom"/>
          </w:tcPr>
          <w:p w14:paraId="7CD76E1A" w14:textId="77777777" w:rsidR="003F0EEA" w:rsidRPr="0092199D" w:rsidRDefault="003F0EEA">
            <w:pPr>
              <w:rPr>
                <w:rFonts w:ascii="Arial" w:eastAsia="Arial" w:hAnsi="Arial" w:cs="Arial"/>
                <w:color w:val="000000"/>
                <w:sz w:val="16"/>
              </w:rPr>
            </w:pPr>
          </w:p>
        </w:tc>
        <w:tc>
          <w:tcPr>
            <w:tcW w:w="975" w:type="dxa"/>
            <w:tcBorders>
              <w:top w:val="nil"/>
              <w:left w:val="nil"/>
              <w:bottom w:val="nil"/>
              <w:right w:val="nil"/>
              <w:tl2br w:val="nil"/>
              <w:tr2bl w:val="nil"/>
            </w:tcBorders>
            <w:shd w:val="clear" w:color="auto" w:fill="FFFFFF"/>
            <w:tcMar>
              <w:left w:w="101" w:type="dxa"/>
              <w:right w:w="101" w:type="dxa"/>
            </w:tcMar>
            <w:vAlign w:val="bottom"/>
          </w:tcPr>
          <w:p w14:paraId="6FA7CB89" w14:textId="77777777" w:rsidR="003F0EEA" w:rsidRPr="0092199D" w:rsidRDefault="003F0EEA">
            <w:pPr>
              <w:rPr>
                <w:rFonts w:ascii="Arial" w:eastAsia="Arial" w:hAnsi="Arial" w:cs="Arial"/>
                <w:color w:val="000000"/>
                <w:sz w:val="16"/>
              </w:rPr>
            </w:pPr>
          </w:p>
        </w:tc>
      </w:tr>
      <w:tr w:rsidR="00FB7D0B" w14:paraId="3E649D54" w14:textId="77777777" w:rsidTr="00FB7D0B">
        <w:trPr>
          <w:trHeight w:val="225"/>
        </w:trPr>
        <w:tc>
          <w:tcPr>
            <w:tcW w:w="180" w:type="dxa"/>
            <w:tcBorders>
              <w:top w:val="nil"/>
              <w:left w:val="nil"/>
              <w:bottom w:val="nil"/>
              <w:right w:val="nil"/>
              <w:tl2br w:val="nil"/>
              <w:tr2bl w:val="nil"/>
            </w:tcBorders>
            <w:shd w:val="clear" w:color="auto" w:fill="FFFFFF"/>
            <w:tcMar>
              <w:left w:w="101" w:type="dxa"/>
              <w:right w:w="101" w:type="dxa"/>
            </w:tcMar>
            <w:vAlign w:val="bottom"/>
          </w:tcPr>
          <w:p w14:paraId="6F80A1CA" w14:textId="77777777" w:rsidR="003F0EEA" w:rsidRPr="0092199D" w:rsidRDefault="003F0EEA">
            <w:pPr>
              <w:rPr>
                <w:rFonts w:ascii="Arial" w:eastAsia="Arial" w:hAnsi="Arial" w:cs="Arial"/>
                <w:color w:val="000000"/>
                <w:sz w:val="16"/>
              </w:rPr>
            </w:pPr>
          </w:p>
        </w:tc>
        <w:tc>
          <w:tcPr>
            <w:tcW w:w="2880" w:type="dxa"/>
            <w:gridSpan w:val="2"/>
            <w:vMerge w:val="restart"/>
            <w:tcBorders>
              <w:top w:val="nil"/>
              <w:left w:val="nil"/>
              <w:bottom w:val="nil"/>
              <w:right w:val="nil"/>
              <w:tl2br w:val="nil"/>
              <w:tr2bl w:val="nil"/>
            </w:tcBorders>
            <w:shd w:val="clear" w:color="auto" w:fill="FFFFFF"/>
            <w:tcMar>
              <w:left w:w="101" w:type="dxa"/>
              <w:right w:w="101" w:type="dxa"/>
            </w:tcMar>
            <w:vAlign w:val="bottom"/>
          </w:tcPr>
          <w:p w14:paraId="34CBBA1F" w14:textId="77777777" w:rsidR="003F0EEA" w:rsidRPr="0092199D" w:rsidRDefault="00FB7D0B">
            <w:pPr>
              <w:rPr>
                <w:rFonts w:ascii="Arial" w:eastAsia="Arial" w:hAnsi="Arial" w:cs="Arial"/>
                <w:b/>
                <w:color w:val="000000"/>
                <w:sz w:val="16"/>
              </w:rPr>
            </w:pPr>
            <w:r w:rsidRPr="0092199D">
              <w:rPr>
                <w:rFonts w:ascii="Arial" w:eastAsia="Arial" w:hAnsi="Arial" w:cs="Arial"/>
                <w:color w:val="000000"/>
                <w:sz w:val="16"/>
              </w:rPr>
              <w:t>Supplier payables</w:t>
            </w:r>
          </w:p>
        </w:tc>
        <w:tc>
          <w:tcPr>
            <w:tcW w:w="930" w:type="dxa"/>
            <w:tcBorders>
              <w:top w:val="nil"/>
              <w:left w:val="nil"/>
              <w:bottom w:val="nil"/>
              <w:right w:val="nil"/>
              <w:tl2br w:val="nil"/>
              <w:tr2bl w:val="nil"/>
            </w:tcBorders>
            <w:shd w:val="clear" w:color="auto" w:fill="FFFFFF"/>
            <w:tcMar>
              <w:left w:w="101" w:type="dxa"/>
              <w:right w:w="101" w:type="dxa"/>
            </w:tcMar>
            <w:vAlign w:val="bottom"/>
          </w:tcPr>
          <w:p w14:paraId="06AFF4EE" w14:textId="77777777" w:rsidR="003F0EEA" w:rsidRPr="0092199D" w:rsidRDefault="00FB7D0B">
            <w:pPr>
              <w:jc w:val="right"/>
              <w:rPr>
                <w:rFonts w:ascii="Arial" w:eastAsia="Arial" w:hAnsi="Arial" w:cs="Arial"/>
                <w:color w:val="000000"/>
                <w:sz w:val="16"/>
              </w:rPr>
            </w:pPr>
            <w:r w:rsidRPr="0092199D">
              <w:rPr>
                <w:rFonts w:ascii="Arial" w:eastAsia="Arial" w:hAnsi="Arial" w:cs="Arial"/>
                <w:color w:val="000000"/>
                <w:sz w:val="16"/>
              </w:rPr>
              <w:t xml:space="preserve"> 14,041 </w:t>
            </w:r>
          </w:p>
        </w:tc>
        <w:tc>
          <w:tcPr>
            <w:tcW w:w="930" w:type="dxa"/>
            <w:tcBorders>
              <w:top w:val="nil"/>
              <w:left w:val="nil"/>
              <w:bottom w:val="nil"/>
              <w:right w:val="nil"/>
              <w:tl2br w:val="nil"/>
              <w:tr2bl w:val="nil"/>
            </w:tcBorders>
            <w:shd w:val="clear" w:color="auto" w:fill="FFFF00"/>
            <w:tcMar>
              <w:left w:w="101" w:type="dxa"/>
              <w:right w:w="101" w:type="dxa"/>
            </w:tcMar>
            <w:vAlign w:val="bottom"/>
          </w:tcPr>
          <w:p w14:paraId="275414BF" w14:textId="77777777" w:rsidR="003F0EEA" w:rsidRPr="0092199D" w:rsidRDefault="00FB7D0B">
            <w:pPr>
              <w:jc w:val="right"/>
              <w:rPr>
                <w:rFonts w:ascii="Arial" w:eastAsia="Arial" w:hAnsi="Arial" w:cs="Arial"/>
                <w:color w:val="000000"/>
                <w:sz w:val="16"/>
              </w:rPr>
            </w:pPr>
            <w:r w:rsidRPr="0092199D">
              <w:rPr>
                <w:rFonts w:ascii="Arial" w:eastAsia="Arial" w:hAnsi="Arial" w:cs="Arial"/>
                <w:color w:val="000000"/>
                <w:sz w:val="16"/>
              </w:rPr>
              <w:t xml:space="preserve"> 14,183 </w:t>
            </w:r>
          </w:p>
        </w:tc>
        <w:tc>
          <w:tcPr>
            <w:tcW w:w="930" w:type="dxa"/>
            <w:tcBorders>
              <w:top w:val="nil"/>
              <w:left w:val="nil"/>
              <w:bottom w:val="nil"/>
              <w:right w:val="nil"/>
              <w:tl2br w:val="nil"/>
              <w:tr2bl w:val="nil"/>
            </w:tcBorders>
            <w:shd w:val="clear" w:color="auto" w:fill="FFFFFF"/>
            <w:tcMar>
              <w:left w:w="101" w:type="dxa"/>
              <w:right w:w="101" w:type="dxa"/>
            </w:tcMar>
            <w:vAlign w:val="bottom"/>
          </w:tcPr>
          <w:p w14:paraId="5FACA566" w14:textId="77777777" w:rsidR="003F0EEA" w:rsidRPr="0092199D" w:rsidRDefault="00FB7D0B">
            <w:pPr>
              <w:jc w:val="right"/>
              <w:rPr>
                <w:rFonts w:ascii="Arial" w:eastAsia="Arial" w:hAnsi="Arial" w:cs="Arial"/>
                <w:color w:val="000000"/>
                <w:sz w:val="16"/>
              </w:rPr>
            </w:pPr>
            <w:r w:rsidRPr="0092199D">
              <w:rPr>
                <w:rFonts w:ascii="Arial" w:eastAsia="Arial" w:hAnsi="Arial" w:cs="Arial"/>
                <w:color w:val="000000"/>
                <w:sz w:val="16"/>
              </w:rPr>
              <w:t xml:space="preserve"> 15,130 </w:t>
            </w:r>
          </w:p>
        </w:tc>
        <w:tc>
          <w:tcPr>
            <w:tcW w:w="975" w:type="dxa"/>
            <w:tcBorders>
              <w:top w:val="nil"/>
              <w:left w:val="nil"/>
              <w:bottom w:val="nil"/>
              <w:right w:val="nil"/>
              <w:tl2br w:val="nil"/>
              <w:tr2bl w:val="nil"/>
            </w:tcBorders>
            <w:shd w:val="clear" w:color="auto" w:fill="FFFFFF"/>
            <w:tcMar>
              <w:left w:w="101" w:type="dxa"/>
              <w:right w:w="101" w:type="dxa"/>
            </w:tcMar>
            <w:vAlign w:val="bottom"/>
          </w:tcPr>
          <w:p w14:paraId="7D5214DD" w14:textId="77777777" w:rsidR="003F0EEA" w:rsidRPr="0092199D" w:rsidRDefault="00FB7D0B">
            <w:pPr>
              <w:jc w:val="right"/>
              <w:rPr>
                <w:rFonts w:ascii="Arial" w:eastAsia="Arial" w:hAnsi="Arial" w:cs="Arial"/>
                <w:color w:val="000000"/>
                <w:sz w:val="16"/>
              </w:rPr>
            </w:pPr>
            <w:r w:rsidRPr="0092199D">
              <w:rPr>
                <w:rFonts w:ascii="Arial" w:eastAsia="Arial" w:hAnsi="Arial" w:cs="Arial"/>
                <w:color w:val="000000"/>
                <w:sz w:val="16"/>
              </w:rPr>
              <w:t xml:space="preserve"> 16,353 </w:t>
            </w:r>
          </w:p>
        </w:tc>
        <w:tc>
          <w:tcPr>
            <w:tcW w:w="975" w:type="dxa"/>
            <w:tcBorders>
              <w:top w:val="nil"/>
              <w:left w:val="nil"/>
              <w:bottom w:val="nil"/>
              <w:right w:val="nil"/>
              <w:tl2br w:val="nil"/>
              <w:tr2bl w:val="nil"/>
            </w:tcBorders>
            <w:shd w:val="clear" w:color="auto" w:fill="FFFFFF"/>
            <w:tcMar>
              <w:left w:w="101" w:type="dxa"/>
              <w:right w:w="101" w:type="dxa"/>
            </w:tcMar>
            <w:vAlign w:val="bottom"/>
          </w:tcPr>
          <w:p w14:paraId="50F7682E" w14:textId="77777777" w:rsidR="003F0EEA" w:rsidRPr="0092199D" w:rsidRDefault="00FB7D0B">
            <w:pPr>
              <w:jc w:val="right"/>
              <w:rPr>
                <w:rFonts w:ascii="Arial" w:eastAsia="Arial" w:hAnsi="Arial" w:cs="Arial"/>
                <w:color w:val="000000"/>
                <w:sz w:val="16"/>
              </w:rPr>
            </w:pPr>
            <w:r w:rsidRPr="0092199D">
              <w:rPr>
                <w:rFonts w:ascii="Arial" w:eastAsia="Arial" w:hAnsi="Arial" w:cs="Arial"/>
                <w:color w:val="000000"/>
                <w:sz w:val="16"/>
              </w:rPr>
              <w:t xml:space="preserve"> 17,182 </w:t>
            </w:r>
          </w:p>
        </w:tc>
      </w:tr>
      <w:tr w:rsidR="00FB7D0B" w14:paraId="45203DA4" w14:textId="77777777" w:rsidTr="00FB7D0B">
        <w:trPr>
          <w:trHeight w:val="225"/>
        </w:trPr>
        <w:tc>
          <w:tcPr>
            <w:tcW w:w="180" w:type="dxa"/>
            <w:tcBorders>
              <w:top w:val="nil"/>
              <w:left w:val="nil"/>
              <w:bottom w:val="nil"/>
              <w:right w:val="nil"/>
              <w:tl2br w:val="nil"/>
              <w:tr2bl w:val="nil"/>
            </w:tcBorders>
            <w:shd w:val="clear" w:color="auto" w:fill="FFFFFF"/>
            <w:tcMar>
              <w:left w:w="101" w:type="dxa"/>
              <w:right w:w="101" w:type="dxa"/>
            </w:tcMar>
            <w:vAlign w:val="bottom"/>
          </w:tcPr>
          <w:p w14:paraId="34F47995" w14:textId="77777777" w:rsidR="003F0EEA" w:rsidRPr="0092199D" w:rsidRDefault="003F0EEA">
            <w:pPr>
              <w:rPr>
                <w:rFonts w:ascii="Arial" w:eastAsia="Arial" w:hAnsi="Arial" w:cs="Arial"/>
                <w:color w:val="000000"/>
                <w:sz w:val="16"/>
              </w:rPr>
            </w:pPr>
          </w:p>
        </w:tc>
        <w:tc>
          <w:tcPr>
            <w:tcW w:w="2880" w:type="dxa"/>
            <w:gridSpan w:val="2"/>
            <w:tcBorders>
              <w:top w:val="nil"/>
              <w:left w:val="nil"/>
              <w:bottom w:val="nil"/>
              <w:right w:val="nil"/>
              <w:tl2br w:val="nil"/>
              <w:tr2bl w:val="nil"/>
            </w:tcBorders>
            <w:shd w:val="clear" w:color="auto" w:fill="FFFFFF"/>
            <w:tcMar>
              <w:left w:w="101" w:type="dxa"/>
              <w:right w:w="101" w:type="dxa"/>
            </w:tcMar>
            <w:vAlign w:val="bottom"/>
          </w:tcPr>
          <w:p w14:paraId="21E90958" w14:textId="77777777" w:rsidR="003F0EEA" w:rsidRPr="0092199D" w:rsidRDefault="00FB7D0B">
            <w:pPr>
              <w:rPr>
                <w:rFonts w:ascii="Arial" w:eastAsia="Arial" w:hAnsi="Arial" w:cs="Arial"/>
                <w:b/>
                <w:color w:val="000000"/>
                <w:sz w:val="16"/>
              </w:rPr>
            </w:pPr>
            <w:r w:rsidRPr="0092199D">
              <w:rPr>
                <w:rFonts w:ascii="Arial" w:eastAsia="Arial" w:hAnsi="Arial" w:cs="Arial"/>
                <w:color w:val="000000"/>
                <w:sz w:val="16"/>
              </w:rPr>
              <w:t>Other payables</w:t>
            </w:r>
          </w:p>
        </w:tc>
        <w:tc>
          <w:tcPr>
            <w:tcW w:w="930" w:type="dxa"/>
            <w:tcBorders>
              <w:top w:val="nil"/>
              <w:left w:val="nil"/>
              <w:bottom w:val="nil"/>
              <w:right w:val="nil"/>
              <w:tl2br w:val="nil"/>
              <w:tr2bl w:val="nil"/>
            </w:tcBorders>
            <w:shd w:val="clear" w:color="auto" w:fill="FFFFFF"/>
            <w:tcMar>
              <w:left w:w="101" w:type="dxa"/>
              <w:right w:w="101" w:type="dxa"/>
            </w:tcMar>
            <w:vAlign w:val="bottom"/>
          </w:tcPr>
          <w:p w14:paraId="04184200" w14:textId="77777777" w:rsidR="003F0EEA" w:rsidRPr="0092199D" w:rsidRDefault="00FB7D0B">
            <w:pPr>
              <w:jc w:val="right"/>
              <w:rPr>
                <w:rFonts w:ascii="Arial" w:eastAsia="Arial" w:hAnsi="Arial" w:cs="Arial"/>
                <w:color w:val="000000"/>
                <w:sz w:val="16"/>
              </w:rPr>
            </w:pPr>
            <w:r w:rsidRPr="0092199D">
              <w:rPr>
                <w:rFonts w:ascii="Arial" w:eastAsia="Arial" w:hAnsi="Arial" w:cs="Arial"/>
                <w:color w:val="000000"/>
                <w:sz w:val="16"/>
              </w:rPr>
              <w:t xml:space="preserve"> 25,464 </w:t>
            </w:r>
          </w:p>
        </w:tc>
        <w:tc>
          <w:tcPr>
            <w:tcW w:w="930" w:type="dxa"/>
            <w:tcBorders>
              <w:top w:val="nil"/>
              <w:left w:val="nil"/>
              <w:bottom w:val="nil"/>
              <w:right w:val="nil"/>
              <w:tl2br w:val="nil"/>
              <w:tr2bl w:val="nil"/>
            </w:tcBorders>
            <w:shd w:val="clear" w:color="auto" w:fill="FFFF00"/>
            <w:tcMar>
              <w:left w:w="101" w:type="dxa"/>
              <w:right w:w="101" w:type="dxa"/>
            </w:tcMar>
            <w:vAlign w:val="bottom"/>
          </w:tcPr>
          <w:p w14:paraId="31A8A2FD" w14:textId="77777777" w:rsidR="003F0EEA" w:rsidRPr="0092199D" w:rsidRDefault="00FB7D0B">
            <w:pPr>
              <w:jc w:val="right"/>
              <w:rPr>
                <w:rFonts w:ascii="Arial" w:eastAsia="Arial" w:hAnsi="Arial" w:cs="Arial"/>
                <w:color w:val="000000"/>
                <w:sz w:val="16"/>
              </w:rPr>
            </w:pPr>
            <w:r w:rsidRPr="0092199D">
              <w:rPr>
                <w:rFonts w:ascii="Arial" w:eastAsia="Arial" w:hAnsi="Arial" w:cs="Arial"/>
                <w:color w:val="000000"/>
                <w:sz w:val="16"/>
              </w:rPr>
              <w:t xml:space="preserve"> 25,464 </w:t>
            </w:r>
          </w:p>
        </w:tc>
        <w:tc>
          <w:tcPr>
            <w:tcW w:w="930" w:type="dxa"/>
            <w:tcBorders>
              <w:top w:val="nil"/>
              <w:left w:val="nil"/>
              <w:bottom w:val="nil"/>
              <w:right w:val="nil"/>
              <w:tl2br w:val="nil"/>
              <w:tr2bl w:val="nil"/>
            </w:tcBorders>
            <w:shd w:val="clear" w:color="auto" w:fill="FFFFFF"/>
            <w:tcMar>
              <w:left w:w="101" w:type="dxa"/>
              <w:right w:w="101" w:type="dxa"/>
            </w:tcMar>
            <w:vAlign w:val="bottom"/>
          </w:tcPr>
          <w:p w14:paraId="2D818519" w14:textId="77777777" w:rsidR="003F0EEA" w:rsidRPr="0092199D" w:rsidRDefault="00FB7D0B">
            <w:pPr>
              <w:jc w:val="right"/>
              <w:rPr>
                <w:rFonts w:ascii="Arial" w:eastAsia="Arial" w:hAnsi="Arial" w:cs="Arial"/>
                <w:color w:val="000000"/>
                <w:sz w:val="16"/>
              </w:rPr>
            </w:pPr>
            <w:r w:rsidRPr="0092199D">
              <w:rPr>
                <w:rFonts w:ascii="Arial" w:eastAsia="Arial" w:hAnsi="Arial" w:cs="Arial"/>
                <w:color w:val="000000"/>
                <w:sz w:val="16"/>
              </w:rPr>
              <w:t xml:space="preserve"> 25,464 </w:t>
            </w:r>
          </w:p>
        </w:tc>
        <w:tc>
          <w:tcPr>
            <w:tcW w:w="975" w:type="dxa"/>
            <w:tcBorders>
              <w:top w:val="nil"/>
              <w:left w:val="nil"/>
              <w:bottom w:val="nil"/>
              <w:right w:val="nil"/>
              <w:tl2br w:val="nil"/>
              <w:tr2bl w:val="nil"/>
            </w:tcBorders>
            <w:shd w:val="clear" w:color="auto" w:fill="FFFFFF"/>
            <w:tcMar>
              <w:left w:w="101" w:type="dxa"/>
              <w:right w:w="101" w:type="dxa"/>
            </w:tcMar>
            <w:vAlign w:val="bottom"/>
          </w:tcPr>
          <w:p w14:paraId="5CDBEAF8" w14:textId="77777777" w:rsidR="003F0EEA" w:rsidRPr="0092199D" w:rsidRDefault="00FB7D0B">
            <w:pPr>
              <w:jc w:val="right"/>
              <w:rPr>
                <w:rFonts w:ascii="Arial" w:eastAsia="Arial" w:hAnsi="Arial" w:cs="Arial"/>
                <w:color w:val="000000"/>
                <w:sz w:val="16"/>
              </w:rPr>
            </w:pPr>
            <w:r w:rsidRPr="0092199D">
              <w:rPr>
                <w:rFonts w:ascii="Arial" w:eastAsia="Arial" w:hAnsi="Arial" w:cs="Arial"/>
                <w:color w:val="000000"/>
                <w:sz w:val="16"/>
              </w:rPr>
              <w:t xml:space="preserve"> 25,464 </w:t>
            </w:r>
          </w:p>
        </w:tc>
        <w:tc>
          <w:tcPr>
            <w:tcW w:w="975" w:type="dxa"/>
            <w:tcBorders>
              <w:top w:val="nil"/>
              <w:left w:val="nil"/>
              <w:bottom w:val="nil"/>
              <w:right w:val="nil"/>
              <w:tl2br w:val="nil"/>
              <w:tr2bl w:val="nil"/>
            </w:tcBorders>
            <w:shd w:val="clear" w:color="auto" w:fill="FFFFFF"/>
            <w:tcMar>
              <w:left w:w="101" w:type="dxa"/>
              <w:right w:w="101" w:type="dxa"/>
            </w:tcMar>
            <w:vAlign w:val="bottom"/>
          </w:tcPr>
          <w:p w14:paraId="7BD21298" w14:textId="77777777" w:rsidR="003F0EEA" w:rsidRPr="0092199D" w:rsidRDefault="00FB7D0B">
            <w:pPr>
              <w:jc w:val="right"/>
              <w:rPr>
                <w:rFonts w:ascii="Arial" w:eastAsia="Arial" w:hAnsi="Arial" w:cs="Arial"/>
                <w:color w:val="000000"/>
                <w:sz w:val="16"/>
              </w:rPr>
            </w:pPr>
            <w:r w:rsidRPr="0092199D">
              <w:rPr>
                <w:rFonts w:ascii="Arial" w:eastAsia="Arial" w:hAnsi="Arial" w:cs="Arial"/>
                <w:color w:val="000000"/>
                <w:sz w:val="16"/>
              </w:rPr>
              <w:t xml:space="preserve"> 25,464 </w:t>
            </w:r>
          </w:p>
        </w:tc>
      </w:tr>
      <w:tr w:rsidR="00FB7D0B" w14:paraId="4DE522C8" w14:textId="77777777" w:rsidTr="00FB7D0B">
        <w:trPr>
          <w:trHeight w:val="225"/>
        </w:trPr>
        <w:tc>
          <w:tcPr>
            <w:tcW w:w="3060" w:type="dxa"/>
            <w:gridSpan w:val="3"/>
            <w:tcBorders>
              <w:top w:val="nil"/>
              <w:left w:val="nil"/>
              <w:bottom w:val="nil"/>
              <w:right w:val="nil"/>
              <w:tl2br w:val="nil"/>
              <w:tr2bl w:val="nil"/>
            </w:tcBorders>
            <w:shd w:val="clear" w:color="auto" w:fill="FFFFFF"/>
            <w:tcMar>
              <w:left w:w="101" w:type="dxa"/>
              <w:right w:w="101" w:type="dxa"/>
            </w:tcMar>
            <w:vAlign w:val="bottom"/>
          </w:tcPr>
          <w:p w14:paraId="00E99021" w14:textId="77777777" w:rsidR="003F0EEA" w:rsidRPr="0092199D" w:rsidRDefault="00FB7D0B">
            <w:pPr>
              <w:rPr>
                <w:rFonts w:ascii="Arial" w:eastAsia="Arial" w:hAnsi="Arial" w:cs="Arial"/>
                <w:color w:val="000000"/>
                <w:sz w:val="16"/>
              </w:rPr>
            </w:pPr>
            <w:r w:rsidRPr="0092199D">
              <w:rPr>
                <w:rFonts w:ascii="Arial" w:eastAsia="Arial" w:hAnsi="Arial" w:cs="Arial"/>
                <w:b/>
                <w:color w:val="000000"/>
                <w:sz w:val="16"/>
              </w:rPr>
              <w:t>Total Payables</w:t>
            </w:r>
          </w:p>
        </w:tc>
        <w:tc>
          <w:tcPr>
            <w:tcW w:w="930"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1B4AE369" w14:textId="77777777" w:rsidR="003F0EEA" w:rsidRPr="0092199D" w:rsidRDefault="00FB7D0B">
            <w:pPr>
              <w:jc w:val="right"/>
              <w:rPr>
                <w:rFonts w:ascii="Arial" w:eastAsia="Arial" w:hAnsi="Arial" w:cs="Arial"/>
                <w:b/>
                <w:color w:val="000000"/>
                <w:sz w:val="16"/>
              </w:rPr>
            </w:pPr>
            <w:r w:rsidRPr="0092199D">
              <w:rPr>
                <w:rFonts w:ascii="Arial" w:eastAsia="Arial" w:hAnsi="Arial" w:cs="Arial"/>
                <w:b/>
                <w:color w:val="000000"/>
                <w:sz w:val="16"/>
              </w:rPr>
              <w:t xml:space="preserve"> 39,505 </w:t>
            </w:r>
          </w:p>
        </w:tc>
        <w:tc>
          <w:tcPr>
            <w:tcW w:w="930" w:type="dxa"/>
            <w:tcBorders>
              <w:top w:val="single" w:sz="6" w:space="0" w:color="000000"/>
              <w:left w:val="nil"/>
              <w:bottom w:val="single" w:sz="6" w:space="0" w:color="000000"/>
              <w:right w:val="nil"/>
              <w:tl2br w:val="nil"/>
              <w:tr2bl w:val="nil"/>
            </w:tcBorders>
            <w:shd w:val="clear" w:color="auto" w:fill="FFFF00"/>
            <w:tcMar>
              <w:left w:w="101" w:type="dxa"/>
              <w:right w:w="101" w:type="dxa"/>
            </w:tcMar>
            <w:vAlign w:val="bottom"/>
          </w:tcPr>
          <w:p w14:paraId="2302E713" w14:textId="77777777" w:rsidR="003F0EEA" w:rsidRPr="0092199D" w:rsidRDefault="00FB7D0B">
            <w:pPr>
              <w:jc w:val="right"/>
              <w:rPr>
                <w:rFonts w:ascii="Arial" w:eastAsia="Arial" w:hAnsi="Arial" w:cs="Arial"/>
                <w:b/>
                <w:color w:val="000000"/>
                <w:sz w:val="16"/>
              </w:rPr>
            </w:pPr>
            <w:r w:rsidRPr="0092199D">
              <w:rPr>
                <w:rFonts w:ascii="Arial" w:eastAsia="Arial" w:hAnsi="Arial" w:cs="Arial"/>
                <w:b/>
                <w:color w:val="000000"/>
                <w:sz w:val="16"/>
              </w:rPr>
              <w:t xml:space="preserve"> 39,647 </w:t>
            </w:r>
          </w:p>
        </w:tc>
        <w:tc>
          <w:tcPr>
            <w:tcW w:w="930"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41677E29" w14:textId="77777777" w:rsidR="003F0EEA" w:rsidRPr="0092199D" w:rsidRDefault="00FB7D0B">
            <w:pPr>
              <w:jc w:val="right"/>
              <w:rPr>
                <w:rFonts w:ascii="Arial" w:eastAsia="Arial" w:hAnsi="Arial" w:cs="Arial"/>
                <w:b/>
                <w:color w:val="000000"/>
                <w:sz w:val="16"/>
              </w:rPr>
            </w:pPr>
            <w:r w:rsidRPr="0092199D">
              <w:rPr>
                <w:rFonts w:ascii="Arial" w:eastAsia="Arial" w:hAnsi="Arial" w:cs="Arial"/>
                <w:b/>
                <w:color w:val="000000"/>
                <w:sz w:val="16"/>
              </w:rPr>
              <w:t xml:space="preserve"> 40,594 </w:t>
            </w:r>
          </w:p>
        </w:tc>
        <w:tc>
          <w:tcPr>
            <w:tcW w:w="975"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3A5FBA35" w14:textId="77777777" w:rsidR="003F0EEA" w:rsidRPr="0092199D" w:rsidRDefault="00FB7D0B">
            <w:pPr>
              <w:jc w:val="right"/>
              <w:rPr>
                <w:rFonts w:ascii="Arial" w:eastAsia="Arial" w:hAnsi="Arial" w:cs="Arial"/>
                <w:b/>
                <w:color w:val="000000"/>
                <w:sz w:val="16"/>
              </w:rPr>
            </w:pPr>
            <w:r w:rsidRPr="0092199D">
              <w:rPr>
                <w:rFonts w:ascii="Arial" w:eastAsia="Arial" w:hAnsi="Arial" w:cs="Arial"/>
                <w:b/>
                <w:color w:val="000000"/>
                <w:sz w:val="16"/>
              </w:rPr>
              <w:t xml:space="preserve"> 41,817 </w:t>
            </w:r>
          </w:p>
        </w:tc>
        <w:tc>
          <w:tcPr>
            <w:tcW w:w="975"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0577542E" w14:textId="77777777" w:rsidR="003F0EEA" w:rsidRPr="0092199D" w:rsidRDefault="00FB7D0B">
            <w:pPr>
              <w:jc w:val="right"/>
              <w:rPr>
                <w:rFonts w:ascii="Arial" w:eastAsia="Arial" w:hAnsi="Arial" w:cs="Arial"/>
                <w:b/>
                <w:color w:val="000000"/>
                <w:sz w:val="16"/>
              </w:rPr>
            </w:pPr>
            <w:r w:rsidRPr="0092199D">
              <w:rPr>
                <w:rFonts w:ascii="Arial" w:eastAsia="Arial" w:hAnsi="Arial" w:cs="Arial"/>
                <w:b/>
                <w:color w:val="000000"/>
                <w:sz w:val="16"/>
              </w:rPr>
              <w:t xml:space="preserve"> 42,646 </w:t>
            </w:r>
          </w:p>
        </w:tc>
      </w:tr>
      <w:tr w:rsidR="00724034" w14:paraId="00858D41" w14:textId="77777777">
        <w:trPr>
          <w:trHeight w:hRule="exact" w:val="60"/>
        </w:trPr>
        <w:tc>
          <w:tcPr>
            <w:tcW w:w="180" w:type="dxa"/>
            <w:tcBorders>
              <w:top w:val="nil"/>
              <w:left w:val="nil"/>
              <w:bottom w:val="nil"/>
              <w:right w:val="nil"/>
              <w:tl2br w:val="nil"/>
              <w:tr2bl w:val="nil"/>
            </w:tcBorders>
            <w:shd w:val="clear" w:color="auto" w:fill="FFFFFF"/>
            <w:tcMar>
              <w:left w:w="101" w:type="dxa"/>
              <w:right w:w="101" w:type="dxa"/>
            </w:tcMar>
            <w:vAlign w:val="bottom"/>
          </w:tcPr>
          <w:p w14:paraId="6A7423BA" w14:textId="77777777" w:rsidR="003F0EEA" w:rsidRPr="0092199D" w:rsidRDefault="003F0EEA">
            <w:pPr>
              <w:rPr>
                <w:rFonts w:ascii="Arial" w:eastAsia="Arial" w:hAnsi="Arial" w:cs="Arial"/>
                <w:b/>
                <w:color w:val="000000"/>
                <w:sz w:val="16"/>
              </w:rPr>
            </w:pPr>
          </w:p>
        </w:tc>
        <w:tc>
          <w:tcPr>
            <w:tcW w:w="180" w:type="dxa"/>
            <w:tcBorders>
              <w:top w:val="nil"/>
              <w:left w:val="nil"/>
              <w:bottom w:val="nil"/>
              <w:right w:val="nil"/>
              <w:tl2br w:val="nil"/>
              <w:tr2bl w:val="nil"/>
            </w:tcBorders>
            <w:shd w:val="clear" w:color="auto" w:fill="FFFFFF"/>
            <w:tcMar>
              <w:left w:w="101" w:type="dxa"/>
              <w:right w:w="101" w:type="dxa"/>
            </w:tcMar>
            <w:vAlign w:val="bottom"/>
          </w:tcPr>
          <w:p w14:paraId="048B84F2" w14:textId="77777777" w:rsidR="003F0EEA" w:rsidRPr="0092199D" w:rsidRDefault="003F0EEA">
            <w:pPr>
              <w:rPr>
                <w:rFonts w:ascii="Arial" w:eastAsia="Arial" w:hAnsi="Arial" w:cs="Arial"/>
                <w:b/>
                <w:color w:val="000000"/>
                <w:sz w:val="16"/>
              </w:rPr>
            </w:pPr>
          </w:p>
        </w:tc>
        <w:tc>
          <w:tcPr>
            <w:tcW w:w="2700" w:type="dxa"/>
            <w:tcBorders>
              <w:top w:val="nil"/>
              <w:left w:val="nil"/>
              <w:bottom w:val="nil"/>
              <w:right w:val="nil"/>
              <w:tl2br w:val="nil"/>
              <w:tr2bl w:val="nil"/>
            </w:tcBorders>
            <w:shd w:val="clear" w:color="auto" w:fill="FFFFFF"/>
            <w:tcMar>
              <w:left w:w="101" w:type="dxa"/>
              <w:right w:w="101" w:type="dxa"/>
            </w:tcMar>
            <w:vAlign w:val="bottom"/>
          </w:tcPr>
          <w:p w14:paraId="7777DA61" w14:textId="77777777" w:rsidR="003F0EEA" w:rsidRPr="0092199D" w:rsidRDefault="003F0EEA">
            <w:pPr>
              <w:rPr>
                <w:rFonts w:ascii="Arial" w:eastAsia="Arial" w:hAnsi="Arial" w:cs="Arial"/>
                <w:color w:val="000000"/>
                <w:sz w:val="16"/>
              </w:rPr>
            </w:pPr>
          </w:p>
        </w:tc>
        <w:tc>
          <w:tcPr>
            <w:tcW w:w="930"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4C01AA5B" w14:textId="77777777" w:rsidR="003F0EEA" w:rsidRPr="0092199D" w:rsidRDefault="003F0EEA">
            <w:pPr>
              <w:rPr>
                <w:rFonts w:ascii="Arial" w:eastAsia="Arial" w:hAnsi="Arial" w:cs="Arial"/>
                <w:b/>
                <w:color w:val="000000"/>
                <w:sz w:val="16"/>
              </w:rPr>
            </w:pPr>
          </w:p>
        </w:tc>
        <w:tc>
          <w:tcPr>
            <w:tcW w:w="930" w:type="dxa"/>
            <w:tcBorders>
              <w:top w:val="single" w:sz="6" w:space="0" w:color="000000"/>
              <w:left w:val="nil"/>
              <w:bottom w:val="nil"/>
              <w:right w:val="nil"/>
              <w:tl2br w:val="nil"/>
              <w:tr2bl w:val="nil"/>
            </w:tcBorders>
            <w:shd w:val="clear" w:color="auto" w:fill="FFFF00"/>
            <w:tcMar>
              <w:left w:w="101" w:type="dxa"/>
              <w:right w:w="101" w:type="dxa"/>
            </w:tcMar>
            <w:vAlign w:val="bottom"/>
          </w:tcPr>
          <w:p w14:paraId="76F14D48" w14:textId="77777777" w:rsidR="003F0EEA" w:rsidRPr="0092199D" w:rsidRDefault="003F0EEA">
            <w:pPr>
              <w:rPr>
                <w:rFonts w:ascii="Arial" w:eastAsia="Arial" w:hAnsi="Arial" w:cs="Arial"/>
                <w:color w:val="000000"/>
                <w:sz w:val="16"/>
              </w:rPr>
            </w:pPr>
          </w:p>
        </w:tc>
        <w:tc>
          <w:tcPr>
            <w:tcW w:w="930"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222EB666" w14:textId="77777777" w:rsidR="003F0EEA" w:rsidRPr="0092199D" w:rsidRDefault="003F0EEA">
            <w:pPr>
              <w:rPr>
                <w:rFonts w:ascii="Arial" w:eastAsia="Arial" w:hAnsi="Arial" w:cs="Arial"/>
                <w:color w:val="000000"/>
                <w:sz w:val="16"/>
              </w:rPr>
            </w:pPr>
          </w:p>
        </w:tc>
        <w:tc>
          <w:tcPr>
            <w:tcW w:w="97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7518289D" w14:textId="77777777" w:rsidR="003F0EEA" w:rsidRPr="0092199D" w:rsidRDefault="003F0EEA">
            <w:pPr>
              <w:rPr>
                <w:rFonts w:ascii="Arial" w:eastAsia="Arial" w:hAnsi="Arial" w:cs="Arial"/>
                <w:color w:val="000000"/>
                <w:sz w:val="16"/>
              </w:rPr>
            </w:pPr>
          </w:p>
        </w:tc>
        <w:tc>
          <w:tcPr>
            <w:tcW w:w="97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3ADB0CC4" w14:textId="77777777" w:rsidR="003F0EEA" w:rsidRPr="0092199D" w:rsidRDefault="003F0EEA">
            <w:pPr>
              <w:rPr>
                <w:rFonts w:ascii="Arial" w:eastAsia="Arial" w:hAnsi="Arial" w:cs="Arial"/>
                <w:color w:val="000000"/>
                <w:sz w:val="16"/>
              </w:rPr>
            </w:pPr>
          </w:p>
        </w:tc>
      </w:tr>
      <w:tr w:rsidR="00FB7D0B" w14:paraId="231CD78D" w14:textId="77777777" w:rsidTr="00FB7D0B">
        <w:trPr>
          <w:trHeight w:val="225"/>
        </w:trPr>
        <w:tc>
          <w:tcPr>
            <w:tcW w:w="3060" w:type="dxa"/>
            <w:gridSpan w:val="3"/>
            <w:tcBorders>
              <w:top w:val="nil"/>
              <w:left w:val="nil"/>
              <w:bottom w:val="nil"/>
              <w:right w:val="nil"/>
              <w:tl2br w:val="nil"/>
              <w:tr2bl w:val="nil"/>
            </w:tcBorders>
            <w:shd w:val="clear" w:color="auto" w:fill="FFFFFF"/>
            <w:tcMar>
              <w:left w:w="101" w:type="dxa"/>
              <w:right w:w="101" w:type="dxa"/>
            </w:tcMar>
            <w:vAlign w:val="bottom"/>
          </w:tcPr>
          <w:p w14:paraId="1E88A61F" w14:textId="77777777" w:rsidR="003F0EEA" w:rsidRPr="0092199D" w:rsidRDefault="00FB7D0B">
            <w:pPr>
              <w:rPr>
                <w:rFonts w:ascii="Arial" w:eastAsia="Arial" w:hAnsi="Arial" w:cs="Arial"/>
                <w:color w:val="000000"/>
                <w:sz w:val="16"/>
              </w:rPr>
            </w:pPr>
            <w:r w:rsidRPr="0092199D">
              <w:rPr>
                <w:rFonts w:ascii="Arial" w:eastAsia="Arial" w:hAnsi="Arial" w:cs="Arial"/>
                <w:b/>
                <w:color w:val="000000"/>
                <w:sz w:val="16"/>
              </w:rPr>
              <w:t>Provisions</w:t>
            </w:r>
          </w:p>
        </w:tc>
        <w:tc>
          <w:tcPr>
            <w:tcW w:w="930" w:type="dxa"/>
            <w:tcBorders>
              <w:top w:val="nil"/>
              <w:left w:val="nil"/>
              <w:bottom w:val="nil"/>
              <w:right w:val="nil"/>
              <w:tl2br w:val="nil"/>
              <w:tr2bl w:val="nil"/>
            </w:tcBorders>
            <w:shd w:val="clear" w:color="auto" w:fill="FFFFFF"/>
            <w:tcMar>
              <w:left w:w="101" w:type="dxa"/>
              <w:right w:w="101" w:type="dxa"/>
            </w:tcMar>
            <w:vAlign w:val="bottom"/>
          </w:tcPr>
          <w:p w14:paraId="7B59ACE1" w14:textId="77777777" w:rsidR="003F0EEA" w:rsidRPr="0092199D" w:rsidRDefault="003F0EEA">
            <w:pPr>
              <w:rPr>
                <w:rFonts w:ascii="Arial" w:eastAsia="Arial" w:hAnsi="Arial" w:cs="Arial"/>
                <w:b/>
                <w:color w:val="000000"/>
                <w:sz w:val="16"/>
              </w:rPr>
            </w:pPr>
          </w:p>
        </w:tc>
        <w:tc>
          <w:tcPr>
            <w:tcW w:w="930" w:type="dxa"/>
            <w:tcBorders>
              <w:top w:val="nil"/>
              <w:left w:val="nil"/>
              <w:bottom w:val="nil"/>
              <w:right w:val="nil"/>
              <w:tl2br w:val="nil"/>
              <w:tr2bl w:val="nil"/>
            </w:tcBorders>
            <w:shd w:val="clear" w:color="auto" w:fill="FFFF00"/>
            <w:tcMar>
              <w:left w:w="101" w:type="dxa"/>
              <w:right w:w="101" w:type="dxa"/>
            </w:tcMar>
            <w:vAlign w:val="bottom"/>
          </w:tcPr>
          <w:p w14:paraId="3A4A333B" w14:textId="77777777" w:rsidR="003F0EEA" w:rsidRPr="0092199D" w:rsidRDefault="003F0EEA">
            <w:pPr>
              <w:rPr>
                <w:rFonts w:ascii="Arial" w:eastAsia="Arial" w:hAnsi="Arial" w:cs="Arial"/>
                <w:color w:val="000000"/>
                <w:sz w:val="16"/>
              </w:rPr>
            </w:pPr>
          </w:p>
        </w:tc>
        <w:tc>
          <w:tcPr>
            <w:tcW w:w="930" w:type="dxa"/>
            <w:tcBorders>
              <w:top w:val="nil"/>
              <w:left w:val="nil"/>
              <w:bottom w:val="nil"/>
              <w:right w:val="nil"/>
              <w:tl2br w:val="nil"/>
              <w:tr2bl w:val="nil"/>
            </w:tcBorders>
            <w:shd w:val="clear" w:color="auto" w:fill="FFFFFF"/>
            <w:tcMar>
              <w:left w:w="101" w:type="dxa"/>
              <w:right w:w="101" w:type="dxa"/>
            </w:tcMar>
            <w:vAlign w:val="bottom"/>
          </w:tcPr>
          <w:p w14:paraId="4B9C277D" w14:textId="77777777" w:rsidR="003F0EEA" w:rsidRPr="0092199D" w:rsidRDefault="003F0EEA">
            <w:pPr>
              <w:rPr>
                <w:rFonts w:ascii="Arial" w:eastAsia="Arial" w:hAnsi="Arial" w:cs="Arial"/>
                <w:color w:val="000000"/>
                <w:sz w:val="16"/>
              </w:rPr>
            </w:pPr>
          </w:p>
        </w:tc>
        <w:tc>
          <w:tcPr>
            <w:tcW w:w="975" w:type="dxa"/>
            <w:tcBorders>
              <w:top w:val="nil"/>
              <w:left w:val="nil"/>
              <w:bottom w:val="nil"/>
              <w:right w:val="nil"/>
              <w:tl2br w:val="nil"/>
              <w:tr2bl w:val="nil"/>
            </w:tcBorders>
            <w:shd w:val="clear" w:color="auto" w:fill="FFFFFF"/>
            <w:tcMar>
              <w:left w:w="101" w:type="dxa"/>
              <w:right w:w="101" w:type="dxa"/>
            </w:tcMar>
            <w:vAlign w:val="bottom"/>
          </w:tcPr>
          <w:p w14:paraId="40A3C412" w14:textId="77777777" w:rsidR="003F0EEA" w:rsidRPr="0092199D" w:rsidRDefault="003F0EEA">
            <w:pPr>
              <w:rPr>
                <w:rFonts w:ascii="Arial" w:eastAsia="Arial" w:hAnsi="Arial" w:cs="Arial"/>
                <w:color w:val="000000"/>
                <w:sz w:val="16"/>
              </w:rPr>
            </w:pPr>
          </w:p>
        </w:tc>
        <w:tc>
          <w:tcPr>
            <w:tcW w:w="975" w:type="dxa"/>
            <w:tcBorders>
              <w:top w:val="nil"/>
              <w:left w:val="nil"/>
              <w:bottom w:val="nil"/>
              <w:right w:val="nil"/>
              <w:tl2br w:val="nil"/>
              <w:tr2bl w:val="nil"/>
            </w:tcBorders>
            <w:shd w:val="clear" w:color="auto" w:fill="FFFFFF"/>
            <w:tcMar>
              <w:left w:w="101" w:type="dxa"/>
              <w:right w:w="101" w:type="dxa"/>
            </w:tcMar>
            <w:vAlign w:val="bottom"/>
          </w:tcPr>
          <w:p w14:paraId="65A5C253" w14:textId="77777777" w:rsidR="003F0EEA" w:rsidRPr="0092199D" w:rsidRDefault="003F0EEA">
            <w:pPr>
              <w:rPr>
                <w:rFonts w:ascii="Arial" w:eastAsia="Arial" w:hAnsi="Arial" w:cs="Arial"/>
                <w:color w:val="000000"/>
                <w:sz w:val="16"/>
              </w:rPr>
            </w:pPr>
          </w:p>
        </w:tc>
      </w:tr>
      <w:tr w:rsidR="00FB7D0B" w14:paraId="72CB0A4A" w14:textId="77777777" w:rsidTr="00FB7D0B">
        <w:trPr>
          <w:trHeight w:val="225"/>
        </w:trPr>
        <w:tc>
          <w:tcPr>
            <w:tcW w:w="180" w:type="dxa"/>
            <w:tcBorders>
              <w:top w:val="nil"/>
              <w:left w:val="nil"/>
              <w:bottom w:val="nil"/>
              <w:right w:val="nil"/>
              <w:tl2br w:val="nil"/>
              <w:tr2bl w:val="nil"/>
            </w:tcBorders>
            <w:shd w:val="clear" w:color="auto" w:fill="FFFFFF"/>
            <w:tcMar>
              <w:left w:w="101" w:type="dxa"/>
              <w:right w:w="101" w:type="dxa"/>
            </w:tcMar>
            <w:vAlign w:val="bottom"/>
          </w:tcPr>
          <w:p w14:paraId="2485F731" w14:textId="77777777" w:rsidR="003F0EEA" w:rsidRPr="0092199D" w:rsidRDefault="003F0EEA">
            <w:pPr>
              <w:rPr>
                <w:rFonts w:ascii="Arial" w:eastAsia="Arial" w:hAnsi="Arial" w:cs="Arial"/>
                <w:color w:val="000000"/>
                <w:sz w:val="16"/>
              </w:rPr>
            </w:pPr>
          </w:p>
        </w:tc>
        <w:tc>
          <w:tcPr>
            <w:tcW w:w="2880" w:type="dxa"/>
            <w:gridSpan w:val="2"/>
            <w:vMerge w:val="restart"/>
            <w:tcBorders>
              <w:top w:val="nil"/>
              <w:left w:val="nil"/>
              <w:bottom w:val="nil"/>
              <w:right w:val="nil"/>
              <w:tl2br w:val="nil"/>
              <w:tr2bl w:val="nil"/>
            </w:tcBorders>
            <w:shd w:val="clear" w:color="auto" w:fill="FFFFFF"/>
            <w:tcMar>
              <w:left w:w="101" w:type="dxa"/>
              <w:right w:w="101" w:type="dxa"/>
            </w:tcMar>
            <w:vAlign w:val="bottom"/>
          </w:tcPr>
          <w:p w14:paraId="4268EAC4" w14:textId="77777777" w:rsidR="003F0EEA" w:rsidRPr="0092199D" w:rsidRDefault="00FB7D0B">
            <w:pPr>
              <w:rPr>
                <w:rFonts w:ascii="Arial" w:eastAsia="Arial" w:hAnsi="Arial" w:cs="Arial"/>
                <w:b/>
                <w:color w:val="000000"/>
                <w:sz w:val="16"/>
              </w:rPr>
            </w:pPr>
            <w:r w:rsidRPr="0092199D">
              <w:rPr>
                <w:rFonts w:ascii="Arial" w:eastAsia="Arial" w:hAnsi="Arial" w:cs="Arial"/>
                <w:color w:val="000000"/>
                <w:sz w:val="16"/>
              </w:rPr>
              <w:t>Employee provisions</w:t>
            </w:r>
          </w:p>
        </w:tc>
        <w:tc>
          <w:tcPr>
            <w:tcW w:w="930" w:type="dxa"/>
            <w:tcBorders>
              <w:top w:val="nil"/>
              <w:left w:val="nil"/>
              <w:bottom w:val="nil"/>
              <w:right w:val="nil"/>
              <w:tl2br w:val="nil"/>
              <w:tr2bl w:val="nil"/>
            </w:tcBorders>
            <w:shd w:val="clear" w:color="auto" w:fill="FFFFFF"/>
            <w:tcMar>
              <w:left w:w="101" w:type="dxa"/>
              <w:right w:w="101" w:type="dxa"/>
            </w:tcMar>
            <w:vAlign w:val="bottom"/>
          </w:tcPr>
          <w:p w14:paraId="4E03447C" w14:textId="77777777" w:rsidR="003F0EEA" w:rsidRPr="0092199D" w:rsidRDefault="00FB7D0B">
            <w:pPr>
              <w:jc w:val="right"/>
              <w:rPr>
                <w:rFonts w:ascii="Arial" w:eastAsia="Arial" w:hAnsi="Arial" w:cs="Arial"/>
                <w:color w:val="000000"/>
                <w:sz w:val="16"/>
              </w:rPr>
            </w:pPr>
            <w:r w:rsidRPr="0092199D">
              <w:rPr>
                <w:rFonts w:ascii="Arial" w:eastAsia="Arial" w:hAnsi="Arial" w:cs="Arial"/>
                <w:color w:val="000000"/>
                <w:sz w:val="16"/>
              </w:rPr>
              <w:t xml:space="preserve"> 68,554 </w:t>
            </w:r>
          </w:p>
        </w:tc>
        <w:tc>
          <w:tcPr>
            <w:tcW w:w="930" w:type="dxa"/>
            <w:tcBorders>
              <w:top w:val="nil"/>
              <w:left w:val="nil"/>
              <w:bottom w:val="nil"/>
              <w:right w:val="nil"/>
              <w:tl2br w:val="nil"/>
              <w:tr2bl w:val="nil"/>
            </w:tcBorders>
            <w:shd w:val="clear" w:color="auto" w:fill="FFFF00"/>
            <w:tcMar>
              <w:left w:w="101" w:type="dxa"/>
              <w:right w:w="101" w:type="dxa"/>
            </w:tcMar>
            <w:vAlign w:val="bottom"/>
          </w:tcPr>
          <w:p w14:paraId="6E67165F" w14:textId="77777777" w:rsidR="003F0EEA" w:rsidRPr="0092199D" w:rsidRDefault="00FB7D0B">
            <w:pPr>
              <w:jc w:val="right"/>
              <w:rPr>
                <w:rFonts w:ascii="Arial" w:eastAsia="Arial" w:hAnsi="Arial" w:cs="Arial"/>
                <w:color w:val="000000"/>
                <w:sz w:val="16"/>
              </w:rPr>
            </w:pPr>
            <w:r w:rsidRPr="0092199D">
              <w:rPr>
                <w:rFonts w:ascii="Arial" w:eastAsia="Arial" w:hAnsi="Arial" w:cs="Arial"/>
                <w:color w:val="000000"/>
                <w:sz w:val="16"/>
              </w:rPr>
              <w:t xml:space="preserve"> 67,198 </w:t>
            </w:r>
          </w:p>
        </w:tc>
        <w:tc>
          <w:tcPr>
            <w:tcW w:w="930" w:type="dxa"/>
            <w:tcBorders>
              <w:top w:val="nil"/>
              <w:left w:val="nil"/>
              <w:bottom w:val="nil"/>
              <w:right w:val="nil"/>
              <w:tl2br w:val="nil"/>
              <w:tr2bl w:val="nil"/>
            </w:tcBorders>
            <w:shd w:val="clear" w:color="auto" w:fill="FFFFFF"/>
            <w:tcMar>
              <w:left w:w="101" w:type="dxa"/>
              <w:right w:w="101" w:type="dxa"/>
            </w:tcMar>
            <w:vAlign w:val="bottom"/>
          </w:tcPr>
          <w:p w14:paraId="03D225BD" w14:textId="77777777" w:rsidR="003F0EEA" w:rsidRPr="0092199D" w:rsidRDefault="00FB7D0B">
            <w:pPr>
              <w:jc w:val="right"/>
              <w:rPr>
                <w:rFonts w:ascii="Arial" w:eastAsia="Arial" w:hAnsi="Arial" w:cs="Arial"/>
                <w:color w:val="000000"/>
                <w:sz w:val="16"/>
              </w:rPr>
            </w:pPr>
            <w:r w:rsidRPr="0092199D">
              <w:rPr>
                <w:rFonts w:ascii="Arial" w:eastAsia="Arial" w:hAnsi="Arial" w:cs="Arial"/>
                <w:color w:val="000000"/>
                <w:sz w:val="16"/>
              </w:rPr>
              <w:t xml:space="preserve"> 63,818 </w:t>
            </w:r>
          </w:p>
        </w:tc>
        <w:tc>
          <w:tcPr>
            <w:tcW w:w="975" w:type="dxa"/>
            <w:tcBorders>
              <w:top w:val="nil"/>
              <w:left w:val="nil"/>
              <w:bottom w:val="nil"/>
              <w:right w:val="nil"/>
              <w:tl2br w:val="nil"/>
              <w:tr2bl w:val="nil"/>
            </w:tcBorders>
            <w:shd w:val="clear" w:color="auto" w:fill="FFFFFF"/>
            <w:tcMar>
              <w:left w:w="101" w:type="dxa"/>
              <w:right w:w="101" w:type="dxa"/>
            </w:tcMar>
            <w:vAlign w:val="bottom"/>
          </w:tcPr>
          <w:p w14:paraId="2FFE7471" w14:textId="77777777" w:rsidR="003F0EEA" w:rsidRPr="0092199D" w:rsidRDefault="00FB7D0B">
            <w:pPr>
              <w:jc w:val="right"/>
              <w:rPr>
                <w:rFonts w:ascii="Arial" w:eastAsia="Arial" w:hAnsi="Arial" w:cs="Arial"/>
                <w:color w:val="000000"/>
                <w:sz w:val="16"/>
              </w:rPr>
            </w:pPr>
            <w:r w:rsidRPr="0092199D">
              <w:rPr>
                <w:rFonts w:ascii="Arial" w:eastAsia="Arial" w:hAnsi="Arial" w:cs="Arial"/>
                <w:color w:val="000000"/>
                <w:sz w:val="16"/>
              </w:rPr>
              <w:t xml:space="preserve"> 61,447 </w:t>
            </w:r>
          </w:p>
        </w:tc>
        <w:tc>
          <w:tcPr>
            <w:tcW w:w="975" w:type="dxa"/>
            <w:tcBorders>
              <w:top w:val="nil"/>
              <w:left w:val="nil"/>
              <w:bottom w:val="nil"/>
              <w:right w:val="nil"/>
              <w:tl2br w:val="nil"/>
              <w:tr2bl w:val="nil"/>
            </w:tcBorders>
            <w:shd w:val="clear" w:color="auto" w:fill="FFFFFF"/>
            <w:tcMar>
              <w:left w:w="101" w:type="dxa"/>
              <w:right w:w="101" w:type="dxa"/>
            </w:tcMar>
            <w:vAlign w:val="bottom"/>
          </w:tcPr>
          <w:p w14:paraId="4FC5D00B" w14:textId="77777777" w:rsidR="003F0EEA" w:rsidRPr="0092199D" w:rsidRDefault="00FB7D0B">
            <w:pPr>
              <w:jc w:val="right"/>
              <w:rPr>
                <w:rFonts w:ascii="Arial" w:eastAsia="Arial" w:hAnsi="Arial" w:cs="Arial"/>
                <w:color w:val="000000"/>
                <w:sz w:val="16"/>
              </w:rPr>
            </w:pPr>
            <w:r w:rsidRPr="0092199D">
              <w:rPr>
                <w:rFonts w:ascii="Arial" w:eastAsia="Arial" w:hAnsi="Arial" w:cs="Arial"/>
                <w:color w:val="000000"/>
                <w:sz w:val="16"/>
              </w:rPr>
              <w:t xml:space="preserve"> 61,351 </w:t>
            </w:r>
          </w:p>
        </w:tc>
      </w:tr>
      <w:tr w:rsidR="00FB7D0B" w14:paraId="174A46D0" w14:textId="77777777" w:rsidTr="00FB7D0B">
        <w:trPr>
          <w:trHeight w:val="225"/>
        </w:trPr>
        <w:tc>
          <w:tcPr>
            <w:tcW w:w="180" w:type="dxa"/>
            <w:tcBorders>
              <w:top w:val="nil"/>
              <w:left w:val="nil"/>
              <w:bottom w:val="nil"/>
              <w:right w:val="nil"/>
              <w:tl2br w:val="nil"/>
              <w:tr2bl w:val="nil"/>
            </w:tcBorders>
            <w:shd w:val="clear" w:color="auto" w:fill="FFFFFF"/>
            <w:tcMar>
              <w:left w:w="101" w:type="dxa"/>
              <w:right w:w="101" w:type="dxa"/>
            </w:tcMar>
            <w:vAlign w:val="bottom"/>
          </w:tcPr>
          <w:p w14:paraId="72569FFB" w14:textId="77777777" w:rsidR="003F0EEA" w:rsidRPr="0092199D" w:rsidRDefault="003F0EEA">
            <w:pPr>
              <w:rPr>
                <w:rFonts w:ascii="Arial" w:eastAsia="Arial" w:hAnsi="Arial" w:cs="Arial"/>
                <w:color w:val="000000"/>
                <w:sz w:val="16"/>
              </w:rPr>
            </w:pPr>
          </w:p>
        </w:tc>
        <w:tc>
          <w:tcPr>
            <w:tcW w:w="2880" w:type="dxa"/>
            <w:gridSpan w:val="2"/>
            <w:vMerge w:val="restart"/>
            <w:tcBorders>
              <w:top w:val="nil"/>
              <w:left w:val="nil"/>
              <w:bottom w:val="nil"/>
              <w:right w:val="nil"/>
              <w:tl2br w:val="nil"/>
              <w:tr2bl w:val="nil"/>
            </w:tcBorders>
            <w:shd w:val="clear" w:color="auto" w:fill="FFFFFF"/>
            <w:tcMar>
              <w:left w:w="101" w:type="dxa"/>
              <w:right w:w="101" w:type="dxa"/>
            </w:tcMar>
            <w:vAlign w:val="bottom"/>
          </w:tcPr>
          <w:p w14:paraId="00445DFE" w14:textId="77777777" w:rsidR="003F0EEA" w:rsidRPr="0092199D" w:rsidRDefault="00FB7D0B">
            <w:pPr>
              <w:rPr>
                <w:rFonts w:ascii="Arial" w:eastAsia="Arial" w:hAnsi="Arial" w:cs="Arial"/>
                <w:b/>
                <w:color w:val="000000"/>
                <w:sz w:val="16"/>
              </w:rPr>
            </w:pPr>
            <w:r w:rsidRPr="0092199D">
              <w:rPr>
                <w:rFonts w:ascii="Arial" w:eastAsia="Arial" w:hAnsi="Arial" w:cs="Arial"/>
                <w:color w:val="000000"/>
                <w:sz w:val="16"/>
              </w:rPr>
              <w:t>Other provisions</w:t>
            </w:r>
          </w:p>
        </w:tc>
        <w:tc>
          <w:tcPr>
            <w:tcW w:w="930"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59D68BD9" w14:textId="77777777" w:rsidR="003F0EEA" w:rsidRPr="0092199D" w:rsidRDefault="00FB7D0B">
            <w:pPr>
              <w:jc w:val="right"/>
              <w:rPr>
                <w:rFonts w:ascii="Arial" w:eastAsia="Arial" w:hAnsi="Arial" w:cs="Arial"/>
                <w:color w:val="000000"/>
                <w:sz w:val="16"/>
              </w:rPr>
            </w:pPr>
            <w:r w:rsidRPr="0092199D">
              <w:rPr>
                <w:rFonts w:ascii="Arial" w:eastAsia="Arial" w:hAnsi="Arial" w:cs="Arial"/>
                <w:color w:val="000000"/>
                <w:sz w:val="16"/>
              </w:rPr>
              <w:t xml:space="preserve"> 19,060 </w:t>
            </w:r>
          </w:p>
        </w:tc>
        <w:tc>
          <w:tcPr>
            <w:tcW w:w="930" w:type="dxa"/>
            <w:tcBorders>
              <w:top w:val="nil"/>
              <w:left w:val="nil"/>
              <w:bottom w:val="single" w:sz="6" w:space="0" w:color="000000"/>
              <w:right w:val="nil"/>
              <w:tl2br w:val="nil"/>
              <w:tr2bl w:val="nil"/>
            </w:tcBorders>
            <w:shd w:val="clear" w:color="auto" w:fill="FFFF00"/>
            <w:tcMar>
              <w:left w:w="101" w:type="dxa"/>
              <w:right w:w="101" w:type="dxa"/>
            </w:tcMar>
            <w:vAlign w:val="bottom"/>
          </w:tcPr>
          <w:p w14:paraId="16BFF4FA" w14:textId="77777777" w:rsidR="003F0EEA" w:rsidRPr="0092199D" w:rsidRDefault="00FB7D0B">
            <w:pPr>
              <w:jc w:val="right"/>
              <w:rPr>
                <w:rFonts w:ascii="Arial" w:eastAsia="Arial" w:hAnsi="Arial" w:cs="Arial"/>
                <w:color w:val="000000"/>
                <w:sz w:val="16"/>
              </w:rPr>
            </w:pPr>
            <w:r w:rsidRPr="0092199D">
              <w:rPr>
                <w:rFonts w:ascii="Arial" w:eastAsia="Arial" w:hAnsi="Arial" w:cs="Arial"/>
                <w:color w:val="000000"/>
                <w:sz w:val="16"/>
              </w:rPr>
              <w:t xml:space="preserve"> 18,315 </w:t>
            </w:r>
          </w:p>
        </w:tc>
        <w:tc>
          <w:tcPr>
            <w:tcW w:w="930"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5D25E752" w14:textId="77777777" w:rsidR="003F0EEA" w:rsidRPr="0092199D" w:rsidRDefault="00FB7D0B">
            <w:pPr>
              <w:jc w:val="right"/>
              <w:rPr>
                <w:rFonts w:ascii="Arial" w:eastAsia="Arial" w:hAnsi="Arial" w:cs="Arial"/>
                <w:color w:val="000000"/>
                <w:sz w:val="16"/>
              </w:rPr>
            </w:pPr>
            <w:r w:rsidRPr="0092199D">
              <w:rPr>
                <w:rFonts w:ascii="Arial" w:eastAsia="Arial" w:hAnsi="Arial" w:cs="Arial"/>
                <w:color w:val="000000"/>
                <w:sz w:val="16"/>
              </w:rPr>
              <w:t xml:space="preserve"> 16,426 </w:t>
            </w:r>
          </w:p>
        </w:tc>
        <w:tc>
          <w:tcPr>
            <w:tcW w:w="975"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12282017" w14:textId="77777777" w:rsidR="003F0EEA" w:rsidRPr="0092199D" w:rsidRDefault="00FB7D0B">
            <w:pPr>
              <w:jc w:val="right"/>
              <w:rPr>
                <w:rFonts w:ascii="Arial" w:eastAsia="Arial" w:hAnsi="Arial" w:cs="Arial"/>
                <w:color w:val="000000"/>
                <w:sz w:val="16"/>
              </w:rPr>
            </w:pPr>
            <w:r w:rsidRPr="0092199D">
              <w:rPr>
                <w:rFonts w:ascii="Arial" w:eastAsia="Arial" w:hAnsi="Arial" w:cs="Arial"/>
                <w:color w:val="000000"/>
                <w:sz w:val="16"/>
              </w:rPr>
              <w:t xml:space="preserve"> 14,375 </w:t>
            </w:r>
          </w:p>
        </w:tc>
        <w:tc>
          <w:tcPr>
            <w:tcW w:w="975"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2863CA07" w14:textId="77777777" w:rsidR="003F0EEA" w:rsidRPr="0092199D" w:rsidRDefault="00FB7D0B">
            <w:pPr>
              <w:jc w:val="right"/>
              <w:rPr>
                <w:rFonts w:ascii="Arial" w:eastAsia="Arial" w:hAnsi="Arial" w:cs="Arial"/>
                <w:color w:val="000000"/>
                <w:sz w:val="16"/>
              </w:rPr>
            </w:pPr>
            <w:r w:rsidRPr="0092199D">
              <w:rPr>
                <w:rFonts w:ascii="Arial" w:eastAsia="Arial" w:hAnsi="Arial" w:cs="Arial"/>
                <w:color w:val="000000"/>
                <w:sz w:val="16"/>
              </w:rPr>
              <w:t xml:space="preserve"> 12,144 </w:t>
            </w:r>
          </w:p>
        </w:tc>
      </w:tr>
      <w:tr w:rsidR="00FB7D0B" w14:paraId="6A152C0F" w14:textId="77777777" w:rsidTr="00FB7D0B">
        <w:trPr>
          <w:trHeight w:val="225"/>
        </w:trPr>
        <w:tc>
          <w:tcPr>
            <w:tcW w:w="3060" w:type="dxa"/>
            <w:gridSpan w:val="3"/>
            <w:tcBorders>
              <w:top w:val="nil"/>
              <w:left w:val="nil"/>
              <w:bottom w:val="nil"/>
              <w:right w:val="nil"/>
              <w:tl2br w:val="nil"/>
              <w:tr2bl w:val="nil"/>
            </w:tcBorders>
            <w:shd w:val="clear" w:color="auto" w:fill="FFFFFF"/>
            <w:tcMar>
              <w:left w:w="101" w:type="dxa"/>
              <w:right w:w="101" w:type="dxa"/>
            </w:tcMar>
            <w:vAlign w:val="bottom"/>
          </w:tcPr>
          <w:p w14:paraId="178B4BFE" w14:textId="77777777" w:rsidR="003F0EEA" w:rsidRPr="0092199D" w:rsidRDefault="00FB7D0B">
            <w:pPr>
              <w:rPr>
                <w:rFonts w:ascii="Arial" w:eastAsia="Arial" w:hAnsi="Arial" w:cs="Arial"/>
                <w:color w:val="000000"/>
                <w:sz w:val="16"/>
              </w:rPr>
            </w:pPr>
            <w:r w:rsidRPr="0092199D">
              <w:rPr>
                <w:rFonts w:ascii="Arial" w:eastAsia="Arial" w:hAnsi="Arial" w:cs="Arial"/>
                <w:b/>
                <w:color w:val="000000"/>
                <w:sz w:val="16"/>
              </w:rPr>
              <w:t>Total provisions</w:t>
            </w:r>
          </w:p>
        </w:tc>
        <w:tc>
          <w:tcPr>
            <w:tcW w:w="930"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55EF0C1D" w14:textId="77777777" w:rsidR="003F0EEA" w:rsidRPr="0092199D" w:rsidRDefault="00FB7D0B">
            <w:pPr>
              <w:jc w:val="right"/>
              <w:rPr>
                <w:rFonts w:ascii="Arial" w:eastAsia="Arial" w:hAnsi="Arial" w:cs="Arial"/>
                <w:b/>
                <w:color w:val="000000"/>
                <w:sz w:val="16"/>
              </w:rPr>
            </w:pPr>
            <w:r w:rsidRPr="0092199D">
              <w:rPr>
                <w:rFonts w:ascii="Arial" w:eastAsia="Arial" w:hAnsi="Arial" w:cs="Arial"/>
                <w:b/>
                <w:color w:val="000000"/>
                <w:sz w:val="16"/>
              </w:rPr>
              <w:t xml:space="preserve"> 87,614 </w:t>
            </w:r>
          </w:p>
        </w:tc>
        <w:tc>
          <w:tcPr>
            <w:tcW w:w="930" w:type="dxa"/>
            <w:tcBorders>
              <w:top w:val="single" w:sz="6" w:space="0" w:color="000000"/>
              <w:left w:val="nil"/>
              <w:bottom w:val="single" w:sz="6" w:space="0" w:color="000000"/>
              <w:right w:val="nil"/>
              <w:tl2br w:val="nil"/>
              <w:tr2bl w:val="nil"/>
            </w:tcBorders>
            <w:shd w:val="clear" w:color="auto" w:fill="FFFF00"/>
            <w:tcMar>
              <w:left w:w="101" w:type="dxa"/>
              <w:right w:w="101" w:type="dxa"/>
            </w:tcMar>
            <w:vAlign w:val="bottom"/>
          </w:tcPr>
          <w:p w14:paraId="4EB0A141" w14:textId="77777777" w:rsidR="003F0EEA" w:rsidRPr="0092199D" w:rsidRDefault="00FB7D0B">
            <w:pPr>
              <w:jc w:val="right"/>
              <w:rPr>
                <w:rFonts w:ascii="Arial" w:eastAsia="Arial" w:hAnsi="Arial" w:cs="Arial"/>
                <w:b/>
                <w:color w:val="000000"/>
                <w:sz w:val="16"/>
              </w:rPr>
            </w:pPr>
            <w:r w:rsidRPr="0092199D">
              <w:rPr>
                <w:rFonts w:ascii="Arial" w:eastAsia="Arial" w:hAnsi="Arial" w:cs="Arial"/>
                <w:b/>
                <w:color w:val="000000"/>
                <w:sz w:val="16"/>
              </w:rPr>
              <w:t xml:space="preserve"> 85,513 </w:t>
            </w:r>
          </w:p>
        </w:tc>
        <w:tc>
          <w:tcPr>
            <w:tcW w:w="930"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692729F4" w14:textId="77777777" w:rsidR="003F0EEA" w:rsidRPr="0092199D" w:rsidRDefault="00FB7D0B">
            <w:pPr>
              <w:jc w:val="right"/>
              <w:rPr>
                <w:rFonts w:ascii="Arial" w:eastAsia="Arial" w:hAnsi="Arial" w:cs="Arial"/>
                <w:b/>
                <w:color w:val="000000"/>
                <w:sz w:val="16"/>
              </w:rPr>
            </w:pPr>
            <w:r w:rsidRPr="0092199D">
              <w:rPr>
                <w:rFonts w:ascii="Arial" w:eastAsia="Arial" w:hAnsi="Arial" w:cs="Arial"/>
                <w:b/>
                <w:color w:val="000000"/>
                <w:sz w:val="16"/>
              </w:rPr>
              <w:t xml:space="preserve"> 80,244 </w:t>
            </w:r>
          </w:p>
        </w:tc>
        <w:tc>
          <w:tcPr>
            <w:tcW w:w="975"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1E8172B3" w14:textId="77777777" w:rsidR="003F0EEA" w:rsidRPr="0092199D" w:rsidRDefault="00FB7D0B">
            <w:pPr>
              <w:jc w:val="right"/>
              <w:rPr>
                <w:rFonts w:ascii="Arial" w:eastAsia="Arial" w:hAnsi="Arial" w:cs="Arial"/>
                <w:b/>
                <w:color w:val="000000"/>
                <w:sz w:val="16"/>
              </w:rPr>
            </w:pPr>
            <w:r w:rsidRPr="0092199D">
              <w:rPr>
                <w:rFonts w:ascii="Arial" w:eastAsia="Arial" w:hAnsi="Arial" w:cs="Arial"/>
                <w:b/>
                <w:color w:val="000000"/>
                <w:sz w:val="16"/>
              </w:rPr>
              <w:t xml:space="preserve"> 75,822 </w:t>
            </w:r>
          </w:p>
        </w:tc>
        <w:tc>
          <w:tcPr>
            <w:tcW w:w="975"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6719F692" w14:textId="77777777" w:rsidR="003F0EEA" w:rsidRPr="0092199D" w:rsidRDefault="00FB7D0B">
            <w:pPr>
              <w:jc w:val="right"/>
              <w:rPr>
                <w:rFonts w:ascii="Arial" w:eastAsia="Arial" w:hAnsi="Arial" w:cs="Arial"/>
                <w:b/>
                <w:color w:val="000000"/>
                <w:sz w:val="16"/>
              </w:rPr>
            </w:pPr>
            <w:r w:rsidRPr="0092199D">
              <w:rPr>
                <w:rFonts w:ascii="Arial" w:eastAsia="Arial" w:hAnsi="Arial" w:cs="Arial"/>
                <w:b/>
                <w:color w:val="000000"/>
                <w:sz w:val="16"/>
              </w:rPr>
              <w:t xml:space="preserve"> 73,495 </w:t>
            </w:r>
          </w:p>
        </w:tc>
      </w:tr>
      <w:tr w:rsidR="00FB7D0B" w14:paraId="198B52EC" w14:textId="77777777" w:rsidTr="00FB7D0B">
        <w:trPr>
          <w:trHeight w:val="225"/>
        </w:trPr>
        <w:tc>
          <w:tcPr>
            <w:tcW w:w="3060" w:type="dxa"/>
            <w:gridSpan w:val="3"/>
            <w:tcBorders>
              <w:top w:val="nil"/>
              <w:left w:val="nil"/>
              <w:bottom w:val="nil"/>
              <w:right w:val="nil"/>
              <w:tl2br w:val="nil"/>
              <w:tr2bl w:val="nil"/>
            </w:tcBorders>
            <w:shd w:val="clear" w:color="auto" w:fill="FFFFFF"/>
            <w:tcMar>
              <w:left w:w="101" w:type="dxa"/>
              <w:right w:w="101" w:type="dxa"/>
            </w:tcMar>
            <w:vAlign w:val="bottom"/>
          </w:tcPr>
          <w:p w14:paraId="4948204D" w14:textId="77777777" w:rsidR="003F0EEA" w:rsidRPr="0092199D" w:rsidRDefault="00FB7D0B">
            <w:pPr>
              <w:rPr>
                <w:rFonts w:ascii="Arial" w:eastAsia="Arial" w:hAnsi="Arial" w:cs="Arial"/>
                <w:b/>
                <w:color w:val="000000"/>
                <w:sz w:val="16"/>
              </w:rPr>
            </w:pPr>
            <w:r w:rsidRPr="0092199D">
              <w:rPr>
                <w:rFonts w:ascii="Arial" w:eastAsia="Arial" w:hAnsi="Arial" w:cs="Arial"/>
                <w:b/>
                <w:color w:val="000000"/>
                <w:sz w:val="16"/>
              </w:rPr>
              <w:t>Total liabilities</w:t>
            </w:r>
          </w:p>
        </w:tc>
        <w:tc>
          <w:tcPr>
            <w:tcW w:w="930"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6F0C168B" w14:textId="77777777" w:rsidR="003F0EEA" w:rsidRPr="0092199D" w:rsidRDefault="00FB7D0B">
            <w:pPr>
              <w:jc w:val="right"/>
              <w:rPr>
                <w:rFonts w:ascii="Arial" w:eastAsia="Arial" w:hAnsi="Arial" w:cs="Arial"/>
                <w:b/>
                <w:color w:val="000000"/>
                <w:sz w:val="16"/>
              </w:rPr>
            </w:pPr>
            <w:r w:rsidRPr="0092199D">
              <w:rPr>
                <w:rFonts w:ascii="Arial" w:eastAsia="Arial" w:hAnsi="Arial" w:cs="Arial"/>
                <w:b/>
                <w:color w:val="000000"/>
                <w:sz w:val="16"/>
              </w:rPr>
              <w:t xml:space="preserve"> 127,119 </w:t>
            </w:r>
          </w:p>
        </w:tc>
        <w:tc>
          <w:tcPr>
            <w:tcW w:w="930" w:type="dxa"/>
            <w:tcBorders>
              <w:top w:val="single" w:sz="6" w:space="0" w:color="000000"/>
              <w:left w:val="nil"/>
              <w:bottom w:val="single" w:sz="6" w:space="0" w:color="000000"/>
              <w:right w:val="nil"/>
              <w:tl2br w:val="nil"/>
              <w:tr2bl w:val="nil"/>
            </w:tcBorders>
            <w:shd w:val="clear" w:color="auto" w:fill="FFFF00"/>
            <w:tcMar>
              <w:left w:w="101" w:type="dxa"/>
              <w:right w:w="101" w:type="dxa"/>
            </w:tcMar>
            <w:vAlign w:val="bottom"/>
          </w:tcPr>
          <w:p w14:paraId="3DC9B3E7" w14:textId="77777777" w:rsidR="003F0EEA" w:rsidRPr="0092199D" w:rsidRDefault="00FB7D0B">
            <w:pPr>
              <w:jc w:val="right"/>
              <w:rPr>
                <w:rFonts w:ascii="Arial" w:eastAsia="Arial" w:hAnsi="Arial" w:cs="Arial"/>
                <w:b/>
                <w:color w:val="000000"/>
                <w:sz w:val="16"/>
              </w:rPr>
            </w:pPr>
            <w:r w:rsidRPr="0092199D">
              <w:rPr>
                <w:rFonts w:ascii="Arial" w:eastAsia="Arial" w:hAnsi="Arial" w:cs="Arial"/>
                <w:b/>
                <w:color w:val="000000"/>
                <w:sz w:val="16"/>
              </w:rPr>
              <w:t xml:space="preserve"> 125,160 </w:t>
            </w:r>
          </w:p>
        </w:tc>
        <w:tc>
          <w:tcPr>
            <w:tcW w:w="930"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7E0783D9" w14:textId="77777777" w:rsidR="003F0EEA" w:rsidRPr="0092199D" w:rsidRDefault="00FB7D0B">
            <w:pPr>
              <w:jc w:val="right"/>
              <w:rPr>
                <w:rFonts w:ascii="Arial" w:eastAsia="Arial" w:hAnsi="Arial" w:cs="Arial"/>
                <w:b/>
                <w:color w:val="000000"/>
                <w:sz w:val="16"/>
              </w:rPr>
            </w:pPr>
            <w:r w:rsidRPr="0092199D">
              <w:rPr>
                <w:rFonts w:ascii="Arial" w:eastAsia="Arial" w:hAnsi="Arial" w:cs="Arial"/>
                <w:b/>
                <w:color w:val="000000"/>
                <w:sz w:val="16"/>
              </w:rPr>
              <w:t xml:space="preserve"> 120,838 </w:t>
            </w:r>
          </w:p>
        </w:tc>
        <w:tc>
          <w:tcPr>
            <w:tcW w:w="975"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015A215C" w14:textId="77777777" w:rsidR="003F0EEA" w:rsidRPr="0092199D" w:rsidRDefault="00FB7D0B">
            <w:pPr>
              <w:jc w:val="right"/>
              <w:rPr>
                <w:rFonts w:ascii="Arial" w:eastAsia="Arial" w:hAnsi="Arial" w:cs="Arial"/>
                <w:b/>
                <w:color w:val="000000"/>
                <w:sz w:val="16"/>
              </w:rPr>
            </w:pPr>
            <w:r w:rsidRPr="0092199D">
              <w:rPr>
                <w:rFonts w:ascii="Arial" w:eastAsia="Arial" w:hAnsi="Arial" w:cs="Arial"/>
                <w:b/>
                <w:color w:val="000000"/>
                <w:sz w:val="16"/>
              </w:rPr>
              <w:t xml:space="preserve"> 117,639 </w:t>
            </w:r>
          </w:p>
        </w:tc>
        <w:tc>
          <w:tcPr>
            <w:tcW w:w="975"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79BE6DE8" w14:textId="77777777" w:rsidR="003F0EEA" w:rsidRPr="0092199D" w:rsidRDefault="00FB7D0B">
            <w:pPr>
              <w:jc w:val="right"/>
              <w:rPr>
                <w:rFonts w:ascii="Arial" w:eastAsia="Arial" w:hAnsi="Arial" w:cs="Arial"/>
                <w:b/>
                <w:color w:val="000000"/>
                <w:sz w:val="16"/>
              </w:rPr>
            </w:pPr>
            <w:r w:rsidRPr="0092199D">
              <w:rPr>
                <w:rFonts w:ascii="Arial" w:eastAsia="Arial" w:hAnsi="Arial" w:cs="Arial"/>
                <w:b/>
                <w:color w:val="000000"/>
                <w:sz w:val="16"/>
              </w:rPr>
              <w:t xml:space="preserve"> 116,141 </w:t>
            </w:r>
          </w:p>
        </w:tc>
      </w:tr>
      <w:tr w:rsidR="00724034" w14:paraId="7D65F225" w14:textId="77777777">
        <w:trPr>
          <w:trHeight w:hRule="exact" w:val="90"/>
        </w:trPr>
        <w:tc>
          <w:tcPr>
            <w:tcW w:w="180" w:type="dxa"/>
            <w:tcBorders>
              <w:top w:val="nil"/>
              <w:left w:val="nil"/>
              <w:bottom w:val="nil"/>
              <w:right w:val="nil"/>
              <w:tl2br w:val="nil"/>
              <w:tr2bl w:val="nil"/>
            </w:tcBorders>
            <w:shd w:val="clear" w:color="auto" w:fill="FFFFFF"/>
            <w:tcMar>
              <w:left w:w="101" w:type="dxa"/>
              <w:right w:w="101" w:type="dxa"/>
            </w:tcMar>
            <w:vAlign w:val="bottom"/>
          </w:tcPr>
          <w:p w14:paraId="10F8ED7F" w14:textId="77777777" w:rsidR="003F0EEA" w:rsidRPr="0092199D" w:rsidRDefault="003F0EEA">
            <w:pPr>
              <w:rPr>
                <w:rFonts w:ascii="Arial" w:eastAsia="Arial" w:hAnsi="Arial" w:cs="Arial"/>
                <w:b/>
                <w:color w:val="000000"/>
                <w:sz w:val="16"/>
              </w:rPr>
            </w:pPr>
          </w:p>
        </w:tc>
        <w:tc>
          <w:tcPr>
            <w:tcW w:w="180" w:type="dxa"/>
            <w:tcBorders>
              <w:top w:val="nil"/>
              <w:left w:val="nil"/>
              <w:bottom w:val="nil"/>
              <w:right w:val="nil"/>
              <w:tl2br w:val="nil"/>
              <w:tr2bl w:val="nil"/>
            </w:tcBorders>
            <w:shd w:val="clear" w:color="auto" w:fill="FFFFFF"/>
            <w:tcMar>
              <w:left w:w="101" w:type="dxa"/>
              <w:right w:w="101" w:type="dxa"/>
            </w:tcMar>
            <w:vAlign w:val="bottom"/>
          </w:tcPr>
          <w:p w14:paraId="38BBD8BC" w14:textId="77777777" w:rsidR="003F0EEA" w:rsidRPr="0092199D" w:rsidRDefault="003F0EEA">
            <w:pPr>
              <w:rPr>
                <w:rFonts w:ascii="Arial" w:eastAsia="Arial" w:hAnsi="Arial" w:cs="Arial"/>
                <w:color w:val="000000"/>
                <w:sz w:val="16"/>
              </w:rPr>
            </w:pPr>
          </w:p>
        </w:tc>
        <w:tc>
          <w:tcPr>
            <w:tcW w:w="2700" w:type="dxa"/>
            <w:tcBorders>
              <w:top w:val="nil"/>
              <w:left w:val="nil"/>
              <w:bottom w:val="nil"/>
              <w:right w:val="nil"/>
              <w:tl2br w:val="nil"/>
              <w:tr2bl w:val="nil"/>
            </w:tcBorders>
            <w:shd w:val="clear" w:color="auto" w:fill="FFFFFF"/>
            <w:tcMar>
              <w:left w:w="101" w:type="dxa"/>
              <w:right w:w="101" w:type="dxa"/>
            </w:tcMar>
            <w:vAlign w:val="bottom"/>
          </w:tcPr>
          <w:p w14:paraId="19767599" w14:textId="77777777" w:rsidR="003F0EEA" w:rsidRPr="0092199D" w:rsidRDefault="003F0EEA">
            <w:pPr>
              <w:rPr>
                <w:rFonts w:ascii="Arial" w:eastAsia="Arial" w:hAnsi="Arial" w:cs="Arial"/>
                <w:color w:val="000000"/>
                <w:sz w:val="16"/>
              </w:rPr>
            </w:pPr>
          </w:p>
        </w:tc>
        <w:tc>
          <w:tcPr>
            <w:tcW w:w="930"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708A2521" w14:textId="77777777" w:rsidR="003F0EEA" w:rsidRPr="0092199D" w:rsidRDefault="003F0EEA">
            <w:pPr>
              <w:rPr>
                <w:rFonts w:ascii="Arial" w:eastAsia="Arial" w:hAnsi="Arial" w:cs="Arial"/>
                <w:color w:val="000000"/>
                <w:sz w:val="16"/>
              </w:rPr>
            </w:pPr>
          </w:p>
        </w:tc>
        <w:tc>
          <w:tcPr>
            <w:tcW w:w="930" w:type="dxa"/>
            <w:tcBorders>
              <w:top w:val="single" w:sz="6" w:space="0" w:color="000000"/>
              <w:left w:val="nil"/>
              <w:bottom w:val="nil"/>
              <w:right w:val="nil"/>
              <w:tl2br w:val="nil"/>
              <w:tr2bl w:val="nil"/>
            </w:tcBorders>
            <w:shd w:val="clear" w:color="auto" w:fill="FFFF00"/>
            <w:tcMar>
              <w:left w:w="101" w:type="dxa"/>
              <w:right w:w="101" w:type="dxa"/>
            </w:tcMar>
            <w:vAlign w:val="bottom"/>
          </w:tcPr>
          <w:p w14:paraId="7EBF45D1" w14:textId="77777777" w:rsidR="003F0EEA" w:rsidRPr="0092199D" w:rsidRDefault="003F0EEA">
            <w:pPr>
              <w:rPr>
                <w:rFonts w:ascii="Arial" w:eastAsia="Arial" w:hAnsi="Arial" w:cs="Arial"/>
                <w:color w:val="000000"/>
                <w:sz w:val="16"/>
              </w:rPr>
            </w:pPr>
          </w:p>
        </w:tc>
        <w:tc>
          <w:tcPr>
            <w:tcW w:w="930"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0AE6533F" w14:textId="77777777" w:rsidR="003F0EEA" w:rsidRPr="0092199D" w:rsidRDefault="003F0EEA">
            <w:pPr>
              <w:rPr>
                <w:rFonts w:ascii="Arial" w:eastAsia="Arial" w:hAnsi="Arial" w:cs="Arial"/>
                <w:color w:val="000000"/>
                <w:sz w:val="16"/>
              </w:rPr>
            </w:pPr>
          </w:p>
        </w:tc>
        <w:tc>
          <w:tcPr>
            <w:tcW w:w="97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41145627" w14:textId="77777777" w:rsidR="003F0EEA" w:rsidRPr="0092199D" w:rsidRDefault="003F0EEA">
            <w:pPr>
              <w:rPr>
                <w:rFonts w:ascii="Arial" w:eastAsia="Arial" w:hAnsi="Arial" w:cs="Arial"/>
                <w:color w:val="000000"/>
                <w:sz w:val="16"/>
              </w:rPr>
            </w:pPr>
          </w:p>
        </w:tc>
        <w:tc>
          <w:tcPr>
            <w:tcW w:w="97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4439EDD6" w14:textId="77777777" w:rsidR="003F0EEA" w:rsidRPr="0092199D" w:rsidRDefault="003F0EEA">
            <w:pPr>
              <w:rPr>
                <w:rFonts w:ascii="Arial" w:eastAsia="Arial" w:hAnsi="Arial" w:cs="Arial"/>
                <w:color w:val="000000"/>
                <w:sz w:val="16"/>
              </w:rPr>
            </w:pPr>
          </w:p>
        </w:tc>
      </w:tr>
      <w:tr w:rsidR="00FB7D0B" w14:paraId="2BC114F5" w14:textId="77777777" w:rsidTr="00FB7D0B">
        <w:trPr>
          <w:trHeight w:val="225"/>
        </w:trPr>
        <w:tc>
          <w:tcPr>
            <w:tcW w:w="3060" w:type="dxa"/>
            <w:gridSpan w:val="3"/>
            <w:tcBorders>
              <w:top w:val="nil"/>
              <w:left w:val="nil"/>
              <w:bottom w:val="nil"/>
              <w:right w:val="nil"/>
              <w:tl2br w:val="nil"/>
              <w:tr2bl w:val="nil"/>
            </w:tcBorders>
            <w:shd w:val="clear" w:color="auto" w:fill="FFFFFF"/>
            <w:tcMar>
              <w:left w:w="101" w:type="dxa"/>
              <w:right w:w="101" w:type="dxa"/>
            </w:tcMar>
            <w:vAlign w:val="bottom"/>
          </w:tcPr>
          <w:p w14:paraId="4B07799D" w14:textId="77777777" w:rsidR="003F0EEA" w:rsidRPr="0092199D" w:rsidRDefault="00FB7D0B">
            <w:pPr>
              <w:rPr>
                <w:rFonts w:ascii="Arial" w:eastAsia="Arial" w:hAnsi="Arial" w:cs="Arial"/>
                <w:color w:val="000000"/>
                <w:sz w:val="16"/>
              </w:rPr>
            </w:pPr>
            <w:r w:rsidRPr="0092199D">
              <w:rPr>
                <w:rFonts w:ascii="Arial" w:eastAsia="Arial" w:hAnsi="Arial" w:cs="Arial"/>
                <w:b/>
                <w:color w:val="000000"/>
                <w:sz w:val="16"/>
              </w:rPr>
              <w:t>Net assets</w:t>
            </w:r>
          </w:p>
        </w:tc>
        <w:tc>
          <w:tcPr>
            <w:tcW w:w="930"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78D165C1" w14:textId="77777777" w:rsidR="003F0EEA" w:rsidRPr="0092199D" w:rsidRDefault="00FB7D0B">
            <w:pPr>
              <w:jc w:val="right"/>
              <w:rPr>
                <w:rFonts w:ascii="Arial" w:eastAsia="Arial" w:hAnsi="Arial" w:cs="Arial"/>
                <w:b/>
                <w:color w:val="000000"/>
                <w:sz w:val="16"/>
              </w:rPr>
            </w:pPr>
            <w:r w:rsidRPr="0092199D">
              <w:rPr>
                <w:rFonts w:ascii="Arial" w:eastAsia="Arial" w:hAnsi="Arial" w:cs="Arial"/>
                <w:b/>
                <w:color w:val="000000"/>
                <w:sz w:val="16"/>
              </w:rPr>
              <w:t xml:space="preserve"> 89,347 </w:t>
            </w:r>
          </w:p>
        </w:tc>
        <w:tc>
          <w:tcPr>
            <w:tcW w:w="930" w:type="dxa"/>
            <w:tcBorders>
              <w:top w:val="nil"/>
              <w:left w:val="nil"/>
              <w:bottom w:val="single" w:sz="6" w:space="0" w:color="000000"/>
              <w:right w:val="nil"/>
              <w:tl2br w:val="nil"/>
              <w:tr2bl w:val="nil"/>
            </w:tcBorders>
            <w:shd w:val="clear" w:color="auto" w:fill="FFFF00"/>
            <w:tcMar>
              <w:left w:w="101" w:type="dxa"/>
              <w:right w:w="101" w:type="dxa"/>
            </w:tcMar>
            <w:vAlign w:val="bottom"/>
          </w:tcPr>
          <w:p w14:paraId="1439A8A2" w14:textId="77777777" w:rsidR="003F0EEA" w:rsidRPr="0092199D" w:rsidRDefault="00FB7D0B">
            <w:pPr>
              <w:jc w:val="right"/>
              <w:rPr>
                <w:rFonts w:ascii="Arial" w:eastAsia="Arial" w:hAnsi="Arial" w:cs="Arial"/>
                <w:b/>
                <w:color w:val="000000"/>
                <w:sz w:val="16"/>
              </w:rPr>
            </w:pPr>
            <w:r w:rsidRPr="0092199D">
              <w:rPr>
                <w:rFonts w:ascii="Arial" w:eastAsia="Arial" w:hAnsi="Arial" w:cs="Arial"/>
                <w:b/>
                <w:color w:val="000000"/>
                <w:sz w:val="16"/>
              </w:rPr>
              <w:t xml:space="preserve"> 76,272 </w:t>
            </w:r>
          </w:p>
        </w:tc>
        <w:tc>
          <w:tcPr>
            <w:tcW w:w="930"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03070AB9" w14:textId="77777777" w:rsidR="003F0EEA" w:rsidRPr="0092199D" w:rsidRDefault="00FB7D0B">
            <w:pPr>
              <w:jc w:val="right"/>
              <w:rPr>
                <w:rFonts w:ascii="Arial" w:eastAsia="Arial" w:hAnsi="Arial" w:cs="Arial"/>
                <w:b/>
                <w:color w:val="000000"/>
                <w:sz w:val="16"/>
              </w:rPr>
            </w:pPr>
            <w:r w:rsidRPr="0092199D">
              <w:rPr>
                <w:rFonts w:ascii="Arial" w:eastAsia="Arial" w:hAnsi="Arial" w:cs="Arial"/>
                <w:b/>
                <w:color w:val="000000"/>
                <w:sz w:val="16"/>
              </w:rPr>
              <w:t xml:space="preserve"> 65,612 </w:t>
            </w:r>
          </w:p>
        </w:tc>
        <w:tc>
          <w:tcPr>
            <w:tcW w:w="975"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403313B4" w14:textId="77777777" w:rsidR="003F0EEA" w:rsidRPr="0092199D" w:rsidRDefault="00FB7D0B">
            <w:pPr>
              <w:jc w:val="right"/>
              <w:rPr>
                <w:rFonts w:ascii="Arial" w:eastAsia="Arial" w:hAnsi="Arial" w:cs="Arial"/>
                <w:b/>
                <w:color w:val="000000"/>
                <w:sz w:val="16"/>
              </w:rPr>
            </w:pPr>
            <w:r w:rsidRPr="0092199D">
              <w:rPr>
                <w:rFonts w:ascii="Arial" w:eastAsia="Arial" w:hAnsi="Arial" w:cs="Arial"/>
                <w:b/>
                <w:color w:val="000000"/>
                <w:sz w:val="16"/>
              </w:rPr>
              <w:t xml:space="preserve"> 58,310 </w:t>
            </w:r>
          </w:p>
        </w:tc>
        <w:tc>
          <w:tcPr>
            <w:tcW w:w="975"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0287B896" w14:textId="77777777" w:rsidR="003F0EEA" w:rsidRPr="0092199D" w:rsidRDefault="00FB7D0B">
            <w:pPr>
              <w:jc w:val="right"/>
              <w:rPr>
                <w:rFonts w:ascii="Arial" w:eastAsia="Arial" w:hAnsi="Arial" w:cs="Arial"/>
                <w:b/>
                <w:color w:val="000000"/>
                <w:sz w:val="16"/>
              </w:rPr>
            </w:pPr>
            <w:r w:rsidRPr="0092199D">
              <w:rPr>
                <w:rFonts w:ascii="Arial" w:eastAsia="Arial" w:hAnsi="Arial" w:cs="Arial"/>
                <w:b/>
                <w:color w:val="000000"/>
                <w:sz w:val="16"/>
              </w:rPr>
              <w:t xml:space="preserve"> 58,085 </w:t>
            </w:r>
          </w:p>
        </w:tc>
      </w:tr>
      <w:tr w:rsidR="00724034" w14:paraId="22159D3F" w14:textId="77777777">
        <w:trPr>
          <w:trHeight w:hRule="exact" w:val="90"/>
        </w:trPr>
        <w:tc>
          <w:tcPr>
            <w:tcW w:w="180" w:type="dxa"/>
            <w:tcBorders>
              <w:top w:val="nil"/>
              <w:left w:val="nil"/>
              <w:bottom w:val="nil"/>
              <w:right w:val="nil"/>
              <w:tl2br w:val="nil"/>
              <w:tr2bl w:val="nil"/>
            </w:tcBorders>
            <w:shd w:val="clear" w:color="auto" w:fill="FFFFFF"/>
            <w:tcMar>
              <w:left w:w="101" w:type="dxa"/>
              <w:right w:w="101" w:type="dxa"/>
            </w:tcMar>
            <w:vAlign w:val="bottom"/>
          </w:tcPr>
          <w:p w14:paraId="294DB2E8" w14:textId="77777777" w:rsidR="003F0EEA" w:rsidRPr="0092199D" w:rsidRDefault="003F0EEA">
            <w:pPr>
              <w:rPr>
                <w:rFonts w:ascii="Arial" w:eastAsia="Arial" w:hAnsi="Arial" w:cs="Arial"/>
                <w:b/>
                <w:color w:val="000000"/>
                <w:sz w:val="16"/>
              </w:rPr>
            </w:pPr>
          </w:p>
        </w:tc>
        <w:tc>
          <w:tcPr>
            <w:tcW w:w="180" w:type="dxa"/>
            <w:tcBorders>
              <w:top w:val="nil"/>
              <w:left w:val="nil"/>
              <w:bottom w:val="nil"/>
              <w:right w:val="nil"/>
              <w:tl2br w:val="nil"/>
              <w:tr2bl w:val="nil"/>
            </w:tcBorders>
            <w:shd w:val="clear" w:color="auto" w:fill="FFFFFF"/>
            <w:tcMar>
              <w:left w:w="101" w:type="dxa"/>
              <w:right w:w="101" w:type="dxa"/>
            </w:tcMar>
            <w:vAlign w:val="bottom"/>
          </w:tcPr>
          <w:p w14:paraId="24D525BB" w14:textId="77777777" w:rsidR="003F0EEA" w:rsidRPr="0092199D" w:rsidRDefault="003F0EEA">
            <w:pPr>
              <w:rPr>
                <w:rFonts w:ascii="Arial" w:eastAsia="Arial" w:hAnsi="Arial" w:cs="Arial"/>
                <w:color w:val="000000"/>
                <w:sz w:val="16"/>
              </w:rPr>
            </w:pPr>
          </w:p>
        </w:tc>
        <w:tc>
          <w:tcPr>
            <w:tcW w:w="2700" w:type="dxa"/>
            <w:tcBorders>
              <w:top w:val="nil"/>
              <w:left w:val="nil"/>
              <w:bottom w:val="nil"/>
              <w:right w:val="nil"/>
              <w:tl2br w:val="nil"/>
              <w:tr2bl w:val="nil"/>
            </w:tcBorders>
            <w:shd w:val="clear" w:color="auto" w:fill="FFFFFF"/>
            <w:tcMar>
              <w:left w:w="101" w:type="dxa"/>
              <w:right w:w="101" w:type="dxa"/>
            </w:tcMar>
            <w:vAlign w:val="bottom"/>
          </w:tcPr>
          <w:p w14:paraId="20153A4C" w14:textId="77777777" w:rsidR="003F0EEA" w:rsidRPr="0092199D" w:rsidRDefault="003F0EEA">
            <w:pPr>
              <w:rPr>
                <w:rFonts w:ascii="Arial" w:eastAsia="Arial" w:hAnsi="Arial" w:cs="Arial"/>
                <w:color w:val="000000"/>
                <w:sz w:val="16"/>
              </w:rPr>
            </w:pPr>
          </w:p>
        </w:tc>
        <w:tc>
          <w:tcPr>
            <w:tcW w:w="930"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696A3466" w14:textId="77777777" w:rsidR="003F0EEA" w:rsidRPr="0092199D" w:rsidRDefault="003F0EEA">
            <w:pPr>
              <w:rPr>
                <w:rFonts w:ascii="Arial" w:eastAsia="Arial" w:hAnsi="Arial" w:cs="Arial"/>
                <w:color w:val="000000"/>
                <w:sz w:val="16"/>
              </w:rPr>
            </w:pPr>
          </w:p>
        </w:tc>
        <w:tc>
          <w:tcPr>
            <w:tcW w:w="930" w:type="dxa"/>
            <w:tcBorders>
              <w:top w:val="single" w:sz="6" w:space="0" w:color="000000"/>
              <w:left w:val="nil"/>
              <w:bottom w:val="nil"/>
              <w:right w:val="nil"/>
              <w:tl2br w:val="nil"/>
              <w:tr2bl w:val="nil"/>
            </w:tcBorders>
            <w:shd w:val="clear" w:color="auto" w:fill="FFFF00"/>
            <w:tcMar>
              <w:left w:w="101" w:type="dxa"/>
              <w:right w:w="101" w:type="dxa"/>
            </w:tcMar>
            <w:vAlign w:val="bottom"/>
          </w:tcPr>
          <w:p w14:paraId="2A690F23" w14:textId="77777777" w:rsidR="003F0EEA" w:rsidRPr="0092199D" w:rsidRDefault="003F0EEA">
            <w:pPr>
              <w:rPr>
                <w:rFonts w:ascii="Arial" w:eastAsia="Arial" w:hAnsi="Arial" w:cs="Arial"/>
                <w:color w:val="000000"/>
                <w:sz w:val="16"/>
              </w:rPr>
            </w:pPr>
          </w:p>
        </w:tc>
        <w:tc>
          <w:tcPr>
            <w:tcW w:w="930"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1B7682A4" w14:textId="77777777" w:rsidR="003F0EEA" w:rsidRPr="0092199D" w:rsidRDefault="003F0EEA">
            <w:pPr>
              <w:rPr>
                <w:rFonts w:ascii="Arial" w:eastAsia="Arial" w:hAnsi="Arial" w:cs="Arial"/>
                <w:color w:val="000000"/>
                <w:sz w:val="16"/>
              </w:rPr>
            </w:pPr>
          </w:p>
        </w:tc>
        <w:tc>
          <w:tcPr>
            <w:tcW w:w="97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2C7E87A6" w14:textId="77777777" w:rsidR="003F0EEA" w:rsidRPr="0092199D" w:rsidRDefault="003F0EEA">
            <w:pPr>
              <w:rPr>
                <w:rFonts w:ascii="Arial" w:eastAsia="Arial" w:hAnsi="Arial" w:cs="Arial"/>
                <w:color w:val="000000"/>
                <w:sz w:val="16"/>
              </w:rPr>
            </w:pPr>
          </w:p>
        </w:tc>
        <w:tc>
          <w:tcPr>
            <w:tcW w:w="97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0D26BC61" w14:textId="77777777" w:rsidR="003F0EEA" w:rsidRPr="0092199D" w:rsidRDefault="003F0EEA">
            <w:pPr>
              <w:rPr>
                <w:rFonts w:ascii="Arial" w:eastAsia="Arial" w:hAnsi="Arial" w:cs="Arial"/>
                <w:color w:val="000000"/>
                <w:sz w:val="16"/>
              </w:rPr>
            </w:pPr>
          </w:p>
        </w:tc>
      </w:tr>
      <w:tr w:rsidR="00FB7D0B" w14:paraId="4C2BF259" w14:textId="77777777" w:rsidTr="00FB7D0B">
        <w:trPr>
          <w:trHeight w:val="225"/>
        </w:trPr>
        <w:tc>
          <w:tcPr>
            <w:tcW w:w="3060" w:type="dxa"/>
            <w:gridSpan w:val="3"/>
            <w:tcBorders>
              <w:top w:val="nil"/>
              <w:left w:val="nil"/>
              <w:bottom w:val="nil"/>
              <w:right w:val="nil"/>
              <w:tl2br w:val="nil"/>
              <w:tr2bl w:val="nil"/>
            </w:tcBorders>
            <w:shd w:val="clear" w:color="auto" w:fill="FFFFFF"/>
            <w:tcMar>
              <w:left w:w="101" w:type="dxa"/>
              <w:right w:w="101" w:type="dxa"/>
            </w:tcMar>
            <w:vAlign w:val="bottom"/>
          </w:tcPr>
          <w:p w14:paraId="323E42B8" w14:textId="77777777" w:rsidR="003F0EEA" w:rsidRPr="0092199D" w:rsidRDefault="00FB7D0B">
            <w:pPr>
              <w:rPr>
                <w:rFonts w:ascii="Arial" w:eastAsia="Arial" w:hAnsi="Arial" w:cs="Arial"/>
                <w:color w:val="000000"/>
                <w:sz w:val="16"/>
              </w:rPr>
            </w:pPr>
            <w:r w:rsidRPr="0092199D">
              <w:rPr>
                <w:rFonts w:ascii="Arial" w:eastAsia="Arial" w:hAnsi="Arial" w:cs="Arial"/>
                <w:b/>
                <w:color w:val="000000"/>
                <w:sz w:val="16"/>
              </w:rPr>
              <w:t>Equity</w:t>
            </w:r>
          </w:p>
        </w:tc>
        <w:tc>
          <w:tcPr>
            <w:tcW w:w="930" w:type="dxa"/>
            <w:tcBorders>
              <w:top w:val="nil"/>
              <w:left w:val="nil"/>
              <w:bottom w:val="nil"/>
              <w:right w:val="nil"/>
              <w:tl2br w:val="nil"/>
              <w:tr2bl w:val="nil"/>
            </w:tcBorders>
            <w:shd w:val="clear" w:color="auto" w:fill="FFFFFF"/>
            <w:tcMar>
              <w:left w:w="101" w:type="dxa"/>
              <w:right w:w="101" w:type="dxa"/>
            </w:tcMar>
            <w:vAlign w:val="bottom"/>
          </w:tcPr>
          <w:p w14:paraId="1992559A" w14:textId="77777777" w:rsidR="003F0EEA" w:rsidRPr="0092199D" w:rsidRDefault="003F0EEA">
            <w:pPr>
              <w:rPr>
                <w:rFonts w:ascii="Arial" w:eastAsia="Arial" w:hAnsi="Arial" w:cs="Arial"/>
                <w:b/>
                <w:color w:val="000000"/>
                <w:sz w:val="16"/>
              </w:rPr>
            </w:pPr>
          </w:p>
        </w:tc>
        <w:tc>
          <w:tcPr>
            <w:tcW w:w="930" w:type="dxa"/>
            <w:tcBorders>
              <w:top w:val="nil"/>
              <w:left w:val="nil"/>
              <w:bottom w:val="nil"/>
              <w:right w:val="nil"/>
              <w:tl2br w:val="nil"/>
              <w:tr2bl w:val="nil"/>
            </w:tcBorders>
            <w:shd w:val="clear" w:color="auto" w:fill="FFFF00"/>
            <w:tcMar>
              <w:left w:w="101" w:type="dxa"/>
              <w:right w:w="101" w:type="dxa"/>
            </w:tcMar>
            <w:vAlign w:val="bottom"/>
          </w:tcPr>
          <w:p w14:paraId="1DEAB6BC" w14:textId="77777777" w:rsidR="003F0EEA" w:rsidRPr="0092199D" w:rsidRDefault="003F0EEA">
            <w:pPr>
              <w:rPr>
                <w:rFonts w:ascii="Arial" w:eastAsia="Arial" w:hAnsi="Arial" w:cs="Arial"/>
                <w:color w:val="000000"/>
                <w:sz w:val="16"/>
              </w:rPr>
            </w:pPr>
          </w:p>
        </w:tc>
        <w:tc>
          <w:tcPr>
            <w:tcW w:w="930" w:type="dxa"/>
            <w:tcBorders>
              <w:top w:val="nil"/>
              <w:left w:val="nil"/>
              <w:bottom w:val="nil"/>
              <w:right w:val="nil"/>
              <w:tl2br w:val="nil"/>
              <w:tr2bl w:val="nil"/>
            </w:tcBorders>
            <w:shd w:val="clear" w:color="auto" w:fill="FFFFFF"/>
            <w:tcMar>
              <w:left w:w="101" w:type="dxa"/>
              <w:right w:w="101" w:type="dxa"/>
            </w:tcMar>
            <w:vAlign w:val="bottom"/>
          </w:tcPr>
          <w:p w14:paraId="50711034" w14:textId="77777777" w:rsidR="003F0EEA" w:rsidRPr="0092199D" w:rsidRDefault="003F0EEA">
            <w:pPr>
              <w:rPr>
                <w:rFonts w:ascii="Arial" w:eastAsia="Arial" w:hAnsi="Arial" w:cs="Arial"/>
                <w:color w:val="000000"/>
                <w:sz w:val="16"/>
              </w:rPr>
            </w:pPr>
          </w:p>
        </w:tc>
        <w:tc>
          <w:tcPr>
            <w:tcW w:w="975" w:type="dxa"/>
            <w:tcBorders>
              <w:top w:val="nil"/>
              <w:left w:val="nil"/>
              <w:bottom w:val="nil"/>
              <w:right w:val="nil"/>
              <w:tl2br w:val="nil"/>
              <w:tr2bl w:val="nil"/>
            </w:tcBorders>
            <w:shd w:val="clear" w:color="auto" w:fill="FFFFFF"/>
            <w:tcMar>
              <w:left w:w="101" w:type="dxa"/>
              <w:right w:w="101" w:type="dxa"/>
            </w:tcMar>
            <w:vAlign w:val="bottom"/>
          </w:tcPr>
          <w:p w14:paraId="1C8786CA" w14:textId="77777777" w:rsidR="003F0EEA" w:rsidRPr="0092199D" w:rsidRDefault="003F0EEA">
            <w:pPr>
              <w:rPr>
                <w:rFonts w:ascii="Arial" w:eastAsia="Arial" w:hAnsi="Arial" w:cs="Arial"/>
                <w:color w:val="000000"/>
                <w:sz w:val="16"/>
              </w:rPr>
            </w:pPr>
          </w:p>
        </w:tc>
        <w:tc>
          <w:tcPr>
            <w:tcW w:w="975" w:type="dxa"/>
            <w:tcBorders>
              <w:top w:val="nil"/>
              <w:left w:val="nil"/>
              <w:bottom w:val="nil"/>
              <w:right w:val="nil"/>
              <w:tl2br w:val="nil"/>
              <w:tr2bl w:val="nil"/>
            </w:tcBorders>
            <w:shd w:val="clear" w:color="auto" w:fill="FFFFFF"/>
            <w:tcMar>
              <w:left w:w="101" w:type="dxa"/>
              <w:right w:w="101" w:type="dxa"/>
            </w:tcMar>
            <w:vAlign w:val="bottom"/>
          </w:tcPr>
          <w:p w14:paraId="164ABC71" w14:textId="77777777" w:rsidR="003F0EEA" w:rsidRPr="0092199D" w:rsidRDefault="003F0EEA">
            <w:pPr>
              <w:rPr>
                <w:rFonts w:ascii="Arial" w:eastAsia="Arial" w:hAnsi="Arial" w:cs="Arial"/>
                <w:color w:val="000000"/>
                <w:sz w:val="16"/>
              </w:rPr>
            </w:pPr>
          </w:p>
        </w:tc>
      </w:tr>
      <w:tr w:rsidR="00FB7D0B" w14:paraId="075E7705" w14:textId="77777777" w:rsidTr="00FB7D0B">
        <w:trPr>
          <w:trHeight w:val="225"/>
        </w:trPr>
        <w:tc>
          <w:tcPr>
            <w:tcW w:w="180" w:type="dxa"/>
            <w:tcBorders>
              <w:top w:val="nil"/>
              <w:left w:val="nil"/>
              <w:bottom w:val="nil"/>
              <w:right w:val="nil"/>
              <w:tl2br w:val="nil"/>
              <w:tr2bl w:val="nil"/>
            </w:tcBorders>
            <w:shd w:val="clear" w:color="auto" w:fill="FFFFFF"/>
            <w:tcMar>
              <w:left w:w="101" w:type="dxa"/>
              <w:right w:w="101" w:type="dxa"/>
            </w:tcMar>
            <w:vAlign w:val="bottom"/>
          </w:tcPr>
          <w:p w14:paraId="4CFD1C1E" w14:textId="77777777" w:rsidR="003F0EEA" w:rsidRPr="0092199D" w:rsidRDefault="003F0EEA">
            <w:pPr>
              <w:rPr>
                <w:rFonts w:ascii="Arial" w:eastAsia="Arial" w:hAnsi="Arial" w:cs="Arial"/>
                <w:color w:val="000000"/>
                <w:sz w:val="16"/>
              </w:rPr>
            </w:pPr>
          </w:p>
        </w:tc>
        <w:tc>
          <w:tcPr>
            <w:tcW w:w="2880" w:type="dxa"/>
            <w:gridSpan w:val="2"/>
            <w:vMerge w:val="restart"/>
            <w:tcBorders>
              <w:top w:val="nil"/>
              <w:left w:val="nil"/>
              <w:bottom w:val="nil"/>
              <w:right w:val="nil"/>
              <w:tl2br w:val="nil"/>
              <w:tr2bl w:val="nil"/>
            </w:tcBorders>
            <w:shd w:val="clear" w:color="auto" w:fill="FFFFFF"/>
            <w:tcMar>
              <w:left w:w="101" w:type="dxa"/>
              <w:right w:w="101" w:type="dxa"/>
            </w:tcMar>
            <w:vAlign w:val="bottom"/>
          </w:tcPr>
          <w:p w14:paraId="252C984C" w14:textId="77777777" w:rsidR="003F0EEA" w:rsidRPr="0092199D" w:rsidRDefault="00FB7D0B">
            <w:pPr>
              <w:rPr>
                <w:rFonts w:ascii="Arial" w:eastAsia="Arial" w:hAnsi="Arial" w:cs="Arial"/>
                <w:color w:val="000000"/>
                <w:sz w:val="16"/>
              </w:rPr>
            </w:pPr>
            <w:r w:rsidRPr="0092199D">
              <w:rPr>
                <w:rFonts w:ascii="Arial" w:eastAsia="Arial" w:hAnsi="Arial" w:cs="Arial"/>
                <w:color w:val="000000"/>
                <w:sz w:val="16"/>
              </w:rPr>
              <w:t>Contributed equity</w:t>
            </w:r>
          </w:p>
        </w:tc>
        <w:tc>
          <w:tcPr>
            <w:tcW w:w="930" w:type="dxa"/>
            <w:tcBorders>
              <w:top w:val="nil"/>
              <w:left w:val="nil"/>
              <w:bottom w:val="nil"/>
              <w:right w:val="nil"/>
              <w:tl2br w:val="nil"/>
              <w:tr2bl w:val="nil"/>
            </w:tcBorders>
            <w:shd w:val="clear" w:color="auto" w:fill="FFFFFF"/>
            <w:tcMar>
              <w:left w:w="101" w:type="dxa"/>
              <w:right w:w="101" w:type="dxa"/>
            </w:tcMar>
            <w:vAlign w:val="bottom"/>
          </w:tcPr>
          <w:p w14:paraId="3ADB5694" w14:textId="77777777" w:rsidR="003F0EEA" w:rsidRPr="0092199D" w:rsidRDefault="00FB7D0B">
            <w:pPr>
              <w:jc w:val="right"/>
              <w:rPr>
                <w:rFonts w:ascii="Arial" w:eastAsia="Arial" w:hAnsi="Arial" w:cs="Arial"/>
                <w:color w:val="000000"/>
                <w:sz w:val="16"/>
              </w:rPr>
            </w:pPr>
            <w:r w:rsidRPr="0092199D">
              <w:rPr>
                <w:rFonts w:ascii="Arial" w:eastAsia="Arial" w:hAnsi="Arial" w:cs="Arial"/>
                <w:color w:val="000000"/>
                <w:sz w:val="16"/>
              </w:rPr>
              <w:t xml:space="preserve"> 187,961 </w:t>
            </w:r>
          </w:p>
        </w:tc>
        <w:tc>
          <w:tcPr>
            <w:tcW w:w="930" w:type="dxa"/>
            <w:tcBorders>
              <w:top w:val="nil"/>
              <w:left w:val="nil"/>
              <w:bottom w:val="nil"/>
              <w:right w:val="nil"/>
              <w:tl2br w:val="nil"/>
              <w:tr2bl w:val="nil"/>
            </w:tcBorders>
            <w:shd w:val="clear" w:color="auto" w:fill="FFFF00"/>
            <w:tcMar>
              <w:left w:w="101" w:type="dxa"/>
              <w:right w:w="101" w:type="dxa"/>
            </w:tcMar>
            <w:vAlign w:val="bottom"/>
          </w:tcPr>
          <w:p w14:paraId="0B9543BC" w14:textId="77777777" w:rsidR="003F0EEA" w:rsidRPr="0092199D" w:rsidRDefault="00FB7D0B">
            <w:pPr>
              <w:jc w:val="right"/>
              <w:rPr>
                <w:rFonts w:ascii="Arial" w:eastAsia="Arial" w:hAnsi="Arial" w:cs="Arial"/>
                <w:color w:val="000000"/>
                <w:sz w:val="16"/>
              </w:rPr>
            </w:pPr>
            <w:r w:rsidRPr="0092199D">
              <w:rPr>
                <w:rFonts w:ascii="Arial" w:eastAsia="Arial" w:hAnsi="Arial" w:cs="Arial"/>
                <w:color w:val="000000"/>
                <w:sz w:val="16"/>
              </w:rPr>
              <w:t xml:space="preserve"> 204,047 </w:t>
            </w:r>
          </w:p>
        </w:tc>
        <w:tc>
          <w:tcPr>
            <w:tcW w:w="930" w:type="dxa"/>
            <w:tcBorders>
              <w:top w:val="nil"/>
              <w:left w:val="nil"/>
              <w:bottom w:val="nil"/>
              <w:right w:val="nil"/>
              <w:tl2br w:val="nil"/>
              <w:tr2bl w:val="nil"/>
            </w:tcBorders>
            <w:shd w:val="clear" w:color="auto" w:fill="FFFFFF"/>
            <w:tcMar>
              <w:left w:w="101" w:type="dxa"/>
              <w:right w:w="101" w:type="dxa"/>
            </w:tcMar>
            <w:vAlign w:val="bottom"/>
          </w:tcPr>
          <w:p w14:paraId="78544036" w14:textId="77777777" w:rsidR="003F0EEA" w:rsidRPr="0092199D" w:rsidRDefault="00FB7D0B">
            <w:pPr>
              <w:jc w:val="right"/>
              <w:rPr>
                <w:rFonts w:ascii="Arial" w:eastAsia="Arial" w:hAnsi="Arial" w:cs="Arial"/>
                <w:color w:val="000000"/>
                <w:sz w:val="16"/>
              </w:rPr>
            </w:pPr>
            <w:r w:rsidRPr="0092199D">
              <w:rPr>
                <w:rFonts w:ascii="Arial" w:eastAsia="Arial" w:hAnsi="Arial" w:cs="Arial"/>
                <w:color w:val="000000"/>
                <w:sz w:val="16"/>
              </w:rPr>
              <w:t xml:space="preserve"> 218,163 </w:t>
            </w:r>
          </w:p>
        </w:tc>
        <w:tc>
          <w:tcPr>
            <w:tcW w:w="975" w:type="dxa"/>
            <w:tcBorders>
              <w:top w:val="nil"/>
              <w:left w:val="nil"/>
              <w:bottom w:val="nil"/>
              <w:right w:val="nil"/>
              <w:tl2br w:val="nil"/>
              <w:tr2bl w:val="nil"/>
            </w:tcBorders>
            <w:shd w:val="clear" w:color="auto" w:fill="FFFFFF"/>
            <w:tcMar>
              <w:left w:w="101" w:type="dxa"/>
              <w:right w:w="101" w:type="dxa"/>
            </w:tcMar>
            <w:vAlign w:val="bottom"/>
          </w:tcPr>
          <w:p w14:paraId="53304B4E" w14:textId="77777777" w:rsidR="003F0EEA" w:rsidRPr="0092199D" w:rsidRDefault="00FB7D0B">
            <w:pPr>
              <w:jc w:val="right"/>
              <w:rPr>
                <w:rFonts w:ascii="Arial" w:eastAsia="Arial" w:hAnsi="Arial" w:cs="Arial"/>
                <w:color w:val="000000"/>
                <w:sz w:val="16"/>
              </w:rPr>
            </w:pPr>
            <w:r w:rsidRPr="0092199D">
              <w:rPr>
                <w:rFonts w:ascii="Arial" w:eastAsia="Arial" w:hAnsi="Arial" w:cs="Arial"/>
                <w:color w:val="000000"/>
                <w:sz w:val="16"/>
              </w:rPr>
              <w:t xml:space="preserve"> 231,536 </w:t>
            </w:r>
          </w:p>
        </w:tc>
        <w:tc>
          <w:tcPr>
            <w:tcW w:w="975" w:type="dxa"/>
            <w:tcBorders>
              <w:top w:val="nil"/>
              <w:left w:val="nil"/>
              <w:bottom w:val="nil"/>
              <w:right w:val="nil"/>
              <w:tl2br w:val="nil"/>
              <w:tr2bl w:val="nil"/>
            </w:tcBorders>
            <w:shd w:val="clear" w:color="auto" w:fill="FFFFFF"/>
            <w:tcMar>
              <w:left w:w="101" w:type="dxa"/>
              <w:right w:w="101" w:type="dxa"/>
            </w:tcMar>
            <w:vAlign w:val="bottom"/>
          </w:tcPr>
          <w:p w14:paraId="7EC5DA8E" w14:textId="77777777" w:rsidR="003F0EEA" w:rsidRPr="0092199D" w:rsidRDefault="00FB7D0B">
            <w:pPr>
              <w:jc w:val="right"/>
              <w:rPr>
                <w:rFonts w:ascii="Arial" w:eastAsia="Arial" w:hAnsi="Arial" w:cs="Arial"/>
                <w:color w:val="000000"/>
                <w:sz w:val="16"/>
              </w:rPr>
            </w:pPr>
            <w:r w:rsidRPr="0092199D">
              <w:rPr>
                <w:rFonts w:ascii="Arial" w:eastAsia="Arial" w:hAnsi="Arial" w:cs="Arial"/>
                <w:color w:val="000000"/>
                <w:sz w:val="16"/>
              </w:rPr>
              <w:t xml:space="preserve"> 245,572 </w:t>
            </w:r>
          </w:p>
        </w:tc>
      </w:tr>
      <w:tr w:rsidR="00FB7D0B" w14:paraId="2523EFCB" w14:textId="77777777" w:rsidTr="00FB7D0B">
        <w:trPr>
          <w:trHeight w:val="225"/>
        </w:trPr>
        <w:tc>
          <w:tcPr>
            <w:tcW w:w="180" w:type="dxa"/>
            <w:tcBorders>
              <w:top w:val="nil"/>
              <w:left w:val="nil"/>
              <w:bottom w:val="nil"/>
              <w:right w:val="nil"/>
              <w:tl2br w:val="nil"/>
              <w:tr2bl w:val="nil"/>
            </w:tcBorders>
            <w:shd w:val="clear" w:color="auto" w:fill="FFFFFF"/>
            <w:tcMar>
              <w:left w:w="101" w:type="dxa"/>
              <w:right w:w="101" w:type="dxa"/>
            </w:tcMar>
            <w:vAlign w:val="bottom"/>
          </w:tcPr>
          <w:p w14:paraId="4E08B0FD" w14:textId="77777777" w:rsidR="003F0EEA" w:rsidRPr="0092199D" w:rsidRDefault="003F0EEA">
            <w:pPr>
              <w:rPr>
                <w:rFonts w:ascii="Arial" w:eastAsia="Arial" w:hAnsi="Arial" w:cs="Arial"/>
                <w:color w:val="000000"/>
                <w:sz w:val="16"/>
              </w:rPr>
            </w:pPr>
          </w:p>
        </w:tc>
        <w:tc>
          <w:tcPr>
            <w:tcW w:w="2880" w:type="dxa"/>
            <w:gridSpan w:val="2"/>
            <w:tcBorders>
              <w:top w:val="nil"/>
              <w:left w:val="nil"/>
              <w:bottom w:val="nil"/>
              <w:right w:val="nil"/>
              <w:tl2br w:val="nil"/>
              <w:tr2bl w:val="nil"/>
            </w:tcBorders>
            <w:shd w:val="clear" w:color="auto" w:fill="FFFFFF"/>
            <w:tcMar>
              <w:left w:w="101" w:type="dxa"/>
              <w:right w:w="101" w:type="dxa"/>
            </w:tcMar>
            <w:vAlign w:val="bottom"/>
          </w:tcPr>
          <w:p w14:paraId="3E7AC043" w14:textId="77777777" w:rsidR="003F0EEA" w:rsidRPr="0092199D" w:rsidRDefault="00FB7D0B">
            <w:pPr>
              <w:rPr>
                <w:rFonts w:ascii="Arial" w:eastAsia="Arial" w:hAnsi="Arial" w:cs="Arial"/>
                <w:color w:val="000000"/>
                <w:sz w:val="16"/>
              </w:rPr>
            </w:pPr>
            <w:r w:rsidRPr="0092199D">
              <w:rPr>
                <w:rFonts w:ascii="Arial" w:eastAsia="Arial" w:hAnsi="Arial" w:cs="Arial"/>
                <w:color w:val="000000"/>
                <w:sz w:val="16"/>
              </w:rPr>
              <w:t>Asset revaluation reserve</w:t>
            </w:r>
          </w:p>
        </w:tc>
        <w:tc>
          <w:tcPr>
            <w:tcW w:w="930" w:type="dxa"/>
            <w:tcBorders>
              <w:top w:val="nil"/>
              <w:left w:val="nil"/>
              <w:bottom w:val="nil"/>
              <w:right w:val="nil"/>
              <w:tl2br w:val="nil"/>
              <w:tr2bl w:val="nil"/>
            </w:tcBorders>
            <w:shd w:val="clear" w:color="auto" w:fill="FFFFFF"/>
            <w:tcMar>
              <w:left w:w="101" w:type="dxa"/>
              <w:right w:w="101" w:type="dxa"/>
            </w:tcMar>
            <w:vAlign w:val="bottom"/>
          </w:tcPr>
          <w:p w14:paraId="062EA8D4" w14:textId="77777777" w:rsidR="003F0EEA" w:rsidRPr="0092199D" w:rsidRDefault="00FB7D0B">
            <w:pPr>
              <w:jc w:val="right"/>
              <w:rPr>
                <w:rFonts w:ascii="Arial" w:eastAsia="Arial" w:hAnsi="Arial" w:cs="Arial"/>
                <w:color w:val="000000"/>
                <w:sz w:val="16"/>
              </w:rPr>
            </w:pPr>
            <w:r w:rsidRPr="0092199D">
              <w:rPr>
                <w:rFonts w:ascii="Arial" w:eastAsia="Arial" w:hAnsi="Arial" w:cs="Arial"/>
                <w:color w:val="000000"/>
                <w:sz w:val="16"/>
              </w:rPr>
              <w:t xml:space="preserve"> 9,091 </w:t>
            </w:r>
          </w:p>
        </w:tc>
        <w:tc>
          <w:tcPr>
            <w:tcW w:w="930" w:type="dxa"/>
            <w:tcBorders>
              <w:top w:val="nil"/>
              <w:left w:val="nil"/>
              <w:bottom w:val="nil"/>
              <w:right w:val="nil"/>
              <w:tl2br w:val="nil"/>
              <w:tr2bl w:val="nil"/>
            </w:tcBorders>
            <w:shd w:val="clear" w:color="auto" w:fill="FFFF00"/>
            <w:tcMar>
              <w:left w:w="101" w:type="dxa"/>
              <w:right w:w="101" w:type="dxa"/>
            </w:tcMar>
            <w:vAlign w:val="bottom"/>
          </w:tcPr>
          <w:p w14:paraId="470F825D" w14:textId="77777777" w:rsidR="003F0EEA" w:rsidRPr="0092199D" w:rsidRDefault="00FB7D0B">
            <w:pPr>
              <w:jc w:val="right"/>
              <w:rPr>
                <w:rFonts w:ascii="Arial" w:eastAsia="Arial" w:hAnsi="Arial" w:cs="Arial"/>
                <w:color w:val="000000"/>
                <w:sz w:val="16"/>
              </w:rPr>
            </w:pPr>
            <w:r w:rsidRPr="0092199D">
              <w:rPr>
                <w:rFonts w:ascii="Arial" w:eastAsia="Arial" w:hAnsi="Arial" w:cs="Arial"/>
                <w:color w:val="000000"/>
                <w:sz w:val="16"/>
              </w:rPr>
              <w:t xml:space="preserve"> 9,091 </w:t>
            </w:r>
          </w:p>
        </w:tc>
        <w:tc>
          <w:tcPr>
            <w:tcW w:w="930" w:type="dxa"/>
            <w:tcBorders>
              <w:top w:val="nil"/>
              <w:left w:val="nil"/>
              <w:bottom w:val="nil"/>
              <w:right w:val="nil"/>
              <w:tl2br w:val="nil"/>
              <w:tr2bl w:val="nil"/>
            </w:tcBorders>
            <w:shd w:val="clear" w:color="auto" w:fill="FFFFFF"/>
            <w:tcMar>
              <w:left w:w="101" w:type="dxa"/>
              <w:right w:w="101" w:type="dxa"/>
            </w:tcMar>
            <w:vAlign w:val="bottom"/>
          </w:tcPr>
          <w:p w14:paraId="39091036" w14:textId="77777777" w:rsidR="003F0EEA" w:rsidRPr="0092199D" w:rsidRDefault="00FB7D0B">
            <w:pPr>
              <w:jc w:val="right"/>
              <w:rPr>
                <w:rFonts w:ascii="Arial" w:eastAsia="Arial" w:hAnsi="Arial" w:cs="Arial"/>
                <w:color w:val="000000"/>
                <w:sz w:val="16"/>
              </w:rPr>
            </w:pPr>
            <w:r w:rsidRPr="0092199D">
              <w:rPr>
                <w:rFonts w:ascii="Arial" w:eastAsia="Arial" w:hAnsi="Arial" w:cs="Arial"/>
                <w:color w:val="000000"/>
                <w:sz w:val="16"/>
              </w:rPr>
              <w:t xml:space="preserve"> 9,091 </w:t>
            </w:r>
          </w:p>
        </w:tc>
        <w:tc>
          <w:tcPr>
            <w:tcW w:w="975" w:type="dxa"/>
            <w:tcBorders>
              <w:top w:val="nil"/>
              <w:left w:val="nil"/>
              <w:bottom w:val="nil"/>
              <w:right w:val="nil"/>
              <w:tl2br w:val="nil"/>
              <w:tr2bl w:val="nil"/>
            </w:tcBorders>
            <w:shd w:val="clear" w:color="auto" w:fill="FFFFFF"/>
            <w:tcMar>
              <w:left w:w="101" w:type="dxa"/>
              <w:right w:w="101" w:type="dxa"/>
            </w:tcMar>
            <w:vAlign w:val="bottom"/>
          </w:tcPr>
          <w:p w14:paraId="2BBFCD12" w14:textId="77777777" w:rsidR="003F0EEA" w:rsidRPr="0092199D" w:rsidRDefault="00FB7D0B">
            <w:pPr>
              <w:jc w:val="right"/>
              <w:rPr>
                <w:rFonts w:ascii="Arial" w:eastAsia="Arial" w:hAnsi="Arial" w:cs="Arial"/>
                <w:color w:val="000000"/>
                <w:sz w:val="16"/>
              </w:rPr>
            </w:pPr>
            <w:r w:rsidRPr="0092199D">
              <w:rPr>
                <w:rFonts w:ascii="Arial" w:eastAsia="Arial" w:hAnsi="Arial" w:cs="Arial"/>
                <w:color w:val="000000"/>
                <w:sz w:val="16"/>
              </w:rPr>
              <w:t xml:space="preserve"> 9,091 </w:t>
            </w:r>
          </w:p>
        </w:tc>
        <w:tc>
          <w:tcPr>
            <w:tcW w:w="975" w:type="dxa"/>
            <w:tcBorders>
              <w:top w:val="nil"/>
              <w:left w:val="nil"/>
              <w:bottom w:val="nil"/>
              <w:right w:val="nil"/>
              <w:tl2br w:val="nil"/>
              <w:tr2bl w:val="nil"/>
            </w:tcBorders>
            <w:shd w:val="clear" w:color="auto" w:fill="FFFFFF"/>
            <w:tcMar>
              <w:left w:w="101" w:type="dxa"/>
              <w:right w:w="101" w:type="dxa"/>
            </w:tcMar>
            <w:vAlign w:val="bottom"/>
          </w:tcPr>
          <w:p w14:paraId="782B0321" w14:textId="77777777" w:rsidR="003F0EEA" w:rsidRPr="0092199D" w:rsidRDefault="00FB7D0B">
            <w:pPr>
              <w:jc w:val="right"/>
              <w:rPr>
                <w:rFonts w:ascii="Arial" w:eastAsia="Arial" w:hAnsi="Arial" w:cs="Arial"/>
                <w:color w:val="000000"/>
                <w:sz w:val="16"/>
              </w:rPr>
            </w:pPr>
            <w:r w:rsidRPr="0092199D">
              <w:rPr>
                <w:rFonts w:ascii="Arial" w:eastAsia="Arial" w:hAnsi="Arial" w:cs="Arial"/>
                <w:color w:val="000000"/>
                <w:sz w:val="16"/>
              </w:rPr>
              <w:t xml:space="preserve"> 9,091 </w:t>
            </w:r>
          </w:p>
        </w:tc>
      </w:tr>
      <w:tr w:rsidR="00FB7D0B" w14:paraId="23B9950A" w14:textId="77777777" w:rsidTr="00FB7D0B">
        <w:trPr>
          <w:trHeight w:val="225"/>
        </w:trPr>
        <w:tc>
          <w:tcPr>
            <w:tcW w:w="180" w:type="dxa"/>
            <w:tcBorders>
              <w:top w:val="nil"/>
              <w:left w:val="nil"/>
              <w:bottom w:val="nil"/>
              <w:right w:val="nil"/>
              <w:tl2br w:val="nil"/>
              <w:tr2bl w:val="nil"/>
            </w:tcBorders>
            <w:shd w:val="clear" w:color="auto" w:fill="FFFFFF"/>
            <w:tcMar>
              <w:left w:w="101" w:type="dxa"/>
              <w:right w:w="101" w:type="dxa"/>
            </w:tcMar>
            <w:vAlign w:val="bottom"/>
          </w:tcPr>
          <w:p w14:paraId="6EB2FA50" w14:textId="77777777" w:rsidR="003F0EEA" w:rsidRPr="0092199D" w:rsidRDefault="003F0EEA">
            <w:pPr>
              <w:rPr>
                <w:rFonts w:ascii="Arial" w:eastAsia="Arial" w:hAnsi="Arial" w:cs="Arial"/>
                <w:color w:val="000000"/>
                <w:sz w:val="16"/>
              </w:rPr>
            </w:pPr>
          </w:p>
        </w:tc>
        <w:tc>
          <w:tcPr>
            <w:tcW w:w="2880" w:type="dxa"/>
            <w:gridSpan w:val="2"/>
            <w:tcBorders>
              <w:top w:val="nil"/>
              <w:left w:val="nil"/>
              <w:bottom w:val="nil"/>
              <w:right w:val="nil"/>
              <w:tl2br w:val="nil"/>
              <w:tr2bl w:val="nil"/>
            </w:tcBorders>
            <w:shd w:val="clear" w:color="auto" w:fill="FFFFFF"/>
            <w:tcMar>
              <w:left w:w="101" w:type="dxa"/>
              <w:right w:w="101" w:type="dxa"/>
            </w:tcMar>
            <w:vAlign w:val="bottom"/>
          </w:tcPr>
          <w:p w14:paraId="6339B869" w14:textId="77777777" w:rsidR="003F0EEA" w:rsidRPr="0092199D" w:rsidRDefault="00FB7D0B">
            <w:pPr>
              <w:rPr>
                <w:rFonts w:ascii="Arial" w:eastAsia="Arial" w:hAnsi="Arial" w:cs="Arial"/>
                <w:color w:val="000000"/>
                <w:sz w:val="16"/>
              </w:rPr>
            </w:pPr>
            <w:r w:rsidRPr="0092199D">
              <w:rPr>
                <w:rFonts w:ascii="Arial" w:eastAsia="Arial" w:hAnsi="Arial" w:cs="Arial"/>
                <w:color w:val="000000"/>
                <w:sz w:val="16"/>
              </w:rPr>
              <w:t>Retained surplus</w:t>
            </w:r>
          </w:p>
        </w:tc>
        <w:tc>
          <w:tcPr>
            <w:tcW w:w="930" w:type="dxa"/>
            <w:tcBorders>
              <w:top w:val="nil"/>
              <w:left w:val="nil"/>
              <w:bottom w:val="nil"/>
              <w:right w:val="nil"/>
              <w:tl2br w:val="nil"/>
              <w:tr2bl w:val="nil"/>
            </w:tcBorders>
            <w:shd w:val="clear" w:color="auto" w:fill="FFFFFF"/>
            <w:tcMar>
              <w:left w:w="101" w:type="dxa"/>
              <w:right w:w="101" w:type="dxa"/>
            </w:tcMar>
            <w:vAlign w:val="bottom"/>
          </w:tcPr>
          <w:p w14:paraId="38647CF8" w14:textId="77777777" w:rsidR="003F0EEA" w:rsidRPr="0092199D" w:rsidRDefault="003F0EEA">
            <w:pPr>
              <w:rPr>
                <w:rFonts w:ascii="Arial" w:eastAsia="Arial" w:hAnsi="Arial" w:cs="Arial"/>
                <w:color w:val="000000"/>
                <w:sz w:val="16"/>
              </w:rPr>
            </w:pPr>
          </w:p>
        </w:tc>
        <w:tc>
          <w:tcPr>
            <w:tcW w:w="930" w:type="dxa"/>
            <w:tcBorders>
              <w:top w:val="nil"/>
              <w:left w:val="nil"/>
              <w:bottom w:val="nil"/>
              <w:right w:val="nil"/>
              <w:tl2br w:val="nil"/>
              <w:tr2bl w:val="nil"/>
            </w:tcBorders>
            <w:shd w:val="clear" w:color="auto" w:fill="FFFF00"/>
            <w:tcMar>
              <w:left w:w="101" w:type="dxa"/>
              <w:right w:w="101" w:type="dxa"/>
            </w:tcMar>
            <w:vAlign w:val="bottom"/>
          </w:tcPr>
          <w:p w14:paraId="021B145C" w14:textId="77777777" w:rsidR="003F0EEA" w:rsidRPr="0092199D" w:rsidRDefault="003F0EEA">
            <w:pPr>
              <w:rPr>
                <w:rFonts w:ascii="Arial" w:eastAsia="Arial" w:hAnsi="Arial" w:cs="Arial"/>
                <w:color w:val="000000"/>
                <w:sz w:val="16"/>
              </w:rPr>
            </w:pPr>
          </w:p>
        </w:tc>
        <w:tc>
          <w:tcPr>
            <w:tcW w:w="930" w:type="dxa"/>
            <w:tcBorders>
              <w:top w:val="nil"/>
              <w:left w:val="nil"/>
              <w:bottom w:val="nil"/>
              <w:right w:val="nil"/>
              <w:tl2br w:val="nil"/>
              <w:tr2bl w:val="nil"/>
            </w:tcBorders>
            <w:shd w:val="clear" w:color="auto" w:fill="FFFFFF"/>
            <w:tcMar>
              <w:left w:w="101" w:type="dxa"/>
              <w:right w:w="101" w:type="dxa"/>
            </w:tcMar>
            <w:vAlign w:val="bottom"/>
          </w:tcPr>
          <w:p w14:paraId="63E8ADDD" w14:textId="77777777" w:rsidR="003F0EEA" w:rsidRPr="0092199D" w:rsidRDefault="003F0EEA">
            <w:pPr>
              <w:rPr>
                <w:rFonts w:ascii="Arial" w:eastAsia="Arial" w:hAnsi="Arial" w:cs="Arial"/>
                <w:color w:val="000000"/>
                <w:sz w:val="16"/>
              </w:rPr>
            </w:pPr>
          </w:p>
        </w:tc>
        <w:tc>
          <w:tcPr>
            <w:tcW w:w="975" w:type="dxa"/>
            <w:tcBorders>
              <w:top w:val="nil"/>
              <w:left w:val="nil"/>
              <w:bottom w:val="nil"/>
              <w:right w:val="nil"/>
              <w:tl2br w:val="nil"/>
              <w:tr2bl w:val="nil"/>
            </w:tcBorders>
            <w:shd w:val="clear" w:color="auto" w:fill="FFFFFF"/>
            <w:tcMar>
              <w:left w:w="101" w:type="dxa"/>
              <w:right w:w="101" w:type="dxa"/>
            </w:tcMar>
            <w:vAlign w:val="bottom"/>
          </w:tcPr>
          <w:p w14:paraId="7062EA13" w14:textId="77777777" w:rsidR="003F0EEA" w:rsidRPr="0092199D" w:rsidRDefault="003F0EEA">
            <w:pPr>
              <w:rPr>
                <w:rFonts w:ascii="Arial" w:eastAsia="Arial" w:hAnsi="Arial" w:cs="Arial"/>
                <w:color w:val="000000"/>
                <w:sz w:val="16"/>
              </w:rPr>
            </w:pPr>
          </w:p>
        </w:tc>
        <w:tc>
          <w:tcPr>
            <w:tcW w:w="975" w:type="dxa"/>
            <w:tcBorders>
              <w:top w:val="nil"/>
              <w:left w:val="nil"/>
              <w:bottom w:val="nil"/>
              <w:right w:val="nil"/>
              <w:tl2br w:val="nil"/>
              <w:tr2bl w:val="nil"/>
            </w:tcBorders>
            <w:shd w:val="clear" w:color="auto" w:fill="FFFFFF"/>
            <w:tcMar>
              <w:left w:w="101" w:type="dxa"/>
              <w:right w:w="101" w:type="dxa"/>
            </w:tcMar>
            <w:vAlign w:val="bottom"/>
          </w:tcPr>
          <w:p w14:paraId="1DBAD63D" w14:textId="77777777" w:rsidR="003F0EEA" w:rsidRPr="0092199D" w:rsidRDefault="003F0EEA">
            <w:pPr>
              <w:rPr>
                <w:rFonts w:ascii="Arial" w:eastAsia="Arial" w:hAnsi="Arial" w:cs="Arial"/>
                <w:color w:val="000000"/>
                <w:sz w:val="16"/>
              </w:rPr>
            </w:pPr>
          </w:p>
        </w:tc>
      </w:tr>
      <w:tr w:rsidR="00724034" w14:paraId="24F7C977" w14:textId="77777777">
        <w:trPr>
          <w:trHeight w:val="225"/>
        </w:trPr>
        <w:tc>
          <w:tcPr>
            <w:tcW w:w="180" w:type="dxa"/>
            <w:tcBorders>
              <w:top w:val="nil"/>
              <w:left w:val="nil"/>
              <w:bottom w:val="nil"/>
              <w:right w:val="nil"/>
              <w:tl2br w:val="nil"/>
              <w:tr2bl w:val="nil"/>
            </w:tcBorders>
            <w:shd w:val="clear" w:color="auto" w:fill="FFFFFF"/>
            <w:tcMar>
              <w:left w:w="101" w:type="dxa"/>
              <w:right w:w="101" w:type="dxa"/>
            </w:tcMar>
            <w:vAlign w:val="bottom"/>
          </w:tcPr>
          <w:p w14:paraId="219760EC" w14:textId="77777777" w:rsidR="003F0EEA" w:rsidRPr="0092199D" w:rsidRDefault="003F0EEA">
            <w:pPr>
              <w:rPr>
                <w:rFonts w:ascii="Arial" w:eastAsia="Arial" w:hAnsi="Arial" w:cs="Arial"/>
                <w:color w:val="000000"/>
                <w:sz w:val="16"/>
              </w:rPr>
            </w:pPr>
          </w:p>
        </w:tc>
        <w:tc>
          <w:tcPr>
            <w:tcW w:w="180" w:type="dxa"/>
            <w:tcBorders>
              <w:top w:val="nil"/>
              <w:left w:val="nil"/>
              <w:bottom w:val="nil"/>
              <w:right w:val="nil"/>
              <w:tl2br w:val="nil"/>
              <w:tr2bl w:val="nil"/>
            </w:tcBorders>
            <w:shd w:val="clear" w:color="auto" w:fill="FFFFFF"/>
            <w:tcMar>
              <w:left w:w="101" w:type="dxa"/>
              <w:right w:w="101" w:type="dxa"/>
            </w:tcMar>
            <w:vAlign w:val="bottom"/>
          </w:tcPr>
          <w:p w14:paraId="476E11BB" w14:textId="77777777" w:rsidR="003F0EEA" w:rsidRPr="0092199D" w:rsidRDefault="003F0EEA">
            <w:pPr>
              <w:rPr>
                <w:rFonts w:ascii="Arial" w:eastAsia="Arial" w:hAnsi="Arial" w:cs="Arial"/>
                <w:color w:val="000000"/>
                <w:sz w:val="16"/>
              </w:rPr>
            </w:pPr>
          </w:p>
        </w:tc>
        <w:tc>
          <w:tcPr>
            <w:tcW w:w="2700" w:type="dxa"/>
            <w:tcBorders>
              <w:top w:val="nil"/>
              <w:left w:val="nil"/>
              <w:bottom w:val="nil"/>
              <w:right w:val="nil"/>
              <w:tl2br w:val="nil"/>
              <w:tr2bl w:val="nil"/>
            </w:tcBorders>
            <w:shd w:val="clear" w:color="auto" w:fill="FFFFFF"/>
            <w:tcMar>
              <w:left w:w="101" w:type="dxa"/>
              <w:right w:w="101" w:type="dxa"/>
            </w:tcMar>
            <w:vAlign w:val="bottom"/>
          </w:tcPr>
          <w:p w14:paraId="64AAFE29" w14:textId="77777777" w:rsidR="003F0EEA" w:rsidRPr="0092199D" w:rsidRDefault="00FB7D0B">
            <w:pPr>
              <w:rPr>
                <w:rFonts w:ascii="Arial" w:eastAsia="Arial" w:hAnsi="Arial" w:cs="Arial"/>
                <w:color w:val="000000"/>
                <w:sz w:val="16"/>
              </w:rPr>
            </w:pPr>
            <w:r w:rsidRPr="0092199D">
              <w:rPr>
                <w:rFonts w:ascii="Arial" w:eastAsia="Arial" w:hAnsi="Arial" w:cs="Arial"/>
                <w:color w:val="000000"/>
                <w:sz w:val="16"/>
              </w:rPr>
              <w:t>(accumulated deficit)</w:t>
            </w:r>
          </w:p>
        </w:tc>
        <w:tc>
          <w:tcPr>
            <w:tcW w:w="930"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0EE552D3" w14:textId="77777777" w:rsidR="003F0EEA" w:rsidRPr="0092199D" w:rsidRDefault="00FB7D0B">
            <w:pPr>
              <w:jc w:val="right"/>
              <w:rPr>
                <w:rFonts w:ascii="Arial" w:eastAsia="Arial" w:hAnsi="Arial" w:cs="Arial"/>
                <w:color w:val="000000"/>
                <w:sz w:val="16"/>
              </w:rPr>
            </w:pPr>
            <w:r w:rsidRPr="0092199D">
              <w:rPr>
                <w:rFonts w:ascii="Arial" w:eastAsia="Arial" w:hAnsi="Arial" w:cs="Arial"/>
                <w:color w:val="000000"/>
                <w:sz w:val="16"/>
              </w:rPr>
              <w:t xml:space="preserve"> (107,705)</w:t>
            </w:r>
          </w:p>
        </w:tc>
        <w:tc>
          <w:tcPr>
            <w:tcW w:w="930" w:type="dxa"/>
            <w:tcBorders>
              <w:top w:val="nil"/>
              <w:left w:val="nil"/>
              <w:bottom w:val="single" w:sz="6" w:space="0" w:color="000000"/>
              <w:right w:val="nil"/>
              <w:tl2br w:val="nil"/>
              <w:tr2bl w:val="nil"/>
            </w:tcBorders>
            <w:shd w:val="clear" w:color="auto" w:fill="FFFF00"/>
            <w:tcMar>
              <w:left w:w="101" w:type="dxa"/>
              <w:right w:w="101" w:type="dxa"/>
            </w:tcMar>
            <w:vAlign w:val="bottom"/>
          </w:tcPr>
          <w:p w14:paraId="0EA719A9" w14:textId="77777777" w:rsidR="003F0EEA" w:rsidRPr="0092199D" w:rsidRDefault="00FB7D0B">
            <w:pPr>
              <w:jc w:val="right"/>
              <w:rPr>
                <w:rFonts w:ascii="Arial" w:eastAsia="Arial" w:hAnsi="Arial" w:cs="Arial"/>
                <w:color w:val="000000"/>
                <w:sz w:val="16"/>
              </w:rPr>
            </w:pPr>
            <w:r w:rsidRPr="0092199D">
              <w:rPr>
                <w:rFonts w:ascii="Arial" w:eastAsia="Arial" w:hAnsi="Arial" w:cs="Arial"/>
                <w:color w:val="000000"/>
                <w:sz w:val="16"/>
              </w:rPr>
              <w:t xml:space="preserve"> (136,866)</w:t>
            </w:r>
          </w:p>
        </w:tc>
        <w:tc>
          <w:tcPr>
            <w:tcW w:w="930"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3B9013EE" w14:textId="77777777" w:rsidR="003F0EEA" w:rsidRPr="0092199D" w:rsidRDefault="00FB7D0B">
            <w:pPr>
              <w:jc w:val="right"/>
              <w:rPr>
                <w:rFonts w:ascii="Arial" w:eastAsia="Arial" w:hAnsi="Arial" w:cs="Arial"/>
                <w:color w:val="000000"/>
                <w:sz w:val="16"/>
              </w:rPr>
            </w:pPr>
            <w:r w:rsidRPr="0092199D">
              <w:rPr>
                <w:rFonts w:ascii="Arial" w:eastAsia="Arial" w:hAnsi="Arial" w:cs="Arial"/>
                <w:color w:val="000000"/>
                <w:sz w:val="16"/>
              </w:rPr>
              <w:t xml:space="preserve"> (161,642)</w:t>
            </w:r>
          </w:p>
        </w:tc>
        <w:tc>
          <w:tcPr>
            <w:tcW w:w="975"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21595965" w14:textId="77777777" w:rsidR="003F0EEA" w:rsidRPr="0092199D" w:rsidRDefault="00FB7D0B">
            <w:pPr>
              <w:jc w:val="right"/>
              <w:rPr>
                <w:rFonts w:ascii="Arial" w:eastAsia="Arial" w:hAnsi="Arial" w:cs="Arial"/>
                <w:color w:val="000000"/>
                <w:sz w:val="16"/>
              </w:rPr>
            </w:pPr>
            <w:r w:rsidRPr="0092199D">
              <w:rPr>
                <w:rFonts w:ascii="Arial" w:eastAsia="Arial" w:hAnsi="Arial" w:cs="Arial"/>
                <w:color w:val="000000"/>
                <w:sz w:val="16"/>
              </w:rPr>
              <w:t xml:space="preserve"> (182,317)</w:t>
            </w:r>
          </w:p>
        </w:tc>
        <w:tc>
          <w:tcPr>
            <w:tcW w:w="975"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7BC7398D" w14:textId="77777777" w:rsidR="003F0EEA" w:rsidRPr="0092199D" w:rsidRDefault="00FB7D0B">
            <w:pPr>
              <w:jc w:val="right"/>
              <w:rPr>
                <w:rFonts w:ascii="Arial" w:eastAsia="Arial" w:hAnsi="Arial" w:cs="Arial"/>
                <w:color w:val="000000"/>
                <w:sz w:val="16"/>
              </w:rPr>
            </w:pPr>
            <w:r w:rsidRPr="0092199D">
              <w:rPr>
                <w:rFonts w:ascii="Arial" w:eastAsia="Arial" w:hAnsi="Arial" w:cs="Arial"/>
                <w:color w:val="000000"/>
                <w:sz w:val="16"/>
              </w:rPr>
              <w:t xml:space="preserve"> (196,578)</w:t>
            </w:r>
          </w:p>
        </w:tc>
      </w:tr>
      <w:tr w:rsidR="00FB7D0B" w14:paraId="48CE5C29" w14:textId="77777777" w:rsidTr="00FB7D0B">
        <w:trPr>
          <w:trHeight w:val="225"/>
        </w:trPr>
        <w:tc>
          <w:tcPr>
            <w:tcW w:w="3060" w:type="dxa"/>
            <w:gridSpan w:val="3"/>
            <w:tcBorders>
              <w:top w:val="nil"/>
              <w:left w:val="nil"/>
              <w:bottom w:val="single" w:sz="6" w:space="0" w:color="000000"/>
              <w:right w:val="nil"/>
              <w:tl2br w:val="nil"/>
              <w:tr2bl w:val="nil"/>
            </w:tcBorders>
            <w:shd w:val="clear" w:color="auto" w:fill="FFFFFF"/>
            <w:tcMar>
              <w:left w:w="101" w:type="dxa"/>
              <w:right w:w="101" w:type="dxa"/>
            </w:tcMar>
            <w:vAlign w:val="bottom"/>
          </w:tcPr>
          <w:p w14:paraId="50F89BCB" w14:textId="77777777" w:rsidR="003F0EEA" w:rsidRPr="0092199D" w:rsidRDefault="00FB7D0B">
            <w:pPr>
              <w:rPr>
                <w:rFonts w:ascii="Arial" w:eastAsia="Arial" w:hAnsi="Arial" w:cs="Arial"/>
                <w:color w:val="000000"/>
                <w:sz w:val="16"/>
              </w:rPr>
            </w:pPr>
            <w:r w:rsidRPr="0092199D">
              <w:rPr>
                <w:rFonts w:ascii="Arial" w:eastAsia="Arial" w:hAnsi="Arial" w:cs="Arial"/>
                <w:b/>
                <w:color w:val="000000"/>
                <w:sz w:val="16"/>
              </w:rPr>
              <w:t>Total equity</w:t>
            </w:r>
          </w:p>
        </w:tc>
        <w:tc>
          <w:tcPr>
            <w:tcW w:w="930"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6C7D921C" w14:textId="77777777" w:rsidR="003F0EEA" w:rsidRPr="0092199D" w:rsidRDefault="00FB7D0B">
            <w:pPr>
              <w:jc w:val="right"/>
              <w:rPr>
                <w:rFonts w:ascii="Arial" w:eastAsia="Arial" w:hAnsi="Arial" w:cs="Arial"/>
                <w:b/>
                <w:color w:val="000000"/>
                <w:sz w:val="16"/>
              </w:rPr>
            </w:pPr>
            <w:r w:rsidRPr="0092199D">
              <w:rPr>
                <w:rFonts w:ascii="Arial" w:eastAsia="Arial" w:hAnsi="Arial" w:cs="Arial"/>
                <w:b/>
                <w:color w:val="000000"/>
                <w:sz w:val="16"/>
              </w:rPr>
              <w:t xml:space="preserve"> 89,347 </w:t>
            </w:r>
          </w:p>
        </w:tc>
        <w:tc>
          <w:tcPr>
            <w:tcW w:w="930" w:type="dxa"/>
            <w:tcBorders>
              <w:top w:val="single" w:sz="6" w:space="0" w:color="000000"/>
              <w:left w:val="nil"/>
              <w:bottom w:val="single" w:sz="6" w:space="0" w:color="000000"/>
              <w:right w:val="nil"/>
              <w:tl2br w:val="nil"/>
              <w:tr2bl w:val="nil"/>
            </w:tcBorders>
            <w:shd w:val="clear" w:color="auto" w:fill="FFFF00"/>
            <w:tcMar>
              <w:left w:w="101" w:type="dxa"/>
              <w:right w:w="101" w:type="dxa"/>
            </w:tcMar>
            <w:vAlign w:val="bottom"/>
          </w:tcPr>
          <w:p w14:paraId="285B346F" w14:textId="77777777" w:rsidR="003F0EEA" w:rsidRPr="0092199D" w:rsidRDefault="00FB7D0B">
            <w:pPr>
              <w:jc w:val="right"/>
              <w:rPr>
                <w:rFonts w:ascii="Arial" w:eastAsia="Arial" w:hAnsi="Arial" w:cs="Arial"/>
                <w:b/>
                <w:color w:val="000000"/>
                <w:sz w:val="16"/>
              </w:rPr>
            </w:pPr>
            <w:r w:rsidRPr="0092199D">
              <w:rPr>
                <w:rFonts w:ascii="Arial" w:eastAsia="Arial" w:hAnsi="Arial" w:cs="Arial"/>
                <w:b/>
                <w:color w:val="000000"/>
                <w:sz w:val="16"/>
              </w:rPr>
              <w:t xml:space="preserve"> 76,272 </w:t>
            </w:r>
          </w:p>
        </w:tc>
        <w:tc>
          <w:tcPr>
            <w:tcW w:w="930"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4DF74E54" w14:textId="77777777" w:rsidR="003F0EEA" w:rsidRPr="0092199D" w:rsidRDefault="00FB7D0B">
            <w:pPr>
              <w:jc w:val="right"/>
              <w:rPr>
                <w:rFonts w:ascii="Arial" w:eastAsia="Arial" w:hAnsi="Arial" w:cs="Arial"/>
                <w:b/>
                <w:color w:val="000000"/>
                <w:sz w:val="16"/>
              </w:rPr>
            </w:pPr>
            <w:r w:rsidRPr="0092199D">
              <w:rPr>
                <w:rFonts w:ascii="Arial" w:eastAsia="Arial" w:hAnsi="Arial" w:cs="Arial"/>
                <w:b/>
                <w:color w:val="000000"/>
                <w:sz w:val="16"/>
              </w:rPr>
              <w:t xml:space="preserve"> 65,612 </w:t>
            </w:r>
          </w:p>
        </w:tc>
        <w:tc>
          <w:tcPr>
            <w:tcW w:w="975"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2384DBB6" w14:textId="77777777" w:rsidR="003F0EEA" w:rsidRPr="0092199D" w:rsidRDefault="00FB7D0B">
            <w:pPr>
              <w:jc w:val="right"/>
              <w:rPr>
                <w:rFonts w:ascii="Arial" w:eastAsia="Arial" w:hAnsi="Arial" w:cs="Arial"/>
                <w:b/>
                <w:color w:val="000000"/>
                <w:sz w:val="16"/>
              </w:rPr>
            </w:pPr>
            <w:r w:rsidRPr="0092199D">
              <w:rPr>
                <w:rFonts w:ascii="Arial" w:eastAsia="Arial" w:hAnsi="Arial" w:cs="Arial"/>
                <w:b/>
                <w:color w:val="000000"/>
                <w:sz w:val="16"/>
              </w:rPr>
              <w:t xml:space="preserve"> 58,310 </w:t>
            </w:r>
          </w:p>
        </w:tc>
        <w:tc>
          <w:tcPr>
            <w:tcW w:w="975"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3AED9DE0" w14:textId="77777777" w:rsidR="003F0EEA" w:rsidRPr="0092199D" w:rsidRDefault="00FB7D0B">
            <w:pPr>
              <w:jc w:val="right"/>
              <w:rPr>
                <w:rFonts w:ascii="Arial" w:eastAsia="Arial" w:hAnsi="Arial" w:cs="Arial"/>
                <w:b/>
                <w:color w:val="000000"/>
                <w:sz w:val="16"/>
              </w:rPr>
            </w:pPr>
            <w:r w:rsidRPr="0092199D">
              <w:rPr>
                <w:rFonts w:ascii="Arial" w:eastAsia="Arial" w:hAnsi="Arial" w:cs="Arial"/>
                <w:b/>
                <w:color w:val="000000"/>
                <w:sz w:val="16"/>
              </w:rPr>
              <w:t xml:space="preserve"> 58,085 </w:t>
            </w:r>
          </w:p>
        </w:tc>
      </w:tr>
    </w:tbl>
    <w:p w14:paraId="2FB27D2B" w14:textId="77777777" w:rsidR="003F0EEA" w:rsidRPr="00AE3DD3" w:rsidRDefault="00FB7D0B" w:rsidP="003F0EEA">
      <w:pPr>
        <w:pStyle w:val="Source4"/>
      </w:pPr>
      <w:r>
        <w:t>Prepared on Australian Accounting Standards basis</w:t>
      </w:r>
    </w:p>
    <w:p w14:paraId="6D78A027" w14:textId="77777777" w:rsidR="003F0EEA" w:rsidRPr="00AE3DD3" w:rsidRDefault="00FB7D0B">
      <w:pPr>
        <w:spacing w:line="14" w:lineRule="exact"/>
        <w:rPr>
          <w:rFonts w:eastAsia="Times New Roman" w:cs="Times New Roman"/>
        </w:rPr>
      </w:pPr>
      <w:r w:rsidRPr="00AE3DD3">
        <w:rPr>
          <w:rFonts w:eastAsia="Times New Roman" w:cs="Times New Roman"/>
        </w:rPr>
        <w:br w:type="page"/>
      </w:r>
    </w:p>
    <w:p w14:paraId="47A4E796" w14:textId="77777777" w:rsidR="003F0EEA" w:rsidRDefault="00FB7D0B" w:rsidP="003F0EEA">
      <w:pPr>
        <w:pStyle w:val="TableHeading12"/>
        <w:spacing w:after="0"/>
        <w:rPr>
          <w:rFonts w:eastAsia="Calibri"/>
        </w:rPr>
      </w:pPr>
      <w:r>
        <w:rPr>
          <w:rFonts w:eastAsia="Calibri"/>
        </w:rPr>
        <w:t xml:space="preserve">Table 3.2.3a: Budgeted Departmental Statement of Cash Flows (amalgamated) </w:t>
      </w:r>
    </w:p>
    <w:p w14:paraId="1C55433B" w14:textId="77777777" w:rsidR="003F0EEA" w:rsidRPr="001167E1" w:rsidRDefault="00FB7D0B" w:rsidP="003F0EEA">
      <w:pPr>
        <w:pStyle w:val="TableHeading12"/>
        <w:spacing w:before="0" w:after="0"/>
        <w:rPr>
          <w:rFonts w:eastAsia="Calibri"/>
        </w:rPr>
      </w:pPr>
      <w:r w:rsidRPr="001167E1">
        <w:rPr>
          <w:rFonts w:eastAsia="Calibri"/>
        </w:rPr>
        <w:t>for the period ended 30 June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2"/>
        <w:gridCol w:w="2910"/>
        <w:gridCol w:w="915"/>
        <w:gridCol w:w="915"/>
        <w:gridCol w:w="915"/>
        <w:gridCol w:w="915"/>
        <w:gridCol w:w="915"/>
      </w:tblGrid>
      <w:tr w:rsidR="00724034" w14:paraId="4C0FD226" w14:textId="77777777">
        <w:trPr>
          <w:trHeight w:val="225"/>
        </w:trPr>
        <w:tc>
          <w:tcPr>
            <w:tcW w:w="180"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0E00EAD4" w14:textId="77777777" w:rsidR="003F0EEA" w:rsidRPr="001167E1" w:rsidRDefault="003F0EEA"/>
        </w:tc>
        <w:tc>
          <w:tcPr>
            <w:tcW w:w="2910"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543D89ED" w14:textId="77777777" w:rsidR="003F0EEA" w:rsidRPr="001167E1" w:rsidRDefault="003F0EEA">
            <w:pPr>
              <w:rPr>
                <w:rFonts w:ascii="Arial" w:eastAsia="Arial" w:hAnsi="Arial" w:cs="Arial"/>
                <w:color w:val="000000"/>
                <w:sz w:val="20"/>
              </w:rPr>
            </w:pPr>
          </w:p>
        </w:tc>
        <w:tc>
          <w:tcPr>
            <w:tcW w:w="91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57E12ACE" w14:textId="77777777" w:rsidR="003F0EEA" w:rsidRPr="001167E1" w:rsidRDefault="00FB7D0B">
            <w:pPr>
              <w:jc w:val="right"/>
              <w:rPr>
                <w:rFonts w:ascii="Arial" w:eastAsia="Arial" w:hAnsi="Arial" w:cs="Arial"/>
                <w:color w:val="000000"/>
                <w:sz w:val="16"/>
              </w:rPr>
            </w:pPr>
            <w:r w:rsidRPr="001167E1">
              <w:rPr>
                <w:rFonts w:ascii="Arial" w:eastAsia="Arial" w:hAnsi="Arial" w:cs="Arial"/>
                <w:color w:val="000000"/>
                <w:sz w:val="16"/>
              </w:rPr>
              <w:t>Estimated</w:t>
            </w:r>
          </w:p>
        </w:tc>
        <w:tc>
          <w:tcPr>
            <w:tcW w:w="915" w:type="dxa"/>
            <w:tcBorders>
              <w:top w:val="single" w:sz="6" w:space="0" w:color="000000"/>
              <w:left w:val="nil"/>
              <w:bottom w:val="nil"/>
              <w:right w:val="nil"/>
              <w:tl2br w:val="nil"/>
              <w:tr2bl w:val="nil"/>
            </w:tcBorders>
            <w:shd w:val="clear" w:color="auto" w:fill="FFFF00"/>
            <w:tcMar>
              <w:left w:w="101" w:type="dxa"/>
              <w:right w:w="101" w:type="dxa"/>
            </w:tcMar>
            <w:vAlign w:val="bottom"/>
          </w:tcPr>
          <w:p w14:paraId="7433F547" w14:textId="77777777" w:rsidR="003F0EEA" w:rsidRPr="001167E1" w:rsidRDefault="00FB7D0B">
            <w:pPr>
              <w:jc w:val="right"/>
              <w:rPr>
                <w:rFonts w:ascii="Arial" w:eastAsia="Arial" w:hAnsi="Arial" w:cs="Arial"/>
                <w:color w:val="000000"/>
                <w:sz w:val="16"/>
              </w:rPr>
            </w:pPr>
            <w:r w:rsidRPr="001167E1">
              <w:rPr>
                <w:rFonts w:ascii="Arial" w:eastAsia="Arial" w:hAnsi="Arial" w:cs="Arial"/>
                <w:color w:val="000000"/>
                <w:sz w:val="16"/>
              </w:rPr>
              <w:t>Budget</w:t>
            </w:r>
          </w:p>
        </w:tc>
        <w:tc>
          <w:tcPr>
            <w:tcW w:w="91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085599D6" w14:textId="77777777" w:rsidR="003F0EEA" w:rsidRPr="001167E1" w:rsidRDefault="00FB7D0B">
            <w:pPr>
              <w:jc w:val="right"/>
              <w:rPr>
                <w:rFonts w:ascii="Arial" w:eastAsia="Arial" w:hAnsi="Arial" w:cs="Arial"/>
                <w:color w:val="000000"/>
                <w:sz w:val="16"/>
              </w:rPr>
            </w:pPr>
            <w:r w:rsidRPr="001167E1">
              <w:rPr>
                <w:rFonts w:ascii="Arial" w:eastAsia="Arial" w:hAnsi="Arial" w:cs="Arial"/>
                <w:color w:val="000000"/>
                <w:sz w:val="16"/>
              </w:rPr>
              <w:t>Forward</w:t>
            </w:r>
          </w:p>
        </w:tc>
        <w:tc>
          <w:tcPr>
            <w:tcW w:w="91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56FB4FBA" w14:textId="77777777" w:rsidR="003F0EEA" w:rsidRPr="001167E1" w:rsidRDefault="00FB7D0B">
            <w:pPr>
              <w:jc w:val="right"/>
              <w:rPr>
                <w:rFonts w:ascii="Arial" w:eastAsia="Arial" w:hAnsi="Arial" w:cs="Arial"/>
                <w:color w:val="000000"/>
                <w:sz w:val="16"/>
              </w:rPr>
            </w:pPr>
            <w:r w:rsidRPr="001167E1">
              <w:rPr>
                <w:rFonts w:ascii="Arial" w:eastAsia="Arial" w:hAnsi="Arial" w:cs="Arial"/>
                <w:color w:val="000000"/>
                <w:sz w:val="16"/>
              </w:rPr>
              <w:t>Forward</w:t>
            </w:r>
          </w:p>
        </w:tc>
        <w:tc>
          <w:tcPr>
            <w:tcW w:w="91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022E7A20" w14:textId="77777777" w:rsidR="003F0EEA" w:rsidRPr="001167E1" w:rsidRDefault="00FB7D0B">
            <w:pPr>
              <w:jc w:val="right"/>
              <w:rPr>
                <w:rFonts w:ascii="Arial" w:eastAsia="Arial" w:hAnsi="Arial" w:cs="Arial"/>
                <w:color w:val="000000"/>
                <w:sz w:val="16"/>
              </w:rPr>
            </w:pPr>
            <w:r w:rsidRPr="001167E1">
              <w:rPr>
                <w:rFonts w:ascii="Arial" w:eastAsia="Arial" w:hAnsi="Arial" w:cs="Arial"/>
                <w:color w:val="000000"/>
                <w:sz w:val="16"/>
              </w:rPr>
              <w:t>Forward</w:t>
            </w:r>
          </w:p>
        </w:tc>
      </w:tr>
      <w:tr w:rsidR="00724034" w14:paraId="636C3670" w14:textId="77777777">
        <w:trPr>
          <w:trHeight w:val="225"/>
        </w:trPr>
        <w:tc>
          <w:tcPr>
            <w:tcW w:w="180" w:type="dxa"/>
            <w:tcBorders>
              <w:top w:val="nil"/>
              <w:left w:val="nil"/>
              <w:bottom w:val="nil"/>
              <w:right w:val="nil"/>
              <w:tl2br w:val="nil"/>
              <w:tr2bl w:val="nil"/>
            </w:tcBorders>
            <w:shd w:val="clear" w:color="auto" w:fill="FFFFFF"/>
            <w:tcMar>
              <w:left w:w="101" w:type="dxa"/>
              <w:right w:w="101" w:type="dxa"/>
            </w:tcMar>
            <w:vAlign w:val="bottom"/>
          </w:tcPr>
          <w:p w14:paraId="15FDE250" w14:textId="77777777" w:rsidR="003F0EEA" w:rsidRPr="001167E1" w:rsidRDefault="003F0EEA">
            <w:pPr>
              <w:rPr>
                <w:rFonts w:ascii="Arial" w:eastAsia="Arial" w:hAnsi="Arial" w:cs="Arial"/>
                <w:color w:val="000000"/>
                <w:sz w:val="16"/>
              </w:rPr>
            </w:pPr>
          </w:p>
        </w:tc>
        <w:tc>
          <w:tcPr>
            <w:tcW w:w="2910" w:type="dxa"/>
            <w:tcBorders>
              <w:top w:val="nil"/>
              <w:left w:val="nil"/>
              <w:bottom w:val="nil"/>
              <w:right w:val="nil"/>
              <w:tl2br w:val="nil"/>
              <w:tr2bl w:val="nil"/>
            </w:tcBorders>
            <w:shd w:val="clear" w:color="auto" w:fill="FFFFFF"/>
            <w:tcMar>
              <w:left w:w="101" w:type="dxa"/>
              <w:right w:w="101" w:type="dxa"/>
            </w:tcMar>
            <w:vAlign w:val="bottom"/>
          </w:tcPr>
          <w:p w14:paraId="47DFCDC3" w14:textId="77777777" w:rsidR="003F0EEA" w:rsidRPr="001167E1" w:rsidRDefault="003F0EEA">
            <w:pPr>
              <w:rPr>
                <w:rFonts w:ascii="Arial" w:eastAsia="Arial" w:hAnsi="Arial" w:cs="Arial"/>
                <w:color w:val="000000"/>
                <w:sz w:val="20"/>
              </w:rPr>
            </w:pP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6FE57C3E" w14:textId="77777777" w:rsidR="003F0EEA" w:rsidRPr="001167E1" w:rsidRDefault="00FB7D0B">
            <w:pPr>
              <w:jc w:val="right"/>
              <w:rPr>
                <w:rFonts w:ascii="Arial" w:eastAsia="Arial" w:hAnsi="Arial" w:cs="Arial"/>
                <w:color w:val="000000"/>
                <w:sz w:val="16"/>
              </w:rPr>
            </w:pPr>
            <w:r w:rsidRPr="001167E1">
              <w:rPr>
                <w:rFonts w:ascii="Arial" w:eastAsia="Arial" w:hAnsi="Arial" w:cs="Arial"/>
                <w:color w:val="000000"/>
                <w:sz w:val="16"/>
              </w:rPr>
              <w:t>actual</w:t>
            </w:r>
          </w:p>
        </w:tc>
        <w:tc>
          <w:tcPr>
            <w:tcW w:w="915" w:type="dxa"/>
            <w:tcBorders>
              <w:top w:val="nil"/>
              <w:left w:val="nil"/>
              <w:bottom w:val="nil"/>
              <w:right w:val="nil"/>
              <w:tl2br w:val="nil"/>
              <w:tr2bl w:val="nil"/>
            </w:tcBorders>
            <w:shd w:val="clear" w:color="auto" w:fill="FFFF00"/>
            <w:tcMar>
              <w:left w:w="101" w:type="dxa"/>
              <w:right w:w="101" w:type="dxa"/>
            </w:tcMar>
            <w:vAlign w:val="bottom"/>
          </w:tcPr>
          <w:p w14:paraId="51DC3E86" w14:textId="77777777" w:rsidR="003F0EEA" w:rsidRPr="001167E1" w:rsidRDefault="00FB7D0B">
            <w:pPr>
              <w:jc w:val="right"/>
              <w:rPr>
                <w:rFonts w:ascii="Arial" w:eastAsia="Arial" w:hAnsi="Arial" w:cs="Arial"/>
                <w:color w:val="000000"/>
                <w:sz w:val="16"/>
              </w:rPr>
            </w:pPr>
            <w:r w:rsidRPr="001167E1">
              <w:rPr>
                <w:rFonts w:ascii="Arial" w:eastAsia="Arial" w:hAnsi="Arial" w:cs="Arial"/>
                <w:color w:val="000000"/>
                <w:sz w:val="16"/>
              </w:rPr>
              <w:t>estimate</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09577905" w14:textId="77777777" w:rsidR="003F0EEA" w:rsidRPr="001167E1" w:rsidRDefault="00FB7D0B">
            <w:pPr>
              <w:jc w:val="right"/>
              <w:rPr>
                <w:rFonts w:ascii="Arial" w:eastAsia="Arial" w:hAnsi="Arial" w:cs="Arial"/>
                <w:color w:val="000000"/>
                <w:sz w:val="16"/>
              </w:rPr>
            </w:pPr>
            <w:r w:rsidRPr="001167E1">
              <w:rPr>
                <w:rFonts w:ascii="Arial" w:eastAsia="Arial" w:hAnsi="Arial" w:cs="Arial"/>
                <w:color w:val="000000"/>
                <w:sz w:val="16"/>
              </w:rPr>
              <w:t>estimate</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7BCA5C3A" w14:textId="77777777" w:rsidR="003F0EEA" w:rsidRPr="001167E1" w:rsidRDefault="00FB7D0B">
            <w:pPr>
              <w:jc w:val="right"/>
              <w:rPr>
                <w:rFonts w:ascii="Arial" w:eastAsia="Arial" w:hAnsi="Arial" w:cs="Arial"/>
                <w:color w:val="000000"/>
                <w:sz w:val="16"/>
              </w:rPr>
            </w:pPr>
            <w:r w:rsidRPr="001167E1">
              <w:rPr>
                <w:rFonts w:ascii="Arial" w:eastAsia="Arial" w:hAnsi="Arial" w:cs="Arial"/>
                <w:color w:val="000000"/>
                <w:sz w:val="16"/>
              </w:rPr>
              <w:t>estimate</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1D410BBE" w14:textId="77777777" w:rsidR="003F0EEA" w:rsidRPr="001167E1" w:rsidRDefault="00FB7D0B">
            <w:pPr>
              <w:jc w:val="right"/>
              <w:rPr>
                <w:rFonts w:ascii="Arial" w:eastAsia="Arial" w:hAnsi="Arial" w:cs="Arial"/>
                <w:color w:val="000000"/>
                <w:sz w:val="16"/>
              </w:rPr>
            </w:pPr>
            <w:r w:rsidRPr="001167E1">
              <w:rPr>
                <w:rFonts w:ascii="Arial" w:eastAsia="Arial" w:hAnsi="Arial" w:cs="Arial"/>
                <w:color w:val="000000"/>
                <w:sz w:val="16"/>
              </w:rPr>
              <w:t>estimate</w:t>
            </w:r>
          </w:p>
        </w:tc>
      </w:tr>
      <w:tr w:rsidR="00724034" w14:paraId="3E412E68" w14:textId="77777777">
        <w:trPr>
          <w:trHeight w:val="225"/>
        </w:trPr>
        <w:tc>
          <w:tcPr>
            <w:tcW w:w="180" w:type="dxa"/>
            <w:tcBorders>
              <w:top w:val="nil"/>
              <w:left w:val="nil"/>
              <w:bottom w:val="nil"/>
              <w:right w:val="nil"/>
              <w:tl2br w:val="nil"/>
              <w:tr2bl w:val="nil"/>
            </w:tcBorders>
            <w:shd w:val="clear" w:color="auto" w:fill="FFFFFF"/>
            <w:tcMar>
              <w:left w:w="101" w:type="dxa"/>
              <w:right w:w="101" w:type="dxa"/>
            </w:tcMar>
            <w:vAlign w:val="bottom"/>
          </w:tcPr>
          <w:p w14:paraId="49714C4A" w14:textId="77777777" w:rsidR="003F0EEA" w:rsidRPr="001167E1" w:rsidRDefault="003F0EEA">
            <w:pPr>
              <w:rPr>
                <w:rFonts w:ascii="Arial" w:eastAsia="Arial" w:hAnsi="Arial" w:cs="Arial"/>
                <w:color w:val="000000"/>
                <w:sz w:val="16"/>
              </w:rPr>
            </w:pPr>
          </w:p>
        </w:tc>
        <w:tc>
          <w:tcPr>
            <w:tcW w:w="2910" w:type="dxa"/>
            <w:tcBorders>
              <w:top w:val="nil"/>
              <w:left w:val="nil"/>
              <w:bottom w:val="nil"/>
              <w:right w:val="nil"/>
              <w:tl2br w:val="nil"/>
              <w:tr2bl w:val="nil"/>
            </w:tcBorders>
            <w:shd w:val="clear" w:color="auto" w:fill="FFFFFF"/>
            <w:tcMar>
              <w:left w:w="101" w:type="dxa"/>
              <w:right w:w="101" w:type="dxa"/>
            </w:tcMar>
            <w:vAlign w:val="bottom"/>
          </w:tcPr>
          <w:p w14:paraId="1A88986A" w14:textId="77777777" w:rsidR="003F0EEA" w:rsidRPr="001167E1" w:rsidRDefault="003F0EEA">
            <w:pPr>
              <w:rPr>
                <w:rFonts w:ascii="Arial" w:eastAsia="Arial" w:hAnsi="Arial" w:cs="Arial"/>
                <w:color w:val="000000"/>
                <w:sz w:val="20"/>
              </w:rPr>
            </w:pP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054BD2B5" w14:textId="77777777" w:rsidR="003F0EEA" w:rsidRPr="001167E1" w:rsidRDefault="00FB7D0B">
            <w:pPr>
              <w:jc w:val="right"/>
              <w:rPr>
                <w:rFonts w:ascii="Arial" w:eastAsia="Arial" w:hAnsi="Arial" w:cs="Arial"/>
                <w:color w:val="000000"/>
                <w:sz w:val="16"/>
              </w:rPr>
            </w:pPr>
            <w:r w:rsidRPr="001167E1">
              <w:rPr>
                <w:rFonts w:ascii="Arial" w:eastAsia="Arial" w:hAnsi="Arial" w:cs="Arial"/>
                <w:color w:val="000000"/>
                <w:sz w:val="16"/>
              </w:rPr>
              <w:t>2013-14</w:t>
            </w:r>
          </w:p>
        </w:tc>
        <w:tc>
          <w:tcPr>
            <w:tcW w:w="915" w:type="dxa"/>
            <w:tcBorders>
              <w:top w:val="nil"/>
              <w:left w:val="nil"/>
              <w:bottom w:val="nil"/>
              <w:right w:val="nil"/>
              <w:tl2br w:val="nil"/>
              <w:tr2bl w:val="nil"/>
            </w:tcBorders>
            <w:shd w:val="clear" w:color="auto" w:fill="FFFF00"/>
            <w:tcMar>
              <w:left w:w="101" w:type="dxa"/>
              <w:right w:w="101" w:type="dxa"/>
            </w:tcMar>
            <w:vAlign w:val="bottom"/>
          </w:tcPr>
          <w:p w14:paraId="48DF2612" w14:textId="77777777" w:rsidR="003F0EEA" w:rsidRPr="001167E1" w:rsidRDefault="00FB7D0B">
            <w:pPr>
              <w:jc w:val="right"/>
              <w:rPr>
                <w:rFonts w:ascii="Arial" w:eastAsia="Arial" w:hAnsi="Arial" w:cs="Arial"/>
                <w:color w:val="000000"/>
                <w:sz w:val="16"/>
              </w:rPr>
            </w:pPr>
            <w:r w:rsidRPr="001167E1">
              <w:rPr>
                <w:rFonts w:ascii="Arial" w:eastAsia="Arial" w:hAnsi="Arial" w:cs="Arial"/>
                <w:color w:val="000000"/>
                <w:sz w:val="16"/>
              </w:rPr>
              <w:t>2014-15</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33C462D9" w14:textId="77777777" w:rsidR="003F0EEA" w:rsidRPr="001167E1" w:rsidRDefault="00FB7D0B">
            <w:pPr>
              <w:jc w:val="right"/>
              <w:rPr>
                <w:rFonts w:ascii="Arial" w:eastAsia="Arial" w:hAnsi="Arial" w:cs="Arial"/>
                <w:color w:val="000000"/>
                <w:sz w:val="16"/>
              </w:rPr>
            </w:pPr>
            <w:r w:rsidRPr="001167E1">
              <w:rPr>
                <w:rFonts w:ascii="Arial" w:eastAsia="Arial" w:hAnsi="Arial" w:cs="Arial"/>
                <w:color w:val="000000"/>
                <w:sz w:val="16"/>
              </w:rPr>
              <w:t>2015-16</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1010DE4D" w14:textId="77777777" w:rsidR="003F0EEA" w:rsidRPr="001167E1" w:rsidRDefault="00FB7D0B">
            <w:pPr>
              <w:jc w:val="right"/>
              <w:rPr>
                <w:rFonts w:ascii="Arial" w:eastAsia="Arial" w:hAnsi="Arial" w:cs="Arial"/>
                <w:color w:val="000000"/>
                <w:sz w:val="16"/>
              </w:rPr>
            </w:pPr>
            <w:r w:rsidRPr="001167E1">
              <w:rPr>
                <w:rFonts w:ascii="Arial" w:eastAsia="Arial" w:hAnsi="Arial" w:cs="Arial"/>
                <w:color w:val="000000"/>
                <w:sz w:val="16"/>
              </w:rPr>
              <w:t>2016-17</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722CDDAD" w14:textId="77777777" w:rsidR="003F0EEA" w:rsidRPr="001167E1" w:rsidRDefault="00FB7D0B">
            <w:pPr>
              <w:jc w:val="right"/>
              <w:rPr>
                <w:rFonts w:ascii="Arial" w:eastAsia="Arial" w:hAnsi="Arial" w:cs="Arial"/>
                <w:color w:val="000000"/>
                <w:sz w:val="16"/>
              </w:rPr>
            </w:pPr>
            <w:r w:rsidRPr="001167E1">
              <w:rPr>
                <w:rFonts w:ascii="Arial" w:eastAsia="Arial" w:hAnsi="Arial" w:cs="Arial"/>
                <w:color w:val="000000"/>
                <w:sz w:val="16"/>
              </w:rPr>
              <w:t>2017-18</w:t>
            </w:r>
          </w:p>
        </w:tc>
      </w:tr>
      <w:tr w:rsidR="00724034" w14:paraId="06D5C72C" w14:textId="77777777">
        <w:trPr>
          <w:trHeight w:val="225"/>
        </w:trPr>
        <w:tc>
          <w:tcPr>
            <w:tcW w:w="180" w:type="dxa"/>
            <w:tcBorders>
              <w:top w:val="nil"/>
              <w:left w:val="nil"/>
              <w:bottom w:val="nil"/>
              <w:right w:val="nil"/>
              <w:tl2br w:val="nil"/>
              <w:tr2bl w:val="nil"/>
            </w:tcBorders>
            <w:shd w:val="clear" w:color="auto" w:fill="FFFFFF"/>
            <w:tcMar>
              <w:left w:w="101" w:type="dxa"/>
              <w:right w:w="101" w:type="dxa"/>
            </w:tcMar>
            <w:vAlign w:val="bottom"/>
          </w:tcPr>
          <w:p w14:paraId="659E2FA9" w14:textId="77777777" w:rsidR="003F0EEA" w:rsidRPr="001167E1" w:rsidRDefault="003F0EEA">
            <w:pPr>
              <w:rPr>
                <w:rFonts w:ascii="Arial" w:eastAsia="Arial" w:hAnsi="Arial" w:cs="Arial"/>
                <w:color w:val="000000"/>
                <w:sz w:val="16"/>
              </w:rPr>
            </w:pPr>
          </w:p>
        </w:tc>
        <w:tc>
          <w:tcPr>
            <w:tcW w:w="2910" w:type="dxa"/>
            <w:tcBorders>
              <w:top w:val="nil"/>
              <w:left w:val="nil"/>
              <w:bottom w:val="nil"/>
              <w:right w:val="nil"/>
              <w:tl2br w:val="nil"/>
              <w:tr2bl w:val="nil"/>
            </w:tcBorders>
            <w:shd w:val="clear" w:color="auto" w:fill="FFFFFF"/>
            <w:tcMar>
              <w:left w:w="101" w:type="dxa"/>
              <w:right w:w="101" w:type="dxa"/>
            </w:tcMar>
            <w:vAlign w:val="bottom"/>
          </w:tcPr>
          <w:p w14:paraId="0097451C" w14:textId="77777777" w:rsidR="003F0EEA" w:rsidRPr="001167E1" w:rsidRDefault="003F0EEA">
            <w:pPr>
              <w:rPr>
                <w:rFonts w:ascii="Arial" w:eastAsia="Arial" w:hAnsi="Arial" w:cs="Arial"/>
                <w:color w:val="000000"/>
                <w:sz w:val="20"/>
              </w:rPr>
            </w:pPr>
          </w:p>
        </w:tc>
        <w:tc>
          <w:tcPr>
            <w:tcW w:w="915"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4642E710" w14:textId="77777777" w:rsidR="003F0EEA" w:rsidRPr="001167E1" w:rsidRDefault="00FB7D0B">
            <w:pPr>
              <w:jc w:val="right"/>
              <w:rPr>
                <w:rFonts w:ascii="Arial" w:eastAsia="Arial" w:hAnsi="Arial" w:cs="Arial"/>
                <w:color w:val="000000"/>
                <w:sz w:val="16"/>
              </w:rPr>
            </w:pPr>
            <w:r w:rsidRPr="001167E1">
              <w:rPr>
                <w:rFonts w:ascii="Arial" w:eastAsia="Arial" w:hAnsi="Arial" w:cs="Arial"/>
                <w:color w:val="000000"/>
                <w:sz w:val="16"/>
              </w:rPr>
              <w:t>$'000</w:t>
            </w:r>
          </w:p>
        </w:tc>
        <w:tc>
          <w:tcPr>
            <w:tcW w:w="915" w:type="dxa"/>
            <w:tcBorders>
              <w:top w:val="nil"/>
              <w:left w:val="nil"/>
              <w:bottom w:val="single" w:sz="6" w:space="0" w:color="000000"/>
              <w:right w:val="nil"/>
              <w:tl2br w:val="nil"/>
              <w:tr2bl w:val="nil"/>
            </w:tcBorders>
            <w:shd w:val="clear" w:color="auto" w:fill="FFFF00"/>
            <w:tcMar>
              <w:left w:w="101" w:type="dxa"/>
              <w:right w:w="101" w:type="dxa"/>
            </w:tcMar>
            <w:vAlign w:val="bottom"/>
          </w:tcPr>
          <w:p w14:paraId="0FA72AE1" w14:textId="77777777" w:rsidR="003F0EEA" w:rsidRPr="001167E1" w:rsidRDefault="00FB7D0B">
            <w:pPr>
              <w:jc w:val="right"/>
              <w:rPr>
                <w:rFonts w:ascii="Arial" w:eastAsia="Arial" w:hAnsi="Arial" w:cs="Arial"/>
                <w:color w:val="000000"/>
                <w:sz w:val="16"/>
              </w:rPr>
            </w:pPr>
            <w:r w:rsidRPr="001167E1">
              <w:rPr>
                <w:rFonts w:ascii="Arial" w:eastAsia="Arial" w:hAnsi="Arial" w:cs="Arial"/>
                <w:color w:val="000000"/>
                <w:sz w:val="16"/>
              </w:rPr>
              <w:t>$'000</w:t>
            </w:r>
          </w:p>
        </w:tc>
        <w:tc>
          <w:tcPr>
            <w:tcW w:w="915"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1B24C56B" w14:textId="77777777" w:rsidR="003F0EEA" w:rsidRPr="001167E1" w:rsidRDefault="00FB7D0B">
            <w:pPr>
              <w:jc w:val="right"/>
              <w:rPr>
                <w:rFonts w:ascii="Arial" w:eastAsia="Arial" w:hAnsi="Arial" w:cs="Arial"/>
                <w:color w:val="000000"/>
                <w:sz w:val="16"/>
              </w:rPr>
            </w:pPr>
            <w:r w:rsidRPr="001167E1">
              <w:rPr>
                <w:rFonts w:ascii="Arial" w:eastAsia="Arial" w:hAnsi="Arial" w:cs="Arial"/>
                <w:color w:val="000000"/>
                <w:sz w:val="16"/>
              </w:rPr>
              <w:t>$'000</w:t>
            </w:r>
          </w:p>
        </w:tc>
        <w:tc>
          <w:tcPr>
            <w:tcW w:w="915"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6CB65EE1" w14:textId="77777777" w:rsidR="003F0EEA" w:rsidRPr="001167E1" w:rsidRDefault="00FB7D0B">
            <w:pPr>
              <w:jc w:val="right"/>
              <w:rPr>
                <w:rFonts w:ascii="Arial" w:eastAsia="Arial" w:hAnsi="Arial" w:cs="Arial"/>
                <w:color w:val="000000"/>
                <w:sz w:val="16"/>
              </w:rPr>
            </w:pPr>
            <w:r w:rsidRPr="001167E1">
              <w:rPr>
                <w:rFonts w:ascii="Arial" w:eastAsia="Arial" w:hAnsi="Arial" w:cs="Arial"/>
                <w:color w:val="000000"/>
                <w:sz w:val="16"/>
              </w:rPr>
              <w:t>$'000</w:t>
            </w:r>
          </w:p>
        </w:tc>
        <w:tc>
          <w:tcPr>
            <w:tcW w:w="915"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2B62C2BE" w14:textId="77777777" w:rsidR="003F0EEA" w:rsidRPr="001167E1" w:rsidRDefault="00FB7D0B">
            <w:pPr>
              <w:jc w:val="right"/>
              <w:rPr>
                <w:rFonts w:ascii="Arial" w:eastAsia="Arial" w:hAnsi="Arial" w:cs="Arial"/>
                <w:color w:val="000000"/>
                <w:sz w:val="16"/>
              </w:rPr>
            </w:pPr>
            <w:r w:rsidRPr="001167E1">
              <w:rPr>
                <w:rFonts w:ascii="Arial" w:eastAsia="Arial" w:hAnsi="Arial" w:cs="Arial"/>
                <w:color w:val="000000"/>
                <w:sz w:val="16"/>
              </w:rPr>
              <w:t>$'000</w:t>
            </w:r>
          </w:p>
        </w:tc>
      </w:tr>
      <w:tr w:rsidR="00FB7D0B" w14:paraId="6E8AD860" w14:textId="77777777" w:rsidTr="00FB7D0B">
        <w:trPr>
          <w:trHeight w:val="225"/>
        </w:trPr>
        <w:tc>
          <w:tcPr>
            <w:tcW w:w="3090" w:type="dxa"/>
            <w:gridSpan w:val="2"/>
            <w:tcBorders>
              <w:top w:val="nil"/>
              <w:left w:val="nil"/>
              <w:bottom w:val="nil"/>
              <w:right w:val="nil"/>
              <w:tl2br w:val="nil"/>
              <w:tr2bl w:val="nil"/>
            </w:tcBorders>
            <w:shd w:val="clear" w:color="auto" w:fill="FFFFFF"/>
            <w:tcMar>
              <w:left w:w="101" w:type="dxa"/>
              <w:right w:w="101" w:type="dxa"/>
            </w:tcMar>
            <w:vAlign w:val="bottom"/>
          </w:tcPr>
          <w:p w14:paraId="524695C9" w14:textId="77777777" w:rsidR="003F0EEA" w:rsidRPr="001167E1" w:rsidRDefault="00FB7D0B">
            <w:pPr>
              <w:rPr>
                <w:rFonts w:ascii="Arial" w:eastAsia="Arial" w:hAnsi="Arial" w:cs="Arial"/>
                <w:color w:val="000000"/>
                <w:sz w:val="16"/>
              </w:rPr>
            </w:pPr>
            <w:r w:rsidRPr="001167E1">
              <w:rPr>
                <w:rFonts w:ascii="Arial" w:eastAsia="Arial" w:hAnsi="Arial" w:cs="Arial"/>
                <w:b/>
                <w:color w:val="000000"/>
                <w:sz w:val="16"/>
              </w:rPr>
              <w:t>OPERATING ACTIVITIES</w:t>
            </w:r>
          </w:p>
        </w:tc>
        <w:tc>
          <w:tcPr>
            <w:tcW w:w="91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78ED1FB3" w14:textId="77777777" w:rsidR="003F0EEA" w:rsidRPr="001167E1" w:rsidRDefault="003F0EEA">
            <w:pPr>
              <w:rPr>
                <w:rFonts w:ascii="Arial" w:eastAsia="Arial" w:hAnsi="Arial" w:cs="Arial"/>
                <w:b/>
                <w:color w:val="000000"/>
                <w:sz w:val="16"/>
              </w:rPr>
            </w:pPr>
          </w:p>
        </w:tc>
        <w:tc>
          <w:tcPr>
            <w:tcW w:w="915" w:type="dxa"/>
            <w:tcBorders>
              <w:top w:val="single" w:sz="6" w:space="0" w:color="000000"/>
              <w:left w:val="nil"/>
              <w:bottom w:val="nil"/>
              <w:right w:val="nil"/>
              <w:tl2br w:val="nil"/>
              <w:tr2bl w:val="nil"/>
            </w:tcBorders>
            <w:shd w:val="clear" w:color="auto" w:fill="FFFF00"/>
            <w:tcMar>
              <w:left w:w="101" w:type="dxa"/>
              <w:right w:w="101" w:type="dxa"/>
            </w:tcMar>
            <w:vAlign w:val="bottom"/>
          </w:tcPr>
          <w:p w14:paraId="3BE61482" w14:textId="77777777" w:rsidR="003F0EEA" w:rsidRPr="001167E1" w:rsidRDefault="003F0EEA">
            <w:pPr>
              <w:rPr>
                <w:rFonts w:ascii="Arial" w:eastAsia="Arial" w:hAnsi="Arial" w:cs="Arial"/>
                <w:color w:val="000000"/>
                <w:sz w:val="16"/>
              </w:rPr>
            </w:pPr>
          </w:p>
        </w:tc>
        <w:tc>
          <w:tcPr>
            <w:tcW w:w="91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04AD8A15" w14:textId="77777777" w:rsidR="003F0EEA" w:rsidRPr="001167E1" w:rsidRDefault="003F0EEA">
            <w:pPr>
              <w:rPr>
                <w:rFonts w:ascii="Arial" w:eastAsia="Arial" w:hAnsi="Arial" w:cs="Arial"/>
                <w:color w:val="000000"/>
                <w:sz w:val="16"/>
              </w:rPr>
            </w:pPr>
          </w:p>
        </w:tc>
        <w:tc>
          <w:tcPr>
            <w:tcW w:w="91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10970CB7" w14:textId="77777777" w:rsidR="003F0EEA" w:rsidRPr="001167E1" w:rsidRDefault="003F0EEA">
            <w:pPr>
              <w:rPr>
                <w:rFonts w:ascii="Arial" w:eastAsia="Arial" w:hAnsi="Arial" w:cs="Arial"/>
                <w:color w:val="000000"/>
                <w:sz w:val="16"/>
              </w:rPr>
            </w:pPr>
          </w:p>
        </w:tc>
        <w:tc>
          <w:tcPr>
            <w:tcW w:w="91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0DCF8E18" w14:textId="77777777" w:rsidR="003F0EEA" w:rsidRPr="001167E1" w:rsidRDefault="003F0EEA">
            <w:pPr>
              <w:rPr>
                <w:rFonts w:ascii="Arial" w:eastAsia="Arial" w:hAnsi="Arial" w:cs="Arial"/>
                <w:color w:val="000000"/>
                <w:sz w:val="16"/>
              </w:rPr>
            </w:pPr>
          </w:p>
        </w:tc>
      </w:tr>
      <w:tr w:rsidR="00FB7D0B" w14:paraId="481B8FE5" w14:textId="77777777" w:rsidTr="00FB7D0B">
        <w:trPr>
          <w:trHeight w:val="225"/>
        </w:trPr>
        <w:tc>
          <w:tcPr>
            <w:tcW w:w="3090" w:type="dxa"/>
            <w:gridSpan w:val="2"/>
            <w:tcBorders>
              <w:top w:val="nil"/>
              <w:left w:val="nil"/>
              <w:bottom w:val="nil"/>
              <w:right w:val="nil"/>
              <w:tl2br w:val="nil"/>
              <w:tr2bl w:val="nil"/>
            </w:tcBorders>
            <w:shd w:val="clear" w:color="auto" w:fill="FFFFFF"/>
            <w:tcMar>
              <w:left w:w="101" w:type="dxa"/>
              <w:right w:w="101" w:type="dxa"/>
            </w:tcMar>
            <w:vAlign w:val="bottom"/>
          </w:tcPr>
          <w:p w14:paraId="5F9BDAC7" w14:textId="77777777" w:rsidR="003F0EEA" w:rsidRPr="001167E1" w:rsidRDefault="00FB7D0B">
            <w:pPr>
              <w:rPr>
                <w:rFonts w:ascii="Arial" w:eastAsia="Arial" w:hAnsi="Arial" w:cs="Arial"/>
                <w:color w:val="000000"/>
                <w:sz w:val="16"/>
              </w:rPr>
            </w:pPr>
            <w:r w:rsidRPr="001167E1">
              <w:rPr>
                <w:rFonts w:ascii="Arial" w:eastAsia="Arial" w:hAnsi="Arial" w:cs="Arial"/>
                <w:b/>
                <w:color w:val="000000"/>
                <w:sz w:val="16"/>
              </w:rPr>
              <w:t>Cash received</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7924E087" w14:textId="77777777" w:rsidR="003F0EEA" w:rsidRPr="001167E1" w:rsidRDefault="003F0EEA">
            <w:pPr>
              <w:rPr>
                <w:rFonts w:ascii="Arial" w:eastAsia="Arial" w:hAnsi="Arial" w:cs="Arial"/>
                <w:b/>
                <w:color w:val="000000"/>
                <w:sz w:val="16"/>
              </w:rPr>
            </w:pPr>
          </w:p>
        </w:tc>
        <w:tc>
          <w:tcPr>
            <w:tcW w:w="915" w:type="dxa"/>
            <w:tcBorders>
              <w:top w:val="nil"/>
              <w:left w:val="nil"/>
              <w:bottom w:val="nil"/>
              <w:right w:val="nil"/>
              <w:tl2br w:val="nil"/>
              <w:tr2bl w:val="nil"/>
            </w:tcBorders>
            <w:shd w:val="clear" w:color="auto" w:fill="FFFF00"/>
            <w:tcMar>
              <w:left w:w="101" w:type="dxa"/>
              <w:right w:w="101" w:type="dxa"/>
            </w:tcMar>
            <w:vAlign w:val="bottom"/>
          </w:tcPr>
          <w:p w14:paraId="16C68BE3" w14:textId="77777777" w:rsidR="003F0EEA" w:rsidRPr="001167E1" w:rsidRDefault="003F0EEA">
            <w:pPr>
              <w:rPr>
                <w:rFonts w:ascii="Arial" w:eastAsia="Arial" w:hAnsi="Arial" w:cs="Arial"/>
                <w:color w:val="000000"/>
                <w:sz w:val="16"/>
              </w:rPr>
            </w:pP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59F14C38" w14:textId="77777777" w:rsidR="003F0EEA" w:rsidRPr="001167E1" w:rsidRDefault="003F0EEA">
            <w:pPr>
              <w:rPr>
                <w:rFonts w:ascii="Arial" w:eastAsia="Arial" w:hAnsi="Arial" w:cs="Arial"/>
                <w:color w:val="000000"/>
                <w:sz w:val="16"/>
              </w:rPr>
            </w:pP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1905E87F" w14:textId="77777777" w:rsidR="003F0EEA" w:rsidRPr="001167E1" w:rsidRDefault="003F0EEA">
            <w:pPr>
              <w:rPr>
                <w:rFonts w:ascii="Arial" w:eastAsia="Arial" w:hAnsi="Arial" w:cs="Arial"/>
                <w:color w:val="000000"/>
                <w:sz w:val="16"/>
              </w:rPr>
            </w:pP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12B5160C" w14:textId="77777777" w:rsidR="003F0EEA" w:rsidRPr="001167E1" w:rsidRDefault="003F0EEA">
            <w:pPr>
              <w:rPr>
                <w:rFonts w:ascii="Arial" w:eastAsia="Arial" w:hAnsi="Arial" w:cs="Arial"/>
                <w:color w:val="000000"/>
                <w:sz w:val="16"/>
              </w:rPr>
            </w:pPr>
          </w:p>
        </w:tc>
      </w:tr>
      <w:tr w:rsidR="00724034" w14:paraId="14139981" w14:textId="77777777">
        <w:trPr>
          <w:trHeight w:val="225"/>
        </w:trPr>
        <w:tc>
          <w:tcPr>
            <w:tcW w:w="180" w:type="dxa"/>
            <w:tcBorders>
              <w:top w:val="nil"/>
              <w:left w:val="nil"/>
              <w:bottom w:val="nil"/>
              <w:right w:val="nil"/>
              <w:tl2br w:val="nil"/>
              <w:tr2bl w:val="nil"/>
            </w:tcBorders>
            <w:shd w:val="clear" w:color="auto" w:fill="FFFFFF"/>
            <w:tcMar>
              <w:left w:w="101" w:type="dxa"/>
              <w:right w:w="101" w:type="dxa"/>
            </w:tcMar>
            <w:vAlign w:val="bottom"/>
          </w:tcPr>
          <w:p w14:paraId="646C0D3F" w14:textId="77777777" w:rsidR="003F0EEA" w:rsidRPr="001167E1" w:rsidRDefault="003F0EEA">
            <w:pPr>
              <w:rPr>
                <w:rFonts w:ascii="Arial" w:eastAsia="Arial" w:hAnsi="Arial" w:cs="Arial"/>
                <w:color w:val="000000"/>
                <w:sz w:val="16"/>
              </w:rPr>
            </w:pPr>
          </w:p>
        </w:tc>
        <w:tc>
          <w:tcPr>
            <w:tcW w:w="2910" w:type="dxa"/>
            <w:tcBorders>
              <w:top w:val="nil"/>
              <w:left w:val="nil"/>
              <w:bottom w:val="nil"/>
              <w:right w:val="nil"/>
              <w:tl2br w:val="nil"/>
              <w:tr2bl w:val="nil"/>
            </w:tcBorders>
            <w:shd w:val="clear" w:color="auto" w:fill="FFFFFF"/>
            <w:tcMar>
              <w:left w:w="101" w:type="dxa"/>
              <w:right w:w="101" w:type="dxa"/>
            </w:tcMar>
            <w:vAlign w:val="bottom"/>
          </w:tcPr>
          <w:p w14:paraId="2045078D" w14:textId="77777777" w:rsidR="003F0EEA" w:rsidRPr="001167E1" w:rsidRDefault="00FB7D0B">
            <w:pPr>
              <w:rPr>
                <w:rFonts w:ascii="Arial" w:eastAsia="Arial" w:hAnsi="Arial" w:cs="Arial"/>
                <w:color w:val="000000"/>
                <w:sz w:val="20"/>
              </w:rPr>
            </w:pPr>
            <w:r w:rsidRPr="001167E1">
              <w:rPr>
                <w:rFonts w:ascii="Arial" w:eastAsia="Arial" w:hAnsi="Arial" w:cs="Arial"/>
                <w:color w:val="000000"/>
                <w:sz w:val="16"/>
              </w:rPr>
              <w:t>Appropriations</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133F61A6" w14:textId="77777777" w:rsidR="003F0EEA" w:rsidRPr="001167E1" w:rsidRDefault="00FB7D0B">
            <w:pPr>
              <w:jc w:val="right"/>
              <w:rPr>
                <w:rFonts w:ascii="Arial" w:eastAsia="Arial" w:hAnsi="Arial" w:cs="Arial"/>
                <w:color w:val="000000"/>
                <w:sz w:val="16"/>
              </w:rPr>
            </w:pPr>
            <w:r w:rsidRPr="001167E1">
              <w:rPr>
                <w:rFonts w:ascii="Arial" w:eastAsia="Arial" w:hAnsi="Arial" w:cs="Arial"/>
                <w:color w:val="000000"/>
                <w:sz w:val="16"/>
              </w:rPr>
              <w:t xml:space="preserve"> 293,443 </w:t>
            </w:r>
          </w:p>
        </w:tc>
        <w:tc>
          <w:tcPr>
            <w:tcW w:w="915" w:type="dxa"/>
            <w:tcBorders>
              <w:top w:val="nil"/>
              <w:left w:val="nil"/>
              <w:bottom w:val="nil"/>
              <w:right w:val="nil"/>
              <w:tl2br w:val="nil"/>
              <w:tr2bl w:val="nil"/>
            </w:tcBorders>
            <w:shd w:val="clear" w:color="auto" w:fill="FFFF00"/>
            <w:tcMar>
              <w:left w:w="101" w:type="dxa"/>
              <w:right w:w="101" w:type="dxa"/>
            </w:tcMar>
            <w:vAlign w:val="bottom"/>
          </w:tcPr>
          <w:p w14:paraId="0191E457" w14:textId="77777777" w:rsidR="003F0EEA" w:rsidRPr="001167E1" w:rsidRDefault="00FB7D0B">
            <w:pPr>
              <w:jc w:val="right"/>
              <w:rPr>
                <w:rFonts w:ascii="Arial" w:eastAsia="Arial" w:hAnsi="Arial" w:cs="Arial"/>
                <w:color w:val="000000"/>
                <w:sz w:val="16"/>
              </w:rPr>
            </w:pPr>
            <w:r w:rsidRPr="001167E1">
              <w:rPr>
                <w:rFonts w:ascii="Arial" w:eastAsia="Arial" w:hAnsi="Arial" w:cs="Arial"/>
                <w:color w:val="000000"/>
                <w:sz w:val="16"/>
              </w:rPr>
              <w:t xml:space="preserve"> 284,688 </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54F19893" w14:textId="77777777" w:rsidR="003F0EEA" w:rsidRPr="001167E1" w:rsidRDefault="00FB7D0B">
            <w:pPr>
              <w:jc w:val="right"/>
              <w:rPr>
                <w:rFonts w:ascii="Arial" w:eastAsia="Arial" w:hAnsi="Arial" w:cs="Arial"/>
                <w:color w:val="000000"/>
                <w:sz w:val="16"/>
              </w:rPr>
            </w:pPr>
            <w:r w:rsidRPr="001167E1">
              <w:rPr>
                <w:rFonts w:ascii="Arial" w:eastAsia="Arial" w:hAnsi="Arial" w:cs="Arial"/>
                <w:color w:val="000000"/>
                <w:sz w:val="16"/>
              </w:rPr>
              <w:t xml:space="preserve"> 275,365 </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5377175E" w14:textId="77777777" w:rsidR="003F0EEA" w:rsidRPr="001167E1" w:rsidRDefault="00FB7D0B">
            <w:pPr>
              <w:jc w:val="right"/>
              <w:rPr>
                <w:rFonts w:ascii="Arial" w:eastAsia="Arial" w:hAnsi="Arial" w:cs="Arial"/>
                <w:color w:val="000000"/>
                <w:sz w:val="16"/>
              </w:rPr>
            </w:pPr>
            <w:r w:rsidRPr="001167E1">
              <w:rPr>
                <w:rFonts w:ascii="Arial" w:eastAsia="Arial" w:hAnsi="Arial" w:cs="Arial"/>
                <w:color w:val="000000"/>
                <w:sz w:val="16"/>
              </w:rPr>
              <w:t xml:space="preserve"> 271,361 </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1AC85FE5" w14:textId="77777777" w:rsidR="003F0EEA" w:rsidRPr="001167E1" w:rsidRDefault="00FB7D0B">
            <w:pPr>
              <w:jc w:val="right"/>
              <w:rPr>
                <w:rFonts w:ascii="Arial" w:eastAsia="Arial" w:hAnsi="Arial" w:cs="Arial"/>
                <w:color w:val="000000"/>
                <w:sz w:val="16"/>
              </w:rPr>
            </w:pPr>
            <w:r w:rsidRPr="001167E1">
              <w:rPr>
                <w:rFonts w:ascii="Arial" w:eastAsia="Arial" w:hAnsi="Arial" w:cs="Arial"/>
                <w:color w:val="000000"/>
                <w:sz w:val="16"/>
              </w:rPr>
              <w:t xml:space="preserve"> 271,743 </w:t>
            </w:r>
          </w:p>
        </w:tc>
      </w:tr>
      <w:tr w:rsidR="00724034" w14:paraId="0E9C02DB" w14:textId="77777777">
        <w:trPr>
          <w:trHeight w:val="255"/>
        </w:trPr>
        <w:tc>
          <w:tcPr>
            <w:tcW w:w="180" w:type="dxa"/>
            <w:tcBorders>
              <w:top w:val="nil"/>
              <w:left w:val="nil"/>
              <w:bottom w:val="nil"/>
              <w:right w:val="nil"/>
              <w:tl2br w:val="nil"/>
              <w:tr2bl w:val="nil"/>
            </w:tcBorders>
            <w:shd w:val="clear" w:color="auto" w:fill="FFFFFF"/>
            <w:tcMar>
              <w:left w:w="101" w:type="dxa"/>
              <w:right w:w="101" w:type="dxa"/>
            </w:tcMar>
            <w:vAlign w:val="bottom"/>
          </w:tcPr>
          <w:p w14:paraId="4EF49E03" w14:textId="77777777" w:rsidR="003F0EEA" w:rsidRPr="001167E1" w:rsidRDefault="003F0EEA">
            <w:pPr>
              <w:rPr>
                <w:rFonts w:ascii="Arial" w:eastAsia="Arial" w:hAnsi="Arial" w:cs="Arial"/>
                <w:color w:val="000000"/>
                <w:sz w:val="16"/>
              </w:rPr>
            </w:pPr>
          </w:p>
        </w:tc>
        <w:tc>
          <w:tcPr>
            <w:tcW w:w="2910" w:type="dxa"/>
            <w:tcBorders>
              <w:top w:val="nil"/>
              <w:left w:val="nil"/>
              <w:bottom w:val="nil"/>
              <w:right w:val="nil"/>
              <w:tl2br w:val="nil"/>
              <w:tr2bl w:val="nil"/>
            </w:tcBorders>
            <w:shd w:val="clear" w:color="auto" w:fill="FFFFFF"/>
            <w:tcMar>
              <w:left w:w="101" w:type="dxa"/>
              <w:right w:w="101" w:type="dxa"/>
            </w:tcMar>
            <w:vAlign w:val="bottom"/>
          </w:tcPr>
          <w:p w14:paraId="195EC31E" w14:textId="77777777" w:rsidR="003F0EEA" w:rsidRPr="001167E1" w:rsidRDefault="00FB7D0B">
            <w:pPr>
              <w:rPr>
                <w:rFonts w:ascii="Arial" w:eastAsia="Arial" w:hAnsi="Arial" w:cs="Arial"/>
                <w:color w:val="000000"/>
                <w:sz w:val="20"/>
              </w:rPr>
            </w:pPr>
            <w:r w:rsidRPr="001167E1">
              <w:rPr>
                <w:rFonts w:ascii="Arial" w:eastAsia="Arial" w:hAnsi="Arial" w:cs="Arial"/>
                <w:color w:val="000000"/>
                <w:sz w:val="16"/>
              </w:rPr>
              <w:t>Sale of goods and services</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63700A32" w14:textId="77777777" w:rsidR="003F0EEA" w:rsidRPr="001167E1" w:rsidRDefault="00FB7D0B">
            <w:pPr>
              <w:jc w:val="right"/>
              <w:rPr>
                <w:rFonts w:ascii="Arial" w:eastAsia="Arial" w:hAnsi="Arial" w:cs="Arial"/>
                <w:color w:val="000000"/>
                <w:sz w:val="16"/>
              </w:rPr>
            </w:pPr>
            <w:r w:rsidRPr="001167E1">
              <w:rPr>
                <w:rFonts w:ascii="Arial" w:eastAsia="Arial" w:hAnsi="Arial" w:cs="Arial"/>
                <w:color w:val="000000"/>
                <w:sz w:val="16"/>
              </w:rPr>
              <w:t xml:space="preserve"> 51,322 </w:t>
            </w:r>
          </w:p>
        </w:tc>
        <w:tc>
          <w:tcPr>
            <w:tcW w:w="915" w:type="dxa"/>
            <w:tcBorders>
              <w:top w:val="nil"/>
              <w:left w:val="nil"/>
              <w:bottom w:val="nil"/>
              <w:right w:val="nil"/>
              <w:tl2br w:val="nil"/>
              <w:tr2bl w:val="nil"/>
            </w:tcBorders>
            <w:shd w:val="clear" w:color="auto" w:fill="FFFF00"/>
            <w:tcMar>
              <w:left w:w="101" w:type="dxa"/>
              <w:right w:w="101" w:type="dxa"/>
            </w:tcMar>
            <w:vAlign w:val="bottom"/>
          </w:tcPr>
          <w:p w14:paraId="5C44181F" w14:textId="77777777" w:rsidR="003F0EEA" w:rsidRPr="001167E1" w:rsidRDefault="00FB7D0B">
            <w:pPr>
              <w:jc w:val="right"/>
              <w:rPr>
                <w:rFonts w:ascii="Arial" w:eastAsia="Arial" w:hAnsi="Arial" w:cs="Arial"/>
                <w:color w:val="000000"/>
                <w:sz w:val="16"/>
              </w:rPr>
            </w:pPr>
            <w:r w:rsidRPr="001167E1">
              <w:rPr>
                <w:rFonts w:ascii="Arial" w:eastAsia="Arial" w:hAnsi="Arial" w:cs="Arial"/>
                <w:color w:val="000000"/>
                <w:sz w:val="16"/>
              </w:rPr>
              <w:t xml:space="preserve"> 54,381 </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3B5E560C" w14:textId="77777777" w:rsidR="003F0EEA" w:rsidRPr="001167E1" w:rsidRDefault="00FB7D0B">
            <w:pPr>
              <w:jc w:val="right"/>
              <w:rPr>
                <w:rFonts w:ascii="Arial" w:eastAsia="Arial" w:hAnsi="Arial" w:cs="Arial"/>
                <w:color w:val="000000"/>
                <w:sz w:val="16"/>
              </w:rPr>
            </w:pPr>
            <w:r w:rsidRPr="001167E1">
              <w:rPr>
                <w:rFonts w:ascii="Arial" w:eastAsia="Arial" w:hAnsi="Arial" w:cs="Arial"/>
                <w:color w:val="000000"/>
                <w:sz w:val="16"/>
              </w:rPr>
              <w:t xml:space="preserve"> 58,875 </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2D17DCB5" w14:textId="77777777" w:rsidR="003F0EEA" w:rsidRPr="001167E1" w:rsidRDefault="00FB7D0B">
            <w:pPr>
              <w:jc w:val="right"/>
              <w:rPr>
                <w:rFonts w:ascii="Arial" w:eastAsia="Arial" w:hAnsi="Arial" w:cs="Arial"/>
                <w:color w:val="000000"/>
                <w:sz w:val="16"/>
              </w:rPr>
            </w:pPr>
            <w:r w:rsidRPr="001167E1">
              <w:rPr>
                <w:rFonts w:ascii="Arial" w:eastAsia="Arial" w:hAnsi="Arial" w:cs="Arial"/>
                <w:color w:val="000000"/>
                <w:sz w:val="16"/>
              </w:rPr>
              <w:t xml:space="preserve"> 59,946 </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077AD723" w14:textId="77777777" w:rsidR="003F0EEA" w:rsidRPr="001167E1" w:rsidRDefault="00FB7D0B">
            <w:pPr>
              <w:jc w:val="right"/>
              <w:rPr>
                <w:rFonts w:ascii="Arial" w:eastAsia="Arial" w:hAnsi="Arial" w:cs="Arial"/>
                <w:color w:val="000000"/>
                <w:sz w:val="16"/>
              </w:rPr>
            </w:pPr>
            <w:r w:rsidRPr="001167E1">
              <w:rPr>
                <w:rFonts w:ascii="Arial" w:eastAsia="Arial" w:hAnsi="Arial" w:cs="Arial"/>
                <w:color w:val="000000"/>
                <w:sz w:val="16"/>
              </w:rPr>
              <w:t xml:space="preserve"> 65,220 </w:t>
            </w:r>
          </w:p>
        </w:tc>
      </w:tr>
      <w:tr w:rsidR="00724034" w14:paraId="2F91D86B" w14:textId="77777777">
        <w:trPr>
          <w:trHeight w:val="225"/>
        </w:trPr>
        <w:tc>
          <w:tcPr>
            <w:tcW w:w="180" w:type="dxa"/>
            <w:tcBorders>
              <w:top w:val="nil"/>
              <w:left w:val="nil"/>
              <w:bottom w:val="nil"/>
              <w:right w:val="nil"/>
              <w:tl2br w:val="nil"/>
              <w:tr2bl w:val="nil"/>
            </w:tcBorders>
            <w:shd w:val="clear" w:color="auto" w:fill="FFFFFF"/>
            <w:tcMar>
              <w:left w:w="101" w:type="dxa"/>
              <w:right w:w="101" w:type="dxa"/>
            </w:tcMar>
            <w:vAlign w:val="bottom"/>
          </w:tcPr>
          <w:p w14:paraId="12263453" w14:textId="77777777" w:rsidR="003F0EEA" w:rsidRPr="001167E1" w:rsidRDefault="003F0EEA">
            <w:pPr>
              <w:rPr>
                <w:rFonts w:ascii="Arial" w:eastAsia="Arial" w:hAnsi="Arial" w:cs="Arial"/>
                <w:color w:val="000000"/>
                <w:sz w:val="16"/>
              </w:rPr>
            </w:pPr>
          </w:p>
        </w:tc>
        <w:tc>
          <w:tcPr>
            <w:tcW w:w="2910" w:type="dxa"/>
            <w:tcBorders>
              <w:top w:val="nil"/>
              <w:left w:val="nil"/>
              <w:bottom w:val="nil"/>
              <w:right w:val="nil"/>
              <w:tl2br w:val="nil"/>
              <w:tr2bl w:val="nil"/>
            </w:tcBorders>
            <w:shd w:val="clear" w:color="auto" w:fill="FFFFFF"/>
            <w:tcMar>
              <w:left w:w="101" w:type="dxa"/>
              <w:right w:w="101" w:type="dxa"/>
            </w:tcMar>
            <w:vAlign w:val="bottom"/>
          </w:tcPr>
          <w:p w14:paraId="5EB2006F" w14:textId="77777777" w:rsidR="003F0EEA" w:rsidRPr="001167E1" w:rsidRDefault="00FB7D0B">
            <w:pPr>
              <w:rPr>
                <w:rFonts w:ascii="Arial" w:eastAsia="Arial" w:hAnsi="Arial" w:cs="Arial"/>
                <w:color w:val="000000"/>
                <w:sz w:val="20"/>
              </w:rPr>
            </w:pPr>
            <w:r w:rsidRPr="001167E1">
              <w:rPr>
                <w:rFonts w:ascii="Arial" w:eastAsia="Arial" w:hAnsi="Arial" w:cs="Arial"/>
                <w:color w:val="000000"/>
                <w:sz w:val="16"/>
              </w:rPr>
              <w:t>Net GST received</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6DC78993" w14:textId="77777777" w:rsidR="003F0EEA" w:rsidRPr="001167E1" w:rsidRDefault="00FB7D0B">
            <w:pPr>
              <w:jc w:val="right"/>
              <w:rPr>
                <w:rFonts w:ascii="Arial" w:eastAsia="Arial" w:hAnsi="Arial" w:cs="Arial"/>
                <w:color w:val="000000"/>
                <w:sz w:val="16"/>
              </w:rPr>
            </w:pPr>
            <w:r w:rsidRPr="001167E1">
              <w:rPr>
                <w:rFonts w:ascii="Arial" w:eastAsia="Arial" w:hAnsi="Arial" w:cs="Arial"/>
                <w:color w:val="000000"/>
                <w:sz w:val="16"/>
              </w:rPr>
              <w:t xml:space="preserve"> 13,336 </w:t>
            </w:r>
          </w:p>
        </w:tc>
        <w:tc>
          <w:tcPr>
            <w:tcW w:w="915" w:type="dxa"/>
            <w:tcBorders>
              <w:top w:val="nil"/>
              <w:left w:val="nil"/>
              <w:bottom w:val="nil"/>
              <w:right w:val="nil"/>
              <w:tl2br w:val="nil"/>
              <w:tr2bl w:val="nil"/>
            </w:tcBorders>
            <w:shd w:val="clear" w:color="auto" w:fill="FFFF00"/>
            <w:tcMar>
              <w:left w:w="101" w:type="dxa"/>
              <w:right w:w="101" w:type="dxa"/>
            </w:tcMar>
            <w:vAlign w:val="bottom"/>
          </w:tcPr>
          <w:p w14:paraId="1AF5B1C8" w14:textId="77777777" w:rsidR="003F0EEA" w:rsidRPr="001167E1" w:rsidRDefault="00FB7D0B">
            <w:pPr>
              <w:jc w:val="right"/>
              <w:rPr>
                <w:rFonts w:ascii="Arial" w:eastAsia="Arial" w:hAnsi="Arial" w:cs="Arial"/>
                <w:color w:val="000000"/>
                <w:sz w:val="16"/>
              </w:rPr>
            </w:pPr>
            <w:r w:rsidRPr="001167E1">
              <w:rPr>
                <w:rFonts w:ascii="Arial" w:eastAsia="Arial" w:hAnsi="Arial" w:cs="Arial"/>
                <w:color w:val="000000"/>
                <w:sz w:val="16"/>
              </w:rPr>
              <w:t xml:space="preserve"> 13,336 </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5EB2165A" w14:textId="77777777" w:rsidR="003F0EEA" w:rsidRPr="001167E1" w:rsidRDefault="00FB7D0B">
            <w:pPr>
              <w:jc w:val="right"/>
              <w:rPr>
                <w:rFonts w:ascii="Arial" w:eastAsia="Arial" w:hAnsi="Arial" w:cs="Arial"/>
                <w:color w:val="000000"/>
                <w:sz w:val="16"/>
              </w:rPr>
            </w:pPr>
            <w:r w:rsidRPr="001167E1">
              <w:rPr>
                <w:rFonts w:ascii="Arial" w:eastAsia="Arial" w:hAnsi="Arial" w:cs="Arial"/>
                <w:color w:val="000000"/>
                <w:sz w:val="16"/>
              </w:rPr>
              <w:t xml:space="preserve"> 13,336 </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71106C95" w14:textId="77777777" w:rsidR="003F0EEA" w:rsidRPr="001167E1" w:rsidRDefault="00FB7D0B">
            <w:pPr>
              <w:jc w:val="right"/>
              <w:rPr>
                <w:rFonts w:ascii="Arial" w:eastAsia="Arial" w:hAnsi="Arial" w:cs="Arial"/>
                <w:color w:val="000000"/>
                <w:sz w:val="16"/>
              </w:rPr>
            </w:pPr>
            <w:r w:rsidRPr="001167E1">
              <w:rPr>
                <w:rFonts w:ascii="Arial" w:eastAsia="Arial" w:hAnsi="Arial" w:cs="Arial"/>
                <w:color w:val="000000"/>
                <w:sz w:val="16"/>
              </w:rPr>
              <w:t xml:space="preserve"> 13,336 </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1E2293EE" w14:textId="77777777" w:rsidR="003F0EEA" w:rsidRPr="001167E1" w:rsidRDefault="00FB7D0B">
            <w:pPr>
              <w:jc w:val="right"/>
              <w:rPr>
                <w:rFonts w:ascii="Arial" w:eastAsia="Arial" w:hAnsi="Arial" w:cs="Arial"/>
                <w:color w:val="000000"/>
                <w:sz w:val="16"/>
              </w:rPr>
            </w:pPr>
            <w:r w:rsidRPr="001167E1">
              <w:rPr>
                <w:rFonts w:ascii="Arial" w:eastAsia="Arial" w:hAnsi="Arial" w:cs="Arial"/>
                <w:color w:val="000000"/>
                <w:sz w:val="16"/>
              </w:rPr>
              <w:t xml:space="preserve"> 13,336 </w:t>
            </w:r>
          </w:p>
        </w:tc>
      </w:tr>
      <w:tr w:rsidR="00724034" w14:paraId="79385693" w14:textId="77777777">
        <w:trPr>
          <w:trHeight w:val="225"/>
        </w:trPr>
        <w:tc>
          <w:tcPr>
            <w:tcW w:w="180" w:type="dxa"/>
            <w:tcBorders>
              <w:top w:val="nil"/>
              <w:left w:val="nil"/>
              <w:bottom w:val="nil"/>
              <w:right w:val="nil"/>
              <w:tl2br w:val="nil"/>
              <w:tr2bl w:val="nil"/>
            </w:tcBorders>
            <w:shd w:val="clear" w:color="auto" w:fill="FFFFFF"/>
            <w:tcMar>
              <w:left w:w="101" w:type="dxa"/>
              <w:right w:w="101" w:type="dxa"/>
            </w:tcMar>
            <w:vAlign w:val="bottom"/>
          </w:tcPr>
          <w:p w14:paraId="09285B3D" w14:textId="77777777" w:rsidR="003F0EEA" w:rsidRPr="001167E1" w:rsidRDefault="003F0EEA">
            <w:pPr>
              <w:rPr>
                <w:rFonts w:ascii="Arial" w:eastAsia="Arial" w:hAnsi="Arial" w:cs="Arial"/>
                <w:color w:val="000000"/>
                <w:sz w:val="16"/>
              </w:rPr>
            </w:pPr>
          </w:p>
        </w:tc>
        <w:tc>
          <w:tcPr>
            <w:tcW w:w="2910" w:type="dxa"/>
            <w:tcBorders>
              <w:top w:val="nil"/>
              <w:left w:val="nil"/>
              <w:bottom w:val="nil"/>
              <w:right w:val="nil"/>
              <w:tl2br w:val="nil"/>
              <w:tr2bl w:val="nil"/>
            </w:tcBorders>
            <w:shd w:val="clear" w:color="auto" w:fill="FFFFFF"/>
            <w:tcMar>
              <w:left w:w="101" w:type="dxa"/>
              <w:right w:w="101" w:type="dxa"/>
            </w:tcMar>
            <w:vAlign w:val="bottom"/>
          </w:tcPr>
          <w:p w14:paraId="6C40E8E2" w14:textId="77777777" w:rsidR="003F0EEA" w:rsidRPr="001167E1" w:rsidRDefault="00FB7D0B">
            <w:pPr>
              <w:rPr>
                <w:rFonts w:ascii="Arial" w:eastAsia="Arial" w:hAnsi="Arial" w:cs="Arial"/>
                <w:color w:val="000000"/>
                <w:sz w:val="20"/>
              </w:rPr>
            </w:pPr>
            <w:r w:rsidRPr="001167E1">
              <w:rPr>
                <w:rFonts w:ascii="Arial" w:eastAsia="Arial" w:hAnsi="Arial" w:cs="Arial"/>
                <w:color w:val="000000"/>
                <w:sz w:val="16"/>
              </w:rPr>
              <w:t xml:space="preserve">Other </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11330903" w14:textId="77777777" w:rsidR="003F0EEA" w:rsidRPr="001167E1" w:rsidRDefault="00FB7D0B">
            <w:pPr>
              <w:jc w:val="right"/>
              <w:rPr>
                <w:rFonts w:ascii="Arial" w:eastAsia="Arial" w:hAnsi="Arial" w:cs="Arial"/>
                <w:color w:val="000000"/>
                <w:sz w:val="16"/>
              </w:rPr>
            </w:pPr>
            <w:r w:rsidRPr="001167E1">
              <w:rPr>
                <w:rFonts w:ascii="Arial" w:eastAsia="Arial" w:hAnsi="Arial" w:cs="Arial"/>
                <w:color w:val="000000"/>
                <w:sz w:val="16"/>
              </w:rPr>
              <w:t xml:space="preserve"> 2,734 </w:t>
            </w:r>
          </w:p>
        </w:tc>
        <w:tc>
          <w:tcPr>
            <w:tcW w:w="915" w:type="dxa"/>
            <w:tcBorders>
              <w:top w:val="nil"/>
              <w:left w:val="nil"/>
              <w:bottom w:val="nil"/>
              <w:right w:val="nil"/>
              <w:tl2br w:val="nil"/>
              <w:tr2bl w:val="nil"/>
            </w:tcBorders>
            <w:shd w:val="clear" w:color="auto" w:fill="FFFF00"/>
            <w:tcMar>
              <w:left w:w="101" w:type="dxa"/>
              <w:right w:w="101" w:type="dxa"/>
            </w:tcMar>
            <w:vAlign w:val="bottom"/>
          </w:tcPr>
          <w:p w14:paraId="6DED6292" w14:textId="77777777" w:rsidR="003F0EEA" w:rsidRPr="001167E1" w:rsidRDefault="00FB7D0B">
            <w:pPr>
              <w:jc w:val="right"/>
              <w:rPr>
                <w:rFonts w:ascii="Arial" w:eastAsia="Arial" w:hAnsi="Arial" w:cs="Arial"/>
                <w:color w:val="000000"/>
                <w:sz w:val="16"/>
              </w:rPr>
            </w:pPr>
            <w:r w:rsidRPr="001167E1">
              <w:rPr>
                <w:rFonts w:ascii="Arial" w:eastAsia="Arial" w:hAnsi="Arial" w:cs="Arial"/>
                <w:color w:val="000000"/>
                <w:sz w:val="16"/>
              </w:rPr>
              <w:t xml:space="preserve"> 2,870 </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46EB7ADE" w14:textId="77777777" w:rsidR="003F0EEA" w:rsidRPr="001167E1" w:rsidRDefault="00FB7D0B">
            <w:pPr>
              <w:jc w:val="right"/>
              <w:rPr>
                <w:rFonts w:ascii="Arial" w:eastAsia="Arial" w:hAnsi="Arial" w:cs="Arial"/>
                <w:color w:val="000000"/>
                <w:sz w:val="16"/>
              </w:rPr>
            </w:pPr>
            <w:r w:rsidRPr="001167E1">
              <w:rPr>
                <w:rFonts w:ascii="Arial" w:eastAsia="Arial" w:hAnsi="Arial" w:cs="Arial"/>
                <w:color w:val="000000"/>
                <w:sz w:val="16"/>
              </w:rPr>
              <w:t xml:space="preserve"> 3,014 </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52D56BFE" w14:textId="77777777" w:rsidR="003F0EEA" w:rsidRPr="001167E1" w:rsidRDefault="00FB7D0B">
            <w:pPr>
              <w:jc w:val="right"/>
              <w:rPr>
                <w:rFonts w:ascii="Arial" w:eastAsia="Arial" w:hAnsi="Arial" w:cs="Arial"/>
                <w:color w:val="000000"/>
                <w:sz w:val="16"/>
              </w:rPr>
            </w:pPr>
            <w:r w:rsidRPr="001167E1">
              <w:rPr>
                <w:rFonts w:ascii="Arial" w:eastAsia="Arial" w:hAnsi="Arial" w:cs="Arial"/>
                <w:color w:val="000000"/>
                <w:sz w:val="16"/>
              </w:rPr>
              <w:t xml:space="preserve"> 3,165 </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609CC4D7" w14:textId="77777777" w:rsidR="003F0EEA" w:rsidRPr="001167E1" w:rsidRDefault="00FB7D0B">
            <w:pPr>
              <w:jc w:val="right"/>
              <w:rPr>
                <w:rFonts w:ascii="Arial" w:eastAsia="Arial" w:hAnsi="Arial" w:cs="Arial"/>
                <w:color w:val="000000"/>
                <w:sz w:val="16"/>
              </w:rPr>
            </w:pPr>
            <w:r w:rsidRPr="001167E1">
              <w:rPr>
                <w:rFonts w:ascii="Arial" w:eastAsia="Arial" w:hAnsi="Arial" w:cs="Arial"/>
                <w:color w:val="000000"/>
                <w:sz w:val="16"/>
              </w:rPr>
              <w:t xml:space="preserve"> 3,323 </w:t>
            </w:r>
          </w:p>
        </w:tc>
      </w:tr>
      <w:tr w:rsidR="00FB7D0B" w14:paraId="35FC3460" w14:textId="77777777" w:rsidTr="00FB7D0B">
        <w:trPr>
          <w:trHeight w:val="225"/>
        </w:trPr>
        <w:tc>
          <w:tcPr>
            <w:tcW w:w="3090" w:type="dxa"/>
            <w:gridSpan w:val="2"/>
            <w:tcBorders>
              <w:top w:val="nil"/>
              <w:left w:val="nil"/>
              <w:bottom w:val="nil"/>
              <w:right w:val="nil"/>
              <w:tl2br w:val="nil"/>
              <w:tr2bl w:val="nil"/>
            </w:tcBorders>
            <w:shd w:val="clear" w:color="auto" w:fill="FFFFFF"/>
            <w:tcMar>
              <w:left w:w="101" w:type="dxa"/>
              <w:right w:w="101" w:type="dxa"/>
            </w:tcMar>
            <w:vAlign w:val="bottom"/>
          </w:tcPr>
          <w:p w14:paraId="015E49E1" w14:textId="77777777" w:rsidR="003F0EEA" w:rsidRPr="001167E1" w:rsidRDefault="00FB7D0B">
            <w:pPr>
              <w:rPr>
                <w:rFonts w:ascii="Arial" w:eastAsia="Arial" w:hAnsi="Arial" w:cs="Arial"/>
                <w:color w:val="000000"/>
                <w:sz w:val="16"/>
              </w:rPr>
            </w:pPr>
            <w:r w:rsidRPr="001167E1">
              <w:rPr>
                <w:rFonts w:ascii="Arial" w:eastAsia="Arial" w:hAnsi="Arial" w:cs="Arial"/>
                <w:b/>
                <w:i/>
                <w:color w:val="000000"/>
                <w:sz w:val="16"/>
              </w:rPr>
              <w:t>Total cash received</w:t>
            </w:r>
          </w:p>
        </w:tc>
        <w:tc>
          <w:tcPr>
            <w:tcW w:w="915"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1944F59D" w14:textId="77777777" w:rsidR="003F0EEA" w:rsidRPr="001167E1" w:rsidRDefault="00FB7D0B">
            <w:pPr>
              <w:jc w:val="right"/>
              <w:rPr>
                <w:rFonts w:ascii="Arial" w:eastAsia="Arial" w:hAnsi="Arial" w:cs="Arial"/>
                <w:b/>
                <w:i/>
                <w:color w:val="000000"/>
                <w:sz w:val="16"/>
              </w:rPr>
            </w:pPr>
            <w:r w:rsidRPr="001167E1">
              <w:rPr>
                <w:rFonts w:ascii="Arial" w:eastAsia="Arial" w:hAnsi="Arial" w:cs="Arial"/>
                <w:b/>
                <w:color w:val="000000"/>
                <w:sz w:val="16"/>
              </w:rPr>
              <w:t xml:space="preserve"> 360,835 </w:t>
            </w:r>
          </w:p>
        </w:tc>
        <w:tc>
          <w:tcPr>
            <w:tcW w:w="915" w:type="dxa"/>
            <w:tcBorders>
              <w:top w:val="single" w:sz="6" w:space="0" w:color="000000"/>
              <w:left w:val="nil"/>
              <w:bottom w:val="single" w:sz="6" w:space="0" w:color="000000"/>
              <w:right w:val="nil"/>
              <w:tl2br w:val="nil"/>
              <w:tr2bl w:val="nil"/>
            </w:tcBorders>
            <w:shd w:val="clear" w:color="auto" w:fill="FFFF00"/>
            <w:tcMar>
              <w:left w:w="101" w:type="dxa"/>
              <w:right w:w="101" w:type="dxa"/>
            </w:tcMar>
            <w:vAlign w:val="bottom"/>
          </w:tcPr>
          <w:p w14:paraId="058F3659" w14:textId="77777777" w:rsidR="003F0EEA" w:rsidRPr="001167E1" w:rsidRDefault="00FB7D0B">
            <w:pPr>
              <w:jc w:val="right"/>
              <w:rPr>
                <w:rFonts w:ascii="Arial" w:eastAsia="Arial" w:hAnsi="Arial" w:cs="Arial"/>
                <w:b/>
                <w:color w:val="000000"/>
                <w:sz w:val="16"/>
              </w:rPr>
            </w:pPr>
            <w:r w:rsidRPr="001167E1">
              <w:rPr>
                <w:rFonts w:ascii="Arial" w:eastAsia="Arial" w:hAnsi="Arial" w:cs="Arial"/>
                <w:b/>
                <w:color w:val="000000"/>
                <w:sz w:val="16"/>
              </w:rPr>
              <w:t xml:space="preserve"> 355,275 </w:t>
            </w:r>
          </w:p>
        </w:tc>
        <w:tc>
          <w:tcPr>
            <w:tcW w:w="915"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622496AF" w14:textId="77777777" w:rsidR="003F0EEA" w:rsidRPr="001167E1" w:rsidRDefault="00FB7D0B">
            <w:pPr>
              <w:jc w:val="right"/>
              <w:rPr>
                <w:rFonts w:ascii="Arial" w:eastAsia="Arial" w:hAnsi="Arial" w:cs="Arial"/>
                <w:b/>
                <w:color w:val="000000"/>
                <w:sz w:val="16"/>
              </w:rPr>
            </w:pPr>
            <w:r w:rsidRPr="001167E1">
              <w:rPr>
                <w:rFonts w:ascii="Arial" w:eastAsia="Arial" w:hAnsi="Arial" w:cs="Arial"/>
                <w:b/>
                <w:color w:val="000000"/>
                <w:sz w:val="16"/>
              </w:rPr>
              <w:t xml:space="preserve"> 350,590 </w:t>
            </w:r>
          </w:p>
        </w:tc>
        <w:tc>
          <w:tcPr>
            <w:tcW w:w="915"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30B5AF6C" w14:textId="77777777" w:rsidR="003F0EEA" w:rsidRPr="001167E1" w:rsidRDefault="00FB7D0B">
            <w:pPr>
              <w:jc w:val="right"/>
              <w:rPr>
                <w:rFonts w:ascii="Arial" w:eastAsia="Arial" w:hAnsi="Arial" w:cs="Arial"/>
                <w:b/>
                <w:color w:val="000000"/>
                <w:sz w:val="16"/>
              </w:rPr>
            </w:pPr>
            <w:r w:rsidRPr="001167E1">
              <w:rPr>
                <w:rFonts w:ascii="Arial" w:eastAsia="Arial" w:hAnsi="Arial" w:cs="Arial"/>
                <w:b/>
                <w:color w:val="000000"/>
                <w:sz w:val="16"/>
              </w:rPr>
              <w:t xml:space="preserve"> 347,808 </w:t>
            </w:r>
          </w:p>
        </w:tc>
        <w:tc>
          <w:tcPr>
            <w:tcW w:w="915"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45179D59" w14:textId="77777777" w:rsidR="003F0EEA" w:rsidRPr="001167E1" w:rsidRDefault="00FB7D0B">
            <w:pPr>
              <w:jc w:val="right"/>
              <w:rPr>
                <w:rFonts w:ascii="Arial" w:eastAsia="Arial" w:hAnsi="Arial" w:cs="Arial"/>
                <w:b/>
                <w:color w:val="000000"/>
                <w:sz w:val="16"/>
              </w:rPr>
            </w:pPr>
            <w:r w:rsidRPr="001167E1">
              <w:rPr>
                <w:rFonts w:ascii="Arial" w:eastAsia="Arial" w:hAnsi="Arial" w:cs="Arial"/>
                <w:b/>
                <w:color w:val="000000"/>
                <w:sz w:val="16"/>
              </w:rPr>
              <w:t xml:space="preserve"> 353,622 </w:t>
            </w:r>
          </w:p>
        </w:tc>
      </w:tr>
      <w:tr w:rsidR="00724034" w14:paraId="4EFA746C" w14:textId="77777777">
        <w:trPr>
          <w:trHeight w:hRule="exact" w:val="90"/>
        </w:trPr>
        <w:tc>
          <w:tcPr>
            <w:tcW w:w="180" w:type="dxa"/>
            <w:tcBorders>
              <w:top w:val="nil"/>
              <w:left w:val="nil"/>
              <w:bottom w:val="nil"/>
              <w:right w:val="nil"/>
              <w:tl2br w:val="nil"/>
              <w:tr2bl w:val="nil"/>
            </w:tcBorders>
            <w:shd w:val="clear" w:color="auto" w:fill="FFFFFF"/>
            <w:tcMar>
              <w:left w:w="101" w:type="dxa"/>
              <w:right w:w="101" w:type="dxa"/>
            </w:tcMar>
            <w:vAlign w:val="bottom"/>
          </w:tcPr>
          <w:p w14:paraId="277226EF" w14:textId="77777777" w:rsidR="003F0EEA" w:rsidRPr="001167E1" w:rsidRDefault="003F0EEA">
            <w:pPr>
              <w:rPr>
                <w:rFonts w:ascii="Arial" w:eastAsia="Arial" w:hAnsi="Arial" w:cs="Arial"/>
                <w:b/>
                <w:color w:val="000000"/>
                <w:sz w:val="16"/>
              </w:rPr>
            </w:pPr>
          </w:p>
        </w:tc>
        <w:tc>
          <w:tcPr>
            <w:tcW w:w="2910" w:type="dxa"/>
            <w:tcBorders>
              <w:top w:val="nil"/>
              <w:left w:val="nil"/>
              <w:bottom w:val="nil"/>
              <w:right w:val="nil"/>
              <w:tl2br w:val="nil"/>
              <w:tr2bl w:val="nil"/>
            </w:tcBorders>
            <w:shd w:val="clear" w:color="auto" w:fill="FFFFFF"/>
            <w:tcMar>
              <w:left w:w="101" w:type="dxa"/>
              <w:right w:w="101" w:type="dxa"/>
            </w:tcMar>
            <w:vAlign w:val="bottom"/>
          </w:tcPr>
          <w:p w14:paraId="614C736B" w14:textId="77777777" w:rsidR="003F0EEA" w:rsidRPr="001167E1" w:rsidRDefault="003F0EEA">
            <w:pPr>
              <w:rPr>
                <w:rFonts w:ascii="Arial" w:eastAsia="Arial" w:hAnsi="Arial" w:cs="Arial"/>
                <w:color w:val="000000"/>
                <w:sz w:val="20"/>
              </w:rPr>
            </w:pPr>
          </w:p>
        </w:tc>
        <w:tc>
          <w:tcPr>
            <w:tcW w:w="91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4CF4AC7B" w14:textId="77777777" w:rsidR="003F0EEA" w:rsidRPr="001167E1" w:rsidRDefault="003F0EEA">
            <w:pPr>
              <w:rPr>
                <w:rFonts w:ascii="Arial" w:eastAsia="Arial" w:hAnsi="Arial" w:cs="Arial"/>
                <w:color w:val="000000"/>
                <w:sz w:val="16"/>
              </w:rPr>
            </w:pPr>
          </w:p>
        </w:tc>
        <w:tc>
          <w:tcPr>
            <w:tcW w:w="915" w:type="dxa"/>
            <w:tcBorders>
              <w:top w:val="single" w:sz="6" w:space="0" w:color="000000"/>
              <w:left w:val="nil"/>
              <w:bottom w:val="nil"/>
              <w:right w:val="nil"/>
              <w:tl2br w:val="nil"/>
              <w:tr2bl w:val="nil"/>
            </w:tcBorders>
            <w:shd w:val="clear" w:color="auto" w:fill="FFFF00"/>
            <w:tcMar>
              <w:left w:w="101" w:type="dxa"/>
              <w:right w:w="101" w:type="dxa"/>
            </w:tcMar>
            <w:vAlign w:val="bottom"/>
          </w:tcPr>
          <w:p w14:paraId="6189D801" w14:textId="77777777" w:rsidR="003F0EEA" w:rsidRPr="001167E1" w:rsidRDefault="003F0EEA">
            <w:pPr>
              <w:rPr>
                <w:rFonts w:ascii="Arial" w:eastAsia="Arial" w:hAnsi="Arial" w:cs="Arial"/>
                <w:color w:val="000000"/>
                <w:sz w:val="16"/>
              </w:rPr>
            </w:pPr>
          </w:p>
        </w:tc>
        <w:tc>
          <w:tcPr>
            <w:tcW w:w="91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003078BB" w14:textId="77777777" w:rsidR="003F0EEA" w:rsidRPr="001167E1" w:rsidRDefault="003F0EEA">
            <w:pPr>
              <w:rPr>
                <w:rFonts w:ascii="Arial" w:eastAsia="Arial" w:hAnsi="Arial" w:cs="Arial"/>
                <w:color w:val="000000"/>
                <w:sz w:val="16"/>
              </w:rPr>
            </w:pPr>
          </w:p>
        </w:tc>
        <w:tc>
          <w:tcPr>
            <w:tcW w:w="91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5E9453A8" w14:textId="77777777" w:rsidR="003F0EEA" w:rsidRPr="001167E1" w:rsidRDefault="003F0EEA">
            <w:pPr>
              <w:rPr>
                <w:rFonts w:ascii="Arial" w:eastAsia="Arial" w:hAnsi="Arial" w:cs="Arial"/>
                <w:color w:val="000000"/>
                <w:sz w:val="16"/>
              </w:rPr>
            </w:pPr>
          </w:p>
        </w:tc>
        <w:tc>
          <w:tcPr>
            <w:tcW w:w="91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7B5A36EF" w14:textId="77777777" w:rsidR="003F0EEA" w:rsidRPr="001167E1" w:rsidRDefault="003F0EEA">
            <w:pPr>
              <w:rPr>
                <w:rFonts w:ascii="Arial" w:eastAsia="Arial" w:hAnsi="Arial" w:cs="Arial"/>
                <w:color w:val="000000"/>
                <w:sz w:val="16"/>
              </w:rPr>
            </w:pPr>
          </w:p>
        </w:tc>
      </w:tr>
      <w:tr w:rsidR="00FB7D0B" w14:paraId="63FD8356" w14:textId="77777777" w:rsidTr="00FB7D0B">
        <w:trPr>
          <w:trHeight w:val="225"/>
        </w:trPr>
        <w:tc>
          <w:tcPr>
            <w:tcW w:w="3090" w:type="dxa"/>
            <w:gridSpan w:val="2"/>
            <w:tcBorders>
              <w:top w:val="nil"/>
              <w:left w:val="nil"/>
              <w:bottom w:val="nil"/>
              <w:right w:val="nil"/>
              <w:tl2br w:val="nil"/>
              <w:tr2bl w:val="nil"/>
            </w:tcBorders>
            <w:shd w:val="clear" w:color="auto" w:fill="FFFFFF"/>
            <w:tcMar>
              <w:left w:w="101" w:type="dxa"/>
              <w:right w:w="101" w:type="dxa"/>
            </w:tcMar>
            <w:vAlign w:val="bottom"/>
          </w:tcPr>
          <w:p w14:paraId="795127FA" w14:textId="77777777" w:rsidR="003F0EEA" w:rsidRPr="001167E1" w:rsidRDefault="00FB7D0B">
            <w:pPr>
              <w:rPr>
                <w:rFonts w:ascii="Arial" w:eastAsia="Arial" w:hAnsi="Arial" w:cs="Arial"/>
                <w:color w:val="000000"/>
                <w:sz w:val="16"/>
              </w:rPr>
            </w:pPr>
            <w:r w:rsidRPr="001167E1">
              <w:rPr>
                <w:rFonts w:ascii="Arial" w:eastAsia="Arial" w:hAnsi="Arial" w:cs="Arial"/>
                <w:b/>
                <w:color w:val="000000"/>
                <w:sz w:val="16"/>
              </w:rPr>
              <w:t>Cash used</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39778C5E" w14:textId="77777777" w:rsidR="003F0EEA" w:rsidRPr="001167E1" w:rsidRDefault="003F0EEA">
            <w:pPr>
              <w:rPr>
                <w:rFonts w:ascii="Arial" w:eastAsia="Arial" w:hAnsi="Arial" w:cs="Arial"/>
                <w:b/>
                <w:color w:val="000000"/>
                <w:sz w:val="16"/>
              </w:rPr>
            </w:pPr>
          </w:p>
        </w:tc>
        <w:tc>
          <w:tcPr>
            <w:tcW w:w="915" w:type="dxa"/>
            <w:tcBorders>
              <w:top w:val="nil"/>
              <w:left w:val="nil"/>
              <w:bottom w:val="nil"/>
              <w:right w:val="nil"/>
              <w:tl2br w:val="nil"/>
              <w:tr2bl w:val="nil"/>
            </w:tcBorders>
            <w:shd w:val="clear" w:color="auto" w:fill="FFFF00"/>
            <w:tcMar>
              <w:left w:w="101" w:type="dxa"/>
              <w:right w:w="101" w:type="dxa"/>
            </w:tcMar>
            <w:vAlign w:val="bottom"/>
          </w:tcPr>
          <w:p w14:paraId="3A50D761" w14:textId="77777777" w:rsidR="003F0EEA" w:rsidRPr="001167E1" w:rsidRDefault="003F0EEA">
            <w:pPr>
              <w:rPr>
                <w:rFonts w:ascii="Arial" w:eastAsia="Arial" w:hAnsi="Arial" w:cs="Arial"/>
                <w:color w:val="000000"/>
                <w:sz w:val="16"/>
              </w:rPr>
            </w:pP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4A6366ED" w14:textId="77777777" w:rsidR="003F0EEA" w:rsidRPr="001167E1" w:rsidRDefault="003F0EEA">
            <w:pPr>
              <w:rPr>
                <w:rFonts w:ascii="Arial" w:eastAsia="Arial" w:hAnsi="Arial" w:cs="Arial"/>
                <w:color w:val="000000"/>
                <w:sz w:val="16"/>
              </w:rPr>
            </w:pP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62705EE6" w14:textId="77777777" w:rsidR="003F0EEA" w:rsidRPr="001167E1" w:rsidRDefault="003F0EEA">
            <w:pPr>
              <w:rPr>
                <w:rFonts w:ascii="Arial" w:eastAsia="Arial" w:hAnsi="Arial" w:cs="Arial"/>
                <w:color w:val="000000"/>
                <w:sz w:val="16"/>
              </w:rPr>
            </w:pP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0BF57E5E" w14:textId="77777777" w:rsidR="003F0EEA" w:rsidRPr="001167E1" w:rsidRDefault="003F0EEA">
            <w:pPr>
              <w:rPr>
                <w:rFonts w:ascii="Arial" w:eastAsia="Arial" w:hAnsi="Arial" w:cs="Arial"/>
                <w:color w:val="000000"/>
                <w:sz w:val="16"/>
              </w:rPr>
            </w:pPr>
          </w:p>
        </w:tc>
      </w:tr>
      <w:tr w:rsidR="00724034" w14:paraId="74CDF835" w14:textId="77777777">
        <w:trPr>
          <w:trHeight w:val="225"/>
        </w:trPr>
        <w:tc>
          <w:tcPr>
            <w:tcW w:w="180" w:type="dxa"/>
            <w:tcBorders>
              <w:top w:val="nil"/>
              <w:left w:val="nil"/>
              <w:bottom w:val="nil"/>
              <w:right w:val="nil"/>
              <w:tl2br w:val="nil"/>
              <w:tr2bl w:val="nil"/>
            </w:tcBorders>
            <w:shd w:val="clear" w:color="auto" w:fill="FFFFFF"/>
            <w:tcMar>
              <w:left w:w="101" w:type="dxa"/>
              <w:right w:w="101" w:type="dxa"/>
            </w:tcMar>
            <w:vAlign w:val="bottom"/>
          </w:tcPr>
          <w:p w14:paraId="0FA45402" w14:textId="77777777" w:rsidR="003F0EEA" w:rsidRPr="001167E1" w:rsidRDefault="003F0EEA">
            <w:pPr>
              <w:rPr>
                <w:rFonts w:ascii="Arial" w:eastAsia="Arial" w:hAnsi="Arial" w:cs="Arial"/>
                <w:color w:val="000000"/>
                <w:sz w:val="16"/>
              </w:rPr>
            </w:pPr>
          </w:p>
        </w:tc>
        <w:tc>
          <w:tcPr>
            <w:tcW w:w="2910" w:type="dxa"/>
            <w:tcBorders>
              <w:top w:val="nil"/>
              <w:left w:val="nil"/>
              <w:bottom w:val="nil"/>
              <w:right w:val="nil"/>
              <w:tl2br w:val="nil"/>
              <w:tr2bl w:val="nil"/>
            </w:tcBorders>
            <w:shd w:val="clear" w:color="auto" w:fill="FFFFFF"/>
            <w:tcMar>
              <w:left w:w="101" w:type="dxa"/>
              <w:right w:w="101" w:type="dxa"/>
            </w:tcMar>
            <w:vAlign w:val="bottom"/>
          </w:tcPr>
          <w:p w14:paraId="2E379B6E" w14:textId="77777777" w:rsidR="003F0EEA" w:rsidRPr="001167E1" w:rsidRDefault="00FB7D0B">
            <w:pPr>
              <w:rPr>
                <w:rFonts w:ascii="Arial" w:eastAsia="Arial" w:hAnsi="Arial" w:cs="Arial"/>
                <w:color w:val="000000"/>
                <w:sz w:val="20"/>
              </w:rPr>
            </w:pPr>
            <w:r w:rsidRPr="001167E1">
              <w:rPr>
                <w:rFonts w:ascii="Arial" w:eastAsia="Arial" w:hAnsi="Arial" w:cs="Arial"/>
                <w:color w:val="000000"/>
                <w:sz w:val="16"/>
              </w:rPr>
              <w:t>Employees</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2652A879" w14:textId="77777777" w:rsidR="003F0EEA" w:rsidRPr="001167E1" w:rsidRDefault="00FB7D0B">
            <w:pPr>
              <w:jc w:val="right"/>
              <w:rPr>
                <w:rFonts w:ascii="Arial" w:eastAsia="Arial" w:hAnsi="Arial" w:cs="Arial"/>
                <w:color w:val="000000"/>
                <w:sz w:val="16"/>
              </w:rPr>
            </w:pPr>
            <w:r w:rsidRPr="001167E1">
              <w:rPr>
                <w:rFonts w:ascii="Arial" w:eastAsia="Arial" w:hAnsi="Arial" w:cs="Arial"/>
                <w:color w:val="000000"/>
                <w:sz w:val="16"/>
              </w:rPr>
              <w:t xml:space="preserve"> 194,813 </w:t>
            </w:r>
          </w:p>
        </w:tc>
        <w:tc>
          <w:tcPr>
            <w:tcW w:w="915" w:type="dxa"/>
            <w:tcBorders>
              <w:top w:val="nil"/>
              <w:left w:val="nil"/>
              <w:bottom w:val="nil"/>
              <w:right w:val="nil"/>
              <w:tl2br w:val="nil"/>
              <w:tr2bl w:val="nil"/>
            </w:tcBorders>
            <w:shd w:val="clear" w:color="auto" w:fill="FFFF00"/>
            <w:tcMar>
              <w:left w:w="101" w:type="dxa"/>
              <w:right w:w="101" w:type="dxa"/>
            </w:tcMar>
            <w:vAlign w:val="bottom"/>
          </w:tcPr>
          <w:p w14:paraId="4C15F7CF" w14:textId="77777777" w:rsidR="003F0EEA" w:rsidRPr="001167E1" w:rsidRDefault="00FB7D0B">
            <w:pPr>
              <w:jc w:val="right"/>
              <w:rPr>
                <w:rFonts w:ascii="Arial" w:eastAsia="Arial" w:hAnsi="Arial" w:cs="Arial"/>
                <w:color w:val="000000"/>
                <w:sz w:val="16"/>
              </w:rPr>
            </w:pPr>
            <w:r w:rsidRPr="001167E1">
              <w:rPr>
                <w:rFonts w:ascii="Arial" w:eastAsia="Arial" w:hAnsi="Arial" w:cs="Arial"/>
                <w:color w:val="000000"/>
                <w:sz w:val="16"/>
              </w:rPr>
              <w:t xml:space="preserve"> 190,604 </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01D08F7A" w14:textId="77777777" w:rsidR="003F0EEA" w:rsidRPr="001167E1" w:rsidRDefault="00FB7D0B">
            <w:pPr>
              <w:jc w:val="right"/>
              <w:rPr>
                <w:rFonts w:ascii="Arial" w:eastAsia="Arial" w:hAnsi="Arial" w:cs="Arial"/>
                <w:color w:val="000000"/>
                <w:sz w:val="16"/>
              </w:rPr>
            </w:pPr>
            <w:r w:rsidRPr="001167E1">
              <w:rPr>
                <w:rFonts w:ascii="Arial" w:eastAsia="Arial" w:hAnsi="Arial" w:cs="Arial"/>
                <w:color w:val="000000"/>
                <w:sz w:val="16"/>
              </w:rPr>
              <w:t xml:space="preserve"> 186,263 </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391CF58A" w14:textId="77777777" w:rsidR="003F0EEA" w:rsidRPr="001167E1" w:rsidRDefault="00FB7D0B">
            <w:pPr>
              <w:jc w:val="right"/>
              <w:rPr>
                <w:rFonts w:ascii="Arial" w:eastAsia="Arial" w:hAnsi="Arial" w:cs="Arial"/>
                <w:color w:val="000000"/>
                <w:sz w:val="16"/>
              </w:rPr>
            </w:pPr>
            <w:r w:rsidRPr="001167E1">
              <w:rPr>
                <w:rFonts w:ascii="Arial" w:eastAsia="Arial" w:hAnsi="Arial" w:cs="Arial"/>
                <w:color w:val="000000"/>
                <w:sz w:val="16"/>
              </w:rPr>
              <w:t xml:space="preserve"> 182,283 </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27048E25" w14:textId="77777777" w:rsidR="003F0EEA" w:rsidRPr="001167E1" w:rsidRDefault="00FB7D0B">
            <w:pPr>
              <w:jc w:val="right"/>
              <w:rPr>
                <w:rFonts w:ascii="Arial" w:eastAsia="Arial" w:hAnsi="Arial" w:cs="Arial"/>
                <w:color w:val="000000"/>
                <w:sz w:val="16"/>
              </w:rPr>
            </w:pPr>
            <w:r w:rsidRPr="001167E1">
              <w:rPr>
                <w:rFonts w:ascii="Arial" w:eastAsia="Arial" w:hAnsi="Arial" w:cs="Arial"/>
                <w:color w:val="000000"/>
                <w:sz w:val="16"/>
              </w:rPr>
              <w:t xml:space="preserve"> 181,034 </w:t>
            </w:r>
          </w:p>
        </w:tc>
      </w:tr>
      <w:tr w:rsidR="00724034" w14:paraId="5B22CF5A" w14:textId="77777777">
        <w:trPr>
          <w:trHeight w:val="225"/>
        </w:trPr>
        <w:tc>
          <w:tcPr>
            <w:tcW w:w="180" w:type="dxa"/>
            <w:tcBorders>
              <w:top w:val="nil"/>
              <w:left w:val="nil"/>
              <w:bottom w:val="nil"/>
              <w:right w:val="nil"/>
              <w:tl2br w:val="nil"/>
              <w:tr2bl w:val="nil"/>
            </w:tcBorders>
            <w:shd w:val="clear" w:color="auto" w:fill="FFFFFF"/>
            <w:tcMar>
              <w:left w:w="101" w:type="dxa"/>
              <w:right w:w="101" w:type="dxa"/>
            </w:tcMar>
            <w:vAlign w:val="bottom"/>
          </w:tcPr>
          <w:p w14:paraId="1CB7F022" w14:textId="77777777" w:rsidR="003F0EEA" w:rsidRPr="001167E1" w:rsidRDefault="003F0EEA">
            <w:pPr>
              <w:rPr>
                <w:rFonts w:ascii="Arial" w:eastAsia="Arial" w:hAnsi="Arial" w:cs="Arial"/>
                <w:color w:val="000000"/>
                <w:sz w:val="16"/>
              </w:rPr>
            </w:pPr>
          </w:p>
        </w:tc>
        <w:tc>
          <w:tcPr>
            <w:tcW w:w="2910" w:type="dxa"/>
            <w:tcBorders>
              <w:top w:val="nil"/>
              <w:left w:val="nil"/>
              <w:bottom w:val="nil"/>
              <w:right w:val="nil"/>
              <w:tl2br w:val="nil"/>
              <w:tr2bl w:val="nil"/>
            </w:tcBorders>
            <w:shd w:val="clear" w:color="auto" w:fill="FFFFFF"/>
            <w:tcMar>
              <w:left w:w="101" w:type="dxa"/>
              <w:right w:w="101" w:type="dxa"/>
            </w:tcMar>
            <w:vAlign w:val="bottom"/>
          </w:tcPr>
          <w:p w14:paraId="57840AF6" w14:textId="77777777" w:rsidR="003F0EEA" w:rsidRPr="001167E1" w:rsidRDefault="00FB7D0B">
            <w:pPr>
              <w:rPr>
                <w:rFonts w:ascii="Arial" w:eastAsia="Arial" w:hAnsi="Arial" w:cs="Arial"/>
                <w:color w:val="000000"/>
                <w:sz w:val="20"/>
              </w:rPr>
            </w:pPr>
            <w:r w:rsidRPr="001167E1">
              <w:rPr>
                <w:rFonts w:ascii="Arial" w:eastAsia="Arial" w:hAnsi="Arial" w:cs="Arial"/>
                <w:color w:val="000000"/>
                <w:sz w:val="16"/>
              </w:rPr>
              <w:t>Suppliers</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7FA56B8F" w14:textId="77777777" w:rsidR="003F0EEA" w:rsidRPr="001167E1" w:rsidRDefault="00FB7D0B">
            <w:pPr>
              <w:jc w:val="right"/>
              <w:rPr>
                <w:rFonts w:ascii="Arial" w:eastAsia="Arial" w:hAnsi="Arial" w:cs="Arial"/>
                <w:color w:val="000000"/>
                <w:sz w:val="16"/>
              </w:rPr>
            </w:pPr>
            <w:r w:rsidRPr="001167E1">
              <w:rPr>
                <w:rFonts w:ascii="Arial" w:eastAsia="Arial" w:hAnsi="Arial" w:cs="Arial"/>
                <w:color w:val="000000"/>
                <w:sz w:val="16"/>
              </w:rPr>
              <w:t xml:space="preserve"> 113,823 </w:t>
            </w:r>
          </w:p>
        </w:tc>
        <w:tc>
          <w:tcPr>
            <w:tcW w:w="915" w:type="dxa"/>
            <w:tcBorders>
              <w:top w:val="nil"/>
              <w:left w:val="nil"/>
              <w:bottom w:val="nil"/>
              <w:right w:val="nil"/>
              <w:tl2br w:val="nil"/>
              <w:tr2bl w:val="nil"/>
            </w:tcBorders>
            <w:shd w:val="clear" w:color="auto" w:fill="FFFF00"/>
            <w:tcMar>
              <w:left w:w="101" w:type="dxa"/>
              <w:right w:w="101" w:type="dxa"/>
            </w:tcMar>
            <w:vAlign w:val="bottom"/>
          </w:tcPr>
          <w:p w14:paraId="081C583F" w14:textId="77777777" w:rsidR="003F0EEA" w:rsidRPr="001167E1" w:rsidRDefault="00FB7D0B">
            <w:pPr>
              <w:jc w:val="right"/>
              <w:rPr>
                <w:rFonts w:ascii="Arial" w:eastAsia="Arial" w:hAnsi="Arial" w:cs="Arial"/>
                <w:color w:val="000000"/>
                <w:sz w:val="16"/>
              </w:rPr>
            </w:pPr>
            <w:r w:rsidRPr="001167E1">
              <w:rPr>
                <w:rFonts w:ascii="Arial" w:eastAsia="Arial" w:hAnsi="Arial" w:cs="Arial"/>
                <w:color w:val="000000"/>
                <w:sz w:val="16"/>
              </w:rPr>
              <w:t xml:space="preserve"> 110,917 </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42720FC6" w14:textId="77777777" w:rsidR="003F0EEA" w:rsidRPr="001167E1" w:rsidRDefault="00FB7D0B">
            <w:pPr>
              <w:jc w:val="right"/>
              <w:rPr>
                <w:rFonts w:ascii="Arial" w:eastAsia="Arial" w:hAnsi="Arial" w:cs="Arial"/>
                <w:color w:val="000000"/>
                <w:sz w:val="16"/>
              </w:rPr>
            </w:pPr>
            <w:r w:rsidRPr="001167E1">
              <w:rPr>
                <w:rFonts w:ascii="Arial" w:eastAsia="Arial" w:hAnsi="Arial" w:cs="Arial"/>
                <w:color w:val="000000"/>
                <w:sz w:val="16"/>
              </w:rPr>
              <w:t xml:space="preserve"> 107,362 </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2CD4032F" w14:textId="77777777" w:rsidR="003F0EEA" w:rsidRPr="001167E1" w:rsidRDefault="00FB7D0B">
            <w:pPr>
              <w:jc w:val="right"/>
              <w:rPr>
                <w:rFonts w:ascii="Arial" w:eastAsia="Arial" w:hAnsi="Arial" w:cs="Arial"/>
                <w:color w:val="000000"/>
                <w:sz w:val="16"/>
              </w:rPr>
            </w:pPr>
            <w:r w:rsidRPr="001167E1">
              <w:rPr>
                <w:rFonts w:ascii="Arial" w:eastAsia="Arial" w:hAnsi="Arial" w:cs="Arial"/>
                <w:color w:val="000000"/>
                <w:sz w:val="16"/>
              </w:rPr>
              <w:t xml:space="preserve"> 103,655 </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5C8AFD43" w14:textId="77777777" w:rsidR="003F0EEA" w:rsidRPr="001167E1" w:rsidRDefault="00FB7D0B">
            <w:pPr>
              <w:jc w:val="right"/>
              <w:rPr>
                <w:rFonts w:ascii="Arial" w:eastAsia="Arial" w:hAnsi="Arial" w:cs="Arial"/>
                <w:color w:val="000000"/>
                <w:sz w:val="16"/>
              </w:rPr>
            </w:pPr>
            <w:r w:rsidRPr="001167E1">
              <w:rPr>
                <w:rFonts w:ascii="Arial" w:eastAsia="Arial" w:hAnsi="Arial" w:cs="Arial"/>
                <w:color w:val="000000"/>
                <w:sz w:val="16"/>
              </w:rPr>
              <w:t xml:space="preserve"> 105,435 </w:t>
            </w:r>
          </w:p>
        </w:tc>
      </w:tr>
      <w:tr w:rsidR="00724034" w14:paraId="4590A67E" w14:textId="77777777">
        <w:trPr>
          <w:trHeight w:val="225"/>
        </w:trPr>
        <w:tc>
          <w:tcPr>
            <w:tcW w:w="180" w:type="dxa"/>
            <w:tcBorders>
              <w:top w:val="nil"/>
              <w:left w:val="nil"/>
              <w:bottom w:val="nil"/>
              <w:right w:val="nil"/>
              <w:tl2br w:val="nil"/>
              <w:tr2bl w:val="nil"/>
            </w:tcBorders>
            <w:shd w:val="clear" w:color="auto" w:fill="FFFFFF"/>
            <w:tcMar>
              <w:left w:w="101" w:type="dxa"/>
              <w:right w:w="101" w:type="dxa"/>
            </w:tcMar>
            <w:vAlign w:val="bottom"/>
          </w:tcPr>
          <w:p w14:paraId="61798BA1" w14:textId="77777777" w:rsidR="003F0EEA" w:rsidRPr="001167E1" w:rsidRDefault="003F0EEA">
            <w:pPr>
              <w:rPr>
                <w:rFonts w:ascii="Arial" w:eastAsia="Arial" w:hAnsi="Arial" w:cs="Arial"/>
                <w:color w:val="000000"/>
                <w:sz w:val="16"/>
              </w:rPr>
            </w:pPr>
          </w:p>
        </w:tc>
        <w:tc>
          <w:tcPr>
            <w:tcW w:w="2910" w:type="dxa"/>
            <w:tcBorders>
              <w:top w:val="nil"/>
              <w:left w:val="nil"/>
              <w:bottom w:val="nil"/>
              <w:right w:val="nil"/>
              <w:tl2br w:val="nil"/>
              <w:tr2bl w:val="nil"/>
            </w:tcBorders>
            <w:shd w:val="clear" w:color="auto" w:fill="FFFFFF"/>
            <w:tcMar>
              <w:left w:w="101" w:type="dxa"/>
              <w:right w:w="101" w:type="dxa"/>
            </w:tcMar>
            <w:vAlign w:val="bottom"/>
          </w:tcPr>
          <w:p w14:paraId="0EEE9AD3" w14:textId="77777777" w:rsidR="003F0EEA" w:rsidRPr="001167E1" w:rsidRDefault="00FB7D0B">
            <w:pPr>
              <w:rPr>
                <w:rFonts w:ascii="Arial" w:eastAsia="Arial" w:hAnsi="Arial" w:cs="Arial"/>
                <w:color w:val="000000"/>
                <w:sz w:val="20"/>
              </w:rPr>
            </w:pPr>
            <w:r w:rsidRPr="001167E1">
              <w:rPr>
                <w:rFonts w:ascii="Arial" w:eastAsia="Arial" w:hAnsi="Arial" w:cs="Arial"/>
                <w:color w:val="000000"/>
                <w:sz w:val="16"/>
              </w:rPr>
              <w:t>Net GST paid</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72B64360" w14:textId="77777777" w:rsidR="003F0EEA" w:rsidRPr="001167E1" w:rsidRDefault="00FB7D0B">
            <w:pPr>
              <w:jc w:val="right"/>
              <w:rPr>
                <w:rFonts w:ascii="Arial" w:eastAsia="Arial" w:hAnsi="Arial" w:cs="Arial"/>
                <w:color w:val="000000"/>
                <w:sz w:val="16"/>
              </w:rPr>
            </w:pPr>
            <w:r w:rsidRPr="001167E1">
              <w:rPr>
                <w:rFonts w:ascii="Arial" w:eastAsia="Arial" w:hAnsi="Arial" w:cs="Arial"/>
                <w:color w:val="000000"/>
                <w:sz w:val="16"/>
              </w:rPr>
              <w:t xml:space="preserve"> 13,336 </w:t>
            </w:r>
          </w:p>
        </w:tc>
        <w:tc>
          <w:tcPr>
            <w:tcW w:w="915" w:type="dxa"/>
            <w:tcBorders>
              <w:top w:val="nil"/>
              <w:left w:val="nil"/>
              <w:bottom w:val="nil"/>
              <w:right w:val="nil"/>
              <w:tl2br w:val="nil"/>
              <w:tr2bl w:val="nil"/>
            </w:tcBorders>
            <w:shd w:val="clear" w:color="auto" w:fill="FFFF00"/>
            <w:tcMar>
              <w:left w:w="101" w:type="dxa"/>
              <w:right w:w="101" w:type="dxa"/>
            </w:tcMar>
            <w:vAlign w:val="bottom"/>
          </w:tcPr>
          <w:p w14:paraId="5543B8F4" w14:textId="77777777" w:rsidR="003F0EEA" w:rsidRPr="001167E1" w:rsidRDefault="00FB7D0B">
            <w:pPr>
              <w:jc w:val="right"/>
              <w:rPr>
                <w:rFonts w:ascii="Arial" w:eastAsia="Arial" w:hAnsi="Arial" w:cs="Arial"/>
                <w:color w:val="000000"/>
                <w:sz w:val="16"/>
              </w:rPr>
            </w:pPr>
            <w:r w:rsidRPr="001167E1">
              <w:rPr>
                <w:rFonts w:ascii="Arial" w:eastAsia="Arial" w:hAnsi="Arial" w:cs="Arial"/>
                <w:color w:val="000000"/>
                <w:sz w:val="16"/>
              </w:rPr>
              <w:t xml:space="preserve"> 13,336 </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221B44E1" w14:textId="77777777" w:rsidR="003F0EEA" w:rsidRPr="001167E1" w:rsidRDefault="00FB7D0B">
            <w:pPr>
              <w:jc w:val="right"/>
              <w:rPr>
                <w:rFonts w:ascii="Arial" w:eastAsia="Arial" w:hAnsi="Arial" w:cs="Arial"/>
                <w:color w:val="000000"/>
                <w:sz w:val="16"/>
              </w:rPr>
            </w:pPr>
            <w:r w:rsidRPr="001167E1">
              <w:rPr>
                <w:rFonts w:ascii="Arial" w:eastAsia="Arial" w:hAnsi="Arial" w:cs="Arial"/>
                <w:color w:val="000000"/>
                <w:sz w:val="16"/>
              </w:rPr>
              <w:t xml:space="preserve"> 13,336 </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0B2E3638" w14:textId="77777777" w:rsidR="003F0EEA" w:rsidRPr="001167E1" w:rsidRDefault="00FB7D0B">
            <w:pPr>
              <w:jc w:val="right"/>
              <w:rPr>
                <w:rFonts w:ascii="Arial" w:eastAsia="Arial" w:hAnsi="Arial" w:cs="Arial"/>
                <w:color w:val="000000"/>
                <w:sz w:val="16"/>
              </w:rPr>
            </w:pPr>
            <w:r w:rsidRPr="001167E1">
              <w:rPr>
                <w:rFonts w:ascii="Arial" w:eastAsia="Arial" w:hAnsi="Arial" w:cs="Arial"/>
                <w:color w:val="000000"/>
                <w:sz w:val="16"/>
              </w:rPr>
              <w:t xml:space="preserve"> 13,336 </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06E2CAF4" w14:textId="77777777" w:rsidR="003F0EEA" w:rsidRPr="001167E1" w:rsidRDefault="00FB7D0B">
            <w:pPr>
              <w:jc w:val="right"/>
              <w:rPr>
                <w:rFonts w:ascii="Arial" w:eastAsia="Arial" w:hAnsi="Arial" w:cs="Arial"/>
                <w:color w:val="000000"/>
                <w:sz w:val="16"/>
              </w:rPr>
            </w:pPr>
            <w:r w:rsidRPr="001167E1">
              <w:rPr>
                <w:rFonts w:ascii="Arial" w:eastAsia="Arial" w:hAnsi="Arial" w:cs="Arial"/>
                <w:color w:val="000000"/>
                <w:sz w:val="16"/>
              </w:rPr>
              <w:t xml:space="preserve"> 13,336 </w:t>
            </w:r>
          </w:p>
        </w:tc>
      </w:tr>
      <w:tr w:rsidR="00724034" w14:paraId="1D0EC186" w14:textId="77777777">
        <w:trPr>
          <w:trHeight w:val="225"/>
        </w:trPr>
        <w:tc>
          <w:tcPr>
            <w:tcW w:w="180" w:type="dxa"/>
            <w:tcBorders>
              <w:top w:val="nil"/>
              <w:left w:val="nil"/>
              <w:bottom w:val="nil"/>
              <w:right w:val="nil"/>
              <w:tl2br w:val="nil"/>
              <w:tr2bl w:val="nil"/>
            </w:tcBorders>
            <w:shd w:val="clear" w:color="auto" w:fill="FFFFFF"/>
            <w:tcMar>
              <w:left w:w="101" w:type="dxa"/>
              <w:right w:w="101" w:type="dxa"/>
            </w:tcMar>
            <w:vAlign w:val="bottom"/>
          </w:tcPr>
          <w:p w14:paraId="594FFDEC" w14:textId="77777777" w:rsidR="003F0EEA" w:rsidRPr="001167E1" w:rsidRDefault="003F0EEA">
            <w:pPr>
              <w:rPr>
                <w:rFonts w:ascii="Arial" w:eastAsia="Arial" w:hAnsi="Arial" w:cs="Arial"/>
                <w:color w:val="000000"/>
                <w:sz w:val="16"/>
              </w:rPr>
            </w:pPr>
          </w:p>
        </w:tc>
        <w:tc>
          <w:tcPr>
            <w:tcW w:w="2910" w:type="dxa"/>
            <w:tcBorders>
              <w:top w:val="nil"/>
              <w:left w:val="nil"/>
              <w:bottom w:val="nil"/>
              <w:right w:val="nil"/>
              <w:tl2br w:val="nil"/>
              <w:tr2bl w:val="nil"/>
            </w:tcBorders>
            <w:shd w:val="clear" w:color="auto" w:fill="FFFFFF"/>
            <w:tcMar>
              <w:left w:w="101" w:type="dxa"/>
              <w:right w:w="101" w:type="dxa"/>
            </w:tcMar>
            <w:vAlign w:val="bottom"/>
          </w:tcPr>
          <w:p w14:paraId="6CCD31E1" w14:textId="77777777" w:rsidR="003F0EEA" w:rsidRPr="001167E1" w:rsidRDefault="00FB7D0B">
            <w:pPr>
              <w:rPr>
                <w:rFonts w:ascii="Arial" w:eastAsia="Arial" w:hAnsi="Arial" w:cs="Arial"/>
                <w:color w:val="000000"/>
                <w:sz w:val="20"/>
              </w:rPr>
            </w:pPr>
            <w:r w:rsidRPr="001167E1">
              <w:rPr>
                <w:rFonts w:ascii="Arial" w:eastAsia="Arial" w:hAnsi="Arial" w:cs="Arial"/>
                <w:color w:val="000000"/>
                <w:sz w:val="16"/>
              </w:rPr>
              <w:t>Other</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16FF7B34" w14:textId="77777777" w:rsidR="003F0EEA" w:rsidRPr="001167E1" w:rsidRDefault="00FB7D0B">
            <w:pPr>
              <w:jc w:val="right"/>
              <w:rPr>
                <w:rFonts w:ascii="Arial" w:eastAsia="Arial" w:hAnsi="Arial" w:cs="Arial"/>
                <w:color w:val="000000"/>
                <w:sz w:val="16"/>
              </w:rPr>
            </w:pPr>
            <w:r w:rsidRPr="001167E1">
              <w:rPr>
                <w:rFonts w:ascii="Arial" w:eastAsia="Arial" w:hAnsi="Arial" w:cs="Arial"/>
                <w:color w:val="000000"/>
                <w:sz w:val="16"/>
              </w:rPr>
              <w:t xml:space="preserve"> 35,876 </w:t>
            </w:r>
          </w:p>
        </w:tc>
        <w:tc>
          <w:tcPr>
            <w:tcW w:w="915" w:type="dxa"/>
            <w:tcBorders>
              <w:top w:val="nil"/>
              <w:left w:val="nil"/>
              <w:bottom w:val="nil"/>
              <w:right w:val="nil"/>
              <w:tl2br w:val="nil"/>
              <w:tr2bl w:val="nil"/>
            </w:tcBorders>
            <w:shd w:val="clear" w:color="auto" w:fill="FFFF00"/>
            <w:tcMar>
              <w:left w:w="101" w:type="dxa"/>
              <w:right w:w="101" w:type="dxa"/>
            </w:tcMar>
            <w:vAlign w:val="bottom"/>
          </w:tcPr>
          <w:p w14:paraId="6226341C" w14:textId="77777777" w:rsidR="003F0EEA" w:rsidRPr="001167E1" w:rsidRDefault="00FB7D0B">
            <w:pPr>
              <w:jc w:val="right"/>
              <w:rPr>
                <w:rFonts w:ascii="Arial" w:eastAsia="Arial" w:hAnsi="Arial" w:cs="Arial"/>
                <w:color w:val="000000"/>
                <w:sz w:val="16"/>
              </w:rPr>
            </w:pPr>
            <w:r w:rsidRPr="001167E1">
              <w:rPr>
                <w:rFonts w:ascii="Arial" w:eastAsia="Arial" w:hAnsi="Arial" w:cs="Arial"/>
                <w:color w:val="000000"/>
                <w:sz w:val="16"/>
              </w:rPr>
              <w:t xml:space="preserve"> 38,491 </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6EA9F52E" w14:textId="77777777" w:rsidR="003F0EEA" w:rsidRPr="001167E1" w:rsidRDefault="00FB7D0B">
            <w:pPr>
              <w:jc w:val="right"/>
              <w:rPr>
                <w:rFonts w:ascii="Arial" w:eastAsia="Arial" w:hAnsi="Arial" w:cs="Arial"/>
                <w:color w:val="000000"/>
                <w:sz w:val="16"/>
              </w:rPr>
            </w:pPr>
            <w:r w:rsidRPr="001167E1">
              <w:rPr>
                <w:rFonts w:ascii="Arial" w:eastAsia="Arial" w:hAnsi="Arial" w:cs="Arial"/>
                <w:color w:val="000000"/>
                <w:sz w:val="16"/>
              </w:rPr>
              <w:t xml:space="preserve"> 41,299 </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092FCBD8" w14:textId="77777777" w:rsidR="003F0EEA" w:rsidRPr="001167E1" w:rsidRDefault="00FB7D0B">
            <w:pPr>
              <w:jc w:val="right"/>
              <w:rPr>
                <w:rFonts w:ascii="Arial" w:eastAsia="Arial" w:hAnsi="Arial" w:cs="Arial"/>
                <w:color w:val="000000"/>
                <w:sz w:val="16"/>
              </w:rPr>
            </w:pPr>
            <w:r w:rsidRPr="001167E1">
              <w:rPr>
                <w:rFonts w:ascii="Arial" w:eastAsia="Arial" w:hAnsi="Arial" w:cs="Arial"/>
                <w:color w:val="000000"/>
                <w:sz w:val="16"/>
              </w:rPr>
              <w:t xml:space="preserve"> 44,314 </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09ABC0C3" w14:textId="77777777" w:rsidR="003F0EEA" w:rsidRPr="001167E1" w:rsidRDefault="00FB7D0B">
            <w:pPr>
              <w:jc w:val="right"/>
              <w:rPr>
                <w:rFonts w:ascii="Arial" w:eastAsia="Arial" w:hAnsi="Arial" w:cs="Arial"/>
                <w:color w:val="000000"/>
                <w:sz w:val="16"/>
              </w:rPr>
            </w:pPr>
            <w:r w:rsidRPr="001167E1">
              <w:rPr>
                <w:rFonts w:ascii="Arial" w:eastAsia="Arial" w:hAnsi="Arial" w:cs="Arial"/>
                <w:color w:val="000000"/>
                <w:sz w:val="16"/>
              </w:rPr>
              <w:t xml:space="preserve"> 47,551 </w:t>
            </w:r>
          </w:p>
        </w:tc>
      </w:tr>
      <w:tr w:rsidR="00FB7D0B" w14:paraId="5F257849" w14:textId="77777777" w:rsidTr="00FB7D0B">
        <w:trPr>
          <w:trHeight w:val="225"/>
        </w:trPr>
        <w:tc>
          <w:tcPr>
            <w:tcW w:w="3090" w:type="dxa"/>
            <w:gridSpan w:val="2"/>
            <w:tcBorders>
              <w:top w:val="nil"/>
              <w:left w:val="nil"/>
              <w:bottom w:val="nil"/>
              <w:right w:val="nil"/>
              <w:tl2br w:val="nil"/>
              <w:tr2bl w:val="nil"/>
            </w:tcBorders>
            <w:shd w:val="clear" w:color="auto" w:fill="FFFFFF"/>
            <w:tcMar>
              <w:left w:w="101" w:type="dxa"/>
              <w:right w:w="101" w:type="dxa"/>
            </w:tcMar>
            <w:vAlign w:val="bottom"/>
          </w:tcPr>
          <w:p w14:paraId="5A22EC7F" w14:textId="77777777" w:rsidR="003F0EEA" w:rsidRPr="001167E1" w:rsidRDefault="00FB7D0B">
            <w:pPr>
              <w:rPr>
                <w:rFonts w:ascii="Arial" w:eastAsia="Arial" w:hAnsi="Arial" w:cs="Arial"/>
                <w:color w:val="000000"/>
                <w:sz w:val="16"/>
              </w:rPr>
            </w:pPr>
            <w:r w:rsidRPr="001167E1">
              <w:rPr>
                <w:rFonts w:ascii="Arial" w:eastAsia="Arial" w:hAnsi="Arial" w:cs="Arial"/>
                <w:b/>
                <w:i/>
                <w:color w:val="000000"/>
                <w:sz w:val="16"/>
              </w:rPr>
              <w:t>Total cash used</w:t>
            </w:r>
          </w:p>
        </w:tc>
        <w:tc>
          <w:tcPr>
            <w:tcW w:w="915"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08D7B488" w14:textId="77777777" w:rsidR="003F0EEA" w:rsidRPr="001167E1" w:rsidRDefault="00FB7D0B">
            <w:pPr>
              <w:jc w:val="right"/>
              <w:rPr>
                <w:rFonts w:ascii="Arial" w:eastAsia="Arial" w:hAnsi="Arial" w:cs="Arial"/>
                <w:b/>
                <w:i/>
                <w:color w:val="000000"/>
                <w:sz w:val="16"/>
              </w:rPr>
            </w:pPr>
            <w:r w:rsidRPr="001167E1">
              <w:rPr>
                <w:rFonts w:ascii="Arial" w:eastAsia="Arial" w:hAnsi="Arial" w:cs="Arial"/>
                <w:b/>
                <w:color w:val="000000"/>
                <w:sz w:val="16"/>
              </w:rPr>
              <w:t xml:space="preserve"> 357,848 </w:t>
            </w:r>
          </w:p>
        </w:tc>
        <w:tc>
          <w:tcPr>
            <w:tcW w:w="915" w:type="dxa"/>
            <w:tcBorders>
              <w:top w:val="single" w:sz="6" w:space="0" w:color="000000"/>
              <w:left w:val="nil"/>
              <w:bottom w:val="single" w:sz="6" w:space="0" w:color="000000"/>
              <w:right w:val="nil"/>
              <w:tl2br w:val="nil"/>
              <w:tr2bl w:val="nil"/>
            </w:tcBorders>
            <w:shd w:val="clear" w:color="auto" w:fill="FFFF00"/>
            <w:tcMar>
              <w:left w:w="101" w:type="dxa"/>
              <w:right w:w="101" w:type="dxa"/>
            </w:tcMar>
            <w:vAlign w:val="bottom"/>
          </w:tcPr>
          <w:p w14:paraId="56358A90" w14:textId="77777777" w:rsidR="003F0EEA" w:rsidRPr="001167E1" w:rsidRDefault="00FB7D0B">
            <w:pPr>
              <w:jc w:val="right"/>
              <w:rPr>
                <w:rFonts w:ascii="Arial" w:eastAsia="Arial" w:hAnsi="Arial" w:cs="Arial"/>
                <w:b/>
                <w:color w:val="000000"/>
                <w:sz w:val="16"/>
              </w:rPr>
            </w:pPr>
            <w:r w:rsidRPr="001167E1">
              <w:rPr>
                <w:rFonts w:ascii="Arial" w:eastAsia="Arial" w:hAnsi="Arial" w:cs="Arial"/>
                <w:b/>
                <w:color w:val="000000"/>
                <w:sz w:val="16"/>
              </w:rPr>
              <w:t xml:space="preserve"> 353,348 </w:t>
            </w:r>
          </w:p>
        </w:tc>
        <w:tc>
          <w:tcPr>
            <w:tcW w:w="915"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5F11A940" w14:textId="77777777" w:rsidR="003F0EEA" w:rsidRPr="001167E1" w:rsidRDefault="00FB7D0B">
            <w:pPr>
              <w:jc w:val="right"/>
              <w:rPr>
                <w:rFonts w:ascii="Arial" w:eastAsia="Arial" w:hAnsi="Arial" w:cs="Arial"/>
                <w:b/>
                <w:color w:val="000000"/>
                <w:sz w:val="16"/>
              </w:rPr>
            </w:pPr>
            <w:r w:rsidRPr="001167E1">
              <w:rPr>
                <w:rFonts w:ascii="Arial" w:eastAsia="Arial" w:hAnsi="Arial" w:cs="Arial"/>
                <w:b/>
                <w:color w:val="000000"/>
                <w:sz w:val="16"/>
              </w:rPr>
              <w:t xml:space="preserve"> 348,260 </w:t>
            </w:r>
          </w:p>
        </w:tc>
        <w:tc>
          <w:tcPr>
            <w:tcW w:w="915"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4396EE84" w14:textId="77777777" w:rsidR="003F0EEA" w:rsidRPr="001167E1" w:rsidRDefault="00FB7D0B">
            <w:pPr>
              <w:jc w:val="right"/>
              <w:rPr>
                <w:rFonts w:ascii="Arial" w:eastAsia="Arial" w:hAnsi="Arial" w:cs="Arial"/>
                <w:b/>
                <w:color w:val="000000"/>
                <w:sz w:val="16"/>
              </w:rPr>
            </w:pPr>
            <w:r w:rsidRPr="001167E1">
              <w:rPr>
                <w:rFonts w:ascii="Arial" w:eastAsia="Arial" w:hAnsi="Arial" w:cs="Arial"/>
                <w:b/>
                <w:color w:val="000000"/>
                <w:sz w:val="16"/>
              </w:rPr>
              <w:t xml:space="preserve"> 343,588 </w:t>
            </w:r>
          </w:p>
        </w:tc>
        <w:tc>
          <w:tcPr>
            <w:tcW w:w="915"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104917DF" w14:textId="77777777" w:rsidR="003F0EEA" w:rsidRPr="001167E1" w:rsidRDefault="00FB7D0B">
            <w:pPr>
              <w:jc w:val="right"/>
              <w:rPr>
                <w:rFonts w:ascii="Arial" w:eastAsia="Arial" w:hAnsi="Arial" w:cs="Arial"/>
                <w:b/>
                <w:color w:val="000000"/>
                <w:sz w:val="16"/>
              </w:rPr>
            </w:pPr>
            <w:r w:rsidRPr="001167E1">
              <w:rPr>
                <w:rFonts w:ascii="Arial" w:eastAsia="Arial" w:hAnsi="Arial" w:cs="Arial"/>
                <w:b/>
                <w:color w:val="000000"/>
                <w:sz w:val="16"/>
              </w:rPr>
              <w:t xml:space="preserve"> 347,356 </w:t>
            </w:r>
          </w:p>
        </w:tc>
      </w:tr>
      <w:tr w:rsidR="00FB7D0B" w14:paraId="4B05E8E4" w14:textId="77777777" w:rsidTr="00FB7D0B">
        <w:trPr>
          <w:trHeight w:val="225"/>
        </w:trPr>
        <w:tc>
          <w:tcPr>
            <w:tcW w:w="3090" w:type="dxa"/>
            <w:gridSpan w:val="2"/>
            <w:tcBorders>
              <w:top w:val="nil"/>
              <w:left w:val="nil"/>
              <w:bottom w:val="nil"/>
              <w:right w:val="nil"/>
              <w:tl2br w:val="nil"/>
              <w:tr2bl w:val="nil"/>
            </w:tcBorders>
            <w:shd w:val="clear" w:color="auto" w:fill="FFFFFF"/>
            <w:tcMar>
              <w:left w:w="101" w:type="dxa"/>
              <w:right w:w="101" w:type="dxa"/>
            </w:tcMar>
            <w:vAlign w:val="bottom"/>
          </w:tcPr>
          <w:p w14:paraId="3B848427" w14:textId="77777777" w:rsidR="003F0EEA" w:rsidRPr="001167E1" w:rsidRDefault="00FB7D0B">
            <w:pPr>
              <w:rPr>
                <w:rFonts w:ascii="Arial" w:eastAsia="Arial" w:hAnsi="Arial" w:cs="Arial"/>
                <w:b/>
                <w:color w:val="000000"/>
                <w:sz w:val="16"/>
              </w:rPr>
            </w:pPr>
            <w:r w:rsidRPr="001167E1">
              <w:rPr>
                <w:rFonts w:ascii="Arial" w:eastAsia="Arial" w:hAnsi="Arial" w:cs="Arial"/>
                <w:b/>
                <w:color w:val="000000"/>
                <w:sz w:val="16"/>
              </w:rPr>
              <w:t>Net cash from or (used by)</w:t>
            </w:r>
          </w:p>
        </w:tc>
        <w:tc>
          <w:tcPr>
            <w:tcW w:w="915"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65CE9AC4" w14:textId="77777777" w:rsidR="003F0EEA" w:rsidRPr="001167E1" w:rsidRDefault="003F0EEA">
            <w:pPr>
              <w:rPr>
                <w:rFonts w:ascii="Arial" w:eastAsia="Arial" w:hAnsi="Arial" w:cs="Arial"/>
                <w:b/>
                <w:color w:val="000000"/>
                <w:sz w:val="16"/>
              </w:rPr>
            </w:pPr>
          </w:p>
        </w:tc>
        <w:tc>
          <w:tcPr>
            <w:tcW w:w="915" w:type="dxa"/>
            <w:tcBorders>
              <w:top w:val="single" w:sz="6" w:space="0" w:color="000000"/>
              <w:left w:val="nil"/>
              <w:bottom w:val="single" w:sz="6" w:space="0" w:color="000000"/>
              <w:right w:val="nil"/>
              <w:tl2br w:val="nil"/>
              <w:tr2bl w:val="nil"/>
            </w:tcBorders>
            <w:shd w:val="clear" w:color="auto" w:fill="FFFF00"/>
            <w:tcMar>
              <w:left w:w="101" w:type="dxa"/>
              <w:right w:w="101" w:type="dxa"/>
            </w:tcMar>
            <w:vAlign w:val="bottom"/>
          </w:tcPr>
          <w:p w14:paraId="42143FCC" w14:textId="77777777" w:rsidR="003F0EEA" w:rsidRPr="001167E1" w:rsidRDefault="003F0EEA">
            <w:pPr>
              <w:rPr>
                <w:rFonts w:ascii="Arial" w:eastAsia="Arial" w:hAnsi="Arial" w:cs="Arial"/>
                <w:color w:val="000000"/>
                <w:sz w:val="16"/>
              </w:rPr>
            </w:pPr>
          </w:p>
        </w:tc>
        <w:tc>
          <w:tcPr>
            <w:tcW w:w="915"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1DE052D9" w14:textId="77777777" w:rsidR="003F0EEA" w:rsidRPr="001167E1" w:rsidRDefault="003F0EEA">
            <w:pPr>
              <w:rPr>
                <w:rFonts w:ascii="Arial" w:eastAsia="Arial" w:hAnsi="Arial" w:cs="Arial"/>
                <w:color w:val="000000"/>
                <w:sz w:val="16"/>
              </w:rPr>
            </w:pPr>
          </w:p>
        </w:tc>
        <w:tc>
          <w:tcPr>
            <w:tcW w:w="915"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41D70B39" w14:textId="77777777" w:rsidR="003F0EEA" w:rsidRPr="001167E1" w:rsidRDefault="003F0EEA">
            <w:pPr>
              <w:rPr>
                <w:rFonts w:ascii="Arial" w:eastAsia="Arial" w:hAnsi="Arial" w:cs="Arial"/>
                <w:color w:val="000000"/>
                <w:sz w:val="16"/>
              </w:rPr>
            </w:pPr>
          </w:p>
        </w:tc>
        <w:tc>
          <w:tcPr>
            <w:tcW w:w="915"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71D672FB" w14:textId="77777777" w:rsidR="003F0EEA" w:rsidRPr="001167E1" w:rsidRDefault="003F0EEA">
            <w:pPr>
              <w:rPr>
                <w:rFonts w:ascii="Arial" w:eastAsia="Arial" w:hAnsi="Arial" w:cs="Arial"/>
                <w:color w:val="000000"/>
                <w:sz w:val="16"/>
              </w:rPr>
            </w:pPr>
          </w:p>
        </w:tc>
      </w:tr>
      <w:tr w:rsidR="00724034" w14:paraId="05CA9A0C" w14:textId="77777777">
        <w:trPr>
          <w:trHeight w:val="225"/>
        </w:trPr>
        <w:tc>
          <w:tcPr>
            <w:tcW w:w="180" w:type="dxa"/>
            <w:tcBorders>
              <w:top w:val="nil"/>
              <w:left w:val="nil"/>
              <w:bottom w:val="nil"/>
              <w:right w:val="nil"/>
              <w:tl2br w:val="nil"/>
              <w:tr2bl w:val="nil"/>
            </w:tcBorders>
            <w:shd w:val="clear" w:color="auto" w:fill="FFFFFF"/>
            <w:tcMar>
              <w:left w:w="101" w:type="dxa"/>
              <w:right w:w="101" w:type="dxa"/>
            </w:tcMar>
            <w:vAlign w:val="bottom"/>
          </w:tcPr>
          <w:p w14:paraId="3CC44746" w14:textId="77777777" w:rsidR="003F0EEA" w:rsidRPr="001167E1" w:rsidRDefault="003F0EEA">
            <w:pPr>
              <w:rPr>
                <w:rFonts w:ascii="Arial" w:eastAsia="Arial" w:hAnsi="Arial" w:cs="Arial"/>
                <w:color w:val="000000"/>
                <w:sz w:val="16"/>
              </w:rPr>
            </w:pPr>
          </w:p>
        </w:tc>
        <w:tc>
          <w:tcPr>
            <w:tcW w:w="2910" w:type="dxa"/>
            <w:tcBorders>
              <w:top w:val="nil"/>
              <w:left w:val="nil"/>
              <w:bottom w:val="nil"/>
              <w:right w:val="nil"/>
              <w:tl2br w:val="nil"/>
              <w:tr2bl w:val="nil"/>
            </w:tcBorders>
            <w:shd w:val="clear" w:color="auto" w:fill="FFFFFF"/>
            <w:tcMar>
              <w:left w:w="101" w:type="dxa"/>
              <w:right w:w="101" w:type="dxa"/>
            </w:tcMar>
            <w:vAlign w:val="bottom"/>
          </w:tcPr>
          <w:p w14:paraId="50EF171B" w14:textId="77777777" w:rsidR="003F0EEA" w:rsidRPr="001167E1" w:rsidRDefault="00FB7D0B">
            <w:pPr>
              <w:rPr>
                <w:rFonts w:ascii="Arial" w:eastAsia="Arial" w:hAnsi="Arial" w:cs="Arial"/>
                <w:color w:val="000000"/>
                <w:sz w:val="20"/>
              </w:rPr>
            </w:pPr>
            <w:r w:rsidRPr="001167E1">
              <w:rPr>
                <w:rFonts w:ascii="Arial" w:eastAsia="Arial" w:hAnsi="Arial" w:cs="Arial"/>
                <w:b/>
                <w:color w:val="000000"/>
                <w:sz w:val="16"/>
              </w:rPr>
              <w:t>operating activities</w:t>
            </w:r>
          </w:p>
        </w:tc>
        <w:tc>
          <w:tcPr>
            <w:tcW w:w="915"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7F563601" w14:textId="77777777" w:rsidR="003F0EEA" w:rsidRPr="001167E1" w:rsidRDefault="00FB7D0B">
            <w:pPr>
              <w:jc w:val="right"/>
              <w:rPr>
                <w:rFonts w:ascii="Arial" w:eastAsia="Arial" w:hAnsi="Arial" w:cs="Arial"/>
                <w:b/>
                <w:color w:val="000000"/>
                <w:sz w:val="16"/>
              </w:rPr>
            </w:pPr>
            <w:r w:rsidRPr="001167E1">
              <w:rPr>
                <w:rFonts w:ascii="Arial" w:eastAsia="Arial" w:hAnsi="Arial" w:cs="Arial"/>
                <w:b/>
                <w:color w:val="000000"/>
                <w:sz w:val="16"/>
              </w:rPr>
              <w:t xml:space="preserve"> 2,987 </w:t>
            </w:r>
          </w:p>
        </w:tc>
        <w:tc>
          <w:tcPr>
            <w:tcW w:w="915" w:type="dxa"/>
            <w:tcBorders>
              <w:top w:val="single" w:sz="6" w:space="0" w:color="000000"/>
              <w:left w:val="nil"/>
              <w:bottom w:val="single" w:sz="6" w:space="0" w:color="000000"/>
              <w:right w:val="nil"/>
              <w:tl2br w:val="nil"/>
              <w:tr2bl w:val="nil"/>
            </w:tcBorders>
            <w:shd w:val="clear" w:color="auto" w:fill="FFFF00"/>
            <w:tcMar>
              <w:left w:w="101" w:type="dxa"/>
              <w:right w:w="101" w:type="dxa"/>
            </w:tcMar>
            <w:vAlign w:val="bottom"/>
          </w:tcPr>
          <w:p w14:paraId="2962C458" w14:textId="77777777" w:rsidR="003F0EEA" w:rsidRPr="001167E1" w:rsidRDefault="00FB7D0B">
            <w:pPr>
              <w:jc w:val="right"/>
              <w:rPr>
                <w:rFonts w:ascii="Arial" w:eastAsia="Arial" w:hAnsi="Arial" w:cs="Arial"/>
                <w:b/>
                <w:color w:val="000000"/>
                <w:sz w:val="16"/>
              </w:rPr>
            </w:pPr>
            <w:r w:rsidRPr="001167E1">
              <w:rPr>
                <w:rFonts w:ascii="Arial" w:eastAsia="Arial" w:hAnsi="Arial" w:cs="Arial"/>
                <w:b/>
                <w:color w:val="000000"/>
                <w:sz w:val="16"/>
              </w:rPr>
              <w:t xml:space="preserve"> 1,927 </w:t>
            </w:r>
          </w:p>
        </w:tc>
        <w:tc>
          <w:tcPr>
            <w:tcW w:w="915"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4D1320BC" w14:textId="77777777" w:rsidR="003F0EEA" w:rsidRPr="001167E1" w:rsidRDefault="00FB7D0B">
            <w:pPr>
              <w:jc w:val="right"/>
              <w:rPr>
                <w:rFonts w:ascii="Arial" w:eastAsia="Arial" w:hAnsi="Arial" w:cs="Arial"/>
                <w:b/>
                <w:color w:val="000000"/>
                <w:sz w:val="16"/>
              </w:rPr>
            </w:pPr>
            <w:r w:rsidRPr="001167E1">
              <w:rPr>
                <w:rFonts w:ascii="Arial" w:eastAsia="Arial" w:hAnsi="Arial" w:cs="Arial"/>
                <w:b/>
                <w:color w:val="000000"/>
                <w:sz w:val="16"/>
              </w:rPr>
              <w:t xml:space="preserve"> 2,330 </w:t>
            </w:r>
          </w:p>
        </w:tc>
        <w:tc>
          <w:tcPr>
            <w:tcW w:w="915"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71DBB20C" w14:textId="77777777" w:rsidR="003F0EEA" w:rsidRPr="001167E1" w:rsidRDefault="00FB7D0B">
            <w:pPr>
              <w:jc w:val="right"/>
              <w:rPr>
                <w:rFonts w:ascii="Arial" w:eastAsia="Arial" w:hAnsi="Arial" w:cs="Arial"/>
                <w:b/>
                <w:color w:val="000000"/>
                <w:sz w:val="16"/>
              </w:rPr>
            </w:pPr>
            <w:r w:rsidRPr="001167E1">
              <w:rPr>
                <w:rFonts w:ascii="Arial" w:eastAsia="Arial" w:hAnsi="Arial" w:cs="Arial"/>
                <w:b/>
                <w:color w:val="000000"/>
                <w:sz w:val="16"/>
              </w:rPr>
              <w:t xml:space="preserve"> 4,220 </w:t>
            </w:r>
          </w:p>
        </w:tc>
        <w:tc>
          <w:tcPr>
            <w:tcW w:w="915"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144A69D4" w14:textId="77777777" w:rsidR="003F0EEA" w:rsidRPr="001167E1" w:rsidRDefault="00FB7D0B">
            <w:pPr>
              <w:jc w:val="right"/>
              <w:rPr>
                <w:rFonts w:ascii="Arial" w:eastAsia="Arial" w:hAnsi="Arial" w:cs="Arial"/>
                <w:b/>
                <w:color w:val="000000"/>
                <w:sz w:val="16"/>
              </w:rPr>
            </w:pPr>
            <w:r w:rsidRPr="001167E1">
              <w:rPr>
                <w:rFonts w:ascii="Arial" w:eastAsia="Arial" w:hAnsi="Arial" w:cs="Arial"/>
                <w:b/>
                <w:color w:val="000000"/>
                <w:sz w:val="16"/>
              </w:rPr>
              <w:t xml:space="preserve"> 6,266 </w:t>
            </w:r>
          </w:p>
        </w:tc>
      </w:tr>
      <w:tr w:rsidR="00724034" w14:paraId="2976D61E" w14:textId="77777777">
        <w:trPr>
          <w:trHeight w:hRule="exact" w:val="90"/>
        </w:trPr>
        <w:tc>
          <w:tcPr>
            <w:tcW w:w="180" w:type="dxa"/>
            <w:tcBorders>
              <w:top w:val="nil"/>
              <w:left w:val="nil"/>
              <w:bottom w:val="nil"/>
              <w:right w:val="nil"/>
              <w:tl2br w:val="nil"/>
              <w:tr2bl w:val="nil"/>
            </w:tcBorders>
            <w:shd w:val="clear" w:color="auto" w:fill="FFFFFF"/>
            <w:tcMar>
              <w:left w:w="101" w:type="dxa"/>
              <w:right w:w="101" w:type="dxa"/>
            </w:tcMar>
            <w:vAlign w:val="bottom"/>
          </w:tcPr>
          <w:p w14:paraId="48848265" w14:textId="77777777" w:rsidR="003F0EEA" w:rsidRPr="001167E1" w:rsidRDefault="003F0EEA">
            <w:pPr>
              <w:rPr>
                <w:rFonts w:ascii="Arial" w:eastAsia="Arial" w:hAnsi="Arial" w:cs="Arial"/>
                <w:b/>
                <w:color w:val="000000"/>
                <w:sz w:val="16"/>
              </w:rPr>
            </w:pPr>
          </w:p>
        </w:tc>
        <w:tc>
          <w:tcPr>
            <w:tcW w:w="2910" w:type="dxa"/>
            <w:tcBorders>
              <w:top w:val="nil"/>
              <w:left w:val="nil"/>
              <w:bottom w:val="nil"/>
              <w:right w:val="nil"/>
              <w:tl2br w:val="nil"/>
              <w:tr2bl w:val="nil"/>
            </w:tcBorders>
            <w:shd w:val="clear" w:color="auto" w:fill="FFFFFF"/>
            <w:tcMar>
              <w:left w:w="101" w:type="dxa"/>
              <w:right w:w="101" w:type="dxa"/>
            </w:tcMar>
            <w:vAlign w:val="bottom"/>
          </w:tcPr>
          <w:p w14:paraId="1E8B33D6" w14:textId="77777777" w:rsidR="003F0EEA" w:rsidRPr="001167E1" w:rsidRDefault="003F0EEA">
            <w:pPr>
              <w:rPr>
                <w:rFonts w:ascii="Arial" w:eastAsia="Arial" w:hAnsi="Arial" w:cs="Arial"/>
                <w:color w:val="000000"/>
                <w:sz w:val="20"/>
              </w:rPr>
            </w:pPr>
          </w:p>
        </w:tc>
        <w:tc>
          <w:tcPr>
            <w:tcW w:w="91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5D5055BB" w14:textId="77777777" w:rsidR="003F0EEA" w:rsidRPr="001167E1" w:rsidRDefault="003F0EEA">
            <w:pPr>
              <w:rPr>
                <w:rFonts w:ascii="Arial" w:eastAsia="Arial" w:hAnsi="Arial" w:cs="Arial"/>
                <w:color w:val="000000"/>
                <w:sz w:val="16"/>
              </w:rPr>
            </w:pPr>
          </w:p>
        </w:tc>
        <w:tc>
          <w:tcPr>
            <w:tcW w:w="915" w:type="dxa"/>
            <w:tcBorders>
              <w:top w:val="single" w:sz="6" w:space="0" w:color="000000"/>
              <w:left w:val="nil"/>
              <w:bottom w:val="nil"/>
              <w:right w:val="nil"/>
              <w:tl2br w:val="nil"/>
              <w:tr2bl w:val="nil"/>
            </w:tcBorders>
            <w:shd w:val="clear" w:color="auto" w:fill="FFFF00"/>
            <w:tcMar>
              <w:left w:w="101" w:type="dxa"/>
              <w:right w:w="101" w:type="dxa"/>
            </w:tcMar>
            <w:vAlign w:val="bottom"/>
          </w:tcPr>
          <w:p w14:paraId="6DF5E197" w14:textId="77777777" w:rsidR="003F0EEA" w:rsidRPr="001167E1" w:rsidRDefault="003F0EEA">
            <w:pPr>
              <w:rPr>
                <w:rFonts w:ascii="Arial" w:eastAsia="Arial" w:hAnsi="Arial" w:cs="Arial"/>
                <w:color w:val="000000"/>
                <w:sz w:val="16"/>
              </w:rPr>
            </w:pPr>
          </w:p>
        </w:tc>
        <w:tc>
          <w:tcPr>
            <w:tcW w:w="91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0CDC44F6" w14:textId="77777777" w:rsidR="003F0EEA" w:rsidRPr="001167E1" w:rsidRDefault="003F0EEA">
            <w:pPr>
              <w:rPr>
                <w:rFonts w:ascii="Arial" w:eastAsia="Arial" w:hAnsi="Arial" w:cs="Arial"/>
                <w:color w:val="000000"/>
                <w:sz w:val="16"/>
              </w:rPr>
            </w:pPr>
          </w:p>
        </w:tc>
        <w:tc>
          <w:tcPr>
            <w:tcW w:w="91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794E4271" w14:textId="77777777" w:rsidR="003F0EEA" w:rsidRPr="001167E1" w:rsidRDefault="003F0EEA">
            <w:pPr>
              <w:rPr>
                <w:rFonts w:ascii="Arial" w:eastAsia="Arial" w:hAnsi="Arial" w:cs="Arial"/>
                <w:color w:val="000000"/>
                <w:sz w:val="16"/>
              </w:rPr>
            </w:pPr>
          </w:p>
        </w:tc>
        <w:tc>
          <w:tcPr>
            <w:tcW w:w="91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4A57E847" w14:textId="77777777" w:rsidR="003F0EEA" w:rsidRPr="001167E1" w:rsidRDefault="003F0EEA">
            <w:pPr>
              <w:rPr>
                <w:rFonts w:ascii="Arial" w:eastAsia="Arial" w:hAnsi="Arial" w:cs="Arial"/>
                <w:color w:val="000000"/>
                <w:sz w:val="16"/>
              </w:rPr>
            </w:pPr>
          </w:p>
        </w:tc>
      </w:tr>
      <w:tr w:rsidR="00FB7D0B" w14:paraId="2C23FCC7" w14:textId="77777777" w:rsidTr="00FB7D0B">
        <w:trPr>
          <w:trHeight w:val="225"/>
        </w:trPr>
        <w:tc>
          <w:tcPr>
            <w:tcW w:w="3090" w:type="dxa"/>
            <w:gridSpan w:val="2"/>
            <w:tcBorders>
              <w:top w:val="nil"/>
              <w:left w:val="nil"/>
              <w:bottom w:val="nil"/>
              <w:right w:val="nil"/>
              <w:tl2br w:val="nil"/>
              <w:tr2bl w:val="nil"/>
            </w:tcBorders>
            <w:shd w:val="clear" w:color="auto" w:fill="FFFFFF"/>
            <w:tcMar>
              <w:left w:w="101" w:type="dxa"/>
              <w:right w:w="101" w:type="dxa"/>
            </w:tcMar>
            <w:vAlign w:val="bottom"/>
          </w:tcPr>
          <w:p w14:paraId="4F010D12" w14:textId="77777777" w:rsidR="003F0EEA" w:rsidRPr="001167E1" w:rsidRDefault="00FB7D0B">
            <w:pPr>
              <w:rPr>
                <w:rFonts w:ascii="Arial" w:eastAsia="Arial" w:hAnsi="Arial" w:cs="Arial"/>
                <w:color w:val="000000"/>
                <w:sz w:val="16"/>
              </w:rPr>
            </w:pPr>
            <w:r w:rsidRPr="001167E1">
              <w:rPr>
                <w:rFonts w:ascii="Arial" w:eastAsia="Arial" w:hAnsi="Arial" w:cs="Arial"/>
                <w:b/>
                <w:color w:val="000000"/>
                <w:sz w:val="16"/>
              </w:rPr>
              <w:t>INVESTING ACTIVITIES</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765F5303" w14:textId="77777777" w:rsidR="003F0EEA" w:rsidRPr="001167E1" w:rsidRDefault="003F0EEA">
            <w:pPr>
              <w:rPr>
                <w:rFonts w:ascii="Arial" w:eastAsia="Arial" w:hAnsi="Arial" w:cs="Arial"/>
                <w:b/>
                <w:color w:val="000000"/>
                <w:sz w:val="16"/>
              </w:rPr>
            </w:pPr>
          </w:p>
        </w:tc>
        <w:tc>
          <w:tcPr>
            <w:tcW w:w="915" w:type="dxa"/>
            <w:tcBorders>
              <w:top w:val="nil"/>
              <w:left w:val="nil"/>
              <w:bottom w:val="nil"/>
              <w:right w:val="nil"/>
              <w:tl2br w:val="nil"/>
              <w:tr2bl w:val="nil"/>
            </w:tcBorders>
            <w:shd w:val="clear" w:color="auto" w:fill="FFFF00"/>
            <w:tcMar>
              <w:left w:w="101" w:type="dxa"/>
              <w:right w:w="101" w:type="dxa"/>
            </w:tcMar>
            <w:vAlign w:val="bottom"/>
          </w:tcPr>
          <w:p w14:paraId="4200945F" w14:textId="77777777" w:rsidR="003F0EEA" w:rsidRPr="001167E1" w:rsidRDefault="003F0EEA">
            <w:pPr>
              <w:rPr>
                <w:rFonts w:ascii="Arial" w:eastAsia="Arial" w:hAnsi="Arial" w:cs="Arial"/>
                <w:color w:val="000000"/>
                <w:sz w:val="16"/>
              </w:rPr>
            </w:pP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2B48EB23" w14:textId="77777777" w:rsidR="003F0EEA" w:rsidRPr="001167E1" w:rsidRDefault="003F0EEA">
            <w:pPr>
              <w:rPr>
                <w:rFonts w:ascii="Arial" w:eastAsia="Arial" w:hAnsi="Arial" w:cs="Arial"/>
                <w:color w:val="000000"/>
                <w:sz w:val="16"/>
              </w:rPr>
            </w:pP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27716366" w14:textId="77777777" w:rsidR="003F0EEA" w:rsidRPr="001167E1" w:rsidRDefault="003F0EEA">
            <w:pPr>
              <w:rPr>
                <w:rFonts w:ascii="Arial" w:eastAsia="Arial" w:hAnsi="Arial" w:cs="Arial"/>
                <w:color w:val="000000"/>
                <w:sz w:val="16"/>
              </w:rPr>
            </w:pP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43FF170C" w14:textId="77777777" w:rsidR="003F0EEA" w:rsidRPr="001167E1" w:rsidRDefault="003F0EEA">
            <w:pPr>
              <w:rPr>
                <w:rFonts w:ascii="Arial" w:eastAsia="Arial" w:hAnsi="Arial" w:cs="Arial"/>
                <w:color w:val="000000"/>
                <w:sz w:val="16"/>
              </w:rPr>
            </w:pPr>
          </w:p>
        </w:tc>
      </w:tr>
      <w:tr w:rsidR="00FB7D0B" w14:paraId="76F4ABA5" w14:textId="77777777" w:rsidTr="00FB7D0B">
        <w:trPr>
          <w:trHeight w:val="225"/>
        </w:trPr>
        <w:tc>
          <w:tcPr>
            <w:tcW w:w="3090" w:type="dxa"/>
            <w:gridSpan w:val="2"/>
            <w:tcBorders>
              <w:top w:val="nil"/>
              <w:left w:val="nil"/>
              <w:bottom w:val="nil"/>
              <w:right w:val="nil"/>
              <w:tl2br w:val="nil"/>
              <w:tr2bl w:val="nil"/>
            </w:tcBorders>
            <w:shd w:val="clear" w:color="auto" w:fill="FFFFFF"/>
            <w:tcMar>
              <w:left w:w="101" w:type="dxa"/>
              <w:right w:w="101" w:type="dxa"/>
            </w:tcMar>
            <w:vAlign w:val="bottom"/>
          </w:tcPr>
          <w:p w14:paraId="7BA53AD3" w14:textId="77777777" w:rsidR="003F0EEA" w:rsidRPr="001167E1" w:rsidRDefault="00FB7D0B">
            <w:pPr>
              <w:rPr>
                <w:rFonts w:ascii="Arial" w:eastAsia="Arial" w:hAnsi="Arial" w:cs="Arial"/>
                <w:color w:val="000000"/>
                <w:sz w:val="16"/>
              </w:rPr>
            </w:pPr>
            <w:r w:rsidRPr="001167E1">
              <w:rPr>
                <w:rFonts w:ascii="Arial" w:eastAsia="Arial" w:hAnsi="Arial" w:cs="Arial"/>
                <w:b/>
                <w:color w:val="000000"/>
                <w:sz w:val="16"/>
              </w:rPr>
              <w:t>Cash received</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0CCEBD5F" w14:textId="77777777" w:rsidR="003F0EEA" w:rsidRPr="001167E1" w:rsidRDefault="003F0EEA">
            <w:pPr>
              <w:rPr>
                <w:rFonts w:ascii="Arial" w:eastAsia="Arial" w:hAnsi="Arial" w:cs="Arial"/>
                <w:b/>
                <w:color w:val="000000"/>
                <w:sz w:val="16"/>
              </w:rPr>
            </w:pPr>
          </w:p>
        </w:tc>
        <w:tc>
          <w:tcPr>
            <w:tcW w:w="915" w:type="dxa"/>
            <w:tcBorders>
              <w:top w:val="nil"/>
              <w:left w:val="nil"/>
              <w:bottom w:val="nil"/>
              <w:right w:val="nil"/>
              <w:tl2br w:val="nil"/>
              <w:tr2bl w:val="nil"/>
            </w:tcBorders>
            <w:shd w:val="clear" w:color="auto" w:fill="FFFF00"/>
            <w:tcMar>
              <w:left w:w="101" w:type="dxa"/>
              <w:right w:w="101" w:type="dxa"/>
            </w:tcMar>
            <w:vAlign w:val="bottom"/>
          </w:tcPr>
          <w:p w14:paraId="72439DC8" w14:textId="77777777" w:rsidR="003F0EEA" w:rsidRPr="001167E1" w:rsidRDefault="003F0EEA">
            <w:pPr>
              <w:rPr>
                <w:rFonts w:ascii="Arial" w:eastAsia="Arial" w:hAnsi="Arial" w:cs="Arial"/>
                <w:color w:val="000000"/>
                <w:sz w:val="16"/>
              </w:rPr>
            </w:pP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2708EB4F" w14:textId="77777777" w:rsidR="003F0EEA" w:rsidRPr="001167E1" w:rsidRDefault="003F0EEA">
            <w:pPr>
              <w:rPr>
                <w:rFonts w:ascii="Arial" w:eastAsia="Arial" w:hAnsi="Arial" w:cs="Arial"/>
                <w:color w:val="000000"/>
                <w:sz w:val="16"/>
              </w:rPr>
            </w:pP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1C37EDAC" w14:textId="77777777" w:rsidR="003F0EEA" w:rsidRPr="001167E1" w:rsidRDefault="003F0EEA">
            <w:pPr>
              <w:rPr>
                <w:rFonts w:ascii="Arial" w:eastAsia="Arial" w:hAnsi="Arial" w:cs="Arial"/>
                <w:color w:val="000000"/>
                <w:sz w:val="16"/>
              </w:rPr>
            </w:pP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28A5AD43" w14:textId="77777777" w:rsidR="003F0EEA" w:rsidRPr="001167E1" w:rsidRDefault="003F0EEA">
            <w:pPr>
              <w:rPr>
                <w:rFonts w:ascii="Arial" w:eastAsia="Arial" w:hAnsi="Arial" w:cs="Arial"/>
                <w:color w:val="000000"/>
                <w:sz w:val="16"/>
              </w:rPr>
            </w:pPr>
          </w:p>
        </w:tc>
      </w:tr>
      <w:tr w:rsidR="00724034" w14:paraId="52F4D1DD" w14:textId="77777777">
        <w:trPr>
          <w:trHeight w:val="225"/>
        </w:trPr>
        <w:tc>
          <w:tcPr>
            <w:tcW w:w="180" w:type="dxa"/>
            <w:tcBorders>
              <w:top w:val="nil"/>
              <w:left w:val="nil"/>
              <w:bottom w:val="nil"/>
              <w:right w:val="nil"/>
              <w:tl2br w:val="nil"/>
              <w:tr2bl w:val="nil"/>
            </w:tcBorders>
            <w:shd w:val="clear" w:color="auto" w:fill="FFFFFF"/>
            <w:tcMar>
              <w:left w:w="101" w:type="dxa"/>
              <w:right w:w="101" w:type="dxa"/>
            </w:tcMar>
            <w:vAlign w:val="bottom"/>
          </w:tcPr>
          <w:p w14:paraId="2369BDA6" w14:textId="77777777" w:rsidR="003F0EEA" w:rsidRPr="001167E1" w:rsidRDefault="003F0EEA">
            <w:pPr>
              <w:rPr>
                <w:rFonts w:ascii="Arial" w:eastAsia="Arial" w:hAnsi="Arial" w:cs="Arial"/>
                <w:color w:val="000000"/>
                <w:sz w:val="16"/>
              </w:rPr>
            </w:pPr>
          </w:p>
        </w:tc>
        <w:tc>
          <w:tcPr>
            <w:tcW w:w="2910" w:type="dxa"/>
            <w:tcBorders>
              <w:top w:val="nil"/>
              <w:left w:val="nil"/>
              <w:bottom w:val="nil"/>
              <w:right w:val="nil"/>
              <w:tl2br w:val="nil"/>
              <w:tr2bl w:val="nil"/>
            </w:tcBorders>
            <w:shd w:val="clear" w:color="auto" w:fill="FFFFFF"/>
            <w:tcMar>
              <w:left w:w="101" w:type="dxa"/>
              <w:right w:w="101" w:type="dxa"/>
            </w:tcMar>
            <w:vAlign w:val="bottom"/>
          </w:tcPr>
          <w:p w14:paraId="2A9D4194" w14:textId="77777777" w:rsidR="003F0EEA" w:rsidRPr="001167E1" w:rsidRDefault="00FB7D0B">
            <w:pPr>
              <w:rPr>
                <w:rFonts w:ascii="Arial" w:eastAsia="Arial" w:hAnsi="Arial" w:cs="Arial"/>
                <w:color w:val="000000"/>
                <w:sz w:val="20"/>
              </w:rPr>
            </w:pPr>
            <w:r w:rsidRPr="001167E1">
              <w:rPr>
                <w:rFonts w:ascii="Arial" w:eastAsia="Arial" w:hAnsi="Arial" w:cs="Arial"/>
                <w:color w:val="000000"/>
                <w:sz w:val="16"/>
              </w:rPr>
              <w:t>Investments</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6DE98E0C" w14:textId="77777777" w:rsidR="003F0EEA" w:rsidRPr="001167E1" w:rsidRDefault="00FB7D0B">
            <w:pPr>
              <w:jc w:val="right"/>
              <w:rPr>
                <w:rFonts w:ascii="Arial" w:eastAsia="Arial" w:hAnsi="Arial" w:cs="Arial"/>
                <w:color w:val="000000"/>
                <w:sz w:val="16"/>
              </w:rPr>
            </w:pPr>
            <w:r w:rsidRPr="001167E1">
              <w:rPr>
                <w:rFonts w:ascii="Arial" w:eastAsia="Arial" w:hAnsi="Arial" w:cs="Arial"/>
                <w:color w:val="000000"/>
                <w:sz w:val="16"/>
              </w:rPr>
              <w:t xml:space="preserve"> - </w:t>
            </w:r>
          </w:p>
        </w:tc>
        <w:tc>
          <w:tcPr>
            <w:tcW w:w="915" w:type="dxa"/>
            <w:tcBorders>
              <w:top w:val="nil"/>
              <w:left w:val="nil"/>
              <w:bottom w:val="nil"/>
              <w:right w:val="nil"/>
              <w:tl2br w:val="nil"/>
              <w:tr2bl w:val="nil"/>
            </w:tcBorders>
            <w:shd w:val="clear" w:color="auto" w:fill="FFFF00"/>
            <w:tcMar>
              <w:left w:w="101" w:type="dxa"/>
              <w:right w:w="101" w:type="dxa"/>
            </w:tcMar>
            <w:vAlign w:val="bottom"/>
          </w:tcPr>
          <w:p w14:paraId="33FB66E9" w14:textId="77777777" w:rsidR="003F0EEA" w:rsidRPr="001167E1" w:rsidRDefault="00FB7D0B">
            <w:pPr>
              <w:jc w:val="right"/>
              <w:rPr>
                <w:rFonts w:ascii="Arial" w:eastAsia="Arial" w:hAnsi="Arial" w:cs="Arial"/>
                <w:color w:val="000000"/>
                <w:sz w:val="16"/>
              </w:rPr>
            </w:pPr>
            <w:r w:rsidRPr="001167E1">
              <w:rPr>
                <w:rFonts w:ascii="Arial" w:eastAsia="Arial" w:hAnsi="Arial" w:cs="Arial"/>
                <w:color w:val="000000"/>
                <w:sz w:val="16"/>
              </w:rPr>
              <w:t xml:space="preserve"> - </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4EA7B88F" w14:textId="77777777" w:rsidR="003F0EEA" w:rsidRPr="001167E1" w:rsidRDefault="00FB7D0B">
            <w:pPr>
              <w:jc w:val="right"/>
              <w:rPr>
                <w:rFonts w:ascii="Arial" w:eastAsia="Arial" w:hAnsi="Arial" w:cs="Arial"/>
                <w:color w:val="000000"/>
                <w:sz w:val="16"/>
              </w:rPr>
            </w:pPr>
            <w:r w:rsidRPr="001167E1">
              <w:rPr>
                <w:rFonts w:ascii="Arial" w:eastAsia="Arial" w:hAnsi="Arial" w:cs="Arial"/>
                <w:color w:val="000000"/>
                <w:sz w:val="16"/>
              </w:rPr>
              <w:t xml:space="preserve"> - </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13601D78" w14:textId="77777777" w:rsidR="003F0EEA" w:rsidRPr="001167E1" w:rsidRDefault="00FB7D0B">
            <w:pPr>
              <w:jc w:val="right"/>
              <w:rPr>
                <w:rFonts w:ascii="Arial" w:eastAsia="Arial" w:hAnsi="Arial" w:cs="Arial"/>
                <w:color w:val="000000"/>
                <w:sz w:val="16"/>
              </w:rPr>
            </w:pPr>
            <w:r w:rsidRPr="001167E1">
              <w:rPr>
                <w:rFonts w:ascii="Arial" w:eastAsia="Arial" w:hAnsi="Arial" w:cs="Arial"/>
                <w:color w:val="000000"/>
                <w:sz w:val="16"/>
              </w:rPr>
              <w:t xml:space="preserve"> - </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69573E10" w14:textId="77777777" w:rsidR="003F0EEA" w:rsidRPr="001167E1" w:rsidRDefault="00FB7D0B">
            <w:pPr>
              <w:jc w:val="right"/>
              <w:rPr>
                <w:rFonts w:ascii="Arial" w:eastAsia="Arial" w:hAnsi="Arial" w:cs="Arial"/>
                <w:color w:val="000000"/>
                <w:sz w:val="16"/>
              </w:rPr>
            </w:pPr>
            <w:r w:rsidRPr="001167E1">
              <w:rPr>
                <w:rFonts w:ascii="Arial" w:eastAsia="Arial" w:hAnsi="Arial" w:cs="Arial"/>
                <w:color w:val="000000"/>
                <w:sz w:val="16"/>
              </w:rPr>
              <w:t xml:space="preserve"> - </w:t>
            </w:r>
          </w:p>
        </w:tc>
      </w:tr>
      <w:tr w:rsidR="00FB7D0B" w14:paraId="0E7E0793" w14:textId="77777777" w:rsidTr="00FB7D0B">
        <w:trPr>
          <w:trHeight w:val="225"/>
        </w:trPr>
        <w:tc>
          <w:tcPr>
            <w:tcW w:w="3090" w:type="dxa"/>
            <w:gridSpan w:val="2"/>
            <w:tcBorders>
              <w:top w:val="nil"/>
              <w:left w:val="nil"/>
              <w:bottom w:val="nil"/>
              <w:right w:val="nil"/>
              <w:tl2br w:val="nil"/>
              <w:tr2bl w:val="nil"/>
            </w:tcBorders>
            <w:shd w:val="clear" w:color="auto" w:fill="FFFFFF"/>
            <w:tcMar>
              <w:left w:w="101" w:type="dxa"/>
              <w:right w:w="101" w:type="dxa"/>
            </w:tcMar>
            <w:vAlign w:val="bottom"/>
          </w:tcPr>
          <w:p w14:paraId="1523F443" w14:textId="77777777" w:rsidR="003F0EEA" w:rsidRPr="001167E1" w:rsidRDefault="00FB7D0B">
            <w:pPr>
              <w:rPr>
                <w:rFonts w:ascii="Arial" w:eastAsia="Arial" w:hAnsi="Arial" w:cs="Arial"/>
                <w:color w:val="000000"/>
                <w:sz w:val="16"/>
              </w:rPr>
            </w:pPr>
            <w:r w:rsidRPr="001167E1">
              <w:rPr>
                <w:rFonts w:ascii="Arial" w:eastAsia="Arial" w:hAnsi="Arial" w:cs="Arial"/>
                <w:b/>
                <w:i/>
                <w:color w:val="000000"/>
                <w:sz w:val="16"/>
              </w:rPr>
              <w:t>Total cash received</w:t>
            </w:r>
          </w:p>
        </w:tc>
        <w:tc>
          <w:tcPr>
            <w:tcW w:w="915"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1F5E742D" w14:textId="77777777" w:rsidR="003F0EEA" w:rsidRPr="001167E1" w:rsidRDefault="00FB7D0B">
            <w:pPr>
              <w:jc w:val="right"/>
              <w:rPr>
                <w:rFonts w:ascii="Arial" w:eastAsia="Arial" w:hAnsi="Arial" w:cs="Arial"/>
                <w:b/>
                <w:i/>
                <w:color w:val="000000"/>
                <w:sz w:val="16"/>
              </w:rPr>
            </w:pPr>
            <w:r w:rsidRPr="001167E1">
              <w:rPr>
                <w:rFonts w:ascii="Arial" w:eastAsia="Arial" w:hAnsi="Arial" w:cs="Arial"/>
                <w:b/>
                <w:color w:val="000000"/>
                <w:sz w:val="16"/>
              </w:rPr>
              <w:t xml:space="preserve"> - </w:t>
            </w:r>
          </w:p>
        </w:tc>
        <w:tc>
          <w:tcPr>
            <w:tcW w:w="915" w:type="dxa"/>
            <w:tcBorders>
              <w:top w:val="single" w:sz="6" w:space="0" w:color="000000"/>
              <w:left w:val="nil"/>
              <w:bottom w:val="single" w:sz="6" w:space="0" w:color="000000"/>
              <w:right w:val="nil"/>
              <w:tl2br w:val="nil"/>
              <w:tr2bl w:val="nil"/>
            </w:tcBorders>
            <w:shd w:val="clear" w:color="auto" w:fill="FFFF00"/>
            <w:tcMar>
              <w:left w:w="101" w:type="dxa"/>
              <w:right w:w="101" w:type="dxa"/>
            </w:tcMar>
            <w:vAlign w:val="bottom"/>
          </w:tcPr>
          <w:p w14:paraId="059BA0EB" w14:textId="77777777" w:rsidR="003F0EEA" w:rsidRPr="001167E1" w:rsidRDefault="00FB7D0B">
            <w:pPr>
              <w:jc w:val="right"/>
              <w:rPr>
                <w:rFonts w:ascii="Arial" w:eastAsia="Arial" w:hAnsi="Arial" w:cs="Arial"/>
                <w:b/>
                <w:color w:val="000000"/>
                <w:sz w:val="16"/>
              </w:rPr>
            </w:pPr>
            <w:r w:rsidRPr="001167E1">
              <w:rPr>
                <w:rFonts w:ascii="Arial" w:eastAsia="Arial" w:hAnsi="Arial" w:cs="Arial"/>
                <w:b/>
                <w:color w:val="000000"/>
                <w:sz w:val="16"/>
              </w:rPr>
              <w:t xml:space="preserve"> - </w:t>
            </w:r>
          </w:p>
        </w:tc>
        <w:tc>
          <w:tcPr>
            <w:tcW w:w="915"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3E78FE2F" w14:textId="77777777" w:rsidR="003F0EEA" w:rsidRPr="001167E1" w:rsidRDefault="00FB7D0B">
            <w:pPr>
              <w:jc w:val="right"/>
              <w:rPr>
                <w:rFonts w:ascii="Arial" w:eastAsia="Arial" w:hAnsi="Arial" w:cs="Arial"/>
                <w:b/>
                <w:color w:val="000000"/>
                <w:sz w:val="16"/>
              </w:rPr>
            </w:pPr>
            <w:r w:rsidRPr="001167E1">
              <w:rPr>
                <w:rFonts w:ascii="Arial" w:eastAsia="Arial" w:hAnsi="Arial" w:cs="Arial"/>
                <w:b/>
                <w:color w:val="000000"/>
                <w:sz w:val="16"/>
              </w:rPr>
              <w:t xml:space="preserve"> - </w:t>
            </w:r>
          </w:p>
        </w:tc>
        <w:tc>
          <w:tcPr>
            <w:tcW w:w="915"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42BC2E5C" w14:textId="77777777" w:rsidR="003F0EEA" w:rsidRPr="001167E1" w:rsidRDefault="00FB7D0B">
            <w:pPr>
              <w:jc w:val="right"/>
              <w:rPr>
                <w:rFonts w:ascii="Arial" w:eastAsia="Arial" w:hAnsi="Arial" w:cs="Arial"/>
                <w:b/>
                <w:color w:val="000000"/>
                <w:sz w:val="16"/>
              </w:rPr>
            </w:pPr>
            <w:r w:rsidRPr="001167E1">
              <w:rPr>
                <w:rFonts w:ascii="Arial" w:eastAsia="Arial" w:hAnsi="Arial" w:cs="Arial"/>
                <w:b/>
                <w:color w:val="000000"/>
                <w:sz w:val="16"/>
              </w:rPr>
              <w:t xml:space="preserve"> - </w:t>
            </w:r>
          </w:p>
        </w:tc>
        <w:tc>
          <w:tcPr>
            <w:tcW w:w="915"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484B5EBB" w14:textId="77777777" w:rsidR="003F0EEA" w:rsidRPr="001167E1" w:rsidRDefault="00FB7D0B">
            <w:pPr>
              <w:jc w:val="right"/>
              <w:rPr>
                <w:rFonts w:ascii="Arial" w:eastAsia="Arial" w:hAnsi="Arial" w:cs="Arial"/>
                <w:b/>
                <w:color w:val="000000"/>
                <w:sz w:val="16"/>
              </w:rPr>
            </w:pPr>
            <w:r w:rsidRPr="001167E1">
              <w:rPr>
                <w:rFonts w:ascii="Arial" w:eastAsia="Arial" w:hAnsi="Arial" w:cs="Arial"/>
                <w:b/>
                <w:color w:val="000000"/>
                <w:sz w:val="16"/>
              </w:rPr>
              <w:t xml:space="preserve"> - </w:t>
            </w:r>
          </w:p>
        </w:tc>
      </w:tr>
      <w:tr w:rsidR="00724034" w14:paraId="1649BB31" w14:textId="77777777">
        <w:trPr>
          <w:trHeight w:hRule="exact" w:val="90"/>
        </w:trPr>
        <w:tc>
          <w:tcPr>
            <w:tcW w:w="180" w:type="dxa"/>
            <w:tcBorders>
              <w:top w:val="nil"/>
              <w:left w:val="nil"/>
              <w:bottom w:val="nil"/>
              <w:right w:val="nil"/>
              <w:tl2br w:val="nil"/>
              <w:tr2bl w:val="nil"/>
            </w:tcBorders>
            <w:shd w:val="clear" w:color="auto" w:fill="FFFFFF"/>
            <w:tcMar>
              <w:left w:w="101" w:type="dxa"/>
              <w:right w:w="101" w:type="dxa"/>
            </w:tcMar>
            <w:vAlign w:val="bottom"/>
          </w:tcPr>
          <w:p w14:paraId="13F54B80" w14:textId="77777777" w:rsidR="003F0EEA" w:rsidRPr="001167E1" w:rsidRDefault="003F0EEA">
            <w:pPr>
              <w:rPr>
                <w:rFonts w:ascii="Arial" w:eastAsia="Arial" w:hAnsi="Arial" w:cs="Arial"/>
                <w:b/>
                <w:color w:val="000000"/>
                <w:sz w:val="16"/>
              </w:rPr>
            </w:pPr>
          </w:p>
        </w:tc>
        <w:tc>
          <w:tcPr>
            <w:tcW w:w="2910" w:type="dxa"/>
            <w:tcBorders>
              <w:top w:val="nil"/>
              <w:left w:val="nil"/>
              <w:bottom w:val="nil"/>
              <w:right w:val="nil"/>
              <w:tl2br w:val="nil"/>
              <w:tr2bl w:val="nil"/>
            </w:tcBorders>
            <w:shd w:val="clear" w:color="auto" w:fill="FFFFFF"/>
            <w:tcMar>
              <w:left w:w="101" w:type="dxa"/>
              <w:right w:w="101" w:type="dxa"/>
            </w:tcMar>
            <w:vAlign w:val="bottom"/>
          </w:tcPr>
          <w:p w14:paraId="445E30B6" w14:textId="77777777" w:rsidR="003F0EEA" w:rsidRPr="001167E1" w:rsidRDefault="003F0EEA">
            <w:pPr>
              <w:rPr>
                <w:rFonts w:ascii="Arial" w:eastAsia="Arial" w:hAnsi="Arial" w:cs="Arial"/>
                <w:color w:val="000000"/>
                <w:sz w:val="20"/>
              </w:rPr>
            </w:pPr>
          </w:p>
        </w:tc>
        <w:tc>
          <w:tcPr>
            <w:tcW w:w="91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6C7F8D55" w14:textId="77777777" w:rsidR="003F0EEA" w:rsidRPr="001167E1" w:rsidRDefault="003F0EEA">
            <w:pPr>
              <w:rPr>
                <w:rFonts w:ascii="Arial" w:eastAsia="Arial" w:hAnsi="Arial" w:cs="Arial"/>
                <w:color w:val="000000"/>
                <w:sz w:val="16"/>
              </w:rPr>
            </w:pPr>
          </w:p>
        </w:tc>
        <w:tc>
          <w:tcPr>
            <w:tcW w:w="915" w:type="dxa"/>
            <w:tcBorders>
              <w:top w:val="single" w:sz="6" w:space="0" w:color="000000"/>
              <w:left w:val="nil"/>
              <w:bottom w:val="nil"/>
              <w:right w:val="nil"/>
              <w:tl2br w:val="nil"/>
              <w:tr2bl w:val="nil"/>
            </w:tcBorders>
            <w:shd w:val="clear" w:color="auto" w:fill="FFFF00"/>
            <w:tcMar>
              <w:left w:w="101" w:type="dxa"/>
              <w:right w:w="101" w:type="dxa"/>
            </w:tcMar>
            <w:vAlign w:val="bottom"/>
          </w:tcPr>
          <w:p w14:paraId="745DE033" w14:textId="77777777" w:rsidR="003F0EEA" w:rsidRPr="001167E1" w:rsidRDefault="003F0EEA">
            <w:pPr>
              <w:rPr>
                <w:rFonts w:ascii="Arial" w:eastAsia="Arial" w:hAnsi="Arial" w:cs="Arial"/>
                <w:color w:val="000000"/>
                <w:sz w:val="16"/>
              </w:rPr>
            </w:pPr>
          </w:p>
        </w:tc>
        <w:tc>
          <w:tcPr>
            <w:tcW w:w="91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506EFB23" w14:textId="77777777" w:rsidR="003F0EEA" w:rsidRPr="001167E1" w:rsidRDefault="003F0EEA">
            <w:pPr>
              <w:rPr>
                <w:rFonts w:ascii="Arial" w:eastAsia="Arial" w:hAnsi="Arial" w:cs="Arial"/>
                <w:color w:val="000000"/>
                <w:sz w:val="16"/>
              </w:rPr>
            </w:pPr>
          </w:p>
        </w:tc>
        <w:tc>
          <w:tcPr>
            <w:tcW w:w="91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4CA55C3C" w14:textId="77777777" w:rsidR="003F0EEA" w:rsidRPr="001167E1" w:rsidRDefault="003F0EEA">
            <w:pPr>
              <w:rPr>
                <w:rFonts w:ascii="Arial" w:eastAsia="Arial" w:hAnsi="Arial" w:cs="Arial"/>
                <w:color w:val="000000"/>
                <w:sz w:val="16"/>
              </w:rPr>
            </w:pPr>
          </w:p>
        </w:tc>
        <w:tc>
          <w:tcPr>
            <w:tcW w:w="91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7ED0408F" w14:textId="77777777" w:rsidR="003F0EEA" w:rsidRPr="001167E1" w:rsidRDefault="003F0EEA">
            <w:pPr>
              <w:rPr>
                <w:rFonts w:ascii="Arial" w:eastAsia="Arial" w:hAnsi="Arial" w:cs="Arial"/>
                <w:color w:val="000000"/>
                <w:sz w:val="16"/>
              </w:rPr>
            </w:pPr>
          </w:p>
        </w:tc>
      </w:tr>
      <w:tr w:rsidR="00FB7D0B" w14:paraId="3CF8A840" w14:textId="77777777" w:rsidTr="00FB7D0B">
        <w:trPr>
          <w:trHeight w:val="225"/>
        </w:trPr>
        <w:tc>
          <w:tcPr>
            <w:tcW w:w="3090" w:type="dxa"/>
            <w:gridSpan w:val="2"/>
            <w:tcBorders>
              <w:top w:val="nil"/>
              <w:left w:val="nil"/>
              <w:bottom w:val="nil"/>
              <w:right w:val="nil"/>
              <w:tl2br w:val="nil"/>
              <w:tr2bl w:val="nil"/>
            </w:tcBorders>
            <w:shd w:val="clear" w:color="auto" w:fill="FFFFFF"/>
            <w:tcMar>
              <w:left w:w="101" w:type="dxa"/>
              <w:right w:w="101" w:type="dxa"/>
            </w:tcMar>
            <w:vAlign w:val="bottom"/>
          </w:tcPr>
          <w:p w14:paraId="259F096A" w14:textId="77777777" w:rsidR="003F0EEA" w:rsidRPr="001167E1" w:rsidRDefault="00FB7D0B">
            <w:pPr>
              <w:rPr>
                <w:rFonts w:ascii="Arial" w:eastAsia="Arial" w:hAnsi="Arial" w:cs="Arial"/>
                <w:color w:val="000000"/>
                <w:sz w:val="16"/>
              </w:rPr>
            </w:pPr>
            <w:r w:rsidRPr="001167E1">
              <w:rPr>
                <w:rFonts w:ascii="Arial" w:eastAsia="Arial" w:hAnsi="Arial" w:cs="Arial"/>
                <w:b/>
                <w:color w:val="000000"/>
                <w:sz w:val="16"/>
              </w:rPr>
              <w:t>Cash used</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6138ED57" w14:textId="77777777" w:rsidR="003F0EEA" w:rsidRPr="001167E1" w:rsidRDefault="003F0EEA">
            <w:pPr>
              <w:rPr>
                <w:rFonts w:ascii="Arial" w:eastAsia="Arial" w:hAnsi="Arial" w:cs="Arial"/>
                <w:b/>
                <w:color w:val="000000"/>
                <w:sz w:val="16"/>
              </w:rPr>
            </w:pPr>
          </w:p>
        </w:tc>
        <w:tc>
          <w:tcPr>
            <w:tcW w:w="915" w:type="dxa"/>
            <w:tcBorders>
              <w:top w:val="nil"/>
              <w:left w:val="nil"/>
              <w:bottom w:val="nil"/>
              <w:right w:val="nil"/>
              <w:tl2br w:val="nil"/>
              <w:tr2bl w:val="nil"/>
            </w:tcBorders>
            <w:shd w:val="clear" w:color="auto" w:fill="FFFF00"/>
            <w:tcMar>
              <w:left w:w="101" w:type="dxa"/>
              <w:right w:w="101" w:type="dxa"/>
            </w:tcMar>
            <w:vAlign w:val="bottom"/>
          </w:tcPr>
          <w:p w14:paraId="5FF60788" w14:textId="77777777" w:rsidR="003F0EEA" w:rsidRPr="001167E1" w:rsidRDefault="003F0EEA">
            <w:pPr>
              <w:rPr>
                <w:rFonts w:ascii="Arial" w:eastAsia="Arial" w:hAnsi="Arial" w:cs="Arial"/>
                <w:color w:val="000000"/>
                <w:sz w:val="16"/>
              </w:rPr>
            </w:pP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7C8BDFF1" w14:textId="77777777" w:rsidR="003F0EEA" w:rsidRPr="001167E1" w:rsidRDefault="003F0EEA">
            <w:pPr>
              <w:rPr>
                <w:rFonts w:ascii="Arial" w:eastAsia="Arial" w:hAnsi="Arial" w:cs="Arial"/>
                <w:color w:val="000000"/>
                <w:sz w:val="16"/>
              </w:rPr>
            </w:pP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1D1B2434" w14:textId="77777777" w:rsidR="003F0EEA" w:rsidRPr="001167E1" w:rsidRDefault="003F0EEA">
            <w:pPr>
              <w:rPr>
                <w:rFonts w:ascii="Arial" w:eastAsia="Arial" w:hAnsi="Arial" w:cs="Arial"/>
                <w:color w:val="000000"/>
                <w:sz w:val="16"/>
              </w:rPr>
            </w:pP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354897E9" w14:textId="77777777" w:rsidR="003F0EEA" w:rsidRPr="001167E1" w:rsidRDefault="003F0EEA">
            <w:pPr>
              <w:rPr>
                <w:rFonts w:ascii="Arial" w:eastAsia="Arial" w:hAnsi="Arial" w:cs="Arial"/>
                <w:color w:val="000000"/>
                <w:sz w:val="16"/>
              </w:rPr>
            </w:pPr>
          </w:p>
        </w:tc>
      </w:tr>
      <w:tr w:rsidR="00724034" w14:paraId="2588B7C2" w14:textId="77777777">
        <w:trPr>
          <w:trHeight w:val="225"/>
        </w:trPr>
        <w:tc>
          <w:tcPr>
            <w:tcW w:w="180" w:type="dxa"/>
            <w:tcBorders>
              <w:top w:val="nil"/>
              <w:left w:val="nil"/>
              <w:bottom w:val="nil"/>
              <w:right w:val="nil"/>
              <w:tl2br w:val="nil"/>
              <w:tr2bl w:val="nil"/>
            </w:tcBorders>
            <w:shd w:val="clear" w:color="auto" w:fill="FFFFFF"/>
            <w:tcMar>
              <w:left w:w="101" w:type="dxa"/>
              <w:right w:w="101" w:type="dxa"/>
            </w:tcMar>
            <w:vAlign w:val="bottom"/>
          </w:tcPr>
          <w:p w14:paraId="2A5B7A97" w14:textId="77777777" w:rsidR="003F0EEA" w:rsidRPr="001167E1" w:rsidRDefault="003F0EEA">
            <w:pPr>
              <w:rPr>
                <w:rFonts w:ascii="Arial" w:eastAsia="Arial" w:hAnsi="Arial" w:cs="Arial"/>
                <w:color w:val="000000"/>
                <w:sz w:val="16"/>
              </w:rPr>
            </w:pPr>
          </w:p>
        </w:tc>
        <w:tc>
          <w:tcPr>
            <w:tcW w:w="2910" w:type="dxa"/>
            <w:tcBorders>
              <w:top w:val="nil"/>
              <w:left w:val="nil"/>
              <w:bottom w:val="nil"/>
              <w:right w:val="nil"/>
              <w:tl2br w:val="nil"/>
              <w:tr2bl w:val="nil"/>
            </w:tcBorders>
            <w:shd w:val="clear" w:color="auto" w:fill="FFFFFF"/>
            <w:tcMar>
              <w:left w:w="101" w:type="dxa"/>
              <w:right w:w="101" w:type="dxa"/>
            </w:tcMar>
            <w:vAlign w:val="bottom"/>
          </w:tcPr>
          <w:p w14:paraId="127AB672" w14:textId="77777777" w:rsidR="003F0EEA" w:rsidRPr="001167E1" w:rsidRDefault="00FB7D0B">
            <w:pPr>
              <w:rPr>
                <w:rFonts w:ascii="Arial" w:eastAsia="Arial" w:hAnsi="Arial" w:cs="Arial"/>
                <w:color w:val="000000"/>
                <w:sz w:val="20"/>
              </w:rPr>
            </w:pPr>
            <w:r w:rsidRPr="001167E1">
              <w:rPr>
                <w:rFonts w:ascii="Arial" w:eastAsia="Arial" w:hAnsi="Arial" w:cs="Arial"/>
                <w:color w:val="000000"/>
                <w:sz w:val="16"/>
              </w:rPr>
              <w:t xml:space="preserve">Purchase of property, plant </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08B5E0C0" w14:textId="77777777" w:rsidR="003F0EEA" w:rsidRPr="001167E1" w:rsidRDefault="003F0EEA">
            <w:pPr>
              <w:rPr>
                <w:rFonts w:ascii="Arial" w:eastAsia="Arial" w:hAnsi="Arial" w:cs="Arial"/>
                <w:color w:val="000000"/>
                <w:sz w:val="16"/>
              </w:rPr>
            </w:pPr>
          </w:p>
        </w:tc>
        <w:tc>
          <w:tcPr>
            <w:tcW w:w="915" w:type="dxa"/>
            <w:tcBorders>
              <w:top w:val="nil"/>
              <w:left w:val="nil"/>
              <w:bottom w:val="nil"/>
              <w:right w:val="nil"/>
              <w:tl2br w:val="nil"/>
              <w:tr2bl w:val="nil"/>
            </w:tcBorders>
            <w:shd w:val="clear" w:color="auto" w:fill="FFFF00"/>
            <w:tcMar>
              <w:left w:w="101" w:type="dxa"/>
              <w:right w:w="101" w:type="dxa"/>
            </w:tcMar>
            <w:vAlign w:val="bottom"/>
          </w:tcPr>
          <w:p w14:paraId="447BD51B" w14:textId="77777777" w:rsidR="003F0EEA" w:rsidRPr="001167E1" w:rsidRDefault="003F0EEA">
            <w:pPr>
              <w:rPr>
                <w:rFonts w:ascii="Arial" w:eastAsia="Arial" w:hAnsi="Arial" w:cs="Arial"/>
                <w:color w:val="000000"/>
                <w:sz w:val="16"/>
              </w:rPr>
            </w:pP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5DAB3EDB" w14:textId="77777777" w:rsidR="003F0EEA" w:rsidRPr="001167E1" w:rsidRDefault="003F0EEA">
            <w:pPr>
              <w:rPr>
                <w:rFonts w:ascii="Arial" w:eastAsia="Arial" w:hAnsi="Arial" w:cs="Arial"/>
                <w:color w:val="000000"/>
                <w:sz w:val="16"/>
              </w:rPr>
            </w:pP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0D972D6E" w14:textId="77777777" w:rsidR="003F0EEA" w:rsidRPr="001167E1" w:rsidRDefault="003F0EEA">
            <w:pPr>
              <w:rPr>
                <w:rFonts w:ascii="Arial" w:eastAsia="Arial" w:hAnsi="Arial" w:cs="Arial"/>
                <w:color w:val="000000"/>
                <w:sz w:val="16"/>
              </w:rPr>
            </w:pP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7BB68E94" w14:textId="77777777" w:rsidR="003F0EEA" w:rsidRPr="001167E1" w:rsidRDefault="003F0EEA">
            <w:pPr>
              <w:rPr>
                <w:rFonts w:ascii="Arial" w:eastAsia="Arial" w:hAnsi="Arial" w:cs="Arial"/>
                <w:color w:val="000000"/>
                <w:sz w:val="16"/>
              </w:rPr>
            </w:pPr>
          </w:p>
        </w:tc>
      </w:tr>
      <w:tr w:rsidR="00724034" w14:paraId="1478F25A" w14:textId="77777777">
        <w:trPr>
          <w:trHeight w:val="225"/>
        </w:trPr>
        <w:tc>
          <w:tcPr>
            <w:tcW w:w="180" w:type="dxa"/>
            <w:tcBorders>
              <w:top w:val="nil"/>
              <w:left w:val="nil"/>
              <w:bottom w:val="nil"/>
              <w:right w:val="nil"/>
              <w:tl2br w:val="nil"/>
              <w:tr2bl w:val="nil"/>
            </w:tcBorders>
            <w:shd w:val="clear" w:color="auto" w:fill="FFFFFF"/>
            <w:tcMar>
              <w:left w:w="101" w:type="dxa"/>
              <w:right w:w="101" w:type="dxa"/>
            </w:tcMar>
            <w:vAlign w:val="bottom"/>
          </w:tcPr>
          <w:p w14:paraId="08FE47D9" w14:textId="77777777" w:rsidR="003F0EEA" w:rsidRPr="001167E1" w:rsidRDefault="003F0EEA">
            <w:pPr>
              <w:rPr>
                <w:rFonts w:ascii="Arial" w:eastAsia="Arial" w:hAnsi="Arial" w:cs="Arial"/>
                <w:color w:val="000000"/>
                <w:sz w:val="16"/>
              </w:rPr>
            </w:pPr>
          </w:p>
        </w:tc>
        <w:tc>
          <w:tcPr>
            <w:tcW w:w="2910" w:type="dxa"/>
            <w:tcBorders>
              <w:top w:val="nil"/>
              <w:left w:val="nil"/>
              <w:bottom w:val="nil"/>
              <w:right w:val="nil"/>
              <w:tl2br w:val="nil"/>
              <w:tr2bl w:val="nil"/>
            </w:tcBorders>
            <w:shd w:val="clear" w:color="auto" w:fill="FFFFFF"/>
            <w:tcMar>
              <w:left w:w="101" w:type="dxa"/>
              <w:right w:w="101" w:type="dxa"/>
            </w:tcMar>
            <w:vAlign w:val="bottom"/>
          </w:tcPr>
          <w:p w14:paraId="1E17166B" w14:textId="77777777" w:rsidR="003F0EEA" w:rsidRPr="001167E1" w:rsidRDefault="00FB7D0B">
            <w:pPr>
              <w:rPr>
                <w:rFonts w:ascii="Arial" w:eastAsia="Arial" w:hAnsi="Arial" w:cs="Arial"/>
                <w:color w:val="000000"/>
                <w:sz w:val="20"/>
              </w:rPr>
            </w:pPr>
            <w:r w:rsidRPr="001167E1">
              <w:rPr>
                <w:rFonts w:ascii="Arial" w:eastAsia="Arial" w:hAnsi="Arial" w:cs="Arial"/>
                <w:color w:val="000000"/>
                <w:sz w:val="16"/>
              </w:rPr>
              <w:t>and equipment</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76C3BE64" w14:textId="77777777" w:rsidR="003F0EEA" w:rsidRPr="001167E1" w:rsidRDefault="00FB7D0B">
            <w:pPr>
              <w:jc w:val="right"/>
              <w:rPr>
                <w:rFonts w:ascii="Arial" w:eastAsia="Arial" w:hAnsi="Arial" w:cs="Arial"/>
                <w:color w:val="000000"/>
                <w:sz w:val="16"/>
              </w:rPr>
            </w:pPr>
            <w:r w:rsidRPr="001167E1">
              <w:rPr>
                <w:rFonts w:ascii="Arial" w:eastAsia="Arial" w:hAnsi="Arial" w:cs="Arial"/>
                <w:color w:val="000000"/>
                <w:sz w:val="16"/>
              </w:rPr>
              <w:t xml:space="preserve"> 30,350 </w:t>
            </w:r>
          </w:p>
        </w:tc>
        <w:tc>
          <w:tcPr>
            <w:tcW w:w="915" w:type="dxa"/>
            <w:tcBorders>
              <w:top w:val="nil"/>
              <w:left w:val="nil"/>
              <w:bottom w:val="nil"/>
              <w:right w:val="nil"/>
              <w:tl2br w:val="nil"/>
              <w:tr2bl w:val="nil"/>
            </w:tcBorders>
            <w:shd w:val="clear" w:color="auto" w:fill="FFFF00"/>
            <w:tcMar>
              <w:left w:w="101" w:type="dxa"/>
              <w:right w:w="101" w:type="dxa"/>
            </w:tcMar>
            <w:vAlign w:val="bottom"/>
          </w:tcPr>
          <w:p w14:paraId="4E6BF305" w14:textId="77777777" w:rsidR="003F0EEA" w:rsidRPr="001167E1" w:rsidRDefault="00FB7D0B">
            <w:pPr>
              <w:jc w:val="right"/>
              <w:rPr>
                <w:rFonts w:ascii="Arial" w:eastAsia="Arial" w:hAnsi="Arial" w:cs="Arial"/>
                <w:color w:val="000000"/>
                <w:sz w:val="16"/>
              </w:rPr>
            </w:pPr>
            <w:r w:rsidRPr="001167E1">
              <w:rPr>
                <w:rFonts w:ascii="Arial" w:eastAsia="Arial" w:hAnsi="Arial" w:cs="Arial"/>
                <w:color w:val="000000"/>
                <w:sz w:val="16"/>
              </w:rPr>
              <w:t xml:space="preserve"> 16,086 </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1E56E7DA" w14:textId="77777777" w:rsidR="003F0EEA" w:rsidRPr="001167E1" w:rsidRDefault="00FB7D0B">
            <w:pPr>
              <w:jc w:val="right"/>
              <w:rPr>
                <w:rFonts w:ascii="Arial" w:eastAsia="Arial" w:hAnsi="Arial" w:cs="Arial"/>
                <w:color w:val="000000"/>
                <w:sz w:val="16"/>
              </w:rPr>
            </w:pPr>
            <w:r w:rsidRPr="001167E1">
              <w:rPr>
                <w:rFonts w:ascii="Arial" w:eastAsia="Arial" w:hAnsi="Arial" w:cs="Arial"/>
                <w:color w:val="000000"/>
                <w:sz w:val="16"/>
              </w:rPr>
              <w:t xml:space="preserve"> 14,116 </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0709524B" w14:textId="77777777" w:rsidR="003F0EEA" w:rsidRPr="001167E1" w:rsidRDefault="00FB7D0B">
            <w:pPr>
              <w:jc w:val="right"/>
              <w:rPr>
                <w:rFonts w:ascii="Arial" w:eastAsia="Arial" w:hAnsi="Arial" w:cs="Arial"/>
                <w:color w:val="000000"/>
                <w:sz w:val="16"/>
              </w:rPr>
            </w:pPr>
            <w:r w:rsidRPr="001167E1">
              <w:rPr>
                <w:rFonts w:ascii="Arial" w:eastAsia="Arial" w:hAnsi="Arial" w:cs="Arial"/>
                <w:color w:val="000000"/>
                <w:sz w:val="16"/>
              </w:rPr>
              <w:t xml:space="preserve"> 13,373 </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0BA6AE4A" w14:textId="77777777" w:rsidR="003F0EEA" w:rsidRPr="001167E1" w:rsidRDefault="00FB7D0B">
            <w:pPr>
              <w:jc w:val="right"/>
              <w:rPr>
                <w:rFonts w:ascii="Arial" w:eastAsia="Arial" w:hAnsi="Arial" w:cs="Arial"/>
                <w:color w:val="000000"/>
                <w:sz w:val="16"/>
              </w:rPr>
            </w:pPr>
            <w:r w:rsidRPr="001167E1">
              <w:rPr>
                <w:rFonts w:ascii="Arial" w:eastAsia="Arial" w:hAnsi="Arial" w:cs="Arial"/>
                <w:color w:val="000000"/>
                <w:sz w:val="16"/>
              </w:rPr>
              <w:t xml:space="preserve"> 14,036 </w:t>
            </w:r>
          </w:p>
        </w:tc>
      </w:tr>
      <w:tr w:rsidR="00724034" w14:paraId="75F6E84E" w14:textId="77777777">
        <w:trPr>
          <w:trHeight w:val="225"/>
        </w:trPr>
        <w:tc>
          <w:tcPr>
            <w:tcW w:w="180" w:type="dxa"/>
            <w:tcBorders>
              <w:top w:val="nil"/>
              <w:left w:val="nil"/>
              <w:bottom w:val="nil"/>
              <w:right w:val="nil"/>
              <w:tl2br w:val="nil"/>
              <w:tr2bl w:val="nil"/>
            </w:tcBorders>
            <w:shd w:val="clear" w:color="auto" w:fill="FFFFFF"/>
            <w:tcMar>
              <w:left w:w="101" w:type="dxa"/>
              <w:right w:w="101" w:type="dxa"/>
            </w:tcMar>
            <w:vAlign w:val="bottom"/>
          </w:tcPr>
          <w:p w14:paraId="7EF61346" w14:textId="77777777" w:rsidR="003F0EEA" w:rsidRPr="001167E1" w:rsidRDefault="003F0EEA">
            <w:pPr>
              <w:rPr>
                <w:rFonts w:ascii="Arial" w:eastAsia="Arial" w:hAnsi="Arial" w:cs="Arial"/>
                <w:color w:val="000000"/>
                <w:sz w:val="16"/>
              </w:rPr>
            </w:pPr>
          </w:p>
        </w:tc>
        <w:tc>
          <w:tcPr>
            <w:tcW w:w="2910" w:type="dxa"/>
            <w:tcBorders>
              <w:top w:val="nil"/>
              <w:left w:val="nil"/>
              <w:bottom w:val="nil"/>
              <w:right w:val="nil"/>
              <w:tl2br w:val="nil"/>
              <w:tr2bl w:val="nil"/>
            </w:tcBorders>
            <w:shd w:val="clear" w:color="auto" w:fill="FFFFFF"/>
            <w:tcMar>
              <w:left w:w="101" w:type="dxa"/>
              <w:right w:w="101" w:type="dxa"/>
            </w:tcMar>
            <w:vAlign w:val="bottom"/>
          </w:tcPr>
          <w:p w14:paraId="414E678E" w14:textId="77777777" w:rsidR="003F0EEA" w:rsidRPr="001167E1" w:rsidRDefault="00FB7D0B">
            <w:pPr>
              <w:rPr>
                <w:rFonts w:ascii="Arial" w:eastAsia="Arial" w:hAnsi="Arial" w:cs="Arial"/>
                <w:color w:val="000000"/>
                <w:sz w:val="20"/>
              </w:rPr>
            </w:pPr>
            <w:r w:rsidRPr="001167E1">
              <w:rPr>
                <w:rFonts w:ascii="Arial" w:eastAsia="Arial" w:hAnsi="Arial" w:cs="Arial"/>
                <w:color w:val="000000"/>
                <w:sz w:val="16"/>
              </w:rPr>
              <w:t>Purchase of financial instruments</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77E787A0" w14:textId="77777777" w:rsidR="003F0EEA" w:rsidRPr="001167E1" w:rsidRDefault="00FB7D0B">
            <w:pPr>
              <w:jc w:val="right"/>
              <w:rPr>
                <w:rFonts w:ascii="Arial" w:eastAsia="Arial" w:hAnsi="Arial" w:cs="Arial"/>
                <w:color w:val="000000"/>
                <w:sz w:val="16"/>
              </w:rPr>
            </w:pPr>
            <w:r w:rsidRPr="001167E1">
              <w:rPr>
                <w:rFonts w:ascii="Arial" w:eastAsia="Arial" w:hAnsi="Arial" w:cs="Arial"/>
                <w:color w:val="000000"/>
                <w:sz w:val="16"/>
              </w:rPr>
              <w:t xml:space="preserve"> - </w:t>
            </w:r>
          </w:p>
        </w:tc>
        <w:tc>
          <w:tcPr>
            <w:tcW w:w="915" w:type="dxa"/>
            <w:tcBorders>
              <w:top w:val="nil"/>
              <w:left w:val="nil"/>
              <w:bottom w:val="nil"/>
              <w:right w:val="nil"/>
              <w:tl2br w:val="nil"/>
              <w:tr2bl w:val="nil"/>
            </w:tcBorders>
            <w:shd w:val="clear" w:color="auto" w:fill="FFFF00"/>
            <w:tcMar>
              <w:left w:w="101" w:type="dxa"/>
              <w:right w:w="101" w:type="dxa"/>
            </w:tcMar>
            <w:vAlign w:val="bottom"/>
          </w:tcPr>
          <w:p w14:paraId="084B0B8D" w14:textId="77777777" w:rsidR="003F0EEA" w:rsidRPr="001167E1" w:rsidRDefault="00FB7D0B">
            <w:pPr>
              <w:jc w:val="right"/>
              <w:rPr>
                <w:rFonts w:ascii="Arial" w:eastAsia="Arial" w:hAnsi="Arial" w:cs="Arial"/>
                <w:color w:val="000000"/>
                <w:sz w:val="16"/>
              </w:rPr>
            </w:pPr>
            <w:r w:rsidRPr="001167E1">
              <w:rPr>
                <w:rFonts w:ascii="Arial" w:eastAsia="Arial" w:hAnsi="Arial" w:cs="Arial"/>
                <w:color w:val="000000"/>
                <w:sz w:val="16"/>
              </w:rPr>
              <w:t xml:space="preserve"> - </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4206CE9A" w14:textId="77777777" w:rsidR="003F0EEA" w:rsidRPr="001167E1" w:rsidRDefault="00FB7D0B">
            <w:pPr>
              <w:jc w:val="right"/>
              <w:rPr>
                <w:rFonts w:ascii="Arial" w:eastAsia="Arial" w:hAnsi="Arial" w:cs="Arial"/>
                <w:color w:val="000000"/>
                <w:sz w:val="16"/>
              </w:rPr>
            </w:pPr>
            <w:r w:rsidRPr="001167E1">
              <w:rPr>
                <w:rFonts w:ascii="Arial" w:eastAsia="Arial" w:hAnsi="Arial" w:cs="Arial"/>
                <w:color w:val="000000"/>
                <w:sz w:val="16"/>
              </w:rPr>
              <w:t xml:space="preserve"> - </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1A30D47F" w14:textId="77777777" w:rsidR="003F0EEA" w:rsidRPr="001167E1" w:rsidRDefault="00FB7D0B">
            <w:pPr>
              <w:jc w:val="right"/>
              <w:rPr>
                <w:rFonts w:ascii="Arial" w:eastAsia="Arial" w:hAnsi="Arial" w:cs="Arial"/>
                <w:color w:val="000000"/>
                <w:sz w:val="16"/>
              </w:rPr>
            </w:pPr>
            <w:r w:rsidRPr="001167E1">
              <w:rPr>
                <w:rFonts w:ascii="Arial" w:eastAsia="Arial" w:hAnsi="Arial" w:cs="Arial"/>
                <w:color w:val="000000"/>
                <w:sz w:val="16"/>
              </w:rPr>
              <w:t xml:space="preserve"> - </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5E54CADA" w14:textId="77777777" w:rsidR="003F0EEA" w:rsidRPr="001167E1" w:rsidRDefault="00FB7D0B">
            <w:pPr>
              <w:jc w:val="right"/>
              <w:rPr>
                <w:rFonts w:ascii="Arial" w:eastAsia="Arial" w:hAnsi="Arial" w:cs="Arial"/>
                <w:color w:val="000000"/>
                <w:sz w:val="16"/>
              </w:rPr>
            </w:pPr>
            <w:r w:rsidRPr="001167E1">
              <w:rPr>
                <w:rFonts w:ascii="Arial" w:eastAsia="Arial" w:hAnsi="Arial" w:cs="Arial"/>
                <w:color w:val="000000"/>
                <w:sz w:val="16"/>
              </w:rPr>
              <w:t xml:space="preserve"> - </w:t>
            </w:r>
          </w:p>
        </w:tc>
      </w:tr>
      <w:tr w:rsidR="00724034" w14:paraId="73A2ABCD" w14:textId="77777777">
        <w:trPr>
          <w:trHeight w:val="225"/>
        </w:trPr>
        <w:tc>
          <w:tcPr>
            <w:tcW w:w="180" w:type="dxa"/>
            <w:tcBorders>
              <w:top w:val="nil"/>
              <w:left w:val="nil"/>
              <w:bottom w:val="nil"/>
              <w:right w:val="nil"/>
              <w:tl2br w:val="nil"/>
              <w:tr2bl w:val="nil"/>
            </w:tcBorders>
            <w:shd w:val="clear" w:color="auto" w:fill="FFFFFF"/>
            <w:tcMar>
              <w:left w:w="101" w:type="dxa"/>
              <w:right w:w="101" w:type="dxa"/>
            </w:tcMar>
            <w:vAlign w:val="bottom"/>
          </w:tcPr>
          <w:p w14:paraId="1C3AF3BF" w14:textId="77777777" w:rsidR="003F0EEA" w:rsidRPr="001167E1" w:rsidRDefault="003F0EEA">
            <w:pPr>
              <w:rPr>
                <w:rFonts w:ascii="Arial" w:eastAsia="Arial" w:hAnsi="Arial" w:cs="Arial"/>
                <w:color w:val="000000"/>
                <w:sz w:val="16"/>
              </w:rPr>
            </w:pPr>
          </w:p>
        </w:tc>
        <w:tc>
          <w:tcPr>
            <w:tcW w:w="2910" w:type="dxa"/>
            <w:tcBorders>
              <w:top w:val="nil"/>
              <w:left w:val="nil"/>
              <w:bottom w:val="nil"/>
              <w:right w:val="nil"/>
              <w:tl2br w:val="nil"/>
              <w:tr2bl w:val="nil"/>
            </w:tcBorders>
            <w:shd w:val="clear" w:color="auto" w:fill="FFFFFF"/>
            <w:tcMar>
              <w:left w:w="101" w:type="dxa"/>
              <w:right w:w="101" w:type="dxa"/>
            </w:tcMar>
            <w:vAlign w:val="bottom"/>
          </w:tcPr>
          <w:p w14:paraId="1CA5A029" w14:textId="77777777" w:rsidR="003F0EEA" w:rsidRPr="001167E1" w:rsidRDefault="00FB7D0B">
            <w:pPr>
              <w:rPr>
                <w:rFonts w:ascii="Arial" w:eastAsia="Arial" w:hAnsi="Arial" w:cs="Arial"/>
                <w:color w:val="000000"/>
                <w:sz w:val="20"/>
              </w:rPr>
            </w:pPr>
            <w:r w:rsidRPr="001167E1">
              <w:rPr>
                <w:rFonts w:ascii="Arial" w:eastAsia="Arial" w:hAnsi="Arial" w:cs="Arial"/>
                <w:color w:val="000000"/>
                <w:sz w:val="16"/>
              </w:rPr>
              <w:t>Investments</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18FDFA19" w14:textId="77777777" w:rsidR="003F0EEA" w:rsidRPr="001167E1" w:rsidRDefault="00FB7D0B">
            <w:pPr>
              <w:jc w:val="right"/>
              <w:rPr>
                <w:rFonts w:ascii="Arial" w:eastAsia="Arial" w:hAnsi="Arial" w:cs="Arial"/>
                <w:color w:val="000000"/>
                <w:sz w:val="16"/>
              </w:rPr>
            </w:pPr>
            <w:r w:rsidRPr="001167E1">
              <w:rPr>
                <w:rFonts w:ascii="Arial" w:eastAsia="Arial" w:hAnsi="Arial" w:cs="Arial"/>
                <w:color w:val="000000"/>
                <w:sz w:val="16"/>
              </w:rPr>
              <w:t xml:space="preserve"> 3,000 </w:t>
            </w:r>
          </w:p>
        </w:tc>
        <w:tc>
          <w:tcPr>
            <w:tcW w:w="915" w:type="dxa"/>
            <w:tcBorders>
              <w:top w:val="nil"/>
              <w:left w:val="nil"/>
              <w:bottom w:val="nil"/>
              <w:right w:val="nil"/>
              <w:tl2br w:val="nil"/>
              <w:tr2bl w:val="nil"/>
            </w:tcBorders>
            <w:shd w:val="clear" w:color="auto" w:fill="FFFF00"/>
            <w:tcMar>
              <w:left w:w="101" w:type="dxa"/>
              <w:right w:w="101" w:type="dxa"/>
            </w:tcMar>
            <w:vAlign w:val="bottom"/>
          </w:tcPr>
          <w:p w14:paraId="62704335" w14:textId="77777777" w:rsidR="003F0EEA" w:rsidRPr="001167E1" w:rsidRDefault="00FB7D0B">
            <w:pPr>
              <w:jc w:val="right"/>
              <w:rPr>
                <w:rFonts w:ascii="Arial" w:eastAsia="Arial" w:hAnsi="Arial" w:cs="Arial"/>
                <w:color w:val="000000"/>
                <w:sz w:val="16"/>
              </w:rPr>
            </w:pPr>
            <w:r w:rsidRPr="001167E1">
              <w:rPr>
                <w:rFonts w:ascii="Arial" w:eastAsia="Arial" w:hAnsi="Arial" w:cs="Arial"/>
                <w:color w:val="000000"/>
                <w:sz w:val="16"/>
              </w:rPr>
              <w:t xml:space="preserve"> 1,800 </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07CF35F4" w14:textId="77777777" w:rsidR="003F0EEA" w:rsidRPr="001167E1" w:rsidRDefault="00FB7D0B">
            <w:pPr>
              <w:jc w:val="right"/>
              <w:rPr>
                <w:rFonts w:ascii="Arial" w:eastAsia="Arial" w:hAnsi="Arial" w:cs="Arial"/>
                <w:color w:val="000000"/>
                <w:sz w:val="16"/>
              </w:rPr>
            </w:pPr>
            <w:r w:rsidRPr="001167E1">
              <w:rPr>
                <w:rFonts w:ascii="Arial" w:eastAsia="Arial" w:hAnsi="Arial" w:cs="Arial"/>
                <w:color w:val="000000"/>
                <w:sz w:val="16"/>
              </w:rPr>
              <w:t xml:space="preserve"> 3,000 </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3355821F" w14:textId="77777777" w:rsidR="003F0EEA" w:rsidRPr="001167E1" w:rsidRDefault="00FB7D0B">
            <w:pPr>
              <w:jc w:val="right"/>
              <w:rPr>
                <w:rFonts w:ascii="Arial" w:eastAsia="Arial" w:hAnsi="Arial" w:cs="Arial"/>
                <w:color w:val="000000"/>
                <w:sz w:val="16"/>
              </w:rPr>
            </w:pPr>
            <w:r w:rsidRPr="001167E1">
              <w:rPr>
                <w:rFonts w:ascii="Arial" w:eastAsia="Arial" w:hAnsi="Arial" w:cs="Arial"/>
                <w:color w:val="000000"/>
                <w:sz w:val="16"/>
              </w:rPr>
              <w:t xml:space="preserve"> 4,400 </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726DA6BE" w14:textId="77777777" w:rsidR="003F0EEA" w:rsidRPr="001167E1" w:rsidRDefault="00FB7D0B">
            <w:pPr>
              <w:jc w:val="right"/>
              <w:rPr>
                <w:rFonts w:ascii="Arial" w:eastAsia="Arial" w:hAnsi="Arial" w:cs="Arial"/>
                <w:color w:val="000000"/>
                <w:sz w:val="16"/>
              </w:rPr>
            </w:pPr>
            <w:r w:rsidRPr="001167E1">
              <w:rPr>
                <w:rFonts w:ascii="Arial" w:eastAsia="Arial" w:hAnsi="Arial" w:cs="Arial"/>
                <w:color w:val="000000"/>
                <w:sz w:val="16"/>
              </w:rPr>
              <w:t xml:space="preserve"> 6,000 </w:t>
            </w:r>
          </w:p>
        </w:tc>
      </w:tr>
      <w:tr w:rsidR="00FB7D0B" w14:paraId="6BDCF41C" w14:textId="77777777" w:rsidTr="00FB7D0B">
        <w:trPr>
          <w:trHeight w:val="225"/>
        </w:trPr>
        <w:tc>
          <w:tcPr>
            <w:tcW w:w="3090" w:type="dxa"/>
            <w:gridSpan w:val="2"/>
            <w:tcBorders>
              <w:top w:val="nil"/>
              <w:left w:val="nil"/>
              <w:bottom w:val="nil"/>
              <w:right w:val="nil"/>
              <w:tl2br w:val="nil"/>
              <w:tr2bl w:val="nil"/>
            </w:tcBorders>
            <w:shd w:val="clear" w:color="auto" w:fill="FFFFFF"/>
            <w:tcMar>
              <w:left w:w="101" w:type="dxa"/>
              <w:right w:w="101" w:type="dxa"/>
            </w:tcMar>
            <w:vAlign w:val="bottom"/>
          </w:tcPr>
          <w:p w14:paraId="42A5BD27" w14:textId="77777777" w:rsidR="003F0EEA" w:rsidRPr="001167E1" w:rsidRDefault="00FB7D0B">
            <w:pPr>
              <w:rPr>
                <w:rFonts w:ascii="Arial" w:eastAsia="Arial" w:hAnsi="Arial" w:cs="Arial"/>
                <w:color w:val="000000"/>
                <w:sz w:val="16"/>
              </w:rPr>
            </w:pPr>
            <w:r w:rsidRPr="001167E1">
              <w:rPr>
                <w:rFonts w:ascii="Arial" w:eastAsia="Arial" w:hAnsi="Arial" w:cs="Arial"/>
                <w:b/>
                <w:i/>
                <w:color w:val="000000"/>
                <w:sz w:val="16"/>
              </w:rPr>
              <w:t>Total cash used</w:t>
            </w:r>
          </w:p>
        </w:tc>
        <w:tc>
          <w:tcPr>
            <w:tcW w:w="915"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6B564760" w14:textId="77777777" w:rsidR="003F0EEA" w:rsidRPr="001167E1" w:rsidRDefault="00FB7D0B">
            <w:pPr>
              <w:jc w:val="right"/>
              <w:rPr>
                <w:rFonts w:ascii="Arial" w:eastAsia="Arial" w:hAnsi="Arial" w:cs="Arial"/>
                <w:b/>
                <w:i/>
                <w:color w:val="000000"/>
                <w:sz w:val="16"/>
              </w:rPr>
            </w:pPr>
            <w:r w:rsidRPr="001167E1">
              <w:rPr>
                <w:rFonts w:ascii="Arial" w:eastAsia="Arial" w:hAnsi="Arial" w:cs="Arial"/>
                <w:b/>
                <w:color w:val="000000"/>
                <w:sz w:val="16"/>
              </w:rPr>
              <w:t xml:space="preserve"> 33,350 </w:t>
            </w:r>
          </w:p>
        </w:tc>
        <w:tc>
          <w:tcPr>
            <w:tcW w:w="915" w:type="dxa"/>
            <w:tcBorders>
              <w:top w:val="single" w:sz="6" w:space="0" w:color="000000"/>
              <w:left w:val="nil"/>
              <w:bottom w:val="single" w:sz="6" w:space="0" w:color="000000"/>
              <w:right w:val="nil"/>
              <w:tl2br w:val="nil"/>
              <w:tr2bl w:val="nil"/>
            </w:tcBorders>
            <w:shd w:val="clear" w:color="auto" w:fill="FFFF00"/>
            <w:tcMar>
              <w:left w:w="101" w:type="dxa"/>
              <w:right w:w="101" w:type="dxa"/>
            </w:tcMar>
            <w:vAlign w:val="bottom"/>
          </w:tcPr>
          <w:p w14:paraId="67FD0F48" w14:textId="77777777" w:rsidR="003F0EEA" w:rsidRPr="001167E1" w:rsidRDefault="00FB7D0B">
            <w:pPr>
              <w:jc w:val="right"/>
              <w:rPr>
                <w:rFonts w:ascii="Arial" w:eastAsia="Arial" w:hAnsi="Arial" w:cs="Arial"/>
                <w:b/>
                <w:color w:val="000000"/>
                <w:sz w:val="16"/>
              </w:rPr>
            </w:pPr>
            <w:r w:rsidRPr="001167E1">
              <w:rPr>
                <w:rFonts w:ascii="Arial" w:eastAsia="Arial" w:hAnsi="Arial" w:cs="Arial"/>
                <w:b/>
                <w:color w:val="000000"/>
                <w:sz w:val="16"/>
              </w:rPr>
              <w:t xml:space="preserve"> 17,886 </w:t>
            </w:r>
          </w:p>
        </w:tc>
        <w:tc>
          <w:tcPr>
            <w:tcW w:w="915"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72401C16" w14:textId="77777777" w:rsidR="003F0EEA" w:rsidRPr="001167E1" w:rsidRDefault="00FB7D0B">
            <w:pPr>
              <w:jc w:val="right"/>
              <w:rPr>
                <w:rFonts w:ascii="Arial" w:eastAsia="Arial" w:hAnsi="Arial" w:cs="Arial"/>
                <w:b/>
                <w:color w:val="000000"/>
                <w:sz w:val="16"/>
              </w:rPr>
            </w:pPr>
            <w:r w:rsidRPr="001167E1">
              <w:rPr>
                <w:rFonts w:ascii="Arial" w:eastAsia="Arial" w:hAnsi="Arial" w:cs="Arial"/>
                <w:b/>
                <w:color w:val="000000"/>
                <w:sz w:val="16"/>
              </w:rPr>
              <w:t xml:space="preserve"> 17,116 </w:t>
            </w:r>
          </w:p>
        </w:tc>
        <w:tc>
          <w:tcPr>
            <w:tcW w:w="915"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20827D84" w14:textId="77777777" w:rsidR="003F0EEA" w:rsidRPr="001167E1" w:rsidRDefault="00FB7D0B">
            <w:pPr>
              <w:jc w:val="right"/>
              <w:rPr>
                <w:rFonts w:ascii="Arial" w:eastAsia="Arial" w:hAnsi="Arial" w:cs="Arial"/>
                <w:b/>
                <w:color w:val="000000"/>
                <w:sz w:val="16"/>
              </w:rPr>
            </w:pPr>
            <w:r w:rsidRPr="001167E1">
              <w:rPr>
                <w:rFonts w:ascii="Arial" w:eastAsia="Arial" w:hAnsi="Arial" w:cs="Arial"/>
                <w:b/>
                <w:color w:val="000000"/>
                <w:sz w:val="16"/>
              </w:rPr>
              <w:t xml:space="preserve"> 17,773 </w:t>
            </w:r>
          </w:p>
        </w:tc>
        <w:tc>
          <w:tcPr>
            <w:tcW w:w="915"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4915FECE" w14:textId="77777777" w:rsidR="003F0EEA" w:rsidRPr="001167E1" w:rsidRDefault="00FB7D0B">
            <w:pPr>
              <w:jc w:val="right"/>
              <w:rPr>
                <w:rFonts w:ascii="Arial" w:eastAsia="Arial" w:hAnsi="Arial" w:cs="Arial"/>
                <w:b/>
                <w:color w:val="000000"/>
                <w:sz w:val="16"/>
              </w:rPr>
            </w:pPr>
            <w:r w:rsidRPr="001167E1">
              <w:rPr>
                <w:rFonts w:ascii="Arial" w:eastAsia="Arial" w:hAnsi="Arial" w:cs="Arial"/>
                <w:b/>
                <w:color w:val="000000"/>
                <w:sz w:val="16"/>
              </w:rPr>
              <w:t xml:space="preserve"> 20,036 </w:t>
            </w:r>
          </w:p>
        </w:tc>
      </w:tr>
      <w:tr w:rsidR="00FB7D0B" w14:paraId="61EC7958" w14:textId="77777777" w:rsidTr="00FB7D0B">
        <w:trPr>
          <w:trHeight w:val="225"/>
        </w:trPr>
        <w:tc>
          <w:tcPr>
            <w:tcW w:w="3090" w:type="dxa"/>
            <w:gridSpan w:val="2"/>
            <w:tcBorders>
              <w:top w:val="nil"/>
              <w:left w:val="nil"/>
              <w:bottom w:val="nil"/>
              <w:right w:val="nil"/>
              <w:tl2br w:val="nil"/>
              <w:tr2bl w:val="nil"/>
            </w:tcBorders>
            <w:shd w:val="clear" w:color="auto" w:fill="FFFFFF"/>
            <w:tcMar>
              <w:left w:w="101" w:type="dxa"/>
              <w:right w:w="101" w:type="dxa"/>
            </w:tcMar>
            <w:vAlign w:val="bottom"/>
          </w:tcPr>
          <w:p w14:paraId="168DB6C2" w14:textId="77777777" w:rsidR="003F0EEA" w:rsidRPr="001167E1" w:rsidRDefault="00FB7D0B">
            <w:pPr>
              <w:rPr>
                <w:rFonts w:ascii="Arial" w:eastAsia="Arial" w:hAnsi="Arial" w:cs="Arial"/>
                <w:b/>
                <w:color w:val="000000"/>
                <w:sz w:val="16"/>
              </w:rPr>
            </w:pPr>
            <w:r w:rsidRPr="001167E1">
              <w:rPr>
                <w:rFonts w:ascii="Arial" w:eastAsia="Arial" w:hAnsi="Arial" w:cs="Arial"/>
                <w:b/>
                <w:color w:val="000000"/>
                <w:sz w:val="16"/>
              </w:rPr>
              <w:t xml:space="preserve">Net cash from or (used by)  </w:t>
            </w:r>
          </w:p>
        </w:tc>
        <w:tc>
          <w:tcPr>
            <w:tcW w:w="915"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55A8E932" w14:textId="77777777" w:rsidR="003F0EEA" w:rsidRPr="001167E1" w:rsidRDefault="003F0EEA">
            <w:pPr>
              <w:rPr>
                <w:rFonts w:ascii="Arial" w:eastAsia="Arial" w:hAnsi="Arial" w:cs="Arial"/>
                <w:b/>
                <w:color w:val="000000"/>
                <w:sz w:val="16"/>
              </w:rPr>
            </w:pPr>
          </w:p>
        </w:tc>
        <w:tc>
          <w:tcPr>
            <w:tcW w:w="915" w:type="dxa"/>
            <w:tcBorders>
              <w:top w:val="single" w:sz="6" w:space="0" w:color="000000"/>
              <w:left w:val="nil"/>
              <w:bottom w:val="single" w:sz="6" w:space="0" w:color="000000"/>
              <w:right w:val="nil"/>
              <w:tl2br w:val="nil"/>
              <w:tr2bl w:val="nil"/>
            </w:tcBorders>
            <w:shd w:val="clear" w:color="auto" w:fill="FFFF00"/>
            <w:tcMar>
              <w:left w:w="101" w:type="dxa"/>
              <w:right w:w="101" w:type="dxa"/>
            </w:tcMar>
            <w:vAlign w:val="bottom"/>
          </w:tcPr>
          <w:p w14:paraId="4C071042" w14:textId="77777777" w:rsidR="003F0EEA" w:rsidRPr="001167E1" w:rsidRDefault="003F0EEA">
            <w:pPr>
              <w:rPr>
                <w:rFonts w:ascii="Arial" w:eastAsia="Arial" w:hAnsi="Arial" w:cs="Arial"/>
                <w:color w:val="000000"/>
                <w:sz w:val="16"/>
              </w:rPr>
            </w:pPr>
          </w:p>
        </w:tc>
        <w:tc>
          <w:tcPr>
            <w:tcW w:w="915"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46079FCC" w14:textId="77777777" w:rsidR="003F0EEA" w:rsidRPr="001167E1" w:rsidRDefault="003F0EEA">
            <w:pPr>
              <w:rPr>
                <w:rFonts w:ascii="Arial" w:eastAsia="Arial" w:hAnsi="Arial" w:cs="Arial"/>
                <w:color w:val="000000"/>
                <w:sz w:val="16"/>
              </w:rPr>
            </w:pPr>
          </w:p>
        </w:tc>
        <w:tc>
          <w:tcPr>
            <w:tcW w:w="915"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2D8A3D90" w14:textId="77777777" w:rsidR="003F0EEA" w:rsidRPr="001167E1" w:rsidRDefault="003F0EEA">
            <w:pPr>
              <w:rPr>
                <w:rFonts w:ascii="Arial" w:eastAsia="Arial" w:hAnsi="Arial" w:cs="Arial"/>
                <w:color w:val="000000"/>
                <w:sz w:val="16"/>
              </w:rPr>
            </w:pPr>
          </w:p>
        </w:tc>
        <w:tc>
          <w:tcPr>
            <w:tcW w:w="915"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2B6878BB" w14:textId="77777777" w:rsidR="003F0EEA" w:rsidRPr="001167E1" w:rsidRDefault="003F0EEA">
            <w:pPr>
              <w:rPr>
                <w:rFonts w:ascii="Arial" w:eastAsia="Arial" w:hAnsi="Arial" w:cs="Arial"/>
                <w:color w:val="000000"/>
                <w:sz w:val="16"/>
              </w:rPr>
            </w:pPr>
          </w:p>
        </w:tc>
      </w:tr>
      <w:tr w:rsidR="00724034" w14:paraId="264601C7" w14:textId="77777777">
        <w:trPr>
          <w:trHeight w:val="225"/>
        </w:trPr>
        <w:tc>
          <w:tcPr>
            <w:tcW w:w="180" w:type="dxa"/>
            <w:tcBorders>
              <w:top w:val="nil"/>
              <w:left w:val="nil"/>
              <w:bottom w:val="nil"/>
              <w:right w:val="nil"/>
              <w:tl2br w:val="nil"/>
              <w:tr2bl w:val="nil"/>
            </w:tcBorders>
            <w:shd w:val="clear" w:color="auto" w:fill="FFFFFF"/>
            <w:tcMar>
              <w:left w:w="101" w:type="dxa"/>
              <w:right w:w="101" w:type="dxa"/>
            </w:tcMar>
            <w:vAlign w:val="bottom"/>
          </w:tcPr>
          <w:p w14:paraId="47F815E3" w14:textId="77777777" w:rsidR="003F0EEA" w:rsidRPr="001167E1" w:rsidRDefault="003F0EEA">
            <w:pPr>
              <w:rPr>
                <w:rFonts w:ascii="Arial" w:eastAsia="Arial" w:hAnsi="Arial" w:cs="Arial"/>
                <w:color w:val="000000"/>
                <w:sz w:val="16"/>
              </w:rPr>
            </w:pPr>
          </w:p>
        </w:tc>
        <w:tc>
          <w:tcPr>
            <w:tcW w:w="2910" w:type="dxa"/>
            <w:tcBorders>
              <w:top w:val="nil"/>
              <w:left w:val="nil"/>
              <w:bottom w:val="nil"/>
              <w:right w:val="nil"/>
              <w:tl2br w:val="nil"/>
              <w:tr2bl w:val="nil"/>
            </w:tcBorders>
            <w:shd w:val="clear" w:color="auto" w:fill="FFFFFF"/>
            <w:tcMar>
              <w:left w:w="101" w:type="dxa"/>
              <w:right w:w="101" w:type="dxa"/>
            </w:tcMar>
            <w:vAlign w:val="bottom"/>
          </w:tcPr>
          <w:p w14:paraId="136C750B" w14:textId="77777777" w:rsidR="003F0EEA" w:rsidRPr="001167E1" w:rsidRDefault="00FB7D0B">
            <w:pPr>
              <w:rPr>
                <w:rFonts w:ascii="Arial" w:eastAsia="Arial" w:hAnsi="Arial" w:cs="Arial"/>
                <w:color w:val="000000"/>
                <w:sz w:val="20"/>
              </w:rPr>
            </w:pPr>
            <w:r w:rsidRPr="001167E1">
              <w:rPr>
                <w:rFonts w:ascii="Arial" w:eastAsia="Arial" w:hAnsi="Arial" w:cs="Arial"/>
                <w:b/>
                <w:color w:val="000000"/>
                <w:sz w:val="16"/>
              </w:rPr>
              <w:t>investing activities</w:t>
            </w:r>
          </w:p>
        </w:tc>
        <w:tc>
          <w:tcPr>
            <w:tcW w:w="915"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42D2D6BA" w14:textId="77777777" w:rsidR="003F0EEA" w:rsidRPr="001167E1" w:rsidRDefault="00FB7D0B">
            <w:pPr>
              <w:jc w:val="right"/>
              <w:rPr>
                <w:rFonts w:ascii="Arial" w:eastAsia="Arial" w:hAnsi="Arial" w:cs="Arial"/>
                <w:b/>
                <w:color w:val="000000"/>
                <w:sz w:val="16"/>
              </w:rPr>
            </w:pPr>
            <w:r w:rsidRPr="001167E1">
              <w:rPr>
                <w:rFonts w:ascii="Arial" w:eastAsia="Arial" w:hAnsi="Arial" w:cs="Arial"/>
                <w:b/>
                <w:color w:val="000000"/>
                <w:sz w:val="16"/>
              </w:rPr>
              <w:t xml:space="preserve"> (33,350)</w:t>
            </w:r>
          </w:p>
        </w:tc>
        <w:tc>
          <w:tcPr>
            <w:tcW w:w="915" w:type="dxa"/>
            <w:tcBorders>
              <w:top w:val="single" w:sz="6" w:space="0" w:color="000000"/>
              <w:left w:val="nil"/>
              <w:bottom w:val="single" w:sz="6" w:space="0" w:color="000000"/>
              <w:right w:val="nil"/>
              <w:tl2br w:val="nil"/>
              <w:tr2bl w:val="nil"/>
            </w:tcBorders>
            <w:shd w:val="clear" w:color="auto" w:fill="FFFF00"/>
            <w:tcMar>
              <w:left w:w="101" w:type="dxa"/>
              <w:right w:w="101" w:type="dxa"/>
            </w:tcMar>
            <w:vAlign w:val="bottom"/>
          </w:tcPr>
          <w:p w14:paraId="2D846C19" w14:textId="77777777" w:rsidR="003F0EEA" w:rsidRPr="001167E1" w:rsidRDefault="00FB7D0B">
            <w:pPr>
              <w:jc w:val="right"/>
              <w:rPr>
                <w:rFonts w:ascii="Arial" w:eastAsia="Arial" w:hAnsi="Arial" w:cs="Arial"/>
                <w:b/>
                <w:color w:val="000000"/>
                <w:sz w:val="16"/>
              </w:rPr>
            </w:pPr>
            <w:r w:rsidRPr="001167E1">
              <w:rPr>
                <w:rFonts w:ascii="Arial" w:eastAsia="Arial" w:hAnsi="Arial" w:cs="Arial"/>
                <w:b/>
                <w:color w:val="000000"/>
                <w:sz w:val="16"/>
              </w:rPr>
              <w:t xml:space="preserve"> (17,886)</w:t>
            </w:r>
          </w:p>
        </w:tc>
        <w:tc>
          <w:tcPr>
            <w:tcW w:w="915"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4C33BC58" w14:textId="77777777" w:rsidR="003F0EEA" w:rsidRPr="001167E1" w:rsidRDefault="00FB7D0B">
            <w:pPr>
              <w:jc w:val="right"/>
              <w:rPr>
                <w:rFonts w:ascii="Arial" w:eastAsia="Arial" w:hAnsi="Arial" w:cs="Arial"/>
                <w:b/>
                <w:color w:val="000000"/>
                <w:sz w:val="16"/>
              </w:rPr>
            </w:pPr>
            <w:r w:rsidRPr="001167E1">
              <w:rPr>
                <w:rFonts w:ascii="Arial" w:eastAsia="Arial" w:hAnsi="Arial" w:cs="Arial"/>
                <w:b/>
                <w:color w:val="000000"/>
                <w:sz w:val="16"/>
              </w:rPr>
              <w:t xml:space="preserve"> (17,116)</w:t>
            </w:r>
          </w:p>
        </w:tc>
        <w:tc>
          <w:tcPr>
            <w:tcW w:w="915"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77CD5DD2" w14:textId="77777777" w:rsidR="003F0EEA" w:rsidRPr="001167E1" w:rsidRDefault="00FB7D0B">
            <w:pPr>
              <w:jc w:val="right"/>
              <w:rPr>
                <w:rFonts w:ascii="Arial" w:eastAsia="Arial" w:hAnsi="Arial" w:cs="Arial"/>
                <w:b/>
                <w:color w:val="000000"/>
                <w:sz w:val="16"/>
              </w:rPr>
            </w:pPr>
            <w:r w:rsidRPr="001167E1">
              <w:rPr>
                <w:rFonts w:ascii="Arial" w:eastAsia="Arial" w:hAnsi="Arial" w:cs="Arial"/>
                <w:b/>
                <w:color w:val="000000"/>
                <w:sz w:val="16"/>
              </w:rPr>
              <w:t xml:space="preserve"> (17,773)</w:t>
            </w:r>
          </w:p>
        </w:tc>
        <w:tc>
          <w:tcPr>
            <w:tcW w:w="915"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1C954A09" w14:textId="77777777" w:rsidR="003F0EEA" w:rsidRPr="001167E1" w:rsidRDefault="00FB7D0B">
            <w:pPr>
              <w:jc w:val="right"/>
              <w:rPr>
                <w:rFonts w:ascii="Arial" w:eastAsia="Arial" w:hAnsi="Arial" w:cs="Arial"/>
                <w:b/>
                <w:color w:val="000000"/>
                <w:sz w:val="16"/>
              </w:rPr>
            </w:pPr>
            <w:r w:rsidRPr="001167E1">
              <w:rPr>
                <w:rFonts w:ascii="Arial" w:eastAsia="Arial" w:hAnsi="Arial" w:cs="Arial"/>
                <w:b/>
                <w:color w:val="000000"/>
                <w:sz w:val="16"/>
              </w:rPr>
              <w:t xml:space="preserve"> (20,036)</w:t>
            </w:r>
          </w:p>
        </w:tc>
      </w:tr>
      <w:tr w:rsidR="00724034" w14:paraId="4F0A1331" w14:textId="77777777">
        <w:trPr>
          <w:trHeight w:hRule="exact" w:val="90"/>
        </w:trPr>
        <w:tc>
          <w:tcPr>
            <w:tcW w:w="180" w:type="dxa"/>
            <w:tcBorders>
              <w:top w:val="nil"/>
              <w:left w:val="nil"/>
              <w:bottom w:val="nil"/>
              <w:right w:val="nil"/>
              <w:tl2br w:val="nil"/>
              <w:tr2bl w:val="nil"/>
            </w:tcBorders>
            <w:shd w:val="clear" w:color="auto" w:fill="FFFFFF"/>
            <w:tcMar>
              <w:left w:w="101" w:type="dxa"/>
              <w:right w:w="101" w:type="dxa"/>
            </w:tcMar>
            <w:vAlign w:val="bottom"/>
          </w:tcPr>
          <w:p w14:paraId="66BF0635" w14:textId="77777777" w:rsidR="003F0EEA" w:rsidRPr="001167E1" w:rsidRDefault="003F0EEA">
            <w:pPr>
              <w:rPr>
                <w:rFonts w:ascii="Arial" w:eastAsia="Arial" w:hAnsi="Arial" w:cs="Arial"/>
                <w:b/>
                <w:color w:val="000000"/>
                <w:sz w:val="16"/>
              </w:rPr>
            </w:pPr>
          </w:p>
        </w:tc>
        <w:tc>
          <w:tcPr>
            <w:tcW w:w="2910" w:type="dxa"/>
            <w:tcBorders>
              <w:top w:val="nil"/>
              <w:left w:val="nil"/>
              <w:bottom w:val="nil"/>
              <w:right w:val="nil"/>
              <w:tl2br w:val="nil"/>
              <w:tr2bl w:val="nil"/>
            </w:tcBorders>
            <w:shd w:val="clear" w:color="auto" w:fill="FFFFFF"/>
            <w:tcMar>
              <w:left w:w="101" w:type="dxa"/>
              <w:right w:w="101" w:type="dxa"/>
            </w:tcMar>
            <w:vAlign w:val="bottom"/>
          </w:tcPr>
          <w:p w14:paraId="495E1411" w14:textId="77777777" w:rsidR="003F0EEA" w:rsidRPr="001167E1" w:rsidRDefault="003F0EEA">
            <w:pPr>
              <w:rPr>
                <w:rFonts w:ascii="Arial" w:eastAsia="Arial" w:hAnsi="Arial" w:cs="Arial"/>
                <w:color w:val="000000"/>
                <w:sz w:val="20"/>
              </w:rPr>
            </w:pPr>
          </w:p>
        </w:tc>
        <w:tc>
          <w:tcPr>
            <w:tcW w:w="91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3934B0D6" w14:textId="77777777" w:rsidR="003F0EEA" w:rsidRPr="001167E1" w:rsidRDefault="003F0EEA">
            <w:pPr>
              <w:rPr>
                <w:rFonts w:ascii="Arial" w:eastAsia="Arial" w:hAnsi="Arial" w:cs="Arial"/>
                <w:b/>
                <w:color w:val="000000"/>
                <w:sz w:val="16"/>
              </w:rPr>
            </w:pPr>
          </w:p>
        </w:tc>
        <w:tc>
          <w:tcPr>
            <w:tcW w:w="915" w:type="dxa"/>
            <w:tcBorders>
              <w:top w:val="single" w:sz="6" w:space="0" w:color="000000"/>
              <w:left w:val="nil"/>
              <w:bottom w:val="nil"/>
              <w:right w:val="nil"/>
              <w:tl2br w:val="nil"/>
              <w:tr2bl w:val="nil"/>
            </w:tcBorders>
            <w:shd w:val="clear" w:color="auto" w:fill="FFFF00"/>
            <w:tcMar>
              <w:left w:w="101" w:type="dxa"/>
              <w:right w:w="101" w:type="dxa"/>
            </w:tcMar>
            <w:vAlign w:val="bottom"/>
          </w:tcPr>
          <w:p w14:paraId="3570C15B" w14:textId="77777777" w:rsidR="003F0EEA" w:rsidRPr="001167E1" w:rsidRDefault="003F0EEA">
            <w:pPr>
              <w:rPr>
                <w:rFonts w:ascii="Arial" w:eastAsia="Arial" w:hAnsi="Arial" w:cs="Arial"/>
                <w:color w:val="000000"/>
                <w:sz w:val="16"/>
              </w:rPr>
            </w:pPr>
          </w:p>
        </w:tc>
        <w:tc>
          <w:tcPr>
            <w:tcW w:w="91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41B6A211" w14:textId="77777777" w:rsidR="003F0EEA" w:rsidRPr="001167E1" w:rsidRDefault="003F0EEA">
            <w:pPr>
              <w:rPr>
                <w:rFonts w:ascii="Arial" w:eastAsia="Arial" w:hAnsi="Arial" w:cs="Arial"/>
                <w:color w:val="000000"/>
                <w:sz w:val="16"/>
              </w:rPr>
            </w:pPr>
          </w:p>
        </w:tc>
        <w:tc>
          <w:tcPr>
            <w:tcW w:w="91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16743022" w14:textId="77777777" w:rsidR="003F0EEA" w:rsidRPr="001167E1" w:rsidRDefault="003F0EEA">
            <w:pPr>
              <w:rPr>
                <w:rFonts w:ascii="Arial" w:eastAsia="Arial" w:hAnsi="Arial" w:cs="Arial"/>
                <w:color w:val="000000"/>
                <w:sz w:val="16"/>
              </w:rPr>
            </w:pPr>
          </w:p>
        </w:tc>
        <w:tc>
          <w:tcPr>
            <w:tcW w:w="91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0267468C" w14:textId="77777777" w:rsidR="003F0EEA" w:rsidRPr="001167E1" w:rsidRDefault="003F0EEA">
            <w:pPr>
              <w:rPr>
                <w:rFonts w:ascii="Arial" w:eastAsia="Arial" w:hAnsi="Arial" w:cs="Arial"/>
                <w:color w:val="000000"/>
                <w:sz w:val="16"/>
              </w:rPr>
            </w:pPr>
          </w:p>
        </w:tc>
      </w:tr>
      <w:tr w:rsidR="00FB7D0B" w14:paraId="72ACDE1E" w14:textId="77777777" w:rsidTr="00FB7D0B">
        <w:trPr>
          <w:trHeight w:val="225"/>
        </w:trPr>
        <w:tc>
          <w:tcPr>
            <w:tcW w:w="3090" w:type="dxa"/>
            <w:gridSpan w:val="2"/>
            <w:tcBorders>
              <w:top w:val="nil"/>
              <w:left w:val="nil"/>
              <w:bottom w:val="nil"/>
              <w:right w:val="nil"/>
              <w:tl2br w:val="nil"/>
              <w:tr2bl w:val="nil"/>
            </w:tcBorders>
            <w:shd w:val="clear" w:color="auto" w:fill="FFFFFF"/>
            <w:tcMar>
              <w:left w:w="101" w:type="dxa"/>
              <w:right w:w="101" w:type="dxa"/>
            </w:tcMar>
            <w:vAlign w:val="bottom"/>
          </w:tcPr>
          <w:p w14:paraId="508F30B2" w14:textId="77777777" w:rsidR="003F0EEA" w:rsidRPr="001167E1" w:rsidRDefault="00FB7D0B">
            <w:pPr>
              <w:rPr>
                <w:rFonts w:ascii="Arial" w:eastAsia="Arial" w:hAnsi="Arial" w:cs="Arial"/>
                <w:color w:val="000000"/>
                <w:sz w:val="16"/>
              </w:rPr>
            </w:pPr>
            <w:r w:rsidRPr="001167E1">
              <w:rPr>
                <w:rFonts w:ascii="Arial" w:eastAsia="Arial" w:hAnsi="Arial" w:cs="Arial"/>
                <w:b/>
                <w:color w:val="000000"/>
                <w:sz w:val="16"/>
              </w:rPr>
              <w:t>FINANCING ACTIVITIES</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204BEABE" w14:textId="77777777" w:rsidR="003F0EEA" w:rsidRPr="001167E1" w:rsidRDefault="003F0EEA">
            <w:pPr>
              <w:rPr>
                <w:rFonts w:ascii="Arial" w:eastAsia="Arial" w:hAnsi="Arial" w:cs="Arial"/>
                <w:b/>
                <w:color w:val="000000"/>
                <w:sz w:val="16"/>
              </w:rPr>
            </w:pPr>
          </w:p>
        </w:tc>
        <w:tc>
          <w:tcPr>
            <w:tcW w:w="915" w:type="dxa"/>
            <w:tcBorders>
              <w:top w:val="nil"/>
              <w:left w:val="nil"/>
              <w:bottom w:val="nil"/>
              <w:right w:val="nil"/>
              <w:tl2br w:val="nil"/>
              <w:tr2bl w:val="nil"/>
            </w:tcBorders>
            <w:shd w:val="clear" w:color="auto" w:fill="FFFF00"/>
            <w:tcMar>
              <w:left w:w="101" w:type="dxa"/>
              <w:right w:w="101" w:type="dxa"/>
            </w:tcMar>
            <w:vAlign w:val="bottom"/>
          </w:tcPr>
          <w:p w14:paraId="1B7938D8" w14:textId="77777777" w:rsidR="003F0EEA" w:rsidRPr="001167E1" w:rsidRDefault="003F0EEA">
            <w:pPr>
              <w:rPr>
                <w:rFonts w:ascii="Arial" w:eastAsia="Arial" w:hAnsi="Arial" w:cs="Arial"/>
                <w:color w:val="000000"/>
                <w:sz w:val="16"/>
              </w:rPr>
            </w:pP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14866454" w14:textId="77777777" w:rsidR="003F0EEA" w:rsidRPr="001167E1" w:rsidRDefault="003F0EEA">
            <w:pPr>
              <w:rPr>
                <w:rFonts w:ascii="Arial" w:eastAsia="Arial" w:hAnsi="Arial" w:cs="Arial"/>
                <w:color w:val="000000"/>
                <w:sz w:val="16"/>
              </w:rPr>
            </w:pP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02C3A44A" w14:textId="77777777" w:rsidR="003F0EEA" w:rsidRPr="001167E1" w:rsidRDefault="003F0EEA">
            <w:pPr>
              <w:rPr>
                <w:rFonts w:ascii="Arial" w:eastAsia="Arial" w:hAnsi="Arial" w:cs="Arial"/>
                <w:color w:val="000000"/>
                <w:sz w:val="16"/>
              </w:rPr>
            </w:pP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26826015" w14:textId="77777777" w:rsidR="003F0EEA" w:rsidRPr="001167E1" w:rsidRDefault="003F0EEA">
            <w:pPr>
              <w:rPr>
                <w:rFonts w:ascii="Arial" w:eastAsia="Arial" w:hAnsi="Arial" w:cs="Arial"/>
                <w:color w:val="000000"/>
                <w:sz w:val="16"/>
              </w:rPr>
            </w:pPr>
          </w:p>
        </w:tc>
      </w:tr>
      <w:tr w:rsidR="00FB7D0B" w14:paraId="0D70BF1D" w14:textId="77777777" w:rsidTr="00FB7D0B">
        <w:trPr>
          <w:trHeight w:val="225"/>
        </w:trPr>
        <w:tc>
          <w:tcPr>
            <w:tcW w:w="3090" w:type="dxa"/>
            <w:gridSpan w:val="2"/>
            <w:tcBorders>
              <w:top w:val="nil"/>
              <w:left w:val="nil"/>
              <w:bottom w:val="nil"/>
              <w:right w:val="nil"/>
              <w:tl2br w:val="nil"/>
              <w:tr2bl w:val="nil"/>
            </w:tcBorders>
            <w:shd w:val="clear" w:color="auto" w:fill="FFFFFF"/>
            <w:tcMar>
              <w:left w:w="101" w:type="dxa"/>
              <w:right w:w="101" w:type="dxa"/>
            </w:tcMar>
            <w:vAlign w:val="bottom"/>
          </w:tcPr>
          <w:p w14:paraId="6CD22998" w14:textId="77777777" w:rsidR="003F0EEA" w:rsidRPr="001167E1" w:rsidRDefault="00FB7D0B">
            <w:pPr>
              <w:rPr>
                <w:rFonts w:ascii="Arial" w:eastAsia="Arial" w:hAnsi="Arial" w:cs="Arial"/>
                <w:color w:val="000000"/>
                <w:sz w:val="16"/>
              </w:rPr>
            </w:pPr>
            <w:r w:rsidRPr="001167E1">
              <w:rPr>
                <w:rFonts w:ascii="Arial" w:eastAsia="Arial" w:hAnsi="Arial" w:cs="Arial"/>
                <w:b/>
                <w:color w:val="000000"/>
                <w:sz w:val="16"/>
              </w:rPr>
              <w:t>Cash received</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5592A06E" w14:textId="77777777" w:rsidR="003F0EEA" w:rsidRPr="001167E1" w:rsidRDefault="003F0EEA">
            <w:pPr>
              <w:rPr>
                <w:rFonts w:ascii="Arial" w:eastAsia="Arial" w:hAnsi="Arial" w:cs="Arial"/>
                <w:b/>
                <w:color w:val="000000"/>
                <w:sz w:val="16"/>
              </w:rPr>
            </w:pPr>
          </w:p>
        </w:tc>
        <w:tc>
          <w:tcPr>
            <w:tcW w:w="915" w:type="dxa"/>
            <w:tcBorders>
              <w:top w:val="nil"/>
              <w:left w:val="nil"/>
              <w:bottom w:val="nil"/>
              <w:right w:val="nil"/>
              <w:tl2br w:val="nil"/>
              <w:tr2bl w:val="nil"/>
            </w:tcBorders>
            <w:shd w:val="clear" w:color="auto" w:fill="FFFF00"/>
            <w:tcMar>
              <w:left w:w="101" w:type="dxa"/>
              <w:right w:w="101" w:type="dxa"/>
            </w:tcMar>
            <w:vAlign w:val="bottom"/>
          </w:tcPr>
          <w:p w14:paraId="752191AC" w14:textId="77777777" w:rsidR="003F0EEA" w:rsidRPr="001167E1" w:rsidRDefault="003F0EEA">
            <w:pPr>
              <w:rPr>
                <w:rFonts w:ascii="Arial" w:eastAsia="Arial" w:hAnsi="Arial" w:cs="Arial"/>
                <w:color w:val="000000"/>
                <w:sz w:val="16"/>
              </w:rPr>
            </w:pP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23DE5B0A" w14:textId="77777777" w:rsidR="003F0EEA" w:rsidRPr="001167E1" w:rsidRDefault="003F0EEA">
            <w:pPr>
              <w:rPr>
                <w:rFonts w:ascii="Arial" w:eastAsia="Arial" w:hAnsi="Arial" w:cs="Arial"/>
                <w:color w:val="000000"/>
                <w:sz w:val="16"/>
              </w:rPr>
            </w:pP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2457434F" w14:textId="77777777" w:rsidR="003F0EEA" w:rsidRPr="001167E1" w:rsidRDefault="003F0EEA">
            <w:pPr>
              <w:rPr>
                <w:rFonts w:ascii="Arial" w:eastAsia="Arial" w:hAnsi="Arial" w:cs="Arial"/>
                <w:color w:val="000000"/>
                <w:sz w:val="16"/>
              </w:rPr>
            </w:pP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42BDFBC6" w14:textId="77777777" w:rsidR="003F0EEA" w:rsidRPr="001167E1" w:rsidRDefault="003F0EEA">
            <w:pPr>
              <w:rPr>
                <w:rFonts w:ascii="Arial" w:eastAsia="Arial" w:hAnsi="Arial" w:cs="Arial"/>
                <w:color w:val="000000"/>
                <w:sz w:val="16"/>
              </w:rPr>
            </w:pPr>
          </w:p>
        </w:tc>
      </w:tr>
      <w:tr w:rsidR="00724034" w14:paraId="50066C4A" w14:textId="77777777">
        <w:trPr>
          <w:trHeight w:val="225"/>
        </w:trPr>
        <w:tc>
          <w:tcPr>
            <w:tcW w:w="180" w:type="dxa"/>
            <w:tcBorders>
              <w:top w:val="nil"/>
              <w:left w:val="nil"/>
              <w:bottom w:val="nil"/>
              <w:right w:val="nil"/>
              <w:tl2br w:val="nil"/>
              <w:tr2bl w:val="nil"/>
            </w:tcBorders>
            <w:shd w:val="clear" w:color="auto" w:fill="FFFFFF"/>
            <w:tcMar>
              <w:left w:w="101" w:type="dxa"/>
              <w:right w:w="101" w:type="dxa"/>
            </w:tcMar>
            <w:vAlign w:val="bottom"/>
          </w:tcPr>
          <w:p w14:paraId="39606964" w14:textId="77777777" w:rsidR="003F0EEA" w:rsidRPr="001167E1" w:rsidRDefault="003F0EEA">
            <w:pPr>
              <w:rPr>
                <w:rFonts w:ascii="Arial" w:eastAsia="Arial" w:hAnsi="Arial" w:cs="Arial"/>
                <w:color w:val="000000"/>
                <w:sz w:val="16"/>
              </w:rPr>
            </w:pPr>
          </w:p>
        </w:tc>
        <w:tc>
          <w:tcPr>
            <w:tcW w:w="2910" w:type="dxa"/>
            <w:tcBorders>
              <w:top w:val="nil"/>
              <w:left w:val="nil"/>
              <w:bottom w:val="nil"/>
              <w:right w:val="nil"/>
              <w:tl2br w:val="nil"/>
              <w:tr2bl w:val="nil"/>
            </w:tcBorders>
            <w:shd w:val="clear" w:color="auto" w:fill="FFFFFF"/>
            <w:tcMar>
              <w:left w:w="101" w:type="dxa"/>
              <w:right w:w="101" w:type="dxa"/>
            </w:tcMar>
            <w:vAlign w:val="bottom"/>
          </w:tcPr>
          <w:p w14:paraId="42B80176" w14:textId="77777777" w:rsidR="003F0EEA" w:rsidRPr="001167E1" w:rsidRDefault="00FB7D0B">
            <w:pPr>
              <w:rPr>
                <w:rFonts w:ascii="Arial" w:eastAsia="Arial" w:hAnsi="Arial" w:cs="Arial"/>
                <w:color w:val="000000"/>
                <w:sz w:val="20"/>
              </w:rPr>
            </w:pPr>
            <w:r w:rsidRPr="001167E1">
              <w:rPr>
                <w:rFonts w:ascii="Arial" w:eastAsia="Arial" w:hAnsi="Arial" w:cs="Arial"/>
                <w:color w:val="000000"/>
                <w:sz w:val="16"/>
              </w:rPr>
              <w:t>Equity Injections</w:t>
            </w:r>
          </w:p>
        </w:tc>
        <w:tc>
          <w:tcPr>
            <w:tcW w:w="915"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281CE76E" w14:textId="77777777" w:rsidR="003F0EEA" w:rsidRPr="001167E1" w:rsidRDefault="00FB7D0B">
            <w:pPr>
              <w:jc w:val="right"/>
              <w:rPr>
                <w:rFonts w:ascii="Arial" w:eastAsia="Arial" w:hAnsi="Arial" w:cs="Arial"/>
                <w:color w:val="000000"/>
                <w:sz w:val="16"/>
              </w:rPr>
            </w:pPr>
            <w:r w:rsidRPr="001167E1">
              <w:rPr>
                <w:rFonts w:ascii="Arial" w:eastAsia="Arial" w:hAnsi="Arial" w:cs="Arial"/>
                <w:color w:val="000000"/>
                <w:sz w:val="16"/>
              </w:rPr>
              <w:t xml:space="preserve"> 26,140 </w:t>
            </w:r>
          </w:p>
        </w:tc>
        <w:tc>
          <w:tcPr>
            <w:tcW w:w="915" w:type="dxa"/>
            <w:tcBorders>
              <w:top w:val="nil"/>
              <w:left w:val="nil"/>
              <w:bottom w:val="single" w:sz="6" w:space="0" w:color="000000"/>
              <w:right w:val="nil"/>
              <w:tl2br w:val="nil"/>
              <w:tr2bl w:val="nil"/>
            </w:tcBorders>
            <w:shd w:val="clear" w:color="auto" w:fill="FFFF00"/>
            <w:tcMar>
              <w:left w:w="101" w:type="dxa"/>
              <w:right w:w="101" w:type="dxa"/>
            </w:tcMar>
            <w:vAlign w:val="bottom"/>
          </w:tcPr>
          <w:p w14:paraId="77E73F73" w14:textId="77777777" w:rsidR="003F0EEA" w:rsidRPr="001167E1" w:rsidRDefault="00FB7D0B">
            <w:pPr>
              <w:jc w:val="right"/>
              <w:rPr>
                <w:rFonts w:ascii="Arial" w:eastAsia="Arial" w:hAnsi="Arial" w:cs="Arial"/>
                <w:color w:val="000000"/>
                <w:sz w:val="16"/>
              </w:rPr>
            </w:pPr>
            <w:r w:rsidRPr="001167E1">
              <w:rPr>
                <w:rFonts w:ascii="Arial" w:eastAsia="Arial" w:hAnsi="Arial" w:cs="Arial"/>
                <w:color w:val="000000"/>
                <w:sz w:val="16"/>
              </w:rPr>
              <w:t xml:space="preserve"> 16,086 </w:t>
            </w:r>
          </w:p>
        </w:tc>
        <w:tc>
          <w:tcPr>
            <w:tcW w:w="915"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7D7A0C78" w14:textId="77777777" w:rsidR="003F0EEA" w:rsidRPr="001167E1" w:rsidRDefault="00FB7D0B">
            <w:pPr>
              <w:jc w:val="right"/>
              <w:rPr>
                <w:rFonts w:ascii="Arial" w:eastAsia="Arial" w:hAnsi="Arial" w:cs="Arial"/>
                <w:color w:val="000000"/>
                <w:sz w:val="16"/>
              </w:rPr>
            </w:pPr>
            <w:r w:rsidRPr="001167E1">
              <w:rPr>
                <w:rFonts w:ascii="Arial" w:eastAsia="Arial" w:hAnsi="Arial" w:cs="Arial"/>
                <w:color w:val="000000"/>
                <w:sz w:val="16"/>
              </w:rPr>
              <w:t xml:space="preserve"> 14,116 </w:t>
            </w:r>
          </w:p>
        </w:tc>
        <w:tc>
          <w:tcPr>
            <w:tcW w:w="915"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4E3D54CC" w14:textId="77777777" w:rsidR="003F0EEA" w:rsidRPr="001167E1" w:rsidRDefault="00FB7D0B">
            <w:pPr>
              <w:jc w:val="right"/>
              <w:rPr>
                <w:rFonts w:ascii="Arial" w:eastAsia="Arial" w:hAnsi="Arial" w:cs="Arial"/>
                <w:color w:val="000000"/>
                <w:sz w:val="16"/>
              </w:rPr>
            </w:pPr>
            <w:r w:rsidRPr="001167E1">
              <w:rPr>
                <w:rFonts w:ascii="Arial" w:eastAsia="Arial" w:hAnsi="Arial" w:cs="Arial"/>
                <w:color w:val="000000"/>
                <w:sz w:val="16"/>
              </w:rPr>
              <w:t xml:space="preserve"> 13,373 </w:t>
            </w:r>
          </w:p>
        </w:tc>
        <w:tc>
          <w:tcPr>
            <w:tcW w:w="915"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21EB0408" w14:textId="77777777" w:rsidR="003F0EEA" w:rsidRPr="001167E1" w:rsidRDefault="00FB7D0B">
            <w:pPr>
              <w:jc w:val="right"/>
              <w:rPr>
                <w:rFonts w:ascii="Arial" w:eastAsia="Arial" w:hAnsi="Arial" w:cs="Arial"/>
                <w:color w:val="000000"/>
                <w:sz w:val="16"/>
              </w:rPr>
            </w:pPr>
            <w:r w:rsidRPr="001167E1">
              <w:rPr>
                <w:rFonts w:ascii="Arial" w:eastAsia="Arial" w:hAnsi="Arial" w:cs="Arial"/>
                <w:color w:val="000000"/>
                <w:sz w:val="16"/>
              </w:rPr>
              <w:t xml:space="preserve"> 14,036 </w:t>
            </w:r>
          </w:p>
        </w:tc>
      </w:tr>
      <w:tr w:rsidR="00FB7D0B" w14:paraId="56FC4611" w14:textId="77777777" w:rsidTr="00FB7D0B">
        <w:trPr>
          <w:trHeight w:val="225"/>
        </w:trPr>
        <w:tc>
          <w:tcPr>
            <w:tcW w:w="3090" w:type="dxa"/>
            <w:gridSpan w:val="2"/>
            <w:tcBorders>
              <w:top w:val="nil"/>
              <w:left w:val="nil"/>
              <w:bottom w:val="nil"/>
              <w:right w:val="nil"/>
              <w:tl2br w:val="nil"/>
              <w:tr2bl w:val="nil"/>
            </w:tcBorders>
            <w:shd w:val="clear" w:color="auto" w:fill="FFFFFF"/>
            <w:tcMar>
              <w:left w:w="101" w:type="dxa"/>
              <w:right w:w="101" w:type="dxa"/>
            </w:tcMar>
            <w:vAlign w:val="bottom"/>
          </w:tcPr>
          <w:p w14:paraId="2175345E" w14:textId="77777777" w:rsidR="003F0EEA" w:rsidRPr="001167E1" w:rsidRDefault="00FB7D0B">
            <w:pPr>
              <w:rPr>
                <w:rFonts w:ascii="Arial" w:eastAsia="Arial" w:hAnsi="Arial" w:cs="Arial"/>
                <w:color w:val="000000"/>
                <w:sz w:val="16"/>
              </w:rPr>
            </w:pPr>
            <w:r w:rsidRPr="001167E1">
              <w:rPr>
                <w:rFonts w:ascii="Arial" w:eastAsia="Arial" w:hAnsi="Arial" w:cs="Arial"/>
                <w:b/>
                <w:i/>
                <w:color w:val="000000"/>
                <w:sz w:val="16"/>
              </w:rPr>
              <w:t>Total cash received</w:t>
            </w:r>
          </w:p>
        </w:tc>
        <w:tc>
          <w:tcPr>
            <w:tcW w:w="915"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2866B9B0" w14:textId="77777777" w:rsidR="003F0EEA" w:rsidRPr="001167E1" w:rsidRDefault="00FB7D0B">
            <w:pPr>
              <w:jc w:val="right"/>
              <w:rPr>
                <w:rFonts w:ascii="Arial" w:eastAsia="Arial" w:hAnsi="Arial" w:cs="Arial"/>
                <w:b/>
                <w:i/>
                <w:color w:val="000000"/>
                <w:sz w:val="16"/>
              </w:rPr>
            </w:pPr>
            <w:r w:rsidRPr="001167E1">
              <w:rPr>
                <w:rFonts w:ascii="Arial" w:eastAsia="Arial" w:hAnsi="Arial" w:cs="Arial"/>
                <w:b/>
                <w:color w:val="000000"/>
                <w:sz w:val="16"/>
              </w:rPr>
              <w:t xml:space="preserve"> 26,140 </w:t>
            </w:r>
          </w:p>
        </w:tc>
        <w:tc>
          <w:tcPr>
            <w:tcW w:w="915" w:type="dxa"/>
            <w:tcBorders>
              <w:top w:val="single" w:sz="6" w:space="0" w:color="000000"/>
              <w:left w:val="nil"/>
              <w:bottom w:val="single" w:sz="6" w:space="0" w:color="000000"/>
              <w:right w:val="nil"/>
              <w:tl2br w:val="nil"/>
              <w:tr2bl w:val="nil"/>
            </w:tcBorders>
            <w:shd w:val="clear" w:color="auto" w:fill="FFFF00"/>
            <w:tcMar>
              <w:left w:w="101" w:type="dxa"/>
              <w:right w:w="101" w:type="dxa"/>
            </w:tcMar>
            <w:vAlign w:val="bottom"/>
          </w:tcPr>
          <w:p w14:paraId="07EE6FFB" w14:textId="77777777" w:rsidR="003F0EEA" w:rsidRPr="001167E1" w:rsidRDefault="00FB7D0B">
            <w:pPr>
              <w:jc w:val="right"/>
              <w:rPr>
                <w:rFonts w:ascii="Arial" w:eastAsia="Arial" w:hAnsi="Arial" w:cs="Arial"/>
                <w:b/>
                <w:color w:val="000000"/>
                <w:sz w:val="16"/>
              </w:rPr>
            </w:pPr>
            <w:r w:rsidRPr="001167E1">
              <w:rPr>
                <w:rFonts w:ascii="Arial" w:eastAsia="Arial" w:hAnsi="Arial" w:cs="Arial"/>
                <w:b/>
                <w:color w:val="000000"/>
                <w:sz w:val="16"/>
              </w:rPr>
              <w:t xml:space="preserve"> 16,086 </w:t>
            </w:r>
          </w:p>
        </w:tc>
        <w:tc>
          <w:tcPr>
            <w:tcW w:w="915"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614A97E5" w14:textId="77777777" w:rsidR="003F0EEA" w:rsidRPr="001167E1" w:rsidRDefault="00FB7D0B">
            <w:pPr>
              <w:jc w:val="right"/>
              <w:rPr>
                <w:rFonts w:ascii="Arial" w:eastAsia="Arial" w:hAnsi="Arial" w:cs="Arial"/>
                <w:b/>
                <w:color w:val="000000"/>
                <w:sz w:val="16"/>
              </w:rPr>
            </w:pPr>
            <w:r w:rsidRPr="001167E1">
              <w:rPr>
                <w:rFonts w:ascii="Arial" w:eastAsia="Arial" w:hAnsi="Arial" w:cs="Arial"/>
                <w:b/>
                <w:color w:val="000000"/>
                <w:sz w:val="16"/>
              </w:rPr>
              <w:t xml:space="preserve"> 14,116 </w:t>
            </w:r>
          </w:p>
        </w:tc>
        <w:tc>
          <w:tcPr>
            <w:tcW w:w="915"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05B21060" w14:textId="77777777" w:rsidR="003F0EEA" w:rsidRPr="001167E1" w:rsidRDefault="00FB7D0B">
            <w:pPr>
              <w:jc w:val="right"/>
              <w:rPr>
                <w:rFonts w:ascii="Arial" w:eastAsia="Arial" w:hAnsi="Arial" w:cs="Arial"/>
                <w:b/>
                <w:color w:val="000000"/>
                <w:sz w:val="16"/>
              </w:rPr>
            </w:pPr>
            <w:r w:rsidRPr="001167E1">
              <w:rPr>
                <w:rFonts w:ascii="Arial" w:eastAsia="Arial" w:hAnsi="Arial" w:cs="Arial"/>
                <w:b/>
                <w:color w:val="000000"/>
                <w:sz w:val="16"/>
              </w:rPr>
              <w:t xml:space="preserve"> 13,373 </w:t>
            </w:r>
          </w:p>
        </w:tc>
        <w:tc>
          <w:tcPr>
            <w:tcW w:w="915"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1B2AE0BC" w14:textId="77777777" w:rsidR="003F0EEA" w:rsidRPr="001167E1" w:rsidRDefault="00FB7D0B">
            <w:pPr>
              <w:jc w:val="right"/>
              <w:rPr>
                <w:rFonts w:ascii="Arial" w:eastAsia="Arial" w:hAnsi="Arial" w:cs="Arial"/>
                <w:b/>
                <w:color w:val="000000"/>
                <w:sz w:val="16"/>
              </w:rPr>
            </w:pPr>
            <w:r w:rsidRPr="001167E1">
              <w:rPr>
                <w:rFonts w:ascii="Arial" w:eastAsia="Arial" w:hAnsi="Arial" w:cs="Arial"/>
                <w:b/>
                <w:color w:val="000000"/>
                <w:sz w:val="16"/>
              </w:rPr>
              <w:t xml:space="preserve"> 14,036 </w:t>
            </w:r>
          </w:p>
        </w:tc>
      </w:tr>
      <w:tr w:rsidR="00724034" w14:paraId="1CCF56F8" w14:textId="77777777">
        <w:trPr>
          <w:trHeight w:hRule="exact" w:val="90"/>
        </w:trPr>
        <w:tc>
          <w:tcPr>
            <w:tcW w:w="180" w:type="dxa"/>
            <w:tcBorders>
              <w:top w:val="nil"/>
              <w:left w:val="nil"/>
              <w:bottom w:val="nil"/>
              <w:right w:val="nil"/>
              <w:tl2br w:val="nil"/>
              <w:tr2bl w:val="nil"/>
            </w:tcBorders>
            <w:shd w:val="clear" w:color="auto" w:fill="FFFFFF"/>
            <w:tcMar>
              <w:left w:w="101" w:type="dxa"/>
              <w:right w:w="101" w:type="dxa"/>
            </w:tcMar>
            <w:vAlign w:val="bottom"/>
          </w:tcPr>
          <w:p w14:paraId="2718D5BD" w14:textId="77777777" w:rsidR="003F0EEA" w:rsidRPr="001167E1" w:rsidRDefault="003F0EEA">
            <w:pPr>
              <w:rPr>
                <w:rFonts w:ascii="Arial" w:eastAsia="Arial" w:hAnsi="Arial" w:cs="Arial"/>
                <w:b/>
                <w:color w:val="000000"/>
                <w:sz w:val="16"/>
              </w:rPr>
            </w:pPr>
          </w:p>
        </w:tc>
        <w:tc>
          <w:tcPr>
            <w:tcW w:w="2910" w:type="dxa"/>
            <w:tcBorders>
              <w:top w:val="nil"/>
              <w:left w:val="nil"/>
              <w:bottom w:val="nil"/>
              <w:right w:val="nil"/>
              <w:tl2br w:val="nil"/>
              <w:tr2bl w:val="nil"/>
            </w:tcBorders>
            <w:shd w:val="clear" w:color="auto" w:fill="FFFFFF"/>
            <w:tcMar>
              <w:left w:w="101" w:type="dxa"/>
              <w:right w:w="101" w:type="dxa"/>
            </w:tcMar>
            <w:vAlign w:val="bottom"/>
          </w:tcPr>
          <w:p w14:paraId="7ECC8C26" w14:textId="77777777" w:rsidR="003F0EEA" w:rsidRPr="001167E1" w:rsidRDefault="003F0EEA">
            <w:pPr>
              <w:rPr>
                <w:rFonts w:ascii="Arial" w:eastAsia="Arial" w:hAnsi="Arial" w:cs="Arial"/>
                <w:color w:val="000000"/>
                <w:sz w:val="20"/>
              </w:rPr>
            </w:pPr>
          </w:p>
        </w:tc>
        <w:tc>
          <w:tcPr>
            <w:tcW w:w="91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08297B81" w14:textId="77777777" w:rsidR="003F0EEA" w:rsidRPr="001167E1" w:rsidRDefault="003F0EEA">
            <w:pPr>
              <w:rPr>
                <w:rFonts w:ascii="Arial" w:eastAsia="Arial" w:hAnsi="Arial" w:cs="Arial"/>
                <w:color w:val="000000"/>
                <w:sz w:val="16"/>
              </w:rPr>
            </w:pPr>
          </w:p>
        </w:tc>
        <w:tc>
          <w:tcPr>
            <w:tcW w:w="915" w:type="dxa"/>
            <w:tcBorders>
              <w:top w:val="single" w:sz="6" w:space="0" w:color="000000"/>
              <w:left w:val="nil"/>
              <w:bottom w:val="nil"/>
              <w:right w:val="nil"/>
              <w:tl2br w:val="nil"/>
              <w:tr2bl w:val="nil"/>
            </w:tcBorders>
            <w:shd w:val="clear" w:color="auto" w:fill="FFFF00"/>
            <w:tcMar>
              <w:left w:w="101" w:type="dxa"/>
              <w:right w:w="101" w:type="dxa"/>
            </w:tcMar>
            <w:vAlign w:val="bottom"/>
          </w:tcPr>
          <w:p w14:paraId="3A73B458" w14:textId="77777777" w:rsidR="003F0EEA" w:rsidRPr="001167E1" w:rsidRDefault="003F0EEA">
            <w:pPr>
              <w:rPr>
                <w:rFonts w:ascii="Arial" w:eastAsia="Arial" w:hAnsi="Arial" w:cs="Arial"/>
                <w:color w:val="000000"/>
                <w:sz w:val="16"/>
              </w:rPr>
            </w:pPr>
          </w:p>
        </w:tc>
        <w:tc>
          <w:tcPr>
            <w:tcW w:w="91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03DA5B74" w14:textId="77777777" w:rsidR="003F0EEA" w:rsidRPr="001167E1" w:rsidRDefault="003F0EEA">
            <w:pPr>
              <w:rPr>
                <w:rFonts w:ascii="Arial" w:eastAsia="Arial" w:hAnsi="Arial" w:cs="Arial"/>
                <w:color w:val="000000"/>
                <w:sz w:val="16"/>
              </w:rPr>
            </w:pPr>
          </w:p>
        </w:tc>
        <w:tc>
          <w:tcPr>
            <w:tcW w:w="91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6AF32F8E" w14:textId="77777777" w:rsidR="003F0EEA" w:rsidRPr="001167E1" w:rsidRDefault="003F0EEA">
            <w:pPr>
              <w:rPr>
                <w:rFonts w:ascii="Arial" w:eastAsia="Arial" w:hAnsi="Arial" w:cs="Arial"/>
                <w:color w:val="000000"/>
                <w:sz w:val="16"/>
              </w:rPr>
            </w:pPr>
          </w:p>
        </w:tc>
        <w:tc>
          <w:tcPr>
            <w:tcW w:w="91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0E744031" w14:textId="77777777" w:rsidR="003F0EEA" w:rsidRPr="001167E1" w:rsidRDefault="003F0EEA">
            <w:pPr>
              <w:rPr>
                <w:rFonts w:ascii="Arial" w:eastAsia="Arial" w:hAnsi="Arial" w:cs="Arial"/>
                <w:color w:val="000000"/>
                <w:sz w:val="16"/>
              </w:rPr>
            </w:pPr>
          </w:p>
        </w:tc>
      </w:tr>
      <w:tr w:rsidR="00FB7D0B" w14:paraId="6F39A33B" w14:textId="77777777" w:rsidTr="00FB7D0B">
        <w:trPr>
          <w:trHeight w:val="225"/>
        </w:trPr>
        <w:tc>
          <w:tcPr>
            <w:tcW w:w="3090" w:type="dxa"/>
            <w:gridSpan w:val="2"/>
            <w:tcBorders>
              <w:top w:val="nil"/>
              <w:left w:val="nil"/>
              <w:bottom w:val="nil"/>
              <w:right w:val="nil"/>
              <w:tl2br w:val="nil"/>
              <w:tr2bl w:val="nil"/>
            </w:tcBorders>
            <w:shd w:val="clear" w:color="auto" w:fill="FFFFFF"/>
            <w:tcMar>
              <w:left w:w="101" w:type="dxa"/>
              <w:right w:w="101" w:type="dxa"/>
            </w:tcMar>
            <w:vAlign w:val="bottom"/>
          </w:tcPr>
          <w:p w14:paraId="5948204A" w14:textId="77777777" w:rsidR="003F0EEA" w:rsidRPr="001167E1" w:rsidRDefault="00FB7D0B">
            <w:pPr>
              <w:rPr>
                <w:rFonts w:ascii="Arial" w:eastAsia="Arial" w:hAnsi="Arial" w:cs="Arial"/>
                <w:color w:val="000000"/>
                <w:sz w:val="16"/>
              </w:rPr>
            </w:pPr>
            <w:r w:rsidRPr="001167E1">
              <w:rPr>
                <w:rFonts w:ascii="Arial" w:eastAsia="Arial" w:hAnsi="Arial" w:cs="Arial"/>
                <w:b/>
                <w:color w:val="000000"/>
                <w:sz w:val="16"/>
              </w:rPr>
              <w:t xml:space="preserve">Net cash from or (used by)  </w:t>
            </w:r>
          </w:p>
        </w:tc>
        <w:tc>
          <w:tcPr>
            <w:tcW w:w="915"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3F0B9990" w14:textId="77777777" w:rsidR="003F0EEA" w:rsidRPr="001167E1" w:rsidRDefault="003F0EEA">
            <w:pPr>
              <w:rPr>
                <w:rFonts w:ascii="Arial" w:eastAsia="Arial" w:hAnsi="Arial" w:cs="Arial"/>
                <w:b/>
                <w:color w:val="000000"/>
                <w:sz w:val="16"/>
              </w:rPr>
            </w:pPr>
          </w:p>
        </w:tc>
        <w:tc>
          <w:tcPr>
            <w:tcW w:w="915" w:type="dxa"/>
            <w:tcBorders>
              <w:top w:val="nil"/>
              <w:left w:val="nil"/>
              <w:bottom w:val="single" w:sz="6" w:space="0" w:color="000000"/>
              <w:right w:val="nil"/>
              <w:tl2br w:val="nil"/>
              <w:tr2bl w:val="nil"/>
            </w:tcBorders>
            <w:shd w:val="clear" w:color="auto" w:fill="FFFF00"/>
            <w:tcMar>
              <w:left w:w="101" w:type="dxa"/>
              <w:right w:w="101" w:type="dxa"/>
            </w:tcMar>
            <w:vAlign w:val="bottom"/>
          </w:tcPr>
          <w:p w14:paraId="3B0F0B9E" w14:textId="77777777" w:rsidR="003F0EEA" w:rsidRPr="001167E1" w:rsidRDefault="003F0EEA">
            <w:pPr>
              <w:rPr>
                <w:rFonts w:ascii="Arial" w:eastAsia="Arial" w:hAnsi="Arial" w:cs="Arial"/>
                <w:color w:val="000000"/>
                <w:sz w:val="16"/>
              </w:rPr>
            </w:pPr>
          </w:p>
        </w:tc>
        <w:tc>
          <w:tcPr>
            <w:tcW w:w="915"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4B3D923A" w14:textId="77777777" w:rsidR="003F0EEA" w:rsidRPr="001167E1" w:rsidRDefault="003F0EEA">
            <w:pPr>
              <w:rPr>
                <w:rFonts w:ascii="Arial" w:eastAsia="Arial" w:hAnsi="Arial" w:cs="Arial"/>
                <w:color w:val="000000"/>
                <w:sz w:val="16"/>
              </w:rPr>
            </w:pPr>
          </w:p>
        </w:tc>
        <w:tc>
          <w:tcPr>
            <w:tcW w:w="915"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141F8F25" w14:textId="77777777" w:rsidR="003F0EEA" w:rsidRPr="001167E1" w:rsidRDefault="003F0EEA">
            <w:pPr>
              <w:rPr>
                <w:rFonts w:ascii="Arial" w:eastAsia="Arial" w:hAnsi="Arial" w:cs="Arial"/>
                <w:color w:val="000000"/>
                <w:sz w:val="16"/>
              </w:rPr>
            </w:pPr>
          </w:p>
        </w:tc>
        <w:tc>
          <w:tcPr>
            <w:tcW w:w="915"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19C32A47" w14:textId="77777777" w:rsidR="003F0EEA" w:rsidRPr="001167E1" w:rsidRDefault="003F0EEA">
            <w:pPr>
              <w:rPr>
                <w:rFonts w:ascii="Arial" w:eastAsia="Arial" w:hAnsi="Arial" w:cs="Arial"/>
                <w:color w:val="000000"/>
                <w:sz w:val="16"/>
              </w:rPr>
            </w:pPr>
          </w:p>
        </w:tc>
      </w:tr>
      <w:tr w:rsidR="00724034" w14:paraId="41EE63F5" w14:textId="77777777">
        <w:trPr>
          <w:trHeight w:val="225"/>
        </w:trPr>
        <w:tc>
          <w:tcPr>
            <w:tcW w:w="180" w:type="dxa"/>
            <w:tcBorders>
              <w:top w:val="nil"/>
              <w:left w:val="nil"/>
              <w:bottom w:val="nil"/>
              <w:right w:val="nil"/>
              <w:tl2br w:val="nil"/>
              <w:tr2bl w:val="nil"/>
            </w:tcBorders>
            <w:shd w:val="clear" w:color="auto" w:fill="FFFFFF"/>
            <w:tcMar>
              <w:left w:w="101" w:type="dxa"/>
              <w:right w:w="101" w:type="dxa"/>
            </w:tcMar>
            <w:vAlign w:val="bottom"/>
          </w:tcPr>
          <w:p w14:paraId="11380C8B" w14:textId="77777777" w:rsidR="003F0EEA" w:rsidRPr="001167E1" w:rsidRDefault="003F0EEA">
            <w:pPr>
              <w:rPr>
                <w:rFonts w:ascii="Arial" w:eastAsia="Arial" w:hAnsi="Arial" w:cs="Arial"/>
                <w:color w:val="000000"/>
                <w:sz w:val="16"/>
              </w:rPr>
            </w:pPr>
          </w:p>
        </w:tc>
        <w:tc>
          <w:tcPr>
            <w:tcW w:w="2910" w:type="dxa"/>
            <w:tcBorders>
              <w:top w:val="nil"/>
              <w:left w:val="nil"/>
              <w:bottom w:val="nil"/>
              <w:right w:val="nil"/>
              <w:tl2br w:val="nil"/>
              <w:tr2bl w:val="nil"/>
            </w:tcBorders>
            <w:shd w:val="clear" w:color="auto" w:fill="FFFFFF"/>
            <w:tcMar>
              <w:left w:w="101" w:type="dxa"/>
              <w:right w:w="101" w:type="dxa"/>
            </w:tcMar>
            <w:vAlign w:val="bottom"/>
          </w:tcPr>
          <w:p w14:paraId="2E45D896" w14:textId="77777777" w:rsidR="003F0EEA" w:rsidRPr="001167E1" w:rsidRDefault="00FB7D0B">
            <w:pPr>
              <w:rPr>
                <w:rFonts w:ascii="Arial" w:eastAsia="Arial" w:hAnsi="Arial" w:cs="Arial"/>
                <w:color w:val="000000"/>
                <w:sz w:val="20"/>
              </w:rPr>
            </w:pPr>
            <w:r w:rsidRPr="001167E1">
              <w:rPr>
                <w:rFonts w:ascii="Arial" w:eastAsia="Arial" w:hAnsi="Arial" w:cs="Arial"/>
                <w:b/>
                <w:color w:val="000000"/>
                <w:sz w:val="16"/>
              </w:rPr>
              <w:t>financing activities</w:t>
            </w:r>
          </w:p>
        </w:tc>
        <w:tc>
          <w:tcPr>
            <w:tcW w:w="915"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4892ACC9" w14:textId="77777777" w:rsidR="003F0EEA" w:rsidRPr="001167E1" w:rsidRDefault="00FB7D0B">
            <w:pPr>
              <w:jc w:val="right"/>
              <w:rPr>
                <w:rFonts w:ascii="Arial" w:eastAsia="Arial" w:hAnsi="Arial" w:cs="Arial"/>
                <w:b/>
                <w:color w:val="000000"/>
                <w:sz w:val="16"/>
              </w:rPr>
            </w:pPr>
            <w:r w:rsidRPr="001167E1">
              <w:rPr>
                <w:rFonts w:ascii="Arial" w:eastAsia="Arial" w:hAnsi="Arial" w:cs="Arial"/>
                <w:b/>
                <w:color w:val="000000"/>
                <w:sz w:val="16"/>
              </w:rPr>
              <w:t xml:space="preserve"> 26,140 </w:t>
            </w:r>
          </w:p>
        </w:tc>
        <w:tc>
          <w:tcPr>
            <w:tcW w:w="915" w:type="dxa"/>
            <w:tcBorders>
              <w:top w:val="single" w:sz="6" w:space="0" w:color="000000"/>
              <w:left w:val="nil"/>
              <w:bottom w:val="single" w:sz="6" w:space="0" w:color="000000"/>
              <w:right w:val="nil"/>
              <w:tl2br w:val="nil"/>
              <w:tr2bl w:val="nil"/>
            </w:tcBorders>
            <w:shd w:val="clear" w:color="auto" w:fill="FFFF00"/>
            <w:tcMar>
              <w:left w:w="101" w:type="dxa"/>
              <w:right w:w="101" w:type="dxa"/>
            </w:tcMar>
            <w:vAlign w:val="bottom"/>
          </w:tcPr>
          <w:p w14:paraId="3DFB80FF" w14:textId="77777777" w:rsidR="003F0EEA" w:rsidRPr="001167E1" w:rsidRDefault="00FB7D0B">
            <w:pPr>
              <w:jc w:val="right"/>
              <w:rPr>
                <w:rFonts w:ascii="Arial" w:eastAsia="Arial" w:hAnsi="Arial" w:cs="Arial"/>
                <w:b/>
                <w:color w:val="000000"/>
                <w:sz w:val="16"/>
              </w:rPr>
            </w:pPr>
            <w:r w:rsidRPr="001167E1">
              <w:rPr>
                <w:rFonts w:ascii="Arial" w:eastAsia="Arial" w:hAnsi="Arial" w:cs="Arial"/>
                <w:b/>
                <w:color w:val="000000"/>
                <w:sz w:val="16"/>
              </w:rPr>
              <w:t xml:space="preserve"> 16,086 </w:t>
            </w:r>
          </w:p>
        </w:tc>
        <w:tc>
          <w:tcPr>
            <w:tcW w:w="915"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749098A4" w14:textId="77777777" w:rsidR="003F0EEA" w:rsidRPr="001167E1" w:rsidRDefault="00FB7D0B">
            <w:pPr>
              <w:jc w:val="right"/>
              <w:rPr>
                <w:rFonts w:ascii="Arial" w:eastAsia="Arial" w:hAnsi="Arial" w:cs="Arial"/>
                <w:b/>
                <w:color w:val="000000"/>
                <w:sz w:val="16"/>
              </w:rPr>
            </w:pPr>
            <w:r w:rsidRPr="001167E1">
              <w:rPr>
                <w:rFonts w:ascii="Arial" w:eastAsia="Arial" w:hAnsi="Arial" w:cs="Arial"/>
                <w:b/>
                <w:color w:val="000000"/>
                <w:sz w:val="16"/>
              </w:rPr>
              <w:t xml:space="preserve"> 14,116 </w:t>
            </w:r>
          </w:p>
        </w:tc>
        <w:tc>
          <w:tcPr>
            <w:tcW w:w="915"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6A3CBBE5" w14:textId="77777777" w:rsidR="003F0EEA" w:rsidRPr="001167E1" w:rsidRDefault="00FB7D0B">
            <w:pPr>
              <w:jc w:val="right"/>
              <w:rPr>
                <w:rFonts w:ascii="Arial" w:eastAsia="Arial" w:hAnsi="Arial" w:cs="Arial"/>
                <w:b/>
                <w:color w:val="000000"/>
                <w:sz w:val="16"/>
              </w:rPr>
            </w:pPr>
            <w:r w:rsidRPr="001167E1">
              <w:rPr>
                <w:rFonts w:ascii="Arial" w:eastAsia="Arial" w:hAnsi="Arial" w:cs="Arial"/>
                <w:b/>
                <w:color w:val="000000"/>
                <w:sz w:val="16"/>
              </w:rPr>
              <w:t xml:space="preserve"> 13,373 </w:t>
            </w:r>
          </w:p>
        </w:tc>
        <w:tc>
          <w:tcPr>
            <w:tcW w:w="915"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370124D2" w14:textId="77777777" w:rsidR="003F0EEA" w:rsidRPr="001167E1" w:rsidRDefault="00FB7D0B">
            <w:pPr>
              <w:jc w:val="right"/>
              <w:rPr>
                <w:rFonts w:ascii="Arial" w:eastAsia="Arial" w:hAnsi="Arial" w:cs="Arial"/>
                <w:b/>
                <w:color w:val="000000"/>
                <w:sz w:val="16"/>
              </w:rPr>
            </w:pPr>
            <w:r w:rsidRPr="001167E1">
              <w:rPr>
                <w:rFonts w:ascii="Arial" w:eastAsia="Arial" w:hAnsi="Arial" w:cs="Arial"/>
                <w:b/>
                <w:color w:val="000000"/>
                <w:sz w:val="16"/>
              </w:rPr>
              <w:t xml:space="preserve"> 14,036 </w:t>
            </w:r>
          </w:p>
        </w:tc>
      </w:tr>
      <w:tr w:rsidR="00FB7D0B" w14:paraId="3008768C" w14:textId="77777777" w:rsidTr="00FB7D0B">
        <w:trPr>
          <w:trHeight w:val="225"/>
        </w:trPr>
        <w:tc>
          <w:tcPr>
            <w:tcW w:w="3090" w:type="dxa"/>
            <w:gridSpan w:val="2"/>
            <w:tcBorders>
              <w:top w:val="nil"/>
              <w:left w:val="nil"/>
              <w:bottom w:val="nil"/>
              <w:right w:val="nil"/>
              <w:tl2br w:val="nil"/>
              <w:tr2bl w:val="nil"/>
            </w:tcBorders>
            <w:shd w:val="clear" w:color="auto" w:fill="FFFFFF"/>
            <w:tcMar>
              <w:left w:w="101" w:type="dxa"/>
              <w:right w:w="101" w:type="dxa"/>
            </w:tcMar>
            <w:vAlign w:val="bottom"/>
          </w:tcPr>
          <w:p w14:paraId="717D7568" w14:textId="77777777" w:rsidR="003F0EEA" w:rsidRPr="001167E1" w:rsidRDefault="00FB7D0B">
            <w:pPr>
              <w:rPr>
                <w:rFonts w:ascii="Arial" w:eastAsia="Arial" w:hAnsi="Arial" w:cs="Arial"/>
                <w:b/>
                <w:color w:val="000000"/>
                <w:sz w:val="16"/>
              </w:rPr>
            </w:pPr>
            <w:r w:rsidRPr="001167E1">
              <w:rPr>
                <w:rFonts w:ascii="Arial" w:eastAsia="Arial" w:hAnsi="Arial" w:cs="Arial"/>
                <w:b/>
                <w:color w:val="000000"/>
                <w:sz w:val="16"/>
              </w:rPr>
              <w:t>Net increase or (decrease)</w:t>
            </w:r>
          </w:p>
        </w:tc>
        <w:tc>
          <w:tcPr>
            <w:tcW w:w="915"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750E1AF4" w14:textId="77777777" w:rsidR="003F0EEA" w:rsidRPr="001167E1" w:rsidRDefault="003F0EEA">
            <w:pPr>
              <w:rPr>
                <w:rFonts w:ascii="Arial" w:eastAsia="Arial" w:hAnsi="Arial" w:cs="Arial"/>
                <w:b/>
                <w:color w:val="000000"/>
                <w:sz w:val="16"/>
              </w:rPr>
            </w:pPr>
          </w:p>
        </w:tc>
        <w:tc>
          <w:tcPr>
            <w:tcW w:w="915" w:type="dxa"/>
            <w:tcBorders>
              <w:top w:val="single" w:sz="6" w:space="0" w:color="000000"/>
              <w:left w:val="nil"/>
              <w:bottom w:val="single" w:sz="6" w:space="0" w:color="000000"/>
              <w:right w:val="nil"/>
              <w:tl2br w:val="nil"/>
              <w:tr2bl w:val="nil"/>
            </w:tcBorders>
            <w:shd w:val="clear" w:color="auto" w:fill="FFFF00"/>
            <w:tcMar>
              <w:left w:w="101" w:type="dxa"/>
              <w:right w:w="101" w:type="dxa"/>
            </w:tcMar>
            <w:vAlign w:val="bottom"/>
          </w:tcPr>
          <w:p w14:paraId="392CEC5D" w14:textId="77777777" w:rsidR="003F0EEA" w:rsidRPr="001167E1" w:rsidRDefault="003F0EEA">
            <w:pPr>
              <w:rPr>
                <w:rFonts w:ascii="Arial" w:eastAsia="Arial" w:hAnsi="Arial" w:cs="Arial"/>
                <w:color w:val="000000"/>
                <w:sz w:val="16"/>
              </w:rPr>
            </w:pPr>
          </w:p>
        </w:tc>
        <w:tc>
          <w:tcPr>
            <w:tcW w:w="915"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0B749104" w14:textId="77777777" w:rsidR="003F0EEA" w:rsidRPr="001167E1" w:rsidRDefault="003F0EEA">
            <w:pPr>
              <w:rPr>
                <w:rFonts w:ascii="Arial" w:eastAsia="Arial" w:hAnsi="Arial" w:cs="Arial"/>
                <w:color w:val="000000"/>
                <w:sz w:val="16"/>
              </w:rPr>
            </w:pPr>
          </w:p>
        </w:tc>
        <w:tc>
          <w:tcPr>
            <w:tcW w:w="915"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11EC0924" w14:textId="77777777" w:rsidR="003F0EEA" w:rsidRPr="001167E1" w:rsidRDefault="003F0EEA">
            <w:pPr>
              <w:rPr>
                <w:rFonts w:ascii="Arial" w:eastAsia="Arial" w:hAnsi="Arial" w:cs="Arial"/>
                <w:color w:val="000000"/>
                <w:sz w:val="16"/>
              </w:rPr>
            </w:pPr>
          </w:p>
        </w:tc>
        <w:tc>
          <w:tcPr>
            <w:tcW w:w="915"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272776E2" w14:textId="77777777" w:rsidR="003F0EEA" w:rsidRPr="001167E1" w:rsidRDefault="003F0EEA">
            <w:pPr>
              <w:rPr>
                <w:rFonts w:ascii="Arial" w:eastAsia="Arial" w:hAnsi="Arial" w:cs="Arial"/>
                <w:color w:val="000000"/>
                <w:sz w:val="16"/>
              </w:rPr>
            </w:pPr>
          </w:p>
        </w:tc>
      </w:tr>
      <w:tr w:rsidR="00724034" w14:paraId="5B9E7345" w14:textId="77777777">
        <w:trPr>
          <w:trHeight w:val="225"/>
        </w:trPr>
        <w:tc>
          <w:tcPr>
            <w:tcW w:w="180" w:type="dxa"/>
            <w:tcBorders>
              <w:top w:val="nil"/>
              <w:left w:val="nil"/>
              <w:bottom w:val="nil"/>
              <w:right w:val="nil"/>
              <w:tl2br w:val="nil"/>
              <w:tr2bl w:val="nil"/>
            </w:tcBorders>
            <w:shd w:val="clear" w:color="auto" w:fill="FFFFFF"/>
            <w:tcMar>
              <w:left w:w="101" w:type="dxa"/>
              <w:right w:w="101" w:type="dxa"/>
            </w:tcMar>
            <w:vAlign w:val="bottom"/>
          </w:tcPr>
          <w:p w14:paraId="4FB8A669" w14:textId="77777777" w:rsidR="003F0EEA" w:rsidRPr="001167E1" w:rsidRDefault="003F0EEA">
            <w:pPr>
              <w:rPr>
                <w:rFonts w:ascii="Arial" w:eastAsia="Arial" w:hAnsi="Arial" w:cs="Arial"/>
                <w:color w:val="000000"/>
                <w:sz w:val="16"/>
              </w:rPr>
            </w:pPr>
          </w:p>
        </w:tc>
        <w:tc>
          <w:tcPr>
            <w:tcW w:w="2910" w:type="dxa"/>
            <w:tcBorders>
              <w:top w:val="nil"/>
              <w:left w:val="nil"/>
              <w:bottom w:val="nil"/>
              <w:right w:val="nil"/>
              <w:tl2br w:val="nil"/>
              <w:tr2bl w:val="nil"/>
            </w:tcBorders>
            <w:shd w:val="clear" w:color="auto" w:fill="FFFFFF"/>
            <w:tcMar>
              <w:left w:w="101" w:type="dxa"/>
              <w:right w:w="101" w:type="dxa"/>
            </w:tcMar>
            <w:vAlign w:val="bottom"/>
          </w:tcPr>
          <w:p w14:paraId="79D4E3E8" w14:textId="77777777" w:rsidR="003F0EEA" w:rsidRPr="001167E1" w:rsidRDefault="00FB7D0B">
            <w:pPr>
              <w:rPr>
                <w:rFonts w:ascii="Arial" w:eastAsia="Arial" w:hAnsi="Arial" w:cs="Arial"/>
                <w:color w:val="000000"/>
                <w:sz w:val="20"/>
              </w:rPr>
            </w:pPr>
            <w:r w:rsidRPr="001167E1">
              <w:rPr>
                <w:rFonts w:ascii="Arial" w:eastAsia="Arial" w:hAnsi="Arial" w:cs="Arial"/>
                <w:b/>
                <w:color w:val="000000"/>
                <w:sz w:val="16"/>
              </w:rPr>
              <w:t>in cash held</w:t>
            </w:r>
          </w:p>
        </w:tc>
        <w:tc>
          <w:tcPr>
            <w:tcW w:w="915"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77382C58" w14:textId="77777777" w:rsidR="003F0EEA" w:rsidRPr="001167E1" w:rsidRDefault="00FB7D0B">
            <w:pPr>
              <w:jc w:val="right"/>
              <w:rPr>
                <w:rFonts w:ascii="Arial" w:eastAsia="Arial" w:hAnsi="Arial" w:cs="Arial"/>
                <w:b/>
                <w:color w:val="000000"/>
                <w:sz w:val="16"/>
              </w:rPr>
            </w:pPr>
            <w:r w:rsidRPr="001167E1">
              <w:rPr>
                <w:rFonts w:ascii="Arial" w:eastAsia="Arial" w:hAnsi="Arial" w:cs="Arial"/>
                <w:b/>
                <w:color w:val="000000"/>
                <w:sz w:val="16"/>
              </w:rPr>
              <w:t xml:space="preserve"> (1,457)</w:t>
            </w:r>
          </w:p>
        </w:tc>
        <w:tc>
          <w:tcPr>
            <w:tcW w:w="915" w:type="dxa"/>
            <w:tcBorders>
              <w:top w:val="single" w:sz="6" w:space="0" w:color="000000"/>
              <w:left w:val="nil"/>
              <w:bottom w:val="single" w:sz="6" w:space="0" w:color="000000"/>
              <w:right w:val="nil"/>
              <w:tl2br w:val="nil"/>
              <w:tr2bl w:val="nil"/>
            </w:tcBorders>
            <w:shd w:val="clear" w:color="auto" w:fill="FFFF00"/>
            <w:tcMar>
              <w:left w:w="101" w:type="dxa"/>
              <w:right w:w="101" w:type="dxa"/>
            </w:tcMar>
            <w:vAlign w:val="bottom"/>
          </w:tcPr>
          <w:p w14:paraId="410A2FEB" w14:textId="77777777" w:rsidR="003F0EEA" w:rsidRPr="001167E1" w:rsidRDefault="00FB7D0B">
            <w:pPr>
              <w:jc w:val="right"/>
              <w:rPr>
                <w:rFonts w:ascii="Arial" w:eastAsia="Arial" w:hAnsi="Arial" w:cs="Arial"/>
                <w:b/>
                <w:color w:val="000000"/>
                <w:sz w:val="16"/>
              </w:rPr>
            </w:pPr>
            <w:r w:rsidRPr="001167E1">
              <w:rPr>
                <w:rFonts w:ascii="Arial" w:eastAsia="Arial" w:hAnsi="Arial" w:cs="Arial"/>
                <w:b/>
                <w:color w:val="000000"/>
                <w:sz w:val="16"/>
              </w:rPr>
              <w:t xml:space="preserve"> 127 </w:t>
            </w:r>
          </w:p>
        </w:tc>
        <w:tc>
          <w:tcPr>
            <w:tcW w:w="915"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3EDD1F44" w14:textId="77777777" w:rsidR="003F0EEA" w:rsidRPr="001167E1" w:rsidRDefault="00FB7D0B">
            <w:pPr>
              <w:jc w:val="right"/>
              <w:rPr>
                <w:rFonts w:ascii="Arial" w:eastAsia="Arial" w:hAnsi="Arial" w:cs="Arial"/>
                <w:b/>
                <w:color w:val="000000"/>
                <w:sz w:val="16"/>
              </w:rPr>
            </w:pPr>
            <w:r w:rsidRPr="001167E1">
              <w:rPr>
                <w:rFonts w:ascii="Arial" w:eastAsia="Arial" w:hAnsi="Arial" w:cs="Arial"/>
                <w:b/>
                <w:color w:val="000000"/>
                <w:sz w:val="16"/>
              </w:rPr>
              <w:t xml:space="preserve"> (670)</w:t>
            </w:r>
          </w:p>
        </w:tc>
        <w:tc>
          <w:tcPr>
            <w:tcW w:w="915"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440545D3" w14:textId="77777777" w:rsidR="003F0EEA" w:rsidRPr="001167E1" w:rsidRDefault="00FB7D0B">
            <w:pPr>
              <w:jc w:val="right"/>
              <w:rPr>
                <w:rFonts w:ascii="Arial" w:eastAsia="Arial" w:hAnsi="Arial" w:cs="Arial"/>
                <w:b/>
                <w:color w:val="000000"/>
                <w:sz w:val="16"/>
              </w:rPr>
            </w:pPr>
            <w:r w:rsidRPr="001167E1">
              <w:rPr>
                <w:rFonts w:ascii="Arial" w:eastAsia="Arial" w:hAnsi="Arial" w:cs="Arial"/>
                <w:b/>
                <w:color w:val="000000"/>
                <w:sz w:val="16"/>
              </w:rPr>
              <w:t xml:space="preserve"> (180)</w:t>
            </w:r>
          </w:p>
        </w:tc>
        <w:tc>
          <w:tcPr>
            <w:tcW w:w="915"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19548C7E" w14:textId="77777777" w:rsidR="003F0EEA" w:rsidRPr="001167E1" w:rsidRDefault="00FB7D0B">
            <w:pPr>
              <w:jc w:val="right"/>
              <w:rPr>
                <w:rFonts w:ascii="Arial" w:eastAsia="Arial" w:hAnsi="Arial" w:cs="Arial"/>
                <w:b/>
                <w:color w:val="000000"/>
                <w:sz w:val="16"/>
              </w:rPr>
            </w:pPr>
            <w:r w:rsidRPr="001167E1">
              <w:rPr>
                <w:rFonts w:ascii="Arial" w:eastAsia="Arial" w:hAnsi="Arial" w:cs="Arial"/>
                <w:b/>
                <w:color w:val="000000"/>
                <w:sz w:val="16"/>
              </w:rPr>
              <w:t xml:space="preserve"> 266 </w:t>
            </w:r>
          </w:p>
        </w:tc>
      </w:tr>
      <w:tr w:rsidR="00FB7D0B" w14:paraId="0D897495" w14:textId="77777777" w:rsidTr="00FB7D0B">
        <w:trPr>
          <w:trHeight w:val="225"/>
        </w:trPr>
        <w:tc>
          <w:tcPr>
            <w:tcW w:w="3090" w:type="dxa"/>
            <w:gridSpan w:val="2"/>
            <w:tcBorders>
              <w:top w:val="nil"/>
              <w:left w:val="nil"/>
              <w:bottom w:val="nil"/>
              <w:right w:val="nil"/>
              <w:tl2br w:val="nil"/>
              <w:tr2bl w:val="nil"/>
            </w:tcBorders>
            <w:shd w:val="clear" w:color="auto" w:fill="FFFFFF"/>
            <w:tcMar>
              <w:left w:w="101" w:type="dxa"/>
              <w:right w:w="101" w:type="dxa"/>
            </w:tcMar>
            <w:vAlign w:val="bottom"/>
          </w:tcPr>
          <w:p w14:paraId="68B9126E" w14:textId="77777777" w:rsidR="003F0EEA" w:rsidRPr="001167E1" w:rsidRDefault="00FB7D0B">
            <w:pPr>
              <w:rPr>
                <w:rFonts w:ascii="Arial" w:eastAsia="Arial" w:hAnsi="Arial" w:cs="Arial"/>
                <w:b/>
                <w:color w:val="000000"/>
                <w:sz w:val="16"/>
              </w:rPr>
            </w:pPr>
            <w:r w:rsidRPr="001167E1">
              <w:rPr>
                <w:rFonts w:ascii="Arial" w:eastAsia="Arial" w:hAnsi="Arial" w:cs="Arial"/>
                <w:color w:val="000000"/>
                <w:sz w:val="16"/>
              </w:rPr>
              <w:t>Cash and cash equivalents at the</w:t>
            </w:r>
          </w:p>
        </w:tc>
        <w:tc>
          <w:tcPr>
            <w:tcW w:w="91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1F04E32D" w14:textId="77777777" w:rsidR="003F0EEA" w:rsidRPr="001167E1" w:rsidRDefault="003F0EEA">
            <w:pPr>
              <w:rPr>
                <w:rFonts w:ascii="Arial" w:eastAsia="Arial" w:hAnsi="Arial" w:cs="Arial"/>
                <w:color w:val="000000"/>
                <w:sz w:val="16"/>
              </w:rPr>
            </w:pPr>
          </w:p>
        </w:tc>
        <w:tc>
          <w:tcPr>
            <w:tcW w:w="915" w:type="dxa"/>
            <w:tcBorders>
              <w:top w:val="single" w:sz="6" w:space="0" w:color="000000"/>
              <w:left w:val="nil"/>
              <w:bottom w:val="nil"/>
              <w:right w:val="nil"/>
              <w:tl2br w:val="nil"/>
              <w:tr2bl w:val="nil"/>
            </w:tcBorders>
            <w:shd w:val="clear" w:color="auto" w:fill="FFFF00"/>
            <w:tcMar>
              <w:left w:w="101" w:type="dxa"/>
              <w:right w:w="101" w:type="dxa"/>
            </w:tcMar>
            <w:vAlign w:val="bottom"/>
          </w:tcPr>
          <w:p w14:paraId="198BE754" w14:textId="77777777" w:rsidR="003F0EEA" w:rsidRPr="001167E1" w:rsidRDefault="003F0EEA">
            <w:pPr>
              <w:rPr>
                <w:rFonts w:ascii="Arial" w:eastAsia="Arial" w:hAnsi="Arial" w:cs="Arial"/>
                <w:color w:val="000000"/>
                <w:sz w:val="16"/>
              </w:rPr>
            </w:pPr>
          </w:p>
        </w:tc>
        <w:tc>
          <w:tcPr>
            <w:tcW w:w="91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27363AEA" w14:textId="77777777" w:rsidR="003F0EEA" w:rsidRPr="001167E1" w:rsidRDefault="003F0EEA">
            <w:pPr>
              <w:rPr>
                <w:rFonts w:ascii="Arial" w:eastAsia="Arial" w:hAnsi="Arial" w:cs="Arial"/>
                <w:color w:val="000000"/>
                <w:sz w:val="16"/>
              </w:rPr>
            </w:pPr>
          </w:p>
        </w:tc>
        <w:tc>
          <w:tcPr>
            <w:tcW w:w="91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667EDBBA" w14:textId="77777777" w:rsidR="003F0EEA" w:rsidRPr="001167E1" w:rsidRDefault="003F0EEA">
            <w:pPr>
              <w:rPr>
                <w:rFonts w:ascii="Arial" w:eastAsia="Arial" w:hAnsi="Arial" w:cs="Arial"/>
                <w:color w:val="000000"/>
                <w:sz w:val="16"/>
              </w:rPr>
            </w:pPr>
          </w:p>
        </w:tc>
        <w:tc>
          <w:tcPr>
            <w:tcW w:w="91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2BC05BAB" w14:textId="77777777" w:rsidR="003F0EEA" w:rsidRPr="001167E1" w:rsidRDefault="003F0EEA">
            <w:pPr>
              <w:rPr>
                <w:rFonts w:ascii="Arial" w:eastAsia="Arial" w:hAnsi="Arial" w:cs="Arial"/>
                <w:color w:val="000000"/>
                <w:sz w:val="16"/>
              </w:rPr>
            </w:pPr>
          </w:p>
        </w:tc>
      </w:tr>
      <w:tr w:rsidR="00724034" w14:paraId="4A5750C6" w14:textId="77777777">
        <w:trPr>
          <w:trHeight w:val="225"/>
        </w:trPr>
        <w:tc>
          <w:tcPr>
            <w:tcW w:w="180" w:type="dxa"/>
            <w:tcBorders>
              <w:top w:val="nil"/>
              <w:left w:val="nil"/>
              <w:bottom w:val="nil"/>
              <w:right w:val="nil"/>
              <w:tl2br w:val="nil"/>
              <w:tr2bl w:val="nil"/>
            </w:tcBorders>
            <w:shd w:val="clear" w:color="auto" w:fill="FFFFFF"/>
            <w:tcMar>
              <w:left w:w="101" w:type="dxa"/>
              <w:right w:w="101" w:type="dxa"/>
            </w:tcMar>
            <w:vAlign w:val="bottom"/>
          </w:tcPr>
          <w:p w14:paraId="6D4A3A37" w14:textId="77777777" w:rsidR="003F0EEA" w:rsidRPr="001167E1" w:rsidRDefault="003F0EEA">
            <w:pPr>
              <w:rPr>
                <w:rFonts w:ascii="Arial" w:eastAsia="Arial" w:hAnsi="Arial" w:cs="Arial"/>
                <w:color w:val="000000"/>
                <w:sz w:val="16"/>
              </w:rPr>
            </w:pPr>
          </w:p>
        </w:tc>
        <w:tc>
          <w:tcPr>
            <w:tcW w:w="2910" w:type="dxa"/>
            <w:tcBorders>
              <w:top w:val="nil"/>
              <w:left w:val="nil"/>
              <w:bottom w:val="nil"/>
              <w:right w:val="nil"/>
              <w:tl2br w:val="nil"/>
              <w:tr2bl w:val="nil"/>
            </w:tcBorders>
            <w:shd w:val="clear" w:color="auto" w:fill="FFFFFF"/>
            <w:tcMar>
              <w:left w:w="101" w:type="dxa"/>
              <w:right w:w="101" w:type="dxa"/>
            </w:tcMar>
            <w:vAlign w:val="bottom"/>
          </w:tcPr>
          <w:p w14:paraId="53A831C3" w14:textId="77777777" w:rsidR="003F0EEA" w:rsidRPr="001167E1" w:rsidRDefault="00FB7D0B">
            <w:pPr>
              <w:rPr>
                <w:rFonts w:ascii="Arial" w:eastAsia="Arial" w:hAnsi="Arial" w:cs="Arial"/>
                <w:color w:val="000000"/>
                <w:sz w:val="20"/>
              </w:rPr>
            </w:pPr>
            <w:r w:rsidRPr="001167E1">
              <w:rPr>
                <w:rFonts w:ascii="Arial" w:eastAsia="Arial" w:hAnsi="Arial" w:cs="Arial"/>
                <w:color w:val="000000"/>
                <w:sz w:val="16"/>
              </w:rPr>
              <w:t>beginning of the reporting period</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7689E153" w14:textId="77777777" w:rsidR="003F0EEA" w:rsidRPr="001167E1" w:rsidRDefault="00FB7D0B">
            <w:pPr>
              <w:jc w:val="right"/>
              <w:rPr>
                <w:rFonts w:ascii="Arial" w:eastAsia="Arial" w:hAnsi="Arial" w:cs="Arial"/>
                <w:color w:val="000000"/>
                <w:sz w:val="16"/>
              </w:rPr>
            </w:pPr>
            <w:r w:rsidRPr="001167E1">
              <w:rPr>
                <w:rFonts w:ascii="Arial" w:eastAsia="Arial" w:hAnsi="Arial" w:cs="Arial"/>
                <w:color w:val="000000"/>
                <w:sz w:val="16"/>
              </w:rPr>
              <w:t xml:space="preserve"> 4,778 </w:t>
            </w:r>
          </w:p>
        </w:tc>
        <w:tc>
          <w:tcPr>
            <w:tcW w:w="915" w:type="dxa"/>
            <w:tcBorders>
              <w:top w:val="nil"/>
              <w:left w:val="nil"/>
              <w:bottom w:val="nil"/>
              <w:right w:val="nil"/>
              <w:tl2br w:val="nil"/>
              <w:tr2bl w:val="nil"/>
            </w:tcBorders>
            <w:shd w:val="clear" w:color="auto" w:fill="FFFF00"/>
            <w:tcMar>
              <w:left w:w="101" w:type="dxa"/>
              <w:right w:w="101" w:type="dxa"/>
            </w:tcMar>
            <w:vAlign w:val="bottom"/>
          </w:tcPr>
          <w:p w14:paraId="2296250A" w14:textId="77777777" w:rsidR="003F0EEA" w:rsidRPr="001167E1" w:rsidRDefault="00FB7D0B">
            <w:pPr>
              <w:jc w:val="right"/>
              <w:rPr>
                <w:rFonts w:ascii="Arial" w:eastAsia="Arial" w:hAnsi="Arial" w:cs="Arial"/>
                <w:color w:val="000000"/>
                <w:sz w:val="16"/>
              </w:rPr>
            </w:pPr>
            <w:r w:rsidRPr="001167E1">
              <w:rPr>
                <w:rFonts w:ascii="Arial" w:eastAsia="Arial" w:hAnsi="Arial" w:cs="Arial"/>
                <w:color w:val="000000"/>
                <w:sz w:val="16"/>
              </w:rPr>
              <w:t xml:space="preserve"> 3,321 </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7517BC15" w14:textId="77777777" w:rsidR="003F0EEA" w:rsidRPr="001167E1" w:rsidRDefault="00FB7D0B">
            <w:pPr>
              <w:jc w:val="right"/>
              <w:rPr>
                <w:rFonts w:ascii="Arial" w:eastAsia="Arial" w:hAnsi="Arial" w:cs="Arial"/>
                <w:color w:val="000000"/>
                <w:sz w:val="16"/>
              </w:rPr>
            </w:pPr>
            <w:r w:rsidRPr="001167E1">
              <w:rPr>
                <w:rFonts w:ascii="Arial" w:eastAsia="Arial" w:hAnsi="Arial" w:cs="Arial"/>
                <w:color w:val="000000"/>
                <w:sz w:val="16"/>
              </w:rPr>
              <w:t xml:space="preserve"> 3,448 </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2A976E76" w14:textId="77777777" w:rsidR="003F0EEA" w:rsidRPr="001167E1" w:rsidRDefault="00FB7D0B">
            <w:pPr>
              <w:jc w:val="right"/>
              <w:rPr>
                <w:rFonts w:ascii="Arial" w:eastAsia="Arial" w:hAnsi="Arial" w:cs="Arial"/>
                <w:color w:val="000000"/>
                <w:sz w:val="16"/>
              </w:rPr>
            </w:pPr>
            <w:r w:rsidRPr="001167E1">
              <w:rPr>
                <w:rFonts w:ascii="Arial" w:eastAsia="Arial" w:hAnsi="Arial" w:cs="Arial"/>
                <w:color w:val="000000"/>
                <w:sz w:val="16"/>
              </w:rPr>
              <w:t xml:space="preserve"> 2,778 </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0E757006" w14:textId="77777777" w:rsidR="003F0EEA" w:rsidRPr="001167E1" w:rsidRDefault="00FB7D0B">
            <w:pPr>
              <w:jc w:val="right"/>
              <w:rPr>
                <w:rFonts w:ascii="Arial" w:eastAsia="Arial" w:hAnsi="Arial" w:cs="Arial"/>
                <w:color w:val="000000"/>
                <w:sz w:val="16"/>
              </w:rPr>
            </w:pPr>
            <w:r w:rsidRPr="001167E1">
              <w:rPr>
                <w:rFonts w:ascii="Arial" w:eastAsia="Arial" w:hAnsi="Arial" w:cs="Arial"/>
                <w:color w:val="000000"/>
                <w:sz w:val="16"/>
              </w:rPr>
              <w:t xml:space="preserve"> 2,598 </w:t>
            </w:r>
          </w:p>
        </w:tc>
      </w:tr>
      <w:tr w:rsidR="00FB7D0B" w14:paraId="79A53BE1" w14:textId="77777777" w:rsidTr="00FB7D0B">
        <w:trPr>
          <w:trHeight w:val="225"/>
        </w:trPr>
        <w:tc>
          <w:tcPr>
            <w:tcW w:w="3090" w:type="dxa"/>
            <w:gridSpan w:val="2"/>
            <w:tcBorders>
              <w:top w:val="nil"/>
              <w:left w:val="nil"/>
              <w:bottom w:val="nil"/>
              <w:right w:val="nil"/>
              <w:tl2br w:val="nil"/>
              <w:tr2bl w:val="nil"/>
            </w:tcBorders>
            <w:shd w:val="clear" w:color="auto" w:fill="FFFFFF"/>
            <w:tcMar>
              <w:left w:w="101" w:type="dxa"/>
              <w:right w:w="101" w:type="dxa"/>
            </w:tcMar>
            <w:vAlign w:val="bottom"/>
          </w:tcPr>
          <w:p w14:paraId="12C2976C" w14:textId="77777777" w:rsidR="003F0EEA" w:rsidRPr="001167E1" w:rsidRDefault="00FB7D0B">
            <w:pPr>
              <w:rPr>
                <w:rFonts w:ascii="Arial" w:eastAsia="Arial" w:hAnsi="Arial" w:cs="Arial"/>
                <w:color w:val="000000"/>
                <w:sz w:val="16"/>
              </w:rPr>
            </w:pPr>
            <w:r w:rsidRPr="001167E1">
              <w:rPr>
                <w:rFonts w:ascii="Arial" w:eastAsia="Arial" w:hAnsi="Arial" w:cs="Arial"/>
                <w:b/>
                <w:color w:val="000000"/>
                <w:sz w:val="16"/>
              </w:rPr>
              <w:t>Cash and cash equivalents at the</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4E37B564" w14:textId="77777777" w:rsidR="003F0EEA" w:rsidRPr="001167E1" w:rsidRDefault="003F0EEA">
            <w:pPr>
              <w:rPr>
                <w:rFonts w:ascii="Arial" w:eastAsia="Arial" w:hAnsi="Arial" w:cs="Arial"/>
                <w:b/>
                <w:color w:val="000000"/>
                <w:sz w:val="16"/>
              </w:rPr>
            </w:pPr>
          </w:p>
        </w:tc>
        <w:tc>
          <w:tcPr>
            <w:tcW w:w="915" w:type="dxa"/>
            <w:tcBorders>
              <w:top w:val="nil"/>
              <w:left w:val="nil"/>
              <w:bottom w:val="nil"/>
              <w:right w:val="nil"/>
              <w:tl2br w:val="nil"/>
              <w:tr2bl w:val="nil"/>
            </w:tcBorders>
            <w:shd w:val="clear" w:color="auto" w:fill="FFFF00"/>
            <w:tcMar>
              <w:left w:w="101" w:type="dxa"/>
              <w:right w:w="101" w:type="dxa"/>
            </w:tcMar>
            <w:vAlign w:val="bottom"/>
          </w:tcPr>
          <w:p w14:paraId="4A36AF25" w14:textId="77777777" w:rsidR="003F0EEA" w:rsidRPr="001167E1" w:rsidRDefault="003F0EEA">
            <w:pPr>
              <w:rPr>
                <w:rFonts w:ascii="Arial" w:eastAsia="Arial" w:hAnsi="Arial" w:cs="Arial"/>
                <w:color w:val="000000"/>
                <w:sz w:val="16"/>
              </w:rPr>
            </w:pP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2EE9F4E9" w14:textId="77777777" w:rsidR="003F0EEA" w:rsidRPr="001167E1" w:rsidRDefault="003F0EEA">
            <w:pPr>
              <w:rPr>
                <w:rFonts w:ascii="Arial" w:eastAsia="Arial" w:hAnsi="Arial" w:cs="Arial"/>
                <w:color w:val="000000"/>
                <w:sz w:val="16"/>
              </w:rPr>
            </w:pP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606559A5" w14:textId="77777777" w:rsidR="003F0EEA" w:rsidRPr="001167E1" w:rsidRDefault="003F0EEA">
            <w:pPr>
              <w:rPr>
                <w:rFonts w:ascii="Arial" w:eastAsia="Arial" w:hAnsi="Arial" w:cs="Arial"/>
                <w:color w:val="000000"/>
                <w:sz w:val="16"/>
              </w:rPr>
            </w:pP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2B2D0854" w14:textId="77777777" w:rsidR="003F0EEA" w:rsidRPr="001167E1" w:rsidRDefault="003F0EEA">
            <w:pPr>
              <w:rPr>
                <w:rFonts w:ascii="Arial" w:eastAsia="Arial" w:hAnsi="Arial" w:cs="Arial"/>
                <w:color w:val="000000"/>
                <w:sz w:val="16"/>
              </w:rPr>
            </w:pPr>
          </w:p>
        </w:tc>
      </w:tr>
      <w:tr w:rsidR="00724034" w14:paraId="07BD3188" w14:textId="77777777">
        <w:trPr>
          <w:trHeight w:val="225"/>
        </w:trPr>
        <w:tc>
          <w:tcPr>
            <w:tcW w:w="180"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52F71DE0" w14:textId="77777777" w:rsidR="003F0EEA" w:rsidRPr="001167E1" w:rsidRDefault="003F0EEA">
            <w:pPr>
              <w:rPr>
                <w:rFonts w:ascii="Arial" w:eastAsia="Arial" w:hAnsi="Arial" w:cs="Arial"/>
                <w:color w:val="000000"/>
                <w:sz w:val="16"/>
              </w:rPr>
            </w:pPr>
          </w:p>
        </w:tc>
        <w:tc>
          <w:tcPr>
            <w:tcW w:w="2910"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6D41ED05" w14:textId="77777777" w:rsidR="003F0EEA" w:rsidRPr="001167E1" w:rsidRDefault="00FB7D0B">
            <w:pPr>
              <w:rPr>
                <w:rFonts w:ascii="Arial" w:eastAsia="Arial" w:hAnsi="Arial" w:cs="Arial"/>
                <w:color w:val="000000"/>
                <w:sz w:val="20"/>
              </w:rPr>
            </w:pPr>
            <w:r w:rsidRPr="001167E1">
              <w:rPr>
                <w:rFonts w:ascii="Arial" w:eastAsia="Arial" w:hAnsi="Arial" w:cs="Arial"/>
                <w:b/>
                <w:color w:val="000000"/>
                <w:sz w:val="16"/>
              </w:rPr>
              <w:t>end of the reporting period</w:t>
            </w:r>
          </w:p>
        </w:tc>
        <w:tc>
          <w:tcPr>
            <w:tcW w:w="915"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152EC012" w14:textId="77777777" w:rsidR="003F0EEA" w:rsidRPr="001167E1" w:rsidRDefault="00FB7D0B">
            <w:pPr>
              <w:jc w:val="right"/>
              <w:rPr>
                <w:rFonts w:ascii="Arial" w:eastAsia="Arial" w:hAnsi="Arial" w:cs="Arial"/>
                <w:b/>
                <w:color w:val="000000"/>
                <w:sz w:val="16"/>
              </w:rPr>
            </w:pPr>
            <w:r w:rsidRPr="001167E1">
              <w:rPr>
                <w:rFonts w:ascii="Arial" w:eastAsia="Arial" w:hAnsi="Arial" w:cs="Arial"/>
                <w:b/>
                <w:color w:val="000000"/>
                <w:sz w:val="16"/>
              </w:rPr>
              <w:t xml:space="preserve"> 3,321 </w:t>
            </w:r>
          </w:p>
        </w:tc>
        <w:tc>
          <w:tcPr>
            <w:tcW w:w="915" w:type="dxa"/>
            <w:tcBorders>
              <w:top w:val="nil"/>
              <w:left w:val="nil"/>
              <w:bottom w:val="single" w:sz="6" w:space="0" w:color="000000"/>
              <w:right w:val="nil"/>
              <w:tl2br w:val="nil"/>
              <w:tr2bl w:val="nil"/>
            </w:tcBorders>
            <w:shd w:val="clear" w:color="auto" w:fill="FFFF00"/>
            <w:tcMar>
              <w:left w:w="101" w:type="dxa"/>
              <w:right w:w="101" w:type="dxa"/>
            </w:tcMar>
            <w:vAlign w:val="bottom"/>
          </w:tcPr>
          <w:p w14:paraId="3D8B31B4" w14:textId="77777777" w:rsidR="003F0EEA" w:rsidRPr="001167E1" w:rsidRDefault="00FB7D0B">
            <w:pPr>
              <w:jc w:val="right"/>
              <w:rPr>
                <w:rFonts w:ascii="Arial" w:eastAsia="Arial" w:hAnsi="Arial" w:cs="Arial"/>
                <w:b/>
                <w:color w:val="000000"/>
                <w:sz w:val="16"/>
              </w:rPr>
            </w:pPr>
            <w:r w:rsidRPr="001167E1">
              <w:rPr>
                <w:rFonts w:ascii="Arial" w:eastAsia="Arial" w:hAnsi="Arial" w:cs="Arial"/>
                <w:b/>
                <w:color w:val="000000"/>
                <w:sz w:val="16"/>
              </w:rPr>
              <w:t xml:space="preserve"> 3,448 </w:t>
            </w:r>
          </w:p>
        </w:tc>
        <w:tc>
          <w:tcPr>
            <w:tcW w:w="915"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1FFEA4F4" w14:textId="77777777" w:rsidR="003F0EEA" w:rsidRPr="001167E1" w:rsidRDefault="00FB7D0B">
            <w:pPr>
              <w:jc w:val="right"/>
              <w:rPr>
                <w:rFonts w:ascii="Arial" w:eastAsia="Arial" w:hAnsi="Arial" w:cs="Arial"/>
                <w:b/>
                <w:color w:val="000000"/>
                <w:sz w:val="16"/>
              </w:rPr>
            </w:pPr>
            <w:r w:rsidRPr="001167E1">
              <w:rPr>
                <w:rFonts w:ascii="Arial" w:eastAsia="Arial" w:hAnsi="Arial" w:cs="Arial"/>
                <w:b/>
                <w:color w:val="000000"/>
                <w:sz w:val="16"/>
              </w:rPr>
              <w:t xml:space="preserve"> 2,778 </w:t>
            </w:r>
          </w:p>
        </w:tc>
        <w:tc>
          <w:tcPr>
            <w:tcW w:w="915"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070AE0F6" w14:textId="77777777" w:rsidR="003F0EEA" w:rsidRPr="001167E1" w:rsidRDefault="00FB7D0B">
            <w:pPr>
              <w:jc w:val="right"/>
              <w:rPr>
                <w:rFonts w:ascii="Arial" w:eastAsia="Arial" w:hAnsi="Arial" w:cs="Arial"/>
                <w:b/>
                <w:color w:val="000000"/>
                <w:sz w:val="16"/>
              </w:rPr>
            </w:pPr>
            <w:r w:rsidRPr="001167E1">
              <w:rPr>
                <w:rFonts w:ascii="Arial" w:eastAsia="Arial" w:hAnsi="Arial" w:cs="Arial"/>
                <w:b/>
                <w:color w:val="000000"/>
                <w:sz w:val="16"/>
              </w:rPr>
              <w:t xml:space="preserve"> 2,598 </w:t>
            </w:r>
          </w:p>
        </w:tc>
        <w:tc>
          <w:tcPr>
            <w:tcW w:w="915"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4764F94F" w14:textId="77777777" w:rsidR="003F0EEA" w:rsidRPr="001167E1" w:rsidRDefault="00FB7D0B">
            <w:pPr>
              <w:jc w:val="right"/>
              <w:rPr>
                <w:rFonts w:ascii="Arial" w:eastAsia="Arial" w:hAnsi="Arial" w:cs="Arial"/>
                <w:b/>
                <w:color w:val="000000"/>
                <w:sz w:val="16"/>
              </w:rPr>
            </w:pPr>
            <w:r w:rsidRPr="001167E1">
              <w:rPr>
                <w:rFonts w:ascii="Arial" w:eastAsia="Arial" w:hAnsi="Arial" w:cs="Arial"/>
                <w:b/>
                <w:color w:val="000000"/>
                <w:sz w:val="16"/>
              </w:rPr>
              <w:t xml:space="preserve"> 2,864 </w:t>
            </w:r>
          </w:p>
        </w:tc>
      </w:tr>
    </w:tbl>
    <w:p w14:paraId="0021DC1E" w14:textId="77777777" w:rsidR="003F0EEA" w:rsidRPr="00AE3DD3" w:rsidRDefault="00FB7D0B" w:rsidP="003F0EEA">
      <w:pPr>
        <w:pStyle w:val="Source5"/>
      </w:pPr>
      <w:r>
        <w:t>Prepared on Australian Accounting Standards basis</w:t>
      </w:r>
    </w:p>
    <w:p w14:paraId="2E0616BC" w14:textId="77777777" w:rsidR="003F0EEA" w:rsidRPr="00AE3DD3" w:rsidRDefault="00FB7D0B">
      <w:pPr>
        <w:spacing w:line="14" w:lineRule="exact"/>
        <w:rPr>
          <w:rFonts w:eastAsia="Times New Roman" w:cs="Times New Roman"/>
        </w:rPr>
      </w:pPr>
      <w:r w:rsidRPr="00AE3DD3">
        <w:rPr>
          <w:rFonts w:eastAsia="Times New Roman" w:cs="Times New Roman"/>
        </w:rPr>
        <w:br w:type="page"/>
      </w:r>
    </w:p>
    <w:p w14:paraId="3AA2E7BD" w14:textId="77777777" w:rsidR="003F0EEA" w:rsidRPr="006209D7" w:rsidRDefault="00FB7D0B" w:rsidP="003F0EEA">
      <w:pPr>
        <w:pStyle w:val="TableHeading13"/>
        <w:spacing w:after="0"/>
        <w:rPr>
          <w:rFonts w:eastAsia="Calibri"/>
        </w:rPr>
      </w:pPr>
      <w:r>
        <w:rPr>
          <w:rFonts w:eastAsia="Calibri"/>
        </w:rPr>
        <w:t>Table 3.2.1b: Departmental Comprehensive Income Statement (DVA excluding</w:t>
      </w:r>
      <w:r>
        <w:rPr>
          <w:rFonts w:eastAsia="Calibri"/>
        </w:rPr>
        <w:br/>
        <w:t xml:space="preserve"> DSHIS) (showing net cost of services) </w:t>
      </w:r>
      <w:r w:rsidRPr="006209D7">
        <w:rPr>
          <w:rFonts w:eastAsia="Calibri"/>
          <w:snapToGrid w:val="0"/>
        </w:rPr>
        <w:t>for the period ended 30 June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2"/>
        <w:gridCol w:w="222"/>
        <w:gridCol w:w="2700"/>
        <w:gridCol w:w="915"/>
        <w:gridCol w:w="915"/>
        <w:gridCol w:w="915"/>
        <w:gridCol w:w="915"/>
        <w:gridCol w:w="915"/>
      </w:tblGrid>
      <w:tr w:rsidR="00724034" w14:paraId="5C34A2A3" w14:textId="77777777">
        <w:trPr>
          <w:trHeight w:val="225"/>
        </w:trPr>
        <w:tc>
          <w:tcPr>
            <w:tcW w:w="180"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16A123CA" w14:textId="77777777" w:rsidR="003F0EEA" w:rsidRPr="006209D7" w:rsidRDefault="003F0EEA"/>
        </w:tc>
        <w:tc>
          <w:tcPr>
            <w:tcW w:w="180"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3EE6C5F6" w14:textId="77777777" w:rsidR="003F0EEA" w:rsidRPr="006209D7" w:rsidRDefault="003F0EEA">
            <w:pPr>
              <w:rPr>
                <w:rFonts w:ascii="Arial" w:eastAsia="Arial" w:hAnsi="Arial" w:cs="Arial"/>
                <w:color w:val="000000"/>
                <w:sz w:val="16"/>
              </w:rPr>
            </w:pPr>
          </w:p>
        </w:tc>
        <w:tc>
          <w:tcPr>
            <w:tcW w:w="2700"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36455672" w14:textId="77777777" w:rsidR="003F0EEA" w:rsidRPr="006209D7" w:rsidRDefault="003F0EEA">
            <w:pPr>
              <w:rPr>
                <w:rFonts w:ascii="Arial" w:eastAsia="Arial" w:hAnsi="Arial" w:cs="Arial"/>
                <w:color w:val="000000"/>
                <w:sz w:val="16"/>
              </w:rPr>
            </w:pPr>
          </w:p>
        </w:tc>
        <w:tc>
          <w:tcPr>
            <w:tcW w:w="91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1D12125B" w14:textId="77777777" w:rsidR="003F0EEA" w:rsidRPr="006209D7" w:rsidRDefault="00FB7D0B">
            <w:pPr>
              <w:jc w:val="right"/>
              <w:rPr>
                <w:rFonts w:ascii="Arial" w:eastAsia="Arial" w:hAnsi="Arial" w:cs="Arial"/>
                <w:color w:val="000000"/>
                <w:sz w:val="16"/>
              </w:rPr>
            </w:pPr>
            <w:r w:rsidRPr="006209D7">
              <w:rPr>
                <w:rFonts w:ascii="Arial" w:eastAsia="Arial" w:hAnsi="Arial" w:cs="Arial"/>
                <w:color w:val="000000"/>
                <w:sz w:val="16"/>
              </w:rPr>
              <w:t>Estimated</w:t>
            </w:r>
          </w:p>
        </w:tc>
        <w:tc>
          <w:tcPr>
            <w:tcW w:w="915" w:type="dxa"/>
            <w:tcBorders>
              <w:top w:val="single" w:sz="6" w:space="0" w:color="000000"/>
              <w:left w:val="nil"/>
              <w:bottom w:val="nil"/>
              <w:right w:val="nil"/>
              <w:tl2br w:val="nil"/>
              <w:tr2bl w:val="nil"/>
            </w:tcBorders>
            <w:shd w:val="clear" w:color="auto" w:fill="FFFF00"/>
            <w:tcMar>
              <w:left w:w="101" w:type="dxa"/>
              <w:right w:w="101" w:type="dxa"/>
            </w:tcMar>
            <w:vAlign w:val="bottom"/>
          </w:tcPr>
          <w:p w14:paraId="5956F6B6" w14:textId="77777777" w:rsidR="003F0EEA" w:rsidRPr="006209D7" w:rsidRDefault="00FB7D0B">
            <w:pPr>
              <w:jc w:val="right"/>
              <w:rPr>
                <w:rFonts w:ascii="Arial" w:eastAsia="Arial" w:hAnsi="Arial" w:cs="Arial"/>
                <w:color w:val="000000"/>
                <w:sz w:val="16"/>
              </w:rPr>
            </w:pPr>
            <w:r w:rsidRPr="006209D7">
              <w:rPr>
                <w:rFonts w:ascii="Arial" w:eastAsia="Arial" w:hAnsi="Arial" w:cs="Arial"/>
                <w:color w:val="000000"/>
                <w:sz w:val="16"/>
              </w:rPr>
              <w:t>Budget</w:t>
            </w:r>
          </w:p>
        </w:tc>
        <w:tc>
          <w:tcPr>
            <w:tcW w:w="91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78439328" w14:textId="77777777" w:rsidR="003F0EEA" w:rsidRPr="006209D7" w:rsidRDefault="00FB7D0B">
            <w:pPr>
              <w:jc w:val="right"/>
              <w:rPr>
                <w:rFonts w:ascii="Arial" w:eastAsia="Arial" w:hAnsi="Arial" w:cs="Arial"/>
                <w:color w:val="000000"/>
                <w:sz w:val="16"/>
              </w:rPr>
            </w:pPr>
            <w:r w:rsidRPr="006209D7">
              <w:rPr>
                <w:rFonts w:ascii="Arial" w:eastAsia="Arial" w:hAnsi="Arial" w:cs="Arial"/>
                <w:color w:val="000000"/>
                <w:sz w:val="16"/>
              </w:rPr>
              <w:t>Forward</w:t>
            </w:r>
          </w:p>
        </w:tc>
        <w:tc>
          <w:tcPr>
            <w:tcW w:w="91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53716D13" w14:textId="77777777" w:rsidR="003F0EEA" w:rsidRPr="006209D7" w:rsidRDefault="00FB7D0B">
            <w:pPr>
              <w:jc w:val="right"/>
              <w:rPr>
                <w:rFonts w:ascii="Arial" w:eastAsia="Arial" w:hAnsi="Arial" w:cs="Arial"/>
                <w:color w:val="000000"/>
                <w:sz w:val="16"/>
              </w:rPr>
            </w:pPr>
            <w:r w:rsidRPr="006209D7">
              <w:rPr>
                <w:rFonts w:ascii="Arial" w:eastAsia="Arial" w:hAnsi="Arial" w:cs="Arial"/>
                <w:color w:val="000000"/>
                <w:sz w:val="16"/>
              </w:rPr>
              <w:t>Forward</w:t>
            </w:r>
          </w:p>
        </w:tc>
        <w:tc>
          <w:tcPr>
            <w:tcW w:w="91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4172625F" w14:textId="77777777" w:rsidR="003F0EEA" w:rsidRPr="006209D7" w:rsidRDefault="00FB7D0B">
            <w:pPr>
              <w:jc w:val="right"/>
              <w:rPr>
                <w:rFonts w:ascii="Arial" w:eastAsia="Arial" w:hAnsi="Arial" w:cs="Arial"/>
                <w:color w:val="000000"/>
                <w:sz w:val="16"/>
              </w:rPr>
            </w:pPr>
            <w:r w:rsidRPr="006209D7">
              <w:rPr>
                <w:rFonts w:ascii="Arial" w:eastAsia="Arial" w:hAnsi="Arial" w:cs="Arial"/>
                <w:color w:val="000000"/>
                <w:sz w:val="16"/>
              </w:rPr>
              <w:t>Forward</w:t>
            </w:r>
          </w:p>
        </w:tc>
      </w:tr>
      <w:tr w:rsidR="00724034" w14:paraId="3BCCB59F" w14:textId="77777777">
        <w:trPr>
          <w:trHeight w:val="225"/>
        </w:trPr>
        <w:tc>
          <w:tcPr>
            <w:tcW w:w="180" w:type="dxa"/>
            <w:tcBorders>
              <w:top w:val="nil"/>
              <w:left w:val="nil"/>
              <w:bottom w:val="nil"/>
              <w:right w:val="nil"/>
              <w:tl2br w:val="nil"/>
              <w:tr2bl w:val="nil"/>
            </w:tcBorders>
            <w:shd w:val="clear" w:color="auto" w:fill="FFFFFF"/>
            <w:tcMar>
              <w:left w:w="101" w:type="dxa"/>
              <w:right w:w="101" w:type="dxa"/>
            </w:tcMar>
            <w:vAlign w:val="bottom"/>
          </w:tcPr>
          <w:p w14:paraId="6A503608" w14:textId="77777777" w:rsidR="003F0EEA" w:rsidRPr="006209D7" w:rsidRDefault="003F0EEA">
            <w:pPr>
              <w:rPr>
                <w:rFonts w:ascii="Arial" w:eastAsia="Arial" w:hAnsi="Arial" w:cs="Arial"/>
                <w:color w:val="000000"/>
                <w:sz w:val="16"/>
              </w:rPr>
            </w:pPr>
          </w:p>
        </w:tc>
        <w:tc>
          <w:tcPr>
            <w:tcW w:w="180" w:type="dxa"/>
            <w:tcBorders>
              <w:top w:val="nil"/>
              <w:left w:val="nil"/>
              <w:bottom w:val="nil"/>
              <w:right w:val="nil"/>
              <w:tl2br w:val="nil"/>
              <w:tr2bl w:val="nil"/>
            </w:tcBorders>
            <w:shd w:val="clear" w:color="auto" w:fill="FFFFFF"/>
            <w:tcMar>
              <w:left w:w="101" w:type="dxa"/>
              <w:right w:w="101" w:type="dxa"/>
            </w:tcMar>
            <w:vAlign w:val="bottom"/>
          </w:tcPr>
          <w:p w14:paraId="2235C38C" w14:textId="77777777" w:rsidR="003F0EEA" w:rsidRPr="006209D7" w:rsidRDefault="003F0EEA">
            <w:pPr>
              <w:rPr>
                <w:rFonts w:ascii="Arial" w:eastAsia="Arial" w:hAnsi="Arial" w:cs="Arial"/>
                <w:color w:val="000000"/>
                <w:sz w:val="16"/>
              </w:rPr>
            </w:pPr>
          </w:p>
        </w:tc>
        <w:tc>
          <w:tcPr>
            <w:tcW w:w="2700" w:type="dxa"/>
            <w:tcBorders>
              <w:top w:val="nil"/>
              <w:left w:val="nil"/>
              <w:bottom w:val="nil"/>
              <w:right w:val="nil"/>
              <w:tl2br w:val="nil"/>
              <w:tr2bl w:val="nil"/>
            </w:tcBorders>
            <w:shd w:val="clear" w:color="auto" w:fill="FFFFFF"/>
            <w:tcMar>
              <w:left w:w="101" w:type="dxa"/>
              <w:right w:w="101" w:type="dxa"/>
            </w:tcMar>
            <w:vAlign w:val="bottom"/>
          </w:tcPr>
          <w:p w14:paraId="039BA841" w14:textId="77777777" w:rsidR="003F0EEA" w:rsidRPr="006209D7" w:rsidRDefault="003F0EEA">
            <w:pPr>
              <w:rPr>
                <w:rFonts w:ascii="Arial" w:eastAsia="Arial" w:hAnsi="Arial" w:cs="Arial"/>
                <w:color w:val="000000"/>
                <w:sz w:val="16"/>
              </w:rPr>
            </w:pP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059289A7" w14:textId="77777777" w:rsidR="003F0EEA" w:rsidRPr="006209D7" w:rsidRDefault="00FB7D0B">
            <w:pPr>
              <w:jc w:val="right"/>
              <w:rPr>
                <w:rFonts w:ascii="Arial" w:eastAsia="Arial" w:hAnsi="Arial" w:cs="Arial"/>
                <w:color w:val="000000"/>
                <w:sz w:val="16"/>
              </w:rPr>
            </w:pPr>
            <w:r w:rsidRPr="006209D7">
              <w:rPr>
                <w:rFonts w:ascii="Arial" w:eastAsia="Arial" w:hAnsi="Arial" w:cs="Arial"/>
                <w:color w:val="000000"/>
                <w:sz w:val="16"/>
              </w:rPr>
              <w:t>actual</w:t>
            </w:r>
          </w:p>
        </w:tc>
        <w:tc>
          <w:tcPr>
            <w:tcW w:w="915" w:type="dxa"/>
            <w:tcBorders>
              <w:top w:val="nil"/>
              <w:left w:val="nil"/>
              <w:bottom w:val="nil"/>
              <w:right w:val="nil"/>
              <w:tl2br w:val="nil"/>
              <w:tr2bl w:val="nil"/>
            </w:tcBorders>
            <w:shd w:val="clear" w:color="auto" w:fill="FFFF00"/>
            <w:tcMar>
              <w:left w:w="101" w:type="dxa"/>
              <w:right w:w="101" w:type="dxa"/>
            </w:tcMar>
            <w:vAlign w:val="bottom"/>
          </w:tcPr>
          <w:p w14:paraId="61B77C72" w14:textId="77777777" w:rsidR="003F0EEA" w:rsidRPr="006209D7" w:rsidRDefault="00FB7D0B">
            <w:pPr>
              <w:jc w:val="right"/>
              <w:rPr>
                <w:rFonts w:ascii="Arial" w:eastAsia="Arial" w:hAnsi="Arial" w:cs="Arial"/>
                <w:color w:val="000000"/>
                <w:sz w:val="16"/>
              </w:rPr>
            </w:pPr>
            <w:r w:rsidRPr="006209D7">
              <w:rPr>
                <w:rFonts w:ascii="Arial" w:eastAsia="Arial" w:hAnsi="Arial" w:cs="Arial"/>
                <w:color w:val="000000"/>
                <w:sz w:val="16"/>
              </w:rPr>
              <w:t>estimate</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572E04C5" w14:textId="77777777" w:rsidR="003F0EEA" w:rsidRPr="006209D7" w:rsidRDefault="00FB7D0B">
            <w:pPr>
              <w:jc w:val="right"/>
              <w:rPr>
                <w:rFonts w:ascii="Arial" w:eastAsia="Arial" w:hAnsi="Arial" w:cs="Arial"/>
                <w:color w:val="000000"/>
                <w:sz w:val="16"/>
              </w:rPr>
            </w:pPr>
            <w:r w:rsidRPr="006209D7">
              <w:rPr>
                <w:rFonts w:ascii="Arial" w:eastAsia="Arial" w:hAnsi="Arial" w:cs="Arial"/>
                <w:color w:val="000000"/>
                <w:sz w:val="16"/>
              </w:rPr>
              <w:t>estimate</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1B79CDDD" w14:textId="77777777" w:rsidR="003F0EEA" w:rsidRPr="006209D7" w:rsidRDefault="00FB7D0B">
            <w:pPr>
              <w:jc w:val="right"/>
              <w:rPr>
                <w:rFonts w:ascii="Arial" w:eastAsia="Arial" w:hAnsi="Arial" w:cs="Arial"/>
                <w:color w:val="000000"/>
                <w:sz w:val="16"/>
              </w:rPr>
            </w:pPr>
            <w:r w:rsidRPr="006209D7">
              <w:rPr>
                <w:rFonts w:ascii="Arial" w:eastAsia="Arial" w:hAnsi="Arial" w:cs="Arial"/>
                <w:color w:val="000000"/>
                <w:sz w:val="16"/>
              </w:rPr>
              <w:t>estimate</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2ADB5806" w14:textId="77777777" w:rsidR="003F0EEA" w:rsidRPr="006209D7" w:rsidRDefault="00FB7D0B">
            <w:pPr>
              <w:jc w:val="right"/>
              <w:rPr>
                <w:rFonts w:ascii="Arial" w:eastAsia="Arial" w:hAnsi="Arial" w:cs="Arial"/>
                <w:color w:val="000000"/>
                <w:sz w:val="16"/>
              </w:rPr>
            </w:pPr>
            <w:r w:rsidRPr="006209D7">
              <w:rPr>
                <w:rFonts w:ascii="Arial" w:eastAsia="Arial" w:hAnsi="Arial" w:cs="Arial"/>
                <w:color w:val="000000"/>
                <w:sz w:val="16"/>
              </w:rPr>
              <w:t>estimate</w:t>
            </w:r>
          </w:p>
        </w:tc>
      </w:tr>
      <w:tr w:rsidR="00724034" w14:paraId="05C1BF7B" w14:textId="77777777">
        <w:trPr>
          <w:trHeight w:val="225"/>
        </w:trPr>
        <w:tc>
          <w:tcPr>
            <w:tcW w:w="180" w:type="dxa"/>
            <w:tcBorders>
              <w:top w:val="nil"/>
              <w:left w:val="nil"/>
              <w:bottom w:val="nil"/>
              <w:right w:val="nil"/>
              <w:tl2br w:val="nil"/>
              <w:tr2bl w:val="nil"/>
            </w:tcBorders>
            <w:shd w:val="clear" w:color="auto" w:fill="FFFFFF"/>
            <w:tcMar>
              <w:left w:w="101" w:type="dxa"/>
              <w:right w:w="101" w:type="dxa"/>
            </w:tcMar>
            <w:vAlign w:val="bottom"/>
          </w:tcPr>
          <w:p w14:paraId="37606DA1" w14:textId="77777777" w:rsidR="003F0EEA" w:rsidRPr="006209D7" w:rsidRDefault="003F0EEA">
            <w:pPr>
              <w:rPr>
                <w:rFonts w:ascii="Arial" w:eastAsia="Arial" w:hAnsi="Arial" w:cs="Arial"/>
                <w:color w:val="000000"/>
                <w:sz w:val="16"/>
              </w:rPr>
            </w:pPr>
          </w:p>
        </w:tc>
        <w:tc>
          <w:tcPr>
            <w:tcW w:w="180" w:type="dxa"/>
            <w:tcBorders>
              <w:top w:val="nil"/>
              <w:left w:val="nil"/>
              <w:bottom w:val="nil"/>
              <w:right w:val="nil"/>
              <w:tl2br w:val="nil"/>
              <w:tr2bl w:val="nil"/>
            </w:tcBorders>
            <w:shd w:val="clear" w:color="auto" w:fill="FFFFFF"/>
            <w:tcMar>
              <w:left w:w="101" w:type="dxa"/>
              <w:right w:w="101" w:type="dxa"/>
            </w:tcMar>
            <w:vAlign w:val="bottom"/>
          </w:tcPr>
          <w:p w14:paraId="095A7D4D" w14:textId="77777777" w:rsidR="003F0EEA" w:rsidRPr="006209D7" w:rsidRDefault="003F0EEA">
            <w:pPr>
              <w:rPr>
                <w:rFonts w:ascii="Arial" w:eastAsia="Arial" w:hAnsi="Arial" w:cs="Arial"/>
                <w:color w:val="000000"/>
                <w:sz w:val="16"/>
              </w:rPr>
            </w:pPr>
          </w:p>
        </w:tc>
        <w:tc>
          <w:tcPr>
            <w:tcW w:w="2700" w:type="dxa"/>
            <w:tcBorders>
              <w:top w:val="nil"/>
              <w:left w:val="nil"/>
              <w:bottom w:val="nil"/>
              <w:right w:val="nil"/>
              <w:tl2br w:val="nil"/>
              <w:tr2bl w:val="nil"/>
            </w:tcBorders>
            <w:shd w:val="clear" w:color="auto" w:fill="FFFFFF"/>
            <w:tcMar>
              <w:left w:w="101" w:type="dxa"/>
              <w:right w:w="101" w:type="dxa"/>
            </w:tcMar>
            <w:vAlign w:val="bottom"/>
          </w:tcPr>
          <w:p w14:paraId="6F85B535" w14:textId="77777777" w:rsidR="003F0EEA" w:rsidRPr="006209D7" w:rsidRDefault="003F0EEA">
            <w:pPr>
              <w:rPr>
                <w:rFonts w:ascii="Arial" w:eastAsia="Arial" w:hAnsi="Arial" w:cs="Arial"/>
                <w:color w:val="000000"/>
                <w:sz w:val="16"/>
              </w:rPr>
            </w:pP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7785A1F8" w14:textId="77777777" w:rsidR="003F0EEA" w:rsidRPr="006209D7" w:rsidRDefault="00FB7D0B">
            <w:pPr>
              <w:jc w:val="right"/>
              <w:rPr>
                <w:rFonts w:ascii="Arial" w:eastAsia="Arial" w:hAnsi="Arial" w:cs="Arial"/>
                <w:color w:val="000000"/>
                <w:sz w:val="16"/>
              </w:rPr>
            </w:pPr>
            <w:r w:rsidRPr="006209D7">
              <w:rPr>
                <w:rFonts w:ascii="Arial" w:eastAsia="Arial" w:hAnsi="Arial" w:cs="Arial"/>
                <w:color w:val="000000"/>
                <w:sz w:val="16"/>
              </w:rPr>
              <w:t>2013-14</w:t>
            </w:r>
          </w:p>
        </w:tc>
        <w:tc>
          <w:tcPr>
            <w:tcW w:w="915" w:type="dxa"/>
            <w:tcBorders>
              <w:top w:val="nil"/>
              <w:left w:val="nil"/>
              <w:bottom w:val="nil"/>
              <w:right w:val="nil"/>
              <w:tl2br w:val="nil"/>
              <w:tr2bl w:val="nil"/>
            </w:tcBorders>
            <w:shd w:val="clear" w:color="auto" w:fill="FFFF00"/>
            <w:tcMar>
              <w:left w:w="101" w:type="dxa"/>
              <w:right w:w="101" w:type="dxa"/>
            </w:tcMar>
            <w:vAlign w:val="bottom"/>
          </w:tcPr>
          <w:p w14:paraId="5CA3A0B3" w14:textId="77777777" w:rsidR="003F0EEA" w:rsidRPr="006209D7" w:rsidRDefault="00FB7D0B">
            <w:pPr>
              <w:jc w:val="right"/>
              <w:rPr>
                <w:rFonts w:ascii="Arial" w:eastAsia="Arial" w:hAnsi="Arial" w:cs="Arial"/>
                <w:color w:val="000000"/>
                <w:sz w:val="16"/>
              </w:rPr>
            </w:pPr>
            <w:r w:rsidRPr="006209D7">
              <w:rPr>
                <w:rFonts w:ascii="Arial" w:eastAsia="Arial" w:hAnsi="Arial" w:cs="Arial"/>
                <w:color w:val="000000"/>
                <w:sz w:val="16"/>
              </w:rPr>
              <w:t>2014-15</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0C58EBBE" w14:textId="77777777" w:rsidR="003F0EEA" w:rsidRPr="006209D7" w:rsidRDefault="00FB7D0B">
            <w:pPr>
              <w:jc w:val="right"/>
              <w:rPr>
                <w:rFonts w:ascii="Arial" w:eastAsia="Arial" w:hAnsi="Arial" w:cs="Arial"/>
                <w:color w:val="000000"/>
                <w:sz w:val="16"/>
              </w:rPr>
            </w:pPr>
            <w:r w:rsidRPr="006209D7">
              <w:rPr>
                <w:rFonts w:ascii="Arial" w:eastAsia="Arial" w:hAnsi="Arial" w:cs="Arial"/>
                <w:color w:val="000000"/>
                <w:sz w:val="16"/>
              </w:rPr>
              <w:t>2015-16</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4A587D0A" w14:textId="77777777" w:rsidR="003F0EEA" w:rsidRPr="006209D7" w:rsidRDefault="00FB7D0B">
            <w:pPr>
              <w:jc w:val="right"/>
              <w:rPr>
                <w:rFonts w:ascii="Arial" w:eastAsia="Arial" w:hAnsi="Arial" w:cs="Arial"/>
                <w:color w:val="000000"/>
                <w:sz w:val="16"/>
              </w:rPr>
            </w:pPr>
            <w:r w:rsidRPr="006209D7">
              <w:rPr>
                <w:rFonts w:ascii="Arial" w:eastAsia="Arial" w:hAnsi="Arial" w:cs="Arial"/>
                <w:color w:val="000000"/>
                <w:sz w:val="16"/>
              </w:rPr>
              <w:t>2016-17</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3FC1B822" w14:textId="77777777" w:rsidR="003F0EEA" w:rsidRPr="006209D7" w:rsidRDefault="00FB7D0B">
            <w:pPr>
              <w:jc w:val="right"/>
              <w:rPr>
                <w:rFonts w:ascii="Arial" w:eastAsia="Arial" w:hAnsi="Arial" w:cs="Arial"/>
                <w:color w:val="000000"/>
                <w:sz w:val="16"/>
              </w:rPr>
            </w:pPr>
            <w:r w:rsidRPr="006209D7">
              <w:rPr>
                <w:rFonts w:ascii="Arial" w:eastAsia="Arial" w:hAnsi="Arial" w:cs="Arial"/>
                <w:color w:val="000000"/>
                <w:sz w:val="16"/>
              </w:rPr>
              <w:t>2017-18</w:t>
            </w:r>
          </w:p>
        </w:tc>
      </w:tr>
      <w:tr w:rsidR="00724034" w14:paraId="474A1DAA" w14:textId="77777777">
        <w:trPr>
          <w:trHeight w:val="225"/>
        </w:trPr>
        <w:tc>
          <w:tcPr>
            <w:tcW w:w="180" w:type="dxa"/>
            <w:tcBorders>
              <w:top w:val="nil"/>
              <w:left w:val="nil"/>
              <w:bottom w:val="nil"/>
              <w:right w:val="nil"/>
              <w:tl2br w:val="nil"/>
              <w:tr2bl w:val="nil"/>
            </w:tcBorders>
            <w:shd w:val="clear" w:color="auto" w:fill="FFFFFF"/>
            <w:tcMar>
              <w:left w:w="101" w:type="dxa"/>
              <w:right w:w="101" w:type="dxa"/>
            </w:tcMar>
            <w:vAlign w:val="bottom"/>
          </w:tcPr>
          <w:p w14:paraId="74DB7DF7" w14:textId="77777777" w:rsidR="003F0EEA" w:rsidRPr="006209D7" w:rsidRDefault="003F0EEA">
            <w:pPr>
              <w:rPr>
                <w:rFonts w:ascii="Arial" w:eastAsia="Arial" w:hAnsi="Arial" w:cs="Arial"/>
                <w:color w:val="000000"/>
                <w:sz w:val="16"/>
              </w:rPr>
            </w:pPr>
          </w:p>
        </w:tc>
        <w:tc>
          <w:tcPr>
            <w:tcW w:w="180" w:type="dxa"/>
            <w:tcBorders>
              <w:top w:val="nil"/>
              <w:left w:val="nil"/>
              <w:bottom w:val="nil"/>
              <w:right w:val="nil"/>
              <w:tl2br w:val="nil"/>
              <w:tr2bl w:val="nil"/>
            </w:tcBorders>
            <w:shd w:val="clear" w:color="auto" w:fill="FFFFFF"/>
            <w:tcMar>
              <w:left w:w="101" w:type="dxa"/>
              <w:right w:w="101" w:type="dxa"/>
            </w:tcMar>
            <w:vAlign w:val="bottom"/>
          </w:tcPr>
          <w:p w14:paraId="237C53FC" w14:textId="77777777" w:rsidR="003F0EEA" w:rsidRPr="006209D7" w:rsidRDefault="003F0EEA">
            <w:pPr>
              <w:rPr>
                <w:rFonts w:ascii="Arial" w:eastAsia="Arial" w:hAnsi="Arial" w:cs="Arial"/>
                <w:color w:val="000000"/>
                <w:sz w:val="16"/>
              </w:rPr>
            </w:pPr>
          </w:p>
        </w:tc>
        <w:tc>
          <w:tcPr>
            <w:tcW w:w="2700" w:type="dxa"/>
            <w:tcBorders>
              <w:top w:val="nil"/>
              <w:left w:val="nil"/>
              <w:bottom w:val="nil"/>
              <w:right w:val="nil"/>
              <w:tl2br w:val="nil"/>
              <w:tr2bl w:val="nil"/>
            </w:tcBorders>
            <w:shd w:val="clear" w:color="auto" w:fill="FFFFFF"/>
            <w:tcMar>
              <w:left w:w="101" w:type="dxa"/>
              <w:right w:w="101" w:type="dxa"/>
            </w:tcMar>
            <w:vAlign w:val="bottom"/>
          </w:tcPr>
          <w:p w14:paraId="73AEA9B5" w14:textId="77777777" w:rsidR="003F0EEA" w:rsidRPr="006209D7" w:rsidRDefault="003F0EEA">
            <w:pPr>
              <w:rPr>
                <w:rFonts w:ascii="Arial" w:eastAsia="Arial" w:hAnsi="Arial" w:cs="Arial"/>
                <w:color w:val="000000"/>
                <w:sz w:val="16"/>
              </w:rPr>
            </w:pPr>
          </w:p>
        </w:tc>
        <w:tc>
          <w:tcPr>
            <w:tcW w:w="915"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0EB189AE" w14:textId="77777777" w:rsidR="003F0EEA" w:rsidRPr="006209D7" w:rsidRDefault="00FB7D0B">
            <w:pPr>
              <w:jc w:val="right"/>
              <w:rPr>
                <w:rFonts w:ascii="Arial" w:eastAsia="Arial" w:hAnsi="Arial" w:cs="Arial"/>
                <w:color w:val="000000"/>
                <w:sz w:val="16"/>
              </w:rPr>
            </w:pPr>
            <w:r w:rsidRPr="006209D7">
              <w:rPr>
                <w:rFonts w:ascii="Arial" w:eastAsia="Arial" w:hAnsi="Arial" w:cs="Arial"/>
                <w:color w:val="000000"/>
                <w:sz w:val="16"/>
              </w:rPr>
              <w:t>$'000</w:t>
            </w:r>
          </w:p>
        </w:tc>
        <w:tc>
          <w:tcPr>
            <w:tcW w:w="915" w:type="dxa"/>
            <w:tcBorders>
              <w:top w:val="nil"/>
              <w:left w:val="nil"/>
              <w:bottom w:val="single" w:sz="6" w:space="0" w:color="000000"/>
              <w:right w:val="nil"/>
              <w:tl2br w:val="nil"/>
              <w:tr2bl w:val="nil"/>
            </w:tcBorders>
            <w:shd w:val="clear" w:color="auto" w:fill="FFFF00"/>
            <w:tcMar>
              <w:left w:w="101" w:type="dxa"/>
              <w:right w:w="101" w:type="dxa"/>
            </w:tcMar>
            <w:vAlign w:val="bottom"/>
          </w:tcPr>
          <w:p w14:paraId="4BFB94AD" w14:textId="77777777" w:rsidR="003F0EEA" w:rsidRPr="006209D7" w:rsidRDefault="00FB7D0B">
            <w:pPr>
              <w:jc w:val="right"/>
              <w:rPr>
                <w:rFonts w:ascii="Arial" w:eastAsia="Arial" w:hAnsi="Arial" w:cs="Arial"/>
                <w:color w:val="000000"/>
                <w:sz w:val="16"/>
              </w:rPr>
            </w:pPr>
            <w:r w:rsidRPr="006209D7">
              <w:rPr>
                <w:rFonts w:ascii="Arial" w:eastAsia="Arial" w:hAnsi="Arial" w:cs="Arial"/>
                <w:color w:val="000000"/>
                <w:sz w:val="16"/>
              </w:rPr>
              <w:t>$'000</w:t>
            </w:r>
          </w:p>
        </w:tc>
        <w:tc>
          <w:tcPr>
            <w:tcW w:w="915"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0D83A118" w14:textId="77777777" w:rsidR="003F0EEA" w:rsidRPr="006209D7" w:rsidRDefault="00FB7D0B">
            <w:pPr>
              <w:jc w:val="right"/>
              <w:rPr>
                <w:rFonts w:ascii="Arial" w:eastAsia="Arial" w:hAnsi="Arial" w:cs="Arial"/>
                <w:color w:val="000000"/>
                <w:sz w:val="16"/>
              </w:rPr>
            </w:pPr>
            <w:r w:rsidRPr="006209D7">
              <w:rPr>
                <w:rFonts w:ascii="Arial" w:eastAsia="Arial" w:hAnsi="Arial" w:cs="Arial"/>
                <w:color w:val="000000"/>
                <w:sz w:val="16"/>
              </w:rPr>
              <w:t>$'000</w:t>
            </w:r>
          </w:p>
        </w:tc>
        <w:tc>
          <w:tcPr>
            <w:tcW w:w="915"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0DC7CCF2" w14:textId="77777777" w:rsidR="003F0EEA" w:rsidRPr="006209D7" w:rsidRDefault="00FB7D0B">
            <w:pPr>
              <w:jc w:val="right"/>
              <w:rPr>
                <w:rFonts w:ascii="Arial" w:eastAsia="Arial" w:hAnsi="Arial" w:cs="Arial"/>
                <w:color w:val="000000"/>
                <w:sz w:val="16"/>
              </w:rPr>
            </w:pPr>
            <w:r w:rsidRPr="006209D7">
              <w:rPr>
                <w:rFonts w:ascii="Arial" w:eastAsia="Arial" w:hAnsi="Arial" w:cs="Arial"/>
                <w:color w:val="000000"/>
                <w:sz w:val="16"/>
              </w:rPr>
              <w:t>$'000</w:t>
            </w:r>
          </w:p>
        </w:tc>
        <w:tc>
          <w:tcPr>
            <w:tcW w:w="915"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450E0E5F" w14:textId="77777777" w:rsidR="003F0EEA" w:rsidRPr="006209D7" w:rsidRDefault="00FB7D0B">
            <w:pPr>
              <w:jc w:val="right"/>
              <w:rPr>
                <w:rFonts w:ascii="Arial" w:eastAsia="Arial" w:hAnsi="Arial" w:cs="Arial"/>
                <w:color w:val="000000"/>
                <w:sz w:val="16"/>
              </w:rPr>
            </w:pPr>
            <w:r w:rsidRPr="006209D7">
              <w:rPr>
                <w:rFonts w:ascii="Arial" w:eastAsia="Arial" w:hAnsi="Arial" w:cs="Arial"/>
                <w:color w:val="000000"/>
                <w:sz w:val="16"/>
              </w:rPr>
              <w:t>$'000</w:t>
            </w:r>
          </w:p>
        </w:tc>
      </w:tr>
      <w:tr w:rsidR="00FB7D0B" w14:paraId="1FE3DAFB" w14:textId="77777777" w:rsidTr="00FB7D0B">
        <w:trPr>
          <w:trHeight w:val="225"/>
        </w:trPr>
        <w:tc>
          <w:tcPr>
            <w:tcW w:w="3060" w:type="dxa"/>
            <w:gridSpan w:val="3"/>
            <w:tcBorders>
              <w:top w:val="nil"/>
              <w:left w:val="nil"/>
              <w:bottom w:val="nil"/>
              <w:right w:val="nil"/>
              <w:tl2br w:val="nil"/>
              <w:tr2bl w:val="nil"/>
            </w:tcBorders>
            <w:shd w:val="clear" w:color="auto" w:fill="FFFFFF"/>
            <w:tcMar>
              <w:left w:w="101" w:type="dxa"/>
              <w:right w:w="101" w:type="dxa"/>
            </w:tcMar>
            <w:vAlign w:val="bottom"/>
          </w:tcPr>
          <w:p w14:paraId="0160E3B8" w14:textId="77777777" w:rsidR="003F0EEA" w:rsidRPr="006209D7" w:rsidRDefault="00FB7D0B">
            <w:pPr>
              <w:rPr>
                <w:rFonts w:ascii="Arial" w:eastAsia="Arial" w:hAnsi="Arial" w:cs="Arial"/>
                <w:color w:val="000000"/>
                <w:sz w:val="16"/>
              </w:rPr>
            </w:pPr>
            <w:r w:rsidRPr="006209D7">
              <w:rPr>
                <w:rFonts w:ascii="Arial" w:eastAsia="Arial" w:hAnsi="Arial" w:cs="Arial"/>
                <w:b/>
                <w:color w:val="000000"/>
                <w:sz w:val="16"/>
              </w:rPr>
              <w:t>EXPENSE</w:t>
            </w:r>
          </w:p>
        </w:tc>
        <w:tc>
          <w:tcPr>
            <w:tcW w:w="91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7D0CBEF7" w14:textId="77777777" w:rsidR="003F0EEA" w:rsidRPr="006209D7" w:rsidRDefault="003F0EEA">
            <w:pPr>
              <w:rPr>
                <w:rFonts w:ascii="Arial" w:eastAsia="Arial" w:hAnsi="Arial" w:cs="Arial"/>
                <w:b/>
                <w:color w:val="000000"/>
                <w:sz w:val="16"/>
              </w:rPr>
            </w:pPr>
          </w:p>
        </w:tc>
        <w:tc>
          <w:tcPr>
            <w:tcW w:w="915" w:type="dxa"/>
            <w:tcBorders>
              <w:top w:val="single" w:sz="6" w:space="0" w:color="000000"/>
              <w:left w:val="nil"/>
              <w:bottom w:val="nil"/>
              <w:right w:val="nil"/>
              <w:tl2br w:val="nil"/>
              <w:tr2bl w:val="nil"/>
            </w:tcBorders>
            <w:shd w:val="clear" w:color="auto" w:fill="FFFF00"/>
            <w:tcMar>
              <w:left w:w="101" w:type="dxa"/>
              <w:right w:w="101" w:type="dxa"/>
            </w:tcMar>
            <w:vAlign w:val="bottom"/>
          </w:tcPr>
          <w:p w14:paraId="6D07019D" w14:textId="77777777" w:rsidR="003F0EEA" w:rsidRPr="006209D7" w:rsidRDefault="003F0EEA">
            <w:pPr>
              <w:rPr>
                <w:rFonts w:ascii="Arial" w:eastAsia="Arial" w:hAnsi="Arial" w:cs="Arial"/>
                <w:color w:val="000000"/>
                <w:sz w:val="16"/>
              </w:rPr>
            </w:pPr>
          </w:p>
        </w:tc>
        <w:tc>
          <w:tcPr>
            <w:tcW w:w="91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40D5E164" w14:textId="77777777" w:rsidR="003F0EEA" w:rsidRPr="006209D7" w:rsidRDefault="003F0EEA">
            <w:pPr>
              <w:rPr>
                <w:rFonts w:ascii="Arial" w:eastAsia="Arial" w:hAnsi="Arial" w:cs="Arial"/>
                <w:color w:val="000000"/>
                <w:sz w:val="16"/>
              </w:rPr>
            </w:pPr>
          </w:p>
        </w:tc>
        <w:tc>
          <w:tcPr>
            <w:tcW w:w="91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68348ED2" w14:textId="77777777" w:rsidR="003F0EEA" w:rsidRPr="006209D7" w:rsidRDefault="003F0EEA">
            <w:pPr>
              <w:rPr>
                <w:rFonts w:ascii="Arial" w:eastAsia="Arial" w:hAnsi="Arial" w:cs="Arial"/>
                <w:color w:val="000000"/>
                <w:sz w:val="16"/>
              </w:rPr>
            </w:pPr>
          </w:p>
        </w:tc>
        <w:tc>
          <w:tcPr>
            <w:tcW w:w="91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4357F1CB" w14:textId="77777777" w:rsidR="003F0EEA" w:rsidRPr="006209D7" w:rsidRDefault="003F0EEA">
            <w:pPr>
              <w:rPr>
                <w:rFonts w:ascii="Arial" w:eastAsia="Arial" w:hAnsi="Arial" w:cs="Arial"/>
                <w:color w:val="000000"/>
                <w:sz w:val="16"/>
              </w:rPr>
            </w:pPr>
          </w:p>
        </w:tc>
      </w:tr>
      <w:tr w:rsidR="00FB7D0B" w14:paraId="384634E1" w14:textId="77777777" w:rsidTr="00FB7D0B">
        <w:trPr>
          <w:trHeight w:val="225"/>
        </w:trPr>
        <w:tc>
          <w:tcPr>
            <w:tcW w:w="180" w:type="dxa"/>
            <w:tcBorders>
              <w:top w:val="nil"/>
              <w:left w:val="nil"/>
              <w:bottom w:val="nil"/>
              <w:right w:val="nil"/>
              <w:tl2br w:val="nil"/>
              <w:tr2bl w:val="nil"/>
            </w:tcBorders>
            <w:shd w:val="clear" w:color="auto" w:fill="FFFFFF"/>
            <w:tcMar>
              <w:left w:w="101" w:type="dxa"/>
              <w:right w:w="101" w:type="dxa"/>
            </w:tcMar>
            <w:vAlign w:val="bottom"/>
          </w:tcPr>
          <w:p w14:paraId="035487AF" w14:textId="77777777" w:rsidR="003F0EEA" w:rsidRPr="006209D7" w:rsidRDefault="003F0EEA">
            <w:pPr>
              <w:rPr>
                <w:rFonts w:ascii="Arial" w:eastAsia="Arial" w:hAnsi="Arial" w:cs="Arial"/>
                <w:color w:val="000000"/>
                <w:sz w:val="16"/>
              </w:rPr>
            </w:pPr>
          </w:p>
        </w:tc>
        <w:tc>
          <w:tcPr>
            <w:tcW w:w="2880" w:type="dxa"/>
            <w:gridSpan w:val="2"/>
            <w:vMerge w:val="restart"/>
            <w:tcBorders>
              <w:top w:val="nil"/>
              <w:left w:val="nil"/>
              <w:bottom w:val="nil"/>
              <w:right w:val="nil"/>
              <w:tl2br w:val="nil"/>
              <w:tr2bl w:val="nil"/>
            </w:tcBorders>
            <w:shd w:val="clear" w:color="auto" w:fill="FFFFFF"/>
            <w:tcMar>
              <w:left w:w="101" w:type="dxa"/>
              <w:right w:w="101" w:type="dxa"/>
            </w:tcMar>
            <w:vAlign w:val="bottom"/>
          </w:tcPr>
          <w:p w14:paraId="5CE5F666" w14:textId="77777777" w:rsidR="003F0EEA" w:rsidRPr="006209D7" w:rsidRDefault="00FB7D0B">
            <w:pPr>
              <w:rPr>
                <w:rFonts w:ascii="Arial" w:eastAsia="Arial" w:hAnsi="Arial" w:cs="Arial"/>
                <w:color w:val="000000"/>
                <w:sz w:val="16"/>
              </w:rPr>
            </w:pPr>
            <w:r w:rsidRPr="006209D7">
              <w:rPr>
                <w:rFonts w:ascii="Arial" w:eastAsia="Arial" w:hAnsi="Arial" w:cs="Arial"/>
                <w:color w:val="000000"/>
                <w:sz w:val="16"/>
              </w:rPr>
              <w:t>Employee benefits</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7D2A9F3D" w14:textId="77777777" w:rsidR="003F0EEA" w:rsidRPr="006209D7" w:rsidRDefault="00FB7D0B">
            <w:pPr>
              <w:jc w:val="right"/>
              <w:rPr>
                <w:rFonts w:ascii="Arial" w:eastAsia="Arial" w:hAnsi="Arial" w:cs="Arial"/>
                <w:color w:val="000000"/>
                <w:sz w:val="16"/>
              </w:rPr>
            </w:pPr>
            <w:r w:rsidRPr="006209D7">
              <w:rPr>
                <w:rFonts w:ascii="Arial" w:eastAsia="Arial" w:hAnsi="Arial" w:cs="Arial"/>
                <w:color w:val="000000"/>
                <w:sz w:val="16"/>
              </w:rPr>
              <w:t xml:space="preserve"> 188,363 </w:t>
            </w:r>
          </w:p>
        </w:tc>
        <w:tc>
          <w:tcPr>
            <w:tcW w:w="915" w:type="dxa"/>
            <w:tcBorders>
              <w:top w:val="nil"/>
              <w:left w:val="nil"/>
              <w:bottom w:val="nil"/>
              <w:right w:val="nil"/>
              <w:tl2br w:val="nil"/>
              <w:tr2bl w:val="nil"/>
            </w:tcBorders>
            <w:shd w:val="clear" w:color="auto" w:fill="FFFF00"/>
            <w:tcMar>
              <w:left w:w="101" w:type="dxa"/>
              <w:right w:w="101" w:type="dxa"/>
            </w:tcMar>
            <w:vAlign w:val="bottom"/>
          </w:tcPr>
          <w:p w14:paraId="672BE57D" w14:textId="77777777" w:rsidR="003F0EEA" w:rsidRPr="006209D7" w:rsidRDefault="00FB7D0B">
            <w:pPr>
              <w:jc w:val="right"/>
              <w:rPr>
                <w:rFonts w:ascii="Arial" w:eastAsia="Arial" w:hAnsi="Arial" w:cs="Arial"/>
                <w:color w:val="000000"/>
                <w:sz w:val="16"/>
              </w:rPr>
            </w:pPr>
            <w:r w:rsidRPr="006209D7">
              <w:rPr>
                <w:rFonts w:ascii="Arial" w:eastAsia="Arial" w:hAnsi="Arial" w:cs="Arial"/>
                <w:color w:val="000000"/>
                <w:sz w:val="16"/>
              </w:rPr>
              <w:t xml:space="preserve"> 185,138 </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1A0FCFD8" w14:textId="77777777" w:rsidR="003F0EEA" w:rsidRPr="006209D7" w:rsidRDefault="00FB7D0B">
            <w:pPr>
              <w:jc w:val="right"/>
              <w:rPr>
                <w:rFonts w:ascii="Arial" w:eastAsia="Arial" w:hAnsi="Arial" w:cs="Arial"/>
                <w:color w:val="000000"/>
                <w:sz w:val="16"/>
              </w:rPr>
            </w:pPr>
            <w:r w:rsidRPr="006209D7">
              <w:rPr>
                <w:rFonts w:ascii="Arial" w:eastAsia="Arial" w:hAnsi="Arial" w:cs="Arial"/>
                <w:color w:val="000000"/>
                <w:sz w:val="16"/>
              </w:rPr>
              <w:t xml:space="preserve"> 176,992 </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6BA5465E" w14:textId="77777777" w:rsidR="003F0EEA" w:rsidRPr="006209D7" w:rsidRDefault="00FB7D0B">
            <w:pPr>
              <w:jc w:val="right"/>
              <w:rPr>
                <w:rFonts w:ascii="Arial" w:eastAsia="Arial" w:hAnsi="Arial" w:cs="Arial"/>
                <w:color w:val="000000"/>
                <w:sz w:val="16"/>
              </w:rPr>
            </w:pPr>
            <w:r w:rsidRPr="006209D7">
              <w:rPr>
                <w:rFonts w:ascii="Arial" w:eastAsia="Arial" w:hAnsi="Arial" w:cs="Arial"/>
                <w:color w:val="000000"/>
                <w:sz w:val="16"/>
              </w:rPr>
              <w:t xml:space="preserve"> 173,751 </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3E896721" w14:textId="77777777" w:rsidR="003F0EEA" w:rsidRPr="006209D7" w:rsidRDefault="00FB7D0B">
            <w:pPr>
              <w:jc w:val="right"/>
              <w:rPr>
                <w:rFonts w:ascii="Arial" w:eastAsia="Arial" w:hAnsi="Arial" w:cs="Arial"/>
                <w:color w:val="000000"/>
                <w:sz w:val="16"/>
              </w:rPr>
            </w:pPr>
            <w:r w:rsidRPr="006209D7">
              <w:rPr>
                <w:rFonts w:ascii="Arial" w:eastAsia="Arial" w:hAnsi="Arial" w:cs="Arial"/>
                <w:color w:val="000000"/>
                <w:sz w:val="16"/>
              </w:rPr>
              <w:t xml:space="preserve"> 176,137 </w:t>
            </w:r>
          </w:p>
        </w:tc>
      </w:tr>
      <w:tr w:rsidR="00FB7D0B" w14:paraId="1B210BEB" w14:textId="77777777" w:rsidTr="00FB7D0B">
        <w:trPr>
          <w:trHeight w:val="225"/>
        </w:trPr>
        <w:tc>
          <w:tcPr>
            <w:tcW w:w="180" w:type="dxa"/>
            <w:tcBorders>
              <w:top w:val="nil"/>
              <w:left w:val="nil"/>
              <w:bottom w:val="nil"/>
              <w:right w:val="nil"/>
              <w:tl2br w:val="nil"/>
              <w:tr2bl w:val="nil"/>
            </w:tcBorders>
            <w:shd w:val="clear" w:color="auto" w:fill="FFFFFF"/>
            <w:tcMar>
              <w:left w:w="101" w:type="dxa"/>
              <w:right w:w="101" w:type="dxa"/>
            </w:tcMar>
            <w:vAlign w:val="bottom"/>
          </w:tcPr>
          <w:p w14:paraId="7867780C" w14:textId="77777777" w:rsidR="003F0EEA" w:rsidRPr="006209D7" w:rsidRDefault="003F0EEA">
            <w:pPr>
              <w:rPr>
                <w:rFonts w:ascii="Arial" w:eastAsia="Arial" w:hAnsi="Arial" w:cs="Arial"/>
                <w:color w:val="000000"/>
                <w:sz w:val="16"/>
              </w:rPr>
            </w:pPr>
          </w:p>
        </w:tc>
        <w:tc>
          <w:tcPr>
            <w:tcW w:w="2880" w:type="dxa"/>
            <w:gridSpan w:val="2"/>
            <w:vMerge w:val="restart"/>
            <w:tcBorders>
              <w:top w:val="nil"/>
              <w:left w:val="nil"/>
              <w:bottom w:val="nil"/>
              <w:right w:val="nil"/>
              <w:tl2br w:val="nil"/>
              <w:tr2bl w:val="nil"/>
            </w:tcBorders>
            <w:shd w:val="clear" w:color="auto" w:fill="FFFFFF"/>
            <w:tcMar>
              <w:left w:w="101" w:type="dxa"/>
              <w:right w:w="101" w:type="dxa"/>
            </w:tcMar>
            <w:vAlign w:val="bottom"/>
          </w:tcPr>
          <w:p w14:paraId="34755C2C" w14:textId="77777777" w:rsidR="003F0EEA" w:rsidRPr="006209D7" w:rsidRDefault="00FB7D0B">
            <w:pPr>
              <w:rPr>
                <w:rFonts w:ascii="Arial" w:eastAsia="Arial" w:hAnsi="Arial" w:cs="Arial"/>
                <w:color w:val="000000"/>
                <w:sz w:val="16"/>
              </w:rPr>
            </w:pPr>
            <w:r w:rsidRPr="006209D7">
              <w:rPr>
                <w:rFonts w:ascii="Arial" w:eastAsia="Arial" w:hAnsi="Arial" w:cs="Arial"/>
                <w:color w:val="000000"/>
                <w:sz w:val="16"/>
              </w:rPr>
              <w:t>Supplier expenses</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155DC88C" w14:textId="77777777" w:rsidR="003F0EEA" w:rsidRPr="006209D7" w:rsidRDefault="00FB7D0B">
            <w:pPr>
              <w:jc w:val="right"/>
              <w:rPr>
                <w:rFonts w:ascii="Arial" w:eastAsia="Arial" w:hAnsi="Arial" w:cs="Arial"/>
                <w:color w:val="000000"/>
                <w:sz w:val="16"/>
              </w:rPr>
            </w:pPr>
            <w:r w:rsidRPr="006209D7">
              <w:rPr>
                <w:rFonts w:ascii="Arial" w:eastAsia="Arial" w:hAnsi="Arial" w:cs="Arial"/>
                <w:color w:val="000000"/>
                <w:sz w:val="16"/>
              </w:rPr>
              <w:t xml:space="preserve"> 112,074 </w:t>
            </w:r>
          </w:p>
        </w:tc>
        <w:tc>
          <w:tcPr>
            <w:tcW w:w="915" w:type="dxa"/>
            <w:tcBorders>
              <w:top w:val="nil"/>
              <w:left w:val="nil"/>
              <w:bottom w:val="nil"/>
              <w:right w:val="nil"/>
              <w:tl2br w:val="nil"/>
              <w:tr2bl w:val="nil"/>
            </w:tcBorders>
            <w:shd w:val="clear" w:color="auto" w:fill="FFFF00"/>
            <w:tcMar>
              <w:left w:w="101" w:type="dxa"/>
              <w:right w:w="101" w:type="dxa"/>
            </w:tcMar>
            <w:vAlign w:val="bottom"/>
          </w:tcPr>
          <w:p w14:paraId="49E35E0D" w14:textId="77777777" w:rsidR="003F0EEA" w:rsidRPr="006209D7" w:rsidRDefault="00FB7D0B">
            <w:pPr>
              <w:jc w:val="right"/>
              <w:rPr>
                <w:rFonts w:ascii="Arial" w:eastAsia="Arial" w:hAnsi="Arial" w:cs="Arial"/>
                <w:color w:val="000000"/>
                <w:sz w:val="16"/>
              </w:rPr>
            </w:pPr>
            <w:r w:rsidRPr="006209D7">
              <w:rPr>
                <w:rFonts w:ascii="Arial" w:eastAsia="Arial" w:hAnsi="Arial" w:cs="Arial"/>
                <w:color w:val="000000"/>
                <w:sz w:val="16"/>
              </w:rPr>
              <w:t xml:space="preserve"> 110,429 </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329C0598" w14:textId="77777777" w:rsidR="003F0EEA" w:rsidRPr="006209D7" w:rsidRDefault="00FB7D0B">
            <w:pPr>
              <w:jc w:val="right"/>
              <w:rPr>
                <w:rFonts w:ascii="Arial" w:eastAsia="Arial" w:hAnsi="Arial" w:cs="Arial"/>
                <w:color w:val="000000"/>
                <w:sz w:val="16"/>
              </w:rPr>
            </w:pPr>
            <w:r w:rsidRPr="006209D7">
              <w:rPr>
                <w:rFonts w:ascii="Arial" w:eastAsia="Arial" w:hAnsi="Arial" w:cs="Arial"/>
                <w:color w:val="000000"/>
                <w:sz w:val="16"/>
              </w:rPr>
              <w:t xml:space="preserve"> 109,190 </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268F6F23" w14:textId="77777777" w:rsidR="003F0EEA" w:rsidRPr="006209D7" w:rsidRDefault="00FB7D0B">
            <w:pPr>
              <w:jc w:val="right"/>
              <w:rPr>
                <w:rFonts w:ascii="Arial" w:eastAsia="Arial" w:hAnsi="Arial" w:cs="Arial"/>
                <w:color w:val="000000"/>
                <w:sz w:val="16"/>
              </w:rPr>
            </w:pPr>
            <w:r w:rsidRPr="006209D7">
              <w:rPr>
                <w:rFonts w:ascii="Arial" w:eastAsia="Arial" w:hAnsi="Arial" w:cs="Arial"/>
                <w:color w:val="000000"/>
                <w:sz w:val="16"/>
              </w:rPr>
              <w:t xml:space="preserve"> 105,527 </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67A7602A" w14:textId="77777777" w:rsidR="003F0EEA" w:rsidRPr="006209D7" w:rsidRDefault="00FB7D0B">
            <w:pPr>
              <w:jc w:val="right"/>
              <w:rPr>
                <w:rFonts w:ascii="Arial" w:eastAsia="Arial" w:hAnsi="Arial" w:cs="Arial"/>
                <w:color w:val="000000"/>
                <w:sz w:val="16"/>
              </w:rPr>
            </w:pPr>
            <w:r w:rsidRPr="006209D7">
              <w:rPr>
                <w:rFonts w:ascii="Arial" w:eastAsia="Arial" w:hAnsi="Arial" w:cs="Arial"/>
                <w:color w:val="000000"/>
                <w:sz w:val="16"/>
              </w:rPr>
              <w:t xml:space="preserve"> 105,200 </w:t>
            </w:r>
          </w:p>
        </w:tc>
      </w:tr>
      <w:tr w:rsidR="00FB7D0B" w14:paraId="24FB83B5" w14:textId="77777777" w:rsidTr="00FB7D0B">
        <w:trPr>
          <w:trHeight w:val="225"/>
        </w:trPr>
        <w:tc>
          <w:tcPr>
            <w:tcW w:w="180" w:type="dxa"/>
            <w:tcBorders>
              <w:top w:val="nil"/>
              <w:left w:val="nil"/>
              <w:bottom w:val="nil"/>
              <w:right w:val="nil"/>
              <w:tl2br w:val="nil"/>
              <w:tr2bl w:val="nil"/>
            </w:tcBorders>
            <w:shd w:val="clear" w:color="auto" w:fill="FFFFFF"/>
            <w:tcMar>
              <w:left w:w="101" w:type="dxa"/>
              <w:right w:w="101" w:type="dxa"/>
            </w:tcMar>
            <w:vAlign w:val="bottom"/>
          </w:tcPr>
          <w:p w14:paraId="5DD2F5FC" w14:textId="77777777" w:rsidR="003F0EEA" w:rsidRPr="006209D7" w:rsidRDefault="003F0EEA">
            <w:pPr>
              <w:rPr>
                <w:rFonts w:ascii="Arial" w:eastAsia="Arial" w:hAnsi="Arial" w:cs="Arial"/>
                <w:color w:val="000000"/>
                <w:sz w:val="16"/>
              </w:rPr>
            </w:pPr>
          </w:p>
        </w:tc>
        <w:tc>
          <w:tcPr>
            <w:tcW w:w="2880" w:type="dxa"/>
            <w:gridSpan w:val="2"/>
            <w:tcBorders>
              <w:top w:val="nil"/>
              <w:left w:val="nil"/>
              <w:bottom w:val="nil"/>
              <w:right w:val="nil"/>
              <w:tl2br w:val="nil"/>
              <w:tr2bl w:val="nil"/>
            </w:tcBorders>
            <w:shd w:val="clear" w:color="auto" w:fill="FFFFFF"/>
            <w:tcMar>
              <w:left w:w="101" w:type="dxa"/>
              <w:right w:w="101" w:type="dxa"/>
            </w:tcMar>
            <w:vAlign w:val="bottom"/>
          </w:tcPr>
          <w:p w14:paraId="0133A68F" w14:textId="77777777" w:rsidR="003F0EEA" w:rsidRPr="006209D7" w:rsidRDefault="00FB7D0B">
            <w:pPr>
              <w:rPr>
                <w:rFonts w:ascii="Arial" w:eastAsia="Arial" w:hAnsi="Arial" w:cs="Arial"/>
                <w:color w:val="000000"/>
                <w:sz w:val="16"/>
              </w:rPr>
            </w:pPr>
            <w:r w:rsidRPr="006209D7">
              <w:rPr>
                <w:rFonts w:ascii="Arial" w:eastAsia="Arial" w:hAnsi="Arial" w:cs="Arial"/>
                <w:color w:val="000000"/>
                <w:sz w:val="16"/>
              </w:rPr>
              <w:t>Depreciation and amortisation</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35895F8B" w14:textId="77777777" w:rsidR="003F0EEA" w:rsidRPr="006209D7" w:rsidRDefault="00FB7D0B">
            <w:pPr>
              <w:jc w:val="right"/>
              <w:rPr>
                <w:rFonts w:ascii="Arial" w:eastAsia="Arial" w:hAnsi="Arial" w:cs="Arial"/>
                <w:color w:val="000000"/>
                <w:sz w:val="16"/>
              </w:rPr>
            </w:pPr>
            <w:r w:rsidRPr="006209D7">
              <w:rPr>
                <w:rFonts w:ascii="Arial" w:eastAsia="Arial" w:hAnsi="Arial" w:cs="Arial"/>
                <w:color w:val="000000"/>
                <w:sz w:val="16"/>
              </w:rPr>
              <w:t xml:space="preserve"> 28,996 </w:t>
            </w:r>
          </w:p>
        </w:tc>
        <w:tc>
          <w:tcPr>
            <w:tcW w:w="915" w:type="dxa"/>
            <w:tcBorders>
              <w:top w:val="nil"/>
              <w:left w:val="nil"/>
              <w:bottom w:val="nil"/>
              <w:right w:val="nil"/>
              <w:tl2br w:val="nil"/>
              <w:tr2bl w:val="nil"/>
            </w:tcBorders>
            <w:shd w:val="clear" w:color="auto" w:fill="FFFF00"/>
            <w:tcMar>
              <w:left w:w="101" w:type="dxa"/>
              <w:right w:w="101" w:type="dxa"/>
            </w:tcMar>
            <w:vAlign w:val="bottom"/>
          </w:tcPr>
          <w:p w14:paraId="722315AF" w14:textId="77777777" w:rsidR="003F0EEA" w:rsidRPr="006209D7" w:rsidRDefault="00FB7D0B">
            <w:pPr>
              <w:jc w:val="right"/>
              <w:rPr>
                <w:rFonts w:ascii="Arial" w:eastAsia="Arial" w:hAnsi="Arial" w:cs="Arial"/>
                <w:color w:val="000000"/>
                <w:sz w:val="16"/>
              </w:rPr>
            </w:pPr>
            <w:r w:rsidRPr="006209D7">
              <w:rPr>
                <w:rFonts w:ascii="Arial" w:eastAsia="Arial" w:hAnsi="Arial" w:cs="Arial"/>
                <w:color w:val="000000"/>
                <w:sz w:val="16"/>
              </w:rPr>
              <w:t xml:space="preserve"> 32,590 </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4703DD19" w14:textId="77777777" w:rsidR="003F0EEA" w:rsidRPr="006209D7" w:rsidRDefault="00FB7D0B">
            <w:pPr>
              <w:jc w:val="right"/>
              <w:rPr>
                <w:rFonts w:ascii="Arial" w:eastAsia="Arial" w:hAnsi="Arial" w:cs="Arial"/>
                <w:color w:val="000000"/>
                <w:sz w:val="16"/>
              </w:rPr>
            </w:pPr>
            <w:r w:rsidRPr="006209D7">
              <w:rPr>
                <w:rFonts w:ascii="Arial" w:eastAsia="Arial" w:hAnsi="Arial" w:cs="Arial"/>
                <w:color w:val="000000"/>
                <w:sz w:val="16"/>
              </w:rPr>
              <w:t xml:space="preserve"> 29,566 </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7A45F21A" w14:textId="77777777" w:rsidR="003F0EEA" w:rsidRPr="006209D7" w:rsidRDefault="00FB7D0B">
            <w:pPr>
              <w:jc w:val="right"/>
              <w:rPr>
                <w:rFonts w:ascii="Arial" w:eastAsia="Arial" w:hAnsi="Arial" w:cs="Arial"/>
                <w:color w:val="000000"/>
                <w:sz w:val="16"/>
              </w:rPr>
            </w:pPr>
            <w:r w:rsidRPr="006209D7">
              <w:rPr>
                <w:rFonts w:ascii="Arial" w:eastAsia="Arial" w:hAnsi="Arial" w:cs="Arial"/>
                <w:color w:val="000000"/>
                <w:sz w:val="16"/>
              </w:rPr>
              <w:t xml:space="preserve"> 27,045 </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6865D078" w14:textId="77777777" w:rsidR="003F0EEA" w:rsidRPr="006209D7" w:rsidRDefault="00FB7D0B">
            <w:pPr>
              <w:jc w:val="right"/>
              <w:rPr>
                <w:rFonts w:ascii="Arial" w:eastAsia="Arial" w:hAnsi="Arial" w:cs="Arial"/>
                <w:color w:val="000000"/>
                <w:sz w:val="16"/>
              </w:rPr>
            </w:pPr>
            <w:r w:rsidRPr="006209D7">
              <w:rPr>
                <w:rFonts w:ascii="Arial" w:eastAsia="Arial" w:hAnsi="Arial" w:cs="Arial"/>
                <w:color w:val="000000"/>
                <w:sz w:val="16"/>
              </w:rPr>
              <w:t xml:space="preserve"> 22,455 </w:t>
            </w:r>
          </w:p>
        </w:tc>
      </w:tr>
      <w:tr w:rsidR="00FB7D0B" w14:paraId="58600F56" w14:textId="77777777" w:rsidTr="00FB7D0B">
        <w:trPr>
          <w:trHeight w:val="225"/>
        </w:trPr>
        <w:tc>
          <w:tcPr>
            <w:tcW w:w="3060" w:type="dxa"/>
            <w:gridSpan w:val="3"/>
            <w:tcBorders>
              <w:top w:val="nil"/>
              <w:left w:val="nil"/>
              <w:bottom w:val="nil"/>
              <w:right w:val="nil"/>
              <w:tl2br w:val="nil"/>
              <w:tr2bl w:val="nil"/>
            </w:tcBorders>
            <w:shd w:val="clear" w:color="auto" w:fill="FFFFFF"/>
            <w:tcMar>
              <w:left w:w="101" w:type="dxa"/>
              <w:right w:w="101" w:type="dxa"/>
            </w:tcMar>
            <w:vAlign w:val="bottom"/>
          </w:tcPr>
          <w:p w14:paraId="5FF870BF" w14:textId="77777777" w:rsidR="003F0EEA" w:rsidRPr="006209D7" w:rsidRDefault="00FB7D0B">
            <w:pPr>
              <w:rPr>
                <w:rFonts w:ascii="Arial" w:eastAsia="Arial" w:hAnsi="Arial" w:cs="Arial"/>
                <w:color w:val="000000"/>
                <w:sz w:val="16"/>
              </w:rPr>
            </w:pPr>
            <w:r w:rsidRPr="006209D7">
              <w:rPr>
                <w:rFonts w:ascii="Arial" w:eastAsia="Arial" w:hAnsi="Arial" w:cs="Arial"/>
                <w:b/>
                <w:color w:val="000000"/>
                <w:sz w:val="16"/>
              </w:rPr>
              <w:t>Total expenses</w:t>
            </w:r>
          </w:p>
        </w:tc>
        <w:tc>
          <w:tcPr>
            <w:tcW w:w="915"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590A3FDA" w14:textId="77777777" w:rsidR="003F0EEA" w:rsidRPr="006209D7" w:rsidRDefault="00FB7D0B">
            <w:pPr>
              <w:jc w:val="right"/>
              <w:rPr>
                <w:rFonts w:ascii="Arial" w:eastAsia="Arial" w:hAnsi="Arial" w:cs="Arial"/>
                <w:b/>
                <w:color w:val="000000"/>
                <w:sz w:val="16"/>
              </w:rPr>
            </w:pPr>
            <w:r w:rsidRPr="006209D7">
              <w:rPr>
                <w:rFonts w:ascii="Arial" w:eastAsia="Arial" w:hAnsi="Arial" w:cs="Arial"/>
                <w:b/>
                <w:color w:val="000000"/>
                <w:sz w:val="16"/>
              </w:rPr>
              <w:t xml:space="preserve"> 329,433 </w:t>
            </w:r>
          </w:p>
        </w:tc>
        <w:tc>
          <w:tcPr>
            <w:tcW w:w="915" w:type="dxa"/>
            <w:tcBorders>
              <w:top w:val="single" w:sz="6" w:space="0" w:color="000000"/>
              <w:left w:val="nil"/>
              <w:bottom w:val="single" w:sz="6" w:space="0" w:color="000000"/>
              <w:right w:val="nil"/>
              <w:tl2br w:val="nil"/>
              <w:tr2bl w:val="nil"/>
            </w:tcBorders>
            <w:shd w:val="clear" w:color="auto" w:fill="FFFF00"/>
            <w:tcMar>
              <w:left w:w="101" w:type="dxa"/>
              <w:right w:w="101" w:type="dxa"/>
            </w:tcMar>
            <w:vAlign w:val="bottom"/>
          </w:tcPr>
          <w:p w14:paraId="794080AF" w14:textId="77777777" w:rsidR="003F0EEA" w:rsidRPr="006209D7" w:rsidRDefault="00FB7D0B">
            <w:pPr>
              <w:jc w:val="right"/>
              <w:rPr>
                <w:rFonts w:ascii="Arial" w:eastAsia="Arial" w:hAnsi="Arial" w:cs="Arial"/>
                <w:b/>
                <w:color w:val="000000"/>
                <w:sz w:val="16"/>
              </w:rPr>
            </w:pPr>
            <w:r w:rsidRPr="006209D7">
              <w:rPr>
                <w:rFonts w:ascii="Arial" w:eastAsia="Arial" w:hAnsi="Arial" w:cs="Arial"/>
                <w:b/>
                <w:color w:val="000000"/>
                <w:sz w:val="16"/>
              </w:rPr>
              <w:t xml:space="preserve"> 328,157 </w:t>
            </w:r>
          </w:p>
        </w:tc>
        <w:tc>
          <w:tcPr>
            <w:tcW w:w="915"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3A95A865" w14:textId="77777777" w:rsidR="003F0EEA" w:rsidRPr="006209D7" w:rsidRDefault="00FB7D0B">
            <w:pPr>
              <w:jc w:val="right"/>
              <w:rPr>
                <w:rFonts w:ascii="Arial" w:eastAsia="Arial" w:hAnsi="Arial" w:cs="Arial"/>
                <w:b/>
                <w:color w:val="000000"/>
                <w:sz w:val="16"/>
              </w:rPr>
            </w:pPr>
            <w:r w:rsidRPr="006209D7">
              <w:rPr>
                <w:rFonts w:ascii="Arial" w:eastAsia="Arial" w:hAnsi="Arial" w:cs="Arial"/>
                <w:b/>
                <w:color w:val="000000"/>
                <w:sz w:val="16"/>
              </w:rPr>
              <w:t xml:space="preserve"> 315,748 </w:t>
            </w:r>
          </w:p>
        </w:tc>
        <w:tc>
          <w:tcPr>
            <w:tcW w:w="915"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1A69F70C" w14:textId="77777777" w:rsidR="003F0EEA" w:rsidRPr="006209D7" w:rsidRDefault="00FB7D0B">
            <w:pPr>
              <w:jc w:val="right"/>
              <w:rPr>
                <w:rFonts w:ascii="Arial" w:eastAsia="Arial" w:hAnsi="Arial" w:cs="Arial"/>
                <w:b/>
                <w:color w:val="000000"/>
                <w:sz w:val="16"/>
              </w:rPr>
            </w:pPr>
            <w:r w:rsidRPr="006209D7">
              <w:rPr>
                <w:rFonts w:ascii="Arial" w:eastAsia="Arial" w:hAnsi="Arial" w:cs="Arial"/>
                <w:b/>
                <w:color w:val="000000"/>
                <w:sz w:val="16"/>
              </w:rPr>
              <w:t xml:space="preserve"> 306,323 </w:t>
            </w:r>
          </w:p>
        </w:tc>
        <w:tc>
          <w:tcPr>
            <w:tcW w:w="915"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6E373E5B" w14:textId="77777777" w:rsidR="003F0EEA" w:rsidRPr="006209D7" w:rsidRDefault="00FB7D0B">
            <w:pPr>
              <w:jc w:val="right"/>
              <w:rPr>
                <w:rFonts w:ascii="Arial" w:eastAsia="Arial" w:hAnsi="Arial" w:cs="Arial"/>
                <w:b/>
                <w:color w:val="000000"/>
                <w:sz w:val="16"/>
              </w:rPr>
            </w:pPr>
            <w:r w:rsidRPr="006209D7">
              <w:rPr>
                <w:rFonts w:ascii="Arial" w:eastAsia="Arial" w:hAnsi="Arial" w:cs="Arial"/>
                <w:b/>
                <w:color w:val="000000"/>
                <w:sz w:val="16"/>
              </w:rPr>
              <w:t xml:space="preserve"> 303,792 </w:t>
            </w:r>
          </w:p>
        </w:tc>
      </w:tr>
      <w:tr w:rsidR="00724034" w14:paraId="31FDCBB3" w14:textId="77777777">
        <w:trPr>
          <w:trHeight w:hRule="exact" w:val="225"/>
        </w:trPr>
        <w:tc>
          <w:tcPr>
            <w:tcW w:w="180" w:type="dxa"/>
            <w:tcBorders>
              <w:top w:val="nil"/>
              <w:left w:val="nil"/>
              <w:bottom w:val="nil"/>
              <w:right w:val="nil"/>
              <w:tl2br w:val="nil"/>
              <w:tr2bl w:val="nil"/>
            </w:tcBorders>
            <w:shd w:val="clear" w:color="auto" w:fill="FFFFFF"/>
            <w:tcMar>
              <w:left w:w="101" w:type="dxa"/>
              <w:right w:w="101" w:type="dxa"/>
            </w:tcMar>
            <w:vAlign w:val="bottom"/>
          </w:tcPr>
          <w:p w14:paraId="78392DD5" w14:textId="77777777" w:rsidR="003F0EEA" w:rsidRPr="006209D7" w:rsidRDefault="003F0EEA">
            <w:pPr>
              <w:rPr>
                <w:rFonts w:ascii="Arial" w:eastAsia="Arial" w:hAnsi="Arial" w:cs="Arial"/>
                <w:b/>
                <w:color w:val="000000"/>
                <w:sz w:val="16"/>
              </w:rPr>
            </w:pPr>
          </w:p>
        </w:tc>
        <w:tc>
          <w:tcPr>
            <w:tcW w:w="180" w:type="dxa"/>
            <w:tcBorders>
              <w:top w:val="nil"/>
              <w:left w:val="nil"/>
              <w:bottom w:val="nil"/>
              <w:right w:val="nil"/>
              <w:tl2br w:val="nil"/>
              <w:tr2bl w:val="nil"/>
            </w:tcBorders>
            <w:shd w:val="clear" w:color="auto" w:fill="FFFFFF"/>
            <w:tcMar>
              <w:left w:w="101" w:type="dxa"/>
              <w:right w:w="101" w:type="dxa"/>
            </w:tcMar>
            <w:vAlign w:val="bottom"/>
          </w:tcPr>
          <w:p w14:paraId="44A02B2E" w14:textId="77777777" w:rsidR="003F0EEA" w:rsidRPr="006209D7" w:rsidRDefault="003F0EEA">
            <w:pPr>
              <w:rPr>
                <w:rFonts w:ascii="Arial" w:eastAsia="Arial" w:hAnsi="Arial" w:cs="Arial"/>
                <w:color w:val="000000"/>
                <w:sz w:val="16"/>
              </w:rPr>
            </w:pPr>
          </w:p>
        </w:tc>
        <w:tc>
          <w:tcPr>
            <w:tcW w:w="2700" w:type="dxa"/>
            <w:tcBorders>
              <w:top w:val="nil"/>
              <w:left w:val="nil"/>
              <w:bottom w:val="nil"/>
              <w:right w:val="nil"/>
              <w:tl2br w:val="nil"/>
              <w:tr2bl w:val="nil"/>
            </w:tcBorders>
            <w:shd w:val="clear" w:color="auto" w:fill="FFFFFF"/>
            <w:tcMar>
              <w:left w:w="101" w:type="dxa"/>
              <w:right w:w="101" w:type="dxa"/>
            </w:tcMar>
            <w:vAlign w:val="bottom"/>
          </w:tcPr>
          <w:p w14:paraId="4FA565A4" w14:textId="77777777" w:rsidR="003F0EEA" w:rsidRPr="006209D7" w:rsidRDefault="003F0EEA">
            <w:pPr>
              <w:rPr>
                <w:rFonts w:ascii="Arial" w:eastAsia="Arial" w:hAnsi="Arial" w:cs="Arial"/>
                <w:color w:val="000000"/>
                <w:sz w:val="16"/>
              </w:rPr>
            </w:pPr>
          </w:p>
        </w:tc>
        <w:tc>
          <w:tcPr>
            <w:tcW w:w="91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17392DEE" w14:textId="77777777" w:rsidR="003F0EEA" w:rsidRPr="006209D7" w:rsidRDefault="003F0EEA">
            <w:pPr>
              <w:rPr>
                <w:rFonts w:ascii="Arial" w:eastAsia="Arial" w:hAnsi="Arial" w:cs="Arial"/>
                <w:color w:val="000000"/>
                <w:sz w:val="16"/>
              </w:rPr>
            </w:pPr>
          </w:p>
        </w:tc>
        <w:tc>
          <w:tcPr>
            <w:tcW w:w="915" w:type="dxa"/>
            <w:tcBorders>
              <w:top w:val="single" w:sz="6" w:space="0" w:color="000000"/>
              <w:left w:val="nil"/>
              <w:bottom w:val="nil"/>
              <w:right w:val="nil"/>
              <w:tl2br w:val="nil"/>
              <w:tr2bl w:val="nil"/>
            </w:tcBorders>
            <w:shd w:val="clear" w:color="auto" w:fill="FFFF00"/>
            <w:tcMar>
              <w:left w:w="101" w:type="dxa"/>
              <w:right w:w="101" w:type="dxa"/>
            </w:tcMar>
            <w:vAlign w:val="bottom"/>
          </w:tcPr>
          <w:p w14:paraId="07A3C5C7" w14:textId="77777777" w:rsidR="003F0EEA" w:rsidRPr="006209D7" w:rsidRDefault="003F0EEA">
            <w:pPr>
              <w:rPr>
                <w:rFonts w:ascii="Arial" w:eastAsia="Arial" w:hAnsi="Arial" w:cs="Arial"/>
                <w:color w:val="000000"/>
                <w:sz w:val="16"/>
              </w:rPr>
            </w:pPr>
          </w:p>
        </w:tc>
        <w:tc>
          <w:tcPr>
            <w:tcW w:w="91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30E70D41" w14:textId="77777777" w:rsidR="003F0EEA" w:rsidRPr="006209D7" w:rsidRDefault="003F0EEA">
            <w:pPr>
              <w:rPr>
                <w:rFonts w:ascii="Arial" w:eastAsia="Arial" w:hAnsi="Arial" w:cs="Arial"/>
                <w:color w:val="000000"/>
                <w:sz w:val="16"/>
              </w:rPr>
            </w:pPr>
          </w:p>
        </w:tc>
        <w:tc>
          <w:tcPr>
            <w:tcW w:w="91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2AF445AA" w14:textId="77777777" w:rsidR="003F0EEA" w:rsidRPr="006209D7" w:rsidRDefault="003F0EEA">
            <w:pPr>
              <w:rPr>
                <w:rFonts w:ascii="Arial" w:eastAsia="Arial" w:hAnsi="Arial" w:cs="Arial"/>
                <w:color w:val="000000"/>
                <w:sz w:val="16"/>
              </w:rPr>
            </w:pPr>
          </w:p>
        </w:tc>
        <w:tc>
          <w:tcPr>
            <w:tcW w:w="91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7821566F" w14:textId="77777777" w:rsidR="003F0EEA" w:rsidRPr="006209D7" w:rsidRDefault="003F0EEA">
            <w:pPr>
              <w:rPr>
                <w:rFonts w:ascii="Arial" w:eastAsia="Arial" w:hAnsi="Arial" w:cs="Arial"/>
                <w:color w:val="000000"/>
                <w:sz w:val="16"/>
              </w:rPr>
            </w:pPr>
          </w:p>
        </w:tc>
      </w:tr>
      <w:tr w:rsidR="00FB7D0B" w14:paraId="29E88937" w14:textId="77777777" w:rsidTr="00FB7D0B">
        <w:trPr>
          <w:trHeight w:val="225"/>
        </w:trPr>
        <w:tc>
          <w:tcPr>
            <w:tcW w:w="3060" w:type="dxa"/>
            <w:gridSpan w:val="3"/>
            <w:vMerge w:val="restart"/>
            <w:tcBorders>
              <w:top w:val="nil"/>
              <w:left w:val="nil"/>
              <w:bottom w:val="nil"/>
              <w:right w:val="nil"/>
              <w:tl2br w:val="nil"/>
              <w:tr2bl w:val="nil"/>
            </w:tcBorders>
            <w:shd w:val="clear" w:color="auto" w:fill="FFFFFF"/>
            <w:tcMar>
              <w:left w:w="101" w:type="dxa"/>
              <w:right w:w="101" w:type="dxa"/>
            </w:tcMar>
            <w:vAlign w:val="bottom"/>
          </w:tcPr>
          <w:p w14:paraId="707C50BD" w14:textId="77777777" w:rsidR="003F0EEA" w:rsidRPr="006209D7" w:rsidRDefault="00FB7D0B">
            <w:pPr>
              <w:rPr>
                <w:rFonts w:ascii="Arial" w:eastAsia="Arial" w:hAnsi="Arial" w:cs="Arial"/>
                <w:color w:val="000000"/>
                <w:sz w:val="16"/>
              </w:rPr>
            </w:pPr>
            <w:r w:rsidRPr="006209D7">
              <w:rPr>
                <w:rFonts w:ascii="Arial" w:eastAsia="Arial" w:hAnsi="Arial" w:cs="Arial"/>
                <w:b/>
                <w:color w:val="000000"/>
                <w:sz w:val="16"/>
              </w:rPr>
              <w:t>LESS:</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6C326422" w14:textId="77777777" w:rsidR="003F0EEA" w:rsidRPr="006209D7" w:rsidRDefault="003F0EEA">
            <w:pPr>
              <w:rPr>
                <w:rFonts w:ascii="Arial" w:eastAsia="Arial" w:hAnsi="Arial" w:cs="Arial"/>
                <w:b/>
                <w:color w:val="000000"/>
                <w:sz w:val="16"/>
              </w:rPr>
            </w:pPr>
          </w:p>
        </w:tc>
        <w:tc>
          <w:tcPr>
            <w:tcW w:w="915" w:type="dxa"/>
            <w:tcBorders>
              <w:top w:val="nil"/>
              <w:left w:val="nil"/>
              <w:bottom w:val="nil"/>
              <w:right w:val="nil"/>
              <w:tl2br w:val="nil"/>
              <w:tr2bl w:val="nil"/>
            </w:tcBorders>
            <w:shd w:val="clear" w:color="auto" w:fill="FFFF00"/>
            <w:tcMar>
              <w:left w:w="101" w:type="dxa"/>
              <w:right w:w="101" w:type="dxa"/>
            </w:tcMar>
            <w:vAlign w:val="bottom"/>
          </w:tcPr>
          <w:p w14:paraId="643867C2" w14:textId="77777777" w:rsidR="003F0EEA" w:rsidRPr="006209D7" w:rsidRDefault="003F0EEA">
            <w:pPr>
              <w:rPr>
                <w:rFonts w:ascii="Arial" w:eastAsia="Arial" w:hAnsi="Arial" w:cs="Arial"/>
                <w:color w:val="000000"/>
                <w:sz w:val="16"/>
              </w:rPr>
            </w:pP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62F15D9C" w14:textId="77777777" w:rsidR="003F0EEA" w:rsidRPr="006209D7" w:rsidRDefault="003F0EEA">
            <w:pPr>
              <w:rPr>
                <w:rFonts w:ascii="Arial" w:eastAsia="Arial" w:hAnsi="Arial" w:cs="Arial"/>
                <w:color w:val="000000"/>
                <w:sz w:val="16"/>
              </w:rPr>
            </w:pP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60A1053C" w14:textId="77777777" w:rsidR="003F0EEA" w:rsidRPr="006209D7" w:rsidRDefault="003F0EEA">
            <w:pPr>
              <w:rPr>
                <w:rFonts w:ascii="Arial" w:eastAsia="Arial" w:hAnsi="Arial" w:cs="Arial"/>
                <w:color w:val="000000"/>
                <w:sz w:val="16"/>
              </w:rPr>
            </w:pP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1C52A74A" w14:textId="77777777" w:rsidR="003F0EEA" w:rsidRPr="006209D7" w:rsidRDefault="003F0EEA">
            <w:pPr>
              <w:rPr>
                <w:rFonts w:ascii="Arial" w:eastAsia="Arial" w:hAnsi="Arial" w:cs="Arial"/>
                <w:color w:val="000000"/>
                <w:sz w:val="16"/>
              </w:rPr>
            </w:pPr>
          </w:p>
        </w:tc>
      </w:tr>
      <w:tr w:rsidR="00FB7D0B" w14:paraId="237332BA" w14:textId="77777777" w:rsidTr="00FB7D0B">
        <w:trPr>
          <w:trHeight w:val="225"/>
        </w:trPr>
        <w:tc>
          <w:tcPr>
            <w:tcW w:w="3060" w:type="dxa"/>
            <w:gridSpan w:val="3"/>
            <w:tcBorders>
              <w:top w:val="nil"/>
              <w:left w:val="nil"/>
              <w:bottom w:val="nil"/>
              <w:right w:val="nil"/>
              <w:tl2br w:val="nil"/>
              <w:tr2bl w:val="nil"/>
            </w:tcBorders>
            <w:shd w:val="clear" w:color="auto" w:fill="FFFFFF"/>
            <w:tcMar>
              <w:left w:w="101" w:type="dxa"/>
              <w:right w:w="101" w:type="dxa"/>
            </w:tcMar>
            <w:vAlign w:val="bottom"/>
          </w:tcPr>
          <w:p w14:paraId="58E4D9D2" w14:textId="77777777" w:rsidR="003F0EEA" w:rsidRPr="006209D7" w:rsidRDefault="00FB7D0B">
            <w:pPr>
              <w:rPr>
                <w:rFonts w:ascii="Arial" w:eastAsia="Arial" w:hAnsi="Arial" w:cs="Arial"/>
                <w:color w:val="000000"/>
                <w:sz w:val="16"/>
              </w:rPr>
            </w:pPr>
            <w:r w:rsidRPr="006209D7">
              <w:rPr>
                <w:rFonts w:ascii="Arial" w:eastAsia="Arial" w:hAnsi="Arial" w:cs="Arial"/>
                <w:b/>
                <w:color w:val="000000"/>
                <w:sz w:val="16"/>
              </w:rPr>
              <w:t>OWN-SOURCE INCOME</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5E853B22" w14:textId="77777777" w:rsidR="003F0EEA" w:rsidRPr="006209D7" w:rsidRDefault="003F0EEA">
            <w:pPr>
              <w:rPr>
                <w:rFonts w:ascii="Arial" w:eastAsia="Arial" w:hAnsi="Arial" w:cs="Arial"/>
                <w:b/>
                <w:color w:val="000000"/>
                <w:sz w:val="16"/>
              </w:rPr>
            </w:pPr>
          </w:p>
        </w:tc>
        <w:tc>
          <w:tcPr>
            <w:tcW w:w="915" w:type="dxa"/>
            <w:tcBorders>
              <w:top w:val="nil"/>
              <w:left w:val="nil"/>
              <w:bottom w:val="nil"/>
              <w:right w:val="nil"/>
              <w:tl2br w:val="nil"/>
              <w:tr2bl w:val="nil"/>
            </w:tcBorders>
            <w:shd w:val="clear" w:color="auto" w:fill="FFFF00"/>
            <w:tcMar>
              <w:left w:w="101" w:type="dxa"/>
              <w:right w:w="101" w:type="dxa"/>
            </w:tcMar>
            <w:vAlign w:val="bottom"/>
          </w:tcPr>
          <w:p w14:paraId="383A6C22" w14:textId="77777777" w:rsidR="003F0EEA" w:rsidRPr="006209D7" w:rsidRDefault="003F0EEA">
            <w:pPr>
              <w:rPr>
                <w:rFonts w:ascii="Arial" w:eastAsia="Arial" w:hAnsi="Arial" w:cs="Arial"/>
                <w:color w:val="000000"/>
                <w:sz w:val="16"/>
              </w:rPr>
            </w:pP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34531398" w14:textId="77777777" w:rsidR="003F0EEA" w:rsidRPr="006209D7" w:rsidRDefault="003F0EEA">
            <w:pPr>
              <w:rPr>
                <w:rFonts w:ascii="Arial" w:eastAsia="Arial" w:hAnsi="Arial" w:cs="Arial"/>
                <w:color w:val="000000"/>
                <w:sz w:val="16"/>
              </w:rPr>
            </w:pP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72236D61" w14:textId="77777777" w:rsidR="003F0EEA" w:rsidRPr="006209D7" w:rsidRDefault="003F0EEA">
            <w:pPr>
              <w:rPr>
                <w:rFonts w:ascii="Arial" w:eastAsia="Arial" w:hAnsi="Arial" w:cs="Arial"/>
                <w:color w:val="000000"/>
                <w:sz w:val="16"/>
              </w:rPr>
            </w:pP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54282729" w14:textId="77777777" w:rsidR="003F0EEA" w:rsidRPr="006209D7" w:rsidRDefault="003F0EEA">
            <w:pPr>
              <w:rPr>
                <w:rFonts w:ascii="Arial" w:eastAsia="Arial" w:hAnsi="Arial" w:cs="Arial"/>
                <w:color w:val="000000"/>
                <w:sz w:val="16"/>
              </w:rPr>
            </w:pPr>
          </w:p>
        </w:tc>
      </w:tr>
      <w:tr w:rsidR="00FB7D0B" w14:paraId="759CAC99" w14:textId="77777777" w:rsidTr="00FB7D0B">
        <w:trPr>
          <w:trHeight w:val="225"/>
        </w:trPr>
        <w:tc>
          <w:tcPr>
            <w:tcW w:w="3060" w:type="dxa"/>
            <w:gridSpan w:val="3"/>
            <w:tcBorders>
              <w:top w:val="nil"/>
              <w:left w:val="nil"/>
              <w:bottom w:val="nil"/>
              <w:right w:val="nil"/>
              <w:tl2br w:val="nil"/>
              <w:tr2bl w:val="nil"/>
            </w:tcBorders>
            <w:shd w:val="clear" w:color="auto" w:fill="FFFFFF"/>
            <w:tcMar>
              <w:left w:w="101" w:type="dxa"/>
              <w:right w:w="101" w:type="dxa"/>
            </w:tcMar>
            <w:vAlign w:val="bottom"/>
          </w:tcPr>
          <w:p w14:paraId="156DD374" w14:textId="77777777" w:rsidR="003F0EEA" w:rsidRPr="006209D7" w:rsidRDefault="00FB7D0B">
            <w:pPr>
              <w:rPr>
                <w:rFonts w:ascii="Arial" w:eastAsia="Arial" w:hAnsi="Arial" w:cs="Arial"/>
                <w:color w:val="000000"/>
                <w:sz w:val="16"/>
              </w:rPr>
            </w:pPr>
            <w:r w:rsidRPr="006209D7">
              <w:rPr>
                <w:rFonts w:ascii="Arial" w:eastAsia="Arial" w:hAnsi="Arial" w:cs="Arial"/>
                <w:b/>
                <w:color w:val="000000"/>
                <w:sz w:val="16"/>
              </w:rPr>
              <w:t>Own-source revenue</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3155C05D" w14:textId="77777777" w:rsidR="003F0EEA" w:rsidRPr="006209D7" w:rsidRDefault="003F0EEA">
            <w:pPr>
              <w:rPr>
                <w:rFonts w:ascii="Arial" w:eastAsia="Arial" w:hAnsi="Arial" w:cs="Arial"/>
                <w:b/>
                <w:color w:val="000000"/>
                <w:sz w:val="16"/>
              </w:rPr>
            </w:pPr>
          </w:p>
        </w:tc>
        <w:tc>
          <w:tcPr>
            <w:tcW w:w="915" w:type="dxa"/>
            <w:tcBorders>
              <w:top w:val="nil"/>
              <w:left w:val="nil"/>
              <w:bottom w:val="nil"/>
              <w:right w:val="nil"/>
              <w:tl2br w:val="nil"/>
              <w:tr2bl w:val="nil"/>
            </w:tcBorders>
            <w:shd w:val="clear" w:color="auto" w:fill="FFFF00"/>
            <w:tcMar>
              <w:left w:w="101" w:type="dxa"/>
              <w:right w:w="101" w:type="dxa"/>
            </w:tcMar>
            <w:vAlign w:val="bottom"/>
          </w:tcPr>
          <w:p w14:paraId="41C1849B" w14:textId="77777777" w:rsidR="003F0EEA" w:rsidRPr="006209D7" w:rsidRDefault="003F0EEA">
            <w:pPr>
              <w:rPr>
                <w:rFonts w:ascii="Arial" w:eastAsia="Arial" w:hAnsi="Arial" w:cs="Arial"/>
                <w:color w:val="000000"/>
                <w:sz w:val="16"/>
              </w:rPr>
            </w:pP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3808F976" w14:textId="77777777" w:rsidR="003F0EEA" w:rsidRPr="006209D7" w:rsidRDefault="003F0EEA">
            <w:pPr>
              <w:rPr>
                <w:rFonts w:ascii="Arial" w:eastAsia="Arial" w:hAnsi="Arial" w:cs="Arial"/>
                <w:color w:val="000000"/>
                <w:sz w:val="16"/>
              </w:rPr>
            </w:pP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4B5704D3" w14:textId="77777777" w:rsidR="003F0EEA" w:rsidRPr="006209D7" w:rsidRDefault="003F0EEA">
            <w:pPr>
              <w:rPr>
                <w:rFonts w:ascii="Arial" w:eastAsia="Arial" w:hAnsi="Arial" w:cs="Arial"/>
                <w:color w:val="000000"/>
                <w:sz w:val="16"/>
              </w:rPr>
            </w:pP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6460EE23" w14:textId="77777777" w:rsidR="003F0EEA" w:rsidRPr="006209D7" w:rsidRDefault="003F0EEA">
            <w:pPr>
              <w:rPr>
                <w:rFonts w:ascii="Arial" w:eastAsia="Arial" w:hAnsi="Arial" w:cs="Arial"/>
                <w:color w:val="000000"/>
                <w:sz w:val="16"/>
              </w:rPr>
            </w:pPr>
          </w:p>
        </w:tc>
      </w:tr>
      <w:tr w:rsidR="00FB7D0B" w14:paraId="63BEF0D0" w14:textId="77777777" w:rsidTr="00FB7D0B">
        <w:trPr>
          <w:trHeight w:val="225"/>
        </w:trPr>
        <w:tc>
          <w:tcPr>
            <w:tcW w:w="180" w:type="dxa"/>
            <w:tcBorders>
              <w:top w:val="nil"/>
              <w:left w:val="nil"/>
              <w:bottom w:val="nil"/>
              <w:right w:val="nil"/>
              <w:tl2br w:val="nil"/>
              <w:tr2bl w:val="nil"/>
            </w:tcBorders>
            <w:shd w:val="clear" w:color="auto" w:fill="FFFFFF"/>
            <w:tcMar>
              <w:left w:w="101" w:type="dxa"/>
              <w:right w:w="101" w:type="dxa"/>
            </w:tcMar>
            <w:vAlign w:val="bottom"/>
          </w:tcPr>
          <w:p w14:paraId="16965B67" w14:textId="77777777" w:rsidR="003F0EEA" w:rsidRPr="006209D7" w:rsidRDefault="003F0EEA">
            <w:pPr>
              <w:rPr>
                <w:rFonts w:ascii="Arial" w:eastAsia="Arial" w:hAnsi="Arial" w:cs="Arial"/>
                <w:color w:val="000000"/>
                <w:sz w:val="16"/>
              </w:rPr>
            </w:pPr>
          </w:p>
        </w:tc>
        <w:tc>
          <w:tcPr>
            <w:tcW w:w="2880" w:type="dxa"/>
            <w:gridSpan w:val="2"/>
            <w:tcBorders>
              <w:top w:val="nil"/>
              <w:left w:val="nil"/>
              <w:bottom w:val="nil"/>
              <w:right w:val="nil"/>
              <w:tl2br w:val="nil"/>
              <w:tr2bl w:val="nil"/>
            </w:tcBorders>
            <w:shd w:val="clear" w:color="auto" w:fill="FFFFFF"/>
            <w:tcMar>
              <w:left w:w="101" w:type="dxa"/>
              <w:right w:w="101" w:type="dxa"/>
            </w:tcMar>
            <w:vAlign w:val="bottom"/>
          </w:tcPr>
          <w:p w14:paraId="213D2E99" w14:textId="77777777" w:rsidR="003F0EEA" w:rsidRPr="006209D7" w:rsidRDefault="00FB7D0B">
            <w:pPr>
              <w:rPr>
                <w:rFonts w:ascii="Arial" w:eastAsia="Arial" w:hAnsi="Arial" w:cs="Arial"/>
                <w:color w:val="000000"/>
                <w:sz w:val="16"/>
              </w:rPr>
            </w:pPr>
            <w:r w:rsidRPr="006209D7">
              <w:rPr>
                <w:rFonts w:ascii="Arial" w:eastAsia="Arial" w:hAnsi="Arial" w:cs="Arial"/>
                <w:color w:val="000000"/>
                <w:sz w:val="16"/>
              </w:rPr>
              <w:t xml:space="preserve">Sale of goods and rendering </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4331758E" w14:textId="77777777" w:rsidR="003F0EEA" w:rsidRPr="006209D7" w:rsidRDefault="003F0EEA">
            <w:pPr>
              <w:rPr>
                <w:rFonts w:ascii="Arial" w:eastAsia="Arial" w:hAnsi="Arial" w:cs="Arial"/>
                <w:color w:val="000000"/>
                <w:sz w:val="16"/>
              </w:rPr>
            </w:pPr>
          </w:p>
        </w:tc>
        <w:tc>
          <w:tcPr>
            <w:tcW w:w="915" w:type="dxa"/>
            <w:tcBorders>
              <w:top w:val="nil"/>
              <w:left w:val="nil"/>
              <w:bottom w:val="nil"/>
              <w:right w:val="nil"/>
              <w:tl2br w:val="nil"/>
              <w:tr2bl w:val="nil"/>
            </w:tcBorders>
            <w:shd w:val="clear" w:color="auto" w:fill="FFFF00"/>
            <w:tcMar>
              <w:left w:w="101" w:type="dxa"/>
              <w:right w:w="101" w:type="dxa"/>
            </w:tcMar>
            <w:vAlign w:val="bottom"/>
          </w:tcPr>
          <w:p w14:paraId="5B77977C" w14:textId="77777777" w:rsidR="003F0EEA" w:rsidRPr="006209D7" w:rsidRDefault="003F0EEA">
            <w:pPr>
              <w:rPr>
                <w:rFonts w:ascii="Arial" w:eastAsia="Arial" w:hAnsi="Arial" w:cs="Arial"/>
                <w:color w:val="000000"/>
                <w:sz w:val="16"/>
              </w:rPr>
            </w:pP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15FB5427" w14:textId="77777777" w:rsidR="003F0EEA" w:rsidRPr="006209D7" w:rsidRDefault="003F0EEA">
            <w:pPr>
              <w:rPr>
                <w:rFonts w:ascii="Arial" w:eastAsia="Arial" w:hAnsi="Arial" w:cs="Arial"/>
                <w:color w:val="000000"/>
                <w:sz w:val="16"/>
              </w:rPr>
            </w:pP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65D8296B" w14:textId="77777777" w:rsidR="003F0EEA" w:rsidRPr="006209D7" w:rsidRDefault="003F0EEA">
            <w:pPr>
              <w:rPr>
                <w:rFonts w:ascii="Arial" w:eastAsia="Arial" w:hAnsi="Arial" w:cs="Arial"/>
                <w:color w:val="000000"/>
                <w:sz w:val="16"/>
              </w:rPr>
            </w:pP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30B9D220" w14:textId="77777777" w:rsidR="003F0EEA" w:rsidRPr="006209D7" w:rsidRDefault="003F0EEA">
            <w:pPr>
              <w:rPr>
                <w:rFonts w:ascii="Arial" w:eastAsia="Arial" w:hAnsi="Arial" w:cs="Arial"/>
                <w:color w:val="000000"/>
                <w:sz w:val="16"/>
              </w:rPr>
            </w:pPr>
          </w:p>
        </w:tc>
      </w:tr>
      <w:tr w:rsidR="00724034" w14:paraId="16A2941A" w14:textId="77777777">
        <w:trPr>
          <w:trHeight w:val="225"/>
        </w:trPr>
        <w:tc>
          <w:tcPr>
            <w:tcW w:w="180" w:type="dxa"/>
            <w:tcBorders>
              <w:top w:val="nil"/>
              <w:left w:val="nil"/>
              <w:bottom w:val="nil"/>
              <w:right w:val="nil"/>
              <w:tl2br w:val="nil"/>
              <w:tr2bl w:val="nil"/>
            </w:tcBorders>
            <w:shd w:val="clear" w:color="auto" w:fill="FFFFFF"/>
            <w:tcMar>
              <w:left w:w="101" w:type="dxa"/>
              <w:right w:w="101" w:type="dxa"/>
            </w:tcMar>
            <w:vAlign w:val="bottom"/>
          </w:tcPr>
          <w:p w14:paraId="2F293793" w14:textId="77777777" w:rsidR="003F0EEA" w:rsidRPr="006209D7" w:rsidRDefault="003F0EEA">
            <w:pPr>
              <w:rPr>
                <w:rFonts w:ascii="Arial" w:eastAsia="Arial" w:hAnsi="Arial" w:cs="Arial"/>
                <w:color w:val="000000"/>
                <w:sz w:val="16"/>
              </w:rPr>
            </w:pPr>
          </w:p>
        </w:tc>
        <w:tc>
          <w:tcPr>
            <w:tcW w:w="180" w:type="dxa"/>
            <w:tcBorders>
              <w:top w:val="nil"/>
              <w:left w:val="nil"/>
              <w:bottom w:val="nil"/>
              <w:right w:val="nil"/>
              <w:tl2br w:val="nil"/>
              <w:tr2bl w:val="nil"/>
            </w:tcBorders>
            <w:shd w:val="clear" w:color="auto" w:fill="FFFFFF"/>
            <w:tcMar>
              <w:left w:w="101" w:type="dxa"/>
              <w:right w:w="101" w:type="dxa"/>
            </w:tcMar>
            <w:vAlign w:val="bottom"/>
          </w:tcPr>
          <w:p w14:paraId="5B45DE57" w14:textId="77777777" w:rsidR="003F0EEA" w:rsidRPr="006209D7" w:rsidRDefault="003F0EEA">
            <w:pPr>
              <w:rPr>
                <w:rFonts w:ascii="Arial" w:eastAsia="Arial" w:hAnsi="Arial" w:cs="Arial"/>
                <w:color w:val="000000"/>
                <w:sz w:val="16"/>
              </w:rPr>
            </w:pPr>
          </w:p>
        </w:tc>
        <w:tc>
          <w:tcPr>
            <w:tcW w:w="2700" w:type="dxa"/>
            <w:tcBorders>
              <w:top w:val="nil"/>
              <w:left w:val="nil"/>
              <w:bottom w:val="nil"/>
              <w:right w:val="nil"/>
              <w:tl2br w:val="nil"/>
              <w:tr2bl w:val="nil"/>
            </w:tcBorders>
            <w:shd w:val="clear" w:color="auto" w:fill="FFFFFF"/>
            <w:tcMar>
              <w:left w:w="101" w:type="dxa"/>
              <w:right w:w="101" w:type="dxa"/>
            </w:tcMar>
            <w:vAlign w:val="bottom"/>
          </w:tcPr>
          <w:p w14:paraId="226F8494" w14:textId="77777777" w:rsidR="003F0EEA" w:rsidRPr="006209D7" w:rsidRDefault="00FB7D0B">
            <w:pPr>
              <w:rPr>
                <w:rFonts w:ascii="Arial" w:eastAsia="Arial" w:hAnsi="Arial" w:cs="Arial"/>
                <w:color w:val="000000"/>
                <w:sz w:val="16"/>
              </w:rPr>
            </w:pPr>
            <w:r w:rsidRPr="006209D7">
              <w:rPr>
                <w:rFonts w:ascii="Arial" w:eastAsia="Arial" w:hAnsi="Arial" w:cs="Arial"/>
                <w:color w:val="000000"/>
                <w:sz w:val="16"/>
              </w:rPr>
              <w:t>of services</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2B3DD47E" w14:textId="77777777" w:rsidR="003F0EEA" w:rsidRPr="006209D7" w:rsidRDefault="00FB7D0B">
            <w:pPr>
              <w:jc w:val="right"/>
              <w:rPr>
                <w:rFonts w:ascii="Arial" w:eastAsia="Arial" w:hAnsi="Arial" w:cs="Arial"/>
                <w:color w:val="000000"/>
                <w:sz w:val="16"/>
              </w:rPr>
            </w:pPr>
            <w:r w:rsidRPr="006209D7">
              <w:rPr>
                <w:rFonts w:ascii="Arial" w:eastAsia="Arial" w:hAnsi="Arial" w:cs="Arial"/>
                <w:color w:val="000000"/>
                <w:sz w:val="16"/>
              </w:rPr>
              <w:t xml:space="preserve"> 11,226 </w:t>
            </w:r>
          </w:p>
        </w:tc>
        <w:tc>
          <w:tcPr>
            <w:tcW w:w="915" w:type="dxa"/>
            <w:tcBorders>
              <w:top w:val="nil"/>
              <w:left w:val="nil"/>
              <w:bottom w:val="nil"/>
              <w:right w:val="nil"/>
              <w:tl2br w:val="nil"/>
              <w:tr2bl w:val="nil"/>
            </w:tcBorders>
            <w:shd w:val="clear" w:color="auto" w:fill="FFFF00"/>
            <w:tcMar>
              <w:left w:w="101" w:type="dxa"/>
              <w:right w:w="101" w:type="dxa"/>
            </w:tcMar>
            <w:vAlign w:val="bottom"/>
          </w:tcPr>
          <w:p w14:paraId="7E0DBE7C" w14:textId="77777777" w:rsidR="003F0EEA" w:rsidRPr="006209D7" w:rsidRDefault="00FB7D0B">
            <w:pPr>
              <w:jc w:val="right"/>
              <w:rPr>
                <w:rFonts w:ascii="Arial" w:eastAsia="Arial" w:hAnsi="Arial" w:cs="Arial"/>
                <w:color w:val="000000"/>
                <w:sz w:val="16"/>
              </w:rPr>
            </w:pPr>
            <w:r w:rsidRPr="006209D7">
              <w:rPr>
                <w:rFonts w:ascii="Arial" w:eastAsia="Arial" w:hAnsi="Arial" w:cs="Arial"/>
                <w:color w:val="000000"/>
                <w:sz w:val="16"/>
              </w:rPr>
              <w:t xml:space="preserve"> 11,831 </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70519DA5" w14:textId="77777777" w:rsidR="003F0EEA" w:rsidRPr="006209D7" w:rsidRDefault="00FB7D0B">
            <w:pPr>
              <w:jc w:val="right"/>
              <w:rPr>
                <w:rFonts w:ascii="Arial" w:eastAsia="Arial" w:hAnsi="Arial" w:cs="Arial"/>
                <w:color w:val="000000"/>
                <w:sz w:val="16"/>
              </w:rPr>
            </w:pPr>
            <w:r w:rsidRPr="006209D7">
              <w:rPr>
                <w:rFonts w:ascii="Arial" w:eastAsia="Arial" w:hAnsi="Arial" w:cs="Arial"/>
                <w:color w:val="000000"/>
                <w:sz w:val="16"/>
              </w:rPr>
              <w:t xml:space="preserve"> 11,975 </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0619B3DD" w14:textId="77777777" w:rsidR="003F0EEA" w:rsidRPr="006209D7" w:rsidRDefault="00FB7D0B">
            <w:pPr>
              <w:jc w:val="right"/>
              <w:rPr>
                <w:rFonts w:ascii="Arial" w:eastAsia="Arial" w:hAnsi="Arial" w:cs="Arial"/>
                <w:color w:val="000000"/>
                <w:sz w:val="16"/>
              </w:rPr>
            </w:pPr>
            <w:r w:rsidRPr="006209D7">
              <w:rPr>
                <w:rFonts w:ascii="Arial" w:eastAsia="Arial" w:hAnsi="Arial" w:cs="Arial"/>
                <w:color w:val="000000"/>
                <w:sz w:val="16"/>
              </w:rPr>
              <w:t xml:space="preserve"> 8,261 </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2315CE93" w14:textId="77777777" w:rsidR="003F0EEA" w:rsidRPr="006209D7" w:rsidRDefault="00FB7D0B">
            <w:pPr>
              <w:jc w:val="right"/>
              <w:rPr>
                <w:rFonts w:ascii="Arial" w:eastAsia="Arial" w:hAnsi="Arial" w:cs="Arial"/>
                <w:color w:val="000000"/>
                <w:sz w:val="16"/>
              </w:rPr>
            </w:pPr>
            <w:r w:rsidRPr="006209D7">
              <w:rPr>
                <w:rFonts w:ascii="Arial" w:eastAsia="Arial" w:hAnsi="Arial" w:cs="Arial"/>
                <w:color w:val="000000"/>
                <w:sz w:val="16"/>
              </w:rPr>
              <w:t xml:space="preserve"> 8,271 </w:t>
            </w:r>
          </w:p>
        </w:tc>
      </w:tr>
      <w:tr w:rsidR="00FB7D0B" w14:paraId="751D8A8E" w14:textId="77777777" w:rsidTr="00FB7D0B">
        <w:trPr>
          <w:trHeight w:val="225"/>
        </w:trPr>
        <w:tc>
          <w:tcPr>
            <w:tcW w:w="3060" w:type="dxa"/>
            <w:gridSpan w:val="3"/>
            <w:tcBorders>
              <w:top w:val="nil"/>
              <w:left w:val="nil"/>
              <w:bottom w:val="nil"/>
              <w:right w:val="nil"/>
              <w:tl2br w:val="nil"/>
              <w:tr2bl w:val="nil"/>
            </w:tcBorders>
            <w:shd w:val="clear" w:color="auto" w:fill="FFFFFF"/>
            <w:tcMar>
              <w:left w:w="101" w:type="dxa"/>
              <w:right w:w="101" w:type="dxa"/>
            </w:tcMar>
            <w:vAlign w:val="bottom"/>
          </w:tcPr>
          <w:p w14:paraId="761873D9" w14:textId="77777777" w:rsidR="003F0EEA" w:rsidRPr="006209D7" w:rsidRDefault="00FB7D0B">
            <w:pPr>
              <w:rPr>
                <w:rFonts w:ascii="Arial" w:eastAsia="Arial" w:hAnsi="Arial" w:cs="Arial"/>
                <w:color w:val="000000"/>
                <w:sz w:val="16"/>
              </w:rPr>
            </w:pPr>
            <w:r w:rsidRPr="006209D7">
              <w:rPr>
                <w:rFonts w:ascii="Arial" w:eastAsia="Arial" w:hAnsi="Arial" w:cs="Arial"/>
                <w:b/>
                <w:color w:val="000000"/>
                <w:sz w:val="16"/>
              </w:rPr>
              <w:t>Total own-source revenue</w:t>
            </w:r>
          </w:p>
        </w:tc>
        <w:tc>
          <w:tcPr>
            <w:tcW w:w="915"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232133D6" w14:textId="77777777" w:rsidR="003F0EEA" w:rsidRPr="006209D7" w:rsidRDefault="00FB7D0B">
            <w:pPr>
              <w:jc w:val="right"/>
              <w:rPr>
                <w:rFonts w:ascii="Arial" w:eastAsia="Arial" w:hAnsi="Arial" w:cs="Arial"/>
                <w:b/>
                <w:color w:val="000000"/>
                <w:sz w:val="16"/>
              </w:rPr>
            </w:pPr>
            <w:r w:rsidRPr="006209D7">
              <w:rPr>
                <w:rFonts w:ascii="Arial" w:eastAsia="Arial" w:hAnsi="Arial" w:cs="Arial"/>
                <w:b/>
                <w:color w:val="000000"/>
                <w:sz w:val="16"/>
              </w:rPr>
              <w:t xml:space="preserve"> 11,226 </w:t>
            </w:r>
          </w:p>
        </w:tc>
        <w:tc>
          <w:tcPr>
            <w:tcW w:w="915" w:type="dxa"/>
            <w:tcBorders>
              <w:top w:val="single" w:sz="6" w:space="0" w:color="000000"/>
              <w:left w:val="nil"/>
              <w:bottom w:val="single" w:sz="6" w:space="0" w:color="000000"/>
              <w:right w:val="nil"/>
              <w:tl2br w:val="nil"/>
              <w:tr2bl w:val="nil"/>
            </w:tcBorders>
            <w:shd w:val="clear" w:color="auto" w:fill="FFFF00"/>
            <w:tcMar>
              <w:left w:w="101" w:type="dxa"/>
              <w:right w:w="101" w:type="dxa"/>
            </w:tcMar>
            <w:vAlign w:val="bottom"/>
          </w:tcPr>
          <w:p w14:paraId="4BCE50B7" w14:textId="77777777" w:rsidR="003F0EEA" w:rsidRPr="006209D7" w:rsidRDefault="00FB7D0B">
            <w:pPr>
              <w:jc w:val="right"/>
              <w:rPr>
                <w:rFonts w:ascii="Arial" w:eastAsia="Arial" w:hAnsi="Arial" w:cs="Arial"/>
                <w:b/>
                <w:color w:val="000000"/>
                <w:sz w:val="16"/>
              </w:rPr>
            </w:pPr>
            <w:r w:rsidRPr="006209D7">
              <w:rPr>
                <w:rFonts w:ascii="Arial" w:eastAsia="Arial" w:hAnsi="Arial" w:cs="Arial"/>
                <w:b/>
                <w:color w:val="000000"/>
                <w:sz w:val="16"/>
              </w:rPr>
              <w:t xml:space="preserve"> 11,831 </w:t>
            </w:r>
          </w:p>
        </w:tc>
        <w:tc>
          <w:tcPr>
            <w:tcW w:w="915"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44FB4A42" w14:textId="77777777" w:rsidR="003F0EEA" w:rsidRPr="006209D7" w:rsidRDefault="00FB7D0B">
            <w:pPr>
              <w:jc w:val="right"/>
              <w:rPr>
                <w:rFonts w:ascii="Arial" w:eastAsia="Arial" w:hAnsi="Arial" w:cs="Arial"/>
                <w:b/>
                <w:color w:val="000000"/>
                <w:sz w:val="16"/>
              </w:rPr>
            </w:pPr>
            <w:r w:rsidRPr="006209D7">
              <w:rPr>
                <w:rFonts w:ascii="Arial" w:eastAsia="Arial" w:hAnsi="Arial" w:cs="Arial"/>
                <w:b/>
                <w:color w:val="000000"/>
                <w:sz w:val="16"/>
              </w:rPr>
              <w:t xml:space="preserve"> 11,975 </w:t>
            </w:r>
          </w:p>
        </w:tc>
        <w:tc>
          <w:tcPr>
            <w:tcW w:w="915"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775C8E48" w14:textId="77777777" w:rsidR="003F0EEA" w:rsidRPr="006209D7" w:rsidRDefault="00FB7D0B">
            <w:pPr>
              <w:jc w:val="right"/>
              <w:rPr>
                <w:rFonts w:ascii="Arial" w:eastAsia="Arial" w:hAnsi="Arial" w:cs="Arial"/>
                <w:b/>
                <w:color w:val="000000"/>
                <w:sz w:val="16"/>
              </w:rPr>
            </w:pPr>
            <w:r w:rsidRPr="006209D7">
              <w:rPr>
                <w:rFonts w:ascii="Arial" w:eastAsia="Arial" w:hAnsi="Arial" w:cs="Arial"/>
                <w:b/>
                <w:color w:val="000000"/>
                <w:sz w:val="16"/>
              </w:rPr>
              <w:t xml:space="preserve"> 8,261 </w:t>
            </w:r>
          </w:p>
        </w:tc>
        <w:tc>
          <w:tcPr>
            <w:tcW w:w="915"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34CB44DC" w14:textId="77777777" w:rsidR="003F0EEA" w:rsidRPr="006209D7" w:rsidRDefault="00FB7D0B">
            <w:pPr>
              <w:jc w:val="right"/>
              <w:rPr>
                <w:rFonts w:ascii="Arial" w:eastAsia="Arial" w:hAnsi="Arial" w:cs="Arial"/>
                <w:b/>
                <w:color w:val="000000"/>
                <w:sz w:val="16"/>
              </w:rPr>
            </w:pPr>
            <w:r w:rsidRPr="006209D7">
              <w:rPr>
                <w:rFonts w:ascii="Arial" w:eastAsia="Arial" w:hAnsi="Arial" w:cs="Arial"/>
                <w:b/>
                <w:color w:val="000000"/>
                <w:sz w:val="16"/>
              </w:rPr>
              <w:t xml:space="preserve"> 8,271 </w:t>
            </w:r>
          </w:p>
        </w:tc>
      </w:tr>
      <w:tr w:rsidR="00724034" w14:paraId="6EA7E52A" w14:textId="77777777">
        <w:trPr>
          <w:trHeight w:hRule="exact" w:val="225"/>
        </w:trPr>
        <w:tc>
          <w:tcPr>
            <w:tcW w:w="180" w:type="dxa"/>
            <w:tcBorders>
              <w:top w:val="nil"/>
              <w:left w:val="nil"/>
              <w:bottom w:val="nil"/>
              <w:right w:val="nil"/>
              <w:tl2br w:val="nil"/>
              <w:tr2bl w:val="nil"/>
            </w:tcBorders>
            <w:shd w:val="clear" w:color="auto" w:fill="FFFFFF"/>
            <w:tcMar>
              <w:left w:w="101" w:type="dxa"/>
              <w:right w:w="101" w:type="dxa"/>
            </w:tcMar>
            <w:vAlign w:val="bottom"/>
          </w:tcPr>
          <w:p w14:paraId="0959533D" w14:textId="77777777" w:rsidR="003F0EEA" w:rsidRPr="006209D7" w:rsidRDefault="003F0EEA">
            <w:pPr>
              <w:rPr>
                <w:rFonts w:ascii="Arial" w:eastAsia="Arial" w:hAnsi="Arial" w:cs="Arial"/>
                <w:b/>
                <w:color w:val="000000"/>
                <w:sz w:val="16"/>
              </w:rPr>
            </w:pPr>
          </w:p>
        </w:tc>
        <w:tc>
          <w:tcPr>
            <w:tcW w:w="180" w:type="dxa"/>
            <w:tcBorders>
              <w:top w:val="nil"/>
              <w:left w:val="nil"/>
              <w:bottom w:val="nil"/>
              <w:right w:val="nil"/>
              <w:tl2br w:val="nil"/>
              <w:tr2bl w:val="nil"/>
            </w:tcBorders>
            <w:shd w:val="clear" w:color="auto" w:fill="FFFFFF"/>
            <w:tcMar>
              <w:left w:w="101" w:type="dxa"/>
              <w:right w:w="101" w:type="dxa"/>
            </w:tcMar>
            <w:vAlign w:val="bottom"/>
          </w:tcPr>
          <w:p w14:paraId="42DB0322" w14:textId="77777777" w:rsidR="003F0EEA" w:rsidRPr="006209D7" w:rsidRDefault="003F0EEA">
            <w:pPr>
              <w:rPr>
                <w:rFonts w:ascii="Arial" w:eastAsia="Arial" w:hAnsi="Arial" w:cs="Arial"/>
                <w:color w:val="000000"/>
                <w:sz w:val="16"/>
              </w:rPr>
            </w:pPr>
          </w:p>
        </w:tc>
        <w:tc>
          <w:tcPr>
            <w:tcW w:w="2700" w:type="dxa"/>
            <w:tcBorders>
              <w:top w:val="nil"/>
              <w:left w:val="nil"/>
              <w:bottom w:val="nil"/>
              <w:right w:val="nil"/>
              <w:tl2br w:val="nil"/>
              <w:tr2bl w:val="nil"/>
            </w:tcBorders>
            <w:shd w:val="clear" w:color="auto" w:fill="FFFFFF"/>
            <w:tcMar>
              <w:left w:w="101" w:type="dxa"/>
              <w:right w:w="101" w:type="dxa"/>
            </w:tcMar>
            <w:vAlign w:val="bottom"/>
          </w:tcPr>
          <w:p w14:paraId="6713FD20" w14:textId="77777777" w:rsidR="003F0EEA" w:rsidRPr="006209D7" w:rsidRDefault="003F0EEA">
            <w:pPr>
              <w:rPr>
                <w:rFonts w:ascii="Arial" w:eastAsia="Arial" w:hAnsi="Arial" w:cs="Arial"/>
                <w:color w:val="000000"/>
                <w:sz w:val="16"/>
              </w:rPr>
            </w:pPr>
          </w:p>
        </w:tc>
        <w:tc>
          <w:tcPr>
            <w:tcW w:w="91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04E2A34C" w14:textId="77777777" w:rsidR="003F0EEA" w:rsidRPr="006209D7" w:rsidRDefault="003F0EEA">
            <w:pPr>
              <w:rPr>
                <w:rFonts w:ascii="Arial" w:eastAsia="Arial" w:hAnsi="Arial" w:cs="Arial"/>
                <w:color w:val="000000"/>
                <w:sz w:val="16"/>
              </w:rPr>
            </w:pPr>
          </w:p>
        </w:tc>
        <w:tc>
          <w:tcPr>
            <w:tcW w:w="915" w:type="dxa"/>
            <w:tcBorders>
              <w:top w:val="single" w:sz="6" w:space="0" w:color="000000"/>
              <w:left w:val="nil"/>
              <w:bottom w:val="nil"/>
              <w:right w:val="nil"/>
              <w:tl2br w:val="nil"/>
              <w:tr2bl w:val="nil"/>
            </w:tcBorders>
            <w:shd w:val="clear" w:color="auto" w:fill="FFFF00"/>
            <w:tcMar>
              <w:left w:w="101" w:type="dxa"/>
              <w:right w:w="101" w:type="dxa"/>
            </w:tcMar>
            <w:vAlign w:val="bottom"/>
          </w:tcPr>
          <w:p w14:paraId="059F58F4" w14:textId="77777777" w:rsidR="003F0EEA" w:rsidRPr="006209D7" w:rsidRDefault="003F0EEA">
            <w:pPr>
              <w:rPr>
                <w:rFonts w:ascii="Arial" w:eastAsia="Arial" w:hAnsi="Arial" w:cs="Arial"/>
                <w:color w:val="000000"/>
                <w:sz w:val="16"/>
              </w:rPr>
            </w:pPr>
          </w:p>
        </w:tc>
        <w:tc>
          <w:tcPr>
            <w:tcW w:w="91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4D2440E9" w14:textId="77777777" w:rsidR="003F0EEA" w:rsidRPr="006209D7" w:rsidRDefault="003F0EEA">
            <w:pPr>
              <w:rPr>
                <w:rFonts w:ascii="Arial" w:eastAsia="Arial" w:hAnsi="Arial" w:cs="Arial"/>
                <w:color w:val="000000"/>
                <w:sz w:val="16"/>
              </w:rPr>
            </w:pPr>
          </w:p>
        </w:tc>
        <w:tc>
          <w:tcPr>
            <w:tcW w:w="91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02DB144C" w14:textId="77777777" w:rsidR="003F0EEA" w:rsidRPr="006209D7" w:rsidRDefault="003F0EEA">
            <w:pPr>
              <w:rPr>
                <w:rFonts w:ascii="Arial" w:eastAsia="Arial" w:hAnsi="Arial" w:cs="Arial"/>
                <w:color w:val="000000"/>
                <w:sz w:val="16"/>
              </w:rPr>
            </w:pPr>
          </w:p>
        </w:tc>
        <w:tc>
          <w:tcPr>
            <w:tcW w:w="91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29A65F6F" w14:textId="77777777" w:rsidR="003F0EEA" w:rsidRPr="006209D7" w:rsidRDefault="003F0EEA">
            <w:pPr>
              <w:rPr>
                <w:rFonts w:ascii="Arial" w:eastAsia="Arial" w:hAnsi="Arial" w:cs="Arial"/>
                <w:color w:val="000000"/>
                <w:sz w:val="16"/>
              </w:rPr>
            </w:pPr>
          </w:p>
        </w:tc>
      </w:tr>
      <w:tr w:rsidR="00FB7D0B" w14:paraId="077E432D" w14:textId="77777777" w:rsidTr="00FB7D0B">
        <w:trPr>
          <w:trHeight w:val="225"/>
        </w:trPr>
        <w:tc>
          <w:tcPr>
            <w:tcW w:w="3060" w:type="dxa"/>
            <w:gridSpan w:val="3"/>
            <w:tcBorders>
              <w:top w:val="nil"/>
              <w:left w:val="nil"/>
              <w:bottom w:val="nil"/>
              <w:right w:val="nil"/>
              <w:tl2br w:val="nil"/>
              <w:tr2bl w:val="nil"/>
            </w:tcBorders>
            <w:shd w:val="clear" w:color="auto" w:fill="FFFFFF"/>
            <w:tcMar>
              <w:left w:w="101" w:type="dxa"/>
              <w:right w:w="101" w:type="dxa"/>
            </w:tcMar>
            <w:vAlign w:val="bottom"/>
          </w:tcPr>
          <w:p w14:paraId="3A0F63CF" w14:textId="77777777" w:rsidR="003F0EEA" w:rsidRPr="006209D7" w:rsidRDefault="00FB7D0B">
            <w:pPr>
              <w:rPr>
                <w:rFonts w:ascii="Arial" w:eastAsia="Arial" w:hAnsi="Arial" w:cs="Arial"/>
                <w:color w:val="000000"/>
                <w:sz w:val="16"/>
              </w:rPr>
            </w:pPr>
            <w:r w:rsidRPr="006209D7">
              <w:rPr>
                <w:rFonts w:ascii="Arial" w:eastAsia="Arial" w:hAnsi="Arial" w:cs="Arial"/>
                <w:b/>
                <w:color w:val="000000"/>
                <w:sz w:val="16"/>
              </w:rPr>
              <w:t>Gains</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7B74D73C" w14:textId="77777777" w:rsidR="003F0EEA" w:rsidRPr="006209D7" w:rsidRDefault="003F0EEA">
            <w:pPr>
              <w:rPr>
                <w:rFonts w:ascii="Arial" w:eastAsia="Arial" w:hAnsi="Arial" w:cs="Arial"/>
                <w:b/>
                <w:color w:val="000000"/>
                <w:sz w:val="16"/>
              </w:rPr>
            </w:pPr>
          </w:p>
        </w:tc>
        <w:tc>
          <w:tcPr>
            <w:tcW w:w="915" w:type="dxa"/>
            <w:tcBorders>
              <w:top w:val="nil"/>
              <w:left w:val="nil"/>
              <w:bottom w:val="nil"/>
              <w:right w:val="nil"/>
              <w:tl2br w:val="nil"/>
              <w:tr2bl w:val="nil"/>
            </w:tcBorders>
            <w:shd w:val="clear" w:color="auto" w:fill="FFFF00"/>
            <w:tcMar>
              <w:left w:w="101" w:type="dxa"/>
              <w:right w:w="101" w:type="dxa"/>
            </w:tcMar>
            <w:vAlign w:val="bottom"/>
          </w:tcPr>
          <w:p w14:paraId="4C720D3C" w14:textId="77777777" w:rsidR="003F0EEA" w:rsidRPr="006209D7" w:rsidRDefault="003F0EEA">
            <w:pPr>
              <w:rPr>
                <w:rFonts w:ascii="Arial" w:eastAsia="Arial" w:hAnsi="Arial" w:cs="Arial"/>
                <w:color w:val="000000"/>
                <w:sz w:val="16"/>
              </w:rPr>
            </w:pP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4E729B20" w14:textId="77777777" w:rsidR="003F0EEA" w:rsidRPr="006209D7" w:rsidRDefault="003F0EEA">
            <w:pPr>
              <w:rPr>
                <w:rFonts w:ascii="Arial" w:eastAsia="Arial" w:hAnsi="Arial" w:cs="Arial"/>
                <w:color w:val="000000"/>
                <w:sz w:val="16"/>
              </w:rPr>
            </w:pP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1DB5FCC9" w14:textId="77777777" w:rsidR="003F0EEA" w:rsidRPr="006209D7" w:rsidRDefault="003F0EEA">
            <w:pPr>
              <w:rPr>
                <w:rFonts w:ascii="Arial" w:eastAsia="Arial" w:hAnsi="Arial" w:cs="Arial"/>
                <w:color w:val="000000"/>
                <w:sz w:val="16"/>
              </w:rPr>
            </w:pP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69AF5C8B" w14:textId="77777777" w:rsidR="003F0EEA" w:rsidRPr="006209D7" w:rsidRDefault="003F0EEA">
            <w:pPr>
              <w:rPr>
                <w:rFonts w:ascii="Arial" w:eastAsia="Arial" w:hAnsi="Arial" w:cs="Arial"/>
                <w:color w:val="000000"/>
                <w:sz w:val="16"/>
              </w:rPr>
            </w:pPr>
          </w:p>
        </w:tc>
      </w:tr>
      <w:tr w:rsidR="00FB7D0B" w14:paraId="7A3D1C53" w14:textId="77777777" w:rsidTr="00FB7D0B">
        <w:trPr>
          <w:trHeight w:val="225"/>
        </w:trPr>
        <w:tc>
          <w:tcPr>
            <w:tcW w:w="180" w:type="dxa"/>
            <w:tcBorders>
              <w:top w:val="nil"/>
              <w:left w:val="nil"/>
              <w:bottom w:val="nil"/>
              <w:right w:val="nil"/>
              <w:tl2br w:val="nil"/>
              <w:tr2bl w:val="nil"/>
            </w:tcBorders>
            <w:shd w:val="clear" w:color="auto" w:fill="FFFFFF"/>
            <w:tcMar>
              <w:left w:w="101" w:type="dxa"/>
              <w:right w:w="101" w:type="dxa"/>
            </w:tcMar>
            <w:vAlign w:val="bottom"/>
          </w:tcPr>
          <w:p w14:paraId="11E3C06F" w14:textId="77777777" w:rsidR="003F0EEA" w:rsidRPr="006209D7" w:rsidRDefault="003F0EEA">
            <w:pPr>
              <w:rPr>
                <w:rFonts w:ascii="Arial" w:eastAsia="Arial" w:hAnsi="Arial" w:cs="Arial"/>
                <w:color w:val="000000"/>
                <w:sz w:val="16"/>
              </w:rPr>
            </w:pPr>
          </w:p>
        </w:tc>
        <w:tc>
          <w:tcPr>
            <w:tcW w:w="2880" w:type="dxa"/>
            <w:gridSpan w:val="2"/>
            <w:vMerge w:val="restart"/>
            <w:tcBorders>
              <w:top w:val="nil"/>
              <w:left w:val="nil"/>
              <w:bottom w:val="nil"/>
              <w:right w:val="nil"/>
              <w:tl2br w:val="nil"/>
              <w:tr2bl w:val="nil"/>
            </w:tcBorders>
            <w:shd w:val="clear" w:color="auto" w:fill="FFFFFF"/>
            <w:tcMar>
              <w:left w:w="101" w:type="dxa"/>
              <w:right w:w="101" w:type="dxa"/>
            </w:tcMar>
            <w:vAlign w:val="bottom"/>
          </w:tcPr>
          <w:p w14:paraId="695A26CE" w14:textId="77777777" w:rsidR="003F0EEA" w:rsidRPr="006209D7" w:rsidRDefault="00FB7D0B">
            <w:pPr>
              <w:rPr>
                <w:rFonts w:ascii="Arial" w:eastAsia="Arial" w:hAnsi="Arial" w:cs="Arial"/>
                <w:color w:val="000000"/>
                <w:sz w:val="16"/>
              </w:rPr>
            </w:pPr>
            <w:r w:rsidRPr="006209D7">
              <w:rPr>
                <w:rFonts w:ascii="Arial" w:eastAsia="Arial" w:hAnsi="Arial" w:cs="Arial"/>
                <w:color w:val="000000"/>
                <w:sz w:val="16"/>
              </w:rPr>
              <w:t>Resources received free of charge</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428FADCA" w14:textId="77777777" w:rsidR="003F0EEA" w:rsidRPr="006209D7" w:rsidRDefault="00FB7D0B">
            <w:pPr>
              <w:jc w:val="right"/>
              <w:rPr>
                <w:rFonts w:ascii="Arial" w:eastAsia="Arial" w:hAnsi="Arial" w:cs="Arial"/>
                <w:color w:val="000000"/>
                <w:sz w:val="16"/>
              </w:rPr>
            </w:pPr>
            <w:r w:rsidRPr="006209D7">
              <w:rPr>
                <w:rFonts w:ascii="Arial" w:eastAsia="Arial" w:hAnsi="Arial" w:cs="Arial"/>
                <w:color w:val="000000"/>
                <w:sz w:val="16"/>
              </w:rPr>
              <w:t xml:space="preserve"> 750 </w:t>
            </w:r>
          </w:p>
        </w:tc>
        <w:tc>
          <w:tcPr>
            <w:tcW w:w="915" w:type="dxa"/>
            <w:tcBorders>
              <w:top w:val="nil"/>
              <w:left w:val="nil"/>
              <w:bottom w:val="nil"/>
              <w:right w:val="nil"/>
              <w:tl2br w:val="nil"/>
              <w:tr2bl w:val="nil"/>
            </w:tcBorders>
            <w:shd w:val="clear" w:color="auto" w:fill="FFFF00"/>
            <w:tcMar>
              <w:left w:w="101" w:type="dxa"/>
              <w:right w:w="101" w:type="dxa"/>
            </w:tcMar>
            <w:vAlign w:val="bottom"/>
          </w:tcPr>
          <w:p w14:paraId="1D0AE904" w14:textId="77777777" w:rsidR="003F0EEA" w:rsidRPr="006209D7" w:rsidRDefault="00FB7D0B">
            <w:pPr>
              <w:jc w:val="right"/>
              <w:rPr>
                <w:rFonts w:ascii="Arial" w:eastAsia="Arial" w:hAnsi="Arial" w:cs="Arial"/>
                <w:color w:val="000000"/>
                <w:sz w:val="16"/>
              </w:rPr>
            </w:pPr>
            <w:r w:rsidRPr="006209D7">
              <w:rPr>
                <w:rFonts w:ascii="Arial" w:eastAsia="Arial" w:hAnsi="Arial" w:cs="Arial"/>
                <w:color w:val="000000"/>
                <w:sz w:val="16"/>
              </w:rPr>
              <w:t xml:space="preserve"> 750 </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4699EEA2" w14:textId="77777777" w:rsidR="003F0EEA" w:rsidRPr="006209D7" w:rsidRDefault="00FB7D0B">
            <w:pPr>
              <w:jc w:val="right"/>
              <w:rPr>
                <w:rFonts w:ascii="Arial" w:eastAsia="Arial" w:hAnsi="Arial" w:cs="Arial"/>
                <w:color w:val="000000"/>
                <w:sz w:val="16"/>
              </w:rPr>
            </w:pPr>
            <w:r w:rsidRPr="006209D7">
              <w:rPr>
                <w:rFonts w:ascii="Arial" w:eastAsia="Arial" w:hAnsi="Arial" w:cs="Arial"/>
                <w:color w:val="000000"/>
                <w:sz w:val="16"/>
              </w:rPr>
              <w:t xml:space="preserve"> 750 </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1A648ED3" w14:textId="77777777" w:rsidR="003F0EEA" w:rsidRPr="006209D7" w:rsidRDefault="00FB7D0B">
            <w:pPr>
              <w:jc w:val="right"/>
              <w:rPr>
                <w:rFonts w:ascii="Arial" w:eastAsia="Arial" w:hAnsi="Arial" w:cs="Arial"/>
                <w:color w:val="000000"/>
                <w:sz w:val="16"/>
              </w:rPr>
            </w:pPr>
            <w:r w:rsidRPr="006209D7">
              <w:rPr>
                <w:rFonts w:ascii="Arial" w:eastAsia="Arial" w:hAnsi="Arial" w:cs="Arial"/>
                <w:color w:val="000000"/>
                <w:sz w:val="16"/>
              </w:rPr>
              <w:t xml:space="preserve"> 750 </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1EC8038E" w14:textId="77777777" w:rsidR="003F0EEA" w:rsidRPr="006209D7" w:rsidRDefault="00FB7D0B">
            <w:pPr>
              <w:jc w:val="right"/>
              <w:rPr>
                <w:rFonts w:ascii="Arial" w:eastAsia="Arial" w:hAnsi="Arial" w:cs="Arial"/>
                <w:color w:val="000000"/>
                <w:sz w:val="16"/>
              </w:rPr>
            </w:pPr>
            <w:r w:rsidRPr="006209D7">
              <w:rPr>
                <w:rFonts w:ascii="Arial" w:eastAsia="Arial" w:hAnsi="Arial" w:cs="Arial"/>
                <w:color w:val="000000"/>
                <w:sz w:val="16"/>
              </w:rPr>
              <w:t xml:space="preserve"> 750 </w:t>
            </w:r>
          </w:p>
        </w:tc>
      </w:tr>
      <w:tr w:rsidR="00FB7D0B" w14:paraId="454F662A" w14:textId="77777777" w:rsidTr="00FB7D0B">
        <w:trPr>
          <w:trHeight w:val="225"/>
        </w:trPr>
        <w:tc>
          <w:tcPr>
            <w:tcW w:w="3060" w:type="dxa"/>
            <w:gridSpan w:val="3"/>
            <w:tcBorders>
              <w:top w:val="nil"/>
              <w:left w:val="nil"/>
              <w:bottom w:val="nil"/>
              <w:right w:val="nil"/>
              <w:tl2br w:val="nil"/>
              <w:tr2bl w:val="nil"/>
            </w:tcBorders>
            <w:shd w:val="clear" w:color="auto" w:fill="FFFFFF"/>
            <w:tcMar>
              <w:left w:w="101" w:type="dxa"/>
              <w:right w:w="101" w:type="dxa"/>
            </w:tcMar>
            <w:vAlign w:val="bottom"/>
          </w:tcPr>
          <w:p w14:paraId="15748FC5" w14:textId="77777777" w:rsidR="003F0EEA" w:rsidRPr="006209D7" w:rsidRDefault="00FB7D0B">
            <w:pPr>
              <w:rPr>
                <w:rFonts w:ascii="Arial" w:eastAsia="Arial" w:hAnsi="Arial" w:cs="Arial"/>
                <w:color w:val="000000"/>
                <w:sz w:val="16"/>
              </w:rPr>
            </w:pPr>
            <w:r w:rsidRPr="006209D7">
              <w:rPr>
                <w:rFonts w:ascii="Arial" w:eastAsia="Arial" w:hAnsi="Arial" w:cs="Arial"/>
                <w:b/>
                <w:color w:val="000000"/>
                <w:sz w:val="16"/>
              </w:rPr>
              <w:t>Total gains</w:t>
            </w:r>
          </w:p>
        </w:tc>
        <w:tc>
          <w:tcPr>
            <w:tcW w:w="915"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33BC3688" w14:textId="77777777" w:rsidR="003F0EEA" w:rsidRPr="006209D7" w:rsidRDefault="00FB7D0B">
            <w:pPr>
              <w:jc w:val="right"/>
              <w:rPr>
                <w:rFonts w:ascii="Arial" w:eastAsia="Arial" w:hAnsi="Arial" w:cs="Arial"/>
                <w:b/>
                <w:color w:val="000000"/>
                <w:sz w:val="16"/>
              </w:rPr>
            </w:pPr>
            <w:r w:rsidRPr="006209D7">
              <w:rPr>
                <w:rFonts w:ascii="Arial" w:eastAsia="Arial" w:hAnsi="Arial" w:cs="Arial"/>
                <w:b/>
                <w:color w:val="000000"/>
                <w:sz w:val="16"/>
              </w:rPr>
              <w:t xml:space="preserve"> 750 </w:t>
            </w:r>
          </w:p>
        </w:tc>
        <w:tc>
          <w:tcPr>
            <w:tcW w:w="915" w:type="dxa"/>
            <w:tcBorders>
              <w:top w:val="single" w:sz="6" w:space="0" w:color="000000"/>
              <w:left w:val="nil"/>
              <w:bottom w:val="single" w:sz="6" w:space="0" w:color="000000"/>
              <w:right w:val="nil"/>
              <w:tl2br w:val="nil"/>
              <w:tr2bl w:val="nil"/>
            </w:tcBorders>
            <w:shd w:val="clear" w:color="auto" w:fill="FFFF00"/>
            <w:tcMar>
              <w:left w:w="101" w:type="dxa"/>
              <w:right w:w="101" w:type="dxa"/>
            </w:tcMar>
            <w:vAlign w:val="bottom"/>
          </w:tcPr>
          <w:p w14:paraId="5684E190" w14:textId="77777777" w:rsidR="003F0EEA" w:rsidRPr="006209D7" w:rsidRDefault="00FB7D0B">
            <w:pPr>
              <w:jc w:val="right"/>
              <w:rPr>
                <w:rFonts w:ascii="Arial" w:eastAsia="Arial" w:hAnsi="Arial" w:cs="Arial"/>
                <w:b/>
                <w:color w:val="000000"/>
                <w:sz w:val="16"/>
              </w:rPr>
            </w:pPr>
            <w:r w:rsidRPr="006209D7">
              <w:rPr>
                <w:rFonts w:ascii="Arial" w:eastAsia="Arial" w:hAnsi="Arial" w:cs="Arial"/>
                <w:b/>
                <w:color w:val="000000"/>
                <w:sz w:val="16"/>
              </w:rPr>
              <w:t xml:space="preserve"> 750 </w:t>
            </w:r>
          </w:p>
        </w:tc>
        <w:tc>
          <w:tcPr>
            <w:tcW w:w="915"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42CE2934" w14:textId="77777777" w:rsidR="003F0EEA" w:rsidRPr="006209D7" w:rsidRDefault="00FB7D0B">
            <w:pPr>
              <w:jc w:val="right"/>
              <w:rPr>
                <w:rFonts w:ascii="Arial" w:eastAsia="Arial" w:hAnsi="Arial" w:cs="Arial"/>
                <w:b/>
                <w:color w:val="000000"/>
                <w:sz w:val="16"/>
              </w:rPr>
            </w:pPr>
            <w:r w:rsidRPr="006209D7">
              <w:rPr>
                <w:rFonts w:ascii="Arial" w:eastAsia="Arial" w:hAnsi="Arial" w:cs="Arial"/>
                <w:b/>
                <w:color w:val="000000"/>
                <w:sz w:val="16"/>
              </w:rPr>
              <w:t xml:space="preserve"> 750 </w:t>
            </w:r>
          </w:p>
        </w:tc>
        <w:tc>
          <w:tcPr>
            <w:tcW w:w="915"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7A0F8C33" w14:textId="77777777" w:rsidR="003F0EEA" w:rsidRPr="006209D7" w:rsidRDefault="00FB7D0B">
            <w:pPr>
              <w:jc w:val="right"/>
              <w:rPr>
                <w:rFonts w:ascii="Arial" w:eastAsia="Arial" w:hAnsi="Arial" w:cs="Arial"/>
                <w:b/>
                <w:color w:val="000000"/>
                <w:sz w:val="16"/>
              </w:rPr>
            </w:pPr>
            <w:r w:rsidRPr="006209D7">
              <w:rPr>
                <w:rFonts w:ascii="Arial" w:eastAsia="Arial" w:hAnsi="Arial" w:cs="Arial"/>
                <w:b/>
                <w:color w:val="000000"/>
                <w:sz w:val="16"/>
              </w:rPr>
              <w:t xml:space="preserve"> 750 </w:t>
            </w:r>
          </w:p>
        </w:tc>
        <w:tc>
          <w:tcPr>
            <w:tcW w:w="915"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41827857" w14:textId="77777777" w:rsidR="003F0EEA" w:rsidRPr="006209D7" w:rsidRDefault="00FB7D0B">
            <w:pPr>
              <w:jc w:val="right"/>
              <w:rPr>
                <w:rFonts w:ascii="Arial" w:eastAsia="Arial" w:hAnsi="Arial" w:cs="Arial"/>
                <w:b/>
                <w:color w:val="000000"/>
                <w:sz w:val="16"/>
              </w:rPr>
            </w:pPr>
            <w:r w:rsidRPr="006209D7">
              <w:rPr>
                <w:rFonts w:ascii="Arial" w:eastAsia="Arial" w:hAnsi="Arial" w:cs="Arial"/>
                <w:b/>
                <w:color w:val="000000"/>
                <w:sz w:val="16"/>
              </w:rPr>
              <w:t xml:space="preserve"> 750 </w:t>
            </w:r>
          </w:p>
        </w:tc>
      </w:tr>
      <w:tr w:rsidR="00FB7D0B" w14:paraId="4629A5AC" w14:textId="77777777" w:rsidTr="00FB7D0B">
        <w:trPr>
          <w:trHeight w:val="225"/>
        </w:trPr>
        <w:tc>
          <w:tcPr>
            <w:tcW w:w="3060" w:type="dxa"/>
            <w:gridSpan w:val="3"/>
            <w:tcBorders>
              <w:top w:val="nil"/>
              <w:left w:val="nil"/>
              <w:bottom w:val="nil"/>
              <w:right w:val="nil"/>
              <w:tl2br w:val="nil"/>
              <w:tr2bl w:val="nil"/>
            </w:tcBorders>
            <w:shd w:val="clear" w:color="auto" w:fill="FFFFFF"/>
            <w:tcMar>
              <w:left w:w="101" w:type="dxa"/>
              <w:right w:w="101" w:type="dxa"/>
            </w:tcMar>
            <w:vAlign w:val="bottom"/>
          </w:tcPr>
          <w:p w14:paraId="120F3AD1" w14:textId="77777777" w:rsidR="003F0EEA" w:rsidRPr="006209D7" w:rsidRDefault="00FB7D0B">
            <w:pPr>
              <w:rPr>
                <w:rFonts w:ascii="Arial" w:eastAsia="Arial" w:hAnsi="Arial" w:cs="Arial"/>
                <w:b/>
                <w:color w:val="000000"/>
                <w:sz w:val="16"/>
              </w:rPr>
            </w:pPr>
            <w:r w:rsidRPr="006209D7">
              <w:rPr>
                <w:rFonts w:ascii="Arial" w:eastAsia="Arial" w:hAnsi="Arial" w:cs="Arial"/>
                <w:b/>
                <w:color w:val="000000"/>
                <w:sz w:val="16"/>
              </w:rPr>
              <w:t>Total own-source income</w:t>
            </w:r>
          </w:p>
        </w:tc>
        <w:tc>
          <w:tcPr>
            <w:tcW w:w="915"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6D502A6E" w14:textId="77777777" w:rsidR="003F0EEA" w:rsidRPr="006209D7" w:rsidRDefault="00FB7D0B">
            <w:pPr>
              <w:jc w:val="right"/>
              <w:rPr>
                <w:rFonts w:ascii="Arial" w:eastAsia="Arial" w:hAnsi="Arial" w:cs="Arial"/>
                <w:b/>
                <w:color w:val="000000"/>
                <w:sz w:val="16"/>
              </w:rPr>
            </w:pPr>
            <w:r w:rsidRPr="006209D7">
              <w:rPr>
                <w:rFonts w:ascii="Arial" w:eastAsia="Arial" w:hAnsi="Arial" w:cs="Arial"/>
                <w:b/>
                <w:color w:val="000000"/>
                <w:sz w:val="16"/>
              </w:rPr>
              <w:t xml:space="preserve"> 11,976 </w:t>
            </w:r>
          </w:p>
        </w:tc>
        <w:tc>
          <w:tcPr>
            <w:tcW w:w="915" w:type="dxa"/>
            <w:tcBorders>
              <w:top w:val="single" w:sz="6" w:space="0" w:color="000000"/>
              <w:left w:val="nil"/>
              <w:bottom w:val="single" w:sz="6" w:space="0" w:color="000000"/>
              <w:right w:val="nil"/>
              <w:tl2br w:val="nil"/>
              <w:tr2bl w:val="nil"/>
            </w:tcBorders>
            <w:shd w:val="clear" w:color="auto" w:fill="FFFF00"/>
            <w:tcMar>
              <w:left w:w="101" w:type="dxa"/>
              <w:right w:w="101" w:type="dxa"/>
            </w:tcMar>
            <w:vAlign w:val="bottom"/>
          </w:tcPr>
          <w:p w14:paraId="3778BB3E" w14:textId="77777777" w:rsidR="003F0EEA" w:rsidRPr="006209D7" w:rsidRDefault="00FB7D0B">
            <w:pPr>
              <w:jc w:val="right"/>
              <w:rPr>
                <w:rFonts w:ascii="Arial" w:eastAsia="Arial" w:hAnsi="Arial" w:cs="Arial"/>
                <w:b/>
                <w:color w:val="000000"/>
                <w:sz w:val="16"/>
              </w:rPr>
            </w:pPr>
            <w:r w:rsidRPr="006209D7">
              <w:rPr>
                <w:rFonts w:ascii="Arial" w:eastAsia="Arial" w:hAnsi="Arial" w:cs="Arial"/>
                <w:b/>
                <w:color w:val="000000"/>
                <w:sz w:val="16"/>
              </w:rPr>
              <w:t xml:space="preserve"> 12,581 </w:t>
            </w:r>
          </w:p>
        </w:tc>
        <w:tc>
          <w:tcPr>
            <w:tcW w:w="915"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2DB407FA" w14:textId="77777777" w:rsidR="003F0EEA" w:rsidRPr="006209D7" w:rsidRDefault="00FB7D0B">
            <w:pPr>
              <w:jc w:val="right"/>
              <w:rPr>
                <w:rFonts w:ascii="Arial" w:eastAsia="Arial" w:hAnsi="Arial" w:cs="Arial"/>
                <w:b/>
                <w:color w:val="000000"/>
                <w:sz w:val="16"/>
              </w:rPr>
            </w:pPr>
            <w:r w:rsidRPr="006209D7">
              <w:rPr>
                <w:rFonts w:ascii="Arial" w:eastAsia="Arial" w:hAnsi="Arial" w:cs="Arial"/>
                <w:b/>
                <w:color w:val="000000"/>
                <w:sz w:val="16"/>
              </w:rPr>
              <w:t xml:space="preserve"> 12,725 </w:t>
            </w:r>
          </w:p>
        </w:tc>
        <w:tc>
          <w:tcPr>
            <w:tcW w:w="915"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6EA2BC1D" w14:textId="77777777" w:rsidR="003F0EEA" w:rsidRPr="006209D7" w:rsidRDefault="00FB7D0B">
            <w:pPr>
              <w:jc w:val="right"/>
              <w:rPr>
                <w:rFonts w:ascii="Arial" w:eastAsia="Arial" w:hAnsi="Arial" w:cs="Arial"/>
                <w:b/>
                <w:color w:val="000000"/>
                <w:sz w:val="16"/>
              </w:rPr>
            </w:pPr>
            <w:r w:rsidRPr="006209D7">
              <w:rPr>
                <w:rFonts w:ascii="Arial" w:eastAsia="Arial" w:hAnsi="Arial" w:cs="Arial"/>
                <w:b/>
                <w:color w:val="000000"/>
                <w:sz w:val="16"/>
              </w:rPr>
              <w:t xml:space="preserve"> 9,011 </w:t>
            </w:r>
          </w:p>
        </w:tc>
        <w:tc>
          <w:tcPr>
            <w:tcW w:w="915"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74178A82" w14:textId="77777777" w:rsidR="003F0EEA" w:rsidRPr="006209D7" w:rsidRDefault="00FB7D0B">
            <w:pPr>
              <w:jc w:val="right"/>
              <w:rPr>
                <w:rFonts w:ascii="Arial" w:eastAsia="Arial" w:hAnsi="Arial" w:cs="Arial"/>
                <w:b/>
                <w:color w:val="000000"/>
                <w:sz w:val="16"/>
              </w:rPr>
            </w:pPr>
            <w:r w:rsidRPr="006209D7">
              <w:rPr>
                <w:rFonts w:ascii="Arial" w:eastAsia="Arial" w:hAnsi="Arial" w:cs="Arial"/>
                <w:b/>
                <w:color w:val="000000"/>
                <w:sz w:val="16"/>
              </w:rPr>
              <w:t xml:space="preserve"> 9,021 </w:t>
            </w:r>
          </w:p>
        </w:tc>
      </w:tr>
      <w:tr w:rsidR="00724034" w14:paraId="64C3A7DE" w14:textId="77777777">
        <w:trPr>
          <w:trHeight w:hRule="exact" w:val="225"/>
        </w:trPr>
        <w:tc>
          <w:tcPr>
            <w:tcW w:w="180" w:type="dxa"/>
            <w:tcBorders>
              <w:top w:val="nil"/>
              <w:left w:val="nil"/>
              <w:bottom w:val="nil"/>
              <w:right w:val="nil"/>
              <w:tl2br w:val="nil"/>
              <w:tr2bl w:val="nil"/>
            </w:tcBorders>
            <w:shd w:val="clear" w:color="auto" w:fill="FFFFFF"/>
            <w:tcMar>
              <w:left w:w="101" w:type="dxa"/>
              <w:right w:w="101" w:type="dxa"/>
            </w:tcMar>
            <w:vAlign w:val="bottom"/>
          </w:tcPr>
          <w:p w14:paraId="46C5887B" w14:textId="77777777" w:rsidR="003F0EEA" w:rsidRPr="006209D7" w:rsidRDefault="003F0EEA">
            <w:pPr>
              <w:rPr>
                <w:rFonts w:ascii="Arial" w:eastAsia="Arial" w:hAnsi="Arial" w:cs="Arial"/>
                <w:b/>
                <w:color w:val="000000"/>
                <w:sz w:val="16"/>
              </w:rPr>
            </w:pPr>
          </w:p>
        </w:tc>
        <w:tc>
          <w:tcPr>
            <w:tcW w:w="180" w:type="dxa"/>
            <w:tcBorders>
              <w:top w:val="nil"/>
              <w:left w:val="nil"/>
              <w:bottom w:val="nil"/>
              <w:right w:val="nil"/>
              <w:tl2br w:val="nil"/>
              <w:tr2bl w:val="nil"/>
            </w:tcBorders>
            <w:shd w:val="clear" w:color="auto" w:fill="FFFFFF"/>
            <w:tcMar>
              <w:left w:w="101" w:type="dxa"/>
              <w:right w:w="101" w:type="dxa"/>
            </w:tcMar>
            <w:vAlign w:val="bottom"/>
          </w:tcPr>
          <w:p w14:paraId="2311BE16" w14:textId="77777777" w:rsidR="003F0EEA" w:rsidRPr="006209D7" w:rsidRDefault="003F0EEA">
            <w:pPr>
              <w:rPr>
                <w:rFonts w:ascii="Arial" w:eastAsia="Arial" w:hAnsi="Arial" w:cs="Arial"/>
                <w:color w:val="000000"/>
                <w:sz w:val="16"/>
              </w:rPr>
            </w:pPr>
          </w:p>
        </w:tc>
        <w:tc>
          <w:tcPr>
            <w:tcW w:w="2700" w:type="dxa"/>
            <w:tcBorders>
              <w:top w:val="nil"/>
              <w:left w:val="nil"/>
              <w:bottom w:val="nil"/>
              <w:right w:val="nil"/>
              <w:tl2br w:val="nil"/>
              <w:tr2bl w:val="nil"/>
            </w:tcBorders>
            <w:shd w:val="clear" w:color="auto" w:fill="FFFFFF"/>
            <w:tcMar>
              <w:left w:w="101" w:type="dxa"/>
              <w:right w:w="101" w:type="dxa"/>
            </w:tcMar>
            <w:vAlign w:val="bottom"/>
          </w:tcPr>
          <w:p w14:paraId="7AB61EF1" w14:textId="77777777" w:rsidR="003F0EEA" w:rsidRPr="006209D7" w:rsidRDefault="003F0EEA">
            <w:pPr>
              <w:rPr>
                <w:rFonts w:ascii="Arial" w:eastAsia="Arial" w:hAnsi="Arial" w:cs="Arial"/>
                <w:color w:val="000000"/>
                <w:sz w:val="16"/>
              </w:rPr>
            </w:pPr>
          </w:p>
        </w:tc>
        <w:tc>
          <w:tcPr>
            <w:tcW w:w="915"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37CDF24C" w14:textId="77777777" w:rsidR="003F0EEA" w:rsidRPr="006209D7" w:rsidRDefault="003F0EEA">
            <w:pPr>
              <w:rPr>
                <w:rFonts w:ascii="Arial" w:eastAsia="Arial" w:hAnsi="Arial" w:cs="Arial"/>
                <w:color w:val="000000"/>
                <w:sz w:val="16"/>
              </w:rPr>
            </w:pPr>
          </w:p>
        </w:tc>
        <w:tc>
          <w:tcPr>
            <w:tcW w:w="915" w:type="dxa"/>
            <w:tcBorders>
              <w:top w:val="single" w:sz="6" w:space="0" w:color="000000"/>
              <w:left w:val="nil"/>
              <w:bottom w:val="single" w:sz="6" w:space="0" w:color="000000"/>
              <w:right w:val="nil"/>
              <w:tl2br w:val="nil"/>
              <w:tr2bl w:val="nil"/>
            </w:tcBorders>
            <w:shd w:val="clear" w:color="auto" w:fill="FFFF00"/>
            <w:tcMar>
              <w:left w:w="101" w:type="dxa"/>
              <w:right w:w="101" w:type="dxa"/>
            </w:tcMar>
            <w:vAlign w:val="bottom"/>
          </w:tcPr>
          <w:p w14:paraId="72D51311" w14:textId="77777777" w:rsidR="003F0EEA" w:rsidRPr="006209D7" w:rsidRDefault="003F0EEA">
            <w:pPr>
              <w:rPr>
                <w:rFonts w:ascii="Arial" w:eastAsia="Arial" w:hAnsi="Arial" w:cs="Arial"/>
                <w:color w:val="000000"/>
                <w:sz w:val="16"/>
              </w:rPr>
            </w:pPr>
          </w:p>
        </w:tc>
        <w:tc>
          <w:tcPr>
            <w:tcW w:w="915"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73495B9F" w14:textId="77777777" w:rsidR="003F0EEA" w:rsidRPr="006209D7" w:rsidRDefault="003F0EEA">
            <w:pPr>
              <w:rPr>
                <w:rFonts w:ascii="Arial" w:eastAsia="Arial" w:hAnsi="Arial" w:cs="Arial"/>
                <w:color w:val="000000"/>
                <w:sz w:val="16"/>
              </w:rPr>
            </w:pPr>
          </w:p>
        </w:tc>
        <w:tc>
          <w:tcPr>
            <w:tcW w:w="915"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604CEB0E" w14:textId="77777777" w:rsidR="003F0EEA" w:rsidRPr="006209D7" w:rsidRDefault="003F0EEA">
            <w:pPr>
              <w:rPr>
                <w:rFonts w:ascii="Arial" w:eastAsia="Arial" w:hAnsi="Arial" w:cs="Arial"/>
                <w:color w:val="000000"/>
                <w:sz w:val="16"/>
              </w:rPr>
            </w:pPr>
          </w:p>
        </w:tc>
        <w:tc>
          <w:tcPr>
            <w:tcW w:w="915"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01E26184" w14:textId="77777777" w:rsidR="003F0EEA" w:rsidRPr="006209D7" w:rsidRDefault="003F0EEA">
            <w:pPr>
              <w:rPr>
                <w:rFonts w:ascii="Arial" w:eastAsia="Arial" w:hAnsi="Arial" w:cs="Arial"/>
                <w:color w:val="000000"/>
                <w:sz w:val="16"/>
              </w:rPr>
            </w:pPr>
          </w:p>
        </w:tc>
      </w:tr>
      <w:tr w:rsidR="00FB7D0B" w14:paraId="659AD51B" w14:textId="77777777" w:rsidTr="00FB7D0B">
        <w:trPr>
          <w:trHeight w:val="450"/>
        </w:trPr>
        <w:tc>
          <w:tcPr>
            <w:tcW w:w="3060" w:type="dxa"/>
            <w:gridSpan w:val="3"/>
            <w:tcBorders>
              <w:top w:val="nil"/>
              <w:left w:val="nil"/>
              <w:bottom w:val="nil"/>
              <w:right w:val="nil"/>
              <w:tl2br w:val="nil"/>
              <w:tr2bl w:val="nil"/>
            </w:tcBorders>
            <w:shd w:val="clear" w:color="auto" w:fill="FFFFFF"/>
            <w:tcMar>
              <w:left w:w="101" w:type="dxa"/>
              <w:right w:w="101" w:type="dxa"/>
            </w:tcMar>
            <w:vAlign w:val="bottom"/>
          </w:tcPr>
          <w:p w14:paraId="410BE237" w14:textId="77777777" w:rsidR="003F0EEA" w:rsidRPr="006209D7" w:rsidRDefault="00FB7D0B">
            <w:pPr>
              <w:rPr>
                <w:rFonts w:ascii="Arial" w:eastAsia="Arial" w:hAnsi="Arial" w:cs="Arial"/>
                <w:color w:val="000000"/>
                <w:sz w:val="16"/>
              </w:rPr>
            </w:pPr>
            <w:r w:rsidRPr="006209D7">
              <w:rPr>
                <w:rFonts w:ascii="Arial" w:eastAsia="Arial" w:hAnsi="Arial" w:cs="Arial"/>
                <w:b/>
                <w:color w:val="000000"/>
                <w:sz w:val="16"/>
              </w:rPr>
              <w:t>Net cost of (contribution by) services</w:t>
            </w:r>
          </w:p>
        </w:tc>
        <w:tc>
          <w:tcPr>
            <w:tcW w:w="915"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7FF23E67" w14:textId="77777777" w:rsidR="003F0EEA" w:rsidRPr="006209D7" w:rsidRDefault="00FB7D0B">
            <w:pPr>
              <w:jc w:val="right"/>
              <w:rPr>
                <w:rFonts w:ascii="Arial" w:eastAsia="Arial" w:hAnsi="Arial" w:cs="Arial"/>
                <w:b/>
                <w:color w:val="000000"/>
                <w:sz w:val="16"/>
              </w:rPr>
            </w:pPr>
            <w:r w:rsidRPr="006209D7">
              <w:rPr>
                <w:rFonts w:ascii="Arial" w:eastAsia="Arial" w:hAnsi="Arial" w:cs="Arial"/>
                <w:b/>
                <w:color w:val="000000"/>
                <w:sz w:val="16"/>
              </w:rPr>
              <w:t xml:space="preserve"> 317,457 </w:t>
            </w:r>
          </w:p>
        </w:tc>
        <w:tc>
          <w:tcPr>
            <w:tcW w:w="915" w:type="dxa"/>
            <w:tcBorders>
              <w:top w:val="single" w:sz="6" w:space="0" w:color="000000"/>
              <w:left w:val="nil"/>
              <w:bottom w:val="single" w:sz="6" w:space="0" w:color="000000"/>
              <w:right w:val="nil"/>
              <w:tl2br w:val="nil"/>
              <w:tr2bl w:val="nil"/>
            </w:tcBorders>
            <w:shd w:val="clear" w:color="auto" w:fill="FFFF00"/>
            <w:tcMar>
              <w:left w:w="101" w:type="dxa"/>
              <w:right w:w="101" w:type="dxa"/>
            </w:tcMar>
            <w:vAlign w:val="bottom"/>
          </w:tcPr>
          <w:p w14:paraId="0B51013D" w14:textId="77777777" w:rsidR="003F0EEA" w:rsidRPr="006209D7" w:rsidRDefault="00FB7D0B">
            <w:pPr>
              <w:jc w:val="right"/>
              <w:rPr>
                <w:rFonts w:ascii="Arial" w:eastAsia="Arial" w:hAnsi="Arial" w:cs="Arial"/>
                <w:b/>
                <w:color w:val="000000"/>
                <w:sz w:val="16"/>
              </w:rPr>
            </w:pPr>
            <w:r w:rsidRPr="006209D7">
              <w:rPr>
                <w:rFonts w:ascii="Arial" w:eastAsia="Arial" w:hAnsi="Arial" w:cs="Arial"/>
                <w:b/>
                <w:color w:val="000000"/>
                <w:sz w:val="16"/>
              </w:rPr>
              <w:t xml:space="preserve"> 315,576 </w:t>
            </w:r>
          </w:p>
        </w:tc>
        <w:tc>
          <w:tcPr>
            <w:tcW w:w="915"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3DA9328A" w14:textId="77777777" w:rsidR="003F0EEA" w:rsidRPr="006209D7" w:rsidRDefault="00FB7D0B">
            <w:pPr>
              <w:jc w:val="right"/>
              <w:rPr>
                <w:rFonts w:ascii="Arial" w:eastAsia="Arial" w:hAnsi="Arial" w:cs="Arial"/>
                <w:b/>
                <w:color w:val="000000"/>
                <w:sz w:val="16"/>
              </w:rPr>
            </w:pPr>
            <w:r w:rsidRPr="006209D7">
              <w:rPr>
                <w:rFonts w:ascii="Arial" w:eastAsia="Arial" w:hAnsi="Arial" w:cs="Arial"/>
                <w:b/>
                <w:color w:val="000000"/>
                <w:sz w:val="16"/>
              </w:rPr>
              <w:t xml:space="preserve"> 303,023 </w:t>
            </w:r>
          </w:p>
        </w:tc>
        <w:tc>
          <w:tcPr>
            <w:tcW w:w="915"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1F04A683" w14:textId="77777777" w:rsidR="003F0EEA" w:rsidRPr="006209D7" w:rsidRDefault="00FB7D0B">
            <w:pPr>
              <w:jc w:val="right"/>
              <w:rPr>
                <w:rFonts w:ascii="Arial" w:eastAsia="Arial" w:hAnsi="Arial" w:cs="Arial"/>
                <w:b/>
                <w:color w:val="000000"/>
                <w:sz w:val="16"/>
              </w:rPr>
            </w:pPr>
            <w:r w:rsidRPr="006209D7">
              <w:rPr>
                <w:rFonts w:ascii="Arial" w:eastAsia="Arial" w:hAnsi="Arial" w:cs="Arial"/>
                <w:b/>
                <w:color w:val="000000"/>
                <w:sz w:val="16"/>
              </w:rPr>
              <w:t xml:space="preserve"> 297,312 </w:t>
            </w:r>
          </w:p>
        </w:tc>
        <w:tc>
          <w:tcPr>
            <w:tcW w:w="915"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1074A2EB" w14:textId="77777777" w:rsidR="003F0EEA" w:rsidRPr="006209D7" w:rsidRDefault="00FB7D0B">
            <w:pPr>
              <w:jc w:val="right"/>
              <w:rPr>
                <w:rFonts w:ascii="Arial" w:eastAsia="Arial" w:hAnsi="Arial" w:cs="Arial"/>
                <w:b/>
                <w:color w:val="000000"/>
                <w:sz w:val="16"/>
              </w:rPr>
            </w:pPr>
            <w:r w:rsidRPr="006209D7">
              <w:rPr>
                <w:rFonts w:ascii="Arial" w:eastAsia="Arial" w:hAnsi="Arial" w:cs="Arial"/>
                <w:b/>
                <w:color w:val="000000"/>
                <w:sz w:val="16"/>
              </w:rPr>
              <w:t xml:space="preserve"> 294,771 </w:t>
            </w:r>
          </w:p>
        </w:tc>
      </w:tr>
      <w:tr w:rsidR="00724034" w14:paraId="43253862" w14:textId="77777777">
        <w:trPr>
          <w:trHeight w:hRule="exact" w:val="225"/>
        </w:trPr>
        <w:tc>
          <w:tcPr>
            <w:tcW w:w="180" w:type="dxa"/>
            <w:tcBorders>
              <w:top w:val="nil"/>
              <w:left w:val="nil"/>
              <w:bottom w:val="nil"/>
              <w:right w:val="nil"/>
              <w:tl2br w:val="nil"/>
              <w:tr2bl w:val="nil"/>
            </w:tcBorders>
            <w:shd w:val="clear" w:color="auto" w:fill="FFFFFF"/>
            <w:tcMar>
              <w:left w:w="101" w:type="dxa"/>
              <w:right w:w="101" w:type="dxa"/>
            </w:tcMar>
            <w:vAlign w:val="bottom"/>
          </w:tcPr>
          <w:p w14:paraId="7FEE4E70" w14:textId="77777777" w:rsidR="003F0EEA" w:rsidRPr="006209D7" w:rsidRDefault="003F0EEA">
            <w:pPr>
              <w:rPr>
                <w:rFonts w:ascii="Arial" w:eastAsia="Arial" w:hAnsi="Arial" w:cs="Arial"/>
                <w:b/>
                <w:color w:val="000000"/>
                <w:sz w:val="16"/>
              </w:rPr>
            </w:pPr>
          </w:p>
        </w:tc>
        <w:tc>
          <w:tcPr>
            <w:tcW w:w="180" w:type="dxa"/>
            <w:tcBorders>
              <w:top w:val="nil"/>
              <w:left w:val="nil"/>
              <w:bottom w:val="nil"/>
              <w:right w:val="nil"/>
              <w:tl2br w:val="nil"/>
              <w:tr2bl w:val="nil"/>
            </w:tcBorders>
            <w:shd w:val="clear" w:color="auto" w:fill="FFFFFF"/>
            <w:tcMar>
              <w:left w:w="101" w:type="dxa"/>
              <w:right w:w="101" w:type="dxa"/>
            </w:tcMar>
            <w:vAlign w:val="bottom"/>
          </w:tcPr>
          <w:p w14:paraId="74441286" w14:textId="77777777" w:rsidR="003F0EEA" w:rsidRPr="006209D7" w:rsidRDefault="003F0EEA">
            <w:pPr>
              <w:rPr>
                <w:rFonts w:ascii="Arial" w:eastAsia="Arial" w:hAnsi="Arial" w:cs="Arial"/>
                <w:color w:val="000000"/>
                <w:sz w:val="16"/>
              </w:rPr>
            </w:pPr>
          </w:p>
        </w:tc>
        <w:tc>
          <w:tcPr>
            <w:tcW w:w="2700" w:type="dxa"/>
            <w:tcBorders>
              <w:top w:val="nil"/>
              <w:left w:val="nil"/>
              <w:bottom w:val="nil"/>
              <w:right w:val="nil"/>
              <w:tl2br w:val="nil"/>
              <w:tr2bl w:val="nil"/>
            </w:tcBorders>
            <w:shd w:val="clear" w:color="auto" w:fill="FFFFFF"/>
            <w:tcMar>
              <w:left w:w="101" w:type="dxa"/>
              <w:right w:w="101" w:type="dxa"/>
            </w:tcMar>
            <w:vAlign w:val="bottom"/>
          </w:tcPr>
          <w:p w14:paraId="728797FC" w14:textId="77777777" w:rsidR="003F0EEA" w:rsidRPr="006209D7" w:rsidRDefault="003F0EEA">
            <w:pPr>
              <w:rPr>
                <w:rFonts w:ascii="Arial" w:eastAsia="Arial" w:hAnsi="Arial" w:cs="Arial"/>
                <w:color w:val="000000"/>
                <w:sz w:val="16"/>
              </w:rPr>
            </w:pP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56DEA1BF" w14:textId="77777777" w:rsidR="003F0EEA" w:rsidRPr="006209D7" w:rsidRDefault="003F0EEA">
            <w:pPr>
              <w:rPr>
                <w:rFonts w:ascii="Arial" w:eastAsia="Arial" w:hAnsi="Arial" w:cs="Arial"/>
                <w:color w:val="000000"/>
                <w:sz w:val="16"/>
              </w:rPr>
            </w:pPr>
          </w:p>
        </w:tc>
        <w:tc>
          <w:tcPr>
            <w:tcW w:w="915" w:type="dxa"/>
            <w:tcBorders>
              <w:top w:val="nil"/>
              <w:left w:val="nil"/>
              <w:bottom w:val="nil"/>
              <w:right w:val="nil"/>
              <w:tl2br w:val="nil"/>
              <w:tr2bl w:val="nil"/>
            </w:tcBorders>
            <w:shd w:val="clear" w:color="auto" w:fill="FFFF00"/>
            <w:tcMar>
              <w:left w:w="101" w:type="dxa"/>
              <w:right w:w="101" w:type="dxa"/>
            </w:tcMar>
            <w:vAlign w:val="bottom"/>
          </w:tcPr>
          <w:p w14:paraId="35EFF853" w14:textId="77777777" w:rsidR="003F0EEA" w:rsidRPr="006209D7" w:rsidRDefault="003F0EEA">
            <w:pPr>
              <w:rPr>
                <w:rFonts w:ascii="Arial" w:eastAsia="Arial" w:hAnsi="Arial" w:cs="Arial"/>
                <w:color w:val="000000"/>
                <w:sz w:val="16"/>
              </w:rPr>
            </w:pP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52165D1F" w14:textId="77777777" w:rsidR="003F0EEA" w:rsidRPr="006209D7" w:rsidRDefault="003F0EEA">
            <w:pPr>
              <w:rPr>
                <w:rFonts w:ascii="Arial" w:eastAsia="Arial" w:hAnsi="Arial" w:cs="Arial"/>
                <w:color w:val="000000"/>
                <w:sz w:val="16"/>
              </w:rPr>
            </w:pP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3EFF475A" w14:textId="77777777" w:rsidR="003F0EEA" w:rsidRPr="006209D7" w:rsidRDefault="003F0EEA">
            <w:pPr>
              <w:rPr>
                <w:rFonts w:ascii="Arial" w:eastAsia="Arial" w:hAnsi="Arial" w:cs="Arial"/>
                <w:color w:val="000000"/>
                <w:sz w:val="16"/>
              </w:rPr>
            </w:pP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62612069" w14:textId="77777777" w:rsidR="003F0EEA" w:rsidRPr="006209D7" w:rsidRDefault="003F0EEA">
            <w:pPr>
              <w:rPr>
                <w:rFonts w:ascii="Arial" w:eastAsia="Arial" w:hAnsi="Arial" w:cs="Arial"/>
                <w:color w:val="000000"/>
                <w:sz w:val="16"/>
              </w:rPr>
            </w:pPr>
          </w:p>
        </w:tc>
      </w:tr>
      <w:tr w:rsidR="00FB7D0B" w14:paraId="56BB3FB0" w14:textId="77777777" w:rsidTr="00FB7D0B">
        <w:trPr>
          <w:trHeight w:val="225"/>
        </w:trPr>
        <w:tc>
          <w:tcPr>
            <w:tcW w:w="180" w:type="dxa"/>
            <w:tcBorders>
              <w:top w:val="nil"/>
              <w:left w:val="nil"/>
              <w:bottom w:val="nil"/>
              <w:right w:val="nil"/>
              <w:tl2br w:val="nil"/>
              <w:tr2bl w:val="nil"/>
            </w:tcBorders>
            <w:shd w:val="clear" w:color="auto" w:fill="FFFFFF"/>
            <w:tcMar>
              <w:left w:w="101" w:type="dxa"/>
              <w:right w:w="101" w:type="dxa"/>
            </w:tcMar>
            <w:vAlign w:val="bottom"/>
          </w:tcPr>
          <w:p w14:paraId="05F0D216" w14:textId="77777777" w:rsidR="003F0EEA" w:rsidRPr="006209D7" w:rsidRDefault="003F0EEA">
            <w:pPr>
              <w:rPr>
                <w:rFonts w:ascii="Arial" w:eastAsia="Arial" w:hAnsi="Arial" w:cs="Arial"/>
                <w:color w:val="000000"/>
                <w:sz w:val="16"/>
              </w:rPr>
            </w:pPr>
          </w:p>
        </w:tc>
        <w:tc>
          <w:tcPr>
            <w:tcW w:w="2880" w:type="dxa"/>
            <w:gridSpan w:val="2"/>
            <w:vMerge w:val="restart"/>
            <w:tcBorders>
              <w:top w:val="nil"/>
              <w:left w:val="nil"/>
              <w:bottom w:val="nil"/>
              <w:right w:val="nil"/>
              <w:tl2br w:val="nil"/>
              <w:tr2bl w:val="nil"/>
            </w:tcBorders>
            <w:shd w:val="clear" w:color="auto" w:fill="FFFFFF"/>
            <w:tcMar>
              <w:left w:w="101" w:type="dxa"/>
              <w:right w:w="101" w:type="dxa"/>
            </w:tcMar>
            <w:vAlign w:val="bottom"/>
          </w:tcPr>
          <w:p w14:paraId="02B8383D" w14:textId="77777777" w:rsidR="003F0EEA" w:rsidRPr="006209D7" w:rsidRDefault="00FB7D0B">
            <w:pPr>
              <w:rPr>
                <w:rFonts w:ascii="Arial" w:eastAsia="Arial" w:hAnsi="Arial" w:cs="Arial"/>
                <w:color w:val="000000"/>
                <w:sz w:val="16"/>
              </w:rPr>
            </w:pPr>
            <w:r w:rsidRPr="006209D7">
              <w:rPr>
                <w:rFonts w:ascii="Arial" w:eastAsia="Arial" w:hAnsi="Arial" w:cs="Arial"/>
                <w:color w:val="000000"/>
                <w:sz w:val="16"/>
              </w:rPr>
              <w:t>Revenue from Government</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70523002" w14:textId="77777777" w:rsidR="003F0EEA" w:rsidRPr="006209D7" w:rsidRDefault="00FB7D0B">
            <w:pPr>
              <w:jc w:val="right"/>
              <w:rPr>
                <w:rFonts w:ascii="Arial" w:eastAsia="Arial" w:hAnsi="Arial" w:cs="Arial"/>
                <w:color w:val="000000"/>
                <w:sz w:val="16"/>
              </w:rPr>
            </w:pPr>
            <w:r w:rsidRPr="006209D7">
              <w:rPr>
                <w:rFonts w:ascii="Arial" w:eastAsia="Arial" w:hAnsi="Arial" w:cs="Arial"/>
                <w:color w:val="000000"/>
                <w:sz w:val="16"/>
              </w:rPr>
              <w:t xml:space="preserve"> 288,461 </w:t>
            </w:r>
          </w:p>
        </w:tc>
        <w:tc>
          <w:tcPr>
            <w:tcW w:w="915" w:type="dxa"/>
            <w:tcBorders>
              <w:top w:val="nil"/>
              <w:left w:val="nil"/>
              <w:bottom w:val="nil"/>
              <w:right w:val="nil"/>
              <w:tl2br w:val="nil"/>
              <w:tr2bl w:val="nil"/>
            </w:tcBorders>
            <w:shd w:val="clear" w:color="auto" w:fill="FFFF00"/>
            <w:tcMar>
              <w:left w:w="101" w:type="dxa"/>
              <w:right w:w="101" w:type="dxa"/>
            </w:tcMar>
            <w:vAlign w:val="bottom"/>
          </w:tcPr>
          <w:p w14:paraId="1C08B13F" w14:textId="77777777" w:rsidR="003F0EEA" w:rsidRPr="006209D7" w:rsidRDefault="00FB7D0B">
            <w:pPr>
              <w:jc w:val="right"/>
              <w:rPr>
                <w:rFonts w:ascii="Arial" w:eastAsia="Arial" w:hAnsi="Arial" w:cs="Arial"/>
                <w:color w:val="000000"/>
                <w:sz w:val="16"/>
              </w:rPr>
            </w:pPr>
            <w:r w:rsidRPr="006209D7">
              <w:rPr>
                <w:rFonts w:ascii="Arial" w:eastAsia="Arial" w:hAnsi="Arial" w:cs="Arial"/>
                <w:color w:val="000000"/>
                <w:sz w:val="16"/>
              </w:rPr>
              <w:t xml:space="preserve"> 282,986 </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14847350" w14:textId="77777777" w:rsidR="003F0EEA" w:rsidRPr="006209D7" w:rsidRDefault="00FB7D0B">
            <w:pPr>
              <w:jc w:val="right"/>
              <w:rPr>
                <w:rFonts w:ascii="Arial" w:eastAsia="Arial" w:hAnsi="Arial" w:cs="Arial"/>
                <w:color w:val="000000"/>
                <w:sz w:val="16"/>
              </w:rPr>
            </w:pPr>
            <w:r w:rsidRPr="006209D7">
              <w:rPr>
                <w:rFonts w:ascii="Arial" w:eastAsia="Arial" w:hAnsi="Arial" w:cs="Arial"/>
                <w:color w:val="000000"/>
                <w:sz w:val="16"/>
              </w:rPr>
              <w:t xml:space="preserve"> 273,457 </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38488B18" w14:textId="77777777" w:rsidR="003F0EEA" w:rsidRPr="006209D7" w:rsidRDefault="00FB7D0B">
            <w:pPr>
              <w:jc w:val="right"/>
              <w:rPr>
                <w:rFonts w:ascii="Arial" w:eastAsia="Arial" w:hAnsi="Arial" w:cs="Arial"/>
                <w:color w:val="000000"/>
                <w:sz w:val="16"/>
              </w:rPr>
            </w:pPr>
            <w:r w:rsidRPr="006209D7">
              <w:rPr>
                <w:rFonts w:ascii="Arial" w:eastAsia="Arial" w:hAnsi="Arial" w:cs="Arial"/>
                <w:color w:val="000000"/>
                <w:sz w:val="16"/>
              </w:rPr>
              <w:t xml:space="preserve"> 270,267 </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520CF90D" w14:textId="77777777" w:rsidR="003F0EEA" w:rsidRPr="006209D7" w:rsidRDefault="00FB7D0B">
            <w:pPr>
              <w:jc w:val="right"/>
              <w:rPr>
                <w:rFonts w:ascii="Arial" w:eastAsia="Arial" w:hAnsi="Arial" w:cs="Arial"/>
                <w:color w:val="000000"/>
                <w:sz w:val="16"/>
              </w:rPr>
            </w:pPr>
            <w:r w:rsidRPr="006209D7">
              <w:rPr>
                <w:rFonts w:ascii="Arial" w:eastAsia="Arial" w:hAnsi="Arial" w:cs="Arial"/>
                <w:color w:val="000000"/>
                <w:sz w:val="16"/>
              </w:rPr>
              <w:t xml:space="preserve"> 272,316 </w:t>
            </w:r>
          </w:p>
        </w:tc>
      </w:tr>
      <w:tr w:rsidR="00FB7D0B" w14:paraId="44001B24" w14:textId="77777777" w:rsidTr="00FB7D0B">
        <w:trPr>
          <w:trHeight w:val="225"/>
        </w:trPr>
        <w:tc>
          <w:tcPr>
            <w:tcW w:w="3060" w:type="dxa"/>
            <w:gridSpan w:val="3"/>
            <w:tcBorders>
              <w:top w:val="nil"/>
              <w:left w:val="nil"/>
              <w:bottom w:val="nil"/>
              <w:right w:val="nil"/>
              <w:tl2br w:val="nil"/>
              <w:tr2bl w:val="nil"/>
            </w:tcBorders>
            <w:shd w:val="clear" w:color="auto" w:fill="FFFFFF"/>
            <w:tcMar>
              <w:left w:w="101" w:type="dxa"/>
              <w:right w:w="101" w:type="dxa"/>
            </w:tcMar>
            <w:vAlign w:val="bottom"/>
          </w:tcPr>
          <w:p w14:paraId="68872637" w14:textId="77777777" w:rsidR="003F0EEA" w:rsidRPr="006209D7" w:rsidRDefault="00FB7D0B">
            <w:pPr>
              <w:rPr>
                <w:rFonts w:ascii="Arial" w:eastAsia="Arial" w:hAnsi="Arial" w:cs="Arial"/>
                <w:color w:val="000000"/>
                <w:sz w:val="16"/>
              </w:rPr>
            </w:pPr>
            <w:r w:rsidRPr="006209D7">
              <w:rPr>
                <w:rFonts w:ascii="Arial" w:eastAsia="Arial" w:hAnsi="Arial" w:cs="Arial"/>
                <w:b/>
                <w:color w:val="000000"/>
                <w:sz w:val="16"/>
              </w:rPr>
              <w:t>Surplus (Deficit) attributable to</w:t>
            </w:r>
          </w:p>
        </w:tc>
        <w:tc>
          <w:tcPr>
            <w:tcW w:w="91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23D1FFAC" w14:textId="77777777" w:rsidR="003F0EEA" w:rsidRPr="006209D7" w:rsidRDefault="003F0EEA">
            <w:pPr>
              <w:rPr>
                <w:rFonts w:ascii="Arial" w:eastAsia="Arial" w:hAnsi="Arial" w:cs="Arial"/>
                <w:b/>
                <w:color w:val="000000"/>
                <w:sz w:val="16"/>
              </w:rPr>
            </w:pPr>
          </w:p>
        </w:tc>
        <w:tc>
          <w:tcPr>
            <w:tcW w:w="915" w:type="dxa"/>
            <w:tcBorders>
              <w:top w:val="single" w:sz="6" w:space="0" w:color="000000"/>
              <w:left w:val="nil"/>
              <w:bottom w:val="nil"/>
              <w:right w:val="nil"/>
              <w:tl2br w:val="nil"/>
              <w:tr2bl w:val="nil"/>
            </w:tcBorders>
            <w:shd w:val="clear" w:color="auto" w:fill="FFFF00"/>
            <w:tcMar>
              <w:left w:w="101" w:type="dxa"/>
              <w:right w:w="101" w:type="dxa"/>
            </w:tcMar>
            <w:vAlign w:val="bottom"/>
          </w:tcPr>
          <w:p w14:paraId="4A4A2E58" w14:textId="77777777" w:rsidR="003F0EEA" w:rsidRPr="006209D7" w:rsidRDefault="003F0EEA">
            <w:pPr>
              <w:rPr>
                <w:rFonts w:ascii="Arial" w:eastAsia="Arial" w:hAnsi="Arial" w:cs="Arial"/>
                <w:b/>
                <w:color w:val="000000"/>
                <w:sz w:val="16"/>
              </w:rPr>
            </w:pPr>
          </w:p>
        </w:tc>
        <w:tc>
          <w:tcPr>
            <w:tcW w:w="91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1AE0BD0A" w14:textId="77777777" w:rsidR="003F0EEA" w:rsidRPr="006209D7" w:rsidRDefault="003F0EEA">
            <w:pPr>
              <w:rPr>
                <w:rFonts w:ascii="Arial" w:eastAsia="Arial" w:hAnsi="Arial" w:cs="Arial"/>
                <w:b/>
                <w:color w:val="000000"/>
                <w:sz w:val="16"/>
              </w:rPr>
            </w:pPr>
          </w:p>
        </w:tc>
        <w:tc>
          <w:tcPr>
            <w:tcW w:w="91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3AC0DEA8" w14:textId="77777777" w:rsidR="003F0EEA" w:rsidRPr="006209D7" w:rsidRDefault="003F0EEA">
            <w:pPr>
              <w:rPr>
                <w:rFonts w:ascii="Arial" w:eastAsia="Arial" w:hAnsi="Arial" w:cs="Arial"/>
                <w:b/>
                <w:color w:val="000000"/>
                <w:sz w:val="16"/>
              </w:rPr>
            </w:pPr>
          </w:p>
        </w:tc>
        <w:tc>
          <w:tcPr>
            <w:tcW w:w="91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142AAB73" w14:textId="77777777" w:rsidR="003F0EEA" w:rsidRPr="006209D7" w:rsidRDefault="003F0EEA">
            <w:pPr>
              <w:rPr>
                <w:rFonts w:ascii="Arial" w:eastAsia="Arial" w:hAnsi="Arial" w:cs="Arial"/>
                <w:b/>
                <w:color w:val="000000"/>
                <w:sz w:val="16"/>
              </w:rPr>
            </w:pPr>
          </w:p>
        </w:tc>
      </w:tr>
      <w:tr w:rsidR="00FB7D0B" w14:paraId="701DF887" w14:textId="77777777" w:rsidTr="00FB7D0B">
        <w:trPr>
          <w:trHeight w:val="225"/>
        </w:trPr>
        <w:tc>
          <w:tcPr>
            <w:tcW w:w="180"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531E0F0A" w14:textId="77777777" w:rsidR="003F0EEA" w:rsidRPr="006209D7" w:rsidRDefault="003F0EEA">
            <w:pPr>
              <w:rPr>
                <w:rFonts w:ascii="Arial" w:eastAsia="Arial" w:hAnsi="Arial" w:cs="Arial"/>
                <w:b/>
                <w:color w:val="000000"/>
                <w:sz w:val="16"/>
              </w:rPr>
            </w:pPr>
          </w:p>
        </w:tc>
        <w:tc>
          <w:tcPr>
            <w:tcW w:w="2880" w:type="dxa"/>
            <w:gridSpan w:val="2"/>
            <w:tcBorders>
              <w:top w:val="nil"/>
              <w:left w:val="nil"/>
              <w:bottom w:val="single" w:sz="6" w:space="0" w:color="000000"/>
              <w:right w:val="nil"/>
              <w:tl2br w:val="nil"/>
              <w:tr2bl w:val="nil"/>
            </w:tcBorders>
            <w:shd w:val="clear" w:color="auto" w:fill="FFFFFF"/>
            <w:tcMar>
              <w:left w:w="101" w:type="dxa"/>
              <w:right w:w="101" w:type="dxa"/>
            </w:tcMar>
            <w:vAlign w:val="bottom"/>
          </w:tcPr>
          <w:p w14:paraId="4333E01A" w14:textId="77777777" w:rsidR="003F0EEA" w:rsidRPr="006209D7" w:rsidRDefault="00FB7D0B">
            <w:pPr>
              <w:rPr>
                <w:rFonts w:ascii="Arial" w:eastAsia="Arial" w:hAnsi="Arial" w:cs="Arial"/>
                <w:color w:val="000000"/>
                <w:sz w:val="16"/>
              </w:rPr>
            </w:pPr>
            <w:r w:rsidRPr="006209D7">
              <w:rPr>
                <w:rFonts w:ascii="Arial" w:eastAsia="Arial" w:hAnsi="Arial" w:cs="Arial"/>
                <w:b/>
                <w:color w:val="000000"/>
                <w:sz w:val="16"/>
              </w:rPr>
              <w:t>the Australian Government</w:t>
            </w:r>
          </w:p>
        </w:tc>
        <w:tc>
          <w:tcPr>
            <w:tcW w:w="915"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38292DBF" w14:textId="77777777" w:rsidR="003F0EEA" w:rsidRPr="006209D7" w:rsidRDefault="00FB7D0B">
            <w:pPr>
              <w:jc w:val="right"/>
              <w:rPr>
                <w:rFonts w:ascii="Arial" w:eastAsia="Arial" w:hAnsi="Arial" w:cs="Arial"/>
                <w:b/>
                <w:color w:val="000000"/>
                <w:sz w:val="16"/>
              </w:rPr>
            </w:pPr>
            <w:r w:rsidRPr="006209D7">
              <w:rPr>
                <w:rFonts w:ascii="Arial" w:eastAsia="Arial" w:hAnsi="Arial" w:cs="Arial"/>
                <w:b/>
                <w:color w:val="000000"/>
                <w:sz w:val="16"/>
              </w:rPr>
              <w:t xml:space="preserve"> (28,996)</w:t>
            </w:r>
          </w:p>
        </w:tc>
        <w:tc>
          <w:tcPr>
            <w:tcW w:w="915" w:type="dxa"/>
            <w:tcBorders>
              <w:top w:val="nil"/>
              <w:left w:val="nil"/>
              <w:bottom w:val="single" w:sz="6" w:space="0" w:color="000000"/>
              <w:right w:val="nil"/>
              <w:tl2br w:val="nil"/>
              <w:tr2bl w:val="nil"/>
            </w:tcBorders>
            <w:shd w:val="clear" w:color="auto" w:fill="FFFF00"/>
            <w:tcMar>
              <w:left w:w="101" w:type="dxa"/>
              <w:right w:w="101" w:type="dxa"/>
            </w:tcMar>
            <w:vAlign w:val="bottom"/>
          </w:tcPr>
          <w:p w14:paraId="1ECCCC3C" w14:textId="77777777" w:rsidR="003F0EEA" w:rsidRPr="006209D7" w:rsidRDefault="00FB7D0B">
            <w:pPr>
              <w:jc w:val="right"/>
              <w:rPr>
                <w:rFonts w:ascii="Arial" w:eastAsia="Arial" w:hAnsi="Arial" w:cs="Arial"/>
                <w:b/>
                <w:color w:val="000000"/>
                <w:sz w:val="16"/>
              </w:rPr>
            </w:pPr>
            <w:r w:rsidRPr="006209D7">
              <w:rPr>
                <w:rFonts w:ascii="Arial" w:eastAsia="Arial" w:hAnsi="Arial" w:cs="Arial"/>
                <w:b/>
                <w:color w:val="000000"/>
                <w:sz w:val="16"/>
              </w:rPr>
              <w:t xml:space="preserve"> (32,590)</w:t>
            </w:r>
          </w:p>
        </w:tc>
        <w:tc>
          <w:tcPr>
            <w:tcW w:w="915"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31C3D717" w14:textId="77777777" w:rsidR="003F0EEA" w:rsidRPr="006209D7" w:rsidRDefault="00FB7D0B">
            <w:pPr>
              <w:jc w:val="right"/>
              <w:rPr>
                <w:rFonts w:ascii="Arial" w:eastAsia="Arial" w:hAnsi="Arial" w:cs="Arial"/>
                <w:b/>
                <w:color w:val="000000"/>
                <w:sz w:val="16"/>
              </w:rPr>
            </w:pPr>
            <w:r w:rsidRPr="006209D7">
              <w:rPr>
                <w:rFonts w:ascii="Arial" w:eastAsia="Arial" w:hAnsi="Arial" w:cs="Arial"/>
                <w:b/>
                <w:color w:val="000000"/>
                <w:sz w:val="16"/>
              </w:rPr>
              <w:t xml:space="preserve"> (29,566)</w:t>
            </w:r>
          </w:p>
        </w:tc>
        <w:tc>
          <w:tcPr>
            <w:tcW w:w="915"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411F5729" w14:textId="77777777" w:rsidR="003F0EEA" w:rsidRPr="006209D7" w:rsidRDefault="00FB7D0B">
            <w:pPr>
              <w:jc w:val="right"/>
              <w:rPr>
                <w:rFonts w:ascii="Arial" w:eastAsia="Arial" w:hAnsi="Arial" w:cs="Arial"/>
                <w:b/>
                <w:color w:val="000000"/>
                <w:sz w:val="16"/>
              </w:rPr>
            </w:pPr>
            <w:r w:rsidRPr="006209D7">
              <w:rPr>
                <w:rFonts w:ascii="Arial" w:eastAsia="Arial" w:hAnsi="Arial" w:cs="Arial"/>
                <w:b/>
                <w:color w:val="000000"/>
                <w:sz w:val="16"/>
              </w:rPr>
              <w:t xml:space="preserve"> (27,045)</w:t>
            </w:r>
          </w:p>
        </w:tc>
        <w:tc>
          <w:tcPr>
            <w:tcW w:w="915"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6A5F9682" w14:textId="77777777" w:rsidR="003F0EEA" w:rsidRPr="006209D7" w:rsidRDefault="00FB7D0B">
            <w:pPr>
              <w:jc w:val="right"/>
              <w:rPr>
                <w:rFonts w:ascii="Arial" w:eastAsia="Arial" w:hAnsi="Arial" w:cs="Arial"/>
                <w:b/>
                <w:color w:val="000000"/>
                <w:sz w:val="16"/>
              </w:rPr>
            </w:pPr>
            <w:r w:rsidRPr="006209D7">
              <w:rPr>
                <w:rFonts w:ascii="Arial" w:eastAsia="Arial" w:hAnsi="Arial" w:cs="Arial"/>
                <w:b/>
                <w:color w:val="000000"/>
                <w:sz w:val="16"/>
              </w:rPr>
              <w:t xml:space="preserve"> (22,455)</w:t>
            </w:r>
          </w:p>
        </w:tc>
      </w:tr>
    </w:tbl>
    <w:p w14:paraId="48D4442F" w14:textId="77777777" w:rsidR="003F0EEA" w:rsidRDefault="00FB7D0B" w:rsidP="003F0EEA">
      <w:pPr>
        <w:pStyle w:val="Source6"/>
      </w:pPr>
      <w:r>
        <w:rPr>
          <w:rFonts w:cs="Arial"/>
        </w:rPr>
        <w:t>Prepared on Australian Accounting Standards basis</w:t>
      </w:r>
    </w:p>
    <w:p w14:paraId="1248A3B5" w14:textId="77777777" w:rsidR="003F0EEA" w:rsidRDefault="00FB7D0B" w:rsidP="003F0EEA">
      <w:pPr>
        <w:pStyle w:val="TableHeading14"/>
        <w:ind w:left="5103"/>
        <w:jc w:val="right"/>
        <w:rPr>
          <w:b w:val="0"/>
          <w:sz w:val="16"/>
          <w:szCs w:val="16"/>
        </w:rPr>
      </w:pPr>
      <w:r>
        <w:rPr>
          <w:b w:val="0"/>
          <w:sz w:val="16"/>
          <w:szCs w:val="16"/>
        </w:rPr>
        <w:t>Continued on next page</w:t>
      </w:r>
    </w:p>
    <w:p w14:paraId="07BD080F" w14:textId="77777777" w:rsidR="003F0EEA" w:rsidRDefault="00FB7D0B">
      <w:pPr>
        <w:spacing w:line="14" w:lineRule="exact"/>
        <w:rPr>
          <w:rFonts w:eastAsia="Times New Roman"/>
          <w:sz w:val="16"/>
          <w:szCs w:val="16"/>
        </w:rPr>
      </w:pPr>
      <w:r>
        <w:rPr>
          <w:rFonts w:eastAsia="Times New Roman"/>
          <w:sz w:val="16"/>
          <w:szCs w:val="16"/>
        </w:rPr>
        <w:br w:type="page"/>
      </w:r>
    </w:p>
    <w:p w14:paraId="79EAEEDA" w14:textId="77777777" w:rsidR="003F0EEA" w:rsidRPr="006209D7" w:rsidRDefault="00FB7D0B" w:rsidP="003F0EEA">
      <w:pPr>
        <w:pStyle w:val="TableHeading15"/>
        <w:spacing w:after="0"/>
        <w:rPr>
          <w:rFonts w:eastAsia="Calibri"/>
        </w:rPr>
      </w:pPr>
      <w:r>
        <w:rPr>
          <w:rFonts w:eastAsia="Calibri"/>
        </w:rPr>
        <w:t>Table 3.2.1b: Departmental Comprehensive Income Statement (DVA excluding</w:t>
      </w:r>
      <w:r>
        <w:rPr>
          <w:rFonts w:eastAsia="Calibri"/>
        </w:rPr>
        <w:br/>
        <w:t xml:space="preserve"> DSHIS) (showing net cost of services) </w:t>
      </w:r>
      <w:r w:rsidRPr="006209D7">
        <w:rPr>
          <w:rFonts w:eastAsia="Calibri"/>
          <w:snapToGrid w:val="0"/>
        </w:rPr>
        <w:t>for the period ended 30 June</w:t>
      </w:r>
      <w:r>
        <w:rPr>
          <w:rFonts w:eastAsia="Calibri"/>
          <w:snapToGrid w:val="0"/>
        </w:rPr>
        <w:t xml:space="preserve"> (continued)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2"/>
        <w:gridCol w:w="222"/>
        <w:gridCol w:w="2700"/>
        <w:gridCol w:w="915"/>
        <w:gridCol w:w="915"/>
        <w:gridCol w:w="915"/>
        <w:gridCol w:w="915"/>
        <w:gridCol w:w="915"/>
      </w:tblGrid>
      <w:tr w:rsidR="00724034" w14:paraId="59E5EEAB" w14:textId="77777777">
        <w:trPr>
          <w:trHeight w:val="225"/>
        </w:trPr>
        <w:tc>
          <w:tcPr>
            <w:tcW w:w="180"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44DA255E" w14:textId="77777777" w:rsidR="003F0EEA" w:rsidRPr="006209D7" w:rsidRDefault="003F0EEA"/>
        </w:tc>
        <w:tc>
          <w:tcPr>
            <w:tcW w:w="180"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7FD870DE" w14:textId="77777777" w:rsidR="003F0EEA" w:rsidRPr="006209D7" w:rsidRDefault="003F0EEA">
            <w:pPr>
              <w:rPr>
                <w:rFonts w:ascii="Arial" w:eastAsia="Arial" w:hAnsi="Arial" w:cs="Arial"/>
                <w:color w:val="000000"/>
                <w:sz w:val="16"/>
              </w:rPr>
            </w:pPr>
          </w:p>
        </w:tc>
        <w:tc>
          <w:tcPr>
            <w:tcW w:w="2700"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2D6F002B" w14:textId="77777777" w:rsidR="003F0EEA" w:rsidRPr="006209D7" w:rsidRDefault="003F0EEA">
            <w:pPr>
              <w:rPr>
                <w:rFonts w:ascii="Arial" w:eastAsia="Arial" w:hAnsi="Arial" w:cs="Arial"/>
                <w:color w:val="000000"/>
                <w:sz w:val="16"/>
              </w:rPr>
            </w:pPr>
          </w:p>
        </w:tc>
        <w:tc>
          <w:tcPr>
            <w:tcW w:w="91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16662D7E" w14:textId="77777777" w:rsidR="003F0EEA" w:rsidRPr="006209D7" w:rsidRDefault="00FB7D0B">
            <w:pPr>
              <w:jc w:val="right"/>
              <w:rPr>
                <w:rFonts w:ascii="Arial" w:eastAsia="Arial" w:hAnsi="Arial" w:cs="Arial"/>
                <w:color w:val="000000"/>
                <w:sz w:val="16"/>
                <w:vertAlign w:val="superscript"/>
              </w:rPr>
            </w:pPr>
            <w:r w:rsidRPr="006209D7">
              <w:rPr>
                <w:rFonts w:ascii="Arial" w:eastAsia="Arial" w:hAnsi="Arial" w:cs="Arial"/>
                <w:color w:val="000000"/>
                <w:sz w:val="16"/>
              </w:rPr>
              <w:t>Estimated</w:t>
            </w:r>
          </w:p>
        </w:tc>
        <w:tc>
          <w:tcPr>
            <w:tcW w:w="915" w:type="dxa"/>
            <w:tcBorders>
              <w:top w:val="single" w:sz="6" w:space="0" w:color="000000"/>
              <w:left w:val="nil"/>
              <w:bottom w:val="nil"/>
              <w:right w:val="nil"/>
              <w:tl2br w:val="nil"/>
              <w:tr2bl w:val="nil"/>
            </w:tcBorders>
            <w:shd w:val="clear" w:color="auto" w:fill="FFFF00"/>
            <w:tcMar>
              <w:left w:w="101" w:type="dxa"/>
              <w:right w:w="101" w:type="dxa"/>
            </w:tcMar>
            <w:vAlign w:val="bottom"/>
          </w:tcPr>
          <w:p w14:paraId="68EBF344" w14:textId="77777777" w:rsidR="003F0EEA" w:rsidRPr="006209D7" w:rsidRDefault="00FB7D0B">
            <w:pPr>
              <w:jc w:val="right"/>
              <w:rPr>
                <w:rFonts w:ascii="Arial" w:eastAsia="Arial" w:hAnsi="Arial" w:cs="Arial"/>
                <w:color w:val="000000"/>
                <w:sz w:val="16"/>
              </w:rPr>
            </w:pPr>
            <w:r w:rsidRPr="006209D7">
              <w:rPr>
                <w:rFonts w:ascii="Arial" w:eastAsia="Arial" w:hAnsi="Arial" w:cs="Arial"/>
                <w:color w:val="000000"/>
                <w:sz w:val="16"/>
              </w:rPr>
              <w:t>Budget</w:t>
            </w:r>
          </w:p>
        </w:tc>
        <w:tc>
          <w:tcPr>
            <w:tcW w:w="91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3EE07642" w14:textId="77777777" w:rsidR="003F0EEA" w:rsidRPr="006209D7" w:rsidRDefault="00FB7D0B">
            <w:pPr>
              <w:jc w:val="right"/>
              <w:rPr>
                <w:rFonts w:ascii="Arial" w:eastAsia="Arial" w:hAnsi="Arial" w:cs="Arial"/>
                <w:color w:val="000000"/>
                <w:sz w:val="16"/>
              </w:rPr>
            </w:pPr>
            <w:r w:rsidRPr="006209D7">
              <w:rPr>
                <w:rFonts w:ascii="Arial" w:eastAsia="Arial" w:hAnsi="Arial" w:cs="Arial"/>
                <w:color w:val="000000"/>
                <w:sz w:val="16"/>
              </w:rPr>
              <w:t>Forward</w:t>
            </w:r>
          </w:p>
        </w:tc>
        <w:tc>
          <w:tcPr>
            <w:tcW w:w="91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442593CC" w14:textId="77777777" w:rsidR="003F0EEA" w:rsidRPr="006209D7" w:rsidRDefault="00FB7D0B">
            <w:pPr>
              <w:jc w:val="right"/>
              <w:rPr>
                <w:rFonts w:ascii="Arial" w:eastAsia="Arial" w:hAnsi="Arial" w:cs="Arial"/>
                <w:color w:val="000000"/>
                <w:sz w:val="16"/>
              </w:rPr>
            </w:pPr>
            <w:r w:rsidRPr="006209D7">
              <w:rPr>
                <w:rFonts w:ascii="Arial" w:eastAsia="Arial" w:hAnsi="Arial" w:cs="Arial"/>
                <w:color w:val="000000"/>
                <w:sz w:val="16"/>
              </w:rPr>
              <w:t>Forward</w:t>
            </w:r>
          </w:p>
        </w:tc>
        <w:tc>
          <w:tcPr>
            <w:tcW w:w="91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70A3E06F" w14:textId="77777777" w:rsidR="003F0EEA" w:rsidRPr="006209D7" w:rsidRDefault="00FB7D0B">
            <w:pPr>
              <w:jc w:val="right"/>
              <w:rPr>
                <w:rFonts w:ascii="Arial" w:eastAsia="Arial" w:hAnsi="Arial" w:cs="Arial"/>
                <w:color w:val="000000"/>
                <w:sz w:val="16"/>
              </w:rPr>
            </w:pPr>
            <w:r w:rsidRPr="006209D7">
              <w:rPr>
                <w:rFonts w:ascii="Arial" w:eastAsia="Arial" w:hAnsi="Arial" w:cs="Arial"/>
                <w:color w:val="000000"/>
                <w:sz w:val="16"/>
              </w:rPr>
              <w:t>Forward</w:t>
            </w:r>
          </w:p>
        </w:tc>
      </w:tr>
      <w:tr w:rsidR="00724034" w14:paraId="4A7A2A68" w14:textId="77777777">
        <w:trPr>
          <w:trHeight w:val="225"/>
        </w:trPr>
        <w:tc>
          <w:tcPr>
            <w:tcW w:w="180" w:type="dxa"/>
            <w:tcBorders>
              <w:top w:val="nil"/>
              <w:left w:val="nil"/>
              <w:bottom w:val="nil"/>
              <w:right w:val="nil"/>
              <w:tl2br w:val="nil"/>
              <w:tr2bl w:val="nil"/>
            </w:tcBorders>
            <w:shd w:val="clear" w:color="auto" w:fill="FFFFFF"/>
            <w:tcMar>
              <w:left w:w="101" w:type="dxa"/>
              <w:right w:w="101" w:type="dxa"/>
            </w:tcMar>
            <w:vAlign w:val="bottom"/>
          </w:tcPr>
          <w:p w14:paraId="65020922" w14:textId="77777777" w:rsidR="003F0EEA" w:rsidRPr="006209D7" w:rsidRDefault="003F0EEA">
            <w:pPr>
              <w:rPr>
                <w:rFonts w:ascii="Arial" w:eastAsia="Arial" w:hAnsi="Arial" w:cs="Arial"/>
                <w:color w:val="000000"/>
                <w:sz w:val="16"/>
              </w:rPr>
            </w:pPr>
          </w:p>
        </w:tc>
        <w:tc>
          <w:tcPr>
            <w:tcW w:w="180" w:type="dxa"/>
            <w:tcBorders>
              <w:top w:val="nil"/>
              <w:left w:val="nil"/>
              <w:bottom w:val="nil"/>
              <w:right w:val="nil"/>
              <w:tl2br w:val="nil"/>
              <w:tr2bl w:val="nil"/>
            </w:tcBorders>
            <w:shd w:val="clear" w:color="auto" w:fill="FFFFFF"/>
            <w:tcMar>
              <w:left w:w="101" w:type="dxa"/>
              <w:right w:w="101" w:type="dxa"/>
            </w:tcMar>
            <w:vAlign w:val="bottom"/>
          </w:tcPr>
          <w:p w14:paraId="1A255697" w14:textId="77777777" w:rsidR="003F0EEA" w:rsidRPr="006209D7" w:rsidRDefault="003F0EEA">
            <w:pPr>
              <w:rPr>
                <w:rFonts w:ascii="Arial" w:eastAsia="Arial" w:hAnsi="Arial" w:cs="Arial"/>
                <w:color w:val="000000"/>
                <w:sz w:val="16"/>
              </w:rPr>
            </w:pPr>
          </w:p>
        </w:tc>
        <w:tc>
          <w:tcPr>
            <w:tcW w:w="2700" w:type="dxa"/>
            <w:tcBorders>
              <w:top w:val="nil"/>
              <w:left w:val="nil"/>
              <w:bottom w:val="nil"/>
              <w:right w:val="nil"/>
              <w:tl2br w:val="nil"/>
              <w:tr2bl w:val="nil"/>
            </w:tcBorders>
            <w:shd w:val="clear" w:color="auto" w:fill="FFFFFF"/>
            <w:tcMar>
              <w:left w:w="101" w:type="dxa"/>
              <w:right w:w="101" w:type="dxa"/>
            </w:tcMar>
            <w:vAlign w:val="bottom"/>
          </w:tcPr>
          <w:p w14:paraId="25778E49" w14:textId="77777777" w:rsidR="003F0EEA" w:rsidRPr="006209D7" w:rsidRDefault="003F0EEA">
            <w:pPr>
              <w:rPr>
                <w:rFonts w:ascii="Arial" w:eastAsia="Arial" w:hAnsi="Arial" w:cs="Arial"/>
                <w:color w:val="000000"/>
                <w:sz w:val="16"/>
              </w:rPr>
            </w:pP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769A5F88" w14:textId="77777777" w:rsidR="003F0EEA" w:rsidRPr="006209D7" w:rsidRDefault="00FB7D0B">
            <w:pPr>
              <w:jc w:val="right"/>
              <w:rPr>
                <w:rFonts w:ascii="Arial" w:eastAsia="Arial" w:hAnsi="Arial" w:cs="Arial"/>
                <w:color w:val="000000"/>
                <w:sz w:val="16"/>
                <w:vertAlign w:val="superscript"/>
              </w:rPr>
            </w:pPr>
            <w:r w:rsidRPr="006209D7">
              <w:rPr>
                <w:rFonts w:ascii="Arial" w:eastAsia="Arial" w:hAnsi="Arial" w:cs="Arial"/>
                <w:color w:val="000000"/>
                <w:sz w:val="16"/>
              </w:rPr>
              <w:t>actual</w:t>
            </w:r>
          </w:p>
        </w:tc>
        <w:tc>
          <w:tcPr>
            <w:tcW w:w="915" w:type="dxa"/>
            <w:tcBorders>
              <w:top w:val="nil"/>
              <w:left w:val="nil"/>
              <w:bottom w:val="nil"/>
              <w:right w:val="nil"/>
              <w:tl2br w:val="nil"/>
              <w:tr2bl w:val="nil"/>
            </w:tcBorders>
            <w:shd w:val="clear" w:color="auto" w:fill="FFFF00"/>
            <w:tcMar>
              <w:left w:w="101" w:type="dxa"/>
              <w:right w:w="101" w:type="dxa"/>
            </w:tcMar>
            <w:vAlign w:val="bottom"/>
          </w:tcPr>
          <w:p w14:paraId="1B4FDC85" w14:textId="77777777" w:rsidR="003F0EEA" w:rsidRPr="006209D7" w:rsidRDefault="00FB7D0B">
            <w:pPr>
              <w:jc w:val="right"/>
              <w:rPr>
                <w:rFonts w:ascii="Arial" w:eastAsia="Arial" w:hAnsi="Arial" w:cs="Arial"/>
                <w:color w:val="000000"/>
                <w:sz w:val="16"/>
              </w:rPr>
            </w:pPr>
            <w:r w:rsidRPr="006209D7">
              <w:rPr>
                <w:rFonts w:ascii="Arial" w:eastAsia="Arial" w:hAnsi="Arial" w:cs="Arial"/>
                <w:color w:val="000000"/>
                <w:sz w:val="16"/>
              </w:rPr>
              <w:t>estimate</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61CB9462" w14:textId="77777777" w:rsidR="003F0EEA" w:rsidRPr="006209D7" w:rsidRDefault="00FB7D0B">
            <w:pPr>
              <w:jc w:val="right"/>
              <w:rPr>
                <w:rFonts w:ascii="Arial" w:eastAsia="Arial" w:hAnsi="Arial" w:cs="Arial"/>
                <w:color w:val="000000"/>
                <w:sz w:val="16"/>
              </w:rPr>
            </w:pPr>
            <w:r w:rsidRPr="006209D7">
              <w:rPr>
                <w:rFonts w:ascii="Arial" w:eastAsia="Arial" w:hAnsi="Arial" w:cs="Arial"/>
                <w:color w:val="000000"/>
                <w:sz w:val="16"/>
              </w:rPr>
              <w:t>estimate</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5A086B09" w14:textId="77777777" w:rsidR="003F0EEA" w:rsidRPr="006209D7" w:rsidRDefault="00FB7D0B">
            <w:pPr>
              <w:jc w:val="right"/>
              <w:rPr>
                <w:rFonts w:ascii="Arial" w:eastAsia="Arial" w:hAnsi="Arial" w:cs="Arial"/>
                <w:color w:val="000000"/>
                <w:sz w:val="16"/>
              </w:rPr>
            </w:pPr>
            <w:r w:rsidRPr="006209D7">
              <w:rPr>
                <w:rFonts w:ascii="Arial" w:eastAsia="Arial" w:hAnsi="Arial" w:cs="Arial"/>
                <w:color w:val="000000"/>
                <w:sz w:val="16"/>
              </w:rPr>
              <w:t>estimate</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0FFF26A4" w14:textId="77777777" w:rsidR="003F0EEA" w:rsidRPr="006209D7" w:rsidRDefault="00FB7D0B">
            <w:pPr>
              <w:jc w:val="right"/>
              <w:rPr>
                <w:rFonts w:ascii="Arial" w:eastAsia="Arial" w:hAnsi="Arial" w:cs="Arial"/>
                <w:color w:val="000000"/>
                <w:sz w:val="16"/>
              </w:rPr>
            </w:pPr>
            <w:r w:rsidRPr="006209D7">
              <w:rPr>
                <w:rFonts w:ascii="Arial" w:eastAsia="Arial" w:hAnsi="Arial" w:cs="Arial"/>
                <w:color w:val="000000"/>
                <w:sz w:val="16"/>
              </w:rPr>
              <w:t>estimate</w:t>
            </w:r>
          </w:p>
        </w:tc>
      </w:tr>
      <w:tr w:rsidR="00724034" w14:paraId="209463F0" w14:textId="77777777">
        <w:trPr>
          <w:trHeight w:val="225"/>
        </w:trPr>
        <w:tc>
          <w:tcPr>
            <w:tcW w:w="180" w:type="dxa"/>
            <w:tcBorders>
              <w:top w:val="nil"/>
              <w:left w:val="nil"/>
              <w:bottom w:val="nil"/>
              <w:right w:val="nil"/>
              <w:tl2br w:val="nil"/>
              <w:tr2bl w:val="nil"/>
            </w:tcBorders>
            <w:shd w:val="clear" w:color="auto" w:fill="FFFFFF"/>
            <w:tcMar>
              <w:left w:w="101" w:type="dxa"/>
              <w:right w:w="101" w:type="dxa"/>
            </w:tcMar>
            <w:vAlign w:val="bottom"/>
          </w:tcPr>
          <w:p w14:paraId="4BB9C6E6" w14:textId="77777777" w:rsidR="003F0EEA" w:rsidRPr="006209D7" w:rsidRDefault="003F0EEA">
            <w:pPr>
              <w:rPr>
                <w:rFonts w:ascii="Arial" w:eastAsia="Arial" w:hAnsi="Arial" w:cs="Arial"/>
                <w:color w:val="000000"/>
                <w:sz w:val="16"/>
              </w:rPr>
            </w:pPr>
          </w:p>
        </w:tc>
        <w:tc>
          <w:tcPr>
            <w:tcW w:w="180" w:type="dxa"/>
            <w:tcBorders>
              <w:top w:val="nil"/>
              <w:left w:val="nil"/>
              <w:bottom w:val="nil"/>
              <w:right w:val="nil"/>
              <w:tl2br w:val="nil"/>
              <w:tr2bl w:val="nil"/>
            </w:tcBorders>
            <w:shd w:val="clear" w:color="auto" w:fill="FFFFFF"/>
            <w:tcMar>
              <w:left w:w="101" w:type="dxa"/>
              <w:right w:w="101" w:type="dxa"/>
            </w:tcMar>
            <w:vAlign w:val="bottom"/>
          </w:tcPr>
          <w:p w14:paraId="31104DB5" w14:textId="77777777" w:rsidR="003F0EEA" w:rsidRPr="006209D7" w:rsidRDefault="003F0EEA">
            <w:pPr>
              <w:rPr>
                <w:rFonts w:ascii="Arial" w:eastAsia="Arial" w:hAnsi="Arial" w:cs="Arial"/>
                <w:color w:val="000000"/>
                <w:sz w:val="16"/>
              </w:rPr>
            </w:pPr>
          </w:p>
        </w:tc>
        <w:tc>
          <w:tcPr>
            <w:tcW w:w="2700" w:type="dxa"/>
            <w:tcBorders>
              <w:top w:val="nil"/>
              <w:left w:val="nil"/>
              <w:bottom w:val="nil"/>
              <w:right w:val="nil"/>
              <w:tl2br w:val="nil"/>
              <w:tr2bl w:val="nil"/>
            </w:tcBorders>
            <w:shd w:val="clear" w:color="auto" w:fill="FFFFFF"/>
            <w:tcMar>
              <w:left w:w="101" w:type="dxa"/>
              <w:right w:w="101" w:type="dxa"/>
            </w:tcMar>
            <w:vAlign w:val="bottom"/>
          </w:tcPr>
          <w:p w14:paraId="5981DEA9" w14:textId="77777777" w:rsidR="003F0EEA" w:rsidRPr="006209D7" w:rsidRDefault="003F0EEA">
            <w:pPr>
              <w:rPr>
                <w:rFonts w:ascii="Arial" w:eastAsia="Arial" w:hAnsi="Arial" w:cs="Arial"/>
                <w:color w:val="000000"/>
                <w:sz w:val="16"/>
              </w:rPr>
            </w:pP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6647E54A" w14:textId="77777777" w:rsidR="003F0EEA" w:rsidRPr="006209D7" w:rsidRDefault="00FB7D0B">
            <w:pPr>
              <w:jc w:val="right"/>
              <w:rPr>
                <w:rFonts w:ascii="Arial" w:eastAsia="Arial" w:hAnsi="Arial" w:cs="Arial"/>
                <w:color w:val="000000"/>
                <w:sz w:val="16"/>
                <w:vertAlign w:val="superscript"/>
              </w:rPr>
            </w:pPr>
            <w:r w:rsidRPr="006209D7">
              <w:rPr>
                <w:rFonts w:ascii="Arial" w:eastAsia="Arial" w:hAnsi="Arial" w:cs="Arial"/>
                <w:color w:val="000000"/>
                <w:sz w:val="16"/>
              </w:rPr>
              <w:t>2013-14</w:t>
            </w:r>
          </w:p>
        </w:tc>
        <w:tc>
          <w:tcPr>
            <w:tcW w:w="915" w:type="dxa"/>
            <w:tcBorders>
              <w:top w:val="nil"/>
              <w:left w:val="nil"/>
              <w:bottom w:val="nil"/>
              <w:right w:val="nil"/>
              <w:tl2br w:val="nil"/>
              <w:tr2bl w:val="nil"/>
            </w:tcBorders>
            <w:shd w:val="clear" w:color="auto" w:fill="FFFF00"/>
            <w:tcMar>
              <w:left w:w="101" w:type="dxa"/>
              <w:right w:w="101" w:type="dxa"/>
            </w:tcMar>
            <w:vAlign w:val="bottom"/>
          </w:tcPr>
          <w:p w14:paraId="6F34374C" w14:textId="77777777" w:rsidR="003F0EEA" w:rsidRPr="006209D7" w:rsidRDefault="00FB7D0B">
            <w:pPr>
              <w:jc w:val="right"/>
              <w:rPr>
                <w:rFonts w:ascii="Arial" w:eastAsia="Arial" w:hAnsi="Arial" w:cs="Arial"/>
                <w:color w:val="000000"/>
                <w:sz w:val="16"/>
              </w:rPr>
            </w:pPr>
            <w:r w:rsidRPr="006209D7">
              <w:rPr>
                <w:rFonts w:ascii="Arial" w:eastAsia="Arial" w:hAnsi="Arial" w:cs="Arial"/>
                <w:color w:val="000000"/>
                <w:sz w:val="16"/>
              </w:rPr>
              <w:t>2014-15</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413A62A2" w14:textId="77777777" w:rsidR="003F0EEA" w:rsidRPr="006209D7" w:rsidRDefault="00FB7D0B">
            <w:pPr>
              <w:jc w:val="right"/>
              <w:rPr>
                <w:rFonts w:ascii="Arial" w:eastAsia="Arial" w:hAnsi="Arial" w:cs="Arial"/>
                <w:color w:val="000000"/>
                <w:sz w:val="16"/>
              </w:rPr>
            </w:pPr>
            <w:r w:rsidRPr="006209D7">
              <w:rPr>
                <w:rFonts w:ascii="Arial" w:eastAsia="Arial" w:hAnsi="Arial" w:cs="Arial"/>
                <w:color w:val="000000"/>
                <w:sz w:val="16"/>
              </w:rPr>
              <w:t>2015-16</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77E6BCC9" w14:textId="77777777" w:rsidR="003F0EEA" w:rsidRPr="006209D7" w:rsidRDefault="00FB7D0B">
            <w:pPr>
              <w:jc w:val="right"/>
              <w:rPr>
                <w:rFonts w:ascii="Arial" w:eastAsia="Arial" w:hAnsi="Arial" w:cs="Arial"/>
                <w:color w:val="000000"/>
                <w:sz w:val="16"/>
              </w:rPr>
            </w:pPr>
            <w:r w:rsidRPr="006209D7">
              <w:rPr>
                <w:rFonts w:ascii="Arial" w:eastAsia="Arial" w:hAnsi="Arial" w:cs="Arial"/>
                <w:color w:val="000000"/>
                <w:sz w:val="16"/>
              </w:rPr>
              <w:t>2016-17</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69E56659" w14:textId="77777777" w:rsidR="003F0EEA" w:rsidRPr="006209D7" w:rsidRDefault="00FB7D0B">
            <w:pPr>
              <w:jc w:val="right"/>
              <w:rPr>
                <w:rFonts w:ascii="Arial" w:eastAsia="Arial" w:hAnsi="Arial" w:cs="Arial"/>
                <w:color w:val="000000"/>
                <w:sz w:val="16"/>
              </w:rPr>
            </w:pPr>
            <w:r w:rsidRPr="006209D7">
              <w:rPr>
                <w:rFonts w:ascii="Arial" w:eastAsia="Arial" w:hAnsi="Arial" w:cs="Arial"/>
                <w:color w:val="000000"/>
                <w:sz w:val="16"/>
              </w:rPr>
              <w:t>2017-18</w:t>
            </w:r>
          </w:p>
        </w:tc>
      </w:tr>
      <w:tr w:rsidR="00724034" w14:paraId="4820FFCB" w14:textId="77777777">
        <w:trPr>
          <w:trHeight w:val="225"/>
        </w:trPr>
        <w:tc>
          <w:tcPr>
            <w:tcW w:w="180" w:type="dxa"/>
            <w:tcBorders>
              <w:top w:val="nil"/>
              <w:left w:val="nil"/>
              <w:bottom w:val="nil"/>
              <w:right w:val="nil"/>
              <w:tl2br w:val="nil"/>
              <w:tr2bl w:val="nil"/>
            </w:tcBorders>
            <w:shd w:val="clear" w:color="auto" w:fill="FFFFFF"/>
            <w:tcMar>
              <w:left w:w="101" w:type="dxa"/>
              <w:right w:w="101" w:type="dxa"/>
            </w:tcMar>
            <w:vAlign w:val="bottom"/>
          </w:tcPr>
          <w:p w14:paraId="77CAAE79" w14:textId="77777777" w:rsidR="003F0EEA" w:rsidRPr="006209D7" w:rsidRDefault="003F0EEA">
            <w:pPr>
              <w:rPr>
                <w:rFonts w:ascii="Arial" w:eastAsia="Arial" w:hAnsi="Arial" w:cs="Arial"/>
                <w:color w:val="000000"/>
                <w:sz w:val="16"/>
              </w:rPr>
            </w:pPr>
          </w:p>
        </w:tc>
        <w:tc>
          <w:tcPr>
            <w:tcW w:w="180" w:type="dxa"/>
            <w:tcBorders>
              <w:top w:val="nil"/>
              <w:left w:val="nil"/>
              <w:bottom w:val="nil"/>
              <w:right w:val="nil"/>
              <w:tl2br w:val="nil"/>
              <w:tr2bl w:val="nil"/>
            </w:tcBorders>
            <w:shd w:val="clear" w:color="auto" w:fill="FFFFFF"/>
            <w:tcMar>
              <w:left w:w="101" w:type="dxa"/>
              <w:right w:w="101" w:type="dxa"/>
            </w:tcMar>
            <w:vAlign w:val="bottom"/>
          </w:tcPr>
          <w:p w14:paraId="35945251" w14:textId="77777777" w:rsidR="003F0EEA" w:rsidRPr="006209D7" w:rsidRDefault="003F0EEA">
            <w:pPr>
              <w:rPr>
                <w:rFonts w:ascii="Arial" w:eastAsia="Arial" w:hAnsi="Arial" w:cs="Arial"/>
                <w:color w:val="000000"/>
                <w:sz w:val="16"/>
              </w:rPr>
            </w:pPr>
          </w:p>
        </w:tc>
        <w:tc>
          <w:tcPr>
            <w:tcW w:w="2700" w:type="dxa"/>
            <w:tcBorders>
              <w:top w:val="nil"/>
              <w:left w:val="nil"/>
              <w:bottom w:val="nil"/>
              <w:right w:val="nil"/>
              <w:tl2br w:val="nil"/>
              <w:tr2bl w:val="nil"/>
            </w:tcBorders>
            <w:shd w:val="clear" w:color="auto" w:fill="FFFFFF"/>
            <w:tcMar>
              <w:left w:w="101" w:type="dxa"/>
              <w:right w:w="101" w:type="dxa"/>
            </w:tcMar>
            <w:vAlign w:val="bottom"/>
          </w:tcPr>
          <w:p w14:paraId="1626B8BB" w14:textId="77777777" w:rsidR="003F0EEA" w:rsidRPr="006209D7" w:rsidRDefault="003F0EEA">
            <w:pPr>
              <w:rPr>
                <w:rFonts w:ascii="Arial" w:eastAsia="Arial" w:hAnsi="Arial" w:cs="Arial"/>
                <w:color w:val="000000"/>
                <w:sz w:val="16"/>
              </w:rPr>
            </w:pPr>
          </w:p>
        </w:tc>
        <w:tc>
          <w:tcPr>
            <w:tcW w:w="915"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6689A676" w14:textId="77777777" w:rsidR="003F0EEA" w:rsidRPr="006209D7" w:rsidRDefault="00FB7D0B">
            <w:pPr>
              <w:jc w:val="right"/>
              <w:rPr>
                <w:rFonts w:ascii="Arial" w:eastAsia="Arial" w:hAnsi="Arial" w:cs="Arial"/>
                <w:color w:val="000000"/>
                <w:sz w:val="16"/>
                <w:vertAlign w:val="superscript"/>
              </w:rPr>
            </w:pPr>
            <w:r w:rsidRPr="006209D7">
              <w:rPr>
                <w:rFonts w:ascii="Arial" w:eastAsia="Arial" w:hAnsi="Arial" w:cs="Arial"/>
                <w:color w:val="000000"/>
                <w:sz w:val="16"/>
              </w:rPr>
              <w:t>$'000</w:t>
            </w:r>
          </w:p>
        </w:tc>
        <w:tc>
          <w:tcPr>
            <w:tcW w:w="915" w:type="dxa"/>
            <w:tcBorders>
              <w:top w:val="nil"/>
              <w:left w:val="nil"/>
              <w:bottom w:val="single" w:sz="6" w:space="0" w:color="000000"/>
              <w:right w:val="nil"/>
              <w:tl2br w:val="nil"/>
              <w:tr2bl w:val="nil"/>
            </w:tcBorders>
            <w:shd w:val="clear" w:color="auto" w:fill="FFFF00"/>
            <w:tcMar>
              <w:left w:w="101" w:type="dxa"/>
              <w:right w:w="101" w:type="dxa"/>
            </w:tcMar>
            <w:vAlign w:val="bottom"/>
          </w:tcPr>
          <w:p w14:paraId="49C3F67A" w14:textId="77777777" w:rsidR="003F0EEA" w:rsidRPr="006209D7" w:rsidRDefault="00FB7D0B">
            <w:pPr>
              <w:jc w:val="right"/>
              <w:rPr>
                <w:rFonts w:ascii="Arial" w:eastAsia="Arial" w:hAnsi="Arial" w:cs="Arial"/>
                <w:color w:val="000000"/>
                <w:sz w:val="16"/>
              </w:rPr>
            </w:pPr>
            <w:r w:rsidRPr="006209D7">
              <w:rPr>
                <w:rFonts w:ascii="Arial" w:eastAsia="Arial" w:hAnsi="Arial" w:cs="Arial"/>
                <w:color w:val="000000"/>
                <w:sz w:val="16"/>
              </w:rPr>
              <w:t>$'000</w:t>
            </w:r>
          </w:p>
        </w:tc>
        <w:tc>
          <w:tcPr>
            <w:tcW w:w="915"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7DD37897" w14:textId="77777777" w:rsidR="003F0EEA" w:rsidRPr="006209D7" w:rsidRDefault="00FB7D0B">
            <w:pPr>
              <w:jc w:val="right"/>
              <w:rPr>
                <w:rFonts w:ascii="Arial" w:eastAsia="Arial" w:hAnsi="Arial" w:cs="Arial"/>
                <w:color w:val="000000"/>
                <w:sz w:val="16"/>
              </w:rPr>
            </w:pPr>
            <w:r w:rsidRPr="006209D7">
              <w:rPr>
                <w:rFonts w:ascii="Arial" w:eastAsia="Arial" w:hAnsi="Arial" w:cs="Arial"/>
                <w:color w:val="000000"/>
                <w:sz w:val="16"/>
              </w:rPr>
              <w:t>$'000</w:t>
            </w:r>
          </w:p>
        </w:tc>
        <w:tc>
          <w:tcPr>
            <w:tcW w:w="915"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34C623A1" w14:textId="77777777" w:rsidR="003F0EEA" w:rsidRPr="006209D7" w:rsidRDefault="00FB7D0B">
            <w:pPr>
              <w:jc w:val="right"/>
              <w:rPr>
                <w:rFonts w:ascii="Arial" w:eastAsia="Arial" w:hAnsi="Arial" w:cs="Arial"/>
                <w:color w:val="000000"/>
                <w:sz w:val="16"/>
              </w:rPr>
            </w:pPr>
            <w:r w:rsidRPr="006209D7">
              <w:rPr>
                <w:rFonts w:ascii="Arial" w:eastAsia="Arial" w:hAnsi="Arial" w:cs="Arial"/>
                <w:color w:val="000000"/>
                <w:sz w:val="16"/>
              </w:rPr>
              <w:t>$'000</w:t>
            </w:r>
          </w:p>
        </w:tc>
        <w:tc>
          <w:tcPr>
            <w:tcW w:w="915"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3051AB2F" w14:textId="77777777" w:rsidR="003F0EEA" w:rsidRPr="006209D7" w:rsidRDefault="00FB7D0B">
            <w:pPr>
              <w:jc w:val="right"/>
              <w:rPr>
                <w:rFonts w:ascii="Arial" w:eastAsia="Arial" w:hAnsi="Arial" w:cs="Arial"/>
                <w:color w:val="000000"/>
                <w:sz w:val="16"/>
              </w:rPr>
            </w:pPr>
            <w:r w:rsidRPr="006209D7">
              <w:rPr>
                <w:rFonts w:ascii="Arial" w:eastAsia="Arial" w:hAnsi="Arial" w:cs="Arial"/>
                <w:color w:val="000000"/>
                <w:sz w:val="16"/>
              </w:rPr>
              <w:t>$'000</w:t>
            </w:r>
          </w:p>
        </w:tc>
      </w:tr>
      <w:tr w:rsidR="00724034" w14:paraId="00E53FCA" w14:textId="77777777">
        <w:trPr>
          <w:trHeight w:val="240"/>
        </w:trPr>
        <w:tc>
          <w:tcPr>
            <w:tcW w:w="180" w:type="dxa"/>
            <w:tcBorders>
              <w:top w:val="nil"/>
              <w:left w:val="nil"/>
              <w:bottom w:val="nil"/>
              <w:right w:val="nil"/>
              <w:tl2br w:val="nil"/>
              <w:tr2bl w:val="nil"/>
            </w:tcBorders>
            <w:shd w:val="clear" w:color="auto" w:fill="FFFFFF"/>
            <w:tcMar>
              <w:left w:w="101" w:type="dxa"/>
              <w:right w:w="101" w:type="dxa"/>
            </w:tcMar>
            <w:vAlign w:val="bottom"/>
          </w:tcPr>
          <w:p w14:paraId="3501E0CB" w14:textId="77777777" w:rsidR="003F0EEA" w:rsidRPr="006209D7" w:rsidRDefault="003F0EEA">
            <w:pPr>
              <w:rPr>
                <w:rFonts w:ascii="Arial" w:eastAsia="Arial" w:hAnsi="Arial" w:cs="Arial"/>
                <w:color w:val="000000"/>
                <w:sz w:val="16"/>
              </w:rPr>
            </w:pPr>
          </w:p>
        </w:tc>
        <w:tc>
          <w:tcPr>
            <w:tcW w:w="180" w:type="dxa"/>
            <w:tcBorders>
              <w:top w:val="nil"/>
              <w:left w:val="nil"/>
              <w:bottom w:val="nil"/>
              <w:right w:val="nil"/>
              <w:tl2br w:val="nil"/>
              <w:tr2bl w:val="nil"/>
            </w:tcBorders>
            <w:shd w:val="clear" w:color="auto" w:fill="FFFFFF"/>
            <w:tcMar>
              <w:left w:w="101" w:type="dxa"/>
              <w:right w:w="101" w:type="dxa"/>
            </w:tcMar>
            <w:vAlign w:val="bottom"/>
          </w:tcPr>
          <w:p w14:paraId="2419A19E" w14:textId="77777777" w:rsidR="003F0EEA" w:rsidRPr="006209D7" w:rsidRDefault="003F0EEA">
            <w:pPr>
              <w:rPr>
                <w:rFonts w:ascii="Arial" w:eastAsia="Arial" w:hAnsi="Arial" w:cs="Arial"/>
                <w:color w:val="000000"/>
                <w:sz w:val="16"/>
              </w:rPr>
            </w:pPr>
          </w:p>
        </w:tc>
        <w:tc>
          <w:tcPr>
            <w:tcW w:w="2700" w:type="dxa"/>
            <w:tcBorders>
              <w:top w:val="nil"/>
              <w:left w:val="nil"/>
              <w:bottom w:val="nil"/>
              <w:right w:val="nil"/>
              <w:tl2br w:val="nil"/>
              <w:tr2bl w:val="nil"/>
            </w:tcBorders>
            <w:shd w:val="clear" w:color="auto" w:fill="FFFFFF"/>
            <w:tcMar>
              <w:left w:w="101" w:type="dxa"/>
              <w:right w:w="101" w:type="dxa"/>
            </w:tcMar>
            <w:vAlign w:val="bottom"/>
          </w:tcPr>
          <w:p w14:paraId="0659E406" w14:textId="77777777" w:rsidR="003F0EEA" w:rsidRPr="006209D7" w:rsidRDefault="003F0EEA">
            <w:pPr>
              <w:rPr>
                <w:rFonts w:ascii="Arial" w:eastAsia="Arial" w:hAnsi="Arial" w:cs="Arial"/>
                <w:color w:val="000000"/>
                <w:sz w:val="16"/>
              </w:rPr>
            </w:pPr>
          </w:p>
        </w:tc>
        <w:tc>
          <w:tcPr>
            <w:tcW w:w="91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418D6171" w14:textId="77777777" w:rsidR="003F0EEA" w:rsidRPr="006209D7" w:rsidRDefault="003F0EEA">
            <w:pPr>
              <w:rPr>
                <w:rFonts w:ascii="Arial" w:eastAsia="Arial" w:hAnsi="Arial" w:cs="Arial"/>
                <w:color w:val="000000"/>
                <w:sz w:val="16"/>
                <w:vertAlign w:val="superscript"/>
              </w:rPr>
            </w:pPr>
          </w:p>
        </w:tc>
        <w:tc>
          <w:tcPr>
            <w:tcW w:w="915" w:type="dxa"/>
            <w:tcBorders>
              <w:top w:val="single" w:sz="6" w:space="0" w:color="000000"/>
              <w:left w:val="nil"/>
              <w:bottom w:val="nil"/>
              <w:right w:val="nil"/>
              <w:tl2br w:val="nil"/>
              <w:tr2bl w:val="nil"/>
            </w:tcBorders>
            <w:shd w:val="clear" w:color="auto" w:fill="FFFF00"/>
            <w:tcMar>
              <w:left w:w="101" w:type="dxa"/>
              <w:right w:w="101" w:type="dxa"/>
            </w:tcMar>
            <w:vAlign w:val="bottom"/>
          </w:tcPr>
          <w:p w14:paraId="67E00CC8" w14:textId="77777777" w:rsidR="003F0EEA" w:rsidRPr="006209D7" w:rsidRDefault="003F0EEA">
            <w:pPr>
              <w:rPr>
                <w:rFonts w:ascii="Arial" w:eastAsia="Arial" w:hAnsi="Arial" w:cs="Arial"/>
                <w:color w:val="000000"/>
                <w:sz w:val="16"/>
                <w:vertAlign w:val="superscript"/>
              </w:rPr>
            </w:pPr>
          </w:p>
        </w:tc>
        <w:tc>
          <w:tcPr>
            <w:tcW w:w="91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1957419B" w14:textId="77777777" w:rsidR="003F0EEA" w:rsidRPr="006209D7" w:rsidRDefault="003F0EEA">
            <w:pPr>
              <w:rPr>
                <w:rFonts w:ascii="Arial" w:eastAsia="Arial" w:hAnsi="Arial" w:cs="Arial"/>
                <w:color w:val="000000"/>
                <w:sz w:val="16"/>
                <w:vertAlign w:val="superscript"/>
              </w:rPr>
            </w:pPr>
          </w:p>
        </w:tc>
        <w:tc>
          <w:tcPr>
            <w:tcW w:w="91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437C8ED5" w14:textId="77777777" w:rsidR="003F0EEA" w:rsidRPr="006209D7" w:rsidRDefault="003F0EEA">
            <w:pPr>
              <w:rPr>
                <w:rFonts w:ascii="Arial" w:eastAsia="Arial" w:hAnsi="Arial" w:cs="Arial"/>
                <w:color w:val="000000"/>
                <w:sz w:val="16"/>
                <w:vertAlign w:val="superscript"/>
              </w:rPr>
            </w:pPr>
          </w:p>
        </w:tc>
        <w:tc>
          <w:tcPr>
            <w:tcW w:w="91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1C804BB6" w14:textId="77777777" w:rsidR="003F0EEA" w:rsidRPr="006209D7" w:rsidRDefault="003F0EEA">
            <w:pPr>
              <w:rPr>
                <w:rFonts w:ascii="Arial" w:eastAsia="Arial" w:hAnsi="Arial" w:cs="Arial"/>
                <w:color w:val="000000"/>
                <w:sz w:val="16"/>
                <w:vertAlign w:val="superscript"/>
              </w:rPr>
            </w:pPr>
          </w:p>
        </w:tc>
      </w:tr>
      <w:tr w:rsidR="00FB7D0B" w14:paraId="5304CC78" w14:textId="77777777" w:rsidTr="00FB7D0B">
        <w:trPr>
          <w:trHeight w:val="225"/>
        </w:trPr>
        <w:tc>
          <w:tcPr>
            <w:tcW w:w="3060" w:type="dxa"/>
            <w:gridSpan w:val="3"/>
            <w:tcBorders>
              <w:top w:val="nil"/>
              <w:left w:val="nil"/>
              <w:bottom w:val="nil"/>
              <w:right w:val="nil"/>
              <w:tl2br w:val="nil"/>
              <w:tr2bl w:val="nil"/>
            </w:tcBorders>
            <w:shd w:val="clear" w:color="auto" w:fill="FFFFFF"/>
            <w:tcMar>
              <w:left w:w="101" w:type="dxa"/>
              <w:right w:w="101" w:type="dxa"/>
            </w:tcMar>
            <w:vAlign w:val="bottom"/>
          </w:tcPr>
          <w:p w14:paraId="75CCE479" w14:textId="77777777" w:rsidR="003F0EEA" w:rsidRPr="006209D7" w:rsidRDefault="00FB7D0B">
            <w:pPr>
              <w:rPr>
                <w:rFonts w:ascii="Arial" w:eastAsia="Arial" w:hAnsi="Arial" w:cs="Arial"/>
                <w:color w:val="000000"/>
                <w:sz w:val="16"/>
                <w:vertAlign w:val="superscript"/>
              </w:rPr>
            </w:pPr>
            <w:r w:rsidRPr="006209D7">
              <w:rPr>
                <w:rFonts w:ascii="Arial" w:eastAsia="Arial" w:hAnsi="Arial" w:cs="Arial"/>
                <w:b/>
                <w:color w:val="000000"/>
                <w:sz w:val="16"/>
              </w:rPr>
              <w:t>OTHER COMPREHENSIVE INCOME</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5065E9B9" w14:textId="77777777" w:rsidR="003F0EEA" w:rsidRPr="006209D7" w:rsidRDefault="003F0EEA">
            <w:pPr>
              <w:rPr>
                <w:rFonts w:ascii="Arial" w:eastAsia="Arial" w:hAnsi="Arial" w:cs="Arial"/>
                <w:b/>
                <w:color w:val="000000"/>
                <w:sz w:val="16"/>
                <w:vertAlign w:val="superscript"/>
              </w:rPr>
            </w:pPr>
          </w:p>
        </w:tc>
        <w:tc>
          <w:tcPr>
            <w:tcW w:w="915" w:type="dxa"/>
            <w:tcBorders>
              <w:top w:val="nil"/>
              <w:left w:val="nil"/>
              <w:bottom w:val="nil"/>
              <w:right w:val="nil"/>
              <w:tl2br w:val="nil"/>
              <w:tr2bl w:val="nil"/>
            </w:tcBorders>
            <w:shd w:val="clear" w:color="auto" w:fill="FFFF00"/>
            <w:tcMar>
              <w:left w:w="101" w:type="dxa"/>
              <w:right w:w="101" w:type="dxa"/>
            </w:tcMar>
            <w:vAlign w:val="bottom"/>
          </w:tcPr>
          <w:p w14:paraId="70C435A5" w14:textId="77777777" w:rsidR="003F0EEA" w:rsidRPr="006209D7" w:rsidRDefault="003F0EEA">
            <w:pPr>
              <w:rPr>
                <w:rFonts w:ascii="Arial" w:eastAsia="Arial" w:hAnsi="Arial" w:cs="Arial"/>
                <w:b/>
                <w:color w:val="000000"/>
                <w:sz w:val="16"/>
                <w:vertAlign w:val="superscript"/>
              </w:rPr>
            </w:pP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324AFA2C" w14:textId="77777777" w:rsidR="003F0EEA" w:rsidRPr="006209D7" w:rsidRDefault="003F0EEA">
            <w:pPr>
              <w:rPr>
                <w:rFonts w:ascii="Arial" w:eastAsia="Arial" w:hAnsi="Arial" w:cs="Arial"/>
                <w:b/>
                <w:color w:val="000000"/>
                <w:sz w:val="16"/>
                <w:vertAlign w:val="superscript"/>
              </w:rPr>
            </w:pP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016C2DF3" w14:textId="77777777" w:rsidR="003F0EEA" w:rsidRPr="006209D7" w:rsidRDefault="003F0EEA">
            <w:pPr>
              <w:rPr>
                <w:rFonts w:ascii="Arial" w:eastAsia="Arial" w:hAnsi="Arial" w:cs="Arial"/>
                <w:b/>
                <w:color w:val="000000"/>
                <w:sz w:val="16"/>
                <w:vertAlign w:val="superscript"/>
              </w:rPr>
            </w:pP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2E2B6D17" w14:textId="77777777" w:rsidR="003F0EEA" w:rsidRPr="006209D7" w:rsidRDefault="003F0EEA">
            <w:pPr>
              <w:rPr>
                <w:rFonts w:ascii="Arial" w:eastAsia="Arial" w:hAnsi="Arial" w:cs="Arial"/>
                <w:b/>
                <w:color w:val="000000"/>
                <w:sz w:val="16"/>
                <w:vertAlign w:val="superscript"/>
              </w:rPr>
            </w:pPr>
          </w:p>
        </w:tc>
      </w:tr>
      <w:tr w:rsidR="00FB7D0B" w14:paraId="35EC0C63" w14:textId="77777777" w:rsidTr="00FB7D0B">
        <w:trPr>
          <w:trHeight w:val="225"/>
        </w:trPr>
        <w:tc>
          <w:tcPr>
            <w:tcW w:w="180" w:type="dxa"/>
            <w:tcBorders>
              <w:top w:val="nil"/>
              <w:left w:val="nil"/>
              <w:bottom w:val="nil"/>
              <w:right w:val="nil"/>
              <w:tl2br w:val="nil"/>
              <w:tr2bl w:val="nil"/>
            </w:tcBorders>
            <w:shd w:val="clear" w:color="auto" w:fill="FFFFFF"/>
            <w:tcMar>
              <w:left w:w="101" w:type="dxa"/>
              <w:right w:w="101" w:type="dxa"/>
            </w:tcMar>
            <w:vAlign w:val="bottom"/>
          </w:tcPr>
          <w:p w14:paraId="7A24F703" w14:textId="77777777" w:rsidR="003F0EEA" w:rsidRPr="006209D7" w:rsidRDefault="003F0EEA">
            <w:pPr>
              <w:rPr>
                <w:rFonts w:ascii="Arial" w:eastAsia="Arial" w:hAnsi="Arial" w:cs="Arial"/>
                <w:b/>
                <w:color w:val="000000"/>
                <w:sz w:val="16"/>
                <w:vertAlign w:val="superscript"/>
              </w:rPr>
            </w:pPr>
          </w:p>
        </w:tc>
        <w:tc>
          <w:tcPr>
            <w:tcW w:w="2880" w:type="dxa"/>
            <w:gridSpan w:val="2"/>
            <w:vMerge w:val="restart"/>
            <w:tcBorders>
              <w:top w:val="nil"/>
              <w:left w:val="nil"/>
              <w:bottom w:val="nil"/>
              <w:right w:val="nil"/>
              <w:tl2br w:val="nil"/>
              <w:tr2bl w:val="nil"/>
            </w:tcBorders>
            <w:shd w:val="clear" w:color="auto" w:fill="FFFFFF"/>
            <w:tcMar>
              <w:left w:w="101" w:type="dxa"/>
              <w:right w:w="101" w:type="dxa"/>
            </w:tcMar>
            <w:vAlign w:val="bottom"/>
          </w:tcPr>
          <w:p w14:paraId="77252752" w14:textId="77777777" w:rsidR="003F0EEA" w:rsidRPr="006209D7" w:rsidRDefault="00FB7D0B">
            <w:pPr>
              <w:rPr>
                <w:rFonts w:ascii="Arial" w:eastAsia="Arial" w:hAnsi="Arial" w:cs="Arial"/>
                <w:color w:val="000000"/>
                <w:sz w:val="16"/>
                <w:vertAlign w:val="superscript"/>
              </w:rPr>
            </w:pPr>
            <w:r w:rsidRPr="006209D7">
              <w:rPr>
                <w:rFonts w:ascii="Arial" w:eastAsia="Arial" w:hAnsi="Arial" w:cs="Arial"/>
                <w:color w:val="000000"/>
                <w:sz w:val="16"/>
              </w:rPr>
              <w:t>Changes in assets revaluation</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67627118" w14:textId="77777777" w:rsidR="003F0EEA" w:rsidRPr="006209D7" w:rsidRDefault="003F0EEA">
            <w:pPr>
              <w:rPr>
                <w:rFonts w:ascii="Arial" w:eastAsia="Arial" w:hAnsi="Arial" w:cs="Arial"/>
                <w:color w:val="000000"/>
                <w:sz w:val="16"/>
                <w:vertAlign w:val="superscript"/>
              </w:rPr>
            </w:pPr>
          </w:p>
        </w:tc>
        <w:tc>
          <w:tcPr>
            <w:tcW w:w="915" w:type="dxa"/>
            <w:tcBorders>
              <w:top w:val="nil"/>
              <w:left w:val="nil"/>
              <w:bottom w:val="nil"/>
              <w:right w:val="nil"/>
              <w:tl2br w:val="nil"/>
              <w:tr2bl w:val="nil"/>
            </w:tcBorders>
            <w:shd w:val="clear" w:color="auto" w:fill="FFFF00"/>
            <w:tcMar>
              <w:left w:w="101" w:type="dxa"/>
              <w:right w:w="101" w:type="dxa"/>
            </w:tcMar>
            <w:vAlign w:val="bottom"/>
          </w:tcPr>
          <w:p w14:paraId="46998CBF" w14:textId="77777777" w:rsidR="003F0EEA" w:rsidRPr="006209D7" w:rsidRDefault="003F0EEA">
            <w:pPr>
              <w:rPr>
                <w:rFonts w:ascii="Arial" w:eastAsia="Arial" w:hAnsi="Arial" w:cs="Arial"/>
                <w:b/>
                <w:color w:val="000000"/>
                <w:sz w:val="16"/>
                <w:vertAlign w:val="superscript"/>
              </w:rPr>
            </w:pP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0BB94BDD" w14:textId="77777777" w:rsidR="003F0EEA" w:rsidRPr="006209D7" w:rsidRDefault="003F0EEA">
            <w:pPr>
              <w:rPr>
                <w:rFonts w:ascii="Arial" w:eastAsia="Arial" w:hAnsi="Arial" w:cs="Arial"/>
                <w:b/>
                <w:color w:val="000000"/>
                <w:sz w:val="16"/>
                <w:vertAlign w:val="superscript"/>
              </w:rPr>
            </w:pP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5EA013E8" w14:textId="77777777" w:rsidR="003F0EEA" w:rsidRPr="006209D7" w:rsidRDefault="003F0EEA">
            <w:pPr>
              <w:rPr>
                <w:rFonts w:ascii="Arial" w:eastAsia="Arial" w:hAnsi="Arial" w:cs="Arial"/>
                <w:b/>
                <w:color w:val="000000"/>
                <w:sz w:val="16"/>
                <w:vertAlign w:val="superscript"/>
              </w:rPr>
            </w:pP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3E289515" w14:textId="77777777" w:rsidR="003F0EEA" w:rsidRPr="006209D7" w:rsidRDefault="003F0EEA">
            <w:pPr>
              <w:rPr>
                <w:rFonts w:ascii="Arial" w:eastAsia="Arial" w:hAnsi="Arial" w:cs="Arial"/>
                <w:b/>
                <w:color w:val="000000"/>
                <w:sz w:val="16"/>
                <w:vertAlign w:val="superscript"/>
              </w:rPr>
            </w:pPr>
          </w:p>
        </w:tc>
      </w:tr>
      <w:tr w:rsidR="00FB7D0B" w14:paraId="636ABE05" w14:textId="77777777" w:rsidTr="00FB7D0B">
        <w:trPr>
          <w:trHeight w:val="225"/>
        </w:trPr>
        <w:tc>
          <w:tcPr>
            <w:tcW w:w="180" w:type="dxa"/>
            <w:tcBorders>
              <w:top w:val="nil"/>
              <w:left w:val="nil"/>
              <w:bottom w:val="nil"/>
              <w:right w:val="nil"/>
              <w:tl2br w:val="nil"/>
              <w:tr2bl w:val="nil"/>
            </w:tcBorders>
            <w:shd w:val="clear" w:color="auto" w:fill="FFFFFF"/>
            <w:tcMar>
              <w:left w:w="101" w:type="dxa"/>
              <w:right w:w="101" w:type="dxa"/>
            </w:tcMar>
            <w:vAlign w:val="bottom"/>
          </w:tcPr>
          <w:p w14:paraId="3BA40FED" w14:textId="77777777" w:rsidR="003F0EEA" w:rsidRPr="006209D7" w:rsidRDefault="003F0EEA">
            <w:pPr>
              <w:rPr>
                <w:rFonts w:ascii="Arial" w:eastAsia="Arial" w:hAnsi="Arial" w:cs="Arial"/>
                <w:b/>
                <w:color w:val="000000"/>
                <w:sz w:val="16"/>
                <w:vertAlign w:val="superscript"/>
              </w:rPr>
            </w:pPr>
          </w:p>
        </w:tc>
        <w:tc>
          <w:tcPr>
            <w:tcW w:w="2880" w:type="dxa"/>
            <w:gridSpan w:val="2"/>
            <w:tcBorders>
              <w:top w:val="nil"/>
              <w:left w:val="nil"/>
              <w:bottom w:val="nil"/>
              <w:right w:val="nil"/>
              <w:tl2br w:val="nil"/>
              <w:tr2bl w:val="nil"/>
            </w:tcBorders>
            <w:shd w:val="clear" w:color="auto" w:fill="FFFFFF"/>
            <w:tcMar>
              <w:left w:w="101" w:type="dxa"/>
              <w:right w:w="101" w:type="dxa"/>
            </w:tcMar>
            <w:vAlign w:val="bottom"/>
          </w:tcPr>
          <w:p w14:paraId="2003C866" w14:textId="77777777" w:rsidR="003F0EEA" w:rsidRPr="006209D7" w:rsidRDefault="00FB7D0B">
            <w:pPr>
              <w:rPr>
                <w:rFonts w:ascii="Arial" w:eastAsia="Arial" w:hAnsi="Arial" w:cs="Arial"/>
                <w:color w:val="000000"/>
                <w:sz w:val="16"/>
                <w:vertAlign w:val="superscript"/>
              </w:rPr>
            </w:pPr>
            <w:r w:rsidRPr="006209D7">
              <w:rPr>
                <w:rFonts w:ascii="Arial" w:eastAsia="Arial" w:hAnsi="Arial" w:cs="Arial"/>
                <w:color w:val="000000"/>
                <w:sz w:val="16"/>
              </w:rPr>
              <w:t>reserve</w:t>
            </w:r>
          </w:p>
        </w:tc>
        <w:tc>
          <w:tcPr>
            <w:tcW w:w="915"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4C2BA79A" w14:textId="77777777" w:rsidR="003F0EEA" w:rsidRPr="006209D7" w:rsidRDefault="00FB7D0B">
            <w:pPr>
              <w:jc w:val="right"/>
              <w:rPr>
                <w:rFonts w:ascii="Arial" w:eastAsia="Arial" w:hAnsi="Arial" w:cs="Arial"/>
                <w:color w:val="000000"/>
                <w:sz w:val="16"/>
                <w:vertAlign w:val="superscript"/>
              </w:rPr>
            </w:pPr>
            <w:r w:rsidRPr="006209D7">
              <w:rPr>
                <w:rFonts w:ascii="Arial" w:eastAsia="Arial" w:hAnsi="Arial" w:cs="Arial"/>
                <w:color w:val="000000"/>
                <w:sz w:val="16"/>
              </w:rPr>
              <w:t xml:space="preserve"> - </w:t>
            </w:r>
          </w:p>
        </w:tc>
        <w:tc>
          <w:tcPr>
            <w:tcW w:w="915" w:type="dxa"/>
            <w:tcBorders>
              <w:top w:val="nil"/>
              <w:left w:val="nil"/>
              <w:bottom w:val="single" w:sz="6" w:space="0" w:color="000000"/>
              <w:right w:val="nil"/>
              <w:tl2br w:val="nil"/>
              <w:tr2bl w:val="nil"/>
            </w:tcBorders>
            <w:shd w:val="clear" w:color="auto" w:fill="FFFF00"/>
            <w:tcMar>
              <w:left w:w="101" w:type="dxa"/>
              <w:right w:w="101" w:type="dxa"/>
            </w:tcMar>
            <w:vAlign w:val="bottom"/>
          </w:tcPr>
          <w:p w14:paraId="41C9A1C7" w14:textId="77777777" w:rsidR="003F0EEA" w:rsidRPr="006209D7" w:rsidRDefault="00FB7D0B">
            <w:pPr>
              <w:jc w:val="right"/>
              <w:rPr>
                <w:rFonts w:ascii="Arial" w:eastAsia="Arial" w:hAnsi="Arial" w:cs="Arial"/>
                <w:color w:val="000000"/>
                <w:sz w:val="16"/>
              </w:rPr>
            </w:pPr>
            <w:r w:rsidRPr="006209D7">
              <w:rPr>
                <w:rFonts w:ascii="Arial" w:eastAsia="Arial" w:hAnsi="Arial" w:cs="Arial"/>
                <w:color w:val="000000"/>
                <w:sz w:val="16"/>
              </w:rPr>
              <w:t xml:space="preserve"> - </w:t>
            </w:r>
          </w:p>
        </w:tc>
        <w:tc>
          <w:tcPr>
            <w:tcW w:w="915"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6F50192B" w14:textId="77777777" w:rsidR="003F0EEA" w:rsidRPr="006209D7" w:rsidRDefault="00FB7D0B">
            <w:pPr>
              <w:jc w:val="right"/>
              <w:rPr>
                <w:rFonts w:ascii="Arial" w:eastAsia="Arial" w:hAnsi="Arial" w:cs="Arial"/>
                <w:color w:val="000000"/>
                <w:sz w:val="16"/>
              </w:rPr>
            </w:pPr>
            <w:r w:rsidRPr="006209D7">
              <w:rPr>
                <w:rFonts w:ascii="Arial" w:eastAsia="Arial" w:hAnsi="Arial" w:cs="Arial"/>
                <w:color w:val="000000"/>
                <w:sz w:val="16"/>
              </w:rPr>
              <w:t xml:space="preserve"> - </w:t>
            </w:r>
          </w:p>
        </w:tc>
        <w:tc>
          <w:tcPr>
            <w:tcW w:w="915"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6EE28A91" w14:textId="77777777" w:rsidR="003F0EEA" w:rsidRPr="006209D7" w:rsidRDefault="00FB7D0B">
            <w:pPr>
              <w:jc w:val="right"/>
              <w:rPr>
                <w:rFonts w:ascii="Arial" w:eastAsia="Arial" w:hAnsi="Arial" w:cs="Arial"/>
                <w:color w:val="000000"/>
                <w:sz w:val="16"/>
              </w:rPr>
            </w:pPr>
            <w:r w:rsidRPr="006209D7">
              <w:rPr>
                <w:rFonts w:ascii="Arial" w:eastAsia="Arial" w:hAnsi="Arial" w:cs="Arial"/>
                <w:color w:val="000000"/>
                <w:sz w:val="16"/>
              </w:rPr>
              <w:t xml:space="preserve"> - </w:t>
            </w:r>
          </w:p>
        </w:tc>
        <w:tc>
          <w:tcPr>
            <w:tcW w:w="915"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03EAD7F0" w14:textId="77777777" w:rsidR="003F0EEA" w:rsidRPr="006209D7" w:rsidRDefault="00FB7D0B">
            <w:pPr>
              <w:jc w:val="right"/>
              <w:rPr>
                <w:rFonts w:ascii="Arial" w:eastAsia="Arial" w:hAnsi="Arial" w:cs="Arial"/>
                <w:color w:val="000000"/>
                <w:sz w:val="16"/>
              </w:rPr>
            </w:pPr>
            <w:r w:rsidRPr="006209D7">
              <w:rPr>
                <w:rFonts w:ascii="Arial" w:eastAsia="Arial" w:hAnsi="Arial" w:cs="Arial"/>
                <w:color w:val="000000"/>
                <w:sz w:val="16"/>
              </w:rPr>
              <w:t xml:space="preserve"> - </w:t>
            </w:r>
          </w:p>
        </w:tc>
      </w:tr>
      <w:tr w:rsidR="00FB7D0B" w14:paraId="1B72F446" w14:textId="77777777" w:rsidTr="00FB7D0B">
        <w:trPr>
          <w:trHeight w:val="225"/>
        </w:trPr>
        <w:tc>
          <w:tcPr>
            <w:tcW w:w="3060" w:type="dxa"/>
            <w:gridSpan w:val="3"/>
            <w:tcBorders>
              <w:top w:val="nil"/>
              <w:left w:val="nil"/>
              <w:bottom w:val="nil"/>
              <w:right w:val="nil"/>
              <w:tl2br w:val="nil"/>
              <w:tr2bl w:val="nil"/>
            </w:tcBorders>
            <w:shd w:val="clear" w:color="auto" w:fill="FFFFFF"/>
            <w:tcMar>
              <w:left w:w="101" w:type="dxa"/>
              <w:right w:w="101" w:type="dxa"/>
            </w:tcMar>
            <w:vAlign w:val="bottom"/>
          </w:tcPr>
          <w:p w14:paraId="1108A9A0" w14:textId="77777777" w:rsidR="003F0EEA" w:rsidRPr="006209D7" w:rsidRDefault="00FB7D0B">
            <w:pPr>
              <w:rPr>
                <w:rFonts w:ascii="Arial" w:eastAsia="Arial" w:hAnsi="Arial" w:cs="Arial"/>
                <w:color w:val="000000"/>
                <w:sz w:val="16"/>
              </w:rPr>
            </w:pPr>
            <w:r w:rsidRPr="006209D7">
              <w:rPr>
                <w:rFonts w:ascii="Arial" w:eastAsia="Arial" w:hAnsi="Arial" w:cs="Arial"/>
                <w:b/>
                <w:color w:val="000000"/>
                <w:sz w:val="16"/>
              </w:rPr>
              <w:t xml:space="preserve">Total other comprehensive income </w:t>
            </w:r>
          </w:p>
        </w:tc>
        <w:tc>
          <w:tcPr>
            <w:tcW w:w="915"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14601081" w14:textId="77777777" w:rsidR="003F0EEA" w:rsidRPr="006209D7" w:rsidRDefault="00FB7D0B">
            <w:pPr>
              <w:jc w:val="right"/>
              <w:rPr>
                <w:rFonts w:ascii="Arial" w:eastAsia="Arial" w:hAnsi="Arial" w:cs="Arial"/>
                <w:b/>
                <w:color w:val="000000"/>
                <w:sz w:val="16"/>
                <w:vertAlign w:val="superscript"/>
              </w:rPr>
            </w:pPr>
            <w:r w:rsidRPr="006209D7">
              <w:rPr>
                <w:rFonts w:ascii="Arial" w:eastAsia="Arial" w:hAnsi="Arial" w:cs="Arial"/>
                <w:b/>
                <w:color w:val="000000"/>
                <w:sz w:val="16"/>
              </w:rPr>
              <w:t xml:space="preserve"> - </w:t>
            </w:r>
          </w:p>
        </w:tc>
        <w:tc>
          <w:tcPr>
            <w:tcW w:w="915" w:type="dxa"/>
            <w:tcBorders>
              <w:top w:val="single" w:sz="6" w:space="0" w:color="000000"/>
              <w:left w:val="nil"/>
              <w:bottom w:val="single" w:sz="6" w:space="0" w:color="000000"/>
              <w:right w:val="nil"/>
              <w:tl2br w:val="nil"/>
              <w:tr2bl w:val="nil"/>
            </w:tcBorders>
            <w:shd w:val="clear" w:color="auto" w:fill="FFFF00"/>
            <w:tcMar>
              <w:left w:w="101" w:type="dxa"/>
              <w:right w:w="101" w:type="dxa"/>
            </w:tcMar>
            <w:vAlign w:val="bottom"/>
          </w:tcPr>
          <w:p w14:paraId="4465F33D" w14:textId="77777777" w:rsidR="003F0EEA" w:rsidRPr="006209D7" w:rsidRDefault="00FB7D0B">
            <w:pPr>
              <w:jc w:val="right"/>
              <w:rPr>
                <w:rFonts w:ascii="Arial" w:eastAsia="Arial" w:hAnsi="Arial" w:cs="Arial"/>
                <w:b/>
                <w:color w:val="000000"/>
                <w:sz w:val="16"/>
              </w:rPr>
            </w:pPr>
            <w:r w:rsidRPr="006209D7">
              <w:rPr>
                <w:rFonts w:ascii="Arial" w:eastAsia="Arial" w:hAnsi="Arial" w:cs="Arial"/>
                <w:b/>
                <w:color w:val="000000"/>
                <w:sz w:val="16"/>
              </w:rPr>
              <w:t xml:space="preserve"> - </w:t>
            </w:r>
          </w:p>
        </w:tc>
        <w:tc>
          <w:tcPr>
            <w:tcW w:w="915"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163144DA" w14:textId="77777777" w:rsidR="003F0EEA" w:rsidRPr="006209D7" w:rsidRDefault="00FB7D0B">
            <w:pPr>
              <w:jc w:val="right"/>
              <w:rPr>
                <w:rFonts w:ascii="Arial" w:eastAsia="Arial" w:hAnsi="Arial" w:cs="Arial"/>
                <w:b/>
                <w:color w:val="000000"/>
                <w:sz w:val="16"/>
              </w:rPr>
            </w:pPr>
            <w:r w:rsidRPr="006209D7">
              <w:rPr>
                <w:rFonts w:ascii="Arial" w:eastAsia="Arial" w:hAnsi="Arial" w:cs="Arial"/>
                <w:b/>
                <w:color w:val="000000"/>
                <w:sz w:val="16"/>
              </w:rPr>
              <w:t xml:space="preserve"> - </w:t>
            </w:r>
          </w:p>
        </w:tc>
        <w:tc>
          <w:tcPr>
            <w:tcW w:w="915"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7B2B22ED" w14:textId="77777777" w:rsidR="003F0EEA" w:rsidRPr="006209D7" w:rsidRDefault="00FB7D0B">
            <w:pPr>
              <w:jc w:val="right"/>
              <w:rPr>
                <w:rFonts w:ascii="Arial" w:eastAsia="Arial" w:hAnsi="Arial" w:cs="Arial"/>
                <w:b/>
                <w:color w:val="000000"/>
                <w:sz w:val="16"/>
              </w:rPr>
            </w:pPr>
            <w:r w:rsidRPr="006209D7">
              <w:rPr>
                <w:rFonts w:ascii="Arial" w:eastAsia="Arial" w:hAnsi="Arial" w:cs="Arial"/>
                <w:b/>
                <w:color w:val="000000"/>
                <w:sz w:val="16"/>
              </w:rPr>
              <w:t xml:space="preserve"> - </w:t>
            </w:r>
          </w:p>
        </w:tc>
        <w:tc>
          <w:tcPr>
            <w:tcW w:w="915"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40E7E618" w14:textId="77777777" w:rsidR="003F0EEA" w:rsidRPr="006209D7" w:rsidRDefault="00FB7D0B">
            <w:pPr>
              <w:jc w:val="right"/>
              <w:rPr>
                <w:rFonts w:ascii="Arial" w:eastAsia="Arial" w:hAnsi="Arial" w:cs="Arial"/>
                <w:b/>
                <w:color w:val="000000"/>
                <w:sz w:val="16"/>
              </w:rPr>
            </w:pPr>
            <w:r w:rsidRPr="006209D7">
              <w:rPr>
                <w:rFonts w:ascii="Arial" w:eastAsia="Arial" w:hAnsi="Arial" w:cs="Arial"/>
                <w:b/>
                <w:color w:val="000000"/>
                <w:sz w:val="16"/>
              </w:rPr>
              <w:t xml:space="preserve"> - </w:t>
            </w:r>
          </w:p>
        </w:tc>
      </w:tr>
      <w:tr w:rsidR="00724034" w14:paraId="2D308489" w14:textId="77777777">
        <w:trPr>
          <w:trHeight w:val="225"/>
        </w:trPr>
        <w:tc>
          <w:tcPr>
            <w:tcW w:w="180" w:type="dxa"/>
            <w:tcBorders>
              <w:top w:val="nil"/>
              <w:left w:val="nil"/>
              <w:bottom w:val="nil"/>
              <w:right w:val="nil"/>
              <w:tl2br w:val="nil"/>
              <w:tr2bl w:val="nil"/>
            </w:tcBorders>
            <w:shd w:val="clear" w:color="auto" w:fill="FFFFFF"/>
            <w:tcMar>
              <w:left w:w="101" w:type="dxa"/>
              <w:right w:w="101" w:type="dxa"/>
            </w:tcMar>
            <w:vAlign w:val="bottom"/>
          </w:tcPr>
          <w:p w14:paraId="2411D4D5" w14:textId="77777777" w:rsidR="003F0EEA" w:rsidRPr="006209D7" w:rsidRDefault="003F0EEA">
            <w:pPr>
              <w:rPr>
                <w:rFonts w:ascii="Arial" w:eastAsia="Arial" w:hAnsi="Arial" w:cs="Arial"/>
                <w:b/>
                <w:color w:val="000000"/>
                <w:sz w:val="16"/>
              </w:rPr>
            </w:pPr>
          </w:p>
        </w:tc>
        <w:tc>
          <w:tcPr>
            <w:tcW w:w="180" w:type="dxa"/>
            <w:tcBorders>
              <w:top w:val="nil"/>
              <w:left w:val="nil"/>
              <w:bottom w:val="nil"/>
              <w:right w:val="nil"/>
              <w:tl2br w:val="nil"/>
              <w:tr2bl w:val="nil"/>
            </w:tcBorders>
            <w:shd w:val="clear" w:color="auto" w:fill="FFFFFF"/>
            <w:tcMar>
              <w:left w:w="101" w:type="dxa"/>
              <w:right w:w="101" w:type="dxa"/>
            </w:tcMar>
            <w:vAlign w:val="bottom"/>
          </w:tcPr>
          <w:p w14:paraId="5B1EBA15" w14:textId="77777777" w:rsidR="003F0EEA" w:rsidRPr="006209D7" w:rsidRDefault="003F0EEA">
            <w:pPr>
              <w:rPr>
                <w:rFonts w:ascii="Arial" w:eastAsia="Arial" w:hAnsi="Arial" w:cs="Arial"/>
                <w:color w:val="000000"/>
                <w:sz w:val="16"/>
              </w:rPr>
            </w:pPr>
          </w:p>
        </w:tc>
        <w:tc>
          <w:tcPr>
            <w:tcW w:w="2700" w:type="dxa"/>
            <w:tcBorders>
              <w:top w:val="nil"/>
              <w:left w:val="nil"/>
              <w:bottom w:val="nil"/>
              <w:right w:val="nil"/>
              <w:tl2br w:val="nil"/>
              <w:tr2bl w:val="nil"/>
            </w:tcBorders>
            <w:shd w:val="clear" w:color="auto" w:fill="FFFFFF"/>
            <w:tcMar>
              <w:left w:w="101" w:type="dxa"/>
              <w:right w:w="101" w:type="dxa"/>
            </w:tcMar>
            <w:vAlign w:val="bottom"/>
          </w:tcPr>
          <w:p w14:paraId="44D59524" w14:textId="77777777" w:rsidR="003F0EEA" w:rsidRPr="006209D7" w:rsidRDefault="003F0EEA">
            <w:pPr>
              <w:rPr>
                <w:rFonts w:ascii="Arial" w:eastAsia="Arial" w:hAnsi="Arial" w:cs="Arial"/>
                <w:b/>
                <w:color w:val="000000"/>
                <w:sz w:val="16"/>
              </w:rPr>
            </w:pPr>
          </w:p>
        </w:tc>
        <w:tc>
          <w:tcPr>
            <w:tcW w:w="91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50C753EE" w14:textId="77777777" w:rsidR="003F0EEA" w:rsidRPr="006209D7" w:rsidRDefault="003F0EEA">
            <w:pPr>
              <w:rPr>
                <w:rFonts w:ascii="Arial" w:eastAsia="Arial" w:hAnsi="Arial" w:cs="Arial"/>
                <w:b/>
                <w:color w:val="000000"/>
                <w:sz w:val="16"/>
                <w:vertAlign w:val="superscript"/>
              </w:rPr>
            </w:pPr>
          </w:p>
        </w:tc>
        <w:tc>
          <w:tcPr>
            <w:tcW w:w="915" w:type="dxa"/>
            <w:tcBorders>
              <w:top w:val="single" w:sz="6" w:space="0" w:color="000000"/>
              <w:left w:val="nil"/>
              <w:bottom w:val="nil"/>
              <w:right w:val="nil"/>
              <w:tl2br w:val="nil"/>
              <w:tr2bl w:val="nil"/>
            </w:tcBorders>
            <w:shd w:val="clear" w:color="auto" w:fill="FFFF00"/>
            <w:tcMar>
              <w:left w:w="101" w:type="dxa"/>
              <w:right w:w="101" w:type="dxa"/>
            </w:tcMar>
            <w:vAlign w:val="bottom"/>
          </w:tcPr>
          <w:p w14:paraId="09EBA0BD" w14:textId="77777777" w:rsidR="003F0EEA" w:rsidRPr="006209D7" w:rsidRDefault="003F0EEA">
            <w:pPr>
              <w:rPr>
                <w:rFonts w:ascii="Arial" w:eastAsia="Arial" w:hAnsi="Arial" w:cs="Arial"/>
                <w:b/>
                <w:color w:val="000000"/>
                <w:sz w:val="16"/>
                <w:vertAlign w:val="superscript"/>
              </w:rPr>
            </w:pPr>
          </w:p>
        </w:tc>
        <w:tc>
          <w:tcPr>
            <w:tcW w:w="91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2F822CE1" w14:textId="77777777" w:rsidR="003F0EEA" w:rsidRPr="006209D7" w:rsidRDefault="003F0EEA">
            <w:pPr>
              <w:rPr>
                <w:rFonts w:ascii="Arial" w:eastAsia="Arial" w:hAnsi="Arial" w:cs="Arial"/>
                <w:b/>
                <w:color w:val="000000"/>
                <w:sz w:val="16"/>
                <w:vertAlign w:val="superscript"/>
              </w:rPr>
            </w:pPr>
          </w:p>
        </w:tc>
        <w:tc>
          <w:tcPr>
            <w:tcW w:w="91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300092C0" w14:textId="77777777" w:rsidR="003F0EEA" w:rsidRPr="006209D7" w:rsidRDefault="003F0EEA">
            <w:pPr>
              <w:rPr>
                <w:rFonts w:ascii="Arial" w:eastAsia="Arial" w:hAnsi="Arial" w:cs="Arial"/>
                <w:b/>
                <w:color w:val="000000"/>
                <w:sz w:val="16"/>
                <w:vertAlign w:val="superscript"/>
              </w:rPr>
            </w:pPr>
          </w:p>
        </w:tc>
        <w:tc>
          <w:tcPr>
            <w:tcW w:w="91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210A8F84" w14:textId="77777777" w:rsidR="003F0EEA" w:rsidRPr="006209D7" w:rsidRDefault="003F0EEA">
            <w:pPr>
              <w:rPr>
                <w:rFonts w:ascii="Arial" w:eastAsia="Arial" w:hAnsi="Arial" w:cs="Arial"/>
                <w:b/>
                <w:color w:val="000000"/>
                <w:sz w:val="16"/>
                <w:vertAlign w:val="superscript"/>
              </w:rPr>
            </w:pPr>
          </w:p>
        </w:tc>
      </w:tr>
      <w:tr w:rsidR="00FB7D0B" w14:paraId="5510529D" w14:textId="77777777" w:rsidTr="00FB7D0B">
        <w:trPr>
          <w:trHeight w:val="225"/>
        </w:trPr>
        <w:tc>
          <w:tcPr>
            <w:tcW w:w="3060" w:type="dxa"/>
            <w:gridSpan w:val="3"/>
            <w:tcBorders>
              <w:top w:val="nil"/>
              <w:left w:val="nil"/>
              <w:bottom w:val="nil"/>
              <w:right w:val="nil"/>
              <w:tl2br w:val="nil"/>
              <w:tr2bl w:val="nil"/>
            </w:tcBorders>
            <w:shd w:val="clear" w:color="auto" w:fill="FFFFFF"/>
            <w:tcMar>
              <w:left w:w="101" w:type="dxa"/>
              <w:right w:w="101" w:type="dxa"/>
            </w:tcMar>
            <w:vAlign w:val="bottom"/>
          </w:tcPr>
          <w:p w14:paraId="39593D7B" w14:textId="77777777" w:rsidR="003F0EEA" w:rsidRPr="006209D7" w:rsidRDefault="00FB7D0B">
            <w:pPr>
              <w:rPr>
                <w:rFonts w:ascii="Arial" w:eastAsia="Arial" w:hAnsi="Arial" w:cs="Arial"/>
                <w:b/>
                <w:color w:val="000000"/>
                <w:sz w:val="16"/>
                <w:vertAlign w:val="superscript"/>
              </w:rPr>
            </w:pPr>
            <w:r w:rsidRPr="006209D7">
              <w:rPr>
                <w:rFonts w:ascii="Arial" w:eastAsia="Arial" w:hAnsi="Arial" w:cs="Arial"/>
                <w:b/>
                <w:color w:val="000000"/>
                <w:sz w:val="16"/>
              </w:rPr>
              <w:t>Total comprehensive income (loss)</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2F987CFD" w14:textId="77777777" w:rsidR="003F0EEA" w:rsidRPr="006209D7" w:rsidRDefault="003F0EEA">
            <w:pPr>
              <w:rPr>
                <w:rFonts w:ascii="Arial" w:eastAsia="Arial" w:hAnsi="Arial" w:cs="Arial"/>
                <w:b/>
                <w:color w:val="000000"/>
                <w:sz w:val="16"/>
                <w:vertAlign w:val="superscript"/>
              </w:rPr>
            </w:pPr>
          </w:p>
        </w:tc>
        <w:tc>
          <w:tcPr>
            <w:tcW w:w="915" w:type="dxa"/>
            <w:tcBorders>
              <w:top w:val="nil"/>
              <w:left w:val="nil"/>
              <w:bottom w:val="nil"/>
              <w:right w:val="nil"/>
              <w:tl2br w:val="nil"/>
              <w:tr2bl w:val="nil"/>
            </w:tcBorders>
            <w:shd w:val="clear" w:color="auto" w:fill="FFFF00"/>
            <w:tcMar>
              <w:left w:w="101" w:type="dxa"/>
              <w:right w:w="101" w:type="dxa"/>
            </w:tcMar>
            <w:vAlign w:val="bottom"/>
          </w:tcPr>
          <w:p w14:paraId="07FFBF92" w14:textId="77777777" w:rsidR="003F0EEA" w:rsidRPr="006209D7" w:rsidRDefault="003F0EEA">
            <w:pPr>
              <w:rPr>
                <w:rFonts w:ascii="Arial" w:eastAsia="Arial" w:hAnsi="Arial" w:cs="Arial"/>
                <w:b/>
                <w:color w:val="000000"/>
                <w:sz w:val="16"/>
                <w:vertAlign w:val="superscript"/>
              </w:rPr>
            </w:pP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7964E65A" w14:textId="77777777" w:rsidR="003F0EEA" w:rsidRPr="006209D7" w:rsidRDefault="003F0EEA">
            <w:pPr>
              <w:rPr>
                <w:rFonts w:ascii="Arial" w:eastAsia="Arial" w:hAnsi="Arial" w:cs="Arial"/>
                <w:b/>
                <w:color w:val="000000"/>
                <w:sz w:val="16"/>
                <w:vertAlign w:val="superscript"/>
              </w:rPr>
            </w:pP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2EE6123E" w14:textId="77777777" w:rsidR="003F0EEA" w:rsidRPr="006209D7" w:rsidRDefault="003F0EEA">
            <w:pPr>
              <w:rPr>
                <w:rFonts w:ascii="Arial" w:eastAsia="Arial" w:hAnsi="Arial" w:cs="Arial"/>
                <w:b/>
                <w:color w:val="000000"/>
                <w:sz w:val="16"/>
                <w:vertAlign w:val="superscript"/>
              </w:rPr>
            </w:pP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4B569EA1" w14:textId="77777777" w:rsidR="003F0EEA" w:rsidRPr="006209D7" w:rsidRDefault="003F0EEA">
            <w:pPr>
              <w:rPr>
                <w:rFonts w:ascii="Arial" w:eastAsia="Arial" w:hAnsi="Arial" w:cs="Arial"/>
                <w:b/>
                <w:color w:val="000000"/>
                <w:sz w:val="16"/>
                <w:vertAlign w:val="superscript"/>
              </w:rPr>
            </w:pPr>
          </w:p>
        </w:tc>
      </w:tr>
      <w:tr w:rsidR="00FB7D0B" w14:paraId="0FEFB640" w14:textId="77777777" w:rsidTr="00FB7D0B">
        <w:trPr>
          <w:trHeight w:val="225"/>
        </w:trPr>
        <w:tc>
          <w:tcPr>
            <w:tcW w:w="180" w:type="dxa"/>
            <w:tcBorders>
              <w:top w:val="nil"/>
              <w:left w:val="nil"/>
              <w:bottom w:val="nil"/>
              <w:right w:val="nil"/>
              <w:tl2br w:val="nil"/>
              <w:tr2bl w:val="nil"/>
            </w:tcBorders>
            <w:shd w:val="clear" w:color="auto" w:fill="FFFFFF"/>
            <w:tcMar>
              <w:left w:w="101" w:type="dxa"/>
              <w:right w:w="101" w:type="dxa"/>
            </w:tcMar>
            <w:vAlign w:val="bottom"/>
          </w:tcPr>
          <w:p w14:paraId="6E3E3FDA" w14:textId="77777777" w:rsidR="003F0EEA" w:rsidRPr="006209D7" w:rsidRDefault="003F0EEA">
            <w:pPr>
              <w:rPr>
                <w:rFonts w:ascii="Arial" w:eastAsia="Arial" w:hAnsi="Arial" w:cs="Arial"/>
                <w:b/>
                <w:color w:val="000000"/>
                <w:sz w:val="16"/>
                <w:vertAlign w:val="superscript"/>
              </w:rPr>
            </w:pPr>
          </w:p>
        </w:tc>
        <w:tc>
          <w:tcPr>
            <w:tcW w:w="2880" w:type="dxa"/>
            <w:gridSpan w:val="2"/>
            <w:tcBorders>
              <w:top w:val="nil"/>
              <w:left w:val="nil"/>
              <w:bottom w:val="nil"/>
              <w:right w:val="nil"/>
              <w:tl2br w:val="nil"/>
              <w:tr2bl w:val="nil"/>
            </w:tcBorders>
            <w:shd w:val="clear" w:color="auto" w:fill="FFFFFF"/>
            <w:tcMar>
              <w:left w:w="101" w:type="dxa"/>
              <w:right w:w="101" w:type="dxa"/>
            </w:tcMar>
            <w:vAlign w:val="bottom"/>
          </w:tcPr>
          <w:p w14:paraId="652480D5" w14:textId="77777777" w:rsidR="003F0EEA" w:rsidRPr="006209D7" w:rsidRDefault="00FB7D0B">
            <w:pPr>
              <w:rPr>
                <w:rFonts w:ascii="Arial" w:eastAsia="Arial" w:hAnsi="Arial" w:cs="Arial"/>
                <w:color w:val="000000"/>
                <w:sz w:val="16"/>
                <w:vertAlign w:val="superscript"/>
              </w:rPr>
            </w:pPr>
            <w:r w:rsidRPr="006209D7">
              <w:rPr>
                <w:rFonts w:ascii="Arial" w:eastAsia="Arial" w:hAnsi="Arial" w:cs="Arial"/>
                <w:b/>
                <w:color w:val="000000"/>
                <w:sz w:val="16"/>
              </w:rPr>
              <w:t>attributable to the Australian</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446F6849" w14:textId="77777777" w:rsidR="003F0EEA" w:rsidRPr="006209D7" w:rsidRDefault="003F0EEA">
            <w:pPr>
              <w:rPr>
                <w:rFonts w:ascii="Arial" w:eastAsia="Arial" w:hAnsi="Arial" w:cs="Arial"/>
                <w:b/>
                <w:color w:val="000000"/>
                <w:sz w:val="16"/>
                <w:vertAlign w:val="superscript"/>
              </w:rPr>
            </w:pPr>
          </w:p>
        </w:tc>
        <w:tc>
          <w:tcPr>
            <w:tcW w:w="915" w:type="dxa"/>
            <w:tcBorders>
              <w:top w:val="nil"/>
              <w:left w:val="nil"/>
              <w:bottom w:val="nil"/>
              <w:right w:val="nil"/>
              <w:tl2br w:val="nil"/>
              <w:tr2bl w:val="nil"/>
            </w:tcBorders>
            <w:shd w:val="clear" w:color="auto" w:fill="FFFF00"/>
            <w:tcMar>
              <w:left w:w="101" w:type="dxa"/>
              <w:right w:w="101" w:type="dxa"/>
            </w:tcMar>
            <w:vAlign w:val="bottom"/>
          </w:tcPr>
          <w:p w14:paraId="01008A7F" w14:textId="77777777" w:rsidR="003F0EEA" w:rsidRPr="006209D7" w:rsidRDefault="003F0EEA">
            <w:pPr>
              <w:rPr>
                <w:rFonts w:ascii="Arial" w:eastAsia="Arial" w:hAnsi="Arial" w:cs="Arial"/>
                <w:b/>
                <w:color w:val="000000"/>
                <w:sz w:val="16"/>
                <w:vertAlign w:val="superscript"/>
              </w:rPr>
            </w:pP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0CCDD2AD" w14:textId="77777777" w:rsidR="003F0EEA" w:rsidRPr="006209D7" w:rsidRDefault="003F0EEA">
            <w:pPr>
              <w:rPr>
                <w:rFonts w:ascii="Arial" w:eastAsia="Arial" w:hAnsi="Arial" w:cs="Arial"/>
                <w:b/>
                <w:color w:val="000000"/>
                <w:sz w:val="16"/>
                <w:vertAlign w:val="superscript"/>
              </w:rPr>
            </w:pP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4F17F497" w14:textId="77777777" w:rsidR="003F0EEA" w:rsidRPr="006209D7" w:rsidRDefault="003F0EEA">
            <w:pPr>
              <w:rPr>
                <w:rFonts w:ascii="Arial" w:eastAsia="Arial" w:hAnsi="Arial" w:cs="Arial"/>
                <w:b/>
                <w:color w:val="000000"/>
                <w:sz w:val="16"/>
                <w:vertAlign w:val="superscript"/>
              </w:rPr>
            </w:pP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650F1D9B" w14:textId="77777777" w:rsidR="003F0EEA" w:rsidRPr="006209D7" w:rsidRDefault="003F0EEA">
            <w:pPr>
              <w:rPr>
                <w:rFonts w:ascii="Arial" w:eastAsia="Arial" w:hAnsi="Arial" w:cs="Arial"/>
                <w:b/>
                <w:color w:val="000000"/>
                <w:sz w:val="16"/>
                <w:vertAlign w:val="superscript"/>
              </w:rPr>
            </w:pPr>
          </w:p>
        </w:tc>
      </w:tr>
      <w:tr w:rsidR="00FB7D0B" w14:paraId="32FA69E5" w14:textId="77777777" w:rsidTr="00FB7D0B">
        <w:trPr>
          <w:trHeight w:val="225"/>
        </w:trPr>
        <w:tc>
          <w:tcPr>
            <w:tcW w:w="180"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7A2F8126" w14:textId="77777777" w:rsidR="003F0EEA" w:rsidRPr="006209D7" w:rsidRDefault="003F0EEA">
            <w:pPr>
              <w:rPr>
                <w:rFonts w:ascii="Arial" w:eastAsia="Arial" w:hAnsi="Arial" w:cs="Arial"/>
                <w:b/>
                <w:color w:val="000000"/>
                <w:sz w:val="16"/>
                <w:vertAlign w:val="superscript"/>
              </w:rPr>
            </w:pPr>
          </w:p>
        </w:tc>
        <w:tc>
          <w:tcPr>
            <w:tcW w:w="2880" w:type="dxa"/>
            <w:gridSpan w:val="2"/>
            <w:tcBorders>
              <w:top w:val="nil"/>
              <w:left w:val="nil"/>
              <w:bottom w:val="single" w:sz="6" w:space="0" w:color="000000"/>
              <w:right w:val="nil"/>
              <w:tl2br w:val="nil"/>
              <w:tr2bl w:val="nil"/>
            </w:tcBorders>
            <w:shd w:val="clear" w:color="auto" w:fill="FFFFFF"/>
            <w:tcMar>
              <w:left w:w="101" w:type="dxa"/>
              <w:right w:w="101" w:type="dxa"/>
            </w:tcMar>
            <w:vAlign w:val="bottom"/>
          </w:tcPr>
          <w:p w14:paraId="0B7A8F16" w14:textId="77777777" w:rsidR="003F0EEA" w:rsidRPr="006209D7" w:rsidRDefault="00FB7D0B">
            <w:pPr>
              <w:rPr>
                <w:rFonts w:ascii="Arial" w:eastAsia="Arial" w:hAnsi="Arial" w:cs="Arial"/>
                <w:color w:val="000000"/>
                <w:sz w:val="16"/>
                <w:vertAlign w:val="superscript"/>
              </w:rPr>
            </w:pPr>
            <w:r w:rsidRPr="006209D7">
              <w:rPr>
                <w:rFonts w:ascii="Arial" w:eastAsia="Arial" w:hAnsi="Arial" w:cs="Arial"/>
                <w:b/>
                <w:color w:val="000000"/>
                <w:sz w:val="16"/>
              </w:rPr>
              <w:t>Government</w:t>
            </w:r>
          </w:p>
        </w:tc>
        <w:tc>
          <w:tcPr>
            <w:tcW w:w="915"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77CFF144" w14:textId="77777777" w:rsidR="003F0EEA" w:rsidRPr="006209D7" w:rsidRDefault="00FB7D0B">
            <w:pPr>
              <w:jc w:val="right"/>
              <w:rPr>
                <w:rFonts w:ascii="Arial" w:eastAsia="Arial" w:hAnsi="Arial" w:cs="Arial"/>
                <w:b/>
                <w:color w:val="000000"/>
                <w:sz w:val="16"/>
                <w:vertAlign w:val="superscript"/>
              </w:rPr>
            </w:pPr>
            <w:r w:rsidRPr="006209D7">
              <w:rPr>
                <w:rFonts w:ascii="Arial" w:eastAsia="Arial" w:hAnsi="Arial" w:cs="Arial"/>
                <w:b/>
                <w:color w:val="000000"/>
                <w:sz w:val="16"/>
              </w:rPr>
              <w:t xml:space="preserve"> (28,996)</w:t>
            </w:r>
          </w:p>
        </w:tc>
        <w:tc>
          <w:tcPr>
            <w:tcW w:w="915" w:type="dxa"/>
            <w:tcBorders>
              <w:top w:val="nil"/>
              <w:left w:val="nil"/>
              <w:bottom w:val="single" w:sz="6" w:space="0" w:color="000000"/>
              <w:right w:val="nil"/>
              <w:tl2br w:val="nil"/>
              <w:tr2bl w:val="nil"/>
            </w:tcBorders>
            <w:shd w:val="clear" w:color="auto" w:fill="FFFF00"/>
            <w:tcMar>
              <w:left w:w="101" w:type="dxa"/>
              <w:right w:w="101" w:type="dxa"/>
            </w:tcMar>
            <w:vAlign w:val="bottom"/>
          </w:tcPr>
          <w:p w14:paraId="7F67B955" w14:textId="77777777" w:rsidR="003F0EEA" w:rsidRPr="006209D7" w:rsidRDefault="00FB7D0B">
            <w:pPr>
              <w:jc w:val="right"/>
              <w:rPr>
                <w:rFonts w:ascii="Arial" w:eastAsia="Arial" w:hAnsi="Arial" w:cs="Arial"/>
                <w:b/>
                <w:color w:val="000000"/>
                <w:sz w:val="16"/>
              </w:rPr>
            </w:pPr>
            <w:r w:rsidRPr="006209D7">
              <w:rPr>
                <w:rFonts w:ascii="Arial" w:eastAsia="Arial" w:hAnsi="Arial" w:cs="Arial"/>
                <w:b/>
                <w:color w:val="000000"/>
                <w:sz w:val="16"/>
              </w:rPr>
              <w:t xml:space="preserve"> (32,590)</w:t>
            </w:r>
          </w:p>
        </w:tc>
        <w:tc>
          <w:tcPr>
            <w:tcW w:w="915"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493DE6FE" w14:textId="77777777" w:rsidR="003F0EEA" w:rsidRPr="006209D7" w:rsidRDefault="00FB7D0B">
            <w:pPr>
              <w:jc w:val="right"/>
              <w:rPr>
                <w:rFonts w:ascii="Arial" w:eastAsia="Arial" w:hAnsi="Arial" w:cs="Arial"/>
                <w:b/>
                <w:color w:val="000000"/>
                <w:sz w:val="16"/>
              </w:rPr>
            </w:pPr>
            <w:r w:rsidRPr="006209D7">
              <w:rPr>
                <w:rFonts w:ascii="Arial" w:eastAsia="Arial" w:hAnsi="Arial" w:cs="Arial"/>
                <w:b/>
                <w:color w:val="000000"/>
                <w:sz w:val="16"/>
              </w:rPr>
              <w:t xml:space="preserve"> (29,566)</w:t>
            </w:r>
          </w:p>
        </w:tc>
        <w:tc>
          <w:tcPr>
            <w:tcW w:w="915"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66D37484" w14:textId="77777777" w:rsidR="003F0EEA" w:rsidRPr="006209D7" w:rsidRDefault="00FB7D0B">
            <w:pPr>
              <w:jc w:val="right"/>
              <w:rPr>
                <w:rFonts w:ascii="Arial" w:eastAsia="Arial" w:hAnsi="Arial" w:cs="Arial"/>
                <w:b/>
                <w:color w:val="000000"/>
                <w:sz w:val="16"/>
              </w:rPr>
            </w:pPr>
            <w:r w:rsidRPr="006209D7">
              <w:rPr>
                <w:rFonts w:ascii="Arial" w:eastAsia="Arial" w:hAnsi="Arial" w:cs="Arial"/>
                <w:b/>
                <w:color w:val="000000"/>
                <w:sz w:val="16"/>
              </w:rPr>
              <w:t xml:space="preserve"> (27,045)</w:t>
            </w:r>
          </w:p>
        </w:tc>
        <w:tc>
          <w:tcPr>
            <w:tcW w:w="915"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5929C86A" w14:textId="77777777" w:rsidR="003F0EEA" w:rsidRPr="006209D7" w:rsidRDefault="00FB7D0B">
            <w:pPr>
              <w:jc w:val="right"/>
              <w:rPr>
                <w:rFonts w:ascii="Arial" w:eastAsia="Arial" w:hAnsi="Arial" w:cs="Arial"/>
                <w:b/>
                <w:color w:val="000000"/>
                <w:sz w:val="16"/>
              </w:rPr>
            </w:pPr>
            <w:r w:rsidRPr="006209D7">
              <w:rPr>
                <w:rFonts w:ascii="Arial" w:eastAsia="Arial" w:hAnsi="Arial" w:cs="Arial"/>
                <w:b/>
                <w:color w:val="000000"/>
                <w:sz w:val="16"/>
              </w:rPr>
              <w:t xml:space="preserve"> (22,455)</w:t>
            </w:r>
          </w:p>
        </w:tc>
      </w:tr>
      <w:tr w:rsidR="00724034" w14:paraId="7F124762" w14:textId="77777777">
        <w:trPr>
          <w:trHeight w:val="225"/>
        </w:trPr>
        <w:tc>
          <w:tcPr>
            <w:tcW w:w="180"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4BBD326F" w14:textId="77777777" w:rsidR="003F0EEA" w:rsidRPr="006209D7" w:rsidRDefault="003F0EEA">
            <w:pPr>
              <w:rPr>
                <w:rFonts w:ascii="Arial" w:eastAsia="Arial" w:hAnsi="Arial" w:cs="Arial"/>
                <w:b/>
                <w:color w:val="000000"/>
                <w:sz w:val="16"/>
              </w:rPr>
            </w:pPr>
          </w:p>
        </w:tc>
        <w:tc>
          <w:tcPr>
            <w:tcW w:w="180"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3444A7AA" w14:textId="77777777" w:rsidR="003F0EEA" w:rsidRPr="006209D7" w:rsidRDefault="003F0EEA">
            <w:pPr>
              <w:rPr>
                <w:rFonts w:ascii="Arial" w:eastAsia="Arial" w:hAnsi="Arial" w:cs="Arial"/>
                <w:color w:val="000000"/>
                <w:sz w:val="16"/>
              </w:rPr>
            </w:pPr>
          </w:p>
        </w:tc>
        <w:tc>
          <w:tcPr>
            <w:tcW w:w="2700"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48E0E858" w14:textId="77777777" w:rsidR="003F0EEA" w:rsidRPr="006209D7" w:rsidRDefault="003F0EEA">
            <w:pPr>
              <w:rPr>
                <w:rFonts w:ascii="Arial" w:eastAsia="Arial" w:hAnsi="Arial" w:cs="Arial"/>
                <w:color w:val="000000"/>
                <w:sz w:val="16"/>
              </w:rPr>
            </w:pPr>
          </w:p>
        </w:tc>
        <w:tc>
          <w:tcPr>
            <w:tcW w:w="915"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773E4BA9" w14:textId="77777777" w:rsidR="003F0EEA" w:rsidRPr="006209D7" w:rsidRDefault="003F0EEA">
            <w:pPr>
              <w:rPr>
                <w:rFonts w:ascii="Arial" w:eastAsia="Arial" w:hAnsi="Arial" w:cs="Arial"/>
                <w:color w:val="000000"/>
                <w:sz w:val="16"/>
                <w:vertAlign w:val="superscript"/>
              </w:rPr>
            </w:pPr>
          </w:p>
        </w:tc>
        <w:tc>
          <w:tcPr>
            <w:tcW w:w="915"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2BE98E7A" w14:textId="77777777" w:rsidR="003F0EEA" w:rsidRPr="006209D7" w:rsidRDefault="003F0EEA">
            <w:pPr>
              <w:rPr>
                <w:rFonts w:ascii="Arial" w:eastAsia="Arial" w:hAnsi="Arial" w:cs="Arial"/>
                <w:color w:val="000000"/>
                <w:sz w:val="16"/>
                <w:vertAlign w:val="superscript"/>
              </w:rPr>
            </w:pPr>
          </w:p>
        </w:tc>
        <w:tc>
          <w:tcPr>
            <w:tcW w:w="915"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3A0BB05E" w14:textId="77777777" w:rsidR="003F0EEA" w:rsidRPr="006209D7" w:rsidRDefault="003F0EEA">
            <w:pPr>
              <w:rPr>
                <w:rFonts w:ascii="Arial" w:eastAsia="Arial" w:hAnsi="Arial" w:cs="Arial"/>
                <w:color w:val="000000"/>
                <w:sz w:val="16"/>
                <w:vertAlign w:val="superscript"/>
              </w:rPr>
            </w:pPr>
          </w:p>
        </w:tc>
        <w:tc>
          <w:tcPr>
            <w:tcW w:w="915"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6D79DC04" w14:textId="77777777" w:rsidR="003F0EEA" w:rsidRPr="006209D7" w:rsidRDefault="003F0EEA">
            <w:pPr>
              <w:rPr>
                <w:rFonts w:ascii="Arial" w:eastAsia="Arial" w:hAnsi="Arial" w:cs="Arial"/>
                <w:color w:val="000000"/>
                <w:sz w:val="16"/>
                <w:vertAlign w:val="superscript"/>
              </w:rPr>
            </w:pPr>
          </w:p>
        </w:tc>
        <w:tc>
          <w:tcPr>
            <w:tcW w:w="915"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76FA656F" w14:textId="77777777" w:rsidR="003F0EEA" w:rsidRPr="006209D7" w:rsidRDefault="003F0EEA">
            <w:pPr>
              <w:rPr>
                <w:rFonts w:ascii="Arial" w:eastAsia="Arial" w:hAnsi="Arial" w:cs="Arial"/>
                <w:color w:val="000000"/>
                <w:sz w:val="16"/>
                <w:vertAlign w:val="superscript"/>
              </w:rPr>
            </w:pPr>
          </w:p>
        </w:tc>
      </w:tr>
      <w:tr w:rsidR="00FB7D0B" w14:paraId="4F0FAA87" w14:textId="77777777" w:rsidTr="00FB7D0B">
        <w:trPr>
          <w:trHeight w:val="300"/>
        </w:trPr>
        <w:tc>
          <w:tcPr>
            <w:tcW w:w="7635" w:type="dxa"/>
            <w:gridSpan w:val="8"/>
            <w:tcBorders>
              <w:top w:val="single" w:sz="6" w:space="0" w:color="000000"/>
              <w:left w:val="nil"/>
              <w:bottom w:val="nil"/>
              <w:right w:val="nil"/>
              <w:tl2br w:val="nil"/>
              <w:tr2bl w:val="nil"/>
            </w:tcBorders>
            <w:shd w:val="clear" w:color="auto" w:fill="FFFFFF"/>
            <w:tcMar>
              <w:left w:w="101" w:type="dxa"/>
              <w:right w:w="101" w:type="dxa"/>
            </w:tcMar>
            <w:vAlign w:val="bottom"/>
          </w:tcPr>
          <w:p w14:paraId="7B4988BD" w14:textId="77777777" w:rsidR="003F0EEA" w:rsidRPr="006209D7" w:rsidRDefault="00FB7D0B">
            <w:pPr>
              <w:rPr>
                <w:rFonts w:ascii="Arial" w:eastAsia="Arial" w:hAnsi="Arial" w:cs="Arial"/>
                <w:color w:val="000000"/>
                <w:sz w:val="16"/>
                <w:vertAlign w:val="superscript"/>
              </w:rPr>
            </w:pPr>
            <w:r w:rsidRPr="006209D7">
              <w:rPr>
                <w:rFonts w:ascii="Arial" w:eastAsia="Arial" w:hAnsi="Arial" w:cs="Arial"/>
                <w:b/>
                <w:color w:val="000000"/>
                <w:sz w:val="16"/>
              </w:rPr>
              <w:t>Note: Impact of Net Cash Appropriation Arrangements</w:t>
            </w:r>
          </w:p>
        </w:tc>
      </w:tr>
      <w:tr w:rsidR="00724034" w14:paraId="112F90BF" w14:textId="77777777">
        <w:trPr>
          <w:trHeight w:val="225"/>
        </w:trPr>
        <w:tc>
          <w:tcPr>
            <w:tcW w:w="180" w:type="dxa"/>
            <w:tcBorders>
              <w:top w:val="nil"/>
              <w:left w:val="nil"/>
              <w:bottom w:val="nil"/>
              <w:right w:val="nil"/>
              <w:tl2br w:val="nil"/>
              <w:tr2bl w:val="nil"/>
            </w:tcBorders>
            <w:shd w:val="clear" w:color="auto" w:fill="FFFFFF"/>
            <w:tcMar>
              <w:left w:w="101" w:type="dxa"/>
              <w:right w:w="101" w:type="dxa"/>
            </w:tcMar>
            <w:vAlign w:val="bottom"/>
          </w:tcPr>
          <w:p w14:paraId="270DDE3A" w14:textId="77777777" w:rsidR="003F0EEA" w:rsidRPr="006209D7" w:rsidRDefault="003F0EEA">
            <w:pPr>
              <w:rPr>
                <w:rFonts w:ascii="Arial" w:eastAsia="Arial" w:hAnsi="Arial" w:cs="Arial"/>
                <w:b/>
                <w:color w:val="000000"/>
                <w:sz w:val="16"/>
              </w:rPr>
            </w:pPr>
          </w:p>
        </w:tc>
        <w:tc>
          <w:tcPr>
            <w:tcW w:w="180" w:type="dxa"/>
            <w:tcBorders>
              <w:top w:val="nil"/>
              <w:left w:val="nil"/>
              <w:bottom w:val="nil"/>
              <w:right w:val="nil"/>
              <w:tl2br w:val="nil"/>
              <w:tr2bl w:val="nil"/>
            </w:tcBorders>
            <w:shd w:val="clear" w:color="auto" w:fill="FFFFFF"/>
            <w:tcMar>
              <w:left w:w="101" w:type="dxa"/>
              <w:right w:w="101" w:type="dxa"/>
            </w:tcMar>
            <w:vAlign w:val="bottom"/>
          </w:tcPr>
          <w:p w14:paraId="5A132119" w14:textId="77777777" w:rsidR="003F0EEA" w:rsidRPr="006209D7" w:rsidRDefault="003F0EEA">
            <w:pPr>
              <w:rPr>
                <w:rFonts w:ascii="Arial" w:eastAsia="Arial" w:hAnsi="Arial" w:cs="Arial"/>
                <w:color w:val="000000"/>
                <w:sz w:val="16"/>
              </w:rPr>
            </w:pPr>
          </w:p>
        </w:tc>
        <w:tc>
          <w:tcPr>
            <w:tcW w:w="2700" w:type="dxa"/>
            <w:tcBorders>
              <w:top w:val="nil"/>
              <w:left w:val="nil"/>
              <w:bottom w:val="nil"/>
              <w:right w:val="nil"/>
              <w:tl2br w:val="nil"/>
              <w:tr2bl w:val="nil"/>
            </w:tcBorders>
            <w:shd w:val="clear" w:color="auto" w:fill="FFFFFF"/>
            <w:tcMar>
              <w:left w:w="101" w:type="dxa"/>
              <w:right w:w="101" w:type="dxa"/>
            </w:tcMar>
            <w:vAlign w:val="bottom"/>
          </w:tcPr>
          <w:p w14:paraId="2AE9A79B" w14:textId="77777777" w:rsidR="003F0EEA" w:rsidRPr="006209D7" w:rsidRDefault="003F0EEA">
            <w:pPr>
              <w:rPr>
                <w:rFonts w:ascii="Arial" w:eastAsia="Arial" w:hAnsi="Arial" w:cs="Arial"/>
                <w:color w:val="000000"/>
                <w:sz w:val="16"/>
              </w:rPr>
            </w:pPr>
          </w:p>
        </w:tc>
        <w:tc>
          <w:tcPr>
            <w:tcW w:w="91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60CFB1E2" w14:textId="77777777" w:rsidR="003F0EEA" w:rsidRPr="006209D7" w:rsidRDefault="00FB7D0B">
            <w:pPr>
              <w:jc w:val="right"/>
              <w:rPr>
                <w:rFonts w:ascii="Arial" w:eastAsia="Arial" w:hAnsi="Arial" w:cs="Arial"/>
                <w:color w:val="000000"/>
                <w:sz w:val="16"/>
                <w:vertAlign w:val="superscript"/>
              </w:rPr>
            </w:pPr>
            <w:r w:rsidRPr="006209D7">
              <w:rPr>
                <w:rFonts w:ascii="Arial" w:eastAsia="Arial" w:hAnsi="Arial" w:cs="Arial"/>
                <w:color w:val="000000"/>
                <w:sz w:val="16"/>
              </w:rPr>
              <w:t>2013-14</w:t>
            </w:r>
          </w:p>
        </w:tc>
        <w:tc>
          <w:tcPr>
            <w:tcW w:w="915" w:type="dxa"/>
            <w:tcBorders>
              <w:top w:val="single" w:sz="6" w:space="0" w:color="000000"/>
              <w:left w:val="nil"/>
              <w:bottom w:val="nil"/>
              <w:right w:val="nil"/>
              <w:tl2br w:val="nil"/>
              <w:tr2bl w:val="nil"/>
            </w:tcBorders>
            <w:shd w:val="clear" w:color="auto" w:fill="FFFF00"/>
            <w:tcMar>
              <w:left w:w="101" w:type="dxa"/>
              <w:right w:w="101" w:type="dxa"/>
            </w:tcMar>
            <w:vAlign w:val="bottom"/>
          </w:tcPr>
          <w:p w14:paraId="1AE81D5F" w14:textId="77777777" w:rsidR="003F0EEA" w:rsidRPr="006209D7" w:rsidRDefault="00FB7D0B">
            <w:pPr>
              <w:jc w:val="right"/>
              <w:rPr>
                <w:rFonts w:ascii="Arial" w:eastAsia="Arial" w:hAnsi="Arial" w:cs="Arial"/>
                <w:color w:val="000000"/>
                <w:sz w:val="16"/>
              </w:rPr>
            </w:pPr>
            <w:r w:rsidRPr="006209D7">
              <w:rPr>
                <w:rFonts w:ascii="Arial" w:eastAsia="Arial" w:hAnsi="Arial" w:cs="Arial"/>
                <w:color w:val="000000"/>
                <w:sz w:val="16"/>
              </w:rPr>
              <w:t>2014-15</w:t>
            </w:r>
          </w:p>
        </w:tc>
        <w:tc>
          <w:tcPr>
            <w:tcW w:w="91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55BB7910" w14:textId="77777777" w:rsidR="003F0EEA" w:rsidRPr="006209D7" w:rsidRDefault="00FB7D0B">
            <w:pPr>
              <w:jc w:val="right"/>
              <w:rPr>
                <w:rFonts w:ascii="Arial" w:eastAsia="Arial" w:hAnsi="Arial" w:cs="Arial"/>
                <w:color w:val="000000"/>
                <w:sz w:val="16"/>
              </w:rPr>
            </w:pPr>
            <w:r w:rsidRPr="006209D7">
              <w:rPr>
                <w:rFonts w:ascii="Arial" w:eastAsia="Arial" w:hAnsi="Arial" w:cs="Arial"/>
                <w:color w:val="000000"/>
                <w:sz w:val="16"/>
              </w:rPr>
              <w:t>2015-16</w:t>
            </w:r>
          </w:p>
        </w:tc>
        <w:tc>
          <w:tcPr>
            <w:tcW w:w="91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14203375" w14:textId="77777777" w:rsidR="003F0EEA" w:rsidRPr="006209D7" w:rsidRDefault="00FB7D0B">
            <w:pPr>
              <w:jc w:val="right"/>
              <w:rPr>
                <w:rFonts w:ascii="Arial" w:eastAsia="Arial" w:hAnsi="Arial" w:cs="Arial"/>
                <w:color w:val="000000"/>
                <w:sz w:val="16"/>
              </w:rPr>
            </w:pPr>
            <w:r w:rsidRPr="006209D7">
              <w:rPr>
                <w:rFonts w:ascii="Arial" w:eastAsia="Arial" w:hAnsi="Arial" w:cs="Arial"/>
                <w:color w:val="000000"/>
                <w:sz w:val="16"/>
              </w:rPr>
              <w:t>2016-17</w:t>
            </w:r>
          </w:p>
        </w:tc>
        <w:tc>
          <w:tcPr>
            <w:tcW w:w="91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3262BE69" w14:textId="77777777" w:rsidR="003F0EEA" w:rsidRPr="006209D7" w:rsidRDefault="00FB7D0B">
            <w:pPr>
              <w:jc w:val="right"/>
              <w:rPr>
                <w:rFonts w:ascii="Arial" w:eastAsia="Arial" w:hAnsi="Arial" w:cs="Arial"/>
                <w:color w:val="000000"/>
                <w:sz w:val="16"/>
              </w:rPr>
            </w:pPr>
            <w:r w:rsidRPr="006209D7">
              <w:rPr>
                <w:rFonts w:ascii="Arial" w:eastAsia="Arial" w:hAnsi="Arial" w:cs="Arial"/>
                <w:color w:val="000000"/>
                <w:sz w:val="16"/>
              </w:rPr>
              <w:t>2017-18</w:t>
            </w:r>
          </w:p>
        </w:tc>
      </w:tr>
      <w:tr w:rsidR="00724034" w14:paraId="21054F6A" w14:textId="77777777">
        <w:trPr>
          <w:trHeight w:val="225"/>
        </w:trPr>
        <w:tc>
          <w:tcPr>
            <w:tcW w:w="180" w:type="dxa"/>
            <w:tcBorders>
              <w:top w:val="nil"/>
              <w:left w:val="nil"/>
              <w:bottom w:val="nil"/>
              <w:right w:val="nil"/>
              <w:tl2br w:val="nil"/>
              <w:tr2bl w:val="nil"/>
            </w:tcBorders>
            <w:shd w:val="clear" w:color="auto" w:fill="FFFFFF"/>
            <w:tcMar>
              <w:left w:w="101" w:type="dxa"/>
              <w:right w:w="101" w:type="dxa"/>
            </w:tcMar>
            <w:vAlign w:val="bottom"/>
          </w:tcPr>
          <w:p w14:paraId="68D0B79E" w14:textId="77777777" w:rsidR="003F0EEA" w:rsidRPr="006209D7" w:rsidRDefault="003F0EEA">
            <w:pPr>
              <w:rPr>
                <w:rFonts w:ascii="Arial" w:eastAsia="Arial" w:hAnsi="Arial" w:cs="Arial"/>
                <w:color w:val="000000"/>
                <w:sz w:val="16"/>
              </w:rPr>
            </w:pPr>
          </w:p>
        </w:tc>
        <w:tc>
          <w:tcPr>
            <w:tcW w:w="180" w:type="dxa"/>
            <w:tcBorders>
              <w:top w:val="nil"/>
              <w:left w:val="nil"/>
              <w:bottom w:val="nil"/>
              <w:right w:val="nil"/>
              <w:tl2br w:val="nil"/>
              <w:tr2bl w:val="nil"/>
            </w:tcBorders>
            <w:shd w:val="clear" w:color="auto" w:fill="FFFFFF"/>
            <w:tcMar>
              <w:left w:w="101" w:type="dxa"/>
              <w:right w:w="101" w:type="dxa"/>
            </w:tcMar>
            <w:vAlign w:val="bottom"/>
          </w:tcPr>
          <w:p w14:paraId="2A210623" w14:textId="77777777" w:rsidR="003F0EEA" w:rsidRPr="006209D7" w:rsidRDefault="003F0EEA">
            <w:pPr>
              <w:rPr>
                <w:rFonts w:ascii="Arial" w:eastAsia="Arial" w:hAnsi="Arial" w:cs="Arial"/>
                <w:color w:val="000000"/>
                <w:sz w:val="16"/>
              </w:rPr>
            </w:pPr>
          </w:p>
        </w:tc>
        <w:tc>
          <w:tcPr>
            <w:tcW w:w="2700" w:type="dxa"/>
            <w:tcBorders>
              <w:top w:val="nil"/>
              <w:left w:val="nil"/>
              <w:bottom w:val="nil"/>
              <w:right w:val="nil"/>
              <w:tl2br w:val="nil"/>
              <w:tr2bl w:val="nil"/>
            </w:tcBorders>
            <w:shd w:val="clear" w:color="auto" w:fill="FFFFFF"/>
            <w:tcMar>
              <w:left w:w="101" w:type="dxa"/>
              <w:right w:w="101" w:type="dxa"/>
            </w:tcMar>
            <w:vAlign w:val="bottom"/>
          </w:tcPr>
          <w:p w14:paraId="4FF5291B" w14:textId="77777777" w:rsidR="003F0EEA" w:rsidRPr="006209D7" w:rsidRDefault="003F0EEA">
            <w:pPr>
              <w:rPr>
                <w:rFonts w:ascii="Arial" w:eastAsia="Arial" w:hAnsi="Arial" w:cs="Arial"/>
                <w:color w:val="000000"/>
                <w:sz w:val="16"/>
              </w:rPr>
            </w:pPr>
          </w:p>
        </w:tc>
        <w:tc>
          <w:tcPr>
            <w:tcW w:w="915"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0B36DA16" w14:textId="77777777" w:rsidR="003F0EEA" w:rsidRPr="006209D7" w:rsidRDefault="00FB7D0B">
            <w:pPr>
              <w:jc w:val="right"/>
              <w:rPr>
                <w:rFonts w:ascii="Arial" w:eastAsia="Arial" w:hAnsi="Arial" w:cs="Arial"/>
                <w:color w:val="000000"/>
                <w:sz w:val="16"/>
                <w:vertAlign w:val="superscript"/>
              </w:rPr>
            </w:pPr>
            <w:r w:rsidRPr="006209D7">
              <w:rPr>
                <w:rFonts w:ascii="Arial" w:eastAsia="Arial" w:hAnsi="Arial" w:cs="Arial"/>
                <w:color w:val="000000"/>
                <w:sz w:val="16"/>
              </w:rPr>
              <w:t>$'000</w:t>
            </w:r>
          </w:p>
        </w:tc>
        <w:tc>
          <w:tcPr>
            <w:tcW w:w="915" w:type="dxa"/>
            <w:tcBorders>
              <w:top w:val="nil"/>
              <w:left w:val="nil"/>
              <w:bottom w:val="single" w:sz="6" w:space="0" w:color="000000"/>
              <w:right w:val="nil"/>
              <w:tl2br w:val="nil"/>
              <w:tr2bl w:val="nil"/>
            </w:tcBorders>
            <w:shd w:val="clear" w:color="auto" w:fill="FFFF00"/>
            <w:tcMar>
              <w:left w:w="101" w:type="dxa"/>
              <w:right w:w="101" w:type="dxa"/>
            </w:tcMar>
            <w:vAlign w:val="bottom"/>
          </w:tcPr>
          <w:p w14:paraId="52593956" w14:textId="77777777" w:rsidR="003F0EEA" w:rsidRPr="006209D7" w:rsidRDefault="00FB7D0B">
            <w:pPr>
              <w:jc w:val="right"/>
              <w:rPr>
                <w:rFonts w:ascii="Arial" w:eastAsia="Arial" w:hAnsi="Arial" w:cs="Arial"/>
                <w:color w:val="000000"/>
                <w:sz w:val="16"/>
              </w:rPr>
            </w:pPr>
            <w:r w:rsidRPr="006209D7">
              <w:rPr>
                <w:rFonts w:ascii="Arial" w:eastAsia="Arial" w:hAnsi="Arial" w:cs="Arial"/>
                <w:color w:val="000000"/>
                <w:sz w:val="16"/>
              </w:rPr>
              <w:t>$'000</w:t>
            </w:r>
          </w:p>
        </w:tc>
        <w:tc>
          <w:tcPr>
            <w:tcW w:w="915"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43F96CB0" w14:textId="77777777" w:rsidR="003F0EEA" w:rsidRPr="006209D7" w:rsidRDefault="00FB7D0B">
            <w:pPr>
              <w:jc w:val="right"/>
              <w:rPr>
                <w:rFonts w:ascii="Arial" w:eastAsia="Arial" w:hAnsi="Arial" w:cs="Arial"/>
                <w:color w:val="000000"/>
                <w:sz w:val="16"/>
              </w:rPr>
            </w:pPr>
            <w:r w:rsidRPr="006209D7">
              <w:rPr>
                <w:rFonts w:ascii="Arial" w:eastAsia="Arial" w:hAnsi="Arial" w:cs="Arial"/>
                <w:color w:val="000000"/>
                <w:sz w:val="16"/>
              </w:rPr>
              <w:t>$'000</w:t>
            </w:r>
          </w:p>
        </w:tc>
        <w:tc>
          <w:tcPr>
            <w:tcW w:w="915"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52CB6A9D" w14:textId="77777777" w:rsidR="003F0EEA" w:rsidRPr="006209D7" w:rsidRDefault="00FB7D0B">
            <w:pPr>
              <w:jc w:val="right"/>
              <w:rPr>
                <w:rFonts w:ascii="Arial" w:eastAsia="Arial" w:hAnsi="Arial" w:cs="Arial"/>
                <w:color w:val="000000"/>
                <w:sz w:val="16"/>
              </w:rPr>
            </w:pPr>
            <w:r w:rsidRPr="006209D7">
              <w:rPr>
                <w:rFonts w:ascii="Arial" w:eastAsia="Arial" w:hAnsi="Arial" w:cs="Arial"/>
                <w:color w:val="000000"/>
                <w:sz w:val="16"/>
              </w:rPr>
              <w:t>$'000</w:t>
            </w:r>
          </w:p>
        </w:tc>
        <w:tc>
          <w:tcPr>
            <w:tcW w:w="915"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60C5D83C" w14:textId="77777777" w:rsidR="003F0EEA" w:rsidRPr="006209D7" w:rsidRDefault="00FB7D0B">
            <w:pPr>
              <w:jc w:val="right"/>
              <w:rPr>
                <w:rFonts w:ascii="Arial" w:eastAsia="Arial" w:hAnsi="Arial" w:cs="Arial"/>
                <w:color w:val="000000"/>
                <w:sz w:val="16"/>
              </w:rPr>
            </w:pPr>
            <w:r w:rsidRPr="006209D7">
              <w:rPr>
                <w:rFonts w:ascii="Arial" w:eastAsia="Arial" w:hAnsi="Arial" w:cs="Arial"/>
                <w:color w:val="000000"/>
                <w:sz w:val="16"/>
              </w:rPr>
              <w:t>$'000</w:t>
            </w:r>
          </w:p>
        </w:tc>
      </w:tr>
      <w:tr w:rsidR="00FB7D0B" w14:paraId="41904C36" w14:textId="77777777" w:rsidTr="00FB7D0B">
        <w:trPr>
          <w:trHeight w:val="450"/>
        </w:trPr>
        <w:tc>
          <w:tcPr>
            <w:tcW w:w="3060" w:type="dxa"/>
            <w:gridSpan w:val="3"/>
            <w:tcBorders>
              <w:top w:val="nil"/>
              <w:left w:val="nil"/>
              <w:bottom w:val="nil"/>
              <w:right w:val="nil"/>
              <w:tl2br w:val="nil"/>
              <w:tr2bl w:val="nil"/>
            </w:tcBorders>
            <w:shd w:val="clear" w:color="auto" w:fill="FFFFFF"/>
            <w:tcMar>
              <w:left w:w="101" w:type="dxa"/>
              <w:right w:w="101" w:type="dxa"/>
            </w:tcMar>
            <w:vAlign w:val="bottom"/>
          </w:tcPr>
          <w:p w14:paraId="63C45246" w14:textId="77777777" w:rsidR="003F0EEA" w:rsidRPr="006209D7" w:rsidRDefault="00FB7D0B">
            <w:pPr>
              <w:rPr>
                <w:rFonts w:ascii="Arial" w:eastAsia="Arial" w:hAnsi="Arial" w:cs="Arial"/>
                <w:color w:val="000000"/>
                <w:sz w:val="16"/>
              </w:rPr>
            </w:pPr>
            <w:r w:rsidRPr="006209D7">
              <w:rPr>
                <w:rFonts w:ascii="Arial" w:eastAsia="Arial" w:hAnsi="Arial" w:cs="Arial"/>
                <w:b/>
                <w:color w:val="000000"/>
                <w:sz w:val="16"/>
              </w:rPr>
              <w:t>Total Comprehensive Income</w:t>
            </w:r>
          </w:p>
        </w:tc>
        <w:tc>
          <w:tcPr>
            <w:tcW w:w="91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7D952D2E" w14:textId="77777777" w:rsidR="003F0EEA" w:rsidRPr="006209D7" w:rsidRDefault="003F0EEA">
            <w:pPr>
              <w:rPr>
                <w:rFonts w:ascii="Arial" w:eastAsia="Arial" w:hAnsi="Arial" w:cs="Arial"/>
                <w:b/>
                <w:color w:val="000000"/>
                <w:sz w:val="16"/>
                <w:vertAlign w:val="superscript"/>
              </w:rPr>
            </w:pPr>
          </w:p>
        </w:tc>
        <w:tc>
          <w:tcPr>
            <w:tcW w:w="915" w:type="dxa"/>
            <w:tcBorders>
              <w:top w:val="single" w:sz="6" w:space="0" w:color="000000"/>
              <w:left w:val="nil"/>
              <w:bottom w:val="nil"/>
              <w:right w:val="nil"/>
              <w:tl2br w:val="nil"/>
              <w:tr2bl w:val="nil"/>
            </w:tcBorders>
            <w:shd w:val="clear" w:color="auto" w:fill="FFFF00"/>
            <w:tcMar>
              <w:left w:w="101" w:type="dxa"/>
              <w:right w:w="101" w:type="dxa"/>
            </w:tcMar>
            <w:vAlign w:val="bottom"/>
          </w:tcPr>
          <w:p w14:paraId="5EF3312D" w14:textId="77777777" w:rsidR="003F0EEA" w:rsidRPr="006209D7" w:rsidRDefault="003F0EEA">
            <w:pPr>
              <w:rPr>
                <w:rFonts w:ascii="Arial" w:eastAsia="Arial" w:hAnsi="Arial" w:cs="Arial"/>
                <w:b/>
                <w:color w:val="000000"/>
                <w:sz w:val="16"/>
                <w:vertAlign w:val="superscript"/>
              </w:rPr>
            </w:pPr>
          </w:p>
        </w:tc>
        <w:tc>
          <w:tcPr>
            <w:tcW w:w="91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32B261BE" w14:textId="77777777" w:rsidR="003F0EEA" w:rsidRPr="006209D7" w:rsidRDefault="003F0EEA">
            <w:pPr>
              <w:rPr>
                <w:rFonts w:ascii="Arial" w:eastAsia="Arial" w:hAnsi="Arial" w:cs="Arial"/>
                <w:color w:val="000000"/>
                <w:sz w:val="16"/>
                <w:vertAlign w:val="superscript"/>
              </w:rPr>
            </w:pPr>
          </w:p>
        </w:tc>
        <w:tc>
          <w:tcPr>
            <w:tcW w:w="91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005C7A10" w14:textId="77777777" w:rsidR="003F0EEA" w:rsidRPr="006209D7" w:rsidRDefault="003F0EEA">
            <w:pPr>
              <w:rPr>
                <w:rFonts w:ascii="Arial" w:eastAsia="Arial" w:hAnsi="Arial" w:cs="Arial"/>
                <w:color w:val="000000"/>
                <w:sz w:val="16"/>
                <w:vertAlign w:val="superscript"/>
              </w:rPr>
            </w:pPr>
          </w:p>
        </w:tc>
        <w:tc>
          <w:tcPr>
            <w:tcW w:w="91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76C36896" w14:textId="77777777" w:rsidR="003F0EEA" w:rsidRPr="006209D7" w:rsidRDefault="003F0EEA">
            <w:pPr>
              <w:rPr>
                <w:rFonts w:ascii="Arial" w:eastAsia="Arial" w:hAnsi="Arial" w:cs="Arial"/>
                <w:color w:val="000000"/>
                <w:sz w:val="16"/>
                <w:vertAlign w:val="superscript"/>
              </w:rPr>
            </w:pPr>
          </w:p>
        </w:tc>
      </w:tr>
      <w:tr w:rsidR="00FB7D0B" w14:paraId="0862F815" w14:textId="77777777" w:rsidTr="00FB7D0B">
        <w:trPr>
          <w:trHeight w:val="225"/>
        </w:trPr>
        <w:tc>
          <w:tcPr>
            <w:tcW w:w="180" w:type="dxa"/>
            <w:tcBorders>
              <w:top w:val="nil"/>
              <w:left w:val="nil"/>
              <w:bottom w:val="nil"/>
              <w:right w:val="nil"/>
              <w:tl2br w:val="nil"/>
              <w:tr2bl w:val="nil"/>
            </w:tcBorders>
            <w:shd w:val="clear" w:color="auto" w:fill="FFFFFF"/>
            <w:tcMar>
              <w:left w:w="101" w:type="dxa"/>
              <w:right w:w="101" w:type="dxa"/>
            </w:tcMar>
            <w:vAlign w:val="bottom"/>
          </w:tcPr>
          <w:p w14:paraId="57C8964C" w14:textId="77777777" w:rsidR="003F0EEA" w:rsidRPr="006209D7" w:rsidRDefault="003F0EEA">
            <w:pPr>
              <w:rPr>
                <w:rFonts w:ascii="Arial" w:eastAsia="Arial" w:hAnsi="Arial" w:cs="Arial"/>
                <w:color w:val="000000"/>
                <w:sz w:val="16"/>
                <w:vertAlign w:val="superscript"/>
              </w:rPr>
            </w:pPr>
          </w:p>
        </w:tc>
        <w:tc>
          <w:tcPr>
            <w:tcW w:w="2880" w:type="dxa"/>
            <w:gridSpan w:val="2"/>
            <w:vMerge w:val="restart"/>
            <w:tcBorders>
              <w:top w:val="nil"/>
              <w:left w:val="nil"/>
              <w:bottom w:val="nil"/>
              <w:right w:val="nil"/>
              <w:tl2br w:val="nil"/>
              <w:tr2bl w:val="nil"/>
            </w:tcBorders>
            <w:shd w:val="clear" w:color="auto" w:fill="FFFFFF"/>
            <w:tcMar>
              <w:left w:w="101" w:type="dxa"/>
              <w:right w:w="101" w:type="dxa"/>
            </w:tcMar>
            <w:vAlign w:val="bottom"/>
          </w:tcPr>
          <w:p w14:paraId="453AC3EA" w14:textId="77777777" w:rsidR="003F0EEA" w:rsidRPr="006209D7" w:rsidRDefault="00FB7D0B">
            <w:pPr>
              <w:rPr>
                <w:rFonts w:ascii="Arial" w:eastAsia="Arial" w:hAnsi="Arial" w:cs="Arial"/>
                <w:b/>
                <w:color w:val="000000"/>
                <w:sz w:val="16"/>
                <w:vertAlign w:val="superscript"/>
              </w:rPr>
            </w:pPr>
            <w:r w:rsidRPr="006209D7">
              <w:rPr>
                <w:rFonts w:ascii="Arial" w:eastAsia="Arial" w:hAnsi="Arial" w:cs="Arial"/>
                <w:b/>
                <w:color w:val="000000"/>
                <w:sz w:val="16"/>
              </w:rPr>
              <w:t>(loss) less depreciation/amortisation</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7A7ACDD5" w14:textId="77777777" w:rsidR="003F0EEA" w:rsidRPr="006209D7" w:rsidRDefault="003F0EEA">
            <w:pPr>
              <w:rPr>
                <w:rFonts w:ascii="Arial" w:eastAsia="Arial" w:hAnsi="Arial" w:cs="Arial"/>
                <w:b/>
                <w:color w:val="000000"/>
                <w:sz w:val="16"/>
                <w:vertAlign w:val="superscript"/>
              </w:rPr>
            </w:pPr>
          </w:p>
        </w:tc>
        <w:tc>
          <w:tcPr>
            <w:tcW w:w="915" w:type="dxa"/>
            <w:tcBorders>
              <w:top w:val="nil"/>
              <w:left w:val="nil"/>
              <w:bottom w:val="nil"/>
              <w:right w:val="nil"/>
              <w:tl2br w:val="nil"/>
              <w:tr2bl w:val="nil"/>
            </w:tcBorders>
            <w:shd w:val="clear" w:color="auto" w:fill="FFFF00"/>
            <w:tcMar>
              <w:left w:w="101" w:type="dxa"/>
              <w:right w:w="101" w:type="dxa"/>
            </w:tcMar>
            <w:vAlign w:val="bottom"/>
          </w:tcPr>
          <w:p w14:paraId="54375ED0" w14:textId="77777777" w:rsidR="003F0EEA" w:rsidRPr="006209D7" w:rsidRDefault="003F0EEA">
            <w:pPr>
              <w:rPr>
                <w:rFonts w:ascii="Arial" w:eastAsia="Arial" w:hAnsi="Arial" w:cs="Arial"/>
                <w:b/>
                <w:color w:val="000000"/>
                <w:sz w:val="16"/>
                <w:vertAlign w:val="superscript"/>
              </w:rPr>
            </w:pP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6B3D23E8" w14:textId="77777777" w:rsidR="003F0EEA" w:rsidRPr="006209D7" w:rsidRDefault="003F0EEA">
            <w:pPr>
              <w:rPr>
                <w:rFonts w:ascii="Arial" w:eastAsia="Arial" w:hAnsi="Arial" w:cs="Arial"/>
                <w:color w:val="000000"/>
                <w:sz w:val="16"/>
                <w:vertAlign w:val="superscript"/>
              </w:rPr>
            </w:pP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23976D06" w14:textId="77777777" w:rsidR="003F0EEA" w:rsidRPr="006209D7" w:rsidRDefault="003F0EEA">
            <w:pPr>
              <w:rPr>
                <w:rFonts w:ascii="Arial" w:eastAsia="Arial" w:hAnsi="Arial" w:cs="Arial"/>
                <w:color w:val="000000"/>
                <w:sz w:val="16"/>
                <w:vertAlign w:val="superscript"/>
              </w:rPr>
            </w:pP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033E4ED5" w14:textId="77777777" w:rsidR="003F0EEA" w:rsidRPr="006209D7" w:rsidRDefault="003F0EEA">
            <w:pPr>
              <w:rPr>
                <w:rFonts w:ascii="Arial" w:eastAsia="Arial" w:hAnsi="Arial" w:cs="Arial"/>
                <w:color w:val="000000"/>
                <w:sz w:val="16"/>
                <w:vertAlign w:val="superscript"/>
              </w:rPr>
            </w:pPr>
          </w:p>
        </w:tc>
      </w:tr>
      <w:tr w:rsidR="00FB7D0B" w14:paraId="4F8A6074" w14:textId="77777777" w:rsidTr="00FB7D0B">
        <w:trPr>
          <w:trHeight w:val="225"/>
        </w:trPr>
        <w:tc>
          <w:tcPr>
            <w:tcW w:w="180" w:type="dxa"/>
            <w:tcBorders>
              <w:top w:val="nil"/>
              <w:left w:val="nil"/>
              <w:bottom w:val="nil"/>
              <w:right w:val="nil"/>
              <w:tl2br w:val="nil"/>
              <w:tr2bl w:val="nil"/>
            </w:tcBorders>
            <w:shd w:val="clear" w:color="auto" w:fill="FFFFFF"/>
            <w:tcMar>
              <w:left w:w="101" w:type="dxa"/>
              <w:right w:w="101" w:type="dxa"/>
            </w:tcMar>
            <w:vAlign w:val="bottom"/>
          </w:tcPr>
          <w:p w14:paraId="57D3E1AC" w14:textId="77777777" w:rsidR="003F0EEA" w:rsidRPr="006209D7" w:rsidRDefault="003F0EEA">
            <w:pPr>
              <w:rPr>
                <w:rFonts w:ascii="Arial" w:eastAsia="Arial" w:hAnsi="Arial" w:cs="Arial"/>
                <w:color w:val="000000"/>
                <w:sz w:val="16"/>
                <w:vertAlign w:val="superscript"/>
              </w:rPr>
            </w:pPr>
          </w:p>
        </w:tc>
        <w:tc>
          <w:tcPr>
            <w:tcW w:w="2880" w:type="dxa"/>
            <w:gridSpan w:val="2"/>
            <w:tcBorders>
              <w:top w:val="nil"/>
              <w:left w:val="nil"/>
              <w:bottom w:val="nil"/>
              <w:right w:val="nil"/>
              <w:tl2br w:val="nil"/>
              <w:tr2bl w:val="nil"/>
            </w:tcBorders>
            <w:shd w:val="clear" w:color="auto" w:fill="FFFFFF"/>
            <w:tcMar>
              <w:left w:w="101" w:type="dxa"/>
              <w:right w:w="101" w:type="dxa"/>
            </w:tcMar>
            <w:vAlign w:val="bottom"/>
          </w:tcPr>
          <w:p w14:paraId="76855C1D" w14:textId="77777777" w:rsidR="003F0EEA" w:rsidRPr="006209D7" w:rsidRDefault="00FB7D0B">
            <w:pPr>
              <w:rPr>
                <w:rFonts w:ascii="Arial" w:eastAsia="Arial" w:hAnsi="Arial" w:cs="Arial"/>
                <w:b/>
                <w:color w:val="000000"/>
                <w:sz w:val="16"/>
                <w:vertAlign w:val="superscript"/>
              </w:rPr>
            </w:pPr>
            <w:r w:rsidRPr="006209D7">
              <w:rPr>
                <w:rFonts w:ascii="Arial" w:eastAsia="Arial" w:hAnsi="Arial" w:cs="Arial"/>
                <w:b/>
                <w:color w:val="000000"/>
                <w:sz w:val="16"/>
              </w:rPr>
              <w:t>expenses previously funded through</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752BB0E1" w14:textId="77777777" w:rsidR="003F0EEA" w:rsidRPr="006209D7" w:rsidRDefault="003F0EEA">
            <w:pPr>
              <w:rPr>
                <w:rFonts w:ascii="Arial" w:eastAsia="Arial" w:hAnsi="Arial" w:cs="Arial"/>
                <w:b/>
                <w:color w:val="000000"/>
                <w:sz w:val="16"/>
                <w:vertAlign w:val="superscript"/>
              </w:rPr>
            </w:pPr>
          </w:p>
        </w:tc>
        <w:tc>
          <w:tcPr>
            <w:tcW w:w="915" w:type="dxa"/>
            <w:tcBorders>
              <w:top w:val="nil"/>
              <w:left w:val="nil"/>
              <w:bottom w:val="nil"/>
              <w:right w:val="nil"/>
              <w:tl2br w:val="nil"/>
              <w:tr2bl w:val="nil"/>
            </w:tcBorders>
            <w:shd w:val="clear" w:color="auto" w:fill="FFFF00"/>
            <w:tcMar>
              <w:left w:w="101" w:type="dxa"/>
              <w:right w:w="101" w:type="dxa"/>
            </w:tcMar>
            <w:vAlign w:val="bottom"/>
          </w:tcPr>
          <w:p w14:paraId="282D9AC1" w14:textId="77777777" w:rsidR="003F0EEA" w:rsidRPr="006209D7" w:rsidRDefault="003F0EEA">
            <w:pPr>
              <w:rPr>
                <w:rFonts w:ascii="Arial" w:eastAsia="Arial" w:hAnsi="Arial" w:cs="Arial"/>
                <w:b/>
                <w:color w:val="000000"/>
                <w:sz w:val="16"/>
                <w:vertAlign w:val="superscript"/>
              </w:rPr>
            </w:pP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7896B10E" w14:textId="77777777" w:rsidR="003F0EEA" w:rsidRPr="006209D7" w:rsidRDefault="003F0EEA">
            <w:pPr>
              <w:rPr>
                <w:rFonts w:ascii="Arial" w:eastAsia="Arial" w:hAnsi="Arial" w:cs="Arial"/>
                <w:color w:val="000000"/>
                <w:sz w:val="16"/>
                <w:vertAlign w:val="superscript"/>
              </w:rPr>
            </w:pP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48136936" w14:textId="77777777" w:rsidR="003F0EEA" w:rsidRPr="006209D7" w:rsidRDefault="003F0EEA">
            <w:pPr>
              <w:rPr>
                <w:rFonts w:ascii="Arial" w:eastAsia="Arial" w:hAnsi="Arial" w:cs="Arial"/>
                <w:color w:val="000000"/>
                <w:sz w:val="16"/>
                <w:vertAlign w:val="superscript"/>
              </w:rPr>
            </w:pP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2BB811AA" w14:textId="77777777" w:rsidR="003F0EEA" w:rsidRPr="006209D7" w:rsidRDefault="003F0EEA">
            <w:pPr>
              <w:rPr>
                <w:rFonts w:ascii="Arial" w:eastAsia="Arial" w:hAnsi="Arial" w:cs="Arial"/>
                <w:color w:val="000000"/>
                <w:sz w:val="16"/>
                <w:vertAlign w:val="superscript"/>
              </w:rPr>
            </w:pPr>
          </w:p>
        </w:tc>
      </w:tr>
      <w:tr w:rsidR="00FB7D0B" w14:paraId="392AA574" w14:textId="77777777" w:rsidTr="00FB7D0B">
        <w:trPr>
          <w:trHeight w:val="225"/>
        </w:trPr>
        <w:tc>
          <w:tcPr>
            <w:tcW w:w="180" w:type="dxa"/>
            <w:tcBorders>
              <w:top w:val="nil"/>
              <w:left w:val="nil"/>
              <w:bottom w:val="nil"/>
              <w:right w:val="nil"/>
              <w:tl2br w:val="nil"/>
              <w:tr2bl w:val="nil"/>
            </w:tcBorders>
            <w:shd w:val="clear" w:color="auto" w:fill="FFFFFF"/>
            <w:tcMar>
              <w:left w:w="101" w:type="dxa"/>
              <w:right w:w="101" w:type="dxa"/>
            </w:tcMar>
            <w:vAlign w:val="bottom"/>
          </w:tcPr>
          <w:p w14:paraId="0AA316BD" w14:textId="77777777" w:rsidR="003F0EEA" w:rsidRPr="006209D7" w:rsidRDefault="003F0EEA">
            <w:pPr>
              <w:rPr>
                <w:rFonts w:ascii="Arial" w:eastAsia="Arial" w:hAnsi="Arial" w:cs="Arial"/>
                <w:color w:val="000000"/>
                <w:sz w:val="16"/>
                <w:vertAlign w:val="superscript"/>
              </w:rPr>
            </w:pPr>
          </w:p>
        </w:tc>
        <w:tc>
          <w:tcPr>
            <w:tcW w:w="2880" w:type="dxa"/>
            <w:gridSpan w:val="2"/>
            <w:tcBorders>
              <w:top w:val="nil"/>
              <w:left w:val="nil"/>
              <w:bottom w:val="nil"/>
              <w:right w:val="nil"/>
              <w:tl2br w:val="nil"/>
              <w:tr2bl w:val="nil"/>
            </w:tcBorders>
            <w:shd w:val="clear" w:color="auto" w:fill="FFFFFF"/>
            <w:tcMar>
              <w:left w:w="101" w:type="dxa"/>
              <w:right w:w="101" w:type="dxa"/>
            </w:tcMar>
            <w:vAlign w:val="bottom"/>
          </w:tcPr>
          <w:p w14:paraId="2DAC06E9" w14:textId="77777777" w:rsidR="003F0EEA" w:rsidRPr="006209D7" w:rsidRDefault="00FB7D0B">
            <w:pPr>
              <w:rPr>
                <w:rFonts w:ascii="Arial" w:eastAsia="Arial" w:hAnsi="Arial" w:cs="Arial"/>
                <w:color w:val="000000"/>
                <w:sz w:val="16"/>
                <w:vertAlign w:val="superscript"/>
              </w:rPr>
            </w:pPr>
            <w:r w:rsidRPr="006209D7">
              <w:rPr>
                <w:rFonts w:ascii="Arial" w:eastAsia="Arial" w:hAnsi="Arial" w:cs="Arial"/>
                <w:b/>
                <w:color w:val="000000"/>
                <w:sz w:val="16"/>
              </w:rPr>
              <w:t>revenue appropriations</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3B91DF9A" w14:textId="77777777" w:rsidR="003F0EEA" w:rsidRPr="006209D7" w:rsidRDefault="00FB7D0B">
            <w:pPr>
              <w:jc w:val="right"/>
              <w:rPr>
                <w:rFonts w:ascii="Arial" w:eastAsia="Arial" w:hAnsi="Arial" w:cs="Arial"/>
                <w:b/>
                <w:color w:val="000000"/>
                <w:sz w:val="16"/>
                <w:vertAlign w:val="superscript"/>
              </w:rPr>
            </w:pPr>
            <w:r w:rsidRPr="006209D7">
              <w:rPr>
                <w:rFonts w:ascii="Arial" w:eastAsia="Arial" w:hAnsi="Arial" w:cs="Arial"/>
                <w:b/>
                <w:color w:val="000000"/>
                <w:sz w:val="16"/>
              </w:rPr>
              <w:t xml:space="preserve"> (28,996)</w:t>
            </w:r>
          </w:p>
        </w:tc>
        <w:tc>
          <w:tcPr>
            <w:tcW w:w="915" w:type="dxa"/>
            <w:tcBorders>
              <w:top w:val="nil"/>
              <w:left w:val="nil"/>
              <w:bottom w:val="nil"/>
              <w:right w:val="nil"/>
              <w:tl2br w:val="nil"/>
              <w:tr2bl w:val="nil"/>
            </w:tcBorders>
            <w:shd w:val="clear" w:color="auto" w:fill="FFFF00"/>
            <w:tcMar>
              <w:left w:w="101" w:type="dxa"/>
              <w:right w:w="101" w:type="dxa"/>
            </w:tcMar>
            <w:vAlign w:val="bottom"/>
          </w:tcPr>
          <w:p w14:paraId="663BF14F" w14:textId="77777777" w:rsidR="003F0EEA" w:rsidRPr="006209D7" w:rsidRDefault="00FB7D0B">
            <w:pPr>
              <w:jc w:val="right"/>
              <w:rPr>
                <w:rFonts w:ascii="Arial" w:eastAsia="Arial" w:hAnsi="Arial" w:cs="Arial"/>
                <w:b/>
                <w:color w:val="000000"/>
                <w:sz w:val="16"/>
              </w:rPr>
            </w:pPr>
            <w:r w:rsidRPr="006209D7">
              <w:rPr>
                <w:rFonts w:ascii="Arial" w:eastAsia="Arial" w:hAnsi="Arial" w:cs="Arial"/>
                <w:b/>
                <w:color w:val="000000"/>
                <w:sz w:val="16"/>
              </w:rPr>
              <w:t xml:space="preserve"> (32,590)</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24A53FCA" w14:textId="77777777" w:rsidR="003F0EEA" w:rsidRPr="006209D7" w:rsidRDefault="00FB7D0B">
            <w:pPr>
              <w:jc w:val="right"/>
              <w:rPr>
                <w:rFonts w:ascii="Arial" w:eastAsia="Arial" w:hAnsi="Arial" w:cs="Arial"/>
                <w:b/>
                <w:color w:val="000000"/>
                <w:sz w:val="16"/>
              </w:rPr>
            </w:pPr>
            <w:r w:rsidRPr="006209D7">
              <w:rPr>
                <w:rFonts w:ascii="Arial" w:eastAsia="Arial" w:hAnsi="Arial" w:cs="Arial"/>
                <w:b/>
                <w:color w:val="000000"/>
                <w:sz w:val="16"/>
              </w:rPr>
              <w:t xml:space="preserve"> (29,566)</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728CE4EC" w14:textId="77777777" w:rsidR="003F0EEA" w:rsidRPr="006209D7" w:rsidRDefault="00FB7D0B">
            <w:pPr>
              <w:jc w:val="right"/>
              <w:rPr>
                <w:rFonts w:ascii="Arial" w:eastAsia="Arial" w:hAnsi="Arial" w:cs="Arial"/>
                <w:b/>
                <w:color w:val="000000"/>
                <w:sz w:val="16"/>
              </w:rPr>
            </w:pPr>
            <w:r w:rsidRPr="006209D7">
              <w:rPr>
                <w:rFonts w:ascii="Arial" w:eastAsia="Arial" w:hAnsi="Arial" w:cs="Arial"/>
                <w:b/>
                <w:color w:val="000000"/>
                <w:sz w:val="16"/>
              </w:rPr>
              <w:t xml:space="preserve"> (27,045)</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223728F3" w14:textId="77777777" w:rsidR="003F0EEA" w:rsidRPr="006209D7" w:rsidRDefault="00FB7D0B">
            <w:pPr>
              <w:jc w:val="right"/>
              <w:rPr>
                <w:rFonts w:ascii="Arial" w:eastAsia="Arial" w:hAnsi="Arial" w:cs="Arial"/>
                <w:b/>
                <w:color w:val="000000"/>
                <w:sz w:val="16"/>
              </w:rPr>
            </w:pPr>
            <w:r w:rsidRPr="006209D7">
              <w:rPr>
                <w:rFonts w:ascii="Arial" w:eastAsia="Arial" w:hAnsi="Arial" w:cs="Arial"/>
                <w:b/>
                <w:color w:val="000000"/>
                <w:sz w:val="16"/>
              </w:rPr>
              <w:t xml:space="preserve"> (22,455)</w:t>
            </w:r>
          </w:p>
        </w:tc>
      </w:tr>
      <w:tr w:rsidR="00724034" w14:paraId="43F7AA03" w14:textId="77777777">
        <w:trPr>
          <w:trHeight w:val="225"/>
        </w:trPr>
        <w:tc>
          <w:tcPr>
            <w:tcW w:w="180" w:type="dxa"/>
            <w:tcBorders>
              <w:top w:val="nil"/>
              <w:left w:val="nil"/>
              <w:bottom w:val="nil"/>
              <w:right w:val="nil"/>
              <w:tl2br w:val="nil"/>
              <w:tr2bl w:val="nil"/>
            </w:tcBorders>
            <w:shd w:val="clear" w:color="auto" w:fill="FFFFFF"/>
            <w:tcMar>
              <w:left w:w="101" w:type="dxa"/>
              <w:right w:w="101" w:type="dxa"/>
            </w:tcMar>
            <w:vAlign w:val="bottom"/>
          </w:tcPr>
          <w:p w14:paraId="341A2F4E" w14:textId="77777777" w:rsidR="003F0EEA" w:rsidRPr="006209D7" w:rsidRDefault="003F0EEA">
            <w:pPr>
              <w:rPr>
                <w:rFonts w:ascii="Arial" w:eastAsia="Arial" w:hAnsi="Arial" w:cs="Arial"/>
                <w:b/>
                <w:color w:val="000000"/>
                <w:sz w:val="16"/>
              </w:rPr>
            </w:pPr>
          </w:p>
        </w:tc>
        <w:tc>
          <w:tcPr>
            <w:tcW w:w="180" w:type="dxa"/>
            <w:tcBorders>
              <w:top w:val="nil"/>
              <w:left w:val="nil"/>
              <w:bottom w:val="nil"/>
              <w:right w:val="nil"/>
              <w:tl2br w:val="nil"/>
              <w:tr2bl w:val="nil"/>
            </w:tcBorders>
            <w:shd w:val="clear" w:color="auto" w:fill="FFFFFF"/>
            <w:tcMar>
              <w:left w:w="101" w:type="dxa"/>
              <w:right w:w="101" w:type="dxa"/>
            </w:tcMar>
            <w:vAlign w:val="bottom"/>
          </w:tcPr>
          <w:p w14:paraId="6B9586D8" w14:textId="77777777" w:rsidR="003F0EEA" w:rsidRPr="006209D7" w:rsidRDefault="003F0EEA">
            <w:pPr>
              <w:rPr>
                <w:rFonts w:ascii="Arial" w:eastAsia="Arial" w:hAnsi="Arial" w:cs="Arial"/>
                <w:color w:val="000000"/>
                <w:sz w:val="16"/>
              </w:rPr>
            </w:pPr>
          </w:p>
        </w:tc>
        <w:tc>
          <w:tcPr>
            <w:tcW w:w="2700" w:type="dxa"/>
            <w:tcBorders>
              <w:top w:val="nil"/>
              <w:left w:val="nil"/>
              <w:bottom w:val="nil"/>
              <w:right w:val="nil"/>
              <w:tl2br w:val="nil"/>
              <w:tr2bl w:val="nil"/>
            </w:tcBorders>
            <w:shd w:val="clear" w:color="auto" w:fill="FFFFFF"/>
            <w:tcMar>
              <w:left w:w="101" w:type="dxa"/>
              <w:right w:w="101" w:type="dxa"/>
            </w:tcMar>
            <w:vAlign w:val="bottom"/>
          </w:tcPr>
          <w:p w14:paraId="6262FF8F" w14:textId="77777777" w:rsidR="003F0EEA" w:rsidRPr="006209D7" w:rsidRDefault="003F0EEA">
            <w:pPr>
              <w:rPr>
                <w:rFonts w:ascii="Arial" w:eastAsia="Arial" w:hAnsi="Arial" w:cs="Arial"/>
                <w:b/>
                <w:color w:val="000000"/>
                <w:sz w:val="16"/>
              </w:rPr>
            </w:pP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0AF2EACB" w14:textId="77777777" w:rsidR="003F0EEA" w:rsidRPr="006209D7" w:rsidRDefault="003F0EEA">
            <w:pPr>
              <w:rPr>
                <w:rFonts w:ascii="Arial" w:eastAsia="Arial" w:hAnsi="Arial" w:cs="Arial"/>
                <w:b/>
                <w:color w:val="000000"/>
                <w:sz w:val="16"/>
                <w:vertAlign w:val="superscript"/>
              </w:rPr>
            </w:pPr>
          </w:p>
        </w:tc>
        <w:tc>
          <w:tcPr>
            <w:tcW w:w="915" w:type="dxa"/>
            <w:tcBorders>
              <w:top w:val="nil"/>
              <w:left w:val="nil"/>
              <w:bottom w:val="nil"/>
              <w:right w:val="nil"/>
              <w:tl2br w:val="nil"/>
              <w:tr2bl w:val="nil"/>
            </w:tcBorders>
            <w:shd w:val="clear" w:color="auto" w:fill="FFFF00"/>
            <w:tcMar>
              <w:left w:w="101" w:type="dxa"/>
              <w:right w:w="101" w:type="dxa"/>
            </w:tcMar>
            <w:vAlign w:val="bottom"/>
          </w:tcPr>
          <w:p w14:paraId="2426190F" w14:textId="77777777" w:rsidR="003F0EEA" w:rsidRPr="006209D7" w:rsidRDefault="003F0EEA">
            <w:pPr>
              <w:rPr>
                <w:rFonts w:ascii="Arial" w:eastAsia="Arial" w:hAnsi="Arial" w:cs="Arial"/>
                <w:b/>
                <w:color w:val="000000"/>
                <w:sz w:val="16"/>
                <w:vertAlign w:val="superscript"/>
              </w:rPr>
            </w:pP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649C0779" w14:textId="77777777" w:rsidR="003F0EEA" w:rsidRPr="006209D7" w:rsidRDefault="003F0EEA">
            <w:pPr>
              <w:rPr>
                <w:rFonts w:ascii="Arial" w:eastAsia="Arial" w:hAnsi="Arial" w:cs="Arial"/>
                <w:b/>
                <w:color w:val="000000"/>
                <w:sz w:val="16"/>
                <w:vertAlign w:val="superscript"/>
              </w:rPr>
            </w:pP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50D7A18B" w14:textId="77777777" w:rsidR="003F0EEA" w:rsidRPr="006209D7" w:rsidRDefault="003F0EEA">
            <w:pPr>
              <w:rPr>
                <w:rFonts w:ascii="Arial" w:eastAsia="Arial" w:hAnsi="Arial" w:cs="Arial"/>
                <w:b/>
                <w:color w:val="000000"/>
                <w:sz w:val="16"/>
                <w:vertAlign w:val="superscript"/>
              </w:rPr>
            </w:pP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7B5D439C" w14:textId="77777777" w:rsidR="003F0EEA" w:rsidRPr="006209D7" w:rsidRDefault="003F0EEA">
            <w:pPr>
              <w:rPr>
                <w:rFonts w:ascii="Arial" w:eastAsia="Arial" w:hAnsi="Arial" w:cs="Arial"/>
                <w:b/>
                <w:color w:val="000000"/>
                <w:sz w:val="16"/>
                <w:vertAlign w:val="superscript"/>
              </w:rPr>
            </w:pPr>
          </w:p>
        </w:tc>
      </w:tr>
      <w:tr w:rsidR="00FB7D0B" w14:paraId="6A223C84" w14:textId="77777777" w:rsidTr="00FB7D0B">
        <w:trPr>
          <w:trHeight w:val="225"/>
        </w:trPr>
        <w:tc>
          <w:tcPr>
            <w:tcW w:w="3060" w:type="dxa"/>
            <w:gridSpan w:val="3"/>
            <w:tcBorders>
              <w:top w:val="nil"/>
              <w:left w:val="nil"/>
              <w:bottom w:val="nil"/>
              <w:right w:val="nil"/>
              <w:tl2br w:val="nil"/>
              <w:tr2bl w:val="nil"/>
            </w:tcBorders>
            <w:shd w:val="clear" w:color="auto" w:fill="FFFFFF"/>
            <w:tcMar>
              <w:left w:w="101" w:type="dxa"/>
              <w:right w:w="101" w:type="dxa"/>
            </w:tcMar>
            <w:vAlign w:val="bottom"/>
          </w:tcPr>
          <w:p w14:paraId="0F421620" w14:textId="77777777" w:rsidR="003F0EEA" w:rsidRPr="006209D7" w:rsidRDefault="00FB7D0B">
            <w:pPr>
              <w:rPr>
                <w:rFonts w:ascii="Arial" w:eastAsia="Arial" w:hAnsi="Arial" w:cs="Arial"/>
                <w:b/>
                <w:color w:val="000000"/>
                <w:sz w:val="16"/>
                <w:vertAlign w:val="superscript"/>
              </w:rPr>
            </w:pPr>
            <w:r w:rsidRPr="006209D7">
              <w:rPr>
                <w:rFonts w:ascii="Arial" w:eastAsia="Arial" w:hAnsi="Arial" w:cs="Arial"/>
                <w:color w:val="000000"/>
                <w:sz w:val="16"/>
              </w:rPr>
              <w:t>plus depreciation/amortisation expenses</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755785B7" w14:textId="77777777" w:rsidR="003F0EEA" w:rsidRPr="006209D7" w:rsidRDefault="003F0EEA">
            <w:pPr>
              <w:rPr>
                <w:rFonts w:ascii="Arial" w:eastAsia="Arial" w:hAnsi="Arial" w:cs="Arial"/>
                <w:color w:val="000000"/>
                <w:sz w:val="16"/>
                <w:vertAlign w:val="superscript"/>
              </w:rPr>
            </w:pPr>
          </w:p>
        </w:tc>
        <w:tc>
          <w:tcPr>
            <w:tcW w:w="915" w:type="dxa"/>
            <w:tcBorders>
              <w:top w:val="nil"/>
              <w:left w:val="nil"/>
              <w:bottom w:val="nil"/>
              <w:right w:val="nil"/>
              <w:tl2br w:val="nil"/>
              <w:tr2bl w:val="nil"/>
            </w:tcBorders>
            <w:shd w:val="clear" w:color="auto" w:fill="FFFF00"/>
            <w:tcMar>
              <w:left w:w="101" w:type="dxa"/>
              <w:right w:w="101" w:type="dxa"/>
            </w:tcMar>
            <w:vAlign w:val="bottom"/>
          </w:tcPr>
          <w:p w14:paraId="39B1B13F" w14:textId="77777777" w:rsidR="003F0EEA" w:rsidRPr="006209D7" w:rsidRDefault="003F0EEA">
            <w:pPr>
              <w:rPr>
                <w:rFonts w:ascii="Arial" w:eastAsia="Arial" w:hAnsi="Arial" w:cs="Arial"/>
                <w:color w:val="000000"/>
                <w:sz w:val="16"/>
                <w:vertAlign w:val="superscript"/>
              </w:rPr>
            </w:pP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70E989C9" w14:textId="77777777" w:rsidR="003F0EEA" w:rsidRPr="006209D7" w:rsidRDefault="003F0EEA">
            <w:pPr>
              <w:rPr>
                <w:rFonts w:ascii="Arial" w:eastAsia="Arial" w:hAnsi="Arial" w:cs="Arial"/>
                <w:color w:val="000000"/>
                <w:sz w:val="16"/>
                <w:vertAlign w:val="superscript"/>
              </w:rPr>
            </w:pP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4A57E44C" w14:textId="77777777" w:rsidR="003F0EEA" w:rsidRPr="006209D7" w:rsidRDefault="003F0EEA">
            <w:pPr>
              <w:rPr>
                <w:rFonts w:ascii="Arial" w:eastAsia="Arial" w:hAnsi="Arial" w:cs="Arial"/>
                <w:color w:val="000000"/>
                <w:sz w:val="16"/>
                <w:vertAlign w:val="superscript"/>
              </w:rPr>
            </w:pP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28DE1040" w14:textId="77777777" w:rsidR="003F0EEA" w:rsidRPr="006209D7" w:rsidRDefault="003F0EEA">
            <w:pPr>
              <w:rPr>
                <w:rFonts w:ascii="Arial" w:eastAsia="Arial" w:hAnsi="Arial" w:cs="Arial"/>
                <w:color w:val="000000"/>
                <w:sz w:val="16"/>
                <w:vertAlign w:val="superscript"/>
              </w:rPr>
            </w:pPr>
          </w:p>
        </w:tc>
      </w:tr>
      <w:tr w:rsidR="00FB7D0B" w14:paraId="305D5A39" w14:textId="77777777" w:rsidTr="00FB7D0B">
        <w:trPr>
          <w:trHeight w:val="225"/>
        </w:trPr>
        <w:tc>
          <w:tcPr>
            <w:tcW w:w="180" w:type="dxa"/>
            <w:tcBorders>
              <w:top w:val="nil"/>
              <w:left w:val="nil"/>
              <w:bottom w:val="nil"/>
              <w:right w:val="nil"/>
              <w:tl2br w:val="nil"/>
              <w:tr2bl w:val="nil"/>
            </w:tcBorders>
            <w:shd w:val="clear" w:color="auto" w:fill="FFFFFF"/>
            <w:tcMar>
              <w:left w:w="101" w:type="dxa"/>
              <w:right w:w="101" w:type="dxa"/>
            </w:tcMar>
            <w:vAlign w:val="bottom"/>
          </w:tcPr>
          <w:p w14:paraId="3E7888EB" w14:textId="77777777" w:rsidR="003F0EEA" w:rsidRPr="006209D7" w:rsidRDefault="003F0EEA">
            <w:pPr>
              <w:rPr>
                <w:rFonts w:ascii="Arial" w:eastAsia="Arial" w:hAnsi="Arial" w:cs="Arial"/>
                <w:color w:val="000000"/>
                <w:sz w:val="16"/>
                <w:vertAlign w:val="superscript"/>
              </w:rPr>
            </w:pPr>
          </w:p>
        </w:tc>
        <w:tc>
          <w:tcPr>
            <w:tcW w:w="2880" w:type="dxa"/>
            <w:gridSpan w:val="2"/>
            <w:tcBorders>
              <w:top w:val="nil"/>
              <w:left w:val="nil"/>
              <w:bottom w:val="nil"/>
              <w:right w:val="nil"/>
              <w:tl2br w:val="nil"/>
              <w:tr2bl w:val="nil"/>
            </w:tcBorders>
            <w:shd w:val="clear" w:color="auto" w:fill="FFFFFF"/>
            <w:tcMar>
              <w:left w:w="101" w:type="dxa"/>
              <w:right w:w="101" w:type="dxa"/>
            </w:tcMar>
            <w:vAlign w:val="bottom"/>
          </w:tcPr>
          <w:p w14:paraId="3129679A" w14:textId="77777777" w:rsidR="003F0EEA" w:rsidRPr="006209D7" w:rsidRDefault="00FB7D0B">
            <w:pPr>
              <w:rPr>
                <w:rFonts w:ascii="Arial" w:eastAsia="Arial" w:hAnsi="Arial" w:cs="Arial"/>
                <w:color w:val="000000"/>
                <w:sz w:val="16"/>
                <w:vertAlign w:val="superscript"/>
              </w:rPr>
            </w:pPr>
            <w:r w:rsidRPr="006209D7">
              <w:rPr>
                <w:rFonts w:ascii="Arial" w:eastAsia="Arial" w:hAnsi="Arial" w:cs="Arial"/>
                <w:color w:val="000000"/>
                <w:sz w:val="16"/>
              </w:rPr>
              <w:t>previously funded through revenue</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1C785CAF" w14:textId="77777777" w:rsidR="003F0EEA" w:rsidRPr="006209D7" w:rsidRDefault="003F0EEA">
            <w:pPr>
              <w:rPr>
                <w:rFonts w:ascii="Arial" w:eastAsia="Arial" w:hAnsi="Arial" w:cs="Arial"/>
                <w:color w:val="000000"/>
                <w:sz w:val="16"/>
                <w:vertAlign w:val="superscript"/>
              </w:rPr>
            </w:pPr>
          </w:p>
        </w:tc>
        <w:tc>
          <w:tcPr>
            <w:tcW w:w="915" w:type="dxa"/>
            <w:tcBorders>
              <w:top w:val="nil"/>
              <w:left w:val="nil"/>
              <w:bottom w:val="nil"/>
              <w:right w:val="nil"/>
              <w:tl2br w:val="nil"/>
              <w:tr2bl w:val="nil"/>
            </w:tcBorders>
            <w:shd w:val="clear" w:color="auto" w:fill="FFFF00"/>
            <w:tcMar>
              <w:left w:w="101" w:type="dxa"/>
              <w:right w:w="101" w:type="dxa"/>
            </w:tcMar>
            <w:vAlign w:val="bottom"/>
          </w:tcPr>
          <w:p w14:paraId="508861F7" w14:textId="77777777" w:rsidR="003F0EEA" w:rsidRPr="006209D7" w:rsidRDefault="003F0EEA">
            <w:pPr>
              <w:rPr>
                <w:rFonts w:ascii="Arial" w:eastAsia="Arial" w:hAnsi="Arial" w:cs="Arial"/>
                <w:color w:val="000000"/>
                <w:sz w:val="16"/>
                <w:vertAlign w:val="superscript"/>
              </w:rPr>
            </w:pP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1B232A02" w14:textId="77777777" w:rsidR="003F0EEA" w:rsidRPr="006209D7" w:rsidRDefault="003F0EEA">
            <w:pPr>
              <w:rPr>
                <w:rFonts w:ascii="Arial" w:eastAsia="Arial" w:hAnsi="Arial" w:cs="Arial"/>
                <w:color w:val="000000"/>
                <w:sz w:val="16"/>
                <w:vertAlign w:val="superscript"/>
              </w:rPr>
            </w:pP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2F0F4A12" w14:textId="77777777" w:rsidR="003F0EEA" w:rsidRPr="006209D7" w:rsidRDefault="003F0EEA">
            <w:pPr>
              <w:rPr>
                <w:rFonts w:ascii="Arial" w:eastAsia="Arial" w:hAnsi="Arial" w:cs="Arial"/>
                <w:color w:val="000000"/>
                <w:sz w:val="16"/>
                <w:vertAlign w:val="superscript"/>
              </w:rPr>
            </w:pP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789968FB" w14:textId="77777777" w:rsidR="003F0EEA" w:rsidRPr="006209D7" w:rsidRDefault="003F0EEA">
            <w:pPr>
              <w:rPr>
                <w:rFonts w:ascii="Arial" w:eastAsia="Arial" w:hAnsi="Arial" w:cs="Arial"/>
                <w:color w:val="000000"/>
                <w:sz w:val="16"/>
                <w:vertAlign w:val="superscript"/>
              </w:rPr>
            </w:pPr>
          </w:p>
        </w:tc>
      </w:tr>
      <w:tr w:rsidR="00FB7D0B" w14:paraId="4C84E5D7" w14:textId="77777777" w:rsidTr="00FB7D0B">
        <w:trPr>
          <w:trHeight w:val="225"/>
        </w:trPr>
        <w:tc>
          <w:tcPr>
            <w:tcW w:w="180" w:type="dxa"/>
            <w:tcBorders>
              <w:top w:val="nil"/>
              <w:left w:val="nil"/>
              <w:bottom w:val="nil"/>
              <w:right w:val="nil"/>
              <w:tl2br w:val="nil"/>
              <w:tr2bl w:val="nil"/>
            </w:tcBorders>
            <w:shd w:val="clear" w:color="auto" w:fill="FFFFFF"/>
            <w:tcMar>
              <w:left w:w="101" w:type="dxa"/>
              <w:right w:w="101" w:type="dxa"/>
            </w:tcMar>
            <w:vAlign w:val="bottom"/>
          </w:tcPr>
          <w:p w14:paraId="085B0C0F" w14:textId="77777777" w:rsidR="003F0EEA" w:rsidRPr="006209D7" w:rsidRDefault="003F0EEA">
            <w:pPr>
              <w:rPr>
                <w:rFonts w:ascii="Arial" w:eastAsia="Arial" w:hAnsi="Arial" w:cs="Arial"/>
                <w:color w:val="000000"/>
                <w:sz w:val="16"/>
                <w:vertAlign w:val="superscript"/>
              </w:rPr>
            </w:pPr>
          </w:p>
        </w:tc>
        <w:tc>
          <w:tcPr>
            <w:tcW w:w="2880" w:type="dxa"/>
            <w:gridSpan w:val="2"/>
            <w:tcBorders>
              <w:top w:val="nil"/>
              <w:left w:val="nil"/>
              <w:bottom w:val="nil"/>
              <w:right w:val="nil"/>
              <w:tl2br w:val="nil"/>
              <w:tr2bl w:val="nil"/>
            </w:tcBorders>
            <w:shd w:val="clear" w:color="auto" w:fill="FFFFFF"/>
            <w:tcMar>
              <w:left w:w="101" w:type="dxa"/>
              <w:right w:w="101" w:type="dxa"/>
            </w:tcMar>
            <w:vAlign w:val="bottom"/>
          </w:tcPr>
          <w:p w14:paraId="27EA5CA3" w14:textId="77777777" w:rsidR="003F0EEA" w:rsidRPr="006209D7" w:rsidRDefault="00FB7D0B">
            <w:pPr>
              <w:rPr>
                <w:rFonts w:ascii="Arial" w:eastAsia="Arial" w:hAnsi="Arial" w:cs="Arial"/>
                <w:color w:val="000000"/>
                <w:sz w:val="16"/>
                <w:vertAlign w:val="superscript"/>
              </w:rPr>
            </w:pPr>
            <w:r w:rsidRPr="006209D7">
              <w:rPr>
                <w:rFonts w:ascii="Arial" w:eastAsia="Arial" w:hAnsi="Arial" w:cs="Arial"/>
                <w:color w:val="000000"/>
                <w:sz w:val="16"/>
              </w:rPr>
              <w:t>appropriations</w:t>
            </w:r>
            <w:r w:rsidRPr="006209D7">
              <w:rPr>
                <w:rFonts w:ascii="Arial" w:eastAsia="Arial" w:hAnsi="Arial" w:cs="Arial"/>
                <w:color w:val="000000"/>
                <w:sz w:val="16"/>
                <w:vertAlign w:val="superscript"/>
              </w:rPr>
              <w:t>1 </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64F0B41A" w14:textId="77777777" w:rsidR="003F0EEA" w:rsidRPr="006209D7" w:rsidRDefault="00FB7D0B">
            <w:pPr>
              <w:jc w:val="right"/>
              <w:rPr>
                <w:rFonts w:ascii="Arial" w:eastAsia="Arial" w:hAnsi="Arial" w:cs="Arial"/>
                <w:color w:val="000000"/>
                <w:sz w:val="16"/>
                <w:vertAlign w:val="superscript"/>
              </w:rPr>
            </w:pPr>
            <w:r w:rsidRPr="006209D7">
              <w:rPr>
                <w:rFonts w:ascii="Arial" w:eastAsia="Arial" w:hAnsi="Arial" w:cs="Arial"/>
                <w:color w:val="000000"/>
                <w:sz w:val="16"/>
              </w:rPr>
              <w:t xml:space="preserve"> 28,996 </w:t>
            </w:r>
          </w:p>
        </w:tc>
        <w:tc>
          <w:tcPr>
            <w:tcW w:w="915" w:type="dxa"/>
            <w:tcBorders>
              <w:top w:val="nil"/>
              <w:left w:val="nil"/>
              <w:bottom w:val="nil"/>
              <w:right w:val="nil"/>
              <w:tl2br w:val="nil"/>
              <w:tr2bl w:val="nil"/>
            </w:tcBorders>
            <w:shd w:val="clear" w:color="auto" w:fill="FFFF00"/>
            <w:tcMar>
              <w:left w:w="101" w:type="dxa"/>
              <w:right w:w="101" w:type="dxa"/>
            </w:tcMar>
            <w:vAlign w:val="bottom"/>
          </w:tcPr>
          <w:p w14:paraId="013A2FF4" w14:textId="77777777" w:rsidR="003F0EEA" w:rsidRPr="006209D7" w:rsidRDefault="00FB7D0B">
            <w:pPr>
              <w:jc w:val="right"/>
              <w:rPr>
                <w:rFonts w:ascii="Arial" w:eastAsia="Arial" w:hAnsi="Arial" w:cs="Arial"/>
                <w:color w:val="000000"/>
                <w:sz w:val="16"/>
              </w:rPr>
            </w:pPr>
            <w:r w:rsidRPr="006209D7">
              <w:rPr>
                <w:rFonts w:ascii="Arial" w:eastAsia="Arial" w:hAnsi="Arial" w:cs="Arial"/>
                <w:color w:val="000000"/>
                <w:sz w:val="16"/>
              </w:rPr>
              <w:t xml:space="preserve"> 32,590 </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304E4356" w14:textId="77777777" w:rsidR="003F0EEA" w:rsidRPr="006209D7" w:rsidRDefault="00FB7D0B">
            <w:pPr>
              <w:jc w:val="right"/>
              <w:rPr>
                <w:rFonts w:ascii="Arial" w:eastAsia="Arial" w:hAnsi="Arial" w:cs="Arial"/>
                <w:color w:val="000000"/>
                <w:sz w:val="16"/>
              </w:rPr>
            </w:pPr>
            <w:r w:rsidRPr="006209D7">
              <w:rPr>
                <w:rFonts w:ascii="Arial" w:eastAsia="Arial" w:hAnsi="Arial" w:cs="Arial"/>
                <w:color w:val="000000"/>
                <w:sz w:val="16"/>
              </w:rPr>
              <w:t xml:space="preserve"> 29,566 </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457A0DB7" w14:textId="77777777" w:rsidR="003F0EEA" w:rsidRPr="006209D7" w:rsidRDefault="00FB7D0B">
            <w:pPr>
              <w:jc w:val="right"/>
              <w:rPr>
                <w:rFonts w:ascii="Arial" w:eastAsia="Arial" w:hAnsi="Arial" w:cs="Arial"/>
                <w:color w:val="000000"/>
                <w:sz w:val="16"/>
              </w:rPr>
            </w:pPr>
            <w:r w:rsidRPr="006209D7">
              <w:rPr>
                <w:rFonts w:ascii="Arial" w:eastAsia="Arial" w:hAnsi="Arial" w:cs="Arial"/>
                <w:color w:val="000000"/>
                <w:sz w:val="16"/>
              </w:rPr>
              <w:t xml:space="preserve"> 27,045 </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766CF1CB" w14:textId="77777777" w:rsidR="003F0EEA" w:rsidRPr="006209D7" w:rsidRDefault="00FB7D0B">
            <w:pPr>
              <w:jc w:val="right"/>
              <w:rPr>
                <w:rFonts w:ascii="Arial" w:eastAsia="Arial" w:hAnsi="Arial" w:cs="Arial"/>
                <w:color w:val="000000"/>
                <w:sz w:val="16"/>
              </w:rPr>
            </w:pPr>
            <w:r w:rsidRPr="006209D7">
              <w:rPr>
                <w:rFonts w:ascii="Arial" w:eastAsia="Arial" w:hAnsi="Arial" w:cs="Arial"/>
                <w:color w:val="000000"/>
                <w:sz w:val="16"/>
              </w:rPr>
              <w:t xml:space="preserve"> 22,455 </w:t>
            </w:r>
          </w:p>
        </w:tc>
      </w:tr>
      <w:tr w:rsidR="00724034" w14:paraId="3F20AC59" w14:textId="77777777">
        <w:trPr>
          <w:trHeight w:val="225"/>
        </w:trPr>
        <w:tc>
          <w:tcPr>
            <w:tcW w:w="180" w:type="dxa"/>
            <w:tcBorders>
              <w:top w:val="nil"/>
              <w:left w:val="nil"/>
              <w:bottom w:val="nil"/>
              <w:right w:val="nil"/>
              <w:tl2br w:val="nil"/>
              <w:tr2bl w:val="nil"/>
            </w:tcBorders>
            <w:shd w:val="clear" w:color="auto" w:fill="FFFFFF"/>
            <w:tcMar>
              <w:left w:w="101" w:type="dxa"/>
              <w:right w:w="101" w:type="dxa"/>
            </w:tcMar>
            <w:vAlign w:val="bottom"/>
          </w:tcPr>
          <w:p w14:paraId="217254EE" w14:textId="77777777" w:rsidR="003F0EEA" w:rsidRPr="006209D7" w:rsidRDefault="003F0EEA">
            <w:pPr>
              <w:rPr>
                <w:rFonts w:ascii="Arial" w:eastAsia="Arial" w:hAnsi="Arial" w:cs="Arial"/>
                <w:color w:val="000000"/>
                <w:sz w:val="16"/>
              </w:rPr>
            </w:pPr>
          </w:p>
        </w:tc>
        <w:tc>
          <w:tcPr>
            <w:tcW w:w="180" w:type="dxa"/>
            <w:tcBorders>
              <w:top w:val="nil"/>
              <w:left w:val="nil"/>
              <w:bottom w:val="nil"/>
              <w:right w:val="nil"/>
              <w:tl2br w:val="nil"/>
              <w:tr2bl w:val="nil"/>
            </w:tcBorders>
            <w:shd w:val="clear" w:color="auto" w:fill="FFFFFF"/>
            <w:tcMar>
              <w:left w:w="101" w:type="dxa"/>
              <w:right w:w="101" w:type="dxa"/>
            </w:tcMar>
            <w:vAlign w:val="bottom"/>
          </w:tcPr>
          <w:p w14:paraId="3A30F08C" w14:textId="77777777" w:rsidR="003F0EEA" w:rsidRPr="006209D7" w:rsidRDefault="003F0EEA">
            <w:pPr>
              <w:rPr>
                <w:rFonts w:ascii="Arial" w:eastAsia="Arial" w:hAnsi="Arial" w:cs="Arial"/>
                <w:color w:val="000000"/>
                <w:sz w:val="16"/>
              </w:rPr>
            </w:pPr>
          </w:p>
        </w:tc>
        <w:tc>
          <w:tcPr>
            <w:tcW w:w="2700" w:type="dxa"/>
            <w:tcBorders>
              <w:top w:val="nil"/>
              <w:left w:val="nil"/>
              <w:bottom w:val="nil"/>
              <w:right w:val="nil"/>
              <w:tl2br w:val="nil"/>
              <w:tr2bl w:val="nil"/>
            </w:tcBorders>
            <w:shd w:val="clear" w:color="auto" w:fill="FFFFFF"/>
            <w:tcMar>
              <w:left w:w="101" w:type="dxa"/>
              <w:right w:w="101" w:type="dxa"/>
            </w:tcMar>
            <w:vAlign w:val="bottom"/>
          </w:tcPr>
          <w:p w14:paraId="02890CA5" w14:textId="77777777" w:rsidR="003F0EEA" w:rsidRPr="006209D7" w:rsidRDefault="003F0EEA">
            <w:pPr>
              <w:rPr>
                <w:rFonts w:ascii="Arial" w:eastAsia="Arial" w:hAnsi="Arial" w:cs="Arial"/>
                <w:color w:val="000000"/>
                <w:sz w:val="16"/>
              </w:rPr>
            </w:pP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5EB6CAFD" w14:textId="77777777" w:rsidR="003F0EEA" w:rsidRPr="006209D7" w:rsidRDefault="003F0EEA">
            <w:pPr>
              <w:rPr>
                <w:rFonts w:ascii="Arial" w:eastAsia="Arial" w:hAnsi="Arial" w:cs="Arial"/>
                <w:color w:val="000000"/>
                <w:sz w:val="16"/>
                <w:vertAlign w:val="superscript"/>
              </w:rPr>
            </w:pPr>
          </w:p>
        </w:tc>
        <w:tc>
          <w:tcPr>
            <w:tcW w:w="915" w:type="dxa"/>
            <w:tcBorders>
              <w:top w:val="nil"/>
              <w:left w:val="nil"/>
              <w:bottom w:val="nil"/>
              <w:right w:val="nil"/>
              <w:tl2br w:val="nil"/>
              <w:tr2bl w:val="nil"/>
            </w:tcBorders>
            <w:shd w:val="clear" w:color="auto" w:fill="FFFF00"/>
            <w:tcMar>
              <w:left w:w="101" w:type="dxa"/>
              <w:right w:w="101" w:type="dxa"/>
            </w:tcMar>
            <w:vAlign w:val="bottom"/>
          </w:tcPr>
          <w:p w14:paraId="25963CD5" w14:textId="77777777" w:rsidR="003F0EEA" w:rsidRPr="006209D7" w:rsidRDefault="003F0EEA">
            <w:pPr>
              <w:rPr>
                <w:rFonts w:ascii="Arial" w:eastAsia="Arial" w:hAnsi="Arial" w:cs="Arial"/>
                <w:color w:val="000000"/>
                <w:sz w:val="16"/>
                <w:vertAlign w:val="superscript"/>
              </w:rPr>
            </w:pP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0FA87799" w14:textId="77777777" w:rsidR="003F0EEA" w:rsidRPr="006209D7" w:rsidRDefault="003F0EEA">
            <w:pPr>
              <w:rPr>
                <w:rFonts w:ascii="Arial" w:eastAsia="Arial" w:hAnsi="Arial" w:cs="Arial"/>
                <w:color w:val="000000"/>
                <w:sz w:val="16"/>
                <w:vertAlign w:val="superscript"/>
              </w:rPr>
            </w:pP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4D00CF3F" w14:textId="77777777" w:rsidR="003F0EEA" w:rsidRPr="006209D7" w:rsidRDefault="003F0EEA">
            <w:pPr>
              <w:rPr>
                <w:rFonts w:ascii="Arial" w:eastAsia="Arial" w:hAnsi="Arial" w:cs="Arial"/>
                <w:color w:val="000000"/>
                <w:sz w:val="16"/>
                <w:vertAlign w:val="superscript"/>
              </w:rPr>
            </w:pP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331B733D" w14:textId="77777777" w:rsidR="003F0EEA" w:rsidRPr="006209D7" w:rsidRDefault="003F0EEA">
            <w:pPr>
              <w:rPr>
                <w:rFonts w:ascii="Arial" w:eastAsia="Arial" w:hAnsi="Arial" w:cs="Arial"/>
                <w:color w:val="000000"/>
                <w:sz w:val="16"/>
                <w:vertAlign w:val="superscript"/>
              </w:rPr>
            </w:pPr>
          </w:p>
        </w:tc>
      </w:tr>
      <w:tr w:rsidR="00FB7D0B" w14:paraId="2D48FA94" w14:textId="77777777" w:rsidTr="00FB7D0B">
        <w:trPr>
          <w:trHeight w:val="225"/>
        </w:trPr>
        <w:tc>
          <w:tcPr>
            <w:tcW w:w="3060" w:type="dxa"/>
            <w:gridSpan w:val="3"/>
            <w:tcBorders>
              <w:top w:val="nil"/>
              <w:left w:val="nil"/>
              <w:bottom w:val="nil"/>
              <w:right w:val="nil"/>
              <w:tl2br w:val="nil"/>
              <w:tr2bl w:val="nil"/>
            </w:tcBorders>
            <w:shd w:val="clear" w:color="auto" w:fill="FFFFFF"/>
            <w:tcMar>
              <w:left w:w="101" w:type="dxa"/>
              <w:right w:w="101" w:type="dxa"/>
            </w:tcMar>
            <w:vAlign w:val="bottom"/>
          </w:tcPr>
          <w:p w14:paraId="6380AD38" w14:textId="77777777" w:rsidR="003F0EEA" w:rsidRPr="006209D7" w:rsidRDefault="00FB7D0B">
            <w:pPr>
              <w:rPr>
                <w:rFonts w:ascii="Arial" w:eastAsia="Arial" w:hAnsi="Arial" w:cs="Arial"/>
                <w:color w:val="000000"/>
                <w:sz w:val="16"/>
                <w:vertAlign w:val="superscript"/>
              </w:rPr>
            </w:pPr>
            <w:r w:rsidRPr="006209D7">
              <w:rPr>
                <w:rFonts w:ascii="Arial" w:eastAsia="Arial" w:hAnsi="Arial" w:cs="Arial"/>
                <w:b/>
                <w:color w:val="000000"/>
                <w:sz w:val="16"/>
              </w:rPr>
              <w:t>Total Comprehensive Income</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5A8223D8" w14:textId="77777777" w:rsidR="003F0EEA" w:rsidRPr="006209D7" w:rsidRDefault="003F0EEA">
            <w:pPr>
              <w:rPr>
                <w:rFonts w:ascii="Arial" w:eastAsia="Arial" w:hAnsi="Arial" w:cs="Arial"/>
                <w:b/>
                <w:color w:val="000000"/>
                <w:sz w:val="16"/>
                <w:vertAlign w:val="superscript"/>
              </w:rPr>
            </w:pPr>
          </w:p>
        </w:tc>
        <w:tc>
          <w:tcPr>
            <w:tcW w:w="915" w:type="dxa"/>
            <w:tcBorders>
              <w:top w:val="nil"/>
              <w:left w:val="nil"/>
              <w:bottom w:val="nil"/>
              <w:right w:val="nil"/>
              <w:tl2br w:val="nil"/>
              <w:tr2bl w:val="nil"/>
            </w:tcBorders>
            <w:shd w:val="clear" w:color="auto" w:fill="FFFF00"/>
            <w:tcMar>
              <w:left w:w="101" w:type="dxa"/>
              <w:right w:w="101" w:type="dxa"/>
            </w:tcMar>
            <w:vAlign w:val="bottom"/>
          </w:tcPr>
          <w:p w14:paraId="4DA601E4" w14:textId="77777777" w:rsidR="003F0EEA" w:rsidRPr="006209D7" w:rsidRDefault="003F0EEA">
            <w:pPr>
              <w:rPr>
                <w:rFonts w:ascii="Arial" w:eastAsia="Arial" w:hAnsi="Arial" w:cs="Arial"/>
                <w:color w:val="000000"/>
                <w:sz w:val="16"/>
                <w:vertAlign w:val="superscript"/>
              </w:rPr>
            </w:pP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74A35B4C" w14:textId="77777777" w:rsidR="003F0EEA" w:rsidRPr="006209D7" w:rsidRDefault="003F0EEA">
            <w:pPr>
              <w:rPr>
                <w:rFonts w:ascii="Arial" w:eastAsia="Arial" w:hAnsi="Arial" w:cs="Arial"/>
                <w:color w:val="000000"/>
                <w:sz w:val="16"/>
                <w:vertAlign w:val="superscript"/>
              </w:rPr>
            </w:pP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39F259C9" w14:textId="77777777" w:rsidR="003F0EEA" w:rsidRPr="006209D7" w:rsidRDefault="003F0EEA">
            <w:pPr>
              <w:rPr>
                <w:rFonts w:ascii="Arial" w:eastAsia="Arial" w:hAnsi="Arial" w:cs="Arial"/>
                <w:color w:val="000000"/>
                <w:sz w:val="16"/>
                <w:vertAlign w:val="superscript"/>
              </w:rPr>
            </w:pP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216B5282" w14:textId="77777777" w:rsidR="003F0EEA" w:rsidRPr="006209D7" w:rsidRDefault="003F0EEA">
            <w:pPr>
              <w:rPr>
                <w:rFonts w:ascii="Arial" w:eastAsia="Arial" w:hAnsi="Arial" w:cs="Arial"/>
                <w:color w:val="000000"/>
                <w:sz w:val="16"/>
                <w:vertAlign w:val="superscript"/>
              </w:rPr>
            </w:pPr>
          </w:p>
        </w:tc>
      </w:tr>
      <w:tr w:rsidR="00FB7D0B" w14:paraId="0CB3E878" w14:textId="77777777" w:rsidTr="00FB7D0B">
        <w:trPr>
          <w:trHeight w:val="225"/>
        </w:trPr>
        <w:tc>
          <w:tcPr>
            <w:tcW w:w="180" w:type="dxa"/>
            <w:tcBorders>
              <w:top w:val="nil"/>
              <w:left w:val="nil"/>
              <w:bottom w:val="nil"/>
              <w:right w:val="nil"/>
              <w:tl2br w:val="nil"/>
              <w:tr2bl w:val="nil"/>
            </w:tcBorders>
            <w:shd w:val="clear" w:color="auto" w:fill="FFFFFF"/>
            <w:tcMar>
              <w:left w:w="101" w:type="dxa"/>
              <w:right w:w="101" w:type="dxa"/>
            </w:tcMar>
            <w:vAlign w:val="bottom"/>
          </w:tcPr>
          <w:p w14:paraId="63C1BFD4" w14:textId="77777777" w:rsidR="003F0EEA" w:rsidRPr="006209D7" w:rsidRDefault="003F0EEA">
            <w:pPr>
              <w:rPr>
                <w:rFonts w:ascii="Arial" w:eastAsia="Arial" w:hAnsi="Arial" w:cs="Arial"/>
                <w:color w:val="000000"/>
                <w:sz w:val="16"/>
                <w:vertAlign w:val="superscript"/>
              </w:rPr>
            </w:pPr>
          </w:p>
        </w:tc>
        <w:tc>
          <w:tcPr>
            <w:tcW w:w="2880" w:type="dxa"/>
            <w:gridSpan w:val="2"/>
            <w:tcBorders>
              <w:top w:val="nil"/>
              <w:left w:val="nil"/>
              <w:bottom w:val="nil"/>
              <w:right w:val="nil"/>
              <w:tl2br w:val="nil"/>
              <w:tr2bl w:val="nil"/>
            </w:tcBorders>
            <w:shd w:val="clear" w:color="auto" w:fill="FFFFFF"/>
            <w:tcMar>
              <w:left w:w="101" w:type="dxa"/>
              <w:right w:w="101" w:type="dxa"/>
            </w:tcMar>
            <w:vAlign w:val="bottom"/>
          </w:tcPr>
          <w:p w14:paraId="1AE90D79" w14:textId="77777777" w:rsidR="003F0EEA" w:rsidRPr="006209D7" w:rsidRDefault="00FB7D0B">
            <w:pPr>
              <w:rPr>
                <w:rFonts w:ascii="Arial" w:eastAsia="Arial" w:hAnsi="Arial" w:cs="Arial"/>
                <w:b/>
                <w:color w:val="000000"/>
                <w:sz w:val="16"/>
                <w:vertAlign w:val="superscript"/>
              </w:rPr>
            </w:pPr>
            <w:r w:rsidRPr="006209D7">
              <w:rPr>
                <w:rFonts w:ascii="Arial" w:eastAsia="Arial" w:hAnsi="Arial" w:cs="Arial"/>
                <w:b/>
                <w:color w:val="000000"/>
                <w:sz w:val="16"/>
              </w:rPr>
              <w:t>(loss) - as per the Statement of</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79B68C2F" w14:textId="77777777" w:rsidR="003F0EEA" w:rsidRPr="006209D7" w:rsidRDefault="003F0EEA">
            <w:pPr>
              <w:rPr>
                <w:rFonts w:ascii="Arial" w:eastAsia="Arial" w:hAnsi="Arial" w:cs="Arial"/>
                <w:b/>
                <w:color w:val="000000"/>
                <w:sz w:val="16"/>
                <w:vertAlign w:val="superscript"/>
              </w:rPr>
            </w:pPr>
          </w:p>
        </w:tc>
        <w:tc>
          <w:tcPr>
            <w:tcW w:w="915" w:type="dxa"/>
            <w:tcBorders>
              <w:top w:val="nil"/>
              <w:left w:val="nil"/>
              <w:bottom w:val="nil"/>
              <w:right w:val="nil"/>
              <w:tl2br w:val="nil"/>
              <w:tr2bl w:val="nil"/>
            </w:tcBorders>
            <w:shd w:val="clear" w:color="auto" w:fill="FFFF00"/>
            <w:tcMar>
              <w:left w:w="101" w:type="dxa"/>
              <w:right w:w="101" w:type="dxa"/>
            </w:tcMar>
            <w:vAlign w:val="bottom"/>
          </w:tcPr>
          <w:p w14:paraId="6B2CCDE0" w14:textId="77777777" w:rsidR="003F0EEA" w:rsidRPr="006209D7" w:rsidRDefault="003F0EEA">
            <w:pPr>
              <w:rPr>
                <w:rFonts w:ascii="Arial" w:eastAsia="Arial" w:hAnsi="Arial" w:cs="Arial"/>
                <w:color w:val="000000"/>
                <w:sz w:val="16"/>
                <w:vertAlign w:val="superscript"/>
              </w:rPr>
            </w:pP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30E2EC4F" w14:textId="77777777" w:rsidR="003F0EEA" w:rsidRPr="006209D7" w:rsidRDefault="003F0EEA">
            <w:pPr>
              <w:rPr>
                <w:rFonts w:ascii="Arial" w:eastAsia="Arial" w:hAnsi="Arial" w:cs="Arial"/>
                <w:color w:val="000000"/>
                <w:sz w:val="16"/>
                <w:vertAlign w:val="superscript"/>
              </w:rPr>
            </w:pP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0C9055C3" w14:textId="77777777" w:rsidR="003F0EEA" w:rsidRPr="006209D7" w:rsidRDefault="003F0EEA">
            <w:pPr>
              <w:rPr>
                <w:rFonts w:ascii="Arial" w:eastAsia="Arial" w:hAnsi="Arial" w:cs="Arial"/>
                <w:color w:val="000000"/>
                <w:sz w:val="16"/>
                <w:vertAlign w:val="superscript"/>
              </w:rPr>
            </w:pP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1836E31F" w14:textId="77777777" w:rsidR="003F0EEA" w:rsidRPr="006209D7" w:rsidRDefault="003F0EEA">
            <w:pPr>
              <w:rPr>
                <w:rFonts w:ascii="Arial" w:eastAsia="Arial" w:hAnsi="Arial" w:cs="Arial"/>
                <w:color w:val="000000"/>
                <w:sz w:val="16"/>
                <w:vertAlign w:val="superscript"/>
              </w:rPr>
            </w:pPr>
          </w:p>
        </w:tc>
      </w:tr>
      <w:tr w:rsidR="00FB7D0B" w14:paraId="5C89C85E" w14:textId="77777777" w:rsidTr="00FB7D0B">
        <w:trPr>
          <w:trHeight w:val="225"/>
        </w:trPr>
        <w:tc>
          <w:tcPr>
            <w:tcW w:w="180"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6CE9ECA7" w14:textId="77777777" w:rsidR="003F0EEA" w:rsidRPr="006209D7" w:rsidRDefault="003F0EEA">
            <w:pPr>
              <w:rPr>
                <w:rFonts w:ascii="Arial" w:eastAsia="Arial" w:hAnsi="Arial" w:cs="Arial"/>
                <w:color w:val="000000"/>
                <w:sz w:val="16"/>
                <w:vertAlign w:val="superscript"/>
              </w:rPr>
            </w:pPr>
          </w:p>
        </w:tc>
        <w:tc>
          <w:tcPr>
            <w:tcW w:w="2880" w:type="dxa"/>
            <w:gridSpan w:val="2"/>
            <w:tcBorders>
              <w:top w:val="nil"/>
              <w:left w:val="nil"/>
              <w:bottom w:val="single" w:sz="6" w:space="0" w:color="000000"/>
              <w:right w:val="nil"/>
              <w:tl2br w:val="nil"/>
              <w:tr2bl w:val="nil"/>
            </w:tcBorders>
            <w:shd w:val="clear" w:color="auto" w:fill="FFFFFF"/>
            <w:tcMar>
              <w:left w:w="101" w:type="dxa"/>
              <w:right w:w="101" w:type="dxa"/>
            </w:tcMar>
            <w:vAlign w:val="bottom"/>
          </w:tcPr>
          <w:p w14:paraId="6528B12F" w14:textId="77777777" w:rsidR="003F0EEA" w:rsidRPr="006209D7" w:rsidRDefault="00FB7D0B">
            <w:pPr>
              <w:rPr>
                <w:rFonts w:ascii="Arial" w:eastAsia="Arial" w:hAnsi="Arial" w:cs="Arial"/>
                <w:color w:val="000000"/>
                <w:sz w:val="16"/>
                <w:vertAlign w:val="superscript"/>
              </w:rPr>
            </w:pPr>
            <w:r w:rsidRPr="006209D7">
              <w:rPr>
                <w:rFonts w:ascii="Arial" w:eastAsia="Arial" w:hAnsi="Arial" w:cs="Arial"/>
                <w:b/>
                <w:color w:val="000000"/>
                <w:sz w:val="16"/>
              </w:rPr>
              <w:t>Comprehensive Income</w:t>
            </w:r>
          </w:p>
        </w:tc>
        <w:tc>
          <w:tcPr>
            <w:tcW w:w="915"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65225547" w14:textId="77777777" w:rsidR="003F0EEA" w:rsidRPr="006209D7" w:rsidRDefault="00FB7D0B">
            <w:pPr>
              <w:jc w:val="right"/>
              <w:rPr>
                <w:rFonts w:ascii="Arial" w:eastAsia="Arial" w:hAnsi="Arial" w:cs="Arial"/>
                <w:b/>
                <w:color w:val="000000"/>
                <w:sz w:val="16"/>
                <w:vertAlign w:val="superscript"/>
              </w:rPr>
            </w:pPr>
            <w:r w:rsidRPr="006209D7">
              <w:rPr>
                <w:rFonts w:ascii="Arial" w:eastAsia="Arial" w:hAnsi="Arial" w:cs="Arial"/>
                <w:b/>
                <w:color w:val="000000"/>
                <w:sz w:val="16"/>
              </w:rPr>
              <w:t xml:space="preserve"> - </w:t>
            </w:r>
          </w:p>
        </w:tc>
        <w:tc>
          <w:tcPr>
            <w:tcW w:w="915" w:type="dxa"/>
            <w:tcBorders>
              <w:top w:val="nil"/>
              <w:left w:val="nil"/>
              <w:bottom w:val="single" w:sz="6" w:space="0" w:color="000000"/>
              <w:right w:val="nil"/>
              <w:tl2br w:val="nil"/>
              <w:tr2bl w:val="nil"/>
            </w:tcBorders>
            <w:shd w:val="clear" w:color="auto" w:fill="FFFF00"/>
            <w:tcMar>
              <w:left w:w="101" w:type="dxa"/>
              <w:right w:w="101" w:type="dxa"/>
            </w:tcMar>
            <w:vAlign w:val="bottom"/>
          </w:tcPr>
          <w:p w14:paraId="712E72A3" w14:textId="77777777" w:rsidR="003F0EEA" w:rsidRPr="006209D7" w:rsidRDefault="00FB7D0B">
            <w:pPr>
              <w:jc w:val="right"/>
              <w:rPr>
                <w:rFonts w:ascii="Arial" w:eastAsia="Arial" w:hAnsi="Arial" w:cs="Arial"/>
                <w:b/>
                <w:color w:val="000000"/>
                <w:sz w:val="16"/>
              </w:rPr>
            </w:pPr>
            <w:r w:rsidRPr="006209D7">
              <w:rPr>
                <w:rFonts w:ascii="Arial" w:eastAsia="Arial" w:hAnsi="Arial" w:cs="Arial"/>
                <w:b/>
                <w:color w:val="000000"/>
                <w:sz w:val="16"/>
              </w:rPr>
              <w:t xml:space="preserve"> - </w:t>
            </w:r>
          </w:p>
        </w:tc>
        <w:tc>
          <w:tcPr>
            <w:tcW w:w="915"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1DF0BBFF" w14:textId="77777777" w:rsidR="003F0EEA" w:rsidRPr="006209D7" w:rsidRDefault="00FB7D0B">
            <w:pPr>
              <w:jc w:val="right"/>
              <w:rPr>
                <w:rFonts w:ascii="Arial" w:eastAsia="Arial" w:hAnsi="Arial" w:cs="Arial"/>
                <w:b/>
                <w:color w:val="000000"/>
                <w:sz w:val="16"/>
              </w:rPr>
            </w:pPr>
            <w:r w:rsidRPr="006209D7">
              <w:rPr>
                <w:rFonts w:ascii="Arial" w:eastAsia="Arial" w:hAnsi="Arial" w:cs="Arial"/>
                <w:b/>
                <w:color w:val="000000"/>
                <w:sz w:val="16"/>
              </w:rPr>
              <w:t xml:space="preserve"> - </w:t>
            </w:r>
          </w:p>
        </w:tc>
        <w:tc>
          <w:tcPr>
            <w:tcW w:w="915"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3768E4F4" w14:textId="77777777" w:rsidR="003F0EEA" w:rsidRPr="006209D7" w:rsidRDefault="00FB7D0B">
            <w:pPr>
              <w:jc w:val="right"/>
              <w:rPr>
                <w:rFonts w:ascii="Arial" w:eastAsia="Arial" w:hAnsi="Arial" w:cs="Arial"/>
                <w:b/>
                <w:color w:val="000000"/>
                <w:sz w:val="16"/>
              </w:rPr>
            </w:pPr>
            <w:r w:rsidRPr="006209D7">
              <w:rPr>
                <w:rFonts w:ascii="Arial" w:eastAsia="Arial" w:hAnsi="Arial" w:cs="Arial"/>
                <w:b/>
                <w:color w:val="000000"/>
                <w:sz w:val="16"/>
              </w:rPr>
              <w:t xml:space="preserve"> - </w:t>
            </w:r>
          </w:p>
        </w:tc>
        <w:tc>
          <w:tcPr>
            <w:tcW w:w="915"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4E242AC6" w14:textId="77777777" w:rsidR="003F0EEA" w:rsidRPr="006209D7" w:rsidRDefault="00FB7D0B">
            <w:pPr>
              <w:jc w:val="right"/>
              <w:rPr>
                <w:rFonts w:ascii="Arial" w:eastAsia="Arial" w:hAnsi="Arial" w:cs="Arial"/>
                <w:b/>
                <w:color w:val="000000"/>
                <w:sz w:val="16"/>
              </w:rPr>
            </w:pPr>
            <w:r w:rsidRPr="006209D7">
              <w:rPr>
                <w:rFonts w:ascii="Arial" w:eastAsia="Arial" w:hAnsi="Arial" w:cs="Arial"/>
                <w:b/>
                <w:color w:val="000000"/>
                <w:sz w:val="16"/>
              </w:rPr>
              <w:t xml:space="preserve"> - </w:t>
            </w:r>
          </w:p>
        </w:tc>
      </w:tr>
    </w:tbl>
    <w:p w14:paraId="2CD8A135" w14:textId="77777777" w:rsidR="003F0EEA" w:rsidRDefault="00FB7D0B" w:rsidP="003F0EEA">
      <w:pPr>
        <w:pStyle w:val="Source7"/>
      </w:pPr>
      <w:r>
        <w:t>Prepared on Australian Accounting Standards basis</w:t>
      </w:r>
    </w:p>
    <w:p w14:paraId="0DAD26AE" w14:textId="77777777" w:rsidR="003F0EEA" w:rsidRDefault="003F0EEA" w:rsidP="003F0EEA">
      <w:pPr>
        <w:pStyle w:val="Source7"/>
      </w:pPr>
    </w:p>
    <w:p w14:paraId="46B18C12" w14:textId="77777777" w:rsidR="003F0EEA" w:rsidRPr="00AE3DD3" w:rsidRDefault="00FB7D0B" w:rsidP="003F0EEA">
      <w:pPr>
        <w:pStyle w:val="Source7"/>
      </w:pPr>
      <w:r>
        <w:t xml:space="preserve">1. </w:t>
      </w:r>
      <w:r w:rsidRPr="007B142F">
        <w:t>From 2010-11, the Government introduced net cash appropriation arrangements where Bill 1 revenue appropriations for the depreciation/amortisation expenses of FMA Act agencies were replaced with a separate capital budget (the Departmental Capital Budget, or DCB) provided through Bill 1 equity appropriations. For information regarding DCBs, please refer to Table 3.2.5 Departmental Capital Budget Statement.</w:t>
      </w:r>
    </w:p>
    <w:p w14:paraId="2457647C" w14:textId="77777777" w:rsidR="003F0EEA" w:rsidRPr="00AE3DD3" w:rsidRDefault="00FB7D0B">
      <w:pPr>
        <w:spacing w:line="14" w:lineRule="exact"/>
        <w:rPr>
          <w:rFonts w:eastAsia="Times New Roman" w:cs="Times New Roman"/>
        </w:rPr>
      </w:pPr>
      <w:r w:rsidRPr="00AE3DD3">
        <w:rPr>
          <w:rFonts w:eastAsia="Times New Roman" w:cs="Times New Roman"/>
        </w:rPr>
        <w:br w:type="page"/>
      </w:r>
    </w:p>
    <w:p w14:paraId="47B6A9A3" w14:textId="77777777" w:rsidR="003F0EEA" w:rsidRPr="00353E70" w:rsidRDefault="00FB7D0B" w:rsidP="003F0EEA">
      <w:pPr>
        <w:pStyle w:val="Normal177"/>
        <w:ind w:right="45"/>
        <w:rPr>
          <w:b/>
        </w:rPr>
      </w:pPr>
      <w:r w:rsidRPr="00387B9C">
        <w:rPr>
          <w:rFonts w:ascii="Arial" w:hAnsi="Arial" w:cs="Arial"/>
          <w:b/>
          <w:sz w:val="20"/>
          <w:szCs w:val="20"/>
        </w:rPr>
        <w:t>Table 3.2</w:t>
      </w:r>
      <w:r>
        <w:rPr>
          <w:rFonts w:ascii="Arial" w:hAnsi="Arial" w:cs="Arial"/>
          <w:b/>
          <w:sz w:val="20"/>
          <w:szCs w:val="20"/>
        </w:rPr>
        <w:t>.2b: Budgeted Departmental Balance S</w:t>
      </w:r>
      <w:r w:rsidRPr="00387B9C">
        <w:rPr>
          <w:rFonts w:ascii="Arial" w:hAnsi="Arial" w:cs="Arial"/>
          <w:b/>
          <w:sz w:val="20"/>
          <w:szCs w:val="20"/>
        </w:rPr>
        <w:t>heet (DVA excluding DSHIS)</w:t>
      </w:r>
      <w:r w:rsidRPr="00353E70">
        <w:rPr>
          <w:b/>
        </w:rPr>
        <w:t xml:space="preserve"> </w:t>
      </w:r>
      <w:r w:rsidRPr="00D37976">
        <w:rPr>
          <w:rFonts w:ascii="Arial" w:hAnsi="Arial" w:cs="Arial"/>
          <w:b/>
          <w:sz w:val="20"/>
          <w:szCs w:val="20"/>
        </w:rPr>
        <w:t>as at 30 June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2"/>
        <w:gridCol w:w="222"/>
        <w:gridCol w:w="2700"/>
        <w:gridCol w:w="915"/>
        <w:gridCol w:w="915"/>
        <w:gridCol w:w="915"/>
        <w:gridCol w:w="915"/>
        <w:gridCol w:w="915"/>
      </w:tblGrid>
      <w:tr w:rsidR="00724034" w14:paraId="23FCC80B" w14:textId="77777777">
        <w:trPr>
          <w:trHeight w:val="225"/>
        </w:trPr>
        <w:tc>
          <w:tcPr>
            <w:tcW w:w="180"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45969BB8" w14:textId="77777777" w:rsidR="003F0EEA" w:rsidRPr="00353E70" w:rsidRDefault="003F0EEA">
            <w:pPr>
              <w:rPr>
                <w:rFonts w:ascii="Times New Roman" w:eastAsia="Times New Roman" w:hAnsi="Times New Roman" w:cs="Times New Roman"/>
                <w:b/>
              </w:rPr>
            </w:pPr>
          </w:p>
        </w:tc>
        <w:tc>
          <w:tcPr>
            <w:tcW w:w="180"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3DE0C2F4" w14:textId="77777777" w:rsidR="003F0EEA" w:rsidRPr="00353E70" w:rsidRDefault="003F0EEA">
            <w:pPr>
              <w:rPr>
                <w:rFonts w:ascii="Arial" w:eastAsia="Arial" w:hAnsi="Arial" w:cs="Arial"/>
                <w:color w:val="000000"/>
                <w:sz w:val="16"/>
              </w:rPr>
            </w:pPr>
          </w:p>
        </w:tc>
        <w:tc>
          <w:tcPr>
            <w:tcW w:w="2700"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72A3CDB3" w14:textId="77777777" w:rsidR="003F0EEA" w:rsidRPr="00353E70" w:rsidRDefault="003F0EEA">
            <w:pPr>
              <w:rPr>
                <w:rFonts w:ascii="Arial" w:eastAsia="Arial" w:hAnsi="Arial" w:cs="Arial"/>
                <w:color w:val="000000"/>
                <w:sz w:val="16"/>
              </w:rPr>
            </w:pPr>
          </w:p>
        </w:tc>
        <w:tc>
          <w:tcPr>
            <w:tcW w:w="91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11173BAC" w14:textId="77777777" w:rsidR="003F0EEA" w:rsidRPr="00353E70" w:rsidRDefault="00FB7D0B">
            <w:pPr>
              <w:jc w:val="right"/>
              <w:rPr>
                <w:rFonts w:ascii="Arial" w:eastAsia="Arial" w:hAnsi="Arial" w:cs="Arial"/>
                <w:color w:val="000000"/>
                <w:sz w:val="16"/>
              </w:rPr>
            </w:pPr>
            <w:r w:rsidRPr="00353E70">
              <w:rPr>
                <w:rFonts w:ascii="Arial" w:eastAsia="Arial" w:hAnsi="Arial" w:cs="Arial"/>
                <w:color w:val="000000"/>
                <w:sz w:val="16"/>
              </w:rPr>
              <w:t>Estimated</w:t>
            </w:r>
          </w:p>
        </w:tc>
        <w:tc>
          <w:tcPr>
            <w:tcW w:w="915" w:type="dxa"/>
            <w:tcBorders>
              <w:top w:val="single" w:sz="6" w:space="0" w:color="000000"/>
              <w:left w:val="nil"/>
              <w:bottom w:val="nil"/>
              <w:right w:val="nil"/>
              <w:tl2br w:val="nil"/>
              <w:tr2bl w:val="nil"/>
            </w:tcBorders>
            <w:shd w:val="clear" w:color="auto" w:fill="FFFF00"/>
            <w:tcMar>
              <w:left w:w="101" w:type="dxa"/>
              <w:right w:w="101" w:type="dxa"/>
            </w:tcMar>
            <w:vAlign w:val="bottom"/>
          </w:tcPr>
          <w:p w14:paraId="435901D6" w14:textId="77777777" w:rsidR="003F0EEA" w:rsidRPr="00353E70" w:rsidRDefault="00FB7D0B">
            <w:pPr>
              <w:jc w:val="right"/>
              <w:rPr>
                <w:rFonts w:ascii="Arial" w:eastAsia="Arial" w:hAnsi="Arial" w:cs="Arial"/>
                <w:color w:val="000000"/>
                <w:sz w:val="16"/>
              </w:rPr>
            </w:pPr>
            <w:r w:rsidRPr="00353E70">
              <w:rPr>
                <w:rFonts w:ascii="Arial" w:eastAsia="Arial" w:hAnsi="Arial" w:cs="Arial"/>
                <w:color w:val="000000"/>
                <w:sz w:val="16"/>
              </w:rPr>
              <w:t>Budget</w:t>
            </w:r>
          </w:p>
        </w:tc>
        <w:tc>
          <w:tcPr>
            <w:tcW w:w="91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48A84C1A" w14:textId="77777777" w:rsidR="003F0EEA" w:rsidRPr="00353E70" w:rsidRDefault="00FB7D0B">
            <w:pPr>
              <w:jc w:val="right"/>
              <w:rPr>
                <w:rFonts w:ascii="Arial" w:eastAsia="Arial" w:hAnsi="Arial" w:cs="Arial"/>
                <w:color w:val="000000"/>
                <w:sz w:val="16"/>
              </w:rPr>
            </w:pPr>
            <w:r w:rsidRPr="00353E70">
              <w:rPr>
                <w:rFonts w:ascii="Arial" w:eastAsia="Arial" w:hAnsi="Arial" w:cs="Arial"/>
                <w:color w:val="000000"/>
                <w:sz w:val="16"/>
              </w:rPr>
              <w:t>Forward</w:t>
            </w:r>
          </w:p>
        </w:tc>
        <w:tc>
          <w:tcPr>
            <w:tcW w:w="91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7B7C67B8" w14:textId="77777777" w:rsidR="003F0EEA" w:rsidRPr="00353E70" w:rsidRDefault="00FB7D0B">
            <w:pPr>
              <w:jc w:val="right"/>
              <w:rPr>
                <w:rFonts w:ascii="Arial" w:eastAsia="Arial" w:hAnsi="Arial" w:cs="Arial"/>
                <w:color w:val="000000"/>
                <w:sz w:val="16"/>
              </w:rPr>
            </w:pPr>
            <w:r w:rsidRPr="00353E70">
              <w:rPr>
                <w:rFonts w:ascii="Arial" w:eastAsia="Arial" w:hAnsi="Arial" w:cs="Arial"/>
                <w:color w:val="000000"/>
                <w:sz w:val="16"/>
              </w:rPr>
              <w:t>Forward</w:t>
            </w:r>
          </w:p>
        </w:tc>
        <w:tc>
          <w:tcPr>
            <w:tcW w:w="91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6EA3FBB9" w14:textId="77777777" w:rsidR="003F0EEA" w:rsidRPr="00353E70" w:rsidRDefault="00FB7D0B">
            <w:pPr>
              <w:jc w:val="right"/>
              <w:rPr>
                <w:rFonts w:ascii="Arial" w:eastAsia="Arial" w:hAnsi="Arial" w:cs="Arial"/>
                <w:color w:val="000000"/>
                <w:sz w:val="16"/>
              </w:rPr>
            </w:pPr>
            <w:r w:rsidRPr="00353E70">
              <w:rPr>
                <w:rFonts w:ascii="Arial" w:eastAsia="Arial" w:hAnsi="Arial" w:cs="Arial"/>
                <w:color w:val="000000"/>
                <w:sz w:val="16"/>
              </w:rPr>
              <w:t>Forward</w:t>
            </w:r>
          </w:p>
        </w:tc>
      </w:tr>
      <w:tr w:rsidR="00724034" w14:paraId="2C51005E" w14:textId="77777777">
        <w:trPr>
          <w:trHeight w:val="225"/>
        </w:trPr>
        <w:tc>
          <w:tcPr>
            <w:tcW w:w="180" w:type="dxa"/>
            <w:tcBorders>
              <w:top w:val="nil"/>
              <w:left w:val="nil"/>
              <w:bottom w:val="nil"/>
              <w:right w:val="nil"/>
              <w:tl2br w:val="nil"/>
              <w:tr2bl w:val="nil"/>
            </w:tcBorders>
            <w:shd w:val="clear" w:color="auto" w:fill="FFFFFF"/>
            <w:tcMar>
              <w:left w:w="101" w:type="dxa"/>
              <w:right w:w="101" w:type="dxa"/>
            </w:tcMar>
            <w:vAlign w:val="bottom"/>
          </w:tcPr>
          <w:p w14:paraId="33930DC3" w14:textId="77777777" w:rsidR="003F0EEA" w:rsidRPr="00353E70" w:rsidRDefault="003F0EEA">
            <w:pPr>
              <w:rPr>
                <w:rFonts w:ascii="Arial" w:eastAsia="Arial" w:hAnsi="Arial" w:cs="Arial"/>
                <w:color w:val="000000"/>
                <w:sz w:val="16"/>
              </w:rPr>
            </w:pPr>
          </w:p>
        </w:tc>
        <w:tc>
          <w:tcPr>
            <w:tcW w:w="180" w:type="dxa"/>
            <w:tcBorders>
              <w:top w:val="nil"/>
              <w:left w:val="nil"/>
              <w:bottom w:val="nil"/>
              <w:right w:val="nil"/>
              <w:tl2br w:val="nil"/>
              <w:tr2bl w:val="nil"/>
            </w:tcBorders>
            <w:shd w:val="clear" w:color="auto" w:fill="FFFFFF"/>
            <w:tcMar>
              <w:left w:w="101" w:type="dxa"/>
              <w:right w:w="101" w:type="dxa"/>
            </w:tcMar>
            <w:vAlign w:val="bottom"/>
          </w:tcPr>
          <w:p w14:paraId="2B83BB6C" w14:textId="77777777" w:rsidR="003F0EEA" w:rsidRPr="00353E70" w:rsidRDefault="003F0EEA">
            <w:pPr>
              <w:rPr>
                <w:rFonts w:ascii="Arial" w:eastAsia="Arial" w:hAnsi="Arial" w:cs="Arial"/>
                <w:color w:val="000000"/>
                <w:sz w:val="16"/>
              </w:rPr>
            </w:pPr>
          </w:p>
        </w:tc>
        <w:tc>
          <w:tcPr>
            <w:tcW w:w="2700" w:type="dxa"/>
            <w:tcBorders>
              <w:top w:val="nil"/>
              <w:left w:val="nil"/>
              <w:bottom w:val="nil"/>
              <w:right w:val="nil"/>
              <w:tl2br w:val="nil"/>
              <w:tr2bl w:val="nil"/>
            </w:tcBorders>
            <w:shd w:val="clear" w:color="auto" w:fill="FFFFFF"/>
            <w:tcMar>
              <w:left w:w="101" w:type="dxa"/>
              <w:right w:w="101" w:type="dxa"/>
            </w:tcMar>
            <w:vAlign w:val="bottom"/>
          </w:tcPr>
          <w:p w14:paraId="77B9DFF2" w14:textId="77777777" w:rsidR="003F0EEA" w:rsidRPr="00353E70" w:rsidRDefault="003F0EEA">
            <w:pPr>
              <w:rPr>
                <w:rFonts w:ascii="Arial" w:eastAsia="Arial" w:hAnsi="Arial" w:cs="Arial"/>
                <w:color w:val="000000"/>
                <w:sz w:val="16"/>
              </w:rPr>
            </w:pP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30D12C38" w14:textId="77777777" w:rsidR="003F0EEA" w:rsidRPr="00353E70" w:rsidRDefault="00FB7D0B">
            <w:pPr>
              <w:jc w:val="right"/>
              <w:rPr>
                <w:rFonts w:ascii="Arial" w:eastAsia="Arial" w:hAnsi="Arial" w:cs="Arial"/>
                <w:color w:val="000000"/>
                <w:sz w:val="16"/>
              </w:rPr>
            </w:pPr>
            <w:r w:rsidRPr="00353E70">
              <w:rPr>
                <w:rFonts w:ascii="Arial" w:eastAsia="Arial" w:hAnsi="Arial" w:cs="Arial"/>
                <w:color w:val="000000"/>
                <w:sz w:val="16"/>
              </w:rPr>
              <w:t>actual</w:t>
            </w:r>
          </w:p>
        </w:tc>
        <w:tc>
          <w:tcPr>
            <w:tcW w:w="915" w:type="dxa"/>
            <w:tcBorders>
              <w:top w:val="nil"/>
              <w:left w:val="nil"/>
              <w:bottom w:val="nil"/>
              <w:right w:val="nil"/>
              <w:tl2br w:val="nil"/>
              <w:tr2bl w:val="nil"/>
            </w:tcBorders>
            <w:shd w:val="clear" w:color="auto" w:fill="FFFF00"/>
            <w:tcMar>
              <w:left w:w="101" w:type="dxa"/>
              <w:right w:w="101" w:type="dxa"/>
            </w:tcMar>
            <w:vAlign w:val="bottom"/>
          </w:tcPr>
          <w:p w14:paraId="639A29FF" w14:textId="77777777" w:rsidR="003F0EEA" w:rsidRPr="00353E70" w:rsidRDefault="00FB7D0B">
            <w:pPr>
              <w:jc w:val="right"/>
              <w:rPr>
                <w:rFonts w:ascii="Arial" w:eastAsia="Arial" w:hAnsi="Arial" w:cs="Arial"/>
                <w:color w:val="000000"/>
                <w:sz w:val="16"/>
              </w:rPr>
            </w:pPr>
            <w:r w:rsidRPr="00353E70">
              <w:rPr>
                <w:rFonts w:ascii="Arial" w:eastAsia="Arial" w:hAnsi="Arial" w:cs="Arial"/>
                <w:color w:val="000000"/>
                <w:sz w:val="16"/>
              </w:rPr>
              <w:t>estimate</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2C4A0AAF" w14:textId="77777777" w:rsidR="003F0EEA" w:rsidRPr="00353E70" w:rsidRDefault="00FB7D0B">
            <w:pPr>
              <w:jc w:val="right"/>
              <w:rPr>
                <w:rFonts w:ascii="Arial" w:eastAsia="Arial" w:hAnsi="Arial" w:cs="Arial"/>
                <w:color w:val="000000"/>
                <w:sz w:val="16"/>
              </w:rPr>
            </w:pPr>
            <w:r w:rsidRPr="00353E70">
              <w:rPr>
                <w:rFonts w:ascii="Arial" w:eastAsia="Arial" w:hAnsi="Arial" w:cs="Arial"/>
                <w:color w:val="000000"/>
                <w:sz w:val="16"/>
              </w:rPr>
              <w:t>estimate</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2F889665" w14:textId="77777777" w:rsidR="003F0EEA" w:rsidRPr="00353E70" w:rsidRDefault="00FB7D0B">
            <w:pPr>
              <w:jc w:val="right"/>
              <w:rPr>
                <w:rFonts w:ascii="Arial" w:eastAsia="Arial" w:hAnsi="Arial" w:cs="Arial"/>
                <w:color w:val="000000"/>
                <w:sz w:val="16"/>
              </w:rPr>
            </w:pPr>
            <w:r w:rsidRPr="00353E70">
              <w:rPr>
                <w:rFonts w:ascii="Arial" w:eastAsia="Arial" w:hAnsi="Arial" w:cs="Arial"/>
                <w:color w:val="000000"/>
                <w:sz w:val="16"/>
              </w:rPr>
              <w:t>estimate</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25FE6AB9" w14:textId="77777777" w:rsidR="003F0EEA" w:rsidRPr="00353E70" w:rsidRDefault="00FB7D0B">
            <w:pPr>
              <w:jc w:val="right"/>
              <w:rPr>
                <w:rFonts w:ascii="Arial" w:eastAsia="Arial" w:hAnsi="Arial" w:cs="Arial"/>
                <w:color w:val="000000"/>
                <w:sz w:val="16"/>
              </w:rPr>
            </w:pPr>
            <w:r w:rsidRPr="00353E70">
              <w:rPr>
                <w:rFonts w:ascii="Arial" w:eastAsia="Arial" w:hAnsi="Arial" w:cs="Arial"/>
                <w:color w:val="000000"/>
                <w:sz w:val="16"/>
              </w:rPr>
              <w:t>estimate</w:t>
            </w:r>
          </w:p>
        </w:tc>
      </w:tr>
      <w:tr w:rsidR="00724034" w14:paraId="29C04853" w14:textId="77777777">
        <w:trPr>
          <w:trHeight w:val="225"/>
        </w:trPr>
        <w:tc>
          <w:tcPr>
            <w:tcW w:w="180" w:type="dxa"/>
            <w:tcBorders>
              <w:top w:val="nil"/>
              <w:left w:val="nil"/>
              <w:bottom w:val="nil"/>
              <w:right w:val="nil"/>
              <w:tl2br w:val="nil"/>
              <w:tr2bl w:val="nil"/>
            </w:tcBorders>
            <w:shd w:val="clear" w:color="auto" w:fill="FFFFFF"/>
            <w:tcMar>
              <w:left w:w="101" w:type="dxa"/>
              <w:right w:w="101" w:type="dxa"/>
            </w:tcMar>
            <w:vAlign w:val="bottom"/>
          </w:tcPr>
          <w:p w14:paraId="3A87E2BA" w14:textId="77777777" w:rsidR="003F0EEA" w:rsidRPr="00353E70" w:rsidRDefault="003F0EEA">
            <w:pPr>
              <w:rPr>
                <w:rFonts w:ascii="Arial" w:eastAsia="Arial" w:hAnsi="Arial" w:cs="Arial"/>
                <w:color w:val="000000"/>
                <w:sz w:val="16"/>
              </w:rPr>
            </w:pPr>
          </w:p>
        </w:tc>
        <w:tc>
          <w:tcPr>
            <w:tcW w:w="180" w:type="dxa"/>
            <w:tcBorders>
              <w:top w:val="nil"/>
              <w:left w:val="nil"/>
              <w:bottom w:val="nil"/>
              <w:right w:val="nil"/>
              <w:tl2br w:val="nil"/>
              <w:tr2bl w:val="nil"/>
            </w:tcBorders>
            <w:shd w:val="clear" w:color="auto" w:fill="FFFFFF"/>
            <w:tcMar>
              <w:left w:w="101" w:type="dxa"/>
              <w:right w:w="101" w:type="dxa"/>
            </w:tcMar>
            <w:vAlign w:val="bottom"/>
          </w:tcPr>
          <w:p w14:paraId="0A11C57A" w14:textId="77777777" w:rsidR="003F0EEA" w:rsidRPr="00353E70" w:rsidRDefault="003F0EEA">
            <w:pPr>
              <w:rPr>
                <w:rFonts w:ascii="Arial" w:eastAsia="Arial" w:hAnsi="Arial" w:cs="Arial"/>
                <w:color w:val="000000"/>
                <w:sz w:val="16"/>
              </w:rPr>
            </w:pPr>
          </w:p>
        </w:tc>
        <w:tc>
          <w:tcPr>
            <w:tcW w:w="2700" w:type="dxa"/>
            <w:tcBorders>
              <w:top w:val="nil"/>
              <w:left w:val="nil"/>
              <w:bottom w:val="nil"/>
              <w:right w:val="nil"/>
              <w:tl2br w:val="nil"/>
              <w:tr2bl w:val="nil"/>
            </w:tcBorders>
            <w:shd w:val="clear" w:color="auto" w:fill="FFFFFF"/>
            <w:tcMar>
              <w:left w:w="101" w:type="dxa"/>
              <w:right w:w="101" w:type="dxa"/>
            </w:tcMar>
            <w:vAlign w:val="bottom"/>
          </w:tcPr>
          <w:p w14:paraId="66D18CDE" w14:textId="77777777" w:rsidR="003F0EEA" w:rsidRPr="00353E70" w:rsidRDefault="003F0EEA">
            <w:pPr>
              <w:rPr>
                <w:rFonts w:ascii="Arial" w:eastAsia="Arial" w:hAnsi="Arial" w:cs="Arial"/>
                <w:color w:val="000000"/>
                <w:sz w:val="16"/>
              </w:rPr>
            </w:pP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10161FA8" w14:textId="77777777" w:rsidR="003F0EEA" w:rsidRPr="00353E70" w:rsidRDefault="00FB7D0B">
            <w:pPr>
              <w:jc w:val="right"/>
              <w:rPr>
                <w:rFonts w:ascii="Arial" w:eastAsia="Arial" w:hAnsi="Arial" w:cs="Arial"/>
                <w:color w:val="000000"/>
                <w:sz w:val="16"/>
              </w:rPr>
            </w:pPr>
            <w:r w:rsidRPr="00353E70">
              <w:rPr>
                <w:rFonts w:ascii="Arial" w:eastAsia="Arial" w:hAnsi="Arial" w:cs="Arial"/>
                <w:color w:val="000000"/>
                <w:sz w:val="16"/>
              </w:rPr>
              <w:t>2013-14</w:t>
            </w:r>
          </w:p>
        </w:tc>
        <w:tc>
          <w:tcPr>
            <w:tcW w:w="915" w:type="dxa"/>
            <w:tcBorders>
              <w:top w:val="nil"/>
              <w:left w:val="nil"/>
              <w:bottom w:val="nil"/>
              <w:right w:val="nil"/>
              <w:tl2br w:val="nil"/>
              <w:tr2bl w:val="nil"/>
            </w:tcBorders>
            <w:shd w:val="clear" w:color="auto" w:fill="FFFF00"/>
            <w:tcMar>
              <w:left w:w="101" w:type="dxa"/>
              <w:right w:w="101" w:type="dxa"/>
            </w:tcMar>
            <w:vAlign w:val="bottom"/>
          </w:tcPr>
          <w:p w14:paraId="3BC91EF0" w14:textId="77777777" w:rsidR="003F0EEA" w:rsidRPr="00353E70" w:rsidRDefault="00FB7D0B">
            <w:pPr>
              <w:jc w:val="right"/>
              <w:rPr>
                <w:rFonts w:ascii="Arial" w:eastAsia="Arial" w:hAnsi="Arial" w:cs="Arial"/>
                <w:color w:val="000000"/>
                <w:sz w:val="16"/>
              </w:rPr>
            </w:pPr>
            <w:r w:rsidRPr="00353E70">
              <w:rPr>
                <w:rFonts w:ascii="Arial" w:eastAsia="Arial" w:hAnsi="Arial" w:cs="Arial"/>
                <w:color w:val="000000"/>
                <w:sz w:val="16"/>
              </w:rPr>
              <w:t>2014-15</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2DB4ABCA" w14:textId="77777777" w:rsidR="003F0EEA" w:rsidRPr="00353E70" w:rsidRDefault="00FB7D0B">
            <w:pPr>
              <w:jc w:val="right"/>
              <w:rPr>
                <w:rFonts w:ascii="Arial" w:eastAsia="Arial" w:hAnsi="Arial" w:cs="Arial"/>
                <w:color w:val="000000"/>
                <w:sz w:val="16"/>
              </w:rPr>
            </w:pPr>
            <w:r w:rsidRPr="00353E70">
              <w:rPr>
                <w:rFonts w:ascii="Arial" w:eastAsia="Arial" w:hAnsi="Arial" w:cs="Arial"/>
                <w:color w:val="000000"/>
                <w:sz w:val="16"/>
              </w:rPr>
              <w:t>2015-16</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072F2C9E" w14:textId="77777777" w:rsidR="003F0EEA" w:rsidRPr="00353E70" w:rsidRDefault="00FB7D0B">
            <w:pPr>
              <w:jc w:val="right"/>
              <w:rPr>
                <w:rFonts w:ascii="Arial" w:eastAsia="Arial" w:hAnsi="Arial" w:cs="Arial"/>
                <w:color w:val="000000"/>
                <w:sz w:val="16"/>
              </w:rPr>
            </w:pPr>
            <w:r w:rsidRPr="00353E70">
              <w:rPr>
                <w:rFonts w:ascii="Arial" w:eastAsia="Arial" w:hAnsi="Arial" w:cs="Arial"/>
                <w:color w:val="000000"/>
                <w:sz w:val="16"/>
              </w:rPr>
              <w:t>2016-17</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37CF60C5" w14:textId="77777777" w:rsidR="003F0EEA" w:rsidRPr="00353E70" w:rsidRDefault="00FB7D0B">
            <w:pPr>
              <w:jc w:val="right"/>
              <w:rPr>
                <w:rFonts w:ascii="Arial" w:eastAsia="Arial" w:hAnsi="Arial" w:cs="Arial"/>
                <w:color w:val="000000"/>
                <w:sz w:val="16"/>
              </w:rPr>
            </w:pPr>
            <w:r w:rsidRPr="00353E70">
              <w:rPr>
                <w:rFonts w:ascii="Arial" w:eastAsia="Arial" w:hAnsi="Arial" w:cs="Arial"/>
                <w:color w:val="000000"/>
                <w:sz w:val="16"/>
              </w:rPr>
              <w:t>2017-18</w:t>
            </w:r>
          </w:p>
        </w:tc>
      </w:tr>
      <w:tr w:rsidR="00724034" w14:paraId="5149F6E7" w14:textId="77777777">
        <w:trPr>
          <w:trHeight w:val="225"/>
        </w:trPr>
        <w:tc>
          <w:tcPr>
            <w:tcW w:w="180" w:type="dxa"/>
            <w:tcBorders>
              <w:top w:val="nil"/>
              <w:left w:val="nil"/>
              <w:bottom w:val="nil"/>
              <w:right w:val="nil"/>
              <w:tl2br w:val="nil"/>
              <w:tr2bl w:val="nil"/>
            </w:tcBorders>
            <w:shd w:val="clear" w:color="auto" w:fill="FFFFFF"/>
            <w:tcMar>
              <w:left w:w="101" w:type="dxa"/>
              <w:right w:w="101" w:type="dxa"/>
            </w:tcMar>
            <w:vAlign w:val="bottom"/>
          </w:tcPr>
          <w:p w14:paraId="50A35B10" w14:textId="77777777" w:rsidR="003F0EEA" w:rsidRPr="00353E70" w:rsidRDefault="003F0EEA">
            <w:pPr>
              <w:rPr>
                <w:rFonts w:ascii="Arial" w:eastAsia="Arial" w:hAnsi="Arial" w:cs="Arial"/>
                <w:color w:val="000000"/>
                <w:sz w:val="16"/>
              </w:rPr>
            </w:pPr>
          </w:p>
        </w:tc>
        <w:tc>
          <w:tcPr>
            <w:tcW w:w="180" w:type="dxa"/>
            <w:tcBorders>
              <w:top w:val="nil"/>
              <w:left w:val="nil"/>
              <w:bottom w:val="nil"/>
              <w:right w:val="nil"/>
              <w:tl2br w:val="nil"/>
              <w:tr2bl w:val="nil"/>
            </w:tcBorders>
            <w:shd w:val="clear" w:color="auto" w:fill="FFFFFF"/>
            <w:tcMar>
              <w:left w:w="101" w:type="dxa"/>
              <w:right w:w="101" w:type="dxa"/>
            </w:tcMar>
            <w:vAlign w:val="bottom"/>
          </w:tcPr>
          <w:p w14:paraId="25E95685" w14:textId="77777777" w:rsidR="003F0EEA" w:rsidRPr="00353E70" w:rsidRDefault="003F0EEA">
            <w:pPr>
              <w:rPr>
                <w:rFonts w:ascii="Arial" w:eastAsia="Arial" w:hAnsi="Arial" w:cs="Arial"/>
                <w:color w:val="000000"/>
                <w:sz w:val="16"/>
              </w:rPr>
            </w:pPr>
          </w:p>
        </w:tc>
        <w:tc>
          <w:tcPr>
            <w:tcW w:w="2700" w:type="dxa"/>
            <w:tcBorders>
              <w:top w:val="nil"/>
              <w:left w:val="nil"/>
              <w:bottom w:val="nil"/>
              <w:right w:val="nil"/>
              <w:tl2br w:val="nil"/>
              <w:tr2bl w:val="nil"/>
            </w:tcBorders>
            <w:shd w:val="clear" w:color="auto" w:fill="FFFFFF"/>
            <w:tcMar>
              <w:left w:w="101" w:type="dxa"/>
              <w:right w:w="101" w:type="dxa"/>
            </w:tcMar>
            <w:vAlign w:val="bottom"/>
          </w:tcPr>
          <w:p w14:paraId="03A900C4" w14:textId="77777777" w:rsidR="003F0EEA" w:rsidRPr="00353E70" w:rsidRDefault="003F0EEA">
            <w:pPr>
              <w:rPr>
                <w:rFonts w:ascii="Arial" w:eastAsia="Arial" w:hAnsi="Arial" w:cs="Arial"/>
                <w:color w:val="000000"/>
                <w:sz w:val="16"/>
              </w:rPr>
            </w:pPr>
          </w:p>
        </w:tc>
        <w:tc>
          <w:tcPr>
            <w:tcW w:w="915"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058F0785" w14:textId="77777777" w:rsidR="003F0EEA" w:rsidRPr="00353E70" w:rsidRDefault="00FB7D0B">
            <w:pPr>
              <w:jc w:val="right"/>
              <w:rPr>
                <w:rFonts w:ascii="Arial" w:eastAsia="Arial" w:hAnsi="Arial" w:cs="Arial"/>
                <w:color w:val="000000"/>
                <w:sz w:val="16"/>
              </w:rPr>
            </w:pPr>
            <w:r w:rsidRPr="00353E70">
              <w:rPr>
                <w:rFonts w:ascii="Arial" w:eastAsia="Arial" w:hAnsi="Arial" w:cs="Arial"/>
                <w:color w:val="000000"/>
                <w:sz w:val="16"/>
              </w:rPr>
              <w:t>$'000</w:t>
            </w:r>
          </w:p>
        </w:tc>
        <w:tc>
          <w:tcPr>
            <w:tcW w:w="915" w:type="dxa"/>
            <w:tcBorders>
              <w:top w:val="nil"/>
              <w:left w:val="nil"/>
              <w:bottom w:val="single" w:sz="6" w:space="0" w:color="000000"/>
              <w:right w:val="nil"/>
              <w:tl2br w:val="nil"/>
              <w:tr2bl w:val="nil"/>
            </w:tcBorders>
            <w:shd w:val="clear" w:color="auto" w:fill="FFFF00"/>
            <w:tcMar>
              <w:left w:w="101" w:type="dxa"/>
              <w:right w:w="101" w:type="dxa"/>
            </w:tcMar>
            <w:vAlign w:val="bottom"/>
          </w:tcPr>
          <w:p w14:paraId="5B202227" w14:textId="77777777" w:rsidR="003F0EEA" w:rsidRPr="00353E70" w:rsidRDefault="00FB7D0B">
            <w:pPr>
              <w:jc w:val="right"/>
              <w:rPr>
                <w:rFonts w:ascii="Arial" w:eastAsia="Arial" w:hAnsi="Arial" w:cs="Arial"/>
                <w:color w:val="000000"/>
                <w:sz w:val="16"/>
              </w:rPr>
            </w:pPr>
            <w:r w:rsidRPr="00353E70">
              <w:rPr>
                <w:rFonts w:ascii="Arial" w:eastAsia="Arial" w:hAnsi="Arial" w:cs="Arial"/>
                <w:color w:val="000000"/>
                <w:sz w:val="16"/>
              </w:rPr>
              <w:t>$'000</w:t>
            </w:r>
          </w:p>
        </w:tc>
        <w:tc>
          <w:tcPr>
            <w:tcW w:w="915"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7ACB0BC7" w14:textId="77777777" w:rsidR="003F0EEA" w:rsidRPr="00353E70" w:rsidRDefault="00FB7D0B">
            <w:pPr>
              <w:jc w:val="right"/>
              <w:rPr>
                <w:rFonts w:ascii="Arial" w:eastAsia="Arial" w:hAnsi="Arial" w:cs="Arial"/>
                <w:color w:val="000000"/>
                <w:sz w:val="16"/>
              </w:rPr>
            </w:pPr>
            <w:r w:rsidRPr="00353E70">
              <w:rPr>
                <w:rFonts w:ascii="Arial" w:eastAsia="Arial" w:hAnsi="Arial" w:cs="Arial"/>
                <w:color w:val="000000"/>
                <w:sz w:val="16"/>
              </w:rPr>
              <w:t>$'000</w:t>
            </w:r>
          </w:p>
        </w:tc>
        <w:tc>
          <w:tcPr>
            <w:tcW w:w="915"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5A8FDAC9" w14:textId="77777777" w:rsidR="003F0EEA" w:rsidRPr="00353E70" w:rsidRDefault="00FB7D0B">
            <w:pPr>
              <w:jc w:val="right"/>
              <w:rPr>
                <w:rFonts w:ascii="Arial" w:eastAsia="Arial" w:hAnsi="Arial" w:cs="Arial"/>
                <w:color w:val="000000"/>
                <w:sz w:val="16"/>
              </w:rPr>
            </w:pPr>
            <w:r w:rsidRPr="00353E70">
              <w:rPr>
                <w:rFonts w:ascii="Arial" w:eastAsia="Arial" w:hAnsi="Arial" w:cs="Arial"/>
                <w:color w:val="000000"/>
                <w:sz w:val="16"/>
              </w:rPr>
              <w:t>$'000</w:t>
            </w:r>
          </w:p>
        </w:tc>
        <w:tc>
          <w:tcPr>
            <w:tcW w:w="915"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5BC936D9" w14:textId="77777777" w:rsidR="003F0EEA" w:rsidRPr="00353E70" w:rsidRDefault="00FB7D0B">
            <w:pPr>
              <w:jc w:val="right"/>
              <w:rPr>
                <w:rFonts w:ascii="Arial" w:eastAsia="Arial" w:hAnsi="Arial" w:cs="Arial"/>
                <w:color w:val="000000"/>
                <w:sz w:val="16"/>
              </w:rPr>
            </w:pPr>
            <w:r w:rsidRPr="00353E70">
              <w:rPr>
                <w:rFonts w:ascii="Arial" w:eastAsia="Arial" w:hAnsi="Arial" w:cs="Arial"/>
                <w:color w:val="000000"/>
                <w:sz w:val="16"/>
              </w:rPr>
              <w:t>$'000</w:t>
            </w:r>
          </w:p>
        </w:tc>
      </w:tr>
      <w:tr w:rsidR="00FB7D0B" w14:paraId="2B9048A4" w14:textId="77777777" w:rsidTr="00FB7D0B">
        <w:trPr>
          <w:trHeight w:val="225"/>
        </w:trPr>
        <w:tc>
          <w:tcPr>
            <w:tcW w:w="3060" w:type="dxa"/>
            <w:gridSpan w:val="3"/>
            <w:tcBorders>
              <w:top w:val="nil"/>
              <w:left w:val="nil"/>
              <w:bottom w:val="nil"/>
              <w:right w:val="nil"/>
              <w:tl2br w:val="nil"/>
              <w:tr2bl w:val="nil"/>
            </w:tcBorders>
            <w:shd w:val="clear" w:color="auto" w:fill="FFFFFF"/>
            <w:tcMar>
              <w:left w:w="101" w:type="dxa"/>
              <w:right w:w="101" w:type="dxa"/>
            </w:tcMar>
            <w:vAlign w:val="bottom"/>
          </w:tcPr>
          <w:p w14:paraId="1D91CE1E" w14:textId="77777777" w:rsidR="003F0EEA" w:rsidRPr="00353E70" w:rsidRDefault="00FB7D0B">
            <w:pPr>
              <w:rPr>
                <w:rFonts w:ascii="Arial" w:eastAsia="Arial" w:hAnsi="Arial" w:cs="Arial"/>
                <w:color w:val="000000"/>
                <w:sz w:val="16"/>
              </w:rPr>
            </w:pPr>
            <w:r w:rsidRPr="00353E70">
              <w:rPr>
                <w:rFonts w:ascii="Arial" w:eastAsia="Arial" w:hAnsi="Arial" w:cs="Arial"/>
                <w:b/>
                <w:color w:val="000000"/>
                <w:sz w:val="16"/>
              </w:rPr>
              <w:t>ASSETS</w:t>
            </w:r>
          </w:p>
        </w:tc>
        <w:tc>
          <w:tcPr>
            <w:tcW w:w="91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7D9D1256" w14:textId="77777777" w:rsidR="003F0EEA" w:rsidRPr="00353E70" w:rsidRDefault="003F0EEA">
            <w:pPr>
              <w:rPr>
                <w:rFonts w:ascii="Arial" w:eastAsia="Arial" w:hAnsi="Arial" w:cs="Arial"/>
                <w:b/>
                <w:color w:val="000000"/>
                <w:sz w:val="16"/>
              </w:rPr>
            </w:pPr>
          </w:p>
        </w:tc>
        <w:tc>
          <w:tcPr>
            <w:tcW w:w="915" w:type="dxa"/>
            <w:tcBorders>
              <w:top w:val="single" w:sz="6" w:space="0" w:color="000000"/>
              <w:left w:val="nil"/>
              <w:bottom w:val="nil"/>
              <w:right w:val="nil"/>
              <w:tl2br w:val="nil"/>
              <w:tr2bl w:val="nil"/>
            </w:tcBorders>
            <w:shd w:val="clear" w:color="auto" w:fill="FFFF00"/>
            <w:tcMar>
              <w:left w:w="101" w:type="dxa"/>
              <w:right w:w="101" w:type="dxa"/>
            </w:tcMar>
            <w:vAlign w:val="bottom"/>
          </w:tcPr>
          <w:p w14:paraId="0DD56B5A" w14:textId="77777777" w:rsidR="003F0EEA" w:rsidRPr="00353E70" w:rsidRDefault="003F0EEA">
            <w:pPr>
              <w:rPr>
                <w:rFonts w:ascii="Arial" w:eastAsia="Arial" w:hAnsi="Arial" w:cs="Arial"/>
                <w:color w:val="000000"/>
                <w:sz w:val="16"/>
              </w:rPr>
            </w:pPr>
          </w:p>
        </w:tc>
        <w:tc>
          <w:tcPr>
            <w:tcW w:w="91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4F8403C8" w14:textId="77777777" w:rsidR="003F0EEA" w:rsidRPr="00353E70" w:rsidRDefault="003F0EEA">
            <w:pPr>
              <w:rPr>
                <w:rFonts w:ascii="Arial" w:eastAsia="Arial" w:hAnsi="Arial" w:cs="Arial"/>
                <w:color w:val="000000"/>
                <w:sz w:val="16"/>
              </w:rPr>
            </w:pPr>
          </w:p>
        </w:tc>
        <w:tc>
          <w:tcPr>
            <w:tcW w:w="91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1691F051" w14:textId="77777777" w:rsidR="003F0EEA" w:rsidRPr="00353E70" w:rsidRDefault="003F0EEA">
            <w:pPr>
              <w:rPr>
                <w:rFonts w:ascii="Arial" w:eastAsia="Arial" w:hAnsi="Arial" w:cs="Arial"/>
                <w:color w:val="000000"/>
                <w:sz w:val="16"/>
              </w:rPr>
            </w:pPr>
          </w:p>
        </w:tc>
        <w:tc>
          <w:tcPr>
            <w:tcW w:w="91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77BD1309" w14:textId="77777777" w:rsidR="003F0EEA" w:rsidRPr="00353E70" w:rsidRDefault="003F0EEA">
            <w:pPr>
              <w:rPr>
                <w:rFonts w:ascii="Arial" w:eastAsia="Arial" w:hAnsi="Arial" w:cs="Arial"/>
                <w:color w:val="000000"/>
                <w:sz w:val="16"/>
              </w:rPr>
            </w:pPr>
          </w:p>
        </w:tc>
      </w:tr>
      <w:tr w:rsidR="00FB7D0B" w14:paraId="0723BF28" w14:textId="77777777" w:rsidTr="00FB7D0B">
        <w:trPr>
          <w:trHeight w:val="225"/>
        </w:trPr>
        <w:tc>
          <w:tcPr>
            <w:tcW w:w="3060" w:type="dxa"/>
            <w:gridSpan w:val="3"/>
            <w:tcBorders>
              <w:top w:val="nil"/>
              <w:left w:val="nil"/>
              <w:bottom w:val="nil"/>
              <w:right w:val="nil"/>
              <w:tl2br w:val="nil"/>
              <w:tr2bl w:val="nil"/>
            </w:tcBorders>
            <w:shd w:val="clear" w:color="auto" w:fill="FFFFFF"/>
            <w:tcMar>
              <w:left w:w="101" w:type="dxa"/>
              <w:right w:w="101" w:type="dxa"/>
            </w:tcMar>
            <w:vAlign w:val="bottom"/>
          </w:tcPr>
          <w:p w14:paraId="593F8588" w14:textId="77777777" w:rsidR="003F0EEA" w:rsidRPr="00353E70" w:rsidRDefault="00FB7D0B">
            <w:pPr>
              <w:rPr>
                <w:rFonts w:ascii="Arial" w:eastAsia="Arial" w:hAnsi="Arial" w:cs="Arial"/>
                <w:color w:val="000000"/>
                <w:sz w:val="16"/>
              </w:rPr>
            </w:pPr>
            <w:r w:rsidRPr="00353E70">
              <w:rPr>
                <w:rFonts w:ascii="Arial" w:eastAsia="Arial" w:hAnsi="Arial" w:cs="Arial"/>
                <w:b/>
                <w:color w:val="000000"/>
                <w:sz w:val="16"/>
              </w:rPr>
              <w:t>Financial assets</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74F296F5" w14:textId="77777777" w:rsidR="003F0EEA" w:rsidRPr="00353E70" w:rsidRDefault="003F0EEA">
            <w:pPr>
              <w:rPr>
                <w:rFonts w:ascii="Arial" w:eastAsia="Arial" w:hAnsi="Arial" w:cs="Arial"/>
                <w:b/>
                <w:color w:val="000000"/>
                <w:sz w:val="16"/>
              </w:rPr>
            </w:pPr>
          </w:p>
        </w:tc>
        <w:tc>
          <w:tcPr>
            <w:tcW w:w="915" w:type="dxa"/>
            <w:tcBorders>
              <w:top w:val="nil"/>
              <w:left w:val="nil"/>
              <w:bottom w:val="nil"/>
              <w:right w:val="nil"/>
              <w:tl2br w:val="nil"/>
              <w:tr2bl w:val="nil"/>
            </w:tcBorders>
            <w:shd w:val="clear" w:color="auto" w:fill="FFFF00"/>
            <w:tcMar>
              <w:left w:w="101" w:type="dxa"/>
              <w:right w:w="101" w:type="dxa"/>
            </w:tcMar>
            <w:vAlign w:val="bottom"/>
          </w:tcPr>
          <w:p w14:paraId="19962C11" w14:textId="77777777" w:rsidR="003F0EEA" w:rsidRPr="00353E70" w:rsidRDefault="003F0EEA">
            <w:pPr>
              <w:rPr>
                <w:rFonts w:ascii="Arial" w:eastAsia="Arial" w:hAnsi="Arial" w:cs="Arial"/>
                <w:color w:val="000000"/>
                <w:sz w:val="16"/>
              </w:rPr>
            </w:pP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312553C8" w14:textId="77777777" w:rsidR="003F0EEA" w:rsidRPr="00353E70" w:rsidRDefault="003F0EEA">
            <w:pPr>
              <w:rPr>
                <w:rFonts w:ascii="Arial" w:eastAsia="Arial" w:hAnsi="Arial" w:cs="Arial"/>
                <w:color w:val="000000"/>
                <w:sz w:val="16"/>
              </w:rPr>
            </w:pP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000BDDB3" w14:textId="77777777" w:rsidR="003F0EEA" w:rsidRPr="00353E70" w:rsidRDefault="003F0EEA">
            <w:pPr>
              <w:rPr>
                <w:rFonts w:ascii="Arial" w:eastAsia="Arial" w:hAnsi="Arial" w:cs="Arial"/>
                <w:color w:val="000000"/>
                <w:sz w:val="16"/>
              </w:rPr>
            </w:pP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6244DEC9" w14:textId="77777777" w:rsidR="003F0EEA" w:rsidRPr="00353E70" w:rsidRDefault="003F0EEA">
            <w:pPr>
              <w:rPr>
                <w:rFonts w:ascii="Arial" w:eastAsia="Arial" w:hAnsi="Arial" w:cs="Arial"/>
                <w:color w:val="000000"/>
                <w:sz w:val="16"/>
              </w:rPr>
            </w:pPr>
          </w:p>
        </w:tc>
      </w:tr>
      <w:tr w:rsidR="00FB7D0B" w14:paraId="4EDC554A" w14:textId="77777777" w:rsidTr="00FB7D0B">
        <w:trPr>
          <w:trHeight w:val="225"/>
        </w:trPr>
        <w:tc>
          <w:tcPr>
            <w:tcW w:w="180" w:type="dxa"/>
            <w:tcBorders>
              <w:top w:val="nil"/>
              <w:left w:val="nil"/>
              <w:bottom w:val="nil"/>
              <w:right w:val="nil"/>
              <w:tl2br w:val="nil"/>
              <w:tr2bl w:val="nil"/>
            </w:tcBorders>
            <w:shd w:val="clear" w:color="auto" w:fill="FFFFFF"/>
            <w:tcMar>
              <w:left w:w="101" w:type="dxa"/>
              <w:right w:w="101" w:type="dxa"/>
            </w:tcMar>
            <w:vAlign w:val="bottom"/>
          </w:tcPr>
          <w:p w14:paraId="0169257F" w14:textId="77777777" w:rsidR="003F0EEA" w:rsidRPr="00353E70" w:rsidRDefault="003F0EEA">
            <w:pPr>
              <w:rPr>
                <w:rFonts w:ascii="Arial" w:eastAsia="Arial" w:hAnsi="Arial" w:cs="Arial"/>
                <w:color w:val="000000"/>
                <w:sz w:val="16"/>
              </w:rPr>
            </w:pPr>
          </w:p>
        </w:tc>
        <w:tc>
          <w:tcPr>
            <w:tcW w:w="2880" w:type="dxa"/>
            <w:gridSpan w:val="2"/>
            <w:vMerge w:val="restart"/>
            <w:tcBorders>
              <w:top w:val="nil"/>
              <w:left w:val="nil"/>
              <w:bottom w:val="nil"/>
              <w:right w:val="nil"/>
              <w:tl2br w:val="nil"/>
              <w:tr2bl w:val="nil"/>
            </w:tcBorders>
            <w:shd w:val="clear" w:color="auto" w:fill="FFFFFF"/>
            <w:tcMar>
              <w:left w:w="101" w:type="dxa"/>
              <w:right w:w="101" w:type="dxa"/>
            </w:tcMar>
            <w:vAlign w:val="bottom"/>
          </w:tcPr>
          <w:p w14:paraId="39D022F3" w14:textId="77777777" w:rsidR="003F0EEA" w:rsidRPr="00353E70" w:rsidRDefault="00FB7D0B">
            <w:pPr>
              <w:rPr>
                <w:rFonts w:ascii="Arial" w:eastAsia="Arial" w:hAnsi="Arial" w:cs="Arial"/>
                <w:color w:val="000000"/>
                <w:sz w:val="16"/>
              </w:rPr>
            </w:pPr>
            <w:r w:rsidRPr="00353E70">
              <w:rPr>
                <w:rFonts w:ascii="Arial" w:eastAsia="Arial" w:hAnsi="Arial" w:cs="Arial"/>
                <w:color w:val="000000"/>
                <w:sz w:val="16"/>
              </w:rPr>
              <w:t>Cash and cash equivalents</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00D98565" w14:textId="77777777" w:rsidR="003F0EEA" w:rsidRPr="00353E70" w:rsidRDefault="00FB7D0B">
            <w:pPr>
              <w:jc w:val="right"/>
              <w:rPr>
                <w:rFonts w:ascii="Arial" w:eastAsia="Arial" w:hAnsi="Arial" w:cs="Arial"/>
                <w:color w:val="000000"/>
                <w:sz w:val="16"/>
              </w:rPr>
            </w:pPr>
            <w:r w:rsidRPr="00353E70">
              <w:rPr>
                <w:rFonts w:ascii="Arial" w:eastAsia="Arial" w:hAnsi="Arial" w:cs="Arial"/>
                <w:color w:val="000000"/>
                <w:sz w:val="16"/>
              </w:rPr>
              <w:t>2,227 </w:t>
            </w:r>
          </w:p>
        </w:tc>
        <w:tc>
          <w:tcPr>
            <w:tcW w:w="915" w:type="dxa"/>
            <w:tcBorders>
              <w:top w:val="nil"/>
              <w:left w:val="nil"/>
              <w:bottom w:val="nil"/>
              <w:right w:val="nil"/>
              <w:tl2br w:val="nil"/>
              <w:tr2bl w:val="nil"/>
            </w:tcBorders>
            <w:shd w:val="clear" w:color="auto" w:fill="FFFF00"/>
            <w:tcMar>
              <w:left w:w="101" w:type="dxa"/>
              <w:right w:w="101" w:type="dxa"/>
            </w:tcMar>
            <w:vAlign w:val="bottom"/>
          </w:tcPr>
          <w:p w14:paraId="33DF2CB7" w14:textId="77777777" w:rsidR="003F0EEA" w:rsidRPr="00353E70" w:rsidRDefault="00FB7D0B">
            <w:pPr>
              <w:jc w:val="right"/>
              <w:rPr>
                <w:rFonts w:ascii="Arial" w:eastAsia="Arial" w:hAnsi="Arial" w:cs="Arial"/>
                <w:color w:val="000000"/>
                <w:sz w:val="16"/>
              </w:rPr>
            </w:pPr>
            <w:r w:rsidRPr="00353E70">
              <w:rPr>
                <w:rFonts w:ascii="Arial" w:eastAsia="Arial" w:hAnsi="Arial" w:cs="Arial"/>
                <w:color w:val="000000"/>
                <w:sz w:val="16"/>
              </w:rPr>
              <w:t>2,395 </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13C324BA" w14:textId="77777777" w:rsidR="003F0EEA" w:rsidRPr="00353E70" w:rsidRDefault="00FB7D0B">
            <w:pPr>
              <w:jc w:val="right"/>
              <w:rPr>
                <w:rFonts w:ascii="Arial" w:eastAsia="Arial" w:hAnsi="Arial" w:cs="Arial"/>
                <w:color w:val="000000"/>
                <w:sz w:val="16"/>
              </w:rPr>
            </w:pPr>
            <w:r w:rsidRPr="00353E70">
              <w:rPr>
                <w:rFonts w:ascii="Arial" w:eastAsia="Arial" w:hAnsi="Arial" w:cs="Arial"/>
                <w:color w:val="000000"/>
                <w:sz w:val="16"/>
              </w:rPr>
              <w:t>1,749 </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4064B40C" w14:textId="77777777" w:rsidR="003F0EEA" w:rsidRPr="00353E70" w:rsidRDefault="00FB7D0B">
            <w:pPr>
              <w:jc w:val="right"/>
              <w:rPr>
                <w:rFonts w:ascii="Arial" w:eastAsia="Arial" w:hAnsi="Arial" w:cs="Arial"/>
                <w:color w:val="000000"/>
                <w:sz w:val="16"/>
              </w:rPr>
            </w:pPr>
            <w:r w:rsidRPr="00353E70">
              <w:rPr>
                <w:rFonts w:ascii="Arial" w:eastAsia="Arial" w:hAnsi="Arial" w:cs="Arial"/>
                <w:color w:val="000000"/>
                <w:sz w:val="16"/>
              </w:rPr>
              <w:t>1,575 </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725C0297" w14:textId="77777777" w:rsidR="003F0EEA" w:rsidRPr="00353E70" w:rsidRDefault="00FB7D0B">
            <w:pPr>
              <w:jc w:val="right"/>
              <w:rPr>
                <w:rFonts w:ascii="Arial" w:eastAsia="Arial" w:hAnsi="Arial" w:cs="Arial"/>
                <w:color w:val="000000"/>
                <w:sz w:val="16"/>
              </w:rPr>
            </w:pPr>
            <w:r w:rsidRPr="00353E70">
              <w:rPr>
                <w:rFonts w:ascii="Arial" w:eastAsia="Arial" w:hAnsi="Arial" w:cs="Arial"/>
                <w:color w:val="000000"/>
                <w:sz w:val="16"/>
              </w:rPr>
              <w:t>1,803 </w:t>
            </w:r>
          </w:p>
        </w:tc>
      </w:tr>
      <w:tr w:rsidR="00FB7D0B" w14:paraId="38E29904" w14:textId="77777777" w:rsidTr="00FB7D0B">
        <w:trPr>
          <w:trHeight w:val="225"/>
        </w:trPr>
        <w:tc>
          <w:tcPr>
            <w:tcW w:w="180" w:type="dxa"/>
            <w:tcBorders>
              <w:top w:val="nil"/>
              <w:left w:val="nil"/>
              <w:bottom w:val="nil"/>
              <w:right w:val="nil"/>
              <w:tl2br w:val="nil"/>
              <w:tr2bl w:val="nil"/>
            </w:tcBorders>
            <w:shd w:val="clear" w:color="auto" w:fill="FFFFFF"/>
            <w:tcMar>
              <w:left w:w="101" w:type="dxa"/>
              <w:right w:w="101" w:type="dxa"/>
            </w:tcMar>
            <w:vAlign w:val="bottom"/>
          </w:tcPr>
          <w:p w14:paraId="75C0CA3A" w14:textId="77777777" w:rsidR="003F0EEA" w:rsidRPr="00353E70" w:rsidRDefault="003F0EEA">
            <w:pPr>
              <w:rPr>
                <w:rFonts w:ascii="Arial" w:eastAsia="Arial" w:hAnsi="Arial" w:cs="Arial"/>
                <w:color w:val="000000"/>
                <w:sz w:val="16"/>
              </w:rPr>
            </w:pPr>
          </w:p>
        </w:tc>
        <w:tc>
          <w:tcPr>
            <w:tcW w:w="2880" w:type="dxa"/>
            <w:gridSpan w:val="2"/>
            <w:vMerge w:val="restart"/>
            <w:tcBorders>
              <w:top w:val="nil"/>
              <w:left w:val="nil"/>
              <w:bottom w:val="nil"/>
              <w:right w:val="nil"/>
              <w:tl2br w:val="nil"/>
              <w:tr2bl w:val="nil"/>
            </w:tcBorders>
            <w:shd w:val="clear" w:color="auto" w:fill="FFFFFF"/>
            <w:tcMar>
              <w:left w:w="101" w:type="dxa"/>
              <w:right w:w="101" w:type="dxa"/>
            </w:tcMar>
            <w:vAlign w:val="bottom"/>
          </w:tcPr>
          <w:p w14:paraId="001B04D1" w14:textId="77777777" w:rsidR="003F0EEA" w:rsidRPr="00353E70" w:rsidRDefault="00FB7D0B">
            <w:pPr>
              <w:rPr>
                <w:rFonts w:ascii="Arial" w:eastAsia="Arial" w:hAnsi="Arial" w:cs="Arial"/>
                <w:color w:val="000000"/>
                <w:sz w:val="16"/>
              </w:rPr>
            </w:pPr>
            <w:r w:rsidRPr="00353E70">
              <w:rPr>
                <w:rFonts w:ascii="Arial" w:eastAsia="Arial" w:hAnsi="Arial" w:cs="Arial"/>
                <w:color w:val="000000"/>
                <w:sz w:val="16"/>
              </w:rPr>
              <w:t>Trade and other receivables</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27946F37" w14:textId="77777777" w:rsidR="003F0EEA" w:rsidRPr="00353E70" w:rsidRDefault="00FB7D0B">
            <w:pPr>
              <w:jc w:val="right"/>
              <w:rPr>
                <w:rFonts w:ascii="Arial" w:eastAsia="Arial" w:hAnsi="Arial" w:cs="Arial"/>
                <w:color w:val="000000"/>
                <w:sz w:val="16"/>
              </w:rPr>
            </w:pPr>
            <w:r w:rsidRPr="00353E70">
              <w:rPr>
                <w:rFonts w:ascii="Arial" w:eastAsia="Arial" w:hAnsi="Arial" w:cs="Arial"/>
                <w:color w:val="000000"/>
                <w:sz w:val="16"/>
              </w:rPr>
              <w:t>3,240 </w:t>
            </w:r>
          </w:p>
        </w:tc>
        <w:tc>
          <w:tcPr>
            <w:tcW w:w="915" w:type="dxa"/>
            <w:tcBorders>
              <w:top w:val="nil"/>
              <w:left w:val="nil"/>
              <w:bottom w:val="nil"/>
              <w:right w:val="nil"/>
              <w:tl2br w:val="nil"/>
              <w:tr2bl w:val="nil"/>
            </w:tcBorders>
            <w:shd w:val="clear" w:color="auto" w:fill="FFFF00"/>
            <w:tcMar>
              <w:left w:w="101" w:type="dxa"/>
              <w:right w:w="101" w:type="dxa"/>
            </w:tcMar>
            <w:vAlign w:val="bottom"/>
          </w:tcPr>
          <w:p w14:paraId="047B47AF" w14:textId="77777777" w:rsidR="003F0EEA" w:rsidRPr="00353E70" w:rsidRDefault="00FB7D0B">
            <w:pPr>
              <w:jc w:val="right"/>
              <w:rPr>
                <w:rFonts w:ascii="Arial" w:eastAsia="Arial" w:hAnsi="Arial" w:cs="Arial"/>
                <w:color w:val="000000"/>
                <w:sz w:val="16"/>
              </w:rPr>
            </w:pPr>
            <w:r w:rsidRPr="00353E70">
              <w:rPr>
                <w:rFonts w:ascii="Arial" w:eastAsia="Arial" w:hAnsi="Arial" w:cs="Arial"/>
                <w:color w:val="000000"/>
                <w:sz w:val="16"/>
              </w:rPr>
              <w:t>3,240 </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0879B701" w14:textId="77777777" w:rsidR="003F0EEA" w:rsidRPr="00353E70" w:rsidRDefault="00FB7D0B">
            <w:pPr>
              <w:jc w:val="right"/>
              <w:rPr>
                <w:rFonts w:ascii="Arial" w:eastAsia="Arial" w:hAnsi="Arial" w:cs="Arial"/>
                <w:color w:val="000000"/>
                <w:sz w:val="16"/>
              </w:rPr>
            </w:pPr>
            <w:r w:rsidRPr="00353E70">
              <w:rPr>
                <w:rFonts w:ascii="Arial" w:eastAsia="Arial" w:hAnsi="Arial" w:cs="Arial"/>
                <w:color w:val="000000"/>
                <w:sz w:val="16"/>
              </w:rPr>
              <w:t>3,240 </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406E5E35" w14:textId="77777777" w:rsidR="003F0EEA" w:rsidRPr="00353E70" w:rsidRDefault="00FB7D0B">
            <w:pPr>
              <w:jc w:val="right"/>
              <w:rPr>
                <w:rFonts w:ascii="Arial" w:eastAsia="Arial" w:hAnsi="Arial" w:cs="Arial"/>
                <w:color w:val="000000"/>
                <w:sz w:val="16"/>
              </w:rPr>
            </w:pPr>
            <w:r w:rsidRPr="00353E70">
              <w:rPr>
                <w:rFonts w:ascii="Arial" w:eastAsia="Arial" w:hAnsi="Arial" w:cs="Arial"/>
                <w:color w:val="000000"/>
                <w:sz w:val="16"/>
              </w:rPr>
              <w:t>3,240 </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6520DD9C" w14:textId="77777777" w:rsidR="003F0EEA" w:rsidRPr="00353E70" w:rsidRDefault="00FB7D0B">
            <w:pPr>
              <w:jc w:val="right"/>
              <w:rPr>
                <w:rFonts w:ascii="Arial" w:eastAsia="Arial" w:hAnsi="Arial" w:cs="Arial"/>
                <w:color w:val="000000"/>
                <w:sz w:val="16"/>
              </w:rPr>
            </w:pPr>
            <w:r w:rsidRPr="00353E70">
              <w:rPr>
                <w:rFonts w:ascii="Arial" w:eastAsia="Arial" w:hAnsi="Arial" w:cs="Arial"/>
                <w:color w:val="000000"/>
                <w:sz w:val="16"/>
              </w:rPr>
              <w:t>3,240 </w:t>
            </w:r>
          </w:p>
        </w:tc>
      </w:tr>
      <w:tr w:rsidR="00FB7D0B" w14:paraId="3926A1DD" w14:textId="77777777" w:rsidTr="00FB7D0B">
        <w:trPr>
          <w:trHeight w:val="225"/>
        </w:trPr>
        <w:tc>
          <w:tcPr>
            <w:tcW w:w="180" w:type="dxa"/>
            <w:tcBorders>
              <w:top w:val="nil"/>
              <w:left w:val="nil"/>
              <w:bottom w:val="nil"/>
              <w:right w:val="nil"/>
              <w:tl2br w:val="nil"/>
              <w:tr2bl w:val="nil"/>
            </w:tcBorders>
            <w:shd w:val="clear" w:color="auto" w:fill="FFFFFF"/>
            <w:tcMar>
              <w:left w:w="101" w:type="dxa"/>
              <w:right w:w="101" w:type="dxa"/>
            </w:tcMar>
            <w:vAlign w:val="bottom"/>
          </w:tcPr>
          <w:p w14:paraId="68150525" w14:textId="77777777" w:rsidR="003F0EEA" w:rsidRPr="00353E70" w:rsidRDefault="003F0EEA">
            <w:pPr>
              <w:rPr>
                <w:rFonts w:ascii="Arial" w:eastAsia="Arial" w:hAnsi="Arial" w:cs="Arial"/>
                <w:color w:val="000000"/>
                <w:sz w:val="16"/>
              </w:rPr>
            </w:pPr>
          </w:p>
        </w:tc>
        <w:tc>
          <w:tcPr>
            <w:tcW w:w="2880" w:type="dxa"/>
            <w:gridSpan w:val="2"/>
            <w:vMerge w:val="restart"/>
            <w:tcBorders>
              <w:top w:val="nil"/>
              <w:left w:val="nil"/>
              <w:bottom w:val="nil"/>
              <w:right w:val="nil"/>
              <w:tl2br w:val="nil"/>
              <w:tr2bl w:val="nil"/>
            </w:tcBorders>
            <w:shd w:val="clear" w:color="auto" w:fill="FFFFFF"/>
            <w:tcMar>
              <w:left w:w="101" w:type="dxa"/>
              <w:right w:w="101" w:type="dxa"/>
            </w:tcMar>
            <w:vAlign w:val="bottom"/>
          </w:tcPr>
          <w:p w14:paraId="09733C5A" w14:textId="77777777" w:rsidR="003F0EEA" w:rsidRPr="00353E70" w:rsidRDefault="00FB7D0B">
            <w:pPr>
              <w:rPr>
                <w:rFonts w:ascii="Arial" w:eastAsia="Arial" w:hAnsi="Arial" w:cs="Arial"/>
                <w:color w:val="000000"/>
                <w:sz w:val="16"/>
              </w:rPr>
            </w:pPr>
            <w:r w:rsidRPr="00353E70">
              <w:rPr>
                <w:rFonts w:ascii="Arial" w:eastAsia="Arial" w:hAnsi="Arial" w:cs="Arial"/>
                <w:color w:val="000000"/>
                <w:sz w:val="16"/>
              </w:rPr>
              <w:t>Appropriation receivables</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24DF0F5B" w14:textId="77777777" w:rsidR="003F0EEA" w:rsidRPr="00353E70" w:rsidRDefault="00FB7D0B">
            <w:pPr>
              <w:jc w:val="right"/>
              <w:rPr>
                <w:rFonts w:ascii="Arial" w:eastAsia="Arial" w:hAnsi="Arial" w:cs="Arial"/>
                <w:color w:val="000000"/>
                <w:sz w:val="16"/>
              </w:rPr>
            </w:pPr>
            <w:r w:rsidRPr="00353E70">
              <w:rPr>
                <w:rFonts w:ascii="Arial" w:eastAsia="Arial" w:hAnsi="Arial" w:cs="Arial"/>
                <w:color w:val="000000"/>
                <w:sz w:val="16"/>
              </w:rPr>
              <w:t>8,368 </w:t>
            </w:r>
          </w:p>
        </w:tc>
        <w:tc>
          <w:tcPr>
            <w:tcW w:w="915" w:type="dxa"/>
            <w:tcBorders>
              <w:top w:val="nil"/>
              <w:left w:val="nil"/>
              <w:bottom w:val="nil"/>
              <w:right w:val="nil"/>
              <w:tl2br w:val="nil"/>
              <w:tr2bl w:val="nil"/>
            </w:tcBorders>
            <w:shd w:val="clear" w:color="auto" w:fill="FFFF00"/>
            <w:tcMar>
              <w:left w:w="101" w:type="dxa"/>
              <w:right w:w="101" w:type="dxa"/>
            </w:tcMar>
            <w:vAlign w:val="bottom"/>
          </w:tcPr>
          <w:p w14:paraId="1C5CD48D" w14:textId="77777777" w:rsidR="003F0EEA" w:rsidRPr="00353E70" w:rsidRDefault="00FB7D0B">
            <w:pPr>
              <w:jc w:val="right"/>
              <w:rPr>
                <w:rFonts w:ascii="Arial" w:eastAsia="Arial" w:hAnsi="Arial" w:cs="Arial"/>
                <w:color w:val="000000"/>
                <w:sz w:val="16"/>
              </w:rPr>
            </w:pPr>
            <w:r w:rsidRPr="00353E70">
              <w:rPr>
                <w:rFonts w:ascii="Arial" w:eastAsia="Arial" w:hAnsi="Arial" w:cs="Arial"/>
                <w:color w:val="000000"/>
                <w:sz w:val="16"/>
              </w:rPr>
              <w:t>6,986 </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3052EB6F" w14:textId="77777777" w:rsidR="003F0EEA" w:rsidRPr="00353E70" w:rsidRDefault="00FB7D0B">
            <w:pPr>
              <w:jc w:val="right"/>
              <w:rPr>
                <w:rFonts w:ascii="Arial" w:eastAsia="Arial" w:hAnsi="Arial" w:cs="Arial"/>
                <w:color w:val="000000"/>
                <w:sz w:val="16"/>
              </w:rPr>
            </w:pPr>
            <w:r w:rsidRPr="00353E70">
              <w:rPr>
                <w:rFonts w:ascii="Arial" w:eastAsia="Arial" w:hAnsi="Arial" w:cs="Arial"/>
                <w:color w:val="000000"/>
                <w:sz w:val="16"/>
              </w:rPr>
              <w:t>5,199 </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781EBC5D" w14:textId="77777777" w:rsidR="003F0EEA" w:rsidRPr="00353E70" w:rsidRDefault="00FB7D0B">
            <w:pPr>
              <w:jc w:val="right"/>
              <w:rPr>
                <w:rFonts w:ascii="Arial" w:eastAsia="Arial" w:hAnsi="Arial" w:cs="Arial"/>
                <w:color w:val="000000"/>
                <w:sz w:val="16"/>
              </w:rPr>
            </w:pPr>
            <w:r w:rsidRPr="00353E70">
              <w:rPr>
                <w:rFonts w:ascii="Arial" w:eastAsia="Arial" w:hAnsi="Arial" w:cs="Arial"/>
                <w:color w:val="000000"/>
                <w:sz w:val="16"/>
              </w:rPr>
              <w:t>4,225 </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4E2D4115" w14:textId="77777777" w:rsidR="003F0EEA" w:rsidRPr="00353E70" w:rsidRDefault="00FB7D0B">
            <w:pPr>
              <w:jc w:val="right"/>
              <w:rPr>
                <w:rFonts w:ascii="Arial" w:eastAsia="Arial" w:hAnsi="Arial" w:cs="Arial"/>
                <w:color w:val="000000"/>
                <w:sz w:val="16"/>
              </w:rPr>
            </w:pPr>
            <w:r w:rsidRPr="00353E70">
              <w:rPr>
                <w:rFonts w:ascii="Arial" w:eastAsia="Arial" w:hAnsi="Arial" w:cs="Arial"/>
                <w:color w:val="000000"/>
                <w:sz w:val="16"/>
              </w:rPr>
              <w:t>4,730 </w:t>
            </w:r>
          </w:p>
        </w:tc>
      </w:tr>
      <w:tr w:rsidR="00FB7D0B" w14:paraId="3B310D56" w14:textId="77777777" w:rsidTr="00FB7D0B">
        <w:trPr>
          <w:trHeight w:val="225"/>
        </w:trPr>
        <w:tc>
          <w:tcPr>
            <w:tcW w:w="180" w:type="dxa"/>
            <w:tcBorders>
              <w:top w:val="nil"/>
              <w:left w:val="nil"/>
              <w:bottom w:val="nil"/>
              <w:right w:val="nil"/>
              <w:tl2br w:val="nil"/>
              <w:tr2bl w:val="nil"/>
            </w:tcBorders>
            <w:shd w:val="clear" w:color="auto" w:fill="FFFFFF"/>
            <w:tcMar>
              <w:left w:w="101" w:type="dxa"/>
              <w:right w:w="101" w:type="dxa"/>
            </w:tcMar>
            <w:vAlign w:val="bottom"/>
          </w:tcPr>
          <w:p w14:paraId="1A1C6FF5" w14:textId="77777777" w:rsidR="003F0EEA" w:rsidRPr="00353E70" w:rsidRDefault="003F0EEA">
            <w:pPr>
              <w:rPr>
                <w:rFonts w:ascii="Arial" w:eastAsia="Arial" w:hAnsi="Arial" w:cs="Arial"/>
                <w:color w:val="000000"/>
                <w:sz w:val="16"/>
              </w:rPr>
            </w:pPr>
          </w:p>
        </w:tc>
        <w:tc>
          <w:tcPr>
            <w:tcW w:w="2880" w:type="dxa"/>
            <w:gridSpan w:val="2"/>
            <w:tcBorders>
              <w:top w:val="nil"/>
              <w:left w:val="nil"/>
              <w:bottom w:val="nil"/>
              <w:right w:val="nil"/>
              <w:tl2br w:val="nil"/>
              <w:tr2bl w:val="nil"/>
            </w:tcBorders>
            <w:shd w:val="clear" w:color="auto" w:fill="FFFFFF"/>
            <w:tcMar>
              <w:left w:w="101" w:type="dxa"/>
              <w:right w:w="101" w:type="dxa"/>
            </w:tcMar>
            <w:vAlign w:val="bottom"/>
          </w:tcPr>
          <w:p w14:paraId="4FFFC738" w14:textId="77777777" w:rsidR="003F0EEA" w:rsidRPr="00353E70" w:rsidRDefault="00FB7D0B">
            <w:pPr>
              <w:rPr>
                <w:rFonts w:ascii="Arial" w:eastAsia="Arial" w:hAnsi="Arial" w:cs="Arial"/>
                <w:color w:val="000000"/>
                <w:sz w:val="16"/>
              </w:rPr>
            </w:pPr>
            <w:r w:rsidRPr="00353E70">
              <w:rPr>
                <w:rFonts w:ascii="Arial" w:eastAsia="Arial" w:hAnsi="Arial" w:cs="Arial"/>
                <w:color w:val="000000"/>
                <w:sz w:val="16"/>
              </w:rPr>
              <w:t>Investments</w:t>
            </w:r>
          </w:p>
        </w:tc>
        <w:tc>
          <w:tcPr>
            <w:tcW w:w="915"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228A988C" w14:textId="77777777" w:rsidR="003F0EEA" w:rsidRPr="00353E70" w:rsidRDefault="00FB7D0B">
            <w:pPr>
              <w:jc w:val="right"/>
              <w:rPr>
                <w:rFonts w:ascii="Arial" w:eastAsia="Arial" w:hAnsi="Arial" w:cs="Arial"/>
                <w:color w:val="000000"/>
                <w:sz w:val="16"/>
              </w:rPr>
            </w:pPr>
            <w:r w:rsidRPr="00353E70">
              <w:rPr>
                <w:rFonts w:ascii="Arial" w:eastAsia="Arial" w:hAnsi="Arial" w:cs="Arial"/>
                <w:color w:val="000000"/>
                <w:sz w:val="16"/>
              </w:rPr>
              <w:t>- </w:t>
            </w:r>
          </w:p>
        </w:tc>
        <w:tc>
          <w:tcPr>
            <w:tcW w:w="915" w:type="dxa"/>
            <w:tcBorders>
              <w:top w:val="nil"/>
              <w:left w:val="nil"/>
              <w:bottom w:val="single" w:sz="6" w:space="0" w:color="000000"/>
              <w:right w:val="nil"/>
              <w:tl2br w:val="nil"/>
              <w:tr2bl w:val="nil"/>
            </w:tcBorders>
            <w:shd w:val="clear" w:color="auto" w:fill="FFFF00"/>
            <w:tcMar>
              <w:left w:w="101" w:type="dxa"/>
              <w:right w:w="101" w:type="dxa"/>
            </w:tcMar>
            <w:vAlign w:val="bottom"/>
          </w:tcPr>
          <w:p w14:paraId="3A0AE73C" w14:textId="77777777" w:rsidR="003F0EEA" w:rsidRPr="00353E70" w:rsidRDefault="00FB7D0B">
            <w:pPr>
              <w:jc w:val="right"/>
              <w:rPr>
                <w:rFonts w:ascii="Arial" w:eastAsia="Arial" w:hAnsi="Arial" w:cs="Arial"/>
                <w:color w:val="000000"/>
                <w:sz w:val="16"/>
              </w:rPr>
            </w:pPr>
            <w:r w:rsidRPr="00353E70">
              <w:rPr>
                <w:rFonts w:ascii="Arial" w:eastAsia="Arial" w:hAnsi="Arial" w:cs="Arial"/>
                <w:color w:val="000000"/>
                <w:sz w:val="16"/>
              </w:rPr>
              <w:t>- </w:t>
            </w:r>
          </w:p>
        </w:tc>
        <w:tc>
          <w:tcPr>
            <w:tcW w:w="915"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4F55C15D" w14:textId="77777777" w:rsidR="003F0EEA" w:rsidRPr="00353E70" w:rsidRDefault="00FB7D0B">
            <w:pPr>
              <w:jc w:val="right"/>
              <w:rPr>
                <w:rFonts w:ascii="Arial" w:eastAsia="Arial" w:hAnsi="Arial" w:cs="Arial"/>
                <w:color w:val="000000"/>
                <w:sz w:val="16"/>
              </w:rPr>
            </w:pPr>
            <w:r w:rsidRPr="00353E70">
              <w:rPr>
                <w:rFonts w:ascii="Arial" w:eastAsia="Arial" w:hAnsi="Arial" w:cs="Arial"/>
                <w:color w:val="000000"/>
                <w:sz w:val="16"/>
              </w:rPr>
              <w:t>- </w:t>
            </w:r>
          </w:p>
        </w:tc>
        <w:tc>
          <w:tcPr>
            <w:tcW w:w="915"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27E7DB16" w14:textId="77777777" w:rsidR="003F0EEA" w:rsidRPr="00353E70" w:rsidRDefault="00FB7D0B">
            <w:pPr>
              <w:jc w:val="right"/>
              <w:rPr>
                <w:rFonts w:ascii="Arial" w:eastAsia="Arial" w:hAnsi="Arial" w:cs="Arial"/>
                <w:color w:val="000000"/>
                <w:sz w:val="16"/>
              </w:rPr>
            </w:pPr>
            <w:r w:rsidRPr="00353E70">
              <w:rPr>
                <w:rFonts w:ascii="Arial" w:eastAsia="Arial" w:hAnsi="Arial" w:cs="Arial"/>
                <w:color w:val="000000"/>
                <w:sz w:val="16"/>
              </w:rPr>
              <w:t>- </w:t>
            </w:r>
          </w:p>
        </w:tc>
        <w:tc>
          <w:tcPr>
            <w:tcW w:w="915"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04CCADB8" w14:textId="77777777" w:rsidR="003F0EEA" w:rsidRPr="00353E70" w:rsidRDefault="00FB7D0B">
            <w:pPr>
              <w:jc w:val="right"/>
              <w:rPr>
                <w:rFonts w:ascii="Arial" w:eastAsia="Arial" w:hAnsi="Arial" w:cs="Arial"/>
                <w:color w:val="000000"/>
                <w:sz w:val="16"/>
              </w:rPr>
            </w:pPr>
            <w:r w:rsidRPr="00353E70">
              <w:rPr>
                <w:rFonts w:ascii="Arial" w:eastAsia="Arial" w:hAnsi="Arial" w:cs="Arial"/>
                <w:color w:val="000000"/>
                <w:sz w:val="16"/>
              </w:rPr>
              <w:t>- </w:t>
            </w:r>
          </w:p>
        </w:tc>
      </w:tr>
      <w:tr w:rsidR="00FB7D0B" w14:paraId="383659A1" w14:textId="77777777" w:rsidTr="00FB7D0B">
        <w:trPr>
          <w:trHeight w:val="225"/>
        </w:trPr>
        <w:tc>
          <w:tcPr>
            <w:tcW w:w="3060" w:type="dxa"/>
            <w:gridSpan w:val="3"/>
            <w:tcBorders>
              <w:top w:val="nil"/>
              <w:left w:val="nil"/>
              <w:bottom w:val="nil"/>
              <w:right w:val="nil"/>
              <w:tl2br w:val="nil"/>
              <w:tr2bl w:val="nil"/>
            </w:tcBorders>
            <w:shd w:val="clear" w:color="auto" w:fill="FFFFFF"/>
            <w:tcMar>
              <w:left w:w="101" w:type="dxa"/>
              <w:right w:w="101" w:type="dxa"/>
            </w:tcMar>
            <w:vAlign w:val="bottom"/>
          </w:tcPr>
          <w:p w14:paraId="63D97D7F" w14:textId="77777777" w:rsidR="003F0EEA" w:rsidRPr="00353E70" w:rsidRDefault="00FB7D0B">
            <w:pPr>
              <w:rPr>
                <w:rFonts w:ascii="Arial" w:eastAsia="Arial" w:hAnsi="Arial" w:cs="Arial"/>
                <w:color w:val="000000"/>
                <w:sz w:val="16"/>
              </w:rPr>
            </w:pPr>
            <w:r w:rsidRPr="00353E70">
              <w:rPr>
                <w:rFonts w:ascii="Arial" w:eastAsia="Arial" w:hAnsi="Arial" w:cs="Arial"/>
                <w:b/>
                <w:i/>
                <w:color w:val="000000"/>
                <w:sz w:val="16"/>
              </w:rPr>
              <w:t>Total financial assets</w:t>
            </w:r>
          </w:p>
        </w:tc>
        <w:tc>
          <w:tcPr>
            <w:tcW w:w="915"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29B06880" w14:textId="77777777" w:rsidR="003F0EEA" w:rsidRPr="00353E70" w:rsidRDefault="00FB7D0B">
            <w:pPr>
              <w:jc w:val="right"/>
              <w:rPr>
                <w:rFonts w:ascii="Arial" w:eastAsia="Arial" w:hAnsi="Arial" w:cs="Arial"/>
                <w:b/>
                <w:i/>
                <w:color w:val="000000"/>
                <w:sz w:val="16"/>
              </w:rPr>
            </w:pPr>
            <w:r w:rsidRPr="00353E70">
              <w:rPr>
                <w:rFonts w:ascii="Arial" w:eastAsia="Arial" w:hAnsi="Arial" w:cs="Arial"/>
                <w:b/>
                <w:color w:val="000000"/>
                <w:sz w:val="16"/>
              </w:rPr>
              <w:t>13,835 </w:t>
            </w:r>
          </w:p>
        </w:tc>
        <w:tc>
          <w:tcPr>
            <w:tcW w:w="915" w:type="dxa"/>
            <w:tcBorders>
              <w:top w:val="single" w:sz="6" w:space="0" w:color="000000"/>
              <w:left w:val="nil"/>
              <w:bottom w:val="single" w:sz="6" w:space="0" w:color="000000"/>
              <w:right w:val="nil"/>
              <w:tl2br w:val="nil"/>
              <w:tr2bl w:val="nil"/>
            </w:tcBorders>
            <w:shd w:val="clear" w:color="auto" w:fill="FFFF00"/>
            <w:tcMar>
              <w:left w:w="101" w:type="dxa"/>
              <w:right w:w="101" w:type="dxa"/>
            </w:tcMar>
            <w:vAlign w:val="bottom"/>
          </w:tcPr>
          <w:p w14:paraId="6FA5B789" w14:textId="77777777" w:rsidR="003F0EEA" w:rsidRPr="00353E70" w:rsidRDefault="00FB7D0B">
            <w:pPr>
              <w:jc w:val="right"/>
              <w:rPr>
                <w:rFonts w:ascii="Arial" w:eastAsia="Arial" w:hAnsi="Arial" w:cs="Arial"/>
                <w:b/>
                <w:color w:val="000000"/>
                <w:sz w:val="16"/>
              </w:rPr>
            </w:pPr>
            <w:r w:rsidRPr="00353E70">
              <w:rPr>
                <w:rFonts w:ascii="Arial" w:eastAsia="Arial" w:hAnsi="Arial" w:cs="Arial"/>
                <w:b/>
                <w:color w:val="000000"/>
                <w:sz w:val="16"/>
              </w:rPr>
              <w:t>12,621 </w:t>
            </w:r>
          </w:p>
        </w:tc>
        <w:tc>
          <w:tcPr>
            <w:tcW w:w="915"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437EF616" w14:textId="77777777" w:rsidR="003F0EEA" w:rsidRPr="00353E70" w:rsidRDefault="00FB7D0B">
            <w:pPr>
              <w:jc w:val="right"/>
              <w:rPr>
                <w:rFonts w:ascii="Arial" w:eastAsia="Arial" w:hAnsi="Arial" w:cs="Arial"/>
                <w:b/>
                <w:color w:val="000000"/>
                <w:sz w:val="16"/>
              </w:rPr>
            </w:pPr>
            <w:r w:rsidRPr="00353E70">
              <w:rPr>
                <w:rFonts w:ascii="Arial" w:eastAsia="Arial" w:hAnsi="Arial" w:cs="Arial"/>
                <w:b/>
                <w:color w:val="000000"/>
                <w:sz w:val="16"/>
              </w:rPr>
              <w:t>10,188 </w:t>
            </w:r>
          </w:p>
        </w:tc>
        <w:tc>
          <w:tcPr>
            <w:tcW w:w="915"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78B37272" w14:textId="77777777" w:rsidR="003F0EEA" w:rsidRPr="00353E70" w:rsidRDefault="00FB7D0B">
            <w:pPr>
              <w:jc w:val="right"/>
              <w:rPr>
                <w:rFonts w:ascii="Arial" w:eastAsia="Arial" w:hAnsi="Arial" w:cs="Arial"/>
                <w:b/>
                <w:color w:val="000000"/>
                <w:sz w:val="16"/>
              </w:rPr>
            </w:pPr>
            <w:r w:rsidRPr="00353E70">
              <w:rPr>
                <w:rFonts w:ascii="Arial" w:eastAsia="Arial" w:hAnsi="Arial" w:cs="Arial"/>
                <w:b/>
                <w:color w:val="000000"/>
                <w:sz w:val="16"/>
              </w:rPr>
              <w:t>9,040 </w:t>
            </w:r>
          </w:p>
        </w:tc>
        <w:tc>
          <w:tcPr>
            <w:tcW w:w="915"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173A720F" w14:textId="77777777" w:rsidR="003F0EEA" w:rsidRPr="00353E70" w:rsidRDefault="00FB7D0B">
            <w:pPr>
              <w:jc w:val="right"/>
              <w:rPr>
                <w:rFonts w:ascii="Arial" w:eastAsia="Arial" w:hAnsi="Arial" w:cs="Arial"/>
                <w:b/>
                <w:color w:val="000000"/>
                <w:sz w:val="16"/>
              </w:rPr>
            </w:pPr>
            <w:r w:rsidRPr="00353E70">
              <w:rPr>
                <w:rFonts w:ascii="Arial" w:eastAsia="Arial" w:hAnsi="Arial" w:cs="Arial"/>
                <w:b/>
                <w:color w:val="000000"/>
                <w:sz w:val="16"/>
              </w:rPr>
              <w:t>9,773 </w:t>
            </w:r>
          </w:p>
        </w:tc>
      </w:tr>
      <w:tr w:rsidR="00724034" w14:paraId="32FE477B" w14:textId="77777777">
        <w:trPr>
          <w:trHeight w:hRule="exact" w:val="60"/>
        </w:trPr>
        <w:tc>
          <w:tcPr>
            <w:tcW w:w="180" w:type="dxa"/>
            <w:tcBorders>
              <w:top w:val="nil"/>
              <w:left w:val="nil"/>
              <w:bottom w:val="nil"/>
              <w:right w:val="nil"/>
              <w:tl2br w:val="nil"/>
              <w:tr2bl w:val="nil"/>
            </w:tcBorders>
            <w:shd w:val="clear" w:color="auto" w:fill="FFFFFF"/>
            <w:tcMar>
              <w:left w:w="101" w:type="dxa"/>
              <w:right w:w="101" w:type="dxa"/>
            </w:tcMar>
            <w:vAlign w:val="bottom"/>
          </w:tcPr>
          <w:p w14:paraId="18194776" w14:textId="77777777" w:rsidR="003F0EEA" w:rsidRPr="00353E70" w:rsidRDefault="003F0EEA">
            <w:pPr>
              <w:rPr>
                <w:rFonts w:ascii="Arial" w:eastAsia="Arial" w:hAnsi="Arial" w:cs="Arial"/>
                <w:b/>
                <w:color w:val="000000"/>
                <w:sz w:val="16"/>
              </w:rPr>
            </w:pPr>
          </w:p>
        </w:tc>
        <w:tc>
          <w:tcPr>
            <w:tcW w:w="180" w:type="dxa"/>
            <w:tcBorders>
              <w:top w:val="nil"/>
              <w:left w:val="nil"/>
              <w:bottom w:val="nil"/>
              <w:right w:val="nil"/>
              <w:tl2br w:val="nil"/>
              <w:tr2bl w:val="nil"/>
            </w:tcBorders>
            <w:shd w:val="clear" w:color="auto" w:fill="FFFFFF"/>
            <w:tcMar>
              <w:left w:w="101" w:type="dxa"/>
              <w:right w:w="101" w:type="dxa"/>
            </w:tcMar>
            <w:vAlign w:val="bottom"/>
          </w:tcPr>
          <w:p w14:paraId="1CD748C5" w14:textId="77777777" w:rsidR="003F0EEA" w:rsidRPr="00353E70" w:rsidRDefault="003F0EEA">
            <w:pPr>
              <w:rPr>
                <w:rFonts w:ascii="Arial" w:eastAsia="Arial" w:hAnsi="Arial" w:cs="Arial"/>
                <w:color w:val="000000"/>
                <w:sz w:val="16"/>
              </w:rPr>
            </w:pPr>
          </w:p>
        </w:tc>
        <w:tc>
          <w:tcPr>
            <w:tcW w:w="2700" w:type="dxa"/>
            <w:tcBorders>
              <w:top w:val="nil"/>
              <w:left w:val="nil"/>
              <w:bottom w:val="nil"/>
              <w:right w:val="nil"/>
              <w:tl2br w:val="nil"/>
              <w:tr2bl w:val="nil"/>
            </w:tcBorders>
            <w:shd w:val="clear" w:color="auto" w:fill="FFFFFF"/>
            <w:tcMar>
              <w:left w:w="101" w:type="dxa"/>
              <w:right w:w="101" w:type="dxa"/>
            </w:tcMar>
            <w:vAlign w:val="bottom"/>
          </w:tcPr>
          <w:p w14:paraId="0A0F6B50" w14:textId="77777777" w:rsidR="003F0EEA" w:rsidRPr="00353E70" w:rsidRDefault="003F0EEA">
            <w:pPr>
              <w:rPr>
                <w:rFonts w:ascii="Arial" w:eastAsia="Arial" w:hAnsi="Arial" w:cs="Arial"/>
                <w:color w:val="000000"/>
                <w:sz w:val="16"/>
              </w:rPr>
            </w:pPr>
          </w:p>
        </w:tc>
        <w:tc>
          <w:tcPr>
            <w:tcW w:w="91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0C9482F4" w14:textId="77777777" w:rsidR="003F0EEA" w:rsidRPr="00353E70" w:rsidRDefault="003F0EEA">
            <w:pPr>
              <w:rPr>
                <w:rFonts w:ascii="Arial" w:eastAsia="Arial" w:hAnsi="Arial" w:cs="Arial"/>
                <w:b/>
                <w:color w:val="000000"/>
                <w:sz w:val="16"/>
              </w:rPr>
            </w:pPr>
          </w:p>
        </w:tc>
        <w:tc>
          <w:tcPr>
            <w:tcW w:w="915" w:type="dxa"/>
            <w:tcBorders>
              <w:top w:val="single" w:sz="6" w:space="0" w:color="000000"/>
              <w:left w:val="nil"/>
              <w:bottom w:val="nil"/>
              <w:right w:val="nil"/>
              <w:tl2br w:val="nil"/>
              <w:tr2bl w:val="nil"/>
            </w:tcBorders>
            <w:shd w:val="clear" w:color="auto" w:fill="FFFF00"/>
            <w:tcMar>
              <w:left w:w="101" w:type="dxa"/>
              <w:right w:w="101" w:type="dxa"/>
            </w:tcMar>
            <w:vAlign w:val="bottom"/>
          </w:tcPr>
          <w:p w14:paraId="38708888" w14:textId="77777777" w:rsidR="003F0EEA" w:rsidRPr="00353E70" w:rsidRDefault="003F0EEA">
            <w:pPr>
              <w:rPr>
                <w:rFonts w:ascii="Arial" w:eastAsia="Arial" w:hAnsi="Arial" w:cs="Arial"/>
                <w:color w:val="000000"/>
                <w:sz w:val="16"/>
              </w:rPr>
            </w:pPr>
          </w:p>
        </w:tc>
        <w:tc>
          <w:tcPr>
            <w:tcW w:w="91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5032A498" w14:textId="77777777" w:rsidR="003F0EEA" w:rsidRPr="00353E70" w:rsidRDefault="003F0EEA">
            <w:pPr>
              <w:rPr>
                <w:rFonts w:ascii="Arial" w:eastAsia="Arial" w:hAnsi="Arial" w:cs="Arial"/>
                <w:color w:val="000000"/>
                <w:sz w:val="16"/>
              </w:rPr>
            </w:pPr>
          </w:p>
        </w:tc>
        <w:tc>
          <w:tcPr>
            <w:tcW w:w="91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41E1373B" w14:textId="77777777" w:rsidR="003F0EEA" w:rsidRPr="00353E70" w:rsidRDefault="003F0EEA">
            <w:pPr>
              <w:rPr>
                <w:rFonts w:ascii="Arial" w:eastAsia="Arial" w:hAnsi="Arial" w:cs="Arial"/>
                <w:color w:val="000000"/>
                <w:sz w:val="16"/>
              </w:rPr>
            </w:pPr>
          </w:p>
        </w:tc>
        <w:tc>
          <w:tcPr>
            <w:tcW w:w="91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7810AE5E" w14:textId="77777777" w:rsidR="003F0EEA" w:rsidRPr="00353E70" w:rsidRDefault="003F0EEA">
            <w:pPr>
              <w:rPr>
                <w:rFonts w:ascii="Arial" w:eastAsia="Arial" w:hAnsi="Arial" w:cs="Arial"/>
                <w:color w:val="000000"/>
                <w:sz w:val="16"/>
              </w:rPr>
            </w:pPr>
          </w:p>
        </w:tc>
      </w:tr>
      <w:tr w:rsidR="00FB7D0B" w14:paraId="008ACF1A" w14:textId="77777777" w:rsidTr="00FB7D0B">
        <w:trPr>
          <w:trHeight w:val="225"/>
        </w:trPr>
        <w:tc>
          <w:tcPr>
            <w:tcW w:w="3060" w:type="dxa"/>
            <w:gridSpan w:val="3"/>
            <w:tcBorders>
              <w:top w:val="nil"/>
              <w:left w:val="nil"/>
              <w:bottom w:val="nil"/>
              <w:right w:val="nil"/>
              <w:tl2br w:val="nil"/>
              <w:tr2bl w:val="nil"/>
            </w:tcBorders>
            <w:shd w:val="clear" w:color="auto" w:fill="FFFFFF"/>
            <w:tcMar>
              <w:left w:w="101" w:type="dxa"/>
              <w:right w:w="101" w:type="dxa"/>
            </w:tcMar>
            <w:vAlign w:val="bottom"/>
          </w:tcPr>
          <w:p w14:paraId="600912EC" w14:textId="77777777" w:rsidR="003F0EEA" w:rsidRPr="00353E70" w:rsidRDefault="00FB7D0B">
            <w:pPr>
              <w:rPr>
                <w:rFonts w:ascii="Arial" w:eastAsia="Arial" w:hAnsi="Arial" w:cs="Arial"/>
                <w:color w:val="000000"/>
                <w:sz w:val="16"/>
              </w:rPr>
            </w:pPr>
            <w:r w:rsidRPr="00353E70">
              <w:rPr>
                <w:rFonts w:ascii="Arial" w:eastAsia="Arial" w:hAnsi="Arial" w:cs="Arial"/>
                <w:b/>
                <w:color w:val="000000"/>
                <w:sz w:val="16"/>
              </w:rPr>
              <w:t>Non-financial assets</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5727CE63" w14:textId="77777777" w:rsidR="003F0EEA" w:rsidRPr="00353E70" w:rsidRDefault="003F0EEA">
            <w:pPr>
              <w:rPr>
                <w:rFonts w:ascii="Arial" w:eastAsia="Arial" w:hAnsi="Arial" w:cs="Arial"/>
                <w:b/>
                <w:color w:val="000000"/>
                <w:sz w:val="16"/>
              </w:rPr>
            </w:pPr>
          </w:p>
        </w:tc>
        <w:tc>
          <w:tcPr>
            <w:tcW w:w="915" w:type="dxa"/>
            <w:tcBorders>
              <w:top w:val="nil"/>
              <w:left w:val="nil"/>
              <w:bottom w:val="nil"/>
              <w:right w:val="nil"/>
              <w:tl2br w:val="nil"/>
              <w:tr2bl w:val="nil"/>
            </w:tcBorders>
            <w:shd w:val="clear" w:color="auto" w:fill="FFFF00"/>
            <w:tcMar>
              <w:left w:w="101" w:type="dxa"/>
              <w:right w:w="101" w:type="dxa"/>
            </w:tcMar>
            <w:vAlign w:val="bottom"/>
          </w:tcPr>
          <w:p w14:paraId="2D257FF6" w14:textId="77777777" w:rsidR="003F0EEA" w:rsidRPr="00353E70" w:rsidRDefault="003F0EEA">
            <w:pPr>
              <w:rPr>
                <w:rFonts w:ascii="Arial" w:eastAsia="Arial" w:hAnsi="Arial" w:cs="Arial"/>
                <w:color w:val="000000"/>
                <w:sz w:val="16"/>
              </w:rPr>
            </w:pP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12AACB99" w14:textId="77777777" w:rsidR="003F0EEA" w:rsidRPr="00353E70" w:rsidRDefault="003F0EEA">
            <w:pPr>
              <w:rPr>
                <w:rFonts w:ascii="Arial" w:eastAsia="Arial" w:hAnsi="Arial" w:cs="Arial"/>
                <w:color w:val="000000"/>
                <w:sz w:val="16"/>
              </w:rPr>
            </w:pP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3D516E25" w14:textId="77777777" w:rsidR="003F0EEA" w:rsidRPr="00353E70" w:rsidRDefault="003F0EEA">
            <w:pPr>
              <w:rPr>
                <w:rFonts w:ascii="Arial" w:eastAsia="Arial" w:hAnsi="Arial" w:cs="Arial"/>
                <w:color w:val="000000"/>
                <w:sz w:val="16"/>
              </w:rPr>
            </w:pP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77FB58CE" w14:textId="77777777" w:rsidR="003F0EEA" w:rsidRPr="00353E70" w:rsidRDefault="003F0EEA">
            <w:pPr>
              <w:rPr>
                <w:rFonts w:ascii="Arial" w:eastAsia="Arial" w:hAnsi="Arial" w:cs="Arial"/>
                <w:color w:val="000000"/>
                <w:sz w:val="16"/>
              </w:rPr>
            </w:pPr>
          </w:p>
        </w:tc>
      </w:tr>
      <w:tr w:rsidR="00FB7D0B" w14:paraId="5CFFD4A0" w14:textId="77777777" w:rsidTr="00FB7D0B">
        <w:trPr>
          <w:trHeight w:val="225"/>
        </w:trPr>
        <w:tc>
          <w:tcPr>
            <w:tcW w:w="180" w:type="dxa"/>
            <w:tcBorders>
              <w:top w:val="nil"/>
              <w:left w:val="nil"/>
              <w:bottom w:val="nil"/>
              <w:right w:val="nil"/>
              <w:tl2br w:val="nil"/>
              <w:tr2bl w:val="nil"/>
            </w:tcBorders>
            <w:shd w:val="clear" w:color="auto" w:fill="FFFFFF"/>
            <w:tcMar>
              <w:left w:w="101" w:type="dxa"/>
              <w:right w:w="101" w:type="dxa"/>
            </w:tcMar>
            <w:vAlign w:val="bottom"/>
          </w:tcPr>
          <w:p w14:paraId="6837BA16" w14:textId="77777777" w:rsidR="003F0EEA" w:rsidRPr="00353E70" w:rsidRDefault="003F0EEA">
            <w:pPr>
              <w:rPr>
                <w:rFonts w:ascii="Arial" w:eastAsia="Arial" w:hAnsi="Arial" w:cs="Arial"/>
                <w:color w:val="000000"/>
                <w:sz w:val="16"/>
              </w:rPr>
            </w:pPr>
          </w:p>
        </w:tc>
        <w:tc>
          <w:tcPr>
            <w:tcW w:w="2880" w:type="dxa"/>
            <w:gridSpan w:val="2"/>
            <w:vMerge w:val="restart"/>
            <w:tcBorders>
              <w:top w:val="nil"/>
              <w:left w:val="nil"/>
              <w:bottom w:val="nil"/>
              <w:right w:val="nil"/>
              <w:tl2br w:val="nil"/>
              <w:tr2bl w:val="nil"/>
            </w:tcBorders>
            <w:shd w:val="clear" w:color="auto" w:fill="FFFFFF"/>
            <w:tcMar>
              <w:left w:w="101" w:type="dxa"/>
              <w:right w:w="101" w:type="dxa"/>
            </w:tcMar>
            <w:vAlign w:val="bottom"/>
          </w:tcPr>
          <w:p w14:paraId="3CEACD30" w14:textId="77777777" w:rsidR="003F0EEA" w:rsidRPr="00353E70" w:rsidRDefault="00FB7D0B">
            <w:pPr>
              <w:rPr>
                <w:rFonts w:ascii="Arial" w:eastAsia="Arial" w:hAnsi="Arial" w:cs="Arial"/>
                <w:color w:val="000000"/>
                <w:sz w:val="16"/>
              </w:rPr>
            </w:pPr>
            <w:r w:rsidRPr="00353E70">
              <w:rPr>
                <w:rFonts w:ascii="Arial" w:eastAsia="Arial" w:hAnsi="Arial" w:cs="Arial"/>
                <w:color w:val="000000"/>
                <w:sz w:val="16"/>
              </w:rPr>
              <w:t>Land and buildings</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16CE7EA9" w14:textId="77777777" w:rsidR="003F0EEA" w:rsidRPr="00353E70" w:rsidRDefault="00FB7D0B">
            <w:pPr>
              <w:jc w:val="right"/>
              <w:rPr>
                <w:rFonts w:ascii="Arial" w:eastAsia="Arial" w:hAnsi="Arial" w:cs="Arial"/>
                <w:color w:val="000000"/>
                <w:sz w:val="16"/>
              </w:rPr>
            </w:pPr>
            <w:r w:rsidRPr="00353E70">
              <w:rPr>
                <w:rFonts w:ascii="Arial" w:eastAsia="Arial" w:hAnsi="Arial" w:cs="Arial"/>
                <w:color w:val="000000"/>
                <w:sz w:val="16"/>
              </w:rPr>
              <w:t>20,423 </w:t>
            </w:r>
          </w:p>
        </w:tc>
        <w:tc>
          <w:tcPr>
            <w:tcW w:w="915" w:type="dxa"/>
            <w:tcBorders>
              <w:top w:val="nil"/>
              <w:left w:val="nil"/>
              <w:bottom w:val="nil"/>
              <w:right w:val="nil"/>
              <w:tl2br w:val="nil"/>
              <w:tr2bl w:val="nil"/>
            </w:tcBorders>
            <w:shd w:val="clear" w:color="auto" w:fill="FFFF00"/>
            <w:tcMar>
              <w:left w:w="101" w:type="dxa"/>
              <w:right w:w="101" w:type="dxa"/>
            </w:tcMar>
            <w:vAlign w:val="bottom"/>
          </w:tcPr>
          <w:p w14:paraId="0ADDD32B" w14:textId="77777777" w:rsidR="003F0EEA" w:rsidRPr="00353E70" w:rsidRDefault="00FB7D0B">
            <w:pPr>
              <w:jc w:val="right"/>
              <w:rPr>
                <w:rFonts w:ascii="Arial" w:eastAsia="Arial" w:hAnsi="Arial" w:cs="Arial"/>
                <w:color w:val="000000"/>
                <w:sz w:val="16"/>
              </w:rPr>
            </w:pPr>
            <w:r w:rsidRPr="00353E70">
              <w:rPr>
                <w:rFonts w:ascii="Arial" w:eastAsia="Arial" w:hAnsi="Arial" w:cs="Arial"/>
                <w:color w:val="000000"/>
                <w:sz w:val="16"/>
              </w:rPr>
              <w:t>17,153 </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7AFACDD1" w14:textId="77777777" w:rsidR="003F0EEA" w:rsidRPr="00353E70" w:rsidRDefault="00FB7D0B">
            <w:pPr>
              <w:jc w:val="right"/>
              <w:rPr>
                <w:rFonts w:ascii="Arial" w:eastAsia="Arial" w:hAnsi="Arial" w:cs="Arial"/>
                <w:color w:val="000000"/>
                <w:sz w:val="16"/>
              </w:rPr>
            </w:pPr>
            <w:r w:rsidRPr="00353E70">
              <w:rPr>
                <w:rFonts w:ascii="Arial" w:eastAsia="Arial" w:hAnsi="Arial" w:cs="Arial"/>
                <w:color w:val="000000"/>
                <w:sz w:val="16"/>
              </w:rPr>
              <w:t>15,813 </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02B6C9C9" w14:textId="77777777" w:rsidR="003F0EEA" w:rsidRPr="00353E70" w:rsidRDefault="00FB7D0B">
            <w:pPr>
              <w:jc w:val="right"/>
              <w:rPr>
                <w:rFonts w:ascii="Arial" w:eastAsia="Arial" w:hAnsi="Arial" w:cs="Arial"/>
                <w:color w:val="000000"/>
                <w:sz w:val="16"/>
              </w:rPr>
            </w:pPr>
            <w:r w:rsidRPr="00353E70">
              <w:rPr>
                <w:rFonts w:ascii="Arial" w:eastAsia="Arial" w:hAnsi="Arial" w:cs="Arial"/>
                <w:color w:val="000000"/>
                <w:sz w:val="16"/>
              </w:rPr>
              <w:t>13,969 </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3967C510" w14:textId="77777777" w:rsidR="003F0EEA" w:rsidRPr="00353E70" w:rsidRDefault="00FB7D0B">
            <w:pPr>
              <w:jc w:val="right"/>
              <w:rPr>
                <w:rFonts w:ascii="Arial" w:eastAsia="Arial" w:hAnsi="Arial" w:cs="Arial"/>
                <w:color w:val="000000"/>
                <w:sz w:val="16"/>
              </w:rPr>
            </w:pPr>
            <w:r w:rsidRPr="00353E70">
              <w:rPr>
                <w:rFonts w:ascii="Arial" w:eastAsia="Arial" w:hAnsi="Arial" w:cs="Arial"/>
                <w:color w:val="000000"/>
                <w:sz w:val="16"/>
              </w:rPr>
              <w:t>14,228 </w:t>
            </w:r>
          </w:p>
        </w:tc>
      </w:tr>
      <w:tr w:rsidR="00FB7D0B" w14:paraId="1513B801" w14:textId="77777777" w:rsidTr="00FB7D0B">
        <w:trPr>
          <w:trHeight w:val="225"/>
        </w:trPr>
        <w:tc>
          <w:tcPr>
            <w:tcW w:w="180" w:type="dxa"/>
            <w:tcBorders>
              <w:top w:val="nil"/>
              <w:left w:val="nil"/>
              <w:bottom w:val="nil"/>
              <w:right w:val="nil"/>
              <w:tl2br w:val="nil"/>
              <w:tr2bl w:val="nil"/>
            </w:tcBorders>
            <w:shd w:val="clear" w:color="auto" w:fill="FFFFFF"/>
            <w:tcMar>
              <w:left w:w="101" w:type="dxa"/>
              <w:right w:w="101" w:type="dxa"/>
            </w:tcMar>
            <w:vAlign w:val="bottom"/>
          </w:tcPr>
          <w:p w14:paraId="5D8CD87D" w14:textId="77777777" w:rsidR="003F0EEA" w:rsidRPr="00353E70" w:rsidRDefault="003F0EEA">
            <w:pPr>
              <w:rPr>
                <w:rFonts w:ascii="Arial" w:eastAsia="Arial" w:hAnsi="Arial" w:cs="Arial"/>
                <w:color w:val="000000"/>
                <w:sz w:val="16"/>
              </w:rPr>
            </w:pPr>
          </w:p>
        </w:tc>
        <w:tc>
          <w:tcPr>
            <w:tcW w:w="2880" w:type="dxa"/>
            <w:gridSpan w:val="2"/>
            <w:vMerge w:val="restart"/>
            <w:tcBorders>
              <w:top w:val="nil"/>
              <w:left w:val="nil"/>
              <w:bottom w:val="nil"/>
              <w:right w:val="nil"/>
              <w:tl2br w:val="nil"/>
              <w:tr2bl w:val="nil"/>
            </w:tcBorders>
            <w:shd w:val="clear" w:color="auto" w:fill="FFFFFF"/>
            <w:tcMar>
              <w:left w:w="101" w:type="dxa"/>
              <w:right w:w="101" w:type="dxa"/>
            </w:tcMar>
            <w:vAlign w:val="bottom"/>
          </w:tcPr>
          <w:p w14:paraId="7F5A0F7E" w14:textId="77777777" w:rsidR="003F0EEA" w:rsidRPr="00353E70" w:rsidRDefault="00FB7D0B">
            <w:pPr>
              <w:rPr>
                <w:rFonts w:ascii="Arial" w:eastAsia="Arial" w:hAnsi="Arial" w:cs="Arial"/>
                <w:color w:val="000000"/>
                <w:sz w:val="16"/>
              </w:rPr>
            </w:pPr>
            <w:r w:rsidRPr="00353E70">
              <w:rPr>
                <w:rFonts w:ascii="Arial" w:eastAsia="Arial" w:hAnsi="Arial" w:cs="Arial"/>
                <w:color w:val="000000"/>
                <w:sz w:val="16"/>
              </w:rPr>
              <w:t>Infrastructure, plant and equipment</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3D115E0B" w14:textId="77777777" w:rsidR="003F0EEA" w:rsidRPr="00353E70" w:rsidRDefault="00FB7D0B">
            <w:pPr>
              <w:jc w:val="right"/>
              <w:rPr>
                <w:rFonts w:ascii="Arial" w:eastAsia="Arial" w:hAnsi="Arial" w:cs="Arial"/>
                <w:color w:val="000000"/>
                <w:sz w:val="16"/>
              </w:rPr>
            </w:pPr>
            <w:r w:rsidRPr="00353E70">
              <w:rPr>
                <w:rFonts w:ascii="Arial" w:eastAsia="Arial" w:hAnsi="Arial" w:cs="Arial"/>
                <w:color w:val="000000"/>
                <w:sz w:val="16"/>
              </w:rPr>
              <w:t>11,746 </w:t>
            </w:r>
          </w:p>
        </w:tc>
        <w:tc>
          <w:tcPr>
            <w:tcW w:w="915" w:type="dxa"/>
            <w:tcBorders>
              <w:top w:val="nil"/>
              <w:left w:val="nil"/>
              <w:bottom w:val="nil"/>
              <w:right w:val="nil"/>
              <w:tl2br w:val="nil"/>
              <w:tr2bl w:val="nil"/>
            </w:tcBorders>
            <w:shd w:val="clear" w:color="auto" w:fill="FFFF00"/>
            <w:tcMar>
              <w:left w:w="101" w:type="dxa"/>
              <w:right w:w="101" w:type="dxa"/>
            </w:tcMar>
            <w:vAlign w:val="bottom"/>
          </w:tcPr>
          <w:p w14:paraId="5E519CD8" w14:textId="77777777" w:rsidR="003F0EEA" w:rsidRPr="00353E70" w:rsidRDefault="00FB7D0B">
            <w:pPr>
              <w:jc w:val="right"/>
              <w:rPr>
                <w:rFonts w:ascii="Arial" w:eastAsia="Arial" w:hAnsi="Arial" w:cs="Arial"/>
                <w:color w:val="000000"/>
                <w:sz w:val="16"/>
              </w:rPr>
            </w:pPr>
            <w:r w:rsidRPr="00353E70">
              <w:rPr>
                <w:rFonts w:ascii="Arial" w:eastAsia="Arial" w:hAnsi="Arial" w:cs="Arial"/>
                <w:color w:val="000000"/>
                <w:sz w:val="16"/>
              </w:rPr>
              <w:t>5,168 </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7BFAE3EE" w14:textId="77777777" w:rsidR="003F0EEA" w:rsidRPr="00353E70" w:rsidRDefault="00FB7D0B">
            <w:pPr>
              <w:jc w:val="right"/>
              <w:rPr>
                <w:rFonts w:ascii="Arial" w:eastAsia="Arial" w:hAnsi="Arial" w:cs="Arial"/>
                <w:color w:val="000000"/>
                <w:sz w:val="16"/>
              </w:rPr>
            </w:pPr>
            <w:r w:rsidRPr="00353E70">
              <w:rPr>
                <w:rFonts w:ascii="Arial" w:eastAsia="Arial" w:hAnsi="Arial" w:cs="Arial"/>
                <w:color w:val="000000"/>
                <w:sz w:val="16"/>
              </w:rPr>
              <w:t>2,708 </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63071D04" w14:textId="77777777" w:rsidR="003F0EEA" w:rsidRPr="00353E70" w:rsidRDefault="00FB7D0B">
            <w:pPr>
              <w:jc w:val="right"/>
              <w:rPr>
                <w:rFonts w:ascii="Arial" w:eastAsia="Arial" w:hAnsi="Arial" w:cs="Arial"/>
                <w:color w:val="000000"/>
                <w:sz w:val="16"/>
              </w:rPr>
            </w:pPr>
            <w:r w:rsidRPr="00353E70">
              <w:rPr>
                <w:rFonts w:ascii="Arial" w:eastAsia="Arial" w:hAnsi="Arial" w:cs="Arial"/>
                <w:color w:val="000000"/>
                <w:sz w:val="16"/>
              </w:rPr>
              <w:t>4,041 </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22F11086" w14:textId="77777777" w:rsidR="003F0EEA" w:rsidRPr="00353E70" w:rsidRDefault="00FB7D0B">
            <w:pPr>
              <w:jc w:val="right"/>
              <w:rPr>
                <w:rFonts w:ascii="Arial" w:eastAsia="Arial" w:hAnsi="Arial" w:cs="Arial"/>
                <w:color w:val="000000"/>
                <w:sz w:val="16"/>
              </w:rPr>
            </w:pPr>
            <w:r w:rsidRPr="00353E70">
              <w:rPr>
                <w:rFonts w:ascii="Arial" w:eastAsia="Arial" w:hAnsi="Arial" w:cs="Arial"/>
                <w:color w:val="000000"/>
                <w:sz w:val="16"/>
              </w:rPr>
              <w:t>8,956 </w:t>
            </w:r>
          </w:p>
        </w:tc>
      </w:tr>
      <w:tr w:rsidR="00FB7D0B" w14:paraId="67E0B5A8" w14:textId="77777777" w:rsidTr="00FB7D0B">
        <w:trPr>
          <w:trHeight w:val="225"/>
        </w:trPr>
        <w:tc>
          <w:tcPr>
            <w:tcW w:w="180" w:type="dxa"/>
            <w:tcBorders>
              <w:top w:val="nil"/>
              <w:left w:val="nil"/>
              <w:bottom w:val="nil"/>
              <w:right w:val="nil"/>
              <w:tl2br w:val="nil"/>
              <w:tr2bl w:val="nil"/>
            </w:tcBorders>
            <w:shd w:val="clear" w:color="auto" w:fill="FFFFFF"/>
            <w:tcMar>
              <w:left w:w="101" w:type="dxa"/>
              <w:right w:w="101" w:type="dxa"/>
            </w:tcMar>
            <w:vAlign w:val="bottom"/>
          </w:tcPr>
          <w:p w14:paraId="3086B13E" w14:textId="77777777" w:rsidR="003F0EEA" w:rsidRPr="00353E70" w:rsidRDefault="003F0EEA">
            <w:pPr>
              <w:rPr>
                <w:rFonts w:ascii="Arial" w:eastAsia="Arial" w:hAnsi="Arial" w:cs="Arial"/>
                <w:color w:val="000000"/>
                <w:sz w:val="16"/>
              </w:rPr>
            </w:pPr>
          </w:p>
        </w:tc>
        <w:tc>
          <w:tcPr>
            <w:tcW w:w="2880" w:type="dxa"/>
            <w:gridSpan w:val="2"/>
            <w:vMerge w:val="restart"/>
            <w:tcBorders>
              <w:top w:val="nil"/>
              <w:left w:val="nil"/>
              <w:bottom w:val="nil"/>
              <w:right w:val="nil"/>
              <w:tl2br w:val="nil"/>
              <w:tr2bl w:val="nil"/>
            </w:tcBorders>
            <w:shd w:val="clear" w:color="auto" w:fill="FFFFFF"/>
            <w:tcMar>
              <w:left w:w="101" w:type="dxa"/>
              <w:right w:w="101" w:type="dxa"/>
            </w:tcMar>
            <w:vAlign w:val="bottom"/>
          </w:tcPr>
          <w:p w14:paraId="3A4A57D0" w14:textId="77777777" w:rsidR="003F0EEA" w:rsidRPr="00353E70" w:rsidRDefault="00FB7D0B">
            <w:pPr>
              <w:rPr>
                <w:rFonts w:ascii="Arial" w:eastAsia="Arial" w:hAnsi="Arial" w:cs="Arial"/>
                <w:color w:val="000000"/>
                <w:sz w:val="16"/>
              </w:rPr>
            </w:pPr>
            <w:r w:rsidRPr="00353E70">
              <w:rPr>
                <w:rFonts w:ascii="Arial" w:eastAsia="Arial" w:hAnsi="Arial" w:cs="Arial"/>
                <w:color w:val="000000"/>
                <w:sz w:val="16"/>
              </w:rPr>
              <w:t>Intangibles - Computer Software</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51179A8E" w14:textId="77777777" w:rsidR="003F0EEA" w:rsidRPr="00353E70" w:rsidRDefault="00FB7D0B">
            <w:pPr>
              <w:jc w:val="right"/>
              <w:rPr>
                <w:rFonts w:ascii="Arial" w:eastAsia="Arial" w:hAnsi="Arial" w:cs="Arial"/>
                <w:color w:val="000000"/>
                <w:sz w:val="16"/>
              </w:rPr>
            </w:pPr>
            <w:r w:rsidRPr="00353E70">
              <w:rPr>
                <w:rFonts w:ascii="Arial" w:eastAsia="Arial" w:hAnsi="Arial" w:cs="Arial"/>
                <w:color w:val="000000"/>
                <w:sz w:val="16"/>
              </w:rPr>
              <w:t>101,011 </w:t>
            </w:r>
          </w:p>
        </w:tc>
        <w:tc>
          <w:tcPr>
            <w:tcW w:w="915" w:type="dxa"/>
            <w:tcBorders>
              <w:top w:val="nil"/>
              <w:left w:val="nil"/>
              <w:bottom w:val="nil"/>
              <w:right w:val="nil"/>
              <w:tl2br w:val="nil"/>
              <w:tr2bl w:val="nil"/>
            </w:tcBorders>
            <w:shd w:val="clear" w:color="auto" w:fill="FFFF00"/>
            <w:tcMar>
              <w:left w:w="101" w:type="dxa"/>
              <w:right w:w="101" w:type="dxa"/>
            </w:tcMar>
            <w:vAlign w:val="bottom"/>
          </w:tcPr>
          <w:p w14:paraId="11912B2E" w14:textId="77777777" w:rsidR="003F0EEA" w:rsidRPr="00353E70" w:rsidRDefault="00FB7D0B">
            <w:pPr>
              <w:jc w:val="right"/>
              <w:rPr>
                <w:rFonts w:ascii="Arial" w:eastAsia="Arial" w:hAnsi="Arial" w:cs="Arial"/>
                <w:color w:val="000000"/>
                <w:sz w:val="16"/>
              </w:rPr>
            </w:pPr>
            <w:r w:rsidRPr="00353E70">
              <w:rPr>
                <w:rFonts w:ascii="Arial" w:eastAsia="Arial" w:hAnsi="Arial" w:cs="Arial"/>
                <w:color w:val="000000"/>
                <w:sz w:val="16"/>
              </w:rPr>
              <w:t>94,355 </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09324547" w14:textId="77777777" w:rsidR="003F0EEA" w:rsidRPr="00353E70" w:rsidRDefault="00FB7D0B">
            <w:pPr>
              <w:jc w:val="right"/>
              <w:rPr>
                <w:rFonts w:ascii="Arial" w:eastAsia="Arial" w:hAnsi="Arial" w:cs="Arial"/>
                <w:color w:val="000000"/>
                <w:sz w:val="16"/>
              </w:rPr>
            </w:pPr>
            <w:r w:rsidRPr="00353E70">
              <w:rPr>
                <w:rFonts w:ascii="Arial" w:eastAsia="Arial" w:hAnsi="Arial" w:cs="Arial"/>
                <w:color w:val="000000"/>
                <w:sz w:val="16"/>
              </w:rPr>
              <w:t>82,705 </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689865CB" w14:textId="77777777" w:rsidR="003F0EEA" w:rsidRPr="00353E70" w:rsidRDefault="00FB7D0B">
            <w:pPr>
              <w:jc w:val="right"/>
              <w:rPr>
                <w:rFonts w:ascii="Arial" w:eastAsia="Arial" w:hAnsi="Arial" w:cs="Arial"/>
                <w:color w:val="000000"/>
                <w:sz w:val="16"/>
              </w:rPr>
            </w:pPr>
            <w:r w:rsidRPr="00353E70">
              <w:rPr>
                <w:rFonts w:ascii="Arial" w:eastAsia="Arial" w:hAnsi="Arial" w:cs="Arial"/>
                <w:color w:val="000000"/>
                <w:sz w:val="16"/>
              </w:rPr>
              <w:t>69,544 </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39861502" w14:textId="77777777" w:rsidR="003F0EEA" w:rsidRPr="00353E70" w:rsidRDefault="00FB7D0B">
            <w:pPr>
              <w:jc w:val="right"/>
              <w:rPr>
                <w:rFonts w:ascii="Arial" w:eastAsia="Arial" w:hAnsi="Arial" w:cs="Arial"/>
                <w:color w:val="000000"/>
                <w:sz w:val="16"/>
              </w:rPr>
            </w:pPr>
            <w:r w:rsidRPr="00353E70">
              <w:rPr>
                <w:rFonts w:ascii="Arial" w:eastAsia="Arial" w:hAnsi="Arial" w:cs="Arial"/>
                <w:color w:val="000000"/>
                <w:sz w:val="16"/>
              </w:rPr>
              <w:t>55,951 </w:t>
            </w:r>
          </w:p>
        </w:tc>
      </w:tr>
      <w:tr w:rsidR="00FB7D0B" w14:paraId="1E33C105" w14:textId="77777777" w:rsidTr="00FB7D0B">
        <w:trPr>
          <w:trHeight w:val="225"/>
        </w:trPr>
        <w:tc>
          <w:tcPr>
            <w:tcW w:w="180" w:type="dxa"/>
            <w:tcBorders>
              <w:top w:val="nil"/>
              <w:left w:val="nil"/>
              <w:bottom w:val="nil"/>
              <w:right w:val="nil"/>
              <w:tl2br w:val="nil"/>
              <w:tr2bl w:val="nil"/>
            </w:tcBorders>
            <w:shd w:val="clear" w:color="auto" w:fill="FFFFFF"/>
            <w:tcMar>
              <w:left w:w="101" w:type="dxa"/>
              <w:right w:w="101" w:type="dxa"/>
            </w:tcMar>
            <w:vAlign w:val="bottom"/>
          </w:tcPr>
          <w:p w14:paraId="32A5D642" w14:textId="77777777" w:rsidR="003F0EEA" w:rsidRPr="00353E70" w:rsidRDefault="003F0EEA">
            <w:pPr>
              <w:rPr>
                <w:rFonts w:ascii="Arial" w:eastAsia="Arial" w:hAnsi="Arial" w:cs="Arial"/>
                <w:color w:val="000000"/>
                <w:sz w:val="16"/>
              </w:rPr>
            </w:pPr>
          </w:p>
        </w:tc>
        <w:tc>
          <w:tcPr>
            <w:tcW w:w="2880" w:type="dxa"/>
            <w:gridSpan w:val="2"/>
            <w:vMerge w:val="restart"/>
            <w:tcBorders>
              <w:top w:val="nil"/>
              <w:left w:val="nil"/>
              <w:bottom w:val="nil"/>
              <w:right w:val="nil"/>
              <w:tl2br w:val="nil"/>
              <w:tr2bl w:val="nil"/>
            </w:tcBorders>
            <w:shd w:val="clear" w:color="auto" w:fill="FFFFFF"/>
            <w:tcMar>
              <w:left w:w="101" w:type="dxa"/>
              <w:right w:w="101" w:type="dxa"/>
            </w:tcMar>
            <w:vAlign w:val="bottom"/>
          </w:tcPr>
          <w:p w14:paraId="1F196EDB" w14:textId="77777777" w:rsidR="003F0EEA" w:rsidRPr="00353E70" w:rsidRDefault="00FB7D0B">
            <w:pPr>
              <w:rPr>
                <w:rFonts w:ascii="Arial" w:eastAsia="Arial" w:hAnsi="Arial" w:cs="Arial"/>
                <w:color w:val="000000"/>
                <w:sz w:val="16"/>
              </w:rPr>
            </w:pPr>
            <w:r w:rsidRPr="00353E70">
              <w:rPr>
                <w:rFonts w:ascii="Arial" w:eastAsia="Arial" w:hAnsi="Arial" w:cs="Arial"/>
                <w:color w:val="000000"/>
                <w:sz w:val="16"/>
              </w:rPr>
              <w:t>Other non-financial assets</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2DBE88F9" w14:textId="77777777" w:rsidR="003F0EEA" w:rsidRPr="00353E70" w:rsidRDefault="00FB7D0B">
            <w:pPr>
              <w:jc w:val="right"/>
              <w:rPr>
                <w:rFonts w:ascii="Arial" w:eastAsia="Arial" w:hAnsi="Arial" w:cs="Arial"/>
                <w:color w:val="000000"/>
                <w:sz w:val="16"/>
              </w:rPr>
            </w:pPr>
            <w:r w:rsidRPr="00353E70">
              <w:rPr>
                <w:rFonts w:ascii="Arial" w:eastAsia="Arial" w:hAnsi="Arial" w:cs="Arial"/>
                <w:color w:val="000000"/>
                <w:sz w:val="16"/>
              </w:rPr>
              <w:t>7,231 </w:t>
            </w:r>
          </w:p>
        </w:tc>
        <w:tc>
          <w:tcPr>
            <w:tcW w:w="915" w:type="dxa"/>
            <w:tcBorders>
              <w:top w:val="nil"/>
              <w:left w:val="nil"/>
              <w:bottom w:val="nil"/>
              <w:right w:val="nil"/>
              <w:tl2br w:val="nil"/>
              <w:tr2bl w:val="nil"/>
            </w:tcBorders>
            <w:shd w:val="clear" w:color="auto" w:fill="FFFF00"/>
            <w:tcMar>
              <w:left w:w="101" w:type="dxa"/>
              <w:right w:w="101" w:type="dxa"/>
            </w:tcMar>
            <w:vAlign w:val="bottom"/>
          </w:tcPr>
          <w:p w14:paraId="019981E4" w14:textId="77777777" w:rsidR="003F0EEA" w:rsidRPr="00353E70" w:rsidRDefault="00FB7D0B">
            <w:pPr>
              <w:jc w:val="right"/>
              <w:rPr>
                <w:rFonts w:ascii="Arial" w:eastAsia="Arial" w:hAnsi="Arial" w:cs="Arial"/>
                <w:color w:val="000000"/>
                <w:sz w:val="16"/>
              </w:rPr>
            </w:pPr>
            <w:r w:rsidRPr="00353E70">
              <w:rPr>
                <w:rFonts w:ascii="Arial" w:eastAsia="Arial" w:hAnsi="Arial" w:cs="Arial"/>
                <w:color w:val="000000"/>
                <w:sz w:val="16"/>
              </w:rPr>
              <w:t>7,231 </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7918BB9A" w14:textId="77777777" w:rsidR="003F0EEA" w:rsidRPr="00353E70" w:rsidRDefault="00FB7D0B">
            <w:pPr>
              <w:jc w:val="right"/>
              <w:rPr>
                <w:rFonts w:ascii="Arial" w:eastAsia="Arial" w:hAnsi="Arial" w:cs="Arial"/>
                <w:color w:val="000000"/>
                <w:sz w:val="16"/>
              </w:rPr>
            </w:pPr>
            <w:r w:rsidRPr="00353E70">
              <w:rPr>
                <w:rFonts w:ascii="Arial" w:eastAsia="Arial" w:hAnsi="Arial" w:cs="Arial"/>
                <w:color w:val="000000"/>
                <w:sz w:val="16"/>
              </w:rPr>
              <w:t>7,231 </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44E1F07E" w14:textId="77777777" w:rsidR="003F0EEA" w:rsidRPr="00353E70" w:rsidRDefault="00FB7D0B">
            <w:pPr>
              <w:jc w:val="right"/>
              <w:rPr>
                <w:rFonts w:ascii="Arial" w:eastAsia="Arial" w:hAnsi="Arial" w:cs="Arial"/>
                <w:color w:val="000000"/>
                <w:sz w:val="16"/>
              </w:rPr>
            </w:pPr>
            <w:r w:rsidRPr="00353E70">
              <w:rPr>
                <w:rFonts w:ascii="Arial" w:eastAsia="Arial" w:hAnsi="Arial" w:cs="Arial"/>
                <w:color w:val="000000"/>
                <w:sz w:val="16"/>
              </w:rPr>
              <w:t>7,231 </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2AD3E638" w14:textId="77777777" w:rsidR="003F0EEA" w:rsidRPr="00353E70" w:rsidRDefault="00FB7D0B">
            <w:pPr>
              <w:jc w:val="right"/>
              <w:rPr>
                <w:rFonts w:ascii="Arial" w:eastAsia="Arial" w:hAnsi="Arial" w:cs="Arial"/>
                <w:color w:val="000000"/>
                <w:sz w:val="16"/>
              </w:rPr>
            </w:pPr>
            <w:r w:rsidRPr="00353E70">
              <w:rPr>
                <w:rFonts w:ascii="Arial" w:eastAsia="Arial" w:hAnsi="Arial" w:cs="Arial"/>
                <w:color w:val="000000"/>
                <w:sz w:val="16"/>
              </w:rPr>
              <w:t>7,231 </w:t>
            </w:r>
          </w:p>
        </w:tc>
      </w:tr>
      <w:tr w:rsidR="00FB7D0B" w14:paraId="1B1F9CA7" w14:textId="77777777" w:rsidTr="00FB7D0B">
        <w:trPr>
          <w:trHeight w:val="225"/>
        </w:trPr>
        <w:tc>
          <w:tcPr>
            <w:tcW w:w="3060" w:type="dxa"/>
            <w:gridSpan w:val="3"/>
            <w:tcBorders>
              <w:top w:val="nil"/>
              <w:left w:val="nil"/>
              <w:bottom w:val="nil"/>
              <w:right w:val="nil"/>
              <w:tl2br w:val="nil"/>
              <w:tr2bl w:val="nil"/>
            </w:tcBorders>
            <w:shd w:val="clear" w:color="auto" w:fill="FFFFFF"/>
            <w:tcMar>
              <w:left w:w="101" w:type="dxa"/>
              <w:right w:w="101" w:type="dxa"/>
            </w:tcMar>
            <w:vAlign w:val="bottom"/>
          </w:tcPr>
          <w:p w14:paraId="4280AC04" w14:textId="77777777" w:rsidR="003F0EEA" w:rsidRPr="00353E70" w:rsidRDefault="00FB7D0B">
            <w:pPr>
              <w:rPr>
                <w:rFonts w:ascii="Arial" w:eastAsia="Arial" w:hAnsi="Arial" w:cs="Arial"/>
                <w:color w:val="000000"/>
                <w:sz w:val="16"/>
              </w:rPr>
            </w:pPr>
            <w:r w:rsidRPr="00353E70">
              <w:rPr>
                <w:rFonts w:ascii="Arial" w:eastAsia="Arial" w:hAnsi="Arial" w:cs="Arial"/>
                <w:b/>
                <w:i/>
                <w:color w:val="000000"/>
                <w:sz w:val="16"/>
              </w:rPr>
              <w:t>Total non-financial assets</w:t>
            </w:r>
          </w:p>
        </w:tc>
        <w:tc>
          <w:tcPr>
            <w:tcW w:w="915"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5D53EF11" w14:textId="77777777" w:rsidR="003F0EEA" w:rsidRPr="00353E70" w:rsidRDefault="00FB7D0B">
            <w:pPr>
              <w:jc w:val="right"/>
              <w:rPr>
                <w:rFonts w:ascii="Arial" w:eastAsia="Arial" w:hAnsi="Arial" w:cs="Arial"/>
                <w:b/>
                <w:i/>
                <w:color w:val="000000"/>
                <w:sz w:val="16"/>
              </w:rPr>
            </w:pPr>
            <w:r w:rsidRPr="00353E70">
              <w:rPr>
                <w:rFonts w:ascii="Arial" w:eastAsia="Arial" w:hAnsi="Arial" w:cs="Arial"/>
                <w:b/>
                <w:color w:val="000000"/>
                <w:sz w:val="16"/>
              </w:rPr>
              <w:t>140,411 </w:t>
            </w:r>
          </w:p>
        </w:tc>
        <w:tc>
          <w:tcPr>
            <w:tcW w:w="915" w:type="dxa"/>
            <w:tcBorders>
              <w:top w:val="single" w:sz="6" w:space="0" w:color="000000"/>
              <w:left w:val="nil"/>
              <w:bottom w:val="single" w:sz="6" w:space="0" w:color="000000"/>
              <w:right w:val="nil"/>
              <w:tl2br w:val="nil"/>
              <w:tr2bl w:val="nil"/>
            </w:tcBorders>
            <w:shd w:val="clear" w:color="auto" w:fill="FFFF00"/>
            <w:tcMar>
              <w:left w:w="101" w:type="dxa"/>
              <w:right w:w="101" w:type="dxa"/>
            </w:tcMar>
            <w:vAlign w:val="bottom"/>
          </w:tcPr>
          <w:p w14:paraId="7807424E" w14:textId="77777777" w:rsidR="003F0EEA" w:rsidRPr="00353E70" w:rsidRDefault="00FB7D0B">
            <w:pPr>
              <w:jc w:val="right"/>
              <w:rPr>
                <w:rFonts w:ascii="Arial" w:eastAsia="Arial" w:hAnsi="Arial" w:cs="Arial"/>
                <w:b/>
                <w:color w:val="000000"/>
                <w:sz w:val="16"/>
              </w:rPr>
            </w:pPr>
            <w:r w:rsidRPr="00353E70">
              <w:rPr>
                <w:rFonts w:ascii="Arial" w:eastAsia="Arial" w:hAnsi="Arial" w:cs="Arial"/>
                <w:b/>
                <w:color w:val="000000"/>
                <w:sz w:val="16"/>
              </w:rPr>
              <w:t>123,907 </w:t>
            </w:r>
          </w:p>
        </w:tc>
        <w:tc>
          <w:tcPr>
            <w:tcW w:w="915"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49879017" w14:textId="77777777" w:rsidR="003F0EEA" w:rsidRPr="00353E70" w:rsidRDefault="00FB7D0B">
            <w:pPr>
              <w:jc w:val="right"/>
              <w:rPr>
                <w:rFonts w:ascii="Arial" w:eastAsia="Arial" w:hAnsi="Arial" w:cs="Arial"/>
                <w:b/>
                <w:color w:val="000000"/>
                <w:sz w:val="16"/>
              </w:rPr>
            </w:pPr>
            <w:r w:rsidRPr="00353E70">
              <w:rPr>
                <w:rFonts w:ascii="Arial" w:eastAsia="Arial" w:hAnsi="Arial" w:cs="Arial"/>
                <w:b/>
                <w:color w:val="000000"/>
                <w:sz w:val="16"/>
              </w:rPr>
              <w:t>108,457 </w:t>
            </w:r>
          </w:p>
        </w:tc>
        <w:tc>
          <w:tcPr>
            <w:tcW w:w="915"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70AF8F9B" w14:textId="77777777" w:rsidR="003F0EEA" w:rsidRPr="00353E70" w:rsidRDefault="00FB7D0B">
            <w:pPr>
              <w:jc w:val="right"/>
              <w:rPr>
                <w:rFonts w:ascii="Arial" w:eastAsia="Arial" w:hAnsi="Arial" w:cs="Arial"/>
                <w:b/>
                <w:color w:val="000000"/>
                <w:sz w:val="16"/>
              </w:rPr>
            </w:pPr>
            <w:r w:rsidRPr="00353E70">
              <w:rPr>
                <w:rFonts w:ascii="Arial" w:eastAsia="Arial" w:hAnsi="Arial" w:cs="Arial"/>
                <w:b/>
                <w:color w:val="000000"/>
                <w:sz w:val="16"/>
              </w:rPr>
              <w:t>94,785 </w:t>
            </w:r>
          </w:p>
        </w:tc>
        <w:tc>
          <w:tcPr>
            <w:tcW w:w="915"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1A251191" w14:textId="77777777" w:rsidR="003F0EEA" w:rsidRPr="00353E70" w:rsidRDefault="00FB7D0B">
            <w:pPr>
              <w:jc w:val="right"/>
              <w:rPr>
                <w:rFonts w:ascii="Arial" w:eastAsia="Arial" w:hAnsi="Arial" w:cs="Arial"/>
                <w:b/>
                <w:color w:val="000000"/>
                <w:sz w:val="16"/>
              </w:rPr>
            </w:pPr>
            <w:r w:rsidRPr="00353E70">
              <w:rPr>
                <w:rFonts w:ascii="Arial" w:eastAsia="Arial" w:hAnsi="Arial" w:cs="Arial"/>
                <w:b/>
                <w:color w:val="000000"/>
                <w:sz w:val="16"/>
              </w:rPr>
              <w:t>86,366 </w:t>
            </w:r>
          </w:p>
        </w:tc>
      </w:tr>
      <w:tr w:rsidR="00FB7D0B" w14:paraId="04227312" w14:textId="77777777" w:rsidTr="00FB7D0B">
        <w:trPr>
          <w:trHeight w:val="225"/>
        </w:trPr>
        <w:tc>
          <w:tcPr>
            <w:tcW w:w="3060" w:type="dxa"/>
            <w:gridSpan w:val="3"/>
            <w:tcBorders>
              <w:top w:val="nil"/>
              <w:left w:val="nil"/>
              <w:bottom w:val="nil"/>
              <w:right w:val="nil"/>
              <w:tl2br w:val="nil"/>
              <w:tr2bl w:val="nil"/>
            </w:tcBorders>
            <w:shd w:val="clear" w:color="auto" w:fill="FFFFFF"/>
            <w:tcMar>
              <w:left w:w="101" w:type="dxa"/>
              <w:right w:w="101" w:type="dxa"/>
            </w:tcMar>
            <w:vAlign w:val="bottom"/>
          </w:tcPr>
          <w:p w14:paraId="26C97641" w14:textId="77777777" w:rsidR="003F0EEA" w:rsidRPr="00353E70" w:rsidRDefault="00FB7D0B">
            <w:pPr>
              <w:rPr>
                <w:rFonts w:ascii="Arial" w:eastAsia="Arial" w:hAnsi="Arial" w:cs="Arial"/>
                <w:b/>
                <w:color w:val="000000"/>
                <w:sz w:val="16"/>
              </w:rPr>
            </w:pPr>
            <w:r w:rsidRPr="00353E70">
              <w:rPr>
                <w:rFonts w:ascii="Arial" w:eastAsia="Arial" w:hAnsi="Arial" w:cs="Arial"/>
                <w:b/>
                <w:color w:val="000000"/>
                <w:sz w:val="16"/>
              </w:rPr>
              <w:t>Total assets</w:t>
            </w:r>
          </w:p>
        </w:tc>
        <w:tc>
          <w:tcPr>
            <w:tcW w:w="915"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19CA6F50" w14:textId="77777777" w:rsidR="003F0EEA" w:rsidRPr="00353E70" w:rsidRDefault="00FB7D0B">
            <w:pPr>
              <w:jc w:val="right"/>
              <w:rPr>
                <w:rFonts w:ascii="Arial" w:eastAsia="Arial" w:hAnsi="Arial" w:cs="Arial"/>
                <w:b/>
                <w:color w:val="000000"/>
                <w:sz w:val="16"/>
              </w:rPr>
            </w:pPr>
            <w:r w:rsidRPr="00353E70">
              <w:rPr>
                <w:rFonts w:ascii="Arial" w:eastAsia="Arial" w:hAnsi="Arial" w:cs="Arial"/>
                <w:b/>
                <w:color w:val="000000"/>
                <w:sz w:val="16"/>
              </w:rPr>
              <w:t>154,246 </w:t>
            </w:r>
          </w:p>
        </w:tc>
        <w:tc>
          <w:tcPr>
            <w:tcW w:w="915" w:type="dxa"/>
            <w:tcBorders>
              <w:top w:val="single" w:sz="6" w:space="0" w:color="000000"/>
              <w:left w:val="nil"/>
              <w:bottom w:val="single" w:sz="6" w:space="0" w:color="000000"/>
              <w:right w:val="nil"/>
              <w:tl2br w:val="nil"/>
              <w:tr2bl w:val="nil"/>
            </w:tcBorders>
            <w:shd w:val="clear" w:color="auto" w:fill="FFFF00"/>
            <w:tcMar>
              <w:left w:w="101" w:type="dxa"/>
              <w:right w:w="101" w:type="dxa"/>
            </w:tcMar>
            <w:vAlign w:val="bottom"/>
          </w:tcPr>
          <w:p w14:paraId="061CFF6C" w14:textId="77777777" w:rsidR="003F0EEA" w:rsidRPr="00353E70" w:rsidRDefault="00FB7D0B">
            <w:pPr>
              <w:jc w:val="right"/>
              <w:rPr>
                <w:rFonts w:ascii="Arial" w:eastAsia="Arial" w:hAnsi="Arial" w:cs="Arial"/>
                <w:b/>
                <w:color w:val="000000"/>
                <w:sz w:val="16"/>
              </w:rPr>
            </w:pPr>
            <w:r w:rsidRPr="00353E70">
              <w:rPr>
                <w:rFonts w:ascii="Arial" w:eastAsia="Arial" w:hAnsi="Arial" w:cs="Arial"/>
                <w:b/>
                <w:color w:val="000000"/>
                <w:sz w:val="16"/>
              </w:rPr>
              <w:t>136,528 </w:t>
            </w:r>
          </w:p>
        </w:tc>
        <w:tc>
          <w:tcPr>
            <w:tcW w:w="915"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217F7DEB" w14:textId="77777777" w:rsidR="003F0EEA" w:rsidRPr="00353E70" w:rsidRDefault="00FB7D0B">
            <w:pPr>
              <w:jc w:val="right"/>
              <w:rPr>
                <w:rFonts w:ascii="Arial" w:eastAsia="Arial" w:hAnsi="Arial" w:cs="Arial"/>
                <w:b/>
                <w:color w:val="000000"/>
                <w:sz w:val="16"/>
              </w:rPr>
            </w:pPr>
            <w:r w:rsidRPr="00353E70">
              <w:rPr>
                <w:rFonts w:ascii="Arial" w:eastAsia="Arial" w:hAnsi="Arial" w:cs="Arial"/>
                <w:b/>
                <w:color w:val="000000"/>
                <w:sz w:val="16"/>
              </w:rPr>
              <w:t>118,645 </w:t>
            </w:r>
          </w:p>
        </w:tc>
        <w:tc>
          <w:tcPr>
            <w:tcW w:w="915"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330E763D" w14:textId="77777777" w:rsidR="003F0EEA" w:rsidRPr="00353E70" w:rsidRDefault="00FB7D0B">
            <w:pPr>
              <w:jc w:val="right"/>
              <w:rPr>
                <w:rFonts w:ascii="Arial" w:eastAsia="Arial" w:hAnsi="Arial" w:cs="Arial"/>
                <w:b/>
                <w:color w:val="000000"/>
                <w:sz w:val="16"/>
              </w:rPr>
            </w:pPr>
            <w:r w:rsidRPr="00353E70">
              <w:rPr>
                <w:rFonts w:ascii="Arial" w:eastAsia="Arial" w:hAnsi="Arial" w:cs="Arial"/>
                <w:b/>
                <w:color w:val="000000"/>
                <w:sz w:val="16"/>
              </w:rPr>
              <w:t>103,825 </w:t>
            </w:r>
          </w:p>
        </w:tc>
        <w:tc>
          <w:tcPr>
            <w:tcW w:w="915"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4CDAE225" w14:textId="77777777" w:rsidR="003F0EEA" w:rsidRPr="00353E70" w:rsidRDefault="00FB7D0B">
            <w:pPr>
              <w:jc w:val="right"/>
              <w:rPr>
                <w:rFonts w:ascii="Arial" w:eastAsia="Arial" w:hAnsi="Arial" w:cs="Arial"/>
                <w:b/>
                <w:color w:val="000000"/>
                <w:sz w:val="16"/>
              </w:rPr>
            </w:pPr>
            <w:r w:rsidRPr="00353E70">
              <w:rPr>
                <w:rFonts w:ascii="Arial" w:eastAsia="Arial" w:hAnsi="Arial" w:cs="Arial"/>
                <w:b/>
                <w:color w:val="000000"/>
                <w:sz w:val="16"/>
              </w:rPr>
              <w:t>96,139 </w:t>
            </w:r>
          </w:p>
        </w:tc>
      </w:tr>
      <w:tr w:rsidR="00724034" w14:paraId="52FA598B" w14:textId="77777777">
        <w:trPr>
          <w:trHeight w:hRule="exact" w:val="60"/>
        </w:trPr>
        <w:tc>
          <w:tcPr>
            <w:tcW w:w="180" w:type="dxa"/>
            <w:tcBorders>
              <w:top w:val="nil"/>
              <w:left w:val="nil"/>
              <w:bottom w:val="nil"/>
              <w:right w:val="nil"/>
              <w:tl2br w:val="nil"/>
              <w:tr2bl w:val="nil"/>
            </w:tcBorders>
            <w:shd w:val="clear" w:color="auto" w:fill="FFFFFF"/>
            <w:tcMar>
              <w:left w:w="101" w:type="dxa"/>
              <w:right w:w="101" w:type="dxa"/>
            </w:tcMar>
            <w:vAlign w:val="bottom"/>
          </w:tcPr>
          <w:p w14:paraId="38A533E9" w14:textId="77777777" w:rsidR="003F0EEA" w:rsidRPr="00353E70" w:rsidRDefault="003F0EEA">
            <w:pPr>
              <w:rPr>
                <w:rFonts w:ascii="Arial" w:eastAsia="Arial" w:hAnsi="Arial" w:cs="Arial"/>
                <w:b/>
                <w:color w:val="000000"/>
                <w:sz w:val="16"/>
              </w:rPr>
            </w:pPr>
          </w:p>
        </w:tc>
        <w:tc>
          <w:tcPr>
            <w:tcW w:w="180" w:type="dxa"/>
            <w:tcBorders>
              <w:top w:val="nil"/>
              <w:left w:val="nil"/>
              <w:bottom w:val="nil"/>
              <w:right w:val="nil"/>
              <w:tl2br w:val="nil"/>
              <w:tr2bl w:val="nil"/>
            </w:tcBorders>
            <w:shd w:val="clear" w:color="auto" w:fill="FFFFFF"/>
            <w:tcMar>
              <w:left w:w="101" w:type="dxa"/>
              <w:right w:w="101" w:type="dxa"/>
            </w:tcMar>
            <w:vAlign w:val="bottom"/>
          </w:tcPr>
          <w:p w14:paraId="34C5383A" w14:textId="77777777" w:rsidR="003F0EEA" w:rsidRPr="00353E70" w:rsidRDefault="003F0EEA">
            <w:pPr>
              <w:rPr>
                <w:rFonts w:ascii="Arial" w:eastAsia="Arial" w:hAnsi="Arial" w:cs="Arial"/>
                <w:color w:val="000000"/>
                <w:sz w:val="16"/>
              </w:rPr>
            </w:pPr>
          </w:p>
        </w:tc>
        <w:tc>
          <w:tcPr>
            <w:tcW w:w="2700" w:type="dxa"/>
            <w:tcBorders>
              <w:top w:val="nil"/>
              <w:left w:val="nil"/>
              <w:bottom w:val="nil"/>
              <w:right w:val="nil"/>
              <w:tl2br w:val="nil"/>
              <w:tr2bl w:val="nil"/>
            </w:tcBorders>
            <w:shd w:val="clear" w:color="auto" w:fill="FFFFFF"/>
            <w:tcMar>
              <w:left w:w="101" w:type="dxa"/>
              <w:right w:w="101" w:type="dxa"/>
            </w:tcMar>
            <w:vAlign w:val="bottom"/>
          </w:tcPr>
          <w:p w14:paraId="0D0AE6F5" w14:textId="77777777" w:rsidR="003F0EEA" w:rsidRPr="00353E70" w:rsidRDefault="003F0EEA">
            <w:pPr>
              <w:rPr>
                <w:rFonts w:ascii="Arial" w:eastAsia="Arial" w:hAnsi="Arial" w:cs="Arial"/>
                <w:color w:val="000000"/>
                <w:sz w:val="16"/>
              </w:rPr>
            </w:pPr>
          </w:p>
        </w:tc>
        <w:tc>
          <w:tcPr>
            <w:tcW w:w="91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764B0F54" w14:textId="77777777" w:rsidR="003F0EEA" w:rsidRPr="00353E70" w:rsidRDefault="003F0EEA">
            <w:pPr>
              <w:rPr>
                <w:rFonts w:ascii="Arial" w:eastAsia="Arial" w:hAnsi="Arial" w:cs="Arial"/>
                <w:b/>
                <w:color w:val="000000"/>
                <w:sz w:val="16"/>
              </w:rPr>
            </w:pPr>
          </w:p>
        </w:tc>
        <w:tc>
          <w:tcPr>
            <w:tcW w:w="915" w:type="dxa"/>
            <w:tcBorders>
              <w:top w:val="single" w:sz="6" w:space="0" w:color="000000"/>
              <w:left w:val="nil"/>
              <w:bottom w:val="nil"/>
              <w:right w:val="nil"/>
              <w:tl2br w:val="nil"/>
              <w:tr2bl w:val="nil"/>
            </w:tcBorders>
            <w:shd w:val="clear" w:color="auto" w:fill="FFFF00"/>
            <w:tcMar>
              <w:left w:w="101" w:type="dxa"/>
              <w:right w:w="101" w:type="dxa"/>
            </w:tcMar>
            <w:vAlign w:val="bottom"/>
          </w:tcPr>
          <w:p w14:paraId="389810E9" w14:textId="77777777" w:rsidR="003F0EEA" w:rsidRPr="00353E70" w:rsidRDefault="003F0EEA">
            <w:pPr>
              <w:rPr>
                <w:rFonts w:ascii="Arial" w:eastAsia="Arial" w:hAnsi="Arial" w:cs="Arial"/>
                <w:color w:val="000000"/>
                <w:sz w:val="16"/>
              </w:rPr>
            </w:pPr>
          </w:p>
        </w:tc>
        <w:tc>
          <w:tcPr>
            <w:tcW w:w="91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3CCD9D2D" w14:textId="77777777" w:rsidR="003F0EEA" w:rsidRPr="00353E70" w:rsidRDefault="003F0EEA">
            <w:pPr>
              <w:rPr>
                <w:rFonts w:ascii="Arial" w:eastAsia="Arial" w:hAnsi="Arial" w:cs="Arial"/>
                <w:color w:val="000000"/>
                <w:sz w:val="16"/>
              </w:rPr>
            </w:pPr>
          </w:p>
        </w:tc>
        <w:tc>
          <w:tcPr>
            <w:tcW w:w="91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37139BB8" w14:textId="77777777" w:rsidR="003F0EEA" w:rsidRPr="00353E70" w:rsidRDefault="003F0EEA">
            <w:pPr>
              <w:rPr>
                <w:rFonts w:ascii="Arial" w:eastAsia="Arial" w:hAnsi="Arial" w:cs="Arial"/>
                <w:color w:val="000000"/>
                <w:sz w:val="16"/>
              </w:rPr>
            </w:pPr>
          </w:p>
        </w:tc>
        <w:tc>
          <w:tcPr>
            <w:tcW w:w="91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0649A98E" w14:textId="77777777" w:rsidR="003F0EEA" w:rsidRPr="00353E70" w:rsidRDefault="003F0EEA">
            <w:pPr>
              <w:rPr>
                <w:rFonts w:ascii="Arial" w:eastAsia="Arial" w:hAnsi="Arial" w:cs="Arial"/>
                <w:color w:val="000000"/>
                <w:sz w:val="16"/>
              </w:rPr>
            </w:pPr>
          </w:p>
        </w:tc>
      </w:tr>
      <w:tr w:rsidR="00FB7D0B" w14:paraId="01CB3A6A" w14:textId="77777777" w:rsidTr="00FB7D0B">
        <w:trPr>
          <w:trHeight w:val="225"/>
        </w:trPr>
        <w:tc>
          <w:tcPr>
            <w:tcW w:w="3060" w:type="dxa"/>
            <w:gridSpan w:val="3"/>
            <w:tcBorders>
              <w:top w:val="nil"/>
              <w:left w:val="nil"/>
              <w:bottom w:val="nil"/>
              <w:right w:val="nil"/>
              <w:tl2br w:val="nil"/>
              <w:tr2bl w:val="nil"/>
            </w:tcBorders>
            <w:shd w:val="clear" w:color="auto" w:fill="FFFFFF"/>
            <w:tcMar>
              <w:left w:w="101" w:type="dxa"/>
              <w:right w:w="101" w:type="dxa"/>
            </w:tcMar>
            <w:vAlign w:val="bottom"/>
          </w:tcPr>
          <w:p w14:paraId="694A02BC" w14:textId="77777777" w:rsidR="003F0EEA" w:rsidRPr="00353E70" w:rsidRDefault="00FB7D0B">
            <w:pPr>
              <w:rPr>
                <w:rFonts w:ascii="Arial" w:eastAsia="Arial" w:hAnsi="Arial" w:cs="Arial"/>
                <w:color w:val="000000"/>
                <w:sz w:val="16"/>
              </w:rPr>
            </w:pPr>
            <w:r w:rsidRPr="00353E70">
              <w:rPr>
                <w:rFonts w:ascii="Arial" w:eastAsia="Arial" w:hAnsi="Arial" w:cs="Arial"/>
                <w:b/>
                <w:color w:val="000000"/>
                <w:sz w:val="16"/>
              </w:rPr>
              <w:t>LIABILITIES</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5757CCF3" w14:textId="77777777" w:rsidR="003F0EEA" w:rsidRPr="00353E70" w:rsidRDefault="003F0EEA">
            <w:pPr>
              <w:rPr>
                <w:rFonts w:ascii="Arial" w:eastAsia="Arial" w:hAnsi="Arial" w:cs="Arial"/>
                <w:b/>
                <w:color w:val="000000"/>
                <w:sz w:val="16"/>
              </w:rPr>
            </w:pPr>
          </w:p>
        </w:tc>
        <w:tc>
          <w:tcPr>
            <w:tcW w:w="915" w:type="dxa"/>
            <w:tcBorders>
              <w:top w:val="nil"/>
              <w:left w:val="nil"/>
              <w:bottom w:val="nil"/>
              <w:right w:val="nil"/>
              <w:tl2br w:val="nil"/>
              <w:tr2bl w:val="nil"/>
            </w:tcBorders>
            <w:shd w:val="clear" w:color="auto" w:fill="FFFF00"/>
            <w:tcMar>
              <w:left w:w="101" w:type="dxa"/>
              <w:right w:w="101" w:type="dxa"/>
            </w:tcMar>
            <w:vAlign w:val="bottom"/>
          </w:tcPr>
          <w:p w14:paraId="5E5E5A45" w14:textId="77777777" w:rsidR="003F0EEA" w:rsidRPr="00353E70" w:rsidRDefault="003F0EEA">
            <w:pPr>
              <w:rPr>
                <w:rFonts w:ascii="Arial" w:eastAsia="Arial" w:hAnsi="Arial" w:cs="Arial"/>
                <w:color w:val="000000"/>
                <w:sz w:val="16"/>
              </w:rPr>
            </w:pP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64B9FAA8" w14:textId="77777777" w:rsidR="003F0EEA" w:rsidRPr="00353E70" w:rsidRDefault="003F0EEA">
            <w:pPr>
              <w:rPr>
                <w:rFonts w:ascii="Arial" w:eastAsia="Arial" w:hAnsi="Arial" w:cs="Arial"/>
                <w:color w:val="000000"/>
                <w:sz w:val="16"/>
              </w:rPr>
            </w:pP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4DD1E6F5" w14:textId="77777777" w:rsidR="003F0EEA" w:rsidRPr="00353E70" w:rsidRDefault="003F0EEA">
            <w:pPr>
              <w:rPr>
                <w:rFonts w:ascii="Arial" w:eastAsia="Arial" w:hAnsi="Arial" w:cs="Arial"/>
                <w:color w:val="000000"/>
                <w:sz w:val="16"/>
              </w:rPr>
            </w:pP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08961C60" w14:textId="77777777" w:rsidR="003F0EEA" w:rsidRPr="00353E70" w:rsidRDefault="003F0EEA">
            <w:pPr>
              <w:rPr>
                <w:rFonts w:ascii="Arial" w:eastAsia="Arial" w:hAnsi="Arial" w:cs="Arial"/>
                <w:color w:val="000000"/>
                <w:sz w:val="16"/>
              </w:rPr>
            </w:pPr>
          </w:p>
        </w:tc>
      </w:tr>
      <w:tr w:rsidR="00FB7D0B" w14:paraId="2E7B113A" w14:textId="77777777" w:rsidTr="00FB7D0B">
        <w:trPr>
          <w:trHeight w:val="225"/>
        </w:trPr>
        <w:tc>
          <w:tcPr>
            <w:tcW w:w="3060" w:type="dxa"/>
            <w:gridSpan w:val="3"/>
            <w:tcBorders>
              <w:top w:val="nil"/>
              <w:left w:val="nil"/>
              <w:bottom w:val="nil"/>
              <w:right w:val="nil"/>
              <w:tl2br w:val="nil"/>
              <w:tr2bl w:val="nil"/>
            </w:tcBorders>
            <w:shd w:val="clear" w:color="auto" w:fill="FFFFFF"/>
            <w:tcMar>
              <w:left w:w="101" w:type="dxa"/>
              <w:right w:w="101" w:type="dxa"/>
            </w:tcMar>
            <w:vAlign w:val="bottom"/>
          </w:tcPr>
          <w:p w14:paraId="6C8C9613" w14:textId="77777777" w:rsidR="003F0EEA" w:rsidRPr="00353E70" w:rsidRDefault="00FB7D0B">
            <w:pPr>
              <w:rPr>
                <w:rFonts w:ascii="Arial" w:eastAsia="Arial" w:hAnsi="Arial" w:cs="Arial"/>
                <w:color w:val="000000"/>
                <w:sz w:val="16"/>
              </w:rPr>
            </w:pPr>
            <w:r w:rsidRPr="00353E70">
              <w:rPr>
                <w:rFonts w:ascii="Arial" w:eastAsia="Arial" w:hAnsi="Arial" w:cs="Arial"/>
                <w:b/>
                <w:color w:val="000000"/>
                <w:sz w:val="16"/>
              </w:rPr>
              <w:t>Payables</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68663F21" w14:textId="77777777" w:rsidR="003F0EEA" w:rsidRPr="00353E70" w:rsidRDefault="003F0EEA">
            <w:pPr>
              <w:rPr>
                <w:rFonts w:ascii="Arial" w:eastAsia="Arial" w:hAnsi="Arial" w:cs="Arial"/>
                <w:b/>
                <w:color w:val="000000"/>
                <w:sz w:val="16"/>
              </w:rPr>
            </w:pPr>
          </w:p>
        </w:tc>
        <w:tc>
          <w:tcPr>
            <w:tcW w:w="915" w:type="dxa"/>
            <w:tcBorders>
              <w:top w:val="nil"/>
              <w:left w:val="nil"/>
              <w:bottom w:val="nil"/>
              <w:right w:val="nil"/>
              <w:tl2br w:val="nil"/>
              <w:tr2bl w:val="nil"/>
            </w:tcBorders>
            <w:shd w:val="clear" w:color="auto" w:fill="FFFF00"/>
            <w:tcMar>
              <w:left w:w="101" w:type="dxa"/>
              <w:right w:w="101" w:type="dxa"/>
            </w:tcMar>
            <w:vAlign w:val="bottom"/>
          </w:tcPr>
          <w:p w14:paraId="3590B8DE" w14:textId="77777777" w:rsidR="003F0EEA" w:rsidRPr="00353E70" w:rsidRDefault="003F0EEA">
            <w:pPr>
              <w:rPr>
                <w:rFonts w:ascii="Arial" w:eastAsia="Arial" w:hAnsi="Arial" w:cs="Arial"/>
                <w:color w:val="000000"/>
                <w:sz w:val="16"/>
              </w:rPr>
            </w:pP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0C10FB5C" w14:textId="77777777" w:rsidR="003F0EEA" w:rsidRPr="00353E70" w:rsidRDefault="003F0EEA">
            <w:pPr>
              <w:rPr>
                <w:rFonts w:ascii="Arial" w:eastAsia="Arial" w:hAnsi="Arial" w:cs="Arial"/>
                <w:color w:val="000000"/>
                <w:sz w:val="16"/>
              </w:rPr>
            </w:pP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0287C2AE" w14:textId="77777777" w:rsidR="003F0EEA" w:rsidRPr="00353E70" w:rsidRDefault="003F0EEA">
            <w:pPr>
              <w:rPr>
                <w:rFonts w:ascii="Arial" w:eastAsia="Arial" w:hAnsi="Arial" w:cs="Arial"/>
                <w:color w:val="000000"/>
                <w:sz w:val="16"/>
              </w:rPr>
            </w:pP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2D4440EA" w14:textId="77777777" w:rsidR="003F0EEA" w:rsidRPr="00353E70" w:rsidRDefault="003F0EEA">
            <w:pPr>
              <w:rPr>
                <w:rFonts w:ascii="Arial" w:eastAsia="Arial" w:hAnsi="Arial" w:cs="Arial"/>
                <w:color w:val="000000"/>
                <w:sz w:val="16"/>
              </w:rPr>
            </w:pPr>
          </w:p>
        </w:tc>
      </w:tr>
      <w:tr w:rsidR="00FB7D0B" w14:paraId="39CA2F6F" w14:textId="77777777" w:rsidTr="00FB7D0B">
        <w:trPr>
          <w:trHeight w:val="225"/>
        </w:trPr>
        <w:tc>
          <w:tcPr>
            <w:tcW w:w="180" w:type="dxa"/>
            <w:tcBorders>
              <w:top w:val="nil"/>
              <w:left w:val="nil"/>
              <w:bottom w:val="nil"/>
              <w:right w:val="nil"/>
              <w:tl2br w:val="nil"/>
              <w:tr2bl w:val="nil"/>
            </w:tcBorders>
            <w:shd w:val="clear" w:color="auto" w:fill="FFFFFF"/>
            <w:tcMar>
              <w:left w:w="101" w:type="dxa"/>
              <w:right w:w="101" w:type="dxa"/>
            </w:tcMar>
            <w:vAlign w:val="bottom"/>
          </w:tcPr>
          <w:p w14:paraId="42509BBD" w14:textId="77777777" w:rsidR="003F0EEA" w:rsidRPr="00353E70" w:rsidRDefault="003F0EEA">
            <w:pPr>
              <w:rPr>
                <w:rFonts w:ascii="Arial" w:eastAsia="Arial" w:hAnsi="Arial" w:cs="Arial"/>
                <w:color w:val="000000"/>
                <w:sz w:val="16"/>
              </w:rPr>
            </w:pPr>
          </w:p>
        </w:tc>
        <w:tc>
          <w:tcPr>
            <w:tcW w:w="2880" w:type="dxa"/>
            <w:gridSpan w:val="2"/>
            <w:vMerge w:val="restart"/>
            <w:tcBorders>
              <w:top w:val="nil"/>
              <w:left w:val="nil"/>
              <w:bottom w:val="nil"/>
              <w:right w:val="nil"/>
              <w:tl2br w:val="nil"/>
              <w:tr2bl w:val="nil"/>
            </w:tcBorders>
            <w:shd w:val="clear" w:color="auto" w:fill="FFFFFF"/>
            <w:tcMar>
              <w:left w:w="101" w:type="dxa"/>
              <w:right w:w="101" w:type="dxa"/>
            </w:tcMar>
            <w:vAlign w:val="bottom"/>
          </w:tcPr>
          <w:p w14:paraId="297367F2" w14:textId="77777777" w:rsidR="003F0EEA" w:rsidRPr="00353E70" w:rsidRDefault="00FB7D0B">
            <w:pPr>
              <w:rPr>
                <w:rFonts w:ascii="Arial" w:eastAsia="Arial" w:hAnsi="Arial" w:cs="Arial"/>
                <w:color w:val="000000"/>
                <w:sz w:val="16"/>
              </w:rPr>
            </w:pPr>
            <w:r w:rsidRPr="00353E70">
              <w:rPr>
                <w:rFonts w:ascii="Arial" w:eastAsia="Arial" w:hAnsi="Arial" w:cs="Arial"/>
                <w:color w:val="000000"/>
                <w:sz w:val="16"/>
              </w:rPr>
              <w:t>Supplier payables</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4B6770ED" w14:textId="77777777" w:rsidR="003F0EEA" w:rsidRPr="00353E70" w:rsidRDefault="00FB7D0B">
            <w:pPr>
              <w:jc w:val="right"/>
              <w:rPr>
                <w:rFonts w:ascii="Arial" w:eastAsia="Arial" w:hAnsi="Arial" w:cs="Arial"/>
                <w:color w:val="000000"/>
                <w:sz w:val="16"/>
              </w:rPr>
            </w:pPr>
            <w:r w:rsidRPr="00353E70">
              <w:rPr>
                <w:rFonts w:ascii="Arial" w:eastAsia="Arial" w:hAnsi="Arial" w:cs="Arial"/>
                <w:color w:val="000000"/>
                <w:sz w:val="16"/>
              </w:rPr>
              <w:t>10,375 </w:t>
            </w:r>
          </w:p>
        </w:tc>
        <w:tc>
          <w:tcPr>
            <w:tcW w:w="915" w:type="dxa"/>
            <w:tcBorders>
              <w:top w:val="nil"/>
              <w:left w:val="nil"/>
              <w:bottom w:val="nil"/>
              <w:right w:val="nil"/>
              <w:tl2br w:val="nil"/>
              <w:tr2bl w:val="nil"/>
            </w:tcBorders>
            <w:shd w:val="clear" w:color="auto" w:fill="FFFF00"/>
            <w:tcMar>
              <w:left w:w="101" w:type="dxa"/>
              <w:right w:w="101" w:type="dxa"/>
            </w:tcMar>
            <w:vAlign w:val="bottom"/>
          </w:tcPr>
          <w:p w14:paraId="5A640EE9" w14:textId="77777777" w:rsidR="003F0EEA" w:rsidRPr="00353E70" w:rsidRDefault="00FB7D0B">
            <w:pPr>
              <w:jc w:val="right"/>
              <w:rPr>
                <w:rFonts w:ascii="Arial" w:eastAsia="Arial" w:hAnsi="Arial" w:cs="Arial"/>
                <w:color w:val="000000"/>
                <w:sz w:val="16"/>
              </w:rPr>
            </w:pPr>
            <w:r w:rsidRPr="00353E70">
              <w:rPr>
                <w:rFonts w:ascii="Arial" w:eastAsia="Arial" w:hAnsi="Arial" w:cs="Arial"/>
                <w:color w:val="000000"/>
                <w:sz w:val="16"/>
              </w:rPr>
              <w:t>10,517 </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4B9CE02D" w14:textId="77777777" w:rsidR="003F0EEA" w:rsidRPr="00353E70" w:rsidRDefault="00FB7D0B">
            <w:pPr>
              <w:jc w:val="right"/>
              <w:rPr>
                <w:rFonts w:ascii="Arial" w:eastAsia="Arial" w:hAnsi="Arial" w:cs="Arial"/>
                <w:color w:val="000000"/>
                <w:sz w:val="16"/>
              </w:rPr>
            </w:pPr>
            <w:r w:rsidRPr="00353E70">
              <w:rPr>
                <w:rFonts w:ascii="Arial" w:eastAsia="Arial" w:hAnsi="Arial" w:cs="Arial"/>
                <w:color w:val="000000"/>
                <w:sz w:val="16"/>
              </w:rPr>
              <w:t>11,464 </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5C510EE3" w14:textId="77777777" w:rsidR="003F0EEA" w:rsidRPr="00353E70" w:rsidRDefault="00FB7D0B">
            <w:pPr>
              <w:jc w:val="right"/>
              <w:rPr>
                <w:rFonts w:ascii="Arial" w:eastAsia="Arial" w:hAnsi="Arial" w:cs="Arial"/>
                <w:color w:val="000000"/>
                <w:sz w:val="16"/>
              </w:rPr>
            </w:pPr>
            <w:r w:rsidRPr="00353E70">
              <w:rPr>
                <w:rFonts w:ascii="Arial" w:eastAsia="Arial" w:hAnsi="Arial" w:cs="Arial"/>
                <w:color w:val="000000"/>
                <w:sz w:val="16"/>
              </w:rPr>
              <w:t>12,687 </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2CB513ED" w14:textId="77777777" w:rsidR="003F0EEA" w:rsidRPr="00353E70" w:rsidRDefault="00FB7D0B">
            <w:pPr>
              <w:jc w:val="right"/>
              <w:rPr>
                <w:rFonts w:ascii="Arial" w:eastAsia="Arial" w:hAnsi="Arial" w:cs="Arial"/>
                <w:color w:val="000000"/>
                <w:sz w:val="16"/>
              </w:rPr>
            </w:pPr>
            <w:r w:rsidRPr="00353E70">
              <w:rPr>
                <w:rFonts w:ascii="Arial" w:eastAsia="Arial" w:hAnsi="Arial" w:cs="Arial"/>
                <w:color w:val="000000"/>
                <w:sz w:val="16"/>
              </w:rPr>
              <w:t>13,516 </w:t>
            </w:r>
          </w:p>
        </w:tc>
      </w:tr>
      <w:tr w:rsidR="00FB7D0B" w14:paraId="27B4FF63" w14:textId="77777777" w:rsidTr="00FB7D0B">
        <w:trPr>
          <w:trHeight w:val="225"/>
        </w:trPr>
        <w:tc>
          <w:tcPr>
            <w:tcW w:w="180" w:type="dxa"/>
            <w:tcBorders>
              <w:top w:val="nil"/>
              <w:left w:val="nil"/>
              <w:bottom w:val="nil"/>
              <w:right w:val="nil"/>
              <w:tl2br w:val="nil"/>
              <w:tr2bl w:val="nil"/>
            </w:tcBorders>
            <w:shd w:val="clear" w:color="auto" w:fill="FFFFFF"/>
            <w:tcMar>
              <w:left w:w="101" w:type="dxa"/>
              <w:right w:w="101" w:type="dxa"/>
            </w:tcMar>
            <w:vAlign w:val="bottom"/>
          </w:tcPr>
          <w:p w14:paraId="1C8A81FA" w14:textId="77777777" w:rsidR="003F0EEA" w:rsidRPr="00353E70" w:rsidRDefault="003F0EEA">
            <w:pPr>
              <w:rPr>
                <w:rFonts w:ascii="Arial" w:eastAsia="Arial" w:hAnsi="Arial" w:cs="Arial"/>
                <w:color w:val="000000"/>
                <w:sz w:val="16"/>
              </w:rPr>
            </w:pPr>
          </w:p>
        </w:tc>
        <w:tc>
          <w:tcPr>
            <w:tcW w:w="2880" w:type="dxa"/>
            <w:gridSpan w:val="2"/>
            <w:tcBorders>
              <w:top w:val="nil"/>
              <w:left w:val="nil"/>
              <w:bottom w:val="nil"/>
              <w:right w:val="nil"/>
              <w:tl2br w:val="nil"/>
              <w:tr2bl w:val="nil"/>
            </w:tcBorders>
            <w:shd w:val="clear" w:color="auto" w:fill="FFFFFF"/>
            <w:tcMar>
              <w:left w:w="101" w:type="dxa"/>
              <w:right w:w="101" w:type="dxa"/>
            </w:tcMar>
            <w:vAlign w:val="bottom"/>
          </w:tcPr>
          <w:p w14:paraId="08A926B2" w14:textId="77777777" w:rsidR="003F0EEA" w:rsidRPr="00353E70" w:rsidRDefault="00FB7D0B">
            <w:pPr>
              <w:rPr>
                <w:rFonts w:ascii="Arial" w:eastAsia="Arial" w:hAnsi="Arial" w:cs="Arial"/>
                <w:color w:val="000000"/>
                <w:sz w:val="16"/>
              </w:rPr>
            </w:pPr>
            <w:r w:rsidRPr="00353E70">
              <w:rPr>
                <w:rFonts w:ascii="Arial" w:eastAsia="Arial" w:hAnsi="Arial" w:cs="Arial"/>
                <w:color w:val="000000"/>
                <w:sz w:val="16"/>
              </w:rPr>
              <w:t>Other payables</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5C3E2A18" w14:textId="77777777" w:rsidR="003F0EEA" w:rsidRPr="00353E70" w:rsidRDefault="00FB7D0B">
            <w:pPr>
              <w:jc w:val="right"/>
              <w:rPr>
                <w:rFonts w:ascii="Arial" w:eastAsia="Arial" w:hAnsi="Arial" w:cs="Arial"/>
                <w:color w:val="000000"/>
                <w:sz w:val="16"/>
              </w:rPr>
            </w:pPr>
            <w:r w:rsidRPr="00353E70">
              <w:rPr>
                <w:rFonts w:ascii="Arial" w:eastAsia="Arial" w:hAnsi="Arial" w:cs="Arial"/>
                <w:color w:val="000000"/>
                <w:sz w:val="16"/>
              </w:rPr>
              <w:t>5,964 </w:t>
            </w:r>
          </w:p>
        </w:tc>
        <w:tc>
          <w:tcPr>
            <w:tcW w:w="915" w:type="dxa"/>
            <w:tcBorders>
              <w:top w:val="nil"/>
              <w:left w:val="nil"/>
              <w:bottom w:val="nil"/>
              <w:right w:val="nil"/>
              <w:tl2br w:val="nil"/>
              <w:tr2bl w:val="nil"/>
            </w:tcBorders>
            <w:shd w:val="clear" w:color="auto" w:fill="FFFF00"/>
            <w:tcMar>
              <w:left w:w="101" w:type="dxa"/>
              <w:right w:w="101" w:type="dxa"/>
            </w:tcMar>
            <w:vAlign w:val="bottom"/>
          </w:tcPr>
          <w:p w14:paraId="57E1B3BC" w14:textId="77777777" w:rsidR="003F0EEA" w:rsidRPr="00353E70" w:rsidRDefault="00FB7D0B">
            <w:pPr>
              <w:jc w:val="right"/>
              <w:rPr>
                <w:rFonts w:ascii="Arial" w:eastAsia="Arial" w:hAnsi="Arial" w:cs="Arial"/>
                <w:color w:val="000000"/>
                <w:sz w:val="16"/>
              </w:rPr>
            </w:pPr>
            <w:r w:rsidRPr="00353E70">
              <w:rPr>
                <w:rFonts w:ascii="Arial" w:eastAsia="Arial" w:hAnsi="Arial" w:cs="Arial"/>
                <w:color w:val="000000"/>
                <w:sz w:val="16"/>
              </w:rPr>
              <w:t>5,964 </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08B9050C" w14:textId="77777777" w:rsidR="003F0EEA" w:rsidRPr="00353E70" w:rsidRDefault="00FB7D0B">
            <w:pPr>
              <w:jc w:val="right"/>
              <w:rPr>
                <w:rFonts w:ascii="Arial" w:eastAsia="Arial" w:hAnsi="Arial" w:cs="Arial"/>
                <w:color w:val="000000"/>
                <w:sz w:val="16"/>
              </w:rPr>
            </w:pPr>
            <w:r w:rsidRPr="00353E70">
              <w:rPr>
                <w:rFonts w:ascii="Arial" w:eastAsia="Arial" w:hAnsi="Arial" w:cs="Arial"/>
                <w:color w:val="000000"/>
                <w:sz w:val="16"/>
              </w:rPr>
              <w:t>5,964 </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3D03575B" w14:textId="77777777" w:rsidR="003F0EEA" w:rsidRPr="00353E70" w:rsidRDefault="00FB7D0B">
            <w:pPr>
              <w:jc w:val="right"/>
              <w:rPr>
                <w:rFonts w:ascii="Arial" w:eastAsia="Arial" w:hAnsi="Arial" w:cs="Arial"/>
                <w:color w:val="000000"/>
                <w:sz w:val="16"/>
              </w:rPr>
            </w:pPr>
            <w:r w:rsidRPr="00353E70">
              <w:rPr>
                <w:rFonts w:ascii="Arial" w:eastAsia="Arial" w:hAnsi="Arial" w:cs="Arial"/>
                <w:color w:val="000000"/>
                <w:sz w:val="16"/>
              </w:rPr>
              <w:t>5,964 </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443B082A" w14:textId="77777777" w:rsidR="003F0EEA" w:rsidRPr="00353E70" w:rsidRDefault="00FB7D0B">
            <w:pPr>
              <w:jc w:val="right"/>
              <w:rPr>
                <w:rFonts w:ascii="Arial" w:eastAsia="Arial" w:hAnsi="Arial" w:cs="Arial"/>
                <w:color w:val="000000"/>
                <w:sz w:val="16"/>
              </w:rPr>
            </w:pPr>
            <w:r w:rsidRPr="00353E70">
              <w:rPr>
                <w:rFonts w:ascii="Arial" w:eastAsia="Arial" w:hAnsi="Arial" w:cs="Arial"/>
                <w:color w:val="000000"/>
                <w:sz w:val="16"/>
              </w:rPr>
              <w:t>5,964 </w:t>
            </w:r>
          </w:p>
        </w:tc>
      </w:tr>
      <w:tr w:rsidR="00FB7D0B" w14:paraId="60205A87" w14:textId="77777777" w:rsidTr="00FB7D0B">
        <w:trPr>
          <w:trHeight w:val="225"/>
        </w:trPr>
        <w:tc>
          <w:tcPr>
            <w:tcW w:w="3060" w:type="dxa"/>
            <w:gridSpan w:val="3"/>
            <w:tcBorders>
              <w:top w:val="nil"/>
              <w:left w:val="nil"/>
              <w:bottom w:val="nil"/>
              <w:right w:val="nil"/>
              <w:tl2br w:val="nil"/>
              <w:tr2bl w:val="nil"/>
            </w:tcBorders>
            <w:shd w:val="clear" w:color="auto" w:fill="FFFFFF"/>
            <w:tcMar>
              <w:left w:w="101" w:type="dxa"/>
              <w:right w:w="101" w:type="dxa"/>
            </w:tcMar>
            <w:vAlign w:val="bottom"/>
          </w:tcPr>
          <w:p w14:paraId="65B6416B" w14:textId="77777777" w:rsidR="003F0EEA" w:rsidRPr="00353E70" w:rsidRDefault="00FB7D0B">
            <w:pPr>
              <w:rPr>
                <w:rFonts w:ascii="Arial" w:eastAsia="Arial" w:hAnsi="Arial" w:cs="Arial"/>
                <w:color w:val="000000"/>
                <w:sz w:val="16"/>
              </w:rPr>
            </w:pPr>
            <w:r w:rsidRPr="00353E70">
              <w:rPr>
                <w:rFonts w:ascii="Arial" w:eastAsia="Arial" w:hAnsi="Arial" w:cs="Arial"/>
                <w:b/>
                <w:i/>
                <w:color w:val="000000"/>
                <w:sz w:val="16"/>
              </w:rPr>
              <w:t>Total payables</w:t>
            </w:r>
          </w:p>
        </w:tc>
        <w:tc>
          <w:tcPr>
            <w:tcW w:w="915"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1BF89884" w14:textId="77777777" w:rsidR="003F0EEA" w:rsidRPr="00353E70" w:rsidRDefault="00FB7D0B">
            <w:pPr>
              <w:jc w:val="right"/>
              <w:rPr>
                <w:rFonts w:ascii="Arial" w:eastAsia="Arial" w:hAnsi="Arial" w:cs="Arial"/>
                <w:b/>
                <w:i/>
                <w:color w:val="000000"/>
                <w:sz w:val="16"/>
              </w:rPr>
            </w:pPr>
            <w:r w:rsidRPr="00353E70">
              <w:rPr>
                <w:rFonts w:ascii="Arial" w:eastAsia="Arial" w:hAnsi="Arial" w:cs="Arial"/>
                <w:b/>
                <w:color w:val="000000"/>
                <w:sz w:val="16"/>
              </w:rPr>
              <w:t>16,339 </w:t>
            </w:r>
          </w:p>
        </w:tc>
        <w:tc>
          <w:tcPr>
            <w:tcW w:w="915" w:type="dxa"/>
            <w:tcBorders>
              <w:top w:val="single" w:sz="6" w:space="0" w:color="000000"/>
              <w:left w:val="nil"/>
              <w:bottom w:val="single" w:sz="6" w:space="0" w:color="000000"/>
              <w:right w:val="nil"/>
              <w:tl2br w:val="nil"/>
              <w:tr2bl w:val="nil"/>
            </w:tcBorders>
            <w:shd w:val="clear" w:color="auto" w:fill="FFFF00"/>
            <w:tcMar>
              <w:left w:w="101" w:type="dxa"/>
              <w:right w:w="101" w:type="dxa"/>
            </w:tcMar>
            <w:vAlign w:val="bottom"/>
          </w:tcPr>
          <w:p w14:paraId="2AFFAFFC" w14:textId="77777777" w:rsidR="003F0EEA" w:rsidRPr="00353E70" w:rsidRDefault="00FB7D0B">
            <w:pPr>
              <w:jc w:val="right"/>
              <w:rPr>
                <w:rFonts w:ascii="Arial" w:eastAsia="Arial" w:hAnsi="Arial" w:cs="Arial"/>
                <w:b/>
                <w:color w:val="000000"/>
                <w:sz w:val="16"/>
              </w:rPr>
            </w:pPr>
            <w:r w:rsidRPr="00353E70">
              <w:rPr>
                <w:rFonts w:ascii="Arial" w:eastAsia="Arial" w:hAnsi="Arial" w:cs="Arial"/>
                <w:b/>
                <w:color w:val="000000"/>
                <w:sz w:val="16"/>
              </w:rPr>
              <w:t>16,481 </w:t>
            </w:r>
          </w:p>
        </w:tc>
        <w:tc>
          <w:tcPr>
            <w:tcW w:w="915"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2E0F1A95" w14:textId="77777777" w:rsidR="003F0EEA" w:rsidRPr="00353E70" w:rsidRDefault="00FB7D0B">
            <w:pPr>
              <w:jc w:val="right"/>
              <w:rPr>
                <w:rFonts w:ascii="Arial" w:eastAsia="Arial" w:hAnsi="Arial" w:cs="Arial"/>
                <w:b/>
                <w:color w:val="000000"/>
                <w:sz w:val="16"/>
              </w:rPr>
            </w:pPr>
            <w:r w:rsidRPr="00353E70">
              <w:rPr>
                <w:rFonts w:ascii="Arial" w:eastAsia="Arial" w:hAnsi="Arial" w:cs="Arial"/>
                <w:b/>
                <w:color w:val="000000"/>
                <w:sz w:val="16"/>
              </w:rPr>
              <w:t>17,428 </w:t>
            </w:r>
          </w:p>
        </w:tc>
        <w:tc>
          <w:tcPr>
            <w:tcW w:w="915"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147B9D46" w14:textId="77777777" w:rsidR="003F0EEA" w:rsidRPr="00353E70" w:rsidRDefault="00FB7D0B">
            <w:pPr>
              <w:jc w:val="right"/>
              <w:rPr>
                <w:rFonts w:ascii="Arial" w:eastAsia="Arial" w:hAnsi="Arial" w:cs="Arial"/>
                <w:b/>
                <w:color w:val="000000"/>
                <w:sz w:val="16"/>
              </w:rPr>
            </w:pPr>
            <w:r w:rsidRPr="00353E70">
              <w:rPr>
                <w:rFonts w:ascii="Arial" w:eastAsia="Arial" w:hAnsi="Arial" w:cs="Arial"/>
                <w:b/>
                <w:color w:val="000000"/>
                <w:sz w:val="16"/>
              </w:rPr>
              <w:t>18,651 </w:t>
            </w:r>
          </w:p>
        </w:tc>
        <w:tc>
          <w:tcPr>
            <w:tcW w:w="915"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654D436B" w14:textId="77777777" w:rsidR="003F0EEA" w:rsidRPr="00353E70" w:rsidRDefault="00FB7D0B">
            <w:pPr>
              <w:jc w:val="right"/>
              <w:rPr>
                <w:rFonts w:ascii="Arial" w:eastAsia="Arial" w:hAnsi="Arial" w:cs="Arial"/>
                <w:b/>
                <w:color w:val="000000"/>
                <w:sz w:val="16"/>
              </w:rPr>
            </w:pPr>
            <w:r w:rsidRPr="00353E70">
              <w:rPr>
                <w:rFonts w:ascii="Arial" w:eastAsia="Arial" w:hAnsi="Arial" w:cs="Arial"/>
                <w:b/>
                <w:color w:val="000000"/>
                <w:sz w:val="16"/>
              </w:rPr>
              <w:t>19,480 </w:t>
            </w:r>
          </w:p>
        </w:tc>
      </w:tr>
      <w:tr w:rsidR="00724034" w14:paraId="63806AC5" w14:textId="77777777">
        <w:trPr>
          <w:trHeight w:hRule="exact" w:val="60"/>
        </w:trPr>
        <w:tc>
          <w:tcPr>
            <w:tcW w:w="180" w:type="dxa"/>
            <w:tcBorders>
              <w:top w:val="nil"/>
              <w:left w:val="nil"/>
              <w:bottom w:val="nil"/>
              <w:right w:val="nil"/>
              <w:tl2br w:val="nil"/>
              <w:tr2bl w:val="nil"/>
            </w:tcBorders>
            <w:shd w:val="clear" w:color="auto" w:fill="FFFFFF"/>
            <w:tcMar>
              <w:left w:w="101" w:type="dxa"/>
              <w:right w:w="101" w:type="dxa"/>
            </w:tcMar>
            <w:vAlign w:val="bottom"/>
          </w:tcPr>
          <w:p w14:paraId="543DD425" w14:textId="77777777" w:rsidR="003F0EEA" w:rsidRPr="00353E70" w:rsidRDefault="003F0EEA">
            <w:pPr>
              <w:rPr>
                <w:rFonts w:ascii="Arial" w:eastAsia="Arial" w:hAnsi="Arial" w:cs="Arial"/>
                <w:b/>
                <w:color w:val="000000"/>
                <w:sz w:val="16"/>
              </w:rPr>
            </w:pPr>
          </w:p>
        </w:tc>
        <w:tc>
          <w:tcPr>
            <w:tcW w:w="180" w:type="dxa"/>
            <w:tcBorders>
              <w:top w:val="nil"/>
              <w:left w:val="nil"/>
              <w:bottom w:val="nil"/>
              <w:right w:val="nil"/>
              <w:tl2br w:val="nil"/>
              <w:tr2bl w:val="nil"/>
            </w:tcBorders>
            <w:shd w:val="clear" w:color="auto" w:fill="FFFFFF"/>
            <w:tcMar>
              <w:left w:w="101" w:type="dxa"/>
              <w:right w:w="101" w:type="dxa"/>
            </w:tcMar>
            <w:vAlign w:val="bottom"/>
          </w:tcPr>
          <w:p w14:paraId="630066E2" w14:textId="77777777" w:rsidR="003F0EEA" w:rsidRPr="00353E70" w:rsidRDefault="003F0EEA">
            <w:pPr>
              <w:rPr>
                <w:rFonts w:ascii="Arial" w:eastAsia="Arial" w:hAnsi="Arial" w:cs="Arial"/>
                <w:color w:val="000000"/>
                <w:sz w:val="16"/>
              </w:rPr>
            </w:pPr>
          </w:p>
        </w:tc>
        <w:tc>
          <w:tcPr>
            <w:tcW w:w="2700" w:type="dxa"/>
            <w:tcBorders>
              <w:top w:val="nil"/>
              <w:left w:val="nil"/>
              <w:bottom w:val="nil"/>
              <w:right w:val="nil"/>
              <w:tl2br w:val="nil"/>
              <w:tr2bl w:val="nil"/>
            </w:tcBorders>
            <w:shd w:val="clear" w:color="auto" w:fill="FFFFFF"/>
            <w:tcMar>
              <w:left w:w="101" w:type="dxa"/>
              <w:right w:w="101" w:type="dxa"/>
            </w:tcMar>
            <w:vAlign w:val="bottom"/>
          </w:tcPr>
          <w:p w14:paraId="2177C4F8" w14:textId="77777777" w:rsidR="003F0EEA" w:rsidRPr="00353E70" w:rsidRDefault="003F0EEA">
            <w:pPr>
              <w:rPr>
                <w:rFonts w:ascii="Arial" w:eastAsia="Arial" w:hAnsi="Arial" w:cs="Arial"/>
                <w:color w:val="000000"/>
                <w:sz w:val="16"/>
              </w:rPr>
            </w:pPr>
          </w:p>
        </w:tc>
        <w:tc>
          <w:tcPr>
            <w:tcW w:w="91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0ACC21E8" w14:textId="77777777" w:rsidR="003F0EEA" w:rsidRPr="00353E70" w:rsidRDefault="003F0EEA">
            <w:pPr>
              <w:rPr>
                <w:rFonts w:ascii="Arial" w:eastAsia="Arial" w:hAnsi="Arial" w:cs="Arial"/>
                <w:color w:val="000000"/>
                <w:sz w:val="16"/>
              </w:rPr>
            </w:pPr>
          </w:p>
        </w:tc>
        <w:tc>
          <w:tcPr>
            <w:tcW w:w="915" w:type="dxa"/>
            <w:tcBorders>
              <w:top w:val="single" w:sz="6" w:space="0" w:color="000000"/>
              <w:left w:val="nil"/>
              <w:bottom w:val="nil"/>
              <w:right w:val="nil"/>
              <w:tl2br w:val="nil"/>
              <w:tr2bl w:val="nil"/>
            </w:tcBorders>
            <w:shd w:val="clear" w:color="auto" w:fill="FFFF00"/>
            <w:tcMar>
              <w:left w:w="101" w:type="dxa"/>
              <w:right w:w="101" w:type="dxa"/>
            </w:tcMar>
            <w:vAlign w:val="bottom"/>
          </w:tcPr>
          <w:p w14:paraId="543D8384" w14:textId="77777777" w:rsidR="003F0EEA" w:rsidRPr="00353E70" w:rsidRDefault="003F0EEA">
            <w:pPr>
              <w:rPr>
                <w:rFonts w:ascii="Arial" w:eastAsia="Arial" w:hAnsi="Arial" w:cs="Arial"/>
                <w:color w:val="000000"/>
                <w:sz w:val="16"/>
              </w:rPr>
            </w:pPr>
          </w:p>
        </w:tc>
        <w:tc>
          <w:tcPr>
            <w:tcW w:w="91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56EB4EAC" w14:textId="77777777" w:rsidR="003F0EEA" w:rsidRPr="00353E70" w:rsidRDefault="003F0EEA">
            <w:pPr>
              <w:rPr>
                <w:rFonts w:ascii="Arial" w:eastAsia="Arial" w:hAnsi="Arial" w:cs="Arial"/>
                <w:color w:val="000000"/>
                <w:sz w:val="16"/>
              </w:rPr>
            </w:pPr>
          </w:p>
        </w:tc>
        <w:tc>
          <w:tcPr>
            <w:tcW w:w="91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1C35EFA8" w14:textId="77777777" w:rsidR="003F0EEA" w:rsidRPr="00353E70" w:rsidRDefault="003F0EEA">
            <w:pPr>
              <w:rPr>
                <w:rFonts w:ascii="Arial" w:eastAsia="Arial" w:hAnsi="Arial" w:cs="Arial"/>
                <w:color w:val="000000"/>
                <w:sz w:val="16"/>
              </w:rPr>
            </w:pPr>
          </w:p>
        </w:tc>
        <w:tc>
          <w:tcPr>
            <w:tcW w:w="91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5C37CB55" w14:textId="77777777" w:rsidR="003F0EEA" w:rsidRPr="00353E70" w:rsidRDefault="003F0EEA">
            <w:pPr>
              <w:rPr>
                <w:rFonts w:ascii="Arial" w:eastAsia="Arial" w:hAnsi="Arial" w:cs="Arial"/>
                <w:color w:val="000000"/>
                <w:sz w:val="16"/>
              </w:rPr>
            </w:pPr>
          </w:p>
        </w:tc>
      </w:tr>
      <w:tr w:rsidR="00FB7D0B" w14:paraId="561FCCE4" w14:textId="77777777" w:rsidTr="00FB7D0B">
        <w:trPr>
          <w:trHeight w:val="225"/>
        </w:trPr>
        <w:tc>
          <w:tcPr>
            <w:tcW w:w="3060" w:type="dxa"/>
            <w:gridSpan w:val="3"/>
            <w:tcBorders>
              <w:top w:val="nil"/>
              <w:left w:val="nil"/>
              <w:bottom w:val="nil"/>
              <w:right w:val="nil"/>
              <w:tl2br w:val="nil"/>
              <w:tr2bl w:val="nil"/>
            </w:tcBorders>
            <w:shd w:val="clear" w:color="auto" w:fill="FFFFFF"/>
            <w:tcMar>
              <w:left w:w="101" w:type="dxa"/>
              <w:right w:w="101" w:type="dxa"/>
            </w:tcMar>
            <w:vAlign w:val="bottom"/>
          </w:tcPr>
          <w:p w14:paraId="508D012D" w14:textId="77777777" w:rsidR="003F0EEA" w:rsidRPr="00353E70" w:rsidRDefault="00FB7D0B">
            <w:pPr>
              <w:rPr>
                <w:rFonts w:ascii="Arial" w:eastAsia="Arial" w:hAnsi="Arial" w:cs="Arial"/>
                <w:color w:val="000000"/>
                <w:sz w:val="16"/>
              </w:rPr>
            </w:pPr>
            <w:r w:rsidRPr="00353E70">
              <w:rPr>
                <w:rFonts w:ascii="Arial" w:eastAsia="Arial" w:hAnsi="Arial" w:cs="Arial"/>
                <w:b/>
                <w:color w:val="000000"/>
                <w:sz w:val="16"/>
              </w:rPr>
              <w:t>Provisions</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4C72ED9E" w14:textId="77777777" w:rsidR="003F0EEA" w:rsidRPr="00353E70" w:rsidRDefault="003F0EEA">
            <w:pPr>
              <w:rPr>
                <w:rFonts w:ascii="Arial" w:eastAsia="Arial" w:hAnsi="Arial" w:cs="Arial"/>
                <w:b/>
                <w:color w:val="000000"/>
                <w:sz w:val="16"/>
              </w:rPr>
            </w:pPr>
          </w:p>
        </w:tc>
        <w:tc>
          <w:tcPr>
            <w:tcW w:w="915" w:type="dxa"/>
            <w:tcBorders>
              <w:top w:val="nil"/>
              <w:left w:val="nil"/>
              <w:bottom w:val="nil"/>
              <w:right w:val="nil"/>
              <w:tl2br w:val="nil"/>
              <w:tr2bl w:val="nil"/>
            </w:tcBorders>
            <w:shd w:val="clear" w:color="auto" w:fill="FFFF00"/>
            <w:tcMar>
              <w:left w:w="101" w:type="dxa"/>
              <w:right w:w="101" w:type="dxa"/>
            </w:tcMar>
            <w:vAlign w:val="bottom"/>
          </w:tcPr>
          <w:p w14:paraId="7012B12B" w14:textId="77777777" w:rsidR="003F0EEA" w:rsidRPr="00353E70" w:rsidRDefault="003F0EEA">
            <w:pPr>
              <w:rPr>
                <w:rFonts w:ascii="Arial" w:eastAsia="Arial" w:hAnsi="Arial" w:cs="Arial"/>
                <w:color w:val="000000"/>
                <w:sz w:val="16"/>
              </w:rPr>
            </w:pP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1823B89B" w14:textId="77777777" w:rsidR="003F0EEA" w:rsidRPr="00353E70" w:rsidRDefault="003F0EEA">
            <w:pPr>
              <w:rPr>
                <w:rFonts w:ascii="Arial" w:eastAsia="Arial" w:hAnsi="Arial" w:cs="Arial"/>
                <w:color w:val="000000"/>
                <w:sz w:val="16"/>
              </w:rPr>
            </w:pP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2D6DE10F" w14:textId="77777777" w:rsidR="003F0EEA" w:rsidRPr="00353E70" w:rsidRDefault="003F0EEA">
            <w:pPr>
              <w:rPr>
                <w:rFonts w:ascii="Arial" w:eastAsia="Arial" w:hAnsi="Arial" w:cs="Arial"/>
                <w:color w:val="000000"/>
                <w:sz w:val="16"/>
              </w:rPr>
            </w:pP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6B5FD29D" w14:textId="77777777" w:rsidR="003F0EEA" w:rsidRPr="00353E70" w:rsidRDefault="003F0EEA">
            <w:pPr>
              <w:rPr>
                <w:rFonts w:ascii="Arial" w:eastAsia="Arial" w:hAnsi="Arial" w:cs="Arial"/>
                <w:color w:val="000000"/>
                <w:sz w:val="16"/>
              </w:rPr>
            </w:pPr>
          </w:p>
        </w:tc>
      </w:tr>
      <w:tr w:rsidR="00FB7D0B" w14:paraId="57D1706F" w14:textId="77777777" w:rsidTr="00FB7D0B">
        <w:trPr>
          <w:trHeight w:val="225"/>
        </w:trPr>
        <w:tc>
          <w:tcPr>
            <w:tcW w:w="180" w:type="dxa"/>
            <w:tcBorders>
              <w:top w:val="nil"/>
              <w:left w:val="nil"/>
              <w:bottom w:val="nil"/>
              <w:right w:val="nil"/>
              <w:tl2br w:val="nil"/>
              <w:tr2bl w:val="nil"/>
            </w:tcBorders>
            <w:shd w:val="clear" w:color="auto" w:fill="FFFFFF"/>
            <w:tcMar>
              <w:left w:w="101" w:type="dxa"/>
              <w:right w:w="101" w:type="dxa"/>
            </w:tcMar>
            <w:vAlign w:val="bottom"/>
          </w:tcPr>
          <w:p w14:paraId="1D042A69" w14:textId="77777777" w:rsidR="003F0EEA" w:rsidRPr="00353E70" w:rsidRDefault="003F0EEA">
            <w:pPr>
              <w:rPr>
                <w:rFonts w:ascii="Arial" w:eastAsia="Arial" w:hAnsi="Arial" w:cs="Arial"/>
                <w:color w:val="000000"/>
                <w:sz w:val="16"/>
              </w:rPr>
            </w:pPr>
          </w:p>
        </w:tc>
        <w:tc>
          <w:tcPr>
            <w:tcW w:w="2880" w:type="dxa"/>
            <w:gridSpan w:val="2"/>
            <w:vMerge w:val="restart"/>
            <w:tcBorders>
              <w:top w:val="nil"/>
              <w:left w:val="nil"/>
              <w:bottom w:val="nil"/>
              <w:right w:val="nil"/>
              <w:tl2br w:val="nil"/>
              <w:tr2bl w:val="nil"/>
            </w:tcBorders>
            <w:shd w:val="clear" w:color="auto" w:fill="FFFFFF"/>
            <w:tcMar>
              <w:left w:w="101" w:type="dxa"/>
              <w:right w:w="101" w:type="dxa"/>
            </w:tcMar>
            <w:vAlign w:val="bottom"/>
          </w:tcPr>
          <w:p w14:paraId="43DBC0FB" w14:textId="77777777" w:rsidR="003F0EEA" w:rsidRPr="00353E70" w:rsidRDefault="00FB7D0B">
            <w:pPr>
              <w:rPr>
                <w:rFonts w:ascii="Arial" w:eastAsia="Arial" w:hAnsi="Arial" w:cs="Arial"/>
                <w:color w:val="000000"/>
                <w:sz w:val="16"/>
              </w:rPr>
            </w:pPr>
            <w:r w:rsidRPr="00353E70">
              <w:rPr>
                <w:rFonts w:ascii="Arial" w:eastAsia="Arial" w:hAnsi="Arial" w:cs="Arial"/>
                <w:color w:val="000000"/>
                <w:sz w:val="16"/>
              </w:rPr>
              <w:t>Employee provisions</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608737EC" w14:textId="77777777" w:rsidR="003F0EEA" w:rsidRPr="00353E70" w:rsidRDefault="00FB7D0B">
            <w:pPr>
              <w:jc w:val="right"/>
              <w:rPr>
                <w:rFonts w:ascii="Arial" w:eastAsia="Arial" w:hAnsi="Arial" w:cs="Arial"/>
                <w:color w:val="000000"/>
                <w:sz w:val="16"/>
              </w:rPr>
            </w:pPr>
            <w:r w:rsidRPr="00353E70">
              <w:rPr>
                <w:rFonts w:ascii="Arial" w:eastAsia="Arial" w:hAnsi="Arial" w:cs="Arial"/>
                <w:color w:val="000000"/>
                <w:sz w:val="16"/>
              </w:rPr>
              <w:t>68,554 </w:t>
            </w:r>
          </w:p>
        </w:tc>
        <w:tc>
          <w:tcPr>
            <w:tcW w:w="915" w:type="dxa"/>
            <w:tcBorders>
              <w:top w:val="nil"/>
              <w:left w:val="nil"/>
              <w:bottom w:val="nil"/>
              <w:right w:val="nil"/>
              <w:tl2br w:val="nil"/>
              <w:tr2bl w:val="nil"/>
            </w:tcBorders>
            <w:shd w:val="clear" w:color="auto" w:fill="FFFF00"/>
            <w:tcMar>
              <w:left w:w="101" w:type="dxa"/>
              <w:right w:w="101" w:type="dxa"/>
            </w:tcMar>
            <w:vAlign w:val="bottom"/>
          </w:tcPr>
          <w:p w14:paraId="3E79314D" w14:textId="77777777" w:rsidR="003F0EEA" w:rsidRPr="00353E70" w:rsidRDefault="00FB7D0B">
            <w:pPr>
              <w:jc w:val="right"/>
              <w:rPr>
                <w:rFonts w:ascii="Arial" w:eastAsia="Arial" w:hAnsi="Arial" w:cs="Arial"/>
                <w:color w:val="000000"/>
                <w:sz w:val="16"/>
              </w:rPr>
            </w:pPr>
            <w:r w:rsidRPr="00353E70">
              <w:rPr>
                <w:rFonts w:ascii="Arial" w:eastAsia="Arial" w:hAnsi="Arial" w:cs="Arial"/>
                <w:color w:val="000000"/>
                <w:sz w:val="16"/>
              </w:rPr>
              <w:t>67,198 </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4A652546" w14:textId="77777777" w:rsidR="003F0EEA" w:rsidRPr="00353E70" w:rsidRDefault="00FB7D0B">
            <w:pPr>
              <w:jc w:val="right"/>
              <w:rPr>
                <w:rFonts w:ascii="Arial" w:eastAsia="Arial" w:hAnsi="Arial" w:cs="Arial"/>
                <w:color w:val="000000"/>
                <w:sz w:val="16"/>
              </w:rPr>
            </w:pPr>
            <w:r w:rsidRPr="00353E70">
              <w:rPr>
                <w:rFonts w:ascii="Arial" w:eastAsia="Arial" w:hAnsi="Arial" w:cs="Arial"/>
                <w:color w:val="000000"/>
                <w:sz w:val="16"/>
              </w:rPr>
              <w:t>63,818 </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2553C127" w14:textId="77777777" w:rsidR="003F0EEA" w:rsidRPr="00353E70" w:rsidRDefault="00FB7D0B">
            <w:pPr>
              <w:jc w:val="right"/>
              <w:rPr>
                <w:rFonts w:ascii="Arial" w:eastAsia="Arial" w:hAnsi="Arial" w:cs="Arial"/>
                <w:color w:val="000000"/>
                <w:sz w:val="16"/>
              </w:rPr>
            </w:pPr>
            <w:r w:rsidRPr="00353E70">
              <w:rPr>
                <w:rFonts w:ascii="Arial" w:eastAsia="Arial" w:hAnsi="Arial" w:cs="Arial"/>
                <w:color w:val="000000"/>
                <w:sz w:val="16"/>
              </w:rPr>
              <w:t>61,447 </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1925BD07" w14:textId="77777777" w:rsidR="003F0EEA" w:rsidRPr="00353E70" w:rsidRDefault="00FB7D0B">
            <w:pPr>
              <w:jc w:val="right"/>
              <w:rPr>
                <w:rFonts w:ascii="Arial" w:eastAsia="Arial" w:hAnsi="Arial" w:cs="Arial"/>
                <w:color w:val="000000"/>
                <w:sz w:val="16"/>
              </w:rPr>
            </w:pPr>
            <w:r w:rsidRPr="00353E70">
              <w:rPr>
                <w:rFonts w:ascii="Arial" w:eastAsia="Arial" w:hAnsi="Arial" w:cs="Arial"/>
                <w:color w:val="000000"/>
                <w:sz w:val="16"/>
              </w:rPr>
              <w:t>61,351 </w:t>
            </w:r>
          </w:p>
        </w:tc>
      </w:tr>
      <w:tr w:rsidR="00FB7D0B" w14:paraId="69A4BDEC" w14:textId="77777777" w:rsidTr="00FB7D0B">
        <w:trPr>
          <w:trHeight w:val="225"/>
        </w:trPr>
        <w:tc>
          <w:tcPr>
            <w:tcW w:w="180" w:type="dxa"/>
            <w:tcBorders>
              <w:top w:val="nil"/>
              <w:left w:val="nil"/>
              <w:bottom w:val="nil"/>
              <w:right w:val="nil"/>
              <w:tl2br w:val="nil"/>
              <w:tr2bl w:val="nil"/>
            </w:tcBorders>
            <w:shd w:val="clear" w:color="auto" w:fill="FFFFFF"/>
            <w:tcMar>
              <w:left w:w="101" w:type="dxa"/>
              <w:right w:w="101" w:type="dxa"/>
            </w:tcMar>
            <w:vAlign w:val="bottom"/>
          </w:tcPr>
          <w:p w14:paraId="18D349B0" w14:textId="77777777" w:rsidR="003F0EEA" w:rsidRPr="00353E70" w:rsidRDefault="003F0EEA">
            <w:pPr>
              <w:rPr>
                <w:rFonts w:ascii="Arial" w:eastAsia="Arial" w:hAnsi="Arial" w:cs="Arial"/>
                <w:color w:val="000000"/>
                <w:sz w:val="16"/>
              </w:rPr>
            </w:pPr>
          </w:p>
        </w:tc>
        <w:tc>
          <w:tcPr>
            <w:tcW w:w="2880" w:type="dxa"/>
            <w:gridSpan w:val="2"/>
            <w:tcBorders>
              <w:top w:val="nil"/>
              <w:left w:val="nil"/>
              <w:bottom w:val="nil"/>
              <w:right w:val="nil"/>
              <w:tl2br w:val="nil"/>
              <w:tr2bl w:val="nil"/>
            </w:tcBorders>
            <w:shd w:val="clear" w:color="auto" w:fill="FFFFFF"/>
            <w:tcMar>
              <w:left w:w="101" w:type="dxa"/>
              <w:right w:w="101" w:type="dxa"/>
            </w:tcMar>
            <w:vAlign w:val="bottom"/>
          </w:tcPr>
          <w:p w14:paraId="7CBEA5F9" w14:textId="77777777" w:rsidR="003F0EEA" w:rsidRPr="00353E70" w:rsidRDefault="00FB7D0B">
            <w:pPr>
              <w:rPr>
                <w:rFonts w:ascii="Arial" w:eastAsia="Arial" w:hAnsi="Arial" w:cs="Arial"/>
                <w:color w:val="000000"/>
                <w:sz w:val="16"/>
              </w:rPr>
            </w:pPr>
            <w:r w:rsidRPr="00353E70">
              <w:rPr>
                <w:rFonts w:ascii="Arial" w:eastAsia="Arial" w:hAnsi="Arial" w:cs="Arial"/>
                <w:color w:val="000000"/>
                <w:sz w:val="16"/>
              </w:rPr>
              <w:t>Other provisions</w:t>
            </w:r>
          </w:p>
        </w:tc>
        <w:tc>
          <w:tcPr>
            <w:tcW w:w="915"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38F234C6" w14:textId="77777777" w:rsidR="003F0EEA" w:rsidRPr="00353E70" w:rsidRDefault="00FB7D0B">
            <w:pPr>
              <w:jc w:val="right"/>
              <w:rPr>
                <w:rFonts w:ascii="Arial" w:eastAsia="Arial" w:hAnsi="Arial" w:cs="Arial"/>
                <w:color w:val="000000"/>
                <w:sz w:val="16"/>
              </w:rPr>
            </w:pPr>
            <w:r w:rsidRPr="00353E70">
              <w:rPr>
                <w:rFonts w:ascii="Arial" w:eastAsia="Arial" w:hAnsi="Arial" w:cs="Arial"/>
                <w:color w:val="000000"/>
                <w:sz w:val="16"/>
              </w:rPr>
              <w:t>5,880 </w:t>
            </w:r>
          </w:p>
        </w:tc>
        <w:tc>
          <w:tcPr>
            <w:tcW w:w="915" w:type="dxa"/>
            <w:tcBorders>
              <w:top w:val="nil"/>
              <w:left w:val="nil"/>
              <w:bottom w:val="single" w:sz="6" w:space="0" w:color="000000"/>
              <w:right w:val="nil"/>
              <w:tl2br w:val="nil"/>
              <w:tr2bl w:val="nil"/>
            </w:tcBorders>
            <w:shd w:val="clear" w:color="auto" w:fill="FFFF00"/>
            <w:tcMar>
              <w:left w:w="101" w:type="dxa"/>
              <w:right w:w="101" w:type="dxa"/>
            </w:tcMar>
            <w:vAlign w:val="bottom"/>
          </w:tcPr>
          <w:p w14:paraId="3EDF5863" w14:textId="77777777" w:rsidR="003F0EEA" w:rsidRPr="00353E70" w:rsidRDefault="00FB7D0B">
            <w:pPr>
              <w:jc w:val="right"/>
              <w:rPr>
                <w:rFonts w:ascii="Arial" w:eastAsia="Arial" w:hAnsi="Arial" w:cs="Arial"/>
                <w:color w:val="000000"/>
                <w:sz w:val="16"/>
              </w:rPr>
            </w:pPr>
            <w:r w:rsidRPr="00353E70">
              <w:rPr>
                <w:rFonts w:ascii="Arial" w:eastAsia="Arial" w:hAnsi="Arial" w:cs="Arial"/>
                <w:color w:val="000000"/>
                <w:sz w:val="16"/>
              </w:rPr>
              <w:t>5,880 </w:t>
            </w:r>
          </w:p>
        </w:tc>
        <w:tc>
          <w:tcPr>
            <w:tcW w:w="915"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194E9A3F" w14:textId="77777777" w:rsidR="003F0EEA" w:rsidRPr="00353E70" w:rsidRDefault="00FB7D0B">
            <w:pPr>
              <w:jc w:val="right"/>
              <w:rPr>
                <w:rFonts w:ascii="Arial" w:eastAsia="Arial" w:hAnsi="Arial" w:cs="Arial"/>
                <w:color w:val="000000"/>
                <w:sz w:val="16"/>
              </w:rPr>
            </w:pPr>
            <w:r w:rsidRPr="00353E70">
              <w:rPr>
                <w:rFonts w:ascii="Arial" w:eastAsia="Arial" w:hAnsi="Arial" w:cs="Arial"/>
                <w:color w:val="000000"/>
                <w:sz w:val="16"/>
              </w:rPr>
              <w:t>5,880 </w:t>
            </w:r>
          </w:p>
        </w:tc>
        <w:tc>
          <w:tcPr>
            <w:tcW w:w="915"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778012EA" w14:textId="77777777" w:rsidR="003F0EEA" w:rsidRPr="00353E70" w:rsidRDefault="00FB7D0B">
            <w:pPr>
              <w:jc w:val="right"/>
              <w:rPr>
                <w:rFonts w:ascii="Arial" w:eastAsia="Arial" w:hAnsi="Arial" w:cs="Arial"/>
                <w:color w:val="000000"/>
                <w:sz w:val="16"/>
              </w:rPr>
            </w:pPr>
            <w:r w:rsidRPr="00353E70">
              <w:rPr>
                <w:rFonts w:ascii="Arial" w:eastAsia="Arial" w:hAnsi="Arial" w:cs="Arial"/>
                <w:color w:val="000000"/>
                <w:sz w:val="16"/>
              </w:rPr>
              <w:t>5,880 </w:t>
            </w:r>
          </w:p>
        </w:tc>
        <w:tc>
          <w:tcPr>
            <w:tcW w:w="915"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07628569" w14:textId="77777777" w:rsidR="003F0EEA" w:rsidRPr="00353E70" w:rsidRDefault="00FB7D0B">
            <w:pPr>
              <w:jc w:val="right"/>
              <w:rPr>
                <w:rFonts w:ascii="Arial" w:eastAsia="Arial" w:hAnsi="Arial" w:cs="Arial"/>
                <w:color w:val="000000"/>
                <w:sz w:val="16"/>
              </w:rPr>
            </w:pPr>
            <w:r w:rsidRPr="00353E70">
              <w:rPr>
                <w:rFonts w:ascii="Arial" w:eastAsia="Arial" w:hAnsi="Arial" w:cs="Arial"/>
                <w:color w:val="000000"/>
                <w:sz w:val="16"/>
              </w:rPr>
              <w:t>5,880 </w:t>
            </w:r>
          </w:p>
        </w:tc>
      </w:tr>
      <w:tr w:rsidR="00FB7D0B" w14:paraId="1AD19197" w14:textId="77777777" w:rsidTr="00FB7D0B">
        <w:trPr>
          <w:trHeight w:val="225"/>
        </w:trPr>
        <w:tc>
          <w:tcPr>
            <w:tcW w:w="3060" w:type="dxa"/>
            <w:gridSpan w:val="3"/>
            <w:tcBorders>
              <w:top w:val="nil"/>
              <w:left w:val="nil"/>
              <w:bottom w:val="nil"/>
              <w:right w:val="nil"/>
              <w:tl2br w:val="nil"/>
              <w:tr2bl w:val="nil"/>
            </w:tcBorders>
            <w:shd w:val="clear" w:color="auto" w:fill="FFFFFF"/>
            <w:tcMar>
              <w:left w:w="101" w:type="dxa"/>
              <w:right w:w="101" w:type="dxa"/>
            </w:tcMar>
            <w:vAlign w:val="bottom"/>
          </w:tcPr>
          <w:p w14:paraId="7016EA16" w14:textId="77777777" w:rsidR="003F0EEA" w:rsidRPr="00353E70" w:rsidRDefault="00FB7D0B">
            <w:pPr>
              <w:rPr>
                <w:rFonts w:ascii="Arial" w:eastAsia="Arial" w:hAnsi="Arial" w:cs="Arial"/>
                <w:color w:val="000000"/>
                <w:sz w:val="16"/>
              </w:rPr>
            </w:pPr>
            <w:r w:rsidRPr="00353E70">
              <w:rPr>
                <w:rFonts w:ascii="Arial" w:eastAsia="Arial" w:hAnsi="Arial" w:cs="Arial"/>
                <w:b/>
                <w:i/>
                <w:color w:val="000000"/>
                <w:sz w:val="16"/>
              </w:rPr>
              <w:t>Total provisions</w:t>
            </w:r>
          </w:p>
        </w:tc>
        <w:tc>
          <w:tcPr>
            <w:tcW w:w="915"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3A1F48A7" w14:textId="77777777" w:rsidR="003F0EEA" w:rsidRPr="00353E70" w:rsidRDefault="00FB7D0B">
            <w:pPr>
              <w:jc w:val="right"/>
              <w:rPr>
                <w:rFonts w:ascii="Arial" w:eastAsia="Arial" w:hAnsi="Arial" w:cs="Arial"/>
                <w:b/>
                <w:i/>
                <w:color w:val="000000"/>
                <w:sz w:val="16"/>
              </w:rPr>
            </w:pPr>
            <w:r w:rsidRPr="00353E70">
              <w:rPr>
                <w:rFonts w:ascii="Arial" w:eastAsia="Arial" w:hAnsi="Arial" w:cs="Arial"/>
                <w:b/>
                <w:color w:val="000000"/>
                <w:sz w:val="16"/>
              </w:rPr>
              <w:t>74,434 </w:t>
            </w:r>
          </w:p>
        </w:tc>
        <w:tc>
          <w:tcPr>
            <w:tcW w:w="915" w:type="dxa"/>
            <w:tcBorders>
              <w:top w:val="single" w:sz="6" w:space="0" w:color="000000"/>
              <w:left w:val="nil"/>
              <w:bottom w:val="single" w:sz="6" w:space="0" w:color="000000"/>
              <w:right w:val="nil"/>
              <w:tl2br w:val="nil"/>
              <w:tr2bl w:val="nil"/>
            </w:tcBorders>
            <w:shd w:val="clear" w:color="auto" w:fill="FFFF00"/>
            <w:tcMar>
              <w:left w:w="101" w:type="dxa"/>
              <w:right w:w="101" w:type="dxa"/>
            </w:tcMar>
            <w:vAlign w:val="bottom"/>
          </w:tcPr>
          <w:p w14:paraId="5D32EF7B" w14:textId="77777777" w:rsidR="003F0EEA" w:rsidRPr="00353E70" w:rsidRDefault="00FB7D0B">
            <w:pPr>
              <w:jc w:val="right"/>
              <w:rPr>
                <w:rFonts w:ascii="Arial" w:eastAsia="Arial" w:hAnsi="Arial" w:cs="Arial"/>
                <w:b/>
                <w:color w:val="000000"/>
                <w:sz w:val="16"/>
              </w:rPr>
            </w:pPr>
            <w:r w:rsidRPr="00353E70">
              <w:rPr>
                <w:rFonts w:ascii="Arial" w:eastAsia="Arial" w:hAnsi="Arial" w:cs="Arial"/>
                <w:b/>
                <w:color w:val="000000"/>
                <w:sz w:val="16"/>
              </w:rPr>
              <w:t>73,078 </w:t>
            </w:r>
          </w:p>
        </w:tc>
        <w:tc>
          <w:tcPr>
            <w:tcW w:w="915"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061A2019" w14:textId="77777777" w:rsidR="003F0EEA" w:rsidRPr="00353E70" w:rsidRDefault="00FB7D0B">
            <w:pPr>
              <w:jc w:val="right"/>
              <w:rPr>
                <w:rFonts w:ascii="Arial" w:eastAsia="Arial" w:hAnsi="Arial" w:cs="Arial"/>
                <w:b/>
                <w:color w:val="000000"/>
                <w:sz w:val="16"/>
              </w:rPr>
            </w:pPr>
            <w:r w:rsidRPr="00353E70">
              <w:rPr>
                <w:rFonts w:ascii="Arial" w:eastAsia="Arial" w:hAnsi="Arial" w:cs="Arial"/>
                <w:b/>
                <w:color w:val="000000"/>
                <w:sz w:val="16"/>
              </w:rPr>
              <w:t>69,698 </w:t>
            </w:r>
          </w:p>
        </w:tc>
        <w:tc>
          <w:tcPr>
            <w:tcW w:w="915"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334E0D77" w14:textId="77777777" w:rsidR="003F0EEA" w:rsidRPr="00353E70" w:rsidRDefault="00FB7D0B">
            <w:pPr>
              <w:jc w:val="right"/>
              <w:rPr>
                <w:rFonts w:ascii="Arial" w:eastAsia="Arial" w:hAnsi="Arial" w:cs="Arial"/>
                <w:b/>
                <w:color w:val="000000"/>
                <w:sz w:val="16"/>
              </w:rPr>
            </w:pPr>
            <w:r w:rsidRPr="00353E70">
              <w:rPr>
                <w:rFonts w:ascii="Arial" w:eastAsia="Arial" w:hAnsi="Arial" w:cs="Arial"/>
                <w:b/>
                <w:color w:val="000000"/>
                <w:sz w:val="16"/>
              </w:rPr>
              <w:t>67,327 </w:t>
            </w:r>
          </w:p>
        </w:tc>
        <w:tc>
          <w:tcPr>
            <w:tcW w:w="915"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5467526A" w14:textId="77777777" w:rsidR="003F0EEA" w:rsidRPr="00353E70" w:rsidRDefault="00FB7D0B">
            <w:pPr>
              <w:jc w:val="right"/>
              <w:rPr>
                <w:rFonts w:ascii="Arial" w:eastAsia="Arial" w:hAnsi="Arial" w:cs="Arial"/>
                <w:b/>
                <w:color w:val="000000"/>
                <w:sz w:val="16"/>
              </w:rPr>
            </w:pPr>
            <w:r w:rsidRPr="00353E70">
              <w:rPr>
                <w:rFonts w:ascii="Arial" w:eastAsia="Arial" w:hAnsi="Arial" w:cs="Arial"/>
                <w:b/>
                <w:color w:val="000000"/>
                <w:sz w:val="16"/>
              </w:rPr>
              <w:t>67,231 </w:t>
            </w:r>
          </w:p>
        </w:tc>
      </w:tr>
      <w:tr w:rsidR="00724034" w14:paraId="05A3559A" w14:textId="77777777">
        <w:trPr>
          <w:trHeight w:hRule="exact" w:val="225"/>
        </w:trPr>
        <w:tc>
          <w:tcPr>
            <w:tcW w:w="180" w:type="dxa"/>
            <w:tcBorders>
              <w:top w:val="nil"/>
              <w:left w:val="nil"/>
              <w:bottom w:val="nil"/>
              <w:right w:val="nil"/>
              <w:tl2br w:val="nil"/>
              <w:tr2bl w:val="nil"/>
            </w:tcBorders>
            <w:shd w:val="clear" w:color="auto" w:fill="FFFFFF"/>
            <w:tcMar>
              <w:left w:w="101" w:type="dxa"/>
              <w:right w:w="101" w:type="dxa"/>
            </w:tcMar>
            <w:vAlign w:val="bottom"/>
          </w:tcPr>
          <w:p w14:paraId="74CB029A" w14:textId="77777777" w:rsidR="003F0EEA" w:rsidRPr="00353E70" w:rsidRDefault="003F0EEA">
            <w:pPr>
              <w:rPr>
                <w:rFonts w:ascii="Arial" w:eastAsia="Arial" w:hAnsi="Arial" w:cs="Arial"/>
                <w:b/>
                <w:color w:val="000000"/>
                <w:sz w:val="16"/>
              </w:rPr>
            </w:pPr>
          </w:p>
        </w:tc>
        <w:tc>
          <w:tcPr>
            <w:tcW w:w="180" w:type="dxa"/>
            <w:tcBorders>
              <w:top w:val="nil"/>
              <w:left w:val="nil"/>
              <w:bottom w:val="nil"/>
              <w:right w:val="nil"/>
              <w:tl2br w:val="nil"/>
              <w:tr2bl w:val="nil"/>
            </w:tcBorders>
            <w:shd w:val="clear" w:color="auto" w:fill="FFFFFF"/>
            <w:tcMar>
              <w:left w:w="101" w:type="dxa"/>
              <w:right w:w="101" w:type="dxa"/>
            </w:tcMar>
            <w:vAlign w:val="bottom"/>
          </w:tcPr>
          <w:p w14:paraId="2B2FC95B" w14:textId="77777777" w:rsidR="003F0EEA" w:rsidRPr="00353E70" w:rsidRDefault="003F0EEA">
            <w:pPr>
              <w:rPr>
                <w:rFonts w:ascii="Arial" w:eastAsia="Arial" w:hAnsi="Arial" w:cs="Arial"/>
                <w:color w:val="000000"/>
                <w:sz w:val="16"/>
              </w:rPr>
            </w:pPr>
          </w:p>
        </w:tc>
        <w:tc>
          <w:tcPr>
            <w:tcW w:w="2700" w:type="dxa"/>
            <w:tcBorders>
              <w:top w:val="nil"/>
              <w:left w:val="nil"/>
              <w:bottom w:val="nil"/>
              <w:right w:val="nil"/>
              <w:tl2br w:val="nil"/>
              <w:tr2bl w:val="nil"/>
            </w:tcBorders>
            <w:shd w:val="clear" w:color="auto" w:fill="FFFFFF"/>
            <w:tcMar>
              <w:left w:w="101" w:type="dxa"/>
              <w:right w:w="101" w:type="dxa"/>
            </w:tcMar>
            <w:vAlign w:val="bottom"/>
          </w:tcPr>
          <w:p w14:paraId="634C61D4" w14:textId="77777777" w:rsidR="003F0EEA" w:rsidRPr="00353E70" w:rsidRDefault="003F0EEA">
            <w:pPr>
              <w:rPr>
                <w:rFonts w:ascii="Arial" w:eastAsia="Arial" w:hAnsi="Arial" w:cs="Arial"/>
                <w:color w:val="000000"/>
                <w:sz w:val="16"/>
              </w:rPr>
            </w:pPr>
          </w:p>
        </w:tc>
        <w:tc>
          <w:tcPr>
            <w:tcW w:w="91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0451DD95" w14:textId="77777777" w:rsidR="003F0EEA" w:rsidRPr="00353E70" w:rsidRDefault="003F0EEA">
            <w:pPr>
              <w:rPr>
                <w:rFonts w:ascii="Arial" w:eastAsia="Arial" w:hAnsi="Arial" w:cs="Arial"/>
                <w:color w:val="000000"/>
                <w:sz w:val="16"/>
              </w:rPr>
            </w:pPr>
          </w:p>
        </w:tc>
        <w:tc>
          <w:tcPr>
            <w:tcW w:w="915" w:type="dxa"/>
            <w:tcBorders>
              <w:top w:val="single" w:sz="6" w:space="0" w:color="000000"/>
              <w:left w:val="nil"/>
              <w:bottom w:val="nil"/>
              <w:right w:val="nil"/>
              <w:tl2br w:val="nil"/>
              <w:tr2bl w:val="nil"/>
            </w:tcBorders>
            <w:shd w:val="clear" w:color="auto" w:fill="FFFF00"/>
            <w:tcMar>
              <w:left w:w="101" w:type="dxa"/>
              <w:right w:w="101" w:type="dxa"/>
            </w:tcMar>
            <w:vAlign w:val="bottom"/>
          </w:tcPr>
          <w:p w14:paraId="53AE4F41" w14:textId="77777777" w:rsidR="003F0EEA" w:rsidRPr="00353E70" w:rsidRDefault="003F0EEA">
            <w:pPr>
              <w:rPr>
                <w:rFonts w:ascii="Arial" w:eastAsia="Arial" w:hAnsi="Arial" w:cs="Arial"/>
                <w:color w:val="000000"/>
                <w:sz w:val="16"/>
              </w:rPr>
            </w:pPr>
          </w:p>
        </w:tc>
        <w:tc>
          <w:tcPr>
            <w:tcW w:w="91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61235E4E" w14:textId="77777777" w:rsidR="003F0EEA" w:rsidRPr="00353E70" w:rsidRDefault="003F0EEA">
            <w:pPr>
              <w:rPr>
                <w:rFonts w:ascii="Arial" w:eastAsia="Arial" w:hAnsi="Arial" w:cs="Arial"/>
                <w:color w:val="000000"/>
                <w:sz w:val="16"/>
              </w:rPr>
            </w:pPr>
          </w:p>
        </w:tc>
        <w:tc>
          <w:tcPr>
            <w:tcW w:w="91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24E5D38B" w14:textId="77777777" w:rsidR="003F0EEA" w:rsidRPr="00353E70" w:rsidRDefault="003F0EEA">
            <w:pPr>
              <w:rPr>
                <w:rFonts w:ascii="Arial" w:eastAsia="Arial" w:hAnsi="Arial" w:cs="Arial"/>
                <w:color w:val="000000"/>
                <w:sz w:val="16"/>
              </w:rPr>
            </w:pPr>
          </w:p>
        </w:tc>
        <w:tc>
          <w:tcPr>
            <w:tcW w:w="91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1FF142FB" w14:textId="77777777" w:rsidR="003F0EEA" w:rsidRPr="00353E70" w:rsidRDefault="003F0EEA">
            <w:pPr>
              <w:rPr>
                <w:rFonts w:ascii="Arial" w:eastAsia="Arial" w:hAnsi="Arial" w:cs="Arial"/>
                <w:color w:val="000000"/>
                <w:sz w:val="16"/>
              </w:rPr>
            </w:pPr>
          </w:p>
        </w:tc>
      </w:tr>
      <w:tr w:rsidR="00FB7D0B" w14:paraId="68D0131D" w14:textId="77777777" w:rsidTr="00FB7D0B">
        <w:trPr>
          <w:trHeight w:val="225"/>
        </w:trPr>
        <w:tc>
          <w:tcPr>
            <w:tcW w:w="3060" w:type="dxa"/>
            <w:gridSpan w:val="3"/>
            <w:tcBorders>
              <w:top w:val="nil"/>
              <w:left w:val="nil"/>
              <w:bottom w:val="nil"/>
              <w:right w:val="nil"/>
              <w:tl2br w:val="nil"/>
              <w:tr2bl w:val="nil"/>
            </w:tcBorders>
            <w:shd w:val="clear" w:color="auto" w:fill="FFFFFF"/>
            <w:tcMar>
              <w:left w:w="101" w:type="dxa"/>
              <w:right w:w="101" w:type="dxa"/>
            </w:tcMar>
            <w:vAlign w:val="bottom"/>
          </w:tcPr>
          <w:p w14:paraId="6617B42F" w14:textId="77777777" w:rsidR="003F0EEA" w:rsidRPr="00353E70" w:rsidRDefault="00FB7D0B">
            <w:pPr>
              <w:rPr>
                <w:rFonts w:ascii="Arial" w:eastAsia="Arial" w:hAnsi="Arial" w:cs="Arial"/>
                <w:color w:val="000000"/>
                <w:sz w:val="16"/>
              </w:rPr>
            </w:pPr>
            <w:r w:rsidRPr="00353E70">
              <w:rPr>
                <w:rFonts w:ascii="Arial" w:eastAsia="Arial" w:hAnsi="Arial" w:cs="Arial"/>
                <w:b/>
                <w:color w:val="000000"/>
                <w:sz w:val="16"/>
              </w:rPr>
              <w:t>Total liabilities</w:t>
            </w:r>
          </w:p>
        </w:tc>
        <w:tc>
          <w:tcPr>
            <w:tcW w:w="915"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3668549A" w14:textId="77777777" w:rsidR="003F0EEA" w:rsidRPr="00353E70" w:rsidRDefault="00FB7D0B">
            <w:pPr>
              <w:jc w:val="right"/>
              <w:rPr>
                <w:rFonts w:ascii="Arial" w:eastAsia="Arial" w:hAnsi="Arial" w:cs="Arial"/>
                <w:b/>
                <w:color w:val="000000"/>
                <w:sz w:val="16"/>
              </w:rPr>
            </w:pPr>
            <w:r w:rsidRPr="00353E70">
              <w:rPr>
                <w:rFonts w:ascii="Arial" w:eastAsia="Arial" w:hAnsi="Arial" w:cs="Arial"/>
                <w:b/>
                <w:color w:val="000000"/>
                <w:sz w:val="16"/>
              </w:rPr>
              <w:t>90,773 </w:t>
            </w:r>
          </w:p>
        </w:tc>
        <w:tc>
          <w:tcPr>
            <w:tcW w:w="915" w:type="dxa"/>
            <w:tcBorders>
              <w:top w:val="single" w:sz="6" w:space="0" w:color="000000"/>
              <w:left w:val="nil"/>
              <w:bottom w:val="single" w:sz="6" w:space="0" w:color="000000"/>
              <w:right w:val="nil"/>
              <w:tl2br w:val="nil"/>
              <w:tr2bl w:val="nil"/>
            </w:tcBorders>
            <w:shd w:val="clear" w:color="auto" w:fill="FFFF00"/>
            <w:tcMar>
              <w:left w:w="101" w:type="dxa"/>
              <w:right w:w="101" w:type="dxa"/>
            </w:tcMar>
            <w:vAlign w:val="bottom"/>
          </w:tcPr>
          <w:p w14:paraId="5B827681" w14:textId="77777777" w:rsidR="003F0EEA" w:rsidRPr="00353E70" w:rsidRDefault="00FB7D0B">
            <w:pPr>
              <w:jc w:val="right"/>
              <w:rPr>
                <w:rFonts w:ascii="Arial" w:eastAsia="Arial" w:hAnsi="Arial" w:cs="Arial"/>
                <w:b/>
                <w:color w:val="000000"/>
                <w:sz w:val="16"/>
              </w:rPr>
            </w:pPr>
            <w:r w:rsidRPr="00353E70">
              <w:rPr>
                <w:rFonts w:ascii="Arial" w:eastAsia="Arial" w:hAnsi="Arial" w:cs="Arial"/>
                <w:b/>
                <w:color w:val="000000"/>
                <w:sz w:val="16"/>
              </w:rPr>
              <w:t>89,559 </w:t>
            </w:r>
          </w:p>
        </w:tc>
        <w:tc>
          <w:tcPr>
            <w:tcW w:w="915"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3709158B" w14:textId="77777777" w:rsidR="003F0EEA" w:rsidRPr="00353E70" w:rsidRDefault="00FB7D0B">
            <w:pPr>
              <w:jc w:val="right"/>
              <w:rPr>
                <w:rFonts w:ascii="Arial" w:eastAsia="Arial" w:hAnsi="Arial" w:cs="Arial"/>
                <w:b/>
                <w:color w:val="000000"/>
                <w:sz w:val="16"/>
              </w:rPr>
            </w:pPr>
            <w:r w:rsidRPr="00353E70">
              <w:rPr>
                <w:rFonts w:ascii="Arial" w:eastAsia="Arial" w:hAnsi="Arial" w:cs="Arial"/>
                <w:b/>
                <w:color w:val="000000"/>
                <w:sz w:val="16"/>
              </w:rPr>
              <w:t>87,126 </w:t>
            </w:r>
          </w:p>
        </w:tc>
        <w:tc>
          <w:tcPr>
            <w:tcW w:w="915"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728C57CD" w14:textId="77777777" w:rsidR="003F0EEA" w:rsidRPr="00353E70" w:rsidRDefault="00FB7D0B">
            <w:pPr>
              <w:jc w:val="right"/>
              <w:rPr>
                <w:rFonts w:ascii="Arial" w:eastAsia="Arial" w:hAnsi="Arial" w:cs="Arial"/>
                <w:b/>
                <w:color w:val="000000"/>
                <w:sz w:val="16"/>
              </w:rPr>
            </w:pPr>
            <w:r w:rsidRPr="00353E70">
              <w:rPr>
                <w:rFonts w:ascii="Arial" w:eastAsia="Arial" w:hAnsi="Arial" w:cs="Arial"/>
                <w:b/>
                <w:color w:val="000000"/>
                <w:sz w:val="16"/>
              </w:rPr>
              <w:t>85,978 </w:t>
            </w:r>
          </w:p>
        </w:tc>
        <w:tc>
          <w:tcPr>
            <w:tcW w:w="915"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0D11394E" w14:textId="77777777" w:rsidR="003F0EEA" w:rsidRPr="00353E70" w:rsidRDefault="00FB7D0B">
            <w:pPr>
              <w:jc w:val="right"/>
              <w:rPr>
                <w:rFonts w:ascii="Arial" w:eastAsia="Arial" w:hAnsi="Arial" w:cs="Arial"/>
                <w:b/>
                <w:color w:val="000000"/>
                <w:sz w:val="16"/>
              </w:rPr>
            </w:pPr>
            <w:r w:rsidRPr="00353E70">
              <w:rPr>
                <w:rFonts w:ascii="Arial" w:eastAsia="Arial" w:hAnsi="Arial" w:cs="Arial"/>
                <w:b/>
                <w:color w:val="000000"/>
                <w:sz w:val="16"/>
              </w:rPr>
              <w:t>86,711 </w:t>
            </w:r>
          </w:p>
        </w:tc>
      </w:tr>
      <w:tr w:rsidR="00724034" w14:paraId="48BDDE83" w14:textId="77777777">
        <w:trPr>
          <w:trHeight w:hRule="exact" w:val="60"/>
        </w:trPr>
        <w:tc>
          <w:tcPr>
            <w:tcW w:w="180" w:type="dxa"/>
            <w:tcBorders>
              <w:top w:val="nil"/>
              <w:left w:val="nil"/>
              <w:bottom w:val="nil"/>
              <w:right w:val="nil"/>
              <w:tl2br w:val="nil"/>
              <w:tr2bl w:val="nil"/>
            </w:tcBorders>
            <w:shd w:val="clear" w:color="auto" w:fill="FFFFFF"/>
            <w:tcMar>
              <w:left w:w="101" w:type="dxa"/>
              <w:right w:w="101" w:type="dxa"/>
            </w:tcMar>
            <w:vAlign w:val="bottom"/>
          </w:tcPr>
          <w:p w14:paraId="117A3F11" w14:textId="77777777" w:rsidR="003F0EEA" w:rsidRPr="00353E70" w:rsidRDefault="003F0EEA">
            <w:pPr>
              <w:rPr>
                <w:rFonts w:ascii="Arial" w:eastAsia="Arial" w:hAnsi="Arial" w:cs="Arial"/>
                <w:b/>
                <w:color w:val="000000"/>
                <w:sz w:val="16"/>
              </w:rPr>
            </w:pPr>
          </w:p>
        </w:tc>
        <w:tc>
          <w:tcPr>
            <w:tcW w:w="180" w:type="dxa"/>
            <w:tcBorders>
              <w:top w:val="nil"/>
              <w:left w:val="nil"/>
              <w:bottom w:val="nil"/>
              <w:right w:val="nil"/>
              <w:tl2br w:val="nil"/>
              <w:tr2bl w:val="nil"/>
            </w:tcBorders>
            <w:shd w:val="clear" w:color="auto" w:fill="FFFFFF"/>
            <w:tcMar>
              <w:left w:w="101" w:type="dxa"/>
              <w:right w:w="101" w:type="dxa"/>
            </w:tcMar>
            <w:vAlign w:val="bottom"/>
          </w:tcPr>
          <w:p w14:paraId="19D22880" w14:textId="77777777" w:rsidR="003F0EEA" w:rsidRPr="00353E70" w:rsidRDefault="003F0EEA">
            <w:pPr>
              <w:rPr>
                <w:rFonts w:ascii="Arial" w:eastAsia="Arial" w:hAnsi="Arial" w:cs="Arial"/>
                <w:color w:val="000000"/>
                <w:sz w:val="16"/>
              </w:rPr>
            </w:pPr>
          </w:p>
        </w:tc>
        <w:tc>
          <w:tcPr>
            <w:tcW w:w="2700" w:type="dxa"/>
            <w:tcBorders>
              <w:top w:val="nil"/>
              <w:left w:val="nil"/>
              <w:bottom w:val="nil"/>
              <w:right w:val="nil"/>
              <w:tl2br w:val="nil"/>
              <w:tr2bl w:val="nil"/>
            </w:tcBorders>
            <w:shd w:val="clear" w:color="auto" w:fill="FFFFFF"/>
            <w:tcMar>
              <w:left w:w="101" w:type="dxa"/>
              <w:right w:w="101" w:type="dxa"/>
            </w:tcMar>
            <w:vAlign w:val="bottom"/>
          </w:tcPr>
          <w:p w14:paraId="2E686841" w14:textId="77777777" w:rsidR="003F0EEA" w:rsidRPr="00353E70" w:rsidRDefault="003F0EEA">
            <w:pPr>
              <w:rPr>
                <w:rFonts w:ascii="Arial" w:eastAsia="Arial" w:hAnsi="Arial" w:cs="Arial"/>
                <w:color w:val="000000"/>
                <w:sz w:val="16"/>
              </w:rPr>
            </w:pPr>
          </w:p>
        </w:tc>
        <w:tc>
          <w:tcPr>
            <w:tcW w:w="91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76745077" w14:textId="77777777" w:rsidR="003F0EEA" w:rsidRPr="00353E70" w:rsidRDefault="003F0EEA">
            <w:pPr>
              <w:rPr>
                <w:rFonts w:ascii="Arial" w:eastAsia="Arial" w:hAnsi="Arial" w:cs="Arial"/>
                <w:color w:val="000000"/>
                <w:sz w:val="16"/>
              </w:rPr>
            </w:pPr>
          </w:p>
        </w:tc>
        <w:tc>
          <w:tcPr>
            <w:tcW w:w="915" w:type="dxa"/>
            <w:tcBorders>
              <w:top w:val="single" w:sz="6" w:space="0" w:color="000000"/>
              <w:left w:val="nil"/>
              <w:bottom w:val="nil"/>
              <w:right w:val="nil"/>
              <w:tl2br w:val="nil"/>
              <w:tr2bl w:val="nil"/>
            </w:tcBorders>
            <w:shd w:val="clear" w:color="auto" w:fill="FFFF00"/>
            <w:tcMar>
              <w:left w:w="101" w:type="dxa"/>
              <w:right w:w="101" w:type="dxa"/>
            </w:tcMar>
            <w:vAlign w:val="bottom"/>
          </w:tcPr>
          <w:p w14:paraId="673FD0AD" w14:textId="77777777" w:rsidR="003F0EEA" w:rsidRPr="00353E70" w:rsidRDefault="003F0EEA">
            <w:pPr>
              <w:rPr>
                <w:rFonts w:ascii="Arial" w:eastAsia="Arial" w:hAnsi="Arial" w:cs="Arial"/>
                <w:color w:val="000000"/>
                <w:sz w:val="16"/>
              </w:rPr>
            </w:pPr>
          </w:p>
        </w:tc>
        <w:tc>
          <w:tcPr>
            <w:tcW w:w="91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163568F9" w14:textId="77777777" w:rsidR="003F0EEA" w:rsidRPr="00353E70" w:rsidRDefault="003F0EEA">
            <w:pPr>
              <w:rPr>
                <w:rFonts w:ascii="Arial" w:eastAsia="Arial" w:hAnsi="Arial" w:cs="Arial"/>
                <w:color w:val="000000"/>
                <w:sz w:val="16"/>
              </w:rPr>
            </w:pPr>
          </w:p>
        </w:tc>
        <w:tc>
          <w:tcPr>
            <w:tcW w:w="91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1A08D00E" w14:textId="77777777" w:rsidR="003F0EEA" w:rsidRPr="00353E70" w:rsidRDefault="003F0EEA">
            <w:pPr>
              <w:rPr>
                <w:rFonts w:ascii="Arial" w:eastAsia="Arial" w:hAnsi="Arial" w:cs="Arial"/>
                <w:color w:val="000000"/>
                <w:sz w:val="16"/>
              </w:rPr>
            </w:pPr>
          </w:p>
        </w:tc>
        <w:tc>
          <w:tcPr>
            <w:tcW w:w="91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5F227A62" w14:textId="77777777" w:rsidR="003F0EEA" w:rsidRPr="00353E70" w:rsidRDefault="003F0EEA">
            <w:pPr>
              <w:rPr>
                <w:rFonts w:ascii="Arial" w:eastAsia="Arial" w:hAnsi="Arial" w:cs="Arial"/>
                <w:color w:val="000000"/>
                <w:sz w:val="16"/>
              </w:rPr>
            </w:pPr>
          </w:p>
        </w:tc>
      </w:tr>
      <w:tr w:rsidR="00FB7D0B" w14:paraId="3F3DBE86" w14:textId="77777777" w:rsidTr="00FB7D0B">
        <w:trPr>
          <w:trHeight w:val="225"/>
        </w:trPr>
        <w:tc>
          <w:tcPr>
            <w:tcW w:w="3060" w:type="dxa"/>
            <w:gridSpan w:val="3"/>
            <w:tcBorders>
              <w:top w:val="nil"/>
              <w:left w:val="nil"/>
              <w:bottom w:val="nil"/>
              <w:right w:val="nil"/>
              <w:tl2br w:val="nil"/>
              <w:tr2bl w:val="nil"/>
            </w:tcBorders>
            <w:shd w:val="clear" w:color="auto" w:fill="FFFFFF"/>
            <w:tcMar>
              <w:left w:w="101" w:type="dxa"/>
              <w:right w:w="101" w:type="dxa"/>
            </w:tcMar>
            <w:vAlign w:val="bottom"/>
          </w:tcPr>
          <w:p w14:paraId="370E2A6C" w14:textId="77777777" w:rsidR="003F0EEA" w:rsidRPr="00353E70" w:rsidRDefault="00FB7D0B">
            <w:pPr>
              <w:rPr>
                <w:rFonts w:ascii="Arial" w:eastAsia="Arial" w:hAnsi="Arial" w:cs="Arial"/>
                <w:color w:val="000000"/>
                <w:sz w:val="16"/>
              </w:rPr>
            </w:pPr>
            <w:r w:rsidRPr="00353E70">
              <w:rPr>
                <w:rFonts w:ascii="Arial" w:eastAsia="Arial" w:hAnsi="Arial" w:cs="Arial"/>
                <w:b/>
                <w:color w:val="000000"/>
                <w:sz w:val="16"/>
              </w:rPr>
              <w:t>Net assets</w:t>
            </w:r>
          </w:p>
        </w:tc>
        <w:tc>
          <w:tcPr>
            <w:tcW w:w="915"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357E3B1D" w14:textId="77777777" w:rsidR="003F0EEA" w:rsidRPr="00353E70" w:rsidRDefault="00FB7D0B">
            <w:pPr>
              <w:jc w:val="right"/>
              <w:rPr>
                <w:rFonts w:ascii="Arial" w:eastAsia="Arial" w:hAnsi="Arial" w:cs="Arial"/>
                <w:b/>
                <w:color w:val="000000"/>
                <w:sz w:val="16"/>
              </w:rPr>
            </w:pPr>
            <w:r w:rsidRPr="00353E70">
              <w:rPr>
                <w:rFonts w:ascii="Arial" w:eastAsia="Arial" w:hAnsi="Arial" w:cs="Arial"/>
                <w:b/>
                <w:color w:val="000000"/>
                <w:sz w:val="16"/>
              </w:rPr>
              <w:t>63,473 </w:t>
            </w:r>
          </w:p>
        </w:tc>
        <w:tc>
          <w:tcPr>
            <w:tcW w:w="915" w:type="dxa"/>
            <w:tcBorders>
              <w:top w:val="nil"/>
              <w:left w:val="nil"/>
              <w:bottom w:val="single" w:sz="6" w:space="0" w:color="000000"/>
              <w:right w:val="nil"/>
              <w:tl2br w:val="nil"/>
              <w:tr2bl w:val="nil"/>
            </w:tcBorders>
            <w:shd w:val="clear" w:color="auto" w:fill="FFFF00"/>
            <w:tcMar>
              <w:left w:w="101" w:type="dxa"/>
              <w:right w:w="101" w:type="dxa"/>
            </w:tcMar>
            <w:vAlign w:val="bottom"/>
          </w:tcPr>
          <w:p w14:paraId="46AEA51F" w14:textId="77777777" w:rsidR="003F0EEA" w:rsidRPr="00353E70" w:rsidRDefault="00FB7D0B">
            <w:pPr>
              <w:jc w:val="right"/>
              <w:rPr>
                <w:rFonts w:ascii="Arial" w:eastAsia="Arial" w:hAnsi="Arial" w:cs="Arial"/>
                <w:b/>
                <w:color w:val="000000"/>
                <w:sz w:val="16"/>
              </w:rPr>
            </w:pPr>
            <w:r w:rsidRPr="00353E70">
              <w:rPr>
                <w:rFonts w:ascii="Arial" w:eastAsia="Arial" w:hAnsi="Arial" w:cs="Arial"/>
                <w:b/>
                <w:color w:val="000000"/>
                <w:sz w:val="16"/>
              </w:rPr>
              <w:t>46,969 </w:t>
            </w:r>
          </w:p>
        </w:tc>
        <w:tc>
          <w:tcPr>
            <w:tcW w:w="915"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35016B15" w14:textId="77777777" w:rsidR="003F0EEA" w:rsidRPr="00353E70" w:rsidRDefault="00FB7D0B">
            <w:pPr>
              <w:jc w:val="right"/>
              <w:rPr>
                <w:rFonts w:ascii="Arial" w:eastAsia="Arial" w:hAnsi="Arial" w:cs="Arial"/>
                <w:b/>
                <w:color w:val="000000"/>
                <w:sz w:val="16"/>
              </w:rPr>
            </w:pPr>
            <w:r w:rsidRPr="00353E70">
              <w:rPr>
                <w:rFonts w:ascii="Arial" w:eastAsia="Arial" w:hAnsi="Arial" w:cs="Arial"/>
                <w:b/>
                <w:color w:val="000000"/>
                <w:sz w:val="16"/>
              </w:rPr>
              <w:t>31,519 </w:t>
            </w:r>
          </w:p>
        </w:tc>
        <w:tc>
          <w:tcPr>
            <w:tcW w:w="915"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1275CFC9" w14:textId="77777777" w:rsidR="003F0EEA" w:rsidRPr="00353E70" w:rsidRDefault="00FB7D0B">
            <w:pPr>
              <w:jc w:val="right"/>
              <w:rPr>
                <w:rFonts w:ascii="Arial" w:eastAsia="Arial" w:hAnsi="Arial" w:cs="Arial"/>
                <w:b/>
                <w:color w:val="000000"/>
                <w:sz w:val="16"/>
              </w:rPr>
            </w:pPr>
            <w:r w:rsidRPr="00353E70">
              <w:rPr>
                <w:rFonts w:ascii="Arial" w:eastAsia="Arial" w:hAnsi="Arial" w:cs="Arial"/>
                <w:b/>
                <w:color w:val="000000"/>
                <w:sz w:val="16"/>
              </w:rPr>
              <w:t>17,847 </w:t>
            </w:r>
          </w:p>
        </w:tc>
        <w:tc>
          <w:tcPr>
            <w:tcW w:w="915"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4CB10C9D" w14:textId="77777777" w:rsidR="003F0EEA" w:rsidRPr="00353E70" w:rsidRDefault="00FB7D0B">
            <w:pPr>
              <w:jc w:val="right"/>
              <w:rPr>
                <w:rFonts w:ascii="Arial" w:eastAsia="Arial" w:hAnsi="Arial" w:cs="Arial"/>
                <w:b/>
                <w:color w:val="000000"/>
                <w:sz w:val="16"/>
              </w:rPr>
            </w:pPr>
            <w:r w:rsidRPr="00353E70">
              <w:rPr>
                <w:rFonts w:ascii="Arial" w:eastAsia="Arial" w:hAnsi="Arial" w:cs="Arial"/>
                <w:b/>
                <w:color w:val="000000"/>
                <w:sz w:val="16"/>
              </w:rPr>
              <w:t>9,428 </w:t>
            </w:r>
          </w:p>
        </w:tc>
      </w:tr>
      <w:tr w:rsidR="00724034" w14:paraId="71EC2082" w14:textId="77777777">
        <w:trPr>
          <w:trHeight w:hRule="exact" w:val="60"/>
        </w:trPr>
        <w:tc>
          <w:tcPr>
            <w:tcW w:w="180" w:type="dxa"/>
            <w:tcBorders>
              <w:top w:val="nil"/>
              <w:left w:val="nil"/>
              <w:bottom w:val="nil"/>
              <w:right w:val="nil"/>
              <w:tl2br w:val="nil"/>
              <w:tr2bl w:val="nil"/>
            </w:tcBorders>
            <w:shd w:val="clear" w:color="auto" w:fill="FFFFFF"/>
            <w:tcMar>
              <w:left w:w="101" w:type="dxa"/>
              <w:right w:w="101" w:type="dxa"/>
            </w:tcMar>
            <w:vAlign w:val="bottom"/>
          </w:tcPr>
          <w:p w14:paraId="3EC2EC34" w14:textId="77777777" w:rsidR="003F0EEA" w:rsidRPr="00353E70" w:rsidRDefault="003F0EEA">
            <w:pPr>
              <w:rPr>
                <w:rFonts w:ascii="Arial" w:eastAsia="Arial" w:hAnsi="Arial" w:cs="Arial"/>
                <w:b/>
                <w:color w:val="000000"/>
                <w:sz w:val="16"/>
              </w:rPr>
            </w:pPr>
          </w:p>
        </w:tc>
        <w:tc>
          <w:tcPr>
            <w:tcW w:w="180" w:type="dxa"/>
            <w:tcBorders>
              <w:top w:val="nil"/>
              <w:left w:val="nil"/>
              <w:bottom w:val="nil"/>
              <w:right w:val="nil"/>
              <w:tl2br w:val="nil"/>
              <w:tr2bl w:val="nil"/>
            </w:tcBorders>
            <w:shd w:val="clear" w:color="auto" w:fill="FFFFFF"/>
            <w:tcMar>
              <w:left w:w="101" w:type="dxa"/>
              <w:right w:w="101" w:type="dxa"/>
            </w:tcMar>
            <w:vAlign w:val="bottom"/>
          </w:tcPr>
          <w:p w14:paraId="56EC5258" w14:textId="77777777" w:rsidR="003F0EEA" w:rsidRPr="00353E70" w:rsidRDefault="003F0EEA">
            <w:pPr>
              <w:rPr>
                <w:rFonts w:ascii="Arial" w:eastAsia="Arial" w:hAnsi="Arial" w:cs="Arial"/>
                <w:b/>
                <w:color w:val="000000"/>
                <w:sz w:val="16"/>
              </w:rPr>
            </w:pPr>
          </w:p>
        </w:tc>
        <w:tc>
          <w:tcPr>
            <w:tcW w:w="2700" w:type="dxa"/>
            <w:tcBorders>
              <w:top w:val="nil"/>
              <w:left w:val="nil"/>
              <w:bottom w:val="nil"/>
              <w:right w:val="nil"/>
              <w:tl2br w:val="nil"/>
              <w:tr2bl w:val="nil"/>
            </w:tcBorders>
            <w:shd w:val="clear" w:color="auto" w:fill="FFFFFF"/>
            <w:tcMar>
              <w:left w:w="101" w:type="dxa"/>
              <w:right w:w="101" w:type="dxa"/>
            </w:tcMar>
            <w:vAlign w:val="bottom"/>
          </w:tcPr>
          <w:p w14:paraId="431FD070" w14:textId="77777777" w:rsidR="003F0EEA" w:rsidRPr="00353E70" w:rsidRDefault="003F0EEA">
            <w:pPr>
              <w:rPr>
                <w:rFonts w:ascii="Arial" w:eastAsia="Arial" w:hAnsi="Arial" w:cs="Arial"/>
                <w:b/>
                <w:color w:val="000000"/>
                <w:sz w:val="16"/>
              </w:rPr>
            </w:pPr>
          </w:p>
        </w:tc>
        <w:tc>
          <w:tcPr>
            <w:tcW w:w="91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368C23B1" w14:textId="77777777" w:rsidR="003F0EEA" w:rsidRPr="00353E70" w:rsidRDefault="003F0EEA">
            <w:pPr>
              <w:rPr>
                <w:rFonts w:ascii="Arial" w:eastAsia="Arial" w:hAnsi="Arial" w:cs="Arial"/>
                <w:b/>
                <w:color w:val="000000"/>
                <w:sz w:val="16"/>
              </w:rPr>
            </w:pPr>
          </w:p>
        </w:tc>
        <w:tc>
          <w:tcPr>
            <w:tcW w:w="915" w:type="dxa"/>
            <w:tcBorders>
              <w:top w:val="single" w:sz="6" w:space="0" w:color="000000"/>
              <w:left w:val="nil"/>
              <w:bottom w:val="nil"/>
              <w:right w:val="nil"/>
              <w:tl2br w:val="nil"/>
              <w:tr2bl w:val="nil"/>
            </w:tcBorders>
            <w:shd w:val="clear" w:color="auto" w:fill="FFFF00"/>
            <w:tcMar>
              <w:left w:w="101" w:type="dxa"/>
              <w:right w:w="101" w:type="dxa"/>
            </w:tcMar>
            <w:vAlign w:val="bottom"/>
          </w:tcPr>
          <w:p w14:paraId="39421052" w14:textId="77777777" w:rsidR="003F0EEA" w:rsidRPr="00353E70" w:rsidRDefault="003F0EEA">
            <w:pPr>
              <w:rPr>
                <w:rFonts w:ascii="Arial" w:eastAsia="Arial" w:hAnsi="Arial" w:cs="Arial"/>
                <w:b/>
                <w:color w:val="000000"/>
                <w:sz w:val="16"/>
              </w:rPr>
            </w:pPr>
          </w:p>
        </w:tc>
        <w:tc>
          <w:tcPr>
            <w:tcW w:w="91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3678FD85" w14:textId="77777777" w:rsidR="003F0EEA" w:rsidRPr="00353E70" w:rsidRDefault="003F0EEA">
            <w:pPr>
              <w:rPr>
                <w:rFonts w:ascii="Arial" w:eastAsia="Arial" w:hAnsi="Arial" w:cs="Arial"/>
                <w:b/>
                <w:color w:val="000000"/>
                <w:sz w:val="16"/>
              </w:rPr>
            </w:pPr>
          </w:p>
        </w:tc>
        <w:tc>
          <w:tcPr>
            <w:tcW w:w="91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5AA2A816" w14:textId="77777777" w:rsidR="003F0EEA" w:rsidRPr="00353E70" w:rsidRDefault="003F0EEA">
            <w:pPr>
              <w:rPr>
                <w:rFonts w:ascii="Arial" w:eastAsia="Arial" w:hAnsi="Arial" w:cs="Arial"/>
                <w:b/>
                <w:color w:val="000000"/>
                <w:sz w:val="16"/>
              </w:rPr>
            </w:pPr>
          </w:p>
        </w:tc>
        <w:tc>
          <w:tcPr>
            <w:tcW w:w="91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2D174CDA" w14:textId="77777777" w:rsidR="003F0EEA" w:rsidRPr="00353E70" w:rsidRDefault="003F0EEA">
            <w:pPr>
              <w:rPr>
                <w:rFonts w:ascii="Arial" w:eastAsia="Arial" w:hAnsi="Arial" w:cs="Arial"/>
                <w:b/>
                <w:color w:val="000000"/>
                <w:sz w:val="16"/>
              </w:rPr>
            </w:pPr>
          </w:p>
        </w:tc>
      </w:tr>
      <w:tr w:rsidR="00FB7D0B" w14:paraId="4791D2FF" w14:textId="77777777" w:rsidTr="00FB7D0B">
        <w:trPr>
          <w:trHeight w:val="225"/>
        </w:trPr>
        <w:tc>
          <w:tcPr>
            <w:tcW w:w="3060" w:type="dxa"/>
            <w:gridSpan w:val="3"/>
            <w:tcBorders>
              <w:top w:val="nil"/>
              <w:left w:val="nil"/>
              <w:bottom w:val="nil"/>
              <w:right w:val="nil"/>
              <w:tl2br w:val="nil"/>
              <w:tr2bl w:val="nil"/>
            </w:tcBorders>
            <w:shd w:val="clear" w:color="auto" w:fill="FFFFFF"/>
            <w:tcMar>
              <w:left w:w="101" w:type="dxa"/>
              <w:right w:w="101" w:type="dxa"/>
            </w:tcMar>
            <w:vAlign w:val="bottom"/>
          </w:tcPr>
          <w:p w14:paraId="0AA808DA" w14:textId="77777777" w:rsidR="003F0EEA" w:rsidRPr="00353E70" w:rsidRDefault="00FB7D0B">
            <w:pPr>
              <w:rPr>
                <w:rFonts w:ascii="Arial" w:eastAsia="Arial" w:hAnsi="Arial" w:cs="Arial"/>
                <w:b/>
                <w:color w:val="000000"/>
                <w:sz w:val="16"/>
              </w:rPr>
            </w:pPr>
            <w:r w:rsidRPr="00353E70">
              <w:rPr>
                <w:rFonts w:ascii="Arial" w:eastAsia="Arial" w:hAnsi="Arial" w:cs="Arial"/>
                <w:b/>
                <w:color w:val="000000"/>
                <w:sz w:val="16"/>
              </w:rPr>
              <w:t>Equity</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6B683CC7" w14:textId="77777777" w:rsidR="003F0EEA" w:rsidRPr="00353E70" w:rsidRDefault="003F0EEA">
            <w:pPr>
              <w:rPr>
                <w:rFonts w:ascii="Arial" w:eastAsia="Arial" w:hAnsi="Arial" w:cs="Arial"/>
                <w:b/>
                <w:color w:val="000000"/>
                <w:sz w:val="16"/>
              </w:rPr>
            </w:pPr>
          </w:p>
        </w:tc>
        <w:tc>
          <w:tcPr>
            <w:tcW w:w="915" w:type="dxa"/>
            <w:tcBorders>
              <w:top w:val="nil"/>
              <w:left w:val="nil"/>
              <w:bottom w:val="nil"/>
              <w:right w:val="nil"/>
              <w:tl2br w:val="nil"/>
              <w:tr2bl w:val="nil"/>
            </w:tcBorders>
            <w:shd w:val="clear" w:color="auto" w:fill="FFFF00"/>
            <w:tcMar>
              <w:left w:w="101" w:type="dxa"/>
              <w:right w:w="101" w:type="dxa"/>
            </w:tcMar>
            <w:vAlign w:val="bottom"/>
          </w:tcPr>
          <w:p w14:paraId="18F0973B" w14:textId="77777777" w:rsidR="003F0EEA" w:rsidRPr="00353E70" w:rsidRDefault="003F0EEA">
            <w:pPr>
              <w:rPr>
                <w:rFonts w:ascii="Arial" w:eastAsia="Arial" w:hAnsi="Arial" w:cs="Arial"/>
                <w:color w:val="000000"/>
                <w:sz w:val="16"/>
              </w:rPr>
            </w:pP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60E66C80" w14:textId="77777777" w:rsidR="003F0EEA" w:rsidRPr="00353E70" w:rsidRDefault="003F0EEA">
            <w:pPr>
              <w:rPr>
                <w:rFonts w:ascii="Arial" w:eastAsia="Arial" w:hAnsi="Arial" w:cs="Arial"/>
                <w:color w:val="000000"/>
                <w:sz w:val="16"/>
              </w:rPr>
            </w:pP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02DD61F1" w14:textId="77777777" w:rsidR="003F0EEA" w:rsidRPr="00353E70" w:rsidRDefault="003F0EEA">
            <w:pPr>
              <w:rPr>
                <w:rFonts w:ascii="Arial" w:eastAsia="Arial" w:hAnsi="Arial" w:cs="Arial"/>
                <w:color w:val="000000"/>
                <w:sz w:val="16"/>
              </w:rPr>
            </w:pP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0202FC33" w14:textId="77777777" w:rsidR="003F0EEA" w:rsidRPr="00353E70" w:rsidRDefault="003F0EEA">
            <w:pPr>
              <w:rPr>
                <w:rFonts w:ascii="Arial" w:eastAsia="Arial" w:hAnsi="Arial" w:cs="Arial"/>
                <w:color w:val="000000"/>
                <w:sz w:val="16"/>
              </w:rPr>
            </w:pPr>
          </w:p>
        </w:tc>
      </w:tr>
      <w:tr w:rsidR="00FB7D0B" w14:paraId="13BF7799" w14:textId="77777777" w:rsidTr="00FB7D0B">
        <w:trPr>
          <w:trHeight w:val="225"/>
        </w:trPr>
        <w:tc>
          <w:tcPr>
            <w:tcW w:w="180" w:type="dxa"/>
            <w:tcBorders>
              <w:top w:val="nil"/>
              <w:left w:val="nil"/>
              <w:bottom w:val="nil"/>
              <w:right w:val="nil"/>
              <w:tl2br w:val="nil"/>
              <w:tr2bl w:val="nil"/>
            </w:tcBorders>
            <w:shd w:val="clear" w:color="auto" w:fill="FFFFFF"/>
            <w:tcMar>
              <w:left w:w="101" w:type="dxa"/>
              <w:right w:w="101" w:type="dxa"/>
            </w:tcMar>
            <w:vAlign w:val="bottom"/>
          </w:tcPr>
          <w:p w14:paraId="40586064" w14:textId="77777777" w:rsidR="003F0EEA" w:rsidRPr="00353E70" w:rsidRDefault="003F0EEA">
            <w:pPr>
              <w:rPr>
                <w:rFonts w:ascii="Arial" w:eastAsia="Arial" w:hAnsi="Arial" w:cs="Arial"/>
                <w:color w:val="000000"/>
                <w:sz w:val="16"/>
              </w:rPr>
            </w:pPr>
          </w:p>
        </w:tc>
        <w:tc>
          <w:tcPr>
            <w:tcW w:w="2880" w:type="dxa"/>
            <w:gridSpan w:val="2"/>
            <w:vMerge w:val="restart"/>
            <w:tcBorders>
              <w:top w:val="nil"/>
              <w:left w:val="nil"/>
              <w:bottom w:val="nil"/>
              <w:right w:val="nil"/>
              <w:tl2br w:val="nil"/>
              <w:tr2bl w:val="nil"/>
            </w:tcBorders>
            <w:shd w:val="clear" w:color="auto" w:fill="FFFFFF"/>
            <w:tcMar>
              <w:left w:w="101" w:type="dxa"/>
              <w:right w:w="101" w:type="dxa"/>
            </w:tcMar>
            <w:vAlign w:val="bottom"/>
          </w:tcPr>
          <w:p w14:paraId="1976B3C6" w14:textId="77777777" w:rsidR="003F0EEA" w:rsidRPr="00353E70" w:rsidRDefault="00FB7D0B">
            <w:pPr>
              <w:rPr>
                <w:rFonts w:ascii="Arial" w:eastAsia="Arial" w:hAnsi="Arial" w:cs="Arial"/>
                <w:color w:val="000000"/>
                <w:sz w:val="16"/>
              </w:rPr>
            </w:pPr>
            <w:r w:rsidRPr="00353E70">
              <w:rPr>
                <w:rFonts w:ascii="Arial" w:eastAsia="Arial" w:hAnsi="Arial" w:cs="Arial"/>
                <w:color w:val="000000"/>
                <w:sz w:val="16"/>
              </w:rPr>
              <w:t>Contributed equity</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79DB656E" w14:textId="77777777" w:rsidR="003F0EEA" w:rsidRPr="00353E70" w:rsidRDefault="00FB7D0B">
            <w:pPr>
              <w:jc w:val="right"/>
              <w:rPr>
                <w:rFonts w:ascii="Arial" w:eastAsia="Arial" w:hAnsi="Arial" w:cs="Arial"/>
                <w:color w:val="000000"/>
                <w:sz w:val="16"/>
              </w:rPr>
            </w:pPr>
            <w:r w:rsidRPr="00353E70">
              <w:rPr>
                <w:rFonts w:ascii="Arial" w:eastAsia="Arial" w:hAnsi="Arial" w:cs="Arial"/>
                <w:color w:val="000000"/>
                <w:sz w:val="16"/>
              </w:rPr>
              <w:t>187,961 </w:t>
            </w:r>
          </w:p>
        </w:tc>
        <w:tc>
          <w:tcPr>
            <w:tcW w:w="915" w:type="dxa"/>
            <w:tcBorders>
              <w:top w:val="nil"/>
              <w:left w:val="nil"/>
              <w:bottom w:val="nil"/>
              <w:right w:val="nil"/>
              <w:tl2br w:val="nil"/>
              <w:tr2bl w:val="nil"/>
            </w:tcBorders>
            <w:shd w:val="clear" w:color="auto" w:fill="FFFF00"/>
            <w:tcMar>
              <w:left w:w="101" w:type="dxa"/>
              <w:right w:w="101" w:type="dxa"/>
            </w:tcMar>
            <w:vAlign w:val="bottom"/>
          </w:tcPr>
          <w:p w14:paraId="70CF1722" w14:textId="77777777" w:rsidR="003F0EEA" w:rsidRPr="00353E70" w:rsidRDefault="00FB7D0B">
            <w:pPr>
              <w:jc w:val="right"/>
              <w:rPr>
                <w:rFonts w:ascii="Arial" w:eastAsia="Arial" w:hAnsi="Arial" w:cs="Arial"/>
                <w:color w:val="000000"/>
                <w:sz w:val="16"/>
              </w:rPr>
            </w:pPr>
            <w:r w:rsidRPr="00353E70">
              <w:rPr>
                <w:rFonts w:ascii="Arial" w:eastAsia="Arial" w:hAnsi="Arial" w:cs="Arial"/>
                <w:color w:val="000000"/>
                <w:sz w:val="16"/>
              </w:rPr>
              <w:t>204,047 </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53B75C07" w14:textId="77777777" w:rsidR="003F0EEA" w:rsidRPr="00353E70" w:rsidRDefault="00FB7D0B">
            <w:pPr>
              <w:jc w:val="right"/>
              <w:rPr>
                <w:rFonts w:ascii="Arial" w:eastAsia="Arial" w:hAnsi="Arial" w:cs="Arial"/>
                <w:color w:val="000000"/>
                <w:sz w:val="16"/>
              </w:rPr>
            </w:pPr>
            <w:r w:rsidRPr="00353E70">
              <w:rPr>
                <w:rFonts w:ascii="Arial" w:eastAsia="Arial" w:hAnsi="Arial" w:cs="Arial"/>
                <w:color w:val="000000"/>
                <w:sz w:val="16"/>
              </w:rPr>
              <w:t>218,163 </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3C5248F1" w14:textId="77777777" w:rsidR="003F0EEA" w:rsidRPr="00353E70" w:rsidRDefault="00FB7D0B">
            <w:pPr>
              <w:jc w:val="right"/>
              <w:rPr>
                <w:rFonts w:ascii="Arial" w:eastAsia="Arial" w:hAnsi="Arial" w:cs="Arial"/>
                <w:color w:val="000000"/>
                <w:sz w:val="16"/>
              </w:rPr>
            </w:pPr>
            <w:r w:rsidRPr="00353E70">
              <w:rPr>
                <w:rFonts w:ascii="Arial" w:eastAsia="Arial" w:hAnsi="Arial" w:cs="Arial"/>
                <w:color w:val="000000"/>
                <w:sz w:val="16"/>
              </w:rPr>
              <w:t>231,536 </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3BC51B92" w14:textId="77777777" w:rsidR="003F0EEA" w:rsidRPr="00353E70" w:rsidRDefault="00FB7D0B">
            <w:pPr>
              <w:jc w:val="right"/>
              <w:rPr>
                <w:rFonts w:ascii="Arial" w:eastAsia="Arial" w:hAnsi="Arial" w:cs="Arial"/>
                <w:color w:val="000000"/>
                <w:sz w:val="16"/>
              </w:rPr>
            </w:pPr>
            <w:r w:rsidRPr="00353E70">
              <w:rPr>
                <w:rFonts w:ascii="Arial" w:eastAsia="Arial" w:hAnsi="Arial" w:cs="Arial"/>
                <w:color w:val="000000"/>
                <w:sz w:val="16"/>
              </w:rPr>
              <w:t>245,572 </w:t>
            </w:r>
          </w:p>
        </w:tc>
      </w:tr>
      <w:tr w:rsidR="00FB7D0B" w14:paraId="6B844C41" w14:textId="77777777" w:rsidTr="00FB7D0B">
        <w:trPr>
          <w:trHeight w:val="225"/>
        </w:trPr>
        <w:tc>
          <w:tcPr>
            <w:tcW w:w="180" w:type="dxa"/>
            <w:tcBorders>
              <w:top w:val="nil"/>
              <w:left w:val="nil"/>
              <w:bottom w:val="nil"/>
              <w:right w:val="nil"/>
              <w:tl2br w:val="nil"/>
              <w:tr2bl w:val="nil"/>
            </w:tcBorders>
            <w:shd w:val="clear" w:color="auto" w:fill="FFFFFF"/>
            <w:tcMar>
              <w:left w:w="101" w:type="dxa"/>
              <w:right w:w="101" w:type="dxa"/>
            </w:tcMar>
            <w:vAlign w:val="bottom"/>
          </w:tcPr>
          <w:p w14:paraId="335BEDF7" w14:textId="77777777" w:rsidR="003F0EEA" w:rsidRPr="00353E70" w:rsidRDefault="003F0EEA">
            <w:pPr>
              <w:rPr>
                <w:rFonts w:ascii="Arial" w:eastAsia="Arial" w:hAnsi="Arial" w:cs="Arial"/>
                <w:color w:val="000000"/>
                <w:sz w:val="16"/>
              </w:rPr>
            </w:pPr>
          </w:p>
        </w:tc>
        <w:tc>
          <w:tcPr>
            <w:tcW w:w="2880" w:type="dxa"/>
            <w:gridSpan w:val="2"/>
            <w:vMerge w:val="restart"/>
            <w:tcBorders>
              <w:top w:val="nil"/>
              <w:left w:val="nil"/>
              <w:bottom w:val="nil"/>
              <w:right w:val="nil"/>
              <w:tl2br w:val="nil"/>
              <w:tr2bl w:val="nil"/>
            </w:tcBorders>
            <w:shd w:val="clear" w:color="auto" w:fill="FFFFFF"/>
            <w:tcMar>
              <w:left w:w="101" w:type="dxa"/>
              <w:right w:w="101" w:type="dxa"/>
            </w:tcMar>
            <w:vAlign w:val="bottom"/>
          </w:tcPr>
          <w:p w14:paraId="68C4FE36" w14:textId="77777777" w:rsidR="003F0EEA" w:rsidRPr="00353E70" w:rsidRDefault="00FB7D0B">
            <w:pPr>
              <w:rPr>
                <w:rFonts w:ascii="Arial" w:eastAsia="Arial" w:hAnsi="Arial" w:cs="Arial"/>
                <w:color w:val="000000"/>
                <w:sz w:val="16"/>
              </w:rPr>
            </w:pPr>
            <w:r w:rsidRPr="00353E70">
              <w:rPr>
                <w:rFonts w:ascii="Arial" w:eastAsia="Arial" w:hAnsi="Arial" w:cs="Arial"/>
                <w:color w:val="000000"/>
                <w:sz w:val="16"/>
              </w:rPr>
              <w:t>Asset revaluation reserve</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68594384" w14:textId="77777777" w:rsidR="003F0EEA" w:rsidRPr="00353E70" w:rsidRDefault="00FB7D0B">
            <w:pPr>
              <w:jc w:val="right"/>
              <w:rPr>
                <w:rFonts w:ascii="Arial" w:eastAsia="Arial" w:hAnsi="Arial" w:cs="Arial"/>
                <w:color w:val="000000"/>
                <w:sz w:val="16"/>
              </w:rPr>
            </w:pPr>
            <w:r w:rsidRPr="00353E70">
              <w:rPr>
                <w:rFonts w:ascii="Arial" w:eastAsia="Arial" w:hAnsi="Arial" w:cs="Arial"/>
                <w:color w:val="000000"/>
                <w:sz w:val="16"/>
              </w:rPr>
              <w:t>9,091 </w:t>
            </w:r>
          </w:p>
        </w:tc>
        <w:tc>
          <w:tcPr>
            <w:tcW w:w="915" w:type="dxa"/>
            <w:tcBorders>
              <w:top w:val="nil"/>
              <w:left w:val="nil"/>
              <w:bottom w:val="nil"/>
              <w:right w:val="nil"/>
              <w:tl2br w:val="nil"/>
              <w:tr2bl w:val="nil"/>
            </w:tcBorders>
            <w:shd w:val="clear" w:color="auto" w:fill="FFFF00"/>
            <w:tcMar>
              <w:left w:w="101" w:type="dxa"/>
              <w:right w:w="101" w:type="dxa"/>
            </w:tcMar>
            <w:vAlign w:val="bottom"/>
          </w:tcPr>
          <w:p w14:paraId="4380205B" w14:textId="77777777" w:rsidR="003F0EEA" w:rsidRPr="00353E70" w:rsidRDefault="00FB7D0B">
            <w:pPr>
              <w:jc w:val="right"/>
              <w:rPr>
                <w:rFonts w:ascii="Arial" w:eastAsia="Arial" w:hAnsi="Arial" w:cs="Arial"/>
                <w:color w:val="000000"/>
                <w:sz w:val="16"/>
              </w:rPr>
            </w:pPr>
            <w:r w:rsidRPr="00353E70">
              <w:rPr>
                <w:rFonts w:ascii="Arial" w:eastAsia="Arial" w:hAnsi="Arial" w:cs="Arial"/>
                <w:color w:val="000000"/>
                <w:sz w:val="16"/>
              </w:rPr>
              <w:t>9,091 </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25661123" w14:textId="77777777" w:rsidR="003F0EEA" w:rsidRPr="00353E70" w:rsidRDefault="00FB7D0B">
            <w:pPr>
              <w:jc w:val="right"/>
              <w:rPr>
                <w:rFonts w:ascii="Arial" w:eastAsia="Arial" w:hAnsi="Arial" w:cs="Arial"/>
                <w:color w:val="000000"/>
                <w:sz w:val="16"/>
              </w:rPr>
            </w:pPr>
            <w:r w:rsidRPr="00353E70">
              <w:rPr>
                <w:rFonts w:ascii="Arial" w:eastAsia="Arial" w:hAnsi="Arial" w:cs="Arial"/>
                <w:color w:val="000000"/>
                <w:sz w:val="16"/>
              </w:rPr>
              <w:t>9,091 </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57AC2988" w14:textId="77777777" w:rsidR="003F0EEA" w:rsidRPr="00353E70" w:rsidRDefault="00FB7D0B">
            <w:pPr>
              <w:jc w:val="right"/>
              <w:rPr>
                <w:rFonts w:ascii="Arial" w:eastAsia="Arial" w:hAnsi="Arial" w:cs="Arial"/>
                <w:color w:val="000000"/>
                <w:sz w:val="16"/>
              </w:rPr>
            </w:pPr>
            <w:r w:rsidRPr="00353E70">
              <w:rPr>
                <w:rFonts w:ascii="Arial" w:eastAsia="Arial" w:hAnsi="Arial" w:cs="Arial"/>
                <w:color w:val="000000"/>
                <w:sz w:val="16"/>
              </w:rPr>
              <w:t>9,091 </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02C21AA1" w14:textId="77777777" w:rsidR="003F0EEA" w:rsidRPr="00353E70" w:rsidRDefault="00FB7D0B">
            <w:pPr>
              <w:jc w:val="right"/>
              <w:rPr>
                <w:rFonts w:ascii="Arial" w:eastAsia="Arial" w:hAnsi="Arial" w:cs="Arial"/>
                <w:color w:val="000000"/>
                <w:sz w:val="16"/>
              </w:rPr>
            </w:pPr>
            <w:r w:rsidRPr="00353E70">
              <w:rPr>
                <w:rFonts w:ascii="Arial" w:eastAsia="Arial" w:hAnsi="Arial" w:cs="Arial"/>
                <w:color w:val="000000"/>
                <w:sz w:val="16"/>
              </w:rPr>
              <w:t>9,091 </w:t>
            </w:r>
          </w:p>
        </w:tc>
      </w:tr>
      <w:tr w:rsidR="00FB7D0B" w14:paraId="7694C35A" w14:textId="77777777" w:rsidTr="00FB7D0B">
        <w:trPr>
          <w:trHeight w:val="225"/>
        </w:trPr>
        <w:tc>
          <w:tcPr>
            <w:tcW w:w="180" w:type="dxa"/>
            <w:tcBorders>
              <w:top w:val="nil"/>
              <w:left w:val="nil"/>
              <w:bottom w:val="nil"/>
              <w:right w:val="nil"/>
              <w:tl2br w:val="nil"/>
              <w:tr2bl w:val="nil"/>
            </w:tcBorders>
            <w:shd w:val="clear" w:color="auto" w:fill="FFFFFF"/>
            <w:tcMar>
              <w:left w:w="101" w:type="dxa"/>
              <w:right w:w="101" w:type="dxa"/>
            </w:tcMar>
            <w:vAlign w:val="bottom"/>
          </w:tcPr>
          <w:p w14:paraId="4D6E5B8A" w14:textId="77777777" w:rsidR="003F0EEA" w:rsidRPr="00353E70" w:rsidRDefault="003F0EEA">
            <w:pPr>
              <w:rPr>
                <w:rFonts w:ascii="Arial" w:eastAsia="Arial" w:hAnsi="Arial" w:cs="Arial"/>
                <w:color w:val="000000"/>
                <w:sz w:val="16"/>
              </w:rPr>
            </w:pPr>
          </w:p>
        </w:tc>
        <w:tc>
          <w:tcPr>
            <w:tcW w:w="2880" w:type="dxa"/>
            <w:gridSpan w:val="2"/>
            <w:tcBorders>
              <w:top w:val="nil"/>
              <w:left w:val="nil"/>
              <w:bottom w:val="nil"/>
              <w:right w:val="nil"/>
              <w:tl2br w:val="nil"/>
              <w:tr2bl w:val="nil"/>
            </w:tcBorders>
            <w:shd w:val="clear" w:color="auto" w:fill="FFFFFF"/>
            <w:tcMar>
              <w:left w:w="101" w:type="dxa"/>
              <w:right w:w="101" w:type="dxa"/>
            </w:tcMar>
            <w:vAlign w:val="bottom"/>
          </w:tcPr>
          <w:p w14:paraId="1DBAACB4" w14:textId="77777777" w:rsidR="003F0EEA" w:rsidRPr="00353E70" w:rsidRDefault="00FB7D0B">
            <w:pPr>
              <w:rPr>
                <w:rFonts w:ascii="Arial" w:eastAsia="Arial" w:hAnsi="Arial" w:cs="Arial"/>
                <w:color w:val="000000"/>
                <w:sz w:val="16"/>
              </w:rPr>
            </w:pPr>
            <w:r w:rsidRPr="00353E70">
              <w:rPr>
                <w:rFonts w:ascii="Arial" w:eastAsia="Arial" w:hAnsi="Arial" w:cs="Arial"/>
                <w:color w:val="000000"/>
                <w:sz w:val="16"/>
              </w:rPr>
              <w:t>Retained surplus (accumulated deficit)</w:t>
            </w:r>
          </w:p>
        </w:tc>
        <w:tc>
          <w:tcPr>
            <w:tcW w:w="915"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1D803AA0" w14:textId="77777777" w:rsidR="003F0EEA" w:rsidRPr="00353E70" w:rsidRDefault="00FB7D0B">
            <w:pPr>
              <w:jc w:val="right"/>
              <w:rPr>
                <w:rFonts w:ascii="Arial" w:eastAsia="Arial" w:hAnsi="Arial" w:cs="Arial"/>
                <w:color w:val="000000"/>
                <w:sz w:val="16"/>
              </w:rPr>
            </w:pPr>
            <w:r w:rsidRPr="00353E70">
              <w:rPr>
                <w:rFonts w:ascii="Arial" w:eastAsia="Arial" w:hAnsi="Arial" w:cs="Arial"/>
                <w:color w:val="000000"/>
                <w:sz w:val="16"/>
              </w:rPr>
              <w:t>(133,579)</w:t>
            </w:r>
          </w:p>
        </w:tc>
        <w:tc>
          <w:tcPr>
            <w:tcW w:w="915" w:type="dxa"/>
            <w:tcBorders>
              <w:top w:val="nil"/>
              <w:left w:val="nil"/>
              <w:bottom w:val="single" w:sz="6" w:space="0" w:color="000000"/>
              <w:right w:val="nil"/>
              <w:tl2br w:val="nil"/>
              <w:tr2bl w:val="nil"/>
            </w:tcBorders>
            <w:shd w:val="clear" w:color="auto" w:fill="FFFF00"/>
            <w:tcMar>
              <w:left w:w="101" w:type="dxa"/>
              <w:right w:w="101" w:type="dxa"/>
            </w:tcMar>
            <w:vAlign w:val="bottom"/>
          </w:tcPr>
          <w:p w14:paraId="5B55DFAB" w14:textId="77777777" w:rsidR="003F0EEA" w:rsidRPr="00353E70" w:rsidRDefault="00FB7D0B">
            <w:pPr>
              <w:jc w:val="right"/>
              <w:rPr>
                <w:rFonts w:ascii="Arial" w:eastAsia="Arial" w:hAnsi="Arial" w:cs="Arial"/>
                <w:color w:val="000000"/>
                <w:sz w:val="16"/>
              </w:rPr>
            </w:pPr>
            <w:r w:rsidRPr="00353E70">
              <w:rPr>
                <w:rFonts w:ascii="Arial" w:eastAsia="Arial" w:hAnsi="Arial" w:cs="Arial"/>
                <w:color w:val="000000"/>
                <w:sz w:val="16"/>
              </w:rPr>
              <w:t>(166,169)</w:t>
            </w:r>
          </w:p>
        </w:tc>
        <w:tc>
          <w:tcPr>
            <w:tcW w:w="915"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08729145" w14:textId="77777777" w:rsidR="003F0EEA" w:rsidRPr="00353E70" w:rsidRDefault="00FB7D0B">
            <w:pPr>
              <w:jc w:val="right"/>
              <w:rPr>
                <w:rFonts w:ascii="Arial" w:eastAsia="Arial" w:hAnsi="Arial" w:cs="Arial"/>
                <w:color w:val="000000"/>
                <w:sz w:val="16"/>
              </w:rPr>
            </w:pPr>
            <w:r w:rsidRPr="00353E70">
              <w:rPr>
                <w:rFonts w:ascii="Arial" w:eastAsia="Arial" w:hAnsi="Arial" w:cs="Arial"/>
                <w:color w:val="000000"/>
                <w:sz w:val="16"/>
              </w:rPr>
              <w:t>(195,735)</w:t>
            </w:r>
          </w:p>
        </w:tc>
        <w:tc>
          <w:tcPr>
            <w:tcW w:w="915"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2E3BB7FE" w14:textId="77777777" w:rsidR="003F0EEA" w:rsidRPr="00353E70" w:rsidRDefault="00FB7D0B">
            <w:pPr>
              <w:jc w:val="right"/>
              <w:rPr>
                <w:rFonts w:ascii="Arial" w:eastAsia="Arial" w:hAnsi="Arial" w:cs="Arial"/>
                <w:color w:val="000000"/>
                <w:sz w:val="16"/>
              </w:rPr>
            </w:pPr>
            <w:r w:rsidRPr="00353E70">
              <w:rPr>
                <w:rFonts w:ascii="Arial" w:eastAsia="Arial" w:hAnsi="Arial" w:cs="Arial"/>
                <w:color w:val="000000"/>
                <w:sz w:val="16"/>
              </w:rPr>
              <w:t>(222,780)</w:t>
            </w:r>
          </w:p>
        </w:tc>
        <w:tc>
          <w:tcPr>
            <w:tcW w:w="915"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440E6064" w14:textId="77777777" w:rsidR="003F0EEA" w:rsidRPr="00353E70" w:rsidRDefault="00FB7D0B">
            <w:pPr>
              <w:jc w:val="right"/>
              <w:rPr>
                <w:rFonts w:ascii="Arial" w:eastAsia="Arial" w:hAnsi="Arial" w:cs="Arial"/>
                <w:color w:val="000000"/>
                <w:sz w:val="16"/>
              </w:rPr>
            </w:pPr>
            <w:r w:rsidRPr="00353E70">
              <w:rPr>
                <w:rFonts w:ascii="Arial" w:eastAsia="Arial" w:hAnsi="Arial" w:cs="Arial"/>
                <w:color w:val="000000"/>
                <w:sz w:val="16"/>
              </w:rPr>
              <w:t>(245,235)</w:t>
            </w:r>
          </w:p>
        </w:tc>
      </w:tr>
      <w:tr w:rsidR="00FB7D0B" w14:paraId="1C6DCC37" w14:textId="77777777" w:rsidTr="00FB7D0B">
        <w:trPr>
          <w:trHeight w:val="225"/>
        </w:trPr>
        <w:tc>
          <w:tcPr>
            <w:tcW w:w="3060" w:type="dxa"/>
            <w:gridSpan w:val="3"/>
            <w:tcBorders>
              <w:top w:val="nil"/>
              <w:left w:val="nil"/>
              <w:bottom w:val="single" w:sz="6" w:space="0" w:color="000000"/>
              <w:right w:val="nil"/>
              <w:tl2br w:val="nil"/>
              <w:tr2bl w:val="nil"/>
            </w:tcBorders>
            <w:shd w:val="clear" w:color="auto" w:fill="FFFFFF"/>
            <w:tcMar>
              <w:left w:w="101" w:type="dxa"/>
              <w:right w:w="101" w:type="dxa"/>
            </w:tcMar>
            <w:vAlign w:val="bottom"/>
          </w:tcPr>
          <w:p w14:paraId="44174A88" w14:textId="77777777" w:rsidR="003F0EEA" w:rsidRPr="00353E70" w:rsidRDefault="00FB7D0B">
            <w:pPr>
              <w:rPr>
                <w:rFonts w:ascii="Arial" w:eastAsia="Arial" w:hAnsi="Arial" w:cs="Arial"/>
                <w:color w:val="000000"/>
                <w:sz w:val="16"/>
              </w:rPr>
            </w:pPr>
            <w:r w:rsidRPr="00353E70">
              <w:rPr>
                <w:rFonts w:ascii="Arial" w:eastAsia="Arial" w:hAnsi="Arial" w:cs="Arial"/>
                <w:b/>
                <w:color w:val="000000"/>
                <w:sz w:val="16"/>
              </w:rPr>
              <w:t>Total equity</w:t>
            </w:r>
          </w:p>
        </w:tc>
        <w:tc>
          <w:tcPr>
            <w:tcW w:w="915"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4C93208B" w14:textId="77777777" w:rsidR="003F0EEA" w:rsidRPr="00353E70" w:rsidRDefault="00FB7D0B">
            <w:pPr>
              <w:jc w:val="right"/>
              <w:rPr>
                <w:rFonts w:ascii="Arial" w:eastAsia="Arial" w:hAnsi="Arial" w:cs="Arial"/>
                <w:b/>
                <w:color w:val="000000"/>
                <w:sz w:val="16"/>
              </w:rPr>
            </w:pPr>
            <w:r w:rsidRPr="00353E70">
              <w:rPr>
                <w:rFonts w:ascii="Arial" w:eastAsia="Arial" w:hAnsi="Arial" w:cs="Arial"/>
                <w:b/>
                <w:color w:val="000000"/>
                <w:sz w:val="16"/>
              </w:rPr>
              <w:t>63,473 </w:t>
            </w:r>
          </w:p>
        </w:tc>
        <w:tc>
          <w:tcPr>
            <w:tcW w:w="915" w:type="dxa"/>
            <w:tcBorders>
              <w:top w:val="single" w:sz="6" w:space="0" w:color="000000"/>
              <w:left w:val="nil"/>
              <w:bottom w:val="single" w:sz="6" w:space="0" w:color="000000"/>
              <w:right w:val="nil"/>
              <w:tl2br w:val="nil"/>
              <w:tr2bl w:val="nil"/>
            </w:tcBorders>
            <w:shd w:val="clear" w:color="auto" w:fill="FFFF00"/>
            <w:tcMar>
              <w:left w:w="101" w:type="dxa"/>
              <w:right w:w="101" w:type="dxa"/>
            </w:tcMar>
            <w:vAlign w:val="bottom"/>
          </w:tcPr>
          <w:p w14:paraId="435445DE" w14:textId="77777777" w:rsidR="003F0EEA" w:rsidRPr="00353E70" w:rsidRDefault="00FB7D0B">
            <w:pPr>
              <w:jc w:val="right"/>
              <w:rPr>
                <w:rFonts w:ascii="Arial" w:eastAsia="Arial" w:hAnsi="Arial" w:cs="Arial"/>
                <w:b/>
                <w:color w:val="000000"/>
                <w:sz w:val="16"/>
              </w:rPr>
            </w:pPr>
            <w:r w:rsidRPr="00353E70">
              <w:rPr>
                <w:rFonts w:ascii="Arial" w:eastAsia="Arial" w:hAnsi="Arial" w:cs="Arial"/>
                <w:b/>
                <w:color w:val="000000"/>
                <w:sz w:val="16"/>
              </w:rPr>
              <w:t>46,969 </w:t>
            </w:r>
          </w:p>
        </w:tc>
        <w:tc>
          <w:tcPr>
            <w:tcW w:w="915"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13093988" w14:textId="77777777" w:rsidR="003F0EEA" w:rsidRPr="00353E70" w:rsidRDefault="00FB7D0B">
            <w:pPr>
              <w:jc w:val="right"/>
              <w:rPr>
                <w:rFonts w:ascii="Arial" w:eastAsia="Arial" w:hAnsi="Arial" w:cs="Arial"/>
                <w:b/>
                <w:color w:val="000000"/>
                <w:sz w:val="16"/>
              </w:rPr>
            </w:pPr>
            <w:r w:rsidRPr="00353E70">
              <w:rPr>
                <w:rFonts w:ascii="Arial" w:eastAsia="Arial" w:hAnsi="Arial" w:cs="Arial"/>
                <w:b/>
                <w:color w:val="000000"/>
                <w:sz w:val="16"/>
              </w:rPr>
              <w:t>31,519 </w:t>
            </w:r>
          </w:p>
        </w:tc>
        <w:tc>
          <w:tcPr>
            <w:tcW w:w="915"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63F0CEC0" w14:textId="77777777" w:rsidR="003F0EEA" w:rsidRPr="00353E70" w:rsidRDefault="00FB7D0B">
            <w:pPr>
              <w:jc w:val="right"/>
              <w:rPr>
                <w:rFonts w:ascii="Arial" w:eastAsia="Arial" w:hAnsi="Arial" w:cs="Arial"/>
                <w:b/>
                <w:color w:val="000000"/>
                <w:sz w:val="16"/>
              </w:rPr>
            </w:pPr>
            <w:r w:rsidRPr="00353E70">
              <w:rPr>
                <w:rFonts w:ascii="Arial" w:eastAsia="Arial" w:hAnsi="Arial" w:cs="Arial"/>
                <w:b/>
                <w:color w:val="000000"/>
                <w:sz w:val="16"/>
              </w:rPr>
              <w:t>17,847 </w:t>
            </w:r>
          </w:p>
        </w:tc>
        <w:tc>
          <w:tcPr>
            <w:tcW w:w="915"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28388C5E" w14:textId="77777777" w:rsidR="003F0EEA" w:rsidRPr="00353E70" w:rsidRDefault="00FB7D0B">
            <w:pPr>
              <w:jc w:val="right"/>
              <w:rPr>
                <w:rFonts w:ascii="Arial" w:eastAsia="Arial" w:hAnsi="Arial" w:cs="Arial"/>
                <w:b/>
                <w:color w:val="000000"/>
                <w:sz w:val="16"/>
              </w:rPr>
            </w:pPr>
            <w:r w:rsidRPr="00353E70">
              <w:rPr>
                <w:rFonts w:ascii="Arial" w:eastAsia="Arial" w:hAnsi="Arial" w:cs="Arial"/>
                <w:b/>
                <w:color w:val="000000"/>
                <w:sz w:val="16"/>
              </w:rPr>
              <w:t>9,428 </w:t>
            </w:r>
          </w:p>
        </w:tc>
      </w:tr>
    </w:tbl>
    <w:p w14:paraId="3B401A32" w14:textId="77777777" w:rsidR="003F0EEA" w:rsidRPr="00BC7C5A" w:rsidRDefault="00FB7D0B" w:rsidP="003F0EEA">
      <w:pPr>
        <w:pStyle w:val="Source8"/>
      </w:pPr>
      <w:r>
        <w:t>Prepared on Australian Accounting Standards basis</w:t>
      </w:r>
    </w:p>
    <w:p w14:paraId="2539BD31" w14:textId="77777777" w:rsidR="003F0EEA" w:rsidRPr="00BC7C5A" w:rsidRDefault="00FB7D0B">
      <w:pPr>
        <w:spacing w:line="14" w:lineRule="exact"/>
        <w:rPr>
          <w:rFonts w:eastAsia="Times New Roman" w:cs="Times New Roman"/>
        </w:rPr>
      </w:pPr>
      <w:r w:rsidRPr="00BC7C5A">
        <w:rPr>
          <w:rFonts w:eastAsia="Times New Roman" w:cs="Times New Roman"/>
        </w:rPr>
        <w:br w:type="page"/>
      </w:r>
    </w:p>
    <w:p w14:paraId="331BD027" w14:textId="77777777" w:rsidR="003F0EEA" w:rsidRDefault="00FB7D0B" w:rsidP="003F0EEA">
      <w:pPr>
        <w:pStyle w:val="TableHeading16"/>
        <w:spacing w:after="0"/>
      </w:pPr>
      <w:r>
        <w:t xml:space="preserve">Table 3.2.3b: Budgeted Departmental Statement of Cash Flows (DVA excluding DSHIS) </w:t>
      </w:r>
      <w:r w:rsidRPr="00C939E2">
        <w:t>for the period ended 30 June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2"/>
        <w:gridCol w:w="222"/>
        <w:gridCol w:w="2700"/>
        <w:gridCol w:w="915"/>
        <w:gridCol w:w="915"/>
        <w:gridCol w:w="915"/>
        <w:gridCol w:w="915"/>
        <w:gridCol w:w="915"/>
      </w:tblGrid>
      <w:tr w:rsidR="00724034" w14:paraId="7AFA4499" w14:textId="77777777">
        <w:trPr>
          <w:trHeight w:val="225"/>
        </w:trPr>
        <w:tc>
          <w:tcPr>
            <w:tcW w:w="180"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4D0D295B" w14:textId="77777777" w:rsidR="003F0EEA" w:rsidRDefault="003F0EEA">
            <w:pPr>
              <w:rPr>
                <w:rFonts w:eastAsia="Times New Roman"/>
              </w:rPr>
            </w:pPr>
          </w:p>
        </w:tc>
        <w:tc>
          <w:tcPr>
            <w:tcW w:w="180"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0CF862F3" w14:textId="77777777" w:rsidR="003F0EEA" w:rsidRDefault="003F0EEA">
            <w:pPr>
              <w:rPr>
                <w:rFonts w:ascii="Arial" w:eastAsia="Arial" w:hAnsi="Arial" w:cs="Arial"/>
                <w:color w:val="000000"/>
                <w:sz w:val="16"/>
              </w:rPr>
            </w:pPr>
          </w:p>
        </w:tc>
        <w:tc>
          <w:tcPr>
            <w:tcW w:w="2700"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2FF8C46B" w14:textId="77777777" w:rsidR="003F0EEA" w:rsidRDefault="003F0EEA">
            <w:pPr>
              <w:rPr>
                <w:rFonts w:ascii="Arial" w:eastAsia="Arial" w:hAnsi="Arial" w:cs="Arial"/>
                <w:color w:val="000000"/>
                <w:sz w:val="16"/>
              </w:rPr>
            </w:pPr>
          </w:p>
        </w:tc>
        <w:tc>
          <w:tcPr>
            <w:tcW w:w="91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759402ED" w14:textId="77777777" w:rsidR="003F0EEA" w:rsidRDefault="00FB7D0B">
            <w:pPr>
              <w:jc w:val="right"/>
              <w:rPr>
                <w:rFonts w:ascii="Arial" w:eastAsia="Arial" w:hAnsi="Arial" w:cs="Arial"/>
                <w:color w:val="000000"/>
                <w:sz w:val="16"/>
              </w:rPr>
            </w:pPr>
            <w:r>
              <w:rPr>
                <w:rFonts w:ascii="Arial" w:eastAsia="Arial" w:hAnsi="Arial" w:cs="Arial"/>
                <w:color w:val="000000"/>
                <w:sz w:val="16"/>
              </w:rPr>
              <w:t>Estimated</w:t>
            </w:r>
          </w:p>
        </w:tc>
        <w:tc>
          <w:tcPr>
            <w:tcW w:w="915" w:type="dxa"/>
            <w:tcBorders>
              <w:top w:val="single" w:sz="6" w:space="0" w:color="000000"/>
              <w:left w:val="nil"/>
              <w:bottom w:val="nil"/>
              <w:right w:val="nil"/>
              <w:tl2br w:val="nil"/>
              <w:tr2bl w:val="nil"/>
            </w:tcBorders>
            <w:shd w:val="clear" w:color="auto" w:fill="FFFF00"/>
            <w:tcMar>
              <w:left w:w="101" w:type="dxa"/>
              <w:right w:w="101" w:type="dxa"/>
            </w:tcMar>
            <w:vAlign w:val="bottom"/>
          </w:tcPr>
          <w:p w14:paraId="4A4137EE" w14:textId="77777777" w:rsidR="003F0EEA" w:rsidRDefault="00FB7D0B">
            <w:pPr>
              <w:jc w:val="right"/>
              <w:rPr>
                <w:rFonts w:ascii="Arial" w:eastAsia="Arial" w:hAnsi="Arial" w:cs="Arial"/>
                <w:color w:val="000000"/>
                <w:sz w:val="16"/>
              </w:rPr>
            </w:pPr>
            <w:r>
              <w:rPr>
                <w:rFonts w:ascii="Arial" w:eastAsia="Arial" w:hAnsi="Arial" w:cs="Arial"/>
                <w:color w:val="000000"/>
                <w:sz w:val="16"/>
              </w:rPr>
              <w:t>Budget</w:t>
            </w:r>
          </w:p>
        </w:tc>
        <w:tc>
          <w:tcPr>
            <w:tcW w:w="91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430B8CCA" w14:textId="77777777" w:rsidR="003F0EEA" w:rsidRDefault="00FB7D0B">
            <w:pPr>
              <w:jc w:val="right"/>
              <w:rPr>
                <w:rFonts w:ascii="Arial" w:eastAsia="Arial" w:hAnsi="Arial" w:cs="Arial"/>
                <w:color w:val="000000"/>
                <w:sz w:val="16"/>
              </w:rPr>
            </w:pPr>
            <w:r>
              <w:rPr>
                <w:rFonts w:ascii="Arial" w:eastAsia="Arial" w:hAnsi="Arial" w:cs="Arial"/>
                <w:color w:val="000000"/>
                <w:sz w:val="16"/>
              </w:rPr>
              <w:t>Forward</w:t>
            </w:r>
          </w:p>
        </w:tc>
        <w:tc>
          <w:tcPr>
            <w:tcW w:w="91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2D24E75E" w14:textId="77777777" w:rsidR="003F0EEA" w:rsidRDefault="00FB7D0B">
            <w:pPr>
              <w:jc w:val="right"/>
              <w:rPr>
                <w:rFonts w:ascii="Arial" w:eastAsia="Arial" w:hAnsi="Arial" w:cs="Arial"/>
                <w:color w:val="000000"/>
                <w:sz w:val="16"/>
              </w:rPr>
            </w:pPr>
            <w:r>
              <w:rPr>
                <w:rFonts w:ascii="Arial" w:eastAsia="Arial" w:hAnsi="Arial" w:cs="Arial"/>
                <w:color w:val="000000"/>
                <w:sz w:val="16"/>
              </w:rPr>
              <w:t>Forward</w:t>
            </w:r>
          </w:p>
        </w:tc>
        <w:tc>
          <w:tcPr>
            <w:tcW w:w="91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7BCCCDA6" w14:textId="77777777" w:rsidR="003F0EEA" w:rsidRDefault="00FB7D0B">
            <w:pPr>
              <w:jc w:val="right"/>
              <w:rPr>
                <w:rFonts w:ascii="Arial" w:eastAsia="Arial" w:hAnsi="Arial" w:cs="Arial"/>
                <w:color w:val="000000"/>
                <w:sz w:val="16"/>
              </w:rPr>
            </w:pPr>
            <w:r>
              <w:rPr>
                <w:rFonts w:ascii="Arial" w:eastAsia="Arial" w:hAnsi="Arial" w:cs="Arial"/>
                <w:color w:val="000000"/>
                <w:sz w:val="16"/>
              </w:rPr>
              <w:t>Forward</w:t>
            </w:r>
          </w:p>
        </w:tc>
      </w:tr>
      <w:tr w:rsidR="00724034" w14:paraId="7D2FCD96" w14:textId="77777777">
        <w:trPr>
          <w:trHeight w:val="225"/>
        </w:trPr>
        <w:tc>
          <w:tcPr>
            <w:tcW w:w="180" w:type="dxa"/>
            <w:tcBorders>
              <w:top w:val="nil"/>
              <w:left w:val="nil"/>
              <w:bottom w:val="nil"/>
              <w:right w:val="nil"/>
              <w:tl2br w:val="nil"/>
              <w:tr2bl w:val="nil"/>
            </w:tcBorders>
            <w:shd w:val="clear" w:color="auto" w:fill="FFFFFF"/>
            <w:tcMar>
              <w:left w:w="101" w:type="dxa"/>
              <w:right w:w="101" w:type="dxa"/>
            </w:tcMar>
            <w:vAlign w:val="bottom"/>
          </w:tcPr>
          <w:p w14:paraId="6E26A5FA" w14:textId="77777777" w:rsidR="003F0EEA" w:rsidRDefault="003F0EEA">
            <w:pPr>
              <w:rPr>
                <w:rFonts w:ascii="Arial" w:eastAsia="Arial" w:hAnsi="Arial" w:cs="Arial"/>
                <w:color w:val="000000"/>
                <w:sz w:val="16"/>
              </w:rPr>
            </w:pPr>
          </w:p>
        </w:tc>
        <w:tc>
          <w:tcPr>
            <w:tcW w:w="180" w:type="dxa"/>
            <w:tcBorders>
              <w:top w:val="nil"/>
              <w:left w:val="nil"/>
              <w:bottom w:val="nil"/>
              <w:right w:val="nil"/>
              <w:tl2br w:val="nil"/>
              <w:tr2bl w:val="nil"/>
            </w:tcBorders>
            <w:shd w:val="clear" w:color="auto" w:fill="FFFFFF"/>
            <w:tcMar>
              <w:left w:w="101" w:type="dxa"/>
              <w:right w:w="101" w:type="dxa"/>
            </w:tcMar>
            <w:vAlign w:val="bottom"/>
          </w:tcPr>
          <w:p w14:paraId="5BBA6686" w14:textId="77777777" w:rsidR="003F0EEA" w:rsidRDefault="003F0EEA">
            <w:pPr>
              <w:rPr>
                <w:rFonts w:ascii="Arial" w:eastAsia="Arial" w:hAnsi="Arial" w:cs="Arial"/>
                <w:color w:val="000000"/>
                <w:sz w:val="16"/>
              </w:rPr>
            </w:pPr>
          </w:p>
        </w:tc>
        <w:tc>
          <w:tcPr>
            <w:tcW w:w="2700" w:type="dxa"/>
            <w:tcBorders>
              <w:top w:val="nil"/>
              <w:left w:val="nil"/>
              <w:bottom w:val="nil"/>
              <w:right w:val="nil"/>
              <w:tl2br w:val="nil"/>
              <w:tr2bl w:val="nil"/>
            </w:tcBorders>
            <w:shd w:val="clear" w:color="auto" w:fill="FFFFFF"/>
            <w:tcMar>
              <w:left w:w="101" w:type="dxa"/>
              <w:right w:w="101" w:type="dxa"/>
            </w:tcMar>
            <w:vAlign w:val="bottom"/>
          </w:tcPr>
          <w:p w14:paraId="18FC0284" w14:textId="77777777" w:rsidR="003F0EEA" w:rsidRDefault="003F0EEA">
            <w:pPr>
              <w:rPr>
                <w:rFonts w:ascii="Arial" w:eastAsia="Arial" w:hAnsi="Arial" w:cs="Arial"/>
                <w:color w:val="000000"/>
                <w:sz w:val="16"/>
              </w:rPr>
            </w:pP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16F941A5" w14:textId="77777777" w:rsidR="003F0EEA" w:rsidRDefault="00FB7D0B">
            <w:pPr>
              <w:jc w:val="right"/>
              <w:rPr>
                <w:rFonts w:ascii="Arial" w:eastAsia="Arial" w:hAnsi="Arial" w:cs="Arial"/>
                <w:color w:val="000000"/>
                <w:sz w:val="16"/>
              </w:rPr>
            </w:pPr>
            <w:r>
              <w:rPr>
                <w:rFonts w:ascii="Arial" w:eastAsia="Arial" w:hAnsi="Arial" w:cs="Arial"/>
                <w:color w:val="000000"/>
                <w:sz w:val="16"/>
              </w:rPr>
              <w:t>actual</w:t>
            </w:r>
          </w:p>
        </w:tc>
        <w:tc>
          <w:tcPr>
            <w:tcW w:w="915" w:type="dxa"/>
            <w:tcBorders>
              <w:top w:val="nil"/>
              <w:left w:val="nil"/>
              <w:bottom w:val="nil"/>
              <w:right w:val="nil"/>
              <w:tl2br w:val="nil"/>
              <w:tr2bl w:val="nil"/>
            </w:tcBorders>
            <w:shd w:val="clear" w:color="auto" w:fill="FFFF00"/>
            <w:tcMar>
              <w:left w:w="101" w:type="dxa"/>
              <w:right w:w="101" w:type="dxa"/>
            </w:tcMar>
            <w:vAlign w:val="bottom"/>
          </w:tcPr>
          <w:p w14:paraId="7358198D" w14:textId="77777777" w:rsidR="003F0EEA" w:rsidRDefault="00FB7D0B">
            <w:pPr>
              <w:jc w:val="right"/>
              <w:rPr>
                <w:rFonts w:ascii="Arial" w:eastAsia="Arial" w:hAnsi="Arial" w:cs="Arial"/>
                <w:color w:val="000000"/>
                <w:sz w:val="16"/>
              </w:rPr>
            </w:pPr>
            <w:r>
              <w:rPr>
                <w:rFonts w:ascii="Arial" w:eastAsia="Arial" w:hAnsi="Arial" w:cs="Arial"/>
                <w:color w:val="000000"/>
                <w:sz w:val="16"/>
              </w:rPr>
              <w:t>estimate</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15D9226C" w14:textId="77777777" w:rsidR="003F0EEA" w:rsidRDefault="00FB7D0B">
            <w:pPr>
              <w:jc w:val="right"/>
              <w:rPr>
                <w:rFonts w:ascii="Arial" w:eastAsia="Arial" w:hAnsi="Arial" w:cs="Arial"/>
                <w:color w:val="000000"/>
                <w:sz w:val="16"/>
              </w:rPr>
            </w:pPr>
            <w:r>
              <w:rPr>
                <w:rFonts w:ascii="Arial" w:eastAsia="Arial" w:hAnsi="Arial" w:cs="Arial"/>
                <w:color w:val="000000"/>
                <w:sz w:val="16"/>
              </w:rPr>
              <w:t>estimate</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460A47CD" w14:textId="77777777" w:rsidR="003F0EEA" w:rsidRDefault="00FB7D0B">
            <w:pPr>
              <w:jc w:val="right"/>
              <w:rPr>
                <w:rFonts w:ascii="Arial" w:eastAsia="Arial" w:hAnsi="Arial" w:cs="Arial"/>
                <w:color w:val="000000"/>
                <w:sz w:val="16"/>
              </w:rPr>
            </w:pPr>
            <w:r>
              <w:rPr>
                <w:rFonts w:ascii="Arial" w:eastAsia="Arial" w:hAnsi="Arial" w:cs="Arial"/>
                <w:color w:val="000000"/>
                <w:sz w:val="16"/>
              </w:rPr>
              <w:t>estimate</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137150A7" w14:textId="77777777" w:rsidR="003F0EEA" w:rsidRDefault="00FB7D0B">
            <w:pPr>
              <w:jc w:val="right"/>
              <w:rPr>
                <w:rFonts w:ascii="Arial" w:eastAsia="Arial" w:hAnsi="Arial" w:cs="Arial"/>
                <w:color w:val="000000"/>
                <w:sz w:val="16"/>
              </w:rPr>
            </w:pPr>
            <w:r>
              <w:rPr>
                <w:rFonts w:ascii="Arial" w:eastAsia="Arial" w:hAnsi="Arial" w:cs="Arial"/>
                <w:color w:val="000000"/>
                <w:sz w:val="16"/>
              </w:rPr>
              <w:t>estimate</w:t>
            </w:r>
          </w:p>
        </w:tc>
      </w:tr>
      <w:tr w:rsidR="00724034" w14:paraId="284FBE9D" w14:textId="77777777">
        <w:trPr>
          <w:trHeight w:val="225"/>
        </w:trPr>
        <w:tc>
          <w:tcPr>
            <w:tcW w:w="180" w:type="dxa"/>
            <w:tcBorders>
              <w:top w:val="nil"/>
              <w:left w:val="nil"/>
              <w:bottom w:val="nil"/>
              <w:right w:val="nil"/>
              <w:tl2br w:val="nil"/>
              <w:tr2bl w:val="nil"/>
            </w:tcBorders>
            <w:shd w:val="clear" w:color="auto" w:fill="FFFFFF"/>
            <w:tcMar>
              <w:left w:w="101" w:type="dxa"/>
              <w:right w:w="101" w:type="dxa"/>
            </w:tcMar>
            <w:vAlign w:val="bottom"/>
          </w:tcPr>
          <w:p w14:paraId="2DEEF92A" w14:textId="77777777" w:rsidR="003F0EEA" w:rsidRDefault="003F0EEA">
            <w:pPr>
              <w:rPr>
                <w:rFonts w:ascii="Arial" w:eastAsia="Arial" w:hAnsi="Arial" w:cs="Arial"/>
                <w:color w:val="000000"/>
                <w:sz w:val="16"/>
              </w:rPr>
            </w:pPr>
          </w:p>
        </w:tc>
        <w:tc>
          <w:tcPr>
            <w:tcW w:w="180" w:type="dxa"/>
            <w:tcBorders>
              <w:top w:val="nil"/>
              <w:left w:val="nil"/>
              <w:bottom w:val="nil"/>
              <w:right w:val="nil"/>
              <w:tl2br w:val="nil"/>
              <w:tr2bl w:val="nil"/>
            </w:tcBorders>
            <w:shd w:val="clear" w:color="auto" w:fill="FFFFFF"/>
            <w:tcMar>
              <w:left w:w="101" w:type="dxa"/>
              <w:right w:w="101" w:type="dxa"/>
            </w:tcMar>
            <w:vAlign w:val="bottom"/>
          </w:tcPr>
          <w:p w14:paraId="43D99BE5" w14:textId="77777777" w:rsidR="003F0EEA" w:rsidRDefault="003F0EEA">
            <w:pPr>
              <w:rPr>
                <w:rFonts w:ascii="Arial" w:eastAsia="Arial" w:hAnsi="Arial" w:cs="Arial"/>
                <w:color w:val="000000"/>
                <w:sz w:val="16"/>
              </w:rPr>
            </w:pPr>
          </w:p>
        </w:tc>
        <w:tc>
          <w:tcPr>
            <w:tcW w:w="2700" w:type="dxa"/>
            <w:tcBorders>
              <w:top w:val="nil"/>
              <w:left w:val="nil"/>
              <w:bottom w:val="nil"/>
              <w:right w:val="nil"/>
              <w:tl2br w:val="nil"/>
              <w:tr2bl w:val="nil"/>
            </w:tcBorders>
            <w:shd w:val="clear" w:color="auto" w:fill="FFFFFF"/>
            <w:tcMar>
              <w:left w:w="101" w:type="dxa"/>
              <w:right w:w="101" w:type="dxa"/>
            </w:tcMar>
            <w:vAlign w:val="bottom"/>
          </w:tcPr>
          <w:p w14:paraId="0E3E7FA7" w14:textId="77777777" w:rsidR="003F0EEA" w:rsidRDefault="003F0EEA">
            <w:pPr>
              <w:rPr>
                <w:rFonts w:ascii="Arial" w:eastAsia="Arial" w:hAnsi="Arial" w:cs="Arial"/>
                <w:color w:val="000000"/>
                <w:sz w:val="16"/>
              </w:rPr>
            </w:pP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0EB3ECE2" w14:textId="77777777" w:rsidR="003F0EEA" w:rsidRDefault="00FB7D0B">
            <w:pPr>
              <w:jc w:val="right"/>
              <w:rPr>
                <w:rFonts w:ascii="Arial" w:eastAsia="Arial" w:hAnsi="Arial" w:cs="Arial"/>
                <w:color w:val="000000"/>
                <w:sz w:val="16"/>
              </w:rPr>
            </w:pPr>
            <w:r>
              <w:rPr>
                <w:rFonts w:ascii="Arial" w:eastAsia="Arial" w:hAnsi="Arial" w:cs="Arial"/>
                <w:color w:val="000000"/>
                <w:sz w:val="16"/>
              </w:rPr>
              <w:t>2013-14</w:t>
            </w:r>
          </w:p>
        </w:tc>
        <w:tc>
          <w:tcPr>
            <w:tcW w:w="915" w:type="dxa"/>
            <w:tcBorders>
              <w:top w:val="nil"/>
              <w:left w:val="nil"/>
              <w:bottom w:val="nil"/>
              <w:right w:val="nil"/>
              <w:tl2br w:val="nil"/>
              <w:tr2bl w:val="nil"/>
            </w:tcBorders>
            <w:shd w:val="clear" w:color="auto" w:fill="FFFF00"/>
            <w:tcMar>
              <w:left w:w="101" w:type="dxa"/>
              <w:right w:w="101" w:type="dxa"/>
            </w:tcMar>
            <w:vAlign w:val="bottom"/>
          </w:tcPr>
          <w:p w14:paraId="27934AF5" w14:textId="77777777" w:rsidR="003F0EEA" w:rsidRDefault="00FB7D0B">
            <w:pPr>
              <w:jc w:val="right"/>
              <w:rPr>
                <w:rFonts w:ascii="Arial" w:eastAsia="Arial" w:hAnsi="Arial" w:cs="Arial"/>
                <w:color w:val="000000"/>
                <w:sz w:val="16"/>
              </w:rPr>
            </w:pPr>
            <w:r>
              <w:rPr>
                <w:rFonts w:ascii="Arial" w:eastAsia="Arial" w:hAnsi="Arial" w:cs="Arial"/>
                <w:color w:val="000000"/>
                <w:sz w:val="16"/>
              </w:rPr>
              <w:t>2014-15</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58AF5CF6" w14:textId="77777777" w:rsidR="003F0EEA" w:rsidRDefault="00FB7D0B">
            <w:pPr>
              <w:jc w:val="right"/>
              <w:rPr>
                <w:rFonts w:ascii="Arial" w:eastAsia="Arial" w:hAnsi="Arial" w:cs="Arial"/>
                <w:color w:val="000000"/>
                <w:sz w:val="16"/>
              </w:rPr>
            </w:pPr>
            <w:r>
              <w:rPr>
                <w:rFonts w:ascii="Arial" w:eastAsia="Arial" w:hAnsi="Arial" w:cs="Arial"/>
                <w:color w:val="000000"/>
                <w:sz w:val="16"/>
              </w:rPr>
              <w:t>2015-16</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5A8E3FE7" w14:textId="77777777" w:rsidR="003F0EEA" w:rsidRDefault="00FB7D0B">
            <w:pPr>
              <w:jc w:val="right"/>
              <w:rPr>
                <w:rFonts w:ascii="Arial" w:eastAsia="Arial" w:hAnsi="Arial" w:cs="Arial"/>
                <w:color w:val="000000"/>
                <w:sz w:val="16"/>
              </w:rPr>
            </w:pPr>
            <w:r>
              <w:rPr>
                <w:rFonts w:ascii="Arial" w:eastAsia="Arial" w:hAnsi="Arial" w:cs="Arial"/>
                <w:color w:val="000000"/>
                <w:sz w:val="16"/>
              </w:rPr>
              <w:t>2016-17</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1E366865" w14:textId="77777777" w:rsidR="003F0EEA" w:rsidRDefault="00FB7D0B">
            <w:pPr>
              <w:jc w:val="right"/>
              <w:rPr>
                <w:rFonts w:ascii="Arial" w:eastAsia="Arial" w:hAnsi="Arial" w:cs="Arial"/>
                <w:color w:val="000000"/>
                <w:sz w:val="16"/>
              </w:rPr>
            </w:pPr>
            <w:r>
              <w:rPr>
                <w:rFonts w:ascii="Arial" w:eastAsia="Arial" w:hAnsi="Arial" w:cs="Arial"/>
                <w:color w:val="000000"/>
                <w:sz w:val="16"/>
              </w:rPr>
              <w:t>2017-18</w:t>
            </w:r>
          </w:p>
        </w:tc>
      </w:tr>
      <w:tr w:rsidR="00724034" w14:paraId="48C5F186" w14:textId="77777777">
        <w:trPr>
          <w:trHeight w:val="225"/>
        </w:trPr>
        <w:tc>
          <w:tcPr>
            <w:tcW w:w="180" w:type="dxa"/>
            <w:tcBorders>
              <w:top w:val="nil"/>
              <w:left w:val="nil"/>
              <w:bottom w:val="nil"/>
              <w:right w:val="nil"/>
              <w:tl2br w:val="nil"/>
              <w:tr2bl w:val="nil"/>
            </w:tcBorders>
            <w:shd w:val="clear" w:color="auto" w:fill="FFFFFF"/>
            <w:tcMar>
              <w:left w:w="101" w:type="dxa"/>
              <w:right w:w="101" w:type="dxa"/>
            </w:tcMar>
            <w:vAlign w:val="bottom"/>
          </w:tcPr>
          <w:p w14:paraId="1650514C" w14:textId="77777777" w:rsidR="003F0EEA" w:rsidRDefault="003F0EEA">
            <w:pPr>
              <w:rPr>
                <w:rFonts w:ascii="Arial" w:eastAsia="Arial" w:hAnsi="Arial" w:cs="Arial"/>
                <w:color w:val="000000"/>
                <w:sz w:val="16"/>
              </w:rPr>
            </w:pPr>
          </w:p>
        </w:tc>
        <w:tc>
          <w:tcPr>
            <w:tcW w:w="180" w:type="dxa"/>
            <w:tcBorders>
              <w:top w:val="nil"/>
              <w:left w:val="nil"/>
              <w:bottom w:val="nil"/>
              <w:right w:val="nil"/>
              <w:tl2br w:val="nil"/>
              <w:tr2bl w:val="nil"/>
            </w:tcBorders>
            <w:shd w:val="clear" w:color="auto" w:fill="FFFFFF"/>
            <w:tcMar>
              <w:left w:w="101" w:type="dxa"/>
              <w:right w:w="101" w:type="dxa"/>
            </w:tcMar>
            <w:vAlign w:val="bottom"/>
          </w:tcPr>
          <w:p w14:paraId="224B964B" w14:textId="77777777" w:rsidR="003F0EEA" w:rsidRDefault="003F0EEA">
            <w:pPr>
              <w:rPr>
                <w:rFonts w:ascii="Arial" w:eastAsia="Arial" w:hAnsi="Arial" w:cs="Arial"/>
                <w:color w:val="000000"/>
                <w:sz w:val="16"/>
              </w:rPr>
            </w:pPr>
          </w:p>
        </w:tc>
        <w:tc>
          <w:tcPr>
            <w:tcW w:w="2700" w:type="dxa"/>
            <w:tcBorders>
              <w:top w:val="nil"/>
              <w:left w:val="nil"/>
              <w:bottom w:val="nil"/>
              <w:right w:val="nil"/>
              <w:tl2br w:val="nil"/>
              <w:tr2bl w:val="nil"/>
            </w:tcBorders>
            <w:shd w:val="clear" w:color="auto" w:fill="FFFFFF"/>
            <w:tcMar>
              <w:left w:w="101" w:type="dxa"/>
              <w:right w:w="101" w:type="dxa"/>
            </w:tcMar>
            <w:vAlign w:val="bottom"/>
          </w:tcPr>
          <w:p w14:paraId="48D1923D" w14:textId="77777777" w:rsidR="003F0EEA" w:rsidRDefault="003F0EEA">
            <w:pPr>
              <w:rPr>
                <w:rFonts w:ascii="Arial" w:eastAsia="Arial" w:hAnsi="Arial" w:cs="Arial"/>
                <w:color w:val="000000"/>
                <w:sz w:val="16"/>
              </w:rPr>
            </w:pPr>
          </w:p>
        </w:tc>
        <w:tc>
          <w:tcPr>
            <w:tcW w:w="915"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2AE40394" w14:textId="77777777" w:rsidR="003F0EEA" w:rsidRDefault="00FB7D0B">
            <w:pPr>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6" w:space="0" w:color="000000"/>
              <w:right w:val="nil"/>
              <w:tl2br w:val="nil"/>
              <w:tr2bl w:val="nil"/>
            </w:tcBorders>
            <w:shd w:val="clear" w:color="auto" w:fill="FFFF00"/>
            <w:tcMar>
              <w:left w:w="101" w:type="dxa"/>
              <w:right w:w="101" w:type="dxa"/>
            </w:tcMar>
            <w:vAlign w:val="bottom"/>
          </w:tcPr>
          <w:p w14:paraId="086A214E" w14:textId="77777777" w:rsidR="003F0EEA" w:rsidRDefault="00FB7D0B">
            <w:pPr>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6A8C6D53" w14:textId="77777777" w:rsidR="003F0EEA" w:rsidRDefault="00FB7D0B">
            <w:pPr>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284AE7A4" w14:textId="77777777" w:rsidR="003F0EEA" w:rsidRDefault="00FB7D0B">
            <w:pPr>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5CA533ED" w14:textId="77777777" w:rsidR="003F0EEA" w:rsidRDefault="00FB7D0B">
            <w:pPr>
              <w:jc w:val="right"/>
              <w:rPr>
                <w:rFonts w:ascii="Arial" w:eastAsia="Arial" w:hAnsi="Arial" w:cs="Arial"/>
                <w:color w:val="000000"/>
                <w:sz w:val="16"/>
              </w:rPr>
            </w:pPr>
            <w:r>
              <w:rPr>
                <w:rFonts w:ascii="Arial" w:eastAsia="Arial" w:hAnsi="Arial" w:cs="Arial"/>
                <w:color w:val="000000"/>
                <w:sz w:val="16"/>
              </w:rPr>
              <w:t>$'000</w:t>
            </w:r>
          </w:p>
        </w:tc>
      </w:tr>
      <w:tr w:rsidR="00FB7D0B" w14:paraId="064F11A4" w14:textId="77777777" w:rsidTr="00FB7D0B">
        <w:trPr>
          <w:trHeight w:val="225"/>
        </w:trPr>
        <w:tc>
          <w:tcPr>
            <w:tcW w:w="3060" w:type="dxa"/>
            <w:gridSpan w:val="3"/>
            <w:tcBorders>
              <w:top w:val="nil"/>
              <w:left w:val="nil"/>
              <w:bottom w:val="nil"/>
              <w:right w:val="nil"/>
              <w:tl2br w:val="nil"/>
              <w:tr2bl w:val="nil"/>
            </w:tcBorders>
            <w:shd w:val="clear" w:color="auto" w:fill="FFFFFF"/>
            <w:tcMar>
              <w:left w:w="101" w:type="dxa"/>
              <w:right w:w="101" w:type="dxa"/>
            </w:tcMar>
            <w:vAlign w:val="bottom"/>
          </w:tcPr>
          <w:p w14:paraId="6CCF8721" w14:textId="77777777" w:rsidR="003F0EEA" w:rsidRDefault="00FB7D0B">
            <w:pPr>
              <w:rPr>
                <w:rFonts w:ascii="Arial" w:eastAsia="Arial" w:hAnsi="Arial" w:cs="Arial"/>
                <w:color w:val="000000"/>
                <w:sz w:val="16"/>
              </w:rPr>
            </w:pPr>
            <w:r>
              <w:rPr>
                <w:rFonts w:ascii="Arial" w:eastAsia="Arial" w:hAnsi="Arial" w:cs="Arial"/>
                <w:b/>
                <w:color w:val="000000"/>
                <w:sz w:val="16"/>
              </w:rPr>
              <w:t>OPERATING ACTIVITIES</w:t>
            </w:r>
          </w:p>
        </w:tc>
        <w:tc>
          <w:tcPr>
            <w:tcW w:w="91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707FFAF1" w14:textId="77777777" w:rsidR="003F0EEA" w:rsidRDefault="003F0EEA">
            <w:pPr>
              <w:rPr>
                <w:rFonts w:ascii="Arial" w:eastAsia="Arial" w:hAnsi="Arial" w:cs="Arial"/>
                <w:b/>
                <w:color w:val="000000"/>
                <w:sz w:val="16"/>
              </w:rPr>
            </w:pPr>
          </w:p>
        </w:tc>
        <w:tc>
          <w:tcPr>
            <w:tcW w:w="915" w:type="dxa"/>
            <w:tcBorders>
              <w:top w:val="single" w:sz="6" w:space="0" w:color="000000"/>
              <w:left w:val="nil"/>
              <w:bottom w:val="nil"/>
              <w:right w:val="nil"/>
              <w:tl2br w:val="nil"/>
              <w:tr2bl w:val="nil"/>
            </w:tcBorders>
            <w:shd w:val="clear" w:color="auto" w:fill="FFFF00"/>
            <w:tcMar>
              <w:left w:w="101" w:type="dxa"/>
              <w:right w:w="101" w:type="dxa"/>
            </w:tcMar>
            <w:vAlign w:val="bottom"/>
          </w:tcPr>
          <w:p w14:paraId="78CAD66D" w14:textId="77777777" w:rsidR="003F0EEA" w:rsidRDefault="003F0EEA">
            <w:pPr>
              <w:rPr>
                <w:rFonts w:ascii="Arial" w:eastAsia="Arial" w:hAnsi="Arial" w:cs="Arial"/>
                <w:color w:val="000000"/>
                <w:sz w:val="16"/>
              </w:rPr>
            </w:pPr>
          </w:p>
        </w:tc>
        <w:tc>
          <w:tcPr>
            <w:tcW w:w="91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1890FC93" w14:textId="77777777" w:rsidR="003F0EEA" w:rsidRDefault="003F0EEA">
            <w:pPr>
              <w:rPr>
                <w:rFonts w:ascii="Arial" w:eastAsia="Arial" w:hAnsi="Arial" w:cs="Arial"/>
                <w:color w:val="000000"/>
                <w:sz w:val="16"/>
              </w:rPr>
            </w:pPr>
          </w:p>
        </w:tc>
        <w:tc>
          <w:tcPr>
            <w:tcW w:w="91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0D365950" w14:textId="77777777" w:rsidR="003F0EEA" w:rsidRDefault="003F0EEA">
            <w:pPr>
              <w:rPr>
                <w:rFonts w:ascii="Arial" w:eastAsia="Arial" w:hAnsi="Arial" w:cs="Arial"/>
                <w:color w:val="000000"/>
                <w:sz w:val="16"/>
              </w:rPr>
            </w:pPr>
          </w:p>
        </w:tc>
        <w:tc>
          <w:tcPr>
            <w:tcW w:w="91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790D1798" w14:textId="77777777" w:rsidR="003F0EEA" w:rsidRDefault="003F0EEA">
            <w:pPr>
              <w:rPr>
                <w:rFonts w:ascii="Arial" w:eastAsia="Arial" w:hAnsi="Arial" w:cs="Arial"/>
                <w:color w:val="000000"/>
                <w:sz w:val="16"/>
              </w:rPr>
            </w:pPr>
          </w:p>
        </w:tc>
      </w:tr>
      <w:tr w:rsidR="00FB7D0B" w14:paraId="196DA585" w14:textId="77777777" w:rsidTr="00FB7D0B">
        <w:trPr>
          <w:trHeight w:val="225"/>
        </w:trPr>
        <w:tc>
          <w:tcPr>
            <w:tcW w:w="3060" w:type="dxa"/>
            <w:gridSpan w:val="3"/>
            <w:tcBorders>
              <w:top w:val="nil"/>
              <w:left w:val="nil"/>
              <w:bottom w:val="nil"/>
              <w:right w:val="nil"/>
              <w:tl2br w:val="nil"/>
              <w:tr2bl w:val="nil"/>
            </w:tcBorders>
            <w:shd w:val="clear" w:color="auto" w:fill="FFFFFF"/>
            <w:tcMar>
              <w:left w:w="101" w:type="dxa"/>
              <w:right w:w="101" w:type="dxa"/>
            </w:tcMar>
            <w:vAlign w:val="bottom"/>
          </w:tcPr>
          <w:p w14:paraId="226477F4" w14:textId="77777777" w:rsidR="003F0EEA" w:rsidRDefault="00FB7D0B">
            <w:pPr>
              <w:rPr>
                <w:rFonts w:ascii="Arial" w:eastAsia="Arial" w:hAnsi="Arial" w:cs="Arial"/>
                <w:color w:val="000000"/>
                <w:sz w:val="16"/>
              </w:rPr>
            </w:pPr>
            <w:r>
              <w:rPr>
                <w:rFonts w:ascii="Arial" w:eastAsia="Arial" w:hAnsi="Arial" w:cs="Arial"/>
                <w:b/>
                <w:color w:val="000000"/>
                <w:sz w:val="16"/>
              </w:rPr>
              <w:t>Cash received</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035A8809" w14:textId="77777777" w:rsidR="003F0EEA" w:rsidRDefault="003F0EEA">
            <w:pPr>
              <w:rPr>
                <w:rFonts w:ascii="Arial" w:eastAsia="Arial" w:hAnsi="Arial" w:cs="Arial"/>
                <w:b/>
                <w:color w:val="000000"/>
                <w:sz w:val="16"/>
              </w:rPr>
            </w:pPr>
          </w:p>
        </w:tc>
        <w:tc>
          <w:tcPr>
            <w:tcW w:w="915" w:type="dxa"/>
            <w:tcBorders>
              <w:top w:val="nil"/>
              <w:left w:val="nil"/>
              <w:bottom w:val="nil"/>
              <w:right w:val="nil"/>
              <w:tl2br w:val="nil"/>
              <w:tr2bl w:val="nil"/>
            </w:tcBorders>
            <w:shd w:val="clear" w:color="auto" w:fill="FFFF00"/>
            <w:tcMar>
              <w:left w:w="101" w:type="dxa"/>
              <w:right w:w="101" w:type="dxa"/>
            </w:tcMar>
            <w:vAlign w:val="bottom"/>
          </w:tcPr>
          <w:p w14:paraId="4321842E" w14:textId="77777777" w:rsidR="003F0EEA" w:rsidRDefault="003F0EEA">
            <w:pPr>
              <w:rPr>
                <w:rFonts w:ascii="Arial" w:eastAsia="Arial" w:hAnsi="Arial" w:cs="Arial"/>
                <w:color w:val="000000"/>
                <w:sz w:val="16"/>
              </w:rPr>
            </w:pP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77D8BA6A" w14:textId="77777777" w:rsidR="003F0EEA" w:rsidRDefault="003F0EEA">
            <w:pPr>
              <w:rPr>
                <w:rFonts w:ascii="Arial" w:eastAsia="Arial" w:hAnsi="Arial" w:cs="Arial"/>
                <w:color w:val="000000"/>
                <w:sz w:val="16"/>
              </w:rPr>
            </w:pP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50746F51" w14:textId="77777777" w:rsidR="003F0EEA" w:rsidRDefault="003F0EEA">
            <w:pPr>
              <w:rPr>
                <w:rFonts w:ascii="Arial" w:eastAsia="Arial" w:hAnsi="Arial" w:cs="Arial"/>
                <w:color w:val="000000"/>
                <w:sz w:val="16"/>
              </w:rPr>
            </w:pP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1DDF452E" w14:textId="77777777" w:rsidR="003F0EEA" w:rsidRDefault="003F0EEA">
            <w:pPr>
              <w:rPr>
                <w:rFonts w:ascii="Arial" w:eastAsia="Arial" w:hAnsi="Arial" w:cs="Arial"/>
                <w:color w:val="000000"/>
                <w:sz w:val="16"/>
              </w:rPr>
            </w:pPr>
          </w:p>
        </w:tc>
      </w:tr>
      <w:tr w:rsidR="00FB7D0B" w14:paraId="58F11968" w14:textId="77777777" w:rsidTr="00FB7D0B">
        <w:trPr>
          <w:trHeight w:val="225"/>
        </w:trPr>
        <w:tc>
          <w:tcPr>
            <w:tcW w:w="180" w:type="dxa"/>
            <w:tcBorders>
              <w:top w:val="nil"/>
              <w:left w:val="nil"/>
              <w:bottom w:val="nil"/>
              <w:right w:val="nil"/>
              <w:tl2br w:val="nil"/>
              <w:tr2bl w:val="nil"/>
            </w:tcBorders>
            <w:shd w:val="clear" w:color="auto" w:fill="FFFFFF"/>
            <w:tcMar>
              <w:left w:w="101" w:type="dxa"/>
              <w:right w:w="101" w:type="dxa"/>
            </w:tcMar>
            <w:vAlign w:val="bottom"/>
          </w:tcPr>
          <w:p w14:paraId="1E738E73" w14:textId="77777777" w:rsidR="003F0EEA" w:rsidRDefault="003F0EEA">
            <w:pPr>
              <w:rPr>
                <w:rFonts w:ascii="Arial" w:eastAsia="Arial" w:hAnsi="Arial" w:cs="Arial"/>
                <w:color w:val="000000"/>
                <w:sz w:val="16"/>
              </w:rPr>
            </w:pPr>
          </w:p>
        </w:tc>
        <w:tc>
          <w:tcPr>
            <w:tcW w:w="2880" w:type="dxa"/>
            <w:gridSpan w:val="2"/>
            <w:vMerge w:val="restart"/>
            <w:tcBorders>
              <w:top w:val="nil"/>
              <w:left w:val="nil"/>
              <w:bottom w:val="nil"/>
              <w:right w:val="nil"/>
              <w:tl2br w:val="nil"/>
              <w:tr2bl w:val="nil"/>
            </w:tcBorders>
            <w:shd w:val="clear" w:color="auto" w:fill="FFFFFF"/>
            <w:tcMar>
              <w:left w:w="101" w:type="dxa"/>
              <w:right w:w="101" w:type="dxa"/>
            </w:tcMar>
            <w:vAlign w:val="bottom"/>
          </w:tcPr>
          <w:p w14:paraId="522C8EEB" w14:textId="77777777" w:rsidR="003F0EEA" w:rsidRDefault="00FB7D0B">
            <w:pPr>
              <w:rPr>
                <w:rFonts w:ascii="Arial" w:eastAsia="Arial" w:hAnsi="Arial" w:cs="Arial"/>
                <w:color w:val="000000"/>
                <w:sz w:val="16"/>
              </w:rPr>
            </w:pPr>
            <w:r>
              <w:rPr>
                <w:rFonts w:ascii="Arial" w:eastAsia="Arial" w:hAnsi="Arial" w:cs="Arial"/>
                <w:color w:val="000000"/>
                <w:sz w:val="16"/>
              </w:rPr>
              <w:t>Appropriations</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1273AF9B" w14:textId="77777777" w:rsidR="003F0EEA" w:rsidRDefault="00FB7D0B">
            <w:pPr>
              <w:jc w:val="right"/>
              <w:rPr>
                <w:rFonts w:ascii="Arial" w:eastAsia="Arial" w:hAnsi="Arial" w:cs="Arial"/>
                <w:color w:val="000000"/>
                <w:sz w:val="16"/>
              </w:rPr>
            </w:pPr>
            <w:r>
              <w:rPr>
                <w:rFonts w:ascii="Arial" w:eastAsia="Arial" w:hAnsi="Arial" w:cs="Arial"/>
                <w:color w:val="000000"/>
                <w:sz w:val="16"/>
              </w:rPr>
              <w:t>293,323 </w:t>
            </w:r>
          </w:p>
        </w:tc>
        <w:tc>
          <w:tcPr>
            <w:tcW w:w="915" w:type="dxa"/>
            <w:tcBorders>
              <w:top w:val="nil"/>
              <w:left w:val="nil"/>
              <w:bottom w:val="nil"/>
              <w:right w:val="nil"/>
              <w:tl2br w:val="nil"/>
              <w:tr2bl w:val="nil"/>
            </w:tcBorders>
            <w:shd w:val="clear" w:color="auto" w:fill="FFFF00"/>
            <w:tcMar>
              <w:left w:w="101" w:type="dxa"/>
              <w:right w:w="101" w:type="dxa"/>
            </w:tcMar>
            <w:vAlign w:val="bottom"/>
          </w:tcPr>
          <w:p w14:paraId="7B2485CD" w14:textId="77777777" w:rsidR="003F0EEA" w:rsidRDefault="00FB7D0B">
            <w:pPr>
              <w:jc w:val="right"/>
              <w:rPr>
                <w:rFonts w:ascii="Arial" w:eastAsia="Arial" w:hAnsi="Arial" w:cs="Arial"/>
                <w:color w:val="000000"/>
                <w:sz w:val="16"/>
              </w:rPr>
            </w:pPr>
            <w:r>
              <w:rPr>
                <w:rFonts w:ascii="Arial" w:eastAsia="Arial" w:hAnsi="Arial" w:cs="Arial"/>
                <w:color w:val="000000"/>
                <w:sz w:val="16"/>
              </w:rPr>
              <w:t>284,368 </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432E0807" w14:textId="77777777" w:rsidR="003F0EEA" w:rsidRDefault="00FB7D0B">
            <w:pPr>
              <w:jc w:val="right"/>
              <w:rPr>
                <w:rFonts w:ascii="Arial" w:eastAsia="Arial" w:hAnsi="Arial" w:cs="Arial"/>
                <w:color w:val="000000"/>
                <w:sz w:val="16"/>
              </w:rPr>
            </w:pPr>
            <w:r>
              <w:rPr>
                <w:rFonts w:ascii="Arial" w:eastAsia="Arial" w:hAnsi="Arial" w:cs="Arial"/>
                <w:color w:val="000000"/>
                <w:sz w:val="16"/>
              </w:rPr>
              <w:t>275,245 </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57F6C670" w14:textId="77777777" w:rsidR="003F0EEA" w:rsidRDefault="00FB7D0B">
            <w:pPr>
              <w:jc w:val="right"/>
              <w:rPr>
                <w:rFonts w:ascii="Arial" w:eastAsia="Arial" w:hAnsi="Arial" w:cs="Arial"/>
                <w:color w:val="000000"/>
                <w:sz w:val="16"/>
              </w:rPr>
            </w:pPr>
            <w:r>
              <w:rPr>
                <w:rFonts w:ascii="Arial" w:eastAsia="Arial" w:hAnsi="Arial" w:cs="Arial"/>
                <w:color w:val="000000"/>
                <w:sz w:val="16"/>
              </w:rPr>
              <w:t>271,241 </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3127A4FC" w14:textId="77777777" w:rsidR="003F0EEA" w:rsidRDefault="00FB7D0B">
            <w:pPr>
              <w:jc w:val="right"/>
              <w:rPr>
                <w:rFonts w:ascii="Arial" w:eastAsia="Arial" w:hAnsi="Arial" w:cs="Arial"/>
                <w:color w:val="000000"/>
                <w:sz w:val="16"/>
              </w:rPr>
            </w:pPr>
            <w:r>
              <w:rPr>
                <w:rFonts w:ascii="Arial" w:eastAsia="Arial" w:hAnsi="Arial" w:cs="Arial"/>
                <w:color w:val="000000"/>
                <w:sz w:val="16"/>
              </w:rPr>
              <w:t>271,623 </w:t>
            </w:r>
          </w:p>
        </w:tc>
      </w:tr>
      <w:tr w:rsidR="00FB7D0B" w14:paraId="13B21C62" w14:textId="77777777" w:rsidTr="00FB7D0B">
        <w:trPr>
          <w:trHeight w:val="225"/>
        </w:trPr>
        <w:tc>
          <w:tcPr>
            <w:tcW w:w="180" w:type="dxa"/>
            <w:tcBorders>
              <w:top w:val="nil"/>
              <w:left w:val="nil"/>
              <w:bottom w:val="nil"/>
              <w:right w:val="nil"/>
              <w:tl2br w:val="nil"/>
              <w:tr2bl w:val="nil"/>
            </w:tcBorders>
            <w:shd w:val="clear" w:color="auto" w:fill="FFFFFF"/>
            <w:tcMar>
              <w:left w:w="101" w:type="dxa"/>
              <w:right w:w="101" w:type="dxa"/>
            </w:tcMar>
            <w:vAlign w:val="bottom"/>
          </w:tcPr>
          <w:p w14:paraId="34689E06" w14:textId="77777777" w:rsidR="003F0EEA" w:rsidRDefault="003F0EEA">
            <w:pPr>
              <w:rPr>
                <w:rFonts w:ascii="Arial" w:eastAsia="Arial" w:hAnsi="Arial" w:cs="Arial"/>
                <w:color w:val="000000"/>
                <w:sz w:val="16"/>
              </w:rPr>
            </w:pPr>
          </w:p>
        </w:tc>
        <w:tc>
          <w:tcPr>
            <w:tcW w:w="2880" w:type="dxa"/>
            <w:gridSpan w:val="2"/>
            <w:vMerge w:val="restart"/>
            <w:tcBorders>
              <w:top w:val="nil"/>
              <w:left w:val="nil"/>
              <w:bottom w:val="nil"/>
              <w:right w:val="nil"/>
              <w:tl2br w:val="nil"/>
              <w:tr2bl w:val="nil"/>
            </w:tcBorders>
            <w:shd w:val="clear" w:color="auto" w:fill="FFFFFF"/>
            <w:tcMar>
              <w:left w:w="101" w:type="dxa"/>
              <w:right w:w="101" w:type="dxa"/>
            </w:tcMar>
            <w:vAlign w:val="bottom"/>
          </w:tcPr>
          <w:p w14:paraId="2C830D98" w14:textId="77777777" w:rsidR="003F0EEA" w:rsidRDefault="00FB7D0B">
            <w:pPr>
              <w:rPr>
                <w:rFonts w:ascii="Arial" w:eastAsia="Arial" w:hAnsi="Arial" w:cs="Arial"/>
                <w:color w:val="000000"/>
                <w:sz w:val="16"/>
              </w:rPr>
            </w:pPr>
            <w:r>
              <w:rPr>
                <w:rFonts w:ascii="Arial" w:eastAsia="Arial" w:hAnsi="Arial" w:cs="Arial"/>
                <w:color w:val="000000"/>
                <w:sz w:val="16"/>
              </w:rPr>
              <w:t>Sale of goods and services</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3AAD49A6" w14:textId="77777777" w:rsidR="003F0EEA" w:rsidRDefault="00FB7D0B">
            <w:pPr>
              <w:jc w:val="right"/>
              <w:rPr>
                <w:rFonts w:ascii="Arial" w:eastAsia="Arial" w:hAnsi="Arial" w:cs="Arial"/>
                <w:color w:val="000000"/>
                <w:sz w:val="16"/>
              </w:rPr>
            </w:pPr>
            <w:r>
              <w:rPr>
                <w:rFonts w:ascii="Arial" w:eastAsia="Arial" w:hAnsi="Arial" w:cs="Arial"/>
                <w:color w:val="000000"/>
                <w:sz w:val="16"/>
              </w:rPr>
              <w:t>11,226 </w:t>
            </w:r>
          </w:p>
        </w:tc>
        <w:tc>
          <w:tcPr>
            <w:tcW w:w="915" w:type="dxa"/>
            <w:tcBorders>
              <w:top w:val="nil"/>
              <w:left w:val="nil"/>
              <w:bottom w:val="nil"/>
              <w:right w:val="nil"/>
              <w:tl2br w:val="nil"/>
              <w:tr2bl w:val="nil"/>
            </w:tcBorders>
            <w:shd w:val="clear" w:color="auto" w:fill="FFFF00"/>
            <w:tcMar>
              <w:left w:w="101" w:type="dxa"/>
              <w:right w:w="101" w:type="dxa"/>
            </w:tcMar>
            <w:vAlign w:val="bottom"/>
          </w:tcPr>
          <w:p w14:paraId="24EF3F72" w14:textId="77777777" w:rsidR="003F0EEA" w:rsidRDefault="00FB7D0B">
            <w:pPr>
              <w:jc w:val="right"/>
              <w:rPr>
                <w:rFonts w:ascii="Arial" w:eastAsia="Arial" w:hAnsi="Arial" w:cs="Arial"/>
                <w:color w:val="000000"/>
                <w:sz w:val="16"/>
              </w:rPr>
            </w:pPr>
            <w:r>
              <w:rPr>
                <w:rFonts w:ascii="Arial" w:eastAsia="Arial" w:hAnsi="Arial" w:cs="Arial"/>
                <w:color w:val="000000"/>
                <w:sz w:val="16"/>
              </w:rPr>
              <w:t>11,831 </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0961BF99" w14:textId="77777777" w:rsidR="003F0EEA" w:rsidRDefault="00FB7D0B">
            <w:pPr>
              <w:jc w:val="right"/>
              <w:rPr>
                <w:rFonts w:ascii="Arial" w:eastAsia="Arial" w:hAnsi="Arial" w:cs="Arial"/>
                <w:color w:val="000000"/>
                <w:sz w:val="16"/>
              </w:rPr>
            </w:pPr>
            <w:r>
              <w:rPr>
                <w:rFonts w:ascii="Arial" w:eastAsia="Arial" w:hAnsi="Arial" w:cs="Arial"/>
                <w:color w:val="000000"/>
                <w:sz w:val="16"/>
              </w:rPr>
              <w:t>11,975 </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0600197E" w14:textId="77777777" w:rsidR="003F0EEA" w:rsidRDefault="00FB7D0B">
            <w:pPr>
              <w:jc w:val="right"/>
              <w:rPr>
                <w:rFonts w:ascii="Arial" w:eastAsia="Arial" w:hAnsi="Arial" w:cs="Arial"/>
                <w:color w:val="000000"/>
                <w:sz w:val="16"/>
              </w:rPr>
            </w:pPr>
            <w:r>
              <w:rPr>
                <w:rFonts w:ascii="Arial" w:eastAsia="Arial" w:hAnsi="Arial" w:cs="Arial"/>
                <w:color w:val="000000"/>
                <w:sz w:val="16"/>
              </w:rPr>
              <w:t>8,261 </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4CDEA022" w14:textId="77777777" w:rsidR="003F0EEA" w:rsidRDefault="00FB7D0B">
            <w:pPr>
              <w:jc w:val="right"/>
              <w:rPr>
                <w:rFonts w:ascii="Arial" w:eastAsia="Arial" w:hAnsi="Arial" w:cs="Arial"/>
                <w:color w:val="000000"/>
                <w:sz w:val="16"/>
              </w:rPr>
            </w:pPr>
            <w:r>
              <w:rPr>
                <w:rFonts w:ascii="Arial" w:eastAsia="Arial" w:hAnsi="Arial" w:cs="Arial"/>
                <w:color w:val="000000"/>
                <w:sz w:val="16"/>
              </w:rPr>
              <w:t>8,271 </w:t>
            </w:r>
          </w:p>
        </w:tc>
      </w:tr>
      <w:tr w:rsidR="00FB7D0B" w14:paraId="43C4A1BF" w14:textId="77777777" w:rsidTr="00FB7D0B">
        <w:trPr>
          <w:trHeight w:val="225"/>
        </w:trPr>
        <w:tc>
          <w:tcPr>
            <w:tcW w:w="180" w:type="dxa"/>
            <w:tcBorders>
              <w:top w:val="nil"/>
              <w:left w:val="nil"/>
              <w:bottom w:val="nil"/>
              <w:right w:val="nil"/>
              <w:tl2br w:val="nil"/>
              <w:tr2bl w:val="nil"/>
            </w:tcBorders>
            <w:shd w:val="clear" w:color="auto" w:fill="FFFFFF"/>
            <w:tcMar>
              <w:left w:w="101" w:type="dxa"/>
              <w:right w:w="101" w:type="dxa"/>
            </w:tcMar>
            <w:vAlign w:val="bottom"/>
          </w:tcPr>
          <w:p w14:paraId="32F7A1E3" w14:textId="77777777" w:rsidR="003F0EEA" w:rsidRDefault="003F0EEA">
            <w:pPr>
              <w:rPr>
                <w:rFonts w:ascii="Arial" w:eastAsia="Arial" w:hAnsi="Arial" w:cs="Arial"/>
                <w:color w:val="000000"/>
                <w:sz w:val="16"/>
              </w:rPr>
            </w:pPr>
          </w:p>
        </w:tc>
        <w:tc>
          <w:tcPr>
            <w:tcW w:w="2880" w:type="dxa"/>
            <w:gridSpan w:val="2"/>
            <w:tcBorders>
              <w:top w:val="nil"/>
              <w:left w:val="nil"/>
              <w:bottom w:val="nil"/>
              <w:right w:val="nil"/>
              <w:tl2br w:val="nil"/>
              <w:tr2bl w:val="nil"/>
            </w:tcBorders>
            <w:shd w:val="clear" w:color="auto" w:fill="FFFFFF"/>
            <w:tcMar>
              <w:left w:w="101" w:type="dxa"/>
              <w:right w:w="101" w:type="dxa"/>
            </w:tcMar>
            <w:vAlign w:val="bottom"/>
          </w:tcPr>
          <w:p w14:paraId="610A437A" w14:textId="77777777" w:rsidR="003F0EEA" w:rsidRDefault="00FB7D0B">
            <w:pPr>
              <w:rPr>
                <w:rFonts w:ascii="Arial" w:eastAsia="Arial" w:hAnsi="Arial" w:cs="Arial"/>
                <w:color w:val="000000"/>
                <w:sz w:val="16"/>
              </w:rPr>
            </w:pPr>
            <w:r>
              <w:rPr>
                <w:rFonts w:ascii="Arial" w:eastAsia="Arial" w:hAnsi="Arial" w:cs="Arial"/>
                <w:color w:val="000000"/>
                <w:sz w:val="16"/>
              </w:rPr>
              <w:t>Net GST received</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61CB7A22" w14:textId="77777777" w:rsidR="003F0EEA" w:rsidRDefault="00FB7D0B">
            <w:pPr>
              <w:jc w:val="right"/>
              <w:rPr>
                <w:rFonts w:ascii="Arial" w:eastAsia="Arial" w:hAnsi="Arial" w:cs="Arial"/>
                <w:color w:val="000000"/>
                <w:sz w:val="16"/>
              </w:rPr>
            </w:pPr>
            <w:r>
              <w:rPr>
                <w:rFonts w:ascii="Arial" w:eastAsia="Arial" w:hAnsi="Arial" w:cs="Arial"/>
                <w:color w:val="000000"/>
                <w:sz w:val="16"/>
              </w:rPr>
              <w:t>13,336 </w:t>
            </w:r>
          </w:p>
        </w:tc>
        <w:tc>
          <w:tcPr>
            <w:tcW w:w="915" w:type="dxa"/>
            <w:tcBorders>
              <w:top w:val="nil"/>
              <w:left w:val="nil"/>
              <w:bottom w:val="nil"/>
              <w:right w:val="nil"/>
              <w:tl2br w:val="nil"/>
              <w:tr2bl w:val="nil"/>
            </w:tcBorders>
            <w:shd w:val="clear" w:color="auto" w:fill="FFFF00"/>
            <w:tcMar>
              <w:left w:w="101" w:type="dxa"/>
              <w:right w:w="101" w:type="dxa"/>
            </w:tcMar>
            <w:vAlign w:val="bottom"/>
          </w:tcPr>
          <w:p w14:paraId="561949E2" w14:textId="77777777" w:rsidR="003F0EEA" w:rsidRDefault="00FB7D0B">
            <w:pPr>
              <w:jc w:val="right"/>
              <w:rPr>
                <w:rFonts w:ascii="Arial" w:eastAsia="Arial" w:hAnsi="Arial" w:cs="Arial"/>
                <w:color w:val="000000"/>
                <w:sz w:val="16"/>
              </w:rPr>
            </w:pPr>
            <w:r>
              <w:rPr>
                <w:rFonts w:ascii="Arial" w:eastAsia="Arial" w:hAnsi="Arial" w:cs="Arial"/>
                <w:color w:val="000000"/>
                <w:sz w:val="16"/>
              </w:rPr>
              <w:t>13,336 </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233453A5" w14:textId="77777777" w:rsidR="003F0EEA" w:rsidRDefault="00FB7D0B">
            <w:pPr>
              <w:jc w:val="right"/>
              <w:rPr>
                <w:rFonts w:ascii="Arial" w:eastAsia="Arial" w:hAnsi="Arial" w:cs="Arial"/>
                <w:color w:val="000000"/>
                <w:sz w:val="16"/>
              </w:rPr>
            </w:pPr>
            <w:r>
              <w:rPr>
                <w:rFonts w:ascii="Arial" w:eastAsia="Arial" w:hAnsi="Arial" w:cs="Arial"/>
                <w:color w:val="000000"/>
                <w:sz w:val="16"/>
              </w:rPr>
              <w:t>13,336 </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2979B40A" w14:textId="77777777" w:rsidR="003F0EEA" w:rsidRDefault="00FB7D0B">
            <w:pPr>
              <w:jc w:val="right"/>
              <w:rPr>
                <w:rFonts w:ascii="Arial" w:eastAsia="Arial" w:hAnsi="Arial" w:cs="Arial"/>
                <w:color w:val="000000"/>
                <w:sz w:val="16"/>
              </w:rPr>
            </w:pPr>
            <w:r>
              <w:rPr>
                <w:rFonts w:ascii="Arial" w:eastAsia="Arial" w:hAnsi="Arial" w:cs="Arial"/>
                <w:color w:val="000000"/>
                <w:sz w:val="16"/>
              </w:rPr>
              <w:t>13,336 </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3CFCA7F8" w14:textId="77777777" w:rsidR="003F0EEA" w:rsidRDefault="00FB7D0B">
            <w:pPr>
              <w:jc w:val="right"/>
              <w:rPr>
                <w:rFonts w:ascii="Arial" w:eastAsia="Arial" w:hAnsi="Arial" w:cs="Arial"/>
                <w:color w:val="000000"/>
                <w:sz w:val="16"/>
              </w:rPr>
            </w:pPr>
            <w:r>
              <w:rPr>
                <w:rFonts w:ascii="Arial" w:eastAsia="Arial" w:hAnsi="Arial" w:cs="Arial"/>
                <w:color w:val="000000"/>
                <w:sz w:val="16"/>
              </w:rPr>
              <w:t>13,336 </w:t>
            </w:r>
          </w:p>
        </w:tc>
      </w:tr>
      <w:tr w:rsidR="00FB7D0B" w14:paraId="2D0DCF70" w14:textId="77777777" w:rsidTr="00FB7D0B">
        <w:trPr>
          <w:trHeight w:val="225"/>
        </w:trPr>
        <w:tc>
          <w:tcPr>
            <w:tcW w:w="3060" w:type="dxa"/>
            <w:gridSpan w:val="3"/>
            <w:tcBorders>
              <w:top w:val="nil"/>
              <w:left w:val="nil"/>
              <w:bottom w:val="nil"/>
              <w:right w:val="nil"/>
              <w:tl2br w:val="nil"/>
              <w:tr2bl w:val="nil"/>
            </w:tcBorders>
            <w:shd w:val="clear" w:color="auto" w:fill="FFFFFF"/>
            <w:tcMar>
              <w:left w:w="101" w:type="dxa"/>
              <w:right w:w="101" w:type="dxa"/>
            </w:tcMar>
            <w:vAlign w:val="bottom"/>
          </w:tcPr>
          <w:p w14:paraId="697DEF41" w14:textId="77777777" w:rsidR="003F0EEA" w:rsidRDefault="00FB7D0B">
            <w:pPr>
              <w:rPr>
                <w:rFonts w:ascii="Arial" w:eastAsia="Arial" w:hAnsi="Arial" w:cs="Arial"/>
                <w:color w:val="000000"/>
                <w:sz w:val="16"/>
              </w:rPr>
            </w:pPr>
            <w:r>
              <w:rPr>
                <w:rFonts w:ascii="Arial" w:eastAsia="Arial" w:hAnsi="Arial" w:cs="Arial"/>
                <w:b/>
                <w:i/>
                <w:color w:val="000000"/>
                <w:sz w:val="16"/>
              </w:rPr>
              <w:t>Total cash received</w:t>
            </w:r>
          </w:p>
        </w:tc>
        <w:tc>
          <w:tcPr>
            <w:tcW w:w="915"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1F508CC6" w14:textId="77777777" w:rsidR="003F0EEA" w:rsidRDefault="00FB7D0B">
            <w:pPr>
              <w:jc w:val="right"/>
              <w:rPr>
                <w:rFonts w:ascii="Arial" w:eastAsia="Arial" w:hAnsi="Arial" w:cs="Arial"/>
                <w:b/>
                <w:i/>
                <w:color w:val="000000"/>
                <w:sz w:val="16"/>
              </w:rPr>
            </w:pPr>
            <w:r>
              <w:rPr>
                <w:rFonts w:ascii="Arial" w:eastAsia="Arial" w:hAnsi="Arial" w:cs="Arial"/>
                <w:b/>
                <w:color w:val="000000"/>
                <w:sz w:val="16"/>
              </w:rPr>
              <w:t>317,885 </w:t>
            </w:r>
          </w:p>
        </w:tc>
        <w:tc>
          <w:tcPr>
            <w:tcW w:w="915" w:type="dxa"/>
            <w:tcBorders>
              <w:top w:val="single" w:sz="6" w:space="0" w:color="000000"/>
              <w:left w:val="nil"/>
              <w:bottom w:val="single" w:sz="6" w:space="0" w:color="000000"/>
              <w:right w:val="nil"/>
              <w:tl2br w:val="nil"/>
              <w:tr2bl w:val="nil"/>
            </w:tcBorders>
            <w:shd w:val="clear" w:color="auto" w:fill="FFFF00"/>
            <w:tcMar>
              <w:left w:w="101" w:type="dxa"/>
              <w:right w:w="101" w:type="dxa"/>
            </w:tcMar>
            <w:vAlign w:val="bottom"/>
          </w:tcPr>
          <w:p w14:paraId="70353A94" w14:textId="77777777" w:rsidR="003F0EEA" w:rsidRDefault="00FB7D0B">
            <w:pPr>
              <w:jc w:val="right"/>
              <w:rPr>
                <w:rFonts w:ascii="Arial" w:eastAsia="Arial" w:hAnsi="Arial" w:cs="Arial"/>
                <w:b/>
                <w:color w:val="000000"/>
                <w:sz w:val="16"/>
              </w:rPr>
            </w:pPr>
            <w:r>
              <w:rPr>
                <w:rFonts w:ascii="Arial" w:eastAsia="Arial" w:hAnsi="Arial" w:cs="Arial"/>
                <w:b/>
                <w:color w:val="000000"/>
                <w:sz w:val="16"/>
              </w:rPr>
              <w:t>309,535 </w:t>
            </w:r>
          </w:p>
        </w:tc>
        <w:tc>
          <w:tcPr>
            <w:tcW w:w="915"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451537E0" w14:textId="77777777" w:rsidR="003F0EEA" w:rsidRDefault="00FB7D0B">
            <w:pPr>
              <w:jc w:val="right"/>
              <w:rPr>
                <w:rFonts w:ascii="Arial" w:eastAsia="Arial" w:hAnsi="Arial" w:cs="Arial"/>
                <w:b/>
                <w:color w:val="000000"/>
                <w:sz w:val="16"/>
              </w:rPr>
            </w:pPr>
            <w:r>
              <w:rPr>
                <w:rFonts w:ascii="Arial" w:eastAsia="Arial" w:hAnsi="Arial" w:cs="Arial"/>
                <w:b/>
                <w:color w:val="000000"/>
                <w:sz w:val="16"/>
              </w:rPr>
              <w:t>300,556 </w:t>
            </w:r>
          </w:p>
        </w:tc>
        <w:tc>
          <w:tcPr>
            <w:tcW w:w="915"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5A0D6CCE" w14:textId="77777777" w:rsidR="003F0EEA" w:rsidRDefault="00FB7D0B">
            <w:pPr>
              <w:jc w:val="right"/>
              <w:rPr>
                <w:rFonts w:ascii="Arial" w:eastAsia="Arial" w:hAnsi="Arial" w:cs="Arial"/>
                <w:b/>
                <w:color w:val="000000"/>
                <w:sz w:val="16"/>
              </w:rPr>
            </w:pPr>
            <w:r>
              <w:rPr>
                <w:rFonts w:ascii="Arial" w:eastAsia="Arial" w:hAnsi="Arial" w:cs="Arial"/>
                <w:b/>
                <w:color w:val="000000"/>
                <w:sz w:val="16"/>
              </w:rPr>
              <w:t>292,838 </w:t>
            </w:r>
          </w:p>
        </w:tc>
        <w:tc>
          <w:tcPr>
            <w:tcW w:w="915"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50141245" w14:textId="77777777" w:rsidR="003F0EEA" w:rsidRDefault="00FB7D0B">
            <w:pPr>
              <w:jc w:val="right"/>
              <w:rPr>
                <w:rFonts w:ascii="Arial" w:eastAsia="Arial" w:hAnsi="Arial" w:cs="Arial"/>
                <w:b/>
                <w:color w:val="000000"/>
                <w:sz w:val="16"/>
              </w:rPr>
            </w:pPr>
            <w:r>
              <w:rPr>
                <w:rFonts w:ascii="Arial" w:eastAsia="Arial" w:hAnsi="Arial" w:cs="Arial"/>
                <w:b/>
                <w:color w:val="000000"/>
                <w:sz w:val="16"/>
              </w:rPr>
              <w:t>293,230 </w:t>
            </w:r>
          </w:p>
        </w:tc>
      </w:tr>
      <w:tr w:rsidR="00724034" w14:paraId="140AF1F7" w14:textId="77777777">
        <w:trPr>
          <w:trHeight w:hRule="exact" w:val="60"/>
        </w:trPr>
        <w:tc>
          <w:tcPr>
            <w:tcW w:w="180" w:type="dxa"/>
            <w:tcBorders>
              <w:top w:val="nil"/>
              <w:left w:val="nil"/>
              <w:bottom w:val="nil"/>
              <w:right w:val="nil"/>
              <w:tl2br w:val="nil"/>
              <w:tr2bl w:val="nil"/>
            </w:tcBorders>
            <w:shd w:val="clear" w:color="auto" w:fill="FFFFFF"/>
            <w:tcMar>
              <w:left w:w="101" w:type="dxa"/>
              <w:right w:w="101" w:type="dxa"/>
            </w:tcMar>
            <w:vAlign w:val="bottom"/>
          </w:tcPr>
          <w:p w14:paraId="05DBC486" w14:textId="77777777" w:rsidR="003F0EEA" w:rsidRDefault="003F0EEA">
            <w:pPr>
              <w:rPr>
                <w:rFonts w:ascii="Arial" w:eastAsia="Arial" w:hAnsi="Arial" w:cs="Arial"/>
                <w:b/>
                <w:color w:val="000000"/>
                <w:sz w:val="16"/>
              </w:rPr>
            </w:pPr>
          </w:p>
        </w:tc>
        <w:tc>
          <w:tcPr>
            <w:tcW w:w="180" w:type="dxa"/>
            <w:tcBorders>
              <w:top w:val="nil"/>
              <w:left w:val="nil"/>
              <w:bottom w:val="nil"/>
              <w:right w:val="nil"/>
              <w:tl2br w:val="nil"/>
              <w:tr2bl w:val="nil"/>
            </w:tcBorders>
            <w:shd w:val="clear" w:color="auto" w:fill="FFFFFF"/>
            <w:tcMar>
              <w:left w:w="101" w:type="dxa"/>
              <w:right w:w="101" w:type="dxa"/>
            </w:tcMar>
            <w:vAlign w:val="bottom"/>
          </w:tcPr>
          <w:p w14:paraId="5B0EEB12" w14:textId="77777777" w:rsidR="003F0EEA" w:rsidRDefault="003F0EEA">
            <w:pPr>
              <w:rPr>
                <w:rFonts w:ascii="Arial" w:eastAsia="Arial" w:hAnsi="Arial" w:cs="Arial"/>
                <w:color w:val="000000"/>
                <w:sz w:val="16"/>
              </w:rPr>
            </w:pPr>
          </w:p>
        </w:tc>
        <w:tc>
          <w:tcPr>
            <w:tcW w:w="2700" w:type="dxa"/>
            <w:tcBorders>
              <w:top w:val="nil"/>
              <w:left w:val="nil"/>
              <w:bottom w:val="nil"/>
              <w:right w:val="nil"/>
              <w:tl2br w:val="nil"/>
              <w:tr2bl w:val="nil"/>
            </w:tcBorders>
            <w:shd w:val="clear" w:color="auto" w:fill="FFFFFF"/>
            <w:tcMar>
              <w:left w:w="101" w:type="dxa"/>
              <w:right w:w="101" w:type="dxa"/>
            </w:tcMar>
            <w:vAlign w:val="bottom"/>
          </w:tcPr>
          <w:p w14:paraId="665CF9B0" w14:textId="77777777" w:rsidR="003F0EEA" w:rsidRDefault="003F0EEA">
            <w:pPr>
              <w:rPr>
                <w:rFonts w:ascii="Arial" w:eastAsia="Arial" w:hAnsi="Arial" w:cs="Arial"/>
                <w:color w:val="000000"/>
                <w:sz w:val="16"/>
              </w:rPr>
            </w:pPr>
          </w:p>
        </w:tc>
        <w:tc>
          <w:tcPr>
            <w:tcW w:w="91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17E3C136" w14:textId="77777777" w:rsidR="003F0EEA" w:rsidRDefault="003F0EEA">
            <w:pPr>
              <w:rPr>
                <w:rFonts w:ascii="Arial" w:eastAsia="Arial" w:hAnsi="Arial" w:cs="Arial"/>
                <w:b/>
                <w:i/>
                <w:color w:val="000000"/>
                <w:sz w:val="16"/>
              </w:rPr>
            </w:pPr>
          </w:p>
        </w:tc>
        <w:tc>
          <w:tcPr>
            <w:tcW w:w="915" w:type="dxa"/>
            <w:tcBorders>
              <w:top w:val="single" w:sz="6" w:space="0" w:color="000000"/>
              <w:left w:val="nil"/>
              <w:bottom w:val="nil"/>
              <w:right w:val="nil"/>
              <w:tl2br w:val="nil"/>
              <w:tr2bl w:val="nil"/>
            </w:tcBorders>
            <w:shd w:val="clear" w:color="auto" w:fill="FFFF00"/>
            <w:tcMar>
              <w:left w:w="101" w:type="dxa"/>
              <w:right w:w="101" w:type="dxa"/>
            </w:tcMar>
            <w:vAlign w:val="bottom"/>
          </w:tcPr>
          <w:p w14:paraId="1777FA27" w14:textId="77777777" w:rsidR="003F0EEA" w:rsidRDefault="003F0EEA">
            <w:pPr>
              <w:rPr>
                <w:rFonts w:ascii="Arial" w:eastAsia="Arial" w:hAnsi="Arial" w:cs="Arial"/>
                <w:color w:val="000000"/>
                <w:sz w:val="16"/>
              </w:rPr>
            </w:pPr>
          </w:p>
        </w:tc>
        <w:tc>
          <w:tcPr>
            <w:tcW w:w="91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70C47338" w14:textId="77777777" w:rsidR="003F0EEA" w:rsidRDefault="003F0EEA">
            <w:pPr>
              <w:rPr>
                <w:rFonts w:ascii="Arial" w:eastAsia="Arial" w:hAnsi="Arial" w:cs="Arial"/>
                <w:color w:val="000000"/>
                <w:sz w:val="16"/>
              </w:rPr>
            </w:pPr>
          </w:p>
        </w:tc>
        <w:tc>
          <w:tcPr>
            <w:tcW w:w="91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3B852F5E" w14:textId="77777777" w:rsidR="003F0EEA" w:rsidRDefault="003F0EEA">
            <w:pPr>
              <w:rPr>
                <w:rFonts w:ascii="Arial" w:eastAsia="Arial" w:hAnsi="Arial" w:cs="Arial"/>
                <w:color w:val="000000"/>
                <w:sz w:val="16"/>
              </w:rPr>
            </w:pPr>
          </w:p>
        </w:tc>
        <w:tc>
          <w:tcPr>
            <w:tcW w:w="91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7F770515" w14:textId="77777777" w:rsidR="003F0EEA" w:rsidRDefault="003F0EEA">
            <w:pPr>
              <w:rPr>
                <w:rFonts w:ascii="Arial" w:eastAsia="Arial" w:hAnsi="Arial" w:cs="Arial"/>
                <w:color w:val="000000"/>
                <w:sz w:val="16"/>
              </w:rPr>
            </w:pPr>
          </w:p>
        </w:tc>
      </w:tr>
      <w:tr w:rsidR="00FB7D0B" w14:paraId="443AAE2D" w14:textId="77777777" w:rsidTr="00FB7D0B">
        <w:trPr>
          <w:trHeight w:val="225"/>
        </w:trPr>
        <w:tc>
          <w:tcPr>
            <w:tcW w:w="3060" w:type="dxa"/>
            <w:gridSpan w:val="3"/>
            <w:tcBorders>
              <w:top w:val="nil"/>
              <w:left w:val="nil"/>
              <w:bottom w:val="nil"/>
              <w:right w:val="nil"/>
              <w:tl2br w:val="nil"/>
              <w:tr2bl w:val="nil"/>
            </w:tcBorders>
            <w:shd w:val="clear" w:color="auto" w:fill="FFFFFF"/>
            <w:tcMar>
              <w:left w:w="101" w:type="dxa"/>
              <w:right w:w="101" w:type="dxa"/>
            </w:tcMar>
            <w:vAlign w:val="bottom"/>
          </w:tcPr>
          <w:p w14:paraId="02F1439C" w14:textId="77777777" w:rsidR="003F0EEA" w:rsidRDefault="00FB7D0B">
            <w:pPr>
              <w:rPr>
                <w:rFonts w:ascii="Arial" w:eastAsia="Arial" w:hAnsi="Arial" w:cs="Arial"/>
                <w:color w:val="000000"/>
                <w:sz w:val="16"/>
              </w:rPr>
            </w:pPr>
            <w:r>
              <w:rPr>
                <w:rFonts w:ascii="Arial" w:eastAsia="Arial" w:hAnsi="Arial" w:cs="Arial"/>
                <w:b/>
                <w:color w:val="000000"/>
                <w:sz w:val="16"/>
              </w:rPr>
              <w:t>Cash used</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7CBB77F5" w14:textId="77777777" w:rsidR="003F0EEA" w:rsidRDefault="003F0EEA">
            <w:pPr>
              <w:rPr>
                <w:rFonts w:ascii="Arial" w:eastAsia="Arial" w:hAnsi="Arial" w:cs="Arial"/>
                <w:b/>
                <w:color w:val="000000"/>
                <w:sz w:val="16"/>
              </w:rPr>
            </w:pPr>
          </w:p>
        </w:tc>
        <w:tc>
          <w:tcPr>
            <w:tcW w:w="915" w:type="dxa"/>
            <w:tcBorders>
              <w:top w:val="nil"/>
              <w:left w:val="nil"/>
              <w:bottom w:val="nil"/>
              <w:right w:val="nil"/>
              <w:tl2br w:val="nil"/>
              <w:tr2bl w:val="nil"/>
            </w:tcBorders>
            <w:shd w:val="clear" w:color="auto" w:fill="FFFF00"/>
            <w:tcMar>
              <w:left w:w="101" w:type="dxa"/>
              <w:right w:w="101" w:type="dxa"/>
            </w:tcMar>
            <w:vAlign w:val="bottom"/>
          </w:tcPr>
          <w:p w14:paraId="3EF5EC5D" w14:textId="77777777" w:rsidR="003F0EEA" w:rsidRDefault="003F0EEA">
            <w:pPr>
              <w:rPr>
                <w:rFonts w:ascii="Arial" w:eastAsia="Arial" w:hAnsi="Arial" w:cs="Arial"/>
                <w:color w:val="000000"/>
                <w:sz w:val="16"/>
              </w:rPr>
            </w:pP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7B798E03" w14:textId="77777777" w:rsidR="003F0EEA" w:rsidRDefault="003F0EEA">
            <w:pPr>
              <w:rPr>
                <w:rFonts w:ascii="Arial" w:eastAsia="Arial" w:hAnsi="Arial" w:cs="Arial"/>
                <w:color w:val="000000"/>
                <w:sz w:val="16"/>
              </w:rPr>
            </w:pP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014A0E51" w14:textId="77777777" w:rsidR="003F0EEA" w:rsidRDefault="003F0EEA">
            <w:pPr>
              <w:rPr>
                <w:rFonts w:ascii="Arial" w:eastAsia="Arial" w:hAnsi="Arial" w:cs="Arial"/>
                <w:color w:val="000000"/>
                <w:sz w:val="16"/>
              </w:rPr>
            </w:pP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1113EB68" w14:textId="77777777" w:rsidR="003F0EEA" w:rsidRDefault="003F0EEA">
            <w:pPr>
              <w:rPr>
                <w:rFonts w:ascii="Arial" w:eastAsia="Arial" w:hAnsi="Arial" w:cs="Arial"/>
                <w:color w:val="000000"/>
                <w:sz w:val="16"/>
              </w:rPr>
            </w:pPr>
          </w:p>
        </w:tc>
      </w:tr>
      <w:tr w:rsidR="00FB7D0B" w14:paraId="55F3BFBC" w14:textId="77777777" w:rsidTr="00FB7D0B">
        <w:trPr>
          <w:trHeight w:val="225"/>
        </w:trPr>
        <w:tc>
          <w:tcPr>
            <w:tcW w:w="180" w:type="dxa"/>
            <w:tcBorders>
              <w:top w:val="nil"/>
              <w:left w:val="nil"/>
              <w:bottom w:val="nil"/>
              <w:right w:val="nil"/>
              <w:tl2br w:val="nil"/>
              <w:tr2bl w:val="nil"/>
            </w:tcBorders>
            <w:shd w:val="clear" w:color="auto" w:fill="FFFFFF"/>
            <w:tcMar>
              <w:left w:w="101" w:type="dxa"/>
              <w:right w:w="101" w:type="dxa"/>
            </w:tcMar>
            <w:vAlign w:val="bottom"/>
          </w:tcPr>
          <w:p w14:paraId="1A38DEF0" w14:textId="77777777" w:rsidR="003F0EEA" w:rsidRDefault="003F0EEA">
            <w:pPr>
              <w:rPr>
                <w:rFonts w:ascii="Arial" w:eastAsia="Arial" w:hAnsi="Arial" w:cs="Arial"/>
                <w:color w:val="000000"/>
                <w:sz w:val="16"/>
              </w:rPr>
            </w:pPr>
          </w:p>
        </w:tc>
        <w:tc>
          <w:tcPr>
            <w:tcW w:w="2880" w:type="dxa"/>
            <w:gridSpan w:val="2"/>
            <w:vMerge w:val="restart"/>
            <w:tcBorders>
              <w:top w:val="nil"/>
              <w:left w:val="nil"/>
              <w:bottom w:val="nil"/>
              <w:right w:val="nil"/>
              <w:tl2br w:val="nil"/>
              <w:tr2bl w:val="nil"/>
            </w:tcBorders>
            <w:shd w:val="clear" w:color="auto" w:fill="FFFFFF"/>
            <w:tcMar>
              <w:left w:w="101" w:type="dxa"/>
              <w:right w:w="101" w:type="dxa"/>
            </w:tcMar>
            <w:vAlign w:val="bottom"/>
          </w:tcPr>
          <w:p w14:paraId="12CD4C3F" w14:textId="77777777" w:rsidR="003F0EEA" w:rsidRDefault="00FB7D0B">
            <w:pPr>
              <w:rPr>
                <w:rFonts w:ascii="Arial" w:eastAsia="Arial" w:hAnsi="Arial" w:cs="Arial"/>
                <w:color w:val="000000"/>
                <w:sz w:val="16"/>
              </w:rPr>
            </w:pPr>
            <w:r>
              <w:rPr>
                <w:rFonts w:ascii="Arial" w:eastAsia="Arial" w:hAnsi="Arial" w:cs="Arial"/>
                <w:color w:val="000000"/>
                <w:sz w:val="16"/>
              </w:rPr>
              <w:t>Employees</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68F2C30F" w14:textId="77777777" w:rsidR="003F0EEA" w:rsidRDefault="00FB7D0B">
            <w:pPr>
              <w:jc w:val="right"/>
              <w:rPr>
                <w:rFonts w:ascii="Arial" w:eastAsia="Arial" w:hAnsi="Arial" w:cs="Arial"/>
                <w:color w:val="000000"/>
                <w:sz w:val="16"/>
              </w:rPr>
            </w:pPr>
            <w:r>
              <w:rPr>
                <w:rFonts w:ascii="Arial" w:eastAsia="Arial" w:hAnsi="Arial" w:cs="Arial"/>
                <w:color w:val="000000"/>
                <w:sz w:val="16"/>
              </w:rPr>
              <w:t>191,015 </w:t>
            </w:r>
          </w:p>
        </w:tc>
        <w:tc>
          <w:tcPr>
            <w:tcW w:w="915" w:type="dxa"/>
            <w:tcBorders>
              <w:top w:val="nil"/>
              <w:left w:val="nil"/>
              <w:bottom w:val="nil"/>
              <w:right w:val="nil"/>
              <w:tl2br w:val="nil"/>
              <w:tr2bl w:val="nil"/>
            </w:tcBorders>
            <w:shd w:val="clear" w:color="auto" w:fill="FFFF00"/>
            <w:tcMar>
              <w:left w:w="101" w:type="dxa"/>
              <w:right w:w="101" w:type="dxa"/>
            </w:tcMar>
            <w:vAlign w:val="bottom"/>
          </w:tcPr>
          <w:p w14:paraId="4431FCCD" w14:textId="77777777" w:rsidR="003F0EEA" w:rsidRDefault="00FB7D0B">
            <w:pPr>
              <w:jc w:val="right"/>
              <w:rPr>
                <w:rFonts w:ascii="Arial" w:eastAsia="Arial" w:hAnsi="Arial" w:cs="Arial"/>
                <w:color w:val="000000"/>
                <w:sz w:val="16"/>
              </w:rPr>
            </w:pPr>
            <w:r>
              <w:rPr>
                <w:rFonts w:ascii="Arial" w:eastAsia="Arial" w:hAnsi="Arial" w:cs="Arial"/>
                <w:color w:val="000000"/>
                <w:sz w:val="16"/>
              </w:rPr>
              <w:t>186,521 </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4CBC22F5" w14:textId="77777777" w:rsidR="003F0EEA" w:rsidRDefault="00FB7D0B">
            <w:pPr>
              <w:jc w:val="right"/>
              <w:rPr>
                <w:rFonts w:ascii="Arial" w:eastAsia="Arial" w:hAnsi="Arial" w:cs="Arial"/>
                <w:color w:val="000000"/>
                <w:sz w:val="16"/>
              </w:rPr>
            </w:pPr>
            <w:r>
              <w:rPr>
                <w:rFonts w:ascii="Arial" w:eastAsia="Arial" w:hAnsi="Arial" w:cs="Arial"/>
                <w:color w:val="000000"/>
                <w:sz w:val="16"/>
              </w:rPr>
              <w:t>181,873 </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6895ECB7" w14:textId="77777777" w:rsidR="003F0EEA" w:rsidRDefault="00FB7D0B">
            <w:pPr>
              <w:jc w:val="right"/>
              <w:rPr>
                <w:rFonts w:ascii="Arial" w:eastAsia="Arial" w:hAnsi="Arial" w:cs="Arial"/>
                <w:color w:val="000000"/>
                <w:sz w:val="16"/>
              </w:rPr>
            </w:pPr>
            <w:r>
              <w:rPr>
                <w:rFonts w:ascii="Arial" w:eastAsia="Arial" w:hAnsi="Arial" w:cs="Arial"/>
                <w:color w:val="000000"/>
                <w:sz w:val="16"/>
              </w:rPr>
              <w:t>177,564 </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5AA70EE8" w14:textId="77777777" w:rsidR="003F0EEA" w:rsidRDefault="00FB7D0B">
            <w:pPr>
              <w:jc w:val="right"/>
              <w:rPr>
                <w:rFonts w:ascii="Arial" w:eastAsia="Arial" w:hAnsi="Arial" w:cs="Arial"/>
                <w:color w:val="000000"/>
                <w:sz w:val="16"/>
              </w:rPr>
            </w:pPr>
            <w:r>
              <w:rPr>
                <w:rFonts w:ascii="Arial" w:eastAsia="Arial" w:hAnsi="Arial" w:cs="Arial"/>
                <w:color w:val="000000"/>
                <w:sz w:val="16"/>
              </w:rPr>
              <w:t>175,961 </w:t>
            </w:r>
          </w:p>
        </w:tc>
      </w:tr>
      <w:tr w:rsidR="00FB7D0B" w14:paraId="4D8D5158" w14:textId="77777777" w:rsidTr="00FB7D0B">
        <w:trPr>
          <w:trHeight w:val="225"/>
        </w:trPr>
        <w:tc>
          <w:tcPr>
            <w:tcW w:w="180" w:type="dxa"/>
            <w:tcBorders>
              <w:top w:val="nil"/>
              <w:left w:val="nil"/>
              <w:bottom w:val="nil"/>
              <w:right w:val="nil"/>
              <w:tl2br w:val="nil"/>
              <w:tr2bl w:val="nil"/>
            </w:tcBorders>
            <w:shd w:val="clear" w:color="auto" w:fill="FFFFFF"/>
            <w:tcMar>
              <w:left w:w="101" w:type="dxa"/>
              <w:right w:w="101" w:type="dxa"/>
            </w:tcMar>
            <w:vAlign w:val="bottom"/>
          </w:tcPr>
          <w:p w14:paraId="030F66E4" w14:textId="77777777" w:rsidR="003F0EEA" w:rsidRDefault="003F0EEA">
            <w:pPr>
              <w:rPr>
                <w:rFonts w:ascii="Arial" w:eastAsia="Arial" w:hAnsi="Arial" w:cs="Arial"/>
                <w:color w:val="000000"/>
                <w:sz w:val="16"/>
              </w:rPr>
            </w:pPr>
          </w:p>
        </w:tc>
        <w:tc>
          <w:tcPr>
            <w:tcW w:w="2880" w:type="dxa"/>
            <w:gridSpan w:val="2"/>
            <w:vMerge w:val="restart"/>
            <w:tcBorders>
              <w:top w:val="nil"/>
              <w:left w:val="nil"/>
              <w:bottom w:val="nil"/>
              <w:right w:val="nil"/>
              <w:tl2br w:val="nil"/>
              <w:tr2bl w:val="nil"/>
            </w:tcBorders>
            <w:shd w:val="clear" w:color="auto" w:fill="FFFFFF"/>
            <w:tcMar>
              <w:left w:w="101" w:type="dxa"/>
              <w:right w:w="101" w:type="dxa"/>
            </w:tcMar>
            <w:vAlign w:val="bottom"/>
          </w:tcPr>
          <w:p w14:paraId="00EAF945" w14:textId="77777777" w:rsidR="003F0EEA" w:rsidRDefault="00FB7D0B">
            <w:pPr>
              <w:rPr>
                <w:rFonts w:ascii="Arial" w:eastAsia="Arial" w:hAnsi="Arial" w:cs="Arial"/>
                <w:color w:val="000000"/>
                <w:sz w:val="16"/>
              </w:rPr>
            </w:pPr>
            <w:r>
              <w:rPr>
                <w:rFonts w:ascii="Arial" w:eastAsia="Arial" w:hAnsi="Arial" w:cs="Arial"/>
                <w:color w:val="000000"/>
                <w:sz w:val="16"/>
              </w:rPr>
              <w:t>Suppliers</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516987A3" w14:textId="77777777" w:rsidR="003F0EEA" w:rsidRDefault="00FB7D0B">
            <w:pPr>
              <w:jc w:val="right"/>
              <w:rPr>
                <w:rFonts w:ascii="Arial" w:eastAsia="Arial" w:hAnsi="Arial" w:cs="Arial"/>
                <w:color w:val="000000"/>
                <w:sz w:val="16"/>
              </w:rPr>
            </w:pPr>
            <w:r>
              <w:rPr>
                <w:rFonts w:ascii="Arial" w:eastAsia="Arial" w:hAnsi="Arial" w:cs="Arial"/>
                <w:color w:val="000000"/>
                <w:sz w:val="16"/>
              </w:rPr>
              <w:t>112,766 </w:t>
            </w:r>
          </w:p>
        </w:tc>
        <w:tc>
          <w:tcPr>
            <w:tcW w:w="915" w:type="dxa"/>
            <w:tcBorders>
              <w:top w:val="nil"/>
              <w:left w:val="nil"/>
              <w:bottom w:val="nil"/>
              <w:right w:val="nil"/>
              <w:tl2br w:val="nil"/>
              <w:tr2bl w:val="nil"/>
            </w:tcBorders>
            <w:shd w:val="clear" w:color="auto" w:fill="FFFF00"/>
            <w:tcMar>
              <w:left w:w="101" w:type="dxa"/>
              <w:right w:w="101" w:type="dxa"/>
            </w:tcMar>
            <w:vAlign w:val="bottom"/>
          </w:tcPr>
          <w:p w14:paraId="58855232" w14:textId="77777777" w:rsidR="003F0EEA" w:rsidRDefault="00FB7D0B">
            <w:pPr>
              <w:jc w:val="right"/>
              <w:rPr>
                <w:rFonts w:ascii="Arial" w:eastAsia="Arial" w:hAnsi="Arial" w:cs="Arial"/>
                <w:color w:val="000000"/>
                <w:sz w:val="16"/>
              </w:rPr>
            </w:pPr>
            <w:r>
              <w:rPr>
                <w:rFonts w:ascii="Arial" w:eastAsia="Arial" w:hAnsi="Arial" w:cs="Arial"/>
                <w:color w:val="000000"/>
                <w:sz w:val="16"/>
              </w:rPr>
              <w:t>109,510 </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0DAF3B08" w14:textId="77777777" w:rsidR="003F0EEA" w:rsidRDefault="00FB7D0B">
            <w:pPr>
              <w:jc w:val="right"/>
              <w:rPr>
                <w:rFonts w:ascii="Arial" w:eastAsia="Arial" w:hAnsi="Arial" w:cs="Arial"/>
                <w:color w:val="000000"/>
                <w:sz w:val="16"/>
              </w:rPr>
            </w:pPr>
            <w:r>
              <w:rPr>
                <w:rFonts w:ascii="Arial" w:eastAsia="Arial" w:hAnsi="Arial" w:cs="Arial"/>
                <w:color w:val="000000"/>
                <w:sz w:val="16"/>
              </w:rPr>
              <w:t>105,993 </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167866D8" w14:textId="77777777" w:rsidR="003F0EEA" w:rsidRDefault="00FB7D0B">
            <w:pPr>
              <w:jc w:val="right"/>
              <w:rPr>
                <w:rFonts w:ascii="Arial" w:eastAsia="Arial" w:hAnsi="Arial" w:cs="Arial"/>
                <w:color w:val="000000"/>
                <w:sz w:val="16"/>
              </w:rPr>
            </w:pPr>
            <w:r>
              <w:rPr>
                <w:rFonts w:ascii="Arial" w:eastAsia="Arial" w:hAnsi="Arial" w:cs="Arial"/>
                <w:color w:val="000000"/>
                <w:sz w:val="16"/>
              </w:rPr>
              <w:t>102,112 </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240E2424" w14:textId="77777777" w:rsidR="003F0EEA" w:rsidRDefault="00FB7D0B">
            <w:pPr>
              <w:jc w:val="right"/>
              <w:rPr>
                <w:rFonts w:ascii="Arial" w:eastAsia="Arial" w:hAnsi="Arial" w:cs="Arial"/>
                <w:color w:val="000000"/>
                <w:sz w:val="16"/>
              </w:rPr>
            </w:pPr>
            <w:r>
              <w:rPr>
                <w:rFonts w:ascii="Arial" w:eastAsia="Arial" w:hAnsi="Arial" w:cs="Arial"/>
                <w:color w:val="000000"/>
                <w:sz w:val="16"/>
              </w:rPr>
              <w:t>103,705 </w:t>
            </w:r>
          </w:p>
        </w:tc>
      </w:tr>
      <w:tr w:rsidR="00FB7D0B" w14:paraId="41972FD5" w14:textId="77777777" w:rsidTr="00FB7D0B">
        <w:trPr>
          <w:trHeight w:val="225"/>
        </w:trPr>
        <w:tc>
          <w:tcPr>
            <w:tcW w:w="180" w:type="dxa"/>
            <w:tcBorders>
              <w:top w:val="nil"/>
              <w:left w:val="nil"/>
              <w:bottom w:val="nil"/>
              <w:right w:val="nil"/>
              <w:tl2br w:val="nil"/>
              <w:tr2bl w:val="nil"/>
            </w:tcBorders>
            <w:shd w:val="clear" w:color="auto" w:fill="FFFFFF"/>
            <w:tcMar>
              <w:left w:w="101" w:type="dxa"/>
              <w:right w:w="101" w:type="dxa"/>
            </w:tcMar>
            <w:vAlign w:val="bottom"/>
          </w:tcPr>
          <w:p w14:paraId="417675C2" w14:textId="77777777" w:rsidR="003F0EEA" w:rsidRDefault="003F0EEA">
            <w:pPr>
              <w:rPr>
                <w:rFonts w:ascii="Arial" w:eastAsia="Arial" w:hAnsi="Arial" w:cs="Arial"/>
                <w:color w:val="000000"/>
                <w:sz w:val="16"/>
              </w:rPr>
            </w:pPr>
          </w:p>
        </w:tc>
        <w:tc>
          <w:tcPr>
            <w:tcW w:w="2880" w:type="dxa"/>
            <w:gridSpan w:val="2"/>
            <w:vMerge w:val="restart"/>
            <w:tcBorders>
              <w:top w:val="nil"/>
              <w:left w:val="nil"/>
              <w:bottom w:val="nil"/>
              <w:right w:val="nil"/>
              <w:tl2br w:val="nil"/>
              <w:tr2bl w:val="nil"/>
            </w:tcBorders>
            <w:shd w:val="clear" w:color="auto" w:fill="FFFFFF"/>
            <w:tcMar>
              <w:left w:w="101" w:type="dxa"/>
              <w:right w:w="101" w:type="dxa"/>
            </w:tcMar>
            <w:vAlign w:val="bottom"/>
          </w:tcPr>
          <w:p w14:paraId="789076AE" w14:textId="77777777" w:rsidR="003F0EEA" w:rsidRDefault="00FB7D0B">
            <w:pPr>
              <w:rPr>
                <w:rFonts w:ascii="Arial" w:eastAsia="Arial" w:hAnsi="Arial" w:cs="Arial"/>
                <w:color w:val="000000"/>
                <w:sz w:val="16"/>
              </w:rPr>
            </w:pPr>
            <w:r>
              <w:rPr>
                <w:rFonts w:ascii="Arial" w:eastAsia="Arial" w:hAnsi="Arial" w:cs="Arial"/>
                <w:color w:val="000000"/>
                <w:sz w:val="16"/>
              </w:rPr>
              <w:t>Net GST paid</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5925DDEE" w14:textId="77777777" w:rsidR="003F0EEA" w:rsidRDefault="00FB7D0B">
            <w:pPr>
              <w:jc w:val="right"/>
              <w:rPr>
                <w:rFonts w:ascii="Arial" w:eastAsia="Arial" w:hAnsi="Arial" w:cs="Arial"/>
                <w:color w:val="000000"/>
                <w:sz w:val="16"/>
              </w:rPr>
            </w:pPr>
            <w:r>
              <w:rPr>
                <w:rFonts w:ascii="Arial" w:eastAsia="Arial" w:hAnsi="Arial" w:cs="Arial"/>
                <w:color w:val="000000"/>
                <w:sz w:val="16"/>
              </w:rPr>
              <w:t>13,336 </w:t>
            </w:r>
          </w:p>
        </w:tc>
        <w:tc>
          <w:tcPr>
            <w:tcW w:w="915" w:type="dxa"/>
            <w:tcBorders>
              <w:top w:val="nil"/>
              <w:left w:val="nil"/>
              <w:bottom w:val="nil"/>
              <w:right w:val="nil"/>
              <w:tl2br w:val="nil"/>
              <w:tr2bl w:val="nil"/>
            </w:tcBorders>
            <w:shd w:val="clear" w:color="auto" w:fill="FFFF00"/>
            <w:tcMar>
              <w:left w:w="101" w:type="dxa"/>
              <w:right w:w="101" w:type="dxa"/>
            </w:tcMar>
            <w:vAlign w:val="bottom"/>
          </w:tcPr>
          <w:p w14:paraId="1CBFE2E2" w14:textId="77777777" w:rsidR="003F0EEA" w:rsidRDefault="00FB7D0B">
            <w:pPr>
              <w:jc w:val="right"/>
              <w:rPr>
                <w:rFonts w:ascii="Arial" w:eastAsia="Arial" w:hAnsi="Arial" w:cs="Arial"/>
                <w:color w:val="000000"/>
                <w:sz w:val="16"/>
              </w:rPr>
            </w:pPr>
            <w:r>
              <w:rPr>
                <w:rFonts w:ascii="Arial" w:eastAsia="Arial" w:hAnsi="Arial" w:cs="Arial"/>
                <w:color w:val="000000"/>
                <w:sz w:val="16"/>
              </w:rPr>
              <w:t>13,336 </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086FAF67" w14:textId="77777777" w:rsidR="003F0EEA" w:rsidRDefault="00FB7D0B">
            <w:pPr>
              <w:jc w:val="right"/>
              <w:rPr>
                <w:rFonts w:ascii="Arial" w:eastAsia="Arial" w:hAnsi="Arial" w:cs="Arial"/>
                <w:color w:val="000000"/>
                <w:sz w:val="16"/>
              </w:rPr>
            </w:pPr>
            <w:r>
              <w:rPr>
                <w:rFonts w:ascii="Arial" w:eastAsia="Arial" w:hAnsi="Arial" w:cs="Arial"/>
                <w:color w:val="000000"/>
                <w:sz w:val="16"/>
              </w:rPr>
              <w:t>13,336 </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3FA8B7D8" w14:textId="77777777" w:rsidR="003F0EEA" w:rsidRDefault="00FB7D0B">
            <w:pPr>
              <w:jc w:val="right"/>
              <w:rPr>
                <w:rFonts w:ascii="Arial" w:eastAsia="Arial" w:hAnsi="Arial" w:cs="Arial"/>
                <w:color w:val="000000"/>
                <w:sz w:val="16"/>
              </w:rPr>
            </w:pPr>
            <w:r>
              <w:rPr>
                <w:rFonts w:ascii="Arial" w:eastAsia="Arial" w:hAnsi="Arial" w:cs="Arial"/>
                <w:color w:val="000000"/>
                <w:sz w:val="16"/>
              </w:rPr>
              <w:t>13,336 </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46A1A080" w14:textId="77777777" w:rsidR="003F0EEA" w:rsidRDefault="00FB7D0B">
            <w:pPr>
              <w:jc w:val="right"/>
              <w:rPr>
                <w:rFonts w:ascii="Arial" w:eastAsia="Arial" w:hAnsi="Arial" w:cs="Arial"/>
                <w:color w:val="000000"/>
                <w:sz w:val="16"/>
              </w:rPr>
            </w:pPr>
            <w:r>
              <w:rPr>
                <w:rFonts w:ascii="Arial" w:eastAsia="Arial" w:hAnsi="Arial" w:cs="Arial"/>
                <w:color w:val="000000"/>
                <w:sz w:val="16"/>
              </w:rPr>
              <w:t>13,336 </w:t>
            </w:r>
          </w:p>
        </w:tc>
      </w:tr>
      <w:tr w:rsidR="00FB7D0B" w14:paraId="4D6EA198" w14:textId="77777777" w:rsidTr="00FB7D0B">
        <w:trPr>
          <w:trHeight w:val="225"/>
        </w:trPr>
        <w:tc>
          <w:tcPr>
            <w:tcW w:w="3060" w:type="dxa"/>
            <w:gridSpan w:val="3"/>
            <w:tcBorders>
              <w:top w:val="nil"/>
              <w:left w:val="nil"/>
              <w:bottom w:val="nil"/>
              <w:right w:val="nil"/>
              <w:tl2br w:val="nil"/>
              <w:tr2bl w:val="nil"/>
            </w:tcBorders>
            <w:shd w:val="clear" w:color="auto" w:fill="FFFFFF"/>
            <w:tcMar>
              <w:left w:w="101" w:type="dxa"/>
              <w:right w:w="101" w:type="dxa"/>
            </w:tcMar>
            <w:vAlign w:val="bottom"/>
          </w:tcPr>
          <w:p w14:paraId="6012D658" w14:textId="77777777" w:rsidR="003F0EEA" w:rsidRDefault="00FB7D0B">
            <w:pPr>
              <w:rPr>
                <w:rFonts w:ascii="Arial" w:eastAsia="Arial" w:hAnsi="Arial" w:cs="Arial"/>
                <w:color w:val="000000"/>
                <w:sz w:val="16"/>
              </w:rPr>
            </w:pPr>
            <w:r>
              <w:rPr>
                <w:rFonts w:ascii="Arial" w:eastAsia="Arial" w:hAnsi="Arial" w:cs="Arial"/>
                <w:b/>
                <w:i/>
                <w:color w:val="000000"/>
                <w:sz w:val="16"/>
              </w:rPr>
              <w:t>Total cash used</w:t>
            </w:r>
          </w:p>
        </w:tc>
        <w:tc>
          <w:tcPr>
            <w:tcW w:w="915"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4DB5D140" w14:textId="77777777" w:rsidR="003F0EEA" w:rsidRDefault="00FB7D0B">
            <w:pPr>
              <w:jc w:val="right"/>
              <w:rPr>
                <w:rFonts w:ascii="Arial" w:eastAsia="Arial" w:hAnsi="Arial" w:cs="Arial"/>
                <w:b/>
                <w:i/>
                <w:color w:val="000000"/>
                <w:sz w:val="16"/>
              </w:rPr>
            </w:pPr>
            <w:r>
              <w:rPr>
                <w:rFonts w:ascii="Arial" w:eastAsia="Arial" w:hAnsi="Arial" w:cs="Arial"/>
                <w:b/>
                <w:color w:val="000000"/>
                <w:sz w:val="16"/>
              </w:rPr>
              <w:t>317,117 </w:t>
            </w:r>
          </w:p>
        </w:tc>
        <w:tc>
          <w:tcPr>
            <w:tcW w:w="915" w:type="dxa"/>
            <w:tcBorders>
              <w:top w:val="single" w:sz="6" w:space="0" w:color="000000"/>
              <w:left w:val="nil"/>
              <w:bottom w:val="single" w:sz="6" w:space="0" w:color="000000"/>
              <w:right w:val="nil"/>
              <w:tl2br w:val="nil"/>
              <w:tr2bl w:val="nil"/>
            </w:tcBorders>
            <w:shd w:val="clear" w:color="auto" w:fill="FFFF00"/>
            <w:tcMar>
              <w:left w:w="101" w:type="dxa"/>
              <w:right w:w="101" w:type="dxa"/>
            </w:tcMar>
            <w:vAlign w:val="bottom"/>
          </w:tcPr>
          <w:p w14:paraId="53295193" w14:textId="77777777" w:rsidR="003F0EEA" w:rsidRDefault="00FB7D0B">
            <w:pPr>
              <w:jc w:val="right"/>
              <w:rPr>
                <w:rFonts w:ascii="Arial" w:eastAsia="Arial" w:hAnsi="Arial" w:cs="Arial"/>
                <w:b/>
                <w:color w:val="000000"/>
                <w:sz w:val="16"/>
              </w:rPr>
            </w:pPr>
            <w:r>
              <w:rPr>
                <w:rFonts w:ascii="Arial" w:eastAsia="Arial" w:hAnsi="Arial" w:cs="Arial"/>
                <w:b/>
                <w:color w:val="000000"/>
                <w:sz w:val="16"/>
              </w:rPr>
              <w:t>309,367 </w:t>
            </w:r>
          </w:p>
        </w:tc>
        <w:tc>
          <w:tcPr>
            <w:tcW w:w="915"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732B5F9F" w14:textId="77777777" w:rsidR="003F0EEA" w:rsidRDefault="00FB7D0B">
            <w:pPr>
              <w:jc w:val="right"/>
              <w:rPr>
                <w:rFonts w:ascii="Arial" w:eastAsia="Arial" w:hAnsi="Arial" w:cs="Arial"/>
                <w:b/>
                <w:color w:val="000000"/>
                <w:sz w:val="16"/>
              </w:rPr>
            </w:pPr>
            <w:r>
              <w:rPr>
                <w:rFonts w:ascii="Arial" w:eastAsia="Arial" w:hAnsi="Arial" w:cs="Arial"/>
                <w:b/>
                <w:color w:val="000000"/>
                <w:sz w:val="16"/>
              </w:rPr>
              <w:t>301,202 </w:t>
            </w:r>
          </w:p>
        </w:tc>
        <w:tc>
          <w:tcPr>
            <w:tcW w:w="915"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62005431" w14:textId="77777777" w:rsidR="003F0EEA" w:rsidRDefault="00FB7D0B">
            <w:pPr>
              <w:jc w:val="right"/>
              <w:rPr>
                <w:rFonts w:ascii="Arial" w:eastAsia="Arial" w:hAnsi="Arial" w:cs="Arial"/>
                <w:b/>
                <w:color w:val="000000"/>
                <w:sz w:val="16"/>
              </w:rPr>
            </w:pPr>
            <w:r>
              <w:rPr>
                <w:rFonts w:ascii="Arial" w:eastAsia="Arial" w:hAnsi="Arial" w:cs="Arial"/>
                <w:b/>
                <w:color w:val="000000"/>
                <w:sz w:val="16"/>
              </w:rPr>
              <w:t>293,012 </w:t>
            </w:r>
          </w:p>
        </w:tc>
        <w:tc>
          <w:tcPr>
            <w:tcW w:w="915"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41AAB856" w14:textId="77777777" w:rsidR="003F0EEA" w:rsidRDefault="00FB7D0B">
            <w:pPr>
              <w:jc w:val="right"/>
              <w:rPr>
                <w:rFonts w:ascii="Arial" w:eastAsia="Arial" w:hAnsi="Arial" w:cs="Arial"/>
                <w:b/>
                <w:color w:val="000000"/>
                <w:sz w:val="16"/>
              </w:rPr>
            </w:pPr>
            <w:r>
              <w:rPr>
                <w:rFonts w:ascii="Arial" w:eastAsia="Arial" w:hAnsi="Arial" w:cs="Arial"/>
                <w:b/>
                <w:color w:val="000000"/>
                <w:sz w:val="16"/>
              </w:rPr>
              <w:t>293,002 </w:t>
            </w:r>
          </w:p>
        </w:tc>
      </w:tr>
      <w:tr w:rsidR="00FB7D0B" w14:paraId="32BDB14A" w14:textId="77777777" w:rsidTr="00FB7D0B">
        <w:trPr>
          <w:trHeight w:val="225"/>
        </w:trPr>
        <w:tc>
          <w:tcPr>
            <w:tcW w:w="3060" w:type="dxa"/>
            <w:gridSpan w:val="3"/>
            <w:tcBorders>
              <w:top w:val="nil"/>
              <w:left w:val="nil"/>
              <w:bottom w:val="nil"/>
              <w:right w:val="nil"/>
              <w:tl2br w:val="nil"/>
              <w:tr2bl w:val="nil"/>
            </w:tcBorders>
            <w:shd w:val="clear" w:color="auto" w:fill="FFFFFF"/>
            <w:tcMar>
              <w:left w:w="101" w:type="dxa"/>
              <w:right w:w="101" w:type="dxa"/>
            </w:tcMar>
            <w:vAlign w:val="bottom"/>
          </w:tcPr>
          <w:p w14:paraId="283A22B5" w14:textId="77777777" w:rsidR="003F0EEA" w:rsidRDefault="00FB7D0B">
            <w:pPr>
              <w:rPr>
                <w:rFonts w:ascii="Arial" w:eastAsia="Arial" w:hAnsi="Arial" w:cs="Arial"/>
                <w:b/>
                <w:color w:val="000000"/>
                <w:sz w:val="16"/>
              </w:rPr>
            </w:pPr>
            <w:r>
              <w:rPr>
                <w:rFonts w:ascii="Arial" w:eastAsia="Arial" w:hAnsi="Arial" w:cs="Arial"/>
                <w:b/>
                <w:color w:val="000000"/>
                <w:sz w:val="16"/>
              </w:rPr>
              <w:t>Net cash from (used by)</w:t>
            </w:r>
          </w:p>
        </w:tc>
        <w:tc>
          <w:tcPr>
            <w:tcW w:w="915"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59522F1A" w14:textId="77777777" w:rsidR="003F0EEA" w:rsidRDefault="003F0EEA">
            <w:pPr>
              <w:rPr>
                <w:rFonts w:ascii="Arial" w:eastAsia="Arial" w:hAnsi="Arial" w:cs="Arial"/>
                <w:b/>
                <w:color w:val="000000"/>
                <w:sz w:val="16"/>
              </w:rPr>
            </w:pPr>
          </w:p>
        </w:tc>
        <w:tc>
          <w:tcPr>
            <w:tcW w:w="915" w:type="dxa"/>
            <w:tcBorders>
              <w:top w:val="single" w:sz="6" w:space="0" w:color="000000"/>
              <w:left w:val="nil"/>
              <w:bottom w:val="single" w:sz="6" w:space="0" w:color="000000"/>
              <w:right w:val="nil"/>
              <w:tl2br w:val="nil"/>
              <w:tr2bl w:val="nil"/>
            </w:tcBorders>
            <w:shd w:val="clear" w:color="auto" w:fill="FFFF00"/>
            <w:tcMar>
              <w:left w:w="101" w:type="dxa"/>
              <w:right w:w="101" w:type="dxa"/>
            </w:tcMar>
            <w:vAlign w:val="bottom"/>
          </w:tcPr>
          <w:p w14:paraId="40E5DEDF" w14:textId="77777777" w:rsidR="003F0EEA" w:rsidRDefault="003F0EEA">
            <w:pPr>
              <w:rPr>
                <w:rFonts w:ascii="Arial" w:eastAsia="Arial" w:hAnsi="Arial" w:cs="Arial"/>
                <w:b/>
                <w:color w:val="000000"/>
                <w:sz w:val="16"/>
              </w:rPr>
            </w:pPr>
          </w:p>
        </w:tc>
        <w:tc>
          <w:tcPr>
            <w:tcW w:w="915"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4DA3F677" w14:textId="77777777" w:rsidR="003F0EEA" w:rsidRDefault="003F0EEA">
            <w:pPr>
              <w:rPr>
                <w:rFonts w:ascii="Arial" w:eastAsia="Arial" w:hAnsi="Arial" w:cs="Arial"/>
                <w:b/>
                <w:color w:val="000000"/>
                <w:sz w:val="16"/>
              </w:rPr>
            </w:pPr>
          </w:p>
        </w:tc>
        <w:tc>
          <w:tcPr>
            <w:tcW w:w="915"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26330AD3" w14:textId="77777777" w:rsidR="003F0EEA" w:rsidRDefault="003F0EEA">
            <w:pPr>
              <w:rPr>
                <w:rFonts w:ascii="Arial" w:eastAsia="Arial" w:hAnsi="Arial" w:cs="Arial"/>
                <w:b/>
                <w:color w:val="000000"/>
                <w:sz w:val="16"/>
              </w:rPr>
            </w:pPr>
          </w:p>
        </w:tc>
        <w:tc>
          <w:tcPr>
            <w:tcW w:w="915"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0F330118" w14:textId="77777777" w:rsidR="003F0EEA" w:rsidRDefault="003F0EEA">
            <w:pPr>
              <w:rPr>
                <w:rFonts w:ascii="Arial" w:eastAsia="Arial" w:hAnsi="Arial" w:cs="Arial"/>
                <w:b/>
                <w:color w:val="000000"/>
                <w:sz w:val="16"/>
              </w:rPr>
            </w:pPr>
          </w:p>
        </w:tc>
      </w:tr>
      <w:tr w:rsidR="00FB7D0B" w14:paraId="05A74F0A" w14:textId="77777777" w:rsidTr="00FB7D0B">
        <w:trPr>
          <w:trHeight w:val="225"/>
        </w:trPr>
        <w:tc>
          <w:tcPr>
            <w:tcW w:w="180" w:type="dxa"/>
            <w:tcBorders>
              <w:top w:val="nil"/>
              <w:left w:val="nil"/>
              <w:bottom w:val="nil"/>
              <w:right w:val="nil"/>
              <w:tl2br w:val="nil"/>
              <w:tr2bl w:val="nil"/>
            </w:tcBorders>
            <w:shd w:val="clear" w:color="auto" w:fill="FFFFFF"/>
            <w:tcMar>
              <w:left w:w="101" w:type="dxa"/>
              <w:right w:w="101" w:type="dxa"/>
            </w:tcMar>
            <w:vAlign w:val="bottom"/>
          </w:tcPr>
          <w:p w14:paraId="324726DF" w14:textId="77777777" w:rsidR="003F0EEA" w:rsidRDefault="003F0EEA">
            <w:pPr>
              <w:rPr>
                <w:rFonts w:ascii="Arial" w:eastAsia="Arial" w:hAnsi="Arial" w:cs="Arial"/>
                <w:b/>
                <w:color w:val="000000"/>
                <w:sz w:val="16"/>
              </w:rPr>
            </w:pPr>
          </w:p>
        </w:tc>
        <w:tc>
          <w:tcPr>
            <w:tcW w:w="2880" w:type="dxa"/>
            <w:gridSpan w:val="2"/>
            <w:tcBorders>
              <w:top w:val="nil"/>
              <w:left w:val="nil"/>
              <w:bottom w:val="nil"/>
              <w:right w:val="nil"/>
              <w:tl2br w:val="nil"/>
              <w:tr2bl w:val="nil"/>
            </w:tcBorders>
            <w:shd w:val="clear" w:color="auto" w:fill="FFFFFF"/>
            <w:tcMar>
              <w:left w:w="101" w:type="dxa"/>
              <w:right w:w="101" w:type="dxa"/>
            </w:tcMar>
            <w:vAlign w:val="bottom"/>
          </w:tcPr>
          <w:p w14:paraId="6EAAFB52" w14:textId="77777777" w:rsidR="003F0EEA" w:rsidRDefault="00FB7D0B">
            <w:pPr>
              <w:rPr>
                <w:rFonts w:ascii="Arial" w:eastAsia="Arial" w:hAnsi="Arial" w:cs="Arial"/>
                <w:color w:val="000000"/>
                <w:sz w:val="16"/>
              </w:rPr>
            </w:pPr>
            <w:r>
              <w:rPr>
                <w:rFonts w:ascii="Arial" w:eastAsia="Arial" w:hAnsi="Arial" w:cs="Arial"/>
                <w:b/>
                <w:color w:val="000000"/>
                <w:sz w:val="16"/>
              </w:rPr>
              <w:t>operating activities</w:t>
            </w:r>
          </w:p>
        </w:tc>
        <w:tc>
          <w:tcPr>
            <w:tcW w:w="915"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30786F7A" w14:textId="77777777" w:rsidR="003F0EEA" w:rsidRDefault="00FB7D0B">
            <w:pPr>
              <w:jc w:val="right"/>
              <w:rPr>
                <w:rFonts w:ascii="Arial" w:eastAsia="Arial" w:hAnsi="Arial" w:cs="Arial"/>
                <w:b/>
                <w:color w:val="000000"/>
                <w:sz w:val="16"/>
              </w:rPr>
            </w:pPr>
            <w:r>
              <w:rPr>
                <w:rFonts w:ascii="Arial" w:eastAsia="Arial" w:hAnsi="Arial" w:cs="Arial"/>
                <w:b/>
                <w:color w:val="000000"/>
                <w:sz w:val="16"/>
              </w:rPr>
              <w:t>768 </w:t>
            </w:r>
          </w:p>
        </w:tc>
        <w:tc>
          <w:tcPr>
            <w:tcW w:w="915" w:type="dxa"/>
            <w:tcBorders>
              <w:top w:val="single" w:sz="6" w:space="0" w:color="000000"/>
              <w:left w:val="nil"/>
              <w:bottom w:val="single" w:sz="6" w:space="0" w:color="000000"/>
              <w:right w:val="nil"/>
              <w:tl2br w:val="nil"/>
              <w:tr2bl w:val="nil"/>
            </w:tcBorders>
            <w:shd w:val="clear" w:color="auto" w:fill="FFFF00"/>
            <w:tcMar>
              <w:left w:w="101" w:type="dxa"/>
              <w:right w:w="101" w:type="dxa"/>
            </w:tcMar>
            <w:vAlign w:val="bottom"/>
          </w:tcPr>
          <w:p w14:paraId="17596A5F" w14:textId="77777777" w:rsidR="003F0EEA" w:rsidRDefault="00FB7D0B">
            <w:pPr>
              <w:jc w:val="right"/>
              <w:rPr>
                <w:rFonts w:ascii="Arial" w:eastAsia="Arial" w:hAnsi="Arial" w:cs="Arial"/>
                <w:b/>
                <w:color w:val="000000"/>
                <w:sz w:val="16"/>
              </w:rPr>
            </w:pPr>
            <w:r>
              <w:rPr>
                <w:rFonts w:ascii="Arial" w:eastAsia="Arial" w:hAnsi="Arial" w:cs="Arial"/>
                <w:b/>
                <w:color w:val="000000"/>
                <w:sz w:val="16"/>
              </w:rPr>
              <w:t>168 </w:t>
            </w:r>
          </w:p>
        </w:tc>
        <w:tc>
          <w:tcPr>
            <w:tcW w:w="915"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5C528A30" w14:textId="77777777" w:rsidR="003F0EEA" w:rsidRDefault="00FB7D0B">
            <w:pPr>
              <w:jc w:val="right"/>
              <w:rPr>
                <w:rFonts w:ascii="Arial" w:eastAsia="Arial" w:hAnsi="Arial" w:cs="Arial"/>
                <w:b/>
                <w:color w:val="000000"/>
                <w:sz w:val="16"/>
              </w:rPr>
            </w:pPr>
            <w:r>
              <w:rPr>
                <w:rFonts w:ascii="Arial" w:eastAsia="Arial" w:hAnsi="Arial" w:cs="Arial"/>
                <w:b/>
                <w:color w:val="000000"/>
                <w:sz w:val="16"/>
              </w:rPr>
              <w:t>(646)</w:t>
            </w:r>
          </w:p>
        </w:tc>
        <w:tc>
          <w:tcPr>
            <w:tcW w:w="915"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658C3ECF" w14:textId="77777777" w:rsidR="003F0EEA" w:rsidRDefault="00FB7D0B">
            <w:pPr>
              <w:jc w:val="right"/>
              <w:rPr>
                <w:rFonts w:ascii="Arial" w:eastAsia="Arial" w:hAnsi="Arial" w:cs="Arial"/>
                <w:b/>
                <w:color w:val="000000"/>
                <w:sz w:val="16"/>
              </w:rPr>
            </w:pPr>
            <w:r>
              <w:rPr>
                <w:rFonts w:ascii="Arial" w:eastAsia="Arial" w:hAnsi="Arial" w:cs="Arial"/>
                <w:b/>
                <w:color w:val="000000"/>
                <w:sz w:val="16"/>
              </w:rPr>
              <w:t>(174)</w:t>
            </w:r>
          </w:p>
        </w:tc>
        <w:tc>
          <w:tcPr>
            <w:tcW w:w="915"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50527034" w14:textId="77777777" w:rsidR="003F0EEA" w:rsidRDefault="00FB7D0B">
            <w:pPr>
              <w:jc w:val="right"/>
              <w:rPr>
                <w:rFonts w:ascii="Arial" w:eastAsia="Arial" w:hAnsi="Arial" w:cs="Arial"/>
                <w:b/>
                <w:color w:val="000000"/>
                <w:sz w:val="16"/>
              </w:rPr>
            </w:pPr>
            <w:r>
              <w:rPr>
                <w:rFonts w:ascii="Arial" w:eastAsia="Arial" w:hAnsi="Arial" w:cs="Arial"/>
                <w:b/>
                <w:color w:val="000000"/>
                <w:sz w:val="16"/>
              </w:rPr>
              <w:t>228 </w:t>
            </w:r>
          </w:p>
        </w:tc>
      </w:tr>
      <w:tr w:rsidR="00724034" w14:paraId="2AEB74CE" w14:textId="77777777">
        <w:trPr>
          <w:trHeight w:hRule="exact" w:val="60"/>
        </w:trPr>
        <w:tc>
          <w:tcPr>
            <w:tcW w:w="180" w:type="dxa"/>
            <w:tcBorders>
              <w:top w:val="nil"/>
              <w:left w:val="nil"/>
              <w:bottom w:val="nil"/>
              <w:right w:val="nil"/>
              <w:tl2br w:val="nil"/>
              <w:tr2bl w:val="nil"/>
            </w:tcBorders>
            <w:shd w:val="clear" w:color="auto" w:fill="FFFFFF"/>
            <w:tcMar>
              <w:left w:w="101" w:type="dxa"/>
              <w:right w:w="101" w:type="dxa"/>
            </w:tcMar>
            <w:vAlign w:val="bottom"/>
          </w:tcPr>
          <w:p w14:paraId="7E8FE56E" w14:textId="77777777" w:rsidR="003F0EEA" w:rsidRDefault="003F0EEA">
            <w:pPr>
              <w:rPr>
                <w:rFonts w:ascii="Arial" w:eastAsia="Arial" w:hAnsi="Arial" w:cs="Arial"/>
                <w:b/>
                <w:color w:val="000000"/>
                <w:sz w:val="16"/>
              </w:rPr>
            </w:pPr>
          </w:p>
        </w:tc>
        <w:tc>
          <w:tcPr>
            <w:tcW w:w="180" w:type="dxa"/>
            <w:tcBorders>
              <w:top w:val="nil"/>
              <w:left w:val="nil"/>
              <w:bottom w:val="nil"/>
              <w:right w:val="nil"/>
              <w:tl2br w:val="nil"/>
              <w:tr2bl w:val="nil"/>
            </w:tcBorders>
            <w:shd w:val="clear" w:color="auto" w:fill="FFFFFF"/>
            <w:tcMar>
              <w:left w:w="101" w:type="dxa"/>
              <w:right w:w="101" w:type="dxa"/>
            </w:tcMar>
            <w:vAlign w:val="bottom"/>
          </w:tcPr>
          <w:p w14:paraId="7161B301" w14:textId="77777777" w:rsidR="003F0EEA" w:rsidRDefault="003F0EEA">
            <w:pPr>
              <w:rPr>
                <w:rFonts w:ascii="Arial" w:eastAsia="Arial" w:hAnsi="Arial" w:cs="Arial"/>
                <w:color w:val="000000"/>
                <w:sz w:val="16"/>
              </w:rPr>
            </w:pPr>
          </w:p>
        </w:tc>
        <w:tc>
          <w:tcPr>
            <w:tcW w:w="2700" w:type="dxa"/>
            <w:tcBorders>
              <w:top w:val="nil"/>
              <w:left w:val="nil"/>
              <w:bottom w:val="nil"/>
              <w:right w:val="nil"/>
              <w:tl2br w:val="nil"/>
              <w:tr2bl w:val="nil"/>
            </w:tcBorders>
            <w:shd w:val="clear" w:color="auto" w:fill="FFFFFF"/>
            <w:tcMar>
              <w:left w:w="101" w:type="dxa"/>
              <w:right w:w="101" w:type="dxa"/>
            </w:tcMar>
            <w:vAlign w:val="bottom"/>
          </w:tcPr>
          <w:p w14:paraId="4C1D2BEB" w14:textId="77777777" w:rsidR="003F0EEA" w:rsidRDefault="003F0EEA">
            <w:pPr>
              <w:rPr>
                <w:rFonts w:ascii="Arial" w:eastAsia="Arial" w:hAnsi="Arial" w:cs="Arial"/>
                <w:color w:val="000000"/>
                <w:sz w:val="16"/>
              </w:rPr>
            </w:pPr>
          </w:p>
        </w:tc>
        <w:tc>
          <w:tcPr>
            <w:tcW w:w="91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162AA845" w14:textId="77777777" w:rsidR="003F0EEA" w:rsidRDefault="003F0EEA">
            <w:pPr>
              <w:rPr>
                <w:rFonts w:ascii="Arial" w:eastAsia="Arial" w:hAnsi="Arial" w:cs="Arial"/>
                <w:b/>
                <w:color w:val="000000"/>
                <w:sz w:val="16"/>
              </w:rPr>
            </w:pPr>
          </w:p>
        </w:tc>
        <w:tc>
          <w:tcPr>
            <w:tcW w:w="915" w:type="dxa"/>
            <w:tcBorders>
              <w:top w:val="single" w:sz="6" w:space="0" w:color="000000"/>
              <w:left w:val="nil"/>
              <w:bottom w:val="nil"/>
              <w:right w:val="nil"/>
              <w:tl2br w:val="nil"/>
              <w:tr2bl w:val="nil"/>
            </w:tcBorders>
            <w:shd w:val="clear" w:color="auto" w:fill="FFFF00"/>
            <w:tcMar>
              <w:left w:w="101" w:type="dxa"/>
              <w:right w:w="101" w:type="dxa"/>
            </w:tcMar>
            <w:vAlign w:val="bottom"/>
          </w:tcPr>
          <w:p w14:paraId="7D8626FE" w14:textId="77777777" w:rsidR="003F0EEA" w:rsidRDefault="003F0EEA">
            <w:pPr>
              <w:rPr>
                <w:rFonts w:ascii="Arial" w:eastAsia="Arial" w:hAnsi="Arial" w:cs="Arial"/>
                <w:color w:val="000000"/>
                <w:sz w:val="16"/>
              </w:rPr>
            </w:pPr>
          </w:p>
        </w:tc>
        <w:tc>
          <w:tcPr>
            <w:tcW w:w="91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1E92ECDD" w14:textId="77777777" w:rsidR="003F0EEA" w:rsidRDefault="003F0EEA">
            <w:pPr>
              <w:rPr>
                <w:rFonts w:ascii="Arial" w:eastAsia="Arial" w:hAnsi="Arial" w:cs="Arial"/>
                <w:color w:val="000000"/>
                <w:sz w:val="16"/>
              </w:rPr>
            </w:pPr>
          </w:p>
        </w:tc>
        <w:tc>
          <w:tcPr>
            <w:tcW w:w="91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0595A73E" w14:textId="77777777" w:rsidR="003F0EEA" w:rsidRDefault="003F0EEA">
            <w:pPr>
              <w:rPr>
                <w:rFonts w:ascii="Arial" w:eastAsia="Arial" w:hAnsi="Arial" w:cs="Arial"/>
                <w:color w:val="000000"/>
                <w:sz w:val="16"/>
              </w:rPr>
            </w:pPr>
          </w:p>
        </w:tc>
        <w:tc>
          <w:tcPr>
            <w:tcW w:w="91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593D978A" w14:textId="77777777" w:rsidR="003F0EEA" w:rsidRDefault="003F0EEA">
            <w:pPr>
              <w:rPr>
                <w:rFonts w:ascii="Arial" w:eastAsia="Arial" w:hAnsi="Arial" w:cs="Arial"/>
                <w:color w:val="000000"/>
                <w:sz w:val="16"/>
              </w:rPr>
            </w:pPr>
          </w:p>
        </w:tc>
      </w:tr>
      <w:tr w:rsidR="00FB7D0B" w14:paraId="28DCE688" w14:textId="77777777" w:rsidTr="00FB7D0B">
        <w:trPr>
          <w:trHeight w:val="225"/>
        </w:trPr>
        <w:tc>
          <w:tcPr>
            <w:tcW w:w="3060" w:type="dxa"/>
            <w:gridSpan w:val="3"/>
            <w:tcBorders>
              <w:top w:val="nil"/>
              <w:left w:val="nil"/>
              <w:bottom w:val="nil"/>
              <w:right w:val="nil"/>
              <w:tl2br w:val="nil"/>
              <w:tr2bl w:val="nil"/>
            </w:tcBorders>
            <w:shd w:val="clear" w:color="auto" w:fill="FFFFFF"/>
            <w:tcMar>
              <w:left w:w="101" w:type="dxa"/>
              <w:right w:w="101" w:type="dxa"/>
            </w:tcMar>
            <w:vAlign w:val="bottom"/>
          </w:tcPr>
          <w:p w14:paraId="25ECDD5A" w14:textId="77777777" w:rsidR="003F0EEA" w:rsidRDefault="00FB7D0B">
            <w:pPr>
              <w:rPr>
                <w:rFonts w:ascii="Arial" w:eastAsia="Arial" w:hAnsi="Arial" w:cs="Arial"/>
                <w:color w:val="000000"/>
                <w:sz w:val="16"/>
              </w:rPr>
            </w:pPr>
            <w:r>
              <w:rPr>
                <w:rFonts w:ascii="Arial" w:eastAsia="Arial" w:hAnsi="Arial" w:cs="Arial"/>
                <w:b/>
                <w:color w:val="000000"/>
                <w:sz w:val="16"/>
              </w:rPr>
              <w:t>INVESTING ACTIVITIES</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0AF4895C" w14:textId="77777777" w:rsidR="003F0EEA" w:rsidRDefault="003F0EEA">
            <w:pPr>
              <w:rPr>
                <w:rFonts w:ascii="Arial" w:eastAsia="Arial" w:hAnsi="Arial" w:cs="Arial"/>
                <w:b/>
                <w:color w:val="000000"/>
                <w:sz w:val="16"/>
              </w:rPr>
            </w:pPr>
          </w:p>
        </w:tc>
        <w:tc>
          <w:tcPr>
            <w:tcW w:w="915" w:type="dxa"/>
            <w:tcBorders>
              <w:top w:val="nil"/>
              <w:left w:val="nil"/>
              <w:bottom w:val="nil"/>
              <w:right w:val="nil"/>
              <w:tl2br w:val="nil"/>
              <w:tr2bl w:val="nil"/>
            </w:tcBorders>
            <w:shd w:val="clear" w:color="auto" w:fill="FFFF00"/>
            <w:tcMar>
              <w:left w:w="101" w:type="dxa"/>
              <w:right w:w="101" w:type="dxa"/>
            </w:tcMar>
            <w:vAlign w:val="bottom"/>
          </w:tcPr>
          <w:p w14:paraId="624642B8" w14:textId="77777777" w:rsidR="003F0EEA" w:rsidRDefault="003F0EEA">
            <w:pPr>
              <w:rPr>
                <w:rFonts w:ascii="Arial" w:eastAsia="Arial" w:hAnsi="Arial" w:cs="Arial"/>
                <w:color w:val="000000"/>
                <w:sz w:val="16"/>
              </w:rPr>
            </w:pP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3C7A84CE" w14:textId="77777777" w:rsidR="003F0EEA" w:rsidRDefault="003F0EEA">
            <w:pPr>
              <w:rPr>
                <w:rFonts w:ascii="Arial" w:eastAsia="Arial" w:hAnsi="Arial" w:cs="Arial"/>
                <w:color w:val="000000"/>
                <w:sz w:val="16"/>
              </w:rPr>
            </w:pP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4345A542" w14:textId="77777777" w:rsidR="003F0EEA" w:rsidRDefault="003F0EEA">
            <w:pPr>
              <w:rPr>
                <w:rFonts w:ascii="Arial" w:eastAsia="Arial" w:hAnsi="Arial" w:cs="Arial"/>
                <w:color w:val="000000"/>
                <w:sz w:val="16"/>
              </w:rPr>
            </w:pP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61E1A752" w14:textId="77777777" w:rsidR="003F0EEA" w:rsidRDefault="003F0EEA">
            <w:pPr>
              <w:rPr>
                <w:rFonts w:ascii="Arial" w:eastAsia="Arial" w:hAnsi="Arial" w:cs="Arial"/>
                <w:color w:val="000000"/>
                <w:sz w:val="16"/>
              </w:rPr>
            </w:pPr>
          </w:p>
        </w:tc>
      </w:tr>
      <w:tr w:rsidR="00724034" w14:paraId="1E2D9D19" w14:textId="77777777">
        <w:trPr>
          <w:trHeight w:hRule="exact" w:val="60"/>
        </w:trPr>
        <w:tc>
          <w:tcPr>
            <w:tcW w:w="180" w:type="dxa"/>
            <w:tcBorders>
              <w:top w:val="nil"/>
              <w:left w:val="nil"/>
              <w:bottom w:val="nil"/>
              <w:right w:val="nil"/>
              <w:tl2br w:val="nil"/>
              <w:tr2bl w:val="nil"/>
            </w:tcBorders>
            <w:shd w:val="clear" w:color="auto" w:fill="FFFFFF"/>
            <w:tcMar>
              <w:left w:w="101" w:type="dxa"/>
              <w:right w:w="101" w:type="dxa"/>
            </w:tcMar>
            <w:vAlign w:val="bottom"/>
          </w:tcPr>
          <w:p w14:paraId="3D84BEE8" w14:textId="77777777" w:rsidR="003F0EEA" w:rsidRDefault="003F0EEA">
            <w:pPr>
              <w:rPr>
                <w:rFonts w:ascii="Arial" w:eastAsia="Arial" w:hAnsi="Arial" w:cs="Arial"/>
                <w:color w:val="000000"/>
                <w:sz w:val="16"/>
              </w:rPr>
            </w:pPr>
          </w:p>
        </w:tc>
        <w:tc>
          <w:tcPr>
            <w:tcW w:w="180" w:type="dxa"/>
            <w:tcBorders>
              <w:top w:val="nil"/>
              <w:left w:val="nil"/>
              <w:bottom w:val="nil"/>
              <w:right w:val="nil"/>
              <w:tl2br w:val="nil"/>
              <w:tr2bl w:val="nil"/>
            </w:tcBorders>
            <w:shd w:val="clear" w:color="auto" w:fill="FFFFFF"/>
            <w:tcMar>
              <w:left w:w="101" w:type="dxa"/>
              <w:right w:w="101" w:type="dxa"/>
            </w:tcMar>
            <w:vAlign w:val="bottom"/>
          </w:tcPr>
          <w:p w14:paraId="289C9968" w14:textId="77777777" w:rsidR="003F0EEA" w:rsidRDefault="003F0EEA">
            <w:pPr>
              <w:rPr>
                <w:rFonts w:ascii="Arial" w:eastAsia="Arial" w:hAnsi="Arial" w:cs="Arial"/>
                <w:color w:val="000000"/>
                <w:sz w:val="16"/>
              </w:rPr>
            </w:pPr>
          </w:p>
        </w:tc>
        <w:tc>
          <w:tcPr>
            <w:tcW w:w="2700" w:type="dxa"/>
            <w:tcBorders>
              <w:top w:val="nil"/>
              <w:left w:val="nil"/>
              <w:bottom w:val="nil"/>
              <w:right w:val="nil"/>
              <w:tl2br w:val="nil"/>
              <w:tr2bl w:val="nil"/>
            </w:tcBorders>
            <w:shd w:val="clear" w:color="auto" w:fill="FFFFFF"/>
            <w:tcMar>
              <w:left w:w="101" w:type="dxa"/>
              <w:right w:w="101" w:type="dxa"/>
            </w:tcMar>
            <w:vAlign w:val="bottom"/>
          </w:tcPr>
          <w:p w14:paraId="1AB5FD6E" w14:textId="77777777" w:rsidR="003F0EEA" w:rsidRDefault="003F0EEA">
            <w:pPr>
              <w:rPr>
                <w:rFonts w:ascii="Arial" w:eastAsia="Arial" w:hAnsi="Arial" w:cs="Arial"/>
                <w:color w:val="000000"/>
                <w:sz w:val="16"/>
              </w:rPr>
            </w:pP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52C825D9" w14:textId="77777777" w:rsidR="003F0EEA" w:rsidRDefault="003F0EEA">
            <w:pPr>
              <w:rPr>
                <w:rFonts w:ascii="Arial" w:eastAsia="Arial" w:hAnsi="Arial" w:cs="Arial"/>
                <w:b/>
                <w:i/>
                <w:color w:val="000000"/>
                <w:sz w:val="16"/>
              </w:rPr>
            </w:pPr>
          </w:p>
        </w:tc>
        <w:tc>
          <w:tcPr>
            <w:tcW w:w="915" w:type="dxa"/>
            <w:tcBorders>
              <w:top w:val="nil"/>
              <w:left w:val="nil"/>
              <w:bottom w:val="nil"/>
              <w:right w:val="nil"/>
              <w:tl2br w:val="nil"/>
              <w:tr2bl w:val="nil"/>
            </w:tcBorders>
            <w:shd w:val="clear" w:color="auto" w:fill="FFFF00"/>
            <w:tcMar>
              <w:left w:w="101" w:type="dxa"/>
              <w:right w:w="101" w:type="dxa"/>
            </w:tcMar>
            <w:vAlign w:val="bottom"/>
          </w:tcPr>
          <w:p w14:paraId="6360DB35" w14:textId="77777777" w:rsidR="003F0EEA" w:rsidRDefault="003F0EEA">
            <w:pPr>
              <w:rPr>
                <w:rFonts w:ascii="Arial" w:eastAsia="Arial" w:hAnsi="Arial" w:cs="Arial"/>
                <w:color w:val="000000"/>
                <w:sz w:val="16"/>
              </w:rPr>
            </w:pP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15C6773E" w14:textId="77777777" w:rsidR="003F0EEA" w:rsidRDefault="003F0EEA">
            <w:pPr>
              <w:rPr>
                <w:rFonts w:ascii="Arial" w:eastAsia="Arial" w:hAnsi="Arial" w:cs="Arial"/>
                <w:color w:val="000000"/>
                <w:sz w:val="16"/>
              </w:rPr>
            </w:pP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79D94A14" w14:textId="77777777" w:rsidR="003F0EEA" w:rsidRDefault="003F0EEA">
            <w:pPr>
              <w:rPr>
                <w:rFonts w:ascii="Arial" w:eastAsia="Arial" w:hAnsi="Arial" w:cs="Arial"/>
                <w:color w:val="000000"/>
                <w:sz w:val="16"/>
              </w:rPr>
            </w:pP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1FFBE930" w14:textId="77777777" w:rsidR="003F0EEA" w:rsidRDefault="003F0EEA">
            <w:pPr>
              <w:rPr>
                <w:rFonts w:ascii="Arial" w:eastAsia="Arial" w:hAnsi="Arial" w:cs="Arial"/>
                <w:color w:val="000000"/>
                <w:sz w:val="16"/>
              </w:rPr>
            </w:pPr>
          </w:p>
        </w:tc>
      </w:tr>
      <w:tr w:rsidR="00FB7D0B" w14:paraId="4E2F09CE" w14:textId="77777777" w:rsidTr="00FB7D0B">
        <w:trPr>
          <w:trHeight w:val="225"/>
        </w:trPr>
        <w:tc>
          <w:tcPr>
            <w:tcW w:w="3060" w:type="dxa"/>
            <w:gridSpan w:val="3"/>
            <w:tcBorders>
              <w:top w:val="nil"/>
              <w:left w:val="nil"/>
              <w:bottom w:val="nil"/>
              <w:right w:val="nil"/>
              <w:tl2br w:val="nil"/>
              <w:tr2bl w:val="nil"/>
            </w:tcBorders>
            <w:shd w:val="clear" w:color="auto" w:fill="FFFFFF"/>
            <w:tcMar>
              <w:left w:w="101" w:type="dxa"/>
              <w:right w:w="101" w:type="dxa"/>
            </w:tcMar>
            <w:vAlign w:val="bottom"/>
          </w:tcPr>
          <w:p w14:paraId="56F08692" w14:textId="77777777" w:rsidR="003F0EEA" w:rsidRDefault="00FB7D0B">
            <w:pPr>
              <w:rPr>
                <w:rFonts w:ascii="Arial" w:eastAsia="Arial" w:hAnsi="Arial" w:cs="Arial"/>
                <w:color w:val="000000"/>
                <w:sz w:val="16"/>
              </w:rPr>
            </w:pPr>
            <w:r>
              <w:rPr>
                <w:rFonts w:ascii="Arial" w:eastAsia="Arial" w:hAnsi="Arial" w:cs="Arial"/>
                <w:b/>
                <w:color w:val="000000"/>
                <w:sz w:val="16"/>
              </w:rPr>
              <w:t>Cash used</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64677B9C" w14:textId="77777777" w:rsidR="003F0EEA" w:rsidRDefault="003F0EEA">
            <w:pPr>
              <w:rPr>
                <w:rFonts w:ascii="Arial" w:eastAsia="Arial" w:hAnsi="Arial" w:cs="Arial"/>
                <w:b/>
                <w:color w:val="000000"/>
                <w:sz w:val="16"/>
              </w:rPr>
            </w:pPr>
          </w:p>
        </w:tc>
        <w:tc>
          <w:tcPr>
            <w:tcW w:w="915" w:type="dxa"/>
            <w:tcBorders>
              <w:top w:val="nil"/>
              <w:left w:val="nil"/>
              <w:bottom w:val="nil"/>
              <w:right w:val="nil"/>
              <w:tl2br w:val="nil"/>
              <w:tr2bl w:val="nil"/>
            </w:tcBorders>
            <w:shd w:val="clear" w:color="auto" w:fill="FFFF00"/>
            <w:tcMar>
              <w:left w:w="101" w:type="dxa"/>
              <w:right w:w="101" w:type="dxa"/>
            </w:tcMar>
            <w:vAlign w:val="bottom"/>
          </w:tcPr>
          <w:p w14:paraId="70FDF113" w14:textId="77777777" w:rsidR="003F0EEA" w:rsidRDefault="003F0EEA">
            <w:pPr>
              <w:rPr>
                <w:rFonts w:ascii="Arial" w:eastAsia="Arial" w:hAnsi="Arial" w:cs="Arial"/>
                <w:color w:val="000000"/>
                <w:sz w:val="16"/>
              </w:rPr>
            </w:pP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59166B33" w14:textId="77777777" w:rsidR="003F0EEA" w:rsidRDefault="003F0EEA">
            <w:pPr>
              <w:rPr>
                <w:rFonts w:ascii="Arial" w:eastAsia="Arial" w:hAnsi="Arial" w:cs="Arial"/>
                <w:color w:val="000000"/>
                <w:sz w:val="16"/>
              </w:rPr>
            </w:pP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4C1B62C3" w14:textId="77777777" w:rsidR="003F0EEA" w:rsidRDefault="003F0EEA">
            <w:pPr>
              <w:rPr>
                <w:rFonts w:ascii="Arial" w:eastAsia="Arial" w:hAnsi="Arial" w:cs="Arial"/>
                <w:color w:val="000000"/>
                <w:sz w:val="16"/>
              </w:rPr>
            </w:pP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51A8A782" w14:textId="77777777" w:rsidR="003F0EEA" w:rsidRDefault="003F0EEA">
            <w:pPr>
              <w:rPr>
                <w:rFonts w:ascii="Arial" w:eastAsia="Arial" w:hAnsi="Arial" w:cs="Arial"/>
                <w:color w:val="000000"/>
                <w:sz w:val="16"/>
              </w:rPr>
            </w:pPr>
          </w:p>
        </w:tc>
      </w:tr>
      <w:tr w:rsidR="00FB7D0B" w14:paraId="7E241BBD" w14:textId="77777777" w:rsidTr="00FB7D0B">
        <w:trPr>
          <w:trHeight w:val="225"/>
        </w:trPr>
        <w:tc>
          <w:tcPr>
            <w:tcW w:w="180" w:type="dxa"/>
            <w:tcBorders>
              <w:top w:val="nil"/>
              <w:left w:val="nil"/>
              <w:bottom w:val="nil"/>
              <w:right w:val="nil"/>
              <w:tl2br w:val="nil"/>
              <w:tr2bl w:val="nil"/>
            </w:tcBorders>
            <w:shd w:val="clear" w:color="auto" w:fill="FFFFFF"/>
            <w:tcMar>
              <w:left w:w="101" w:type="dxa"/>
              <w:right w:w="101" w:type="dxa"/>
            </w:tcMar>
            <w:vAlign w:val="bottom"/>
          </w:tcPr>
          <w:p w14:paraId="7D980D08" w14:textId="77777777" w:rsidR="003F0EEA" w:rsidRDefault="003F0EEA">
            <w:pPr>
              <w:rPr>
                <w:rFonts w:ascii="Arial" w:eastAsia="Arial" w:hAnsi="Arial" w:cs="Arial"/>
                <w:color w:val="000000"/>
                <w:sz w:val="16"/>
              </w:rPr>
            </w:pPr>
          </w:p>
        </w:tc>
        <w:tc>
          <w:tcPr>
            <w:tcW w:w="2880" w:type="dxa"/>
            <w:gridSpan w:val="2"/>
            <w:tcBorders>
              <w:top w:val="nil"/>
              <w:left w:val="nil"/>
              <w:bottom w:val="nil"/>
              <w:right w:val="nil"/>
              <w:tl2br w:val="nil"/>
              <w:tr2bl w:val="nil"/>
            </w:tcBorders>
            <w:shd w:val="clear" w:color="auto" w:fill="FFFFFF"/>
            <w:tcMar>
              <w:left w:w="101" w:type="dxa"/>
              <w:right w:w="101" w:type="dxa"/>
            </w:tcMar>
            <w:vAlign w:val="bottom"/>
          </w:tcPr>
          <w:p w14:paraId="4D38ED02" w14:textId="77777777" w:rsidR="003F0EEA" w:rsidRDefault="00FB7D0B">
            <w:pPr>
              <w:rPr>
                <w:rFonts w:ascii="Arial" w:eastAsia="Arial" w:hAnsi="Arial" w:cs="Arial"/>
                <w:color w:val="000000"/>
                <w:sz w:val="16"/>
              </w:rPr>
            </w:pPr>
            <w:r>
              <w:rPr>
                <w:rFonts w:ascii="Arial" w:eastAsia="Arial" w:hAnsi="Arial" w:cs="Arial"/>
                <w:color w:val="000000"/>
                <w:sz w:val="16"/>
              </w:rPr>
              <w:t xml:space="preserve">Purchase of property, plant </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1BE93E5F" w14:textId="77777777" w:rsidR="003F0EEA" w:rsidRDefault="003F0EEA">
            <w:pPr>
              <w:rPr>
                <w:rFonts w:ascii="Arial" w:eastAsia="Arial" w:hAnsi="Arial" w:cs="Arial"/>
                <w:color w:val="000000"/>
                <w:sz w:val="16"/>
              </w:rPr>
            </w:pPr>
          </w:p>
        </w:tc>
        <w:tc>
          <w:tcPr>
            <w:tcW w:w="915" w:type="dxa"/>
            <w:tcBorders>
              <w:top w:val="nil"/>
              <w:left w:val="nil"/>
              <w:bottom w:val="nil"/>
              <w:right w:val="nil"/>
              <w:tl2br w:val="nil"/>
              <w:tr2bl w:val="nil"/>
            </w:tcBorders>
            <w:shd w:val="clear" w:color="auto" w:fill="FFFF00"/>
            <w:tcMar>
              <w:left w:w="101" w:type="dxa"/>
              <w:right w:w="101" w:type="dxa"/>
            </w:tcMar>
            <w:vAlign w:val="bottom"/>
          </w:tcPr>
          <w:p w14:paraId="5E0A716A" w14:textId="77777777" w:rsidR="003F0EEA" w:rsidRDefault="003F0EEA">
            <w:pPr>
              <w:rPr>
                <w:rFonts w:ascii="Arial" w:eastAsia="Arial" w:hAnsi="Arial" w:cs="Arial"/>
                <w:color w:val="000000"/>
                <w:sz w:val="16"/>
              </w:rPr>
            </w:pP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51ADE478" w14:textId="77777777" w:rsidR="003F0EEA" w:rsidRDefault="003F0EEA">
            <w:pPr>
              <w:rPr>
                <w:rFonts w:ascii="Arial" w:eastAsia="Arial" w:hAnsi="Arial" w:cs="Arial"/>
                <w:color w:val="000000"/>
                <w:sz w:val="16"/>
              </w:rPr>
            </w:pP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1722BE31" w14:textId="77777777" w:rsidR="003F0EEA" w:rsidRDefault="003F0EEA">
            <w:pPr>
              <w:rPr>
                <w:rFonts w:ascii="Arial" w:eastAsia="Arial" w:hAnsi="Arial" w:cs="Arial"/>
                <w:color w:val="000000"/>
                <w:sz w:val="16"/>
              </w:rPr>
            </w:pP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2AE7152D" w14:textId="77777777" w:rsidR="003F0EEA" w:rsidRDefault="003F0EEA">
            <w:pPr>
              <w:rPr>
                <w:rFonts w:ascii="Arial" w:eastAsia="Arial" w:hAnsi="Arial" w:cs="Arial"/>
                <w:color w:val="000000"/>
                <w:sz w:val="16"/>
              </w:rPr>
            </w:pPr>
          </w:p>
        </w:tc>
      </w:tr>
      <w:tr w:rsidR="00724034" w14:paraId="16193E71" w14:textId="77777777">
        <w:trPr>
          <w:trHeight w:val="225"/>
        </w:trPr>
        <w:tc>
          <w:tcPr>
            <w:tcW w:w="180" w:type="dxa"/>
            <w:tcBorders>
              <w:top w:val="nil"/>
              <w:left w:val="nil"/>
              <w:bottom w:val="nil"/>
              <w:right w:val="nil"/>
              <w:tl2br w:val="nil"/>
              <w:tr2bl w:val="nil"/>
            </w:tcBorders>
            <w:shd w:val="clear" w:color="auto" w:fill="FFFFFF"/>
            <w:tcMar>
              <w:left w:w="101" w:type="dxa"/>
              <w:right w:w="101" w:type="dxa"/>
            </w:tcMar>
            <w:vAlign w:val="bottom"/>
          </w:tcPr>
          <w:p w14:paraId="4A490AEF" w14:textId="77777777" w:rsidR="003F0EEA" w:rsidRDefault="003F0EEA">
            <w:pPr>
              <w:rPr>
                <w:rFonts w:ascii="Arial" w:eastAsia="Arial" w:hAnsi="Arial" w:cs="Arial"/>
                <w:color w:val="000000"/>
                <w:sz w:val="16"/>
              </w:rPr>
            </w:pPr>
          </w:p>
        </w:tc>
        <w:tc>
          <w:tcPr>
            <w:tcW w:w="180" w:type="dxa"/>
            <w:tcBorders>
              <w:top w:val="nil"/>
              <w:left w:val="nil"/>
              <w:bottom w:val="nil"/>
              <w:right w:val="nil"/>
              <w:tl2br w:val="nil"/>
              <w:tr2bl w:val="nil"/>
            </w:tcBorders>
            <w:shd w:val="clear" w:color="auto" w:fill="FFFFFF"/>
            <w:tcMar>
              <w:left w:w="101" w:type="dxa"/>
              <w:right w:w="101" w:type="dxa"/>
            </w:tcMar>
            <w:vAlign w:val="bottom"/>
          </w:tcPr>
          <w:p w14:paraId="6F35549A" w14:textId="77777777" w:rsidR="003F0EEA" w:rsidRDefault="003F0EEA">
            <w:pPr>
              <w:rPr>
                <w:rFonts w:ascii="Arial" w:eastAsia="Arial" w:hAnsi="Arial" w:cs="Arial"/>
                <w:color w:val="000000"/>
                <w:sz w:val="16"/>
              </w:rPr>
            </w:pPr>
          </w:p>
        </w:tc>
        <w:tc>
          <w:tcPr>
            <w:tcW w:w="2700" w:type="dxa"/>
            <w:tcBorders>
              <w:top w:val="nil"/>
              <w:left w:val="nil"/>
              <w:bottom w:val="nil"/>
              <w:right w:val="nil"/>
              <w:tl2br w:val="nil"/>
              <w:tr2bl w:val="nil"/>
            </w:tcBorders>
            <w:shd w:val="clear" w:color="auto" w:fill="FFFFFF"/>
            <w:tcMar>
              <w:left w:w="101" w:type="dxa"/>
              <w:right w:w="101" w:type="dxa"/>
            </w:tcMar>
            <w:vAlign w:val="bottom"/>
          </w:tcPr>
          <w:p w14:paraId="6BFB99B8" w14:textId="77777777" w:rsidR="003F0EEA" w:rsidRDefault="00FB7D0B">
            <w:pPr>
              <w:rPr>
                <w:rFonts w:ascii="Arial" w:eastAsia="Arial" w:hAnsi="Arial" w:cs="Arial"/>
                <w:color w:val="000000"/>
                <w:sz w:val="16"/>
              </w:rPr>
            </w:pPr>
            <w:r>
              <w:rPr>
                <w:rFonts w:ascii="Arial" w:eastAsia="Arial" w:hAnsi="Arial" w:cs="Arial"/>
                <w:color w:val="000000"/>
                <w:sz w:val="16"/>
              </w:rPr>
              <w:t>and equipment</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2E4518C3" w14:textId="77777777" w:rsidR="003F0EEA" w:rsidRDefault="00FB7D0B">
            <w:pPr>
              <w:jc w:val="right"/>
              <w:rPr>
                <w:rFonts w:ascii="Arial" w:eastAsia="Arial" w:hAnsi="Arial" w:cs="Arial"/>
                <w:color w:val="000000"/>
                <w:sz w:val="16"/>
              </w:rPr>
            </w:pPr>
            <w:r>
              <w:rPr>
                <w:rFonts w:ascii="Arial" w:eastAsia="Arial" w:hAnsi="Arial" w:cs="Arial"/>
                <w:color w:val="000000"/>
                <w:sz w:val="16"/>
              </w:rPr>
              <w:t>30,350 </w:t>
            </w:r>
          </w:p>
        </w:tc>
        <w:tc>
          <w:tcPr>
            <w:tcW w:w="915" w:type="dxa"/>
            <w:tcBorders>
              <w:top w:val="nil"/>
              <w:left w:val="nil"/>
              <w:bottom w:val="nil"/>
              <w:right w:val="nil"/>
              <w:tl2br w:val="nil"/>
              <w:tr2bl w:val="nil"/>
            </w:tcBorders>
            <w:shd w:val="clear" w:color="auto" w:fill="FFFF00"/>
            <w:tcMar>
              <w:left w:w="101" w:type="dxa"/>
              <w:right w:w="101" w:type="dxa"/>
            </w:tcMar>
            <w:vAlign w:val="bottom"/>
          </w:tcPr>
          <w:p w14:paraId="2BD3C07D" w14:textId="77777777" w:rsidR="003F0EEA" w:rsidRDefault="00FB7D0B">
            <w:pPr>
              <w:jc w:val="right"/>
              <w:rPr>
                <w:rFonts w:ascii="Arial" w:eastAsia="Arial" w:hAnsi="Arial" w:cs="Arial"/>
                <w:color w:val="000000"/>
                <w:sz w:val="16"/>
              </w:rPr>
            </w:pPr>
            <w:r>
              <w:rPr>
                <w:rFonts w:ascii="Arial" w:eastAsia="Arial" w:hAnsi="Arial" w:cs="Arial"/>
                <w:color w:val="000000"/>
                <w:sz w:val="16"/>
              </w:rPr>
              <w:t>16,086 </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758C5878" w14:textId="77777777" w:rsidR="003F0EEA" w:rsidRDefault="00FB7D0B">
            <w:pPr>
              <w:jc w:val="right"/>
              <w:rPr>
                <w:rFonts w:ascii="Arial" w:eastAsia="Arial" w:hAnsi="Arial" w:cs="Arial"/>
                <w:color w:val="000000"/>
                <w:sz w:val="16"/>
              </w:rPr>
            </w:pPr>
            <w:r>
              <w:rPr>
                <w:rFonts w:ascii="Arial" w:eastAsia="Arial" w:hAnsi="Arial" w:cs="Arial"/>
                <w:color w:val="000000"/>
                <w:sz w:val="16"/>
              </w:rPr>
              <w:t>14,116 </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242AE45D" w14:textId="77777777" w:rsidR="003F0EEA" w:rsidRDefault="00FB7D0B">
            <w:pPr>
              <w:jc w:val="right"/>
              <w:rPr>
                <w:rFonts w:ascii="Arial" w:eastAsia="Arial" w:hAnsi="Arial" w:cs="Arial"/>
                <w:color w:val="000000"/>
                <w:sz w:val="16"/>
              </w:rPr>
            </w:pPr>
            <w:r>
              <w:rPr>
                <w:rFonts w:ascii="Arial" w:eastAsia="Arial" w:hAnsi="Arial" w:cs="Arial"/>
                <w:color w:val="000000"/>
                <w:sz w:val="16"/>
              </w:rPr>
              <w:t>13,373 </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1C878580" w14:textId="77777777" w:rsidR="003F0EEA" w:rsidRDefault="00FB7D0B">
            <w:pPr>
              <w:jc w:val="right"/>
              <w:rPr>
                <w:rFonts w:ascii="Arial" w:eastAsia="Arial" w:hAnsi="Arial" w:cs="Arial"/>
                <w:color w:val="000000"/>
                <w:sz w:val="16"/>
              </w:rPr>
            </w:pPr>
            <w:r>
              <w:rPr>
                <w:rFonts w:ascii="Arial" w:eastAsia="Arial" w:hAnsi="Arial" w:cs="Arial"/>
                <w:color w:val="000000"/>
                <w:sz w:val="16"/>
              </w:rPr>
              <w:t>14,036 </w:t>
            </w:r>
          </w:p>
        </w:tc>
      </w:tr>
      <w:tr w:rsidR="00FB7D0B" w14:paraId="541ADB26" w14:textId="77777777" w:rsidTr="00FB7D0B">
        <w:trPr>
          <w:trHeight w:val="225"/>
        </w:trPr>
        <w:tc>
          <w:tcPr>
            <w:tcW w:w="3060" w:type="dxa"/>
            <w:gridSpan w:val="3"/>
            <w:tcBorders>
              <w:top w:val="nil"/>
              <w:left w:val="nil"/>
              <w:bottom w:val="nil"/>
              <w:right w:val="nil"/>
              <w:tl2br w:val="nil"/>
              <w:tr2bl w:val="nil"/>
            </w:tcBorders>
            <w:shd w:val="clear" w:color="auto" w:fill="FFFFFF"/>
            <w:tcMar>
              <w:left w:w="101" w:type="dxa"/>
              <w:right w:w="101" w:type="dxa"/>
            </w:tcMar>
            <w:vAlign w:val="bottom"/>
          </w:tcPr>
          <w:p w14:paraId="617D3EB4" w14:textId="77777777" w:rsidR="003F0EEA" w:rsidRDefault="00FB7D0B">
            <w:pPr>
              <w:rPr>
                <w:rFonts w:ascii="Arial" w:eastAsia="Arial" w:hAnsi="Arial" w:cs="Arial"/>
                <w:color w:val="000000"/>
                <w:sz w:val="16"/>
              </w:rPr>
            </w:pPr>
            <w:r>
              <w:rPr>
                <w:rFonts w:ascii="Arial" w:eastAsia="Arial" w:hAnsi="Arial" w:cs="Arial"/>
                <w:b/>
                <w:i/>
                <w:color w:val="000000"/>
                <w:sz w:val="16"/>
              </w:rPr>
              <w:t>Total cash used</w:t>
            </w:r>
          </w:p>
        </w:tc>
        <w:tc>
          <w:tcPr>
            <w:tcW w:w="915"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1CDB6E70" w14:textId="77777777" w:rsidR="003F0EEA" w:rsidRDefault="00FB7D0B">
            <w:pPr>
              <w:jc w:val="right"/>
              <w:rPr>
                <w:rFonts w:ascii="Arial" w:eastAsia="Arial" w:hAnsi="Arial" w:cs="Arial"/>
                <w:b/>
                <w:i/>
                <w:color w:val="000000"/>
                <w:sz w:val="16"/>
              </w:rPr>
            </w:pPr>
            <w:r>
              <w:rPr>
                <w:rFonts w:ascii="Arial" w:eastAsia="Arial" w:hAnsi="Arial" w:cs="Arial"/>
                <w:b/>
                <w:color w:val="000000"/>
                <w:sz w:val="16"/>
              </w:rPr>
              <w:t>30,350 </w:t>
            </w:r>
          </w:p>
        </w:tc>
        <w:tc>
          <w:tcPr>
            <w:tcW w:w="915" w:type="dxa"/>
            <w:tcBorders>
              <w:top w:val="single" w:sz="6" w:space="0" w:color="000000"/>
              <w:left w:val="nil"/>
              <w:bottom w:val="single" w:sz="6" w:space="0" w:color="000000"/>
              <w:right w:val="nil"/>
              <w:tl2br w:val="nil"/>
              <w:tr2bl w:val="nil"/>
            </w:tcBorders>
            <w:shd w:val="clear" w:color="auto" w:fill="FFFF00"/>
            <w:tcMar>
              <w:left w:w="101" w:type="dxa"/>
              <w:right w:w="101" w:type="dxa"/>
            </w:tcMar>
            <w:vAlign w:val="bottom"/>
          </w:tcPr>
          <w:p w14:paraId="29287982" w14:textId="77777777" w:rsidR="003F0EEA" w:rsidRDefault="00FB7D0B">
            <w:pPr>
              <w:jc w:val="right"/>
              <w:rPr>
                <w:rFonts w:ascii="Arial" w:eastAsia="Arial" w:hAnsi="Arial" w:cs="Arial"/>
                <w:b/>
                <w:color w:val="000000"/>
                <w:sz w:val="16"/>
              </w:rPr>
            </w:pPr>
            <w:r>
              <w:rPr>
                <w:rFonts w:ascii="Arial" w:eastAsia="Arial" w:hAnsi="Arial" w:cs="Arial"/>
                <w:b/>
                <w:color w:val="000000"/>
                <w:sz w:val="16"/>
              </w:rPr>
              <w:t>16,086 </w:t>
            </w:r>
          </w:p>
        </w:tc>
        <w:tc>
          <w:tcPr>
            <w:tcW w:w="915"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10CA3A42" w14:textId="77777777" w:rsidR="003F0EEA" w:rsidRDefault="00FB7D0B">
            <w:pPr>
              <w:jc w:val="right"/>
              <w:rPr>
                <w:rFonts w:ascii="Arial" w:eastAsia="Arial" w:hAnsi="Arial" w:cs="Arial"/>
                <w:b/>
                <w:color w:val="000000"/>
                <w:sz w:val="16"/>
              </w:rPr>
            </w:pPr>
            <w:r>
              <w:rPr>
                <w:rFonts w:ascii="Arial" w:eastAsia="Arial" w:hAnsi="Arial" w:cs="Arial"/>
                <w:b/>
                <w:color w:val="000000"/>
                <w:sz w:val="16"/>
              </w:rPr>
              <w:t>14,116 </w:t>
            </w:r>
          </w:p>
        </w:tc>
        <w:tc>
          <w:tcPr>
            <w:tcW w:w="915"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3929BB23" w14:textId="77777777" w:rsidR="003F0EEA" w:rsidRDefault="00FB7D0B">
            <w:pPr>
              <w:jc w:val="right"/>
              <w:rPr>
                <w:rFonts w:ascii="Arial" w:eastAsia="Arial" w:hAnsi="Arial" w:cs="Arial"/>
                <w:b/>
                <w:color w:val="000000"/>
                <w:sz w:val="16"/>
              </w:rPr>
            </w:pPr>
            <w:r>
              <w:rPr>
                <w:rFonts w:ascii="Arial" w:eastAsia="Arial" w:hAnsi="Arial" w:cs="Arial"/>
                <w:b/>
                <w:color w:val="000000"/>
                <w:sz w:val="16"/>
              </w:rPr>
              <w:t>13,373 </w:t>
            </w:r>
          </w:p>
        </w:tc>
        <w:tc>
          <w:tcPr>
            <w:tcW w:w="915"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10FCFA4B" w14:textId="77777777" w:rsidR="003F0EEA" w:rsidRDefault="00FB7D0B">
            <w:pPr>
              <w:jc w:val="right"/>
              <w:rPr>
                <w:rFonts w:ascii="Arial" w:eastAsia="Arial" w:hAnsi="Arial" w:cs="Arial"/>
                <w:b/>
                <w:color w:val="000000"/>
                <w:sz w:val="16"/>
              </w:rPr>
            </w:pPr>
            <w:r>
              <w:rPr>
                <w:rFonts w:ascii="Arial" w:eastAsia="Arial" w:hAnsi="Arial" w:cs="Arial"/>
                <w:b/>
                <w:color w:val="000000"/>
                <w:sz w:val="16"/>
              </w:rPr>
              <w:t>14,036 </w:t>
            </w:r>
          </w:p>
        </w:tc>
      </w:tr>
      <w:tr w:rsidR="00FB7D0B" w14:paraId="1C4812EC" w14:textId="77777777" w:rsidTr="00FB7D0B">
        <w:trPr>
          <w:trHeight w:val="225"/>
        </w:trPr>
        <w:tc>
          <w:tcPr>
            <w:tcW w:w="3060" w:type="dxa"/>
            <w:gridSpan w:val="3"/>
            <w:tcBorders>
              <w:top w:val="nil"/>
              <w:left w:val="nil"/>
              <w:bottom w:val="nil"/>
              <w:right w:val="nil"/>
              <w:tl2br w:val="nil"/>
              <w:tr2bl w:val="nil"/>
            </w:tcBorders>
            <w:shd w:val="clear" w:color="auto" w:fill="FFFFFF"/>
            <w:tcMar>
              <w:left w:w="101" w:type="dxa"/>
              <w:right w:w="101" w:type="dxa"/>
            </w:tcMar>
            <w:vAlign w:val="bottom"/>
          </w:tcPr>
          <w:p w14:paraId="25561AB8" w14:textId="77777777" w:rsidR="003F0EEA" w:rsidRDefault="00FB7D0B">
            <w:pPr>
              <w:rPr>
                <w:rFonts w:ascii="Arial" w:eastAsia="Arial" w:hAnsi="Arial" w:cs="Arial"/>
                <w:b/>
                <w:color w:val="000000"/>
                <w:sz w:val="16"/>
              </w:rPr>
            </w:pPr>
            <w:r>
              <w:rPr>
                <w:rFonts w:ascii="Arial" w:eastAsia="Arial" w:hAnsi="Arial" w:cs="Arial"/>
                <w:b/>
                <w:color w:val="000000"/>
                <w:sz w:val="16"/>
              </w:rPr>
              <w:t xml:space="preserve">Net cash from (used by)  </w:t>
            </w:r>
          </w:p>
        </w:tc>
        <w:tc>
          <w:tcPr>
            <w:tcW w:w="915"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734BDD7B" w14:textId="77777777" w:rsidR="003F0EEA" w:rsidRDefault="003F0EEA">
            <w:pPr>
              <w:rPr>
                <w:rFonts w:ascii="Arial" w:eastAsia="Arial" w:hAnsi="Arial" w:cs="Arial"/>
                <w:b/>
                <w:color w:val="000000"/>
                <w:sz w:val="16"/>
              </w:rPr>
            </w:pPr>
          </w:p>
        </w:tc>
        <w:tc>
          <w:tcPr>
            <w:tcW w:w="915" w:type="dxa"/>
            <w:tcBorders>
              <w:top w:val="single" w:sz="6" w:space="0" w:color="000000"/>
              <w:left w:val="nil"/>
              <w:bottom w:val="single" w:sz="6" w:space="0" w:color="000000"/>
              <w:right w:val="nil"/>
              <w:tl2br w:val="nil"/>
              <w:tr2bl w:val="nil"/>
            </w:tcBorders>
            <w:shd w:val="clear" w:color="auto" w:fill="FFFF00"/>
            <w:tcMar>
              <w:left w:w="101" w:type="dxa"/>
              <w:right w:w="101" w:type="dxa"/>
            </w:tcMar>
            <w:vAlign w:val="bottom"/>
          </w:tcPr>
          <w:p w14:paraId="407CB351" w14:textId="77777777" w:rsidR="003F0EEA" w:rsidRDefault="003F0EEA">
            <w:pPr>
              <w:rPr>
                <w:rFonts w:ascii="Arial" w:eastAsia="Arial" w:hAnsi="Arial" w:cs="Arial"/>
                <w:b/>
                <w:color w:val="000000"/>
                <w:sz w:val="16"/>
              </w:rPr>
            </w:pPr>
          </w:p>
        </w:tc>
        <w:tc>
          <w:tcPr>
            <w:tcW w:w="915"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0AF7F92E" w14:textId="77777777" w:rsidR="003F0EEA" w:rsidRDefault="003F0EEA">
            <w:pPr>
              <w:rPr>
                <w:rFonts w:ascii="Arial" w:eastAsia="Arial" w:hAnsi="Arial" w:cs="Arial"/>
                <w:b/>
                <w:color w:val="000000"/>
                <w:sz w:val="16"/>
              </w:rPr>
            </w:pPr>
          </w:p>
        </w:tc>
        <w:tc>
          <w:tcPr>
            <w:tcW w:w="915"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661F0983" w14:textId="77777777" w:rsidR="003F0EEA" w:rsidRDefault="003F0EEA">
            <w:pPr>
              <w:rPr>
                <w:rFonts w:ascii="Arial" w:eastAsia="Arial" w:hAnsi="Arial" w:cs="Arial"/>
                <w:b/>
                <w:color w:val="000000"/>
                <w:sz w:val="16"/>
              </w:rPr>
            </w:pPr>
          </w:p>
        </w:tc>
        <w:tc>
          <w:tcPr>
            <w:tcW w:w="915"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4FBCE272" w14:textId="77777777" w:rsidR="003F0EEA" w:rsidRDefault="003F0EEA">
            <w:pPr>
              <w:rPr>
                <w:rFonts w:ascii="Arial" w:eastAsia="Arial" w:hAnsi="Arial" w:cs="Arial"/>
                <w:b/>
                <w:color w:val="000000"/>
                <w:sz w:val="16"/>
              </w:rPr>
            </w:pPr>
          </w:p>
        </w:tc>
      </w:tr>
      <w:tr w:rsidR="00FB7D0B" w14:paraId="4B465ADD" w14:textId="77777777" w:rsidTr="00FB7D0B">
        <w:trPr>
          <w:trHeight w:val="225"/>
        </w:trPr>
        <w:tc>
          <w:tcPr>
            <w:tcW w:w="180" w:type="dxa"/>
            <w:tcBorders>
              <w:top w:val="nil"/>
              <w:left w:val="nil"/>
              <w:bottom w:val="nil"/>
              <w:right w:val="nil"/>
              <w:tl2br w:val="nil"/>
              <w:tr2bl w:val="nil"/>
            </w:tcBorders>
            <w:shd w:val="clear" w:color="auto" w:fill="FFFFFF"/>
            <w:tcMar>
              <w:left w:w="101" w:type="dxa"/>
              <w:right w:w="101" w:type="dxa"/>
            </w:tcMar>
            <w:vAlign w:val="bottom"/>
          </w:tcPr>
          <w:p w14:paraId="140AA39B" w14:textId="77777777" w:rsidR="003F0EEA" w:rsidRDefault="003F0EEA">
            <w:pPr>
              <w:rPr>
                <w:rFonts w:ascii="Arial" w:eastAsia="Arial" w:hAnsi="Arial" w:cs="Arial"/>
                <w:b/>
                <w:color w:val="000000"/>
                <w:sz w:val="16"/>
              </w:rPr>
            </w:pPr>
          </w:p>
        </w:tc>
        <w:tc>
          <w:tcPr>
            <w:tcW w:w="2880" w:type="dxa"/>
            <w:gridSpan w:val="2"/>
            <w:vMerge w:val="restart"/>
            <w:tcBorders>
              <w:top w:val="nil"/>
              <w:left w:val="nil"/>
              <w:bottom w:val="nil"/>
              <w:right w:val="nil"/>
              <w:tl2br w:val="nil"/>
              <w:tr2bl w:val="nil"/>
            </w:tcBorders>
            <w:shd w:val="clear" w:color="auto" w:fill="FFFFFF"/>
            <w:tcMar>
              <w:left w:w="101" w:type="dxa"/>
              <w:right w:w="101" w:type="dxa"/>
            </w:tcMar>
            <w:vAlign w:val="bottom"/>
          </w:tcPr>
          <w:p w14:paraId="773329CD" w14:textId="77777777" w:rsidR="003F0EEA" w:rsidRDefault="00FB7D0B">
            <w:pPr>
              <w:rPr>
                <w:rFonts w:ascii="Arial" w:eastAsia="Arial" w:hAnsi="Arial" w:cs="Arial"/>
                <w:color w:val="000000"/>
                <w:sz w:val="16"/>
              </w:rPr>
            </w:pPr>
            <w:r>
              <w:rPr>
                <w:rFonts w:ascii="Arial" w:eastAsia="Arial" w:hAnsi="Arial" w:cs="Arial"/>
                <w:b/>
                <w:color w:val="000000"/>
                <w:sz w:val="16"/>
              </w:rPr>
              <w:t>investing activities</w:t>
            </w:r>
          </w:p>
        </w:tc>
        <w:tc>
          <w:tcPr>
            <w:tcW w:w="915"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00D79C08" w14:textId="77777777" w:rsidR="003F0EEA" w:rsidRDefault="00FB7D0B">
            <w:pPr>
              <w:jc w:val="right"/>
              <w:rPr>
                <w:rFonts w:ascii="Arial" w:eastAsia="Arial" w:hAnsi="Arial" w:cs="Arial"/>
                <w:b/>
                <w:color w:val="000000"/>
                <w:sz w:val="16"/>
              </w:rPr>
            </w:pPr>
            <w:r>
              <w:rPr>
                <w:rFonts w:ascii="Arial" w:eastAsia="Arial" w:hAnsi="Arial" w:cs="Arial"/>
                <w:b/>
                <w:color w:val="000000"/>
                <w:sz w:val="16"/>
              </w:rPr>
              <w:t>(30,350)</w:t>
            </w:r>
          </w:p>
        </w:tc>
        <w:tc>
          <w:tcPr>
            <w:tcW w:w="915" w:type="dxa"/>
            <w:tcBorders>
              <w:top w:val="single" w:sz="6" w:space="0" w:color="000000"/>
              <w:left w:val="nil"/>
              <w:bottom w:val="single" w:sz="6" w:space="0" w:color="000000"/>
              <w:right w:val="nil"/>
              <w:tl2br w:val="nil"/>
              <w:tr2bl w:val="nil"/>
            </w:tcBorders>
            <w:shd w:val="clear" w:color="auto" w:fill="FFFF00"/>
            <w:tcMar>
              <w:left w:w="101" w:type="dxa"/>
              <w:right w:w="101" w:type="dxa"/>
            </w:tcMar>
            <w:vAlign w:val="bottom"/>
          </w:tcPr>
          <w:p w14:paraId="6A898A70" w14:textId="77777777" w:rsidR="003F0EEA" w:rsidRDefault="00FB7D0B">
            <w:pPr>
              <w:jc w:val="right"/>
              <w:rPr>
                <w:rFonts w:ascii="Arial" w:eastAsia="Arial" w:hAnsi="Arial" w:cs="Arial"/>
                <w:b/>
                <w:color w:val="000000"/>
                <w:sz w:val="16"/>
              </w:rPr>
            </w:pPr>
            <w:r>
              <w:rPr>
                <w:rFonts w:ascii="Arial" w:eastAsia="Arial" w:hAnsi="Arial" w:cs="Arial"/>
                <w:b/>
                <w:color w:val="000000"/>
                <w:sz w:val="16"/>
              </w:rPr>
              <w:t>(16,086)</w:t>
            </w:r>
          </w:p>
        </w:tc>
        <w:tc>
          <w:tcPr>
            <w:tcW w:w="915"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3990D8FC" w14:textId="77777777" w:rsidR="003F0EEA" w:rsidRDefault="00FB7D0B">
            <w:pPr>
              <w:jc w:val="right"/>
              <w:rPr>
                <w:rFonts w:ascii="Arial" w:eastAsia="Arial" w:hAnsi="Arial" w:cs="Arial"/>
                <w:b/>
                <w:color w:val="000000"/>
                <w:sz w:val="16"/>
              </w:rPr>
            </w:pPr>
            <w:r>
              <w:rPr>
                <w:rFonts w:ascii="Arial" w:eastAsia="Arial" w:hAnsi="Arial" w:cs="Arial"/>
                <w:b/>
                <w:color w:val="000000"/>
                <w:sz w:val="16"/>
              </w:rPr>
              <w:t>(14,116)</w:t>
            </w:r>
          </w:p>
        </w:tc>
        <w:tc>
          <w:tcPr>
            <w:tcW w:w="915"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04E108E0" w14:textId="77777777" w:rsidR="003F0EEA" w:rsidRDefault="00FB7D0B">
            <w:pPr>
              <w:jc w:val="right"/>
              <w:rPr>
                <w:rFonts w:ascii="Arial" w:eastAsia="Arial" w:hAnsi="Arial" w:cs="Arial"/>
                <w:b/>
                <w:color w:val="000000"/>
                <w:sz w:val="16"/>
              </w:rPr>
            </w:pPr>
            <w:r>
              <w:rPr>
                <w:rFonts w:ascii="Arial" w:eastAsia="Arial" w:hAnsi="Arial" w:cs="Arial"/>
                <w:b/>
                <w:color w:val="000000"/>
                <w:sz w:val="16"/>
              </w:rPr>
              <w:t>(13,373)</w:t>
            </w:r>
          </w:p>
        </w:tc>
        <w:tc>
          <w:tcPr>
            <w:tcW w:w="915"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481E3E3C" w14:textId="77777777" w:rsidR="003F0EEA" w:rsidRDefault="00FB7D0B">
            <w:pPr>
              <w:jc w:val="right"/>
              <w:rPr>
                <w:rFonts w:ascii="Arial" w:eastAsia="Arial" w:hAnsi="Arial" w:cs="Arial"/>
                <w:b/>
                <w:color w:val="000000"/>
                <w:sz w:val="16"/>
              </w:rPr>
            </w:pPr>
            <w:r>
              <w:rPr>
                <w:rFonts w:ascii="Arial" w:eastAsia="Arial" w:hAnsi="Arial" w:cs="Arial"/>
                <w:b/>
                <w:color w:val="000000"/>
                <w:sz w:val="16"/>
              </w:rPr>
              <w:t>(14,036)</w:t>
            </w:r>
          </w:p>
        </w:tc>
      </w:tr>
      <w:tr w:rsidR="00FB7D0B" w14:paraId="54237AD3" w14:textId="77777777" w:rsidTr="00FB7D0B">
        <w:trPr>
          <w:trHeight w:val="225"/>
        </w:trPr>
        <w:tc>
          <w:tcPr>
            <w:tcW w:w="3060" w:type="dxa"/>
            <w:gridSpan w:val="3"/>
            <w:tcBorders>
              <w:top w:val="nil"/>
              <w:left w:val="nil"/>
              <w:bottom w:val="nil"/>
              <w:right w:val="nil"/>
              <w:tl2br w:val="nil"/>
              <w:tr2bl w:val="nil"/>
            </w:tcBorders>
            <w:shd w:val="clear" w:color="auto" w:fill="FFFFFF"/>
            <w:tcMar>
              <w:left w:w="101" w:type="dxa"/>
              <w:right w:w="101" w:type="dxa"/>
            </w:tcMar>
            <w:vAlign w:val="bottom"/>
          </w:tcPr>
          <w:p w14:paraId="6518ACAB" w14:textId="77777777" w:rsidR="003F0EEA" w:rsidRDefault="00FB7D0B">
            <w:pPr>
              <w:rPr>
                <w:rFonts w:ascii="Arial" w:eastAsia="Arial" w:hAnsi="Arial" w:cs="Arial"/>
                <w:b/>
                <w:color w:val="000000"/>
                <w:sz w:val="16"/>
              </w:rPr>
            </w:pPr>
            <w:r>
              <w:rPr>
                <w:rFonts w:ascii="Arial" w:eastAsia="Arial" w:hAnsi="Arial" w:cs="Arial"/>
                <w:b/>
                <w:color w:val="000000"/>
                <w:sz w:val="16"/>
              </w:rPr>
              <w:t>FINANCING ACTIVITIES</w:t>
            </w:r>
          </w:p>
        </w:tc>
        <w:tc>
          <w:tcPr>
            <w:tcW w:w="91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7EA51AE5" w14:textId="77777777" w:rsidR="003F0EEA" w:rsidRDefault="003F0EEA">
            <w:pPr>
              <w:rPr>
                <w:rFonts w:ascii="Arial" w:eastAsia="Arial" w:hAnsi="Arial" w:cs="Arial"/>
                <w:b/>
                <w:color w:val="000000"/>
                <w:sz w:val="16"/>
              </w:rPr>
            </w:pPr>
          </w:p>
        </w:tc>
        <w:tc>
          <w:tcPr>
            <w:tcW w:w="915" w:type="dxa"/>
            <w:tcBorders>
              <w:top w:val="single" w:sz="6" w:space="0" w:color="000000"/>
              <w:left w:val="nil"/>
              <w:bottom w:val="nil"/>
              <w:right w:val="nil"/>
              <w:tl2br w:val="nil"/>
              <w:tr2bl w:val="nil"/>
            </w:tcBorders>
            <w:shd w:val="clear" w:color="auto" w:fill="FFFF00"/>
            <w:tcMar>
              <w:left w:w="101" w:type="dxa"/>
              <w:right w:w="101" w:type="dxa"/>
            </w:tcMar>
            <w:vAlign w:val="bottom"/>
          </w:tcPr>
          <w:p w14:paraId="1F05D049" w14:textId="77777777" w:rsidR="003F0EEA" w:rsidRDefault="003F0EEA">
            <w:pPr>
              <w:rPr>
                <w:rFonts w:ascii="Arial" w:eastAsia="Arial" w:hAnsi="Arial" w:cs="Arial"/>
                <w:color w:val="000000"/>
                <w:sz w:val="16"/>
              </w:rPr>
            </w:pPr>
          </w:p>
        </w:tc>
        <w:tc>
          <w:tcPr>
            <w:tcW w:w="91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3D143532" w14:textId="77777777" w:rsidR="003F0EEA" w:rsidRDefault="003F0EEA">
            <w:pPr>
              <w:rPr>
                <w:rFonts w:ascii="Arial" w:eastAsia="Arial" w:hAnsi="Arial" w:cs="Arial"/>
                <w:color w:val="000000"/>
                <w:sz w:val="16"/>
              </w:rPr>
            </w:pPr>
          </w:p>
        </w:tc>
        <w:tc>
          <w:tcPr>
            <w:tcW w:w="91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4B498D3D" w14:textId="77777777" w:rsidR="003F0EEA" w:rsidRDefault="003F0EEA">
            <w:pPr>
              <w:rPr>
                <w:rFonts w:ascii="Arial" w:eastAsia="Arial" w:hAnsi="Arial" w:cs="Arial"/>
                <w:color w:val="000000"/>
                <w:sz w:val="16"/>
              </w:rPr>
            </w:pPr>
          </w:p>
        </w:tc>
        <w:tc>
          <w:tcPr>
            <w:tcW w:w="91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5FBC4156" w14:textId="77777777" w:rsidR="003F0EEA" w:rsidRDefault="003F0EEA">
            <w:pPr>
              <w:rPr>
                <w:rFonts w:ascii="Arial" w:eastAsia="Arial" w:hAnsi="Arial" w:cs="Arial"/>
                <w:color w:val="000000"/>
                <w:sz w:val="16"/>
              </w:rPr>
            </w:pPr>
          </w:p>
        </w:tc>
      </w:tr>
      <w:tr w:rsidR="00FB7D0B" w14:paraId="1CB3BE0C" w14:textId="77777777" w:rsidTr="00FB7D0B">
        <w:trPr>
          <w:trHeight w:val="225"/>
        </w:trPr>
        <w:tc>
          <w:tcPr>
            <w:tcW w:w="3060" w:type="dxa"/>
            <w:gridSpan w:val="3"/>
            <w:tcBorders>
              <w:top w:val="nil"/>
              <w:left w:val="nil"/>
              <w:bottom w:val="nil"/>
              <w:right w:val="nil"/>
              <w:tl2br w:val="nil"/>
              <w:tr2bl w:val="nil"/>
            </w:tcBorders>
            <w:shd w:val="clear" w:color="auto" w:fill="FFFFFF"/>
            <w:tcMar>
              <w:left w:w="101" w:type="dxa"/>
              <w:right w:w="101" w:type="dxa"/>
            </w:tcMar>
            <w:vAlign w:val="bottom"/>
          </w:tcPr>
          <w:p w14:paraId="702BD0C8" w14:textId="77777777" w:rsidR="003F0EEA" w:rsidRDefault="00FB7D0B">
            <w:pPr>
              <w:rPr>
                <w:rFonts w:ascii="Arial" w:eastAsia="Arial" w:hAnsi="Arial" w:cs="Arial"/>
                <w:color w:val="000000"/>
                <w:sz w:val="16"/>
              </w:rPr>
            </w:pPr>
            <w:r>
              <w:rPr>
                <w:rFonts w:ascii="Arial" w:eastAsia="Arial" w:hAnsi="Arial" w:cs="Arial"/>
                <w:b/>
                <w:color w:val="000000"/>
                <w:sz w:val="16"/>
              </w:rPr>
              <w:t>Cash received</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5BF58A95" w14:textId="77777777" w:rsidR="003F0EEA" w:rsidRDefault="003F0EEA">
            <w:pPr>
              <w:rPr>
                <w:rFonts w:ascii="Arial" w:eastAsia="Arial" w:hAnsi="Arial" w:cs="Arial"/>
                <w:b/>
                <w:color w:val="000000"/>
                <w:sz w:val="16"/>
              </w:rPr>
            </w:pPr>
          </w:p>
        </w:tc>
        <w:tc>
          <w:tcPr>
            <w:tcW w:w="915" w:type="dxa"/>
            <w:tcBorders>
              <w:top w:val="nil"/>
              <w:left w:val="nil"/>
              <w:bottom w:val="nil"/>
              <w:right w:val="nil"/>
              <w:tl2br w:val="nil"/>
              <w:tr2bl w:val="nil"/>
            </w:tcBorders>
            <w:shd w:val="clear" w:color="auto" w:fill="FFFF00"/>
            <w:tcMar>
              <w:left w:w="101" w:type="dxa"/>
              <w:right w:w="101" w:type="dxa"/>
            </w:tcMar>
            <w:vAlign w:val="bottom"/>
          </w:tcPr>
          <w:p w14:paraId="75D24EC4" w14:textId="77777777" w:rsidR="003F0EEA" w:rsidRDefault="003F0EEA">
            <w:pPr>
              <w:rPr>
                <w:rFonts w:ascii="Arial" w:eastAsia="Arial" w:hAnsi="Arial" w:cs="Arial"/>
                <w:color w:val="000000"/>
                <w:sz w:val="16"/>
              </w:rPr>
            </w:pP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2024B0D6" w14:textId="77777777" w:rsidR="003F0EEA" w:rsidRDefault="003F0EEA">
            <w:pPr>
              <w:rPr>
                <w:rFonts w:ascii="Arial" w:eastAsia="Arial" w:hAnsi="Arial" w:cs="Arial"/>
                <w:color w:val="000000"/>
                <w:sz w:val="16"/>
              </w:rPr>
            </w:pP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3AA0D07E" w14:textId="77777777" w:rsidR="003F0EEA" w:rsidRDefault="003F0EEA">
            <w:pPr>
              <w:rPr>
                <w:rFonts w:ascii="Arial" w:eastAsia="Arial" w:hAnsi="Arial" w:cs="Arial"/>
                <w:color w:val="000000"/>
                <w:sz w:val="16"/>
              </w:rPr>
            </w:pP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466B47F1" w14:textId="77777777" w:rsidR="003F0EEA" w:rsidRDefault="003F0EEA">
            <w:pPr>
              <w:rPr>
                <w:rFonts w:ascii="Arial" w:eastAsia="Arial" w:hAnsi="Arial" w:cs="Arial"/>
                <w:color w:val="000000"/>
                <w:sz w:val="16"/>
              </w:rPr>
            </w:pPr>
          </w:p>
        </w:tc>
      </w:tr>
      <w:tr w:rsidR="00FB7D0B" w14:paraId="5620A53E" w14:textId="77777777" w:rsidTr="00FB7D0B">
        <w:trPr>
          <w:trHeight w:val="225"/>
        </w:trPr>
        <w:tc>
          <w:tcPr>
            <w:tcW w:w="180" w:type="dxa"/>
            <w:tcBorders>
              <w:top w:val="nil"/>
              <w:left w:val="nil"/>
              <w:bottom w:val="nil"/>
              <w:right w:val="nil"/>
              <w:tl2br w:val="nil"/>
              <w:tr2bl w:val="nil"/>
            </w:tcBorders>
            <w:shd w:val="clear" w:color="auto" w:fill="FFFFFF"/>
            <w:tcMar>
              <w:left w:w="101" w:type="dxa"/>
              <w:right w:w="101" w:type="dxa"/>
            </w:tcMar>
            <w:vAlign w:val="bottom"/>
          </w:tcPr>
          <w:p w14:paraId="368E8F80" w14:textId="77777777" w:rsidR="003F0EEA" w:rsidRDefault="003F0EEA">
            <w:pPr>
              <w:rPr>
                <w:rFonts w:ascii="Arial" w:eastAsia="Arial" w:hAnsi="Arial" w:cs="Arial"/>
                <w:color w:val="000000"/>
                <w:sz w:val="16"/>
              </w:rPr>
            </w:pPr>
          </w:p>
        </w:tc>
        <w:tc>
          <w:tcPr>
            <w:tcW w:w="2880" w:type="dxa"/>
            <w:gridSpan w:val="2"/>
            <w:vMerge w:val="restart"/>
            <w:tcBorders>
              <w:top w:val="nil"/>
              <w:left w:val="nil"/>
              <w:bottom w:val="nil"/>
              <w:right w:val="nil"/>
              <w:tl2br w:val="nil"/>
              <w:tr2bl w:val="nil"/>
            </w:tcBorders>
            <w:shd w:val="clear" w:color="auto" w:fill="FFFFFF"/>
            <w:tcMar>
              <w:left w:w="101" w:type="dxa"/>
              <w:right w:w="101" w:type="dxa"/>
            </w:tcMar>
            <w:vAlign w:val="bottom"/>
          </w:tcPr>
          <w:p w14:paraId="162403BC" w14:textId="77777777" w:rsidR="003F0EEA" w:rsidRDefault="00FB7D0B">
            <w:pPr>
              <w:rPr>
                <w:rFonts w:ascii="Arial" w:eastAsia="Arial" w:hAnsi="Arial" w:cs="Arial"/>
                <w:color w:val="000000"/>
                <w:sz w:val="16"/>
              </w:rPr>
            </w:pPr>
            <w:r>
              <w:rPr>
                <w:rFonts w:ascii="Arial" w:eastAsia="Arial" w:hAnsi="Arial" w:cs="Arial"/>
                <w:color w:val="000000"/>
                <w:sz w:val="16"/>
              </w:rPr>
              <w:t xml:space="preserve">Contributed equity </w:t>
            </w:r>
          </w:p>
        </w:tc>
        <w:tc>
          <w:tcPr>
            <w:tcW w:w="915"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7EAFFBCA" w14:textId="77777777" w:rsidR="003F0EEA" w:rsidRDefault="00FB7D0B">
            <w:pPr>
              <w:jc w:val="right"/>
              <w:rPr>
                <w:rFonts w:ascii="Arial" w:eastAsia="Arial" w:hAnsi="Arial" w:cs="Arial"/>
                <w:color w:val="000000"/>
                <w:sz w:val="16"/>
              </w:rPr>
            </w:pPr>
            <w:r>
              <w:rPr>
                <w:rFonts w:ascii="Arial" w:eastAsia="Arial" w:hAnsi="Arial" w:cs="Arial"/>
                <w:color w:val="000000"/>
                <w:sz w:val="16"/>
              </w:rPr>
              <w:t>26,140 </w:t>
            </w:r>
          </w:p>
        </w:tc>
        <w:tc>
          <w:tcPr>
            <w:tcW w:w="915" w:type="dxa"/>
            <w:tcBorders>
              <w:top w:val="nil"/>
              <w:left w:val="nil"/>
              <w:bottom w:val="single" w:sz="6" w:space="0" w:color="000000"/>
              <w:right w:val="nil"/>
              <w:tl2br w:val="nil"/>
              <w:tr2bl w:val="nil"/>
            </w:tcBorders>
            <w:shd w:val="clear" w:color="auto" w:fill="FFFF00"/>
            <w:tcMar>
              <w:left w:w="101" w:type="dxa"/>
              <w:right w:w="101" w:type="dxa"/>
            </w:tcMar>
            <w:vAlign w:val="bottom"/>
          </w:tcPr>
          <w:p w14:paraId="405B72F0" w14:textId="77777777" w:rsidR="003F0EEA" w:rsidRDefault="00FB7D0B">
            <w:pPr>
              <w:jc w:val="right"/>
              <w:rPr>
                <w:rFonts w:ascii="Arial" w:eastAsia="Arial" w:hAnsi="Arial" w:cs="Arial"/>
                <w:color w:val="000000"/>
                <w:sz w:val="16"/>
              </w:rPr>
            </w:pPr>
            <w:r>
              <w:rPr>
                <w:rFonts w:ascii="Arial" w:eastAsia="Arial" w:hAnsi="Arial" w:cs="Arial"/>
                <w:color w:val="000000"/>
                <w:sz w:val="16"/>
              </w:rPr>
              <w:t>16,086 </w:t>
            </w:r>
          </w:p>
        </w:tc>
        <w:tc>
          <w:tcPr>
            <w:tcW w:w="915"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0F553316" w14:textId="77777777" w:rsidR="003F0EEA" w:rsidRDefault="00FB7D0B">
            <w:pPr>
              <w:jc w:val="right"/>
              <w:rPr>
                <w:rFonts w:ascii="Arial" w:eastAsia="Arial" w:hAnsi="Arial" w:cs="Arial"/>
                <w:color w:val="000000"/>
                <w:sz w:val="16"/>
              </w:rPr>
            </w:pPr>
            <w:r>
              <w:rPr>
                <w:rFonts w:ascii="Arial" w:eastAsia="Arial" w:hAnsi="Arial" w:cs="Arial"/>
                <w:color w:val="000000"/>
                <w:sz w:val="16"/>
              </w:rPr>
              <w:t>14,116 </w:t>
            </w:r>
          </w:p>
        </w:tc>
        <w:tc>
          <w:tcPr>
            <w:tcW w:w="915"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52959AEC" w14:textId="77777777" w:rsidR="003F0EEA" w:rsidRDefault="00FB7D0B">
            <w:pPr>
              <w:jc w:val="right"/>
              <w:rPr>
                <w:rFonts w:ascii="Arial" w:eastAsia="Arial" w:hAnsi="Arial" w:cs="Arial"/>
                <w:color w:val="000000"/>
                <w:sz w:val="16"/>
              </w:rPr>
            </w:pPr>
            <w:r>
              <w:rPr>
                <w:rFonts w:ascii="Arial" w:eastAsia="Arial" w:hAnsi="Arial" w:cs="Arial"/>
                <w:color w:val="000000"/>
                <w:sz w:val="16"/>
              </w:rPr>
              <w:t>13,373 </w:t>
            </w:r>
          </w:p>
        </w:tc>
        <w:tc>
          <w:tcPr>
            <w:tcW w:w="915"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506537F5" w14:textId="77777777" w:rsidR="003F0EEA" w:rsidRDefault="00FB7D0B">
            <w:pPr>
              <w:jc w:val="right"/>
              <w:rPr>
                <w:rFonts w:ascii="Arial" w:eastAsia="Arial" w:hAnsi="Arial" w:cs="Arial"/>
                <w:color w:val="000000"/>
                <w:sz w:val="16"/>
              </w:rPr>
            </w:pPr>
            <w:r>
              <w:rPr>
                <w:rFonts w:ascii="Arial" w:eastAsia="Arial" w:hAnsi="Arial" w:cs="Arial"/>
                <w:color w:val="000000"/>
                <w:sz w:val="16"/>
              </w:rPr>
              <w:t>14,036 </w:t>
            </w:r>
          </w:p>
        </w:tc>
      </w:tr>
      <w:tr w:rsidR="00FB7D0B" w14:paraId="5F882AED" w14:textId="77777777" w:rsidTr="00FB7D0B">
        <w:trPr>
          <w:trHeight w:val="225"/>
        </w:trPr>
        <w:tc>
          <w:tcPr>
            <w:tcW w:w="3060" w:type="dxa"/>
            <w:gridSpan w:val="3"/>
            <w:tcBorders>
              <w:top w:val="nil"/>
              <w:left w:val="nil"/>
              <w:bottom w:val="nil"/>
              <w:right w:val="nil"/>
              <w:tl2br w:val="nil"/>
              <w:tr2bl w:val="nil"/>
            </w:tcBorders>
            <w:shd w:val="clear" w:color="auto" w:fill="FFFFFF"/>
            <w:tcMar>
              <w:left w:w="101" w:type="dxa"/>
              <w:right w:w="101" w:type="dxa"/>
            </w:tcMar>
            <w:vAlign w:val="bottom"/>
          </w:tcPr>
          <w:p w14:paraId="3D70234D" w14:textId="77777777" w:rsidR="003F0EEA" w:rsidRDefault="00FB7D0B">
            <w:pPr>
              <w:rPr>
                <w:rFonts w:ascii="Arial" w:eastAsia="Arial" w:hAnsi="Arial" w:cs="Arial"/>
                <w:color w:val="000000"/>
                <w:sz w:val="16"/>
              </w:rPr>
            </w:pPr>
            <w:r>
              <w:rPr>
                <w:rFonts w:ascii="Arial" w:eastAsia="Arial" w:hAnsi="Arial" w:cs="Arial"/>
                <w:b/>
                <w:i/>
                <w:color w:val="000000"/>
                <w:sz w:val="16"/>
              </w:rPr>
              <w:t>Total cash received</w:t>
            </w:r>
          </w:p>
        </w:tc>
        <w:tc>
          <w:tcPr>
            <w:tcW w:w="915"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12070A68" w14:textId="77777777" w:rsidR="003F0EEA" w:rsidRDefault="00FB7D0B">
            <w:pPr>
              <w:jc w:val="right"/>
              <w:rPr>
                <w:rFonts w:ascii="Arial" w:eastAsia="Arial" w:hAnsi="Arial" w:cs="Arial"/>
                <w:b/>
                <w:i/>
                <w:color w:val="000000"/>
                <w:sz w:val="16"/>
              </w:rPr>
            </w:pPr>
            <w:r>
              <w:rPr>
                <w:rFonts w:ascii="Arial" w:eastAsia="Arial" w:hAnsi="Arial" w:cs="Arial"/>
                <w:b/>
                <w:color w:val="000000"/>
                <w:sz w:val="16"/>
              </w:rPr>
              <w:t>26,140 </w:t>
            </w:r>
          </w:p>
        </w:tc>
        <w:tc>
          <w:tcPr>
            <w:tcW w:w="915" w:type="dxa"/>
            <w:tcBorders>
              <w:top w:val="single" w:sz="6" w:space="0" w:color="000000"/>
              <w:left w:val="nil"/>
              <w:bottom w:val="single" w:sz="6" w:space="0" w:color="000000"/>
              <w:right w:val="nil"/>
              <w:tl2br w:val="nil"/>
              <w:tr2bl w:val="nil"/>
            </w:tcBorders>
            <w:shd w:val="clear" w:color="auto" w:fill="FFFF00"/>
            <w:tcMar>
              <w:left w:w="101" w:type="dxa"/>
              <w:right w:w="101" w:type="dxa"/>
            </w:tcMar>
            <w:vAlign w:val="bottom"/>
          </w:tcPr>
          <w:p w14:paraId="3326EB8F" w14:textId="77777777" w:rsidR="003F0EEA" w:rsidRDefault="00FB7D0B">
            <w:pPr>
              <w:jc w:val="right"/>
              <w:rPr>
                <w:rFonts w:ascii="Arial" w:eastAsia="Arial" w:hAnsi="Arial" w:cs="Arial"/>
                <w:b/>
                <w:color w:val="000000"/>
                <w:sz w:val="16"/>
              </w:rPr>
            </w:pPr>
            <w:r>
              <w:rPr>
                <w:rFonts w:ascii="Arial" w:eastAsia="Arial" w:hAnsi="Arial" w:cs="Arial"/>
                <w:b/>
                <w:color w:val="000000"/>
                <w:sz w:val="16"/>
              </w:rPr>
              <w:t>16,086 </w:t>
            </w:r>
          </w:p>
        </w:tc>
        <w:tc>
          <w:tcPr>
            <w:tcW w:w="915"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77279421" w14:textId="77777777" w:rsidR="003F0EEA" w:rsidRDefault="00FB7D0B">
            <w:pPr>
              <w:jc w:val="right"/>
              <w:rPr>
                <w:rFonts w:ascii="Arial" w:eastAsia="Arial" w:hAnsi="Arial" w:cs="Arial"/>
                <w:b/>
                <w:color w:val="000000"/>
                <w:sz w:val="16"/>
              </w:rPr>
            </w:pPr>
            <w:r>
              <w:rPr>
                <w:rFonts w:ascii="Arial" w:eastAsia="Arial" w:hAnsi="Arial" w:cs="Arial"/>
                <w:b/>
                <w:color w:val="000000"/>
                <w:sz w:val="16"/>
              </w:rPr>
              <w:t>14,116 </w:t>
            </w:r>
          </w:p>
        </w:tc>
        <w:tc>
          <w:tcPr>
            <w:tcW w:w="915"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446AA542" w14:textId="77777777" w:rsidR="003F0EEA" w:rsidRDefault="00FB7D0B">
            <w:pPr>
              <w:jc w:val="right"/>
              <w:rPr>
                <w:rFonts w:ascii="Arial" w:eastAsia="Arial" w:hAnsi="Arial" w:cs="Arial"/>
                <w:b/>
                <w:color w:val="000000"/>
                <w:sz w:val="16"/>
              </w:rPr>
            </w:pPr>
            <w:r>
              <w:rPr>
                <w:rFonts w:ascii="Arial" w:eastAsia="Arial" w:hAnsi="Arial" w:cs="Arial"/>
                <w:b/>
                <w:color w:val="000000"/>
                <w:sz w:val="16"/>
              </w:rPr>
              <w:t>13,373 </w:t>
            </w:r>
          </w:p>
        </w:tc>
        <w:tc>
          <w:tcPr>
            <w:tcW w:w="915"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4A52A4C6" w14:textId="77777777" w:rsidR="003F0EEA" w:rsidRDefault="00FB7D0B">
            <w:pPr>
              <w:jc w:val="right"/>
              <w:rPr>
                <w:rFonts w:ascii="Arial" w:eastAsia="Arial" w:hAnsi="Arial" w:cs="Arial"/>
                <w:b/>
                <w:color w:val="000000"/>
                <w:sz w:val="16"/>
              </w:rPr>
            </w:pPr>
            <w:r>
              <w:rPr>
                <w:rFonts w:ascii="Arial" w:eastAsia="Arial" w:hAnsi="Arial" w:cs="Arial"/>
                <w:b/>
                <w:color w:val="000000"/>
                <w:sz w:val="16"/>
              </w:rPr>
              <w:t>14,036 </w:t>
            </w:r>
          </w:p>
        </w:tc>
      </w:tr>
      <w:tr w:rsidR="00FB7D0B" w14:paraId="4493C4F5" w14:textId="77777777" w:rsidTr="00FB7D0B">
        <w:trPr>
          <w:trHeight w:val="225"/>
        </w:trPr>
        <w:tc>
          <w:tcPr>
            <w:tcW w:w="3060" w:type="dxa"/>
            <w:gridSpan w:val="3"/>
            <w:tcBorders>
              <w:top w:val="nil"/>
              <w:left w:val="nil"/>
              <w:bottom w:val="nil"/>
              <w:right w:val="nil"/>
              <w:tl2br w:val="nil"/>
              <w:tr2bl w:val="nil"/>
            </w:tcBorders>
            <w:shd w:val="clear" w:color="auto" w:fill="FFFFFF"/>
            <w:tcMar>
              <w:left w:w="101" w:type="dxa"/>
              <w:right w:w="101" w:type="dxa"/>
            </w:tcMar>
            <w:vAlign w:val="bottom"/>
          </w:tcPr>
          <w:p w14:paraId="05E3AEA0" w14:textId="77777777" w:rsidR="003F0EEA" w:rsidRDefault="00FB7D0B">
            <w:pPr>
              <w:rPr>
                <w:rFonts w:ascii="Arial" w:eastAsia="Arial" w:hAnsi="Arial" w:cs="Arial"/>
                <w:b/>
                <w:color w:val="000000"/>
                <w:sz w:val="16"/>
              </w:rPr>
            </w:pPr>
            <w:r>
              <w:rPr>
                <w:rFonts w:ascii="Arial" w:eastAsia="Arial" w:hAnsi="Arial" w:cs="Arial"/>
                <w:b/>
                <w:color w:val="000000"/>
                <w:sz w:val="16"/>
              </w:rPr>
              <w:t xml:space="preserve">Net cash from (used by)  </w:t>
            </w:r>
          </w:p>
        </w:tc>
        <w:tc>
          <w:tcPr>
            <w:tcW w:w="915"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0AAEF284" w14:textId="77777777" w:rsidR="003F0EEA" w:rsidRDefault="003F0EEA">
            <w:pPr>
              <w:rPr>
                <w:rFonts w:ascii="Arial" w:eastAsia="Arial" w:hAnsi="Arial" w:cs="Arial"/>
                <w:b/>
                <w:color w:val="000000"/>
                <w:sz w:val="16"/>
              </w:rPr>
            </w:pPr>
          </w:p>
        </w:tc>
        <w:tc>
          <w:tcPr>
            <w:tcW w:w="915" w:type="dxa"/>
            <w:tcBorders>
              <w:top w:val="single" w:sz="6" w:space="0" w:color="000000"/>
              <w:left w:val="nil"/>
              <w:bottom w:val="single" w:sz="6" w:space="0" w:color="000000"/>
              <w:right w:val="nil"/>
              <w:tl2br w:val="nil"/>
              <w:tr2bl w:val="nil"/>
            </w:tcBorders>
            <w:shd w:val="clear" w:color="auto" w:fill="FFFF00"/>
            <w:tcMar>
              <w:left w:w="101" w:type="dxa"/>
              <w:right w:w="101" w:type="dxa"/>
            </w:tcMar>
            <w:vAlign w:val="bottom"/>
          </w:tcPr>
          <w:p w14:paraId="749A62E1" w14:textId="77777777" w:rsidR="003F0EEA" w:rsidRDefault="003F0EEA">
            <w:pPr>
              <w:rPr>
                <w:rFonts w:ascii="Arial" w:eastAsia="Arial" w:hAnsi="Arial" w:cs="Arial"/>
                <w:b/>
                <w:color w:val="000000"/>
                <w:sz w:val="16"/>
              </w:rPr>
            </w:pPr>
          </w:p>
        </w:tc>
        <w:tc>
          <w:tcPr>
            <w:tcW w:w="915"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61D04307" w14:textId="77777777" w:rsidR="003F0EEA" w:rsidRDefault="003F0EEA">
            <w:pPr>
              <w:rPr>
                <w:rFonts w:ascii="Arial" w:eastAsia="Arial" w:hAnsi="Arial" w:cs="Arial"/>
                <w:b/>
                <w:color w:val="000000"/>
                <w:sz w:val="16"/>
              </w:rPr>
            </w:pPr>
          </w:p>
        </w:tc>
        <w:tc>
          <w:tcPr>
            <w:tcW w:w="915"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0DA855F6" w14:textId="77777777" w:rsidR="003F0EEA" w:rsidRDefault="003F0EEA">
            <w:pPr>
              <w:rPr>
                <w:rFonts w:ascii="Arial" w:eastAsia="Arial" w:hAnsi="Arial" w:cs="Arial"/>
                <w:b/>
                <w:color w:val="000000"/>
                <w:sz w:val="16"/>
              </w:rPr>
            </w:pPr>
          </w:p>
        </w:tc>
        <w:tc>
          <w:tcPr>
            <w:tcW w:w="915"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0DF67FDC" w14:textId="77777777" w:rsidR="003F0EEA" w:rsidRDefault="003F0EEA">
            <w:pPr>
              <w:rPr>
                <w:rFonts w:ascii="Arial" w:eastAsia="Arial" w:hAnsi="Arial" w:cs="Arial"/>
                <w:b/>
                <w:color w:val="000000"/>
                <w:sz w:val="16"/>
              </w:rPr>
            </w:pPr>
          </w:p>
        </w:tc>
      </w:tr>
      <w:tr w:rsidR="00FB7D0B" w14:paraId="2319497B" w14:textId="77777777" w:rsidTr="00FB7D0B">
        <w:trPr>
          <w:trHeight w:val="225"/>
        </w:trPr>
        <w:tc>
          <w:tcPr>
            <w:tcW w:w="180" w:type="dxa"/>
            <w:tcBorders>
              <w:top w:val="nil"/>
              <w:left w:val="nil"/>
              <w:bottom w:val="nil"/>
              <w:right w:val="nil"/>
              <w:tl2br w:val="nil"/>
              <w:tr2bl w:val="nil"/>
            </w:tcBorders>
            <w:shd w:val="clear" w:color="auto" w:fill="FFFFFF"/>
            <w:tcMar>
              <w:left w:w="101" w:type="dxa"/>
              <w:right w:w="101" w:type="dxa"/>
            </w:tcMar>
            <w:vAlign w:val="bottom"/>
          </w:tcPr>
          <w:p w14:paraId="73F7C105" w14:textId="77777777" w:rsidR="003F0EEA" w:rsidRDefault="003F0EEA">
            <w:pPr>
              <w:rPr>
                <w:rFonts w:ascii="Arial" w:eastAsia="Arial" w:hAnsi="Arial" w:cs="Arial"/>
                <w:b/>
                <w:color w:val="000000"/>
                <w:sz w:val="16"/>
              </w:rPr>
            </w:pPr>
          </w:p>
        </w:tc>
        <w:tc>
          <w:tcPr>
            <w:tcW w:w="2880" w:type="dxa"/>
            <w:gridSpan w:val="2"/>
            <w:vMerge w:val="restart"/>
            <w:tcBorders>
              <w:top w:val="nil"/>
              <w:left w:val="nil"/>
              <w:bottom w:val="nil"/>
              <w:right w:val="nil"/>
              <w:tl2br w:val="nil"/>
              <w:tr2bl w:val="nil"/>
            </w:tcBorders>
            <w:shd w:val="clear" w:color="auto" w:fill="FFFFFF"/>
            <w:tcMar>
              <w:left w:w="101" w:type="dxa"/>
              <w:right w:w="101" w:type="dxa"/>
            </w:tcMar>
            <w:vAlign w:val="bottom"/>
          </w:tcPr>
          <w:p w14:paraId="02B4CABE" w14:textId="77777777" w:rsidR="003F0EEA" w:rsidRDefault="00FB7D0B">
            <w:pPr>
              <w:rPr>
                <w:rFonts w:ascii="Arial" w:eastAsia="Arial" w:hAnsi="Arial" w:cs="Arial"/>
                <w:color w:val="000000"/>
                <w:sz w:val="16"/>
              </w:rPr>
            </w:pPr>
            <w:r>
              <w:rPr>
                <w:rFonts w:ascii="Arial" w:eastAsia="Arial" w:hAnsi="Arial" w:cs="Arial"/>
                <w:b/>
                <w:color w:val="000000"/>
                <w:sz w:val="16"/>
              </w:rPr>
              <w:t>financing activities</w:t>
            </w:r>
          </w:p>
        </w:tc>
        <w:tc>
          <w:tcPr>
            <w:tcW w:w="915"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6CD27A1E" w14:textId="77777777" w:rsidR="003F0EEA" w:rsidRDefault="00FB7D0B">
            <w:pPr>
              <w:jc w:val="right"/>
              <w:rPr>
                <w:rFonts w:ascii="Arial" w:eastAsia="Arial" w:hAnsi="Arial" w:cs="Arial"/>
                <w:b/>
                <w:color w:val="000000"/>
                <w:sz w:val="16"/>
              </w:rPr>
            </w:pPr>
            <w:r>
              <w:rPr>
                <w:rFonts w:ascii="Arial" w:eastAsia="Arial" w:hAnsi="Arial" w:cs="Arial"/>
                <w:b/>
                <w:color w:val="000000"/>
                <w:sz w:val="16"/>
              </w:rPr>
              <w:t>26,140 </w:t>
            </w:r>
          </w:p>
        </w:tc>
        <w:tc>
          <w:tcPr>
            <w:tcW w:w="915" w:type="dxa"/>
            <w:tcBorders>
              <w:top w:val="single" w:sz="6" w:space="0" w:color="000000"/>
              <w:left w:val="nil"/>
              <w:bottom w:val="single" w:sz="6" w:space="0" w:color="000000"/>
              <w:right w:val="nil"/>
              <w:tl2br w:val="nil"/>
              <w:tr2bl w:val="nil"/>
            </w:tcBorders>
            <w:shd w:val="clear" w:color="auto" w:fill="FFFF00"/>
            <w:tcMar>
              <w:left w:w="101" w:type="dxa"/>
              <w:right w:w="101" w:type="dxa"/>
            </w:tcMar>
            <w:vAlign w:val="bottom"/>
          </w:tcPr>
          <w:p w14:paraId="61A3B959" w14:textId="77777777" w:rsidR="003F0EEA" w:rsidRDefault="00FB7D0B">
            <w:pPr>
              <w:jc w:val="right"/>
              <w:rPr>
                <w:rFonts w:ascii="Arial" w:eastAsia="Arial" w:hAnsi="Arial" w:cs="Arial"/>
                <w:b/>
                <w:color w:val="000000"/>
                <w:sz w:val="16"/>
              </w:rPr>
            </w:pPr>
            <w:r>
              <w:rPr>
                <w:rFonts w:ascii="Arial" w:eastAsia="Arial" w:hAnsi="Arial" w:cs="Arial"/>
                <w:b/>
                <w:color w:val="000000"/>
                <w:sz w:val="16"/>
              </w:rPr>
              <w:t>16,086 </w:t>
            </w:r>
          </w:p>
        </w:tc>
        <w:tc>
          <w:tcPr>
            <w:tcW w:w="915"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610A8431" w14:textId="77777777" w:rsidR="003F0EEA" w:rsidRDefault="00FB7D0B">
            <w:pPr>
              <w:jc w:val="right"/>
              <w:rPr>
                <w:rFonts w:ascii="Arial" w:eastAsia="Arial" w:hAnsi="Arial" w:cs="Arial"/>
                <w:b/>
                <w:color w:val="000000"/>
                <w:sz w:val="16"/>
              </w:rPr>
            </w:pPr>
            <w:r>
              <w:rPr>
                <w:rFonts w:ascii="Arial" w:eastAsia="Arial" w:hAnsi="Arial" w:cs="Arial"/>
                <w:b/>
                <w:color w:val="000000"/>
                <w:sz w:val="16"/>
              </w:rPr>
              <w:t>14,116 </w:t>
            </w:r>
          </w:p>
        </w:tc>
        <w:tc>
          <w:tcPr>
            <w:tcW w:w="915"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6B7E251D" w14:textId="77777777" w:rsidR="003F0EEA" w:rsidRDefault="00FB7D0B">
            <w:pPr>
              <w:jc w:val="right"/>
              <w:rPr>
                <w:rFonts w:ascii="Arial" w:eastAsia="Arial" w:hAnsi="Arial" w:cs="Arial"/>
                <w:b/>
                <w:color w:val="000000"/>
                <w:sz w:val="16"/>
              </w:rPr>
            </w:pPr>
            <w:r>
              <w:rPr>
                <w:rFonts w:ascii="Arial" w:eastAsia="Arial" w:hAnsi="Arial" w:cs="Arial"/>
                <w:b/>
                <w:color w:val="000000"/>
                <w:sz w:val="16"/>
              </w:rPr>
              <w:t>13,373 </w:t>
            </w:r>
          </w:p>
        </w:tc>
        <w:tc>
          <w:tcPr>
            <w:tcW w:w="915"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6162B727" w14:textId="77777777" w:rsidR="003F0EEA" w:rsidRDefault="00FB7D0B">
            <w:pPr>
              <w:jc w:val="right"/>
              <w:rPr>
                <w:rFonts w:ascii="Arial" w:eastAsia="Arial" w:hAnsi="Arial" w:cs="Arial"/>
                <w:b/>
                <w:color w:val="000000"/>
                <w:sz w:val="16"/>
              </w:rPr>
            </w:pPr>
            <w:r>
              <w:rPr>
                <w:rFonts w:ascii="Arial" w:eastAsia="Arial" w:hAnsi="Arial" w:cs="Arial"/>
                <w:b/>
                <w:color w:val="000000"/>
                <w:sz w:val="16"/>
              </w:rPr>
              <w:t>14,036 </w:t>
            </w:r>
          </w:p>
        </w:tc>
      </w:tr>
      <w:tr w:rsidR="00FB7D0B" w14:paraId="3E292B59" w14:textId="77777777" w:rsidTr="00FB7D0B">
        <w:trPr>
          <w:trHeight w:val="225"/>
        </w:trPr>
        <w:tc>
          <w:tcPr>
            <w:tcW w:w="3060" w:type="dxa"/>
            <w:gridSpan w:val="3"/>
            <w:tcBorders>
              <w:top w:val="nil"/>
              <w:left w:val="nil"/>
              <w:bottom w:val="nil"/>
              <w:right w:val="nil"/>
              <w:tl2br w:val="nil"/>
              <w:tr2bl w:val="nil"/>
            </w:tcBorders>
            <w:shd w:val="clear" w:color="auto" w:fill="FFFFFF"/>
            <w:tcMar>
              <w:left w:w="101" w:type="dxa"/>
              <w:right w:w="101" w:type="dxa"/>
            </w:tcMar>
            <w:vAlign w:val="bottom"/>
          </w:tcPr>
          <w:p w14:paraId="1C24C642" w14:textId="77777777" w:rsidR="003F0EEA" w:rsidRDefault="00FB7D0B">
            <w:pPr>
              <w:rPr>
                <w:rFonts w:ascii="Arial" w:eastAsia="Arial" w:hAnsi="Arial" w:cs="Arial"/>
                <w:b/>
                <w:color w:val="000000"/>
                <w:sz w:val="16"/>
              </w:rPr>
            </w:pPr>
            <w:r>
              <w:rPr>
                <w:rFonts w:ascii="Arial" w:eastAsia="Arial" w:hAnsi="Arial" w:cs="Arial"/>
                <w:b/>
                <w:color w:val="000000"/>
                <w:sz w:val="16"/>
              </w:rPr>
              <w:t>Net increase (decrease)</w:t>
            </w:r>
          </w:p>
        </w:tc>
        <w:tc>
          <w:tcPr>
            <w:tcW w:w="915"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49D68BE5" w14:textId="77777777" w:rsidR="003F0EEA" w:rsidRDefault="003F0EEA">
            <w:pPr>
              <w:rPr>
                <w:rFonts w:ascii="Arial" w:eastAsia="Arial" w:hAnsi="Arial" w:cs="Arial"/>
                <w:b/>
                <w:color w:val="000000"/>
                <w:sz w:val="16"/>
              </w:rPr>
            </w:pPr>
          </w:p>
        </w:tc>
        <w:tc>
          <w:tcPr>
            <w:tcW w:w="915" w:type="dxa"/>
            <w:tcBorders>
              <w:top w:val="single" w:sz="6" w:space="0" w:color="000000"/>
              <w:left w:val="nil"/>
              <w:bottom w:val="single" w:sz="6" w:space="0" w:color="000000"/>
              <w:right w:val="nil"/>
              <w:tl2br w:val="nil"/>
              <w:tr2bl w:val="nil"/>
            </w:tcBorders>
            <w:shd w:val="clear" w:color="auto" w:fill="FFFF00"/>
            <w:tcMar>
              <w:left w:w="101" w:type="dxa"/>
              <w:right w:w="101" w:type="dxa"/>
            </w:tcMar>
            <w:vAlign w:val="bottom"/>
          </w:tcPr>
          <w:p w14:paraId="46C1B9B1" w14:textId="77777777" w:rsidR="003F0EEA" w:rsidRDefault="003F0EEA">
            <w:pPr>
              <w:rPr>
                <w:rFonts w:ascii="Arial" w:eastAsia="Arial" w:hAnsi="Arial" w:cs="Arial"/>
                <w:b/>
                <w:color w:val="000000"/>
                <w:sz w:val="16"/>
              </w:rPr>
            </w:pPr>
          </w:p>
        </w:tc>
        <w:tc>
          <w:tcPr>
            <w:tcW w:w="915"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10FD8B8D" w14:textId="77777777" w:rsidR="003F0EEA" w:rsidRDefault="003F0EEA">
            <w:pPr>
              <w:rPr>
                <w:rFonts w:ascii="Arial" w:eastAsia="Arial" w:hAnsi="Arial" w:cs="Arial"/>
                <w:b/>
                <w:color w:val="000000"/>
                <w:sz w:val="16"/>
              </w:rPr>
            </w:pPr>
          </w:p>
        </w:tc>
        <w:tc>
          <w:tcPr>
            <w:tcW w:w="915"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69DF684D" w14:textId="77777777" w:rsidR="003F0EEA" w:rsidRDefault="003F0EEA">
            <w:pPr>
              <w:rPr>
                <w:rFonts w:ascii="Arial" w:eastAsia="Arial" w:hAnsi="Arial" w:cs="Arial"/>
                <w:b/>
                <w:color w:val="000000"/>
                <w:sz w:val="16"/>
              </w:rPr>
            </w:pPr>
          </w:p>
        </w:tc>
        <w:tc>
          <w:tcPr>
            <w:tcW w:w="915"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3AB14823" w14:textId="77777777" w:rsidR="003F0EEA" w:rsidRDefault="003F0EEA">
            <w:pPr>
              <w:rPr>
                <w:rFonts w:ascii="Arial" w:eastAsia="Arial" w:hAnsi="Arial" w:cs="Arial"/>
                <w:b/>
                <w:color w:val="000000"/>
                <w:sz w:val="16"/>
              </w:rPr>
            </w:pPr>
          </w:p>
        </w:tc>
      </w:tr>
      <w:tr w:rsidR="00FB7D0B" w14:paraId="092024F2" w14:textId="77777777" w:rsidTr="00FB7D0B">
        <w:trPr>
          <w:trHeight w:val="225"/>
        </w:trPr>
        <w:tc>
          <w:tcPr>
            <w:tcW w:w="180" w:type="dxa"/>
            <w:tcBorders>
              <w:top w:val="nil"/>
              <w:left w:val="nil"/>
              <w:bottom w:val="nil"/>
              <w:right w:val="nil"/>
              <w:tl2br w:val="nil"/>
              <w:tr2bl w:val="nil"/>
            </w:tcBorders>
            <w:shd w:val="clear" w:color="auto" w:fill="FFFFFF"/>
            <w:tcMar>
              <w:left w:w="101" w:type="dxa"/>
              <w:right w:w="101" w:type="dxa"/>
            </w:tcMar>
            <w:vAlign w:val="bottom"/>
          </w:tcPr>
          <w:p w14:paraId="4C70DDDB" w14:textId="77777777" w:rsidR="003F0EEA" w:rsidRDefault="003F0EEA">
            <w:pPr>
              <w:rPr>
                <w:rFonts w:ascii="Arial" w:eastAsia="Arial" w:hAnsi="Arial" w:cs="Arial"/>
                <w:b/>
                <w:color w:val="000000"/>
                <w:sz w:val="16"/>
              </w:rPr>
            </w:pPr>
          </w:p>
        </w:tc>
        <w:tc>
          <w:tcPr>
            <w:tcW w:w="2880" w:type="dxa"/>
            <w:gridSpan w:val="2"/>
            <w:vMerge w:val="restart"/>
            <w:tcBorders>
              <w:top w:val="nil"/>
              <w:left w:val="nil"/>
              <w:bottom w:val="nil"/>
              <w:right w:val="nil"/>
              <w:tl2br w:val="nil"/>
              <w:tr2bl w:val="nil"/>
            </w:tcBorders>
            <w:shd w:val="clear" w:color="auto" w:fill="FFFFFF"/>
            <w:tcMar>
              <w:left w:w="101" w:type="dxa"/>
              <w:right w:w="101" w:type="dxa"/>
            </w:tcMar>
            <w:vAlign w:val="bottom"/>
          </w:tcPr>
          <w:p w14:paraId="20FC0350" w14:textId="77777777" w:rsidR="003F0EEA" w:rsidRDefault="00FB7D0B">
            <w:pPr>
              <w:rPr>
                <w:rFonts w:ascii="Arial" w:eastAsia="Arial" w:hAnsi="Arial" w:cs="Arial"/>
                <w:color w:val="000000"/>
                <w:sz w:val="16"/>
              </w:rPr>
            </w:pPr>
            <w:r>
              <w:rPr>
                <w:rFonts w:ascii="Arial" w:eastAsia="Arial" w:hAnsi="Arial" w:cs="Arial"/>
                <w:b/>
                <w:color w:val="000000"/>
                <w:sz w:val="16"/>
              </w:rPr>
              <w:t>in cash held</w:t>
            </w:r>
          </w:p>
        </w:tc>
        <w:tc>
          <w:tcPr>
            <w:tcW w:w="915"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7F17C4FD" w14:textId="77777777" w:rsidR="003F0EEA" w:rsidRDefault="00FB7D0B">
            <w:pPr>
              <w:jc w:val="right"/>
              <w:rPr>
                <w:rFonts w:ascii="Arial" w:eastAsia="Arial" w:hAnsi="Arial" w:cs="Arial"/>
                <w:b/>
                <w:color w:val="000000"/>
                <w:sz w:val="16"/>
              </w:rPr>
            </w:pPr>
            <w:r>
              <w:rPr>
                <w:rFonts w:ascii="Arial" w:eastAsia="Arial" w:hAnsi="Arial" w:cs="Arial"/>
                <w:b/>
                <w:color w:val="000000"/>
                <w:sz w:val="16"/>
              </w:rPr>
              <w:t>(676)</w:t>
            </w:r>
          </w:p>
        </w:tc>
        <w:tc>
          <w:tcPr>
            <w:tcW w:w="915" w:type="dxa"/>
            <w:tcBorders>
              <w:top w:val="single" w:sz="6" w:space="0" w:color="000000"/>
              <w:left w:val="nil"/>
              <w:bottom w:val="single" w:sz="6" w:space="0" w:color="000000"/>
              <w:right w:val="nil"/>
              <w:tl2br w:val="nil"/>
              <w:tr2bl w:val="nil"/>
            </w:tcBorders>
            <w:shd w:val="clear" w:color="auto" w:fill="FFFF00"/>
            <w:tcMar>
              <w:left w:w="101" w:type="dxa"/>
              <w:right w:w="101" w:type="dxa"/>
            </w:tcMar>
            <w:vAlign w:val="bottom"/>
          </w:tcPr>
          <w:p w14:paraId="4DED0F34" w14:textId="77777777" w:rsidR="003F0EEA" w:rsidRDefault="00FB7D0B">
            <w:pPr>
              <w:jc w:val="right"/>
              <w:rPr>
                <w:rFonts w:ascii="Arial" w:eastAsia="Arial" w:hAnsi="Arial" w:cs="Arial"/>
                <w:b/>
                <w:color w:val="000000"/>
                <w:sz w:val="16"/>
              </w:rPr>
            </w:pPr>
            <w:r>
              <w:rPr>
                <w:rFonts w:ascii="Arial" w:eastAsia="Arial" w:hAnsi="Arial" w:cs="Arial"/>
                <w:b/>
                <w:color w:val="000000"/>
                <w:sz w:val="16"/>
              </w:rPr>
              <w:t>168 </w:t>
            </w:r>
          </w:p>
        </w:tc>
        <w:tc>
          <w:tcPr>
            <w:tcW w:w="915"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1A6D09F2" w14:textId="77777777" w:rsidR="003F0EEA" w:rsidRDefault="00FB7D0B">
            <w:pPr>
              <w:jc w:val="right"/>
              <w:rPr>
                <w:rFonts w:ascii="Arial" w:eastAsia="Arial" w:hAnsi="Arial" w:cs="Arial"/>
                <w:b/>
                <w:color w:val="000000"/>
                <w:sz w:val="16"/>
              </w:rPr>
            </w:pPr>
            <w:r>
              <w:rPr>
                <w:rFonts w:ascii="Arial" w:eastAsia="Arial" w:hAnsi="Arial" w:cs="Arial"/>
                <w:b/>
                <w:color w:val="000000"/>
                <w:sz w:val="16"/>
              </w:rPr>
              <w:t>(646)</w:t>
            </w:r>
          </w:p>
        </w:tc>
        <w:tc>
          <w:tcPr>
            <w:tcW w:w="915"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64234A66" w14:textId="77777777" w:rsidR="003F0EEA" w:rsidRDefault="00FB7D0B">
            <w:pPr>
              <w:jc w:val="right"/>
              <w:rPr>
                <w:rFonts w:ascii="Arial" w:eastAsia="Arial" w:hAnsi="Arial" w:cs="Arial"/>
                <w:b/>
                <w:color w:val="000000"/>
                <w:sz w:val="16"/>
              </w:rPr>
            </w:pPr>
            <w:r>
              <w:rPr>
                <w:rFonts w:ascii="Arial" w:eastAsia="Arial" w:hAnsi="Arial" w:cs="Arial"/>
                <w:b/>
                <w:color w:val="000000"/>
                <w:sz w:val="16"/>
              </w:rPr>
              <w:t>(174)</w:t>
            </w:r>
          </w:p>
        </w:tc>
        <w:tc>
          <w:tcPr>
            <w:tcW w:w="915"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38EA21D1" w14:textId="77777777" w:rsidR="003F0EEA" w:rsidRDefault="00FB7D0B">
            <w:pPr>
              <w:jc w:val="right"/>
              <w:rPr>
                <w:rFonts w:ascii="Arial" w:eastAsia="Arial" w:hAnsi="Arial" w:cs="Arial"/>
                <w:b/>
                <w:color w:val="000000"/>
                <w:sz w:val="16"/>
              </w:rPr>
            </w:pPr>
            <w:r>
              <w:rPr>
                <w:rFonts w:ascii="Arial" w:eastAsia="Arial" w:hAnsi="Arial" w:cs="Arial"/>
                <w:b/>
                <w:color w:val="000000"/>
                <w:sz w:val="16"/>
              </w:rPr>
              <w:t>228 </w:t>
            </w:r>
          </w:p>
        </w:tc>
      </w:tr>
      <w:tr w:rsidR="00FB7D0B" w14:paraId="58088E8E" w14:textId="77777777" w:rsidTr="00FB7D0B">
        <w:trPr>
          <w:trHeight w:val="225"/>
        </w:trPr>
        <w:tc>
          <w:tcPr>
            <w:tcW w:w="3060" w:type="dxa"/>
            <w:gridSpan w:val="3"/>
            <w:tcBorders>
              <w:top w:val="nil"/>
              <w:left w:val="nil"/>
              <w:bottom w:val="nil"/>
              <w:right w:val="nil"/>
              <w:tl2br w:val="nil"/>
              <w:tr2bl w:val="nil"/>
            </w:tcBorders>
            <w:shd w:val="clear" w:color="auto" w:fill="FFFFFF"/>
            <w:tcMar>
              <w:left w:w="101" w:type="dxa"/>
              <w:right w:w="101" w:type="dxa"/>
            </w:tcMar>
            <w:vAlign w:val="bottom"/>
          </w:tcPr>
          <w:p w14:paraId="31361F79" w14:textId="77777777" w:rsidR="003F0EEA" w:rsidRDefault="00FB7D0B">
            <w:pPr>
              <w:rPr>
                <w:rFonts w:ascii="Arial" w:eastAsia="Arial" w:hAnsi="Arial" w:cs="Arial"/>
                <w:b/>
                <w:color w:val="000000"/>
                <w:sz w:val="16"/>
              </w:rPr>
            </w:pPr>
            <w:r>
              <w:rPr>
                <w:rFonts w:ascii="Arial" w:eastAsia="Arial" w:hAnsi="Arial" w:cs="Arial"/>
                <w:color w:val="000000"/>
                <w:sz w:val="16"/>
              </w:rPr>
              <w:t xml:space="preserve">Cash and cash equivalents at the </w:t>
            </w:r>
          </w:p>
        </w:tc>
        <w:tc>
          <w:tcPr>
            <w:tcW w:w="91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04622A58" w14:textId="77777777" w:rsidR="003F0EEA" w:rsidRDefault="003F0EEA">
            <w:pPr>
              <w:rPr>
                <w:rFonts w:ascii="Arial" w:eastAsia="Arial" w:hAnsi="Arial" w:cs="Arial"/>
                <w:color w:val="000000"/>
                <w:sz w:val="16"/>
              </w:rPr>
            </w:pPr>
          </w:p>
        </w:tc>
        <w:tc>
          <w:tcPr>
            <w:tcW w:w="915" w:type="dxa"/>
            <w:tcBorders>
              <w:top w:val="single" w:sz="6" w:space="0" w:color="000000"/>
              <w:left w:val="nil"/>
              <w:bottom w:val="nil"/>
              <w:right w:val="nil"/>
              <w:tl2br w:val="nil"/>
              <w:tr2bl w:val="nil"/>
            </w:tcBorders>
            <w:shd w:val="clear" w:color="auto" w:fill="FFFF00"/>
            <w:tcMar>
              <w:left w:w="101" w:type="dxa"/>
              <w:right w:w="101" w:type="dxa"/>
            </w:tcMar>
            <w:vAlign w:val="bottom"/>
          </w:tcPr>
          <w:p w14:paraId="44FF2D16" w14:textId="77777777" w:rsidR="003F0EEA" w:rsidRDefault="003F0EEA">
            <w:pPr>
              <w:rPr>
                <w:rFonts w:ascii="Arial" w:eastAsia="Arial" w:hAnsi="Arial" w:cs="Arial"/>
                <w:color w:val="000000"/>
                <w:sz w:val="16"/>
              </w:rPr>
            </w:pPr>
          </w:p>
        </w:tc>
        <w:tc>
          <w:tcPr>
            <w:tcW w:w="91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0C718AE6" w14:textId="77777777" w:rsidR="003F0EEA" w:rsidRDefault="003F0EEA">
            <w:pPr>
              <w:rPr>
                <w:rFonts w:ascii="Arial" w:eastAsia="Arial" w:hAnsi="Arial" w:cs="Arial"/>
                <w:color w:val="000000"/>
                <w:sz w:val="16"/>
              </w:rPr>
            </w:pPr>
          </w:p>
        </w:tc>
        <w:tc>
          <w:tcPr>
            <w:tcW w:w="91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7AEA4E3A" w14:textId="77777777" w:rsidR="003F0EEA" w:rsidRDefault="003F0EEA">
            <w:pPr>
              <w:rPr>
                <w:rFonts w:ascii="Arial" w:eastAsia="Arial" w:hAnsi="Arial" w:cs="Arial"/>
                <w:color w:val="000000"/>
                <w:sz w:val="16"/>
              </w:rPr>
            </w:pPr>
          </w:p>
        </w:tc>
        <w:tc>
          <w:tcPr>
            <w:tcW w:w="91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09C7FB83" w14:textId="77777777" w:rsidR="003F0EEA" w:rsidRDefault="003F0EEA">
            <w:pPr>
              <w:rPr>
                <w:rFonts w:ascii="Arial" w:eastAsia="Arial" w:hAnsi="Arial" w:cs="Arial"/>
                <w:color w:val="000000"/>
                <w:sz w:val="16"/>
              </w:rPr>
            </w:pPr>
          </w:p>
        </w:tc>
      </w:tr>
      <w:tr w:rsidR="00FB7D0B" w14:paraId="468AD6D0" w14:textId="77777777" w:rsidTr="00FB7D0B">
        <w:trPr>
          <w:trHeight w:val="225"/>
        </w:trPr>
        <w:tc>
          <w:tcPr>
            <w:tcW w:w="180" w:type="dxa"/>
            <w:tcBorders>
              <w:top w:val="nil"/>
              <w:left w:val="nil"/>
              <w:bottom w:val="nil"/>
              <w:right w:val="nil"/>
              <w:tl2br w:val="nil"/>
              <w:tr2bl w:val="nil"/>
            </w:tcBorders>
            <w:shd w:val="clear" w:color="auto" w:fill="FFFFFF"/>
            <w:tcMar>
              <w:left w:w="101" w:type="dxa"/>
              <w:right w:w="101" w:type="dxa"/>
            </w:tcMar>
            <w:vAlign w:val="bottom"/>
          </w:tcPr>
          <w:p w14:paraId="5B51BFBE" w14:textId="77777777" w:rsidR="003F0EEA" w:rsidRDefault="003F0EEA">
            <w:pPr>
              <w:rPr>
                <w:rFonts w:ascii="Arial" w:eastAsia="Arial" w:hAnsi="Arial" w:cs="Arial"/>
                <w:color w:val="000000"/>
                <w:sz w:val="16"/>
              </w:rPr>
            </w:pPr>
          </w:p>
        </w:tc>
        <w:tc>
          <w:tcPr>
            <w:tcW w:w="2880" w:type="dxa"/>
            <w:gridSpan w:val="2"/>
            <w:vMerge w:val="restart"/>
            <w:tcBorders>
              <w:top w:val="nil"/>
              <w:left w:val="nil"/>
              <w:bottom w:val="nil"/>
              <w:right w:val="nil"/>
              <w:tl2br w:val="nil"/>
              <w:tr2bl w:val="nil"/>
            </w:tcBorders>
            <w:shd w:val="clear" w:color="auto" w:fill="FFFFFF"/>
            <w:tcMar>
              <w:left w:w="101" w:type="dxa"/>
              <w:right w:w="101" w:type="dxa"/>
            </w:tcMar>
            <w:vAlign w:val="bottom"/>
          </w:tcPr>
          <w:p w14:paraId="6A35B3E9" w14:textId="77777777" w:rsidR="003F0EEA" w:rsidRDefault="00FB7D0B">
            <w:pPr>
              <w:rPr>
                <w:rFonts w:ascii="Arial" w:eastAsia="Arial" w:hAnsi="Arial" w:cs="Arial"/>
                <w:color w:val="000000"/>
                <w:sz w:val="16"/>
              </w:rPr>
            </w:pPr>
            <w:r>
              <w:rPr>
                <w:rFonts w:ascii="Arial" w:eastAsia="Arial" w:hAnsi="Arial" w:cs="Arial"/>
                <w:color w:val="000000"/>
                <w:sz w:val="16"/>
              </w:rPr>
              <w:t>beginning of the reporting period</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2943F452" w14:textId="77777777" w:rsidR="003F0EEA" w:rsidRDefault="00FB7D0B">
            <w:pPr>
              <w:jc w:val="right"/>
              <w:rPr>
                <w:rFonts w:ascii="Arial" w:eastAsia="Arial" w:hAnsi="Arial" w:cs="Arial"/>
                <w:color w:val="000000"/>
                <w:sz w:val="16"/>
              </w:rPr>
            </w:pPr>
            <w:r>
              <w:rPr>
                <w:rFonts w:ascii="Arial" w:eastAsia="Arial" w:hAnsi="Arial" w:cs="Arial"/>
                <w:color w:val="000000"/>
                <w:sz w:val="16"/>
              </w:rPr>
              <w:t>2,903 </w:t>
            </w:r>
          </w:p>
        </w:tc>
        <w:tc>
          <w:tcPr>
            <w:tcW w:w="915" w:type="dxa"/>
            <w:tcBorders>
              <w:top w:val="nil"/>
              <w:left w:val="nil"/>
              <w:bottom w:val="nil"/>
              <w:right w:val="nil"/>
              <w:tl2br w:val="nil"/>
              <w:tr2bl w:val="nil"/>
            </w:tcBorders>
            <w:shd w:val="clear" w:color="auto" w:fill="FFFF00"/>
            <w:tcMar>
              <w:left w:w="101" w:type="dxa"/>
              <w:right w:w="101" w:type="dxa"/>
            </w:tcMar>
            <w:vAlign w:val="bottom"/>
          </w:tcPr>
          <w:p w14:paraId="2F00BF3D" w14:textId="77777777" w:rsidR="003F0EEA" w:rsidRDefault="00FB7D0B">
            <w:pPr>
              <w:jc w:val="right"/>
              <w:rPr>
                <w:rFonts w:ascii="Arial" w:eastAsia="Arial" w:hAnsi="Arial" w:cs="Arial"/>
                <w:color w:val="000000"/>
                <w:sz w:val="16"/>
              </w:rPr>
            </w:pPr>
            <w:r>
              <w:rPr>
                <w:rFonts w:ascii="Arial" w:eastAsia="Arial" w:hAnsi="Arial" w:cs="Arial"/>
                <w:color w:val="000000"/>
                <w:sz w:val="16"/>
              </w:rPr>
              <w:t>2,227 </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4AB54BA5" w14:textId="77777777" w:rsidR="003F0EEA" w:rsidRDefault="00FB7D0B">
            <w:pPr>
              <w:jc w:val="right"/>
              <w:rPr>
                <w:rFonts w:ascii="Arial" w:eastAsia="Arial" w:hAnsi="Arial" w:cs="Arial"/>
                <w:color w:val="000000"/>
                <w:sz w:val="16"/>
              </w:rPr>
            </w:pPr>
            <w:r>
              <w:rPr>
                <w:rFonts w:ascii="Arial" w:eastAsia="Arial" w:hAnsi="Arial" w:cs="Arial"/>
                <w:color w:val="000000"/>
                <w:sz w:val="16"/>
              </w:rPr>
              <w:t>2,395 </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2823D388" w14:textId="77777777" w:rsidR="003F0EEA" w:rsidRDefault="00FB7D0B">
            <w:pPr>
              <w:jc w:val="right"/>
              <w:rPr>
                <w:rFonts w:ascii="Arial" w:eastAsia="Arial" w:hAnsi="Arial" w:cs="Arial"/>
                <w:color w:val="000000"/>
                <w:sz w:val="16"/>
              </w:rPr>
            </w:pPr>
            <w:r>
              <w:rPr>
                <w:rFonts w:ascii="Arial" w:eastAsia="Arial" w:hAnsi="Arial" w:cs="Arial"/>
                <w:color w:val="000000"/>
                <w:sz w:val="16"/>
              </w:rPr>
              <w:t>1,749 </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0176D30A" w14:textId="77777777" w:rsidR="003F0EEA" w:rsidRDefault="00FB7D0B">
            <w:pPr>
              <w:jc w:val="right"/>
              <w:rPr>
                <w:rFonts w:ascii="Arial" w:eastAsia="Arial" w:hAnsi="Arial" w:cs="Arial"/>
                <w:color w:val="000000"/>
                <w:sz w:val="16"/>
              </w:rPr>
            </w:pPr>
            <w:r>
              <w:rPr>
                <w:rFonts w:ascii="Arial" w:eastAsia="Arial" w:hAnsi="Arial" w:cs="Arial"/>
                <w:color w:val="000000"/>
                <w:sz w:val="16"/>
              </w:rPr>
              <w:t>1,575 </w:t>
            </w:r>
          </w:p>
        </w:tc>
      </w:tr>
      <w:tr w:rsidR="00FB7D0B" w14:paraId="650EF9C5" w14:textId="77777777" w:rsidTr="00FB7D0B">
        <w:trPr>
          <w:trHeight w:val="225"/>
        </w:trPr>
        <w:tc>
          <w:tcPr>
            <w:tcW w:w="3060" w:type="dxa"/>
            <w:gridSpan w:val="3"/>
            <w:tcBorders>
              <w:top w:val="nil"/>
              <w:left w:val="nil"/>
              <w:bottom w:val="nil"/>
              <w:right w:val="nil"/>
              <w:tl2br w:val="nil"/>
              <w:tr2bl w:val="nil"/>
            </w:tcBorders>
            <w:shd w:val="clear" w:color="auto" w:fill="FFFFFF"/>
            <w:tcMar>
              <w:left w:w="101" w:type="dxa"/>
              <w:right w:w="101" w:type="dxa"/>
            </w:tcMar>
            <w:vAlign w:val="bottom"/>
          </w:tcPr>
          <w:p w14:paraId="575FBB89" w14:textId="77777777" w:rsidR="003F0EEA" w:rsidRDefault="00FB7D0B">
            <w:pPr>
              <w:rPr>
                <w:rFonts w:ascii="Arial" w:eastAsia="Arial" w:hAnsi="Arial" w:cs="Arial"/>
                <w:color w:val="000000"/>
                <w:sz w:val="16"/>
              </w:rPr>
            </w:pPr>
            <w:r>
              <w:rPr>
                <w:rFonts w:ascii="Arial" w:eastAsia="Arial" w:hAnsi="Arial" w:cs="Arial"/>
                <w:b/>
                <w:color w:val="000000"/>
                <w:sz w:val="16"/>
              </w:rPr>
              <w:t xml:space="preserve">Cash and cash equivalents at the </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0EAA5123" w14:textId="77777777" w:rsidR="003F0EEA" w:rsidRDefault="003F0EEA">
            <w:pPr>
              <w:rPr>
                <w:rFonts w:ascii="Arial" w:eastAsia="Arial" w:hAnsi="Arial" w:cs="Arial"/>
                <w:b/>
                <w:color w:val="000000"/>
                <w:sz w:val="16"/>
              </w:rPr>
            </w:pPr>
          </w:p>
        </w:tc>
        <w:tc>
          <w:tcPr>
            <w:tcW w:w="915" w:type="dxa"/>
            <w:tcBorders>
              <w:top w:val="nil"/>
              <w:left w:val="nil"/>
              <w:bottom w:val="nil"/>
              <w:right w:val="nil"/>
              <w:tl2br w:val="nil"/>
              <w:tr2bl w:val="nil"/>
            </w:tcBorders>
            <w:shd w:val="clear" w:color="auto" w:fill="FFFF00"/>
            <w:tcMar>
              <w:left w:w="101" w:type="dxa"/>
              <w:right w:w="101" w:type="dxa"/>
            </w:tcMar>
            <w:vAlign w:val="bottom"/>
          </w:tcPr>
          <w:p w14:paraId="36F76170" w14:textId="77777777" w:rsidR="003F0EEA" w:rsidRDefault="003F0EEA">
            <w:pPr>
              <w:rPr>
                <w:rFonts w:ascii="Arial" w:eastAsia="Arial" w:hAnsi="Arial" w:cs="Arial"/>
                <w:color w:val="000000"/>
                <w:sz w:val="16"/>
              </w:rPr>
            </w:pP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4B61E898" w14:textId="77777777" w:rsidR="003F0EEA" w:rsidRDefault="003F0EEA">
            <w:pPr>
              <w:rPr>
                <w:rFonts w:ascii="Arial" w:eastAsia="Arial" w:hAnsi="Arial" w:cs="Arial"/>
                <w:color w:val="000000"/>
                <w:sz w:val="16"/>
              </w:rPr>
            </w:pP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0624E012" w14:textId="77777777" w:rsidR="003F0EEA" w:rsidRDefault="003F0EEA">
            <w:pPr>
              <w:rPr>
                <w:rFonts w:ascii="Arial" w:eastAsia="Arial" w:hAnsi="Arial" w:cs="Arial"/>
                <w:color w:val="000000"/>
                <w:sz w:val="16"/>
              </w:rPr>
            </w:pP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4FB4C5A4" w14:textId="77777777" w:rsidR="003F0EEA" w:rsidRDefault="003F0EEA">
            <w:pPr>
              <w:rPr>
                <w:rFonts w:ascii="Arial" w:eastAsia="Arial" w:hAnsi="Arial" w:cs="Arial"/>
                <w:color w:val="000000"/>
                <w:sz w:val="16"/>
              </w:rPr>
            </w:pPr>
          </w:p>
        </w:tc>
      </w:tr>
      <w:tr w:rsidR="00FB7D0B" w14:paraId="356A24EF" w14:textId="77777777" w:rsidTr="00FB7D0B">
        <w:trPr>
          <w:trHeight w:val="225"/>
        </w:trPr>
        <w:tc>
          <w:tcPr>
            <w:tcW w:w="180"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0A90E891" w14:textId="77777777" w:rsidR="003F0EEA" w:rsidRDefault="003F0EEA">
            <w:pPr>
              <w:rPr>
                <w:rFonts w:ascii="Arial" w:eastAsia="Arial" w:hAnsi="Arial" w:cs="Arial"/>
                <w:color w:val="000000"/>
                <w:sz w:val="16"/>
              </w:rPr>
            </w:pPr>
          </w:p>
        </w:tc>
        <w:tc>
          <w:tcPr>
            <w:tcW w:w="2880" w:type="dxa"/>
            <w:gridSpan w:val="2"/>
            <w:tcBorders>
              <w:top w:val="nil"/>
              <w:left w:val="nil"/>
              <w:bottom w:val="single" w:sz="6" w:space="0" w:color="000000"/>
              <w:right w:val="nil"/>
              <w:tl2br w:val="nil"/>
              <w:tr2bl w:val="nil"/>
            </w:tcBorders>
            <w:shd w:val="clear" w:color="auto" w:fill="FFFFFF"/>
            <w:tcMar>
              <w:left w:w="101" w:type="dxa"/>
              <w:right w:w="101" w:type="dxa"/>
            </w:tcMar>
            <w:vAlign w:val="bottom"/>
          </w:tcPr>
          <w:p w14:paraId="7436A8A9" w14:textId="77777777" w:rsidR="003F0EEA" w:rsidRDefault="00FB7D0B">
            <w:pPr>
              <w:rPr>
                <w:rFonts w:ascii="Arial" w:eastAsia="Arial" w:hAnsi="Arial" w:cs="Arial"/>
                <w:color w:val="000000"/>
                <w:sz w:val="16"/>
              </w:rPr>
            </w:pPr>
            <w:r>
              <w:rPr>
                <w:rFonts w:ascii="Arial" w:eastAsia="Arial" w:hAnsi="Arial" w:cs="Arial"/>
                <w:b/>
                <w:color w:val="000000"/>
                <w:sz w:val="16"/>
              </w:rPr>
              <w:t>end of the reporting period</w:t>
            </w:r>
          </w:p>
        </w:tc>
        <w:tc>
          <w:tcPr>
            <w:tcW w:w="915"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6FF15F1E" w14:textId="77777777" w:rsidR="003F0EEA" w:rsidRDefault="00FB7D0B">
            <w:pPr>
              <w:jc w:val="right"/>
              <w:rPr>
                <w:rFonts w:ascii="Arial" w:eastAsia="Arial" w:hAnsi="Arial" w:cs="Arial"/>
                <w:b/>
                <w:color w:val="000000"/>
                <w:sz w:val="16"/>
              </w:rPr>
            </w:pPr>
            <w:r>
              <w:rPr>
                <w:rFonts w:ascii="Arial" w:eastAsia="Arial" w:hAnsi="Arial" w:cs="Arial"/>
                <w:b/>
                <w:color w:val="000000"/>
                <w:sz w:val="16"/>
              </w:rPr>
              <w:t>2,227 </w:t>
            </w:r>
          </w:p>
        </w:tc>
        <w:tc>
          <w:tcPr>
            <w:tcW w:w="915" w:type="dxa"/>
            <w:tcBorders>
              <w:top w:val="nil"/>
              <w:left w:val="nil"/>
              <w:bottom w:val="single" w:sz="6" w:space="0" w:color="000000"/>
              <w:right w:val="nil"/>
              <w:tl2br w:val="nil"/>
              <w:tr2bl w:val="nil"/>
            </w:tcBorders>
            <w:shd w:val="clear" w:color="auto" w:fill="FFFF00"/>
            <w:tcMar>
              <w:left w:w="101" w:type="dxa"/>
              <w:right w:w="101" w:type="dxa"/>
            </w:tcMar>
            <w:vAlign w:val="bottom"/>
          </w:tcPr>
          <w:p w14:paraId="19DAE854" w14:textId="77777777" w:rsidR="003F0EEA" w:rsidRDefault="00FB7D0B">
            <w:pPr>
              <w:jc w:val="right"/>
              <w:rPr>
                <w:rFonts w:ascii="Arial" w:eastAsia="Arial" w:hAnsi="Arial" w:cs="Arial"/>
                <w:b/>
                <w:color w:val="000000"/>
                <w:sz w:val="16"/>
              </w:rPr>
            </w:pPr>
            <w:r>
              <w:rPr>
                <w:rFonts w:ascii="Arial" w:eastAsia="Arial" w:hAnsi="Arial" w:cs="Arial"/>
                <w:b/>
                <w:color w:val="000000"/>
                <w:sz w:val="16"/>
              </w:rPr>
              <w:t>2,395 </w:t>
            </w:r>
          </w:p>
        </w:tc>
        <w:tc>
          <w:tcPr>
            <w:tcW w:w="915"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7E0F9DAD" w14:textId="77777777" w:rsidR="003F0EEA" w:rsidRDefault="00FB7D0B">
            <w:pPr>
              <w:jc w:val="right"/>
              <w:rPr>
                <w:rFonts w:ascii="Arial" w:eastAsia="Arial" w:hAnsi="Arial" w:cs="Arial"/>
                <w:b/>
                <w:color w:val="000000"/>
                <w:sz w:val="16"/>
              </w:rPr>
            </w:pPr>
            <w:r>
              <w:rPr>
                <w:rFonts w:ascii="Arial" w:eastAsia="Arial" w:hAnsi="Arial" w:cs="Arial"/>
                <w:b/>
                <w:color w:val="000000"/>
                <w:sz w:val="16"/>
              </w:rPr>
              <w:t>1,749 </w:t>
            </w:r>
          </w:p>
        </w:tc>
        <w:tc>
          <w:tcPr>
            <w:tcW w:w="915"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3820FAC5" w14:textId="77777777" w:rsidR="003F0EEA" w:rsidRDefault="00FB7D0B">
            <w:pPr>
              <w:jc w:val="right"/>
              <w:rPr>
                <w:rFonts w:ascii="Arial" w:eastAsia="Arial" w:hAnsi="Arial" w:cs="Arial"/>
                <w:b/>
                <w:color w:val="000000"/>
                <w:sz w:val="16"/>
              </w:rPr>
            </w:pPr>
            <w:r>
              <w:rPr>
                <w:rFonts w:ascii="Arial" w:eastAsia="Arial" w:hAnsi="Arial" w:cs="Arial"/>
                <w:b/>
                <w:color w:val="000000"/>
                <w:sz w:val="16"/>
              </w:rPr>
              <w:t>1,575 </w:t>
            </w:r>
          </w:p>
        </w:tc>
        <w:tc>
          <w:tcPr>
            <w:tcW w:w="915"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64413A65" w14:textId="77777777" w:rsidR="003F0EEA" w:rsidRDefault="00FB7D0B">
            <w:pPr>
              <w:jc w:val="right"/>
              <w:rPr>
                <w:rFonts w:ascii="Arial" w:eastAsia="Arial" w:hAnsi="Arial" w:cs="Arial"/>
                <w:b/>
                <w:color w:val="000000"/>
                <w:sz w:val="16"/>
              </w:rPr>
            </w:pPr>
            <w:r>
              <w:rPr>
                <w:rFonts w:ascii="Arial" w:eastAsia="Arial" w:hAnsi="Arial" w:cs="Arial"/>
                <w:b/>
                <w:color w:val="000000"/>
                <w:sz w:val="16"/>
              </w:rPr>
              <w:t>1,803 </w:t>
            </w:r>
          </w:p>
        </w:tc>
      </w:tr>
    </w:tbl>
    <w:p w14:paraId="4417C269" w14:textId="77777777" w:rsidR="003F0EEA" w:rsidRPr="00BC7C5A" w:rsidRDefault="00FB7D0B" w:rsidP="003F0EEA">
      <w:pPr>
        <w:pStyle w:val="Source9"/>
      </w:pPr>
      <w:r>
        <w:t>Prepared on Australian Accounting Standards basis</w:t>
      </w:r>
    </w:p>
    <w:p w14:paraId="5E8A0AF6" w14:textId="77777777" w:rsidR="003F0EEA" w:rsidRPr="00BC7C5A" w:rsidRDefault="00FB7D0B">
      <w:pPr>
        <w:spacing w:line="14" w:lineRule="exact"/>
        <w:rPr>
          <w:rFonts w:eastAsia="Times New Roman" w:cs="Times New Roman"/>
        </w:rPr>
      </w:pPr>
      <w:r w:rsidRPr="00BC7C5A">
        <w:rPr>
          <w:rFonts w:eastAsia="Times New Roman" w:cs="Times New Roman"/>
        </w:rPr>
        <w:br w:type="page"/>
      </w:r>
    </w:p>
    <w:p w14:paraId="70D370E2" w14:textId="77777777" w:rsidR="003F0EEA" w:rsidRPr="001C6501" w:rsidRDefault="00FB7D0B" w:rsidP="003F0EEA">
      <w:pPr>
        <w:pStyle w:val="Normal181"/>
        <w:spacing w:before="120"/>
        <w:rPr>
          <w:rFonts w:ascii="Arial" w:hAnsi="Arial" w:cs="Arial"/>
          <w:sz w:val="20"/>
          <w:szCs w:val="20"/>
        </w:rPr>
      </w:pPr>
      <w:r w:rsidRPr="001C6501">
        <w:rPr>
          <w:rFonts w:ascii="Arial" w:hAnsi="Arial" w:cs="Arial"/>
          <w:b/>
          <w:sz w:val="20"/>
          <w:szCs w:val="20"/>
        </w:rPr>
        <w:t>Table 3.2</w:t>
      </w:r>
      <w:r>
        <w:rPr>
          <w:rFonts w:ascii="Arial" w:hAnsi="Arial" w:cs="Arial"/>
          <w:b/>
          <w:sz w:val="20"/>
          <w:szCs w:val="20"/>
        </w:rPr>
        <w:t>.1c: Departmental Comprehensive Income S</w:t>
      </w:r>
      <w:r w:rsidRPr="001C6501">
        <w:rPr>
          <w:rFonts w:ascii="Arial" w:hAnsi="Arial" w:cs="Arial"/>
          <w:b/>
          <w:sz w:val="20"/>
          <w:szCs w:val="20"/>
        </w:rPr>
        <w:t>tatement (DSHIS) (showing</w:t>
      </w:r>
      <w:r>
        <w:rPr>
          <w:rFonts w:ascii="Arial" w:hAnsi="Arial" w:cs="Arial"/>
          <w:b/>
          <w:sz w:val="20"/>
          <w:szCs w:val="20"/>
        </w:rPr>
        <w:br/>
      </w:r>
      <w:r w:rsidRPr="001C6501">
        <w:rPr>
          <w:rFonts w:ascii="Arial" w:hAnsi="Arial" w:cs="Arial"/>
          <w:b/>
          <w:sz w:val="20"/>
          <w:szCs w:val="20"/>
        </w:rPr>
        <w:t xml:space="preserve"> net cost of services) </w:t>
      </w:r>
      <w:r w:rsidRPr="00762B36">
        <w:rPr>
          <w:rFonts w:ascii="Arial" w:hAnsi="Arial" w:cs="Arial"/>
          <w:b/>
          <w:sz w:val="20"/>
          <w:szCs w:val="20"/>
        </w:rPr>
        <w:t>for the period ended 30 June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0"/>
        <w:gridCol w:w="250"/>
        <w:gridCol w:w="2700"/>
        <w:gridCol w:w="990"/>
        <w:gridCol w:w="915"/>
        <w:gridCol w:w="915"/>
        <w:gridCol w:w="915"/>
        <w:gridCol w:w="915"/>
      </w:tblGrid>
      <w:tr w:rsidR="00724034" w14:paraId="20D6BBA8" w14:textId="77777777">
        <w:trPr>
          <w:trHeight w:val="225"/>
        </w:trPr>
        <w:tc>
          <w:tcPr>
            <w:tcW w:w="180"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7A9E6F0E" w14:textId="77777777" w:rsidR="003F0EEA" w:rsidRPr="001C6501" w:rsidRDefault="003F0EEA">
            <w:pPr>
              <w:rPr>
                <w:rFonts w:ascii="Arial" w:eastAsia="Times New Roman" w:hAnsi="Arial" w:cs="Arial"/>
                <w:sz w:val="20"/>
                <w:szCs w:val="20"/>
              </w:rPr>
            </w:pPr>
          </w:p>
        </w:tc>
        <w:tc>
          <w:tcPr>
            <w:tcW w:w="180"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2B176E17" w14:textId="77777777" w:rsidR="003F0EEA" w:rsidRPr="001C6501" w:rsidRDefault="003F0EEA">
            <w:pPr>
              <w:rPr>
                <w:rFonts w:ascii="Arial" w:eastAsia="Arial" w:hAnsi="Arial" w:cs="Arial"/>
                <w:color w:val="000000"/>
                <w:sz w:val="16"/>
                <w:szCs w:val="20"/>
              </w:rPr>
            </w:pPr>
          </w:p>
        </w:tc>
        <w:tc>
          <w:tcPr>
            <w:tcW w:w="2700"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3CE72187" w14:textId="77777777" w:rsidR="003F0EEA" w:rsidRPr="001C6501" w:rsidRDefault="003F0EEA">
            <w:pPr>
              <w:jc w:val="right"/>
              <w:rPr>
                <w:rFonts w:ascii="Arial" w:eastAsia="Arial" w:hAnsi="Arial" w:cs="Arial"/>
                <w:color w:val="000000"/>
                <w:sz w:val="16"/>
                <w:szCs w:val="20"/>
              </w:rPr>
            </w:pPr>
          </w:p>
        </w:tc>
        <w:tc>
          <w:tcPr>
            <w:tcW w:w="990"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09FE023A" w14:textId="77777777" w:rsidR="003F0EEA" w:rsidRPr="001C6501" w:rsidRDefault="00FB7D0B">
            <w:pPr>
              <w:jc w:val="right"/>
              <w:rPr>
                <w:rFonts w:ascii="Arial" w:eastAsia="Arial" w:hAnsi="Arial" w:cs="Arial"/>
                <w:color w:val="000000"/>
                <w:sz w:val="16"/>
                <w:szCs w:val="20"/>
                <w:vertAlign w:val="superscript"/>
              </w:rPr>
            </w:pPr>
            <w:r w:rsidRPr="001C6501">
              <w:rPr>
                <w:rFonts w:ascii="Arial" w:eastAsia="Arial" w:hAnsi="Arial" w:cs="Arial"/>
                <w:color w:val="000000"/>
                <w:sz w:val="16"/>
                <w:szCs w:val="20"/>
              </w:rPr>
              <w:t>Estimated</w:t>
            </w:r>
          </w:p>
        </w:tc>
        <w:tc>
          <w:tcPr>
            <w:tcW w:w="915" w:type="dxa"/>
            <w:tcBorders>
              <w:top w:val="single" w:sz="6" w:space="0" w:color="000000"/>
              <w:left w:val="nil"/>
              <w:bottom w:val="nil"/>
              <w:right w:val="nil"/>
              <w:tl2br w:val="nil"/>
              <w:tr2bl w:val="nil"/>
            </w:tcBorders>
            <w:shd w:val="clear" w:color="auto" w:fill="FFFF00"/>
            <w:tcMar>
              <w:left w:w="115" w:type="dxa"/>
              <w:right w:w="115" w:type="dxa"/>
            </w:tcMar>
            <w:vAlign w:val="bottom"/>
          </w:tcPr>
          <w:p w14:paraId="70A817CD" w14:textId="77777777" w:rsidR="003F0EEA" w:rsidRPr="001C6501" w:rsidRDefault="00FB7D0B">
            <w:pPr>
              <w:jc w:val="right"/>
              <w:rPr>
                <w:rFonts w:ascii="Arial" w:eastAsia="Arial" w:hAnsi="Arial" w:cs="Arial"/>
                <w:color w:val="000000"/>
                <w:sz w:val="16"/>
                <w:szCs w:val="20"/>
              </w:rPr>
            </w:pPr>
            <w:r w:rsidRPr="001C6501">
              <w:rPr>
                <w:rFonts w:ascii="Arial" w:eastAsia="Arial" w:hAnsi="Arial" w:cs="Arial"/>
                <w:color w:val="000000"/>
                <w:sz w:val="16"/>
                <w:szCs w:val="20"/>
              </w:rPr>
              <w:t>Budget</w:t>
            </w:r>
          </w:p>
        </w:tc>
        <w:tc>
          <w:tcPr>
            <w:tcW w:w="915"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7BA5FE2B" w14:textId="77777777" w:rsidR="003F0EEA" w:rsidRPr="001C6501" w:rsidRDefault="00FB7D0B">
            <w:pPr>
              <w:jc w:val="right"/>
              <w:rPr>
                <w:rFonts w:ascii="Arial" w:eastAsia="Arial" w:hAnsi="Arial" w:cs="Arial"/>
                <w:color w:val="000000"/>
                <w:sz w:val="16"/>
                <w:szCs w:val="20"/>
              </w:rPr>
            </w:pPr>
            <w:r w:rsidRPr="001C6501">
              <w:rPr>
                <w:rFonts w:ascii="Arial" w:eastAsia="Arial" w:hAnsi="Arial" w:cs="Arial"/>
                <w:color w:val="000000"/>
                <w:sz w:val="16"/>
                <w:szCs w:val="20"/>
              </w:rPr>
              <w:t>Forward</w:t>
            </w:r>
          </w:p>
        </w:tc>
        <w:tc>
          <w:tcPr>
            <w:tcW w:w="915"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2A14AAA3" w14:textId="77777777" w:rsidR="003F0EEA" w:rsidRPr="001C6501" w:rsidRDefault="00FB7D0B">
            <w:pPr>
              <w:jc w:val="right"/>
              <w:rPr>
                <w:rFonts w:ascii="Arial" w:eastAsia="Arial" w:hAnsi="Arial" w:cs="Arial"/>
                <w:color w:val="000000"/>
                <w:sz w:val="16"/>
                <w:szCs w:val="20"/>
              </w:rPr>
            </w:pPr>
            <w:r w:rsidRPr="001C6501">
              <w:rPr>
                <w:rFonts w:ascii="Arial" w:eastAsia="Arial" w:hAnsi="Arial" w:cs="Arial"/>
                <w:color w:val="000000"/>
                <w:sz w:val="16"/>
                <w:szCs w:val="20"/>
              </w:rPr>
              <w:t>Forward</w:t>
            </w:r>
          </w:p>
        </w:tc>
        <w:tc>
          <w:tcPr>
            <w:tcW w:w="915"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75E30228" w14:textId="77777777" w:rsidR="003F0EEA" w:rsidRPr="001C6501" w:rsidRDefault="00FB7D0B">
            <w:pPr>
              <w:jc w:val="right"/>
              <w:rPr>
                <w:rFonts w:ascii="Arial" w:eastAsia="Arial" w:hAnsi="Arial" w:cs="Arial"/>
                <w:color w:val="000000"/>
                <w:sz w:val="16"/>
                <w:szCs w:val="20"/>
              </w:rPr>
            </w:pPr>
            <w:r w:rsidRPr="001C6501">
              <w:rPr>
                <w:rFonts w:ascii="Arial" w:eastAsia="Arial" w:hAnsi="Arial" w:cs="Arial"/>
                <w:color w:val="000000"/>
                <w:sz w:val="16"/>
                <w:szCs w:val="20"/>
              </w:rPr>
              <w:t>Forward</w:t>
            </w:r>
          </w:p>
        </w:tc>
      </w:tr>
      <w:tr w:rsidR="00724034" w14:paraId="7D565D83" w14:textId="77777777">
        <w:trPr>
          <w:trHeight w:val="225"/>
        </w:trPr>
        <w:tc>
          <w:tcPr>
            <w:tcW w:w="180" w:type="dxa"/>
            <w:tcBorders>
              <w:top w:val="nil"/>
              <w:left w:val="nil"/>
              <w:bottom w:val="nil"/>
              <w:right w:val="nil"/>
              <w:tl2br w:val="nil"/>
              <w:tr2bl w:val="nil"/>
            </w:tcBorders>
            <w:shd w:val="clear" w:color="auto" w:fill="FFFFFF"/>
            <w:tcMar>
              <w:left w:w="115" w:type="dxa"/>
              <w:right w:w="115" w:type="dxa"/>
            </w:tcMar>
            <w:vAlign w:val="bottom"/>
          </w:tcPr>
          <w:p w14:paraId="68E9F113" w14:textId="77777777" w:rsidR="003F0EEA" w:rsidRPr="001C6501" w:rsidRDefault="003F0EEA">
            <w:pPr>
              <w:rPr>
                <w:rFonts w:ascii="Arial" w:eastAsia="Arial" w:hAnsi="Arial" w:cs="Arial"/>
                <w:color w:val="000000"/>
                <w:sz w:val="16"/>
                <w:szCs w:val="20"/>
              </w:rPr>
            </w:pPr>
          </w:p>
        </w:tc>
        <w:tc>
          <w:tcPr>
            <w:tcW w:w="180" w:type="dxa"/>
            <w:tcBorders>
              <w:top w:val="nil"/>
              <w:left w:val="nil"/>
              <w:bottom w:val="nil"/>
              <w:right w:val="nil"/>
              <w:tl2br w:val="nil"/>
              <w:tr2bl w:val="nil"/>
            </w:tcBorders>
            <w:shd w:val="clear" w:color="auto" w:fill="FFFFFF"/>
            <w:tcMar>
              <w:left w:w="115" w:type="dxa"/>
              <w:right w:w="115" w:type="dxa"/>
            </w:tcMar>
            <w:vAlign w:val="bottom"/>
          </w:tcPr>
          <w:p w14:paraId="71D245F5" w14:textId="77777777" w:rsidR="003F0EEA" w:rsidRPr="001C6501" w:rsidRDefault="003F0EEA">
            <w:pPr>
              <w:rPr>
                <w:rFonts w:ascii="Arial" w:eastAsia="Arial" w:hAnsi="Arial" w:cs="Arial"/>
                <w:color w:val="000000"/>
                <w:sz w:val="16"/>
                <w:szCs w:val="20"/>
              </w:rPr>
            </w:pPr>
          </w:p>
        </w:tc>
        <w:tc>
          <w:tcPr>
            <w:tcW w:w="2700" w:type="dxa"/>
            <w:tcBorders>
              <w:top w:val="nil"/>
              <w:left w:val="nil"/>
              <w:bottom w:val="nil"/>
              <w:right w:val="nil"/>
              <w:tl2br w:val="nil"/>
              <w:tr2bl w:val="nil"/>
            </w:tcBorders>
            <w:shd w:val="clear" w:color="auto" w:fill="FFFFFF"/>
            <w:tcMar>
              <w:left w:w="115" w:type="dxa"/>
              <w:right w:w="115" w:type="dxa"/>
            </w:tcMar>
            <w:vAlign w:val="bottom"/>
          </w:tcPr>
          <w:p w14:paraId="2AD2C2F6" w14:textId="77777777" w:rsidR="003F0EEA" w:rsidRPr="001C6501" w:rsidRDefault="003F0EEA">
            <w:pPr>
              <w:jc w:val="right"/>
              <w:rPr>
                <w:rFonts w:ascii="Arial" w:eastAsia="Arial" w:hAnsi="Arial" w:cs="Arial"/>
                <w:color w:val="000000"/>
                <w:sz w:val="16"/>
                <w:szCs w:val="20"/>
              </w:rPr>
            </w:pPr>
          </w:p>
        </w:tc>
        <w:tc>
          <w:tcPr>
            <w:tcW w:w="990" w:type="dxa"/>
            <w:tcBorders>
              <w:top w:val="nil"/>
              <w:left w:val="nil"/>
              <w:bottom w:val="nil"/>
              <w:right w:val="nil"/>
              <w:tl2br w:val="nil"/>
              <w:tr2bl w:val="nil"/>
            </w:tcBorders>
            <w:shd w:val="clear" w:color="auto" w:fill="FFFFFF"/>
            <w:tcMar>
              <w:left w:w="115" w:type="dxa"/>
              <w:right w:w="115" w:type="dxa"/>
            </w:tcMar>
            <w:vAlign w:val="bottom"/>
          </w:tcPr>
          <w:p w14:paraId="728E340D" w14:textId="77777777" w:rsidR="003F0EEA" w:rsidRPr="001C6501" w:rsidRDefault="00FB7D0B">
            <w:pPr>
              <w:jc w:val="right"/>
              <w:rPr>
                <w:rFonts w:ascii="Arial" w:eastAsia="Arial" w:hAnsi="Arial" w:cs="Arial"/>
                <w:color w:val="000000"/>
                <w:sz w:val="16"/>
                <w:szCs w:val="20"/>
                <w:vertAlign w:val="superscript"/>
              </w:rPr>
            </w:pPr>
            <w:r w:rsidRPr="001C6501">
              <w:rPr>
                <w:rFonts w:ascii="Arial" w:eastAsia="Arial" w:hAnsi="Arial" w:cs="Arial"/>
                <w:color w:val="000000"/>
                <w:sz w:val="16"/>
                <w:szCs w:val="20"/>
              </w:rPr>
              <w:t>actual</w:t>
            </w:r>
          </w:p>
        </w:tc>
        <w:tc>
          <w:tcPr>
            <w:tcW w:w="915" w:type="dxa"/>
            <w:tcBorders>
              <w:top w:val="nil"/>
              <w:left w:val="nil"/>
              <w:bottom w:val="nil"/>
              <w:right w:val="nil"/>
              <w:tl2br w:val="nil"/>
              <w:tr2bl w:val="nil"/>
            </w:tcBorders>
            <w:shd w:val="clear" w:color="auto" w:fill="FFFF00"/>
            <w:tcMar>
              <w:left w:w="115" w:type="dxa"/>
              <w:right w:w="115" w:type="dxa"/>
            </w:tcMar>
            <w:vAlign w:val="bottom"/>
          </w:tcPr>
          <w:p w14:paraId="546FCB03" w14:textId="77777777" w:rsidR="003F0EEA" w:rsidRPr="001C6501" w:rsidRDefault="00FB7D0B">
            <w:pPr>
              <w:jc w:val="right"/>
              <w:rPr>
                <w:rFonts w:ascii="Arial" w:eastAsia="Arial" w:hAnsi="Arial" w:cs="Arial"/>
                <w:color w:val="000000"/>
                <w:sz w:val="16"/>
                <w:szCs w:val="20"/>
              </w:rPr>
            </w:pPr>
            <w:r w:rsidRPr="001C6501">
              <w:rPr>
                <w:rFonts w:ascii="Arial" w:eastAsia="Arial" w:hAnsi="Arial" w:cs="Arial"/>
                <w:color w:val="000000"/>
                <w:sz w:val="16"/>
                <w:szCs w:val="20"/>
              </w:rPr>
              <w:t>estimate</w:t>
            </w:r>
          </w:p>
        </w:tc>
        <w:tc>
          <w:tcPr>
            <w:tcW w:w="915" w:type="dxa"/>
            <w:tcBorders>
              <w:top w:val="nil"/>
              <w:left w:val="nil"/>
              <w:bottom w:val="nil"/>
              <w:right w:val="nil"/>
              <w:tl2br w:val="nil"/>
              <w:tr2bl w:val="nil"/>
            </w:tcBorders>
            <w:shd w:val="clear" w:color="auto" w:fill="FFFFFF"/>
            <w:tcMar>
              <w:left w:w="115" w:type="dxa"/>
              <w:right w:w="115" w:type="dxa"/>
            </w:tcMar>
            <w:vAlign w:val="bottom"/>
          </w:tcPr>
          <w:p w14:paraId="5FCC0855" w14:textId="77777777" w:rsidR="003F0EEA" w:rsidRPr="001C6501" w:rsidRDefault="00FB7D0B">
            <w:pPr>
              <w:jc w:val="right"/>
              <w:rPr>
                <w:rFonts w:ascii="Arial" w:eastAsia="Arial" w:hAnsi="Arial" w:cs="Arial"/>
                <w:color w:val="000000"/>
                <w:sz w:val="16"/>
                <w:szCs w:val="20"/>
              </w:rPr>
            </w:pPr>
            <w:r w:rsidRPr="001C6501">
              <w:rPr>
                <w:rFonts w:ascii="Arial" w:eastAsia="Arial" w:hAnsi="Arial" w:cs="Arial"/>
                <w:color w:val="000000"/>
                <w:sz w:val="16"/>
                <w:szCs w:val="20"/>
              </w:rPr>
              <w:t>estimate</w:t>
            </w:r>
          </w:p>
        </w:tc>
        <w:tc>
          <w:tcPr>
            <w:tcW w:w="915" w:type="dxa"/>
            <w:tcBorders>
              <w:top w:val="nil"/>
              <w:left w:val="nil"/>
              <w:bottom w:val="nil"/>
              <w:right w:val="nil"/>
              <w:tl2br w:val="nil"/>
              <w:tr2bl w:val="nil"/>
            </w:tcBorders>
            <w:shd w:val="clear" w:color="auto" w:fill="FFFFFF"/>
            <w:tcMar>
              <w:left w:w="115" w:type="dxa"/>
              <w:right w:w="115" w:type="dxa"/>
            </w:tcMar>
            <w:vAlign w:val="bottom"/>
          </w:tcPr>
          <w:p w14:paraId="31688157" w14:textId="77777777" w:rsidR="003F0EEA" w:rsidRPr="001C6501" w:rsidRDefault="00FB7D0B">
            <w:pPr>
              <w:jc w:val="right"/>
              <w:rPr>
                <w:rFonts w:ascii="Arial" w:eastAsia="Arial" w:hAnsi="Arial" w:cs="Arial"/>
                <w:color w:val="000000"/>
                <w:sz w:val="16"/>
                <w:szCs w:val="20"/>
              </w:rPr>
            </w:pPr>
            <w:r w:rsidRPr="001C6501">
              <w:rPr>
                <w:rFonts w:ascii="Arial" w:eastAsia="Arial" w:hAnsi="Arial" w:cs="Arial"/>
                <w:color w:val="000000"/>
                <w:sz w:val="16"/>
                <w:szCs w:val="20"/>
              </w:rPr>
              <w:t>estimate</w:t>
            </w:r>
          </w:p>
        </w:tc>
        <w:tc>
          <w:tcPr>
            <w:tcW w:w="915" w:type="dxa"/>
            <w:tcBorders>
              <w:top w:val="nil"/>
              <w:left w:val="nil"/>
              <w:bottom w:val="nil"/>
              <w:right w:val="nil"/>
              <w:tl2br w:val="nil"/>
              <w:tr2bl w:val="nil"/>
            </w:tcBorders>
            <w:shd w:val="clear" w:color="auto" w:fill="FFFFFF"/>
            <w:tcMar>
              <w:left w:w="115" w:type="dxa"/>
              <w:right w:w="115" w:type="dxa"/>
            </w:tcMar>
            <w:vAlign w:val="bottom"/>
          </w:tcPr>
          <w:p w14:paraId="1136C5FE" w14:textId="77777777" w:rsidR="003F0EEA" w:rsidRPr="001C6501" w:rsidRDefault="00FB7D0B">
            <w:pPr>
              <w:jc w:val="right"/>
              <w:rPr>
                <w:rFonts w:ascii="Arial" w:eastAsia="Arial" w:hAnsi="Arial" w:cs="Arial"/>
                <w:color w:val="000000"/>
                <w:sz w:val="16"/>
                <w:szCs w:val="20"/>
              </w:rPr>
            </w:pPr>
            <w:r w:rsidRPr="001C6501">
              <w:rPr>
                <w:rFonts w:ascii="Arial" w:eastAsia="Arial" w:hAnsi="Arial" w:cs="Arial"/>
                <w:color w:val="000000"/>
                <w:sz w:val="16"/>
                <w:szCs w:val="20"/>
              </w:rPr>
              <w:t>estimate</w:t>
            </w:r>
          </w:p>
        </w:tc>
      </w:tr>
      <w:tr w:rsidR="00724034" w14:paraId="41709720" w14:textId="77777777">
        <w:trPr>
          <w:trHeight w:val="225"/>
        </w:trPr>
        <w:tc>
          <w:tcPr>
            <w:tcW w:w="180" w:type="dxa"/>
            <w:tcBorders>
              <w:top w:val="nil"/>
              <w:left w:val="nil"/>
              <w:bottom w:val="nil"/>
              <w:right w:val="nil"/>
              <w:tl2br w:val="nil"/>
              <w:tr2bl w:val="nil"/>
            </w:tcBorders>
            <w:shd w:val="clear" w:color="auto" w:fill="FFFFFF"/>
            <w:tcMar>
              <w:left w:w="115" w:type="dxa"/>
              <w:right w:w="115" w:type="dxa"/>
            </w:tcMar>
            <w:vAlign w:val="bottom"/>
          </w:tcPr>
          <w:p w14:paraId="754E6C4A" w14:textId="77777777" w:rsidR="003F0EEA" w:rsidRPr="001C6501" w:rsidRDefault="003F0EEA">
            <w:pPr>
              <w:rPr>
                <w:rFonts w:ascii="Arial" w:eastAsia="Arial" w:hAnsi="Arial" w:cs="Arial"/>
                <w:color w:val="000000"/>
                <w:sz w:val="16"/>
                <w:szCs w:val="20"/>
              </w:rPr>
            </w:pPr>
          </w:p>
        </w:tc>
        <w:tc>
          <w:tcPr>
            <w:tcW w:w="180" w:type="dxa"/>
            <w:tcBorders>
              <w:top w:val="nil"/>
              <w:left w:val="nil"/>
              <w:bottom w:val="nil"/>
              <w:right w:val="nil"/>
              <w:tl2br w:val="nil"/>
              <w:tr2bl w:val="nil"/>
            </w:tcBorders>
            <w:shd w:val="clear" w:color="auto" w:fill="FFFFFF"/>
            <w:tcMar>
              <w:left w:w="115" w:type="dxa"/>
              <w:right w:w="115" w:type="dxa"/>
            </w:tcMar>
            <w:vAlign w:val="bottom"/>
          </w:tcPr>
          <w:p w14:paraId="5C9D3CE8" w14:textId="77777777" w:rsidR="003F0EEA" w:rsidRPr="001C6501" w:rsidRDefault="003F0EEA">
            <w:pPr>
              <w:rPr>
                <w:rFonts w:ascii="Arial" w:eastAsia="Arial" w:hAnsi="Arial" w:cs="Arial"/>
                <w:color w:val="000000"/>
                <w:sz w:val="16"/>
                <w:szCs w:val="20"/>
              </w:rPr>
            </w:pPr>
          </w:p>
        </w:tc>
        <w:tc>
          <w:tcPr>
            <w:tcW w:w="2700" w:type="dxa"/>
            <w:tcBorders>
              <w:top w:val="nil"/>
              <w:left w:val="nil"/>
              <w:bottom w:val="nil"/>
              <w:right w:val="nil"/>
              <w:tl2br w:val="nil"/>
              <w:tr2bl w:val="nil"/>
            </w:tcBorders>
            <w:shd w:val="clear" w:color="auto" w:fill="FFFFFF"/>
            <w:tcMar>
              <w:left w:w="115" w:type="dxa"/>
              <w:right w:w="115" w:type="dxa"/>
            </w:tcMar>
            <w:vAlign w:val="bottom"/>
          </w:tcPr>
          <w:p w14:paraId="17366B06" w14:textId="77777777" w:rsidR="003F0EEA" w:rsidRPr="001C6501" w:rsidRDefault="003F0EEA">
            <w:pPr>
              <w:jc w:val="right"/>
              <w:rPr>
                <w:rFonts w:ascii="Arial" w:eastAsia="Arial" w:hAnsi="Arial" w:cs="Arial"/>
                <w:color w:val="000000"/>
                <w:sz w:val="16"/>
                <w:szCs w:val="20"/>
              </w:rPr>
            </w:pPr>
          </w:p>
        </w:tc>
        <w:tc>
          <w:tcPr>
            <w:tcW w:w="990" w:type="dxa"/>
            <w:tcBorders>
              <w:top w:val="nil"/>
              <w:left w:val="nil"/>
              <w:bottom w:val="nil"/>
              <w:right w:val="nil"/>
              <w:tl2br w:val="nil"/>
              <w:tr2bl w:val="nil"/>
            </w:tcBorders>
            <w:shd w:val="clear" w:color="auto" w:fill="FFFFFF"/>
            <w:tcMar>
              <w:left w:w="115" w:type="dxa"/>
              <w:right w:w="115" w:type="dxa"/>
            </w:tcMar>
            <w:vAlign w:val="bottom"/>
          </w:tcPr>
          <w:p w14:paraId="1DB47762" w14:textId="77777777" w:rsidR="003F0EEA" w:rsidRPr="001C6501" w:rsidRDefault="00FB7D0B">
            <w:pPr>
              <w:jc w:val="right"/>
              <w:rPr>
                <w:rFonts w:ascii="Arial" w:eastAsia="Arial" w:hAnsi="Arial" w:cs="Arial"/>
                <w:color w:val="000000"/>
                <w:sz w:val="16"/>
                <w:szCs w:val="20"/>
                <w:vertAlign w:val="superscript"/>
              </w:rPr>
            </w:pPr>
            <w:r w:rsidRPr="001C6501">
              <w:rPr>
                <w:rFonts w:ascii="Arial" w:eastAsia="Arial" w:hAnsi="Arial" w:cs="Arial"/>
                <w:color w:val="000000"/>
                <w:sz w:val="16"/>
                <w:szCs w:val="20"/>
              </w:rPr>
              <w:t>2013-14</w:t>
            </w:r>
          </w:p>
        </w:tc>
        <w:tc>
          <w:tcPr>
            <w:tcW w:w="915" w:type="dxa"/>
            <w:tcBorders>
              <w:top w:val="nil"/>
              <w:left w:val="nil"/>
              <w:bottom w:val="nil"/>
              <w:right w:val="nil"/>
              <w:tl2br w:val="nil"/>
              <w:tr2bl w:val="nil"/>
            </w:tcBorders>
            <w:shd w:val="clear" w:color="auto" w:fill="FFFF00"/>
            <w:tcMar>
              <w:left w:w="115" w:type="dxa"/>
              <w:right w:w="115" w:type="dxa"/>
            </w:tcMar>
            <w:vAlign w:val="bottom"/>
          </w:tcPr>
          <w:p w14:paraId="2F54B8E7" w14:textId="77777777" w:rsidR="003F0EEA" w:rsidRPr="001C6501" w:rsidRDefault="00FB7D0B">
            <w:pPr>
              <w:jc w:val="right"/>
              <w:rPr>
                <w:rFonts w:ascii="Arial" w:eastAsia="Arial" w:hAnsi="Arial" w:cs="Arial"/>
                <w:color w:val="000000"/>
                <w:sz w:val="16"/>
                <w:szCs w:val="20"/>
              </w:rPr>
            </w:pPr>
            <w:r w:rsidRPr="001C6501">
              <w:rPr>
                <w:rFonts w:ascii="Arial" w:eastAsia="Arial" w:hAnsi="Arial" w:cs="Arial"/>
                <w:color w:val="000000"/>
                <w:sz w:val="16"/>
                <w:szCs w:val="20"/>
              </w:rPr>
              <w:t>2014-15</w:t>
            </w:r>
          </w:p>
        </w:tc>
        <w:tc>
          <w:tcPr>
            <w:tcW w:w="915" w:type="dxa"/>
            <w:tcBorders>
              <w:top w:val="nil"/>
              <w:left w:val="nil"/>
              <w:bottom w:val="nil"/>
              <w:right w:val="nil"/>
              <w:tl2br w:val="nil"/>
              <w:tr2bl w:val="nil"/>
            </w:tcBorders>
            <w:shd w:val="clear" w:color="auto" w:fill="FFFFFF"/>
            <w:tcMar>
              <w:left w:w="115" w:type="dxa"/>
              <w:right w:w="115" w:type="dxa"/>
            </w:tcMar>
            <w:vAlign w:val="bottom"/>
          </w:tcPr>
          <w:p w14:paraId="604648A3" w14:textId="77777777" w:rsidR="003F0EEA" w:rsidRPr="001C6501" w:rsidRDefault="00FB7D0B">
            <w:pPr>
              <w:jc w:val="right"/>
              <w:rPr>
                <w:rFonts w:ascii="Arial" w:eastAsia="Arial" w:hAnsi="Arial" w:cs="Arial"/>
                <w:color w:val="000000"/>
                <w:sz w:val="16"/>
                <w:szCs w:val="20"/>
              </w:rPr>
            </w:pPr>
            <w:r w:rsidRPr="001C6501">
              <w:rPr>
                <w:rFonts w:ascii="Arial" w:eastAsia="Arial" w:hAnsi="Arial" w:cs="Arial"/>
                <w:color w:val="000000"/>
                <w:sz w:val="16"/>
                <w:szCs w:val="20"/>
              </w:rPr>
              <w:t>2015-16</w:t>
            </w:r>
          </w:p>
        </w:tc>
        <w:tc>
          <w:tcPr>
            <w:tcW w:w="915" w:type="dxa"/>
            <w:tcBorders>
              <w:top w:val="nil"/>
              <w:left w:val="nil"/>
              <w:bottom w:val="nil"/>
              <w:right w:val="nil"/>
              <w:tl2br w:val="nil"/>
              <w:tr2bl w:val="nil"/>
            </w:tcBorders>
            <w:shd w:val="clear" w:color="auto" w:fill="FFFFFF"/>
            <w:tcMar>
              <w:left w:w="115" w:type="dxa"/>
              <w:right w:w="115" w:type="dxa"/>
            </w:tcMar>
            <w:vAlign w:val="bottom"/>
          </w:tcPr>
          <w:p w14:paraId="035D8370" w14:textId="77777777" w:rsidR="003F0EEA" w:rsidRPr="001C6501" w:rsidRDefault="00FB7D0B">
            <w:pPr>
              <w:jc w:val="right"/>
              <w:rPr>
                <w:rFonts w:ascii="Arial" w:eastAsia="Arial" w:hAnsi="Arial" w:cs="Arial"/>
                <w:color w:val="000000"/>
                <w:sz w:val="16"/>
                <w:szCs w:val="20"/>
              </w:rPr>
            </w:pPr>
            <w:r w:rsidRPr="001C6501">
              <w:rPr>
                <w:rFonts w:ascii="Arial" w:eastAsia="Arial" w:hAnsi="Arial" w:cs="Arial"/>
                <w:color w:val="000000"/>
                <w:sz w:val="16"/>
                <w:szCs w:val="20"/>
              </w:rPr>
              <w:t>2016-17</w:t>
            </w:r>
          </w:p>
        </w:tc>
        <w:tc>
          <w:tcPr>
            <w:tcW w:w="915" w:type="dxa"/>
            <w:tcBorders>
              <w:top w:val="nil"/>
              <w:left w:val="nil"/>
              <w:bottom w:val="nil"/>
              <w:right w:val="nil"/>
              <w:tl2br w:val="nil"/>
              <w:tr2bl w:val="nil"/>
            </w:tcBorders>
            <w:shd w:val="clear" w:color="auto" w:fill="FFFFFF"/>
            <w:tcMar>
              <w:left w:w="115" w:type="dxa"/>
              <w:right w:w="115" w:type="dxa"/>
            </w:tcMar>
            <w:vAlign w:val="bottom"/>
          </w:tcPr>
          <w:p w14:paraId="35881A95" w14:textId="77777777" w:rsidR="003F0EEA" w:rsidRPr="001C6501" w:rsidRDefault="00FB7D0B">
            <w:pPr>
              <w:jc w:val="right"/>
              <w:rPr>
                <w:rFonts w:ascii="Arial" w:eastAsia="Arial" w:hAnsi="Arial" w:cs="Arial"/>
                <w:color w:val="000000"/>
                <w:sz w:val="16"/>
                <w:szCs w:val="20"/>
              </w:rPr>
            </w:pPr>
            <w:r w:rsidRPr="001C6501">
              <w:rPr>
                <w:rFonts w:ascii="Arial" w:eastAsia="Arial" w:hAnsi="Arial" w:cs="Arial"/>
                <w:color w:val="000000"/>
                <w:sz w:val="16"/>
                <w:szCs w:val="20"/>
              </w:rPr>
              <w:t>2017-18</w:t>
            </w:r>
          </w:p>
        </w:tc>
      </w:tr>
      <w:tr w:rsidR="00724034" w14:paraId="79B5DA8F" w14:textId="77777777">
        <w:trPr>
          <w:trHeight w:val="225"/>
        </w:trPr>
        <w:tc>
          <w:tcPr>
            <w:tcW w:w="180" w:type="dxa"/>
            <w:tcBorders>
              <w:top w:val="nil"/>
              <w:left w:val="nil"/>
              <w:bottom w:val="nil"/>
              <w:right w:val="nil"/>
              <w:tl2br w:val="nil"/>
              <w:tr2bl w:val="nil"/>
            </w:tcBorders>
            <w:shd w:val="clear" w:color="auto" w:fill="FFFFFF"/>
            <w:tcMar>
              <w:left w:w="115" w:type="dxa"/>
              <w:right w:w="115" w:type="dxa"/>
            </w:tcMar>
            <w:vAlign w:val="bottom"/>
          </w:tcPr>
          <w:p w14:paraId="17628E07" w14:textId="77777777" w:rsidR="003F0EEA" w:rsidRPr="001C6501" w:rsidRDefault="003F0EEA">
            <w:pPr>
              <w:rPr>
                <w:rFonts w:ascii="Arial" w:eastAsia="Arial" w:hAnsi="Arial" w:cs="Arial"/>
                <w:color w:val="000000"/>
                <w:sz w:val="16"/>
                <w:szCs w:val="20"/>
              </w:rPr>
            </w:pPr>
          </w:p>
        </w:tc>
        <w:tc>
          <w:tcPr>
            <w:tcW w:w="180" w:type="dxa"/>
            <w:tcBorders>
              <w:top w:val="nil"/>
              <w:left w:val="nil"/>
              <w:bottom w:val="nil"/>
              <w:right w:val="nil"/>
              <w:tl2br w:val="nil"/>
              <w:tr2bl w:val="nil"/>
            </w:tcBorders>
            <w:shd w:val="clear" w:color="auto" w:fill="FFFFFF"/>
            <w:tcMar>
              <w:left w:w="115" w:type="dxa"/>
              <w:right w:w="115" w:type="dxa"/>
            </w:tcMar>
            <w:vAlign w:val="bottom"/>
          </w:tcPr>
          <w:p w14:paraId="3AEF6F7F" w14:textId="77777777" w:rsidR="003F0EEA" w:rsidRPr="001C6501" w:rsidRDefault="003F0EEA">
            <w:pPr>
              <w:rPr>
                <w:rFonts w:ascii="Arial" w:eastAsia="Arial" w:hAnsi="Arial" w:cs="Arial"/>
                <w:color w:val="000000"/>
                <w:sz w:val="16"/>
                <w:szCs w:val="20"/>
              </w:rPr>
            </w:pPr>
          </w:p>
        </w:tc>
        <w:tc>
          <w:tcPr>
            <w:tcW w:w="2700" w:type="dxa"/>
            <w:tcBorders>
              <w:top w:val="nil"/>
              <w:left w:val="nil"/>
              <w:bottom w:val="nil"/>
              <w:right w:val="nil"/>
              <w:tl2br w:val="nil"/>
              <w:tr2bl w:val="nil"/>
            </w:tcBorders>
            <w:shd w:val="clear" w:color="auto" w:fill="FFFFFF"/>
            <w:tcMar>
              <w:left w:w="115" w:type="dxa"/>
              <w:right w:w="115" w:type="dxa"/>
            </w:tcMar>
            <w:vAlign w:val="bottom"/>
          </w:tcPr>
          <w:p w14:paraId="0E952385" w14:textId="77777777" w:rsidR="003F0EEA" w:rsidRPr="001C6501" w:rsidRDefault="003F0EEA">
            <w:pPr>
              <w:jc w:val="right"/>
              <w:rPr>
                <w:rFonts w:ascii="Arial" w:eastAsia="Arial" w:hAnsi="Arial" w:cs="Arial"/>
                <w:color w:val="000000"/>
                <w:sz w:val="16"/>
                <w:szCs w:val="20"/>
              </w:rPr>
            </w:pPr>
          </w:p>
        </w:tc>
        <w:tc>
          <w:tcPr>
            <w:tcW w:w="990"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0A806AA1" w14:textId="77777777" w:rsidR="003F0EEA" w:rsidRPr="001C6501" w:rsidRDefault="00FB7D0B">
            <w:pPr>
              <w:jc w:val="right"/>
              <w:rPr>
                <w:rFonts w:ascii="Arial" w:eastAsia="Arial" w:hAnsi="Arial" w:cs="Arial"/>
                <w:color w:val="000000"/>
                <w:sz w:val="16"/>
                <w:szCs w:val="20"/>
                <w:vertAlign w:val="superscript"/>
              </w:rPr>
            </w:pPr>
            <w:r w:rsidRPr="001C6501">
              <w:rPr>
                <w:rFonts w:ascii="Arial" w:eastAsia="Arial" w:hAnsi="Arial" w:cs="Arial"/>
                <w:color w:val="000000"/>
                <w:sz w:val="16"/>
                <w:szCs w:val="20"/>
              </w:rPr>
              <w:t>$'000</w:t>
            </w:r>
          </w:p>
        </w:tc>
        <w:tc>
          <w:tcPr>
            <w:tcW w:w="915" w:type="dxa"/>
            <w:tcBorders>
              <w:top w:val="nil"/>
              <w:left w:val="nil"/>
              <w:bottom w:val="single" w:sz="6" w:space="0" w:color="000000"/>
              <w:right w:val="nil"/>
              <w:tl2br w:val="nil"/>
              <w:tr2bl w:val="nil"/>
            </w:tcBorders>
            <w:shd w:val="clear" w:color="auto" w:fill="FFFF00"/>
            <w:tcMar>
              <w:left w:w="115" w:type="dxa"/>
              <w:right w:w="115" w:type="dxa"/>
            </w:tcMar>
            <w:vAlign w:val="bottom"/>
          </w:tcPr>
          <w:p w14:paraId="7B8756A3" w14:textId="77777777" w:rsidR="003F0EEA" w:rsidRPr="001C6501" w:rsidRDefault="00FB7D0B">
            <w:pPr>
              <w:jc w:val="right"/>
              <w:rPr>
                <w:rFonts w:ascii="Arial" w:eastAsia="Arial" w:hAnsi="Arial" w:cs="Arial"/>
                <w:color w:val="000000"/>
                <w:sz w:val="16"/>
                <w:szCs w:val="20"/>
              </w:rPr>
            </w:pPr>
            <w:r w:rsidRPr="001C6501">
              <w:rPr>
                <w:rFonts w:ascii="Arial" w:eastAsia="Arial" w:hAnsi="Arial" w:cs="Arial"/>
                <w:color w:val="000000"/>
                <w:sz w:val="16"/>
                <w:szCs w:val="20"/>
              </w:rPr>
              <w:t>$'000</w:t>
            </w:r>
          </w:p>
        </w:tc>
        <w:tc>
          <w:tcPr>
            <w:tcW w:w="915"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1213953E" w14:textId="77777777" w:rsidR="003F0EEA" w:rsidRPr="001C6501" w:rsidRDefault="00FB7D0B">
            <w:pPr>
              <w:jc w:val="right"/>
              <w:rPr>
                <w:rFonts w:ascii="Arial" w:eastAsia="Arial" w:hAnsi="Arial" w:cs="Arial"/>
                <w:color w:val="000000"/>
                <w:sz w:val="16"/>
                <w:szCs w:val="20"/>
              </w:rPr>
            </w:pPr>
            <w:r w:rsidRPr="001C6501">
              <w:rPr>
                <w:rFonts w:ascii="Arial" w:eastAsia="Arial" w:hAnsi="Arial" w:cs="Arial"/>
                <w:color w:val="000000"/>
                <w:sz w:val="16"/>
                <w:szCs w:val="20"/>
              </w:rPr>
              <w:t>$'000</w:t>
            </w:r>
          </w:p>
        </w:tc>
        <w:tc>
          <w:tcPr>
            <w:tcW w:w="915"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14511FE7" w14:textId="77777777" w:rsidR="003F0EEA" w:rsidRPr="001C6501" w:rsidRDefault="00FB7D0B">
            <w:pPr>
              <w:jc w:val="right"/>
              <w:rPr>
                <w:rFonts w:ascii="Arial" w:eastAsia="Arial" w:hAnsi="Arial" w:cs="Arial"/>
                <w:color w:val="000000"/>
                <w:sz w:val="16"/>
                <w:szCs w:val="20"/>
              </w:rPr>
            </w:pPr>
            <w:r w:rsidRPr="001C6501">
              <w:rPr>
                <w:rFonts w:ascii="Arial" w:eastAsia="Arial" w:hAnsi="Arial" w:cs="Arial"/>
                <w:color w:val="000000"/>
                <w:sz w:val="16"/>
                <w:szCs w:val="20"/>
              </w:rPr>
              <w:t>$'000</w:t>
            </w:r>
          </w:p>
        </w:tc>
        <w:tc>
          <w:tcPr>
            <w:tcW w:w="915"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07419320" w14:textId="77777777" w:rsidR="003F0EEA" w:rsidRPr="001C6501" w:rsidRDefault="00FB7D0B">
            <w:pPr>
              <w:jc w:val="right"/>
              <w:rPr>
                <w:rFonts w:ascii="Arial" w:eastAsia="Arial" w:hAnsi="Arial" w:cs="Arial"/>
                <w:color w:val="000000"/>
                <w:sz w:val="16"/>
                <w:szCs w:val="20"/>
              </w:rPr>
            </w:pPr>
            <w:r w:rsidRPr="001C6501">
              <w:rPr>
                <w:rFonts w:ascii="Arial" w:eastAsia="Arial" w:hAnsi="Arial" w:cs="Arial"/>
                <w:color w:val="000000"/>
                <w:sz w:val="16"/>
                <w:szCs w:val="20"/>
              </w:rPr>
              <w:t>$'000</w:t>
            </w:r>
          </w:p>
        </w:tc>
      </w:tr>
      <w:tr w:rsidR="00FB7D0B" w14:paraId="07700D62" w14:textId="77777777" w:rsidTr="00FB7D0B">
        <w:trPr>
          <w:trHeight w:val="225"/>
        </w:trPr>
        <w:tc>
          <w:tcPr>
            <w:tcW w:w="3060" w:type="dxa"/>
            <w:gridSpan w:val="3"/>
            <w:tcBorders>
              <w:top w:val="nil"/>
              <w:left w:val="nil"/>
              <w:bottom w:val="nil"/>
              <w:right w:val="nil"/>
              <w:tl2br w:val="nil"/>
              <w:tr2bl w:val="nil"/>
            </w:tcBorders>
            <w:shd w:val="clear" w:color="auto" w:fill="FFFFFF"/>
            <w:tcMar>
              <w:left w:w="115" w:type="dxa"/>
              <w:right w:w="115" w:type="dxa"/>
            </w:tcMar>
            <w:vAlign w:val="bottom"/>
          </w:tcPr>
          <w:p w14:paraId="508E9908" w14:textId="77777777" w:rsidR="003F0EEA" w:rsidRPr="001C6501" w:rsidRDefault="00FB7D0B">
            <w:pPr>
              <w:rPr>
                <w:rFonts w:ascii="Arial" w:eastAsia="Arial" w:hAnsi="Arial" w:cs="Arial"/>
                <w:color w:val="000000"/>
                <w:sz w:val="16"/>
                <w:szCs w:val="20"/>
              </w:rPr>
            </w:pPr>
            <w:r w:rsidRPr="001C6501">
              <w:rPr>
                <w:rFonts w:ascii="Arial" w:eastAsia="Arial" w:hAnsi="Arial" w:cs="Arial"/>
                <w:b/>
                <w:color w:val="000000"/>
                <w:sz w:val="16"/>
                <w:szCs w:val="20"/>
              </w:rPr>
              <w:t>EXPENSES</w:t>
            </w:r>
          </w:p>
        </w:tc>
        <w:tc>
          <w:tcPr>
            <w:tcW w:w="990"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0991B621" w14:textId="77777777" w:rsidR="003F0EEA" w:rsidRPr="001C6501" w:rsidRDefault="003F0EEA">
            <w:pPr>
              <w:rPr>
                <w:rFonts w:ascii="Arial" w:eastAsia="Arial" w:hAnsi="Arial" w:cs="Arial"/>
                <w:b/>
                <w:color w:val="000000"/>
                <w:sz w:val="16"/>
                <w:szCs w:val="20"/>
                <w:vertAlign w:val="superscript"/>
              </w:rPr>
            </w:pPr>
          </w:p>
        </w:tc>
        <w:tc>
          <w:tcPr>
            <w:tcW w:w="915" w:type="dxa"/>
            <w:tcBorders>
              <w:top w:val="single" w:sz="6" w:space="0" w:color="000000"/>
              <w:left w:val="nil"/>
              <w:bottom w:val="nil"/>
              <w:right w:val="nil"/>
              <w:tl2br w:val="nil"/>
              <w:tr2bl w:val="nil"/>
            </w:tcBorders>
            <w:shd w:val="clear" w:color="auto" w:fill="FFFF00"/>
            <w:tcMar>
              <w:left w:w="115" w:type="dxa"/>
              <w:right w:w="115" w:type="dxa"/>
            </w:tcMar>
            <w:vAlign w:val="bottom"/>
          </w:tcPr>
          <w:p w14:paraId="3604CAE2" w14:textId="77777777" w:rsidR="003F0EEA" w:rsidRPr="001C6501" w:rsidRDefault="003F0EEA">
            <w:pPr>
              <w:rPr>
                <w:rFonts w:ascii="Arial" w:eastAsia="Arial" w:hAnsi="Arial" w:cs="Arial"/>
                <w:color w:val="000000"/>
                <w:sz w:val="16"/>
                <w:szCs w:val="20"/>
                <w:vertAlign w:val="superscript"/>
              </w:rPr>
            </w:pPr>
          </w:p>
        </w:tc>
        <w:tc>
          <w:tcPr>
            <w:tcW w:w="915"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70E81119" w14:textId="77777777" w:rsidR="003F0EEA" w:rsidRPr="001C6501" w:rsidRDefault="003F0EEA">
            <w:pPr>
              <w:rPr>
                <w:rFonts w:ascii="Arial" w:eastAsia="Arial" w:hAnsi="Arial" w:cs="Arial"/>
                <w:color w:val="000000"/>
                <w:sz w:val="16"/>
                <w:szCs w:val="20"/>
                <w:vertAlign w:val="superscript"/>
              </w:rPr>
            </w:pPr>
          </w:p>
        </w:tc>
        <w:tc>
          <w:tcPr>
            <w:tcW w:w="915"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11E4D37C" w14:textId="77777777" w:rsidR="003F0EEA" w:rsidRPr="001C6501" w:rsidRDefault="003F0EEA">
            <w:pPr>
              <w:rPr>
                <w:rFonts w:ascii="Arial" w:eastAsia="Arial" w:hAnsi="Arial" w:cs="Arial"/>
                <w:color w:val="000000"/>
                <w:sz w:val="16"/>
                <w:szCs w:val="20"/>
                <w:vertAlign w:val="superscript"/>
              </w:rPr>
            </w:pPr>
          </w:p>
        </w:tc>
        <w:tc>
          <w:tcPr>
            <w:tcW w:w="915"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12920900" w14:textId="77777777" w:rsidR="003F0EEA" w:rsidRPr="001C6501" w:rsidRDefault="003F0EEA">
            <w:pPr>
              <w:rPr>
                <w:rFonts w:ascii="Arial" w:eastAsia="Arial" w:hAnsi="Arial" w:cs="Arial"/>
                <w:color w:val="000000"/>
                <w:sz w:val="16"/>
                <w:szCs w:val="20"/>
                <w:vertAlign w:val="superscript"/>
              </w:rPr>
            </w:pPr>
          </w:p>
        </w:tc>
      </w:tr>
      <w:tr w:rsidR="00FB7D0B" w14:paraId="4AC56ABF" w14:textId="77777777" w:rsidTr="00FB7D0B">
        <w:trPr>
          <w:trHeight w:val="225"/>
        </w:trPr>
        <w:tc>
          <w:tcPr>
            <w:tcW w:w="180" w:type="dxa"/>
            <w:tcBorders>
              <w:top w:val="nil"/>
              <w:left w:val="nil"/>
              <w:bottom w:val="nil"/>
              <w:right w:val="nil"/>
              <w:tl2br w:val="nil"/>
              <w:tr2bl w:val="nil"/>
            </w:tcBorders>
            <w:shd w:val="clear" w:color="auto" w:fill="FFFFFF"/>
            <w:tcMar>
              <w:left w:w="115" w:type="dxa"/>
              <w:right w:w="115" w:type="dxa"/>
            </w:tcMar>
            <w:vAlign w:val="bottom"/>
          </w:tcPr>
          <w:p w14:paraId="70BE2DE8" w14:textId="77777777" w:rsidR="003F0EEA" w:rsidRPr="001C6501" w:rsidRDefault="003F0EEA">
            <w:pPr>
              <w:rPr>
                <w:rFonts w:ascii="Arial" w:eastAsia="Arial" w:hAnsi="Arial" w:cs="Arial"/>
                <w:color w:val="000000"/>
                <w:sz w:val="16"/>
                <w:szCs w:val="20"/>
                <w:vertAlign w:val="superscript"/>
              </w:rPr>
            </w:pPr>
          </w:p>
        </w:tc>
        <w:tc>
          <w:tcPr>
            <w:tcW w:w="2880" w:type="dxa"/>
            <w:gridSpan w:val="2"/>
            <w:vMerge w:val="restart"/>
            <w:tcBorders>
              <w:top w:val="nil"/>
              <w:left w:val="nil"/>
              <w:bottom w:val="nil"/>
              <w:right w:val="nil"/>
              <w:tl2br w:val="nil"/>
              <w:tr2bl w:val="nil"/>
            </w:tcBorders>
            <w:shd w:val="clear" w:color="auto" w:fill="FFFFFF"/>
            <w:tcMar>
              <w:left w:w="115" w:type="dxa"/>
              <w:right w:w="115" w:type="dxa"/>
            </w:tcMar>
            <w:vAlign w:val="bottom"/>
          </w:tcPr>
          <w:p w14:paraId="4AF41E28" w14:textId="77777777" w:rsidR="003F0EEA" w:rsidRPr="001C6501" w:rsidRDefault="00FB7D0B">
            <w:pPr>
              <w:rPr>
                <w:rFonts w:ascii="Arial" w:eastAsia="Arial" w:hAnsi="Arial" w:cs="Arial"/>
                <w:color w:val="000000"/>
                <w:sz w:val="16"/>
                <w:szCs w:val="20"/>
                <w:vertAlign w:val="superscript"/>
              </w:rPr>
            </w:pPr>
            <w:r w:rsidRPr="001C6501">
              <w:rPr>
                <w:rFonts w:ascii="Arial" w:eastAsia="Arial" w:hAnsi="Arial" w:cs="Arial"/>
                <w:color w:val="000000"/>
                <w:sz w:val="16"/>
                <w:szCs w:val="20"/>
              </w:rPr>
              <w:t>Employee benefits</w:t>
            </w:r>
          </w:p>
        </w:tc>
        <w:tc>
          <w:tcPr>
            <w:tcW w:w="990" w:type="dxa"/>
            <w:tcBorders>
              <w:top w:val="nil"/>
              <w:left w:val="nil"/>
              <w:bottom w:val="nil"/>
              <w:right w:val="nil"/>
              <w:tl2br w:val="nil"/>
              <w:tr2bl w:val="nil"/>
            </w:tcBorders>
            <w:shd w:val="clear" w:color="auto" w:fill="FFFFFF"/>
            <w:tcMar>
              <w:left w:w="115" w:type="dxa"/>
              <w:right w:w="115" w:type="dxa"/>
            </w:tcMar>
            <w:vAlign w:val="bottom"/>
          </w:tcPr>
          <w:p w14:paraId="1235CE8F" w14:textId="77777777" w:rsidR="003F0EEA" w:rsidRPr="001C6501" w:rsidRDefault="00FB7D0B">
            <w:pPr>
              <w:jc w:val="right"/>
              <w:rPr>
                <w:rFonts w:ascii="Arial" w:eastAsia="Arial" w:hAnsi="Arial" w:cs="Arial"/>
                <w:color w:val="000000"/>
                <w:sz w:val="16"/>
                <w:szCs w:val="20"/>
                <w:vertAlign w:val="superscript"/>
              </w:rPr>
            </w:pPr>
            <w:r w:rsidRPr="001C6501">
              <w:rPr>
                <w:rFonts w:ascii="Arial" w:eastAsia="Arial" w:hAnsi="Arial" w:cs="Arial"/>
                <w:color w:val="000000"/>
                <w:sz w:val="16"/>
                <w:szCs w:val="20"/>
              </w:rPr>
              <w:t>3,798 </w:t>
            </w:r>
          </w:p>
        </w:tc>
        <w:tc>
          <w:tcPr>
            <w:tcW w:w="915" w:type="dxa"/>
            <w:tcBorders>
              <w:top w:val="nil"/>
              <w:left w:val="nil"/>
              <w:bottom w:val="nil"/>
              <w:right w:val="nil"/>
              <w:tl2br w:val="nil"/>
              <w:tr2bl w:val="nil"/>
            </w:tcBorders>
            <w:shd w:val="clear" w:color="auto" w:fill="FFFF00"/>
            <w:tcMar>
              <w:left w:w="115" w:type="dxa"/>
              <w:right w:w="115" w:type="dxa"/>
            </w:tcMar>
            <w:vAlign w:val="bottom"/>
          </w:tcPr>
          <w:p w14:paraId="3541F840" w14:textId="77777777" w:rsidR="003F0EEA" w:rsidRPr="001C6501" w:rsidRDefault="00FB7D0B">
            <w:pPr>
              <w:jc w:val="right"/>
              <w:rPr>
                <w:rFonts w:ascii="Arial" w:eastAsia="Arial" w:hAnsi="Arial" w:cs="Arial"/>
                <w:color w:val="000000"/>
                <w:sz w:val="16"/>
                <w:szCs w:val="20"/>
              </w:rPr>
            </w:pPr>
            <w:r w:rsidRPr="001C6501">
              <w:rPr>
                <w:rFonts w:ascii="Arial" w:eastAsia="Arial" w:hAnsi="Arial" w:cs="Arial"/>
                <w:color w:val="000000"/>
                <w:sz w:val="16"/>
                <w:szCs w:val="20"/>
              </w:rPr>
              <w:t>4,083 </w:t>
            </w:r>
          </w:p>
        </w:tc>
        <w:tc>
          <w:tcPr>
            <w:tcW w:w="915" w:type="dxa"/>
            <w:tcBorders>
              <w:top w:val="nil"/>
              <w:left w:val="nil"/>
              <w:bottom w:val="nil"/>
              <w:right w:val="nil"/>
              <w:tl2br w:val="nil"/>
              <w:tr2bl w:val="nil"/>
            </w:tcBorders>
            <w:shd w:val="clear" w:color="auto" w:fill="FFFFFF"/>
            <w:tcMar>
              <w:left w:w="115" w:type="dxa"/>
              <w:right w:w="115" w:type="dxa"/>
            </w:tcMar>
            <w:vAlign w:val="bottom"/>
          </w:tcPr>
          <w:p w14:paraId="3EDD80D9" w14:textId="77777777" w:rsidR="003F0EEA" w:rsidRPr="001C6501" w:rsidRDefault="00FB7D0B">
            <w:pPr>
              <w:jc w:val="right"/>
              <w:rPr>
                <w:rFonts w:ascii="Arial" w:eastAsia="Arial" w:hAnsi="Arial" w:cs="Arial"/>
                <w:color w:val="000000"/>
                <w:sz w:val="16"/>
                <w:szCs w:val="20"/>
              </w:rPr>
            </w:pPr>
            <w:r w:rsidRPr="001C6501">
              <w:rPr>
                <w:rFonts w:ascii="Arial" w:eastAsia="Arial" w:hAnsi="Arial" w:cs="Arial"/>
                <w:color w:val="000000"/>
                <w:sz w:val="16"/>
                <w:szCs w:val="20"/>
              </w:rPr>
              <w:t>4,389 </w:t>
            </w:r>
          </w:p>
        </w:tc>
        <w:tc>
          <w:tcPr>
            <w:tcW w:w="915" w:type="dxa"/>
            <w:tcBorders>
              <w:top w:val="nil"/>
              <w:left w:val="nil"/>
              <w:bottom w:val="nil"/>
              <w:right w:val="nil"/>
              <w:tl2br w:val="nil"/>
              <w:tr2bl w:val="nil"/>
            </w:tcBorders>
            <w:shd w:val="clear" w:color="auto" w:fill="FFFFFF"/>
            <w:tcMar>
              <w:left w:w="115" w:type="dxa"/>
              <w:right w:w="115" w:type="dxa"/>
            </w:tcMar>
            <w:vAlign w:val="bottom"/>
          </w:tcPr>
          <w:p w14:paraId="52A4D741" w14:textId="77777777" w:rsidR="003F0EEA" w:rsidRPr="001C6501" w:rsidRDefault="00FB7D0B">
            <w:pPr>
              <w:jc w:val="right"/>
              <w:rPr>
                <w:rFonts w:ascii="Arial" w:eastAsia="Arial" w:hAnsi="Arial" w:cs="Arial"/>
                <w:color w:val="000000"/>
                <w:sz w:val="16"/>
                <w:szCs w:val="20"/>
              </w:rPr>
            </w:pPr>
            <w:r w:rsidRPr="001C6501">
              <w:rPr>
                <w:rFonts w:ascii="Arial" w:eastAsia="Arial" w:hAnsi="Arial" w:cs="Arial"/>
                <w:color w:val="000000"/>
                <w:sz w:val="16"/>
                <w:szCs w:val="20"/>
              </w:rPr>
              <w:t>4,718 </w:t>
            </w:r>
          </w:p>
        </w:tc>
        <w:tc>
          <w:tcPr>
            <w:tcW w:w="915" w:type="dxa"/>
            <w:tcBorders>
              <w:top w:val="nil"/>
              <w:left w:val="nil"/>
              <w:bottom w:val="nil"/>
              <w:right w:val="nil"/>
              <w:tl2br w:val="nil"/>
              <w:tr2bl w:val="nil"/>
            </w:tcBorders>
            <w:shd w:val="clear" w:color="auto" w:fill="FFFFFF"/>
            <w:tcMar>
              <w:left w:w="115" w:type="dxa"/>
              <w:right w:w="115" w:type="dxa"/>
            </w:tcMar>
            <w:vAlign w:val="bottom"/>
          </w:tcPr>
          <w:p w14:paraId="18E2AAF6" w14:textId="77777777" w:rsidR="003F0EEA" w:rsidRPr="001C6501" w:rsidRDefault="00FB7D0B">
            <w:pPr>
              <w:jc w:val="right"/>
              <w:rPr>
                <w:rFonts w:ascii="Arial" w:eastAsia="Arial" w:hAnsi="Arial" w:cs="Arial"/>
                <w:color w:val="000000"/>
                <w:sz w:val="16"/>
                <w:szCs w:val="20"/>
              </w:rPr>
            </w:pPr>
            <w:r w:rsidRPr="001C6501">
              <w:rPr>
                <w:rFonts w:ascii="Arial" w:eastAsia="Arial" w:hAnsi="Arial" w:cs="Arial"/>
                <w:color w:val="000000"/>
                <w:sz w:val="16"/>
                <w:szCs w:val="20"/>
              </w:rPr>
              <w:t>5,072 </w:t>
            </w:r>
          </w:p>
        </w:tc>
      </w:tr>
      <w:tr w:rsidR="00FB7D0B" w14:paraId="497D182E" w14:textId="77777777" w:rsidTr="00FB7D0B">
        <w:trPr>
          <w:trHeight w:val="225"/>
        </w:trPr>
        <w:tc>
          <w:tcPr>
            <w:tcW w:w="180" w:type="dxa"/>
            <w:tcBorders>
              <w:top w:val="nil"/>
              <w:left w:val="nil"/>
              <w:bottom w:val="nil"/>
              <w:right w:val="nil"/>
              <w:tl2br w:val="nil"/>
              <w:tr2bl w:val="nil"/>
            </w:tcBorders>
            <w:shd w:val="clear" w:color="auto" w:fill="FFFFFF"/>
            <w:tcMar>
              <w:left w:w="115" w:type="dxa"/>
              <w:right w:w="115" w:type="dxa"/>
            </w:tcMar>
            <w:vAlign w:val="bottom"/>
          </w:tcPr>
          <w:p w14:paraId="129CF0E4" w14:textId="77777777" w:rsidR="003F0EEA" w:rsidRPr="001C6501" w:rsidRDefault="003F0EEA">
            <w:pPr>
              <w:rPr>
                <w:rFonts w:ascii="Arial" w:eastAsia="Arial" w:hAnsi="Arial" w:cs="Arial"/>
                <w:color w:val="000000"/>
                <w:sz w:val="16"/>
                <w:szCs w:val="20"/>
              </w:rPr>
            </w:pPr>
          </w:p>
        </w:tc>
        <w:tc>
          <w:tcPr>
            <w:tcW w:w="2880" w:type="dxa"/>
            <w:gridSpan w:val="2"/>
            <w:vMerge w:val="restart"/>
            <w:tcBorders>
              <w:top w:val="nil"/>
              <w:left w:val="nil"/>
              <w:bottom w:val="nil"/>
              <w:right w:val="nil"/>
              <w:tl2br w:val="nil"/>
              <w:tr2bl w:val="nil"/>
            </w:tcBorders>
            <w:shd w:val="clear" w:color="auto" w:fill="FFFFFF"/>
            <w:tcMar>
              <w:left w:w="115" w:type="dxa"/>
              <w:right w:w="115" w:type="dxa"/>
            </w:tcMar>
            <w:vAlign w:val="bottom"/>
          </w:tcPr>
          <w:p w14:paraId="29D20397" w14:textId="77777777" w:rsidR="003F0EEA" w:rsidRPr="001C6501" w:rsidRDefault="00FB7D0B">
            <w:pPr>
              <w:rPr>
                <w:rFonts w:ascii="Arial" w:eastAsia="Arial" w:hAnsi="Arial" w:cs="Arial"/>
                <w:color w:val="000000"/>
                <w:sz w:val="16"/>
                <w:szCs w:val="20"/>
              </w:rPr>
            </w:pPr>
            <w:r w:rsidRPr="001C6501">
              <w:rPr>
                <w:rFonts w:ascii="Arial" w:eastAsia="Arial" w:hAnsi="Arial" w:cs="Arial"/>
                <w:color w:val="000000"/>
                <w:sz w:val="16"/>
                <w:szCs w:val="20"/>
              </w:rPr>
              <w:t>Supplier expenses</w:t>
            </w:r>
          </w:p>
        </w:tc>
        <w:tc>
          <w:tcPr>
            <w:tcW w:w="990" w:type="dxa"/>
            <w:tcBorders>
              <w:top w:val="nil"/>
              <w:left w:val="nil"/>
              <w:bottom w:val="nil"/>
              <w:right w:val="nil"/>
              <w:tl2br w:val="nil"/>
              <w:tr2bl w:val="nil"/>
            </w:tcBorders>
            <w:shd w:val="clear" w:color="auto" w:fill="FFFFFF"/>
            <w:tcMar>
              <w:left w:w="115" w:type="dxa"/>
              <w:right w:w="115" w:type="dxa"/>
            </w:tcMar>
            <w:vAlign w:val="bottom"/>
          </w:tcPr>
          <w:p w14:paraId="78E08A80" w14:textId="77777777" w:rsidR="003F0EEA" w:rsidRPr="001C6501" w:rsidRDefault="00FB7D0B">
            <w:pPr>
              <w:jc w:val="right"/>
              <w:rPr>
                <w:rFonts w:ascii="Arial" w:eastAsia="Arial" w:hAnsi="Arial" w:cs="Arial"/>
                <w:color w:val="000000"/>
                <w:sz w:val="16"/>
                <w:szCs w:val="20"/>
                <w:vertAlign w:val="superscript"/>
              </w:rPr>
            </w:pPr>
            <w:r w:rsidRPr="001C6501">
              <w:rPr>
                <w:rFonts w:ascii="Arial" w:eastAsia="Arial" w:hAnsi="Arial" w:cs="Arial"/>
                <w:color w:val="000000"/>
                <w:sz w:val="16"/>
                <w:szCs w:val="20"/>
              </w:rPr>
              <w:t>3,141 </w:t>
            </w:r>
          </w:p>
        </w:tc>
        <w:tc>
          <w:tcPr>
            <w:tcW w:w="915" w:type="dxa"/>
            <w:tcBorders>
              <w:top w:val="nil"/>
              <w:left w:val="nil"/>
              <w:bottom w:val="nil"/>
              <w:right w:val="nil"/>
              <w:tl2br w:val="nil"/>
              <w:tr2bl w:val="nil"/>
            </w:tcBorders>
            <w:shd w:val="clear" w:color="auto" w:fill="FFFF00"/>
            <w:tcMar>
              <w:left w:w="115" w:type="dxa"/>
              <w:right w:w="115" w:type="dxa"/>
            </w:tcMar>
            <w:vAlign w:val="bottom"/>
          </w:tcPr>
          <w:p w14:paraId="592E37C0" w14:textId="77777777" w:rsidR="003F0EEA" w:rsidRPr="001C6501" w:rsidRDefault="00FB7D0B">
            <w:pPr>
              <w:jc w:val="right"/>
              <w:rPr>
                <w:rFonts w:ascii="Arial" w:eastAsia="Arial" w:hAnsi="Arial" w:cs="Arial"/>
                <w:color w:val="000000"/>
                <w:sz w:val="16"/>
                <w:szCs w:val="20"/>
              </w:rPr>
            </w:pPr>
            <w:r w:rsidRPr="001C6501">
              <w:rPr>
                <w:rFonts w:ascii="Arial" w:eastAsia="Arial" w:hAnsi="Arial" w:cs="Arial"/>
                <w:color w:val="000000"/>
                <w:sz w:val="16"/>
                <w:szCs w:val="20"/>
              </w:rPr>
              <w:t>3,582 </w:t>
            </w:r>
          </w:p>
        </w:tc>
        <w:tc>
          <w:tcPr>
            <w:tcW w:w="915" w:type="dxa"/>
            <w:tcBorders>
              <w:top w:val="nil"/>
              <w:left w:val="nil"/>
              <w:bottom w:val="nil"/>
              <w:right w:val="nil"/>
              <w:tl2br w:val="nil"/>
              <w:tr2bl w:val="nil"/>
            </w:tcBorders>
            <w:shd w:val="clear" w:color="auto" w:fill="FFFFFF"/>
            <w:tcMar>
              <w:left w:w="115" w:type="dxa"/>
              <w:right w:w="115" w:type="dxa"/>
            </w:tcMar>
            <w:vAlign w:val="bottom"/>
          </w:tcPr>
          <w:p w14:paraId="5D1DA647" w14:textId="77777777" w:rsidR="003F0EEA" w:rsidRPr="001C6501" w:rsidRDefault="00FB7D0B">
            <w:pPr>
              <w:jc w:val="right"/>
              <w:rPr>
                <w:rFonts w:ascii="Arial" w:eastAsia="Arial" w:hAnsi="Arial" w:cs="Arial"/>
                <w:color w:val="000000"/>
                <w:sz w:val="16"/>
                <w:szCs w:val="20"/>
              </w:rPr>
            </w:pPr>
            <w:r w:rsidRPr="001C6501">
              <w:rPr>
                <w:rFonts w:ascii="Arial" w:eastAsia="Arial" w:hAnsi="Arial" w:cs="Arial"/>
                <w:color w:val="000000"/>
                <w:sz w:val="16"/>
                <w:szCs w:val="20"/>
              </w:rPr>
              <w:t>3,642 </w:t>
            </w:r>
          </w:p>
        </w:tc>
        <w:tc>
          <w:tcPr>
            <w:tcW w:w="915" w:type="dxa"/>
            <w:tcBorders>
              <w:top w:val="nil"/>
              <w:left w:val="nil"/>
              <w:bottom w:val="nil"/>
              <w:right w:val="nil"/>
              <w:tl2br w:val="nil"/>
              <w:tr2bl w:val="nil"/>
            </w:tcBorders>
            <w:shd w:val="clear" w:color="auto" w:fill="FFFFFF"/>
            <w:tcMar>
              <w:left w:w="115" w:type="dxa"/>
              <w:right w:w="115" w:type="dxa"/>
            </w:tcMar>
            <w:vAlign w:val="bottom"/>
          </w:tcPr>
          <w:p w14:paraId="5580D05A" w14:textId="77777777" w:rsidR="003F0EEA" w:rsidRPr="001C6501" w:rsidRDefault="00FB7D0B">
            <w:pPr>
              <w:jc w:val="right"/>
              <w:rPr>
                <w:rFonts w:ascii="Arial" w:eastAsia="Arial" w:hAnsi="Arial" w:cs="Arial"/>
                <w:color w:val="000000"/>
                <w:sz w:val="16"/>
                <w:szCs w:val="20"/>
              </w:rPr>
            </w:pPr>
            <w:r w:rsidRPr="001C6501">
              <w:rPr>
                <w:rFonts w:ascii="Arial" w:eastAsia="Arial" w:hAnsi="Arial" w:cs="Arial"/>
                <w:color w:val="000000"/>
                <w:sz w:val="16"/>
                <w:szCs w:val="20"/>
              </w:rPr>
              <w:t>3,920 </w:t>
            </w:r>
          </w:p>
        </w:tc>
        <w:tc>
          <w:tcPr>
            <w:tcW w:w="915" w:type="dxa"/>
            <w:tcBorders>
              <w:top w:val="nil"/>
              <w:left w:val="nil"/>
              <w:bottom w:val="nil"/>
              <w:right w:val="nil"/>
              <w:tl2br w:val="nil"/>
              <w:tr2bl w:val="nil"/>
            </w:tcBorders>
            <w:shd w:val="clear" w:color="auto" w:fill="FFFFFF"/>
            <w:tcMar>
              <w:left w:w="115" w:type="dxa"/>
              <w:right w:w="115" w:type="dxa"/>
            </w:tcMar>
            <w:vAlign w:val="bottom"/>
          </w:tcPr>
          <w:p w14:paraId="49C5EF60" w14:textId="77777777" w:rsidR="003F0EEA" w:rsidRPr="001C6501" w:rsidRDefault="00FB7D0B">
            <w:pPr>
              <w:jc w:val="right"/>
              <w:rPr>
                <w:rFonts w:ascii="Arial" w:eastAsia="Arial" w:hAnsi="Arial" w:cs="Arial"/>
                <w:color w:val="000000"/>
                <w:sz w:val="16"/>
                <w:szCs w:val="20"/>
              </w:rPr>
            </w:pPr>
            <w:r w:rsidRPr="001C6501">
              <w:rPr>
                <w:rFonts w:ascii="Arial" w:eastAsia="Arial" w:hAnsi="Arial" w:cs="Arial"/>
                <w:color w:val="000000"/>
                <w:sz w:val="16"/>
                <w:szCs w:val="20"/>
              </w:rPr>
              <w:t>4,220 </w:t>
            </w:r>
          </w:p>
        </w:tc>
      </w:tr>
      <w:tr w:rsidR="00FB7D0B" w14:paraId="0B947DAC" w14:textId="77777777" w:rsidTr="00FB7D0B">
        <w:trPr>
          <w:trHeight w:val="225"/>
        </w:trPr>
        <w:tc>
          <w:tcPr>
            <w:tcW w:w="180" w:type="dxa"/>
            <w:tcBorders>
              <w:top w:val="nil"/>
              <w:left w:val="nil"/>
              <w:bottom w:val="nil"/>
              <w:right w:val="nil"/>
              <w:tl2br w:val="nil"/>
              <w:tr2bl w:val="nil"/>
            </w:tcBorders>
            <w:shd w:val="clear" w:color="auto" w:fill="FFFFFF"/>
            <w:tcMar>
              <w:left w:w="115" w:type="dxa"/>
              <w:right w:w="115" w:type="dxa"/>
            </w:tcMar>
            <w:vAlign w:val="bottom"/>
          </w:tcPr>
          <w:p w14:paraId="5F158289" w14:textId="77777777" w:rsidR="003F0EEA" w:rsidRPr="001C6501" w:rsidRDefault="003F0EEA">
            <w:pPr>
              <w:rPr>
                <w:rFonts w:ascii="Arial" w:eastAsia="Arial" w:hAnsi="Arial" w:cs="Arial"/>
                <w:color w:val="000000"/>
                <w:sz w:val="16"/>
                <w:szCs w:val="20"/>
              </w:rPr>
            </w:pPr>
          </w:p>
        </w:tc>
        <w:tc>
          <w:tcPr>
            <w:tcW w:w="2880" w:type="dxa"/>
            <w:gridSpan w:val="2"/>
            <w:vMerge w:val="restart"/>
            <w:tcBorders>
              <w:top w:val="nil"/>
              <w:left w:val="nil"/>
              <w:bottom w:val="nil"/>
              <w:right w:val="nil"/>
              <w:tl2br w:val="nil"/>
              <w:tr2bl w:val="nil"/>
            </w:tcBorders>
            <w:shd w:val="clear" w:color="auto" w:fill="FFFFFF"/>
            <w:tcMar>
              <w:left w:w="115" w:type="dxa"/>
              <w:right w:w="115" w:type="dxa"/>
            </w:tcMar>
            <w:vAlign w:val="bottom"/>
          </w:tcPr>
          <w:p w14:paraId="573DBC34" w14:textId="77777777" w:rsidR="003F0EEA" w:rsidRPr="001C6501" w:rsidRDefault="00FB7D0B">
            <w:pPr>
              <w:rPr>
                <w:rFonts w:ascii="Arial" w:eastAsia="Arial" w:hAnsi="Arial" w:cs="Arial"/>
                <w:color w:val="000000"/>
                <w:sz w:val="16"/>
                <w:szCs w:val="20"/>
              </w:rPr>
            </w:pPr>
            <w:r w:rsidRPr="001C6501">
              <w:rPr>
                <w:rFonts w:ascii="Arial" w:eastAsia="Arial" w:hAnsi="Arial" w:cs="Arial"/>
                <w:color w:val="000000"/>
                <w:sz w:val="16"/>
                <w:szCs w:val="20"/>
              </w:rPr>
              <w:t>Depreciation and amortisation</w:t>
            </w:r>
          </w:p>
        </w:tc>
        <w:tc>
          <w:tcPr>
            <w:tcW w:w="990" w:type="dxa"/>
            <w:tcBorders>
              <w:top w:val="nil"/>
              <w:left w:val="nil"/>
              <w:bottom w:val="nil"/>
              <w:right w:val="nil"/>
              <w:tl2br w:val="nil"/>
              <w:tr2bl w:val="nil"/>
            </w:tcBorders>
            <w:shd w:val="clear" w:color="auto" w:fill="FFFFFF"/>
            <w:tcMar>
              <w:left w:w="115" w:type="dxa"/>
              <w:right w:w="115" w:type="dxa"/>
            </w:tcMar>
            <w:vAlign w:val="bottom"/>
          </w:tcPr>
          <w:p w14:paraId="7669E915" w14:textId="77777777" w:rsidR="003F0EEA" w:rsidRPr="001C6501" w:rsidRDefault="00FB7D0B">
            <w:pPr>
              <w:jc w:val="right"/>
              <w:rPr>
                <w:rFonts w:ascii="Arial" w:eastAsia="Arial" w:hAnsi="Arial" w:cs="Arial"/>
                <w:color w:val="000000"/>
                <w:sz w:val="16"/>
                <w:szCs w:val="20"/>
                <w:vertAlign w:val="superscript"/>
              </w:rPr>
            </w:pPr>
            <w:r w:rsidRPr="001C6501">
              <w:rPr>
                <w:rFonts w:ascii="Arial" w:eastAsia="Arial" w:hAnsi="Arial" w:cs="Arial"/>
                <w:color w:val="000000"/>
                <w:sz w:val="16"/>
                <w:szCs w:val="20"/>
              </w:rPr>
              <w:t>75 </w:t>
            </w:r>
          </w:p>
        </w:tc>
        <w:tc>
          <w:tcPr>
            <w:tcW w:w="915" w:type="dxa"/>
            <w:tcBorders>
              <w:top w:val="nil"/>
              <w:left w:val="nil"/>
              <w:bottom w:val="nil"/>
              <w:right w:val="nil"/>
              <w:tl2br w:val="nil"/>
              <w:tr2bl w:val="nil"/>
            </w:tcBorders>
            <w:shd w:val="clear" w:color="auto" w:fill="FFFF00"/>
            <w:tcMar>
              <w:left w:w="115" w:type="dxa"/>
              <w:right w:w="115" w:type="dxa"/>
            </w:tcMar>
            <w:vAlign w:val="bottom"/>
          </w:tcPr>
          <w:p w14:paraId="581FD4CC" w14:textId="77777777" w:rsidR="003F0EEA" w:rsidRPr="001C6501" w:rsidRDefault="00FB7D0B">
            <w:pPr>
              <w:jc w:val="right"/>
              <w:rPr>
                <w:rFonts w:ascii="Arial" w:eastAsia="Arial" w:hAnsi="Arial" w:cs="Arial"/>
                <w:color w:val="000000"/>
                <w:sz w:val="16"/>
                <w:szCs w:val="20"/>
              </w:rPr>
            </w:pPr>
            <w:r w:rsidRPr="001C6501">
              <w:rPr>
                <w:rFonts w:ascii="Arial" w:eastAsia="Arial" w:hAnsi="Arial" w:cs="Arial"/>
                <w:color w:val="000000"/>
                <w:sz w:val="16"/>
                <w:szCs w:val="20"/>
              </w:rPr>
              <w:t>75 </w:t>
            </w:r>
          </w:p>
        </w:tc>
        <w:tc>
          <w:tcPr>
            <w:tcW w:w="915" w:type="dxa"/>
            <w:tcBorders>
              <w:top w:val="nil"/>
              <w:left w:val="nil"/>
              <w:bottom w:val="nil"/>
              <w:right w:val="nil"/>
              <w:tl2br w:val="nil"/>
              <w:tr2bl w:val="nil"/>
            </w:tcBorders>
            <w:shd w:val="clear" w:color="auto" w:fill="FFFFFF"/>
            <w:tcMar>
              <w:left w:w="115" w:type="dxa"/>
              <w:right w:w="115" w:type="dxa"/>
            </w:tcMar>
            <w:vAlign w:val="bottom"/>
          </w:tcPr>
          <w:p w14:paraId="58336DD9" w14:textId="77777777" w:rsidR="003F0EEA" w:rsidRPr="001C6501" w:rsidRDefault="00FB7D0B">
            <w:pPr>
              <w:jc w:val="right"/>
              <w:rPr>
                <w:rFonts w:ascii="Arial" w:eastAsia="Arial" w:hAnsi="Arial" w:cs="Arial"/>
                <w:color w:val="000000"/>
                <w:sz w:val="16"/>
                <w:szCs w:val="20"/>
              </w:rPr>
            </w:pPr>
            <w:r w:rsidRPr="001C6501">
              <w:rPr>
                <w:rFonts w:ascii="Arial" w:eastAsia="Arial" w:hAnsi="Arial" w:cs="Arial"/>
                <w:color w:val="000000"/>
                <w:sz w:val="16"/>
                <w:szCs w:val="20"/>
              </w:rPr>
              <w:t>75 </w:t>
            </w:r>
          </w:p>
        </w:tc>
        <w:tc>
          <w:tcPr>
            <w:tcW w:w="915" w:type="dxa"/>
            <w:tcBorders>
              <w:top w:val="nil"/>
              <w:left w:val="nil"/>
              <w:bottom w:val="nil"/>
              <w:right w:val="nil"/>
              <w:tl2br w:val="nil"/>
              <w:tr2bl w:val="nil"/>
            </w:tcBorders>
            <w:shd w:val="clear" w:color="auto" w:fill="FFFFFF"/>
            <w:tcMar>
              <w:left w:w="115" w:type="dxa"/>
              <w:right w:w="115" w:type="dxa"/>
            </w:tcMar>
            <w:vAlign w:val="bottom"/>
          </w:tcPr>
          <w:p w14:paraId="480A1292" w14:textId="77777777" w:rsidR="003F0EEA" w:rsidRPr="001C6501" w:rsidRDefault="00FB7D0B">
            <w:pPr>
              <w:jc w:val="right"/>
              <w:rPr>
                <w:rFonts w:ascii="Arial" w:eastAsia="Arial" w:hAnsi="Arial" w:cs="Arial"/>
                <w:color w:val="000000"/>
                <w:sz w:val="16"/>
                <w:szCs w:val="20"/>
              </w:rPr>
            </w:pPr>
            <w:r w:rsidRPr="001C6501">
              <w:rPr>
                <w:rFonts w:ascii="Arial" w:eastAsia="Arial" w:hAnsi="Arial" w:cs="Arial"/>
                <w:color w:val="000000"/>
                <w:sz w:val="16"/>
                <w:szCs w:val="20"/>
              </w:rPr>
              <w:t>75 </w:t>
            </w:r>
          </w:p>
        </w:tc>
        <w:tc>
          <w:tcPr>
            <w:tcW w:w="915" w:type="dxa"/>
            <w:tcBorders>
              <w:top w:val="nil"/>
              <w:left w:val="nil"/>
              <w:bottom w:val="nil"/>
              <w:right w:val="nil"/>
              <w:tl2br w:val="nil"/>
              <w:tr2bl w:val="nil"/>
            </w:tcBorders>
            <w:shd w:val="clear" w:color="auto" w:fill="FFFFFF"/>
            <w:tcMar>
              <w:left w:w="115" w:type="dxa"/>
              <w:right w:w="115" w:type="dxa"/>
            </w:tcMar>
            <w:vAlign w:val="bottom"/>
          </w:tcPr>
          <w:p w14:paraId="457744BA" w14:textId="77777777" w:rsidR="003F0EEA" w:rsidRPr="001C6501" w:rsidRDefault="00FB7D0B">
            <w:pPr>
              <w:jc w:val="right"/>
              <w:rPr>
                <w:rFonts w:ascii="Arial" w:eastAsia="Arial" w:hAnsi="Arial" w:cs="Arial"/>
                <w:color w:val="000000"/>
                <w:sz w:val="16"/>
                <w:szCs w:val="20"/>
              </w:rPr>
            </w:pPr>
            <w:r w:rsidRPr="001C6501">
              <w:rPr>
                <w:rFonts w:ascii="Arial" w:eastAsia="Arial" w:hAnsi="Arial" w:cs="Arial"/>
                <w:color w:val="000000"/>
                <w:sz w:val="16"/>
                <w:szCs w:val="20"/>
              </w:rPr>
              <w:t>75 </w:t>
            </w:r>
          </w:p>
        </w:tc>
      </w:tr>
      <w:tr w:rsidR="00FB7D0B" w14:paraId="59F9B554" w14:textId="77777777" w:rsidTr="00FB7D0B">
        <w:trPr>
          <w:trHeight w:val="225"/>
        </w:trPr>
        <w:tc>
          <w:tcPr>
            <w:tcW w:w="180" w:type="dxa"/>
            <w:tcBorders>
              <w:top w:val="nil"/>
              <w:left w:val="nil"/>
              <w:bottom w:val="nil"/>
              <w:right w:val="nil"/>
              <w:tl2br w:val="nil"/>
              <w:tr2bl w:val="nil"/>
            </w:tcBorders>
            <w:shd w:val="clear" w:color="auto" w:fill="FFFFFF"/>
            <w:tcMar>
              <w:left w:w="115" w:type="dxa"/>
              <w:right w:w="115" w:type="dxa"/>
            </w:tcMar>
            <w:vAlign w:val="bottom"/>
          </w:tcPr>
          <w:p w14:paraId="5AA5EAC0" w14:textId="77777777" w:rsidR="003F0EEA" w:rsidRPr="001C6501" w:rsidRDefault="003F0EEA">
            <w:pPr>
              <w:rPr>
                <w:rFonts w:ascii="Arial" w:eastAsia="Arial" w:hAnsi="Arial" w:cs="Arial"/>
                <w:color w:val="000000"/>
                <w:sz w:val="16"/>
                <w:szCs w:val="20"/>
              </w:rPr>
            </w:pPr>
          </w:p>
        </w:tc>
        <w:tc>
          <w:tcPr>
            <w:tcW w:w="2880" w:type="dxa"/>
            <w:gridSpan w:val="2"/>
            <w:tcBorders>
              <w:top w:val="nil"/>
              <w:left w:val="nil"/>
              <w:bottom w:val="nil"/>
              <w:right w:val="nil"/>
              <w:tl2br w:val="nil"/>
              <w:tr2bl w:val="nil"/>
            </w:tcBorders>
            <w:shd w:val="clear" w:color="auto" w:fill="FFFFFF"/>
            <w:tcMar>
              <w:left w:w="115" w:type="dxa"/>
              <w:right w:w="115" w:type="dxa"/>
            </w:tcMar>
            <w:vAlign w:val="bottom"/>
          </w:tcPr>
          <w:p w14:paraId="2A2BBB97" w14:textId="77777777" w:rsidR="003F0EEA" w:rsidRPr="001C6501" w:rsidRDefault="00FB7D0B">
            <w:pPr>
              <w:rPr>
                <w:rFonts w:ascii="Arial" w:eastAsia="Arial" w:hAnsi="Arial" w:cs="Arial"/>
                <w:color w:val="000000"/>
                <w:sz w:val="16"/>
                <w:szCs w:val="20"/>
              </w:rPr>
            </w:pPr>
            <w:r w:rsidRPr="001C6501">
              <w:rPr>
                <w:rFonts w:ascii="Arial" w:eastAsia="Arial" w:hAnsi="Arial" w:cs="Arial"/>
                <w:color w:val="000000"/>
                <w:sz w:val="16"/>
                <w:szCs w:val="20"/>
              </w:rPr>
              <w:t>Insurance claims</w:t>
            </w:r>
          </w:p>
        </w:tc>
        <w:tc>
          <w:tcPr>
            <w:tcW w:w="990" w:type="dxa"/>
            <w:tcBorders>
              <w:top w:val="nil"/>
              <w:left w:val="nil"/>
              <w:bottom w:val="nil"/>
              <w:right w:val="nil"/>
              <w:tl2br w:val="nil"/>
              <w:tr2bl w:val="nil"/>
            </w:tcBorders>
            <w:shd w:val="clear" w:color="auto" w:fill="FFFFFF"/>
            <w:tcMar>
              <w:left w:w="115" w:type="dxa"/>
              <w:right w:w="115" w:type="dxa"/>
            </w:tcMar>
            <w:vAlign w:val="bottom"/>
          </w:tcPr>
          <w:p w14:paraId="6AC862A6" w14:textId="77777777" w:rsidR="003F0EEA" w:rsidRPr="001C6501" w:rsidRDefault="00FB7D0B">
            <w:pPr>
              <w:jc w:val="right"/>
              <w:rPr>
                <w:rFonts w:ascii="Arial" w:eastAsia="Arial" w:hAnsi="Arial" w:cs="Arial"/>
                <w:color w:val="000000"/>
                <w:sz w:val="16"/>
                <w:szCs w:val="20"/>
                <w:vertAlign w:val="superscript"/>
              </w:rPr>
            </w:pPr>
            <w:r w:rsidRPr="001C6501">
              <w:rPr>
                <w:rFonts w:ascii="Arial" w:eastAsia="Arial" w:hAnsi="Arial" w:cs="Arial"/>
                <w:color w:val="000000"/>
                <w:sz w:val="16"/>
                <w:szCs w:val="20"/>
              </w:rPr>
              <w:t>27,484 </w:t>
            </w:r>
          </w:p>
        </w:tc>
        <w:tc>
          <w:tcPr>
            <w:tcW w:w="915" w:type="dxa"/>
            <w:tcBorders>
              <w:top w:val="nil"/>
              <w:left w:val="nil"/>
              <w:bottom w:val="nil"/>
              <w:right w:val="nil"/>
              <w:tl2br w:val="nil"/>
              <w:tr2bl w:val="nil"/>
            </w:tcBorders>
            <w:shd w:val="clear" w:color="auto" w:fill="FFFF00"/>
            <w:tcMar>
              <w:left w:w="115" w:type="dxa"/>
              <w:right w:w="115" w:type="dxa"/>
            </w:tcMar>
            <w:vAlign w:val="bottom"/>
          </w:tcPr>
          <w:p w14:paraId="247D6F7F" w14:textId="77777777" w:rsidR="003F0EEA" w:rsidRPr="001C6501" w:rsidRDefault="00FB7D0B">
            <w:pPr>
              <w:jc w:val="right"/>
              <w:rPr>
                <w:rFonts w:ascii="Arial" w:eastAsia="Arial" w:hAnsi="Arial" w:cs="Arial"/>
                <w:color w:val="000000"/>
                <w:sz w:val="16"/>
                <w:szCs w:val="20"/>
              </w:rPr>
            </w:pPr>
            <w:r w:rsidRPr="001C6501">
              <w:rPr>
                <w:rFonts w:ascii="Arial" w:eastAsia="Arial" w:hAnsi="Arial" w:cs="Arial"/>
                <w:color w:val="000000"/>
                <w:sz w:val="16"/>
                <w:szCs w:val="20"/>
              </w:rPr>
              <w:t>29,467 </w:t>
            </w:r>
          </w:p>
        </w:tc>
        <w:tc>
          <w:tcPr>
            <w:tcW w:w="915" w:type="dxa"/>
            <w:tcBorders>
              <w:top w:val="nil"/>
              <w:left w:val="nil"/>
              <w:bottom w:val="nil"/>
              <w:right w:val="nil"/>
              <w:tl2br w:val="nil"/>
              <w:tr2bl w:val="nil"/>
            </w:tcBorders>
            <w:shd w:val="clear" w:color="auto" w:fill="FFFFFF"/>
            <w:tcMar>
              <w:left w:w="115" w:type="dxa"/>
              <w:right w:w="115" w:type="dxa"/>
            </w:tcMar>
            <w:vAlign w:val="bottom"/>
          </w:tcPr>
          <w:p w14:paraId="7B2B11E8" w14:textId="77777777" w:rsidR="003F0EEA" w:rsidRPr="001C6501" w:rsidRDefault="00FB7D0B">
            <w:pPr>
              <w:jc w:val="right"/>
              <w:rPr>
                <w:rFonts w:ascii="Arial" w:eastAsia="Arial" w:hAnsi="Arial" w:cs="Arial"/>
                <w:color w:val="000000"/>
                <w:sz w:val="16"/>
                <w:szCs w:val="20"/>
              </w:rPr>
            </w:pPr>
            <w:r w:rsidRPr="001C6501">
              <w:rPr>
                <w:rFonts w:ascii="Arial" w:eastAsia="Arial" w:hAnsi="Arial" w:cs="Arial"/>
                <w:color w:val="000000"/>
                <w:sz w:val="16"/>
                <w:szCs w:val="20"/>
              </w:rPr>
              <w:t>31,596 </w:t>
            </w:r>
          </w:p>
        </w:tc>
        <w:tc>
          <w:tcPr>
            <w:tcW w:w="915" w:type="dxa"/>
            <w:tcBorders>
              <w:top w:val="nil"/>
              <w:left w:val="nil"/>
              <w:bottom w:val="nil"/>
              <w:right w:val="nil"/>
              <w:tl2br w:val="nil"/>
              <w:tr2bl w:val="nil"/>
            </w:tcBorders>
            <w:shd w:val="clear" w:color="auto" w:fill="FFFFFF"/>
            <w:tcMar>
              <w:left w:w="115" w:type="dxa"/>
              <w:right w:w="115" w:type="dxa"/>
            </w:tcMar>
            <w:vAlign w:val="bottom"/>
          </w:tcPr>
          <w:p w14:paraId="3E5AE904" w14:textId="77777777" w:rsidR="003F0EEA" w:rsidRPr="001C6501" w:rsidRDefault="00FB7D0B">
            <w:pPr>
              <w:jc w:val="right"/>
              <w:rPr>
                <w:rFonts w:ascii="Arial" w:eastAsia="Arial" w:hAnsi="Arial" w:cs="Arial"/>
                <w:color w:val="000000"/>
                <w:sz w:val="16"/>
                <w:szCs w:val="20"/>
              </w:rPr>
            </w:pPr>
            <w:r w:rsidRPr="001C6501">
              <w:rPr>
                <w:rFonts w:ascii="Arial" w:eastAsia="Arial" w:hAnsi="Arial" w:cs="Arial"/>
                <w:color w:val="000000"/>
                <w:sz w:val="16"/>
                <w:szCs w:val="20"/>
              </w:rPr>
              <w:t>33,880 </w:t>
            </w:r>
          </w:p>
        </w:tc>
        <w:tc>
          <w:tcPr>
            <w:tcW w:w="915" w:type="dxa"/>
            <w:tcBorders>
              <w:top w:val="nil"/>
              <w:left w:val="nil"/>
              <w:bottom w:val="nil"/>
              <w:right w:val="nil"/>
              <w:tl2br w:val="nil"/>
              <w:tr2bl w:val="nil"/>
            </w:tcBorders>
            <w:shd w:val="clear" w:color="auto" w:fill="FFFFFF"/>
            <w:tcMar>
              <w:left w:w="115" w:type="dxa"/>
              <w:right w:w="115" w:type="dxa"/>
            </w:tcMar>
            <w:vAlign w:val="bottom"/>
          </w:tcPr>
          <w:p w14:paraId="40AA227C" w14:textId="77777777" w:rsidR="003F0EEA" w:rsidRPr="001C6501" w:rsidRDefault="00FB7D0B">
            <w:pPr>
              <w:jc w:val="right"/>
              <w:rPr>
                <w:rFonts w:ascii="Arial" w:eastAsia="Arial" w:hAnsi="Arial" w:cs="Arial"/>
                <w:color w:val="000000"/>
                <w:sz w:val="16"/>
                <w:szCs w:val="20"/>
              </w:rPr>
            </w:pPr>
            <w:r w:rsidRPr="001C6501">
              <w:rPr>
                <w:rFonts w:ascii="Arial" w:eastAsia="Arial" w:hAnsi="Arial" w:cs="Arial"/>
                <w:color w:val="000000"/>
                <w:sz w:val="16"/>
                <w:szCs w:val="20"/>
              </w:rPr>
              <w:t>36,330 </w:t>
            </w:r>
          </w:p>
        </w:tc>
      </w:tr>
      <w:tr w:rsidR="00FB7D0B" w14:paraId="15F0681A" w14:textId="77777777" w:rsidTr="00FB7D0B">
        <w:trPr>
          <w:trHeight w:val="225"/>
        </w:trPr>
        <w:tc>
          <w:tcPr>
            <w:tcW w:w="3060" w:type="dxa"/>
            <w:gridSpan w:val="3"/>
            <w:tcBorders>
              <w:top w:val="nil"/>
              <w:left w:val="nil"/>
              <w:bottom w:val="nil"/>
              <w:right w:val="nil"/>
              <w:tl2br w:val="nil"/>
              <w:tr2bl w:val="nil"/>
            </w:tcBorders>
            <w:shd w:val="clear" w:color="auto" w:fill="FFFFFF"/>
            <w:tcMar>
              <w:left w:w="115" w:type="dxa"/>
              <w:right w:w="115" w:type="dxa"/>
            </w:tcMar>
            <w:vAlign w:val="bottom"/>
          </w:tcPr>
          <w:p w14:paraId="5BAE3FE4" w14:textId="77777777" w:rsidR="003F0EEA" w:rsidRPr="001C6501" w:rsidRDefault="00FB7D0B">
            <w:pPr>
              <w:rPr>
                <w:rFonts w:ascii="Arial" w:eastAsia="Arial" w:hAnsi="Arial" w:cs="Arial"/>
                <w:color w:val="000000"/>
                <w:sz w:val="16"/>
                <w:szCs w:val="20"/>
              </w:rPr>
            </w:pPr>
            <w:r w:rsidRPr="001C6501">
              <w:rPr>
                <w:rFonts w:ascii="Arial" w:eastAsia="Arial" w:hAnsi="Arial" w:cs="Arial"/>
                <w:b/>
                <w:color w:val="000000"/>
                <w:sz w:val="16"/>
                <w:szCs w:val="20"/>
              </w:rPr>
              <w:t>Total expenses</w:t>
            </w:r>
          </w:p>
        </w:tc>
        <w:tc>
          <w:tcPr>
            <w:tcW w:w="990" w:type="dxa"/>
            <w:tcBorders>
              <w:top w:val="single" w:sz="6" w:space="0" w:color="000000"/>
              <w:left w:val="nil"/>
              <w:bottom w:val="single" w:sz="6" w:space="0" w:color="000000"/>
              <w:right w:val="nil"/>
              <w:tl2br w:val="nil"/>
              <w:tr2bl w:val="nil"/>
            </w:tcBorders>
            <w:shd w:val="clear" w:color="auto" w:fill="FFFFFF"/>
            <w:tcMar>
              <w:left w:w="115" w:type="dxa"/>
              <w:right w:w="115" w:type="dxa"/>
            </w:tcMar>
            <w:vAlign w:val="bottom"/>
          </w:tcPr>
          <w:p w14:paraId="46D5E8A4" w14:textId="77777777" w:rsidR="003F0EEA" w:rsidRPr="001C6501" w:rsidRDefault="00FB7D0B">
            <w:pPr>
              <w:jc w:val="right"/>
              <w:rPr>
                <w:rFonts w:ascii="Arial" w:eastAsia="Arial" w:hAnsi="Arial" w:cs="Arial"/>
                <w:b/>
                <w:color w:val="000000"/>
                <w:sz w:val="16"/>
                <w:szCs w:val="20"/>
                <w:vertAlign w:val="superscript"/>
              </w:rPr>
            </w:pPr>
            <w:r w:rsidRPr="001C6501">
              <w:rPr>
                <w:rFonts w:ascii="Arial" w:eastAsia="Arial" w:hAnsi="Arial" w:cs="Arial"/>
                <w:b/>
                <w:color w:val="000000"/>
                <w:sz w:val="16"/>
                <w:szCs w:val="20"/>
              </w:rPr>
              <w:t>34,498 </w:t>
            </w:r>
          </w:p>
        </w:tc>
        <w:tc>
          <w:tcPr>
            <w:tcW w:w="915" w:type="dxa"/>
            <w:tcBorders>
              <w:top w:val="single" w:sz="6" w:space="0" w:color="000000"/>
              <w:left w:val="nil"/>
              <w:bottom w:val="single" w:sz="6" w:space="0" w:color="000000"/>
              <w:right w:val="nil"/>
              <w:tl2br w:val="nil"/>
              <w:tr2bl w:val="nil"/>
            </w:tcBorders>
            <w:shd w:val="clear" w:color="auto" w:fill="FFFF00"/>
            <w:tcMar>
              <w:left w:w="115" w:type="dxa"/>
              <w:right w:w="115" w:type="dxa"/>
            </w:tcMar>
            <w:vAlign w:val="bottom"/>
          </w:tcPr>
          <w:p w14:paraId="174ABB1D" w14:textId="77777777" w:rsidR="003F0EEA" w:rsidRPr="001C6501" w:rsidRDefault="00FB7D0B">
            <w:pPr>
              <w:jc w:val="right"/>
              <w:rPr>
                <w:rFonts w:ascii="Arial" w:eastAsia="Arial" w:hAnsi="Arial" w:cs="Arial"/>
                <w:b/>
                <w:color w:val="000000"/>
                <w:sz w:val="16"/>
                <w:szCs w:val="20"/>
              </w:rPr>
            </w:pPr>
            <w:r w:rsidRPr="001C6501">
              <w:rPr>
                <w:rFonts w:ascii="Arial" w:eastAsia="Arial" w:hAnsi="Arial" w:cs="Arial"/>
                <w:b/>
                <w:color w:val="000000"/>
                <w:sz w:val="16"/>
                <w:szCs w:val="20"/>
              </w:rPr>
              <w:t>37,207 </w:t>
            </w:r>
          </w:p>
        </w:tc>
        <w:tc>
          <w:tcPr>
            <w:tcW w:w="915" w:type="dxa"/>
            <w:tcBorders>
              <w:top w:val="single" w:sz="6" w:space="0" w:color="000000"/>
              <w:left w:val="nil"/>
              <w:bottom w:val="single" w:sz="6" w:space="0" w:color="000000"/>
              <w:right w:val="nil"/>
              <w:tl2br w:val="nil"/>
              <w:tr2bl w:val="nil"/>
            </w:tcBorders>
            <w:shd w:val="clear" w:color="auto" w:fill="FFFFFF"/>
            <w:tcMar>
              <w:left w:w="115" w:type="dxa"/>
              <w:right w:w="115" w:type="dxa"/>
            </w:tcMar>
            <w:vAlign w:val="bottom"/>
          </w:tcPr>
          <w:p w14:paraId="28F911B7" w14:textId="77777777" w:rsidR="003F0EEA" w:rsidRPr="001C6501" w:rsidRDefault="00FB7D0B">
            <w:pPr>
              <w:jc w:val="right"/>
              <w:rPr>
                <w:rFonts w:ascii="Arial" w:eastAsia="Arial" w:hAnsi="Arial" w:cs="Arial"/>
                <w:b/>
                <w:color w:val="000000"/>
                <w:sz w:val="16"/>
                <w:szCs w:val="20"/>
              </w:rPr>
            </w:pPr>
            <w:r w:rsidRPr="001C6501">
              <w:rPr>
                <w:rFonts w:ascii="Arial" w:eastAsia="Arial" w:hAnsi="Arial" w:cs="Arial"/>
                <w:b/>
                <w:color w:val="000000"/>
                <w:sz w:val="16"/>
                <w:szCs w:val="20"/>
              </w:rPr>
              <w:t>39,702 </w:t>
            </w:r>
          </w:p>
        </w:tc>
        <w:tc>
          <w:tcPr>
            <w:tcW w:w="915" w:type="dxa"/>
            <w:tcBorders>
              <w:top w:val="single" w:sz="6" w:space="0" w:color="000000"/>
              <w:left w:val="nil"/>
              <w:bottom w:val="single" w:sz="6" w:space="0" w:color="000000"/>
              <w:right w:val="nil"/>
              <w:tl2br w:val="nil"/>
              <w:tr2bl w:val="nil"/>
            </w:tcBorders>
            <w:shd w:val="clear" w:color="auto" w:fill="FFFFFF"/>
            <w:tcMar>
              <w:left w:w="115" w:type="dxa"/>
              <w:right w:w="115" w:type="dxa"/>
            </w:tcMar>
            <w:vAlign w:val="bottom"/>
          </w:tcPr>
          <w:p w14:paraId="76296C93" w14:textId="77777777" w:rsidR="003F0EEA" w:rsidRPr="001C6501" w:rsidRDefault="00FB7D0B">
            <w:pPr>
              <w:jc w:val="right"/>
              <w:rPr>
                <w:rFonts w:ascii="Arial" w:eastAsia="Arial" w:hAnsi="Arial" w:cs="Arial"/>
                <w:b/>
                <w:color w:val="000000"/>
                <w:sz w:val="16"/>
                <w:szCs w:val="20"/>
              </w:rPr>
            </w:pPr>
            <w:r w:rsidRPr="001C6501">
              <w:rPr>
                <w:rFonts w:ascii="Arial" w:eastAsia="Arial" w:hAnsi="Arial" w:cs="Arial"/>
                <w:b/>
                <w:color w:val="000000"/>
                <w:sz w:val="16"/>
                <w:szCs w:val="20"/>
              </w:rPr>
              <w:t>42,593 </w:t>
            </w:r>
          </w:p>
        </w:tc>
        <w:tc>
          <w:tcPr>
            <w:tcW w:w="915" w:type="dxa"/>
            <w:tcBorders>
              <w:top w:val="single" w:sz="6" w:space="0" w:color="000000"/>
              <w:left w:val="nil"/>
              <w:bottom w:val="single" w:sz="6" w:space="0" w:color="000000"/>
              <w:right w:val="nil"/>
              <w:tl2br w:val="nil"/>
              <w:tr2bl w:val="nil"/>
            </w:tcBorders>
            <w:shd w:val="clear" w:color="auto" w:fill="FFFFFF"/>
            <w:tcMar>
              <w:left w:w="115" w:type="dxa"/>
              <w:right w:w="115" w:type="dxa"/>
            </w:tcMar>
            <w:vAlign w:val="bottom"/>
          </w:tcPr>
          <w:p w14:paraId="2E372E1A" w14:textId="77777777" w:rsidR="003F0EEA" w:rsidRPr="001C6501" w:rsidRDefault="00FB7D0B">
            <w:pPr>
              <w:jc w:val="right"/>
              <w:rPr>
                <w:rFonts w:ascii="Arial" w:eastAsia="Arial" w:hAnsi="Arial" w:cs="Arial"/>
                <w:b/>
                <w:color w:val="000000"/>
                <w:sz w:val="16"/>
                <w:szCs w:val="20"/>
              </w:rPr>
            </w:pPr>
            <w:r w:rsidRPr="001C6501">
              <w:rPr>
                <w:rFonts w:ascii="Arial" w:eastAsia="Arial" w:hAnsi="Arial" w:cs="Arial"/>
                <w:b/>
                <w:color w:val="000000"/>
                <w:sz w:val="16"/>
                <w:szCs w:val="20"/>
              </w:rPr>
              <w:t>45,697 </w:t>
            </w:r>
          </w:p>
        </w:tc>
      </w:tr>
      <w:tr w:rsidR="00724034" w14:paraId="4B923504" w14:textId="77777777">
        <w:trPr>
          <w:trHeight w:val="225"/>
        </w:trPr>
        <w:tc>
          <w:tcPr>
            <w:tcW w:w="180" w:type="dxa"/>
            <w:tcBorders>
              <w:top w:val="nil"/>
              <w:left w:val="nil"/>
              <w:bottom w:val="nil"/>
              <w:right w:val="nil"/>
              <w:tl2br w:val="nil"/>
              <w:tr2bl w:val="nil"/>
            </w:tcBorders>
            <w:shd w:val="clear" w:color="auto" w:fill="FFFFFF"/>
            <w:tcMar>
              <w:left w:w="115" w:type="dxa"/>
              <w:right w:w="115" w:type="dxa"/>
            </w:tcMar>
            <w:vAlign w:val="bottom"/>
          </w:tcPr>
          <w:p w14:paraId="42D659F4" w14:textId="77777777" w:rsidR="003F0EEA" w:rsidRPr="001C6501" w:rsidRDefault="003F0EEA">
            <w:pPr>
              <w:rPr>
                <w:rFonts w:ascii="Arial" w:eastAsia="Arial" w:hAnsi="Arial" w:cs="Arial"/>
                <w:b/>
                <w:color w:val="000000"/>
                <w:sz w:val="16"/>
                <w:szCs w:val="20"/>
              </w:rPr>
            </w:pPr>
          </w:p>
        </w:tc>
        <w:tc>
          <w:tcPr>
            <w:tcW w:w="180" w:type="dxa"/>
            <w:tcBorders>
              <w:top w:val="nil"/>
              <w:left w:val="nil"/>
              <w:bottom w:val="nil"/>
              <w:right w:val="nil"/>
              <w:tl2br w:val="nil"/>
              <w:tr2bl w:val="nil"/>
            </w:tcBorders>
            <w:shd w:val="clear" w:color="auto" w:fill="FFFFFF"/>
            <w:tcMar>
              <w:left w:w="115" w:type="dxa"/>
              <w:right w:w="115" w:type="dxa"/>
            </w:tcMar>
            <w:vAlign w:val="bottom"/>
          </w:tcPr>
          <w:p w14:paraId="3445BB6F" w14:textId="77777777" w:rsidR="003F0EEA" w:rsidRPr="001C6501" w:rsidRDefault="003F0EEA">
            <w:pPr>
              <w:rPr>
                <w:rFonts w:ascii="Arial" w:eastAsia="Arial" w:hAnsi="Arial" w:cs="Arial"/>
                <w:color w:val="000000"/>
                <w:sz w:val="16"/>
                <w:szCs w:val="20"/>
              </w:rPr>
            </w:pPr>
          </w:p>
        </w:tc>
        <w:tc>
          <w:tcPr>
            <w:tcW w:w="2700" w:type="dxa"/>
            <w:tcBorders>
              <w:top w:val="nil"/>
              <w:left w:val="nil"/>
              <w:bottom w:val="nil"/>
              <w:right w:val="nil"/>
              <w:tl2br w:val="nil"/>
              <w:tr2bl w:val="nil"/>
            </w:tcBorders>
            <w:shd w:val="clear" w:color="auto" w:fill="FFFFFF"/>
            <w:tcMar>
              <w:left w:w="115" w:type="dxa"/>
              <w:right w:w="115" w:type="dxa"/>
            </w:tcMar>
            <w:vAlign w:val="bottom"/>
          </w:tcPr>
          <w:p w14:paraId="72346A56" w14:textId="77777777" w:rsidR="003F0EEA" w:rsidRPr="001C6501" w:rsidRDefault="003F0EEA">
            <w:pPr>
              <w:rPr>
                <w:rFonts w:ascii="Arial" w:eastAsia="Arial" w:hAnsi="Arial" w:cs="Arial"/>
                <w:color w:val="000000"/>
                <w:sz w:val="16"/>
                <w:szCs w:val="20"/>
              </w:rPr>
            </w:pPr>
          </w:p>
        </w:tc>
        <w:tc>
          <w:tcPr>
            <w:tcW w:w="990"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5FE05D5A" w14:textId="77777777" w:rsidR="003F0EEA" w:rsidRPr="001C6501" w:rsidRDefault="003F0EEA">
            <w:pPr>
              <w:rPr>
                <w:rFonts w:ascii="Arial" w:eastAsia="Arial" w:hAnsi="Arial" w:cs="Arial"/>
                <w:color w:val="000000"/>
                <w:sz w:val="16"/>
                <w:szCs w:val="20"/>
                <w:vertAlign w:val="superscript"/>
              </w:rPr>
            </w:pPr>
          </w:p>
        </w:tc>
        <w:tc>
          <w:tcPr>
            <w:tcW w:w="915" w:type="dxa"/>
            <w:tcBorders>
              <w:top w:val="single" w:sz="6" w:space="0" w:color="000000"/>
              <w:left w:val="nil"/>
              <w:bottom w:val="nil"/>
              <w:right w:val="nil"/>
              <w:tl2br w:val="nil"/>
              <w:tr2bl w:val="nil"/>
            </w:tcBorders>
            <w:shd w:val="clear" w:color="auto" w:fill="FFFF00"/>
            <w:tcMar>
              <w:left w:w="115" w:type="dxa"/>
              <w:right w:w="115" w:type="dxa"/>
            </w:tcMar>
            <w:vAlign w:val="bottom"/>
          </w:tcPr>
          <w:p w14:paraId="3D6A2621" w14:textId="77777777" w:rsidR="003F0EEA" w:rsidRPr="001C6501" w:rsidRDefault="003F0EEA">
            <w:pPr>
              <w:rPr>
                <w:rFonts w:ascii="Arial" w:eastAsia="Arial" w:hAnsi="Arial" w:cs="Arial"/>
                <w:color w:val="000000"/>
                <w:sz w:val="16"/>
                <w:szCs w:val="20"/>
                <w:vertAlign w:val="superscript"/>
              </w:rPr>
            </w:pPr>
          </w:p>
        </w:tc>
        <w:tc>
          <w:tcPr>
            <w:tcW w:w="915"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2C459110" w14:textId="77777777" w:rsidR="003F0EEA" w:rsidRPr="001C6501" w:rsidRDefault="003F0EEA">
            <w:pPr>
              <w:rPr>
                <w:rFonts w:ascii="Arial" w:eastAsia="Arial" w:hAnsi="Arial" w:cs="Arial"/>
                <w:color w:val="000000"/>
                <w:sz w:val="16"/>
                <w:szCs w:val="20"/>
                <w:vertAlign w:val="superscript"/>
              </w:rPr>
            </w:pPr>
          </w:p>
        </w:tc>
        <w:tc>
          <w:tcPr>
            <w:tcW w:w="915"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03DADAD3" w14:textId="77777777" w:rsidR="003F0EEA" w:rsidRPr="001C6501" w:rsidRDefault="003F0EEA">
            <w:pPr>
              <w:rPr>
                <w:rFonts w:ascii="Arial" w:eastAsia="Arial" w:hAnsi="Arial" w:cs="Arial"/>
                <w:color w:val="000000"/>
                <w:sz w:val="16"/>
                <w:szCs w:val="20"/>
                <w:vertAlign w:val="superscript"/>
              </w:rPr>
            </w:pPr>
          </w:p>
        </w:tc>
        <w:tc>
          <w:tcPr>
            <w:tcW w:w="915"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7E09731E" w14:textId="77777777" w:rsidR="003F0EEA" w:rsidRPr="001C6501" w:rsidRDefault="003F0EEA">
            <w:pPr>
              <w:rPr>
                <w:rFonts w:ascii="Arial" w:eastAsia="Arial" w:hAnsi="Arial" w:cs="Arial"/>
                <w:color w:val="000000"/>
                <w:sz w:val="16"/>
                <w:szCs w:val="20"/>
                <w:vertAlign w:val="superscript"/>
              </w:rPr>
            </w:pPr>
          </w:p>
        </w:tc>
      </w:tr>
      <w:tr w:rsidR="00FB7D0B" w14:paraId="08B0B13B" w14:textId="77777777" w:rsidTr="00FB7D0B">
        <w:trPr>
          <w:trHeight w:val="225"/>
        </w:trPr>
        <w:tc>
          <w:tcPr>
            <w:tcW w:w="3060" w:type="dxa"/>
            <w:gridSpan w:val="3"/>
            <w:vMerge w:val="restart"/>
            <w:tcBorders>
              <w:top w:val="nil"/>
              <w:left w:val="nil"/>
              <w:bottom w:val="nil"/>
              <w:right w:val="nil"/>
              <w:tl2br w:val="nil"/>
              <w:tr2bl w:val="nil"/>
            </w:tcBorders>
            <w:shd w:val="clear" w:color="auto" w:fill="FFFFFF"/>
            <w:tcMar>
              <w:left w:w="115" w:type="dxa"/>
              <w:right w:w="115" w:type="dxa"/>
            </w:tcMar>
            <w:vAlign w:val="bottom"/>
          </w:tcPr>
          <w:p w14:paraId="4308C2AE" w14:textId="77777777" w:rsidR="003F0EEA" w:rsidRPr="001C6501" w:rsidRDefault="00FB7D0B">
            <w:pPr>
              <w:rPr>
                <w:rFonts w:ascii="Arial" w:eastAsia="Arial" w:hAnsi="Arial" w:cs="Arial"/>
                <w:color w:val="000000"/>
                <w:sz w:val="16"/>
                <w:szCs w:val="20"/>
                <w:vertAlign w:val="superscript"/>
              </w:rPr>
            </w:pPr>
            <w:r w:rsidRPr="001C6501">
              <w:rPr>
                <w:rFonts w:ascii="Arial" w:eastAsia="Arial" w:hAnsi="Arial" w:cs="Arial"/>
                <w:b/>
                <w:color w:val="000000"/>
                <w:sz w:val="16"/>
                <w:szCs w:val="20"/>
              </w:rPr>
              <w:t>LESS:</w:t>
            </w:r>
          </w:p>
        </w:tc>
        <w:tc>
          <w:tcPr>
            <w:tcW w:w="990" w:type="dxa"/>
            <w:tcBorders>
              <w:top w:val="nil"/>
              <w:left w:val="nil"/>
              <w:bottom w:val="nil"/>
              <w:right w:val="nil"/>
              <w:tl2br w:val="nil"/>
              <w:tr2bl w:val="nil"/>
            </w:tcBorders>
            <w:shd w:val="clear" w:color="auto" w:fill="FFFFFF"/>
            <w:tcMar>
              <w:left w:w="115" w:type="dxa"/>
              <w:right w:w="115" w:type="dxa"/>
            </w:tcMar>
            <w:vAlign w:val="bottom"/>
          </w:tcPr>
          <w:p w14:paraId="42215A16" w14:textId="77777777" w:rsidR="003F0EEA" w:rsidRPr="001C6501" w:rsidRDefault="003F0EEA">
            <w:pPr>
              <w:rPr>
                <w:rFonts w:ascii="Arial" w:eastAsia="Arial" w:hAnsi="Arial" w:cs="Arial"/>
                <w:b/>
                <w:color w:val="000000"/>
                <w:sz w:val="16"/>
                <w:szCs w:val="20"/>
                <w:vertAlign w:val="superscript"/>
              </w:rPr>
            </w:pPr>
          </w:p>
        </w:tc>
        <w:tc>
          <w:tcPr>
            <w:tcW w:w="915" w:type="dxa"/>
            <w:tcBorders>
              <w:top w:val="nil"/>
              <w:left w:val="nil"/>
              <w:bottom w:val="nil"/>
              <w:right w:val="nil"/>
              <w:tl2br w:val="nil"/>
              <w:tr2bl w:val="nil"/>
            </w:tcBorders>
            <w:shd w:val="clear" w:color="auto" w:fill="FFFF00"/>
            <w:tcMar>
              <w:left w:w="115" w:type="dxa"/>
              <w:right w:w="115" w:type="dxa"/>
            </w:tcMar>
            <w:vAlign w:val="bottom"/>
          </w:tcPr>
          <w:p w14:paraId="1489E5C5" w14:textId="77777777" w:rsidR="003F0EEA" w:rsidRPr="001C6501" w:rsidRDefault="003F0EEA">
            <w:pPr>
              <w:rPr>
                <w:rFonts w:ascii="Arial" w:eastAsia="Arial" w:hAnsi="Arial" w:cs="Arial"/>
                <w:color w:val="000000"/>
                <w:sz w:val="16"/>
                <w:szCs w:val="20"/>
                <w:vertAlign w:val="superscript"/>
              </w:rPr>
            </w:pPr>
          </w:p>
        </w:tc>
        <w:tc>
          <w:tcPr>
            <w:tcW w:w="915" w:type="dxa"/>
            <w:tcBorders>
              <w:top w:val="nil"/>
              <w:left w:val="nil"/>
              <w:bottom w:val="nil"/>
              <w:right w:val="nil"/>
              <w:tl2br w:val="nil"/>
              <w:tr2bl w:val="nil"/>
            </w:tcBorders>
            <w:shd w:val="clear" w:color="auto" w:fill="FFFFFF"/>
            <w:tcMar>
              <w:left w:w="115" w:type="dxa"/>
              <w:right w:w="115" w:type="dxa"/>
            </w:tcMar>
            <w:vAlign w:val="bottom"/>
          </w:tcPr>
          <w:p w14:paraId="09408000" w14:textId="77777777" w:rsidR="003F0EEA" w:rsidRPr="001C6501" w:rsidRDefault="003F0EEA">
            <w:pPr>
              <w:rPr>
                <w:rFonts w:ascii="Arial" w:eastAsia="Arial" w:hAnsi="Arial" w:cs="Arial"/>
                <w:color w:val="000000"/>
                <w:sz w:val="16"/>
                <w:szCs w:val="20"/>
                <w:vertAlign w:val="superscript"/>
              </w:rPr>
            </w:pPr>
          </w:p>
        </w:tc>
        <w:tc>
          <w:tcPr>
            <w:tcW w:w="915" w:type="dxa"/>
            <w:tcBorders>
              <w:top w:val="nil"/>
              <w:left w:val="nil"/>
              <w:bottom w:val="nil"/>
              <w:right w:val="nil"/>
              <w:tl2br w:val="nil"/>
              <w:tr2bl w:val="nil"/>
            </w:tcBorders>
            <w:shd w:val="clear" w:color="auto" w:fill="FFFFFF"/>
            <w:tcMar>
              <w:left w:w="115" w:type="dxa"/>
              <w:right w:w="115" w:type="dxa"/>
            </w:tcMar>
            <w:vAlign w:val="bottom"/>
          </w:tcPr>
          <w:p w14:paraId="0A7B33C7" w14:textId="77777777" w:rsidR="003F0EEA" w:rsidRPr="001C6501" w:rsidRDefault="003F0EEA">
            <w:pPr>
              <w:rPr>
                <w:rFonts w:ascii="Arial" w:eastAsia="Arial" w:hAnsi="Arial" w:cs="Arial"/>
                <w:color w:val="000000"/>
                <w:sz w:val="16"/>
                <w:szCs w:val="20"/>
                <w:vertAlign w:val="superscript"/>
              </w:rPr>
            </w:pPr>
          </w:p>
        </w:tc>
        <w:tc>
          <w:tcPr>
            <w:tcW w:w="915" w:type="dxa"/>
            <w:tcBorders>
              <w:top w:val="nil"/>
              <w:left w:val="nil"/>
              <w:bottom w:val="nil"/>
              <w:right w:val="nil"/>
              <w:tl2br w:val="nil"/>
              <w:tr2bl w:val="nil"/>
            </w:tcBorders>
            <w:shd w:val="clear" w:color="auto" w:fill="FFFFFF"/>
            <w:tcMar>
              <w:left w:w="115" w:type="dxa"/>
              <w:right w:w="115" w:type="dxa"/>
            </w:tcMar>
            <w:vAlign w:val="bottom"/>
          </w:tcPr>
          <w:p w14:paraId="337E207A" w14:textId="77777777" w:rsidR="003F0EEA" w:rsidRPr="001C6501" w:rsidRDefault="003F0EEA">
            <w:pPr>
              <w:rPr>
                <w:rFonts w:ascii="Arial" w:eastAsia="Arial" w:hAnsi="Arial" w:cs="Arial"/>
                <w:color w:val="000000"/>
                <w:sz w:val="16"/>
                <w:szCs w:val="20"/>
                <w:vertAlign w:val="superscript"/>
              </w:rPr>
            </w:pPr>
          </w:p>
        </w:tc>
      </w:tr>
      <w:tr w:rsidR="00FB7D0B" w14:paraId="07F140B9" w14:textId="77777777" w:rsidTr="00FB7D0B">
        <w:trPr>
          <w:trHeight w:val="225"/>
        </w:trPr>
        <w:tc>
          <w:tcPr>
            <w:tcW w:w="3060" w:type="dxa"/>
            <w:gridSpan w:val="3"/>
            <w:tcBorders>
              <w:top w:val="nil"/>
              <w:left w:val="nil"/>
              <w:bottom w:val="nil"/>
              <w:right w:val="nil"/>
              <w:tl2br w:val="nil"/>
              <w:tr2bl w:val="nil"/>
            </w:tcBorders>
            <w:shd w:val="clear" w:color="auto" w:fill="FFFFFF"/>
            <w:tcMar>
              <w:left w:w="115" w:type="dxa"/>
              <w:right w:w="115" w:type="dxa"/>
            </w:tcMar>
            <w:vAlign w:val="bottom"/>
          </w:tcPr>
          <w:p w14:paraId="7D8BCDCA" w14:textId="77777777" w:rsidR="003F0EEA" w:rsidRPr="001C6501" w:rsidRDefault="00FB7D0B">
            <w:pPr>
              <w:rPr>
                <w:rFonts w:ascii="Arial" w:eastAsia="Arial" w:hAnsi="Arial" w:cs="Arial"/>
                <w:color w:val="000000"/>
                <w:sz w:val="16"/>
                <w:szCs w:val="20"/>
                <w:vertAlign w:val="superscript"/>
              </w:rPr>
            </w:pPr>
            <w:r w:rsidRPr="001C6501">
              <w:rPr>
                <w:rFonts w:ascii="Arial" w:eastAsia="Arial" w:hAnsi="Arial" w:cs="Arial"/>
                <w:b/>
                <w:color w:val="000000"/>
                <w:sz w:val="16"/>
                <w:szCs w:val="20"/>
              </w:rPr>
              <w:t>OWN-SOURCE INCOME</w:t>
            </w:r>
          </w:p>
        </w:tc>
        <w:tc>
          <w:tcPr>
            <w:tcW w:w="990" w:type="dxa"/>
            <w:tcBorders>
              <w:top w:val="nil"/>
              <w:left w:val="nil"/>
              <w:bottom w:val="nil"/>
              <w:right w:val="nil"/>
              <w:tl2br w:val="nil"/>
              <w:tr2bl w:val="nil"/>
            </w:tcBorders>
            <w:shd w:val="clear" w:color="auto" w:fill="FFFFFF"/>
            <w:tcMar>
              <w:left w:w="115" w:type="dxa"/>
              <w:right w:w="115" w:type="dxa"/>
            </w:tcMar>
            <w:vAlign w:val="bottom"/>
          </w:tcPr>
          <w:p w14:paraId="7762C8C6" w14:textId="77777777" w:rsidR="003F0EEA" w:rsidRPr="001C6501" w:rsidRDefault="003F0EEA">
            <w:pPr>
              <w:rPr>
                <w:rFonts w:ascii="Arial" w:eastAsia="Arial" w:hAnsi="Arial" w:cs="Arial"/>
                <w:b/>
                <w:color w:val="000000"/>
                <w:sz w:val="16"/>
                <w:szCs w:val="20"/>
                <w:vertAlign w:val="superscript"/>
              </w:rPr>
            </w:pPr>
          </w:p>
        </w:tc>
        <w:tc>
          <w:tcPr>
            <w:tcW w:w="915" w:type="dxa"/>
            <w:tcBorders>
              <w:top w:val="nil"/>
              <w:left w:val="nil"/>
              <w:bottom w:val="nil"/>
              <w:right w:val="nil"/>
              <w:tl2br w:val="nil"/>
              <w:tr2bl w:val="nil"/>
            </w:tcBorders>
            <w:shd w:val="clear" w:color="auto" w:fill="FFFF00"/>
            <w:tcMar>
              <w:left w:w="115" w:type="dxa"/>
              <w:right w:w="115" w:type="dxa"/>
            </w:tcMar>
            <w:vAlign w:val="bottom"/>
          </w:tcPr>
          <w:p w14:paraId="23BD40A7" w14:textId="77777777" w:rsidR="003F0EEA" w:rsidRPr="001C6501" w:rsidRDefault="003F0EEA">
            <w:pPr>
              <w:rPr>
                <w:rFonts w:ascii="Arial" w:eastAsia="Arial" w:hAnsi="Arial" w:cs="Arial"/>
                <w:color w:val="000000"/>
                <w:sz w:val="16"/>
                <w:szCs w:val="20"/>
                <w:vertAlign w:val="superscript"/>
              </w:rPr>
            </w:pPr>
          </w:p>
        </w:tc>
        <w:tc>
          <w:tcPr>
            <w:tcW w:w="915" w:type="dxa"/>
            <w:tcBorders>
              <w:top w:val="nil"/>
              <w:left w:val="nil"/>
              <w:bottom w:val="nil"/>
              <w:right w:val="nil"/>
              <w:tl2br w:val="nil"/>
              <w:tr2bl w:val="nil"/>
            </w:tcBorders>
            <w:shd w:val="clear" w:color="auto" w:fill="FFFFFF"/>
            <w:tcMar>
              <w:left w:w="115" w:type="dxa"/>
              <w:right w:w="115" w:type="dxa"/>
            </w:tcMar>
            <w:vAlign w:val="bottom"/>
          </w:tcPr>
          <w:p w14:paraId="2E660FB9" w14:textId="77777777" w:rsidR="003F0EEA" w:rsidRPr="001C6501" w:rsidRDefault="003F0EEA">
            <w:pPr>
              <w:rPr>
                <w:rFonts w:ascii="Arial" w:eastAsia="Arial" w:hAnsi="Arial" w:cs="Arial"/>
                <w:color w:val="000000"/>
                <w:sz w:val="16"/>
                <w:szCs w:val="20"/>
                <w:vertAlign w:val="superscript"/>
              </w:rPr>
            </w:pPr>
          </w:p>
        </w:tc>
        <w:tc>
          <w:tcPr>
            <w:tcW w:w="915" w:type="dxa"/>
            <w:tcBorders>
              <w:top w:val="nil"/>
              <w:left w:val="nil"/>
              <w:bottom w:val="nil"/>
              <w:right w:val="nil"/>
              <w:tl2br w:val="nil"/>
              <w:tr2bl w:val="nil"/>
            </w:tcBorders>
            <w:shd w:val="clear" w:color="auto" w:fill="FFFFFF"/>
            <w:tcMar>
              <w:left w:w="115" w:type="dxa"/>
              <w:right w:w="115" w:type="dxa"/>
            </w:tcMar>
            <w:vAlign w:val="bottom"/>
          </w:tcPr>
          <w:p w14:paraId="1C7609DF" w14:textId="77777777" w:rsidR="003F0EEA" w:rsidRPr="001C6501" w:rsidRDefault="003F0EEA">
            <w:pPr>
              <w:rPr>
                <w:rFonts w:ascii="Arial" w:eastAsia="Arial" w:hAnsi="Arial" w:cs="Arial"/>
                <w:color w:val="000000"/>
                <w:sz w:val="16"/>
                <w:szCs w:val="20"/>
                <w:vertAlign w:val="superscript"/>
              </w:rPr>
            </w:pPr>
          </w:p>
        </w:tc>
        <w:tc>
          <w:tcPr>
            <w:tcW w:w="915" w:type="dxa"/>
            <w:tcBorders>
              <w:top w:val="nil"/>
              <w:left w:val="nil"/>
              <w:bottom w:val="nil"/>
              <w:right w:val="nil"/>
              <w:tl2br w:val="nil"/>
              <w:tr2bl w:val="nil"/>
            </w:tcBorders>
            <w:shd w:val="clear" w:color="auto" w:fill="FFFFFF"/>
            <w:tcMar>
              <w:left w:w="115" w:type="dxa"/>
              <w:right w:w="115" w:type="dxa"/>
            </w:tcMar>
            <w:vAlign w:val="bottom"/>
          </w:tcPr>
          <w:p w14:paraId="7765656F" w14:textId="77777777" w:rsidR="003F0EEA" w:rsidRPr="001C6501" w:rsidRDefault="003F0EEA">
            <w:pPr>
              <w:rPr>
                <w:rFonts w:ascii="Arial" w:eastAsia="Arial" w:hAnsi="Arial" w:cs="Arial"/>
                <w:color w:val="000000"/>
                <w:sz w:val="16"/>
                <w:szCs w:val="20"/>
                <w:vertAlign w:val="superscript"/>
              </w:rPr>
            </w:pPr>
          </w:p>
        </w:tc>
      </w:tr>
      <w:tr w:rsidR="00FB7D0B" w14:paraId="43A424C8" w14:textId="77777777" w:rsidTr="00FB7D0B">
        <w:trPr>
          <w:trHeight w:val="225"/>
        </w:trPr>
        <w:tc>
          <w:tcPr>
            <w:tcW w:w="3060" w:type="dxa"/>
            <w:gridSpan w:val="3"/>
            <w:tcBorders>
              <w:top w:val="nil"/>
              <w:left w:val="nil"/>
              <w:bottom w:val="nil"/>
              <w:right w:val="nil"/>
              <w:tl2br w:val="nil"/>
              <w:tr2bl w:val="nil"/>
            </w:tcBorders>
            <w:shd w:val="clear" w:color="auto" w:fill="FFFFFF"/>
            <w:tcMar>
              <w:left w:w="115" w:type="dxa"/>
              <w:right w:w="115" w:type="dxa"/>
            </w:tcMar>
            <w:vAlign w:val="bottom"/>
          </w:tcPr>
          <w:p w14:paraId="4D4CB42D" w14:textId="77777777" w:rsidR="003F0EEA" w:rsidRPr="001C6501" w:rsidRDefault="00FB7D0B">
            <w:pPr>
              <w:rPr>
                <w:rFonts w:ascii="Arial" w:eastAsia="Arial" w:hAnsi="Arial" w:cs="Arial"/>
                <w:color w:val="000000"/>
                <w:sz w:val="16"/>
                <w:szCs w:val="20"/>
                <w:vertAlign w:val="superscript"/>
              </w:rPr>
            </w:pPr>
            <w:r w:rsidRPr="001C6501">
              <w:rPr>
                <w:rFonts w:ascii="Arial" w:eastAsia="Arial" w:hAnsi="Arial" w:cs="Arial"/>
                <w:b/>
                <w:color w:val="000000"/>
                <w:sz w:val="16"/>
                <w:szCs w:val="20"/>
              </w:rPr>
              <w:t>Own-source revenue</w:t>
            </w:r>
          </w:p>
        </w:tc>
        <w:tc>
          <w:tcPr>
            <w:tcW w:w="990" w:type="dxa"/>
            <w:tcBorders>
              <w:top w:val="nil"/>
              <w:left w:val="nil"/>
              <w:bottom w:val="nil"/>
              <w:right w:val="nil"/>
              <w:tl2br w:val="nil"/>
              <w:tr2bl w:val="nil"/>
            </w:tcBorders>
            <w:shd w:val="clear" w:color="auto" w:fill="FFFFFF"/>
            <w:tcMar>
              <w:left w:w="115" w:type="dxa"/>
              <w:right w:w="115" w:type="dxa"/>
            </w:tcMar>
            <w:vAlign w:val="bottom"/>
          </w:tcPr>
          <w:p w14:paraId="12A8FA51" w14:textId="77777777" w:rsidR="003F0EEA" w:rsidRPr="001C6501" w:rsidRDefault="003F0EEA">
            <w:pPr>
              <w:rPr>
                <w:rFonts w:ascii="Arial" w:eastAsia="Arial" w:hAnsi="Arial" w:cs="Arial"/>
                <w:b/>
                <w:color w:val="000000"/>
                <w:sz w:val="16"/>
                <w:szCs w:val="20"/>
                <w:vertAlign w:val="superscript"/>
              </w:rPr>
            </w:pPr>
          </w:p>
        </w:tc>
        <w:tc>
          <w:tcPr>
            <w:tcW w:w="915" w:type="dxa"/>
            <w:tcBorders>
              <w:top w:val="nil"/>
              <w:left w:val="nil"/>
              <w:bottom w:val="nil"/>
              <w:right w:val="nil"/>
              <w:tl2br w:val="nil"/>
              <w:tr2bl w:val="nil"/>
            </w:tcBorders>
            <w:shd w:val="clear" w:color="auto" w:fill="FFFF00"/>
            <w:tcMar>
              <w:left w:w="115" w:type="dxa"/>
              <w:right w:w="115" w:type="dxa"/>
            </w:tcMar>
            <w:vAlign w:val="bottom"/>
          </w:tcPr>
          <w:p w14:paraId="7797B257" w14:textId="77777777" w:rsidR="003F0EEA" w:rsidRPr="001C6501" w:rsidRDefault="003F0EEA">
            <w:pPr>
              <w:rPr>
                <w:rFonts w:ascii="Arial" w:eastAsia="Arial" w:hAnsi="Arial" w:cs="Arial"/>
                <w:color w:val="000000"/>
                <w:sz w:val="16"/>
                <w:szCs w:val="20"/>
                <w:vertAlign w:val="superscript"/>
              </w:rPr>
            </w:pPr>
          </w:p>
        </w:tc>
        <w:tc>
          <w:tcPr>
            <w:tcW w:w="915" w:type="dxa"/>
            <w:tcBorders>
              <w:top w:val="nil"/>
              <w:left w:val="nil"/>
              <w:bottom w:val="nil"/>
              <w:right w:val="nil"/>
              <w:tl2br w:val="nil"/>
              <w:tr2bl w:val="nil"/>
            </w:tcBorders>
            <w:shd w:val="clear" w:color="auto" w:fill="FFFFFF"/>
            <w:tcMar>
              <w:left w:w="115" w:type="dxa"/>
              <w:right w:w="115" w:type="dxa"/>
            </w:tcMar>
            <w:vAlign w:val="bottom"/>
          </w:tcPr>
          <w:p w14:paraId="11A1A74C" w14:textId="77777777" w:rsidR="003F0EEA" w:rsidRPr="001C6501" w:rsidRDefault="003F0EEA">
            <w:pPr>
              <w:rPr>
                <w:rFonts w:ascii="Arial" w:eastAsia="Arial" w:hAnsi="Arial" w:cs="Arial"/>
                <w:color w:val="000000"/>
                <w:sz w:val="16"/>
                <w:szCs w:val="20"/>
                <w:vertAlign w:val="superscript"/>
              </w:rPr>
            </w:pPr>
          </w:p>
        </w:tc>
        <w:tc>
          <w:tcPr>
            <w:tcW w:w="915" w:type="dxa"/>
            <w:tcBorders>
              <w:top w:val="nil"/>
              <w:left w:val="nil"/>
              <w:bottom w:val="nil"/>
              <w:right w:val="nil"/>
              <w:tl2br w:val="nil"/>
              <w:tr2bl w:val="nil"/>
            </w:tcBorders>
            <w:shd w:val="clear" w:color="auto" w:fill="FFFFFF"/>
            <w:tcMar>
              <w:left w:w="115" w:type="dxa"/>
              <w:right w:w="115" w:type="dxa"/>
            </w:tcMar>
            <w:vAlign w:val="bottom"/>
          </w:tcPr>
          <w:p w14:paraId="019BD379" w14:textId="77777777" w:rsidR="003F0EEA" w:rsidRPr="001C6501" w:rsidRDefault="003F0EEA">
            <w:pPr>
              <w:rPr>
                <w:rFonts w:ascii="Arial" w:eastAsia="Arial" w:hAnsi="Arial" w:cs="Arial"/>
                <w:color w:val="000000"/>
                <w:sz w:val="16"/>
                <w:szCs w:val="20"/>
                <w:vertAlign w:val="superscript"/>
              </w:rPr>
            </w:pPr>
          </w:p>
        </w:tc>
        <w:tc>
          <w:tcPr>
            <w:tcW w:w="915" w:type="dxa"/>
            <w:tcBorders>
              <w:top w:val="nil"/>
              <w:left w:val="nil"/>
              <w:bottom w:val="nil"/>
              <w:right w:val="nil"/>
              <w:tl2br w:val="nil"/>
              <w:tr2bl w:val="nil"/>
            </w:tcBorders>
            <w:shd w:val="clear" w:color="auto" w:fill="FFFFFF"/>
            <w:tcMar>
              <w:left w:w="115" w:type="dxa"/>
              <w:right w:w="115" w:type="dxa"/>
            </w:tcMar>
            <w:vAlign w:val="bottom"/>
          </w:tcPr>
          <w:p w14:paraId="520C79A9" w14:textId="77777777" w:rsidR="003F0EEA" w:rsidRPr="001C6501" w:rsidRDefault="003F0EEA">
            <w:pPr>
              <w:rPr>
                <w:rFonts w:ascii="Arial" w:eastAsia="Arial" w:hAnsi="Arial" w:cs="Arial"/>
                <w:color w:val="000000"/>
                <w:sz w:val="16"/>
                <w:szCs w:val="20"/>
                <w:vertAlign w:val="superscript"/>
              </w:rPr>
            </w:pPr>
          </w:p>
        </w:tc>
      </w:tr>
      <w:tr w:rsidR="00FB7D0B" w14:paraId="3F58A1E4" w14:textId="77777777" w:rsidTr="00FB7D0B">
        <w:trPr>
          <w:trHeight w:val="225"/>
        </w:trPr>
        <w:tc>
          <w:tcPr>
            <w:tcW w:w="180" w:type="dxa"/>
            <w:tcBorders>
              <w:top w:val="nil"/>
              <w:left w:val="nil"/>
              <w:bottom w:val="nil"/>
              <w:right w:val="nil"/>
              <w:tl2br w:val="nil"/>
              <w:tr2bl w:val="nil"/>
            </w:tcBorders>
            <w:shd w:val="clear" w:color="auto" w:fill="FFFFFF"/>
            <w:tcMar>
              <w:left w:w="115" w:type="dxa"/>
              <w:right w:w="115" w:type="dxa"/>
            </w:tcMar>
            <w:vAlign w:val="bottom"/>
          </w:tcPr>
          <w:p w14:paraId="0B23F08A" w14:textId="77777777" w:rsidR="003F0EEA" w:rsidRPr="001C6501" w:rsidRDefault="003F0EEA">
            <w:pPr>
              <w:rPr>
                <w:rFonts w:ascii="Arial" w:eastAsia="Arial" w:hAnsi="Arial" w:cs="Arial"/>
                <w:color w:val="000000"/>
                <w:sz w:val="16"/>
                <w:szCs w:val="20"/>
                <w:vertAlign w:val="superscript"/>
              </w:rPr>
            </w:pPr>
          </w:p>
        </w:tc>
        <w:tc>
          <w:tcPr>
            <w:tcW w:w="2880" w:type="dxa"/>
            <w:gridSpan w:val="2"/>
            <w:tcBorders>
              <w:top w:val="nil"/>
              <w:left w:val="nil"/>
              <w:bottom w:val="nil"/>
              <w:right w:val="nil"/>
              <w:tl2br w:val="nil"/>
              <w:tr2bl w:val="nil"/>
            </w:tcBorders>
            <w:shd w:val="clear" w:color="auto" w:fill="FFFFFF"/>
            <w:tcMar>
              <w:left w:w="115" w:type="dxa"/>
              <w:right w:w="115" w:type="dxa"/>
            </w:tcMar>
            <w:vAlign w:val="bottom"/>
          </w:tcPr>
          <w:p w14:paraId="7CCF967A" w14:textId="77777777" w:rsidR="003F0EEA" w:rsidRPr="001C6501" w:rsidRDefault="00FB7D0B">
            <w:pPr>
              <w:rPr>
                <w:rFonts w:ascii="Arial" w:eastAsia="Arial" w:hAnsi="Arial" w:cs="Arial"/>
                <w:color w:val="000000"/>
                <w:sz w:val="16"/>
                <w:szCs w:val="20"/>
                <w:vertAlign w:val="superscript"/>
              </w:rPr>
            </w:pPr>
            <w:r w:rsidRPr="001C6501">
              <w:rPr>
                <w:rFonts w:ascii="Arial" w:eastAsia="Arial" w:hAnsi="Arial" w:cs="Arial"/>
                <w:color w:val="000000"/>
                <w:sz w:val="16"/>
                <w:szCs w:val="20"/>
              </w:rPr>
              <w:t xml:space="preserve">Sale of goods and rendering </w:t>
            </w:r>
          </w:p>
        </w:tc>
        <w:tc>
          <w:tcPr>
            <w:tcW w:w="990" w:type="dxa"/>
            <w:tcBorders>
              <w:top w:val="nil"/>
              <w:left w:val="nil"/>
              <w:bottom w:val="nil"/>
              <w:right w:val="nil"/>
              <w:tl2br w:val="nil"/>
              <w:tr2bl w:val="nil"/>
            </w:tcBorders>
            <w:shd w:val="clear" w:color="auto" w:fill="FFFFFF"/>
            <w:tcMar>
              <w:left w:w="115" w:type="dxa"/>
              <w:right w:w="115" w:type="dxa"/>
            </w:tcMar>
            <w:vAlign w:val="bottom"/>
          </w:tcPr>
          <w:p w14:paraId="42CCB6F0" w14:textId="77777777" w:rsidR="003F0EEA" w:rsidRPr="001C6501" w:rsidRDefault="003F0EEA">
            <w:pPr>
              <w:rPr>
                <w:rFonts w:ascii="Arial" w:eastAsia="Arial" w:hAnsi="Arial" w:cs="Arial"/>
                <w:color w:val="000000"/>
                <w:sz w:val="16"/>
                <w:szCs w:val="20"/>
                <w:vertAlign w:val="superscript"/>
              </w:rPr>
            </w:pPr>
          </w:p>
        </w:tc>
        <w:tc>
          <w:tcPr>
            <w:tcW w:w="915" w:type="dxa"/>
            <w:tcBorders>
              <w:top w:val="nil"/>
              <w:left w:val="nil"/>
              <w:bottom w:val="nil"/>
              <w:right w:val="nil"/>
              <w:tl2br w:val="nil"/>
              <w:tr2bl w:val="nil"/>
            </w:tcBorders>
            <w:shd w:val="clear" w:color="auto" w:fill="FFFF00"/>
            <w:tcMar>
              <w:left w:w="115" w:type="dxa"/>
              <w:right w:w="115" w:type="dxa"/>
            </w:tcMar>
            <w:vAlign w:val="bottom"/>
          </w:tcPr>
          <w:p w14:paraId="4292EF54" w14:textId="77777777" w:rsidR="003F0EEA" w:rsidRPr="001C6501" w:rsidRDefault="003F0EEA">
            <w:pPr>
              <w:rPr>
                <w:rFonts w:ascii="Arial" w:eastAsia="Arial" w:hAnsi="Arial" w:cs="Arial"/>
                <w:color w:val="000000"/>
                <w:sz w:val="16"/>
                <w:szCs w:val="20"/>
                <w:vertAlign w:val="superscript"/>
              </w:rPr>
            </w:pPr>
          </w:p>
        </w:tc>
        <w:tc>
          <w:tcPr>
            <w:tcW w:w="915" w:type="dxa"/>
            <w:tcBorders>
              <w:top w:val="nil"/>
              <w:left w:val="nil"/>
              <w:bottom w:val="nil"/>
              <w:right w:val="nil"/>
              <w:tl2br w:val="nil"/>
              <w:tr2bl w:val="nil"/>
            </w:tcBorders>
            <w:shd w:val="clear" w:color="auto" w:fill="FFFFFF"/>
            <w:tcMar>
              <w:left w:w="115" w:type="dxa"/>
              <w:right w:w="115" w:type="dxa"/>
            </w:tcMar>
            <w:vAlign w:val="bottom"/>
          </w:tcPr>
          <w:p w14:paraId="19F430B3" w14:textId="77777777" w:rsidR="003F0EEA" w:rsidRPr="001C6501" w:rsidRDefault="003F0EEA">
            <w:pPr>
              <w:rPr>
                <w:rFonts w:ascii="Arial" w:eastAsia="Arial" w:hAnsi="Arial" w:cs="Arial"/>
                <w:color w:val="000000"/>
                <w:sz w:val="16"/>
                <w:szCs w:val="20"/>
                <w:vertAlign w:val="superscript"/>
              </w:rPr>
            </w:pPr>
          </w:p>
        </w:tc>
        <w:tc>
          <w:tcPr>
            <w:tcW w:w="915" w:type="dxa"/>
            <w:tcBorders>
              <w:top w:val="nil"/>
              <w:left w:val="nil"/>
              <w:bottom w:val="nil"/>
              <w:right w:val="nil"/>
              <w:tl2br w:val="nil"/>
              <w:tr2bl w:val="nil"/>
            </w:tcBorders>
            <w:shd w:val="clear" w:color="auto" w:fill="FFFFFF"/>
            <w:tcMar>
              <w:left w:w="115" w:type="dxa"/>
              <w:right w:w="115" w:type="dxa"/>
            </w:tcMar>
            <w:vAlign w:val="bottom"/>
          </w:tcPr>
          <w:p w14:paraId="47FD0BEF" w14:textId="77777777" w:rsidR="003F0EEA" w:rsidRPr="001C6501" w:rsidRDefault="003F0EEA">
            <w:pPr>
              <w:rPr>
                <w:rFonts w:ascii="Arial" w:eastAsia="Arial" w:hAnsi="Arial" w:cs="Arial"/>
                <w:color w:val="000000"/>
                <w:sz w:val="16"/>
                <w:szCs w:val="20"/>
                <w:vertAlign w:val="superscript"/>
              </w:rPr>
            </w:pPr>
          </w:p>
        </w:tc>
        <w:tc>
          <w:tcPr>
            <w:tcW w:w="915" w:type="dxa"/>
            <w:tcBorders>
              <w:top w:val="nil"/>
              <w:left w:val="nil"/>
              <w:bottom w:val="nil"/>
              <w:right w:val="nil"/>
              <w:tl2br w:val="nil"/>
              <w:tr2bl w:val="nil"/>
            </w:tcBorders>
            <w:shd w:val="clear" w:color="auto" w:fill="FFFFFF"/>
            <w:tcMar>
              <w:left w:w="115" w:type="dxa"/>
              <w:right w:w="115" w:type="dxa"/>
            </w:tcMar>
            <w:vAlign w:val="bottom"/>
          </w:tcPr>
          <w:p w14:paraId="51BF9F8C" w14:textId="77777777" w:rsidR="003F0EEA" w:rsidRPr="001C6501" w:rsidRDefault="003F0EEA">
            <w:pPr>
              <w:rPr>
                <w:rFonts w:ascii="Arial" w:eastAsia="Arial" w:hAnsi="Arial" w:cs="Arial"/>
                <w:color w:val="000000"/>
                <w:sz w:val="16"/>
                <w:szCs w:val="20"/>
                <w:vertAlign w:val="superscript"/>
              </w:rPr>
            </w:pPr>
          </w:p>
        </w:tc>
      </w:tr>
      <w:tr w:rsidR="00724034" w14:paraId="6FC9271A" w14:textId="77777777">
        <w:trPr>
          <w:trHeight w:val="225"/>
        </w:trPr>
        <w:tc>
          <w:tcPr>
            <w:tcW w:w="180" w:type="dxa"/>
            <w:tcBorders>
              <w:top w:val="nil"/>
              <w:left w:val="nil"/>
              <w:bottom w:val="nil"/>
              <w:right w:val="nil"/>
              <w:tl2br w:val="nil"/>
              <w:tr2bl w:val="nil"/>
            </w:tcBorders>
            <w:shd w:val="clear" w:color="auto" w:fill="FFFFFF"/>
            <w:tcMar>
              <w:left w:w="115" w:type="dxa"/>
              <w:right w:w="115" w:type="dxa"/>
            </w:tcMar>
            <w:vAlign w:val="bottom"/>
          </w:tcPr>
          <w:p w14:paraId="46476E1C" w14:textId="77777777" w:rsidR="003F0EEA" w:rsidRPr="001C6501" w:rsidRDefault="003F0EEA">
            <w:pPr>
              <w:rPr>
                <w:rFonts w:ascii="Arial" w:eastAsia="Arial" w:hAnsi="Arial" w:cs="Arial"/>
                <w:color w:val="000000"/>
                <w:sz w:val="16"/>
                <w:szCs w:val="20"/>
                <w:vertAlign w:val="superscript"/>
              </w:rPr>
            </w:pPr>
          </w:p>
        </w:tc>
        <w:tc>
          <w:tcPr>
            <w:tcW w:w="180" w:type="dxa"/>
            <w:tcBorders>
              <w:top w:val="nil"/>
              <w:left w:val="nil"/>
              <w:bottom w:val="nil"/>
              <w:right w:val="nil"/>
              <w:tl2br w:val="nil"/>
              <w:tr2bl w:val="nil"/>
            </w:tcBorders>
            <w:shd w:val="clear" w:color="auto" w:fill="FFFFFF"/>
            <w:tcMar>
              <w:left w:w="115" w:type="dxa"/>
              <w:right w:w="115" w:type="dxa"/>
            </w:tcMar>
            <w:vAlign w:val="bottom"/>
          </w:tcPr>
          <w:p w14:paraId="3D58108C" w14:textId="77777777" w:rsidR="003F0EEA" w:rsidRPr="001C6501" w:rsidRDefault="003F0EEA">
            <w:pPr>
              <w:rPr>
                <w:rFonts w:ascii="Arial" w:eastAsia="Arial" w:hAnsi="Arial" w:cs="Arial"/>
                <w:color w:val="000000"/>
                <w:sz w:val="16"/>
                <w:szCs w:val="20"/>
                <w:vertAlign w:val="superscript"/>
              </w:rPr>
            </w:pPr>
          </w:p>
        </w:tc>
        <w:tc>
          <w:tcPr>
            <w:tcW w:w="2700" w:type="dxa"/>
            <w:tcBorders>
              <w:top w:val="nil"/>
              <w:left w:val="nil"/>
              <w:bottom w:val="nil"/>
              <w:right w:val="nil"/>
              <w:tl2br w:val="nil"/>
              <w:tr2bl w:val="nil"/>
            </w:tcBorders>
            <w:shd w:val="clear" w:color="auto" w:fill="FFFFFF"/>
            <w:tcMar>
              <w:left w:w="115" w:type="dxa"/>
              <w:right w:w="115" w:type="dxa"/>
            </w:tcMar>
            <w:vAlign w:val="bottom"/>
          </w:tcPr>
          <w:p w14:paraId="767FA5AB" w14:textId="77777777" w:rsidR="003F0EEA" w:rsidRPr="001C6501" w:rsidRDefault="00FB7D0B">
            <w:pPr>
              <w:rPr>
                <w:rFonts w:ascii="Arial" w:eastAsia="Arial" w:hAnsi="Arial" w:cs="Arial"/>
                <w:color w:val="000000"/>
                <w:sz w:val="16"/>
                <w:szCs w:val="20"/>
                <w:vertAlign w:val="superscript"/>
              </w:rPr>
            </w:pPr>
            <w:r w:rsidRPr="001C6501">
              <w:rPr>
                <w:rFonts w:ascii="Arial" w:eastAsia="Arial" w:hAnsi="Arial" w:cs="Arial"/>
                <w:color w:val="000000"/>
                <w:sz w:val="16"/>
                <w:szCs w:val="20"/>
              </w:rPr>
              <w:t>of services</w:t>
            </w:r>
          </w:p>
        </w:tc>
        <w:tc>
          <w:tcPr>
            <w:tcW w:w="990" w:type="dxa"/>
            <w:tcBorders>
              <w:top w:val="nil"/>
              <w:left w:val="nil"/>
              <w:bottom w:val="nil"/>
              <w:right w:val="nil"/>
              <w:tl2br w:val="nil"/>
              <w:tr2bl w:val="nil"/>
            </w:tcBorders>
            <w:shd w:val="clear" w:color="auto" w:fill="FFFFFF"/>
            <w:tcMar>
              <w:left w:w="115" w:type="dxa"/>
              <w:right w:w="115" w:type="dxa"/>
            </w:tcMar>
            <w:vAlign w:val="bottom"/>
          </w:tcPr>
          <w:p w14:paraId="1A039705" w14:textId="77777777" w:rsidR="003F0EEA" w:rsidRPr="001C6501" w:rsidRDefault="00FB7D0B">
            <w:pPr>
              <w:jc w:val="right"/>
              <w:rPr>
                <w:rFonts w:ascii="Arial" w:eastAsia="Arial" w:hAnsi="Arial" w:cs="Arial"/>
                <w:color w:val="000000"/>
                <w:sz w:val="16"/>
                <w:szCs w:val="20"/>
                <w:vertAlign w:val="superscript"/>
              </w:rPr>
            </w:pPr>
            <w:r w:rsidRPr="001C6501">
              <w:rPr>
                <w:rFonts w:ascii="Arial" w:eastAsia="Arial" w:hAnsi="Arial" w:cs="Arial"/>
                <w:color w:val="000000"/>
                <w:sz w:val="16"/>
                <w:szCs w:val="20"/>
              </w:rPr>
              <w:t>32,355 </w:t>
            </w:r>
          </w:p>
        </w:tc>
        <w:tc>
          <w:tcPr>
            <w:tcW w:w="915" w:type="dxa"/>
            <w:tcBorders>
              <w:top w:val="nil"/>
              <w:left w:val="nil"/>
              <w:bottom w:val="nil"/>
              <w:right w:val="nil"/>
              <w:tl2br w:val="nil"/>
              <w:tr2bl w:val="nil"/>
            </w:tcBorders>
            <w:shd w:val="clear" w:color="auto" w:fill="FFFF00"/>
            <w:tcMar>
              <w:left w:w="115" w:type="dxa"/>
              <w:right w:w="115" w:type="dxa"/>
            </w:tcMar>
            <w:vAlign w:val="bottom"/>
          </w:tcPr>
          <w:p w14:paraId="16C56513" w14:textId="77777777" w:rsidR="003F0EEA" w:rsidRPr="001C6501" w:rsidRDefault="00FB7D0B">
            <w:pPr>
              <w:jc w:val="right"/>
              <w:rPr>
                <w:rFonts w:ascii="Arial" w:eastAsia="Arial" w:hAnsi="Arial" w:cs="Arial"/>
                <w:color w:val="000000"/>
                <w:sz w:val="16"/>
                <w:szCs w:val="20"/>
              </w:rPr>
            </w:pPr>
            <w:r w:rsidRPr="001C6501">
              <w:rPr>
                <w:rFonts w:ascii="Arial" w:eastAsia="Arial" w:hAnsi="Arial" w:cs="Arial"/>
                <w:color w:val="000000"/>
                <w:sz w:val="16"/>
                <w:szCs w:val="20"/>
              </w:rPr>
              <w:t>35,821 </w:t>
            </w:r>
          </w:p>
        </w:tc>
        <w:tc>
          <w:tcPr>
            <w:tcW w:w="915" w:type="dxa"/>
            <w:tcBorders>
              <w:top w:val="nil"/>
              <w:left w:val="nil"/>
              <w:bottom w:val="nil"/>
              <w:right w:val="nil"/>
              <w:tl2br w:val="nil"/>
              <w:tr2bl w:val="nil"/>
            </w:tcBorders>
            <w:shd w:val="clear" w:color="auto" w:fill="FFFFFF"/>
            <w:tcMar>
              <w:left w:w="115" w:type="dxa"/>
              <w:right w:w="115" w:type="dxa"/>
            </w:tcMar>
            <w:vAlign w:val="bottom"/>
          </w:tcPr>
          <w:p w14:paraId="2DC33D9B" w14:textId="77777777" w:rsidR="003F0EEA" w:rsidRPr="001C6501" w:rsidRDefault="00FB7D0B">
            <w:pPr>
              <w:jc w:val="right"/>
              <w:rPr>
                <w:rFonts w:ascii="Arial" w:eastAsia="Arial" w:hAnsi="Arial" w:cs="Arial"/>
                <w:color w:val="000000"/>
                <w:sz w:val="16"/>
                <w:szCs w:val="20"/>
              </w:rPr>
            </w:pPr>
            <w:r w:rsidRPr="001C6501">
              <w:rPr>
                <w:rFonts w:ascii="Arial" w:eastAsia="Arial" w:hAnsi="Arial" w:cs="Arial"/>
                <w:color w:val="000000"/>
                <w:sz w:val="16"/>
                <w:szCs w:val="20"/>
              </w:rPr>
              <w:t>39,730 </w:t>
            </w:r>
          </w:p>
        </w:tc>
        <w:tc>
          <w:tcPr>
            <w:tcW w:w="915" w:type="dxa"/>
            <w:tcBorders>
              <w:top w:val="nil"/>
              <w:left w:val="nil"/>
              <w:bottom w:val="nil"/>
              <w:right w:val="nil"/>
              <w:tl2br w:val="nil"/>
              <w:tr2bl w:val="nil"/>
            </w:tcBorders>
            <w:shd w:val="clear" w:color="auto" w:fill="FFFFFF"/>
            <w:tcMar>
              <w:left w:w="115" w:type="dxa"/>
              <w:right w:w="115" w:type="dxa"/>
            </w:tcMar>
            <w:vAlign w:val="bottom"/>
          </w:tcPr>
          <w:p w14:paraId="361F2386" w14:textId="77777777" w:rsidR="003F0EEA" w:rsidRPr="001C6501" w:rsidRDefault="00FB7D0B">
            <w:pPr>
              <w:jc w:val="right"/>
              <w:rPr>
                <w:rFonts w:ascii="Arial" w:eastAsia="Arial" w:hAnsi="Arial" w:cs="Arial"/>
                <w:color w:val="000000"/>
                <w:sz w:val="16"/>
                <w:szCs w:val="20"/>
              </w:rPr>
            </w:pPr>
            <w:r w:rsidRPr="001C6501">
              <w:rPr>
                <w:rFonts w:ascii="Arial" w:eastAsia="Arial" w:hAnsi="Arial" w:cs="Arial"/>
                <w:color w:val="000000"/>
                <w:sz w:val="16"/>
                <w:szCs w:val="20"/>
              </w:rPr>
              <w:t>44,047 </w:t>
            </w:r>
          </w:p>
        </w:tc>
        <w:tc>
          <w:tcPr>
            <w:tcW w:w="915" w:type="dxa"/>
            <w:tcBorders>
              <w:top w:val="nil"/>
              <w:left w:val="nil"/>
              <w:bottom w:val="nil"/>
              <w:right w:val="nil"/>
              <w:tl2br w:val="nil"/>
              <w:tr2bl w:val="nil"/>
            </w:tcBorders>
            <w:shd w:val="clear" w:color="auto" w:fill="FFFFFF"/>
            <w:tcMar>
              <w:left w:w="115" w:type="dxa"/>
              <w:right w:w="115" w:type="dxa"/>
            </w:tcMar>
            <w:vAlign w:val="bottom"/>
          </w:tcPr>
          <w:p w14:paraId="63A298B4" w14:textId="77777777" w:rsidR="003F0EEA" w:rsidRPr="001C6501" w:rsidRDefault="00FB7D0B">
            <w:pPr>
              <w:jc w:val="right"/>
              <w:rPr>
                <w:rFonts w:ascii="Arial" w:eastAsia="Arial" w:hAnsi="Arial" w:cs="Arial"/>
                <w:color w:val="000000"/>
                <w:sz w:val="16"/>
                <w:szCs w:val="20"/>
              </w:rPr>
            </w:pPr>
            <w:r w:rsidRPr="001C6501">
              <w:rPr>
                <w:rFonts w:ascii="Arial" w:eastAsia="Arial" w:hAnsi="Arial" w:cs="Arial"/>
                <w:color w:val="000000"/>
                <w:sz w:val="16"/>
                <w:szCs w:val="20"/>
              </w:rPr>
              <w:t>48,813 </w:t>
            </w:r>
          </w:p>
        </w:tc>
      </w:tr>
      <w:tr w:rsidR="00FB7D0B" w14:paraId="469F09A2" w14:textId="77777777" w:rsidTr="00FB7D0B">
        <w:trPr>
          <w:trHeight w:val="225"/>
        </w:trPr>
        <w:tc>
          <w:tcPr>
            <w:tcW w:w="180" w:type="dxa"/>
            <w:tcBorders>
              <w:top w:val="nil"/>
              <w:left w:val="nil"/>
              <w:bottom w:val="nil"/>
              <w:right w:val="nil"/>
              <w:tl2br w:val="nil"/>
              <w:tr2bl w:val="nil"/>
            </w:tcBorders>
            <w:shd w:val="clear" w:color="auto" w:fill="FFFFFF"/>
            <w:tcMar>
              <w:left w:w="115" w:type="dxa"/>
              <w:right w:w="115" w:type="dxa"/>
            </w:tcMar>
            <w:vAlign w:val="bottom"/>
          </w:tcPr>
          <w:p w14:paraId="12EDF800" w14:textId="77777777" w:rsidR="003F0EEA" w:rsidRPr="001C6501" w:rsidRDefault="003F0EEA">
            <w:pPr>
              <w:rPr>
                <w:rFonts w:ascii="Arial" w:eastAsia="Arial" w:hAnsi="Arial" w:cs="Arial"/>
                <w:color w:val="000000"/>
                <w:sz w:val="16"/>
                <w:szCs w:val="20"/>
              </w:rPr>
            </w:pPr>
          </w:p>
        </w:tc>
        <w:tc>
          <w:tcPr>
            <w:tcW w:w="2880" w:type="dxa"/>
            <w:gridSpan w:val="2"/>
            <w:tcBorders>
              <w:top w:val="nil"/>
              <w:left w:val="nil"/>
              <w:bottom w:val="nil"/>
              <w:right w:val="nil"/>
              <w:tl2br w:val="nil"/>
              <w:tr2bl w:val="nil"/>
            </w:tcBorders>
            <w:shd w:val="clear" w:color="auto" w:fill="FFFFFF"/>
            <w:tcMar>
              <w:left w:w="115" w:type="dxa"/>
              <w:right w:w="115" w:type="dxa"/>
            </w:tcMar>
            <w:vAlign w:val="bottom"/>
          </w:tcPr>
          <w:p w14:paraId="4E4FCCAD" w14:textId="77777777" w:rsidR="003F0EEA" w:rsidRPr="001C6501" w:rsidRDefault="00FB7D0B">
            <w:pPr>
              <w:rPr>
                <w:rFonts w:ascii="Arial" w:eastAsia="Arial" w:hAnsi="Arial" w:cs="Arial"/>
                <w:color w:val="000000"/>
                <w:sz w:val="16"/>
                <w:szCs w:val="20"/>
              </w:rPr>
            </w:pPr>
            <w:r w:rsidRPr="001C6501">
              <w:rPr>
                <w:rFonts w:ascii="Arial" w:eastAsia="Arial" w:hAnsi="Arial" w:cs="Arial"/>
                <w:color w:val="000000"/>
                <w:sz w:val="16"/>
                <w:szCs w:val="20"/>
              </w:rPr>
              <w:t xml:space="preserve">Other </w:t>
            </w:r>
          </w:p>
        </w:tc>
        <w:tc>
          <w:tcPr>
            <w:tcW w:w="990" w:type="dxa"/>
            <w:tcBorders>
              <w:top w:val="nil"/>
              <w:left w:val="nil"/>
              <w:bottom w:val="nil"/>
              <w:right w:val="nil"/>
              <w:tl2br w:val="nil"/>
              <w:tr2bl w:val="nil"/>
            </w:tcBorders>
            <w:shd w:val="clear" w:color="auto" w:fill="FFFFFF"/>
            <w:tcMar>
              <w:left w:w="115" w:type="dxa"/>
              <w:right w:w="115" w:type="dxa"/>
            </w:tcMar>
            <w:vAlign w:val="bottom"/>
          </w:tcPr>
          <w:p w14:paraId="666BD6EC" w14:textId="77777777" w:rsidR="003F0EEA" w:rsidRPr="001C6501" w:rsidRDefault="00FB7D0B">
            <w:pPr>
              <w:jc w:val="right"/>
              <w:rPr>
                <w:rFonts w:ascii="Arial" w:eastAsia="Arial" w:hAnsi="Arial" w:cs="Arial"/>
                <w:color w:val="000000"/>
                <w:sz w:val="16"/>
                <w:szCs w:val="20"/>
                <w:vertAlign w:val="superscript"/>
              </w:rPr>
            </w:pPr>
            <w:r w:rsidRPr="001C6501">
              <w:rPr>
                <w:rFonts w:ascii="Arial" w:eastAsia="Arial" w:hAnsi="Arial" w:cs="Arial"/>
                <w:color w:val="000000"/>
                <w:sz w:val="16"/>
                <w:szCs w:val="20"/>
              </w:rPr>
              <w:t>4,300 </w:t>
            </w:r>
          </w:p>
        </w:tc>
        <w:tc>
          <w:tcPr>
            <w:tcW w:w="915" w:type="dxa"/>
            <w:tcBorders>
              <w:top w:val="nil"/>
              <w:left w:val="nil"/>
              <w:bottom w:val="nil"/>
              <w:right w:val="nil"/>
              <w:tl2br w:val="nil"/>
              <w:tr2bl w:val="nil"/>
            </w:tcBorders>
            <w:shd w:val="clear" w:color="auto" w:fill="FFFF00"/>
            <w:tcMar>
              <w:left w:w="115" w:type="dxa"/>
              <w:right w:w="115" w:type="dxa"/>
            </w:tcMar>
            <w:vAlign w:val="bottom"/>
          </w:tcPr>
          <w:p w14:paraId="5220FFEA" w14:textId="77777777" w:rsidR="003F0EEA" w:rsidRPr="001C6501" w:rsidRDefault="00FB7D0B">
            <w:pPr>
              <w:jc w:val="right"/>
              <w:rPr>
                <w:rFonts w:ascii="Arial" w:eastAsia="Arial" w:hAnsi="Arial" w:cs="Arial"/>
                <w:color w:val="000000"/>
                <w:sz w:val="16"/>
                <w:szCs w:val="20"/>
              </w:rPr>
            </w:pPr>
            <w:r w:rsidRPr="001C6501">
              <w:rPr>
                <w:rFonts w:ascii="Arial" w:eastAsia="Arial" w:hAnsi="Arial" w:cs="Arial"/>
                <w:color w:val="000000"/>
                <w:sz w:val="16"/>
                <w:szCs w:val="20"/>
              </w:rPr>
              <w:t>4,440 </w:t>
            </w:r>
          </w:p>
        </w:tc>
        <w:tc>
          <w:tcPr>
            <w:tcW w:w="915" w:type="dxa"/>
            <w:tcBorders>
              <w:top w:val="nil"/>
              <w:left w:val="nil"/>
              <w:bottom w:val="nil"/>
              <w:right w:val="nil"/>
              <w:tl2br w:val="nil"/>
              <w:tr2bl w:val="nil"/>
            </w:tcBorders>
            <w:shd w:val="clear" w:color="auto" w:fill="FFFFFF"/>
            <w:tcMar>
              <w:left w:w="115" w:type="dxa"/>
              <w:right w:w="115" w:type="dxa"/>
            </w:tcMar>
            <w:vAlign w:val="bottom"/>
          </w:tcPr>
          <w:p w14:paraId="5706883A" w14:textId="77777777" w:rsidR="003F0EEA" w:rsidRPr="001C6501" w:rsidRDefault="00FB7D0B">
            <w:pPr>
              <w:jc w:val="right"/>
              <w:rPr>
                <w:rFonts w:ascii="Arial" w:eastAsia="Arial" w:hAnsi="Arial" w:cs="Arial"/>
                <w:color w:val="000000"/>
                <w:sz w:val="16"/>
                <w:szCs w:val="20"/>
              </w:rPr>
            </w:pPr>
            <w:r w:rsidRPr="001C6501">
              <w:rPr>
                <w:rFonts w:ascii="Arial" w:eastAsia="Arial" w:hAnsi="Arial" w:cs="Arial"/>
                <w:color w:val="000000"/>
                <w:sz w:val="16"/>
                <w:szCs w:val="20"/>
              </w:rPr>
              <w:t>4,587 </w:t>
            </w:r>
          </w:p>
        </w:tc>
        <w:tc>
          <w:tcPr>
            <w:tcW w:w="915" w:type="dxa"/>
            <w:tcBorders>
              <w:top w:val="nil"/>
              <w:left w:val="nil"/>
              <w:bottom w:val="nil"/>
              <w:right w:val="nil"/>
              <w:tl2br w:val="nil"/>
              <w:tr2bl w:val="nil"/>
            </w:tcBorders>
            <w:shd w:val="clear" w:color="auto" w:fill="FFFFFF"/>
            <w:tcMar>
              <w:left w:w="115" w:type="dxa"/>
              <w:right w:w="115" w:type="dxa"/>
            </w:tcMar>
            <w:vAlign w:val="bottom"/>
          </w:tcPr>
          <w:p w14:paraId="30A4F934" w14:textId="77777777" w:rsidR="003F0EEA" w:rsidRPr="001C6501" w:rsidRDefault="00FB7D0B">
            <w:pPr>
              <w:jc w:val="right"/>
              <w:rPr>
                <w:rFonts w:ascii="Arial" w:eastAsia="Arial" w:hAnsi="Arial" w:cs="Arial"/>
                <w:color w:val="000000"/>
                <w:sz w:val="16"/>
                <w:szCs w:val="20"/>
              </w:rPr>
            </w:pPr>
            <w:r w:rsidRPr="001C6501">
              <w:rPr>
                <w:rFonts w:ascii="Arial" w:eastAsia="Arial" w:hAnsi="Arial" w:cs="Arial"/>
                <w:color w:val="000000"/>
                <w:sz w:val="16"/>
                <w:szCs w:val="20"/>
              </w:rPr>
              <w:t>4,741 </w:t>
            </w:r>
          </w:p>
        </w:tc>
        <w:tc>
          <w:tcPr>
            <w:tcW w:w="915" w:type="dxa"/>
            <w:tcBorders>
              <w:top w:val="nil"/>
              <w:left w:val="nil"/>
              <w:bottom w:val="nil"/>
              <w:right w:val="nil"/>
              <w:tl2br w:val="nil"/>
              <w:tr2bl w:val="nil"/>
            </w:tcBorders>
            <w:shd w:val="clear" w:color="auto" w:fill="FFFFFF"/>
            <w:tcMar>
              <w:left w:w="115" w:type="dxa"/>
              <w:right w:w="115" w:type="dxa"/>
            </w:tcMar>
            <w:vAlign w:val="bottom"/>
          </w:tcPr>
          <w:p w14:paraId="43F91B74" w14:textId="77777777" w:rsidR="003F0EEA" w:rsidRPr="001C6501" w:rsidRDefault="00FB7D0B">
            <w:pPr>
              <w:jc w:val="right"/>
              <w:rPr>
                <w:rFonts w:ascii="Arial" w:eastAsia="Arial" w:hAnsi="Arial" w:cs="Arial"/>
                <w:color w:val="000000"/>
                <w:sz w:val="16"/>
                <w:szCs w:val="20"/>
              </w:rPr>
            </w:pPr>
            <w:r w:rsidRPr="001C6501">
              <w:rPr>
                <w:rFonts w:ascii="Arial" w:eastAsia="Arial" w:hAnsi="Arial" w:cs="Arial"/>
                <w:color w:val="000000"/>
                <w:sz w:val="16"/>
                <w:szCs w:val="20"/>
              </w:rPr>
              <w:t>4,903 </w:t>
            </w:r>
          </w:p>
        </w:tc>
      </w:tr>
      <w:tr w:rsidR="00FB7D0B" w14:paraId="22C56062" w14:textId="77777777" w:rsidTr="00FB7D0B">
        <w:trPr>
          <w:trHeight w:val="225"/>
        </w:trPr>
        <w:tc>
          <w:tcPr>
            <w:tcW w:w="3060" w:type="dxa"/>
            <w:gridSpan w:val="3"/>
            <w:tcBorders>
              <w:top w:val="nil"/>
              <w:left w:val="nil"/>
              <w:bottom w:val="nil"/>
              <w:right w:val="nil"/>
              <w:tl2br w:val="nil"/>
              <w:tr2bl w:val="nil"/>
            </w:tcBorders>
            <w:shd w:val="clear" w:color="auto" w:fill="FFFFFF"/>
            <w:tcMar>
              <w:left w:w="115" w:type="dxa"/>
              <w:right w:w="115" w:type="dxa"/>
            </w:tcMar>
            <w:vAlign w:val="bottom"/>
          </w:tcPr>
          <w:p w14:paraId="5E41532F" w14:textId="77777777" w:rsidR="003F0EEA" w:rsidRPr="001C6501" w:rsidRDefault="00FB7D0B">
            <w:pPr>
              <w:rPr>
                <w:rFonts w:ascii="Arial" w:eastAsia="Arial" w:hAnsi="Arial" w:cs="Arial"/>
                <w:color w:val="000000"/>
                <w:sz w:val="16"/>
                <w:szCs w:val="20"/>
              </w:rPr>
            </w:pPr>
            <w:r w:rsidRPr="001C6501">
              <w:rPr>
                <w:rFonts w:ascii="Arial" w:eastAsia="Arial" w:hAnsi="Arial" w:cs="Arial"/>
                <w:b/>
                <w:color w:val="000000"/>
                <w:sz w:val="16"/>
                <w:szCs w:val="20"/>
              </w:rPr>
              <w:t>Total own-source revenue</w:t>
            </w:r>
          </w:p>
        </w:tc>
        <w:tc>
          <w:tcPr>
            <w:tcW w:w="990" w:type="dxa"/>
            <w:tcBorders>
              <w:top w:val="single" w:sz="6" w:space="0" w:color="000000"/>
              <w:left w:val="nil"/>
              <w:bottom w:val="single" w:sz="6" w:space="0" w:color="000000"/>
              <w:right w:val="nil"/>
              <w:tl2br w:val="nil"/>
              <w:tr2bl w:val="nil"/>
            </w:tcBorders>
            <w:shd w:val="clear" w:color="auto" w:fill="FFFFFF"/>
            <w:tcMar>
              <w:left w:w="115" w:type="dxa"/>
              <w:right w:w="115" w:type="dxa"/>
            </w:tcMar>
            <w:vAlign w:val="bottom"/>
          </w:tcPr>
          <w:p w14:paraId="0B2108EB" w14:textId="77777777" w:rsidR="003F0EEA" w:rsidRPr="001C6501" w:rsidRDefault="00FB7D0B">
            <w:pPr>
              <w:jc w:val="right"/>
              <w:rPr>
                <w:rFonts w:ascii="Arial" w:eastAsia="Arial" w:hAnsi="Arial" w:cs="Arial"/>
                <w:b/>
                <w:color w:val="000000"/>
                <w:sz w:val="16"/>
                <w:szCs w:val="20"/>
                <w:vertAlign w:val="superscript"/>
              </w:rPr>
            </w:pPr>
            <w:r w:rsidRPr="001C6501">
              <w:rPr>
                <w:rFonts w:ascii="Arial" w:eastAsia="Arial" w:hAnsi="Arial" w:cs="Arial"/>
                <w:b/>
                <w:color w:val="000000"/>
                <w:sz w:val="16"/>
                <w:szCs w:val="20"/>
              </w:rPr>
              <w:t>36,655 </w:t>
            </w:r>
          </w:p>
        </w:tc>
        <w:tc>
          <w:tcPr>
            <w:tcW w:w="915" w:type="dxa"/>
            <w:tcBorders>
              <w:top w:val="single" w:sz="6" w:space="0" w:color="000000"/>
              <w:left w:val="nil"/>
              <w:bottom w:val="single" w:sz="6" w:space="0" w:color="000000"/>
              <w:right w:val="nil"/>
              <w:tl2br w:val="nil"/>
              <w:tr2bl w:val="nil"/>
            </w:tcBorders>
            <w:shd w:val="clear" w:color="auto" w:fill="FFFF00"/>
            <w:tcMar>
              <w:left w:w="115" w:type="dxa"/>
              <w:right w:w="115" w:type="dxa"/>
            </w:tcMar>
            <w:vAlign w:val="bottom"/>
          </w:tcPr>
          <w:p w14:paraId="0D5FE6DB" w14:textId="77777777" w:rsidR="003F0EEA" w:rsidRPr="001C6501" w:rsidRDefault="00FB7D0B">
            <w:pPr>
              <w:jc w:val="right"/>
              <w:rPr>
                <w:rFonts w:ascii="Arial" w:eastAsia="Arial" w:hAnsi="Arial" w:cs="Arial"/>
                <w:b/>
                <w:color w:val="000000"/>
                <w:sz w:val="16"/>
                <w:szCs w:val="20"/>
              </w:rPr>
            </w:pPr>
            <w:r w:rsidRPr="001C6501">
              <w:rPr>
                <w:rFonts w:ascii="Arial" w:eastAsia="Arial" w:hAnsi="Arial" w:cs="Arial"/>
                <w:b/>
                <w:color w:val="000000"/>
                <w:sz w:val="16"/>
                <w:szCs w:val="20"/>
              </w:rPr>
              <w:t>40,261 </w:t>
            </w:r>
          </w:p>
        </w:tc>
        <w:tc>
          <w:tcPr>
            <w:tcW w:w="915" w:type="dxa"/>
            <w:tcBorders>
              <w:top w:val="single" w:sz="6" w:space="0" w:color="000000"/>
              <w:left w:val="nil"/>
              <w:bottom w:val="single" w:sz="6" w:space="0" w:color="000000"/>
              <w:right w:val="nil"/>
              <w:tl2br w:val="nil"/>
              <w:tr2bl w:val="nil"/>
            </w:tcBorders>
            <w:shd w:val="clear" w:color="auto" w:fill="FFFFFF"/>
            <w:tcMar>
              <w:left w:w="115" w:type="dxa"/>
              <w:right w:w="115" w:type="dxa"/>
            </w:tcMar>
            <w:vAlign w:val="bottom"/>
          </w:tcPr>
          <w:p w14:paraId="33281DFA" w14:textId="77777777" w:rsidR="003F0EEA" w:rsidRPr="001C6501" w:rsidRDefault="00FB7D0B">
            <w:pPr>
              <w:jc w:val="right"/>
              <w:rPr>
                <w:rFonts w:ascii="Arial" w:eastAsia="Arial" w:hAnsi="Arial" w:cs="Arial"/>
                <w:b/>
                <w:color w:val="000000"/>
                <w:sz w:val="16"/>
                <w:szCs w:val="20"/>
              </w:rPr>
            </w:pPr>
            <w:r w:rsidRPr="001C6501">
              <w:rPr>
                <w:rFonts w:ascii="Arial" w:eastAsia="Arial" w:hAnsi="Arial" w:cs="Arial"/>
                <w:b/>
                <w:color w:val="000000"/>
                <w:sz w:val="16"/>
                <w:szCs w:val="20"/>
              </w:rPr>
              <w:t>44,317 </w:t>
            </w:r>
          </w:p>
        </w:tc>
        <w:tc>
          <w:tcPr>
            <w:tcW w:w="915" w:type="dxa"/>
            <w:tcBorders>
              <w:top w:val="single" w:sz="6" w:space="0" w:color="000000"/>
              <w:left w:val="nil"/>
              <w:bottom w:val="single" w:sz="6" w:space="0" w:color="000000"/>
              <w:right w:val="nil"/>
              <w:tl2br w:val="nil"/>
              <w:tr2bl w:val="nil"/>
            </w:tcBorders>
            <w:shd w:val="clear" w:color="auto" w:fill="FFFFFF"/>
            <w:tcMar>
              <w:left w:w="115" w:type="dxa"/>
              <w:right w:w="115" w:type="dxa"/>
            </w:tcMar>
            <w:vAlign w:val="bottom"/>
          </w:tcPr>
          <w:p w14:paraId="2512BF10" w14:textId="77777777" w:rsidR="003F0EEA" w:rsidRPr="001C6501" w:rsidRDefault="00FB7D0B">
            <w:pPr>
              <w:jc w:val="right"/>
              <w:rPr>
                <w:rFonts w:ascii="Arial" w:eastAsia="Arial" w:hAnsi="Arial" w:cs="Arial"/>
                <w:b/>
                <w:color w:val="000000"/>
                <w:sz w:val="16"/>
                <w:szCs w:val="20"/>
              </w:rPr>
            </w:pPr>
            <w:r w:rsidRPr="001C6501">
              <w:rPr>
                <w:rFonts w:ascii="Arial" w:eastAsia="Arial" w:hAnsi="Arial" w:cs="Arial"/>
                <w:b/>
                <w:color w:val="000000"/>
                <w:sz w:val="16"/>
                <w:szCs w:val="20"/>
              </w:rPr>
              <w:t>48,788 </w:t>
            </w:r>
          </w:p>
        </w:tc>
        <w:tc>
          <w:tcPr>
            <w:tcW w:w="915" w:type="dxa"/>
            <w:tcBorders>
              <w:top w:val="single" w:sz="6" w:space="0" w:color="000000"/>
              <w:left w:val="nil"/>
              <w:bottom w:val="single" w:sz="6" w:space="0" w:color="000000"/>
              <w:right w:val="nil"/>
              <w:tl2br w:val="nil"/>
              <w:tr2bl w:val="nil"/>
            </w:tcBorders>
            <w:shd w:val="clear" w:color="auto" w:fill="FFFFFF"/>
            <w:tcMar>
              <w:left w:w="115" w:type="dxa"/>
              <w:right w:w="115" w:type="dxa"/>
            </w:tcMar>
            <w:vAlign w:val="bottom"/>
          </w:tcPr>
          <w:p w14:paraId="5B3887FA" w14:textId="77777777" w:rsidR="003F0EEA" w:rsidRPr="001C6501" w:rsidRDefault="00FB7D0B">
            <w:pPr>
              <w:jc w:val="right"/>
              <w:rPr>
                <w:rFonts w:ascii="Arial" w:eastAsia="Arial" w:hAnsi="Arial" w:cs="Arial"/>
                <w:b/>
                <w:color w:val="000000"/>
                <w:sz w:val="16"/>
                <w:szCs w:val="20"/>
              </w:rPr>
            </w:pPr>
            <w:r w:rsidRPr="001C6501">
              <w:rPr>
                <w:rFonts w:ascii="Arial" w:eastAsia="Arial" w:hAnsi="Arial" w:cs="Arial"/>
                <w:b/>
                <w:color w:val="000000"/>
                <w:sz w:val="16"/>
                <w:szCs w:val="20"/>
              </w:rPr>
              <w:t>53,716 </w:t>
            </w:r>
          </w:p>
        </w:tc>
      </w:tr>
      <w:tr w:rsidR="00724034" w14:paraId="07447A5A" w14:textId="77777777">
        <w:trPr>
          <w:trHeight w:val="225"/>
        </w:trPr>
        <w:tc>
          <w:tcPr>
            <w:tcW w:w="180" w:type="dxa"/>
            <w:tcBorders>
              <w:top w:val="nil"/>
              <w:left w:val="nil"/>
              <w:bottom w:val="nil"/>
              <w:right w:val="nil"/>
              <w:tl2br w:val="nil"/>
              <w:tr2bl w:val="nil"/>
            </w:tcBorders>
            <w:shd w:val="clear" w:color="auto" w:fill="FFFFFF"/>
            <w:tcMar>
              <w:left w:w="115" w:type="dxa"/>
              <w:right w:w="115" w:type="dxa"/>
            </w:tcMar>
            <w:vAlign w:val="bottom"/>
          </w:tcPr>
          <w:p w14:paraId="090F4BEC" w14:textId="77777777" w:rsidR="003F0EEA" w:rsidRPr="001C6501" w:rsidRDefault="003F0EEA">
            <w:pPr>
              <w:rPr>
                <w:rFonts w:ascii="Arial" w:eastAsia="Arial" w:hAnsi="Arial" w:cs="Arial"/>
                <w:b/>
                <w:color w:val="000000"/>
                <w:sz w:val="16"/>
                <w:szCs w:val="20"/>
              </w:rPr>
            </w:pPr>
          </w:p>
        </w:tc>
        <w:tc>
          <w:tcPr>
            <w:tcW w:w="180" w:type="dxa"/>
            <w:tcBorders>
              <w:top w:val="nil"/>
              <w:left w:val="nil"/>
              <w:bottom w:val="nil"/>
              <w:right w:val="nil"/>
              <w:tl2br w:val="nil"/>
              <w:tr2bl w:val="nil"/>
            </w:tcBorders>
            <w:shd w:val="clear" w:color="auto" w:fill="FFFFFF"/>
            <w:tcMar>
              <w:left w:w="115" w:type="dxa"/>
              <w:right w:w="115" w:type="dxa"/>
            </w:tcMar>
            <w:vAlign w:val="bottom"/>
          </w:tcPr>
          <w:p w14:paraId="2AE058AE" w14:textId="77777777" w:rsidR="003F0EEA" w:rsidRPr="001C6501" w:rsidRDefault="003F0EEA">
            <w:pPr>
              <w:rPr>
                <w:rFonts w:ascii="Arial" w:eastAsia="Arial" w:hAnsi="Arial" w:cs="Arial"/>
                <w:color w:val="000000"/>
                <w:sz w:val="16"/>
                <w:szCs w:val="20"/>
              </w:rPr>
            </w:pPr>
          </w:p>
        </w:tc>
        <w:tc>
          <w:tcPr>
            <w:tcW w:w="2700" w:type="dxa"/>
            <w:tcBorders>
              <w:top w:val="nil"/>
              <w:left w:val="nil"/>
              <w:bottom w:val="nil"/>
              <w:right w:val="nil"/>
              <w:tl2br w:val="nil"/>
              <w:tr2bl w:val="nil"/>
            </w:tcBorders>
            <w:shd w:val="clear" w:color="auto" w:fill="FFFFFF"/>
            <w:tcMar>
              <w:left w:w="115" w:type="dxa"/>
              <w:right w:w="115" w:type="dxa"/>
            </w:tcMar>
            <w:vAlign w:val="bottom"/>
          </w:tcPr>
          <w:p w14:paraId="7BB6CAAC" w14:textId="77777777" w:rsidR="003F0EEA" w:rsidRPr="001C6501" w:rsidRDefault="003F0EEA">
            <w:pPr>
              <w:rPr>
                <w:rFonts w:ascii="Arial" w:eastAsia="Arial" w:hAnsi="Arial" w:cs="Arial"/>
                <w:color w:val="000000"/>
                <w:sz w:val="16"/>
                <w:szCs w:val="20"/>
              </w:rPr>
            </w:pPr>
          </w:p>
        </w:tc>
        <w:tc>
          <w:tcPr>
            <w:tcW w:w="990"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2E8A22EB" w14:textId="77777777" w:rsidR="003F0EEA" w:rsidRPr="001C6501" w:rsidRDefault="003F0EEA">
            <w:pPr>
              <w:rPr>
                <w:rFonts w:ascii="Arial" w:eastAsia="Arial" w:hAnsi="Arial" w:cs="Arial"/>
                <w:color w:val="000000"/>
                <w:sz w:val="16"/>
                <w:szCs w:val="20"/>
                <w:vertAlign w:val="superscript"/>
              </w:rPr>
            </w:pPr>
          </w:p>
        </w:tc>
        <w:tc>
          <w:tcPr>
            <w:tcW w:w="915" w:type="dxa"/>
            <w:tcBorders>
              <w:top w:val="single" w:sz="6" w:space="0" w:color="000000"/>
              <w:left w:val="nil"/>
              <w:bottom w:val="nil"/>
              <w:right w:val="nil"/>
              <w:tl2br w:val="nil"/>
              <w:tr2bl w:val="nil"/>
            </w:tcBorders>
            <w:shd w:val="clear" w:color="auto" w:fill="FFFF00"/>
            <w:tcMar>
              <w:left w:w="115" w:type="dxa"/>
              <w:right w:w="115" w:type="dxa"/>
            </w:tcMar>
            <w:vAlign w:val="bottom"/>
          </w:tcPr>
          <w:p w14:paraId="046A63B9" w14:textId="77777777" w:rsidR="003F0EEA" w:rsidRPr="001C6501" w:rsidRDefault="003F0EEA">
            <w:pPr>
              <w:rPr>
                <w:rFonts w:ascii="Arial" w:eastAsia="Arial" w:hAnsi="Arial" w:cs="Arial"/>
                <w:color w:val="000000"/>
                <w:sz w:val="16"/>
                <w:szCs w:val="20"/>
                <w:vertAlign w:val="superscript"/>
              </w:rPr>
            </w:pPr>
          </w:p>
        </w:tc>
        <w:tc>
          <w:tcPr>
            <w:tcW w:w="915"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0080553A" w14:textId="77777777" w:rsidR="003F0EEA" w:rsidRPr="001C6501" w:rsidRDefault="003F0EEA">
            <w:pPr>
              <w:rPr>
                <w:rFonts w:ascii="Arial" w:eastAsia="Arial" w:hAnsi="Arial" w:cs="Arial"/>
                <w:color w:val="000000"/>
                <w:sz w:val="16"/>
                <w:szCs w:val="20"/>
                <w:vertAlign w:val="superscript"/>
              </w:rPr>
            </w:pPr>
          </w:p>
        </w:tc>
        <w:tc>
          <w:tcPr>
            <w:tcW w:w="915"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56523B34" w14:textId="77777777" w:rsidR="003F0EEA" w:rsidRPr="001C6501" w:rsidRDefault="003F0EEA">
            <w:pPr>
              <w:rPr>
                <w:rFonts w:ascii="Arial" w:eastAsia="Arial" w:hAnsi="Arial" w:cs="Arial"/>
                <w:color w:val="000000"/>
                <w:sz w:val="16"/>
                <w:szCs w:val="20"/>
                <w:vertAlign w:val="superscript"/>
              </w:rPr>
            </w:pPr>
          </w:p>
        </w:tc>
        <w:tc>
          <w:tcPr>
            <w:tcW w:w="915"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2BB62F62" w14:textId="77777777" w:rsidR="003F0EEA" w:rsidRPr="001C6501" w:rsidRDefault="003F0EEA">
            <w:pPr>
              <w:rPr>
                <w:rFonts w:ascii="Arial" w:eastAsia="Arial" w:hAnsi="Arial" w:cs="Arial"/>
                <w:color w:val="000000"/>
                <w:sz w:val="16"/>
                <w:szCs w:val="20"/>
                <w:vertAlign w:val="superscript"/>
              </w:rPr>
            </w:pPr>
          </w:p>
        </w:tc>
      </w:tr>
      <w:tr w:rsidR="00FB7D0B" w14:paraId="077B89AB" w14:textId="77777777" w:rsidTr="00FB7D0B">
        <w:trPr>
          <w:trHeight w:val="225"/>
        </w:trPr>
        <w:tc>
          <w:tcPr>
            <w:tcW w:w="3060" w:type="dxa"/>
            <w:gridSpan w:val="3"/>
            <w:tcBorders>
              <w:top w:val="nil"/>
              <w:left w:val="nil"/>
              <w:bottom w:val="nil"/>
              <w:right w:val="nil"/>
              <w:tl2br w:val="nil"/>
              <w:tr2bl w:val="nil"/>
            </w:tcBorders>
            <w:shd w:val="clear" w:color="auto" w:fill="FFFFFF"/>
            <w:tcMar>
              <w:left w:w="115" w:type="dxa"/>
              <w:right w:w="115" w:type="dxa"/>
            </w:tcMar>
            <w:vAlign w:val="bottom"/>
          </w:tcPr>
          <w:p w14:paraId="69168790" w14:textId="77777777" w:rsidR="003F0EEA" w:rsidRPr="001C6501" w:rsidRDefault="00FB7D0B">
            <w:pPr>
              <w:rPr>
                <w:rFonts w:ascii="Arial" w:eastAsia="Arial" w:hAnsi="Arial" w:cs="Arial"/>
                <w:color w:val="000000"/>
                <w:sz w:val="16"/>
                <w:szCs w:val="20"/>
                <w:vertAlign w:val="superscript"/>
              </w:rPr>
            </w:pPr>
            <w:r w:rsidRPr="001C6501">
              <w:rPr>
                <w:rFonts w:ascii="Arial" w:eastAsia="Arial" w:hAnsi="Arial" w:cs="Arial"/>
                <w:b/>
                <w:color w:val="000000"/>
                <w:sz w:val="16"/>
                <w:szCs w:val="20"/>
              </w:rPr>
              <w:t>Gains</w:t>
            </w:r>
          </w:p>
        </w:tc>
        <w:tc>
          <w:tcPr>
            <w:tcW w:w="990" w:type="dxa"/>
            <w:tcBorders>
              <w:top w:val="nil"/>
              <w:left w:val="nil"/>
              <w:bottom w:val="nil"/>
              <w:right w:val="nil"/>
              <w:tl2br w:val="nil"/>
              <w:tr2bl w:val="nil"/>
            </w:tcBorders>
            <w:shd w:val="clear" w:color="auto" w:fill="FFFFFF"/>
            <w:tcMar>
              <w:left w:w="115" w:type="dxa"/>
              <w:right w:w="115" w:type="dxa"/>
            </w:tcMar>
            <w:vAlign w:val="bottom"/>
          </w:tcPr>
          <w:p w14:paraId="205B9A59" w14:textId="77777777" w:rsidR="003F0EEA" w:rsidRPr="001C6501" w:rsidRDefault="003F0EEA">
            <w:pPr>
              <w:rPr>
                <w:rFonts w:ascii="Arial" w:eastAsia="Arial" w:hAnsi="Arial" w:cs="Arial"/>
                <w:b/>
                <w:color w:val="000000"/>
                <w:sz w:val="16"/>
                <w:szCs w:val="20"/>
                <w:vertAlign w:val="superscript"/>
              </w:rPr>
            </w:pPr>
          </w:p>
        </w:tc>
        <w:tc>
          <w:tcPr>
            <w:tcW w:w="915" w:type="dxa"/>
            <w:tcBorders>
              <w:top w:val="nil"/>
              <w:left w:val="nil"/>
              <w:bottom w:val="nil"/>
              <w:right w:val="nil"/>
              <w:tl2br w:val="nil"/>
              <w:tr2bl w:val="nil"/>
            </w:tcBorders>
            <w:shd w:val="clear" w:color="auto" w:fill="FFFF00"/>
            <w:tcMar>
              <w:left w:w="115" w:type="dxa"/>
              <w:right w:w="115" w:type="dxa"/>
            </w:tcMar>
            <w:vAlign w:val="bottom"/>
          </w:tcPr>
          <w:p w14:paraId="753D058C" w14:textId="77777777" w:rsidR="003F0EEA" w:rsidRPr="001C6501" w:rsidRDefault="003F0EEA">
            <w:pPr>
              <w:rPr>
                <w:rFonts w:ascii="Arial" w:eastAsia="Arial" w:hAnsi="Arial" w:cs="Arial"/>
                <w:color w:val="000000"/>
                <w:sz w:val="16"/>
                <w:szCs w:val="20"/>
                <w:vertAlign w:val="superscript"/>
              </w:rPr>
            </w:pPr>
          </w:p>
        </w:tc>
        <w:tc>
          <w:tcPr>
            <w:tcW w:w="915" w:type="dxa"/>
            <w:tcBorders>
              <w:top w:val="nil"/>
              <w:left w:val="nil"/>
              <w:bottom w:val="nil"/>
              <w:right w:val="nil"/>
              <w:tl2br w:val="nil"/>
              <w:tr2bl w:val="nil"/>
            </w:tcBorders>
            <w:shd w:val="clear" w:color="auto" w:fill="FFFFFF"/>
            <w:tcMar>
              <w:left w:w="115" w:type="dxa"/>
              <w:right w:w="115" w:type="dxa"/>
            </w:tcMar>
            <w:vAlign w:val="bottom"/>
          </w:tcPr>
          <w:p w14:paraId="410AB50F" w14:textId="77777777" w:rsidR="003F0EEA" w:rsidRPr="001C6501" w:rsidRDefault="003F0EEA">
            <w:pPr>
              <w:rPr>
                <w:rFonts w:ascii="Arial" w:eastAsia="Arial" w:hAnsi="Arial" w:cs="Arial"/>
                <w:color w:val="000000"/>
                <w:sz w:val="16"/>
                <w:szCs w:val="20"/>
                <w:vertAlign w:val="superscript"/>
              </w:rPr>
            </w:pPr>
          </w:p>
        </w:tc>
        <w:tc>
          <w:tcPr>
            <w:tcW w:w="915" w:type="dxa"/>
            <w:tcBorders>
              <w:top w:val="nil"/>
              <w:left w:val="nil"/>
              <w:bottom w:val="nil"/>
              <w:right w:val="nil"/>
              <w:tl2br w:val="nil"/>
              <w:tr2bl w:val="nil"/>
            </w:tcBorders>
            <w:shd w:val="clear" w:color="auto" w:fill="FFFFFF"/>
            <w:tcMar>
              <w:left w:w="115" w:type="dxa"/>
              <w:right w:w="115" w:type="dxa"/>
            </w:tcMar>
            <w:vAlign w:val="bottom"/>
          </w:tcPr>
          <w:p w14:paraId="52D0DB30" w14:textId="77777777" w:rsidR="003F0EEA" w:rsidRPr="001C6501" w:rsidRDefault="003F0EEA">
            <w:pPr>
              <w:rPr>
                <w:rFonts w:ascii="Arial" w:eastAsia="Arial" w:hAnsi="Arial" w:cs="Arial"/>
                <w:color w:val="000000"/>
                <w:sz w:val="16"/>
                <w:szCs w:val="20"/>
                <w:vertAlign w:val="superscript"/>
              </w:rPr>
            </w:pPr>
          </w:p>
        </w:tc>
        <w:tc>
          <w:tcPr>
            <w:tcW w:w="915" w:type="dxa"/>
            <w:tcBorders>
              <w:top w:val="nil"/>
              <w:left w:val="nil"/>
              <w:bottom w:val="nil"/>
              <w:right w:val="nil"/>
              <w:tl2br w:val="nil"/>
              <w:tr2bl w:val="nil"/>
            </w:tcBorders>
            <w:shd w:val="clear" w:color="auto" w:fill="FFFFFF"/>
            <w:tcMar>
              <w:left w:w="115" w:type="dxa"/>
              <w:right w:w="115" w:type="dxa"/>
            </w:tcMar>
            <w:vAlign w:val="bottom"/>
          </w:tcPr>
          <w:p w14:paraId="31759901" w14:textId="77777777" w:rsidR="003F0EEA" w:rsidRPr="001C6501" w:rsidRDefault="003F0EEA">
            <w:pPr>
              <w:rPr>
                <w:rFonts w:ascii="Arial" w:eastAsia="Arial" w:hAnsi="Arial" w:cs="Arial"/>
                <w:color w:val="000000"/>
                <w:sz w:val="16"/>
                <w:szCs w:val="20"/>
                <w:vertAlign w:val="superscript"/>
              </w:rPr>
            </w:pPr>
          </w:p>
        </w:tc>
      </w:tr>
      <w:tr w:rsidR="00FB7D0B" w14:paraId="7C673C33" w14:textId="77777777" w:rsidTr="00FB7D0B">
        <w:trPr>
          <w:trHeight w:val="225"/>
        </w:trPr>
        <w:tc>
          <w:tcPr>
            <w:tcW w:w="180" w:type="dxa"/>
            <w:tcBorders>
              <w:top w:val="nil"/>
              <w:left w:val="nil"/>
              <w:bottom w:val="nil"/>
              <w:right w:val="nil"/>
              <w:tl2br w:val="nil"/>
              <w:tr2bl w:val="nil"/>
            </w:tcBorders>
            <w:shd w:val="clear" w:color="auto" w:fill="FFFFFF"/>
            <w:tcMar>
              <w:left w:w="115" w:type="dxa"/>
              <w:right w:w="115" w:type="dxa"/>
            </w:tcMar>
            <w:vAlign w:val="bottom"/>
          </w:tcPr>
          <w:p w14:paraId="295D117B" w14:textId="77777777" w:rsidR="003F0EEA" w:rsidRPr="001C6501" w:rsidRDefault="003F0EEA">
            <w:pPr>
              <w:rPr>
                <w:rFonts w:ascii="Arial" w:eastAsia="Arial" w:hAnsi="Arial" w:cs="Arial"/>
                <w:color w:val="000000"/>
                <w:sz w:val="16"/>
                <w:szCs w:val="20"/>
                <w:vertAlign w:val="superscript"/>
              </w:rPr>
            </w:pPr>
          </w:p>
        </w:tc>
        <w:tc>
          <w:tcPr>
            <w:tcW w:w="2880" w:type="dxa"/>
            <w:gridSpan w:val="2"/>
            <w:vMerge w:val="restart"/>
            <w:tcBorders>
              <w:top w:val="nil"/>
              <w:left w:val="nil"/>
              <w:bottom w:val="nil"/>
              <w:right w:val="nil"/>
              <w:tl2br w:val="nil"/>
              <w:tr2bl w:val="nil"/>
            </w:tcBorders>
            <w:shd w:val="clear" w:color="auto" w:fill="FFFFFF"/>
            <w:tcMar>
              <w:left w:w="115" w:type="dxa"/>
              <w:right w:w="115" w:type="dxa"/>
            </w:tcMar>
            <w:vAlign w:val="bottom"/>
          </w:tcPr>
          <w:p w14:paraId="72746389" w14:textId="77777777" w:rsidR="003F0EEA" w:rsidRPr="001C6501" w:rsidRDefault="00FB7D0B">
            <w:pPr>
              <w:rPr>
                <w:rFonts w:ascii="Arial" w:eastAsia="Arial" w:hAnsi="Arial" w:cs="Arial"/>
                <w:color w:val="000000"/>
                <w:sz w:val="16"/>
                <w:szCs w:val="20"/>
                <w:vertAlign w:val="superscript"/>
              </w:rPr>
            </w:pPr>
            <w:r w:rsidRPr="001C6501">
              <w:rPr>
                <w:rFonts w:ascii="Arial" w:eastAsia="Arial" w:hAnsi="Arial" w:cs="Arial"/>
                <w:color w:val="000000"/>
                <w:sz w:val="16"/>
                <w:szCs w:val="20"/>
              </w:rPr>
              <w:t>Resources received free of charge</w:t>
            </w:r>
          </w:p>
        </w:tc>
        <w:tc>
          <w:tcPr>
            <w:tcW w:w="990" w:type="dxa"/>
            <w:tcBorders>
              <w:top w:val="nil"/>
              <w:left w:val="nil"/>
              <w:bottom w:val="nil"/>
              <w:right w:val="nil"/>
              <w:tl2br w:val="nil"/>
              <w:tr2bl w:val="nil"/>
            </w:tcBorders>
            <w:shd w:val="clear" w:color="auto" w:fill="FFFFFF"/>
            <w:tcMar>
              <w:left w:w="115" w:type="dxa"/>
              <w:right w:w="115" w:type="dxa"/>
            </w:tcMar>
            <w:vAlign w:val="bottom"/>
          </w:tcPr>
          <w:p w14:paraId="761B8663" w14:textId="77777777" w:rsidR="003F0EEA" w:rsidRPr="001C6501" w:rsidRDefault="00FB7D0B">
            <w:pPr>
              <w:jc w:val="right"/>
              <w:rPr>
                <w:rFonts w:ascii="Arial" w:eastAsia="Arial" w:hAnsi="Arial" w:cs="Arial"/>
                <w:color w:val="000000"/>
                <w:sz w:val="16"/>
                <w:szCs w:val="20"/>
                <w:vertAlign w:val="superscript"/>
              </w:rPr>
            </w:pPr>
            <w:r w:rsidRPr="001C6501">
              <w:rPr>
                <w:rFonts w:ascii="Arial" w:eastAsia="Arial" w:hAnsi="Arial" w:cs="Arial"/>
                <w:color w:val="000000"/>
                <w:sz w:val="16"/>
                <w:szCs w:val="20"/>
              </w:rPr>
              <w:t>55 </w:t>
            </w:r>
          </w:p>
        </w:tc>
        <w:tc>
          <w:tcPr>
            <w:tcW w:w="915" w:type="dxa"/>
            <w:tcBorders>
              <w:top w:val="nil"/>
              <w:left w:val="nil"/>
              <w:bottom w:val="nil"/>
              <w:right w:val="nil"/>
              <w:tl2br w:val="nil"/>
              <w:tr2bl w:val="nil"/>
            </w:tcBorders>
            <w:shd w:val="clear" w:color="auto" w:fill="FFFF00"/>
            <w:tcMar>
              <w:left w:w="115" w:type="dxa"/>
              <w:right w:w="115" w:type="dxa"/>
            </w:tcMar>
            <w:vAlign w:val="bottom"/>
          </w:tcPr>
          <w:p w14:paraId="18FF7B7A" w14:textId="77777777" w:rsidR="003F0EEA" w:rsidRPr="001C6501" w:rsidRDefault="00FB7D0B">
            <w:pPr>
              <w:jc w:val="right"/>
              <w:rPr>
                <w:rFonts w:ascii="Arial" w:eastAsia="Arial" w:hAnsi="Arial" w:cs="Arial"/>
                <w:color w:val="000000"/>
                <w:sz w:val="16"/>
                <w:szCs w:val="20"/>
              </w:rPr>
            </w:pPr>
            <w:r w:rsidRPr="001C6501">
              <w:rPr>
                <w:rFonts w:ascii="Arial" w:eastAsia="Arial" w:hAnsi="Arial" w:cs="Arial"/>
                <w:color w:val="000000"/>
                <w:sz w:val="16"/>
                <w:szCs w:val="20"/>
              </w:rPr>
              <w:t>55 </w:t>
            </w:r>
          </w:p>
        </w:tc>
        <w:tc>
          <w:tcPr>
            <w:tcW w:w="915" w:type="dxa"/>
            <w:tcBorders>
              <w:top w:val="nil"/>
              <w:left w:val="nil"/>
              <w:bottom w:val="nil"/>
              <w:right w:val="nil"/>
              <w:tl2br w:val="nil"/>
              <w:tr2bl w:val="nil"/>
            </w:tcBorders>
            <w:shd w:val="clear" w:color="auto" w:fill="FFFFFF"/>
            <w:tcMar>
              <w:left w:w="115" w:type="dxa"/>
              <w:right w:w="115" w:type="dxa"/>
            </w:tcMar>
            <w:vAlign w:val="bottom"/>
          </w:tcPr>
          <w:p w14:paraId="1C30C65F" w14:textId="77777777" w:rsidR="003F0EEA" w:rsidRPr="001C6501" w:rsidRDefault="00FB7D0B">
            <w:pPr>
              <w:jc w:val="right"/>
              <w:rPr>
                <w:rFonts w:ascii="Arial" w:eastAsia="Arial" w:hAnsi="Arial" w:cs="Arial"/>
                <w:color w:val="000000"/>
                <w:sz w:val="16"/>
                <w:szCs w:val="20"/>
              </w:rPr>
            </w:pPr>
            <w:r w:rsidRPr="001C6501">
              <w:rPr>
                <w:rFonts w:ascii="Arial" w:eastAsia="Arial" w:hAnsi="Arial" w:cs="Arial"/>
                <w:color w:val="000000"/>
                <w:sz w:val="16"/>
                <w:szCs w:val="20"/>
              </w:rPr>
              <w:t>55 </w:t>
            </w:r>
          </w:p>
        </w:tc>
        <w:tc>
          <w:tcPr>
            <w:tcW w:w="915" w:type="dxa"/>
            <w:tcBorders>
              <w:top w:val="nil"/>
              <w:left w:val="nil"/>
              <w:bottom w:val="nil"/>
              <w:right w:val="nil"/>
              <w:tl2br w:val="nil"/>
              <w:tr2bl w:val="nil"/>
            </w:tcBorders>
            <w:shd w:val="clear" w:color="auto" w:fill="FFFFFF"/>
            <w:tcMar>
              <w:left w:w="115" w:type="dxa"/>
              <w:right w:w="115" w:type="dxa"/>
            </w:tcMar>
            <w:vAlign w:val="bottom"/>
          </w:tcPr>
          <w:p w14:paraId="1636F631" w14:textId="77777777" w:rsidR="003F0EEA" w:rsidRPr="001C6501" w:rsidRDefault="00FB7D0B">
            <w:pPr>
              <w:jc w:val="right"/>
              <w:rPr>
                <w:rFonts w:ascii="Arial" w:eastAsia="Arial" w:hAnsi="Arial" w:cs="Arial"/>
                <w:color w:val="000000"/>
                <w:sz w:val="16"/>
                <w:szCs w:val="20"/>
              </w:rPr>
            </w:pPr>
            <w:r w:rsidRPr="001C6501">
              <w:rPr>
                <w:rFonts w:ascii="Arial" w:eastAsia="Arial" w:hAnsi="Arial" w:cs="Arial"/>
                <w:color w:val="000000"/>
                <w:sz w:val="16"/>
                <w:szCs w:val="20"/>
              </w:rPr>
              <w:t>55 </w:t>
            </w:r>
          </w:p>
        </w:tc>
        <w:tc>
          <w:tcPr>
            <w:tcW w:w="915" w:type="dxa"/>
            <w:tcBorders>
              <w:top w:val="nil"/>
              <w:left w:val="nil"/>
              <w:bottom w:val="nil"/>
              <w:right w:val="nil"/>
              <w:tl2br w:val="nil"/>
              <w:tr2bl w:val="nil"/>
            </w:tcBorders>
            <w:shd w:val="clear" w:color="auto" w:fill="FFFFFF"/>
            <w:tcMar>
              <w:left w:w="115" w:type="dxa"/>
              <w:right w:w="115" w:type="dxa"/>
            </w:tcMar>
            <w:vAlign w:val="bottom"/>
          </w:tcPr>
          <w:p w14:paraId="558F7ACF" w14:textId="77777777" w:rsidR="003F0EEA" w:rsidRPr="001C6501" w:rsidRDefault="00FB7D0B">
            <w:pPr>
              <w:jc w:val="right"/>
              <w:rPr>
                <w:rFonts w:ascii="Arial" w:eastAsia="Arial" w:hAnsi="Arial" w:cs="Arial"/>
                <w:color w:val="000000"/>
                <w:sz w:val="16"/>
                <w:szCs w:val="20"/>
              </w:rPr>
            </w:pPr>
            <w:r w:rsidRPr="001C6501">
              <w:rPr>
                <w:rFonts w:ascii="Arial" w:eastAsia="Arial" w:hAnsi="Arial" w:cs="Arial"/>
                <w:color w:val="000000"/>
                <w:sz w:val="16"/>
                <w:szCs w:val="20"/>
              </w:rPr>
              <w:t>55 </w:t>
            </w:r>
          </w:p>
        </w:tc>
      </w:tr>
      <w:tr w:rsidR="00FB7D0B" w14:paraId="7E0F31AC" w14:textId="77777777" w:rsidTr="00FB7D0B">
        <w:trPr>
          <w:trHeight w:val="225"/>
        </w:trPr>
        <w:tc>
          <w:tcPr>
            <w:tcW w:w="3060" w:type="dxa"/>
            <w:gridSpan w:val="3"/>
            <w:tcBorders>
              <w:top w:val="nil"/>
              <w:left w:val="nil"/>
              <w:bottom w:val="nil"/>
              <w:right w:val="nil"/>
              <w:tl2br w:val="nil"/>
              <w:tr2bl w:val="nil"/>
            </w:tcBorders>
            <w:shd w:val="clear" w:color="auto" w:fill="FFFFFF"/>
            <w:tcMar>
              <w:left w:w="115" w:type="dxa"/>
              <w:right w:w="115" w:type="dxa"/>
            </w:tcMar>
            <w:vAlign w:val="bottom"/>
          </w:tcPr>
          <w:p w14:paraId="1F7D6B0A" w14:textId="77777777" w:rsidR="003F0EEA" w:rsidRPr="001C6501" w:rsidRDefault="00FB7D0B">
            <w:pPr>
              <w:rPr>
                <w:rFonts w:ascii="Arial" w:eastAsia="Arial" w:hAnsi="Arial" w:cs="Arial"/>
                <w:color w:val="000000"/>
                <w:sz w:val="16"/>
                <w:szCs w:val="20"/>
              </w:rPr>
            </w:pPr>
            <w:r w:rsidRPr="001C6501">
              <w:rPr>
                <w:rFonts w:ascii="Arial" w:eastAsia="Arial" w:hAnsi="Arial" w:cs="Arial"/>
                <w:b/>
                <w:color w:val="000000"/>
                <w:sz w:val="16"/>
                <w:szCs w:val="20"/>
              </w:rPr>
              <w:t>Total gains</w:t>
            </w:r>
          </w:p>
        </w:tc>
        <w:tc>
          <w:tcPr>
            <w:tcW w:w="990" w:type="dxa"/>
            <w:tcBorders>
              <w:top w:val="single" w:sz="6" w:space="0" w:color="000000"/>
              <w:left w:val="nil"/>
              <w:bottom w:val="single" w:sz="6" w:space="0" w:color="000000"/>
              <w:right w:val="nil"/>
              <w:tl2br w:val="nil"/>
              <w:tr2bl w:val="nil"/>
            </w:tcBorders>
            <w:shd w:val="clear" w:color="auto" w:fill="FFFFFF"/>
            <w:tcMar>
              <w:left w:w="115" w:type="dxa"/>
              <w:right w:w="115" w:type="dxa"/>
            </w:tcMar>
            <w:vAlign w:val="bottom"/>
          </w:tcPr>
          <w:p w14:paraId="29801183" w14:textId="77777777" w:rsidR="003F0EEA" w:rsidRPr="001C6501" w:rsidRDefault="00FB7D0B">
            <w:pPr>
              <w:jc w:val="right"/>
              <w:rPr>
                <w:rFonts w:ascii="Arial" w:eastAsia="Arial" w:hAnsi="Arial" w:cs="Arial"/>
                <w:b/>
                <w:color w:val="000000"/>
                <w:sz w:val="16"/>
                <w:szCs w:val="20"/>
                <w:vertAlign w:val="superscript"/>
              </w:rPr>
            </w:pPr>
            <w:r w:rsidRPr="001C6501">
              <w:rPr>
                <w:rFonts w:ascii="Arial" w:eastAsia="Arial" w:hAnsi="Arial" w:cs="Arial"/>
                <w:b/>
                <w:color w:val="000000"/>
                <w:sz w:val="16"/>
                <w:szCs w:val="20"/>
              </w:rPr>
              <w:t>55 </w:t>
            </w:r>
          </w:p>
        </w:tc>
        <w:tc>
          <w:tcPr>
            <w:tcW w:w="915" w:type="dxa"/>
            <w:tcBorders>
              <w:top w:val="single" w:sz="6" w:space="0" w:color="000000"/>
              <w:left w:val="nil"/>
              <w:bottom w:val="single" w:sz="6" w:space="0" w:color="000000"/>
              <w:right w:val="nil"/>
              <w:tl2br w:val="nil"/>
              <w:tr2bl w:val="nil"/>
            </w:tcBorders>
            <w:shd w:val="clear" w:color="auto" w:fill="FFFF00"/>
            <w:tcMar>
              <w:left w:w="115" w:type="dxa"/>
              <w:right w:w="115" w:type="dxa"/>
            </w:tcMar>
            <w:vAlign w:val="bottom"/>
          </w:tcPr>
          <w:p w14:paraId="312C8EE1" w14:textId="77777777" w:rsidR="003F0EEA" w:rsidRPr="001C6501" w:rsidRDefault="00FB7D0B">
            <w:pPr>
              <w:jc w:val="right"/>
              <w:rPr>
                <w:rFonts w:ascii="Arial" w:eastAsia="Arial" w:hAnsi="Arial" w:cs="Arial"/>
                <w:b/>
                <w:color w:val="000000"/>
                <w:sz w:val="16"/>
                <w:szCs w:val="20"/>
              </w:rPr>
            </w:pPr>
            <w:r w:rsidRPr="001C6501">
              <w:rPr>
                <w:rFonts w:ascii="Arial" w:eastAsia="Arial" w:hAnsi="Arial" w:cs="Arial"/>
                <w:b/>
                <w:color w:val="000000"/>
                <w:sz w:val="16"/>
                <w:szCs w:val="20"/>
              </w:rPr>
              <w:t>55 </w:t>
            </w:r>
          </w:p>
        </w:tc>
        <w:tc>
          <w:tcPr>
            <w:tcW w:w="915" w:type="dxa"/>
            <w:tcBorders>
              <w:top w:val="single" w:sz="6" w:space="0" w:color="000000"/>
              <w:left w:val="nil"/>
              <w:bottom w:val="single" w:sz="6" w:space="0" w:color="000000"/>
              <w:right w:val="nil"/>
              <w:tl2br w:val="nil"/>
              <w:tr2bl w:val="nil"/>
            </w:tcBorders>
            <w:shd w:val="clear" w:color="auto" w:fill="FFFFFF"/>
            <w:tcMar>
              <w:left w:w="115" w:type="dxa"/>
              <w:right w:w="115" w:type="dxa"/>
            </w:tcMar>
            <w:vAlign w:val="bottom"/>
          </w:tcPr>
          <w:p w14:paraId="157221BC" w14:textId="77777777" w:rsidR="003F0EEA" w:rsidRPr="001C6501" w:rsidRDefault="00FB7D0B">
            <w:pPr>
              <w:jc w:val="right"/>
              <w:rPr>
                <w:rFonts w:ascii="Arial" w:eastAsia="Arial" w:hAnsi="Arial" w:cs="Arial"/>
                <w:b/>
                <w:color w:val="000000"/>
                <w:sz w:val="16"/>
                <w:szCs w:val="20"/>
              </w:rPr>
            </w:pPr>
            <w:r w:rsidRPr="001C6501">
              <w:rPr>
                <w:rFonts w:ascii="Arial" w:eastAsia="Arial" w:hAnsi="Arial" w:cs="Arial"/>
                <w:b/>
                <w:color w:val="000000"/>
                <w:sz w:val="16"/>
                <w:szCs w:val="20"/>
              </w:rPr>
              <w:t>55 </w:t>
            </w:r>
          </w:p>
        </w:tc>
        <w:tc>
          <w:tcPr>
            <w:tcW w:w="915" w:type="dxa"/>
            <w:tcBorders>
              <w:top w:val="single" w:sz="6" w:space="0" w:color="000000"/>
              <w:left w:val="nil"/>
              <w:bottom w:val="single" w:sz="6" w:space="0" w:color="000000"/>
              <w:right w:val="nil"/>
              <w:tl2br w:val="nil"/>
              <w:tr2bl w:val="nil"/>
            </w:tcBorders>
            <w:shd w:val="clear" w:color="auto" w:fill="FFFFFF"/>
            <w:tcMar>
              <w:left w:w="115" w:type="dxa"/>
              <w:right w:w="115" w:type="dxa"/>
            </w:tcMar>
            <w:vAlign w:val="bottom"/>
          </w:tcPr>
          <w:p w14:paraId="5684F486" w14:textId="77777777" w:rsidR="003F0EEA" w:rsidRPr="001C6501" w:rsidRDefault="00FB7D0B">
            <w:pPr>
              <w:jc w:val="right"/>
              <w:rPr>
                <w:rFonts w:ascii="Arial" w:eastAsia="Arial" w:hAnsi="Arial" w:cs="Arial"/>
                <w:b/>
                <w:color w:val="000000"/>
                <w:sz w:val="16"/>
                <w:szCs w:val="20"/>
              </w:rPr>
            </w:pPr>
            <w:r w:rsidRPr="001C6501">
              <w:rPr>
                <w:rFonts w:ascii="Arial" w:eastAsia="Arial" w:hAnsi="Arial" w:cs="Arial"/>
                <w:b/>
                <w:color w:val="000000"/>
                <w:sz w:val="16"/>
                <w:szCs w:val="20"/>
              </w:rPr>
              <w:t>55 </w:t>
            </w:r>
          </w:p>
        </w:tc>
        <w:tc>
          <w:tcPr>
            <w:tcW w:w="915" w:type="dxa"/>
            <w:tcBorders>
              <w:top w:val="single" w:sz="6" w:space="0" w:color="000000"/>
              <w:left w:val="nil"/>
              <w:bottom w:val="single" w:sz="6" w:space="0" w:color="000000"/>
              <w:right w:val="nil"/>
              <w:tl2br w:val="nil"/>
              <w:tr2bl w:val="nil"/>
            </w:tcBorders>
            <w:shd w:val="clear" w:color="auto" w:fill="FFFFFF"/>
            <w:tcMar>
              <w:left w:w="115" w:type="dxa"/>
              <w:right w:w="115" w:type="dxa"/>
            </w:tcMar>
            <w:vAlign w:val="bottom"/>
          </w:tcPr>
          <w:p w14:paraId="45A5A09B" w14:textId="77777777" w:rsidR="003F0EEA" w:rsidRPr="001C6501" w:rsidRDefault="00FB7D0B">
            <w:pPr>
              <w:jc w:val="right"/>
              <w:rPr>
                <w:rFonts w:ascii="Arial" w:eastAsia="Arial" w:hAnsi="Arial" w:cs="Arial"/>
                <w:b/>
                <w:color w:val="000000"/>
                <w:sz w:val="16"/>
                <w:szCs w:val="20"/>
              </w:rPr>
            </w:pPr>
            <w:r w:rsidRPr="001C6501">
              <w:rPr>
                <w:rFonts w:ascii="Arial" w:eastAsia="Arial" w:hAnsi="Arial" w:cs="Arial"/>
                <w:b/>
                <w:color w:val="000000"/>
                <w:sz w:val="16"/>
                <w:szCs w:val="20"/>
              </w:rPr>
              <w:t>55 </w:t>
            </w:r>
          </w:p>
        </w:tc>
      </w:tr>
      <w:tr w:rsidR="00FB7D0B" w14:paraId="26A826F9" w14:textId="77777777" w:rsidTr="00FB7D0B">
        <w:trPr>
          <w:trHeight w:val="225"/>
        </w:trPr>
        <w:tc>
          <w:tcPr>
            <w:tcW w:w="3060" w:type="dxa"/>
            <w:gridSpan w:val="3"/>
            <w:tcBorders>
              <w:top w:val="nil"/>
              <w:left w:val="nil"/>
              <w:bottom w:val="nil"/>
              <w:right w:val="nil"/>
              <w:tl2br w:val="nil"/>
              <w:tr2bl w:val="nil"/>
            </w:tcBorders>
            <w:shd w:val="clear" w:color="auto" w:fill="FFFFFF"/>
            <w:tcMar>
              <w:left w:w="115" w:type="dxa"/>
              <w:right w:w="115" w:type="dxa"/>
            </w:tcMar>
            <w:vAlign w:val="bottom"/>
          </w:tcPr>
          <w:p w14:paraId="27F18BBF" w14:textId="77777777" w:rsidR="003F0EEA" w:rsidRPr="001C6501" w:rsidRDefault="00FB7D0B">
            <w:pPr>
              <w:rPr>
                <w:rFonts w:ascii="Arial" w:eastAsia="Arial" w:hAnsi="Arial" w:cs="Arial"/>
                <w:b/>
                <w:color w:val="000000"/>
                <w:sz w:val="16"/>
                <w:szCs w:val="20"/>
              </w:rPr>
            </w:pPr>
            <w:r w:rsidRPr="001C6501">
              <w:rPr>
                <w:rFonts w:ascii="Arial" w:eastAsia="Arial" w:hAnsi="Arial" w:cs="Arial"/>
                <w:b/>
                <w:color w:val="000000"/>
                <w:sz w:val="16"/>
                <w:szCs w:val="20"/>
              </w:rPr>
              <w:t>Total own-source income</w:t>
            </w:r>
          </w:p>
        </w:tc>
        <w:tc>
          <w:tcPr>
            <w:tcW w:w="990" w:type="dxa"/>
            <w:tcBorders>
              <w:top w:val="single" w:sz="6" w:space="0" w:color="000000"/>
              <w:left w:val="nil"/>
              <w:bottom w:val="single" w:sz="6" w:space="0" w:color="000000"/>
              <w:right w:val="nil"/>
              <w:tl2br w:val="nil"/>
              <w:tr2bl w:val="nil"/>
            </w:tcBorders>
            <w:shd w:val="clear" w:color="auto" w:fill="FFFFFF"/>
            <w:tcMar>
              <w:left w:w="115" w:type="dxa"/>
              <w:right w:w="115" w:type="dxa"/>
            </w:tcMar>
            <w:vAlign w:val="bottom"/>
          </w:tcPr>
          <w:p w14:paraId="788AE664" w14:textId="77777777" w:rsidR="003F0EEA" w:rsidRPr="001C6501" w:rsidRDefault="00FB7D0B">
            <w:pPr>
              <w:jc w:val="right"/>
              <w:rPr>
                <w:rFonts w:ascii="Arial" w:eastAsia="Arial" w:hAnsi="Arial" w:cs="Arial"/>
                <w:b/>
                <w:color w:val="000000"/>
                <w:sz w:val="16"/>
                <w:szCs w:val="20"/>
                <w:vertAlign w:val="superscript"/>
              </w:rPr>
            </w:pPr>
            <w:r w:rsidRPr="001C6501">
              <w:rPr>
                <w:rFonts w:ascii="Arial" w:eastAsia="Arial" w:hAnsi="Arial" w:cs="Arial"/>
                <w:b/>
                <w:color w:val="000000"/>
                <w:sz w:val="16"/>
                <w:szCs w:val="20"/>
              </w:rPr>
              <w:t>36,710 </w:t>
            </w:r>
          </w:p>
        </w:tc>
        <w:tc>
          <w:tcPr>
            <w:tcW w:w="915" w:type="dxa"/>
            <w:tcBorders>
              <w:top w:val="single" w:sz="6" w:space="0" w:color="000000"/>
              <w:left w:val="nil"/>
              <w:bottom w:val="single" w:sz="6" w:space="0" w:color="000000"/>
              <w:right w:val="nil"/>
              <w:tl2br w:val="nil"/>
              <w:tr2bl w:val="nil"/>
            </w:tcBorders>
            <w:shd w:val="clear" w:color="auto" w:fill="FFFF00"/>
            <w:tcMar>
              <w:left w:w="115" w:type="dxa"/>
              <w:right w:w="115" w:type="dxa"/>
            </w:tcMar>
            <w:vAlign w:val="bottom"/>
          </w:tcPr>
          <w:p w14:paraId="03B57987" w14:textId="77777777" w:rsidR="003F0EEA" w:rsidRPr="001C6501" w:rsidRDefault="00FB7D0B">
            <w:pPr>
              <w:jc w:val="right"/>
              <w:rPr>
                <w:rFonts w:ascii="Arial" w:eastAsia="Arial" w:hAnsi="Arial" w:cs="Arial"/>
                <w:b/>
                <w:color w:val="000000"/>
                <w:sz w:val="16"/>
                <w:szCs w:val="20"/>
              </w:rPr>
            </w:pPr>
            <w:r w:rsidRPr="001C6501">
              <w:rPr>
                <w:rFonts w:ascii="Arial" w:eastAsia="Arial" w:hAnsi="Arial" w:cs="Arial"/>
                <w:b/>
                <w:color w:val="000000"/>
                <w:sz w:val="16"/>
                <w:szCs w:val="20"/>
              </w:rPr>
              <w:t>40,316 </w:t>
            </w:r>
          </w:p>
        </w:tc>
        <w:tc>
          <w:tcPr>
            <w:tcW w:w="915" w:type="dxa"/>
            <w:tcBorders>
              <w:top w:val="single" w:sz="6" w:space="0" w:color="000000"/>
              <w:left w:val="nil"/>
              <w:bottom w:val="single" w:sz="6" w:space="0" w:color="000000"/>
              <w:right w:val="nil"/>
              <w:tl2br w:val="nil"/>
              <w:tr2bl w:val="nil"/>
            </w:tcBorders>
            <w:shd w:val="clear" w:color="auto" w:fill="FFFFFF"/>
            <w:tcMar>
              <w:left w:w="115" w:type="dxa"/>
              <w:right w:w="115" w:type="dxa"/>
            </w:tcMar>
            <w:vAlign w:val="bottom"/>
          </w:tcPr>
          <w:p w14:paraId="6403D26F" w14:textId="77777777" w:rsidR="003F0EEA" w:rsidRPr="001C6501" w:rsidRDefault="00FB7D0B">
            <w:pPr>
              <w:jc w:val="right"/>
              <w:rPr>
                <w:rFonts w:ascii="Arial" w:eastAsia="Arial" w:hAnsi="Arial" w:cs="Arial"/>
                <w:b/>
                <w:color w:val="000000"/>
                <w:sz w:val="16"/>
                <w:szCs w:val="20"/>
              </w:rPr>
            </w:pPr>
            <w:r w:rsidRPr="001C6501">
              <w:rPr>
                <w:rFonts w:ascii="Arial" w:eastAsia="Arial" w:hAnsi="Arial" w:cs="Arial"/>
                <w:b/>
                <w:color w:val="000000"/>
                <w:sz w:val="16"/>
                <w:szCs w:val="20"/>
              </w:rPr>
              <w:t>44,372 </w:t>
            </w:r>
          </w:p>
        </w:tc>
        <w:tc>
          <w:tcPr>
            <w:tcW w:w="915" w:type="dxa"/>
            <w:tcBorders>
              <w:top w:val="single" w:sz="6" w:space="0" w:color="000000"/>
              <w:left w:val="nil"/>
              <w:bottom w:val="single" w:sz="6" w:space="0" w:color="000000"/>
              <w:right w:val="nil"/>
              <w:tl2br w:val="nil"/>
              <w:tr2bl w:val="nil"/>
            </w:tcBorders>
            <w:shd w:val="clear" w:color="auto" w:fill="FFFFFF"/>
            <w:tcMar>
              <w:left w:w="115" w:type="dxa"/>
              <w:right w:w="115" w:type="dxa"/>
            </w:tcMar>
            <w:vAlign w:val="bottom"/>
          </w:tcPr>
          <w:p w14:paraId="01ACD47B" w14:textId="77777777" w:rsidR="003F0EEA" w:rsidRPr="001C6501" w:rsidRDefault="00FB7D0B">
            <w:pPr>
              <w:jc w:val="right"/>
              <w:rPr>
                <w:rFonts w:ascii="Arial" w:eastAsia="Arial" w:hAnsi="Arial" w:cs="Arial"/>
                <w:b/>
                <w:color w:val="000000"/>
                <w:sz w:val="16"/>
                <w:szCs w:val="20"/>
              </w:rPr>
            </w:pPr>
            <w:r w:rsidRPr="001C6501">
              <w:rPr>
                <w:rFonts w:ascii="Arial" w:eastAsia="Arial" w:hAnsi="Arial" w:cs="Arial"/>
                <w:b/>
                <w:color w:val="000000"/>
                <w:sz w:val="16"/>
                <w:szCs w:val="20"/>
              </w:rPr>
              <w:t>48,843 </w:t>
            </w:r>
          </w:p>
        </w:tc>
        <w:tc>
          <w:tcPr>
            <w:tcW w:w="915" w:type="dxa"/>
            <w:tcBorders>
              <w:top w:val="single" w:sz="6" w:space="0" w:color="000000"/>
              <w:left w:val="nil"/>
              <w:bottom w:val="single" w:sz="6" w:space="0" w:color="000000"/>
              <w:right w:val="nil"/>
              <w:tl2br w:val="nil"/>
              <w:tr2bl w:val="nil"/>
            </w:tcBorders>
            <w:shd w:val="clear" w:color="auto" w:fill="FFFFFF"/>
            <w:tcMar>
              <w:left w:w="115" w:type="dxa"/>
              <w:right w:w="115" w:type="dxa"/>
            </w:tcMar>
            <w:vAlign w:val="bottom"/>
          </w:tcPr>
          <w:p w14:paraId="5E60123A" w14:textId="77777777" w:rsidR="003F0EEA" w:rsidRPr="001C6501" w:rsidRDefault="00FB7D0B">
            <w:pPr>
              <w:jc w:val="right"/>
              <w:rPr>
                <w:rFonts w:ascii="Arial" w:eastAsia="Arial" w:hAnsi="Arial" w:cs="Arial"/>
                <w:b/>
                <w:color w:val="000000"/>
                <w:sz w:val="16"/>
                <w:szCs w:val="20"/>
              </w:rPr>
            </w:pPr>
            <w:r w:rsidRPr="001C6501">
              <w:rPr>
                <w:rFonts w:ascii="Arial" w:eastAsia="Arial" w:hAnsi="Arial" w:cs="Arial"/>
                <w:b/>
                <w:color w:val="000000"/>
                <w:sz w:val="16"/>
                <w:szCs w:val="20"/>
              </w:rPr>
              <w:t>53,771 </w:t>
            </w:r>
          </w:p>
        </w:tc>
      </w:tr>
      <w:tr w:rsidR="00724034" w14:paraId="5049956F" w14:textId="77777777">
        <w:trPr>
          <w:trHeight w:val="225"/>
        </w:trPr>
        <w:tc>
          <w:tcPr>
            <w:tcW w:w="180" w:type="dxa"/>
            <w:tcBorders>
              <w:top w:val="nil"/>
              <w:left w:val="nil"/>
              <w:bottom w:val="nil"/>
              <w:right w:val="nil"/>
              <w:tl2br w:val="nil"/>
              <w:tr2bl w:val="nil"/>
            </w:tcBorders>
            <w:shd w:val="clear" w:color="auto" w:fill="FFFFFF"/>
            <w:tcMar>
              <w:left w:w="115" w:type="dxa"/>
              <w:right w:w="115" w:type="dxa"/>
            </w:tcMar>
            <w:vAlign w:val="bottom"/>
          </w:tcPr>
          <w:p w14:paraId="1BEBD828" w14:textId="77777777" w:rsidR="003F0EEA" w:rsidRPr="001C6501" w:rsidRDefault="003F0EEA">
            <w:pPr>
              <w:rPr>
                <w:rFonts w:ascii="Arial" w:eastAsia="Arial" w:hAnsi="Arial" w:cs="Arial"/>
                <w:b/>
                <w:color w:val="000000"/>
                <w:sz w:val="16"/>
                <w:szCs w:val="20"/>
              </w:rPr>
            </w:pPr>
          </w:p>
        </w:tc>
        <w:tc>
          <w:tcPr>
            <w:tcW w:w="180" w:type="dxa"/>
            <w:tcBorders>
              <w:top w:val="nil"/>
              <w:left w:val="nil"/>
              <w:bottom w:val="nil"/>
              <w:right w:val="nil"/>
              <w:tl2br w:val="nil"/>
              <w:tr2bl w:val="nil"/>
            </w:tcBorders>
            <w:shd w:val="clear" w:color="auto" w:fill="FFFFFF"/>
            <w:tcMar>
              <w:left w:w="115" w:type="dxa"/>
              <w:right w:w="115" w:type="dxa"/>
            </w:tcMar>
            <w:vAlign w:val="bottom"/>
          </w:tcPr>
          <w:p w14:paraId="41D024C3" w14:textId="77777777" w:rsidR="003F0EEA" w:rsidRPr="001C6501" w:rsidRDefault="003F0EEA">
            <w:pPr>
              <w:rPr>
                <w:rFonts w:ascii="Arial" w:eastAsia="Arial" w:hAnsi="Arial" w:cs="Arial"/>
                <w:color w:val="000000"/>
                <w:sz w:val="16"/>
                <w:szCs w:val="20"/>
              </w:rPr>
            </w:pPr>
          </w:p>
        </w:tc>
        <w:tc>
          <w:tcPr>
            <w:tcW w:w="2700" w:type="dxa"/>
            <w:tcBorders>
              <w:top w:val="nil"/>
              <w:left w:val="nil"/>
              <w:bottom w:val="nil"/>
              <w:right w:val="nil"/>
              <w:tl2br w:val="nil"/>
              <w:tr2bl w:val="nil"/>
            </w:tcBorders>
            <w:shd w:val="clear" w:color="auto" w:fill="FFFFFF"/>
            <w:tcMar>
              <w:left w:w="115" w:type="dxa"/>
              <w:right w:w="115" w:type="dxa"/>
            </w:tcMar>
            <w:vAlign w:val="bottom"/>
          </w:tcPr>
          <w:p w14:paraId="691F2973" w14:textId="77777777" w:rsidR="003F0EEA" w:rsidRPr="001C6501" w:rsidRDefault="003F0EEA">
            <w:pPr>
              <w:rPr>
                <w:rFonts w:ascii="Arial" w:eastAsia="Arial" w:hAnsi="Arial" w:cs="Arial"/>
                <w:color w:val="000000"/>
                <w:sz w:val="16"/>
                <w:szCs w:val="20"/>
              </w:rPr>
            </w:pPr>
          </w:p>
        </w:tc>
        <w:tc>
          <w:tcPr>
            <w:tcW w:w="990" w:type="dxa"/>
            <w:tcBorders>
              <w:top w:val="single" w:sz="6" w:space="0" w:color="000000"/>
              <w:left w:val="nil"/>
              <w:bottom w:val="single" w:sz="6" w:space="0" w:color="000000"/>
              <w:right w:val="nil"/>
              <w:tl2br w:val="nil"/>
              <w:tr2bl w:val="nil"/>
            </w:tcBorders>
            <w:shd w:val="clear" w:color="auto" w:fill="FFFFFF"/>
            <w:tcMar>
              <w:left w:w="115" w:type="dxa"/>
              <w:right w:w="115" w:type="dxa"/>
            </w:tcMar>
            <w:vAlign w:val="bottom"/>
          </w:tcPr>
          <w:p w14:paraId="6B860E18" w14:textId="77777777" w:rsidR="003F0EEA" w:rsidRPr="001C6501" w:rsidRDefault="003F0EEA">
            <w:pPr>
              <w:rPr>
                <w:rFonts w:ascii="Arial" w:eastAsia="Arial" w:hAnsi="Arial" w:cs="Arial"/>
                <w:color w:val="000000"/>
                <w:sz w:val="16"/>
                <w:szCs w:val="20"/>
                <w:vertAlign w:val="superscript"/>
              </w:rPr>
            </w:pPr>
          </w:p>
        </w:tc>
        <w:tc>
          <w:tcPr>
            <w:tcW w:w="915" w:type="dxa"/>
            <w:tcBorders>
              <w:top w:val="single" w:sz="6" w:space="0" w:color="000000"/>
              <w:left w:val="nil"/>
              <w:bottom w:val="single" w:sz="6" w:space="0" w:color="000000"/>
              <w:right w:val="nil"/>
              <w:tl2br w:val="nil"/>
              <w:tr2bl w:val="nil"/>
            </w:tcBorders>
            <w:shd w:val="clear" w:color="auto" w:fill="FFFF00"/>
            <w:tcMar>
              <w:left w:w="115" w:type="dxa"/>
              <w:right w:w="115" w:type="dxa"/>
            </w:tcMar>
            <w:vAlign w:val="bottom"/>
          </w:tcPr>
          <w:p w14:paraId="10D7AF73" w14:textId="77777777" w:rsidR="003F0EEA" w:rsidRPr="001C6501" w:rsidRDefault="003F0EEA">
            <w:pPr>
              <w:rPr>
                <w:rFonts w:ascii="Arial" w:eastAsia="Arial" w:hAnsi="Arial" w:cs="Arial"/>
                <w:color w:val="000000"/>
                <w:sz w:val="16"/>
                <w:szCs w:val="20"/>
                <w:vertAlign w:val="superscript"/>
              </w:rPr>
            </w:pPr>
          </w:p>
        </w:tc>
        <w:tc>
          <w:tcPr>
            <w:tcW w:w="915" w:type="dxa"/>
            <w:tcBorders>
              <w:top w:val="single" w:sz="6" w:space="0" w:color="000000"/>
              <w:left w:val="nil"/>
              <w:bottom w:val="single" w:sz="6" w:space="0" w:color="000000"/>
              <w:right w:val="nil"/>
              <w:tl2br w:val="nil"/>
              <w:tr2bl w:val="nil"/>
            </w:tcBorders>
            <w:shd w:val="clear" w:color="auto" w:fill="FFFFFF"/>
            <w:tcMar>
              <w:left w:w="115" w:type="dxa"/>
              <w:right w:w="115" w:type="dxa"/>
            </w:tcMar>
            <w:vAlign w:val="bottom"/>
          </w:tcPr>
          <w:p w14:paraId="3D7284A7" w14:textId="77777777" w:rsidR="003F0EEA" w:rsidRPr="001C6501" w:rsidRDefault="003F0EEA">
            <w:pPr>
              <w:rPr>
                <w:rFonts w:ascii="Arial" w:eastAsia="Arial" w:hAnsi="Arial" w:cs="Arial"/>
                <w:color w:val="000000"/>
                <w:sz w:val="16"/>
                <w:szCs w:val="20"/>
                <w:vertAlign w:val="superscript"/>
              </w:rPr>
            </w:pPr>
          </w:p>
        </w:tc>
        <w:tc>
          <w:tcPr>
            <w:tcW w:w="915" w:type="dxa"/>
            <w:tcBorders>
              <w:top w:val="single" w:sz="6" w:space="0" w:color="000000"/>
              <w:left w:val="nil"/>
              <w:bottom w:val="single" w:sz="6" w:space="0" w:color="000000"/>
              <w:right w:val="nil"/>
              <w:tl2br w:val="nil"/>
              <w:tr2bl w:val="nil"/>
            </w:tcBorders>
            <w:shd w:val="clear" w:color="auto" w:fill="FFFFFF"/>
            <w:tcMar>
              <w:left w:w="115" w:type="dxa"/>
              <w:right w:w="115" w:type="dxa"/>
            </w:tcMar>
            <w:vAlign w:val="bottom"/>
          </w:tcPr>
          <w:p w14:paraId="6D57C525" w14:textId="77777777" w:rsidR="003F0EEA" w:rsidRPr="001C6501" w:rsidRDefault="003F0EEA">
            <w:pPr>
              <w:rPr>
                <w:rFonts w:ascii="Arial" w:eastAsia="Arial" w:hAnsi="Arial" w:cs="Arial"/>
                <w:color w:val="000000"/>
                <w:sz w:val="16"/>
                <w:szCs w:val="20"/>
                <w:vertAlign w:val="superscript"/>
              </w:rPr>
            </w:pPr>
          </w:p>
        </w:tc>
        <w:tc>
          <w:tcPr>
            <w:tcW w:w="915" w:type="dxa"/>
            <w:tcBorders>
              <w:top w:val="single" w:sz="6" w:space="0" w:color="000000"/>
              <w:left w:val="nil"/>
              <w:bottom w:val="single" w:sz="6" w:space="0" w:color="000000"/>
              <w:right w:val="nil"/>
              <w:tl2br w:val="nil"/>
              <w:tr2bl w:val="nil"/>
            </w:tcBorders>
            <w:shd w:val="clear" w:color="auto" w:fill="FFFFFF"/>
            <w:tcMar>
              <w:left w:w="115" w:type="dxa"/>
              <w:right w:w="115" w:type="dxa"/>
            </w:tcMar>
            <w:vAlign w:val="bottom"/>
          </w:tcPr>
          <w:p w14:paraId="5B330B69" w14:textId="77777777" w:rsidR="003F0EEA" w:rsidRPr="001C6501" w:rsidRDefault="003F0EEA">
            <w:pPr>
              <w:rPr>
                <w:rFonts w:ascii="Arial" w:eastAsia="Arial" w:hAnsi="Arial" w:cs="Arial"/>
                <w:color w:val="000000"/>
                <w:sz w:val="16"/>
                <w:szCs w:val="20"/>
                <w:vertAlign w:val="superscript"/>
              </w:rPr>
            </w:pPr>
          </w:p>
        </w:tc>
      </w:tr>
      <w:tr w:rsidR="00FB7D0B" w14:paraId="4151379E" w14:textId="77777777" w:rsidTr="00FB7D0B">
        <w:trPr>
          <w:trHeight w:val="450"/>
        </w:trPr>
        <w:tc>
          <w:tcPr>
            <w:tcW w:w="3060" w:type="dxa"/>
            <w:gridSpan w:val="3"/>
            <w:tcBorders>
              <w:top w:val="nil"/>
              <w:left w:val="nil"/>
              <w:bottom w:val="nil"/>
              <w:right w:val="nil"/>
              <w:tl2br w:val="nil"/>
              <w:tr2bl w:val="nil"/>
            </w:tcBorders>
            <w:shd w:val="clear" w:color="auto" w:fill="FFFFFF"/>
            <w:tcMar>
              <w:left w:w="115" w:type="dxa"/>
              <w:right w:w="115" w:type="dxa"/>
            </w:tcMar>
            <w:vAlign w:val="bottom"/>
          </w:tcPr>
          <w:p w14:paraId="31F69872" w14:textId="77777777" w:rsidR="003F0EEA" w:rsidRPr="001C6501" w:rsidRDefault="00FB7D0B">
            <w:pPr>
              <w:rPr>
                <w:rFonts w:ascii="Arial" w:eastAsia="Arial" w:hAnsi="Arial" w:cs="Arial"/>
                <w:color w:val="000000"/>
                <w:sz w:val="16"/>
                <w:szCs w:val="20"/>
                <w:vertAlign w:val="superscript"/>
              </w:rPr>
            </w:pPr>
            <w:r w:rsidRPr="001C6501">
              <w:rPr>
                <w:rFonts w:ascii="Arial" w:eastAsia="Arial" w:hAnsi="Arial" w:cs="Arial"/>
                <w:b/>
                <w:color w:val="000000"/>
                <w:sz w:val="16"/>
                <w:szCs w:val="20"/>
              </w:rPr>
              <w:t>Net cost of (contribution by) services</w:t>
            </w:r>
          </w:p>
        </w:tc>
        <w:tc>
          <w:tcPr>
            <w:tcW w:w="990" w:type="dxa"/>
            <w:tcBorders>
              <w:top w:val="single" w:sz="6" w:space="0" w:color="000000"/>
              <w:left w:val="nil"/>
              <w:bottom w:val="single" w:sz="6" w:space="0" w:color="000000"/>
              <w:right w:val="nil"/>
              <w:tl2br w:val="nil"/>
              <w:tr2bl w:val="nil"/>
            </w:tcBorders>
            <w:shd w:val="clear" w:color="auto" w:fill="FFFFFF"/>
            <w:tcMar>
              <w:left w:w="115" w:type="dxa"/>
              <w:right w:w="115" w:type="dxa"/>
            </w:tcMar>
            <w:vAlign w:val="bottom"/>
          </w:tcPr>
          <w:p w14:paraId="5C430E13" w14:textId="77777777" w:rsidR="003F0EEA" w:rsidRPr="001C6501" w:rsidRDefault="00FB7D0B">
            <w:pPr>
              <w:jc w:val="right"/>
              <w:rPr>
                <w:rFonts w:ascii="Arial" w:eastAsia="Arial" w:hAnsi="Arial" w:cs="Arial"/>
                <w:b/>
                <w:color w:val="000000"/>
                <w:sz w:val="16"/>
                <w:szCs w:val="20"/>
                <w:vertAlign w:val="superscript"/>
              </w:rPr>
            </w:pPr>
            <w:r w:rsidRPr="001C6501">
              <w:rPr>
                <w:rFonts w:ascii="Arial" w:eastAsia="Arial" w:hAnsi="Arial" w:cs="Arial"/>
                <w:b/>
                <w:color w:val="000000"/>
                <w:sz w:val="16"/>
                <w:szCs w:val="20"/>
              </w:rPr>
              <w:t>(2,212)</w:t>
            </w:r>
          </w:p>
        </w:tc>
        <w:tc>
          <w:tcPr>
            <w:tcW w:w="915" w:type="dxa"/>
            <w:tcBorders>
              <w:top w:val="single" w:sz="6" w:space="0" w:color="000000"/>
              <w:left w:val="nil"/>
              <w:bottom w:val="single" w:sz="6" w:space="0" w:color="000000"/>
              <w:right w:val="nil"/>
              <w:tl2br w:val="nil"/>
              <w:tr2bl w:val="nil"/>
            </w:tcBorders>
            <w:shd w:val="clear" w:color="auto" w:fill="FFFF00"/>
            <w:tcMar>
              <w:left w:w="115" w:type="dxa"/>
              <w:right w:w="115" w:type="dxa"/>
            </w:tcMar>
            <w:vAlign w:val="bottom"/>
          </w:tcPr>
          <w:p w14:paraId="137FE5BE" w14:textId="77777777" w:rsidR="003F0EEA" w:rsidRPr="001C6501" w:rsidRDefault="00FB7D0B">
            <w:pPr>
              <w:jc w:val="right"/>
              <w:rPr>
                <w:rFonts w:ascii="Arial" w:eastAsia="Arial" w:hAnsi="Arial" w:cs="Arial"/>
                <w:b/>
                <w:color w:val="000000"/>
                <w:sz w:val="16"/>
                <w:szCs w:val="20"/>
              </w:rPr>
            </w:pPr>
            <w:r w:rsidRPr="001C6501">
              <w:rPr>
                <w:rFonts w:ascii="Arial" w:eastAsia="Arial" w:hAnsi="Arial" w:cs="Arial"/>
                <w:b/>
                <w:color w:val="000000"/>
                <w:sz w:val="16"/>
                <w:szCs w:val="20"/>
              </w:rPr>
              <w:t>(3,109)</w:t>
            </w:r>
          </w:p>
        </w:tc>
        <w:tc>
          <w:tcPr>
            <w:tcW w:w="915" w:type="dxa"/>
            <w:tcBorders>
              <w:top w:val="single" w:sz="6" w:space="0" w:color="000000"/>
              <w:left w:val="nil"/>
              <w:bottom w:val="single" w:sz="6" w:space="0" w:color="000000"/>
              <w:right w:val="nil"/>
              <w:tl2br w:val="nil"/>
              <w:tr2bl w:val="nil"/>
            </w:tcBorders>
            <w:shd w:val="clear" w:color="auto" w:fill="FFFFFF"/>
            <w:tcMar>
              <w:left w:w="115" w:type="dxa"/>
              <w:right w:w="115" w:type="dxa"/>
            </w:tcMar>
            <w:vAlign w:val="bottom"/>
          </w:tcPr>
          <w:p w14:paraId="2C9D60A6" w14:textId="77777777" w:rsidR="003F0EEA" w:rsidRPr="001C6501" w:rsidRDefault="00FB7D0B">
            <w:pPr>
              <w:jc w:val="right"/>
              <w:rPr>
                <w:rFonts w:ascii="Arial" w:eastAsia="Arial" w:hAnsi="Arial" w:cs="Arial"/>
                <w:b/>
                <w:color w:val="000000"/>
                <w:sz w:val="16"/>
                <w:szCs w:val="20"/>
              </w:rPr>
            </w:pPr>
            <w:r w:rsidRPr="001C6501">
              <w:rPr>
                <w:rFonts w:ascii="Arial" w:eastAsia="Arial" w:hAnsi="Arial" w:cs="Arial"/>
                <w:b/>
                <w:color w:val="000000"/>
                <w:sz w:val="16"/>
                <w:szCs w:val="20"/>
              </w:rPr>
              <w:t>(4,670)</w:t>
            </w:r>
          </w:p>
        </w:tc>
        <w:tc>
          <w:tcPr>
            <w:tcW w:w="915" w:type="dxa"/>
            <w:tcBorders>
              <w:top w:val="single" w:sz="6" w:space="0" w:color="000000"/>
              <w:left w:val="nil"/>
              <w:bottom w:val="single" w:sz="6" w:space="0" w:color="000000"/>
              <w:right w:val="nil"/>
              <w:tl2br w:val="nil"/>
              <w:tr2bl w:val="nil"/>
            </w:tcBorders>
            <w:shd w:val="clear" w:color="auto" w:fill="FFFFFF"/>
            <w:tcMar>
              <w:left w:w="115" w:type="dxa"/>
              <w:right w:w="115" w:type="dxa"/>
            </w:tcMar>
            <w:vAlign w:val="bottom"/>
          </w:tcPr>
          <w:p w14:paraId="2C9183BE" w14:textId="77777777" w:rsidR="003F0EEA" w:rsidRPr="001C6501" w:rsidRDefault="00FB7D0B">
            <w:pPr>
              <w:jc w:val="right"/>
              <w:rPr>
                <w:rFonts w:ascii="Arial" w:eastAsia="Arial" w:hAnsi="Arial" w:cs="Arial"/>
                <w:b/>
                <w:color w:val="000000"/>
                <w:sz w:val="16"/>
                <w:szCs w:val="20"/>
              </w:rPr>
            </w:pPr>
            <w:r w:rsidRPr="001C6501">
              <w:rPr>
                <w:rFonts w:ascii="Arial" w:eastAsia="Arial" w:hAnsi="Arial" w:cs="Arial"/>
                <w:b/>
                <w:color w:val="000000"/>
                <w:sz w:val="16"/>
                <w:szCs w:val="20"/>
              </w:rPr>
              <w:t>(6,250)</w:t>
            </w:r>
          </w:p>
        </w:tc>
        <w:tc>
          <w:tcPr>
            <w:tcW w:w="915" w:type="dxa"/>
            <w:tcBorders>
              <w:top w:val="single" w:sz="6" w:space="0" w:color="000000"/>
              <w:left w:val="nil"/>
              <w:bottom w:val="single" w:sz="6" w:space="0" w:color="000000"/>
              <w:right w:val="nil"/>
              <w:tl2br w:val="nil"/>
              <w:tr2bl w:val="nil"/>
            </w:tcBorders>
            <w:shd w:val="clear" w:color="auto" w:fill="FFFFFF"/>
            <w:tcMar>
              <w:left w:w="115" w:type="dxa"/>
              <w:right w:w="115" w:type="dxa"/>
            </w:tcMar>
            <w:vAlign w:val="bottom"/>
          </w:tcPr>
          <w:p w14:paraId="6577D5C8" w14:textId="77777777" w:rsidR="003F0EEA" w:rsidRPr="001C6501" w:rsidRDefault="00FB7D0B">
            <w:pPr>
              <w:jc w:val="right"/>
              <w:rPr>
                <w:rFonts w:ascii="Arial" w:eastAsia="Arial" w:hAnsi="Arial" w:cs="Arial"/>
                <w:b/>
                <w:color w:val="000000"/>
                <w:sz w:val="16"/>
                <w:szCs w:val="20"/>
              </w:rPr>
            </w:pPr>
            <w:r w:rsidRPr="001C6501">
              <w:rPr>
                <w:rFonts w:ascii="Arial" w:eastAsia="Arial" w:hAnsi="Arial" w:cs="Arial"/>
                <w:b/>
                <w:color w:val="000000"/>
                <w:sz w:val="16"/>
                <w:szCs w:val="20"/>
              </w:rPr>
              <w:t>(8,074)</w:t>
            </w:r>
          </w:p>
        </w:tc>
      </w:tr>
      <w:tr w:rsidR="00724034" w14:paraId="1A48AFC9" w14:textId="77777777">
        <w:trPr>
          <w:trHeight w:val="225"/>
        </w:trPr>
        <w:tc>
          <w:tcPr>
            <w:tcW w:w="180" w:type="dxa"/>
            <w:tcBorders>
              <w:top w:val="nil"/>
              <w:left w:val="nil"/>
              <w:bottom w:val="nil"/>
              <w:right w:val="nil"/>
              <w:tl2br w:val="nil"/>
              <w:tr2bl w:val="nil"/>
            </w:tcBorders>
            <w:shd w:val="clear" w:color="auto" w:fill="FFFFFF"/>
            <w:tcMar>
              <w:left w:w="115" w:type="dxa"/>
              <w:right w:w="115" w:type="dxa"/>
            </w:tcMar>
            <w:vAlign w:val="bottom"/>
          </w:tcPr>
          <w:p w14:paraId="63CF79B2" w14:textId="77777777" w:rsidR="003F0EEA" w:rsidRPr="001C6501" w:rsidRDefault="003F0EEA">
            <w:pPr>
              <w:rPr>
                <w:rFonts w:ascii="Arial" w:eastAsia="Arial" w:hAnsi="Arial" w:cs="Arial"/>
                <w:b/>
                <w:color w:val="000000"/>
                <w:sz w:val="16"/>
                <w:szCs w:val="20"/>
              </w:rPr>
            </w:pPr>
          </w:p>
        </w:tc>
        <w:tc>
          <w:tcPr>
            <w:tcW w:w="180" w:type="dxa"/>
            <w:tcBorders>
              <w:top w:val="nil"/>
              <w:left w:val="nil"/>
              <w:bottom w:val="nil"/>
              <w:right w:val="nil"/>
              <w:tl2br w:val="nil"/>
              <w:tr2bl w:val="nil"/>
            </w:tcBorders>
            <w:shd w:val="clear" w:color="auto" w:fill="FFFFFF"/>
            <w:tcMar>
              <w:left w:w="115" w:type="dxa"/>
              <w:right w:w="115" w:type="dxa"/>
            </w:tcMar>
            <w:vAlign w:val="bottom"/>
          </w:tcPr>
          <w:p w14:paraId="297C7E94" w14:textId="77777777" w:rsidR="003F0EEA" w:rsidRPr="001C6501" w:rsidRDefault="003F0EEA">
            <w:pPr>
              <w:rPr>
                <w:rFonts w:ascii="Arial" w:eastAsia="Arial" w:hAnsi="Arial" w:cs="Arial"/>
                <w:color w:val="000000"/>
                <w:sz w:val="16"/>
                <w:szCs w:val="20"/>
              </w:rPr>
            </w:pPr>
          </w:p>
        </w:tc>
        <w:tc>
          <w:tcPr>
            <w:tcW w:w="2700" w:type="dxa"/>
            <w:tcBorders>
              <w:top w:val="nil"/>
              <w:left w:val="nil"/>
              <w:bottom w:val="nil"/>
              <w:right w:val="nil"/>
              <w:tl2br w:val="nil"/>
              <w:tr2bl w:val="nil"/>
            </w:tcBorders>
            <w:shd w:val="clear" w:color="auto" w:fill="FFFFFF"/>
            <w:tcMar>
              <w:left w:w="115" w:type="dxa"/>
              <w:right w:w="115" w:type="dxa"/>
            </w:tcMar>
            <w:vAlign w:val="bottom"/>
          </w:tcPr>
          <w:p w14:paraId="2810B03C" w14:textId="77777777" w:rsidR="003F0EEA" w:rsidRPr="001C6501" w:rsidRDefault="003F0EEA">
            <w:pPr>
              <w:rPr>
                <w:rFonts w:ascii="Arial" w:eastAsia="Arial" w:hAnsi="Arial" w:cs="Arial"/>
                <w:color w:val="000000"/>
                <w:sz w:val="16"/>
                <w:szCs w:val="20"/>
              </w:rPr>
            </w:pPr>
          </w:p>
        </w:tc>
        <w:tc>
          <w:tcPr>
            <w:tcW w:w="990" w:type="dxa"/>
            <w:tcBorders>
              <w:top w:val="single" w:sz="6" w:space="0" w:color="000000"/>
              <w:left w:val="nil"/>
              <w:bottom w:val="single" w:sz="6" w:space="0" w:color="000000"/>
              <w:right w:val="nil"/>
              <w:tl2br w:val="nil"/>
              <w:tr2bl w:val="nil"/>
            </w:tcBorders>
            <w:shd w:val="clear" w:color="auto" w:fill="FFFFFF"/>
            <w:tcMar>
              <w:left w:w="115" w:type="dxa"/>
              <w:right w:w="115" w:type="dxa"/>
            </w:tcMar>
            <w:vAlign w:val="bottom"/>
          </w:tcPr>
          <w:p w14:paraId="2345B7AE" w14:textId="77777777" w:rsidR="003F0EEA" w:rsidRPr="001C6501" w:rsidRDefault="003F0EEA">
            <w:pPr>
              <w:jc w:val="right"/>
              <w:rPr>
                <w:rFonts w:ascii="Arial" w:eastAsia="Arial" w:hAnsi="Arial" w:cs="Arial"/>
                <w:b/>
                <w:color w:val="000000"/>
                <w:sz w:val="16"/>
                <w:szCs w:val="20"/>
                <w:vertAlign w:val="superscript"/>
              </w:rPr>
            </w:pPr>
          </w:p>
        </w:tc>
        <w:tc>
          <w:tcPr>
            <w:tcW w:w="915" w:type="dxa"/>
            <w:tcBorders>
              <w:top w:val="single" w:sz="6" w:space="0" w:color="000000"/>
              <w:left w:val="nil"/>
              <w:bottom w:val="single" w:sz="6" w:space="0" w:color="000000"/>
              <w:right w:val="nil"/>
              <w:tl2br w:val="nil"/>
              <w:tr2bl w:val="nil"/>
            </w:tcBorders>
            <w:shd w:val="clear" w:color="auto" w:fill="FFFF00"/>
            <w:tcMar>
              <w:left w:w="115" w:type="dxa"/>
              <w:right w:w="115" w:type="dxa"/>
            </w:tcMar>
            <w:vAlign w:val="bottom"/>
          </w:tcPr>
          <w:p w14:paraId="44A4456F" w14:textId="77777777" w:rsidR="003F0EEA" w:rsidRPr="001C6501" w:rsidRDefault="003F0EEA">
            <w:pPr>
              <w:jc w:val="right"/>
              <w:rPr>
                <w:rFonts w:ascii="Arial" w:eastAsia="Arial" w:hAnsi="Arial" w:cs="Arial"/>
                <w:color w:val="000000"/>
                <w:sz w:val="16"/>
                <w:szCs w:val="20"/>
                <w:vertAlign w:val="superscript"/>
              </w:rPr>
            </w:pPr>
          </w:p>
        </w:tc>
        <w:tc>
          <w:tcPr>
            <w:tcW w:w="915" w:type="dxa"/>
            <w:tcBorders>
              <w:top w:val="single" w:sz="6" w:space="0" w:color="000000"/>
              <w:left w:val="nil"/>
              <w:bottom w:val="single" w:sz="6" w:space="0" w:color="000000"/>
              <w:right w:val="nil"/>
              <w:tl2br w:val="nil"/>
              <w:tr2bl w:val="nil"/>
            </w:tcBorders>
            <w:shd w:val="clear" w:color="auto" w:fill="FFFFFF"/>
            <w:tcMar>
              <w:left w:w="115" w:type="dxa"/>
              <w:right w:w="115" w:type="dxa"/>
            </w:tcMar>
            <w:vAlign w:val="bottom"/>
          </w:tcPr>
          <w:p w14:paraId="6D088824" w14:textId="77777777" w:rsidR="003F0EEA" w:rsidRPr="001C6501" w:rsidRDefault="003F0EEA">
            <w:pPr>
              <w:jc w:val="right"/>
              <w:rPr>
                <w:rFonts w:ascii="Arial" w:eastAsia="Arial" w:hAnsi="Arial" w:cs="Arial"/>
                <w:b/>
                <w:color w:val="000000"/>
                <w:sz w:val="16"/>
                <w:szCs w:val="20"/>
                <w:vertAlign w:val="superscript"/>
              </w:rPr>
            </w:pPr>
          </w:p>
        </w:tc>
        <w:tc>
          <w:tcPr>
            <w:tcW w:w="915" w:type="dxa"/>
            <w:tcBorders>
              <w:top w:val="single" w:sz="6" w:space="0" w:color="000000"/>
              <w:left w:val="nil"/>
              <w:bottom w:val="single" w:sz="6" w:space="0" w:color="000000"/>
              <w:right w:val="nil"/>
              <w:tl2br w:val="nil"/>
              <w:tr2bl w:val="nil"/>
            </w:tcBorders>
            <w:shd w:val="clear" w:color="auto" w:fill="FFFFFF"/>
            <w:tcMar>
              <w:left w:w="115" w:type="dxa"/>
              <w:right w:w="115" w:type="dxa"/>
            </w:tcMar>
            <w:vAlign w:val="bottom"/>
          </w:tcPr>
          <w:p w14:paraId="7B5BBE97" w14:textId="77777777" w:rsidR="003F0EEA" w:rsidRPr="001C6501" w:rsidRDefault="003F0EEA">
            <w:pPr>
              <w:jc w:val="right"/>
              <w:rPr>
                <w:rFonts w:ascii="Arial" w:eastAsia="Arial" w:hAnsi="Arial" w:cs="Arial"/>
                <w:color w:val="000000"/>
                <w:sz w:val="16"/>
                <w:szCs w:val="20"/>
                <w:vertAlign w:val="superscript"/>
              </w:rPr>
            </w:pPr>
          </w:p>
        </w:tc>
        <w:tc>
          <w:tcPr>
            <w:tcW w:w="915" w:type="dxa"/>
            <w:tcBorders>
              <w:top w:val="single" w:sz="6" w:space="0" w:color="000000"/>
              <w:left w:val="nil"/>
              <w:bottom w:val="single" w:sz="6" w:space="0" w:color="000000"/>
              <w:right w:val="nil"/>
              <w:tl2br w:val="nil"/>
              <w:tr2bl w:val="nil"/>
            </w:tcBorders>
            <w:shd w:val="clear" w:color="auto" w:fill="FFFFFF"/>
            <w:tcMar>
              <w:left w:w="115" w:type="dxa"/>
              <w:right w:w="115" w:type="dxa"/>
            </w:tcMar>
            <w:vAlign w:val="bottom"/>
          </w:tcPr>
          <w:p w14:paraId="09ABAE41" w14:textId="77777777" w:rsidR="003F0EEA" w:rsidRPr="001C6501" w:rsidRDefault="003F0EEA">
            <w:pPr>
              <w:rPr>
                <w:rFonts w:ascii="Arial" w:eastAsia="Arial" w:hAnsi="Arial" w:cs="Arial"/>
                <w:color w:val="000000"/>
                <w:sz w:val="16"/>
                <w:szCs w:val="20"/>
                <w:vertAlign w:val="superscript"/>
              </w:rPr>
            </w:pPr>
          </w:p>
        </w:tc>
      </w:tr>
      <w:tr w:rsidR="00FB7D0B" w14:paraId="7534A557" w14:textId="77777777" w:rsidTr="00FB7D0B">
        <w:trPr>
          <w:trHeight w:val="225"/>
        </w:trPr>
        <w:tc>
          <w:tcPr>
            <w:tcW w:w="180" w:type="dxa"/>
            <w:tcBorders>
              <w:top w:val="nil"/>
              <w:left w:val="nil"/>
              <w:bottom w:val="nil"/>
              <w:right w:val="nil"/>
              <w:tl2br w:val="nil"/>
              <w:tr2bl w:val="nil"/>
            </w:tcBorders>
            <w:shd w:val="clear" w:color="auto" w:fill="FFFFFF"/>
            <w:tcMar>
              <w:left w:w="115" w:type="dxa"/>
              <w:right w:w="115" w:type="dxa"/>
            </w:tcMar>
            <w:vAlign w:val="bottom"/>
          </w:tcPr>
          <w:p w14:paraId="718C6006" w14:textId="77777777" w:rsidR="003F0EEA" w:rsidRPr="001C6501" w:rsidRDefault="003F0EEA">
            <w:pPr>
              <w:rPr>
                <w:rFonts w:ascii="Arial" w:eastAsia="Arial" w:hAnsi="Arial" w:cs="Arial"/>
                <w:b/>
                <w:color w:val="000000"/>
                <w:sz w:val="16"/>
                <w:szCs w:val="20"/>
                <w:vertAlign w:val="superscript"/>
              </w:rPr>
            </w:pPr>
          </w:p>
        </w:tc>
        <w:tc>
          <w:tcPr>
            <w:tcW w:w="2880" w:type="dxa"/>
            <w:gridSpan w:val="2"/>
            <w:vMerge w:val="restart"/>
            <w:tcBorders>
              <w:top w:val="nil"/>
              <w:left w:val="nil"/>
              <w:bottom w:val="nil"/>
              <w:right w:val="nil"/>
              <w:tl2br w:val="nil"/>
              <w:tr2bl w:val="nil"/>
            </w:tcBorders>
            <w:shd w:val="clear" w:color="auto" w:fill="FFFFFF"/>
            <w:tcMar>
              <w:left w:w="115" w:type="dxa"/>
              <w:right w:w="115" w:type="dxa"/>
            </w:tcMar>
            <w:vAlign w:val="bottom"/>
          </w:tcPr>
          <w:p w14:paraId="314CB440" w14:textId="77777777" w:rsidR="003F0EEA" w:rsidRPr="001C6501" w:rsidRDefault="00FB7D0B">
            <w:pPr>
              <w:rPr>
                <w:rFonts w:ascii="Arial" w:eastAsia="Arial" w:hAnsi="Arial" w:cs="Arial"/>
                <w:color w:val="000000"/>
                <w:sz w:val="16"/>
                <w:szCs w:val="20"/>
                <w:vertAlign w:val="superscript"/>
              </w:rPr>
            </w:pPr>
            <w:r w:rsidRPr="001C6501">
              <w:rPr>
                <w:rFonts w:ascii="Arial" w:eastAsia="Arial" w:hAnsi="Arial" w:cs="Arial"/>
                <w:color w:val="000000"/>
                <w:sz w:val="16"/>
                <w:szCs w:val="20"/>
              </w:rPr>
              <w:t>Revenue from Government</w:t>
            </w:r>
          </w:p>
        </w:tc>
        <w:tc>
          <w:tcPr>
            <w:tcW w:w="990" w:type="dxa"/>
            <w:tcBorders>
              <w:top w:val="single" w:sz="6" w:space="0" w:color="000000"/>
              <w:left w:val="nil"/>
              <w:bottom w:val="single" w:sz="6" w:space="0" w:color="000000"/>
              <w:right w:val="nil"/>
              <w:tl2br w:val="nil"/>
              <w:tr2bl w:val="nil"/>
            </w:tcBorders>
            <w:shd w:val="clear" w:color="auto" w:fill="FFFFFF"/>
            <w:tcMar>
              <w:left w:w="115" w:type="dxa"/>
              <w:right w:w="115" w:type="dxa"/>
            </w:tcMar>
            <w:vAlign w:val="bottom"/>
          </w:tcPr>
          <w:p w14:paraId="66ABCEA5" w14:textId="77777777" w:rsidR="003F0EEA" w:rsidRPr="001C6501" w:rsidRDefault="00FB7D0B">
            <w:pPr>
              <w:jc w:val="right"/>
              <w:rPr>
                <w:rFonts w:ascii="Arial" w:eastAsia="Arial" w:hAnsi="Arial" w:cs="Arial"/>
                <w:color w:val="000000"/>
                <w:sz w:val="16"/>
                <w:szCs w:val="20"/>
                <w:vertAlign w:val="superscript"/>
              </w:rPr>
            </w:pPr>
            <w:r w:rsidRPr="001C6501">
              <w:rPr>
                <w:rFonts w:ascii="Arial" w:eastAsia="Arial" w:hAnsi="Arial" w:cs="Arial"/>
                <w:color w:val="000000"/>
                <w:sz w:val="16"/>
                <w:szCs w:val="20"/>
              </w:rPr>
              <w:t>120 </w:t>
            </w:r>
          </w:p>
        </w:tc>
        <w:tc>
          <w:tcPr>
            <w:tcW w:w="915" w:type="dxa"/>
            <w:tcBorders>
              <w:top w:val="single" w:sz="6" w:space="0" w:color="000000"/>
              <w:left w:val="nil"/>
              <w:bottom w:val="single" w:sz="6" w:space="0" w:color="000000"/>
              <w:right w:val="nil"/>
              <w:tl2br w:val="nil"/>
              <w:tr2bl w:val="nil"/>
            </w:tcBorders>
            <w:shd w:val="clear" w:color="auto" w:fill="FFFF00"/>
            <w:tcMar>
              <w:left w:w="115" w:type="dxa"/>
              <w:right w:w="115" w:type="dxa"/>
            </w:tcMar>
            <w:vAlign w:val="bottom"/>
          </w:tcPr>
          <w:p w14:paraId="68237026" w14:textId="77777777" w:rsidR="003F0EEA" w:rsidRPr="001C6501" w:rsidRDefault="00FB7D0B">
            <w:pPr>
              <w:jc w:val="right"/>
              <w:rPr>
                <w:rFonts w:ascii="Arial" w:eastAsia="Arial" w:hAnsi="Arial" w:cs="Arial"/>
                <w:color w:val="000000"/>
                <w:sz w:val="16"/>
                <w:szCs w:val="20"/>
              </w:rPr>
            </w:pPr>
            <w:r w:rsidRPr="001C6501">
              <w:rPr>
                <w:rFonts w:ascii="Arial" w:eastAsia="Arial" w:hAnsi="Arial" w:cs="Arial"/>
                <w:color w:val="000000"/>
                <w:sz w:val="16"/>
                <w:szCs w:val="20"/>
              </w:rPr>
              <w:t>320 </w:t>
            </w:r>
          </w:p>
        </w:tc>
        <w:tc>
          <w:tcPr>
            <w:tcW w:w="915" w:type="dxa"/>
            <w:tcBorders>
              <w:top w:val="single" w:sz="6" w:space="0" w:color="000000"/>
              <w:left w:val="nil"/>
              <w:bottom w:val="single" w:sz="6" w:space="0" w:color="000000"/>
              <w:right w:val="nil"/>
              <w:tl2br w:val="nil"/>
              <w:tr2bl w:val="nil"/>
            </w:tcBorders>
            <w:shd w:val="clear" w:color="auto" w:fill="FFFFFF"/>
            <w:tcMar>
              <w:left w:w="115" w:type="dxa"/>
              <w:right w:w="115" w:type="dxa"/>
            </w:tcMar>
            <w:vAlign w:val="bottom"/>
          </w:tcPr>
          <w:p w14:paraId="32924456" w14:textId="77777777" w:rsidR="003F0EEA" w:rsidRPr="001C6501" w:rsidRDefault="00FB7D0B">
            <w:pPr>
              <w:jc w:val="right"/>
              <w:rPr>
                <w:rFonts w:ascii="Arial" w:eastAsia="Arial" w:hAnsi="Arial" w:cs="Arial"/>
                <w:color w:val="000000"/>
                <w:sz w:val="16"/>
                <w:szCs w:val="20"/>
              </w:rPr>
            </w:pPr>
            <w:r w:rsidRPr="001C6501">
              <w:rPr>
                <w:rFonts w:ascii="Arial" w:eastAsia="Arial" w:hAnsi="Arial" w:cs="Arial"/>
                <w:color w:val="000000"/>
                <w:sz w:val="16"/>
                <w:szCs w:val="20"/>
              </w:rPr>
              <w:t>120 </w:t>
            </w:r>
          </w:p>
        </w:tc>
        <w:tc>
          <w:tcPr>
            <w:tcW w:w="915" w:type="dxa"/>
            <w:tcBorders>
              <w:top w:val="single" w:sz="6" w:space="0" w:color="000000"/>
              <w:left w:val="nil"/>
              <w:bottom w:val="single" w:sz="6" w:space="0" w:color="000000"/>
              <w:right w:val="nil"/>
              <w:tl2br w:val="nil"/>
              <w:tr2bl w:val="nil"/>
            </w:tcBorders>
            <w:shd w:val="clear" w:color="auto" w:fill="FFFFFF"/>
            <w:tcMar>
              <w:left w:w="115" w:type="dxa"/>
              <w:right w:w="115" w:type="dxa"/>
            </w:tcMar>
            <w:vAlign w:val="bottom"/>
          </w:tcPr>
          <w:p w14:paraId="30546B9D" w14:textId="77777777" w:rsidR="003F0EEA" w:rsidRPr="001C6501" w:rsidRDefault="00FB7D0B">
            <w:pPr>
              <w:jc w:val="right"/>
              <w:rPr>
                <w:rFonts w:ascii="Arial" w:eastAsia="Arial" w:hAnsi="Arial" w:cs="Arial"/>
                <w:color w:val="000000"/>
                <w:sz w:val="16"/>
                <w:szCs w:val="20"/>
              </w:rPr>
            </w:pPr>
            <w:r w:rsidRPr="001C6501">
              <w:rPr>
                <w:rFonts w:ascii="Arial" w:eastAsia="Arial" w:hAnsi="Arial" w:cs="Arial"/>
                <w:color w:val="000000"/>
                <w:sz w:val="16"/>
                <w:szCs w:val="20"/>
              </w:rPr>
              <w:t>120 </w:t>
            </w:r>
          </w:p>
        </w:tc>
        <w:tc>
          <w:tcPr>
            <w:tcW w:w="915" w:type="dxa"/>
            <w:tcBorders>
              <w:top w:val="single" w:sz="6" w:space="0" w:color="000000"/>
              <w:left w:val="nil"/>
              <w:bottom w:val="single" w:sz="6" w:space="0" w:color="000000"/>
              <w:right w:val="nil"/>
              <w:tl2br w:val="nil"/>
              <w:tr2bl w:val="nil"/>
            </w:tcBorders>
            <w:shd w:val="clear" w:color="auto" w:fill="FFFFFF"/>
            <w:tcMar>
              <w:left w:w="115" w:type="dxa"/>
              <w:right w:w="115" w:type="dxa"/>
            </w:tcMar>
            <w:vAlign w:val="bottom"/>
          </w:tcPr>
          <w:p w14:paraId="31B12DBE" w14:textId="77777777" w:rsidR="003F0EEA" w:rsidRPr="001C6501" w:rsidRDefault="00FB7D0B">
            <w:pPr>
              <w:jc w:val="right"/>
              <w:rPr>
                <w:rFonts w:ascii="Arial" w:eastAsia="Arial" w:hAnsi="Arial" w:cs="Arial"/>
                <w:color w:val="000000"/>
                <w:sz w:val="16"/>
                <w:szCs w:val="20"/>
              </w:rPr>
            </w:pPr>
            <w:r w:rsidRPr="001C6501">
              <w:rPr>
                <w:rFonts w:ascii="Arial" w:eastAsia="Arial" w:hAnsi="Arial" w:cs="Arial"/>
                <w:color w:val="000000"/>
                <w:sz w:val="16"/>
                <w:szCs w:val="20"/>
              </w:rPr>
              <w:t>120 </w:t>
            </w:r>
          </w:p>
        </w:tc>
      </w:tr>
      <w:tr w:rsidR="00FB7D0B" w14:paraId="587ECF80" w14:textId="77777777" w:rsidTr="00FB7D0B">
        <w:trPr>
          <w:trHeight w:val="225"/>
        </w:trPr>
        <w:tc>
          <w:tcPr>
            <w:tcW w:w="3060" w:type="dxa"/>
            <w:gridSpan w:val="3"/>
            <w:tcBorders>
              <w:top w:val="nil"/>
              <w:left w:val="nil"/>
              <w:bottom w:val="nil"/>
              <w:right w:val="nil"/>
              <w:tl2br w:val="nil"/>
              <w:tr2bl w:val="nil"/>
            </w:tcBorders>
            <w:shd w:val="clear" w:color="auto" w:fill="FFFFFF"/>
            <w:tcMar>
              <w:left w:w="115" w:type="dxa"/>
              <w:right w:w="115" w:type="dxa"/>
            </w:tcMar>
            <w:vAlign w:val="bottom"/>
          </w:tcPr>
          <w:p w14:paraId="7FB7FA34" w14:textId="77777777" w:rsidR="003F0EEA" w:rsidRPr="001C6501" w:rsidRDefault="00FB7D0B">
            <w:pPr>
              <w:rPr>
                <w:rFonts w:ascii="Arial" w:eastAsia="Arial" w:hAnsi="Arial" w:cs="Arial"/>
                <w:color w:val="000000"/>
                <w:sz w:val="16"/>
                <w:szCs w:val="20"/>
              </w:rPr>
            </w:pPr>
            <w:r w:rsidRPr="001C6501">
              <w:rPr>
                <w:rFonts w:ascii="Arial" w:eastAsia="Arial" w:hAnsi="Arial" w:cs="Arial"/>
                <w:b/>
                <w:color w:val="000000"/>
                <w:sz w:val="16"/>
                <w:szCs w:val="20"/>
              </w:rPr>
              <w:t>Surplus (Deficit) attributable to</w:t>
            </w:r>
          </w:p>
        </w:tc>
        <w:tc>
          <w:tcPr>
            <w:tcW w:w="990"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5006A9FB" w14:textId="77777777" w:rsidR="003F0EEA" w:rsidRPr="001C6501" w:rsidRDefault="003F0EEA">
            <w:pPr>
              <w:jc w:val="right"/>
              <w:rPr>
                <w:rFonts w:ascii="Arial" w:eastAsia="Arial" w:hAnsi="Arial" w:cs="Arial"/>
                <w:b/>
                <w:color w:val="000000"/>
                <w:sz w:val="16"/>
                <w:szCs w:val="20"/>
                <w:vertAlign w:val="superscript"/>
              </w:rPr>
            </w:pPr>
          </w:p>
        </w:tc>
        <w:tc>
          <w:tcPr>
            <w:tcW w:w="915" w:type="dxa"/>
            <w:tcBorders>
              <w:top w:val="single" w:sz="6" w:space="0" w:color="000000"/>
              <w:left w:val="nil"/>
              <w:bottom w:val="nil"/>
              <w:right w:val="nil"/>
              <w:tl2br w:val="nil"/>
              <w:tr2bl w:val="nil"/>
            </w:tcBorders>
            <w:shd w:val="clear" w:color="auto" w:fill="FFFF00"/>
            <w:tcMar>
              <w:left w:w="115" w:type="dxa"/>
              <w:right w:w="115" w:type="dxa"/>
            </w:tcMar>
            <w:vAlign w:val="bottom"/>
          </w:tcPr>
          <w:p w14:paraId="2AB3DD39" w14:textId="77777777" w:rsidR="003F0EEA" w:rsidRPr="001C6501" w:rsidRDefault="003F0EEA">
            <w:pPr>
              <w:jc w:val="right"/>
              <w:rPr>
                <w:rFonts w:ascii="Arial" w:eastAsia="Arial" w:hAnsi="Arial" w:cs="Arial"/>
                <w:color w:val="000000"/>
                <w:sz w:val="16"/>
                <w:szCs w:val="20"/>
                <w:vertAlign w:val="superscript"/>
              </w:rPr>
            </w:pPr>
          </w:p>
        </w:tc>
        <w:tc>
          <w:tcPr>
            <w:tcW w:w="915"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513AA1C8" w14:textId="77777777" w:rsidR="003F0EEA" w:rsidRPr="001C6501" w:rsidRDefault="003F0EEA">
            <w:pPr>
              <w:jc w:val="right"/>
              <w:rPr>
                <w:rFonts w:ascii="Arial" w:eastAsia="Arial" w:hAnsi="Arial" w:cs="Arial"/>
                <w:b/>
                <w:color w:val="000000"/>
                <w:sz w:val="16"/>
                <w:szCs w:val="20"/>
                <w:vertAlign w:val="superscript"/>
              </w:rPr>
            </w:pPr>
          </w:p>
        </w:tc>
        <w:tc>
          <w:tcPr>
            <w:tcW w:w="915"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515D59D6" w14:textId="77777777" w:rsidR="003F0EEA" w:rsidRPr="001C6501" w:rsidRDefault="003F0EEA">
            <w:pPr>
              <w:jc w:val="right"/>
              <w:rPr>
                <w:rFonts w:ascii="Arial" w:eastAsia="Arial" w:hAnsi="Arial" w:cs="Arial"/>
                <w:color w:val="000000"/>
                <w:sz w:val="16"/>
                <w:szCs w:val="20"/>
                <w:vertAlign w:val="superscript"/>
              </w:rPr>
            </w:pPr>
          </w:p>
        </w:tc>
        <w:tc>
          <w:tcPr>
            <w:tcW w:w="915"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054C3AF7" w14:textId="77777777" w:rsidR="003F0EEA" w:rsidRPr="001C6501" w:rsidRDefault="003F0EEA">
            <w:pPr>
              <w:jc w:val="right"/>
              <w:rPr>
                <w:rFonts w:ascii="Arial" w:eastAsia="Arial" w:hAnsi="Arial" w:cs="Arial"/>
                <w:color w:val="000000"/>
                <w:sz w:val="16"/>
                <w:szCs w:val="20"/>
                <w:vertAlign w:val="superscript"/>
              </w:rPr>
            </w:pPr>
          </w:p>
        </w:tc>
      </w:tr>
      <w:tr w:rsidR="00FB7D0B" w14:paraId="6C746DC6" w14:textId="77777777" w:rsidTr="00FB7D0B">
        <w:trPr>
          <w:trHeight w:val="225"/>
        </w:trPr>
        <w:tc>
          <w:tcPr>
            <w:tcW w:w="180" w:type="dxa"/>
            <w:tcBorders>
              <w:top w:val="nil"/>
              <w:left w:val="nil"/>
              <w:bottom w:val="nil"/>
              <w:right w:val="nil"/>
              <w:tl2br w:val="nil"/>
              <w:tr2bl w:val="nil"/>
            </w:tcBorders>
            <w:shd w:val="clear" w:color="auto" w:fill="FFFFFF"/>
            <w:tcMar>
              <w:left w:w="115" w:type="dxa"/>
              <w:right w:w="115" w:type="dxa"/>
            </w:tcMar>
            <w:vAlign w:val="bottom"/>
          </w:tcPr>
          <w:p w14:paraId="13EB3D11" w14:textId="77777777" w:rsidR="003F0EEA" w:rsidRPr="001C6501" w:rsidRDefault="003F0EEA">
            <w:pPr>
              <w:rPr>
                <w:rFonts w:ascii="Arial" w:eastAsia="Arial" w:hAnsi="Arial" w:cs="Arial"/>
                <w:color w:val="000000"/>
                <w:sz w:val="16"/>
                <w:szCs w:val="20"/>
                <w:vertAlign w:val="superscript"/>
              </w:rPr>
            </w:pPr>
          </w:p>
        </w:tc>
        <w:tc>
          <w:tcPr>
            <w:tcW w:w="2880" w:type="dxa"/>
            <w:gridSpan w:val="2"/>
            <w:tcBorders>
              <w:top w:val="nil"/>
              <w:left w:val="nil"/>
              <w:bottom w:val="nil"/>
              <w:right w:val="nil"/>
              <w:tl2br w:val="nil"/>
              <w:tr2bl w:val="nil"/>
            </w:tcBorders>
            <w:shd w:val="clear" w:color="auto" w:fill="FFFFFF"/>
            <w:tcMar>
              <w:left w:w="115" w:type="dxa"/>
              <w:right w:w="115" w:type="dxa"/>
            </w:tcMar>
            <w:vAlign w:val="bottom"/>
          </w:tcPr>
          <w:p w14:paraId="4292674E" w14:textId="77777777" w:rsidR="003F0EEA" w:rsidRPr="001C6501" w:rsidRDefault="00FB7D0B">
            <w:pPr>
              <w:rPr>
                <w:rFonts w:ascii="Arial" w:eastAsia="Arial" w:hAnsi="Arial" w:cs="Arial"/>
                <w:color w:val="000000"/>
                <w:sz w:val="16"/>
                <w:szCs w:val="20"/>
                <w:vertAlign w:val="superscript"/>
              </w:rPr>
            </w:pPr>
            <w:r w:rsidRPr="001C6501">
              <w:rPr>
                <w:rFonts w:ascii="Arial" w:eastAsia="Arial" w:hAnsi="Arial" w:cs="Arial"/>
                <w:b/>
                <w:color w:val="000000"/>
                <w:sz w:val="16"/>
                <w:szCs w:val="20"/>
              </w:rPr>
              <w:t>the Australian Government</w:t>
            </w:r>
          </w:p>
        </w:tc>
        <w:tc>
          <w:tcPr>
            <w:tcW w:w="990"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0591E2AC" w14:textId="77777777" w:rsidR="003F0EEA" w:rsidRPr="001C6501" w:rsidRDefault="00FB7D0B">
            <w:pPr>
              <w:jc w:val="right"/>
              <w:rPr>
                <w:rFonts w:ascii="Arial" w:eastAsia="Arial" w:hAnsi="Arial" w:cs="Arial"/>
                <w:b/>
                <w:color w:val="000000"/>
                <w:sz w:val="16"/>
                <w:szCs w:val="20"/>
                <w:vertAlign w:val="superscript"/>
              </w:rPr>
            </w:pPr>
            <w:r w:rsidRPr="001C6501">
              <w:rPr>
                <w:rFonts w:ascii="Arial" w:eastAsia="Arial" w:hAnsi="Arial" w:cs="Arial"/>
                <w:b/>
                <w:color w:val="000000"/>
                <w:sz w:val="16"/>
                <w:szCs w:val="20"/>
              </w:rPr>
              <w:t>2,332 </w:t>
            </w:r>
          </w:p>
        </w:tc>
        <w:tc>
          <w:tcPr>
            <w:tcW w:w="915" w:type="dxa"/>
            <w:tcBorders>
              <w:top w:val="nil"/>
              <w:left w:val="nil"/>
              <w:bottom w:val="single" w:sz="6" w:space="0" w:color="000000"/>
              <w:right w:val="nil"/>
              <w:tl2br w:val="nil"/>
              <w:tr2bl w:val="nil"/>
            </w:tcBorders>
            <w:shd w:val="clear" w:color="auto" w:fill="FFFF00"/>
            <w:tcMar>
              <w:left w:w="115" w:type="dxa"/>
              <w:right w:w="115" w:type="dxa"/>
            </w:tcMar>
            <w:vAlign w:val="bottom"/>
          </w:tcPr>
          <w:p w14:paraId="48B190F6" w14:textId="77777777" w:rsidR="003F0EEA" w:rsidRPr="001C6501" w:rsidRDefault="00FB7D0B">
            <w:pPr>
              <w:jc w:val="right"/>
              <w:rPr>
                <w:rFonts w:ascii="Arial" w:eastAsia="Arial" w:hAnsi="Arial" w:cs="Arial"/>
                <w:b/>
                <w:color w:val="000000"/>
                <w:sz w:val="16"/>
                <w:szCs w:val="20"/>
              </w:rPr>
            </w:pPr>
            <w:r w:rsidRPr="001C6501">
              <w:rPr>
                <w:rFonts w:ascii="Arial" w:eastAsia="Arial" w:hAnsi="Arial" w:cs="Arial"/>
                <w:b/>
                <w:color w:val="000000"/>
                <w:sz w:val="16"/>
                <w:szCs w:val="20"/>
              </w:rPr>
              <w:t>3,429 </w:t>
            </w:r>
          </w:p>
        </w:tc>
        <w:tc>
          <w:tcPr>
            <w:tcW w:w="915"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5F131B36" w14:textId="77777777" w:rsidR="003F0EEA" w:rsidRPr="001C6501" w:rsidRDefault="00FB7D0B">
            <w:pPr>
              <w:jc w:val="right"/>
              <w:rPr>
                <w:rFonts w:ascii="Arial" w:eastAsia="Arial" w:hAnsi="Arial" w:cs="Arial"/>
                <w:b/>
                <w:color w:val="000000"/>
                <w:sz w:val="16"/>
                <w:szCs w:val="20"/>
              </w:rPr>
            </w:pPr>
            <w:r w:rsidRPr="001C6501">
              <w:rPr>
                <w:rFonts w:ascii="Arial" w:eastAsia="Arial" w:hAnsi="Arial" w:cs="Arial"/>
                <w:b/>
                <w:color w:val="000000"/>
                <w:sz w:val="16"/>
                <w:szCs w:val="20"/>
              </w:rPr>
              <w:t>4,790 </w:t>
            </w:r>
          </w:p>
        </w:tc>
        <w:tc>
          <w:tcPr>
            <w:tcW w:w="915"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7B07CB64" w14:textId="77777777" w:rsidR="003F0EEA" w:rsidRPr="001C6501" w:rsidRDefault="00FB7D0B">
            <w:pPr>
              <w:jc w:val="right"/>
              <w:rPr>
                <w:rFonts w:ascii="Arial" w:eastAsia="Arial" w:hAnsi="Arial" w:cs="Arial"/>
                <w:b/>
                <w:color w:val="000000"/>
                <w:sz w:val="16"/>
                <w:szCs w:val="20"/>
              </w:rPr>
            </w:pPr>
            <w:r w:rsidRPr="001C6501">
              <w:rPr>
                <w:rFonts w:ascii="Arial" w:eastAsia="Arial" w:hAnsi="Arial" w:cs="Arial"/>
                <w:b/>
                <w:color w:val="000000"/>
                <w:sz w:val="16"/>
                <w:szCs w:val="20"/>
              </w:rPr>
              <w:t>6,370 </w:t>
            </w:r>
          </w:p>
        </w:tc>
        <w:tc>
          <w:tcPr>
            <w:tcW w:w="915"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7512C74B" w14:textId="77777777" w:rsidR="003F0EEA" w:rsidRPr="001C6501" w:rsidRDefault="00FB7D0B">
            <w:pPr>
              <w:jc w:val="right"/>
              <w:rPr>
                <w:rFonts w:ascii="Arial" w:eastAsia="Arial" w:hAnsi="Arial" w:cs="Arial"/>
                <w:b/>
                <w:color w:val="000000"/>
                <w:sz w:val="16"/>
                <w:szCs w:val="20"/>
              </w:rPr>
            </w:pPr>
            <w:r w:rsidRPr="001C6501">
              <w:rPr>
                <w:rFonts w:ascii="Arial" w:eastAsia="Arial" w:hAnsi="Arial" w:cs="Arial"/>
                <w:b/>
                <w:color w:val="000000"/>
                <w:sz w:val="16"/>
                <w:szCs w:val="20"/>
              </w:rPr>
              <w:t>8,194 </w:t>
            </w:r>
          </w:p>
        </w:tc>
      </w:tr>
      <w:tr w:rsidR="00724034" w14:paraId="27FE764E" w14:textId="77777777">
        <w:trPr>
          <w:trHeight w:val="225"/>
        </w:trPr>
        <w:tc>
          <w:tcPr>
            <w:tcW w:w="180" w:type="dxa"/>
            <w:tcBorders>
              <w:top w:val="nil"/>
              <w:left w:val="nil"/>
              <w:bottom w:val="nil"/>
              <w:right w:val="nil"/>
              <w:tl2br w:val="nil"/>
              <w:tr2bl w:val="nil"/>
            </w:tcBorders>
            <w:shd w:val="clear" w:color="auto" w:fill="FFFFFF"/>
            <w:tcMar>
              <w:left w:w="115" w:type="dxa"/>
              <w:right w:w="115" w:type="dxa"/>
            </w:tcMar>
            <w:vAlign w:val="bottom"/>
          </w:tcPr>
          <w:p w14:paraId="49A42390" w14:textId="77777777" w:rsidR="003F0EEA" w:rsidRPr="001C6501" w:rsidRDefault="003F0EEA">
            <w:pPr>
              <w:rPr>
                <w:rFonts w:ascii="Arial" w:eastAsia="Arial" w:hAnsi="Arial" w:cs="Arial"/>
                <w:b/>
                <w:color w:val="000000"/>
                <w:sz w:val="16"/>
                <w:szCs w:val="20"/>
              </w:rPr>
            </w:pPr>
          </w:p>
        </w:tc>
        <w:tc>
          <w:tcPr>
            <w:tcW w:w="180" w:type="dxa"/>
            <w:tcBorders>
              <w:top w:val="nil"/>
              <w:left w:val="nil"/>
              <w:bottom w:val="nil"/>
              <w:right w:val="nil"/>
              <w:tl2br w:val="nil"/>
              <w:tr2bl w:val="nil"/>
            </w:tcBorders>
            <w:shd w:val="clear" w:color="auto" w:fill="FFFFFF"/>
            <w:tcMar>
              <w:left w:w="115" w:type="dxa"/>
              <w:right w:w="115" w:type="dxa"/>
            </w:tcMar>
            <w:vAlign w:val="bottom"/>
          </w:tcPr>
          <w:p w14:paraId="38F53509" w14:textId="77777777" w:rsidR="003F0EEA" w:rsidRPr="001C6501" w:rsidRDefault="003F0EEA">
            <w:pPr>
              <w:rPr>
                <w:rFonts w:ascii="Arial" w:eastAsia="Arial" w:hAnsi="Arial" w:cs="Arial"/>
                <w:color w:val="000000"/>
                <w:sz w:val="16"/>
                <w:szCs w:val="20"/>
              </w:rPr>
            </w:pPr>
          </w:p>
        </w:tc>
        <w:tc>
          <w:tcPr>
            <w:tcW w:w="2700" w:type="dxa"/>
            <w:tcBorders>
              <w:top w:val="nil"/>
              <w:left w:val="nil"/>
              <w:bottom w:val="nil"/>
              <w:right w:val="nil"/>
              <w:tl2br w:val="nil"/>
              <w:tr2bl w:val="nil"/>
            </w:tcBorders>
            <w:shd w:val="clear" w:color="auto" w:fill="FFFFFF"/>
            <w:tcMar>
              <w:left w:w="115" w:type="dxa"/>
              <w:right w:w="115" w:type="dxa"/>
            </w:tcMar>
            <w:vAlign w:val="bottom"/>
          </w:tcPr>
          <w:p w14:paraId="32007F6D" w14:textId="77777777" w:rsidR="003F0EEA" w:rsidRPr="001C6501" w:rsidRDefault="003F0EEA">
            <w:pPr>
              <w:rPr>
                <w:rFonts w:ascii="Arial" w:eastAsia="Arial" w:hAnsi="Arial" w:cs="Arial"/>
                <w:color w:val="000000"/>
                <w:sz w:val="16"/>
                <w:szCs w:val="20"/>
              </w:rPr>
            </w:pPr>
          </w:p>
        </w:tc>
        <w:tc>
          <w:tcPr>
            <w:tcW w:w="990"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58253450" w14:textId="77777777" w:rsidR="003F0EEA" w:rsidRPr="001C6501" w:rsidRDefault="003F0EEA">
            <w:pPr>
              <w:rPr>
                <w:rFonts w:ascii="Arial" w:eastAsia="Arial" w:hAnsi="Arial" w:cs="Arial"/>
                <w:b/>
                <w:color w:val="000000"/>
                <w:sz w:val="16"/>
                <w:szCs w:val="20"/>
                <w:vertAlign w:val="superscript"/>
              </w:rPr>
            </w:pPr>
          </w:p>
        </w:tc>
        <w:tc>
          <w:tcPr>
            <w:tcW w:w="915" w:type="dxa"/>
            <w:tcBorders>
              <w:top w:val="single" w:sz="6" w:space="0" w:color="000000"/>
              <w:left w:val="nil"/>
              <w:bottom w:val="nil"/>
              <w:right w:val="nil"/>
              <w:tl2br w:val="nil"/>
              <w:tr2bl w:val="nil"/>
            </w:tcBorders>
            <w:shd w:val="clear" w:color="auto" w:fill="FFFF00"/>
            <w:tcMar>
              <w:left w:w="115" w:type="dxa"/>
              <w:right w:w="115" w:type="dxa"/>
            </w:tcMar>
            <w:vAlign w:val="bottom"/>
          </w:tcPr>
          <w:p w14:paraId="2654D85A" w14:textId="77777777" w:rsidR="003F0EEA" w:rsidRPr="001C6501" w:rsidRDefault="003F0EEA">
            <w:pPr>
              <w:rPr>
                <w:rFonts w:ascii="Arial" w:eastAsia="Arial" w:hAnsi="Arial" w:cs="Arial"/>
                <w:b/>
                <w:color w:val="000000"/>
                <w:sz w:val="16"/>
                <w:szCs w:val="20"/>
                <w:vertAlign w:val="superscript"/>
              </w:rPr>
            </w:pPr>
          </w:p>
        </w:tc>
        <w:tc>
          <w:tcPr>
            <w:tcW w:w="915"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1FFCAEC4" w14:textId="77777777" w:rsidR="003F0EEA" w:rsidRPr="001C6501" w:rsidRDefault="003F0EEA">
            <w:pPr>
              <w:rPr>
                <w:rFonts w:ascii="Arial" w:eastAsia="Arial" w:hAnsi="Arial" w:cs="Arial"/>
                <w:b/>
                <w:color w:val="000000"/>
                <w:sz w:val="16"/>
                <w:szCs w:val="20"/>
                <w:vertAlign w:val="superscript"/>
              </w:rPr>
            </w:pPr>
          </w:p>
        </w:tc>
        <w:tc>
          <w:tcPr>
            <w:tcW w:w="915"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3BC96647" w14:textId="77777777" w:rsidR="003F0EEA" w:rsidRPr="001C6501" w:rsidRDefault="003F0EEA">
            <w:pPr>
              <w:rPr>
                <w:rFonts w:ascii="Arial" w:eastAsia="Arial" w:hAnsi="Arial" w:cs="Arial"/>
                <w:b/>
                <w:color w:val="000000"/>
                <w:sz w:val="16"/>
                <w:szCs w:val="20"/>
                <w:vertAlign w:val="superscript"/>
              </w:rPr>
            </w:pPr>
          </w:p>
        </w:tc>
        <w:tc>
          <w:tcPr>
            <w:tcW w:w="915"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386579CD" w14:textId="77777777" w:rsidR="003F0EEA" w:rsidRPr="001C6501" w:rsidRDefault="003F0EEA">
            <w:pPr>
              <w:rPr>
                <w:rFonts w:ascii="Arial" w:eastAsia="Arial" w:hAnsi="Arial" w:cs="Arial"/>
                <w:b/>
                <w:color w:val="000000"/>
                <w:sz w:val="16"/>
                <w:szCs w:val="20"/>
                <w:vertAlign w:val="superscript"/>
              </w:rPr>
            </w:pPr>
          </w:p>
        </w:tc>
      </w:tr>
      <w:tr w:rsidR="00FB7D0B" w14:paraId="16ACA16D" w14:textId="77777777" w:rsidTr="00FB7D0B">
        <w:trPr>
          <w:trHeight w:val="225"/>
        </w:trPr>
        <w:tc>
          <w:tcPr>
            <w:tcW w:w="3060" w:type="dxa"/>
            <w:gridSpan w:val="3"/>
            <w:tcBorders>
              <w:top w:val="nil"/>
              <w:left w:val="nil"/>
              <w:bottom w:val="nil"/>
              <w:right w:val="nil"/>
              <w:tl2br w:val="nil"/>
              <w:tr2bl w:val="nil"/>
            </w:tcBorders>
            <w:shd w:val="clear" w:color="auto" w:fill="FFFFFF"/>
            <w:tcMar>
              <w:left w:w="115" w:type="dxa"/>
              <w:right w:w="115" w:type="dxa"/>
            </w:tcMar>
            <w:vAlign w:val="bottom"/>
          </w:tcPr>
          <w:p w14:paraId="680D5717" w14:textId="77777777" w:rsidR="003F0EEA" w:rsidRPr="001C6501" w:rsidRDefault="00FB7D0B">
            <w:pPr>
              <w:rPr>
                <w:rFonts w:ascii="Arial" w:eastAsia="Arial" w:hAnsi="Arial" w:cs="Arial"/>
                <w:b/>
                <w:color w:val="000000"/>
                <w:sz w:val="16"/>
                <w:szCs w:val="20"/>
                <w:vertAlign w:val="superscript"/>
              </w:rPr>
            </w:pPr>
            <w:r w:rsidRPr="001C6501">
              <w:rPr>
                <w:rFonts w:ascii="Arial" w:eastAsia="Arial" w:hAnsi="Arial" w:cs="Arial"/>
                <w:b/>
                <w:color w:val="000000"/>
                <w:sz w:val="16"/>
                <w:szCs w:val="20"/>
              </w:rPr>
              <w:t>Total comprehensive income (loss)</w:t>
            </w:r>
          </w:p>
        </w:tc>
        <w:tc>
          <w:tcPr>
            <w:tcW w:w="990" w:type="dxa"/>
            <w:tcBorders>
              <w:top w:val="nil"/>
              <w:left w:val="nil"/>
              <w:bottom w:val="nil"/>
              <w:right w:val="nil"/>
              <w:tl2br w:val="nil"/>
              <w:tr2bl w:val="nil"/>
            </w:tcBorders>
            <w:shd w:val="clear" w:color="auto" w:fill="FFFFFF"/>
            <w:tcMar>
              <w:left w:w="115" w:type="dxa"/>
              <w:right w:w="115" w:type="dxa"/>
            </w:tcMar>
            <w:vAlign w:val="bottom"/>
          </w:tcPr>
          <w:p w14:paraId="62D2F581" w14:textId="77777777" w:rsidR="003F0EEA" w:rsidRPr="001C6501" w:rsidRDefault="003F0EEA">
            <w:pPr>
              <w:rPr>
                <w:rFonts w:ascii="Arial" w:eastAsia="Arial" w:hAnsi="Arial" w:cs="Arial"/>
                <w:b/>
                <w:color w:val="000000"/>
                <w:sz w:val="16"/>
                <w:szCs w:val="20"/>
                <w:vertAlign w:val="superscript"/>
              </w:rPr>
            </w:pPr>
          </w:p>
        </w:tc>
        <w:tc>
          <w:tcPr>
            <w:tcW w:w="915" w:type="dxa"/>
            <w:tcBorders>
              <w:top w:val="nil"/>
              <w:left w:val="nil"/>
              <w:bottom w:val="nil"/>
              <w:right w:val="nil"/>
              <w:tl2br w:val="nil"/>
              <w:tr2bl w:val="nil"/>
            </w:tcBorders>
            <w:shd w:val="clear" w:color="auto" w:fill="FFFF00"/>
            <w:tcMar>
              <w:left w:w="115" w:type="dxa"/>
              <w:right w:w="115" w:type="dxa"/>
            </w:tcMar>
            <w:vAlign w:val="bottom"/>
          </w:tcPr>
          <w:p w14:paraId="52214222" w14:textId="77777777" w:rsidR="003F0EEA" w:rsidRPr="001C6501" w:rsidRDefault="003F0EEA">
            <w:pPr>
              <w:rPr>
                <w:rFonts w:ascii="Arial" w:eastAsia="Arial" w:hAnsi="Arial" w:cs="Arial"/>
                <w:b/>
                <w:color w:val="000000"/>
                <w:sz w:val="16"/>
                <w:szCs w:val="20"/>
                <w:vertAlign w:val="superscript"/>
              </w:rPr>
            </w:pPr>
          </w:p>
        </w:tc>
        <w:tc>
          <w:tcPr>
            <w:tcW w:w="915" w:type="dxa"/>
            <w:tcBorders>
              <w:top w:val="nil"/>
              <w:left w:val="nil"/>
              <w:bottom w:val="nil"/>
              <w:right w:val="nil"/>
              <w:tl2br w:val="nil"/>
              <w:tr2bl w:val="nil"/>
            </w:tcBorders>
            <w:shd w:val="clear" w:color="auto" w:fill="FFFFFF"/>
            <w:tcMar>
              <w:left w:w="115" w:type="dxa"/>
              <w:right w:w="115" w:type="dxa"/>
            </w:tcMar>
            <w:vAlign w:val="bottom"/>
          </w:tcPr>
          <w:p w14:paraId="60F2FE3F" w14:textId="77777777" w:rsidR="003F0EEA" w:rsidRPr="001C6501" w:rsidRDefault="003F0EEA">
            <w:pPr>
              <w:rPr>
                <w:rFonts w:ascii="Arial" w:eastAsia="Arial" w:hAnsi="Arial" w:cs="Arial"/>
                <w:b/>
                <w:color w:val="000000"/>
                <w:sz w:val="16"/>
                <w:szCs w:val="20"/>
                <w:vertAlign w:val="superscript"/>
              </w:rPr>
            </w:pPr>
          </w:p>
        </w:tc>
        <w:tc>
          <w:tcPr>
            <w:tcW w:w="915" w:type="dxa"/>
            <w:tcBorders>
              <w:top w:val="nil"/>
              <w:left w:val="nil"/>
              <w:bottom w:val="nil"/>
              <w:right w:val="nil"/>
              <w:tl2br w:val="nil"/>
              <w:tr2bl w:val="nil"/>
            </w:tcBorders>
            <w:shd w:val="clear" w:color="auto" w:fill="FFFFFF"/>
            <w:tcMar>
              <w:left w:w="115" w:type="dxa"/>
              <w:right w:w="115" w:type="dxa"/>
            </w:tcMar>
            <w:vAlign w:val="bottom"/>
          </w:tcPr>
          <w:p w14:paraId="6510A64E" w14:textId="77777777" w:rsidR="003F0EEA" w:rsidRPr="001C6501" w:rsidRDefault="003F0EEA">
            <w:pPr>
              <w:rPr>
                <w:rFonts w:ascii="Arial" w:eastAsia="Arial" w:hAnsi="Arial" w:cs="Arial"/>
                <w:b/>
                <w:color w:val="000000"/>
                <w:sz w:val="16"/>
                <w:szCs w:val="20"/>
                <w:vertAlign w:val="superscript"/>
              </w:rPr>
            </w:pPr>
          </w:p>
        </w:tc>
        <w:tc>
          <w:tcPr>
            <w:tcW w:w="915" w:type="dxa"/>
            <w:tcBorders>
              <w:top w:val="nil"/>
              <w:left w:val="nil"/>
              <w:bottom w:val="nil"/>
              <w:right w:val="nil"/>
              <w:tl2br w:val="nil"/>
              <w:tr2bl w:val="nil"/>
            </w:tcBorders>
            <w:shd w:val="clear" w:color="auto" w:fill="FFFFFF"/>
            <w:tcMar>
              <w:left w:w="115" w:type="dxa"/>
              <w:right w:w="115" w:type="dxa"/>
            </w:tcMar>
            <w:vAlign w:val="bottom"/>
          </w:tcPr>
          <w:p w14:paraId="4AC8DBFF" w14:textId="77777777" w:rsidR="003F0EEA" w:rsidRPr="001C6501" w:rsidRDefault="003F0EEA">
            <w:pPr>
              <w:rPr>
                <w:rFonts w:ascii="Arial" w:eastAsia="Arial" w:hAnsi="Arial" w:cs="Arial"/>
                <w:b/>
                <w:color w:val="000000"/>
                <w:sz w:val="16"/>
                <w:szCs w:val="20"/>
                <w:vertAlign w:val="superscript"/>
              </w:rPr>
            </w:pPr>
          </w:p>
        </w:tc>
      </w:tr>
      <w:tr w:rsidR="00FB7D0B" w14:paraId="506999CD" w14:textId="77777777" w:rsidTr="00FB7D0B">
        <w:trPr>
          <w:trHeight w:val="225"/>
        </w:trPr>
        <w:tc>
          <w:tcPr>
            <w:tcW w:w="180" w:type="dxa"/>
            <w:tcBorders>
              <w:top w:val="nil"/>
              <w:left w:val="nil"/>
              <w:bottom w:val="nil"/>
              <w:right w:val="nil"/>
              <w:tl2br w:val="nil"/>
              <w:tr2bl w:val="nil"/>
            </w:tcBorders>
            <w:shd w:val="clear" w:color="auto" w:fill="FFFFFF"/>
            <w:tcMar>
              <w:left w:w="115" w:type="dxa"/>
              <w:right w:w="115" w:type="dxa"/>
            </w:tcMar>
            <w:vAlign w:val="bottom"/>
          </w:tcPr>
          <w:p w14:paraId="77B999A0" w14:textId="77777777" w:rsidR="003F0EEA" w:rsidRPr="001C6501" w:rsidRDefault="003F0EEA">
            <w:pPr>
              <w:rPr>
                <w:rFonts w:ascii="Arial" w:eastAsia="Arial" w:hAnsi="Arial" w:cs="Arial"/>
                <w:b/>
                <w:color w:val="000000"/>
                <w:sz w:val="16"/>
                <w:szCs w:val="20"/>
                <w:vertAlign w:val="superscript"/>
              </w:rPr>
            </w:pPr>
          </w:p>
        </w:tc>
        <w:tc>
          <w:tcPr>
            <w:tcW w:w="2880" w:type="dxa"/>
            <w:gridSpan w:val="2"/>
            <w:tcBorders>
              <w:top w:val="nil"/>
              <w:left w:val="nil"/>
              <w:bottom w:val="nil"/>
              <w:right w:val="nil"/>
              <w:tl2br w:val="nil"/>
              <w:tr2bl w:val="nil"/>
            </w:tcBorders>
            <w:shd w:val="clear" w:color="auto" w:fill="FFFFFF"/>
            <w:tcMar>
              <w:left w:w="115" w:type="dxa"/>
              <w:right w:w="115" w:type="dxa"/>
            </w:tcMar>
            <w:vAlign w:val="bottom"/>
          </w:tcPr>
          <w:p w14:paraId="264796D2" w14:textId="77777777" w:rsidR="003F0EEA" w:rsidRPr="001C6501" w:rsidRDefault="00FB7D0B">
            <w:pPr>
              <w:rPr>
                <w:rFonts w:ascii="Arial" w:eastAsia="Arial" w:hAnsi="Arial" w:cs="Arial"/>
                <w:color w:val="000000"/>
                <w:sz w:val="16"/>
                <w:szCs w:val="20"/>
                <w:vertAlign w:val="superscript"/>
              </w:rPr>
            </w:pPr>
            <w:r w:rsidRPr="001C6501">
              <w:rPr>
                <w:rFonts w:ascii="Arial" w:eastAsia="Arial" w:hAnsi="Arial" w:cs="Arial"/>
                <w:b/>
                <w:color w:val="000000"/>
                <w:sz w:val="16"/>
                <w:szCs w:val="20"/>
              </w:rPr>
              <w:t>attributable to the</w:t>
            </w:r>
          </w:p>
        </w:tc>
        <w:tc>
          <w:tcPr>
            <w:tcW w:w="990" w:type="dxa"/>
            <w:tcBorders>
              <w:top w:val="nil"/>
              <w:left w:val="nil"/>
              <w:bottom w:val="nil"/>
              <w:right w:val="nil"/>
              <w:tl2br w:val="nil"/>
              <w:tr2bl w:val="nil"/>
            </w:tcBorders>
            <w:shd w:val="clear" w:color="auto" w:fill="FFFFFF"/>
            <w:tcMar>
              <w:left w:w="115" w:type="dxa"/>
              <w:right w:w="115" w:type="dxa"/>
            </w:tcMar>
            <w:vAlign w:val="bottom"/>
          </w:tcPr>
          <w:p w14:paraId="2371CE55" w14:textId="77777777" w:rsidR="003F0EEA" w:rsidRPr="001C6501" w:rsidRDefault="003F0EEA">
            <w:pPr>
              <w:rPr>
                <w:rFonts w:ascii="Arial" w:eastAsia="Arial" w:hAnsi="Arial" w:cs="Arial"/>
                <w:b/>
                <w:color w:val="000000"/>
                <w:sz w:val="16"/>
                <w:szCs w:val="20"/>
                <w:vertAlign w:val="superscript"/>
              </w:rPr>
            </w:pPr>
          </w:p>
        </w:tc>
        <w:tc>
          <w:tcPr>
            <w:tcW w:w="915" w:type="dxa"/>
            <w:tcBorders>
              <w:top w:val="nil"/>
              <w:left w:val="nil"/>
              <w:bottom w:val="nil"/>
              <w:right w:val="nil"/>
              <w:tl2br w:val="nil"/>
              <w:tr2bl w:val="nil"/>
            </w:tcBorders>
            <w:shd w:val="clear" w:color="auto" w:fill="FFFF00"/>
            <w:tcMar>
              <w:left w:w="115" w:type="dxa"/>
              <w:right w:w="115" w:type="dxa"/>
            </w:tcMar>
            <w:vAlign w:val="bottom"/>
          </w:tcPr>
          <w:p w14:paraId="600556C3" w14:textId="77777777" w:rsidR="003F0EEA" w:rsidRPr="001C6501" w:rsidRDefault="003F0EEA">
            <w:pPr>
              <w:rPr>
                <w:rFonts w:ascii="Arial" w:eastAsia="Arial" w:hAnsi="Arial" w:cs="Arial"/>
                <w:b/>
                <w:color w:val="000000"/>
                <w:sz w:val="16"/>
                <w:szCs w:val="20"/>
                <w:vertAlign w:val="superscript"/>
              </w:rPr>
            </w:pPr>
          </w:p>
        </w:tc>
        <w:tc>
          <w:tcPr>
            <w:tcW w:w="915" w:type="dxa"/>
            <w:tcBorders>
              <w:top w:val="nil"/>
              <w:left w:val="nil"/>
              <w:bottom w:val="nil"/>
              <w:right w:val="nil"/>
              <w:tl2br w:val="nil"/>
              <w:tr2bl w:val="nil"/>
            </w:tcBorders>
            <w:shd w:val="clear" w:color="auto" w:fill="FFFFFF"/>
            <w:tcMar>
              <w:left w:w="115" w:type="dxa"/>
              <w:right w:w="115" w:type="dxa"/>
            </w:tcMar>
            <w:vAlign w:val="bottom"/>
          </w:tcPr>
          <w:p w14:paraId="47DE6668" w14:textId="77777777" w:rsidR="003F0EEA" w:rsidRPr="001C6501" w:rsidRDefault="003F0EEA">
            <w:pPr>
              <w:rPr>
                <w:rFonts w:ascii="Arial" w:eastAsia="Arial" w:hAnsi="Arial" w:cs="Arial"/>
                <w:b/>
                <w:color w:val="000000"/>
                <w:sz w:val="16"/>
                <w:szCs w:val="20"/>
                <w:vertAlign w:val="superscript"/>
              </w:rPr>
            </w:pPr>
          </w:p>
        </w:tc>
        <w:tc>
          <w:tcPr>
            <w:tcW w:w="915" w:type="dxa"/>
            <w:tcBorders>
              <w:top w:val="nil"/>
              <w:left w:val="nil"/>
              <w:bottom w:val="nil"/>
              <w:right w:val="nil"/>
              <w:tl2br w:val="nil"/>
              <w:tr2bl w:val="nil"/>
            </w:tcBorders>
            <w:shd w:val="clear" w:color="auto" w:fill="FFFFFF"/>
            <w:tcMar>
              <w:left w:w="115" w:type="dxa"/>
              <w:right w:w="115" w:type="dxa"/>
            </w:tcMar>
            <w:vAlign w:val="bottom"/>
          </w:tcPr>
          <w:p w14:paraId="3A0B8F61" w14:textId="77777777" w:rsidR="003F0EEA" w:rsidRPr="001C6501" w:rsidRDefault="003F0EEA">
            <w:pPr>
              <w:rPr>
                <w:rFonts w:ascii="Arial" w:eastAsia="Arial" w:hAnsi="Arial" w:cs="Arial"/>
                <w:b/>
                <w:color w:val="000000"/>
                <w:sz w:val="16"/>
                <w:szCs w:val="20"/>
                <w:vertAlign w:val="superscript"/>
              </w:rPr>
            </w:pPr>
          </w:p>
        </w:tc>
        <w:tc>
          <w:tcPr>
            <w:tcW w:w="915" w:type="dxa"/>
            <w:tcBorders>
              <w:top w:val="nil"/>
              <w:left w:val="nil"/>
              <w:bottom w:val="nil"/>
              <w:right w:val="nil"/>
              <w:tl2br w:val="nil"/>
              <w:tr2bl w:val="nil"/>
            </w:tcBorders>
            <w:shd w:val="clear" w:color="auto" w:fill="FFFFFF"/>
            <w:tcMar>
              <w:left w:w="115" w:type="dxa"/>
              <w:right w:w="115" w:type="dxa"/>
            </w:tcMar>
            <w:vAlign w:val="bottom"/>
          </w:tcPr>
          <w:p w14:paraId="68884FC8" w14:textId="77777777" w:rsidR="003F0EEA" w:rsidRPr="001C6501" w:rsidRDefault="003F0EEA">
            <w:pPr>
              <w:rPr>
                <w:rFonts w:ascii="Arial" w:eastAsia="Arial" w:hAnsi="Arial" w:cs="Arial"/>
                <w:b/>
                <w:color w:val="000000"/>
                <w:sz w:val="16"/>
                <w:szCs w:val="20"/>
                <w:vertAlign w:val="superscript"/>
              </w:rPr>
            </w:pPr>
          </w:p>
        </w:tc>
      </w:tr>
      <w:tr w:rsidR="00FB7D0B" w14:paraId="1D892482" w14:textId="77777777" w:rsidTr="00FB7D0B">
        <w:trPr>
          <w:trHeight w:val="225"/>
        </w:trPr>
        <w:tc>
          <w:tcPr>
            <w:tcW w:w="180"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7E3E27C2" w14:textId="77777777" w:rsidR="003F0EEA" w:rsidRPr="001C6501" w:rsidRDefault="003F0EEA">
            <w:pPr>
              <w:rPr>
                <w:rFonts w:ascii="Arial" w:eastAsia="Arial" w:hAnsi="Arial" w:cs="Arial"/>
                <w:b/>
                <w:color w:val="000000"/>
                <w:sz w:val="16"/>
                <w:szCs w:val="20"/>
                <w:vertAlign w:val="superscript"/>
              </w:rPr>
            </w:pPr>
          </w:p>
        </w:tc>
        <w:tc>
          <w:tcPr>
            <w:tcW w:w="2880" w:type="dxa"/>
            <w:gridSpan w:val="2"/>
            <w:tcBorders>
              <w:top w:val="nil"/>
              <w:left w:val="nil"/>
              <w:bottom w:val="single" w:sz="6" w:space="0" w:color="000000"/>
              <w:right w:val="nil"/>
              <w:tl2br w:val="nil"/>
              <w:tr2bl w:val="nil"/>
            </w:tcBorders>
            <w:shd w:val="clear" w:color="auto" w:fill="FFFFFF"/>
            <w:tcMar>
              <w:left w:w="115" w:type="dxa"/>
              <w:right w:w="115" w:type="dxa"/>
            </w:tcMar>
            <w:vAlign w:val="bottom"/>
          </w:tcPr>
          <w:p w14:paraId="318838F6" w14:textId="77777777" w:rsidR="003F0EEA" w:rsidRPr="001C6501" w:rsidRDefault="00FB7D0B">
            <w:pPr>
              <w:rPr>
                <w:rFonts w:ascii="Arial" w:eastAsia="Arial" w:hAnsi="Arial" w:cs="Arial"/>
                <w:color w:val="000000"/>
                <w:sz w:val="16"/>
                <w:szCs w:val="20"/>
                <w:vertAlign w:val="superscript"/>
              </w:rPr>
            </w:pPr>
            <w:r w:rsidRPr="001C6501">
              <w:rPr>
                <w:rFonts w:ascii="Arial" w:eastAsia="Arial" w:hAnsi="Arial" w:cs="Arial"/>
                <w:b/>
                <w:color w:val="000000"/>
                <w:sz w:val="16"/>
                <w:szCs w:val="20"/>
              </w:rPr>
              <w:t>Australian Government</w:t>
            </w:r>
          </w:p>
        </w:tc>
        <w:tc>
          <w:tcPr>
            <w:tcW w:w="990"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51FDF608" w14:textId="77777777" w:rsidR="003F0EEA" w:rsidRPr="001C6501" w:rsidRDefault="00FB7D0B">
            <w:pPr>
              <w:jc w:val="right"/>
              <w:rPr>
                <w:rFonts w:ascii="Arial" w:eastAsia="Arial" w:hAnsi="Arial" w:cs="Arial"/>
                <w:b/>
                <w:color w:val="000000"/>
                <w:sz w:val="16"/>
                <w:szCs w:val="20"/>
                <w:vertAlign w:val="superscript"/>
              </w:rPr>
            </w:pPr>
            <w:r w:rsidRPr="001C6501">
              <w:rPr>
                <w:rFonts w:ascii="Arial" w:eastAsia="Arial" w:hAnsi="Arial" w:cs="Arial"/>
                <w:b/>
                <w:color w:val="000000"/>
                <w:sz w:val="16"/>
                <w:szCs w:val="20"/>
              </w:rPr>
              <w:t>2,332 </w:t>
            </w:r>
          </w:p>
        </w:tc>
        <w:tc>
          <w:tcPr>
            <w:tcW w:w="915" w:type="dxa"/>
            <w:tcBorders>
              <w:top w:val="nil"/>
              <w:left w:val="nil"/>
              <w:bottom w:val="single" w:sz="6" w:space="0" w:color="000000"/>
              <w:right w:val="nil"/>
              <w:tl2br w:val="nil"/>
              <w:tr2bl w:val="nil"/>
            </w:tcBorders>
            <w:shd w:val="clear" w:color="auto" w:fill="FFFF00"/>
            <w:tcMar>
              <w:left w:w="115" w:type="dxa"/>
              <w:right w:w="115" w:type="dxa"/>
            </w:tcMar>
            <w:vAlign w:val="bottom"/>
          </w:tcPr>
          <w:p w14:paraId="16D46162" w14:textId="77777777" w:rsidR="003F0EEA" w:rsidRPr="001C6501" w:rsidRDefault="00FB7D0B">
            <w:pPr>
              <w:jc w:val="right"/>
              <w:rPr>
                <w:rFonts w:ascii="Arial" w:eastAsia="Arial" w:hAnsi="Arial" w:cs="Arial"/>
                <w:b/>
                <w:color w:val="000000"/>
                <w:sz w:val="16"/>
                <w:szCs w:val="20"/>
              </w:rPr>
            </w:pPr>
            <w:r w:rsidRPr="001C6501">
              <w:rPr>
                <w:rFonts w:ascii="Arial" w:eastAsia="Arial" w:hAnsi="Arial" w:cs="Arial"/>
                <w:b/>
                <w:color w:val="000000"/>
                <w:sz w:val="16"/>
                <w:szCs w:val="20"/>
              </w:rPr>
              <w:t>3,429 </w:t>
            </w:r>
          </w:p>
        </w:tc>
        <w:tc>
          <w:tcPr>
            <w:tcW w:w="915"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6CA8A339" w14:textId="77777777" w:rsidR="003F0EEA" w:rsidRPr="001C6501" w:rsidRDefault="00FB7D0B">
            <w:pPr>
              <w:jc w:val="right"/>
              <w:rPr>
                <w:rFonts w:ascii="Arial" w:eastAsia="Arial" w:hAnsi="Arial" w:cs="Arial"/>
                <w:b/>
                <w:color w:val="000000"/>
                <w:sz w:val="16"/>
                <w:szCs w:val="20"/>
              </w:rPr>
            </w:pPr>
            <w:r w:rsidRPr="001C6501">
              <w:rPr>
                <w:rFonts w:ascii="Arial" w:eastAsia="Arial" w:hAnsi="Arial" w:cs="Arial"/>
                <w:b/>
                <w:color w:val="000000"/>
                <w:sz w:val="16"/>
                <w:szCs w:val="20"/>
              </w:rPr>
              <w:t>4,790 </w:t>
            </w:r>
          </w:p>
        </w:tc>
        <w:tc>
          <w:tcPr>
            <w:tcW w:w="915"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1C8AAB82" w14:textId="77777777" w:rsidR="003F0EEA" w:rsidRPr="001C6501" w:rsidRDefault="00FB7D0B">
            <w:pPr>
              <w:jc w:val="right"/>
              <w:rPr>
                <w:rFonts w:ascii="Arial" w:eastAsia="Arial" w:hAnsi="Arial" w:cs="Arial"/>
                <w:b/>
                <w:color w:val="000000"/>
                <w:sz w:val="16"/>
                <w:szCs w:val="20"/>
              </w:rPr>
            </w:pPr>
            <w:r w:rsidRPr="001C6501">
              <w:rPr>
                <w:rFonts w:ascii="Arial" w:eastAsia="Arial" w:hAnsi="Arial" w:cs="Arial"/>
                <w:b/>
                <w:color w:val="000000"/>
                <w:sz w:val="16"/>
                <w:szCs w:val="20"/>
              </w:rPr>
              <w:t>6,370 </w:t>
            </w:r>
          </w:p>
        </w:tc>
        <w:tc>
          <w:tcPr>
            <w:tcW w:w="915"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0EE25FFD" w14:textId="77777777" w:rsidR="003F0EEA" w:rsidRPr="001C6501" w:rsidRDefault="00FB7D0B">
            <w:pPr>
              <w:jc w:val="right"/>
              <w:rPr>
                <w:rFonts w:ascii="Arial" w:eastAsia="Arial" w:hAnsi="Arial" w:cs="Arial"/>
                <w:b/>
                <w:color w:val="000000"/>
                <w:sz w:val="16"/>
                <w:szCs w:val="20"/>
              </w:rPr>
            </w:pPr>
            <w:r w:rsidRPr="001C6501">
              <w:rPr>
                <w:rFonts w:ascii="Arial" w:eastAsia="Arial" w:hAnsi="Arial" w:cs="Arial"/>
                <w:b/>
                <w:color w:val="000000"/>
                <w:sz w:val="16"/>
                <w:szCs w:val="20"/>
              </w:rPr>
              <w:t>8,194 </w:t>
            </w:r>
          </w:p>
        </w:tc>
      </w:tr>
    </w:tbl>
    <w:p w14:paraId="314A6086" w14:textId="77777777" w:rsidR="003F0EEA" w:rsidRDefault="00FB7D0B" w:rsidP="003F0EEA">
      <w:pPr>
        <w:pStyle w:val="Source10"/>
      </w:pPr>
      <w:r>
        <w:t>Prepared on Australian Accounting Standards basis</w:t>
      </w:r>
    </w:p>
    <w:p w14:paraId="0D65D198" w14:textId="77777777" w:rsidR="003F0EEA" w:rsidRDefault="003F0EEA" w:rsidP="003F0EEA">
      <w:pPr>
        <w:pStyle w:val="Source10"/>
      </w:pPr>
    </w:p>
    <w:p w14:paraId="162670B0" w14:textId="77777777" w:rsidR="003F0EEA" w:rsidRPr="00BC7C5A" w:rsidRDefault="00FB7D0B" w:rsidP="003F0EEA">
      <w:pPr>
        <w:pStyle w:val="Source10"/>
        <w:jc w:val="right"/>
      </w:pPr>
      <w:r>
        <w:t>Continued on next page</w:t>
      </w:r>
    </w:p>
    <w:p w14:paraId="5BBDD9D1" w14:textId="77777777" w:rsidR="003F0EEA" w:rsidRPr="00BC7C5A" w:rsidRDefault="00FB7D0B">
      <w:pPr>
        <w:spacing w:line="14" w:lineRule="exact"/>
        <w:rPr>
          <w:rFonts w:eastAsia="Times New Roman" w:cs="Times New Roman"/>
        </w:rPr>
      </w:pPr>
      <w:r w:rsidRPr="00BC7C5A">
        <w:rPr>
          <w:rFonts w:eastAsia="Times New Roman" w:cs="Times New Roman"/>
        </w:rPr>
        <w:br w:type="page"/>
      </w:r>
    </w:p>
    <w:p w14:paraId="1D5A0483" w14:textId="77777777" w:rsidR="003F0EEA" w:rsidRPr="001C6501" w:rsidRDefault="00FB7D0B" w:rsidP="003F0EEA">
      <w:pPr>
        <w:pStyle w:val="Normal183"/>
        <w:spacing w:before="120"/>
        <w:rPr>
          <w:rFonts w:ascii="Arial" w:hAnsi="Arial" w:cs="Arial"/>
          <w:sz w:val="20"/>
          <w:szCs w:val="20"/>
        </w:rPr>
      </w:pPr>
      <w:r w:rsidRPr="001C6501">
        <w:rPr>
          <w:rFonts w:ascii="Arial" w:hAnsi="Arial" w:cs="Arial"/>
          <w:b/>
          <w:sz w:val="20"/>
          <w:szCs w:val="20"/>
        </w:rPr>
        <w:t>Table 3.2</w:t>
      </w:r>
      <w:r>
        <w:rPr>
          <w:rFonts w:ascii="Arial" w:hAnsi="Arial" w:cs="Arial"/>
          <w:b/>
          <w:sz w:val="20"/>
          <w:szCs w:val="20"/>
        </w:rPr>
        <w:t>.1c: Departmental Comprehensive Income S</w:t>
      </w:r>
      <w:r w:rsidRPr="001C6501">
        <w:rPr>
          <w:rFonts w:ascii="Arial" w:hAnsi="Arial" w:cs="Arial"/>
          <w:b/>
          <w:sz w:val="20"/>
          <w:szCs w:val="20"/>
        </w:rPr>
        <w:t>tatement (DSHIS) (showing</w:t>
      </w:r>
      <w:r>
        <w:rPr>
          <w:rFonts w:ascii="Arial" w:hAnsi="Arial" w:cs="Arial"/>
          <w:b/>
          <w:sz w:val="20"/>
          <w:szCs w:val="20"/>
        </w:rPr>
        <w:br/>
      </w:r>
      <w:r w:rsidRPr="001C6501">
        <w:rPr>
          <w:rFonts w:ascii="Arial" w:hAnsi="Arial" w:cs="Arial"/>
          <w:b/>
          <w:sz w:val="20"/>
          <w:szCs w:val="20"/>
        </w:rPr>
        <w:t xml:space="preserve"> net cost of services) </w:t>
      </w:r>
      <w:r w:rsidRPr="00762B36">
        <w:rPr>
          <w:rFonts w:ascii="Arial" w:hAnsi="Arial" w:cs="Arial"/>
          <w:b/>
          <w:sz w:val="20"/>
          <w:szCs w:val="20"/>
        </w:rPr>
        <w:t>for the period ended 30 June</w:t>
      </w:r>
      <w:r>
        <w:rPr>
          <w:rFonts w:ascii="Arial" w:hAnsi="Arial" w:cs="Arial"/>
          <w:b/>
          <w:sz w:val="20"/>
          <w:szCs w:val="20"/>
        </w:rPr>
        <w:t xml:space="preserve"> (continued)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2"/>
        <w:gridCol w:w="222"/>
        <w:gridCol w:w="2850"/>
        <w:gridCol w:w="915"/>
        <w:gridCol w:w="915"/>
        <w:gridCol w:w="915"/>
        <w:gridCol w:w="915"/>
        <w:gridCol w:w="915"/>
      </w:tblGrid>
      <w:tr w:rsidR="00FB7D0B" w14:paraId="440C894C" w14:textId="77777777" w:rsidTr="00FB7D0B">
        <w:trPr>
          <w:trHeight w:val="225"/>
        </w:trPr>
        <w:tc>
          <w:tcPr>
            <w:tcW w:w="7785" w:type="dxa"/>
            <w:gridSpan w:val="8"/>
            <w:tcBorders>
              <w:top w:val="single" w:sz="6" w:space="0" w:color="000000"/>
              <w:left w:val="nil"/>
              <w:bottom w:val="nil"/>
              <w:right w:val="nil"/>
              <w:tl2br w:val="nil"/>
              <w:tr2bl w:val="nil"/>
            </w:tcBorders>
            <w:shd w:val="clear" w:color="auto" w:fill="FFFFFF"/>
            <w:tcMar>
              <w:left w:w="101" w:type="dxa"/>
              <w:right w:w="101" w:type="dxa"/>
            </w:tcMar>
            <w:vAlign w:val="bottom"/>
          </w:tcPr>
          <w:p w14:paraId="216BEA69" w14:textId="77777777" w:rsidR="003F0EEA" w:rsidRPr="001C6501" w:rsidRDefault="00FB7D0B">
            <w:pPr>
              <w:rPr>
                <w:rFonts w:ascii="Arial" w:eastAsia="Times New Roman" w:hAnsi="Arial" w:cs="Arial"/>
                <w:sz w:val="20"/>
                <w:szCs w:val="20"/>
              </w:rPr>
            </w:pPr>
            <w:r w:rsidRPr="001C6501">
              <w:rPr>
                <w:rFonts w:ascii="Arial" w:eastAsia="Arial" w:hAnsi="Arial" w:cs="Arial"/>
                <w:b/>
                <w:color w:val="000000"/>
                <w:sz w:val="16"/>
                <w:szCs w:val="20"/>
              </w:rPr>
              <w:t>Note: Impact of Net Cash Appropriation Arrangements</w:t>
            </w:r>
          </w:p>
        </w:tc>
      </w:tr>
      <w:tr w:rsidR="00724034" w14:paraId="7D54076E" w14:textId="77777777">
        <w:trPr>
          <w:trHeight w:val="225"/>
        </w:trPr>
        <w:tc>
          <w:tcPr>
            <w:tcW w:w="180" w:type="dxa"/>
            <w:tcBorders>
              <w:top w:val="nil"/>
              <w:left w:val="nil"/>
              <w:bottom w:val="nil"/>
              <w:right w:val="nil"/>
              <w:tl2br w:val="nil"/>
              <w:tr2bl w:val="nil"/>
            </w:tcBorders>
            <w:shd w:val="clear" w:color="auto" w:fill="FFFFFF"/>
            <w:tcMar>
              <w:left w:w="101" w:type="dxa"/>
              <w:right w:w="101" w:type="dxa"/>
            </w:tcMar>
            <w:vAlign w:val="bottom"/>
          </w:tcPr>
          <w:p w14:paraId="2FFC0991" w14:textId="77777777" w:rsidR="003F0EEA" w:rsidRPr="001C6501" w:rsidRDefault="003F0EEA">
            <w:pPr>
              <w:rPr>
                <w:rFonts w:ascii="Arial" w:eastAsia="Arial" w:hAnsi="Arial" w:cs="Arial"/>
                <w:b/>
                <w:color w:val="000000"/>
                <w:sz w:val="16"/>
                <w:szCs w:val="20"/>
              </w:rPr>
            </w:pPr>
          </w:p>
        </w:tc>
        <w:tc>
          <w:tcPr>
            <w:tcW w:w="180" w:type="dxa"/>
            <w:tcBorders>
              <w:top w:val="nil"/>
              <w:left w:val="nil"/>
              <w:bottom w:val="nil"/>
              <w:right w:val="nil"/>
              <w:tl2br w:val="nil"/>
              <w:tr2bl w:val="nil"/>
            </w:tcBorders>
            <w:shd w:val="clear" w:color="auto" w:fill="FFFFFF"/>
            <w:tcMar>
              <w:left w:w="101" w:type="dxa"/>
              <w:right w:w="101" w:type="dxa"/>
            </w:tcMar>
            <w:vAlign w:val="bottom"/>
          </w:tcPr>
          <w:p w14:paraId="7307DB29" w14:textId="77777777" w:rsidR="003F0EEA" w:rsidRPr="001C6501" w:rsidRDefault="003F0EEA">
            <w:pPr>
              <w:rPr>
                <w:rFonts w:ascii="Arial" w:eastAsia="Arial" w:hAnsi="Arial" w:cs="Arial"/>
                <w:color w:val="000000"/>
                <w:sz w:val="16"/>
                <w:szCs w:val="20"/>
              </w:rPr>
            </w:pPr>
          </w:p>
        </w:tc>
        <w:tc>
          <w:tcPr>
            <w:tcW w:w="2850" w:type="dxa"/>
            <w:tcBorders>
              <w:top w:val="nil"/>
              <w:left w:val="nil"/>
              <w:bottom w:val="nil"/>
              <w:right w:val="nil"/>
              <w:tl2br w:val="nil"/>
              <w:tr2bl w:val="nil"/>
            </w:tcBorders>
            <w:shd w:val="clear" w:color="auto" w:fill="FFFFFF"/>
            <w:tcMar>
              <w:left w:w="101" w:type="dxa"/>
              <w:right w:w="101" w:type="dxa"/>
            </w:tcMar>
            <w:vAlign w:val="bottom"/>
          </w:tcPr>
          <w:p w14:paraId="0F6FABC8" w14:textId="77777777" w:rsidR="003F0EEA" w:rsidRPr="001C6501" w:rsidRDefault="003F0EEA">
            <w:pPr>
              <w:rPr>
                <w:rFonts w:ascii="Arial" w:eastAsia="Arial" w:hAnsi="Arial" w:cs="Arial"/>
                <w:color w:val="000000"/>
                <w:sz w:val="16"/>
                <w:szCs w:val="20"/>
              </w:rPr>
            </w:pPr>
          </w:p>
        </w:tc>
        <w:tc>
          <w:tcPr>
            <w:tcW w:w="91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4A1DE31C" w14:textId="77777777" w:rsidR="003F0EEA" w:rsidRPr="001C6501" w:rsidRDefault="00FB7D0B">
            <w:pPr>
              <w:jc w:val="right"/>
              <w:rPr>
                <w:rFonts w:ascii="Arial" w:eastAsia="Arial" w:hAnsi="Arial" w:cs="Arial"/>
                <w:color w:val="000000"/>
                <w:sz w:val="16"/>
                <w:szCs w:val="20"/>
                <w:vertAlign w:val="superscript"/>
              </w:rPr>
            </w:pPr>
            <w:r w:rsidRPr="001C6501">
              <w:rPr>
                <w:rFonts w:ascii="Arial" w:eastAsia="Arial" w:hAnsi="Arial" w:cs="Arial"/>
                <w:color w:val="000000"/>
                <w:sz w:val="16"/>
                <w:szCs w:val="20"/>
              </w:rPr>
              <w:t>2013-14</w:t>
            </w:r>
          </w:p>
        </w:tc>
        <w:tc>
          <w:tcPr>
            <w:tcW w:w="915" w:type="dxa"/>
            <w:tcBorders>
              <w:top w:val="single" w:sz="6" w:space="0" w:color="000000"/>
              <w:left w:val="nil"/>
              <w:bottom w:val="nil"/>
              <w:right w:val="nil"/>
              <w:tl2br w:val="nil"/>
              <w:tr2bl w:val="nil"/>
            </w:tcBorders>
            <w:shd w:val="clear" w:color="auto" w:fill="FFFF00"/>
            <w:tcMar>
              <w:left w:w="101" w:type="dxa"/>
              <w:right w:w="101" w:type="dxa"/>
            </w:tcMar>
            <w:vAlign w:val="bottom"/>
          </w:tcPr>
          <w:p w14:paraId="779E7FA3" w14:textId="77777777" w:rsidR="003F0EEA" w:rsidRPr="001C6501" w:rsidRDefault="00FB7D0B">
            <w:pPr>
              <w:jc w:val="right"/>
              <w:rPr>
                <w:rFonts w:ascii="Arial" w:eastAsia="Arial" w:hAnsi="Arial" w:cs="Arial"/>
                <w:color w:val="000000"/>
                <w:sz w:val="16"/>
                <w:szCs w:val="20"/>
              </w:rPr>
            </w:pPr>
            <w:r w:rsidRPr="001C6501">
              <w:rPr>
                <w:rFonts w:ascii="Arial" w:eastAsia="Arial" w:hAnsi="Arial" w:cs="Arial"/>
                <w:color w:val="000000"/>
                <w:sz w:val="16"/>
                <w:szCs w:val="20"/>
              </w:rPr>
              <w:t>2014-15</w:t>
            </w:r>
          </w:p>
        </w:tc>
        <w:tc>
          <w:tcPr>
            <w:tcW w:w="91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16938196" w14:textId="77777777" w:rsidR="003F0EEA" w:rsidRPr="001C6501" w:rsidRDefault="00FB7D0B">
            <w:pPr>
              <w:jc w:val="right"/>
              <w:rPr>
                <w:rFonts w:ascii="Arial" w:eastAsia="Arial" w:hAnsi="Arial" w:cs="Arial"/>
                <w:color w:val="000000"/>
                <w:sz w:val="16"/>
                <w:szCs w:val="20"/>
              </w:rPr>
            </w:pPr>
            <w:r w:rsidRPr="001C6501">
              <w:rPr>
                <w:rFonts w:ascii="Arial" w:eastAsia="Arial" w:hAnsi="Arial" w:cs="Arial"/>
                <w:color w:val="000000"/>
                <w:sz w:val="16"/>
                <w:szCs w:val="20"/>
              </w:rPr>
              <w:t>2015-16</w:t>
            </w:r>
          </w:p>
        </w:tc>
        <w:tc>
          <w:tcPr>
            <w:tcW w:w="91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33DF043A" w14:textId="77777777" w:rsidR="003F0EEA" w:rsidRPr="001C6501" w:rsidRDefault="00FB7D0B">
            <w:pPr>
              <w:jc w:val="right"/>
              <w:rPr>
                <w:rFonts w:ascii="Arial" w:eastAsia="Arial" w:hAnsi="Arial" w:cs="Arial"/>
                <w:color w:val="000000"/>
                <w:sz w:val="16"/>
                <w:szCs w:val="20"/>
              </w:rPr>
            </w:pPr>
            <w:r w:rsidRPr="001C6501">
              <w:rPr>
                <w:rFonts w:ascii="Arial" w:eastAsia="Arial" w:hAnsi="Arial" w:cs="Arial"/>
                <w:color w:val="000000"/>
                <w:sz w:val="16"/>
                <w:szCs w:val="20"/>
              </w:rPr>
              <w:t>2016-17</w:t>
            </w:r>
          </w:p>
        </w:tc>
        <w:tc>
          <w:tcPr>
            <w:tcW w:w="91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0DB1E969" w14:textId="77777777" w:rsidR="003F0EEA" w:rsidRPr="001C6501" w:rsidRDefault="00FB7D0B">
            <w:pPr>
              <w:jc w:val="right"/>
              <w:rPr>
                <w:rFonts w:ascii="Arial" w:eastAsia="Arial" w:hAnsi="Arial" w:cs="Arial"/>
                <w:color w:val="000000"/>
                <w:sz w:val="16"/>
                <w:szCs w:val="20"/>
              </w:rPr>
            </w:pPr>
            <w:r w:rsidRPr="001C6501">
              <w:rPr>
                <w:rFonts w:ascii="Arial" w:eastAsia="Arial" w:hAnsi="Arial" w:cs="Arial"/>
                <w:color w:val="000000"/>
                <w:sz w:val="16"/>
                <w:szCs w:val="20"/>
              </w:rPr>
              <w:t>2017-18</w:t>
            </w:r>
          </w:p>
        </w:tc>
      </w:tr>
      <w:tr w:rsidR="00724034" w14:paraId="0D4F1A4E" w14:textId="77777777">
        <w:trPr>
          <w:trHeight w:val="225"/>
        </w:trPr>
        <w:tc>
          <w:tcPr>
            <w:tcW w:w="180" w:type="dxa"/>
            <w:tcBorders>
              <w:top w:val="nil"/>
              <w:left w:val="nil"/>
              <w:bottom w:val="nil"/>
              <w:right w:val="nil"/>
              <w:tl2br w:val="nil"/>
              <w:tr2bl w:val="nil"/>
            </w:tcBorders>
            <w:shd w:val="clear" w:color="auto" w:fill="FFFFFF"/>
            <w:tcMar>
              <w:left w:w="101" w:type="dxa"/>
              <w:right w:w="101" w:type="dxa"/>
            </w:tcMar>
            <w:vAlign w:val="bottom"/>
          </w:tcPr>
          <w:p w14:paraId="1BAE0033" w14:textId="77777777" w:rsidR="003F0EEA" w:rsidRPr="001C6501" w:rsidRDefault="003F0EEA">
            <w:pPr>
              <w:rPr>
                <w:rFonts w:ascii="Arial" w:eastAsia="Arial" w:hAnsi="Arial" w:cs="Arial"/>
                <w:color w:val="000000"/>
                <w:sz w:val="16"/>
                <w:szCs w:val="20"/>
              </w:rPr>
            </w:pPr>
          </w:p>
        </w:tc>
        <w:tc>
          <w:tcPr>
            <w:tcW w:w="180" w:type="dxa"/>
            <w:tcBorders>
              <w:top w:val="nil"/>
              <w:left w:val="nil"/>
              <w:bottom w:val="nil"/>
              <w:right w:val="nil"/>
              <w:tl2br w:val="nil"/>
              <w:tr2bl w:val="nil"/>
            </w:tcBorders>
            <w:shd w:val="clear" w:color="auto" w:fill="FFFFFF"/>
            <w:tcMar>
              <w:left w:w="101" w:type="dxa"/>
              <w:right w:w="101" w:type="dxa"/>
            </w:tcMar>
            <w:vAlign w:val="bottom"/>
          </w:tcPr>
          <w:p w14:paraId="7D4A541A" w14:textId="77777777" w:rsidR="003F0EEA" w:rsidRPr="001C6501" w:rsidRDefault="003F0EEA">
            <w:pPr>
              <w:rPr>
                <w:rFonts w:ascii="Arial" w:eastAsia="Arial" w:hAnsi="Arial" w:cs="Arial"/>
                <w:color w:val="000000"/>
                <w:sz w:val="16"/>
                <w:szCs w:val="20"/>
              </w:rPr>
            </w:pPr>
          </w:p>
        </w:tc>
        <w:tc>
          <w:tcPr>
            <w:tcW w:w="2850" w:type="dxa"/>
            <w:tcBorders>
              <w:top w:val="nil"/>
              <w:left w:val="nil"/>
              <w:bottom w:val="nil"/>
              <w:right w:val="nil"/>
              <w:tl2br w:val="nil"/>
              <w:tr2bl w:val="nil"/>
            </w:tcBorders>
            <w:shd w:val="clear" w:color="auto" w:fill="FFFFFF"/>
            <w:tcMar>
              <w:left w:w="101" w:type="dxa"/>
              <w:right w:w="101" w:type="dxa"/>
            </w:tcMar>
            <w:vAlign w:val="bottom"/>
          </w:tcPr>
          <w:p w14:paraId="278976C3" w14:textId="77777777" w:rsidR="003F0EEA" w:rsidRPr="001C6501" w:rsidRDefault="003F0EEA">
            <w:pPr>
              <w:rPr>
                <w:rFonts w:ascii="Arial" w:eastAsia="Arial" w:hAnsi="Arial" w:cs="Arial"/>
                <w:color w:val="000000"/>
                <w:sz w:val="16"/>
                <w:szCs w:val="20"/>
              </w:rPr>
            </w:pPr>
          </w:p>
        </w:tc>
        <w:tc>
          <w:tcPr>
            <w:tcW w:w="915"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5F9DE07E" w14:textId="77777777" w:rsidR="003F0EEA" w:rsidRPr="001C6501" w:rsidRDefault="00FB7D0B">
            <w:pPr>
              <w:jc w:val="right"/>
              <w:rPr>
                <w:rFonts w:ascii="Arial" w:eastAsia="Arial" w:hAnsi="Arial" w:cs="Arial"/>
                <w:color w:val="000000"/>
                <w:sz w:val="16"/>
                <w:szCs w:val="20"/>
                <w:vertAlign w:val="superscript"/>
              </w:rPr>
            </w:pPr>
            <w:r w:rsidRPr="001C6501">
              <w:rPr>
                <w:rFonts w:ascii="Arial" w:eastAsia="Arial" w:hAnsi="Arial" w:cs="Arial"/>
                <w:color w:val="000000"/>
                <w:sz w:val="16"/>
                <w:szCs w:val="20"/>
              </w:rPr>
              <w:t>$'000</w:t>
            </w:r>
          </w:p>
        </w:tc>
        <w:tc>
          <w:tcPr>
            <w:tcW w:w="915" w:type="dxa"/>
            <w:tcBorders>
              <w:top w:val="nil"/>
              <w:left w:val="nil"/>
              <w:bottom w:val="single" w:sz="6" w:space="0" w:color="000000"/>
              <w:right w:val="nil"/>
              <w:tl2br w:val="nil"/>
              <w:tr2bl w:val="nil"/>
            </w:tcBorders>
            <w:shd w:val="clear" w:color="auto" w:fill="FFFF00"/>
            <w:tcMar>
              <w:left w:w="101" w:type="dxa"/>
              <w:right w:w="101" w:type="dxa"/>
            </w:tcMar>
            <w:vAlign w:val="bottom"/>
          </w:tcPr>
          <w:p w14:paraId="46BA30D1" w14:textId="77777777" w:rsidR="003F0EEA" w:rsidRPr="001C6501" w:rsidRDefault="00FB7D0B">
            <w:pPr>
              <w:jc w:val="right"/>
              <w:rPr>
                <w:rFonts w:ascii="Arial" w:eastAsia="Arial" w:hAnsi="Arial" w:cs="Arial"/>
                <w:color w:val="000000"/>
                <w:sz w:val="16"/>
                <w:szCs w:val="20"/>
              </w:rPr>
            </w:pPr>
            <w:r w:rsidRPr="001C6501">
              <w:rPr>
                <w:rFonts w:ascii="Arial" w:eastAsia="Arial" w:hAnsi="Arial" w:cs="Arial"/>
                <w:color w:val="000000"/>
                <w:sz w:val="16"/>
                <w:szCs w:val="20"/>
              </w:rPr>
              <w:t>$'000</w:t>
            </w:r>
          </w:p>
        </w:tc>
        <w:tc>
          <w:tcPr>
            <w:tcW w:w="915"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6FEFA31B" w14:textId="77777777" w:rsidR="003F0EEA" w:rsidRPr="001C6501" w:rsidRDefault="00FB7D0B">
            <w:pPr>
              <w:jc w:val="right"/>
              <w:rPr>
                <w:rFonts w:ascii="Arial" w:eastAsia="Arial" w:hAnsi="Arial" w:cs="Arial"/>
                <w:color w:val="000000"/>
                <w:sz w:val="16"/>
                <w:szCs w:val="20"/>
              </w:rPr>
            </w:pPr>
            <w:r w:rsidRPr="001C6501">
              <w:rPr>
                <w:rFonts w:ascii="Arial" w:eastAsia="Arial" w:hAnsi="Arial" w:cs="Arial"/>
                <w:color w:val="000000"/>
                <w:sz w:val="16"/>
                <w:szCs w:val="20"/>
              </w:rPr>
              <w:t>$'000</w:t>
            </w:r>
          </w:p>
        </w:tc>
        <w:tc>
          <w:tcPr>
            <w:tcW w:w="915"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57513333" w14:textId="77777777" w:rsidR="003F0EEA" w:rsidRPr="001C6501" w:rsidRDefault="00FB7D0B">
            <w:pPr>
              <w:jc w:val="right"/>
              <w:rPr>
                <w:rFonts w:ascii="Arial" w:eastAsia="Arial" w:hAnsi="Arial" w:cs="Arial"/>
                <w:color w:val="000000"/>
                <w:sz w:val="16"/>
                <w:szCs w:val="20"/>
              </w:rPr>
            </w:pPr>
            <w:r w:rsidRPr="001C6501">
              <w:rPr>
                <w:rFonts w:ascii="Arial" w:eastAsia="Arial" w:hAnsi="Arial" w:cs="Arial"/>
                <w:color w:val="000000"/>
                <w:sz w:val="16"/>
                <w:szCs w:val="20"/>
              </w:rPr>
              <w:t>$'000</w:t>
            </w:r>
          </w:p>
        </w:tc>
        <w:tc>
          <w:tcPr>
            <w:tcW w:w="915"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6126170C" w14:textId="77777777" w:rsidR="003F0EEA" w:rsidRPr="001C6501" w:rsidRDefault="00FB7D0B">
            <w:pPr>
              <w:jc w:val="right"/>
              <w:rPr>
                <w:rFonts w:ascii="Arial" w:eastAsia="Arial" w:hAnsi="Arial" w:cs="Arial"/>
                <w:color w:val="000000"/>
                <w:sz w:val="16"/>
                <w:szCs w:val="20"/>
              </w:rPr>
            </w:pPr>
            <w:r w:rsidRPr="001C6501">
              <w:rPr>
                <w:rFonts w:ascii="Arial" w:eastAsia="Arial" w:hAnsi="Arial" w:cs="Arial"/>
                <w:color w:val="000000"/>
                <w:sz w:val="16"/>
                <w:szCs w:val="20"/>
              </w:rPr>
              <w:t>$'000</w:t>
            </w:r>
          </w:p>
        </w:tc>
      </w:tr>
      <w:tr w:rsidR="00FB7D0B" w14:paraId="50D02CB3" w14:textId="77777777" w:rsidTr="00FB7D0B">
        <w:trPr>
          <w:trHeight w:val="225"/>
        </w:trPr>
        <w:tc>
          <w:tcPr>
            <w:tcW w:w="3210" w:type="dxa"/>
            <w:gridSpan w:val="3"/>
            <w:tcBorders>
              <w:top w:val="nil"/>
              <w:left w:val="nil"/>
              <w:bottom w:val="nil"/>
              <w:right w:val="nil"/>
              <w:tl2br w:val="nil"/>
              <w:tr2bl w:val="nil"/>
            </w:tcBorders>
            <w:shd w:val="clear" w:color="auto" w:fill="FFFFFF"/>
            <w:tcMar>
              <w:left w:w="101" w:type="dxa"/>
              <w:right w:w="101" w:type="dxa"/>
            </w:tcMar>
            <w:vAlign w:val="bottom"/>
          </w:tcPr>
          <w:p w14:paraId="2EB0C7E0" w14:textId="77777777" w:rsidR="003F0EEA" w:rsidRPr="001C6501" w:rsidRDefault="00FB7D0B">
            <w:pPr>
              <w:rPr>
                <w:rFonts w:ascii="Arial" w:eastAsia="Arial" w:hAnsi="Arial" w:cs="Arial"/>
                <w:color w:val="000000"/>
                <w:sz w:val="16"/>
                <w:szCs w:val="20"/>
              </w:rPr>
            </w:pPr>
            <w:r w:rsidRPr="001C6501">
              <w:rPr>
                <w:rFonts w:ascii="Arial" w:eastAsia="Arial" w:hAnsi="Arial" w:cs="Arial"/>
                <w:b/>
                <w:color w:val="000000"/>
                <w:sz w:val="16"/>
                <w:szCs w:val="20"/>
              </w:rPr>
              <w:t xml:space="preserve">Total Comprehensive Income (loss) </w:t>
            </w:r>
          </w:p>
        </w:tc>
        <w:tc>
          <w:tcPr>
            <w:tcW w:w="91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4EF0B64A" w14:textId="77777777" w:rsidR="003F0EEA" w:rsidRPr="001C6501" w:rsidRDefault="003F0EEA">
            <w:pPr>
              <w:rPr>
                <w:rFonts w:ascii="Arial" w:eastAsia="Arial" w:hAnsi="Arial" w:cs="Arial"/>
                <w:b/>
                <w:color w:val="000000"/>
                <w:sz w:val="16"/>
                <w:szCs w:val="20"/>
                <w:vertAlign w:val="superscript"/>
              </w:rPr>
            </w:pPr>
          </w:p>
        </w:tc>
        <w:tc>
          <w:tcPr>
            <w:tcW w:w="915" w:type="dxa"/>
            <w:tcBorders>
              <w:top w:val="single" w:sz="6" w:space="0" w:color="000000"/>
              <w:left w:val="nil"/>
              <w:bottom w:val="nil"/>
              <w:right w:val="nil"/>
              <w:tl2br w:val="nil"/>
              <w:tr2bl w:val="nil"/>
            </w:tcBorders>
            <w:shd w:val="clear" w:color="auto" w:fill="FFFF00"/>
            <w:tcMar>
              <w:left w:w="101" w:type="dxa"/>
              <w:right w:w="101" w:type="dxa"/>
            </w:tcMar>
            <w:vAlign w:val="bottom"/>
          </w:tcPr>
          <w:p w14:paraId="038E0D87" w14:textId="77777777" w:rsidR="003F0EEA" w:rsidRPr="001C6501" w:rsidRDefault="003F0EEA">
            <w:pPr>
              <w:rPr>
                <w:rFonts w:ascii="Arial" w:eastAsia="Arial" w:hAnsi="Arial" w:cs="Arial"/>
                <w:b/>
                <w:color w:val="000000"/>
                <w:sz w:val="16"/>
                <w:szCs w:val="20"/>
                <w:vertAlign w:val="superscript"/>
              </w:rPr>
            </w:pPr>
          </w:p>
        </w:tc>
        <w:tc>
          <w:tcPr>
            <w:tcW w:w="91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7BA9A2F2" w14:textId="77777777" w:rsidR="003F0EEA" w:rsidRPr="001C6501" w:rsidRDefault="003F0EEA">
            <w:pPr>
              <w:rPr>
                <w:rFonts w:ascii="Arial" w:eastAsia="Arial" w:hAnsi="Arial" w:cs="Arial"/>
                <w:color w:val="000000"/>
                <w:sz w:val="16"/>
                <w:szCs w:val="20"/>
                <w:vertAlign w:val="superscript"/>
              </w:rPr>
            </w:pPr>
          </w:p>
        </w:tc>
        <w:tc>
          <w:tcPr>
            <w:tcW w:w="91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35DD12E1" w14:textId="77777777" w:rsidR="003F0EEA" w:rsidRPr="001C6501" w:rsidRDefault="003F0EEA">
            <w:pPr>
              <w:rPr>
                <w:rFonts w:ascii="Arial" w:eastAsia="Arial" w:hAnsi="Arial" w:cs="Arial"/>
                <w:color w:val="000000"/>
                <w:sz w:val="16"/>
                <w:szCs w:val="20"/>
                <w:vertAlign w:val="superscript"/>
              </w:rPr>
            </w:pPr>
          </w:p>
        </w:tc>
        <w:tc>
          <w:tcPr>
            <w:tcW w:w="91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7D2A0A0A" w14:textId="77777777" w:rsidR="003F0EEA" w:rsidRPr="001C6501" w:rsidRDefault="003F0EEA">
            <w:pPr>
              <w:rPr>
                <w:rFonts w:ascii="Arial" w:eastAsia="Arial" w:hAnsi="Arial" w:cs="Arial"/>
                <w:color w:val="000000"/>
                <w:sz w:val="16"/>
                <w:szCs w:val="20"/>
                <w:vertAlign w:val="superscript"/>
              </w:rPr>
            </w:pPr>
          </w:p>
        </w:tc>
      </w:tr>
      <w:tr w:rsidR="00FB7D0B" w14:paraId="5780C4C5" w14:textId="77777777" w:rsidTr="00FB7D0B">
        <w:trPr>
          <w:trHeight w:val="225"/>
        </w:trPr>
        <w:tc>
          <w:tcPr>
            <w:tcW w:w="180" w:type="dxa"/>
            <w:tcBorders>
              <w:top w:val="nil"/>
              <w:left w:val="nil"/>
              <w:bottom w:val="nil"/>
              <w:right w:val="nil"/>
              <w:tl2br w:val="nil"/>
              <w:tr2bl w:val="nil"/>
            </w:tcBorders>
            <w:shd w:val="clear" w:color="auto" w:fill="FFFFFF"/>
            <w:tcMar>
              <w:left w:w="101" w:type="dxa"/>
              <w:right w:w="101" w:type="dxa"/>
            </w:tcMar>
            <w:vAlign w:val="bottom"/>
          </w:tcPr>
          <w:p w14:paraId="5D4FADA9" w14:textId="77777777" w:rsidR="003F0EEA" w:rsidRPr="001C6501" w:rsidRDefault="003F0EEA">
            <w:pPr>
              <w:rPr>
                <w:rFonts w:ascii="Arial" w:eastAsia="Arial" w:hAnsi="Arial" w:cs="Arial"/>
                <w:color w:val="000000"/>
                <w:sz w:val="16"/>
                <w:szCs w:val="20"/>
                <w:vertAlign w:val="superscript"/>
              </w:rPr>
            </w:pPr>
          </w:p>
        </w:tc>
        <w:tc>
          <w:tcPr>
            <w:tcW w:w="3030" w:type="dxa"/>
            <w:gridSpan w:val="2"/>
            <w:vMerge w:val="restart"/>
            <w:tcBorders>
              <w:top w:val="nil"/>
              <w:left w:val="nil"/>
              <w:bottom w:val="nil"/>
              <w:right w:val="nil"/>
              <w:tl2br w:val="nil"/>
              <w:tr2bl w:val="nil"/>
            </w:tcBorders>
            <w:shd w:val="clear" w:color="auto" w:fill="FFFFFF"/>
            <w:tcMar>
              <w:left w:w="101" w:type="dxa"/>
              <w:right w:w="101" w:type="dxa"/>
            </w:tcMar>
            <w:vAlign w:val="bottom"/>
          </w:tcPr>
          <w:p w14:paraId="54C6160B" w14:textId="77777777" w:rsidR="003F0EEA" w:rsidRPr="001C6501" w:rsidRDefault="00FB7D0B">
            <w:pPr>
              <w:rPr>
                <w:rFonts w:ascii="Arial" w:eastAsia="Arial" w:hAnsi="Arial" w:cs="Arial"/>
                <w:b/>
                <w:color w:val="000000"/>
                <w:sz w:val="16"/>
                <w:szCs w:val="20"/>
                <w:vertAlign w:val="superscript"/>
              </w:rPr>
            </w:pPr>
            <w:r w:rsidRPr="001C6501">
              <w:rPr>
                <w:rFonts w:ascii="Arial" w:eastAsia="Arial" w:hAnsi="Arial" w:cs="Arial"/>
                <w:b/>
                <w:color w:val="000000"/>
                <w:sz w:val="16"/>
                <w:szCs w:val="20"/>
              </w:rPr>
              <w:t>less depreciation/amortisation</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4E48822E" w14:textId="77777777" w:rsidR="003F0EEA" w:rsidRPr="001C6501" w:rsidRDefault="003F0EEA">
            <w:pPr>
              <w:rPr>
                <w:rFonts w:ascii="Arial" w:eastAsia="Arial" w:hAnsi="Arial" w:cs="Arial"/>
                <w:b/>
                <w:color w:val="000000"/>
                <w:sz w:val="16"/>
                <w:szCs w:val="20"/>
                <w:vertAlign w:val="superscript"/>
              </w:rPr>
            </w:pPr>
          </w:p>
        </w:tc>
        <w:tc>
          <w:tcPr>
            <w:tcW w:w="915" w:type="dxa"/>
            <w:tcBorders>
              <w:top w:val="nil"/>
              <w:left w:val="nil"/>
              <w:bottom w:val="nil"/>
              <w:right w:val="nil"/>
              <w:tl2br w:val="nil"/>
              <w:tr2bl w:val="nil"/>
            </w:tcBorders>
            <w:shd w:val="clear" w:color="auto" w:fill="FFFF00"/>
            <w:tcMar>
              <w:left w:w="101" w:type="dxa"/>
              <w:right w:w="101" w:type="dxa"/>
            </w:tcMar>
            <w:vAlign w:val="bottom"/>
          </w:tcPr>
          <w:p w14:paraId="4EB704EA" w14:textId="77777777" w:rsidR="003F0EEA" w:rsidRPr="001C6501" w:rsidRDefault="003F0EEA">
            <w:pPr>
              <w:rPr>
                <w:rFonts w:ascii="Arial" w:eastAsia="Arial" w:hAnsi="Arial" w:cs="Arial"/>
                <w:b/>
                <w:color w:val="000000"/>
                <w:sz w:val="16"/>
                <w:szCs w:val="20"/>
                <w:vertAlign w:val="superscript"/>
              </w:rPr>
            </w:pP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5E44558E" w14:textId="77777777" w:rsidR="003F0EEA" w:rsidRPr="001C6501" w:rsidRDefault="003F0EEA">
            <w:pPr>
              <w:rPr>
                <w:rFonts w:ascii="Arial" w:eastAsia="Arial" w:hAnsi="Arial" w:cs="Arial"/>
                <w:color w:val="000000"/>
                <w:sz w:val="16"/>
                <w:szCs w:val="20"/>
                <w:vertAlign w:val="superscript"/>
              </w:rPr>
            </w:pP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7E930C89" w14:textId="77777777" w:rsidR="003F0EEA" w:rsidRPr="001C6501" w:rsidRDefault="003F0EEA">
            <w:pPr>
              <w:rPr>
                <w:rFonts w:ascii="Arial" w:eastAsia="Arial" w:hAnsi="Arial" w:cs="Arial"/>
                <w:color w:val="000000"/>
                <w:sz w:val="16"/>
                <w:szCs w:val="20"/>
                <w:vertAlign w:val="superscript"/>
              </w:rPr>
            </w:pP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6A54EFCF" w14:textId="77777777" w:rsidR="003F0EEA" w:rsidRPr="001C6501" w:rsidRDefault="003F0EEA">
            <w:pPr>
              <w:rPr>
                <w:rFonts w:ascii="Arial" w:eastAsia="Arial" w:hAnsi="Arial" w:cs="Arial"/>
                <w:color w:val="000000"/>
                <w:sz w:val="16"/>
                <w:szCs w:val="20"/>
                <w:vertAlign w:val="superscript"/>
              </w:rPr>
            </w:pPr>
          </w:p>
        </w:tc>
      </w:tr>
      <w:tr w:rsidR="00FB7D0B" w14:paraId="6547DC73" w14:textId="77777777" w:rsidTr="00FB7D0B">
        <w:trPr>
          <w:trHeight w:val="225"/>
        </w:trPr>
        <w:tc>
          <w:tcPr>
            <w:tcW w:w="180" w:type="dxa"/>
            <w:tcBorders>
              <w:top w:val="nil"/>
              <w:left w:val="nil"/>
              <w:bottom w:val="nil"/>
              <w:right w:val="nil"/>
              <w:tl2br w:val="nil"/>
              <w:tr2bl w:val="nil"/>
            </w:tcBorders>
            <w:shd w:val="clear" w:color="auto" w:fill="FFFFFF"/>
            <w:tcMar>
              <w:left w:w="101" w:type="dxa"/>
              <w:right w:w="101" w:type="dxa"/>
            </w:tcMar>
            <w:vAlign w:val="bottom"/>
          </w:tcPr>
          <w:p w14:paraId="02099AFA" w14:textId="77777777" w:rsidR="003F0EEA" w:rsidRPr="001C6501" w:rsidRDefault="003F0EEA">
            <w:pPr>
              <w:rPr>
                <w:rFonts w:ascii="Arial" w:eastAsia="Arial" w:hAnsi="Arial" w:cs="Arial"/>
                <w:color w:val="000000"/>
                <w:sz w:val="16"/>
                <w:szCs w:val="20"/>
                <w:vertAlign w:val="superscript"/>
              </w:rPr>
            </w:pPr>
          </w:p>
        </w:tc>
        <w:tc>
          <w:tcPr>
            <w:tcW w:w="3030" w:type="dxa"/>
            <w:gridSpan w:val="2"/>
            <w:tcBorders>
              <w:top w:val="nil"/>
              <w:left w:val="nil"/>
              <w:bottom w:val="nil"/>
              <w:right w:val="nil"/>
              <w:tl2br w:val="nil"/>
              <w:tr2bl w:val="nil"/>
            </w:tcBorders>
            <w:shd w:val="clear" w:color="auto" w:fill="FFFFFF"/>
            <w:tcMar>
              <w:left w:w="101" w:type="dxa"/>
              <w:right w:w="101" w:type="dxa"/>
            </w:tcMar>
            <w:vAlign w:val="bottom"/>
          </w:tcPr>
          <w:p w14:paraId="458B2164" w14:textId="77777777" w:rsidR="003F0EEA" w:rsidRPr="001C6501" w:rsidRDefault="00FB7D0B">
            <w:pPr>
              <w:rPr>
                <w:rFonts w:ascii="Arial" w:eastAsia="Arial" w:hAnsi="Arial" w:cs="Arial"/>
                <w:b/>
                <w:color w:val="000000"/>
                <w:sz w:val="16"/>
                <w:szCs w:val="20"/>
                <w:vertAlign w:val="superscript"/>
              </w:rPr>
            </w:pPr>
            <w:r w:rsidRPr="001C6501">
              <w:rPr>
                <w:rFonts w:ascii="Arial" w:eastAsia="Arial" w:hAnsi="Arial" w:cs="Arial"/>
                <w:b/>
                <w:color w:val="000000"/>
                <w:sz w:val="16"/>
                <w:szCs w:val="20"/>
              </w:rPr>
              <w:t>expenses previously funded through</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058CD87E" w14:textId="77777777" w:rsidR="003F0EEA" w:rsidRPr="001C6501" w:rsidRDefault="003F0EEA">
            <w:pPr>
              <w:rPr>
                <w:rFonts w:ascii="Arial" w:eastAsia="Arial" w:hAnsi="Arial" w:cs="Arial"/>
                <w:b/>
                <w:color w:val="000000"/>
                <w:sz w:val="16"/>
                <w:szCs w:val="20"/>
                <w:vertAlign w:val="superscript"/>
              </w:rPr>
            </w:pPr>
          </w:p>
        </w:tc>
        <w:tc>
          <w:tcPr>
            <w:tcW w:w="915" w:type="dxa"/>
            <w:tcBorders>
              <w:top w:val="nil"/>
              <w:left w:val="nil"/>
              <w:bottom w:val="nil"/>
              <w:right w:val="nil"/>
              <w:tl2br w:val="nil"/>
              <w:tr2bl w:val="nil"/>
            </w:tcBorders>
            <w:shd w:val="clear" w:color="auto" w:fill="FFFF00"/>
            <w:tcMar>
              <w:left w:w="101" w:type="dxa"/>
              <w:right w:w="101" w:type="dxa"/>
            </w:tcMar>
            <w:vAlign w:val="bottom"/>
          </w:tcPr>
          <w:p w14:paraId="075A181E" w14:textId="77777777" w:rsidR="003F0EEA" w:rsidRPr="001C6501" w:rsidRDefault="003F0EEA">
            <w:pPr>
              <w:rPr>
                <w:rFonts w:ascii="Arial" w:eastAsia="Arial" w:hAnsi="Arial" w:cs="Arial"/>
                <w:b/>
                <w:color w:val="000000"/>
                <w:sz w:val="16"/>
                <w:szCs w:val="20"/>
                <w:vertAlign w:val="superscript"/>
              </w:rPr>
            </w:pP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265BEF2C" w14:textId="77777777" w:rsidR="003F0EEA" w:rsidRPr="001C6501" w:rsidRDefault="003F0EEA">
            <w:pPr>
              <w:rPr>
                <w:rFonts w:ascii="Arial" w:eastAsia="Arial" w:hAnsi="Arial" w:cs="Arial"/>
                <w:color w:val="000000"/>
                <w:sz w:val="16"/>
                <w:szCs w:val="20"/>
                <w:vertAlign w:val="superscript"/>
              </w:rPr>
            </w:pP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2FF32E45" w14:textId="77777777" w:rsidR="003F0EEA" w:rsidRPr="001C6501" w:rsidRDefault="003F0EEA">
            <w:pPr>
              <w:rPr>
                <w:rFonts w:ascii="Arial" w:eastAsia="Arial" w:hAnsi="Arial" w:cs="Arial"/>
                <w:color w:val="000000"/>
                <w:sz w:val="16"/>
                <w:szCs w:val="20"/>
                <w:vertAlign w:val="superscript"/>
              </w:rPr>
            </w:pP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1F42EB41" w14:textId="77777777" w:rsidR="003F0EEA" w:rsidRPr="001C6501" w:rsidRDefault="003F0EEA">
            <w:pPr>
              <w:rPr>
                <w:rFonts w:ascii="Arial" w:eastAsia="Arial" w:hAnsi="Arial" w:cs="Arial"/>
                <w:color w:val="000000"/>
                <w:sz w:val="16"/>
                <w:szCs w:val="20"/>
                <w:vertAlign w:val="superscript"/>
              </w:rPr>
            </w:pPr>
          </w:p>
        </w:tc>
      </w:tr>
      <w:tr w:rsidR="00FB7D0B" w14:paraId="0CA72789" w14:textId="77777777" w:rsidTr="00FB7D0B">
        <w:trPr>
          <w:trHeight w:val="225"/>
        </w:trPr>
        <w:tc>
          <w:tcPr>
            <w:tcW w:w="180" w:type="dxa"/>
            <w:tcBorders>
              <w:top w:val="nil"/>
              <w:left w:val="nil"/>
              <w:bottom w:val="nil"/>
              <w:right w:val="nil"/>
              <w:tl2br w:val="nil"/>
              <w:tr2bl w:val="nil"/>
            </w:tcBorders>
            <w:shd w:val="clear" w:color="auto" w:fill="FFFFFF"/>
            <w:tcMar>
              <w:left w:w="101" w:type="dxa"/>
              <w:right w:w="101" w:type="dxa"/>
            </w:tcMar>
            <w:vAlign w:val="bottom"/>
          </w:tcPr>
          <w:p w14:paraId="10E11EB1" w14:textId="77777777" w:rsidR="003F0EEA" w:rsidRPr="001C6501" w:rsidRDefault="003F0EEA">
            <w:pPr>
              <w:rPr>
                <w:rFonts w:ascii="Arial" w:eastAsia="Arial" w:hAnsi="Arial" w:cs="Arial"/>
                <w:color w:val="000000"/>
                <w:sz w:val="16"/>
                <w:szCs w:val="20"/>
                <w:vertAlign w:val="superscript"/>
              </w:rPr>
            </w:pPr>
          </w:p>
        </w:tc>
        <w:tc>
          <w:tcPr>
            <w:tcW w:w="3030" w:type="dxa"/>
            <w:gridSpan w:val="2"/>
            <w:tcBorders>
              <w:top w:val="nil"/>
              <w:left w:val="nil"/>
              <w:bottom w:val="nil"/>
              <w:right w:val="nil"/>
              <w:tl2br w:val="nil"/>
              <w:tr2bl w:val="nil"/>
            </w:tcBorders>
            <w:shd w:val="clear" w:color="auto" w:fill="FFFFFF"/>
            <w:tcMar>
              <w:left w:w="101" w:type="dxa"/>
              <w:right w:w="101" w:type="dxa"/>
            </w:tcMar>
            <w:vAlign w:val="bottom"/>
          </w:tcPr>
          <w:p w14:paraId="276329E5" w14:textId="77777777" w:rsidR="003F0EEA" w:rsidRPr="001C6501" w:rsidRDefault="00FB7D0B">
            <w:pPr>
              <w:rPr>
                <w:rFonts w:ascii="Arial" w:eastAsia="Arial" w:hAnsi="Arial" w:cs="Arial"/>
                <w:color w:val="000000"/>
                <w:sz w:val="16"/>
                <w:szCs w:val="20"/>
                <w:vertAlign w:val="superscript"/>
              </w:rPr>
            </w:pPr>
            <w:r w:rsidRPr="001C6501">
              <w:rPr>
                <w:rFonts w:ascii="Arial" w:eastAsia="Arial" w:hAnsi="Arial" w:cs="Arial"/>
                <w:b/>
                <w:color w:val="000000"/>
                <w:sz w:val="16"/>
                <w:szCs w:val="20"/>
              </w:rPr>
              <w:t>revenue appropriations</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224AF582" w14:textId="77777777" w:rsidR="003F0EEA" w:rsidRPr="001C6501" w:rsidRDefault="00FB7D0B">
            <w:pPr>
              <w:jc w:val="right"/>
              <w:rPr>
                <w:rFonts w:ascii="Arial" w:eastAsia="Arial" w:hAnsi="Arial" w:cs="Arial"/>
                <w:b/>
                <w:color w:val="000000"/>
                <w:sz w:val="16"/>
                <w:szCs w:val="20"/>
                <w:vertAlign w:val="superscript"/>
              </w:rPr>
            </w:pPr>
            <w:r w:rsidRPr="001C6501">
              <w:rPr>
                <w:rFonts w:ascii="Arial" w:eastAsia="Arial" w:hAnsi="Arial" w:cs="Arial"/>
                <w:b/>
                <w:color w:val="000000"/>
                <w:sz w:val="16"/>
                <w:szCs w:val="20"/>
              </w:rPr>
              <w:t>2,332 </w:t>
            </w:r>
          </w:p>
        </w:tc>
        <w:tc>
          <w:tcPr>
            <w:tcW w:w="915" w:type="dxa"/>
            <w:tcBorders>
              <w:top w:val="nil"/>
              <w:left w:val="nil"/>
              <w:bottom w:val="nil"/>
              <w:right w:val="nil"/>
              <w:tl2br w:val="nil"/>
              <w:tr2bl w:val="nil"/>
            </w:tcBorders>
            <w:shd w:val="clear" w:color="auto" w:fill="FFFF00"/>
            <w:tcMar>
              <w:left w:w="101" w:type="dxa"/>
              <w:right w:w="101" w:type="dxa"/>
            </w:tcMar>
            <w:vAlign w:val="bottom"/>
          </w:tcPr>
          <w:p w14:paraId="30B9425C" w14:textId="77777777" w:rsidR="003F0EEA" w:rsidRPr="001C6501" w:rsidRDefault="00FB7D0B">
            <w:pPr>
              <w:jc w:val="right"/>
              <w:rPr>
                <w:rFonts w:ascii="Arial" w:eastAsia="Arial" w:hAnsi="Arial" w:cs="Arial"/>
                <w:b/>
                <w:color w:val="000000"/>
                <w:sz w:val="16"/>
                <w:szCs w:val="20"/>
              </w:rPr>
            </w:pPr>
            <w:r w:rsidRPr="001C6501">
              <w:rPr>
                <w:rFonts w:ascii="Arial" w:eastAsia="Arial" w:hAnsi="Arial" w:cs="Arial"/>
                <w:b/>
                <w:color w:val="000000"/>
                <w:sz w:val="16"/>
                <w:szCs w:val="20"/>
              </w:rPr>
              <w:t>3,429 </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4E339DDC" w14:textId="77777777" w:rsidR="003F0EEA" w:rsidRPr="001C6501" w:rsidRDefault="00FB7D0B">
            <w:pPr>
              <w:jc w:val="right"/>
              <w:rPr>
                <w:rFonts w:ascii="Arial" w:eastAsia="Arial" w:hAnsi="Arial" w:cs="Arial"/>
                <w:b/>
                <w:color w:val="000000"/>
                <w:sz w:val="16"/>
                <w:szCs w:val="20"/>
              </w:rPr>
            </w:pPr>
            <w:r w:rsidRPr="001C6501">
              <w:rPr>
                <w:rFonts w:ascii="Arial" w:eastAsia="Arial" w:hAnsi="Arial" w:cs="Arial"/>
                <w:b/>
                <w:color w:val="000000"/>
                <w:sz w:val="16"/>
                <w:szCs w:val="20"/>
              </w:rPr>
              <w:t>4,790 </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2D3BE3FB" w14:textId="77777777" w:rsidR="003F0EEA" w:rsidRPr="001C6501" w:rsidRDefault="00FB7D0B">
            <w:pPr>
              <w:jc w:val="right"/>
              <w:rPr>
                <w:rFonts w:ascii="Arial" w:eastAsia="Arial" w:hAnsi="Arial" w:cs="Arial"/>
                <w:b/>
                <w:color w:val="000000"/>
                <w:sz w:val="16"/>
                <w:szCs w:val="20"/>
              </w:rPr>
            </w:pPr>
            <w:r w:rsidRPr="001C6501">
              <w:rPr>
                <w:rFonts w:ascii="Arial" w:eastAsia="Arial" w:hAnsi="Arial" w:cs="Arial"/>
                <w:b/>
                <w:color w:val="000000"/>
                <w:sz w:val="16"/>
                <w:szCs w:val="20"/>
              </w:rPr>
              <w:t>6,370 </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6DA5CC9A" w14:textId="77777777" w:rsidR="003F0EEA" w:rsidRPr="001C6501" w:rsidRDefault="00FB7D0B">
            <w:pPr>
              <w:jc w:val="right"/>
              <w:rPr>
                <w:rFonts w:ascii="Arial" w:eastAsia="Arial" w:hAnsi="Arial" w:cs="Arial"/>
                <w:b/>
                <w:color w:val="000000"/>
                <w:sz w:val="16"/>
                <w:szCs w:val="20"/>
              </w:rPr>
            </w:pPr>
            <w:r w:rsidRPr="001C6501">
              <w:rPr>
                <w:rFonts w:ascii="Arial" w:eastAsia="Arial" w:hAnsi="Arial" w:cs="Arial"/>
                <w:b/>
                <w:color w:val="000000"/>
                <w:sz w:val="16"/>
                <w:szCs w:val="20"/>
              </w:rPr>
              <w:t>8,194 </w:t>
            </w:r>
          </w:p>
        </w:tc>
      </w:tr>
      <w:tr w:rsidR="00724034" w14:paraId="28BC8C8F" w14:textId="77777777">
        <w:trPr>
          <w:trHeight w:val="225"/>
        </w:trPr>
        <w:tc>
          <w:tcPr>
            <w:tcW w:w="180" w:type="dxa"/>
            <w:tcBorders>
              <w:top w:val="nil"/>
              <w:left w:val="nil"/>
              <w:bottom w:val="nil"/>
              <w:right w:val="nil"/>
              <w:tl2br w:val="nil"/>
              <w:tr2bl w:val="nil"/>
            </w:tcBorders>
            <w:shd w:val="clear" w:color="auto" w:fill="FFFFFF"/>
            <w:tcMar>
              <w:left w:w="101" w:type="dxa"/>
              <w:right w:w="101" w:type="dxa"/>
            </w:tcMar>
            <w:vAlign w:val="bottom"/>
          </w:tcPr>
          <w:p w14:paraId="03A4625A" w14:textId="77777777" w:rsidR="003F0EEA" w:rsidRPr="001C6501" w:rsidRDefault="003F0EEA">
            <w:pPr>
              <w:rPr>
                <w:rFonts w:ascii="Arial" w:eastAsia="Arial" w:hAnsi="Arial" w:cs="Arial"/>
                <w:b/>
                <w:color w:val="000000"/>
                <w:sz w:val="16"/>
                <w:szCs w:val="20"/>
              </w:rPr>
            </w:pPr>
          </w:p>
        </w:tc>
        <w:tc>
          <w:tcPr>
            <w:tcW w:w="180" w:type="dxa"/>
            <w:tcBorders>
              <w:top w:val="nil"/>
              <w:left w:val="nil"/>
              <w:bottom w:val="nil"/>
              <w:right w:val="nil"/>
              <w:tl2br w:val="nil"/>
              <w:tr2bl w:val="nil"/>
            </w:tcBorders>
            <w:shd w:val="clear" w:color="auto" w:fill="FFFFFF"/>
            <w:tcMar>
              <w:left w:w="101" w:type="dxa"/>
              <w:right w:w="101" w:type="dxa"/>
            </w:tcMar>
            <w:vAlign w:val="bottom"/>
          </w:tcPr>
          <w:p w14:paraId="545DD748" w14:textId="77777777" w:rsidR="003F0EEA" w:rsidRPr="001C6501" w:rsidRDefault="003F0EEA">
            <w:pPr>
              <w:rPr>
                <w:rFonts w:ascii="Arial" w:eastAsia="Arial" w:hAnsi="Arial" w:cs="Arial"/>
                <w:color w:val="000000"/>
                <w:sz w:val="16"/>
                <w:szCs w:val="20"/>
              </w:rPr>
            </w:pPr>
          </w:p>
        </w:tc>
        <w:tc>
          <w:tcPr>
            <w:tcW w:w="2850" w:type="dxa"/>
            <w:tcBorders>
              <w:top w:val="nil"/>
              <w:left w:val="nil"/>
              <w:bottom w:val="nil"/>
              <w:right w:val="nil"/>
              <w:tl2br w:val="nil"/>
              <w:tr2bl w:val="nil"/>
            </w:tcBorders>
            <w:shd w:val="clear" w:color="auto" w:fill="FFFFFF"/>
            <w:tcMar>
              <w:left w:w="101" w:type="dxa"/>
              <w:right w:w="101" w:type="dxa"/>
            </w:tcMar>
            <w:vAlign w:val="bottom"/>
          </w:tcPr>
          <w:p w14:paraId="2F18D507" w14:textId="77777777" w:rsidR="003F0EEA" w:rsidRPr="001C6501" w:rsidRDefault="003F0EEA">
            <w:pPr>
              <w:rPr>
                <w:rFonts w:ascii="Arial" w:eastAsia="Arial" w:hAnsi="Arial" w:cs="Arial"/>
                <w:b/>
                <w:color w:val="000000"/>
                <w:sz w:val="16"/>
                <w:szCs w:val="20"/>
              </w:rPr>
            </w:pP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66B12849" w14:textId="77777777" w:rsidR="003F0EEA" w:rsidRPr="001C6501" w:rsidRDefault="003F0EEA">
            <w:pPr>
              <w:rPr>
                <w:rFonts w:ascii="Arial" w:eastAsia="Arial" w:hAnsi="Arial" w:cs="Arial"/>
                <w:b/>
                <w:color w:val="000000"/>
                <w:sz w:val="16"/>
                <w:szCs w:val="20"/>
                <w:vertAlign w:val="superscript"/>
              </w:rPr>
            </w:pPr>
          </w:p>
        </w:tc>
        <w:tc>
          <w:tcPr>
            <w:tcW w:w="915" w:type="dxa"/>
            <w:tcBorders>
              <w:top w:val="nil"/>
              <w:left w:val="nil"/>
              <w:bottom w:val="nil"/>
              <w:right w:val="nil"/>
              <w:tl2br w:val="nil"/>
              <w:tr2bl w:val="nil"/>
            </w:tcBorders>
            <w:shd w:val="clear" w:color="auto" w:fill="FFFF00"/>
            <w:tcMar>
              <w:left w:w="101" w:type="dxa"/>
              <w:right w:w="101" w:type="dxa"/>
            </w:tcMar>
            <w:vAlign w:val="bottom"/>
          </w:tcPr>
          <w:p w14:paraId="356361F2" w14:textId="77777777" w:rsidR="003F0EEA" w:rsidRPr="001C6501" w:rsidRDefault="003F0EEA">
            <w:pPr>
              <w:rPr>
                <w:rFonts w:ascii="Arial" w:eastAsia="Arial" w:hAnsi="Arial" w:cs="Arial"/>
                <w:b/>
                <w:color w:val="000000"/>
                <w:sz w:val="16"/>
                <w:szCs w:val="20"/>
                <w:vertAlign w:val="superscript"/>
              </w:rPr>
            </w:pP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40B14A32" w14:textId="77777777" w:rsidR="003F0EEA" w:rsidRPr="001C6501" w:rsidRDefault="003F0EEA">
            <w:pPr>
              <w:rPr>
                <w:rFonts w:ascii="Arial" w:eastAsia="Arial" w:hAnsi="Arial" w:cs="Arial"/>
                <w:b/>
                <w:color w:val="000000"/>
                <w:sz w:val="16"/>
                <w:szCs w:val="20"/>
                <w:vertAlign w:val="superscript"/>
              </w:rPr>
            </w:pP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6C782C5D" w14:textId="77777777" w:rsidR="003F0EEA" w:rsidRPr="001C6501" w:rsidRDefault="003F0EEA">
            <w:pPr>
              <w:rPr>
                <w:rFonts w:ascii="Arial" w:eastAsia="Arial" w:hAnsi="Arial" w:cs="Arial"/>
                <w:b/>
                <w:color w:val="000000"/>
                <w:sz w:val="16"/>
                <w:szCs w:val="20"/>
                <w:vertAlign w:val="superscript"/>
              </w:rPr>
            </w:pP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594AE192" w14:textId="77777777" w:rsidR="003F0EEA" w:rsidRPr="001C6501" w:rsidRDefault="003F0EEA">
            <w:pPr>
              <w:rPr>
                <w:rFonts w:ascii="Arial" w:eastAsia="Arial" w:hAnsi="Arial" w:cs="Arial"/>
                <w:b/>
                <w:color w:val="000000"/>
                <w:sz w:val="16"/>
                <w:szCs w:val="20"/>
                <w:vertAlign w:val="superscript"/>
              </w:rPr>
            </w:pPr>
          </w:p>
        </w:tc>
      </w:tr>
      <w:tr w:rsidR="00FB7D0B" w14:paraId="4218C121" w14:textId="77777777" w:rsidTr="00FB7D0B">
        <w:trPr>
          <w:trHeight w:val="225"/>
        </w:trPr>
        <w:tc>
          <w:tcPr>
            <w:tcW w:w="180" w:type="dxa"/>
            <w:tcBorders>
              <w:top w:val="nil"/>
              <w:left w:val="nil"/>
              <w:bottom w:val="nil"/>
              <w:right w:val="nil"/>
              <w:tl2br w:val="nil"/>
              <w:tr2bl w:val="nil"/>
            </w:tcBorders>
            <w:shd w:val="clear" w:color="auto" w:fill="FFFFFF"/>
            <w:tcMar>
              <w:left w:w="101" w:type="dxa"/>
              <w:right w:w="101" w:type="dxa"/>
            </w:tcMar>
            <w:vAlign w:val="bottom"/>
          </w:tcPr>
          <w:p w14:paraId="646920B7" w14:textId="77777777" w:rsidR="003F0EEA" w:rsidRPr="001C6501" w:rsidRDefault="003F0EEA">
            <w:pPr>
              <w:rPr>
                <w:rFonts w:ascii="Arial" w:eastAsia="Arial" w:hAnsi="Arial" w:cs="Arial"/>
                <w:b/>
                <w:color w:val="000000"/>
                <w:sz w:val="16"/>
                <w:szCs w:val="20"/>
                <w:vertAlign w:val="superscript"/>
              </w:rPr>
            </w:pPr>
          </w:p>
        </w:tc>
        <w:tc>
          <w:tcPr>
            <w:tcW w:w="3030" w:type="dxa"/>
            <w:gridSpan w:val="2"/>
            <w:tcBorders>
              <w:top w:val="nil"/>
              <w:left w:val="nil"/>
              <w:bottom w:val="nil"/>
              <w:right w:val="nil"/>
              <w:tl2br w:val="nil"/>
              <w:tr2bl w:val="nil"/>
            </w:tcBorders>
            <w:shd w:val="clear" w:color="auto" w:fill="FFFFFF"/>
            <w:tcMar>
              <w:left w:w="101" w:type="dxa"/>
              <w:right w:w="101" w:type="dxa"/>
            </w:tcMar>
            <w:vAlign w:val="bottom"/>
          </w:tcPr>
          <w:p w14:paraId="3018F35C" w14:textId="77777777" w:rsidR="003F0EEA" w:rsidRPr="001C6501" w:rsidRDefault="00FB7D0B">
            <w:pPr>
              <w:rPr>
                <w:rFonts w:ascii="Arial" w:eastAsia="Arial" w:hAnsi="Arial" w:cs="Arial"/>
                <w:color w:val="000000"/>
                <w:sz w:val="16"/>
                <w:szCs w:val="20"/>
                <w:vertAlign w:val="superscript"/>
              </w:rPr>
            </w:pPr>
            <w:r w:rsidRPr="001C6501">
              <w:rPr>
                <w:rFonts w:ascii="Arial" w:eastAsia="Arial" w:hAnsi="Arial" w:cs="Arial"/>
                <w:color w:val="000000"/>
                <w:sz w:val="16"/>
                <w:szCs w:val="20"/>
              </w:rPr>
              <w:t>plus depreciation/amortisation expenses</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483CD2F5" w14:textId="77777777" w:rsidR="003F0EEA" w:rsidRPr="001C6501" w:rsidRDefault="003F0EEA">
            <w:pPr>
              <w:rPr>
                <w:rFonts w:ascii="Arial" w:eastAsia="Arial" w:hAnsi="Arial" w:cs="Arial"/>
                <w:color w:val="000000"/>
                <w:sz w:val="16"/>
                <w:szCs w:val="20"/>
                <w:vertAlign w:val="superscript"/>
              </w:rPr>
            </w:pPr>
          </w:p>
        </w:tc>
        <w:tc>
          <w:tcPr>
            <w:tcW w:w="915" w:type="dxa"/>
            <w:tcBorders>
              <w:top w:val="nil"/>
              <w:left w:val="nil"/>
              <w:bottom w:val="nil"/>
              <w:right w:val="nil"/>
              <w:tl2br w:val="nil"/>
              <w:tr2bl w:val="nil"/>
            </w:tcBorders>
            <w:shd w:val="clear" w:color="auto" w:fill="FFFF00"/>
            <w:tcMar>
              <w:left w:w="101" w:type="dxa"/>
              <w:right w:w="101" w:type="dxa"/>
            </w:tcMar>
            <w:vAlign w:val="bottom"/>
          </w:tcPr>
          <w:p w14:paraId="6075E63B" w14:textId="77777777" w:rsidR="003F0EEA" w:rsidRPr="001C6501" w:rsidRDefault="003F0EEA">
            <w:pPr>
              <w:rPr>
                <w:rFonts w:ascii="Arial" w:eastAsia="Arial" w:hAnsi="Arial" w:cs="Arial"/>
                <w:color w:val="000000"/>
                <w:sz w:val="16"/>
                <w:szCs w:val="20"/>
                <w:vertAlign w:val="superscript"/>
              </w:rPr>
            </w:pP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260E4E7C" w14:textId="77777777" w:rsidR="003F0EEA" w:rsidRPr="001C6501" w:rsidRDefault="003F0EEA">
            <w:pPr>
              <w:rPr>
                <w:rFonts w:ascii="Arial" w:eastAsia="Arial" w:hAnsi="Arial" w:cs="Arial"/>
                <w:color w:val="000000"/>
                <w:sz w:val="16"/>
                <w:szCs w:val="20"/>
                <w:vertAlign w:val="superscript"/>
              </w:rPr>
            </w:pP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0DE5B7DA" w14:textId="77777777" w:rsidR="003F0EEA" w:rsidRPr="001C6501" w:rsidRDefault="003F0EEA">
            <w:pPr>
              <w:rPr>
                <w:rFonts w:ascii="Arial" w:eastAsia="Arial" w:hAnsi="Arial" w:cs="Arial"/>
                <w:color w:val="000000"/>
                <w:sz w:val="16"/>
                <w:szCs w:val="20"/>
                <w:vertAlign w:val="superscript"/>
              </w:rPr>
            </w:pP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40CAE0A4" w14:textId="77777777" w:rsidR="003F0EEA" w:rsidRPr="001C6501" w:rsidRDefault="003F0EEA">
            <w:pPr>
              <w:rPr>
                <w:rFonts w:ascii="Arial" w:eastAsia="Arial" w:hAnsi="Arial" w:cs="Arial"/>
                <w:color w:val="000000"/>
                <w:sz w:val="16"/>
                <w:szCs w:val="20"/>
                <w:vertAlign w:val="superscript"/>
              </w:rPr>
            </w:pPr>
          </w:p>
        </w:tc>
      </w:tr>
      <w:tr w:rsidR="00724034" w14:paraId="6C3C2BF4" w14:textId="77777777">
        <w:trPr>
          <w:trHeight w:val="225"/>
        </w:trPr>
        <w:tc>
          <w:tcPr>
            <w:tcW w:w="180" w:type="dxa"/>
            <w:tcBorders>
              <w:top w:val="nil"/>
              <w:left w:val="nil"/>
              <w:bottom w:val="nil"/>
              <w:right w:val="nil"/>
              <w:tl2br w:val="nil"/>
              <w:tr2bl w:val="nil"/>
            </w:tcBorders>
            <w:shd w:val="clear" w:color="auto" w:fill="FFFFFF"/>
            <w:tcMar>
              <w:left w:w="101" w:type="dxa"/>
              <w:right w:w="101" w:type="dxa"/>
            </w:tcMar>
            <w:vAlign w:val="bottom"/>
          </w:tcPr>
          <w:p w14:paraId="4AB5E8C1" w14:textId="77777777" w:rsidR="003F0EEA" w:rsidRPr="001C6501" w:rsidRDefault="003F0EEA">
            <w:pPr>
              <w:rPr>
                <w:rFonts w:ascii="Arial" w:eastAsia="Arial" w:hAnsi="Arial" w:cs="Arial"/>
                <w:color w:val="000000"/>
                <w:sz w:val="16"/>
                <w:szCs w:val="20"/>
                <w:vertAlign w:val="superscript"/>
              </w:rPr>
            </w:pPr>
          </w:p>
        </w:tc>
        <w:tc>
          <w:tcPr>
            <w:tcW w:w="180" w:type="dxa"/>
            <w:tcBorders>
              <w:top w:val="nil"/>
              <w:left w:val="nil"/>
              <w:bottom w:val="nil"/>
              <w:right w:val="nil"/>
              <w:tl2br w:val="nil"/>
              <w:tr2bl w:val="nil"/>
            </w:tcBorders>
            <w:shd w:val="clear" w:color="auto" w:fill="FFFFFF"/>
            <w:tcMar>
              <w:left w:w="101" w:type="dxa"/>
              <w:right w:w="101" w:type="dxa"/>
            </w:tcMar>
            <w:vAlign w:val="bottom"/>
          </w:tcPr>
          <w:p w14:paraId="3FAEFED1" w14:textId="77777777" w:rsidR="003F0EEA" w:rsidRPr="001C6501" w:rsidRDefault="003F0EEA">
            <w:pPr>
              <w:rPr>
                <w:rFonts w:ascii="Arial" w:eastAsia="Arial" w:hAnsi="Arial" w:cs="Arial"/>
                <w:color w:val="000000"/>
                <w:sz w:val="16"/>
                <w:szCs w:val="20"/>
                <w:vertAlign w:val="superscript"/>
              </w:rPr>
            </w:pPr>
          </w:p>
        </w:tc>
        <w:tc>
          <w:tcPr>
            <w:tcW w:w="2850" w:type="dxa"/>
            <w:tcBorders>
              <w:top w:val="nil"/>
              <w:left w:val="nil"/>
              <w:bottom w:val="nil"/>
              <w:right w:val="nil"/>
              <w:tl2br w:val="nil"/>
              <w:tr2bl w:val="nil"/>
            </w:tcBorders>
            <w:shd w:val="clear" w:color="auto" w:fill="FFFFFF"/>
            <w:tcMar>
              <w:left w:w="101" w:type="dxa"/>
              <w:right w:w="101" w:type="dxa"/>
            </w:tcMar>
            <w:vAlign w:val="bottom"/>
          </w:tcPr>
          <w:p w14:paraId="37727570" w14:textId="77777777" w:rsidR="003F0EEA" w:rsidRPr="001C6501" w:rsidRDefault="00FB7D0B">
            <w:pPr>
              <w:rPr>
                <w:rFonts w:ascii="Arial" w:eastAsia="Arial" w:hAnsi="Arial" w:cs="Arial"/>
                <w:color w:val="000000"/>
                <w:sz w:val="16"/>
                <w:szCs w:val="20"/>
                <w:vertAlign w:val="superscript"/>
              </w:rPr>
            </w:pPr>
            <w:r w:rsidRPr="001C6501">
              <w:rPr>
                <w:rFonts w:ascii="Arial" w:eastAsia="Arial" w:hAnsi="Arial" w:cs="Arial"/>
                <w:color w:val="000000"/>
                <w:sz w:val="16"/>
                <w:szCs w:val="20"/>
              </w:rPr>
              <w:t>previously funded through revenue</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3D10178A" w14:textId="77777777" w:rsidR="003F0EEA" w:rsidRPr="001C6501" w:rsidRDefault="003F0EEA">
            <w:pPr>
              <w:rPr>
                <w:rFonts w:ascii="Arial" w:eastAsia="Arial" w:hAnsi="Arial" w:cs="Arial"/>
                <w:color w:val="000000"/>
                <w:sz w:val="16"/>
                <w:szCs w:val="20"/>
                <w:vertAlign w:val="superscript"/>
              </w:rPr>
            </w:pPr>
          </w:p>
        </w:tc>
        <w:tc>
          <w:tcPr>
            <w:tcW w:w="915" w:type="dxa"/>
            <w:tcBorders>
              <w:top w:val="nil"/>
              <w:left w:val="nil"/>
              <w:bottom w:val="nil"/>
              <w:right w:val="nil"/>
              <w:tl2br w:val="nil"/>
              <w:tr2bl w:val="nil"/>
            </w:tcBorders>
            <w:shd w:val="clear" w:color="auto" w:fill="FFFF00"/>
            <w:tcMar>
              <w:left w:w="101" w:type="dxa"/>
              <w:right w:w="101" w:type="dxa"/>
            </w:tcMar>
            <w:vAlign w:val="bottom"/>
          </w:tcPr>
          <w:p w14:paraId="2D63D869" w14:textId="77777777" w:rsidR="003F0EEA" w:rsidRPr="001C6501" w:rsidRDefault="003F0EEA">
            <w:pPr>
              <w:rPr>
                <w:rFonts w:ascii="Arial" w:eastAsia="Arial" w:hAnsi="Arial" w:cs="Arial"/>
                <w:color w:val="000000"/>
                <w:sz w:val="16"/>
                <w:szCs w:val="20"/>
                <w:vertAlign w:val="superscript"/>
              </w:rPr>
            </w:pP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6A71EE5D" w14:textId="77777777" w:rsidR="003F0EEA" w:rsidRPr="001C6501" w:rsidRDefault="003F0EEA">
            <w:pPr>
              <w:rPr>
                <w:rFonts w:ascii="Arial" w:eastAsia="Arial" w:hAnsi="Arial" w:cs="Arial"/>
                <w:color w:val="000000"/>
                <w:sz w:val="16"/>
                <w:szCs w:val="20"/>
                <w:vertAlign w:val="superscript"/>
              </w:rPr>
            </w:pP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2FD244CC" w14:textId="77777777" w:rsidR="003F0EEA" w:rsidRPr="001C6501" w:rsidRDefault="003F0EEA">
            <w:pPr>
              <w:rPr>
                <w:rFonts w:ascii="Arial" w:eastAsia="Arial" w:hAnsi="Arial" w:cs="Arial"/>
                <w:color w:val="000000"/>
                <w:sz w:val="16"/>
                <w:szCs w:val="20"/>
                <w:vertAlign w:val="superscript"/>
              </w:rPr>
            </w:pP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30A605E0" w14:textId="77777777" w:rsidR="003F0EEA" w:rsidRPr="001C6501" w:rsidRDefault="003F0EEA">
            <w:pPr>
              <w:rPr>
                <w:rFonts w:ascii="Arial" w:eastAsia="Arial" w:hAnsi="Arial" w:cs="Arial"/>
                <w:color w:val="000000"/>
                <w:sz w:val="16"/>
                <w:szCs w:val="20"/>
                <w:vertAlign w:val="superscript"/>
              </w:rPr>
            </w:pPr>
          </w:p>
        </w:tc>
      </w:tr>
      <w:tr w:rsidR="00724034" w14:paraId="36487488" w14:textId="77777777">
        <w:trPr>
          <w:trHeight w:val="225"/>
        </w:trPr>
        <w:tc>
          <w:tcPr>
            <w:tcW w:w="180" w:type="dxa"/>
            <w:tcBorders>
              <w:top w:val="nil"/>
              <w:left w:val="nil"/>
              <w:bottom w:val="nil"/>
              <w:right w:val="nil"/>
              <w:tl2br w:val="nil"/>
              <w:tr2bl w:val="nil"/>
            </w:tcBorders>
            <w:shd w:val="clear" w:color="auto" w:fill="FFFFFF"/>
            <w:tcMar>
              <w:left w:w="101" w:type="dxa"/>
              <w:right w:w="101" w:type="dxa"/>
            </w:tcMar>
            <w:vAlign w:val="bottom"/>
          </w:tcPr>
          <w:p w14:paraId="5B6F17B7" w14:textId="77777777" w:rsidR="003F0EEA" w:rsidRPr="001C6501" w:rsidRDefault="003F0EEA">
            <w:pPr>
              <w:rPr>
                <w:rFonts w:ascii="Arial" w:eastAsia="Arial" w:hAnsi="Arial" w:cs="Arial"/>
                <w:color w:val="000000"/>
                <w:sz w:val="16"/>
                <w:szCs w:val="20"/>
                <w:vertAlign w:val="superscript"/>
              </w:rPr>
            </w:pPr>
          </w:p>
        </w:tc>
        <w:tc>
          <w:tcPr>
            <w:tcW w:w="180" w:type="dxa"/>
            <w:tcBorders>
              <w:top w:val="nil"/>
              <w:left w:val="nil"/>
              <w:bottom w:val="nil"/>
              <w:right w:val="nil"/>
              <w:tl2br w:val="nil"/>
              <w:tr2bl w:val="nil"/>
            </w:tcBorders>
            <w:shd w:val="clear" w:color="auto" w:fill="FFFFFF"/>
            <w:tcMar>
              <w:left w:w="101" w:type="dxa"/>
              <w:right w:w="101" w:type="dxa"/>
            </w:tcMar>
            <w:vAlign w:val="bottom"/>
          </w:tcPr>
          <w:p w14:paraId="4FEDACDC" w14:textId="77777777" w:rsidR="003F0EEA" w:rsidRPr="001C6501" w:rsidRDefault="003F0EEA">
            <w:pPr>
              <w:rPr>
                <w:rFonts w:ascii="Arial" w:eastAsia="Arial" w:hAnsi="Arial" w:cs="Arial"/>
                <w:color w:val="000000"/>
                <w:sz w:val="16"/>
                <w:szCs w:val="20"/>
                <w:vertAlign w:val="superscript"/>
              </w:rPr>
            </w:pPr>
          </w:p>
        </w:tc>
        <w:tc>
          <w:tcPr>
            <w:tcW w:w="2850" w:type="dxa"/>
            <w:tcBorders>
              <w:top w:val="nil"/>
              <w:left w:val="nil"/>
              <w:bottom w:val="nil"/>
              <w:right w:val="nil"/>
              <w:tl2br w:val="nil"/>
              <w:tr2bl w:val="nil"/>
            </w:tcBorders>
            <w:shd w:val="clear" w:color="auto" w:fill="FFFFFF"/>
            <w:tcMar>
              <w:left w:w="101" w:type="dxa"/>
              <w:right w:w="101" w:type="dxa"/>
            </w:tcMar>
            <w:vAlign w:val="bottom"/>
          </w:tcPr>
          <w:p w14:paraId="6C0D448B" w14:textId="77777777" w:rsidR="003F0EEA" w:rsidRPr="001C6501" w:rsidRDefault="00FB7D0B">
            <w:pPr>
              <w:rPr>
                <w:rFonts w:ascii="Arial" w:eastAsia="Arial" w:hAnsi="Arial" w:cs="Arial"/>
                <w:color w:val="000000"/>
                <w:sz w:val="16"/>
                <w:szCs w:val="20"/>
                <w:vertAlign w:val="superscript"/>
              </w:rPr>
            </w:pPr>
            <w:r w:rsidRPr="001C6501">
              <w:rPr>
                <w:rFonts w:ascii="Arial" w:eastAsia="Arial" w:hAnsi="Arial" w:cs="Arial"/>
                <w:color w:val="000000"/>
                <w:sz w:val="16"/>
                <w:szCs w:val="20"/>
              </w:rPr>
              <w:t>appropriations</w:t>
            </w:r>
            <w:r w:rsidRPr="001C6501">
              <w:rPr>
                <w:rFonts w:ascii="Arial" w:eastAsia="Arial" w:hAnsi="Arial" w:cs="Arial"/>
                <w:color w:val="000000"/>
                <w:sz w:val="16"/>
                <w:szCs w:val="20"/>
                <w:vertAlign w:val="superscript"/>
              </w:rPr>
              <w:t>1 </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540B736B" w14:textId="77777777" w:rsidR="003F0EEA" w:rsidRPr="001C6501" w:rsidRDefault="00FB7D0B">
            <w:pPr>
              <w:jc w:val="right"/>
              <w:rPr>
                <w:rFonts w:ascii="Arial" w:eastAsia="Arial" w:hAnsi="Arial" w:cs="Arial"/>
                <w:color w:val="000000"/>
                <w:sz w:val="16"/>
                <w:szCs w:val="20"/>
                <w:vertAlign w:val="superscript"/>
              </w:rPr>
            </w:pPr>
            <w:r w:rsidRPr="001C6501">
              <w:rPr>
                <w:rFonts w:ascii="Arial" w:eastAsia="Arial" w:hAnsi="Arial" w:cs="Arial"/>
                <w:color w:val="000000"/>
                <w:sz w:val="16"/>
                <w:szCs w:val="20"/>
              </w:rPr>
              <w:t>75 </w:t>
            </w:r>
          </w:p>
        </w:tc>
        <w:tc>
          <w:tcPr>
            <w:tcW w:w="915" w:type="dxa"/>
            <w:tcBorders>
              <w:top w:val="nil"/>
              <w:left w:val="nil"/>
              <w:bottom w:val="nil"/>
              <w:right w:val="nil"/>
              <w:tl2br w:val="nil"/>
              <w:tr2bl w:val="nil"/>
            </w:tcBorders>
            <w:shd w:val="clear" w:color="auto" w:fill="FFFF00"/>
            <w:tcMar>
              <w:left w:w="101" w:type="dxa"/>
              <w:right w:w="101" w:type="dxa"/>
            </w:tcMar>
            <w:vAlign w:val="bottom"/>
          </w:tcPr>
          <w:p w14:paraId="5657B180" w14:textId="77777777" w:rsidR="003F0EEA" w:rsidRPr="001C6501" w:rsidRDefault="00FB7D0B">
            <w:pPr>
              <w:jc w:val="right"/>
              <w:rPr>
                <w:rFonts w:ascii="Arial" w:eastAsia="Arial" w:hAnsi="Arial" w:cs="Arial"/>
                <w:color w:val="000000"/>
                <w:sz w:val="16"/>
                <w:szCs w:val="20"/>
              </w:rPr>
            </w:pPr>
            <w:r w:rsidRPr="001C6501">
              <w:rPr>
                <w:rFonts w:ascii="Arial" w:eastAsia="Arial" w:hAnsi="Arial" w:cs="Arial"/>
                <w:color w:val="000000"/>
                <w:sz w:val="16"/>
                <w:szCs w:val="20"/>
              </w:rPr>
              <w:t>75 </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7D416F56" w14:textId="77777777" w:rsidR="003F0EEA" w:rsidRPr="001C6501" w:rsidRDefault="00FB7D0B">
            <w:pPr>
              <w:jc w:val="right"/>
              <w:rPr>
                <w:rFonts w:ascii="Arial" w:eastAsia="Arial" w:hAnsi="Arial" w:cs="Arial"/>
                <w:color w:val="000000"/>
                <w:sz w:val="16"/>
                <w:szCs w:val="20"/>
              </w:rPr>
            </w:pPr>
            <w:r w:rsidRPr="001C6501">
              <w:rPr>
                <w:rFonts w:ascii="Arial" w:eastAsia="Arial" w:hAnsi="Arial" w:cs="Arial"/>
                <w:color w:val="000000"/>
                <w:sz w:val="16"/>
                <w:szCs w:val="20"/>
              </w:rPr>
              <w:t>75 </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52592F67" w14:textId="77777777" w:rsidR="003F0EEA" w:rsidRPr="001C6501" w:rsidRDefault="00FB7D0B">
            <w:pPr>
              <w:jc w:val="right"/>
              <w:rPr>
                <w:rFonts w:ascii="Arial" w:eastAsia="Arial" w:hAnsi="Arial" w:cs="Arial"/>
                <w:color w:val="000000"/>
                <w:sz w:val="16"/>
                <w:szCs w:val="20"/>
              </w:rPr>
            </w:pPr>
            <w:r w:rsidRPr="001C6501">
              <w:rPr>
                <w:rFonts w:ascii="Arial" w:eastAsia="Arial" w:hAnsi="Arial" w:cs="Arial"/>
                <w:color w:val="000000"/>
                <w:sz w:val="16"/>
                <w:szCs w:val="20"/>
              </w:rPr>
              <w:t>75 </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427C5151" w14:textId="77777777" w:rsidR="003F0EEA" w:rsidRPr="001C6501" w:rsidRDefault="00FB7D0B">
            <w:pPr>
              <w:jc w:val="right"/>
              <w:rPr>
                <w:rFonts w:ascii="Arial" w:eastAsia="Arial" w:hAnsi="Arial" w:cs="Arial"/>
                <w:color w:val="000000"/>
                <w:sz w:val="16"/>
                <w:szCs w:val="20"/>
              </w:rPr>
            </w:pPr>
            <w:r w:rsidRPr="001C6501">
              <w:rPr>
                <w:rFonts w:ascii="Arial" w:eastAsia="Arial" w:hAnsi="Arial" w:cs="Arial"/>
                <w:color w:val="000000"/>
                <w:sz w:val="16"/>
                <w:szCs w:val="20"/>
              </w:rPr>
              <w:t>75 </w:t>
            </w:r>
          </w:p>
        </w:tc>
      </w:tr>
      <w:tr w:rsidR="00724034" w14:paraId="3BA33343" w14:textId="77777777">
        <w:trPr>
          <w:trHeight w:val="225"/>
        </w:trPr>
        <w:tc>
          <w:tcPr>
            <w:tcW w:w="180" w:type="dxa"/>
            <w:tcBorders>
              <w:top w:val="nil"/>
              <w:left w:val="nil"/>
              <w:bottom w:val="nil"/>
              <w:right w:val="nil"/>
              <w:tl2br w:val="nil"/>
              <w:tr2bl w:val="nil"/>
            </w:tcBorders>
            <w:shd w:val="clear" w:color="auto" w:fill="FFFFFF"/>
            <w:tcMar>
              <w:left w:w="101" w:type="dxa"/>
              <w:right w:w="101" w:type="dxa"/>
            </w:tcMar>
            <w:vAlign w:val="bottom"/>
          </w:tcPr>
          <w:p w14:paraId="14AB52A9" w14:textId="77777777" w:rsidR="003F0EEA" w:rsidRPr="001C6501" w:rsidRDefault="003F0EEA">
            <w:pPr>
              <w:rPr>
                <w:rFonts w:ascii="Arial" w:eastAsia="Arial" w:hAnsi="Arial" w:cs="Arial"/>
                <w:color w:val="000000"/>
                <w:sz w:val="16"/>
                <w:szCs w:val="20"/>
              </w:rPr>
            </w:pPr>
          </w:p>
        </w:tc>
        <w:tc>
          <w:tcPr>
            <w:tcW w:w="180" w:type="dxa"/>
            <w:tcBorders>
              <w:top w:val="nil"/>
              <w:left w:val="nil"/>
              <w:bottom w:val="nil"/>
              <w:right w:val="nil"/>
              <w:tl2br w:val="nil"/>
              <w:tr2bl w:val="nil"/>
            </w:tcBorders>
            <w:shd w:val="clear" w:color="auto" w:fill="FFFFFF"/>
            <w:tcMar>
              <w:left w:w="101" w:type="dxa"/>
              <w:right w:w="101" w:type="dxa"/>
            </w:tcMar>
            <w:vAlign w:val="bottom"/>
          </w:tcPr>
          <w:p w14:paraId="0B8EDB4A" w14:textId="77777777" w:rsidR="003F0EEA" w:rsidRPr="001C6501" w:rsidRDefault="003F0EEA">
            <w:pPr>
              <w:rPr>
                <w:rFonts w:ascii="Arial" w:eastAsia="Arial" w:hAnsi="Arial" w:cs="Arial"/>
                <w:color w:val="000000"/>
                <w:sz w:val="16"/>
                <w:szCs w:val="20"/>
              </w:rPr>
            </w:pPr>
          </w:p>
        </w:tc>
        <w:tc>
          <w:tcPr>
            <w:tcW w:w="2850" w:type="dxa"/>
            <w:tcBorders>
              <w:top w:val="nil"/>
              <w:left w:val="nil"/>
              <w:bottom w:val="nil"/>
              <w:right w:val="nil"/>
              <w:tl2br w:val="nil"/>
              <w:tr2bl w:val="nil"/>
            </w:tcBorders>
            <w:shd w:val="clear" w:color="auto" w:fill="FFFFFF"/>
            <w:tcMar>
              <w:left w:w="101" w:type="dxa"/>
              <w:right w:w="101" w:type="dxa"/>
            </w:tcMar>
            <w:vAlign w:val="bottom"/>
          </w:tcPr>
          <w:p w14:paraId="027F5AB6" w14:textId="77777777" w:rsidR="003F0EEA" w:rsidRPr="001C6501" w:rsidRDefault="003F0EEA">
            <w:pPr>
              <w:rPr>
                <w:rFonts w:ascii="Arial" w:eastAsia="Arial" w:hAnsi="Arial" w:cs="Arial"/>
                <w:color w:val="000000"/>
                <w:sz w:val="16"/>
                <w:szCs w:val="20"/>
              </w:rPr>
            </w:pP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6AC7ADC3" w14:textId="77777777" w:rsidR="003F0EEA" w:rsidRPr="001C6501" w:rsidRDefault="003F0EEA">
            <w:pPr>
              <w:rPr>
                <w:rFonts w:ascii="Arial" w:eastAsia="Arial" w:hAnsi="Arial" w:cs="Arial"/>
                <w:color w:val="000000"/>
                <w:sz w:val="16"/>
                <w:szCs w:val="20"/>
                <w:vertAlign w:val="superscript"/>
              </w:rPr>
            </w:pPr>
          </w:p>
        </w:tc>
        <w:tc>
          <w:tcPr>
            <w:tcW w:w="915" w:type="dxa"/>
            <w:tcBorders>
              <w:top w:val="nil"/>
              <w:left w:val="nil"/>
              <w:bottom w:val="nil"/>
              <w:right w:val="nil"/>
              <w:tl2br w:val="nil"/>
              <w:tr2bl w:val="nil"/>
            </w:tcBorders>
            <w:shd w:val="clear" w:color="auto" w:fill="FFFF00"/>
            <w:tcMar>
              <w:left w:w="101" w:type="dxa"/>
              <w:right w:w="101" w:type="dxa"/>
            </w:tcMar>
            <w:vAlign w:val="bottom"/>
          </w:tcPr>
          <w:p w14:paraId="09621425" w14:textId="77777777" w:rsidR="003F0EEA" w:rsidRPr="001C6501" w:rsidRDefault="003F0EEA">
            <w:pPr>
              <w:rPr>
                <w:rFonts w:ascii="Arial" w:eastAsia="Arial" w:hAnsi="Arial" w:cs="Arial"/>
                <w:color w:val="000000"/>
                <w:sz w:val="16"/>
                <w:szCs w:val="20"/>
                <w:vertAlign w:val="superscript"/>
              </w:rPr>
            </w:pP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12AB950E" w14:textId="77777777" w:rsidR="003F0EEA" w:rsidRPr="001C6501" w:rsidRDefault="003F0EEA">
            <w:pPr>
              <w:rPr>
                <w:rFonts w:ascii="Arial" w:eastAsia="Arial" w:hAnsi="Arial" w:cs="Arial"/>
                <w:color w:val="000000"/>
                <w:sz w:val="16"/>
                <w:szCs w:val="20"/>
                <w:vertAlign w:val="superscript"/>
              </w:rPr>
            </w:pP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5B81E3BF" w14:textId="77777777" w:rsidR="003F0EEA" w:rsidRPr="001C6501" w:rsidRDefault="003F0EEA">
            <w:pPr>
              <w:rPr>
                <w:rFonts w:ascii="Arial" w:eastAsia="Arial" w:hAnsi="Arial" w:cs="Arial"/>
                <w:color w:val="000000"/>
                <w:sz w:val="16"/>
                <w:szCs w:val="20"/>
                <w:vertAlign w:val="superscript"/>
              </w:rPr>
            </w:pP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210AEFEE" w14:textId="77777777" w:rsidR="003F0EEA" w:rsidRPr="001C6501" w:rsidRDefault="003F0EEA">
            <w:pPr>
              <w:rPr>
                <w:rFonts w:ascii="Arial" w:eastAsia="Arial" w:hAnsi="Arial" w:cs="Arial"/>
                <w:color w:val="000000"/>
                <w:sz w:val="16"/>
                <w:szCs w:val="20"/>
                <w:vertAlign w:val="superscript"/>
              </w:rPr>
            </w:pPr>
          </w:p>
        </w:tc>
      </w:tr>
      <w:tr w:rsidR="00FB7D0B" w14:paraId="75E0057D" w14:textId="77777777" w:rsidTr="00FB7D0B">
        <w:trPr>
          <w:trHeight w:val="225"/>
        </w:trPr>
        <w:tc>
          <w:tcPr>
            <w:tcW w:w="3210" w:type="dxa"/>
            <w:gridSpan w:val="3"/>
            <w:tcBorders>
              <w:top w:val="nil"/>
              <w:left w:val="nil"/>
              <w:bottom w:val="nil"/>
              <w:right w:val="nil"/>
              <w:tl2br w:val="nil"/>
              <w:tr2bl w:val="nil"/>
            </w:tcBorders>
            <w:shd w:val="clear" w:color="auto" w:fill="FFFFFF"/>
            <w:tcMar>
              <w:left w:w="101" w:type="dxa"/>
              <w:right w:w="101" w:type="dxa"/>
            </w:tcMar>
            <w:vAlign w:val="bottom"/>
          </w:tcPr>
          <w:p w14:paraId="7EF254D9" w14:textId="77777777" w:rsidR="003F0EEA" w:rsidRPr="001C6501" w:rsidRDefault="00FB7D0B">
            <w:pPr>
              <w:rPr>
                <w:rFonts w:ascii="Arial" w:eastAsia="Arial" w:hAnsi="Arial" w:cs="Arial"/>
                <w:color w:val="000000"/>
                <w:sz w:val="16"/>
                <w:szCs w:val="20"/>
                <w:vertAlign w:val="superscript"/>
              </w:rPr>
            </w:pPr>
            <w:r w:rsidRPr="001C6501">
              <w:rPr>
                <w:rFonts w:ascii="Arial" w:eastAsia="Arial" w:hAnsi="Arial" w:cs="Arial"/>
                <w:b/>
                <w:color w:val="000000"/>
                <w:sz w:val="16"/>
                <w:szCs w:val="20"/>
              </w:rPr>
              <w:t>Total Comprehensive Income</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31ADFBEC" w14:textId="77777777" w:rsidR="003F0EEA" w:rsidRPr="001C6501" w:rsidRDefault="003F0EEA">
            <w:pPr>
              <w:rPr>
                <w:rFonts w:ascii="Arial" w:eastAsia="Arial" w:hAnsi="Arial" w:cs="Arial"/>
                <w:b/>
                <w:color w:val="000000"/>
                <w:sz w:val="16"/>
                <w:szCs w:val="20"/>
                <w:vertAlign w:val="superscript"/>
              </w:rPr>
            </w:pPr>
          </w:p>
        </w:tc>
        <w:tc>
          <w:tcPr>
            <w:tcW w:w="915" w:type="dxa"/>
            <w:tcBorders>
              <w:top w:val="nil"/>
              <w:left w:val="nil"/>
              <w:bottom w:val="nil"/>
              <w:right w:val="nil"/>
              <w:tl2br w:val="nil"/>
              <w:tr2bl w:val="nil"/>
            </w:tcBorders>
            <w:shd w:val="clear" w:color="auto" w:fill="FFFF00"/>
            <w:tcMar>
              <w:left w:w="101" w:type="dxa"/>
              <w:right w:w="101" w:type="dxa"/>
            </w:tcMar>
            <w:vAlign w:val="bottom"/>
          </w:tcPr>
          <w:p w14:paraId="7AA66692" w14:textId="77777777" w:rsidR="003F0EEA" w:rsidRPr="001C6501" w:rsidRDefault="003F0EEA">
            <w:pPr>
              <w:rPr>
                <w:rFonts w:ascii="Arial" w:eastAsia="Arial" w:hAnsi="Arial" w:cs="Arial"/>
                <w:color w:val="000000"/>
                <w:sz w:val="16"/>
                <w:szCs w:val="20"/>
                <w:vertAlign w:val="superscript"/>
              </w:rPr>
            </w:pP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5CB9E713" w14:textId="77777777" w:rsidR="003F0EEA" w:rsidRPr="001C6501" w:rsidRDefault="003F0EEA">
            <w:pPr>
              <w:rPr>
                <w:rFonts w:ascii="Arial" w:eastAsia="Arial" w:hAnsi="Arial" w:cs="Arial"/>
                <w:color w:val="000000"/>
                <w:sz w:val="16"/>
                <w:szCs w:val="20"/>
                <w:vertAlign w:val="superscript"/>
              </w:rPr>
            </w:pP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62E29D71" w14:textId="77777777" w:rsidR="003F0EEA" w:rsidRPr="001C6501" w:rsidRDefault="003F0EEA">
            <w:pPr>
              <w:rPr>
                <w:rFonts w:ascii="Arial" w:eastAsia="Arial" w:hAnsi="Arial" w:cs="Arial"/>
                <w:color w:val="000000"/>
                <w:sz w:val="16"/>
                <w:szCs w:val="20"/>
                <w:vertAlign w:val="superscript"/>
              </w:rPr>
            </w:pP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2ABED437" w14:textId="77777777" w:rsidR="003F0EEA" w:rsidRPr="001C6501" w:rsidRDefault="003F0EEA">
            <w:pPr>
              <w:rPr>
                <w:rFonts w:ascii="Arial" w:eastAsia="Arial" w:hAnsi="Arial" w:cs="Arial"/>
                <w:color w:val="000000"/>
                <w:sz w:val="16"/>
                <w:szCs w:val="20"/>
                <w:vertAlign w:val="superscript"/>
              </w:rPr>
            </w:pPr>
          </w:p>
        </w:tc>
      </w:tr>
      <w:tr w:rsidR="00FB7D0B" w14:paraId="6553F3BD" w14:textId="77777777" w:rsidTr="00FB7D0B">
        <w:trPr>
          <w:trHeight w:val="225"/>
        </w:trPr>
        <w:tc>
          <w:tcPr>
            <w:tcW w:w="180" w:type="dxa"/>
            <w:tcBorders>
              <w:top w:val="nil"/>
              <w:left w:val="nil"/>
              <w:bottom w:val="nil"/>
              <w:right w:val="nil"/>
              <w:tl2br w:val="nil"/>
              <w:tr2bl w:val="nil"/>
            </w:tcBorders>
            <w:shd w:val="clear" w:color="auto" w:fill="FFFFFF"/>
            <w:tcMar>
              <w:left w:w="101" w:type="dxa"/>
              <w:right w:w="101" w:type="dxa"/>
            </w:tcMar>
            <w:vAlign w:val="bottom"/>
          </w:tcPr>
          <w:p w14:paraId="2E3F7F80" w14:textId="77777777" w:rsidR="003F0EEA" w:rsidRPr="001C6501" w:rsidRDefault="003F0EEA">
            <w:pPr>
              <w:rPr>
                <w:rFonts w:ascii="Arial" w:eastAsia="Arial" w:hAnsi="Arial" w:cs="Arial"/>
                <w:color w:val="000000"/>
                <w:sz w:val="16"/>
                <w:szCs w:val="20"/>
                <w:vertAlign w:val="superscript"/>
              </w:rPr>
            </w:pPr>
          </w:p>
        </w:tc>
        <w:tc>
          <w:tcPr>
            <w:tcW w:w="3030" w:type="dxa"/>
            <w:gridSpan w:val="2"/>
            <w:tcBorders>
              <w:top w:val="nil"/>
              <w:left w:val="nil"/>
              <w:bottom w:val="nil"/>
              <w:right w:val="nil"/>
              <w:tl2br w:val="nil"/>
              <w:tr2bl w:val="nil"/>
            </w:tcBorders>
            <w:shd w:val="clear" w:color="auto" w:fill="FFFFFF"/>
            <w:tcMar>
              <w:left w:w="101" w:type="dxa"/>
              <w:right w:w="101" w:type="dxa"/>
            </w:tcMar>
            <w:vAlign w:val="bottom"/>
          </w:tcPr>
          <w:p w14:paraId="550B2B57" w14:textId="77777777" w:rsidR="003F0EEA" w:rsidRPr="001C6501" w:rsidRDefault="00FB7D0B">
            <w:pPr>
              <w:rPr>
                <w:rFonts w:ascii="Arial" w:eastAsia="Arial" w:hAnsi="Arial" w:cs="Arial"/>
                <w:b/>
                <w:color w:val="000000"/>
                <w:sz w:val="16"/>
                <w:szCs w:val="20"/>
                <w:vertAlign w:val="superscript"/>
              </w:rPr>
            </w:pPr>
            <w:r w:rsidRPr="001C6501">
              <w:rPr>
                <w:rFonts w:ascii="Arial" w:eastAsia="Arial" w:hAnsi="Arial" w:cs="Arial"/>
                <w:b/>
                <w:color w:val="000000"/>
                <w:sz w:val="16"/>
                <w:szCs w:val="20"/>
              </w:rPr>
              <w:t>(loss) - as per the Statement of</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288A7A47" w14:textId="77777777" w:rsidR="003F0EEA" w:rsidRPr="001C6501" w:rsidRDefault="003F0EEA">
            <w:pPr>
              <w:rPr>
                <w:rFonts w:ascii="Arial" w:eastAsia="Arial" w:hAnsi="Arial" w:cs="Arial"/>
                <w:b/>
                <w:color w:val="000000"/>
                <w:sz w:val="16"/>
                <w:szCs w:val="20"/>
                <w:vertAlign w:val="superscript"/>
              </w:rPr>
            </w:pPr>
          </w:p>
        </w:tc>
        <w:tc>
          <w:tcPr>
            <w:tcW w:w="915" w:type="dxa"/>
            <w:tcBorders>
              <w:top w:val="nil"/>
              <w:left w:val="nil"/>
              <w:bottom w:val="nil"/>
              <w:right w:val="nil"/>
              <w:tl2br w:val="nil"/>
              <w:tr2bl w:val="nil"/>
            </w:tcBorders>
            <w:shd w:val="clear" w:color="auto" w:fill="FFFF00"/>
            <w:tcMar>
              <w:left w:w="101" w:type="dxa"/>
              <w:right w:w="101" w:type="dxa"/>
            </w:tcMar>
            <w:vAlign w:val="bottom"/>
          </w:tcPr>
          <w:p w14:paraId="6381CF2E" w14:textId="77777777" w:rsidR="003F0EEA" w:rsidRPr="001C6501" w:rsidRDefault="003F0EEA">
            <w:pPr>
              <w:rPr>
                <w:rFonts w:ascii="Arial" w:eastAsia="Arial" w:hAnsi="Arial" w:cs="Arial"/>
                <w:color w:val="000000"/>
                <w:sz w:val="16"/>
                <w:szCs w:val="20"/>
                <w:vertAlign w:val="superscript"/>
              </w:rPr>
            </w:pP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05F60C4E" w14:textId="77777777" w:rsidR="003F0EEA" w:rsidRPr="001C6501" w:rsidRDefault="003F0EEA">
            <w:pPr>
              <w:rPr>
                <w:rFonts w:ascii="Arial" w:eastAsia="Arial" w:hAnsi="Arial" w:cs="Arial"/>
                <w:color w:val="000000"/>
                <w:sz w:val="16"/>
                <w:szCs w:val="20"/>
                <w:vertAlign w:val="superscript"/>
              </w:rPr>
            </w:pP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4B42B1BA" w14:textId="77777777" w:rsidR="003F0EEA" w:rsidRPr="001C6501" w:rsidRDefault="003F0EEA">
            <w:pPr>
              <w:rPr>
                <w:rFonts w:ascii="Arial" w:eastAsia="Arial" w:hAnsi="Arial" w:cs="Arial"/>
                <w:color w:val="000000"/>
                <w:sz w:val="16"/>
                <w:szCs w:val="20"/>
                <w:vertAlign w:val="superscript"/>
              </w:rPr>
            </w:pP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58A8F88C" w14:textId="77777777" w:rsidR="003F0EEA" w:rsidRPr="001C6501" w:rsidRDefault="003F0EEA">
            <w:pPr>
              <w:rPr>
                <w:rFonts w:ascii="Arial" w:eastAsia="Arial" w:hAnsi="Arial" w:cs="Arial"/>
                <w:color w:val="000000"/>
                <w:sz w:val="16"/>
                <w:szCs w:val="20"/>
                <w:vertAlign w:val="superscript"/>
              </w:rPr>
            </w:pPr>
          </w:p>
        </w:tc>
      </w:tr>
      <w:tr w:rsidR="00FB7D0B" w14:paraId="6E22B8BB" w14:textId="77777777" w:rsidTr="00FB7D0B">
        <w:trPr>
          <w:trHeight w:val="225"/>
        </w:trPr>
        <w:tc>
          <w:tcPr>
            <w:tcW w:w="180"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60BA948A" w14:textId="77777777" w:rsidR="003F0EEA" w:rsidRPr="001C6501" w:rsidRDefault="003F0EEA">
            <w:pPr>
              <w:rPr>
                <w:rFonts w:ascii="Arial" w:eastAsia="Arial" w:hAnsi="Arial" w:cs="Arial"/>
                <w:color w:val="000000"/>
                <w:sz w:val="16"/>
                <w:szCs w:val="20"/>
                <w:vertAlign w:val="superscript"/>
              </w:rPr>
            </w:pPr>
          </w:p>
        </w:tc>
        <w:tc>
          <w:tcPr>
            <w:tcW w:w="3030" w:type="dxa"/>
            <w:gridSpan w:val="2"/>
            <w:tcBorders>
              <w:top w:val="nil"/>
              <w:left w:val="nil"/>
              <w:bottom w:val="single" w:sz="6" w:space="0" w:color="000000"/>
              <w:right w:val="nil"/>
              <w:tl2br w:val="nil"/>
              <w:tr2bl w:val="nil"/>
            </w:tcBorders>
            <w:shd w:val="clear" w:color="auto" w:fill="FFFFFF"/>
            <w:tcMar>
              <w:left w:w="101" w:type="dxa"/>
              <w:right w:w="101" w:type="dxa"/>
            </w:tcMar>
            <w:vAlign w:val="bottom"/>
          </w:tcPr>
          <w:p w14:paraId="70E16E23" w14:textId="77777777" w:rsidR="003F0EEA" w:rsidRPr="001C6501" w:rsidRDefault="00FB7D0B">
            <w:pPr>
              <w:rPr>
                <w:rFonts w:ascii="Arial" w:eastAsia="Arial" w:hAnsi="Arial" w:cs="Arial"/>
                <w:color w:val="000000"/>
                <w:sz w:val="16"/>
                <w:szCs w:val="20"/>
                <w:vertAlign w:val="superscript"/>
              </w:rPr>
            </w:pPr>
            <w:r w:rsidRPr="001C6501">
              <w:rPr>
                <w:rFonts w:ascii="Arial" w:eastAsia="Arial" w:hAnsi="Arial" w:cs="Arial"/>
                <w:b/>
                <w:color w:val="000000"/>
                <w:sz w:val="16"/>
                <w:szCs w:val="20"/>
              </w:rPr>
              <w:t>Comprehensive Income</w:t>
            </w:r>
          </w:p>
        </w:tc>
        <w:tc>
          <w:tcPr>
            <w:tcW w:w="915"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134B2629" w14:textId="77777777" w:rsidR="003F0EEA" w:rsidRPr="001C6501" w:rsidRDefault="00FB7D0B">
            <w:pPr>
              <w:jc w:val="right"/>
              <w:rPr>
                <w:rFonts w:ascii="Arial" w:eastAsia="Arial" w:hAnsi="Arial" w:cs="Arial"/>
                <w:b/>
                <w:color w:val="000000"/>
                <w:sz w:val="16"/>
                <w:szCs w:val="20"/>
                <w:vertAlign w:val="superscript"/>
              </w:rPr>
            </w:pPr>
            <w:r w:rsidRPr="001C6501">
              <w:rPr>
                <w:rFonts w:ascii="Arial" w:eastAsia="Arial" w:hAnsi="Arial" w:cs="Arial"/>
                <w:b/>
                <w:color w:val="000000"/>
                <w:sz w:val="16"/>
                <w:szCs w:val="20"/>
              </w:rPr>
              <w:t>2,407 </w:t>
            </w:r>
          </w:p>
        </w:tc>
        <w:tc>
          <w:tcPr>
            <w:tcW w:w="915" w:type="dxa"/>
            <w:tcBorders>
              <w:top w:val="nil"/>
              <w:left w:val="nil"/>
              <w:bottom w:val="single" w:sz="6" w:space="0" w:color="000000"/>
              <w:right w:val="nil"/>
              <w:tl2br w:val="nil"/>
              <w:tr2bl w:val="nil"/>
            </w:tcBorders>
            <w:shd w:val="clear" w:color="auto" w:fill="FFFF00"/>
            <w:tcMar>
              <w:left w:w="101" w:type="dxa"/>
              <w:right w:w="101" w:type="dxa"/>
            </w:tcMar>
            <w:vAlign w:val="bottom"/>
          </w:tcPr>
          <w:p w14:paraId="4503A6AC" w14:textId="77777777" w:rsidR="003F0EEA" w:rsidRPr="001C6501" w:rsidRDefault="00FB7D0B">
            <w:pPr>
              <w:jc w:val="right"/>
              <w:rPr>
                <w:rFonts w:ascii="Arial" w:eastAsia="Arial" w:hAnsi="Arial" w:cs="Arial"/>
                <w:b/>
                <w:color w:val="000000"/>
                <w:sz w:val="16"/>
                <w:szCs w:val="20"/>
              </w:rPr>
            </w:pPr>
            <w:r w:rsidRPr="001C6501">
              <w:rPr>
                <w:rFonts w:ascii="Arial" w:eastAsia="Arial" w:hAnsi="Arial" w:cs="Arial"/>
                <w:b/>
                <w:color w:val="000000"/>
                <w:sz w:val="16"/>
                <w:szCs w:val="20"/>
              </w:rPr>
              <w:t>3,504 </w:t>
            </w:r>
          </w:p>
        </w:tc>
        <w:tc>
          <w:tcPr>
            <w:tcW w:w="915"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381DDBAB" w14:textId="77777777" w:rsidR="003F0EEA" w:rsidRPr="001C6501" w:rsidRDefault="00FB7D0B">
            <w:pPr>
              <w:jc w:val="right"/>
              <w:rPr>
                <w:rFonts w:ascii="Arial" w:eastAsia="Arial" w:hAnsi="Arial" w:cs="Arial"/>
                <w:b/>
                <w:color w:val="000000"/>
                <w:sz w:val="16"/>
                <w:szCs w:val="20"/>
              </w:rPr>
            </w:pPr>
            <w:r w:rsidRPr="001C6501">
              <w:rPr>
                <w:rFonts w:ascii="Arial" w:eastAsia="Arial" w:hAnsi="Arial" w:cs="Arial"/>
                <w:b/>
                <w:color w:val="000000"/>
                <w:sz w:val="16"/>
                <w:szCs w:val="20"/>
              </w:rPr>
              <w:t>4,865 </w:t>
            </w:r>
          </w:p>
        </w:tc>
        <w:tc>
          <w:tcPr>
            <w:tcW w:w="915"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6C80F806" w14:textId="77777777" w:rsidR="003F0EEA" w:rsidRPr="001C6501" w:rsidRDefault="00FB7D0B">
            <w:pPr>
              <w:jc w:val="right"/>
              <w:rPr>
                <w:rFonts w:ascii="Arial" w:eastAsia="Arial" w:hAnsi="Arial" w:cs="Arial"/>
                <w:b/>
                <w:color w:val="000000"/>
                <w:sz w:val="16"/>
                <w:szCs w:val="20"/>
              </w:rPr>
            </w:pPr>
            <w:r w:rsidRPr="001C6501">
              <w:rPr>
                <w:rFonts w:ascii="Arial" w:eastAsia="Arial" w:hAnsi="Arial" w:cs="Arial"/>
                <w:b/>
                <w:color w:val="000000"/>
                <w:sz w:val="16"/>
                <w:szCs w:val="20"/>
              </w:rPr>
              <w:t>6,445 </w:t>
            </w:r>
          </w:p>
        </w:tc>
        <w:tc>
          <w:tcPr>
            <w:tcW w:w="915"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2AB7F445" w14:textId="77777777" w:rsidR="003F0EEA" w:rsidRPr="001C6501" w:rsidRDefault="00FB7D0B">
            <w:pPr>
              <w:jc w:val="right"/>
              <w:rPr>
                <w:rFonts w:ascii="Arial" w:eastAsia="Arial" w:hAnsi="Arial" w:cs="Arial"/>
                <w:b/>
                <w:color w:val="000000"/>
                <w:sz w:val="16"/>
                <w:szCs w:val="20"/>
              </w:rPr>
            </w:pPr>
            <w:r w:rsidRPr="001C6501">
              <w:rPr>
                <w:rFonts w:ascii="Arial" w:eastAsia="Arial" w:hAnsi="Arial" w:cs="Arial"/>
                <w:b/>
                <w:color w:val="000000"/>
                <w:sz w:val="16"/>
                <w:szCs w:val="20"/>
              </w:rPr>
              <w:t>8,269 </w:t>
            </w:r>
          </w:p>
        </w:tc>
      </w:tr>
    </w:tbl>
    <w:p w14:paraId="4515CA94" w14:textId="77777777" w:rsidR="003F0EEA" w:rsidRDefault="00FB7D0B" w:rsidP="003F0EEA">
      <w:pPr>
        <w:pStyle w:val="Source11"/>
      </w:pPr>
      <w:r>
        <w:t>Prepared on Australian Accounting Standards basis</w:t>
      </w:r>
    </w:p>
    <w:p w14:paraId="7009784A" w14:textId="77777777" w:rsidR="003F0EEA" w:rsidRDefault="003F0EEA" w:rsidP="003F0EEA">
      <w:pPr>
        <w:pStyle w:val="Source11"/>
      </w:pPr>
    </w:p>
    <w:p w14:paraId="365897A2" w14:textId="77777777" w:rsidR="003F0EEA" w:rsidRPr="00AE3DD3" w:rsidRDefault="00FB7D0B" w:rsidP="003F0EEA">
      <w:pPr>
        <w:pStyle w:val="Source11"/>
      </w:pPr>
      <w:r>
        <w:t xml:space="preserve">1. </w:t>
      </w:r>
      <w:r w:rsidRPr="007B142F">
        <w:t>From 2010-11, the Government introduced net cash appropriation arrangements where Bill 1 revenue appropriations for the depreciation/amortisation expenses of FMA Act agencies were replaced with a separate capital budget (the Departmental Capital Budget, or DCB) provided through Bill 1 equity appropriations. For information regarding DCBs, please refer to Table 3.2.5 Departmental Capital Budget Statement.</w:t>
      </w:r>
    </w:p>
    <w:p w14:paraId="7FBDF94A" w14:textId="77777777" w:rsidR="003F0EEA" w:rsidRPr="00AE3DD3" w:rsidRDefault="00FB7D0B">
      <w:pPr>
        <w:spacing w:line="14" w:lineRule="exact"/>
        <w:rPr>
          <w:rFonts w:eastAsia="Times New Roman" w:cs="Times New Roman"/>
        </w:rPr>
      </w:pPr>
      <w:r w:rsidRPr="00AE3DD3">
        <w:rPr>
          <w:rFonts w:eastAsia="Times New Roman" w:cs="Times New Roman"/>
        </w:rPr>
        <w:br w:type="page"/>
      </w:r>
    </w:p>
    <w:p w14:paraId="36118B1D" w14:textId="77777777" w:rsidR="003F0EEA" w:rsidRDefault="00FB7D0B" w:rsidP="003F0EEA">
      <w:pPr>
        <w:pStyle w:val="TableHeading17"/>
        <w:spacing w:after="0"/>
      </w:pPr>
      <w:r>
        <w:t xml:space="preserve">Table </w:t>
      </w:r>
      <w:r w:rsidRPr="00EC7E82">
        <w:t>3.2</w:t>
      </w:r>
      <w:r>
        <w:t xml:space="preserve">.2c: Budgeted Departmental Balance Sheet (DSHIS) </w:t>
      </w:r>
      <w:r>
        <w:br/>
      </w:r>
      <w:r w:rsidRPr="006F2C20">
        <w:t>as at 30 June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2"/>
        <w:gridCol w:w="222"/>
        <w:gridCol w:w="2700"/>
        <w:gridCol w:w="915"/>
        <w:gridCol w:w="915"/>
        <w:gridCol w:w="915"/>
        <w:gridCol w:w="915"/>
        <w:gridCol w:w="915"/>
      </w:tblGrid>
      <w:tr w:rsidR="00724034" w14:paraId="366C08C4" w14:textId="77777777">
        <w:trPr>
          <w:trHeight w:val="225"/>
        </w:trPr>
        <w:tc>
          <w:tcPr>
            <w:tcW w:w="180"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5A129B7E" w14:textId="77777777" w:rsidR="003F0EEA" w:rsidRDefault="003F0EEA">
            <w:pPr>
              <w:rPr>
                <w:rFonts w:eastAsia="Times New Roman"/>
              </w:rPr>
            </w:pPr>
          </w:p>
        </w:tc>
        <w:tc>
          <w:tcPr>
            <w:tcW w:w="180"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16E42750" w14:textId="77777777" w:rsidR="003F0EEA" w:rsidRDefault="003F0EEA">
            <w:pPr>
              <w:rPr>
                <w:rFonts w:ascii="Arial" w:eastAsia="Arial" w:hAnsi="Arial" w:cs="Arial"/>
                <w:color w:val="000000"/>
                <w:sz w:val="16"/>
              </w:rPr>
            </w:pPr>
          </w:p>
        </w:tc>
        <w:tc>
          <w:tcPr>
            <w:tcW w:w="2700"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49C4E92D" w14:textId="77777777" w:rsidR="003F0EEA" w:rsidRDefault="003F0EEA">
            <w:pPr>
              <w:rPr>
                <w:rFonts w:ascii="Arial" w:eastAsia="Arial" w:hAnsi="Arial" w:cs="Arial"/>
                <w:color w:val="000000"/>
                <w:sz w:val="16"/>
              </w:rPr>
            </w:pPr>
          </w:p>
        </w:tc>
        <w:tc>
          <w:tcPr>
            <w:tcW w:w="91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22323745" w14:textId="77777777" w:rsidR="003F0EEA" w:rsidRDefault="00FB7D0B">
            <w:pPr>
              <w:jc w:val="right"/>
              <w:rPr>
                <w:rFonts w:ascii="Arial" w:eastAsia="Arial" w:hAnsi="Arial" w:cs="Arial"/>
                <w:color w:val="000000"/>
                <w:sz w:val="16"/>
                <w:vertAlign w:val="superscript"/>
              </w:rPr>
            </w:pPr>
            <w:r>
              <w:rPr>
                <w:rFonts w:ascii="Arial" w:eastAsia="Arial" w:hAnsi="Arial" w:cs="Arial"/>
                <w:color w:val="000000"/>
                <w:sz w:val="16"/>
              </w:rPr>
              <w:t>Estimated</w:t>
            </w:r>
          </w:p>
        </w:tc>
        <w:tc>
          <w:tcPr>
            <w:tcW w:w="915" w:type="dxa"/>
            <w:tcBorders>
              <w:top w:val="single" w:sz="6" w:space="0" w:color="000000"/>
              <w:left w:val="nil"/>
              <w:bottom w:val="nil"/>
              <w:right w:val="nil"/>
              <w:tl2br w:val="nil"/>
              <w:tr2bl w:val="nil"/>
            </w:tcBorders>
            <w:shd w:val="clear" w:color="auto" w:fill="FFFF00"/>
            <w:tcMar>
              <w:left w:w="101" w:type="dxa"/>
              <w:right w:w="101" w:type="dxa"/>
            </w:tcMar>
            <w:vAlign w:val="bottom"/>
          </w:tcPr>
          <w:p w14:paraId="7B7F1653" w14:textId="77777777" w:rsidR="003F0EEA" w:rsidRDefault="00FB7D0B">
            <w:pPr>
              <w:jc w:val="right"/>
              <w:rPr>
                <w:rFonts w:ascii="Arial" w:eastAsia="Arial" w:hAnsi="Arial" w:cs="Arial"/>
                <w:color w:val="000000"/>
                <w:sz w:val="16"/>
              </w:rPr>
            </w:pPr>
            <w:r>
              <w:rPr>
                <w:rFonts w:ascii="Arial" w:eastAsia="Arial" w:hAnsi="Arial" w:cs="Arial"/>
                <w:color w:val="000000"/>
                <w:sz w:val="16"/>
              </w:rPr>
              <w:t>Budget</w:t>
            </w:r>
          </w:p>
        </w:tc>
        <w:tc>
          <w:tcPr>
            <w:tcW w:w="91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55885A33" w14:textId="77777777" w:rsidR="003F0EEA" w:rsidRDefault="00FB7D0B">
            <w:pPr>
              <w:jc w:val="right"/>
              <w:rPr>
                <w:rFonts w:ascii="Arial" w:eastAsia="Arial" w:hAnsi="Arial" w:cs="Arial"/>
                <w:color w:val="000000"/>
                <w:sz w:val="16"/>
              </w:rPr>
            </w:pPr>
            <w:r>
              <w:rPr>
                <w:rFonts w:ascii="Arial" w:eastAsia="Arial" w:hAnsi="Arial" w:cs="Arial"/>
                <w:color w:val="000000"/>
                <w:sz w:val="16"/>
              </w:rPr>
              <w:t>Forward</w:t>
            </w:r>
          </w:p>
        </w:tc>
        <w:tc>
          <w:tcPr>
            <w:tcW w:w="91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6AF92DAB" w14:textId="77777777" w:rsidR="003F0EEA" w:rsidRDefault="00FB7D0B">
            <w:pPr>
              <w:jc w:val="right"/>
              <w:rPr>
                <w:rFonts w:ascii="Arial" w:eastAsia="Arial" w:hAnsi="Arial" w:cs="Arial"/>
                <w:color w:val="000000"/>
                <w:sz w:val="16"/>
              </w:rPr>
            </w:pPr>
            <w:r>
              <w:rPr>
                <w:rFonts w:ascii="Arial" w:eastAsia="Arial" w:hAnsi="Arial" w:cs="Arial"/>
                <w:color w:val="000000"/>
                <w:sz w:val="16"/>
              </w:rPr>
              <w:t>Forward</w:t>
            </w:r>
          </w:p>
        </w:tc>
        <w:tc>
          <w:tcPr>
            <w:tcW w:w="91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7459DC79" w14:textId="77777777" w:rsidR="003F0EEA" w:rsidRDefault="00FB7D0B">
            <w:pPr>
              <w:jc w:val="right"/>
              <w:rPr>
                <w:rFonts w:ascii="Arial" w:eastAsia="Arial" w:hAnsi="Arial" w:cs="Arial"/>
                <w:color w:val="000000"/>
                <w:sz w:val="16"/>
              </w:rPr>
            </w:pPr>
            <w:r>
              <w:rPr>
                <w:rFonts w:ascii="Arial" w:eastAsia="Arial" w:hAnsi="Arial" w:cs="Arial"/>
                <w:color w:val="000000"/>
                <w:sz w:val="16"/>
              </w:rPr>
              <w:t>Forward</w:t>
            </w:r>
          </w:p>
        </w:tc>
      </w:tr>
      <w:tr w:rsidR="00724034" w14:paraId="475ADA22" w14:textId="77777777">
        <w:trPr>
          <w:trHeight w:val="225"/>
        </w:trPr>
        <w:tc>
          <w:tcPr>
            <w:tcW w:w="180" w:type="dxa"/>
            <w:tcBorders>
              <w:top w:val="nil"/>
              <w:left w:val="nil"/>
              <w:bottom w:val="nil"/>
              <w:right w:val="nil"/>
              <w:tl2br w:val="nil"/>
              <w:tr2bl w:val="nil"/>
            </w:tcBorders>
            <w:shd w:val="clear" w:color="auto" w:fill="FFFFFF"/>
            <w:tcMar>
              <w:left w:w="101" w:type="dxa"/>
              <w:right w:w="101" w:type="dxa"/>
            </w:tcMar>
            <w:vAlign w:val="bottom"/>
          </w:tcPr>
          <w:p w14:paraId="699915F3" w14:textId="77777777" w:rsidR="003F0EEA" w:rsidRDefault="003F0EEA">
            <w:pPr>
              <w:rPr>
                <w:rFonts w:ascii="Arial" w:eastAsia="Arial" w:hAnsi="Arial" w:cs="Arial"/>
                <w:color w:val="000000"/>
                <w:sz w:val="16"/>
              </w:rPr>
            </w:pPr>
          </w:p>
        </w:tc>
        <w:tc>
          <w:tcPr>
            <w:tcW w:w="180" w:type="dxa"/>
            <w:tcBorders>
              <w:top w:val="nil"/>
              <w:left w:val="nil"/>
              <w:bottom w:val="nil"/>
              <w:right w:val="nil"/>
              <w:tl2br w:val="nil"/>
              <w:tr2bl w:val="nil"/>
            </w:tcBorders>
            <w:shd w:val="clear" w:color="auto" w:fill="FFFFFF"/>
            <w:tcMar>
              <w:left w:w="101" w:type="dxa"/>
              <w:right w:w="101" w:type="dxa"/>
            </w:tcMar>
            <w:vAlign w:val="bottom"/>
          </w:tcPr>
          <w:p w14:paraId="30EC07CF" w14:textId="77777777" w:rsidR="003F0EEA" w:rsidRDefault="003F0EEA">
            <w:pPr>
              <w:rPr>
                <w:rFonts w:ascii="Arial" w:eastAsia="Arial" w:hAnsi="Arial" w:cs="Arial"/>
                <w:color w:val="000000"/>
                <w:sz w:val="16"/>
              </w:rPr>
            </w:pPr>
          </w:p>
        </w:tc>
        <w:tc>
          <w:tcPr>
            <w:tcW w:w="2700" w:type="dxa"/>
            <w:tcBorders>
              <w:top w:val="nil"/>
              <w:left w:val="nil"/>
              <w:bottom w:val="nil"/>
              <w:right w:val="nil"/>
              <w:tl2br w:val="nil"/>
              <w:tr2bl w:val="nil"/>
            </w:tcBorders>
            <w:shd w:val="clear" w:color="auto" w:fill="FFFFFF"/>
            <w:tcMar>
              <w:left w:w="101" w:type="dxa"/>
              <w:right w:w="101" w:type="dxa"/>
            </w:tcMar>
            <w:vAlign w:val="bottom"/>
          </w:tcPr>
          <w:p w14:paraId="69F465B1" w14:textId="77777777" w:rsidR="003F0EEA" w:rsidRDefault="003F0EEA">
            <w:pPr>
              <w:rPr>
                <w:rFonts w:ascii="Arial" w:eastAsia="Arial" w:hAnsi="Arial" w:cs="Arial"/>
                <w:color w:val="000000"/>
                <w:sz w:val="16"/>
              </w:rPr>
            </w:pP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5FEE1ACE" w14:textId="77777777" w:rsidR="003F0EEA" w:rsidRDefault="00FB7D0B">
            <w:pPr>
              <w:jc w:val="right"/>
              <w:rPr>
                <w:rFonts w:ascii="Arial" w:eastAsia="Arial" w:hAnsi="Arial" w:cs="Arial"/>
                <w:color w:val="000000"/>
                <w:sz w:val="16"/>
                <w:vertAlign w:val="superscript"/>
              </w:rPr>
            </w:pPr>
            <w:r>
              <w:rPr>
                <w:rFonts w:ascii="Arial" w:eastAsia="Arial" w:hAnsi="Arial" w:cs="Arial"/>
                <w:color w:val="000000"/>
                <w:sz w:val="16"/>
              </w:rPr>
              <w:t>actual</w:t>
            </w:r>
          </w:p>
        </w:tc>
        <w:tc>
          <w:tcPr>
            <w:tcW w:w="915" w:type="dxa"/>
            <w:tcBorders>
              <w:top w:val="nil"/>
              <w:left w:val="nil"/>
              <w:bottom w:val="nil"/>
              <w:right w:val="nil"/>
              <w:tl2br w:val="nil"/>
              <w:tr2bl w:val="nil"/>
            </w:tcBorders>
            <w:shd w:val="clear" w:color="auto" w:fill="FFFF00"/>
            <w:tcMar>
              <w:left w:w="101" w:type="dxa"/>
              <w:right w:w="101" w:type="dxa"/>
            </w:tcMar>
            <w:vAlign w:val="bottom"/>
          </w:tcPr>
          <w:p w14:paraId="4C873311" w14:textId="77777777" w:rsidR="003F0EEA" w:rsidRDefault="00FB7D0B">
            <w:pPr>
              <w:jc w:val="right"/>
              <w:rPr>
                <w:rFonts w:ascii="Arial" w:eastAsia="Arial" w:hAnsi="Arial" w:cs="Arial"/>
                <w:color w:val="000000"/>
                <w:sz w:val="16"/>
              </w:rPr>
            </w:pPr>
            <w:r>
              <w:rPr>
                <w:rFonts w:ascii="Arial" w:eastAsia="Arial" w:hAnsi="Arial" w:cs="Arial"/>
                <w:color w:val="000000"/>
                <w:sz w:val="16"/>
              </w:rPr>
              <w:t>estimate</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79BEF208" w14:textId="77777777" w:rsidR="003F0EEA" w:rsidRDefault="00FB7D0B">
            <w:pPr>
              <w:jc w:val="right"/>
              <w:rPr>
                <w:rFonts w:ascii="Arial" w:eastAsia="Arial" w:hAnsi="Arial" w:cs="Arial"/>
                <w:color w:val="000000"/>
                <w:sz w:val="16"/>
              </w:rPr>
            </w:pPr>
            <w:r>
              <w:rPr>
                <w:rFonts w:ascii="Arial" w:eastAsia="Arial" w:hAnsi="Arial" w:cs="Arial"/>
                <w:color w:val="000000"/>
                <w:sz w:val="16"/>
              </w:rPr>
              <w:t>estimate</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2D581B76" w14:textId="77777777" w:rsidR="003F0EEA" w:rsidRDefault="00FB7D0B">
            <w:pPr>
              <w:jc w:val="right"/>
              <w:rPr>
                <w:rFonts w:ascii="Arial" w:eastAsia="Arial" w:hAnsi="Arial" w:cs="Arial"/>
                <w:color w:val="000000"/>
                <w:sz w:val="16"/>
              </w:rPr>
            </w:pPr>
            <w:r>
              <w:rPr>
                <w:rFonts w:ascii="Arial" w:eastAsia="Arial" w:hAnsi="Arial" w:cs="Arial"/>
                <w:color w:val="000000"/>
                <w:sz w:val="16"/>
              </w:rPr>
              <w:t>estimate</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28224FC4" w14:textId="77777777" w:rsidR="003F0EEA" w:rsidRDefault="00FB7D0B">
            <w:pPr>
              <w:jc w:val="right"/>
              <w:rPr>
                <w:rFonts w:ascii="Arial" w:eastAsia="Arial" w:hAnsi="Arial" w:cs="Arial"/>
                <w:color w:val="000000"/>
                <w:sz w:val="16"/>
              </w:rPr>
            </w:pPr>
            <w:r>
              <w:rPr>
                <w:rFonts w:ascii="Arial" w:eastAsia="Arial" w:hAnsi="Arial" w:cs="Arial"/>
                <w:color w:val="000000"/>
                <w:sz w:val="16"/>
              </w:rPr>
              <w:t>estimate</w:t>
            </w:r>
          </w:p>
        </w:tc>
      </w:tr>
      <w:tr w:rsidR="00724034" w14:paraId="272F43F7" w14:textId="77777777">
        <w:trPr>
          <w:trHeight w:val="225"/>
        </w:trPr>
        <w:tc>
          <w:tcPr>
            <w:tcW w:w="180" w:type="dxa"/>
            <w:tcBorders>
              <w:top w:val="nil"/>
              <w:left w:val="nil"/>
              <w:bottom w:val="nil"/>
              <w:right w:val="nil"/>
              <w:tl2br w:val="nil"/>
              <w:tr2bl w:val="nil"/>
            </w:tcBorders>
            <w:shd w:val="clear" w:color="auto" w:fill="FFFFFF"/>
            <w:tcMar>
              <w:left w:w="101" w:type="dxa"/>
              <w:right w:w="101" w:type="dxa"/>
            </w:tcMar>
            <w:vAlign w:val="bottom"/>
          </w:tcPr>
          <w:p w14:paraId="036F3295" w14:textId="77777777" w:rsidR="003F0EEA" w:rsidRDefault="003F0EEA">
            <w:pPr>
              <w:rPr>
                <w:rFonts w:ascii="Arial" w:eastAsia="Arial" w:hAnsi="Arial" w:cs="Arial"/>
                <w:color w:val="000000"/>
                <w:sz w:val="16"/>
              </w:rPr>
            </w:pPr>
          </w:p>
        </w:tc>
        <w:tc>
          <w:tcPr>
            <w:tcW w:w="180" w:type="dxa"/>
            <w:tcBorders>
              <w:top w:val="nil"/>
              <w:left w:val="nil"/>
              <w:bottom w:val="nil"/>
              <w:right w:val="nil"/>
              <w:tl2br w:val="nil"/>
              <w:tr2bl w:val="nil"/>
            </w:tcBorders>
            <w:shd w:val="clear" w:color="auto" w:fill="FFFFFF"/>
            <w:tcMar>
              <w:left w:w="101" w:type="dxa"/>
              <w:right w:w="101" w:type="dxa"/>
            </w:tcMar>
            <w:vAlign w:val="bottom"/>
          </w:tcPr>
          <w:p w14:paraId="5BF424A4" w14:textId="77777777" w:rsidR="003F0EEA" w:rsidRDefault="003F0EEA">
            <w:pPr>
              <w:rPr>
                <w:rFonts w:ascii="Arial" w:eastAsia="Arial" w:hAnsi="Arial" w:cs="Arial"/>
                <w:color w:val="000000"/>
                <w:sz w:val="16"/>
              </w:rPr>
            </w:pPr>
          </w:p>
        </w:tc>
        <w:tc>
          <w:tcPr>
            <w:tcW w:w="2700" w:type="dxa"/>
            <w:tcBorders>
              <w:top w:val="nil"/>
              <w:left w:val="nil"/>
              <w:bottom w:val="nil"/>
              <w:right w:val="nil"/>
              <w:tl2br w:val="nil"/>
              <w:tr2bl w:val="nil"/>
            </w:tcBorders>
            <w:shd w:val="clear" w:color="auto" w:fill="FFFFFF"/>
            <w:tcMar>
              <w:left w:w="101" w:type="dxa"/>
              <w:right w:w="101" w:type="dxa"/>
            </w:tcMar>
            <w:vAlign w:val="bottom"/>
          </w:tcPr>
          <w:p w14:paraId="402E8F5B" w14:textId="77777777" w:rsidR="003F0EEA" w:rsidRDefault="003F0EEA">
            <w:pPr>
              <w:rPr>
                <w:rFonts w:ascii="Arial" w:eastAsia="Arial" w:hAnsi="Arial" w:cs="Arial"/>
                <w:color w:val="000000"/>
                <w:sz w:val="16"/>
              </w:rPr>
            </w:pP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553E5F7D" w14:textId="77777777" w:rsidR="003F0EEA" w:rsidRDefault="00FB7D0B">
            <w:pPr>
              <w:jc w:val="right"/>
              <w:rPr>
                <w:rFonts w:ascii="Arial" w:eastAsia="Arial" w:hAnsi="Arial" w:cs="Arial"/>
                <w:color w:val="000000"/>
                <w:sz w:val="16"/>
                <w:vertAlign w:val="superscript"/>
              </w:rPr>
            </w:pPr>
            <w:r>
              <w:rPr>
                <w:rFonts w:ascii="Arial" w:eastAsia="Arial" w:hAnsi="Arial" w:cs="Arial"/>
                <w:color w:val="000000"/>
                <w:sz w:val="16"/>
              </w:rPr>
              <w:t>2013-14</w:t>
            </w:r>
          </w:p>
        </w:tc>
        <w:tc>
          <w:tcPr>
            <w:tcW w:w="915" w:type="dxa"/>
            <w:tcBorders>
              <w:top w:val="nil"/>
              <w:left w:val="nil"/>
              <w:bottom w:val="nil"/>
              <w:right w:val="nil"/>
              <w:tl2br w:val="nil"/>
              <w:tr2bl w:val="nil"/>
            </w:tcBorders>
            <w:shd w:val="clear" w:color="auto" w:fill="FFFF00"/>
            <w:tcMar>
              <w:left w:w="101" w:type="dxa"/>
              <w:right w:w="101" w:type="dxa"/>
            </w:tcMar>
            <w:vAlign w:val="bottom"/>
          </w:tcPr>
          <w:p w14:paraId="54E2188C" w14:textId="77777777" w:rsidR="003F0EEA" w:rsidRDefault="00FB7D0B">
            <w:pPr>
              <w:jc w:val="right"/>
              <w:rPr>
                <w:rFonts w:ascii="Arial" w:eastAsia="Arial" w:hAnsi="Arial" w:cs="Arial"/>
                <w:color w:val="000000"/>
                <w:sz w:val="16"/>
              </w:rPr>
            </w:pPr>
            <w:r>
              <w:rPr>
                <w:rFonts w:ascii="Arial" w:eastAsia="Arial" w:hAnsi="Arial" w:cs="Arial"/>
                <w:color w:val="000000"/>
                <w:sz w:val="16"/>
              </w:rPr>
              <w:t>2014-15</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00D4A069" w14:textId="77777777" w:rsidR="003F0EEA" w:rsidRDefault="00FB7D0B">
            <w:pPr>
              <w:jc w:val="right"/>
              <w:rPr>
                <w:rFonts w:ascii="Arial" w:eastAsia="Arial" w:hAnsi="Arial" w:cs="Arial"/>
                <w:color w:val="000000"/>
                <w:sz w:val="16"/>
              </w:rPr>
            </w:pPr>
            <w:r>
              <w:rPr>
                <w:rFonts w:ascii="Arial" w:eastAsia="Arial" w:hAnsi="Arial" w:cs="Arial"/>
                <w:color w:val="000000"/>
                <w:sz w:val="16"/>
              </w:rPr>
              <w:t>2015-16</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781A7EAF" w14:textId="77777777" w:rsidR="003F0EEA" w:rsidRDefault="00FB7D0B">
            <w:pPr>
              <w:jc w:val="right"/>
              <w:rPr>
                <w:rFonts w:ascii="Arial" w:eastAsia="Arial" w:hAnsi="Arial" w:cs="Arial"/>
                <w:color w:val="000000"/>
                <w:sz w:val="16"/>
              </w:rPr>
            </w:pPr>
            <w:r>
              <w:rPr>
                <w:rFonts w:ascii="Arial" w:eastAsia="Arial" w:hAnsi="Arial" w:cs="Arial"/>
                <w:color w:val="000000"/>
                <w:sz w:val="16"/>
              </w:rPr>
              <w:t>2016-17</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2B7AF5AA" w14:textId="77777777" w:rsidR="003F0EEA" w:rsidRDefault="00FB7D0B">
            <w:pPr>
              <w:jc w:val="right"/>
              <w:rPr>
                <w:rFonts w:ascii="Arial" w:eastAsia="Arial" w:hAnsi="Arial" w:cs="Arial"/>
                <w:color w:val="000000"/>
                <w:sz w:val="16"/>
              </w:rPr>
            </w:pPr>
            <w:r>
              <w:rPr>
                <w:rFonts w:ascii="Arial" w:eastAsia="Arial" w:hAnsi="Arial" w:cs="Arial"/>
                <w:color w:val="000000"/>
                <w:sz w:val="16"/>
              </w:rPr>
              <w:t>2017-18</w:t>
            </w:r>
          </w:p>
        </w:tc>
      </w:tr>
      <w:tr w:rsidR="00724034" w14:paraId="667393BB" w14:textId="77777777">
        <w:trPr>
          <w:trHeight w:val="225"/>
        </w:trPr>
        <w:tc>
          <w:tcPr>
            <w:tcW w:w="180" w:type="dxa"/>
            <w:tcBorders>
              <w:top w:val="nil"/>
              <w:left w:val="nil"/>
              <w:bottom w:val="nil"/>
              <w:right w:val="nil"/>
              <w:tl2br w:val="nil"/>
              <w:tr2bl w:val="nil"/>
            </w:tcBorders>
            <w:shd w:val="clear" w:color="auto" w:fill="FFFFFF"/>
            <w:tcMar>
              <w:left w:w="101" w:type="dxa"/>
              <w:right w:w="101" w:type="dxa"/>
            </w:tcMar>
            <w:vAlign w:val="bottom"/>
          </w:tcPr>
          <w:p w14:paraId="5B4F1FF6" w14:textId="77777777" w:rsidR="003F0EEA" w:rsidRDefault="003F0EEA">
            <w:pPr>
              <w:rPr>
                <w:rFonts w:ascii="Arial" w:eastAsia="Arial" w:hAnsi="Arial" w:cs="Arial"/>
                <w:color w:val="000000"/>
                <w:sz w:val="16"/>
              </w:rPr>
            </w:pPr>
          </w:p>
        </w:tc>
        <w:tc>
          <w:tcPr>
            <w:tcW w:w="180" w:type="dxa"/>
            <w:tcBorders>
              <w:top w:val="nil"/>
              <w:left w:val="nil"/>
              <w:bottom w:val="nil"/>
              <w:right w:val="nil"/>
              <w:tl2br w:val="nil"/>
              <w:tr2bl w:val="nil"/>
            </w:tcBorders>
            <w:shd w:val="clear" w:color="auto" w:fill="FFFFFF"/>
            <w:tcMar>
              <w:left w:w="101" w:type="dxa"/>
              <w:right w:w="101" w:type="dxa"/>
            </w:tcMar>
            <w:vAlign w:val="bottom"/>
          </w:tcPr>
          <w:p w14:paraId="058A1A48" w14:textId="77777777" w:rsidR="003F0EEA" w:rsidRDefault="003F0EEA">
            <w:pPr>
              <w:rPr>
                <w:rFonts w:ascii="Arial" w:eastAsia="Arial" w:hAnsi="Arial" w:cs="Arial"/>
                <w:color w:val="000000"/>
                <w:sz w:val="16"/>
              </w:rPr>
            </w:pPr>
          </w:p>
        </w:tc>
        <w:tc>
          <w:tcPr>
            <w:tcW w:w="2700" w:type="dxa"/>
            <w:tcBorders>
              <w:top w:val="nil"/>
              <w:left w:val="nil"/>
              <w:bottom w:val="nil"/>
              <w:right w:val="nil"/>
              <w:tl2br w:val="nil"/>
              <w:tr2bl w:val="nil"/>
            </w:tcBorders>
            <w:shd w:val="clear" w:color="auto" w:fill="FFFFFF"/>
            <w:tcMar>
              <w:left w:w="101" w:type="dxa"/>
              <w:right w:w="101" w:type="dxa"/>
            </w:tcMar>
            <w:vAlign w:val="bottom"/>
          </w:tcPr>
          <w:p w14:paraId="1E1EDD94" w14:textId="77777777" w:rsidR="003F0EEA" w:rsidRDefault="003F0EEA">
            <w:pPr>
              <w:rPr>
                <w:rFonts w:ascii="Arial" w:eastAsia="Arial" w:hAnsi="Arial" w:cs="Arial"/>
                <w:color w:val="000000"/>
                <w:sz w:val="16"/>
              </w:rPr>
            </w:pPr>
          </w:p>
        </w:tc>
        <w:tc>
          <w:tcPr>
            <w:tcW w:w="915"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21272AB1" w14:textId="77777777" w:rsidR="003F0EEA" w:rsidRDefault="00FB7D0B">
            <w:pPr>
              <w:jc w:val="right"/>
              <w:rPr>
                <w:rFonts w:ascii="Arial" w:eastAsia="Arial" w:hAnsi="Arial" w:cs="Arial"/>
                <w:color w:val="000000"/>
                <w:sz w:val="16"/>
                <w:vertAlign w:val="superscript"/>
              </w:rPr>
            </w:pPr>
            <w:r>
              <w:rPr>
                <w:rFonts w:ascii="Arial" w:eastAsia="Arial" w:hAnsi="Arial" w:cs="Arial"/>
                <w:color w:val="000000"/>
                <w:sz w:val="16"/>
              </w:rPr>
              <w:t>$'000</w:t>
            </w:r>
          </w:p>
        </w:tc>
        <w:tc>
          <w:tcPr>
            <w:tcW w:w="915" w:type="dxa"/>
            <w:tcBorders>
              <w:top w:val="nil"/>
              <w:left w:val="nil"/>
              <w:bottom w:val="single" w:sz="6" w:space="0" w:color="000000"/>
              <w:right w:val="nil"/>
              <w:tl2br w:val="nil"/>
              <w:tr2bl w:val="nil"/>
            </w:tcBorders>
            <w:shd w:val="clear" w:color="auto" w:fill="FFFF00"/>
            <w:tcMar>
              <w:left w:w="101" w:type="dxa"/>
              <w:right w:w="101" w:type="dxa"/>
            </w:tcMar>
            <w:vAlign w:val="bottom"/>
          </w:tcPr>
          <w:p w14:paraId="769D9D6B" w14:textId="77777777" w:rsidR="003F0EEA" w:rsidRDefault="00FB7D0B">
            <w:pPr>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17ACF8E6" w14:textId="77777777" w:rsidR="003F0EEA" w:rsidRDefault="00FB7D0B">
            <w:pPr>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61D5601A" w14:textId="77777777" w:rsidR="003F0EEA" w:rsidRDefault="00FB7D0B">
            <w:pPr>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51D4A966" w14:textId="77777777" w:rsidR="003F0EEA" w:rsidRDefault="00FB7D0B">
            <w:pPr>
              <w:jc w:val="right"/>
              <w:rPr>
                <w:rFonts w:ascii="Arial" w:eastAsia="Arial" w:hAnsi="Arial" w:cs="Arial"/>
                <w:color w:val="000000"/>
                <w:sz w:val="16"/>
              </w:rPr>
            </w:pPr>
            <w:r>
              <w:rPr>
                <w:rFonts w:ascii="Arial" w:eastAsia="Arial" w:hAnsi="Arial" w:cs="Arial"/>
                <w:color w:val="000000"/>
                <w:sz w:val="16"/>
              </w:rPr>
              <w:t>$'000</w:t>
            </w:r>
          </w:p>
        </w:tc>
      </w:tr>
      <w:tr w:rsidR="00FB7D0B" w14:paraId="6573DF9C" w14:textId="77777777" w:rsidTr="00FB7D0B">
        <w:trPr>
          <w:trHeight w:val="225"/>
        </w:trPr>
        <w:tc>
          <w:tcPr>
            <w:tcW w:w="3060" w:type="dxa"/>
            <w:gridSpan w:val="3"/>
            <w:tcBorders>
              <w:top w:val="nil"/>
              <w:left w:val="nil"/>
              <w:bottom w:val="nil"/>
              <w:right w:val="nil"/>
              <w:tl2br w:val="nil"/>
              <w:tr2bl w:val="nil"/>
            </w:tcBorders>
            <w:shd w:val="clear" w:color="auto" w:fill="FFFFFF"/>
            <w:tcMar>
              <w:left w:w="101" w:type="dxa"/>
              <w:right w:w="101" w:type="dxa"/>
            </w:tcMar>
            <w:vAlign w:val="bottom"/>
          </w:tcPr>
          <w:p w14:paraId="7AF7596D" w14:textId="77777777" w:rsidR="003F0EEA" w:rsidRDefault="00FB7D0B">
            <w:pPr>
              <w:rPr>
                <w:rFonts w:ascii="Arial" w:eastAsia="Arial" w:hAnsi="Arial" w:cs="Arial"/>
                <w:color w:val="000000"/>
                <w:sz w:val="16"/>
              </w:rPr>
            </w:pPr>
            <w:r>
              <w:rPr>
                <w:rFonts w:ascii="Arial" w:eastAsia="Arial" w:hAnsi="Arial" w:cs="Arial"/>
                <w:b/>
                <w:color w:val="000000"/>
                <w:sz w:val="16"/>
              </w:rPr>
              <w:t>ASSETS</w:t>
            </w:r>
          </w:p>
        </w:tc>
        <w:tc>
          <w:tcPr>
            <w:tcW w:w="91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7E2EAB65" w14:textId="77777777" w:rsidR="003F0EEA" w:rsidRDefault="003F0EEA">
            <w:pPr>
              <w:rPr>
                <w:rFonts w:ascii="Arial" w:eastAsia="Arial" w:hAnsi="Arial" w:cs="Arial"/>
                <w:b/>
                <w:color w:val="000000"/>
                <w:sz w:val="16"/>
                <w:vertAlign w:val="superscript"/>
              </w:rPr>
            </w:pPr>
          </w:p>
        </w:tc>
        <w:tc>
          <w:tcPr>
            <w:tcW w:w="915" w:type="dxa"/>
            <w:tcBorders>
              <w:top w:val="single" w:sz="6" w:space="0" w:color="000000"/>
              <w:left w:val="nil"/>
              <w:bottom w:val="nil"/>
              <w:right w:val="nil"/>
              <w:tl2br w:val="nil"/>
              <w:tr2bl w:val="nil"/>
            </w:tcBorders>
            <w:shd w:val="clear" w:color="auto" w:fill="FFFF00"/>
            <w:tcMar>
              <w:left w:w="101" w:type="dxa"/>
              <w:right w:w="101" w:type="dxa"/>
            </w:tcMar>
            <w:vAlign w:val="bottom"/>
          </w:tcPr>
          <w:p w14:paraId="5F724B2F" w14:textId="77777777" w:rsidR="003F0EEA" w:rsidRDefault="003F0EEA">
            <w:pPr>
              <w:rPr>
                <w:rFonts w:ascii="Arial" w:eastAsia="Arial" w:hAnsi="Arial" w:cs="Arial"/>
                <w:color w:val="000000"/>
                <w:sz w:val="16"/>
                <w:vertAlign w:val="superscript"/>
              </w:rPr>
            </w:pPr>
          </w:p>
        </w:tc>
        <w:tc>
          <w:tcPr>
            <w:tcW w:w="91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3EBB2FE7" w14:textId="77777777" w:rsidR="003F0EEA" w:rsidRDefault="003F0EEA">
            <w:pPr>
              <w:rPr>
                <w:rFonts w:ascii="Arial" w:eastAsia="Arial" w:hAnsi="Arial" w:cs="Arial"/>
                <w:color w:val="000000"/>
                <w:sz w:val="16"/>
                <w:vertAlign w:val="superscript"/>
              </w:rPr>
            </w:pPr>
          </w:p>
        </w:tc>
        <w:tc>
          <w:tcPr>
            <w:tcW w:w="91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2E2984FD" w14:textId="77777777" w:rsidR="003F0EEA" w:rsidRDefault="003F0EEA">
            <w:pPr>
              <w:rPr>
                <w:rFonts w:ascii="Arial" w:eastAsia="Arial" w:hAnsi="Arial" w:cs="Arial"/>
                <w:color w:val="000000"/>
                <w:sz w:val="16"/>
                <w:vertAlign w:val="superscript"/>
              </w:rPr>
            </w:pPr>
          </w:p>
        </w:tc>
        <w:tc>
          <w:tcPr>
            <w:tcW w:w="91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09DFB01C" w14:textId="77777777" w:rsidR="003F0EEA" w:rsidRDefault="003F0EEA">
            <w:pPr>
              <w:rPr>
                <w:rFonts w:ascii="Arial" w:eastAsia="Arial" w:hAnsi="Arial" w:cs="Arial"/>
                <w:color w:val="000000"/>
                <w:sz w:val="16"/>
                <w:vertAlign w:val="superscript"/>
              </w:rPr>
            </w:pPr>
          </w:p>
        </w:tc>
      </w:tr>
      <w:tr w:rsidR="00FB7D0B" w14:paraId="56D014FF" w14:textId="77777777" w:rsidTr="00FB7D0B">
        <w:trPr>
          <w:trHeight w:val="225"/>
        </w:trPr>
        <w:tc>
          <w:tcPr>
            <w:tcW w:w="3060" w:type="dxa"/>
            <w:gridSpan w:val="3"/>
            <w:tcBorders>
              <w:top w:val="nil"/>
              <w:left w:val="nil"/>
              <w:bottom w:val="nil"/>
              <w:right w:val="nil"/>
              <w:tl2br w:val="nil"/>
              <w:tr2bl w:val="nil"/>
            </w:tcBorders>
            <w:shd w:val="clear" w:color="auto" w:fill="FFFFFF"/>
            <w:tcMar>
              <w:left w:w="101" w:type="dxa"/>
              <w:right w:w="101" w:type="dxa"/>
            </w:tcMar>
            <w:vAlign w:val="bottom"/>
          </w:tcPr>
          <w:p w14:paraId="295661C7" w14:textId="77777777" w:rsidR="003F0EEA" w:rsidRDefault="00FB7D0B">
            <w:pPr>
              <w:rPr>
                <w:rFonts w:ascii="Arial" w:eastAsia="Arial" w:hAnsi="Arial" w:cs="Arial"/>
                <w:color w:val="000000"/>
                <w:sz w:val="16"/>
                <w:vertAlign w:val="superscript"/>
              </w:rPr>
            </w:pPr>
            <w:r>
              <w:rPr>
                <w:rFonts w:ascii="Arial" w:eastAsia="Arial" w:hAnsi="Arial" w:cs="Arial"/>
                <w:b/>
                <w:color w:val="000000"/>
                <w:sz w:val="16"/>
              </w:rPr>
              <w:t>Financial assets</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71F1DDAA" w14:textId="77777777" w:rsidR="003F0EEA" w:rsidRDefault="003F0EEA">
            <w:pPr>
              <w:rPr>
                <w:rFonts w:ascii="Arial" w:eastAsia="Arial" w:hAnsi="Arial" w:cs="Arial"/>
                <w:b/>
                <w:color w:val="000000"/>
                <w:sz w:val="16"/>
                <w:vertAlign w:val="superscript"/>
              </w:rPr>
            </w:pPr>
          </w:p>
        </w:tc>
        <w:tc>
          <w:tcPr>
            <w:tcW w:w="915" w:type="dxa"/>
            <w:tcBorders>
              <w:top w:val="nil"/>
              <w:left w:val="nil"/>
              <w:bottom w:val="nil"/>
              <w:right w:val="nil"/>
              <w:tl2br w:val="nil"/>
              <w:tr2bl w:val="nil"/>
            </w:tcBorders>
            <w:shd w:val="clear" w:color="auto" w:fill="FFFF00"/>
            <w:tcMar>
              <w:left w:w="101" w:type="dxa"/>
              <w:right w:w="101" w:type="dxa"/>
            </w:tcMar>
            <w:vAlign w:val="bottom"/>
          </w:tcPr>
          <w:p w14:paraId="66D1C2CF" w14:textId="77777777" w:rsidR="003F0EEA" w:rsidRDefault="003F0EEA">
            <w:pPr>
              <w:rPr>
                <w:rFonts w:ascii="Arial" w:eastAsia="Arial" w:hAnsi="Arial" w:cs="Arial"/>
                <w:color w:val="000000"/>
                <w:sz w:val="16"/>
                <w:vertAlign w:val="superscript"/>
              </w:rPr>
            </w:pP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182B6960" w14:textId="77777777" w:rsidR="003F0EEA" w:rsidRDefault="003F0EEA">
            <w:pPr>
              <w:rPr>
                <w:rFonts w:ascii="Arial" w:eastAsia="Arial" w:hAnsi="Arial" w:cs="Arial"/>
                <w:color w:val="000000"/>
                <w:sz w:val="16"/>
                <w:vertAlign w:val="superscript"/>
              </w:rPr>
            </w:pP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54764A1C" w14:textId="77777777" w:rsidR="003F0EEA" w:rsidRDefault="003F0EEA">
            <w:pPr>
              <w:rPr>
                <w:rFonts w:ascii="Arial" w:eastAsia="Arial" w:hAnsi="Arial" w:cs="Arial"/>
                <w:color w:val="000000"/>
                <w:sz w:val="16"/>
                <w:vertAlign w:val="superscript"/>
              </w:rPr>
            </w:pP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590603E4" w14:textId="77777777" w:rsidR="003F0EEA" w:rsidRDefault="003F0EEA">
            <w:pPr>
              <w:rPr>
                <w:rFonts w:ascii="Arial" w:eastAsia="Arial" w:hAnsi="Arial" w:cs="Arial"/>
                <w:color w:val="000000"/>
                <w:sz w:val="16"/>
                <w:vertAlign w:val="superscript"/>
              </w:rPr>
            </w:pPr>
          </w:p>
        </w:tc>
      </w:tr>
      <w:tr w:rsidR="00FB7D0B" w14:paraId="796B8EF5" w14:textId="77777777" w:rsidTr="00FB7D0B">
        <w:trPr>
          <w:trHeight w:val="225"/>
        </w:trPr>
        <w:tc>
          <w:tcPr>
            <w:tcW w:w="180" w:type="dxa"/>
            <w:tcBorders>
              <w:top w:val="nil"/>
              <w:left w:val="nil"/>
              <w:bottom w:val="nil"/>
              <w:right w:val="nil"/>
              <w:tl2br w:val="nil"/>
              <w:tr2bl w:val="nil"/>
            </w:tcBorders>
            <w:shd w:val="clear" w:color="auto" w:fill="FFFFFF"/>
            <w:tcMar>
              <w:left w:w="101" w:type="dxa"/>
              <w:right w:w="101" w:type="dxa"/>
            </w:tcMar>
            <w:vAlign w:val="bottom"/>
          </w:tcPr>
          <w:p w14:paraId="07C26C4F" w14:textId="77777777" w:rsidR="003F0EEA" w:rsidRDefault="003F0EEA">
            <w:pPr>
              <w:rPr>
                <w:rFonts w:ascii="Arial" w:eastAsia="Arial" w:hAnsi="Arial" w:cs="Arial"/>
                <w:color w:val="000000"/>
                <w:sz w:val="16"/>
                <w:vertAlign w:val="superscript"/>
              </w:rPr>
            </w:pPr>
          </w:p>
        </w:tc>
        <w:tc>
          <w:tcPr>
            <w:tcW w:w="2880" w:type="dxa"/>
            <w:gridSpan w:val="2"/>
            <w:vMerge w:val="restart"/>
            <w:tcBorders>
              <w:top w:val="nil"/>
              <w:left w:val="nil"/>
              <w:bottom w:val="nil"/>
              <w:right w:val="nil"/>
              <w:tl2br w:val="nil"/>
              <w:tr2bl w:val="nil"/>
            </w:tcBorders>
            <w:shd w:val="clear" w:color="auto" w:fill="FFFFFF"/>
            <w:tcMar>
              <w:left w:w="101" w:type="dxa"/>
              <w:right w:w="101" w:type="dxa"/>
            </w:tcMar>
            <w:vAlign w:val="bottom"/>
          </w:tcPr>
          <w:p w14:paraId="48C1B4DE" w14:textId="77777777" w:rsidR="003F0EEA" w:rsidRDefault="00FB7D0B">
            <w:pPr>
              <w:rPr>
                <w:rFonts w:ascii="Arial" w:eastAsia="Arial" w:hAnsi="Arial" w:cs="Arial"/>
                <w:color w:val="000000"/>
                <w:sz w:val="16"/>
                <w:vertAlign w:val="superscript"/>
              </w:rPr>
            </w:pPr>
            <w:r>
              <w:rPr>
                <w:rFonts w:ascii="Arial" w:eastAsia="Arial" w:hAnsi="Arial" w:cs="Arial"/>
                <w:color w:val="000000"/>
                <w:sz w:val="16"/>
              </w:rPr>
              <w:t>Cash and cash equivalents</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4A447BE5" w14:textId="77777777" w:rsidR="003F0EEA" w:rsidRDefault="00FB7D0B">
            <w:pPr>
              <w:jc w:val="right"/>
              <w:rPr>
                <w:rFonts w:ascii="Arial" w:eastAsia="Arial" w:hAnsi="Arial" w:cs="Arial"/>
                <w:color w:val="000000"/>
                <w:sz w:val="16"/>
                <w:vertAlign w:val="superscript"/>
              </w:rPr>
            </w:pPr>
            <w:r>
              <w:rPr>
                <w:rFonts w:ascii="Arial" w:eastAsia="Arial" w:hAnsi="Arial" w:cs="Arial"/>
                <w:color w:val="000000"/>
                <w:sz w:val="16"/>
              </w:rPr>
              <w:t>1,094 </w:t>
            </w:r>
          </w:p>
        </w:tc>
        <w:tc>
          <w:tcPr>
            <w:tcW w:w="915" w:type="dxa"/>
            <w:tcBorders>
              <w:top w:val="nil"/>
              <w:left w:val="nil"/>
              <w:bottom w:val="nil"/>
              <w:right w:val="nil"/>
              <w:tl2br w:val="nil"/>
              <w:tr2bl w:val="nil"/>
            </w:tcBorders>
            <w:shd w:val="clear" w:color="auto" w:fill="FFFF00"/>
            <w:tcMar>
              <w:left w:w="101" w:type="dxa"/>
              <w:right w:w="101" w:type="dxa"/>
            </w:tcMar>
            <w:vAlign w:val="bottom"/>
          </w:tcPr>
          <w:p w14:paraId="4051D277" w14:textId="77777777" w:rsidR="003F0EEA" w:rsidRDefault="00FB7D0B">
            <w:pPr>
              <w:jc w:val="right"/>
              <w:rPr>
                <w:rFonts w:ascii="Arial" w:eastAsia="Arial" w:hAnsi="Arial" w:cs="Arial"/>
                <w:color w:val="000000"/>
                <w:sz w:val="16"/>
              </w:rPr>
            </w:pPr>
            <w:r>
              <w:rPr>
                <w:rFonts w:ascii="Arial" w:eastAsia="Arial" w:hAnsi="Arial" w:cs="Arial"/>
                <w:color w:val="000000"/>
                <w:sz w:val="16"/>
              </w:rPr>
              <w:t>1,053 </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1E03E3A4" w14:textId="77777777" w:rsidR="003F0EEA" w:rsidRDefault="00FB7D0B">
            <w:pPr>
              <w:jc w:val="right"/>
              <w:rPr>
                <w:rFonts w:ascii="Arial" w:eastAsia="Arial" w:hAnsi="Arial" w:cs="Arial"/>
                <w:color w:val="000000"/>
                <w:sz w:val="16"/>
              </w:rPr>
            </w:pPr>
            <w:r>
              <w:rPr>
                <w:rFonts w:ascii="Arial" w:eastAsia="Arial" w:hAnsi="Arial" w:cs="Arial"/>
                <w:color w:val="000000"/>
                <w:sz w:val="16"/>
              </w:rPr>
              <w:t>1,029 </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1640DE33" w14:textId="77777777" w:rsidR="003F0EEA" w:rsidRDefault="00FB7D0B">
            <w:pPr>
              <w:jc w:val="right"/>
              <w:rPr>
                <w:rFonts w:ascii="Arial" w:eastAsia="Arial" w:hAnsi="Arial" w:cs="Arial"/>
                <w:color w:val="000000"/>
                <w:sz w:val="16"/>
              </w:rPr>
            </w:pPr>
            <w:r>
              <w:rPr>
                <w:rFonts w:ascii="Arial" w:eastAsia="Arial" w:hAnsi="Arial" w:cs="Arial"/>
                <w:color w:val="000000"/>
                <w:sz w:val="16"/>
              </w:rPr>
              <w:t>1,023 </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51991947" w14:textId="77777777" w:rsidR="003F0EEA" w:rsidRDefault="00FB7D0B">
            <w:pPr>
              <w:jc w:val="right"/>
              <w:rPr>
                <w:rFonts w:ascii="Arial" w:eastAsia="Arial" w:hAnsi="Arial" w:cs="Arial"/>
                <w:color w:val="000000"/>
                <w:sz w:val="16"/>
              </w:rPr>
            </w:pPr>
            <w:r>
              <w:rPr>
                <w:rFonts w:ascii="Arial" w:eastAsia="Arial" w:hAnsi="Arial" w:cs="Arial"/>
                <w:color w:val="000000"/>
                <w:sz w:val="16"/>
              </w:rPr>
              <w:t>1,061 </w:t>
            </w:r>
          </w:p>
        </w:tc>
      </w:tr>
      <w:tr w:rsidR="00FB7D0B" w14:paraId="7809705D" w14:textId="77777777" w:rsidTr="00FB7D0B">
        <w:trPr>
          <w:trHeight w:val="225"/>
        </w:trPr>
        <w:tc>
          <w:tcPr>
            <w:tcW w:w="180" w:type="dxa"/>
            <w:tcBorders>
              <w:top w:val="nil"/>
              <w:left w:val="nil"/>
              <w:bottom w:val="nil"/>
              <w:right w:val="nil"/>
              <w:tl2br w:val="nil"/>
              <w:tr2bl w:val="nil"/>
            </w:tcBorders>
            <w:shd w:val="clear" w:color="auto" w:fill="FFFFFF"/>
            <w:tcMar>
              <w:left w:w="101" w:type="dxa"/>
              <w:right w:w="101" w:type="dxa"/>
            </w:tcMar>
            <w:vAlign w:val="bottom"/>
          </w:tcPr>
          <w:p w14:paraId="2E5848DD" w14:textId="77777777" w:rsidR="003F0EEA" w:rsidRDefault="003F0EEA">
            <w:pPr>
              <w:rPr>
                <w:rFonts w:ascii="Arial" w:eastAsia="Arial" w:hAnsi="Arial" w:cs="Arial"/>
                <w:color w:val="000000"/>
                <w:sz w:val="16"/>
              </w:rPr>
            </w:pPr>
          </w:p>
        </w:tc>
        <w:tc>
          <w:tcPr>
            <w:tcW w:w="2880" w:type="dxa"/>
            <w:gridSpan w:val="2"/>
            <w:vMerge w:val="restart"/>
            <w:tcBorders>
              <w:top w:val="nil"/>
              <w:left w:val="nil"/>
              <w:bottom w:val="nil"/>
              <w:right w:val="nil"/>
              <w:tl2br w:val="nil"/>
              <w:tr2bl w:val="nil"/>
            </w:tcBorders>
            <w:shd w:val="clear" w:color="auto" w:fill="FFFFFF"/>
            <w:tcMar>
              <w:left w:w="101" w:type="dxa"/>
              <w:right w:w="101" w:type="dxa"/>
            </w:tcMar>
            <w:vAlign w:val="bottom"/>
          </w:tcPr>
          <w:p w14:paraId="0BF00381" w14:textId="77777777" w:rsidR="003F0EEA" w:rsidRDefault="00FB7D0B">
            <w:pPr>
              <w:rPr>
                <w:rFonts w:ascii="Arial" w:eastAsia="Arial" w:hAnsi="Arial" w:cs="Arial"/>
                <w:color w:val="000000"/>
                <w:sz w:val="16"/>
              </w:rPr>
            </w:pPr>
            <w:r>
              <w:rPr>
                <w:rFonts w:ascii="Arial" w:eastAsia="Arial" w:hAnsi="Arial" w:cs="Arial"/>
                <w:color w:val="000000"/>
                <w:sz w:val="16"/>
              </w:rPr>
              <w:t>Trade and other receivables</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11C32EB4" w14:textId="77777777" w:rsidR="003F0EEA" w:rsidRDefault="00FB7D0B">
            <w:pPr>
              <w:jc w:val="right"/>
              <w:rPr>
                <w:rFonts w:ascii="Arial" w:eastAsia="Arial" w:hAnsi="Arial" w:cs="Arial"/>
                <w:color w:val="000000"/>
                <w:sz w:val="16"/>
                <w:vertAlign w:val="superscript"/>
              </w:rPr>
            </w:pPr>
            <w:r>
              <w:rPr>
                <w:rFonts w:ascii="Arial" w:eastAsia="Arial" w:hAnsi="Arial" w:cs="Arial"/>
                <w:color w:val="000000"/>
                <w:sz w:val="16"/>
              </w:rPr>
              <w:t>9,000 </w:t>
            </w:r>
          </w:p>
        </w:tc>
        <w:tc>
          <w:tcPr>
            <w:tcW w:w="915" w:type="dxa"/>
            <w:tcBorders>
              <w:top w:val="nil"/>
              <w:left w:val="nil"/>
              <w:bottom w:val="nil"/>
              <w:right w:val="nil"/>
              <w:tl2br w:val="nil"/>
              <w:tr2bl w:val="nil"/>
            </w:tcBorders>
            <w:shd w:val="clear" w:color="auto" w:fill="FFFF00"/>
            <w:tcMar>
              <w:left w:w="101" w:type="dxa"/>
              <w:right w:w="101" w:type="dxa"/>
            </w:tcMar>
            <w:vAlign w:val="bottom"/>
          </w:tcPr>
          <w:p w14:paraId="07E363C5" w14:textId="77777777" w:rsidR="003F0EEA" w:rsidRDefault="00FB7D0B">
            <w:pPr>
              <w:jc w:val="right"/>
              <w:rPr>
                <w:rFonts w:ascii="Arial" w:eastAsia="Arial" w:hAnsi="Arial" w:cs="Arial"/>
                <w:color w:val="000000"/>
                <w:sz w:val="16"/>
              </w:rPr>
            </w:pPr>
            <w:r>
              <w:rPr>
                <w:rFonts w:ascii="Arial" w:eastAsia="Arial" w:hAnsi="Arial" w:cs="Arial"/>
                <w:color w:val="000000"/>
                <w:sz w:val="16"/>
              </w:rPr>
              <w:t>10,000 </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39772EC5" w14:textId="77777777" w:rsidR="003F0EEA" w:rsidRDefault="00FB7D0B">
            <w:pPr>
              <w:jc w:val="right"/>
              <w:rPr>
                <w:rFonts w:ascii="Arial" w:eastAsia="Arial" w:hAnsi="Arial" w:cs="Arial"/>
                <w:color w:val="000000"/>
                <w:sz w:val="16"/>
              </w:rPr>
            </w:pPr>
            <w:r>
              <w:rPr>
                <w:rFonts w:ascii="Arial" w:eastAsia="Arial" w:hAnsi="Arial" w:cs="Arial"/>
                <w:color w:val="000000"/>
                <w:sz w:val="16"/>
              </w:rPr>
              <w:t>10,000 </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2C4A09DE" w14:textId="77777777" w:rsidR="003F0EEA" w:rsidRDefault="00FB7D0B">
            <w:pPr>
              <w:jc w:val="right"/>
              <w:rPr>
                <w:rFonts w:ascii="Arial" w:eastAsia="Arial" w:hAnsi="Arial" w:cs="Arial"/>
                <w:color w:val="000000"/>
                <w:sz w:val="16"/>
              </w:rPr>
            </w:pPr>
            <w:r>
              <w:rPr>
                <w:rFonts w:ascii="Arial" w:eastAsia="Arial" w:hAnsi="Arial" w:cs="Arial"/>
                <w:color w:val="000000"/>
                <w:sz w:val="16"/>
              </w:rPr>
              <w:t>10,000 </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2F695C5F" w14:textId="77777777" w:rsidR="003F0EEA" w:rsidRDefault="00FB7D0B">
            <w:pPr>
              <w:jc w:val="right"/>
              <w:rPr>
                <w:rFonts w:ascii="Arial" w:eastAsia="Arial" w:hAnsi="Arial" w:cs="Arial"/>
                <w:color w:val="000000"/>
                <w:sz w:val="16"/>
              </w:rPr>
            </w:pPr>
            <w:r>
              <w:rPr>
                <w:rFonts w:ascii="Arial" w:eastAsia="Arial" w:hAnsi="Arial" w:cs="Arial"/>
                <w:color w:val="000000"/>
                <w:sz w:val="16"/>
              </w:rPr>
              <w:t>10,000 </w:t>
            </w:r>
          </w:p>
        </w:tc>
      </w:tr>
      <w:tr w:rsidR="00FB7D0B" w14:paraId="4A16FBF7" w14:textId="77777777" w:rsidTr="00FB7D0B">
        <w:trPr>
          <w:trHeight w:val="225"/>
        </w:trPr>
        <w:tc>
          <w:tcPr>
            <w:tcW w:w="180" w:type="dxa"/>
            <w:tcBorders>
              <w:top w:val="nil"/>
              <w:left w:val="nil"/>
              <w:bottom w:val="nil"/>
              <w:right w:val="nil"/>
              <w:tl2br w:val="nil"/>
              <w:tr2bl w:val="nil"/>
            </w:tcBorders>
            <w:shd w:val="clear" w:color="auto" w:fill="FFFFFF"/>
            <w:tcMar>
              <w:left w:w="101" w:type="dxa"/>
              <w:right w:w="101" w:type="dxa"/>
            </w:tcMar>
            <w:vAlign w:val="bottom"/>
          </w:tcPr>
          <w:p w14:paraId="1D28A768" w14:textId="77777777" w:rsidR="003F0EEA" w:rsidRDefault="003F0EEA">
            <w:pPr>
              <w:rPr>
                <w:rFonts w:ascii="Arial" w:eastAsia="Arial" w:hAnsi="Arial" w:cs="Arial"/>
                <w:color w:val="000000"/>
                <w:sz w:val="16"/>
              </w:rPr>
            </w:pPr>
          </w:p>
        </w:tc>
        <w:tc>
          <w:tcPr>
            <w:tcW w:w="2880" w:type="dxa"/>
            <w:gridSpan w:val="2"/>
            <w:vMerge w:val="restart"/>
            <w:tcBorders>
              <w:top w:val="nil"/>
              <w:left w:val="nil"/>
              <w:bottom w:val="nil"/>
              <w:right w:val="nil"/>
              <w:tl2br w:val="nil"/>
              <w:tr2bl w:val="nil"/>
            </w:tcBorders>
            <w:shd w:val="clear" w:color="auto" w:fill="FFFFFF"/>
            <w:tcMar>
              <w:left w:w="101" w:type="dxa"/>
              <w:right w:w="101" w:type="dxa"/>
            </w:tcMar>
            <w:vAlign w:val="bottom"/>
          </w:tcPr>
          <w:p w14:paraId="3BAB11EE" w14:textId="77777777" w:rsidR="003F0EEA" w:rsidRDefault="00FB7D0B">
            <w:pPr>
              <w:rPr>
                <w:rFonts w:ascii="Arial" w:eastAsia="Arial" w:hAnsi="Arial" w:cs="Arial"/>
                <w:color w:val="000000"/>
                <w:sz w:val="16"/>
              </w:rPr>
            </w:pPr>
            <w:r>
              <w:rPr>
                <w:rFonts w:ascii="Arial" w:eastAsia="Arial" w:hAnsi="Arial" w:cs="Arial"/>
                <w:color w:val="000000"/>
                <w:sz w:val="16"/>
              </w:rPr>
              <w:t>Appropriation receivables</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2CDBA670" w14:textId="77777777" w:rsidR="003F0EEA" w:rsidRDefault="00FB7D0B">
            <w:pPr>
              <w:jc w:val="right"/>
              <w:rPr>
                <w:rFonts w:ascii="Arial" w:eastAsia="Arial" w:hAnsi="Arial" w:cs="Arial"/>
                <w:color w:val="000000"/>
                <w:sz w:val="16"/>
                <w:vertAlign w:val="superscript"/>
              </w:rPr>
            </w:pPr>
            <w:r>
              <w:rPr>
                <w:rFonts w:ascii="Arial" w:eastAsia="Arial" w:hAnsi="Arial" w:cs="Arial"/>
                <w:color w:val="000000"/>
                <w:sz w:val="16"/>
              </w:rPr>
              <w:t>- </w:t>
            </w:r>
          </w:p>
        </w:tc>
        <w:tc>
          <w:tcPr>
            <w:tcW w:w="915" w:type="dxa"/>
            <w:tcBorders>
              <w:top w:val="nil"/>
              <w:left w:val="nil"/>
              <w:bottom w:val="nil"/>
              <w:right w:val="nil"/>
              <w:tl2br w:val="nil"/>
              <w:tr2bl w:val="nil"/>
            </w:tcBorders>
            <w:shd w:val="clear" w:color="auto" w:fill="FFFF00"/>
            <w:tcMar>
              <w:left w:w="101" w:type="dxa"/>
              <w:right w:w="101" w:type="dxa"/>
            </w:tcMar>
            <w:vAlign w:val="bottom"/>
          </w:tcPr>
          <w:p w14:paraId="018CDB67" w14:textId="77777777" w:rsidR="003F0EEA" w:rsidRDefault="00FB7D0B">
            <w:pPr>
              <w:jc w:val="right"/>
              <w:rPr>
                <w:rFonts w:ascii="Arial" w:eastAsia="Arial" w:hAnsi="Arial" w:cs="Arial"/>
                <w:color w:val="000000"/>
                <w:sz w:val="16"/>
              </w:rPr>
            </w:pPr>
            <w:r>
              <w:rPr>
                <w:rFonts w:ascii="Arial" w:eastAsia="Arial" w:hAnsi="Arial" w:cs="Arial"/>
                <w:color w:val="000000"/>
                <w:sz w:val="16"/>
              </w:rPr>
              <w:t>- </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13C9A130" w14:textId="77777777" w:rsidR="003F0EEA" w:rsidRDefault="00FB7D0B">
            <w:pPr>
              <w:jc w:val="right"/>
              <w:rPr>
                <w:rFonts w:ascii="Arial" w:eastAsia="Arial" w:hAnsi="Arial" w:cs="Arial"/>
                <w:color w:val="000000"/>
                <w:sz w:val="16"/>
              </w:rPr>
            </w:pPr>
            <w:r>
              <w:rPr>
                <w:rFonts w:ascii="Arial" w:eastAsia="Arial" w:hAnsi="Arial" w:cs="Arial"/>
                <w:color w:val="000000"/>
                <w:sz w:val="16"/>
              </w:rPr>
              <w:t>- </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39396CB4" w14:textId="77777777" w:rsidR="003F0EEA" w:rsidRDefault="00FB7D0B">
            <w:pPr>
              <w:jc w:val="right"/>
              <w:rPr>
                <w:rFonts w:ascii="Arial" w:eastAsia="Arial" w:hAnsi="Arial" w:cs="Arial"/>
                <w:color w:val="000000"/>
                <w:sz w:val="16"/>
              </w:rPr>
            </w:pPr>
            <w:r>
              <w:rPr>
                <w:rFonts w:ascii="Arial" w:eastAsia="Arial" w:hAnsi="Arial" w:cs="Arial"/>
                <w:color w:val="000000"/>
                <w:sz w:val="16"/>
              </w:rPr>
              <w:t>- </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6B0C188E" w14:textId="77777777" w:rsidR="003F0EEA" w:rsidRDefault="00FB7D0B">
            <w:pPr>
              <w:jc w:val="right"/>
              <w:rPr>
                <w:rFonts w:ascii="Arial" w:eastAsia="Arial" w:hAnsi="Arial" w:cs="Arial"/>
                <w:color w:val="000000"/>
                <w:sz w:val="16"/>
              </w:rPr>
            </w:pPr>
            <w:r>
              <w:rPr>
                <w:rFonts w:ascii="Arial" w:eastAsia="Arial" w:hAnsi="Arial" w:cs="Arial"/>
                <w:color w:val="000000"/>
                <w:sz w:val="16"/>
              </w:rPr>
              <w:t>- </w:t>
            </w:r>
          </w:p>
        </w:tc>
      </w:tr>
      <w:tr w:rsidR="00FB7D0B" w14:paraId="07D8D0AA" w14:textId="77777777" w:rsidTr="00FB7D0B">
        <w:trPr>
          <w:trHeight w:val="225"/>
        </w:trPr>
        <w:tc>
          <w:tcPr>
            <w:tcW w:w="180" w:type="dxa"/>
            <w:tcBorders>
              <w:top w:val="nil"/>
              <w:left w:val="nil"/>
              <w:bottom w:val="nil"/>
              <w:right w:val="nil"/>
              <w:tl2br w:val="nil"/>
              <w:tr2bl w:val="nil"/>
            </w:tcBorders>
            <w:shd w:val="clear" w:color="auto" w:fill="FFFFFF"/>
            <w:tcMar>
              <w:left w:w="101" w:type="dxa"/>
              <w:right w:w="101" w:type="dxa"/>
            </w:tcMar>
            <w:vAlign w:val="bottom"/>
          </w:tcPr>
          <w:p w14:paraId="6ECD20A6" w14:textId="77777777" w:rsidR="003F0EEA" w:rsidRDefault="003F0EEA">
            <w:pPr>
              <w:rPr>
                <w:rFonts w:ascii="Arial" w:eastAsia="Arial" w:hAnsi="Arial" w:cs="Arial"/>
                <w:color w:val="000000"/>
                <w:sz w:val="16"/>
              </w:rPr>
            </w:pPr>
          </w:p>
        </w:tc>
        <w:tc>
          <w:tcPr>
            <w:tcW w:w="2880" w:type="dxa"/>
            <w:gridSpan w:val="2"/>
            <w:tcBorders>
              <w:top w:val="nil"/>
              <w:left w:val="nil"/>
              <w:bottom w:val="nil"/>
              <w:right w:val="nil"/>
              <w:tl2br w:val="nil"/>
              <w:tr2bl w:val="nil"/>
            </w:tcBorders>
            <w:shd w:val="clear" w:color="auto" w:fill="FFFFFF"/>
            <w:tcMar>
              <w:left w:w="101" w:type="dxa"/>
              <w:right w:w="101" w:type="dxa"/>
            </w:tcMar>
            <w:vAlign w:val="bottom"/>
          </w:tcPr>
          <w:p w14:paraId="4E6A6C0D" w14:textId="77777777" w:rsidR="003F0EEA" w:rsidRDefault="00FB7D0B">
            <w:pPr>
              <w:rPr>
                <w:rFonts w:ascii="Arial" w:eastAsia="Arial" w:hAnsi="Arial" w:cs="Arial"/>
                <w:color w:val="000000"/>
                <w:sz w:val="16"/>
              </w:rPr>
            </w:pPr>
            <w:r>
              <w:rPr>
                <w:rFonts w:ascii="Arial" w:eastAsia="Arial" w:hAnsi="Arial" w:cs="Arial"/>
                <w:color w:val="000000"/>
                <w:sz w:val="16"/>
              </w:rPr>
              <w:t>Investments</w:t>
            </w:r>
          </w:p>
        </w:tc>
        <w:tc>
          <w:tcPr>
            <w:tcW w:w="915"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63C0105A" w14:textId="77777777" w:rsidR="003F0EEA" w:rsidRDefault="00FB7D0B">
            <w:pPr>
              <w:jc w:val="right"/>
              <w:rPr>
                <w:rFonts w:ascii="Arial" w:eastAsia="Arial" w:hAnsi="Arial" w:cs="Arial"/>
                <w:color w:val="000000"/>
                <w:sz w:val="16"/>
                <w:vertAlign w:val="superscript"/>
              </w:rPr>
            </w:pPr>
            <w:r>
              <w:rPr>
                <w:rFonts w:ascii="Arial" w:eastAsia="Arial" w:hAnsi="Arial" w:cs="Arial"/>
                <w:color w:val="000000"/>
                <w:sz w:val="16"/>
              </w:rPr>
              <w:t>49,930 </w:t>
            </w:r>
          </w:p>
        </w:tc>
        <w:tc>
          <w:tcPr>
            <w:tcW w:w="915" w:type="dxa"/>
            <w:tcBorders>
              <w:top w:val="nil"/>
              <w:left w:val="nil"/>
              <w:bottom w:val="single" w:sz="6" w:space="0" w:color="000000"/>
              <w:right w:val="nil"/>
              <w:tl2br w:val="nil"/>
              <w:tr2bl w:val="nil"/>
            </w:tcBorders>
            <w:shd w:val="clear" w:color="auto" w:fill="FFFF00"/>
            <w:tcMar>
              <w:left w:w="101" w:type="dxa"/>
              <w:right w:w="101" w:type="dxa"/>
            </w:tcMar>
            <w:vAlign w:val="bottom"/>
          </w:tcPr>
          <w:p w14:paraId="5A404088" w14:textId="77777777" w:rsidR="003F0EEA" w:rsidRDefault="00FB7D0B">
            <w:pPr>
              <w:jc w:val="right"/>
              <w:rPr>
                <w:rFonts w:ascii="Arial" w:eastAsia="Arial" w:hAnsi="Arial" w:cs="Arial"/>
                <w:color w:val="000000"/>
                <w:sz w:val="16"/>
              </w:rPr>
            </w:pPr>
            <w:r>
              <w:rPr>
                <w:rFonts w:ascii="Arial" w:eastAsia="Arial" w:hAnsi="Arial" w:cs="Arial"/>
                <w:color w:val="000000"/>
                <w:sz w:val="16"/>
              </w:rPr>
              <w:t>51,730 </w:t>
            </w:r>
          </w:p>
        </w:tc>
        <w:tc>
          <w:tcPr>
            <w:tcW w:w="915"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6DF89A90" w14:textId="77777777" w:rsidR="003F0EEA" w:rsidRDefault="00FB7D0B">
            <w:pPr>
              <w:jc w:val="right"/>
              <w:rPr>
                <w:rFonts w:ascii="Arial" w:eastAsia="Arial" w:hAnsi="Arial" w:cs="Arial"/>
                <w:color w:val="000000"/>
                <w:sz w:val="16"/>
              </w:rPr>
            </w:pPr>
            <w:r>
              <w:rPr>
                <w:rFonts w:ascii="Arial" w:eastAsia="Arial" w:hAnsi="Arial" w:cs="Arial"/>
                <w:color w:val="000000"/>
                <w:sz w:val="16"/>
              </w:rPr>
              <w:t>54,730 </w:t>
            </w:r>
          </w:p>
        </w:tc>
        <w:tc>
          <w:tcPr>
            <w:tcW w:w="915"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754E7B7F" w14:textId="77777777" w:rsidR="003F0EEA" w:rsidRDefault="00FB7D0B">
            <w:pPr>
              <w:jc w:val="right"/>
              <w:rPr>
                <w:rFonts w:ascii="Arial" w:eastAsia="Arial" w:hAnsi="Arial" w:cs="Arial"/>
                <w:color w:val="000000"/>
                <w:sz w:val="16"/>
              </w:rPr>
            </w:pPr>
            <w:r>
              <w:rPr>
                <w:rFonts w:ascii="Arial" w:eastAsia="Arial" w:hAnsi="Arial" w:cs="Arial"/>
                <w:color w:val="000000"/>
                <w:sz w:val="16"/>
              </w:rPr>
              <w:t>59,130 </w:t>
            </w:r>
          </w:p>
        </w:tc>
        <w:tc>
          <w:tcPr>
            <w:tcW w:w="915"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5EE4BAA2" w14:textId="77777777" w:rsidR="003F0EEA" w:rsidRDefault="00FB7D0B">
            <w:pPr>
              <w:jc w:val="right"/>
              <w:rPr>
                <w:rFonts w:ascii="Arial" w:eastAsia="Arial" w:hAnsi="Arial" w:cs="Arial"/>
                <w:color w:val="000000"/>
                <w:sz w:val="16"/>
              </w:rPr>
            </w:pPr>
            <w:r>
              <w:rPr>
                <w:rFonts w:ascii="Arial" w:eastAsia="Arial" w:hAnsi="Arial" w:cs="Arial"/>
                <w:color w:val="000000"/>
                <w:sz w:val="16"/>
              </w:rPr>
              <w:t>65,130 </w:t>
            </w:r>
          </w:p>
        </w:tc>
      </w:tr>
      <w:tr w:rsidR="00FB7D0B" w14:paraId="57D9A62A" w14:textId="77777777" w:rsidTr="00FB7D0B">
        <w:trPr>
          <w:trHeight w:val="225"/>
        </w:trPr>
        <w:tc>
          <w:tcPr>
            <w:tcW w:w="3060" w:type="dxa"/>
            <w:gridSpan w:val="3"/>
            <w:tcBorders>
              <w:top w:val="nil"/>
              <w:left w:val="nil"/>
              <w:bottom w:val="nil"/>
              <w:right w:val="nil"/>
              <w:tl2br w:val="nil"/>
              <w:tr2bl w:val="nil"/>
            </w:tcBorders>
            <w:shd w:val="clear" w:color="auto" w:fill="FFFFFF"/>
            <w:tcMar>
              <w:left w:w="101" w:type="dxa"/>
              <w:right w:w="101" w:type="dxa"/>
            </w:tcMar>
            <w:vAlign w:val="bottom"/>
          </w:tcPr>
          <w:p w14:paraId="23C9CE3F" w14:textId="77777777" w:rsidR="003F0EEA" w:rsidRDefault="00FB7D0B">
            <w:pPr>
              <w:rPr>
                <w:rFonts w:ascii="Arial" w:eastAsia="Arial" w:hAnsi="Arial" w:cs="Arial"/>
                <w:color w:val="000000"/>
                <w:sz w:val="16"/>
              </w:rPr>
            </w:pPr>
            <w:r>
              <w:rPr>
                <w:rFonts w:ascii="Arial" w:eastAsia="Arial" w:hAnsi="Arial" w:cs="Arial"/>
                <w:b/>
                <w:i/>
                <w:color w:val="000000"/>
                <w:sz w:val="16"/>
              </w:rPr>
              <w:t>Total financial assets</w:t>
            </w:r>
          </w:p>
        </w:tc>
        <w:tc>
          <w:tcPr>
            <w:tcW w:w="915"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0FF9FB1D" w14:textId="77777777" w:rsidR="003F0EEA" w:rsidRDefault="00FB7D0B">
            <w:pPr>
              <w:jc w:val="right"/>
              <w:rPr>
                <w:rFonts w:ascii="Arial" w:eastAsia="Arial" w:hAnsi="Arial" w:cs="Arial"/>
                <w:b/>
                <w:i/>
                <w:color w:val="000000"/>
                <w:sz w:val="16"/>
                <w:vertAlign w:val="superscript"/>
              </w:rPr>
            </w:pPr>
            <w:r>
              <w:rPr>
                <w:rFonts w:ascii="Arial" w:eastAsia="Arial" w:hAnsi="Arial" w:cs="Arial"/>
                <w:b/>
                <w:color w:val="000000"/>
                <w:sz w:val="16"/>
              </w:rPr>
              <w:t>60,024 </w:t>
            </w:r>
          </w:p>
        </w:tc>
        <w:tc>
          <w:tcPr>
            <w:tcW w:w="915" w:type="dxa"/>
            <w:tcBorders>
              <w:top w:val="single" w:sz="6" w:space="0" w:color="000000"/>
              <w:left w:val="nil"/>
              <w:bottom w:val="single" w:sz="6" w:space="0" w:color="000000"/>
              <w:right w:val="nil"/>
              <w:tl2br w:val="nil"/>
              <w:tr2bl w:val="nil"/>
            </w:tcBorders>
            <w:shd w:val="clear" w:color="auto" w:fill="FFFF00"/>
            <w:tcMar>
              <w:left w:w="101" w:type="dxa"/>
              <w:right w:w="101" w:type="dxa"/>
            </w:tcMar>
            <w:vAlign w:val="bottom"/>
          </w:tcPr>
          <w:p w14:paraId="0423522B" w14:textId="77777777" w:rsidR="003F0EEA" w:rsidRDefault="00FB7D0B">
            <w:pPr>
              <w:jc w:val="right"/>
              <w:rPr>
                <w:rFonts w:ascii="Arial" w:eastAsia="Arial" w:hAnsi="Arial" w:cs="Arial"/>
                <w:b/>
                <w:color w:val="000000"/>
                <w:sz w:val="16"/>
              </w:rPr>
            </w:pPr>
            <w:r>
              <w:rPr>
                <w:rFonts w:ascii="Arial" w:eastAsia="Arial" w:hAnsi="Arial" w:cs="Arial"/>
                <w:b/>
                <w:color w:val="000000"/>
                <w:sz w:val="16"/>
              </w:rPr>
              <w:t>62,783 </w:t>
            </w:r>
          </w:p>
        </w:tc>
        <w:tc>
          <w:tcPr>
            <w:tcW w:w="915"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5A13EBCC" w14:textId="77777777" w:rsidR="003F0EEA" w:rsidRDefault="00FB7D0B">
            <w:pPr>
              <w:jc w:val="right"/>
              <w:rPr>
                <w:rFonts w:ascii="Arial" w:eastAsia="Arial" w:hAnsi="Arial" w:cs="Arial"/>
                <w:b/>
                <w:color w:val="000000"/>
                <w:sz w:val="16"/>
              </w:rPr>
            </w:pPr>
            <w:r>
              <w:rPr>
                <w:rFonts w:ascii="Arial" w:eastAsia="Arial" w:hAnsi="Arial" w:cs="Arial"/>
                <w:b/>
                <w:color w:val="000000"/>
                <w:sz w:val="16"/>
              </w:rPr>
              <w:t>65,759 </w:t>
            </w:r>
          </w:p>
        </w:tc>
        <w:tc>
          <w:tcPr>
            <w:tcW w:w="915"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4949E972" w14:textId="77777777" w:rsidR="003F0EEA" w:rsidRDefault="00FB7D0B">
            <w:pPr>
              <w:jc w:val="right"/>
              <w:rPr>
                <w:rFonts w:ascii="Arial" w:eastAsia="Arial" w:hAnsi="Arial" w:cs="Arial"/>
                <w:b/>
                <w:color w:val="000000"/>
                <w:sz w:val="16"/>
              </w:rPr>
            </w:pPr>
            <w:r>
              <w:rPr>
                <w:rFonts w:ascii="Arial" w:eastAsia="Arial" w:hAnsi="Arial" w:cs="Arial"/>
                <w:b/>
                <w:color w:val="000000"/>
                <w:sz w:val="16"/>
              </w:rPr>
              <w:t>70,153 </w:t>
            </w:r>
          </w:p>
        </w:tc>
        <w:tc>
          <w:tcPr>
            <w:tcW w:w="915"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338D8951" w14:textId="77777777" w:rsidR="003F0EEA" w:rsidRDefault="00FB7D0B">
            <w:pPr>
              <w:jc w:val="right"/>
              <w:rPr>
                <w:rFonts w:ascii="Arial" w:eastAsia="Arial" w:hAnsi="Arial" w:cs="Arial"/>
                <w:b/>
                <w:color w:val="000000"/>
                <w:sz w:val="16"/>
              </w:rPr>
            </w:pPr>
            <w:r>
              <w:rPr>
                <w:rFonts w:ascii="Arial" w:eastAsia="Arial" w:hAnsi="Arial" w:cs="Arial"/>
                <w:b/>
                <w:color w:val="000000"/>
                <w:sz w:val="16"/>
              </w:rPr>
              <w:t>76,191 </w:t>
            </w:r>
          </w:p>
        </w:tc>
      </w:tr>
      <w:tr w:rsidR="00724034" w14:paraId="07C0E979" w14:textId="77777777">
        <w:trPr>
          <w:trHeight w:val="60"/>
        </w:trPr>
        <w:tc>
          <w:tcPr>
            <w:tcW w:w="180" w:type="dxa"/>
            <w:tcBorders>
              <w:top w:val="nil"/>
              <w:left w:val="nil"/>
              <w:bottom w:val="nil"/>
              <w:right w:val="nil"/>
              <w:tl2br w:val="nil"/>
              <w:tr2bl w:val="nil"/>
            </w:tcBorders>
            <w:shd w:val="clear" w:color="auto" w:fill="FFFFFF"/>
            <w:tcMar>
              <w:left w:w="101" w:type="dxa"/>
              <w:right w:w="101" w:type="dxa"/>
            </w:tcMar>
            <w:vAlign w:val="bottom"/>
          </w:tcPr>
          <w:p w14:paraId="53C88CDF" w14:textId="77777777" w:rsidR="003F0EEA" w:rsidRDefault="003F0EEA">
            <w:pPr>
              <w:rPr>
                <w:rFonts w:ascii="Arial" w:eastAsia="Arial" w:hAnsi="Arial" w:cs="Arial"/>
                <w:b/>
                <w:color w:val="000000"/>
                <w:sz w:val="16"/>
              </w:rPr>
            </w:pPr>
          </w:p>
        </w:tc>
        <w:tc>
          <w:tcPr>
            <w:tcW w:w="180" w:type="dxa"/>
            <w:tcBorders>
              <w:top w:val="nil"/>
              <w:left w:val="nil"/>
              <w:bottom w:val="nil"/>
              <w:right w:val="nil"/>
              <w:tl2br w:val="nil"/>
              <w:tr2bl w:val="nil"/>
            </w:tcBorders>
            <w:shd w:val="clear" w:color="auto" w:fill="FFFFFF"/>
            <w:tcMar>
              <w:left w:w="101" w:type="dxa"/>
              <w:right w:w="101" w:type="dxa"/>
            </w:tcMar>
            <w:vAlign w:val="bottom"/>
          </w:tcPr>
          <w:p w14:paraId="4FD12B44" w14:textId="77777777" w:rsidR="003F0EEA" w:rsidRDefault="003F0EEA">
            <w:pPr>
              <w:rPr>
                <w:rFonts w:ascii="Arial" w:eastAsia="Arial" w:hAnsi="Arial" w:cs="Arial"/>
                <w:color w:val="000000"/>
                <w:sz w:val="16"/>
              </w:rPr>
            </w:pPr>
          </w:p>
        </w:tc>
        <w:tc>
          <w:tcPr>
            <w:tcW w:w="2700" w:type="dxa"/>
            <w:tcBorders>
              <w:top w:val="nil"/>
              <w:left w:val="nil"/>
              <w:bottom w:val="nil"/>
              <w:right w:val="nil"/>
              <w:tl2br w:val="nil"/>
              <w:tr2bl w:val="nil"/>
            </w:tcBorders>
            <w:shd w:val="clear" w:color="auto" w:fill="FFFFFF"/>
            <w:tcMar>
              <w:left w:w="101" w:type="dxa"/>
              <w:right w:w="101" w:type="dxa"/>
            </w:tcMar>
            <w:vAlign w:val="bottom"/>
          </w:tcPr>
          <w:p w14:paraId="2675AAE5" w14:textId="77777777" w:rsidR="003F0EEA" w:rsidRDefault="003F0EEA">
            <w:pPr>
              <w:rPr>
                <w:rFonts w:ascii="Arial" w:eastAsia="Arial" w:hAnsi="Arial" w:cs="Arial"/>
                <w:color w:val="000000"/>
                <w:sz w:val="16"/>
              </w:rPr>
            </w:pPr>
          </w:p>
        </w:tc>
        <w:tc>
          <w:tcPr>
            <w:tcW w:w="91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0B29C8D8" w14:textId="77777777" w:rsidR="003F0EEA" w:rsidRDefault="003F0EEA">
            <w:pPr>
              <w:rPr>
                <w:rFonts w:ascii="Arial" w:eastAsia="Arial" w:hAnsi="Arial" w:cs="Arial"/>
                <w:b/>
                <w:color w:val="000000"/>
                <w:sz w:val="16"/>
                <w:vertAlign w:val="superscript"/>
              </w:rPr>
            </w:pPr>
          </w:p>
        </w:tc>
        <w:tc>
          <w:tcPr>
            <w:tcW w:w="915" w:type="dxa"/>
            <w:tcBorders>
              <w:top w:val="single" w:sz="6" w:space="0" w:color="000000"/>
              <w:left w:val="nil"/>
              <w:bottom w:val="nil"/>
              <w:right w:val="nil"/>
              <w:tl2br w:val="nil"/>
              <w:tr2bl w:val="nil"/>
            </w:tcBorders>
            <w:shd w:val="clear" w:color="auto" w:fill="FFFF00"/>
            <w:tcMar>
              <w:left w:w="101" w:type="dxa"/>
              <w:right w:w="101" w:type="dxa"/>
            </w:tcMar>
            <w:vAlign w:val="bottom"/>
          </w:tcPr>
          <w:p w14:paraId="5D0ABC0B" w14:textId="77777777" w:rsidR="003F0EEA" w:rsidRDefault="003F0EEA">
            <w:pPr>
              <w:rPr>
                <w:rFonts w:ascii="Arial" w:eastAsia="Arial" w:hAnsi="Arial" w:cs="Arial"/>
                <w:color w:val="000000"/>
                <w:sz w:val="16"/>
                <w:vertAlign w:val="superscript"/>
              </w:rPr>
            </w:pPr>
          </w:p>
        </w:tc>
        <w:tc>
          <w:tcPr>
            <w:tcW w:w="91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7FDCC6F6" w14:textId="77777777" w:rsidR="003F0EEA" w:rsidRDefault="003F0EEA">
            <w:pPr>
              <w:rPr>
                <w:rFonts w:ascii="Arial" w:eastAsia="Arial" w:hAnsi="Arial" w:cs="Arial"/>
                <w:color w:val="000000"/>
                <w:sz w:val="16"/>
                <w:vertAlign w:val="superscript"/>
              </w:rPr>
            </w:pPr>
          </w:p>
        </w:tc>
        <w:tc>
          <w:tcPr>
            <w:tcW w:w="91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53C9CAD2" w14:textId="77777777" w:rsidR="003F0EEA" w:rsidRDefault="003F0EEA">
            <w:pPr>
              <w:rPr>
                <w:rFonts w:ascii="Arial" w:eastAsia="Arial" w:hAnsi="Arial" w:cs="Arial"/>
                <w:color w:val="000000"/>
                <w:sz w:val="16"/>
                <w:vertAlign w:val="superscript"/>
              </w:rPr>
            </w:pPr>
          </w:p>
        </w:tc>
        <w:tc>
          <w:tcPr>
            <w:tcW w:w="91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7F76B313" w14:textId="77777777" w:rsidR="003F0EEA" w:rsidRDefault="003F0EEA">
            <w:pPr>
              <w:rPr>
                <w:rFonts w:ascii="Arial" w:eastAsia="Arial" w:hAnsi="Arial" w:cs="Arial"/>
                <w:color w:val="000000"/>
                <w:sz w:val="16"/>
                <w:vertAlign w:val="superscript"/>
              </w:rPr>
            </w:pPr>
          </w:p>
        </w:tc>
      </w:tr>
      <w:tr w:rsidR="00FB7D0B" w14:paraId="09125403" w14:textId="77777777" w:rsidTr="00FB7D0B">
        <w:trPr>
          <w:trHeight w:val="225"/>
        </w:trPr>
        <w:tc>
          <w:tcPr>
            <w:tcW w:w="3060" w:type="dxa"/>
            <w:gridSpan w:val="3"/>
            <w:tcBorders>
              <w:top w:val="nil"/>
              <w:left w:val="nil"/>
              <w:bottom w:val="nil"/>
              <w:right w:val="nil"/>
              <w:tl2br w:val="nil"/>
              <w:tr2bl w:val="nil"/>
            </w:tcBorders>
            <w:shd w:val="clear" w:color="auto" w:fill="FFFFFF"/>
            <w:tcMar>
              <w:left w:w="101" w:type="dxa"/>
              <w:right w:w="101" w:type="dxa"/>
            </w:tcMar>
            <w:vAlign w:val="bottom"/>
          </w:tcPr>
          <w:p w14:paraId="0EC98D51" w14:textId="77777777" w:rsidR="003F0EEA" w:rsidRDefault="00FB7D0B">
            <w:pPr>
              <w:rPr>
                <w:rFonts w:ascii="Arial" w:eastAsia="Arial" w:hAnsi="Arial" w:cs="Arial"/>
                <w:color w:val="000000"/>
                <w:sz w:val="16"/>
                <w:vertAlign w:val="superscript"/>
              </w:rPr>
            </w:pPr>
            <w:r>
              <w:rPr>
                <w:rFonts w:ascii="Arial" w:eastAsia="Arial" w:hAnsi="Arial" w:cs="Arial"/>
                <w:b/>
                <w:color w:val="000000"/>
                <w:sz w:val="16"/>
              </w:rPr>
              <w:t>Non-financial assets</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653F2567" w14:textId="77777777" w:rsidR="003F0EEA" w:rsidRDefault="003F0EEA">
            <w:pPr>
              <w:rPr>
                <w:rFonts w:ascii="Arial" w:eastAsia="Arial" w:hAnsi="Arial" w:cs="Arial"/>
                <w:b/>
                <w:color w:val="000000"/>
                <w:sz w:val="16"/>
                <w:vertAlign w:val="superscript"/>
              </w:rPr>
            </w:pPr>
          </w:p>
        </w:tc>
        <w:tc>
          <w:tcPr>
            <w:tcW w:w="915" w:type="dxa"/>
            <w:tcBorders>
              <w:top w:val="nil"/>
              <w:left w:val="nil"/>
              <w:bottom w:val="nil"/>
              <w:right w:val="nil"/>
              <w:tl2br w:val="nil"/>
              <w:tr2bl w:val="nil"/>
            </w:tcBorders>
            <w:shd w:val="clear" w:color="auto" w:fill="FFFF00"/>
            <w:tcMar>
              <w:left w:w="101" w:type="dxa"/>
              <w:right w:w="101" w:type="dxa"/>
            </w:tcMar>
            <w:vAlign w:val="bottom"/>
          </w:tcPr>
          <w:p w14:paraId="428ADD79" w14:textId="77777777" w:rsidR="003F0EEA" w:rsidRDefault="003F0EEA">
            <w:pPr>
              <w:rPr>
                <w:rFonts w:ascii="Arial" w:eastAsia="Arial" w:hAnsi="Arial" w:cs="Arial"/>
                <w:color w:val="000000"/>
                <w:sz w:val="16"/>
                <w:vertAlign w:val="superscript"/>
              </w:rPr>
            </w:pP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645F4ADD" w14:textId="77777777" w:rsidR="003F0EEA" w:rsidRDefault="003F0EEA">
            <w:pPr>
              <w:rPr>
                <w:rFonts w:ascii="Arial" w:eastAsia="Arial" w:hAnsi="Arial" w:cs="Arial"/>
                <w:color w:val="000000"/>
                <w:sz w:val="16"/>
                <w:vertAlign w:val="superscript"/>
              </w:rPr>
            </w:pP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36C7ED4F" w14:textId="77777777" w:rsidR="003F0EEA" w:rsidRDefault="003F0EEA">
            <w:pPr>
              <w:rPr>
                <w:rFonts w:ascii="Arial" w:eastAsia="Arial" w:hAnsi="Arial" w:cs="Arial"/>
                <w:color w:val="000000"/>
                <w:sz w:val="16"/>
                <w:vertAlign w:val="superscript"/>
              </w:rPr>
            </w:pP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2EE7AE31" w14:textId="77777777" w:rsidR="003F0EEA" w:rsidRDefault="003F0EEA">
            <w:pPr>
              <w:rPr>
                <w:rFonts w:ascii="Arial" w:eastAsia="Arial" w:hAnsi="Arial" w:cs="Arial"/>
                <w:color w:val="000000"/>
                <w:sz w:val="16"/>
                <w:vertAlign w:val="superscript"/>
              </w:rPr>
            </w:pPr>
          </w:p>
        </w:tc>
      </w:tr>
      <w:tr w:rsidR="00FB7D0B" w14:paraId="1F012389" w14:textId="77777777" w:rsidTr="00FB7D0B">
        <w:trPr>
          <w:trHeight w:val="225"/>
        </w:trPr>
        <w:tc>
          <w:tcPr>
            <w:tcW w:w="180" w:type="dxa"/>
            <w:tcBorders>
              <w:top w:val="nil"/>
              <w:left w:val="nil"/>
              <w:bottom w:val="nil"/>
              <w:right w:val="nil"/>
              <w:tl2br w:val="nil"/>
              <w:tr2bl w:val="nil"/>
            </w:tcBorders>
            <w:shd w:val="clear" w:color="auto" w:fill="FFFFFF"/>
            <w:tcMar>
              <w:left w:w="101" w:type="dxa"/>
              <w:right w:w="101" w:type="dxa"/>
            </w:tcMar>
            <w:vAlign w:val="bottom"/>
          </w:tcPr>
          <w:p w14:paraId="1F2DB223" w14:textId="77777777" w:rsidR="003F0EEA" w:rsidRDefault="003F0EEA">
            <w:pPr>
              <w:rPr>
                <w:rFonts w:ascii="Arial" w:eastAsia="Arial" w:hAnsi="Arial" w:cs="Arial"/>
                <w:color w:val="000000"/>
                <w:sz w:val="16"/>
                <w:vertAlign w:val="superscript"/>
              </w:rPr>
            </w:pPr>
          </w:p>
        </w:tc>
        <w:tc>
          <w:tcPr>
            <w:tcW w:w="2880" w:type="dxa"/>
            <w:gridSpan w:val="2"/>
            <w:vMerge w:val="restart"/>
            <w:tcBorders>
              <w:top w:val="nil"/>
              <w:left w:val="nil"/>
              <w:bottom w:val="nil"/>
              <w:right w:val="nil"/>
              <w:tl2br w:val="nil"/>
              <w:tr2bl w:val="nil"/>
            </w:tcBorders>
            <w:shd w:val="clear" w:color="auto" w:fill="FFFFFF"/>
            <w:tcMar>
              <w:left w:w="101" w:type="dxa"/>
              <w:right w:w="101" w:type="dxa"/>
            </w:tcMar>
            <w:vAlign w:val="bottom"/>
          </w:tcPr>
          <w:p w14:paraId="3717A149" w14:textId="77777777" w:rsidR="003F0EEA" w:rsidRDefault="00FB7D0B">
            <w:pPr>
              <w:rPr>
                <w:rFonts w:ascii="Arial" w:eastAsia="Arial" w:hAnsi="Arial" w:cs="Arial"/>
                <w:color w:val="000000"/>
                <w:sz w:val="16"/>
                <w:vertAlign w:val="superscript"/>
              </w:rPr>
            </w:pPr>
            <w:r>
              <w:rPr>
                <w:rFonts w:ascii="Arial" w:eastAsia="Arial" w:hAnsi="Arial" w:cs="Arial"/>
                <w:color w:val="000000"/>
                <w:sz w:val="16"/>
              </w:rPr>
              <w:t>Intangibles - Computer Software</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20934CAE" w14:textId="77777777" w:rsidR="003F0EEA" w:rsidRDefault="00FB7D0B">
            <w:pPr>
              <w:jc w:val="right"/>
              <w:rPr>
                <w:rFonts w:ascii="Arial" w:eastAsia="Arial" w:hAnsi="Arial" w:cs="Arial"/>
                <w:color w:val="000000"/>
                <w:sz w:val="16"/>
                <w:vertAlign w:val="superscript"/>
              </w:rPr>
            </w:pPr>
            <w:r>
              <w:rPr>
                <w:rFonts w:ascii="Arial" w:eastAsia="Arial" w:hAnsi="Arial" w:cs="Arial"/>
                <w:color w:val="000000"/>
                <w:sz w:val="16"/>
              </w:rPr>
              <w:t>530 </w:t>
            </w:r>
          </w:p>
        </w:tc>
        <w:tc>
          <w:tcPr>
            <w:tcW w:w="915" w:type="dxa"/>
            <w:tcBorders>
              <w:top w:val="nil"/>
              <w:left w:val="nil"/>
              <w:bottom w:val="nil"/>
              <w:right w:val="nil"/>
              <w:tl2br w:val="nil"/>
              <w:tr2bl w:val="nil"/>
            </w:tcBorders>
            <w:shd w:val="clear" w:color="auto" w:fill="FFFF00"/>
            <w:tcMar>
              <w:left w:w="101" w:type="dxa"/>
              <w:right w:w="101" w:type="dxa"/>
            </w:tcMar>
            <w:vAlign w:val="bottom"/>
          </w:tcPr>
          <w:p w14:paraId="4DF17CE9" w14:textId="77777777" w:rsidR="003F0EEA" w:rsidRDefault="00FB7D0B">
            <w:pPr>
              <w:jc w:val="right"/>
              <w:rPr>
                <w:rFonts w:ascii="Arial" w:eastAsia="Arial" w:hAnsi="Arial" w:cs="Arial"/>
                <w:color w:val="000000"/>
                <w:sz w:val="16"/>
              </w:rPr>
            </w:pPr>
            <w:r>
              <w:rPr>
                <w:rFonts w:ascii="Arial" w:eastAsia="Arial" w:hAnsi="Arial" w:cs="Arial"/>
                <w:color w:val="000000"/>
                <w:sz w:val="16"/>
              </w:rPr>
              <w:t>455 </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4451DE58" w14:textId="77777777" w:rsidR="003F0EEA" w:rsidRDefault="00FB7D0B">
            <w:pPr>
              <w:jc w:val="right"/>
              <w:rPr>
                <w:rFonts w:ascii="Arial" w:eastAsia="Arial" w:hAnsi="Arial" w:cs="Arial"/>
                <w:color w:val="000000"/>
                <w:sz w:val="16"/>
              </w:rPr>
            </w:pPr>
            <w:r>
              <w:rPr>
                <w:rFonts w:ascii="Arial" w:eastAsia="Arial" w:hAnsi="Arial" w:cs="Arial"/>
                <w:color w:val="000000"/>
                <w:sz w:val="16"/>
              </w:rPr>
              <w:t>380 </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13CBBECC" w14:textId="77777777" w:rsidR="003F0EEA" w:rsidRDefault="00FB7D0B">
            <w:pPr>
              <w:jc w:val="right"/>
              <w:rPr>
                <w:rFonts w:ascii="Arial" w:eastAsia="Arial" w:hAnsi="Arial" w:cs="Arial"/>
                <w:color w:val="000000"/>
                <w:sz w:val="16"/>
              </w:rPr>
            </w:pPr>
            <w:r>
              <w:rPr>
                <w:rFonts w:ascii="Arial" w:eastAsia="Arial" w:hAnsi="Arial" w:cs="Arial"/>
                <w:color w:val="000000"/>
                <w:sz w:val="16"/>
              </w:rPr>
              <w:t>305 </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0A635002" w14:textId="77777777" w:rsidR="003F0EEA" w:rsidRDefault="00FB7D0B">
            <w:pPr>
              <w:jc w:val="right"/>
              <w:rPr>
                <w:rFonts w:ascii="Arial" w:eastAsia="Arial" w:hAnsi="Arial" w:cs="Arial"/>
                <w:color w:val="000000"/>
                <w:sz w:val="16"/>
              </w:rPr>
            </w:pPr>
            <w:r>
              <w:rPr>
                <w:rFonts w:ascii="Arial" w:eastAsia="Arial" w:hAnsi="Arial" w:cs="Arial"/>
                <w:color w:val="000000"/>
                <w:sz w:val="16"/>
              </w:rPr>
              <w:t>230 </w:t>
            </w:r>
          </w:p>
        </w:tc>
      </w:tr>
      <w:tr w:rsidR="00FB7D0B" w14:paraId="4F156D1E" w14:textId="77777777" w:rsidTr="00FB7D0B">
        <w:trPr>
          <w:trHeight w:val="225"/>
        </w:trPr>
        <w:tc>
          <w:tcPr>
            <w:tcW w:w="180" w:type="dxa"/>
            <w:tcBorders>
              <w:top w:val="nil"/>
              <w:left w:val="nil"/>
              <w:bottom w:val="nil"/>
              <w:right w:val="nil"/>
              <w:tl2br w:val="nil"/>
              <w:tr2bl w:val="nil"/>
            </w:tcBorders>
            <w:shd w:val="clear" w:color="auto" w:fill="FFFFFF"/>
            <w:tcMar>
              <w:left w:w="101" w:type="dxa"/>
              <w:right w:w="101" w:type="dxa"/>
            </w:tcMar>
            <w:vAlign w:val="bottom"/>
          </w:tcPr>
          <w:p w14:paraId="09BD0B33" w14:textId="77777777" w:rsidR="003F0EEA" w:rsidRDefault="003F0EEA">
            <w:pPr>
              <w:rPr>
                <w:rFonts w:ascii="Arial" w:eastAsia="Arial" w:hAnsi="Arial" w:cs="Arial"/>
                <w:color w:val="000000"/>
                <w:sz w:val="16"/>
              </w:rPr>
            </w:pPr>
          </w:p>
        </w:tc>
        <w:tc>
          <w:tcPr>
            <w:tcW w:w="2880" w:type="dxa"/>
            <w:gridSpan w:val="2"/>
            <w:vMerge w:val="restart"/>
            <w:tcBorders>
              <w:top w:val="nil"/>
              <w:left w:val="nil"/>
              <w:bottom w:val="nil"/>
              <w:right w:val="nil"/>
              <w:tl2br w:val="nil"/>
              <w:tr2bl w:val="nil"/>
            </w:tcBorders>
            <w:shd w:val="clear" w:color="auto" w:fill="FFFFFF"/>
            <w:tcMar>
              <w:left w:w="101" w:type="dxa"/>
              <w:right w:w="101" w:type="dxa"/>
            </w:tcMar>
            <w:vAlign w:val="bottom"/>
          </w:tcPr>
          <w:p w14:paraId="3463617E" w14:textId="77777777" w:rsidR="003F0EEA" w:rsidRDefault="00FB7D0B">
            <w:pPr>
              <w:rPr>
                <w:rFonts w:ascii="Arial" w:eastAsia="Arial" w:hAnsi="Arial" w:cs="Arial"/>
                <w:color w:val="000000"/>
                <w:sz w:val="16"/>
              </w:rPr>
            </w:pPr>
            <w:r>
              <w:rPr>
                <w:rFonts w:ascii="Arial" w:eastAsia="Arial" w:hAnsi="Arial" w:cs="Arial"/>
                <w:color w:val="000000"/>
                <w:sz w:val="16"/>
              </w:rPr>
              <w:t>Other non-financial assets</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63A000ED" w14:textId="77777777" w:rsidR="003F0EEA" w:rsidRDefault="00FB7D0B">
            <w:pPr>
              <w:jc w:val="right"/>
              <w:rPr>
                <w:rFonts w:ascii="Arial" w:eastAsia="Arial" w:hAnsi="Arial" w:cs="Arial"/>
                <w:color w:val="000000"/>
                <w:sz w:val="16"/>
                <w:vertAlign w:val="superscript"/>
              </w:rPr>
            </w:pPr>
            <w:r>
              <w:rPr>
                <w:rFonts w:ascii="Arial" w:eastAsia="Arial" w:hAnsi="Arial" w:cs="Arial"/>
                <w:color w:val="000000"/>
                <w:sz w:val="16"/>
              </w:rPr>
              <w:t>2,000 </w:t>
            </w:r>
          </w:p>
        </w:tc>
        <w:tc>
          <w:tcPr>
            <w:tcW w:w="915" w:type="dxa"/>
            <w:tcBorders>
              <w:top w:val="nil"/>
              <w:left w:val="nil"/>
              <w:bottom w:val="nil"/>
              <w:right w:val="nil"/>
              <w:tl2br w:val="nil"/>
              <w:tr2bl w:val="nil"/>
            </w:tcBorders>
            <w:shd w:val="clear" w:color="auto" w:fill="FFFF00"/>
            <w:tcMar>
              <w:left w:w="101" w:type="dxa"/>
              <w:right w:w="101" w:type="dxa"/>
            </w:tcMar>
            <w:vAlign w:val="bottom"/>
          </w:tcPr>
          <w:p w14:paraId="0C50825B" w14:textId="77777777" w:rsidR="003F0EEA" w:rsidRDefault="00FB7D0B">
            <w:pPr>
              <w:jc w:val="right"/>
              <w:rPr>
                <w:rFonts w:ascii="Arial" w:eastAsia="Arial" w:hAnsi="Arial" w:cs="Arial"/>
                <w:color w:val="000000"/>
                <w:sz w:val="16"/>
              </w:rPr>
            </w:pPr>
            <w:r>
              <w:rPr>
                <w:rFonts w:ascii="Arial" w:eastAsia="Arial" w:hAnsi="Arial" w:cs="Arial"/>
                <w:color w:val="000000"/>
                <w:sz w:val="16"/>
              </w:rPr>
              <w:t>2,000 </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07A59303" w14:textId="77777777" w:rsidR="003F0EEA" w:rsidRDefault="00FB7D0B">
            <w:pPr>
              <w:jc w:val="right"/>
              <w:rPr>
                <w:rFonts w:ascii="Arial" w:eastAsia="Arial" w:hAnsi="Arial" w:cs="Arial"/>
                <w:color w:val="000000"/>
                <w:sz w:val="16"/>
              </w:rPr>
            </w:pPr>
            <w:r>
              <w:rPr>
                <w:rFonts w:ascii="Arial" w:eastAsia="Arial" w:hAnsi="Arial" w:cs="Arial"/>
                <w:color w:val="000000"/>
                <w:sz w:val="16"/>
              </w:rPr>
              <w:t>2,000 </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7605852C" w14:textId="77777777" w:rsidR="003F0EEA" w:rsidRDefault="00FB7D0B">
            <w:pPr>
              <w:jc w:val="right"/>
              <w:rPr>
                <w:rFonts w:ascii="Arial" w:eastAsia="Arial" w:hAnsi="Arial" w:cs="Arial"/>
                <w:color w:val="000000"/>
                <w:sz w:val="16"/>
              </w:rPr>
            </w:pPr>
            <w:r>
              <w:rPr>
                <w:rFonts w:ascii="Arial" w:eastAsia="Arial" w:hAnsi="Arial" w:cs="Arial"/>
                <w:color w:val="000000"/>
                <w:sz w:val="16"/>
              </w:rPr>
              <w:t>2,000 </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4CD2D3D5" w14:textId="77777777" w:rsidR="003F0EEA" w:rsidRDefault="00FB7D0B">
            <w:pPr>
              <w:jc w:val="right"/>
              <w:rPr>
                <w:rFonts w:ascii="Arial" w:eastAsia="Arial" w:hAnsi="Arial" w:cs="Arial"/>
                <w:color w:val="000000"/>
                <w:sz w:val="16"/>
              </w:rPr>
            </w:pPr>
            <w:r>
              <w:rPr>
                <w:rFonts w:ascii="Arial" w:eastAsia="Arial" w:hAnsi="Arial" w:cs="Arial"/>
                <w:color w:val="000000"/>
                <w:sz w:val="16"/>
              </w:rPr>
              <w:t>2,000 </w:t>
            </w:r>
          </w:p>
        </w:tc>
      </w:tr>
      <w:tr w:rsidR="00FB7D0B" w14:paraId="0BD38815" w14:textId="77777777" w:rsidTr="00FB7D0B">
        <w:trPr>
          <w:trHeight w:val="225"/>
        </w:trPr>
        <w:tc>
          <w:tcPr>
            <w:tcW w:w="3060" w:type="dxa"/>
            <w:gridSpan w:val="3"/>
            <w:tcBorders>
              <w:top w:val="nil"/>
              <w:left w:val="nil"/>
              <w:bottom w:val="nil"/>
              <w:right w:val="nil"/>
              <w:tl2br w:val="nil"/>
              <w:tr2bl w:val="nil"/>
            </w:tcBorders>
            <w:shd w:val="clear" w:color="auto" w:fill="FFFFFF"/>
            <w:tcMar>
              <w:left w:w="101" w:type="dxa"/>
              <w:right w:w="101" w:type="dxa"/>
            </w:tcMar>
            <w:vAlign w:val="bottom"/>
          </w:tcPr>
          <w:p w14:paraId="0407F078" w14:textId="77777777" w:rsidR="003F0EEA" w:rsidRDefault="00FB7D0B">
            <w:pPr>
              <w:rPr>
                <w:rFonts w:ascii="Arial" w:eastAsia="Arial" w:hAnsi="Arial" w:cs="Arial"/>
                <w:color w:val="000000"/>
                <w:sz w:val="16"/>
              </w:rPr>
            </w:pPr>
            <w:r>
              <w:rPr>
                <w:rFonts w:ascii="Arial" w:eastAsia="Arial" w:hAnsi="Arial" w:cs="Arial"/>
                <w:b/>
                <w:i/>
                <w:color w:val="000000"/>
                <w:sz w:val="16"/>
              </w:rPr>
              <w:t>Total non-financial assets</w:t>
            </w:r>
          </w:p>
        </w:tc>
        <w:tc>
          <w:tcPr>
            <w:tcW w:w="915"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3FA0D388" w14:textId="77777777" w:rsidR="003F0EEA" w:rsidRDefault="00FB7D0B">
            <w:pPr>
              <w:jc w:val="right"/>
              <w:rPr>
                <w:rFonts w:ascii="Arial" w:eastAsia="Arial" w:hAnsi="Arial" w:cs="Arial"/>
                <w:b/>
                <w:i/>
                <w:color w:val="000000"/>
                <w:sz w:val="16"/>
                <w:vertAlign w:val="superscript"/>
              </w:rPr>
            </w:pPr>
            <w:r>
              <w:rPr>
                <w:rFonts w:ascii="Arial" w:eastAsia="Arial" w:hAnsi="Arial" w:cs="Arial"/>
                <w:b/>
                <w:color w:val="000000"/>
                <w:sz w:val="16"/>
              </w:rPr>
              <w:t>2,530 </w:t>
            </w:r>
          </w:p>
        </w:tc>
        <w:tc>
          <w:tcPr>
            <w:tcW w:w="915" w:type="dxa"/>
            <w:tcBorders>
              <w:top w:val="single" w:sz="6" w:space="0" w:color="000000"/>
              <w:left w:val="nil"/>
              <w:bottom w:val="single" w:sz="6" w:space="0" w:color="000000"/>
              <w:right w:val="nil"/>
              <w:tl2br w:val="nil"/>
              <w:tr2bl w:val="nil"/>
            </w:tcBorders>
            <w:shd w:val="clear" w:color="auto" w:fill="FFFF00"/>
            <w:tcMar>
              <w:left w:w="101" w:type="dxa"/>
              <w:right w:w="101" w:type="dxa"/>
            </w:tcMar>
            <w:vAlign w:val="bottom"/>
          </w:tcPr>
          <w:p w14:paraId="17DFDB21" w14:textId="77777777" w:rsidR="003F0EEA" w:rsidRDefault="00FB7D0B">
            <w:pPr>
              <w:jc w:val="right"/>
              <w:rPr>
                <w:rFonts w:ascii="Arial" w:eastAsia="Arial" w:hAnsi="Arial" w:cs="Arial"/>
                <w:b/>
                <w:color w:val="000000"/>
                <w:sz w:val="16"/>
              </w:rPr>
            </w:pPr>
            <w:r>
              <w:rPr>
                <w:rFonts w:ascii="Arial" w:eastAsia="Arial" w:hAnsi="Arial" w:cs="Arial"/>
                <w:b/>
                <w:color w:val="000000"/>
                <w:sz w:val="16"/>
              </w:rPr>
              <w:t>2,455 </w:t>
            </w:r>
          </w:p>
        </w:tc>
        <w:tc>
          <w:tcPr>
            <w:tcW w:w="915"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01E648D9" w14:textId="77777777" w:rsidR="003F0EEA" w:rsidRDefault="00FB7D0B">
            <w:pPr>
              <w:jc w:val="right"/>
              <w:rPr>
                <w:rFonts w:ascii="Arial" w:eastAsia="Arial" w:hAnsi="Arial" w:cs="Arial"/>
                <w:b/>
                <w:color w:val="000000"/>
                <w:sz w:val="16"/>
              </w:rPr>
            </w:pPr>
            <w:r>
              <w:rPr>
                <w:rFonts w:ascii="Arial" w:eastAsia="Arial" w:hAnsi="Arial" w:cs="Arial"/>
                <w:b/>
                <w:color w:val="000000"/>
                <w:sz w:val="16"/>
              </w:rPr>
              <w:t>2,380 </w:t>
            </w:r>
          </w:p>
        </w:tc>
        <w:tc>
          <w:tcPr>
            <w:tcW w:w="915"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7A8567B9" w14:textId="77777777" w:rsidR="003F0EEA" w:rsidRDefault="00FB7D0B">
            <w:pPr>
              <w:jc w:val="right"/>
              <w:rPr>
                <w:rFonts w:ascii="Arial" w:eastAsia="Arial" w:hAnsi="Arial" w:cs="Arial"/>
                <w:b/>
                <w:color w:val="000000"/>
                <w:sz w:val="16"/>
              </w:rPr>
            </w:pPr>
            <w:r>
              <w:rPr>
                <w:rFonts w:ascii="Arial" w:eastAsia="Arial" w:hAnsi="Arial" w:cs="Arial"/>
                <w:b/>
                <w:color w:val="000000"/>
                <w:sz w:val="16"/>
              </w:rPr>
              <w:t>2,305 </w:t>
            </w:r>
          </w:p>
        </w:tc>
        <w:tc>
          <w:tcPr>
            <w:tcW w:w="915"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6AE91B91" w14:textId="77777777" w:rsidR="003F0EEA" w:rsidRDefault="00FB7D0B">
            <w:pPr>
              <w:jc w:val="right"/>
              <w:rPr>
                <w:rFonts w:ascii="Arial" w:eastAsia="Arial" w:hAnsi="Arial" w:cs="Arial"/>
                <w:b/>
                <w:color w:val="000000"/>
                <w:sz w:val="16"/>
              </w:rPr>
            </w:pPr>
            <w:r>
              <w:rPr>
                <w:rFonts w:ascii="Arial" w:eastAsia="Arial" w:hAnsi="Arial" w:cs="Arial"/>
                <w:b/>
                <w:color w:val="000000"/>
                <w:sz w:val="16"/>
              </w:rPr>
              <w:t>2,230 </w:t>
            </w:r>
          </w:p>
        </w:tc>
      </w:tr>
      <w:tr w:rsidR="00FB7D0B" w14:paraId="04F375DE" w14:textId="77777777" w:rsidTr="00FB7D0B">
        <w:trPr>
          <w:trHeight w:val="225"/>
        </w:trPr>
        <w:tc>
          <w:tcPr>
            <w:tcW w:w="3060" w:type="dxa"/>
            <w:gridSpan w:val="3"/>
            <w:tcBorders>
              <w:top w:val="nil"/>
              <w:left w:val="nil"/>
              <w:bottom w:val="nil"/>
              <w:right w:val="nil"/>
              <w:tl2br w:val="nil"/>
              <w:tr2bl w:val="nil"/>
            </w:tcBorders>
            <w:shd w:val="clear" w:color="auto" w:fill="FFFFFF"/>
            <w:tcMar>
              <w:left w:w="101" w:type="dxa"/>
              <w:right w:w="101" w:type="dxa"/>
            </w:tcMar>
            <w:vAlign w:val="bottom"/>
          </w:tcPr>
          <w:p w14:paraId="4D185197" w14:textId="77777777" w:rsidR="003F0EEA" w:rsidRDefault="00FB7D0B">
            <w:pPr>
              <w:rPr>
                <w:rFonts w:ascii="Arial" w:eastAsia="Arial" w:hAnsi="Arial" w:cs="Arial"/>
                <w:b/>
                <w:color w:val="000000"/>
                <w:sz w:val="16"/>
              </w:rPr>
            </w:pPr>
            <w:r>
              <w:rPr>
                <w:rFonts w:ascii="Arial" w:eastAsia="Arial" w:hAnsi="Arial" w:cs="Arial"/>
                <w:b/>
                <w:color w:val="000000"/>
                <w:sz w:val="16"/>
              </w:rPr>
              <w:t>Total assets</w:t>
            </w:r>
          </w:p>
        </w:tc>
        <w:tc>
          <w:tcPr>
            <w:tcW w:w="915"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38FEDE08" w14:textId="77777777" w:rsidR="003F0EEA" w:rsidRDefault="00FB7D0B">
            <w:pPr>
              <w:jc w:val="right"/>
              <w:rPr>
                <w:rFonts w:ascii="Arial" w:eastAsia="Arial" w:hAnsi="Arial" w:cs="Arial"/>
                <w:b/>
                <w:color w:val="000000"/>
                <w:sz w:val="16"/>
                <w:vertAlign w:val="superscript"/>
              </w:rPr>
            </w:pPr>
            <w:r>
              <w:rPr>
                <w:rFonts w:ascii="Arial" w:eastAsia="Arial" w:hAnsi="Arial" w:cs="Arial"/>
                <w:b/>
                <w:color w:val="000000"/>
                <w:sz w:val="16"/>
              </w:rPr>
              <w:t>62,554 </w:t>
            </w:r>
          </w:p>
        </w:tc>
        <w:tc>
          <w:tcPr>
            <w:tcW w:w="915" w:type="dxa"/>
            <w:tcBorders>
              <w:top w:val="single" w:sz="6" w:space="0" w:color="000000"/>
              <w:left w:val="nil"/>
              <w:bottom w:val="single" w:sz="6" w:space="0" w:color="000000"/>
              <w:right w:val="nil"/>
              <w:tl2br w:val="nil"/>
              <w:tr2bl w:val="nil"/>
            </w:tcBorders>
            <w:shd w:val="clear" w:color="auto" w:fill="FFFF00"/>
            <w:tcMar>
              <w:left w:w="101" w:type="dxa"/>
              <w:right w:w="101" w:type="dxa"/>
            </w:tcMar>
            <w:vAlign w:val="bottom"/>
          </w:tcPr>
          <w:p w14:paraId="24989A05" w14:textId="77777777" w:rsidR="003F0EEA" w:rsidRDefault="00FB7D0B">
            <w:pPr>
              <w:jc w:val="right"/>
              <w:rPr>
                <w:rFonts w:ascii="Arial" w:eastAsia="Arial" w:hAnsi="Arial" w:cs="Arial"/>
                <w:b/>
                <w:color w:val="000000"/>
                <w:sz w:val="16"/>
              </w:rPr>
            </w:pPr>
            <w:r>
              <w:rPr>
                <w:rFonts w:ascii="Arial" w:eastAsia="Arial" w:hAnsi="Arial" w:cs="Arial"/>
                <w:b/>
                <w:color w:val="000000"/>
                <w:sz w:val="16"/>
              </w:rPr>
              <w:t>65,238 </w:t>
            </w:r>
          </w:p>
        </w:tc>
        <w:tc>
          <w:tcPr>
            <w:tcW w:w="915"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0D5985BD" w14:textId="77777777" w:rsidR="003F0EEA" w:rsidRDefault="00FB7D0B">
            <w:pPr>
              <w:jc w:val="right"/>
              <w:rPr>
                <w:rFonts w:ascii="Arial" w:eastAsia="Arial" w:hAnsi="Arial" w:cs="Arial"/>
                <w:b/>
                <w:color w:val="000000"/>
                <w:sz w:val="16"/>
              </w:rPr>
            </w:pPr>
            <w:r>
              <w:rPr>
                <w:rFonts w:ascii="Arial" w:eastAsia="Arial" w:hAnsi="Arial" w:cs="Arial"/>
                <w:b/>
                <w:color w:val="000000"/>
                <w:sz w:val="16"/>
              </w:rPr>
              <w:t>68,139 </w:t>
            </w:r>
          </w:p>
        </w:tc>
        <w:tc>
          <w:tcPr>
            <w:tcW w:w="915"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3E6C67EC" w14:textId="77777777" w:rsidR="003F0EEA" w:rsidRDefault="00FB7D0B">
            <w:pPr>
              <w:jc w:val="right"/>
              <w:rPr>
                <w:rFonts w:ascii="Arial" w:eastAsia="Arial" w:hAnsi="Arial" w:cs="Arial"/>
                <w:b/>
                <w:color w:val="000000"/>
                <w:sz w:val="16"/>
              </w:rPr>
            </w:pPr>
            <w:r>
              <w:rPr>
                <w:rFonts w:ascii="Arial" w:eastAsia="Arial" w:hAnsi="Arial" w:cs="Arial"/>
                <w:b/>
                <w:color w:val="000000"/>
                <w:sz w:val="16"/>
              </w:rPr>
              <w:t>72,458 </w:t>
            </w:r>
          </w:p>
        </w:tc>
        <w:tc>
          <w:tcPr>
            <w:tcW w:w="915"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5FDB8E6B" w14:textId="77777777" w:rsidR="003F0EEA" w:rsidRDefault="00FB7D0B">
            <w:pPr>
              <w:jc w:val="right"/>
              <w:rPr>
                <w:rFonts w:ascii="Arial" w:eastAsia="Arial" w:hAnsi="Arial" w:cs="Arial"/>
                <w:b/>
                <w:color w:val="000000"/>
                <w:sz w:val="16"/>
              </w:rPr>
            </w:pPr>
            <w:r>
              <w:rPr>
                <w:rFonts w:ascii="Arial" w:eastAsia="Arial" w:hAnsi="Arial" w:cs="Arial"/>
                <w:b/>
                <w:color w:val="000000"/>
                <w:sz w:val="16"/>
              </w:rPr>
              <w:t>78,421 </w:t>
            </w:r>
          </w:p>
        </w:tc>
      </w:tr>
      <w:tr w:rsidR="00724034" w14:paraId="1463BB39" w14:textId="77777777">
        <w:trPr>
          <w:trHeight w:val="60"/>
        </w:trPr>
        <w:tc>
          <w:tcPr>
            <w:tcW w:w="180" w:type="dxa"/>
            <w:tcBorders>
              <w:top w:val="nil"/>
              <w:left w:val="nil"/>
              <w:bottom w:val="nil"/>
              <w:right w:val="nil"/>
              <w:tl2br w:val="nil"/>
              <w:tr2bl w:val="nil"/>
            </w:tcBorders>
            <w:shd w:val="clear" w:color="auto" w:fill="FFFFFF"/>
            <w:tcMar>
              <w:left w:w="101" w:type="dxa"/>
              <w:right w:w="101" w:type="dxa"/>
            </w:tcMar>
            <w:vAlign w:val="bottom"/>
          </w:tcPr>
          <w:p w14:paraId="0AFD74B5" w14:textId="77777777" w:rsidR="003F0EEA" w:rsidRDefault="003F0EEA">
            <w:pPr>
              <w:rPr>
                <w:rFonts w:ascii="Arial" w:eastAsia="Arial" w:hAnsi="Arial" w:cs="Arial"/>
                <w:b/>
                <w:color w:val="000000"/>
                <w:sz w:val="16"/>
              </w:rPr>
            </w:pPr>
          </w:p>
        </w:tc>
        <w:tc>
          <w:tcPr>
            <w:tcW w:w="180" w:type="dxa"/>
            <w:tcBorders>
              <w:top w:val="nil"/>
              <w:left w:val="nil"/>
              <w:bottom w:val="nil"/>
              <w:right w:val="nil"/>
              <w:tl2br w:val="nil"/>
              <w:tr2bl w:val="nil"/>
            </w:tcBorders>
            <w:shd w:val="clear" w:color="auto" w:fill="FFFFFF"/>
            <w:tcMar>
              <w:left w:w="101" w:type="dxa"/>
              <w:right w:w="101" w:type="dxa"/>
            </w:tcMar>
            <w:vAlign w:val="bottom"/>
          </w:tcPr>
          <w:p w14:paraId="3872F9EE" w14:textId="77777777" w:rsidR="003F0EEA" w:rsidRDefault="003F0EEA">
            <w:pPr>
              <w:rPr>
                <w:rFonts w:ascii="Arial" w:eastAsia="Arial" w:hAnsi="Arial" w:cs="Arial"/>
                <w:color w:val="000000"/>
                <w:sz w:val="16"/>
              </w:rPr>
            </w:pPr>
          </w:p>
        </w:tc>
        <w:tc>
          <w:tcPr>
            <w:tcW w:w="2700" w:type="dxa"/>
            <w:tcBorders>
              <w:top w:val="nil"/>
              <w:left w:val="nil"/>
              <w:bottom w:val="nil"/>
              <w:right w:val="nil"/>
              <w:tl2br w:val="nil"/>
              <w:tr2bl w:val="nil"/>
            </w:tcBorders>
            <w:shd w:val="clear" w:color="auto" w:fill="FFFFFF"/>
            <w:tcMar>
              <w:left w:w="101" w:type="dxa"/>
              <w:right w:w="101" w:type="dxa"/>
            </w:tcMar>
            <w:vAlign w:val="bottom"/>
          </w:tcPr>
          <w:p w14:paraId="2DEADF73" w14:textId="77777777" w:rsidR="003F0EEA" w:rsidRDefault="003F0EEA">
            <w:pPr>
              <w:rPr>
                <w:rFonts w:ascii="Arial" w:eastAsia="Arial" w:hAnsi="Arial" w:cs="Arial"/>
                <w:color w:val="000000"/>
                <w:sz w:val="16"/>
              </w:rPr>
            </w:pPr>
          </w:p>
        </w:tc>
        <w:tc>
          <w:tcPr>
            <w:tcW w:w="91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268B1D44" w14:textId="77777777" w:rsidR="003F0EEA" w:rsidRDefault="003F0EEA">
            <w:pPr>
              <w:rPr>
                <w:rFonts w:ascii="Arial" w:eastAsia="Arial" w:hAnsi="Arial" w:cs="Arial"/>
                <w:b/>
                <w:color w:val="000000"/>
                <w:sz w:val="16"/>
                <w:vertAlign w:val="superscript"/>
              </w:rPr>
            </w:pPr>
          </w:p>
        </w:tc>
        <w:tc>
          <w:tcPr>
            <w:tcW w:w="915" w:type="dxa"/>
            <w:tcBorders>
              <w:top w:val="single" w:sz="6" w:space="0" w:color="000000"/>
              <w:left w:val="nil"/>
              <w:bottom w:val="nil"/>
              <w:right w:val="nil"/>
              <w:tl2br w:val="nil"/>
              <w:tr2bl w:val="nil"/>
            </w:tcBorders>
            <w:shd w:val="clear" w:color="auto" w:fill="FFFF00"/>
            <w:tcMar>
              <w:left w:w="101" w:type="dxa"/>
              <w:right w:w="101" w:type="dxa"/>
            </w:tcMar>
            <w:vAlign w:val="bottom"/>
          </w:tcPr>
          <w:p w14:paraId="41EE6F0D" w14:textId="77777777" w:rsidR="003F0EEA" w:rsidRDefault="003F0EEA">
            <w:pPr>
              <w:rPr>
                <w:rFonts w:ascii="Arial" w:eastAsia="Arial" w:hAnsi="Arial" w:cs="Arial"/>
                <w:color w:val="000000"/>
                <w:sz w:val="16"/>
                <w:vertAlign w:val="superscript"/>
              </w:rPr>
            </w:pPr>
          </w:p>
        </w:tc>
        <w:tc>
          <w:tcPr>
            <w:tcW w:w="91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73272C26" w14:textId="77777777" w:rsidR="003F0EEA" w:rsidRDefault="003F0EEA">
            <w:pPr>
              <w:rPr>
                <w:rFonts w:ascii="Arial" w:eastAsia="Arial" w:hAnsi="Arial" w:cs="Arial"/>
                <w:color w:val="000000"/>
                <w:sz w:val="16"/>
                <w:vertAlign w:val="superscript"/>
              </w:rPr>
            </w:pPr>
          </w:p>
        </w:tc>
        <w:tc>
          <w:tcPr>
            <w:tcW w:w="91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40D59342" w14:textId="77777777" w:rsidR="003F0EEA" w:rsidRDefault="003F0EEA">
            <w:pPr>
              <w:rPr>
                <w:rFonts w:ascii="Arial" w:eastAsia="Arial" w:hAnsi="Arial" w:cs="Arial"/>
                <w:color w:val="000000"/>
                <w:sz w:val="16"/>
                <w:vertAlign w:val="superscript"/>
              </w:rPr>
            </w:pPr>
          </w:p>
        </w:tc>
        <w:tc>
          <w:tcPr>
            <w:tcW w:w="91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5C7F22B7" w14:textId="77777777" w:rsidR="003F0EEA" w:rsidRDefault="003F0EEA">
            <w:pPr>
              <w:rPr>
                <w:rFonts w:ascii="Arial" w:eastAsia="Arial" w:hAnsi="Arial" w:cs="Arial"/>
                <w:color w:val="000000"/>
                <w:sz w:val="16"/>
                <w:vertAlign w:val="superscript"/>
              </w:rPr>
            </w:pPr>
          </w:p>
        </w:tc>
      </w:tr>
      <w:tr w:rsidR="00FB7D0B" w14:paraId="52912187" w14:textId="77777777" w:rsidTr="00FB7D0B">
        <w:trPr>
          <w:trHeight w:val="225"/>
        </w:trPr>
        <w:tc>
          <w:tcPr>
            <w:tcW w:w="3060" w:type="dxa"/>
            <w:gridSpan w:val="3"/>
            <w:tcBorders>
              <w:top w:val="nil"/>
              <w:left w:val="nil"/>
              <w:bottom w:val="nil"/>
              <w:right w:val="nil"/>
              <w:tl2br w:val="nil"/>
              <w:tr2bl w:val="nil"/>
            </w:tcBorders>
            <w:shd w:val="clear" w:color="auto" w:fill="FFFFFF"/>
            <w:tcMar>
              <w:left w:w="101" w:type="dxa"/>
              <w:right w:w="101" w:type="dxa"/>
            </w:tcMar>
            <w:vAlign w:val="bottom"/>
          </w:tcPr>
          <w:p w14:paraId="51122D08" w14:textId="77777777" w:rsidR="003F0EEA" w:rsidRDefault="00FB7D0B">
            <w:pPr>
              <w:rPr>
                <w:rFonts w:ascii="Arial" w:eastAsia="Arial" w:hAnsi="Arial" w:cs="Arial"/>
                <w:color w:val="000000"/>
                <w:sz w:val="16"/>
                <w:vertAlign w:val="superscript"/>
              </w:rPr>
            </w:pPr>
            <w:r>
              <w:rPr>
                <w:rFonts w:ascii="Arial" w:eastAsia="Arial" w:hAnsi="Arial" w:cs="Arial"/>
                <w:b/>
                <w:color w:val="000000"/>
                <w:sz w:val="16"/>
              </w:rPr>
              <w:t>LIABILITIES</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41567601" w14:textId="77777777" w:rsidR="003F0EEA" w:rsidRDefault="003F0EEA">
            <w:pPr>
              <w:rPr>
                <w:rFonts w:ascii="Arial" w:eastAsia="Arial" w:hAnsi="Arial" w:cs="Arial"/>
                <w:b/>
                <w:color w:val="000000"/>
                <w:sz w:val="16"/>
                <w:vertAlign w:val="superscript"/>
              </w:rPr>
            </w:pPr>
          </w:p>
        </w:tc>
        <w:tc>
          <w:tcPr>
            <w:tcW w:w="915" w:type="dxa"/>
            <w:tcBorders>
              <w:top w:val="nil"/>
              <w:left w:val="nil"/>
              <w:bottom w:val="nil"/>
              <w:right w:val="nil"/>
              <w:tl2br w:val="nil"/>
              <w:tr2bl w:val="nil"/>
            </w:tcBorders>
            <w:shd w:val="clear" w:color="auto" w:fill="FFFF00"/>
            <w:tcMar>
              <w:left w:w="101" w:type="dxa"/>
              <w:right w:w="101" w:type="dxa"/>
            </w:tcMar>
            <w:vAlign w:val="bottom"/>
          </w:tcPr>
          <w:p w14:paraId="2CF9E5FF" w14:textId="77777777" w:rsidR="003F0EEA" w:rsidRDefault="003F0EEA">
            <w:pPr>
              <w:rPr>
                <w:rFonts w:ascii="Arial" w:eastAsia="Arial" w:hAnsi="Arial" w:cs="Arial"/>
                <w:color w:val="000000"/>
                <w:sz w:val="16"/>
                <w:vertAlign w:val="superscript"/>
              </w:rPr>
            </w:pP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09F9351E" w14:textId="77777777" w:rsidR="003F0EEA" w:rsidRDefault="003F0EEA">
            <w:pPr>
              <w:rPr>
                <w:rFonts w:ascii="Arial" w:eastAsia="Arial" w:hAnsi="Arial" w:cs="Arial"/>
                <w:color w:val="000000"/>
                <w:sz w:val="16"/>
                <w:vertAlign w:val="superscript"/>
              </w:rPr>
            </w:pP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38776C55" w14:textId="77777777" w:rsidR="003F0EEA" w:rsidRDefault="003F0EEA">
            <w:pPr>
              <w:rPr>
                <w:rFonts w:ascii="Arial" w:eastAsia="Arial" w:hAnsi="Arial" w:cs="Arial"/>
                <w:color w:val="000000"/>
                <w:sz w:val="16"/>
                <w:vertAlign w:val="superscript"/>
              </w:rPr>
            </w:pP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5883C7B4" w14:textId="77777777" w:rsidR="003F0EEA" w:rsidRDefault="003F0EEA">
            <w:pPr>
              <w:rPr>
                <w:rFonts w:ascii="Arial" w:eastAsia="Arial" w:hAnsi="Arial" w:cs="Arial"/>
                <w:color w:val="000000"/>
                <w:sz w:val="16"/>
                <w:vertAlign w:val="superscript"/>
              </w:rPr>
            </w:pPr>
          </w:p>
        </w:tc>
      </w:tr>
      <w:tr w:rsidR="00FB7D0B" w14:paraId="5F63559A" w14:textId="77777777" w:rsidTr="00FB7D0B">
        <w:trPr>
          <w:trHeight w:val="225"/>
        </w:trPr>
        <w:tc>
          <w:tcPr>
            <w:tcW w:w="3060" w:type="dxa"/>
            <w:gridSpan w:val="3"/>
            <w:tcBorders>
              <w:top w:val="nil"/>
              <w:left w:val="nil"/>
              <w:bottom w:val="nil"/>
              <w:right w:val="nil"/>
              <w:tl2br w:val="nil"/>
              <w:tr2bl w:val="nil"/>
            </w:tcBorders>
            <w:shd w:val="clear" w:color="auto" w:fill="FFFFFF"/>
            <w:tcMar>
              <w:left w:w="101" w:type="dxa"/>
              <w:right w:w="101" w:type="dxa"/>
            </w:tcMar>
            <w:vAlign w:val="bottom"/>
          </w:tcPr>
          <w:p w14:paraId="24C0096B" w14:textId="77777777" w:rsidR="003F0EEA" w:rsidRDefault="00FB7D0B">
            <w:pPr>
              <w:rPr>
                <w:rFonts w:ascii="Arial" w:eastAsia="Arial" w:hAnsi="Arial" w:cs="Arial"/>
                <w:color w:val="000000"/>
                <w:sz w:val="16"/>
                <w:vertAlign w:val="superscript"/>
              </w:rPr>
            </w:pPr>
            <w:r>
              <w:rPr>
                <w:rFonts w:ascii="Arial" w:eastAsia="Arial" w:hAnsi="Arial" w:cs="Arial"/>
                <w:b/>
                <w:color w:val="000000"/>
                <w:sz w:val="16"/>
              </w:rPr>
              <w:t>Payables</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76360B62" w14:textId="77777777" w:rsidR="003F0EEA" w:rsidRDefault="003F0EEA">
            <w:pPr>
              <w:rPr>
                <w:rFonts w:ascii="Arial" w:eastAsia="Arial" w:hAnsi="Arial" w:cs="Arial"/>
                <w:b/>
                <w:color w:val="000000"/>
                <w:sz w:val="16"/>
                <w:vertAlign w:val="superscript"/>
              </w:rPr>
            </w:pPr>
          </w:p>
        </w:tc>
        <w:tc>
          <w:tcPr>
            <w:tcW w:w="915" w:type="dxa"/>
            <w:tcBorders>
              <w:top w:val="nil"/>
              <w:left w:val="nil"/>
              <w:bottom w:val="nil"/>
              <w:right w:val="nil"/>
              <w:tl2br w:val="nil"/>
              <w:tr2bl w:val="nil"/>
            </w:tcBorders>
            <w:shd w:val="clear" w:color="auto" w:fill="FFFF00"/>
            <w:tcMar>
              <w:left w:w="101" w:type="dxa"/>
              <w:right w:w="101" w:type="dxa"/>
            </w:tcMar>
            <w:vAlign w:val="bottom"/>
          </w:tcPr>
          <w:p w14:paraId="125FB3AD" w14:textId="77777777" w:rsidR="003F0EEA" w:rsidRDefault="003F0EEA">
            <w:pPr>
              <w:rPr>
                <w:rFonts w:ascii="Arial" w:eastAsia="Arial" w:hAnsi="Arial" w:cs="Arial"/>
                <w:color w:val="000000"/>
                <w:sz w:val="16"/>
                <w:vertAlign w:val="superscript"/>
              </w:rPr>
            </w:pP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7C7CBE19" w14:textId="77777777" w:rsidR="003F0EEA" w:rsidRDefault="003F0EEA">
            <w:pPr>
              <w:rPr>
                <w:rFonts w:ascii="Arial" w:eastAsia="Arial" w:hAnsi="Arial" w:cs="Arial"/>
                <w:color w:val="000000"/>
                <w:sz w:val="16"/>
                <w:vertAlign w:val="superscript"/>
              </w:rPr>
            </w:pP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5895C582" w14:textId="77777777" w:rsidR="003F0EEA" w:rsidRDefault="003F0EEA">
            <w:pPr>
              <w:rPr>
                <w:rFonts w:ascii="Arial" w:eastAsia="Arial" w:hAnsi="Arial" w:cs="Arial"/>
                <w:color w:val="000000"/>
                <w:sz w:val="16"/>
                <w:vertAlign w:val="superscript"/>
              </w:rPr>
            </w:pP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04C6F2F5" w14:textId="77777777" w:rsidR="003F0EEA" w:rsidRDefault="003F0EEA">
            <w:pPr>
              <w:rPr>
                <w:rFonts w:ascii="Arial" w:eastAsia="Arial" w:hAnsi="Arial" w:cs="Arial"/>
                <w:color w:val="000000"/>
                <w:sz w:val="16"/>
                <w:vertAlign w:val="superscript"/>
              </w:rPr>
            </w:pPr>
          </w:p>
        </w:tc>
      </w:tr>
      <w:tr w:rsidR="00FB7D0B" w14:paraId="6F618AF0" w14:textId="77777777" w:rsidTr="00FB7D0B">
        <w:trPr>
          <w:trHeight w:val="225"/>
        </w:trPr>
        <w:tc>
          <w:tcPr>
            <w:tcW w:w="180" w:type="dxa"/>
            <w:tcBorders>
              <w:top w:val="nil"/>
              <w:left w:val="nil"/>
              <w:bottom w:val="nil"/>
              <w:right w:val="nil"/>
              <w:tl2br w:val="nil"/>
              <w:tr2bl w:val="nil"/>
            </w:tcBorders>
            <w:shd w:val="clear" w:color="auto" w:fill="FFFFFF"/>
            <w:tcMar>
              <w:left w:w="101" w:type="dxa"/>
              <w:right w:w="101" w:type="dxa"/>
            </w:tcMar>
            <w:vAlign w:val="bottom"/>
          </w:tcPr>
          <w:p w14:paraId="00D7E26B" w14:textId="77777777" w:rsidR="003F0EEA" w:rsidRDefault="003F0EEA">
            <w:pPr>
              <w:rPr>
                <w:rFonts w:ascii="Arial" w:eastAsia="Arial" w:hAnsi="Arial" w:cs="Arial"/>
                <w:color w:val="000000"/>
                <w:sz w:val="16"/>
                <w:vertAlign w:val="superscript"/>
              </w:rPr>
            </w:pPr>
          </w:p>
        </w:tc>
        <w:tc>
          <w:tcPr>
            <w:tcW w:w="2880" w:type="dxa"/>
            <w:gridSpan w:val="2"/>
            <w:vMerge w:val="restart"/>
            <w:tcBorders>
              <w:top w:val="nil"/>
              <w:left w:val="nil"/>
              <w:bottom w:val="nil"/>
              <w:right w:val="nil"/>
              <w:tl2br w:val="nil"/>
              <w:tr2bl w:val="nil"/>
            </w:tcBorders>
            <w:shd w:val="clear" w:color="auto" w:fill="FFFFFF"/>
            <w:tcMar>
              <w:left w:w="101" w:type="dxa"/>
              <w:right w:w="101" w:type="dxa"/>
            </w:tcMar>
            <w:vAlign w:val="bottom"/>
          </w:tcPr>
          <w:p w14:paraId="7515E4CE" w14:textId="77777777" w:rsidR="003F0EEA" w:rsidRDefault="00FB7D0B">
            <w:pPr>
              <w:rPr>
                <w:rFonts w:ascii="Arial" w:eastAsia="Arial" w:hAnsi="Arial" w:cs="Arial"/>
                <w:color w:val="000000"/>
                <w:sz w:val="16"/>
                <w:vertAlign w:val="superscript"/>
              </w:rPr>
            </w:pPr>
            <w:r>
              <w:rPr>
                <w:rFonts w:ascii="Arial" w:eastAsia="Arial" w:hAnsi="Arial" w:cs="Arial"/>
                <w:color w:val="000000"/>
                <w:sz w:val="16"/>
              </w:rPr>
              <w:t>Supplier payables</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63F7AD0B" w14:textId="77777777" w:rsidR="003F0EEA" w:rsidRDefault="00FB7D0B">
            <w:pPr>
              <w:jc w:val="right"/>
              <w:rPr>
                <w:rFonts w:ascii="Arial" w:eastAsia="Arial" w:hAnsi="Arial" w:cs="Arial"/>
                <w:color w:val="000000"/>
                <w:sz w:val="16"/>
                <w:vertAlign w:val="superscript"/>
              </w:rPr>
            </w:pPr>
            <w:r>
              <w:rPr>
                <w:rFonts w:ascii="Arial" w:eastAsia="Arial" w:hAnsi="Arial" w:cs="Arial"/>
                <w:color w:val="000000"/>
                <w:sz w:val="16"/>
              </w:rPr>
              <w:t>4,000 </w:t>
            </w:r>
          </w:p>
        </w:tc>
        <w:tc>
          <w:tcPr>
            <w:tcW w:w="915" w:type="dxa"/>
            <w:tcBorders>
              <w:top w:val="nil"/>
              <w:left w:val="nil"/>
              <w:bottom w:val="nil"/>
              <w:right w:val="nil"/>
              <w:tl2br w:val="nil"/>
              <w:tr2bl w:val="nil"/>
            </w:tcBorders>
            <w:shd w:val="clear" w:color="auto" w:fill="FFFF00"/>
            <w:tcMar>
              <w:left w:w="101" w:type="dxa"/>
              <w:right w:w="101" w:type="dxa"/>
            </w:tcMar>
            <w:vAlign w:val="bottom"/>
          </w:tcPr>
          <w:p w14:paraId="2FB66E44" w14:textId="77777777" w:rsidR="003F0EEA" w:rsidRDefault="00FB7D0B">
            <w:pPr>
              <w:jc w:val="right"/>
              <w:rPr>
                <w:rFonts w:ascii="Arial" w:eastAsia="Arial" w:hAnsi="Arial" w:cs="Arial"/>
                <w:color w:val="000000"/>
                <w:sz w:val="16"/>
              </w:rPr>
            </w:pPr>
            <w:r>
              <w:rPr>
                <w:rFonts w:ascii="Arial" w:eastAsia="Arial" w:hAnsi="Arial" w:cs="Arial"/>
                <w:color w:val="000000"/>
                <w:sz w:val="16"/>
              </w:rPr>
              <w:t>4,000 </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04B0F66E" w14:textId="77777777" w:rsidR="003F0EEA" w:rsidRDefault="00FB7D0B">
            <w:pPr>
              <w:jc w:val="right"/>
              <w:rPr>
                <w:rFonts w:ascii="Arial" w:eastAsia="Arial" w:hAnsi="Arial" w:cs="Arial"/>
                <w:color w:val="000000"/>
                <w:sz w:val="16"/>
              </w:rPr>
            </w:pPr>
            <w:r>
              <w:rPr>
                <w:rFonts w:ascii="Arial" w:eastAsia="Arial" w:hAnsi="Arial" w:cs="Arial"/>
                <w:color w:val="000000"/>
                <w:sz w:val="16"/>
              </w:rPr>
              <w:t>4,000 </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13EA97A1" w14:textId="77777777" w:rsidR="003F0EEA" w:rsidRDefault="00FB7D0B">
            <w:pPr>
              <w:jc w:val="right"/>
              <w:rPr>
                <w:rFonts w:ascii="Arial" w:eastAsia="Arial" w:hAnsi="Arial" w:cs="Arial"/>
                <w:color w:val="000000"/>
                <w:sz w:val="16"/>
              </w:rPr>
            </w:pPr>
            <w:r>
              <w:rPr>
                <w:rFonts w:ascii="Arial" w:eastAsia="Arial" w:hAnsi="Arial" w:cs="Arial"/>
                <w:color w:val="000000"/>
                <w:sz w:val="16"/>
              </w:rPr>
              <w:t>4,000 </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29C7C1C6" w14:textId="77777777" w:rsidR="003F0EEA" w:rsidRDefault="00FB7D0B">
            <w:pPr>
              <w:jc w:val="right"/>
              <w:rPr>
                <w:rFonts w:ascii="Arial" w:eastAsia="Arial" w:hAnsi="Arial" w:cs="Arial"/>
                <w:color w:val="000000"/>
                <w:sz w:val="16"/>
              </w:rPr>
            </w:pPr>
            <w:r>
              <w:rPr>
                <w:rFonts w:ascii="Arial" w:eastAsia="Arial" w:hAnsi="Arial" w:cs="Arial"/>
                <w:color w:val="000000"/>
                <w:sz w:val="16"/>
              </w:rPr>
              <w:t>4,000 </w:t>
            </w:r>
          </w:p>
        </w:tc>
      </w:tr>
      <w:tr w:rsidR="00FB7D0B" w14:paraId="09DFE69D" w14:textId="77777777" w:rsidTr="00FB7D0B">
        <w:trPr>
          <w:trHeight w:val="225"/>
        </w:trPr>
        <w:tc>
          <w:tcPr>
            <w:tcW w:w="180" w:type="dxa"/>
            <w:tcBorders>
              <w:top w:val="nil"/>
              <w:left w:val="nil"/>
              <w:bottom w:val="nil"/>
              <w:right w:val="nil"/>
              <w:tl2br w:val="nil"/>
              <w:tr2bl w:val="nil"/>
            </w:tcBorders>
            <w:shd w:val="clear" w:color="auto" w:fill="FFFFFF"/>
            <w:tcMar>
              <w:left w:w="101" w:type="dxa"/>
              <w:right w:w="101" w:type="dxa"/>
            </w:tcMar>
            <w:vAlign w:val="bottom"/>
          </w:tcPr>
          <w:p w14:paraId="0C1C1A5E" w14:textId="77777777" w:rsidR="003F0EEA" w:rsidRDefault="003F0EEA">
            <w:pPr>
              <w:rPr>
                <w:rFonts w:ascii="Arial" w:eastAsia="Arial" w:hAnsi="Arial" w:cs="Arial"/>
                <w:color w:val="000000"/>
                <w:sz w:val="16"/>
              </w:rPr>
            </w:pPr>
          </w:p>
        </w:tc>
        <w:tc>
          <w:tcPr>
            <w:tcW w:w="2880" w:type="dxa"/>
            <w:gridSpan w:val="2"/>
            <w:tcBorders>
              <w:top w:val="nil"/>
              <w:left w:val="nil"/>
              <w:bottom w:val="nil"/>
              <w:right w:val="nil"/>
              <w:tl2br w:val="nil"/>
              <w:tr2bl w:val="nil"/>
            </w:tcBorders>
            <w:shd w:val="clear" w:color="auto" w:fill="FFFFFF"/>
            <w:tcMar>
              <w:left w:w="101" w:type="dxa"/>
              <w:right w:w="101" w:type="dxa"/>
            </w:tcMar>
            <w:vAlign w:val="bottom"/>
          </w:tcPr>
          <w:p w14:paraId="2D2C4152" w14:textId="77777777" w:rsidR="003F0EEA" w:rsidRDefault="00FB7D0B">
            <w:pPr>
              <w:rPr>
                <w:rFonts w:ascii="Arial" w:eastAsia="Arial" w:hAnsi="Arial" w:cs="Arial"/>
                <w:color w:val="000000"/>
                <w:sz w:val="16"/>
              </w:rPr>
            </w:pPr>
            <w:r>
              <w:rPr>
                <w:rFonts w:ascii="Arial" w:eastAsia="Arial" w:hAnsi="Arial" w:cs="Arial"/>
                <w:color w:val="000000"/>
                <w:sz w:val="16"/>
              </w:rPr>
              <w:t>Other payables</w:t>
            </w:r>
          </w:p>
        </w:tc>
        <w:tc>
          <w:tcPr>
            <w:tcW w:w="915"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15D2B0F9" w14:textId="77777777" w:rsidR="003F0EEA" w:rsidRDefault="00FB7D0B">
            <w:pPr>
              <w:jc w:val="right"/>
              <w:rPr>
                <w:rFonts w:ascii="Arial" w:eastAsia="Arial" w:hAnsi="Arial" w:cs="Arial"/>
                <w:i/>
                <w:color w:val="000000"/>
                <w:sz w:val="16"/>
                <w:vertAlign w:val="superscript"/>
              </w:rPr>
            </w:pPr>
            <w:r>
              <w:rPr>
                <w:rFonts w:ascii="Arial" w:eastAsia="Arial" w:hAnsi="Arial" w:cs="Arial"/>
                <w:color w:val="000000"/>
                <w:sz w:val="16"/>
              </w:rPr>
              <w:t>19,500 </w:t>
            </w:r>
          </w:p>
        </w:tc>
        <w:tc>
          <w:tcPr>
            <w:tcW w:w="915" w:type="dxa"/>
            <w:tcBorders>
              <w:top w:val="nil"/>
              <w:left w:val="nil"/>
              <w:bottom w:val="single" w:sz="6" w:space="0" w:color="000000"/>
              <w:right w:val="nil"/>
              <w:tl2br w:val="nil"/>
              <w:tr2bl w:val="nil"/>
            </w:tcBorders>
            <w:shd w:val="clear" w:color="auto" w:fill="FFFF00"/>
            <w:tcMar>
              <w:left w:w="101" w:type="dxa"/>
              <w:right w:w="101" w:type="dxa"/>
            </w:tcMar>
            <w:vAlign w:val="bottom"/>
          </w:tcPr>
          <w:p w14:paraId="4EDBED30" w14:textId="77777777" w:rsidR="003F0EEA" w:rsidRDefault="00FB7D0B">
            <w:pPr>
              <w:jc w:val="right"/>
              <w:rPr>
                <w:rFonts w:ascii="Arial" w:eastAsia="Arial" w:hAnsi="Arial" w:cs="Arial"/>
                <w:color w:val="000000"/>
                <w:sz w:val="16"/>
              </w:rPr>
            </w:pPr>
            <w:r>
              <w:rPr>
                <w:rFonts w:ascii="Arial" w:eastAsia="Arial" w:hAnsi="Arial" w:cs="Arial"/>
                <w:color w:val="000000"/>
                <w:sz w:val="16"/>
              </w:rPr>
              <w:t>19,500 </w:t>
            </w:r>
          </w:p>
        </w:tc>
        <w:tc>
          <w:tcPr>
            <w:tcW w:w="915"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66273522" w14:textId="77777777" w:rsidR="003F0EEA" w:rsidRDefault="00FB7D0B">
            <w:pPr>
              <w:jc w:val="right"/>
              <w:rPr>
                <w:rFonts w:ascii="Arial" w:eastAsia="Arial" w:hAnsi="Arial" w:cs="Arial"/>
                <w:color w:val="000000"/>
                <w:sz w:val="16"/>
              </w:rPr>
            </w:pPr>
            <w:r>
              <w:rPr>
                <w:rFonts w:ascii="Arial" w:eastAsia="Arial" w:hAnsi="Arial" w:cs="Arial"/>
                <w:color w:val="000000"/>
                <w:sz w:val="16"/>
              </w:rPr>
              <w:t>19,500 </w:t>
            </w:r>
          </w:p>
        </w:tc>
        <w:tc>
          <w:tcPr>
            <w:tcW w:w="915"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092E4C5F" w14:textId="77777777" w:rsidR="003F0EEA" w:rsidRDefault="00FB7D0B">
            <w:pPr>
              <w:jc w:val="right"/>
              <w:rPr>
                <w:rFonts w:ascii="Arial" w:eastAsia="Arial" w:hAnsi="Arial" w:cs="Arial"/>
                <w:color w:val="000000"/>
                <w:sz w:val="16"/>
              </w:rPr>
            </w:pPr>
            <w:r>
              <w:rPr>
                <w:rFonts w:ascii="Arial" w:eastAsia="Arial" w:hAnsi="Arial" w:cs="Arial"/>
                <w:color w:val="000000"/>
                <w:sz w:val="16"/>
              </w:rPr>
              <w:t>19,500 </w:t>
            </w:r>
          </w:p>
        </w:tc>
        <w:tc>
          <w:tcPr>
            <w:tcW w:w="915"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50348505" w14:textId="77777777" w:rsidR="003F0EEA" w:rsidRDefault="00FB7D0B">
            <w:pPr>
              <w:jc w:val="right"/>
              <w:rPr>
                <w:rFonts w:ascii="Arial" w:eastAsia="Arial" w:hAnsi="Arial" w:cs="Arial"/>
                <w:color w:val="000000"/>
                <w:sz w:val="16"/>
              </w:rPr>
            </w:pPr>
            <w:r>
              <w:rPr>
                <w:rFonts w:ascii="Arial" w:eastAsia="Arial" w:hAnsi="Arial" w:cs="Arial"/>
                <w:color w:val="000000"/>
                <w:sz w:val="16"/>
              </w:rPr>
              <w:t>19,500 </w:t>
            </w:r>
          </w:p>
        </w:tc>
      </w:tr>
      <w:tr w:rsidR="00FB7D0B" w14:paraId="3356F2EA" w14:textId="77777777" w:rsidTr="00FB7D0B">
        <w:trPr>
          <w:trHeight w:val="225"/>
        </w:trPr>
        <w:tc>
          <w:tcPr>
            <w:tcW w:w="3060" w:type="dxa"/>
            <w:gridSpan w:val="3"/>
            <w:tcBorders>
              <w:top w:val="nil"/>
              <w:left w:val="nil"/>
              <w:bottom w:val="nil"/>
              <w:right w:val="nil"/>
              <w:tl2br w:val="nil"/>
              <w:tr2bl w:val="nil"/>
            </w:tcBorders>
            <w:shd w:val="clear" w:color="auto" w:fill="FFFFFF"/>
            <w:tcMar>
              <w:left w:w="101" w:type="dxa"/>
              <w:right w:w="101" w:type="dxa"/>
            </w:tcMar>
            <w:vAlign w:val="bottom"/>
          </w:tcPr>
          <w:p w14:paraId="6D9EC7AF" w14:textId="77777777" w:rsidR="003F0EEA" w:rsidRDefault="00FB7D0B">
            <w:pPr>
              <w:rPr>
                <w:rFonts w:ascii="Arial" w:eastAsia="Arial" w:hAnsi="Arial" w:cs="Arial"/>
                <w:color w:val="000000"/>
                <w:sz w:val="16"/>
              </w:rPr>
            </w:pPr>
            <w:r>
              <w:rPr>
                <w:rFonts w:ascii="Arial" w:eastAsia="Arial" w:hAnsi="Arial" w:cs="Arial"/>
                <w:b/>
                <w:color w:val="000000"/>
                <w:sz w:val="16"/>
              </w:rPr>
              <w:t>Total payables</w:t>
            </w:r>
          </w:p>
        </w:tc>
        <w:tc>
          <w:tcPr>
            <w:tcW w:w="915"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7F5F7CAE" w14:textId="77777777" w:rsidR="003F0EEA" w:rsidRDefault="00FB7D0B">
            <w:pPr>
              <w:jc w:val="right"/>
              <w:rPr>
                <w:rFonts w:ascii="Arial" w:eastAsia="Arial" w:hAnsi="Arial" w:cs="Arial"/>
                <w:color w:val="000000"/>
                <w:sz w:val="16"/>
                <w:vertAlign w:val="superscript"/>
              </w:rPr>
            </w:pPr>
            <w:r>
              <w:rPr>
                <w:rFonts w:ascii="Arial" w:eastAsia="Arial" w:hAnsi="Arial" w:cs="Arial"/>
                <w:b/>
                <w:color w:val="000000"/>
                <w:sz w:val="16"/>
              </w:rPr>
              <w:t>23,500 </w:t>
            </w:r>
          </w:p>
        </w:tc>
        <w:tc>
          <w:tcPr>
            <w:tcW w:w="915" w:type="dxa"/>
            <w:tcBorders>
              <w:top w:val="single" w:sz="6" w:space="0" w:color="000000"/>
              <w:left w:val="nil"/>
              <w:bottom w:val="single" w:sz="6" w:space="0" w:color="000000"/>
              <w:right w:val="nil"/>
              <w:tl2br w:val="nil"/>
              <w:tr2bl w:val="nil"/>
            </w:tcBorders>
            <w:shd w:val="clear" w:color="auto" w:fill="FFFF00"/>
            <w:tcMar>
              <w:left w:w="101" w:type="dxa"/>
              <w:right w:w="101" w:type="dxa"/>
            </w:tcMar>
            <w:vAlign w:val="bottom"/>
          </w:tcPr>
          <w:p w14:paraId="0D3F2603" w14:textId="77777777" w:rsidR="003F0EEA" w:rsidRDefault="00FB7D0B">
            <w:pPr>
              <w:jc w:val="right"/>
              <w:rPr>
                <w:rFonts w:ascii="Arial" w:eastAsia="Arial" w:hAnsi="Arial" w:cs="Arial"/>
                <w:b/>
                <w:color w:val="000000"/>
                <w:sz w:val="16"/>
              </w:rPr>
            </w:pPr>
            <w:r>
              <w:rPr>
                <w:rFonts w:ascii="Arial" w:eastAsia="Arial" w:hAnsi="Arial" w:cs="Arial"/>
                <w:b/>
                <w:color w:val="000000"/>
                <w:sz w:val="16"/>
              </w:rPr>
              <w:t>23,500 </w:t>
            </w:r>
          </w:p>
        </w:tc>
        <w:tc>
          <w:tcPr>
            <w:tcW w:w="915"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4AA1EBE0" w14:textId="77777777" w:rsidR="003F0EEA" w:rsidRDefault="00FB7D0B">
            <w:pPr>
              <w:jc w:val="right"/>
              <w:rPr>
                <w:rFonts w:ascii="Arial" w:eastAsia="Arial" w:hAnsi="Arial" w:cs="Arial"/>
                <w:b/>
                <w:color w:val="000000"/>
                <w:sz w:val="16"/>
              </w:rPr>
            </w:pPr>
            <w:r>
              <w:rPr>
                <w:rFonts w:ascii="Arial" w:eastAsia="Arial" w:hAnsi="Arial" w:cs="Arial"/>
                <w:b/>
                <w:color w:val="000000"/>
                <w:sz w:val="16"/>
              </w:rPr>
              <w:t>23,500 </w:t>
            </w:r>
          </w:p>
        </w:tc>
        <w:tc>
          <w:tcPr>
            <w:tcW w:w="915"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40E2BF5A" w14:textId="77777777" w:rsidR="003F0EEA" w:rsidRDefault="00FB7D0B">
            <w:pPr>
              <w:jc w:val="right"/>
              <w:rPr>
                <w:rFonts w:ascii="Arial" w:eastAsia="Arial" w:hAnsi="Arial" w:cs="Arial"/>
                <w:b/>
                <w:color w:val="000000"/>
                <w:sz w:val="16"/>
              </w:rPr>
            </w:pPr>
            <w:r>
              <w:rPr>
                <w:rFonts w:ascii="Arial" w:eastAsia="Arial" w:hAnsi="Arial" w:cs="Arial"/>
                <w:b/>
                <w:color w:val="000000"/>
                <w:sz w:val="16"/>
              </w:rPr>
              <w:t>23,500 </w:t>
            </w:r>
          </w:p>
        </w:tc>
        <w:tc>
          <w:tcPr>
            <w:tcW w:w="915"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55D3A467" w14:textId="77777777" w:rsidR="003F0EEA" w:rsidRDefault="00FB7D0B">
            <w:pPr>
              <w:jc w:val="right"/>
              <w:rPr>
                <w:rFonts w:ascii="Arial" w:eastAsia="Arial" w:hAnsi="Arial" w:cs="Arial"/>
                <w:b/>
                <w:color w:val="000000"/>
                <w:sz w:val="16"/>
              </w:rPr>
            </w:pPr>
            <w:r>
              <w:rPr>
                <w:rFonts w:ascii="Arial" w:eastAsia="Arial" w:hAnsi="Arial" w:cs="Arial"/>
                <w:b/>
                <w:color w:val="000000"/>
                <w:sz w:val="16"/>
              </w:rPr>
              <w:t>23,500 </w:t>
            </w:r>
          </w:p>
        </w:tc>
      </w:tr>
      <w:tr w:rsidR="00724034" w14:paraId="76ABB37F" w14:textId="77777777">
        <w:trPr>
          <w:trHeight w:val="60"/>
        </w:trPr>
        <w:tc>
          <w:tcPr>
            <w:tcW w:w="180" w:type="dxa"/>
            <w:tcBorders>
              <w:top w:val="nil"/>
              <w:left w:val="nil"/>
              <w:bottom w:val="nil"/>
              <w:right w:val="nil"/>
              <w:tl2br w:val="nil"/>
              <w:tr2bl w:val="nil"/>
            </w:tcBorders>
            <w:shd w:val="clear" w:color="auto" w:fill="FFFFFF"/>
            <w:tcMar>
              <w:left w:w="101" w:type="dxa"/>
              <w:right w:w="101" w:type="dxa"/>
            </w:tcMar>
            <w:vAlign w:val="bottom"/>
          </w:tcPr>
          <w:p w14:paraId="29B1B946" w14:textId="77777777" w:rsidR="003F0EEA" w:rsidRDefault="003F0EEA">
            <w:pPr>
              <w:rPr>
                <w:rFonts w:ascii="Arial" w:eastAsia="Arial" w:hAnsi="Arial" w:cs="Arial"/>
                <w:b/>
                <w:color w:val="000000"/>
                <w:sz w:val="16"/>
              </w:rPr>
            </w:pPr>
          </w:p>
        </w:tc>
        <w:tc>
          <w:tcPr>
            <w:tcW w:w="180" w:type="dxa"/>
            <w:tcBorders>
              <w:top w:val="nil"/>
              <w:left w:val="nil"/>
              <w:bottom w:val="nil"/>
              <w:right w:val="nil"/>
              <w:tl2br w:val="nil"/>
              <w:tr2bl w:val="nil"/>
            </w:tcBorders>
            <w:shd w:val="clear" w:color="auto" w:fill="FFFFFF"/>
            <w:tcMar>
              <w:left w:w="101" w:type="dxa"/>
              <w:right w:w="101" w:type="dxa"/>
            </w:tcMar>
            <w:vAlign w:val="bottom"/>
          </w:tcPr>
          <w:p w14:paraId="221D8A19" w14:textId="77777777" w:rsidR="003F0EEA" w:rsidRDefault="003F0EEA">
            <w:pPr>
              <w:rPr>
                <w:rFonts w:ascii="Arial" w:eastAsia="Arial" w:hAnsi="Arial" w:cs="Arial"/>
                <w:b/>
                <w:color w:val="000000"/>
                <w:sz w:val="16"/>
              </w:rPr>
            </w:pPr>
          </w:p>
        </w:tc>
        <w:tc>
          <w:tcPr>
            <w:tcW w:w="2700" w:type="dxa"/>
            <w:tcBorders>
              <w:top w:val="nil"/>
              <w:left w:val="nil"/>
              <w:bottom w:val="nil"/>
              <w:right w:val="nil"/>
              <w:tl2br w:val="nil"/>
              <w:tr2bl w:val="nil"/>
            </w:tcBorders>
            <w:shd w:val="clear" w:color="auto" w:fill="FFFFFF"/>
            <w:tcMar>
              <w:left w:w="101" w:type="dxa"/>
              <w:right w:w="101" w:type="dxa"/>
            </w:tcMar>
            <w:vAlign w:val="bottom"/>
          </w:tcPr>
          <w:p w14:paraId="6247A87D" w14:textId="77777777" w:rsidR="003F0EEA" w:rsidRDefault="003F0EEA">
            <w:pPr>
              <w:rPr>
                <w:rFonts w:ascii="Arial" w:eastAsia="Arial" w:hAnsi="Arial" w:cs="Arial"/>
                <w:b/>
                <w:color w:val="000000"/>
                <w:sz w:val="16"/>
              </w:rPr>
            </w:pPr>
          </w:p>
        </w:tc>
        <w:tc>
          <w:tcPr>
            <w:tcW w:w="91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7217A138" w14:textId="77777777" w:rsidR="003F0EEA" w:rsidRDefault="003F0EEA">
            <w:pPr>
              <w:rPr>
                <w:rFonts w:ascii="Arial" w:eastAsia="Arial" w:hAnsi="Arial" w:cs="Arial"/>
                <w:color w:val="000000"/>
                <w:sz w:val="16"/>
                <w:vertAlign w:val="superscript"/>
              </w:rPr>
            </w:pPr>
          </w:p>
        </w:tc>
        <w:tc>
          <w:tcPr>
            <w:tcW w:w="915" w:type="dxa"/>
            <w:tcBorders>
              <w:top w:val="single" w:sz="6" w:space="0" w:color="000000"/>
              <w:left w:val="nil"/>
              <w:bottom w:val="nil"/>
              <w:right w:val="nil"/>
              <w:tl2br w:val="nil"/>
              <w:tr2bl w:val="nil"/>
            </w:tcBorders>
            <w:shd w:val="clear" w:color="auto" w:fill="FFFF00"/>
            <w:tcMar>
              <w:left w:w="101" w:type="dxa"/>
              <w:right w:w="101" w:type="dxa"/>
            </w:tcMar>
            <w:vAlign w:val="bottom"/>
          </w:tcPr>
          <w:p w14:paraId="0F90CB12" w14:textId="77777777" w:rsidR="003F0EEA" w:rsidRDefault="003F0EEA">
            <w:pPr>
              <w:rPr>
                <w:rFonts w:ascii="Arial" w:eastAsia="Arial" w:hAnsi="Arial" w:cs="Arial"/>
                <w:color w:val="000000"/>
                <w:sz w:val="16"/>
                <w:vertAlign w:val="superscript"/>
              </w:rPr>
            </w:pPr>
          </w:p>
        </w:tc>
        <w:tc>
          <w:tcPr>
            <w:tcW w:w="91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40CB3067" w14:textId="77777777" w:rsidR="003F0EEA" w:rsidRDefault="003F0EEA">
            <w:pPr>
              <w:rPr>
                <w:rFonts w:ascii="Arial" w:eastAsia="Arial" w:hAnsi="Arial" w:cs="Arial"/>
                <w:color w:val="000000"/>
                <w:sz w:val="16"/>
                <w:vertAlign w:val="superscript"/>
              </w:rPr>
            </w:pPr>
          </w:p>
        </w:tc>
        <w:tc>
          <w:tcPr>
            <w:tcW w:w="91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4E0CC878" w14:textId="77777777" w:rsidR="003F0EEA" w:rsidRDefault="003F0EEA">
            <w:pPr>
              <w:rPr>
                <w:rFonts w:ascii="Arial" w:eastAsia="Arial" w:hAnsi="Arial" w:cs="Arial"/>
                <w:color w:val="000000"/>
                <w:sz w:val="16"/>
                <w:vertAlign w:val="superscript"/>
              </w:rPr>
            </w:pPr>
          </w:p>
        </w:tc>
        <w:tc>
          <w:tcPr>
            <w:tcW w:w="91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5B737065" w14:textId="77777777" w:rsidR="003F0EEA" w:rsidRDefault="003F0EEA">
            <w:pPr>
              <w:rPr>
                <w:rFonts w:ascii="Arial" w:eastAsia="Arial" w:hAnsi="Arial" w:cs="Arial"/>
                <w:color w:val="000000"/>
                <w:sz w:val="16"/>
                <w:vertAlign w:val="superscript"/>
              </w:rPr>
            </w:pPr>
          </w:p>
        </w:tc>
      </w:tr>
      <w:tr w:rsidR="00FB7D0B" w14:paraId="295B6CC8" w14:textId="77777777" w:rsidTr="00FB7D0B">
        <w:trPr>
          <w:trHeight w:val="225"/>
        </w:trPr>
        <w:tc>
          <w:tcPr>
            <w:tcW w:w="3060" w:type="dxa"/>
            <w:gridSpan w:val="3"/>
            <w:tcBorders>
              <w:top w:val="nil"/>
              <w:left w:val="nil"/>
              <w:bottom w:val="nil"/>
              <w:right w:val="nil"/>
              <w:tl2br w:val="nil"/>
              <w:tr2bl w:val="nil"/>
            </w:tcBorders>
            <w:shd w:val="clear" w:color="auto" w:fill="FFFFFF"/>
            <w:tcMar>
              <w:left w:w="101" w:type="dxa"/>
              <w:right w:w="101" w:type="dxa"/>
            </w:tcMar>
            <w:vAlign w:val="bottom"/>
          </w:tcPr>
          <w:p w14:paraId="3412030D" w14:textId="77777777" w:rsidR="003F0EEA" w:rsidRDefault="00FB7D0B">
            <w:pPr>
              <w:rPr>
                <w:rFonts w:ascii="Arial" w:eastAsia="Arial" w:hAnsi="Arial" w:cs="Arial"/>
                <w:color w:val="000000"/>
                <w:sz w:val="16"/>
                <w:vertAlign w:val="superscript"/>
              </w:rPr>
            </w:pPr>
            <w:r>
              <w:rPr>
                <w:rFonts w:ascii="Arial" w:eastAsia="Arial" w:hAnsi="Arial" w:cs="Arial"/>
                <w:b/>
                <w:color w:val="000000"/>
                <w:sz w:val="16"/>
              </w:rPr>
              <w:t>Provisions</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320BE390" w14:textId="77777777" w:rsidR="003F0EEA" w:rsidRDefault="003F0EEA">
            <w:pPr>
              <w:rPr>
                <w:rFonts w:ascii="Arial" w:eastAsia="Arial" w:hAnsi="Arial" w:cs="Arial"/>
                <w:color w:val="000000"/>
                <w:sz w:val="16"/>
                <w:vertAlign w:val="superscript"/>
              </w:rPr>
            </w:pPr>
          </w:p>
        </w:tc>
        <w:tc>
          <w:tcPr>
            <w:tcW w:w="915" w:type="dxa"/>
            <w:tcBorders>
              <w:top w:val="nil"/>
              <w:left w:val="nil"/>
              <w:bottom w:val="nil"/>
              <w:right w:val="nil"/>
              <w:tl2br w:val="nil"/>
              <w:tr2bl w:val="nil"/>
            </w:tcBorders>
            <w:shd w:val="clear" w:color="auto" w:fill="FFFF00"/>
            <w:tcMar>
              <w:left w:w="101" w:type="dxa"/>
              <w:right w:w="101" w:type="dxa"/>
            </w:tcMar>
            <w:vAlign w:val="bottom"/>
          </w:tcPr>
          <w:p w14:paraId="0D25DCFD" w14:textId="77777777" w:rsidR="003F0EEA" w:rsidRDefault="003F0EEA">
            <w:pPr>
              <w:rPr>
                <w:rFonts w:ascii="Arial" w:eastAsia="Arial" w:hAnsi="Arial" w:cs="Arial"/>
                <w:color w:val="000000"/>
                <w:sz w:val="16"/>
                <w:vertAlign w:val="superscript"/>
              </w:rPr>
            </w:pP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009B88F1" w14:textId="77777777" w:rsidR="003F0EEA" w:rsidRDefault="003F0EEA">
            <w:pPr>
              <w:rPr>
                <w:rFonts w:ascii="Arial" w:eastAsia="Arial" w:hAnsi="Arial" w:cs="Arial"/>
                <w:color w:val="000000"/>
                <w:sz w:val="16"/>
                <w:vertAlign w:val="superscript"/>
              </w:rPr>
            </w:pP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69E12D69" w14:textId="77777777" w:rsidR="003F0EEA" w:rsidRDefault="003F0EEA">
            <w:pPr>
              <w:rPr>
                <w:rFonts w:ascii="Arial" w:eastAsia="Arial" w:hAnsi="Arial" w:cs="Arial"/>
                <w:color w:val="000000"/>
                <w:sz w:val="16"/>
                <w:vertAlign w:val="superscript"/>
              </w:rPr>
            </w:pP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7E980742" w14:textId="77777777" w:rsidR="003F0EEA" w:rsidRDefault="003F0EEA">
            <w:pPr>
              <w:rPr>
                <w:rFonts w:ascii="Arial" w:eastAsia="Arial" w:hAnsi="Arial" w:cs="Arial"/>
                <w:color w:val="000000"/>
                <w:sz w:val="16"/>
                <w:vertAlign w:val="superscript"/>
              </w:rPr>
            </w:pPr>
          </w:p>
        </w:tc>
      </w:tr>
      <w:tr w:rsidR="00FB7D0B" w14:paraId="0ECB73C0" w14:textId="77777777" w:rsidTr="00FB7D0B">
        <w:trPr>
          <w:trHeight w:val="225"/>
        </w:trPr>
        <w:tc>
          <w:tcPr>
            <w:tcW w:w="180" w:type="dxa"/>
            <w:tcBorders>
              <w:top w:val="nil"/>
              <w:left w:val="nil"/>
              <w:bottom w:val="nil"/>
              <w:right w:val="nil"/>
              <w:tl2br w:val="nil"/>
              <w:tr2bl w:val="nil"/>
            </w:tcBorders>
            <w:shd w:val="clear" w:color="auto" w:fill="FFFFFF"/>
            <w:tcMar>
              <w:left w:w="101" w:type="dxa"/>
              <w:right w:w="101" w:type="dxa"/>
            </w:tcMar>
            <w:vAlign w:val="bottom"/>
          </w:tcPr>
          <w:p w14:paraId="33690D99" w14:textId="77777777" w:rsidR="003F0EEA" w:rsidRDefault="003F0EEA">
            <w:pPr>
              <w:rPr>
                <w:rFonts w:ascii="Arial" w:eastAsia="Arial" w:hAnsi="Arial" w:cs="Arial"/>
                <w:color w:val="000000"/>
                <w:sz w:val="16"/>
                <w:vertAlign w:val="superscript"/>
              </w:rPr>
            </w:pPr>
          </w:p>
        </w:tc>
        <w:tc>
          <w:tcPr>
            <w:tcW w:w="2880" w:type="dxa"/>
            <w:gridSpan w:val="2"/>
            <w:tcBorders>
              <w:top w:val="nil"/>
              <w:left w:val="nil"/>
              <w:bottom w:val="nil"/>
              <w:right w:val="nil"/>
              <w:tl2br w:val="nil"/>
              <w:tr2bl w:val="nil"/>
            </w:tcBorders>
            <w:shd w:val="clear" w:color="auto" w:fill="FFFFFF"/>
            <w:tcMar>
              <w:left w:w="101" w:type="dxa"/>
              <w:right w:w="101" w:type="dxa"/>
            </w:tcMar>
            <w:vAlign w:val="bottom"/>
          </w:tcPr>
          <w:p w14:paraId="603B715C" w14:textId="77777777" w:rsidR="003F0EEA" w:rsidRDefault="00FB7D0B">
            <w:pPr>
              <w:rPr>
                <w:rFonts w:ascii="Arial" w:eastAsia="Arial" w:hAnsi="Arial" w:cs="Arial"/>
                <w:color w:val="000000"/>
                <w:sz w:val="16"/>
                <w:vertAlign w:val="superscript"/>
              </w:rPr>
            </w:pPr>
            <w:r>
              <w:rPr>
                <w:rFonts w:ascii="Arial" w:eastAsia="Arial" w:hAnsi="Arial" w:cs="Arial"/>
                <w:color w:val="000000"/>
                <w:sz w:val="16"/>
              </w:rPr>
              <w:t>Other provisions</w:t>
            </w:r>
          </w:p>
        </w:tc>
        <w:tc>
          <w:tcPr>
            <w:tcW w:w="915"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6378BAE6" w14:textId="77777777" w:rsidR="003F0EEA" w:rsidRDefault="00FB7D0B">
            <w:pPr>
              <w:jc w:val="right"/>
              <w:rPr>
                <w:rFonts w:ascii="Arial" w:eastAsia="Arial" w:hAnsi="Arial" w:cs="Arial"/>
                <w:i/>
                <w:color w:val="000000"/>
                <w:sz w:val="16"/>
                <w:vertAlign w:val="superscript"/>
              </w:rPr>
            </w:pPr>
            <w:r>
              <w:rPr>
                <w:rFonts w:ascii="Arial" w:eastAsia="Arial" w:hAnsi="Arial" w:cs="Arial"/>
                <w:color w:val="000000"/>
                <w:sz w:val="16"/>
              </w:rPr>
              <w:t>13,180 </w:t>
            </w:r>
          </w:p>
        </w:tc>
        <w:tc>
          <w:tcPr>
            <w:tcW w:w="915" w:type="dxa"/>
            <w:tcBorders>
              <w:top w:val="nil"/>
              <w:left w:val="nil"/>
              <w:bottom w:val="single" w:sz="6" w:space="0" w:color="000000"/>
              <w:right w:val="nil"/>
              <w:tl2br w:val="nil"/>
              <w:tr2bl w:val="nil"/>
            </w:tcBorders>
            <w:shd w:val="clear" w:color="auto" w:fill="FFFF00"/>
            <w:tcMar>
              <w:left w:w="101" w:type="dxa"/>
              <w:right w:w="101" w:type="dxa"/>
            </w:tcMar>
            <w:vAlign w:val="bottom"/>
          </w:tcPr>
          <w:p w14:paraId="29A6F9A6" w14:textId="77777777" w:rsidR="003F0EEA" w:rsidRDefault="00FB7D0B">
            <w:pPr>
              <w:jc w:val="right"/>
              <w:rPr>
                <w:rFonts w:ascii="Arial" w:eastAsia="Arial" w:hAnsi="Arial" w:cs="Arial"/>
                <w:color w:val="000000"/>
                <w:sz w:val="16"/>
              </w:rPr>
            </w:pPr>
            <w:r>
              <w:rPr>
                <w:rFonts w:ascii="Arial" w:eastAsia="Arial" w:hAnsi="Arial" w:cs="Arial"/>
                <w:color w:val="000000"/>
                <w:sz w:val="16"/>
              </w:rPr>
              <w:t>12,435 </w:t>
            </w:r>
          </w:p>
        </w:tc>
        <w:tc>
          <w:tcPr>
            <w:tcW w:w="915"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05C424F5" w14:textId="77777777" w:rsidR="003F0EEA" w:rsidRDefault="00FB7D0B">
            <w:pPr>
              <w:jc w:val="right"/>
              <w:rPr>
                <w:rFonts w:ascii="Arial" w:eastAsia="Arial" w:hAnsi="Arial" w:cs="Arial"/>
                <w:color w:val="000000"/>
                <w:sz w:val="16"/>
              </w:rPr>
            </w:pPr>
            <w:r>
              <w:rPr>
                <w:rFonts w:ascii="Arial" w:eastAsia="Arial" w:hAnsi="Arial" w:cs="Arial"/>
                <w:color w:val="000000"/>
                <w:sz w:val="16"/>
              </w:rPr>
              <w:t>10,546 </w:t>
            </w:r>
          </w:p>
        </w:tc>
        <w:tc>
          <w:tcPr>
            <w:tcW w:w="915"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50CA81B3" w14:textId="77777777" w:rsidR="003F0EEA" w:rsidRDefault="00FB7D0B">
            <w:pPr>
              <w:jc w:val="right"/>
              <w:rPr>
                <w:rFonts w:ascii="Arial" w:eastAsia="Arial" w:hAnsi="Arial" w:cs="Arial"/>
                <w:color w:val="000000"/>
                <w:sz w:val="16"/>
              </w:rPr>
            </w:pPr>
            <w:r>
              <w:rPr>
                <w:rFonts w:ascii="Arial" w:eastAsia="Arial" w:hAnsi="Arial" w:cs="Arial"/>
                <w:color w:val="000000"/>
                <w:sz w:val="16"/>
              </w:rPr>
              <w:t>8,495 </w:t>
            </w:r>
          </w:p>
        </w:tc>
        <w:tc>
          <w:tcPr>
            <w:tcW w:w="915"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03DEA0CC" w14:textId="77777777" w:rsidR="003F0EEA" w:rsidRDefault="00FB7D0B">
            <w:pPr>
              <w:jc w:val="right"/>
              <w:rPr>
                <w:rFonts w:ascii="Arial" w:eastAsia="Arial" w:hAnsi="Arial" w:cs="Arial"/>
                <w:color w:val="000000"/>
                <w:sz w:val="16"/>
              </w:rPr>
            </w:pPr>
            <w:r>
              <w:rPr>
                <w:rFonts w:ascii="Arial" w:eastAsia="Arial" w:hAnsi="Arial" w:cs="Arial"/>
                <w:color w:val="000000"/>
                <w:sz w:val="16"/>
              </w:rPr>
              <w:t>6,264 </w:t>
            </w:r>
          </w:p>
        </w:tc>
      </w:tr>
      <w:tr w:rsidR="00FB7D0B" w14:paraId="108E570D" w14:textId="77777777" w:rsidTr="00FB7D0B">
        <w:trPr>
          <w:trHeight w:val="225"/>
        </w:trPr>
        <w:tc>
          <w:tcPr>
            <w:tcW w:w="3060" w:type="dxa"/>
            <w:gridSpan w:val="3"/>
            <w:tcBorders>
              <w:top w:val="nil"/>
              <w:left w:val="nil"/>
              <w:bottom w:val="nil"/>
              <w:right w:val="nil"/>
              <w:tl2br w:val="nil"/>
              <w:tr2bl w:val="nil"/>
            </w:tcBorders>
            <w:shd w:val="clear" w:color="auto" w:fill="FFFFFF"/>
            <w:tcMar>
              <w:left w:w="101" w:type="dxa"/>
              <w:right w:w="101" w:type="dxa"/>
            </w:tcMar>
            <w:vAlign w:val="bottom"/>
          </w:tcPr>
          <w:p w14:paraId="2E2444B9" w14:textId="77777777" w:rsidR="003F0EEA" w:rsidRDefault="00FB7D0B">
            <w:pPr>
              <w:rPr>
                <w:rFonts w:ascii="Arial" w:eastAsia="Arial" w:hAnsi="Arial" w:cs="Arial"/>
                <w:color w:val="000000"/>
                <w:sz w:val="16"/>
              </w:rPr>
            </w:pPr>
            <w:r>
              <w:rPr>
                <w:rFonts w:ascii="Arial" w:eastAsia="Arial" w:hAnsi="Arial" w:cs="Arial"/>
                <w:b/>
                <w:color w:val="000000"/>
                <w:sz w:val="16"/>
              </w:rPr>
              <w:t>Total provisions</w:t>
            </w:r>
          </w:p>
        </w:tc>
        <w:tc>
          <w:tcPr>
            <w:tcW w:w="915"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406D3AFC" w14:textId="77777777" w:rsidR="003F0EEA" w:rsidRDefault="00FB7D0B">
            <w:pPr>
              <w:jc w:val="right"/>
              <w:rPr>
                <w:rFonts w:ascii="Arial" w:eastAsia="Arial" w:hAnsi="Arial" w:cs="Arial"/>
                <w:i/>
                <w:color w:val="000000"/>
                <w:sz w:val="16"/>
                <w:vertAlign w:val="superscript"/>
              </w:rPr>
            </w:pPr>
            <w:r>
              <w:rPr>
                <w:rFonts w:ascii="Arial" w:eastAsia="Arial" w:hAnsi="Arial" w:cs="Arial"/>
                <w:b/>
                <w:color w:val="000000"/>
                <w:sz w:val="16"/>
              </w:rPr>
              <w:t>13,180 </w:t>
            </w:r>
          </w:p>
        </w:tc>
        <w:tc>
          <w:tcPr>
            <w:tcW w:w="915" w:type="dxa"/>
            <w:tcBorders>
              <w:top w:val="single" w:sz="6" w:space="0" w:color="000000"/>
              <w:left w:val="nil"/>
              <w:bottom w:val="single" w:sz="6" w:space="0" w:color="000000"/>
              <w:right w:val="nil"/>
              <w:tl2br w:val="nil"/>
              <w:tr2bl w:val="nil"/>
            </w:tcBorders>
            <w:shd w:val="clear" w:color="auto" w:fill="FFFF00"/>
            <w:tcMar>
              <w:left w:w="101" w:type="dxa"/>
              <w:right w:w="101" w:type="dxa"/>
            </w:tcMar>
            <w:vAlign w:val="bottom"/>
          </w:tcPr>
          <w:p w14:paraId="397C9DDA" w14:textId="77777777" w:rsidR="003F0EEA" w:rsidRDefault="00FB7D0B">
            <w:pPr>
              <w:jc w:val="right"/>
              <w:rPr>
                <w:rFonts w:ascii="Arial" w:eastAsia="Arial" w:hAnsi="Arial" w:cs="Arial"/>
                <w:b/>
                <w:color w:val="000000"/>
                <w:sz w:val="16"/>
              </w:rPr>
            </w:pPr>
            <w:r>
              <w:rPr>
                <w:rFonts w:ascii="Arial" w:eastAsia="Arial" w:hAnsi="Arial" w:cs="Arial"/>
                <w:b/>
                <w:color w:val="000000"/>
                <w:sz w:val="16"/>
              </w:rPr>
              <w:t>12,435 </w:t>
            </w:r>
          </w:p>
        </w:tc>
        <w:tc>
          <w:tcPr>
            <w:tcW w:w="915"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7CC098E5" w14:textId="77777777" w:rsidR="003F0EEA" w:rsidRDefault="00FB7D0B">
            <w:pPr>
              <w:jc w:val="right"/>
              <w:rPr>
                <w:rFonts w:ascii="Arial" w:eastAsia="Arial" w:hAnsi="Arial" w:cs="Arial"/>
                <w:b/>
                <w:color w:val="000000"/>
                <w:sz w:val="16"/>
              </w:rPr>
            </w:pPr>
            <w:r>
              <w:rPr>
                <w:rFonts w:ascii="Arial" w:eastAsia="Arial" w:hAnsi="Arial" w:cs="Arial"/>
                <w:b/>
                <w:color w:val="000000"/>
                <w:sz w:val="16"/>
              </w:rPr>
              <w:t>10,546 </w:t>
            </w:r>
          </w:p>
        </w:tc>
        <w:tc>
          <w:tcPr>
            <w:tcW w:w="915"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03B68E31" w14:textId="77777777" w:rsidR="003F0EEA" w:rsidRDefault="00FB7D0B">
            <w:pPr>
              <w:jc w:val="right"/>
              <w:rPr>
                <w:rFonts w:ascii="Arial" w:eastAsia="Arial" w:hAnsi="Arial" w:cs="Arial"/>
                <w:b/>
                <w:color w:val="000000"/>
                <w:sz w:val="16"/>
              </w:rPr>
            </w:pPr>
            <w:r>
              <w:rPr>
                <w:rFonts w:ascii="Arial" w:eastAsia="Arial" w:hAnsi="Arial" w:cs="Arial"/>
                <w:b/>
                <w:color w:val="000000"/>
                <w:sz w:val="16"/>
              </w:rPr>
              <w:t>8,495 </w:t>
            </w:r>
          </w:p>
        </w:tc>
        <w:tc>
          <w:tcPr>
            <w:tcW w:w="915"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0D79B12A" w14:textId="77777777" w:rsidR="003F0EEA" w:rsidRDefault="00FB7D0B">
            <w:pPr>
              <w:jc w:val="right"/>
              <w:rPr>
                <w:rFonts w:ascii="Arial" w:eastAsia="Arial" w:hAnsi="Arial" w:cs="Arial"/>
                <w:b/>
                <w:color w:val="000000"/>
                <w:sz w:val="16"/>
              </w:rPr>
            </w:pPr>
            <w:r>
              <w:rPr>
                <w:rFonts w:ascii="Arial" w:eastAsia="Arial" w:hAnsi="Arial" w:cs="Arial"/>
                <w:b/>
                <w:color w:val="000000"/>
                <w:sz w:val="16"/>
              </w:rPr>
              <w:t>6,264 </w:t>
            </w:r>
          </w:p>
        </w:tc>
      </w:tr>
      <w:tr w:rsidR="00724034" w14:paraId="45CEB982" w14:textId="77777777">
        <w:trPr>
          <w:trHeight w:val="225"/>
        </w:trPr>
        <w:tc>
          <w:tcPr>
            <w:tcW w:w="180" w:type="dxa"/>
            <w:tcBorders>
              <w:top w:val="nil"/>
              <w:left w:val="nil"/>
              <w:bottom w:val="nil"/>
              <w:right w:val="nil"/>
              <w:tl2br w:val="nil"/>
              <w:tr2bl w:val="nil"/>
            </w:tcBorders>
            <w:shd w:val="clear" w:color="auto" w:fill="FFFFFF"/>
            <w:tcMar>
              <w:left w:w="101" w:type="dxa"/>
              <w:right w:w="101" w:type="dxa"/>
            </w:tcMar>
            <w:vAlign w:val="bottom"/>
          </w:tcPr>
          <w:p w14:paraId="3FAE4971" w14:textId="77777777" w:rsidR="003F0EEA" w:rsidRDefault="003F0EEA">
            <w:pPr>
              <w:rPr>
                <w:rFonts w:ascii="Arial" w:eastAsia="Arial" w:hAnsi="Arial" w:cs="Arial"/>
                <w:b/>
                <w:color w:val="000000"/>
                <w:sz w:val="16"/>
              </w:rPr>
            </w:pPr>
          </w:p>
        </w:tc>
        <w:tc>
          <w:tcPr>
            <w:tcW w:w="180" w:type="dxa"/>
            <w:tcBorders>
              <w:top w:val="nil"/>
              <w:left w:val="nil"/>
              <w:bottom w:val="nil"/>
              <w:right w:val="nil"/>
              <w:tl2br w:val="nil"/>
              <w:tr2bl w:val="nil"/>
            </w:tcBorders>
            <w:shd w:val="clear" w:color="auto" w:fill="FFFFFF"/>
            <w:tcMar>
              <w:left w:w="101" w:type="dxa"/>
              <w:right w:w="101" w:type="dxa"/>
            </w:tcMar>
            <w:vAlign w:val="bottom"/>
          </w:tcPr>
          <w:p w14:paraId="1C4444FA" w14:textId="77777777" w:rsidR="003F0EEA" w:rsidRDefault="003F0EEA">
            <w:pPr>
              <w:rPr>
                <w:rFonts w:ascii="Arial" w:eastAsia="Arial" w:hAnsi="Arial" w:cs="Arial"/>
                <w:color w:val="000000"/>
                <w:sz w:val="16"/>
              </w:rPr>
            </w:pPr>
          </w:p>
        </w:tc>
        <w:tc>
          <w:tcPr>
            <w:tcW w:w="2700" w:type="dxa"/>
            <w:tcBorders>
              <w:top w:val="nil"/>
              <w:left w:val="nil"/>
              <w:bottom w:val="nil"/>
              <w:right w:val="nil"/>
              <w:tl2br w:val="nil"/>
              <w:tr2bl w:val="nil"/>
            </w:tcBorders>
            <w:shd w:val="clear" w:color="auto" w:fill="FFFFFF"/>
            <w:tcMar>
              <w:left w:w="101" w:type="dxa"/>
              <w:right w:w="101" w:type="dxa"/>
            </w:tcMar>
            <w:vAlign w:val="bottom"/>
          </w:tcPr>
          <w:p w14:paraId="0216E4E5" w14:textId="77777777" w:rsidR="003F0EEA" w:rsidRDefault="003F0EEA">
            <w:pPr>
              <w:rPr>
                <w:rFonts w:ascii="Arial" w:eastAsia="Arial" w:hAnsi="Arial" w:cs="Arial"/>
                <w:color w:val="000000"/>
                <w:sz w:val="16"/>
              </w:rPr>
            </w:pPr>
          </w:p>
        </w:tc>
        <w:tc>
          <w:tcPr>
            <w:tcW w:w="915"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4357CFE7" w14:textId="77777777" w:rsidR="003F0EEA" w:rsidRDefault="003F0EEA">
            <w:pPr>
              <w:rPr>
                <w:rFonts w:ascii="Arial" w:eastAsia="Arial" w:hAnsi="Arial" w:cs="Arial"/>
                <w:i/>
                <w:color w:val="000000"/>
                <w:sz w:val="16"/>
                <w:vertAlign w:val="superscript"/>
              </w:rPr>
            </w:pPr>
          </w:p>
        </w:tc>
        <w:tc>
          <w:tcPr>
            <w:tcW w:w="915" w:type="dxa"/>
            <w:tcBorders>
              <w:top w:val="nil"/>
              <w:left w:val="nil"/>
              <w:bottom w:val="single" w:sz="6" w:space="0" w:color="000000"/>
              <w:right w:val="nil"/>
              <w:tl2br w:val="nil"/>
              <w:tr2bl w:val="nil"/>
            </w:tcBorders>
            <w:shd w:val="clear" w:color="auto" w:fill="FFFF00"/>
            <w:tcMar>
              <w:left w:w="101" w:type="dxa"/>
              <w:right w:w="101" w:type="dxa"/>
            </w:tcMar>
            <w:vAlign w:val="bottom"/>
          </w:tcPr>
          <w:p w14:paraId="1ACF98EE" w14:textId="77777777" w:rsidR="003F0EEA" w:rsidRDefault="003F0EEA">
            <w:pPr>
              <w:rPr>
                <w:rFonts w:ascii="Arial" w:eastAsia="Arial" w:hAnsi="Arial" w:cs="Arial"/>
                <w:color w:val="000000"/>
                <w:sz w:val="16"/>
                <w:vertAlign w:val="superscript"/>
              </w:rPr>
            </w:pPr>
          </w:p>
        </w:tc>
        <w:tc>
          <w:tcPr>
            <w:tcW w:w="915"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292A9BEF" w14:textId="77777777" w:rsidR="003F0EEA" w:rsidRDefault="003F0EEA">
            <w:pPr>
              <w:rPr>
                <w:rFonts w:ascii="Arial" w:eastAsia="Arial" w:hAnsi="Arial" w:cs="Arial"/>
                <w:color w:val="000000"/>
                <w:sz w:val="16"/>
                <w:vertAlign w:val="superscript"/>
              </w:rPr>
            </w:pPr>
          </w:p>
        </w:tc>
        <w:tc>
          <w:tcPr>
            <w:tcW w:w="915"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62ACDF83" w14:textId="77777777" w:rsidR="003F0EEA" w:rsidRDefault="003F0EEA">
            <w:pPr>
              <w:rPr>
                <w:rFonts w:ascii="Arial" w:eastAsia="Arial" w:hAnsi="Arial" w:cs="Arial"/>
                <w:color w:val="000000"/>
                <w:sz w:val="16"/>
                <w:vertAlign w:val="superscript"/>
              </w:rPr>
            </w:pPr>
          </w:p>
        </w:tc>
        <w:tc>
          <w:tcPr>
            <w:tcW w:w="915"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1D078D91" w14:textId="77777777" w:rsidR="003F0EEA" w:rsidRDefault="003F0EEA">
            <w:pPr>
              <w:rPr>
                <w:rFonts w:ascii="Arial" w:eastAsia="Arial" w:hAnsi="Arial" w:cs="Arial"/>
                <w:color w:val="000000"/>
                <w:sz w:val="16"/>
                <w:vertAlign w:val="superscript"/>
              </w:rPr>
            </w:pPr>
          </w:p>
        </w:tc>
      </w:tr>
      <w:tr w:rsidR="00FB7D0B" w14:paraId="01F96AC5" w14:textId="77777777" w:rsidTr="00FB7D0B">
        <w:trPr>
          <w:trHeight w:val="225"/>
        </w:trPr>
        <w:tc>
          <w:tcPr>
            <w:tcW w:w="3060" w:type="dxa"/>
            <w:gridSpan w:val="3"/>
            <w:tcBorders>
              <w:top w:val="nil"/>
              <w:left w:val="nil"/>
              <w:bottom w:val="nil"/>
              <w:right w:val="nil"/>
              <w:tl2br w:val="nil"/>
              <w:tr2bl w:val="nil"/>
            </w:tcBorders>
            <w:shd w:val="clear" w:color="auto" w:fill="FFFFFF"/>
            <w:tcMar>
              <w:left w:w="101" w:type="dxa"/>
              <w:right w:w="101" w:type="dxa"/>
            </w:tcMar>
            <w:vAlign w:val="bottom"/>
          </w:tcPr>
          <w:p w14:paraId="26AF9528" w14:textId="77777777" w:rsidR="003F0EEA" w:rsidRDefault="00FB7D0B">
            <w:pPr>
              <w:rPr>
                <w:rFonts w:ascii="Arial" w:eastAsia="Arial" w:hAnsi="Arial" w:cs="Arial"/>
                <w:color w:val="000000"/>
                <w:sz w:val="16"/>
                <w:vertAlign w:val="superscript"/>
              </w:rPr>
            </w:pPr>
            <w:r>
              <w:rPr>
                <w:rFonts w:ascii="Arial" w:eastAsia="Arial" w:hAnsi="Arial" w:cs="Arial"/>
                <w:b/>
                <w:color w:val="000000"/>
                <w:sz w:val="16"/>
              </w:rPr>
              <w:t>Total liabilities</w:t>
            </w:r>
          </w:p>
        </w:tc>
        <w:tc>
          <w:tcPr>
            <w:tcW w:w="915"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38F9ECB5" w14:textId="77777777" w:rsidR="003F0EEA" w:rsidRDefault="00FB7D0B">
            <w:pPr>
              <w:jc w:val="right"/>
              <w:rPr>
                <w:rFonts w:ascii="Arial" w:eastAsia="Arial" w:hAnsi="Arial" w:cs="Arial"/>
                <w:b/>
                <w:color w:val="000000"/>
                <w:sz w:val="16"/>
                <w:vertAlign w:val="superscript"/>
              </w:rPr>
            </w:pPr>
            <w:r>
              <w:rPr>
                <w:rFonts w:ascii="Arial" w:eastAsia="Arial" w:hAnsi="Arial" w:cs="Arial"/>
                <w:b/>
                <w:color w:val="000000"/>
                <w:sz w:val="16"/>
              </w:rPr>
              <w:t>36,680 </w:t>
            </w:r>
          </w:p>
        </w:tc>
        <w:tc>
          <w:tcPr>
            <w:tcW w:w="915" w:type="dxa"/>
            <w:tcBorders>
              <w:top w:val="single" w:sz="6" w:space="0" w:color="000000"/>
              <w:left w:val="nil"/>
              <w:bottom w:val="single" w:sz="6" w:space="0" w:color="000000"/>
              <w:right w:val="nil"/>
              <w:tl2br w:val="nil"/>
              <w:tr2bl w:val="nil"/>
            </w:tcBorders>
            <w:shd w:val="clear" w:color="auto" w:fill="FFFF00"/>
            <w:tcMar>
              <w:left w:w="101" w:type="dxa"/>
              <w:right w:w="101" w:type="dxa"/>
            </w:tcMar>
            <w:vAlign w:val="bottom"/>
          </w:tcPr>
          <w:p w14:paraId="66FAB90A" w14:textId="77777777" w:rsidR="003F0EEA" w:rsidRDefault="00FB7D0B">
            <w:pPr>
              <w:jc w:val="right"/>
              <w:rPr>
                <w:rFonts w:ascii="Arial" w:eastAsia="Arial" w:hAnsi="Arial" w:cs="Arial"/>
                <w:b/>
                <w:color w:val="000000"/>
                <w:sz w:val="16"/>
              </w:rPr>
            </w:pPr>
            <w:r>
              <w:rPr>
                <w:rFonts w:ascii="Arial" w:eastAsia="Arial" w:hAnsi="Arial" w:cs="Arial"/>
                <w:b/>
                <w:color w:val="000000"/>
                <w:sz w:val="16"/>
              </w:rPr>
              <w:t>35,935 </w:t>
            </w:r>
          </w:p>
        </w:tc>
        <w:tc>
          <w:tcPr>
            <w:tcW w:w="915"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3B9993F1" w14:textId="77777777" w:rsidR="003F0EEA" w:rsidRDefault="00FB7D0B">
            <w:pPr>
              <w:jc w:val="right"/>
              <w:rPr>
                <w:rFonts w:ascii="Arial" w:eastAsia="Arial" w:hAnsi="Arial" w:cs="Arial"/>
                <w:b/>
                <w:color w:val="000000"/>
                <w:sz w:val="16"/>
              </w:rPr>
            </w:pPr>
            <w:r>
              <w:rPr>
                <w:rFonts w:ascii="Arial" w:eastAsia="Arial" w:hAnsi="Arial" w:cs="Arial"/>
                <w:b/>
                <w:color w:val="000000"/>
                <w:sz w:val="16"/>
              </w:rPr>
              <w:t>34,046 </w:t>
            </w:r>
          </w:p>
        </w:tc>
        <w:tc>
          <w:tcPr>
            <w:tcW w:w="915"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0DCD6031" w14:textId="77777777" w:rsidR="003F0EEA" w:rsidRDefault="00FB7D0B">
            <w:pPr>
              <w:jc w:val="right"/>
              <w:rPr>
                <w:rFonts w:ascii="Arial" w:eastAsia="Arial" w:hAnsi="Arial" w:cs="Arial"/>
                <w:b/>
                <w:color w:val="000000"/>
                <w:sz w:val="16"/>
              </w:rPr>
            </w:pPr>
            <w:r>
              <w:rPr>
                <w:rFonts w:ascii="Arial" w:eastAsia="Arial" w:hAnsi="Arial" w:cs="Arial"/>
                <w:b/>
                <w:color w:val="000000"/>
                <w:sz w:val="16"/>
              </w:rPr>
              <w:t>31,995 </w:t>
            </w:r>
          </w:p>
        </w:tc>
        <w:tc>
          <w:tcPr>
            <w:tcW w:w="915"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1AEFF0E6" w14:textId="77777777" w:rsidR="003F0EEA" w:rsidRDefault="00FB7D0B">
            <w:pPr>
              <w:jc w:val="right"/>
              <w:rPr>
                <w:rFonts w:ascii="Arial" w:eastAsia="Arial" w:hAnsi="Arial" w:cs="Arial"/>
                <w:b/>
                <w:color w:val="000000"/>
                <w:sz w:val="16"/>
              </w:rPr>
            </w:pPr>
            <w:r>
              <w:rPr>
                <w:rFonts w:ascii="Arial" w:eastAsia="Arial" w:hAnsi="Arial" w:cs="Arial"/>
                <w:b/>
                <w:color w:val="000000"/>
                <w:sz w:val="16"/>
              </w:rPr>
              <w:t>29,764 </w:t>
            </w:r>
          </w:p>
        </w:tc>
      </w:tr>
      <w:tr w:rsidR="00724034" w14:paraId="2E74B2D7" w14:textId="77777777">
        <w:trPr>
          <w:trHeight w:val="60"/>
        </w:trPr>
        <w:tc>
          <w:tcPr>
            <w:tcW w:w="180" w:type="dxa"/>
            <w:tcBorders>
              <w:top w:val="nil"/>
              <w:left w:val="nil"/>
              <w:bottom w:val="nil"/>
              <w:right w:val="nil"/>
              <w:tl2br w:val="nil"/>
              <w:tr2bl w:val="nil"/>
            </w:tcBorders>
            <w:shd w:val="clear" w:color="auto" w:fill="FFFFFF"/>
            <w:tcMar>
              <w:left w:w="101" w:type="dxa"/>
              <w:right w:w="101" w:type="dxa"/>
            </w:tcMar>
            <w:vAlign w:val="bottom"/>
          </w:tcPr>
          <w:p w14:paraId="5881B86B" w14:textId="77777777" w:rsidR="003F0EEA" w:rsidRDefault="003F0EEA">
            <w:pPr>
              <w:rPr>
                <w:rFonts w:ascii="Arial" w:eastAsia="Arial" w:hAnsi="Arial" w:cs="Arial"/>
                <w:b/>
                <w:color w:val="000000"/>
                <w:sz w:val="16"/>
              </w:rPr>
            </w:pPr>
          </w:p>
        </w:tc>
        <w:tc>
          <w:tcPr>
            <w:tcW w:w="180" w:type="dxa"/>
            <w:tcBorders>
              <w:top w:val="nil"/>
              <w:left w:val="nil"/>
              <w:bottom w:val="nil"/>
              <w:right w:val="nil"/>
              <w:tl2br w:val="nil"/>
              <w:tr2bl w:val="nil"/>
            </w:tcBorders>
            <w:shd w:val="clear" w:color="auto" w:fill="FFFFFF"/>
            <w:tcMar>
              <w:left w:w="101" w:type="dxa"/>
              <w:right w:w="101" w:type="dxa"/>
            </w:tcMar>
            <w:vAlign w:val="bottom"/>
          </w:tcPr>
          <w:p w14:paraId="038CCB33" w14:textId="77777777" w:rsidR="003F0EEA" w:rsidRDefault="003F0EEA">
            <w:pPr>
              <w:rPr>
                <w:rFonts w:ascii="Arial" w:eastAsia="Arial" w:hAnsi="Arial" w:cs="Arial"/>
                <w:color w:val="000000"/>
                <w:sz w:val="16"/>
              </w:rPr>
            </w:pPr>
          </w:p>
        </w:tc>
        <w:tc>
          <w:tcPr>
            <w:tcW w:w="2700" w:type="dxa"/>
            <w:tcBorders>
              <w:top w:val="nil"/>
              <w:left w:val="nil"/>
              <w:bottom w:val="nil"/>
              <w:right w:val="nil"/>
              <w:tl2br w:val="nil"/>
              <w:tr2bl w:val="nil"/>
            </w:tcBorders>
            <w:shd w:val="clear" w:color="auto" w:fill="FFFFFF"/>
            <w:tcMar>
              <w:left w:w="101" w:type="dxa"/>
              <w:right w:w="101" w:type="dxa"/>
            </w:tcMar>
            <w:vAlign w:val="bottom"/>
          </w:tcPr>
          <w:p w14:paraId="4B5C2457" w14:textId="77777777" w:rsidR="003F0EEA" w:rsidRDefault="003F0EEA">
            <w:pPr>
              <w:rPr>
                <w:rFonts w:ascii="Arial" w:eastAsia="Arial" w:hAnsi="Arial" w:cs="Arial"/>
                <w:color w:val="000000"/>
                <w:sz w:val="16"/>
              </w:rPr>
            </w:pPr>
          </w:p>
        </w:tc>
        <w:tc>
          <w:tcPr>
            <w:tcW w:w="91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28EAFC04" w14:textId="77777777" w:rsidR="003F0EEA" w:rsidRDefault="003F0EEA">
            <w:pPr>
              <w:rPr>
                <w:rFonts w:ascii="Arial" w:eastAsia="Arial" w:hAnsi="Arial" w:cs="Arial"/>
                <w:color w:val="000000"/>
                <w:sz w:val="16"/>
                <w:vertAlign w:val="superscript"/>
              </w:rPr>
            </w:pPr>
          </w:p>
        </w:tc>
        <w:tc>
          <w:tcPr>
            <w:tcW w:w="915" w:type="dxa"/>
            <w:tcBorders>
              <w:top w:val="single" w:sz="6" w:space="0" w:color="000000"/>
              <w:left w:val="nil"/>
              <w:bottom w:val="nil"/>
              <w:right w:val="nil"/>
              <w:tl2br w:val="nil"/>
              <w:tr2bl w:val="nil"/>
            </w:tcBorders>
            <w:shd w:val="clear" w:color="auto" w:fill="FFFF00"/>
            <w:tcMar>
              <w:left w:w="101" w:type="dxa"/>
              <w:right w:w="101" w:type="dxa"/>
            </w:tcMar>
            <w:vAlign w:val="bottom"/>
          </w:tcPr>
          <w:p w14:paraId="59D2FA32" w14:textId="77777777" w:rsidR="003F0EEA" w:rsidRDefault="003F0EEA">
            <w:pPr>
              <w:rPr>
                <w:rFonts w:ascii="Arial" w:eastAsia="Arial" w:hAnsi="Arial" w:cs="Arial"/>
                <w:color w:val="000000"/>
                <w:sz w:val="16"/>
                <w:vertAlign w:val="superscript"/>
              </w:rPr>
            </w:pPr>
          </w:p>
        </w:tc>
        <w:tc>
          <w:tcPr>
            <w:tcW w:w="91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0DD53AB7" w14:textId="77777777" w:rsidR="003F0EEA" w:rsidRDefault="003F0EEA">
            <w:pPr>
              <w:rPr>
                <w:rFonts w:ascii="Arial" w:eastAsia="Arial" w:hAnsi="Arial" w:cs="Arial"/>
                <w:color w:val="000000"/>
                <w:sz w:val="16"/>
                <w:vertAlign w:val="superscript"/>
              </w:rPr>
            </w:pPr>
          </w:p>
        </w:tc>
        <w:tc>
          <w:tcPr>
            <w:tcW w:w="91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483A3D32" w14:textId="77777777" w:rsidR="003F0EEA" w:rsidRDefault="003F0EEA">
            <w:pPr>
              <w:rPr>
                <w:rFonts w:ascii="Arial" w:eastAsia="Arial" w:hAnsi="Arial" w:cs="Arial"/>
                <w:color w:val="000000"/>
                <w:sz w:val="16"/>
                <w:vertAlign w:val="superscript"/>
              </w:rPr>
            </w:pPr>
          </w:p>
        </w:tc>
        <w:tc>
          <w:tcPr>
            <w:tcW w:w="91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7D4A8246" w14:textId="77777777" w:rsidR="003F0EEA" w:rsidRDefault="003F0EEA">
            <w:pPr>
              <w:rPr>
                <w:rFonts w:ascii="Arial" w:eastAsia="Arial" w:hAnsi="Arial" w:cs="Arial"/>
                <w:color w:val="000000"/>
                <w:sz w:val="16"/>
                <w:vertAlign w:val="superscript"/>
              </w:rPr>
            </w:pPr>
          </w:p>
        </w:tc>
      </w:tr>
      <w:tr w:rsidR="00FB7D0B" w14:paraId="2857C0EC" w14:textId="77777777" w:rsidTr="00FB7D0B">
        <w:trPr>
          <w:trHeight w:val="225"/>
        </w:trPr>
        <w:tc>
          <w:tcPr>
            <w:tcW w:w="3060" w:type="dxa"/>
            <w:gridSpan w:val="3"/>
            <w:tcBorders>
              <w:top w:val="nil"/>
              <w:left w:val="nil"/>
              <w:bottom w:val="nil"/>
              <w:right w:val="nil"/>
              <w:tl2br w:val="nil"/>
              <w:tr2bl w:val="nil"/>
            </w:tcBorders>
            <w:shd w:val="clear" w:color="auto" w:fill="FFFFFF"/>
            <w:tcMar>
              <w:left w:w="101" w:type="dxa"/>
              <w:right w:w="101" w:type="dxa"/>
            </w:tcMar>
            <w:vAlign w:val="bottom"/>
          </w:tcPr>
          <w:p w14:paraId="4DFD9BE0" w14:textId="77777777" w:rsidR="003F0EEA" w:rsidRDefault="00FB7D0B">
            <w:pPr>
              <w:rPr>
                <w:rFonts w:ascii="Arial" w:eastAsia="Arial" w:hAnsi="Arial" w:cs="Arial"/>
                <w:color w:val="000000"/>
                <w:sz w:val="16"/>
                <w:vertAlign w:val="superscript"/>
              </w:rPr>
            </w:pPr>
            <w:r>
              <w:rPr>
                <w:rFonts w:ascii="Arial" w:eastAsia="Arial" w:hAnsi="Arial" w:cs="Arial"/>
                <w:b/>
                <w:color w:val="000000"/>
                <w:sz w:val="16"/>
              </w:rPr>
              <w:t>Net assets</w:t>
            </w:r>
          </w:p>
        </w:tc>
        <w:tc>
          <w:tcPr>
            <w:tcW w:w="915"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1551BBF1" w14:textId="77777777" w:rsidR="003F0EEA" w:rsidRDefault="00FB7D0B">
            <w:pPr>
              <w:jc w:val="right"/>
              <w:rPr>
                <w:rFonts w:ascii="Arial" w:eastAsia="Arial" w:hAnsi="Arial" w:cs="Arial"/>
                <w:b/>
                <w:color w:val="000000"/>
                <w:sz w:val="16"/>
                <w:vertAlign w:val="superscript"/>
              </w:rPr>
            </w:pPr>
            <w:r>
              <w:rPr>
                <w:rFonts w:ascii="Arial" w:eastAsia="Arial" w:hAnsi="Arial" w:cs="Arial"/>
                <w:b/>
                <w:color w:val="000000"/>
                <w:sz w:val="16"/>
              </w:rPr>
              <w:t>25,874 </w:t>
            </w:r>
          </w:p>
        </w:tc>
        <w:tc>
          <w:tcPr>
            <w:tcW w:w="915" w:type="dxa"/>
            <w:tcBorders>
              <w:top w:val="nil"/>
              <w:left w:val="nil"/>
              <w:bottom w:val="single" w:sz="6" w:space="0" w:color="000000"/>
              <w:right w:val="nil"/>
              <w:tl2br w:val="nil"/>
              <w:tr2bl w:val="nil"/>
            </w:tcBorders>
            <w:shd w:val="clear" w:color="auto" w:fill="FFFF00"/>
            <w:tcMar>
              <w:left w:w="101" w:type="dxa"/>
              <w:right w:w="101" w:type="dxa"/>
            </w:tcMar>
            <w:vAlign w:val="bottom"/>
          </w:tcPr>
          <w:p w14:paraId="7BA3BEAD" w14:textId="77777777" w:rsidR="003F0EEA" w:rsidRDefault="00FB7D0B">
            <w:pPr>
              <w:jc w:val="right"/>
              <w:rPr>
                <w:rFonts w:ascii="Arial" w:eastAsia="Arial" w:hAnsi="Arial" w:cs="Arial"/>
                <w:b/>
                <w:color w:val="000000"/>
                <w:sz w:val="16"/>
              </w:rPr>
            </w:pPr>
            <w:r>
              <w:rPr>
                <w:rFonts w:ascii="Arial" w:eastAsia="Arial" w:hAnsi="Arial" w:cs="Arial"/>
                <w:b/>
                <w:color w:val="000000"/>
                <w:sz w:val="16"/>
              </w:rPr>
              <w:t>29,303 </w:t>
            </w:r>
          </w:p>
        </w:tc>
        <w:tc>
          <w:tcPr>
            <w:tcW w:w="915"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53D6E08B" w14:textId="77777777" w:rsidR="003F0EEA" w:rsidRDefault="00FB7D0B">
            <w:pPr>
              <w:jc w:val="right"/>
              <w:rPr>
                <w:rFonts w:ascii="Arial" w:eastAsia="Arial" w:hAnsi="Arial" w:cs="Arial"/>
                <w:b/>
                <w:color w:val="000000"/>
                <w:sz w:val="16"/>
              </w:rPr>
            </w:pPr>
            <w:r>
              <w:rPr>
                <w:rFonts w:ascii="Arial" w:eastAsia="Arial" w:hAnsi="Arial" w:cs="Arial"/>
                <w:b/>
                <w:color w:val="000000"/>
                <w:sz w:val="16"/>
              </w:rPr>
              <w:t>34,093 </w:t>
            </w:r>
          </w:p>
        </w:tc>
        <w:tc>
          <w:tcPr>
            <w:tcW w:w="915"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75710B56" w14:textId="77777777" w:rsidR="003F0EEA" w:rsidRDefault="00FB7D0B">
            <w:pPr>
              <w:jc w:val="right"/>
              <w:rPr>
                <w:rFonts w:ascii="Arial" w:eastAsia="Arial" w:hAnsi="Arial" w:cs="Arial"/>
                <w:b/>
                <w:color w:val="000000"/>
                <w:sz w:val="16"/>
              </w:rPr>
            </w:pPr>
            <w:r>
              <w:rPr>
                <w:rFonts w:ascii="Arial" w:eastAsia="Arial" w:hAnsi="Arial" w:cs="Arial"/>
                <w:b/>
                <w:color w:val="000000"/>
                <w:sz w:val="16"/>
              </w:rPr>
              <w:t>40,463 </w:t>
            </w:r>
          </w:p>
        </w:tc>
        <w:tc>
          <w:tcPr>
            <w:tcW w:w="915"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0CCCD017" w14:textId="77777777" w:rsidR="003F0EEA" w:rsidRDefault="00FB7D0B">
            <w:pPr>
              <w:jc w:val="right"/>
              <w:rPr>
                <w:rFonts w:ascii="Arial" w:eastAsia="Arial" w:hAnsi="Arial" w:cs="Arial"/>
                <w:b/>
                <w:color w:val="000000"/>
                <w:sz w:val="16"/>
              </w:rPr>
            </w:pPr>
            <w:r>
              <w:rPr>
                <w:rFonts w:ascii="Arial" w:eastAsia="Arial" w:hAnsi="Arial" w:cs="Arial"/>
                <w:b/>
                <w:color w:val="000000"/>
                <w:sz w:val="16"/>
              </w:rPr>
              <w:t>48,657 </w:t>
            </w:r>
          </w:p>
        </w:tc>
      </w:tr>
      <w:tr w:rsidR="00724034" w14:paraId="4CE1CC0A" w14:textId="77777777">
        <w:trPr>
          <w:trHeight w:val="60"/>
        </w:trPr>
        <w:tc>
          <w:tcPr>
            <w:tcW w:w="180" w:type="dxa"/>
            <w:tcBorders>
              <w:top w:val="nil"/>
              <w:left w:val="nil"/>
              <w:bottom w:val="nil"/>
              <w:right w:val="nil"/>
              <w:tl2br w:val="nil"/>
              <w:tr2bl w:val="nil"/>
            </w:tcBorders>
            <w:shd w:val="clear" w:color="auto" w:fill="FFFFFF"/>
            <w:tcMar>
              <w:left w:w="101" w:type="dxa"/>
              <w:right w:w="101" w:type="dxa"/>
            </w:tcMar>
            <w:vAlign w:val="bottom"/>
          </w:tcPr>
          <w:p w14:paraId="4990EAE9" w14:textId="77777777" w:rsidR="003F0EEA" w:rsidRDefault="003F0EEA">
            <w:pPr>
              <w:rPr>
                <w:rFonts w:ascii="Arial" w:eastAsia="Arial" w:hAnsi="Arial" w:cs="Arial"/>
                <w:b/>
                <w:color w:val="000000"/>
                <w:sz w:val="16"/>
              </w:rPr>
            </w:pPr>
          </w:p>
        </w:tc>
        <w:tc>
          <w:tcPr>
            <w:tcW w:w="180" w:type="dxa"/>
            <w:tcBorders>
              <w:top w:val="nil"/>
              <w:left w:val="nil"/>
              <w:bottom w:val="nil"/>
              <w:right w:val="nil"/>
              <w:tl2br w:val="nil"/>
              <w:tr2bl w:val="nil"/>
            </w:tcBorders>
            <w:shd w:val="clear" w:color="auto" w:fill="FFFFFF"/>
            <w:tcMar>
              <w:left w:w="101" w:type="dxa"/>
              <w:right w:w="101" w:type="dxa"/>
            </w:tcMar>
            <w:vAlign w:val="bottom"/>
          </w:tcPr>
          <w:p w14:paraId="5790C9EE" w14:textId="77777777" w:rsidR="003F0EEA" w:rsidRDefault="003F0EEA">
            <w:pPr>
              <w:rPr>
                <w:rFonts w:ascii="Arial" w:eastAsia="Arial" w:hAnsi="Arial" w:cs="Arial"/>
                <w:color w:val="000000"/>
                <w:sz w:val="16"/>
              </w:rPr>
            </w:pPr>
          </w:p>
        </w:tc>
        <w:tc>
          <w:tcPr>
            <w:tcW w:w="2700" w:type="dxa"/>
            <w:tcBorders>
              <w:top w:val="nil"/>
              <w:left w:val="nil"/>
              <w:bottom w:val="nil"/>
              <w:right w:val="nil"/>
              <w:tl2br w:val="nil"/>
              <w:tr2bl w:val="nil"/>
            </w:tcBorders>
            <w:shd w:val="clear" w:color="auto" w:fill="FFFFFF"/>
            <w:tcMar>
              <w:left w:w="101" w:type="dxa"/>
              <w:right w:w="101" w:type="dxa"/>
            </w:tcMar>
            <w:vAlign w:val="bottom"/>
          </w:tcPr>
          <w:p w14:paraId="689F8EC4" w14:textId="77777777" w:rsidR="003F0EEA" w:rsidRDefault="003F0EEA">
            <w:pPr>
              <w:rPr>
                <w:rFonts w:ascii="Arial" w:eastAsia="Arial" w:hAnsi="Arial" w:cs="Arial"/>
                <w:color w:val="000000"/>
                <w:sz w:val="16"/>
              </w:rPr>
            </w:pPr>
          </w:p>
        </w:tc>
        <w:tc>
          <w:tcPr>
            <w:tcW w:w="91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4C34F734" w14:textId="77777777" w:rsidR="003F0EEA" w:rsidRDefault="003F0EEA">
            <w:pPr>
              <w:rPr>
                <w:rFonts w:ascii="Arial" w:eastAsia="Arial" w:hAnsi="Arial" w:cs="Arial"/>
                <w:color w:val="000000"/>
                <w:sz w:val="16"/>
                <w:vertAlign w:val="superscript"/>
              </w:rPr>
            </w:pPr>
          </w:p>
        </w:tc>
        <w:tc>
          <w:tcPr>
            <w:tcW w:w="915" w:type="dxa"/>
            <w:tcBorders>
              <w:top w:val="single" w:sz="6" w:space="0" w:color="000000"/>
              <w:left w:val="nil"/>
              <w:bottom w:val="nil"/>
              <w:right w:val="nil"/>
              <w:tl2br w:val="nil"/>
              <w:tr2bl w:val="nil"/>
            </w:tcBorders>
            <w:shd w:val="clear" w:color="auto" w:fill="FFFF00"/>
            <w:tcMar>
              <w:left w:w="101" w:type="dxa"/>
              <w:right w:w="101" w:type="dxa"/>
            </w:tcMar>
            <w:vAlign w:val="bottom"/>
          </w:tcPr>
          <w:p w14:paraId="26FC655A" w14:textId="77777777" w:rsidR="003F0EEA" w:rsidRDefault="003F0EEA">
            <w:pPr>
              <w:rPr>
                <w:rFonts w:ascii="Arial" w:eastAsia="Arial" w:hAnsi="Arial" w:cs="Arial"/>
                <w:color w:val="000000"/>
                <w:sz w:val="16"/>
                <w:vertAlign w:val="superscript"/>
              </w:rPr>
            </w:pPr>
          </w:p>
        </w:tc>
        <w:tc>
          <w:tcPr>
            <w:tcW w:w="91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3BC8F0E8" w14:textId="77777777" w:rsidR="003F0EEA" w:rsidRDefault="003F0EEA">
            <w:pPr>
              <w:rPr>
                <w:rFonts w:ascii="Arial" w:eastAsia="Arial" w:hAnsi="Arial" w:cs="Arial"/>
                <w:color w:val="000000"/>
                <w:sz w:val="16"/>
                <w:vertAlign w:val="superscript"/>
              </w:rPr>
            </w:pPr>
          </w:p>
        </w:tc>
        <w:tc>
          <w:tcPr>
            <w:tcW w:w="91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26CECB80" w14:textId="77777777" w:rsidR="003F0EEA" w:rsidRDefault="003F0EEA">
            <w:pPr>
              <w:rPr>
                <w:rFonts w:ascii="Arial" w:eastAsia="Arial" w:hAnsi="Arial" w:cs="Arial"/>
                <w:color w:val="000000"/>
                <w:sz w:val="16"/>
                <w:vertAlign w:val="superscript"/>
              </w:rPr>
            </w:pPr>
          </w:p>
        </w:tc>
        <w:tc>
          <w:tcPr>
            <w:tcW w:w="91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6661B175" w14:textId="77777777" w:rsidR="003F0EEA" w:rsidRDefault="003F0EEA">
            <w:pPr>
              <w:rPr>
                <w:rFonts w:ascii="Arial" w:eastAsia="Arial" w:hAnsi="Arial" w:cs="Arial"/>
                <w:color w:val="000000"/>
                <w:sz w:val="16"/>
                <w:vertAlign w:val="superscript"/>
              </w:rPr>
            </w:pPr>
          </w:p>
        </w:tc>
      </w:tr>
      <w:tr w:rsidR="00FB7D0B" w14:paraId="5E064D0B" w14:textId="77777777" w:rsidTr="00FB7D0B">
        <w:trPr>
          <w:trHeight w:val="225"/>
        </w:trPr>
        <w:tc>
          <w:tcPr>
            <w:tcW w:w="3060" w:type="dxa"/>
            <w:gridSpan w:val="3"/>
            <w:tcBorders>
              <w:top w:val="nil"/>
              <w:left w:val="nil"/>
              <w:bottom w:val="nil"/>
              <w:right w:val="nil"/>
              <w:tl2br w:val="nil"/>
              <w:tr2bl w:val="nil"/>
            </w:tcBorders>
            <w:shd w:val="clear" w:color="auto" w:fill="FFFFFF"/>
            <w:tcMar>
              <w:left w:w="101" w:type="dxa"/>
              <w:right w:w="101" w:type="dxa"/>
            </w:tcMar>
            <w:vAlign w:val="bottom"/>
          </w:tcPr>
          <w:p w14:paraId="0D5D831D" w14:textId="77777777" w:rsidR="003F0EEA" w:rsidRDefault="00FB7D0B">
            <w:pPr>
              <w:rPr>
                <w:rFonts w:ascii="Arial" w:eastAsia="Arial" w:hAnsi="Arial" w:cs="Arial"/>
                <w:color w:val="000000"/>
                <w:sz w:val="16"/>
                <w:vertAlign w:val="superscript"/>
              </w:rPr>
            </w:pPr>
            <w:r>
              <w:rPr>
                <w:rFonts w:ascii="Arial" w:eastAsia="Arial" w:hAnsi="Arial" w:cs="Arial"/>
                <w:b/>
                <w:color w:val="000000"/>
                <w:sz w:val="16"/>
              </w:rPr>
              <w:t>Equity</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577B9D17" w14:textId="77777777" w:rsidR="003F0EEA" w:rsidRDefault="003F0EEA">
            <w:pPr>
              <w:rPr>
                <w:rFonts w:ascii="Arial" w:eastAsia="Arial" w:hAnsi="Arial" w:cs="Arial"/>
                <w:b/>
                <w:color w:val="000000"/>
                <w:sz w:val="16"/>
                <w:vertAlign w:val="superscript"/>
              </w:rPr>
            </w:pPr>
          </w:p>
        </w:tc>
        <w:tc>
          <w:tcPr>
            <w:tcW w:w="915" w:type="dxa"/>
            <w:tcBorders>
              <w:top w:val="nil"/>
              <w:left w:val="nil"/>
              <w:bottom w:val="nil"/>
              <w:right w:val="nil"/>
              <w:tl2br w:val="nil"/>
              <w:tr2bl w:val="nil"/>
            </w:tcBorders>
            <w:shd w:val="clear" w:color="auto" w:fill="FFFF00"/>
            <w:tcMar>
              <w:left w:w="101" w:type="dxa"/>
              <w:right w:w="101" w:type="dxa"/>
            </w:tcMar>
            <w:vAlign w:val="bottom"/>
          </w:tcPr>
          <w:p w14:paraId="3C4665FB" w14:textId="77777777" w:rsidR="003F0EEA" w:rsidRDefault="003F0EEA">
            <w:pPr>
              <w:rPr>
                <w:rFonts w:ascii="Arial" w:eastAsia="Arial" w:hAnsi="Arial" w:cs="Arial"/>
                <w:color w:val="000000"/>
                <w:sz w:val="16"/>
                <w:vertAlign w:val="superscript"/>
              </w:rPr>
            </w:pP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73C313DD" w14:textId="77777777" w:rsidR="003F0EEA" w:rsidRDefault="003F0EEA">
            <w:pPr>
              <w:rPr>
                <w:rFonts w:ascii="Arial" w:eastAsia="Arial" w:hAnsi="Arial" w:cs="Arial"/>
                <w:color w:val="000000"/>
                <w:sz w:val="16"/>
                <w:vertAlign w:val="superscript"/>
              </w:rPr>
            </w:pP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1DDE02A5" w14:textId="77777777" w:rsidR="003F0EEA" w:rsidRDefault="003F0EEA">
            <w:pPr>
              <w:rPr>
                <w:rFonts w:ascii="Arial" w:eastAsia="Arial" w:hAnsi="Arial" w:cs="Arial"/>
                <w:color w:val="000000"/>
                <w:sz w:val="16"/>
                <w:vertAlign w:val="superscript"/>
              </w:rPr>
            </w:pP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69182312" w14:textId="77777777" w:rsidR="003F0EEA" w:rsidRDefault="003F0EEA">
            <w:pPr>
              <w:rPr>
                <w:rFonts w:ascii="Arial" w:eastAsia="Arial" w:hAnsi="Arial" w:cs="Arial"/>
                <w:color w:val="000000"/>
                <w:sz w:val="16"/>
                <w:vertAlign w:val="superscript"/>
              </w:rPr>
            </w:pPr>
          </w:p>
        </w:tc>
      </w:tr>
      <w:tr w:rsidR="00FB7D0B" w14:paraId="39A7121C" w14:textId="77777777" w:rsidTr="00FB7D0B">
        <w:trPr>
          <w:trHeight w:val="225"/>
        </w:trPr>
        <w:tc>
          <w:tcPr>
            <w:tcW w:w="180" w:type="dxa"/>
            <w:tcBorders>
              <w:top w:val="nil"/>
              <w:left w:val="nil"/>
              <w:bottom w:val="nil"/>
              <w:right w:val="nil"/>
              <w:tl2br w:val="nil"/>
              <w:tr2bl w:val="nil"/>
            </w:tcBorders>
            <w:shd w:val="clear" w:color="auto" w:fill="FFFFFF"/>
            <w:tcMar>
              <w:left w:w="101" w:type="dxa"/>
              <w:right w:w="101" w:type="dxa"/>
            </w:tcMar>
            <w:vAlign w:val="bottom"/>
          </w:tcPr>
          <w:p w14:paraId="32C6813A" w14:textId="77777777" w:rsidR="003F0EEA" w:rsidRDefault="003F0EEA">
            <w:pPr>
              <w:rPr>
                <w:rFonts w:ascii="Arial" w:eastAsia="Arial" w:hAnsi="Arial" w:cs="Arial"/>
                <w:color w:val="000000"/>
                <w:sz w:val="16"/>
                <w:vertAlign w:val="superscript"/>
              </w:rPr>
            </w:pPr>
          </w:p>
        </w:tc>
        <w:tc>
          <w:tcPr>
            <w:tcW w:w="2880" w:type="dxa"/>
            <w:gridSpan w:val="2"/>
            <w:tcBorders>
              <w:top w:val="nil"/>
              <w:left w:val="nil"/>
              <w:bottom w:val="nil"/>
              <w:right w:val="nil"/>
              <w:tl2br w:val="nil"/>
              <w:tr2bl w:val="nil"/>
            </w:tcBorders>
            <w:shd w:val="clear" w:color="auto" w:fill="FFFFFF"/>
            <w:tcMar>
              <w:left w:w="101" w:type="dxa"/>
              <w:right w:w="101" w:type="dxa"/>
            </w:tcMar>
            <w:vAlign w:val="bottom"/>
          </w:tcPr>
          <w:p w14:paraId="04586CEF" w14:textId="77777777" w:rsidR="003F0EEA" w:rsidRDefault="00FB7D0B">
            <w:pPr>
              <w:rPr>
                <w:rFonts w:ascii="Arial" w:eastAsia="Arial" w:hAnsi="Arial" w:cs="Arial"/>
                <w:color w:val="000000"/>
                <w:sz w:val="16"/>
                <w:vertAlign w:val="superscript"/>
              </w:rPr>
            </w:pPr>
            <w:r>
              <w:rPr>
                <w:rFonts w:ascii="Arial" w:eastAsia="Arial" w:hAnsi="Arial" w:cs="Arial"/>
                <w:color w:val="000000"/>
                <w:sz w:val="16"/>
              </w:rPr>
              <w:t xml:space="preserve">Retained surplus </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4F57BEA7" w14:textId="77777777" w:rsidR="003F0EEA" w:rsidRDefault="003F0EEA">
            <w:pPr>
              <w:rPr>
                <w:rFonts w:ascii="Arial" w:eastAsia="Arial" w:hAnsi="Arial" w:cs="Arial"/>
                <w:color w:val="000000"/>
                <w:sz w:val="16"/>
                <w:vertAlign w:val="superscript"/>
              </w:rPr>
            </w:pPr>
          </w:p>
        </w:tc>
        <w:tc>
          <w:tcPr>
            <w:tcW w:w="915" w:type="dxa"/>
            <w:tcBorders>
              <w:top w:val="nil"/>
              <w:left w:val="nil"/>
              <w:bottom w:val="nil"/>
              <w:right w:val="nil"/>
              <w:tl2br w:val="nil"/>
              <w:tr2bl w:val="nil"/>
            </w:tcBorders>
            <w:shd w:val="clear" w:color="auto" w:fill="FFFF00"/>
            <w:tcMar>
              <w:left w:w="101" w:type="dxa"/>
              <w:right w:w="101" w:type="dxa"/>
            </w:tcMar>
            <w:vAlign w:val="bottom"/>
          </w:tcPr>
          <w:p w14:paraId="7439DE7D" w14:textId="77777777" w:rsidR="003F0EEA" w:rsidRDefault="003F0EEA">
            <w:pPr>
              <w:rPr>
                <w:rFonts w:ascii="Arial" w:eastAsia="Arial" w:hAnsi="Arial" w:cs="Arial"/>
                <w:color w:val="000000"/>
                <w:sz w:val="16"/>
                <w:vertAlign w:val="superscript"/>
              </w:rPr>
            </w:pP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6B1948BC" w14:textId="77777777" w:rsidR="003F0EEA" w:rsidRDefault="003F0EEA">
            <w:pPr>
              <w:rPr>
                <w:rFonts w:ascii="Arial" w:eastAsia="Arial" w:hAnsi="Arial" w:cs="Arial"/>
                <w:color w:val="000000"/>
                <w:sz w:val="16"/>
                <w:vertAlign w:val="superscript"/>
              </w:rPr>
            </w:pP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440840B8" w14:textId="77777777" w:rsidR="003F0EEA" w:rsidRDefault="003F0EEA">
            <w:pPr>
              <w:rPr>
                <w:rFonts w:ascii="Arial" w:eastAsia="Arial" w:hAnsi="Arial" w:cs="Arial"/>
                <w:color w:val="000000"/>
                <w:sz w:val="16"/>
                <w:vertAlign w:val="superscript"/>
              </w:rPr>
            </w:pP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0BA7A664" w14:textId="77777777" w:rsidR="003F0EEA" w:rsidRDefault="003F0EEA">
            <w:pPr>
              <w:rPr>
                <w:rFonts w:ascii="Arial" w:eastAsia="Arial" w:hAnsi="Arial" w:cs="Arial"/>
                <w:color w:val="000000"/>
                <w:sz w:val="16"/>
                <w:vertAlign w:val="superscript"/>
              </w:rPr>
            </w:pPr>
          </w:p>
        </w:tc>
      </w:tr>
      <w:tr w:rsidR="00724034" w14:paraId="04444D62" w14:textId="77777777">
        <w:trPr>
          <w:trHeight w:val="225"/>
        </w:trPr>
        <w:tc>
          <w:tcPr>
            <w:tcW w:w="180" w:type="dxa"/>
            <w:tcBorders>
              <w:top w:val="nil"/>
              <w:left w:val="nil"/>
              <w:bottom w:val="nil"/>
              <w:right w:val="nil"/>
              <w:tl2br w:val="nil"/>
              <w:tr2bl w:val="nil"/>
            </w:tcBorders>
            <w:shd w:val="clear" w:color="auto" w:fill="FFFFFF"/>
            <w:tcMar>
              <w:left w:w="101" w:type="dxa"/>
              <w:right w:w="101" w:type="dxa"/>
            </w:tcMar>
            <w:vAlign w:val="bottom"/>
          </w:tcPr>
          <w:p w14:paraId="596E9676" w14:textId="77777777" w:rsidR="003F0EEA" w:rsidRDefault="003F0EEA">
            <w:pPr>
              <w:rPr>
                <w:rFonts w:ascii="Arial" w:eastAsia="Arial" w:hAnsi="Arial" w:cs="Arial"/>
                <w:color w:val="000000"/>
                <w:sz w:val="16"/>
                <w:vertAlign w:val="superscript"/>
              </w:rPr>
            </w:pPr>
          </w:p>
        </w:tc>
        <w:tc>
          <w:tcPr>
            <w:tcW w:w="180" w:type="dxa"/>
            <w:tcBorders>
              <w:top w:val="nil"/>
              <w:left w:val="nil"/>
              <w:bottom w:val="nil"/>
              <w:right w:val="nil"/>
              <w:tl2br w:val="nil"/>
              <w:tr2bl w:val="nil"/>
            </w:tcBorders>
            <w:shd w:val="clear" w:color="auto" w:fill="FFFFFF"/>
            <w:tcMar>
              <w:left w:w="101" w:type="dxa"/>
              <w:right w:w="101" w:type="dxa"/>
            </w:tcMar>
            <w:vAlign w:val="bottom"/>
          </w:tcPr>
          <w:p w14:paraId="028F01FD" w14:textId="77777777" w:rsidR="003F0EEA" w:rsidRDefault="003F0EEA">
            <w:pPr>
              <w:rPr>
                <w:rFonts w:ascii="Arial" w:eastAsia="Arial" w:hAnsi="Arial" w:cs="Arial"/>
                <w:color w:val="000000"/>
                <w:sz w:val="16"/>
                <w:vertAlign w:val="superscript"/>
              </w:rPr>
            </w:pPr>
          </w:p>
        </w:tc>
        <w:tc>
          <w:tcPr>
            <w:tcW w:w="2700" w:type="dxa"/>
            <w:tcBorders>
              <w:top w:val="nil"/>
              <w:left w:val="nil"/>
              <w:bottom w:val="nil"/>
              <w:right w:val="nil"/>
              <w:tl2br w:val="nil"/>
              <w:tr2bl w:val="nil"/>
            </w:tcBorders>
            <w:shd w:val="clear" w:color="auto" w:fill="FFFFFF"/>
            <w:tcMar>
              <w:left w:w="101" w:type="dxa"/>
              <w:right w:w="101" w:type="dxa"/>
            </w:tcMar>
            <w:vAlign w:val="bottom"/>
          </w:tcPr>
          <w:p w14:paraId="434C0793" w14:textId="77777777" w:rsidR="003F0EEA" w:rsidRDefault="00FB7D0B">
            <w:pPr>
              <w:rPr>
                <w:rFonts w:ascii="Arial" w:eastAsia="Arial" w:hAnsi="Arial" w:cs="Arial"/>
                <w:color w:val="000000"/>
                <w:sz w:val="16"/>
                <w:vertAlign w:val="superscript"/>
              </w:rPr>
            </w:pPr>
            <w:r>
              <w:rPr>
                <w:rFonts w:ascii="Arial" w:eastAsia="Arial" w:hAnsi="Arial" w:cs="Arial"/>
                <w:color w:val="000000"/>
                <w:sz w:val="16"/>
              </w:rPr>
              <w:t>(accumulated deficit)</w:t>
            </w:r>
          </w:p>
        </w:tc>
        <w:tc>
          <w:tcPr>
            <w:tcW w:w="915"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56CB62E0" w14:textId="77777777" w:rsidR="003F0EEA" w:rsidRDefault="00FB7D0B">
            <w:pPr>
              <w:jc w:val="right"/>
              <w:rPr>
                <w:rFonts w:ascii="Arial" w:eastAsia="Arial" w:hAnsi="Arial" w:cs="Arial"/>
                <w:color w:val="000000"/>
                <w:sz w:val="16"/>
                <w:vertAlign w:val="superscript"/>
              </w:rPr>
            </w:pPr>
            <w:r>
              <w:rPr>
                <w:rFonts w:ascii="Arial" w:eastAsia="Arial" w:hAnsi="Arial" w:cs="Arial"/>
                <w:color w:val="000000"/>
                <w:sz w:val="16"/>
              </w:rPr>
              <w:t>25,874 </w:t>
            </w:r>
          </w:p>
        </w:tc>
        <w:tc>
          <w:tcPr>
            <w:tcW w:w="915" w:type="dxa"/>
            <w:tcBorders>
              <w:top w:val="nil"/>
              <w:left w:val="nil"/>
              <w:bottom w:val="single" w:sz="6" w:space="0" w:color="000000"/>
              <w:right w:val="nil"/>
              <w:tl2br w:val="nil"/>
              <w:tr2bl w:val="nil"/>
            </w:tcBorders>
            <w:shd w:val="clear" w:color="auto" w:fill="FFFF00"/>
            <w:tcMar>
              <w:left w:w="101" w:type="dxa"/>
              <w:right w:w="101" w:type="dxa"/>
            </w:tcMar>
            <w:vAlign w:val="bottom"/>
          </w:tcPr>
          <w:p w14:paraId="539D1F5D" w14:textId="77777777" w:rsidR="003F0EEA" w:rsidRDefault="00FB7D0B">
            <w:pPr>
              <w:jc w:val="right"/>
              <w:rPr>
                <w:rFonts w:ascii="Arial" w:eastAsia="Arial" w:hAnsi="Arial" w:cs="Arial"/>
                <w:color w:val="000000"/>
                <w:sz w:val="16"/>
              </w:rPr>
            </w:pPr>
            <w:r>
              <w:rPr>
                <w:rFonts w:ascii="Arial" w:eastAsia="Arial" w:hAnsi="Arial" w:cs="Arial"/>
                <w:color w:val="000000"/>
                <w:sz w:val="16"/>
              </w:rPr>
              <w:t>29,303 </w:t>
            </w:r>
          </w:p>
        </w:tc>
        <w:tc>
          <w:tcPr>
            <w:tcW w:w="915"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4DC91384" w14:textId="77777777" w:rsidR="003F0EEA" w:rsidRDefault="00FB7D0B">
            <w:pPr>
              <w:jc w:val="right"/>
              <w:rPr>
                <w:rFonts w:ascii="Arial" w:eastAsia="Arial" w:hAnsi="Arial" w:cs="Arial"/>
                <w:color w:val="000000"/>
                <w:sz w:val="16"/>
              </w:rPr>
            </w:pPr>
            <w:r>
              <w:rPr>
                <w:rFonts w:ascii="Arial" w:eastAsia="Arial" w:hAnsi="Arial" w:cs="Arial"/>
                <w:color w:val="000000"/>
                <w:sz w:val="16"/>
              </w:rPr>
              <w:t>34,093 </w:t>
            </w:r>
          </w:p>
        </w:tc>
        <w:tc>
          <w:tcPr>
            <w:tcW w:w="915"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35FE9BE6" w14:textId="77777777" w:rsidR="003F0EEA" w:rsidRDefault="00FB7D0B">
            <w:pPr>
              <w:jc w:val="right"/>
              <w:rPr>
                <w:rFonts w:ascii="Arial" w:eastAsia="Arial" w:hAnsi="Arial" w:cs="Arial"/>
                <w:color w:val="000000"/>
                <w:sz w:val="16"/>
              </w:rPr>
            </w:pPr>
            <w:r>
              <w:rPr>
                <w:rFonts w:ascii="Arial" w:eastAsia="Arial" w:hAnsi="Arial" w:cs="Arial"/>
                <w:color w:val="000000"/>
                <w:sz w:val="16"/>
              </w:rPr>
              <w:t>40,463 </w:t>
            </w:r>
          </w:p>
        </w:tc>
        <w:tc>
          <w:tcPr>
            <w:tcW w:w="915"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03AFA472" w14:textId="77777777" w:rsidR="003F0EEA" w:rsidRDefault="00FB7D0B">
            <w:pPr>
              <w:jc w:val="right"/>
              <w:rPr>
                <w:rFonts w:ascii="Arial" w:eastAsia="Arial" w:hAnsi="Arial" w:cs="Arial"/>
                <w:color w:val="000000"/>
                <w:sz w:val="16"/>
              </w:rPr>
            </w:pPr>
            <w:r>
              <w:rPr>
                <w:rFonts w:ascii="Arial" w:eastAsia="Arial" w:hAnsi="Arial" w:cs="Arial"/>
                <w:color w:val="000000"/>
                <w:sz w:val="16"/>
              </w:rPr>
              <w:t>48,657 </w:t>
            </w:r>
          </w:p>
        </w:tc>
      </w:tr>
      <w:tr w:rsidR="00FB7D0B" w14:paraId="10895508" w14:textId="77777777" w:rsidTr="00FB7D0B">
        <w:trPr>
          <w:trHeight w:val="225"/>
        </w:trPr>
        <w:tc>
          <w:tcPr>
            <w:tcW w:w="3060" w:type="dxa"/>
            <w:gridSpan w:val="3"/>
            <w:tcBorders>
              <w:top w:val="nil"/>
              <w:left w:val="nil"/>
              <w:bottom w:val="single" w:sz="6" w:space="0" w:color="000000"/>
              <w:right w:val="nil"/>
              <w:tl2br w:val="nil"/>
              <w:tr2bl w:val="nil"/>
            </w:tcBorders>
            <w:shd w:val="clear" w:color="auto" w:fill="FFFFFF"/>
            <w:tcMar>
              <w:left w:w="101" w:type="dxa"/>
              <w:right w:w="101" w:type="dxa"/>
            </w:tcMar>
            <w:vAlign w:val="bottom"/>
          </w:tcPr>
          <w:p w14:paraId="4B596345" w14:textId="77777777" w:rsidR="003F0EEA" w:rsidRDefault="00FB7D0B">
            <w:pPr>
              <w:rPr>
                <w:rFonts w:ascii="Arial" w:eastAsia="Arial" w:hAnsi="Arial" w:cs="Arial"/>
                <w:color w:val="000000"/>
                <w:sz w:val="16"/>
              </w:rPr>
            </w:pPr>
            <w:r>
              <w:rPr>
                <w:rFonts w:ascii="Arial" w:eastAsia="Arial" w:hAnsi="Arial" w:cs="Arial"/>
                <w:b/>
                <w:color w:val="000000"/>
                <w:sz w:val="16"/>
              </w:rPr>
              <w:t>Total equity</w:t>
            </w:r>
          </w:p>
        </w:tc>
        <w:tc>
          <w:tcPr>
            <w:tcW w:w="915"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3F423086" w14:textId="77777777" w:rsidR="003F0EEA" w:rsidRDefault="00FB7D0B">
            <w:pPr>
              <w:jc w:val="right"/>
              <w:rPr>
                <w:rFonts w:ascii="Arial" w:eastAsia="Arial" w:hAnsi="Arial" w:cs="Arial"/>
                <w:b/>
                <w:color w:val="000000"/>
                <w:sz w:val="16"/>
                <w:vertAlign w:val="superscript"/>
              </w:rPr>
            </w:pPr>
            <w:r>
              <w:rPr>
                <w:rFonts w:ascii="Arial" w:eastAsia="Arial" w:hAnsi="Arial" w:cs="Arial"/>
                <w:b/>
                <w:color w:val="000000"/>
                <w:sz w:val="16"/>
              </w:rPr>
              <w:t>25,874 </w:t>
            </w:r>
          </w:p>
        </w:tc>
        <w:tc>
          <w:tcPr>
            <w:tcW w:w="915" w:type="dxa"/>
            <w:tcBorders>
              <w:top w:val="single" w:sz="6" w:space="0" w:color="000000"/>
              <w:left w:val="nil"/>
              <w:bottom w:val="single" w:sz="6" w:space="0" w:color="000000"/>
              <w:right w:val="nil"/>
              <w:tl2br w:val="nil"/>
              <w:tr2bl w:val="nil"/>
            </w:tcBorders>
            <w:shd w:val="clear" w:color="auto" w:fill="FFFF00"/>
            <w:tcMar>
              <w:left w:w="101" w:type="dxa"/>
              <w:right w:w="101" w:type="dxa"/>
            </w:tcMar>
            <w:vAlign w:val="bottom"/>
          </w:tcPr>
          <w:p w14:paraId="694C5214" w14:textId="77777777" w:rsidR="003F0EEA" w:rsidRDefault="00FB7D0B">
            <w:pPr>
              <w:jc w:val="right"/>
              <w:rPr>
                <w:rFonts w:ascii="Arial" w:eastAsia="Arial" w:hAnsi="Arial" w:cs="Arial"/>
                <w:b/>
                <w:color w:val="000000"/>
                <w:sz w:val="16"/>
              </w:rPr>
            </w:pPr>
            <w:r>
              <w:rPr>
                <w:rFonts w:ascii="Arial" w:eastAsia="Arial" w:hAnsi="Arial" w:cs="Arial"/>
                <w:b/>
                <w:color w:val="000000"/>
                <w:sz w:val="16"/>
              </w:rPr>
              <w:t>29,303 </w:t>
            </w:r>
          </w:p>
        </w:tc>
        <w:tc>
          <w:tcPr>
            <w:tcW w:w="915"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2FF5BB75" w14:textId="77777777" w:rsidR="003F0EEA" w:rsidRDefault="00FB7D0B">
            <w:pPr>
              <w:jc w:val="right"/>
              <w:rPr>
                <w:rFonts w:ascii="Arial" w:eastAsia="Arial" w:hAnsi="Arial" w:cs="Arial"/>
                <w:b/>
                <w:color w:val="000000"/>
                <w:sz w:val="16"/>
              </w:rPr>
            </w:pPr>
            <w:r>
              <w:rPr>
                <w:rFonts w:ascii="Arial" w:eastAsia="Arial" w:hAnsi="Arial" w:cs="Arial"/>
                <w:b/>
                <w:color w:val="000000"/>
                <w:sz w:val="16"/>
              </w:rPr>
              <w:t>34,093 </w:t>
            </w:r>
          </w:p>
        </w:tc>
        <w:tc>
          <w:tcPr>
            <w:tcW w:w="915"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01254A74" w14:textId="77777777" w:rsidR="003F0EEA" w:rsidRDefault="00FB7D0B">
            <w:pPr>
              <w:jc w:val="right"/>
              <w:rPr>
                <w:rFonts w:ascii="Arial" w:eastAsia="Arial" w:hAnsi="Arial" w:cs="Arial"/>
                <w:b/>
                <w:color w:val="000000"/>
                <w:sz w:val="16"/>
              </w:rPr>
            </w:pPr>
            <w:r>
              <w:rPr>
                <w:rFonts w:ascii="Arial" w:eastAsia="Arial" w:hAnsi="Arial" w:cs="Arial"/>
                <w:b/>
                <w:color w:val="000000"/>
                <w:sz w:val="16"/>
              </w:rPr>
              <w:t>40,463 </w:t>
            </w:r>
          </w:p>
        </w:tc>
        <w:tc>
          <w:tcPr>
            <w:tcW w:w="915"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0EA5FA8B" w14:textId="77777777" w:rsidR="003F0EEA" w:rsidRDefault="00FB7D0B">
            <w:pPr>
              <w:jc w:val="right"/>
              <w:rPr>
                <w:rFonts w:ascii="Arial" w:eastAsia="Arial" w:hAnsi="Arial" w:cs="Arial"/>
                <w:b/>
                <w:color w:val="000000"/>
                <w:sz w:val="16"/>
              </w:rPr>
            </w:pPr>
            <w:r>
              <w:rPr>
                <w:rFonts w:ascii="Arial" w:eastAsia="Arial" w:hAnsi="Arial" w:cs="Arial"/>
                <w:b/>
                <w:color w:val="000000"/>
                <w:sz w:val="16"/>
              </w:rPr>
              <w:t>48,657 </w:t>
            </w:r>
          </w:p>
        </w:tc>
      </w:tr>
    </w:tbl>
    <w:p w14:paraId="7F8FCB2A" w14:textId="77777777" w:rsidR="003F0EEA" w:rsidRPr="00BC7C5A" w:rsidRDefault="00FB7D0B" w:rsidP="003F0EEA">
      <w:pPr>
        <w:pStyle w:val="Source12"/>
      </w:pPr>
      <w:r>
        <w:t>Prepared on Australian Accounting Standards basis</w:t>
      </w:r>
    </w:p>
    <w:p w14:paraId="4A71F5BE" w14:textId="77777777" w:rsidR="003F0EEA" w:rsidRPr="00BC7C5A" w:rsidRDefault="00FB7D0B">
      <w:pPr>
        <w:spacing w:line="14" w:lineRule="exact"/>
        <w:rPr>
          <w:rFonts w:eastAsia="Times New Roman" w:cs="Times New Roman"/>
        </w:rPr>
      </w:pPr>
      <w:r w:rsidRPr="00BC7C5A">
        <w:rPr>
          <w:rFonts w:eastAsia="Times New Roman" w:cs="Times New Roman"/>
        </w:rPr>
        <w:br w:type="page"/>
      </w:r>
    </w:p>
    <w:p w14:paraId="10ED566A" w14:textId="77777777" w:rsidR="003F0EEA" w:rsidRPr="001134D8" w:rsidRDefault="00FB7D0B" w:rsidP="003F0EEA">
      <w:pPr>
        <w:pStyle w:val="Normal187"/>
        <w:spacing w:before="120"/>
        <w:rPr>
          <w:rFonts w:ascii="Arial" w:hAnsi="Arial" w:cs="Arial"/>
          <w:sz w:val="20"/>
          <w:szCs w:val="20"/>
        </w:rPr>
      </w:pPr>
      <w:r w:rsidRPr="001134D8">
        <w:rPr>
          <w:rFonts w:ascii="Arial" w:hAnsi="Arial" w:cs="Arial"/>
          <w:b/>
          <w:sz w:val="20"/>
          <w:szCs w:val="20"/>
        </w:rPr>
        <w:t>Table 3.2</w:t>
      </w:r>
      <w:r>
        <w:rPr>
          <w:rFonts w:ascii="Arial" w:hAnsi="Arial" w:cs="Arial"/>
          <w:b/>
          <w:sz w:val="20"/>
          <w:szCs w:val="20"/>
        </w:rPr>
        <w:t>.3c: Budgeted Departmental Statement of Cash F</w:t>
      </w:r>
      <w:r w:rsidRPr="001134D8">
        <w:rPr>
          <w:rFonts w:ascii="Arial" w:hAnsi="Arial" w:cs="Arial"/>
          <w:b/>
          <w:sz w:val="20"/>
          <w:szCs w:val="20"/>
        </w:rPr>
        <w:t xml:space="preserve">lows (DSHIS) </w:t>
      </w:r>
      <w:r w:rsidRPr="001134D8">
        <w:rPr>
          <w:rFonts w:ascii="Arial" w:hAnsi="Arial" w:cs="Arial"/>
          <w:b/>
          <w:sz w:val="20"/>
          <w:szCs w:val="20"/>
        </w:rPr>
        <w:br/>
      </w:r>
      <w:r w:rsidRPr="00685C5D">
        <w:rPr>
          <w:rFonts w:ascii="Arial" w:hAnsi="Arial" w:cs="Arial"/>
          <w:b/>
          <w:sz w:val="20"/>
          <w:szCs w:val="20"/>
        </w:rPr>
        <w:t>for the period ended 30 June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2"/>
        <w:gridCol w:w="222"/>
        <w:gridCol w:w="2700"/>
        <w:gridCol w:w="915"/>
        <w:gridCol w:w="915"/>
        <w:gridCol w:w="915"/>
        <w:gridCol w:w="915"/>
        <w:gridCol w:w="915"/>
      </w:tblGrid>
      <w:tr w:rsidR="00724034" w14:paraId="4E24D0BC" w14:textId="77777777">
        <w:trPr>
          <w:trHeight w:val="225"/>
        </w:trPr>
        <w:tc>
          <w:tcPr>
            <w:tcW w:w="180"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7C18D28E" w14:textId="77777777" w:rsidR="003F0EEA" w:rsidRPr="001134D8" w:rsidRDefault="003F0EEA">
            <w:pPr>
              <w:rPr>
                <w:rFonts w:ascii="Arial" w:eastAsia="Times New Roman" w:hAnsi="Arial" w:cs="Arial"/>
                <w:sz w:val="20"/>
                <w:szCs w:val="20"/>
              </w:rPr>
            </w:pPr>
          </w:p>
        </w:tc>
        <w:tc>
          <w:tcPr>
            <w:tcW w:w="180"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5F529EAD" w14:textId="77777777" w:rsidR="003F0EEA" w:rsidRPr="001134D8" w:rsidRDefault="003F0EEA">
            <w:pPr>
              <w:rPr>
                <w:rFonts w:ascii="Arial" w:eastAsia="Arial" w:hAnsi="Arial" w:cs="Arial"/>
                <w:color w:val="000000"/>
                <w:sz w:val="16"/>
                <w:szCs w:val="20"/>
              </w:rPr>
            </w:pPr>
          </w:p>
        </w:tc>
        <w:tc>
          <w:tcPr>
            <w:tcW w:w="2700"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7F9E2DE2" w14:textId="77777777" w:rsidR="003F0EEA" w:rsidRPr="001134D8" w:rsidRDefault="003F0EEA">
            <w:pPr>
              <w:rPr>
                <w:rFonts w:ascii="Arial" w:eastAsia="Arial" w:hAnsi="Arial" w:cs="Arial"/>
                <w:color w:val="000000"/>
                <w:sz w:val="16"/>
                <w:szCs w:val="20"/>
              </w:rPr>
            </w:pPr>
          </w:p>
        </w:tc>
        <w:tc>
          <w:tcPr>
            <w:tcW w:w="91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72532B8A" w14:textId="77777777" w:rsidR="003F0EEA" w:rsidRPr="001134D8" w:rsidRDefault="00FB7D0B">
            <w:pPr>
              <w:jc w:val="right"/>
              <w:rPr>
                <w:rFonts w:ascii="Arial" w:eastAsia="Arial" w:hAnsi="Arial" w:cs="Arial"/>
                <w:color w:val="000000"/>
                <w:sz w:val="16"/>
                <w:szCs w:val="20"/>
              </w:rPr>
            </w:pPr>
            <w:r w:rsidRPr="001134D8">
              <w:rPr>
                <w:rFonts w:ascii="Arial" w:eastAsia="Arial" w:hAnsi="Arial" w:cs="Arial"/>
                <w:color w:val="000000"/>
                <w:sz w:val="16"/>
                <w:szCs w:val="20"/>
              </w:rPr>
              <w:t>Estimated</w:t>
            </w:r>
          </w:p>
        </w:tc>
        <w:tc>
          <w:tcPr>
            <w:tcW w:w="915" w:type="dxa"/>
            <w:tcBorders>
              <w:top w:val="single" w:sz="6" w:space="0" w:color="000000"/>
              <w:left w:val="nil"/>
              <w:bottom w:val="nil"/>
              <w:right w:val="nil"/>
              <w:tl2br w:val="nil"/>
              <w:tr2bl w:val="nil"/>
            </w:tcBorders>
            <w:shd w:val="clear" w:color="auto" w:fill="FFFF00"/>
            <w:tcMar>
              <w:left w:w="101" w:type="dxa"/>
              <w:right w:w="101" w:type="dxa"/>
            </w:tcMar>
            <w:vAlign w:val="bottom"/>
          </w:tcPr>
          <w:p w14:paraId="7BBA3175" w14:textId="77777777" w:rsidR="003F0EEA" w:rsidRPr="001134D8" w:rsidRDefault="00FB7D0B">
            <w:pPr>
              <w:jc w:val="right"/>
              <w:rPr>
                <w:rFonts w:ascii="Arial" w:eastAsia="Arial" w:hAnsi="Arial" w:cs="Arial"/>
                <w:color w:val="000000"/>
                <w:sz w:val="16"/>
                <w:szCs w:val="20"/>
              </w:rPr>
            </w:pPr>
            <w:r w:rsidRPr="001134D8">
              <w:rPr>
                <w:rFonts w:ascii="Arial" w:eastAsia="Arial" w:hAnsi="Arial" w:cs="Arial"/>
                <w:color w:val="000000"/>
                <w:sz w:val="16"/>
                <w:szCs w:val="20"/>
              </w:rPr>
              <w:t>Budget</w:t>
            </w:r>
          </w:p>
        </w:tc>
        <w:tc>
          <w:tcPr>
            <w:tcW w:w="91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31085E19" w14:textId="77777777" w:rsidR="003F0EEA" w:rsidRPr="001134D8" w:rsidRDefault="00FB7D0B">
            <w:pPr>
              <w:jc w:val="right"/>
              <w:rPr>
                <w:rFonts w:ascii="Arial" w:eastAsia="Arial" w:hAnsi="Arial" w:cs="Arial"/>
                <w:color w:val="000000"/>
                <w:sz w:val="16"/>
                <w:szCs w:val="20"/>
              </w:rPr>
            </w:pPr>
            <w:r w:rsidRPr="001134D8">
              <w:rPr>
                <w:rFonts w:ascii="Arial" w:eastAsia="Arial" w:hAnsi="Arial" w:cs="Arial"/>
                <w:color w:val="000000"/>
                <w:sz w:val="16"/>
                <w:szCs w:val="20"/>
              </w:rPr>
              <w:t>Forward</w:t>
            </w:r>
          </w:p>
        </w:tc>
        <w:tc>
          <w:tcPr>
            <w:tcW w:w="91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290EC405" w14:textId="77777777" w:rsidR="003F0EEA" w:rsidRPr="001134D8" w:rsidRDefault="00FB7D0B">
            <w:pPr>
              <w:jc w:val="right"/>
              <w:rPr>
                <w:rFonts w:ascii="Arial" w:eastAsia="Arial" w:hAnsi="Arial" w:cs="Arial"/>
                <w:color w:val="000000"/>
                <w:sz w:val="16"/>
                <w:szCs w:val="20"/>
              </w:rPr>
            </w:pPr>
            <w:r w:rsidRPr="001134D8">
              <w:rPr>
                <w:rFonts w:ascii="Arial" w:eastAsia="Arial" w:hAnsi="Arial" w:cs="Arial"/>
                <w:color w:val="000000"/>
                <w:sz w:val="16"/>
                <w:szCs w:val="20"/>
              </w:rPr>
              <w:t>Forward</w:t>
            </w:r>
          </w:p>
        </w:tc>
        <w:tc>
          <w:tcPr>
            <w:tcW w:w="91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3682AC9D" w14:textId="77777777" w:rsidR="003F0EEA" w:rsidRPr="001134D8" w:rsidRDefault="00FB7D0B">
            <w:pPr>
              <w:jc w:val="right"/>
              <w:rPr>
                <w:rFonts w:ascii="Arial" w:eastAsia="Arial" w:hAnsi="Arial" w:cs="Arial"/>
                <w:color w:val="000000"/>
                <w:sz w:val="16"/>
                <w:szCs w:val="20"/>
              </w:rPr>
            </w:pPr>
            <w:r w:rsidRPr="001134D8">
              <w:rPr>
                <w:rFonts w:ascii="Arial" w:eastAsia="Arial" w:hAnsi="Arial" w:cs="Arial"/>
                <w:color w:val="000000"/>
                <w:sz w:val="16"/>
                <w:szCs w:val="20"/>
              </w:rPr>
              <w:t>Forward</w:t>
            </w:r>
          </w:p>
        </w:tc>
      </w:tr>
      <w:tr w:rsidR="00724034" w14:paraId="08E08958" w14:textId="77777777">
        <w:trPr>
          <w:trHeight w:val="225"/>
        </w:trPr>
        <w:tc>
          <w:tcPr>
            <w:tcW w:w="180" w:type="dxa"/>
            <w:tcBorders>
              <w:top w:val="nil"/>
              <w:left w:val="nil"/>
              <w:bottom w:val="nil"/>
              <w:right w:val="nil"/>
              <w:tl2br w:val="nil"/>
              <w:tr2bl w:val="nil"/>
            </w:tcBorders>
            <w:shd w:val="clear" w:color="auto" w:fill="FFFFFF"/>
            <w:tcMar>
              <w:left w:w="101" w:type="dxa"/>
              <w:right w:w="101" w:type="dxa"/>
            </w:tcMar>
            <w:vAlign w:val="bottom"/>
          </w:tcPr>
          <w:p w14:paraId="7568A3FF" w14:textId="77777777" w:rsidR="003F0EEA" w:rsidRPr="001134D8" w:rsidRDefault="003F0EEA">
            <w:pPr>
              <w:rPr>
                <w:rFonts w:ascii="Arial" w:eastAsia="Arial" w:hAnsi="Arial" w:cs="Arial"/>
                <w:color w:val="000000"/>
                <w:sz w:val="16"/>
                <w:szCs w:val="20"/>
              </w:rPr>
            </w:pPr>
          </w:p>
        </w:tc>
        <w:tc>
          <w:tcPr>
            <w:tcW w:w="180" w:type="dxa"/>
            <w:tcBorders>
              <w:top w:val="nil"/>
              <w:left w:val="nil"/>
              <w:bottom w:val="nil"/>
              <w:right w:val="nil"/>
              <w:tl2br w:val="nil"/>
              <w:tr2bl w:val="nil"/>
            </w:tcBorders>
            <w:shd w:val="clear" w:color="auto" w:fill="FFFFFF"/>
            <w:tcMar>
              <w:left w:w="101" w:type="dxa"/>
              <w:right w:w="101" w:type="dxa"/>
            </w:tcMar>
            <w:vAlign w:val="bottom"/>
          </w:tcPr>
          <w:p w14:paraId="4A685676" w14:textId="77777777" w:rsidR="003F0EEA" w:rsidRPr="001134D8" w:rsidRDefault="003F0EEA">
            <w:pPr>
              <w:rPr>
                <w:rFonts w:ascii="Arial" w:eastAsia="Arial" w:hAnsi="Arial" w:cs="Arial"/>
                <w:color w:val="000000"/>
                <w:sz w:val="16"/>
                <w:szCs w:val="20"/>
              </w:rPr>
            </w:pPr>
          </w:p>
        </w:tc>
        <w:tc>
          <w:tcPr>
            <w:tcW w:w="2700" w:type="dxa"/>
            <w:tcBorders>
              <w:top w:val="nil"/>
              <w:left w:val="nil"/>
              <w:bottom w:val="nil"/>
              <w:right w:val="nil"/>
              <w:tl2br w:val="nil"/>
              <w:tr2bl w:val="nil"/>
            </w:tcBorders>
            <w:shd w:val="clear" w:color="auto" w:fill="FFFFFF"/>
            <w:tcMar>
              <w:left w:w="101" w:type="dxa"/>
              <w:right w:w="101" w:type="dxa"/>
            </w:tcMar>
            <w:vAlign w:val="bottom"/>
          </w:tcPr>
          <w:p w14:paraId="1FC9CB34" w14:textId="77777777" w:rsidR="003F0EEA" w:rsidRPr="001134D8" w:rsidRDefault="003F0EEA">
            <w:pPr>
              <w:rPr>
                <w:rFonts w:ascii="Arial" w:eastAsia="Arial" w:hAnsi="Arial" w:cs="Arial"/>
                <w:color w:val="000000"/>
                <w:sz w:val="16"/>
                <w:szCs w:val="20"/>
              </w:rPr>
            </w:pP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1B8557AB" w14:textId="77777777" w:rsidR="003F0EEA" w:rsidRPr="001134D8" w:rsidRDefault="00FB7D0B">
            <w:pPr>
              <w:jc w:val="right"/>
              <w:rPr>
                <w:rFonts w:ascii="Arial" w:eastAsia="Arial" w:hAnsi="Arial" w:cs="Arial"/>
                <w:color w:val="000000"/>
                <w:sz w:val="16"/>
                <w:szCs w:val="20"/>
              </w:rPr>
            </w:pPr>
            <w:r w:rsidRPr="001134D8">
              <w:rPr>
                <w:rFonts w:ascii="Arial" w:eastAsia="Arial" w:hAnsi="Arial" w:cs="Arial"/>
                <w:color w:val="000000"/>
                <w:sz w:val="16"/>
                <w:szCs w:val="20"/>
              </w:rPr>
              <w:t>actual</w:t>
            </w:r>
          </w:p>
        </w:tc>
        <w:tc>
          <w:tcPr>
            <w:tcW w:w="915" w:type="dxa"/>
            <w:tcBorders>
              <w:top w:val="nil"/>
              <w:left w:val="nil"/>
              <w:bottom w:val="nil"/>
              <w:right w:val="nil"/>
              <w:tl2br w:val="nil"/>
              <w:tr2bl w:val="nil"/>
            </w:tcBorders>
            <w:shd w:val="clear" w:color="auto" w:fill="FFFF00"/>
            <w:tcMar>
              <w:left w:w="101" w:type="dxa"/>
              <w:right w:w="101" w:type="dxa"/>
            </w:tcMar>
            <w:vAlign w:val="bottom"/>
          </w:tcPr>
          <w:p w14:paraId="6581036D" w14:textId="77777777" w:rsidR="003F0EEA" w:rsidRPr="001134D8" w:rsidRDefault="00FB7D0B">
            <w:pPr>
              <w:jc w:val="right"/>
              <w:rPr>
                <w:rFonts w:ascii="Arial" w:eastAsia="Arial" w:hAnsi="Arial" w:cs="Arial"/>
                <w:color w:val="000000"/>
                <w:sz w:val="16"/>
                <w:szCs w:val="20"/>
              </w:rPr>
            </w:pPr>
            <w:r w:rsidRPr="001134D8">
              <w:rPr>
                <w:rFonts w:ascii="Arial" w:eastAsia="Arial" w:hAnsi="Arial" w:cs="Arial"/>
                <w:color w:val="000000"/>
                <w:sz w:val="16"/>
                <w:szCs w:val="20"/>
              </w:rPr>
              <w:t>estimate</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216D514E" w14:textId="77777777" w:rsidR="003F0EEA" w:rsidRPr="001134D8" w:rsidRDefault="00FB7D0B">
            <w:pPr>
              <w:jc w:val="right"/>
              <w:rPr>
                <w:rFonts w:ascii="Arial" w:eastAsia="Arial" w:hAnsi="Arial" w:cs="Arial"/>
                <w:color w:val="000000"/>
                <w:sz w:val="16"/>
                <w:szCs w:val="20"/>
              </w:rPr>
            </w:pPr>
            <w:r w:rsidRPr="001134D8">
              <w:rPr>
                <w:rFonts w:ascii="Arial" w:eastAsia="Arial" w:hAnsi="Arial" w:cs="Arial"/>
                <w:color w:val="000000"/>
                <w:sz w:val="16"/>
                <w:szCs w:val="20"/>
              </w:rPr>
              <w:t>estimate</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79D4D59B" w14:textId="77777777" w:rsidR="003F0EEA" w:rsidRPr="001134D8" w:rsidRDefault="00FB7D0B">
            <w:pPr>
              <w:jc w:val="right"/>
              <w:rPr>
                <w:rFonts w:ascii="Arial" w:eastAsia="Arial" w:hAnsi="Arial" w:cs="Arial"/>
                <w:color w:val="000000"/>
                <w:sz w:val="16"/>
                <w:szCs w:val="20"/>
              </w:rPr>
            </w:pPr>
            <w:r w:rsidRPr="001134D8">
              <w:rPr>
                <w:rFonts w:ascii="Arial" w:eastAsia="Arial" w:hAnsi="Arial" w:cs="Arial"/>
                <w:color w:val="000000"/>
                <w:sz w:val="16"/>
                <w:szCs w:val="20"/>
              </w:rPr>
              <w:t>estimate</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751384F4" w14:textId="77777777" w:rsidR="003F0EEA" w:rsidRPr="001134D8" w:rsidRDefault="00FB7D0B">
            <w:pPr>
              <w:jc w:val="right"/>
              <w:rPr>
                <w:rFonts w:ascii="Arial" w:eastAsia="Arial" w:hAnsi="Arial" w:cs="Arial"/>
                <w:color w:val="000000"/>
                <w:sz w:val="16"/>
                <w:szCs w:val="20"/>
              </w:rPr>
            </w:pPr>
            <w:r w:rsidRPr="001134D8">
              <w:rPr>
                <w:rFonts w:ascii="Arial" w:eastAsia="Arial" w:hAnsi="Arial" w:cs="Arial"/>
                <w:color w:val="000000"/>
                <w:sz w:val="16"/>
                <w:szCs w:val="20"/>
              </w:rPr>
              <w:t>estimate</w:t>
            </w:r>
          </w:p>
        </w:tc>
      </w:tr>
      <w:tr w:rsidR="00724034" w14:paraId="41C84478" w14:textId="77777777">
        <w:trPr>
          <w:trHeight w:val="225"/>
        </w:trPr>
        <w:tc>
          <w:tcPr>
            <w:tcW w:w="180" w:type="dxa"/>
            <w:tcBorders>
              <w:top w:val="nil"/>
              <w:left w:val="nil"/>
              <w:bottom w:val="nil"/>
              <w:right w:val="nil"/>
              <w:tl2br w:val="nil"/>
              <w:tr2bl w:val="nil"/>
            </w:tcBorders>
            <w:shd w:val="clear" w:color="auto" w:fill="FFFFFF"/>
            <w:tcMar>
              <w:left w:w="101" w:type="dxa"/>
              <w:right w:w="101" w:type="dxa"/>
            </w:tcMar>
            <w:vAlign w:val="bottom"/>
          </w:tcPr>
          <w:p w14:paraId="29019C75" w14:textId="77777777" w:rsidR="003F0EEA" w:rsidRPr="001134D8" w:rsidRDefault="003F0EEA">
            <w:pPr>
              <w:rPr>
                <w:rFonts w:ascii="Arial" w:eastAsia="Arial" w:hAnsi="Arial" w:cs="Arial"/>
                <w:color w:val="000000"/>
                <w:sz w:val="16"/>
                <w:szCs w:val="20"/>
              </w:rPr>
            </w:pPr>
          </w:p>
        </w:tc>
        <w:tc>
          <w:tcPr>
            <w:tcW w:w="180" w:type="dxa"/>
            <w:tcBorders>
              <w:top w:val="nil"/>
              <w:left w:val="nil"/>
              <w:bottom w:val="nil"/>
              <w:right w:val="nil"/>
              <w:tl2br w:val="nil"/>
              <w:tr2bl w:val="nil"/>
            </w:tcBorders>
            <w:shd w:val="clear" w:color="auto" w:fill="FFFFFF"/>
            <w:tcMar>
              <w:left w:w="101" w:type="dxa"/>
              <w:right w:w="101" w:type="dxa"/>
            </w:tcMar>
            <w:vAlign w:val="bottom"/>
          </w:tcPr>
          <w:p w14:paraId="3DDC03C7" w14:textId="77777777" w:rsidR="003F0EEA" w:rsidRPr="001134D8" w:rsidRDefault="003F0EEA">
            <w:pPr>
              <w:rPr>
                <w:rFonts w:ascii="Arial" w:eastAsia="Arial" w:hAnsi="Arial" w:cs="Arial"/>
                <w:color w:val="000000"/>
                <w:sz w:val="16"/>
                <w:szCs w:val="20"/>
              </w:rPr>
            </w:pPr>
          </w:p>
        </w:tc>
        <w:tc>
          <w:tcPr>
            <w:tcW w:w="2700" w:type="dxa"/>
            <w:tcBorders>
              <w:top w:val="nil"/>
              <w:left w:val="nil"/>
              <w:bottom w:val="nil"/>
              <w:right w:val="nil"/>
              <w:tl2br w:val="nil"/>
              <w:tr2bl w:val="nil"/>
            </w:tcBorders>
            <w:shd w:val="clear" w:color="auto" w:fill="FFFFFF"/>
            <w:tcMar>
              <w:left w:w="101" w:type="dxa"/>
              <w:right w:w="101" w:type="dxa"/>
            </w:tcMar>
            <w:vAlign w:val="bottom"/>
          </w:tcPr>
          <w:p w14:paraId="3C89C9E0" w14:textId="77777777" w:rsidR="003F0EEA" w:rsidRPr="001134D8" w:rsidRDefault="003F0EEA">
            <w:pPr>
              <w:rPr>
                <w:rFonts w:ascii="Arial" w:eastAsia="Arial" w:hAnsi="Arial" w:cs="Arial"/>
                <w:color w:val="000000"/>
                <w:sz w:val="16"/>
                <w:szCs w:val="20"/>
              </w:rPr>
            </w:pP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0D127563" w14:textId="77777777" w:rsidR="003F0EEA" w:rsidRPr="001134D8" w:rsidRDefault="00FB7D0B">
            <w:pPr>
              <w:jc w:val="right"/>
              <w:rPr>
                <w:rFonts w:ascii="Arial" w:eastAsia="Arial" w:hAnsi="Arial" w:cs="Arial"/>
                <w:color w:val="000000"/>
                <w:sz w:val="16"/>
                <w:szCs w:val="20"/>
              </w:rPr>
            </w:pPr>
            <w:r w:rsidRPr="001134D8">
              <w:rPr>
                <w:rFonts w:ascii="Arial" w:eastAsia="Arial" w:hAnsi="Arial" w:cs="Arial"/>
                <w:color w:val="000000"/>
                <w:sz w:val="16"/>
                <w:szCs w:val="20"/>
              </w:rPr>
              <w:t>2013-14</w:t>
            </w:r>
          </w:p>
        </w:tc>
        <w:tc>
          <w:tcPr>
            <w:tcW w:w="915" w:type="dxa"/>
            <w:tcBorders>
              <w:top w:val="nil"/>
              <w:left w:val="nil"/>
              <w:bottom w:val="nil"/>
              <w:right w:val="nil"/>
              <w:tl2br w:val="nil"/>
              <w:tr2bl w:val="nil"/>
            </w:tcBorders>
            <w:shd w:val="clear" w:color="auto" w:fill="FFFF00"/>
            <w:tcMar>
              <w:left w:w="101" w:type="dxa"/>
              <w:right w:w="101" w:type="dxa"/>
            </w:tcMar>
            <w:vAlign w:val="bottom"/>
          </w:tcPr>
          <w:p w14:paraId="182E16BB" w14:textId="77777777" w:rsidR="003F0EEA" w:rsidRPr="001134D8" w:rsidRDefault="00FB7D0B">
            <w:pPr>
              <w:jc w:val="right"/>
              <w:rPr>
                <w:rFonts w:ascii="Arial" w:eastAsia="Arial" w:hAnsi="Arial" w:cs="Arial"/>
                <w:color w:val="000000"/>
                <w:sz w:val="16"/>
                <w:szCs w:val="20"/>
              </w:rPr>
            </w:pPr>
            <w:r w:rsidRPr="001134D8">
              <w:rPr>
                <w:rFonts w:ascii="Arial" w:eastAsia="Arial" w:hAnsi="Arial" w:cs="Arial"/>
                <w:color w:val="000000"/>
                <w:sz w:val="16"/>
                <w:szCs w:val="20"/>
              </w:rPr>
              <w:t>2014-15</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3B2ACD84" w14:textId="77777777" w:rsidR="003F0EEA" w:rsidRPr="001134D8" w:rsidRDefault="00FB7D0B">
            <w:pPr>
              <w:jc w:val="right"/>
              <w:rPr>
                <w:rFonts w:ascii="Arial" w:eastAsia="Arial" w:hAnsi="Arial" w:cs="Arial"/>
                <w:color w:val="000000"/>
                <w:sz w:val="16"/>
                <w:szCs w:val="20"/>
              </w:rPr>
            </w:pPr>
            <w:r w:rsidRPr="001134D8">
              <w:rPr>
                <w:rFonts w:ascii="Arial" w:eastAsia="Arial" w:hAnsi="Arial" w:cs="Arial"/>
                <w:color w:val="000000"/>
                <w:sz w:val="16"/>
                <w:szCs w:val="20"/>
              </w:rPr>
              <w:t>2015-16</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741B02AA" w14:textId="77777777" w:rsidR="003F0EEA" w:rsidRPr="001134D8" w:rsidRDefault="00FB7D0B">
            <w:pPr>
              <w:jc w:val="right"/>
              <w:rPr>
                <w:rFonts w:ascii="Arial" w:eastAsia="Arial" w:hAnsi="Arial" w:cs="Arial"/>
                <w:color w:val="000000"/>
                <w:sz w:val="16"/>
                <w:szCs w:val="20"/>
              </w:rPr>
            </w:pPr>
            <w:r w:rsidRPr="001134D8">
              <w:rPr>
                <w:rFonts w:ascii="Arial" w:eastAsia="Arial" w:hAnsi="Arial" w:cs="Arial"/>
                <w:color w:val="000000"/>
                <w:sz w:val="16"/>
                <w:szCs w:val="20"/>
              </w:rPr>
              <w:t>2016-17</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4B42190F" w14:textId="77777777" w:rsidR="003F0EEA" w:rsidRPr="001134D8" w:rsidRDefault="00FB7D0B">
            <w:pPr>
              <w:jc w:val="right"/>
              <w:rPr>
                <w:rFonts w:ascii="Arial" w:eastAsia="Arial" w:hAnsi="Arial" w:cs="Arial"/>
                <w:color w:val="000000"/>
                <w:sz w:val="16"/>
                <w:szCs w:val="20"/>
              </w:rPr>
            </w:pPr>
            <w:r w:rsidRPr="001134D8">
              <w:rPr>
                <w:rFonts w:ascii="Arial" w:eastAsia="Arial" w:hAnsi="Arial" w:cs="Arial"/>
                <w:color w:val="000000"/>
                <w:sz w:val="16"/>
                <w:szCs w:val="20"/>
              </w:rPr>
              <w:t>2017-18</w:t>
            </w:r>
          </w:p>
        </w:tc>
      </w:tr>
      <w:tr w:rsidR="00724034" w14:paraId="53CC22E6" w14:textId="77777777">
        <w:trPr>
          <w:trHeight w:val="225"/>
        </w:trPr>
        <w:tc>
          <w:tcPr>
            <w:tcW w:w="180" w:type="dxa"/>
            <w:tcBorders>
              <w:top w:val="nil"/>
              <w:left w:val="nil"/>
              <w:bottom w:val="nil"/>
              <w:right w:val="nil"/>
              <w:tl2br w:val="nil"/>
              <w:tr2bl w:val="nil"/>
            </w:tcBorders>
            <w:shd w:val="clear" w:color="auto" w:fill="FFFFFF"/>
            <w:tcMar>
              <w:left w:w="101" w:type="dxa"/>
              <w:right w:w="101" w:type="dxa"/>
            </w:tcMar>
            <w:vAlign w:val="bottom"/>
          </w:tcPr>
          <w:p w14:paraId="3AF77846" w14:textId="77777777" w:rsidR="003F0EEA" w:rsidRPr="001134D8" w:rsidRDefault="003F0EEA">
            <w:pPr>
              <w:rPr>
                <w:rFonts w:ascii="Arial" w:eastAsia="Arial" w:hAnsi="Arial" w:cs="Arial"/>
                <w:color w:val="000000"/>
                <w:sz w:val="16"/>
                <w:szCs w:val="20"/>
              </w:rPr>
            </w:pPr>
          </w:p>
        </w:tc>
        <w:tc>
          <w:tcPr>
            <w:tcW w:w="180" w:type="dxa"/>
            <w:tcBorders>
              <w:top w:val="nil"/>
              <w:left w:val="nil"/>
              <w:bottom w:val="nil"/>
              <w:right w:val="nil"/>
              <w:tl2br w:val="nil"/>
              <w:tr2bl w:val="nil"/>
            </w:tcBorders>
            <w:shd w:val="clear" w:color="auto" w:fill="FFFFFF"/>
            <w:tcMar>
              <w:left w:w="101" w:type="dxa"/>
              <w:right w:w="101" w:type="dxa"/>
            </w:tcMar>
            <w:vAlign w:val="bottom"/>
          </w:tcPr>
          <w:p w14:paraId="42CDF69D" w14:textId="77777777" w:rsidR="003F0EEA" w:rsidRPr="001134D8" w:rsidRDefault="003F0EEA">
            <w:pPr>
              <w:rPr>
                <w:rFonts w:ascii="Arial" w:eastAsia="Arial" w:hAnsi="Arial" w:cs="Arial"/>
                <w:color w:val="000000"/>
                <w:sz w:val="16"/>
                <w:szCs w:val="20"/>
              </w:rPr>
            </w:pPr>
          </w:p>
        </w:tc>
        <w:tc>
          <w:tcPr>
            <w:tcW w:w="2700" w:type="dxa"/>
            <w:tcBorders>
              <w:top w:val="nil"/>
              <w:left w:val="nil"/>
              <w:bottom w:val="nil"/>
              <w:right w:val="nil"/>
              <w:tl2br w:val="nil"/>
              <w:tr2bl w:val="nil"/>
            </w:tcBorders>
            <w:shd w:val="clear" w:color="auto" w:fill="FFFFFF"/>
            <w:tcMar>
              <w:left w:w="101" w:type="dxa"/>
              <w:right w:w="101" w:type="dxa"/>
            </w:tcMar>
            <w:vAlign w:val="bottom"/>
          </w:tcPr>
          <w:p w14:paraId="727AAF10" w14:textId="77777777" w:rsidR="003F0EEA" w:rsidRPr="001134D8" w:rsidRDefault="003F0EEA">
            <w:pPr>
              <w:rPr>
                <w:rFonts w:ascii="Arial" w:eastAsia="Arial" w:hAnsi="Arial" w:cs="Arial"/>
                <w:color w:val="000000"/>
                <w:sz w:val="16"/>
                <w:szCs w:val="20"/>
              </w:rPr>
            </w:pPr>
          </w:p>
        </w:tc>
        <w:tc>
          <w:tcPr>
            <w:tcW w:w="915"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679AE455" w14:textId="77777777" w:rsidR="003F0EEA" w:rsidRPr="001134D8" w:rsidRDefault="00FB7D0B">
            <w:pPr>
              <w:jc w:val="right"/>
              <w:rPr>
                <w:rFonts w:ascii="Arial" w:eastAsia="Arial" w:hAnsi="Arial" w:cs="Arial"/>
                <w:color w:val="000000"/>
                <w:sz w:val="16"/>
                <w:szCs w:val="20"/>
              </w:rPr>
            </w:pPr>
            <w:r w:rsidRPr="001134D8">
              <w:rPr>
                <w:rFonts w:ascii="Arial" w:eastAsia="Arial" w:hAnsi="Arial" w:cs="Arial"/>
                <w:color w:val="000000"/>
                <w:sz w:val="16"/>
                <w:szCs w:val="20"/>
              </w:rPr>
              <w:t>$'000</w:t>
            </w:r>
          </w:p>
        </w:tc>
        <w:tc>
          <w:tcPr>
            <w:tcW w:w="915" w:type="dxa"/>
            <w:tcBorders>
              <w:top w:val="nil"/>
              <w:left w:val="nil"/>
              <w:bottom w:val="single" w:sz="6" w:space="0" w:color="000000"/>
              <w:right w:val="nil"/>
              <w:tl2br w:val="nil"/>
              <w:tr2bl w:val="nil"/>
            </w:tcBorders>
            <w:shd w:val="clear" w:color="auto" w:fill="FFFF00"/>
            <w:tcMar>
              <w:left w:w="101" w:type="dxa"/>
              <w:right w:w="101" w:type="dxa"/>
            </w:tcMar>
            <w:vAlign w:val="bottom"/>
          </w:tcPr>
          <w:p w14:paraId="3C3683E5" w14:textId="77777777" w:rsidR="003F0EEA" w:rsidRPr="001134D8" w:rsidRDefault="00FB7D0B">
            <w:pPr>
              <w:jc w:val="right"/>
              <w:rPr>
                <w:rFonts w:ascii="Arial" w:eastAsia="Arial" w:hAnsi="Arial" w:cs="Arial"/>
                <w:color w:val="000000"/>
                <w:sz w:val="16"/>
                <w:szCs w:val="20"/>
              </w:rPr>
            </w:pPr>
            <w:r w:rsidRPr="001134D8">
              <w:rPr>
                <w:rFonts w:ascii="Arial" w:eastAsia="Arial" w:hAnsi="Arial" w:cs="Arial"/>
                <w:color w:val="000000"/>
                <w:sz w:val="16"/>
                <w:szCs w:val="20"/>
              </w:rPr>
              <w:t>$'000</w:t>
            </w:r>
          </w:p>
        </w:tc>
        <w:tc>
          <w:tcPr>
            <w:tcW w:w="915"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126EBB11" w14:textId="77777777" w:rsidR="003F0EEA" w:rsidRPr="001134D8" w:rsidRDefault="00FB7D0B">
            <w:pPr>
              <w:jc w:val="right"/>
              <w:rPr>
                <w:rFonts w:ascii="Arial" w:eastAsia="Arial" w:hAnsi="Arial" w:cs="Arial"/>
                <w:color w:val="000000"/>
                <w:sz w:val="16"/>
                <w:szCs w:val="20"/>
              </w:rPr>
            </w:pPr>
            <w:r w:rsidRPr="001134D8">
              <w:rPr>
                <w:rFonts w:ascii="Arial" w:eastAsia="Arial" w:hAnsi="Arial" w:cs="Arial"/>
                <w:color w:val="000000"/>
                <w:sz w:val="16"/>
                <w:szCs w:val="20"/>
              </w:rPr>
              <w:t>$'000</w:t>
            </w:r>
          </w:p>
        </w:tc>
        <w:tc>
          <w:tcPr>
            <w:tcW w:w="915"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3D0B2A9B" w14:textId="77777777" w:rsidR="003F0EEA" w:rsidRPr="001134D8" w:rsidRDefault="00FB7D0B">
            <w:pPr>
              <w:jc w:val="right"/>
              <w:rPr>
                <w:rFonts w:ascii="Arial" w:eastAsia="Arial" w:hAnsi="Arial" w:cs="Arial"/>
                <w:color w:val="000000"/>
                <w:sz w:val="16"/>
                <w:szCs w:val="20"/>
              </w:rPr>
            </w:pPr>
            <w:r w:rsidRPr="001134D8">
              <w:rPr>
                <w:rFonts w:ascii="Arial" w:eastAsia="Arial" w:hAnsi="Arial" w:cs="Arial"/>
                <w:color w:val="000000"/>
                <w:sz w:val="16"/>
                <w:szCs w:val="20"/>
              </w:rPr>
              <w:t>$'000</w:t>
            </w:r>
          </w:p>
        </w:tc>
        <w:tc>
          <w:tcPr>
            <w:tcW w:w="915"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706E5552" w14:textId="77777777" w:rsidR="003F0EEA" w:rsidRPr="001134D8" w:rsidRDefault="00FB7D0B">
            <w:pPr>
              <w:jc w:val="right"/>
              <w:rPr>
                <w:rFonts w:ascii="Arial" w:eastAsia="Arial" w:hAnsi="Arial" w:cs="Arial"/>
                <w:color w:val="000000"/>
                <w:sz w:val="16"/>
                <w:szCs w:val="20"/>
              </w:rPr>
            </w:pPr>
            <w:r w:rsidRPr="001134D8">
              <w:rPr>
                <w:rFonts w:ascii="Arial" w:eastAsia="Arial" w:hAnsi="Arial" w:cs="Arial"/>
                <w:color w:val="000000"/>
                <w:sz w:val="16"/>
                <w:szCs w:val="20"/>
              </w:rPr>
              <w:t>$'000</w:t>
            </w:r>
          </w:p>
        </w:tc>
      </w:tr>
      <w:tr w:rsidR="00FB7D0B" w14:paraId="386BE2B4" w14:textId="77777777" w:rsidTr="00FB7D0B">
        <w:trPr>
          <w:trHeight w:val="225"/>
        </w:trPr>
        <w:tc>
          <w:tcPr>
            <w:tcW w:w="3060" w:type="dxa"/>
            <w:gridSpan w:val="3"/>
            <w:tcBorders>
              <w:top w:val="nil"/>
              <w:left w:val="nil"/>
              <w:bottom w:val="nil"/>
              <w:right w:val="nil"/>
              <w:tl2br w:val="nil"/>
              <w:tr2bl w:val="nil"/>
            </w:tcBorders>
            <w:shd w:val="clear" w:color="auto" w:fill="FFFFFF"/>
            <w:tcMar>
              <w:left w:w="101" w:type="dxa"/>
              <w:right w:w="101" w:type="dxa"/>
            </w:tcMar>
            <w:vAlign w:val="bottom"/>
          </w:tcPr>
          <w:p w14:paraId="5963B1FC" w14:textId="77777777" w:rsidR="003F0EEA" w:rsidRPr="001134D8" w:rsidRDefault="00FB7D0B">
            <w:pPr>
              <w:rPr>
                <w:rFonts w:ascii="Arial" w:eastAsia="Arial" w:hAnsi="Arial" w:cs="Arial"/>
                <w:color w:val="000000"/>
                <w:sz w:val="16"/>
                <w:szCs w:val="20"/>
              </w:rPr>
            </w:pPr>
            <w:r w:rsidRPr="001134D8">
              <w:rPr>
                <w:rFonts w:ascii="Arial" w:eastAsia="Arial" w:hAnsi="Arial" w:cs="Arial"/>
                <w:b/>
                <w:color w:val="000000"/>
                <w:sz w:val="16"/>
                <w:szCs w:val="20"/>
              </w:rPr>
              <w:t>OPERATING ACTIVITIES</w:t>
            </w:r>
          </w:p>
        </w:tc>
        <w:tc>
          <w:tcPr>
            <w:tcW w:w="91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60B007FB" w14:textId="77777777" w:rsidR="003F0EEA" w:rsidRPr="001134D8" w:rsidRDefault="003F0EEA">
            <w:pPr>
              <w:rPr>
                <w:rFonts w:ascii="Arial" w:eastAsia="Arial" w:hAnsi="Arial" w:cs="Arial"/>
                <w:b/>
                <w:color w:val="000000"/>
                <w:sz w:val="16"/>
                <w:szCs w:val="20"/>
              </w:rPr>
            </w:pPr>
          </w:p>
        </w:tc>
        <w:tc>
          <w:tcPr>
            <w:tcW w:w="915" w:type="dxa"/>
            <w:tcBorders>
              <w:top w:val="single" w:sz="6" w:space="0" w:color="000000"/>
              <w:left w:val="nil"/>
              <w:bottom w:val="nil"/>
              <w:right w:val="nil"/>
              <w:tl2br w:val="nil"/>
              <w:tr2bl w:val="nil"/>
            </w:tcBorders>
            <w:shd w:val="clear" w:color="auto" w:fill="FFFF00"/>
            <w:tcMar>
              <w:left w:w="101" w:type="dxa"/>
              <w:right w:w="101" w:type="dxa"/>
            </w:tcMar>
            <w:vAlign w:val="bottom"/>
          </w:tcPr>
          <w:p w14:paraId="5C2F168D" w14:textId="77777777" w:rsidR="003F0EEA" w:rsidRPr="001134D8" w:rsidRDefault="003F0EEA">
            <w:pPr>
              <w:rPr>
                <w:rFonts w:ascii="Arial" w:eastAsia="Arial" w:hAnsi="Arial" w:cs="Arial"/>
                <w:color w:val="000000"/>
                <w:sz w:val="16"/>
                <w:szCs w:val="20"/>
              </w:rPr>
            </w:pPr>
          </w:p>
        </w:tc>
        <w:tc>
          <w:tcPr>
            <w:tcW w:w="91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15810E6B" w14:textId="77777777" w:rsidR="003F0EEA" w:rsidRPr="001134D8" w:rsidRDefault="003F0EEA">
            <w:pPr>
              <w:rPr>
                <w:rFonts w:ascii="Arial" w:eastAsia="Arial" w:hAnsi="Arial" w:cs="Arial"/>
                <w:color w:val="000000"/>
                <w:sz w:val="16"/>
                <w:szCs w:val="20"/>
              </w:rPr>
            </w:pPr>
          </w:p>
        </w:tc>
        <w:tc>
          <w:tcPr>
            <w:tcW w:w="91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1312E7A1" w14:textId="77777777" w:rsidR="003F0EEA" w:rsidRPr="001134D8" w:rsidRDefault="003F0EEA">
            <w:pPr>
              <w:rPr>
                <w:rFonts w:ascii="Arial" w:eastAsia="Arial" w:hAnsi="Arial" w:cs="Arial"/>
                <w:color w:val="000000"/>
                <w:sz w:val="16"/>
                <w:szCs w:val="20"/>
              </w:rPr>
            </w:pPr>
          </w:p>
        </w:tc>
        <w:tc>
          <w:tcPr>
            <w:tcW w:w="91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574CCD46" w14:textId="77777777" w:rsidR="003F0EEA" w:rsidRPr="001134D8" w:rsidRDefault="003F0EEA">
            <w:pPr>
              <w:rPr>
                <w:rFonts w:ascii="Arial" w:eastAsia="Arial" w:hAnsi="Arial" w:cs="Arial"/>
                <w:color w:val="000000"/>
                <w:sz w:val="16"/>
                <w:szCs w:val="20"/>
              </w:rPr>
            </w:pPr>
          </w:p>
        </w:tc>
      </w:tr>
      <w:tr w:rsidR="00FB7D0B" w14:paraId="173659A2" w14:textId="77777777" w:rsidTr="00FB7D0B">
        <w:trPr>
          <w:trHeight w:val="225"/>
        </w:trPr>
        <w:tc>
          <w:tcPr>
            <w:tcW w:w="3060" w:type="dxa"/>
            <w:gridSpan w:val="3"/>
            <w:tcBorders>
              <w:top w:val="nil"/>
              <w:left w:val="nil"/>
              <w:bottom w:val="nil"/>
              <w:right w:val="nil"/>
              <w:tl2br w:val="nil"/>
              <w:tr2bl w:val="nil"/>
            </w:tcBorders>
            <w:shd w:val="clear" w:color="auto" w:fill="FFFFFF"/>
            <w:tcMar>
              <w:left w:w="101" w:type="dxa"/>
              <w:right w:w="101" w:type="dxa"/>
            </w:tcMar>
            <w:vAlign w:val="bottom"/>
          </w:tcPr>
          <w:p w14:paraId="1DE4D8ED" w14:textId="77777777" w:rsidR="003F0EEA" w:rsidRPr="001134D8" w:rsidRDefault="00FB7D0B">
            <w:pPr>
              <w:rPr>
                <w:rFonts w:ascii="Arial" w:eastAsia="Arial" w:hAnsi="Arial" w:cs="Arial"/>
                <w:color w:val="000000"/>
                <w:sz w:val="16"/>
                <w:szCs w:val="20"/>
              </w:rPr>
            </w:pPr>
            <w:r w:rsidRPr="001134D8">
              <w:rPr>
                <w:rFonts w:ascii="Arial" w:eastAsia="Arial" w:hAnsi="Arial" w:cs="Arial"/>
                <w:b/>
                <w:color w:val="000000"/>
                <w:sz w:val="16"/>
                <w:szCs w:val="20"/>
              </w:rPr>
              <w:t>Cash received</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6F62C526" w14:textId="77777777" w:rsidR="003F0EEA" w:rsidRPr="001134D8" w:rsidRDefault="003F0EEA">
            <w:pPr>
              <w:rPr>
                <w:rFonts w:ascii="Arial" w:eastAsia="Arial" w:hAnsi="Arial" w:cs="Arial"/>
                <w:b/>
                <w:color w:val="000000"/>
                <w:sz w:val="16"/>
                <w:szCs w:val="20"/>
              </w:rPr>
            </w:pPr>
          </w:p>
        </w:tc>
        <w:tc>
          <w:tcPr>
            <w:tcW w:w="915" w:type="dxa"/>
            <w:tcBorders>
              <w:top w:val="nil"/>
              <w:left w:val="nil"/>
              <w:bottom w:val="nil"/>
              <w:right w:val="nil"/>
              <w:tl2br w:val="nil"/>
              <w:tr2bl w:val="nil"/>
            </w:tcBorders>
            <w:shd w:val="clear" w:color="auto" w:fill="FFFF00"/>
            <w:tcMar>
              <w:left w:w="101" w:type="dxa"/>
              <w:right w:w="101" w:type="dxa"/>
            </w:tcMar>
            <w:vAlign w:val="bottom"/>
          </w:tcPr>
          <w:p w14:paraId="3B3246D4" w14:textId="77777777" w:rsidR="003F0EEA" w:rsidRPr="001134D8" w:rsidRDefault="003F0EEA">
            <w:pPr>
              <w:rPr>
                <w:rFonts w:ascii="Arial" w:eastAsia="Arial" w:hAnsi="Arial" w:cs="Arial"/>
                <w:color w:val="000000"/>
                <w:sz w:val="16"/>
                <w:szCs w:val="20"/>
              </w:rPr>
            </w:pP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12D40EF5" w14:textId="77777777" w:rsidR="003F0EEA" w:rsidRPr="001134D8" w:rsidRDefault="003F0EEA">
            <w:pPr>
              <w:rPr>
                <w:rFonts w:ascii="Arial" w:eastAsia="Arial" w:hAnsi="Arial" w:cs="Arial"/>
                <w:color w:val="000000"/>
                <w:sz w:val="16"/>
                <w:szCs w:val="20"/>
              </w:rPr>
            </w:pP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6C4E7B9B" w14:textId="77777777" w:rsidR="003F0EEA" w:rsidRPr="001134D8" w:rsidRDefault="003F0EEA">
            <w:pPr>
              <w:rPr>
                <w:rFonts w:ascii="Arial" w:eastAsia="Arial" w:hAnsi="Arial" w:cs="Arial"/>
                <w:color w:val="000000"/>
                <w:sz w:val="16"/>
                <w:szCs w:val="20"/>
              </w:rPr>
            </w:pP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19E8E8C4" w14:textId="77777777" w:rsidR="003F0EEA" w:rsidRPr="001134D8" w:rsidRDefault="003F0EEA">
            <w:pPr>
              <w:rPr>
                <w:rFonts w:ascii="Arial" w:eastAsia="Arial" w:hAnsi="Arial" w:cs="Arial"/>
                <w:color w:val="000000"/>
                <w:sz w:val="16"/>
                <w:szCs w:val="20"/>
              </w:rPr>
            </w:pPr>
          </w:p>
        </w:tc>
      </w:tr>
      <w:tr w:rsidR="00FB7D0B" w14:paraId="2A725AE4" w14:textId="77777777" w:rsidTr="00FB7D0B">
        <w:trPr>
          <w:trHeight w:val="225"/>
        </w:trPr>
        <w:tc>
          <w:tcPr>
            <w:tcW w:w="180" w:type="dxa"/>
            <w:tcBorders>
              <w:top w:val="nil"/>
              <w:left w:val="nil"/>
              <w:bottom w:val="nil"/>
              <w:right w:val="nil"/>
              <w:tl2br w:val="nil"/>
              <w:tr2bl w:val="nil"/>
            </w:tcBorders>
            <w:shd w:val="clear" w:color="auto" w:fill="FFFFFF"/>
            <w:tcMar>
              <w:left w:w="101" w:type="dxa"/>
              <w:right w:w="101" w:type="dxa"/>
            </w:tcMar>
            <w:vAlign w:val="bottom"/>
          </w:tcPr>
          <w:p w14:paraId="1B1958B2" w14:textId="77777777" w:rsidR="003F0EEA" w:rsidRPr="001134D8" w:rsidRDefault="003F0EEA">
            <w:pPr>
              <w:rPr>
                <w:rFonts w:ascii="Arial" w:eastAsia="Arial" w:hAnsi="Arial" w:cs="Arial"/>
                <w:color w:val="000000"/>
                <w:sz w:val="16"/>
                <w:szCs w:val="20"/>
              </w:rPr>
            </w:pPr>
          </w:p>
        </w:tc>
        <w:tc>
          <w:tcPr>
            <w:tcW w:w="2880" w:type="dxa"/>
            <w:gridSpan w:val="2"/>
            <w:vMerge w:val="restart"/>
            <w:tcBorders>
              <w:top w:val="nil"/>
              <w:left w:val="nil"/>
              <w:bottom w:val="nil"/>
              <w:right w:val="nil"/>
              <w:tl2br w:val="nil"/>
              <w:tr2bl w:val="nil"/>
            </w:tcBorders>
            <w:shd w:val="clear" w:color="auto" w:fill="FFFFFF"/>
            <w:tcMar>
              <w:left w:w="101" w:type="dxa"/>
              <w:right w:w="101" w:type="dxa"/>
            </w:tcMar>
            <w:vAlign w:val="bottom"/>
          </w:tcPr>
          <w:p w14:paraId="366C6B06" w14:textId="77777777" w:rsidR="003F0EEA" w:rsidRPr="001134D8" w:rsidRDefault="00FB7D0B">
            <w:pPr>
              <w:rPr>
                <w:rFonts w:ascii="Arial" w:eastAsia="Arial" w:hAnsi="Arial" w:cs="Arial"/>
                <w:color w:val="000000"/>
                <w:sz w:val="16"/>
                <w:szCs w:val="20"/>
              </w:rPr>
            </w:pPr>
            <w:r w:rsidRPr="001134D8">
              <w:rPr>
                <w:rFonts w:ascii="Arial" w:eastAsia="Arial" w:hAnsi="Arial" w:cs="Arial"/>
                <w:color w:val="000000"/>
                <w:sz w:val="16"/>
                <w:szCs w:val="20"/>
              </w:rPr>
              <w:t xml:space="preserve">Appropriations </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78528E28" w14:textId="77777777" w:rsidR="003F0EEA" w:rsidRPr="001134D8" w:rsidRDefault="00FB7D0B">
            <w:pPr>
              <w:jc w:val="right"/>
              <w:rPr>
                <w:rFonts w:ascii="Arial" w:eastAsia="Arial" w:hAnsi="Arial" w:cs="Arial"/>
                <w:color w:val="000000"/>
                <w:sz w:val="16"/>
                <w:szCs w:val="20"/>
              </w:rPr>
            </w:pPr>
            <w:r w:rsidRPr="001134D8">
              <w:rPr>
                <w:rFonts w:ascii="Arial" w:eastAsia="Arial" w:hAnsi="Arial" w:cs="Arial"/>
                <w:color w:val="000000"/>
                <w:sz w:val="16"/>
                <w:szCs w:val="20"/>
              </w:rPr>
              <w:t xml:space="preserve"> 120 </w:t>
            </w:r>
          </w:p>
        </w:tc>
        <w:tc>
          <w:tcPr>
            <w:tcW w:w="915" w:type="dxa"/>
            <w:tcBorders>
              <w:top w:val="nil"/>
              <w:left w:val="nil"/>
              <w:bottom w:val="nil"/>
              <w:right w:val="nil"/>
              <w:tl2br w:val="nil"/>
              <w:tr2bl w:val="nil"/>
            </w:tcBorders>
            <w:shd w:val="clear" w:color="auto" w:fill="FFFF00"/>
            <w:tcMar>
              <w:left w:w="101" w:type="dxa"/>
              <w:right w:w="101" w:type="dxa"/>
            </w:tcMar>
            <w:vAlign w:val="bottom"/>
          </w:tcPr>
          <w:p w14:paraId="12249197" w14:textId="77777777" w:rsidR="003F0EEA" w:rsidRPr="001134D8" w:rsidRDefault="00FB7D0B">
            <w:pPr>
              <w:jc w:val="right"/>
              <w:rPr>
                <w:rFonts w:ascii="Arial" w:eastAsia="Arial" w:hAnsi="Arial" w:cs="Arial"/>
                <w:color w:val="000000"/>
                <w:sz w:val="16"/>
                <w:szCs w:val="20"/>
              </w:rPr>
            </w:pPr>
            <w:r w:rsidRPr="001134D8">
              <w:rPr>
                <w:rFonts w:ascii="Arial" w:eastAsia="Arial" w:hAnsi="Arial" w:cs="Arial"/>
                <w:color w:val="000000"/>
                <w:sz w:val="16"/>
                <w:szCs w:val="20"/>
              </w:rPr>
              <w:t xml:space="preserve"> 320 </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1FF2077A" w14:textId="77777777" w:rsidR="003F0EEA" w:rsidRPr="001134D8" w:rsidRDefault="00FB7D0B">
            <w:pPr>
              <w:jc w:val="right"/>
              <w:rPr>
                <w:rFonts w:ascii="Arial" w:eastAsia="Arial" w:hAnsi="Arial" w:cs="Arial"/>
                <w:color w:val="000000"/>
                <w:sz w:val="16"/>
                <w:szCs w:val="20"/>
              </w:rPr>
            </w:pPr>
            <w:r w:rsidRPr="001134D8">
              <w:rPr>
                <w:rFonts w:ascii="Arial" w:eastAsia="Arial" w:hAnsi="Arial" w:cs="Arial"/>
                <w:color w:val="000000"/>
                <w:sz w:val="16"/>
                <w:szCs w:val="20"/>
              </w:rPr>
              <w:t xml:space="preserve"> 120 </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2315A0F3" w14:textId="77777777" w:rsidR="003F0EEA" w:rsidRPr="001134D8" w:rsidRDefault="00FB7D0B">
            <w:pPr>
              <w:jc w:val="right"/>
              <w:rPr>
                <w:rFonts w:ascii="Arial" w:eastAsia="Arial" w:hAnsi="Arial" w:cs="Arial"/>
                <w:color w:val="000000"/>
                <w:sz w:val="16"/>
                <w:szCs w:val="20"/>
              </w:rPr>
            </w:pPr>
            <w:r w:rsidRPr="001134D8">
              <w:rPr>
                <w:rFonts w:ascii="Arial" w:eastAsia="Arial" w:hAnsi="Arial" w:cs="Arial"/>
                <w:color w:val="000000"/>
                <w:sz w:val="16"/>
                <w:szCs w:val="20"/>
              </w:rPr>
              <w:t xml:space="preserve"> 120 </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0FCC44A6" w14:textId="77777777" w:rsidR="003F0EEA" w:rsidRPr="001134D8" w:rsidRDefault="00FB7D0B">
            <w:pPr>
              <w:jc w:val="right"/>
              <w:rPr>
                <w:rFonts w:ascii="Arial" w:eastAsia="Arial" w:hAnsi="Arial" w:cs="Arial"/>
                <w:color w:val="000000"/>
                <w:sz w:val="16"/>
                <w:szCs w:val="20"/>
              </w:rPr>
            </w:pPr>
            <w:r w:rsidRPr="001134D8">
              <w:rPr>
                <w:rFonts w:ascii="Arial" w:eastAsia="Arial" w:hAnsi="Arial" w:cs="Arial"/>
                <w:color w:val="000000"/>
                <w:sz w:val="16"/>
                <w:szCs w:val="20"/>
              </w:rPr>
              <w:t xml:space="preserve"> 120 </w:t>
            </w:r>
          </w:p>
        </w:tc>
      </w:tr>
      <w:tr w:rsidR="00FB7D0B" w14:paraId="222B16B4" w14:textId="77777777" w:rsidTr="00FB7D0B">
        <w:trPr>
          <w:trHeight w:val="225"/>
        </w:trPr>
        <w:tc>
          <w:tcPr>
            <w:tcW w:w="180" w:type="dxa"/>
            <w:tcBorders>
              <w:top w:val="nil"/>
              <w:left w:val="nil"/>
              <w:bottom w:val="nil"/>
              <w:right w:val="nil"/>
              <w:tl2br w:val="nil"/>
              <w:tr2bl w:val="nil"/>
            </w:tcBorders>
            <w:shd w:val="clear" w:color="auto" w:fill="FFFFFF"/>
            <w:tcMar>
              <w:left w:w="101" w:type="dxa"/>
              <w:right w:w="101" w:type="dxa"/>
            </w:tcMar>
            <w:vAlign w:val="bottom"/>
          </w:tcPr>
          <w:p w14:paraId="0015945B" w14:textId="77777777" w:rsidR="003F0EEA" w:rsidRPr="001134D8" w:rsidRDefault="003F0EEA">
            <w:pPr>
              <w:rPr>
                <w:rFonts w:ascii="Arial" w:eastAsia="Arial" w:hAnsi="Arial" w:cs="Arial"/>
                <w:color w:val="000000"/>
                <w:sz w:val="16"/>
                <w:szCs w:val="20"/>
              </w:rPr>
            </w:pPr>
          </w:p>
        </w:tc>
        <w:tc>
          <w:tcPr>
            <w:tcW w:w="2880" w:type="dxa"/>
            <w:gridSpan w:val="2"/>
            <w:vMerge w:val="restart"/>
            <w:tcBorders>
              <w:top w:val="nil"/>
              <w:left w:val="nil"/>
              <w:bottom w:val="nil"/>
              <w:right w:val="nil"/>
              <w:tl2br w:val="nil"/>
              <w:tr2bl w:val="nil"/>
            </w:tcBorders>
            <w:shd w:val="clear" w:color="auto" w:fill="FFFFFF"/>
            <w:tcMar>
              <w:left w:w="101" w:type="dxa"/>
              <w:right w:w="101" w:type="dxa"/>
            </w:tcMar>
            <w:vAlign w:val="bottom"/>
          </w:tcPr>
          <w:p w14:paraId="56E90B06" w14:textId="77777777" w:rsidR="003F0EEA" w:rsidRPr="001134D8" w:rsidRDefault="00FB7D0B">
            <w:pPr>
              <w:rPr>
                <w:rFonts w:ascii="Arial" w:eastAsia="Arial" w:hAnsi="Arial" w:cs="Arial"/>
                <w:color w:val="000000"/>
                <w:sz w:val="16"/>
                <w:szCs w:val="20"/>
              </w:rPr>
            </w:pPr>
            <w:r w:rsidRPr="001134D8">
              <w:rPr>
                <w:rFonts w:ascii="Arial" w:eastAsia="Arial" w:hAnsi="Arial" w:cs="Arial"/>
                <w:color w:val="000000"/>
                <w:sz w:val="16"/>
                <w:szCs w:val="20"/>
              </w:rPr>
              <w:t>Sales of goods and services</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4558C637" w14:textId="77777777" w:rsidR="003F0EEA" w:rsidRPr="001134D8" w:rsidRDefault="00FB7D0B">
            <w:pPr>
              <w:jc w:val="right"/>
              <w:rPr>
                <w:rFonts w:ascii="Arial" w:eastAsia="Arial" w:hAnsi="Arial" w:cs="Arial"/>
                <w:color w:val="000000"/>
                <w:sz w:val="16"/>
                <w:szCs w:val="20"/>
              </w:rPr>
            </w:pPr>
            <w:r w:rsidRPr="001134D8">
              <w:rPr>
                <w:rFonts w:ascii="Arial" w:eastAsia="Arial" w:hAnsi="Arial" w:cs="Arial"/>
                <w:color w:val="000000"/>
                <w:sz w:val="16"/>
                <w:szCs w:val="20"/>
              </w:rPr>
              <w:t xml:space="preserve"> 41,046 </w:t>
            </w:r>
          </w:p>
        </w:tc>
        <w:tc>
          <w:tcPr>
            <w:tcW w:w="915" w:type="dxa"/>
            <w:tcBorders>
              <w:top w:val="nil"/>
              <w:left w:val="nil"/>
              <w:bottom w:val="nil"/>
              <w:right w:val="nil"/>
              <w:tl2br w:val="nil"/>
              <w:tr2bl w:val="nil"/>
            </w:tcBorders>
            <w:shd w:val="clear" w:color="auto" w:fill="FFFF00"/>
            <w:tcMar>
              <w:left w:w="101" w:type="dxa"/>
              <w:right w:w="101" w:type="dxa"/>
            </w:tcMar>
            <w:vAlign w:val="bottom"/>
          </w:tcPr>
          <w:p w14:paraId="79B8F5B5" w14:textId="77777777" w:rsidR="003F0EEA" w:rsidRPr="001134D8" w:rsidRDefault="00FB7D0B">
            <w:pPr>
              <w:jc w:val="right"/>
              <w:rPr>
                <w:rFonts w:ascii="Arial" w:eastAsia="Arial" w:hAnsi="Arial" w:cs="Arial"/>
                <w:color w:val="000000"/>
                <w:sz w:val="16"/>
                <w:szCs w:val="20"/>
              </w:rPr>
            </w:pPr>
            <w:r w:rsidRPr="001134D8">
              <w:rPr>
                <w:rFonts w:ascii="Arial" w:eastAsia="Arial" w:hAnsi="Arial" w:cs="Arial"/>
                <w:color w:val="000000"/>
                <w:sz w:val="16"/>
                <w:szCs w:val="20"/>
              </w:rPr>
              <w:t xml:space="preserve"> 43,500 </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47B716C4" w14:textId="77777777" w:rsidR="003F0EEA" w:rsidRPr="001134D8" w:rsidRDefault="00FB7D0B">
            <w:pPr>
              <w:jc w:val="right"/>
              <w:rPr>
                <w:rFonts w:ascii="Arial" w:eastAsia="Arial" w:hAnsi="Arial" w:cs="Arial"/>
                <w:color w:val="000000"/>
                <w:sz w:val="16"/>
                <w:szCs w:val="20"/>
              </w:rPr>
            </w:pPr>
            <w:r w:rsidRPr="001134D8">
              <w:rPr>
                <w:rFonts w:ascii="Arial" w:eastAsia="Arial" w:hAnsi="Arial" w:cs="Arial"/>
                <w:color w:val="000000"/>
                <w:sz w:val="16"/>
                <w:szCs w:val="20"/>
              </w:rPr>
              <w:t xml:space="preserve"> 47,850 </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55F13A57" w14:textId="77777777" w:rsidR="003F0EEA" w:rsidRPr="001134D8" w:rsidRDefault="00FB7D0B">
            <w:pPr>
              <w:jc w:val="right"/>
              <w:rPr>
                <w:rFonts w:ascii="Arial" w:eastAsia="Arial" w:hAnsi="Arial" w:cs="Arial"/>
                <w:color w:val="000000"/>
                <w:sz w:val="16"/>
                <w:szCs w:val="20"/>
              </w:rPr>
            </w:pPr>
            <w:r w:rsidRPr="001134D8">
              <w:rPr>
                <w:rFonts w:ascii="Arial" w:eastAsia="Arial" w:hAnsi="Arial" w:cs="Arial"/>
                <w:color w:val="000000"/>
                <w:sz w:val="16"/>
                <w:szCs w:val="20"/>
              </w:rPr>
              <w:t xml:space="preserve"> 52,635 </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2257ECFB" w14:textId="77777777" w:rsidR="003F0EEA" w:rsidRPr="001134D8" w:rsidRDefault="00FB7D0B">
            <w:pPr>
              <w:jc w:val="right"/>
              <w:rPr>
                <w:rFonts w:ascii="Arial" w:eastAsia="Arial" w:hAnsi="Arial" w:cs="Arial"/>
                <w:color w:val="000000"/>
                <w:sz w:val="16"/>
                <w:szCs w:val="20"/>
              </w:rPr>
            </w:pPr>
            <w:r w:rsidRPr="001134D8">
              <w:rPr>
                <w:rFonts w:ascii="Arial" w:eastAsia="Arial" w:hAnsi="Arial" w:cs="Arial"/>
                <w:color w:val="000000"/>
                <w:sz w:val="16"/>
                <w:szCs w:val="20"/>
              </w:rPr>
              <w:t xml:space="preserve"> 57,899 </w:t>
            </w:r>
          </w:p>
        </w:tc>
      </w:tr>
      <w:tr w:rsidR="00FB7D0B" w14:paraId="5C2D9B9E" w14:textId="77777777" w:rsidTr="00FB7D0B">
        <w:trPr>
          <w:trHeight w:val="225"/>
        </w:trPr>
        <w:tc>
          <w:tcPr>
            <w:tcW w:w="180" w:type="dxa"/>
            <w:tcBorders>
              <w:top w:val="nil"/>
              <w:left w:val="nil"/>
              <w:bottom w:val="nil"/>
              <w:right w:val="nil"/>
              <w:tl2br w:val="nil"/>
              <w:tr2bl w:val="nil"/>
            </w:tcBorders>
            <w:shd w:val="clear" w:color="auto" w:fill="FFFFFF"/>
            <w:tcMar>
              <w:left w:w="101" w:type="dxa"/>
              <w:right w:w="101" w:type="dxa"/>
            </w:tcMar>
            <w:vAlign w:val="bottom"/>
          </w:tcPr>
          <w:p w14:paraId="6A12AFBC" w14:textId="77777777" w:rsidR="003F0EEA" w:rsidRPr="001134D8" w:rsidRDefault="003F0EEA">
            <w:pPr>
              <w:rPr>
                <w:rFonts w:ascii="Arial" w:eastAsia="Arial" w:hAnsi="Arial" w:cs="Arial"/>
                <w:color w:val="000000"/>
                <w:sz w:val="16"/>
                <w:szCs w:val="20"/>
              </w:rPr>
            </w:pPr>
          </w:p>
        </w:tc>
        <w:tc>
          <w:tcPr>
            <w:tcW w:w="2880" w:type="dxa"/>
            <w:gridSpan w:val="2"/>
            <w:tcBorders>
              <w:top w:val="nil"/>
              <w:left w:val="nil"/>
              <w:bottom w:val="nil"/>
              <w:right w:val="nil"/>
              <w:tl2br w:val="nil"/>
              <w:tr2bl w:val="nil"/>
            </w:tcBorders>
            <w:shd w:val="clear" w:color="auto" w:fill="FFFFFF"/>
            <w:tcMar>
              <w:left w:w="101" w:type="dxa"/>
              <w:right w:w="101" w:type="dxa"/>
            </w:tcMar>
            <w:vAlign w:val="bottom"/>
          </w:tcPr>
          <w:p w14:paraId="69ECAFE9" w14:textId="77777777" w:rsidR="003F0EEA" w:rsidRPr="001134D8" w:rsidRDefault="00FB7D0B">
            <w:pPr>
              <w:rPr>
                <w:rFonts w:ascii="Arial" w:eastAsia="Arial" w:hAnsi="Arial" w:cs="Arial"/>
                <w:color w:val="000000"/>
                <w:sz w:val="16"/>
                <w:szCs w:val="20"/>
              </w:rPr>
            </w:pPr>
            <w:r w:rsidRPr="001134D8">
              <w:rPr>
                <w:rFonts w:ascii="Arial" w:eastAsia="Arial" w:hAnsi="Arial" w:cs="Arial"/>
                <w:color w:val="000000"/>
                <w:sz w:val="16"/>
                <w:szCs w:val="20"/>
              </w:rPr>
              <w:t xml:space="preserve">Other </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38257E13" w14:textId="77777777" w:rsidR="003F0EEA" w:rsidRPr="001134D8" w:rsidRDefault="00FB7D0B">
            <w:pPr>
              <w:jc w:val="right"/>
              <w:rPr>
                <w:rFonts w:ascii="Arial" w:eastAsia="Arial" w:hAnsi="Arial" w:cs="Arial"/>
                <w:color w:val="000000"/>
                <w:sz w:val="16"/>
                <w:szCs w:val="20"/>
              </w:rPr>
            </w:pPr>
            <w:r w:rsidRPr="001134D8">
              <w:rPr>
                <w:rFonts w:ascii="Arial" w:eastAsia="Arial" w:hAnsi="Arial" w:cs="Arial"/>
                <w:color w:val="000000"/>
                <w:sz w:val="16"/>
                <w:szCs w:val="20"/>
              </w:rPr>
              <w:t xml:space="preserve"> 2,734 </w:t>
            </w:r>
          </w:p>
        </w:tc>
        <w:tc>
          <w:tcPr>
            <w:tcW w:w="915" w:type="dxa"/>
            <w:tcBorders>
              <w:top w:val="nil"/>
              <w:left w:val="nil"/>
              <w:bottom w:val="nil"/>
              <w:right w:val="nil"/>
              <w:tl2br w:val="nil"/>
              <w:tr2bl w:val="nil"/>
            </w:tcBorders>
            <w:shd w:val="clear" w:color="auto" w:fill="FFFF00"/>
            <w:tcMar>
              <w:left w:w="101" w:type="dxa"/>
              <w:right w:w="101" w:type="dxa"/>
            </w:tcMar>
            <w:vAlign w:val="bottom"/>
          </w:tcPr>
          <w:p w14:paraId="11625F1E" w14:textId="77777777" w:rsidR="003F0EEA" w:rsidRPr="001134D8" w:rsidRDefault="00FB7D0B">
            <w:pPr>
              <w:jc w:val="right"/>
              <w:rPr>
                <w:rFonts w:ascii="Arial" w:eastAsia="Arial" w:hAnsi="Arial" w:cs="Arial"/>
                <w:color w:val="000000"/>
                <w:sz w:val="16"/>
                <w:szCs w:val="20"/>
              </w:rPr>
            </w:pPr>
            <w:r w:rsidRPr="001134D8">
              <w:rPr>
                <w:rFonts w:ascii="Arial" w:eastAsia="Arial" w:hAnsi="Arial" w:cs="Arial"/>
                <w:color w:val="000000"/>
                <w:sz w:val="16"/>
                <w:szCs w:val="20"/>
              </w:rPr>
              <w:t xml:space="preserve"> 2,870 </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05E7CEEE" w14:textId="77777777" w:rsidR="003F0EEA" w:rsidRPr="001134D8" w:rsidRDefault="00FB7D0B">
            <w:pPr>
              <w:jc w:val="right"/>
              <w:rPr>
                <w:rFonts w:ascii="Arial" w:eastAsia="Arial" w:hAnsi="Arial" w:cs="Arial"/>
                <w:color w:val="000000"/>
                <w:sz w:val="16"/>
                <w:szCs w:val="20"/>
              </w:rPr>
            </w:pPr>
            <w:r w:rsidRPr="001134D8">
              <w:rPr>
                <w:rFonts w:ascii="Arial" w:eastAsia="Arial" w:hAnsi="Arial" w:cs="Arial"/>
                <w:color w:val="000000"/>
                <w:sz w:val="16"/>
                <w:szCs w:val="20"/>
              </w:rPr>
              <w:t xml:space="preserve"> 3,014 </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28FA2973" w14:textId="77777777" w:rsidR="003F0EEA" w:rsidRPr="001134D8" w:rsidRDefault="00FB7D0B">
            <w:pPr>
              <w:jc w:val="right"/>
              <w:rPr>
                <w:rFonts w:ascii="Arial" w:eastAsia="Arial" w:hAnsi="Arial" w:cs="Arial"/>
                <w:color w:val="000000"/>
                <w:sz w:val="16"/>
                <w:szCs w:val="20"/>
              </w:rPr>
            </w:pPr>
            <w:r w:rsidRPr="001134D8">
              <w:rPr>
                <w:rFonts w:ascii="Arial" w:eastAsia="Arial" w:hAnsi="Arial" w:cs="Arial"/>
                <w:color w:val="000000"/>
                <w:sz w:val="16"/>
                <w:szCs w:val="20"/>
              </w:rPr>
              <w:t xml:space="preserve"> 3,165 </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2014E1F8" w14:textId="77777777" w:rsidR="003F0EEA" w:rsidRPr="001134D8" w:rsidRDefault="00FB7D0B">
            <w:pPr>
              <w:jc w:val="right"/>
              <w:rPr>
                <w:rFonts w:ascii="Arial" w:eastAsia="Arial" w:hAnsi="Arial" w:cs="Arial"/>
                <w:color w:val="000000"/>
                <w:sz w:val="16"/>
                <w:szCs w:val="20"/>
              </w:rPr>
            </w:pPr>
            <w:r w:rsidRPr="001134D8">
              <w:rPr>
                <w:rFonts w:ascii="Arial" w:eastAsia="Arial" w:hAnsi="Arial" w:cs="Arial"/>
                <w:color w:val="000000"/>
                <w:sz w:val="16"/>
                <w:szCs w:val="20"/>
              </w:rPr>
              <w:t xml:space="preserve"> 3,323 </w:t>
            </w:r>
          </w:p>
        </w:tc>
      </w:tr>
      <w:tr w:rsidR="00FB7D0B" w14:paraId="423C5E4E" w14:textId="77777777" w:rsidTr="00FB7D0B">
        <w:trPr>
          <w:trHeight w:val="225"/>
        </w:trPr>
        <w:tc>
          <w:tcPr>
            <w:tcW w:w="3060" w:type="dxa"/>
            <w:gridSpan w:val="3"/>
            <w:tcBorders>
              <w:top w:val="nil"/>
              <w:left w:val="nil"/>
              <w:bottom w:val="nil"/>
              <w:right w:val="nil"/>
              <w:tl2br w:val="nil"/>
              <w:tr2bl w:val="nil"/>
            </w:tcBorders>
            <w:shd w:val="clear" w:color="auto" w:fill="FFFFFF"/>
            <w:tcMar>
              <w:left w:w="101" w:type="dxa"/>
              <w:right w:w="101" w:type="dxa"/>
            </w:tcMar>
            <w:vAlign w:val="bottom"/>
          </w:tcPr>
          <w:p w14:paraId="5CB7E2E6" w14:textId="77777777" w:rsidR="003F0EEA" w:rsidRPr="001134D8" w:rsidRDefault="00FB7D0B">
            <w:pPr>
              <w:rPr>
                <w:rFonts w:ascii="Arial" w:eastAsia="Arial" w:hAnsi="Arial" w:cs="Arial"/>
                <w:color w:val="000000"/>
                <w:sz w:val="16"/>
                <w:szCs w:val="20"/>
              </w:rPr>
            </w:pPr>
            <w:r w:rsidRPr="001134D8">
              <w:rPr>
                <w:rFonts w:ascii="Arial" w:eastAsia="Arial" w:hAnsi="Arial" w:cs="Arial"/>
                <w:b/>
                <w:i/>
                <w:color w:val="000000"/>
                <w:sz w:val="16"/>
                <w:szCs w:val="20"/>
              </w:rPr>
              <w:t>Total cash received</w:t>
            </w:r>
          </w:p>
        </w:tc>
        <w:tc>
          <w:tcPr>
            <w:tcW w:w="915"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15887DFB" w14:textId="77777777" w:rsidR="003F0EEA" w:rsidRPr="001134D8" w:rsidRDefault="00FB7D0B">
            <w:pPr>
              <w:jc w:val="right"/>
              <w:rPr>
                <w:rFonts w:ascii="Arial" w:eastAsia="Arial" w:hAnsi="Arial" w:cs="Arial"/>
                <w:b/>
                <w:i/>
                <w:color w:val="000000"/>
                <w:sz w:val="16"/>
                <w:szCs w:val="20"/>
              </w:rPr>
            </w:pPr>
            <w:r w:rsidRPr="001134D8">
              <w:rPr>
                <w:rFonts w:ascii="Arial" w:eastAsia="Arial" w:hAnsi="Arial" w:cs="Arial"/>
                <w:b/>
                <w:color w:val="000000"/>
                <w:sz w:val="16"/>
                <w:szCs w:val="20"/>
              </w:rPr>
              <w:t xml:space="preserve"> 43,900 </w:t>
            </w:r>
          </w:p>
        </w:tc>
        <w:tc>
          <w:tcPr>
            <w:tcW w:w="915" w:type="dxa"/>
            <w:tcBorders>
              <w:top w:val="single" w:sz="6" w:space="0" w:color="000000"/>
              <w:left w:val="nil"/>
              <w:bottom w:val="single" w:sz="6" w:space="0" w:color="000000"/>
              <w:right w:val="nil"/>
              <w:tl2br w:val="nil"/>
              <w:tr2bl w:val="nil"/>
            </w:tcBorders>
            <w:shd w:val="clear" w:color="auto" w:fill="FFFF00"/>
            <w:tcMar>
              <w:left w:w="101" w:type="dxa"/>
              <w:right w:w="101" w:type="dxa"/>
            </w:tcMar>
            <w:vAlign w:val="bottom"/>
          </w:tcPr>
          <w:p w14:paraId="3055B34B" w14:textId="77777777" w:rsidR="003F0EEA" w:rsidRPr="001134D8" w:rsidRDefault="00FB7D0B">
            <w:pPr>
              <w:jc w:val="right"/>
              <w:rPr>
                <w:rFonts w:ascii="Arial" w:eastAsia="Arial" w:hAnsi="Arial" w:cs="Arial"/>
                <w:b/>
                <w:color w:val="000000"/>
                <w:sz w:val="16"/>
                <w:szCs w:val="20"/>
              </w:rPr>
            </w:pPr>
            <w:r w:rsidRPr="001134D8">
              <w:rPr>
                <w:rFonts w:ascii="Arial" w:eastAsia="Arial" w:hAnsi="Arial" w:cs="Arial"/>
                <w:b/>
                <w:color w:val="000000"/>
                <w:sz w:val="16"/>
                <w:szCs w:val="20"/>
              </w:rPr>
              <w:t xml:space="preserve"> 46,690 </w:t>
            </w:r>
          </w:p>
        </w:tc>
        <w:tc>
          <w:tcPr>
            <w:tcW w:w="915"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62CC050F" w14:textId="77777777" w:rsidR="003F0EEA" w:rsidRPr="001134D8" w:rsidRDefault="00FB7D0B">
            <w:pPr>
              <w:jc w:val="right"/>
              <w:rPr>
                <w:rFonts w:ascii="Arial" w:eastAsia="Arial" w:hAnsi="Arial" w:cs="Arial"/>
                <w:b/>
                <w:color w:val="000000"/>
                <w:sz w:val="16"/>
                <w:szCs w:val="20"/>
              </w:rPr>
            </w:pPr>
            <w:r w:rsidRPr="001134D8">
              <w:rPr>
                <w:rFonts w:ascii="Arial" w:eastAsia="Arial" w:hAnsi="Arial" w:cs="Arial"/>
                <w:b/>
                <w:color w:val="000000"/>
                <w:sz w:val="16"/>
                <w:szCs w:val="20"/>
              </w:rPr>
              <w:t xml:space="preserve"> 50,984 </w:t>
            </w:r>
          </w:p>
        </w:tc>
        <w:tc>
          <w:tcPr>
            <w:tcW w:w="915"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47EAEEDC" w14:textId="77777777" w:rsidR="003F0EEA" w:rsidRPr="001134D8" w:rsidRDefault="00FB7D0B">
            <w:pPr>
              <w:jc w:val="right"/>
              <w:rPr>
                <w:rFonts w:ascii="Arial" w:eastAsia="Arial" w:hAnsi="Arial" w:cs="Arial"/>
                <w:b/>
                <w:color w:val="000000"/>
                <w:sz w:val="16"/>
                <w:szCs w:val="20"/>
              </w:rPr>
            </w:pPr>
            <w:r w:rsidRPr="001134D8">
              <w:rPr>
                <w:rFonts w:ascii="Arial" w:eastAsia="Arial" w:hAnsi="Arial" w:cs="Arial"/>
                <w:b/>
                <w:color w:val="000000"/>
                <w:sz w:val="16"/>
                <w:szCs w:val="20"/>
              </w:rPr>
              <w:t xml:space="preserve"> 55,920 </w:t>
            </w:r>
          </w:p>
        </w:tc>
        <w:tc>
          <w:tcPr>
            <w:tcW w:w="915"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1ADA42AB" w14:textId="77777777" w:rsidR="003F0EEA" w:rsidRPr="001134D8" w:rsidRDefault="00FB7D0B">
            <w:pPr>
              <w:jc w:val="right"/>
              <w:rPr>
                <w:rFonts w:ascii="Arial" w:eastAsia="Arial" w:hAnsi="Arial" w:cs="Arial"/>
                <w:b/>
                <w:color w:val="000000"/>
                <w:sz w:val="16"/>
                <w:szCs w:val="20"/>
              </w:rPr>
            </w:pPr>
            <w:r w:rsidRPr="001134D8">
              <w:rPr>
                <w:rFonts w:ascii="Arial" w:eastAsia="Arial" w:hAnsi="Arial" w:cs="Arial"/>
                <w:b/>
                <w:color w:val="000000"/>
                <w:sz w:val="16"/>
                <w:szCs w:val="20"/>
              </w:rPr>
              <w:t xml:space="preserve"> 61,342 </w:t>
            </w:r>
          </w:p>
        </w:tc>
      </w:tr>
      <w:tr w:rsidR="00724034" w14:paraId="296D2E67" w14:textId="77777777">
        <w:trPr>
          <w:trHeight w:hRule="exact" w:val="60"/>
        </w:trPr>
        <w:tc>
          <w:tcPr>
            <w:tcW w:w="180" w:type="dxa"/>
            <w:tcBorders>
              <w:top w:val="nil"/>
              <w:left w:val="nil"/>
              <w:bottom w:val="nil"/>
              <w:right w:val="nil"/>
              <w:tl2br w:val="nil"/>
              <w:tr2bl w:val="nil"/>
            </w:tcBorders>
            <w:shd w:val="clear" w:color="auto" w:fill="FFFFFF"/>
            <w:tcMar>
              <w:left w:w="101" w:type="dxa"/>
              <w:right w:w="101" w:type="dxa"/>
            </w:tcMar>
            <w:vAlign w:val="bottom"/>
          </w:tcPr>
          <w:p w14:paraId="20FABB6B" w14:textId="77777777" w:rsidR="003F0EEA" w:rsidRPr="001134D8" w:rsidRDefault="003F0EEA">
            <w:pPr>
              <w:rPr>
                <w:rFonts w:ascii="Arial" w:eastAsia="Arial" w:hAnsi="Arial" w:cs="Arial"/>
                <w:b/>
                <w:color w:val="000000"/>
                <w:sz w:val="16"/>
                <w:szCs w:val="20"/>
              </w:rPr>
            </w:pPr>
          </w:p>
        </w:tc>
        <w:tc>
          <w:tcPr>
            <w:tcW w:w="180" w:type="dxa"/>
            <w:tcBorders>
              <w:top w:val="nil"/>
              <w:left w:val="nil"/>
              <w:bottom w:val="nil"/>
              <w:right w:val="nil"/>
              <w:tl2br w:val="nil"/>
              <w:tr2bl w:val="nil"/>
            </w:tcBorders>
            <w:shd w:val="clear" w:color="auto" w:fill="FFFFFF"/>
            <w:tcMar>
              <w:left w:w="101" w:type="dxa"/>
              <w:right w:w="101" w:type="dxa"/>
            </w:tcMar>
            <w:vAlign w:val="bottom"/>
          </w:tcPr>
          <w:p w14:paraId="4DF4AC9F" w14:textId="77777777" w:rsidR="003F0EEA" w:rsidRPr="001134D8" w:rsidRDefault="003F0EEA">
            <w:pPr>
              <w:rPr>
                <w:rFonts w:ascii="Arial" w:eastAsia="Arial" w:hAnsi="Arial" w:cs="Arial"/>
                <w:color w:val="000000"/>
                <w:sz w:val="16"/>
                <w:szCs w:val="20"/>
              </w:rPr>
            </w:pPr>
          </w:p>
        </w:tc>
        <w:tc>
          <w:tcPr>
            <w:tcW w:w="2700" w:type="dxa"/>
            <w:tcBorders>
              <w:top w:val="nil"/>
              <w:left w:val="nil"/>
              <w:bottom w:val="nil"/>
              <w:right w:val="nil"/>
              <w:tl2br w:val="nil"/>
              <w:tr2bl w:val="nil"/>
            </w:tcBorders>
            <w:shd w:val="clear" w:color="auto" w:fill="FFFFFF"/>
            <w:tcMar>
              <w:left w:w="101" w:type="dxa"/>
              <w:right w:w="101" w:type="dxa"/>
            </w:tcMar>
            <w:vAlign w:val="bottom"/>
          </w:tcPr>
          <w:p w14:paraId="3E8F24CE" w14:textId="77777777" w:rsidR="003F0EEA" w:rsidRPr="001134D8" w:rsidRDefault="003F0EEA">
            <w:pPr>
              <w:rPr>
                <w:rFonts w:ascii="Arial" w:eastAsia="Arial" w:hAnsi="Arial" w:cs="Arial"/>
                <w:color w:val="000000"/>
                <w:sz w:val="16"/>
                <w:szCs w:val="20"/>
              </w:rPr>
            </w:pPr>
          </w:p>
        </w:tc>
        <w:tc>
          <w:tcPr>
            <w:tcW w:w="91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1483D2E6" w14:textId="77777777" w:rsidR="003F0EEA" w:rsidRPr="001134D8" w:rsidRDefault="003F0EEA">
            <w:pPr>
              <w:rPr>
                <w:rFonts w:ascii="Arial" w:eastAsia="Arial" w:hAnsi="Arial" w:cs="Arial"/>
                <w:b/>
                <w:i/>
                <w:color w:val="000000"/>
                <w:sz w:val="16"/>
                <w:szCs w:val="20"/>
              </w:rPr>
            </w:pPr>
          </w:p>
        </w:tc>
        <w:tc>
          <w:tcPr>
            <w:tcW w:w="915" w:type="dxa"/>
            <w:tcBorders>
              <w:top w:val="single" w:sz="6" w:space="0" w:color="000000"/>
              <w:left w:val="nil"/>
              <w:bottom w:val="nil"/>
              <w:right w:val="nil"/>
              <w:tl2br w:val="nil"/>
              <w:tr2bl w:val="nil"/>
            </w:tcBorders>
            <w:shd w:val="clear" w:color="auto" w:fill="FFFF00"/>
            <w:tcMar>
              <w:left w:w="101" w:type="dxa"/>
              <w:right w:w="101" w:type="dxa"/>
            </w:tcMar>
            <w:vAlign w:val="bottom"/>
          </w:tcPr>
          <w:p w14:paraId="203E6FCA" w14:textId="77777777" w:rsidR="003F0EEA" w:rsidRPr="001134D8" w:rsidRDefault="003F0EEA">
            <w:pPr>
              <w:rPr>
                <w:rFonts w:ascii="Arial" w:eastAsia="Arial" w:hAnsi="Arial" w:cs="Arial"/>
                <w:color w:val="000000"/>
                <w:sz w:val="16"/>
                <w:szCs w:val="20"/>
              </w:rPr>
            </w:pPr>
          </w:p>
        </w:tc>
        <w:tc>
          <w:tcPr>
            <w:tcW w:w="91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16534EA2" w14:textId="77777777" w:rsidR="003F0EEA" w:rsidRPr="001134D8" w:rsidRDefault="003F0EEA">
            <w:pPr>
              <w:rPr>
                <w:rFonts w:ascii="Arial" w:eastAsia="Arial" w:hAnsi="Arial" w:cs="Arial"/>
                <w:color w:val="000000"/>
                <w:sz w:val="16"/>
                <w:szCs w:val="20"/>
              </w:rPr>
            </w:pPr>
          </w:p>
        </w:tc>
        <w:tc>
          <w:tcPr>
            <w:tcW w:w="91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14FC63D0" w14:textId="77777777" w:rsidR="003F0EEA" w:rsidRPr="001134D8" w:rsidRDefault="003F0EEA">
            <w:pPr>
              <w:rPr>
                <w:rFonts w:ascii="Arial" w:eastAsia="Arial" w:hAnsi="Arial" w:cs="Arial"/>
                <w:color w:val="000000"/>
                <w:sz w:val="16"/>
                <w:szCs w:val="20"/>
              </w:rPr>
            </w:pPr>
          </w:p>
        </w:tc>
        <w:tc>
          <w:tcPr>
            <w:tcW w:w="91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318DD690" w14:textId="77777777" w:rsidR="003F0EEA" w:rsidRPr="001134D8" w:rsidRDefault="003F0EEA">
            <w:pPr>
              <w:rPr>
                <w:rFonts w:ascii="Arial" w:eastAsia="Arial" w:hAnsi="Arial" w:cs="Arial"/>
                <w:color w:val="000000"/>
                <w:sz w:val="16"/>
                <w:szCs w:val="20"/>
              </w:rPr>
            </w:pPr>
          </w:p>
        </w:tc>
      </w:tr>
      <w:tr w:rsidR="00FB7D0B" w14:paraId="0EDB194D" w14:textId="77777777" w:rsidTr="00FB7D0B">
        <w:trPr>
          <w:trHeight w:val="225"/>
        </w:trPr>
        <w:tc>
          <w:tcPr>
            <w:tcW w:w="3060" w:type="dxa"/>
            <w:gridSpan w:val="3"/>
            <w:tcBorders>
              <w:top w:val="nil"/>
              <w:left w:val="nil"/>
              <w:bottom w:val="nil"/>
              <w:right w:val="nil"/>
              <w:tl2br w:val="nil"/>
              <w:tr2bl w:val="nil"/>
            </w:tcBorders>
            <w:shd w:val="clear" w:color="auto" w:fill="FFFFFF"/>
            <w:tcMar>
              <w:left w:w="101" w:type="dxa"/>
              <w:right w:w="101" w:type="dxa"/>
            </w:tcMar>
            <w:vAlign w:val="bottom"/>
          </w:tcPr>
          <w:p w14:paraId="5C99E1F5" w14:textId="77777777" w:rsidR="003F0EEA" w:rsidRPr="001134D8" w:rsidRDefault="00FB7D0B">
            <w:pPr>
              <w:rPr>
                <w:rFonts w:ascii="Arial" w:eastAsia="Arial" w:hAnsi="Arial" w:cs="Arial"/>
                <w:color w:val="000000"/>
                <w:sz w:val="16"/>
                <w:szCs w:val="20"/>
              </w:rPr>
            </w:pPr>
            <w:r w:rsidRPr="001134D8">
              <w:rPr>
                <w:rFonts w:ascii="Arial" w:eastAsia="Arial" w:hAnsi="Arial" w:cs="Arial"/>
                <w:b/>
                <w:color w:val="000000"/>
                <w:sz w:val="16"/>
                <w:szCs w:val="20"/>
              </w:rPr>
              <w:t>Cash used</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167E6B38" w14:textId="77777777" w:rsidR="003F0EEA" w:rsidRPr="001134D8" w:rsidRDefault="003F0EEA">
            <w:pPr>
              <w:rPr>
                <w:rFonts w:ascii="Arial" w:eastAsia="Arial" w:hAnsi="Arial" w:cs="Arial"/>
                <w:b/>
                <w:color w:val="000000"/>
                <w:sz w:val="16"/>
                <w:szCs w:val="20"/>
              </w:rPr>
            </w:pPr>
          </w:p>
        </w:tc>
        <w:tc>
          <w:tcPr>
            <w:tcW w:w="915" w:type="dxa"/>
            <w:tcBorders>
              <w:top w:val="nil"/>
              <w:left w:val="nil"/>
              <w:bottom w:val="nil"/>
              <w:right w:val="nil"/>
              <w:tl2br w:val="nil"/>
              <w:tr2bl w:val="nil"/>
            </w:tcBorders>
            <w:shd w:val="clear" w:color="auto" w:fill="FFFF00"/>
            <w:tcMar>
              <w:left w:w="101" w:type="dxa"/>
              <w:right w:w="101" w:type="dxa"/>
            </w:tcMar>
            <w:vAlign w:val="bottom"/>
          </w:tcPr>
          <w:p w14:paraId="0AE3F673" w14:textId="77777777" w:rsidR="003F0EEA" w:rsidRPr="001134D8" w:rsidRDefault="003F0EEA">
            <w:pPr>
              <w:rPr>
                <w:rFonts w:ascii="Arial" w:eastAsia="Arial" w:hAnsi="Arial" w:cs="Arial"/>
                <w:color w:val="000000"/>
                <w:sz w:val="16"/>
                <w:szCs w:val="20"/>
              </w:rPr>
            </w:pP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6672489B" w14:textId="77777777" w:rsidR="003F0EEA" w:rsidRPr="001134D8" w:rsidRDefault="003F0EEA">
            <w:pPr>
              <w:rPr>
                <w:rFonts w:ascii="Arial" w:eastAsia="Arial" w:hAnsi="Arial" w:cs="Arial"/>
                <w:color w:val="000000"/>
                <w:sz w:val="16"/>
                <w:szCs w:val="20"/>
              </w:rPr>
            </w:pP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4958504E" w14:textId="77777777" w:rsidR="003F0EEA" w:rsidRPr="001134D8" w:rsidRDefault="003F0EEA">
            <w:pPr>
              <w:rPr>
                <w:rFonts w:ascii="Arial" w:eastAsia="Arial" w:hAnsi="Arial" w:cs="Arial"/>
                <w:color w:val="000000"/>
                <w:sz w:val="16"/>
                <w:szCs w:val="20"/>
              </w:rPr>
            </w:pP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5C0D8CB0" w14:textId="77777777" w:rsidR="003F0EEA" w:rsidRPr="001134D8" w:rsidRDefault="003F0EEA">
            <w:pPr>
              <w:rPr>
                <w:rFonts w:ascii="Arial" w:eastAsia="Arial" w:hAnsi="Arial" w:cs="Arial"/>
                <w:color w:val="000000"/>
                <w:sz w:val="16"/>
                <w:szCs w:val="20"/>
              </w:rPr>
            </w:pPr>
          </w:p>
        </w:tc>
      </w:tr>
      <w:tr w:rsidR="00FB7D0B" w14:paraId="44708F13" w14:textId="77777777" w:rsidTr="00FB7D0B">
        <w:trPr>
          <w:trHeight w:val="225"/>
        </w:trPr>
        <w:tc>
          <w:tcPr>
            <w:tcW w:w="180" w:type="dxa"/>
            <w:tcBorders>
              <w:top w:val="nil"/>
              <w:left w:val="nil"/>
              <w:bottom w:val="nil"/>
              <w:right w:val="nil"/>
              <w:tl2br w:val="nil"/>
              <w:tr2bl w:val="nil"/>
            </w:tcBorders>
            <w:shd w:val="clear" w:color="auto" w:fill="FFFFFF"/>
            <w:tcMar>
              <w:left w:w="101" w:type="dxa"/>
              <w:right w:w="101" w:type="dxa"/>
            </w:tcMar>
            <w:vAlign w:val="bottom"/>
          </w:tcPr>
          <w:p w14:paraId="06665EE4" w14:textId="77777777" w:rsidR="003F0EEA" w:rsidRPr="001134D8" w:rsidRDefault="003F0EEA">
            <w:pPr>
              <w:rPr>
                <w:rFonts w:ascii="Arial" w:eastAsia="Arial" w:hAnsi="Arial" w:cs="Arial"/>
                <w:color w:val="000000"/>
                <w:sz w:val="16"/>
                <w:szCs w:val="20"/>
              </w:rPr>
            </w:pPr>
          </w:p>
        </w:tc>
        <w:tc>
          <w:tcPr>
            <w:tcW w:w="2880" w:type="dxa"/>
            <w:gridSpan w:val="2"/>
            <w:vMerge w:val="restart"/>
            <w:tcBorders>
              <w:top w:val="nil"/>
              <w:left w:val="nil"/>
              <w:bottom w:val="nil"/>
              <w:right w:val="nil"/>
              <w:tl2br w:val="nil"/>
              <w:tr2bl w:val="nil"/>
            </w:tcBorders>
            <w:shd w:val="clear" w:color="auto" w:fill="FFFFFF"/>
            <w:tcMar>
              <w:left w:w="101" w:type="dxa"/>
              <w:right w:w="101" w:type="dxa"/>
            </w:tcMar>
            <w:vAlign w:val="bottom"/>
          </w:tcPr>
          <w:p w14:paraId="205301FC" w14:textId="77777777" w:rsidR="003F0EEA" w:rsidRPr="001134D8" w:rsidRDefault="00FB7D0B">
            <w:pPr>
              <w:rPr>
                <w:rFonts w:ascii="Arial" w:eastAsia="Arial" w:hAnsi="Arial" w:cs="Arial"/>
                <w:color w:val="000000"/>
                <w:sz w:val="16"/>
                <w:szCs w:val="20"/>
              </w:rPr>
            </w:pPr>
            <w:r w:rsidRPr="001134D8">
              <w:rPr>
                <w:rFonts w:ascii="Arial" w:eastAsia="Arial" w:hAnsi="Arial" w:cs="Arial"/>
                <w:color w:val="000000"/>
                <w:sz w:val="16"/>
                <w:szCs w:val="20"/>
              </w:rPr>
              <w:t>Employees</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2B7FDA05" w14:textId="77777777" w:rsidR="003F0EEA" w:rsidRPr="001134D8" w:rsidRDefault="00FB7D0B">
            <w:pPr>
              <w:jc w:val="right"/>
              <w:rPr>
                <w:rFonts w:ascii="Arial" w:eastAsia="Arial" w:hAnsi="Arial" w:cs="Arial"/>
                <w:color w:val="000000"/>
                <w:sz w:val="16"/>
                <w:szCs w:val="20"/>
              </w:rPr>
            </w:pPr>
            <w:r w:rsidRPr="001134D8">
              <w:rPr>
                <w:rFonts w:ascii="Arial" w:eastAsia="Arial" w:hAnsi="Arial" w:cs="Arial"/>
                <w:color w:val="000000"/>
                <w:sz w:val="16"/>
                <w:szCs w:val="20"/>
              </w:rPr>
              <w:t xml:space="preserve"> 3,798 </w:t>
            </w:r>
          </w:p>
        </w:tc>
        <w:tc>
          <w:tcPr>
            <w:tcW w:w="915" w:type="dxa"/>
            <w:tcBorders>
              <w:top w:val="nil"/>
              <w:left w:val="nil"/>
              <w:bottom w:val="nil"/>
              <w:right w:val="nil"/>
              <w:tl2br w:val="nil"/>
              <w:tr2bl w:val="nil"/>
            </w:tcBorders>
            <w:shd w:val="clear" w:color="auto" w:fill="FFFF00"/>
            <w:tcMar>
              <w:left w:w="101" w:type="dxa"/>
              <w:right w:w="101" w:type="dxa"/>
            </w:tcMar>
            <w:vAlign w:val="bottom"/>
          </w:tcPr>
          <w:p w14:paraId="62DBB181" w14:textId="77777777" w:rsidR="003F0EEA" w:rsidRPr="001134D8" w:rsidRDefault="00FB7D0B">
            <w:pPr>
              <w:jc w:val="right"/>
              <w:rPr>
                <w:rFonts w:ascii="Arial" w:eastAsia="Arial" w:hAnsi="Arial" w:cs="Arial"/>
                <w:color w:val="000000"/>
                <w:sz w:val="16"/>
                <w:szCs w:val="20"/>
              </w:rPr>
            </w:pPr>
            <w:r w:rsidRPr="001134D8">
              <w:rPr>
                <w:rFonts w:ascii="Arial" w:eastAsia="Arial" w:hAnsi="Arial" w:cs="Arial"/>
                <w:color w:val="000000"/>
                <w:sz w:val="16"/>
                <w:szCs w:val="20"/>
              </w:rPr>
              <w:t xml:space="preserve"> 4,083 </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21358AD7" w14:textId="77777777" w:rsidR="003F0EEA" w:rsidRPr="001134D8" w:rsidRDefault="00FB7D0B">
            <w:pPr>
              <w:jc w:val="right"/>
              <w:rPr>
                <w:rFonts w:ascii="Arial" w:eastAsia="Arial" w:hAnsi="Arial" w:cs="Arial"/>
                <w:color w:val="000000"/>
                <w:sz w:val="16"/>
                <w:szCs w:val="20"/>
              </w:rPr>
            </w:pPr>
            <w:r w:rsidRPr="001134D8">
              <w:rPr>
                <w:rFonts w:ascii="Arial" w:eastAsia="Arial" w:hAnsi="Arial" w:cs="Arial"/>
                <w:color w:val="000000"/>
                <w:sz w:val="16"/>
                <w:szCs w:val="20"/>
              </w:rPr>
              <w:t xml:space="preserve"> 4,390 </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1E1C1FF1" w14:textId="77777777" w:rsidR="003F0EEA" w:rsidRPr="001134D8" w:rsidRDefault="00FB7D0B">
            <w:pPr>
              <w:jc w:val="right"/>
              <w:rPr>
                <w:rFonts w:ascii="Arial" w:eastAsia="Arial" w:hAnsi="Arial" w:cs="Arial"/>
                <w:color w:val="000000"/>
                <w:sz w:val="16"/>
                <w:szCs w:val="20"/>
              </w:rPr>
            </w:pPr>
            <w:r w:rsidRPr="001134D8">
              <w:rPr>
                <w:rFonts w:ascii="Arial" w:eastAsia="Arial" w:hAnsi="Arial" w:cs="Arial"/>
                <w:color w:val="000000"/>
                <w:sz w:val="16"/>
                <w:szCs w:val="20"/>
              </w:rPr>
              <w:t xml:space="preserve"> 4,719 </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38021F1E" w14:textId="77777777" w:rsidR="003F0EEA" w:rsidRPr="001134D8" w:rsidRDefault="00FB7D0B">
            <w:pPr>
              <w:jc w:val="right"/>
              <w:rPr>
                <w:rFonts w:ascii="Arial" w:eastAsia="Arial" w:hAnsi="Arial" w:cs="Arial"/>
                <w:color w:val="000000"/>
                <w:sz w:val="16"/>
                <w:szCs w:val="20"/>
              </w:rPr>
            </w:pPr>
            <w:r w:rsidRPr="001134D8">
              <w:rPr>
                <w:rFonts w:ascii="Arial" w:eastAsia="Arial" w:hAnsi="Arial" w:cs="Arial"/>
                <w:color w:val="000000"/>
                <w:sz w:val="16"/>
                <w:szCs w:val="20"/>
              </w:rPr>
              <w:t xml:space="preserve"> 5,073 </w:t>
            </w:r>
          </w:p>
        </w:tc>
      </w:tr>
      <w:tr w:rsidR="00FB7D0B" w14:paraId="5CEEC437" w14:textId="77777777" w:rsidTr="00FB7D0B">
        <w:trPr>
          <w:trHeight w:val="225"/>
        </w:trPr>
        <w:tc>
          <w:tcPr>
            <w:tcW w:w="180" w:type="dxa"/>
            <w:tcBorders>
              <w:top w:val="nil"/>
              <w:left w:val="nil"/>
              <w:bottom w:val="nil"/>
              <w:right w:val="nil"/>
              <w:tl2br w:val="nil"/>
              <w:tr2bl w:val="nil"/>
            </w:tcBorders>
            <w:shd w:val="clear" w:color="auto" w:fill="FFFFFF"/>
            <w:tcMar>
              <w:left w:w="101" w:type="dxa"/>
              <w:right w:w="101" w:type="dxa"/>
            </w:tcMar>
            <w:vAlign w:val="bottom"/>
          </w:tcPr>
          <w:p w14:paraId="2D2DA931" w14:textId="77777777" w:rsidR="003F0EEA" w:rsidRPr="001134D8" w:rsidRDefault="003F0EEA">
            <w:pPr>
              <w:rPr>
                <w:rFonts w:ascii="Arial" w:eastAsia="Arial" w:hAnsi="Arial" w:cs="Arial"/>
                <w:color w:val="000000"/>
                <w:sz w:val="16"/>
                <w:szCs w:val="20"/>
              </w:rPr>
            </w:pPr>
          </w:p>
        </w:tc>
        <w:tc>
          <w:tcPr>
            <w:tcW w:w="2880" w:type="dxa"/>
            <w:gridSpan w:val="2"/>
            <w:vMerge w:val="restart"/>
            <w:tcBorders>
              <w:top w:val="nil"/>
              <w:left w:val="nil"/>
              <w:bottom w:val="nil"/>
              <w:right w:val="nil"/>
              <w:tl2br w:val="nil"/>
              <w:tr2bl w:val="nil"/>
            </w:tcBorders>
            <w:shd w:val="clear" w:color="auto" w:fill="FFFFFF"/>
            <w:tcMar>
              <w:left w:w="101" w:type="dxa"/>
              <w:right w:w="101" w:type="dxa"/>
            </w:tcMar>
            <w:vAlign w:val="bottom"/>
          </w:tcPr>
          <w:p w14:paraId="4BC075BF" w14:textId="77777777" w:rsidR="003F0EEA" w:rsidRPr="001134D8" w:rsidRDefault="00FB7D0B">
            <w:pPr>
              <w:rPr>
                <w:rFonts w:ascii="Arial" w:eastAsia="Arial" w:hAnsi="Arial" w:cs="Arial"/>
                <w:color w:val="000000"/>
                <w:sz w:val="16"/>
                <w:szCs w:val="20"/>
              </w:rPr>
            </w:pPr>
            <w:r w:rsidRPr="001134D8">
              <w:rPr>
                <w:rFonts w:ascii="Arial" w:eastAsia="Arial" w:hAnsi="Arial" w:cs="Arial"/>
                <w:color w:val="000000"/>
                <w:sz w:val="16"/>
                <w:szCs w:val="20"/>
              </w:rPr>
              <w:t>Suppliers</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3171FC06" w14:textId="77777777" w:rsidR="003F0EEA" w:rsidRPr="001134D8" w:rsidRDefault="00FB7D0B">
            <w:pPr>
              <w:jc w:val="right"/>
              <w:rPr>
                <w:rFonts w:ascii="Arial" w:eastAsia="Arial" w:hAnsi="Arial" w:cs="Arial"/>
                <w:color w:val="000000"/>
                <w:sz w:val="16"/>
                <w:szCs w:val="20"/>
              </w:rPr>
            </w:pPr>
            <w:r w:rsidRPr="001134D8">
              <w:rPr>
                <w:rFonts w:ascii="Arial" w:eastAsia="Arial" w:hAnsi="Arial" w:cs="Arial"/>
                <w:color w:val="000000"/>
                <w:sz w:val="16"/>
                <w:szCs w:val="20"/>
              </w:rPr>
              <w:t xml:space="preserve"> 2,007 </w:t>
            </w:r>
          </w:p>
        </w:tc>
        <w:tc>
          <w:tcPr>
            <w:tcW w:w="915" w:type="dxa"/>
            <w:tcBorders>
              <w:top w:val="nil"/>
              <w:left w:val="nil"/>
              <w:bottom w:val="nil"/>
              <w:right w:val="nil"/>
              <w:tl2br w:val="nil"/>
              <w:tr2bl w:val="nil"/>
            </w:tcBorders>
            <w:shd w:val="clear" w:color="auto" w:fill="FFFF00"/>
            <w:tcMar>
              <w:left w:w="101" w:type="dxa"/>
              <w:right w:w="101" w:type="dxa"/>
            </w:tcMar>
            <w:vAlign w:val="bottom"/>
          </w:tcPr>
          <w:p w14:paraId="7CDE51A3" w14:textId="77777777" w:rsidR="003F0EEA" w:rsidRPr="001134D8" w:rsidRDefault="00FB7D0B">
            <w:pPr>
              <w:jc w:val="right"/>
              <w:rPr>
                <w:rFonts w:ascii="Arial" w:eastAsia="Arial" w:hAnsi="Arial" w:cs="Arial"/>
                <w:color w:val="000000"/>
                <w:sz w:val="16"/>
                <w:szCs w:val="20"/>
              </w:rPr>
            </w:pPr>
            <w:r w:rsidRPr="001134D8">
              <w:rPr>
                <w:rFonts w:ascii="Arial" w:eastAsia="Arial" w:hAnsi="Arial" w:cs="Arial"/>
                <w:color w:val="000000"/>
                <w:sz w:val="16"/>
                <w:szCs w:val="20"/>
              </w:rPr>
              <w:t xml:space="preserve"> 2,357 </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77EEC3C9" w14:textId="77777777" w:rsidR="003F0EEA" w:rsidRPr="001134D8" w:rsidRDefault="00FB7D0B">
            <w:pPr>
              <w:jc w:val="right"/>
              <w:rPr>
                <w:rFonts w:ascii="Arial" w:eastAsia="Arial" w:hAnsi="Arial" w:cs="Arial"/>
                <w:color w:val="000000"/>
                <w:sz w:val="16"/>
                <w:szCs w:val="20"/>
              </w:rPr>
            </w:pPr>
            <w:r w:rsidRPr="001134D8">
              <w:rPr>
                <w:rFonts w:ascii="Arial" w:eastAsia="Arial" w:hAnsi="Arial" w:cs="Arial"/>
                <w:color w:val="000000"/>
                <w:sz w:val="16"/>
                <w:szCs w:val="20"/>
              </w:rPr>
              <w:t xml:space="preserve"> 2,319 </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1DD9F3AD" w14:textId="77777777" w:rsidR="003F0EEA" w:rsidRPr="001134D8" w:rsidRDefault="00FB7D0B">
            <w:pPr>
              <w:jc w:val="right"/>
              <w:rPr>
                <w:rFonts w:ascii="Arial" w:eastAsia="Arial" w:hAnsi="Arial" w:cs="Arial"/>
                <w:color w:val="000000"/>
                <w:sz w:val="16"/>
                <w:szCs w:val="20"/>
              </w:rPr>
            </w:pPr>
            <w:r w:rsidRPr="001134D8">
              <w:rPr>
                <w:rFonts w:ascii="Arial" w:eastAsia="Arial" w:hAnsi="Arial" w:cs="Arial"/>
                <w:color w:val="000000"/>
                <w:sz w:val="16"/>
                <w:szCs w:val="20"/>
              </w:rPr>
              <w:t xml:space="preserve"> 2,493 </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4D65FEDA" w14:textId="77777777" w:rsidR="003F0EEA" w:rsidRPr="001134D8" w:rsidRDefault="00FB7D0B">
            <w:pPr>
              <w:jc w:val="right"/>
              <w:rPr>
                <w:rFonts w:ascii="Arial" w:eastAsia="Arial" w:hAnsi="Arial" w:cs="Arial"/>
                <w:color w:val="000000"/>
                <w:sz w:val="16"/>
                <w:szCs w:val="20"/>
              </w:rPr>
            </w:pPr>
            <w:r w:rsidRPr="001134D8">
              <w:rPr>
                <w:rFonts w:ascii="Arial" w:eastAsia="Arial" w:hAnsi="Arial" w:cs="Arial"/>
                <w:color w:val="000000"/>
                <w:sz w:val="16"/>
                <w:szCs w:val="20"/>
              </w:rPr>
              <w:t xml:space="preserve"> 2,680 </w:t>
            </w:r>
          </w:p>
        </w:tc>
      </w:tr>
      <w:tr w:rsidR="00FB7D0B" w14:paraId="4DE9C75F" w14:textId="77777777" w:rsidTr="00FB7D0B">
        <w:trPr>
          <w:trHeight w:val="225"/>
        </w:trPr>
        <w:tc>
          <w:tcPr>
            <w:tcW w:w="180" w:type="dxa"/>
            <w:tcBorders>
              <w:top w:val="nil"/>
              <w:left w:val="nil"/>
              <w:bottom w:val="nil"/>
              <w:right w:val="nil"/>
              <w:tl2br w:val="nil"/>
              <w:tr2bl w:val="nil"/>
            </w:tcBorders>
            <w:shd w:val="clear" w:color="auto" w:fill="FFFFFF"/>
            <w:tcMar>
              <w:left w:w="101" w:type="dxa"/>
              <w:right w:w="101" w:type="dxa"/>
            </w:tcMar>
            <w:vAlign w:val="bottom"/>
          </w:tcPr>
          <w:p w14:paraId="4EEA55B6" w14:textId="77777777" w:rsidR="003F0EEA" w:rsidRPr="001134D8" w:rsidRDefault="003F0EEA">
            <w:pPr>
              <w:rPr>
                <w:rFonts w:ascii="Arial" w:eastAsia="Arial" w:hAnsi="Arial" w:cs="Arial"/>
                <w:color w:val="000000"/>
                <w:sz w:val="16"/>
                <w:szCs w:val="20"/>
              </w:rPr>
            </w:pPr>
          </w:p>
        </w:tc>
        <w:tc>
          <w:tcPr>
            <w:tcW w:w="2880" w:type="dxa"/>
            <w:gridSpan w:val="2"/>
            <w:vMerge w:val="restart"/>
            <w:tcBorders>
              <w:top w:val="nil"/>
              <w:left w:val="nil"/>
              <w:bottom w:val="nil"/>
              <w:right w:val="nil"/>
              <w:tl2br w:val="nil"/>
              <w:tr2bl w:val="nil"/>
            </w:tcBorders>
            <w:shd w:val="clear" w:color="auto" w:fill="FFFFFF"/>
            <w:tcMar>
              <w:left w:w="101" w:type="dxa"/>
              <w:right w:w="101" w:type="dxa"/>
            </w:tcMar>
            <w:vAlign w:val="bottom"/>
          </w:tcPr>
          <w:p w14:paraId="0EE6F7E5" w14:textId="77777777" w:rsidR="003F0EEA" w:rsidRPr="001134D8" w:rsidRDefault="00FB7D0B">
            <w:pPr>
              <w:rPr>
                <w:rFonts w:ascii="Arial" w:eastAsia="Arial" w:hAnsi="Arial" w:cs="Arial"/>
                <w:color w:val="000000"/>
                <w:sz w:val="16"/>
                <w:szCs w:val="20"/>
              </w:rPr>
            </w:pPr>
            <w:r w:rsidRPr="001134D8">
              <w:rPr>
                <w:rFonts w:ascii="Arial" w:eastAsia="Arial" w:hAnsi="Arial" w:cs="Arial"/>
                <w:color w:val="000000"/>
                <w:sz w:val="16"/>
                <w:szCs w:val="20"/>
              </w:rPr>
              <w:t>Other</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4DC0B853" w14:textId="77777777" w:rsidR="003F0EEA" w:rsidRPr="001134D8" w:rsidRDefault="00FB7D0B">
            <w:pPr>
              <w:jc w:val="right"/>
              <w:rPr>
                <w:rFonts w:ascii="Arial" w:eastAsia="Arial" w:hAnsi="Arial" w:cs="Arial"/>
                <w:color w:val="000000"/>
                <w:sz w:val="16"/>
                <w:szCs w:val="20"/>
              </w:rPr>
            </w:pPr>
            <w:r w:rsidRPr="001134D8">
              <w:rPr>
                <w:rFonts w:ascii="Arial" w:eastAsia="Arial" w:hAnsi="Arial" w:cs="Arial"/>
                <w:color w:val="000000"/>
                <w:sz w:val="16"/>
                <w:szCs w:val="20"/>
              </w:rPr>
              <w:t xml:space="preserve"> 35,876 </w:t>
            </w:r>
          </w:p>
        </w:tc>
        <w:tc>
          <w:tcPr>
            <w:tcW w:w="915" w:type="dxa"/>
            <w:tcBorders>
              <w:top w:val="nil"/>
              <w:left w:val="nil"/>
              <w:bottom w:val="nil"/>
              <w:right w:val="nil"/>
              <w:tl2br w:val="nil"/>
              <w:tr2bl w:val="nil"/>
            </w:tcBorders>
            <w:shd w:val="clear" w:color="auto" w:fill="FFFF00"/>
            <w:tcMar>
              <w:left w:w="101" w:type="dxa"/>
              <w:right w:w="101" w:type="dxa"/>
            </w:tcMar>
            <w:vAlign w:val="bottom"/>
          </w:tcPr>
          <w:p w14:paraId="756C2177" w14:textId="77777777" w:rsidR="003F0EEA" w:rsidRPr="001134D8" w:rsidRDefault="00FB7D0B">
            <w:pPr>
              <w:jc w:val="right"/>
              <w:rPr>
                <w:rFonts w:ascii="Arial" w:eastAsia="Arial" w:hAnsi="Arial" w:cs="Arial"/>
                <w:color w:val="000000"/>
                <w:sz w:val="16"/>
                <w:szCs w:val="20"/>
              </w:rPr>
            </w:pPr>
            <w:r w:rsidRPr="001134D8">
              <w:rPr>
                <w:rFonts w:ascii="Arial" w:eastAsia="Arial" w:hAnsi="Arial" w:cs="Arial"/>
                <w:color w:val="000000"/>
                <w:sz w:val="16"/>
                <w:szCs w:val="20"/>
              </w:rPr>
              <w:t xml:space="preserve"> 38,491 </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504CBFDA" w14:textId="77777777" w:rsidR="003F0EEA" w:rsidRPr="001134D8" w:rsidRDefault="00FB7D0B">
            <w:pPr>
              <w:jc w:val="right"/>
              <w:rPr>
                <w:rFonts w:ascii="Arial" w:eastAsia="Arial" w:hAnsi="Arial" w:cs="Arial"/>
                <w:color w:val="000000"/>
                <w:sz w:val="16"/>
                <w:szCs w:val="20"/>
              </w:rPr>
            </w:pPr>
            <w:r w:rsidRPr="001134D8">
              <w:rPr>
                <w:rFonts w:ascii="Arial" w:eastAsia="Arial" w:hAnsi="Arial" w:cs="Arial"/>
                <w:color w:val="000000"/>
                <w:sz w:val="16"/>
                <w:szCs w:val="20"/>
              </w:rPr>
              <w:t xml:space="preserve"> 41,299 </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2B68DE25" w14:textId="77777777" w:rsidR="003F0EEA" w:rsidRPr="001134D8" w:rsidRDefault="00FB7D0B">
            <w:pPr>
              <w:jc w:val="right"/>
              <w:rPr>
                <w:rFonts w:ascii="Arial" w:eastAsia="Arial" w:hAnsi="Arial" w:cs="Arial"/>
                <w:color w:val="000000"/>
                <w:sz w:val="16"/>
                <w:szCs w:val="20"/>
              </w:rPr>
            </w:pPr>
            <w:r w:rsidRPr="001134D8">
              <w:rPr>
                <w:rFonts w:ascii="Arial" w:eastAsia="Arial" w:hAnsi="Arial" w:cs="Arial"/>
                <w:color w:val="000000"/>
                <w:sz w:val="16"/>
                <w:szCs w:val="20"/>
              </w:rPr>
              <w:t xml:space="preserve"> 44,314 </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711F0402" w14:textId="77777777" w:rsidR="003F0EEA" w:rsidRPr="001134D8" w:rsidRDefault="00FB7D0B">
            <w:pPr>
              <w:jc w:val="right"/>
              <w:rPr>
                <w:rFonts w:ascii="Arial" w:eastAsia="Arial" w:hAnsi="Arial" w:cs="Arial"/>
                <w:color w:val="000000"/>
                <w:sz w:val="16"/>
                <w:szCs w:val="20"/>
              </w:rPr>
            </w:pPr>
            <w:r w:rsidRPr="001134D8">
              <w:rPr>
                <w:rFonts w:ascii="Arial" w:eastAsia="Arial" w:hAnsi="Arial" w:cs="Arial"/>
                <w:color w:val="000000"/>
                <w:sz w:val="16"/>
                <w:szCs w:val="20"/>
              </w:rPr>
              <w:t xml:space="preserve"> 47,551 </w:t>
            </w:r>
          </w:p>
        </w:tc>
      </w:tr>
      <w:tr w:rsidR="00FB7D0B" w14:paraId="28022A58" w14:textId="77777777" w:rsidTr="00FB7D0B">
        <w:trPr>
          <w:trHeight w:val="225"/>
        </w:trPr>
        <w:tc>
          <w:tcPr>
            <w:tcW w:w="3060" w:type="dxa"/>
            <w:gridSpan w:val="3"/>
            <w:tcBorders>
              <w:top w:val="nil"/>
              <w:left w:val="nil"/>
              <w:bottom w:val="nil"/>
              <w:right w:val="nil"/>
              <w:tl2br w:val="nil"/>
              <w:tr2bl w:val="nil"/>
            </w:tcBorders>
            <w:shd w:val="clear" w:color="auto" w:fill="FFFFFF"/>
            <w:tcMar>
              <w:left w:w="101" w:type="dxa"/>
              <w:right w:w="101" w:type="dxa"/>
            </w:tcMar>
            <w:vAlign w:val="bottom"/>
          </w:tcPr>
          <w:p w14:paraId="1C927117" w14:textId="77777777" w:rsidR="003F0EEA" w:rsidRPr="001134D8" w:rsidRDefault="00FB7D0B">
            <w:pPr>
              <w:rPr>
                <w:rFonts w:ascii="Arial" w:eastAsia="Arial" w:hAnsi="Arial" w:cs="Arial"/>
                <w:color w:val="000000"/>
                <w:sz w:val="16"/>
                <w:szCs w:val="20"/>
              </w:rPr>
            </w:pPr>
            <w:r w:rsidRPr="001134D8">
              <w:rPr>
                <w:rFonts w:ascii="Arial" w:eastAsia="Arial" w:hAnsi="Arial" w:cs="Arial"/>
                <w:b/>
                <w:i/>
                <w:color w:val="000000"/>
                <w:sz w:val="16"/>
                <w:szCs w:val="20"/>
              </w:rPr>
              <w:t>Total cash used</w:t>
            </w:r>
          </w:p>
        </w:tc>
        <w:tc>
          <w:tcPr>
            <w:tcW w:w="915"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39093036" w14:textId="77777777" w:rsidR="003F0EEA" w:rsidRPr="001134D8" w:rsidRDefault="00FB7D0B">
            <w:pPr>
              <w:jc w:val="right"/>
              <w:rPr>
                <w:rFonts w:ascii="Arial" w:eastAsia="Arial" w:hAnsi="Arial" w:cs="Arial"/>
                <w:b/>
                <w:i/>
                <w:color w:val="000000"/>
                <w:sz w:val="16"/>
                <w:szCs w:val="20"/>
              </w:rPr>
            </w:pPr>
            <w:r w:rsidRPr="001134D8">
              <w:rPr>
                <w:rFonts w:ascii="Arial" w:eastAsia="Arial" w:hAnsi="Arial" w:cs="Arial"/>
                <w:b/>
                <w:color w:val="000000"/>
                <w:sz w:val="16"/>
                <w:szCs w:val="20"/>
              </w:rPr>
              <w:t xml:space="preserve"> 41,681 </w:t>
            </w:r>
          </w:p>
        </w:tc>
        <w:tc>
          <w:tcPr>
            <w:tcW w:w="915" w:type="dxa"/>
            <w:tcBorders>
              <w:top w:val="single" w:sz="6" w:space="0" w:color="000000"/>
              <w:left w:val="nil"/>
              <w:bottom w:val="single" w:sz="6" w:space="0" w:color="000000"/>
              <w:right w:val="nil"/>
              <w:tl2br w:val="nil"/>
              <w:tr2bl w:val="nil"/>
            </w:tcBorders>
            <w:shd w:val="clear" w:color="auto" w:fill="FFFF00"/>
            <w:tcMar>
              <w:left w:w="101" w:type="dxa"/>
              <w:right w:w="101" w:type="dxa"/>
            </w:tcMar>
            <w:vAlign w:val="bottom"/>
          </w:tcPr>
          <w:p w14:paraId="308B4B94" w14:textId="77777777" w:rsidR="003F0EEA" w:rsidRPr="001134D8" w:rsidRDefault="00FB7D0B">
            <w:pPr>
              <w:jc w:val="right"/>
              <w:rPr>
                <w:rFonts w:ascii="Arial" w:eastAsia="Arial" w:hAnsi="Arial" w:cs="Arial"/>
                <w:b/>
                <w:color w:val="000000"/>
                <w:sz w:val="16"/>
                <w:szCs w:val="20"/>
              </w:rPr>
            </w:pPr>
            <w:r w:rsidRPr="001134D8">
              <w:rPr>
                <w:rFonts w:ascii="Arial" w:eastAsia="Arial" w:hAnsi="Arial" w:cs="Arial"/>
                <w:b/>
                <w:color w:val="000000"/>
                <w:sz w:val="16"/>
                <w:szCs w:val="20"/>
              </w:rPr>
              <w:t xml:space="preserve"> 44,931 </w:t>
            </w:r>
          </w:p>
        </w:tc>
        <w:tc>
          <w:tcPr>
            <w:tcW w:w="915"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6ADF3CF0" w14:textId="77777777" w:rsidR="003F0EEA" w:rsidRPr="001134D8" w:rsidRDefault="00FB7D0B">
            <w:pPr>
              <w:jc w:val="right"/>
              <w:rPr>
                <w:rFonts w:ascii="Arial" w:eastAsia="Arial" w:hAnsi="Arial" w:cs="Arial"/>
                <w:b/>
                <w:color w:val="000000"/>
                <w:sz w:val="16"/>
                <w:szCs w:val="20"/>
              </w:rPr>
            </w:pPr>
            <w:r w:rsidRPr="001134D8">
              <w:rPr>
                <w:rFonts w:ascii="Arial" w:eastAsia="Arial" w:hAnsi="Arial" w:cs="Arial"/>
                <w:b/>
                <w:color w:val="000000"/>
                <w:sz w:val="16"/>
                <w:szCs w:val="20"/>
              </w:rPr>
              <w:t xml:space="preserve"> 48,008 </w:t>
            </w:r>
          </w:p>
        </w:tc>
        <w:tc>
          <w:tcPr>
            <w:tcW w:w="915"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1131AAAB" w14:textId="77777777" w:rsidR="003F0EEA" w:rsidRPr="001134D8" w:rsidRDefault="00FB7D0B">
            <w:pPr>
              <w:jc w:val="right"/>
              <w:rPr>
                <w:rFonts w:ascii="Arial" w:eastAsia="Arial" w:hAnsi="Arial" w:cs="Arial"/>
                <w:b/>
                <w:color w:val="000000"/>
                <w:sz w:val="16"/>
                <w:szCs w:val="20"/>
              </w:rPr>
            </w:pPr>
            <w:r w:rsidRPr="001134D8">
              <w:rPr>
                <w:rFonts w:ascii="Arial" w:eastAsia="Arial" w:hAnsi="Arial" w:cs="Arial"/>
                <w:b/>
                <w:color w:val="000000"/>
                <w:sz w:val="16"/>
                <w:szCs w:val="20"/>
              </w:rPr>
              <w:t xml:space="preserve"> 51,526 </w:t>
            </w:r>
          </w:p>
        </w:tc>
        <w:tc>
          <w:tcPr>
            <w:tcW w:w="915"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396D0FC1" w14:textId="77777777" w:rsidR="003F0EEA" w:rsidRPr="001134D8" w:rsidRDefault="00FB7D0B">
            <w:pPr>
              <w:jc w:val="right"/>
              <w:rPr>
                <w:rFonts w:ascii="Arial" w:eastAsia="Arial" w:hAnsi="Arial" w:cs="Arial"/>
                <w:b/>
                <w:color w:val="000000"/>
                <w:sz w:val="16"/>
                <w:szCs w:val="20"/>
              </w:rPr>
            </w:pPr>
            <w:r w:rsidRPr="001134D8">
              <w:rPr>
                <w:rFonts w:ascii="Arial" w:eastAsia="Arial" w:hAnsi="Arial" w:cs="Arial"/>
                <w:b/>
                <w:color w:val="000000"/>
                <w:sz w:val="16"/>
                <w:szCs w:val="20"/>
              </w:rPr>
              <w:t xml:space="preserve"> 55,304 </w:t>
            </w:r>
          </w:p>
        </w:tc>
      </w:tr>
      <w:tr w:rsidR="00FB7D0B" w14:paraId="40031C28" w14:textId="77777777" w:rsidTr="00FB7D0B">
        <w:trPr>
          <w:trHeight w:val="225"/>
        </w:trPr>
        <w:tc>
          <w:tcPr>
            <w:tcW w:w="3060" w:type="dxa"/>
            <w:gridSpan w:val="3"/>
            <w:tcBorders>
              <w:top w:val="nil"/>
              <w:left w:val="nil"/>
              <w:bottom w:val="nil"/>
              <w:right w:val="nil"/>
              <w:tl2br w:val="nil"/>
              <w:tr2bl w:val="nil"/>
            </w:tcBorders>
            <w:shd w:val="clear" w:color="auto" w:fill="FFFFFF"/>
            <w:tcMar>
              <w:left w:w="101" w:type="dxa"/>
              <w:right w:w="101" w:type="dxa"/>
            </w:tcMar>
            <w:vAlign w:val="bottom"/>
          </w:tcPr>
          <w:p w14:paraId="761F3387" w14:textId="77777777" w:rsidR="003F0EEA" w:rsidRPr="001134D8" w:rsidRDefault="00FB7D0B">
            <w:pPr>
              <w:rPr>
                <w:rFonts w:ascii="Arial" w:eastAsia="Arial" w:hAnsi="Arial" w:cs="Arial"/>
                <w:b/>
                <w:color w:val="000000"/>
                <w:sz w:val="16"/>
                <w:szCs w:val="20"/>
              </w:rPr>
            </w:pPr>
            <w:r w:rsidRPr="001134D8">
              <w:rPr>
                <w:rFonts w:ascii="Arial" w:eastAsia="Arial" w:hAnsi="Arial" w:cs="Arial"/>
                <w:b/>
                <w:color w:val="000000"/>
                <w:sz w:val="16"/>
                <w:szCs w:val="20"/>
              </w:rPr>
              <w:t>Net cash from (used by)</w:t>
            </w:r>
          </w:p>
        </w:tc>
        <w:tc>
          <w:tcPr>
            <w:tcW w:w="915"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2608BFC6" w14:textId="77777777" w:rsidR="003F0EEA" w:rsidRPr="001134D8" w:rsidRDefault="003F0EEA">
            <w:pPr>
              <w:rPr>
                <w:rFonts w:ascii="Arial" w:eastAsia="Arial" w:hAnsi="Arial" w:cs="Arial"/>
                <w:b/>
                <w:color w:val="000000"/>
                <w:sz w:val="16"/>
                <w:szCs w:val="20"/>
              </w:rPr>
            </w:pPr>
          </w:p>
        </w:tc>
        <w:tc>
          <w:tcPr>
            <w:tcW w:w="915" w:type="dxa"/>
            <w:tcBorders>
              <w:top w:val="single" w:sz="6" w:space="0" w:color="000000"/>
              <w:left w:val="nil"/>
              <w:bottom w:val="single" w:sz="6" w:space="0" w:color="000000"/>
              <w:right w:val="nil"/>
              <w:tl2br w:val="nil"/>
              <w:tr2bl w:val="nil"/>
            </w:tcBorders>
            <w:shd w:val="clear" w:color="auto" w:fill="FFFF00"/>
            <w:tcMar>
              <w:left w:w="101" w:type="dxa"/>
              <w:right w:w="101" w:type="dxa"/>
            </w:tcMar>
            <w:vAlign w:val="bottom"/>
          </w:tcPr>
          <w:p w14:paraId="38B1E0FA" w14:textId="77777777" w:rsidR="003F0EEA" w:rsidRPr="001134D8" w:rsidRDefault="003F0EEA">
            <w:pPr>
              <w:rPr>
                <w:rFonts w:ascii="Arial" w:eastAsia="Arial" w:hAnsi="Arial" w:cs="Arial"/>
                <w:b/>
                <w:color w:val="000000"/>
                <w:sz w:val="16"/>
                <w:szCs w:val="20"/>
              </w:rPr>
            </w:pPr>
          </w:p>
        </w:tc>
        <w:tc>
          <w:tcPr>
            <w:tcW w:w="915"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1B10ACB1" w14:textId="77777777" w:rsidR="003F0EEA" w:rsidRPr="001134D8" w:rsidRDefault="003F0EEA">
            <w:pPr>
              <w:rPr>
                <w:rFonts w:ascii="Arial" w:eastAsia="Arial" w:hAnsi="Arial" w:cs="Arial"/>
                <w:b/>
                <w:color w:val="000000"/>
                <w:sz w:val="16"/>
                <w:szCs w:val="20"/>
              </w:rPr>
            </w:pPr>
          </w:p>
        </w:tc>
        <w:tc>
          <w:tcPr>
            <w:tcW w:w="915"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69BDBBEB" w14:textId="77777777" w:rsidR="003F0EEA" w:rsidRPr="001134D8" w:rsidRDefault="003F0EEA">
            <w:pPr>
              <w:rPr>
                <w:rFonts w:ascii="Arial" w:eastAsia="Arial" w:hAnsi="Arial" w:cs="Arial"/>
                <w:b/>
                <w:color w:val="000000"/>
                <w:sz w:val="16"/>
                <w:szCs w:val="20"/>
              </w:rPr>
            </w:pPr>
          </w:p>
        </w:tc>
        <w:tc>
          <w:tcPr>
            <w:tcW w:w="915"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2EDF1A5D" w14:textId="77777777" w:rsidR="003F0EEA" w:rsidRPr="001134D8" w:rsidRDefault="003F0EEA">
            <w:pPr>
              <w:rPr>
                <w:rFonts w:ascii="Arial" w:eastAsia="Arial" w:hAnsi="Arial" w:cs="Arial"/>
                <w:b/>
                <w:color w:val="000000"/>
                <w:sz w:val="16"/>
                <w:szCs w:val="20"/>
              </w:rPr>
            </w:pPr>
          </w:p>
        </w:tc>
      </w:tr>
      <w:tr w:rsidR="00FB7D0B" w14:paraId="0C9940F7" w14:textId="77777777" w:rsidTr="00FB7D0B">
        <w:trPr>
          <w:trHeight w:val="225"/>
        </w:trPr>
        <w:tc>
          <w:tcPr>
            <w:tcW w:w="180" w:type="dxa"/>
            <w:tcBorders>
              <w:top w:val="nil"/>
              <w:left w:val="nil"/>
              <w:bottom w:val="nil"/>
              <w:right w:val="nil"/>
              <w:tl2br w:val="nil"/>
              <w:tr2bl w:val="nil"/>
            </w:tcBorders>
            <w:shd w:val="clear" w:color="auto" w:fill="FFFFFF"/>
            <w:tcMar>
              <w:left w:w="101" w:type="dxa"/>
              <w:right w:w="101" w:type="dxa"/>
            </w:tcMar>
            <w:vAlign w:val="bottom"/>
          </w:tcPr>
          <w:p w14:paraId="525BF11D" w14:textId="77777777" w:rsidR="003F0EEA" w:rsidRPr="001134D8" w:rsidRDefault="003F0EEA">
            <w:pPr>
              <w:rPr>
                <w:rFonts w:ascii="Arial" w:eastAsia="Arial" w:hAnsi="Arial" w:cs="Arial"/>
                <w:b/>
                <w:color w:val="000000"/>
                <w:sz w:val="16"/>
                <w:szCs w:val="20"/>
              </w:rPr>
            </w:pPr>
          </w:p>
        </w:tc>
        <w:tc>
          <w:tcPr>
            <w:tcW w:w="2880" w:type="dxa"/>
            <w:gridSpan w:val="2"/>
            <w:tcBorders>
              <w:top w:val="nil"/>
              <w:left w:val="nil"/>
              <w:bottom w:val="nil"/>
              <w:right w:val="nil"/>
              <w:tl2br w:val="nil"/>
              <w:tr2bl w:val="nil"/>
            </w:tcBorders>
            <w:shd w:val="clear" w:color="auto" w:fill="FFFFFF"/>
            <w:tcMar>
              <w:left w:w="101" w:type="dxa"/>
              <w:right w:w="101" w:type="dxa"/>
            </w:tcMar>
            <w:vAlign w:val="bottom"/>
          </w:tcPr>
          <w:p w14:paraId="2C3DC36C" w14:textId="77777777" w:rsidR="003F0EEA" w:rsidRPr="001134D8" w:rsidRDefault="00FB7D0B">
            <w:pPr>
              <w:rPr>
                <w:rFonts w:ascii="Arial" w:eastAsia="Arial" w:hAnsi="Arial" w:cs="Arial"/>
                <w:color w:val="000000"/>
                <w:sz w:val="16"/>
                <w:szCs w:val="20"/>
              </w:rPr>
            </w:pPr>
            <w:r w:rsidRPr="001134D8">
              <w:rPr>
                <w:rFonts w:ascii="Arial" w:eastAsia="Arial" w:hAnsi="Arial" w:cs="Arial"/>
                <w:b/>
                <w:color w:val="000000"/>
                <w:sz w:val="16"/>
                <w:szCs w:val="20"/>
              </w:rPr>
              <w:t>operating activities</w:t>
            </w:r>
          </w:p>
        </w:tc>
        <w:tc>
          <w:tcPr>
            <w:tcW w:w="915"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587ED090" w14:textId="77777777" w:rsidR="003F0EEA" w:rsidRPr="001134D8" w:rsidRDefault="00FB7D0B">
            <w:pPr>
              <w:jc w:val="right"/>
              <w:rPr>
                <w:rFonts w:ascii="Arial" w:eastAsia="Arial" w:hAnsi="Arial" w:cs="Arial"/>
                <w:b/>
                <w:color w:val="000000"/>
                <w:sz w:val="16"/>
                <w:szCs w:val="20"/>
              </w:rPr>
            </w:pPr>
            <w:r w:rsidRPr="001134D8">
              <w:rPr>
                <w:rFonts w:ascii="Arial" w:eastAsia="Arial" w:hAnsi="Arial" w:cs="Arial"/>
                <w:b/>
                <w:color w:val="000000"/>
                <w:sz w:val="16"/>
                <w:szCs w:val="20"/>
              </w:rPr>
              <w:t xml:space="preserve"> 2,219 </w:t>
            </w:r>
          </w:p>
        </w:tc>
        <w:tc>
          <w:tcPr>
            <w:tcW w:w="915" w:type="dxa"/>
            <w:tcBorders>
              <w:top w:val="single" w:sz="6" w:space="0" w:color="000000"/>
              <w:left w:val="nil"/>
              <w:bottom w:val="single" w:sz="6" w:space="0" w:color="000000"/>
              <w:right w:val="nil"/>
              <w:tl2br w:val="nil"/>
              <w:tr2bl w:val="nil"/>
            </w:tcBorders>
            <w:shd w:val="clear" w:color="auto" w:fill="FFFF00"/>
            <w:tcMar>
              <w:left w:w="101" w:type="dxa"/>
              <w:right w:w="101" w:type="dxa"/>
            </w:tcMar>
            <w:vAlign w:val="bottom"/>
          </w:tcPr>
          <w:p w14:paraId="14140559" w14:textId="77777777" w:rsidR="003F0EEA" w:rsidRPr="001134D8" w:rsidRDefault="00FB7D0B">
            <w:pPr>
              <w:jc w:val="right"/>
              <w:rPr>
                <w:rFonts w:ascii="Arial" w:eastAsia="Arial" w:hAnsi="Arial" w:cs="Arial"/>
                <w:b/>
                <w:color w:val="000000"/>
                <w:sz w:val="16"/>
                <w:szCs w:val="20"/>
              </w:rPr>
            </w:pPr>
            <w:r w:rsidRPr="001134D8">
              <w:rPr>
                <w:rFonts w:ascii="Arial" w:eastAsia="Arial" w:hAnsi="Arial" w:cs="Arial"/>
                <w:b/>
                <w:color w:val="000000"/>
                <w:sz w:val="16"/>
                <w:szCs w:val="20"/>
              </w:rPr>
              <w:t xml:space="preserve"> 1,759 </w:t>
            </w:r>
          </w:p>
        </w:tc>
        <w:tc>
          <w:tcPr>
            <w:tcW w:w="915"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5F1DE36C" w14:textId="77777777" w:rsidR="003F0EEA" w:rsidRPr="001134D8" w:rsidRDefault="00FB7D0B">
            <w:pPr>
              <w:jc w:val="right"/>
              <w:rPr>
                <w:rFonts w:ascii="Arial" w:eastAsia="Arial" w:hAnsi="Arial" w:cs="Arial"/>
                <w:b/>
                <w:color w:val="000000"/>
                <w:sz w:val="16"/>
                <w:szCs w:val="20"/>
              </w:rPr>
            </w:pPr>
            <w:r w:rsidRPr="001134D8">
              <w:rPr>
                <w:rFonts w:ascii="Arial" w:eastAsia="Arial" w:hAnsi="Arial" w:cs="Arial"/>
                <w:b/>
                <w:color w:val="000000"/>
                <w:sz w:val="16"/>
                <w:szCs w:val="20"/>
              </w:rPr>
              <w:t xml:space="preserve"> 2,976 </w:t>
            </w:r>
          </w:p>
        </w:tc>
        <w:tc>
          <w:tcPr>
            <w:tcW w:w="915"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18AA9A00" w14:textId="77777777" w:rsidR="003F0EEA" w:rsidRPr="001134D8" w:rsidRDefault="00FB7D0B">
            <w:pPr>
              <w:jc w:val="right"/>
              <w:rPr>
                <w:rFonts w:ascii="Arial" w:eastAsia="Arial" w:hAnsi="Arial" w:cs="Arial"/>
                <w:b/>
                <w:color w:val="000000"/>
                <w:sz w:val="16"/>
                <w:szCs w:val="20"/>
              </w:rPr>
            </w:pPr>
            <w:r w:rsidRPr="001134D8">
              <w:rPr>
                <w:rFonts w:ascii="Arial" w:eastAsia="Arial" w:hAnsi="Arial" w:cs="Arial"/>
                <w:b/>
                <w:color w:val="000000"/>
                <w:sz w:val="16"/>
                <w:szCs w:val="20"/>
              </w:rPr>
              <w:t xml:space="preserve"> 4,394 </w:t>
            </w:r>
          </w:p>
        </w:tc>
        <w:tc>
          <w:tcPr>
            <w:tcW w:w="915"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63E2BDD3" w14:textId="77777777" w:rsidR="003F0EEA" w:rsidRPr="001134D8" w:rsidRDefault="00FB7D0B">
            <w:pPr>
              <w:jc w:val="right"/>
              <w:rPr>
                <w:rFonts w:ascii="Arial" w:eastAsia="Arial" w:hAnsi="Arial" w:cs="Arial"/>
                <w:b/>
                <w:color w:val="000000"/>
                <w:sz w:val="16"/>
                <w:szCs w:val="20"/>
              </w:rPr>
            </w:pPr>
            <w:r w:rsidRPr="001134D8">
              <w:rPr>
                <w:rFonts w:ascii="Arial" w:eastAsia="Arial" w:hAnsi="Arial" w:cs="Arial"/>
                <w:b/>
                <w:color w:val="000000"/>
                <w:sz w:val="16"/>
                <w:szCs w:val="20"/>
              </w:rPr>
              <w:t xml:space="preserve"> 6,038 </w:t>
            </w:r>
          </w:p>
        </w:tc>
      </w:tr>
      <w:tr w:rsidR="00724034" w14:paraId="09ED8AD0" w14:textId="77777777">
        <w:trPr>
          <w:trHeight w:hRule="exact" w:val="60"/>
        </w:trPr>
        <w:tc>
          <w:tcPr>
            <w:tcW w:w="180" w:type="dxa"/>
            <w:tcBorders>
              <w:top w:val="nil"/>
              <w:left w:val="nil"/>
              <w:bottom w:val="nil"/>
              <w:right w:val="nil"/>
              <w:tl2br w:val="nil"/>
              <w:tr2bl w:val="nil"/>
            </w:tcBorders>
            <w:shd w:val="clear" w:color="auto" w:fill="FFFFFF"/>
            <w:tcMar>
              <w:left w:w="101" w:type="dxa"/>
              <w:right w:w="101" w:type="dxa"/>
            </w:tcMar>
            <w:vAlign w:val="bottom"/>
          </w:tcPr>
          <w:p w14:paraId="6E5DFA20" w14:textId="77777777" w:rsidR="003F0EEA" w:rsidRPr="001134D8" w:rsidRDefault="003F0EEA">
            <w:pPr>
              <w:rPr>
                <w:rFonts w:ascii="Arial" w:eastAsia="Arial" w:hAnsi="Arial" w:cs="Arial"/>
                <w:b/>
                <w:color w:val="000000"/>
                <w:sz w:val="16"/>
                <w:szCs w:val="20"/>
              </w:rPr>
            </w:pPr>
          </w:p>
        </w:tc>
        <w:tc>
          <w:tcPr>
            <w:tcW w:w="180" w:type="dxa"/>
            <w:tcBorders>
              <w:top w:val="nil"/>
              <w:left w:val="nil"/>
              <w:bottom w:val="nil"/>
              <w:right w:val="nil"/>
              <w:tl2br w:val="nil"/>
              <w:tr2bl w:val="nil"/>
            </w:tcBorders>
            <w:shd w:val="clear" w:color="auto" w:fill="FFFFFF"/>
            <w:tcMar>
              <w:left w:w="101" w:type="dxa"/>
              <w:right w:w="101" w:type="dxa"/>
            </w:tcMar>
            <w:vAlign w:val="bottom"/>
          </w:tcPr>
          <w:p w14:paraId="265198E2" w14:textId="77777777" w:rsidR="003F0EEA" w:rsidRPr="001134D8" w:rsidRDefault="003F0EEA">
            <w:pPr>
              <w:rPr>
                <w:rFonts w:ascii="Arial" w:eastAsia="Arial" w:hAnsi="Arial" w:cs="Arial"/>
                <w:color w:val="000000"/>
                <w:sz w:val="16"/>
                <w:szCs w:val="20"/>
              </w:rPr>
            </w:pPr>
          </w:p>
        </w:tc>
        <w:tc>
          <w:tcPr>
            <w:tcW w:w="2700" w:type="dxa"/>
            <w:tcBorders>
              <w:top w:val="nil"/>
              <w:left w:val="nil"/>
              <w:bottom w:val="nil"/>
              <w:right w:val="nil"/>
              <w:tl2br w:val="nil"/>
              <w:tr2bl w:val="nil"/>
            </w:tcBorders>
            <w:shd w:val="clear" w:color="auto" w:fill="FFFFFF"/>
            <w:tcMar>
              <w:left w:w="101" w:type="dxa"/>
              <w:right w:w="101" w:type="dxa"/>
            </w:tcMar>
            <w:vAlign w:val="bottom"/>
          </w:tcPr>
          <w:p w14:paraId="2362E84D" w14:textId="77777777" w:rsidR="003F0EEA" w:rsidRPr="001134D8" w:rsidRDefault="003F0EEA">
            <w:pPr>
              <w:rPr>
                <w:rFonts w:ascii="Arial" w:eastAsia="Arial" w:hAnsi="Arial" w:cs="Arial"/>
                <w:color w:val="000000"/>
                <w:sz w:val="16"/>
                <w:szCs w:val="20"/>
              </w:rPr>
            </w:pPr>
          </w:p>
        </w:tc>
        <w:tc>
          <w:tcPr>
            <w:tcW w:w="91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24768F6A" w14:textId="77777777" w:rsidR="003F0EEA" w:rsidRPr="001134D8" w:rsidRDefault="003F0EEA">
            <w:pPr>
              <w:rPr>
                <w:rFonts w:ascii="Arial" w:eastAsia="Arial" w:hAnsi="Arial" w:cs="Arial"/>
                <w:b/>
                <w:color w:val="000000"/>
                <w:sz w:val="16"/>
                <w:szCs w:val="20"/>
              </w:rPr>
            </w:pPr>
          </w:p>
        </w:tc>
        <w:tc>
          <w:tcPr>
            <w:tcW w:w="915" w:type="dxa"/>
            <w:tcBorders>
              <w:top w:val="single" w:sz="6" w:space="0" w:color="000000"/>
              <w:left w:val="nil"/>
              <w:bottom w:val="nil"/>
              <w:right w:val="nil"/>
              <w:tl2br w:val="nil"/>
              <w:tr2bl w:val="nil"/>
            </w:tcBorders>
            <w:shd w:val="clear" w:color="auto" w:fill="FFFF00"/>
            <w:tcMar>
              <w:left w:w="101" w:type="dxa"/>
              <w:right w:w="101" w:type="dxa"/>
            </w:tcMar>
            <w:vAlign w:val="bottom"/>
          </w:tcPr>
          <w:p w14:paraId="7368AD3F" w14:textId="77777777" w:rsidR="003F0EEA" w:rsidRPr="001134D8" w:rsidRDefault="003F0EEA">
            <w:pPr>
              <w:rPr>
                <w:rFonts w:ascii="Arial" w:eastAsia="Arial" w:hAnsi="Arial" w:cs="Arial"/>
                <w:color w:val="000000"/>
                <w:sz w:val="16"/>
                <w:szCs w:val="20"/>
              </w:rPr>
            </w:pPr>
          </w:p>
        </w:tc>
        <w:tc>
          <w:tcPr>
            <w:tcW w:w="91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11CB3EA1" w14:textId="77777777" w:rsidR="003F0EEA" w:rsidRPr="001134D8" w:rsidRDefault="003F0EEA">
            <w:pPr>
              <w:rPr>
                <w:rFonts w:ascii="Arial" w:eastAsia="Arial" w:hAnsi="Arial" w:cs="Arial"/>
                <w:color w:val="000000"/>
                <w:sz w:val="16"/>
                <w:szCs w:val="20"/>
              </w:rPr>
            </w:pPr>
          </w:p>
        </w:tc>
        <w:tc>
          <w:tcPr>
            <w:tcW w:w="91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3D2E59F7" w14:textId="77777777" w:rsidR="003F0EEA" w:rsidRPr="001134D8" w:rsidRDefault="003F0EEA">
            <w:pPr>
              <w:rPr>
                <w:rFonts w:ascii="Arial" w:eastAsia="Arial" w:hAnsi="Arial" w:cs="Arial"/>
                <w:color w:val="000000"/>
                <w:sz w:val="16"/>
                <w:szCs w:val="20"/>
              </w:rPr>
            </w:pPr>
          </w:p>
        </w:tc>
        <w:tc>
          <w:tcPr>
            <w:tcW w:w="91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363E2A67" w14:textId="77777777" w:rsidR="003F0EEA" w:rsidRPr="001134D8" w:rsidRDefault="003F0EEA">
            <w:pPr>
              <w:rPr>
                <w:rFonts w:ascii="Arial" w:eastAsia="Arial" w:hAnsi="Arial" w:cs="Arial"/>
                <w:color w:val="000000"/>
                <w:sz w:val="16"/>
                <w:szCs w:val="20"/>
              </w:rPr>
            </w:pPr>
          </w:p>
        </w:tc>
      </w:tr>
      <w:tr w:rsidR="00FB7D0B" w14:paraId="6FA8C1A6" w14:textId="77777777" w:rsidTr="00FB7D0B">
        <w:trPr>
          <w:trHeight w:val="225"/>
        </w:trPr>
        <w:tc>
          <w:tcPr>
            <w:tcW w:w="3060" w:type="dxa"/>
            <w:gridSpan w:val="3"/>
            <w:tcBorders>
              <w:top w:val="nil"/>
              <w:left w:val="nil"/>
              <w:bottom w:val="nil"/>
              <w:right w:val="nil"/>
              <w:tl2br w:val="nil"/>
              <w:tr2bl w:val="nil"/>
            </w:tcBorders>
            <w:shd w:val="clear" w:color="auto" w:fill="FFFFFF"/>
            <w:tcMar>
              <w:left w:w="101" w:type="dxa"/>
              <w:right w:w="101" w:type="dxa"/>
            </w:tcMar>
            <w:vAlign w:val="bottom"/>
          </w:tcPr>
          <w:p w14:paraId="78F2F56C" w14:textId="77777777" w:rsidR="003F0EEA" w:rsidRPr="001134D8" w:rsidRDefault="00FB7D0B">
            <w:pPr>
              <w:rPr>
                <w:rFonts w:ascii="Arial" w:eastAsia="Arial" w:hAnsi="Arial" w:cs="Arial"/>
                <w:color w:val="000000"/>
                <w:sz w:val="16"/>
                <w:szCs w:val="20"/>
              </w:rPr>
            </w:pPr>
            <w:r w:rsidRPr="001134D8">
              <w:rPr>
                <w:rFonts w:ascii="Arial" w:eastAsia="Arial" w:hAnsi="Arial" w:cs="Arial"/>
                <w:b/>
                <w:color w:val="000000"/>
                <w:sz w:val="16"/>
                <w:szCs w:val="20"/>
              </w:rPr>
              <w:t>INVESTING ACTIVITIES</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1BBE225A" w14:textId="77777777" w:rsidR="003F0EEA" w:rsidRPr="001134D8" w:rsidRDefault="003F0EEA">
            <w:pPr>
              <w:rPr>
                <w:rFonts w:ascii="Arial" w:eastAsia="Arial" w:hAnsi="Arial" w:cs="Arial"/>
                <w:b/>
                <w:color w:val="000000"/>
                <w:sz w:val="16"/>
                <w:szCs w:val="20"/>
              </w:rPr>
            </w:pPr>
          </w:p>
        </w:tc>
        <w:tc>
          <w:tcPr>
            <w:tcW w:w="915" w:type="dxa"/>
            <w:tcBorders>
              <w:top w:val="nil"/>
              <w:left w:val="nil"/>
              <w:bottom w:val="nil"/>
              <w:right w:val="nil"/>
              <w:tl2br w:val="nil"/>
              <w:tr2bl w:val="nil"/>
            </w:tcBorders>
            <w:shd w:val="clear" w:color="auto" w:fill="FFFF00"/>
            <w:tcMar>
              <w:left w:w="101" w:type="dxa"/>
              <w:right w:w="101" w:type="dxa"/>
            </w:tcMar>
            <w:vAlign w:val="bottom"/>
          </w:tcPr>
          <w:p w14:paraId="6838A2BF" w14:textId="77777777" w:rsidR="003F0EEA" w:rsidRPr="001134D8" w:rsidRDefault="003F0EEA">
            <w:pPr>
              <w:rPr>
                <w:rFonts w:ascii="Arial" w:eastAsia="Arial" w:hAnsi="Arial" w:cs="Arial"/>
                <w:color w:val="000000"/>
                <w:sz w:val="16"/>
                <w:szCs w:val="20"/>
              </w:rPr>
            </w:pP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5FC8613C" w14:textId="77777777" w:rsidR="003F0EEA" w:rsidRPr="001134D8" w:rsidRDefault="003F0EEA">
            <w:pPr>
              <w:rPr>
                <w:rFonts w:ascii="Arial" w:eastAsia="Arial" w:hAnsi="Arial" w:cs="Arial"/>
                <w:color w:val="000000"/>
                <w:sz w:val="16"/>
                <w:szCs w:val="20"/>
              </w:rPr>
            </w:pP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2547318F" w14:textId="77777777" w:rsidR="003F0EEA" w:rsidRPr="001134D8" w:rsidRDefault="003F0EEA">
            <w:pPr>
              <w:rPr>
                <w:rFonts w:ascii="Arial" w:eastAsia="Arial" w:hAnsi="Arial" w:cs="Arial"/>
                <w:color w:val="000000"/>
                <w:sz w:val="16"/>
                <w:szCs w:val="20"/>
              </w:rPr>
            </w:pP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374510F8" w14:textId="77777777" w:rsidR="003F0EEA" w:rsidRPr="001134D8" w:rsidRDefault="003F0EEA">
            <w:pPr>
              <w:rPr>
                <w:rFonts w:ascii="Arial" w:eastAsia="Arial" w:hAnsi="Arial" w:cs="Arial"/>
                <w:color w:val="000000"/>
                <w:sz w:val="16"/>
                <w:szCs w:val="20"/>
              </w:rPr>
            </w:pPr>
          </w:p>
        </w:tc>
      </w:tr>
      <w:tr w:rsidR="00FB7D0B" w14:paraId="608C05A9" w14:textId="77777777" w:rsidTr="00FB7D0B">
        <w:trPr>
          <w:trHeight w:val="225"/>
        </w:trPr>
        <w:tc>
          <w:tcPr>
            <w:tcW w:w="3060" w:type="dxa"/>
            <w:gridSpan w:val="3"/>
            <w:tcBorders>
              <w:top w:val="nil"/>
              <w:left w:val="nil"/>
              <w:bottom w:val="nil"/>
              <w:right w:val="nil"/>
              <w:tl2br w:val="nil"/>
              <w:tr2bl w:val="nil"/>
            </w:tcBorders>
            <w:shd w:val="clear" w:color="auto" w:fill="FFFFFF"/>
            <w:tcMar>
              <w:left w:w="101" w:type="dxa"/>
              <w:right w:w="101" w:type="dxa"/>
            </w:tcMar>
            <w:vAlign w:val="bottom"/>
          </w:tcPr>
          <w:p w14:paraId="3819E90D" w14:textId="77777777" w:rsidR="003F0EEA" w:rsidRPr="001134D8" w:rsidRDefault="00FB7D0B">
            <w:pPr>
              <w:rPr>
                <w:rFonts w:ascii="Arial" w:eastAsia="Arial" w:hAnsi="Arial" w:cs="Arial"/>
                <w:color w:val="000000"/>
                <w:sz w:val="16"/>
                <w:szCs w:val="20"/>
              </w:rPr>
            </w:pPr>
            <w:r w:rsidRPr="001134D8">
              <w:rPr>
                <w:rFonts w:ascii="Arial" w:eastAsia="Arial" w:hAnsi="Arial" w:cs="Arial"/>
                <w:b/>
                <w:color w:val="000000"/>
                <w:sz w:val="16"/>
                <w:szCs w:val="20"/>
              </w:rPr>
              <w:t>Cash received</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550E795A" w14:textId="77777777" w:rsidR="003F0EEA" w:rsidRPr="001134D8" w:rsidRDefault="003F0EEA">
            <w:pPr>
              <w:rPr>
                <w:rFonts w:ascii="Arial" w:eastAsia="Arial" w:hAnsi="Arial" w:cs="Arial"/>
                <w:b/>
                <w:color w:val="000000"/>
                <w:sz w:val="16"/>
                <w:szCs w:val="20"/>
              </w:rPr>
            </w:pPr>
          </w:p>
        </w:tc>
        <w:tc>
          <w:tcPr>
            <w:tcW w:w="915" w:type="dxa"/>
            <w:tcBorders>
              <w:top w:val="nil"/>
              <w:left w:val="nil"/>
              <w:bottom w:val="nil"/>
              <w:right w:val="nil"/>
              <w:tl2br w:val="nil"/>
              <w:tr2bl w:val="nil"/>
            </w:tcBorders>
            <w:shd w:val="clear" w:color="auto" w:fill="FFFF00"/>
            <w:tcMar>
              <w:left w:w="101" w:type="dxa"/>
              <w:right w:w="101" w:type="dxa"/>
            </w:tcMar>
            <w:vAlign w:val="bottom"/>
          </w:tcPr>
          <w:p w14:paraId="27526589" w14:textId="77777777" w:rsidR="003F0EEA" w:rsidRPr="001134D8" w:rsidRDefault="003F0EEA">
            <w:pPr>
              <w:rPr>
                <w:rFonts w:ascii="Arial" w:eastAsia="Arial" w:hAnsi="Arial" w:cs="Arial"/>
                <w:color w:val="000000"/>
                <w:sz w:val="16"/>
                <w:szCs w:val="20"/>
              </w:rPr>
            </w:pP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1F0E0B91" w14:textId="77777777" w:rsidR="003F0EEA" w:rsidRPr="001134D8" w:rsidRDefault="003F0EEA">
            <w:pPr>
              <w:rPr>
                <w:rFonts w:ascii="Arial" w:eastAsia="Arial" w:hAnsi="Arial" w:cs="Arial"/>
                <w:color w:val="000000"/>
                <w:sz w:val="16"/>
                <w:szCs w:val="20"/>
              </w:rPr>
            </w:pP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78DE887F" w14:textId="77777777" w:rsidR="003F0EEA" w:rsidRPr="001134D8" w:rsidRDefault="003F0EEA">
            <w:pPr>
              <w:rPr>
                <w:rFonts w:ascii="Arial" w:eastAsia="Arial" w:hAnsi="Arial" w:cs="Arial"/>
                <w:color w:val="000000"/>
                <w:sz w:val="16"/>
                <w:szCs w:val="20"/>
              </w:rPr>
            </w:pP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0C2773A4" w14:textId="77777777" w:rsidR="003F0EEA" w:rsidRPr="001134D8" w:rsidRDefault="003F0EEA">
            <w:pPr>
              <w:rPr>
                <w:rFonts w:ascii="Arial" w:eastAsia="Arial" w:hAnsi="Arial" w:cs="Arial"/>
                <w:color w:val="000000"/>
                <w:sz w:val="16"/>
                <w:szCs w:val="20"/>
              </w:rPr>
            </w:pPr>
          </w:p>
        </w:tc>
      </w:tr>
      <w:tr w:rsidR="00FB7D0B" w14:paraId="74E46E89" w14:textId="77777777" w:rsidTr="00FB7D0B">
        <w:trPr>
          <w:trHeight w:val="225"/>
        </w:trPr>
        <w:tc>
          <w:tcPr>
            <w:tcW w:w="180" w:type="dxa"/>
            <w:tcBorders>
              <w:top w:val="nil"/>
              <w:left w:val="nil"/>
              <w:bottom w:val="nil"/>
              <w:right w:val="nil"/>
              <w:tl2br w:val="nil"/>
              <w:tr2bl w:val="nil"/>
            </w:tcBorders>
            <w:shd w:val="clear" w:color="auto" w:fill="FFFFFF"/>
            <w:tcMar>
              <w:left w:w="101" w:type="dxa"/>
              <w:right w:w="101" w:type="dxa"/>
            </w:tcMar>
            <w:vAlign w:val="bottom"/>
          </w:tcPr>
          <w:p w14:paraId="76C20F3D" w14:textId="77777777" w:rsidR="003F0EEA" w:rsidRPr="001134D8" w:rsidRDefault="003F0EEA">
            <w:pPr>
              <w:rPr>
                <w:rFonts w:ascii="Arial" w:eastAsia="Arial" w:hAnsi="Arial" w:cs="Arial"/>
                <w:color w:val="000000"/>
                <w:sz w:val="16"/>
                <w:szCs w:val="20"/>
              </w:rPr>
            </w:pPr>
          </w:p>
        </w:tc>
        <w:tc>
          <w:tcPr>
            <w:tcW w:w="2880" w:type="dxa"/>
            <w:gridSpan w:val="2"/>
            <w:tcBorders>
              <w:top w:val="nil"/>
              <w:left w:val="nil"/>
              <w:bottom w:val="nil"/>
              <w:right w:val="nil"/>
              <w:tl2br w:val="nil"/>
              <w:tr2bl w:val="nil"/>
            </w:tcBorders>
            <w:shd w:val="clear" w:color="auto" w:fill="FFFFFF"/>
            <w:tcMar>
              <w:left w:w="101" w:type="dxa"/>
              <w:right w:w="101" w:type="dxa"/>
            </w:tcMar>
            <w:vAlign w:val="bottom"/>
          </w:tcPr>
          <w:p w14:paraId="0DCF981D" w14:textId="77777777" w:rsidR="003F0EEA" w:rsidRPr="001134D8" w:rsidRDefault="00FB7D0B">
            <w:pPr>
              <w:rPr>
                <w:rFonts w:ascii="Arial" w:eastAsia="Arial" w:hAnsi="Arial" w:cs="Arial"/>
                <w:color w:val="000000"/>
                <w:sz w:val="16"/>
                <w:szCs w:val="20"/>
              </w:rPr>
            </w:pPr>
            <w:r w:rsidRPr="001134D8">
              <w:rPr>
                <w:rFonts w:ascii="Arial" w:eastAsia="Arial" w:hAnsi="Arial" w:cs="Arial"/>
                <w:color w:val="000000"/>
                <w:sz w:val="16"/>
                <w:szCs w:val="20"/>
              </w:rPr>
              <w:t>Investments realised</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700B5B3C" w14:textId="77777777" w:rsidR="003F0EEA" w:rsidRPr="001134D8" w:rsidRDefault="00FB7D0B">
            <w:pPr>
              <w:jc w:val="right"/>
              <w:rPr>
                <w:rFonts w:ascii="Arial" w:eastAsia="Arial" w:hAnsi="Arial" w:cs="Arial"/>
                <w:color w:val="000000"/>
                <w:sz w:val="16"/>
                <w:szCs w:val="20"/>
              </w:rPr>
            </w:pPr>
            <w:r w:rsidRPr="001134D8">
              <w:rPr>
                <w:rFonts w:ascii="Arial" w:eastAsia="Arial" w:hAnsi="Arial" w:cs="Arial"/>
                <w:color w:val="000000"/>
                <w:sz w:val="16"/>
                <w:szCs w:val="20"/>
              </w:rPr>
              <w:t xml:space="preserve"> - </w:t>
            </w:r>
          </w:p>
        </w:tc>
        <w:tc>
          <w:tcPr>
            <w:tcW w:w="915" w:type="dxa"/>
            <w:tcBorders>
              <w:top w:val="nil"/>
              <w:left w:val="nil"/>
              <w:bottom w:val="nil"/>
              <w:right w:val="nil"/>
              <w:tl2br w:val="nil"/>
              <w:tr2bl w:val="nil"/>
            </w:tcBorders>
            <w:shd w:val="clear" w:color="auto" w:fill="FFFF00"/>
            <w:tcMar>
              <w:left w:w="101" w:type="dxa"/>
              <w:right w:w="101" w:type="dxa"/>
            </w:tcMar>
            <w:vAlign w:val="bottom"/>
          </w:tcPr>
          <w:p w14:paraId="7EB810AB" w14:textId="77777777" w:rsidR="003F0EEA" w:rsidRPr="001134D8" w:rsidRDefault="00FB7D0B">
            <w:pPr>
              <w:jc w:val="right"/>
              <w:rPr>
                <w:rFonts w:ascii="Arial" w:eastAsia="Arial" w:hAnsi="Arial" w:cs="Arial"/>
                <w:color w:val="000000"/>
                <w:sz w:val="16"/>
                <w:szCs w:val="20"/>
              </w:rPr>
            </w:pPr>
            <w:r w:rsidRPr="001134D8">
              <w:rPr>
                <w:rFonts w:ascii="Arial" w:eastAsia="Arial" w:hAnsi="Arial" w:cs="Arial"/>
                <w:color w:val="000000"/>
                <w:sz w:val="16"/>
                <w:szCs w:val="20"/>
              </w:rPr>
              <w:t xml:space="preserve"> - </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76646455" w14:textId="77777777" w:rsidR="003F0EEA" w:rsidRPr="001134D8" w:rsidRDefault="00FB7D0B">
            <w:pPr>
              <w:jc w:val="right"/>
              <w:rPr>
                <w:rFonts w:ascii="Arial" w:eastAsia="Arial" w:hAnsi="Arial" w:cs="Arial"/>
                <w:color w:val="000000"/>
                <w:sz w:val="16"/>
                <w:szCs w:val="20"/>
              </w:rPr>
            </w:pPr>
            <w:r w:rsidRPr="001134D8">
              <w:rPr>
                <w:rFonts w:ascii="Arial" w:eastAsia="Arial" w:hAnsi="Arial" w:cs="Arial"/>
                <w:color w:val="000000"/>
                <w:sz w:val="16"/>
                <w:szCs w:val="20"/>
              </w:rPr>
              <w:t xml:space="preserve"> - </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046A0698" w14:textId="77777777" w:rsidR="003F0EEA" w:rsidRPr="001134D8" w:rsidRDefault="00FB7D0B">
            <w:pPr>
              <w:jc w:val="right"/>
              <w:rPr>
                <w:rFonts w:ascii="Arial" w:eastAsia="Arial" w:hAnsi="Arial" w:cs="Arial"/>
                <w:color w:val="000000"/>
                <w:sz w:val="16"/>
                <w:szCs w:val="20"/>
              </w:rPr>
            </w:pPr>
            <w:r w:rsidRPr="001134D8">
              <w:rPr>
                <w:rFonts w:ascii="Arial" w:eastAsia="Arial" w:hAnsi="Arial" w:cs="Arial"/>
                <w:color w:val="000000"/>
                <w:sz w:val="16"/>
                <w:szCs w:val="20"/>
              </w:rPr>
              <w:t xml:space="preserve"> - </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728BB67B" w14:textId="77777777" w:rsidR="003F0EEA" w:rsidRPr="001134D8" w:rsidRDefault="00FB7D0B">
            <w:pPr>
              <w:jc w:val="right"/>
              <w:rPr>
                <w:rFonts w:ascii="Arial" w:eastAsia="Arial" w:hAnsi="Arial" w:cs="Arial"/>
                <w:color w:val="000000"/>
                <w:sz w:val="16"/>
                <w:szCs w:val="20"/>
              </w:rPr>
            </w:pPr>
            <w:r w:rsidRPr="001134D8">
              <w:rPr>
                <w:rFonts w:ascii="Arial" w:eastAsia="Arial" w:hAnsi="Arial" w:cs="Arial"/>
                <w:color w:val="000000"/>
                <w:sz w:val="16"/>
                <w:szCs w:val="20"/>
              </w:rPr>
              <w:t xml:space="preserve"> - </w:t>
            </w:r>
          </w:p>
        </w:tc>
      </w:tr>
      <w:tr w:rsidR="00FB7D0B" w14:paraId="4D5A21F5" w14:textId="77777777" w:rsidTr="00FB7D0B">
        <w:trPr>
          <w:trHeight w:val="225"/>
        </w:trPr>
        <w:tc>
          <w:tcPr>
            <w:tcW w:w="3060" w:type="dxa"/>
            <w:gridSpan w:val="3"/>
            <w:tcBorders>
              <w:top w:val="nil"/>
              <w:left w:val="nil"/>
              <w:bottom w:val="nil"/>
              <w:right w:val="nil"/>
              <w:tl2br w:val="nil"/>
              <w:tr2bl w:val="nil"/>
            </w:tcBorders>
            <w:shd w:val="clear" w:color="auto" w:fill="FFFFFF"/>
            <w:tcMar>
              <w:left w:w="101" w:type="dxa"/>
              <w:right w:w="101" w:type="dxa"/>
            </w:tcMar>
            <w:vAlign w:val="bottom"/>
          </w:tcPr>
          <w:p w14:paraId="7A7186A9" w14:textId="77777777" w:rsidR="003F0EEA" w:rsidRPr="001134D8" w:rsidRDefault="00FB7D0B">
            <w:pPr>
              <w:rPr>
                <w:rFonts w:ascii="Arial" w:eastAsia="Arial" w:hAnsi="Arial" w:cs="Arial"/>
                <w:color w:val="000000"/>
                <w:sz w:val="16"/>
                <w:szCs w:val="20"/>
              </w:rPr>
            </w:pPr>
            <w:r w:rsidRPr="001134D8">
              <w:rPr>
                <w:rFonts w:ascii="Arial" w:eastAsia="Arial" w:hAnsi="Arial" w:cs="Arial"/>
                <w:b/>
                <w:i/>
                <w:color w:val="000000"/>
                <w:sz w:val="16"/>
                <w:szCs w:val="20"/>
              </w:rPr>
              <w:t>Total cash received</w:t>
            </w:r>
          </w:p>
        </w:tc>
        <w:tc>
          <w:tcPr>
            <w:tcW w:w="915"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7047FC33" w14:textId="77777777" w:rsidR="003F0EEA" w:rsidRPr="001134D8" w:rsidRDefault="00FB7D0B">
            <w:pPr>
              <w:jc w:val="right"/>
              <w:rPr>
                <w:rFonts w:ascii="Arial" w:eastAsia="Arial" w:hAnsi="Arial" w:cs="Arial"/>
                <w:b/>
                <w:i/>
                <w:color w:val="000000"/>
                <w:sz w:val="16"/>
                <w:szCs w:val="20"/>
              </w:rPr>
            </w:pPr>
            <w:r w:rsidRPr="001134D8">
              <w:rPr>
                <w:rFonts w:ascii="Arial" w:eastAsia="Arial" w:hAnsi="Arial" w:cs="Arial"/>
                <w:b/>
                <w:color w:val="000000"/>
                <w:sz w:val="16"/>
                <w:szCs w:val="20"/>
              </w:rPr>
              <w:t xml:space="preserve"> - </w:t>
            </w:r>
          </w:p>
        </w:tc>
        <w:tc>
          <w:tcPr>
            <w:tcW w:w="915" w:type="dxa"/>
            <w:tcBorders>
              <w:top w:val="single" w:sz="6" w:space="0" w:color="000000"/>
              <w:left w:val="nil"/>
              <w:bottom w:val="single" w:sz="6" w:space="0" w:color="000000"/>
              <w:right w:val="nil"/>
              <w:tl2br w:val="nil"/>
              <w:tr2bl w:val="nil"/>
            </w:tcBorders>
            <w:shd w:val="clear" w:color="auto" w:fill="FFFF00"/>
            <w:tcMar>
              <w:left w:w="101" w:type="dxa"/>
              <w:right w:w="101" w:type="dxa"/>
            </w:tcMar>
            <w:vAlign w:val="bottom"/>
          </w:tcPr>
          <w:p w14:paraId="14A325A5" w14:textId="77777777" w:rsidR="003F0EEA" w:rsidRPr="001134D8" w:rsidRDefault="00FB7D0B">
            <w:pPr>
              <w:jc w:val="right"/>
              <w:rPr>
                <w:rFonts w:ascii="Arial" w:eastAsia="Arial" w:hAnsi="Arial" w:cs="Arial"/>
                <w:b/>
                <w:color w:val="000000"/>
                <w:sz w:val="16"/>
                <w:szCs w:val="20"/>
              </w:rPr>
            </w:pPr>
            <w:r w:rsidRPr="001134D8">
              <w:rPr>
                <w:rFonts w:ascii="Arial" w:eastAsia="Arial" w:hAnsi="Arial" w:cs="Arial"/>
                <w:b/>
                <w:color w:val="000000"/>
                <w:sz w:val="16"/>
                <w:szCs w:val="20"/>
              </w:rPr>
              <w:t xml:space="preserve"> - </w:t>
            </w:r>
          </w:p>
        </w:tc>
        <w:tc>
          <w:tcPr>
            <w:tcW w:w="915"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51E7DAD2" w14:textId="77777777" w:rsidR="003F0EEA" w:rsidRPr="001134D8" w:rsidRDefault="00FB7D0B">
            <w:pPr>
              <w:jc w:val="right"/>
              <w:rPr>
                <w:rFonts w:ascii="Arial" w:eastAsia="Arial" w:hAnsi="Arial" w:cs="Arial"/>
                <w:b/>
                <w:color w:val="000000"/>
                <w:sz w:val="16"/>
                <w:szCs w:val="20"/>
              </w:rPr>
            </w:pPr>
            <w:r w:rsidRPr="001134D8">
              <w:rPr>
                <w:rFonts w:ascii="Arial" w:eastAsia="Arial" w:hAnsi="Arial" w:cs="Arial"/>
                <w:b/>
                <w:color w:val="000000"/>
                <w:sz w:val="16"/>
                <w:szCs w:val="20"/>
              </w:rPr>
              <w:t xml:space="preserve"> - </w:t>
            </w:r>
          </w:p>
        </w:tc>
        <w:tc>
          <w:tcPr>
            <w:tcW w:w="915"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46C286C0" w14:textId="77777777" w:rsidR="003F0EEA" w:rsidRPr="001134D8" w:rsidRDefault="00FB7D0B">
            <w:pPr>
              <w:jc w:val="right"/>
              <w:rPr>
                <w:rFonts w:ascii="Arial" w:eastAsia="Arial" w:hAnsi="Arial" w:cs="Arial"/>
                <w:b/>
                <w:color w:val="000000"/>
                <w:sz w:val="16"/>
                <w:szCs w:val="20"/>
              </w:rPr>
            </w:pPr>
            <w:r w:rsidRPr="001134D8">
              <w:rPr>
                <w:rFonts w:ascii="Arial" w:eastAsia="Arial" w:hAnsi="Arial" w:cs="Arial"/>
                <w:b/>
                <w:color w:val="000000"/>
                <w:sz w:val="16"/>
                <w:szCs w:val="20"/>
              </w:rPr>
              <w:t xml:space="preserve"> - </w:t>
            </w:r>
          </w:p>
        </w:tc>
        <w:tc>
          <w:tcPr>
            <w:tcW w:w="915"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2FB85323" w14:textId="77777777" w:rsidR="003F0EEA" w:rsidRPr="001134D8" w:rsidRDefault="00FB7D0B">
            <w:pPr>
              <w:jc w:val="right"/>
              <w:rPr>
                <w:rFonts w:ascii="Arial" w:eastAsia="Arial" w:hAnsi="Arial" w:cs="Arial"/>
                <w:b/>
                <w:color w:val="000000"/>
                <w:sz w:val="16"/>
                <w:szCs w:val="20"/>
              </w:rPr>
            </w:pPr>
            <w:r w:rsidRPr="001134D8">
              <w:rPr>
                <w:rFonts w:ascii="Arial" w:eastAsia="Arial" w:hAnsi="Arial" w:cs="Arial"/>
                <w:b/>
                <w:color w:val="000000"/>
                <w:sz w:val="16"/>
                <w:szCs w:val="20"/>
              </w:rPr>
              <w:t xml:space="preserve"> - </w:t>
            </w:r>
          </w:p>
        </w:tc>
      </w:tr>
      <w:tr w:rsidR="00724034" w14:paraId="38612D3A" w14:textId="77777777">
        <w:trPr>
          <w:trHeight w:hRule="exact" w:val="60"/>
        </w:trPr>
        <w:tc>
          <w:tcPr>
            <w:tcW w:w="180" w:type="dxa"/>
            <w:tcBorders>
              <w:top w:val="nil"/>
              <w:left w:val="nil"/>
              <w:bottom w:val="nil"/>
              <w:right w:val="nil"/>
              <w:tl2br w:val="nil"/>
              <w:tr2bl w:val="nil"/>
            </w:tcBorders>
            <w:shd w:val="clear" w:color="auto" w:fill="FFFFFF"/>
            <w:tcMar>
              <w:left w:w="101" w:type="dxa"/>
              <w:right w:w="101" w:type="dxa"/>
            </w:tcMar>
            <w:vAlign w:val="bottom"/>
          </w:tcPr>
          <w:p w14:paraId="15D58F58" w14:textId="77777777" w:rsidR="003F0EEA" w:rsidRPr="001134D8" w:rsidRDefault="003F0EEA">
            <w:pPr>
              <w:rPr>
                <w:rFonts w:ascii="Arial" w:eastAsia="Arial" w:hAnsi="Arial" w:cs="Arial"/>
                <w:b/>
                <w:color w:val="000000"/>
                <w:sz w:val="16"/>
                <w:szCs w:val="20"/>
              </w:rPr>
            </w:pPr>
          </w:p>
        </w:tc>
        <w:tc>
          <w:tcPr>
            <w:tcW w:w="180" w:type="dxa"/>
            <w:tcBorders>
              <w:top w:val="nil"/>
              <w:left w:val="nil"/>
              <w:bottom w:val="nil"/>
              <w:right w:val="nil"/>
              <w:tl2br w:val="nil"/>
              <w:tr2bl w:val="nil"/>
            </w:tcBorders>
            <w:shd w:val="clear" w:color="auto" w:fill="FFFFFF"/>
            <w:tcMar>
              <w:left w:w="101" w:type="dxa"/>
              <w:right w:w="101" w:type="dxa"/>
            </w:tcMar>
            <w:vAlign w:val="bottom"/>
          </w:tcPr>
          <w:p w14:paraId="3CE8E68E" w14:textId="77777777" w:rsidR="003F0EEA" w:rsidRPr="001134D8" w:rsidRDefault="003F0EEA">
            <w:pPr>
              <w:rPr>
                <w:rFonts w:ascii="Arial" w:eastAsia="Arial" w:hAnsi="Arial" w:cs="Arial"/>
                <w:color w:val="000000"/>
                <w:sz w:val="16"/>
                <w:szCs w:val="20"/>
              </w:rPr>
            </w:pPr>
          </w:p>
        </w:tc>
        <w:tc>
          <w:tcPr>
            <w:tcW w:w="2700" w:type="dxa"/>
            <w:tcBorders>
              <w:top w:val="nil"/>
              <w:left w:val="nil"/>
              <w:bottom w:val="nil"/>
              <w:right w:val="nil"/>
              <w:tl2br w:val="nil"/>
              <w:tr2bl w:val="nil"/>
            </w:tcBorders>
            <w:shd w:val="clear" w:color="auto" w:fill="FFFFFF"/>
            <w:tcMar>
              <w:left w:w="101" w:type="dxa"/>
              <w:right w:w="101" w:type="dxa"/>
            </w:tcMar>
            <w:vAlign w:val="bottom"/>
          </w:tcPr>
          <w:p w14:paraId="4DE1A948" w14:textId="77777777" w:rsidR="003F0EEA" w:rsidRPr="001134D8" w:rsidRDefault="003F0EEA">
            <w:pPr>
              <w:rPr>
                <w:rFonts w:ascii="Arial" w:eastAsia="Arial" w:hAnsi="Arial" w:cs="Arial"/>
                <w:color w:val="000000"/>
                <w:sz w:val="16"/>
                <w:szCs w:val="20"/>
              </w:rPr>
            </w:pPr>
          </w:p>
        </w:tc>
        <w:tc>
          <w:tcPr>
            <w:tcW w:w="91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652804DF" w14:textId="77777777" w:rsidR="003F0EEA" w:rsidRPr="001134D8" w:rsidRDefault="003F0EEA">
            <w:pPr>
              <w:rPr>
                <w:rFonts w:ascii="Arial" w:eastAsia="Arial" w:hAnsi="Arial" w:cs="Arial"/>
                <w:b/>
                <w:i/>
                <w:color w:val="000000"/>
                <w:sz w:val="16"/>
                <w:szCs w:val="20"/>
              </w:rPr>
            </w:pPr>
          </w:p>
        </w:tc>
        <w:tc>
          <w:tcPr>
            <w:tcW w:w="915" w:type="dxa"/>
            <w:tcBorders>
              <w:top w:val="single" w:sz="6" w:space="0" w:color="000000"/>
              <w:left w:val="nil"/>
              <w:bottom w:val="nil"/>
              <w:right w:val="nil"/>
              <w:tl2br w:val="nil"/>
              <w:tr2bl w:val="nil"/>
            </w:tcBorders>
            <w:shd w:val="clear" w:color="auto" w:fill="FFFF00"/>
            <w:tcMar>
              <w:left w:w="101" w:type="dxa"/>
              <w:right w:w="101" w:type="dxa"/>
            </w:tcMar>
            <w:vAlign w:val="bottom"/>
          </w:tcPr>
          <w:p w14:paraId="4B4FD76C" w14:textId="77777777" w:rsidR="003F0EEA" w:rsidRPr="001134D8" w:rsidRDefault="003F0EEA">
            <w:pPr>
              <w:rPr>
                <w:rFonts w:ascii="Arial" w:eastAsia="Arial" w:hAnsi="Arial" w:cs="Arial"/>
                <w:color w:val="000000"/>
                <w:sz w:val="16"/>
                <w:szCs w:val="20"/>
              </w:rPr>
            </w:pPr>
          </w:p>
        </w:tc>
        <w:tc>
          <w:tcPr>
            <w:tcW w:w="91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5108201A" w14:textId="77777777" w:rsidR="003F0EEA" w:rsidRPr="001134D8" w:rsidRDefault="003F0EEA">
            <w:pPr>
              <w:rPr>
                <w:rFonts w:ascii="Arial" w:eastAsia="Arial" w:hAnsi="Arial" w:cs="Arial"/>
                <w:color w:val="000000"/>
                <w:sz w:val="16"/>
                <w:szCs w:val="20"/>
              </w:rPr>
            </w:pPr>
          </w:p>
        </w:tc>
        <w:tc>
          <w:tcPr>
            <w:tcW w:w="91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3FC4656E" w14:textId="77777777" w:rsidR="003F0EEA" w:rsidRPr="001134D8" w:rsidRDefault="003F0EEA">
            <w:pPr>
              <w:rPr>
                <w:rFonts w:ascii="Arial" w:eastAsia="Arial" w:hAnsi="Arial" w:cs="Arial"/>
                <w:color w:val="000000"/>
                <w:sz w:val="16"/>
                <w:szCs w:val="20"/>
              </w:rPr>
            </w:pPr>
          </w:p>
        </w:tc>
        <w:tc>
          <w:tcPr>
            <w:tcW w:w="91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6C73FA96" w14:textId="77777777" w:rsidR="003F0EEA" w:rsidRPr="001134D8" w:rsidRDefault="003F0EEA">
            <w:pPr>
              <w:rPr>
                <w:rFonts w:ascii="Arial" w:eastAsia="Arial" w:hAnsi="Arial" w:cs="Arial"/>
                <w:color w:val="000000"/>
                <w:sz w:val="16"/>
                <w:szCs w:val="20"/>
              </w:rPr>
            </w:pPr>
          </w:p>
        </w:tc>
      </w:tr>
      <w:tr w:rsidR="00FB7D0B" w14:paraId="2577A0B6" w14:textId="77777777" w:rsidTr="00FB7D0B">
        <w:trPr>
          <w:trHeight w:val="225"/>
        </w:trPr>
        <w:tc>
          <w:tcPr>
            <w:tcW w:w="3060" w:type="dxa"/>
            <w:gridSpan w:val="3"/>
            <w:tcBorders>
              <w:top w:val="nil"/>
              <w:left w:val="nil"/>
              <w:bottom w:val="nil"/>
              <w:right w:val="nil"/>
              <w:tl2br w:val="nil"/>
              <w:tr2bl w:val="nil"/>
            </w:tcBorders>
            <w:shd w:val="clear" w:color="auto" w:fill="FFFFFF"/>
            <w:tcMar>
              <w:left w:w="101" w:type="dxa"/>
              <w:right w:w="101" w:type="dxa"/>
            </w:tcMar>
            <w:vAlign w:val="bottom"/>
          </w:tcPr>
          <w:p w14:paraId="0310D0BB" w14:textId="77777777" w:rsidR="003F0EEA" w:rsidRPr="001134D8" w:rsidRDefault="00FB7D0B">
            <w:pPr>
              <w:rPr>
                <w:rFonts w:ascii="Arial" w:eastAsia="Arial" w:hAnsi="Arial" w:cs="Arial"/>
                <w:color w:val="000000"/>
                <w:sz w:val="16"/>
                <w:szCs w:val="20"/>
              </w:rPr>
            </w:pPr>
            <w:r w:rsidRPr="001134D8">
              <w:rPr>
                <w:rFonts w:ascii="Arial" w:eastAsia="Arial" w:hAnsi="Arial" w:cs="Arial"/>
                <w:b/>
                <w:color w:val="000000"/>
                <w:sz w:val="16"/>
                <w:szCs w:val="20"/>
              </w:rPr>
              <w:t>Cash used</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3724546D" w14:textId="77777777" w:rsidR="003F0EEA" w:rsidRPr="001134D8" w:rsidRDefault="003F0EEA">
            <w:pPr>
              <w:rPr>
                <w:rFonts w:ascii="Arial" w:eastAsia="Arial" w:hAnsi="Arial" w:cs="Arial"/>
                <w:b/>
                <w:color w:val="000000"/>
                <w:sz w:val="16"/>
                <w:szCs w:val="20"/>
              </w:rPr>
            </w:pPr>
          </w:p>
        </w:tc>
        <w:tc>
          <w:tcPr>
            <w:tcW w:w="915" w:type="dxa"/>
            <w:tcBorders>
              <w:top w:val="nil"/>
              <w:left w:val="nil"/>
              <w:bottom w:val="nil"/>
              <w:right w:val="nil"/>
              <w:tl2br w:val="nil"/>
              <w:tr2bl w:val="nil"/>
            </w:tcBorders>
            <w:shd w:val="clear" w:color="auto" w:fill="FFFF00"/>
            <w:tcMar>
              <w:left w:w="101" w:type="dxa"/>
              <w:right w:w="101" w:type="dxa"/>
            </w:tcMar>
            <w:vAlign w:val="bottom"/>
          </w:tcPr>
          <w:p w14:paraId="07C79FD0" w14:textId="77777777" w:rsidR="003F0EEA" w:rsidRPr="001134D8" w:rsidRDefault="003F0EEA">
            <w:pPr>
              <w:rPr>
                <w:rFonts w:ascii="Arial" w:eastAsia="Arial" w:hAnsi="Arial" w:cs="Arial"/>
                <w:color w:val="000000"/>
                <w:sz w:val="16"/>
                <w:szCs w:val="20"/>
              </w:rPr>
            </w:pP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104A9A40" w14:textId="77777777" w:rsidR="003F0EEA" w:rsidRPr="001134D8" w:rsidRDefault="003F0EEA">
            <w:pPr>
              <w:rPr>
                <w:rFonts w:ascii="Arial" w:eastAsia="Arial" w:hAnsi="Arial" w:cs="Arial"/>
                <w:color w:val="000000"/>
                <w:sz w:val="16"/>
                <w:szCs w:val="20"/>
              </w:rPr>
            </w:pP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190C38C2" w14:textId="77777777" w:rsidR="003F0EEA" w:rsidRPr="001134D8" w:rsidRDefault="003F0EEA">
            <w:pPr>
              <w:rPr>
                <w:rFonts w:ascii="Arial" w:eastAsia="Arial" w:hAnsi="Arial" w:cs="Arial"/>
                <w:color w:val="000000"/>
                <w:sz w:val="16"/>
                <w:szCs w:val="20"/>
              </w:rPr>
            </w:pP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04EA241A" w14:textId="77777777" w:rsidR="003F0EEA" w:rsidRPr="001134D8" w:rsidRDefault="003F0EEA">
            <w:pPr>
              <w:rPr>
                <w:rFonts w:ascii="Arial" w:eastAsia="Arial" w:hAnsi="Arial" w:cs="Arial"/>
                <w:color w:val="000000"/>
                <w:sz w:val="16"/>
                <w:szCs w:val="20"/>
              </w:rPr>
            </w:pPr>
          </w:p>
        </w:tc>
      </w:tr>
      <w:tr w:rsidR="00FB7D0B" w14:paraId="37E7D99D" w14:textId="77777777" w:rsidTr="00FB7D0B">
        <w:trPr>
          <w:trHeight w:val="225"/>
        </w:trPr>
        <w:tc>
          <w:tcPr>
            <w:tcW w:w="180" w:type="dxa"/>
            <w:tcBorders>
              <w:top w:val="nil"/>
              <w:left w:val="nil"/>
              <w:bottom w:val="nil"/>
              <w:right w:val="nil"/>
              <w:tl2br w:val="nil"/>
              <w:tr2bl w:val="nil"/>
            </w:tcBorders>
            <w:shd w:val="clear" w:color="auto" w:fill="FFFFFF"/>
            <w:tcMar>
              <w:left w:w="101" w:type="dxa"/>
              <w:right w:w="101" w:type="dxa"/>
            </w:tcMar>
            <w:vAlign w:val="bottom"/>
          </w:tcPr>
          <w:p w14:paraId="795D207C" w14:textId="77777777" w:rsidR="003F0EEA" w:rsidRPr="001134D8" w:rsidRDefault="003F0EEA">
            <w:pPr>
              <w:rPr>
                <w:rFonts w:ascii="Arial" w:eastAsia="Arial" w:hAnsi="Arial" w:cs="Arial"/>
                <w:color w:val="000000"/>
                <w:sz w:val="16"/>
                <w:szCs w:val="20"/>
              </w:rPr>
            </w:pPr>
          </w:p>
        </w:tc>
        <w:tc>
          <w:tcPr>
            <w:tcW w:w="2880" w:type="dxa"/>
            <w:gridSpan w:val="2"/>
            <w:vMerge w:val="restart"/>
            <w:tcBorders>
              <w:top w:val="nil"/>
              <w:left w:val="nil"/>
              <w:bottom w:val="nil"/>
              <w:right w:val="nil"/>
              <w:tl2br w:val="nil"/>
              <w:tr2bl w:val="nil"/>
            </w:tcBorders>
            <w:shd w:val="clear" w:color="auto" w:fill="FFFFFF"/>
            <w:tcMar>
              <w:left w:w="101" w:type="dxa"/>
              <w:right w:w="101" w:type="dxa"/>
            </w:tcMar>
            <w:vAlign w:val="bottom"/>
          </w:tcPr>
          <w:p w14:paraId="04B421FF" w14:textId="77777777" w:rsidR="003F0EEA" w:rsidRPr="001134D8" w:rsidRDefault="00FB7D0B">
            <w:pPr>
              <w:rPr>
                <w:rFonts w:ascii="Arial" w:eastAsia="Arial" w:hAnsi="Arial" w:cs="Arial"/>
                <w:color w:val="000000"/>
                <w:sz w:val="16"/>
                <w:szCs w:val="20"/>
              </w:rPr>
            </w:pPr>
            <w:r w:rsidRPr="001134D8">
              <w:rPr>
                <w:rFonts w:ascii="Arial" w:eastAsia="Arial" w:hAnsi="Arial" w:cs="Arial"/>
                <w:color w:val="000000"/>
                <w:sz w:val="16"/>
                <w:szCs w:val="20"/>
              </w:rPr>
              <w:t>Investments</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0D88EB50" w14:textId="77777777" w:rsidR="003F0EEA" w:rsidRPr="001134D8" w:rsidRDefault="00FB7D0B">
            <w:pPr>
              <w:jc w:val="right"/>
              <w:rPr>
                <w:rFonts w:ascii="Arial" w:eastAsia="Arial" w:hAnsi="Arial" w:cs="Arial"/>
                <w:color w:val="000000"/>
                <w:sz w:val="16"/>
                <w:szCs w:val="20"/>
              </w:rPr>
            </w:pPr>
            <w:r w:rsidRPr="001134D8">
              <w:rPr>
                <w:rFonts w:ascii="Arial" w:eastAsia="Arial" w:hAnsi="Arial" w:cs="Arial"/>
                <w:color w:val="000000"/>
                <w:sz w:val="16"/>
                <w:szCs w:val="20"/>
              </w:rPr>
              <w:t xml:space="preserve"> 3,000 </w:t>
            </w:r>
          </w:p>
        </w:tc>
        <w:tc>
          <w:tcPr>
            <w:tcW w:w="915" w:type="dxa"/>
            <w:tcBorders>
              <w:top w:val="nil"/>
              <w:left w:val="nil"/>
              <w:bottom w:val="nil"/>
              <w:right w:val="nil"/>
              <w:tl2br w:val="nil"/>
              <w:tr2bl w:val="nil"/>
            </w:tcBorders>
            <w:shd w:val="clear" w:color="auto" w:fill="FFFF00"/>
            <w:tcMar>
              <w:left w:w="101" w:type="dxa"/>
              <w:right w:w="101" w:type="dxa"/>
            </w:tcMar>
            <w:vAlign w:val="bottom"/>
          </w:tcPr>
          <w:p w14:paraId="58B80DF7" w14:textId="77777777" w:rsidR="003F0EEA" w:rsidRPr="001134D8" w:rsidRDefault="00FB7D0B">
            <w:pPr>
              <w:jc w:val="right"/>
              <w:rPr>
                <w:rFonts w:ascii="Arial" w:eastAsia="Arial" w:hAnsi="Arial" w:cs="Arial"/>
                <w:color w:val="000000"/>
                <w:sz w:val="16"/>
                <w:szCs w:val="20"/>
              </w:rPr>
            </w:pPr>
            <w:r w:rsidRPr="001134D8">
              <w:rPr>
                <w:rFonts w:ascii="Arial" w:eastAsia="Arial" w:hAnsi="Arial" w:cs="Arial"/>
                <w:color w:val="000000"/>
                <w:sz w:val="16"/>
                <w:szCs w:val="20"/>
              </w:rPr>
              <w:t xml:space="preserve"> 1,800 </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27FC9586" w14:textId="77777777" w:rsidR="003F0EEA" w:rsidRPr="001134D8" w:rsidRDefault="00FB7D0B">
            <w:pPr>
              <w:jc w:val="right"/>
              <w:rPr>
                <w:rFonts w:ascii="Arial" w:eastAsia="Arial" w:hAnsi="Arial" w:cs="Arial"/>
                <w:color w:val="000000"/>
                <w:sz w:val="16"/>
                <w:szCs w:val="20"/>
              </w:rPr>
            </w:pPr>
            <w:r w:rsidRPr="001134D8">
              <w:rPr>
                <w:rFonts w:ascii="Arial" w:eastAsia="Arial" w:hAnsi="Arial" w:cs="Arial"/>
                <w:color w:val="000000"/>
                <w:sz w:val="16"/>
                <w:szCs w:val="20"/>
              </w:rPr>
              <w:t xml:space="preserve"> 3,000 </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2000F286" w14:textId="77777777" w:rsidR="003F0EEA" w:rsidRPr="001134D8" w:rsidRDefault="00FB7D0B">
            <w:pPr>
              <w:jc w:val="right"/>
              <w:rPr>
                <w:rFonts w:ascii="Arial" w:eastAsia="Arial" w:hAnsi="Arial" w:cs="Arial"/>
                <w:color w:val="000000"/>
                <w:sz w:val="16"/>
                <w:szCs w:val="20"/>
              </w:rPr>
            </w:pPr>
            <w:r w:rsidRPr="001134D8">
              <w:rPr>
                <w:rFonts w:ascii="Arial" w:eastAsia="Arial" w:hAnsi="Arial" w:cs="Arial"/>
                <w:color w:val="000000"/>
                <w:sz w:val="16"/>
                <w:szCs w:val="20"/>
              </w:rPr>
              <w:t xml:space="preserve"> 4,400 </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5F64C509" w14:textId="77777777" w:rsidR="003F0EEA" w:rsidRPr="001134D8" w:rsidRDefault="00FB7D0B">
            <w:pPr>
              <w:jc w:val="right"/>
              <w:rPr>
                <w:rFonts w:ascii="Arial" w:eastAsia="Arial" w:hAnsi="Arial" w:cs="Arial"/>
                <w:color w:val="000000"/>
                <w:sz w:val="16"/>
                <w:szCs w:val="20"/>
              </w:rPr>
            </w:pPr>
            <w:r w:rsidRPr="001134D8">
              <w:rPr>
                <w:rFonts w:ascii="Arial" w:eastAsia="Arial" w:hAnsi="Arial" w:cs="Arial"/>
                <w:color w:val="000000"/>
                <w:sz w:val="16"/>
                <w:szCs w:val="20"/>
              </w:rPr>
              <w:t xml:space="preserve"> 6,000 </w:t>
            </w:r>
          </w:p>
        </w:tc>
      </w:tr>
      <w:tr w:rsidR="00FB7D0B" w14:paraId="260AC4A3" w14:textId="77777777" w:rsidTr="00FB7D0B">
        <w:trPr>
          <w:trHeight w:val="225"/>
        </w:trPr>
        <w:tc>
          <w:tcPr>
            <w:tcW w:w="3060" w:type="dxa"/>
            <w:gridSpan w:val="3"/>
            <w:tcBorders>
              <w:top w:val="nil"/>
              <w:left w:val="nil"/>
              <w:bottom w:val="nil"/>
              <w:right w:val="nil"/>
              <w:tl2br w:val="nil"/>
              <w:tr2bl w:val="nil"/>
            </w:tcBorders>
            <w:shd w:val="clear" w:color="auto" w:fill="FFFFFF"/>
            <w:tcMar>
              <w:left w:w="101" w:type="dxa"/>
              <w:right w:w="101" w:type="dxa"/>
            </w:tcMar>
            <w:vAlign w:val="bottom"/>
          </w:tcPr>
          <w:p w14:paraId="549432BA" w14:textId="77777777" w:rsidR="003F0EEA" w:rsidRPr="001134D8" w:rsidRDefault="00FB7D0B">
            <w:pPr>
              <w:rPr>
                <w:rFonts w:ascii="Arial" w:eastAsia="Arial" w:hAnsi="Arial" w:cs="Arial"/>
                <w:color w:val="000000"/>
                <w:sz w:val="16"/>
                <w:szCs w:val="20"/>
              </w:rPr>
            </w:pPr>
            <w:r w:rsidRPr="001134D8">
              <w:rPr>
                <w:rFonts w:ascii="Arial" w:eastAsia="Arial" w:hAnsi="Arial" w:cs="Arial"/>
                <w:b/>
                <w:i/>
                <w:color w:val="000000"/>
                <w:sz w:val="16"/>
                <w:szCs w:val="20"/>
              </w:rPr>
              <w:t>Total cash used</w:t>
            </w:r>
          </w:p>
        </w:tc>
        <w:tc>
          <w:tcPr>
            <w:tcW w:w="915"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546AE97A" w14:textId="77777777" w:rsidR="003F0EEA" w:rsidRPr="001134D8" w:rsidRDefault="00FB7D0B">
            <w:pPr>
              <w:jc w:val="right"/>
              <w:rPr>
                <w:rFonts w:ascii="Arial" w:eastAsia="Arial" w:hAnsi="Arial" w:cs="Arial"/>
                <w:b/>
                <w:i/>
                <w:color w:val="000000"/>
                <w:sz w:val="16"/>
                <w:szCs w:val="20"/>
              </w:rPr>
            </w:pPr>
            <w:r w:rsidRPr="001134D8">
              <w:rPr>
                <w:rFonts w:ascii="Arial" w:eastAsia="Arial" w:hAnsi="Arial" w:cs="Arial"/>
                <w:b/>
                <w:color w:val="000000"/>
                <w:sz w:val="16"/>
                <w:szCs w:val="20"/>
              </w:rPr>
              <w:t xml:space="preserve"> 3,000 </w:t>
            </w:r>
          </w:p>
        </w:tc>
        <w:tc>
          <w:tcPr>
            <w:tcW w:w="915" w:type="dxa"/>
            <w:tcBorders>
              <w:top w:val="single" w:sz="6" w:space="0" w:color="000000"/>
              <w:left w:val="nil"/>
              <w:bottom w:val="single" w:sz="6" w:space="0" w:color="000000"/>
              <w:right w:val="nil"/>
              <w:tl2br w:val="nil"/>
              <w:tr2bl w:val="nil"/>
            </w:tcBorders>
            <w:shd w:val="clear" w:color="auto" w:fill="FFFF00"/>
            <w:tcMar>
              <w:left w:w="101" w:type="dxa"/>
              <w:right w:w="101" w:type="dxa"/>
            </w:tcMar>
            <w:vAlign w:val="bottom"/>
          </w:tcPr>
          <w:p w14:paraId="248BDA58" w14:textId="77777777" w:rsidR="003F0EEA" w:rsidRPr="001134D8" w:rsidRDefault="00FB7D0B">
            <w:pPr>
              <w:jc w:val="right"/>
              <w:rPr>
                <w:rFonts w:ascii="Arial" w:eastAsia="Arial" w:hAnsi="Arial" w:cs="Arial"/>
                <w:b/>
                <w:color w:val="000000"/>
                <w:sz w:val="16"/>
                <w:szCs w:val="20"/>
              </w:rPr>
            </w:pPr>
            <w:r w:rsidRPr="001134D8">
              <w:rPr>
                <w:rFonts w:ascii="Arial" w:eastAsia="Arial" w:hAnsi="Arial" w:cs="Arial"/>
                <w:b/>
                <w:color w:val="000000"/>
                <w:sz w:val="16"/>
                <w:szCs w:val="20"/>
              </w:rPr>
              <w:t xml:space="preserve"> 1,800 </w:t>
            </w:r>
          </w:p>
        </w:tc>
        <w:tc>
          <w:tcPr>
            <w:tcW w:w="915"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24442076" w14:textId="77777777" w:rsidR="003F0EEA" w:rsidRPr="001134D8" w:rsidRDefault="00FB7D0B">
            <w:pPr>
              <w:jc w:val="right"/>
              <w:rPr>
                <w:rFonts w:ascii="Arial" w:eastAsia="Arial" w:hAnsi="Arial" w:cs="Arial"/>
                <w:b/>
                <w:color w:val="000000"/>
                <w:sz w:val="16"/>
                <w:szCs w:val="20"/>
              </w:rPr>
            </w:pPr>
            <w:r w:rsidRPr="001134D8">
              <w:rPr>
                <w:rFonts w:ascii="Arial" w:eastAsia="Arial" w:hAnsi="Arial" w:cs="Arial"/>
                <w:b/>
                <w:color w:val="000000"/>
                <w:sz w:val="16"/>
                <w:szCs w:val="20"/>
              </w:rPr>
              <w:t xml:space="preserve"> 3,000 </w:t>
            </w:r>
          </w:p>
        </w:tc>
        <w:tc>
          <w:tcPr>
            <w:tcW w:w="915"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649E1513" w14:textId="77777777" w:rsidR="003F0EEA" w:rsidRPr="001134D8" w:rsidRDefault="00FB7D0B">
            <w:pPr>
              <w:jc w:val="right"/>
              <w:rPr>
                <w:rFonts w:ascii="Arial" w:eastAsia="Arial" w:hAnsi="Arial" w:cs="Arial"/>
                <w:b/>
                <w:color w:val="000000"/>
                <w:sz w:val="16"/>
                <w:szCs w:val="20"/>
              </w:rPr>
            </w:pPr>
            <w:r w:rsidRPr="001134D8">
              <w:rPr>
                <w:rFonts w:ascii="Arial" w:eastAsia="Arial" w:hAnsi="Arial" w:cs="Arial"/>
                <w:b/>
                <w:color w:val="000000"/>
                <w:sz w:val="16"/>
                <w:szCs w:val="20"/>
              </w:rPr>
              <w:t xml:space="preserve"> 4,400 </w:t>
            </w:r>
          </w:p>
        </w:tc>
        <w:tc>
          <w:tcPr>
            <w:tcW w:w="915"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1F9B5B50" w14:textId="77777777" w:rsidR="003F0EEA" w:rsidRPr="001134D8" w:rsidRDefault="00FB7D0B">
            <w:pPr>
              <w:jc w:val="right"/>
              <w:rPr>
                <w:rFonts w:ascii="Arial" w:eastAsia="Arial" w:hAnsi="Arial" w:cs="Arial"/>
                <w:b/>
                <w:color w:val="000000"/>
                <w:sz w:val="16"/>
                <w:szCs w:val="20"/>
              </w:rPr>
            </w:pPr>
            <w:r w:rsidRPr="001134D8">
              <w:rPr>
                <w:rFonts w:ascii="Arial" w:eastAsia="Arial" w:hAnsi="Arial" w:cs="Arial"/>
                <w:b/>
                <w:color w:val="000000"/>
                <w:sz w:val="16"/>
                <w:szCs w:val="20"/>
              </w:rPr>
              <w:t xml:space="preserve"> 6,000 </w:t>
            </w:r>
          </w:p>
        </w:tc>
      </w:tr>
      <w:tr w:rsidR="00FB7D0B" w14:paraId="191D2851" w14:textId="77777777" w:rsidTr="00FB7D0B">
        <w:trPr>
          <w:trHeight w:val="225"/>
        </w:trPr>
        <w:tc>
          <w:tcPr>
            <w:tcW w:w="3060" w:type="dxa"/>
            <w:gridSpan w:val="3"/>
            <w:tcBorders>
              <w:top w:val="nil"/>
              <w:left w:val="nil"/>
              <w:bottom w:val="nil"/>
              <w:right w:val="nil"/>
              <w:tl2br w:val="nil"/>
              <w:tr2bl w:val="nil"/>
            </w:tcBorders>
            <w:shd w:val="clear" w:color="auto" w:fill="FFFFFF"/>
            <w:tcMar>
              <w:left w:w="101" w:type="dxa"/>
              <w:right w:w="101" w:type="dxa"/>
            </w:tcMar>
            <w:vAlign w:val="bottom"/>
          </w:tcPr>
          <w:p w14:paraId="06265A04" w14:textId="77777777" w:rsidR="003F0EEA" w:rsidRPr="001134D8" w:rsidRDefault="00FB7D0B">
            <w:pPr>
              <w:rPr>
                <w:rFonts w:ascii="Arial" w:eastAsia="Arial" w:hAnsi="Arial" w:cs="Arial"/>
                <w:b/>
                <w:color w:val="000000"/>
                <w:sz w:val="16"/>
                <w:szCs w:val="20"/>
              </w:rPr>
            </w:pPr>
            <w:r w:rsidRPr="001134D8">
              <w:rPr>
                <w:rFonts w:ascii="Arial" w:eastAsia="Arial" w:hAnsi="Arial" w:cs="Arial"/>
                <w:b/>
                <w:color w:val="000000"/>
                <w:sz w:val="16"/>
                <w:szCs w:val="20"/>
              </w:rPr>
              <w:t xml:space="preserve">Net cash from (used by)  </w:t>
            </w:r>
          </w:p>
        </w:tc>
        <w:tc>
          <w:tcPr>
            <w:tcW w:w="915" w:type="dxa"/>
            <w:tcBorders>
              <w:top w:val="none" w:sz="2" w:space="0" w:color="000000"/>
              <w:left w:val="nil"/>
              <w:bottom w:val="nil"/>
              <w:right w:val="nil"/>
              <w:tl2br w:val="nil"/>
              <w:tr2bl w:val="nil"/>
            </w:tcBorders>
            <w:shd w:val="clear" w:color="auto" w:fill="FFFFFF"/>
            <w:tcMar>
              <w:left w:w="101" w:type="dxa"/>
              <w:right w:w="101" w:type="dxa"/>
            </w:tcMar>
            <w:vAlign w:val="bottom"/>
          </w:tcPr>
          <w:p w14:paraId="0857F2CB" w14:textId="77777777" w:rsidR="003F0EEA" w:rsidRPr="001134D8" w:rsidRDefault="003F0EEA">
            <w:pPr>
              <w:rPr>
                <w:rFonts w:ascii="Arial" w:eastAsia="Arial" w:hAnsi="Arial" w:cs="Arial"/>
                <w:b/>
                <w:color w:val="000000"/>
                <w:sz w:val="16"/>
                <w:szCs w:val="20"/>
              </w:rPr>
            </w:pPr>
          </w:p>
        </w:tc>
        <w:tc>
          <w:tcPr>
            <w:tcW w:w="915" w:type="dxa"/>
            <w:tcBorders>
              <w:top w:val="none" w:sz="2" w:space="0" w:color="000000"/>
              <w:left w:val="nil"/>
              <w:bottom w:val="nil"/>
              <w:right w:val="nil"/>
              <w:tl2br w:val="nil"/>
              <w:tr2bl w:val="nil"/>
            </w:tcBorders>
            <w:shd w:val="clear" w:color="auto" w:fill="FFFF00"/>
            <w:tcMar>
              <w:left w:w="101" w:type="dxa"/>
              <w:right w:w="101" w:type="dxa"/>
            </w:tcMar>
            <w:vAlign w:val="bottom"/>
          </w:tcPr>
          <w:p w14:paraId="310A1716" w14:textId="77777777" w:rsidR="003F0EEA" w:rsidRPr="001134D8" w:rsidRDefault="003F0EEA">
            <w:pPr>
              <w:rPr>
                <w:rFonts w:ascii="Arial" w:eastAsia="Arial" w:hAnsi="Arial" w:cs="Arial"/>
                <w:b/>
                <w:color w:val="000000"/>
                <w:sz w:val="16"/>
                <w:szCs w:val="20"/>
              </w:rPr>
            </w:pPr>
          </w:p>
        </w:tc>
        <w:tc>
          <w:tcPr>
            <w:tcW w:w="915" w:type="dxa"/>
            <w:tcBorders>
              <w:top w:val="none" w:sz="2" w:space="0" w:color="000000"/>
              <w:left w:val="nil"/>
              <w:bottom w:val="nil"/>
              <w:right w:val="nil"/>
              <w:tl2br w:val="nil"/>
              <w:tr2bl w:val="nil"/>
            </w:tcBorders>
            <w:shd w:val="clear" w:color="auto" w:fill="FFFFFF"/>
            <w:tcMar>
              <w:left w:w="101" w:type="dxa"/>
              <w:right w:w="101" w:type="dxa"/>
            </w:tcMar>
            <w:vAlign w:val="bottom"/>
          </w:tcPr>
          <w:p w14:paraId="6B246974" w14:textId="77777777" w:rsidR="003F0EEA" w:rsidRPr="001134D8" w:rsidRDefault="003F0EEA">
            <w:pPr>
              <w:rPr>
                <w:rFonts w:ascii="Arial" w:eastAsia="Arial" w:hAnsi="Arial" w:cs="Arial"/>
                <w:b/>
                <w:color w:val="000000"/>
                <w:sz w:val="16"/>
                <w:szCs w:val="20"/>
              </w:rPr>
            </w:pPr>
          </w:p>
        </w:tc>
        <w:tc>
          <w:tcPr>
            <w:tcW w:w="915" w:type="dxa"/>
            <w:tcBorders>
              <w:top w:val="none" w:sz="2" w:space="0" w:color="000000"/>
              <w:left w:val="nil"/>
              <w:bottom w:val="nil"/>
              <w:right w:val="nil"/>
              <w:tl2br w:val="nil"/>
              <w:tr2bl w:val="nil"/>
            </w:tcBorders>
            <w:shd w:val="clear" w:color="auto" w:fill="FFFFFF"/>
            <w:tcMar>
              <w:left w:w="101" w:type="dxa"/>
              <w:right w:w="101" w:type="dxa"/>
            </w:tcMar>
            <w:vAlign w:val="bottom"/>
          </w:tcPr>
          <w:p w14:paraId="6EEE6566" w14:textId="77777777" w:rsidR="003F0EEA" w:rsidRPr="001134D8" w:rsidRDefault="003F0EEA">
            <w:pPr>
              <w:rPr>
                <w:rFonts w:ascii="Arial" w:eastAsia="Arial" w:hAnsi="Arial" w:cs="Arial"/>
                <w:b/>
                <w:color w:val="000000"/>
                <w:sz w:val="16"/>
                <w:szCs w:val="20"/>
              </w:rPr>
            </w:pPr>
          </w:p>
        </w:tc>
        <w:tc>
          <w:tcPr>
            <w:tcW w:w="915" w:type="dxa"/>
            <w:tcBorders>
              <w:top w:val="none" w:sz="2" w:space="0" w:color="000000"/>
              <w:left w:val="nil"/>
              <w:bottom w:val="nil"/>
              <w:right w:val="nil"/>
              <w:tl2br w:val="nil"/>
              <w:tr2bl w:val="nil"/>
            </w:tcBorders>
            <w:shd w:val="clear" w:color="auto" w:fill="FFFFFF"/>
            <w:tcMar>
              <w:left w:w="101" w:type="dxa"/>
              <w:right w:w="101" w:type="dxa"/>
            </w:tcMar>
            <w:vAlign w:val="bottom"/>
          </w:tcPr>
          <w:p w14:paraId="4AB4E760" w14:textId="77777777" w:rsidR="003F0EEA" w:rsidRPr="001134D8" w:rsidRDefault="003F0EEA">
            <w:pPr>
              <w:rPr>
                <w:rFonts w:ascii="Arial" w:eastAsia="Arial" w:hAnsi="Arial" w:cs="Arial"/>
                <w:b/>
                <w:color w:val="000000"/>
                <w:sz w:val="16"/>
                <w:szCs w:val="20"/>
              </w:rPr>
            </w:pPr>
          </w:p>
        </w:tc>
      </w:tr>
      <w:tr w:rsidR="00FB7D0B" w14:paraId="0D6954E6" w14:textId="77777777" w:rsidTr="00FB7D0B">
        <w:trPr>
          <w:trHeight w:val="225"/>
        </w:trPr>
        <w:tc>
          <w:tcPr>
            <w:tcW w:w="180" w:type="dxa"/>
            <w:tcBorders>
              <w:top w:val="nil"/>
              <w:left w:val="nil"/>
              <w:bottom w:val="nil"/>
              <w:right w:val="nil"/>
              <w:tl2br w:val="nil"/>
              <w:tr2bl w:val="nil"/>
            </w:tcBorders>
            <w:shd w:val="clear" w:color="auto" w:fill="FFFFFF"/>
            <w:tcMar>
              <w:left w:w="101" w:type="dxa"/>
              <w:right w:w="101" w:type="dxa"/>
            </w:tcMar>
            <w:vAlign w:val="bottom"/>
          </w:tcPr>
          <w:p w14:paraId="0EA0681F" w14:textId="77777777" w:rsidR="003F0EEA" w:rsidRPr="001134D8" w:rsidRDefault="003F0EEA">
            <w:pPr>
              <w:rPr>
                <w:rFonts w:ascii="Arial" w:eastAsia="Arial" w:hAnsi="Arial" w:cs="Arial"/>
                <w:b/>
                <w:color w:val="000000"/>
                <w:sz w:val="16"/>
                <w:szCs w:val="20"/>
              </w:rPr>
            </w:pPr>
          </w:p>
        </w:tc>
        <w:tc>
          <w:tcPr>
            <w:tcW w:w="2880" w:type="dxa"/>
            <w:gridSpan w:val="2"/>
            <w:vMerge w:val="restart"/>
            <w:tcBorders>
              <w:top w:val="nil"/>
              <w:left w:val="nil"/>
              <w:bottom w:val="nil"/>
              <w:right w:val="nil"/>
              <w:tl2br w:val="nil"/>
              <w:tr2bl w:val="nil"/>
            </w:tcBorders>
            <w:shd w:val="clear" w:color="auto" w:fill="FFFFFF"/>
            <w:tcMar>
              <w:left w:w="101" w:type="dxa"/>
              <w:right w:w="101" w:type="dxa"/>
            </w:tcMar>
            <w:vAlign w:val="bottom"/>
          </w:tcPr>
          <w:p w14:paraId="3AC725AF" w14:textId="77777777" w:rsidR="003F0EEA" w:rsidRPr="001134D8" w:rsidRDefault="00FB7D0B">
            <w:pPr>
              <w:rPr>
                <w:rFonts w:ascii="Arial" w:eastAsia="Arial" w:hAnsi="Arial" w:cs="Arial"/>
                <w:color w:val="000000"/>
                <w:sz w:val="16"/>
                <w:szCs w:val="20"/>
              </w:rPr>
            </w:pPr>
            <w:r w:rsidRPr="001134D8">
              <w:rPr>
                <w:rFonts w:ascii="Arial" w:eastAsia="Arial" w:hAnsi="Arial" w:cs="Arial"/>
                <w:b/>
                <w:color w:val="000000"/>
                <w:sz w:val="16"/>
                <w:szCs w:val="20"/>
              </w:rPr>
              <w:t>investing activities</w:t>
            </w:r>
          </w:p>
        </w:tc>
        <w:tc>
          <w:tcPr>
            <w:tcW w:w="915"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04FD7BCD" w14:textId="77777777" w:rsidR="003F0EEA" w:rsidRPr="001134D8" w:rsidRDefault="00FB7D0B">
            <w:pPr>
              <w:jc w:val="right"/>
              <w:rPr>
                <w:rFonts w:ascii="Arial" w:eastAsia="Arial" w:hAnsi="Arial" w:cs="Arial"/>
                <w:b/>
                <w:color w:val="000000"/>
                <w:sz w:val="16"/>
                <w:szCs w:val="20"/>
              </w:rPr>
            </w:pPr>
            <w:r w:rsidRPr="001134D8">
              <w:rPr>
                <w:rFonts w:ascii="Arial" w:eastAsia="Arial" w:hAnsi="Arial" w:cs="Arial"/>
                <w:b/>
                <w:color w:val="000000"/>
                <w:sz w:val="16"/>
                <w:szCs w:val="20"/>
              </w:rPr>
              <w:t>(3,000)</w:t>
            </w:r>
          </w:p>
        </w:tc>
        <w:tc>
          <w:tcPr>
            <w:tcW w:w="915" w:type="dxa"/>
            <w:tcBorders>
              <w:top w:val="nil"/>
              <w:left w:val="nil"/>
              <w:bottom w:val="single" w:sz="6" w:space="0" w:color="000000"/>
              <w:right w:val="nil"/>
              <w:tl2br w:val="nil"/>
              <w:tr2bl w:val="nil"/>
            </w:tcBorders>
            <w:shd w:val="clear" w:color="auto" w:fill="FFFF00"/>
            <w:tcMar>
              <w:left w:w="101" w:type="dxa"/>
              <w:right w:w="101" w:type="dxa"/>
            </w:tcMar>
            <w:vAlign w:val="bottom"/>
          </w:tcPr>
          <w:p w14:paraId="0B83170E" w14:textId="77777777" w:rsidR="003F0EEA" w:rsidRPr="001134D8" w:rsidRDefault="00FB7D0B">
            <w:pPr>
              <w:jc w:val="right"/>
              <w:rPr>
                <w:rFonts w:ascii="Arial" w:eastAsia="Arial" w:hAnsi="Arial" w:cs="Arial"/>
                <w:b/>
                <w:color w:val="000000"/>
                <w:sz w:val="16"/>
                <w:szCs w:val="20"/>
              </w:rPr>
            </w:pPr>
            <w:r w:rsidRPr="001134D8">
              <w:rPr>
                <w:rFonts w:ascii="Arial" w:eastAsia="Arial" w:hAnsi="Arial" w:cs="Arial"/>
                <w:b/>
                <w:color w:val="000000"/>
                <w:sz w:val="16"/>
                <w:szCs w:val="20"/>
              </w:rPr>
              <w:t>(1,800)</w:t>
            </w:r>
          </w:p>
        </w:tc>
        <w:tc>
          <w:tcPr>
            <w:tcW w:w="915"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3F1834AD" w14:textId="77777777" w:rsidR="003F0EEA" w:rsidRPr="001134D8" w:rsidRDefault="00FB7D0B">
            <w:pPr>
              <w:jc w:val="right"/>
              <w:rPr>
                <w:rFonts w:ascii="Arial" w:eastAsia="Arial" w:hAnsi="Arial" w:cs="Arial"/>
                <w:b/>
                <w:color w:val="000000"/>
                <w:sz w:val="16"/>
                <w:szCs w:val="20"/>
              </w:rPr>
            </w:pPr>
            <w:r w:rsidRPr="001134D8">
              <w:rPr>
                <w:rFonts w:ascii="Arial" w:eastAsia="Arial" w:hAnsi="Arial" w:cs="Arial"/>
                <w:b/>
                <w:color w:val="000000"/>
                <w:sz w:val="16"/>
                <w:szCs w:val="20"/>
              </w:rPr>
              <w:t>(3,000)</w:t>
            </w:r>
          </w:p>
        </w:tc>
        <w:tc>
          <w:tcPr>
            <w:tcW w:w="915"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1EA99A5B" w14:textId="77777777" w:rsidR="003F0EEA" w:rsidRPr="001134D8" w:rsidRDefault="00FB7D0B">
            <w:pPr>
              <w:jc w:val="right"/>
              <w:rPr>
                <w:rFonts w:ascii="Arial" w:eastAsia="Arial" w:hAnsi="Arial" w:cs="Arial"/>
                <w:b/>
                <w:color w:val="000000"/>
                <w:sz w:val="16"/>
                <w:szCs w:val="20"/>
              </w:rPr>
            </w:pPr>
            <w:r w:rsidRPr="001134D8">
              <w:rPr>
                <w:rFonts w:ascii="Arial" w:eastAsia="Arial" w:hAnsi="Arial" w:cs="Arial"/>
                <w:b/>
                <w:color w:val="000000"/>
                <w:sz w:val="16"/>
                <w:szCs w:val="20"/>
              </w:rPr>
              <w:t>(4,400)</w:t>
            </w:r>
          </w:p>
        </w:tc>
        <w:tc>
          <w:tcPr>
            <w:tcW w:w="915"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6B934FCD" w14:textId="77777777" w:rsidR="003F0EEA" w:rsidRPr="001134D8" w:rsidRDefault="00FB7D0B">
            <w:pPr>
              <w:jc w:val="right"/>
              <w:rPr>
                <w:rFonts w:ascii="Arial" w:eastAsia="Arial" w:hAnsi="Arial" w:cs="Arial"/>
                <w:b/>
                <w:color w:val="000000"/>
                <w:sz w:val="16"/>
                <w:szCs w:val="20"/>
              </w:rPr>
            </w:pPr>
            <w:r w:rsidRPr="001134D8">
              <w:rPr>
                <w:rFonts w:ascii="Arial" w:eastAsia="Arial" w:hAnsi="Arial" w:cs="Arial"/>
                <w:b/>
                <w:color w:val="000000"/>
                <w:sz w:val="16"/>
                <w:szCs w:val="20"/>
              </w:rPr>
              <w:t>(6,000)</w:t>
            </w:r>
          </w:p>
        </w:tc>
      </w:tr>
      <w:tr w:rsidR="00FB7D0B" w14:paraId="63141D54" w14:textId="77777777" w:rsidTr="00FB7D0B">
        <w:trPr>
          <w:trHeight w:val="225"/>
        </w:trPr>
        <w:tc>
          <w:tcPr>
            <w:tcW w:w="3060" w:type="dxa"/>
            <w:gridSpan w:val="3"/>
            <w:tcBorders>
              <w:top w:val="nil"/>
              <w:left w:val="nil"/>
              <w:bottom w:val="nil"/>
              <w:right w:val="nil"/>
              <w:tl2br w:val="nil"/>
              <w:tr2bl w:val="nil"/>
            </w:tcBorders>
            <w:shd w:val="clear" w:color="auto" w:fill="FFFFFF"/>
            <w:tcMar>
              <w:left w:w="101" w:type="dxa"/>
              <w:right w:w="101" w:type="dxa"/>
            </w:tcMar>
            <w:vAlign w:val="bottom"/>
          </w:tcPr>
          <w:p w14:paraId="1CEAC4E9" w14:textId="77777777" w:rsidR="003F0EEA" w:rsidRPr="001134D8" w:rsidRDefault="00FB7D0B">
            <w:pPr>
              <w:rPr>
                <w:rFonts w:ascii="Arial" w:eastAsia="Arial" w:hAnsi="Arial" w:cs="Arial"/>
                <w:b/>
                <w:color w:val="000000"/>
                <w:sz w:val="16"/>
                <w:szCs w:val="20"/>
              </w:rPr>
            </w:pPr>
            <w:r w:rsidRPr="001134D8">
              <w:rPr>
                <w:rFonts w:ascii="Arial" w:eastAsia="Arial" w:hAnsi="Arial" w:cs="Arial"/>
                <w:b/>
                <w:color w:val="000000"/>
                <w:sz w:val="16"/>
                <w:szCs w:val="20"/>
              </w:rPr>
              <w:t>Net increase (decrease)</w:t>
            </w:r>
          </w:p>
        </w:tc>
        <w:tc>
          <w:tcPr>
            <w:tcW w:w="91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7590F1D0" w14:textId="77777777" w:rsidR="003F0EEA" w:rsidRPr="001134D8" w:rsidRDefault="003F0EEA">
            <w:pPr>
              <w:rPr>
                <w:rFonts w:ascii="Arial" w:eastAsia="Arial" w:hAnsi="Arial" w:cs="Arial"/>
                <w:b/>
                <w:color w:val="000000"/>
                <w:sz w:val="16"/>
                <w:szCs w:val="20"/>
              </w:rPr>
            </w:pPr>
          </w:p>
        </w:tc>
        <w:tc>
          <w:tcPr>
            <w:tcW w:w="915" w:type="dxa"/>
            <w:tcBorders>
              <w:top w:val="single" w:sz="6" w:space="0" w:color="000000"/>
              <w:left w:val="nil"/>
              <w:bottom w:val="nil"/>
              <w:right w:val="nil"/>
              <w:tl2br w:val="nil"/>
              <w:tr2bl w:val="nil"/>
            </w:tcBorders>
            <w:shd w:val="clear" w:color="auto" w:fill="FFFF00"/>
            <w:tcMar>
              <w:left w:w="101" w:type="dxa"/>
              <w:right w:w="101" w:type="dxa"/>
            </w:tcMar>
            <w:vAlign w:val="bottom"/>
          </w:tcPr>
          <w:p w14:paraId="5499AA3A" w14:textId="77777777" w:rsidR="003F0EEA" w:rsidRPr="001134D8" w:rsidRDefault="003F0EEA">
            <w:pPr>
              <w:rPr>
                <w:rFonts w:ascii="Arial" w:eastAsia="Arial" w:hAnsi="Arial" w:cs="Arial"/>
                <w:b/>
                <w:color w:val="000000"/>
                <w:sz w:val="16"/>
                <w:szCs w:val="20"/>
              </w:rPr>
            </w:pPr>
          </w:p>
        </w:tc>
        <w:tc>
          <w:tcPr>
            <w:tcW w:w="91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2624620A" w14:textId="77777777" w:rsidR="003F0EEA" w:rsidRPr="001134D8" w:rsidRDefault="003F0EEA">
            <w:pPr>
              <w:rPr>
                <w:rFonts w:ascii="Arial" w:eastAsia="Arial" w:hAnsi="Arial" w:cs="Arial"/>
                <w:b/>
                <w:color w:val="000000"/>
                <w:sz w:val="16"/>
                <w:szCs w:val="20"/>
              </w:rPr>
            </w:pPr>
          </w:p>
        </w:tc>
        <w:tc>
          <w:tcPr>
            <w:tcW w:w="91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5CD1F3D8" w14:textId="77777777" w:rsidR="003F0EEA" w:rsidRPr="001134D8" w:rsidRDefault="003F0EEA">
            <w:pPr>
              <w:rPr>
                <w:rFonts w:ascii="Arial" w:eastAsia="Arial" w:hAnsi="Arial" w:cs="Arial"/>
                <w:b/>
                <w:color w:val="000000"/>
                <w:sz w:val="16"/>
                <w:szCs w:val="20"/>
              </w:rPr>
            </w:pPr>
          </w:p>
        </w:tc>
        <w:tc>
          <w:tcPr>
            <w:tcW w:w="91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7D8499FB" w14:textId="77777777" w:rsidR="003F0EEA" w:rsidRPr="001134D8" w:rsidRDefault="003F0EEA">
            <w:pPr>
              <w:rPr>
                <w:rFonts w:ascii="Arial" w:eastAsia="Arial" w:hAnsi="Arial" w:cs="Arial"/>
                <w:b/>
                <w:color w:val="000000"/>
                <w:sz w:val="16"/>
                <w:szCs w:val="20"/>
              </w:rPr>
            </w:pPr>
          </w:p>
        </w:tc>
      </w:tr>
      <w:tr w:rsidR="00FB7D0B" w14:paraId="21D41958" w14:textId="77777777" w:rsidTr="00FB7D0B">
        <w:trPr>
          <w:trHeight w:val="225"/>
        </w:trPr>
        <w:tc>
          <w:tcPr>
            <w:tcW w:w="180" w:type="dxa"/>
            <w:tcBorders>
              <w:top w:val="nil"/>
              <w:left w:val="nil"/>
              <w:bottom w:val="nil"/>
              <w:right w:val="nil"/>
              <w:tl2br w:val="nil"/>
              <w:tr2bl w:val="nil"/>
            </w:tcBorders>
            <w:shd w:val="clear" w:color="auto" w:fill="FFFFFF"/>
            <w:tcMar>
              <w:left w:w="101" w:type="dxa"/>
              <w:right w:w="101" w:type="dxa"/>
            </w:tcMar>
            <w:vAlign w:val="bottom"/>
          </w:tcPr>
          <w:p w14:paraId="15B61621" w14:textId="77777777" w:rsidR="003F0EEA" w:rsidRPr="001134D8" w:rsidRDefault="003F0EEA">
            <w:pPr>
              <w:rPr>
                <w:rFonts w:ascii="Arial" w:eastAsia="Arial" w:hAnsi="Arial" w:cs="Arial"/>
                <w:b/>
                <w:color w:val="000000"/>
                <w:sz w:val="16"/>
                <w:szCs w:val="20"/>
              </w:rPr>
            </w:pPr>
          </w:p>
        </w:tc>
        <w:tc>
          <w:tcPr>
            <w:tcW w:w="2880" w:type="dxa"/>
            <w:gridSpan w:val="2"/>
            <w:tcBorders>
              <w:top w:val="nil"/>
              <w:left w:val="nil"/>
              <w:bottom w:val="nil"/>
              <w:right w:val="nil"/>
              <w:tl2br w:val="nil"/>
              <w:tr2bl w:val="nil"/>
            </w:tcBorders>
            <w:shd w:val="clear" w:color="auto" w:fill="FFFFFF"/>
            <w:tcMar>
              <w:left w:w="101" w:type="dxa"/>
              <w:right w:w="101" w:type="dxa"/>
            </w:tcMar>
            <w:vAlign w:val="bottom"/>
          </w:tcPr>
          <w:p w14:paraId="057BB813" w14:textId="77777777" w:rsidR="003F0EEA" w:rsidRPr="001134D8" w:rsidRDefault="00FB7D0B">
            <w:pPr>
              <w:rPr>
                <w:rFonts w:ascii="Arial" w:eastAsia="Arial" w:hAnsi="Arial" w:cs="Arial"/>
                <w:color w:val="000000"/>
                <w:sz w:val="16"/>
                <w:szCs w:val="20"/>
              </w:rPr>
            </w:pPr>
            <w:r w:rsidRPr="001134D8">
              <w:rPr>
                <w:rFonts w:ascii="Arial" w:eastAsia="Arial" w:hAnsi="Arial" w:cs="Arial"/>
                <w:b/>
                <w:color w:val="000000"/>
                <w:sz w:val="16"/>
                <w:szCs w:val="20"/>
              </w:rPr>
              <w:t>in cash held</w:t>
            </w:r>
          </w:p>
        </w:tc>
        <w:tc>
          <w:tcPr>
            <w:tcW w:w="915"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76515A56" w14:textId="77777777" w:rsidR="003F0EEA" w:rsidRPr="001134D8" w:rsidRDefault="00FB7D0B">
            <w:pPr>
              <w:jc w:val="right"/>
              <w:rPr>
                <w:rFonts w:ascii="Arial" w:eastAsia="Arial" w:hAnsi="Arial" w:cs="Arial"/>
                <w:b/>
                <w:color w:val="000000"/>
                <w:sz w:val="16"/>
                <w:szCs w:val="20"/>
              </w:rPr>
            </w:pPr>
            <w:r w:rsidRPr="001134D8">
              <w:rPr>
                <w:rFonts w:ascii="Arial" w:eastAsia="Arial" w:hAnsi="Arial" w:cs="Arial"/>
                <w:b/>
                <w:color w:val="000000"/>
                <w:sz w:val="16"/>
                <w:szCs w:val="20"/>
              </w:rPr>
              <w:t>(781)</w:t>
            </w:r>
          </w:p>
        </w:tc>
        <w:tc>
          <w:tcPr>
            <w:tcW w:w="915" w:type="dxa"/>
            <w:tcBorders>
              <w:top w:val="nil"/>
              <w:left w:val="nil"/>
              <w:bottom w:val="single" w:sz="6" w:space="0" w:color="000000"/>
              <w:right w:val="nil"/>
              <w:tl2br w:val="nil"/>
              <w:tr2bl w:val="nil"/>
            </w:tcBorders>
            <w:shd w:val="clear" w:color="auto" w:fill="FFFF00"/>
            <w:tcMar>
              <w:left w:w="101" w:type="dxa"/>
              <w:right w:w="101" w:type="dxa"/>
            </w:tcMar>
            <w:vAlign w:val="bottom"/>
          </w:tcPr>
          <w:p w14:paraId="2A03803E" w14:textId="77777777" w:rsidR="003F0EEA" w:rsidRPr="001134D8" w:rsidRDefault="00FB7D0B">
            <w:pPr>
              <w:jc w:val="right"/>
              <w:rPr>
                <w:rFonts w:ascii="Arial" w:eastAsia="Arial" w:hAnsi="Arial" w:cs="Arial"/>
                <w:b/>
                <w:color w:val="000000"/>
                <w:sz w:val="16"/>
                <w:szCs w:val="20"/>
              </w:rPr>
            </w:pPr>
            <w:r w:rsidRPr="001134D8">
              <w:rPr>
                <w:rFonts w:ascii="Arial" w:eastAsia="Arial" w:hAnsi="Arial" w:cs="Arial"/>
                <w:b/>
                <w:color w:val="000000"/>
                <w:sz w:val="16"/>
                <w:szCs w:val="20"/>
              </w:rPr>
              <w:t>(41)</w:t>
            </w:r>
          </w:p>
        </w:tc>
        <w:tc>
          <w:tcPr>
            <w:tcW w:w="915"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635B8CAF" w14:textId="77777777" w:rsidR="003F0EEA" w:rsidRPr="001134D8" w:rsidRDefault="00FB7D0B">
            <w:pPr>
              <w:jc w:val="right"/>
              <w:rPr>
                <w:rFonts w:ascii="Arial" w:eastAsia="Arial" w:hAnsi="Arial" w:cs="Arial"/>
                <w:b/>
                <w:color w:val="000000"/>
                <w:sz w:val="16"/>
                <w:szCs w:val="20"/>
              </w:rPr>
            </w:pPr>
            <w:r w:rsidRPr="001134D8">
              <w:rPr>
                <w:rFonts w:ascii="Arial" w:eastAsia="Arial" w:hAnsi="Arial" w:cs="Arial"/>
                <w:b/>
                <w:color w:val="000000"/>
                <w:sz w:val="16"/>
                <w:szCs w:val="20"/>
              </w:rPr>
              <w:t>(24)</w:t>
            </w:r>
          </w:p>
        </w:tc>
        <w:tc>
          <w:tcPr>
            <w:tcW w:w="915"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4A30FE53" w14:textId="77777777" w:rsidR="003F0EEA" w:rsidRPr="001134D8" w:rsidRDefault="00FB7D0B">
            <w:pPr>
              <w:jc w:val="right"/>
              <w:rPr>
                <w:rFonts w:ascii="Arial" w:eastAsia="Arial" w:hAnsi="Arial" w:cs="Arial"/>
                <w:b/>
                <w:color w:val="000000"/>
                <w:sz w:val="16"/>
                <w:szCs w:val="20"/>
              </w:rPr>
            </w:pPr>
            <w:r w:rsidRPr="001134D8">
              <w:rPr>
                <w:rFonts w:ascii="Arial" w:eastAsia="Arial" w:hAnsi="Arial" w:cs="Arial"/>
                <w:b/>
                <w:color w:val="000000"/>
                <w:sz w:val="16"/>
                <w:szCs w:val="20"/>
              </w:rPr>
              <w:t>(6)</w:t>
            </w:r>
          </w:p>
        </w:tc>
        <w:tc>
          <w:tcPr>
            <w:tcW w:w="915"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54998D71" w14:textId="77777777" w:rsidR="003F0EEA" w:rsidRPr="001134D8" w:rsidRDefault="00FB7D0B">
            <w:pPr>
              <w:jc w:val="right"/>
              <w:rPr>
                <w:rFonts w:ascii="Arial" w:eastAsia="Arial" w:hAnsi="Arial" w:cs="Arial"/>
                <w:b/>
                <w:color w:val="000000"/>
                <w:sz w:val="16"/>
                <w:szCs w:val="20"/>
              </w:rPr>
            </w:pPr>
            <w:r w:rsidRPr="001134D8">
              <w:rPr>
                <w:rFonts w:ascii="Arial" w:eastAsia="Arial" w:hAnsi="Arial" w:cs="Arial"/>
                <w:b/>
                <w:color w:val="000000"/>
                <w:sz w:val="16"/>
                <w:szCs w:val="20"/>
              </w:rPr>
              <w:t xml:space="preserve"> 38 </w:t>
            </w:r>
          </w:p>
        </w:tc>
      </w:tr>
      <w:tr w:rsidR="00FB7D0B" w14:paraId="23D14B8A" w14:textId="77777777" w:rsidTr="00FB7D0B">
        <w:trPr>
          <w:trHeight w:val="225"/>
        </w:trPr>
        <w:tc>
          <w:tcPr>
            <w:tcW w:w="180" w:type="dxa"/>
            <w:tcBorders>
              <w:top w:val="nil"/>
              <w:left w:val="nil"/>
              <w:bottom w:val="nil"/>
              <w:right w:val="nil"/>
              <w:tl2br w:val="nil"/>
              <w:tr2bl w:val="nil"/>
            </w:tcBorders>
            <w:shd w:val="clear" w:color="auto" w:fill="FFFFFF"/>
            <w:tcMar>
              <w:left w:w="101" w:type="dxa"/>
              <w:right w:w="101" w:type="dxa"/>
            </w:tcMar>
            <w:vAlign w:val="bottom"/>
          </w:tcPr>
          <w:p w14:paraId="60DD1105" w14:textId="77777777" w:rsidR="003F0EEA" w:rsidRPr="001134D8" w:rsidRDefault="003F0EEA">
            <w:pPr>
              <w:rPr>
                <w:rFonts w:ascii="Arial" w:eastAsia="Arial" w:hAnsi="Arial" w:cs="Arial"/>
                <w:b/>
                <w:color w:val="000000"/>
                <w:sz w:val="16"/>
                <w:szCs w:val="20"/>
              </w:rPr>
            </w:pPr>
          </w:p>
        </w:tc>
        <w:tc>
          <w:tcPr>
            <w:tcW w:w="2880" w:type="dxa"/>
            <w:gridSpan w:val="2"/>
            <w:tcBorders>
              <w:top w:val="nil"/>
              <w:left w:val="nil"/>
              <w:bottom w:val="nil"/>
              <w:right w:val="nil"/>
              <w:tl2br w:val="nil"/>
              <w:tr2bl w:val="nil"/>
            </w:tcBorders>
            <w:shd w:val="clear" w:color="auto" w:fill="FFFFFF"/>
            <w:tcMar>
              <w:left w:w="101" w:type="dxa"/>
              <w:right w:w="101" w:type="dxa"/>
            </w:tcMar>
            <w:vAlign w:val="bottom"/>
          </w:tcPr>
          <w:p w14:paraId="1BE2D4AB" w14:textId="77777777" w:rsidR="003F0EEA" w:rsidRPr="001134D8" w:rsidRDefault="00FB7D0B">
            <w:pPr>
              <w:rPr>
                <w:rFonts w:ascii="Arial" w:eastAsia="Arial" w:hAnsi="Arial" w:cs="Arial"/>
                <w:color w:val="000000"/>
                <w:sz w:val="16"/>
                <w:szCs w:val="20"/>
              </w:rPr>
            </w:pPr>
            <w:r w:rsidRPr="001134D8">
              <w:rPr>
                <w:rFonts w:ascii="Arial" w:eastAsia="Arial" w:hAnsi="Arial" w:cs="Arial"/>
                <w:color w:val="000000"/>
                <w:sz w:val="16"/>
                <w:szCs w:val="20"/>
              </w:rPr>
              <w:t xml:space="preserve">Cash and cash equivalents at the </w:t>
            </w:r>
          </w:p>
        </w:tc>
        <w:tc>
          <w:tcPr>
            <w:tcW w:w="91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68057484" w14:textId="77777777" w:rsidR="003F0EEA" w:rsidRPr="001134D8" w:rsidRDefault="003F0EEA">
            <w:pPr>
              <w:rPr>
                <w:rFonts w:ascii="Arial" w:eastAsia="Arial" w:hAnsi="Arial" w:cs="Arial"/>
                <w:color w:val="000000"/>
                <w:sz w:val="16"/>
                <w:szCs w:val="20"/>
              </w:rPr>
            </w:pPr>
          </w:p>
        </w:tc>
        <w:tc>
          <w:tcPr>
            <w:tcW w:w="915" w:type="dxa"/>
            <w:tcBorders>
              <w:top w:val="single" w:sz="6" w:space="0" w:color="000000"/>
              <w:left w:val="nil"/>
              <w:bottom w:val="nil"/>
              <w:right w:val="nil"/>
              <w:tl2br w:val="nil"/>
              <w:tr2bl w:val="nil"/>
            </w:tcBorders>
            <w:shd w:val="clear" w:color="auto" w:fill="FFFF00"/>
            <w:tcMar>
              <w:left w:w="101" w:type="dxa"/>
              <w:right w:w="101" w:type="dxa"/>
            </w:tcMar>
            <w:vAlign w:val="bottom"/>
          </w:tcPr>
          <w:p w14:paraId="3453E856" w14:textId="77777777" w:rsidR="003F0EEA" w:rsidRPr="001134D8" w:rsidRDefault="003F0EEA">
            <w:pPr>
              <w:rPr>
                <w:rFonts w:ascii="Arial" w:eastAsia="Arial" w:hAnsi="Arial" w:cs="Arial"/>
                <w:color w:val="000000"/>
                <w:sz w:val="16"/>
                <w:szCs w:val="20"/>
              </w:rPr>
            </w:pPr>
          </w:p>
        </w:tc>
        <w:tc>
          <w:tcPr>
            <w:tcW w:w="91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1204F2CD" w14:textId="77777777" w:rsidR="003F0EEA" w:rsidRPr="001134D8" w:rsidRDefault="003F0EEA">
            <w:pPr>
              <w:rPr>
                <w:rFonts w:ascii="Arial" w:eastAsia="Arial" w:hAnsi="Arial" w:cs="Arial"/>
                <w:color w:val="000000"/>
                <w:sz w:val="16"/>
                <w:szCs w:val="20"/>
              </w:rPr>
            </w:pPr>
          </w:p>
        </w:tc>
        <w:tc>
          <w:tcPr>
            <w:tcW w:w="91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62E367DB" w14:textId="77777777" w:rsidR="003F0EEA" w:rsidRPr="001134D8" w:rsidRDefault="003F0EEA">
            <w:pPr>
              <w:rPr>
                <w:rFonts w:ascii="Arial" w:eastAsia="Arial" w:hAnsi="Arial" w:cs="Arial"/>
                <w:color w:val="000000"/>
                <w:sz w:val="16"/>
                <w:szCs w:val="20"/>
              </w:rPr>
            </w:pPr>
          </w:p>
        </w:tc>
        <w:tc>
          <w:tcPr>
            <w:tcW w:w="91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49141E0A" w14:textId="77777777" w:rsidR="003F0EEA" w:rsidRPr="001134D8" w:rsidRDefault="003F0EEA">
            <w:pPr>
              <w:rPr>
                <w:rFonts w:ascii="Arial" w:eastAsia="Arial" w:hAnsi="Arial" w:cs="Arial"/>
                <w:color w:val="000000"/>
                <w:sz w:val="16"/>
                <w:szCs w:val="20"/>
              </w:rPr>
            </w:pPr>
          </w:p>
        </w:tc>
      </w:tr>
      <w:tr w:rsidR="00724034" w14:paraId="3C2BA32C" w14:textId="77777777">
        <w:trPr>
          <w:trHeight w:val="225"/>
        </w:trPr>
        <w:tc>
          <w:tcPr>
            <w:tcW w:w="180" w:type="dxa"/>
            <w:tcBorders>
              <w:top w:val="nil"/>
              <w:left w:val="nil"/>
              <w:bottom w:val="nil"/>
              <w:right w:val="nil"/>
              <w:tl2br w:val="nil"/>
              <w:tr2bl w:val="nil"/>
            </w:tcBorders>
            <w:shd w:val="clear" w:color="auto" w:fill="FFFFFF"/>
            <w:tcMar>
              <w:left w:w="101" w:type="dxa"/>
              <w:right w:w="101" w:type="dxa"/>
            </w:tcMar>
            <w:vAlign w:val="bottom"/>
          </w:tcPr>
          <w:p w14:paraId="2F4BA1CF" w14:textId="77777777" w:rsidR="003F0EEA" w:rsidRPr="001134D8" w:rsidRDefault="003F0EEA">
            <w:pPr>
              <w:rPr>
                <w:rFonts w:ascii="Arial" w:eastAsia="Arial" w:hAnsi="Arial" w:cs="Arial"/>
                <w:color w:val="000000"/>
                <w:sz w:val="16"/>
                <w:szCs w:val="20"/>
              </w:rPr>
            </w:pPr>
          </w:p>
        </w:tc>
        <w:tc>
          <w:tcPr>
            <w:tcW w:w="180" w:type="dxa"/>
            <w:tcBorders>
              <w:top w:val="nil"/>
              <w:left w:val="nil"/>
              <w:bottom w:val="nil"/>
              <w:right w:val="nil"/>
              <w:tl2br w:val="nil"/>
              <w:tr2bl w:val="nil"/>
            </w:tcBorders>
            <w:shd w:val="clear" w:color="auto" w:fill="FFFFFF"/>
            <w:tcMar>
              <w:left w:w="101" w:type="dxa"/>
              <w:right w:w="101" w:type="dxa"/>
            </w:tcMar>
            <w:vAlign w:val="bottom"/>
          </w:tcPr>
          <w:p w14:paraId="038B5047" w14:textId="77777777" w:rsidR="003F0EEA" w:rsidRPr="001134D8" w:rsidRDefault="003F0EEA">
            <w:pPr>
              <w:rPr>
                <w:rFonts w:ascii="Arial" w:eastAsia="Arial" w:hAnsi="Arial" w:cs="Arial"/>
                <w:color w:val="000000"/>
                <w:sz w:val="16"/>
                <w:szCs w:val="20"/>
              </w:rPr>
            </w:pPr>
          </w:p>
        </w:tc>
        <w:tc>
          <w:tcPr>
            <w:tcW w:w="2700" w:type="dxa"/>
            <w:tcBorders>
              <w:top w:val="nil"/>
              <w:left w:val="nil"/>
              <w:bottom w:val="nil"/>
              <w:right w:val="nil"/>
              <w:tl2br w:val="nil"/>
              <w:tr2bl w:val="nil"/>
            </w:tcBorders>
            <w:shd w:val="clear" w:color="auto" w:fill="FFFFFF"/>
            <w:tcMar>
              <w:left w:w="101" w:type="dxa"/>
              <w:right w:w="101" w:type="dxa"/>
            </w:tcMar>
            <w:vAlign w:val="bottom"/>
          </w:tcPr>
          <w:p w14:paraId="1293719D" w14:textId="77777777" w:rsidR="003F0EEA" w:rsidRPr="001134D8" w:rsidRDefault="00FB7D0B">
            <w:pPr>
              <w:rPr>
                <w:rFonts w:ascii="Arial" w:eastAsia="Arial" w:hAnsi="Arial" w:cs="Arial"/>
                <w:color w:val="000000"/>
                <w:sz w:val="16"/>
                <w:szCs w:val="20"/>
              </w:rPr>
            </w:pPr>
            <w:r w:rsidRPr="001134D8">
              <w:rPr>
                <w:rFonts w:ascii="Arial" w:eastAsia="Arial" w:hAnsi="Arial" w:cs="Arial"/>
                <w:color w:val="000000"/>
                <w:sz w:val="16"/>
                <w:szCs w:val="20"/>
              </w:rPr>
              <w:t>beginning of the reporting period</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3D7A41E4" w14:textId="77777777" w:rsidR="003F0EEA" w:rsidRPr="001134D8" w:rsidRDefault="00FB7D0B">
            <w:pPr>
              <w:jc w:val="right"/>
              <w:rPr>
                <w:rFonts w:ascii="Arial" w:eastAsia="Arial" w:hAnsi="Arial" w:cs="Arial"/>
                <w:color w:val="000000"/>
                <w:sz w:val="16"/>
                <w:szCs w:val="20"/>
              </w:rPr>
            </w:pPr>
            <w:r w:rsidRPr="001134D8">
              <w:rPr>
                <w:rFonts w:ascii="Arial" w:eastAsia="Arial" w:hAnsi="Arial" w:cs="Arial"/>
                <w:color w:val="000000"/>
                <w:sz w:val="16"/>
                <w:szCs w:val="20"/>
              </w:rPr>
              <w:t xml:space="preserve"> 1,875 </w:t>
            </w:r>
          </w:p>
        </w:tc>
        <w:tc>
          <w:tcPr>
            <w:tcW w:w="915" w:type="dxa"/>
            <w:tcBorders>
              <w:top w:val="nil"/>
              <w:left w:val="nil"/>
              <w:bottom w:val="nil"/>
              <w:right w:val="nil"/>
              <w:tl2br w:val="nil"/>
              <w:tr2bl w:val="nil"/>
            </w:tcBorders>
            <w:shd w:val="clear" w:color="auto" w:fill="FFFF00"/>
            <w:tcMar>
              <w:left w:w="101" w:type="dxa"/>
              <w:right w:w="101" w:type="dxa"/>
            </w:tcMar>
            <w:vAlign w:val="bottom"/>
          </w:tcPr>
          <w:p w14:paraId="163EA7F7" w14:textId="77777777" w:rsidR="003F0EEA" w:rsidRPr="001134D8" w:rsidRDefault="00FB7D0B">
            <w:pPr>
              <w:jc w:val="right"/>
              <w:rPr>
                <w:rFonts w:ascii="Arial" w:eastAsia="Arial" w:hAnsi="Arial" w:cs="Arial"/>
                <w:color w:val="000000"/>
                <w:sz w:val="16"/>
                <w:szCs w:val="20"/>
              </w:rPr>
            </w:pPr>
            <w:r w:rsidRPr="001134D8">
              <w:rPr>
                <w:rFonts w:ascii="Arial" w:eastAsia="Arial" w:hAnsi="Arial" w:cs="Arial"/>
                <w:color w:val="000000"/>
                <w:sz w:val="16"/>
                <w:szCs w:val="20"/>
              </w:rPr>
              <w:t xml:space="preserve"> 1,094 </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7CBE63ED" w14:textId="77777777" w:rsidR="003F0EEA" w:rsidRPr="001134D8" w:rsidRDefault="00FB7D0B">
            <w:pPr>
              <w:jc w:val="right"/>
              <w:rPr>
                <w:rFonts w:ascii="Arial" w:eastAsia="Arial" w:hAnsi="Arial" w:cs="Arial"/>
                <w:color w:val="000000"/>
                <w:sz w:val="16"/>
                <w:szCs w:val="20"/>
              </w:rPr>
            </w:pPr>
            <w:r w:rsidRPr="001134D8">
              <w:rPr>
                <w:rFonts w:ascii="Arial" w:eastAsia="Arial" w:hAnsi="Arial" w:cs="Arial"/>
                <w:color w:val="000000"/>
                <w:sz w:val="16"/>
                <w:szCs w:val="20"/>
              </w:rPr>
              <w:t xml:space="preserve"> 1,053 </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2F0C79F4" w14:textId="77777777" w:rsidR="003F0EEA" w:rsidRPr="001134D8" w:rsidRDefault="00FB7D0B">
            <w:pPr>
              <w:jc w:val="right"/>
              <w:rPr>
                <w:rFonts w:ascii="Arial" w:eastAsia="Arial" w:hAnsi="Arial" w:cs="Arial"/>
                <w:color w:val="000000"/>
                <w:sz w:val="16"/>
                <w:szCs w:val="20"/>
              </w:rPr>
            </w:pPr>
            <w:r w:rsidRPr="001134D8">
              <w:rPr>
                <w:rFonts w:ascii="Arial" w:eastAsia="Arial" w:hAnsi="Arial" w:cs="Arial"/>
                <w:color w:val="000000"/>
                <w:sz w:val="16"/>
                <w:szCs w:val="20"/>
              </w:rPr>
              <w:t xml:space="preserve"> 1,029 </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0CAF4D0D" w14:textId="77777777" w:rsidR="003F0EEA" w:rsidRPr="001134D8" w:rsidRDefault="00FB7D0B">
            <w:pPr>
              <w:jc w:val="right"/>
              <w:rPr>
                <w:rFonts w:ascii="Arial" w:eastAsia="Arial" w:hAnsi="Arial" w:cs="Arial"/>
                <w:color w:val="000000"/>
                <w:sz w:val="16"/>
                <w:szCs w:val="20"/>
              </w:rPr>
            </w:pPr>
            <w:r w:rsidRPr="001134D8">
              <w:rPr>
                <w:rFonts w:ascii="Arial" w:eastAsia="Arial" w:hAnsi="Arial" w:cs="Arial"/>
                <w:color w:val="000000"/>
                <w:sz w:val="16"/>
                <w:szCs w:val="20"/>
              </w:rPr>
              <w:t xml:space="preserve"> 1,023 </w:t>
            </w:r>
          </w:p>
        </w:tc>
      </w:tr>
      <w:tr w:rsidR="00FB7D0B" w14:paraId="1BA85520" w14:textId="77777777" w:rsidTr="00FB7D0B">
        <w:trPr>
          <w:trHeight w:val="225"/>
        </w:trPr>
        <w:tc>
          <w:tcPr>
            <w:tcW w:w="3060" w:type="dxa"/>
            <w:gridSpan w:val="3"/>
            <w:tcBorders>
              <w:top w:val="nil"/>
              <w:left w:val="nil"/>
              <w:bottom w:val="nil"/>
              <w:right w:val="nil"/>
              <w:tl2br w:val="nil"/>
              <w:tr2bl w:val="nil"/>
            </w:tcBorders>
            <w:shd w:val="clear" w:color="auto" w:fill="FFFFFF"/>
            <w:tcMar>
              <w:left w:w="101" w:type="dxa"/>
              <w:right w:w="101" w:type="dxa"/>
            </w:tcMar>
            <w:vAlign w:val="bottom"/>
          </w:tcPr>
          <w:p w14:paraId="711F9258" w14:textId="77777777" w:rsidR="003F0EEA" w:rsidRPr="001134D8" w:rsidRDefault="00FB7D0B">
            <w:pPr>
              <w:rPr>
                <w:rFonts w:ascii="Arial" w:eastAsia="Arial" w:hAnsi="Arial" w:cs="Arial"/>
                <w:color w:val="000000"/>
                <w:sz w:val="16"/>
                <w:szCs w:val="20"/>
              </w:rPr>
            </w:pPr>
            <w:r w:rsidRPr="001134D8">
              <w:rPr>
                <w:rFonts w:ascii="Arial" w:eastAsia="Arial" w:hAnsi="Arial" w:cs="Arial"/>
                <w:b/>
                <w:color w:val="000000"/>
                <w:sz w:val="16"/>
                <w:szCs w:val="20"/>
              </w:rPr>
              <w:t xml:space="preserve">Cash and cash equivalents at the </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633E1F1F" w14:textId="77777777" w:rsidR="003F0EEA" w:rsidRPr="001134D8" w:rsidRDefault="003F0EEA">
            <w:pPr>
              <w:rPr>
                <w:rFonts w:ascii="Arial" w:eastAsia="Arial" w:hAnsi="Arial" w:cs="Arial"/>
                <w:b/>
                <w:color w:val="000000"/>
                <w:sz w:val="16"/>
                <w:szCs w:val="20"/>
              </w:rPr>
            </w:pPr>
          </w:p>
        </w:tc>
        <w:tc>
          <w:tcPr>
            <w:tcW w:w="915" w:type="dxa"/>
            <w:tcBorders>
              <w:top w:val="nil"/>
              <w:left w:val="nil"/>
              <w:bottom w:val="nil"/>
              <w:right w:val="nil"/>
              <w:tl2br w:val="nil"/>
              <w:tr2bl w:val="nil"/>
            </w:tcBorders>
            <w:shd w:val="clear" w:color="auto" w:fill="FFFF00"/>
            <w:tcMar>
              <w:left w:w="101" w:type="dxa"/>
              <w:right w:w="101" w:type="dxa"/>
            </w:tcMar>
            <w:vAlign w:val="bottom"/>
          </w:tcPr>
          <w:p w14:paraId="613CCA7E" w14:textId="77777777" w:rsidR="003F0EEA" w:rsidRPr="001134D8" w:rsidRDefault="003F0EEA">
            <w:pPr>
              <w:rPr>
                <w:rFonts w:ascii="Arial" w:eastAsia="Arial" w:hAnsi="Arial" w:cs="Arial"/>
                <w:color w:val="000000"/>
                <w:sz w:val="16"/>
                <w:szCs w:val="20"/>
              </w:rPr>
            </w:pP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743122A1" w14:textId="77777777" w:rsidR="003F0EEA" w:rsidRPr="001134D8" w:rsidRDefault="003F0EEA">
            <w:pPr>
              <w:rPr>
                <w:rFonts w:ascii="Arial" w:eastAsia="Arial" w:hAnsi="Arial" w:cs="Arial"/>
                <w:color w:val="000000"/>
                <w:sz w:val="16"/>
                <w:szCs w:val="20"/>
              </w:rPr>
            </w:pP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1C0A790B" w14:textId="77777777" w:rsidR="003F0EEA" w:rsidRPr="001134D8" w:rsidRDefault="003F0EEA">
            <w:pPr>
              <w:rPr>
                <w:rFonts w:ascii="Arial" w:eastAsia="Arial" w:hAnsi="Arial" w:cs="Arial"/>
                <w:color w:val="000000"/>
                <w:sz w:val="16"/>
                <w:szCs w:val="20"/>
              </w:rPr>
            </w:pP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58D26CE4" w14:textId="77777777" w:rsidR="003F0EEA" w:rsidRPr="001134D8" w:rsidRDefault="003F0EEA">
            <w:pPr>
              <w:rPr>
                <w:rFonts w:ascii="Arial" w:eastAsia="Arial" w:hAnsi="Arial" w:cs="Arial"/>
                <w:color w:val="000000"/>
                <w:sz w:val="16"/>
                <w:szCs w:val="20"/>
              </w:rPr>
            </w:pPr>
          </w:p>
        </w:tc>
      </w:tr>
      <w:tr w:rsidR="00FB7D0B" w14:paraId="7B909E24" w14:textId="77777777" w:rsidTr="00FB7D0B">
        <w:trPr>
          <w:trHeight w:val="225"/>
        </w:trPr>
        <w:tc>
          <w:tcPr>
            <w:tcW w:w="180"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23D66E7D" w14:textId="77777777" w:rsidR="003F0EEA" w:rsidRPr="001134D8" w:rsidRDefault="003F0EEA">
            <w:pPr>
              <w:rPr>
                <w:rFonts w:ascii="Arial" w:eastAsia="Arial" w:hAnsi="Arial" w:cs="Arial"/>
                <w:color w:val="000000"/>
                <w:sz w:val="16"/>
                <w:szCs w:val="20"/>
              </w:rPr>
            </w:pPr>
          </w:p>
        </w:tc>
        <w:tc>
          <w:tcPr>
            <w:tcW w:w="2880" w:type="dxa"/>
            <w:gridSpan w:val="2"/>
            <w:tcBorders>
              <w:top w:val="nil"/>
              <w:left w:val="nil"/>
              <w:bottom w:val="single" w:sz="6" w:space="0" w:color="000000"/>
              <w:right w:val="nil"/>
              <w:tl2br w:val="nil"/>
              <w:tr2bl w:val="nil"/>
            </w:tcBorders>
            <w:shd w:val="clear" w:color="auto" w:fill="FFFFFF"/>
            <w:tcMar>
              <w:left w:w="101" w:type="dxa"/>
              <w:right w:w="101" w:type="dxa"/>
            </w:tcMar>
            <w:vAlign w:val="bottom"/>
          </w:tcPr>
          <w:p w14:paraId="74597E49" w14:textId="77777777" w:rsidR="003F0EEA" w:rsidRPr="001134D8" w:rsidRDefault="00FB7D0B">
            <w:pPr>
              <w:rPr>
                <w:rFonts w:ascii="Arial" w:eastAsia="Arial" w:hAnsi="Arial" w:cs="Arial"/>
                <w:color w:val="000000"/>
                <w:sz w:val="16"/>
                <w:szCs w:val="20"/>
              </w:rPr>
            </w:pPr>
            <w:r w:rsidRPr="001134D8">
              <w:rPr>
                <w:rFonts w:ascii="Arial" w:eastAsia="Arial" w:hAnsi="Arial" w:cs="Arial"/>
                <w:b/>
                <w:color w:val="000000"/>
                <w:sz w:val="16"/>
                <w:szCs w:val="20"/>
              </w:rPr>
              <w:t>end of the reporting period</w:t>
            </w:r>
          </w:p>
        </w:tc>
        <w:tc>
          <w:tcPr>
            <w:tcW w:w="915"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284E9E4C" w14:textId="77777777" w:rsidR="003F0EEA" w:rsidRPr="001134D8" w:rsidRDefault="00FB7D0B">
            <w:pPr>
              <w:jc w:val="right"/>
              <w:rPr>
                <w:rFonts w:ascii="Arial" w:eastAsia="Arial" w:hAnsi="Arial" w:cs="Arial"/>
                <w:b/>
                <w:color w:val="000000"/>
                <w:sz w:val="16"/>
                <w:szCs w:val="20"/>
              </w:rPr>
            </w:pPr>
            <w:r w:rsidRPr="001134D8">
              <w:rPr>
                <w:rFonts w:ascii="Arial" w:eastAsia="Arial" w:hAnsi="Arial" w:cs="Arial"/>
                <w:b/>
                <w:color w:val="000000"/>
                <w:sz w:val="16"/>
                <w:szCs w:val="20"/>
              </w:rPr>
              <w:t xml:space="preserve"> 1,094 </w:t>
            </w:r>
          </w:p>
        </w:tc>
        <w:tc>
          <w:tcPr>
            <w:tcW w:w="915" w:type="dxa"/>
            <w:tcBorders>
              <w:top w:val="nil"/>
              <w:left w:val="nil"/>
              <w:bottom w:val="single" w:sz="6" w:space="0" w:color="000000"/>
              <w:right w:val="nil"/>
              <w:tl2br w:val="nil"/>
              <w:tr2bl w:val="nil"/>
            </w:tcBorders>
            <w:shd w:val="clear" w:color="auto" w:fill="FFFF00"/>
            <w:tcMar>
              <w:left w:w="101" w:type="dxa"/>
              <w:right w:w="101" w:type="dxa"/>
            </w:tcMar>
            <w:vAlign w:val="bottom"/>
          </w:tcPr>
          <w:p w14:paraId="6B1B931D" w14:textId="77777777" w:rsidR="003F0EEA" w:rsidRPr="001134D8" w:rsidRDefault="00FB7D0B">
            <w:pPr>
              <w:jc w:val="right"/>
              <w:rPr>
                <w:rFonts w:ascii="Arial" w:eastAsia="Arial" w:hAnsi="Arial" w:cs="Arial"/>
                <w:b/>
                <w:color w:val="000000"/>
                <w:sz w:val="16"/>
                <w:szCs w:val="20"/>
              </w:rPr>
            </w:pPr>
            <w:r w:rsidRPr="001134D8">
              <w:rPr>
                <w:rFonts w:ascii="Arial" w:eastAsia="Arial" w:hAnsi="Arial" w:cs="Arial"/>
                <w:b/>
                <w:color w:val="000000"/>
                <w:sz w:val="16"/>
                <w:szCs w:val="20"/>
              </w:rPr>
              <w:t xml:space="preserve"> 1,053 </w:t>
            </w:r>
          </w:p>
        </w:tc>
        <w:tc>
          <w:tcPr>
            <w:tcW w:w="915"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1BE7A0A5" w14:textId="77777777" w:rsidR="003F0EEA" w:rsidRPr="001134D8" w:rsidRDefault="00FB7D0B">
            <w:pPr>
              <w:jc w:val="right"/>
              <w:rPr>
                <w:rFonts w:ascii="Arial" w:eastAsia="Arial" w:hAnsi="Arial" w:cs="Arial"/>
                <w:b/>
                <w:color w:val="000000"/>
                <w:sz w:val="16"/>
                <w:szCs w:val="20"/>
              </w:rPr>
            </w:pPr>
            <w:r w:rsidRPr="001134D8">
              <w:rPr>
                <w:rFonts w:ascii="Arial" w:eastAsia="Arial" w:hAnsi="Arial" w:cs="Arial"/>
                <w:b/>
                <w:color w:val="000000"/>
                <w:sz w:val="16"/>
                <w:szCs w:val="20"/>
              </w:rPr>
              <w:t xml:space="preserve"> 1,029 </w:t>
            </w:r>
          </w:p>
        </w:tc>
        <w:tc>
          <w:tcPr>
            <w:tcW w:w="915"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200A9D01" w14:textId="77777777" w:rsidR="003F0EEA" w:rsidRPr="001134D8" w:rsidRDefault="00FB7D0B">
            <w:pPr>
              <w:jc w:val="right"/>
              <w:rPr>
                <w:rFonts w:ascii="Arial" w:eastAsia="Arial" w:hAnsi="Arial" w:cs="Arial"/>
                <w:b/>
                <w:color w:val="000000"/>
                <w:sz w:val="16"/>
                <w:szCs w:val="20"/>
              </w:rPr>
            </w:pPr>
            <w:r w:rsidRPr="001134D8">
              <w:rPr>
                <w:rFonts w:ascii="Arial" w:eastAsia="Arial" w:hAnsi="Arial" w:cs="Arial"/>
                <w:b/>
                <w:color w:val="000000"/>
                <w:sz w:val="16"/>
                <w:szCs w:val="20"/>
              </w:rPr>
              <w:t xml:space="preserve"> 1,023 </w:t>
            </w:r>
          </w:p>
        </w:tc>
        <w:tc>
          <w:tcPr>
            <w:tcW w:w="915"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5235F8A4" w14:textId="77777777" w:rsidR="003F0EEA" w:rsidRPr="001134D8" w:rsidRDefault="00FB7D0B">
            <w:pPr>
              <w:jc w:val="right"/>
              <w:rPr>
                <w:rFonts w:ascii="Arial" w:eastAsia="Arial" w:hAnsi="Arial" w:cs="Arial"/>
                <w:b/>
                <w:color w:val="000000"/>
                <w:sz w:val="16"/>
                <w:szCs w:val="20"/>
              </w:rPr>
            </w:pPr>
            <w:r w:rsidRPr="001134D8">
              <w:rPr>
                <w:rFonts w:ascii="Arial" w:eastAsia="Arial" w:hAnsi="Arial" w:cs="Arial"/>
                <w:b/>
                <w:color w:val="000000"/>
                <w:sz w:val="16"/>
                <w:szCs w:val="20"/>
              </w:rPr>
              <w:t xml:space="preserve"> 1,061 </w:t>
            </w:r>
          </w:p>
        </w:tc>
      </w:tr>
    </w:tbl>
    <w:p w14:paraId="760FC0DD" w14:textId="77777777" w:rsidR="003F0EEA" w:rsidRPr="00BC7C5A" w:rsidRDefault="00FB7D0B" w:rsidP="003F0EEA">
      <w:pPr>
        <w:pStyle w:val="Source13"/>
      </w:pPr>
      <w:r>
        <w:t>Prepared on Australian Accounting Standards basis</w:t>
      </w:r>
    </w:p>
    <w:p w14:paraId="5566CCCE" w14:textId="77777777" w:rsidR="003F0EEA" w:rsidRPr="00BC7C5A" w:rsidRDefault="00FB7D0B">
      <w:pPr>
        <w:spacing w:line="14" w:lineRule="exact"/>
        <w:rPr>
          <w:rFonts w:eastAsia="Times New Roman" w:cs="Times New Roman"/>
        </w:rPr>
      </w:pPr>
      <w:r w:rsidRPr="00BC7C5A">
        <w:rPr>
          <w:rFonts w:eastAsia="Times New Roman" w:cs="Times New Roman"/>
        </w:rPr>
        <w:br w:type="page"/>
      </w:r>
    </w:p>
    <w:p w14:paraId="63CBD1AD" w14:textId="77777777" w:rsidR="003F0EEA" w:rsidRDefault="00FB7D0B" w:rsidP="003F0EEA">
      <w:pPr>
        <w:pStyle w:val="TableHeading18"/>
        <w:spacing w:after="0"/>
        <w:rPr>
          <w:rFonts w:eastAsia="Calibri"/>
        </w:rPr>
      </w:pPr>
      <w:r>
        <w:rPr>
          <w:rFonts w:eastAsia="Calibri"/>
        </w:rPr>
        <w:t xml:space="preserve">Table 3.2.4: Departmental Statement of Changes in Equity – Summary of Movement (Budget year 2014-15)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2"/>
        <w:gridCol w:w="222"/>
        <w:gridCol w:w="2700"/>
        <w:gridCol w:w="1125"/>
        <w:gridCol w:w="1125"/>
        <w:gridCol w:w="1125"/>
        <w:gridCol w:w="1125"/>
      </w:tblGrid>
      <w:tr w:rsidR="00724034" w14:paraId="414E9550" w14:textId="77777777">
        <w:trPr>
          <w:trHeight w:val="240"/>
        </w:trPr>
        <w:tc>
          <w:tcPr>
            <w:tcW w:w="180"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1D37C7B2" w14:textId="77777777" w:rsidR="003F0EEA" w:rsidRDefault="003F0EEA"/>
        </w:tc>
        <w:tc>
          <w:tcPr>
            <w:tcW w:w="180"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7FF4B613" w14:textId="77777777" w:rsidR="003F0EEA" w:rsidRDefault="003F0EEA">
            <w:pPr>
              <w:rPr>
                <w:rFonts w:ascii="Arial" w:eastAsia="Arial" w:hAnsi="Arial" w:cs="Arial"/>
                <w:color w:val="000000"/>
                <w:sz w:val="16"/>
              </w:rPr>
            </w:pPr>
          </w:p>
        </w:tc>
        <w:tc>
          <w:tcPr>
            <w:tcW w:w="2700"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69FA02DE" w14:textId="77777777" w:rsidR="003F0EEA" w:rsidRDefault="003F0EEA">
            <w:pPr>
              <w:rPr>
                <w:rFonts w:ascii="Arial" w:eastAsia="Arial" w:hAnsi="Arial" w:cs="Arial"/>
                <w:color w:val="000000"/>
                <w:sz w:val="16"/>
              </w:rPr>
            </w:pPr>
          </w:p>
        </w:tc>
        <w:tc>
          <w:tcPr>
            <w:tcW w:w="112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374CE42D" w14:textId="77777777" w:rsidR="003F0EEA" w:rsidRDefault="00FB7D0B">
            <w:pPr>
              <w:jc w:val="right"/>
              <w:rPr>
                <w:rFonts w:ascii="Arial" w:eastAsia="Arial" w:hAnsi="Arial" w:cs="Arial"/>
                <w:color w:val="000000"/>
                <w:sz w:val="16"/>
              </w:rPr>
            </w:pPr>
            <w:r>
              <w:rPr>
                <w:rFonts w:ascii="Arial" w:eastAsia="Arial" w:hAnsi="Arial" w:cs="Arial"/>
                <w:color w:val="000000"/>
                <w:sz w:val="16"/>
              </w:rPr>
              <w:t>Retained</w:t>
            </w:r>
          </w:p>
        </w:tc>
        <w:tc>
          <w:tcPr>
            <w:tcW w:w="112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1BDA70E9" w14:textId="77777777" w:rsidR="003F0EEA" w:rsidRDefault="00FB7D0B">
            <w:pPr>
              <w:jc w:val="right"/>
              <w:rPr>
                <w:rFonts w:ascii="Arial" w:eastAsia="Arial" w:hAnsi="Arial" w:cs="Arial"/>
                <w:color w:val="000000"/>
                <w:sz w:val="16"/>
              </w:rPr>
            </w:pPr>
            <w:r>
              <w:rPr>
                <w:rFonts w:ascii="Arial" w:eastAsia="Arial" w:hAnsi="Arial" w:cs="Arial"/>
                <w:color w:val="000000"/>
                <w:sz w:val="16"/>
              </w:rPr>
              <w:t>Asset</w:t>
            </w:r>
          </w:p>
        </w:tc>
        <w:tc>
          <w:tcPr>
            <w:tcW w:w="112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262A56F7" w14:textId="77777777" w:rsidR="003F0EEA" w:rsidRDefault="00FB7D0B">
            <w:pPr>
              <w:jc w:val="right"/>
              <w:rPr>
                <w:rFonts w:ascii="Arial" w:eastAsia="Arial" w:hAnsi="Arial" w:cs="Arial"/>
                <w:color w:val="000000"/>
                <w:sz w:val="16"/>
              </w:rPr>
            </w:pPr>
            <w:r>
              <w:rPr>
                <w:rFonts w:ascii="Arial" w:eastAsia="Arial" w:hAnsi="Arial" w:cs="Arial"/>
                <w:color w:val="000000"/>
                <w:sz w:val="16"/>
              </w:rPr>
              <w:t>Contributed</w:t>
            </w:r>
          </w:p>
        </w:tc>
        <w:tc>
          <w:tcPr>
            <w:tcW w:w="112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4156FDAC" w14:textId="77777777" w:rsidR="003F0EEA" w:rsidRDefault="00FB7D0B">
            <w:pPr>
              <w:jc w:val="right"/>
              <w:rPr>
                <w:rFonts w:ascii="Arial" w:eastAsia="Arial" w:hAnsi="Arial" w:cs="Arial"/>
                <w:color w:val="000000"/>
                <w:sz w:val="16"/>
              </w:rPr>
            </w:pPr>
            <w:r>
              <w:rPr>
                <w:rFonts w:ascii="Arial" w:eastAsia="Arial" w:hAnsi="Arial" w:cs="Arial"/>
                <w:color w:val="000000"/>
                <w:sz w:val="16"/>
              </w:rPr>
              <w:t>Total</w:t>
            </w:r>
          </w:p>
        </w:tc>
      </w:tr>
      <w:tr w:rsidR="00724034" w14:paraId="119E0C30" w14:textId="77777777">
        <w:trPr>
          <w:trHeight w:val="240"/>
        </w:trPr>
        <w:tc>
          <w:tcPr>
            <w:tcW w:w="180" w:type="dxa"/>
            <w:tcBorders>
              <w:top w:val="nil"/>
              <w:left w:val="nil"/>
              <w:bottom w:val="nil"/>
              <w:right w:val="nil"/>
              <w:tl2br w:val="nil"/>
              <w:tr2bl w:val="nil"/>
            </w:tcBorders>
            <w:shd w:val="clear" w:color="auto" w:fill="FFFFFF"/>
            <w:tcMar>
              <w:left w:w="101" w:type="dxa"/>
              <w:right w:w="101" w:type="dxa"/>
            </w:tcMar>
            <w:vAlign w:val="bottom"/>
          </w:tcPr>
          <w:p w14:paraId="7EC2F221" w14:textId="77777777" w:rsidR="003F0EEA" w:rsidRDefault="003F0EEA">
            <w:pPr>
              <w:rPr>
                <w:rFonts w:ascii="Arial" w:eastAsia="Arial" w:hAnsi="Arial" w:cs="Arial"/>
                <w:color w:val="000000"/>
                <w:sz w:val="16"/>
              </w:rPr>
            </w:pPr>
          </w:p>
        </w:tc>
        <w:tc>
          <w:tcPr>
            <w:tcW w:w="180" w:type="dxa"/>
            <w:tcBorders>
              <w:top w:val="nil"/>
              <w:left w:val="nil"/>
              <w:bottom w:val="nil"/>
              <w:right w:val="nil"/>
              <w:tl2br w:val="nil"/>
              <w:tr2bl w:val="nil"/>
            </w:tcBorders>
            <w:shd w:val="clear" w:color="auto" w:fill="FFFFFF"/>
            <w:tcMar>
              <w:left w:w="101" w:type="dxa"/>
              <w:right w:w="101" w:type="dxa"/>
            </w:tcMar>
            <w:vAlign w:val="bottom"/>
          </w:tcPr>
          <w:p w14:paraId="17CFD48D" w14:textId="77777777" w:rsidR="003F0EEA" w:rsidRDefault="003F0EEA">
            <w:pPr>
              <w:rPr>
                <w:rFonts w:ascii="Arial" w:eastAsia="Arial" w:hAnsi="Arial" w:cs="Arial"/>
                <w:color w:val="000000"/>
                <w:sz w:val="16"/>
              </w:rPr>
            </w:pPr>
          </w:p>
        </w:tc>
        <w:tc>
          <w:tcPr>
            <w:tcW w:w="2700" w:type="dxa"/>
            <w:tcBorders>
              <w:top w:val="nil"/>
              <w:left w:val="nil"/>
              <w:bottom w:val="nil"/>
              <w:right w:val="nil"/>
              <w:tl2br w:val="nil"/>
              <w:tr2bl w:val="nil"/>
            </w:tcBorders>
            <w:shd w:val="clear" w:color="auto" w:fill="FFFFFF"/>
            <w:tcMar>
              <w:left w:w="101" w:type="dxa"/>
              <w:right w:w="101" w:type="dxa"/>
            </w:tcMar>
            <w:vAlign w:val="bottom"/>
          </w:tcPr>
          <w:p w14:paraId="1B19E2BE" w14:textId="77777777" w:rsidR="003F0EEA" w:rsidRDefault="003F0EEA">
            <w:pPr>
              <w:rPr>
                <w:rFonts w:ascii="Arial" w:eastAsia="Arial" w:hAnsi="Arial" w:cs="Arial"/>
                <w:color w:val="000000"/>
                <w:sz w:val="16"/>
              </w:rPr>
            </w:pPr>
          </w:p>
        </w:tc>
        <w:tc>
          <w:tcPr>
            <w:tcW w:w="1125" w:type="dxa"/>
            <w:tcBorders>
              <w:top w:val="nil"/>
              <w:left w:val="nil"/>
              <w:bottom w:val="nil"/>
              <w:right w:val="nil"/>
              <w:tl2br w:val="nil"/>
              <w:tr2bl w:val="nil"/>
            </w:tcBorders>
            <w:shd w:val="clear" w:color="auto" w:fill="FFFFFF"/>
            <w:tcMar>
              <w:left w:w="101" w:type="dxa"/>
              <w:right w:w="101" w:type="dxa"/>
            </w:tcMar>
            <w:vAlign w:val="bottom"/>
          </w:tcPr>
          <w:p w14:paraId="4B1C4B5F" w14:textId="77777777" w:rsidR="003F0EEA" w:rsidRDefault="00FB7D0B">
            <w:pPr>
              <w:jc w:val="right"/>
              <w:rPr>
                <w:rFonts w:ascii="Arial" w:eastAsia="Arial" w:hAnsi="Arial" w:cs="Arial"/>
                <w:color w:val="000000"/>
                <w:sz w:val="16"/>
              </w:rPr>
            </w:pPr>
            <w:r>
              <w:rPr>
                <w:rFonts w:ascii="Arial" w:eastAsia="Arial" w:hAnsi="Arial" w:cs="Arial"/>
                <w:color w:val="000000"/>
                <w:sz w:val="16"/>
              </w:rPr>
              <w:t>earnings</w:t>
            </w:r>
          </w:p>
        </w:tc>
        <w:tc>
          <w:tcPr>
            <w:tcW w:w="1125" w:type="dxa"/>
            <w:tcBorders>
              <w:top w:val="nil"/>
              <w:left w:val="nil"/>
              <w:bottom w:val="nil"/>
              <w:right w:val="nil"/>
              <w:tl2br w:val="nil"/>
              <w:tr2bl w:val="nil"/>
            </w:tcBorders>
            <w:shd w:val="clear" w:color="auto" w:fill="FFFFFF"/>
            <w:tcMar>
              <w:left w:w="101" w:type="dxa"/>
              <w:right w:w="101" w:type="dxa"/>
            </w:tcMar>
            <w:vAlign w:val="bottom"/>
          </w:tcPr>
          <w:p w14:paraId="178445C5" w14:textId="77777777" w:rsidR="003F0EEA" w:rsidRDefault="00FB7D0B">
            <w:pPr>
              <w:jc w:val="right"/>
              <w:rPr>
                <w:rFonts w:ascii="Arial" w:eastAsia="Arial" w:hAnsi="Arial" w:cs="Arial"/>
                <w:color w:val="000000"/>
                <w:sz w:val="16"/>
              </w:rPr>
            </w:pPr>
            <w:r>
              <w:rPr>
                <w:rFonts w:ascii="Arial" w:eastAsia="Arial" w:hAnsi="Arial" w:cs="Arial"/>
                <w:color w:val="000000"/>
                <w:sz w:val="16"/>
              </w:rPr>
              <w:t>revaluation</w:t>
            </w:r>
          </w:p>
        </w:tc>
        <w:tc>
          <w:tcPr>
            <w:tcW w:w="1125" w:type="dxa"/>
            <w:tcBorders>
              <w:top w:val="nil"/>
              <w:left w:val="nil"/>
              <w:bottom w:val="nil"/>
              <w:right w:val="nil"/>
              <w:tl2br w:val="nil"/>
              <w:tr2bl w:val="nil"/>
            </w:tcBorders>
            <w:shd w:val="clear" w:color="auto" w:fill="FFFFFF"/>
            <w:tcMar>
              <w:left w:w="101" w:type="dxa"/>
              <w:right w:w="101" w:type="dxa"/>
            </w:tcMar>
            <w:vAlign w:val="bottom"/>
          </w:tcPr>
          <w:p w14:paraId="48754A44" w14:textId="77777777" w:rsidR="003F0EEA" w:rsidRDefault="00FB7D0B">
            <w:pPr>
              <w:jc w:val="right"/>
              <w:rPr>
                <w:rFonts w:ascii="Arial" w:eastAsia="Arial" w:hAnsi="Arial" w:cs="Arial"/>
                <w:color w:val="000000"/>
                <w:sz w:val="16"/>
              </w:rPr>
            </w:pPr>
            <w:r>
              <w:rPr>
                <w:rFonts w:ascii="Arial" w:eastAsia="Arial" w:hAnsi="Arial" w:cs="Arial"/>
                <w:color w:val="000000"/>
                <w:sz w:val="16"/>
              </w:rPr>
              <w:t>equity/</w:t>
            </w:r>
          </w:p>
        </w:tc>
        <w:tc>
          <w:tcPr>
            <w:tcW w:w="1125" w:type="dxa"/>
            <w:tcBorders>
              <w:top w:val="nil"/>
              <w:left w:val="nil"/>
              <w:bottom w:val="nil"/>
              <w:right w:val="nil"/>
              <w:tl2br w:val="nil"/>
              <w:tr2bl w:val="nil"/>
            </w:tcBorders>
            <w:shd w:val="clear" w:color="auto" w:fill="FFFFFF"/>
            <w:tcMar>
              <w:left w:w="101" w:type="dxa"/>
              <w:right w:w="101" w:type="dxa"/>
            </w:tcMar>
            <w:vAlign w:val="bottom"/>
          </w:tcPr>
          <w:p w14:paraId="56AEF947" w14:textId="77777777" w:rsidR="003F0EEA" w:rsidRDefault="00FB7D0B">
            <w:pPr>
              <w:jc w:val="right"/>
              <w:rPr>
                <w:rFonts w:ascii="Arial" w:eastAsia="Arial" w:hAnsi="Arial" w:cs="Arial"/>
                <w:color w:val="000000"/>
                <w:sz w:val="16"/>
              </w:rPr>
            </w:pPr>
            <w:r>
              <w:rPr>
                <w:rFonts w:ascii="Arial" w:eastAsia="Arial" w:hAnsi="Arial" w:cs="Arial"/>
                <w:color w:val="000000"/>
                <w:sz w:val="16"/>
              </w:rPr>
              <w:t>equity</w:t>
            </w:r>
          </w:p>
        </w:tc>
      </w:tr>
      <w:tr w:rsidR="00724034" w14:paraId="43F5AB2E" w14:textId="77777777">
        <w:trPr>
          <w:trHeight w:val="240"/>
        </w:trPr>
        <w:tc>
          <w:tcPr>
            <w:tcW w:w="180" w:type="dxa"/>
            <w:tcBorders>
              <w:top w:val="nil"/>
              <w:left w:val="nil"/>
              <w:bottom w:val="nil"/>
              <w:right w:val="nil"/>
              <w:tl2br w:val="nil"/>
              <w:tr2bl w:val="nil"/>
            </w:tcBorders>
            <w:shd w:val="clear" w:color="auto" w:fill="FFFFFF"/>
            <w:tcMar>
              <w:left w:w="101" w:type="dxa"/>
              <w:right w:w="101" w:type="dxa"/>
            </w:tcMar>
            <w:vAlign w:val="bottom"/>
          </w:tcPr>
          <w:p w14:paraId="7746366C" w14:textId="77777777" w:rsidR="003F0EEA" w:rsidRDefault="003F0EEA">
            <w:pPr>
              <w:rPr>
                <w:rFonts w:ascii="Arial" w:eastAsia="Arial" w:hAnsi="Arial" w:cs="Arial"/>
                <w:color w:val="000000"/>
                <w:sz w:val="16"/>
              </w:rPr>
            </w:pPr>
          </w:p>
        </w:tc>
        <w:tc>
          <w:tcPr>
            <w:tcW w:w="180" w:type="dxa"/>
            <w:tcBorders>
              <w:top w:val="nil"/>
              <w:left w:val="nil"/>
              <w:bottom w:val="nil"/>
              <w:right w:val="nil"/>
              <w:tl2br w:val="nil"/>
              <w:tr2bl w:val="nil"/>
            </w:tcBorders>
            <w:shd w:val="clear" w:color="auto" w:fill="FFFFFF"/>
            <w:tcMar>
              <w:left w:w="101" w:type="dxa"/>
              <w:right w:w="101" w:type="dxa"/>
            </w:tcMar>
            <w:vAlign w:val="bottom"/>
          </w:tcPr>
          <w:p w14:paraId="5BA2B4C9" w14:textId="77777777" w:rsidR="003F0EEA" w:rsidRDefault="003F0EEA">
            <w:pPr>
              <w:rPr>
                <w:rFonts w:ascii="Arial" w:eastAsia="Arial" w:hAnsi="Arial" w:cs="Arial"/>
                <w:color w:val="000000"/>
                <w:sz w:val="16"/>
              </w:rPr>
            </w:pPr>
          </w:p>
        </w:tc>
        <w:tc>
          <w:tcPr>
            <w:tcW w:w="2700" w:type="dxa"/>
            <w:tcBorders>
              <w:top w:val="nil"/>
              <w:left w:val="nil"/>
              <w:bottom w:val="nil"/>
              <w:right w:val="nil"/>
              <w:tl2br w:val="nil"/>
              <w:tr2bl w:val="nil"/>
            </w:tcBorders>
            <w:shd w:val="clear" w:color="auto" w:fill="FFFFFF"/>
            <w:tcMar>
              <w:left w:w="101" w:type="dxa"/>
              <w:right w:w="101" w:type="dxa"/>
            </w:tcMar>
            <w:vAlign w:val="bottom"/>
          </w:tcPr>
          <w:p w14:paraId="0BFE5E10" w14:textId="77777777" w:rsidR="003F0EEA" w:rsidRDefault="003F0EEA">
            <w:pPr>
              <w:rPr>
                <w:rFonts w:ascii="Arial" w:eastAsia="Arial" w:hAnsi="Arial" w:cs="Arial"/>
                <w:color w:val="000000"/>
                <w:sz w:val="16"/>
              </w:rPr>
            </w:pPr>
          </w:p>
        </w:tc>
        <w:tc>
          <w:tcPr>
            <w:tcW w:w="1125" w:type="dxa"/>
            <w:tcBorders>
              <w:top w:val="nil"/>
              <w:left w:val="nil"/>
              <w:bottom w:val="nil"/>
              <w:right w:val="nil"/>
              <w:tl2br w:val="nil"/>
              <w:tr2bl w:val="nil"/>
            </w:tcBorders>
            <w:shd w:val="clear" w:color="auto" w:fill="FFFFFF"/>
            <w:tcMar>
              <w:left w:w="101" w:type="dxa"/>
              <w:right w:w="101" w:type="dxa"/>
            </w:tcMar>
            <w:vAlign w:val="bottom"/>
          </w:tcPr>
          <w:p w14:paraId="386B3386" w14:textId="77777777" w:rsidR="003F0EEA" w:rsidRDefault="003F0EEA">
            <w:pPr>
              <w:jc w:val="right"/>
              <w:rPr>
                <w:rFonts w:ascii="Arial" w:eastAsia="Arial" w:hAnsi="Arial" w:cs="Arial"/>
                <w:color w:val="000000"/>
                <w:sz w:val="16"/>
              </w:rPr>
            </w:pPr>
          </w:p>
        </w:tc>
        <w:tc>
          <w:tcPr>
            <w:tcW w:w="1125" w:type="dxa"/>
            <w:tcBorders>
              <w:top w:val="nil"/>
              <w:left w:val="nil"/>
              <w:bottom w:val="nil"/>
              <w:right w:val="nil"/>
              <w:tl2br w:val="nil"/>
              <w:tr2bl w:val="nil"/>
            </w:tcBorders>
            <w:shd w:val="clear" w:color="auto" w:fill="FFFFFF"/>
            <w:tcMar>
              <w:left w:w="101" w:type="dxa"/>
              <w:right w:w="101" w:type="dxa"/>
            </w:tcMar>
            <w:vAlign w:val="bottom"/>
          </w:tcPr>
          <w:p w14:paraId="03A47FDD" w14:textId="77777777" w:rsidR="003F0EEA" w:rsidRDefault="00FB7D0B">
            <w:pPr>
              <w:jc w:val="right"/>
              <w:rPr>
                <w:rFonts w:ascii="Arial" w:eastAsia="Arial" w:hAnsi="Arial" w:cs="Arial"/>
                <w:color w:val="000000"/>
                <w:sz w:val="16"/>
              </w:rPr>
            </w:pPr>
            <w:r>
              <w:rPr>
                <w:rFonts w:ascii="Arial" w:eastAsia="Arial" w:hAnsi="Arial" w:cs="Arial"/>
                <w:color w:val="000000"/>
                <w:sz w:val="16"/>
              </w:rPr>
              <w:t>reserve</w:t>
            </w:r>
          </w:p>
        </w:tc>
        <w:tc>
          <w:tcPr>
            <w:tcW w:w="1125" w:type="dxa"/>
            <w:tcBorders>
              <w:top w:val="nil"/>
              <w:left w:val="nil"/>
              <w:bottom w:val="nil"/>
              <w:right w:val="nil"/>
              <w:tl2br w:val="nil"/>
              <w:tr2bl w:val="nil"/>
            </w:tcBorders>
            <w:shd w:val="clear" w:color="auto" w:fill="FFFFFF"/>
            <w:tcMar>
              <w:left w:w="101" w:type="dxa"/>
              <w:right w:w="101" w:type="dxa"/>
            </w:tcMar>
            <w:vAlign w:val="bottom"/>
          </w:tcPr>
          <w:p w14:paraId="58C9EF24" w14:textId="77777777" w:rsidR="003F0EEA" w:rsidRDefault="00FB7D0B">
            <w:pPr>
              <w:jc w:val="right"/>
              <w:rPr>
                <w:rFonts w:ascii="Arial" w:eastAsia="Arial" w:hAnsi="Arial" w:cs="Arial"/>
                <w:color w:val="000000"/>
                <w:sz w:val="16"/>
              </w:rPr>
            </w:pPr>
            <w:r>
              <w:rPr>
                <w:rFonts w:ascii="Arial" w:eastAsia="Arial" w:hAnsi="Arial" w:cs="Arial"/>
                <w:color w:val="000000"/>
                <w:sz w:val="16"/>
              </w:rPr>
              <w:t>capital</w:t>
            </w:r>
          </w:p>
        </w:tc>
        <w:tc>
          <w:tcPr>
            <w:tcW w:w="1125" w:type="dxa"/>
            <w:tcBorders>
              <w:top w:val="nil"/>
              <w:left w:val="nil"/>
              <w:bottom w:val="nil"/>
              <w:right w:val="nil"/>
              <w:tl2br w:val="nil"/>
              <w:tr2bl w:val="nil"/>
            </w:tcBorders>
            <w:shd w:val="clear" w:color="auto" w:fill="FFFFFF"/>
            <w:tcMar>
              <w:left w:w="101" w:type="dxa"/>
              <w:right w:w="101" w:type="dxa"/>
            </w:tcMar>
            <w:vAlign w:val="bottom"/>
          </w:tcPr>
          <w:p w14:paraId="55E81836" w14:textId="77777777" w:rsidR="003F0EEA" w:rsidRDefault="003F0EEA">
            <w:pPr>
              <w:jc w:val="right"/>
              <w:rPr>
                <w:rFonts w:ascii="Arial" w:eastAsia="Arial" w:hAnsi="Arial" w:cs="Arial"/>
                <w:color w:val="000000"/>
                <w:sz w:val="16"/>
              </w:rPr>
            </w:pPr>
          </w:p>
        </w:tc>
      </w:tr>
      <w:tr w:rsidR="00724034" w14:paraId="25D11E40" w14:textId="77777777">
        <w:trPr>
          <w:trHeight w:val="240"/>
        </w:trPr>
        <w:tc>
          <w:tcPr>
            <w:tcW w:w="180" w:type="dxa"/>
            <w:tcBorders>
              <w:top w:val="nil"/>
              <w:left w:val="nil"/>
              <w:bottom w:val="nil"/>
              <w:right w:val="nil"/>
              <w:tl2br w:val="nil"/>
              <w:tr2bl w:val="nil"/>
            </w:tcBorders>
            <w:shd w:val="clear" w:color="auto" w:fill="FFFFFF"/>
            <w:tcMar>
              <w:left w:w="101" w:type="dxa"/>
              <w:right w:w="101" w:type="dxa"/>
            </w:tcMar>
            <w:vAlign w:val="bottom"/>
          </w:tcPr>
          <w:p w14:paraId="42B4DC34" w14:textId="77777777" w:rsidR="003F0EEA" w:rsidRDefault="003F0EEA">
            <w:pPr>
              <w:rPr>
                <w:rFonts w:ascii="Arial" w:eastAsia="Arial" w:hAnsi="Arial" w:cs="Arial"/>
                <w:color w:val="000000"/>
                <w:sz w:val="16"/>
              </w:rPr>
            </w:pPr>
          </w:p>
        </w:tc>
        <w:tc>
          <w:tcPr>
            <w:tcW w:w="180" w:type="dxa"/>
            <w:tcBorders>
              <w:top w:val="nil"/>
              <w:left w:val="nil"/>
              <w:bottom w:val="nil"/>
              <w:right w:val="nil"/>
              <w:tl2br w:val="nil"/>
              <w:tr2bl w:val="nil"/>
            </w:tcBorders>
            <w:shd w:val="clear" w:color="auto" w:fill="FFFFFF"/>
            <w:tcMar>
              <w:left w:w="101" w:type="dxa"/>
              <w:right w:w="101" w:type="dxa"/>
            </w:tcMar>
            <w:vAlign w:val="bottom"/>
          </w:tcPr>
          <w:p w14:paraId="2F707E39" w14:textId="77777777" w:rsidR="003F0EEA" w:rsidRDefault="003F0EEA">
            <w:pPr>
              <w:rPr>
                <w:rFonts w:ascii="Arial" w:eastAsia="Arial" w:hAnsi="Arial" w:cs="Arial"/>
                <w:color w:val="000000"/>
                <w:sz w:val="16"/>
              </w:rPr>
            </w:pPr>
          </w:p>
        </w:tc>
        <w:tc>
          <w:tcPr>
            <w:tcW w:w="2700" w:type="dxa"/>
            <w:tcBorders>
              <w:top w:val="nil"/>
              <w:left w:val="nil"/>
              <w:bottom w:val="nil"/>
              <w:right w:val="nil"/>
              <w:tl2br w:val="nil"/>
              <w:tr2bl w:val="nil"/>
            </w:tcBorders>
            <w:shd w:val="clear" w:color="auto" w:fill="FFFFFF"/>
            <w:tcMar>
              <w:left w:w="101" w:type="dxa"/>
              <w:right w:w="101" w:type="dxa"/>
            </w:tcMar>
            <w:vAlign w:val="bottom"/>
          </w:tcPr>
          <w:p w14:paraId="09A7278D" w14:textId="77777777" w:rsidR="003F0EEA" w:rsidRDefault="003F0EEA">
            <w:pPr>
              <w:rPr>
                <w:rFonts w:ascii="Arial" w:eastAsia="Arial" w:hAnsi="Arial" w:cs="Arial"/>
                <w:color w:val="000000"/>
                <w:sz w:val="16"/>
              </w:rPr>
            </w:pPr>
          </w:p>
        </w:tc>
        <w:tc>
          <w:tcPr>
            <w:tcW w:w="1125"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6CA513B4" w14:textId="77777777" w:rsidR="003F0EEA" w:rsidRDefault="00FB7D0B">
            <w:pPr>
              <w:jc w:val="right"/>
              <w:rPr>
                <w:rFonts w:ascii="Arial" w:eastAsia="Arial" w:hAnsi="Arial" w:cs="Arial"/>
                <w:color w:val="000000"/>
                <w:sz w:val="16"/>
              </w:rPr>
            </w:pPr>
            <w:r>
              <w:rPr>
                <w:rFonts w:ascii="Arial" w:eastAsia="Arial" w:hAnsi="Arial" w:cs="Arial"/>
                <w:color w:val="000000"/>
                <w:sz w:val="16"/>
              </w:rPr>
              <w:t>$'000</w:t>
            </w:r>
          </w:p>
        </w:tc>
        <w:tc>
          <w:tcPr>
            <w:tcW w:w="1125"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13F1C52C" w14:textId="77777777" w:rsidR="003F0EEA" w:rsidRDefault="00FB7D0B">
            <w:pPr>
              <w:jc w:val="right"/>
              <w:rPr>
                <w:rFonts w:ascii="Arial" w:eastAsia="Arial" w:hAnsi="Arial" w:cs="Arial"/>
                <w:color w:val="000000"/>
                <w:sz w:val="16"/>
              </w:rPr>
            </w:pPr>
            <w:r>
              <w:rPr>
                <w:rFonts w:ascii="Arial" w:eastAsia="Arial" w:hAnsi="Arial" w:cs="Arial"/>
                <w:color w:val="000000"/>
                <w:sz w:val="16"/>
              </w:rPr>
              <w:t>$'000</w:t>
            </w:r>
          </w:p>
        </w:tc>
        <w:tc>
          <w:tcPr>
            <w:tcW w:w="1125"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3D25E84D" w14:textId="77777777" w:rsidR="003F0EEA" w:rsidRDefault="00FB7D0B">
            <w:pPr>
              <w:jc w:val="right"/>
              <w:rPr>
                <w:rFonts w:ascii="Arial" w:eastAsia="Arial" w:hAnsi="Arial" w:cs="Arial"/>
                <w:color w:val="000000"/>
                <w:sz w:val="16"/>
              </w:rPr>
            </w:pPr>
            <w:r>
              <w:rPr>
                <w:rFonts w:ascii="Arial" w:eastAsia="Arial" w:hAnsi="Arial" w:cs="Arial"/>
                <w:color w:val="000000"/>
                <w:sz w:val="16"/>
              </w:rPr>
              <w:t>$'000</w:t>
            </w:r>
          </w:p>
        </w:tc>
        <w:tc>
          <w:tcPr>
            <w:tcW w:w="1125"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724D981A" w14:textId="77777777" w:rsidR="003F0EEA" w:rsidRDefault="00FB7D0B">
            <w:pPr>
              <w:jc w:val="right"/>
              <w:rPr>
                <w:rFonts w:ascii="Arial" w:eastAsia="Arial" w:hAnsi="Arial" w:cs="Arial"/>
                <w:color w:val="000000"/>
                <w:sz w:val="16"/>
              </w:rPr>
            </w:pPr>
            <w:r>
              <w:rPr>
                <w:rFonts w:ascii="Arial" w:eastAsia="Arial" w:hAnsi="Arial" w:cs="Arial"/>
                <w:color w:val="000000"/>
                <w:sz w:val="16"/>
              </w:rPr>
              <w:t>$'000</w:t>
            </w:r>
          </w:p>
        </w:tc>
      </w:tr>
      <w:tr w:rsidR="00FB7D0B" w14:paraId="15A011AD" w14:textId="77777777" w:rsidTr="00FB7D0B">
        <w:trPr>
          <w:trHeight w:val="240"/>
        </w:trPr>
        <w:tc>
          <w:tcPr>
            <w:tcW w:w="3060" w:type="dxa"/>
            <w:gridSpan w:val="3"/>
            <w:tcBorders>
              <w:top w:val="nil"/>
              <w:left w:val="nil"/>
              <w:bottom w:val="nil"/>
              <w:right w:val="nil"/>
              <w:tl2br w:val="nil"/>
              <w:tr2bl w:val="nil"/>
            </w:tcBorders>
            <w:shd w:val="clear" w:color="auto" w:fill="FFFFFF"/>
            <w:tcMar>
              <w:left w:w="101" w:type="dxa"/>
              <w:right w:w="101" w:type="dxa"/>
            </w:tcMar>
            <w:vAlign w:val="bottom"/>
          </w:tcPr>
          <w:p w14:paraId="62823A04" w14:textId="77777777" w:rsidR="003F0EEA" w:rsidRDefault="00FB7D0B">
            <w:pPr>
              <w:rPr>
                <w:rFonts w:ascii="Arial" w:eastAsia="Arial" w:hAnsi="Arial" w:cs="Arial"/>
                <w:color w:val="000000"/>
                <w:sz w:val="16"/>
              </w:rPr>
            </w:pPr>
            <w:r>
              <w:rPr>
                <w:rFonts w:ascii="Arial" w:eastAsia="Arial" w:hAnsi="Arial" w:cs="Arial"/>
                <w:b/>
                <w:color w:val="000000"/>
                <w:sz w:val="16"/>
              </w:rPr>
              <w:t>Opening balance as at 1 July 2014</w:t>
            </w:r>
          </w:p>
        </w:tc>
        <w:tc>
          <w:tcPr>
            <w:tcW w:w="112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38F89135" w14:textId="77777777" w:rsidR="003F0EEA" w:rsidRDefault="003F0EEA">
            <w:pPr>
              <w:rPr>
                <w:rFonts w:ascii="Arial" w:eastAsia="Arial" w:hAnsi="Arial" w:cs="Arial"/>
                <w:b/>
                <w:color w:val="000000"/>
                <w:sz w:val="16"/>
              </w:rPr>
            </w:pPr>
          </w:p>
        </w:tc>
        <w:tc>
          <w:tcPr>
            <w:tcW w:w="112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32E76B5B" w14:textId="77777777" w:rsidR="003F0EEA" w:rsidRDefault="003F0EEA">
            <w:pPr>
              <w:rPr>
                <w:rFonts w:ascii="Arial" w:eastAsia="Arial" w:hAnsi="Arial" w:cs="Arial"/>
                <w:color w:val="000000"/>
                <w:sz w:val="16"/>
              </w:rPr>
            </w:pPr>
          </w:p>
        </w:tc>
        <w:tc>
          <w:tcPr>
            <w:tcW w:w="112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730E5860" w14:textId="77777777" w:rsidR="003F0EEA" w:rsidRDefault="003F0EEA">
            <w:pPr>
              <w:rPr>
                <w:rFonts w:ascii="Arial" w:eastAsia="Arial" w:hAnsi="Arial" w:cs="Arial"/>
                <w:color w:val="000000"/>
                <w:sz w:val="16"/>
              </w:rPr>
            </w:pPr>
          </w:p>
        </w:tc>
        <w:tc>
          <w:tcPr>
            <w:tcW w:w="112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08613E4F" w14:textId="77777777" w:rsidR="003F0EEA" w:rsidRDefault="003F0EEA">
            <w:pPr>
              <w:rPr>
                <w:rFonts w:ascii="Arial" w:eastAsia="Arial" w:hAnsi="Arial" w:cs="Arial"/>
                <w:color w:val="000000"/>
                <w:sz w:val="16"/>
              </w:rPr>
            </w:pPr>
          </w:p>
        </w:tc>
      </w:tr>
      <w:tr w:rsidR="00FB7D0B" w14:paraId="313B02E0" w14:textId="77777777" w:rsidTr="00FB7D0B">
        <w:trPr>
          <w:trHeight w:val="225"/>
        </w:trPr>
        <w:tc>
          <w:tcPr>
            <w:tcW w:w="180" w:type="dxa"/>
            <w:tcBorders>
              <w:top w:val="nil"/>
              <w:left w:val="nil"/>
              <w:bottom w:val="nil"/>
              <w:right w:val="nil"/>
              <w:tl2br w:val="nil"/>
              <w:tr2bl w:val="nil"/>
            </w:tcBorders>
            <w:shd w:val="clear" w:color="auto" w:fill="FFFFFF"/>
            <w:tcMar>
              <w:left w:w="101" w:type="dxa"/>
              <w:right w:w="101" w:type="dxa"/>
            </w:tcMar>
            <w:vAlign w:val="bottom"/>
          </w:tcPr>
          <w:p w14:paraId="38D2DD6F" w14:textId="77777777" w:rsidR="003F0EEA" w:rsidRDefault="003F0EEA">
            <w:pPr>
              <w:rPr>
                <w:rFonts w:ascii="Arial" w:eastAsia="Arial" w:hAnsi="Arial" w:cs="Arial"/>
                <w:color w:val="000000"/>
                <w:sz w:val="16"/>
              </w:rPr>
            </w:pPr>
          </w:p>
        </w:tc>
        <w:tc>
          <w:tcPr>
            <w:tcW w:w="2880" w:type="dxa"/>
            <w:gridSpan w:val="2"/>
            <w:tcBorders>
              <w:top w:val="nil"/>
              <w:left w:val="nil"/>
              <w:bottom w:val="nil"/>
              <w:right w:val="nil"/>
              <w:tl2br w:val="nil"/>
              <w:tr2bl w:val="nil"/>
            </w:tcBorders>
            <w:shd w:val="clear" w:color="auto" w:fill="FFFFFF"/>
            <w:tcMar>
              <w:left w:w="101" w:type="dxa"/>
              <w:right w:w="101" w:type="dxa"/>
            </w:tcMar>
            <w:vAlign w:val="bottom"/>
          </w:tcPr>
          <w:p w14:paraId="0C85BF06" w14:textId="77777777" w:rsidR="003F0EEA" w:rsidRDefault="00FB7D0B">
            <w:pPr>
              <w:rPr>
                <w:rFonts w:ascii="Arial" w:eastAsia="Arial" w:hAnsi="Arial" w:cs="Arial"/>
                <w:b/>
                <w:color w:val="000000"/>
                <w:sz w:val="16"/>
              </w:rPr>
            </w:pPr>
            <w:r>
              <w:rPr>
                <w:rFonts w:ascii="Arial" w:eastAsia="Arial" w:hAnsi="Arial" w:cs="Arial"/>
                <w:color w:val="000000"/>
                <w:sz w:val="16"/>
              </w:rPr>
              <w:t>Balance carried forward from</w:t>
            </w:r>
          </w:p>
        </w:tc>
        <w:tc>
          <w:tcPr>
            <w:tcW w:w="1125" w:type="dxa"/>
            <w:tcBorders>
              <w:top w:val="nil"/>
              <w:left w:val="nil"/>
              <w:bottom w:val="nil"/>
              <w:right w:val="nil"/>
              <w:tl2br w:val="nil"/>
              <w:tr2bl w:val="nil"/>
            </w:tcBorders>
            <w:shd w:val="clear" w:color="auto" w:fill="FFFFFF"/>
            <w:tcMar>
              <w:left w:w="101" w:type="dxa"/>
              <w:right w:w="101" w:type="dxa"/>
            </w:tcMar>
            <w:vAlign w:val="bottom"/>
          </w:tcPr>
          <w:p w14:paraId="01FDF88A" w14:textId="77777777" w:rsidR="003F0EEA" w:rsidRDefault="003F0EEA">
            <w:pPr>
              <w:rPr>
                <w:rFonts w:ascii="Arial" w:eastAsia="Arial" w:hAnsi="Arial" w:cs="Arial"/>
                <w:color w:val="000000"/>
                <w:sz w:val="16"/>
              </w:rPr>
            </w:pPr>
          </w:p>
        </w:tc>
        <w:tc>
          <w:tcPr>
            <w:tcW w:w="1125" w:type="dxa"/>
            <w:tcBorders>
              <w:top w:val="nil"/>
              <w:left w:val="nil"/>
              <w:bottom w:val="nil"/>
              <w:right w:val="nil"/>
              <w:tl2br w:val="nil"/>
              <w:tr2bl w:val="nil"/>
            </w:tcBorders>
            <w:shd w:val="clear" w:color="auto" w:fill="FFFFFF"/>
            <w:tcMar>
              <w:left w:w="101" w:type="dxa"/>
              <w:right w:w="101" w:type="dxa"/>
            </w:tcMar>
            <w:vAlign w:val="bottom"/>
          </w:tcPr>
          <w:p w14:paraId="073471D2" w14:textId="77777777" w:rsidR="003F0EEA" w:rsidRDefault="003F0EEA">
            <w:pPr>
              <w:rPr>
                <w:rFonts w:ascii="Arial" w:eastAsia="Arial" w:hAnsi="Arial" w:cs="Arial"/>
                <w:b/>
                <w:color w:val="000000"/>
                <w:sz w:val="16"/>
              </w:rPr>
            </w:pPr>
          </w:p>
        </w:tc>
        <w:tc>
          <w:tcPr>
            <w:tcW w:w="1125" w:type="dxa"/>
            <w:tcBorders>
              <w:top w:val="nil"/>
              <w:left w:val="nil"/>
              <w:bottom w:val="nil"/>
              <w:right w:val="nil"/>
              <w:tl2br w:val="nil"/>
              <w:tr2bl w:val="nil"/>
            </w:tcBorders>
            <w:shd w:val="clear" w:color="auto" w:fill="FFFFFF"/>
            <w:tcMar>
              <w:left w:w="101" w:type="dxa"/>
              <w:right w:w="101" w:type="dxa"/>
            </w:tcMar>
            <w:vAlign w:val="bottom"/>
          </w:tcPr>
          <w:p w14:paraId="01FF34CD" w14:textId="77777777" w:rsidR="003F0EEA" w:rsidRDefault="003F0EEA">
            <w:pPr>
              <w:rPr>
                <w:rFonts w:ascii="Arial" w:eastAsia="Arial" w:hAnsi="Arial" w:cs="Arial"/>
                <w:b/>
                <w:color w:val="000000"/>
                <w:sz w:val="16"/>
              </w:rPr>
            </w:pPr>
          </w:p>
        </w:tc>
        <w:tc>
          <w:tcPr>
            <w:tcW w:w="1125" w:type="dxa"/>
            <w:tcBorders>
              <w:top w:val="nil"/>
              <w:left w:val="nil"/>
              <w:bottom w:val="nil"/>
              <w:right w:val="nil"/>
              <w:tl2br w:val="nil"/>
              <w:tr2bl w:val="nil"/>
            </w:tcBorders>
            <w:shd w:val="clear" w:color="auto" w:fill="FFFFFF"/>
            <w:tcMar>
              <w:left w:w="101" w:type="dxa"/>
              <w:right w:w="101" w:type="dxa"/>
            </w:tcMar>
            <w:vAlign w:val="bottom"/>
          </w:tcPr>
          <w:p w14:paraId="369946B9" w14:textId="77777777" w:rsidR="003F0EEA" w:rsidRDefault="003F0EEA">
            <w:pPr>
              <w:rPr>
                <w:rFonts w:ascii="Arial" w:eastAsia="Arial" w:hAnsi="Arial" w:cs="Arial"/>
                <w:b/>
                <w:color w:val="000000"/>
                <w:sz w:val="16"/>
              </w:rPr>
            </w:pPr>
          </w:p>
        </w:tc>
      </w:tr>
      <w:tr w:rsidR="00724034" w14:paraId="2D3B4374" w14:textId="77777777">
        <w:trPr>
          <w:trHeight w:val="225"/>
        </w:trPr>
        <w:tc>
          <w:tcPr>
            <w:tcW w:w="180" w:type="dxa"/>
            <w:tcBorders>
              <w:top w:val="nil"/>
              <w:left w:val="nil"/>
              <w:bottom w:val="nil"/>
              <w:right w:val="nil"/>
              <w:tl2br w:val="nil"/>
              <w:tr2bl w:val="nil"/>
            </w:tcBorders>
            <w:shd w:val="clear" w:color="auto" w:fill="FFFFFF"/>
            <w:tcMar>
              <w:left w:w="101" w:type="dxa"/>
              <w:right w:w="101" w:type="dxa"/>
            </w:tcMar>
            <w:vAlign w:val="bottom"/>
          </w:tcPr>
          <w:p w14:paraId="3FEA22E4" w14:textId="77777777" w:rsidR="003F0EEA" w:rsidRDefault="003F0EEA">
            <w:pPr>
              <w:rPr>
                <w:rFonts w:ascii="Arial" w:eastAsia="Arial" w:hAnsi="Arial" w:cs="Arial"/>
                <w:b/>
                <w:color w:val="000000"/>
                <w:sz w:val="16"/>
              </w:rPr>
            </w:pPr>
          </w:p>
        </w:tc>
        <w:tc>
          <w:tcPr>
            <w:tcW w:w="180" w:type="dxa"/>
            <w:tcBorders>
              <w:top w:val="nil"/>
              <w:left w:val="nil"/>
              <w:bottom w:val="nil"/>
              <w:right w:val="nil"/>
              <w:tl2br w:val="nil"/>
              <w:tr2bl w:val="nil"/>
            </w:tcBorders>
            <w:shd w:val="clear" w:color="auto" w:fill="FFFFFF"/>
            <w:tcMar>
              <w:left w:w="101" w:type="dxa"/>
              <w:right w:w="101" w:type="dxa"/>
            </w:tcMar>
            <w:vAlign w:val="bottom"/>
          </w:tcPr>
          <w:p w14:paraId="144964AA" w14:textId="77777777" w:rsidR="003F0EEA" w:rsidRDefault="003F0EEA">
            <w:pPr>
              <w:rPr>
                <w:rFonts w:ascii="Arial" w:eastAsia="Arial" w:hAnsi="Arial" w:cs="Arial"/>
                <w:color w:val="000000"/>
                <w:sz w:val="18"/>
              </w:rPr>
            </w:pPr>
          </w:p>
        </w:tc>
        <w:tc>
          <w:tcPr>
            <w:tcW w:w="2700" w:type="dxa"/>
            <w:tcBorders>
              <w:top w:val="nil"/>
              <w:left w:val="nil"/>
              <w:bottom w:val="nil"/>
              <w:right w:val="nil"/>
              <w:tl2br w:val="nil"/>
              <w:tr2bl w:val="nil"/>
            </w:tcBorders>
            <w:shd w:val="clear" w:color="auto" w:fill="FFFFFF"/>
            <w:tcMar>
              <w:left w:w="101" w:type="dxa"/>
              <w:right w:w="101" w:type="dxa"/>
            </w:tcMar>
            <w:vAlign w:val="bottom"/>
          </w:tcPr>
          <w:p w14:paraId="5EA78D72" w14:textId="77777777" w:rsidR="003F0EEA" w:rsidRDefault="00FB7D0B">
            <w:pPr>
              <w:rPr>
                <w:rFonts w:ascii="Arial" w:eastAsia="Arial" w:hAnsi="Arial" w:cs="Arial"/>
                <w:color w:val="000000"/>
                <w:sz w:val="18"/>
              </w:rPr>
            </w:pPr>
            <w:r>
              <w:rPr>
                <w:rFonts w:ascii="Arial" w:eastAsia="Arial" w:hAnsi="Arial" w:cs="Arial"/>
                <w:color w:val="000000"/>
                <w:sz w:val="16"/>
              </w:rPr>
              <w:t>previous period</w:t>
            </w:r>
          </w:p>
        </w:tc>
        <w:tc>
          <w:tcPr>
            <w:tcW w:w="1125" w:type="dxa"/>
            <w:tcBorders>
              <w:top w:val="nil"/>
              <w:left w:val="nil"/>
              <w:bottom w:val="nil"/>
              <w:right w:val="nil"/>
              <w:tl2br w:val="nil"/>
              <w:tr2bl w:val="nil"/>
            </w:tcBorders>
            <w:shd w:val="clear" w:color="auto" w:fill="FFFFFF"/>
            <w:tcMar>
              <w:left w:w="101" w:type="dxa"/>
              <w:right w:w="101" w:type="dxa"/>
            </w:tcMar>
            <w:vAlign w:val="bottom"/>
          </w:tcPr>
          <w:p w14:paraId="5CEA3763" w14:textId="77777777" w:rsidR="003F0EEA" w:rsidRDefault="00FB7D0B">
            <w:pPr>
              <w:jc w:val="right"/>
              <w:rPr>
                <w:rFonts w:ascii="Arial" w:eastAsia="Arial" w:hAnsi="Arial" w:cs="Arial"/>
                <w:color w:val="000000"/>
                <w:sz w:val="16"/>
              </w:rPr>
            </w:pPr>
            <w:r>
              <w:rPr>
                <w:rFonts w:ascii="Arial" w:eastAsia="Arial" w:hAnsi="Arial" w:cs="Arial"/>
                <w:b/>
                <w:color w:val="000000"/>
                <w:sz w:val="16"/>
              </w:rPr>
              <w:t xml:space="preserve"> (107,705)</w:t>
            </w:r>
          </w:p>
        </w:tc>
        <w:tc>
          <w:tcPr>
            <w:tcW w:w="1125" w:type="dxa"/>
            <w:tcBorders>
              <w:top w:val="nil"/>
              <w:left w:val="nil"/>
              <w:bottom w:val="nil"/>
              <w:right w:val="nil"/>
              <w:tl2br w:val="nil"/>
              <w:tr2bl w:val="nil"/>
            </w:tcBorders>
            <w:shd w:val="clear" w:color="auto" w:fill="FFFFFF"/>
            <w:tcMar>
              <w:left w:w="101" w:type="dxa"/>
              <w:right w:w="101" w:type="dxa"/>
            </w:tcMar>
            <w:vAlign w:val="bottom"/>
          </w:tcPr>
          <w:p w14:paraId="205BBD2A" w14:textId="77777777" w:rsidR="003F0EEA" w:rsidRDefault="00FB7D0B">
            <w:pPr>
              <w:jc w:val="right"/>
              <w:rPr>
                <w:rFonts w:ascii="Arial" w:eastAsia="Arial" w:hAnsi="Arial" w:cs="Arial"/>
                <w:b/>
                <w:color w:val="000000"/>
                <w:sz w:val="16"/>
              </w:rPr>
            </w:pPr>
            <w:r>
              <w:rPr>
                <w:rFonts w:ascii="Arial" w:eastAsia="Arial" w:hAnsi="Arial" w:cs="Arial"/>
                <w:b/>
                <w:color w:val="000000"/>
                <w:sz w:val="16"/>
              </w:rPr>
              <w:t xml:space="preserve"> 9,091 </w:t>
            </w:r>
          </w:p>
        </w:tc>
        <w:tc>
          <w:tcPr>
            <w:tcW w:w="1125" w:type="dxa"/>
            <w:tcBorders>
              <w:top w:val="nil"/>
              <w:left w:val="nil"/>
              <w:bottom w:val="nil"/>
              <w:right w:val="nil"/>
              <w:tl2br w:val="nil"/>
              <w:tr2bl w:val="nil"/>
            </w:tcBorders>
            <w:shd w:val="clear" w:color="auto" w:fill="FFFFFF"/>
            <w:tcMar>
              <w:left w:w="101" w:type="dxa"/>
              <w:right w:w="101" w:type="dxa"/>
            </w:tcMar>
            <w:vAlign w:val="bottom"/>
          </w:tcPr>
          <w:p w14:paraId="7A74B2D2" w14:textId="77777777" w:rsidR="003F0EEA" w:rsidRDefault="00FB7D0B">
            <w:pPr>
              <w:jc w:val="right"/>
              <w:rPr>
                <w:rFonts w:ascii="Arial" w:eastAsia="Arial" w:hAnsi="Arial" w:cs="Arial"/>
                <w:b/>
                <w:color w:val="000000"/>
                <w:sz w:val="16"/>
              </w:rPr>
            </w:pPr>
            <w:r>
              <w:rPr>
                <w:rFonts w:ascii="Arial" w:eastAsia="Arial" w:hAnsi="Arial" w:cs="Arial"/>
                <w:b/>
                <w:color w:val="000000"/>
                <w:sz w:val="16"/>
              </w:rPr>
              <w:t xml:space="preserve"> 187,961 </w:t>
            </w:r>
          </w:p>
        </w:tc>
        <w:tc>
          <w:tcPr>
            <w:tcW w:w="1125" w:type="dxa"/>
            <w:tcBorders>
              <w:top w:val="nil"/>
              <w:left w:val="nil"/>
              <w:bottom w:val="nil"/>
              <w:right w:val="nil"/>
              <w:tl2br w:val="nil"/>
              <w:tr2bl w:val="nil"/>
            </w:tcBorders>
            <w:shd w:val="clear" w:color="auto" w:fill="FFFFFF"/>
            <w:tcMar>
              <w:left w:w="101" w:type="dxa"/>
              <w:right w:w="101" w:type="dxa"/>
            </w:tcMar>
            <w:vAlign w:val="bottom"/>
          </w:tcPr>
          <w:p w14:paraId="69FD15D4" w14:textId="77777777" w:rsidR="003F0EEA" w:rsidRDefault="00FB7D0B">
            <w:pPr>
              <w:jc w:val="right"/>
              <w:rPr>
                <w:rFonts w:ascii="Arial" w:eastAsia="Arial" w:hAnsi="Arial" w:cs="Arial"/>
                <w:b/>
                <w:color w:val="000000"/>
                <w:sz w:val="16"/>
              </w:rPr>
            </w:pPr>
            <w:r>
              <w:rPr>
                <w:rFonts w:ascii="Arial" w:eastAsia="Arial" w:hAnsi="Arial" w:cs="Arial"/>
                <w:b/>
                <w:color w:val="000000"/>
                <w:sz w:val="16"/>
              </w:rPr>
              <w:t xml:space="preserve"> 89,347 </w:t>
            </w:r>
          </w:p>
        </w:tc>
      </w:tr>
      <w:tr w:rsidR="00FB7D0B" w14:paraId="6BF16BAD" w14:textId="77777777" w:rsidTr="00FB7D0B">
        <w:trPr>
          <w:trHeight w:val="225"/>
        </w:trPr>
        <w:tc>
          <w:tcPr>
            <w:tcW w:w="180" w:type="dxa"/>
            <w:tcBorders>
              <w:top w:val="nil"/>
              <w:left w:val="nil"/>
              <w:bottom w:val="nil"/>
              <w:right w:val="nil"/>
              <w:tl2br w:val="nil"/>
              <w:tr2bl w:val="nil"/>
            </w:tcBorders>
            <w:shd w:val="clear" w:color="auto" w:fill="FFFFFF"/>
            <w:tcMar>
              <w:left w:w="101" w:type="dxa"/>
              <w:right w:w="101" w:type="dxa"/>
            </w:tcMar>
            <w:vAlign w:val="bottom"/>
          </w:tcPr>
          <w:p w14:paraId="55978006" w14:textId="77777777" w:rsidR="003F0EEA" w:rsidRDefault="003F0EEA">
            <w:pPr>
              <w:rPr>
                <w:rFonts w:ascii="Arial" w:eastAsia="Arial" w:hAnsi="Arial" w:cs="Arial"/>
                <w:b/>
                <w:color w:val="000000"/>
                <w:sz w:val="16"/>
              </w:rPr>
            </w:pPr>
          </w:p>
        </w:tc>
        <w:tc>
          <w:tcPr>
            <w:tcW w:w="2880" w:type="dxa"/>
            <w:gridSpan w:val="2"/>
            <w:tcBorders>
              <w:top w:val="nil"/>
              <w:left w:val="nil"/>
              <w:bottom w:val="nil"/>
              <w:right w:val="nil"/>
              <w:tl2br w:val="nil"/>
              <w:tr2bl w:val="nil"/>
            </w:tcBorders>
            <w:shd w:val="clear" w:color="auto" w:fill="FFFFFF"/>
            <w:tcMar>
              <w:left w:w="101" w:type="dxa"/>
              <w:right w:w="101" w:type="dxa"/>
            </w:tcMar>
            <w:vAlign w:val="bottom"/>
          </w:tcPr>
          <w:p w14:paraId="30173994" w14:textId="77777777" w:rsidR="003F0EEA" w:rsidRDefault="00FB7D0B">
            <w:pPr>
              <w:rPr>
                <w:rFonts w:ascii="Arial" w:eastAsia="Arial" w:hAnsi="Arial" w:cs="Arial"/>
                <w:color w:val="000000"/>
                <w:sz w:val="18"/>
              </w:rPr>
            </w:pPr>
            <w:r>
              <w:rPr>
                <w:rFonts w:ascii="Arial" w:eastAsia="Arial" w:hAnsi="Arial" w:cs="Arial"/>
                <w:color w:val="000000"/>
                <w:sz w:val="16"/>
              </w:rPr>
              <w:t>Adjustment for changes in</w:t>
            </w:r>
          </w:p>
        </w:tc>
        <w:tc>
          <w:tcPr>
            <w:tcW w:w="1125" w:type="dxa"/>
            <w:tcBorders>
              <w:top w:val="nil"/>
              <w:left w:val="nil"/>
              <w:bottom w:val="nil"/>
              <w:right w:val="nil"/>
              <w:tl2br w:val="nil"/>
              <w:tr2bl w:val="nil"/>
            </w:tcBorders>
            <w:shd w:val="clear" w:color="auto" w:fill="FFFFFF"/>
            <w:tcMar>
              <w:left w:w="101" w:type="dxa"/>
              <w:right w:w="101" w:type="dxa"/>
            </w:tcMar>
            <w:vAlign w:val="bottom"/>
          </w:tcPr>
          <w:p w14:paraId="06089C9D" w14:textId="77777777" w:rsidR="003F0EEA" w:rsidRDefault="003F0EEA">
            <w:pPr>
              <w:rPr>
                <w:rFonts w:ascii="Arial" w:eastAsia="Arial" w:hAnsi="Arial" w:cs="Arial"/>
                <w:color w:val="000000"/>
                <w:sz w:val="16"/>
              </w:rPr>
            </w:pPr>
          </w:p>
        </w:tc>
        <w:tc>
          <w:tcPr>
            <w:tcW w:w="1125" w:type="dxa"/>
            <w:tcBorders>
              <w:top w:val="nil"/>
              <w:left w:val="nil"/>
              <w:bottom w:val="nil"/>
              <w:right w:val="nil"/>
              <w:tl2br w:val="nil"/>
              <w:tr2bl w:val="nil"/>
            </w:tcBorders>
            <w:shd w:val="clear" w:color="auto" w:fill="FFFFFF"/>
            <w:tcMar>
              <w:left w:w="101" w:type="dxa"/>
              <w:right w:w="101" w:type="dxa"/>
            </w:tcMar>
            <w:vAlign w:val="bottom"/>
          </w:tcPr>
          <w:p w14:paraId="136CEF35" w14:textId="77777777" w:rsidR="003F0EEA" w:rsidRDefault="003F0EEA">
            <w:pPr>
              <w:rPr>
                <w:rFonts w:ascii="Arial" w:eastAsia="Arial" w:hAnsi="Arial" w:cs="Arial"/>
                <w:color w:val="000000"/>
                <w:sz w:val="16"/>
              </w:rPr>
            </w:pPr>
          </w:p>
        </w:tc>
        <w:tc>
          <w:tcPr>
            <w:tcW w:w="1125" w:type="dxa"/>
            <w:tcBorders>
              <w:top w:val="nil"/>
              <w:left w:val="nil"/>
              <w:bottom w:val="nil"/>
              <w:right w:val="nil"/>
              <w:tl2br w:val="nil"/>
              <w:tr2bl w:val="nil"/>
            </w:tcBorders>
            <w:shd w:val="clear" w:color="auto" w:fill="FFFFFF"/>
            <w:tcMar>
              <w:left w:w="101" w:type="dxa"/>
              <w:right w:w="101" w:type="dxa"/>
            </w:tcMar>
            <w:vAlign w:val="bottom"/>
          </w:tcPr>
          <w:p w14:paraId="55217242" w14:textId="77777777" w:rsidR="003F0EEA" w:rsidRDefault="003F0EEA">
            <w:pPr>
              <w:rPr>
                <w:rFonts w:ascii="Arial" w:eastAsia="Arial" w:hAnsi="Arial" w:cs="Arial"/>
                <w:color w:val="000000"/>
                <w:sz w:val="16"/>
              </w:rPr>
            </w:pPr>
          </w:p>
        </w:tc>
        <w:tc>
          <w:tcPr>
            <w:tcW w:w="1125" w:type="dxa"/>
            <w:tcBorders>
              <w:top w:val="nil"/>
              <w:left w:val="nil"/>
              <w:bottom w:val="nil"/>
              <w:right w:val="nil"/>
              <w:tl2br w:val="nil"/>
              <w:tr2bl w:val="nil"/>
            </w:tcBorders>
            <w:shd w:val="clear" w:color="auto" w:fill="FFFFFF"/>
            <w:tcMar>
              <w:left w:w="101" w:type="dxa"/>
              <w:right w:w="101" w:type="dxa"/>
            </w:tcMar>
            <w:vAlign w:val="bottom"/>
          </w:tcPr>
          <w:p w14:paraId="7F293C0B" w14:textId="77777777" w:rsidR="003F0EEA" w:rsidRDefault="003F0EEA">
            <w:pPr>
              <w:rPr>
                <w:rFonts w:ascii="Arial" w:eastAsia="Arial" w:hAnsi="Arial" w:cs="Arial"/>
                <w:color w:val="000000"/>
                <w:sz w:val="16"/>
              </w:rPr>
            </w:pPr>
          </w:p>
        </w:tc>
      </w:tr>
      <w:tr w:rsidR="00724034" w14:paraId="20C89672" w14:textId="77777777">
        <w:trPr>
          <w:trHeight w:val="225"/>
        </w:trPr>
        <w:tc>
          <w:tcPr>
            <w:tcW w:w="180" w:type="dxa"/>
            <w:tcBorders>
              <w:top w:val="nil"/>
              <w:left w:val="nil"/>
              <w:bottom w:val="nil"/>
              <w:right w:val="nil"/>
              <w:tl2br w:val="nil"/>
              <w:tr2bl w:val="nil"/>
            </w:tcBorders>
            <w:shd w:val="clear" w:color="auto" w:fill="FFFFFF"/>
            <w:tcMar>
              <w:left w:w="101" w:type="dxa"/>
              <w:right w:w="101" w:type="dxa"/>
            </w:tcMar>
            <w:vAlign w:val="bottom"/>
          </w:tcPr>
          <w:p w14:paraId="27BCCB74" w14:textId="77777777" w:rsidR="003F0EEA" w:rsidRDefault="003F0EEA">
            <w:pPr>
              <w:rPr>
                <w:rFonts w:ascii="Arial" w:eastAsia="Arial" w:hAnsi="Arial" w:cs="Arial"/>
                <w:color w:val="000000"/>
                <w:sz w:val="16"/>
              </w:rPr>
            </w:pPr>
          </w:p>
        </w:tc>
        <w:tc>
          <w:tcPr>
            <w:tcW w:w="180" w:type="dxa"/>
            <w:tcBorders>
              <w:top w:val="nil"/>
              <w:left w:val="nil"/>
              <w:bottom w:val="nil"/>
              <w:right w:val="nil"/>
              <w:tl2br w:val="nil"/>
              <w:tr2bl w:val="nil"/>
            </w:tcBorders>
            <w:shd w:val="clear" w:color="auto" w:fill="FFFFFF"/>
            <w:tcMar>
              <w:left w:w="101" w:type="dxa"/>
              <w:right w:w="101" w:type="dxa"/>
            </w:tcMar>
            <w:vAlign w:val="bottom"/>
          </w:tcPr>
          <w:p w14:paraId="10D5E182" w14:textId="77777777" w:rsidR="003F0EEA" w:rsidRDefault="003F0EEA">
            <w:pPr>
              <w:rPr>
                <w:rFonts w:ascii="Arial" w:eastAsia="Arial" w:hAnsi="Arial" w:cs="Arial"/>
                <w:color w:val="000000"/>
                <w:sz w:val="18"/>
              </w:rPr>
            </w:pPr>
          </w:p>
        </w:tc>
        <w:tc>
          <w:tcPr>
            <w:tcW w:w="2700" w:type="dxa"/>
            <w:tcBorders>
              <w:top w:val="nil"/>
              <w:left w:val="nil"/>
              <w:bottom w:val="nil"/>
              <w:right w:val="nil"/>
              <w:tl2br w:val="nil"/>
              <w:tr2bl w:val="nil"/>
            </w:tcBorders>
            <w:shd w:val="clear" w:color="auto" w:fill="FFFFFF"/>
            <w:tcMar>
              <w:left w:w="101" w:type="dxa"/>
              <w:right w:w="101" w:type="dxa"/>
            </w:tcMar>
            <w:vAlign w:val="bottom"/>
          </w:tcPr>
          <w:p w14:paraId="7838ECD3" w14:textId="77777777" w:rsidR="003F0EEA" w:rsidRDefault="00FB7D0B">
            <w:pPr>
              <w:rPr>
                <w:rFonts w:ascii="Arial" w:eastAsia="Arial" w:hAnsi="Arial" w:cs="Arial"/>
                <w:color w:val="000000"/>
                <w:sz w:val="18"/>
              </w:rPr>
            </w:pPr>
            <w:r>
              <w:rPr>
                <w:rFonts w:ascii="Arial" w:eastAsia="Arial" w:hAnsi="Arial" w:cs="Arial"/>
                <w:color w:val="000000"/>
                <w:sz w:val="16"/>
              </w:rPr>
              <w:t>accounting policies</w:t>
            </w:r>
          </w:p>
        </w:tc>
        <w:tc>
          <w:tcPr>
            <w:tcW w:w="1125"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3AE24820" w14:textId="77777777" w:rsidR="003F0EEA" w:rsidRDefault="00FB7D0B">
            <w:pPr>
              <w:jc w:val="right"/>
              <w:rPr>
                <w:rFonts w:ascii="Arial" w:eastAsia="Arial" w:hAnsi="Arial" w:cs="Arial"/>
                <w:color w:val="000000"/>
                <w:sz w:val="16"/>
              </w:rPr>
            </w:pPr>
            <w:r>
              <w:rPr>
                <w:rFonts w:ascii="Arial" w:eastAsia="Arial" w:hAnsi="Arial" w:cs="Arial"/>
                <w:color w:val="000000"/>
                <w:sz w:val="16"/>
              </w:rPr>
              <w:t xml:space="preserve"> - </w:t>
            </w:r>
          </w:p>
        </w:tc>
        <w:tc>
          <w:tcPr>
            <w:tcW w:w="1125"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15F5B5A4" w14:textId="77777777" w:rsidR="003F0EEA" w:rsidRDefault="00FB7D0B">
            <w:pPr>
              <w:jc w:val="right"/>
              <w:rPr>
                <w:rFonts w:ascii="Arial" w:eastAsia="Arial" w:hAnsi="Arial" w:cs="Arial"/>
                <w:color w:val="000000"/>
                <w:sz w:val="16"/>
              </w:rPr>
            </w:pPr>
            <w:r>
              <w:rPr>
                <w:rFonts w:ascii="Arial" w:eastAsia="Arial" w:hAnsi="Arial" w:cs="Arial"/>
                <w:color w:val="000000"/>
                <w:sz w:val="16"/>
              </w:rPr>
              <w:t xml:space="preserve"> - </w:t>
            </w:r>
          </w:p>
        </w:tc>
        <w:tc>
          <w:tcPr>
            <w:tcW w:w="1125"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0E460908" w14:textId="77777777" w:rsidR="003F0EEA" w:rsidRDefault="00FB7D0B">
            <w:pPr>
              <w:jc w:val="right"/>
              <w:rPr>
                <w:rFonts w:ascii="Arial" w:eastAsia="Arial" w:hAnsi="Arial" w:cs="Arial"/>
                <w:color w:val="000000"/>
                <w:sz w:val="16"/>
              </w:rPr>
            </w:pPr>
            <w:r>
              <w:rPr>
                <w:rFonts w:ascii="Arial" w:eastAsia="Arial" w:hAnsi="Arial" w:cs="Arial"/>
                <w:color w:val="000000"/>
                <w:sz w:val="16"/>
              </w:rPr>
              <w:t xml:space="preserve"> - </w:t>
            </w:r>
          </w:p>
        </w:tc>
        <w:tc>
          <w:tcPr>
            <w:tcW w:w="1125"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2FD53114" w14:textId="77777777" w:rsidR="003F0EEA" w:rsidRDefault="00FB7D0B">
            <w:pPr>
              <w:jc w:val="right"/>
              <w:rPr>
                <w:rFonts w:ascii="Arial" w:eastAsia="Arial" w:hAnsi="Arial" w:cs="Arial"/>
                <w:color w:val="000000"/>
                <w:sz w:val="16"/>
              </w:rPr>
            </w:pPr>
            <w:r>
              <w:rPr>
                <w:rFonts w:ascii="Arial" w:eastAsia="Arial" w:hAnsi="Arial" w:cs="Arial"/>
                <w:color w:val="000000"/>
                <w:sz w:val="16"/>
              </w:rPr>
              <w:t xml:space="preserve"> - </w:t>
            </w:r>
          </w:p>
        </w:tc>
      </w:tr>
      <w:tr w:rsidR="00FB7D0B" w14:paraId="3A77509A" w14:textId="77777777" w:rsidTr="00FB7D0B">
        <w:trPr>
          <w:trHeight w:val="225"/>
        </w:trPr>
        <w:tc>
          <w:tcPr>
            <w:tcW w:w="3060" w:type="dxa"/>
            <w:gridSpan w:val="3"/>
            <w:tcBorders>
              <w:top w:val="nil"/>
              <w:left w:val="nil"/>
              <w:bottom w:val="nil"/>
              <w:right w:val="nil"/>
              <w:tl2br w:val="nil"/>
              <w:tr2bl w:val="nil"/>
            </w:tcBorders>
            <w:shd w:val="clear" w:color="auto" w:fill="FFFFFF"/>
            <w:tcMar>
              <w:left w:w="101" w:type="dxa"/>
              <w:right w:w="101" w:type="dxa"/>
            </w:tcMar>
            <w:vAlign w:val="bottom"/>
          </w:tcPr>
          <w:p w14:paraId="4A406682" w14:textId="77777777" w:rsidR="003F0EEA" w:rsidRDefault="00FB7D0B">
            <w:pPr>
              <w:rPr>
                <w:rFonts w:ascii="Arial" w:eastAsia="Arial" w:hAnsi="Arial" w:cs="Arial"/>
                <w:color w:val="000000"/>
                <w:sz w:val="16"/>
              </w:rPr>
            </w:pPr>
            <w:r>
              <w:rPr>
                <w:rFonts w:ascii="Arial" w:eastAsia="Arial" w:hAnsi="Arial" w:cs="Arial"/>
                <w:b/>
                <w:i/>
                <w:color w:val="000000"/>
                <w:sz w:val="16"/>
              </w:rPr>
              <w:t>Adjusted opening balance</w:t>
            </w:r>
          </w:p>
        </w:tc>
        <w:tc>
          <w:tcPr>
            <w:tcW w:w="1125"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23A973ED" w14:textId="77777777" w:rsidR="003F0EEA" w:rsidRDefault="00FB7D0B">
            <w:pPr>
              <w:jc w:val="right"/>
              <w:rPr>
                <w:rFonts w:ascii="Arial" w:eastAsia="Arial" w:hAnsi="Arial" w:cs="Arial"/>
                <w:b/>
                <w:i/>
                <w:color w:val="000000"/>
                <w:sz w:val="16"/>
              </w:rPr>
            </w:pPr>
            <w:r>
              <w:rPr>
                <w:rFonts w:ascii="Arial" w:eastAsia="Arial" w:hAnsi="Arial" w:cs="Arial"/>
                <w:b/>
                <w:color w:val="000000"/>
                <w:sz w:val="16"/>
              </w:rPr>
              <w:t xml:space="preserve"> (107,705)</w:t>
            </w:r>
          </w:p>
        </w:tc>
        <w:tc>
          <w:tcPr>
            <w:tcW w:w="1125"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36D117C0" w14:textId="77777777" w:rsidR="003F0EEA" w:rsidRDefault="00FB7D0B">
            <w:pPr>
              <w:jc w:val="right"/>
              <w:rPr>
                <w:rFonts w:ascii="Arial" w:eastAsia="Arial" w:hAnsi="Arial" w:cs="Arial"/>
                <w:b/>
                <w:color w:val="000000"/>
                <w:sz w:val="16"/>
              </w:rPr>
            </w:pPr>
            <w:r>
              <w:rPr>
                <w:rFonts w:ascii="Arial" w:eastAsia="Arial" w:hAnsi="Arial" w:cs="Arial"/>
                <w:b/>
                <w:color w:val="000000"/>
                <w:sz w:val="16"/>
              </w:rPr>
              <w:t xml:space="preserve"> 9,091 </w:t>
            </w:r>
          </w:p>
        </w:tc>
        <w:tc>
          <w:tcPr>
            <w:tcW w:w="1125"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0E88F3A0" w14:textId="77777777" w:rsidR="003F0EEA" w:rsidRDefault="00FB7D0B">
            <w:pPr>
              <w:jc w:val="right"/>
              <w:rPr>
                <w:rFonts w:ascii="Arial" w:eastAsia="Arial" w:hAnsi="Arial" w:cs="Arial"/>
                <w:b/>
                <w:color w:val="000000"/>
                <w:sz w:val="16"/>
              </w:rPr>
            </w:pPr>
            <w:r>
              <w:rPr>
                <w:rFonts w:ascii="Arial" w:eastAsia="Arial" w:hAnsi="Arial" w:cs="Arial"/>
                <w:b/>
                <w:color w:val="000000"/>
                <w:sz w:val="16"/>
              </w:rPr>
              <w:t xml:space="preserve"> 187,961 </w:t>
            </w:r>
          </w:p>
        </w:tc>
        <w:tc>
          <w:tcPr>
            <w:tcW w:w="1125"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36F6F08E" w14:textId="77777777" w:rsidR="003F0EEA" w:rsidRDefault="00FB7D0B">
            <w:pPr>
              <w:jc w:val="right"/>
              <w:rPr>
                <w:rFonts w:ascii="Arial" w:eastAsia="Arial" w:hAnsi="Arial" w:cs="Arial"/>
                <w:b/>
                <w:color w:val="000000"/>
                <w:sz w:val="16"/>
              </w:rPr>
            </w:pPr>
            <w:r>
              <w:rPr>
                <w:rFonts w:ascii="Arial" w:eastAsia="Arial" w:hAnsi="Arial" w:cs="Arial"/>
                <w:b/>
                <w:color w:val="000000"/>
                <w:sz w:val="16"/>
              </w:rPr>
              <w:t xml:space="preserve"> 89,347 </w:t>
            </w:r>
          </w:p>
        </w:tc>
      </w:tr>
      <w:tr w:rsidR="00FB7D0B" w14:paraId="21A5B415" w14:textId="77777777" w:rsidTr="00FB7D0B">
        <w:trPr>
          <w:trHeight w:val="225"/>
        </w:trPr>
        <w:tc>
          <w:tcPr>
            <w:tcW w:w="3060" w:type="dxa"/>
            <w:gridSpan w:val="3"/>
            <w:tcBorders>
              <w:top w:val="nil"/>
              <w:left w:val="nil"/>
              <w:bottom w:val="nil"/>
              <w:right w:val="nil"/>
              <w:tl2br w:val="nil"/>
              <w:tr2bl w:val="nil"/>
            </w:tcBorders>
            <w:shd w:val="clear" w:color="auto" w:fill="FFFFFF"/>
            <w:tcMar>
              <w:left w:w="101" w:type="dxa"/>
              <w:right w:w="101" w:type="dxa"/>
            </w:tcMar>
            <w:vAlign w:val="bottom"/>
          </w:tcPr>
          <w:p w14:paraId="0E5BF5B2" w14:textId="77777777" w:rsidR="003F0EEA" w:rsidRDefault="00FB7D0B">
            <w:pPr>
              <w:rPr>
                <w:rFonts w:ascii="Arial" w:eastAsia="Arial" w:hAnsi="Arial" w:cs="Arial"/>
                <w:b/>
                <w:color w:val="000000"/>
                <w:sz w:val="16"/>
              </w:rPr>
            </w:pPr>
            <w:r>
              <w:rPr>
                <w:rFonts w:ascii="Arial" w:eastAsia="Arial" w:hAnsi="Arial" w:cs="Arial"/>
                <w:b/>
                <w:color w:val="000000"/>
                <w:sz w:val="16"/>
              </w:rPr>
              <w:t>Comprehensive income</w:t>
            </w:r>
          </w:p>
        </w:tc>
        <w:tc>
          <w:tcPr>
            <w:tcW w:w="112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78ED67A8" w14:textId="77777777" w:rsidR="003F0EEA" w:rsidRDefault="003F0EEA">
            <w:pPr>
              <w:rPr>
                <w:rFonts w:ascii="Arial" w:eastAsia="Arial" w:hAnsi="Arial" w:cs="Arial"/>
                <w:b/>
                <w:color w:val="000000"/>
                <w:sz w:val="16"/>
              </w:rPr>
            </w:pPr>
          </w:p>
        </w:tc>
        <w:tc>
          <w:tcPr>
            <w:tcW w:w="112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46AE8880" w14:textId="77777777" w:rsidR="003F0EEA" w:rsidRDefault="003F0EEA">
            <w:pPr>
              <w:rPr>
                <w:rFonts w:ascii="Arial" w:eastAsia="Arial" w:hAnsi="Arial" w:cs="Arial"/>
                <w:color w:val="000000"/>
                <w:sz w:val="16"/>
              </w:rPr>
            </w:pPr>
          </w:p>
        </w:tc>
        <w:tc>
          <w:tcPr>
            <w:tcW w:w="112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30B762B4" w14:textId="77777777" w:rsidR="003F0EEA" w:rsidRDefault="003F0EEA">
            <w:pPr>
              <w:rPr>
                <w:rFonts w:ascii="Arial" w:eastAsia="Arial" w:hAnsi="Arial" w:cs="Arial"/>
                <w:color w:val="000000"/>
                <w:sz w:val="16"/>
              </w:rPr>
            </w:pPr>
          </w:p>
        </w:tc>
        <w:tc>
          <w:tcPr>
            <w:tcW w:w="112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065262D2" w14:textId="77777777" w:rsidR="003F0EEA" w:rsidRDefault="003F0EEA">
            <w:pPr>
              <w:rPr>
                <w:rFonts w:ascii="Arial" w:eastAsia="Arial" w:hAnsi="Arial" w:cs="Arial"/>
                <w:color w:val="000000"/>
                <w:sz w:val="16"/>
              </w:rPr>
            </w:pPr>
          </w:p>
        </w:tc>
      </w:tr>
      <w:tr w:rsidR="00FB7D0B" w14:paraId="5EBE5000" w14:textId="77777777" w:rsidTr="00FB7D0B">
        <w:trPr>
          <w:trHeight w:val="225"/>
        </w:trPr>
        <w:tc>
          <w:tcPr>
            <w:tcW w:w="180" w:type="dxa"/>
            <w:tcBorders>
              <w:top w:val="nil"/>
              <w:left w:val="nil"/>
              <w:bottom w:val="nil"/>
              <w:right w:val="nil"/>
              <w:tl2br w:val="nil"/>
              <w:tr2bl w:val="nil"/>
            </w:tcBorders>
            <w:shd w:val="clear" w:color="auto" w:fill="FFFFFF"/>
            <w:tcMar>
              <w:left w:w="101" w:type="dxa"/>
              <w:right w:w="101" w:type="dxa"/>
            </w:tcMar>
            <w:vAlign w:val="bottom"/>
          </w:tcPr>
          <w:p w14:paraId="6CFA6065" w14:textId="77777777" w:rsidR="003F0EEA" w:rsidRDefault="003F0EEA">
            <w:pPr>
              <w:rPr>
                <w:rFonts w:ascii="Arial" w:eastAsia="Arial" w:hAnsi="Arial" w:cs="Arial"/>
                <w:color w:val="000000"/>
                <w:sz w:val="16"/>
              </w:rPr>
            </w:pPr>
          </w:p>
        </w:tc>
        <w:tc>
          <w:tcPr>
            <w:tcW w:w="2880" w:type="dxa"/>
            <w:gridSpan w:val="2"/>
            <w:tcBorders>
              <w:top w:val="nil"/>
              <w:left w:val="nil"/>
              <w:bottom w:val="nil"/>
              <w:right w:val="nil"/>
              <w:tl2br w:val="nil"/>
              <w:tr2bl w:val="nil"/>
            </w:tcBorders>
            <w:shd w:val="clear" w:color="auto" w:fill="FFFFFF"/>
            <w:tcMar>
              <w:left w:w="101" w:type="dxa"/>
              <w:right w:w="101" w:type="dxa"/>
            </w:tcMar>
            <w:vAlign w:val="bottom"/>
          </w:tcPr>
          <w:p w14:paraId="5C50E991" w14:textId="77777777" w:rsidR="003F0EEA" w:rsidRDefault="00FB7D0B">
            <w:pPr>
              <w:rPr>
                <w:rFonts w:ascii="Arial" w:eastAsia="Arial" w:hAnsi="Arial" w:cs="Arial"/>
                <w:color w:val="000000"/>
                <w:sz w:val="16"/>
              </w:rPr>
            </w:pPr>
            <w:r>
              <w:rPr>
                <w:rFonts w:ascii="Arial" w:eastAsia="Arial" w:hAnsi="Arial" w:cs="Arial"/>
                <w:color w:val="000000"/>
                <w:sz w:val="16"/>
              </w:rPr>
              <w:t>Surplus (deficit) for the period</w:t>
            </w:r>
          </w:p>
        </w:tc>
        <w:tc>
          <w:tcPr>
            <w:tcW w:w="1125"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271D48A7" w14:textId="77777777" w:rsidR="003F0EEA" w:rsidRDefault="00FB7D0B">
            <w:pPr>
              <w:jc w:val="right"/>
              <w:rPr>
                <w:rFonts w:ascii="Arial" w:eastAsia="Arial" w:hAnsi="Arial" w:cs="Arial"/>
                <w:color w:val="000000"/>
                <w:sz w:val="16"/>
              </w:rPr>
            </w:pPr>
            <w:r>
              <w:rPr>
                <w:rFonts w:ascii="Arial" w:eastAsia="Arial" w:hAnsi="Arial" w:cs="Arial"/>
                <w:color w:val="000000"/>
                <w:sz w:val="16"/>
              </w:rPr>
              <w:t xml:space="preserve"> (29,161)</w:t>
            </w:r>
          </w:p>
        </w:tc>
        <w:tc>
          <w:tcPr>
            <w:tcW w:w="1125"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2978F481" w14:textId="77777777" w:rsidR="003F0EEA" w:rsidRDefault="00FB7D0B">
            <w:pPr>
              <w:jc w:val="right"/>
              <w:rPr>
                <w:rFonts w:ascii="Arial" w:eastAsia="Arial" w:hAnsi="Arial" w:cs="Arial"/>
                <w:color w:val="000000"/>
                <w:sz w:val="16"/>
              </w:rPr>
            </w:pPr>
            <w:r>
              <w:rPr>
                <w:rFonts w:ascii="Arial" w:eastAsia="Arial" w:hAnsi="Arial" w:cs="Arial"/>
                <w:color w:val="000000"/>
                <w:sz w:val="16"/>
              </w:rPr>
              <w:t xml:space="preserve"> - </w:t>
            </w:r>
          </w:p>
        </w:tc>
        <w:tc>
          <w:tcPr>
            <w:tcW w:w="1125"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2048B76E" w14:textId="77777777" w:rsidR="003F0EEA" w:rsidRDefault="00FB7D0B">
            <w:pPr>
              <w:jc w:val="right"/>
              <w:rPr>
                <w:rFonts w:ascii="Arial" w:eastAsia="Arial" w:hAnsi="Arial" w:cs="Arial"/>
                <w:color w:val="000000"/>
                <w:sz w:val="16"/>
              </w:rPr>
            </w:pPr>
            <w:r>
              <w:rPr>
                <w:rFonts w:ascii="Arial" w:eastAsia="Arial" w:hAnsi="Arial" w:cs="Arial"/>
                <w:color w:val="000000"/>
                <w:sz w:val="16"/>
              </w:rPr>
              <w:t xml:space="preserve"> - </w:t>
            </w:r>
          </w:p>
        </w:tc>
        <w:tc>
          <w:tcPr>
            <w:tcW w:w="1125"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20B1C424" w14:textId="77777777" w:rsidR="003F0EEA" w:rsidRDefault="00FB7D0B">
            <w:pPr>
              <w:jc w:val="right"/>
              <w:rPr>
                <w:rFonts w:ascii="Arial" w:eastAsia="Arial" w:hAnsi="Arial" w:cs="Arial"/>
                <w:color w:val="000000"/>
                <w:sz w:val="16"/>
              </w:rPr>
            </w:pPr>
            <w:r>
              <w:rPr>
                <w:rFonts w:ascii="Arial" w:eastAsia="Arial" w:hAnsi="Arial" w:cs="Arial"/>
                <w:color w:val="000000"/>
                <w:sz w:val="16"/>
              </w:rPr>
              <w:t xml:space="preserve"> (29,161)</w:t>
            </w:r>
          </w:p>
        </w:tc>
      </w:tr>
      <w:tr w:rsidR="00FB7D0B" w14:paraId="72A93CFF" w14:textId="77777777" w:rsidTr="00FB7D0B">
        <w:trPr>
          <w:trHeight w:val="225"/>
        </w:trPr>
        <w:tc>
          <w:tcPr>
            <w:tcW w:w="3060" w:type="dxa"/>
            <w:gridSpan w:val="3"/>
            <w:tcBorders>
              <w:top w:val="nil"/>
              <w:left w:val="nil"/>
              <w:bottom w:val="nil"/>
              <w:right w:val="nil"/>
              <w:tl2br w:val="nil"/>
              <w:tr2bl w:val="nil"/>
            </w:tcBorders>
            <w:shd w:val="clear" w:color="auto" w:fill="FFFFFF"/>
            <w:tcMar>
              <w:left w:w="101" w:type="dxa"/>
              <w:right w:w="101" w:type="dxa"/>
            </w:tcMar>
            <w:vAlign w:val="bottom"/>
          </w:tcPr>
          <w:p w14:paraId="460FEF4F" w14:textId="77777777" w:rsidR="003F0EEA" w:rsidRDefault="00FB7D0B">
            <w:pPr>
              <w:rPr>
                <w:rFonts w:ascii="Arial" w:eastAsia="Arial" w:hAnsi="Arial" w:cs="Arial"/>
                <w:color w:val="000000"/>
                <w:sz w:val="16"/>
              </w:rPr>
            </w:pPr>
            <w:r>
              <w:rPr>
                <w:rFonts w:ascii="Arial" w:eastAsia="Arial" w:hAnsi="Arial" w:cs="Arial"/>
                <w:b/>
                <w:i/>
                <w:color w:val="000000"/>
                <w:sz w:val="16"/>
              </w:rPr>
              <w:t>Total comprehensive income</w:t>
            </w:r>
          </w:p>
        </w:tc>
        <w:tc>
          <w:tcPr>
            <w:tcW w:w="1125"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6C5C8556" w14:textId="77777777" w:rsidR="003F0EEA" w:rsidRDefault="00FB7D0B">
            <w:pPr>
              <w:jc w:val="right"/>
              <w:rPr>
                <w:rFonts w:ascii="Arial" w:eastAsia="Arial" w:hAnsi="Arial" w:cs="Arial"/>
                <w:b/>
                <w:i/>
                <w:color w:val="000000"/>
                <w:sz w:val="16"/>
              </w:rPr>
            </w:pPr>
            <w:r>
              <w:rPr>
                <w:rFonts w:ascii="Arial" w:eastAsia="Arial" w:hAnsi="Arial" w:cs="Arial"/>
                <w:b/>
                <w:color w:val="000000"/>
                <w:sz w:val="16"/>
              </w:rPr>
              <w:t xml:space="preserve"> (29,161)</w:t>
            </w:r>
          </w:p>
        </w:tc>
        <w:tc>
          <w:tcPr>
            <w:tcW w:w="1125"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347413B4" w14:textId="77777777" w:rsidR="003F0EEA" w:rsidRDefault="00FB7D0B">
            <w:pPr>
              <w:jc w:val="right"/>
              <w:rPr>
                <w:rFonts w:ascii="Arial" w:eastAsia="Arial" w:hAnsi="Arial" w:cs="Arial"/>
                <w:b/>
                <w:color w:val="000000"/>
                <w:sz w:val="16"/>
              </w:rPr>
            </w:pPr>
            <w:r>
              <w:rPr>
                <w:rFonts w:ascii="Arial" w:eastAsia="Arial" w:hAnsi="Arial" w:cs="Arial"/>
                <w:b/>
                <w:color w:val="000000"/>
                <w:sz w:val="16"/>
              </w:rPr>
              <w:t xml:space="preserve"> - </w:t>
            </w:r>
          </w:p>
        </w:tc>
        <w:tc>
          <w:tcPr>
            <w:tcW w:w="1125"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6424A3C0" w14:textId="77777777" w:rsidR="003F0EEA" w:rsidRDefault="00FB7D0B">
            <w:pPr>
              <w:jc w:val="right"/>
              <w:rPr>
                <w:rFonts w:ascii="Arial" w:eastAsia="Arial" w:hAnsi="Arial" w:cs="Arial"/>
                <w:b/>
                <w:color w:val="000000"/>
                <w:sz w:val="16"/>
              </w:rPr>
            </w:pPr>
            <w:r>
              <w:rPr>
                <w:rFonts w:ascii="Arial" w:eastAsia="Arial" w:hAnsi="Arial" w:cs="Arial"/>
                <w:b/>
                <w:color w:val="000000"/>
                <w:sz w:val="16"/>
              </w:rPr>
              <w:t xml:space="preserve"> - </w:t>
            </w:r>
          </w:p>
        </w:tc>
        <w:tc>
          <w:tcPr>
            <w:tcW w:w="1125"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6CAAE1E7" w14:textId="77777777" w:rsidR="003F0EEA" w:rsidRDefault="00FB7D0B">
            <w:pPr>
              <w:jc w:val="right"/>
              <w:rPr>
                <w:rFonts w:ascii="Arial" w:eastAsia="Arial" w:hAnsi="Arial" w:cs="Arial"/>
                <w:b/>
                <w:color w:val="000000"/>
                <w:sz w:val="16"/>
              </w:rPr>
            </w:pPr>
            <w:r>
              <w:rPr>
                <w:rFonts w:ascii="Arial" w:eastAsia="Arial" w:hAnsi="Arial" w:cs="Arial"/>
                <w:b/>
                <w:color w:val="000000"/>
                <w:sz w:val="16"/>
              </w:rPr>
              <w:t xml:space="preserve"> (29,161)</w:t>
            </w:r>
          </w:p>
        </w:tc>
      </w:tr>
      <w:tr w:rsidR="00724034" w14:paraId="6279CD45" w14:textId="77777777">
        <w:trPr>
          <w:trHeight w:hRule="exact" w:val="60"/>
        </w:trPr>
        <w:tc>
          <w:tcPr>
            <w:tcW w:w="180" w:type="dxa"/>
            <w:tcBorders>
              <w:top w:val="nil"/>
              <w:left w:val="nil"/>
              <w:bottom w:val="nil"/>
              <w:right w:val="nil"/>
              <w:tl2br w:val="nil"/>
              <w:tr2bl w:val="nil"/>
            </w:tcBorders>
            <w:shd w:val="clear" w:color="auto" w:fill="FFFFFF"/>
            <w:tcMar>
              <w:left w:w="101" w:type="dxa"/>
              <w:right w:w="101" w:type="dxa"/>
            </w:tcMar>
            <w:vAlign w:val="bottom"/>
          </w:tcPr>
          <w:p w14:paraId="6195F9FF" w14:textId="77777777" w:rsidR="003F0EEA" w:rsidRDefault="003F0EEA">
            <w:pPr>
              <w:rPr>
                <w:rFonts w:ascii="Arial" w:eastAsia="Arial" w:hAnsi="Arial" w:cs="Arial"/>
                <w:b/>
                <w:color w:val="000000"/>
                <w:sz w:val="16"/>
              </w:rPr>
            </w:pPr>
          </w:p>
        </w:tc>
        <w:tc>
          <w:tcPr>
            <w:tcW w:w="180" w:type="dxa"/>
            <w:tcBorders>
              <w:top w:val="nil"/>
              <w:left w:val="nil"/>
              <w:bottom w:val="nil"/>
              <w:right w:val="nil"/>
              <w:tl2br w:val="nil"/>
              <w:tr2bl w:val="nil"/>
            </w:tcBorders>
            <w:shd w:val="clear" w:color="auto" w:fill="FFFFFF"/>
            <w:tcMar>
              <w:left w:w="101" w:type="dxa"/>
              <w:right w:w="101" w:type="dxa"/>
            </w:tcMar>
            <w:vAlign w:val="bottom"/>
          </w:tcPr>
          <w:p w14:paraId="51A4931D" w14:textId="77777777" w:rsidR="003F0EEA" w:rsidRDefault="003F0EEA">
            <w:pPr>
              <w:rPr>
                <w:rFonts w:ascii="Arial" w:eastAsia="Arial" w:hAnsi="Arial" w:cs="Arial"/>
                <w:b/>
                <w:i/>
                <w:color w:val="000000"/>
                <w:sz w:val="16"/>
              </w:rPr>
            </w:pPr>
          </w:p>
        </w:tc>
        <w:tc>
          <w:tcPr>
            <w:tcW w:w="2700" w:type="dxa"/>
            <w:tcBorders>
              <w:top w:val="nil"/>
              <w:left w:val="nil"/>
              <w:bottom w:val="nil"/>
              <w:right w:val="nil"/>
              <w:tl2br w:val="nil"/>
              <w:tr2bl w:val="nil"/>
            </w:tcBorders>
            <w:shd w:val="clear" w:color="auto" w:fill="FFFFFF"/>
            <w:tcMar>
              <w:left w:w="101" w:type="dxa"/>
              <w:right w:w="101" w:type="dxa"/>
            </w:tcMar>
            <w:vAlign w:val="bottom"/>
          </w:tcPr>
          <w:p w14:paraId="31AC9375" w14:textId="77777777" w:rsidR="003F0EEA" w:rsidRDefault="003F0EEA">
            <w:pPr>
              <w:rPr>
                <w:rFonts w:ascii="Arial" w:eastAsia="Arial" w:hAnsi="Arial" w:cs="Arial"/>
                <w:b/>
                <w:color w:val="000000"/>
                <w:sz w:val="16"/>
              </w:rPr>
            </w:pPr>
          </w:p>
        </w:tc>
        <w:tc>
          <w:tcPr>
            <w:tcW w:w="112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44A1B3C3" w14:textId="77777777" w:rsidR="003F0EEA" w:rsidRDefault="003F0EEA">
            <w:pPr>
              <w:rPr>
                <w:rFonts w:ascii="Arial" w:eastAsia="Arial" w:hAnsi="Arial" w:cs="Arial"/>
                <w:b/>
                <w:color w:val="000000"/>
                <w:sz w:val="16"/>
              </w:rPr>
            </w:pPr>
          </w:p>
        </w:tc>
        <w:tc>
          <w:tcPr>
            <w:tcW w:w="112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0A7A2BE4" w14:textId="77777777" w:rsidR="003F0EEA" w:rsidRDefault="003F0EEA">
            <w:pPr>
              <w:rPr>
                <w:rFonts w:ascii="Arial" w:eastAsia="Arial" w:hAnsi="Arial" w:cs="Arial"/>
                <w:color w:val="000000"/>
                <w:sz w:val="16"/>
              </w:rPr>
            </w:pPr>
          </w:p>
        </w:tc>
        <w:tc>
          <w:tcPr>
            <w:tcW w:w="112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0BF27A76" w14:textId="77777777" w:rsidR="003F0EEA" w:rsidRDefault="003F0EEA">
            <w:pPr>
              <w:rPr>
                <w:rFonts w:ascii="Arial" w:eastAsia="Arial" w:hAnsi="Arial" w:cs="Arial"/>
                <w:color w:val="000000"/>
                <w:sz w:val="16"/>
              </w:rPr>
            </w:pPr>
          </w:p>
        </w:tc>
        <w:tc>
          <w:tcPr>
            <w:tcW w:w="112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7050AFEB" w14:textId="77777777" w:rsidR="003F0EEA" w:rsidRDefault="003F0EEA">
            <w:pPr>
              <w:rPr>
                <w:rFonts w:ascii="Arial" w:eastAsia="Arial" w:hAnsi="Arial" w:cs="Arial"/>
                <w:color w:val="000000"/>
                <w:sz w:val="16"/>
              </w:rPr>
            </w:pPr>
          </w:p>
        </w:tc>
      </w:tr>
      <w:tr w:rsidR="00FB7D0B" w14:paraId="3E982979" w14:textId="77777777" w:rsidTr="00FB7D0B">
        <w:trPr>
          <w:trHeight w:val="225"/>
        </w:trPr>
        <w:tc>
          <w:tcPr>
            <w:tcW w:w="3060" w:type="dxa"/>
            <w:gridSpan w:val="3"/>
            <w:tcBorders>
              <w:top w:val="nil"/>
              <w:left w:val="nil"/>
              <w:bottom w:val="nil"/>
              <w:right w:val="nil"/>
              <w:tl2br w:val="nil"/>
              <w:tr2bl w:val="nil"/>
            </w:tcBorders>
            <w:shd w:val="clear" w:color="auto" w:fill="FFFFFF"/>
            <w:tcMar>
              <w:left w:w="101" w:type="dxa"/>
              <w:right w:w="101" w:type="dxa"/>
            </w:tcMar>
            <w:vAlign w:val="bottom"/>
          </w:tcPr>
          <w:p w14:paraId="75C4B67E" w14:textId="77777777" w:rsidR="003F0EEA" w:rsidRDefault="00FB7D0B">
            <w:pPr>
              <w:rPr>
                <w:rFonts w:ascii="Arial" w:eastAsia="Arial" w:hAnsi="Arial" w:cs="Arial"/>
                <w:color w:val="000000"/>
                <w:sz w:val="16"/>
              </w:rPr>
            </w:pPr>
            <w:r>
              <w:rPr>
                <w:rFonts w:ascii="Arial" w:eastAsia="Arial" w:hAnsi="Arial" w:cs="Arial"/>
                <w:b/>
                <w:color w:val="000000"/>
                <w:sz w:val="16"/>
              </w:rPr>
              <w:t>Transactions with owners</w:t>
            </w:r>
          </w:p>
        </w:tc>
        <w:tc>
          <w:tcPr>
            <w:tcW w:w="1125" w:type="dxa"/>
            <w:tcBorders>
              <w:top w:val="nil"/>
              <w:left w:val="nil"/>
              <w:bottom w:val="nil"/>
              <w:right w:val="nil"/>
              <w:tl2br w:val="nil"/>
              <w:tr2bl w:val="nil"/>
            </w:tcBorders>
            <w:shd w:val="clear" w:color="auto" w:fill="FFFFFF"/>
            <w:tcMar>
              <w:left w:w="101" w:type="dxa"/>
              <w:right w:w="101" w:type="dxa"/>
            </w:tcMar>
            <w:vAlign w:val="bottom"/>
          </w:tcPr>
          <w:p w14:paraId="1699E53B" w14:textId="77777777" w:rsidR="003F0EEA" w:rsidRDefault="003F0EEA">
            <w:pPr>
              <w:rPr>
                <w:rFonts w:ascii="Arial" w:eastAsia="Arial" w:hAnsi="Arial" w:cs="Arial"/>
                <w:b/>
                <w:color w:val="000000"/>
                <w:sz w:val="16"/>
              </w:rPr>
            </w:pPr>
          </w:p>
        </w:tc>
        <w:tc>
          <w:tcPr>
            <w:tcW w:w="1125" w:type="dxa"/>
            <w:tcBorders>
              <w:top w:val="nil"/>
              <w:left w:val="nil"/>
              <w:bottom w:val="nil"/>
              <w:right w:val="nil"/>
              <w:tl2br w:val="nil"/>
              <w:tr2bl w:val="nil"/>
            </w:tcBorders>
            <w:shd w:val="clear" w:color="auto" w:fill="FFFFFF"/>
            <w:tcMar>
              <w:left w:w="101" w:type="dxa"/>
              <w:right w:w="101" w:type="dxa"/>
            </w:tcMar>
            <w:vAlign w:val="bottom"/>
          </w:tcPr>
          <w:p w14:paraId="28FBB9D0" w14:textId="77777777" w:rsidR="003F0EEA" w:rsidRDefault="003F0EEA">
            <w:pPr>
              <w:rPr>
                <w:rFonts w:ascii="Arial" w:eastAsia="Arial" w:hAnsi="Arial" w:cs="Arial"/>
                <w:color w:val="000000"/>
                <w:sz w:val="16"/>
              </w:rPr>
            </w:pPr>
          </w:p>
        </w:tc>
        <w:tc>
          <w:tcPr>
            <w:tcW w:w="1125" w:type="dxa"/>
            <w:tcBorders>
              <w:top w:val="nil"/>
              <w:left w:val="nil"/>
              <w:bottom w:val="nil"/>
              <w:right w:val="nil"/>
              <w:tl2br w:val="nil"/>
              <w:tr2bl w:val="nil"/>
            </w:tcBorders>
            <w:shd w:val="clear" w:color="auto" w:fill="FFFFFF"/>
            <w:tcMar>
              <w:left w:w="101" w:type="dxa"/>
              <w:right w:w="101" w:type="dxa"/>
            </w:tcMar>
            <w:vAlign w:val="bottom"/>
          </w:tcPr>
          <w:p w14:paraId="5C142EF0" w14:textId="77777777" w:rsidR="003F0EEA" w:rsidRDefault="003F0EEA">
            <w:pPr>
              <w:rPr>
                <w:rFonts w:ascii="Arial" w:eastAsia="Arial" w:hAnsi="Arial" w:cs="Arial"/>
                <w:color w:val="000000"/>
                <w:sz w:val="16"/>
              </w:rPr>
            </w:pPr>
          </w:p>
        </w:tc>
        <w:tc>
          <w:tcPr>
            <w:tcW w:w="1125" w:type="dxa"/>
            <w:tcBorders>
              <w:top w:val="nil"/>
              <w:left w:val="nil"/>
              <w:bottom w:val="nil"/>
              <w:right w:val="nil"/>
              <w:tl2br w:val="nil"/>
              <w:tr2bl w:val="nil"/>
            </w:tcBorders>
            <w:shd w:val="clear" w:color="auto" w:fill="FFFFFF"/>
            <w:tcMar>
              <w:left w:w="101" w:type="dxa"/>
              <w:right w:w="101" w:type="dxa"/>
            </w:tcMar>
            <w:vAlign w:val="bottom"/>
          </w:tcPr>
          <w:p w14:paraId="0D5986E1" w14:textId="77777777" w:rsidR="003F0EEA" w:rsidRDefault="003F0EEA">
            <w:pPr>
              <w:rPr>
                <w:rFonts w:ascii="Arial" w:eastAsia="Arial" w:hAnsi="Arial" w:cs="Arial"/>
                <w:color w:val="000000"/>
                <w:sz w:val="16"/>
              </w:rPr>
            </w:pPr>
          </w:p>
        </w:tc>
      </w:tr>
      <w:tr w:rsidR="00FB7D0B" w14:paraId="25ECB09E" w14:textId="77777777" w:rsidTr="00FB7D0B">
        <w:trPr>
          <w:trHeight w:val="225"/>
        </w:trPr>
        <w:tc>
          <w:tcPr>
            <w:tcW w:w="3060" w:type="dxa"/>
            <w:gridSpan w:val="3"/>
            <w:tcBorders>
              <w:top w:val="nil"/>
              <w:left w:val="nil"/>
              <w:bottom w:val="nil"/>
              <w:right w:val="nil"/>
              <w:tl2br w:val="nil"/>
              <w:tr2bl w:val="nil"/>
            </w:tcBorders>
            <w:shd w:val="clear" w:color="auto" w:fill="FFFFFF"/>
            <w:tcMar>
              <w:left w:w="101" w:type="dxa"/>
              <w:right w:w="101" w:type="dxa"/>
            </w:tcMar>
            <w:vAlign w:val="bottom"/>
          </w:tcPr>
          <w:p w14:paraId="6E7BE896" w14:textId="77777777" w:rsidR="003F0EEA" w:rsidRDefault="00FB7D0B">
            <w:pPr>
              <w:rPr>
                <w:rFonts w:ascii="Arial" w:eastAsia="Arial" w:hAnsi="Arial" w:cs="Arial"/>
                <w:color w:val="000000"/>
                <w:sz w:val="16"/>
              </w:rPr>
            </w:pPr>
            <w:r>
              <w:rPr>
                <w:rFonts w:ascii="Arial" w:eastAsia="Arial" w:hAnsi="Arial" w:cs="Arial"/>
                <w:b/>
                <w:i/>
                <w:color w:val="000000"/>
                <w:sz w:val="16"/>
              </w:rPr>
              <w:t>Contribution by owners</w:t>
            </w:r>
          </w:p>
        </w:tc>
        <w:tc>
          <w:tcPr>
            <w:tcW w:w="1125" w:type="dxa"/>
            <w:tcBorders>
              <w:top w:val="nil"/>
              <w:left w:val="nil"/>
              <w:bottom w:val="nil"/>
              <w:right w:val="nil"/>
              <w:tl2br w:val="nil"/>
              <w:tr2bl w:val="nil"/>
            </w:tcBorders>
            <w:shd w:val="clear" w:color="auto" w:fill="FFFFFF"/>
            <w:tcMar>
              <w:left w:w="101" w:type="dxa"/>
              <w:right w:w="101" w:type="dxa"/>
            </w:tcMar>
            <w:vAlign w:val="bottom"/>
          </w:tcPr>
          <w:p w14:paraId="2296B655" w14:textId="77777777" w:rsidR="003F0EEA" w:rsidRDefault="003F0EEA">
            <w:pPr>
              <w:rPr>
                <w:rFonts w:ascii="Arial" w:eastAsia="Arial" w:hAnsi="Arial" w:cs="Arial"/>
                <w:b/>
                <w:i/>
                <w:color w:val="000000"/>
                <w:sz w:val="16"/>
              </w:rPr>
            </w:pPr>
          </w:p>
        </w:tc>
        <w:tc>
          <w:tcPr>
            <w:tcW w:w="1125" w:type="dxa"/>
            <w:tcBorders>
              <w:top w:val="nil"/>
              <w:left w:val="nil"/>
              <w:bottom w:val="nil"/>
              <w:right w:val="nil"/>
              <w:tl2br w:val="nil"/>
              <w:tr2bl w:val="nil"/>
            </w:tcBorders>
            <w:shd w:val="clear" w:color="auto" w:fill="FFFFFF"/>
            <w:tcMar>
              <w:left w:w="101" w:type="dxa"/>
              <w:right w:w="101" w:type="dxa"/>
            </w:tcMar>
            <w:vAlign w:val="bottom"/>
          </w:tcPr>
          <w:p w14:paraId="0ADDADD4" w14:textId="77777777" w:rsidR="003F0EEA" w:rsidRDefault="003F0EEA">
            <w:pPr>
              <w:rPr>
                <w:rFonts w:ascii="Arial" w:eastAsia="Arial" w:hAnsi="Arial" w:cs="Arial"/>
                <w:color w:val="000000"/>
                <w:sz w:val="16"/>
              </w:rPr>
            </w:pPr>
          </w:p>
        </w:tc>
        <w:tc>
          <w:tcPr>
            <w:tcW w:w="1125" w:type="dxa"/>
            <w:tcBorders>
              <w:top w:val="nil"/>
              <w:left w:val="nil"/>
              <w:bottom w:val="nil"/>
              <w:right w:val="nil"/>
              <w:tl2br w:val="nil"/>
              <w:tr2bl w:val="nil"/>
            </w:tcBorders>
            <w:shd w:val="clear" w:color="auto" w:fill="FFFFFF"/>
            <w:tcMar>
              <w:left w:w="101" w:type="dxa"/>
              <w:right w:w="101" w:type="dxa"/>
            </w:tcMar>
            <w:vAlign w:val="bottom"/>
          </w:tcPr>
          <w:p w14:paraId="75625469" w14:textId="77777777" w:rsidR="003F0EEA" w:rsidRDefault="003F0EEA">
            <w:pPr>
              <w:rPr>
                <w:rFonts w:ascii="Arial" w:eastAsia="Arial" w:hAnsi="Arial" w:cs="Arial"/>
                <w:color w:val="000000"/>
                <w:sz w:val="16"/>
              </w:rPr>
            </w:pPr>
          </w:p>
        </w:tc>
        <w:tc>
          <w:tcPr>
            <w:tcW w:w="1125" w:type="dxa"/>
            <w:tcBorders>
              <w:top w:val="nil"/>
              <w:left w:val="nil"/>
              <w:bottom w:val="nil"/>
              <w:right w:val="nil"/>
              <w:tl2br w:val="nil"/>
              <w:tr2bl w:val="nil"/>
            </w:tcBorders>
            <w:shd w:val="clear" w:color="auto" w:fill="FFFFFF"/>
            <w:tcMar>
              <w:left w:w="101" w:type="dxa"/>
              <w:right w:w="101" w:type="dxa"/>
            </w:tcMar>
            <w:vAlign w:val="bottom"/>
          </w:tcPr>
          <w:p w14:paraId="584D3B67" w14:textId="77777777" w:rsidR="003F0EEA" w:rsidRDefault="003F0EEA">
            <w:pPr>
              <w:rPr>
                <w:rFonts w:ascii="Arial" w:eastAsia="Arial" w:hAnsi="Arial" w:cs="Arial"/>
                <w:color w:val="000000"/>
                <w:sz w:val="16"/>
              </w:rPr>
            </w:pPr>
          </w:p>
        </w:tc>
      </w:tr>
      <w:tr w:rsidR="00FB7D0B" w14:paraId="4DF8C2BD" w14:textId="77777777" w:rsidTr="00FB7D0B">
        <w:trPr>
          <w:trHeight w:val="225"/>
        </w:trPr>
        <w:tc>
          <w:tcPr>
            <w:tcW w:w="180" w:type="dxa"/>
            <w:tcBorders>
              <w:top w:val="nil"/>
              <w:left w:val="nil"/>
              <w:bottom w:val="nil"/>
              <w:right w:val="nil"/>
              <w:tl2br w:val="nil"/>
              <w:tr2bl w:val="nil"/>
            </w:tcBorders>
            <w:shd w:val="clear" w:color="auto" w:fill="FFFFFF"/>
            <w:tcMar>
              <w:left w:w="101" w:type="dxa"/>
              <w:right w:w="101" w:type="dxa"/>
            </w:tcMar>
            <w:vAlign w:val="bottom"/>
          </w:tcPr>
          <w:p w14:paraId="04405AD8" w14:textId="77777777" w:rsidR="003F0EEA" w:rsidRDefault="003F0EEA">
            <w:pPr>
              <w:rPr>
                <w:rFonts w:ascii="Arial" w:eastAsia="Arial" w:hAnsi="Arial" w:cs="Arial"/>
                <w:color w:val="000000"/>
                <w:sz w:val="16"/>
              </w:rPr>
            </w:pPr>
          </w:p>
        </w:tc>
        <w:tc>
          <w:tcPr>
            <w:tcW w:w="2880" w:type="dxa"/>
            <w:gridSpan w:val="2"/>
            <w:vMerge w:val="restart"/>
            <w:tcBorders>
              <w:top w:val="nil"/>
              <w:left w:val="nil"/>
              <w:bottom w:val="nil"/>
              <w:right w:val="nil"/>
              <w:tl2br w:val="nil"/>
              <w:tr2bl w:val="nil"/>
            </w:tcBorders>
            <w:shd w:val="clear" w:color="auto" w:fill="FFFFFF"/>
            <w:tcMar>
              <w:left w:w="101" w:type="dxa"/>
              <w:right w:w="101" w:type="dxa"/>
            </w:tcMar>
            <w:vAlign w:val="bottom"/>
          </w:tcPr>
          <w:p w14:paraId="33E9C1D9" w14:textId="77777777" w:rsidR="003F0EEA" w:rsidRDefault="00FB7D0B">
            <w:pPr>
              <w:rPr>
                <w:rFonts w:ascii="Arial" w:eastAsia="Arial" w:hAnsi="Arial" w:cs="Arial"/>
                <w:color w:val="000000"/>
                <w:sz w:val="16"/>
              </w:rPr>
            </w:pPr>
            <w:r>
              <w:rPr>
                <w:rFonts w:ascii="Arial" w:eastAsia="Arial" w:hAnsi="Arial" w:cs="Arial"/>
                <w:color w:val="000000"/>
                <w:sz w:val="16"/>
              </w:rPr>
              <w:t>Equity injection - Appropriation</w:t>
            </w:r>
          </w:p>
        </w:tc>
        <w:tc>
          <w:tcPr>
            <w:tcW w:w="1125" w:type="dxa"/>
            <w:tcBorders>
              <w:top w:val="nil"/>
              <w:left w:val="nil"/>
              <w:bottom w:val="nil"/>
              <w:right w:val="nil"/>
              <w:tl2br w:val="nil"/>
              <w:tr2bl w:val="nil"/>
            </w:tcBorders>
            <w:shd w:val="clear" w:color="auto" w:fill="FFFFFF"/>
            <w:tcMar>
              <w:left w:w="101" w:type="dxa"/>
              <w:right w:w="101" w:type="dxa"/>
            </w:tcMar>
            <w:vAlign w:val="bottom"/>
          </w:tcPr>
          <w:p w14:paraId="29BE7035" w14:textId="77777777" w:rsidR="003F0EEA" w:rsidRDefault="00FB7D0B">
            <w:pPr>
              <w:jc w:val="right"/>
              <w:rPr>
                <w:rFonts w:ascii="Arial" w:eastAsia="Arial" w:hAnsi="Arial" w:cs="Arial"/>
                <w:color w:val="000000"/>
                <w:sz w:val="16"/>
              </w:rPr>
            </w:pPr>
            <w:r>
              <w:rPr>
                <w:rFonts w:ascii="Arial" w:eastAsia="Arial" w:hAnsi="Arial" w:cs="Arial"/>
                <w:color w:val="000000"/>
                <w:sz w:val="16"/>
              </w:rPr>
              <w:t xml:space="preserve"> - </w:t>
            </w:r>
          </w:p>
        </w:tc>
        <w:tc>
          <w:tcPr>
            <w:tcW w:w="1125" w:type="dxa"/>
            <w:tcBorders>
              <w:top w:val="nil"/>
              <w:left w:val="nil"/>
              <w:bottom w:val="nil"/>
              <w:right w:val="nil"/>
              <w:tl2br w:val="nil"/>
              <w:tr2bl w:val="nil"/>
            </w:tcBorders>
            <w:shd w:val="clear" w:color="auto" w:fill="FFFFFF"/>
            <w:tcMar>
              <w:left w:w="101" w:type="dxa"/>
              <w:right w:w="101" w:type="dxa"/>
            </w:tcMar>
            <w:vAlign w:val="bottom"/>
          </w:tcPr>
          <w:p w14:paraId="09E37AF2" w14:textId="77777777" w:rsidR="003F0EEA" w:rsidRDefault="00FB7D0B">
            <w:pPr>
              <w:jc w:val="right"/>
              <w:rPr>
                <w:rFonts w:ascii="Arial" w:eastAsia="Arial" w:hAnsi="Arial" w:cs="Arial"/>
                <w:color w:val="000000"/>
                <w:sz w:val="16"/>
              </w:rPr>
            </w:pPr>
            <w:r>
              <w:rPr>
                <w:rFonts w:ascii="Arial" w:eastAsia="Arial" w:hAnsi="Arial" w:cs="Arial"/>
                <w:color w:val="000000"/>
                <w:sz w:val="16"/>
              </w:rPr>
              <w:t xml:space="preserve"> - </w:t>
            </w:r>
          </w:p>
        </w:tc>
        <w:tc>
          <w:tcPr>
            <w:tcW w:w="1125" w:type="dxa"/>
            <w:tcBorders>
              <w:top w:val="nil"/>
              <w:left w:val="nil"/>
              <w:bottom w:val="nil"/>
              <w:right w:val="nil"/>
              <w:tl2br w:val="nil"/>
              <w:tr2bl w:val="nil"/>
            </w:tcBorders>
            <w:shd w:val="clear" w:color="auto" w:fill="FFFFFF"/>
            <w:tcMar>
              <w:left w:w="101" w:type="dxa"/>
              <w:right w:w="101" w:type="dxa"/>
            </w:tcMar>
            <w:vAlign w:val="bottom"/>
          </w:tcPr>
          <w:p w14:paraId="76F059A5" w14:textId="77777777" w:rsidR="003F0EEA" w:rsidRDefault="00FB7D0B">
            <w:pPr>
              <w:jc w:val="right"/>
              <w:rPr>
                <w:rFonts w:ascii="Arial" w:eastAsia="Arial" w:hAnsi="Arial" w:cs="Arial"/>
                <w:color w:val="000000"/>
                <w:sz w:val="16"/>
              </w:rPr>
            </w:pPr>
            <w:r>
              <w:rPr>
                <w:rFonts w:ascii="Arial" w:eastAsia="Arial" w:hAnsi="Arial" w:cs="Arial"/>
                <w:color w:val="000000"/>
                <w:sz w:val="16"/>
              </w:rPr>
              <w:t xml:space="preserve"> 2,617 </w:t>
            </w:r>
          </w:p>
        </w:tc>
        <w:tc>
          <w:tcPr>
            <w:tcW w:w="1125" w:type="dxa"/>
            <w:tcBorders>
              <w:top w:val="nil"/>
              <w:left w:val="nil"/>
              <w:bottom w:val="nil"/>
              <w:right w:val="nil"/>
              <w:tl2br w:val="nil"/>
              <w:tr2bl w:val="nil"/>
            </w:tcBorders>
            <w:shd w:val="clear" w:color="auto" w:fill="FFFFFF"/>
            <w:tcMar>
              <w:left w:w="101" w:type="dxa"/>
              <w:right w:w="101" w:type="dxa"/>
            </w:tcMar>
            <w:vAlign w:val="bottom"/>
          </w:tcPr>
          <w:p w14:paraId="7DAC16EF" w14:textId="77777777" w:rsidR="003F0EEA" w:rsidRDefault="00FB7D0B">
            <w:pPr>
              <w:jc w:val="right"/>
              <w:rPr>
                <w:rFonts w:ascii="Arial" w:eastAsia="Arial" w:hAnsi="Arial" w:cs="Arial"/>
                <w:color w:val="000000"/>
                <w:sz w:val="16"/>
              </w:rPr>
            </w:pPr>
            <w:r>
              <w:rPr>
                <w:rFonts w:ascii="Arial" w:eastAsia="Arial" w:hAnsi="Arial" w:cs="Arial"/>
                <w:color w:val="000000"/>
                <w:sz w:val="16"/>
              </w:rPr>
              <w:t xml:space="preserve"> 2,617 </w:t>
            </w:r>
          </w:p>
        </w:tc>
      </w:tr>
      <w:tr w:rsidR="00FB7D0B" w14:paraId="0EC64AC0" w14:textId="77777777" w:rsidTr="00FB7D0B">
        <w:trPr>
          <w:trHeight w:val="225"/>
        </w:trPr>
        <w:tc>
          <w:tcPr>
            <w:tcW w:w="180" w:type="dxa"/>
            <w:tcBorders>
              <w:top w:val="nil"/>
              <w:left w:val="nil"/>
              <w:bottom w:val="nil"/>
              <w:right w:val="nil"/>
              <w:tl2br w:val="nil"/>
              <w:tr2bl w:val="nil"/>
            </w:tcBorders>
            <w:shd w:val="clear" w:color="auto" w:fill="FFFFFF"/>
            <w:tcMar>
              <w:left w:w="101" w:type="dxa"/>
              <w:right w:w="101" w:type="dxa"/>
            </w:tcMar>
            <w:vAlign w:val="bottom"/>
          </w:tcPr>
          <w:p w14:paraId="5B53A67F" w14:textId="77777777" w:rsidR="003F0EEA" w:rsidRDefault="003F0EEA">
            <w:pPr>
              <w:rPr>
                <w:rFonts w:ascii="Arial" w:eastAsia="Arial" w:hAnsi="Arial" w:cs="Arial"/>
                <w:color w:val="000000"/>
                <w:sz w:val="16"/>
              </w:rPr>
            </w:pPr>
          </w:p>
        </w:tc>
        <w:tc>
          <w:tcPr>
            <w:tcW w:w="2880" w:type="dxa"/>
            <w:gridSpan w:val="2"/>
            <w:vMerge w:val="restart"/>
            <w:tcBorders>
              <w:top w:val="nil"/>
              <w:left w:val="nil"/>
              <w:bottom w:val="nil"/>
              <w:right w:val="nil"/>
              <w:tl2br w:val="nil"/>
              <w:tr2bl w:val="nil"/>
            </w:tcBorders>
            <w:shd w:val="clear" w:color="auto" w:fill="FFFFFF"/>
            <w:tcMar>
              <w:left w:w="101" w:type="dxa"/>
              <w:right w:w="101" w:type="dxa"/>
            </w:tcMar>
            <w:vAlign w:val="bottom"/>
          </w:tcPr>
          <w:p w14:paraId="33274E2C" w14:textId="77777777" w:rsidR="003F0EEA" w:rsidRDefault="00FB7D0B">
            <w:pPr>
              <w:rPr>
                <w:rFonts w:ascii="Arial" w:eastAsia="Arial" w:hAnsi="Arial" w:cs="Arial"/>
                <w:color w:val="000000"/>
                <w:sz w:val="16"/>
              </w:rPr>
            </w:pPr>
            <w:r>
              <w:rPr>
                <w:rFonts w:ascii="Arial" w:eastAsia="Arial" w:hAnsi="Arial" w:cs="Arial"/>
                <w:color w:val="000000"/>
                <w:sz w:val="16"/>
              </w:rPr>
              <w:t>Departmental Capital Budget</w:t>
            </w:r>
          </w:p>
        </w:tc>
        <w:tc>
          <w:tcPr>
            <w:tcW w:w="1125"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05EEC761" w14:textId="77777777" w:rsidR="003F0EEA" w:rsidRDefault="00FB7D0B">
            <w:pPr>
              <w:jc w:val="right"/>
              <w:rPr>
                <w:rFonts w:ascii="Arial" w:eastAsia="Arial" w:hAnsi="Arial" w:cs="Arial"/>
                <w:color w:val="000000"/>
                <w:sz w:val="16"/>
              </w:rPr>
            </w:pPr>
            <w:r>
              <w:rPr>
                <w:rFonts w:ascii="Arial" w:eastAsia="Arial" w:hAnsi="Arial" w:cs="Arial"/>
                <w:color w:val="000000"/>
                <w:sz w:val="16"/>
              </w:rPr>
              <w:t xml:space="preserve"> - </w:t>
            </w:r>
          </w:p>
        </w:tc>
        <w:tc>
          <w:tcPr>
            <w:tcW w:w="1125"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34637C1A" w14:textId="77777777" w:rsidR="003F0EEA" w:rsidRDefault="00FB7D0B">
            <w:pPr>
              <w:jc w:val="right"/>
              <w:rPr>
                <w:rFonts w:ascii="Arial" w:eastAsia="Arial" w:hAnsi="Arial" w:cs="Arial"/>
                <w:color w:val="000000"/>
                <w:sz w:val="16"/>
              </w:rPr>
            </w:pPr>
            <w:r>
              <w:rPr>
                <w:rFonts w:ascii="Arial" w:eastAsia="Arial" w:hAnsi="Arial" w:cs="Arial"/>
                <w:color w:val="000000"/>
                <w:sz w:val="16"/>
              </w:rPr>
              <w:t xml:space="preserve"> - </w:t>
            </w:r>
          </w:p>
        </w:tc>
        <w:tc>
          <w:tcPr>
            <w:tcW w:w="1125"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679CBD32" w14:textId="77777777" w:rsidR="003F0EEA" w:rsidRDefault="00FB7D0B">
            <w:pPr>
              <w:jc w:val="right"/>
              <w:rPr>
                <w:rFonts w:ascii="Arial" w:eastAsia="Arial" w:hAnsi="Arial" w:cs="Arial"/>
                <w:color w:val="000000"/>
                <w:sz w:val="16"/>
              </w:rPr>
            </w:pPr>
            <w:r>
              <w:rPr>
                <w:rFonts w:ascii="Arial" w:eastAsia="Arial" w:hAnsi="Arial" w:cs="Arial"/>
                <w:color w:val="000000"/>
                <w:sz w:val="16"/>
              </w:rPr>
              <w:t xml:space="preserve"> 13,469 </w:t>
            </w:r>
          </w:p>
        </w:tc>
        <w:tc>
          <w:tcPr>
            <w:tcW w:w="1125"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03131982" w14:textId="77777777" w:rsidR="003F0EEA" w:rsidRDefault="00FB7D0B">
            <w:pPr>
              <w:jc w:val="right"/>
              <w:rPr>
                <w:rFonts w:ascii="Arial" w:eastAsia="Arial" w:hAnsi="Arial" w:cs="Arial"/>
                <w:color w:val="000000"/>
                <w:sz w:val="16"/>
              </w:rPr>
            </w:pPr>
            <w:r>
              <w:rPr>
                <w:rFonts w:ascii="Arial" w:eastAsia="Arial" w:hAnsi="Arial" w:cs="Arial"/>
                <w:color w:val="000000"/>
                <w:sz w:val="16"/>
              </w:rPr>
              <w:t xml:space="preserve"> 13,469 </w:t>
            </w:r>
          </w:p>
        </w:tc>
      </w:tr>
      <w:tr w:rsidR="00FB7D0B" w14:paraId="7536B99F" w14:textId="77777777" w:rsidTr="00FB7D0B">
        <w:trPr>
          <w:trHeight w:val="225"/>
        </w:trPr>
        <w:tc>
          <w:tcPr>
            <w:tcW w:w="3060" w:type="dxa"/>
            <w:gridSpan w:val="3"/>
            <w:tcBorders>
              <w:top w:val="nil"/>
              <w:left w:val="nil"/>
              <w:bottom w:val="nil"/>
              <w:right w:val="nil"/>
              <w:tl2br w:val="nil"/>
              <w:tr2bl w:val="nil"/>
            </w:tcBorders>
            <w:shd w:val="clear" w:color="auto" w:fill="FFFFFF"/>
            <w:tcMar>
              <w:left w:w="101" w:type="dxa"/>
              <w:right w:w="101" w:type="dxa"/>
            </w:tcMar>
            <w:vAlign w:val="bottom"/>
          </w:tcPr>
          <w:p w14:paraId="682E55E8" w14:textId="77777777" w:rsidR="003F0EEA" w:rsidRDefault="00FB7D0B">
            <w:pPr>
              <w:rPr>
                <w:rFonts w:ascii="Arial" w:eastAsia="Arial" w:hAnsi="Arial" w:cs="Arial"/>
                <w:color w:val="000000"/>
                <w:sz w:val="16"/>
              </w:rPr>
            </w:pPr>
            <w:r>
              <w:rPr>
                <w:rFonts w:ascii="Arial" w:eastAsia="Arial" w:hAnsi="Arial" w:cs="Arial"/>
                <w:b/>
                <w:i/>
                <w:color w:val="000000"/>
                <w:sz w:val="16"/>
              </w:rPr>
              <w:t>Sub-total transactions with owners</w:t>
            </w:r>
          </w:p>
        </w:tc>
        <w:tc>
          <w:tcPr>
            <w:tcW w:w="1125"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54A291ED" w14:textId="77777777" w:rsidR="003F0EEA" w:rsidRDefault="00FB7D0B">
            <w:pPr>
              <w:jc w:val="right"/>
              <w:rPr>
                <w:rFonts w:ascii="Arial" w:eastAsia="Arial" w:hAnsi="Arial" w:cs="Arial"/>
                <w:b/>
                <w:i/>
                <w:color w:val="000000"/>
                <w:sz w:val="16"/>
              </w:rPr>
            </w:pPr>
            <w:r>
              <w:rPr>
                <w:rFonts w:ascii="Arial" w:eastAsia="Arial" w:hAnsi="Arial" w:cs="Arial"/>
                <w:b/>
                <w:color w:val="000000"/>
                <w:sz w:val="16"/>
              </w:rPr>
              <w:t xml:space="preserve"> - </w:t>
            </w:r>
          </w:p>
        </w:tc>
        <w:tc>
          <w:tcPr>
            <w:tcW w:w="1125"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7BC51978" w14:textId="77777777" w:rsidR="003F0EEA" w:rsidRDefault="00FB7D0B">
            <w:pPr>
              <w:jc w:val="right"/>
              <w:rPr>
                <w:rFonts w:ascii="Arial" w:eastAsia="Arial" w:hAnsi="Arial" w:cs="Arial"/>
                <w:b/>
                <w:color w:val="000000"/>
                <w:sz w:val="16"/>
              </w:rPr>
            </w:pPr>
            <w:r>
              <w:rPr>
                <w:rFonts w:ascii="Arial" w:eastAsia="Arial" w:hAnsi="Arial" w:cs="Arial"/>
                <w:b/>
                <w:color w:val="000000"/>
                <w:sz w:val="16"/>
              </w:rPr>
              <w:t xml:space="preserve"> - </w:t>
            </w:r>
          </w:p>
        </w:tc>
        <w:tc>
          <w:tcPr>
            <w:tcW w:w="1125"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536F11C5" w14:textId="77777777" w:rsidR="003F0EEA" w:rsidRDefault="00FB7D0B">
            <w:pPr>
              <w:jc w:val="right"/>
              <w:rPr>
                <w:rFonts w:ascii="Arial" w:eastAsia="Arial" w:hAnsi="Arial" w:cs="Arial"/>
                <w:b/>
                <w:color w:val="000000"/>
                <w:sz w:val="16"/>
              </w:rPr>
            </w:pPr>
            <w:r>
              <w:rPr>
                <w:rFonts w:ascii="Arial" w:eastAsia="Arial" w:hAnsi="Arial" w:cs="Arial"/>
                <w:b/>
                <w:color w:val="000000"/>
                <w:sz w:val="16"/>
              </w:rPr>
              <w:t xml:space="preserve"> 16,086 </w:t>
            </w:r>
          </w:p>
        </w:tc>
        <w:tc>
          <w:tcPr>
            <w:tcW w:w="1125"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67099219" w14:textId="77777777" w:rsidR="003F0EEA" w:rsidRDefault="00FB7D0B">
            <w:pPr>
              <w:jc w:val="right"/>
              <w:rPr>
                <w:rFonts w:ascii="Arial" w:eastAsia="Arial" w:hAnsi="Arial" w:cs="Arial"/>
                <w:b/>
                <w:color w:val="000000"/>
                <w:sz w:val="16"/>
              </w:rPr>
            </w:pPr>
            <w:r>
              <w:rPr>
                <w:rFonts w:ascii="Arial" w:eastAsia="Arial" w:hAnsi="Arial" w:cs="Arial"/>
                <w:b/>
                <w:color w:val="000000"/>
                <w:sz w:val="16"/>
              </w:rPr>
              <w:t xml:space="preserve"> 16,086 </w:t>
            </w:r>
          </w:p>
        </w:tc>
      </w:tr>
      <w:tr w:rsidR="00FB7D0B" w14:paraId="6B54F776" w14:textId="77777777" w:rsidTr="00FB7D0B">
        <w:trPr>
          <w:trHeight w:val="225"/>
        </w:trPr>
        <w:tc>
          <w:tcPr>
            <w:tcW w:w="3060" w:type="dxa"/>
            <w:gridSpan w:val="3"/>
            <w:tcBorders>
              <w:top w:val="nil"/>
              <w:left w:val="nil"/>
              <w:bottom w:val="nil"/>
              <w:right w:val="nil"/>
              <w:tl2br w:val="nil"/>
              <w:tr2bl w:val="nil"/>
            </w:tcBorders>
            <w:shd w:val="clear" w:color="auto" w:fill="FFFFFF"/>
            <w:tcMar>
              <w:left w:w="101" w:type="dxa"/>
              <w:right w:w="101" w:type="dxa"/>
            </w:tcMar>
            <w:vAlign w:val="bottom"/>
          </w:tcPr>
          <w:p w14:paraId="4F7C0238" w14:textId="77777777" w:rsidR="003F0EEA" w:rsidRDefault="00FB7D0B">
            <w:pPr>
              <w:rPr>
                <w:rFonts w:ascii="Arial" w:eastAsia="Arial" w:hAnsi="Arial" w:cs="Arial"/>
                <w:b/>
                <w:color w:val="000000"/>
                <w:sz w:val="16"/>
              </w:rPr>
            </w:pPr>
            <w:r>
              <w:rPr>
                <w:rFonts w:ascii="Arial" w:eastAsia="Arial" w:hAnsi="Arial" w:cs="Arial"/>
                <w:b/>
                <w:color w:val="000000"/>
                <w:sz w:val="16"/>
              </w:rPr>
              <w:t>Estimated closing balance</w:t>
            </w:r>
          </w:p>
        </w:tc>
        <w:tc>
          <w:tcPr>
            <w:tcW w:w="1125"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636E091D" w14:textId="77777777" w:rsidR="003F0EEA" w:rsidRDefault="003F0EEA">
            <w:pPr>
              <w:rPr>
                <w:rFonts w:ascii="Arial" w:eastAsia="Arial" w:hAnsi="Arial" w:cs="Arial"/>
                <w:b/>
                <w:color w:val="000000"/>
                <w:sz w:val="16"/>
              </w:rPr>
            </w:pPr>
          </w:p>
        </w:tc>
        <w:tc>
          <w:tcPr>
            <w:tcW w:w="1125"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0F609786" w14:textId="77777777" w:rsidR="003F0EEA" w:rsidRDefault="003F0EEA">
            <w:pPr>
              <w:rPr>
                <w:rFonts w:ascii="Arial" w:eastAsia="Arial" w:hAnsi="Arial" w:cs="Arial"/>
                <w:color w:val="000000"/>
                <w:sz w:val="16"/>
              </w:rPr>
            </w:pPr>
          </w:p>
        </w:tc>
        <w:tc>
          <w:tcPr>
            <w:tcW w:w="1125"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07A19812" w14:textId="77777777" w:rsidR="003F0EEA" w:rsidRDefault="003F0EEA">
            <w:pPr>
              <w:rPr>
                <w:rFonts w:ascii="Arial" w:eastAsia="Arial" w:hAnsi="Arial" w:cs="Arial"/>
                <w:color w:val="000000"/>
                <w:sz w:val="16"/>
              </w:rPr>
            </w:pPr>
          </w:p>
        </w:tc>
        <w:tc>
          <w:tcPr>
            <w:tcW w:w="1125"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5D539A58" w14:textId="77777777" w:rsidR="003F0EEA" w:rsidRDefault="003F0EEA">
            <w:pPr>
              <w:rPr>
                <w:rFonts w:ascii="Arial" w:eastAsia="Arial" w:hAnsi="Arial" w:cs="Arial"/>
                <w:color w:val="000000"/>
                <w:sz w:val="16"/>
              </w:rPr>
            </w:pPr>
          </w:p>
        </w:tc>
      </w:tr>
      <w:tr w:rsidR="00FB7D0B" w14:paraId="6E9088EB" w14:textId="77777777" w:rsidTr="00FB7D0B">
        <w:trPr>
          <w:trHeight w:val="225"/>
        </w:trPr>
        <w:tc>
          <w:tcPr>
            <w:tcW w:w="180"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35A64D5F" w14:textId="77777777" w:rsidR="003F0EEA" w:rsidRDefault="003F0EEA">
            <w:pPr>
              <w:rPr>
                <w:rFonts w:ascii="Arial" w:eastAsia="Arial" w:hAnsi="Arial" w:cs="Arial"/>
                <w:color w:val="000000"/>
                <w:sz w:val="16"/>
              </w:rPr>
            </w:pPr>
          </w:p>
        </w:tc>
        <w:tc>
          <w:tcPr>
            <w:tcW w:w="2880" w:type="dxa"/>
            <w:gridSpan w:val="2"/>
            <w:tcBorders>
              <w:top w:val="nil"/>
              <w:left w:val="nil"/>
              <w:bottom w:val="single" w:sz="6" w:space="0" w:color="000000"/>
              <w:right w:val="nil"/>
              <w:tl2br w:val="nil"/>
              <w:tr2bl w:val="nil"/>
            </w:tcBorders>
            <w:shd w:val="clear" w:color="auto" w:fill="FFFFFF"/>
            <w:tcMar>
              <w:left w:w="101" w:type="dxa"/>
              <w:right w:w="101" w:type="dxa"/>
            </w:tcMar>
            <w:vAlign w:val="bottom"/>
          </w:tcPr>
          <w:p w14:paraId="47F317BE" w14:textId="77777777" w:rsidR="003F0EEA" w:rsidRDefault="00FB7D0B">
            <w:pPr>
              <w:rPr>
                <w:rFonts w:ascii="Arial" w:eastAsia="Arial" w:hAnsi="Arial" w:cs="Arial"/>
                <w:color w:val="000000"/>
                <w:sz w:val="16"/>
              </w:rPr>
            </w:pPr>
            <w:r>
              <w:rPr>
                <w:rFonts w:ascii="Arial" w:eastAsia="Arial" w:hAnsi="Arial" w:cs="Arial"/>
                <w:b/>
                <w:color w:val="000000"/>
                <w:sz w:val="16"/>
              </w:rPr>
              <w:t>as at 30 June 2015</w:t>
            </w:r>
          </w:p>
        </w:tc>
        <w:tc>
          <w:tcPr>
            <w:tcW w:w="1125"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53E2B2E2" w14:textId="77777777" w:rsidR="003F0EEA" w:rsidRDefault="00FB7D0B">
            <w:pPr>
              <w:jc w:val="right"/>
              <w:rPr>
                <w:rFonts w:ascii="Arial" w:eastAsia="Arial" w:hAnsi="Arial" w:cs="Arial"/>
                <w:b/>
                <w:color w:val="000000"/>
                <w:sz w:val="16"/>
              </w:rPr>
            </w:pPr>
            <w:r>
              <w:rPr>
                <w:rFonts w:ascii="Arial" w:eastAsia="Arial" w:hAnsi="Arial" w:cs="Arial"/>
                <w:b/>
                <w:color w:val="000000"/>
                <w:sz w:val="16"/>
              </w:rPr>
              <w:t xml:space="preserve"> (136,866)</w:t>
            </w:r>
          </w:p>
        </w:tc>
        <w:tc>
          <w:tcPr>
            <w:tcW w:w="1125"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3AF5604B" w14:textId="77777777" w:rsidR="003F0EEA" w:rsidRDefault="00FB7D0B">
            <w:pPr>
              <w:jc w:val="right"/>
              <w:rPr>
                <w:rFonts w:ascii="Arial" w:eastAsia="Arial" w:hAnsi="Arial" w:cs="Arial"/>
                <w:b/>
                <w:color w:val="000000"/>
                <w:sz w:val="16"/>
              </w:rPr>
            </w:pPr>
            <w:r>
              <w:rPr>
                <w:rFonts w:ascii="Arial" w:eastAsia="Arial" w:hAnsi="Arial" w:cs="Arial"/>
                <w:b/>
                <w:color w:val="000000"/>
                <w:sz w:val="16"/>
              </w:rPr>
              <w:t xml:space="preserve"> 9,091 </w:t>
            </w:r>
          </w:p>
        </w:tc>
        <w:tc>
          <w:tcPr>
            <w:tcW w:w="1125"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727BEF11" w14:textId="77777777" w:rsidR="003F0EEA" w:rsidRDefault="00FB7D0B">
            <w:pPr>
              <w:jc w:val="right"/>
              <w:rPr>
                <w:rFonts w:ascii="Arial" w:eastAsia="Arial" w:hAnsi="Arial" w:cs="Arial"/>
                <w:b/>
                <w:color w:val="000000"/>
                <w:sz w:val="16"/>
              </w:rPr>
            </w:pPr>
            <w:r>
              <w:rPr>
                <w:rFonts w:ascii="Arial" w:eastAsia="Arial" w:hAnsi="Arial" w:cs="Arial"/>
                <w:b/>
                <w:color w:val="000000"/>
                <w:sz w:val="16"/>
              </w:rPr>
              <w:t xml:space="preserve"> 204,047 </w:t>
            </w:r>
          </w:p>
        </w:tc>
        <w:tc>
          <w:tcPr>
            <w:tcW w:w="1125"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178F4681" w14:textId="77777777" w:rsidR="003F0EEA" w:rsidRDefault="00FB7D0B">
            <w:pPr>
              <w:jc w:val="right"/>
              <w:rPr>
                <w:rFonts w:ascii="Arial" w:eastAsia="Arial" w:hAnsi="Arial" w:cs="Arial"/>
                <w:b/>
                <w:color w:val="000000"/>
                <w:sz w:val="16"/>
              </w:rPr>
            </w:pPr>
            <w:r>
              <w:rPr>
                <w:rFonts w:ascii="Arial" w:eastAsia="Arial" w:hAnsi="Arial" w:cs="Arial"/>
                <w:b/>
                <w:color w:val="000000"/>
                <w:sz w:val="16"/>
              </w:rPr>
              <w:t xml:space="preserve"> 76,272 </w:t>
            </w:r>
          </w:p>
        </w:tc>
      </w:tr>
    </w:tbl>
    <w:p w14:paraId="39E19935" w14:textId="77777777" w:rsidR="003F0EEA" w:rsidRPr="00BC7C5A" w:rsidRDefault="00FB7D0B" w:rsidP="003F0EEA">
      <w:pPr>
        <w:pStyle w:val="Source14"/>
      </w:pPr>
      <w:r>
        <w:t>Prepared on Australian Accounting Standards basis</w:t>
      </w:r>
    </w:p>
    <w:p w14:paraId="1EBF4738" w14:textId="77777777" w:rsidR="003F0EEA" w:rsidRPr="00BC7C5A" w:rsidRDefault="00FB7D0B">
      <w:pPr>
        <w:spacing w:line="14" w:lineRule="exact"/>
        <w:rPr>
          <w:rFonts w:eastAsia="Times New Roman" w:cs="Times New Roman"/>
        </w:rPr>
      </w:pPr>
      <w:r w:rsidRPr="00BC7C5A">
        <w:rPr>
          <w:rFonts w:eastAsia="Times New Roman" w:cs="Times New Roman"/>
        </w:rPr>
        <w:br w:type="page"/>
      </w:r>
    </w:p>
    <w:p w14:paraId="2B1BF554" w14:textId="77777777" w:rsidR="003F0EEA" w:rsidRDefault="00FB7D0B" w:rsidP="003F0EEA">
      <w:pPr>
        <w:pStyle w:val="TableHeading19"/>
        <w:spacing w:after="0"/>
        <w:rPr>
          <w:rFonts w:eastAsia="Calibri"/>
        </w:rPr>
      </w:pPr>
      <w:r>
        <w:rPr>
          <w:rFonts w:eastAsia="Calibri"/>
        </w:rPr>
        <w:t>Table 3.2.5: Departmental Capital Budget Statement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2"/>
        <w:gridCol w:w="222"/>
        <w:gridCol w:w="2700"/>
        <w:gridCol w:w="915"/>
        <w:gridCol w:w="915"/>
        <w:gridCol w:w="915"/>
        <w:gridCol w:w="915"/>
        <w:gridCol w:w="915"/>
      </w:tblGrid>
      <w:tr w:rsidR="00724034" w14:paraId="500828EB" w14:textId="77777777">
        <w:trPr>
          <w:trHeight w:val="225"/>
        </w:trPr>
        <w:tc>
          <w:tcPr>
            <w:tcW w:w="180"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6A9F6404" w14:textId="77777777" w:rsidR="003F0EEA" w:rsidRDefault="003F0EEA"/>
        </w:tc>
        <w:tc>
          <w:tcPr>
            <w:tcW w:w="180"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7FCCD8BF" w14:textId="77777777" w:rsidR="003F0EEA" w:rsidRDefault="003F0EEA">
            <w:pPr>
              <w:rPr>
                <w:rFonts w:ascii="Arial" w:eastAsia="Arial" w:hAnsi="Arial" w:cs="Arial"/>
                <w:color w:val="000000"/>
                <w:sz w:val="18"/>
              </w:rPr>
            </w:pPr>
          </w:p>
        </w:tc>
        <w:tc>
          <w:tcPr>
            <w:tcW w:w="2700"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70A41BC8" w14:textId="77777777" w:rsidR="003F0EEA" w:rsidRDefault="003F0EEA">
            <w:pPr>
              <w:rPr>
                <w:rFonts w:ascii="Arial" w:eastAsia="Arial" w:hAnsi="Arial" w:cs="Arial"/>
                <w:color w:val="000000"/>
                <w:sz w:val="18"/>
              </w:rPr>
            </w:pPr>
          </w:p>
        </w:tc>
        <w:tc>
          <w:tcPr>
            <w:tcW w:w="91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62CAC65C" w14:textId="77777777" w:rsidR="003F0EEA" w:rsidRDefault="00FB7D0B">
            <w:pPr>
              <w:jc w:val="right"/>
              <w:rPr>
                <w:rFonts w:ascii="Arial" w:eastAsia="Arial" w:hAnsi="Arial" w:cs="Arial"/>
                <w:color w:val="000000"/>
                <w:sz w:val="16"/>
                <w:vertAlign w:val="superscript"/>
              </w:rPr>
            </w:pPr>
            <w:r>
              <w:rPr>
                <w:rFonts w:ascii="Arial" w:eastAsia="Arial" w:hAnsi="Arial" w:cs="Arial"/>
                <w:color w:val="000000"/>
                <w:sz w:val="16"/>
              </w:rPr>
              <w:t>Estimated</w:t>
            </w:r>
          </w:p>
        </w:tc>
        <w:tc>
          <w:tcPr>
            <w:tcW w:w="915" w:type="dxa"/>
            <w:tcBorders>
              <w:top w:val="single" w:sz="6" w:space="0" w:color="000000"/>
              <w:left w:val="nil"/>
              <w:bottom w:val="nil"/>
              <w:right w:val="nil"/>
              <w:tl2br w:val="nil"/>
              <w:tr2bl w:val="nil"/>
            </w:tcBorders>
            <w:shd w:val="clear" w:color="auto" w:fill="FFFF00"/>
            <w:tcMar>
              <w:left w:w="101" w:type="dxa"/>
              <w:right w:w="101" w:type="dxa"/>
            </w:tcMar>
            <w:vAlign w:val="bottom"/>
          </w:tcPr>
          <w:p w14:paraId="18289742" w14:textId="77777777" w:rsidR="003F0EEA" w:rsidRDefault="00FB7D0B">
            <w:pPr>
              <w:jc w:val="right"/>
              <w:rPr>
                <w:rFonts w:ascii="Arial" w:eastAsia="Arial" w:hAnsi="Arial" w:cs="Arial"/>
                <w:color w:val="000000"/>
                <w:sz w:val="16"/>
              </w:rPr>
            </w:pPr>
            <w:r>
              <w:rPr>
                <w:rFonts w:ascii="Arial" w:eastAsia="Arial" w:hAnsi="Arial" w:cs="Arial"/>
                <w:color w:val="000000"/>
                <w:sz w:val="16"/>
              </w:rPr>
              <w:t>Budget</w:t>
            </w:r>
          </w:p>
        </w:tc>
        <w:tc>
          <w:tcPr>
            <w:tcW w:w="91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683F7EAA" w14:textId="77777777" w:rsidR="003F0EEA" w:rsidRDefault="00FB7D0B">
            <w:pPr>
              <w:jc w:val="right"/>
              <w:rPr>
                <w:rFonts w:ascii="Arial" w:eastAsia="Arial" w:hAnsi="Arial" w:cs="Arial"/>
                <w:color w:val="000000"/>
                <w:sz w:val="16"/>
              </w:rPr>
            </w:pPr>
            <w:r>
              <w:rPr>
                <w:rFonts w:ascii="Arial" w:eastAsia="Arial" w:hAnsi="Arial" w:cs="Arial"/>
                <w:color w:val="000000"/>
                <w:sz w:val="16"/>
              </w:rPr>
              <w:t xml:space="preserve">Forward </w:t>
            </w:r>
          </w:p>
        </w:tc>
        <w:tc>
          <w:tcPr>
            <w:tcW w:w="91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66EB28BB" w14:textId="77777777" w:rsidR="003F0EEA" w:rsidRDefault="00FB7D0B">
            <w:pPr>
              <w:jc w:val="right"/>
              <w:rPr>
                <w:rFonts w:ascii="Arial" w:eastAsia="Arial" w:hAnsi="Arial" w:cs="Arial"/>
                <w:color w:val="000000"/>
                <w:sz w:val="16"/>
              </w:rPr>
            </w:pPr>
            <w:r>
              <w:rPr>
                <w:rFonts w:ascii="Arial" w:eastAsia="Arial" w:hAnsi="Arial" w:cs="Arial"/>
                <w:color w:val="000000"/>
                <w:sz w:val="16"/>
              </w:rPr>
              <w:t xml:space="preserve">Forward </w:t>
            </w:r>
          </w:p>
        </w:tc>
        <w:tc>
          <w:tcPr>
            <w:tcW w:w="91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66867A21" w14:textId="77777777" w:rsidR="003F0EEA" w:rsidRDefault="00FB7D0B">
            <w:pPr>
              <w:jc w:val="right"/>
              <w:rPr>
                <w:rFonts w:ascii="Arial" w:eastAsia="Arial" w:hAnsi="Arial" w:cs="Arial"/>
                <w:color w:val="000000"/>
                <w:sz w:val="16"/>
              </w:rPr>
            </w:pPr>
            <w:r>
              <w:rPr>
                <w:rFonts w:ascii="Arial" w:eastAsia="Arial" w:hAnsi="Arial" w:cs="Arial"/>
                <w:color w:val="000000"/>
                <w:sz w:val="16"/>
              </w:rPr>
              <w:t xml:space="preserve">Forward </w:t>
            </w:r>
          </w:p>
        </w:tc>
      </w:tr>
      <w:tr w:rsidR="00724034" w14:paraId="29F8FB8E" w14:textId="77777777">
        <w:trPr>
          <w:trHeight w:val="225"/>
        </w:trPr>
        <w:tc>
          <w:tcPr>
            <w:tcW w:w="180" w:type="dxa"/>
            <w:tcBorders>
              <w:top w:val="nil"/>
              <w:left w:val="nil"/>
              <w:bottom w:val="nil"/>
              <w:right w:val="nil"/>
              <w:tl2br w:val="nil"/>
              <w:tr2bl w:val="nil"/>
            </w:tcBorders>
            <w:shd w:val="clear" w:color="auto" w:fill="FFFFFF"/>
            <w:tcMar>
              <w:left w:w="101" w:type="dxa"/>
              <w:right w:w="101" w:type="dxa"/>
            </w:tcMar>
            <w:vAlign w:val="bottom"/>
          </w:tcPr>
          <w:p w14:paraId="64168C8C" w14:textId="77777777" w:rsidR="003F0EEA" w:rsidRDefault="003F0EEA">
            <w:pPr>
              <w:rPr>
                <w:rFonts w:ascii="Arial" w:eastAsia="Arial" w:hAnsi="Arial" w:cs="Arial"/>
                <w:color w:val="000000"/>
                <w:sz w:val="16"/>
              </w:rPr>
            </w:pPr>
          </w:p>
        </w:tc>
        <w:tc>
          <w:tcPr>
            <w:tcW w:w="180" w:type="dxa"/>
            <w:tcBorders>
              <w:top w:val="nil"/>
              <w:left w:val="nil"/>
              <w:bottom w:val="nil"/>
              <w:right w:val="nil"/>
              <w:tl2br w:val="nil"/>
              <w:tr2bl w:val="nil"/>
            </w:tcBorders>
            <w:shd w:val="clear" w:color="auto" w:fill="FFFFFF"/>
            <w:tcMar>
              <w:left w:w="101" w:type="dxa"/>
              <w:right w:w="101" w:type="dxa"/>
            </w:tcMar>
            <w:vAlign w:val="bottom"/>
          </w:tcPr>
          <w:p w14:paraId="501AB425" w14:textId="77777777" w:rsidR="003F0EEA" w:rsidRDefault="003F0EEA">
            <w:pPr>
              <w:rPr>
                <w:rFonts w:ascii="Arial" w:eastAsia="Arial" w:hAnsi="Arial" w:cs="Arial"/>
                <w:color w:val="000000"/>
                <w:sz w:val="18"/>
              </w:rPr>
            </w:pPr>
          </w:p>
        </w:tc>
        <w:tc>
          <w:tcPr>
            <w:tcW w:w="2700" w:type="dxa"/>
            <w:tcBorders>
              <w:top w:val="nil"/>
              <w:left w:val="nil"/>
              <w:bottom w:val="nil"/>
              <w:right w:val="nil"/>
              <w:tl2br w:val="nil"/>
              <w:tr2bl w:val="nil"/>
            </w:tcBorders>
            <w:shd w:val="clear" w:color="auto" w:fill="FFFFFF"/>
            <w:tcMar>
              <w:left w:w="101" w:type="dxa"/>
              <w:right w:w="101" w:type="dxa"/>
            </w:tcMar>
            <w:vAlign w:val="bottom"/>
          </w:tcPr>
          <w:p w14:paraId="2B7DCEC0" w14:textId="77777777" w:rsidR="003F0EEA" w:rsidRDefault="003F0EEA">
            <w:pPr>
              <w:rPr>
                <w:rFonts w:ascii="Arial" w:eastAsia="Arial" w:hAnsi="Arial" w:cs="Arial"/>
                <w:color w:val="000000"/>
                <w:sz w:val="18"/>
              </w:rPr>
            </w:pP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14717764" w14:textId="77777777" w:rsidR="003F0EEA" w:rsidRDefault="00FB7D0B">
            <w:pPr>
              <w:jc w:val="right"/>
              <w:rPr>
                <w:rFonts w:ascii="Arial" w:eastAsia="Arial" w:hAnsi="Arial" w:cs="Arial"/>
                <w:color w:val="000000"/>
                <w:sz w:val="16"/>
                <w:vertAlign w:val="superscript"/>
              </w:rPr>
            </w:pPr>
            <w:r>
              <w:rPr>
                <w:rFonts w:ascii="Arial" w:eastAsia="Arial" w:hAnsi="Arial" w:cs="Arial"/>
                <w:color w:val="000000"/>
                <w:sz w:val="16"/>
              </w:rPr>
              <w:t>actual</w:t>
            </w:r>
          </w:p>
        </w:tc>
        <w:tc>
          <w:tcPr>
            <w:tcW w:w="915" w:type="dxa"/>
            <w:tcBorders>
              <w:top w:val="nil"/>
              <w:left w:val="nil"/>
              <w:bottom w:val="nil"/>
              <w:right w:val="nil"/>
              <w:tl2br w:val="nil"/>
              <w:tr2bl w:val="nil"/>
            </w:tcBorders>
            <w:shd w:val="clear" w:color="auto" w:fill="FFFF00"/>
            <w:tcMar>
              <w:left w:w="101" w:type="dxa"/>
              <w:right w:w="101" w:type="dxa"/>
            </w:tcMar>
            <w:vAlign w:val="bottom"/>
          </w:tcPr>
          <w:p w14:paraId="5FFDF06C" w14:textId="77777777" w:rsidR="003F0EEA" w:rsidRDefault="00FB7D0B">
            <w:pPr>
              <w:jc w:val="right"/>
              <w:rPr>
                <w:rFonts w:ascii="Arial" w:eastAsia="Arial" w:hAnsi="Arial" w:cs="Arial"/>
                <w:color w:val="000000"/>
                <w:sz w:val="16"/>
              </w:rPr>
            </w:pPr>
            <w:r>
              <w:rPr>
                <w:rFonts w:ascii="Arial" w:eastAsia="Arial" w:hAnsi="Arial" w:cs="Arial"/>
                <w:color w:val="000000"/>
                <w:sz w:val="16"/>
              </w:rPr>
              <w:t>estimate</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2BFD48CF" w14:textId="77777777" w:rsidR="003F0EEA" w:rsidRDefault="00FB7D0B">
            <w:pPr>
              <w:jc w:val="right"/>
              <w:rPr>
                <w:rFonts w:ascii="Arial" w:eastAsia="Arial" w:hAnsi="Arial" w:cs="Arial"/>
                <w:color w:val="000000"/>
                <w:sz w:val="16"/>
              </w:rPr>
            </w:pPr>
            <w:r>
              <w:rPr>
                <w:rFonts w:ascii="Arial" w:eastAsia="Arial" w:hAnsi="Arial" w:cs="Arial"/>
                <w:color w:val="000000"/>
                <w:sz w:val="16"/>
              </w:rPr>
              <w:t>estimate</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2EDF046B" w14:textId="77777777" w:rsidR="003F0EEA" w:rsidRDefault="00FB7D0B">
            <w:pPr>
              <w:jc w:val="right"/>
              <w:rPr>
                <w:rFonts w:ascii="Arial" w:eastAsia="Arial" w:hAnsi="Arial" w:cs="Arial"/>
                <w:color w:val="000000"/>
                <w:sz w:val="16"/>
              </w:rPr>
            </w:pPr>
            <w:r>
              <w:rPr>
                <w:rFonts w:ascii="Arial" w:eastAsia="Arial" w:hAnsi="Arial" w:cs="Arial"/>
                <w:color w:val="000000"/>
                <w:sz w:val="16"/>
              </w:rPr>
              <w:t>estimate</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3CB940D5" w14:textId="77777777" w:rsidR="003F0EEA" w:rsidRDefault="00FB7D0B">
            <w:pPr>
              <w:jc w:val="right"/>
              <w:rPr>
                <w:rFonts w:ascii="Arial" w:eastAsia="Arial" w:hAnsi="Arial" w:cs="Arial"/>
                <w:color w:val="000000"/>
                <w:sz w:val="16"/>
              </w:rPr>
            </w:pPr>
            <w:r>
              <w:rPr>
                <w:rFonts w:ascii="Arial" w:eastAsia="Arial" w:hAnsi="Arial" w:cs="Arial"/>
                <w:color w:val="000000"/>
                <w:sz w:val="16"/>
              </w:rPr>
              <w:t>estimate</w:t>
            </w:r>
          </w:p>
        </w:tc>
      </w:tr>
      <w:tr w:rsidR="00724034" w14:paraId="1EB6C66F" w14:textId="77777777">
        <w:trPr>
          <w:trHeight w:val="225"/>
        </w:trPr>
        <w:tc>
          <w:tcPr>
            <w:tcW w:w="180" w:type="dxa"/>
            <w:tcBorders>
              <w:top w:val="nil"/>
              <w:left w:val="nil"/>
              <w:bottom w:val="nil"/>
              <w:right w:val="nil"/>
              <w:tl2br w:val="nil"/>
              <w:tr2bl w:val="nil"/>
            </w:tcBorders>
            <w:shd w:val="clear" w:color="auto" w:fill="FFFFFF"/>
            <w:tcMar>
              <w:left w:w="101" w:type="dxa"/>
              <w:right w:w="101" w:type="dxa"/>
            </w:tcMar>
            <w:vAlign w:val="bottom"/>
          </w:tcPr>
          <w:p w14:paraId="4FD737B3" w14:textId="77777777" w:rsidR="003F0EEA" w:rsidRDefault="003F0EEA">
            <w:pPr>
              <w:rPr>
                <w:rFonts w:ascii="Arial" w:eastAsia="Arial" w:hAnsi="Arial" w:cs="Arial"/>
                <w:color w:val="000000"/>
                <w:sz w:val="16"/>
              </w:rPr>
            </w:pPr>
          </w:p>
        </w:tc>
        <w:tc>
          <w:tcPr>
            <w:tcW w:w="180" w:type="dxa"/>
            <w:tcBorders>
              <w:top w:val="nil"/>
              <w:left w:val="nil"/>
              <w:bottom w:val="nil"/>
              <w:right w:val="nil"/>
              <w:tl2br w:val="nil"/>
              <w:tr2bl w:val="nil"/>
            </w:tcBorders>
            <w:shd w:val="clear" w:color="auto" w:fill="FFFFFF"/>
            <w:tcMar>
              <w:left w:w="101" w:type="dxa"/>
              <w:right w:w="101" w:type="dxa"/>
            </w:tcMar>
            <w:vAlign w:val="bottom"/>
          </w:tcPr>
          <w:p w14:paraId="0E80A1F3" w14:textId="77777777" w:rsidR="003F0EEA" w:rsidRDefault="003F0EEA">
            <w:pPr>
              <w:rPr>
                <w:rFonts w:ascii="Arial" w:eastAsia="Arial" w:hAnsi="Arial" w:cs="Arial"/>
                <w:color w:val="000000"/>
                <w:sz w:val="18"/>
              </w:rPr>
            </w:pPr>
          </w:p>
        </w:tc>
        <w:tc>
          <w:tcPr>
            <w:tcW w:w="2700" w:type="dxa"/>
            <w:tcBorders>
              <w:top w:val="nil"/>
              <w:left w:val="nil"/>
              <w:bottom w:val="nil"/>
              <w:right w:val="nil"/>
              <w:tl2br w:val="nil"/>
              <w:tr2bl w:val="nil"/>
            </w:tcBorders>
            <w:shd w:val="clear" w:color="auto" w:fill="FFFFFF"/>
            <w:tcMar>
              <w:left w:w="101" w:type="dxa"/>
              <w:right w:w="101" w:type="dxa"/>
            </w:tcMar>
            <w:vAlign w:val="bottom"/>
          </w:tcPr>
          <w:p w14:paraId="77D1AB89" w14:textId="77777777" w:rsidR="003F0EEA" w:rsidRDefault="003F0EEA">
            <w:pPr>
              <w:rPr>
                <w:rFonts w:ascii="Arial" w:eastAsia="Arial" w:hAnsi="Arial" w:cs="Arial"/>
                <w:color w:val="000000"/>
                <w:sz w:val="18"/>
              </w:rPr>
            </w:pP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41AE92D1" w14:textId="77777777" w:rsidR="003F0EEA" w:rsidRDefault="00FB7D0B">
            <w:pPr>
              <w:jc w:val="right"/>
              <w:rPr>
                <w:rFonts w:ascii="Arial" w:eastAsia="Arial" w:hAnsi="Arial" w:cs="Arial"/>
                <w:color w:val="000000"/>
                <w:sz w:val="16"/>
                <w:vertAlign w:val="superscript"/>
              </w:rPr>
            </w:pPr>
            <w:r>
              <w:rPr>
                <w:rFonts w:ascii="Arial" w:eastAsia="Arial" w:hAnsi="Arial" w:cs="Arial"/>
                <w:color w:val="000000"/>
                <w:sz w:val="16"/>
              </w:rPr>
              <w:t>2013-14</w:t>
            </w:r>
          </w:p>
        </w:tc>
        <w:tc>
          <w:tcPr>
            <w:tcW w:w="915" w:type="dxa"/>
            <w:tcBorders>
              <w:top w:val="nil"/>
              <w:left w:val="nil"/>
              <w:bottom w:val="nil"/>
              <w:right w:val="nil"/>
              <w:tl2br w:val="nil"/>
              <w:tr2bl w:val="nil"/>
            </w:tcBorders>
            <w:shd w:val="clear" w:color="auto" w:fill="FFFF00"/>
            <w:tcMar>
              <w:left w:w="101" w:type="dxa"/>
              <w:right w:w="101" w:type="dxa"/>
            </w:tcMar>
            <w:vAlign w:val="bottom"/>
          </w:tcPr>
          <w:p w14:paraId="61433311" w14:textId="77777777" w:rsidR="003F0EEA" w:rsidRDefault="00FB7D0B">
            <w:pPr>
              <w:jc w:val="right"/>
              <w:rPr>
                <w:rFonts w:ascii="Arial" w:eastAsia="Arial" w:hAnsi="Arial" w:cs="Arial"/>
                <w:color w:val="000000"/>
                <w:sz w:val="16"/>
              </w:rPr>
            </w:pPr>
            <w:r>
              <w:rPr>
                <w:rFonts w:ascii="Arial" w:eastAsia="Arial" w:hAnsi="Arial" w:cs="Arial"/>
                <w:color w:val="000000"/>
                <w:sz w:val="16"/>
              </w:rPr>
              <w:t>2014-15</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6A0AF687" w14:textId="77777777" w:rsidR="003F0EEA" w:rsidRDefault="00FB7D0B">
            <w:pPr>
              <w:jc w:val="right"/>
              <w:rPr>
                <w:rFonts w:ascii="Arial" w:eastAsia="Arial" w:hAnsi="Arial" w:cs="Arial"/>
                <w:color w:val="000000"/>
                <w:sz w:val="16"/>
              </w:rPr>
            </w:pPr>
            <w:r>
              <w:rPr>
                <w:rFonts w:ascii="Arial" w:eastAsia="Arial" w:hAnsi="Arial" w:cs="Arial"/>
                <w:color w:val="000000"/>
                <w:sz w:val="16"/>
              </w:rPr>
              <w:t>2015-16</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41A093B3" w14:textId="77777777" w:rsidR="003F0EEA" w:rsidRDefault="00FB7D0B">
            <w:pPr>
              <w:jc w:val="right"/>
              <w:rPr>
                <w:rFonts w:ascii="Arial" w:eastAsia="Arial" w:hAnsi="Arial" w:cs="Arial"/>
                <w:color w:val="000000"/>
                <w:sz w:val="16"/>
              </w:rPr>
            </w:pPr>
            <w:r>
              <w:rPr>
                <w:rFonts w:ascii="Arial" w:eastAsia="Arial" w:hAnsi="Arial" w:cs="Arial"/>
                <w:color w:val="000000"/>
                <w:sz w:val="16"/>
              </w:rPr>
              <w:t>2016-17</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484F2121" w14:textId="77777777" w:rsidR="003F0EEA" w:rsidRDefault="00FB7D0B">
            <w:pPr>
              <w:jc w:val="right"/>
              <w:rPr>
                <w:rFonts w:ascii="Arial" w:eastAsia="Arial" w:hAnsi="Arial" w:cs="Arial"/>
                <w:color w:val="000000"/>
                <w:sz w:val="16"/>
              </w:rPr>
            </w:pPr>
            <w:r>
              <w:rPr>
                <w:rFonts w:ascii="Arial" w:eastAsia="Arial" w:hAnsi="Arial" w:cs="Arial"/>
                <w:color w:val="000000"/>
                <w:sz w:val="16"/>
              </w:rPr>
              <w:t>2017-18</w:t>
            </w:r>
          </w:p>
        </w:tc>
      </w:tr>
      <w:tr w:rsidR="00724034" w14:paraId="2D3EB4FB" w14:textId="77777777">
        <w:trPr>
          <w:trHeight w:val="225"/>
        </w:trPr>
        <w:tc>
          <w:tcPr>
            <w:tcW w:w="180"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64E742D3" w14:textId="77777777" w:rsidR="003F0EEA" w:rsidRDefault="003F0EEA">
            <w:pPr>
              <w:rPr>
                <w:rFonts w:ascii="Arial" w:eastAsia="Arial" w:hAnsi="Arial" w:cs="Arial"/>
                <w:color w:val="000000"/>
                <w:sz w:val="16"/>
              </w:rPr>
            </w:pPr>
          </w:p>
        </w:tc>
        <w:tc>
          <w:tcPr>
            <w:tcW w:w="180"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16FB82D4" w14:textId="77777777" w:rsidR="003F0EEA" w:rsidRDefault="003F0EEA">
            <w:pPr>
              <w:rPr>
                <w:rFonts w:ascii="Arial" w:eastAsia="Arial" w:hAnsi="Arial" w:cs="Arial"/>
                <w:color w:val="000000"/>
                <w:sz w:val="18"/>
              </w:rPr>
            </w:pPr>
          </w:p>
        </w:tc>
        <w:tc>
          <w:tcPr>
            <w:tcW w:w="2700"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49D6C141" w14:textId="77777777" w:rsidR="003F0EEA" w:rsidRDefault="003F0EEA">
            <w:pPr>
              <w:rPr>
                <w:rFonts w:ascii="Arial" w:eastAsia="Arial" w:hAnsi="Arial" w:cs="Arial"/>
                <w:color w:val="000000"/>
                <w:sz w:val="18"/>
              </w:rPr>
            </w:pPr>
          </w:p>
        </w:tc>
        <w:tc>
          <w:tcPr>
            <w:tcW w:w="915"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4EC0A3F8" w14:textId="77777777" w:rsidR="003F0EEA" w:rsidRDefault="00FB7D0B">
            <w:pPr>
              <w:jc w:val="right"/>
              <w:rPr>
                <w:rFonts w:ascii="Arial" w:eastAsia="Arial" w:hAnsi="Arial" w:cs="Arial"/>
                <w:color w:val="000000"/>
                <w:sz w:val="16"/>
                <w:vertAlign w:val="superscript"/>
              </w:rPr>
            </w:pPr>
            <w:r>
              <w:rPr>
                <w:rFonts w:ascii="Arial" w:eastAsia="Arial" w:hAnsi="Arial" w:cs="Arial"/>
                <w:color w:val="000000"/>
                <w:sz w:val="16"/>
              </w:rPr>
              <w:t>$'000</w:t>
            </w:r>
          </w:p>
        </w:tc>
        <w:tc>
          <w:tcPr>
            <w:tcW w:w="915" w:type="dxa"/>
            <w:tcBorders>
              <w:top w:val="nil"/>
              <w:left w:val="nil"/>
              <w:bottom w:val="single" w:sz="6" w:space="0" w:color="000000"/>
              <w:right w:val="nil"/>
              <w:tl2br w:val="nil"/>
              <w:tr2bl w:val="nil"/>
            </w:tcBorders>
            <w:shd w:val="clear" w:color="auto" w:fill="FFFF00"/>
            <w:tcMar>
              <w:left w:w="101" w:type="dxa"/>
              <w:right w:w="101" w:type="dxa"/>
            </w:tcMar>
            <w:vAlign w:val="bottom"/>
          </w:tcPr>
          <w:p w14:paraId="4F5F3443" w14:textId="77777777" w:rsidR="003F0EEA" w:rsidRDefault="00FB7D0B">
            <w:pPr>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1264E002" w14:textId="77777777" w:rsidR="003F0EEA" w:rsidRDefault="00FB7D0B">
            <w:pPr>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42F27542" w14:textId="77777777" w:rsidR="003F0EEA" w:rsidRDefault="00FB7D0B">
            <w:pPr>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6A893838" w14:textId="77777777" w:rsidR="003F0EEA" w:rsidRDefault="00FB7D0B">
            <w:pPr>
              <w:jc w:val="right"/>
              <w:rPr>
                <w:rFonts w:ascii="Arial" w:eastAsia="Arial" w:hAnsi="Arial" w:cs="Arial"/>
                <w:color w:val="000000"/>
                <w:sz w:val="16"/>
              </w:rPr>
            </w:pPr>
            <w:r>
              <w:rPr>
                <w:rFonts w:ascii="Arial" w:eastAsia="Arial" w:hAnsi="Arial" w:cs="Arial"/>
                <w:color w:val="000000"/>
                <w:sz w:val="16"/>
              </w:rPr>
              <w:t>$'000</w:t>
            </w:r>
          </w:p>
        </w:tc>
      </w:tr>
      <w:tr w:rsidR="00724034" w14:paraId="0EFFD906" w14:textId="77777777">
        <w:trPr>
          <w:trHeight w:val="225"/>
        </w:trPr>
        <w:tc>
          <w:tcPr>
            <w:tcW w:w="180"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59B1C598" w14:textId="77777777" w:rsidR="003F0EEA" w:rsidRDefault="003F0EEA">
            <w:pPr>
              <w:rPr>
                <w:rFonts w:ascii="Arial" w:eastAsia="Arial" w:hAnsi="Arial" w:cs="Arial"/>
                <w:color w:val="000000"/>
                <w:sz w:val="16"/>
              </w:rPr>
            </w:pPr>
          </w:p>
        </w:tc>
        <w:tc>
          <w:tcPr>
            <w:tcW w:w="180"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13F62BD7" w14:textId="77777777" w:rsidR="003F0EEA" w:rsidRDefault="003F0EEA">
            <w:pPr>
              <w:rPr>
                <w:rFonts w:ascii="Arial" w:eastAsia="Arial" w:hAnsi="Arial" w:cs="Arial"/>
                <w:color w:val="000000"/>
                <w:sz w:val="18"/>
              </w:rPr>
            </w:pPr>
          </w:p>
        </w:tc>
        <w:tc>
          <w:tcPr>
            <w:tcW w:w="2700"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65FCA5DA" w14:textId="77777777" w:rsidR="003F0EEA" w:rsidRDefault="003F0EEA">
            <w:pPr>
              <w:rPr>
                <w:rFonts w:ascii="Arial" w:eastAsia="Arial" w:hAnsi="Arial" w:cs="Arial"/>
                <w:color w:val="000000"/>
                <w:sz w:val="18"/>
              </w:rPr>
            </w:pPr>
          </w:p>
        </w:tc>
        <w:tc>
          <w:tcPr>
            <w:tcW w:w="91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287398BA" w14:textId="77777777" w:rsidR="003F0EEA" w:rsidRDefault="003F0EEA">
            <w:pPr>
              <w:rPr>
                <w:rFonts w:ascii="Arial" w:eastAsia="Arial" w:hAnsi="Arial" w:cs="Arial"/>
                <w:color w:val="000000"/>
                <w:sz w:val="16"/>
                <w:vertAlign w:val="superscript"/>
              </w:rPr>
            </w:pPr>
          </w:p>
        </w:tc>
        <w:tc>
          <w:tcPr>
            <w:tcW w:w="915" w:type="dxa"/>
            <w:tcBorders>
              <w:top w:val="single" w:sz="6" w:space="0" w:color="000000"/>
              <w:left w:val="nil"/>
              <w:bottom w:val="nil"/>
              <w:right w:val="nil"/>
              <w:tl2br w:val="nil"/>
              <w:tr2bl w:val="nil"/>
            </w:tcBorders>
            <w:shd w:val="clear" w:color="auto" w:fill="FFFF00"/>
            <w:tcMar>
              <w:left w:w="101" w:type="dxa"/>
              <w:right w:w="101" w:type="dxa"/>
            </w:tcMar>
            <w:vAlign w:val="bottom"/>
          </w:tcPr>
          <w:p w14:paraId="75B6ED0F" w14:textId="77777777" w:rsidR="003F0EEA" w:rsidRDefault="003F0EEA">
            <w:pPr>
              <w:rPr>
                <w:rFonts w:ascii="Arial" w:eastAsia="Arial" w:hAnsi="Arial" w:cs="Arial"/>
                <w:color w:val="000000"/>
                <w:sz w:val="16"/>
                <w:vertAlign w:val="superscript"/>
              </w:rPr>
            </w:pPr>
          </w:p>
        </w:tc>
        <w:tc>
          <w:tcPr>
            <w:tcW w:w="91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05B16252" w14:textId="77777777" w:rsidR="003F0EEA" w:rsidRDefault="003F0EEA">
            <w:pPr>
              <w:rPr>
                <w:rFonts w:ascii="Arial" w:eastAsia="Arial" w:hAnsi="Arial" w:cs="Arial"/>
                <w:color w:val="000000"/>
                <w:sz w:val="16"/>
                <w:vertAlign w:val="superscript"/>
              </w:rPr>
            </w:pPr>
          </w:p>
        </w:tc>
        <w:tc>
          <w:tcPr>
            <w:tcW w:w="91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01159FA9" w14:textId="77777777" w:rsidR="003F0EEA" w:rsidRDefault="003F0EEA">
            <w:pPr>
              <w:rPr>
                <w:rFonts w:ascii="Arial" w:eastAsia="Arial" w:hAnsi="Arial" w:cs="Arial"/>
                <w:color w:val="000000"/>
                <w:sz w:val="16"/>
                <w:vertAlign w:val="superscript"/>
              </w:rPr>
            </w:pPr>
          </w:p>
        </w:tc>
        <w:tc>
          <w:tcPr>
            <w:tcW w:w="91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359ACEE4" w14:textId="77777777" w:rsidR="003F0EEA" w:rsidRDefault="003F0EEA">
            <w:pPr>
              <w:rPr>
                <w:rFonts w:ascii="Arial" w:eastAsia="Arial" w:hAnsi="Arial" w:cs="Arial"/>
                <w:color w:val="000000"/>
                <w:sz w:val="16"/>
                <w:vertAlign w:val="superscript"/>
              </w:rPr>
            </w:pPr>
          </w:p>
        </w:tc>
      </w:tr>
      <w:tr w:rsidR="00FB7D0B" w14:paraId="5DF5DDC1" w14:textId="77777777" w:rsidTr="00FB7D0B">
        <w:trPr>
          <w:trHeight w:val="225"/>
        </w:trPr>
        <w:tc>
          <w:tcPr>
            <w:tcW w:w="3060" w:type="dxa"/>
            <w:gridSpan w:val="3"/>
            <w:tcBorders>
              <w:top w:val="nil"/>
              <w:left w:val="nil"/>
              <w:bottom w:val="nil"/>
              <w:right w:val="nil"/>
              <w:tl2br w:val="nil"/>
              <w:tr2bl w:val="nil"/>
            </w:tcBorders>
            <w:shd w:val="clear" w:color="auto" w:fill="FFFFFF"/>
            <w:tcMar>
              <w:left w:w="101" w:type="dxa"/>
              <w:right w:w="101" w:type="dxa"/>
            </w:tcMar>
            <w:vAlign w:val="bottom"/>
          </w:tcPr>
          <w:p w14:paraId="0835721B" w14:textId="77777777" w:rsidR="003F0EEA" w:rsidRDefault="00FB7D0B">
            <w:pPr>
              <w:rPr>
                <w:rFonts w:ascii="Arial" w:eastAsia="Arial" w:hAnsi="Arial" w:cs="Arial"/>
                <w:color w:val="000000"/>
                <w:sz w:val="16"/>
                <w:vertAlign w:val="superscript"/>
              </w:rPr>
            </w:pPr>
            <w:r>
              <w:rPr>
                <w:rFonts w:ascii="Arial" w:eastAsia="Arial" w:hAnsi="Arial" w:cs="Arial"/>
                <w:b/>
                <w:color w:val="000000"/>
                <w:sz w:val="16"/>
              </w:rPr>
              <w:t>NEW CAPITAL APPROPRIATIONS</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05672EC2" w14:textId="77777777" w:rsidR="003F0EEA" w:rsidRDefault="003F0EEA">
            <w:pPr>
              <w:rPr>
                <w:rFonts w:ascii="Arial" w:eastAsia="Arial" w:hAnsi="Arial" w:cs="Arial"/>
                <w:b/>
                <w:color w:val="000000"/>
                <w:sz w:val="16"/>
                <w:vertAlign w:val="superscript"/>
              </w:rPr>
            </w:pPr>
          </w:p>
        </w:tc>
        <w:tc>
          <w:tcPr>
            <w:tcW w:w="915" w:type="dxa"/>
            <w:tcBorders>
              <w:top w:val="nil"/>
              <w:left w:val="nil"/>
              <w:bottom w:val="nil"/>
              <w:right w:val="nil"/>
              <w:tl2br w:val="nil"/>
              <w:tr2bl w:val="nil"/>
            </w:tcBorders>
            <w:shd w:val="clear" w:color="auto" w:fill="FFFF00"/>
            <w:tcMar>
              <w:left w:w="101" w:type="dxa"/>
              <w:right w:w="101" w:type="dxa"/>
            </w:tcMar>
            <w:vAlign w:val="bottom"/>
          </w:tcPr>
          <w:p w14:paraId="62797DC0" w14:textId="77777777" w:rsidR="003F0EEA" w:rsidRDefault="003F0EEA">
            <w:pPr>
              <w:rPr>
                <w:rFonts w:ascii="Arial" w:eastAsia="Arial" w:hAnsi="Arial" w:cs="Arial"/>
                <w:color w:val="000000"/>
                <w:sz w:val="16"/>
                <w:vertAlign w:val="superscript"/>
              </w:rPr>
            </w:pP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69DA0E35" w14:textId="77777777" w:rsidR="003F0EEA" w:rsidRDefault="003F0EEA">
            <w:pPr>
              <w:rPr>
                <w:rFonts w:ascii="Arial" w:eastAsia="Arial" w:hAnsi="Arial" w:cs="Arial"/>
                <w:color w:val="000000"/>
                <w:sz w:val="16"/>
                <w:vertAlign w:val="superscript"/>
              </w:rPr>
            </w:pP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6D5FF0D3" w14:textId="77777777" w:rsidR="003F0EEA" w:rsidRDefault="003F0EEA">
            <w:pPr>
              <w:rPr>
                <w:rFonts w:ascii="Arial" w:eastAsia="Arial" w:hAnsi="Arial" w:cs="Arial"/>
                <w:color w:val="000000"/>
                <w:sz w:val="16"/>
                <w:vertAlign w:val="superscript"/>
              </w:rPr>
            </w:pP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14A6CC3C" w14:textId="77777777" w:rsidR="003F0EEA" w:rsidRDefault="003F0EEA">
            <w:pPr>
              <w:rPr>
                <w:rFonts w:ascii="Arial" w:eastAsia="Arial" w:hAnsi="Arial" w:cs="Arial"/>
                <w:color w:val="000000"/>
                <w:sz w:val="16"/>
                <w:vertAlign w:val="superscript"/>
              </w:rPr>
            </w:pPr>
          </w:p>
        </w:tc>
      </w:tr>
      <w:tr w:rsidR="00FB7D0B" w14:paraId="70706567" w14:textId="77777777" w:rsidTr="00FB7D0B">
        <w:trPr>
          <w:trHeight w:val="225"/>
        </w:trPr>
        <w:tc>
          <w:tcPr>
            <w:tcW w:w="180" w:type="dxa"/>
            <w:tcBorders>
              <w:top w:val="nil"/>
              <w:left w:val="nil"/>
              <w:bottom w:val="nil"/>
              <w:right w:val="nil"/>
              <w:tl2br w:val="nil"/>
              <w:tr2bl w:val="nil"/>
            </w:tcBorders>
            <w:shd w:val="clear" w:color="auto" w:fill="FFFFFF"/>
            <w:tcMar>
              <w:left w:w="101" w:type="dxa"/>
              <w:right w:w="101" w:type="dxa"/>
            </w:tcMar>
            <w:vAlign w:val="bottom"/>
          </w:tcPr>
          <w:p w14:paraId="3C492BA6" w14:textId="77777777" w:rsidR="003F0EEA" w:rsidRDefault="003F0EEA">
            <w:pPr>
              <w:rPr>
                <w:rFonts w:ascii="Arial" w:eastAsia="Arial" w:hAnsi="Arial" w:cs="Arial"/>
                <w:color w:val="000000"/>
                <w:sz w:val="16"/>
                <w:vertAlign w:val="superscript"/>
              </w:rPr>
            </w:pPr>
          </w:p>
        </w:tc>
        <w:tc>
          <w:tcPr>
            <w:tcW w:w="2880" w:type="dxa"/>
            <w:gridSpan w:val="2"/>
            <w:vMerge w:val="restart"/>
            <w:tcBorders>
              <w:top w:val="nil"/>
              <w:left w:val="nil"/>
              <w:bottom w:val="nil"/>
              <w:right w:val="nil"/>
              <w:tl2br w:val="nil"/>
              <w:tr2bl w:val="nil"/>
            </w:tcBorders>
            <w:shd w:val="clear" w:color="auto" w:fill="FFFFFF"/>
            <w:tcMar>
              <w:left w:w="101" w:type="dxa"/>
              <w:right w:w="101" w:type="dxa"/>
            </w:tcMar>
            <w:vAlign w:val="bottom"/>
          </w:tcPr>
          <w:p w14:paraId="5E1C66C7" w14:textId="77777777" w:rsidR="003F0EEA" w:rsidRDefault="00FB7D0B">
            <w:pPr>
              <w:rPr>
                <w:rFonts w:ascii="Arial" w:eastAsia="Arial" w:hAnsi="Arial" w:cs="Arial"/>
                <w:color w:val="000000"/>
                <w:sz w:val="18"/>
                <w:vertAlign w:val="superscript"/>
              </w:rPr>
            </w:pPr>
            <w:r>
              <w:rPr>
                <w:rFonts w:ascii="Arial" w:eastAsia="Arial" w:hAnsi="Arial" w:cs="Arial"/>
                <w:color w:val="000000"/>
                <w:sz w:val="16"/>
              </w:rPr>
              <w:t>Capital budget - Bill 1 (Departmental Capital Budget)</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029FDA94" w14:textId="77777777" w:rsidR="003F0EEA" w:rsidRDefault="00FB7D0B">
            <w:pPr>
              <w:jc w:val="right"/>
              <w:rPr>
                <w:rFonts w:ascii="Arial" w:eastAsia="Arial" w:hAnsi="Arial" w:cs="Arial"/>
                <w:color w:val="000000"/>
                <w:sz w:val="16"/>
                <w:vertAlign w:val="superscript"/>
              </w:rPr>
            </w:pPr>
            <w:r>
              <w:rPr>
                <w:rFonts w:ascii="Arial" w:eastAsia="Arial" w:hAnsi="Arial" w:cs="Arial"/>
                <w:color w:val="000000"/>
                <w:sz w:val="16"/>
              </w:rPr>
              <w:t xml:space="preserve"> 14,056 </w:t>
            </w:r>
          </w:p>
        </w:tc>
        <w:tc>
          <w:tcPr>
            <w:tcW w:w="915" w:type="dxa"/>
            <w:tcBorders>
              <w:top w:val="nil"/>
              <w:left w:val="nil"/>
              <w:bottom w:val="nil"/>
              <w:right w:val="nil"/>
              <w:tl2br w:val="nil"/>
              <w:tr2bl w:val="nil"/>
            </w:tcBorders>
            <w:shd w:val="clear" w:color="auto" w:fill="FFFF00"/>
            <w:tcMar>
              <w:left w:w="101" w:type="dxa"/>
              <w:right w:w="101" w:type="dxa"/>
            </w:tcMar>
            <w:vAlign w:val="bottom"/>
          </w:tcPr>
          <w:p w14:paraId="49912406" w14:textId="77777777" w:rsidR="003F0EEA" w:rsidRDefault="00FB7D0B">
            <w:pPr>
              <w:jc w:val="right"/>
              <w:rPr>
                <w:rFonts w:ascii="Arial" w:eastAsia="Arial" w:hAnsi="Arial" w:cs="Arial"/>
                <w:color w:val="000000"/>
                <w:sz w:val="16"/>
              </w:rPr>
            </w:pPr>
            <w:r>
              <w:rPr>
                <w:rFonts w:ascii="Arial" w:eastAsia="Arial" w:hAnsi="Arial" w:cs="Arial"/>
                <w:color w:val="000000"/>
                <w:sz w:val="16"/>
              </w:rPr>
              <w:t xml:space="preserve"> 13,469 </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601FE63A" w14:textId="77777777" w:rsidR="003F0EEA" w:rsidRDefault="00FB7D0B">
            <w:pPr>
              <w:jc w:val="right"/>
              <w:rPr>
                <w:rFonts w:ascii="Arial" w:eastAsia="Arial" w:hAnsi="Arial" w:cs="Arial"/>
                <w:color w:val="000000"/>
                <w:sz w:val="16"/>
              </w:rPr>
            </w:pPr>
            <w:r>
              <w:rPr>
                <w:rFonts w:ascii="Arial" w:eastAsia="Arial" w:hAnsi="Arial" w:cs="Arial"/>
                <w:color w:val="000000"/>
                <w:sz w:val="16"/>
              </w:rPr>
              <w:t xml:space="preserve"> 13,356 </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42D02D11" w14:textId="77777777" w:rsidR="003F0EEA" w:rsidRDefault="00FB7D0B">
            <w:pPr>
              <w:jc w:val="right"/>
              <w:rPr>
                <w:rFonts w:ascii="Arial" w:eastAsia="Arial" w:hAnsi="Arial" w:cs="Arial"/>
                <w:color w:val="000000"/>
                <w:sz w:val="16"/>
              </w:rPr>
            </w:pPr>
            <w:r>
              <w:rPr>
                <w:rFonts w:ascii="Arial" w:eastAsia="Arial" w:hAnsi="Arial" w:cs="Arial"/>
                <w:color w:val="000000"/>
                <w:sz w:val="16"/>
              </w:rPr>
              <w:t xml:space="preserve"> 13,373 </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475DB187" w14:textId="77777777" w:rsidR="003F0EEA" w:rsidRDefault="00FB7D0B">
            <w:pPr>
              <w:jc w:val="right"/>
              <w:rPr>
                <w:rFonts w:ascii="Arial" w:eastAsia="Arial" w:hAnsi="Arial" w:cs="Arial"/>
                <w:color w:val="000000"/>
                <w:sz w:val="16"/>
              </w:rPr>
            </w:pPr>
            <w:r>
              <w:rPr>
                <w:rFonts w:ascii="Arial" w:eastAsia="Arial" w:hAnsi="Arial" w:cs="Arial"/>
                <w:color w:val="000000"/>
                <w:sz w:val="16"/>
              </w:rPr>
              <w:t xml:space="preserve"> 14,036 </w:t>
            </w:r>
          </w:p>
        </w:tc>
      </w:tr>
      <w:tr w:rsidR="00FB7D0B" w14:paraId="5103F435" w14:textId="77777777" w:rsidTr="00FB7D0B">
        <w:trPr>
          <w:trHeight w:val="225"/>
        </w:trPr>
        <w:tc>
          <w:tcPr>
            <w:tcW w:w="180" w:type="dxa"/>
            <w:tcBorders>
              <w:top w:val="nil"/>
              <w:left w:val="nil"/>
              <w:bottom w:val="nil"/>
              <w:right w:val="nil"/>
              <w:tl2br w:val="nil"/>
              <w:tr2bl w:val="nil"/>
            </w:tcBorders>
            <w:shd w:val="clear" w:color="auto" w:fill="FFFFFF"/>
            <w:tcMar>
              <w:left w:w="101" w:type="dxa"/>
              <w:right w:w="101" w:type="dxa"/>
            </w:tcMar>
            <w:vAlign w:val="bottom"/>
          </w:tcPr>
          <w:p w14:paraId="22EF06B2" w14:textId="77777777" w:rsidR="003F0EEA" w:rsidRDefault="003F0EEA">
            <w:pPr>
              <w:rPr>
                <w:rFonts w:ascii="Arial" w:eastAsia="Arial" w:hAnsi="Arial" w:cs="Arial"/>
                <w:color w:val="000000"/>
                <w:sz w:val="16"/>
              </w:rPr>
            </w:pPr>
          </w:p>
        </w:tc>
        <w:tc>
          <w:tcPr>
            <w:tcW w:w="2880" w:type="dxa"/>
            <w:gridSpan w:val="2"/>
            <w:vMerge w:val="restart"/>
            <w:tcBorders>
              <w:top w:val="nil"/>
              <w:left w:val="nil"/>
              <w:bottom w:val="nil"/>
              <w:right w:val="nil"/>
              <w:tl2br w:val="nil"/>
              <w:tr2bl w:val="nil"/>
            </w:tcBorders>
            <w:shd w:val="clear" w:color="auto" w:fill="FFFFFF"/>
            <w:tcMar>
              <w:left w:w="101" w:type="dxa"/>
              <w:right w:w="101" w:type="dxa"/>
            </w:tcMar>
            <w:vAlign w:val="bottom"/>
          </w:tcPr>
          <w:p w14:paraId="46E0B241" w14:textId="77777777" w:rsidR="003F0EEA" w:rsidRDefault="00FB7D0B">
            <w:pPr>
              <w:rPr>
                <w:rFonts w:ascii="Arial" w:eastAsia="Arial" w:hAnsi="Arial" w:cs="Arial"/>
                <w:color w:val="000000"/>
                <w:sz w:val="18"/>
              </w:rPr>
            </w:pPr>
            <w:r>
              <w:rPr>
                <w:rFonts w:ascii="Arial" w:eastAsia="Arial" w:hAnsi="Arial" w:cs="Arial"/>
                <w:color w:val="000000"/>
                <w:sz w:val="16"/>
              </w:rPr>
              <w:t>Equity injections - Bill 2</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35234E6A" w14:textId="77777777" w:rsidR="003F0EEA" w:rsidRDefault="00FB7D0B">
            <w:pPr>
              <w:jc w:val="right"/>
              <w:rPr>
                <w:rFonts w:ascii="Arial" w:eastAsia="Arial" w:hAnsi="Arial" w:cs="Arial"/>
                <w:color w:val="000000"/>
                <w:sz w:val="16"/>
                <w:vertAlign w:val="superscript"/>
              </w:rPr>
            </w:pPr>
            <w:r>
              <w:rPr>
                <w:rFonts w:ascii="Arial" w:eastAsia="Arial" w:hAnsi="Arial" w:cs="Arial"/>
                <w:color w:val="000000"/>
                <w:sz w:val="16"/>
              </w:rPr>
              <w:t xml:space="preserve"> 12,084 </w:t>
            </w:r>
          </w:p>
        </w:tc>
        <w:tc>
          <w:tcPr>
            <w:tcW w:w="915" w:type="dxa"/>
            <w:tcBorders>
              <w:top w:val="nil"/>
              <w:left w:val="nil"/>
              <w:bottom w:val="nil"/>
              <w:right w:val="nil"/>
              <w:tl2br w:val="nil"/>
              <w:tr2bl w:val="nil"/>
            </w:tcBorders>
            <w:shd w:val="clear" w:color="auto" w:fill="FFFF00"/>
            <w:tcMar>
              <w:left w:w="101" w:type="dxa"/>
              <w:right w:w="101" w:type="dxa"/>
            </w:tcMar>
            <w:vAlign w:val="bottom"/>
          </w:tcPr>
          <w:p w14:paraId="26841A71" w14:textId="77777777" w:rsidR="003F0EEA" w:rsidRDefault="00FB7D0B">
            <w:pPr>
              <w:jc w:val="right"/>
              <w:rPr>
                <w:rFonts w:ascii="Arial" w:eastAsia="Arial" w:hAnsi="Arial" w:cs="Arial"/>
                <w:color w:val="000000"/>
                <w:sz w:val="16"/>
              </w:rPr>
            </w:pPr>
            <w:r>
              <w:rPr>
                <w:rFonts w:ascii="Arial" w:eastAsia="Arial" w:hAnsi="Arial" w:cs="Arial"/>
                <w:color w:val="000000"/>
                <w:sz w:val="16"/>
              </w:rPr>
              <w:t xml:space="preserve"> 2,617 </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34F7240A" w14:textId="77777777" w:rsidR="003F0EEA" w:rsidRDefault="00FB7D0B">
            <w:pPr>
              <w:jc w:val="right"/>
              <w:rPr>
                <w:rFonts w:ascii="Arial" w:eastAsia="Arial" w:hAnsi="Arial" w:cs="Arial"/>
                <w:color w:val="000000"/>
                <w:sz w:val="16"/>
              </w:rPr>
            </w:pPr>
            <w:r>
              <w:rPr>
                <w:rFonts w:ascii="Arial" w:eastAsia="Arial" w:hAnsi="Arial" w:cs="Arial"/>
                <w:color w:val="000000"/>
                <w:sz w:val="16"/>
              </w:rPr>
              <w:t xml:space="preserve"> 760 </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082E55F3" w14:textId="77777777" w:rsidR="003F0EEA" w:rsidRDefault="00FB7D0B">
            <w:pPr>
              <w:jc w:val="right"/>
              <w:rPr>
                <w:rFonts w:ascii="Arial" w:eastAsia="Arial" w:hAnsi="Arial" w:cs="Arial"/>
                <w:color w:val="000000"/>
                <w:sz w:val="16"/>
              </w:rPr>
            </w:pPr>
            <w:r>
              <w:rPr>
                <w:rFonts w:ascii="Arial" w:eastAsia="Arial" w:hAnsi="Arial" w:cs="Arial"/>
                <w:color w:val="000000"/>
                <w:sz w:val="16"/>
              </w:rPr>
              <w:t xml:space="preserve"> - </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74A3F53C" w14:textId="77777777" w:rsidR="003F0EEA" w:rsidRDefault="00FB7D0B">
            <w:pPr>
              <w:jc w:val="right"/>
              <w:rPr>
                <w:rFonts w:ascii="Arial" w:eastAsia="Arial" w:hAnsi="Arial" w:cs="Arial"/>
                <w:color w:val="000000"/>
                <w:sz w:val="16"/>
              </w:rPr>
            </w:pPr>
            <w:r>
              <w:rPr>
                <w:rFonts w:ascii="Arial" w:eastAsia="Arial" w:hAnsi="Arial" w:cs="Arial"/>
                <w:color w:val="000000"/>
                <w:sz w:val="16"/>
              </w:rPr>
              <w:t xml:space="preserve"> - </w:t>
            </w:r>
          </w:p>
        </w:tc>
      </w:tr>
      <w:tr w:rsidR="00FB7D0B" w14:paraId="7D3893C8" w14:textId="77777777" w:rsidTr="00FB7D0B">
        <w:trPr>
          <w:trHeight w:val="225"/>
        </w:trPr>
        <w:tc>
          <w:tcPr>
            <w:tcW w:w="3060" w:type="dxa"/>
            <w:gridSpan w:val="3"/>
            <w:vMerge w:val="restart"/>
            <w:tcBorders>
              <w:top w:val="nil"/>
              <w:left w:val="nil"/>
              <w:bottom w:val="nil"/>
              <w:right w:val="nil"/>
              <w:tl2br w:val="nil"/>
              <w:tr2bl w:val="nil"/>
            </w:tcBorders>
            <w:shd w:val="clear" w:color="auto" w:fill="FFFFFF"/>
            <w:tcMar>
              <w:left w:w="101" w:type="dxa"/>
              <w:right w:w="101" w:type="dxa"/>
            </w:tcMar>
            <w:vAlign w:val="bottom"/>
          </w:tcPr>
          <w:p w14:paraId="1FBC875F" w14:textId="77777777" w:rsidR="003F0EEA" w:rsidRDefault="00FB7D0B">
            <w:pPr>
              <w:rPr>
                <w:rFonts w:ascii="Arial" w:eastAsia="Arial" w:hAnsi="Arial" w:cs="Arial"/>
                <w:color w:val="000000"/>
                <w:sz w:val="16"/>
              </w:rPr>
            </w:pPr>
            <w:r>
              <w:rPr>
                <w:rFonts w:ascii="Arial" w:eastAsia="Arial" w:hAnsi="Arial" w:cs="Arial"/>
                <w:b/>
                <w:color w:val="000000"/>
                <w:sz w:val="16"/>
              </w:rPr>
              <w:t>Total new capital appropriations</w:t>
            </w:r>
          </w:p>
        </w:tc>
        <w:tc>
          <w:tcPr>
            <w:tcW w:w="915"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1EA2137E" w14:textId="77777777" w:rsidR="003F0EEA" w:rsidRDefault="00FB7D0B">
            <w:pPr>
              <w:jc w:val="right"/>
              <w:rPr>
                <w:rFonts w:ascii="Arial" w:eastAsia="Arial" w:hAnsi="Arial" w:cs="Arial"/>
                <w:b/>
                <w:color w:val="000000"/>
                <w:sz w:val="16"/>
                <w:vertAlign w:val="superscript"/>
              </w:rPr>
            </w:pPr>
            <w:r>
              <w:rPr>
                <w:rFonts w:ascii="Arial" w:eastAsia="Arial" w:hAnsi="Arial" w:cs="Arial"/>
                <w:b/>
                <w:color w:val="000000"/>
                <w:sz w:val="16"/>
              </w:rPr>
              <w:t xml:space="preserve"> 26,140 </w:t>
            </w:r>
          </w:p>
        </w:tc>
        <w:tc>
          <w:tcPr>
            <w:tcW w:w="915" w:type="dxa"/>
            <w:tcBorders>
              <w:top w:val="single" w:sz="6" w:space="0" w:color="000000"/>
              <w:left w:val="nil"/>
              <w:bottom w:val="single" w:sz="6" w:space="0" w:color="000000"/>
              <w:right w:val="nil"/>
              <w:tl2br w:val="nil"/>
              <w:tr2bl w:val="nil"/>
            </w:tcBorders>
            <w:shd w:val="clear" w:color="auto" w:fill="FFFF00"/>
            <w:tcMar>
              <w:left w:w="101" w:type="dxa"/>
              <w:right w:w="101" w:type="dxa"/>
            </w:tcMar>
            <w:vAlign w:val="bottom"/>
          </w:tcPr>
          <w:p w14:paraId="4AD2834B" w14:textId="77777777" w:rsidR="003F0EEA" w:rsidRDefault="00FB7D0B">
            <w:pPr>
              <w:jc w:val="right"/>
              <w:rPr>
                <w:rFonts w:ascii="Arial" w:eastAsia="Arial" w:hAnsi="Arial" w:cs="Arial"/>
                <w:b/>
                <w:color w:val="000000"/>
                <w:sz w:val="16"/>
              </w:rPr>
            </w:pPr>
            <w:r>
              <w:rPr>
                <w:rFonts w:ascii="Arial" w:eastAsia="Arial" w:hAnsi="Arial" w:cs="Arial"/>
                <w:b/>
                <w:color w:val="000000"/>
                <w:sz w:val="16"/>
              </w:rPr>
              <w:t xml:space="preserve"> 16,086 </w:t>
            </w:r>
          </w:p>
        </w:tc>
        <w:tc>
          <w:tcPr>
            <w:tcW w:w="915"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0903A8C5" w14:textId="77777777" w:rsidR="003F0EEA" w:rsidRDefault="00FB7D0B">
            <w:pPr>
              <w:jc w:val="right"/>
              <w:rPr>
                <w:rFonts w:ascii="Arial" w:eastAsia="Arial" w:hAnsi="Arial" w:cs="Arial"/>
                <w:b/>
                <w:color w:val="000000"/>
                <w:sz w:val="16"/>
              </w:rPr>
            </w:pPr>
            <w:r>
              <w:rPr>
                <w:rFonts w:ascii="Arial" w:eastAsia="Arial" w:hAnsi="Arial" w:cs="Arial"/>
                <w:b/>
                <w:color w:val="000000"/>
                <w:sz w:val="16"/>
              </w:rPr>
              <w:t xml:space="preserve"> 14,116 </w:t>
            </w:r>
          </w:p>
        </w:tc>
        <w:tc>
          <w:tcPr>
            <w:tcW w:w="915"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6C6E3CD8" w14:textId="77777777" w:rsidR="003F0EEA" w:rsidRDefault="00FB7D0B">
            <w:pPr>
              <w:jc w:val="right"/>
              <w:rPr>
                <w:rFonts w:ascii="Arial" w:eastAsia="Arial" w:hAnsi="Arial" w:cs="Arial"/>
                <w:b/>
                <w:color w:val="000000"/>
                <w:sz w:val="16"/>
              </w:rPr>
            </w:pPr>
            <w:r>
              <w:rPr>
                <w:rFonts w:ascii="Arial" w:eastAsia="Arial" w:hAnsi="Arial" w:cs="Arial"/>
                <w:b/>
                <w:color w:val="000000"/>
                <w:sz w:val="16"/>
              </w:rPr>
              <w:t xml:space="preserve"> 13,373 </w:t>
            </w:r>
          </w:p>
        </w:tc>
        <w:tc>
          <w:tcPr>
            <w:tcW w:w="915"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5C211BE9" w14:textId="77777777" w:rsidR="003F0EEA" w:rsidRDefault="00FB7D0B">
            <w:pPr>
              <w:jc w:val="right"/>
              <w:rPr>
                <w:rFonts w:ascii="Arial" w:eastAsia="Arial" w:hAnsi="Arial" w:cs="Arial"/>
                <w:b/>
                <w:color w:val="000000"/>
                <w:sz w:val="16"/>
              </w:rPr>
            </w:pPr>
            <w:r>
              <w:rPr>
                <w:rFonts w:ascii="Arial" w:eastAsia="Arial" w:hAnsi="Arial" w:cs="Arial"/>
                <w:b/>
                <w:color w:val="000000"/>
                <w:sz w:val="16"/>
              </w:rPr>
              <w:t xml:space="preserve"> 14,036 </w:t>
            </w:r>
          </w:p>
        </w:tc>
      </w:tr>
      <w:tr w:rsidR="00FB7D0B" w14:paraId="72C39B73" w14:textId="77777777" w:rsidTr="00FB7D0B">
        <w:trPr>
          <w:trHeight w:val="225"/>
        </w:trPr>
        <w:tc>
          <w:tcPr>
            <w:tcW w:w="3060" w:type="dxa"/>
            <w:gridSpan w:val="3"/>
            <w:tcBorders>
              <w:top w:val="nil"/>
              <w:left w:val="nil"/>
              <w:bottom w:val="nil"/>
              <w:right w:val="nil"/>
              <w:tl2br w:val="nil"/>
              <w:tr2bl w:val="nil"/>
            </w:tcBorders>
            <w:shd w:val="clear" w:color="auto" w:fill="FFFFFF"/>
            <w:tcMar>
              <w:left w:w="101" w:type="dxa"/>
              <w:right w:w="101" w:type="dxa"/>
            </w:tcMar>
            <w:vAlign w:val="bottom"/>
          </w:tcPr>
          <w:p w14:paraId="7E8A4D33" w14:textId="77777777" w:rsidR="003F0EEA" w:rsidRDefault="003F0EEA">
            <w:pPr>
              <w:rPr>
                <w:rFonts w:ascii="Arial" w:eastAsia="Arial" w:hAnsi="Arial" w:cs="Arial"/>
                <w:b/>
                <w:color w:val="000000"/>
                <w:sz w:val="16"/>
              </w:rPr>
            </w:pPr>
          </w:p>
        </w:tc>
        <w:tc>
          <w:tcPr>
            <w:tcW w:w="91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1AC08CF3" w14:textId="77777777" w:rsidR="003F0EEA" w:rsidRDefault="003F0EEA">
            <w:pPr>
              <w:rPr>
                <w:rFonts w:ascii="Arial" w:eastAsia="Arial" w:hAnsi="Arial" w:cs="Arial"/>
                <w:b/>
                <w:color w:val="000000"/>
                <w:sz w:val="16"/>
                <w:vertAlign w:val="superscript"/>
              </w:rPr>
            </w:pPr>
          </w:p>
        </w:tc>
        <w:tc>
          <w:tcPr>
            <w:tcW w:w="915" w:type="dxa"/>
            <w:tcBorders>
              <w:top w:val="single" w:sz="6" w:space="0" w:color="000000"/>
              <w:left w:val="nil"/>
              <w:bottom w:val="nil"/>
              <w:right w:val="nil"/>
              <w:tl2br w:val="nil"/>
              <w:tr2bl w:val="nil"/>
            </w:tcBorders>
            <w:shd w:val="clear" w:color="auto" w:fill="FFFF00"/>
            <w:tcMar>
              <w:left w:w="101" w:type="dxa"/>
              <w:right w:w="101" w:type="dxa"/>
            </w:tcMar>
            <w:vAlign w:val="bottom"/>
          </w:tcPr>
          <w:p w14:paraId="67EBFDA6" w14:textId="77777777" w:rsidR="003F0EEA" w:rsidRDefault="003F0EEA">
            <w:pPr>
              <w:rPr>
                <w:rFonts w:ascii="Arial" w:eastAsia="Arial" w:hAnsi="Arial" w:cs="Arial"/>
                <w:color w:val="000000"/>
                <w:sz w:val="16"/>
                <w:vertAlign w:val="superscript"/>
              </w:rPr>
            </w:pPr>
          </w:p>
        </w:tc>
        <w:tc>
          <w:tcPr>
            <w:tcW w:w="91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636EAC0F" w14:textId="77777777" w:rsidR="003F0EEA" w:rsidRDefault="003F0EEA">
            <w:pPr>
              <w:rPr>
                <w:rFonts w:ascii="Arial" w:eastAsia="Arial" w:hAnsi="Arial" w:cs="Arial"/>
                <w:color w:val="000000"/>
                <w:sz w:val="16"/>
                <w:vertAlign w:val="superscript"/>
              </w:rPr>
            </w:pPr>
          </w:p>
        </w:tc>
        <w:tc>
          <w:tcPr>
            <w:tcW w:w="91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27CBA4BA" w14:textId="77777777" w:rsidR="003F0EEA" w:rsidRDefault="003F0EEA">
            <w:pPr>
              <w:rPr>
                <w:rFonts w:ascii="Arial" w:eastAsia="Arial" w:hAnsi="Arial" w:cs="Arial"/>
                <w:color w:val="000000"/>
                <w:sz w:val="16"/>
                <w:vertAlign w:val="superscript"/>
              </w:rPr>
            </w:pPr>
          </w:p>
        </w:tc>
        <w:tc>
          <w:tcPr>
            <w:tcW w:w="91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4A7B2EEA" w14:textId="77777777" w:rsidR="003F0EEA" w:rsidRDefault="003F0EEA">
            <w:pPr>
              <w:rPr>
                <w:rFonts w:ascii="Arial" w:eastAsia="Arial" w:hAnsi="Arial" w:cs="Arial"/>
                <w:color w:val="000000"/>
                <w:sz w:val="16"/>
                <w:vertAlign w:val="superscript"/>
              </w:rPr>
            </w:pPr>
          </w:p>
        </w:tc>
      </w:tr>
      <w:tr w:rsidR="00FB7D0B" w14:paraId="4483398E" w14:textId="77777777" w:rsidTr="00FB7D0B">
        <w:trPr>
          <w:trHeight w:val="225"/>
        </w:trPr>
        <w:tc>
          <w:tcPr>
            <w:tcW w:w="3060" w:type="dxa"/>
            <w:gridSpan w:val="3"/>
            <w:tcBorders>
              <w:top w:val="nil"/>
              <w:left w:val="nil"/>
              <w:bottom w:val="nil"/>
              <w:right w:val="nil"/>
              <w:tl2br w:val="nil"/>
              <w:tr2bl w:val="nil"/>
            </w:tcBorders>
            <w:shd w:val="clear" w:color="auto" w:fill="FFFFFF"/>
            <w:tcMar>
              <w:left w:w="101" w:type="dxa"/>
              <w:right w:w="101" w:type="dxa"/>
            </w:tcMar>
            <w:vAlign w:val="bottom"/>
          </w:tcPr>
          <w:p w14:paraId="552F7FD0" w14:textId="77777777" w:rsidR="003F0EEA" w:rsidRDefault="00FB7D0B">
            <w:pPr>
              <w:rPr>
                <w:rFonts w:ascii="Arial" w:eastAsia="Arial" w:hAnsi="Arial" w:cs="Arial"/>
                <w:color w:val="000000"/>
                <w:sz w:val="16"/>
                <w:vertAlign w:val="superscript"/>
              </w:rPr>
            </w:pPr>
            <w:r>
              <w:rPr>
                <w:rFonts w:ascii="Arial" w:eastAsia="Arial" w:hAnsi="Arial" w:cs="Arial"/>
                <w:b/>
                <w:color w:val="000000"/>
                <w:sz w:val="16"/>
              </w:rPr>
              <w:t>Provided for:</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1A474447" w14:textId="77777777" w:rsidR="003F0EEA" w:rsidRDefault="003F0EEA">
            <w:pPr>
              <w:rPr>
                <w:rFonts w:ascii="Arial" w:eastAsia="Arial" w:hAnsi="Arial" w:cs="Arial"/>
                <w:b/>
                <w:color w:val="000000"/>
                <w:sz w:val="16"/>
                <w:vertAlign w:val="superscript"/>
              </w:rPr>
            </w:pPr>
          </w:p>
        </w:tc>
        <w:tc>
          <w:tcPr>
            <w:tcW w:w="915" w:type="dxa"/>
            <w:tcBorders>
              <w:top w:val="nil"/>
              <w:left w:val="nil"/>
              <w:bottom w:val="nil"/>
              <w:right w:val="nil"/>
              <w:tl2br w:val="nil"/>
              <w:tr2bl w:val="nil"/>
            </w:tcBorders>
            <w:shd w:val="clear" w:color="auto" w:fill="FFFF00"/>
            <w:tcMar>
              <w:left w:w="101" w:type="dxa"/>
              <w:right w:w="101" w:type="dxa"/>
            </w:tcMar>
            <w:vAlign w:val="bottom"/>
          </w:tcPr>
          <w:p w14:paraId="3B1318FB" w14:textId="77777777" w:rsidR="003F0EEA" w:rsidRDefault="003F0EEA">
            <w:pPr>
              <w:rPr>
                <w:rFonts w:ascii="Arial" w:eastAsia="Arial" w:hAnsi="Arial" w:cs="Arial"/>
                <w:color w:val="000000"/>
                <w:sz w:val="16"/>
                <w:vertAlign w:val="superscript"/>
              </w:rPr>
            </w:pP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66B23012" w14:textId="77777777" w:rsidR="003F0EEA" w:rsidRDefault="003F0EEA">
            <w:pPr>
              <w:rPr>
                <w:rFonts w:ascii="Arial" w:eastAsia="Arial" w:hAnsi="Arial" w:cs="Arial"/>
                <w:color w:val="000000"/>
                <w:sz w:val="16"/>
                <w:vertAlign w:val="superscript"/>
              </w:rPr>
            </w:pP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5CEB090A" w14:textId="77777777" w:rsidR="003F0EEA" w:rsidRDefault="003F0EEA">
            <w:pPr>
              <w:rPr>
                <w:rFonts w:ascii="Arial" w:eastAsia="Arial" w:hAnsi="Arial" w:cs="Arial"/>
                <w:color w:val="000000"/>
                <w:sz w:val="16"/>
                <w:vertAlign w:val="superscript"/>
              </w:rPr>
            </w:pP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3FC6B10E" w14:textId="77777777" w:rsidR="003F0EEA" w:rsidRDefault="003F0EEA">
            <w:pPr>
              <w:rPr>
                <w:rFonts w:ascii="Arial" w:eastAsia="Arial" w:hAnsi="Arial" w:cs="Arial"/>
                <w:color w:val="000000"/>
                <w:sz w:val="16"/>
                <w:vertAlign w:val="superscript"/>
              </w:rPr>
            </w:pPr>
          </w:p>
        </w:tc>
      </w:tr>
      <w:tr w:rsidR="00FB7D0B" w14:paraId="1812A3AA" w14:textId="77777777" w:rsidTr="00FB7D0B">
        <w:trPr>
          <w:trHeight w:val="225"/>
        </w:trPr>
        <w:tc>
          <w:tcPr>
            <w:tcW w:w="180" w:type="dxa"/>
            <w:tcBorders>
              <w:top w:val="nil"/>
              <w:left w:val="nil"/>
              <w:bottom w:val="nil"/>
              <w:right w:val="nil"/>
              <w:tl2br w:val="nil"/>
              <w:tr2bl w:val="nil"/>
            </w:tcBorders>
            <w:shd w:val="clear" w:color="auto" w:fill="FFFFFF"/>
            <w:tcMar>
              <w:left w:w="101" w:type="dxa"/>
              <w:right w:w="101" w:type="dxa"/>
            </w:tcMar>
            <w:vAlign w:val="bottom"/>
          </w:tcPr>
          <w:p w14:paraId="7943E3C2" w14:textId="77777777" w:rsidR="003F0EEA" w:rsidRDefault="003F0EEA">
            <w:pPr>
              <w:rPr>
                <w:rFonts w:ascii="Arial" w:eastAsia="Arial" w:hAnsi="Arial" w:cs="Arial"/>
                <w:color w:val="000000"/>
                <w:sz w:val="16"/>
                <w:vertAlign w:val="superscript"/>
              </w:rPr>
            </w:pPr>
          </w:p>
        </w:tc>
        <w:tc>
          <w:tcPr>
            <w:tcW w:w="2880" w:type="dxa"/>
            <w:gridSpan w:val="2"/>
            <w:tcBorders>
              <w:top w:val="nil"/>
              <w:left w:val="nil"/>
              <w:bottom w:val="nil"/>
              <w:right w:val="nil"/>
              <w:tl2br w:val="nil"/>
              <w:tr2bl w:val="nil"/>
            </w:tcBorders>
            <w:shd w:val="clear" w:color="auto" w:fill="FFFFFF"/>
            <w:tcMar>
              <w:left w:w="101" w:type="dxa"/>
              <w:right w:w="101" w:type="dxa"/>
            </w:tcMar>
            <w:vAlign w:val="bottom"/>
          </w:tcPr>
          <w:p w14:paraId="3C858E40" w14:textId="77777777" w:rsidR="003F0EEA" w:rsidRDefault="00FB7D0B">
            <w:pPr>
              <w:rPr>
                <w:rFonts w:ascii="Arial" w:eastAsia="Arial" w:hAnsi="Arial" w:cs="Arial"/>
                <w:color w:val="000000"/>
                <w:sz w:val="18"/>
                <w:vertAlign w:val="superscript"/>
              </w:rPr>
            </w:pPr>
            <w:r>
              <w:rPr>
                <w:rFonts w:ascii="Arial" w:eastAsia="Arial" w:hAnsi="Arial" w:cs="Arial"/>
                <w:color w:val="000000"/>
                <w:sz w:val="16"/>
              </w:rPr>
              <w:t>Purchase of non-financial assets</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6AAF01FE" w14:textId="77777777" w:rsidR="003F0EEA" w:rsidRDefault="00FB7D0B">
            <w:pPr>
              <w:jc w:val="right"/>
              <w:rPr>
                <w:rFonts w:ascii="Arial" w:eastAsia="Arial" w:hAnsi="Arial" w:cs="Arial"/>
                <w:color w:val="000000"/>
                <w:sz w:val="16"/>
                <w:vertAlign w:val="superscript"/>
              </w:rPr>
            </w:pPr>
            <w:r>
              <w:rPr>
                <w:rFonts w:ascii="Arial" w:eastAsia="Arial" w:hAnsi="Arial" w:cs="Arial"/>
                <w:color w:val="000000"/>
                <w:sz w:val="16"/>
              </w:rPr>
              <w:t xml:space="preserve"> 26,140 </w:t>
            </w:r>
          </w:p>
        </w:tc>
        <w:tc>
          <w:tcPr>
            <w:tcW w:w="915" w:type="dxa"/>
            <w:tcBorders>
              <w:top w:val="nil"/>
              <w:left w:val="nil"/>
              <w:bottom w:val="nil"/>
              <w:right w:val="nil"/>
              <w:tl2br w:val="nil"/>
              <w:tr2bl w:val="nil"/>
            </w:tcBorders>
            <w:shd w:val="clear" w:color="auto" w:fill="FFFF00"/>
            <w:tcMar>
              <w:left w:w="101" w:type="dxa"/>
              <w:right w:w="101" w:type="dxa"/>
            </w:tcMar>
            <w:vAlign w:val="bottom"/>
          </w:tcPr>
          <w:p w14:paraId="56EC57D2" w14:textId="77777777" w:rsidR="003F0EEA" w:rsidRDefault="00FB7D0B">
            <w:pPr>
              <w:jc w:val="right"/>
              <w:rPr>
                <w:rFonts w:ascii="Arial" w:eastAsia="Arial" w:hAnsi="Arial" w:cs="Arial"/>
                <w:color w:val="000000"/>
                <w:sz w:val="16"/>
              </w:rPr>
            </w:pPr>
            <w:r>
              <w:rPr>
                <w:rFonts w:ascii="Arial" w:eastAsia="Arial" w:hAnsi="Arial" w:cs="Arial"/>
                <w:color w:val="000000"/>
                <w:sz w:val="16"/>
              </w:rPr>
              <w:t xml:space="preserve"> 16,086 </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43F1F85E" w14:textId="77777777" w:rsidR="003F0EEA" w:rsidRDefault="00FB7D0B">
            <w:pPr>
              <w:jc w:val="right"/>
              <w:rPr>
                <w:rFonts w:ascii="Arial" w:eastAsia="Arial" w:hAnsi="Arial" w:cs="Arial"/>
                <w:color w:val="000000"/>
                <w:sz w:val="16"/>
              </w:rPr>
            </w:pPr>
            <w:r>
              <w:rPr>
                <w:rFonts w:ascii="Arial" w:eastAsia="Arial" w:hAnsi="Arial" w:cs="Arial"/>
                <w:color w:val="000000"/>
                <w:sz w:val="16"/>
              </w:rPr>
              <w:t xml:space="preserve"> 14,116 </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34D20943" w14:textId="77777777" w:rsidR="003F0EEA" w:rsidRDefault="00FB7D0B">
            <w:pPr>
              <w:jc w:val="right"/>
              <w:rPr>
                <w:rFonts w:ascii="Arial" w:eastAsia="Arial" w:hAnsi="Arial" w:cs="Arial"/>
                <w:color w:val="000000"/>
                <w:sz w:val="16"/>
              </w:rPr>
            </w:pPr>
            <w:r>
              <w:rPr>
                <w:rFonts w:ascii="Arial" w:eastAsia="Arial" w:hAnsi="Arial" w:cs="Arial"/>
                <w:color w:val="000000"/>
                <w:sz w:val="16"/>
              </w:rPr>
              <w:t xml:space="preserve"> 13,373 </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78BA2461" w14:textId="77777777" w:rsidR="003F0EEA" w:rsidRDefault="00FB7D0B">
            <w:pPr>
              <w:jc w:val="right"/>
              <w:rPr>
                <w:rFonts w:ascii="Arial" w:eastAsia="Arial" w:hAnsi="Arial" w:cs="Arial"/>
                <w:color w:val="000000"/>
                <w:sz w:val="16"/>
              </w:rPr>
            </w:pPr>
            <w:r>
              <w:rPr>
                <w:rFonts w:ascii="Arial" w:eastAsia="Arial" w:hAnsi="Arial" w:cs="Arial"/>
                <w:color w:val="000000"/>
                <w:sz w:val="16"/>
              </w:rPr>
              <w:t xml:space="preserve"> 14,036 </w:t>
            </w:r>
          </w:p>
        </w:tc>
      </w:tr>
      <w:tr w:rsidR="00FB7D0B" w14:paraId="2FCE6779" w14:textId="77777777" w:rsidTr="00FB7D0B">
        <w:trPr>
          <w:trHeight w:val="225"/>
        </w:trPr>
        <w:tc>
          <w:tcPr>
            <w:tcW w:w="3060" w:type="dxa"/>
            <w:gridSpan w:val="3"/>
            <w:tcBorders>
              <w:top w:val="nil"/>
              <w:left w:val="nil"/>
              <w:bottom w:val="nil"/>
              <w:right w:val="nil"/>
              <w:tl2br w:val="nil"/>
              <w:tr2bl w:val="nil"/>
            </w:tcBorders>
            <w:shd w:val="clear" w:color="auto" w:fill="FFFFFF"/>
            <w:tcMar>
              <w:left w:w="101" w:type="dxa"/>
              <w:right w:w="101" w:type="dxa"/>
            </w:tcMar>
            <w:vAlign w:val="bottom"/>
          </w:tcPr>
          <w:p w14:paraId="1E1D5F24" w14:textId="77777777" w:rsidR="003F0EEA" w:rsidRDefault="00FB7D0B">
            <w:pPr>
              <w:rPr>
                <w:rFonts w:ascii="Arial" w:eastAsia="Arial" w:hAnsi="Arial" w:cs="Arial"/>
                <w:color w:val="000000"/>
                <w:sz w:val="16"/>
              </w:rPr>
            </w:pPr>
            <w:r>
              <w:rPr>
                <w:rFonts w:ascii="Arial" w:eastAsia="Arial" w:hAnsi="Arial" w:cs="Arial"/>
                <w:b/>
                <w:color w:val="000000"/>
                <w:sz w:val="16"/>
              </w:rPr>
              <w:t>Total items</w:t>
            </w:r>
          </w:p>
        </w:tc>
        <w:tc>
          <w:tcPr>
            <w:tcW w:w="915"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67D7AC43" w14:textId="77777777" w:rsidR="003F0EEA" w:rsidRDefault="00FB7D0B">
            <w:pPr>
              <w:jc w:val="right"/>
              <w:rPr>
                <w:rFonts w:ascii="Arial" w:eastAsia="Arial" w:hAnsi="Arial" w:cs="Arial"/>
                <w:b/>
                <w:color w:val="000000"/>
                <w:sz w:val="16"/>
                <w:vertAlign w:val="superscript"/>
              </w:rPr>
            </w:pPr>
            <w:r>
              <w:rPr>
                <w:rFonts w:ascii="Arial" w:eastAsia="Arial" w:hAnsi="Arial" w:cs="Arial"/>
                <w:b/>
                <w:color w:val="000000"/>
                <w:sz w:val="16"/>
              </w:rPr>
              <w:t xml:space="preserve"> 26,140 </w:t>
            </w:r>
          </w:p>
        </w:tc>
        <w:tc>
          <w:tcPr>
            <w:tcW w:w="915" w:type="dxa"/>
            <w:tcBorders>
              <w:top w:val="single" w:sz="6" w:space="0" w:color="000000"/>
              <w:left w:val="nil"/>
              <w:bottom w:val="single" w:sz="6" w:space="0" w:color="000000"/>
              <w:right w:val="nil"/>
              <w:tl2br w:val="nil"/>
              <w:tr2bl w:val="nil"/>
            </w:tcBorders>
            <w:shd w:val="clear" w:color="auto" w:fill="FFFF00"/>
            <w:tcMar>
              <w:left w:w="101" w:type="dxa"/>
              <w:right w:w="101" w:type="dxa"/>
            </w:tcMar>
            <w:vAlign w:val="bottom"/>
          </w:tcPr>
          <w:p w14:paraId="57F86B6B" w14:textId="77777777" w:rsidR="003F0EEA" w:rsidRDefault="00FB7D0B">
            <w:pPr>
              <w:jc w:val="right"/>
              <w:rPr>
                <w:rFonts w:ascii="Arial" w:eastAsia="Arial" w:hAnsi="Arial" w:cs="Arial"/>
                <w:b/>
                <w:color w:val="000000"/>
                <w:sz w:val="16"/>
              </w:rPr>
            </w:pPr>
            <w:r>
              <w:rPr>
                <w:rFonts w:ascii="Arial" w:eastAsia="Arial" w:hAnsi="Arial" w:cs="Arial"/>
                <w:b/>
                <w:color w:val="000000"/>
                <w:sz w:val="16"/>
              </w:rPr>
              <w:t xml:space="preserve"> 16,086 </w:t>
            </w:r>
          </w:p>
        </w:tc>
        <w:tc>
          <w:tcPr>
            <w:tcW w:w="915"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703DC2FB" w14:textId="77777777" w:rsidR="003F0EEA" w:rsidRDefault="00FB7D0B">
            <w:pPr>
              <w:jc w:val="right"/>
              <w:rPr>
                <w:rFonts w:ascii="Arial" w:eastAsia="Arial" w:hAnsi="Arial" w:cs="Arial"/>
                <w:b/>
                <w:color w:val="000000"/>
                <w:sz w:val="16"/>
              </w:rPr>
            </w:pPr>
            <w:r>
              <w:rPr>
                <w:rFonts w:ascii="Arial" w:eastAsia="Arial" w:hAnsi="Arial" w:cs="Arial"/>
                <w:b/>
                <w:color w:val="000000"/>
                <w:sz w:val="16"/>
              </w:rPr>
              <w:t xml:space="preserve"> 14,116 </w:t>
            </w:r>
          </w:p>
        </w:tc>
        <w:tc>
          <w:tcPr>
            <w:tcW w:w="915"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0C6E1298" w14:textId="77777777" w:rsidR="003F0EEA" w:rsidRDefault="00FB7D0B">
            <w:pPr>
              <w:jc w:val="right"/>
              <w:rPr>
                <w:rFonts w:ascii="Arial" w:eastAsia="Arial" w:hAnsi="Arial" w:cs="Arial"/>
                <w:b/>
                <w:color w:val="000000"/>
                <w:sz w:val="16"/>
              </w:rPr>
            </w:pPr>
            <w:r>
              <w:rPr>
                <w:rFonts w:ascii="Arial" w:eastAsia="Arial" w:hAnsi="Arial" w:cs="Arial"/>
                <w:b/>
                <w:color w:val="000000"/>
                <w:sz w:val="16"/>
              </w:rPr>
              <w:t xml:space="preserve"> 13,373 </w:t>
            </w:r>
          </w:p>
        </w:tc>
        <w:tc>
          <w:tcPr>
            <w:tcW w:w="915"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75CC0AFC" w14:textId="77777777" w:rsidR="003F0EEA" w:rsidRDefault="00FB7D0B">
            <w:pPr>
              <w:jc w:val="right"/>
              <w:rPr>
                <w:rFonts w:ascii="Arial" w:eastAsia="Arial" w:hAnsi="Arial" w:cs="Arial"/>
                <w:b/>
                <w:color w:val="000000"/>
                <w:sz w:val="16"/>
              </w:rPr>
            </w:pPr>
            <w:r>
              <w:rPr>
                <w:rFonts w:ascii="Arial" w:eastAsia="Arial" w:hAnsi="Arial" w:cs="Arial"/>
                <w:b/>
                <w:color w:val="000000"/>
                <w:sz w:val="16"/>
              </w:rPr>
              <w:t xml:space="preserve"> 14,036 </w:t>
            </w:r>
          </w:p>
        </w:tc>
      </w:tr>
      <w:tr w:rsidR="00724034" w14:paraId="6B092DF4" w14:textId="77777777">
        <w:trPr>
          <w:trHeight w:val="225"/>
        </w:trPr>
        <w:tc>
          <w:tcPr>
            <w:tcW w:w="180" w:type="dxa"/>
            <w:tcBorders>
              <w:top w:val="nil"/>
              <w:left w:val="nil"/>
              <w:bottom w:val="nil"/>
              <w:right w:val="nil"/>
              <w:tl2br w:val="nil"/>
              <w:tr2bl w:val="nil"/>
            </w:tcBorders>
            <w:shd w:val="clear" w:color="auto" w:fill="FFFFFF"/>
            <w:tcMar>
              <w:left w:w="101" w:type="dxa"/>
              <w:right w:w="101" w:type="dxa"/>
            </w:tcMar>
            <w:vAlign w:val="bottom"/>
          </w:tcPr>
          <w:p w14:paraId="1C64659A" w14:textId="77777777" w:rsidR="003F0EEA" w:rsidRDefault="003F0EEA">
            <w:pPr>
              <w:rPr>
                <w:rFonts w:ascii="Arial" w:eastAsia="Arial" w:hAnsi="Arial" w:cs="Arial"/>
                <w:b/>
                <w:color w:val="000000"/>
                <w:sz w:val="16"/>
              </w:rPr>
            </w:pPr>
          </w:p>
        </w:tc>
        <w:tc>
          <w:tcPr>
            <w:tcW w:w="180" w:type="dxa"/>
            <w:tcBorders>
              <w:top w:val="nil"/>
              <w:left w:val="nil"/>
              <w:bottom w:val="nil"/>
              <w:right w:val="nil"/>
              <w:tl2br w:val="nil"/>
              <w:tr2bl w:val="nil"/>
            </w:tcBorders>
            <w:shd w:val="clear" w:color="auto" w:fill="FFFFFF"/>
            <w:tcMar>
              <w:left w:w="101" w:type="dxa"/>
              <w:right w:w="101" w:type="dxa"/>
            </w:tcMar>
            <w:vAlign w:val="bottom"/>
          </w:tcPr>
          <w:p w14:paraId="529A73DA" w14:textId="77777777" w:rsidR="003F0EEA" w:rsidRDefault="003F0EEA">
            <w:pPr>
              <w:rPr>
                <w:rFonts w:ascii="Arial" w:eastAsia="Arial" w:hAnsi="Arial" w:cs="Arial"/>
                <w:color w:val="000000"/>
                <w:sz w:val="18"/>
              </w:rPr>
            </w:pPr>
          </w:p>
        </w:tc>
        <w:tc>
          <w:tcPr>
            <w:tcW w:w="2700" w:type="dxa"/>
            <w:tcBorders>
              <w:top w:val="nil"/>
              <w:left w:val="nil"/>
              <w:bottom w:val="nil"/>
              <w:right w:val="nil"/>
              <w:tl2br w:val="nil"/>
              <w:tr2bl w:val="nil"/>
            </w:tcBorders>
            <w:shd w:val="clear" w:color="auto" w:fill="FFFFFF"/>
            <w:tcMar>
              <w:left w:w="101" w:type="dxa"/>
              <w:right w:w="101" w:type="dxa"/>
            </w:tcMar>
            <w:vAlign w:val="bottom"/>
          </w:tcPr>
          <w:p w14:paraId="0A5B40CC" w14:textId="77777777" w:rsidR="003F0EEA" w:rsidRDefault="003F0EEA">
            <w:pPr>
              <w:rPr>
                <w:rFonts w:ascii="Arial" w:eastAsia="Arial" w:hAnsi="Arial" w:cs="Arial"/>
                <w:color w:val="000000"/>
                <w:sz w:val="18"/>
              </w:rPr>
            </w:pPr>
          </w:p>
        </w:tc>
        <w:tc>
          <w:tcPr>
            <w:tcW w:w="91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69D19A57" w14:textId="77777777" w:rsidR="003F0EEA" w:rsidRDefault="003F0EEA">
            <w:pPr>
              <w:rPr>
                <w:rFonts w:ascii="Arial" w:eastAsia="Arial" w:hAnsi="Arial" w:cs="Arial"/>
                <w:color w:val="000000"/>
                <w:sz w:val="16"/>
                <w:vertAlign w:val="superscript"/>
              </w:rPr>
            </w:pPr>
          </w:p>
        </w:tc>
        <w:tc>
          <w:tcPr>
            <w:tcW w:w="915" w:type="dxa"/>
            <w:tcBorders>
              <w:top w:val="single" w:sz="6" w:space="0" w:color="000000"/>
              <w:left w:val="nil"/>
              <w:bottom w:val="nil"/>
              <w:right w:val="nil"/>
              <w:tl2br w:val="nil"/>
              <w:tr2bl w:val="nil"/>
            </w:tcBorders>
            <w:shd w:val="clear" w:color="auto" w:fill="FFFF00"/>
            <w:tcMar>
              <w:left w:w="101" w:type="dxa"/>
              <w:right w:w="101" w:type="dxa"/>
            </w:tcMar>
            <w:vAlign w:val="bottom"/>
          </w:tcPr>
          <w:p w14:paraId="291AD958" w14:textId="77777777" w:rsidR="003F0EEA" w:rsidRDefault="003F0EEA">
            <w:pPr>
              <w:rPr>
                <w:rFonts w:ascii="Arial" w:eastAsia="Arial" w:hAnsi="Arial" w:cs="Arial"/>
                <w:color w:val="000000"/>
                <w:sz w:val="16"/>
                <w:vertAlign w:val="superscript"/>
              </w:rPr>
            </w:pPr>
          </w:p>
        </w:tc>
        <w:tc>
          <w:tcPr>
            <w:tcW w:w="91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0610C15D" w14:textId="77777777" w:rsidR="003F0EEA" w:rsidRDefault="003F0EEA">
            <w:pPr>
              <w:rPr>
                <w:rFonts w:ascii="Arial" w:eastAsia="Arial" w:hAnsi="Arial" w:cs="Arial"/>
                <w:color w:val="000000"/>
                <w:sz w:val="16"/>
                <w:vertAlign w:val="superscript"/>
              </w:rPr>
            </w:pPr>
          </w:p>
        </w:tc>
        <w:tc>
          <w:tcPr>
            <w:tcW w:w="91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4BD6CFB2" w14:textId="77777777" w:rsidR="003F0EEA" w:rsidRDefault="003F0EEA">
            <w:pPr>
              <w:rPr>
                <w:rFonts w:ascii="Arial" w:eastAsia="Arial" w:hAnsi="Arial" w:cs="Arial"/>
                <w:color w:val="000000"/>
                <w:sz w:val="16"/>
                <w:vertAlign w:val="superscript"/>
              </w:rPr>
            </w:pPr>
          </w:p>
        </w:tc>
        <w:tc>
          <w:tcPr>
            <w:tcW w:w="91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0AEAC160" w14:textId="77777777" w:rsidR="003F0EEA" w:rsidRDefault="003F0EEA">
            <w:pPr>
              <w:rPr>
                <w:rFonts w:ascii="Arial" w:eastAsia="Arial" w:hAnsi="Arial" w:cs="Arial"/>
                <w:color w:val="000000"/>
                <w:sz w:val="16"/>
                <w:vertAlign w:val="superscript"/>
              </w:rPr>
            </w:pPr>
          </w:p>
        </w:tc>
      </w:tr>
      <w:tr w:rsidR="00FB7D0B" w14:paraId="6E9FCFA6" w14:textId="77777777" w:rsidTr="00FB7D0B">
        <w:trPr>
          <w:trHeight w:val="225"/>
        </w:trPr>
        <w:tc>
          <w:tcPr>
            <w:tcW w:w="3975" w:type="dxa"/>
            <w:gridSpan w:val="4"/>
            <w:tcBorders>
              <w:top w:val="nil"/>
              <w:left w:val="nil"/>
              <w:bottom w:val="nil"/>
              <w:right w:val="nil"/>
              <w:tl2br w:val="nil"/>
              <w:tr2bl w:val="nil"/>
            </w:tcBorders>
            <w:shd w:val="clear" w:color="auto" w:fill="FFFFFF"/>
            <w:tcMar>
              <w:left w:w="101" w:type="dxa"/>
              <w:right w:w="101" w:type="dxa"/>
            </w:tcMar>
            <w:vAlign w:val="bottom"/>
          </w:tcPr>
          <w:p w14:paraId="5A34DEAD" w14:textId="77777777" w:rsidR="003F0EEA" w:rsidRDefault="00FB7D0B">
            <w:pPr>
              <w:rPr>
                <w:rFonts w:ascii="Arial" w:eastAsia="Arial" w:hAnsi="Arial" w:cs="Arial"/>
                <w:color w:val="000000"/>
                <w:sz w:val="16"/>
                <w:vertAlign w:val="superscript"/>
              </w:rPr>
            </w:pPr>
            <w:r>
              <w:rPr>
                <w:rFonts w:ascii="Arial" w:eastAsia="Arial" w:hAnsi="Arial" w:cs="Arial"/>
                <w:b/>
                <w:color w:val="000000"/>
                <w:sz w:val="16"/>
              </w:rPr>
              <w:t>PURCHASE OF NON-FINANCIAL ASSETS</w:t>
            </w:r>
          </w:p>
        </w:tc>
        <w:tc>
          <w:tcPr>
            <w:tcW w:w="915" w:type="dxa"/>
            <w:tcBorders>
              <w:top w:val="nil"/>
              <w:left w:val="nil"/>
              <w:bottom w:val="nil"/>
              <w:right w:val="nil"/>
              <w:tl2br w:val="nil"/>
              <w:tr2bl w:val="nil"/>
            </w:tcBorders>
            <w:shd w:val="clear" w:color="auto" w:fill="FFFF00"/>
            <w:tcMar>
              <w:left w:w="101" w:type="dxa"/>
              <w:right w:w="101" w:type="dxa"/>
            </w:tcMar>
            <w:vAlign w:val="bottom"/>
          </w:tcPr>
          <w:p w14:paraId="394F8890" w14:textId="77777777" w:rsidR="003F0EEA" w:rsidRDefault="003F0EEA">
            <w:pPr>
              <w:rPr>
                <w:rFonts w:ascii="Arial" w:eastAsia="Arial" w:hAnsi="Arial" w:cs="Arial"/>
                <w:b/>
                <w:color w:val="000000"/>
                <w:sz w:val="16"/>
              </w:rPr>
            </w:pP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3B36BD80" w14:textId="77777777" w:rsidR="003F0EEA" w:rsidRDefault="003F0EEA">
            <w:pPr>
              <w:rPr>
                <w:rFonts w:ascii="Arial" w:eastAsia="Arial" w:hAnsi="Arial" w:cs="Arial"/>
                <w:color w:val="000000"/>
                <w:sz w:val="16"/>
              </w:rPr>
            </w:pP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3E10B263" w14:textId="77777777" w:rsidR="003F0EEA" w:rsidRDefault="003F0EEA">
            <w:pPr>
              <w:rPr>
                <w:rFonts w:ascii="Arial" w:eastAsia="Arial" w:hAnsi="Arial" w:cs="Arial"/>
                <w:color w:val="000000"/>
                <w:sz w:val="16"/>
              </w:rPr>
            </w:pP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21986678" w14:textId="77777777" w:rsidR="003F0EEA" w:rsidRDefault="003F0EEA">
            <w:pPr>
              <w:rPr>
                <w:rFonts w:ascii="Arial" w:eastAsia="Arial" w:hAnsi="Arial" w:cs="Arial"/>
                <w:color w:val="000000"/>
                <w:sz w:val="16"/>
              </w:rPr>
            </w:pPr>
          </w:p>
        </w:tc>
      </w:tr>
      <w:tr w:rsidR="00FB7D0B" w14:paraId="4171FAEA" w14:textId="77777777" w:rsidTr="00FB7D0B">
        <w:trPr>
          <w:trHeight w:val="225"/>
        </w:trPr>
        <w:tc>
          <w:tcPr>
            <w:tcW w:w="180" w:type="dxa"/>
            <w:tcBorders>
              <w:top w:val="nil"/>
              <w:left w:val="nil"/>
              <w:bottom w:val="nil"/>
              <w:right w:val="nil"/>
              <w:tl2br w:val="nil"/>
              <w:tr2bl w:val="nil"/>
            </w:tcBorders>
            <w:shd w:val="clear" w:color="auto" w:fill="FFFFFF"/>
            <w:tcMar>
              <w:left w:w="101" w:type="dxa"/>
              <w:right w:w="101" w:type="dxa"/>
            </w:tcMar>
            <w:vAlign w:val="bottom"/>
          </w:tcPr>
          <w:p w14:paraId="03EE0D24" w14:textId="77777777" w:rsidR="003F0EEA" w:rsidRDefault="003F0EEA">
            <w:pPr>
              <w:rPr>
                <w:rFonts w:ascii="Arial" w:eastAsia="Arial" w:hAnsi="Arial" w:cs="Arial"/>
                <w:color w:val="000000"/>
                <w:sz w:val="16"/>
              </w:rPr>
            </w:pPr>
          </w:p>
        </w:tc>
        <w:tc>
          <w:tcPr>
            <w:tcW w:w="2880" w:type="dxa"/>
            <w:gridSpan w:val="2"/>
            <w:vMerge w:val="restart"/>
            <w:tcBorders>
              <w:top w:val="nil"/>
              <w:left w:val="nil"/>
              <w:bottom w:val="nil"/>
              <w:right w:val="nil"/>
              <w:tl2br w:val="nil"/>
              <w:tr2bl w:val="nil"/>
            </w:tcBorders>
            <w:shd w:val="clear" w:color="auto" w:fill="FFFFFF"/>
            <w:tcMar>
              <w:left w:w="101" w:type="dxa"/>
              <w:right w:w="101" w:type="dxa"/>
            </w:tcMar>
            <w:vAlign w:val="bottom"/>
          </w:tcPr>
          <w:p w14:paraId="5E7ADF0A" w14:textId="77777777" w:rsidR="003F0EEA" w:rsidRDefault="00FB7D0B">
            <w:pPr>
              <w:rPr>
                <w:rFonts w:ascii="Arial" w:eastAsia="Arial" w:hAnsi="Arial" w:cs="Arial"/>
                <w:color w:val="000000"/>
                <w:sz w:val="18"/>
              </w:rPr>
            </w:pPr>
            <w:r>
              <w:rPr>
                <w:rFonts w:ascii="Arial" w:eastAsia="Arial" w:hAnsi="Arial" w:cs="Arial"/>
                <w:color w:val="000000"/>
                <w:sz w:val="16"/>
              </w:rPr>
              <w:t>Funded by capital appropriations</w:t>
            </w:r>
            <w:r>
              <w:rPr>
                <w:rFonts w:ascii="Arial" w:eastAsia="Arial" w:hAnsi="Arial" w:cs="Arial"/>
                <w:color w:val="000000"/>
                <w:sz w:val="16"/>
                <w:vertAlign w:val="superscript"/>
              </w:rPr>
              <w:t>1 </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2ACB6EFB" w14:textId="77777777" w:rsidR="003F0EEA" w:rsidRDefault="00FB7D0B">
            <w:pPr>
              <w:jc w:val="right"/>
              <w:rPr>
                <w:rFonts w:ascii="Arial" w:eastAsia="Arial" w:hAnsi="Arial" w:cs="Arial"/>
                <w:color w:val="000000"/>
                <w:sz w:val="16"/>
                <w:vertAlign w:val="superscript"/>
              </w:rPr>
            </w:pPr>
            <w:r>
              <w:rPr>
                <w:rFonts w:ascii="Arial" w:eastAsia="Arial" w:hAnsi="Arial" w:cs="Arial"/>
                <w:color w:val="000000"/>
                <w:sz w:val="16"/>
              </w:rPr>
              <w:t xml:space="preserve"> 12,084 </w:t>
            </w:r>
          </w:p>
        </w:tc>
        <w:tc>
          <w:tcPr>
            <w:tcW w:w="915" w:type="dxa"/>
            <w:tcBorders>
              <w:top w:val="nil"/>
              <w:left w:val="nil"/>
              <w:bottom w:val="nil"/>
              <w:right w:val="nil"/>
              <w:tl2br w:val="nil"/>
              <w:tr2bl w:val="nil"/>
            </w:tcBorders>
            <w:shd w:val="clear" w:color="auto" w:fill="FFFF00"/>
            <w:tcMar>
              <w:left w:w="101" w:type="dxa"/>
              <w:right w:w="101" w:type="dxa"/>
            </w:tcMar>
            <w:vAlign w:val="bottom"/>
          </w:tcPr>
          <w:p w14:paraId="596D5FAF" w14:textId="77777777" w:rsidR="003F0EEA" w:rsidRDefault="00FB7D0B">
            <w:pPr>
              <w:jc w:val="right"/>
              <w:rPr>
                <w:rFonts w:ascii="Arial" w:eastAsia="Arial" w:hAnsi="Arial" w:cs="Arial"/>
                <w:color w:val="000000"/>
                <w:sz w:val="16"/>
              </w:rPr>
            </w:pPr>
            <w:r>
              <w:rPr>
                <w:rFonts w:ascii="Arial" w:eastAsia="Arial" w:hAnsi="Arial" w:cs="Arial"/>
                <w:color w:val="000000"/>
                <w:sz w:val="16"/>
              </w:rPr>
              <w:t xml:space="preserve"> 2,617 </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53FCA7DF" w14:textId="77777777" w:rsidR="003F0EEA" w:rsidRDefault="00FB7D0B">
            <w:pPr>
              <w:jc w:val="right"/>
              <w:rPr>
                <w:rFonts w:ascii="Arial" w:eastAsia="Arial" w:hAnsi="Arial" w:cs="Arial"/>
                <w:color w:val="000000"/>
                <w:sz w:val="16"/>
              </w:rPr>
            </w:pPr>
            <w:r>
              <w:rPr>
                <w:rFonts w:ascii="Arial" w:eastAsia="Arial" w:hAnsi="Arial" w:cs="Arial"/>
                <w:color w:val="000000"/>
                <w:sz w:val="16"/>
              </w:rPr>
              <w:t xml:space="preserve"> 760 </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1EC0F40D" w14:textId="77777777" w:rsidR="003F0EEA" w:rsidRDefault="00FB7D0B">
            <w:pPr>
              <w:jc w:val="right"/>
              <w:rPr>
                <w:rFonts w:ascii="Arial" w:eastAsia="Arial" w:hAnsi="Arial" w:cs="Arial"/>
                <w:color w:val="000000"/>
                <w:sz w:val="16"/>
              </w:rPr>
            </w:pPr>
            <w:r>
              <w:rPr>
                <w:rFonts w:ascii="Arial" w:eastAsia="Arial" w:hAnsi="Arial" w:cs="Arial"/>
                <w:color w:val="000000"/>
                <w:sz w:val="16"/>
              </w:rPr>
              <w:t xml:space="preserve"> - </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6B5F489F" w14:textId="77777777" w:rsidR="003F0EEA" w:rsidRDefault="00FB7D0B">
            <w:pPr>
              <w:jc w:val="right"/>
              <w:rPr>
                <w:rFonts w:ascii="Arial" w:eastAsia="Arial" w:hAnsi="Arial" w:cs="Arial"/>
                <w:color w:val="000000"/>
                <w:sz w:val="16"/>
              </w:rPr>
            </w:pPr>
            <w:r>
              <w:rPr>
                <w:rFonts w:ascii="Arial" w:eastAsia="Arial" w:hAnsi="Arial" w:cs="Arial"/>
                <w:color w:val="000000"/>
                <w:sz w:val="16"/>
              </w:rPr>
              <w:t xml:space="preserve"> - </w:t>
            </w:r>
          </w:p>
        </w:tc>
      </w:tr>
      <w:tr w:rsidR="00FB7D0B" w14:paraId="3B2CBE98" w14:textId="77777777" w:rsidTr="00FB7D0B">
        <w:trPr>
          <w:trHeight w:val="450"/>
        </w:trPr>
        <w:tc>
          <w:tcPr>
            <w:tcW w:w="180" w:type="dxa"/>
            <w:tcBorders>
              <w:top w:val="nil"/>
              <w:left w:val="nil"/>
              <w:bottom w:val="nil"/>
              <w:right w:val="nil"/>
              <w:tl2br w:val="nil"/>
              <w:tr2bl w:val="nil"/>
            </w:tcBorders>
            <w:shd w:val="clear" w:color="auto" w:fill="FFFFFF"/>
            <w:tcMar>
              <w:left w:w="101" w:type="dxa"/>
              <w:right w:w="101" w:type="dxa"/>
            </w:tcMar>
            <w:vAlign w:val="bottom"/>
          </w:tcPr>
          <w:p w14:paraId="4CB3C64A" w14:textId="77777777" w:rsidR="003F0EEA" w:rsidRDefault="003F0EEA">
            <w:pPr>
              <w:rPr>
                <w:rFonts w:ascii="Arial" w:eastAsia="Arial" w:hAnsi="Arial" w:cs="Arial"/>
                <w:color w:val="000000"/>
                <w:sz w:val="16"/>
              </w:rPr>
            </w:pPr>
          </w:p>
        </w:tc>
        <w:tc>
          <w:tcPr>
            <w:tcW w:w="2880" w:type="dxa"/>
            <w:gridSpan w:val="2"/>
            <w:vMerge w:val="restart"/>
            <w:tcBorders>
              <w:top w:val="nil"/>
              <w:left w:val="nil"/>
              <w:bottom w:val="nil"/>
              <w:right w:val="nil"/>
              <w:tl2br w:val="nil"/>
              <w:tr2bl w:val="nil"/>
            </w:tcBorders>
            <w:shd w:val="clear" w:color="auto" w:fill="FFFFFF"/>
            <w:tcMar>
              <w:left w:w="101" w:type="dxa"/>
              <w:right w:w="101" w:type="dxa"/>
            </w:tcMar>
            <w:vAlign w:val="bottom"/>
          </w:tcPr>
          <w:p w14:paraId="27CAD236" w14:textId="77777777" w:rsidR="003F0EEA" w:rsidRDefault="00FB7D0B">
            <w:pPr>
              <w:rPr>
                <w:rFonts w:ascii="Arial" w:eastAsia="Arial" w:hAnsi="Arial" w:cs="Arial"/>
                <w:color w:val="000000"/>
                <w:sz w:val="18"/>
              </w:rPr>
            </w:pPr>
            <w:r>
              <w:rPr>
                <w:rFonts w:ascii="Arial" w:eastAsia="Arial" w:hAnsi="Arial" w:cs="Arial"/>
                <w:color w:val="000000"/>
                <w:sz w:val="16"/>
              </w:rPr>
              <w:t>Funded by capital appropriations - Departmental Capital Budget</w:t>
            </w:r>
            <w:r>
              <w:rPr>
                <w:rFonts w:ascii="Arial" w:eastAsia="Arial" w:hAnsi="Arial" w:cs="Arial"/>
                <w:color w:val="000000"/>
                <w:sz w:val="16"/>
                <w:vertAlign w:val="superscript"/>
              </w:rPr>
              <w:t>2 </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2AEF267A" w14:textId="77777777" w:rsidR="003F0EEA" w:rsidRDefault="00FB7D0B">
            <w:pPr>
              <w:jc w:val="right"/>
              <w:rPr>
                <w:rFonts w:ascii="Arial" w:eastAsia="Arial" w:hAnsi="Arial" w:cs="Arial"/>
                <w:color w:val="000000"/>
                <w:sz w:val="16"/>
                <w:vertAlign w:val="superscript"/>
              </w:rPr>
            </w:pPr>
            <w:r>
              <w:rPr>
                <w:rFonts w:ascii="Arial" w:eastAsia="Arial" w:hAnsi="Arial" w:cs="Arial"/>
                <w:color w:val="000000"/>
                <w:sz w:val="16"/>
              </w:rPr>
              <w:t xml:space="preserve"> 14,056 </w:t>
            </w:r>
          </w:p>
        </w:tc>
        <w:tc>
          <w:tcPr>
            <w:tcW w:w="915" w:type="dxa"/>
            <w:tcBorders>
              <w:top w:val="nil"/>
              <w:left w:val="nil"/>
              <w:bottom w:val="nil"/>
              <w:right w:val="nil"/>
              <w:tl2br w:val="nil"/>
              <w:tr2bl w:val="nil"/>
            </w:tcBorders>
            <w:shd w:val="clear" w:color="auto" w:fill="FFFF00"/>
            <w:tcMar>
              <w:left w:w="101" w:type="dxa"/>
              <w:right w:w="101" w:type="dxa"/>
            </w:tcMar>
            <w:vAlign w:val="bottom"/>
          </w:tcPr>
          <w:p w14:paraId="33A3ED63" w14:textId="77777777" w:rsidR="003F0EEA" w:rsidRDefault="00FB7D0B">
            <w:pPr>
              <w:jc w:val="right"/>
              <w:rPr>
                <w:rFonts w:ascii="Arial" w:eastAsia="Arial" w:hAnsi="Arial" w:cs="Arial"/>
                <w:color w:val="000000"/>
                <w:sz w:val="16"/>
              </w:rPr>
            </w:pPr>
            <w:r>
              <w:rPr>
                <w:rFonts w:ascii="Arial" w:eastAsia="Arial" w:hAnsi="Arial" w:cs="Arial"/>
                <w:color w:val="000000"/>
                <w:sz w:val="16"/>
              </w:rPr>
              <w:t xml:space="preserve"> 13,469 </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32D6CB5A" w14:textId="77777777" w:rsidR="003F0EEA" w:rsidRDefault="00FB7D0B">
            <w:pPr>
              <w:jc w:val="right"/>
              <w:rPr>
                <w:rFonts w:ascii="Arial" w:eastAsia="Arial" w:hAnsi="Arial" w:cs="Arial"/>
                <w:color w:val="000000"/>
                <w:sz w:val="16"/>
              </w:rPr>
            </w:pPr>
            <w:r>
              <w:rPr>
                <w:rFonts w:ascii="Arial" w:eastAsia="Arial" w:hAnsi="Arial" w:cs="Arial"/>
                <w:color w:val="000000"/>
                <w:sz w:val="16"/>
              </w:rPr>
              <w:t xml:space="preserve"> 13,356 </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7544141C" w14:textId="77777777" w:rsidR="003F0EEA" w:rsidRDefault="00FB7D0B">
            <w:pPr>
              <w:jc w:val="right"/>
              <w:rPr>
                <w:rFonts w:ascii="Arial" w:eastAsia="Arial" w:hAnsi="Arial" w:cs="Arial"/>
                <w:color w:val="000000"/>
                <w:sz w:val="16"/>
              </w:rPr>
            </w:pPr>
            <w:r>
              <w:rPr>
                <w:rFonts w:ascii="Arial" w:eastAsia="Arial" w:hAnsi="Arial" w:cs="Arial"/>
                <w:color w:val="000000"/>
                <w:sz w:val="16"/>
              </w:rPr>
              <w:t xml:space="preserve"> 13,373 </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4FC45CE6" w14:textId="77777777" w:rsidR="003F0EEA" w:rsidRDefault="00FB7D0B">
            <w:pPr>
              <w:jc w:val="right"/>
              <w:rPr>
                <w:rFonts w:ascii="Arial" w:eastAsia="Arial" w:hAnsi="Arial" w:cs="Arial"/>
                <w:color w:val="000000"/>
                <w:sz w:val="16"/>
              </w:rPr>
            </w:pPr>
            <w:r>
              <w:rPr>
                <w:rFonts w:ascii="Arial" w:eastAsia="Arial" w:hAnsi="Arial" w:cs="Arial"/>
                <w:color w:val="000000"/>
                <w:sz w:val="16"/>
              </w:rPr>
              <w:t xml:space="preserve"> 14,036 </w:t>
            </w:r>
          </w:p>
        </w:tc>
      </w:tr>
      <w:tr w:rsidR="00FB7D0B" w14:paraId="0132C5EA" w14:textId="77777777" w:rsidTr="00FB7D0B">
        <w:trPr>
          <w:trHeight w:val="450"/>
        </w:trPr>
        <w:tc>
          <w:tcPr>
            <w:tcW w:w="180" w:type="dxa"/>
            <w:tcBorders>
              <w:top w:val="nil"/>
              <w:left w:val="nil"/>
              <w:bottom w:val="nil"/>
              <w:right w:val="nil"/>
              <w:tl2br w:val="nil"/>
              <w:tr2bl w:val="nil"/>
            </w:tcBorders>
            <w:shd w:val="clear" w:color="auto" w:fill="FFFFFF"/>
            <w:tcMar>
              <w:left w:w="101" w:type="dxa"/>
              <w:right w:w="101" w:type="dxa"/>
            </w:tcMar>
            <w:vAlign w:val="bottom"/>
          </w:tcPr>
          <w:p w14:paraId="3E989B4B" w14:textId="77777777" w:rsidR="003F0EEA" w:rsidRDefault="003F0EEA">
            <w:pPr>
              <w:rPr>
                <w:rFonts w:ascii="Arial" w:eastAsia="Arial" w:hAnsi="Arial" w:cs="Arial"/>
                <w:color w:val="000000"/>
                <w:sz w:val="16"/>
              </w:rPr>
            </w:pPr>
          </w:p>
        </w:tc>
        <w:tc>
          <w:tcPr>
            <w:tcW w:w="2880" w:type="dxa"/>
            <w:gridSpan w:val="2"/>
            <w:tcBorders>
              <w:top w:val="nil"/>
              <w:left w:val="nil"/>
              <w:bottom w:val="nil"/>
              <w:right w:val="nil"/>
              <w:tl2br w:val="nil"/>
              <w:tr2bl w:val="nil"/>
            </w:tcBorders>
            <w:shd w:val="clear" w:color="auto" w:fill="FFFFFF"/>
            <w:tcMar>
              <w:left w:w="101" w:type="dxa"/>
              <w:right w:w="101" w:type="dxa"/>
            </w:tcMar>
            <w:vAlign w:val="bottom"/>
          </w:tcPr>
          <w:p w14:paraId="7F8A706C" w14:textId="77777777" w:rsidR="003F0EEA" w:rsidRDefault="00FB7D0B">
            <w:pPr>
              <w:rPr>
                <w:rFonts w:ascii="Arial" w:eastAsia="Arial" w:hAnsi="Arial" w:cs="Arial"/>
                <w:color w:val="000000"/>
                <w:sz w:val="18"/>
              </w:rPr>
            </w:pPr>
            <w:r>
              <w:rPr>
                <w:rFonts w:ascii="Arial" w:eastAsia="Arial" w:hAnsi="Arial" w:cs="Arial"/>
                <w:color w:val="000000"/>
                <w:sz w:val="16"/>
              </w:rPr>
              <w:t>Funded internally from Departmental resources</w:t>
            </w:r>
            <w:r>
              <w:rPr>
                <w:rFonts w:ascii="Arial" w:eastAsia="Arial" w:hAnsi="Arial" w:cs="Arial"/>
                <w:color w:val="000000"/>
                <w:sz w:val="16"/>
                <w:vertAlign w:val="superscript"/>
              </w:rPr>
              <w:t>3 </w:t>
            </w:r>
          </w:p>
        </w:tc>
        <w:tc>
          <w:tcPr>
            <w:tcW w:w="915"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7D07D9D0" w14:textId="77777777" w:rsidR="003F0EEA" w:rsidRDefault="00FB7D0B">
            <w:pPr>
              <w:jc w:val="right"/>
              <w:rPr>
                <w:rFonts w:ascii="Arial" w:eastAsia="Arial" w:hAnsi="Arial" w:cs="Arial"/>
                <w:color w:val="000000"/>
                <w:sz w:val="16"/>
                <w:vertAlign w:val="superscript"/>
              </w:rPr>
            </w:pPr>
            <w:r>
              <w:rPr>
                <w:rFonts w:ascii="Arial" w:eastAsia="Arial" w:hAnsi="Arial" w:cs="Arial"/>
                <w:color w:val="000000"/>
                <w:sz w:val="16"/>
              </w:rPr>
              <w:t xml:space="preserve"> 4,210 </w:t>
            </w:r>
          </w:p>
        </w:tc>
        <w:tc>
          <w:tcPr>
            <w:tcW w:w="915" w:type="dxa"/>
            <w:tcBorders>
              <w:top w:val="nil"/>
              <w:left w:val="nil"/>
              <w:bottom w:val="single" w:sz="6" w:space="0" w:color="000000"/>
              <w:right w:val="nil"/>
              <w:tl2br w:val="nil"/>
              <w:tr2bl w:val="nil"/>
            </w:tcBorders>
            <w:shd w:val="clear" w:color="auto" w:fill="FFFF00"/>
            <w:tcMar>
              <w:left w:w="101" w:type="dxa"/>
              <w:right w:w="101" w:type="dxa"/>
            </w:tcMar>
            <w:vAlign w:val="bottom"/>
          </w:tcPr>
          <w:p w14:paraId="313C070F" w14:textId="77777777" w:rsidR="003F0EEA" w:rsidRDefault="00FB7D0B">
            <w:pPr>
              <w:jc w:val="right"/>
              <w:rPr>
                <w:rFonts w:ascii="Arial" w:eastAsia="Arial" w:hAnsi="Arial" w:cs="Arial"/>
                <w:color w:val="000000"/>
                <w:sz w:val="16"/>
              </w:rPr>
            </w:pPr>
            <w:r>
              <w:rPr>
                <w:rFonts w:ascii="Arial" w:eastAsia="Arial" w:hAnsi="Arial" w:cs="Arial"/>
                <w:color w:val="000000"/>
                <w:sz w:val="16"/>
              </w:rPr>
              <w:t xml:space="preserve"> - </w:t>
            </w:r>
          </w:p>
        </w:tc>
        <w:tc>
          <w:tcPr>
            <w:tcW w:w="915"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66E7A616" w14:textId="77777777" w:rsidR="003F0EEA" w:rsidRDefault="00FB7D0B">
            <w:pPr>
              <w:jc w:val="right"/>
              <w:rPr>
                <w:rFonts w:ascii="Arial" w:eastAsia="Arial" w:hAnsi="Arial" w:cs="Arial"/>
                <w:color w:val="000000"/>
                <w:sz w:val="16"/>
              </w:rPr>
            </w:pPr>
            <w:r>
              <w:rPr>
                <w:rFonts w:ascii="Arial" w:eastAsia="Arial" w:hAnsi="Arial" w:cs="Arial"/>
                <w:color w:val="000000"/>
                <w:sz w:val="16"/>
              </w:rPr>
              <w:t xml:space="preserve"> - </w:t>
            </w:r>
          </w:p>
        </w:tc>
        <w:tc>
          <w:tcPr>
            <w:tcW w:w="915"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5FDB7973" w14:textId="77777777" w:rsidR="003F0EEA" w:rsidRDefault="00FB7D0B">
            <w:pPr>
              <w:jc w:val="right"/>
              <w:rPr>
                <w:rFonts w:ascii="Arial" w:eastAsia="Arial" w:hAnsi="Arial" w:cs="Arial"/>
                <w:color w:val="000000"/>
                <w:sz w:val="16"/>
              </w:rPr>
            </w:pPr>
            <w:r>
              <w:rPr>
                <w:rFonts w:ascii="Arial" w:eastAsia="Arial" w:hAnsi="Arial" w:cs="Arial"/>
                <w:color w:val="000000"/>
                <w:sz w:val="16"/>
              </w:rPr>
              <w:t xml:space="preserve"> - </w:t>
            </w:r>
          </w:p>
        </w:tc>
        <w:tc>
          <w:tcPr>
            <w:tcW w:w="915"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01CF1A5B" w14:textId="77777777" w:rsidR="003F0EEA" w:rsidRDefault="00FB7D0B">
            <w:pPr>
              <w:jc w:val="right"/>
              <w:rPr>
                <w:rFonts w:ascii="Arial" w:eastAsia="Arial" w:hAnsi="Arial" w:cs="Arial"/>
                <w:color w:val="000000"/>
                <w:sz w:val="16"/>
              </w:rPr>
            </w:pPr>
            <w:r>
              <w:rPr>
                <w:rFonts w:ascii="Arial" w:eastAsia="Arial" w:hAnsi="Arial" w:cs="Arial"/>
                <w:color w:val="000000"/>
                <w:sz w:val="16"/>
              </w:rPr>
              <w:t xml:space="preserve"> - </w:t>
            </w:r>
          </w:p>
        </w:tc>
      </w:tr>
      <w:tr w:rsidR="00FB7D0B" w14:paraId="674019CD" w14:textId="77777777" w:rsidTr="00FB7D0B">
        <w:trPr>
          <w:trHeight w:val="225"/>
        </w:trPr>
        <w:tc>
          <w:tcPr>
            <w:tcW w:w="3060" w:type="dxa"/>
            <w:gridSpan w:val="3"/>
            <w:tcBorders>
              <w:top w:val="nil"/>
              <w:left w:val="nil"/>
              <w:bottom w:val="nil"/>
              <w:right w:val="nil"/>
              <w:tl2br w:val="nil"/>
              <w:tr2bl w:val="nil"/>
            </w:tcBorders>
            <w:shd w:val="clear" w:color="auto" w:fill="FFFFFF"/>
            <w:tcMar>
              <w:left w:w="101" w:type="dxa"/>
              <w:right w:w="101" w:type="dxa"/>
            </w:tcMar>
            <w:vAlign w:val="bottom"/>
          </w:tcPr>
          <w:p w14:paraId="13DF65F9" w14:textId="77777777" w:rsidR="003F0EEA" w:rsidRDefault="00FB7D0B">
            <w:pPr>
              <w:rPr>
                <w:rFonts w:ascii="Arial" w:eastAsia="Arial" w:hAnsi="Arial" w:cs="Arial"/>
                <w:color w:val="000000"/>
                <w:sz w:val="16"/>
              </w:rPr>
            </w:pPr>
            <w:r>
              <w:rPr>
                <w:rFonts w:ascii="Arial" w:eastAsia="Arial" w:hAnsi="Arial" w:cs="Arial"/>
                <w:b/>
                <w:color w:val="000000"/>
                <w:sz w:val="16"/>
              </w:rPr>
              <w:t>TOTAL</w:t>
            </w:r>
          </w:p>
        </w:tc>
        <w:tc>
          <w:tcPr>
            <w:tcW w:w="915"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7C57C243" w14:textId="77777777" w:rsidR="003F0EEA" w:rsidRDefault="00FB7D0B">
            <w:pPr>
              <w:jc w:val="right"/>
              <w:rPr>
                <w:rFonts w:ascii="Arial" w:eastAsia="Arial" w:hAnsi="Arial" w:cs="Arial"/>
                <w:b/>
                <w:color w:val="000000"/>
                <w:sz w:val="16"/>
                <w:vertAlign w:val="superscript"/>
              </w:rPr>
            </w:pPr>
            <w:r>
              <w:rPr>
                <w:rFonts w:ascii="Arial" w:eastAsia="Arial" w:hAnsi="Arial" w:cs="Arial"/>
                <w:b/>
                <w:color w:val="000000"/>
                <w:sz w:val="16"/>
              </w:rPr>
              <w:t xml:space="preserve"> 30,350 </w:t>
            </w:r>
          </w:p>
        </w:tc>
        <w:tc>
          <w:tcPr>
            <w:tcW w:w="915" w:type="dxa"/>
            <w:tcBorders>
              <w:top w:val="single" w:sz="6" w:space="0" w:color="000000"/>
              <w:left w:val="nil"/>
              <w:bottom w:val="single" w:sz="6" w:space="0" w:color="000000"/>
              <w:right w:val="nil"/>
              <w:tl2br w:val="nil"/>
              <w:tr2bl w:val="nil"/>
            </w:tcBorders>
            <w:shd w:val="clear" w:color="auto" w:fill="FFFF00"/>
            <w:tcMar>
              <w:left w:w="101" w:type="dxa"/>
              <w:right w:w="101" w:type="dxa"/>
            </w:tcMar>
            <w:vAlign w:val="bottom"/>
          </w:tcPr>
          <w:p w14:paraId="4DC475FD" w14:textId="77777777" w:rsidR="003F0EEA" w:rsidRDefault="00FB7D0B">
            <w:pPr>
              <w:jc w:val="right"/>
              <w:rPr>
                <w:rFonts w:ascii="Arial" w:eastAsia="Arial" w:hAnsi="Arial" w:cs="Arial"/>
                <w:b/>
                <w:color w:val="000000"/>
                <w:sz w:val="16"/>
              </w:rPr>
            </w:pPr>
            <w:r>
              <w:rPr>
                <w:rFonts w:ascii="Arial" w:eastAsia="Arial" w:hAnsi="Arial" w:cs="Arial"/>
                <w:b/>
                <w:color w:val="000000"/>
                <w:sz w:val="16"/>
              </w:rPr>
              <w:t xml:space="preserve"> 16,086 </w:t>
            </w:r>
          </w:p>
        </w:tc>
        <w:tc>
          <w:tcPr>
            <w:tcW w:w="915"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04EF3B50" w14:textId="77777777" w:rsidR="003F0EEA" w:rsidRDefault="00FB7D0B">
            <w:pPr>
              <w:jc w:val="right"/>
              <w:rPr>
                <w:rFonts w:ascii="Arial" w:eastAsia="Arial" w:hAnsi="Arial" w:cs="Arial"/>
                <w:b/>
                <w:color w:val="000000"/>
                <w:sz w:val="16"/>
              </w:rPr>
            </w:pPr>
            <w:r>
              <w:rPr>
                <w:rFonts w:ascii="Arial" w:eastAsia="Arial" w:hAnsi="Arial" w:cs="Arial"/>
                <w:b/>
                <w:color w:val="000000"/>
                <w:sz w:val="16"/>
              </w:rPr>
              <w:t xml:space="preserve"> 14,116 </w:t>
            </w:r>
          </w:p>
        </w:tc>
        <w:tc>
          <w:tcPr>
            <w:tcW w:w="915"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68C31BB7" w14:textId="77777777" w:rsidR="003F0EEA" w:rsidRDefault="00FB7D0B">
            <w:pPr>
              <w:jc w:val="right"/>
              <w:rPr>
                <w:rFonts w:ascii="Arial" w:eastAsia="Arial" w:hAnsi="Arial" w:cs="Arial"/>
                <w:b/>
                <w:color w:val="000000"/>
                <w:sz w:val="16"/>
              </w:rPr>
            </w:pPr>
            <w:r>
              <w:rPr>
                <w:rFonts w:ascii="Arial" w:eastAsia="Arial" w:hAnsi="Arial" w:cs="Arial"/>
                <w:b/>
                <w:color w:val="000000"/>
                <w:sz w:val="16"/>
              </w:rPr>
              <w:t xml:space="preserve"> 13,373 </w:t>
            </w:r>
          </w:p>
        </w:tc>
        <w:tc>
          <w:tcPr>
            <w:tcW w:w="915"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200B2967" w14:textId="77777777" w:rsidR="003F0EEA" w:rsidRDefault="00FB7D0B">
            <w:pPr>
              <w:jc w:val="right"/>
              <w:rPr>
                <w:rFonts w:ascii="Arial" w:eastAsia="Arial" w:hAnsi="Arial" w:cs="Arial"/>
                <w:b/>
                <w:color w:val="000000"/>
                <w:sz w:val="16"/>
              </w:rPr>
            </w:pPr>
            <w:r>
              <w:rPr>
                <w:rFonts w:ascii="Arial" w:eastAsia="Arial" w:hAnsi="Arial" w:cs="Arial"/>
                <w:b/>
                <w:color w:val="000000"/>
                <w:sz w:val="16"/>
              </w:rPr>
              <w:t xml:space="preserve"> 14,036 </w:t>
            </w:r>
          </w:p>
        </w:tc>
      </w:tr>
      <w:tr w:rsidR="00724034" w14:paraId="1F435006" w14:textId="77777777">
        <w:trPr>
          <w:trHeight w:val="225"/>
        </w:trPr>
        <w:tc>
          <w:tcPr>
            <w:tcW w:w="180" w:type="dxa"/>
            <w:tcBorders>
              <w:top w:val="nil"/>
              <w:left w:val="nil"/>
              <w:bottom w:val="nil"/>
              <w:right w:val="nil"/>
              <w:tl2br w:val="nil"/>
              <w:tr2bl w:val="nil"/>
            </w:tcBorders>
            <w:shd w:val="clear" w:color="auto" w:fill="FFFFFF"/>
            <w:tcMar>
              <w:left w:w="101" w:type="dxa"/>
              <w:right w:w="101" w:type="dxa"/>
            </w:tcMar>
            <w:vAlign w:val="bottom"/>
          </w:tcPr>
          <w:p w14:paraId="212AAEF5" w14:textId="77777777" w:rsidR="003F0EEA" w:rsidRDefault="003F0EEA">
            <w:pPr>
              <w:rPr>
                <w:rFonts w:ascii="Arial" w:eastAsia="Arial" w:hAnsi="Arial" w:cs="Arial"/>
                <w:b/>
                <w:color w:val="000000"/>
                <w:sz w:val="16"/>
              </w:rPr>
            </w:pPr>
          </w:p>
        </w:tc>
        <w:tc>
          <w:tcPr>
            <w:tcW w:w="180" w:type="dxa"/>
            <w:tcBorders>
              <w:top w:val="nil"/>
              <w:left w:val="nil"/>
              <w:bottom w:val="nil"/>
              <w:right w:val="nil"/>
              <w:tl2br w:val="nil"/>
              <w:tr2bl w:val="nil"/>
            </w:tcBorders>
            <w:shd w:val="clear" w:color="auto" w:fill="FFFFFF"/>
            <w:tcMar>
              <w:left w:w="101" w:type="dxa"/>
              <w:right w:w="101" w:type="dxa"/>
            </w:tcMar>
            <w:vAlign w:val="bottom"/>
          </w:tcPr>
          <w:p w14:paraId="7D86AC8A" w14:textId="77777777" w:rsidR="003F0EEA" w:rsidRDefault="003F0EEA">
            <w:pPr>
              <w:rPr>
                <w:rFonts w:ascii="Arial" w:eastAsia="Arial" w:hAnsi="Arial" w:cs="Arial"/>
                <w:color w:val="000000"/>
                <w:sz w:val="18"/>
              </w:rPr>
            </w:pPr>
          </w:p>
        </w:tc>
        <w:tc>
          <w:tcPr>
            <w:tcW w:w="2700" w:type="dxa"/>
            <w:tcBorders>
              <w:top w:val="nil"/>
              <w:left w:val="nil"/>
              <w:bottom w:val="nil"/>
              <w:right w:val="nil"/>
              <w:tl2br w:val="nil"/>
              <w:tr2bl w:val="nil"/>
            </w:tcBorders>
            <w:shd w:val="clear" w:color="auto" w:fill="FFFFFF"/>
            <w:tcMar>
              <w:left w:w="101" w:type="dxa"/>
              <w:right w:w="101" w:type="dxa"/>
            </w:tcMar>
            <w:vAlign w:val="bottom"/>
          </w:tcPr>
          <w:p w14:paraId="32962B89" w14:textId="77777777" w:rsidR="003F0EEA" w:rsidRDefault="003F0EEA">
            <w:pPr>
              <w:rPr>
                <w:rFonts w:ascii="Arial" w:eastAsia="Arial" w:hAnsi="Arial" w:cs="Arial"/>
                <w:color w:val="000000"/>
                <w:sz w:val="18"/>
              </w:rPr>
            </w:pPr>
          </w:p>
        </w:tc>
        <w:tc>
          <w:tcPr>
            <w:tcW w:w="91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4610F4EB" w14:textId="77777777" w:rsidR="003F0EEA" w:rsidRDefault="003F0EEA">
            <w:pPr>
              <w:rPr>
                <w:rFonts w:ascii="Arial" w:eastAsia="Arial" w:hAnsi="Arial" w:cs="Arial"/>
                <w:color w:val="000000"/>
                <w:sz w:val="16"/>
                <w:vertAlign w:val="superscript"/>
              </w:rPr>
            </w:pPr>
          </w:p>
        </w:tc>
        <w:tc>
          <w:tcPr>
            <w:tcW w:w="915" w:type="dxa"/>
            <w:tcBorders>
              <w:top w:val="single" w:sz="6" w:space="0" w:color="000000"/>
              <w:left w:val="nil"/>
              <w:bottom w:val="nil"/>
              <w:right w:val="nil"/>
              <w:tl2br w:val="nil"/>
              <w:tr2bl w:val="nil"/>
            </w:tcBorders>
            <w:shd w:val="clear" w:color="auto" w:fill="FFFF00"/>
            <w:tcMar>
              <w:left w:w="101" w:type="dxa"/>
              <w:right w:w="101" w:type="dxa"/>
            </w:tcMar>
            <w:vAlign w:val="bottom"/>
          </w:tcPr>
          <w:p w14:paraId="1390C686" w14:textId="77777777" w:rsidR="003F0EEA" w:rsidRDefault="003F0EEA">
            <w:pPr>
              <w:rPr>
                <w:rFonts w:ascii="Arial" w:eastAsia="Arial" w:hAnsi="Arial" w:cs="Arial"/>
                <w:color w:val="000000"/>
                <w:sz w:val="16"/>
                <w:vertAlign w:val="superscript"/>
              </w:rPr>
            </w:pPr>
          </w:p>
        </w:tc>
        <w:tc>
          <w:tcPr>
            <w:tcW w:w="91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341CAC6A" w14:textId="77777777" w:rsidR="003F0EEA" w:rsidRDefault="003F0EEA">
            <w:pPr>
              <w:rPr>
                <w:rFonts w:ascii="Arial" w:eastAsia="Arial" w:hAnsi="Arial" w:cs="Arial"/>
                <w:color w:val="000000"/>
                <w:sz w:val="16"/>
                <w:vertAlign w:val="superscript"/>
              </w:rPr>
            </w:pPr>
          </w:p>
        </w:tc>
        <w:tc>
          <w:tcPr>
            <w:tcW w:w="91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4B0F3F04" w14:textId="77777777" w:rsidR="003F0EEA" w:rsidRDefault="003F0EEA">
            <w:pPr>
              <w:rPr>
                <w:rFonts w:ascii="Arial" w:eastAsia="Arial" w:hAnsi="Arial" w:cs="Arial"/>
                <w:color w:val="000000"/>
                <w:sz w:val="16"/>
                <w:vertAlign w:val="superscript"/>
              </w:rPr>
            </w:pPr>
          </w:p>
        </w:tc>
        <w:tc>
          <w:tcPr>
            <w:tcW w:w="91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22F1547F" w14:textId="77777777" w:rsidR="003F0EEA" w:rsidRDefault="003F0EEA">
            <w:pPr>
              <w:rPr>
                <w:rFonts w:ascii="Arial" w:eastAsia="Arial" w:hAnsi="Arial" w:cs="Arial"/>
                <w:color w:val="000000"/>
                <w:sz w:val="16"/>
                <w:vertAlign w:val="superscript"/>
              </w:rPr>
            </w:pPr>
          </w:p>
        </w:tc>
      </w:tr>
      <w:tr w:rsidR="00FB7D0B" w14:paraId="54FEC672" w14:textId="77777777" w:rsidTr="00FB7D0B">
        <w:trPr>
          <w:trHeight w:val="225"/>
        </w:trPr>
        <w:tc>
          <w:tcPr>
            <w:tcW w:w="3060" w:type="dxa"/>
            <w:gridSpan w:val="3"/>
            <w:tcBorders>
              <w:top w:val="nil"/>
              <w:left w:val="nil"/>
              <w:bottom w:val="nil"/>
              <w:right w:val="nil"/>
              <w:tl2br w:val="nil"/>
              <w:tr2bl w:val="nil"/>
            </w:tcBorders>
            <w:shd w:val="clear" w:color="auto" w:fill="FFFFFF"/>
            <w:tcMar>
              <w:left w:w="101" w:type="dxa"/>
              <w:right w:w="101" w:type="dxa"/>
            </w:tcMar>
            <w:vAlign w:val="bottom"/>
          </w:tcPr>
          <w:p w14:paraId="7461BF62" w14:textId="77777777" w:rsidR="003F0EEA" w:rsidRDefault="00FB7D0B">
            <w:pPr>
              <w:rPr>
                <w:rFonts w:ascii="Arial" w:eastAsia="Arial" w:hAnsi="Arial" w:cs="Arial"/>
                <w:color w:val="000000"/>
                <w:sz w:val="16"/>
                <w:vertAlign w:val="superscript"/>
              </w:rPr>
            </w:pPr>
            <w:r>
              <w:rPr>
                <w:rFonts w:ascii="Arial" w:eastAsia="Arial" w:hAnsi="Arial" w:cs="Arial"/>
                <w:b/>
                <w:color w:val="000000"/>
                <w:sz w:val="16"/>
              </w:rPr>
              <w:t>RECONCILIATION OF CASH</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64F7FE32" w14:textId="77777777" w:rsidR="003F0EEA" w:rsidRDefault="003F0EEA">
            <w:pPr>
              <w:rPr>
                <w:rFonts w:ascii="Arial" w:eastAsia="Arial" w:hAnsi="Arial" w:cs="Arial"/>
                <w:b/>
                <w:color w:val="000000"/>
                <w:sz w:val="16"/>
                <w:vertAlign w:val="superscript"/>
              </w:rPr>
            </w:pPr>
          </w:p>
        </w:tc>
        <w:tc>
          <w:tcPr>
            <w:tcW w:w="915" w:type="dxa"/>
            <w:tcBorders>
              <w:top w:val="nil"/>
              <w:left w:val="nil"/>
              <w:bottom w:val="nil"/>
              <w:right w:val="nil"/>
              <w:tl2br w:val="nil"/>
              <w:tr2bl w:val="nil"/>
            </w:tcBorders>
            <w:shd w:val="clear" w:color="auto" w:fill="FFFF00"/>
            <w:tcMar>
              <w:left w:w="101" w:type="dxa"/>
              <w:right w:w="101" w:type="dxa"/>
            </w:tcMar>
            <w:vAlign w:val="bottom"/>
          </w:tcPr>
          <w:p w14:paraId="18DFBE13" w14:textId="77777777" w:rsidR="003F0EEA" w:rsidRDefault="003F0EEA">
            <w:pPr>
              <w:rPr>
                <w:rFonts w:ascii="Arial" w:eastAsia="Arial" w:hAnsi="Arial" w:cs="Arial"/>
                <w:color w:val="000000"/>
                <w:sz w:val="16"/>
                <w:vertAlign w:val="superscript"/>
              </w:rPr>
            </w:pP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5A8BA6AF" w14:textId="77777777" w:rsidR="003F0EEA" w:rsidRDefault="003F0EEA">
            <w:pPr>
              <w:rPr>
                <w:rFonts w:ascii="Arial" w:eastAsia="Arial" w:hAnsi="Arial" w:cs="Arial"/>
                <w:color w:val="000000"/>
                <w:sz w:val="16"/>
                <w:vertAlign w:val="superscript"/>
              </w:rPr>
            </w:pP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3A8661DD" w14:textId="77777777" w:rsidR="003F0EEA" w:rsidRDefault="003F0EEA">
            <w:pPr>
              <w:rPr>
                <w:rFonts w:ascii="Arial" w:eastAsia="Arial" w:hAnsi="Arial" w:cs="Arial"/>
                <w:color w:val="000000"/>
                <w:sz w:val="16"/>
                <w:vertAlign w:val="superscript"/>
              </w:rPr>
            </w:pP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50653067" w14:textId="77777777" w:rsidR="003F0EEA" w:rsidRDefault="003F0EEA">
            <w:pPr>
              <w:rPr>
                <w:rFonts w:ascii="Arial" w:eastAsia="Arial" w:hAnsi="Arial" w:cs="Arial"/>
                <w:color w:val="000000"/>
                <w:sz w:val="16"/>
                <w:vertAlign w:val="superscript"/>
              </w:rPr>
            </w:pPr>
          </w:p>
        </w:tc>
      </w:tr>
      <w:tr w:rsidR="00FB7D0B" w14:paraId="745CF359" w14:textId="77777777" w:rsidTr="00FB7D0B">
        <w:trPr>
          <w:trHeight w:val="225"/>
        </w:trPr>
        <w:tc>
          <w:tcPr>
            <w:tcW w:w="180" w:type="dxa"/>
            <w:tcBorders>
              <w:top w:val="nil"/>
              <w:left w:val="nil"/>
              <w:bottom w:val="nil"/>
              <w:right w:val="nil"/>
              <w:tl2br w:val="nil"/>
              <w:tr2bl w:val="nil"/>
            </w:tcBorders>
            <w:shd w:val="clear" w:color="auto" w:fill="FFFFFF"/>
            <w:tcMar>
              <w:left w:w="101" w:type="dxa"/>
              <w:right w:w="101" w:type="dxa"/>
            </w:tcMar>
            <w:vAlign w:val="bottom"/>
          </w:tcPr>
          <w:p w14:paraId="4D0FD3E3" w14:textId="77777777" w:rsidR="003F0EEA" w:rsidRDefault="003F0EEA">
            <w:pPr>
              <w:rPr>
                <w:rFonts w:ascii="Arial" w:eastAsia="Arial" w:hAnsi="Arial" w:cs="Arial"/>
                <w:color w:val="000000"/>
                <w:sz w:val="16"/>
                <w:vertAlign w:val="superscript"/>
              </w:rPr>
            </w:pPr>
          </w:p>
        </w:tc>
        <w:tc>
          <w:tcPr>
            <w:tcW w:w="2880" w:type="dxa"/>
            <w:gridSpan w:val="2"/>
            <w:vMerge w:val="restart"/>
            <w:tcBorders>
              <w:top w:val="nil"/>
              <w:left w:val="nil"/>
              <w:bottom w:val="nil"/>
              <w:right w:val="nil"/>
              <w:tl2br w:val="nil"/>
              <w:tr2bl w:val="nil"/>
            </w:tcBorders>
            <w:shd w:val="clear" w:color="auto" w:fill="FFFFFF"/>
            <w:tcMar>
              <w:left w:w="101" w:type="dxa"/>
              <w:right w:w="101" w:type="dxa"/>
            </w:tcMar>
            <w:vAlign w:val="bottom"/>
          </w:tcPr>
          <w:p w14:paraId="73408873" w14:textId="77777777" w:rsidR="003F0EEA" w:rsidRDefault="00FB7D0B">
            <w:pPr>
              <w:rPr>
                <w:rFonts w:ascii="Arial" w:eastAsia="Arial" w:hAnsi="Arial" w:cs="Arial"/>
                <w:color w:val="000000"/>
                <w:sz w:val="18"/>
                <w:vertAlign w:val="superscript"/>
              </w:rPr>
            </w:pPr>
            <w:r>
              <w:rPr>
                <w:rFonts w:ascii="Arial" w:eastAsia="Arial" w:hAnsi="Arial" w:cs="Arial"/>
                <w:b/>
                <w:color w:val="000000"/>
                <w:sz w:val="16"/>
              </w:rPr>
              <w:t>USED TO ACQUIRE ASSETS</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0DBF8D94" w14:textId="77777777" w:rsidR="003F0EEA" w:rsidRDefault="003F0EEA">
            <w:pPr>
              <w:rPr>
                <w:rFonts w:ascii="Arial" w:eastAsia="Arial" w:hAnsi="Arial" w:cs="Arial"/>
                <w:b/>
                <w:color w:val="000000"/>
                <w:sz w:val="16"/>
                <w:vertAlign w:val="superscript"/>
              </w:rPr>
            </w:pPr>
          </w:p>
        </w:tc>
        <w:tc>
          <w:tcPr>
            <w:tcW w:w="915" w:type="dxa"/>
            <w:tcBorders>
              <w:top w:val="nil"/>
              <w:left w:val="nil"/>
              <w:bottom w:val="nil"/>
              <w:right w:val="nil"/>
              <w:tl2br w:val="nil"/>
              <w:tr2bl w:val="nil"/>
            </w:tcBorders>
            <w:shd w:val="clear" w:color="auto" w:fill="FFFF00"/>
            <w:tcMar>
              <w:left w:w="101" w:type="dxa"/>
              <w:right w:w="101" w:type="dxa"/>
            </w:tcMar>
            <w:vAlign w:val="bottom"/>
          </w:tcPr>
          <w:p w14:paraId="08A72C87" w14:textId="77777777" w:rsidR="003F0EEA" w:rsidRDefault="003F0EEA">
            <w:pPr>
              <w:rPr>
                <w:rFonts w:ascii="Arial" w:eastAsia="Arial" w:hAnsi="Arial" w:cs="Arial"/>
                <w:color w:val="000000"/>
                <w:sz w:val="16"/>
                <w:vertAlign w:val="superscript"/>
              </w:rPr>
            </w:pP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1063EEA5" w14:textId="77777777" w:rsidR="003F0EEA" w:rsidRDefault="003F0EEA">
            <w:pPr>
              <w:rPr>
                <w:rFonts w:ascii="Arial" w:eastAsia="Arial" w:hAnsi="Arial" w:cs="Arial"/>
                <w:color w:val="000000"/>
                <w:sz w:val="16"/>
                <w:vertAlign w:val="superscript"/>
              </w:rPr>
            </w:pP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64C6DAE0" w14:textId="77777777" w:rsidR="003F0EEA" w:rsidRDefault="003F0EEA">
            <w:pPr>
              <w:rPr>
                <w:rFonts w:ascii="Arial" w:eastAsia="Arial" w:hAnsi="Arial" w:cs="Arial"/>
                <w:color w:val="000000"/>
                <w:sz w:val="16"/>
                <w:vertAlign w:val="superscript"/>
              </w:rPr>
            </w:pP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3BC7A049" w14:textId="77777777" w:rsidR="003F0EEA" w:rsidRDefault="003F0EEA">
            <w:pPr>
              <w:rPr>
                <w:rFonts w:ascii="Arial" w:eastAsia="Arial" w:hAnsi="Arial" w:cs="Arial"/>
                <w:color w:val="000000"/>
                <w:sz w:val="16"/>
                <w:vertAlign w:val="superscript"/>
              </w:rPr>
            </w:pPr>
          </w:p>
        </w:tc>
      </w:tr>
      <w:tr w:rsidR="00FB7D0B" w14:paraId="01EBE035" w14:textId="77777777" w:rsidTr="00FB7D0B">
        <w:trPr>
          <w:trHeight w:val="225"/>
        </w:trPr>
        <w:tc>
          <w:tcPr>
            <w:tcW w:w="180" w:type="dxa"/>
            <w:tcBorders>
              <w:top w:val="nil"/>
              <w:left w:val="nil"/>
              <w:bottom w:val="nil"/>
              <w:right w:val="nil"/>
              <w:tl2br w:val="nil"/>
              <w:tr2bl w:val="nil"/>
            </w:tcBorders>
            <w:shd w:val="clear" w:color="auto" w:fill="FFFFFF"/>
            <w:tcMar>
              <w:left w:w="101" w:type="dxa"/>
              <w:right w:w="101" w:type="dxa"/>
            </w:tcMar>
            <w:vAlign w:val="bottom"/>
          </w:tcPr>
          <w:p w14:paraId="2CF08D93" w14:textId="77777777" w:rsidR="003F0EEA" w:rsidRDefault="003F0EEA">
            <w:pPr>
              <w:rPr>
                <w:rFonts w:ascii="Arial" w:eastAsia="Arial" w:hAnsi="Arial" w:cs="Arial"/>
                <w:color w:val="000000"/>
                <w:sz w:val="16"/>
                <w:vertAlign w:val="superscript"/>
              </w:rPr>
            </w:pPr>
          </w:p>
        </w:tc>
        <w:tc>
          <w:tcPr>
            <w:tcW w:w="2880" w:type="dxa"/>
            <w:gridSpan w:val="2"/>
            <w:vMerge w:val="restart"/>
            <w:tcBorders>
              <w:top w:val="nil"/>
              <w:left w:val="nil"/>
              <w:bottom w:val="nil"/>
              <w:right w:val="nil"/>
              <w:tl2br w:val="nil"/>
              <w:tr2bl w:val="nil"/>
            </w:tcBorders>
            <w:shd w:val="clear" w:color="auto" w:fill="FFFFFF"/>
            <w:tcMar>
              <w:left w:w="101" w:type="dxa"/>
              <w:right w:w="101" w:type="dxa"/>
            </w:tcMar>
            <w:vAlign w:val="bottom"/>
          </w:tcPr>
          <w:p w14:paraId="23741E24" w14:textId="77777777" w:rsidR="003F0EEA" w:rsidRDefault="00FB7D0B">
            <w:pPr>
              <w:rPr>
                <w:rFonts w:ascii="Arial" w:eastAsia="Arial" w:hAnsi="Arial" w:cs="Arial"/>
                <w:color w:val="000000"/>
                <w:sz w:val="18"/>
                <w:vertAlign w:val="superscript"/>
              </w:rPr>
            </w:pPr>
            <w:r>
              <w:rPr>
                <w:rFonts w:ascii="Arial" w:eastAsia="Arial" w:hAnsi="Arial" w:cs="Arial"/>
                <w:b/>
                <w:color w:val="000000"/>
                <w:sz w:val="16"/>
              </w:rPr>
              <w:t>TO ASSET MOVEMENT TABLE</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38B50779" w14:textId="77777777" w:rsidR="003F0EEA" w:rsidRDefault="003F0EEA">
            <w:pPr>
              <w:rPr>
                <w:rFonts w:ascii="Arial" w:eastAsia="Arial" w:hAnsi="Arial" w:cs="Arial"/>
                <w:b/>
                <w:color w:val="000000"/>
                <w:sz w:val="16"/>
                <w:vertAlign w:val="superscript"/>
              </w:rPr>
            </w:pPr>
          </w:p>
        </w:tc>
        <w:tc>
          <w:tcPr>
            <w:tcW w:w="915" w:type="dxa"/>
            <w:tcBorders>
              <w:top w:val="nil"/>
              <w:left w:val="nil"/>
              <w:bottom w:val="nil"/>
              <w:right w:val="nil"/>
              <w:tl2br w:val="nil"/>
              <w:tr2bl w:val="nil"/>
            </w:tcBorders>
            <w:shd w:val="clear" w:color="auto" w:fill="FFFF00"/>
            <w:tcMar>
              <w:left w:w="101" w:type="dxa"/>
              <w:right w:w="101" w:type="dxa"/>
            </w:tcMar>
            <w:vAlign w:val="bottom"/>
          </w:tcPr>
          <w:p w14:paraId="13EC6FDF" w14:textId="77777777" w:rsidR="003F0EEA" w:rsidRDefault="003F0EEA">
            <w:pPr>
              <w:rPr>
                <w:rFonts w:ascii="Arial" w:eastAsia="Arial" w:hAnsi="Arial" w:cs="Arial"/>
                <w:color w:val="000000"/>
                <w:sz w:val="16"/>
                <w:vertAlign w:val="superscript"/>
              </w:rPr>
            </w:pP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708C795A" w14:textId="77777777" w:rsidR="003F0EEA" w:rsidRDefault="003F0EEA">
            <w:pPr>
              <w:rPr>
                <w:rFonts w:ascii="Arial" w:eastAsia="Arial" w:hAnsi="Arial" w:cs="Arial"/>
                <w:color w:val="000000"/>
                <w:sz w:val="16"/>
                <w:vertAlign w:val="superscript"/>
              </w:rPr>
            </w:pP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58186C80" w14:textId="77777777" w:rsidR="003F0EEA" w:rsidRDefault="003F0EEA">
            <w:pPr>
              <w:rPr>
                <w:rFonts w:ascii="Arial" w:eastAsia="Arial" w:hAnsi="Arial" w:cs="Arial"/>
                <w:color w:val="000000"/>
                <w:sz w:val="16"/>
                <w:vertAlign w:val="superscript"/>
              </w:rPr>
            </w:pP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3C075F9D" w14:textId="77777777" w:rsidR="003F0EEA" w:rsidRDefault="003F0EEA">
            <w:pPr>
              <w:rPr>
                <w:rFonts w:ascii="Arial" w:eastAsia="Arial" w:hAnsi="Arial" w:cs="Arial"/>
                <w:color w:val="000000"/>
                <w:sz w:val="16"/>
                <w:vertAlign w:val="superscript"/>
              </w:rPr>
            </w:pPr>
          </w:p>
        </w:tc>
      </w:tr>
      <w:tr w:rsidR="00FB7D0B" w14:paraId="2D64547C" w14:textId="77777777" w:rsidTr="00FB7D0B">
        <w:trPr>
          <w:trHeight w:val="225"/>
        </w:trPr>
        <w:tc>
          <w:tcPr>
            <w:tcW w:w="180" w:type="dxa"/>
            <w:tcBorders>
              <w:top w:val="nil"/>
              <w:left w:val="nil"/>
              <w:bottom w:val="nil"/>
              <w:right w:val="nil"/>
              <w:tl2br w:val="nil"/>
              <w:tr2bl w:val="nil"/>
            </w:tcBorders>
            <w:shd w:val="clear" w:color="auto" w:fill="FFFFFF"/>
            <w:tcMar>
              <w:left w:w="101" w:type="dxa"/>
              <w:right w:w="101" w:type="dxa"/>
            </w:tcMar>
            <w:vAlign w:val="bottom"/>
          </w:tcPr>
          <w:p w14:paraId="51050062" w14:textId="77777777" w:rsidR="003F0EEA" w:rsidRDefault="003F0EEA">
            <w:pPr>
              <w:rPr>
                <w:rFonts w:ascii="Arial" w:eastAsia="Arial" w:hAnsi="Arial" w:cs="Arial"/>
                <w:color w:val="000000"/>
                <w:sz w:val="16"/>
                <w:vertAlign w:val="superscript"/>
              </w:rPr>
            </w:pPr>
          </w:p>
        </w:tc>
        <w:tc>
          <w:tcPr>
            <w:tcW w:w="2880" w:type="dxa"/>
            <w:gridSpan w:val="2"/>
            <w:vMerge w:val="restart"/>
            <w:tcBorders>
              <w:top w:val="nil"/>
              <w:left w:val="nil"/>
              <w:bottom w:val="nil"/>
              <w:right w:val="nil"/>
              <w:tl2br w:val="nil"/>
              <w:tr2bl w:val="nil"/>
            </w:tcBorders>
            <w:shd w:val="clear" w:color="auto" w:fill="FFFFFF"/>
            <w:tcMar>
              <w:left w:w="101" w:type="dxa"/>
              <w:right w:w="101" w:type="dxa"/>
            </w:tcMar>
            <w:vAlign w:val="bottom"/>
          </w:tcPr>
          <w:p w14:paraId="47EC931C" w14:textId="77777777" w:rsidR="003F0EEA" w:rsidRDefault="00FB7D0B">
            <w:pPr>
              <w:rPr>
                <w:rFonts w:ascii="Arial" w:eastAsia="Arial" w:hAnsi="Arial" w:cs="Arial"/>
                <w:color w:val="000000"/>
                <w:sz w:val="18"/>
                <w:vertAlign w:val="superscript"/>
              </w:rPr>
            </w:pPr>
            <w:r>
              <w:rPr>
                <w:rFonts w:ascii="Arial" w:eastAsia="Arial" w:hAnsi="Arial" w:cs="Arial"/>
                <w:color w:val="000000"/>
                <w:sz w:val="16"/>
              </w:rPr>
              <w:t>Total purchases</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59D46C0B" w14:textId="77777777" w:rsidR="003F0EEA" w:rsidRDefault="00FB7D0B">
            <w:pPr>
              <w:jc w:val="right"/>
              <w:rPr>
                <w:rFonts w:ascii="Arial" w:eastAsia="Arial" w:hAnsi="Arial" w:cs="Arial"/>
                <w:color w:val="000000"/>
                <w:sz w:val="16"/>
                <w:vertAlign w:val="superscript"/>
              </w:rPr>
            </w:pPr>
            <w:r>
              <w:rPr>
                <w:rFonts w:ascii="Arial" w:eastAsia="Arial" w:hAnsi="Arial" w:cs="Arial"/>
                <w:color w:val="000000"/>
                <w:sz w:val="16"/>
              </w:rPr>
              <w:t xml:space="preserve"> 30,350 </w:t>
            </w:r>
          </w:p>
        </w:tc>
        <w:tc>
          <w:tcPr>
            <w:tcW w:w="915" w:type="dxa"/>
            <w:tcBorders>
              <w:top w:val="nil"/>
              <w:left w:val="nil"/>
              <w:bottom w:val="nil"/>
              <w:right w:val="nil"/>
              <w:tl2br w:val="nil"/>
              <w:tr2bl w:val="nil"/>
            </w:tcBorders>
            <w:shd w:val="clear" w:color="auto" w:fill="FFFF00"/>
            <w:tcMar>
              <w:left w:w="101" w:type="dxa"/>
              <w:right w:w="101" w:type="dxa"/>
            </w:tcMar>
            <w:vAlign w:val="bottom"/>
          </w:tcPr>
          <w:p w14:paraId="4541B7CA" w14:textId="77777777" w:rsidR="003F0EEA" w:rsidRDefault="00FB7D0B">
            <w:pPr>
              <w:jc w:val="right"/>
              <w:rPr>
                <w:rFonts w:ascii="Arial" w:eastAsia="Arial" w:hAnsi="Arial" w:cs="Arial"/>
                <w:color w:val="000000"/>
                <w:sz w:val="16"/>
              </w:rPr>
            </w:pPr>
            <w:r>
              <w:rPr>
                <w:rFonts w:ascii="Arial" w:eastAsia="Arial" w:hAnsi="Arial" w:cs="Arial"/>
                <w:color w:val="000000"/>
                <w:sz w:val="16"/>
              </w:rPr>
              <w:t xml:space="preserve"> 16,086 </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05349967" w14:textId="77777777" w:rsidR="003F0EEA" w:rsidRDefault="00FB7D0B">
            <w:pPr>
              <w:jc w:val="right"/>
              <w:rPr>
                <w:rFonts w:ascii="Arial" w:eastAsia="Arial" w:hAnsi="Arial" w:cs="Arial"/>
                <w:color w:val="000000"/>
                <w:sz w:val="16"/>
              </w:rPr>
            </w:pPr>
            <w:r>
              <w:rPr>
                <w:rFonts w:ascii="Arial" w:eastAsia="Arial" w:hAnsi="Arial" w:cs="Arial"/>
                <w:color w:val="000000"/>
                <w:sz w:val="16"/>
              </w:rPr>
              <w:t xml:space="preserve"> 14,116 </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4DEDAFCD" w14:textId="77777777" w:rsidR="003F0EEA" w:rsidRDefault="00FB7D0B">
            <w:pPr>
              <w:jc w:val="right"/>
              <w:rPr>
                <w:rFonts w:ascii="Arial" w:eastAsia="Arial" w:hAnsi="Arial" w:cs="Arial"/>
                <w:color w:val="000000"/>
                <w:sz w:val="16"/>
              </w:rPr>
            </w:pPr>
            <w:r>
              <w:rPr>
                <w:rFonts w:ascii="Arial" w:eastAsia="Arial" w:hAnsi="Arial" w:cs="Arial"/>
                <w:color w:val="000000"/>
                <w:sz w:val="16"/>
              </w:rPr>
              <w:t xml:space="preserve"> 13,373 </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327E2BD5" w14:textId="77777777" w:rsidR="003F0EEA" w:rsidRDefault="00FB7D0B">
            <w:pPr>
              <w:jc w:val="right"/>
              <w:rPr>
                <w:rFonts w:ascii="Arial" w:eastAsia="Arial" w:hAnsi="Arial" w:cs="Arial"/>
                <w:color w:val="000000"/>
                <w:sz w:val="16"/>
              </w:rPr>
            </w:pPr>
            <w:r>
              <w:rPr>
                <w:rFonts w:ascii="Arial" w:eastAsia="Arial" w:hAnsi="Arial" w:cs="Arial"/>
                <w:color w:val="000000"/>
                <w:sz w:val="16"/>
              </w:rPr>
              <w:t xml:space="preserve"> 14,036 </w:t>
            </w:r>
          </w:p>
        </w:tc>
      </w:tr>
      <w:tr w:rsidR="00FB7D0B" w14:paraId="192AFBCC" w14:textId="77777777" w:rsidTr="00FB7D0B">
        <w:trPr>
          <w:trHeight w:val="225"/>
        </w:trPr>
        <w:tc>
          <w:tcPr>
            <w:tcW w:w="3060" w:type="dxa"/>
            <w:gridSpan w:val="3"/>
            <w:tcBorders>
              <w:top w:val="nil"/>
              <w:left w:val="nil"/>
              <w:bottom w:val="nil"/>
              <w:right w:val="nil"/>
              <w:tl2br w:val="nil"/>
              <w:tr2bl w:val="nil"/>
            </w:tcBorders>
            <w:shd w:val="clear" w:color="auto" w:fill="FFFFFF"/>
            <w:tcMar>
              <w:left w:w="101" w:type="dxa"/>
              <w:right w:w="101" w:type="dxa"/>
            </w:tcMar>
            <w:vAlign w:val="bottom"/>
          </w:tcPr>
          <w:p w14:paraId="7D09E52C" w14:textId="77777777" w:rsidR="003F0EEA" w:rsidRDefault="00FB7D0B">
            <w:pPr>
              <w:rPr>
                <w:rFonts w:ascii="Arial" w:eastAsia="Arial" w:hAnsi="Arial" w:cs="Arial"/>
                <w:color w:val="000000"/>
                <w:sz w:val="16"/>
              </w:rPr>
            </w:pPr>
            <w:r>
              <w:rPr>
                <w:rFonts w:ascii="Arial" w:eastAsia="Arial" w:hAnsi="Arial" w:cs="Arial"/>
                <w:b/>
                <w:color w:val="000000"/>
                <w:sz w:val="16"/>
              </w:rPr>
              <w:t>Total cash used to</w:t>
            </w:r>
          </w:p>
        </w:tc>
        <w:tc>
          <w:tcPr>
            <w:tcW w:w="91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7FA9B7CD" w14:textId="77777777" w:rsidR="003F0EEA" w:rsidRDefault="003F0EEA">
            <w:pPr>
              <w:rPr>
                <w:rFonts w:ascii="Arial" w:eastAsia="Arial" w:hAnsi="Arial" w:cs="Arial"/>
                <w:b/>
                <w:color w:val="000000"/>
                <w:sz w:val="16"/>
                <w:vertAlign w:val="superscript"/>
              </w:rPr>
            </w:pPr>
          </w:p>
        </w:tc>
        <w:tc>
          <w:tcPr>
            <w:tcW w:w="915" w:type="dxa"/>
            <w:tcBorders>
              <w:top w:val="single" w:sz="6" w:space="0" w:color="000000"/>
              <w:left w:val="nil"/>
              <w:bottom w:val="nil"/>
              <w:right w:val="nil"/>
              <w:tl2br w:val="nil"/>
              <w:tr2bl w:val="nil"/>
            </w:tcBorders>
            <w:shd w:val="clear" w:color="auto" w:fill="FFFF00"/>
            <w:tcMar>
              <w:left w:w="101" w:type="dxa"/>
              <w:right w:w="101" w:type="dxa"/>
            </w:tcMar>
            <w:vAlign w:val="bottom"/>
          </w:tcPr>
          <w:p w14:paraId="2CFD2630" w14:textId="77777777" w:rsidR="003F0EEA" w:rsidRDefault="003F0EEA">
            <w:pPr>
              <w:rPr>
                <w:rFonts w:ascii="Arial" w:eastAsia="Arial" w:hAnsi="Arial" w:cs="Arial"/>
                <w:color w:val="000000"/>
                <w:sz w:val="16"/>
                <w:vertAlign w:val="superscript"/>
              </w:rPr>
            </w:pPr>
          </w:p>
        </w:tc>
        <w:tc>
          <w:tcPr>
            <w:tcW w:w="91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06AEDCE0" w14:textId="77777777" w:rsidR="003F0EEA" w:rsidRDefault="003F0EEA">
            <w:pPr>
              <w:rPr>
                <w:rFonts w:ascii="Arial" w:eastAsia="Arial" w:hAnsi="Arial" w:cs="Arial"/>
                <w:b/>
                <w:color w:val="000000"/>
                <w:sz w:val="16"/>
                <w:vertAlign w:val="superscript"/>
              </w:rPr>
            </w:pPr>
          </w:p>
        </w:tc>
        <w:tc>
          <w:tcPr>
            <w:tcW w:w="91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7D5C4441" w14:textId="77777777" w:rsidR="003F0EEA" w:rsidRDefault="003F0EEA">
            <w:pPr>
              <w:rPr>
                <w:rFonts w:ascii="Arial" w:eastAsia="Arial" w:hAnsi="Arial" w:cs="Arial"/>
                <w:b/>
                <w:color w:val="000000"/>
                <w:sz w:val="16"/>
                <w:vertAlign w:val="superscript"/>
              </w:rPr>
            </w:pPr>
          </w:p>
        </w:tc>
        <w:tc>
          <w:tcPr>
            <w:tcW w:w="91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57B36B5F" w14:textId="77777777" w:rsidR="003F0EEA" w:rsidRDefault="003F0EEA">
            <w:pPr>
              <w:rPr>
                <w:rFonts w:ascii="Arial" w:eastAsia="Arial" w:hAnsi="Arial" w:cs="Arial"/>
                <w:b/>
                <w:color w:val="000000"/>
                <w:sz w:val="16"/>
                <w:vertAlign w:val="superscript"/>
              </w:rPr>
            </w:pPr>
          </w:p>
        </w:tc>
      </w:tr>
      <w:tr w:rsidR="00FB7D0B" w14:paraId="5424EEBB" w14:textId="77777777" w:rsidTr="00FB7D0B">
        <w:trPr>
          <w:trHeight w:val="225"/>
        </w:trPr>
        <w:tc>
          <w:tcPr>
            <w:tcW w:w="180"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210A843F" w14:textId="77777777" w:rsidR="003F0EEA" w:rsidRDefault="003F0EEA">
            <w:pPr>
              <w:rPr>
                <w:rFonts w:ascii="Arial" w:eastAsia="Arial" w:hAnsi="Arial" w:cs="Arial"/>
                <w:b/>
                <w:color w:val="000000"/>
                <w:sz w:val="16"/>
                <w:vertAlign w:val="superscript"/>
              </w:rPr>
            </w:pPr>
          </w:p>
        </w:tc>
        <w:tc>
          <w:tcPr>
            <w:tcW w:w="2880" w:type="dxa"/>
            <w:gridSpan w:val="2"/>
            <w:tcBorders>
              <w:top w:val="nil"/>
              <w:left w:val="nil"/>
              <w:bottom w:val="single" w:sz="6" w:space="0" w:color="000000"/>
              <w:right w:val="nil"/>
              <w:tl2br w:val="nil"/>
              <w:tr2bl w:val="nil"/>
            </w:tcBorders>
            <w:shd w:val="clear" w:color="auto" w:fill="FFFFFF"/>
            <w:tcMar>
              <w:left w:w="101" w:type="dxa"/>
              <w:right w:w="101" w:type="dxa"/>
            </w:tcMar>
            <w:vAlign w:val="bottom"/>
          </w:tcPr>
          <w:p w14:paraId="2B803523" w14:textId="77777777" w:rsidR="003F0EEA" w:rsidRDefault="00FB7D0B">
            <w:pPr>
              <w:rPr>
                <w:rFonts w:ascii="Arial" w:eastAsia="Arial" w:hAnsi="Arial" w:cs="Arial"/>
                <w:color w:val="000000"/>
                <w:sz w:val="18"/>
                <w:vertAlign w:val="superscript"/>
              </w:rPr>
            </w:pPr>
            <w:r>
              <w:rPr>
                <w:rFonts w:ascii="Arial" w:eastAsia="Arial" w:hAnsi="Arial" w:cs="Arial"/>
                <w:b/>
                <w:color w:val="000000"/>
                <w:sz w:val="16"/>
              </w:rPr>
              <w:t>acquire assets</w:t>
            </w:r>
          </w:p>
        </w:tc>
        <w:tc>
          <w:tcPr>
            <w:tcW w:w="915"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708347CB" w14:textId="77777777" w:rsidR="003F0EEA" w:rsidRDefault="00FB7D0B">
            <w:pPr>
              <w:jc w:val="right"/>
              <w:rPr>
                <w:rFonts w:ascii="Arial" w:eastAsia="Arial" w:hAnsi="Arial" w:cs="Arial"/>
                <w:b/>
                <w:color w:val="000000"/>
                <w:sz w:val="16"/>
                <w:vertAlign w:val="superscript"/>
              </w:rPr>
            </w:pPr>
            <w:r>
              <w:rPr>
                <w:rFonts w:ascii="Arial" w:eastAsia="Arial" w:hAnsi="Arial" w:cs="Arial"/>
                <w:b/>
                <w:color w:val="000000"/>
                <w:sz w:val="16"/>
              </w:rPr>
              <w:t xml:space="preserve"> 30,350 </w:t>
            </w:r>
          </w:p>
        </w:tc>
        <w:tc>
          <w:tcPr>
            <w:tcW w:w="915" w:type="dxa"/>
            <w:tcBorders>
              <w:top w:val="nil"/>
              <w:left w:val="nil"/>
              <w:bottom w:val="single" w:sz="6" w:space="0" w:color="000000"/>
              <w:right w:val="nil"/>
              <w:tl2br w:val="nil"/>
              <w:tr2bl w:val="nil"/>
            </w:tcBorders>
            <w:shd w:val="clear" w:color="auto" w:fill="FFFF00"/>
            <w:tcMar>
              <w:left w:w="101" w:type="dxa"/>
              <w:right w:w="101" w:type="dxa"/>
            </w:tcMar>
            <w:vAlign w:val="bottom"/>
          </w:tcPr>
          <w:p w14:paraId="77662CE8" w14:textId="77777777" w:rsidR="003F0EEA" w:rsidRDefault="00FB7D0B">
            <w:pPr>
              <w:jc w:val="right"/>
              <w:rPr>
                <w:rFonts w:ascii="Arial" w:eastAsia="Arial" w:hAnsi="Arial" w:cs="Arial"/>
                <w:b/>
                <w:color w:val="000000"/>
                <w:sz w:val="16"/>
              </w:rPr>
            </w:pPr>
            <w:r>
              <w:rPr>
                <w:rFonts w:ascii="Arial" w:eastAsia="Arial" w:hAnsi="Arial" w:cs="Arial"/>
                <w:b/>
                <w:color w:val="000000"/>
                <w:sz w:val="16"/>
              </w:rPr>
              <w:t xml:space="preserve"> 16,086 </w:t>
            </w:r>
          </w:p>
        </w:tc>
        <w:tc>
          <w:tcPr>
            <w:tcW w:w="915"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25D5AB5B" w14:textId="77777777" w:rsidR="003F0EEA" w:rsidRDefault="00FB7D0B">
            <w:pPr>
              <w:jc w:val="right"/>
              <w:rPr>
                <w:rFonts w:ascii="Arial" w:eastAsia="Arial" w:hAnsi="Arial" w:cs="Arial"/>
                <w:b/>
                <w:color w:val="000000"/>
                <w:sz w:val="16"/>
              </w:rPr>
            </w:pPr>
            <w:r>
              <w:rPr>
                <w:rFonts w:ascii="Arial" w:eastAsia="Arial" w:hAnsi="Arial" w:cs="Arial"/>
                <w:b/>
                <w:color w:val="000000"/>
                <w:sz w:val="16"/>
              </w:rPr>
              <w:t xml:space="preserve"> 14,116 </w:t>
            </w:r>
          </w:p>
        </w:tc>
        <w:tc>
          <w:tcPr>
            <w:tcW w:w="915"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111B8B44" w14:textId="77777777" w:rsidR="003F0EEA" w:rsidRDefault="00FB7D0B">
            <w:pPr>
              <w:jc w:val="right"/>
              <w:rPr>
                <w:rFonts w:ascii="Arial" w:eastAsia="Arial" w:hAnsi="Arial" w:cs="Arial"/>
                <w:b/>
                <w:color w:val="000000"/>
                <w:sz w:val="16"/>
              </w:rPr>
            </w:pPr>
            <w:r>
              <w:rPr>
                <w:rFonts w:ascii="Arial" w:eastAsia="Arial" w:hAnsi="Arial" w:cs="Arial"/>
                <w:b/>
                <w:color w:val="000000"/>
                <w:sz w:val="16"/>
              </w:rPr>
              <w:t xml:space="preserve"> 13,373 </w:t>
            </w:r>
          </w:p>
        </w:tc>
        <w:tc>
          <w:tcPr>
            <w:tcW w:w="915"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68BA74EF" w14:textId="77777777" w:rsidR="003F0EEA" w:rsidRDefault="00FB7D0B">
            <w:pPr>
              <w:jc w:val="right"/>
              <w:rPr>
                <w:rFonts w:ascii="Arial" w:eastAsia="Arial" w:hAnsi="Arial" w:cs="Arial"/>
                <w:b/>
                <w:color w:val="000000"/>
                <w:sz w:val="16"/>
              </w:rPr>
            </w:pPr>
            <w:r>
              <w:rPr>
                <w:rFonts w:ascii="Arial" w:eastAsia="Arial" w:hAnsi="Arial" w:cs="Arial"/>
                <w:b/>
                <w:color w:val="000000"/>
                <w:sz w:val="16"/>
              </w:rPr>
              <w:t xml:space="preserve"> 14,036 </w:t>
            </w:r>
          </w:p>
        </w:tc>
      </w:tr>
    </w:tbl>
    <w:p w14:paraId="27E76A14" w14:textId="77777777" w:rsidR="003F0EEA" w:rsidRPr="00BC7C5A" w:rsidRDefault="00FB7D0B" w:rsidP="003F0EEA">
      <w:pPr>
        <w:pStyle w:val="Source15"/>
      </w:pPr>
      <w:r>
        <w:t>Prepared on Australian Accounting Standards basis</w:t>
      </w:r>
    </w:p>
    <w:p w14:paraId="73DD5B8D" w14:textId="77777777" w:rsidR="003F0EEA" w:rsidRDefault="003F0EEA" w:rsidP="003F0EEA">
      <w:pPr>
        <w:pStyle w:val="ListParagraph19"/>
        <w:spacing w:after="0" w:line="240" w:lineRule="auto"/>
        <w:ind w:left="0" w:right="566"/>
        <w:jc w:val="both"/>
        <w:rPr>
          <w:rFonts w:ascii="Arial" w:eastAsia="Calibri" w:hAnsi="Arial" w:cs="Arial"/>
          <w:sz w:val="16"/>
          <w:szCs w:val="16"/>
        </w:rPr>
      </w:pPr>
    </w:p>
    <w:p w14:paraId="0E0E2BB5" w14:textId="77777777" w:rsidR="003F0EEA" w:rsidRDefault="00FB7D0B" w:rsidP="003F0EEA">
      <w:pPr>
        <w:pStyle w:val="ListParagraph19"/>
        <w:numPr>
          <w:ilvl w:val="0"/>
          <w:numId w:val="54"/>
        </w:numPr>
        <w:spacing w:after="0" w:line="240" w:lineRule="auto"/>
        <w:ind w:left="357" w:right="566" w:hanging="357"/>
        <w:jc w:val="both"/>
        <w:rPr>
          <w:rFonts w:ascii="Arial" w:eastAsia="Calibri" w:hAnsi="Arial" w:cs="Arial"/>
          <w:sz w:val="16"/>
          <w:szCs w:val="16"/>
        </w:rPr>
      </w:pPr>
      <w:r w:rsidRPr="00241AD6">
        <w:rPr>
          <w:rFonts w:ascii="Arial" w:eastAsia="Calibri" w:hAnsi="Arial" w:cs="Arial"/>
          <w:sz w:val="16"/>
          <w:szCs w:val="16"/>
        </w:rPr>
        <w:t>Includes b</w:t>
      </w:r>
      <w:r>
        <w:rPr>
          <w:rFonts w:ascii="Arial" w:eastAsia="Calibri" w:hAnsi="Arial" w:cs="Arial"/>
          <w:sz w:val="16"/>
          <w:szCs w:val="16"/>
        </w:rPr>
        <w:t>oth current and prior Bill 2/4</w:t>
      </w:r>
      <w:r w:rsidRPr="00241AD6">
        <w:rPr>
          <w:rFonts w:ascii="Arial" w:eastAsia="Calibri" w:hAnsi="Arial" w:cs="Arial"/>
          <w:sz w:val="16"/>
          <w:szCs w:val="16"/>
        </w:rPr>
        <w:t xml:space="preserve"> appropriations and special capital appropriations</w:t>
      </w:r>
      <w:r>
        <w:rPr>
          <w:rFonts w:ascii="Arial" w:eastAsia="Calibri" w:hAnsi="Arial" w:cs="Arial"/>
          <w:sz w:val="16"/>
          <w:szCs w:val="16"/>
        </w:rPr>
        <w:t>.</w:t>
      </w:r>
    </w:p>
    <w:p w14:paraId="50AF7F6B" w14:textId="77777777" w:rsidR="003F0EEA" w:rsidRDefault="00FB7D0B" w:rsidP="003F0EEA">
      <w:pPr>
        <w:pStyle w:val="ListParagraph19"/>
        <w:numPr>
          <w:ilvl w:val="0"/>
          <w:numId w:val="54"/>
        </w:numPr>
        <w:spacing w:after="0" w:line="240" w:lineRule="auto"/>
        <w:ind w:left="357" w:right="566" w:hanging="357"/>
        <w:jc w:val="both"/>
        <w:rPr>
          <w:rFonts w:ascii="Arial" w:eastAsia="Calibri" w:hAnsi="Arial" w:cs="Arial"/>
          <w:sz w:val="16"/>
          <w:szCs w:val="16"/>
        </w:rPr>
      </w:pPr>
      <w:r w:rsidRPr="00656C4B">
        <w:rPr>
          <w:rFonts w:ascii="Arial" w:eastAsia="Calibri" w:hAnsi="Arial" w:cs="Arial"/>
          <w:sz w:val="16"/>
          <w:szCs w:val="16"/>
        </w:rPr>
        <w:t>Does not include annual finance lease costs. Includes purchases from current and previous years' Departmental Capital Budgets.</w:t>
      </w:r>
    </w:p>
    <w:p w14:paraId="77B7FC57" w14:textId="77777777" w:rsidR="003F0EEA" w:rsidRPr="00656C4B" w:rsidRDefault="00FB7D0B" w:rsidP="003F0EEA">
      <w:pPr>
        <w:pStyle w:val="ListParagraph19"/>
        <w:numPr>
          <w:ilvl w:val="0"/>
          <w:numId w:val="54"/>
        </w:numPr>
        <w:spacing w:after="0" w:line="240" w:lineRule="auto"/>
        <w:ind w:left="357" w:hanging="357"/>
        <w:rPr>
          <w:rFonts w:ascii="Arial" w:eastAsia="Calibri" w:hAnsi="Arial" w:cs="Arial"/>
          <w:sz w:val="16"/>
          <w:szCs w:val="16"/>
        </w:rPr>
      </w:pPr>
      <w:r w:rsidRPr="00656C4B">
        <w:rPr>
          <w:rFonts w:ascii="Arial" w:eastAsia="Calibri" w:hAnsi="Arial" w:cs="Arial"/>
          <w:sz w:val="16"/>
          <w:szCs w:val="16"/>
        </w:rPr>
        <w:t>Includes the following sources of funding:</w:t>
      </w:r>
    </w:p>
    <w:p w14:paraId="685898F4" w14:textId="77777777" w:rsidR="003F0EEA" w:rsidRPr="00656C4B" w:rsidRDefault="00FB7D0B" w:rsidP="003F0EEA">
      <w:pPr>
        <w:pStyle w:val="ListParagraph19"/>
        <w:spacing w:after="0" w:line="240" w:lineRule="auto"/>
        <w:ind w:left="0" w:firstLine="357"/>
        <w:rPr>
          <w:rFonts w:ascii="Arial" w:eastAsia="Calibri" w:hAnsi="Arial" w:cs="Arial"/>
          <w:sz w:val="16"/>
          <w:szCs w:val="16"/>
        </w:rPr>
      </w:pPr>
      <w:r w:rsidRPr="00656C4B">
        <w:rPr>
          <w:rFonts w:ascii="Arial" w:eastAsia="Calibri" w:hAnsi="Arial" w:cs="Arial"/>
          <w:sz w:val="16"/>
          <w:szCs w:val="16"/>
        </w:rPr>
        <w:t xml:space="preserve">– </w:t>
      </w:r>
      <w:r w:rsidRPr="00241AD6">
        <w:rPr>
          <w:rFonts w:ascii="Arial" w:eastAsia="Calibri" w:hAnsi="Arial" w:cs="Arial"/>
          <w:sz w:val="16"/>
          <w:szCs w:val="16"/>
        </w:rPr>
        <w:t>c</w:t>
      </w:r>
      <w:r>
        <w:rPr>
          <w:rFonts w:ascii="Arial" w:eastAsia="Calibri" w:hAnsi="Arial" w:cs="Arial"/>
          <w:sz w:val="16"/>
          <w:szCs w:val="16"/>
        </w:rPr>
        <w:t>urrent and prior year Bill 1/3</w:t>
      </w:r>
      <w:r w:rsidRPr="00241AD6">
        <w:rPr>
          <w:rFonts w:ascii="Arial" w:eastAsia="Calibri" w:hAnsi="Arial" w:cs="Arial"/>
          <w:sz w:val="16"/>
          <w:szCs w:val="16"/>
        </w:rPr>
        <w:t xml:space="preserve"> appropriations (excluding amounts from the DCB).</w:t>
      </w:r>
    </w:p>
    <w:p w14:paraId="29F0B284" w14:textId="77777777" w:rsidR="003F0EEA" w:rsidRPr="00656C4B" w:rsidRDefault="00FB7D0B" w:rsidP="003F0EEA">
      <w:pPr>
        <w:pStyle w:val="ListParagraph19"/>
        <w:spacing w:after="0" w:line="240" w:lineRule="auto"/>
        <w:ind w:left="0" w:firstLine="357"/>
        <w:rPr>
          <w:rFonts w:ascii="Arial" w:eastAsia="Calibri" w:hAnsi="Arial" w:cs="Arial"/>
          <w:sz w:val="16"/>
          <w:szCs w:val="16"/>
        </w:rPr>
      </w:pPr>
      <w:r w:rsidRPr="00656C4B">
        <w:rPr>
          <w:rFonts w:ascii="Arial" w:eastAsia="Calibri" w:hAnsi="Arial" w:cs="Arial"/>
          <w:sz w:val="16"/>
          <w:szCs w:val="16"/>
        </w:rPr>
        <w:t>– section 31 relevant agency receipts</w:t>
      </w:r>
    </w:p>
    <w:p w14:paraId="11FD3EAF" w14:textId="77777777" w:rsidR="003F0EEA" w:rsidRPr="00656C4B" w:rsidRDefault="00FB7D0B">
      <w:pPr>
        <w:spacing w:line="14" w:lineRule="exact"/>
        <w:rPr>
          <w:rFonts w:ascii="Arial" w:hAnsi="Arial" w:cs="Arial"/>
          <w:sz w:val="16"/>
          <w:szCs w:val="16"/>
        </w:rPr>
      </w:pPr>
      <w:r w:rsidRPr="00656C4B">
        <w:rPr>
          <w:rFonts w:ascii="Arial" w:hAnsi="Arial" w:cs="Arial"/>
          <w:sz w:val="16"/>
          <w:szCs w:val="16"/>
        </w:rPr>
        <w:br w:type="page"/>
      </w:r>
    </w:p>
    <w:p w14:paraId="3B5A730D" w14:textId="77777777" w:rsidR="003F0EEA" w:rsidRDefault="00FB7D0B" w:rsidP="003F0EEA">
      <w:pPr>
        <w:pStyle w:val="TableHeading20"/>
      </w:pPr>
      <w:r>
        <w:t xml:space="preserve">Table </w:t>
      </w:r>
      <w:r w:rsidRPr="001A7D1A">
        <w:t>3.2</w:t>
      </w:r>
      <w:r>
        <w:t>.6: Statement of Asset Movements (2014-15)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2"/>
        <w:gridCol w:w="2805"/>
        <w:gridCol w:w="810"/>
        <w:gridCol w:w="870"/>
        <w:gridCol w:w="1215"/>
        <w:gridCol w:w="1020"/>
        <w:gridCol w:w="915"/>
      </w:tblGrid>
      <w:tr w:rsidR="00724034" w14:paraId="2585179A" w14:textId="77777777">
        <w:trPr>
          <w:trHeight w:val="225"/>
        </w:trPr>
        <w:tc>
          <w:tcPr>
            <w:tcW w:w="180"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17FC8B66" w14:textId="77777777" w:rsidR="003F0EEA" w:rsidRDefault="003F0EEA">
            <w:pPr>
              <w:rPr>
                <w:rFonts w:eastAsia="Times New Roman"/>
              </w:rPr>
            </w:pPr>
          </w:p>
        </w:tc>
        <w:tc>
          <w:tcPr>
            <w:tcW w:w="280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4E7C7B15" w14:textId="77777777" w:rsidR="003F0EEA" w:rsidRDefault="003F0EEA">
            <w:pPr>
              <w:rPr>
                <w:rFonts w:ascii="Arial" w:eastAsia="Arial" w:hAnsi="Arial" w:cs="Arial"/>
                <w:b/>
                <w:color w:val="000000"/>
                <w:sz w:val="20"/>
              </w:rPr>
            </w:pPr>
          </w:p>
        </w:tc>
        <w:tc>
          <w:tcPr>
            <w:tcW w:w="810"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188AA2DB" w14:textId="77777777" w:rsidR="003F0EEA" w:rsidRDefault="00FB7D0B">
            <w:pPr>
              <w:jc w:val="right"/>
              <w:rPr>
                <w:rFonts w:ascii="Arial" w:eastAsia="Arial" w:hAnsi="Arial" w:cs="Arial"/>
                <w:color w:val="000000"/>
                <w:sz w:val="16"/>
                <w:vertAlign w:val="superscript"/>
              </w:rPr>
            </w:pPr>
            <w:r>
              <w:rPr>
                <w:rFonts w:ascii="Arial" w:eastAsia="Arial" w:hAnsi="Arial" w:cs="Arial"/>
                <w:color w:val="000000"/>
                <w:sz w:val="16"/>
              </w:rPr>
              <w:t>Land</w:t>
            </w:r>
          </w:p>
        </w:tc>
        <w:tc>
          <w:tcPr>
            <w:tcW w:w="870"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19967750" w14:textId="77777777" w:rsidR="003F0EEA" w:rsidRDefault="00FB7D0B">
            <w:pPr>
              <w:jc w:val="right"/>
              <w:rPr>
                <w:rFonts w:ascii="Arial" w:eastAsia="Arial" w:hAnsi="Arial" w:cs="Arial"/>
                <w:color w:val="000000"/>
                <w:sz w:val="16"/>
              </w:rPr>
            </w:pPr>
            <w:r>
              <w:rPr>
                <w:rFonts w:ascii="Arial" w:eastAsia="Arial" w:hAnsi="Arial" w:cs="Arial"/>
                <w:color w:val="000000"/>
                <w:sz w:val="16"/>
              </w:rPr>
              <w:t>Buildings</w:t>
            </w:r>
          </w:p>
        </w:tc>
        <w:tc>
          <w:tcPr>
            <w:tcW w:w="121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3C6C040A" w14:textId="77777777" w:rsidR="003F0EEA" w:rsidRDefault="00FB7D0B">
            <w:pPr>
              <w:jc w:val="right"/>
              <w:rPr>
                <w:rFonts w:ascii="Arial" w:eastAsia="Arial" w:hAnsi="Arial" w:cs="Arial"/>
                <w:color w:val="000000"/>
                <w:sz w:val="16"/>
              </w:rPr>
            </w:pPr>
            <w:r>
              <w:rPr>
                <w:rFonts w:ascii="Arial" w:eastAsia="Arial" w:hAnsi="Arial" w:cs="Arial"/>
                <w:color w:val="000000"/>
                <w:sz w:val="16"/>
              </w:rPr>
              <w:t>Other</w:t>
            </w:r>
          </w:p>
        </w:tc>
        <w:tc>
          <w:tcPr>
            <w:tcW w:w="1020"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16E3D485" w14:textId="77777777" w:rsidR="003F0EEA" w:rsidRDefault="00FB7D0B">
            <w:pPr>
              <w:jc w:val="right"/>
              <w:rPr>
                <w:rFonts w:ascii="Arial" w:eastAsia="Arial" w:hAnsi="Arial" w:cs="Arial"/>
                <w:color w:val="000000"/>
                <w:sz w:val="16"/>
              </w:rPr>
            </w:pPr>
            <w:r>
              <w:rPr>
                <w:rFonts w:ascii="Arial" w:eastAsia="Arial" w:hAnsi="Arial" w:cs="Arial"/>
                <w:color w:val="000000"/>
                <w:sz w:val="16"/>
              </w:rPr>
              <w:t>Intangibles</w:t>
            </w:r>
          </w:p>
        </w:tc>
        <w:tc>
          <w:tcPr>
            <w:tcW w:w="91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3D5CA079" w14:textId="77777777" w:rsidR="003F0EEA" w:rsidRDefault="00FB7D0B">
            <w:pPr>
              <w:jc w:val="right"/>
              <w:rPr>
                <w:rFonts w:ascii="Arial" w:eastAsia="Arial" w:hAnsi="Arial" w:cs="Arial"/>
                <w:color w:val="000000"/>
                <w:sz w:val="16"/>
              </w:rPr>
            </w:pPr>
            <w:r>
              <w:rPr>
                <w:rFonts w:ascii="Arial" w:eastAsia="Arial" w:hAnsi="Arial" w:cs="Arial"/>
                <w:color w:val="000000"/>
                <w:sz w:val="16"/>
              </w:rPr>
              <w:t>Total</w:t>
            </w:r>
          </w:p>
        </w:tc>
      </w:tr>
      <w:tr w:rsidR="00724034" w14:paraId="28355DF3" w14:textId="77777777">
        <w:trPr>
          <w:trHeight w:val="225"/>
        </w:trPr>
        <w:tc>
          <w:tcPr>
            <w:tcW w:w="180" w:type="dxa"/>
            <w:tcBorders>
              <w:top w:val="nil"/>
              <w:left w:val="nil"/>
              <w:bottom w:val="nil"/>
              <w:right w:val="nil"/>
              <w:tl2br w:val="nil"/>
              <w:tr2bl w:val="nil"/>
            </w:tcBorders>
            <w:shd w:val="clear" w:color="auto" w:fill="FFFFFF"/>
            <w:tcMar>
              <w:left w:w="101" w:type="dxa"/>
              <w:right w:w="101" w:type="dxa"/>
            </w:tcMar>
            <w:vAlign w:val="bottom"/>
          </w:tcPr>
          <w:p w14:paraId="7DE73A05" w14:textId="77777777" w:rsidR="003F0EEA" w:rsidRDefault="003F0EEA">
            <w:pPr>
              <w:rPr>
                <w:rFonts w:ascii="Arial" w:eastAsia="Arial" w:hAnsi="Arial" w:cs="Arial"/>
                <w:color w:val="000000"/>
                <w:sz w:val="16"/>
              </w:rPr>
            </w:pPr>
          </w:p>
        </w:tc>
        <w:tc>
          <w:tcPr>
            <w:tcW w:w="2805" w:type="dxa"/>
            <w:tcBorders>
              <w:top w:val="nil"/>
              <w:left w:val="nil"/>
              <w:bottom w:val="nil"/>
              <w:right w:val="nil"/>
              <w:tl2br w:val="nil"/>
              <w:tr2bl w:val="nil"/>
            </w:tcBorders>
            <w:shd w:val="clear" w:color="auto" w:fill="FFFFFF"/>
            <w:tcMar>
              <w:left w:w="101" w:type="dxa"/>
              <w:right w:w="101" w:type="dxa"/>
            </w:tcMar>
            <w:vAlign w:val="bottom"/>
          </w:tcPr>
          <w:p w14:paraId="2AA9D22C" w14:textId="77777777" w:rsidR="003F0EEA" w:rsidRDefault="003F0EEA">
            <w:pPr>
              <w:rPr>
                <w:rFonts w:ascii="Arial" w:eastAsia="Arial" w:hAnsi="Arial" w:cs="Arial"/>
                <w:b/>
                <w:color w:val="000000"/>
                <w:sz w:val="20"/>
              </w:rPr>
            </w:pPr>
          </w:p>
        </w:tc>
        <w:tc>
          <w:tcPr>
            <w:tcW w:w="810" w:type="dxa"/>
            <w:tcBorders>
              <w:top w:val="nil"/>
              <w:left w:val="nil"/>
              <w:bottom w:val="nil"/>
              <w:right w:val="nil"/>
              <w:tl2br w:val="nil"/>
              <w:tr2bl w:val="nil"/>
            </w:tcBorders>
            <w:shd w:val="clear" w:color="auto" w:fill="FFFFFF"/>
            <w:tcMar>
              <w:left w:w="101" w:type="dxa"/>
              <w:right w:w="101" w:type="dxa"/>
            </w:tcMar>
            <w:vAlign w:val="bottom"/>
          </w:tcPr>
          <w:p w14:paraId="4FF09B4E" w14:textId="77777777" w:rsidR="003F0EEA" w:rsidRDefault="003F0EEA">
            <w:pPr>
              <w:jc w:val="right"/>
              <w:rPr>
                <w:rFonts w:ascii="Arial" w:eastAsia="Arial" w:hAnsi="Arial" w:cs="Arial"/>
                <w:color w:val="000000"/>
                <w:sz w:val="16"/>
                <w:vertAlign w:val="superscript"/>
              </w:rPr>
            </w:pPr>
          </w:p>
        </w:tc>
        <w:tc>
          <w:tcPr>
            <w:tcW w:w="870" w:type="dxa"/>
            <w:tcBorders>
              <w:top w:val="nil"/>
              <w:left w:val="nil"/>
              <w:bottom w:val="nil"/>
              <w:right w:val="nil"/>
              <w:tl2br w:val="nil"/>
              <w:tr2bl w:val="nil"/>
            </w:tcBorders>
            <w:shd w:val="clear" w:color="auto" w:fill="FFFFFF"/>
            <w:tcMar>
              <w:left w:w="101" w:type="dxa"/>
              <w:right w:w="101" w:type="dxa"/>
            </w:tcMar>
            <w:vAlign w:val="bottom"/>
          </w:tcPr>
          <w:p w14:paraId="5C82D773" w14:textId="77777777" w:rsidR="003F0EEA" w:rsidRDefault="003F0EEA">
            <w:pPr>
              <w:jc w:val="right"/>
              <w:rPr>
                <w:rFonts w:ascii="Arial" w:eastAsia="Arial" w:hAnsi="Arial" w:cs="Arial"/>
                <w:color w:val="000000"/>
                <w:sz w:val="16"/>
                <w:vertAlign w:val="superscript"/>
              </w:rPr>
            </w:pPr>
          </w:p>
        </w:tc>
        <w:tc>
          <w:tcPr>
            <w:tcW w:w="1215" w:type="dxa"/>
            <w:tcBorders>
              <w:top w:val="nil"/>
              <w:left w:val="nil"/>
              <w:bottom w:val="nil"/>
              <w:right w:val="nil"/>
              <w:tl2br w:val="nil"/>
              <w:tr2bl w:val="nil"/>
            </w:tcBorders>
            <w:shd w:val="clear" w:color="auto" w:fill="FFFFFF"/>
            <w:tcMar>
              <w:left w:w="101" w:type="dxa"/>
              <w:right w:w="101" w:type="dxa"/>
            </w:tcMar>
            <w:vAlign w:val="bottom"/>
          </w:tcPr>
          <w:p w14:paraId="229047FF" w14:textId="77777777" w:rsidR="003F0EEA" w:rsidRDefault="00FB7D0B">
            <w:pPr>
              <w:jc w:val="right"/>
              <w:rPr>
                <w:rFonts w:ascii="Arial" w:eastAsia="Arial" w:hAnsi="Arial" w:cs="Arial"/>
                <w:color w:val="000000"/>
                <w:sz w:val="16"/>
                <w:vertAlign w:val="superscript"/>
              </w:rPr>
            </w:pPr>
            <w:r>
              <w:rPr>
                <w:rFonts w:ascii="Arial" w:eastAsia="Arial" w:hAnsi="Arial" w:cs="Arial"/>
                <w:color w:val="000000"/>
                <w:sz w:val="16"/>
              </w:rPr>
              <w:t>infrastructure,</w:t>
            </w:r>
          </w:p>
        </w:tc>
        <w:tc>
          <w:tcPr>
            <w:tcW w:w="1020" w:type="dxa"/>
            <w:tcBorders>
              <w:top w:val="nil"/>
              <w:left w:val="nil"/>
              <w:bottom w:val="nil"/>
              <w:right w:val="nil"/>
              <w:tl2br w:val="nil"/>
              <w:tr2bl w:val="nil"/>
            </w:tcBorders>
            <w:shd w:val="clear" w:color="auto" w:fill="FFFFFF"/>
            <w:tcMar>
              <w:left w:w="101" w:type="dxa"/>
              <w:right w:w="101" w:type="dxa"/>
            </w:tcMar>
            <w:vAlign w:val="bottom"/>
          </w:tcPr>
          <w:p w14:paraId="1426C6B9" w14:textId="77777777" w:rsidR="003F0EEA" w:rsidRDefault="00FB7D0B">
            <w:pPr>
              <w:jc w:val="right"/>
              <w:rPr>
                <w:rFonts w:ascii="Arial" w:eastAsia="Arial" w:hAnsi="Arial" w:cs="Arial"/>
                <w:color w:val="000000"/>
                <w:sz w:val="16"/>
              </w:rPr>
            </w:pPr>
            <w:r>
              <w:rPr>
                <w:rFonts w:ascii="Arial" w:eastAsia="Arial" w:hAnsi="Arial" w:cs="Arial"/>
                <w:color w:val="000000"/>
                <w:sz w:val="16"/>
              </w:rPr>
              <w:t>- Computer</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2EA26CD1" w14:textId="77777777" w:rsidR="003F0EEA" w:rsidRDefault="003F0EEA">
            <w:pPr>
              <w:rPr>
                <w:rFonts w:ascii="Arial" w:eastAsia="Arial" w:hAnsi="Arial" w:cs="Arial"/>
                <w:color w:val="000000"/>
                <w:sz w:val="16"/>
              </w:rPr>
            </w:pPr>
          </w:p>
        </w:tc>
      </w:tr>
      <w:tr w:rsidR="00724034" w14:paraId="1EC8CF2D" w14:textId="77777777">
        <w:trPr>
          <w:trHeight w:val="225"/>
        </w:trPr>
        <w:tc>
          <w:tcPr>
            <w:tcW w:w="180" w:type="dxa"/>
            <w:tcBorders>
              <w:top w:val="nil"/>
              <w:left w:val="nil"/>
              <w:bottom w:val="nil"/>
              <w:right w:val="nil"/>
              <w:tl2br w:val="nil"/>
              <w:tr2bl w:val="nil"/>
            </w:tcBorders>
            <w:shd w:val="clear" w:color="auto" w:fill="FFFFFF"/>
            <w:tcMar>
              <w:left w:w="101" w:type="dxa"/>
              <w:right w:w="101" w:type="dxa"/>
            </w:tcMar>
            <w:vAlign w:val="bottom"/>
          </w:tcPr>
          <w:p w14:paraId="22620CD2" w14:textId="77777777" w:rsidR="003F0EEA" w:rsidRDefault="003F0EEA">
            <w:pPr>
              <w:rPr>
                <w:rFonts w:ascii="Arial" w:eastAsia="Arial" w:hAnsi="Arial" w:cs="Arial"/>
                <w:b/>
                <w:color w:val="000000"/>
                <w:sz w:val="20"/>
              </w:rPr>
            </w:pPr>
          </w:p>
        </w:tc>
        <w:tc>
          <w:tcPr>
            <w:tcW w:w="2805" w:type="dxa"/>
            <w:tcBorders>
              <w:top w:val="nil"/>
              <w:left w:val="nil"/>
              <w:bottom w:val="nil"/>
              <w:right w:val="nil"/>
              <w:tl2br w:val="nil"/>
              <w:tr2bl w:val="nil"/>
            </w:tcBorders>
            <w:shd w:val="clear" w:color="auto" w:fill="FFFFFF"/>
            <w:tcMar>
              <w:left w:w="101" w:type="dxa"/>
              <w:right w:w="101" w:type="dxa"/>
            </w:tcMar>
            <w:vAlign w:val="bottom"/>
          </w:tcPr>
          <w:p w14:paraId="26928A17" w14:textId="77777777" w:rsidR="003F0EEA" w:rsidRDefault="003F0EEA">
            <w:pPr>
              <w:rPr>
                <w:rFonts w:ascii="Arial" w:eastAsia="Arial" w:hAnsi="Arial" w:cs="Arial"/>
                <w:b/>
                <w:color w:val="000000"/>
                <w:sz w:val="20"/>
              </w:rPr>
            </w:pPr>
          </w:p>
        </w:tc>
        <w:tc>
          <w:tcPr>
            <w:tcW w:w="810" w:type="dxa"/>
            <w:tcBorders>
              <w:top w:val="nil"/>
              <w:left w:val="nil"/>
              <w:bottom w:val="nil"/>
              <w:right w:val="nil"/>
              <w:tl2br w:val="nil"/>
              <w:tr2bl w:val="nil"/>
            </w:tcBorders>
            <w:shd w:val="clear" w:color="auto" w:fill="FFFFFF"/>
            <w:tcMar>
              <w:left w:w="101" w:type="dxa"/>
              <w:right w:w="101" w:type="dxa"/>
            </w:tcMar>
            <w:vAlign w:val="bottom"/>
          </w:tcPr>
          <w:p w14:paraId="5EC857DD" w14:textId="77777777" w:rsidR="003F0EEA" w:rsidRDefault="003F0EEA">
            <w:pPr>
              <w:jc w:val="right"/>
              <w:rPr>
                <w:rFonts w:ascii="Arial" w:eastAsia="Arial" w:hAnsi="Arial" w:cs="Arial"/>
                <w:color w:val="000000"/>
                <w:sz w:val="16"/>
                <w:vertAlign w:val="superscript"/>
              </w:rPr>
            </w:pPr>
          </w:p>
        </w:tc>
        <w:tc>
          <w:tcPr>
            <w:tcW w:w="870" w:type="dxa"/>
            <w:tcBorders>
              <w:top w:val="nil"/>
              <w:left w:val="nil"/>
              <w:bottom w:val="nil"/>
              <w:right w:val="nil"/>
              <w:tl2br w:val="nil"/>
              <w:tr2bl w:val="nil"/>
            </w:tcBorders>
            <w:shd w:val="clear" w:color="auto" w:fill="FFFFFF"/>
            <w:tcMar>
              <w:left w:w="101" w:type="dxa"/>
              <w:right w:w="101" w:type="dxa"/>
            </w:tcMar>
            <w:vAlign w:val="bottom"/>
          </w:tcPr>
          <w:p w14:paraId="46DFAC60" w14:textId="77777777" w:rsidR="003F0EEA" w:rsidRDefault="003F0EEA">
            <w:pPr>
              <w:jc w:val="right"/>
              <w:rPr>
                <w:rFonts w:ascii="Arial" w:eastAsia="Arial" w:hAnsi="Arial" w:cs="Arial"/>
                <w:color w:val="000000"/>
                <w:sz w:val="16"/>
                <w:vertAlign w:val="superscript"/>
              </w:rPr>
            </w:pPr>
          </w:p>
        </w:tc>
        <w:tc>
          <w:tcPr>
            <w:tcW w:w="1215" w:type="dxa"/>
            <w:tcBorders>
              <w:top w:val="nil"/>
              <w:left w:val="nil"/>
              <w:bottom w:val="nil"/>
              <w:right w:val="nil"/>
              <w:tl2br w:val="nil"/>
              <w:tr2bl w:val="nil"/>
            </w:tcBorders>
            <w:shd w:val="clear" w:color="auto" w:fill="FFFFFF"/>
            <w:tcMar>
              <w:left w:w="101" w:type="dxa"/>
              <w:right w:w="101" w:type="dxa"/>
            </w:tcMar>
            <w:vAlign w:val="bottom"/>
          </w:tcPr>
          <w:p w14:paraId="0DE4B8B8" w14:textId="77777777" w:rsidR="003F0EEA" w:rsidRDefault="00FB7D0B">
            <w:pPr>
              <w:jc w:val="right"/>
              <w:rPr>
                <w:rFonts w:ascii="Arial" w:eastAsia="Arial" w:hAnsi="Arial" w:cs="Arial"/>
                <w:color w:val="000000"/>
                <w:sz w:val="16"/>
                <w:vertAlign w:val="superscript"/>
              </w:rPr>
            </w:pPr>
            <w:r>
              <w:rPr>
                <w:rFonts w:ascii="Arial" w:eastAsia="Arial" w:hAnsi="Arial" w:cs="Arial"/>
                <w:color w:val="000000"/>
                <w:sz w:val="16"/>
              </w:rPr>
              <w:t>plant and</w:t>
            </w:r>
          </w:p>
        </w:tc>
        <w:tc>
          <w:tcPr>
            <w:tcW w:w="1020" w:type="dxa"/>
            <w:tcBorders>
              <w:top w:val="nil"/>
              <w:left w:val="nil"/>
              <w:bottom w:val="nil"/>
              <w:right w:val="nil"/>
              <w:tl2br w:val="nil"/>
              <w:tr2bl w:val="nil"/>
            </w:tcBorders>
            <w:shd w:val="clear" w:color="auto" w:fill="FFFFFF"/>
            <w:tcMar>
              <w:left w:w="101" w:type="dxa"/>
              <w:right w:w="101" w:type="dxa"/>
            </w:tcMar>
            <w:vAlign w:val="bottom"/>
          </w:tcPr>
          <w:p w14:paraId="1A8F1628" w14:textId="77777777" w:rsidR="003F0EEA" w:rsidRDefault="00FB7D0B">
            <w:pPr>
              <w:jc w:val="right"/>
              <w:rPr>
                <w:rFonts w:ascii="Arial" w:eastAsia="Arial" w:hAnsi="Arial" w:cs="Arial"/>
                <w:color w:val="000000"/>
                <w:sz w:val="16"/>
              </w:rPr>
            </w:pPr>
            <w:r>
              <w:rPr>
                <w:rFonts w:ascii="Arial" w:eastAsia="Arial" w:hAnsi="Arial" w:cs="Arial"/>
                <w:color w:val="000000"/>
                <w:sz w:val="16"/>
              </w:rPr>
              <w:t>Software</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7E51AF8E" w14:textId="77777777" w:rsidR="003F0EEA" w:rsidRDefault="003F0EEA">
            <w:pPr>
              <w:jc w:val="right"/>
              <w:rPr>
                <w:rFonts w:ascii="Arial" w:eastAsia="Arial" w:hAnsi="Arial" w:cs="Arial"/>
                <w:color w:val="000000"/>
                <w:sz w:val="16"/>
              </w:rPr>
            </w:pPr>
          </w:p>
        </w:tc>
      </w:tr>
      <w:tr w:rsidR="00724034" w14:paraId="08F1AAE1" w14:textId="77777777">
        <w:trPr>
          <w:trHeight w:val="225"/>
        </w:trPr>
        <w:tc>
          <w:tcPr>
            <w:tcW w:w="180" w:type="dxa"/>
            <w:tcBorders>
              <w:top w:val="nil"/>
              <w:left w:val="nil"/>
              <w:bottom w:val="nil"/>
              <w:right w:val="nil"/>
              <w:tl2br w:val="nil"/>
              <w:tr2bl w:val="nil"/>
            </w:tcBorders>
            <w:shd w:val="clear" w:color="auto" w:fill="FFFFFF"/>
            <w:tcMar>
              <w:left w:w="101" w:type="dxa"/>
              <w:right w:w="101" w:type="dxa"/>
            </w:tcMar>
            <w:vAlign w:val="bottom"/>
          </w:tcPr>
          <w:p w14:paraId="18C0BD1A" w14:textId="77777777" w:rsidR="003F0EEA" w:rsidRDefault="003F0EEA">
            <w:pPr>
              <w:rPr>
                <w:rFonts w:ascii="Arial" w:eastAsia="Arial" w:hAnsi="Arial" w:cs="Arial"/>
                <w:color w:val="000000"/>
                <w:sz w:val="16"/>
              </w:rPr>
            </w:pPr>
          </w:p>
        </w:tc>
        <w:tc>
          <w:tcPr>
            <w:tcW w:w="2805" w:type="dxa"/>
            <w:tcBorders>
              <w:top w:val="nil"/>
              <w:left w:val="nil"/>
              <w:bottom w:val="nil"/>
              <w:right w:val="nil"/>
              <w:tl2br w:val="nil"/>
              <w:tr2bl w:val="nil"/>
            </w:tcBorders>
            <w:shd w:val="clear" w:color="auto" w:fill="FFFFFF"/>
            <w:tcMar>
              <w:left w:w="101" w:type="dxa"/>
              <w:right w:w="101" w:type="dxa"/>
            </w:tcMar>
            <w:vAlign w:val="bottom"/>
          </w:tcPr>
          <w:p w14:paraId="35235A6C" w14:textId="77777777" w:rsidR="003F0EEA" w:rsidRDefault="003F0EEA">
            <w:pPr>
              <w:rPr>
                <w:rFonts w:ascii="Arial" w:eastAsia="Arial" w:hAnsi="Arial" w:cs="Arial"/>
                <w:b/>
                <w:color w:val="000000"/>
                <w:sz w:val="20"/>
              </w:rPr>
            </w:pPr>
          </w:p>
        </w:tc>
        <w:tc>
          <w:tcPr>
            <w:tcW w:w="810" w:type="dxa"/>
            <w:tcBorders>
              <w:top w:val="nil"/>
              <w:left w:val="nil"/>
              <w:bottom w:val="nil"/>
              <w:right w:val="nil"/>
              <w:tl2br w:val="nil"/>
              <w:tr2bl w:val="nil"/>
            </w:tcBorders>
            <w:shd w:val="clear" w:color="auto" w:fill="FFFFFF"/>
            <w:tcMar>
              <w:left w:w="101" w:type="dxa"/>
              <w:right w:w="101" w:type="dxa"/>
            </w:tcMar>
            <w:vAlign w:val="bottom"/>
          </w:tcPr>
          <w:p w14:paraId="2850C21E" w14:textId="77777777" w:rsidR="003F0EEA" w:rsidRDefault="003F0EEA">
            <w:pPr>
              <w:rPr>
                <w:rFonts w:ascii="Arial" w:eastAsia="Arial" w:hAnsi="Arial" w:cs="Arial"/>
                <w:color w:val="000000"/>
                <w:sz w:val="16"/>
                <w:vertAlign w:val="superscript"/>
              </w:rPr>
            </w:pPr>
          </w:p>
        </w:tc>
        <w:tc>
          <w:tcPr>
            <w:tcW w:w="870" w:type="dxa"/>
            <w:tcBorders>
              <w:top w:val="nil"/>
              <w:left w:val="nil"/>
              <w:bottom w:val="nil"/>
              <w:right w:val="nil"/>
              <w:tl2br w:val="nil"/>
              <w:tr2bl w:val="nil"/>
            </w:tcBorders>
            <w:shd w:val="clear" w:color="auto" w:fill="FFFFFF"/>
            <w:tcMar>
              <w:left w:w="101" w:type="dxa"/>
              <w:right w:w="101" w:type="dxa"/>
            </w:tcMar>
            <w:vAlign w:val="bottom"/>
          </w:tcPr>
          <w:p w14:paraId="3D33CD6B" w14:textId="77777777" w:rsidR="003F0EEA" w:rsidRDefault="003F0EEA">
            <w:pPr>
              <w:rPr>
                <w:rFonts w:ascii="Arial" w:eastAsia="Arial" w:hAnsi="Arial" w:cs="Arial"/>
                <w:b/>
                <w:color w:val="000000"/>
                <w:sz w:val="20"/>
                <w:vertAlign w:val="superscript"/>
              </w:rPr>
            </w:pPr>
          </w:p>
        </w:tc>
        <w:tc>
          <w:tcPr>
            <w:tcW w:w="1215" w:type="dxa"/>
            <w:tcBorders>
              <w:top w:val="nil"/>
              <w:left w:val="nil"/>
              <w:bottom w:val="nil"/>
              <w:right w:val="nil"/>
              <w:tl2br w:val="nil"/>
              <w:tr2bl w:val="nil"/>
            </w:tcBorders>
            <w:shd w:val="clear" w:color="auto" w:fill="FFFFFF"/>
            <w:tcMar>
              <w:left w:w="101" w:type="dxa"/>
              <w:right w:w="101" w:type="dxa"/>
            </w:tcMar>
            <w:vAlign w:val="bottom"/>
          </w:tcPr>
          <w:p w14:paraId="075C5785" w14:textId="77777777" w:rsidR="003F0EEA" w:rsidRDefault="00FB7D0B">
            <w:pPr>
              <w:jc w:val="right"/>
              <w:rPr>
                <w:rFonts w:ascii="Arial" w:eastAsia="Arial" w:hAnsi="Arial" w:cs="Arial"/>
                <w:b/>
                <w:color w:val="000000"/>
                <w:sz w:val="20"/>
                <w:vertAlign w:val="superscript"/>
              </w:rPr>
            </w:pPr>
            <w:r>
              <w:rPr>
                <w:rFonts w:ascii="Arial" w:eastAsia="Arial" w:hAnsi="Arial" w:cs="Arial"/>
                <w:color w:val="000000"/>
                <w:sz w:val="16"/>
              </w:rPr>
              <w:t>equipment</w:t>
            </w:r>
          </w:p>
        </w:tc>
        <w:tc>
          <w:tcPr>
            <w:tcW w:w="1020" w:type="dxa"/>
            <w:tcBorders>
              <w:top w:val="nil"/>
              <w:left w:val="nil"/>
              <w:bottom w:val="nil"/>
              <w:right w:val="nil"/>
              <w:tl2br w:val="nil"/>
              <w:tr2bl w:val="nil"/>
            </w:tcBorders>
            <w:shd w:val="clear" w:color="auto" w:fill="FFFFFF"/>
            <w:tcMar>
              <w:left w:w="101" w:type="dxa"/>
              <w:right w:w="101" w:type="dxa"/>
            </w:tcMar>
            <w:vAlign w:val="bottom"/>
          </w:tcPr>
          <w:p w14:paraId="7C962E07" w14:textId="77777777" w:rsidR="003F0EEA" w:rsidRDefault="003F0EEA">
            <w:pPr>
              <w:rPr>
                <w:rFonts w:ascii="Arial" w:eastAsia="Arial" w:hAnsi="Arial" w:cs="Arial"/>
                <w:color w:val="000000"/>
                <w:sz w:val="16"/>
              </w:rPr>
            </w:pP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2870C2E6" w14:textId="77777777" w:rsidR="003F0EEA" w:rsidRDefault="003F0EEA">
            <w:pPr>
              <w:jc w:val="right"/>
              <w:rPr>
                <w:rFonts w:ascii="Arial" w:eastAsia="Arial" w:hAnsi="Arial" w:cs="Arial"/>
                <w:color w:val="000000"/>
                <w:sz w:val="16"/>
              </w:rPr>
            </w:pPr>
          </w:p>
        </w:tc>
      </w:tr>
      <w:tr w:rsidR="00724034" w14:paraId="355852D6" w14:textId="77777777">
        <w:trPr>
          <w:trHeight w:val="225"/>
        </w:trPr>
        <w:tc>
          <w:tcPr>
            <w:tcW w:w="180" w:type="dxa"/>
            <w:tcBorders>
              <w:top w:val="nil"/>
              <w:left w:val="nil"/>
              <w:bottom w:val="nil"/>
              <w:right w:val="nil"/>
              <w:tl2br w:val="nil"/>
              <w:tr2bl w:val="nil"/>
            </w:tcBorders>
            <w:shd w:val="clear" w:color="auto" w:fill="FFFFFF"/>
            <w:tcMar>
              <w:left w:w="101" w:type="dxa"/>
              <w:right w:w="101" w:type="dxa"/>
            </w:tcMar>
            <w:vAlign w:val="bottom"/>
          </w:tcPr>
          <w:p w14:paraId="3A352B7E" w14:textId="77777777" w:rsidR="003F0EEA" w:rsidRDefault="003F0EEA">
            <w:pPr>
              <w:rPr>
                <w:rFonts w:ascii="Arial" w:eastAsia="Arial" w:hAnsi="Arial" w:cs="Arial"/>
                <w:color w:val="000000"/>
                <w:sz w:val="16"/>
              </w:rPr>
            </w:pPr>
          </w:p>
        </w:tc>
        <w:tc>
          <w:tcPr>
            <w:tcW w:w="2805" w:type="dxa"/>
            <w:tcBorders>
              <w:top w:val="nil"/>
              <w:left w:val="nil"/>
              <w:bottom w:val="nil"/>
              <w:right w:val="nil"/>
              <w:tl2br w:val="nil"/>
              <w:tr2bl w:val="nil"/>
            </w:tcBorders>
            <w:shd w:val="clear" w:color="auto" w:fill="FFFFFF"/>
            <w:tcMar>
              <w:left w:w="101" w:type="dxa"/>
              <w:right w:w="101" w:type="dxa"/>
            </w:tcMar>
            <w:vAlign w:val="bottom"/>
          </w:tcPr>
          <w:p w14:paraId="24D24BA1" w14:textId="77777777" w:rsidR="003F0EEA" w:rsidRDefault="003F0EEA">
            <w:pPr>
              <w:rPr>
                <w:rFonts w:ascii="Arial" w:eastAsia="Arial" w:hAnsi="Arial" w:cs="Arial"/>
                <w:b/>
                <w:color w:val="000000"/>
                <w:sz w:val="20"/>
              </w:rPr>
            </w:pPr>
          </w:p>
        </w:tc>
        <w:tc>
          <w:tcPr>
            <w:tcW w:w="810"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32AC2493" w14:textId="77777777" w:rsidR="003F0EEA" w:rsidRDefault="00FB7D0B">
            <w:pPr>
              <w:jc w:val="right"/>
              <w:rPr>
                <w:rFonts w:ascii="Arial" w:eastAsia="Arial" w:hAnsi="Arial" w:cs="Arial"/>
                <w:color w:val="000000"/>
                <w:sz w:val="16"/>
                <w:vertAlign w:val="superscript"/>
              </w:rPr>
            </w:pPr>
            <w:r>
              <w:rPr>
                <w:rFonts w:ascii="Arial" w:eastAsia="Arial" w:hAnsi="Arial" w:cs="Arial"/>
                <w:color w:val="000000"/>
                <w:sz w:val="16"/>
              </w:rPr>
              <w:t>$'000</w:t>
            </w:r>
          </w:p>
        </w:tc>
        <w:tc>
          <w:tcPr>
            <w:tcW w:w="870"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1103E104" w14:textId="77777777" w:rsidR="003F0EEA" w:rsidRDefault="00FB7D0B">
            <w:pPr>
              <w:jc w:val="right"/>
              <w:rPr>
                <w:rFonts w:ascii="Arial" w:eastAsia="Arial" w:hAnsi="Arial" w:cs="Arial"/>
                <w:color w:val="000000"/>
                <w:sz w:val="16"/>
              </w:rPr>
            </w:pPr>
            <w:r>
              <w:rPr>
                <w:rFonts w:ascii="Arial" w:eastAsia="Arial" w:hAnsi="Arial" w:cs="Arial"/>
                <w:color w:val="000000"/>
                <w:sz w:val="16"/>
              </w:rPr>
              <w:t>$'000</w:t>
            </w:r>
          </w:p>
        </w:tc>
        <w:tc>
          <w:tcPr>
            <w:tcW w:w="1215"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5CDC001D" w14:textId="77777777" w:rsidR="003F0EEA" w:rsidRDefault="00FB7D0B">
            <w:pPr>
              <w:jc w:val="right"/>
              <w:rPr>
                <w:rFonts w:ascii="Arial" w:eastAsia="Arial" w:hAnsi="Arial" w:cs="Arial"/>
                <w:color w:val="000000"/>
                <w:sz w:val="16"/>
              </w:rPr>
            </w:pPr>
            <w:r>
              <w:rPr>
                <w:rFonts w:ascii="Arial" w:eastAsia="Arial" w:hAnsi="Arial" w:cs="Arial"/>
                <w:color w:val="000000"/>
                <w:sz w:val="16"/>
              </w:rPr>
              <w:t>$'000</w:t>
            </w:r>
          </w:p>
        </w:tc>
        <w:tc>
          <w:tcPr>
            <w:tcW w:w="1020"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7EFD3212" w14:textId="77777777" w:rsidR="003F0EEA" w:rsidRDefault="00FB7D0B">
            <w:pPr>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5276DF10" w14:textId="77777777" w:rsidR="003F0EEA" w:rsidRDefault="00FB7D0B">
            <w:pPr>
              <w:jc w:val="right"/>
              <w:rPr>
                <w:rFonts w:ascii="Arial" w:eastAsia="Arial" w:hAnsi="Arial" w:cs="Arial"/>
                <w:color w:val="000000"/>
                <w:sz w:val="16"/>
              </w:rPr>
            </w:pPr>
            <w:r>
              <w:rPr>
                <w:rFonts w:ascii="Arial" w:eastAsia="Arial" w:hAnsi="Arial" w:cs="Arial"/>
                <w:color w:val="000000"/>
                <w:sz w:val="16"/>
              </w:rPr>
              <w:t>$'000</w:t>
            </w:r>
          </w:p>
        </w:tc>
      </w:tr>
      <w:tr w:rsidR="00FB7D0B" w14:paraId="5E79157E" w14:textId="77777777" w:rsidTr="00FB7D0B">
        <w:trPr>
          <w:trHeight w:val="225"/>
        </w:trPr>
        <w:tc>
          <w:tcPr>
            <w:tcW w:w="2985" w:type="dxa"/>
            <w:gridSpan w:val="2"/>
            <w:vMerge w:val="restart"/>
            <w:tcBorders>
              <w:top w:val="nil"/>
              <w:left w:val="nil"/>
              <w:bottom w:val="nil"/>
              <w:right w:val="nil"/>
              <w:tl2br w:val="nil"/>
              <w:tr2bl w:val="nil"/>
            </w:tcBorders>
            <w:shd w:val="clear" w:color="auto" w:fill="FFFFFF"/>
            <w:tcMar>
              <w:left w:w="101" w:type="dxa"/>
              <w:right w:w="101" w:type="dxa"/>
            </w:tcMar>
            <w:vAlign w:val="bottom"/>
          </w:tcPr>
          <w:p w14:paraId="186EB668" w14:textId="77777777" w:rsidR="003F0EEA" w:rsidRDefault="00FB7D0B">
            <w:pPr>
              <w:rPr>
                <w:rFonts w:ascii="Arial" w:eastAsia="Arial" w:hAnsi="Arial" w:cs="Arial"/>
                <w:color w:val="000000"/>
                <w:sz w:val="16"/>
              </w:rPr>
            </w:pPr>
            <w:r>
              <w:rPr>
                <w:rFonts w:ascii="Arial" w:eastAsia="Arial" w:hAnsi="Arial" w:cs="Arial"/>
                <w:b/>
                <w:color w:val="000000"/>
                <w:sz w:val="16"/>
              </w:rPr>
              <w:t>As at 1 July 2014</w:t>
            </w:r>
          </w:p>
        </w:tc>
        <w:tc>
          <w:tcPr>
            <w:tcW w:w="810"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6A588560" w14:textId="77777777" w:rsidR="003F0EEA" w:rsidRDefault="003F0EEA">
            <w:pPr>
              <w:rPr>
                <w:rFonts w:ascii="Arial" w:eastAsia="Arial" w:hAnsi="Arial" w:cs="Arial"/>
                <w:b/>
                <w:color w:val="000000"/>
                <w:sz w:val="16"/>
                <w:vertAlign w:val="superscript"/>
              </w:rPr>
            </w:pPr>
          </w:p>
        </w:tc>
        <w:tc>
          <w:tcPr>
            <w:tcW w:w="870"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6101ACA8" w14:textId="77777777" w:rsidR="003F0EEA" w:rsidRDefault="003F0EEA">
            <w:pPr>
              <w:rPr>
                <w:rFonts w:ascii="Arial" w:eastAsia="Arial" w:hAnsi="Arial" w:cs="Arial"/>
                <w:color w:val="000000"/>
                <w:sz w:val="16"/>
                <w:vertAlign w:val="superscript"/>
              </w:rPr>
            </w:pPr>
          </w:p>
        </w:tc>
        <w:tc>
          <w:tcPr>
            <w:tcW w:w="121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1849A1BE" w14:textId="77777777" w:rsidR="003F0EEA" w:rsidRDefault="003F0EEA">
            <w:pPr>
              <w:rPr>
                <w:rFonts w:ascii="Arial" w:eastAsia="Arial" w:hAnsi="Arial" w:cs="Arial"/>
                <w:color w:val="000000"/>
                <w:sz w:val="16"/>
                <w:vertAlign w:val="superscript"/>
              </w:rPr>
            </w:pPr>
          </w:p>
        </w:tc>
        <w:tc>
          <w:tcPr>
            <w:tcW w:w="1020"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5BCEC166" w14:textId="77777777" w:rsidR="003F0EEA" w:rsidRDefault="003F0EEA">
            <w:pPr>
              <w:rPr>
                <w:rFonts w:ascii="Arial" w:eastAsia="Arial" w:hAnsi="Arial" w:cs="Arial"/>
                <w:color w:val="000000"/>
                <w:sz w:val="16"/>
                <w:vertAlign w:val="superscript"/>
              </w:rPr>
            </w:pPr>
          </w:p>
        </w:tc>
        <w:tc>
          <w:tcPr>
            <w:tcW w:w="91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25DE5BEB" w14:textId="77777777" w:rsidR="003F0EEA" w:rsidRDefault="003F0EEA">
            <w:pPr>
              <w:jc w:val="right"/>
              <w:rPr>
                <w:rFonts w:ascii="Arial" w:eastAsia="Arial" w:hAnsi="Arial" w:cs="Arial"/>
                <w:color w:val="000000"/>
                <w:sz w:val="16"/>
                <w:vertAlign w:val="superscript"/>
              </w:rPr>
            </w:pPr>
          </w:p>
        </w:tc>
      </w:tr>
      <w:tr w:rsidR="00FB7D0B" w14:paraId="515B341C" w14:textId="77777777" w:rsidTr="00FB7D0B">
        <w:trPr>
          <w:trHeight w:val="225"/>
        </w:trPr>
        <w:tc>
          <w:tcPr>
            <w:tcW w:w="2985" w:type="dxa"/>
            <w:gridSpan w:val="2"/>
            <w:tcBorders>
              <w:top w:val="nil"/>
              <w:left w:val="nil"/>
              <w:bottom w:val="nil"/>
              <w:right w:val="nil"/>
              <w:tl2br w:val="nil"/>
              <w:tr2bl w:val="nil"/>
            </w:tcBorders>
            <w:shd w:val="clear" w:color="auto" w:fill="FFFFFF"/>
            <w:tcMar>
              <w:left w:w="101" w:type="dxa"/>
              <w:right w:w="101" w:type="dxa"/>
            </w:tcMar>
            <w:vAlign w:val="bottom"/>
          </w:tcPr>
          <w:p w14:paraId="663A7BC8" w14:textId="77777777" w:rsidR="003F0EEA" w:rsidRDefault="00FB7D0B">
            <w:pPr>
              <w:rPr>
                <w:rFonts w:ascii="Arial" w:eastAsia="Arial" w:hAnsi="Arial" w:cs="Arial"/>
                <w:color w:val="000000"/>
                <w:sz w:val="16"/>
                <w:vertAlign w:val="superscript"/>
              </w:rPr>
            </w:pPr>
            <w:r>
              <w:rPr>
                <w:rFonts w:ascii="Arial" w:eastAsia="Arial" w:hAnsi="Arial" w:cs="Arial"/>
                <w:color w:val="000000"/>
                <w:sz w:val="16"/>
              </w:rPr>
              <w:t xml:space="preserve">Gross book value </w:t>
            </w:r>
          </w:p>
        </w:tc>
        <w:tc>
          <w:tcPr>
            <w:tcW w:w="810" w:type="dxa"/>
            <w:tcBorders>
              <w:top w:val="nil"/>
              <w:left w:val="nil"/>
              <w:bottom w:val="nil"/>
              <w:right w:val="nil"/>
              <w:tl2br w:val="nil"/>
              <w:tr2bl w:val="nil"/>
            </w:tcBorders>
            <w:shd w:val="clear" w:color="auto" w:fill="FFFFFF"/>
            <w:tcMar>
              <w:left w:w="101" w:type="dxa"/>
              <w:right w:w="101" w:type="dxa"/>
            </w:tcMar>
            <w:vAlign w:val="bottom"/>
          </w:tcPr>
          <w:p w14:paraId="6CAB8EE8" w14:textId="77777777" w:rsidR="003F0EEA" w:rsidRDefault="00FB7D0B">
            <w:pPr>
              <w:jc w:val="right"/>
              <w:rPr>
                <w:rFonts w:ascii="Arial" w:eastAsia="Arial" w:hAnsi="Arial" w:cs="Arial"/>
                <w:color w:val="000000"/>
                <w:sz w:val="16"/>
                <w:vertAlign w:val="superscript"/>
              </w:rPr>
            </w:pPr>
            <w:r>
              <w:rPr>
                <w:rFonts w:ascii="Arial" w:eastAsia="Arial" w:hAnsi="Arial" w:cs="Arial"/>
                <w:color w:val="000000"/>
                <w:sz w:val="16"/>
              </w:rPr>
              <w:t xml:space="preserve"> 1,352 </w:t>
            </w:r>
          </w:p>
        </w:tc>
        <w:tc>
          <w:tcPr>
            <w:tcW w:w="870" w:type="dxa"/>
            <w:tcBorders>
              <w:top w:val="nil"/>
              <w:left w:val="nil"/>
              <w:bottom w:val="nil"/>
              <w:right w:val="nil"/>
              <w:tl2br w:val="nil"/>
              <w:tr2bl w:val="nil"/>
            </w:tcBorders>
            <w:shd w:val="clear" w:color="auto" w:fill="FFFFFF"/>
            <w:tcMar>
              <w:left w:w="101" w:type="dxa"/>
              <w:right w:w="101" w:type="dxa"/>
            </w:tcMar>
            <w:vAlign w:val="bottom"/>
          </w:tcPr>
          <w:p w14:paraId="0C963FAA" w14:textId="77777777" w:rsidR="003F0EEA" w:rsidRDefault="00FB7D0B">
            <w:pPr>
              <w:jc w:val="right"/>
              <w:rPr>
                <w:rFonts w:ascii="Arial" w:eastAsia="Arial" w:hAnsi="Arial" w:cs="Arial"/>
                <w:color w:val="000000"/>
                <w:sz w:val="16"/>
              </w:rPr>
            </w:pPr>
            <w:r>
              <w:rPr>
                <w:rFonts w:ascii="Arial" w:eastAsia="Arial" w:hAnsi="Arial" w:cs="Arial"/>
                <w:color w:val="000000"/>
                <w:sz w:val="16"/>
              </w:rPr>
              <w:t xml:space="preserve"> 38,819 </w:t>
            </w:r>
          </w:p>
        </w:tc>
        <w:tc>
          <w:tcPr>
            <w:tcW w:w="1215" w:type="dxa"/>
            <w:tcBorders>
              <w:top w:val="nil"/>
              <w:left w:val="nil"/>
              <w:bottom w:val="nil"/>
              <w:right w:val="nil"/>
              <w:tl2br w:val="nil"/>
              <w:tr2bl w:val="nil"/>
            </w:tcBorders>
            <w:shd w:val="clear" w:color="auto" w:fill="FFFFFF"/>
            <w:tcMar>
              <w:left w:w="101" w:type="dxa"/>
              <w:right w:w="101" w:type="dxa"/>
            </w:tcMar>
            <w:vAlign w:val="bottom"/>
          </w:tcPr>
          <w:p w14:paraId="7B150717" w14:textId="77777777" w:rsidR="003F0EEA" w:rsidRDefault="00FB7D0B">
            <w:pPr>
              <w:jc w:val="right"/>
              <w:rPr>
                <w:rFonts w:ascii="Arial" w:eastAsia="Arial" w:hAnsi="Arial" w:cs="Arial"/>
                <w:color w:val="000000"/>
                <w:sz w:val="16"/>
              </w:rPr>
            </w:pPr>
            <w:r>
              <w:rPr>
                <w:rFonts w:ascii="Arial" w:eastAsia="Arial" w:hAnsi="Arial" w:cs="Arial"/>
                <w:color w:val="000000"/>
                <w:sz w:val="16"/>
              </w:rPr>
              <w:t xml:space="preserve"> 36,769 </w:t>
            </w:r>
          </w:p>
        </w:tc>
        <w:tc>
          <w:tcPr>
            <w:tcW w:w="1020" w:type="dxa"/>
            <w:tcBorders>
              <w:top w:val="nil"/>
              <w:left w:val="nil"/>
              <w:bottom w:val="nil"/>
              <w:right w:val="nil"/>
              <w:tl2br w:val="nil"/>
              <w:tr2bl w:val="nil"/>
            </w:tcBorders>
            <w:shd w:val="clear" w:color="auto" w:fill="FFFFFF"/>
            <w:tcMar>
              <w:left w:w="101" w:type="dxa"/>
              <w:right w:w="101" w:type="dxa"/>
            </w:tcMar>
            <w:vAlign w:val="bottom"/>
          </w:tcPr>
          <w:p w14:paraId="70BDEF3E" w14:textId="77777777" w:rsidR="003F0EEA" w:rsidRDefault="00FB7D0B">
            <w:pPr>
              <w:jc w:val="right"/>
              <w:rPr>
                <w:rFonts w:ascii="Arial" w:eastAsia="Arial" w:hAnsi="Arial" w:cs="Arial"/>
                <w:color w:val="000000"/>
                <w:sz w:val="16"/>
              </w:rPr>
            </w:pPr>
            <w:r>
              <w:rPr>
                <w:rFonts w:ascii="Arial" w:eastAsia="Arial" w:hAnsi="Arial" w:cs="Arial"/>
                <w:color w:val="000000"/>
                <w:sz w:val="16"/>
              </w:rPr>
              <w:t xml:space="preserve"> 193,142 </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41902153" w14:textId="77777777" w:rsidR="003F0EEA" w:rsidRDefault="00FB7D0B">
            <w:pPr>
              <w:jc w:val="right"/>
              <w:rPr>
                <w:rFonts w:ascii="Arial" w:eastAsia="Arial" w:hAnsi="Arial" w:cs="Arial"/>
                <w:color w:val="000000"/>
                <w:sz w:val="16"/>
              </w:rPr>
            </w:pPr>
            <w:r>
              <w:rPr>
                <w:rFonts w:ascii="Arial" w:eastAsia="Arial" w:hAnsi="Arial" w:cs="Arial"/>
                <w:color w:val="000000"/>
                <w:sz w:val="16"/>
              </w:rPr>
              <w:t xml:space="preserve"> 270,082 </w:t>
            </w:r>
          </w:p>
        </w:tc>
      </w:tr>
      <w:tr w:rsidR="00FB7D0B" w14:paraId="7AECE95C" w14:textId="77777777" w:rsidTr="00FB7D0B">
        <w:trPr>
          <w:trHeight w:val="225"/>
        </w:trPr>
        <w:tc>
          <w:tcPr>
            <w:tcW w:w="2985" w:type="dxa"/>
            <w:gridSpan w:val="2"/>
            <w:tcBorders>
              <w:top w:val="nil"/>
              <w:left w:val="nil"/>
              <w:bottom w:val="nil"/>
              <w:right w:val="nil"/>
              <w:tl2br w:val="nil"/>
              <w:tr2bl w:val="nil"/>
            </w:tcBorders>
            <w:shd w:val="clear" w:color="auto" w:fill="FFFFFF"/>
            <w:tcMar>
              <w:left w:w="101" w:type="dxa"/>
              <w:right w:w="101" w:type="dxa"/>
            </w:tcMar>
            <w:vAlign w:val="bottom"/>
          </w:tcPr>
          <w:p w14:paraId="32EAF089" w14:textId="77777777" w:rsidR="003F0EEA" w:rsidRDefault="00FB7D0B">
            <w:pPr>
              <w:rPr>
                <w:rFonts w:ascii="Arial" w:eastAsia="Arial" w:hAnsi="Arial" w:cs="Arial"/>
                <w:color w:val="000000"/>
                <w:sz w:val="16"/>
              </w:rPr>
            </w:pPr>
            <w:r>
              <w:rPr>
                <w:rFonts w:ascii="Arial" w:eastAsia="Arial" w:hAnsi="Arial" w:cs="Arial"/>
                <w:color w:val="000000"/>
                <w:sz w:val="16"/>
              </w:rPr>
              <w:t>Accumulated depreciation/</w:t>
            </w:r>
          </w:p>
        </w:tc>
        <w:tc>
          <w:tcPr>
            <w:tcW w:w="810" w:type="dxa"/>
            <w:tcBorders>
              <w:top w:val="nil"/>
              <w:left w:val="nil"/>
              <w:bottom w:val="nil"/>
              <w:right w:val="nil"/>
              <w:tl2br w:val="nil"/>
              <w:tr2bl w:val="nil"/>
            </w:tcBorders>
            <w:shd w:val="clear" w:color="auto" w:fill="FFFFFF"/>
            <w:tcMar>
              <w:left w:w="101" w:type="dxa"/>
              <w:right w:w="101" w:type="dxa"/>
            </w:tcMar>
            <w:vAlign w:val="bottom"/>
          </w:tcPr>
          <w:p w14:paraId="7A1A93DA" w14:textId="77777777" w:rsidR="003F0EEA" w:rsidRDefault="003F0EEA">
            <w:pPr>
              <w:rPr>
                <w:rFonts w:ascii="Arial" w:eastAsia="Arial" w:hAnsi="Arial" w:cs="Arial"/>
                <w:color w:val="000000"/>
                <w:sz w:val="16"/>
                <w:vertAlign w:val="superscript"/>
              </w:rPr>
            </w:pPr>
          </w:p>
        </w:tc>
        <w:tc>
          <w:tcPr>
            <w:tcW w:w="870" w:type="dxa"/>
            <w:tcBorders>
              <w:top w:val="nil"/>
              <w:left w:val="nil"/>
              <w:bottom w:val="nil"/>
              <w:right w:val="nil"/>
              <w:tl2br w:val="nil"/>
              <w:tr2bl w:val="nil"/>
            </w:tcBorders>
            <w:shd w:val="clear" w:color="auto" w:fill="FFFFFF"/>
            <w:tcMar>
              <w:left w:w="101" w:type="dxa"/>
              <w:right w:w="101" w:type="dxa"/>
            </w:tcMar>
            <w:vAlign w:val="bottom"/>
          </w:tcPr>
          <w:p w14:paraId="68A71B76" w14:textId="77777777" w:rsidR="003F0EEA" w:rsidRDefault="003F0EEA">
            <w:pPr>
              <w:rPr>
                <w:rFonts w:ascii="Arial" w:eastAsia="Arial" w:hAnsi="Arial" w:cs="Arial"/>
                <w:color w:val="000000"/>
                <w:sz w:val="16"/>
                <w:vertAlign w:val="superscript"/>
              </w:rPr>
            </w:pPr>
          </w:p>
        </w:tc>
        <w:tc>
          <w:tcPr>
            <w:tcW w:w="1215" w:type="dxa"/>
            <w:tcBorders>
              <w:top w:val="nil"/>
              <w:left w:val="nil"/>
              <w:bottom w:val="nil"/>
              <w:right w:val="nil"/>
              <w:tl2br w:val="nil"/>
              <w:tr2bl w:val="nil"/>
            </w:tcBorders>
            <w:shd w:val="clear" w:color="auto" w:fill="FFFFFF"/>
            <w:tcMar>
              <w:left w:w="101" w:type="dxa"/>
              <w:right w:w="101" w:type="dxa"/>
            </w:tcMar>
            <w:vAlign w:val="bottom"/>
          </w:tcPr>
          <w:p w14:paraId="6DD57513" w14:textId="77777777" w:rsidR="003F0EEA" w:rsidRDefault="003F0EEA">
            <w:pPr>
              <w:rPr>
                <w:rFonts w:ascii="Arial" w:eastAsia="Arial" w:hAnsi="Arial" w:cs="Arial"/>
                <w:color w:val="000000"/>
                <w:sz w:val="16"/>
                <w:vertAlign w:val="superscript"/>
              </w:rPr>
            </w:pPr>
          </w:p>
        </w:tc>
        <w:tc>
          <w:tcPr>
            <w:tcW w:w="1020" w:type="dxa"/>
            <w:tcBorders>
              <w:top w:val="nil"/>
              <w:left w:val="nil"/>
              <w:bottom w:val="nil"/>
              <w:right w:val="nil"/>
              <w:tl2br w:val="nil"/>
              <w:tr2bl w:val="nil"/>
            </w:tcBorders>
            <w:shd w:val="clear" w:color="auto" w:fill="FFFFFF"/>
            <w:tcMar>
              <w:left w:w="101" w:type="dxa"/>
              <w:right w:w="101" w:type="dxa"/>
            </w:tcMar>
            <w:vAlign w:val="bottom"/>
          </w:tcPr>
          <w:p w14:paraId="30F959BB" w14:textId="77777777" w:rsidR="003F0EEA" w:rsidRDefault="003F0EEA">
            <w:pPr>
              <w:rPr>
                <w:rFonts w:ascii="Arial" w:eastAsia="Arial" w:hAnsi="Arial" w:cs="Arial"/>
                <w:color w:val="000000"/>
                <w:sz w:val="16"/>
                <w:vertAlign w:val="superscript"/>
              </w:rPr>
            </w:pP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68F43046" w14:textId="77777777" w:rsidR="003F0EEA" w:rsidRDefault="003F0EEA">
            <w:pPr>
              <w:jc w:val="right"/>
              <w:rPr>
                <w:rFonts w:ascii="Arial" w:eastAsia="Arial" w:hAnsi="Arial" w:cs="Arial"/>
                <w:color w:val="000000"/>
                <w:sz w:val="16"/>
                <w:vertAlign w:val="superscript"/>
              </w:rPr>
            </w:pPr>
          </w:p>
        </w:tc>
      </w:tr>
      <w:tr w:rsidR="00724034" w14:paraId="25F129C9" w14:textId="77777777">
        <w:trPr>
          <w:trHeight w:val="225"/>
        </w:trPr>
        <w:tc>
          <w:tcPr>
            <w:tcW w:w="180" w:type="dxa"/>
            <w:tcBorders>
              <w:top w:val="nil"/>
              <w:left w:val="nil"/>
              <w:bottom w:val="nil"/>
              <w:right w:val="nil"/>
              <w:tl2br w:val="nil"/>
              <w:tr2bl w:val="nil"/>
            </w:tcBorders>
            <w:shd w:val="clear" w:color="auto" w:fill="FFFFFF"/>
            <w:tcMar>
              <w:left w:w="101" w:type="dxa"/>
              <w:right w:w="101" w:type="dxa"/>
            </w:tcMar>
            <w:vAlign w:val="bottom"/>
          </w:tcPr>
          <w:p w14:paraId="6DC158E4" w14:textId="77777777" w:rsidR="003F0EEA" w:rsidRDefault="003F0EEA">
            <w:pPr>
              <w:rPr>
                <w:rFonts w:ascii="Arial" w:eastAsia="Arial" w:hAnsi="Arial" w:cs="Arial"/>
                <w:color w:val="000000"/>
                <w:sz w:val="16"/>
                <w:vertAlign w:val="superscript"/>
              </w:rPr>
            </w:pPr>
          </w:p>
        </w:tc>
        <w:tc>
          <w:tcPr>
            <w:tcW w:w="2805" w:type="dxa"/>
            <w:tcBorders>
              <w:top w:val="nil"/>
              <w:left w:val="nil"/>
              <w:bottom w:val="nil"/>
              <w:right w:val="nil"/>
              <w:tl2br w:val="nil"/>
              <w:tr2bl w:val="nil"/>
            </w:tcBorders>
            <w:shd w:val="clear" w:color="auto" w:fill="FFFFFF"/>
            <w:tcMar>
              <w:left w:w="101" w:type="dxa"/>
              <w:right w:w="101" w:type="dxa"/>
            </w:tcMar>
            <w:vAlign w:val="bottom"/>
          </w:tcPr>
          <w:p w14:paraId="2D7C2761" w14:textId="77777777" w:rsidR="003F0EEA" w:rsidRDefault="00FB7D0B">
            <w:pPr>
              <w:rPr>
                <w:rFonts w:ascii="Arial" w:eastAsia="Arial" w:hAnsi="Arial" w:cs="Arial"/>
                <w:color w:val="000000"/>
                <w:sz w:val="20"/>
                <w:vertAlign w:val="superscript"/>
              </w:rPr>
            </w:pPr>
            <w:r>
              <w:rPr>
                <w:rFonts w:ascii="Arial" w:eastAsia="Arial" w:hAnsi="Arial" w:cs="Arial"/>
                <w:color w:val="000000"/>
                <w:sz w:val="16"/>
              </w:rPr>
              <w:t>amortisation and impairment</w:t>
            </w:r>
          </w:p>
        </w:tc>
        <w:tc>
          <w:tcPr>
            <w:tcW w:w="810"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0EFF7428" w14:textId="77777777" w:rsidR="003F0EEA" w:rsidRDefault="00FB7D0B">
            <w:pPr>
              <w:jc w:val="right"/>
              <w:rPr>
                <w:rFonts w:ascii="Arial" w:eastAsia="Arial" w:hAnsi="Arial" w:cs="Arial"/>
                <w:color w:val="000000"/>
                <w:sz w:val="16"/>
                <w:vertAlign w:val="superscript"/>
              </w:rPr>
            </w:pPr>
            <w:r>
              <w:rPr>
                <w:rFonts w:ascii="Arial" w:eastAsia="Arial" w:hAnsi="Arial" w:cs="Arial"/>
                <w:color w:val="000000"/>
                <w:sz w:val="16"/>
              </w:rPr>
              <w:t xml:space="preserve"> - </w:t>
            </w:r>
          </w:p>
        </w:tc>
        <w:tc>
          <w:tcPr>
            <w:tcW w:w="870"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7917D3AE" w14:textId="77777777" w:rsidR="003F0EEA" w:rsidRDefault="00FB7D0B">
            <w:pPr>
              <w:jc w:val="right"/>
              <w:rPr>
                <w:rFonts w:ascii="Arial" w:eastAsia="Arial" w:hAnsi="Arial" w:cs="Arial"/>
                <w:color w:val="000000"/>
                <w:sz w:val="16"/>
              </w:rPr>
            </w:pPr>
            <w:r>
              <w:rPr>
                <w:rFonts w:ascii="Arial" w:eastAsia="Arial" w:hAnsi="Arial" w:cs="Arial"/>
                <w:color w:val="000000"/>
                <w:sz w:val="16"/>
              </w:rPr>
              <w:t>(19,748)</w:t>
            </w:r>
          </w:p>
        </w:tc>
        <w:tc>
          <w:tcPr>
            <w:tcW w:w="1215"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2220C069" w14:textId="77777777" w:rsidR="003F0EEA" w:rsidRDefault="00FB7D0B">
            <w:pPr>
              <w:jc w:val="right"/>
              <w:rPr>
                <w:rFonts w:ascii="Arial" w:eastAsia="Arial" w:hAnsi="Arial" w:cs="Arial"/>
                <w:color w:val="000000"/>
                <w:sz w:val="16"/>
              </w:rPr>
            </w:pPr>
            <w:r>
              <w:rPr>
                <w:rFonts w:ascii="Arial" w:eastAsia="Arial" w:hAnsi="Arial" w:cs="Arial"/>
                <w:color w:val="000000"/>
                <w:sz w:val="16"/>
              </w:rPr>
              <w:t>(25,023)</w:t>
            </w:r>
          </w:p>
        </w:tc>
        <w:tc>
          <w:tcPr>
            <w:tcW w:w="1020"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5D823BE8" w14:textId="77777777" w:rsidR="003F0EEA" w:rsidRDefault="00FB7D0B">
            <w:pPr>
              <w:jc w:val="right"/>
              <w:rPr>
                <w:rFonts w:ascii="Arial" w:eastAsia="Arial" w:hAnsi="Arial" w:cs="Arial"/>
                <w:color w:val="000000"/>
                <w:sz w:val="16"/>
              </w:rPr>
            </w:pPr>
            <w:r>
              <w:rPr>
                <w:rFonts w:ascii="Arial" w:eastAsia="Arial" w:hAnsi="Arial" w:cs="Arial"/>
                <w:color w:val="000000"/>
                <w:sz w:val="16"/>
              </w:rPr>
              <w:t>(91,601)</w:t>
            </w:r>
          </w:p>
        </w:tc>
        <w:tc>
          <w:tcPr>
            <w:tcW w:w="915"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68412339" w14:textId="77777777" w:rsidR="003F0EEA" w:rsidRDefault="00FB7D0B">
            <w:pPr>
              <w:jc w:val="right"/>
              <w:rPr>
                <w:rFonts w:ascii="Arial" w:eastAsia="Arial" w:hAnsi="Arial" w:cs="Arial"/>
                <w:color w:val="000000"/>
                <w:sz w:val="16"/>
              </w:rPr>
            </w:pPr>
            <w:r>
              <w:rPr>
                <w:rFonts w:ascii="Arial" w:eastAsia="Arial" w:hAnsi="Arial" w:cs="Arial"/>
                <w:color w:val="000000"/>
                <w:sz w:val="16"/>
              </w:rPr>
              <w:t>(136,372)</w:t>
            </w:r>
          </w:p>
        </w:tc>
      </w:tr>
      <w:tr w:rsidR="00FB7D0B" w14:paraId="45D9FB48" w14:textId="77777777" w:rsidTr="00FB7D0B">
        <w:trPr>
          <w:trHeight w:val="225"/>
        </w:trPr>
        <w:tc>
          <w:tcPr>
            <w:tcW w:w="2985" w:type="dxa"/>
            <w:gridSpan w:val="2"/>
            <w:tcBorders>
              <w:top w:val="nil"/>
              <w:left w:val="nil"/>
              <w:bottom w:val="nil"/>
              <w:right w:val="nil"/>
              <w:tl2br w:val="nil"/>
              <w:tr2bl w:val="nil"/>
            </w:tcBorders>
            <w:shd w:val="clear" w:color="auto" w:fill="FFFFFF"/>
            <w:tcMar>
              <w:left w:w="101" w:type="dxa"/>
              <w:right w:w="101" w:type="dxa"/>
            </w:tcMar>
            <w:vAlign w:val="bottom"/>
          </w:tcPr>
          <w:p w14:paraId="2FDCC2F6" w14:textId="77777777" w:rsidR="003F0EEA" w:rsidRDefault="00FB7D0B">
            <w:pPr>
              <w:rPr>
                <w:rFonts w:ascii="Arial" w:eastAsia="Arial" w:hAnsi="Arial" w:cs="Arial"/>
                <w:color w:val="000000"/>
                <w:sz w:val="16"/>
              </w:rPr>
            </w:pPr>
            <w:r>
              <w:rPr>
                <w:rFonts w:ascii="Arial" w:eastAsia="Arial" w:hAnsi="Arial" w:cs="Arial"/>
                <w:b/>
                <w:color w:val="000000"/>
                <w:sz w:val="16"/>
              </w:rPr>
              <w:t>Opening net book balance</w:t>
            </w:r>
          </w:p>
        </w:tc>
        <w:tc>
          <w:tcPr>
            <w:tcW w:w="810"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43302106" w14:textId="77777777" w:rsidR="003F0EEA" w:rsidRDefault="00FB7D0B">
            <w:pPr>
              <w:jc w:val="right"/>
              <w:rPr>
                <w:rFonts w:ascii="Arial" w:eastAsia="Arial" w:hAnsi="Arial" w:cs="Arial"/>
                <w:b/>
                <w:color w:val="000000"/>
                <w:sz w:val="16"/>
                <w:vertAlign w:val="superscript"/>
              </w:rPr>
            </w:pPr>
            <w:r>
              <w:rPr>
                <w:rFonts w:ascii="Arial" w:eastAsia="Arial" w:hAnsi="Arial" w:cs="Arial"/>
                <w:b/>
                <w:color w:val="000000"/>
                <w:sz w:val="16"/>
              </w:rPr>
              <w:t xml:space="preserve"> 1,352 </w:t>
            </w:r>
          </w:p>
        </w:tc>
        <w:tc>
          <w:tcPr>
            <w:tcW w:w="870"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286FABDD" w14:textId="77777777" w:rsidR="003F0EEA" w:rsidRDefault="00FB7D0B">
            <w:pPr>
              <w:jc w:val="right"/>
              <w:rPr>
                <w:rFonts w:ascii="Arial" w:eastAsia="Arial" w:hAnsi="Arial" w:cs="Arial"/>
                <w:b/>
                <w:color w:val="000000"/>
                <w:sz w:val="16"/>
              </w:rPr>
            </w:pPr>
            <w:r>
              <w:rPr>
                <w:rFonts w:ascii="Arial" w:eastAsia="Arial" w:hAnsi="Arial" w:cs="Arial"/>
                <w:b/>
                <w:color w:val="000000"/>
                <w:sz w:val="16"/>
              </w:rPr>
              <w:t xml:space="preserve"> 19,071 </w:t>
            </w:r>
          </w:p>
        </w:tc>
        <w:tc>
          <w:tcPr>
            <w:tcW w:w="1215"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5F20F81A" w14:textId="77777777" w:rsidR="003F0EEA" w:rsidRDefault="00FB7D0B">
            <w:pPr>
              <w:jc w:val="right"/>
              <w:rPr>
                <w:rFonts w:ascii="Arial" w:eastAsia="Arial" w:hAnsi="Arial" w:cs="Arial"/>
                <w:b/>
                <w:color w:val="000000"/>
                <w:sz w:val="16"/>
              </w:rPr>
            </w:pPr>
            <w:r>
              <w:rPr>
                <w:rFonts w:ascii="Arial" w:eastAsia="Arial" w:hAnsi="Arial" w:cs="Arial"/>
                <w:b/>
                <w:color w:val="000000"/>
                <w:sz w:val="16"/>
              </w:rPr>
              <w:t xml:space="preserve"> 11,746 </w:t>
            </w:r>
          </w:p>
        </w:tc>
        <w:tc>
          <w:tcPr>
            <w:tcW w:w="1020"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0EDAEDD7" w14:textId="77777777" w:rsidR="003F0EEA" w:rsidRDefault="00FB7D0B">
            <w:pPr>
              <w:jc w:val="right"/>
              <w:rPr>
                <w:rFonts w:ascii="Arial" w:eastAsia="Arial" w:hAnsi="Arial" w:cs="Arial"/>
                <w:b/>
                <w:color w:val="000000"/>
                <w:sz w:val="16"/>
              </w:rPr>
            </w:pPr>
            <w:r>
              <w:rPr>
                <w:rFonts w:ascii="Arial" w:eastAsia="Arial" w:hAnsi="Arial" w:cs="Arial"/>
                <w:b/>
                <w:color w:val="000000"/>
                <w:sz w:val="16"/>
              </w:rPr>
              <w:t xml:space="preserve"> 101,541 </w:t>
            </w:r>
          </w:p>
        </w:tc>
        <w:tc>
          <w:tcPr>
            <w:tcW w:w="915"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7FE31643" w14:textId="77777777" w:rsidR="003F0EEA" w:rsidRDefault="00FB7D0B">
            <w:pPr>
              <w:jc w:val="right"/>
              <w:rPr>
                <w:rFonts w:ascii="Arial" w:eastAsia="Arial" w:hAnsi="Arial" w:cs="Arial"/>
                <w:b/>
                <w:color w:val="000000"/>
                <w:sz w:val="16"/>
              </w:rPr>
            </w:pPr>
            <w:r>
              <w:rPr>
                <w:rFonts w:ascii="Arial" w:eastAsia="Arial" w:hAnsi="Arial" w:cs="Arial"/>
                <w:b/>
                <w:color w:val="000000"/>
                <w:sz w:val="16"/>
              </w:rPr>
              <w:t xml:space="preserve"> 133,710 </w:t>
            </w:r>
          </w:p>
        </w:tc>
      </w:tr>
      <w:tr w:rsidR="00724034" w14:paraId="6537BAD7" w14:textId="77777777">
        <w:trPr>
          <w:trHeight w:val="60"/>
        </w:trPr>
        <w:tc>
          <w:tcPr>
            <w:tcW w:w="180" w:type="dxa"/>
            <w:tcBorders>
              <w:top w:val="nil"/>
              <w:left w:val="nil"/>
              <w:bottom w:val="nil"/>
              <w:right w:val="nil"/>
              <w:tl2br w:val="nil"/>
              <w:tr2bl w:val="nil"/>
            </w:tcBorders>
            <w:shd w:val="clear" w:color="auto" w:fill="FFFFFF"/>
            <w:tcMar>
              <w:left w:w="101" w:type="dxa"/>
              <w:right w:w="101" w:type="dxa"/>
            </w:tcMar>
            <w:vAlign w:val="bottom"/>
          </w:tcPr>
          <w:p w14:paraId="5689C535" w14:textId="77777777" w:rsidR="003F0EEA" w:rsidRDefault="003F0EEA">
            <w:pPr>
              <w:rPr>
                <w:rFonts w:ascii="Arial" w:eastAsia="Arial" w:hAnsi="Arial" w:cs="Arial"/>
                <w:b/>
                <w:color w:val="000000"/>
                <w:sz w:val="16"/>
              </w:rPr>
            </w:pPr>
          </w:p>
        </w:tc>
        <w:tc>
          <w:tcPr>
            <w:tcW w:w="2805" w:type="dxa"/>
            <w:tcBorders>
              <w:top w:val="nil"/>
              <w:left w:val="nil"/>
              <w:bottom w:val="nil"/>
              <w:right w:val="nil"/>
              <w:tl2br w:val="nil"/>
              <w:tr2bl w:val="nil"/>
            </w:tcBorders>
            <w:shd w:val="clear" w:color="auto" w:fill="FFFFFF"/>
            <w:tcMar>
              <w:left w:w="101" w:type="dxa"/>
              <w:right w:w="101" w:type="dxa"/>
            </w:tcMar>
            <w:vAlign w:val="bottom"/>
          </w:tcPr>
          <w:p w14:paraId="7E5F6A1A" w14:textId="77777777" w:rsidR="003F0EEA" w:rsidRDefault="003F0EEA">
            <w:pPr>
              <w:rPr>
                <w:rFonts w:ascii="Arial" w:eastAsia="Arial" w:hAnsi="Arial" w:cs="Arial"/>
                <w:color w:val="000000"/>
                <w:sz w:val="20"/>
              </w:rPr>
            </w:pPr>
          </w:p>
        </w:tc>
        <w:tc>
          <w:tcPr>
            <w:tcW w:w="810"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2D765E35" w14:textId="77777777" w:rsidR="003F0EEA" w:rsidRDefault="003F0EEA">
            <w:pPr>
              <w:rPr>
                <w:rFonts w:ascii="Arial" w:eastAsia="Arial" w:hAnsi="Arial" w:cs="Arial"/>
                <w:color w:val="000000"/>
                <w:sz w:val="16"/>
                <w:vertAlign w:val="superscript"/>
              </w:rPr>
            </w:pPr>
          </w:p>
        </w:tc>
        <w:tc>
          <w:tcPr>
            <w:tcW w:w="870"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3108ED59" w14:textId="77777777" w:rsidR="003F0EEA" w:rsidRDefault="003F0EEA">
            <w:pPr>
              <w:rPr>
                <w:rFonts w:ascii="Arial" w:eastAsia="Arial" w:hAnsi="Arial" w:cs="Arial"/>
                <w:color w:val="000000"/>
                <w:sz w:val="16"/>
                <w:vertAlign w:val="superscript"/>
              </w:rPr>
            </w:pPr>
          </w:p>
        </w:tc>
        <w:tc>
          <w:tcPr>
            <w:tcW w:w="121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3E863DDB" w14:textId="77777777" w:rsidR="003F0EEA" w:rsidRDefault="003F0EEA">
            <w:pPr>
              <w:rPr>
                <w:rFonts w:ascii="Arial" w:eastAsia="Arial" w:hAnsi="Arial" w:cs="Arial"/>
                <w:color w:val="000000"/>
                <w:sz w:val="16"/>
                <w:vertAlign w:val="superscript"/>
              </w:rPr>
            </w:pPr>
          </w:p>
        </w:tc>
        <w:tc>
          <w:tcPr>
            <w:tcW w:w="1020"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3EFFE22F" w14:textId="77777777" w:rsidR="003F0EEA" w:rsidRDefault="003F0EEA">
            <w:pPr>
              <w:rPr>
                <w:rFonts w:ascii="Arial" w:eastAsia="Arial" w:hAnsi="Arial" w:cs="Arial"/>
                <w:color w:val="000000"/>
                <w:sz w:val="16"/>
                <w:vertAlign w:val="superscript"/>
              </w:rPr>
            </w:pPr>
          </w:p>
        </w:tc>
        <w:tc>
          <w:tcPr>
            <w:tcW w:w="91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799506ED" w14:textId="77777777" w:rsidR="003F0EEA" w:rsidRDefault="003F0EEA">
            <w:pPr>
              <w:jc w:val="right"/>
              <w:rPr>
                <w:rFonts w:ascii="Arial" w:eastAsia="Arial" w:hAnsi="Arial" w:cs="Arial"/>
                <w:color w:val="000000"/>
                <w:sz w:val="16"/>
                <w:vertAlign w:val="superscript"/>
              </w:rPr>
            </w:pPr>
          </w:p>
        </w:tc>
      </w:tr>
      <w:tr w:rsidR="00FB7D0B" w14:paraId="3B17521C" w14:textId="77777777" w:rsidTr="00FB7D0B">
        <w:trPr>
          <w:trHeight w:val="225"/>
        </w:trPr>
        <w:tc>
          <w:tcPr>
            <w:tcW w:w="2985" w:type="dxa"/>
            <w:gridSpan w:val="2"/>
            <w:tcBorders>
              <w:top w:val="nil"/>
              <w:left w:val="nil"/>
              <w:bottom w:val="nil"/>
              <w:right w:val="nil"/>
              <w:tl2br w:val="nil"/>
              <w:tr2bl w:val="nil"/>
            </w:tcBorders>
            <w:shd w:val="clear" w:color="auto" w:fill="FFFFFF"/>
            <w:tcMar>
              <w:left w:w="101" w:type="dxa"/>
              <w:right w:w="101" w:type="dxa"/>
            </w:tcMar>
            <w:vAlign w:val="bottom"/>
          </w:tcPr>
          <w:p w14:paraId="2607B6FA" w14:textId="77777777" w:rsidR="003F0EEA" w:rsidRDefault="00FB7D0B">
            <w:pPr>
              <w:rPr>
                <w:rFonts w:ascii="Arial" w:eastAsia="Arial" w:hAnsi="Arial" w:cs="Arial"/>
                <w:color w:val="000000"/>
                <w:sz w:val="16"/>
                <w:vertAlign w:val="superscript"/>
              </w:rPr>
            </w:pPr>
            <w:r>
              <w:rPr>
                <w:rFonts w:ascii="Arial" w:eastAsia="Arial" w:hAnsi="Arial" w:cs="Arial"/>
                <w:b/>
                <w:color w:val="000000"/>
                <w:sz w:val="16"/>
              </w:rPr>
              <w:t>CAPITAL ASSET ADDITIONS</w:t>
            </w:r>
          </w:p>
        </w:tc>
        <w:tc>
          <w:tcPr>
            <w:tcW w:w="810" w:type="dxa"/>
            <w:tcBorders>
              <w:top w:val="nil"/>
              <w:left w:val="nil"/>
              <w:bottom w:val="nil"/>
              <w:right w:val="nil"/>
              <w:tl2br w:val="nil"/>
              <w:tr2bl w:val="nil"/>
            </w:tcBorders>
            <w:shd w:val="clear" w:color="auto" w:fill="FFFFFF"/>
            <w:tcMar>
              <w:left w:w="101" w:type="dxa"/>
              <w:right w:w="101" w:type="dxa"/>
            </w:tcMar>
            <w:vAlign w:val="bottom"/>
          </w:tcPr>
          <w:p w14:paraId="11036BBE" w14:textId="77777777" w:rsidR="003F0EEA" w:rsidRDefault="003F0EEA">
            <w:pPr>
              <w:rPr>
                <w:rFonts w:ascii="Arial" w:eastAsia="Arial" w:hAnsi="Arial" w:cs="Arial"/>
                <w:b/>
                <w:color w:val="000000"/>
                <w:sz w:val="16"/>
                <w:vertAlign w:val="superscript"/>
              </w:rPr>
            </w:pPr>
          </w:p>
        </w:tc>
        <w:tc>
          <w:tcPr>
            <w:tcW w:w="870" w:type="dxa"/>
            <w:tcBorders>
              <w:top w:val="nil"/>
              <w:left w:val="nil"/>
              <w:bottom w:val="nil"/>
              <w:right w:val="nil"/>
              <w:tl2br w:val="nil"/>
              <w:tr2bl w:val="nil"/>
            </w:tcBorders>
            <w:shd w:val="clear" w:color="auto" w:fill="FFFFFF"/>
            <w:tcMar>
              <w:left w:w="101" w:type="dxa"/>
              <w:right w:w="101" w:type="dxa"/>
            </w:tcMar>
            <w:vAlign w:val="bottom"/>
          </w:tcPr>
          <w:p w14:paraId="4B49001C" w14:textId="77777777" w:rsidR="003F0EEA" w:rsidRDefault="003F0EEA">
            <w:pPr>
              <w:rPr>
                <w:rFonts w:ascii="Arial" w:eastAsia="Arial" w:hAnsi="Arial" w:cs="Arial"/>
                <w:color w:val="000000"/>
                <w:sz w:val="16"/>
                <w:vertAlign w:val="superscript"/>
              </w:rPr>
            </w:pPr>
          </w:p>
        </w:tc>
        <w:tc>
          <w:tcPr>
            <w:tcW w:w="1215" w:type="dxa"/>
            <w:tcBorders>
              <w:top w:val="nil"/>
              <w:left w:val="nil"/>
              <w:bottom w:val="nil"/>
              <w:right w:val="nil"/>
              <w:tl2br w:val="nil"/>
              <w:tr2bl w:val="nil"/>
            </w:tcBorders>
            <w:shd w:val="clear" w:color="auto" w:fill="FFFFFF"/>
            <w:tcMar>
              <w:left w:w="101" w:type="dxa"/>
              <w:right w:w="101" w:type="dxa"/>
            </w:tcMar>
            <w:vAlign w:val="bottom"/>
          </w:tcPr>
          <w:p w14:paraId="4A9612D4" w14:textId="77777777" w:rsidR="003F0EEA" w:rsidRDefault="003F0EEA">
            <w:pPr>
              <w:rPr>
                <w:rFonts w:ascii="Arial" w:eastAsia="Arial" w:hAnsi="Arial" w:cs="Arial"/>
                <w:color w:val="000000"/>
                <w:sz w:val="16"/>
                <w:vertAlign w:val="superscript"/>
              </w:rPr>
            </w:pPr>
          </w:p>
        </w:tc>
        <w:tc>
          <w:tcPr>
            <w:tcW w:w="1020" w:type="dxa"/>
            <w:tcBorders>
              <w:top w:val="nil"/>
              <w:left w:val="nil"/>
              <w:bottom w:val="nil"/>
              <w:right w:val="nil"/>
              <w:tl2br w:val="nil"/>
              <w:tr2bl w:val="nil"/>
            </w:tcBorders>
            <w:shd w:val="clear" w:color="auto" w:fill="FFFFFF"/>
            <w:tcMar>
              <w:left w:w="101" w:type="dxa"/>
              <w:right w:w="101" w:type="dxa"/>
            </w:tcMar>
            <w:vAlign w:val="bottom"/>
          </w:tcPr>
          <w:p w14:paraId="7A5D34FD" w14:textId="77777777" w:rsidR="003F0EEA" w:rsidRDefault="003F0EEA">
            <w:pPr>
              <w:rPr>
                <w:rFonts w:ascii="Arial" w:eastAsia="Arial" w:hAnsi="Arial" w:cs="Arial"/>
                <w:color w:val="000000"/>
                <w:sz w:val="16"/>
                <w:vertAlign w:val="superscript"/>
              </w:rPr>
            </w:pP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64C6D647" w14:textId="77777777" w:rsidR="003F0EEA" w:rsidRDefault="003F0EEA">
            <w:pPr>
              <w:jc w:val="right"/>
              <w:rPr>
                <w:rFonts w:ascii="Arial" w:eastAsia="Arial" w:hAnsi="Arial" w:cs="Arial"/>
                <w:color w:val="000000"/>
                <w:sz w:val="16"/>
                <w:vertAlign w:val="superscript"/>
              </w:rPr>
            </w:pPr>
          </w:p>
        </w:tc>
      </w:tr>
      <w:tr w:rsidR="00FB7D0B" w14:paraId="17A3745F" w14:textId="77777777" w:rsidTr="00FB7D0B">
        <w:trPr>
          <w:trHeight w:val="225"/>
        </w:trPr>
        <w:tc>
          <w:tcPr>
            <w:tcW w:w="2985" w:type="dxa"/>
            <w:gridSpan w:val="2"/>
            <w:tcBorders>
              <w:top w:val="nil"/>
              <w:left w:val="nil"/>
              <w:bottom w:val="nil"/>
              <w:right w:val="nil"/>
              <w:tl2br w:val="nil"/>
              <w:tr2bl w:val="nil"/>
            </w:tcBorders>
            <w:shd w:val="clear" w:color="auto" w:fill="FFFFFF"/>
            <w:tcMar>
              <w:left w:w="101" w:type="dxa"/>
              <w:right w:w="101" w:type="dxa"/>
            </w:tcMar>
            <w:vAlign w:val="bottom"/>
          </w:tcPr>
          <w:p w14:paraId="08B5E0BB" w14:textId="77777777" w:rsidR="003F0EEA" w:rsidRDefault="00FB7D0B">
            <w:pPr>
              <w:rPr>
                <w:rFonts w:ascii="Arial" w:eastAsia="Arial" w:hAnsi="Arial" w:cs="Arial"/>
                <w:color w:val="000000"/>
                <w:sz w:val="16"/>
                <w:vertAlign w:val="superscript"/>
              </w:rPr>
            </w:pPr>
            <w:r>
              <w:rPr>
                <w:rFonts w:ascii="Arial" w:eastAsia="Arial" w:hAnsi="Arial" w:cs="Arial"/>
                <w:b/>
                <w:color w:val="000000"/>
                <w:sz w:val="16"/>
              </w:rPr>
              <w:t>Estimated expenditure on</w:t>
            </w:r>
          </w:p>
        </w:tc>
        <w:tc>
          <w:tcPr>
            <w:tcW w:w="810" w:type="dxa"/>
            <w:tcBorders>
              <w:top w:val="nil"/>
              <w:left w:val="nil"/>
              <w:bottom w:val="nil"/>
              <w:right w:val="nil"/>
              <w:tl2br w:val="nil"/>
              <w:tr2bl w:val="nil"/>
            </w:tcBorders>
            <w:shd w:val="clear" w:color="auto" w:fill="FFFFFF"/>
            <w:tcMar>
              <w:left w:w="101" w:type="dxa"/>
              <w:right w:w="101" w:type="dxa"/>
            </w:tcMar>
            <w:vAlign w:val="bottom"/>
          </w:tcPr>
          <w:p w14:paraId="447B1045" w14:textId="77777777" w:rsidR="003F0EEA" w:rsidRDefault="003F0EEA">
            <w:pPr>
              <w:rPr>
                <w:rFonts w:ascii="Arial" w:eastAsia="Arial" w:hAnsi="Arial" w:cs="Arial"/>
                <w:b/>
                <w:color w:val="000000"/>
                <w:sz w:val="16"/>
                <w:vertAlign w:val="superscript"/>
              </w:rPr>
            </w:pPr>
          </w:p>
        </w:tc>
        <w:tc>
          <w:tcPr>
            <w:tcW w:w="870" w:type="dxa"/>
            <w:tcBorders>
              <w:top w:val="nil"/>
              <w:left w:val="nil"/>
              <w:bottom w:val="nil"/>
              <w:right w:val="nil"/>
              <w:tl2br w:val="nil"/>
              <w:tr2bl w:val="nil"/>
            </w:tcBorders>
            <w:shd w:val="clear" w:color="auto" w:fill="FFFFFF"/>
            <w:tcMar>
              <w:left w:w="101" w:type="dxa"/>
              <w:right w:w="101" w:type="dxa"/>
            </w:tcMar>
            <w:vAlign w:val="bottom"/>
          </w:tcPr>
          <w:p w14:paraId="402BF298" w14:textId="77777777" w:rsidR="003F0EEA" w:rsidRDefault="003F0EEA">
            <w:pPr>
              <w:rPr>
                <w:rFonts w:ascii="Arial" w:eastAsia="Arial" w:hAnsi="Arial" w:cs="Arial"/>
                <w:color w:val="000000"/>
                <w:sz w:val="16"/>
                <w:vertAlign w:val="superscript"/>
              </w:rPr>
            </w:pPr>
          </w:p>
        </w:tc>
        <w:tc>
          <w:tcPr>
            <w:tcW w:w="1215" w:type="dxa"/>
            <w:tcBorders>
              <w:top w:val="nil"/>
              <w:left w:val="nil"/>
              <w:bottom w:val="nil"/>
              <w:right w:val="nil"/>
              <w:tl2br w:val="nil"/>
              <w:tr2bl w:val="nil"/>
            </w:tcBorders>
            <w:shd w:val="clear" w:color="auto" w:fill="FFFFFF"/>
            <w:tcMar>
              <w:left w:w="101" w:type="dxa"/>
              <w:right w:w="101" w:type="dxa"/>
            </w:tcMar>
            <w:vAlign w:val="bottom"/>
          </w:tcPr>
          <w:p w14:paraId="71068EA7" w14:textId="77777777" w:rsidR="003F0EEA" w:rsidRDefault="003F0EEA">
            <w:pPr>
              <w:rPr>
                <w:rFonts w:ascii="Arial" w:eastAsia="Arial" w:hAnsi="Arial" w:cs="Arial"/>
                <w:color w:val="000000"/>
                <w:sz w:val="16"/>
                <w:vertAlign w:val="superscript"/>
              </w:rPr>
            </w:pPr>
          </w:p>
        </w:tc>
        <w:tc>
          <w:tcPr>
            <w:tcW w:w="1020" w:type="dxa"/>
            <w:tcBorders>
              <w:top w:val="nil"/>
              <w:left w:val="nil"/>
              <w:bottom w:val="nil"/>
              <w:right w:val="nil"/>
              <w:tl2br w:val="nil"/>
              <w:tr2bl w:val="nil"/>
            </w:tcBorders>
            <w:shd w:val="clear" w:color="auto" w:fill="FFFFFF"/>
            <w:tcMar>
              <w:left w:w="101" w:type="dxa"/>
              <w:right w:w="101" w:type="dxa"/>
            </w:tcMar>
            <w:vAlign w:val="bottom"/>
          </w:tcPr>
          <w:p w14:paraId="239B89EA" w14:textId="77777777" w:rsidR="003F0EEA" w:rsidRDefault="003F0EEA">
            <w:pPr>
              <w:rPr>
                <w:rFonts w:ascii="Arial" w:eastAsia="Arial" w:hAnsi="Arial" w:cs="Arial"/>
                <w:color w:val="000000"/>
                <w:sz w:val="16"/>
                <w:vertAlign w:val="superscript"/>
              </w:rPr>
            </w:pP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2106A98E" w14:textId="77777777" w:rsidR="003F0EEA" w:rsidRDefault="003F0EEA">
            <w:pPr>
              <w:jc w:val="right"/>
              <w:rPr>
                <w:rFonts w:ascii="Arial" w:eastAsia="Arial" w:hAnsi="Arial" w:cs="Arial"/>
                <w:color w:val="000000"/>
                <w:sz w:val="16"/>
                <w:vertAlign w:val="superscript"/>
              </w:rPr>
            </w:pPr>
          </w:p>
        </w:tc>
      </w:tr>
      <w:tr w:rsidR="00724034" w14:paraId="44BEF1B3" w14:textId="77777777">
        <w:trPr>
          <w:trHeight w:val="225"/>
        </w:trPr>
        <w:tc>
          <w:tcPr>
            <w:tcW w:w="180" w:type="dxa"/>
            <w:tcBorders>
              <w:top w:val="nil"/>
              <w:left w:val="nil"/>
              <w:bottom w:val="nil"/>
              <w:right w:val="nil"/>
              <w:tl2br w:val="nil"/>
              <w:tr2bl w:val="nil"/>
            </w:tcBorders>
            <w:shd w:val="clear" w:color="auto" w:fill="FFFFFF"/>
            <w:tcMar>
              <w:left w:w="101" w:type="dxa"/>
              <w:right w:w="101" w:type="dxa"/>
            </w:tcMar>
            <w:vAlign w:val="bottom"/>
          </w:tcPr>
          <w:p w14:paraId="74B4146F" w14:textId="77777777" w:rsidR="003F0EEA" w:rsidRDefault="003F0EEA">
            <w:pPr>
              <w:rPr>
                <w:rFonts w:ascii="Arial" w:eastAsia="Arial" w:hAnsi="Arial" w:cs="Arial"/>
                <w:color w:val="000000"/>
                <w:sz w:val="16"/>
                <w:vertAlign w:val="superscript"/>
              </w:rPr>
            </w:pPr>
          </w:p>
        </w:tc>
        <w:tc>
          <w:tcPr>
            <w:tcW w:w="2805" w:type="dxa"/>
            <w:tcBorders>
              <w:top w:val="nil"/>
              <w:left w:val="nil"/>
              <w:bottom w:val="nil"/>
              <w:right w:val="nil"/>
              <w:tl2br w:val="nil"/>
              <w:tr2bl w:val="nil"/>
            </w:tcBorders>
            <w:shd w:val="clear" w:color="auto" w:fill="FFFFFF"/>
            <w:tcMar>
              <w:left w:w="101" w:type="dxa"/>
              <w:right w:w="101" w:type="dxa"/>
            </w:tcMar>
            <w:vAlign w:val="bottom"/>
          </w:tcPr>
          <w:p w14:paraId="3B80E1CE" w14:textId="77777777" w:rsidR="003F0EEA" w:rsidRDefault="00FB7D0B">
            <w:pPr>
              <w:rPr>
                <w:rFonts w:ascii="Arial" w:eastAsia="Arial" w:hAnsi="Arial" w:cs="Arial"/>
                <w:color w:val="000000"/>
                <w:sz w:val="20"/>
                <w:vertAlign w:val="superscript"/>
              </w:rPr>
            </w:pPr>
            <w:r>
              <w:rPr>
                <w:rFonts w:ascii="Arial" w:eastAsia="Arial" w:hAnsi="Arial" w:cs="Arial"/>
                <w:b/>
                <w:color w:val="000000"/>
                <w:sz w:val="16"/>
              </w:rPr>
              <w:t>new or replacement assets</w:t>
            </w:r>
          </w:p>
        </w:tc>
        <w:tc>
          <w:tcPr>
            <w:tcW w:w="810" w:type="dxa"/>
            <w:tcBorders>
              <w:top w:val="nil"/>
              <w:left w:val="nil"/>
              <w:bottom w:val="nil"/>
              <w:right w:val="nil"/>
              <w:tl2br w:val="nil"/>
              <w:tr2bl w:val="nil"/>
            </w:tcBorders>
            <w:shd w:val="clear" w:color="auto" w:fill="FFFFFF"/>
            <w:tcMar>
              <w:left w:w="101" w:type="dxa"/>
              <w:right w:w="101" w:type="dxa"/>
            </w:tcMar>
            <w:vAlign w:val="bottom"/>
          </w:tcPr>
          <w:p w14:paraId="5A6382DC" w14:textId="77777777" w:rsidR="003F0EEA" w:rsidRDefault="003F0EEA">
            <w:pPr>
              <w:rPr>
                <w:rFonts w:ascii="Arial" w:eastAsia="Arial" w:hAnsi="Arial" w:cs="Arial"/>
                <w:b/>
                <w:color w:val="000000"/>
                <w:sz w:val="16"/>
                <w:vertAlign w:val="superscript"/>
              </w:rPr>
            </w:pPr>
          </w:p>
        </w:tc>
        <w:tc>
          <w:tcPr>
            <w:tcW w:w="870" w:type="dxa"/>
            <w:tcBorders>
              <w:top w:val="nil"/>
              <w:left w:val="nil"/>
              <w:bottom w:val="nil"/>
              <w:right w:val="nil"/>
              <w:tl2br w:val="nil"/>
              <w:tr2bl w:val="nil"/>
            </w:tcBorders>
            <w:shd w:val="clear" w:color="auto" w:fill="FFFFFF"/>
            <w:tcMar>
              <w:left w:w="101" w:type="dxa"/>
              <w:right w:w="101" w:type="dxa"/>
            </w:tcMar>
            <w:vAlign w:val="bottom"/>
          </w:tcPr>
          <w:p w14:paraId="36A028C2" w14:textId="77777777" w:rsidR="003F0EEA" w:rsidRDefault="003F0EEA">
            <w:pPr>
              <w:rPr>
                <w:rFonts w:ascii="Arial" w:eastAsia="Arial" w:hAnsi="Arial" w:cs="Arial"/>
                <w:color w:val="000000"/>
                <w:sz w:val="16"/>
                <w:vertAlign w:val="superscript"/>
              </w:rPr>
            </w:pPr>
          </w:p>
        </w:tc>
        <w:tc>
          <w:tcPr>
            <w:tcW w:w="1215" w:type="dxa"/>
            <w:tcBorders>
              <w:top w:val="nil"/>
              <w:left w:val="nil"/>
              <w:bottom w:val="nil"/>
              <w:right w:val="nil"/>
              <w:tl2br w:val="nil"/>
              <w:tr2bl w:val="nil"/>
            </w:tcBorders>
            <w:shd w:val="clear" w:color="auto" w:fill="FFFFFF"/>
            <w:tcMar>
              <w:left w:w="101" w:type="dxa"/>
              <w:right w:w="101" w:type="dxa"/>
            </w:tcMar>
            <w:vAlign w:val="bottom"/>
          </w:tcPr>
          <w:p w14:paraId="39487777" w14:textId="77777777" w:rsidR="003F0EEA" w:rsidRDefault="003F0EEA">
            <w:pPr>
              <w:rPr>
                <w:rFonts w:ascii="Arial" w:eastAsia="Arial" w:hAnsi="Arial" w:cs="Arial"/>
                <w:color w:val="000000"/>
                <w:sz w:val="16"/>
                <w:vertAlign w:val="superscript"/>
              </w:rPr>
            </w:pPr>
          </w:p>
        </w:tc>
        <w:tc>
          <w:tcPr>
            <w:tcW w:w="1020" w:type="dxa"/>
            <w:tcBorders>
              <w:top w:val="nil"/>
              <w:left w:val="nil"/>
              <w:bottom w:val="nil"/>
              <w:right w:val="nil"/>
              <w:tl2br w:val="nil"/>
              <w:tr2bl w:val="nil"/>
            </w:tcBorders>
            <w:shd w:val="clear" w:color="auto" w:fill="FFFFFF"/>
            <w:tcMar>
              <w:left w:w="101" w:type="dxa"/>
              <w:right w:w="101" w:type="dxa"/>
            </w:tcMar>
            <w:vAlign w:val="bottom"/>
          </w:tcPr>
          <w:p w14:paraId="2C1BD3AB" w14:textId="77777777" w:rsidR="003F0EEA" w:rsidRDefault="003F0EEA">
            <w:pPr>
              <w:rPr>
                <w:rFonts w:ascii="Arial" w:eastAsia="Arial" w:hAnsi="Arial" w:cs="Arial"/>
                <w:color w:val="000000"/>
                <w:sz w:val="16"/>
                <w:vertAlign w:val="superscript"/>
              </w:rPr>
            </w:pP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42940CE1" w14:textId="77777777" w:rsidR="003F0EEA" w:rsidRDefault="003F0EEA">
            <w:pPr>
              <w:jc w:val="right"/>
              <w:rPr>
                <w:rFonts w:ascii="Arial" w:eastAsia="Arial" w:hAnsi="Arial" w:cs="Arial"/>
                <w:color w:val="000000"/>
                <w:sz w:val="16"/>
                <w:vertAlign w:val="superscript"/>
              </w:rPr>
            </w:pPr>
          </w:p>
        </w:tc>
      </w:tr>
      <w:tr w:rsidR="00FB7D0B" w14:paraId="07487D52" w14:textId="77777777" w:rsidTr="00FB7D0B">
        <w:trPr>
          <w:trHeight w:val="225"/>
        </w:trPr>
        <w:tc>
          <w:tcPr>
            <w:tcW w:w="2985" w:type="dxa"/>
            <w:gridSpan w:val="2"/>
            <w:tcBorders>
              <w:top w:val="nil"/>
              <w:left w:val="nil"/>
              <w:bottom w:val="nil"/>
              <w:right w:val="nil"/>
              <w:tl2br w:val="nil"/>
              <w:tr2bl w:val="nil"/>
            </w:tcBorders>
            <w:shd w:val="clear" w:color="auto" w:fill="FFFFFF"/>
            <w:tcMar>
              <w:left w:w="101" w:type="dxa"/>
              <w:right w:w="101" w:type="dxa"/>
            </w:tcMar>
            <w:vAlign w:val="bottom"/>
          </w:tcPr>
          <w:p w14:paraId="6C4B3152" w14:textId="77777777" w:rsidR="003F0EEA" w:rsidRDefault="00FB7D0B">
            <w:pPr>
              <w:rPr>
                <w:rFonts w:ascii="Arial" w:eastAsia="Arial" w:hAnsi="Arial" w:cs="Arial"/>
                <w:color w:val="000000"/>
                <w:sz w:val="16"/>
                <w:vertAlign w:val="superscript"/>
              </w:rPr>
            </w:pPr>
            <w:r>
              <w:rPr>
                <w:rFonts w:ascii="Arial" w:eastAsia="Arial" w:hAnsi="Arial" w:cs="Arial"/>
                <w:color w:val="000000"/>
                <w:sz w:val="16"/>
              </w:rPr>
              <w:t>By purchase or internally developed:</w:t>
            </w:r>
          </w:p>
        </w:tc>
        <w:tc>
          <w:tcPr>
            <w:tcW w:w="810" w:type="dxa"/>
            <w:tcBorders>
              <w:top w:val="nil"/>
              <w:left w:val="nil"/>
              <w:bottom w:val="nil"/>
              <w:right w:val="nil"/>
              <w:tl2br w:val="nil"/>
              <w:tr2bl w:val="nil"/>
            </w:tcBorders>
            <w:shd w:val="clear" w:color="auto" w:fill="FFFFFF"/>
            <w:tcMar>
              <w:left w:w="101" w:type="dxa"/>
              <w:right w:w="101" w:type="dxa"/>
            </w:tcMar>
            <w:vAlign w:val="bottom"/>
          </w:tcPr>
          <w:p w14:paraId="1BB01A11" w14:textId="77777777" w:rsidR="003F0EEA" w:rsidRDefault="003F0EEA">
            <w:pPr>
              <w:rPr>
                <w:rFonts w:ascii="Arial" w:eastAsia="Arial" w:hAnsi="Arial" w:cs="Arial"/>
                <w:color w:val="000000"/>
                <w:sz w:val="16"/>
                <w:vertAlign w:val="superscript"/>
              </w:rPr>
            </w:pPr>
          </w:p>
        </w:tc>
        <w:tc>
          <w:tcPr>
            <w:tcW w:w="870" w:type="dxa"/>
            <w:tcBorders>
              <w:top w:val="nil"/>
              <w:left w:val="nil"/>
              <w:bottom w:val="nil"/>
              <w:right w:val="nil"/>
              <w:tl2br w:val="nil"/>
              <w:tr2bl w:val="nil"/>
            </w:tcBorders>
            <w:shd w:val="clear" w:color="auto" w:fill="FFFFFF"/>
            <w:tcMar>
              <w:left w:w="101" w:type="dxa"/>
              <w:right w:w="101" w:type="dxa"/>
            </w:tcMar>
            <w:vAlign w:val="bottom"/>
          </w:tcPr>
          <w:p w14:paraId="4DE4BAA4" w14:textId="77777777" w:rsidR="003F0EEA" w:rsidRDefault="003F0EEA">
            <w:pPr>
              <w:rPr>
                <w:rFonts w:ascii="Arial" w:eastAsia="Arial" w:hAnsi="Arial" w:cs="Arial"/>
                <w:color w:val="000000"/>
                <w:sz w:val="20"/>
                <w:vertAlign w:val="superscript"/>
              </w:rPr>
            </w:pPr>
          </w:p>
        </w:tc>
        <w:tc>
          <w:tcPr>
            <w:tcW w:w="1215" w:type="dxa"/>
            <w:tcBorders>
              <w:top w:val="nil"/>
              <w:left w:val="nil"/>
              <w:bottom w:val="nil"/>
              <w:right w:val="nil"/>
              <w:tl2br w:val="nil"/>
              <w:tr2bl w:val="nil"/>
            </w:tcBorders>
            <w:shd w:val="clear" w:color="auto" w:fill="FFFFFF"/>
            <w:tcMar>
              <w:left w:w="101" w:type="dxa"/>
              <w:right w:w="101" w:type="dxa"/>
            </w:tcMar>
            <w:vAlign w:val="bottom"/>
          </w:tcPr>
          <w:p w14:paraId="5AD915D2" w14:textId="77777777" w:rsidR="003F0EEA" w:rsidRDefault="003F0EEA">
            <w:pPr>
              <w:rPr>
                <w:rFonts w:ascii="Arial" w:eastAsia="Arial" w:hAnsi="Arial" w:cs="Arial"/>
                <w:color w:val="000000"/>
                <w:sz w:val="20"/>
                <w:vertAlign w:val="superscript"/>
              </w:rPr>
            </w:pPr>
          </w:p>
        </w:tc>
        <w:tc>
          <w:tcPr>
            <w:tcW w:w="1020" w:type="dxa"/>
            <w:tcBorders>
              <w:top w:val="nil"/>
              <w:left w:val="nil"/>
              <w:bottom w:val="nil"/>
              <w:right w:val="nil"/>
              <w:tl2br w:val="nil"/>
              <w:tr2bl w:val="nil"/>
            </w:tcBorders>
            <w:shd w:val="clear" w:color="auto" w:fill="FFFFFF"/>
            <w:tcMar>
              <w:left w:w="101" w:type="dxa"/>
              <w:right w:w="101" w:type="dxa"/>
            </w:tcMar>
            <w:vAlign w:val="bottom"/>
          </w:tcPr>
          <w:p w14:paraId="5526F6E0" w14:textId="77777777" w:rsidR="003F0EEA" w:rsidRDefault="003F0EEA">
            <w:pPr>
              <w:rPr>
                <w:rFonts w:ascii="Arial" w:eastAsia="Arial" w:hAnsi="Arial" w:cs="Arial"/>
                <w:color w:val="000000"/>
                <w:sz w:val="20"/>
                <w:vertAlign w:val="superscript"/>
              </w:rPr>
            </w:pP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52D9C431" w14:textId="77777777" w:rsidR="003F0EEA" w:rsidRDefault="003F0EEA">
            <w:pPr>
              <w:jc w:val="right"/>
              <w:rPr>
                <w:rFonts w:ascii="Arial" w:eastAsia="Arial" w:hAnsi="Arial" w:cs="Arial"/>
                <w:color w:val="000000"/>
                <w:sz w:val="20"/>
                <w:vertAlign w:val="superscript"/>
              </w:rPr>
            </w:pPr>
          </w:p>
        </w:tc>
      </w:tr>
      <w:tr w:rsidR="00724034" w14:paraId="4FE6FEF6" w14:textId="77777777">
        <w:trPr>
          <w:trHeight w:val="255"/>
        </w:trPr>
        <w:tc>
          <w:tcPr>
            <w:tcW w:w="180" w:type="dxa"/>
            <w:tcBorders>
              <w:top w:val="nil"/>
              <w:left w:val="nil"/>
              <w:bottom w:val="nil"/>
              <w:right w:val="nil"/>
              <w:tl2br w:val="nil"/>
              <w:tr2bl w:val="nil"/>
            </w:tcBorders>
            <w:shd w:val="clear" w:color="auto" w:fill="FFFFFF"/>
            <w:tcMar>
              <w:left w:w="101" w:type="dxa"/>
              <w:right w:w="101" w:type="dxa"/>
            </w:tcMar>
            <w:vAlign w:val="bottom"/>
          </w:tcPr>
          <w:p w14:paraId="02FC6D63" w14:textId="77777777" w:rsidR="003F0EEA" w:rsidRDefault="003F0EEA">
            <w:pPr>
              <w:rPr>
                <w:rFonts w:ascii="Arial" w:eastAsia="Arial" w:hAnsi="Arial" w:cs="Arial"/>
                <w:color w:val="000000"/>
                <w:sz w:val="20"/>
                <w:vertAlign w:val="superscript"/>
              </w:rPr>
            </w:pPr>
          </w:p>
        </w:tc>
        <w:tc>
          <w:tcPr>
            <w:tcW w:w="2805" w:type="dxa"/>
            <w:tcBorders>
              <w:top w:val="nil"/>
              <w:left w:val="nil"/>
              <w:bottom w:val="nil"/>
              <w:right w:val="nil"/>
              <w:tl2br w:val="nil"/>
              <w:tr2bl w:val="nil"/>
            </w:tcBorders>
            <w:shd w:val="clear" w:color="auto" w:fill="FFFFFF"/>
            <w:tcMar>
              <w:left w:w="101" w:type="dxa"/>
              <w:right w:w="101" w:type="dxa"/>
            </w:tcMar>
            <w:vAlign w:val="bottom"/>
          </w:tcPr>
          <w:p w14:paraId="28FD2417" w14:textId="77777777" w:rsidR="003F0EEA" w:rsidRDefault="00FB7D0B">
            <w:pPr>
              <w:rPr>
                <w:rFonts w:ascii="Arial" w:eastAsia="Arial" w:hAnsi="Arial" w:cs="Arial"/>
                <w:color w:val="000000"/>
                <w:sz w:val="20"/>
                <w:vertAlign w:val="superscript"/>
              </w:rPr>
            </w:pPr>
            <w:r>
              <w:rPr>
                <w:rFonts w:ascii="Arial" w:eastAsia="Arial" w:hAnsi="Arial" w:cs="Arial"/>
                <w:color w:val="000000"/>
                <w:sz w:val="16"/>
              </w:rPr>
              <w:t>Appropriation equity</w:t>
            </w:r>
            <w:r>
              <w:rPr>
                <w:rFonts w:ascii="Arial" w:eastAsia="Arial" w:hAnsi="Arial" w:cs="Arial"/>
                <w:color w:val="000000"/>
                <w:sz w:val="16"/>
                <w:vertAlign w:val="superscript"/>
              </w:rPr>
              <w:t>1 </w:t>
            </w:r>
          </w:p>
        </w:tc>
        <w:tc>
          <w:tcPr>
            <w:tcW w:w="810" w:type="dxa"/>
            <w:tcBorders>
              <w:top w:val="nil"/>
              <w:left w:val="nil"/>
              <w:bottom w:val="nil"/>
              <w:right w:val="nil"/>
              <w:tl2br w:val="nil"/>
              <w:tr2bl w:val="nil"/>
            </w:tcBorders>
            <w:shd w:val="clear" w:color="auto" w:fill="FFFFFF"/>
            <w:tcMar>
              <w:left w:w="101" w:type="dxa"/>
              <w:right w:w="101" w:type="dxa"/>
            </w:tcMar>
            <w:vAlign w:val="bottom"/>
          </w:tcPr>
          <w:p w14:paraId="125E57E2" w14:textId="77777777" w:rsidR="003F0EEA" w:rsidRDefault="00FB7D0B">
            <w:pPr>
              <w:jc w:val="right"/>
              <w:rPr>
                <w:rFonts w:ascii="Arial" w:eastAsia="Arial" w:hAnsi="Arial" w:cs="Arial"/>
                <w:color w:val="000000"/>
                <w:sz w:val="16"/>
                <w:vertAlign w:val="superscript"/>
              </w:rPr>
            </w:pPr>
            <w:r>
              <w:rPr>
                <w:rFonts w:ascii="Arial" w:eastAsia="Arial" w:hAnsi="Arial" w:cs="Arial"/>
                <w:color w:val="000000"/>
                <w:sz w:val="16"/>
              </w:rPr>
              <w:t xml:space="preserve"> - </w:t>
            </w:r>
          </w:p>
        </w:tc>
        <w:tc>
          <w:tcPr>
            <w:tcW w:w="870" w:type="dxa"/>
            <w:tcBorders>
              <w:top w:val="nil"/>
              <w:left w:val="nil"/>
              <w:bottom w:val="nil"/>
              <w:right w:val="nil"/>
              <w:tl2br w:val="nil"/>
              <w:tr2bl w:val="nil"/>
            </w:tcBorders>
            <w:shd w:val="clear" w:color="auto" w:fill="FFFFFF"/>
            <w:tcMar>
              <w:left w:w="101" w:type="dxa"/>
              <w:right w:w="101" w:type="dxa"/>
            </w:tcMar>
            <w:vAlign w:val="bottom"/>
          </w:tcPr>
          <w:p w14:paraId="485E3532" w14:textId="77777777" w:rsidR="003F0EEA" w:rsidRDefault="00FB7D0B">
            <w:pPr>
              <w:jc w:val="right"/>
              <w:rPr>
                <w:rFonts w:ascii="Arial" w:eastAsia="Arial" w:hAnsi="Arial" w:cs="Arial"/>
                <w:color w:val="000000"/>
                <w:sz w:val="16"/>
              </w:rPr>
            </w:pPr>
            <w:r>
              <w:rPr>
                <w:rFonts w:ascii="Arial" w:eastAsia="Arial" w:hAnsi="Arial" w:cs="Arial"/>
                <w:color w:val="000000"/>
                <w:sz w:val="16"/>
              </w:rPr>
              <w:t xml:space="preserve"> - </w:t>
            </w:r>
          </w:p>
        </w:tc>
        <w:tc>
          <w:tcPr>
            <w:tcW w:w="1215" w:type="dxa"/>
            <w:tcBorders>
              <w:top w:val="nil"/>
              <w:left w:val="nil"/>
              <w:bottom w:val="nil"/>
              <w:right w:val="nil"/>
              <w:tl2br w:val="nil"/>
              <w:tr2bl w:val="nil"/>
            </w:tcBorders>
            <w:shd w:val="clear" w:color="auto" w:fill="FFFFFF"/>
            <w:tcMar>
              <w:left w:w="101" w:type="dxa"/>
              <w:right w:w="101" w:type="dxa"/>
            </w:tcMar>
            <w:vAlign w:val="bottom"/>
          </w:tcPr>
          <w:p w14:paraId="612B8C90" w14:textId="77777777" w:rsidR="003F0EEA" w:rsidRDefault="00FB7D0B">
            <w:pPr>
              <w:jc w:val="right"/>
              <w:rPr>
                <w:rFonts w:ascii="Arial" w:eastAsia="Arial" w:hAnsi="Arial" w:cs="Arial"/>
                <w:color w:val="000000"/>
                <w:sz w:val="16"/>
              </w:rPr>
            </w:pPr>
            <w:r>
              <w:rPr>
                <w:rFonts w:ascii="Arial" w:eastAsia="Arial" w:hAnsi="Arial" w:cs="Arial"/>
                <w:color w:val="000000"/>
                <w:sz w:val="16"/>
              </w:rPr>
              <w:t xml:space="preserve"> - </w:t>
            </w:r>
          </w:p>
        </w:tc>
        <w:tc>
          <w:tcPr>
            <w:tcW w:w="1020" w:type="dxa"/>
            <w:tcBorders>
              <w:top w:val="nil"/>
              <w:left w:val="nil"/>
              <w:bottom w:val="nil"/>
              <w:right w:val="nil"/>
              <w:tl2br w:val="nil"/>
              <w:tr2bl w:val="nil"/>
            </w:tcBorders>
            <w:shd w:val="clear" w:color="auto" w:fill="FFFFFF"/>
            <w:tcMar>
              <w:left w:w="101" w:type="dxa"/>
              <w:right w:w="101" w:type="dxa"/>
            </w:tcMar>
            <w:vAlign w:val="bottom"/>
          </w:tcPr>
          <w:p w14:paraId="5EBC6280" w14:textId="77777777" w:rsidR="003F0EEA" w:rsidRDefault="00FB7D0B">
            <w:pPr>
              <w:jc w:val="right"/>
              <w:rPr>
                <w:rFonts w:ascii="Arial" w:eastAsia="Arial" w:hAnsi="Arial" w:cs="Arial"/>
                <w:color w:val="000000"/>
                <w:sz w:val="16"/>
              </w:rPr>
            </w:pPr>
            <w:r>
              <w:rPr>
                <w:rFonts w:ascii="Arial" w:eastAsia="Arial" w:hAnsi="Arial" w:cs="Arial"/>
                <w:color w:val="000000"/>
                <w:sz w:val="16"/>
              </w:rPr>
              <w:t xml:space="preserve"> 2,617 </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7C1BC1CE" w14:textId="77777777" w:rsidR="003F0EEA" w:rsidRDefault="00FB7D0B">
            <w:pPr>
              <w:jc w:val="right"/>
              <w:rPr>
                <w:rFonts w:ascii="Arial" w:eastAsia="Arial" w:hAnsi="Arial" w:cs="Arial"/>
                <w:color w:val="000000"/>
                <w:sz w:val="16"/>
              </w:rPr>
            </w:pPr>
            <w:r>
              <w:rPr>
                <w:rFonts w:ascii="Arial" w:eastAsia="Arial" w:hAnsi="Arial" w:cs="Arial"/>
                <w:color w:val="000000"/>
                <w:sz w:val="16"/>
              </w:rPr>
              <w:t xml:space="preserve"> 2,617 </w:t>
            </w:r>
          </w:p>
        </w:tc>
      </w:tr>
      <w:tr w:rsidR="00724034" w14:paraId="4C1D38E5" w14:textId="77777777">
        <w:trPr>
          <w:trHeight w:val="225"/>
        </w:trPr>
        <w:tc>
          <w:tcPr>
            <w:tcW w:w="180" w:type="dxa"/>
            <w:tcBorders>
              <w:top w:val="nil"/>
              <w:left w:val="nil"/>
              <w:bottom w:val="nil"/>
              <w:right w:val="nil"/>
              <w:tl2br w:val="nil"/>
              <w:tr2bl w:val="nil"/>
            </w:tcBorders>
            <w:shd w:val="clear" w:color="auto" w:fill="FFFFFF"/>
            <w:tcMar>
              <w:left w:w="101" w:type="dxa"/>
              <w:right w:w="101" w:type="dxa"/>
            </w:tcMar>
            <w:vAlign w:val="bottom"/>
          </w:tcPr>
          <w:p w14:paraId="6BCFF869" w14:textId="77777777" w:rsidR="003F0EEA" w:rsidRDefault="003F0EEA">
            <w:pPr>
              <w:rPr>
                <w:rFonts w:ascii="Arial" w:eastAsia="Arial" w:hAnsi="Arial" w:cs="Arial"/>
                <w:color w:val="000000"/>
                <w:sz w:val="16"/>
              </w:rPr>
            </w:pPr>
          </w:p>
        </w:tc>
        <w:tc>
          <w:tcPr>
            <w:tcW w:w="2805" w:type="dxa"/>
            <w:tcBorders>
              <w:top w:val="nil"/>
              <w:left w:val="nil"/>
              <w:bottom w:val="nil"/>
              <w:right w:val="nil"/>
              <w:tl2br w:val="nil"/>
              <w:tr2bl w:val="nil"/>
            </w:tcBorders>
            <w:shd w:val="clear" w:color="auto" w:fill="FFFFFF"/>
            <w:tcMar>
              <w:left w:w="101" w:type="dxa"/>
              <w:right w:w="101" w:type="dxa"/>
            </w:tcMar>
            <w:vAlign w:val="bottom"/>
          </w:tcPr>
          <w:p w14:paraId="2479B434" w14:textId="77777777" w:rsidR="003F0EEA" w:rsidRDefault="00FB7D0B">
            <w:pPr>
              <w:rPr>
                <w:rFonts w:ascii="Arial" w:eastAsia="Arial" w:hAnsi="Arial" w:cs="Arial"/>
                <w:color w:val="000000"/>
                <w:sz w:val="20"/>
              </w:rPr>
            </w:pPr>
            <w:r>
              <w:rPr>
                <w:rFonts w:ascii="Arial" w:eastAsia="Arial" w:hAnsi="Arial" w:cs="Arial"/>
                <w:color w:val="000000"/>
                <w:sz w:val="16"/>
              </w:rPr>
              <w:t>Appropriation ordinary annual services</w:t>
            </w:r>
            <w:r>
              <w:rPr>
                <w:rFonts w:ascii="Arial" w:eastAsia="Arial" w:hAnsi="Arial" w:cs="Arial"/>
                <w:color w:val="000000"/>
                <w:sz w:val="16"/>
                <w:vertAlign w:val="superscript"/>
              </w:rPr>
              <w:t>2 </w:t>
            </w:r>
          </w:p>
        </w:tc>
        <w:tc>
          <w:tcPr>
            <w:tcW w:w="810" w:type="dxa"/>
            <w:tcBorders>
              <w:top w:val="nil"/>
              <w:left w:val="nil"/>
              <w:bottom w:val="nil"/>
              <w:right w:val="nil"/>
              <w:tl2br w:val="nil"/>
              <w:tr2bl w:val="nil"/>
            </w:tcBorders>
            <w:shd w:val="clear" w:color="auto" w:fill="FFFFFF"/>
            <w:tcMar>
              <w:left w:w="101" w:type="dxa"/>
              <w:right w:w="101" w:type="dxa"/>
            </w:tcMar>
            <w:vAlign w:val="bottom"/>
          </w:tcPr>
          <w:p w14:paraId="6C0303A2" w14:textId="77777777" w:rsidR="003F0EEA" w:rsidRDefault="00FB7D0B">
            <w:pPr>
              <w:jc w:val="right"/>
              <w:rPr>
                <w:rFonts w:ascii="Arial" w:eastAsia="Arial" w:hAnsi="Arial" w:cs="Arial"/>
                <w:color w:val="000000"/>
                <w:sz w:val="16"/>
                <w:vertAlign w:val="superscript"/>
              </w:rPr>
            </w:pPr>
            <w:r>
              <w:rPr>
                <w:rFonts w:ascii="Arial" w:eastAsia="Arial" w:hAnsi="Arial" w:cs="Arial"/>
                <w:color w:val="000000"/>
                <w:sz w:val="16"/>
              </w:rPr>
              <w:t xml:space="preserve"> - </w:t>
            </w:r>
          </w:p>
        </w:tc>
        <w:tc>
          <w:tcPr>
            <w:tcW w:w="870" w:type="dxa"/>
            <w:tcBorders>
              <w:top w:val="nil"/>
              <w:left w:val="nil"/>
              <w:bottom w:val="nil"/>
              <w:right w:val="nil"/>
              <w:tl2br w:val="nil"/>
              <w:tr2bl w:val="nil"/>
            </w:tcBorders>
            <w:shd w:val="clear" w:color="auto" w:fill="FFFFFF"/>
            <w:tcMar>
              <w:left w:w="101" w:type="dxa"/>
              <w:right w:w="101" w:type="dxa"/>
            </w:tcMar>
            <w:vAlign w:val="bottom"/>
          </w:tcPr>
          <w:p w14:paraId="4AAF4866" w14:textId="77777777" w:rsidR="003F0EEA" w:rsidRDefault="00FB7D0B">
            <w:pPr>
              <w:jc w:val="right"/>
              <w:rPr>
                <w:rFonts w:ascii="Arial" w:eastAsia="Arial" w:hAnsi="Arial" w:cs="Arial"/>
                <w:color w:val="000000"/>
                <w:sz w:val="16"/>
              </w:rPr>
            </w:pPr>
            <w:r>
              <w:rPr>
                <w:rFonts w:ascii="Arial" w:eastAsia="Arial" w:hAnsi="Arial" w:cs="Arial"/>
                <w:color w:val="000000"/>
                <w:sz w:val="16"/>
              </w:rPr>
              <w:t xml:space="preserve"> 2,201 </w:t>
            </w:r>
          </w:p>
        </w:tc>
        <w:tc>
          <w:tcPr>
            <w:tcW w:w="1215" w:type="dxa"/>
            <w:tcBorders>
              <w:top w:val="nil"/>
              <w:left w:val="nil"/>
              <w:bottom w:val="nil"/>
              <w:right w:val="nil"/>
              <w:tl2br w:val="nil"/>
              <w:tr2bl w:val="nil"/>
            </w:tcBorders>
            <w:shd w:val="clear" w:color="auto" w:fill="FFFFFF"/>
            <w:tcMar>
              <w:left w:w="101" w:type="dxa"/>
              <w:right w:w="101" w:type="dxa"/>
            </w:tcMar>
            <w:vAlign w:val="bottom"/>
          </w:tcPr>
          <w:p w14:paraId="41795648" w14:textId="77777777" w:rsidR="003F0EEA" w:rsidRDefault="00FB7D0B">
            <w:pPr>
              <w:jc w:val="right"/>
              <w:rPr>
                <w:rFonts w:ascii="Arial" w:eastAsia="Arial" w:hAnsi="Arial" w:cs="Arial"/>
                <w:color w:val="000000"/>
                <w:sz w:val="16"/>
              </w:rPr>
            </w:pPr>
            <w:r>
              <w:rPr>
                <w:rFonts w:ascii="Arial" w:eastAsia="Arial" w:hAnsi="Arial" w:cs="Arial"/>
                <w:color w:val="000000"/>
                <w:sz w:val="16"/>
              </w:rPr>
              <w:t xml:space="preserve"> 2,500 </w:t>
            </w:r>
          </w:p>
        </w:tc>
        <w:tc>
          <w:tcPr>
            <w:tcW w:w="1020" w:type="dxa"/>
            <w:tcBorders>
              <w:top w:val="nil"/>
              <w:left w:val="nil"/>
              <w:bottom w:val="nil"/>
              <w:right w:val="nil"/>
              <w:tl2br w:val="nil"/>
              <w:tr2bl w:val="nil"/>
            </w:tcBorders>
            <w:shd w:val="clear" w:color="auto" w:fill="FFFFFF"/>
            <w:tcMar>
              <w:left w:w="101" w:type="dxa"/>
              <w:right w:w="101" w:type="dxa"/>
            </w:tcMar>
            <w:vAlign w:val="bottom"/>
          </w:tcPr>
          <w:p w14:paraId="66EFF134" w14:textId="77777777" w:rsidR="003F0EEA" w:rsidRDefault="00FB7D0B">
            <w:pPr>
              <w:jc w:val="right"/>
              <w:rPr>
                <w:rFonts w:ascii="Arial" w:eastAsia="Arial" w:hAnsi="Arial" w:cs="Arial"/>
                <w:color w:val="000000"/>
                <w:sz w:val="16"/>
              </w:rPr>
            </w:pPr>
            <w:r>
              <w:rPr>
                <w:rFonts w:ascii="Arial" w:eastAsia="Arial" w:hAnsi="Arial" w:cs="Arial"/>
                <w:color w:val="000000"/>
                <w:sz w:val="16"/>
              </w:rPr>
              <w:t xml:space="preserve"> 8,768 </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1E054B0F" w14:textId="77777777" w:rsidR="003F0EEA" w:rsidRDefault="00FB7D0B">
            <w:pPr>
              <w:jc w:val="right"/>
              <w:rPr>
                <w:rFonts w:ascii="Arial" w:eastAsia="Arial" w:hAnsi="Arial" w:cs="Arial"/>
                <w:color w:val="000000"/>
                <w:sz w:val="16"/>
              </w:rPr>
            </w:pPr>
            <w:r>
              <w:rPr>
                <w:rFonts w:ascii="Arial" w:eastAsia="Arial" w:hAnsi="Arial" w:cs="Arial"/>
                <w:color w:val="000000"/>
                <w:sz w:val="16"/>
              </w:rPr>
              <w:t xml:space="preserve"> 13,469 </w:t>
            </w:r>
          </w:p>
        </w:tc>
      </w:tr>
      <w:tr w:rsidR="00FB7D0B" w14:paraId="4AEF3AB2" w14:textId="77777777" w:rsidTr="00FB7D0B">
        <w:trPr>
          <w:trHeight w:val="225"/>
        </w:trPr>
        <w:tc>
          <w:tcPr>
            <w:tcW w:w="2985" w:type="dxa"/>
            <w:gridSpan w:val="2"/>
            <w:tcBorders>
              <w:top w:val="nil"/>
              <w:left w:val="nil"/>
              <w:bottom w:val="nil"/>
              <w:right w:val="nil"/>
              <w:tl2br w:val="nil"/>
              <w:tr2bl w:val="nil"/>
            </w:tcBorders>
            <w:shd w:val="clear" w:color="auto" w:fill="FFFFFF"/>
            <w:tcMar>
              <w:left w:w="101" w:type="dxa"/>
              <w:right w:w="101" w:type="dxa"/>
            </w:tcMar>
            <w:vAlign w:val="bottom"/>
          </w:tcPr>
          <w:p w14:paraId="181C76BF" w14:textId="77777777" w:rsidR="003F0EEA" w:rsidRDefault="00FB7D0B">
            <w:pPr>
              <w:rPr>
                <w:rFonts w:ascii="Arial" w:eastAsia="Arial" w:hAnsi="Arial" w:cs="Arial"/>
                <w:color w:val="000000"/>
                <w:sz w:val="16"/>
              </w:rPr>
            </w:pPr>
            <w:r>
              <w:rPr>
                <w:rFonts w:ascii="Arial" w:eastAsia="Arial" w:hAnsi="Arial" w:cs="Arial"/>
                <w:b/>
                <w:color w:val="000000"/>
                <w:sz w:val="16"/>
              </w:rPr>
              <w:t>Total additions</w:t>
            </w:r>
          </w:p>
        </w:tc>
        <w:tc>
          <w:tcPr>
            <w:tcW w:w="810"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170430CA" w14:textId="77777777" w:rsidR="003F0EEA" w:rsidRDefault="00FB7D0B">
            <w:pPr>
              <w:jc w:val="right"/>
              <w:rPr>
                <w:rFonts w:ascii="Arial" w:eastAsia="Arial" w:hAnsi="Arial" w:cs="Arial"/>
                <w:b/>
                <w:color w:val="000000"/>
                <w:sz w:val="16"/>
                <w:vertAlign w:val="superscript"/>
              </w:rPr>
            </w:pPr>
            <w:r>
              <w:rPr>
                <w:rFonts w:ascii="Arial" w:eastAsia="Arial" w:hAnsi="Arial" w:cs="Arial"/>
                <w:b/>
                <w:color w:val="000000"/>
                <w:sz w:val="16"/>
              </w:rPr>
              <w:t xml:space="preserve"> - </w:t>
            </w:r>
          </w:p>
        </w:tc>
        <w:tc>
          <w:tcPr>
            <w:tcW w:w="870"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16D08017" w14:textId="77777777" w:rsidR="003F0EEA" w:rsidRDefault="00FB7D0B">
            <w:pPr>
              <w:jc w:val="right"/>
              <w:rPr>
                <w:rFonts w:ascii="Arial" w:eastAsia="Arial" w:hAnsi="Arial" w:cs="Arial"/>
                <w:b/>
                <w:color w:val="000000"/>
                <w:sz w:val="16"/>
              </w:rPr>
            </w:pPr>
            <w:r>
              <w:rPr>
                <w:rFonts w:ascii="Arial" w:eastAsia="Arial" w:hAnsi="Arial" w:cs="Arial"/>
                <w:b/>
                <w:color w:val="000000"/>
                <w:sz w:val="16"/>
              </w:rPr>
              <w:t xml:space="preserve"> 2,201 </w:t>
            </w:r>
          </w:p>
        </w:tc>
        <w:tc>
          <w:tcPr>
            <w:tcW w:w="1215"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57CEA980" w14:textId="77777777" w:rsidR="003F0EEA" w:rsidRDefault="00FB7D0B">
            <w:pPr>
              <w:jc w:val="right"/>
              <w:rPr>
                <w:rFonts w:ascii="Arial" w:eastAsia="Arial" w:hAnsi="Arial" w:cs="Arial"/>
                <w:b/>
                <w:color w:val="000000"/>
                <w:sz w:val="16"/>
              </w:rPr>
            </w:pPr>
            <w:r>
              <w:rPr>
                <w:rFonts w:ascii="Arial" w:eastAsia="Arial" w:hAnsi="Arial" w:cs="Arial"/>
                <w:b/>
                <w:color w:val="000000"/>
                <w:sz w:val="16"/>
              </w:rPr>
              <w:t xml:space="preserve"> 2,500 </w:t>
            </w:r>
          </w:p>
        </w:tc>
        <w:tc>
          <w:tcPr>
            <w:tcW w:w="1020"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2E4987B7" w14:textId="77777777" w:rsidR="003F0EEA" w:rsidRDefault="00FB7D0B">
            <w:pPr>
              <w:jc w:val="right"/>
              <w:rPr>
                <w:rFonts w:ascii="Arial" w:eastAsia="Arial" w:hAnsi="Arial" w:cs="Arial"/>
                <w:b/>
                <w:color w:val="000000"/>
                <w:sz w:val="16"/>
              </w:rPr>
            </w:pPr>
            <w:r>
              <w:rPr>
                <w:rFonts w:ascii="Arial" w:eastAsia="Arial" w:hAnsi="Arial" w:cs="Arial"/>
                <w:b/>
                <w:color w:val="000000"/>
                <w:sz w:val="16"/>
              </w:rPr>
              <w:t xml:space="preserve"> 11,385 </w:t>
            </w:r>
          </w:p>
        </w:tc>
        <w:tc>
          <w:tcPr>
            <w:tcW w:w="915"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55E846C1" w14:textId="77777777" w:rsidR="003F0EEA" w:rsidRDefault="00FB7D0B">
            <w:pPr>
              <w:jc w:val="right"/>
              <w:rPr>
                <w:rFonts w:ascii="Arial" w:eastAsia="Arial" w:hAnsi="Arial" w:cs="Arial"/>
                <w:b/>
                <w:color w:val="000000"/>
                <w:sz w:val="16"/>
              </w:rPr>
            </w:pPr>
            <w:r>
              <w:rPr>
                <w:rFonts w:ascii="Arial" w:eastAsia="Arial" w:hAnsi="Arial" w:cs="Arial"/>
                <w:b/>
                <w:color w:val="000000"/>
                <w:sz w:val="16"/>
              </w:rPr>
              <w:t xml:space="preserve"> 16,086 </w:t>
            </w:r>
          </w:p>
        </w:tc>
      </w:tr>
      <w:tr w:rsidR="00724034" w14:paraId="0ECD1AAF" w14:textId="77777777">
        <w:trPr>
          <w:trHeight w:val="60"/>
        </w:trPr>
        <w:tc>
          <w:tcPr>
            <w:tcW w:w="180" w:type="dxa"/>
            <w:tcBorders>
              <w:top w:val="nil"/>
              <w:left w:val="nil"/>
              <w:bottom w:val="nil"/>
              <w:right w:val="nil"/>
              <w:tl2br w:val="nil"/>
              <w:tr2bl w:val="nil"/>
            </w:tcBorders>
            <w:shd w:val="clear" w:color="auto" w:fill="FFFFFF"/>
            <w:tcMar>
              <w:left w:w="101" w:type="dxa"/>
              <w:right w:w="101" w:type="dxa"/>
            </w:tcMar>
            <w:vAlign w:val="bottom"/>
          </w:tcPr>
          <w:p w14:paraId="56AB9DAC" w14:textId="77777777" w:rsidR="003F0EEA" w:rsidRDefault="003F0EEA">
            <w:pPr>
              <w:rPr>
                <w:rFonts w:ascii="Arial" w:eastAsia="Arial" w:hAnsi="Arial" w:cs="Arial"/>
                <w:b/>
                <w:color w:val="000000"/>
                <w:sz w:val="16"/>
              </w:rPr>
            </w:pPr>
          </w:p>
        </w:tc>
        <w:tc>
          <w:tcPr>
            <w:tcW w:w="2805" w:type="dxa"/>
            <w:tcBorders>
              <w:top w:val="nil"/>
              <w:left w:val="nil"/>
              <w:bottom w:val="nil"/>
              <w:right w:val="nil"/>
              <w:tl2br w:val="nil"/>
              <w:tr2bl w:val="nil"/>
            </w:tcBorders>
            <w:shd w:val="clear" w:color="auto" w:fill="FFFFFF"/>
            <w:tcMar>
              <w:left w:w="101" w:type="dxa"/>
              <w:right w:w="101" w:type="dxa"/>
            </w:tcMar>
            <w:vAlign w:val="bottom"/>
          </w:tcPr>
          <w:p w14:paraId="10CCB59D" w14:textId="77777777" w:rsidR="003F0EEA" w:rsidRDefault="003F0EEA">
            <w:pPr>
              <w:rPr>
                <w:rFonts w:ascii="Arial" w:eastAsia="Arial" w:hAnsi="Arial" w:cs="Arial"/>
                <w:color w:val="000000"/>
                <w:sz w:val="20"/>
              </w:rPr>
            </w:pPr>
          </w:p>
        </w:tc>
        <w:tc>
          <w:tcPr>
            <w:tcW w:w="810"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1860119E" w14:textId="77777777" w:rsidR="003F0EEA" w:rsidRDefault="003F0EEA">
            <w:pPr>
              <w:rPr>
                <w:rFonts w:ascii="Arial" w:eastAsia="Arial" w:hAnsi="Arial" w:cs="Arial"/>
                <w:b/>
                <w:color w:val="000000"/>
                <w:sz w:val="16"/>
                <w:vertAlign w:val="superscript"/>
              </w:rPr>
            </w:pPr>
          </w:p>
        </w:tc>
        <w:tc>
          <w:tcPr>
            <w:tcW w:w="870"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38909C1D" w14:textId="77777777" w:rsidR="003F0EEA" w:rsidRDefault="003F0EEA">
            <w:pPr>
              <w:rPr>
                <w:rFonts w:ascii="Arial" w:eastAsia="Arial" w:hAnsi="Arial" w:cs="Arial"/>
                <w:color w:val="000000"/>
                <w:sz w:val="16"/>
                <w:vertAlign w:val="superscript"/>
              </w:rPr>
            </w:pPr>
          </w:p>
        </w:tc>
        <w:tc>
          <w:tcPr>
            <w:tcW w:w="121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1EC1C37A" w14:textId="77777777" w:rsidR="003F0EEA" w:rsidRDefault="003F0EEA">
            <w:pPr>
              <w:rPr>
                <w:rFonts w:ascii="Arial" w:eastAsia="Arial" w:hAnsi="Arial" w:cs="Arial"/>
                <w:color w:val="000000"/>
                <w:sz w:val="16"/>
                <w:vertAlign w:val="superscript"/>
              </w:rPr>
            </w:pPr>
          </w:p>
        </w:tc>
        <w:tc>
          <w:tcPr>
            <w:tcW w:w="1020"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0A74E8FA" w14:textId="77777777" w:rsidR="003F0EEA" w:rsidRDefault="003F0EEA">
            <w:pPr>
              <w:rPr>
                <w:rFonts w:ascii="Arial" w:eastAsia="Arial" w:hAnsi="Arial" w:cs="Arial"/>
                <w:color w:val="000000"/>
                <w:sz w:val="16"/>
                <w:vertAlign w:val="superscript"/>
              </w:rPr>
            </w:pPr>
          </w:p>
        </w:tc>
        <w:tc>
          <w:tcPr>
            <w:tcW w:w="91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421A8780" w14:textId="77777777" w:rsidR="003F0EEA" w:rsidRDefault="003F0EEA">
            <w:pPr>
              <w:jc w:val="right"/>
              <w:rPr>
                <w:rFonts w:ascii="Arial" w:eastAsia="Arial" w:hAnsi="Arial" w:cs="Arial"/>
                <w:color w:val="000000"/>
                <w:sz w:val="16"/>
                <w:vertAlign w:val="superscript"/>
              </w:rPr>
            </w:pPr>
          </w:p>
        </w:tc>
      </w:tr>
      <w:tr w:rsidR="00FB7D0B" w14:paraId="36DBB1E1" w14:textId="77777777" w:rsidTr="00FB7D0B">
        <w:trPr>
          <w:trHeight w:val="225"/>
        </w:trPr>
        <w:tc>
          <w:tcPr>
            <w:tcW w:w="2985" w:type="dxa"/>
            <w:gridSpan w:val="2"/>
            <w:vMerge w:val="restart"/>
            <w:tcBorders>
              <w:top w:val="nil"/>
              <w:left w:val="nil"/>
              <w:bottom w:val="nil"/>
              <w:right w:val="nil"/>
              <w:tl2br w:val="nil"/>
              <w:tr2bl w:val="nil"/>
            </w:tcBorders>
            <w:shd w:val="clear" w:color="auto" w:fill="FFFFFF"/>
            <w:tcMar>
              <w:left w:w="101" w:type="dxa"/>
              <w:right w:w="101" w:type="dxa"/>
            </w:tcMar>
            <w:vAlign w:val="bottom"/>
          </w:tcPr>
          <w:p w14:paraId="6D85759A" w14:textId="77777777" w:rsidR="003F0EEA" w:rsidRDefault="00FB7D0B">
            <w:pPr>
              <w:rPr>
                <w:rFonts w:ascii="Arial" w:eastAsia="Arial" w:hAnsi="Arial" w:cs="Arial"/>
                <w:color w:val="000000"/>
                <w:sz w:val="16"/>
                <w:vertAlign w:val="superscript"/>
              </w:rPr>
            </w:pPr>
            <w:r>
              <w:rPr>
                <w:rFonts w:ascii="Arial" w:eastAsia="Arial" w:hAnsi="Arial" w:cs="Arial"/>
                <w:b/>
                <w:color w:val="000000"/>
                <w:sz w:val="16"/>
              </w:rPr>
              <w:t>Other movements</w:t>
            </w:r>
          </w:p>
        </w:tc>
        <w:tc>
          <w:tcPr>
            <w:tcW w:w="810" w:type="dxa"/>
            <w:tcBorders>
              <w:top w:val="nil"/>
              <w:left w:val="nil"/>
              <w:bottom w:val="nil"/>
              <w:right w:val="nil"/>
              <w:tl2br w:val="nil"/>
              <w:tr2bl w:val="nil"/>
            </w:tcBorders>
            <w:shd w:val="clear" w:color="auto" w:fill="FFFFFF"/>
            <w:tcMar>
              <w:left w:w="101" w:type="dxa"/>
              <w:right w:w="101" w:type="dxa"/>
            </w:tcMar>
            <w:vAlign w:val="bottom"/>
          </w:tcPr>
          <w:p w14:paraId="33FD8078" w14:textId="77777777" w:rsidR="003F0EEA" w:rsidRDefault="003F0EEA">
            <w:pPr>
              <w:rPr>
                <w:rFonts w:ascii="Arial" w:eastAsia="Arial" w:hAnsi="Arial" w:cs="Arial"/>
                <w:b/>
                <w:color w:val="000000"/>
                <w:sz w:val="16"/>
                <w:vertAlign w:val="superscript"/>
              </w:rPr>
            </w:pPr>
          </w:p>
        </w:tc>
        <w:tc>
          <w:tcPr>
            <w:tcW w:w="870" w:type="dxa"/>
            <w:tcBorders>
              <w:top w:val="nil"/>
              <w:left w:val="nil"/>
              <w:bottom w:val="nil"/>
              <w:right w:val="nil"/>
              <w:tl2br w:val="nil"/>
              <w:tr2bl w:val="nil"/>
            </w:tcBorders>
            <w:shd w:val="clear" w:color="auto" w:fill="FFFFFF"/>
            <w:tcMar>
              <w:left w:w="101" w:type="dxa"/>
              <w:right w:w="101" w:type="dxa"/>
            </w:tcMar>
            <w:vAlign w:val="bottom"/>
          </w:tcPr>
          <w:p w14:paraId="1F36483F" w14:textId="77777777" w:rsidR="003F0EEA" w:rsidRDefault="003F0EEA">
            <w:pPr>
              <w:rPr>
                <w:rFonts w:ascii="Arial" w:eastAsia="Arial" w:hAnsi="Arial" w:cs="Arial"/>
                <w:color w:val="000000"/>
                <w:sz w:val="16"/>
                <w:vertAlign w:val="superscript"/>
              </w:rPr>
            </w:pPr>
          </w:p>
        </w:tc>
        <w:tc>
          <w:tcPr>
            <w:tcW w:w="1215" w:type="dxa"/>
            <w:tcBorders>
              <w:top w:val="nil"/>
              <w:left w:val="nil"/>
              <w:bottom w:val="nil"/>
              <w:right w:val="nil"/>
              <w:tl2br w:val="nil"/>
              <w:tr2bl w:val="nil"/>
            </w:tcBorders>
            <w:shd w:val="clear" w:color="auto" w:fill="FFFFFF"/>
            <w:tcMar>
              <w:left w:w="101" w:type="dxa"/>
              <w:right w:w="101" w:type="dxa"/>
            </w:tcMar>
            <w:vAlign w:val="bottom"/>
          </w:tcPr>
          <w:p w14:paraId="007E6BC3" w14:textId="77777777" w:rsidR="003F0EEA" w:rsidRDefault="003F0EEA">
            <w:pPr>
              <w:rPr>
                <w:rFonts w:ascii="Arial" w:eastAsia="Arial" w:hAnsi="Arial" w:cs="Arial"/>
                <w:color w:val="000000"/>
                <w:sz w:val="16"/>
                <w:vertAlign w:val="superscript"/>
              </w:rPr>
            </w:pPr>
          </w:p>
        </w:tc>
        <w:tc>
          <w:tcPr>
            <w:tcW w:w="1020" w:type="dxa"/>
            <w:tcBorders>
              <w:top w:val="nil"/>
              <w:left w:val="nil"/>
              <w:bottom w:val="nil"/>
              <w:right w:val="nil"/>
              <w:tl2br w:val="nil"/>
              <w:tr2bl w:val="nil"/>
            </w:tcBorders>
            <w:shd w:val="clear" w:color="auto" w:fill="FFFFFF"/>
            <w:tcMar>
              <w:left w:w="101" w:type="dxa"/>
              <w:right w:w="101" w:type="dxa"/>
            </w:tcMar>
            <w:vAlign w:val="bottom"/>
          </w:tcPr>
          <w:p w14:paraId="0CF8C746" w14:textId="77777777" w:rsidR="003F0EEA" w:rsidRDefault="003F0EEA">
            <w:pPr>
              <w:rPr>
                <w:rFonts w:ascii="Arial" w:eastAsia="Arial" w:hAnsi="Arial" w:cs="Arial"/>
                <w:color w:val="000000"/>
                <w:sz w:val="16"/>
                <w:vertAlign w:val="superscript"/>
              </w:rPr>
            </w:pP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3F017B15" w14:textId="77777777" w:rsidR="003F0EEA" w:rsidRDefault="003F0EEA">
            <w:pPr>
              <w:jc w:val="right"/>
              <w:rPr>
                <w:rFonts w:ascii="Arial" w:eastAsia="Arial" w:hAnsi="Arial" w:cs="Arial"/>
                <w:color w:val="000000"/>
                <w:sz w:val="16"/>
                <w:vertAlign w:val="superscript"/>
              </w:rPr>
            </w:pPr>
          </w:p>
        </w:tc>
      </w:tr>
      <w:tr w:rsidR="00FB7D0B" w14:paraId="71123D9C" w14:textId="77777777" w:rsidTr="00FB7D0B">
        <w:trPr>
          <w:trHeight w:val="225"/>
        </w:trPr>
        <w:tc>
          <w:tcPr>
            <w:tcW w:w="2985" w:type="dxa"/>
            <w:gridSpan w:val="2"/>
            <w:tcBorders>
              <w:top w:val="nil"/>
              <w:left w:val="nil"/>
              <w:bottom w:val="nil"/>
              <w:right w:val="nil"/>
              <w:tl2br w:val="nil"/>
              <w:tr2bl w:val="nil"/>
            </w:tcBorders>
            <w:shd w:val="clear" w:color="auto" w:fill="FFFFFF"/>
            <w:tcMar>
              <w:left w:w="101" w:type="dxa"/>
              <w:right w:w="101" w:type="dxa"/>
            </w:tcMar>
            <w:vAlign w:val="bottom"/>
          </w:tcPr>
          <w:p w14:paraId="2543CD6C" w14:textId="77777777" w:rsidR="003F0EEA" w:rsidRDefault="00FB7D0B">
            <w:pPr>
              <w:rPr>
                <w:rFonts w:ascii="Arial" w:eastAsia="Arial" w:hAnsi="Arial" w:cs="Arial"/>
                <w:color w:val="000000"/>
                <w:sz w:val="16"/>
                <w:vertAlign w:val="superscript"/>
              </w:rPr>
            </w:pPr>
            <w:r>
              <w:rPr>
                <w:rFonts w:ascii="Arial" w:eastAsia="Arial" w:hAnsi="Arial" w:cs="Arial"/>
                <w:color w:val="000000"/>
                <w:sz w:val="16"/>
              </w:rPr>
              <w:t>Depreciation/amortisation expense</w:t>
            </w:r>
          </w:p>
        </w:tc>
        <w:tc>
          <w:tcPr>
            <w:tcW w:w="810"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352C630E" w14:textId="77777777" w:rsidR="003F0EEA" w:rsidRDefault="00FB7D0B">
            <w:pPr>
              <w:jc w:val="right"/>
              <w:rPr>
                <w:rFonts w:ascii="Arial" w:eastAsia="Arial" w:hAnsi="Arial" w:cs="Arial"/>
                <w:color w:val="000000"/>
                <w:sz w:val="16"/>
                <w:vertAlign w:val="superscript"/>
              </w:rPr>
            </w:pPr>
            <w:r>
              <w:rPr>
                <w:rFonts w:ascii="Arial" w:eastAsia="Arial" w:hAnsi="Arial" w:cs="Arial"/>
                <w:color w:val="000000"/>
                <w:sz w:val="16"/>
              </w:rPr>
              <w:t xml:space="preserve"> - </w:t>
            </w:r>
          </w:p>
        </w:tc>
        <w:tc>
          <w:tcPr>
            <w:tcW w:w="870"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02E0DA1F" w14:textId="77777777" w:rsidR="003F0EEA" w:rsidRDefault="00FB7D0B">
            <w:pPr>
              <w:jc w:val="right"/>
              <w:rPr>
                <w:rFonts w:ascii="Arial" w:eastAsia="Arial" w:hAnsi="Arial" w:cs="Arial"/>
                <w:color w:val="000000"/>
                <w:sz w:val="16"/>
              </w:rPr>
            </w:pPr>
            <w:r>
              <w:rPr>
                <w:rFonts w:ascii="Arial" w:eastAsia="Arial" w:hAnsi="Arial" w:cs="Arial"/>
                <w:color w:val="000000"/>
                <w:sz w:val="16"/>
              </w:rPr>
              <w:t>(5,471)</w:t>
            </w:r>
          </w:p>
        </w:tc>
        <w:tc>
          <w:tcPr>
            <w:tcW w:w="1215"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071C7610" w14:textId="77777777" w:rsidR="003F0EEA" w:rsidRDefault="00FB7D0B">
            <w:pPr>
              <w:jc w:val="right"/>
              <w:rPr>
                <w:rFonts w:ascii="Arial" w:eastAsia="Arial" w:hAnsi="Arial" w:cs="Arial"/>
                <w:color w:val="000000"/>
                <w:sz w:val="16"/>
              </w:rPr>
            </w:pPr>
            <w:r>
              <w:rPr>
                <w:rFonts w:ascii="Arial" w:eastAsia="Arial" w:hAnsi="Arial" w:cs="Arial"/>
                <w:color w:val="000000"/>
                <w:sz w:val="16"/>
              </w:rPr>
              <w:t>(9,078)</w:t>
            </w:r>
          </w:p>
        </w:tc>
        <w:tc>
          <w:tcPr>
            <w:tcW w:w="1020"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69E9EA07" w14:textId="77777777" w:rsidR="003F0EEA" w:rsidRDefault="00FB7D0B">
            <w:pPr>
              <w:jc w:val="right"/>
              <w:rPr>
                <w:rFonts w:ascii="Arial" w:eastAsia="Arial" w:hAnsi="Arial" w:cs="Arial"/>
                <w:color w:val="000000"/>
                <w:sz w:val="16"/>
              </w:rPr>
            </w:pPr>
            <w:r>
              <w:rPr>
                <w:rFonts w:ascii="Arial" w:eastAsia="Arial" w:hAnsi="Arial" w:cs="Arial"/>
                <w:color w:val="000000"/>
                <w:sz w:val="16"/>
              </w:rPr>
              <w:t>(18,116)</w:t>
            </w:r>
          </w:p>
        </w:tc>
        <w:tc>
          <w:tcPr>
            <w:tcW w:w="915"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4DC3F170" w14:textId="77777777" w:rsidR="003F0EEA" w:rsidRDefault="00FB7D0B">
            <w:pPr>
              <w:jc w:val="right"/>
              <w:rPr>
                <w:rFonts w:ascii="Arial" w:eastAsia="Arial" w:hAnsi="Arial" w:cs="Arial"/>
                <w:color w:val="000000"/>
                <w:sz w:val="16"/>
              </w:rPr>
            </w:pPr>
            <w:r>
              <w:rPr>
                <w:rFonts w:ascii="Arial" w:eastAsia="Arial" w:hAnsi="Arial" w:cs="Arial"/>
                <w:color w:val="000000"/>
                <w:sz w:val="16"/>
              </w:rPr>
              <w:t>(32,665)</w:t>
            </w:r>
          </w:p>
        </w:tc>
      </w:tr>
      <w:tr w:rsidR="00FB7D0B" w14:paraId="4FE83FD6" w14:textId="77777777" w:rsidTr="00FB7D0B">
        <w:trPr>
          <w:trHeight w:val="225"/>
        </w:trPr>
        <w:tc>
          <w:tcPr>
            <w:tcW w:w="2985" w:type="dxa"/>
            <w:gridSpan w:val="2"/>
            <w:tcBorders>
              <w:top w:val="nil"/>
              <w:left w:val="nil"/>
              <w:bottom w:val="nil"/>
              <w:right w:val="nil"/>
              <w:tl2br w:val="nil"/>
              <w:tr2bl w:val="nil"/>
            </w:tcBorders>
            <w:shd w:val="clear" w:color="auto" w:fill="FFFFFF"/>
            <w:tcMar>
              <w:left w:w="101" w:type="dxa"/>
              <w:right w:w="101" w:type="dxa"/>
            </w:tcMar>
            <w:vAlign w:val="bottom"/>
          </w:tcPr>
          <w:p w14:paraId="63D28766" w14:textId="77777777" w:rsidR="003F0EEA" w:rsidRDefault="00FB7D0B">
            <w:pPr>
              <w:rPr>
                <w:rFonts w:ascii="Arial" w:eastAsia="Arial" w:hAnsi="Arial" w:cs="Arial"/>
                <w:color w:val="000000"/>
                <w:sz w:val="16"/>
              </w:rPr>
            </w:pPr>
            <w:r>
              <w:rPr>
                <w:rFonts w:ascii="Arial" w:eastAsia="Arial" w:hAnsi="Arial" w:cs="Arial"/>
                <w:b/>
                <w:color w:val="000000"/>
                <w:sz w:val="16"/>
              </w:rPr>
              <w:t>Total other movements</w:t>
            </w:r>
          </w:p>
        </w:tc>
        <w:tc>
          <w:tcPr>
            <w:tcW w:w="810"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1EA14C78" w14:textId="77777777" w:rsidR="003F0EEA" w:rsidRDefault="00FB7D0B">
            <w:pPr>
              <w:jc w:val="right"/>
              <w:rPr>
                <w:rFonts w:ascii="Arial" w:eastAsia="Arial" w:hAnsi="Arial" w:cs="Arial"/>
                <w:b/>
                <w:color w:val="000000"/>
                <w:sz w:val="16"/>
                <w:vertAlign w:val="superscript"/>
              </w:rPr>
            </w:pPr>
            <w:r>
              <w:rPr>
                <w:rFonts w:ascii="Arial" w:eastAsia="Arial" w:hAnsi="Arial" w:cs="Arial"/>
                <w:b/>
                <w:color w:val="000000"/>
                <w:sz w:val="16"/>
              </w:rPr>
              <w:t xml:space="preserve"> - </w:t>
            </w:r>
          </w:p>
        </w:tc>
        <w:tc>
          <w:tcPr>
            <w:tcW w:w="870"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2CFF471A" w14:textId="77777777" w:rsidR="003F0EEA" w:rsidRDefault="00FB7D0B">
            <w:pPr>
              <w:jc w:val="right"/>
              <w:rPr>
                <w:rFonts w:ascii="Arial" w:eastAsia="Arial" w:hAnsi="Arial" w:cs="Arial"/>
                <w:b/>
                <w:color w:val="000000"/>
                <w:sz w:val="16"/>
              </w:rPr>
            </w:pPr>
            <w:r>
              <w:rPr>
                <w:rFonts w:ascii="Arial" w:eastAsia="Arial" w:hAnsi="Arial" w:cs="Arial"/>
                <w:b/>
                <w:color w:val="000000"/>
                <w:sz w:val="16"/>
              </w:rPr>
              <w:t>(5,471)</w:t>
            </w:r>
          </w:p>
        </w:tc>
        <w:tc>
          <w:tcPr>
            <w:tcW w:w="1215"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58576A10" w14:textId="77777777" w:rsidR="003F0EEA" w:rsidRDefault="00FB7D0B">
            <w:pPr>
              <w:jc w:val="right"/>
              <w:rPr>
                <w:rFonts w:ascii="Arial" w:eastAsia="Arial" w:hAnsi="Arial" w:cs="Arial"/>
                <w:b/>
                <w:color w:val="000000"/>
                <w:sz w:val="16"/>
              </w:rPr>
            </w:pPr>
            <w:r>
              <w:rPr>
                <w:rFonts w:ascii="Arial" w:eastAsia="Arial" w:hAnsi="Arial" w:cs="Arial"/>
                <w:b/>
                <w:color w:val="000000"/>
                <w:sz w:val="16"/>
              </w:rPr>
              <w:t>(9,078)</w:t>
            </w:r>
          </w:p>
        </w:tc>
        <w:tc>
          <w:tcPr>
            <w:tcW w:w="1020"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2C8CDBCE" w14:textId="77777777" w:rsidR="003F0EEA" w:rsidRDefault="00FB7D0B">
            <w:pPr>
              <w:jc w:val="right"/>
              <w:rPr>
                <w:rFonts w:ascii="Arial" w:eastAsia="Arial" w:hAnsi="Arial" w:cs="Arial"/>
                <w:b/>
                <w:color w:val="000000"/>
                <w:sz w:val="16"/>
              </w:rPr>
            </w:pPr>
            <w:r>
              <w:rPr>
                <w:rFonts w:ascii="Arial" w:eastAsia="Arial" w:hAnsi="Arial" w:cs="Arial"/>
                <w:b/>
                <w:color w:val="000000"/>
                <w:sz w:val="16"/>
              </w:rPr>
              <w:t>(18,116)</w:t>
            </w:r>
          </w:p>
        </w:tc>
        <w:tc>
          <w:tcPr>
            <w:tcW w:w="915"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32D92835" w14:textId="77777777" w:rsidR="003F0EEA" w:rsidRDefault="00FB7D0B">
            <w:pPr>
              <w:jc w:val="right"/>
              <w:rPr>
                <w:rFonts w:ascii="Arial" w:eastAsia="Arial" w:hAnsi="Arial" w:cs="Arial"/>
                <w:b/>
                <w:color w:val="000000"/>
                <w:sz w:val="16"/>
              </w:rPr>
            </w:pPr>
            <w:r>
              <w:rPr>
                <w:rFonts w:ascii="Arial" w:eastAsia="Arial" w:hAnsi="Arial" w:cs="Arial"/>
                <w:b/>
                <w:color w:val="000000"/>
                <w:sz w:val="16"/>
              </w:rPr>
              <w:t>(32,665)</w:t>
            </w:r>
          </w:p>
        </w:tc>
      </w:tr>
      <w:tr w:rsidR="00724034" w14:paraId="0B58948E" w14:textId="77777777">
        <w:trPr>
          <w:trHeight w:val="60"/>
        </w:trPr>
        <w:tc>
          <w:tcPr>
            <w:tcW w:w="180" w:type="dxa"/>
            <w:tcBorders>
              <w:top w:val="nil"/>
              <w:left w:val="nil"/>
              <w:bottom w:val="nil"/>
              <w:right w:val="nil"/>
              <w:tl2br w:val="nil"/>
              <w:tr2bl w:val="nil"/>
            </w:tcBorders>
            <w:shd w:val="clear" w:color="auto" w:fill="FFFFFF"/>
            <w:tcMar>
              <w:left w:w="101" w:type="dxa"/>
              <w:right w:w="101" w:type="dxa"/>
            </w:tcMar>
            <w:vAlign w:val="bottom"/>
          </w:tcPr>
          <w:p w14:paraId="1BE5D2A1" w14:textId="77777777" w:rsidR="003F0EEA" w:rsidRDefault="003F0EEA">
            <w:pPr>
              <w:rPr>
                <w:rFonts w:ascii="Arial" w:eastAsia="Arial" w:hAnsi="Arial" w:cs="Arial"/>
                <w:b/>
                <w:color w:val="000000"/>
                <w:sz w:val="16"/>
              </w:rPr>
            </w:pPr>
          </w:p>
        </w:tc>
        <w:tc>
          <w:tcPr>
            <w:tcW w:w="2805" w:type="dxa"/>
            <w:tcBorders>
              <w:top w:val="nil"/>
              <w:left w:val="nil"/>
              <w:bottom w:val="nil"/>
              <w:right w:val="nil"/>
              <w:tl2br w:val="nil"/>
              <w:tr2bl w:val="nil"/>
            </w:tcBorders>
            <w:shd w:val="clear" w:color="auto" w:fill="FFFFFF"/>
            <w:tcMar>
              <w:left w:w="101" w:type="dxa"/>
              <w:right w:w="101" w:type="dxa"/>
            </w:tcMar>
            <w:vAlign w:val="bottom"/>
          </w:tcPr>
          <w:p w14:paraId="5ACE34D1" w14:textId="77777777" w:rsidR="003F0EEA" w:rsidRDefault="003F0EEA">
            <w:pPr>
              <w:rPr>
                <w:rFonts w:ascii="Arial" w:eastAsia="Arial" w:hAnsi="Arial" w:cs="Arial"/>
                <w:color w:val="000000"/>
                <w:sz w:val="20"/>
              </w:rPr>
            </w:pPr>
          </w:p>
        </w:tc>
        <w:tc>
          <w:tcPr>
            <w:tcW w:w="810"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33CD16F6" w14:textId="77777777" w:rsidR="003F0EEA" w:rsidRDefault="003F0EEA">
            <w:pPr>
              <w:rPr>
                <w:rFonts w:ascii="Arial" w:eastAsia="Arial" w:hAnsi="Arial" w:cs="Arial"/>
                <w:b/>
                <w:color w:val="000000"/>
                <w:sz w:val="16"/>
                <w:vertAlign w:val="superscript"/>
              </w:rPr>
            </w:pPr>
          </w:p>
        </w:tc>
        <w:tc>
          <w:tcPr>
            <w:tcW w:w="870"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5DF69775" w14:textId="77777777" w:rsidR="003F0EEA" w:rsidRDefault="003F0EEA">
            <w:pPr>
              <w:rPr>
                <w:rFonts w:ascii="Arial" w:eastAsia="Arial" w:hAnsi="Arial" w:cs="Arial"/>
                <w:b/>
                <w:color w:val="000000"/>
                <w:sz w:val="16"/>
                <w:vertAlign w:val="superscript"/>
              </w:rPr>
            </w:pPr>
          </w:p>
        </w:tc>
        <w:tc>
          <w:tcPr>
            <w:tcW w:w="121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581D5744" w14:textId="77777777" w:rsidR="003F0EEA" w:rsidRDefault="003F0EEA">
            <w:pPr>
              <w:rPr>
                <w:rFonts w:ascii="Arial" w:eastAsia="Arial" w:hAnsi="Arial" w:cs="Arial"/>
                <w:b/>
                <w:color w:val="000000"/>
                <w:sz w:val="16"/>
                <w:vertAlign w:val="superscript"/>
              </w:rPr>
            </w:pPr>
          </w:p>
        </w:tc>
        <w:tc>
          <w:tcPr>
            <w:tcW w:w="1020"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78A9BDE4" w14:textId="77777777" w:rsidR="003F0EEA" w:rsidRDefault="003F0EEA">
            <w:pPr>
              <w:rPr>
                <w:rFonts w:ascii="Arial" w:eastAsia="Arial" w:hAnsi="Arial" w:cs="Arial"/>
                <w:b/>
                <w:color w:val="000000"/>
                <w:sz w:val="16"/>
                <w:vertAlign w:val="superscript"/>
              </w:rPr>
            </w:pPr>
          </w:p>
        </w:tc>
        <w:tc>
          <w:tcPr>
            <w:tcW w:w="91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22E6CD24" w14:textId="77777777" w:rsidR="003F0EEA" w:rsidRDefault="003F0EEA">
            <w:pPr>
              <w:jc w:val="right"/>
              <w:rPr>
                <w:rFonts w:ascii="Arial" w:eastAsia="Arial" w:hAnsi="Arial" w:cs="Arial"/>
                <w:b/>
                <w:color w:val="000000"/>
                <w:sz w:val="16"/>
                <w:vertAlign w:val="superscript"/>
              </w:rPr>
            </w:pPr>
          </w:p>
        </w:tc>
      </w:tr>
      <w:tr w:rsidR="00FB7D0B" w14:paraId="5C91F4FA" w14:textId="77777777" w:rsidTr="00FB7D0B">
        <w:trPr>
          <w:trHeight w:val="225"/>
        </w:trPr>
        <w:tc>
          <w:tcPr>
            <w:tcW w:w="2985" w:type="dxa"/>
            <w:gridSpan w:val="2"/>
            <w:vMerge w:val="restart"/>
            <w:tcBorders>
              <w:top w:val="nil"/>
              <w:left w:val="nil"/>
              <w:bottom w:val="nil"/>
              <w:right w:val="nil"/>
              <w:tl2br w:val="nil"/>
              <w:tr2bl w:val="nil"/>
            </w:tcBorders>
            <w:shd w:val="clear" w:color="auto" w:fill="FFFFFF"/>
            <w:tcMar>
              <w:left w:w="101" w:type="dxa"/>
              <w:right w:w="101" w:type="dxa"/>
            </w:tcMar>
            <w:vAlign w:val="bottom"/>
          </w:tcPr>
          <w:p w14:paraId="6047C115" w14:textId="77777777" w:rsidR="003F0EEA" w:rsidRDefault="00FB7D0B">
            <w:pPr>
              <w:rPr>
                <w:rFonts w:ascii="Arial" w:eastAsia="Arial" w:hAnsi="Arial" w:cs="Arial"/>
                <w:b/>
                <w:color w:val="000000"/>
                <w:sz w:val="16"/>
                <w:vertAlign w:val="superscript"/>
              </w:rPr>
            </w:pPr>
            <w:r>
              <w:rPr>
                <w:rFonts w:ascii="Arial" w:eastAsia="Arial" w:hAnsi="Arial" w:cs="Arial"/>
                <w:b/>
                <w:color w:val="000000"/>
                <w:sz w:val="16"/>
              </w:rPr>
              <w:t>As at 30 June 2015</w:t>
            </w:r>
          </w:p>
        </w:tc>
        <w:tc>
          <w:tcPr>
            <w:tcW w:w="810" w:type="dxa"/>
            <w:tcBorders>
              <w:top w:val="nil"/>
              <w:left w:val="nil"/>
              <w:bottom w:val="nil"/>
              <w:right w:val="nil"/>
              <w:tl2br w:val="nil"/>
              <w:tr2bl w:val="nil"/>
            </w:tcBorders>
            <w:shd w:val="clear" w:color="auto" w:fill="FFFFFF"/>
            <w:tcMar>
              <w:left w:w="101" w:type="dxa"/>
              <w:right w:w="101" w:type="dxa"/>
            </w:tcMar>
            <w:vAlign w:val="bottom"/>
          </w:tcPr>
          <w:p w14:paraId="3BC736FE" w14:textId="77777777" w:rsidR="003F0EEA" w:rsidRDefault="003F0EEA">
            <w:pPr>
              <w:rPr>
                <w:rFonts w:ascii="Arial" w:eastAsia="Arial" w:hAnsi="Arial" w:cs="Arial"/>
                <w:b/>
                <w:color w:val="000000"/>
                <w:sz w:val="16"/>
                <w:vertAlign w:val="superscript"/>
              </w:rPr>
            </w:pPr>
          </w:p>
        </w:tc>
        <w:tc>
          <w:tcPr>
            <w:tcW w:w="870" w:type="dxa"/>
            <w:tcBorders>
              <w:top w:val="nil"/>
              <w:left w:val="nil"/>
              <w:bottom w:val="nil"/>
              <w:right w:val="nil"/>
              <w:tl2br w:val="nil"/>
              <w:tr2bl w:val="nil"/>
            </w:tcBorders>
            <w:shd w:val="clear" w:color="auto" w:fill="FFFFFF"/>
            <w:tcMar>
              <w:left w:w="101" w:type="dxa"/>
              <w:right w:w="101" w:type="dxa"/>
            </w:tcMar>
            <w:vAlign w:val="bottom"/>
          </w:tcPr>
          <w:p w14:paraId="64958B7B" w14:textId="77777777" w:rsidR="003F0EEA" w:rsidRDefault="003F0EEA">
            <w:pPr>
              <w:rPr>
                <w:rFonts w:ascii="Arial" w:eastAsia="Arial" w:hAnsi="Arial" w:cs="Arial"/>
                <w:color w:val="000000"/>
                <w:sz w:val="16"/>
                <w:vertAlign w:val="superscript"/>
              </w:rPr>
            </w:pPr>
          </w:p>
        </w:tc>
        <w:tc>
          <w:tcPr>
            <w:tcW w:w="1215" w:type="dxa"/>
            <w:tcBorders>
              <w:top w:val="nil"/>
              <w:left w:val="nil"/>
              <w:bottom w:val="nil"/>
              <w:right w:val="nil"/>
              <w:tl2br w:val="nil"/>
              <w:tr2bl w:val="nil"/>
            </w:tcBorders>
            <w:shd w:val="clear" w:color="auto" w:fill="FFFFFF"/>
            <w:tcMar>
              <w:left w:w="101" w:type="dxa"/>
              <w:right w:w="101" w:type="dxa"/>
            </w:tcMar>
            <w:vAlign w:val="bottom"/>
          </w:tcPr>
          <w:p w14:paraId="5814EC63" w14:textId="77777777" w:rsidR="003F0EEA" w:rsidRDefault="003F0EEA">
            <w:pPr>
              <w:rPr>
                <w:rFonts w:ascii="Arial" w:eastAsia="Arial" w:hAnsi="Arial" w:cs="Arial"/>
                <w:color w:val="000000"/>
                <w:sz w:val="16"/>
                <w:vertAlign w:val="superscript"/>
              </w:rPr>
            </w:pPr>
          </w:p>
        </w:tc>
        <w:tc>
          <w:tcPr>
            <w:tcW w:w="1020" w:type="dxa"/>
            <w:tcBorders>
              <w:top w:val="nil"/>
              <w:left w:val="nil"/>
              <w:bottom w:val="nil"/>
              <w:right w:val="nil"/>
              <w:tl2br w:val="nil"/>
              <w:tr2bl w:val="nil"/>
            </w:tcBorders>
            <w:shd w:val="clear" w:color="auto" w:fill="FFFFFF"/>
            <w:tcMar>
              <w:left w:w="101" w:type="dxa"/>
              <w:right w:w="101" w:type="dxa"/>
            </w:tcMar>
            <w:vAlign w:val="bottom"/>
          </w:tcPr>
          <w:p w14:paraId="35BD71B9" w14:textId="77777777" w:rsidR="003F0EEA" w:rsidRDefault="003F0EEA">
            <w:pPr>
              <w:rPr>
                <w:rFonts w:ascii="Arial" w:eastAsia="Arial" w:hAnsi="Arial" w:cs="Arial"/>
                <w:color w:val="000000"/>
                <w:sz w:val="16"/>
                <w:vertAlign w:val="superscript"/>
              </w:rPr>
            </w:pP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3FC0A54B" w14:textId="77777777" w:rsidR="003F0EEA" w:rsidRDefault="003F0EEA">
            <w:pPr>
              <w:jc w:val="right"/>
              <w:rPr>
                <w:rFonts w:ascii="Arial" w:eastAsia="Arial" w:hAnsi="Arial" w:cs="Arial"/>
                <w:color w:val="000000"/>
                <w:sz w:val="16"/>
                <w:vertAlign w:val="superscript"/>
              </w:rPr>
            </w:pPr>
          </w:p>
        </w:tc>
      </w:tr>
      <w:tr w:rsidR="00FB7D0B" w14:paraId="5218B205" w14:textId="77777777" w:rsidTr="00FB7D0B">
        <w:trPr>
          <w:trHeight w:val="225"/>
        </w:trPr>
        <w:tc>
          <w:tcPr>
            <w:tcW w:w="2985" w:type="dxa"/>
            <w:gridSpan w:val="2"/>
            <w:tcBorders>
              <w:top w:val="nil"/>
              <w:left w:val="nil"/>
              <w:bottom w:val="nil"/>
              <w:right w:val="nil"/>
              <w:tl2br w:val="nil"/>
              <w:tr2bl w:val="nil"/>
            </w:tcBorders>
            <w:shd w:val="clear" w:color="auto" w:fill="FFFFFF"/>
            <w:tcMar>
              <w:left w:w="101" w:type="dxa"/>
              <w:right w:w="101" w:type="dxa"/>
            </w:tcMar>
            <w:vAlign w:val="bottom"/>
          </w:tcPr>
          <w:p w14:paraId="667006A4" w14:textId="77777777" w:rsidR="003F0EEA" w:rsidRDefault="00FB7D0B">
            <w:pPr>
              <w:rPr>
                <w:rFonts w:ascii="Arial" w:eastAsia="Arial" w:hAnsi="Arial" w:cs="Arial"/>
                <w:color w:val="000000"/>
                <w:sz w:val="16"/>
                <w:vertAlign w:val="superscript"/>
              </w:rPr>
            </w:pPr>
            <w:r>
              <w:rPr>
                <w:rFonts w:ascii="Arial" w:eastAsia="Arial" w:hAnsi="Arial" w:cs="Arial"/>
                <w:color w:val="000000"/>
                <w:sz w:val="16"/>
              </w:rPr>
              <w:t>Gross book value</w:t>
            </w:r>
          </w:p>
        </w:tc>
        <w:tc>
          <w:tcPr>
            <w:tcW w:w="810" w:type="dxa"/>
            <w:tcBorders>
              <w:top w:val="nil"/>
              <w:left w:val="nil"/>
              <w:bottom w:val="nil"/>
              <w:right w:val="nil"/>
              <w:tl2br w:val="nil"/>
              <w:tr2bl w:val="nil"/>
            </w:tcBorders>
            <w:shd w:val="clear" w:color="auto" w:fill="FFFFFF"/>
            <w:tcMar>
              <w:left w:w="101" w:type="dxa"/>
              <w:right w:w="101" w:type="dxa"/>
            </w:tcMar>
            <w:vAlign w:val="bottom"/>
          </w:tcPr>
          <w:p w14:paraId="72BBAA07" w14:textId="77777777" w:rsidR="003F0EEA" w:rsidRDefault="00FB7D0B">
            <w:pPr>
              <w:jc w:val="right"/>
              <w:rPr>
                <w:rFonts w:ascii="Arial" w:eastAsia="Arial" w:hAnsi="Arial" w:cs="Arial"/>
                <w:color w:val="000000"/>
                <w:sz w:val="16"/>
                <w:vertAlign w:val="superscript"/>
              </w:rPr>
            </w:pPr>
            <w:r>
              <w:rPr>
                <w:rFonts w:ascii="Arial" w:eastAsia="Arial" w:hAnsi="Arial" w:cs="Arial"/>
                <w:color w:val="000000"/>
                <w:sz w:val="16"/>
              </w:rPr>
              <w:t xml:space="preserve"> 1,352 </w:t>
            </w:r>
          </w:p>
        </w:tc>
        <w:tc>
          <w:tcPr>
            <w:tcW w:w="870" w:type="dxa"/>
            <w:tcBorders>
              <w:top w:val="nil"/>
              <w:left w:val="nil"/>
              <w:bottom w:val="nil"/>
              <w:right w:val="nil"/>
              <w:tl2br w:val="nil"/>
              <w:tr2bl w:val="nil"/>
            </w:tcBorders>
            <w:shd w:val="clear" w:color="auto" w:fill="FFFFFF"/>
            <w:tcMar>
              <w:left w:w="101" w:type="dxa"/>
              <w:right w:w="101" w:type="dxa"/>
            </w:tcMar>
            <w:vAlign w:val="bottom"/>
          </w:tcPr>
          <w:p w14:paraId="2476B054" w14:textId="77777777" w:rsidR="003F0EEA" w:rsidRDefault="00FB7D0B">
            <w:pPr>
              <w:jc w:val="right"/>
              <w:rPr>
                <w:rFonts w:ascii="Arial" w:eastAsia="Arial" w:hAnsi="Arial" w:cs="Arial"/>
                <w:color w:val="000000"/>
                <w:sz w:val="16"/>
              </w:rPr>
            </w:pPr>
            <w:r>
              <w:rPr>
                <w:rFonts w:ascii="Arial" w:eastAsia="Arial" w:hAnsi="Arial" w:cs="Arial"/>
                <w:color w:val="000000"/>
                <w:sz w:val="16"/>
              </w:rPr>
              <w:t xml:space="preserve"> 41,020 </w:t>
            </w:r>
          </w:p>
        </w:tc>
        <w:tc>
          <w:tcPr>
            <w:tcW w:w="1215" w:type="dxa"/>
            <w:tcBorders>
              <w:top w:val="nil"/>
              <w:left w:val="nil"/>
              <w:bottom w:val="nil"/>
              <w:right w:val="nil"/>
              <w:tl2br w:val="nil"/>
              <w:tr2bl w:val="nil"/>
            </w:tcBorders>
            <w:shd w:val="clear" w:color="auto" w:fill="FFFFFF"/>
            <w:tcMar>
              <w:left w:w="101" w:type="dxa"/>
              <w:right w:w="101" w:type="dxa"/>
            </w:tcMar>
            <w:vAlign w:val="bottom"/>
          </w:tcPr>
          <w:p w14:paraId="78573BA3" w14:textId="77777777" w:rsidR="003F0EEA" w:rsidRDefault="00FB7D0B">
            <w:pPr>
              <w:jc w:val="right"/>
              <w:rPr>
                <w:rFonts w:ascii="Arial" w:eastAsia="Arial" w:hAnsi="Arial" w:cs="Arial"/>
                <w:color w:val="000000"/>
                <w:sz w:val="16"/>
              </w:rPr>
            </w:pPr>
            <w:r>
              <w:rPr>
                <w:rFonts w:ascii="Arial" w:eastAsia="Arial" w:hAnsi="Arial" w:cs="Arial"/>
                <w:color w:val="000000"/>
                <w:sz w:val="16"/>
              </w:rPr>
              <w:t xml:space="preserve"> 39,269 </w:t>
            </w:r>
          </w:p>
        </w:tc>
        <w:tc>
          <w:tcPr>
            <w:tcW w:w="1020" w:type="dxa"/>
            <w:tcBorders>
              <w:top w:val="nil"/>
              <w:left w:val="nil"/>
              <w:bottom w:val="nil"/>
              <w:right w:val="nil"/>
              <w:tl2br w:val="nil"/>
              <w:tr2bl w:val="nil"/>
            </w:tcBorders>
            <w:shd w:val="clear" w:color="auto" w:fill="FFFFFF"/>
            <w:tcMar>
              <w:left w:w="101" w:type="dxa"/>
              <w:right w:w="101" w:type="dxa"/>
            </w:tcMar>
            <w:vAlign w:val="bottom"/>
          </w:tcPr>
          <w:p w14:paraId="4597D41A" w14:textId="77777777" w:rsidR="003F0EEA" w:rsidRDefault="00FB7D0B">
            <w:pPr>
              <w:jc w:val="right"/>
              <w:rPr>
                <w:rFonts w:ascii="Arial" w:eastAsia="Arial" w:hAnsi="Arial" w:cs="Arial"/>
                <w:color w:val="000000"/>
                <w:sz w:val="16"/>
              </w:rPr>
            </w:pPr>
            <w:r>
              <w:rPr>
                <w:rFonts w:ascii="Arial" w:eastAsia="Arial" w:hAnsi="Arial" w:cs="Arial"/>
                <w:color w:val="000000"/>
                <w:sz w:val="16"/>
              </w:rPr>
              <w:t xml:space="preserve"> 204,527 </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6CB0B4E5" w14:textId="77777777" w:rsidR="003F0EEA" w:rsidRDefault="00FB7D0B">
            <w:pPr>
              <w:jc w:val="right"/>
              <w:rPr>
                <w:rFonts w:ascii="Arial" w:eastAsia="Arial" w:hAnsi="Arial" w:cs="Arial"/>
                <w:color w:val="000000"/>
                <w:sz w:val="16"/>
              </w:rPr>
            </w:pPr>
            <w:r>
              <w:rPr>
                <w:rFonts w:ascii="Arial" w:eastAsia="Arial" w:hAnsi="Arial" w:cs="Arial"/>
                <w:color w:val="000000"/>
                <w:sz w:val="16"/>
              </w:rPr>
              <w:t xml:space="preserve"> 286,168 </w:t>
            </w:r>
          </w:p>
        </w:tc>
      </w:tr>
      <w:tr w:rsidR="00FB7D0B" w14:paraId="5D25A4A9" w14:textId="77777777" w:rsidTr="00FB7D0B">
        <w:trPr>
          <w:trHeight w:val="225"/>
        </w:trPr>
        <w:tc>
          <w:tcPr>
            <w:tcW w:w="2985" w:type="dxa"/>
            <w:gridSpan w:val="2"/>
            <w:tcBorders>
              <w:top w:val="nil"/>
              <w:left w:val="nil"/>
              <w:bottom w:val="nil"/>
              <w:right w:val="nil"/>
              <w:tl2br w:val="nil"/>
              <w:tr2bl w:val="nil"/>
            </w:tcBorders>
            <w:shd w:val="clear" w:color="auto" w:fill="FFFFFF"/>
            <w:tcMar>
              <w:left w:w="101" w:type="dxa"/>
              <w:right w:w="101" w:type="dxa"/>
            </w:tcMar>
            <w:vAlign w:val="bottom"/>
          </w:tcPr>
          <w:p w14:paraId="18725B56" w14:textId="77777777" w:rsidR="003F0EEA" w:rsidRDefault="00FB7D0B">
            <w:pPr>
              <w:rPr>
                <w:rFonts w:ascii="Arial" w:eastAsia="Arial" w:hAnsi="Arial" w:cs="Arial"/>
                <w:color w:val="000000"/>
                <w:sz w:val="16"/>
              </w:rPr>
            </w:pPr>
            <w:r>
              <w:rPr>
                <w:rFonts w:ascii="Arial" w:eastAsia="Arial" w:hAnsi="Arial" w:cs="Arial"/>
                <w:color w:val="000000"/>
                <w:sz w:val="16"/>
              </w:rPr>
              <w:t>Accumulated depreciation/</w:t>
            </w:r>
          </w:p>
        </w:tc>
        <w:tc>
          <w:tcPr>
            <w:tcW w:w="810" w:type="dxa"/>
            <w:tcBorders>
              <w:top w:val="nil"/>
              <w:left w:val="nil"/>
              <w:bottom w:val="nil"/>
              <w:right w:val="nil"/>
              <w:tl2br w:val="nil"/>
              <w:tr2bl w:val="nil"/>
            </w:tcBorders>
            <w:shd w:val="clear" w:color="auto" w:fill="FFFFFF"/>
            <w:tcMar>
              <w:left w:w="101" w:type="dxa"/>
              <w:right w:w="101" w:type="dxa"/>
            </w:tcMar>
            <w:vAlign w:val="bottom"/>
          </w:tcPr>
          <w:p w14:paraId="7626ACD5" w14:textId="77777777" w:rsidR="003F0EEA" w:rsidRDefault="003F0EEA">
            <w:pPr>
              <w:rPr>
                <w:rFonts w:ascii="Arial" w:eastAsia="Arial" w:hAnsi="Arial" w:cs="Arial"/>
                <w:color w:val="000000"/>
                <w:sz w:val="16"/>
                <w:vertAlign w:val="superscript"/>
              </w:rPr>
            </w:pPr>
          </w:p>
        </w:tc>
        <w:tc>
          <w:tcPr>
            <w:tcW w:w="870" w:type="dxa"/>
            <w:tcBorders>
              <w:top w:val="nil"/>
              <w:left w:val="nil"/>
              <w:bottom w:val="nil"/>
              <w:right w:val="nil"/>
              <w:tl2br w:val="nil"/>
              <w:tr2bl w:val="nil"/>
            </w:tcBorders>
            <w:shd w:val="clear" w:color="auto" w:fill="FFFFFF"/>
            <w:tcMar>
              <w:left w:w="101" w:type="dxa"/>
              <w:right w:w="101" w:type="dxa"/>
            </w:tcMar>
            <w:vAlign w:val="bottom"/>
          </w:tcPr>
          <w:p w14:paraId="44C1693B" w14:textId="77777777" w:rsidR="003F0EEA" w:rsidRDefault="003F0EEA">
            <w:pPr>
              <w:rPr>
                <w:rFonts w:ascii="Arial" w:eastAsia="Arial" w:hAnsi="Arial" w:cs="Arial"/>
                <w:color w:val="000000"/>
                <w:sz w:val="16"/>
                <w:vertAlign w:val="superscript"/>
              </w:rPr>
            </w:pPr>
          </w:p>
        </w:tc>
        <w:tc>
          <w:tcPr>
            <w:tcW w:w="1215" w:type="dxa"/>
            <w:tcBorders>
              <w:top w:val="nil"/>
              <w:left w:val="nil"/>
              <w:bottom w:val="nil"/>
              <w:right w:val="nil"/>
              <w:tl2br w:val="nil"/>
              <w:tr2bl w:val="nil"/>
            </w:tcBorders>
            <w:shd w:val="clear" w:color="auto" w:fill="FFFFFF"/>
            <w:tcMar>
              <w:left w:w="101" w:type="dxa"/>
              <w:right w:w="101" w:type="dxa"/>
            </w:tcMar>
            <w:vAlign w:val="bottom"/>
          </w:tcPr>
          <w:p w14:paraId="4AEECE08" w14:textId="77777777" w:rsidR="003F0EEA" w:rsidRDefault="003F0EEA">
            <w:pPr>
              <w:rPr>
                <w:rFonts w:ascii="Arial" w:eastAsia="Arial" w:hAnsi="Arial" w:cs="Arial"/>
                <w:color w:val="000000"/>
                <w:sz w:val="16"/>
                <w:vertAlign w:val="superscript"/>
              </w:rPr>
            </w:pPr>
          </w:p>
        </w:tc>
        <w:tc>
          <w:tcPr>
            <w:tcW w:w="1020" w:type="dxa"/>
            <w:tcBorders>
              <w:top w:val="nil"/>
              <w:left w:val="nil"/>
              <w:bottom w:val="nil"/>
              <w:right w:val="nil"/>
              <w:tl2br w:val="nil"/>
              <w:tr2bl w:val="nil"/>
            </w:tcBorders>
            <w:shd w:val="clear" w:color="auto" w:fill="FFFFFF"/>
            <w:tcMar>
              <w:left w:w="101" w:type="dxa"/>
              <w:right w:w="101" w:type="dxa"/>
            </w:tcMar>
            <w:vAlign w:val="bottom"/>
          </w:tcPr>
          <w:p w14:paraId="4662DB54" w14:textId="77777777" w:rsidR="003F0EEA" w:rsidRDefault="003F0EEA">
            <w:pPr>
              <w:rPr>
                <w:rFonts w:ascii="Arial" w:eastAsia="Arial" w:hAnsi="Arial" w:cs="Arial"/>
                <w:color w:val="000000"/>
                <w:sz w:val="16"/>
                <w:vertAlign w:val="superscript"/>
              </w:rPr>
            </w:pP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5984F7DC" w14:textId="77777777" w:rsidR="003F0EEA" w:rsidRDefault="003F0EEA">
            <w:pPr>
              <w:jc w:val="right"/>
              <w:rPr>
                <w:rFonts w:ascii="Arial" w:eastAsia="Arial" w:hAnsi="Arial" w:cs="Arial"/>
                <w:color w:val="000000"/>
                <w:sz w:val="16"/>
                <w:vertAlign w:val="superscript"/>
              </w:rPr>
            </w:pPr>
          </w:p>
        </w:tc>
      </w:tr>
      <w:tr w:rsidR="00724034" w14:paraId="209B03F1" w14:textId="77777777">
        <w:trPr>
          <w:trHeight w:val="225"/>
        </w:trPr>
        <w:tc>
          <w:tcPr>
            <w:tcW w:w="180" w:type="dxa"/>
            <w:tcBorders>
              <w:top w:val="nil"/>
              <w:left w:val="nil"/>
              <w:bottom w:val="nil"/>
              <w:right w:val="nil"/>
              <w:tl2br w:val="nil"/>
              <w:tr2bl w:val="nil"/>
            </w:tcBorders>
            <w:shd w:val="clear" w:color="auto" w:fill="FFFFFF"/>
            <w:tcMar>
              <w:left w:w="101" w:type="dxa"/>
              <w:right w:w="101" w:type="dxa"/>
            </w:tcMar>
            <w:vAlign w:val="bottom"/>
          </w:tcPr>
          <w:p w14:paraId="082ADD43" w14:textId="77777777" w:rsidR="003F0EEA" w:rsidRDefault="003F0EEA">
            <w:pPr>
              <w:rPr>
                <w:rFonts w:ascii="Arial" w:eastAsia="Arial" w:hAnsi="Arial" w:cs="Arial"/>
                <w:color w:val="000000"/>
                <w:sz w:val="16"/>
                <w:vertAlign w:val="superscript"/>
              </w:rPr>
            </w:pPr>
          </w:p>
        </w:tc>
        <w:tc>
          <w:tcPr>
            <w:tcW w:w="2805" w:type="dxa"/>
            <w:tcBorders>
              <w:top w:val="nil"/>
              <w:left w:val="nil"/>
              <w:bottom w:val="nil"/>
              <w:right w:val="nil"/>
              <w:tl2br w:val="nil"/>
              <w:tr2bl w:val="nil"/>
            </w:tcBorders>
            <w:shd w:val="clear" w:color="auto" w:fill="FFFFFF"/>
            <w:tcMar>
              <w:left w:w="101" w:type="dxa"/>
              <w:right w:w="101" w:type="dxa"/>
            </w:tcMar>
            <w:vAlign w:val="bottom"/>
          </w:tcPr>
          <w:p w14:paraId="6F76FC19" w14:textId="77777777" w:rsidR="003F0EEA" w:rsidRDefault="00FB7D0B">
            <w:pPr>
              <w:rPr>
                <w:rFonts w:ascii="Arial" w:eastAsia="Arial" w:hAnsi="Arial" w:cs="Arial"/>
                <w:color w:val="000000"/>
                <w:sz w:val="20"/>
                <w:vertAlign w:val="superscript"/>
              </w:rPr>
            </w:pPr>
            <w:r>
              <w:rPr>
                <w:rFonts w:ascii="Arial" w:eastAsia="Arial" w:hAnsi="Arial" w:cs="Arial"/>
                <w:color w:val="000000"/>
                <w:sz w:val="16"/>
              </w:rPr>
              <w:t>amortisation and impairment</w:t>
            </w:r>
          </w:p>
        </w:tc>
        <w:tc>
          <w:tcPr>
            <w:tcW w:w="810"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42B24417" w14:textId="77777777" w:rsidR="003F0EEA" w:rsidRDefault="00FB7D0B">
            <w:pPr>
              <w:jc w:val="right"/>
              <w:rPr>
                <w:rFonts w:ascii="Arial" w:eastAsia="Arial" w:hAnsi="Arial" w:cs="Arial"/>
                <w:color w:val="000000"/>
                <w:sz w:val="16"/>
                <w:vertAlign w:val="superscript"/>
              </w:rPr>
            </w:pPr>
            <w:r>
              <w:rPr>
                <w:rFonts w:ascii="Arial" w:eastAsia="Arial" w:hAnsi="Arial" w:cs="Arial"/>
                <w:color w:val="000000"/>
                <w:sz w:val="16"/>
              </w:rPr>
              <w:t xml:space="preserve"> - </w:t>
            </w:r>
          </w:p>
        </w:tc>
        <w:tc>
          <w:tcPr>
            <w:tcW w:w="870"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4BEB0DAE" w14:textId="77777777" w:rsidR="003F0EEA" w:rsidRDefault="00FB7D0B">
            <w:pPr>
              <w:jc w:val="right"/>
              <w:rPr>
                <w:rFonts w:ascii="Arial" w:eastAsia="Arial" w:hAnsi="Arial" w:cs="Arial"/>
                <w:color w:val="000000"/>
                <w:sz w:val="16"/>
              </w:rPr>
            </w:pPr>
            <w:r>
              <w:rPr>
                <w:rFonts w:ascii="Arial" w:eastAsia="Arial" w:hAnsi="Arial" w:cs="Arial"/>
                <w:color w:val="000000"/>
                <w:sz w:val="16"/>
              </w:rPr>
              <w:t>(25,219)</w:t>
            </w:r>
          </w:p>
        </w:tc>
        <w:tc>
          <w:tcPr>
            <w:tcW w:w="1215"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1378B88F" w14:textId="77777777" w:rsidR="003F0EEA" w:rsidRDefault="00FB7D0B">
            <w:pPr>
              <w:jc w:val="right"/>
              <w:rPr>
                <w:rFonts w:ascii="Arial" w:eastAsia="Arial" w:hAnsi="Arial" w:cs="Arial"/>
                <w:color w:val="000000"/>
                <w:sz w:val="16"/>
              </w:rPr>
            </w:pPr>
            <w:r>
              <w:rPr>
                <w:rFonts w:ascii="Arial" w:eastAsia="Arial" w:hAnsi="Arial" w:cs="Arial"/>
                <w:color w:val="000000"/>
                <w:sz w:val="16"/>
              </w:rPr>
              <w:t>(34,101)</w:t>
            </w:r>
          </w:p>
        </w:tc>
        <w:tc>
          <w:tcPr>
            <w:tcW w:w="1020"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194D1274" w14:textId="77777777" w:rsidR="003F0EEA" w:rsidRDefault="00FB7D0B">
            <w:pPr>
              <w:jc w:val="right"/>
              <w:rPr>
                <w:rFonts w:ascii="Arial" w:eastAsia="Arial" w:hAnsi="Arial" w:cs="Arial"/>
                <w:color w:val="000000"/>
                <w:sz w:val="16"/>
              </w:rPr>
            </w:pPr>
            <w:r>
              <w:rPr>
                <w:rFonts w:ascii="Arial" w:eastAsia="Arial" w:hAnsi="Arial" w:cs="Arial"/>
                <w:color w:val="000000"/>
                <w:sz w:val="16"/>
              </w:rPr>
              <w:t>(109,717)</w:t>
            </w:r>
          </w:p>
        </w:tc>
        <w:tc>
          <w:tcPr>
            <w:tcW w:w="915"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3CC9B113" w14:textId="77777777" w:rsidR="003F0EEA" w:rsidRDefault="00FB7D0B">
            <w:pPr>
              <w:jc w:val="right"/>
              <w:rPr>
                <w:rFonts w:ascii="Arial" w:eastAsia="Arial" w:hAnsi="Arial" w:cs="Arial"/>
                <w:color w:val="000000"/>
                <w:sz w:val="16"/>
              </w:rPr>
            </w:pPr>
            <w:r>
              <w:rPr>
                <w:rFonts w:ascii="Arial" w:eastAsia="Arial" w:hAnsi="Arial" w:cs="Arial"/>
                <w:color w:val="000000"/>
                <w:sz w:val="16"/>
              </w:rPr>
              <w:t>(169,037)</w:t>
            </w:r>
          </w:p>
        </w:tc>
      </w:tr>
      <w:tr w:rsidR="00FB7D0B" w14:paraId="4758DB61" w14:textId="77777777" w:rsidTr="00FB7D0B">
        <w:trPr>
          <w:trHeight w:val="225"/>
        </w:trPr>
        <w:tc>
          <w:tcPr>
            <w:tcW w:w="2985" w:type="dxa"/>
            <w:gridSpan w:val="2"/>
            <w:tcBorders>
              <w:top w:val="nil"/>
              <w:left w:val="nil"/>
              <w:bottom w:val="single" w:sz="6" w:space="0" w:color="000000"/>
              <w:right w:val="nil"/>
              <w:tl2br w:val="nil"/>
              <w:tr2bl w:val="nil"/>
            </w:tcBorders>
            <w:shd w:val="clear" w:color="auto" w:fill="FFFFFF"/>
            <w:tcMar>
              <w:left w:w="101" w:type="dxa"/>
              <w:right w:w="101" w:type="dxa"/>
            </w:tcMar>
            <w:vAlign w:val="bottom"/>
          </w:tcPr>
          <w:p w14:paraId="75F2E673" w14:textId="77777777" w:rsidR="003F0EEA" w:rsidRDefault="00FB7D0B">
            <w:pPr>
              <w:rPr>
                <w:rFonts w:ascii="Arial" w:eastAsia="Arial" w:hAnsi="Arial" w:cs="Arial"/>
                <w:color w:val="000000"/>
                <w:sz w:val="16"/>
              </w:rPr>
            </w:pPr>
            <w:r>
              <w:rPr>
                <w:rFonts w:ascii="Arial" w:eastAsia="Arial" w:hAnsi="Arial" w:cs="Arial"/>
                <w:b/>
                <w:color w:val="000000"/>
                <w:sz w:val="16"/>
              </w:rPr>
              <w:t>Closing net book balance</w:t>
            </w:r>
          </w:p>
        </w:tc>
        <w:tc>
          <w:tcPr>
            <w:tcW w:w="810"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027FC8EF" w14:textId="77777777" w:rsidR="003F0EEA" w:rsidRDefault="00FB7D0B">
            <w:pPr>
              <w:jc w:val="right"/>
              <w:rPr>
                <w:rFonts w:ascii="Arial" w:eastAsia="Arial" w:hAnsi="Arial" w:cs="Arial"/>
                <w:b/>
                <w:color w:val="000000"/>
                <w:sz w:val="16"/>
                <w:vertAlign w:val="superscript"/>
              </w:rPr>
            </w:pPr>
            <w:r>
              <w:rPr>
                <w:rFonts w:ascii="Arial" w:eastAsia="Arial" w:hAnsi="Arial" w:cs="Arial"/>
                <w:b/>
                <w:color w:val="000000"/>
                <w:sz w:val="16"/>
              </w:rPr>
              <w:t xml:space="preserve"> 1,352 </w:t>
            </w:r>
          </w:p>
        </w:tc>
        <w:tc>
          <w:tcPr>
            <w:tcW w:w="870"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7B4C35BD" w14:textId="77777777" w:rsidR="003F0EEA" w:rsidRDefault="00FB7D0B">
            <w:pPr>
              <w:jc w:val="right"/>
              <w:rPr>
                <w:rFonts w:ascii="Arial" w:eastAsia="Arial" w:hAnsi="Arial" w:cs="Arial"/>
                <w:b/>
                <w:color w:val="000000"/>
                <w:sz w:val="16"/>
              </w:rPr>
            </w:pPr>
            <w:r>
              <w:rPr>
                <w:rFonts w:ascii="Arial" w:eastAsia="Arial" w:hAnsi="Arial" w:cs="Arial"/>
                <w:b/>
                <w:color w:val="000000"/>
                <w:sz w:val="16"/>
              </w:rPr>
              <w:t xml:space="preserve"> 15,801 </w:t>
            </w:r>
          </w:p>
        </w:tc>
        <w:tc>
          <w:tcPr>
            <w:tcW w:w="1215"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35B6875A" w14:textId="77777777" w:rsidR="003F0EEA" w:rsidRDefault="00FB7D0B">
            <w:pPr>
              <w:jc w:val="right"/>
              <w:rPr>
                <w:rFonts w:ascii="Arial" w:eastAsia="Arial" w:hAnsi="Arial" w:cs="Arial"/>
                <w:b/>
                <w:color w:val="000000"/>
                <w:sz w:val="16"/>
              </w:rPr>
            </w:pPr>
            <w:r>
              <w:rPr>
                <w:rFonts w:ascii="Arial" w:eastAsia="Arial" w:hAnsi="Arial" w:cs="Arial"/>
                <w:b/>
                <w:color w:val="000000"/>
                <w:sz w:val="16"/>
              </w:rPr>
              <w:t xml:space="preserve"> 5,168 </w:t>
            </w:r>
          </w:p>
        </w:tc>
        <w:tc>
          <w:tcPr>
            <w:tcW w:w="1020"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367363A2" w14:textId="77777777" w:rsidR="003F0EEA" w:rsidRDefault="00FB7D0B">
            <w:pPr>
              <w:jc w:val="right"/>
              <w:rPr>
                <w:rFonts w:ascii="Arial" w:eastAsia="Arial" w:hAnsi="Arial" w:cs="Arial"/>
                <w:b/>
                <w:color w:val="000000"/>
                <w:sz w:val="16"/>
              </w:rPr>
            </w:pPr>
            <w:r>
              <w:rPr>
                <w:rFonts w:ascii="Arial" w:eastAsia="Arial" w:hAnsi="Arial" w:cs="Arial"/>
                <w:b/>
                <w:color w:val="000000"/>
                <w:sz w:val="16"/>
              </w:rPr>
              <w:t xml:space="preserve"> 94,810 </w:t>
            </w:r>
          </w:p>
        </w:tc>
        <w:tc>
          <w:tcPr>
            <w:tcW w:w="915"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03C212D3" w14:textId="77777777" w:rsidR="003F0EEA" w:rsidRDefault="00FB7D0B">
            <w:pPr>
              <w:jc w:val="right"/>
              <w:rPr>
                <w:rFonts w:ascii="Arial" w:eastAsia="Arial" w:hAnsi="Arial" w:cs="Arial"/>
                <w:b/>
                <w:color w:val="000000"/>
                <w:sz w:val="16"/>
              </w:rPr>
            </w:pPr>
            <w:r>
              <w:rPr>
                <w:rFonts w:ascii="Arial" w:eastAsia="Arial" w:hAnsi="Arial" w:cs="Arial"/>
                <w:b/>
                <w:color w:val="000000"/>
                <w:sz w:val="16"/>
              </w:rPr>
              <w:t xml:space="preserve"> 117,131 </w:t>
            </w:r>
          </w:p>
        </w:tc>
      </w:tr>
    </w:tbl>
    <w:p w14:paraId="36E4F0F4" w14:textId="77777777" w:rsidR="003F0EEA" w:rsidRDefault="00FB7D0B" w:rsidP="003F0EEA">
      <w:pPr>
        <w:pStyle w:val="ListParagraph20"/>
        <w:spacing w:before="120" w:after="0" w:line="240" w:lineRule="auto"/>
        <w:ind w:left="0"/>
        <w:rPr>
          <w:rFonts w:ascii="Arial" w:eastAsia="Calibri" w:hAnsi="Arial" w:cs="Arial"/>
          <w:sz w:val="16"/>
          <w:szCs w:val="16"/>
        </w:rPr>
      </w:pPr>
      <w:r>
        <w:rPr>
          <w:rFonts w:ascii="Arial" w:eastAsia="Calibri" w:hAnsi="Arial" w:cs="Arial"/>
          <w:sz w:val="16"/>
          <w:szCs w:val="16"/>
        </w:rPr>
        <w:t>Prepared on Australian Accounting Standards basis</w:t>
      </w:r>
    </w:p>
    <w:p w14:paraId="07FC9CE2" w14:textId="77777777" w:rsidR="003F0EEA" w:rsidRDefault="003F0EEA" w:rsidP="003F0EEA">
      <w:pPr>
        <w:pStyle w:val="ListParagraph20"/>
        <w:spacing w:before="120" w:after="0" w:line="240" w:lineRule="auto"/>
        <w:ind w:left="0"/>
        <w:rPr>
          <w:rFonts w:ascii="Arial" w:eastAsia="Calibri" w:hAnsi="Arial" w:cs="Arial"/>
          <w:sz w:val="16"/>
          <w:szCs w:val="16"/>
        </w:rPr>
      </w:pPr>
    </w:p>
    <w:p w14:paraId="011B2E39" w14:textId="77777777" w:rsidR="003F0EEA" w:rsidRDefault="00FB7D0B" w:rsidP="003F0EEA">
      <w:pPr>
        <w:pStyle w:val="ListParagraph20"/>
        <w:numPr>
          <w:ilvl w:val="0"/>
          <w:numId w:val="55"/>
        </w:numPr>
        <w:spacing w:before="120" w:after="0" w:line="240" w:lineRule="auto"/>
        <w:ind w:left="357" w:hanging="357"/>
        <w:rPr>
          <w:rFonts w:ascii="Arial" w:eastAsia="Calibri" w:hAnsi="Arial" w:cs="Arial"/>
          <w:sz w:val="16"/>
          <w:szCs w:val="16"/>
        </w:rPr>
      </w:pPr>
      <w:r w:rsidRPr="00280771">
        <w:rPr>
          <w:rFonts w:ascii="Arial" w:eastAsia="Calibri" w:hAnsi="Arial" w:cs="Arial"/>
          <w:sz w:val="16"/>
          <w:szCs w:val="16"/>
        </w:rPr>
        <w:t xml:space="preserve">"Appropriation equity" refers to equity injections provided through Appropriation Bills (No.2) </w:t>
      </w:r>
      <w:r>
        <w:rPr>
          <w:rFonts w:ascii="Arial" w:eastAsia="Calibri" w:hAnsi="Arial" w:cs="Arial"/>
          <w:sz w:val="16"/>
          <w:szCs w:val="16"/>
        </w:rPr>
        <w:br/>
        <w:t>2014-15</w:t>
      </w:r>
      <w:r w:rsidRPr="00280771">
        <w:rPr>
          <w:rFonts w:ascii="Arial" w:eastAsia="Calibri" w:hAnsi="Arial" w:cs="Arial"/>
          <w:sz w:val="16"/>
          <w:szCs w:val="16"/>
        </w:rPr>
        <w:t>.</w:t>
      </w:r>
    </w:p>
    <w:p w14:paraId="0AC8E2F4" w14:textId="77777777" w:rsidR="003F0EEA" w:rsidRPr="00656C4B" w:rsidRDefault="00FB7D0B" w:rsidP="003F0EEA">
      <w:pPr>
        <w:pStyle w:val="ListParagraph20"/>
        <w:numPr>
          <w:ilvl w:val="0"/>
          <w:numId w:val="55"/>
        </w:numPr>
        <w:spacing w:after="0" w:line="240" w:lineRule="auto"/>
        <w:ind w:left="357" w:hanging="357"/>
        <w:rPr>
          <w:rFonts w:ascii="Arial" w:eastAsia="Calibri" w:hAnsi="Arial" w:cs="Arial"/>
          <w:sz w:val="16"/>
          <w:szCs w:val="16"/>
        </w:rPr>
      </w:pPr>
      <w:r w:rsidRPr="009507CC">
        <w:rPr>
          <w:rFonts w:ascii="Arial" w:eastAsia="Calibri" w:hAnsi="Arial" w:cs="Arial"/>
          <w:sz w:val="16"/>
          <w:szCs w:val="16"/>
        </w:rPr>
        <w:t xml:space="preserve">“Appropriation ordinary annual services” refers to funding provided through Appropriation </w:t>
      </w:r>
      <w:r>
        <w:rPr>
          <w:rFonts w:ascii="Arial" w:eastAsia="Calibri" w:hAnsi="Arial" w:cs="Arial"/>
          <w:sz w:val="16"/>
          <w:szCs w:val="16"/>
        </w:rPr>
        <w:br/>
      </w:r>
      <w:r w:rsidRPr="009507CC">
        <w:rPr>
          <w:rFonts w:ascii="Arial" w:eastAsia="Calibri" w:hAnsi="Arial" w:cs="Arial"/>
          <w:sz w:val="16"/>
          <w:szCs w:val="16"/>
        </w:rPr>
        <w:t xml:space="preserve">Bills (No. 1) </w:t>
      </w:r>
      <w:r>
        <w:rPr>
          <w:rFonts w:ascii="Arial" w:eastAsia="Calibri" w:hAnsi="Arial" w:cs="Arial"/>
          <w:sz w:val="16"/>
          <w:szCs w:val="16"/>
        </w:rPr>
        <w:t>2014-15</w:t>
      </w:r>
      <w:r w:rsidRPr="009507CC">
        <w:rPr>
          <w:rFonts w:ascii="Arial" w:eastAsia="Calibri" w:hAnsi="Arial" w:cs="Arial"/>
          <w:sz w:val="16"/>
          <w:szCs w:val="16"/>
        </w:rPr>
        <w:t xml:space="preserve"> for</w:t>
      </w:r>
      <w:r>
        <w:rPr>
          <w:rFonts w:ascii="Arial" w:eastAsia="Calibri" w:hAnsi="Arial" w:cs="Arial"/>
          <w:sz w:val="16"/>
          <w:szCs w:val="16"/>
        </w:rPr>
        <w:t xml:space="preserve"> </w:t>
      </w:r>
      <w:r w:rsidRPr="009507CC">
        <w:rPr>
          <w:rFonts w:ascii="Arial" w:eastAsia="Calibri" w:hAnsi="Arial" w:cs="Arial"/>
          <w:sz w:val="16"/>
          <w:szCs w:val="16"/>
        </w:rPr>
        <w:t>DCBs or other operational expenses.</w:t>
      </w:r>
    </w:p>
    <w:p w14:paraId="57B75E7E" w14:textId="77777777" w:rsidR="003F0EEA" w:rsidRPr="00656C4B" w:rsidRDefault="00FB7D0B">
      <w:pPr>
        <w:spacing w:line="14" w:lineRule="exact"/>
        <w:rPr>
          <w:rFonts w:ascii="Arial" w:hAnsi="Arial" w:cs="Arial"/>
          <w:sz w:val="16"/>
          <w:szCs w:val="16"/>
        </w:rPr>
      </w:pPr>
      <w:r w:rsidRPr="00656C4B">
        <w:rPr>
          <w:rFonts w:ascii="Arial" w:hAnsi="Arial" w:cs="Arial"/>
          <w:sz w:val="16"/>
          <w:szCs w:val="16"/>
        </w:rPr>
        <w:br w:type="page"/>
      </w:r>
    </w:p>
    <w:p w14:paraId="30B0E16D" w14:textId="77777777" w:rsidR="003F0EEA" w:rsidRDefault="00FB7D0B" w:rsidP="003F0EEA">
      <w:pPr>
        <w:pStyle w:val="TableHeading21"/>
        <w:spacing w:after="0"/>
      </w:pPr>
      <w:r>
        <w:t xml:space="preserve">Table </w:t>
      </w:r>
      <w:r w:rsidRPr="00242A82">
        <w:t>3.2</w:t>
      </w:r>
      <w:r>
        <w:t xml:space="preserve">.7: Schedule of Budgeted Income and Expenses Administered on Behalf of Government </w:t>
      </w:r>
      <w:r w:rsidRPr="007134A3">
        <w:t>for the period ended 30 June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2"/>
        <w:gridCol w:w="222"/>
        <w:gridCol w:w="2250"/>
        <w:gridCol w:w="1170"/>
        <w:gridCol w:w="1170"/>
        <w:gridCol w:w="1170"/>
        <w:gridCol w:w="1170"/>
        <w:gridCol w:w="1170"/>
      </w:tblGrid>
      <w:tr w:rsidR="00724034" w14:paraId="50124A74" w14:textId="77777777">
        <w:trPr>
          <w:trHeight w:val="225"/>
        </w:trPr>
        <w:tc>
          <w:tcPr>
            <w:tcW w:w="180"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0CC4E612" w14:textId="77777777" w:rsidR="003F0EEA" w:rsidRDefault="003F0EEA">
            <w:pPr>
              <w:rPr>
                <w:rFonts w:eastAsia="Times New Roman"/>
              </w:rPr>
            </w:pPr>
          </w:p>
        </w:tc>
        <w:tc>
          <w:tcPr>
            <w:tcW w:w="180"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78BB0159" w14:textId="77777777" w:rsidR="003F0EEA" w:rsidRDefault="003F0EEA">
            <w:pPr>
              <w:rPr>
                <w:rFonts w:ascii="Arial" w:eastAsia="Arial" w:hAnsi="Arial" w:cs="Arial"/>
                <w:color w:val="000000"/>
                <w:sz w:val="16"/>
              </w:rPr>
            </w:pPr>
          </w:p>
        </w:tc>
        <w:tc>
          <w:tcPr>
            <w:tcW w:w="2250"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392FB81B" w14:textId="77777777" w:rsidR="003F0EEA" w:rsidRDefault="003F0EEA">
            <w:pPr>
              <w:rPr>
                <w:rFonts w:ascii="Arial" w:eastAsia="Arial" w:hAnsi="Arial" w:cs="Arial"/>
                <w:color w:val="000000"/>
                <w:sz w:val="16"/>
              </w:rPr>
            </w:pPr>
          </w:p>
        </w:tc>
        <w:tc>
          <w:tcPr>
            <w:tcW w:w="1170"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76B6B88D" w14:textId="77777777" w:rsidR="003F0EEA" w:rsidRDefault="00FB7D0B">
            <w:pPr>
              <w:jc w:val="right"/>
              <w:rPr>
                <w:rFonts w:ascii="Arial" w:eastAsia="Arial" w:hAnsi="Arial" w:cs="Arial"/>
                <w:color w:val="000000"/>
                <w:sz w:val="16"/>
              </w:rPr>
            </w:pPr>
            <w:r>
              <w:rPr>
                <w:rFonts w:ascii="Arial" w:eastAsia="Arial" w:hAnsi="Arial" w:cs="Arial"/>
                <w:color w:val="000000"/>
                <w:sz w:val="16"/>
              </w:rPr>
              <w:t>Estimated</w:t>
            </w:r>
          </w:p>
        </w:tc>
        <w:tc>
          <w:tcPr>
            <w:tcW w:w="1170" w:type="dxa"/>
            <w:tcBorders>
              <w:top w:val="single" w:sz="6" w:space="0" w:color="000000"/>
              <w:left w:val="nil"/>
              <w:bottom w:val="nil"/>
              <w:right w:val="nil"/>
              <w:tl2br w:val="nil"/>
              <w:tr2bl w:val="nil"/>
            </w:tcBorders>
            <w:shd w:val="clear" w:color="auto" w:fill="FFFF00"/>
            <w:tcMar>
              <w:left w:w="101" w:type="dxa"/>
              <w:right w:w="101" w:type="dxa"/>
            </w:tcMar>
            <w:vAlign w:val="bottom"/>
          </w:tcPr>
          <w:p w14:paraId="5AD2E3C5" w14:textId="77777777" w:rsidR="003F0EEA" w:rsidRDefault="00FB7D0B">
            <w:pPr>
              <w:jc w:val="right"/>
              <w:rPr>
                <w:rFonts w:ascii="Arial" w:eastAsia="Arial" w:hAnsi="Arial" w:cs="Arial"/>
                <w:color w:val="000000"/>
                <w:sz w:val="16"/>
              </w:rPr>
            </w:pPr>
            <w:r>
              <w:rPr>
                <w:rFonts w:ascii="Arial" w:eastAsia="Arial" w:hAnsi="Arial" w:cs="Arial"/>
                <w:color w:val="000000"/>
                <w:sz w:val="16"/>
              </w:rPr>
              <w:t>Budget</w:t>
            </w:r>
          </w:p>
        </w:tc>
        <w:tc>
          <w:tcPr>
            <w:tcW w:w="1170"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6778E1CB" w14:textId="77777777" w:rsidR="003F0EEA" w:rsidRDefault="00FB7D0B">
            <w:pPr>
              <w:jc w:val="right"/>
              <w:rPr>
                <w:rFonts w:ascii="Arial" w:eastAsia="Arial" w:hAnsi="Arial" w:cs="Arial"/>
                <w:color w:val="000000"/>
                <w:sz w:val="16"/>
              </w:rPr>
            </w:pPr>
            <w:r>
              <w:rPr>
                <w:rFonts w:ascii="Arial" w:eastAsia="Arial" w:hAnsi="Arial" w:cs="Arial"/>
                <w:color w:val="000000"/>
                <w:sz w:val="16"/>
              </w:rPr>
              <w:t>Forward</w:t>
            </w:r>
          </w:p>
        </w:tc>
        <w:tc>
          <w:tcPr>
            <w:tcW w:w="1170"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237B11CC" w14:textId="77777777" w:rsidR="003F0EEA" w:rsidRDefault="00FB7D0B">
            <w:pPr>
              <w:jc w:val="right"/>
              <w:rPr>
                <w:rFonts w:ascii="Arial" w:eastAsia="Arial" w:hAnsi="Arial" w:cs="Arial"/>
                <w:color w:val="000000"/>
                <w:sz w:val="16"/>
              </w:rPr>
            </w:pPr>
            <w:r>
              <w:rPr>
                <w:rFonts w:ascii="Arial" w:eastAsia="Arial" w:hAnsi="Arial" w:cs="Arial"/>
                <w:color w:val="000000"/>
                <w:sz w:val="16"/>
              </w:rPr>
              <w:t>Forward</w:t>
            </w:r>
          </w:p>
        </w:tc>
        <w:tc>
          <w:tcPr>
            <w:tcW w:w="1170"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43668BE9" w14:textId="77777777" w:rsidR="003F0EEA" w:rsidRDefault="00FB7D0B">
            <w:pPr>
              <w:jc w:val="right"/>
              <w:rPr>
                <w:rFonts w:ascii="Arial" w:eastAsia="Arial" w:hAnsi="Arial" w:cs="Arial"/>
                <w:color w:val="000000"/>
                <w:sz w:val="16"/>
              </w:rPr>
            </w:pPr>
            <w:r>
              <w:rPr>
                <w:rFonts w:ascii="Arial" w:eastAsia="Arial" w:hAnsi="Arial" w:cs="Arial"/>
                <w:color w:val="000000"/>
                <w:sz w:val="16"/>
              </w:rPr>
              <w:t>Forward</w:t>
            </w:r>
          </w:p>
        </w:tc>
      </w:tr>
      <w:tr w:rsidR="00724034" w14:paraId="45483070" w14:textId="77777777">
        <w:trPr>
          <w:trHeight w:val="225"/>
        </w:trPr>
        <w:tc>
          <w:tcPr>
            <w:tcW w:w="180" w:type="dxa"/>
            <w:tcBorders>
              <w:top w:val="nil"/>
              <w:left w:val="nil"/>
              <w:bottom w:val="nil"/>
              <w:right w:val="nil"/>
              <w:tl2br w:val="nil"/>
              <w:tr2bl w:val="nil"/>
            </w:tcBorders>
            <w:shd w:val="clear" w:color="auto" w:fill="FFFFFF"/>
            <w:tcMar>
              <w:left w:w="101" w:type="dxa"/>
              <w:right w:w="101" w:type="dxa"/>
            </w:tcMar>
            <w:vAlign w:val="bottom"/>
          </w:tcPr>
          <w:p w14:paraId="68BF11B0" w14:textId="77777777" w:rsidR="003F0EEA" w:rsidRDefault="003F0EEA">
            <w:pPr>
              <w:rPr>
                <w:rFonts w:ascii="Arial" w:eastAsia="Arial" w:hAnsi="Arial" w:cs="Arial"/>
                <w:color w:val="000000"/>
                <w:sz w:val="16"/>
              </w:rPr>
            </w:pPr>
          </w:p>
        </w:tc>
        <w:tc>
          <w:tcPr>
            <w:tcW w:w="180" w:type="dxa"/>
            <w:tcBorders>
              <w:top w:val="nil"/>
              <w:left w:val="nil"/>
              <w:bottom w:val="nil"/>
              <w:right w:val="nil"/>
              <w:tl2br w:val="nil"/>
              <w:tr2bl w:val="nil"/>
            </w:tcBorders>
            <w:shd w:val="clear" w:color="auto" w:fill="FFFFFF"/>
            <w:tcMar>
              <w:left w:w="101" w:type="dxa"/>
              <w:right w:w="101" w:type="dxa"/>
            </w:tcMar>
            <w:vAlign w:val="bottom"/>
          </w:tcPr>
          <w:p w14:paraId="05168D12" w14:textId="77777777" w:rsidR="003F0EEA" w:rsidRDefault="003F0EEA">
            <w:pPr>
              <w:rPr>
                <w:rFonts w:ascii="Arial" w:eastAsia="Arial" w:hAnsi="Arial" w:cs="Arial"/>
                <w:color w:val="000000"/>
                <w:sz w:val="16"/>
              </w:rPr>
            </w:pPr>
          </w:p>
        </w:tc>
        <w:tc>
          <w:tcPr>
            <w:tcW w:w="2250" w:type="dxa"/>
            <w:tcBorders>
              <w:top w:val="nil"/>
              <w:left w:val="nil"/>
              <w:bottom w:val="nil"/>
              <w:right w:val="nil"/>
              <w:tl2br w:val="nil"/>
              <w:tr2bl w:val="nil"/>
            </w:tcBorders>
            <w:shd w:val="clear" w:color="auto" w:fill="FFFFFF"/>
            <w:tcMar>
              <w:left w:w="101" w:type="dxa"/>
              <w:right w:w="101" w:type="dxa"/>
            </w:tcMar>
            <w:vAlign w:val="bottom"/>
          </w:tcPr>
          <w:p w14:paraId="4D2E8FE1" w14:textId="77777777" w:rsidR="003F0EEA" w:rsidRDefault="003F0EEA">
            <w:pPr>
              <w:rPr>
                <w:rFonts w:ascii="Arial" w:eastAsia="Arial" w:hAnsi="Arial" w:cs="Arial"/>
                <w:color w:val="000000"/>
                <w:sz w:val="16"/>
              </w:rPr>
            </w:pPr>
          </w:p>
        </w:tc>
        <w:tc>
          <w:tcPr>
            <w:tcW w:w="1170" w:type="dxa"/>
            <w:tcBorders>
              <w:top w:val="nil"/>
              <w:left w:val="nil"/>
              <w:bottom w:val="nil"/>
              <w:right w:val="nil"/>
              <w:tl2br w:val="nil"/>
              <w:tr2bl w:val="nil"/>
            </w:tcBorders>
            <w:shd w:val="clear" w:color="auto" w:fill="FFFFFF"/>
            <w:tcMar>
              <w:left w:w="101" w:type="dxa"/>
              <w:right w:w="101" w:type="dxa"/>
            </w:tcMar>
            <w:vAlign w:val="bottom"/>
          </w:tcPr>
          <w:p w14:paraId="0E528841" w14:textId="77777777" w:rsidR="003F0EEA" w:rsidRDefault="00FB7D0B">
            <w:pPr>
              <w:jc w:val="right"/>
              <w:rPr>
                <w:rFonts w:ascii="Arial" w:eastAsia="Arial" w:hAnsi="Arial" w:cs="Arial"/>
                <w:color w:val="000000"/>
                <w:sz w:val="16"/>
              </w:rPr>
            </w:pPr>
            <w:r>
              <w:rPr>
                <w:rFonts w:ascii="Arial" w:eastAsia="Arial" w:hAnsi="Arial" w:cs="Arial"/>
                <w:color w:val="000000"/>
                <w:sz w:val="16"/>
              </w:rPr>
              <w:t>actual</w:t>
            </w:r>
          </w:p>
        </w:tc>
        <w:tc>
          <w:tcPr>
            <w:tcW w:w="1170" w:type="dxa"/>
            <w:tcBorders>
              <w:top w:val="nil"/>
              <w:left w:val="nil"/>
              <w:bottom w:val="nil"/>
              <w:right w:val="nil"/>
              <w:tl2br w:val="nil"/>
              <w:tr2bl w:val="nil"/>
            </w:tcBorders>
            <w:shd w:val="clear" w:color="auto" w:fill="FFFF00"/>
            <w:tcMar>
              <w:left w:w="101" w:type="dxa"/>
              <w:right w:w="101" w:type="dxa"/>
            </w:tcMar>
            <w:vAlign w:val="bottom"/>
          </w:tcPr>
          <w:p w14:paraId="0F41CD1B" w14:textId="77777777" w:rsidR="003F0EEA" w:rsidRDefault="00FB7D0B">
            <w:pPr>
              <w:jc w:val="right"/>
              <w:rPr>
                <w:rFonts w:ascii="Arial" w:eastAsia="Arial" w:hAnsi="Arial" w:cs="Arial"/>
                <w:color w:val="000000"/>
                <w:sz w:val="16"/>
              </w:rPr>
            </w:pPr>
            <w:r>
              <w:rPr>
                <w:rFonts w:ascii="Arial" w:eastAsia="Arial" w:hAnsi="Arial" w:cs="Arial"/>
                <w:color w:val="000000"/>
                <w:sz w:val="16"/>
              </w:rPr>
              <w:t>estimate</w:t>
            </w:r>
          </w:p>
        </w:tc>
        <w:tc>
          <w:tcPr>
            <w:tcW w:w="1170" w:type="dxa"/>
            <w:tcBorders>
              <w:top w:val="nil"/>
              <w:left w:val="nil"/>
              <w:bottom w:val="nil"/>
              <w:right w:val="nil"/>
              <w:tl2br w:val="nil"/>
              <w:tr2bl w:val="nil"/>
            </w:tcBorders>
            <w:shd w:val="clear" w:color="auto" w:fill="FFFFFF"/>
            <w:tcMar>
              <w:left w:w="101" w:type="dxa"/>
              <w:right w:w="101" w:type="dxa"/>
            </w:tcMar>
            <w:vAlign w:val="bottom"/>
          </w:tcPr>
          <w:p w14:paraId="6A662DB8" w14:textId="77777777" w:rsidR="003F0EEA" w:rsidRDefault="00FB7D0B">
            <w:pPr>
              <w:jc w:val="right"/>
              <w:rPr>
                <w:rFonts w:ascii="Arial" w:eastAsia="Arial" w:hAnsi="Arial" w:cs="Arial"/>
                <w:color w:val="000000"/>
                <w:sz w:val="16"/>
              </w:rPr>
            </w:pPr>
            <w:r>
              <w:rPr>
                <w:rFonts w:ascii="Arial" w:eastAsia="Arial" w:hAnsi="Arial" w:cs="Arial"/>
                <w:color w:val="000000"/>
                <w:sz w:val="16"/>
              </w:rPr>
              <w:t>estimate</w:t>
            </w:r>
          </w:p>
        </w:tc>
        <w:tc>
          <w:tcPr>
            <w:tcW w:w="1170" w:type="dxa"/>
            <w:tcBorders>
              <w:top w:val="nil"/>
              <w:left w:val="nil"/>
              <w:bottom w:val="nil"/>
              <w:right w:val="nil"/>
              <w:tl2br w:val="nil"/>
              <w:tr2bl w:val="nil"/>
            </w:tcBorders>
            <w:shd w:val="clear" w:color="auto" w:fill="FFFFFF"/>
            <w:tcMar>
              <w:left w:w="101" w:type="dxa"/>
              <w:right w:w="101" w:type="dxa"/>
            </w:tcMar>
            <w:vAlign w:val="bottom"/>
          </w:tcPr>
          <w:p w14:paraId="6CF4CC6D" w14:textId="77777777" w:rsidR="003F0EEA" w:rsidRDefault="00FB7D0B">
            <w:pPr>
              <w:jc w:val="right"/>
              <w:rPr>
                <w:rFonts w:ascii="Arial" w:eastAsia="Arial" w:hAnsi="Arial" w:cs="Arial"/>
                <w:color w:val="000000"/>
                <w:sz w:val="16"/>
              </w:rPr>
            </w:pPr>
            <w:r>
              <w:rPr>
                <w:rFonts w:ascii="Arial" w:eastAsia="Arial" w:hAnsi="Arial" w:cs="Arial"/>
                <w:color w:val="000000"/>
                <w:sz w:val="16"/>
              </w:rPr>
              <w:t>estimate</w:t>
            </w:r>
          </w:p>
        </w:tc>
        <w:tc>
          <w:tcPr>
            <w:tcW w:w="1170" w:type="dxa"/>
            <w:tcBorders>
              <w:top w:val="nil"/>
              <w:left w:val="nil"/>
              <w:bottom w:val="nil"/>
              <w:right w:val="nil"/>
              <w:tl2br w:val="nil"/>
              <w:tr2bl w:val="nil"/>
            </w:tcBorders>
            <w:shd w:val="clear" w:color="auto" w:fill="FFFFFF"/>
            <w:tcMar>
              <w:left w:w="101" w:type="dxa"/>
              <w:right w:w="101" w:type="dxa"/>
            </w:tcMar>
            <w:vAlign w:val="bottom"/>
          </w:tcPr>
          <w:p w14:paraId="0653509C" w14:textId="77777777" w:rsidR="003F0EEA" w:rsidRDefault="00FB7D0B">
            <w:pPr>
              <w:jc w:val="right"/>
              <w:rPr>
                <w:rFonts w:ascii="Arial" w:eastAsia="Arial" w:hAnsi="Arial" w:cs="Arial"/>
                <w:color w:val="000000"/>
                <w:sz w:val="16"/>
              </w:rPr>
            </w:pPr>
            <w:r>
              <w:rPr>
                <w:rFonts w:ascii="Arial" w:eastAsia="Arial" w:hAnsi="Arial" w:cs="Arial"/>
                <w:color w:val="000000"/>
                <w:sz w:val="16"/>
              </w:rPr>
              <w:t>estimate</w:t>
            </w:r>
          </w:p>
        </w:tc>
      </w:tr>
      <w:tr w:rsidR="00724034" w14:paraId="6F46C1A6" w14:textId="77777777">
        <w:trPr>
          <w:trHeight w:val="225"/>
        </w:trPr>
        <w:tc>
          <w:tcPr>
            <w:tcW w:w="180" w:type="dxa"/>
            <w:tcBorders>
              <w:top w:val="nil"/>
              <w:left w:val="nil"/>
              <w:bottom w:val="nil"/>
              <w:right w:val="nil"/>
              <w:tl2br w:val="nil"/>
              <w:tr2bl w:val="nil"/>
            </w:tcBorders>
            <w:shd w:val="clear" w:color="auto" w:fill="FFFFFF"/>
            <w:tcMar>
              <w:left w:w="101" w:type="dxa"/>
              <w:right w:w="101" w:type="dxa"/>
            </w:tcMar>
            <w:vAlign w:val="bottom"/>
          </w:tcPr>
          <w:p w14:paraId="7D770243" w14:textId="77777777" w:rsidR="003F0EEA" w:rsidRDefault="003F0EEA">
            <w:pPr>
              <w:rPr>
                <w:rFonts w:ascii="Arial" w:eastAsia="Arial" w:hAnsi="Arial" w:cs="Arial"/>
                <w:color w:val="000000"/>
                <w:sz w:val="16"/>
              </w:rPr>
            </w:pPr>
          </w:p>
        </w:tc>
        <w:tc>
          <w:tcPr>
            <w:tcW w:w="180" w:type="dxa"/>
            <w:tcBorders>
              <w:top w:val="nil"/>
              <w:left w:val="nil"/>
              <w:bottom w:val="nil"/>
              <w:right w:val="nil"/>
              <w:tl2br w:val="nil"/>
              <w:tr2bl w:val="nil"/>
            </w:tcBorders>
            <w:shd w:val="clear" w:color="auto" w:fill="FFFFFF"/>
            <w:tcMar>
              <w:left w:w="101" w:type="dxa"/>
              <w:right w:w="101" w:type="dxa"/>
            </w:tcMar>
            <w:vAlign w:val="bottom"/>
          </w:tcPr>
          <w:p w14:paraId="599ED2C7" w14:textId="77777777" w:rsidR="003F0EEA" w:rsidRDefault="003F0EEA">
            <w:pPr>
              <w:rPr>
                <w:rFonts w:ascii="Arial" w:eastAsia="Arial" w:hAnsi="Arial" w:cs="Arial"/>
                <w:color w:val="000000"/>
                <w:sz w:val="16"/>
              </w:rPr>
            </w:pPr>
          </w:p>
        </w:tc>
        <w:tc>
          <w:tcPr>
            <w:tcW w:w="2250" w:type="dxa"/>
            <w:tcBorders>
              <w:top w:val="nil"/>
              <w:left w:val="nil"/>
              <w:bottom w:val="nil"/>
              <w:right w:val="nil"/>
              <w:tl2br w:val="nil"/>
              <w:tr2bl w:val="nil"/>
            </w:tcBorders>
            <w:shd w:val="clear" w:color="auto" w:fill="FFFFFF"/>
            <w:tcMar>
              <w:left w:w="101" w:type="dxa"/>
              <w:right w:w="101" w:type="dxa"/>
            </w:tcMar>
            <w:vAlign w:val="bottom"/>
          </w:tcPr>
          <w:p w14:paraId="3D0901AC" w14:textId="77777777" w:rsidR="003F0EEA" w:rsidRDefault="003F0EEA">
            <w:pPr>
              <w:rPr>
                <w:rFonts w:ascii="Arial" w:eastAsia="Arial" w:hAnsi="Arial" w:cs="Arial"/>
                <w:color w:val="000000"/>
                <w:sz w:val="16"/>
              </w:rPr>
            </w:pPr>
          </w:p>
        </w:tc>
        <w:tc>
          <w:tcPr>
            <w:tcW w:w="1170" w:type="dxa"/>
            <w:tcBorders>
              <w:top w:val="nil"/>
              <w:left w:val="nil"/>
              <w:bottom w:val="nil"/>
              <w:right w:val="nil"/>
              <w:tl2br w:val="nil"/>
              <w:tr2bl w:val="nil"/>
            </w:tcBorders>
            <w:shd w:val="clear" w:color="auto" w:fill="FFFFFF"/>
            <w:tcMar>
              <w:left w:w="101" w:type="dxa"/>
              <w:right w:w="101" w:type="dxa"/>
            </w:tcMar>
            <w:vAlign w:val="bottom"/>
          </w:tcPr>
          <w:p w14:paraId="1D91F41C" w14:textId="77777777" w:rsidR="003F0EEA" w:rsidRDefault="00FB7D0B">
            <w:pPr>
              <w:jc w:val="right"/>
              <w:rPr>
                <w:rFonts w:ascii="Arial" w:eastAsia="Arial" w:hAnsi="Arial" w:cs="Arial"/>
                <w:color w:val="000000"/>
                <w:sz w:val="16"/>
              </w:rPr>
            </w:pPr>
            <w:r>
              <w:rPr>
                <w:rFonts w:ascii="Arial" w:eastAsia="Arial" w:hAnsi="Arial" w:cs="Arial"/>
                <w:color w:val="000000"/>
                <w:sz w:val="16"/>
              </w:rPr>
              <w:t>2013-14</w:t>
            </w:r>
          </w:p>
        </w:tc>
        <w:tc>
          <w:tcPr>
            <w:tcW w:w="1170" w:type="dxa"/>
            <w:tcBorders>
              <w:top w:val="nil"/>
              <w:left w:val="nil"/>
              <w:bottom w:val="nil"/>
              <w:right w:val="nil"/>
              <w:tl2br w:val="nil"/>
              <w:tr2bl w:val="nil"/>
            </w:tcBorders>
            <w:shd w:val="clear" w:color="auto" w:fill="FFFF00"/>
            <w:tcMar>
              <w:left w:w="101" w:type="dxa"/>
              <w:right w:w="101" w:type="dxa"/>
            </w:tcMar>
            <w:vAlign w:val="bottom"/>
          </w:tcPr>
          <w:p w14:paraId="034E9ABC" w14:textId="77777777" w:rsidR="003F0EEA" w:rsidRDefault="00FB7D0B">
            <w:pPr>
              <w:jc w:val="right"/>
              <w:rPr>
                <w:rFonts w:ascii="Arial" w:eastAsia="Arial" w:hAnsi="Arial" w:cs="Arial"/>
                <w:color w:val="000000"/>
                <w:sz w:val="16"/>
              </w:rPr>
            </w:pPr>
            <w:r>
              <w:rPr>
                <w:rFonts w:ascii="Arial" w:eastAsia="Arial" w:hAnsi="Arial" w:cs="Arial"/>
                <w:color w:val="000000"/>
                <w:sz w:val="16"/>
              </w:rPr>
              <w:t>2014-15</w:t>
            </w:r>
          </w:p>
        </w:tc>
        <w:tc>
          <w:tcPr>
            <w:tcW w:w="1170" w:type="dxa"/>
            <w:tcBorders>
              <w:top w:val="nil"/>
              <w:left w:val="nil"/>
              <w:bottom w:val="nil"/>
              <w:right w:val="nil"/>
              <w:tl2br w:val="nil"/>
              <w:tr2bl w:val="nil"/>
            </w:tcBorders>
            <w:shd w:val="clear" w:color="auto" w:fill="FFFFFF"/>
            <w:tcMar>
              <w:left w:w="101" w:type="dxa"/>
              <w:right w:w="101" w:type="dxa"/>
            </w:tcMar>
            <w:vAlign w:val="bottom"/>
          </w:tcPr>
          <w:p w14:paraId="7992D97D" w14:textId="77777777" w:rsidR="003F0EEA" w:rsidRDefault="00FB7D0B">
            <w:pPr>
              <w:jc w:val="right"/>
              <w:rPr>
                <w:rFonts w:ascii="Arial" w:eastAsia="Arial" w:hAnsi="Arial" w:cs="Arial"/>
                <w:color w:val="000000"/>
                <w:sz w:val="16"/>
              </w:rPr>
            </w:pPr>
            <w:r>
              <w:rPr>
                <w:rFonts w:ascii="Arial" w:eastAsia="Arial" w:hAnsi="Arial" w:cs="Arial"/>
                <w:color w:val="000000"/>
                <w:sz w:val="16"/>
              </w:rPr>
              <w:t>2015-16</w:t>
            </w:r>
          </w:p>
        </w:tc>
        <w:tc>
          <w:tcPr>
            <w:tcW w:w="1170" w:type="dxa"/>
            <w:tcBorders>
              <w:top w:val="nil"/>
              <w:left w:val="nil"/>
              <w:bottom w:val="nil"/>
              <w:right w:val="nil"/>
              <w:tl2br w:val="nil"/>
              <w:tr2bl w:val="nil"/>
            </w:tcBorders>
            <w:shd w:val="clear" w:color="auto" w:fill="FFFFFF"/>
            <w:tcMar>
              <w:left w:w="101" w:type="dxa"/>
              <w:right w:w="101" w:type="dxa"/>
            </w:tcMar>
            <w:vAlign w:val="bottom"/>
          </w:tcPr>
          <w:p w14:paraId="11AE7D49" w14:textId="77777777" w:rsidR="003F0EEA" w:rsidRDefault="00FB7D0B">
            <w:pPr>
              <w:jc w:val="right"/>
              <w:rPr>
                <w:rFonts w:ascii="Arial" w:eastAsia="Arial" w:hAnsi="Arial" w:cs="Arial"/>
                <w:color w:val="000000"/>
                <w:sz w:val="16"/>
              </w:rPr>
            </w:pPr>
            <w:r>
              <w:rPr>
                <w:rFonts w:ascii="Arial" w:eastAsia="Arial" w:hAnsi="Arial" w:cs="Arial"/>
                <w:color w:val="000000"/>
                <w:sz w:val="16"/>
              </w:rPr>
              <w:t>2016-17</w:t>
            </w:r>
          </w:p>
        </w:tc>
        <w:tc>
          <w:tcPr>
            <w:tcW w:w="1170" w:type="dxa"/>
            <w:tcBorders>
              <w:top w:val="nil"/>
              <w:left w:val="nil"/>
              <w:bottom w:val="nil"/>
              <w:right w:val="nil"/>
              <w:tl2br w:val="nil"/>
              <w:tr2bl w:val="nil"/>
            </w:tcBorders>
            <w:shd w:val="clear" w:color="auto" w:fill="FFFFFF"/>
            <w:tcMar>
              <w:left w:w="101" w:type="dxa"/>
              <w:right w:w="101" w:type="dxa"/>
            </w:tcMar>
            <w:vAlign w:val="bottom"/>
          </w:tcPr>
          <w:p w14:paraId="6E092113" w14:textId="77777777" w:rsidR="003F0EEA" w:rsidRDefault="00FB7D0B">
            <w:pPr>
              <w:jc w:val="right"/>
              <w:rPr>
                <w:rFonts w:ascii="Arial" w:eastAsia="Arial" w:hAnsi="Arial" w:cs="Arial"/>
                <w:color w:val="000000"/>
                <w:sz w:val="16"/>
              </w:rPr>
            </w:pPr>
            <w:r>
              <w:rPr>
                <w:rFonts w:ascii="Arial" w:eastAsia="Arial" w:hAnsi="Arial" w:cs="Arial"/>
                <w:color w:val="000000"/>
                <w:sz w:val="16"/>
              </w:rPr>
              <w:t>2017-18</w:t>
            </w:r>
          </w:p>
        </w:tc>
      </w:tr>
      <w:tr w:rsidR="00724034" w14:paraId="224329F6" w14:textId="77777777">
        <w:trPr>
          <w:trHeight w:val="225"/>
        </w:trPr>
        <w:tc>
          <w:tcPr>
            <w:tcW w:w="180" w:type="dxa"/>
            <w:tcBorders>
              <w:top w:val="nil"/>
              <w:left w:val="nil"/>
              <w:bottom w:val="nil"/>
              <w:right w:val="nil"/>
              <w:tl2br w:val="nil"/>
              <w:tr2bl w:val="nil"/>
            </w:tcBorders>
            <w:shd w:val="clear" w:color="auto" w:fill="FFFFFF"/>
            <w:tcMar>
              <w:left w:w="101" w:type="dxa"/>
              <w:right w:w="101" w:type="dxa"/>
            </w:tcMar>
            <w:vAlign w:val="bottom"/>
          </w:tcPr>
          <w:p w14:paraId="087FDEF1" w14:textId="77777777" w:rsidR="003F0EEA" w:rsidRDefault="003F0EEA">
            <w:pPr>
              <w:rPr>
                <w:rFonts w:ascii="Arial" w:eastAsia="Arial" w:hAnsi="Arial" w:cs="Arial"/>
                <w:color w:val="000000"/>
                <w:sz w:val="16"/>
              </w:rPr>
            </w:pPr>
          </w:p>
        </w:tc>
        <w:tc>
          <w:tcPr>
            <w:tcW w:w="180" w:type="dxa"/>
            <w:tcBorders>
              <w:top w:val="nil"/>
              <w:left w:val="nil"/>
              <w:bottom w:val="nil"/>
              <w:right w:val="nil"/>
              <w:tl2br w:val="nil"/>
              <w:tr2bl w:val="nil"/>
            </w:tcBorders>
            <w:shd w:val="clear" w:color="auto" w:fill="FFFFFF"/>
            <w:tcMar>
              <w:left w:w="101" w:type="dxa"/>
              <w:right w:w="101" w:type="dxa"/>
            </w:tcMar>
            <w:vAlign w:val="bottom"/>
          </w:tcPr>
          <w:p w14:paraId="2C986ABD" w14:textId="77777777" w:rsidR="003F0EEA" w:rsidRDefault="003F0EEA">
            <w:pPr>
              <w:rPr>
                <w:rFonts w:ascii="Arial" w:eastAsia="Arial" w:hAnsi="Arial" w:cs="Arial"/>
                <w:color w:val="000000"/>
                <w:sz w:val="16"/>
              </w:rPr>
            </w:pPr>
          </w:p>
        </w:tc>
        <w:tc>
          <w:tcPr>
            <w:tcW w:w="2250" w:type="dxa"/>
            <w:tcBorders>
              <w:top w:val="nil"/>
              <w:left w:val="nil"/>
              <w:bottom w:val="nil"/>
              <w:right w:val="nil"/>
              <w:tl2br w:val="nil"/>
              <w:tr2bl w:val="nil"/>
            </w:tcBorders>
            <w:shd w:val="clear" w:color="auto" w:fill="FFFFFF"/>
            <w:tcMar>
              <w:left w:w="101" w:type="dxa"/>
              <w:right w:w="101" w:type="dxa"/>
            </w:tcMar>
            <w:vAlign w:val="bottom"/>
          </w:tcPr>
          <w:p w14:paraId="6E43AE6C" w14:textId="77777777" w:rsidR="003F0EEA" w:rsidRDefault="003F0EEA">
            <w:pPr>
              <w:rPr>
                <w:rFonts w:ascii="Arial" w:eastAsia="Arial" w:hAnsi="Arial" w:cs="Arial"/>
                <w:color w:val="000000"/>
                <w:sz w:val="16"/>
              </w:rPr>
            </w:pPr>
          </w:p>
        </w:tc>
        <w:tc>
          <w:tcPr>
            <w:tcW w:w="1170"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3587564D" w14:textId="77777777" w:rsidR="003F0EEA" w:rsidRDefault="00FB7D0B">
            <w:pPr>
              <w:jc w:val="right"/>
              <w:rPr>
                <w:rFonts w:ascii="Arial" w:eastAsia="Arial" w:hAnsi="Arial" w:cs="Arial"/>
                <w:color w:val="000000"/>
                <w:sz w:val="16"/>
              </w:rPr>
            </w:pPr>
            <w:r>
              <w:rPr>
                <w:rFonts w:ascii="Arial" w:eastAsia="Arial" w:hAnsi="Arial" w:cs="Arial"/>
                <w:color w:val="000000"/>
                <w:sz w:val="16"/>
              </w:rPr>
              <w:t>$'000</w:t>
            </w:r>
          </w:p>
        </w:tc>
        <w:tc>
          <w:tcPr>
            <w:tcW w:w="1170" w:type="dxa"/>
            <w:tcBorders>
              <w:top w:val="nil"/>
              <w:left w:val="nil"/>
              <w:bottom w:val="single" w:sz="6" w:space="0" w:color="000000"/>
              <w:right w:val="nil"/>
              <w:tl2br w:val="nil"/>
              <w:tr2bl w:val="nil"/>
            </w:tcBorders>
            <w:shd w:val="clear" w:color="auto" w:fill="FFFF00"/>
            <w:tcMar>
              <w:left w:w="101" w:type="dxa"/>
              <w:right w:w="101" w:type="dxa"/>
            </w:tcMar>
            <w:vAlign w:val="bottom"/>
          </w:tcPr>
          <w:p w14:paraId="2406A58F" w14:textId="77777777" w:rsidR="003F0EEA" w:rsidRDefault="00FB7D0B">
            <w:pPr>
              <w:jc w:val="right"/>
              <w:rPr>
                <w:rFonts w:ascii="Arial" w:eastAsia="Arial" w:hAnsi="Arial" w:cs="Arial"/>
                <w:color w:val="000000"/>
                <w:sz w:val="16"/>
              </w:rPr>
            </w:pPr>
            <w:r>
              <w:rPr>
                <w:rFonts w:ascii="Arial" w:eastAsia="Arial" w:hAnsi="Arial" w:cs="Arial"/>
                <w:color w:val="000000"/>
                <w:sz w:val="16"/>
              </w:rPr>
              <w:t>$'000</w:t>
            </w:r>
          </w:p>
        </w:tc>
        <w:tc>
          <w:tcPr>
            <w:tcW w:w="1170"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2E0A33C5" w14:textId="77777777" w:rsidR="003F0EEA" w:rsidRDefault="00FB7D0B">
            <w:pPr>
              <w:jc w:val="right"/>
              <w:rPr>
                <w:rFonts w:ascii="Arial" w:eastAsia="Arial" w:hAnsi="Arial" w:cs="Arial"/>
                <w:color w:val="000000"/>
                <w:sz w:val="16"/>
              </w:rPr>
            </w:pPr>
            <w:r>
              <w:rPr>
                <w:rFonts w:ascii="Arial" w:eastAsia="Arial" w:hAnsi="Arial" w:cs="Arial"/>
                <w:color w:val="000000"/>
                <w:sz w:val="16"/>
              </w:rPr>
              <w:t>$'000</w:t>
            </w:r>
          </w:p>
        </w:tc>
        <w:tc>
          <w:tcPr>
            <w:tcW w:w="1170"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5870D7B8" w14:textId="77777777" w:rsidR="003F0EEA" w:rsidRDefault="00FB7D0B">
            <w:pPr>
              <w:jc w:val="right"/>
              <w:rPr>
                <w:rFonts w:ascii="Arial" w:eastAsia="Arial" w:hAnsi="Arial" w:cs="Arial"/>
                <w:color w:val="000000"/>
                <w:sz w:val="16"/>
              </w:rPr>
            </w:pPr>
            <w:r>
              <w:rPr>
                <w:rFonts w:ascii="Arial" w:eastAsia="Arial" w:hAnsi="Arial" w:cs="Arial"/>
                <w:color w:val="000000"/>
                <w:sz w:val="16"/>
              </w:rPr>
              <w:t>$'000</w:t>
            </w:r>
          </w:p>
        </w:tc>
        <w:tc>
          <w:tcPr>
            <w:tcW w:w="1170"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7C108ECC" w14:textId="77777777" w:rsidR="003F0EEA" w:rsidRDefault="00FB7D0B">
            <w:pPr>
              <w:jc w:val="right"/>
              <w:rPr>
                <w:rFonts w:ascii="Arial" w:eastAsia="Arial" w:hAnsi="Arial" w:cs="Arial"/>
                <w:color w:val="000000"/>
                <w:sz w:val="16"/>
              </w:rPr>
            </w:pPr>
            <w:r>
              <w:rPr>
                <w:rFonts w:ascii="Arial" w:eastAsia="Arial" w:hAnsi="Arial" w:cs="Arial"/>
                <w:color w:val="000000"/>
                <w:sz w:val="16"/>
              </w:rPr>
              <w:t>$'000</w:t>
            </w:r>
          </w:p>
        </w:tc>
      </w:tr>
      <w:tr w:rsidR="00FB7D0B" w14:paraId="4C9D18A2" w14:textId="77777777" w:rsidTr="00FB7D0B">
        <w:trPr>
          <w:trHeight w:val="225"/>
        </w:trPr>
        <w:tc>
          <w:tcPr>
            <w:tcW w:w="2610" w:type="dxa"/>
            <w:gridSpan w:val="3"/>
            <w:tcBorders>
              <w:top w:val="nil"/>
              <w:left w:val="nil"/>
              <w:bottom w:val="nil"/>
              <w:right w:val="nil"/>
              <w:tl2br w:val="nil"/>
              <w:tr2bl w:val="nil"/>
            </w:tcBorders>
            <w:shd w:val="clear" w:color="auto" w:fill="FFFFFF"/>
            <w:tcMar>
              <w:left w:w="101" w:type="dxa"/>
              <w:right w:w="101" w:type="dxa"/>
            </w:tcMar>
            <w:vAlign w:val="bottom"/>
          </w:tcPr>
          <w:p w14:paraId="05AD93F8" w14:textId="77777777" w:rsidR="003F0EEA" w:rsidRDefault="00FB7D0B">
            <w:pPr>
              <w:rPr>
                <w:rFonts w:ascii="Arial" w:eastAsia="Arial" w:hAnsi="Arial" w:cs="Arial"/>
                <w:color w:val="000000"/>
                <w:sz w:val="16"/>
              </w:rPr>
            </w:pPr>
            <w:r>
              <w:rPr>
                <w:rFonts w:ascii="Arial" w:eastAsia="Arial" w:hAnsi="Arial" w:cs="Arial"/>
                <w:b/>
                <w:color w:val="000000"/>
                <w:sz w:val="16"/>
              </w:rPr>
              <w:t>EXPENSES ADMINISTERED ON</w:t>
            </w:r>
          </w:p>
        </w:tc>
        <w:tc>
          <w:tcPr>
            <w:tcW w:w="1170"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6F123D26" w14:textId="77777777" w:rsidR="003F0EEA" w:rsidRDefault="003F0EEA">
            <w:pPr>
              <w:rPr>
                <w:rFonts w:ascii="Arial" w:eastAsia="Arial" w:hAnsi="Arial" w:cs="Arial"/>
                <w:b/>
                <w:color w:val="000000"/>
                <w:sz w:val="16"/>
              </w:rPr>
            </w:pPr>
          </w:p>
        </w:tc>
        <w:tc>
          <w:tcPr>
            <w:tcW w:w="1170" w:type="dxa"/>
            <w:tcBorders>
              <w:top w:val="single" w:sz="6" w:space="0" w:color="000000"/>
              <w:left w:val="nil"/>
              <w:bottom w:val="nil"/>
              <w:right w:val="nil"/>
              <w:tl2br w:val="nil"/>
              <w:tr2bl w:val="nil"/>
            </w:tcBorders>
            <w:shd w:val="clear" w:color="auto" w:fill="FFFF00"/>
            <w:tcMar>
              <w:left w:w="101" w:type="dxa"/>
              <w:right w:w="101" w:type="dxa"/>
            </w:tcMar>
            <w:vAlign w:val="bottom"/>
          </w:tcPr>
          <w:p w14:paraId="29C0D384" w14:textId="77777777" w:rsidR="003F0EEA" w:rsidRDefault="003F0EEA">
            <w:pPr>
              <w:rPr>
                <w:rFonts w:ascii="Arial" w:eastAsia="Arial" w:hAnsi="Arial" w:cs="Arial"/>
                <w:color w:val="000000"/>
                <w:sz w:val="16"/>
              </w:rPr>
            </w:pPr>
          </w:p>
        </w:tc>
        <w:tc>
          <w:tcPr>
            <w:tcW w:w="1170"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657F3A67" w14:textId="77777777" w:rsidR="003F0EEA" w:rsidRDefault="003F0EEA">
            <w:pPr>
              <w:rPr>
                <w:rFonts w:ascii="Arial" w:eastAsia="Arial" w:hAnsi="Arial" w:cs="Arial"/>
                <w:color w:val="000000"/>
                <w:sz w:val="16"/>
              </w:rPr>
            </w:pPr>
          </w:p>
        </w:tc>
        <w:tc>
          <w:tcPr>
            <w:tcW w:w="1170"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5CF07E3F" w14:textId="77777777" w:rsidR="003F0EEA" w:rsidRDefault="003F0EEA">
            <w:pPr>
              <w:rPr>
                <w:rFonts w:ascii="Arial" w:eastAsia="Arial" w:hAnsi="Arial" w:cs="Arial"/>
                <w:color w:val="000000"/>
                <w:sz w:val="16"/>
              </w:rPr>
            </w:pPr>
          </w:p>
        </w:tc>
        <w:tc>
          <w:tcPr>
            <w:tcW w:w="1170"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11282842" w14:textId="77777777" w:rsidR="003F0EEA" w:rsidRDefault="003F0EEA">
            <w:pPr>
              <w:rPr>
                <w:rFonts w:ascii="Arial" w:eastAsia="Arial" w:hAnsi="Arial" w:cs="Arial"/>
                <w:color w:val="000000"/>
                <w:sz w:val="16"/>
              </w:rPr>
            </w:pPr>
          </w:p>
        </w:tc>
      </w:tr>
      <w:tr w:rsidR="00FB7D0B" w14:paraId="01B3BCC7" w14:textId="77777777" w:rsidTr="00FB7D0B">
        <w:trPr>
          <w:trHeight w:val="225"/>
        </w:trPr>
        <w:tc>
          <w:tcPr>
            <w:tcW w:w="180" w:type="dxa"/>
            <w:tcBorders>
              <w:top w:val="nil"/>
              <w:left w:val="nil"/>
              <w:bottom w:val="nil"/>
              <w:right w:val="nil"/>
              <w:tl2br w:val="nil"/>
              <w:tr2bl w:val="nil"/>
            </w:tcBorders>
            <w:shd w:val="clear" w:color="auto" w:fill="FFFFFF"/>
            <w:tcMar>
              <w:left w:w="101" w:type="dxa"/>
              <w:right w:w="101" w:type="dxa"/>
            </w:tcMar>
            <w:vAlign w:val="bottom"/>
          </w:tcPr>
          <w:p w14:paraId="41C6E295" w14:textId="77777777" w:rsidR="003F0EEA" w:rsidRDefault="003F0EEA">
            <w:pPr>
              <w:rPr>
                <w:rFonts w:ascii="Arial" w:eastAsia="Arial" w:hAnsi="Arial" w:cs="Arial"/>
                <w:color w:val="000000"/>
                <w:sz w:val="16"/>
              </w:rPr>
            </w:pPr>
          </w:p>
        </w:tc>
        <w:tc>
          <w:tcPr>
            <w:tcW w:w="2430" w:type="dxa"/>
            <w:gridSpan w:val="2"/>
            <w:vMerge w:val="restart"/>
            <w:tcBorders>
              <w:top w:val="nil"/>
              <w:left w:val="nil"/>
              <w:bottom w:val="nil"/>
              <w:right w:val="nil"/>
              <w:tl2br w:val="nil"/>
              <w:tr2bl w:val="nil"/>
            </w:tcBorders>
            <w:shd w:val="clear" w:color="auto" w:fill="FFFFFF"/>
            <w:tcMar>
              <w:left w:w="101" w:type="dxa"/>
              <w:right w:w="101" w:type="dxa"/>
            </w:tcMar>
            <w:vAlign w:val="bottom"/>
          </w:tcPr>
          <w:p w14:paraId="05EF3EE8" w14:textId="77777777" w:rsidR="003F0EEA" w:rsidRDefault="00FB7D0B">
            <w:pPr>
              <w:rPr>
                <w:rFonts w:ascii="Arial" w:eastAsia="Arial" w:hAnsi="Arial" w:cs="Arial"/>
                <w:color w:val="000000"/>
                <w:sz w:val="16"/>
              </w:rPr>
            </w:pPr>
            <w:r>
              <w:rPr>
                <w:rFonts w:ascii="Arial" w:eastAsia="Arial" w:hAnsi="Arial" w:cs="Arial"/>
                <w:b/>
                <w:color w:val="000000"/>
                <w:sz w:val="16"/>
              </w:rPr>
              <w:t>BEHALF OF GOVERNMENT</w:t>
            </w:r>
          </w:p>
        </w:tc>
        <w:tc>
          <w:tcPr>
            <w:tcW w:w="1170" w:type="dxa"/>
            <w:tcBorders>
              <w:top w:val="nil"/>
              <w:left w:val="nil"/>
              <w:bottom w:val="nil"/>
              <w:right w:val="nil"/>
              <w:tl2br w:val="nil"/>
              <w:tr2bl w:val="nil"/>
            </w:tcBorders>
            <w:shd w:val="clear" w:color="auto" w:fill="FFFFFF"/>
            <w:tcMar>
              <w:left w:w="101" w:type="dxa"/>
              <w:right w:w="101" w:type="dxa"/>
            </w:tcMar>
            <w:vAlign w:val="bottom"/>
          </w:tcPr>
          <w:p w14:paraId="464CF66A" w14:textId="77777777" w:rsidR="003F0EEA" w:rsidRDefault="003F0EEA">
            <w:pPr>
              <w:rPr>
                <w:rFonts w:ascii="Arial" w:eastAsia="Arial" w:hAnsi="Arial" w:cs="Arial"/>
                <w:b/>
                <w:color w:val="000000"/>
                <w:sz w:val="16"/>
              </w:rPr>
            </w:pPr>
          </w:p>
        </w:tc>
        <w:tc>
          <w:tcPr>
            <w:tcW w:w="1170" w:type="dxa"/>
            <w:tcBorders>
              <w:top w:val="nil"/>
              <w:left w:val="nil"/>
              <w:bottom w:val="nil"/>
              <w:right w:val="nil"/>
              <w:tl2br w:val="nil"/>
              <w:tr2bl w:val="nil"/>
            </w:tcBorders>
            <w:shd w:val="clear" w:color="auto" w:fill="FFFF00"/>
            <w:tcMar>
              <w:left w:w="101" w:type="dxa"/>
              <w:right w:w="101" w:type="dxa"/>
            </w:tcMar>
            <w:vAlign w:val="bottom"/>
          </w:tcPr>
          <w:p w14:paraId="119619D3" w14:textId="77777777" w:rsidR="003F0EEA" w:rsidRDefault="003F0EEA">
            <w:pPr>
              <w:rPr>
                <w:rFonts w:ascii="Arial" w:eastAsia="Arial" w:hAnsi="Arial" w:cs="Arial"/>
                <w:b/>
                <w:color w:val="000000"/>
                <w:sz w:val="16"/>
              </w:rPr>
            </w:pPr>
          </w:p>
        </w:tc>
        <w:tc>
          <w:tcPr>
            <w:tcW w:w="1170" w:type="dxa"/>
            <w:tcBorders>
              <w:top w:val="nil"/>
              <w:left w:val="nil"/>
              <w:bottom w:val="nil"/>
              <w:right w:val="nil"/>
              <w:tl2br w:val="nil"/>
              <w:tr2bl w:val="nil"/>
            </w:tcBorders>
            <w:shd w:val="clear" w:color="auto" w:fill="FFFFFF"/>
            <w:tcMar>
              <w:left w:w="101" w:type="dxa"/>
              <w:right w:w="101" w:type="dxa"/>
            </w:tcMar>
            <w:vAlign w:val="bottom"/>
          </w:tcPr>
          <w:p w14:paraId="46697AE9" w14:textId="77777777" w:rsidR="003F0EEA" w:rsidRDefault="003F0EEA">
            <w:pPr>
              <w:rPr>
                <w:rFonts w:ascii="Arial" w:eastAsia="Arial" w:hAnsi="Arial" w:cs="Arial"/>
                <w:color w:val="000000"/>
                <w:sz w:val="16"/>
              </w:rPr>
            </w:pPr>
          </w:p>
        </w:tc>
        <w:tc>
          <w:tcPr>
            <w:tcW w:w="1170" w:type="dxa"/>
            <w:tcBorders>
              <w:top w:val="nil"/>
              <w:left w:val="nil"/>
              <w:bottom w:val="nil"/>
              <w:right w:val="nil"/>
              <w:tl2br w:val="nil"/>
              <w:tr2bl w:val="nil"/>
            </w:tcBorders>
            <w:shd w:val="clear" w:color="auto" w:fill="FFFFFF"/>
            <w:tcMar>
              <w:left w:w="101" w:type="dxa"/>
              <w:right w:w="101" w:type="dxa"/>
            </w:tcMar>
            <w:vAlign w:val="bottom"/>
          </w:tcPr>
          <w:p w14:paraId="579D0C84" w14:textId="77777777" w:rsidR="003F0EEA" w:rsidRDefault="003F0EEA">
            <w:pPr>
              <w:rPr>
                <w:rFonts w:ascii="Arial" w:eastAsia="Arial" w:hAnsi="Arial" w:cs="Arial"/>
                <w:color w:val="000000"/>
                <w:sz w:val="16"/>
              </w:rPr>
            </w:pPr>
          </w:p>
        </w:tc>
        <w:tc>
          <w:tcPr>
            <w:tcW w:w="1170" w:type="dxa"/>
            <w:tcBorders>
              <w:top w:val="nil"/>
              <w:left w:val="nil"/>
              <w:bottom w:val="nil"/>
              <w:right w:val="nil"/>
              <w:tl2br w:val="nil"/>
              <w:tr2bl w:val="nil"/>
            </w:tcBorders>
            <w:shd w:val="clear" w:color="auto" w:fill="FFFFFF"/>
            <w:tcMar>
              <w:left w:w="101" w:type="dxa"/>
              <w:right w:w="101" w:type="dxa"/>
            </w:tcMar>
            <w:vAlign w:val="bottom"/>
          </w:tcPr>
          <w:p w14:paraId="3EF615EB" w14:textId="77777777" w:rsidR="003F0EEA" w:rsidRDefault="003F0EEA">
            <w:pPr>
              <w:rPr>
                <w:rFonts w:ascii="Arial" w:eastAsia="Arial" w:hAnsi="Arial" w:cs="Arial"/>
                <w:color w:val="000000"/>
                <w:sz w:val="16"/>
              </w:rPr>
            </w:pPr>
          </w:p>
        </w:tc>
      </w:tr>
      <w:tr w:rsidR="00FB7D0B" w14:paraId="4C90F040" w14:textId="77777777" w:rsidTr="00FB7D0B">
        <w:trPr>
          <w:trHeight w:val="225"/>
        </w:trPr>
        <w:tc>
          <w:tcPr>
            <w:tcW w:w="180" w:type="dxa"/>
            <w:tcBorders>
              <w:top w:val="nil"/>
              <w:left w:val="nil"/>
              <w:bottom w:val="nil"/>
              <w:right w:val="nil"/>
              <w:tl2br w:val="nil"/>
              <w:tr2bl w:val="nil"/>
            </w:tcBorders>
            <w:shd w:val="clear" w:color="auto" w:fill="FFFFFF"/>
            <w:tcMar>
              <w:left w:w="101" w:type="dxa"/>
              <w:right w:w="101" w:type="dxa"/>
            </w:tcMar>
            <w:vAlign w:val="bottom"/>
          </w:tcPr>
          <w:p w14:paraId="675DE10D" w14:textId="77777777" w:rsidR="003F0EEA" w:rsidRDefault="003F0EEA">
            <w:pPr>
              <w:rPr>
                <w:rFonts w:ascii="Arial" w:eastAsia="Arial" w:hAnsi="Arial" w:cs="Arial"/>
                <w:color w:val="000000"/>
                <w:sz w:val="16"/>
              </w:rPr>
            </w:pPr>
          </w:p>
        </w:tc>
        <w:tc>
          <w:tcPr>
            <w:tcW w:w="2430" w:type="dxa"/>
            <w:gridSpan w:val="2"/>
            <w:vMerge w:val="restart"/>
            <w:tcBorders>
              <w:top w:val="nil"/>
              <w:left w:val="nil"/>
              <w:bottom w:val="nil"/>
              <w:right w:val="nil"/>
              <w:tl2br w:val="nil"/>
              <w:tr2bl w:val="nil"/>
            </w:tcBorders>
            <w:shd w:val="clear" w:color="auto" w:fill="FFFFFF"/>
            <w:tcMar>
              <w:left w:w="101" w:type="dxa"/>
              <w:right w:w="101" w:type="dxa"/>
            </w:tcMar>
            <w:vAlign w:val="bottom"/>
          </w:tcPr>
          <w:p w14:paraId="178FA9DC" w14:textId="77777777" w:rsidR="003F0EEA" w:rsidRDefault="00FB7D0B">
            <w:pPr>
              <w:rPr>
                <w:rFonts w:ascii="Arial" w:eastAsia="Arial" w:hAnsi="Arial" w:cs="Arial"/>
                <w:color w:val="000000"/>
                <w:sz w:val="16"/>
              </w:rPr>
            </w:pPr>
            <w:r>
              <w:rPr>
                <w:rFonts w:ascii="Arial" w:eastAsia="Arial" w:hAnsi="Arial" w:cs="Arial"/>
                <w:color w:val="000000"/>
                <w:sz w:val="16"/>
              </w:rPr>
              <w:t>Grants</w:t>
            </w:r>
          </w:p>
        </w:tc>
        <w:tc>
          <w:tcPr>
            <w:tcW w:w="1170" w:type="dxa"/>
            <w:tcBorders>
              <w:top w:val="nil"/>
              <w:left w:val="nil"/>
              <w:bottom w:val="nil"/>
              <w:right w:val="nil"/>
              <w:tl2br w:val="nil"/>
              <w:tr2bl w:val="nil"/>
            </w:tcBorders>
            <w:shd w:val="clear" w:color="auto" w:fill="FFFFFF"/>
            <w:tcMar>
              <w:left w:w="101" w:type="dxa"/>
              <w:right w:w="101" w:type="dxa"/>
            </w:tcMar>
            <w:vAlign w:val="bottom"/>
          </w:tcPr>
          <w:p w14:paraId="7D742A3F" w14:textId="77777777" w:rsidR="003F0EEA" w:rsidRDefault="00FB7D0B">
            <w:pPr>
              <w:jc w:val="right"/>
              <w:rPr>
                <w:rFonts w:ascii="Arial" w:eastAsia="Arial" w:hAnsi="Arial" w:cs="Arial"/>
                <w:color w:val="000000"/>
                <w:sz w:val="16"/>
              </w:rPr>
            </w:pPr>
            <w:r>
              <w:rPr>
                <w:rFonts w:ascii="Arial" w:eastAsia="Arial" w:hAnsi="Arial" w:cs="Arial"/>
                <w:color w:val="000000"/>
                <w:sz w:val="16"/>
              </w:rPr>
              <w:t xml:space="preserve"> 5,901 </w:t>
            </w:r>
          </w:p>
        </w:tc>
        <w:tc>
          <w:tcPr>
            <w:tcW w:w="1170" w:type="dxa"/>
            <w:tcBorders>
              <w:top w:val="nil"/>
              <w:left w:val="nil"/>
              <w:bottom w:val="nil"/>
              <w:right w:val="nil"/>
              <w:tl2br w:val="nil"/>
              <w:tr2bl w:val="nil"/>
            </w:tcBorders>
            <w:shd w:val="clear" w:color="auto" w:fill="FFFF00"/>
            <w:tcMar>
              <w:left w:w="101" w:type="dxa"/>
              <w:right w:w="101" w:type="dxa"/>
            </w:tcMar>
            <w:vAlign w:val="bottom"/>
          </w:tcPr>
          <w:p w14:paraId="6C859E1B" w14:textId="77777777" w:rsidR="003F0EEA" w:rsidRDefault="00FB7D0B">
            <w:pPr>
              <w:jc w:val="right"/>
              <w:rPr>
                <w:rFonts w:ascii="Arial" w:eastAsia="Arial" w:hAnsi="Arial" w:cs="Arial"/>
                <w:color w:val="000000"/>
                <w:sz w:val="16"/>
              </w:rPr>
            </w:pPr>
            <w:r>
              <w:rPr>
                <w:rFonts w:ascii="Arial" w:eastAsia="Arial" w:hAnsi="Arial" w:cs="Arial"/>
                <w:color w:val="000000"/>
                <w:sz w:val="16"/>
              </w:rPr>
              <w:t xml:space="preserve"> 6,887 </w:t>
            </w:r>
          </w:p>
        </w:tc>
        <w:tc>
          <w:tcPr>
            <w:tcW w:w="1170" w:type="dxa"/>
            <w:tcBorders>
              <w:top w:val="nil"/>
              <w:left w:val="nil"/>
              <w:bottom w:val="nil"/>
              <w:right w:val="nil"/>
              <w:tl2br w:val="nil"/>
              <w:tr2bl w:val="nil"/>
            </w:tcBorders>
            <w:shd w:val="clear" w:color="auto" w:fill="FFFFFF"/>
            <w:tcMar>
              <w:left w:w="101" w:type="dxa"/>
              <w:right w:w="101" w:type="dxa"/>
            </w:tcMar>
            <w:vAlign w:val="bottom"/>
          </w:tcPr>
          <w:p w14:paraId="5D0F6F50" w14:textId="77777777" w:rsidR="003F0EEA" w:rsidRDefault="00FB7D0B">
            <w:pPr>
              <w:jc w:val="right"/>
              <w:rPr>
                <w:rFonts w:ascii="Arial" w:eastAsia="Arial" w:hAnsi="Arial" w:cs="Arial"/>
                <w:color w:val="000000"/>
                <w:sz w:val="16"/>
              </w:rPr>
            </w:pPr>
            <w:r>
              <w:rPr>
                <w:rFonts w:ascii="Arial" w:eastAsia="Arial" w:hAnsi="Arial" w:cs="Arial"/>
                <w:color w:val="000000"/>
                <w:sz w:val="16"/>
              </w:rPr>
              <w:t xml:space="preserve"> 6,886 </w:t>
            </w:r>
          </w:p>
        </w:tc>
        <w:tc>
          <w:tcPr>
            <w:tcW w:w="1170" w:type="dxa"/>
            <w:tcBorders>
              <w:top w:val="nil"/>
              <w:left w:val="nil"/>
              <w:bottom w:val="nil"/>
              <w:right w:val="nil"/>
              <w:tl2br w:val="nil"/>
              <w:tr2bl w:val="nil"/>
            </w:tcBorders>
            <w:shd w:val="clear" w:color="auto" w:fill="FFFFFF"/>
            <w:tcMar>
              <w:left w:w="101" w:type="dxa"/>
              <w:right w:w="101" w:type="dxa"/>
            </w:tcMar>
            <w:vAlign w:val="bottom"/>
          </w:tcPr>
          <w:p w14:paraId="342E337E" w14:textId="77777777" w:rsidR="003F0EEA" w:rsidRDefault="00FB7D0B">
            <w:pPr>
              <w:jc w:val="right"/>
              <w:rPr>
                <w:rFonts w:ascii="Arial" w:eastAsia="Arial" w:hAnsi="Arial" w:cs="Arial"/>
                <w:color w:val="000000"/>
                <w:sz w:val="16"/>
              </w:rPr>
            </w:pPr>
            <w:r>
              <w:rPr>
                <w:rFonts w:ascii="Arial" w:eastAsia="Arial" w:hAnsi="Arial" w:cs="Arial"/>
                <w:color w:val="000000"/>
                <w:sz w:val="16"/>
              </w:rPr>
              <w:t xml:space="preserve"> 7,012 </w:t>
            </w:r>
          </w:p>
        </w:tc>
        <w:tc>
          <w:tcPr>
            <w:tcW w:w="1170" w:type="dxa"/>
            <w:tcBorders>
              <w:top w:val="nil"/>
              <w:left w:val="nil"/>
              <w:bottom w:val="nil"/>
              <w:right w:val="nil"/>
              <w:tl2br w:val="nil"/>
              <w:tr2bl w:val="nil"/>
            </w:tcBorders>
            <w:shd w:val="clear" w:color="auto" w:fill="FFFFFF"/>
            <w:tcMar>
              <w:left w:w="101" w:type="dxa"/>
              <w:right w:w="101" w:type="dxa"/>
            </w:tcMar>
            <w:vAlign w:val="bottom"/>
          </w:tcPr>
          <w:p w14:paraId="6B7A4409" w14:textId="77777777" w:rsidR="003F0EEA" w:rsidRDefault="00FB7D0B">
            <w:pPr>
              <w:jc w:val="right"/>
              <w:rPr>
                <w:rFonts w:ascii="Arial" w:eastAsia="Arial" w:hAnsi="Arial" w:cs="Arial"/>
                <w:color w:val="000000"/>
                <w:sz w:val="16"/>
              </w:rPr>
            </w:pPr>
            <w:r>
              <w:rPr>
                <w:rFonts w:ascii="Arial" w:eastAsia="Arial" w:hAnsi="Arial" w:cs="Arial"/>
                <w:color w:val="000000"/>
                <w:sz w:val="16"/>
              </w:rPr>
              <w:t xml:space="preserve"> 7,049 </w:t>
            </w:r>
          </w:p>
        </w:tc>
      </w:tr>
      <w:tr w:rsidR="00FB7D0B" w14:paraId="02DDC4AA" w14:textId="77777777" w:rsidTr="00FB7D0B">
        <w:trPr>
          <w:trHeight w:val="225"/>
        </w:trPr>
        <w:tc>
          <w:tcPr>
            <w:tcW w:w="180" w:type="dxa"/>
            <w:tcBorders>
              <w:top w:val="nil"/>
              <w:left w:val="nil"/>
              <w:bottom w:val="nil"/>
              <w:right w:val="nil"/>
              <w:tl2br w:val="nil"/>
              <w:tr2bl w:val="nil"/>
            </w:tcBorders>
            <w:shd w:val="clear" w:color="auto" w:fill="FFFFFF"/>
            <w:tcMar>
              <w:left w:w="101" w:type="dxa"/>
              <w:right w:w="101" w:type="dxa"/>
            </w:tcMar>
            <w:vAlign w:val="bottom"/>
          </w:tcPr>
          <w:p w14:paraId="6F5D9F23" w14:textId="77777777" w:rsidR="003F0EEA" w:rsidRDefault="003F0EEA">
            <w:pPr>
              <w:rPr>
                <w:rFonts w:ascii="Arial" w:eastAsia="Arial" w:hAnsi="Arial" w:cs="Arial"/>
                <w:color w:val="000000"/>
                <w:sz w:val="16"/>
              </w:rPr>
            </w:pPr>
          </w:p>
        </w:tc>
        <w:tc>
          <w:tcPr>
            <w:tcW w:w="2430" w:type="dxa"/>
            <w:gridSpan w:val="2"/>
            <w:vMerge w:val="restart"/>
            <w:tcBorders>
              <w:top w:val="nil"/>
              <w:left w:val="nil"/>
              <w:bottom w:val="nil"/>
              <w:right w:val="nil"/>
              <w:tl2br w:val="nil"/>
              <w:tr2bl w:val="nil"/>
            </w:tcBorders>
            <w:shd w:val="clear" w:color="auto" w:fill="FFFFFF"/>
            <w:tcMar>
              <w:left w:w="101" w:type="dxa"/>
              <w:right w:w="101" w:type="dxa"/>
            </w:tcMar>
            <w:vAlign w:val="bottom"/>
          </w:tcPr>
          <w:p w14:paraId="75AF0463" w14:textId="77777777" w:rsidR="003F0EEA" w:rsidRDefault="00FB7D0B">
            <w:pPr>
              <w:rPr>
                <w:rFonts w:ascii="Arial" w:eastAsia="Arial" w:hAnsi="Arial" w:cs="Arial"/>
                <w:color w:val="000000"/>
                <w:sz w:val="16"/>
              </w:rPr>
            </w:pPr>
            <w:r>
              <w:rPr>
                <w:rFonts w:ascii="Arial" w:eastAsia="Arial" w:hAnsi="Arial" w:cs="Arial"/>
                <w:color w:val="000000"/>
                <w:sz w:val="16"/>
              </w:rPr>
              <w:t>Personal benefits</w:t>
            </w:r>
          </w:p>
        </w:tc>
        <w:tc>
          <w:tcPr>
            <w:tcW w:w="1170" w:type="dxa"/>
            <w:tcBorders>
              <w:top w:val="nil"/>
              <w:left w:val="nil"/>
              <w:bottom w:val="nil"/>
              <w:right w:val="nil"/>
              <w:tl2br w:val="nil"/>
              <w:tr2bl w:val="nil"/>
            </w:tcBorders>
            <w:shd w:val="clear" w:color="auto" w:fill="FFFFFF"/>
            <w:tcMar>
              <w:left w:w="101" w:type="dxa"/>
              <w:right w:w="101" w:type="dxa"/>
            </w:tcMar>
            <w:vAlign w:val="bottom"/>
          </w:tcPr>
          <w:p w14:paraId="564841C6" w14:textId="77777777" w:rsidR="003F0EEA" w:rsidRDefault="00FB7D0B">
            <w:pPr>
              <w:jc w:val="right"/>
              <w:rPr>
                <w:rFonts w:ascii="Arial" w:eastAsia="Arial" w:hAnsi="Arial" w:cs="Arial"/>
                <w:color w:val="000000"/>
                <w:sz w:val="16"/>
              </w:rPr>
            </w:pPr>
            <w:r>
              <w:rPr>
                <w:rFonts w:ascii="Arial" w:eastAsia="Arial" w:hAnsi="Arial" w:cs="Arial"/>
                <w:color w:val="000000"/>
                <w:sz w:val="16"/>
              </w:rPr>
              <w:t xml:space="preserve"> 6,676,180 </w:t>
            </w:r>
          </w:p>
        </w:tc>
        <w:tc>
          <w:tcPr>
            <w:tcW w:w="1170" w:type="dxa"/>
            <w:tcBorders>
              <w:top w:val="nil"/>
              <w:left w:val="nil"/>
              <w:bottom w:val="nil"/>
              <w:right w:val="nil"/>
              <w:tl2br w:val="nil"/>
              <w:tr2bl w:val="nil"/>
            </w:tcBorders>
            <w:shd w:val="clear" w:color="auto" w:fill="FFFF00"/>
            <w:tcMar>
              <w:left w:w="101" w:type="dxa"/>
              <w:right w:w="101" w:type="dxa"/>
            </w:tcMar>
            <w:vAlign w:val="bottom"/>
          </w:tcPr>
          <w:p w14:paraId="2D1033DB" w14:textId="77777777" w:rsidR="003F0EEA" w:rsidRDefault="00FB7D0B">
            <w:pPr>
              <w:jc w:val="right"/>
              <w:rPr>
                <w:rFonts w:ascii="Arial" w:eastAsia="Arial" w:hAnsi="Arial" w:cs="Arial"/>
                <w:color w:val="000000"/>
                <w:sz w:val="16"/>
              </w:rPr>
            </w:pPr>
            <w:r>
              <w:rPr>
                <w:rFonts w:ascii="Arial" w:eastAsia="Arial" w:hAnsi="Arial" w:cs="Arial"/>
                <w:color w:val="000000"/>
                <w:sz w:val="16"/>
              </w:rPr>
              <w:t xml:space="preserve"> 6,612,926 </w:t>
            </w:r>
          </w:p>
        </w:tc>
        <w:tc>
          <w:tcPr>
            <w:tcW w:w="1170" w:type="dxa"/>
            <w:tcBorders>
              <w:top w:val="nil"/>
              <w:left w:val="nil"/>
              <w:bottom w:val="nil"/>
              <w:right w:val="nil"/>
              <w:tl2br w:val="nil"/>
              <w:tr2bl w:val="nil"/>
            </w:tcBorders>
            <w:shd w:val="clear" w:color="auto" w:fill="FFFFFF"/>
            <w:tcMar>
              <w:left w:w="101" w:type="dxa"/>
              <w:right w:w="101" w:type="dxa"/>
            </w:tcMar>
            <w:vAlign w:val="bottom"/>
          </w:tcPr>
          <w:p w14:paraId="61A213C0" w14:textId="77777777" w:rsidR="003F0EEA" w:rsidRDefault="00FB7D0B">
            <w:pPr>
              <w:jc w:val="right"/>
              <w:rPr>
                <w:rFonts w:ascii="Arial" w:eastAsia="Arial" w:hAnsi="Arial" w:cs="Arial"/>
                <w:color w:val="000000"/>
                <w:sz w:val="16"/>
              </w:rPr>
            </w:pPr>
            <w:r>
              <w:rPr>
                <w:rFonts w:ascii="Arial" w:eastAsia="Arial" w:hAnsi="Arial" w:cs="Arial"/>
                <w:color w:val="000000"/>
                <w:sz w:val="16"/>
              </w:rPr>
              <w:t xml:space="preserve"> 6,474,110 </w:t>
            </w:r>
          </w:p>
        </w:tc>
        <w:tc>
          <w:tcPr>
            <w:tcW w:w="1170" w:type="dxa"/>
            <w:tcBorders>
              <w:top w:val="nil"/>
              <w:left w:val="nil"/>
              <w:bottom w:val="nil"/>
              <w:right w:val="nil"/>
              <w:tl2br w:val="nil"/>
              <w:tr2bl w:val="nil"/>
            </w:tcBorders>
            <w:shd w:val="clear" w:color="auto" w:fill="FFFFFF"/>
            <w:tcMar>
              <w:left w:w="101" w:type="dxa"/>
              <w:right w:w="101" w:type="dxa"/>
            </w:tcMar>
            <w:vAlign w:val="bottom"/>
          </w:tcPr>
          <w:p w14:paraId="21DC999F" w14:textId="77777777" w:rsidR="003F0EEA" w:rsidRDefault="00FB7D0B">
            <w:pPr>
              <w:jc w:val="right"/>
              <w:rPr>
                <w:rFonts w:ascii="Arial" w:eastAsia="Arial" w:hAnsi="Arial" w:cs="Arial"/>
                <w:color w:val="000000"/>
                <w:sz w:val="16"/>
              </w:rPr>
            </w:pPr>
            <w:r>
              <w:rPr>
                <w:rFonts w:ascii="Arial" w:eastAsia="Arial" w:hAnsi="Arial" w:cs="Arial"/>
                <w:color w:val="000000"/>
                <w:sz w:val="16"/>
              </w:rPr>
              <w:t xml:space="preserve"> 6,322,873 </w:t>
            </w:r>
          </w:p>
        </w:tc>
        <w:tc>
          <w:tcPr>
            <w:tcW w:w="1170" w:type="dxa"/>
            <w:tcBorders>
              <w:top w:val="nil"/>
              <w:left w:val="nil"/>
              <w:bottom w:val="nil"/>
              <w:right w:val="nil"/>
              <w:tl2br w:val="nil"/>
              <w:tr2bl w:val="nil"/>
            </w:tcBorders>
            <w:shd w:val="clear" w:color="auto" w:fill="FFFFFF"/>
            <w:tcMar>
              <w:left w:w="101" w:type="dxa"/>
              <w:right w:w="101" w:type="dxa"/>
            </w:tcMar>
            <w:vAlign w:val="bottom"/>
          </w:tcPr>
          <w:p w14:paraId="26FE3FAE" w14:textId="77777777" w:rsidR="003F0EEA" w:rsidRDefault="00FB7D0B">
            <w:pPr>
              <w:jc w:val="right"/>
              <w:rPr>
                <w:rFonts w:ascii="Arial" w:eastAsia="Arial" w:hAnsi="Arial" w:cs="Arial"/>
                <w:color w:val="000000"/>
                <w:sz w:val="16"/>
              </w:rPr>
            </w:pPr>
            <w:r>
              <w:rPr>
                <w:rFonts w:ascii="Arial" w:eastAsia="Arial" w:hAnsi="Arial" w:cs="Arial"/>
                <w:color w:val="000000"/>
                <w:sz w:val="16"/>
              </w:rPr>
              <w:t xml:space="preserve"> 6,083,385 </w:t>
            </w:r>
          </w:p>
        </w:tc>
      </w:tr>
      <w:tr w:rsidR="00FB7D0B" w14:paraId="26145FAF" w14:textId="77777777" w:rsidTr="00FB7D0B">
        <w:trPr>
          <w:trHeight w:val="225"/>
        </w:trPr>
        <w:tc>
          <w:tcPr>
            <w:tcW w:w="180" w:type="dxa"/>
            <w:tcBorders>
              <w:top w:val="nil"/>
              <w:left w:val="nil"/>
              <w:bottom w:val="nil"/>
              <w:right w:val="nil"/>
              <w:tl2br w:val="nil"/>
              <w:tr2bl w:val="nil"/>
            </w:tcBorders>
            <w:shd w:val="clear" w:color="auto" w:fill="FFFFFF"/>
            <w:tcMar>
              <w:left w:w="101" w:type="dxa"/>
              <w:right w:w="101" w:type="dxa"/>
            </w:tcMar>
            <w:vAlign w:val="bottom"/>
          </w:tcPr>
          <w:p w14:paraId="10CE680E" w14:textId="77777777" w:rsidR="003F0EEA" w:rsidRDefault="003F0EEA">
            <w:pPr>
              <w:rPr>
                <w:rFonts w:ascii="Arial" w:eastAsia="Arial" w:hAnsi="Arial" w:cs="Arial"/>
                <w:color w:val="000000"/>
                <w:sz w:val="16"/>
              </w:rPr>
            </w:pPr>
          </w:p>
        </w:tc>
        <w:tc>
          <w:tcPr>
            <w:tcW w:w="2430" w:type="dxa"/>
            <w:gridSpan w:val="2"/>
            <w:vMerge w:val="restart"/>
            <w:tcBorders>
              <w:top w:val="nil"/>
              <w:left w:val="nil"/>
              <w:bottom w:val="nil"/>
              <w:right w:val="nil"/>
              <w:tl2br w:val="nil"/>
              <w:tr2bl w:val="nil"/>
            </w:tcBorders>
            <w:shd w:val="clear" w:color="auto" w:fill="FFFFFF"/>
            <w:tcMar>
              <w:left w:w="101" w:type="dxa"/>
              <w:right w:w="101" w:type="dxa"/>
            </w:tcMar>
            <w:vAlign w:val="bottom"/>
          </w:tcPr>
          <w:p w14:paraId="597AA0B4" w14:textId="77777777" w:rsidR="003F0EEA" w:rsidRDefault="00FB7D0B">
            <w:pPr>
              <w:rPr>
                <w:rFonts w:ascii="Arial" w:eastAsia="Arial" w:hAnsi="Arial" w:cs="Arial"/>
                <w:color w:val="000000"/>
                <w:sz w:val="16"/>
              </w:rPr>
            </w:pPr>
            <w:r>
              <w:rPr>
                <w:rFonts w:ascii="Arial" w:eastAsia="Arial" w:hAnsi="Arial" w:cs="Arial"/>
                <w:color w:val="000000"/>
                <w:sz w:val="16"/>
              </w:rPr>
              <w:t>Payments to CAC Act bodies</w:t>
            </w:r>
          </w:p>
        </w:tc>
        <w:tc>
          <w:tcPr>
            <w:tcW w:w="1170" w:type="dxa"/>
            <w:tcBorders>
              <w:top w:val="nil"/>
              <w:left w:val="nil"/>
              <w:bottom w:val="nil"/>
              <w:right w:val="nil"/>
              <w:tl2br w:val="nil"/>
              <w:tr2bl w:val="nil"/>
            </w:tcBorders>
            <w:shd w:val="clear" w:color="auto" w:fill="FFFFFF"/>
            <w:tcMar>
              <w:left w:w="101" w:type="dxa"/>
              <w:right w:w="101" w:type="dxa"/>
            </w:tcMar>
            <w:vAlign w:val="bottom"/>
          </w:tcPr>
          <w:p w14:paraId="5073EC09" w14:textId="77777777" w:rsidR="003F0EEA" w:rsidRDefault="00FB7D0B">
            <w:pPr>
              <w:jc w:val="right"/>
              <w:rPr>
                <w:rFonts w:ascii="Arial" w:eastAsia="Arial" w:hAnsi="Arial" w:cs="Arial"/>
                <w:color w:val="000000"/>
                <w:sz w:val="16"/>
              </w:rPr>
            </w:pPr>
            <w:r>
              <w:rPr>
                <w:rFonts w:ascii="Arial" w:eastAsia="Arial" w:hAnsi="Arial" w:cs="Arial"/>
                <w:color w:val="000000"/>
                <w:sz w:val="16"/>
              </w:rPr>
              <w:t xml:space="preserve"> 40,900 </w:t>
            </w:r>
          </w:p>
        </w:tc>
        <w:tc>
          <w:tcPr>
            <w:tcW w:w="1170" w:type="dxa"/>
            <w:tcBorders>
              <w:top w:val="nil"/>
              <w:left w:val="nil"/>
              <w:bottom w:val="nil"/>
              <w:right w:val="nil"/>
              <w:tl2br w:val="nil"/>
              <w:tr2bl w:val="nil"/>
            </w:tcBorders>
            <w:shd w:val="clear" w:color="auto" w:fill="FFFF00"/>
            <w:tcMar>
              <w:left w:w="101" w:type="dxa"/>
              <w:right w:w="101" w:type="dxa"/>
            </w:tcMar>
            <w:vAlign w:val="bottom"/>
          </w:tcPr>
          <w:p w14:paraId="0A32FC86" w14:textId="77777777" w:rsidR="003F0EEA" w:rsidRDefault="00FB7D0B">
            <w:pPr>
              <w:jc w:val="right"/>
              <w:rPr>
                <w:rFonts w:ascii="Arial" w:eastAsia="Arial" w:hAnsi="Arial" w:cs="Arial"/>
                <w:color w:val="000000"/>
                <w:sz w:val="16"/>
              </w:rPr>
            </w:pPr>
            <w:r>
              <w:rPr>
                <w:rFonts w:ascii="Arial" w:eastAsia="Arial" w:hAnsi="Arial" w:cs="Arial"/>
                <w:color w:val="000000"/>
                <w:sz w:val="16"/>
              </w:rPr>
              <w:t xml:space="preserve"> 47,808 </w:t>
            </w:r>
          </w:p>
        </w:tc>
        <w:tc>
          <w:tcPr>
            <w:tcW w:w="1170" w:type="dxa"/>
            <w:tcBorders>
              <w:top w:val="nil"/>
              <w:left w:val="nil"/>
              <w:bottom w:val="nil"/>
              <w:right w:val="nil"/>
              <w:tl2br w:val="nil"/>
              <w:tr2bl w:val="nil"/>
            </w:tcBorders>
            <w:shd w:val="clear" w:color="auto" w:fill="FFFFFF"/>
            <w:tcMar>
              <w:left w:w="101" w:type="dxa"/>
              <w:right w:w="101" w:type="dxa"/>
            </w:tcMar>
            <w:vAlign w:val="bottom"/>
          </w:tcPr>
          <w:p w14:paraId="610E5FB1" w14:textId="77777777" w:rsidR="003F0EEA" w:rsidRDefault="00FB7D0B">
            <w:pPr>
              <w:jc w:val="right"/>
              <w:rPr>
                <w:rFonts w:ascii="Arial" w:eastAsia="Arial" w:hAnsi="Arial" w:cs="Arial"/>
                <w:color w:val="000000"/>
                <w:sz w:val="16"/>
              </w:rPr>
            </w:pPr>
            <w:r>
              <w:rPr>
                <w:rFonts w:ascii="Arial" w:eastAsia="Arial" w:hAnsi="Arial" w:cs="Arial"/>
                <w:color w:val="000000"/>
                <w:sz w:val="16"/>
              </w:rPr>
              <w:t xml:space="preserve"> 39,382 </w:t>
            </w:r>
          </w:p>
        </w:tc>
        <w:tc>
          <w:tcPr>
            <w:tcW w:w="1170" w:type="dxa"/>
            <w:tcBorders>
              <w:top w:val="nil"/>
              <w:left w:val="nil"/>
              <w:bottom w:val="nil"/>
              <w:right w:val="nil"/>
              <w:tl2br w:val="nil"/>
              <w:tr2bl w:val="nil"/>
            </w:tcBorders>
            <w:shd w:val="clear" w:color="auto" w:fill="FFFFFF"/>
            <w:tcMar>
              <w:left w:w="101" w:type="dxa"/>
              <w:right w:w="101" w:type="dxa"/>
            </w:tcMar>
            <w:vAlign w:val="bottom"/>
          </w:tcPr>
          <w:p w14:paraId="7F7A0049" w14:textId="77777777" w:rsidR="003F0EEA" w:rsidRDefault="00FB7D0B">
            <w:pPr>
              <w:jc w:val="right"/>
              <w:rPr>
                <w:rFonts w:ascii="Arial" w:eastAsia="Arial" w:hAnsi="Arial" w:cs="Arial"/>
                <w:color w:val="000000"/>
                <w:sz w:val="16"/>
              </w:rPr>
            </w:pPr>
            <w:r>
              <w:rPr>
                <w:rFonts w:ascii="Arial" w:eastAsia="Arial" w:hAnsi="Arial" w:cs="Arial"/>
                <w:color w:val="000000"/>
                <w:sz w:val="16"/>
              </w:rPr>
              <w:t xml:space="preserve"> 38,937 </w:t>
            </w:r>
          </w:p>
        </w:tc>
        <w:tc>
          <w:tcPr>
            <w:tcW w:w="1170" w:type="dxa"/>
            <w:tcBorders>
              <w:top w:val="nil"/>
              <w:left w:val="nil"/>
              <w:bottom w:val="nil"/>
              <w:right w:val="nil"/>
              <w:tl2br w:val="nil"/>
              <w:tr2bl w:val="nil"/>
            </w:tcBorders>
            <w:shd w:val="clear" w:color="auto" w:fill="FFFFFF"/>
            <w:tcMar>
              <w:left w:w="101" w:type="dxa"/>
              <w:right w:w="101" w:type="dxa"/>
            </w:tcMar>
            <w:vAlign w:val="bottom"/>
          </w:tcPr>
          <w:p w14:paraId="0669DB72" w14:textId="77777777" w:rsidR="003F0EEA" w:rsidRDefault="00FB7D0B">
            <w:pPr>
              <w:jc w:val="right"/>
              <w:rPr>
                <w:rFonts w:ascii="Arial" w:eastAsia="Arial" w:hAnsi="Arial" w:cs="Arial"/>
                <w:color w:val="000000"/>
                <w:sz w:val="16"/>
              </w:rPr>
            </w:pPr>
            <w:r>
              <w:rPr>
                <w:rFonts w:ascii="Arial" w:eastAsia="Arial" w:hAnsi="Arial" w:cs="Arial"/>
                <w:color w:val="000000"/>
                <w:sz w:val="16"/>
              </w:rPr>
              <w:t xml:space="preserve"> 39,100 </w:t>
            </w:r>
          </w:p>
        </w:tc>
      </w:tr>
      <w:tr w:rsidR="00FB7D0B" w14:paraId="636608B2" w14:textId="77777777" w:rsidTr="00FB7D0B">
        <w:trPr>
          <w:trHeight w:val="225"/>
        </w:trPr>
        <w:tc>
          <w:tcPr>
            <w:tcW w:w="180" w:type="dxa"/>
            <w:tcBorders>
              <w:top w:val="nil"/>
              <w:left w:val="nil"/>
              <w:bottom w:val="nil"/>
              <w:right w:val="nil"/>
              <w:tl2br w:val="nil"/>
              <w:tr2bl w:val="nil"/>
            </w:tcBorders>
            <w:shd w:val="clear" w:color="auto" w:fill="FFFFFF"/>
            <w:tcMar>
              <w:left w:w="101" w:type="dxa"/>
              <w:right w:w="101" w:type="dxa"/>
            </w:tcMar>
            <w:vAlign w:val="bottom"/>
          </w:tcPr>
          <w:p w14:paraId="76A78A0C" w14:textId="77777777" w:rsidR="003F0EEA" w:rsidRDefault="003F0EEA">
            <w:pPr>
              <w:rPr>
                <w:rFonts w:ascii="Arial" w:eastAsia="Arial" w:hAnsi="Arial" w:cs="Arial"/>
                <w:color w:val="000000"/>
                <w:sz w:val="16"/>
              </w:rPr>
            </w:pPr>
          </w:p>
        </w:tc>
        <w:tc>
          <w:tcPr>
            <w:tcW w:w="2430" w:type="dxa"/>
            <w:gridSpan w:val="2"/>
            <w:vMerge w:val="restart"/>
            <w:tcBorders>
              <w:top w:val="nil"/>
              <w:left w:val="nil"/>
              <w:bottom w:val="nil"/>
              <w:right w:val="nil"/>
              <w:tl2br w:val="nil"/>
              <w:tr2bl w:val="nil"/>
            </w:tcBorders>
            <w:shd w:val="clear" w:color="auto" w:fill="FFFFFF"/>
            <w:tcMar>
              <w:left w:w="101" w:type="dxa"/>
              <w:right w:w="101" w:type="dxa"/>
            </w:tcMar>
            <w:vAlign w:val="bottom"/>
          </w:tcPr>
          <w:p w14:paraId="1467E785" w14:textId="77777777" w:rsidR="003F0EEA" w:rsidRDefault="00FB7D0B">
            <w:pPr>
              <w:rPr>
                <w:rFonts w:ascii="Arial" w:eastAsia="Arial" w:hAnsi="Arial" w:cs="Arial"/>
                <w:color w:val="000000"/>
                <w:sz w:val="16"/>
              </w:rPr>
            </w:pPr>
            <w:r>
              <w:rPr>
                <w:rFonts w:ascii="Arial" w:eastAsia="Arial" w:hAnsi="Arial" w:cs="Arial"/>
                <w:color w:val="000000"/>
                <w:sz w:val="16"/>
              </w:rPr>
              <w:t>Other</w:t>
            </w:r>
          </w:p>
        </w:tc>
        <w:tc>
          <w:tcPr>
            <w:tcW w:w="1170" w:type="dxa"/>
            <w:tcBorders>
              <w:top w:val="nil"/>
              <w:left w:val="nil"/>
              <w:bottom w:val="nil"/>
              <w:right w:val="nil"/>
              <w:tl2br w:val="nil"/>
              <w:tr2bl w:val="nil"/>
            </w:tcBorders>
            <w:shd w:val="clear" w:color="auto" w:fill="FFFFFF"/>
            <w:tcMar>
              <w:left w:w="101" w:type="dxa"/>
              <w:right w:w="101" w:type="dxa"/>
            </w:tcMar>
            <w:vAlign w:val="bottom"/>
          </w:tcPr>
          <w:p w14:paraId="7129A837" w14:textId="77777777" w:rsidR="003F0EEA" w:rsidRDefault="00FB7D0B">
            <w:pPr>
              <w:jc w:val="right"/>
              <w:rPr>
                <w:rFonts w:ascii="Arial" w:eastAsia="Arial" w:hAnsi="Arial" w:cs="Arial"/>
                <w:color w:val="000000"/>
                <w:sz w:val="16"/>
              </w:rPr>
            </w:pPr>
            <w:r>
              <w:rPr>
                <w:rFonts w:ascii="Arial" w:eastAsia="Arial" w:hAnsi="Arial" w:cs="Arial"/>
                <w:color w:val="000000"/>
                <w:sz w:val="16"/>
              </w:rPr>
              <w:t xml:space="preserve"> 5,393,217 </w:t>
            </w:r>
          </w:p>
        </w:tc>
        <w:tc>
          <w:tcPr>
            <w:tcW w:w="1170" w:type="dxa"/>
            <w:tcBorders>
              <w:top w:val="nil"/>
              <w:left w:val="nil"/>
              <w:bottom w:val="nil"/>
              <w:right w:val="nil"/>
              <w:tl2br w:val="nil"/>
              <w:tr2bl w:val="nil"/>
            </w:tcBorders>
            <w:shd w:val="clear" w:color="auto" w:fill="FFFF00"/>
            <w:tcMar>
              <w:left w:w="101" w:type="dxa"/>
              <w:right w:w="101" w:type="dxa"/>
            </w:tcMar>
            <w:vAlign w:val="bottom"/>
          </w:tcPr>
          <w:p w14:paraId="66272A15" w14:textId="77777777" w:rsidR="003F0EEA" w:rsidRDefault="00FB7D0B">
            <w:pPr>
              <w:jc w:val="right"/>
              <w:rPr>
                <w:rFonts w:ascii="Arial" w:eastAsia="Arial" w:hAnsi="Arial" w:cs="Arial"/>
                <w:color w:val="000000"/>
                <w:sz w:val="16"/>
              </w:rPr>
            </w:pPr>
            <w:r>
              <w:rPr>
                <w:rFonts w:ascii="Arial" w:eastAsia="Arial" w:hAnsi="Arial" w:cs="Arial"/>
                <w:color w:val="000000"/>
                <w:sz w:val="16"/>
              </w:rPr>
              <w:t xml:space="preserve"> 5,508,378 </w:t>
            </w:r>
          </w:p>
        </w:tc>
        <w:tc>
          <w:tcPr>
            <w:tcW w:w="1170" w:type="dxa"/>
            <w:tcBorders>
              <w:top w:val="nil"/>
              <w:left w:val="nil"/>
              <w:bottom w:val="nil"/>
              <w:right w:val="nil"/>
              <w:tl2br w:val="nil"/>
              <w:tr2bl w:val="nil"/>
            </w:tcBorders>
            <w:shd w:val="clear" w:color="auto" w:fill="FFFFFF"/>
            <w:tcMar>
              <w:left w:w="101" w:type="dxa"/>
              <w:right w:w="101" w:type="dxa"/>
            </w:tcMar>
            <w:vAlign w:val="bottom"/>
          </w:tcPr>
          <w:p w14:paraId="07865B3F" w14:textId="77777777" w:rsidR="003F0EEA" w:rsidRDefault="00FB7D0B">
            <w:pPr>
              <w:jc w:val="right"/>
              <w:rPr>
                <w:rFonts w:ascii="Arial" w:eastAsia="Arial" w:hAnsi="Arial" w:cs="Arial"/>
                <w:color w:val="000000"/>
                <w:sz w:val="16"/>
              </w:rPr>
            </w:pPr>
            <w:r>
              <w:rPr>
                <w:rFonts w:ascii="Arial" w:eastAsia="Arial" w:hAnsi="Arial" w:cs="Arial"/>
                <w:color w:val="000000"/>
                <w:sz w:val="16"/>
              </w:rPr>
              <w:t xml:space="preserve"> 5,552,167 </w:t>
            </w:r>
          </w:p>
        </w:tc>
        <w:tc>
          <w:tcPr>
            <w:tcW w:w="1170" w:type="dxa"/>
            <w:tcBorders>
              <w:top w:val="nil"/>
              <w:left w:val="nil"/>
              <w:bottom w:val="nil"/>
              <w:right w:val="nil"/>
              <w:tl2br w:val="nil"/>
              <w:tr2bl w:val="nil"/>
            </w:tcBorders>
            <w:shd w:val="clear" w:color="auto" w:fill="FFFFFF"/>
            <w:tcMar>
              <w:left w:w="101" w:type="dxa"/>
              <w:right w:w="101" w:type="dxa"/>
            </w:tcMar>
            <w:vAlign w:val="bottom"/>
          </w:tcPr>
          <w:p w14:paraId="48673DC7" w14:textId="77777777" w:rsidR="003F0EEA" w:rsidRDefault="00FB7D0B">
            <w:pPr>
              <w:jc w:val="right"/>
              <w:rPr>
                <w:rFonts w:ascii="Arial" w:eastAsia="Arial" w:hAnsi="Arial" w:cs="Arial"/>
                <w:color w:val="000000"/>
                <w:sz w:val="16"/>
              </w:rPr>
            </w:pPr>
            <w:r>
              <w:rPr>
                <w:rFonts w:ascii="Arial" w:eastAsia="Arial" w:hAnsi="Arial" w:cs="Arial"/>
                <w:color w:val="000000"/>
                <w:sz w:val="16"/>
              </w:rPr>
              <w:t xml:space="preserve"> 5,682,964 </w:t>
            </w:r>
          </w:p>
        </w:tc>
        <w:tc>
          <w:tcPr>
            <w:tcW w:w="1170" w:type="dxa"/>
            <w:tcBorders>
              <w:top w:val="nil"/>
              <w:left w:val="nil"/>
              <w:bottom w:val="nil"/>
              <w:right w:val="nil"/>
              <w:tl2br w:val="nil"/>
              <w:tr2bl w:val="nil"/>
            </w:tcBorders>
            <w:shd w:val="clear" w:color="auto" w:fill="FFFFFF"/>
            <w:tcMar>
              <w:left w:w="101" w:type="dxa"/>
              <w:right w:w="101" w:type="dxa"/>
            </w:tcMar>
            <w:vAlign w:val="bottom"/>
          </w:tcPr>
          <w:p w14:paraId="3BB9D67B" w14:textId="77777777" w:rsidR="003F0EEA" w:rsidRDefault="00FB7D0B">
            <w:pPr>
              <w:jc w:val="right"/>
              <w:rPr>
                <w:rFonts w:ascii="Arial" w:eastAsia="Arial" w:hAnsi="Arial" w:cs="Arial"/>
                <w:color w:val="000000"/>
                <w:sz w:val="16"/>
              </w:rPr>
            </w:pPr>
            <w:r>
              <w:rPr>
                <w:rFonts w:ascii="Arial" w:eastAsia="Arial" w:hAnsi="Arial" w:cs="Arial"/>
                <w:color w:val="000000"/>
                <w:sz w:val="16"/>
              </w:rPr>
              <w:t xml:space="preserve"> 5,861,585 </w:t>
            </w:r>
          </w:p>
        </w:tc>
      </w:tr>
      <w:tr w:rsidR="00FB7D0B" w14:paraId="3718A752" w14:textId="77777777" w:rsidTr="00FB7D0B">
        <w:trPr>
          <w:trHeight w:val="225"/>
        </w:trPr>
        <w:tc>
          <w:tcPr>
            <w:tcW w:w="2610" w:type="dxa"/>
            <w:gridSpan w:val="3"/>
            <w:tcBorders>
              <w:top w:val="nil"/>
              <w:left w:val="nil"/>
              <w:bottom w:val="nil"/>
              <w:right w:val="nil"/>
              <w:tl2br w:val="nil"/>
              <w:tr2bl w:val="nil"/>
            </w:tcBorders>
            <w:shd w:val="clear" w:color="auto" w:fill="FFFFFF"/>
            <w:tcMar>
              <w:left w:w="101" w:type="dxa"/>
              <w:right w:w="101" w:type="dxa"/>
            </w:tcMar>
            <w:vAlign w:val="bottom"/>
          </w:tcPr>
          <w:p w14:paraId="5C68709A" w14:textId="77777777" w:rsidR="003F0EEA" w:rsidRDefault="00FB7D0B">
            <w:pPr>
              <w:rPr>
                <w:rFonts w:ascii="Arial" w:eastAsia="Arial" w:hAnsi="Arial" w:cs="Arial"/>
                <w:color w:val="000000"/>
                <w:sz w:val="16"/>
              </w:rPr>
            </w:pPr>
            <w:r>
              <w:rPr>
                <w:rFonts w:ascii="Arial" w:eastAsia="Arial" w:hAnsi="Arial" w:cs="Arial"/>
                <w:b/>
                <w:color w:val="000000"/>
                <w:sz w:val="16"/>
              </w:rPr>
              <w:t xml:space="preserve">Total expenses </w:t>
            </w:r>
          </w:p>
        </w:tc>
        <w:tc>
          <w:tcPr>
            <w:tcW w:w="1170" w:type="dxa"/>
            <w:tcBorders>
              <w:top w:val="nil"/>
              <w:left w:val="nil"/>
              <w:bottom w:val="nil"/>
              <w:right w:val="nil"/>
              <w:tl2br w:val="nil"/>
              <w:tr2bl w:val="nil"/>
            </w:tcBorders>
            <w:shd w:val="clear" w:color="auto" w:fill="FFFFFF"/>
            <w:tcMar>
              <w:left w:w="101" w:type="dxa"/>
              <w:right w:w="101" w:type="dxa"/>
            </w:tcMar>
            <w:vAlign w:val="bottom"/>
          </w:tcPr>
          <w:p w14:paraId="2DB498EA" w14:textId="77777777" w:rsidR="003F0EEA" w:rsidRDefault="003F0EEA">
            <w:pPr>
              <w:rPr>
                <w:rFonts w:ascii="Arial" w:eastAsia="Arial" w:hAnsi="Arial" w:cs="Arial"/>
                <w:b/>
                <w:color w:val="000000"/>
                <w:sz w:val="16"/>
              </w:rPr>
            </w:pPr>
          </w:p>
        </w:tc>
        <w:tc>
          <w:tcPr>
            <w:tcW w:w="1170" w:type="dxa"/>
            <w:tcBorders>
              <w:top w:val="nil"/>
              <w:left w:val="nil"/>
              <w:bottom w:val="nil"/>
              <w:right w:val="nil"/>
              <w:tl2br w:val="nil"/>
              <w:tr2bl w:val="nil"/>
            </w:tcBorders>
            <w:shd w:val="clear" w:color="auto" w:fill="FFFF00"/>
            <w:tcMar>
              <w:left w:w="101" w:type="dxa"/>
              <w:right w:w="101" w:type="dxa"/>
            </w:tcMar>
            <w:vAlign w:val="bottom"/>
          </w:tcPr>
          <w:p w14:paraId="045B221A" w14:textId="77777777" w:rsidR="003F0EEA" w:rsidRDefault="003F0EEA">
            <w:pPr>
              <w:rPr>
                <w:rFonts w:ascii="Arial" w:eastAsia="Arial" w:hAnsi="Arial" w:cs="Arial"/>
                <w:color w:val="000000"/>
                <w:sz w:val="16"/>
              </w:rPr>
            </w:pPr>
          </w:p>
        </w:tc>
        <w:tc>
          <w:tcPr>
            <w:tcW w:w="1170" w:type="dxa"/>
            <w:tcBorders>
              <w:top w:val="nil"/>
              <w:left w:val="nil"/>
              <w:bottom w:val="nil"/>
              <w:right w:val="nil"/>
              <w:tl2br w:val="nil"/>
              <w:tr2bl w:val="nil"/>
            </w:tcBorders>
            <w:shd w:val="clear" w:color="auto" w:fill="FFFFFF"/>
            <w:tcMar>
              <w:left w:w="101" w:type="dxa"/>
              <w:right w:w="101" w:type="dxa"/>
            </w:tcMar>
            <w:vAlign w:val="bottom"/>
          </w:tcPr>
          <w:p w14:paraId="3737F1CC" w14:textId="77777777" w:rsidR="003F0EEA" w:rsidRDefault="003F0EEA">
            <w:pPr>
              <w:rPr>
                <w:rFonts w:ascii="Arial" w:eastAsia="Arial" w:hAnsi="Arial" w:cs="Arial"/>
                <w:color w:val="000000"/>
                <w:sz w:val="16"/>
              </w:rPr>
            </w:pPr>
          </w:p>
        </w:tc>
        <w:tc>
          <w:tcPr>
            <w:tcW w:w="1170" w:type="dxa"/>
            <w:tcBorders>
              <w:top w:val="nil"/>
              <w:left w:val="nil"/>
              <w:bottom w:val="nil"/>
              <w:right w:val="nil"/>
              <w:tl2br w:val="nil"/>
              <w:tr2bl w:val="nil"/>
            </w:tcBorders>
            <w:shd w:val="clear" w:color="auto" w:fill="FFFFFF"/>
            <w:tcMar>
              <w:left w:w="101" w:type="dxa"/>
              <w:right w:w="101" w:type="dxa"/>
            </w:tcMar>
            <w:vAlign w:val="bottom"/>
          </w:tcPr>
          <w:p w14:paraId="7843FB58" w14:textId="77777777" w:rsidR="003F0EEA" w:rsidRDefault="003F0EEA">
            <w:pPr>
              <w:rPr>
                <w:rFonts w:ascii="Arial" w:eastAsia="Arial" w:hAnsi="Arial" w:cs="Arial"/>
                <w:color w:val="000000"/>
                <w:sz w:val="16"/>
              </w:rPr>
            </w:pPr>
          </w:p>
        </w:tc>
        <w:tc>
          <w:tcPr>
            <w:tcW w:w="1170" w:type="dxa"/>
            <w:tcBorders>
              <w:top w:val="nil"/>
              <w:left w:val="nil"/>
              <w:bottom w:val="nil"/>
              <w:right w:val="nil"/>
              <w:tl2br w:val="nil"/>
              <w:tr2bl w:val="nil"/>
            </w:tcBorders>
            <w:shd w:val="clear" w:color="auto" w:fill="FFFFFF"/>
            <w:tcMar>
              <w:left w:w="101" w:type="dxa"/>
              <w:right w:w="101" w:type="dxa"/>
            </w:tcMar>
            <w:vAlign w:val="bottom"/>
          </w:tcPr>
          <w:p w14:paraId="630E4FCF" w14:textId="77777777" w:rsidR="003F0EEA" w:rsidRDefault="003F0EEA">
            <w:pPr>
              <w:rPr>
                <w:rFonts w:ascii="Arial" w:eastAsia="Arial" w:hAnsi="Arial" w:cs="Arial"/>
                <w:color w:val="000000"/>
                <w:sz w:val="16"/>
              </w:rPr>
            </w:pPr>
          </w:p>
        </w:tc>
      </w:tr>
      <w:tr w:rsidR="00FB7D0B" w14:paraId="523FFB4C" w14:textId="77777777" w:rsidTr="00FB7D0B">
        <w:trPr>
          <w:trHeight w:val="225"/>
        </w:trPr>
        <w:tc>
          <w:tcPr>
            <w:tcW w:w="180" w:type="dxa"/>
            <w:tcBorders>
              <w:top w:val="nil"/>
              <w:left w:val="nil"/>
              <w:bottom w:val="nil"/>
              <w:right w:val="nil"/>
              <w:tl2br w:val="nil"/>
              <w:tr2bl w:val="nil"/>
            </w:tcBorders>
            <w:shd w:val="clear" w:color="auto" w:fill="FFFFFF"/>
            <w:tcMar>
              <w:left w:w="101" w:type="dxa"/>
              <w:right w:w="101" w:type="dxa"/>
            </w:tcMar>
            <w:vAlign w:val="bottom"/>
          </w:tcPr>
          <w:p w14:paraId="47D7B693" w14:textId="77777777" w:rsidR="003F0EEA" w:rsidRDefault="003F0EEA">
            <w:pPr>
              <w:rPr>
                <w:rFonts w:ascii="Arial" w:eastAsia="Arial" w:hAnsi="Arial" w:cs="Arial"/>
                <w:color w:val="000000"/>
                <w:sz w:val="16"/>
              </w:rPr>
            </w:pPr>
          </w:p>
        </w:tc>
        <w:tc>
          <w:tcPr>
            <w:tcW w:w="2430" w:type="dxa"/>
            <w:gridSpan w:val="2"/>
            <w:tcBorders>
              <w:top w:val="nil"/>
              <w:left w:val="nil"/>
              <w:bottom w:val="nil"/>
              <w:right w:val="nil"/>
              <w:tl2br w:val="nil"/>
              <w:tr2bl w:val="nil"/>
            </w:tcBorders>
            <w:shd w:val="clear" w:color="auto" w:fill="FFFFFF"/>
            <w:tcMar>
              <w:left w:w="101" w:type="dxa"/>
              <w:right w:w="101" w:type="dxa"/>
            </w:tcMar>
            <w:vAlign w:val="bottom"/>
          </w:tcPr>
          <w:p w14:paraId="398411AD" w14:textId="77777777" w:rsidR="003F0EEA" w:rsidRDefault="00FB7D0B">
            <w:pPr>
              <w:rPr>
                <w:rFonts w:ascii="Arial" w:eastAsia="Arial" w:hAnsi="Arial" w:cs="Arial"/>
                <w:color w:val="000000"/>
                <w:sz w:val="16"/>
              </w:rPr>
            </w:pPr>
            <w:r>
              <w:rPr>
                <w:rFonts w:ascii="Arial" w:eastAsia="Arial" w:hAnsi="Arial" w:cs="Arial"/>
                <w:b/>
                <w:color w:val="000000"/>
                <w:sz w:val="16"/>
              </w:rPr>
              <w:t>administered on</w:t>
            </w:r>
          </w:p>
        </w:tc>
        <w:tc>
          <w:tcPr>
            <w:tcW w:w="1170"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1AA6DF62" w14:textId="77777777" w:rsidR="003F0EEA" w:rsidRDefault="003F0EEA">
            <w:pPr>
              <w:rPr>
                <w:rFonts w:ascii="Arial" w:eastAsia="Arial" w:hAnsi="Arial" w:cs="Arial"/>
                <w:b/>
                <w:color w:val="000000"/>
                <w:sz w:val="16"/>
              </w:rPr>
            </w:pPr>
          </w:p>
        </w:tc>
        <w:tc>
          <w:tcPr>
            <w:tcW w:w="1170" w:type="dxa"/>
            <w:tcBorders>
              <w:top w:val="nil"/>
              <w:left w:val="nil"/>
              <w:bottom w:val="single" w:sz="6" w:space="0" w:color="000000"/>
              <w:right w:val="nil"/>
              <w:tl2br w:val="nil"/>
              <w:tr2bl w:val="nil"/>
            </w:tcBorders>
            <w:shd w:val="clear" w:color="auto" w:fill="FFFF00"/>
            <w:tcMar>
              <w:left w:w="101" w:type="dxa"/>
              <w:right w:w="101" w:type="dxa"/>
            </w:tcMar>
            <w:vAlign w:val="bottom"/>
          </w:tcPr>
          <w:p w14:paraId="0ED47BA9" w14:textId="77777777" w:rsidR="003F0EEA" w:rsidRDefault="003F0EEA">
            <w:pPr>
              <w:rPr>
                <w:rFonts w:ascii="Arial" w:eastAsia="Arial" w:hAnsi="Arial" w:cs="Arial"/>
                <w:color w:val="000000"/>
                <w:sz w:val="16"/>
              </w:rPr>
            </w:pPr>
          </w:p>
        </w:tc>
        <w:tc>
          <w:tcPr>
            <w:tcW w:w="1170"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0898B9B2" w14:textId="77777777" w:rsidR="003F0EEA" w:rsidRDefault="003F0EEA">
            <w:pPr>
              <w:rPr>
                <w:rFonts w:ascii="Arial" w:eastAsia="Arial" w:hAnsi="Arial" w:cs="Arial"/>
                <w:color w:val="000000"/>
                <w:sz w:val="16"/>
              </w:rPr>
            </w:pPr>
          </w:p>
        </w:tc>
        <w:tc>
          <w:tcPr>
            <w:tcW w:w="1170"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66189716" w14:textId="77777777" w:rsidR="003F0EEA" w:rsidRDefault="003F0EEA">
            <w:pPr>
              <w:rPr>
                <w:rFonts w:ascii="Arial" w:eastAsia="Arial" w:hAnsi="Arial" w:cs="Arial"/>
                <w:color w:val="000000"/>
                <w:sz w:val="16"/>
              </w:rPr>
            </w:pPr>
          </w:p>
        </w:tc>
        <w:tc>
          <w:tcPr>
            <w:tcW w:w="1170"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58691463" w14:textId="77777777" w:rsidR="003F0EEA" w:rsidRDefault="003F0EEA">
            <w:pPr>
              <w:rPr>
                <w:rFonts w:ascii="Arial" w:eastAsia="Arial" w:hAnsi="Arial" w:cs="Arial"/>
                <w:color w:val="000000"/>
                <w:sz w:val="16"/>
              </w:rPr>
            </w:pPr>
          </w:p>
        </w:tc>
      </w:tr>
      <w:tr w:rsidR="00FB7D0B" w14:paraId="1F46EFAC" w14:textId="77777777" w:rsidTr="00FB7D0B">
        <w:trPr>
          <w:trHeight w:val="225"/>
        </w:trPr>
        <w:tc>
          <w:tcPr>
            <w:tcW w:w="180" w:type="dxa"/>
            <w:tcBorders>
              <w:top w:val="nil"/>
              <w:left w:val="nil"/>
              <w:bottom w:val="nil"/>
              <w:right w:val="nil"/>
              <w:tl2br w:val="nil"/>
              <w:tr2bl w:val="nil"/>
            </w:tcBorders>
            <w:shd w:val="clear" w:color="auto" w:fill="FFFFFF"/>
            <w:tcMar>
              <w:left w:w="101" w:type="dxa"/>
              <w:right w:w="101" w:type="dxa"/>
            </w:tcMar>
            <w:vAlign w:val="bottom"/>
          </w:tcPr>
          <w:p w14:paraId="7B986A92" w14:textId="77777777" w:rsidR="003F0EEA" w:rsidRDefault="003F0EEA">
            <w:pPr>
              <w:rPr>
                <w:rFonts w:ascii="Arial" w:eastAsia="Arial" w:hAnsi="Arial" w:cs="Arial"/>
                <w:color w:val="000000"/>
                <w:sz w:val="16"/>
              </w:rPr>
            </w:pPr>
          </w:p>
        </w:tc>
        <w:tc>
          <w:tcPr>
            <w:tcW w:w="2430" w:type="dxa"/>
            <w:gridSpan w:val="2"/>
            <w:tcBorders>
              <w:top w:val="nil"/>
              <w:left w:val="nil"/>
              <w:bottom w:val="nil"/>
              <w:right w:val="nil"/>
              <w:tl2br w:val="nil"/>
              <w:tr2bl w:val="nil"/>
            </w:tcBorders>
            <w:shd w:val="clear" w:color="auto" w:fill="FFFFFF"/>
            <w:tcMar>
              <w:left w:w="101" w:type="dxa"/>
              <w:right w:w="101" w:type="dxa"/>
            </w:tcMar>
            <w:vAlign w:val="bottom"/>
          </w:tcPr>
          <w:p w14:paraId="213D6CAF" w14:textId="77777777" w:rsidR="003F0EEA" w:rsidRDefault="00FB7D0B">
            <w:pPr>
              <w:rPr>
                <w:rFonts w:ascii="Arial" w:eastAsia="Arial" w:hAnsi="Arial" w:cs="Arial"/>
                <w:color w:val="000000"/>
                <w:sz w:val="16"/>
              </w:rPr>
            </w:pPr>
            <w:r>
              <w:rPr>
                <w:rFonts w:ascii="Arial" w:eastAsia="Arial" w:hAnsi="Arial" w:cs="Arial"/>
                <w:b/>
                <w:color w:val="000000"/>
                <w:sz w:val="16"/>
              </w:rPr>
              <w:t>behalf of government</w:t>
            </w:r>
          </w:p>
        </w:tc>
        <w:tc>
          <w:tcPr>
            <w:tcW w:w="1170"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4C7F42FA" w14:textId="77777777" w:rsidR="003F0EEA" w:rsidRDefault="00FB7D0B">
            <w:pPr>
              <w:jc w:val="right"/>
              <w:rPr>
                <w:rFonts w:ascii="Arial" w:eastAsia="Arial" w:hAnsi="Arial" w:cs="Arial"/>
                <w:b/>
                <w:color w:val="000000"/>
                <w:sz w:val="16"/>
              </w:rPr>
            </w:pPr>
            <w:r>
              <w:rPr>
                <w:rFonts w:ascii="Arial" w:eastAsia="Arial" w:hAnsi="Arial" w:cs="Arial"/>
                <w:b/>
                <w:color w:val="000000"/>
                <w:sz w:val="16"/>
              </w:rPr>
              <w:t xml:space="preserve"> 12,116,198 </w:t>
            </w:r>
          </w:p>
        </w:tc>
        <w:tc>
          <w:tcPr>
            <w:tcW w:w="1170" w:type="dxa"/>
            <w:tcBorders>
              <w:top w:val="single" w:sz="6" w:space="0" w:color="000000"/>
              <w:left w:val="nil"/>
              <w:bottom w:val="single" w:sz="6" w:space="0" w:color="000000"/>
              <w:right w:val="nil"/>
              <w:tl2br w:val="nil"/>
              <w:tr2bl w:val="nil"/>
            </w:tcBorders>
            <w:shd w:val="clear" w:color="auto" w:fill="FFFF00"/>
            <w:tcMar>
              <w:left w:w="101" w:type="dxa"/>
              <w:right w:w="101" w:type="dxa"/>
            </w:tcMar>
            <w:vAlign w:val="bottom"/>
          </w:tcPr>
          <w:p w14:paraId="49393CA6" w14:textId="77777777" w:rsidR="003F0EEA" w:rsidRDefault="00FB7D0B">
            <w:pPr>
              <w:jc w:val="right"/>
              <w:rPr>
                <w:rFonts w:ascii="Arial" w:eastAsia="Arial" w:hAnsi="Arial" w:cs="Arial"/>
                <w:b/>
                <w:color w:val="000000"/>
                <w:sz w:val="16"/>
              </w:rPr>
            </w:pPr>
            <w:r>
              <w:rPr>
                <w:rFonts w:ascii="Arial" w:eastAsia="Arial" w:hAnsi="Arial" w:cs="Arial"/>
                <w:b/>
                <w:color w:val="000000"/>
                <w:sz w:val="16"/>
              </w:rPr>
              <w:t xml:space="preserve"> 12,175,999 </w:t>
            </w:r>
          </w:p>
        </w:tc>
        <w:tc>
          <w:tcPr>
            <w:tcW w:w="1170"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33D87F40" w14:textId="77777777" w:rsidR="003F0EEA" w:rsidRDefault="00FB7D0B">
            <w:pPr>
              <w:jc w:val="right"/>
              <w:rPr>
                <w:rFonts w:ascii="Arial" w:eastAsia="Arial" w:hAnsi="Arial" w:cs="Arial"/>
                <w:b/>
                <w:color w:val="000000"/>
                <w:sz w:val="16"/>
              </w:rPr>
            </w:pPr>
            <w:r>
              <w:rPr>
                <w:rFonts w:ascii="Arial" w:eastAsia="Arial" w:hAnsi="Arial" w:cs="Arial"/>
                <w:b/>
                <w:color w:val="000000"/>
                <w:sz w:val="16"/>
              </w:rPr>
              <w:t xml:space="preserve"> 12,072,545 </w:t>
            </w:r>
          </w:p>
        </w:tc>
        <w:tc>
          <w:tcPr>
            <w:tcW w:w="1170"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13969704" w14:textId="77777777" w:rsidR="003F0EEA" w:rsidRDefault="00FB7D0B">
            <w:pPr>
              <w:jc w:val="right"/>
              <w:rPr>
                <w:rFonts w:ascii="Arial" w:eastAsia="Arial" w:hAnsi="Arial" w:cs="Arial"/>
                <w:b/>
                <w:color w:val="000000"/>
                <w:sz w:val="16"/>
              </w:rPr>
            </w:pPr>
            <w:r>
              <w:rPr>
                <w:rFonts w:ascii="Arial" w:eastAsia="Arial" w:hAnsi="Arial" w:cs="Arial"/>
                <w:b/>
                <w:color w:val="000000"/>
                <w:sz w:val="16"/>
              </w:rPr>
              <w:t xml:space="preserve"> 12,051,786 </w:t>
            </w:r>
          </w:p>
        </w:tc>
        <w:tc>
          <w:tcPr>
            <w:tcW w:w="1170"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132C22FD" w14:textId="77777777" w:rsidR="003F0EEA" w:rsidRDefault="00FB7D0B">
            <w:pPr>
              <w:jc w:val="right"/>
              <w:rPr>
                <w:rFonts w:ascii="Arial" w:eastAsia="Arial" w:hAnsi="Arial" w:cs="Arial"/>
                <w:b/>
                <w:color w:val="000000"/>
                <w:sz w:val="16"/>
              </w:rPr>
            </w:pPr>
            <w:r>
              <w:rPr>
                <w:rFonts w:ascii="Arial" w:eastAsia="Arial" w:hAnsi="Arial" w:cs="Arial"/>
                <w:b/>
                <w:color w:val="000000"/>
                <w:sz w:val="16"/>
              </w:rPr>
              <w:t xml:space="preserve"> 11,991,119 </w:t>
            </w:r>
          </w:p>
        </w:tc>
      </w:tr>
      <w:tr w:rsidR="00724034" w14:paraId="13287090" w14:textId="77777777">
        <w:trPr>
          <w:trHeight w:hRule="exact" w:val="225"/>
        </w:trPr>
        <w:tc>
          <w:tcPr>
            <w:tcW w:w="180" w:type="dxa"/>
            <w:tcBorders>
              <w:top w:val="nil"/>
              <w:left w:val="nil"/>
              <w:bottom w:val="nil"/>
              <w:right w:val="nil"/>
              <w:tl2br w:val="nil"/>
              <w:tr2bl w:val="nil"/>
            </w:tcBorders>
            <w:shd w:val="clear" w:color="auto" w:fill="FFFFFF"/>
            <w:tcMar>
              <w:left w:w="101" w:type="dxa"/>
              <w:right w:w="101" w:type="dxa"/>
            </w:tcMar>
            <w:vAlign w:val="bottom"/>
          </w:tcPr>
          <w:p w14:paraId="7F654FF4" w14:textId="77777777" w:rsidR="003F0EEA" w:rsidRDefault="003F0EEA">
            <w:pPr>
              <w:rPr>
                <w:rFonts w:ascii="Arial" w:eastAsia="Arial" w:hAnsi="Arial" w:cs="Arial"/>
                <w:b/>
                <w:color w:val="000000"/>
                <w:sz w:val="16"/>
              </w:rPr>
            </w:pPr>
          </w:p>
        </w:tc>
        <w:tc>
          <w:tcPr>
            <w:tcW w:w="180" w:type="dxa"/>
            <w:tcBorders>
              <w:top w:val="nil"/>
              <w:left w:val="nil"/>
              <w:bottom w:val="nil"/>
              <w:right w:val="nil"/>
              <w:tl2br w:val="nil"/>
              <w:tr2bl w:val="nil"/>
            </w:tcBorders>
            <w:shd w:val="clear" w:color="auto" w:fill="FFFFFF"/>
            <w:tcMar>
              <w:left w:w="101" w:type="dxa"/>
              <w:right w:w="101" w:type="dxa"/>
            </w:tcMar>
            <w:vAlign w:val="bottom"/>
          </w:tcPr>
          <w:p w14:paraId="6CB945DD" w14:textId="77777777" w:rsidR="003F0EEA" w:rsidRDefault="003F0EEA">
            <w:pPr>
              <w:rPr>
                <w:rFonts w:ascii="Arial" w:eastAsia="Arial" w:hAnsi="Arial" w:cs="Arial"/>
                <w:color w:val="000000"/>
                <w:sz w:val="16"/>
              </w:rPr>
            </w:pPr>
          </w:p>
        </w:tc>
        <w:tc>
          <w:tcPr>
            <w:tcW w:w="2250" w:type="dxa"/>
            <w:tcBorders>
              <w:top w:val="nil"/>
              <w:left w:val="nil"/>
              <w:bottom w:val="nil"/>
              <w:right w:val="nil"/>
              <w:tl2br w:val="nil"/>
              <w:tr2bl w:val="nil"/>
            </w:tcBorders>
            <w:shd w:val="clear" w:color="auto" w:fill="FFFFFF"/>
            <w:tcMar>
              <w:left w:w="101" w:type="dxa"/>
              <w:right w:w="101" w:type="dxa"/>
            </w:tcMar>
            <w:vAlign w:val="bottom"/>
          </w:tcPr>
          <w:p w14:paraId="1ABA23CD" w14:textId="77777777" w:rsidR="003F0EEA" w:rsidRDefault="003F0EEA">
            <w:pPr>
              <w:rPr>
                <w:rFonts w:ascii="Arial" w:eastAsia="Arial" w:hAnsi="Arial" w:cs="Arial"/>
                <w:b/>
                <w:color w:val="000000"/>
                <w:sz w:val="16"/>
              </w:rPr>
            </w:pPr>
          </w:p>
        </w:tc>
        <w:tc>
          <w:tcPr>
            <w:tcW w:w="1170"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71FC3454" w14:textId="77777777" w:rsidR="003F0EEA" w:rsidRDefault="003F0EEA">
            <w:pPr>
              <w:rPr>
                <w:rFonts w:ascii="Arial" w:eastAsia="Arial" w:hAnsi="Arial" w:cs="Arial"/>
                <w:b/>
                <w:color w:val="000000"/>
                <w:sz w:val="16"/>
              </w:rPr>
            </w:pPr>
          </w:p>
        </w:tc>
        <w:tc>
          <w:tcPr>
            <w:tcW w:w="1170" w:type="dxa"/>
            <w:tcBorders>
              <w:top w:val="single" w:sz="6" w:space="0" w:color="000000"/>
              <w:left w:val="nil"/>
              <w:bottom w:val="nil"/>
              <w:right w:val="nil"/>
              <w:tl2br w:val="nil"/>
              <w:tr2bl w:val="nil"/>
            </w:tcBorders>
            <w:shd w:val="clear" w:color="auto" w:fill="FFFF00"/>
            <w:tcMar>
              <w:left w:w="101" w:type="dxa"/>
              <w:right w:w="101" w:type="dxa"/>
            </w:tcMar>
            <w:vAlign w:val="bottom"/>
          </w:tcPr>
          <w:p w14:paraId="737077F1" w14:textId="77777777" w:rsidR="003F0EEA" w:rsidRDefault="003F0EEA">
            <w:pPr>
              <w:rPr>
                <w:rFonts w:ascii="Arial" w:eastAsia="Arial" w:hAnsi="Arial" w:cs="Arial"/>
                <w:b/>
                <w:color w:val="000000"/>
                <w:sz w:val="16"/>
              </w:rPr>
            </w:pPr>
          </w:p>
        </w:tc>
        <w:tc>
          <w:tcPr>
            <w:tcW w:w="1170"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3CB65B73" w14:textId="77777777" w:rsidR="003F0EEA" w:rsidRDefault="003F0EEA">
            <w:pPr>
              <w:rPr>
                <w:rFonts w:ascii="Arial" w:eastAsia="Arial" w:hAnsi="Arial" w:cs="Arial"/>
                <w:b/>
                <w:color w:val="000000"/>
                <w:sz w:val="16"/>
              </w:rPr>
            </w:pPr>
          </w:p>
        </w:tc>
        <w:tc>
          <w:tcPr>
            <w:tcW w:w="1170"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3ADF3134" w14:textId="77777777" w:rsidR="003F0EEA" w:rsidRDefault="003F0EEA">
            <w:pPr>
              <w:rPr>
                <w:rFonts w:ascii="Arial" w:eastAsia="Arial" w:hAnsi="Arial" w:cs="Arial"/>
                <w:b/>
                <w:color w:val="000000"/>
                <w:sz w:val="16"/>
              </w:rPr>
            </w:pPr>
          </w:p>
        </w:tc>
        <w:tc>
          <w:tcPr>
            <w:tcW w:w="1170"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1F6F7D59" w14:textId="77777777" w:rsidR="003F0EEA" w:rsidRDefault="003F0EEA">
            <w:pPr>
              <w:rPr>
                <w:rFonts w:ascii="Arial" w:eastAsia="Arial" w:hAnsi="Arial" w:cs="Arial"/>
                <w:b/>
                <w:color w:val="000000"/>
                <w:sz w:val="16"/>
              </w:rPr>
            </w:pPr>
          </w:p>
        </w:tc>
      </w:tr>
      <w:tr w:rsidR="00FB7D0B" w14:paraId="2A5935B2" w14:textId="77777777" w:rsidTr="00FB7D0B">
        <w:trPr>
          <w:trHeight w:val="225"/>
        </w:trPr>
        <w:tc>
          <w:tcPr>
            <w:tcW w:w="2610" w:type="dxa"/>
            <w:gridSpan w:val="3"/>
            <w:vMerge w:val="restart"/>
            <w:tcBorders>
              <w:top w:val="nil"/>
              <w:left w:val="nil"/>
              <w:bottom w:val="nil"/>
              <w:right w:val="nil"/>
              <w:tl2br w:val="nil"/>
              <w:tr2bl w:val="nil"/>
            </w:tcBorders>
            <w:shd w:val="clear" w:color="auto" w:fill="FFFFFF"/>
            <w:tcMar>
              <w:left w:w="101" w:type="dxa"/>
              <w:right w:w="101" w:type="dxa"/>
            </w:tcMar>
            <w:vAlign w:val="bottom"/>
          </w:tcPr>
          <w:p w14:paraId="117304C1" w14:textId="77777777" w:rsidR="003F0EEA" w:rsidRDefault="00FB7D0B">
            <w:pPr>
              <w:rPr>
                <w:rFonts w:ascii="Arial" w:eastAsia="Arial" w:hAnsi="Arial" w:cs="Arial"/>
                <w:b/>
                <w:color w:val="000000"/>
                <w:sz w:val="16"/>
              </w:rPr>
            </w:pPr>
            <w:r>
              <w:rPr>
                <w:rFonts w:ascii="Arial" w:eastAsia="Arial" w:hAnsi="Arial" w:cs="Arial"/>
                <w:b/>
                <w:color w:val="000000"/>
                <w:sz w:val="16"/>
              </w:rPr>
              <w:t>LESS:</w:t>
            </w:r>
          </w:p>
        </w:tc>
        <w:tc>
          <w:tcPr>
            <w:tcW w:w="1170" w:type="dxa"/>
            <w:tcBorders>
              <w:top w:val="nil"/>
              <w:left w:val="nil"/>
              <w:bottom w:val="nil"/>
              <w:right w:val="nil"/>
              <w:tl2br w:val="nil"/>
              <w:tr2bl w:val="nil"/>
            </w:tcBorders>
            <w:shd w:val="clear" w:color="auto" w:fill="FFFFFF"/>
            <w:tcMar>
              <w:left w:w="101" w:type="dxa"/>
              <w:right w:w="101" w:type="dxa"/>
            </w:tcMar>
            <w:vAlign w:val="bottom"/>
          </w:tcPr>
          <w:p w14:paraId="048A1BAF" w14:textId="77777777" w:rsidR="003F0EEA" w:rsidRDefault="003F0EEA">
            <w:pPr>
              <w:rPr>
                <w:rFonts w:ascii="Arial" w:eastAsia="Arial" w:hAnsi="Arial" w:cs="Arial"/>
                <w:b/>
                <w:color w:val="000000"/>
                <w:sz w:val="16"/>
              </w:rPr>
            </w:pPr>
          </w:p>
        </w:tc>
        <w:tc>
          <w:tcPr>
            <w:tcW w:w="1170" w:type="dxa"/>
            <w:tcBorders>
              <w:top w:val="nil"/>
              <w:left w:val="nil"/>
              <w:bottom w:val="nil"/>
              <w:right w:val="nil"/>
              <w:tl2br w:val="nil"/>
              <w:tr2bl w:val="nil"/>
            </w:tcBorders>
            <w:shd w:val="clear" w:color="auto" w:fill="FFFF00"/>
            <w:tcMar>
              <w:left w:w="101" w:type="dxa"/>
              <w:right w:w="101" w:type="dxa"/>
            </w:tcMar>
            <w:vAlign w:val="bottom"/>
          </w:tcPr>
          <w:p w14:paraId="4154CB8F" w14:textId="77777777" w:rsidR="003F0EEA" w:rsidRDefault="003F0EEA">
            <w:pPr>
              <w:rPr>
                <w:rFonts w:ascii="Arial" w:eastAsia="Arial" w:hAnsi="Arial" w:cs="Arial"/>
                <w:color w:val="000000"/>
                <w:sz w:val="16"/>
              </w:rPr>
            </w:pPr>
          </w:p>
        </w:tc>
        <w:tc>
          <w:tcPr>
            <w:tcW w:w="1170" w:type="dxa"/>
            <w:tcBorders>
              <w:top w:val="nil"/>
              <w:left w:val="nil"/>
              <w:bottom w:val="nil"/>
              <w:right w:val="nil"/>
              <w:tl2br w:val="nil"/>
              <w:tr2bl w:val="nil"/>
            </w:tcBorders>
            <w:shd w:val="clear" w:color="auto" w:fill="FFFFFF"/>
            <w:tcMar>
              <w:left w:w="101" w:type="dxa"/>
              <w:right w:w="101" w:type="dxa"/>
            </w:tcMar>
            <w:vAlign w:val="bottom"/>
          </w:tcPr>
          <w:p w14:paraId="6D12159F" w14:textId="77777777" w:rsidR="003F0EEA" w:rsidRDefault="003F0EEA">
            <w:pPr>
              <w:rPr>
                <w:rFonts w:ascii="Arial" w:eastAsia="Arial" w:hAnsi="Arial" w:cs="Arial"/>
                <w:color w:val="000000"/>
                <w:sz w:val="16"/>
              </w:rPr>
            </w:pPr>
          </w:p>
        </w:tc>
        <w:tc>
          <w:tcPr>
            <w:tcW w:w="1170" w:type="dxa"/>
            <w:tcBorders>
              <w:top w:val="nil"/>
              <w:left w:val="nil"/>
              <w:bottom w:val="nil"/>
              <w:right w:val="nil"/>
              <w:tl2br w:val="nil"/>
              <w:tr2bl w:val="nil"/>
            </w:tcBorders>
            <w:shd w:val="clear" w:color="auto" w:fill="FFFFFF"/>
            <w:tcMar>
              <w:left w:w="101" w:type="dxa"/>
              <w:right w:w="101" w:type="dxa"/>
            </w:tcMar>
            <w:vAlign w:val="bottom"/>
          </w:tcPr>
          <w:p w14:paraId="69D46B72" w14:textId="77777777" w:rsidR="003F0EEA" w:rsidRDefault="003F0EEA">
            <w:pPr>
              <w:rPr>
                <w:rFonts w:ascii="Arial" w:eastAsia="Arial" w:hAnsi="Arial" w:cs="Arial"/>
                <w:color w:val="000000"/>
                <w:sz w:val="16"/>
              </w:rPr>
            </w:pPr>
          </w:p>
        </w:tc>
        <w:tc>
          <w:tcPr>
            <w:tcW w:w="1170" w:type="dxa"/>
            <w:tcBorders>
              <w:top w:val="nil"/>
              <w:left w:val="nil"/>
              <w:bottom w:val="nil"/>
              <w:right w:val="nil"/>
              <w:tl2br w:val="nil"/>
              <w:tr2bl w:val="nil"/>
            </w:tcBorders>
            <w:shd w:val="clear" w:color="auto" w:fill="FFFFFF"/>
            <w:tcMar>
              <w:left w:w="101" w:type="dxa"/>
              <w:right w:w="101" w:type="dxa"/>
            </w:tcMar>
            <w:vAlign w:val="bottom"/>
          </w:tcPr>
          <w:p w14:paraId="152AE9D4" w14:textId="77777777" w:rsidR="003F0EEA" w:rsidRDefault="003F0EEA">
            <w:pPr>
              <w:rPr>
                <w:rFonts w:ascii="Arial" w:eastAsia="Arial" w:hAnsi="Arial" w:cs="Arial"/>
                <w:color w:val="000000"/>
                <w:sz w:val="16"/>
              </w:rPr>
            </w:pPr>
          </w:p>
        </w:tc>
      </w:tr>
      <w:tr w:rsidR="00FB7D0B" w14:paraId="786CF91B" w14:textId="77777777" w:rsidTr="00FB7D0B">
        <w:trPr>
          <w:trHeight w:val="225"/>
        </w:trPr>
        <w:tc>
          <w:tcPr>
            <w:tcW w:w="2610" w:type="dxa"/>
            <w:gridSpan w:val="3"/>
            <w:vMerge w:val="restart"/>
            <w:tcBorders>
              <w:top w:val="nil"/>
              <w:left w:val="nil"/>
              <w:bottom w:val="nil"/>
              <w:right w:val="nil"/>
              <w:tl2br w:val="nil"/>
              <w:tr2bl w:val="nil"/>
            </w:tcBorders>
            <w:shd w:val="clear" w:color="auto" w:fill="FFFFFF"/>
            <w:tcMar>
              <w:left w:w="101" w:type="dxa"/>
              <w:right w:w="101" w:type="dxa"/>
            </w:tcMar>
            <w:vAlign w:val="bottom"/>
          </w:tcPr>
          <w:p w14:paraId="3B6DB2AC" w14:textId="77777777" w:rsidR="003F0EEA" w:rsidRDefault="00FB7D0B">
            <w:pPr>
              <w:rPr>
                <w:rFonts w:ascii="Arial" w:eastAsia="Arial" w:hAnsi="Arial" w:cs="Arial"/>
                <w:color w:val="000000"/>
                <w:sz w:val="16"/>
              </w:rPr>
            </w:pPr>
            <w:r>
              <w:rPr>
                <w:rFonts w:ascii="Arial" w:eastAsia="Arial" w:hAnsi="Arial" w:cs="Arial"/>
                <w:b/>
                <w:color w:val="000000"/>
                <w:sz w:val="16"/>
              </w:rPr>
              <w:t>OWN-SOURCE INCOME</w:t>
            </w:r>
          </w:p>
        </w:tc>
        <w:tc>
          <w:tcPr>
            <w:tcW w:w="1170" w:type="dxa"/>
            <w:tcBorders>
              <w:top w:val="nil"/>
              <w:left w:val="nil"/>
              <w:bottom w:val="nil"/>
              <w:right w:val="nil"/>
              <w:tl2br w:val="nil"/>
              <w:tr2bl w:val="nil"/>
            </w:tcBorders>
            <w:shd w:val="clear" w:color="auto" w:fill="FFFFFF"/>
            <w:tcMar>
              <w:left w:w="101" w:type="dxa"/>
              <w:right w:w="101" w:type="dxa"/>
            </w:tcMar>
            <w:vAlign w:val="bottom"/>
          </w:tcPr>
          <w:p w14:paraId="7A6C557C" w14:textId="77777777" w:rsidR="003F0EEA" w:rsidRDefault="003F0EEA">
            <w:pPr>
              <w:rPr>
                <w:rFonts w:ascii="Arial" w:eastAsia="Arial" w:hAnsi="Arial" w:cs="Arial"/>
                <w:b/>
                <w:color w:val="000000"/>
                <w:sz w:val="16"/>
              </w:rPr>
            </w:pPr>
          </w:p>
        </w:tc>
        <w:tc>
          <w:tcPr>
            <w:tcW w:w="1170" w:type="dxa"/>
            <w:tcBorders>
              <w:top w:val="nil"/>
              <w:left w:val="nil"/>
              <w:bottom w:val="nil"/>
              <w:right w:val="nil"/>
              <w:tl2br w:val="nil"/>
              <w:tr2bl w:val="nil"/>
            </w:tcBorders>
            <w:shd w:val="clear" w:color="auto" w:fill="FFFF00"/>
            <w:tcMar>
              <w:left w:w="101" w:type="dxa"/>
              <w:right w:w="101" w:type="dxa"/>
            </w:tcMar>
            <w:vAlign w:val="bottom"/>
          </w:tcPr>
          <w:p w14:paraId="2918708E" w14:textId="77777777" w:rsidR="003F0EEA" w:rsidRDefault="003F0EEA">
            <w:pPr>
              <w:rPr>
                <w:rFonts w:ascii="Arial" w:eastAsia="Arial" w:hAnsi="Arial" w:cs="Arial"/>
                <w:b/>
                <w:color w:val="000000"/>
                <w:sz w:val="16"/>
              </w:rPr>
            </w:pPr>
          </w:p>
        </w:tc>
        <w:tc>
          <w:tcPr>
            <w:tcW w:w="1170" w:type="dxa"/>
            <w:tcBorders>
              <w:top w:val="nil"/>
              <w:left w:val="nil"/>
              <w:bottom w:val="nil"/>
              <w:right w:val="nil"/>
              <w:tl2br w:val="nil"/>
              <w:tr2bl w:val="nil"/>
            </w:tcBorders>
            <w:shd w:val="clear" w:color="auto" w:fill="FFFFFF"/>
            <w:tcMar>
              <w:left w:w="101" w:type="dxa"/>
              <w:right w:w="101" w:type="dxa"/>
            </w:tcMar>
            <w:vAlign w:val="bottom"/>
          </w:tcPr>
          <w:p w14:paraId="29A2D0D4" w14:textId="77777777" w:rsidR="003F0EEA" w:rsidRDefault="003F0EEA">
            <w:pPr>
              <w:rPr>
                <w:rFonts w:ascii="Arial" w:eastAsia="Arial" w:hAnsi="Arial" w:cs="Arial"/>
                <w:color w:val="000000"/>
                <w:sz w:val="16"/>
              </w:rPr>
            </w:pPr>
          </w:p>
        </w:tc>
        <w:tc>
          <w:tcPr>
            <w:tcW w:w="1170" w:type="dxa"/>
            <w:tcBorders>
              <w:top w:val="nil"/>
              <w:left w:val="nil"/>
              <w:bottom w:val="nil"/>
              <w:right w:val="nil"/>
              <w:tl2br w:val="nil"/>
              <w:tr2bl w:val="nil"/>
            </w:tcBorders>
            <w:shd w:val="clear" w:color="auto" w:fill="FFFFFF"/>
            <w:tcMar>
              <w:left w:w="101" w:type="dxa"/>
              <w:right w:w="101" w:type="dxa"/>
            </w:tcMar>
            <w:vAlign w:val="bottom"/>
          </w:tcPr>
          <w:p w14:paraId="6632154D" w14:textId="77777777" w:rsidR="003F0EEA" w:rsidRDefault="003F0EEA">
            <w:pPr>
              <w:rPr>
                <w:rFonts w:ascii="Arial" w:eastAsia="Arial" w:hAnsi="Arial" w:cs="Arial"/>
                <w:color w:val="000000"/>
                <w:sz w:val="16"/>
              </w:rPr>
            </w:pPr>
          </w:p>
        </w:tc>
        <w:tc>
          <w:tcPr>
            <w:tcW w:w="1170" w:type="dxa"/>
            <w:tcBorders>
              <w:top w:val="nil"/>
              <w:left w:val="nil"/>
              <w:bottom w:val="nil"/>
              <w:right w:val="nil"/>
              <w:tl2br w:val="nil"/>
              <w:tr2bl w:val="nil"/>
            </w:tcBorders>
            <w:shd w:val="clear" w:color="auto" w:fill="FFFFFF"/>
            <w:tcMar>
              <w:left w:w="101" w:type="dxa"/>
              <w:right w:w="101" w:type="dxa"/>
            </w:tcMar>
            <w:vAlign w:val="bottom"/>
          </w:tcPr>
          <w:p w14:paraId="2A682555" w14:textId="77777777" w:rsidR="003F0EEA" w:rsidRDefault="003F0EEA">
            <w:pPr>
              <w:rPr>
                <w:rFonts w:ascii="Arial" w:eastAsia="Arial" w:hAnsi="Arial" w:cs="Arial"/>
                <w:color w:val="000000"/>
                <w:sz w:val="16"/>
              </w:rPr>
            </w:pPr>
          </w:p>
        </w:tc>
      </w:tr>
      <w:tr w:rsidR="00FB7D0B" w14:paraId="4FB92266" w14:textId="77777777" w:rsidTr="00FB7D0B">
        <w:trPr>
          <w:trHeight w:val="225"/>
        </w:trPr>
        <w:tc>
          <w:tcPr>
            <w:tcW w:w="2610" w:type="dxa"/>
            <w:gridSpan w:val="3"/>
            <w:tcBorders>
              <w:top w:val="nil"/>
              <w:left w:val="nil"/>
              <w:bottom w:val="nil"/>
              <w:right w:val="nil"/>
              <w:tl2br w:val="nil"/>
              <w:tr2bl w:val="nil"/>
            </w:tcBorders>
            <w:shd w:val="clear" w:color="auto" w:fill="FFFFFF"/>
            <w:tcMar>
              <w:left w:w="101" w:type="dxa"/>
              <w:right w:w="101" w:type="dxa"/>
            </w:tcMar>
            <w:vAlign w:val="bottom"/>
          </w:tcPr>
          <w:p w14:paraId="079D68BD" w14:textId="77777777" w:rsidR="003F0EEA" w:rsidRDefault="00FB7D0B">
            <w:pPr>
              <w:rPr>
                <w:rFonts w:ascii="Arial" w:eastAsia="Arial" w:hAnsi="Arial" w:cs="Arial"/>
                <w:color w:val="000000"/>
                <w:sz w:val="16"/>
              </w:rPr>
            </w:pPr>
            <w:r>
              <w:rPr>
                <w:rFonts w:ascii="Arial" w:eastAsia="Arial" w:hAnsi="Arial" w:cs="Arial"/>
                <w:b/>
                <w:color w:val="000000"/>
                <w:sz w:val="16"/>
              </w:rPr>
              <w:t>Own-source revenue</w:t>
            </w:r>
          </w:p>
        </w:tc>
        <w:tc>
          <w:tcPr>
            <w:tcW w:w="1170" w:type="dxa"/>
            <w:tcBorders>
              <w:top w:val="nil"/>
              <w:left w:val="nil"/>
              <w:bottom w:val="nil"/>
              <w:right w:val="nil"/>
              <w:tl2br w:val="nil"/>
              <w:tr2bl w:val="nil"/>
            </w:tcBorders>
            <w:shd w:val="clear" w:color="auto" w:fill="FFFFFF"/>
            <w:tcMar>
              <w:left w:w="101" w:type="dxa"/>
              <w:right w:w="101" w:type="dxa"/>
            </w:tcMar>
            <w:vAlign w:val="bottom"/>
          </w:tcPr>
          <w:p w14:paraId="3CC7CBBD" w14:textId="77777777" w:rsidR="003F0EEA" w:rsidRDefault="003F0EEA">
            <w:pPr>
              <w:rPr>
                <w:rFonts w:ascii="Arial" w:eastAsia="Arial" w:hAnsi="Arial" w:cs="Arial"/>
                <w:b/>
                <w:color w:val="000000"/>
                <w:sz w:val="16"/>
              </w:rPr>
            </w:pPr>
          </w:p>
        </w:tc>
        <w:tc>
          <w:tcPr>
            <w:tcW w:w="1170" w:type="dxa"/>
            <w:tcBorders>
              <w:top w:val="nil"/>
              <w:left w:val="nil"/>
              <w:bottom w:val="nil"/>
              <w:right w:val="nil"/>
              <w:tl2br w:val="nil"/>
              <w:tr2bl w:val="nil"/>
            </w:tcBorders>
            <w:shd w:val="clear" w:color="auto" w:fill="FFFF00"/>
            <w:tcMar>
              <w:left w:w="101" w:type="dxa"/>
              <w:right w:w="101" w:type="dxa"/>
            </w:tcMar>
            <w:vAlign w:val="bottom"/>
          </w:tcPr>
          <w:p w14:paraId="57DFEA86" w14:textId="77777777" w:rsidR="003F0EEA" w:rsidRDefault="003F0EEA">
            <w:pPr>
              <w:rPr>
                <w:rFonts w:ascii="Arial" w:eastAsia="Arial" w:hAnsi="Arial" w:cs="Arial"/>
                <w:color w:val="000000"/>
                <w:sz w:val="16"/>
              </w:rPr>
            </w:pPr>
          </w:p>
        </w:tc>
        <w:tc>
          <w:tcPr>
            <w:tcW w:w="1170" w:type="dxa"/>
            <w:tcBorders>
              <w:top w:val="nil"/>
              <w:left w:val="nil"/>
              <w:bottom w:val="nil"/>
              <w:right w:val="nil"/>
              <w:tl2br w:val="nil"/>
              <w:tr2bl w:val="nil"/>
            </w:tcBorders>
            <w:shd w:val="clear" w:color="auto" w:fill="FFFFFF"/>
            <w:tcMar>
              <w:left w:w="101" w:type="dxa"/>
              <w:right w:w="101" w:type="dxa"/>
            </w:tcMar>
            <w:vAlign w:val="bottom"/>
          </w:tcPr>
          <w:p w14:paraId="443500DA" w14:textId="77777777" w:rsidR="003F0EEA" w:rsidRDefault="003F0EEA">
            <w:pPr>
              <w:rPr>
                <w:rFonts w:ascii="Arial" w:eastAsia="Arial" w:hAnsi="Arial" w:cs="Arial"/>
                <w:color w:val="000000"/>
                <w:sz w:val="16"/>
              </w:rPr>
            </w:pPr>
          </w:p>
        </w:tc>
        <w:tc>
          <w:tcPr>
            <w:tcW w:w="1170" w:type="dxa"/>
            <w:tcBorders>
              <w:top w:val="nil"/>
              <w:left w:val="nil"/>
              <w:bottom w:val="nil"/>
              <w:right w:val="nil"/>
              <w:tl2br w:val="nil"/>
              <w:tr2bl w:val="nil"/>
            </w:tcBorders>
            <w:shd w:val="clear" w:color="auto" w:fill="FFFFFF"/>
            <w:tcMar>
              <w:left w:w="101" w:type="dxa"/>
              <w:right w:w="101" w:type="dxa"/>
            </w:tcMar>
            <w:vAlign w:val="bottom"/>
          </w:tcPr>
          <w:p w14:paraId="406E93CC" w14:textId="77777777" w:rsidR="003F0EEA" w:rsidRDefault="003F0EEA">
            <w:pPr>
              <w:rPr>
                <w:rFonts w:ascii="Arial" w:eastAsia="Arial" w:hAnsi="Arial" w:cs="Arial"/>
                <w:color w:val="000000"/>
                <w:sz w:val="16"/>
              </w:rPr>
            </w:pPr>
          </w:p>
        </w:tc>
        <w:tc>
          <w:tcPr>
            <w:tcW w:w="1170" w:type="dxa"/>
            <w:tcBorders>
              <w:top w:val="nil"/>
              <w:left w:val="nil"/>
              <w:bottom w:val="nil"/>
              <w:right w:val="nil"/>
              <w:tl2br w:val="nil"/>
              <w:tr2bl w:val="nil"/>
            </w:tcBorders>
            <w:shd w:val="clear" w:color="auto" w:fill="FFFFFF"/>
            <w:tcMar>
              <w:left w:w="101" w:type="dxa"/>
              <w:right w:w="101" w:type="dxa"/>
            </w:tcMar>
            <w:vAlign w:val="bottom"/>
          </w:tcPr>
          <w:p w14:paraId="6D28C276" w14:textId="77777777" w:rsidR="003F0EEA" w:rsidRDefault="003F0EEA">
            <w:pPr>
              <w:rPr>
                <w:rFonts w:ascii="Arial" w:eastAsia="Arial" w:hAnsi="Arial" w:cs="Arial"/>
                <w:color w:val="000000"/>
                <w:sz w:val="16"/>
              </w:rPr>
            </w:pPr>
          </w:p>
        </w:tc>
      </w:tr>
      <w:tr w:rsidR="00FB7D0B" w14:paraId="50837C09" w14:textId="77777777" w:rsidTr="00FB7D0B">
        <w:trPr>
          <w:trHeight w:val="225"/>
        </w:trPr>
        <w:tc>
          <w:tcPr>
            <w:tcW w:w="2610" w:type="dxa"/>
            <w:gridSpan w:val="3"/>
            <w:tcBorders>
              <w:top w:val="nil"/>
              <w:left w:val="nil"/>
              <w:bottom w:val="nil"/>
              <w:right w:val="nil"/>
              <w:tl2br w:val="nil"/>
              <w:tr2bl w:val="nil"/>
            </w:tcBorders>
            <w:shd w:val="clear" w:color="auto" w:fill="FFFFFF"/>
            <w:tcMar>
              <w:left w:w="101" w:type="dxa"/>
              <w:right w:w="101" w:type="dxa"/>
            </w:tcMar>
            <w:vAlign w:val="bottom"/>
          </w:tcPr>
          <w:p w14:paraId="0C6994E0" w14:textId="77777777" w:rsidR="003F0EEA" w:rsidRDefault="00FB7D0B">
            <w:pPr>
              <w:rPr>
                <w:rFonts w:ascii="Arial" w:eastAsia="Arial" w:hAnsi="Arial" w:cs="Arial"/>
                <w:color w:val="000000"/>
                <w:sz w:val="16"/>
              </w:rPr>
            </w:pPr>
            <w:r>
              <w:rPr>
                <w:rFonts w:ascii="Arial" w:eastAsia="Arial" w:hAnsi="Arial" w:cs="Arial"/>
                <w:b/>
                <w:color w:val="000000"/>
                <w:sz w:val="16"/>
              </w:rPr>
              <w:t>Non-taxation revenue</w:t>
            </w:r>
          </w:p>
        </w:tc>
        <w:tc>
          <w:tcPr>
            <w:tcW w:w="1170" w:type="dxa"/>
            <w:tcBorders>
              <w:top w:val="nil"/>
              <w:left w:val="nil"/>
              <w:bottom w:val="nil"/>
              <w:right w:val="nil"/>
              <w:tl2br w:val="nil"/>
              <w:tr2bl w:val="nil"/>
            </w:tcBorders>
            <w:shd w:val="clear" w:color="auto" w:fill="FFFFFF"/>
            <w:tcMar>
              <w:left w:w="101" w:type="dxa"/>
              <w:right w:w="101" w:type="dxa"/>
            </w:tcMar>
            <w:vAlign w:val="bottom"/>
          </w:tcPr>
          <w:p w14:paraId="4981057B" w14:textId="77777777" w:rsidR="003F0EEA" w:rsidRDefault="003F0EEA">
            <w:pPr>
              <w:rPr>
                <w:rFonts w:ascii="Arial" w:eastAsia="Arial" w:hAnsi="Arial" w:cs="Arial"/>
                <w:b/>
                <w:color w:val="000000"/>
                <w:sz w:val="16"/>
              </w:rPr>
            </w:pPr>
          </w:p>
        </w:tc>
        <w:tc>
          <w:tcPr>
            <w:tcW w:w="1170" w:type="dxa"/>
            <w:tcBorders>
              <w:top w:val="nil"/>
              <w:left w:val="nil"/>
              <w:bottom w:val="nil"/>
              <w:right w:val="nil"/>
              <w:tl2br w:val="nil"/>
              <w:tr2bl w:val="nil"/>
            </w:tcBorders>
            <w:shd w:val="clear" w:color="auto" w:fill="FFFF00"/>
            <w:tcMar>
              <w:left w:w="101" w:type="dxa"/>
              <w:right w:w="101" w:type="dxa"/>
            </w:tcMar>
            <w:vAlign w:val="bottom"/>
          </w:tcPr>
          <w:p w14:paraId="75BC0AAF" w14:textId="77777777" w:rsidR="003F0EEA" w:rsidRDefault="003F0EEA">
            <w:pPr>
              <w:rPr>
                <w:rFonts w:ascii="Arial" w:eastAsia="Arial" w:hAnsi="Arial" w:cs="Arial"/>
                <w:color w:val="000000"/>
                <w:sz w:val="16"/>
              </w:rPr>
            </w:pPr>
          </w:p>
        </w:tc>
        <w:tc>
          <w:tcPr>
            <w:tcW w:w="1170" w:type="dxa"/>
            <w:tcBorders>
              <w:top w:val="nil"/>
              <w:left w:val="nil"/>
              <w:bottom w:val="nil"/>
              <w:right w:val="nil"/>
              <w:tl2br w:val="nil"/>
              <w:tr2bl w:val="nil"/>
            </w:tcBorders>
            <w:shd w:val="clear" w:color="auto" w:fill="FFFFFF"/>
            <w:tcMar>
              <w:left w:w="101" w:type="dxa"/>
              <w:right w:w="101" w:type="dxa"/>
            </w:tcMar>
            <w:vAlign w:val="bottom"/>
          </w:tcPr>
          <w:p w14:paraId="49F2D4F5" w14:textId="77777777" w:rsidR="003F0EEA" w:rsidRDefault="003F0EEA">
            <w:pPr>
              <w:rPr>
                <w:rFonts w:ascii="Arial" w:eastAsia="Arial" w:hAnsi="Arial" w:cs="Arial"/>
                <w:color w:val="000000"/>
                <w:sz w:val="16"/>
              </w:rPr>
            </w:pPr>
          </w:p>
        </w:tc>
        <w:tc>
          <w:tcPr>
            <w:tcW w:w="1170" w:type="dxa"/>
            <w:tcBorders>
              <w:top w:val="nil"/>
              <w:left w:val="nil"/>
              <w:bottom w:val="nil"/>
              <w:right w:val="nil"/>
              <w:tl2br w:val="nil"/>
              <w:tr2bl w:val="nil"/>
            </w:tcBorders>
            <w:shd w:val="clear" w:color="auto" w:fill="FFFFFF"/>
            <w:tcMar>
              <w:left w:w="101" w:type="dxa"/>
              <w:right w:w="101" w:type="dxa"/>
            </w:tcMar>
            <w:vAlign w:val="bottom"/>
          </w:tcPr>
          <w:p w14:paraId="03E09EBD" w14:textId="77777777" w:rsidR="003F0EEA" w:rsidRDefault="003F0EEA">
            <w:pPr>
              <w:rPr>
                <w:rFonts w:ascii="Arial" w:eastAsia="Arial" w:hAnsi="Arial" w:cs="Arial"/>
                <w:color w:val="000000"/>
                <w:sz w:val="16"/>
              </w:rPr>
            </w:pPr>
          </w:p>
        </w:tc>
        <w:tc>
          <w:tcPr>
            <w:tcW w:w="1170" w:type="dxa"/>
            <w:tcBorders>
              <w:top w:val="nil"/>
              <w:left w:val="nil"/>
              <w:bottom w:val="nil"/>
              <w:right w:val="nil"/>
              <w:tl2br w:val="nil"/>
              <w:tr2bl w:val="nil"/>
            </w:tcBorders>
            <w:shd w:val="clear" w:color="auto" w:fill="FFFFFF"/>
            <w:tcMar>
              <w:left w:w="101" w:type="dxa"/>
              <w:right w:w="101" w:type="dxa"/>
            </w:tcMar>
            <w:vAlign w:val="bottom"/>
          </w:tcPr>
          <w:p w14:paraId="5B366311" w14:textId="77777777" w:rsidR="003F0EEA" w:rsidRDefault="003F0EEA">
            <w:pPr>
              <w:rPr>
                <w:rFonts w:ascii="Arial" w:eastAsia="Arial" w:hAnsi="Arial" w:cs="Arial"/>
                <w:color w:val="000000"/>
                <w:sz w:val="16"/>
              </w:rPr>
            </w:pPr>
          </w:p>
        </w:tc>
      </w:tr>
      <w:tr w:rsidR="00FB7D0B" w14:paraId="1FC3443E" w14:textId="77777777" w:rsidTr="00FB7D0B">
        <w:trPr>
          <w:trHeight w:val="225"/>
        </w:trPr>
        <w:tc>
          <w:tcPr>
            <w:tcW w:w="180" w:type="dxa"/>
            <w:tcBorders>
              <w:top w:val="nil"/>
              <w:left w:val="nil"/>
              <w:bottom w:val="nil"/>
              <w:right w:val="nil"/>
              <w:tl2br w:val="nil"/>
              <w:tr2bl w:val="nil"/>
            </w:tcBorders>
            <w:shd w:val="clear" w:color="auto" w:fill="FFFFFF"/>
            <w:tcMar>
              <w:left w:w="101" w:type="dxa"/>
              <w:right w:w="101" w:type="dxa"/>
            </w:tcMar>
            <w:vAlign w:val="bottom"/>
          </w:tcPr>
          <w:p w14:paraId="5F3A3E95" w14:textId="77777777" w:rsidR="003F0EEA" w:rsidRDefault="003F0EEA">
            <w:pPr>
              <w:rPr>
                <w:rFonts w:ascii="Arial" w:eastAsia="Arial" w:hAnsi="Arial" w:cs="Arial"/>
                <w:color w:val="000000"/>
                <w:sz w:val="16"/>
              </w:rPr>
            </w:pPr>
          </w:p>
        </w:tc>
        <w:tc>
          <w:tcPr>
            <w:tcW w:w="2430" w:type="dxa"/>
            <w:gridSpan w:val="2"/>
            <w:vMerge w:val="restart"/>
            <w:tcBorders>
              <w:top w:val="nil"/>
              <w:left w:val="nil"/>
              <w:bottom w:val="nil"/>
              <w:right w:val="nil"/>
              <w:tl2br w:val="nil"/>
              <w:tr2bl w:val="nil"/>
            </w:tcBorders>
            <w:shd w:val="clear" w:color="auto" w:fill="FFFFFF"/>
            <w:tcMar>
              <w:left w:w="101" w:type="dxa"/>
              <w:right w:w="101" w:type="dxa"/>
            </w:tcMar>
            <w:vAlign w:val="bottom"/>
          </w:tcPr>
          <w:p w14:paraId="587FC7BF" w14:textId="77777777" w:rsidR="003F0EEA" w:rsidRDefault="00FB7D0B">
            <w:pPr>
              <w:rPr>
                <w:rFonts w:ascii="Arial" w:eastAsia="Arial" w:hAnsi="Arial" w:cs="Arial"/>
                <w:color w:val="000000"/>
                <w:sz w:val="16"/>
              </w:rPr>
            </w:pPr>
            <w:r>
              <w:rPr>
                <w:rFonts w:ascii="Arial" w:eastAsia="Arial" w:hAnsi="Arial" w:cs="Arial"/>
                <w:color w:val="000000"/>
                <w:sz w:val="16"/>
              </w:rPr>
              <w:t>Other sources of</w:t>
            </w:r>
          </w:p>
        </w:tc>
        <w:tc>
          <w:tcPr>
            <w:tcW w:w="1170" w:type="dxa"/>
            <w:tcBorders>
              <w:top w:val="nil"/>
              <w:left w:val="nil"/>
              <w:bottom w:val="nil"/>
              <w:right w:val="nil"/>
              <w:tl2br w:val="nil"/>
              <w:tr2bl w:val="nil"/>
            </w:tcBorders>
            <w:shd w:val="clear" w:color="auto" w:fill="FFFFFF"/>
            <w:tcMar>
              <w:left w:w="101" w:type="dxa"/>
              <w:right w:w="101" w:type="dxa"/>
            </w:tcMar>
            <w:vAlign w:val="bottom"/>
          </w:tcPr>
          <w:p w14:paraId="391EE0A0" w14:textId="77777777" w:rsidR="003F0EEA" w:rsidRDefault="003F0EEA">
            <w:pPr>
              <w:rPr>
                <w:rFonts w:ascii="Arial" w:eastAsia="Arial" w:hAnsi="Arial" w:cs="Arial"/>
                <w:color w:val="000000"/>
                <w:sz w:val="16"/>
              </w:rPr>
            </w:pPr>
          </w:p>
        </w:tc>
        <w:tc>
          <w:tcPr>
            <w:tcW w:w="1170" w:type="dxa"/>
            <w:tcBorders>
              <w:top w:val="nil"/>
              <w:left w:val="nil"/>
              <w:bottom w:val="nil"/>
              <w:right w:val="nil"/>
              <w:tl2br w:val="nil"/>
              <w:tr2bl w:val="nil"/>
            </w:tcBorders>
            <w:shd w:val="clear" w:color="auto" w:fill="FFFF00"/>
            <w:tcMar>
              <w:left w:w="101" w:type="dxa"/>
              <w:right w:w="101" w:type="dxa"/>
            </w:tcMar>
            <w:vAlign w:val="bottom"/>
          </w:tcPr>
          <w:p w14:paraId="709C25BA" w14:textId="77777777" w:rsidR="003F0EEA" w:rsidRDefault="003F0EEA">
            <w:pPr>
              <w:rPr>
                <w:rFonts w:ascii="Arial" w:eastAsia="Arial" w:hAnsi="Arial" w:cs="Arial"/>
                <w:color w:val="000000"/>
                <w:sz w:val="16"/>
              </w:rPr>
            </w:pPr>
          </w:p>
        </w:tc>
        <w:tc>
          <w:tcPr>
            <w:tcW w:w="1170" w:type="dxa"/>
            <w:tcBorders>
              <w:top w:val="nil"/>
              <w:left w:val="nil"/>
              <w:bottom w:val="nil"/>
              <w:right w:val="nil"/>
              <w:tl2br w:val="nil"/>
              <w:tr2bl w:val="nil"/>
            </w:tcBorders>
            <w:shd w:val="clear" w:color="auto" w:fill="FFFFFF"/>
            <w:tcMar>
              <w:left w:w="101" w:type="dxa"/>
              <w:right w:w="101" w:type="dxa"/>
            </w:tcMar>
            <w:vAlign w:val="bottom"/>
          </w:tcPr>
          <w:p w14:paraId="316034FA" w14:textId="77777777" w:rsidR="003F0EEA" w:rsidRDefault="003F0EEA">
            <w:pPr>
              <w:rPr>
                <w:rFonts w:ascii="Arial" w:eastAsia="Arial" w:hAnsi="Arial" w:cs="Arial"/>
                <w:color w:val="000000"/>
                <w:sz w:val="16"/>
              </w:rPr>
            </w:pPr>
          </w:p>
        </w:tc>
        <w:tc>
          <w:tcPr>
            <w:tcW w:w="1170" w:type="dxa"/>
            <w:tcBorders>
              <w:top w:val="nil"/>
              <w:left w:val="nil"/>
              <w:bottom w:val="nil"/>
              <w:right w:val="nil"/>
              <w:tl2br w:val="nil"/>
              <w:tr2bl w:val="nil"/>
            </w:tcBorders>
            <w:shd w:val="clear" w:color="auto" w:fill="FFFFFF"/>
            <w:tcMar>
              <w:left w:w="101" w:type="dxa"/>
              <w:right w:w="101" w:type="dxa"/>
            </w:tcMar>
            <w:vAlign w:val="bottom"/>
          </w:tcPr>
          <w:p w14:paraId="52DD1D95" w14:textId="77777777" w:rsidR="003F0EEA" w:rsidRDefault="003F0EEA">
            <w:pPr>
              <w:rPr>
                <w:rFonts w:ascii="Arial" w:eastAsia="Arial" w:hAnsi="Arial" w:cs="Arial"/>
                <w:color w:val="000000"/>
                <w:sz w:val="16"/>
              </w:rPr>
            </w:pPr>
          </w:p>
        </w:tc>
        <w:tc>
          <w:tcPr>
            <w:tcW w:w="1170" w:type="dxa"/>
            <w:tcBorders>
              <w:top w:val="nil"/>
              <w:left w:val="nil"/>
              <w:bottom w:val="nil"/>
              <w:right w:val="nil"/>
              <w:tl2br w:val="nil"/>
              <w:tr2bl w:val="nil"/>
            </w:tcBorders>
            <w:shd w:val="clear" w:color="auto" w:fill="FFFFFF"/>
            <w:tcMar>
              <w:left w:w="101" w:type="dxa"/>
              <w:right w:w="101" w:type="dxa"/>
            </w:tcMar>
            <w:vAlign w:val="bottom"/>
          </w:tcPr>
          <w:p w14:paraId="07C4B0E7" w14:textId="77777777" w:rsidR="003F0EEA" w:rsidRDefault="003F0EEA">
            <w:pPr>
              <w:rPr>
                <w:rFonts w:ascii="Arial" w:eastAsia="Arial" w:hAnsi="Arial" w:cs="Arial"/>
                <w:color w:val="000000"/>
                <w:sz w:val="16"/>
              </w:rPr>
            </w:pPr>
          </w:p>
        </w:tc>
      </w:tr>
      <w:tr w:rsidR="00FB7D0B" w14:paraId="3BEE1922" w14:textId="77777777" w:rsidTr="00FB7D0B">
        <w:trPr>
          <w:trHeight w:val="225"/>
        </w:trPr>
        <w:tc>
          <w:tcPr>
            <w:tcW w:w="180" w:type="dxa"/>
            <w:tcBorders>
              <w:top w:val="nil"/>
              <w:left w:val="nil"/>
              <w:bottom w:val="nil"/>
              <w:right w:val="nil"/>
              <w:tl2br w:val="nil"/>
              <w:tr2bl w:val="nil"/>
            </w:tcBorders>
            <w:shd w:val="clear" w:color="auto" w:fill="FFFFFF"/>
            <w:tcMar>
              <w:left w:w="101" w:type="dxa"/>
              <w:right w:w="101" w:type="dxa"/>
            </w:tcMar>
            <w:vAlign w:val="bottom"/>
          </w:tcPr>
          <w:p w14:paraId="211DCC73" w14:textId="77777777" w:rsidR="003F0EEA" w:rsidRDefault="003F0EEA">
            <w:pPr>
              <w:rPr>
                <w:rFonts w:ascii="Arial" w:eastAsia="Arial" w:hAnsi="Arial" w:cs="Arial"/>
                <w:color w:val="000000"/>
                <w:sz w:val="16"/>
              </w:rPr>
            </w:pPr>
          </w:p>
        </w:tc>
        <w:tc>
          <w:tcPr>
            <w:tcW w:w="2430" w:type="dxa"/>
            <w:gridSpan w:val="2"/>
            <w:vMerge w:val="restart"/>
            <w:tcBorders>
              <w:top w:val="nil"/>
              <w:left w:val="nil"/>
              <w:bottom w:val="nil"/>
              <w:right w:val="nil"/>
              <w:tl2br w:val="nil"/>
              <w:tr2bl w:val="nil"/>
            </w:tcBorders>
            <w:shd w:val="clear" w:color="auto" w:fill="FFFFFF"/>
            <w:tcMar>
              <w:left w:w="101" w:type="dxa"/>
              <w:right w:w="101" w:type="dxa"/>
            </w:tcMar>
            <w:vAlign w:val="bottom"/>
          </w:tcPr>
          <w:p w14:paraId="0F392E06" w14:textId="77777777" w:rsidR="003F0EEA" w:rsidRDefault="00FB7D0B">
            <w:pPr>
              <w:rPr>
                <w:rFonts w:ascii="Arial" w:eastAsia="Arial" w:hAnsi="Arial" w:cs="Arial"/>
                <w:color w:val="000000"/>
                <w:sz w:val="16"/>
              </w:rPr>
            </w:pPr>
            <w:r>
              <w:rPr>
                <w:rFonts w:ascii="Arial" w:eastAsia="Arial" w:hAnsi="Arial" w:cs="Arial"/>
                <w:color w:val="000000"/>
                <w:sz w:val="16"/>
              </w:rPr>
              <w:t>non-taxation revenue</w:t>
            </w:r>
          </w:p>
        </w:tc>
        <w:tc>
          <w:tcPr>
            <w:tcW w:w="1170" w:type="dxa"/>
            <w:tcBorders>
              <w:top w:val="nil"/>
              <w:left w:val="nil"/>
              <w:bottom w:val="nil"/>
              <w:right w:val="nil"/>
              <w:tl2br w:val="nil"/>
              <w:tr2bl w:val="nil"/>
            </w:tcBorders>
            <w:shd w:val="clear" w:color="auto" w:fill="FFFFFF"/>
            <w:tcMar>
              <w:left w:w="101" w:type="dxa"/>
              <w:right w:w="101" w:type="dxa"/>
            </w:tcMar>
            <w:vAlign w:val="bottom"/>
          </w:tcPr>
          <w:p w14:paraId="1FA75248" w14:textId="77777777" w:rsidR="003F0EEA" w:rsidRDefault="00FB7D0B">
            <w:pPr>
              <w:jc w:val="right"/>
              <w:rPr>
                <w:rFonts w:ascii="Arial" w:eastAsia="Arial" w:hAnsi="Arial" w:cs="Arial"/>
                <w:color w:val="000000"/>
                <w:sz w:val="16"/>
              </w:rPr>
            </w:pPr>
            <w:r>
              <w:rPr>
                <w:rFonts w:ascii="Arial" w:eastAsia="Arial" w:hAnsi="Arial" w:cs="Arial"/>
                <w:color w:val="000000"/>
                <w:sz w:val="16"/>
              </w:rPr>
              <w:t xml:space="preserve"> 9,471 </w:t>
            </w:r>
          </w:p>
        </w:tc>
        <w:tc>
          <w:tcPr>
            <w:tcW w:w="1170" w:type="dxa"/>
            <w:tcBorders>
              <w:top w:val="nil"/>
              <w:left w:val="nil"/>
              <w:bottom w:val="nil"/>
              <w:right w:val="nil"/>
              <w:tl2br w:val="nil"/>
              <w:tr2bl w:val="nil"/>
            </w:tcBorders>
            <w:shd w:val="clear" w:color="auto" w:fill="FFFF00"/>
            <w:tcMar>
              <w:left w:w="101" w:type="dxa"/>
              <w:right w:w="101" w:type="dxa"/>
            </w:tcMar>
            <w:vAlign w:val="bottom"/>
          </w:tcPr>
          <w:p w14:paraId="710C4D2D" w14:textId="77777777" w:rsidR="003F0EEA" w:rsidRDefault="00FB7D0B">
            <w:pPr>
              <w:jc w:val="right"/>
              <w:rPr>
                <w:rFonts w:ascii="Arial" w:eastAsia="Arial" w:hAnsi="Arial" w:cs="Arial"/>
                <w:color w:val="000000"/>
                <w:sz w:val="16"/>
              </w:rPr>
            </w:pPr>
            <w:r>
              <w:rPr>
                <w:rFonts w:ascii="Arial" w:eastAsia="Arial" w:hAnsi="Arial" w:cs="Arial"/>
                <w:color w:val="000000"/>
                <w:sz w:val="16"/>
              </w:rPr>
              <w:t xml:space="preserve"> 9,471 </w:t>
            </w:r>
          </w:p>
        </w:tc>
        <w:tc>
          <w:tcPr>
            <w:tcW w:w="1170" w:type="dxa"/>
            <w:tcBorders>
              <w:top w:val="nil"/>
              <w:left w:val="nil"/>
              <w:bottom w:val="nil"/>
              <w:right w:val="nil"/>
              <w:tl2br w:val="nil"/>
              <w:tr2bl w:val="nil"/>
            </w:tcBorders>
            <w:shd w:val="clear" w:color="auto" w:fill="FFFFFF"/>
            <w:tcMar>
              <w:left w:w="101" w:type="dxa"/>
              <w:right w:w="101" w:type="dxa"/>
            </w:tcMar>
            <w:vAlign w:val="bottom"/>
          </w:tcPr>
          <w:p w14:paraId="7FF999F3" w14:textId="77777777" w:rsidR="003F0EEA" w:rsidRDefault="00FB7D0B">
            <w:pPr>
              <w:jc w:val="right"/>
              <w:rPr>
                <w:rFonts w:ascii="Arial" w:eastAsia="Arial" w:hAnsi="Arial" w:cs="Arial"/>
                <w:color w:val="000000"/>
                <w:sz w:val="16"/>
              </w:rPr>
            </w:pPr>
            <w:r>
              <w:rPr>
                <w:rFonts w:ascii="Arial" w:eastAsia="Arial" w:hAnsi="Arial" w:cs="Arial"/>
                <w:color w:val="000000"/>
                <w:sz w:val="16"/>
              </w:rPr>
              <w:t xml:space="preserve"> 9,471 </w:t>
            </w:r>
          </w:p>
        </w:tc>
        <w:tc>
          <w:tcPr>
            <w:tcW w:w="1170" w:type="dxa"/>
            <w:tcBorders>
              <w:top w:val="nil"/>
              <w:left w:val="nil"/>
              <w:bottom w:val="nil"/>
              <w:right w:val="nil"/>
              <w:tl2br w:val="nil"/>
              <w:tr2bl w:val="nil"/>
            </w:tcBorders>
            <w:shd w:val="clear" w:color="auto" w:fill="FFFFFF"/>
            <w:tcMar>
              <w:left w:w="101" w:type="dxa"/>
              <w:right w:w="101" w:type="dxa"/>
            </w:tcMar>
            <w:vAlign w:val="bottom"/>
          </w:tcPr>
          <w:p w14:paraId="259400FB" w14:textId="77777777" w:rsidR="003F0EEA" w:rsidRDefault="00FB7D0B">
            <w:pPr>
              <w:jc w:val="right"/>
              <w:rPr>
                <w:rFonts w:ascii="Arial" w:eastAsia="Arial" w:hAnsi="Arial" w:cs="Arial"/>
                <w:color w:val="000000"/>
                <w:sz w:val="16"/>
              </w:rPr>
            </w:pPr>
            <w:r>
              <w:rPr>
                <w:rFonts w:ascii="Arial" w:eastAsia="Arial" w:hAnsi="Arial" w:cs="Arial"/>
                <w:color w:val="000000"/>
                <w:sz w:val="16"/>
              </w:rPr>
              <w:t xml:space="preserve"> 9,471 </w:t>
            </w:r>
          </w:p>
        </w:tc>
        <w:tc>
          <w:tcPr>
            <w:tcW w:w="1170" w:type="dxa"/>
            <w:tcBorders>
              <w:top w:val="nil"/>
              <w:left w:val="nil"/>
              <w:bottom w:val="nil"/>
              <w:right w:val="nil"/>
              <w:tl2br w:val="nil"/>
              <w:tr2bl w:val="nil"/>
            </w:tcBorders>
            <w:shd w:val="clear" w:color="auto" w:fill="FFFFFF"/>
            <w:tcMar>
              <w:left w:w="101" w:type="dxa"/>
              <w:right w:w="101" w:type="dxa"/>
            </w:tcMar>
            <w:vAlign w:val="bottom"/>
          </w:tcPr>
          <w:p w14:paraId="39F660D8" w14:textId="77777777" w:rsidR="003F0EEA" w:rsidRDefault="00FB7D0B">
            <w:pPr>
              <w:jc w:val="right"/>
              <w:rPr>
                <w:rFonts w:ascii="Arial" w:eastAsia="Arial" w:hAnsi="Arial" w:cs="Arial"/>
                <w:color w:val="000000"/>
                <w:sz w:val="16"/>
              </w:rPr>
            </w:pPr>
            <w:r>
              <w:rPr>
                <w:rFonts w:ascii="Arial" w:eastAsia="Arial" w:hAnsi="Arial" w:cs="Arial"/>
                <w:color w:val="000000"/>
                <w:sz w:val="16"/>
              </w:rPr>
              <w:t xml:space="preserve"> 9,471 </w:t>
            </w:r>
          </w:p>
        </w:tc>
      </w:tr>
      <w:tr w:rsidR="00FB7D0B" w14:paraId="4624FB0A" w14:textId="77777777" w:rsidTr="00FB7D0B">
        <w:trPr>
          <w:trHeight w:val="225"/>
        </w:trPr>
        <w:tc>
          <w:tcPr>
            <w:tcW w:w="2610" w:type="dxa"/>
            <w:gridSpan w:val="3"/>
            <w:tcBorders>
              <w:top w:val="nil"/>
              <w:left w:val="nil"/>
              <w:bottom w:val="nil"/>
              <w:right w:val="nil"/>
              <w:tl2br w:val="nil"/>
              <w:tr2bl w:val="nil"/>
            </w:tcBorders>
            <w:shd w:val="clear" w:color="auto" w:fill="FFFFFF"/>
            <w:tcMar>
              <w:left w:w="101" w:type="dxa"/>
              <w:right w:w="101" w:type="dxa"/>
            </w:tcMar>
            <w:vAlign w:val="bottom"/>
          </w:tcPr>
          <w:p w14:paraId="3846FEF3" w14:textId="77777777" w:rsidR="003F0EEA" w:rsidRDefault="00FB7D0B">
            <w:pPr>
              <w:rPr>
                <w:rFonts w:ascii="Arial" w:eastAsia="Arial" w:hAnsi="Arial" w:cs="Arial"/>
                <w:color w:val="000000"/>
                <w:sz w:val="16"/>
              </w:rPr>
            </w:pPr>
            <w:r>
              <w:rPr>
                <w:rFonts w:ascii="Arial" w:eastAsia="Arial" w:hAnsi="Arial" w:cs="Arial"/>
                <w:b/>
                <w:i/>
                <w:color w:val="000000"/>
                <w:sz w:val="16"/>
              </w:rPr>
              <w:t>Total non-taxation revenue</w:t>
            </w:r>
          </w:p>
        </w:tc>
        <w:tc>
          <w:tcPr>
            <w:tcW w:w="1170"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16AF82B4" w14:textId="77777777" w:rsidR="003F0EEA" w:rsidRDefault="00FB7D0B">
            <w:pPr>
              <w:jc w:val="right"/>
              <w:rPr>
                <w:rFonts w:ascii="Arial" w:eastAsia="Arial" w:hAnsi="Arial" w:cs="Arial"/>
                <w:b/>
                <w:i/>
                <w:color w:val="000000"/>
                <w:sz w:val="16"/>
              </w:rPr>
            </w:pPr>
            <w:r>
              <w:rPr>
                <w:rFonts w:ascii="Arial" w:eastAsia="Arial" w:hAnsi="Arial" w:cs="Arial"/>
                <w:b/>
                <w:color w:val="000000"/>
                <w:sz w:val="16"/>
              </w:rPr>
              <w:t xml:space="preserve"> 9,471 </w:t>
            </w:r>
          </w:p>
        </w:tc>
        <w:tc>
          <w:tcPr>
            <w:tcW w:w="1170" w:type="dxa"/>
            <w:tcBorders>
              <w:top w:val="single" w:sz="6" w:space="0" w:color="000000"/>
              <w:left w:val="nil"/>
              <w:bottom w:val="single" w:sz="6" w:space="0" w:color="000000"/>
              <w:right w:val="nil"/>
              <w:tl2br w:val="nil"/>
              <w:tr2bl w:val="nil"/>
            </w:tcBorders>
            <w:shd w:val="clear" w:color="auto" w:fill="FFFF00"/>
            <w:tcMar>
              <w:left w:w="101" w:type="dxa"/>
              <w:right w:w="101" w:type="dxa"/>
            </w:tcMar>
            <w:vAlign w:val="bottom"/>
          </w:tcPr>
          <w:p w14:paraId="6635DF5F" w14:textId="77777777" w:rsidR="003F0EEA" w:rsidRDefault="00FB7D0B">
            <w:pPr>
              <w:jc w:val="right"/>
              <w:rPr>
                <w:rFonts w:ascii="Arial" w:eastAsia="Arial" w:hAnsi="Arial" w:cs="Arial"/>
                <w:b/>
                <w:color w:val="000000"/>
                <w:sz w:val="16"/>
              </w:rPr>
            </w:pPr>
            <w:r>
              <w:rPr>
                <w:rFonts w:ascii="Arial" w:eastAsia="Arial" w:hAnsi="Arial" w:cs="Arial"/>
                <w:b/>
                <w:color w:val="000000"/>
                <w:sz w:val="16"/>
              </w:rPr>
              <w:t xml:space="preserve"> 9,471 </w:t>
            </w:r>
          </w:p>
        </w:tc>
        <w:tc>
          <w:tcPr>
            <w:tcW w:w="1170"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3BC73141" w14:textId="77777777" w:rsidR="003F0EEA" w:rsidRDefault="00FB7D0B">
            <w:pPr>
              <w:jc w:val="right"/>
              <w:rPr>
                <w:rFonts w:ascii="Arial" w:eastAsia="Arial" w:hAnsi="Arial" w:cs="Arial"/>
                <w:b/>
                <w:color w:val="000000"/>
                <w:sz w:val="16"/>
              </w:rPr>
            </w:pPr>
            <w:r>
              <w:rPr>
                <w:rFonts w:ascii="Arial" w:eastAsia="Arial" w:hAnsi="Arial" w:cs="Arial"/>
                <w:b/>
                <w:color w:val="000000"/>
                <w:sz w:val="16"/>
              </w:rPr>
              <w:t xml:space="preserve"> 9,471 </w:t>
            </w:r>
          </w:p>
        </w:tc>
        <w:tc>
          <w:tcPr>
            <w:tcW w:w="1170"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63B95A1C" w14:textId="77777777" w:rsidR="003F0EEA" w:rsidRDefault="00FB7D0B">
            <w:pPr>
              <w:jc w:val="right"/>
              <w:rPr>
                <w:rFonts w:ascii="Arial" w:eastAsia="Arial" w:hAnsi="Arial" w:cs="Arial"/>
                <w:b/>
                <w:color w:val="000000"/>
                <w:sz w:val="16"/>
              </w:rPr>
            </w:pPr>
            <w:r>
              <w:rPr>
                <w:rFonts w:ascii="Arial" w:eastAsia="Arial" w:hAnsi="Arial" w:cs="Arial"/>
                <w:b/>
                <w:color w:val="000000"/>
                <w:sz w:val="16"/>
              </w:rPr>
              <w:t xml:space="preserve"> 9,471 </w:t>
            </w:r>
          </w:p>
        </w:tc>
        <w:tc>
          <w:tcPr>
            <w:tcW w:w="1170"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58C2D9A9" w14:textId="77777777" w:rsidR="003F0EEA" w:rsidRDefault="00FB7D0B">
            <w:pPr>
              <w:jc w:val="right"/>
              <w:rPr>
                <w:rFonts w:ascii="Arial" w:eastAsia="Arial" w:hAnsi="Arial" w:cs="Arial"/>
                <w:b/>
                <w:color w:val="000000"/>
                <w:sz w:val="16"/>
              </w:rPr>
            </w:pPr>
            <w:r>
              <w:rPr>
                <w:rFonts w:ascii="Arial" w:eastAsia="Arial" w:hAnsi="Arial" w:cs="Arial"/>
                <w:b/>
                <w:color w:val="000000"/>
                <w:sz w:val="16"/>
              </w:rPr>
              <w:t xml:space="preserve"> 9,471 </w:t>
            </w:r>
          </w:p>
        </w:tc>
      </w:tr>
      <w:tr w:rsidR="00FB7D0B" w14:paraId="1AC907B6" w14:textId="77777777" w:rsidTr="00FB7D0B">
        <w:trPr>
          <w:trHeight w:val="225"/>
        </w:trPr>
        <w:tc>
          <w:tcPr>
            <w:tcW w:w="2610" w:type="dxa"/>
            <w:gridSpan w:val="3"/>
            <w:tcBorders>
              <w:top w:val="nil"/>
              <w:left w:val="nil"/>
              <w:bottom w:val="nil"/>
              <w:right w:val="nil"/>
              <w:tl2br w:val="nil"/>
              <w:tr2bl w:val="nil"/>
            </w:tcBorders>
            <w:shd w:val="clear" w:color="auto" w:fill="FFFFFF"/>
            <w:tcMar>
              <w:left w:w="101" w:type="dxa"/>
              <w:right w:w="101" w:type="dxa"/>
            </w:tcMar>
            <w:vAlign w:val="bottom"/>
          </w:tcPr>
          <w:p w14:paraId="13BF95E3" w14:textId="77777777" w:rsidR="003F0EEA" w:rsidRDefault="00FB7D0B">
            <w:pPr>
              <w:rPr>
                <w:rFonts w:ascii="Arial" w:eastAsia="Arial" w:hAnsi="Arial" w:cs="Arial"/>
                <w:b/>
                <w:color w:val="000000"/>
                <w:sz w:val="16"/>
              </w:rPr>
            </w:pPr>
            <w:r>
              <w:rPr>
                <w:rFonts w:ascii="Arial" w:eastAsia="Arial" w:hAnsi="Arial" w:cs="Arial"/>
                <w:b/>
                <w:color w:val="000000"/>
                <w:sz w:val="16"/>
              </w:rPr>
              <w:t xml:space="preserve">Total own-source revenues </w:t>
            </w:r>
          </w:p>
        </w:tc>
        <w:tc>
          <w:tcPr>
            <w:tcW w:w="1170"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37E5E47B" w14:textId="77777777" w:rsidR="003F0EEA" w:rsidRDefault="003F0EEA">
            <w:pPr>
              <w:rPr>
                <w:rFonts w:ascii="Arial" w:eastAsia="Arial" w:hAnsi="Arial" w:cs="Arial"/>
                <w:b/>
                <w:color w:val="000000"/>
                <w:sz w:val="16"/>
              </w:rPr>
            </w:pPr>
          </w:p>
        </w:tc>
        <w:tc>
          <w:tcPr>
            <w:tcW w:w="1170" w:type="dxa"/>
            <w:tcBorders>
              <w:top w:val="single" w:sz="6" w:space="0" w:color="000000"/>
              <w:left w:val="nil"/>
              <w:bottom w:val="nil"/>
              <w:right w:val="nil"/>
              <w:tl2br w:val="nil"/>
              <w:tr2bl w:val="nil"/>
            </w:tcBorders>
            <w:shd w:val="clear" w:color="auto" w:fill="FFFF00"/>
            <w:tcMar>
              <w:left w:w="101" w:type="dxa"/>
              <w:right w:w="101" w:type="dxa"/>
            </w:tcMar>
            <w:vAlign w:val="bottom"/>
          </w:tcPr>
          <w:p w14:paraId="097B134F" w14:textId="77777777" w:rsidR="003F0EEA" w:rsidRDefault="003F0EEA">
            <w:pPr>
              <w:rPr>
                <w:rFonts w:ascii="Arial" w:eastAsia="Arial" w:hAnsi="Arial" w:cs="Arial"/>
                <w:color w:val="000000"/>
                <w:sz w:val="16"/>
              </w:rPr>
            </w:pPr>
          </w:p>
        </w:tc>
        <w:tc>
          <w:tcPr>
            <w:tcW w:w="1170"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51A08242" w14:textId="77777777" w:rsidR="003F0EEA" w:rsidRDefault="003F0EEA">
            <w:pPr>
              <w:rPr>
                <w:rFonts w:ascii="Arial" w:eastAsia="Arial" w:hAnsi="Arial" w:cs="Arial"/>
                <w:color w:val="000000"/>
                <w:sz w:val="16"/>
              </w:rPr>
            </w:pPr>
          </w:p>
        </w:tc>
        <w:tc>
          <w:tcPr>
            <w:tcW w:w="1170"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15B1FF89" w14:textId="77777777" w:rsidR="003F0EEA" w:rsidRDefault="003F0EEA">
            <w:pPr>
              <w:rPr>
                <w:rFonts w:ascii="Arial" w:eastAsia="Arial" w:hAnsi="Arial" w:cs="Arial"/>
                <w:color w:val="000000"/>
                <w:sz w:val="16"/>
              </w:rPr>
            </w:pPr>
          </w:p>
        </w:tc>
        <w:tc>
          <w:tcPr>
            <w:tcW w:w="1170"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68A4F146" w14:textId="77777777" w:rsidR="003F0EEA" w:rsidRDefault="003F0EEA">
            <w:pPr>
              <w:rPr>
                <w:rFonts w:ascii="Arial" w:eastAsia="Arial" w:hAnsi="Arial" w:cs="Arial"/>
                <w:color w:val="000000"/>
                <w:sz w:val="16"/>
              </w:rPr>
            </w:pPr>
          </w:p>
        </w:tc>
      </w:tr>
      <w:tr w:rsidR="00FB7D0B" w14:paraId="019E2233" w14:textId="77777777" w:rsidTr="00FB7D0B">
        <w:trPr>
          <w:trHeight w:val="225"/>
        </w:trPr>
        <w:tc>
          <w:tcPr>
            <w:tcW w:w="180" w:type="dxa"/>
            <w:tcBorders>
              <w:top w:val="nil"/>
              <w:left w:val="nil"/>
              <w:bottom w:val="nil"/>
              <w:right w:val="nil"/>
              <w:tl2br w:val="nil"/>
              <w:tr2bl w:val="nil"/>
            </w:tcBorders>
            <w:shd w:val="clear" w:color="auto" w:fill="FFFFFF"/>
            <w:tcMar>
              <w:left w:w="101" w:type="dxa"/>
              <w:right w:w="101" w:type="dxa"/>
            </w:tcMar>
            <w:vAlign w:val="bottom"/>
          </w:tcPr>
          <w:p w14:paraId="2D399F92" w14:textId="77777777" w:rsidR="003F0EEA" w:rsidRDefault="003F0EEA">
            <w:pPr>
              <w:rPr>
                <w:rFonts w:ascii="Arial" w:eastAsia="Arial" w:hAnsi="Arial" w:cs="Arial"/>
                <w:color w:val="000000"/>
                <w:sz w:val="16"/>
              </w:rPr>
            </w:pPr>
          </w:p>
        </w:tc>
        <w:tc>
          <w:tcPr>
            <w:tcW w:w="2430" w:type="dxa"/>
            <w:gridSpan w:val="2"/>
            <w:tcBorders>
              <w:top w:val="nil"/>
              <w:left w:val="nil"/>
              <w:bottom w:val="nil"/>
              <w:right w:val="nil"/>
              <w:tl2br w:val="nil"/>
              <w:tr2bl w:val="nil"/>
            </w:tcBorders>
            <w:shd w:val="clear" w:color="auto" w:fill="FFFFFF"/>
            <w:tcMar>
              <w:left w:w="101" w:type="dxa"/>
              <w:right w:w="101" w:type="dxa"/>
            </w:tcMar>
            <w:vAlign w:val="bottom"/>
          </w:tcPr>
          <w:p w14:paraId="16AB5E56" w14:textId="77777777" w:rsidR="003F0EEA" w:rsidRDefault="00FB7D0B">
            <w:pPr>
              <w:rPr>
                <w:rFonts w:ascii="Arial" w:eastAsia="Arial" w:hAnsi="Arial" w:cs="Arial"/>
                <w:color w:val="000000"/>
                <w:sz w:val="16"/>
              </w:rPr>
            </w:pPr>
            <w:r>
              <w:rPr>
                <w:rFonts w:ascii="Arial" w:eastAsia="Arial" w:hAnsi="Arial" w:cs="Arial"/>
                <w:b/>
                <w:color w:val="000000"/>
                <w:sz w:val="16"/>
              </w:rPr>
              <w:t>administered on behalf of</w:t>
            </w:r>
          </w:p>
        </w:tc>
        <w:tc>
          <w:tcPr>
            <w:tcW w:w="1170"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474EC8DB" w14:textId="77777777" w:rsidR="003F0EEA" w:rsidRDefault="003F0EEA">
            <w:pPr>
              <w:rPr>
                <w:rFonts w:ascii="Arial" w:eastAsia="Arial" w:hAnsi="Arial" w:cs="Arial"/>
                <w:b/>
                <w:color w:val="000000"/>
                <w:sz w:val="16"/>
              </w:rPr>
            </w:pPr>
          </w:p>
        </w:tc>
        <w:tc>
          <w:tcPr>
            <w:tcW w:w="1170" w:type="dxa"/>
            <w:tcBorders>
              <w:top w:val="nil"/>
              <w:left w:val="nil"/>
              <w:bottom w:val="single" w:sz="6" w:space="0" w:color="000000"/>
              <w:right w:val="nil"/>
              <w:tl2br w:val="nil"/>
              <w:tr2bl w:val="nil"/>
            </w:tcBorders>
            <w:shd w:val="clear" w:color="auto" w:fill="FFFF00"/>
            <w:tcMar>
              <w:left w:w="101" w:type="dxa"/>
              <w:right w:w="101" w:type="dxa"/>
            </w:tcMar>
            <w:vAlign w:val="bottom"/>
          </w:tcPr>
          <w:p w14:paraId="347C5B91" w14:textId="77777777" w:rsidR="003F0EEA" w:rsidRDefault="003F0EEA">
            <w:pPr>
              <w:rPr>
                <w:rFonts w:ascii="Arial" w:eastAsia="Arial" w:hAnsi="Arial" w:cs="Arial"/>
                <w:color w:val="000000"/>
                <w:sz w:val="16"/>
              </w:rPr>
            </w:pPr>
          </w:p>
        </w:tc>
        <w:tc>
          <w:tcPr>
            <w:tcW w:w="1170"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21D193A2" w14:textId="77777777" w:rsidR="003F0EEA" w:rsidRDefault="003F0EEA">
            <w:pPr>
              <w:rPr>
                <w:rFonts w:ascii="Arial" w:eastAsia="Arial" w:hAnsi="Arial" w:cs="Arial"/>
                <w:color w:val="000000"/>
                <w:sz w:val="16"/>
              </w:rPr>
            </w:pPr>
          </w:p>
        </w:tc>
        <w:tc>
          <w:tcPr>
            <w:tcW w:w="1170"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00196C0C" w14:textId="77777777" w:rsidR="003F0EEA" w:rsidRDefault="003F0EEA">
            <w:pPr>
              <w:rPr>
                <w:rFonts w:ascii="Arial" w:eastAsia="Arial" w:hAnsi="Arial" w:cs="Arial"/>
                <w:color w:val="000000"/>
                <w:sz w:val="16"/>
              </w:rPr>
            </w:pPr>
          </w:p>
        </w:tc>
        <w:tc>
          <w:tcPr>
            <w:tcW w:w="1170"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6A52B2B1" w14:textId="77777777" w:rsidR="003F0EEA" w:rsidRDefault="003F0EEA">
            <w:pPr>
              <w:rPr>
                <w:rFonts w:ascii="Arial" w:eastAsia="Arial" w:hAnsi="Arial" w:cs="Arial"/>
                <w:color w:val="000000"/>
                <w:sz w:val="16"/>
              </w:rPr>
            </w:pPr>
          </w:p>
        </w:tc>
      </w:tr>
      <w:tr w:rsidR="00FB7D0B" w14:paraId="03C42413" w14:textId="77777777" w:rsidTr="00FB7D0B">
        <w:trPr>
          <w:trHeight w:val="225"/>
        </w:trPr>
        <w:tc>
          <w:tcPr>
            <w:tcW w:w="180" w:type="dxa"/>
            <w:tcBorders>
              <w:top w:val="nil"/>
              <w:left w:val="nil"/>
              <w:bottom w:val="nil"/>
              <w:right w:val="nil"/>
              <w:tl2br w:val="nil"/>
              <w:tr2bl w:val="nil"/>
            </w:tcBorders>
            <w:shd w:val="clear" w:color="auto" w:fill="FFFFFF"/>
            <w:tcMar>
              <w:left w:w="101" w:type="dxa"/>
              <w:right w:w="101" w:type="dxa"/>
            </w:tcMar>
            <w:vAlign w:val="bottom"/>
          </w:tcPr>
          <w:p w14:paraId="2A929CE0" w14:textId="77777777" w:rsidR="003F0EEA" w:rsidRDefault="003F0EEA">
            <w:pPr>
              <w:rPr>
                <w:rFonts w:ascii="Arial" w:eastAsia="Arial" w:hAnsi="Arial" w:cs="Arial"/>
                <w:color w:val="000000"/>
                <w:sz w:val="16"/>
              </w:rPr>
            </w:pPr>
          </w:p>
        </w:tc>
        <w:tc>
          <w:tcPr>
            <w:tcW w:w="2430" w:type="dxa"/>
            <w:gridSpan w:val="2"/>
            <w:tcBorders>
              <w:top w:val="nil"/>
              <w:left w:val="nil"/>
              <w:bottom w:val="nil"/>
              <w:right w:val="nil"/>
              <w:tl2br w:val="nil"/>
              <w:tr2bl w:val="nil"/>
            </w:tcBorders>
            <w:shd w:val="clear" w:color="auto" w:fill="FFFFFF"/>
            <w:tcMar>
              <w:left w:w="101" w:type="dxa"/>
              <w:right w:w="101" w:type="dxa"/>
            </w:tcMar>
            <w:vAlign w:val="bottom"/>
          </w:tcPr>
          <w:p w14:paraId="55990681" w14:textId="77777777" w:rsidR="003F0EEA" w:rsidRDefault="00FB7D0B">
            <w:pPr>
              <w:rPr>
                <w:rFonts w:ascii="Arial" w:eastAsia="Arial" w:hAnsi="Arial" w:cs="Arial"/>
                <w:color w:val="000000"/>
                <w:sz w:val="16"/>
              </w:rPr>
            </w:pPr>
            <w:r>
              <w:rPr>
                <w:rFonts w:ascii="Arial" w:eastAsia="Arial" w:hAnsi="Arial" w:cs="Arial"/>
                <w:b/>
                <w:color w:val="000000"/>
                <w:sz w:val="16"/>
              </w:rPr>
              <w:t>Government</w:t>
            </w:r>
          </w:p>
        </w:tc>
        <w:tc>
          <w:tcPr>
            <w:tcW w:w="1170"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6A9B72FE" w14:textId="77777777" w:rsidR="003F0EEA" w:rsidRDefault="00FB7D0B">
            <w:pPr>
              <w:jc w:val="right"/>
              <w:rPr>
                <w:rFonts w:ascii="Arial" w:eastAsia="Arial" w:hAnsi="Arial" w:cs="Arial"/>
                <w:b/>
                <w:color w:val="000000"/>
                <w:sz w:val="16"/>
              </w:rPr>
            </w:pPr>
            <w:r>
              <w:rPr>
                <w:rFonts w:ascii="Arial" w:eastAsia="Arial" w:hAnsi="Arial" w:cs="Arial"/>
                <w:b/>
                <w:color w:val="000000"/>
                <w:sz w:val="16"/>
              </w:rPr>
              <w:t xml:space="preserve"> 9,471 </w:t>
            </w:r>
          </w:p>
        </w:tc>
        <w:tc>
          <w:tcPr>
            <w:tcW w:w="1170" w:type="dxa"/>
            <w:tcBorders>
              <w:top w:val="single" w:sz="6" w:space="0" w:color="000000"/>
              <w:left w:val="nil"/>
              <w:bottom w:val="single" w:sz="6" w:space="0" w:color="000000"/>
              <w:right w:val="nil"/>
              <w:tl2br w:val="nil"/>
              <w:tr2bl w:val="nil"/>
            </w:tcBorders>
            <w:shd w:val="clear" w:color="auto" w:fill="FFFF00"/>
            <w:tcMar>
              <w:left w:w="101" w:type="dxa"/>
              <w:right w:w="101" w:type="dxa"/>
            </w:tcMar>
            <w:vAlign w:val="bottom"/>
          </w:tcPr>
          <w:p w14:paraId="689760A0" w14:textId="77777777" w:rsidR="003F0EEA" w:rsidRDefault="00FB7D0B">
            <w:pPr>
              <w:jc w:val="right"/>
              <w:rPr>
                <w:rFonts w:ascii="Arial" w:eastAsia="Arial" w:hAnsi="Arial" w:cs="Arial"/>
                <w:b/>
                <w:color w:val="000000"/>
                <w:sz w:val="16"/>
              </w:rPr>
            </w:pPr>
            <w:r>
              <w:rPr>
                <w:rFonts w:ascii="Arial" w:eastAsia="Arial" w:hAnsi="Arial" w:cs="Arial"/>
                <w:b/>
                <w:color w:val="000000"/>
                <w:sz w:val="16"/>
              </w:rPr>
              <w:t xml:space="preserve"> 9,471 </w:t>
            </w:r>
          </w:p>
        </w:tc>
        <w:tc>
          <w:tcPr>
            <w:tcW w:w="1170"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1262B89D" w14:textId="77777777" w:rsidR="003F0EEA" w:rsidRDefault="00FB7D0B">
            <w:pPr>
              <w:jc w:val="right"/>
              <w:rPr>
                <w:rFonts w:ascii="Arial" w:eastAsia="Arial" w:hAnsi="Arial" w:cs="Arial"/>
                <w:b/>
                <w:color w:val="000000"/>
                <w:sz w:val="16"/>
              </w:rPr>
            </w:pPr>
            <w:r>
              <w:rPr>
                <w:rFonts w:ascii="Arial" w:eastAsia="Arial" w:hAnsi="Arial" w:cs="Arial"/>
                <w:b/>
                <w:color w:val="000000"/>
                <w:sz w:val="16"/>
              </w:rPr>
              <w:t xml:space="preserve"> 9,471 </w:t>
            </w:r>
          </w:p>
        </w:tc>
        <w:tc>
          <w:tcPr>
            <w:tcW w:w="1170"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70511462" w14:textId="77777777" w:rsidR="003F0EEA" w:rsidRDefault="00FB7D0B">
            <w:pPr>
              <w:jc w:val="right"/>
              <w:rPr>
                <w:rFonts w:ascii="Arial" w:eastAsia="Arial" w:hAnsi="Arial" w:cs="Arial"/>
                <w:b/>
                <w:color w:val="000000"/>
                <w:sz w:val="16"/>
              </w:rPr>
            </w:pPr>
            <w:r>
              <w:rPr>
                <w:rFonts w:ascii="Arial" w:eastAsia="Arial" w:hAnsi="Arial" w:cs="Arial"/>
                <w:b/>
                <w:color w:val="000000"/>
                <w:sz w:val="16"/>
              </w:rPr>
              <w:t xml:space="preserve"> 9,471 </w:t>
            </w:r>
          </w:p>
        </w:tc>
        <w:tc>
          <w:tcPr>
            <w:tcW w:w="1170"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7187DA07" w14:textId="77777777" w:rsidR="003F0EEA" w:rsidRDefault="00FB7D0B">
            <w:pPr>
              <w:jc w:val="right"/>
              <w:rPr>
                <w:rFonts w:ascii="Arial" w:eastAsia="Arial" w:hAnsi="Arial" w:cs="Arial"/>
                <w:b/>
                <w:color w:val="000000"/>
                <w:sz w:val="16"/>
              </w:rPr>
            </w:pPr>
            <w:r>
              <w:rPr>
                <w:rFonts w:ascii="Arial" w:eastAsia="Arial" w:hAnsi="Arial" w:cs="Arial"/>
                <w:b/>
                <w:color w:val="000000"/>
                <w:sz w:val="16"/>
              </w:rPr>
              <w:t xml:space="preserve"> 9,471 </w:t>
            </w:r>
          </w:p>
        </w:tc>
      </w:tr>
      <w:tr w:rsidR="00724034" w14:paraId="69E8C045" w14:textId="77777777">
        <w:trPr>
          <w:trHeight w:hRule="exact" w:val="225"/>
        </w:trPr>
        <w:tc>
          <w:tcPr>
            <w:tcW w:w="180" w:type="dxa"/>
            <w:tcBorders>
              <w:top w:val="nil"/>
              <w:left w:val="nil"/>
              <w:bottom w:val="nil"/>
              <w:right w:val="nil"/>
              <w:tl2br w:val="nil"/>
              <w:tr2bl w:val="nil"/>
            </w:tcBorders>
            <w:shd w:val="clear" w:color="auto" w:fill="FFFFFF"/>
            <w:tcMar>
              <w:left w:w="101" w:type="dxa"/>
              <w:right w:w="101" w:type="dxa"/>
            </w:tcMar>
            <w:vAlign w:val="bottom"/>
          </w:tcPr>
          <w:p w14:paraId="16A8A52D" w14:textId="77777777" w:rsidR="003F0EEA" w:rsidRDefault="003F0EEA">
            <w:pPr>
              <w:rPr>
                <w:rFonts w:ascii="Arial" w:eastAsia="Arial" w:hAnsi="Arial" w:cs="Arial"/>
                <w:b/>
                <w:color w:val="000000"/>
                <w:sz w:val="16"/>
              </w:rPr>
            </w:pPr>
          </w:p>
        </w:tc>
        <w:tc>
          <w:tcPr>
            <w:tcW w:w="180" w:type="dxa"/>
            <w:tcBorders>
              <w:top w:val="nil"/>
              <w:left w:val="nil"/>
              <w:bottom w:val="nil"/>
              <w:right w:val="nil"/>
              <w:tl2br w:val="nil"/>
              <w:tr2bl w:val="nil"/>
            </w:tcBorders>
            <w:shd w:val="clear" w:color="auto" w:fill="FFFFFF"/>
            <w:tcMar>
              <w:left w:w="101" w:type="dxa"/>
              <w:right w:w="101" w:type="dxa"/>
            </w:tcMar>
            <w:vAlign w:val="bottom"/>
          </w:tcPr>
          <w:p w14:paraId="5ED572A2" w14:textId="77777777" w:rsidR="003F0EEA" w:rsidRDefault="003F0EEA">
            <w:pPr>
              <w:rPr>
                <w:rFonts w:ascii="Arial" w:eastAsia="Arial" w:hAnsi="Arial" w:cs="Arial"/>
                <w:color w:val="000000"/>
                <w:sz w:val="16"/>
              </w:rPr>
            </w:pPr>
          </w:p>
        </w:tc>
        <w:tc>
          <w:tcPr>
            <w:tcW w:w="2250" w:type="dxa"/>
            <w:tcBorders>
              <w:top w:val="nil"/>
              <w:left w:val="nil"/>
              <w:bottom w:val="nil"/>
              <w:right w:val="nil"/>
              <w:tl2br w:val="nil"/>
              <w:tr2bl w:val="nil"/>
            </w:tcBorders>
            <w:shd w:val="clear" w:color="auto" w:fill="FFFFFF"/>
            <w:tcMar>
              <w:left w:w="101" w:type="dxa"/>
              <w:right w:w="101" w:type="dxa"/>
            </w:tcMar>
            <w:vAlign w:val="bottom"/>
          </w:tcPr>
          <w:p w14:paraId="3D9B8F09" w14:textId="77777777" w:rsidR="003F0EEA" w:rsidRDefault="003F0EEA">
            <w:pPr>
              <w:rPr>
                <w:rFonts w:ascii="Arial" w:eastAsia="Arial" w:hAnsi="Arial" w:cs="Arial"/>
                <w:b/>
                <w:color w:val="000000"/>
                <w:sz w:val="16"/>
              </w:rPr>
            </w:pPr>
          </w:p>
        </w:tc>
        <w:tc>
          <w:tcPr>
            <w:tcW w:w="1170"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13CB327A" w14:textId="77777777" w:rsidR="003F0EEA" w:rsidRDefault="003F0EEA">
            <w:pPr>
              <w:rPr>
                <w:rFonts w:ascii="Arial" w:eastAsia="Arial" w:hAnsi="Arial" w:cs="Arial"/>
                <w:b/>
                <w:color w:val="000000"/>
                <w:sz w:val="16"/>
              </w:rPr>
            </w:pPr>
          </w:p>
        </w:tc>
        <w:tc>
          <w:tcPr>
            <w:tcW w:w="1170" w:type="dxa"/>
            <w:tcBorders>
              <w:top w:val="single" w:sz="6" w:space="0" w:color="000000"/>
              <w:left w:val="nil"/>
              <w:bottom w:val="nil"/>
              <w:right w:val="nil"/>
              <w:tl2br w:val="nil"/>
              <w:tr2bl w:val="nil"/>
            </w:tcBorders>
            <w:shd w:val="clear" w:color="auto" w:fill="FFFF00"/>
            <w:tcMar>
              <w:left w:w="101" w:type="dxa"/>
              <w:right w:w="101" w:type="dxa"/>
            </w:tcMar>
            <w:vAlign w:val="bottom"/>
          </w:tcPr>
          <w:p w14:paraId="755C1C81" w14:textId="77777777" w:rsidR="003F0EEA" w:rsidRDefault="003F0EEA">
            <w:pPr>
              <w:rPr>
                <w:rFonts w:ascii="Arial" w:eastAsia="Arial" w:hAnsi="Arial" w:cs="Arial"/>
                <w:b/>
                <w:color w:val="000000"/>
                <w:sz w:val="16"/>
              </w:rPr>
            </w:pPr>
          </w:p>
        </w:tc>
        <w:tc>
          <w:tcPr>
            <w:tcW w:w="1170"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69BE64D1" w14:textId="77777777" w:rsidR="003F0EEA" w:rsidRDefault="003F0EEA">
            <w:pPr>
              <w:rPr>
                <w:rFonts w:ascii="Arial" w:eastAsia="Arial" w:hAnsi="Arial" w:cs="Arial"/>
                <w:b/>
                <w:color w:val="000000"/>
                <w:sz w:val="16"/>
              </w:rPr>
            </w:pPr>
          </w:p>
        </w:tc>
        <w:tc>
          <w:tcPr>
            <w:tcW w:w="1170"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482E8BC1" w14:textId="77777777" w:rsidR="003F0EEA" w:rsidRDefault="003F0EEA">
            <w:pPr>
              <w:rPr>
                <w:rFonts w:ascii="Arial" w:eastAsia="Arial" w:hAnsi="Arial" w:cs="Arial"/>
                <w:b/>
                <w:color w:val="000000"/>
                <w:sz w:val="16"/>
              </w:rPr>
            </w:pPr>
          </w:p>
        </w:tc>
        <w:tc>
          <w:tcPr>
            <w:tcW w:w="1170"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3CB43F2F" w14:textId="77777777" w:rsidR="003F0EEA" w:rsidRDefault="003F0EEA">
            <w:pPr>
              <w:rPr>
                <w:rFonts w:ascii="Arial" w:eastAsia="Arial" w:hAnsi="Arial" w:cs="Arial"/>
                <w:b/>
                <w:color w:val="000000"/>
                <w:sz w:val="16"/>
              </w:rPr>
            </w:pPr>
          </w:p>
        </w:tc>
      </w:tr>
      <w:tr w:rsidR="00FB7D0B" w14:paraId="667AE371" w14:textId="77777777" w:rsidTr="00FB7D0B">
        <w:trPr>
          <w:trHeight w:val="225"/>
        </w:trPr>
        <w:tc>
          <w:tcPr>
            <w:tcW w:w="2610" w:type="dxa"/>
            <w:gridSpan w:val="3"/>
            <w:tcBorders>
              <w:top w:val="nil"/>
              <w:left w:val="nil"/>
              <w:bottom w:val="nil"/>
              <w:right w:val="nil"/>
              <w:tl2br w:val="nil"/>
              <w:tr2bl w:val="nil"/>
            </w:tcBorders>
            <w:shd w:val="clear" w:color="auto" w:fill="FFFFFF"/>
            <w:tcMar>
              <w:left w:w="101" w:type="dxa"/>
              <w:right w:w="101" w:type="dxa"/>
            </w:tcMar>
            <w:vAlign w:val="bottom"/>
          </w:tcPr>
          <w:p w14:paraId="2124FAE0" w14:textId="77777777" w:rsidR="003F0EEA" w:rsidRDefault="00FB7D0B">
            <w:pPr>
              <w:rPr>
                <w:rFonts w:ascii="Arial" w:eastAsia="Arial" w:hAnsi="Arial" w:cs="Arial"/>
                <w:b/>
                <w:color w:val="000000"/>
                <w:sz w:val="16"/>
              </w:rPr>
            </w:pPr>
            <w:r>
              <w:rPr>
                <w:rFonts w:ascii="Arial" w:eastAsia="Arial" w:hAnsi="Arial" w:cs="Arial"/>
                <w:b/>
                <w:color w:val="000000"/>
                <w:sz w:val="16"/>
              </w:rPr>
              <w:t>Net Cost of (contribution by)</w:t>
            </w:r>
          </w:p>
        </w:tc>
        <w:tc>
          <w:tcPr>
            <w:tcW w:w="1170" w:type="dxa"/>
            <w:tcBorders>
              <w:top w:val="nil"/>
              <w:left w:val="nil"/>
              <w:bottom w:val="nil"/>
              <w:right w:val="nil"/>
              <w:tl2br w:val="nil"/>
              <w:tr2bl w:val="nil"/>
            </w:tcBorders>
            <w:shd w:val="clear" w:color="auto" w:fill="FFFFFF"/>
            <w:tcMar>
              <w:left w:w="101" w:type="dxa"/>
              <w:right w:w="101" w:type="dxa"/>
            </w:tcMar>
            <w:vAlign w:val="bottom"/>
          </w:tcPr>
          <w:p w14:paraId="22B914C1" w14:textId="77777777" w:rsidR="003F0EEA" w:rsidRDefault="003F0EEA">
            <w:pPr>
              <w:rPr>
                <w:rFonts w:ascii="Arial" w:eastAsia="Arial" w:hAnsi="Arial" w:cs="Arial"/>
                <w:b/>
                <w:color w:val="000000"/>
                <w:sz w:val="16"/>
              </w:rPr>
            </w:pPr>
          </w:p>
        </w:tc>
        <w:tc>
          <w:tcPr>
            <w:tcW w:w="1170" w:type="dxa"/>
            <w:tcBorders>
              <w:top w:val="nil"/>
              <w:left w:val="nil"/>
              <w:bottom w:val="nil"/>
              <w:right w:val="nil"/>
              <w:tl2br w:val="nil"/>
              <w:tr2bl w:val="nil"/>
            </w:tcBorders>
            <w:shd w:val="clear" w:color="auto" w:fill="FFFF00"/>
            <w:tcMar>
              <w:left w:w="101" w:type="dxa"/>
              <w:right w:w="101" w:type="dxa"/>
            </w:tcMar>
            <w:vAlign w:val="bottom"/>
          </w:tcPr>
          <w:p w14:paraId="315DFE7D" w14:textId="77777777" w:rsidR="003F0EEA" w:rsidRDefault="003F0EEA">
            <w:pPr>
              <w:rPr>
                <w:rFonts w:ascii="Arial" w:eastAsia="Arial" w:hAnsi="Arial" w:cs="Arial"/>
                <w:b/>
                <w:color w:val="000000"/>
                <w:sz w:val="16"/>
              </w:rPr>
            </w:pPr>
          </w:p>
        </w:tc>
        <w:tc>
          <w:tcPr>
            <w:tcW w:w="1170" w:type="dxa"/>
            <w:tcBorders>
              <w:top w:val="nil"/>
              <w:left w:val="nil"/>
              <w:bottom w:val="nil"/>
              <w:right w:val="nil"/>
              <w:tl2br w:val="nil"/>
              <w:tr2bl w:val="nil"/>
            </w:tcBorders>
            <w:shd w:val="clear" w:color="auto" w:fill="FFFFFF"/>
            <w:tcMar>
              <w:left w:w="101" w:type="dxa"/>
              <w:right w:w="101" w:type="dxa"/>
            </w:tcMar>
            <w:vAlign w:val="bottom"/>
          </w:tcPr>
          <w:p w14:paraId="7DF8DB19" w14:textId="77777777" w:rsidR="003F0EEA" w:rsidRDefault="003F0EEA">
            <w:pPr>
              <w:rPr>
                <w:rFonts w:ascii="Arial" w:eastAsia="Arial" w:hAnsi="Arial" w:cs="Arial"/>
                <w:b/>
                <w:color w:val="000000"/>
                <w:sz w:val="16"/>
              </w:rPr>
            </w:pPr>
          </w:p>
        </w:tc>
        <w:tc>
          <w:tcPr>
            <w:tcW w:w="1170" w:type="dxa"/>
            <w:tcBorders>
              <w:top w:val="nil"/>
              <w:left w:val="nil"/>
              <w:bottom w:val="nil"/>
              <w:right w:val="nil"/>
              <w:tl2br w:val="nil"/>
              <w:tr2bl w:val="nil"/>
            </w:tcBorders>
            <w:shd w:val="clear" w:color="auto" w:fill="FFFFFF"/>
            <w:tcMar>
              <w:left w:w="101" w:type="dxa"/>
              <w:right w:w="101" w:type="dxa"/>
            </w:tcMar>
            <w:vAlign w:val="bottom"/>
          </w:tcPr>
          <w:p w14:paraId="4EFA382E" w14:textId="77777777" w:rsidR="003F0EEA" w:rsidRDefault="003F0EEA">
            <w:pPr>
              <w:rPr>
                <w:rFonts w:ascii="Arial" w:eastAsia="Arial" w:hAnsi="Arial" w:cs="Arial"/>
                <w:b/>
                <w:color w:val="000000"/>
                <w:sz w:val="16"/>
              </w:rPr>
            </w:pPr>
          </w:p>
        </w:tc>
        <w:tc>
          <w:tcPr>
            <w:tcW w:w="1170" w:type="dxa"/>
            <w:tcBorders>
              <w:top w:val="nil"/>
              <w:left w:val="nil"/>
              <w:bottom w:val="nil"/>
              <w:right w:val="nil"/>
              <w:tl2br w:val="nil"/>
              <w:tr2bl w:val="nil"/>
            </w:tcBorders>
            <w:shd w:val="clear" w:color="auto" w:fill="FFFFFF"/>
            <w:tcMar>
              <w:left w:w="101" w:type="dxa"/>
              <w:right w:w="101" w:type="dxa"/>
            </w:tcMar>
            <w:vAlign w:val="bottom"/>
          </w:tcPr>
          <w:p w14:paraId="704A1E57" w14:textId="77777777" w:rsidR="003F0EEA" w:rsidRDefault="003F0EEA">
            <w:pPr>
              <w:rPr>
                <w:rFonts w:ascii="Arial" w:eastAsia="Arial" w:hAnsi="Arial" w:cs="Arial"/>
                <w:b/>
                <w:color w:val="000000"/>
                <w:sz w:val="16"/>
              </w:rPr>
            </w:pPr>
          </w:p>
        </w:tc>
      </w:tr>
      <w:tr w:rsidR="00FB7D0B" w14:paraId="77D5A262" w14:textId="77777777" w:rsidTr="00FB7D0B">
        <w:trPr>
          <w:trHeight w:val="225"/>
        </w:trPr>
        <w:tc>
          <w:tcPr>
            <w:tcW w:w="180" w:type="dxa"/>
            <w:tcBorders>
              <w:top w:val="nil"/>
              <w:left w:val="nil"/>
              <w:bottom w:val="nil"/>
              <w:right w:val="nil"/>
              <w:tl2br w:val="nil"/>
              <w:tr2bl w:val="nil"/>
            </w:tcBorders>
            <w:shd w:val="clear" w:color="auto" w:fill="FFFFFF"/>
            <w:tcMar>
              <w:left w:w="101" w:type="dxa"/>
              <w:right w:w="101" w:type="dxa"/>
            </w:tcMar>
            <w:vAlign w:val="bottom"/>
          </w:tcPr>
          <w:p w14:paraId="13745F5D" w14:textId="77777777" w:rsidR="003F0EEA" w:rsidRDefault="003F0EEA">
            <w:pPr>
              <w:rPr>
                <w:rFonts w:ascii="Arial" w:eastAsia="Arial" w:hAnsi="Arial" w:cs="Arial"/>
                <w:b/>
                <w:color w:val="000000"/>
                <w:sz w:val="16"/>
              </w:rPr>
            </w:pPr>
          </w:p>
        </w:tc>
        <w:tc>
          <w:tcPr>
            <w:tcW w:w="2430" w:type="dxa"/>
            <w:gridSpan w:val="2"/>
            <w:tcBorders>
              <w:top w:val="nil"/>
              <w:left w:val="nil"/>
              <w:bottom w:val="nil"/>
              <w:right w:val="nil"/>
              <w:tl2br w:val="nil"/>
              <w:tr2bl w:val="nil"/>
            </w:tcBorders>
            <w:shd w:val="clear" w:color="auto" w:fill="FFFFFF"/>
            <w:tcMar>
              <w:left w:w="101" w:type="dxa"/>
              <w:right w:w="101" w:type="dxa"/>
            </w:tcMar>
            <w:vAlign w:val="bottom"/>
          </w:tcPr>
          <w:p w14:paraId="727B292E" w14:textId="77777777" w:rsidR="003F0EEA" w:rsidRDefault="00FB7D0B">
            <w:pPr>
              <w:rPr>
                <w:rFonts w:ascii="Arial" w:eastAsia="Arial" w:hAnsi="Arial" w:cs="Arial"/>
                <w:color w:val="000000"/>
                <w:sz w:val="16"/>
              </w:rPr>
            </w:pPr>
            <w:r>
              <w:rPr>
                <w:rFonts w:ascii="Arial" w:eastAsia="Arial" w:hAnsi="Arial" w:cs="Arial"/>
                <w:b/>
                <w:color w:val="000000"/>
                <w:sz w:val="16"/>
              </w:rPr>
              <w:t>services</w:t>
            </w:r>
          </w:p>
        </w:tc>
        <w:tc>
          <w:tcPr>
            <w:tcW w:w="1170"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79E7C4F7" w14:textId="77777777" w:rsidR="003F0EEA" w:rsidRDefault="00FB7D0B">
            <w:pPr>
              <w:jc w:val="right"/>
              <w:rPr>
                <w:rFonts w:ascii="Arial" w:eastAsia="Arial" w:hAnsi="Arial" w:cs="Arial"/>
                <w:b/>
                <w:color w:val="000000"/>
                <w:sz w:val="16"/>
              </w:rPr>
            </w:pPr>
            <w:r>
              <w:rPr>
                <w:rFonts w:ascii="Arial" w:eastAsia="Arial" w:hAnsi="Arial" w:cs="Arial"/>
                <w:b/>
                <w:color w:val="000000"/>
                <w:sz w:val="16"/>
              </w:rPr>
              <w:t xml:space="preserve"> 12,106,727 </w:t>
            </w:r>
          </w:p>
        </w:tc>
        <w:tc>
          <w:tcPr>
            <w:tcW w:w="1170" w:type="dxa"/>
            <w:tcBorders>
              <w:top w:val="nil"/>
              <w:left w:val="nil"/>
              <w:bottom w:val="single" w:sz="6" w:space="0" w:color="000000"/>
              <w:right w:val="nil"/>
              <w:tl2br w:val="nil"/>
              <w:tr2bl w:val="nil"/>
            </w:tcBorders>
            <w:shd w:val="clear" w:color="auto" w:fill="FFFF00"/>
            <w:tcMar>
              <w:left w:w="101" w:type="dxa"/>
              <w:right w:w="101" w:type="dxa"/>
            </w:tcMar>
            <w:vAlign w:val="bottom"/>
          </w:tcPr>
          <w:p w14:paraId="4B7C304A" w14:textId="77777777" w:rsidR="003F0EEA" w:rsidRDefault="00FB7D0B">
            <w:pPr>
              <w:jc w:val="right"/>
              <w:rPr>
                <w:rFonts w:ascii="Arial" w:eastAsia="Arial" w:hAnsi="Arial" w:cs="Arial"/>
                <w:b/>
                <w:color w:val="000000"/>
                <w:sz w:val="16"/>
              </w:rPr>
            </w:pPr>
            <w:r>
              <w:rPr>
                <w:rFonts w:ascii="Arial" w:eastAsia="Arial" w:hAnsi="Arial" w:cs="Arial"/>
                <w:b/>
                <w:color w:val="000000"/>
                <w:sz w:val="16"/>
              </w:rPr>
              <w:t xml:space="preserve"> 12,166,528 </w:t>
            </w:r>
          </w:p>
        </w:tc>
        <w:tc>
          <w:tcPr>
            <w:tcW w:w="1170"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76556AC2" w14:textId="77777777" w:rsidR="003F0EEA" w:rsidRDefault="00FB7D0B">
            <w:pPr>
              <w:jc w:val="right"/>
              <w:rPr>
                <w:rFonts w:ascii="Arial" w:eastAsia="Arial" w:hAnsi="Arial" w:cs="Arial"/>
                <w:b/>
                <w:color w:val="000000"/>
                <w:sz w:val="16"/>
              </w:rPr>
            </w:pPr>
            <w:r>
              <w:rPr>
                <w:rFonts w:ascii="Arial" w:eastAsia="Arial" w:hAnsi="Arial" w:cs="Arial"/>
                <w:b/>
                <w:color w:val="000000"/>
                <w:sz w:val="16"/>
              </w:rPr>
              <w:t xml:space="preserve"> 12,063,074 </w:t>
            </w:r>
          </w:p>
        </w:tc>
        <w:tc>
          <w:tcPr>
            <w:tcW w:w="1170"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45ED998D" w14:textId="77777777" w:rsidR="003F0EEA" w:rsidRDefault="00FB7D0B">
            <w:pPr>
              <w:jc w:val="right"/>
              <w:rPr>
                <w:rFonts w:ascii="Arial" w:eastAsia="Arial" w:hAnsi="Arial" w:cs="Arial"/>
                <w:b/>
                <w:color w:val="000000"/>
                <w:sz w:val="16"/>
              </w:rPr>
            </w:pPr>
            <w:r>
              <w:rPr>
                <w:rFonts w:ascii="Arial" w:eastAsia="Arial" w:hAnsi="Arial" w:cs="Arial"/>
                <w:b/>
                <w:color w:val="000000"/>
                <w:sz w:val="16"/>
              </w:rPr>
              <w:t xml:space="preserve"> 12,042,315 </w:t>
            </w:r>
          </w:p>
        </w:tc>
        <w:tc>
          <w:tcPr>
            <w:tcW w:w="1170"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4728807A" w14:textId="77777777" w:rsidR="003F0EEA" w:rsidRDefault="00FB7D0B">
            <w:pPr>
              <w:jc w:val="right"/>
              <w:rPr>
                <w:rFonts w:ascii="Arial" w:eastAsia="Arial" w:hAnsi="Arial" w:cs="Arial"/>
                <w:b/>
                <w:color w:val="000000"/>
                <w:sz w:val="16"/>
              </w:rPr>
            </w:pPr>
            <w:r>
              <w:rPr>
                <w:rFonts w:ascii="Arial" w:eastAsia="Arial" w:hAnsi="Arial" w:cs="Arial"/>
                <w:b/>
                <w:color w:val="000000"/>
                <w:sz w:val="16"/>
              </w:rPr>
              <w:t xml:space="preserve"> 11,981,648 </w:t>
            </w:r>
          </w:p>
        </w:tc>
      </w:tr>
      <w:tr w:rsidR="00FB7D0B" w14:paraId="6A966B71" w14:textId="77777777" w:rsidTr="00FB7D0B">
        <w:trPr>
          <w:trHeight w:val="225"/>
        </w:trPr>
        <w:tc>
          <w:tcPr>
            <w:tcW w:w="2610" w:type="dxa"/>
            <w:gridSpan w:val="3"/>
            <w:tcBorders>
              <w:top w:val="nil"/>
              <w:left w:val="nil"/>
              <w:bottom w:val="nil"/>
              <w:right w:val="nil"/>
              <w:tl2br w:val="nil"/>
              <w:tr2bl w:val="nil"/>
            </w:tcBorders>
            <w:shd w:val="clear" w:color="auto" w:fill="FFFFFF"/>
            <w:tcMar>
              <w:left w:w="101" w:type="dxa"/>
              <w:right w:w="101" w:type="dxa"/>
            </w:tcMar>
            <w:vAlign w:val="bottom"/>
          </w:tcPr>
          <w:p w14:paraId="59C3702D" w14:textId="77777777" w:rsidR="003F0EEA" w:rsidRDefault="00FB7D0B">
            <w:pPr>
              <w:rPr>
                <w:rFonts w:ascii="Arial" w:eastAsia="Arial" w:hAnsi="Arial" w:cs="Arial"/>
                <w:b/>
                <w:color w:val="000000"/>
                <w:sz w:val="16"/>
              </w:rPr>
            </w:pPr>
            <w:r>
              <w:rPr>
                <w:rFonts w:ascii="Arial" w:eastAsia="Arial" w:hAnsi="Arial" w:cs="Arial"/>
                <w:b/>
                <w:color w:val="000000"/>
                <w:sz w:val="16"/>
              </w:rPr>
              <w:t>Surplus (Deficit)</w:t>
            </w:r>
          </w:p>
        </w:tc>
        <w:tc>
          <w:tcPr>
            <w:tcW w:w="1170"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39B361D0" w14:textId="77777777" w:rsidR="003F0EEA" w:rsidRDefault="00FB7D0B">
            <w:pPr>
              <w:jc w:val="right"/>
              <w:rPr>
                <w:rFonts w:ascii="Arial" w:eastAsia="Arial" w:hAnsi="Arial" w:cs="Arial"/>
                <w:b/>
                <w:color w:val="000000"/>
                <w:sz w:val="16"/>
              </w:rPr>
            </w:pPr>
            <w:r>
              <w:rPr>
                <w:rFonts w:ascii="Arial" w:eastAsia="Arial" w:hAnsi="Arial" w:cs="Arial"/>
                <w:b/>
                <w:color w:val="000000"/>
                <w:sz w:val="16"/>
              </w:rPr>
              <w:t>(12,106,727)</w:t>
            </w:r>
          </w:p>
        </w:tc>
        <w:tc>
          <w:tcPr>
            <w:tcW w:w="1170" w:type="dxa"/>
            <w:tcBorders>
              <w:top w:val="single" w:sz="6" w:space="0" w:color="000000"/>
              <w:left w:val="nil"/>
              <w:bottom w:val="single" w:sz="6" w:space="0" w:color="000000"/>
              <w:right w:val="nil"/>
              <w:tl2br w:val="nil"/>
              <w:tr2bl w:val="nil"/>
            </w:tcBorders>
            <w:shd w:val="clear" w:color="auto" w:fill="FFFF00"/>
            <w:tcMar>
              <w:left w:w="101" w:type="dxa"/>
              <w:right w:w="101" w:type="dxa"/>
            </w:tcMar>
            <w:vAlign w:val="bottom"/>
          </w:tcPr>
          <w:p w14:paraId="31BC3EE2" w14:textId="77777777" w:rsidR="003F0EEA" w:rsidRDefault="00FB7D0B">
            <w:pPr>
              <w:jc w:val="right"/>
              <w:rPr>
                <w:rFonts w:ascii="Arial" w:eastAsia="Arial" w:hAnsi="Arial" w:cs="Arial"/>
                <w:b/>
                <w:color w:val="000000"/>
                <w:sz w:val="16"/>
              </w:rPr>
            </w:pPr>
            <w:r>
              <w:rPr>
                <w:rFonts w:ascii="Arial" w:eastAsia="Arial" w:hAnsi="Arial" w:cs="Arial"/>
                <w:b/>
                <w:color w:val="000000"/>
                <w:sz w:val="16"/>
              </w:rPr>
              <w:t>(12,166,528)</w:t>
            </w:r>
          </w:p>
        </w:tc>
        <w:tc>
          <w:tcPr>
            <w:tcW w:w="1170"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1DC5212C" w14:textId="77777777" w:rsidR="003F0EEA" w:rsidRDefault="00FB7D0B">
            <w:pPr>
              <w:jc w:val="right"/>
              <w:rPr>
                <w:rFonts w:ascii="Arial" w:eastAsia="Arial" w:hAnsi="Arial" w:cs="Arial"/>
                <w:b/>
                <w:color w:val="000000"/>
                <w:sz w:val="16"/>
              </w:rPr>
            </w:pPr>
            <w:r>
              <w:rPr>
                <w:rFonts w:ascii="Arial" w:eastAsia="Arial" w:hAnsi="Arial" w:cs="Arial"/>
                <w:b/>
                <w:color w:val="000000"/>
                <w:sz w:val="16"/>
              </w:rPr>
              <w:t>(12,063,074)</w:t>
            </w:r>
          </w:p>
        </w:tc>
        <w:tc>
          <w:tcPr>
            <w:tcW w:w="1170"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2E9649E3" w14:textId="77777777" w:rsidR="003F0EEA" w:rsidRDefault="00FB7D0B">
            <w:pPr>
              <w:jc w:val="right"/>
              <w:rPr>
                <w:rFonts w:ascii="Arial" w:eastAsia="Arial" w:hAnsi="Arial" w:cs="Arial"/>
                <w:b/>
                <w:color w:val="000000"/>
                <w:sz w:val="16"/>
              </w:rPr>
            </w:pPr>
            <w:r>
              <w:rPr>
                <w:rFonts w:ascii="Arial" w:eastAsia="Arial" w:hAnsi="Arial" w:cs="Arial"/>
                <w:b/>
                <w:color w:val="000000"/>
                <w:sz w:val="16"/>
              </w:rPr>
              <w:t>(12,042,315)</w:t>
            </w:r>
          </w:p>
        </w:tc>
        <w:tc>
          <w:tcPr>
            <w:tcW w:w="1170"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569D4615" w14:textId="77777777" w:rsidR="003F0EEA" w:rsidRDefault="00FB7D0B">
            <w:pPr>
              <w:jc w:val="right"/>
              <w:rPr>
                <w:rFonts w:ascii="Arial" w:eastAsia="Arial" w:hAnsi="Arial" w:cs="Arial"/>
                <w:b/>
                <w:color w:val="000000"/>
                <w:sz w:val="16"/>
              </w:rPr>
            </w:pPr>
            <w:r>
              <w:rPr>
                <w:rFonts w:ascii="Arial" w:eastAsia="Arial" w:hAnsi="Arial" w:cs="Arial"/>
                <w:b/>
                <w:color w:val="000000"/>
                <w:sz w:val="16"/>
              </w:rPr>
              <w:t>(11,981,648)</w:t>
            </w:r>
          </w:p>
        </w:tc>
      </w:tr>
    </w:tbl>
    <w:p w14:paraId="27A4C9C2" w14:textId="77777777" w:rsidR="003F0EEA" w:rsidRPr="00141F34" w:rsidRDefault="00FB7D0B" w:rsidP="003F0EEA">
      <w:pPr>
        <w:pStyle w:val="ListParagraph21"/>
        <w:spacing w:before="120" w:after="0" w:line="240" w:lineRule="auto"/>
        <w:ind w:left="0"/>
        <w:rPr>
          <w:rFonts w:ascii="Arial" w:hAnsi="Arial" w:cs="Arial"/>
          <w:sz w:val="16"/>
          <w:szCs w:val="16"/>
        </w:rPr>
      </w:pPr>
      <w:r w:rsidRPr="00141F34">
        <w:rPr>
          <w:rFonts w:ascii="Arial" w:hAnsi="Arial" w:cs="Arial"/>
          <w:sz w:val="16"/>
          <w:szCs w:val="16"/>
        </w:rPr>
        <w:t>Prepared on Australian Accounting Standards basis</w:t>
      </w:r>
    </w:p>
    <w:p w14:paraId="77DCED0B" w14:textId="77777777" w:rsidR="003F0EEA" w:rsidRPr="00141F34" w:rsidRDefault="00FB7D0B">
      <w:pPr>
        <w:spacing w:line="14" w:lineRule="exact"/>
        <w:rPr>
          <w:rFonts w:ascii="Arial" w:hAnsi="Arial" w:cs="Arial"/>
          <w:sz w:val="16"/>
          <w:szCs w:val="16"/>
        </w:rPr>
      </w:pPr>
      <w:r w:rsidRPr="00141F34">
        <w:rPr>
          <w:rFonts w:ascii="Arial" w:hAnsi="Arial" w:cs="Arial"/>
          <w:sz w:val="16"/>
          <w:szCs w:val="16"/>
        </w:rPr>
        <w:br w:type="page"/>
      </w:r>
    </w:p>
    <w:p w14:paraId="717EA977" w14:textId="77777777" w:rsidR="003F0EEA" w:rsidRDefault="00FB7D0B" w:rsidP="003F0EEA">
      <w:pPr>
        <w:pStyle w:val="TableHeading22"/>
        <w:spacing w:after="0"/>
      </w:pPr>
      <w:r>
        <w:t xml:space="preserve">Table </w:t>
      </w:r>
      <w:r w:rsidRPr="00BB67D8">
        <w:t>3.2</w:t>
      </w:r>
      <w:r>
        <w:t xml:space="preserve">.8: Schedule of Budgeted Assets and Liabilities Administered on Behalf of Government </w:t>
      </w:r>
      <w:r w:rsidRPr="00151EF0">
        <w:t>as at 30 June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2"/>
        <w:gridCol w:w="222"/>
        <w:gridCol w:w="2340"/>
        <w:gridCol w:w="1035"/>
        <w:gridCol w:w="1035"/>
        <w:gridCol w:w="1035"/>
        <w:gridCol w:w="1035"/>
        <w:gridCol w:w="1035"/>
      </w:tblGrid>
      <w:tr w:rsidR="00724034" w14:paraId="0C46F3BB" w14:textId="77777777">
        <w:trPr>
          <w:trHeight w:val="225"/>
        </w:trPr>
        <w:tc>
          <w:tcPr>
            <w:tcW w:w="180"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23383EC8" w14:textId="77777777" w:rsidR="003F0EEA" w:rsidRDefault="003F0EEA">
            <w:pPr>
              <w:rPr>
                <w:rFonts w:eastAsia="Times New Roman"/>
              </w:rPr>
            </w:pPr>
          </w:p>
        </w:tc>
        <w:tc>
          <w:tcPr>
            <w:tcW w:w="180"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3FCD3E92" w14:textId="77777777" w:rsidR="003F0EEA" w:rsidRDefault="003F0EEA">
            <w:pPr>
              <w:rPr>
                <w:rFonts w:ascii="Arial" w:eastAsia="Arial" w:hAnsi="Arial" w:cs="Arial"/>
                <w:color w:val="000000"/>
                <w:sz w:val="16"/>
              </w:rPr>
            </w:pPr>
          </w:p>
        </w:tc>
        <w:tc>
          <w:tcPr>
            <w:tcW w:w="2340"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3FE63E8E" w14:textId="77777777" w:rsidR="003F0EEA" w:rsidRDefault="003F0EEA">
            <w:pPr>
              <w:rPr>
                <w:rFonts w:ascii="Arial" w:eastAsia="Arial" w:hAnsi="Arial" w:cs="Arial"/>
                <w:color w:val="000000"/>
                <w:sz w:val="16"/>
              </w:rPr>
            </w:pPr>
          </w:p>
        </w:tc>
        <w:tc>
          <w:tcPr>
            <w:tcW w:w="103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7EFAAD6A" w14:textId="77777777" w:rsidR="003F0EEA" w:rsidRDefault="00FB7D0B">
            <w:pPr>
              <w:jc w:val="right"/>
              <w:rPr>
                <w:rFonts w:ascii="Arial" w:eastAsia="Arial" w:hAnsi="Arial" w:cs="Arial"/>
                <w:color w:val="000000"/>
                <w:sz w:val="16"/>
              </w:rPr>
            </w:pPr>
            <w:r>
              <w:rPr>
                <w:rFonts w:ascii="Arial" w:eastAsia="Arial" w:hAnsi="Arial" w:cs="Arial"/>
                <w:color w:val="000000"/>
                <w:sz w:val="16"/>
              </w:rPr>
              <w:t>Estimated</w:t>
            </w:r>
          </w:p>
        </w:tc>
        <w:tc>
          <w:tcPr>
            <w:tcW w:w="1035" w:type="dxa"/>
            <w:tcBorders>
              <w:top w:val="single" w:sz="6" w:space="0" w:color="000000"/>
              <w:left w:val="nil"/>
              <w:bottom w:val="nil"/>
              <w:right w:val="nil"/>
              <w:tl2br w:val="nil"/>
              <w:tr2bl w:val="nil"/>
            </w:tcBorders>
            <w:shd w:val="clear" w:color="auto" w:fill="FFFF00"/>
            <w:tcMar>
              <w:left w:w="101" w:type="dxa"/>
              <w:right w:w="101" w:type="dxa"/>
            </w:tcMar>
            <w:vAlign w:val="bottom"/>
          </w:tcPr>
          <w:p w14:paraId="71DBC7EC" w14:textId="77777777" w:rsidR="003F0EEA" w:rsidRDefault="00FB7D0B">
            <w:pPr>
              <w:jc w:val="right"/>
              <w:rPr>
                <w:rFonts w:ascii="Arial" w:eastAsia="Arial" w:hAnsi="Arial" w:cs="Arial"/>
                <w:color w:val="000000"/>
                <w:sz w:val="16"/>
              </w:rPr>
            </w:pPr>
            <w:r>
              <w:rPr>
                <w:rFonts w:ascii="Arial" w:eastAsia="Arial" w:hAnsi="Arial" w:cs="Arial"/>
                <w:color w:val="000000"/>
                <w:sz w:val="16"/>
              </w:rPr>
              <w:t>Budget</w:t>
            </w:r>
          </w:p>
        </w:tc>
        <w:tc>
          <w:tcPr>
            <w:tcW w:w="103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179191DD" w14:textId="77777777" w:rsidR="003F0EEA" w:rsidRDefault="00FB7D0B">
            <w:pPr>
              <w:jc w:val="right"/>
              <w:rPr>
                <w:rFonts w:ascii="Arial" w:eastAsia="Arial" w:hAnsi="Arial" w:cs="Arial"/>
                <w:color w:val="000000"/>
                <w:sz w:val="16"/>
              </w:rPr>
            </w:pPr>
            <w:r>
              <w:rPr>
                <w:rFonts w:ascii="Arial" w:eastAsia="Arial" w:hAnsi="Arial" w:cs="Arial"/>
                <w:color w:val="000000"/>
                <w:sz w:val="16"/>
              </w:rPr>
              <w:t>Forward</w:t>
            </w:r>
          </w:p>
        </w:tc>
        <w:tc>
          <w:tcPr>
            <w:tcW w:w="103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469578C4" w14:textId="77777777" w:rsidR="003F0EEA" w:rsidRDefault="00FB7D0B">
            <w:pPr>
              <w:jc w:val="right"/>
              <w:rPr>
                <w:rFonts w:ascii="Arial" w:eastAsia="Arial" w:hAnsi="Arial" w:cs="Arial"/>
                <w:color w:val="000000"/>
                <w:sz w:val="16"/>
              </w:rPr>
            </w:pPr>
            <w:r>
              <w:rPr>
                <w:rFonts w:ascii="Arial" w:eastAsia="Arial" w:hAnsi="Arial" w:cs="Arial"/>
                <w:color w:val="000000"/>
                <w:sz w:val="16"/>
              </w:rPr>
              <w:t>Forward</w:t>
            </w:r>
          </w:p>
        </w:tc>
        <w:tc>
          <w:tcPr>
            <w:tcW w:w="103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6F46DADB" w14:textId="77777777" w:rsidR="003F0EEA" w:rsidRDefault="00FB7D0B">
            <w:pPr>
              <w:jc w:val="right"/>
              <w:rPr>
                <w:rFonts w:ascii="Arial" w:eastAsia="Arial" w:hAnsi="Arial" w:cs="Arial"/>
                <w:color w:val="000000"/>
                <w:sz w:val="16"/>
              </w:rPr>
            </w:pPr>
            <w:r>
              <w:rPr>
                <w:rFonts w:ascii="Arial" w:eastAsia="Arial" w:hAnsi="Arial" w:cs="Arial"/>
                <w:color w:val="000000"/>
                <w:sz w:val="16"/>
              </w:rPr>
              <w:t>Forward</w:t>
            </w:r>
          </w:p>
        </w:tc>
      </w:tr>
      <w:tr w:rsidR="00724034" w14:paraId="46166D9F" w14:textId="77777777">
        <w:trPr>
          <w:trHeight w:val="225"/>
        </w:trPr>
        <w:tc>
          <w:tcPr>
            <w:tcW w:w="180" w:type="dxa"/>
            <w:tcBorders>
              <w:top w:val="nil"/>
              <w:left w:val="nil"/>
              <w:bottom w:val="nil"/>
              <w:right w:val="nil"/>
              <w:tl2br w:val="nil"/>
              <w:tr2bl w:val="nil"/>
            </w:tcBorders>
            <w:shd w:val="clear" w:color="auto" w:fill="FFFFFF"/>
            <w:tcMar>
              <w:left w:w="101" w:type="dxa"/>
              <w:right w:w="101" w:type="dxa"/>
            </w:tcMar>
            <w:vAlign w:val="bottom"/>
          </w:tcPr>
          <w:p w14:paraId="1900FD44" w14:textId="77777777" w:rsidR="003F0EEA" w:rsidRDefault="003F0EEA">
            <w:pPr>
              <w:rPr>
                <w:rFonts w:ascii="Arial" w:eastAsia="Arial" w:hAnsi="Arial" w:cs="Arial"/>
                <w:color w:val="000000"/>
                <w:sz w:val="16"/>
              </w:rPr>
            </w:pPr>
          </w:p>
        </w:tc>
        <w:tc>
          <w:tcPr>
            <w:tcW w:w="180" w:type="dxa"/>
            <w:tcBorders>
              <w:top w:val="nil"/>
              <w:left w:val="nil"/>
              <w:bottom w:val="nil"/>
              <w:right w:val="nil"/>
              <w:tl2br w:val="nil"/>
              <w:tr2bl w:val="nil"/>
            </w:tcBorders>
            <w:shd w:val="clear" w:color="auto" w:fill="FFFFFF"/>
            <w:tcMar>
              <w:left w:w="101" w:type="dxa"/>
              <w:right w:w="101" w:type="dxa"/>
            </w:tcMar>
            <w:vAlign w:val="bottom"/>
          </w:tcPr>
          <w:p w14:paraId="5600D33F" w14:textId="77777777" w:rsidR="003F0EEA" w:rsidRDefault="003F0EEA">
            <w:pPr>
              <w:rPr>
                <w:rFonts w:ascii="Arial" w:eastAsia="Arial" w:hAnsi="Arial" w:cs="Arial"/>
                <w:color w:val="000000"/>
                <w:sz w:val="16"/>
              </w:rPr>
            </w:pPr>
          </w:p>
        </w:tc>
        <w:tc>
          <w:tcPr>
            <w:tcW w:w="2340" w:type="dxa"/>
            <w:tcBorders>
              <w:top w:val="nil"/>
              <w:left w:val="nil"/>
              <w:bottom w:val="nil"/>
              <w:right w:val="nil"/>
              <w:tl2br w:val="nil"/>
              <w:tr2bl w:val="nil"/>
            </w:tcBorders>
            <w:shd w:val="clear" w:color="auto" w:fill="FFFFFF"/>
            <w:tcMar>
              <w:left w:w="101" w:type="dxa"/>
              <w:right w:w="101" w:type="dxa"/>
            </w:tcMar>
            <w:vAlign w:val="bottom"/>
          </w:tcPr>
          <w:p w14:paraId="78B504E7" w14:textId="77777777" w:rsidR="003F0EEA" w:rsidRDefault="003F0EEA">
            <w:pPr>
              <w:rPr>
                <w:rFonts w:ascii="Arial" w:eastAsia="Arial" w:hAnsi="Arial" w:cs="Arial"/>
                <w:color w:val="000000"/>
                <w:sz w:val="16"/>
              </w:rPr>
            </w:pPr>
          </w:p>
        </w:tc>
        <w:tc>
          <w:tcPr>
            <w:tcW w:w="1035" w:type="dxa"/>
            <w:tcBorders>
              <w:top w:val="nil"/>
              <w:left w:val="nil"/>
              <w:bottom w:val="nil"/>
              <w:right w:val="nil"/>
              <w:tl2br w:val="nil"/>
              <w:tr2bl w:val="nil"/>
            </w:tcBorders>
            <w:shd w:val="clear" w:color="auto" w:fill="FFFFFF"/>
            <w:tcMar>
              <w:left w:w="101" w:type="dxa"/>
              <w:right w:w="101" w:type="dxa"/>
            </w:tcMar>
            <w:vAlign w:val="bottom"/>
          </w:tcPr>
          <w:p w14:paraId="538A1D22" w14:textId="77777777" w:rsidR="003F0EEA" w:rsidRDefault="00FB7D0B">
            <w:pPr>
              <w:jc w:val="right"/>
              <w:rPr>
                <w:rFonts w:ascii="Arial" w:eastAsia="Arial" w:hAnsi="Arial" w:cs="Arial"/>
                <w:color w:val="000000"/>
                <w:sz w:val="16"/>
              </w:rPr>
            </w:pPr>
            <w:r>
              <w:rPr>
                <w:rFonts w:ascii="Arial" w:eastAsia="Arial" w:hAnsi="Arial" w:cs="Arial"/>
                <w:color w:val="000000"/>
                <w:sz w:val="16"/>
              </w:rPr>
              <w:t>actual</w:t>
            </w:r>
          </w:p>
        </w:tc>
        <w:tc>
          <w:tcPr>
            <w:tcW w:w="1035" w:type="dxa"/>
            <w:tcBorders>
              <w:top w:val="nil"/>
              <w:left w:val="nil"/>
              <w:bottom w:val="nil"/>
              <w:right w:val="nil"/>
              <w:tl2br w:val="nil"/>
              <w:tr2bl w:val="nil"/>
            </w:tcBorders>
            <w:shd w:val="clear" w:color="auto" w:fill="FFFF00"/>
            <w:tcMar>
              <w:left w:w="101" w:type="dxa"/>
              <w:right w:w="101" w:type="dxa"/>
            </w:tcMar>
            <w:vAlign w:val="bottom"/>
          </w:tcPr>
          <w:p w14:paraId="748C8E12" w14:textId="77777777" w:rsidR="003F0EEA" w:rsidRDefault="00FB7D0B">
            <w:pPr>
              <w:jc w:val="right"/>
              <w:rPr>
                <w:rFonts w:ascii="Arial" w:eastAsia="Arial" w:hAnsi="Arial" w:cs="Arial"/>
                <w:color w:val="000000"/>
                <w:sz w:val="16"/>
              </w:rPr>
            </w:pPr>
            <w:r>
              <w:rPr>
                <w:rFonts w:ascii="Arial" w:eastAsia="Arial" w:hAnsi="Arial" w:cs="Arial"/>
                <w:color w:val="000000"/>
                <w:sz w:val="16"/>
              </w:rPr>
              <w:t>estimate</w:t>
            </w:r>
          </w:p>
        </w:tc>
        <w:tc>
          <w:tcPr>
            <w:tcW w:w="1035" w:type="dxa"/>
            <w:tcBorders>
              <w:top w:val="nil"/>
              <w:left w:val="nil"/>
              <w:bottom w:val="nil"/>
              <w:right w:val="nil"/>
              <w:tl2br w:val="nil"/>
              <w:tr2bl w:val="nil"/>
            </w:tcBorders>
            <w:shd w:val="clear" w:color="auto" w:fill="FFFFFF"/>
            <w:tcMar>
              <w:left w:w="101" w:type="dxa"/>
              <w:right w:w="101" w:type="dxa"/>
            </w:tcMar>
            <w:vAlign w:val="bottom"/>
          </w:tcPr>
          <w:p w14:paraId="4F3337E2" w14:textId="77777777" w:rsidR="003F0EEA" w:rsidRDefault="00FB7D0B">
            <w:pPr>
              <w:jc w:val="right"/>
              <w:rPr>
                <w:rFonts w:ascii="Arial" w:eastAsia="Arial" w:hAnsi="Arial" w:cs="Arial"/>
                <w:color w:val="000000"/>
                <w:sz w:val="16"/>
              </w:rPr>
            </w:pPr>
            <w:r>
              <w:rPr>
                <w:rFonts w:ascii="Arial" w:eastAsia="Arial" w:hAnsi="Arial" w:cs="Arial"/>
                <w:color w:val="000000"/>
                <w:sz w:val="16"/>
              </w:rPr>
              <w:t>estimate</w:t>
            </w:r>
          </w:p>
        </w:tc>
        <w:tc>
          <w:tcPr>
            <w:tcW w:w="1035" w:type="dxa"/>
            <w:tcBorders>
              <w:top w:val="nil"/>
              <w:left w:val="nil"/>
              <w:bottom w:val="nil"/>
              <w:right w:val="nil"/>
              <w:tl2br w:val="nil"/>
              <w:tr2bl w:val="nil"/>
            </w:tcBorders>
            <w:shd w:val="clear" w:color="auto" w:fill="FFFFFF"/>
            <w:tcMar>
              <w:left w:w="101" w:type="dxa"/>
              <w:right w:w="101" w:type="dxa"/>
            </w:tcMar>
            <w:vAlign w:val="bottom"/>
          </w:tcPr>
          <w:p w14:paraId="7AF3AFF1" w14:textId="77777777" w:rsidR="003F0EEA" w:rsidRDefault="00FB7D0B">
            <w:pPr>
              <w:jc w:val="right"/>
              <w:rPr>
                <w:rFonts w:ascii="Arial" w:eastAsia="Arial" w:hAnsi="Arial" w:cs="Arial"/>
                <w:color w:val="000000"/>
                <w:sz w:val="16"/>
              </w:rPr>
            </w:pPr>
            <w:r>
              <w:rPr>
                <w:rFonts w:ascii="Arial" w:eastAsia="Arial" w:hAnsi="Arial" w:cs="Arial"/>
                <w:color w:val="000000"/>
                <w:sz w:val="16"/>
              </w:rPr>
              <w:t>estimate</w:t>
            </w:r>
          </w:p>
        </w:tc>
        <w:tc>
          <w:tcPr>
            <w:tcW w:w="1035" w:type="dxa"/>
            <w:tcBorders>
              <w:top w:val="nil"/>
              <w:left w:val="nil"/>
              <w:bottom w:val="nil"/>
              <w:right w:val="nil"/>
              <w:tl2br w:val="nil"/>
              <w:tr2bl w:val="nil"/>
            </w:tcBorders>
            <w:shd w:val="clear" w:color="auto" w:fill="FFFFFF"/>
            <w:tcMar>
              <w:left w:w="101" w:type="dxa"/>
              <w:right w:w="101" w:type="dxa"/>
            </w:tcMar>
            <w:vAlign w:val="bottom"/>
          </w:tcPr>
          <w:p w14:paraId="71B19E65" w14:textId="77777777" w:rsidR="003F0EEA" w:rsidRDefault="00FB7D0B">
            <w:pPr>
              <w:jc w:val="right"/>
              <w:rPr>
                <w:rFonts w:ascii="Arial" w:eastAsia="Arial" w:hAnsi="Arial" w:cs="Arial"/>
                <w:color w:val="000000"/>
                <w:sz w:val="16"/>
              </w:rPr>
            </w:pPr>
            <w:r>
              <w:rPr>
                <w:rFonts w:ascii="Arial" w:eastAsia="Arial" w:hAnsi="Arial" w:cs="Arial"/>
                <w:color w:val="000000"/>
                <w:sz w:val="16"/>
              </w:rPr>
              <w:t>estimate</w:t>
            </w:r>
          </w:p>
        </w:tc>
      </w:tr>
      <w:tr w:rsidR="00724034" w14:paraId="6ED44D3D" w14:textId="77777777">
        <w:trPr>
          <w:trHeight w:val="225"/>
        </w:trPr>
        <w:tc>
          <w:tcPr>
            <w:tcW w:w="180" w:type="dxa"/>
            <w:tcBorders>
              <w:top w:val="nil"/>
              <w:left w:val="nil"/>
              <w:bottom w:val="nil"/>
              <w:right w:val="nil"/>
              <w:tl2br w:val="nil"/>
              <w:tr2bl w:val="nil"/>
            </w:tcBorders>
            <w:shd w:val="clear" w:color="auto" w:fill="FFFFFF"/>
            <w:tcMar>
              <w:left w:w="101" w:type="dxa"/>
              <w:right w:w="101" w:type="dxa"/>
            </w:tcMar>
            <w:vAlign w:val="bottom"/>
          </w:tcPr>
          <w:p w14:paraId="65783A03" w14:textId="77777777" w:rsidR="003F0EEA" w:rsidRDefault="003F0EEA">
            <w:pPr>
              <w:rPr>
                <w:rFonts w:ascii="Arial" w:eastAsia="Arial" w:hAnsi="Arial" w:cs="Arial"/>
                <w:color w:val="000000"/>
                <w:sz w:val="16"/>
              </w:rPr>
            </w:pPr>
          </w:p>
        </w:tc>
        <w:tc>
          <w:tcPr>
            <w:tcW w:w="180" w:type="dxa"/>
            <w:tcBorders>
              <w:top w:val="nil"/>
              <w:left w:val="nil"/>
              <w:bottom w:val="nil"/>
              <w:right w:val="nil"/>
              <w:tl2br w:val="nil"/>
              <w:tr2bl w:val="nil"/>
            </w:tcBorders>
            <w:shd w:val="clear" w:color="auto" w:fill="FFFFFF"/>
            <w:tcMar>
              <w:left w:w="101" w:type="dxa"/>
              <w:right w:w="101" w:type="dxa"/>
            </w:tcMar>
            <w:vAlign w:val="bottom"/>
          </w:tcPr>
          <w:p w14:paraId="50566958" w14:textId="77777777" w:rsidR="003F0EEA" w:rsidRDefault="003F0EEA">
            <w:pPr>
              <w:rPr>
                <w:rFonts w:ascii="Arial" w:eastAsia="Arial" w:hAnsi="Arial" w:cs="Arial"/>
                <w:color w:val="000000"/>
                <w:sz w:val="16"/>
              </w:rPr>
            </w:pPr>
          </w:p>
        </w:tc>
        <w:tc>
          <w:tcPr>
            <w:tcW w:w="2340" w:type="dxa"/>
            <w:tcBorders>
              <w:top w:val="nil"/>
              <w:left w:val="nil"/>
              <w:bottom w:val="nil"/>
              <w:right w:val="nil"/>
              <w:tl2br w:val="nil"/>
              <w:tr2bl w:val="nil"/>
            </w:tcBorders>
            <w:shd w:val="clear" w:color="auto" w:fill="FFFFFF"/>
            <w:tcMar>
              <w:left w:w="101" w:type="dxa"/>
              <w:right w:w="101" w:type="dxa"/>
            </w:tcMar>
            <w:vAlign w:val="bottom"/>
          </w:tcPr>
          <w:p w14:paraId="1E143029" w14:textId="77777777" w:rsidR="003F0EEA" w:rsidRDefault="003F0EEA">
            <w:pPr>
              <w:rPr>
                <w:rFonts w:ascii="Arial" w:eastAsia="Arial" w:hAnsi="Arial" w:cs="Arial"/>
                <w:color w:val="000000"/>
                <w:sz w:val="16"/>
              </w:rPr>
            </w:pPr>
          </w:p>
        </w:tc>
        <w:tc>
          <w:tcPr>
            <w:tcW w:w="1035" w:type="dxa"/>
            <w:tcBorders>
              <w:top w:val="nil"/>
              <w:left w:val="nil"/>
              <w:bottom w:val="nil"/>
              <w:right w:val="nil"/>
              <w:tl2br w:val="nil"/>
              <w:tr2bl w:val="nil"/>
            </w:tcBorders>
            <w:shd w:val="clear" w:color="auto" w:fill="FFFFFF"/>
            <w:tcMar>
              <w:left w:w="101" w:type="dxa"/>
              <w:right w:w="101" w:type="dxa"/>
            </w:tcMar>
            <w:vAlign w:val="bottom"/>
          </w:tcPr>
          <w:p w14:paraId="07884A8C" w14:textId="77777777" w:rsidR="003F0EEA" w:rsidRDefault="00FB7D0B">
            <w:pPr>
              <w:jc w:val="right"/>
              <w:rPr>
                <w:rFonts w:ascii="Arial" w:eastAsia="Arial" w:hAnsi="Arial" w:cs="Arial"/>
                <w:color w:val="000000"/>
                <w:sz w:val="16"/>
              </w:rPr>
            </w:pPr>
            <w:r>
              <w:rPr>
                <w:rFonts w:ascii="Arial" w:eastAsia="Arial" w:hAnsi="Arial" w:cs="Arial"/>
                <w:color w:val="000000"/>
                <w:sz w:val="16"/>
              </w:rPr>
              <w:t>2013-14</w:t>
            </w:r>
          </w:p>
        </w:tc>
        <w:tc>
          <w:tcPr>
            <w:tcW w:w="1035" w:type="dxa"/>
            <w:tcBorders>
              <w:top w:val="nil"/>
              <w:left w:val="nil"/>
              <w:bottom w:val="nil"/>
              <w:right w:val="nil"/>
              <w:tl2br w:val="nil"/>
              <w:tr2bl w:val="nil"/>
            </w:tcBorders>
            <w:shd w:val="clear" w:color="auto" w:fill="FFFF00"/>
            <w:tcMar>
              <w:left w:w="101" w:type="dxa"/>
              <w:right w:w="101" w:type="dxa"/>
            </w:tcMar>
            <w:vAlign w:val="bottom"/>
          </w:tcPr>
          <w:p w14:paraId="12A09270" w14:textId="77777777" w:rsidR="003F0EEA" w:rsidRDefault="00FB7D0B">
            <w:pPr>
              <w:jc w:val="right"/>
              <w:rPr>
                <w:rFonts w:ascii="Arial" w:eastAsia="Arial" w:hAnsi="Arial" w:cs="Arial"/>
                <w:color w:val="000000"/>
                <w:sz w:val="16"/>
              </w:rPr>
            </w:pPr>
            <w:r>
              <w:rPr>
                <w:rFonts w:ascii="Arial" w:eastAsia="Arial" w:hAnsi="Arial" w:cs="Arial"/>
                <w:color w:val="000000"/>
                <w:sz w:val="16"/>
              </w:rPr>
              <w:t>2014-15</w:t>
            </w:r>
          </w:p>
        </w:tc>
        <w:tc>
          <w:tcPr>
            <w:tcW w:w="1035" w:type="dxa"/>
            <w:tcBorders>
              <w:top w:val="nil"/>
              <w:left w:val="nil"/>
              <w:bottom w:val="nil"/>
              <w:right w:val="nil"/>
              <w:tl2br w:val="nil"/>
              <w:tr2bl w:val="nil"/>
            </w:tcBorders>
            <w:shd w:val="clear" w:color="auto" w:fill="FFFFFF"/>
            <w:tcMar>
              <w:left w:w="101" w:type="dxa"/>
              <w:right w:w="101" w:type="dxa"/>
            </w:tcMar>
            <w:vAlign w:val="bottom"/>
          </w:tcPr>
          <w:p w14:paraId="351E814B" w14:textId="77777777" w:rsidR="003F0EEA" w:rsidRDefault="00FB7D0B">
            <w:pPr>
              <w:jc w:val="right"/>
              <w:rPr>
                <w:rFonts w:ascii="Arial" w:eastAsia="Arial" w:hAnsi="Arial" w:cs="Arial"/>
                <w:color w:val="000000"/>
                <w:sz w:val="16"/>
              </w:rPr>
            </w:pPr>
            <w:r>
              <w:rPr>
                <w:rFonts w:ascii="Arial" w:eastAsia="Arial" w:hAnsi="Arial" w:cs="Arial"/>
                <w:color w:val="000000"/>
                <w:sz w:val="16"/>
              </w:rPr>
              <w:t>2015-16</w:t>
            </w:r>
          </w:p>
        </w:tc>
        <w:tc>
          <w:tcPr>
            <w:tcW w:w="1035" w:type="dxa"/>
            <w:tcBorders>
              <w:top w:val="nil"/>
              <w:left w:val="nil"/>
              <w:bottom w:val="nil"/>
              <w:right w:val="nil"/>
              <w:tl2br w:val="nil"/>
              <w:tr2bl w:val="nil"/>
            </w:tcBorders>
            <w:shd w:val="clear" w:color="auto" w:fill="FFFFFF"/>
            <w:tcMar>
              <w:left w:w="101" w:type="dxa"/>
              <w:right w:w="101" w:type="dxa"/>
            </w:tcMar>
            <w:vAlign w:val="bottom"/>
          </w:tcPr>
          <w:p w14:paraId="6E52F355" w14:textId="77777777" w:rsidR="003F0EEA" w:rsidRDefault="00FB7D0B">
            <w:pPr>
              <w:jc w:val="right"/>
              <w:rPr>
                <w:rFonts w:ascii="Arial" w:eastAsia="Arial" w:hAnsi="Arial" w:cs="Arial"/>
                <w:color w:val="000000"/>
                <w:sz w:val="16"/>
              </w:rPr>
            </w:pPr>
            <w:r>
              <w:rPr>
                <w:rFonts w:ascii="Arial" w:eastAsia="Arial" w:hAnsi="Arial" w:cs="Arial"/>
                <w:color w:val="000000"/>
                <w:sz w:val="16"/>
              </w:rPr>
              <w:t>2016-17</w:t>
            </w:r>
          </w:p>
        </w:tc>
        <w:tc>
          <w:tcPr>
            <w:tcW w:w="1035" w:type="dxa"/>
            <w:tcBorders>
              <w:top w:val="nil"/>
              <w:left w:val="nil"/>
              <w:bottom w:val="nil"/>
              <w:right w:val="nil"/>
              <w:tl2br w:val="nil"/>
              <w:tr2bl w:val="nil"/>
            </w:tcBorders>
            <w:shd w:val="clear" w:color="auto" w:fill="FFFFFF"/>
            <w:tcMar>
              <w:left w:w="101" w:type="dxa"/>
              <w:right w:w="101" w:type="dxa"/>
            </w:tcMar>
            <w:vAlign w:val="bottom"/>
          </w:tcPr>
          <w:p w14:paraId="7F4E02F4" w14:textId="77777777" w:rsidR="003F0EEA" w:rsidRDefault="00FB7D0B">
            <w:pPr>
              <w:jc w:val="right"/>
              <w:rPr>
                <w:rFonts w:ascii="Arial" w:eastAsia="Arial" w:hAnsi="Arial" w:cs="Arial"/>
                <w:color w:val="000000"/>
                <w:sz w:val="16"/>
              </w:rPr>
            </w:pPr>
            <w:r>
              <w:rPr>
                <w:rFonts w:ascii="Arial" w:eastAsia="Arial" w:hAnsi="Arial" w:cs="Arial"/>
                <w:color w:val="000000"/>
                <w:sz w:val="16"/>
              </w:rPr>
              <w:t>2017-18</w:t>
            </w:r>
          </w:p>
        </w:tc>
      </w:tr>
      <w:tr w:rsidR="00724034" w14:paraId="2DB5F624" w14:textId="77777777">
        <w:trPr>
          <w:trHeight w:val="225"/>
        </w:trPr>
        <w:tc>
          <w:tcPr>
            <w:tcW w:w="180" w:type="dxa"/>
            <w:tcBorders>
              <w:top w:val="nil"/>
              <w:left w:val="nil"/>
              <w:bottom w:val="nil"/>
              <w:right w:val="nil"/>
              <w:tl2br w:val="nil"/>
              <w:tr2bl w:val="nil"/>
            </w:tcBorders>
            <w:shd w:val="clear" w:color="auto" w:fill="FFFFFF"/>
            <w:tcMar>
              <w:left w:w="101" w:type="dxa"/>
              <w:right w:w="101" w:type="dxa"/>
            </w:tcMar>
            <w:vAlign w:val="bottom"/>
          </w:tcPr>
          <w:p w14:paraId="61A40E13" w14:textId="77777777" w:rsidR="003F0EEA" w:rsidRDefault="003F0EEA">
            <w:pPr>
              <w:rPr>
                <w:rFonts w:ascii="Arial" w:eastAsia="Arial" w:hAnsi="Arial" w:cs="Arial"/>
                <w:color w:val="000000"/>
                <w:sz w:val="16"/>
              </w:rPr>
            </w:pPr>
          </w:p>
        </w:tc>
        <w:tc>
          <w:tcPr>
            <w:tcW w:w="180" w:type="dxa"/>
            <w:tcBorders>
              <w:top w:val="nil"/>
              <w:left w:val="nil"/>
              <w:bottom w:val="nil"/>
              <w:right w:val="nil"/>
              <w:tl2br w:val="nil"/>
              <w:tr2bl w:val="nil"/>
            </w:tcBorders>
            <w:shd w:val="clear" w:color="auto" w:fill="FFFFFF"/>
            <w:tcMar>
              <w:left w:w="101" w:type="dxa"/>
              <w:right w:w="101" w:type="dxa"/>
            </w:tcMar>
            <w:vAlign w:val="bottom"/>
          </w:tcPr>
          <w:p w14:paraId="6DBCE4E9" w14:textId="77777777" w:rsidR="003F0EEA" w:rsidRDefault="003F0EEA">
            <w:pPr>
              <w:rPr>
                <w:rFonts w:ascii="Arial" w:eastAsia="Arial" w:hAnsi="Arial" w:cs="Arial"/>
                <w:color w:val="000000"/>
                <w:sz w:val="16"/>
              </w:rPr>
            </w:pPr>
          </w:p>
        </w:tc>
        <w:tc>
          <w:tcPr>
            <w:tcW w:w="2340" w:type="dxa"/>
            <w:tcBorders>
              <w:top w:val="nil"/>
              <w:left w:val="nil"/>
              <w:bottom w:val="nil"/>
              <w:right w:val="nil"/>
              <w:tl2br w:val="nil"/>
              <w:tr2bl w:val="nil"/>
            </w:tcBorders>
            <w:shd w:val="clear" w:color="auto" w:fill="FFFFFF"/>
            <w:tcMar>
              <w:left w:w="101" w:type="dxa"/>
              <w:right w:w="101" w:type="dxa"/>
            </w:tcMar>
            <w:vAlign w:val="bottom"/>
          </w:tcPr>
          <w:p w14:paraId="02A6C213" w14:textId="77777777" w:rsidR="003F0EEA" w:rsidRDefault="003F0EEA">
            <w:pPr>
              <w:rPr>
                <w:rFonts w:ascii="Arial" w:eastAsia="Arial" w:hAnsi="Arial" w:cs="Arial"/>
                <w:color w:val="000000"/>
                <w:sz w:val="16"/>
              </w:rPr>
            </w:pPr>
          </w:p>
        </w:tc>
        <w:tc>
          <w:tcPr>
            <w:tcW w:w="1035"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526FF718" w14:textId="77777777" w:rsidR="003F0EEA" w:rsidRDefault="00FB7D0B">
            <w:pPr>
              <w:jc w:val="right"/>
              <w:rPr>
                <w:rFonts w:ascii="Arial" w:eastAsia="Arial" w:hAnsi="Arial" w:cs="Arial"/>
                <w:color w:val="000000"/>
                <w:sz w:val="16"/>
              </w:rPr>
            </w:pPr>
            <w:r>
              <w:rPr>
                <w:rFonts w:ascii="Arial" w:eastAsia="Arial" w:hAnsi="Arial" w:cs="Arial"/>
                <w:color w:val="000000"/>
                <w:sz w:val="16"/>
              </w:rPr>
              <w:t>$'000</w:t>
            </w:r>
          </w:p>
        </w:tc>
        <w:tc>
          <w:tcPr>
            <w:tcW w:w="1035" w:type="dxa"/>
            <w:tcBorders>
              <w:top w:val="nil"/>
              <w:left w:val="nil"/>
              <w:bottom w:val="single" w:sz="6" w:space="0" w:color="000000"/>
              <w:right w:val="nil"/>
              <w:tl2br w:val="nil"/>
              <w:tr2bl w:val="nil"/>
            </w:tcBorders>
            <w:shd w:val="clear" w:color="auto" w:fill="FFFF00"/>
            <w:tcMar>
              <w:left w:w="101" w:type="dxa"/>
              <w:right w:w="101" w:type="dxa"/>
            </w:tcMar>
            <w:vAlign w:val="bottom"/>
          </w:tcPr>
          <w:p w14:paraId="2C67234C" w14:textId="77777777" w:rsidR="003F0EEA" w:rsidRDefault="00FB7D0B">
            <w:pPr>
              <w:jc w:val="right"/>
              <w:rPr>
                <w:rFonts w:ascii="Arial" w:eastAsia="Arial" w:hAnsi="Arial" w:cs="Arial"/>
                <w:color w:val="000000"/>
                <w:sz w:val="16"/>
              </w:rPr>
            </w:pPr>
            <w:r>
              <w:rPr>
                <w:rFonts w:ascii="Arial" w:eastAsia="Arial" w:hAnsi="Arial" w:cs="Arial"/>
                <w:color w:val="000000"/>
                <w:sz w:val="16"/>
              </w:rPr>
              <w:t>$'000</w:t>
            </w:r>
          </w:p>
        </w:tc>
        <w:tc>
          <w:tcPr>
            <w:tcW w:w="1035"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0BC1E158" w14:textId="77777777" w:rsidR="003F0EEA" w:rsidRDefault="00FB7D0B">
            <w:pPr>
              <w:jc w:val="right"/>
              <w:rPr>
                <w:rFonts w:ascii="Arial" w:eastAsia="Arial" w:hAnsi="Arial" w:cs="Arial"/>
                <w:color w:val="000000"/>
                <w:sz w:val="16"/>
              </w:rPr>
            </w:pPr>
            <w:r>
              <w:rPr>
                <w:rFonts w:ascii="Arial" w:eastAsia="Arial" w:hAnsi="Arial" w:cs="Arial"/>
                <w:color w:val="000000"/>
                <w:sz w:val="16"/>
              </w:rPr>
              <w:t>$'000</w:t>
            </w:r>
          </w:p>
        </w:tc>
        <w:tc>
          <w:tcPr>
            <w:tcW w:w="1035"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27EEB26E" w14:textId="77777777" w:rsidR="003F0EEA" w:rsidRDefault="00FB7D0B">
            <w:pPr>
              <w:jc w:val="right"/>
              <w:rPr>
                <w:rFonts w:ascii="Arial" w:eastAsia="Arial" w:hAnsi="Arial" w:cs="Arial"/>
                <w:color w:val="000000"/>
                <w:sz w:val="16"/>
              </w:rPr>
            </w:pPr>
            <w:r>
              <w:rPr>
                <w:rFonts w:ascii="Arial" w:eastAsia="Arial" w:hAnsi="Arial" w:cs="Arial"/>
                <w:color w:val="000000"/>
                <w:sz w:val="16"/>
              </w:rPr>
              <w:t>$'000</w:t>
            </w:r>
          </w:p>
        </w:tc>
        <w:tc>
          <w:tcPr>
            <w:tcW w:w="1035"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0B3FE80D" w14:textId="77777777" w:rsidR="003F0EEA" w:rsidRDefault="00FB7D0B">
            <w:pPr>
              <w:jc w:val="right"/>
              <w:rPr>
                <w:rFonts w:ascii="Arial" w:eastAsia="Arial" w:hAnsi="Arial" w:cs="Arial"/>
                <w:color w:val="000000"/>
                <w:sz w:val="16"/>
              </w:rPr>
            </w:pPr>
            <w:r>
              <w:rPr>
                <w:rFonts w:ascii="Arial" w:eastAsia="Arial" w:hAnsi="Arial" w:cs="Arial"/>
                <w:color w:val="000000"/>
                <w:sz w:val="16"/>
              </w:rPr>
              <w:t>$'000</w:t>
            </w:r>
          </w:p>
        </w:tc>
      </w:tr>
      <w:tr w:rsidR="00FB7D0B" w14:paraId="05A27855" w14:textId="77777777" w:rsidTr="00FB7D0B">
        <w:trPr>
          <w:trHeight w:val="225"/>
        </w:trPr>
        <w:tc>
          <w:tcPr>
            <w:tcW w:w="2700" w:type="dxa"/>
            <w:gridSpan w:val="3"/>
            <w:tcBorders>
              <w:top w:val="nil"/>
              <w:left w:val="nil"/>
              <w:bottom w:val="nil"/>
              <w:right w:val="nil"/>
              <w:tl2br w:val="nil"/>
              <w:tr2bl w:val="nil"/>
            </w:tcBorders>
            <w:shd w:val="clear" w:color="auto" w:fill="FFFFFF"/>
            <w:tcMar>
              <w:left w:w="101" w:type="dxa"/>
              <w:right w:w="101" w:type="dxa"/>
            </w:tcMar>
            <w:vAlign w:val="bottom"/>
          </w:tcPr>
          <w:p w14:paraId="38B09E7E" w14:textId="77777777" w:rsidR="003F0EEA" w:rsidRDefault="00FB7D0B">
            <w:pPr>
              <w:rPr>
                <w:rFonts w:ascii="Arial" w:eastAsia="Arial" w:hAnsi="Arial" w:cs="Arial"/>
                <w:color w:val="000000"/>
                <w:sz w:val="16"/>
              </w:rPr>
            </w:pPr>
            <w:r>
              <w:rPr>
                <w:rFonts w:ascii="Arial" w:eastAsia="Arial" w:hAnsi="Arial" w:cs="Arial"/>
                <w:b/>
                <w:color w:val="000000"/>
                <w:sz w:val="16"/>
              </w:rPr>
              <w:t xml:space="preserve">ASSETS ADMINISTERED ON </w:t>
            </w:r>
          </w:p>
        </w:tc>
        <w:tc>
          <w:tcPr>
            <w:tcW w:w="103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6ABD1253" w14:textId="77777777" w:rsidR="003F0EEA" w:rsidRDefault="003F0EEA">
            <w:pPr>
              <w:rPr>
                <w:rFonts w:ascii="Arial" w:eastAsia="Arial" w:hAnsi="Arial" w:cs="Arial"/>
                <w:b/>
                <w:color w:val="000000"/>
                <w:sz w:val="16"/>
              </w:rPr>
            </w:pPr>
          </w:p>
        </w:tc>
        <w:tc>
          <w:tcPr>
            <w:tcW w:w="1035" w:type="dxa"/>
            <w:tcBorders>
              <w:top w:val="single" w:sz="6" w:space="0" w:color="000000"/>
              <w:left w:val="nil"/>
              <w:bottom w:val="nil"/>
              <w:right w:val="nil"/>
              <w:tl2br w:val="nil"/>
              <w:tr2bl w:val="nil"/>
            </w:tcBorders>
            <w:shd w:val="clear" w:color="auto" w:fill="FFFF00"/>
            <w:tcMar>
              <w:left w:w="101" w:type="dxa"/>
              <w:right w:w="101" w:type="dxa"/>
            </w:tcMar>
            <w:vAlign w:val="bottom"/>
          </w:tcPr>
          <w:p w14:paraId="7274F016" w14:textId="77777777" w:rsidR="003F0EEA" w:rsidRDefault="003F0EEA">
            <w:pPr>
              <w:rPr>
                <w:rFonts w:ascii="Arial" w:eastAsia="Arial" w:hAnsi="Arial" w:cs="Arial"/>
                <w:color w:val="000000"/>
                <w:sz w:val="16"/>
              </w:rPr>
            </w:pPr>
          </w:p>
        </w:tc>
        <w:tc>
          <w:tcPr>
            <w:tcW w:w="103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0B2B7874" w14:textId="77777777" w:rsidR="003F0EEA" w:rsidRDefault="003F0EEA">
            <w:pPr>
              <w:rPr>
                <w:rFonts w:ascii="Arial" w:eastAsia="Arial" w:hAnsi="Arial" w:cs="Arial"/>
                <w:color w:val="000000"/>
                <w:sz w:val="16"/>
              </w:rPr>
            </w:pPr>
          </w:p>
        </w:tc>
        <w:tc>
          <w:tcPr>
            <w:tcW w:w="103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1DB8A261" w14:textId="77777777" w:rsidR="003F0EEA" w:rsidRDefault="003F0EEA">
            <w:pPr>
              <w:rPr>
                <w:rFonts w:ascii="Arial" w:eastAsia="Arial" w:hAnsi="Arial" w:cs="Arial"/>
                <w:color w:val="000000"/>
                <w:sz w:val="16"/>
              </w:rPr>
            </w:pPr>
          </w:p>
        </w:tc>
        <w:tc>
          <w:tcPr>
            <w:tcW w:w="103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4F3A2B78" w14:textId="77777777" w:rsidR="003F0EEA" w:rsidRDefault="003F0EEA">
            <w:pPr>
              <w:rPr>
                <w:rFonts w:ascii="Arial" w:eastAsia="Arial" w:hAnsi="Arial" w:cs="Arial"/>
                <w:color w:val="000000"/>
                <w:sz w:val="16"/>
              </w:rPr>
            </w:pPr>
          </w:p>
        </w:tc>
      </w:tr>
      <w:tr w:rsidR="00FB7D0B" w14:paraId="2FE11B84" w14:textId="77777777" w:rsidTr="00FB7D0B">
        <w:trPr>
          <w:trHeight w:val="225"/>
        </w:trPr>
        <w:tc>
          <w:tcPr>
            <w:tcW w:w="180" w:type="dxa"/>
            <w:tcBorders>
              <w:top w:val="nil"/>
              <w:left w:val="nil"/>
              <w:bottom w:val="nil"/>
              <w:right w:val="nil"/>
              <w:tl2br w:val="nil"/>
              <w:tr2bl w:val="nil"/>
            </w:tcBorders>
            <w:shd w:val="clear" w:color="auto" w:fill="FFFFFF"/>
            <w:tcMar>
              <w:left w:w="101" w:type="dxa"/>
              <w:right w:w="101" w:type="dxa"/>
            </w:tcMar>
            <w:vAlign w:val="bottom"/>
          </w:tcPr>
          <w:p w14:paraId="44EF1145" w14:textId="77777777" w:rsidR="003F0EEA" w:rsidRDefault="003F0EEA">
            <w:pPr>
              <w:rPr>
                <w:rFonts w:ascii="Arial" w:eastAsia="Arial" w:hAnsi="Arial" w:cs="Arial"/>
                <w:color w:val="000000"/>
                <w:sz w:val="16"/>
              </w:rPr>
            </w:pPr>
          </w:p>
        </w:tc>
        <w:tc>
          <w:tcPr>
            <w:tcW w:w="3555" w:type="dxa"/>
            <w:gridSpan w:val="3"/>
            <w:vMerge w:val="restart"/>
            <w:tcBorders>
              <w:top w:val="nil"/>
              <w:left w:val="nil"/>
              <w:bottom w:val="nil"/>
              <w:right w:val="nil"/>
              <w:tl2br w:val="nil"/>
              <w:tr2bl w:val="nil"/>
            </w:tcBorders>
            <w:shd w:val="clear" w:color="auto" w:fill="FFFFFF"/>
            <w:tcMar>
              <w:left w:w="101" w:type="dxa"/>
              <w:right w:w="101" w:type="dxa"/>
            </w:tcMar>
            <w:vAlign w:val="bottom"/>
          </w:tcPr>
          <w:p w14:paraId="22766D58" w14:textId="77777777" w:rsidR="003F0EEA" w:rsidRDefault="00FB7D0B">
            <w:pPr>
              <w:rPr>
                <w:rFonts w:ascii="Arial" w:eastAsia="Arial" w:hAnsi="Arial" w:cs="Arial"/>
                <w:color w:val="000000"/>
                <w:sz w:val="16"/>
              </w:rPr>
            </w:pPr>
            <w:r>
              <w:rPr>
                <w:rFonts w:ascii="Arial" w:eastAsia="Arial" w:hAnsi="Arial" w:cs="Arial"/>
                <w:b/>
                <w:color w:val="000000"/>
                <w:sz w:val="16"/>
              </w:rPr>
              <w:t>BEHALF OF GOVERNMENT</w:t>
            </w:r>
          </w:p>
        </w:tc>
        <w:tc>
          <w:tcPr>
            <w:tcW w:w="1035" w:type="dxa"/>
            <w:tcBorders>
              <w:top w:val="nil"/>
              <w:left w:val="nil"/>
              <w:bottom w:val="nil"/>
              <w:right w:val="nil"/>
              <w:tl2br w:val="nil"/>
              <w:tr2bl w:val="nil"/>
            </w:tcBorders>
            <w:shd w:val="clear" w:color="auto" w:fill="FFFF00"/>
            <w:tcMar>
              <w:left w:w="101" w:type="dxa"/>
              <w:right w:w="101" w:type="dxa"/>
            </w:tcMar>
            <w:vAlign w:val="bottom"/>
          </w:tcPr>
          <w:p w14:paraId="344D8450" w14:textId="77777777" w:rsidR="003F0EEA" w:rsidRDefault="003F0EEA">
            <w:pPr>
              <w:rPr>
                <w:rFonts w:ascii="Arial" w:eastAsia="Arial" w:hAnsi="Arial" w:cs="Arial"/>
                <w:b/>
                <w:color w:val="000000"/>
                <w:sz w:val="16"/>
              </w:rPr>
            </w:pPr>
          </w:p>
        </w:tc>
        <w:tc>
          <w:tcPr>
            <w:tcW w:w="1035" w:type="dxa"/>
            <w:tcBorders>
              <w:top w:val="nil"/>
              <w:left w:val="nil"/>
              <w:bottom w:val="nil"/>
              <w:right w:val="nil"/>
              <w:tl2br w:val="nil"/>
              <w:tr2bl w:val="nil"/>
            </w:tcBorders>
            <w:shd w:val="clear" w:color="auto" w:fill="FFFFFF"/>
            <w:tcMar>
              <w:left w:w="101" w:type="dxa"/>
              <w:right w:w="101" w:type="dxa"/>
            </w:tcMar>
            <w:vAlign w:val="bottom"/>
          </w:tcPr>
          <w:p w14:paraId="1CD9C582" w14:textId="77777777" w:rsidR="003F0EEA" w:rsidRDefault="003F0EEA">
            <w:pPr>
              <w:rPr>
                <w:rFonts w:ascii="Arial" w:eastAsia="Arial" w:hAnsi="Arial" w:cs="Arial"/>
                <w:color w:val="000000"/>
                <w:sz w:val="16"/>
              </w:rPr>
            </w:pPr>
          </w:p>
        </w:tc>
        <w:tc>
          <w:tcPr>
            <w:tcW w:w="1035" w:type="dxa"/>
            <w:tcBorders>
              <w:top w:val="nil"/>
              <w:left w:val="nil"/>
              <w:bottom w:val="nil"/>
              <w:right w:val="nil"/>
              <w:tl2br w:val="nil"/>
              <w:tr2bl w:val="nil"/>
            </w:tcBorders>
            <w:shd w:val="clear" w:color="auto" w:fill="FFFFFF"/>
            <w:tcMar>
              <w:left w:w="101" w:type="dxa"/>
              <w:right w:w="101" w:type="dxa"/>
            </w:tcMar>
            <w:vAlign w:val="bottom"/>
          </w:tcPr>
          <w:p w14:paraId="697ADAE6" w14:textId="77777777" w:rsidR="003F0EEA" w:rsidRDefault="003F0EEA">
            <w:pPr>
              <w:rPr>
                <w:rFonts w:ascii="Arial" w:eastAsia="Arial" w:hAnsi="Arial" w:cs="Arial"/>
                <w:color w:val="000000"/>
                <w:sz w:val="16"/>
              </w:rPr>
            </w:pPr>
          </w:p>
        </w:tc>
        <w:tc>
          <w:tcPr>
            <w:tcW w:w="1035" w:type="dxa"/>
            <w:tcBorders>
              <w:top w:val="nil"/>
              <w:left w:val="nil"/>
              <w:bottom w:val="nil"/>
              <w:right w:val="nil"/>
              <w:tl2br w:val="nil"/>
              <w:tr2bl w:val="nil"/>
            </w:tcBorders>
            <w:shd w:val="clear" w:color="auto" w:fill="FFFFFF"/>
            <w:tcMar>
              <w:left w:w="101" w:type="dxa"/>
              <w:right w:w="101" w:type="dxa"/>
            </w:tcMar>
            <w:vAlign w:val="bottom"/>
          </w:tcPr>
          <w:p w14:paraId="292C9F1E" w14:textId="77777777" w:rsidR="003F0EEA" w:rsidRDefault="003F0EEA">
            <w:pPr>
              <w:rPr>
                <w:rFonts w:ascii="Arial" w:eastAsia="Arial" w:hAnsi="Arial" w:cs="Arial"/>
                <w:color w:val="000000"/>
                <w:sz w:val="16"/>
              </w:rPr>
            </w:pPr>
          </w:p>
        </w:tc>
      </w:tr>
      <w:tr w:rsidR="00FB7D0B" w14:paraId="0147C04B" w14:textId="77777777" w:rsidTr="00FB7D0B">
        <w:trPr>
          <w:trHeight w:val="225"/>
        </w:trPr>
        <w:tc>
          <w:tcPr>
            <w:tcW w:w="2700" w:type="dxa"/>
            <w:gridSpan w:val="3"/>
            <w:tcBorders>
              <w:top w:val="nil"/>
              <w:left w:val="nil"/>
              <w:bottom w:val="nil"/>
              <w:right w:val="nil"/>
              <w:tl2br w:val="nil"/>
              <w:tr2bl w:val="nil"/>
            </w:tcBorders>
            <w:shd w:val="clear" w:color="auto" w:fill="FFFFFF"/>
            <w:tcMar>
              <w:left w:w="101" w:type="dxa"/>
              <w:right w:w="101" w:type="dxa"/>
            </w:tcMar>
            <w:vAlign w:val="bottom"/>
          </w:tcPr>
          <w:p w14:paraId="69E953B8" w14:textId="77777777" w:rsidR="003F0EEA" w:rsidRDefault="00FB7D0B">
            <w:pPr>
              <w:rPr>
                <w:rFonts w:ascii="Arial" w:eastAsia="Arial" w:hAnsi="Arial" w:cs="Arial"/>
                <w:color w:val="000000"/>
                <w:sz w:val="16"/>
              </w:rPr>
            </w:pPr>
            <w:r>
              <w:rPr>
                <w:rFonts w:ascii="Arial" w:eastAsia="Arial" w:hAnsi="Arial" w:cs="Arial"/>
                <w:b/>
                <w:color w:val="000000"/>
                <w:sz w:val="16"/>
              </w:rPr>
              <w:t>Financial assets</w:t>
            </w:r>
          </w:p>
        </w:tc>
        <w:tc>
          <w:tcPr>
            <w:tcW w:w="1035" w:type="dxa"/>
            <w:tcBorders>
              <w:top w:val="nil"/>
              <w:left w:val="nil"/>
              <w:bottom w:val="nil"/>
              <w:right w:val="nil"/>
              <w:tl2br w:val="nil"/>
              <w:tr2bl w:val="nil"/>
            </w:tcBorders>
            <w:shd w:val="clear" w:color="auto" w:fill="FFFFFF"/>
            <w:tcMar>
              <w:left w:w="101" w:type="dxa"/>
              <w:right w:w="101" w:type="dxa"/>
            </w:tcMar>
            <w:vAlign w:val="bottom"/>
          </w:tcPr>
          <w:p w14:paraId="373D9F99" w14:textId="77777777" w:rsidR="003F0EEA" w:rsidRDefault="003F0EEA">
            <w:pPr>
              <w:rPr>
                <w:rFonts w:ascii="Arial" w:eastAsia="Arial" w:hAnsi="Arial" w:cs="Arial"/>
                <w:b/>
                <w:color w:val="000000"/>
                <w:sz w:val="16"/>
              </w:rPr>
            </w:pPr>
          </w:p>
        </w:tc>
        <w:tc>
          <w:tcPr>
            <w:tcW w:w="1035" w:type="dxa"/>
            <w:tcBorders>
              <w:top w:val="nil"/>
              <w:left w:val="nil"/>
              <w:bottom w:val="nil"/>
              <w:right w:val="nil"/>
              <w:tl2br w:val="nil"/>
              <w:tr2bl w:val="nil"/>
            </w:tcBorders>
            <w:shd w:val="clear" w:color="auto" w:fill="FFFF00"/>
            <w:tcMar>
              <w:left w:w="101" w:type="dxa"/>
              <w:right w:w="101" w:type="dxa"/>
            </w:tcMar>
            <w:vAlign w:val="bottom"/>
          </w:tcPr>
          <w:p w14:paraId="52207DAF" w14:textId="77777777" w:rsidR="003F0EEA" w:rsidRDefault="003F0EEA">
            <w:pPr>
              <w:rPr>
                <w:rFonts w:ascii="Arial" w:eastAsia="Arial" w:hAnsi="Arial" w:cs="Arial"/>
                <w:color w:val="000000"/>
                <w:sz w:val="16"/>
              </w:rPr>
            </w:pPr>
          </w:p>
        </w:tc>
        <w:tc>
          <w:tcPr>
            <w:tcW w:w="1035" w:type="dxa"/>
            <w:tcBorders>
              <w:top w:val="nil"/>
              <w:left w:val="nil"/>
              <w:bottom w:val="nil"/>
              <w:right w:val="nil"/>
              <w:tl2br w:val="nil"/>
              <w:tr2bl w:val="nil"/>
            </w:tcBorders>
            <w:shd w:val="clear" w:color="auto" w:fill="FFFFFF"/>
            <w:tcMar>
              <w:left w:w="101" w:type="dxa"/>
              <w:right w:w="101" w:type="dxa"/>
            </w:tcMar>
            <w:vAlign w:val="bottom"/>
          </w:tcPr>
          <w:p w14:paraId="438278E4" w14:textId="77777777" w:rsidR="003F0EEA" w:rsidRDefault="003F0EEA">
            <w:pPr>
              <w:rPr>
                <w:rFonts w:ascii="Arial" w:eastAsia="Arial" w:hAnsi="Arial" w:cs="Arial"/>
                <w:color w:val="000000"/>
                <w:sz w:val="16"/>
              </w:rPr>
            </w:pPr>
          </w:p>
        </w:tc>
        <w:tc>
          <w:tcPr>
            <w:tcW w:w="1035" w:type="dxa"/>
            <w:tcBorders>
              <w:top w:val="nil"/>
              <w:left w:val="nil"/>
              <w:bottom w:val="nil"/>
              <w:right w:val="nil"/>
              <w:tl2br w:val="nil"/>
              <w:tr2bl w:val="nil"/>
            </w:tcBorders>
            <w:shd w:val="clear" w:color="auto" w:fill="FFFFFF"/>
            <w:tcMar>
              <w:left w:w="101" w:type="dxa"/>
              <w:right w:w="101" w:type="dxa"/>
            </w:tcMar>
            <w:vAlign w:val="bottom"/>
          </w:tcPr>
          <w:p w14:paraId="7F64A641" w14:textId="77777777" w:rsidR="003F0EEA" w:rsidRDefault="003F0EEA">
            <w:pPr>
              <w:rPr>
                <w:rFonts w:ascii="Arial" w:eastAsia="Arial" w:hAnsi="Arial" w:cs="Arial"/>
                <w:color w:val="000000"/>
                <w:sz w:val="16"/>
              </w:rPr>
            </w:pPr>
          </w:p>
        </w:tc>
        <w:tc>
          <w:tcPr>
            <w:tcW w:w="1035" w:type="dxa"/>
            <w:tcBorders>
              <w:top w:val="nil"/>
              <w:left w:val="nil"/>
              <w:bottom w:val="nil"/>
              <w:right w:val="nil"/>
              <w:tl2br w:val="nil"/>
              <w:tr2bl w:val="nil"/>
            </w:tcBorders>
            <w:shd w:val="clear" w:color="auto" w:fill="FFFFFF"/>
            <w:tcMar>
              <w:left w:w="101" w:type="dxa"/>
              <w:right w:w="101" w:type="dxa"/>
            </w:tcMar>
            <w:vAlign w:val="bottom"/>
          </w:tcPr>
          <w:p w14:paraId="534B0D3D" w14:textId="77777777" w:rsidR="003F0EEA" w:rsidRDefault="003F0EEA">
            <w:pPr>
              <w:rPr>
                <w:rFonts w:ascii="Arial" w:eastAsia="Arial" w:hAnsi="Arial" w:cs="Arial"/>
                <w:color w:val="000000"/>
                <w:sz w:val="16"/>
              </w:rPr>
            </w:pPr>
          </w:p>
        </w:tc>
      </w:tr>
      <w:tr w:rsidR="00FB7D0B" w14:paraId="6FAA270A" w14:textId="77777777" w:rsidTr="00FB7D0B">
        <w:trPr>
          <w:trHeight w:val="225"/>
        </w:trPr>
        <w:tc>
          <w:tcPr>
            <w:tcW w:w="180" w:type="dxa"/>
            <w:tcBorders>
              <w:top w:val="nil"/>
              <w:left w:val="nil"/>
              <w:bottom w:val="nil"/>
              <w:right w:val="nil"/>
              <w:tl2br w:val="nil"/>
              <w:tr2bl w:val="nil"/>
            </w:tcBorders>
            <w:shd w:val="clear" w:color="auto" w:fill="FFFFFF"/>
            <w:tcMar>
              <w:left w:w="101" w:type="dxa"/>
              <w:right w:w="101" w:type="dxa"/>
            </w:tcMar>
            <w:vAlign w:val="bottom"/>
          </w:tcPr>
          <w:p w14:paraId="38A8BCA3" w14:textId="77777777" w:rsidR="003F0EEA" w:rsidRDefault="003F0EEA">
            <w:pPr>
              <w:rPr>
                <w:rFonts w:ascii="Arial" w:eastAsia="Arial" w:hAnsi="Arial" w:cs="Arial"/>
                <w:color w:val="000000"/>
                <w:sz w:val="16"/>
              </w:rPr>
            </w:pPr>
          </w:p>
        </w:tc>
        <w:tc>
          <w:tcPr>
            <w:tcW w:w="2520" w:type="dxa"/>
            <w:gridSpan w:val="2"/>
            <w:vMerge w:val="restart"/>
            <w:tcBorders>
              <w:top w:val="nil"/>
              <w:left w:val="nil"/>
              <w:bottom w:val="nil"/>
              <w:right w:val="nil"/>
              <w:tl2br w:val="nil"/>
              <w:tr2bl w:val="nil"/>
            </w:tcBorders>
            <w:shd w:val="clear" w:color="auto" w:fill="FFFFFF"/>
            <w:tcMar>
              <w:left w:w="101" w:type="dxa"/>
              <w:right w:w="101" w:type="dxa"/>
            </w:tcMar>
            <w:vAlign w:val="bottom"/>
          </w:tcPr>
          <w:p w14:paraId="3C598651" w14:textId="77777777" w:rsidR="003F0EEA" w:rsidRDefault="00FB7D0B">
            <w:pPr>
              <w:rPr>
                <w:rFonts w:ascii="Arial" w:eastAsia="Arial" w:hAnsi="Arial" w:cs="Arial"/>
                <w:color w:val="000000"/>
                <w:sz w:val="16"/>
              </w:rPr>
            </w:pPr>
            <w:r>
              <w:rPr>
                <w:rFonts w:ascii="Arial" w:eastAsia="Arial" w:hAnsi="Arial" w:cs="Arial"/>
                <w:color w:val="000000"/>
                <w:sz w:val="16"/>
              </w:rPr>
              <w:t>Cash and cash equivalents</w:t>
            </w:r>
          </w:p>
        </w:tc>
        <w:tc>
          <w:tcPr>
            <w:tcW w:w="1035" w:type="dxa"/>
            <w:tcBorders>
              <w:top w:val="nil"/>
              <w:left w:val="nil"/>
              <w:bottom w:val="nil"/>
              <w:right w:val="nil"/>
              <w:tl2br w:val="nil"/>
              <w:tr2bl w:val="nil"/>
            </w:tcBorders>
            <w:shd w:val="clear" w:color="auto" w:fill="FFFFFF"/>
            <w:tcMar>
              <w:left w:w="101" w:type="dxa"/>
              <w:right w:w="101" w:type="dxa"/>
            </w:tcMar>
            <w:vAlign w:val="bottom"/>
          </w:tcPr>
          <w:p w14:paraId="5182B335" w14:textId="77777777" w:rsidR="003F0EEA" w:rsidRDefault="00FB7D0B">
            <w:pPr>
              <w:jc w:val="right"/>
              <w:rPr>
                <w:rFonts w:ascii="Arial" w:eastAsia="Arial" w:hAnsi="Arial" w:cs="Arial"/>
                <w:color w:val="000000"/>
                <w:sz w:val="16"/>
              </w:rPr>
            </w:pPr>
            <w:r>
              <w:rPr>
                <w:rFonts w:ascii="Arial" w:eastAsia="Arial" w:hAnsi="Arial" w:cs="Arial"/>
                <w:color w:val="000000"/>
                <w:sz w:val="16"/>
              </w:rPr>
              <w:t xml:space="preserve"> 78,801 </w:t>
            </w:r>
          </w:p>
        </w:tc>
        <w:tc>
          <w:tcPr>
            <w:tcW w:w="1035" w:type="dxa"/>
            <w:tcBorders>
              <w:top w:val="nil"/>
              <w:left w:val="nil"/>
              <w:bottom w:val="nil"/>
              <w:right w:val="nil"/>
              <w:tl2br w:val="nil"/>
              <w:tr2bl w:val="nil"/>
            </w:tcBorders>
            <w:shd w:val="clear" w:color="auto" w:fill="FFFF00"/>
            <w:tcMar>
              <w:left w:w="101" w:type="dxa"/>
              <w:right w:w="101" w:type="dxa"/>
            </w:tcMar>
            <w:vAlign w:val="bottom"/>
          </w:tcPr>
          <w:p w14:paraId="1E21D3AB" w14:textId="77777777" w:rsidR="003F0EEA" w:rsidRDefault="00FB7D0B">
            <w:pPr>
              <w:jc w:val="right"/>
              <w:rPr>
                <w:rFonts w:ascii="Arial" w:eastAsia="Arial" w:hAnsi="Arial" w:cs="Arial"/>
                <w:color w:val="000000"/>
                <w:sz w:val="16"/>
              </w:rPr>
            </w:pPr>
            <w:r>
              <w:rPr>
                <w:rFonts w:ascii="Arial" w:eastAsia="Arial" w:hAnsi="Arial" w:cs="Arial"/>
                <w:color w:val="000000"/>
                <w:sz w:val="16"/>
              </w:rPr>
              <w:t xml:space="preserve"> 78,801 </w:t>
            </w:r>
          </w:p>
        </w:tc>
        <w:tc>
          <w:tcPr>
            <w:tcW w:w="1035" w:type="dxa"/>
            <w:tcBorders>
              <w:top w:val="nil"/>
              <w:left w:val="nil"/>
              <w:bottom w:val="nil"/>
              <w:right w:val="nil"/>
              <w:tl2br w:val="nil"/>
              <w:tr2bl w:val="nil"/>
            </w:tcBorders>
            <w:shd w:val="clear" w:color="auto" w:fill="FFFFFF"/>
            <w:tcMar>
              <w:left w:w="101" w:type="dxa"/>
              <w:right w:w="101" w:type="dxa"/>
            </w:tcMar>
            <w:vAlign w:val="bottom"/>
          </w:tcPr>
          <w:p w14:paraId="12C211AE" w14:textId="77777777" w:rsidR="003F0EEA" w:rsidRDefault="00FB7D0B">
            <w:pPr>
              <w:jc w:val="right"/>
              <w:rPr>
                <w:rFonts w:ascii="Arial" w:eastAsia="Arial" w:hAnsi="Arial" w:cs="Arial"/>
                <w:color w:val="000000"/>
                <w:sz w:val="16"/>
              </w:rPr>
            </w:pPr>
            <w:r>
              <w:rPr>
                <w:rFonts w:ascii="Arial" w:eastAsia="Arial" w:hAnsi="Arial" w:cs="Arial"/>
                <w:color w:val="000000"/>
                <w:sz w:val="16"/>
              </w:rPr>
              <w:t xml:space="preserve"> 78,801 </w:t>
            </w:r>
          </w:p>
        </w:tc>
        <w:tc>
          <w:tcPr>
            <w:tcW w:w="1035" w:type="dxa"/>
            <w:tcBorders>
              <w:top w:val="nil"/>
              <w:left w:val="nil"/>
              <w:bottom w:val="nil"/>
              <w:right w:val="nil"/>
              <w:tl2br w:val="nil"/>
              <w:tr2bl w:val="nil"/>
            </w:tcBorders>
            <w:shd w:val="clear" w:color="auto" w:fill="FFFFFF"/>
            <w:tcMar>
              <w:left w:w="101" w:type="dxa"/>
              <w:right w:w="101" w:type="dxa"/>
            </w:tcMar>
            <w:vAlign w:val="bottom"/>
          </w:tcPr>
          <w:p w14:paraId="3A2CE96C" w14:textId="77777777" w:rsidR="003F0EEA" w:rsidRDefault="00FB7D0B">
            <w:pPr>
              <w:jc w:val="right"/>
              <w:rPr>
                <w:rFonts w:ascii="Arial" w:eastAsia="Arial" w:hAnsi="Arial" w:cs="Arial"/>
                <w:color w:val="000000"/>
                <w:sz w:val="16"/>
              </w:rPr>
            </w:pPr>
            <w:r>
              <w:rPr>
                <w:rFonts w:ascii="Arial" w:eastAsia="Arial" w:hAnsi="Arial" w:cs="Arial"/>
                <w:color w:val="000000"/>
                <w:sz w:val="16"/>
              </w:rPr>
              <w:t xml:space="preserve"> 78,801 </w:t>
            </w:r>
          </w:p>
        </w:tc>
        <w:tc>
          <w:tcPr>
            <w:tcW w:w="1035" w:type="dxa"/>
            <w:tcBorders>
              <w:top w:val="nil"/>
              <w:left w:val="nil"/>
              <w:bottom w:val="nil"/>
              <w:right w:val="nil"/>
              <w:tl2br w:val="nil"/>
              <w:tr2bl w:val="nil"/>
            </w:tcBorders>
            <w:shd w:val="clear" w:color="auto" w:fill="FFFFFF"/>
            <w:tcMar>
              <w:left w:w="101" w:type="dxa"/>
              <w:right w:w="101" w:type="dxa"/>
            </w:tcMar>
            <w:vAlign w:val="bottom"/>
          </w:tcPr>
          <w:p w14:paraId="6803AA53" w14:textId="77777777" w:rsidR="003F0EEA" w:rsidRDefault="00FB7D0B">
            <w:pPr>
              <w:jc w:val="right"/>
              <w:rPr>
                <w:rFonts w:ascii="Arial" w:eastAsia="Arial" w:hAnsi="Arial" w:cs="Arial"/>
                <w:color w:val="000000"/>
                <w:sz w:val="16"/>
              </w:rPr>
            </w:pPr>
            <w:r>
              <w:rPr>
                <w:rFonts w:ascii="Arial" w:eastAsia="Arial" w:hAnsi="Arial" w:cs="Arial"/>
                <w:color w:val="000000"/>
                <w:sz w:val="16"/>
              </w:rPr>
              <w:t xml:space="preserve"> 78,801 </w:t>
            </w:r>
          </w:p>
        </w:tc>
      </w:tr>
      <w:tr w:rsidR="00FB7D0B" w14:paraId="3484869D" w14:textId="77777777" w:rsidTr="00FB7D0B">
        <w:trPr>
          <w:trHeight w:val="225"/>
        </w:trPr>
        <w:tc>
          <w:tcPr>
            <w:tcW w:w="180" w:type="dxa"/>
            <w:tcBorders>
              <w:top w:val="nil"/>
              <w:left w:val="nil"/>
              <w:bottom w:val="nil"/>
              <w:right w:val="nil"/>
              <w:tl2br w:val="nil"/>
              <w:tr2bl w:val="nil"/>
            </w:tcBorders>
            <w:shd w:val="clear" w:color="auto" w:fill="FFFFFF"/>
            <w:tcMar>
              <w:left w:w="101" w:type="dxa"/>
              <w:right w:w="101" w:type="dxa"/>
            </w:tcMar>
            <w:vAlign w:val="bottom"/>
          </w:tcPr>
          <w:p w14:paraId="6DA89242" w14:textId="77777777" w:rsidR="003F0EEA" w:rsidRDefault="003F0EEA">
            <w:pPr>
              <w:rPr>
                <w:rFonts w:ascii="Arial" w:eastAsia="Arial" w:hAnsi="Arial" w:cs="Arial"/>
                <w:color w:val="000000"/>
                <w:sz w:val="16"/>
              </w:rPr>
            </w:pPr>
          </w:p>
        </w:tc>
        <w:tc>
          <w:tcPr>
            <w:tcW w:w="2520" w:type="dxa"/>
            <w:gridSpan w:val="2"/>
            <w:vMerge w:val="restart"/>
            <w:tcBorders>
              <w:top w:val="nil"/>
              <w:left w:val="nil"/>
              <w:bottom w:val="nil"/>
              <w:right w:val="nil"/>
              <w:tl2br w:val="nil"/>
              <w:tr2bl w:val="nil"/>
            </w:tcBorders>
            <w:shd w:val="clear" w:color="auto" w:fill="FFFFFF"/>
            <w:tcMar>
              <w:left w:w="101" w:type="dxa"/>
              <w:right w:w="101" w:type="dxa"/>
            </w:tcMar>
            <w:vAlign w:val="bottom"/>
          </w:tcPr>
          <w:p w14:paraId="76FFCFE8" w14:textId="77777777" w:rsidR="003F0EEA" w:rsidRDefault="00FB7D0B">
            <w:pPr>
              <w:rPr>
                <w:rFonts w:ascii="Arial" w:eastAsia="Arial" w:hAnsi="Arial" w:cs="Arial"/>
                <w:color w:val="000000"/>
                <w:sz w:val="16"/>
                <w:u w:val="single"/>
              </w:rPr>
            </w:pPr>
            <w:r>
              <w:rPr>
                <w:rFonts w:ascii="Arial" w:eastAsia="Arial" w:hAnsi="Arial" w:cs="Arial"/>
                <w:color w:val="000000"/>
                <w:sz w:val="16"/>
              </w:rPr>
              <w:t>Other receivables</w:t>
            </w:r>
          </w:p>
        </w:tc>
        <w:tc>
          <w:tcPr>
            <w:tcW w:w="1035" w:type="dxa"/>
            <w:tcBorders>
              <w:top w:val="nil"/>
              <w:left w:val="nil"/>
              <w:bottom w:val="nil"/>
              <w:right w:val="nil"/>
              <w:tl2br w:val="nil"/>
              <w:tr2bl w:val="nil"/>
            </w:tcBorders>
            <w:shd w:val="clear" w:color="auto" w:fill="FFFFFF"/>
            <w:tcMar>
              <w:left w:w="101" w:type="dxa"/>
              <w:right w:w="101" w:type="dxa"/>
            </w:tcMar>
            <w:vAlign w:val="bottom"/>
          </w:tcPr>
          <w:p w14:paraId="4ED7E0B4" w14:textId="77777777" w:rsidR="003F0EEA" w:rsidRDefault="00FB7D0B">
            <w:pPr>
              <w:jc w:val="right"/>
              <w:rPr>
                <w:rFonts w:ascii="Arial" w:eastAsia="Arial" w:hAnsi="Arial" w:cs="Arial"/>
                <w:color w:val="000000"/>
                <w:sz w:val="16"/>
              </w:rPr>
            </w:pPr>
            <w:r>
              <w:rPr>
                <w:rFonts w:ascii="Arial" w:eastAsia="Arial" w:hAnsi="Arial" w:cs="Arial"/>
                <w:color w:val="000000"/>
                <w:sz w:val="16"/>
              </w:rPr>
              <w:t xml:space="preserve"> 87,164 </w:t>
            </w:r>
          </w:p>
        </w:tc>
        <w:tc>
          <w:tcPr>
            <w:tcW w:w="1035" w:type="dxa"/>
            <w:tcBorders>
              <w:top w:val="nil"/>
              <w:left w:val="nil"/>
              <w:bottom w:val="nil"/>
              <w:right w:val="nil"/>
              <w:tl2br w:val="nil"/>
              <w:tr2bl w:val="nil"/>
            </w:tcBorders>
            <w:shd w:val="clear" w:color="auto" w:fill="FFFF00"/>
            <w:tcMar>
              <w:left w:w="101" w:type="dxa"/>
              <w:right w:w="101" w:type="dxa"/>
            </w:tcMar>
            <w:vAlign w:val="bottom"/>
          </w:tcPr>
          <w:p w14:paraId="4AD4491C" w14:textId="77777777" w:rsidR="003F0EEA" w:rsidRDefault="00FB7D0B">
            <w:pPr>
              <w:jc w:val="right"/>
              <w:rPr>
                <w:rFonts w:ascii="Arial" w:eastAsia="Arial" w:hAnsi="Arial" w:cs="Arial"/>
                <w:color w:val="000000"/>
                <w:sz w:val="16"/>
              </w:rPr>
            </w:pPr>
            <w:r>
              <w:rPr>
                <w:rFonts w:ascii="Arial" w:eastAsia="Arial" w:hAnsi="Arial" w:cs="Arial"/>
                <w:color w:val="000000"/>
                <w:sz w:val="16"/>
              </w:rPr>
              <w:t xml:space="preserve"> 87,164 </w:t>
            </w:r>
          </w:p>
        </w:tc>
        <w:tc>
          <w:tcPr>
            <w:tcW w:w="1035" w:type="dxa"/>
            <w:tcBorders>
              <w:top w:val="nil"/>
              <w:left w:val="nil"/>
              <w:bottom w:val="nil"/>
              <w:right w:val="nil"/>
              <w:tl2br w:val="nil"/>
              <w:tr2bl w:val="nil"/>
            </w:tcBorders>
            <w:shd w:val="clear" w:color="auto" w:fill="FFFFFF"/>
            <w:tcMar>
              <w:left w:w="101" w:type="dxa"/>
              <w:right w:w="101" w:type="dxa"/>
            </w:tcMar>
            <w:vAlign w:val="bottom"/>
          </w:tcPr>
          <w:p w14:paraId="4D058A58" w14:textId="77777777" w:rsidR="003F0EEA" w:rsidRDefault="00FB7D0B">
            <w:pPr>
              <w:jc w:val="right"/>
              <w:rPr>
                <w:rFonts w:ascii="Arial" w:eastAsia="Arial" w:hAnsi="Arial" w:cs="Arial"/>
                <w:color w:val="000000"/>
                <w:sz w:val="16"/>
              </w:rPr>
            </w:pPr>
            <w:r>
              <w:rPr>
                <w:rFonts w:ascii="Arial" w:eastAsia="Arial" w:hAnsi="Arial" w:cs="Arial"/>
                <w:color w:val="000000"/>
                <w:sz w:val="16"/>
              </w:rPr>
              <w:t xml:space="preserve"> 87,164 </w:t>
            </w:r>
          </w:p>
        </w:tc>
        <w:tc>
          <w:tcPr>
            <w:tcW w:w="1035" w:type="dxa"/>
            <w:tcBorders>
              <w:top w:val="nil"/>
              <w:left w:val="nil"/>
              <w:bottom w:val="nil"/>
              <w:right w:val="nil"/>
              <w:tl2br w:val="nil"/>
              <w:tr2bl w:val="nil"/>
            </w:tcBorders>
            <w:shd w:val="clear" w:color="auto" w:fill="FFFFFF"/>
            <w:tcMar>
              <w:left w:w="101" w:type="dxa"/>
              <w:right w:w="101" w:type="dxa"/>
            </w:tcMar>
            <w:vAlign w:val="bottom"/>
          </w:tcPr>
          <w:p w14:paraId="68991D45" w14:textId="77777777" w:rsidR="003F0EEA" w:rsidRDefault="00FB7D0B">
            <w:pPr>
              <w:jc w:val="right"/>
              <w:rPr>
                <w:rFonts w:ascii="Arial" w:eastAsia="Arial" w:hAnsi="Arial" w:cs="Arial"/>
                <w:color w:val="000000"/>
                <w:sz w:val="16"/>
              </w:rPr>
            </w:pPr>
            <w:r>
              <w:rPr>
                <w:rFonts w:ascii="Arial" w:eastAsia="Arial" w:hAnsi="Arial" w:cs="Arial"/>
                <w:color w:val="000000"/>
                <w:sz w:val="16"/>
              </w:rPr>
              <w:t xml:space="preserve"> 87,164 </w:t>
            </w:r>
          </w:p>
        </w:tc>
        <w:tc>
          <w:tcPr>
            <w:tcW w:w="1035" w:type="dxa"/>
            <w:tcBorders>
              <w:top w:val="nil"/>
              <w:left w:val="nil"/>
              <w:bottom w:val="nil"/>
              <w:right w:val="nil"/>
              <w:tl2br w:val="nil"/>
              <w:tr2bl w:val="nil"/>
            </w:tcBorders>
            <w:shd w:val="clear" w:color="auto" w:fill="FFFFFF"/>
            <w:tcMar>
              <w:left w:w="101" w:type="dxa"/>
              <w:right w:w="101" w:type="dxa"/>
            </w:tcMar>
            <w:vAlign w:val="bottom"/>
          </w:tcPr>
          <w:p w14:paraId="5504CEF6" w14:textId="77777777" w:rsidR="003F0EEA" w:rsidRDefault="00FB7D0B">
            <w:pPr>
              <w:jc w:val="right"/>
              <w:rPr>
                <w:rFonts w:ascii="Arial" w:eastAsia="Arial" w:hAnsi="Arial" w:cs="Arial"/>
                <w:color w:val="000000"/>
                <w:sz w:val="16"/>
              </w:rPr>
            </w:pPr>
            <w:r>
              <w:rPr>
                <w:rFonts w:ascii="Arial" w:eastAsia="Arial" w:hAnsi="Arial" w:cs="Arial"/>
                <w:color w:val="000000"/>
                <w:sz w:val="16"/>
              </w:rPr>
              <w:t xml:space="preserve"> 87,164 </w:t>
            </w:r>
          </w:p>
        </w:tc>
      </w:tr>
      <w:tr w:rsidR="00FB7D0B" w14:paraId="6F0A4C8B" w14:textId="77777777" w:rsidTr="00FB7D0B">
        <w:trPr>
          <w:trHeight w:val="225"/>
        </w:trPr>
        <w:tc>
          <w:tcPr>
            <w:tcW w:w="180" w:type="dxa"/>
            <w:tcBorders>
              <w:top w:val="nil"/>
              <w:left w:val="nil"/>
              <w:bottom w:val="nil"/>
              <w:right w:val="nil"/>
              <w:tl2br w:val="nil"/>
              <w:tr2bl w:val="nil"/>
            </w:tcBorders>
            <w:shd w:val="clear" w:color="auto" w:fill="FFFFFF"/>
            <w:tcMar>
              <w:left w:w="101" w:type="dxa"/>
              <w:right w:w="101" w:type="dxa"/>
            </w:tcMar>
            <w:vAlign w:val="bottom"/>
          </w:tcPr>
          <w:p w14:paraId="5B2D074E" w14:textId="77777777" w:rsidR="003F0EEA" w:rsidRDefault="003F0EEA">
            <w:pPr>
              <w:rPr>
                <w:rFonts w:ascii="Arial" w:eastAsia="Arial" w:hAnsi="Arial" w:cs="Arial"/>
                <w:color w:val="000000"/>
                <w:sz w:val="16"/>
              </w:rPr>
            </w:pPr>
          </w:p>
        </w:tc>
        <w:tc>
          <w:tcPr>
            <w:tcW w:w="2520" w:type="dxa"/>
            <w:gridSpan w:val="2"/>
            <w:tcBorders>
              <w:top w:val="nil"/>
              <w:left w:val="nil"/>
              <w:bottom w:val="nil"/>
              <w:right w:val="nil"/>
              <w:tl2br w:val="nil"/>
              <w:tr2bl w:val="nil"/>
            </w:tcBorders>
            <w:shd w:val="clear" w:color="auto" w:fill="FFFFFF"/>
            <w:tcMar>
              <w:left w:w="101" w:type="dxa"/>
              <w:right w:w="101" w:type="dxa"/>
            </w:tcMar>
            <w:vAlign w:val="bottom"/>
          </w:tcPr>
          <w:p w14:paraId="697E261B" w14:textId="77777777" w:rsidR="003F0EEA" w:rsidRDefault="00FB7D0B">
            <w:pPr>
              <w:rPr>
                <w:rFonts w:ascii="Arial" w:eastAsia="Arial" w:hAnsi="Arial" w:cs="Arial"/>
                <w:color w:val="000000"/>
                <w:sz w:val="16"/>
              </w:rPr>
            </w:pPr>
            <w:r>
              <w:rPr>
                <w:rFonts w:ascii="Arial" w:eastAsia="Arial" w:hAnsi="Arial" w:cs="Arial"/>
                <w:color w:val="000000"/>
                <w:sz w:val="16"/>
              </w:rPr>
              <w:t>Investments</w:t>
            </w:r>
          </w:p>
        </w:tc>
        <w:tc>
          <w:tcPr>
            <w:tcW w:w="1035" w:type="dxa"/>
            <w:tcBorders>
              <w:top w:val="nil"/>
              <w:left w:val="nil"/>
              <w:bottom w:val="nil"/>
              <w:right w:val="nil"/>
              <w:tl2br w:val="nil"/>
              <w:tr2bl w:val="nil"/>
            </w:tcBorders>
            <w:shd w:val="clear" w:color="auto" w:fill="FFFFFF"/>
            <w:tcMar>
              <w:left w:w="101" w:type="dxa"/>
              <w:right w:w="101" w:type="dxa"/>
            </w:tcMar>
            <w:vAlign w:val="bottom"/>
          </w:tcPr>
          <w:p w14:paraId="2788D3CB" w14:textId="77777777" w:rsidR="003F0EEA" w:rsidRDefault="00FB7D0B">
            <w:pPr>
              <w:jc w:val="right"/>
              <w:rPr>
                <w:rFonts w:ascii="Arial" w:eastAsia="Arial" w:hAnsi="Arial" w:cs="Arial"/>
                <w:color w:val="000000"/>
                <w:sz w:val="16"/>
              </w:rPr>
            </w:pPr>
            <w:r>
              <w:rPr>
                <w:rFonts w:ascii="Arial" w:eastAsia="Arial" w:hAnsi="Arial" w:cs="Arial"/>
                <w:color w:val="000000"/>
                <w:sz w:val="16"/>
              </w:rPr>
              <w:t xml:space="preserve"> 1,262,674 </w:t>
            </w:r>
          </w:p>
        </w:tc>
        <w:tc>
          <w:tcPr>
            <w:tcW w:w="1035" w:type="dxa"/>
            <w:tcBorders>
              <w:top w:val="nil"/>
              <w:left w:val="nil"/>
              <w:bottom w:val="nil"/>
              <w:right w:val="nil"/>
              <w:tl2br w:val="nil"/>
              <w:tr2bl w:val="nil"/>
            </w:tcBorders>
            <w:shd w:val="clear" w:color="auto" w:fill="FFFF00"/>
            <w:tcMar>
              <w:left w:w="101" w:type="dxa"/>
              <w:right w:w="101" w:type="dxa"/>
            </w:tcMar>
            <w:vAlign w:val="bottom"/>
          </w:tcPr>
          <w:p w14:paraId="4731E17F" w14:textId="77777777" w:rsidR="003F0EEA" w:rsidRDefault="00FB7D0B">
            <w:pPr>
              <w:jc w:val="right"/>
              <w:rPr>
                <w:rFonts w:ascii="Arial" w:eastAsia="Arial" w:hAnsi="Arial" w:cs="Arial"/>
                <w:color w:val="000000"/>
                <w:sz w:val="16"/>
              </w:rPr>
            </w:pPr>
            <w:r>
              <w:rPr>
                <w:rFonts w:ascii="Arial" w:eastAsia="Arial" w:hAnsi="Arial" w:cs="Arial"/>
                <w:color w:val="000000"/>
                <w:sz w:val="16"/>
              </w:rPr>
              <w:t xml:space="preserve"> 1,264,993 </w:t>
            </w:r>
          </w:p>
        </w:tc>
        <w:tc>
          <w:tcPr>
            <w:tcW w:w="1035" w:type="dxa"/>
            <w:tcBorders>
              <w:top w:val="nil"/>
              <w:left w:val="nil"/>
              <w:bottom w:val="nil"/>
              <w:right w:val="nil"/>
              <w:tl2br w:val="nil"/>
              <w:tr2bl w:val="nil"/>
            </w:tcBorders>
            <w:shd w:val="clear" w:color="auto" w:fill="FFFFFF"/>
            <w:tcMar>
              <w:left w:w="101" w:type="dxa"/>
              <w:right w:w="101" w:type="dxa"/>
            </w:tcMar>
            <w:vAlign w:val="bottom"/>
          </w:tcPr>
          <w:p w14:paraId="5FA49B4D" w14:textId="77777777" w:rsidR="003F0EEA" w:rsidRDefault="00FB7D0B">
            <w:pPr>
              <w:jc w:val="right"/>
              <w:rPr>
                <w:rFonts w:ascii="Arial" w:eastAsia="Arial" w:hAnsi="Arial" w:cs="Arial"/>
                <w:color w:val="000000"/>
                <w:sz w:val="16"/>
              </w:rPr>
            </w:pPr>
            <w:r>
              <w:rPr>
                <w:rFonts w:ascii="Arial" w:eastAsia="Arial" w:hAnsi="Arial" w:cs="Arial"/>
                <w:color w:val="000000"/>
                <w:sz w:val="16"/>
              </w:rPr>
              <w:t xml:space="preserve"> 1,262,000 </w:t>
            </w:r>
          </w:p>
        </w:tc>
        <w:tc>
          <w:tcPr>
            <w:tcW w:w="1035" w:type="dxa"/>
            <w:tcBorders>
              <w:top w:val="nil"/>
              <w:left w:val="nil"/>
              <w:bottom w:val="nil"/>
              <w:right w:val="nil"/>
              <w:tl2br w:val="nil"/>
              <w:tr2bl w:val="nil"/>
            </w:tcBorders>
            <w:shd w:val="clear" w:color="auto" w:fill="FFFFFF"/>
            <w:tcMar>
              <w:left w:w="101" w:type="dxa"/>
              <w:right w:w="101" w:type="dxa"/>
            </w:tcMar>
            <w:vAlign w:val="bottom"/>
          </w:tcPr>
          <w:p w14:paraId="48E6D4D4" w14:textId="77777777" w:rsidR="003F0EEA" w:rsidRDefault="00FB7D0B">
            <w:pPr>
              <w:jc w:val="right"/>
              <w:rPr>
                <w:rFonts w:ascii="Arial" w:eastAsia="Arial" w:hAnsi="Arial" w:cs="Arial"/>
                <w:color w:val="000000"/>
                <w:sz w:val="16"/>
              </w:rPr>
            </w:pPr>
            <w:r>
              <w:rPr>
                <w:rFonts w:ascii="Arial" w:eastAsia="Arial" w:hAnsi="Arial" w:cs="Arial"/>
                <w:color w:val="000000"/>
                <w:sz w:val="16"/>
              </w:rPr>
              <w:t xml:space="preserve"> 1,259,503 </w:t>
            </w:r>
          </w:p>
        </w:tc>
        <w:tc>
          <w:tcPr>
            <w:tcW w:w="1035" w:type="dxa"/>
            <w:tcBorders>
              <w:top w:val="nil"/>
              <w:left w:val="nil"/>
              <w:bottom w:val="nil"/>
              <w:right w:val="nil"/>
              <w:tl2br w:val="nil"/>
              <w:tr2bl w:val="nil"/>
            </w:tcBorders>
            <w:shd w:val="clear" w:color="auto" w:fill="FFFFFF"/>
            <w:tcMar>
              <w:left w:w="101" w:type="dxa"/>
              <w:right w:w="101" w:type="dxa"/>
            </w:tcMar>
            <w:vAlign w:val="bottom"/>
          </w:tcPr>
          <w:p w14:paraId="5A7FAC85" w14:textId="77777777" w:rsidR="003F0EEA" w:rsidRDefault="00FB7D0B">
            <w:pPr>
              <w:jc w:val="right"/>
              <w:rPr>
                <w:rFonts w:ascii="Arial" w:eastAsia="Arial" w:hAnsi="Arial" w:cs="Arial"/>
                <w:color w:val="000000"/>
                <w:sz w:val="16"/>
              </w:rPr>
            </w:pPr>
            <w:r>
              <w:rPr>
                <w:rFonts w:ascii="Arial" w:eastAsia="Arial" w:hAnsi="Arial" w:cs="Arial"/>
                <w:color w:val="000000"/>
                <w:sz w:val="16"/>
              </w:rPr>
              <w:t xml:space="preserve"> 1,257,947 </w:t>
            </w:r>
          </w:p>
        </w:tc>
      </w:tr>
      <w:tr w:rsidR="00FB7D0B" w14:paraId="0E657176" w14:textId="77777777" w:rsidTr="00FB7D0B">
        <w:trPr>
          <w:trHeight w:val="225"/>
        </w:trPr>
        <w:tc>
          <w:tcPr>
            <w:tcW w:w="2700" w:type="dxa"/>
            <w:gridSpan w:val="3"/>
            <w:tcBorders>
              <w:top w:val="nil"/>
              <w:left w:val="nil"/>
              <w:bottom w:val="nil"/>
              <w:right w:val="nil"/>
              <w:tl2br w:val="nil"/>
              <w:tr2bl w:val="nil"/>
            </w:tcBorders>
            <w:shd w:val="clear" w:color="auto" w:fill="FFFFFF"/>
            <w:tcMar>
              <w:left w:w="101" w:type="dxa"/>
              <w:right w:w="101" w:type="dxa"/>
            </w:tcMar>
            <w:vAlign w:val="bottom"/>
          </w:tcPr>
          <w:p w14:paraId="792775B7" w14:textId="77777777" w:rsidR="003F0EEA" w:rsidRDefault="00FB7D0B">
            <w:pPr>
              <w:rPr>
                <w:rFonts w:ascii="Arial" w:eastAsia="Arial" w:hAnsi="Arial" w:cs="Arial"/>
                <w:color w:val="000000"/>
                <w:sz w:val="16"/>
              </w:rPr>
            </w:pPr>
            <w:r>
              <w:rPr>
                <w:rFonts w:ascii="Arial" w:eastAsia="Arial" w:hAnsi="Arial" w:cs="Arial"/>
                <w:b/>
                <w:i/>
                <w:color w:val="000000"/>
                <w:sz w:val="16"/>
              </w:rPr>
              <w:t>Total financial assets</w:t>
            </w:r>
          </w:p>
        </w:tc>
        <w:tc>
          <w:tcPr>
            <w:tcW w:w="1035"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79DBEC2E" w14:textId="77777777" w:rsidR="003F0EEA" w:rsidRDefault="00FB7D0B">
            <w:pPr>
              <w:jc w:val="right"/>
              <w:rPr>
                <w:rFonts w:ascii="Arial" w:eastAsia="Arial" w:hAnsi="Arial" w:cs="Arial"/>
                <w:b/>
                <w:i/>
                <w:color w:val="000000"/>
                <w:sz w:val="16"/>
              </w:rPr>
            </w:pPr>
            <w:r>
              <w:rPr>
                <w:rFonts w:ascii="Arial" w:eastAsia="Arial" w:hAnsi="Arial" w:cs="Arial"/>
                <w:b/>
                <w:color w:val="000000"/>
                <w:sz w:val="16"/>
              </w:rPr>
              <w:t xml:space="preserve"> 1,428,639 </w:t>
            </w:r>
          </w:p>
        </w:tc>
        <w:tc>
          <w:tcPr>
            <w:tcW w:w="1035" w:type="dxa"/>
            <w:tcBorders>
              <w:top w:val="single" w:sz="6" w:space="0" w:color="000000"/>
              <w:left w:val="nil"/>
              <w:bottom w:val="single" w:sz="6" w:space="0" w:color="000000"/>
              <w:right w:val="nil"/>
              <w:tl2br w:val="nil"/>
              <w:tr2bl w:val="nil"/>
            </w:tcBorders>
            <w:shd w:val="clear" w:color="auto" w:fill="FFFF00"/>
            <w:tcMar>
              <w:left w:w="101" w:type="dxa"/>
              <w:right w:w="101" w:type="dxa"/>
            </w:tcMar>
            <w:vAlign w:val="bottom"/>
          </w:tcPr>
          <w:p w14:paraId="0500A6E9" w14:textId="77777777" w:rsidR="003F0EEA" w:rsidRDefault="00FB7D0B">
            <w:pPr>
              <w:jc w:val="right"/>
              <w:rPr>
                <w:rFonts w:ascii="Arial" w:eastAsia="Arial" w:hAnsi="Arial" w:cs="Arial"/>
                <w:b/>
                <w:color w:val="000000"/>
                <w:sz w:val="16"/>
              </w:rPr>
            </w:pPr>
            <w:r>
              <w:rPr>
                <w:rFonts w:ascii="Arial" w:eastAsia="Arial" w:hAnsi="Arial" w:cs="Arial"/>
                <w:b/>
                <w:color w:val="000000"/>
                <w:sz w:val="16"/>
              </w:rPr>
              <w:t xml:space="preserve"> 1,430,958 </w:t>
            </w:r>
          </w:p>
        </w:tc>
        <w:tc>
          <w:tcPr>
            <w:tcW w:w="1035"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050FF86A" w14:textId="77777777" w:rsidR="003F0EEA" w:rsidRDefault="00FB7D0B">
            <w:pPr>
              <w:jc w:val="right"/>
              <w:rPr>
                <w:rFonts w:ascii="Arial" w:eastAsia="Arial" w:hAnsi="Arial" w:cs="Arial"/>
                <w:b/>
                <w:color w:val="000000"/>
                <w:sz w:val="16"/>
              </w:rPr>
            </w:pPr>
            <w:r>
              <w:rPr>
                <w:rFonts w:ascii="Arial" w:eastAsia="Arial" w:hAnsi="Arial" w:cs="Arial"/>
                <w:b/>
                <w:color w:val="000000"/>
                <w:sz w:val="16"/>
              </w:rPr>
              <w:t xml:space="preserve"> 1,427,965 </w:t>
            </w:r>
          </w:p>
        </w:tc>
        <w:tc>
          <w:tcPr>
            <w:tcW w:w="1035"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50B99DB9" w14:textId="77777777" w:rsidR="003F0EEA" w:rsidRDefault="00FB7D0B">
            <w:pPr>
              <w:jc w:val="right"/>
              <w:rPr>
                <w:rFonts w:ascii="Arial" w:eastAsia="Arial" w:hAnsi="Arial" w:cs="Arial"/>
                <w:b/>
                <w:color w:val="000000"/>
                <w:sz w:val="16"/>
              </w:rPr>
            </w:pPr>
            <w:r>
              <w:rPr>
                <w:rFonts w:ascii="Arial" w:eastAsia="Arial" w:hAnsi="Arial" w:cs="Arial"/>
                <w:b/>
                <w:color w:val="000000"/>
                <w:sz w:val="16"/>
              </w:rPr>
              <w:t xml:space="preserve"> 1,425,468 </w:t>
            </w:r>
          </w:p>
        </w:tc>
        <w:tc>
          <w:tcPr>
            <w:tcW w:w="1035"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7BE4AA47" w14:textId="77777777" w:rsidR="003F0EEA" w:rsidRDefault="00FB7D0B">
            <w:pPr>
              <w:jc w:val="right"/>
              <w:rPr>
                <w:rFonts w:ascii="Arial" w:eastAsia="Arial" w:hAnsi="Arial" w:cs="Arial"/>
                <w:b/>
                <w:color w:val="000000"/>
                <w:sz w:val="16"/>
              </w:rPr>
            </w:pPr>
            <w:r>
              <w:rPr>
                <w:rFonts w:ascii="Arial" w:eastAsia="Arial" w:hAnsi="Arial" w:cs="Arial"/>
                <w:b/>
                <w:color w:val="000000"/>
                <w:sz w:val="16"/>
              </w:rPr>
              <w:t xml:space="preserve"> 1,423,912 </w:t>
            </w:r>
          </w:p>
        </w:tc>
      </w:tr>
      <w:tr w:rsidR="00724034" w14:paraId="376F6BB9" w14:textId="77777777">
        <w:trPr>
          <w:trHeight w:hRule="exact" w:val="60"/>
        </w:trPr>
        <w:tc>
          <w:tcPr>
            <w:tcW w:w="180" w:type="dxa"/>
            <w:tcBorders>
              <w:top w:val="nil"/>
              <w:left w:val="nil"/>
              <w:bottom w:val="nil"/>
              <w:right w:val="nil"/>
              <w:tl2br w:val="nil"/>
              <w:tr2bl w:val="nil"/>
            </w:tcBorders>
            <w:shd w:val="clear" w:color="auto" w:fill="FFFFFF"/>
            <w:tcMar>
              <w:left w:w="101" w:type="dxa"/>
              <w:right w:w="101" w:type="dxa"/>
            </w:tcMar>
            <w:vAlign w:val="bottom"/>
          </w:tcPr>
          <w:p w14:paraId="64BE8585" w14:textId="77777777" w:rsidR="003F0EEA" w:rsidRDefault="003F0EEA">
            <w:pPr>
              <w:rPr>
                <w:rFonts w:ascii="Arial" w:eastAsia="Arial" w:hAnsi="Arial" w:cs="Arial"/>
                <w:b/>
                <w:color w:val="000000"/>
                <w:sz w:val="16"/>
              </w:rPr>
            </w:pPr>
          </w:p>
        </w:tc>
        <w:tc>
          <w:tcPr>
            <w:tcW w:w="180" w:type="dxa"/>
            <w:tcBorders>
              <w:top w:val="nil"/>
              <w:left w:val="nil"/>
              <w:bottom w:val="nil"/>
              <w:right w:val="nil"/>
              <w:tl2br w:val="nil"/>
              <w:tr2bl w:val="nil"/>
            </w:tcBorders>
            <w:shd w:val="clear" w:color="auto" w:fill="FFFFFF"/>
            <w:tcMar>
              <w:left w:w="101" w:type="dxa"/>
              <w:right w:w="101" w:type="dxa"/>
            </w:tcMar>
            <w:vAlign w:val="bottom"/>
          </w:tcPr>
          <w:p w14:paraId="7C152E5B" w14:textId="77777777" w:rsidR="003F0EEA" w:rsidRDefault="003F0EEA">
            <w:pPr>
              <w:rPr>
                <w:rFonts w:ascii="Arial" w:eastAsia="Arial" w:hAnsi="Arial" w:cs="Arial"/>
                <w:color w:val="000000"/>
                <w:sz w:val="16"/>
              </w:rPr>
            </w:pPr>
          </w:p>
        </w:tc>
        <w:tc>
          <w:tcPr>
            <w:tcW w:w="2340" w:type="dxa"/>
            <w:tcBorders>
              <w:top w:val="nil"/>
              <w:left w:val="nil"/>
              <w:bottom w:val="nil"/>
              <w:right w:val="nil"/>
              <w:tl2br w:val="nil"/>
              <w:tr2bl w:val="nil"/>
            </w:tcBorders>
            <w:shd w:val="clear" w:color="auto" w:fill="FFFFFF"/>
            <w:tcMar>
              <w:left w:w="101" w:type="dxa"/>
              <w:right w:w="101" w:type="dxa"/>
            </w:tcMar>
            <w:vAlign w:val="bottom"/>
          </w:tcPr>
          <w:p w14:paraId="53A0609A" w14:textId="77777777" w:rsidR="003F0EEA" w:rsidRDefault="003F0EEA">
            <w:pPr>
              <w:rPr>
                <w:rFonts w:ascii="Arial" w:eastAsia="Arial" w:hAnsi="Arial" w:cs="Arial"/>
                <w:color w:val="000000"/>
                <w:sz w:val="16"/>
              </w:rPr>
            </w:pPr>
          </w:p>
        </w:tc>
        <w:tc>
          <w:tcPr>
            <w:tcW w:w="103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4AA6E46A" w14:textId="77777777" w:rsidR="003F0EEA" w:rsidRDefault="003F0EEA">
            <w:pPr>
              <w:rPr>
                <w:rFonts w:ascii="Arial" w:eastAsia="Arial" w:hAnsi="Arial" w:cs="Arial"/>
                <w:b/>
                <w:color w:val="000000"/>
                <w:sz w:val="16"/>
              </w:rPr>
            </w:pPr>
          </w:p>
        </w:tc>
        <w:tc>
          <w:tcPr>
            <w:tcW w:w="1035" w:type="dxa"/>
            <w:tcBorders>
              <w:top w:val="single" w:sz="6" w:space="0" w:color="000000"/>
              <w:left w:val="nil"/>
              <w:bottom w:val="nil"/>
              <w:right w:val="nil"/>
              <w:tl2br w:val="nil"/>
              <w:tr2bl w:val="nil"/>
            </w:tcBorders>
            <w:shd w:val="clear" w:color="auto" w:fill="FFFF00"/>
            <w:tcMar>
              <w:left w:w="101" w:type="dxa"/>
              <w:right w:w="101" w:type="dxa"/>
            </w:tcMar>
            <w:vAlign w:val="bottom"/>
          </w:tcPr>
          <w:p w14:paraId="7F9582A2" w14:textId="77777777" w:rsidR="003F0EEA" w:rsidRDefault="003F0EEA">
            <w:pPr>
              <w:rPr>
                <w:rFonts w:ascii="Arial" w:eastAsia="Arial" w:hAnsi="Arial" w:cs="Arial"/>
                <w:color w:val="000000"/>
                <w:sz w:val="16"/>
              </w:rPr>
            </w:pPr>
          </w:p>
        </w:tc>
        <w:tc>
          <w:tcPr>
            <w:tcW w:w="103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25C16FAC" w14:textId="77777777" w:rsidR="003F0EEA" w:rsidRDefault="003F0EEA">
            <w:pPr>
              <w:rPr>
                <w:rFonts w:ascii="Arial" w:eastAsia="Arial" w:hAnsi="Arial" w:cs="Arial"/>
                <w:color w:val="000000"/>
                <w:sz w:val="16"/>
              </w:rPr>
            </w:pPr>
          </w:p>
        </w:tc>
        <w:tc>
          <w:tcPr>
            <w:tcW w:w="103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08E5E5D7" w14:textId="77777777" w:rsidR="003F0EEA" w:rsidRDefault="003F0EEA">
            <w:pPr>
              <w:rPr>
                <w:rFonts w:ascii="Arial" w:eastAsia="Arial" w:hAnsi="Arial" w:cs="Arial"/>
                <w:color w:val="000000"/>
                <w:sz w:val="16"/>
              </w:rPr>
            </w:pPr>
          </w:p>
        </w:tc>
        <w:tc>
          <w:tcPr>
            <w:tcW w:w="103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76AF201A" w14:textId="77777777" w:rsidR="003F0EEA" w:rsidRDefault="003F0EEA">
            <w:pPr>
              <w:rPr>
                <w:rFonts w:ascii="Arial" w:eastAsia="Arial" w:hAnsi="Arial" w:cs="Arial"/>
                <w:color w:val="000000"/>
                <w:sz w:val="16"/>
              </w:rPr>
            </w:pPr>
          </w:p>
        </w:tc>
      </w:tr>
      <w:tr w:rsidR="00FB7D0B" w14:paraId="1DC63A91" w14:textId="77777777" w:rsidTr="00FB7D0B">
        <w:trPr>
          <w:trHeight w:val="225"/>
        </w:trPr>
        <w:tc>
          <w:tcPr>
            <w:tcW w:w="2700" w:type="dxa"/>
            <w:gridSpan w:val="3"/>
            <w:tcBorders>
              <w:top w:val="nil"/>
              <w:left w:val="nil"/>
              <w:bottom w:val="nil"/>
              <w:right w:val="nil"/>
              <w:tl2br w:val="nil"/>
              <w:tr2bl w:val="nil"/>
            </w:tcBorders>
            <w:shd w:val="clear" w:color="auto" w:fill="FFFFFF"/>
            <w:tcMar>
              <w:left w:w="101" w:type="dxa"/>
              <w:right w:w="101" w:type="dxa"/>
            </w:tcMar>
            <w:vAlign w:val="bottom"/>
          </w:tcPr>
          <w:p w14:paraId="48846FCC" w14:textId="77777777" w:rsidR="003F0EEA" w:rsidRDefault="00FB7D0B">
            <w:pPr>
              <w:rPr>
                <w:rFonts w:ascii="Arial" w:eastAsia="Arial" w:hAnsi="Arial" w:cs="Arial"/>
                <w:color w:val="000000"/>
                <w:sz w:val="16"/>
              </w:rPr>
            </w:pPr>
            <w:r>
              <w:rPr>
                <w:rFonts w:ascii="Arial" w:eastAsia="Arial" w:hAnsi="Arial" w:cs="Arial"/>
                <w:b/>
                <w:color w:val="000000"/>
                <w:sz w:val="16"/>
              </w:rPr>
              <w:t>Non-financial assets</w:t>
            </w:r>
          </w:p>
        </w:tc>
        <w:tc>
          <w:tcPr>
            <w:tcW w:w="1035" w:type="dxa"/>
            <w:tcBorders>
              <w:top w:val="nil"/>
              <w:left w:val="nil"/>
              <w:bottom w:val="nil"/>
              <w:right w:val="nil"/>
              <w:tl2br w:val="nil"/>
              <w:tr2bl w:val="nil"/>
            </w:tcBorders>
            <w:shd w:val="clear" w:color="auto" w:fill="FFFFFF"/>
            <w:tcMar>
              <w:left w:w="101" w:type="dxa"/>
              <w:right w:w="101" w:type="dxa"/>
            </w:tcMar>
            <w:vAlign w:val="bottom"/>
          </w:tcPr>
          <w:p w14:paraId="1BC1CBEA" w14:textId="77777777" w:rsidR="003F0EEA" w:rsidRDefault="003F0EEA">
            <w:pPr>
              <w:rPr>
                <w:rFonts w:ascii="Arial" w:eastAsia="Arial" w:hAnsi="Arial" w:cs="Arial"/>
                <w:b/>
                <w:color w:val="000000"/>
                <w:sz w:val="16"/>
              </w:rPr>
            </w:pPr>
          </w:p>
        </w:tc>
        <w:tc>
          <w:tcPr>
            <w:tcW w:w="1035" w:type="dxa"/>
            <w:tcBorders>
              <w:top w:val="nil"/>
              <w:left w:val="nil"/>
              <w:bottom w:val="nil"/>
              <w:right w:val="nil"/>
              <w:tl2br w:val="nil"/>
              <w:tr2bl w:val="nil"/>
            </w:tcBorders>
            <w:shd w:val="clear" w:color="auto" w:fill="FFFF00"/>
            <w:tcMar>
              <w:left w:w="101" w:type="dxa"/>
              <w:right w:w="101" w:type="dxa"/>
            </w:tcMar>
            <w:vAlign w:val="bottom"/>
          </w:tcPr>
          <w:p w14:paraId="74B88B93" w14:textId="77777777" w:rsidR="003F0EEA" w:rsidRDefault="003F0EEA">
            <w:pPr>
              <w:rPr>
                <w:rFonts w:ascii="Arial" w:eastAsia="Arial" w:hAnsi="Arial" w:cs="Arial"/>
                <w:color w:val="000000"/>
                <w:sz w:val="16"/>
              </w:rPr>
            </w:pPr>
          </w:p>
        </w:tc>
        <w:tc>
          <w:tcPr>
            <w:tcW w:w="1035" w:type="dxa"/>
            <w:tcBorders>
              <w:top w:val="nil"/>
              <w:left w:val="nil"/>
              <w:bottom w:val="nil"/>
              <w:right w:val="nil"/>
              <w:tl2br w:val="nil"/>
              <w:tr2bl w:val="nil"/>
            </w:tcBorders>
            <w:shd w:val="clear" w:color="auto" w:fill="FFFFFF"/>
            <w:tcMar>
              <w:left w:w="101" w:type="dxa"/>
              <w:right w:w="101" w:type="dxa"/>
            </w:tcMar>
            <w:vAlign w:val="bottom"/>
          </w:tcPr>
          <w:p w14:paraId="66CF6FC0" w14:textId="77777777" w:rsidR="003F0EEA" w:rsidRDefault="003F0EEA">
            <w:pPr>
              <w:rPr>
                <w:rFonts w:ascii="Arial" w:eastAsia="Arial" w:hAnsi="Arial" w:cs="Arial"/>
                <w:color w:val="000000"/>
                <w:sz w:val="16"/>
              </w:rPr>
            </w:pPr>
          </w:p>
        </w:tc>
        <w:tc>
          <w:tcPr>
            <w:tcW w:w="1035" w:type="dxa"/>
            <w:tcBorders>
              <w:top w:val="nil"/>
              <w:left w:val="nil"/>
              <w:bottom w:val="nil"/>
              <w:right w:val="nil"/>
              <w:tl2br w:val="nil"/>
              <w:tr2bl w:val="nil"/>
            </w:tcBorders>
            <w:shd w:val="clear" w:color="auto" w:fill="FFFFFF"/>
            <w:tcMar>
              <w:left w:w="101" w:type="dxa"/>
              <w:right w:w="101" w:type="dxa"/>
            </w:tcMar>
            <w:vAlign w:val="bottom"/>
          </w:tcPr>
          <w:p w14:paraId="3EFF0193" w14:textId="77777777" w:rsidR="003F0EEA" w:rsidRDefault="003F0EEA">
            <w:pPr>
              <w:rPr>
                <w:rFonts w:ascii="Arial" w:eastAsia="Arial" w:hAnsi="Arial" w:cs="Arial"/>
                <w:color w:val="000000"/>
                <w:sz w:val="16"/>
              </w:rPr>
            </w:pPr>
          </w:p>
        </w:tc>
        <w:tc>
          <w:tcPr>
            <w:tcW w:w="1035" w:type="dxa"/>
            <w:tcBorders>
              <w:top w:val="nil"/>
              <w:left w:val="nil"/>
              <w:bottom w:val="nil"/>
              <w:right w:val="nil"/>
              <w:tl2br w:val="nil"/>
              <w:tr2bl w:val="nil"/>
            </w:tcBorders>
            <w:shd w:val="clear" w:color="auto" w:fill="FFFFFF"/>
            <w:tcMar>
              <w:left w:w="101" w:type="dxa"/>
              <w:right w:w="101" w:type="dxa"/>
            </w:tcMar>
            <w:vAlign w:val="bottom"/>
          </w:tcPr>
          <w:p w14:paraId="57EC42A9" w14:textId="77777777" w:rsidR="003F0EEA" w:rsidRDefault="003F0EEA">
            <w:pPr>
              <w:rPr>
                <w:rFonts w:ascii="Arial" w:eastAsia="Arial" w:hAnsi="Arial" w:cs="Arial"/>
                <w:color w:val="000000"/>
                <w:sz w:val="16"/>
              </w:rPr>
            </w:pPr>
          </w:p>
        </w:tc>
      </w:tr>
      <w:tr w:rsidR="00FB7D0B" w14:paraId="4E3FA8FF" w14:textId="77777777" w:rsidTr="00FB7D0B">
        <w:trPr>
          <w:trHeight w:val="225"/>
        </w:trPr>
        <w:tc>
          <w:tcPr>
            <w:tcW w:w="180" w:type="dxa"/>
            <w:tcBorders>
              <w:top w:val="nil"/>
              <w:left w:val="nil"/>
              <w:bottom w:val="nil"/>
              <w:right w:val="nil"/>
              <w:tl2br w:val="nil"/>
              <w:tr2bl w:val="nil"/>
            </w:tcBorders>
            <w:shd w:val="clear" w:color="auto" w:fill="FFFFFF"/>
            <w:tcMar>
              <w:left w:w="101" w:type="dxa"/>
              <w:right w:w="101" w:type="dxa"/>
            </w:tcMar>
            <w:vAlign w:val="bottom"/>
          </w:tcPr>
          <w:p w14:paraId="58C1991A" w14:textId="77777777" w:rsidR="003F0EEA" w:rsidRDefault="003F0EEA">
            <w:pPr>
              <w:rPr>
                <w:rFonts w:ascii="Arial" w:eastAsia="Arial" w:hAnsi="Arial" w:cs="Arial"/>
                <w:color w:val="000000"/>
                <w:sz w:val="16"/>
              </w:rPr>
            </w:pPr>
          </w:p>
        </w:tc>
        <w:tc>
          <w:tcPr>
            <w:tcW w:w="2520" w:type="dxa"/>
            <w:gridSpan w:val="2"/>
            <w:vMerge w:val="restart"/>
            <w:tcBorders>
              <w:top w:val="nil"/>
              <w:left w:val="nil"/>
              <w:bottom w:val="nil"/>
              <w:right w:val="nil"/>
              <w:tl2br w:val="nil"/>
              <w:tr2bl w:val="nil"/>
            </w:tcBorders>
            <w:shd w:val="clear" w:color="auto" w:fill="FFFFFF"/>
            <w:tcMar>
              <w:left w:w="101" w:type="dxa"/>
              <w:right w:w="101" w:type="dxa"/>
            </w:tcMar>
            <w:vAlign w:val="bottom"/>
          </w:tcPr>
          <w:p w14:paraId="161B5EC7" w14:textId="77777777" w:rsidR="003F0EEA" w:rsidRDefault="00FB7D0B">
            <w:pPr>
              <w:rPr>
                <w:rFonts w:ascii="Arial" w:eastAsia="Arial" w:hAnsi="Arial" w:cs="Arial"/>
                <w:color w:val="000000"/>
                <w:sz w:val="16"/>
              </w:rPr>
            </w:pPr>
            <w:r>
              <w:rPr>
                <w:rFonts w:ascii="Arial" w:eastAsia="Arial" w:hAnsi="Arial" w:cs="Arial"/>
                <w:color w:val="000000"/>
                <w:sz w:val="16"/>
              </w:rPr>
              <w:t>Other</w:t>
            </w:r>
          </w:p>
        </w:tc>
        <w:tc>
          <w:tcPr>
            <w:tcW w:w="1035"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330FB416" w14:textId="77777777" w:rsidR="003F0EEA" w:rsidRDefault="00FB7D0B">
            <w:pPr>
              <w:jc w:val="right"/>
              <w:rPr>
                <w:rFonts w:ascii="Arial" w:eastAsia="Arial" w:hAnsi="Arial" w:cs="Arial"/>
                <w:color w:val="000000"/>
                <w:sz w:val="16"/>
              </w:rPr>
            </w:pPr>
            <w:r>
              <w:rPr>
                <w:rFonts w:ascii="Arial" w:eastAsia="Arial" w:hAnsi="Arial" w:cs="Arial"/>
                <w:color w:val="000000"/>
                <w:sz w:val="16"/>
              </w:rPr>
              <w:t xml:space="preserve"> - </w:t>
            </w:r>
          </w:p>
        </w:tc>
        <w:tc>
          <w:tcPr>
            <w:tcW w:w="1035" w:type="dxa"/>
            <w:tcBorders>
              <w:top w:val="nil"/>
              <w:left w:val="nil"/>
              <w:bottom w:val="single" w:sz="6" w:space="0" w:color="000000"/>
              <w:right w:val="nil"/>
              <w:tl2br w:val="nil"/>
              <w:tr2bl w:val="nil"/>
            </w:tcBorders>
            <w:shd w:val="clear" w:color="auto" w:fill="FFFF00"/>
            <w:tcMar>
              <w:left w:w="101" w:type="dxa"/>
              <w:right w:w="101" w:type="dxa"/>
            </w:tcMar>
            <w:vAlign w:val="bottom"/>
          </w:tcPr>
          <w:p w14:paraId="7C7C87E1" w14:textId="77777777" w:rsidR="003F0EEA" w:rsidRDefault="00FB7D0B">
            <w:pPr>
              <w:jc w:val="right"/>
              <w:rPr>
                <w:rFonts w:ascii="Arial" w:eastAsia="Arial" w:hAnsi="Arial" w:cs="Arial"/>
                <w:color w:val="000000"/>
                <w:sz w:val="16"/>
              </w:rPr>
            </w:pPr>
            <w:r>
              <w:rPr>
                <w:rFonts w:ascii="Arial" w:eastAsia="Arial" w:hAnsi="Arial" w:cs="Arial"/>
                <w:color w:val="000000"/>
                <w:sz w:val="16"/>
              </w:rPr>
              <w:t xml:space="preserve"> 6,061 </w:t>
            </w:r>
          </w:p>
        </w:tc>
        <w:tc>
          <w:tcPr>
            <w:tcW w:w="1035"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5075C56A" w14:textId="77777777" w:rsidR="003F0EEA" w:rsidRDefault="00FB7D0B">
            <w:pPr>
              <w:jc w:val="right"/>
              <w:rPr>
                <w:rFonts w:ascii="Arial" w:eastAsia="Arial" w:hAnsi="Arial" w:cs="Arial"/>
                <w:color w:val="000000"/>
                <w:sz w:val="16"/>
              </w:rPr>
            </w:pPr>
            <w:r>
              <w:rPr>
                <w:rFonts w:ascii="Arial" w:eastAsia="Arial" w:hAnsi="Arial" w:cs="Arial"/>
                <w:color w:val="000000"/>
                <w:sz w:val="16"/>
              </w:rPr>
              <w:t xml:space="preserve"> 6,061 </w:t>
            </w:r>
          </w:p>
        </w:tc>
        <w:tc>
          <w:tcPr>
            <w:tcW w:w="1035"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512344F4" w14:textId="77777777" w:rsidR="003F0EEA" w:rsidRDefault="00FB7D0B">
            <w:pPr>
              <w:jc w:val="right"/>
              <w:rPr>
                <w:rFonts w:ascii="Arial" w:eastAsia="Arial" w:hAnsi="Arial" w:cs="Arial"/>
                <w:color w:val="000000"/>
                <w:sz w:val="16"/>
              </w:rPr>
            </w:pPr>
            <w:r>
              <w:rPr>
                <w:rFonts w:ascii="Arial" w:eastAsia="Arial" w:hAnsi="Arial" w:cs="Arial"/>
                <w:color w:val="000000"/>
                <w:sz w:val="16"/>
              </w:rPr>
              <w:t xml:space="preserve"> 6,061 </w:t>
            </w:r>
          </w:p>
        </w:tc>
        <w:tc>
          <w:tcPr>
            <w:tcW w:w="1035"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51192F7D" w14:textId="77777777" w:rsidR="003F0EEA" w:rsidRDefault="00FB7D0B">
            <w:pPr>
              <w:jc w:val="right"/>
              <w:rPr>
                <w:rFonts w:ascii="Arial" w:eastAsia="Arial" w:hAnsi="Arial" w:cs="Arial"/>
                <w:color w:val="000000"/>
                <w:sz w:val="16"/>
              </w:rPr>
            </w:pPr>
            <w:r>
              <w:rPr>
                <w:rFonts w:ascii="Arial" w:eastAsia="Arial" w:hAnsi="Arial" w:cs="Arial"/>
                <w:color w:val="000000"/>
                <w:sz w:val="16"/>
              </w:rPr>
              <w:t xml:space="preserve"> 6,061 </w:t>
            </w:r>
          </w:p>
        </w:tc>
      </w:tr>
      <w:tr w:rsidR="00FB7D0B" w14:paraId="3F525342" w14:textId="77777777" w:rsidTr="00FB7D0B">
        <w:trPr>
          <w:trHeight w:val="225"/>
        </w:trPr>
        <w:tc>
          <w:tcPr>
            <w:tcW w:w="2700" w:type="dxa"/>
            <w:gridSpan w:val="3"/>
            <w:tcBorders>
              <w:top w:val="nil"/>
              <w:left w:val="nil"/>
              <w:bottom w:val="nil"/>
              <w:right w:val="nil"/>
              <w:tl2br w:val="nil"/>
              <w:tr2bl w:val="nil"/>
            </w:tcBorders>
            <w:shd w:val="clear" w:color="auto" w:fill="FFFFFF"/>
            <w:tcMar>
              <w:left w:w="101" w:type="dxa"/>
              <w:right w:w="101" w:type="dxa"/>
            </w:tcMar>
            <w:vAlign w:val="bottom"/>
          </w:tcPr>
          <w:p w14:paraId="7B432FA0" w14:textId="77777777" w:rsidR="003F0EEA" w:rsidRDefault="00FB7D0B">
            <w:pPr>
              <w:rPr>
                <w:rFonts w:ascii="Arial" w:eastAsia="Arial" w:hAnsi="Arial" w:cs="Arial"/>
                <w:color w:val="000000"/>
                <w:sz w:val="16"/>
              </w:rPr>
            </w:pPr>
            <w:r>
              <w:rPr>
                <w:rFonts w:ascii="Arial" w:eastAsia="Arial" w:hAnsi="Arial" w:cs="Arial"/>
                <w:b/>
                <w:i/>
                <w:color w:val="000000"/>
                <w:sz w:val="16"/>
              </w:rPr>
              <w:t>Total non-financial assets</w:t>
            </w:r>
          </w:p>
        </w:tc>
        <w:tc>
          <w:tcPr>
            <w:tcW w:w="1035"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5B870A07" w14:textId="77777777" w:rsidR="003F0EEA" w:rsidRDefault="00FB7D0B">
            <w:pPr>
              <w:jc w:val="right"/>
              <w:rPr>
                <w:rFonts w:ascii="Arial" w:eastAsia="Arial" w:hAnsi="Arial" w:cs="Arial"/>
                <w:b/>
                <w:i/>
                <w:color w:val="000000"/>
                <w:sz w:val="16"/>
              </w:rPr>
            </w:pPr>
            <w:r>
              <w:rPr>
                <w:rFonts w:ascii="Arial" w:eastAsia="Arial" w:hAnsi="Arial" w:cs="Arial"/>
                <w:b/>
                <w:color w:val="000000"/>
                <w:sz w:val="16"/>
              </w:rPr>
              <w:t xml:space="preserve"> - </w:t>
            </w:r>
          </w:p>
        </w:tc>
        <w:tc>
          <w:tcPr>
            <w:tcW w:w="1035" w:type="dxa"/>
            <w:tcBorders>
              <w:top w:val="single" w:sz="6" w:space="0" w:color="000000"/>
              <w:left w:val="nil"/>
              <w:bottom w:val="single" w:sz="6" w:space="0" w:color="000000"/>
              <w:right w:val="nil"/>
              <w:tl2br w:val="nil"/>
              <w:tr2bl w:val="nil"/>
            </w:tcBorders>
            <w:shd w:val="clear" w:color="auto" w:fill="FFFF00"/>
            <w:tcMar>
              <w:left w:w="101" w:type="dxa"/>
              <w:right w:w="101" w:type="dxa"/>
            </w:tcMar>
            <w:vAlign w:val="bottom"/>
          </w:tcPr>
          <w:p w14:paraId="6698A6F3" w14:textId="77777777" w:rsidR="003F0EEA" w:rsidRDefault="00FB7D0B">
            <w:pPr>
              <w:jc w:val="right"/>
              <w:rPr>
                <w:rFonts w:ascii="Arial" w:eastAsia="Arial" w:hAnsi="Arial" w:cs="Arial"/>
                <w:b/>
                <w:color w:val="000000"/>
                <w:sz w:val="16"/>
              </w:rPr>
            </w:pPr>
            <w:r>
              <w:rPr>
                <w:rFonts w:ascii="Arial" w:eastAsia="Arial" w:hAnsi="Arial" w:cs="Arial"/>
                <w:b/>
                <w:color w:val="000000"/>
                <w:sz w:val="16"/>
              </w:rPr>
              <w:t xml:space="preserve"> 6,061 </w:t>
            </w:r>
          </w:p>
        </w:tc>
        <w:tc>
          <w:tcPr>
            <w:tcW w:w="1035"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0949B483" w14:textId="77777777" w:rsidR="003F0EEA" w:rsidRDefault="00FB7D0B">
            <w:pPr>
              <w:jc w:val="right"/>
              <w:rPr>
                <w:rFonts w:ascii="Arial" w:eastAsia="Arial" w:hAnsi="Arial" w:cs="Arial"/>
                <w:b/>
                <w:color w:val="000000"/>
                <w:sz w:val="16"/>
              </w:rPr>
            </w:pPr>
            <w:r>
              <w:rPr>
                <w:rFonts w:ascii="Arial" w:eastAsia="Arial" w:hAnsi="Arial" w:cs="Arial"/>
                <w:b/>
                <w:color w:val="000000"/>
                <w:sz w:val="16"/>
              </w:rPr>
              <w:t xml:space="preserve"> 6,061 </w:t>
            </w:r>
          </w:p>
        </w:tc>
        <w:tc>
          <w:tcPr>
            <w:tcW w:w="1035"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6B9EBF35" w14:textId="77777777" w:rsidR="003F0EEA" w:rsidRDefault="00FB7D0B">
            <w:pPr>
              <w:jc w:val="right"/>
              <w:rPr>
                <w:rFonts w:ascii="Arial" w:eastAsia="Arial" w:hAnsi="Arial" w:cs="Arial"/>
                <w:b/>
                <w:color w:val="000000"/>
                <w:sz w:val="16"/>
              </w:rPr>
            </w:pPr>
            <w:r>
              <w:rPr>
                <w:rFonts w:ascii="Arial" w:eastAsia="Arial" w:hAnsi="Arial" w:cs="Arial"/>
                <w:b/>
                <w:color w:val="000000"/>
                <w:sz w:val="16"/>
              </w:rPr>
              <w:t xml:space="preserve"> 6,061 </w:t>
            </w:r>
          </w:p>
        </w:tc>
        <w:tc>
          <w:tcPr>
            <w:tcW w:w="1035"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441A483E" w14:textId="77777777" w:rsidR="003F0EEA" w:rsidRDefault="00FB7D0B">
            <w:pPr>
              <w:jc w:val="right"/>
              <w:rPr>
                <w:rFonts w:ascii="Arial" w:eastAsia="Arial" w:hAnsi="Arial" w:cs="Arial"/>
                <w:b/>
                <w:color w:val="000000"/>
                <w:sz w:val="16"/>
              </w:rPr>
            </w:pPr>
            <w:r>
              <w:rPr>
                <w:rFonts w:ascii="Arial" w:eastAsia="Arial" w:hAnsi="Arial" w:cs="Arial"/>
                <w:b/>
                <w:color w:val="000000"/>
                <w:sz w:val="16"/>
              </w:rPr>
              <w:t xml:space="preserve"> 6,061 </w:t>
            </w:r>
          </w:p>
        </w:tc>
      </w:tr>
      <w:tr w:rsidR="00FB7D0B" w14:paraId="7E634908" w14:textId="77777777" w:rsidTr="00FB7D0B">
        <w:trPr>
          <w:trHeight w:val="225"/>
        </w:trPr>
        <w:tc>
          <w:tcPr>
            <w:tcW w:w="2700" w:type="dxa"/>
            <w:gridSpan w:val="3"/>
            <w:tcBorders>
              <w:top w:val="nil"/>
              <w:left w:val="nil"/>
              <w:bottom w:val="nil"/>
              <w:right w:val="nil"/>
              <w:tl2br w:val="nil"/>
              <w:tr2bl w:val="nil"/>
            </w:tcBorders>
            <w:shd w:val="clear" w:color="auto" w:fill="FFFFFF"/>
            <w:tcMar>
              <w:left w:w="101" w:type="dxa"/>
              <w:right w:w="101" w:type="dxa"/>
            </w:tcMar>
            <w:vAlign w:val="bottom"/>
          </w:tcPr>
          <w:p w14:paraId="5450D18F" w14:textId="77777777" w:rsidR="003F0EEA" w:rsidRDefault="00FB7D0B">
            <w:pPr>
              <w:rPr>
                <w:rFonts w:ascii="Arial" w:eastAsia="Arial" w:hAnsi="Arial" w:cs="Arial"/>
                <w:b/>
                <w:color w:val="000000"/>
                <w:sz w:val="16"/>
              </w:rPr>
            </w:pPr>
            <w:r>
              <w:rPr>
                <w:rFonts w:ascii="Arial" w:eastAsia="Arial" w:hAnsi="Arial" w:cs="Arial"/>
                <w:b/>
                <w:color w:val="000000"/>
                <w:sz w:val="16"/>
              </w:rPr>
              <w:t xml:space="preserve">Total assets administered </w:t>
            </w:r>
          </w:p>
        </w:tc>
        <w:tc>
          <w:tcPr>
            <w:tcW w:w="1035"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3B8438D6" w14:textId="77777777" w:rsidR="003F0EEA" w:rsidRDefault="003F0EEA">
            <w:pPr>
              <w:rPr>
                <w:rFonts w:ascii="Arial" w:eastAsia="Arial" w:hAnsi="Arial" w:cs="Arial"/>
                <w:b/>
                <w:color w:val="000000"/>
                <w:sz w:val="16"/>
              </w:rPr>
            </w:pPr>
          </w:p>
        </w:tc>
        <w:tc>
          <w:tcPr>
            <w:tcW w:w="1035" w:type="dxa"/>
            <w:tcBorders>
              <w:top w:val="single" w:sz="6" w:space="0" w:color="000000"/>
              <w:left w:val="nil"/>
              <w:bottom w:val="single" w:sz="6" w:space="0" w:color="000000"/>
              <w:right w:val="nil"/>
              <w:tl2br w:val="nil"/>
              <w:tr2bl w:val="nil"/>
            </w:tcBorders>
            <w:shd w:val="clear" w:color="auto" w:fill="FFFF00"/>
            <w:tcMar>
              <w:left w:w="101" w:type="dxa"/>
              <w:right w:w="101" w:type="dxa"/>
            </w:tcMar>
            <w:vAlign w:val="bottom"/>
          </w:tcPr>
          <w:p w14:paraId="5A853412" w14:textId="77777777" w:rsidR="003F0EEA" w:rsidRDefault="003F0EEA">
            <w:pPr>
              <w:rPr>
                <w:rFonts w:ascii="Arial" w:eastAsia="Arial" w:hAnsi="Arial" w:cs="Arial"/>
                <w:color w:val="000000"/>
                <w:sz w:val="16"/>
              </w:rPr>
            </w:pPr>
          </w:p>
        </w:tc>
        <w:tc>
          <w:tcPr>
            <w:tcW w:w="1035"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432B7792" w14:textId="77777777" w:rsidR="003F0EEA" w:rsidRDefault="003F0EEA">
            <w:pPr>
              <w:rPr>
                <w:rFonts w:ascii="Arial" w:eastAsia="Arial" w:hAnsi="Arial" w:cs="Arial"/>
                <w:color w:val="000000"/>
                <w:sz w:val="16"/>
              </w:rPr>
            </w:pPr>
          </w:p>
        </w:tc>
        <w:tc>
          <w:tcPr>
            <w:tcW w:w="1035"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7596FE7E" w14:textId="77777777" w:rsidR="003F0EEA" w:rsidRDefault="003F0EEA">
            <w:pPr>
              <w:rPr>
                <w:rFonts w:ascii="Arial" w:eastAsia="Arial" w:hAnsi="Arial" w:cs="Arial"/>
                <w:color w:val="000000"/>
                <w:sz w:val="16"/>
              </w:rPr>
            </w:pPr>
          </w:p>
        </w:tc>
        <w:tc>
          <w:tcPr>
            <w:tcW w:w="1035"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3CAE1B8A" w14:textId="77777777" w:rsidR="003F0EEA" w:rsidRDefault="003F0EEA">
            <w:pPr>
              <w:rPr>
                <w:rFonts w:ascii="Arial" w:eastAsia="Arial" w:hAnsi="Arial" w:cs="Arial"/>
                <w:color w:val="000000"/>
                <w:sz w:val="16"/>
              </w:rPr>
            </w:pPr>
          </w:p>
        </w:tc>
      </w:tr>
      <w:tr w:rsidR="00FB7D0B" w14:paraId="6BF898A0" w14:textId="77777777" w:rsidTr="00FB7D0B">
        <w:trPr>
          <w:trHeight w:val="225"/>
        </w:trPr>
        <w:tc>
          <w:tcPr>
            <w:tcW w:w="180" w:type="dxa"/>
            <w:tcBorders>
              <w:top w:val="nil"/>
              <w:left w:val="nil"/>
              <w:bottom w:val="nil"/>
              <w:right w:val="nil"/>
              <w:tl2br w:val="nil"/>
              <w:tr2bl w:val="nil"/>
            </w:tcBorders>
            <w:shd w:val="clear" w:color="auto" w:fill="FFFFFF"/>
            <w:tcMar>
              <w:left w:w="101" w:type="dxa"/>
              <w:right w:w="101" w:type="dxa"/>
            </w:tcMar>
            <w:vAlign w:val="bottom"/>
          </w:tcPr>
          <w:p w14:paraId="41F5B82F" w14:textId="77777777" w:rsidR="003F0EEA" w:rsidRDefault="003F0EEA">
            <w:pPr>
              <w:rPr>
                <w:rFonts w:ascii="Arial" w:eastAsia="Arial" w:hAnsi="Arial" w:cs="Arial"/>
                <w:color w:val="000000"/>
                <w:sz w:val="16"/>
              </w:rPr>
            </w:pPr>
          </w:p>
        </w:tc>
        <w:tc>
          <w:tcPr>
            <w:tcW w:w="2520" w:type="dxa"/>
            <w:gridSpan w:val="2"/>
            <w:tcBorders>
              <w:top w:val="nil"/>
              <w:left w:val="nil"/>
              <w:bottom w:val="nil"/>
              <w:right w:val="nil"/>
              <w:tl2br w:val="nil"/>
              <w:tr2bl w:val="nil"/>
            </w:tcBorders>
            <w:shd w:val="clear" w:color="auto" w:fill="FFFFFF"/>
            <w:tcMar>
              <w:left w:w="101" w:type="dxa"/>
              <w:right w:w="101" w:type="dxa"/>
            </w:tcMar>
            <w:vAlign w:val="bottom"/>
          </w:tcPr>
          <w:p w14:paraId="0AA7BBB8" w14:textId="77777777" w:rsidR="003F0EEA" w:rsidRDefault="00FB7D0B">
            <w:pPr>
              <w:rPr>
                <w:rFonts w:ascii="Arial" w:eastAsia="Arial" w:hAnsi="Arial" w:cs="Arial"/>
                <w:color w:val="000000"/>
                <w:sz w:val="16"/>
              </w:rPr>
            </w:pPr>
            <w:r>
              <w:rPr>
                <w:rFonts w:ascii="Arial" w:eastAsia="Arial" w:hAnsi="Arial" w:cs="Arial"/>
                <w:b/>
                <w:color w:val="000000"/>
                <w:sz w:val="16"/>
              </w:rPr>
              <w:t>on behalf of government</w:t>
            </w:r>
          </w:p>
        </w:tc>
        <w:tc>
          <w:tcPr>
            <w:tcW w:w="1035"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5FD930BF" w14:textId="77777777" w:rsidR="003F0EEA" w:rsidRDefault="00FB7D0B">
            <w:pPr>
              <w:jc w:val="right"/>
              <w:rPr>
                <w:rFonts w:ascii="Arial" w:eastAsia="Arial" w:hAnsi="Arial" w:cs="Arial"/>
                <w:b/>
                <w:color w:val="000000"/>
                <w:sz w:val="16"/>
              </w:rPr>
            </w:pPr>
            <w:r>
              <w:rPr>
                <w:rFonts w:ascii="Arial" w:eastAsia="Arial" w:hAnsi="Arial" w:cs="Arial"/>
                <w:b/>
                <w:color w:val="000000"/>
                <w:sz w:val="16"/>
              </w:rPr>
              <w:t xml:space="preserve"> 1,428,639 </w:t>
            </w:r>
          </w:p>
        </w:tc>
        <w:tc>
          <w:tcPr>
            <w:tcW w:w="1035" w:type="dxa"/>
            <w:tcBorders>
              <w:top w:val="single" w:sz="6" w:space="0" w:color="000000"/>
              <w:left w:val="nil"/>
              <w:bottom w:val="single" w:sz="6" w:space="0" w:color="000000"/>
              <w:right w:val="nil"/>
              <w:tl2br w:val="nil"/>
              <w:tr2bl w:val="nil"/>
            </w:tcBorders>
            <w:shd w:val="clear" w:color="auto" w:fill="FFFF00"/>
            <w:tcMar>
              <w:left w:w="101" w:type="dxa"/>
              <w:right w:w="101" w:type="dxa"/>
            </w:tcMar>
            <w:vAlign w:val="bottom"/>
          </w:tcPr>
          <w:p w14:paraId="2A30045A" w14:textId="77777777" w:rsidR="003F0EEA" w:rsidRDefault="00FB7D0B">
            <w:pPr>
              <w:jc w:val="right"/>
              <w:rPr>
                <w:rFonts w:ascii="Arial" w:eastAsia="Arial" w:hAnsi="Arial" w:cs="Arial"/>
                <w:b/>
                <w:color w:val="000000"/>
                <w:sz w:val="16"/>
              </w:rPr>
            </w:pPr>
            <w:r>
              <w:rPr>
                <w:rFonts w:ascii="Arial" w:eastAsia="Arial" w:hAnsi="Arial" w:cs="Arial"/>
                <w:b/>
                <w:color w:val="000000"/>
                <w:sz w:val="16"/>
              </w:rPr>
              <w:t xml:space="preserve"> 1,437,019 </w:t>
            </w:r>
          </w:p>
        </w:tc>
        <w:tc>
          <w:tcPr>
            <w:tcW w:w="1035"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0F23B8EE" w14:textId="77777777" w:rsidR="003F0EEA" w:rsidRDefault="00FB7D0B">
            <w:pPr>
              <w:jc w:val="right"/>
              <w:rPr>
                <w:rFonts w:ascii="Arial" w:eastAsia="Arial" w:hAnsi="Arial" w:cs="Arial"/>
                <w:b/>
                <w:color w:val="000000"/>
                <w:sz w:val="16"/>
              </w:rPr>
            </w:pPr>
            <w:r>
              <w:rPr>
                <w:rFonts w:ascii="Arial" w:eastAsia="Arial" w:hAnsi="Arial" w:cs="Arial"/>
                <w:b/>
                <w:color w:val="000000"/>
                <w:sz w:val="16"/>
              </w:rPr>
              <w:t xml:space="preserve"> 1,434,026 </w:t>
            </w:r>
          </w:p>
        </w:tc>
        <w:tc>
          <w:tcPr>
            <w:tcW w:w="1035"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687A39D5" w14:textId="77777777" w:rsidR="003F0EEA" w:rsidRDefault="00FB7D0B">
            <w:pPr>
              <w:jc w:val="right"/>
              <w:rPr>
                <w:rFonts w:ascii="Arial" w:eastAsia="Arial" w:hAnsi="Arial" w:cs="Arial"/>
                <w:b/>
                <w:color w:val="000000"/>
                <w:sz w:val="16"/>
              </w:rPr>
            </w:pPr>
            <w:r>
              <w:rPr>
                <w:rFonts w:ascii="Arial" w:eastAsia="Arial" w:hAnsi="Arial" w:cs="Arial"/>
                <w:b/>
                <w:color w:val="000000"/>
                <w:sz w:val="16"/>
              </w:rPr>
              <w:t xml:space="preserve"> 1,431,529 </w:t>
            </w:r>
          </w:p>
        </w:tc>
        <w:tc>
          <w:tcPr>
            <w:tcW w:w="1035"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34098323" w14:textId="77777777" w:rsidR="003F0EEA" w:rsidRDefault="00FB7D0B">
            <w:pPr>
              <w:jc w:val="right"/>
              <w:rPr>
                <w:rFonts w:ascii="Arial" w:eastAsia="Arial" w:hAnsi="Arial" w:cs="Arial"/>
                <w:b/>
                <w:color w:val="000000"/>
                <w:sz w:val="16"/>
              </w:rPr>
            </w:pPr>
            <w:r>
              <w:rPr>
                <w:rFonts w:ascii="Arial" w:eastAsia="Arial" w:hAnsi="Arial" w:cs="Arial"/>
                <w:b/>
                <w:color w:val="000000"/>
                <w:sz w:val="16"/>
              </w:rPr>
              <w:t xml:space="preserve"> 1,429,973 </w:t>
            </w:r>
          </w:p>
        </w:tc>
      </w:tr>
      <w:tr w:rsidR="00724034" w14:paraId="05A7F38A" w14:textId="77777777">
        <w:trPr>
          <w:trHeight w:hRule="exact" w:val="60"/>
        </w:trPr>
        <w:tc>
          <w:tcPr>
            <w:tcW w:w="180" w:type="dxa"/>
            <w:tcBorders>
              <w:top w:val="nil"/>
              <w:left w:val="nil"/>
              <w:bottom w:val="nil"/>
              <w:right w:val="nil"/>
              <w:tl2br w:val="nil"/>
              <w:tr2bl w:val="nil"/>
            </w:tcBorders>
            <w:shd w:val="clear" w:color="auto" w:fill="FFFFFF"/>
            <w:tcMar>
              <w:left w:w="101" w:type="dxa"/>
              <w:right w:w="101" w:type="dxa"/>
            </w:tcMar>
            <w:vAlign w:val="bottom"/>
          </w:tcPr>
          <w:p w14:paraId="3B0413D5" w14:textId="77777777" w:rsidR="003F0EEA" w:rsidRDefault="003F0EEA">
            <w:pPr>
              <w:rPr>
                <w:rFonts w:ascii="Arial" w:eastAsia="Arial" w:hAnsi="Arial" w:cs="Arial"/>
                <w:b/>
                <w:color w:val="000000"/>
                <w:sz w:val="16"/>
              </w:rPr>
            </w:pPr>
          </w:p>
        </w:tc>
        <w:tc>
          <w:tcPr>
            <w:tcW w:w="180" w:type="dxa"/>
            <w:tcBorders>
              <w:top w:val="nil"/>
              <w:left w:val="nil"/>
              <w:bottom w:val="nil"/>
              <w:right w:val="nil"/>
              <w:tl2br w:val="nil"/>
              <w:tr2bl w:val="nil"/>
            </w:tcBorders>
            <w:shd w:val="clear" w:color="auto" w:fill="FFFFFF"/>
            <w:tcMar>
              <w:left w:w="101" w:type="dxa"/>
              <w:right w:w="101" w:type="dxa"/>
            </w:tcMar>
            <w:vAlign w:val="bottom"/>
          </w:tcPr>
          <w:p w14:paraId="2679A6D3" w14:textId="77777777" w:rsidR="003F0EEA" w:rsidRDefault="003F0EEA">
            <w:pPr>
              <w:rPr>
                <w:rFonts w:ascii="Arial" w:eastAsia="Arial" w:hAnsi="Arial" w:cs="Arial"/>
                <w:color w:val="000000"/>
                <w:sz w:val="16"/>
              </w:rPr>
            </w:pPr>
          </w:p>
        </w:tc>
        <w:tc>
          <w:tcPr>
            <w:tcW w:w="2340" w:type="dxa"/>
            <w:tcBorders>
              <w:top w:val="nil"/>
              <w:left w:val="nil"/>
              <w:bottom w:val="nil"/>
              <w:right w:val="nil"/>
              <w:tl2br w:val="nil"/>
              <w:tr2bl w:val="nil"/>
            </w:tcBorders>
            <w:shd w:val="clear" w:color="auto" w:fill="FFFFFF"/>
            <w:tcMar>
              <w:left w:w="101" w:type="dxa"/>
              <w:right w:w="101" w:type="dxa"/>
            </w:tcMar>
            <w:vAlign w:val="bottom"/>
          </w:tcPr>
          <w:p w14:paraId="2401BB54" w14:textId="77777777" w:rsidR="003F0EEA" w:rsidRDefault="003F0EEA">
            <w:pPr>
              <w:rPr>
                <w:rFonts w:ascii="Arial" w:eastAsia="Arial" w:hAnsi="Arial" w:cs="Arial"/>
                <w:color w:val="000000"/>
                <w:sz w:val="16"/>
              </w:rPr>
            </w:pPr>
          </w:p>
        </w:tc>
        <w:tc>
          <w:tcPr>
            <w:tcW w:w="103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717C54B6" w14:textId="77777777" w:rsidR="003F0EEA" w:rsidRDefault="003F0EEA">
            <w:pPr>
              <w:rPr>
                <w:rFonts w:ascii="Arial" w:eastAsia="Arial" w:hAnsi="Arial" w:cs="Arial"/>
                <w:b/>
                <w:color w:val="000000"/>
                <w:sz w:val="16"/>
              </w:rPr>
            </w:pPr>
          </w:p>
        </w:tc>
        <w:tc>
          <w:tcPr>
            <w:tcW w:w="1035" w:type="dxa"/>
            <w:tcBorders>
              <w:top w:val="single" w:sz="6" w:space="0" w:color="000000"/>
              <w:left w:val="nil"/>
              <w:bottom w:val="nil"/>
              <w:right w:val="nil"/>
              <w:tl2br w:val="nil"/>
              <w:tr2bl w:val="nil"/>
            </w:tcBorders>
            <w:shd w:val="clear" w:color="auto" w:fill="FFFF00"/>
            <w:tcMar>
              <w:left w:w="101" w:type="dxa"/>
              <w:right w:w="101" w:type="dxa"/>
            </w:tcMar>
            <w:vAlign w:val="bottom"/>
          </w:tcPr>
          <w:p w14:paraId="49CACA18" w14:textId="77777777" w:rsidR="003F0EEA" w:rsidRDefault="003F0EEA">
            <w:pPr>
              <w:rPr>
                <w:rFonts w:ascii="Arial" w:eastAsia="Arial" w:hAnsi="Arial" w:cs="Arial"/>
                <w:color w:val="000000"/>
                <w:sz w:val="16"/>
              </w:rPr>
            </w:pPr>
          </w:p>
        </w:tc>
        <w:tc>
          <w:tcPr>
            <w:tcW w:w="103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03B7DDDA" w14:textId="77777777" w:rsidR="003F0EEA" w:rsidRDefault="003F0EEA">
            <w:pPr>
              <w:rPr>
                <w:rFonts w:ascii="Arial" w:eastAsia="Arial" w:hAnsi="Arial" w:cs="Arial"/>
                <w:color w:val="000000"/>
                <w:sz w:val="16"/>
              </w:rPr>
            </w:pPr>
          </w:p>
        </w:tc>
        <w:tc>
          <w:tcPr>
            <w:tcW w:w="103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3FC6B396" w14:textId="77777777" w:rsidR="003F0EEA" w:rsidRDefault="003F0EEA">
            <w:pPr>
              <w:rPr>
                <w:rFonts w:ascii="Arial" w:eastAsia="Arial" w:hAnsi="Arial" w:cs="Arial"/>
                <w:color w:val="000000"/>
                <w:sz w:val="16"/>
              </w:rPr>
            </w:pPr>
          </w:p>
        </w:tc>
        <w:tc>
          <w:tcPr>
            <w:tcW w:w="103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44E44E98" w14:textId="77777777" w:rsidR="003F0EEA" w:rsidRDefault="003F0EEA">
            <w:pPr>
              <w:rPr>
                <w:rFonts w:ascii="Arial" w:eastAsia="Arial" w:hAnsi="Arial" w:cs="Arial"/>
                <w:color w:val="000000"/>
                <w:sz w:val="16"/>
              </w:rPr>
            </w:pPr>
          </w:p>
        </w:tc>
      </w:tr>
      <w:tr w:rsidR="00FB7D0B" w14:paraId="4C97331F" w14:textId="77777777" w:rsidTr="00FB7D0B">
        <w:trPr>
          <w:trHeight w:val="225"/>
        </w:trPr>
        <w:tc>
          <w:tcPr>
            <w:tcW w:w="2700" w:type="dxa"/>
            <w:gridSpan w:val="3"/>
            <w:tcBorders>
              <w:top w:val="nil"/>
              <w:left w:val="nil"/>
              <w:bottom w:val="nil"/>
              <w:right w:val="nil"/>
              <w:tl2br w:val="nil"/>
              <w:tr2bl w:val="nil"/>
            </w:tcBorders>
            <w:shd w:val="clear" w:color="auto" w:fill="FFFFFF"/>
            <w:tcMar>
              <w:left w:w="101" w:type="dxa"/>
              <w:right w:w="101" w:type="dxa"/>
            </w:tcMar>
            <w:vAlign w:val="bottom"/>
          </w:tcPr>
          <w:p w14:paraId="1736B234" w14:textId="77777777" w:rsidR="003F0EEA" w:rsidRDefault="00FB7D0B">
            <w:pPr>
              <w:rPr>
                <w:rFonts w:ascii="Arial" w:eastAsia="Arial" w:hAnsi="Arial" w:cs="Arial"/>
                <w:color w:val="000000"/>
                <w:sz w:val="16"/>
              </w:rPr>
            </w:pPr>
            <w:r>
              <w:rPr>
                <w:rFonts w:ascii="Arial" w:eastAsia="Arial" w:hAnsi="Arial" w:cs="Arial"/>
                <w:b/>
                <w:color w:val="000000"/>
                <w:sz w:val="16"/>
              </w:rPr>
              <w:t xml:space="preserve">LIABILITIES ADMINISTERED ON </w:t>
            </w:r>
          </w:p>
        </w:tc>
        <w:tc>
          <w:tcPr>
            <w:tcW w:w="1035" w:type="dxa"/>
            <w:tcBorders>
              <w:top w:val="nil"/>
              <w:left w:val="nil"/>
              <w:bottom w:val="nil"/>
              <w:right w:val="nil"/>
              <w:tl2br w:val="nil"/>
              <w:tr2bl w:val="nil"/>
            </w:tcBorders>
            <w:shd w:val="clear" w:color="auto" w:fill="FFFFFF"/>
            <w:tcMar>
              <w:left w:w="101" w:type="dxa"/>
              <w:right w:w="101" w:type="dxa"/>
            </w:tcMar>
            <w:vAlign w:val="bottom"/>
          </w:tcPr>
          <w:p w14:paraId="285F29CB" w14:textId="77777777" w:rsidR="003F0EEA" w:rsidRDefault="003F0EEA">
            <w:pPr>
              <w:rPr>
                <w:rFonts w:ascii="Arial" w:eastAsia="Arial" w:hAnsi="Arial" w:cs="Arial"/>
                <w:b/>
                <w:color w:val="000000"/>
                <w:sz w:val="16"/>
              </w:rPr>
            </w:pPr>
          </w:p>
        </w:tc>
        <w:tc>
          <w:tcPr>
            <w:tcW w:w="1035" w:type="dxa"/>
            <w:tcBorders>
              <w:top w:val="nil"/>
              <w:left w:val="nil"/>
              <w:bottom w:val="nil"/>
              <w:right w:val="nil"/>
              <w:tl2br w:val="nil"/>
              <w:tr2bl w:val="nil"/>
            </w:tcBorders>
            <w:shd w:val="clear" w:color="auto" w:fill="FFFF00"/>
            <w:tcMar>
              <w:left w:w="101" w:type="dxa"/>
              <w:right w:w="101" w:type="dxa"/>
            </w:tcMar>
            <w:vAlign w:val="bottom"/>
          </w:tcPr>
          <w:p w14:paraId="65D30D5C" w14:textId="77777777" w:rsidR="003F0EEA" w:rsidRDefault="003F0EEA">
            <w:pPr>
              <w:rPr>
                <w:rFonts w:ascii="Arial" w:eastAsia="Arial" w:hAnsi="Arial" w:cs="Arial"/>
                <w:color w:val="000000"/>
                <w:sz w:val="16"/>
              </w:rPr>
            </w:pPr>
          </w:p>
        </w:tc>
        <w:tc>
          <w:tcPr>
            <w:tcW w:w="1035" w:type="dxa"/>
            <w:tcBorders>
              <w:top w:val="nil"/>
              <w:left w:val="nil"/>
              <w:bottom w:val="nil"/>
              <w:right w:val="nil"/>
              <w:tl2br w:val="nil"/>
              <w:tr2bl w:val="nil"/>
            </w:tcBorders>
            <w:shd w:val="clear" w:color="auto" w:fill="FFFFFF"/>
            <w:tcMar>
              <w:left w:w="101" w:type="dxa"/>
              <w:right w:w="101" w:type="dxa"/>
            </w:tcMar>
            <w:vAlign w:val="bottom"/>
          </w:tcPr>
          <w:p w14:paraId="6CB48099" w14:textId="77777777" w:rsidR="003F0EEA" w:rsidRDefault="003F0EEA">
            <w:pPr>
              <w:rPr>
                <w:rFonts w:ascii="Arial" w:eastAsia="Arial" w:hAnsi="Arial" w:cs="Arial"/>
                <w:color w:val="000000"/>
                <w:sz w:val="16"/>
              </w:rPr>
            </w:pPr>
          </w:p>
        </w:tc>
        <w:tc>
          <w:tcPr>
            <w:tcW w:w="1035" w:type="dxa"/>
            <w:tcBorders>
              <w:top w:val="nil"/>
              <w:left w:val="nil"/>
              <w:bottom w:val="nil"/>
              <w:right w:val="nil"/>
              <w:tl2br w:val="nil"/>
              <w:tr2bl w:val="nil"/>
            </w:tcBorders>
            <w:shd w:val="clear" w:color="auto" w:fill="FFFFFF"/>
            <w:tcMar>
              <w:left w:w="101" w:type="dxa"/>
              <w:right w:w="101" w:type="dxa"/>
            </w:tcMar>
            <w:vAlign w:val="bottom"/>
          </w:tcPr>
          <w:p w14:paraId="63B66949" w14:textId="77777777" w:rsidR="003F0EEA" w:rsidRDefault="003F0EEA">
            <w:pPr>
              <w:rPr>
                <w:rFonts w:ascii="Arial" w:eastAsia="Arial" w:hAnsi="Arial" w:cs="Arial"/>
                <w:color w:val="000000"/>
                <w:sz w:val="16"/>
              </w:rPr>
            </w:pPr>
          </w:p>
        </w:tc>
        <w:tc>
          <w:tcPr>
            <w:tcW w:w="1035" w:type="dxa"/>
            <w:tcBorders>
              <w:top w:val="nil"/>
              <w:left w:val="nil"/>
              <w:bottom w:val="nil"/>
              <w:right w:val="nil"/>
              <w:tl2br w:val="nil"/>
              <w:tr2bl w:val="nil"/>
            </w:tcBorders>
            <w:shd w:val="clear" w:color="auto" w:fill="FFFFFF"/>
            <w:tcMar>
              <w:left w:w="101" w:type="dxa"/>
              <w:right w:w="101" w:type="dxa"/>
            </w:tcMar>
            <w:vAlign w:val="bottom"/>
          </w:tcPr>
          <w:p w14:paraId="67F21186" w14:textId="77777777" w:rsidR="003F0EEA" w:rsidRDefault="003F0EEA">
            <w:pPr>
              <w:rPr>
                <w:rFonts w:ascii="Arial" w:eastAsia="Arial" w:hAnsi="Arial" w:cs="Arial"/>
                <w:color w:val="000000"/>
                <w:sz w:val="16"/>
              </w:rPr>
            </w:pPr>
          </w:p>
        </w:tc>
      </w:tr>
      <w:tr w:rsidR="00FB7D0B" w14:paraId="2F9D4118" w14:textId="77777777" w:rsidTr="00FB7D0B">
        <w:trPr>
          <w:trHeight w:val="225"/>
        </w:trPr>
        <w:tc>
          <w:tcPr>
            <w:tcW w:w="180" w:type="dxa"/>
            <w:tcBorders>
              <w:top w:val="nil"/>
              <w:left w:val="nil"/>
              <w:bottom w:val="nil"/>
              <w:right w:val="nil"/>
              <w:tl2br w:val="nil"/>
              <w:tr2bl w:val="nil"/>
            </w:tcBorders>
            <w:shd w:val="clear" w:color="auto" w:fill="FFFFFF"/>
            <w:tcMar>
              <w:left w:w="101" w:type="dxa"/>
              <w:right w:w="101" w:type="dxa"/>
            </w:tcMar>
            <w:vAlign w:val="bottom"/>
          </w:tcPr>
          <w:p w14:paraId="5F910640" w14:textId="77777777" w:rsidR="003F0EEA" w:rsidRDefault="003F0EEA">
            <w:pPr>
              <w:rPr>
                <w:rFonts w:ascii="Arial" w:eastAsia="Arial" w:hAnsi="Arial" w:cs="Arial"/>
                <w:color w:val="000000"/>
                <w:sz w:val="16"/>
              </w:rPr>
            </w:pPr>
          </w:p>
        </w:tc>
        <w:tc>
          <w:tcPr>
            <w:tcW w:w="3555" w:type="dxa"/>
            <w:gridSpan w:val="3"/>
            <w:vMerge w:val="restart"/>
            <w:tcBorders>
              <w:top w:val="nil"/>
              <w:left w:val="nil"/>
              <w:bottom w:val="nil"/>
              <w:right w:val="nil"/>
              <w:tl2br w:val="nil"/>
              <w:tr2bl w:val="nil"/>
            </w:tcBorders>
            <w:shd w:val="clear" w:color="auto" w:fill="FFFFFF"/>
            <w:tcMar>
              <w:left w:w="101" w:type="dxa"/>
              <w:right w:w="101" w:type="dxa"/>
            </w:tcMar>
            <w:vAlign w:val="bottom"/>
          </w:tcPr>
          <w:p w14:paraId="59A9A4DB" w14:textId="77777777" w:rsidR="003F0EEA" w:rsidRDefault="00FB7D0B">
            <w:pPr>
              <w:rPr>
                <w:rFonts w:ascii="Arial" w:eastAsia="Arial" w:hAnsi="Arial" w:cs="Arial"/>
                <w:color w:val="000000"/>
                <w:sz w:val="16"/>
              </w:rPr>
            </w:pPr>
            <w:r>
              <w:rPr>
                <w:rFonts w:ascii="Arial" w:eastAsia="Arial" w:hAnsi="Arial" w:cs="Arial"/>
                <w:b/>
                <w:color w:val="000000"/>
                <w:sz w:val="16"/>
              </w:rPr>
              <w:t>BEHALF OF GOVERNMENT</w:t>
            </w:r>
          </w:p>
        </w:tc>
        <w:tc>
          <w:tcPr>
            <w:tcW w:w="1035" w:type="dxa"/>
            <w:tcBorders>
              <w:top w:val="nil"/>
              <w:left w:val="nil"/>
              <w:bottom w:val="nil"/>
              <w:right w:val="nil"/>
              <w:tl2br w:val="nil"/>
              <w:tr2bl w:val="nil"/>
            </w:tcBorders>
            <w:shd w:val="clear" w:color="auto" w:fill="FFFF00"/>
            <w:tcMar>
              <w:left w:w="101" w:type="dxa"/>
              <w:right w:w="101" w:type="dxa"/>
            </w:tcMar>
            <w:vAlign w:val="bottom"/>
          </w:tcPr>
          <w:p w14:paraId="5C265D11" w14:textId="77777777" w:rsidR="003F0EEA" w:rsidRDefault="003F0EEA">
            <w:pPr>
              <w:rPr>
                <w:rFonts w:ascii="Arial" w:eastAsia="Arial" w:hAnsi="Arial" w:cs="Arial"/>
                <w:b/>
                <w:color w:val="000000"/>
                <w:sz w:val="16"/>
              </w:rPr>
            </w:pPr>
          </w:p>
        </w:tc>
        <w:tc>
          <w:tcPr>
            <w:tcW w:w="1035" w:type="dxa"/>
            <w:tcBorders>
              <w:top w:val="nil"/>
              <w:left w:val="nil"/>
              <w:bottom w:val="nil"/>
              <w:right w:val="nil"/>
              <w:tl2br w:val="nil"/>
              <w:tr2bl w:val="nil"/>
            </w:tcBorders>
            <w:shd w:val="clear" w:color="auto" w:fill="FFFFFF"/>
            <w:tcMar>
              <w:left w:w="101" w:type="dxa"/>
              <w:right w:w="101" w:type="dxa"/>
            </w:tcMar>
            <w:vAlign w:val="bottom"/>
          </w:tcPr>
          <w:p w14:paraId="46CD4A83" w14:textId="77777777" w:rsidR="003F0EEA" w:rsidRDefault="003F0EEA">
            <w:pPr>
              <w:rPr>
                <w:rFonts w:ascii="Arial" w:eastAsia="Arial" w:hAnsi="Arial" w:cs="Arial"/>
                <w:color w:val="000000"/>
                <w:sz w:val="16"/>
              </w:rPr>
            </w:pPr>
          </w:p>
        </w:tc>
        <w:tc>
          <w:tcPr>
            <w:tcW w:w="1035" w:type="dxa"/>
            <w:tcBorders>
              <w:top w:val="nil"/>
              <w:left w:val="nil"/>
              <w:bottom w:val="nil"/>
              <w:right w:val="nil"/>
              <w:tl2br w:val="nil"/>
              <w:tr2bl w:val="nil"/>
            </w:tcBorders>
            <w:shd w:val="clear" w:color="auto" w:fill="FFFFFF"/>
            <w:tcMar>
              <w:left w:w="101" w:type="dxa"/>
              <w:right w:w="101" w:type="dxa"/>
            </w:tcMar>
            <w:vAlign w:val="bottom"/>
          </w:tcPr>
          <w:p w14:paraId="4CB06EA9" w14:textId="77777777" w:rsidR="003F0EEA" w:rsidRDefault="003F0EEA">
            <w:pPr>
              <w:rPr>
                <w:rFonts w:ascii="Arial" w:eastAsia="Arial" w:hAnsi="Arial" w:cs="Arial"/>
                <w:color w:val="000000"/>
                <w:sz w:val="16"/>
              </w:rPr>
            </w:pPr>
          </w:p>
        </w:tc>
        <w:tc>
          <w:tcPr>
            <w:tcW w:w="1035" w:type="dxa"/>
            <w:tcBorders>
              <w:top w:val="nil"/>
              <w:left w:val="nil"/>
              <w:bottom w:val="nil"/>
              <w:right w:val="nil"/>
              <w:tl2br w:val="nil"/>
              <w:tr2bl w:val="nil"/>
            </w:tcBorders>
            <w:shd w:val="clear" w:color="auto" w:fill="FFFFFF"/>
            <w:tcMar>
              <w:left w:w="101" w:type="dxa"/>
              <w:right w:w="101" w:type="dxa"/>
            </w:tcMar>
            <w:vAlign w:val="bottom"/>
          </w:tcPr>
          <w:p w14:paraId="279238E4" w14:textId="77777777" w:rsidR="003F0EEA" w:rsidRDefault="003F0EEA">
            <w:pPr>
              <w:rPr>
                <w:rFonts w:ascii="Arial" w:eastAsia="Arial" w:hAnsi="Arial" w:cs="Arial"/>
                <w:color w:val="000000"/>
                <w:sz w:val="16"/>
              </w:rPr>
            </w:pPr>
          </w:p>
        </w:tc>
      </w:tr>
      <w:tr w:rsidR="00FB7D0B" w14:paraId="2368F8BC" w14:textId="77777777" w:rsidTr="00FB7D0B">
        <w:trPr>
          <w:trHeight w:val="225"/>
        </w:trPr>
        <w:tc>
          <w:tcPr>
            <w:tcW w:w="2700" w:type="dxa"/>
            <w:gridSpan w:val="3"/>
            <w:tcBorders>
              <w:top w:val="nil"/>
              <w:left w:val="nil"/>
              <w:bottom w:val="nil"/>
              <w:right w:val="nil"/>
              <w:tl2br w:val="nil"/>
              <w:tr2bl w:val="nil"/>
            </w:tcBorders>
            <w:shd w:val="clear" w:color="auto" w:fill="FFFFFF"/>
            <w:tcMar>
              <w:left w:w="101" w:type="dxa"/>
              <w:right w:w="101" w:type="dxa"/>
            </w:tcMar>
            <w:vAlign w:val="bottom"/>
          </w:tcPr>
          <w:p w14:paraId="3ED70D63" w14:textId="77777777" w:rsidR="003F0EEA" w:rsidRDefault="00FB7D0B">
            <w:pPr>
              <w:rPr>
                <w:rFonts w:ascii="Arial" w:eastAsia="Arial" w:hAnsi="Arial" w:cs="Arial"/>
                <w:color w:val="000000"/>
                <w:sz w:val="16"/>
              </w:rPr>
            </w:pPr>
            <w:r>
              <w:rPr>
                <w:rFonts w:ascii="Arial" w:eastAsia="Arial" w:hAnsi="Arial" w:cs="Arial"/>
                <w:b/>
                <w:color w:val="000000"/>
                <w:sz w:val="16"/>
              </w:rPr>
              <w:t>Provisions and payables</w:t>
            </w:r>
          </w:p>
        </w:tc>
        <w:tc>
          <w:tcPr>
            <w:tcW w:w="1035" w:type="dxa"/>
            <w:tcBorders>
              <w:top w:val="nil"/>
              <w:left w:val="nil"/>
              <w:bottom w:val="nil"/>
              <w:right w:val="nil"/>
              <w:tl2br w:val="nil"/>
              <w:tr2bl w:val="nil"/>
            </w:tcBorders>
            <w:shd w:val="clear" w:color="auto" w:fill="FFFFFF"/>
            <w:tcMar>
              <w:left w:w="101" w:type="dxa"/>
              <w:right w:w="101" w:type="dxa"/>
            </w:tcMar>
            <w:vAlign w:val="bottom"/>
          </w:tcPr>
          <w:p w14:paraId="5B29565F" w14:textId="77777777" w:rsidR="003F0EEA" w:rsidRDefault="003F0EEA">
            <w:pPr>
              <w:rPr>
                <w:rFonts w:ascii="Arial" w:eastAsia="Arial" w:hAnsi="Arial" w:cs="Arial"/>
                <w:b/>
                <w:color w:val="000000"/>
                <w:sz w:val="16"/>
              </w:rPr>
            </w:pPr>
          </w:p>
        </w:tc>
        <w:tc>
          <w:tcPr>
            <w:tcW w:w="1035" w:type="dxa"/>
            <w:tcBorders>
              <w:top w:val="nil"/>
              <w:left w:val="nil"/>
              <w:bottom w:val="nil"/>
              <w:right w:val="nil"/>
              <w:tl2br w:val="nil"/>
              <w:tr2bl w:val="nil"/>
            </w:tcBorders>
            <w:shd w:val="clear" w:color="auto" w:fill="FFFF00"/>
            <w:tcMar>
              <w:left w:w="101" w:type="dxa"/>
              <w:right w:w="101" w:type="dxa"/>
            </w:tcMar>
            <w:vAlign w:val="bottom"/>
          </w:tcPr>
          <w:p w14:paraId="5BE35852" w14:textId="77777777" w:rsidR="003F0EEA" w:rsidRDefault="003F0EEA">
            <w:pPr>
              <w:rPr>
                <w:rFonts w:ascii="Arial" w:eastAsia="Arial" w:hAnsi="Arial" w:cs="Arial"/>
                <w:color w:val="000000"/>
                <w:sz w:val="16"/>
              </w:rPr>
            </w:pPr>
          </w:p>
        </w:tc>
        <w:tc>
          <w:tcPr>
            <w:tcW w:w="1035" w:type="dxa"/>
            <w:tcBorders>
              <w:top w:val="nil"/>
              <w:left w:val="nil"/>
              <w:bottom w:val="nil"/>
              <w:right w:val="nil"/>
              <w:tl2br w:val="nil"/>
              <w:tr2bl w:val="nil"/>
            </w:tcBorders>
            <w:shd w:val="clear" w:color="auto" w:fill="FFFFFF"/>
            <w:tcMar>
              <w:left w:w="101" w:type="dxa"/>
              <w:right w:w="101" w:type="dxa"/>
            </w:tcMar>
            <w:vAlign w:val="bottom"/>
          </w:tcPr>
          <w:p w14:paraId="3BC02B83" w14:textId="77777777" w:rsidR="003F0EEA" w:rsidRDefault="003F0EEA">
            <w:pPr>
              <w:rPr>
                <w:rFonts w:ascii="Arial" w:eastAsia="Arial" w:hAnsi="Arial" w:cs="Arial"/>
                <w:color w:val="000000"/>
                <w:sz w:val="16"/>
              </w:rPr>
            </w:pPr>
          </w:p>
        </w:tc>
        <w:tc>
          <w:tcPr>
            <w:tcW w:w="1035" w:type="dxa"/>
            <w:tcBorders>
              <w:top w:val="nil"/>
              <w:left w:val="nil"/>
              <w:bottom w:val="nil"/>
              <w:right w:val="nil"/>
              <w:tl2br w:val="nil"/>
              <w:tr2bl w:val="nil"/>
            </w:tcBorders>
            <w:shd w:val="clear" w:color="auto" w:fill="FFFFFF"/>
            <w:tcMar>
              <w:left w:w="101" w:type="dxa"/>
              <w:right w:w="101" w:type="dxa"/>
            </w:tcMar>
            <w:vAlign w:val="bottom"/>
          </w:tcPr>
          <w:p w14:paraId="565225BE" w14:textId="77777777" w:rsidR="003F0EEA" w:rsidRDefault="003F0EEA">
            <w:pPr>
              <w:rPr>
                <w:rFonts w:ascii="Arial" w:eastAsia="Arial" w:hAnsi="Arial" w:cs="Arial"/>
                <w:color w:val="000000"/>
                <w:sz w:val="16"/>
              </w:rPr>
            </w:pPr>
          </w:p>
        </w:tc>
        <w:tc>
          <w:tcPr>
            <w:tcW w:w="1035" w:type="dxa"/>
            <w:tcBorders>
              <w:top w:val="nil"/>
              <w:left w:val="nil"/>
              <w:bottom w:val="nil"/>
              <w:right w:val="nil"/>
              <w:tl2br w:val="nil"/>
              <w:tr2bl w:val="nil"/>
            </w:tcBorders>
            <w:shd w:val="clear" w:color="auto" w:fill="FFFFFF"/>
            <w:tcMar>
              <w:left w:w="101" w:type="dxa"/>
              <w:right w:w="101" w:type="dxa"/>
            </w:tcMar>
            <w:vAlign w:val="bottom"/>
          </w:tcPr>
          <w:p w14:paraId="287ECC1B" w14:textId="77777777" w:rsidR="003F0EEA" w:rsidRDefault="003F0EEA">
            <w:pPr>
              <w:rPr>
                <w:rFonts w:ascii="Arial" w:eastAsia="Arial" w:hAnsi="Arial" w:cs="Arial"/>
                <w:color w:val="000000"/>
                <w:sz w:val="16"/>
              </w:rPr>
            </w:pPr>
          </w:p>
        </w:tc>
      </w:tr>
      <w:tr w:rsidR="00FB7D0B" w14:paraId="26000BE2" w14:textId="77777777" w:rsidTr="00FB7D0B">
        <w:trPr>
          <w:trHeight w:val="225"/>
        </w:trPr>
        <w:tc>
          <w:tcPr>
            <w:tcW w:w="180" w:type="dxa"/>
            <w:tcBorders>
              <w:top w:val="nil"/>
              <w:left w:val="nil"/>
              <w:bottom w:val="nil"/>
              <w:right w:val="nil"/>
              <w:tl2br w:val="nil"/>
              <w:tr2bl w:val="nil"/>
            </w:tcBorders>
            <w:shd w:val="clear" w:color="auto" w:fill="FFFFFF"/>
            <w:tcMar>
              <w:left w:w="101" w:type="dxa"/>
              <w:right w:w="101" w:type="dxa"/>
            </w:tcMar>
            <w:vAlign w:val="bottom"/>
          </w:tcPr>
          <w:p w14:paraId="0D1AFE5F" w14:textId="77777777" w:rsidR="003F0EEA" w:rsidRDefault="003F0EEA">
            <w:pPr>
              <w:rPr>
                <w:rFonts w:ascii="Arial" w:eastAsia="Arial" w:hAnsi="Arial" w:cs="Arial"/>
                <w:color w:val="000000"/>
                <w:sz w:val="16"/>
              </w:rPr>
            </w:pPr>
          </w:p>
        </w:tc>
        <w:tc>
          <w:tcPr>
            <w:tcW w:w="2520" w:type="dxa"/>
            <w:gridSpan w:val="2"/>
            <w:vMerge w:val="restart"/>
            <w:tcBorders>
              <w:top w:val="nil"/>
              <w:left w:val="nil"/>
              <w:bottom w:val="nil"/>
              <w:right w:val="nil"/>
              <w:tl2br w:val="nil"/>
              <w:tr2bl w:val="nil"/>
            </w:tcBorders>
            <w:shd w:val="clear" w:color="auto" w:fill="FFFFFF"/>
            <w:tcMar>
              <w:left w:w="101" w:type="dxa"/>
              <w:right w:w="101" w:type="dxa"/>
            </w:tcMar>
            <w:vAlign w:val="bottom"/>
          </w:tcPr>
          <w:p w14:paraId="5F9D2D38" w14:textId="77777777" w:rsidR="003F0EEA" w:rsidRDefault="00FB7D0B">
            <w:pPr>
              <w:rPr>
                <w:rFonts w:ascii="Arial" w:eastAsia="Arial" w:hAnsi="Arial" w:cs="Arial"/>
                <w:color w:val="000000"/>
                <w:sz w:val="16"/>
              </w:rPr>
            </w:pPr>
            <w:r>
              <w:rPr>
                <w:rFonts w:ascii="Arial" w:eastAsia="Arial" w:hAnsi="Arial" w:cs="Arial"/>
                <w:color w:val="000000"/>
                <w:sz w:val="16"/>
              </w:rPr>
              <w:t>Other provisions and payables</w:t>
            </w:r>
          </w:p>
        </w:tc>
        <w:tc>
          <w:tcPr>
            <w:tcW w:w="1035" w:type="dxa"/>
            <w:tcBorders>
              <w:top w:val="nil"/>
              <w:left w:val="nil"/>
              <w:bottom w:val="nil"/>
              <w:right w:val="nil"/>
              <w:tl2br w:val="nil"/>
              <w:tr2bl w:val="nil"/>
            </w:tcBorders>
            <w:shd w:val="clear" w:color="auto" w:fill="FFFFFF"/>
            <w:tcMar>
              <w:left w:w="101" w:type="dxa"/>
              <w:right w:w="101" w:type="dxa"/>
            </w:tcMar>
            <w:vAlign w:val="bottom"/>
          </w:tcPr>
          <w:p w14:paraId="2BDCABB7" w14:textId="77777777" w:rsidR="003F0EEA" w:rsidRDefault="00FB7D0B">
            <w:pPr>
              <w:jc w:val="right"/>
              <w:rPr>
                <w:rFonts w:ascii="Arial" w:eastAsia="Arial" w:hAnsi="Arial" w:cs="Arial"/>
                <w:color w:val="000000"/>
                <w:sz w:val="16"/>
              </w:rPr>
            </w:pPr>
            <w:r>
              <w:rPr>
                <w:rFonts w:ascii="Arial" w:eastAsia="Arial" w:hAnsi="Arial" w:cs="Arial"/>
                <w:color w:val="000000"/>
                <w:sz w:val="16"/>
              </w:rPr>
              <w:t xml:space="preserve"> 1,831,556 </w:t>
            </w:r>
          </w:p>
        </w:tc>
        <w:tc>
          <w:tcPr>
            <w:tcW w:w="1035" w:type="dxa"/>
            <w:tcBorders>
              <w:top w:val="nil"/>
              <w:left w:val="nil"/>
              <w:bottom w:val="nil"/>
              <w:right w:val="nil"/>
              <w:tl2br w:val="nil"/>
              <w:tr2bl w:val="nil"/>
            </w:tcBorders>
            <w:shd w:val="clear" w:color="auto" w:fill="FFFF00"/>
            <w:tcMar>
              <w:left w:w="101" w:type="dxa"/>
              <w:right w:w="101" w:type="dxa"/>
            </w:tcMar>
            <w:vAlign w:val="bottom"/>
          </w:tcPr>
          <w:p w14:paraId="4BB4544F" w14:textId="77777777" w:rsidR="003F0EEA" w:rsidRDefault="00FB7D0B">
            <w:pPr>
              <w:jc w:val="right"/>
              <w:rPr>
                <w:rFonts w:ascii="Arial" w:eastAsia="Arial" w:hAnsi="Arial" w:cs="Arial"/>
                <w:color w:val="000000"/>
                <w:sz w:val="16"/>
              </w:rPr>
            </w:pPr>
            <w:r>
              <w:rPr>
                <w:rFonts w:ascii="Arial" w:eastAsia="Arial" w:hAnsi="Arial" w:cs="Arial"/>
                <w:color w:val="000000"/>
                <w:sz w:val="16"/>
              </w:rPr>
              <w:t xml:space="preserve"> 1,904,553 </w:t>
            </w:r>
          </w:p>
        </w:tc>
        <w:tc>
          <w:tcPr>
            <w:tcW w:w="1035" w:type="dxa"/>
            <w:tcBorders>
              <w:top w:val="nil"/>
              <w:left w:val="nil"/>
              <w:bottom w:val="nil"/>
              <w:right w:val="nil"/>
              <w:tl2br w:val="nil"/>
              <w:tr2bl w:val="nil"/>
            </w:tcBorders>
            <w:shd w:val="clear" w:color="auto" w:fill="FFFFFF"/>
            <w:tcMar>
              <w:left w:w="101" w:type="dxa"/>
              <w:right w:w="101" w:type="dxa"/>
            </w:tcMar>
            <w:vAlign w:val="bottom"/>
          </w:tcPr>
          <w:p w14:paraId="601349D1" w14:textId="77777777" w:rsidR="003F0EEA" w:rsidRDefault="00FB7D0B">
            <w:pPr>
              <w:jc w:val="right"/>
              <w:rPr>
                <w:rFonts w:ascii="Arial" w:eastAsia="Arial" w:hAnsi="Arial" w:cs="Arial"/>
                <w:color w:val="000000"/>
                <w:sz w:val="16"/>
              </w:rPr>
            </w:pPr>
            <w:r>
              <w:rPr>
                <w:rFonts w:ascii="Arial" w:eastAsia="Arial" w:hAnsi="Arial" w:cs="Arial"/>
                <w:color w:val="000000"/>
                <w:sz w:val="16"/>
              </w:rPr>
              <w:t xml:space="preserve"> 1,993,981 </w:t>
            </w:r>
          </w:p>
        </w:tc>
        <w:tc>
          <w:tcPr>
            <w:tcW w:w="1035" w:type="dxa"/>
            <w:tcBorders>
              <w:top w:val="nil"/>
              <w:left w:val="nil"/>
              <w:bottom w:val="nil"/>
              <w:right w:val="nil"/>
              <w:tl2br w:val="nil"/>
              <w:tr2bl w:val="nil"/>
            </w:tcBorders>
            <w:shd w:val="clear" w:color="auto" w:fill="FFFFFF"/>
            <w:tcMar>
              <w:left w:w="101" w:type="dxa"/>
              <w:right w:w="101" w:type="dxa"/>
            </w:tcMar>
            <w:vAlign w:val="bottom"/>
          </w:tcPr>
          <w:p w14:paraId="5F03BF13" w14:textId="77777777" w:rsidR="003F0EEA" w:rsidRDefault="00FB7D0B">
            <w:pPr>
              <w:jc w:val="right"/>
              <w:rPr>
                <w:rFonts w:ascii="Arial" w:eastAsia="Arial" w:hAnsi="Arial" w:cs="Arial"/>
                <w:color w:val="000000"/>
                <w:sz w:val="16"/>
              </w:rPr>
            </w:pPr>
            <w:r>
              <w:rPr>
                <w:rFonts w:ascii="Arial" w:eastAsia="Arial" w:hAnsi="Arial" w:cs="Arial"/>
                <w:color w:val="000000"/>
                <w:sz w:val="16"/>
              </w:rPr>
              <w:t xml:space="preserve"> 2,085,490 </w:t>
            </w:r>
          </w:p>
        </w:tc>
        <w:tc>
          <w:tcPr>
            <w:tcW w:w="1035" w:type="dxa"/>
            <w:tcBorders>
              <w:top w:val="nil"/>
              <w:left w:val="nil"/>
              <w:bottom w:val="nil"/>
              <w:right w:val="nil"/>
              <w:tl2br w:val="nil"/>
              <w:tr2bl w:val="nil"/>
            </w:tcBorders>
            <w:shd w:val="clear" w:color="auto" w:fill="FFFFFF"/>
            <w:tcMar>
              <w:left w:w="101" w:type="dxa"/>
              <w:right w:w="101" w:type="dxa"/>
            </w:tcMar>
            <w:vAlign w:val="bottom"/>
          </w:tcPr>
          <w:p w14:paraId="2DC6282D" w14:textId="77777777" w:rsidR="003F0EEA" w:rsidRDefault="00FB7D0B">
            <w:pPr>
              <w:jc w:val="right"/>
              <w:rPr>
                <w:rFonts w:ascii="Arial" w:eastAsia="Arial" w:hAnsi="Arial" w:cs="Arial"/>
                <w:color w:val="000000"/>
                <w:sz w:val="16"/>
              </w:rPr>
            </w:pPr>
            <w:r>
              <w:rPr>
                <w:rFonts w:ascii="Arial" w:eastAsia="Arial" w:hAnsi="Arial" w:cs="Arial"/>
                <w:color w:val="000000"/>
                <w:sz w:val="16"/>
              </w:rPr>
              <w:t xml:space="preserve"> 2,176,700 </w:t>
            </w:r>
          </w:p>
        </w:tc>
      </w:tr>
      <w:tr w:rsidR="00FB7D0B" w14:paraId="405FAC87" w14:textId="77777777" w:rsidTr="00FB7D0B">
        <w:trPr>
          <w:trHeight w:val="225"/>
        </w:trPr>
        <w:tc>
          <w:tcPr>
            <w:tcW w:w="180" w:type="dxa"/>
            <w:tcBorders>
              <w:top w:val="nil"/>
              <w:left w:val="nil"/>
              <w:bottom w:val="nil"/>
              <w:right w:val="nil"/>
              <w:tl2br w:val="nil"/>
              <w:tr2bl w:val="nil"/>
            </w:tcBorders>
            <w:shd w:val="clear" w:color="auto" w:fill="FFFFFF"/>
            <w:tcMar>
              <w:left w:w="101" w:type="dxa"/>
              <w:right w:w="101" w:type="dxa"/>
            </w:tcMar>
            <w:vAlign w:val="bottom"/>
          </w:tcPr>
          <w:p w14:paraId="6AD4A628" w14:textId="77777777" w:rsidR="003F0EEA" w:rsidRDefault="003F0EEA">
            <w:pPr>
              <w:rPr>
                <w:rFonts w:ascii="Arial" w:eastAsia="Arial" w:hAnsi="Arial" w:cs="Arial"/>
                <w:color w:val="000000"/>
                <w:sz w:val="16"/>
              </w:rPr>
            </w:pPr>
          </w:p>
        </w:tc>
        <w:tc>
          <w:tcPr>
            <w:tcW w:w="2520" w:type="dxa"/>
            <w:gridSpan w:val="2"/>
            <w:tcBorders>
              <w:top w:val="nil"/>
              <w:left w:val="nil"/>
              <w:bottom w:val="nil"/>
              <w:right w:val="nil"/>
              <w:tl2br w:val="nil"/>
              <w:tr2bl w:val="nil"/>
            </w:tcBorders>
            <w:shd w:val="clear" w:color="auto" w:fill="FFFFFF"/>
            <w:tcMar>
              <w:left w:w="101" w:type="dxa"/>
              <w:right w:w="101" w:type="dxa"/>
            </w:tcMar>
            <w:vAlign w:val="bottom"/>
          </w:tcPr>
          <w:p w14:paraId="7AF72A30" w14:textId="77777777" w:rsidR="003F0EEA" w:rsidRDefault="00FB7D0B">
            <w:pPr>
              <w:rPr>
                <w:rFonts w:ascii="Arial" w:eastAsia="Arial" w:hAnsi="Arial" w:cs="Arial"/>
                <w:color w:val="000000"/>
                <w:sz w:val="16"/>
              </w:rPr>
            </w:pPr>
            <w:r>
              <w:rPr>
                <w:rFonts w:ascii="Arial" w:eastAsia="Arial" w:hAnsi="Arial" w:cs="Arial"/>
                <w:color w:val="000000"/>
                <w:sz w:val="16"/>
              </w:rPr>
              <w:t>Personal benefits</w:t>
            </w:r>
          </w:p>
        </w:tc>
        <w:tc>
          <w:tcPr>
            <w:tcW w:w="1035" w:type="dxa"/>
            <w:tcBorders>
              <w:top w:val="nil"/>
              <w:left w:val="nil"/>
              <w:bottom w:val="nil"/>
              <w:right w:val="nil"/>
              <w:tl2br w:val="nil"/>
              <w:tr2bl w:val="nil"/>
            </w:tcBorders>
            <w:shd w:val="clear" w:color="auto" w:fill="FFFFFF"/>
            <w:tcMar>
              <w:left w:w="101" w:type="dxa"/>
              <w:right w:w="101" w:type="dxa"/>
            </w:tcMar>
            <w:vAlign w:val="bottom"/>
          </w:tcPr>
          <w:p w14:paraId="771A75BC" w14:textId="77777777" w:rsidR="003F0EEA" w:rsidRDefault="00FB7D0B">
            <w:pPr>
              <w:jc w:val="right"/>
              <w:rPr>
                <w:rFonts w:ascii="Arial" w:eastAsia="Arial" w:hAnsi="Arial" w:cs="Arial"/>
                <w:color w:val="000000"/>
                <w:sz w:val="16"/>
              </w:rPr>
            </w:pPr>
            <w:r>
              <w:rPr>
                <w:rFonts w:ascii="Arial" w:eastAsia="Arial" w:hAnsi="Arial" w:cs="Arial"/>
                <w:color w:val="000000"/>
                <w:sz w:val="16"/>
              </w:rPr>
              <w:t xml:space="preserve"> 3,547,791 </w:t>
            </w:r>
          </w:p>
        </w:tc>
        <w:tc>
          <w:tcPr>
            <w:tcW w:w="1035" w:type="dxa"/>
            <w:tcBorders>
              <w:top w:val="nil"/>
              <w:left w:val="nil"/>
              <w:bottom w:val="nil"/>
              <w:right w:val="nil"/>
              <w:tl2br w:val="nil"/>
              <w:tr2bl w:val="nil"/>
            </w:tcBorders>
            <w:shd w:val="clear" w:color="auto" w:fill="FFFF00"/>
            <w:tcMar>
              <w:left w:w="101" w:type="dxa"/>
              <w:right w:w="101" w:type="dxa"/>
            </w:tcMar>
            <w:vAlign w:val="bottom"/>
          </w:tcPr>
          <w:p w14:paraId="4D23A8B4" w14:textId="77777777" w:rsidR="003F0EEA" w:rsidRDefault="00FB7D0B">
            <w:pPr>
              <w:jc w:val="right"/>
              <w:rPr>
                <w:rFonts w:ascii="Arial" w:eastAsia="Arial" w:hAnsi="Arial" w:cs="Arial"/>
                <w:color w:val="000000"/>
                <w:sz w:val="16"/>
              </w:rPr>
            </w:pPr>
            <w:r>
              <w:rPr>
                <w:rFonts w:ascii="Arial" w:eastAsia="Arial" w:hAnsi="Arial" w:cs="Arial"/>
                <w:color w:val="000000"/>
                <w:sz w:val="16"/>
              </w:rPr>
              <w:t xml:space="preserve"> 3,696,298 </w:t>
            </w:r>
          </w:p>
        </w:tc>
        <w:tc>
          <w:tcPr>
            <w:tcW w:w="1035" w:type="dxa"/>
            <w:tcBorders>
              <w:top w:val="nil"/>
              <w:left w:val="nil"/>
              <w:bottom w:val="nil"/>
              <w:right w:val="nil"/>
              <w:tl2br w:val="nil"/>
              <w:tr2bl w:val="nil"/>
            </w:tcBorders>
            <w:shd w:val="clear" w:color="auto" w:fill="FFFFFF"/>
            <w:tcMar>
              <w:left w:w="101" w:type="dxa"/>
              <w:right w:w="101" w:type="dxa"/>
            </w:tcMar>
            <w:vAlign w:val="bottom"/>
          </w:tcPr>
          <w:p w14:paraId="6C0BE185" w14:textId="77777777" w:rsidR="003F0EEA" w:rsidRDefault="00FB7D0B">
            <w:pPr>
              <w:jc w:val="right"/>
              <w:rPr>
                <w:rFonts w:ascii="Arial" w:eastAsia="Arial" w:hAnsi="Arial" w:cs="Arial"/>
                <w:color w:val="000000"/>
                <w:sz w:val="16"/>
              </w:rPr>
            </w:pPr>
            <w:r>
              <w:rPr>
                <w:rFonts w:ascii="Arial" w:eastAsia="Arial" w:hAnsi="Arial" w:cs="Arial"/>
                <w:color w:val="000000"/>
                <w:sz w:val="16"/>
              </w:rPr>
              <w:t xml:space="preserve"> 3,864,178 </w:t>
            </w:r>
          </w:p>
        </w:tc>
        <w:tc>
          <w:tcPr>
            <w:tcW w:w="1035" w:type="dxa"/>
            <w:tcBorders>
              <w:top w:val="nil"/>
              <w:left w:val="nil"/>
              <w:bottom w:val="nil"/>
              <w:right w:val="nil"/>
              <w:tl2br w:val="nil"/>
              <w:tr2bl w:val="nil"/>
            </w:tcBorders>
            <w:shd w:val="clear" w:color="auto" w:fill="FFFFFF"/>
            <w:tcMar>
              <w:left w:w="101" w:type="dxa"/>
              <w:right w:w="101" w:type="dxa"/>
            </w:tcMar>
            <w:vAlign w:val="bottom"/>
          </w:tcPr>
          <w:p w14:paraId="1ED7AD3F" w14:textId="77777777" w:rsidR="003F0EEA" w:rsidRDefault="00FB7D0B">
            <w:pPr>
              <w:jc w:val="right"/>
              <w:rPr>
                <w:rFonts w:ascii="Arial" w:eastAsia="Arial" w:hAnsi="Arial" w:cs="Arial"/>
                <w:color w:val="000000"/>
                <w:sz w:val="16"/>
              </w:rPr>
            </w:pPr>
            <w:r>
              <w:rPr>
                <w:rFonts w:ascii="Arial" w:eastAsia="Arial" w:hAnsi="Arial" w:cs="Arial"/>
                <w:color w:val="000000"/>
                <w:sz w:val="16"/>
              </w:rPr>
              <w:t xml:space="preserve"> 4,031,329 </w:t>
            </w:r>
          </w:p>
        </w:tc>
        <w:tc>
          <w:tcPr>
            <w:tcW w:w="1035" w:type="dxa"/>
            <w:tcBorders>
              <w:top w:val="nil"/>
              <w:left w:val="nil"/>
              <w:bottom w:val="nil"/>
              <w:right w:val="nil"/>
              <w:tl2br w:val="nil"/>
              <w:tr2bl w:val="nil"/>
            </w:tcBorders>
            <w:shd w:val="clear" w:color="auto" w:fill="FFFFFF"/>
            <w:tcMar>
              <w:left w:w="101" w:type="dxa"/>
              <w:right w:w="101" w:type="dxa"/>
            </w:tcMar>
            <w:vAlign w:val="bottom"/>
          </w:tcPr>
          <w:p w14:paraId="531DFC2A" w14:textId="77777777" w:rsidR="003F0EEA" w:rsidRDefault="00FB7D0B">
            <w:pPr>
              <w:jc w:val="right"/>
              <w:rPr>
                <w:rFonts w:ascii="Arial" w:eastAsia="Arial" w:hAnsi="Arial" w:cs="Arial"/>
                <w:color w:val="000000"/>
                <w:sz w:val="16"/>
              </w:rPr>
            </w:pPr>
            <w:r>
              <w:rPr>
                <w:rFonts w:ascii="Arial" w:eastAsia="Arial" w:hAnsi="Arial" w:cs="Arial"/>
                <w:color w:val="000000"/>
                <w:sz w:val="16"/>
              </w:rPr>
              <w:t xml:space="preserve"> 4,182,297 </w:t>
            </w:r>
          </w:p>
        </w:tc>
      </w:tr>
      <w:tr w:rsidR="00FB7D0B" w14:paraId="72347B7A" w14:textId="77777777" w:rsidTr="00FB7D0B">
        <w:trPr>
          <w:trHeight w:val="225"/>
        </w:trPr>
        <w:tc>
          <w:tcPr>
            <w:tcW w:w="180" w:type="dxa"/>
            <w:tcBorders>
              <w:top w:val="nil"/>
              <w:left w:val="nil"/>
              <w:bottom w:val="nil"/>
              <w:right w:val="nil"/>
              <w:tl2br w:val="nil"/>
              <w:tr2bl w:val="nil"/>
            </w:tcBorders>
            <w:shd w:val="clear" w:color="auto" w:fill="FFFFFF"/>
            <w:tcMar>
              <w:left w:w="101" w:type="dxa"/>
              <w:right w:w="101" w:type="dxa"/>
            </w:tcMar>
            <w:vAlign w:val="bottom"/>
          </w:tcPr>
          <w:p w14:paraId="316A85A5" w14:textId="77777777" w:rsidR="003F0EEA" w:rsidRDefault="003F0EEA">
            <w:pPr>
              <w:rPr>
                <w:rFonts w:ascii="Arial" w:eastAsia="Arial" w:hAnsi="Arial" w:cs="Arial"/>
                <w:color w:val="000000"/>
                <w:sz w:val="16"/>
              </w:rPr>
            </w:pPr>
          </w:p>
        </w:tc>
        <w:tc>
          <w:tcPr>
            <w:tcW w:w="2520" w:type="dxa"/>
            <w:gridSpan w:val="2"/>
            <w:tcBorders>
              <w:top w:val="nil"/>
              <w:left w:val="nil"/>
              <w:bottom w:val="nil"/>
              <w:right w:val="nil"/>
              <w:tl2br w:val="nil"/>
              <w:tr2bl w:val="nil"/>
            </w:tcBorders>
            <w:shd w:val="clear" w:color="auto" w:fill="FFFFFF"/>
            <w:tcMar>
              <w:left w:w="101" w:type="dxa"/>
              <w:right w:w="101" w:type="dxa"/>
            </w:tcMar>
            <w:vAlign w:val="bottom"/>
          </w:tcPr>
          <w:p w14:paraId="5E95D32C" w14:textId="77777777" w:rsidR="003F0EEA" w:rsidRDefault="00FB7D0B">
            <w:pPr>
              <w:rPr>
                <w:rFonts w:ascii="Arial" w:eastAsia="Arial" w:hAnsi="Arial" w:cs="Arial"/>
                <w:color w:val="000000"/>
                <w:sz w:val="16"/>
              </w:rPr>
            </w:pPr>
            <w:r>
              <w:rPr>
                <w:rFonts w:ascii="Arial" w:eastAsia="Arial" w:hAnsi="Arial" w:cs="Arial"/>
                <w:color w:val="000000"/>
                <w:sz w:val="16"/>
              </w:rPr>
              <w:t xml:space="preserve">Other payables and accrued </w:t>
            </w:r>
          </w:p>
        </w:tc>
        <w:tc>
          <w:tcPr>
            <w:tcW w:w="1035" w:type="dxa"/>
            <w:tcBorders>
              <w:top w:val="nil"/>
              <w:left w:val="nil"/>
              <w:bottom w:val="nil"/>
              <w:right w:val="nil"/>
              <w:tl2br w:val="nil"/>
              <w:tr2bl w:val="nil"/>
            </w:tcBorders>
            <w:shd w:val="clear" w:color="auto" w:fill="FFFFFF"/>
            <w:tcMar>
              <w:left w:w="101" w:type="dxa"/>
              <w:right w:w="101" w:type="dxa"/>
            </w:tcMar>
            <w:vAlign w:val="bottom"/>
          </w:tcPr>
          <w:p w14:paraId="34D31CB8" w14:textId="77777777" w:rsidR="003F0EEA" w:rsidRDefault="003F0EEA">
            <w:pPr>
              <w:rPr>
                <w:rFonts w:ascii="Arial" w:eastAsia="Arial" w:hAnsi="Arial" w:cs="Arial"/>
                <w:color w:val="000000"/>
                <w:sz w:val="16"/>
              </w:rPr>
            </w:pPr>
          </w:p>
        </w:tc>
        <w:tc>
          <w:tcPr>
            <w:tcW w:w="1035" w:type="dxa"/>
            <w:tcBorders>
              <w:top w:val="nil"/>
              <w:left w:val="nil"/>
              <w:bottom w:val="nil"/>
              <w:right w:val="nil"/>
              <w:tl2br w:val="nil"/>
              <w:tr2bl w:val="nil"/>
            </w:tcBorders>
            <w:shd w:val="clear" w:color="auto" w:fill="FFFF00"/>
            <w:tcMar>
              <w:left w:w="101" w:type="dxa"/>
              <w:right w:w="101" w:type="dxa"/>
            </w:tcMar>
            <w:vAlign w:val="bottom"/>
          </w:tcPr>
          <w:p w14:paraId="2201A19A" w14:textId="77777777" w:rsidR="003F0EEA" w:rsidRDefault="003F0EEA">
            <w:pPr>
              <w:rPr>
                <w:rFonts w:ascii="Arial" w:eastAsia="Arial" w:hAnsi="Arial" w:cs="Arial"/>
                <w:color w:val="000000"/>
                <w:sz w:val="16"/>
              </w:rPr>
            </w:pPr>
          </w:p>
        </w:tc>
        <w:tc>
          <w:tcPr>
            <w:tcW w:w="1035" w:type="dxa"/>
            <w:tcBorders>
              <w:top w:val="nil"/>
              <w:left w:val="nil"/>
              <w:bottom w:val="nil"/>
              <w:right w:val="nil"/>
              <w:tl2br w:val="nil"/>
              <w:tr2bl w:val="nil"/>
            </w:tcBorders>
            <w:shd w:val="clear" w:color="auto" w:fill="FFFFFF"/>
            <w:tcMar>
              <w:left w:w="101" w:type="dxa"/>
              <w:right w:w="101" w:type="dxa"/>
            </w:tcMar>
            <w:vAlign w:val="bottom"/>
          </w:tcPr>
          <w:p w14:paraId="33A153DB" w14:textId="77777777" w:rsidR="003F0EEA" w:rsidRDefault="003F0EEA">
            <w:pPr>
              <w:rPr>
                <w:rFonts w:ascii="Arial" w:eastAsia="Arial" w:hAnsi="Arial" w:cs="Arial"/>
                <w:color w:val="000000"/>
                <w:sz w:val="16"/>
              </w:rPr>
            </w:pPr>
          </w:p>
        </w:tc>
        <w:tc>
          <w:tcPr>
            <w:tcW w:w="1035" w:type="dxa"/>
            <w:tcBorders>
              <w:top w:val="nil"/>
              <w:left w:val="nil"/>
              <w:bottom w:val="nil"/>
              <w:right w:val="nil"/>
              <w:tl2br w:val="nil"/>
              <w:tr2bl w:val="nil"/>
            </w:tcBorders>
            <w:shd w:val="clear" w:color="auto" w:fill="FFFFFF"/>
            <w:tcMar>
              <w:left w:w="101" w:type="dxa"/>
              <w:right w:w="101" w:type="dxa"/>
            </w:tcMar>
            <w:vAlign w:val="bottom"/>
          </w:tcPr>
          <w:p w14:paraId="4F1ADA44" w14:textId="77777777" w:rsidR="003F0EEA" w:rsidRDefault="003F0EEA">
            <w:pPr>
              <w:rPr>
                <w:rFonts w:ascii="Arial" w:eastAsia="Arial" w:hAnsi="Arial" w:cs="Arial"/>
                <w:color w:val="000000"/>
                <w:sz w:val="16"/>
              </w:rPr>
            </w:pPr>
          </w:p>
        </w:tc>
        <w:tc>
          <w:tcPr>
            <w:tcW w:w="1035" w:type="dxa"/>
            <w:tcBorders>
              <w:top w:val="nil"/>
              <w:left w:val="nil"/>
              <w:bottom w:val="nil"/>
              <w:right w:val="nil"/>
              <w:tl2br w:val="nil"/>
              <w:tr2bl w:val="nil"/>
            </w:tcBorders>
            <w:shd w:val="clear" w:color="auto" w:fill="FFFFFF"/>
            <w:tcMar>
              <w:left w:w="101" w:type="dxa"/>
              <w:right w:w="101" w:type="dxa"/>
            </w:tcMar>
            <w:vAlign w:val="bottom"/>
          </w:tcPr>
          <w:p w14:paraId="54343725" w14:textId="77777777" w:rsidR="003F0EEA" w:rsidRDefault="003F0EEA">
            <w:pPr>
              <w:rPr>
                <w:rFonts w:ascii="Arial" w:eastAsia="Arial" w:hAnsi="Arial" w:cs="Arial"/>
                <w:color w:val="000000"/>
                <w:sz w:val="16"/>
              </w:rPr>
            </w:pPr>
          </w:p>
        </w:tc>
      </w:tr>
      <w:tr w:rsidR="00724034" w14:paraId="7DF51F37" w14:textId="77777777">
        <w:trPr>
          <w:trHeight w:val="225"/>
        </w:trPr>
        <w:tc>
          <w:tcPr>
            <w:tcW w:w="180" w:type="dxa"/>
            <w:tcBorders>
              <w:top w:val="nil"/>
              <w:left w:val="nil"/>
              <w:bottom w:val="nil"/>
              <w:right w:val="nil"/>
              <w:tl2br w:val="nil"/>
              <w:tr2bl w:val="nil"/>
            </w:tcBorders>
            <w:shd w:val="clear" w:color="auto" w:fill="FFFFFF"/>
            <w:tcMar>
              <w:left w:w="101" w:type="dxa"/>
              <w:right w:w="101" w:type="dxa"/>
            </w:tcMar>
            <w:vAlign w:val="bottom"/>
          </w:tcPr>
          <w:p w14:paraId="6271ECE2" w14:textId="77777777" w:rsidR="003F0EEA" w:rsidRDefault="003F0EEA">
            <w:pPr>
              <w:rPr>
                <w:rFonts w:ascii="Arial" w:eastAsia="Arial" w:hAnsi="Arial" w:cs="Arial"/>
                <w:color w:val="000000"/>
                <w:sz w:val="16"/>
              </w:rPr>
            </w:pPr>
          </w:p>
        </w:tc>
        <w:tc>
          <w:tcPr>
            <w:tcW w:w="180" w:type="dxa"/>
            <w:tcBorders>
              <w:top w:val="nil"/>
              <w:left w:val="nil"/>
              <w:bottom w:val="nil"/>
              <w:right w:val="nil"/>
              <w:tl2br w:val="nil"/>
              <w:tr2bl w:val="nil"/>
            </w:tcBorders>
            <w:shd w:val="clear" w:color="auto" w:fill="FFFFFF"/>
            <w:tcMar>
              <w:left w:w="101" w:type="dxa"/>
              <w:right w:w="101" w:type="dxa"/>
            </w:tcMar>
            <w:vAlign w:val="bottom"/>
          </w:tcPr>
          <w:p w14:paraId="479973CA" w14:textId="77777777" w:rsidR="003F0EEA" w:rsidRDefault="003F0EEA">
            <w:pPr>
              <w:rPr>
                <w:rFonts w:ascii="Arial" w:eastAsia="Arial" w:hAnsi="Arial" w:cs="Arial"/>
                <w:color w:val="000000"/>
                <w:sz w:val="16"/>
              </w:rPr>
            </w:pPr>
          </w:p>
        </w:tc>
        <w:tc>
          <w:tcPr>
            <w:tcW w:w="2340" w:type="dxa"/>
            <w:tcBorders>
              <w:top w:val="nil"/>
              <w:left w:val="nil"/>
              <w:bottom w:val="nil"/>
              <w:right w:val="nil"/>
              <w:tl2br w:val="nil"/>
              <w:tr2bl w:val="nil"/>
            </w:tcBorders>
            <w:shd w:val="clear" w:color="auto" w:fill="FFFFFF"/>
            <w:tcMar>
              <w:left w:w="101" w:type="dxa"/>
              <w:right w:w="101" w:type="dxa"/>
            </w:tcMar>
            <w:vAlign w:val="bottom"/>
          </w:tcPr>
          <w:p w14:paraId="64FBF67B" w14:textId="77777777" w:rsidR="003F0EEA" w:rsidRDefault="00FB7D0B">
            <w:pPr>
              <w:rPr>
                <w:rFonts w:ascii="Arial" w:eastAsia="Arial" w:hAnsi="Arial" w:cs="Arial"/>
                <w:color w:val="000000"/>
                <w:sz w:val="16"/>
              </w:rPr>
            </w:pPr>
            <w:r>
              <w:rPr>
                <w:rFonts w:ascii="Arial" w:eastAsia="Arial" w:hAnsi="Arial" w:cs="Arial"/>
                <w:color w:val="000000"/>
                <w:sz w:val="16"/>
              </w:rPr>
              <w:t>expenses</w:t>
            </w:r>
          </w:p>
        </w:tc>
        <w:tc>
          <w:tcPr>
            <w:tcW w:w="1035"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312BAE51" w14:textId="77777777" w:rsidR="003F0EEA" w:rsidRDefault="00FB7D0B">
            <w:pPr>
              <w:jc w:val="right"/>
              <w:rPr>
                <w:rFonts w:ascii="Arial" w:eastAsia="Arial" w:hAnsi="Arial" w:cs="Arial"/>
                <w:color w:val="000000"/>
                <w:sz w:val="16"/>
              </w:rPr>
            </w:pPr>
            <w:r>
              <w:rPr>
                <w:rFonts w:ascii="Arial" w:eastAsia="Arial" w:hAnsi="Arial" w:cs="Arial"/>
                <w:color w:val="000000"/>
                <w:sz w:val="16"/>
              </w:rPr>
              <w:t xml:space="preserve"> 40,403 </w:t>
            </w:r>
          </w:p>
        </w:tc>
        <w:tc>
          <w:tcPr>
            <w:tcW w:w="1035" w:type="dxa"/>
            <w:tcBorders>
              <w:top w:val="nil"/>
              <w:left w:val="nil"/>
              <w:bottom w:val="single" w:sz="6" w:space="0" w:color="000000"/>
              <w:right w:val="nil"/>
              <w:tl2br w:val="nil"/>
              <w:tr2bl w:val="nil"/>
            </w:tcBorders>
            <w:shd w:val="clear" w:color="auto" w:fill="FFFF00"/>
            <w:tcMar>
              <w:left w:w="101" w:type="dxa"/>
              <w:right w:w="101" w:type="dxa"/>
            </w:tcMar>
            <w:vAlign w:val="bottom"/>
          </w:tcPr>
          <w:p w14:paraId="73CB26E6" w14:textId="77777777" w:rsidR="003F0EEA" w:rsidRDefault="00FB7D0B">
            <w:pPr>
              <w:jc w:val="right"/>
              <w:rPr>
                <w:rFonts w:ascii="Arial" w:eastAsia="Arial" w:hAnsi="Arial" w:cs="Arial"/>
                <w:color w:val="000000"/>
                <w:sz w:val="16"/>
              </w:rPr>
            </w:pPr>
            <w:r>
              <w:rPr>
                <w:rFonts w:ascii="Arial" w:eastAsia="Arial" w:hAnsi="Arial" w:cs="Arial"/>
                <w:color w:val="000000"/>
                <w:sz w:val="16"/>
              </w:rPr>
              <w:t xml:space="preserve"> 40,403 </w:t>
            </w:r>
          </w:p>
        </w:tc>
        <w:tc>
          <w:tcPr>
            <w:tcW w:w="1035"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53A03EB6" w14:textId="77777777" w:rsidR="003F0EEA" w:rsidRDefault="00FB7D0B">
            <w:pPr>
              <w:jc w:val="right"/>
              <w:rPr>
                <w:rFonts w:ascii="Arial" w:eastAsia="Arial" w:hAnsi="Arial" w:cs="Arial"/>
                <w:color w:val="000000"/>
                <w:sz w:val="16"/>
              </w:rPr>
            </w:pPr>
            <w:r>
              <w:rPr>
                <w:rFonts w:ascii="Arial" w:eastAsia="Arial" w:hAnsi="Arial" w:cs="Arial"/>
                <w:color w:val="000000"/>
                <w:sz w:val="16"/>
              </w:rPr>
              <w:t xml:space="preserve"> 40,403 </w:t>
            </w:r>
          </w:p>
        </w:tc>
        <w:tc>
          <w:tcPr>
            <w:tcW w:w="1035"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4592C161" w14:textId="77777777" w:rsidR="003F0EEA" w:rsidRDefault="00FB7D0B">
            <w:pPr>
              <w:jc w:val="right"/>
              <w:rPr>
                <w:rFonts w:ascii="Arial" w:eastAsia="Arial" w:hAnsi="Arial" w:cs="Arial"/>
                <w:color w:val="000000"/>
                <w:sz w:val="16"/>
              </w:rPr>
            </w:pPr>
            <w:r>
              <w:rPr>
                <w:rFonts w:ascii="Arial" w:eastAsia="Arial" w:hAnsi="Arial" w:cs="Arial"/>
                <w:color w:val="000000"/>
                <w:sz w:val="16"/>
              </w:rPr>
              <w:t xml:space="preserve"> 40,403 </w:t>
            </w:r>
          </w:p>
        </w:tc>
        <w:tc>
          <w:tcPr>
            <w:tcW w:w="1035"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2A118A58" w14:textId="77777777" w:rsidR="003F0EEA" w:rsidRDefault="00FB7D0B">
            <w:pPr>
              <w:jc w:val="right"/>
              <w:rPr>
                <w:rFonts w:ascii="Arial" w:eastAsia="Arial" w:hAnsi="Arial" w:cs="Arial"/>
                <w:color w:val="000000"/>
                <w:sz w:val="16"/>
              </w:rPr>
            </w:pPr>
            <w:r>
              <w:rPr>
                <w:rFonts w:ascii="Arial" w:eastAsia="Arial" w:hAnsi="Arial" w:cs="Arial"/>
                <w:color w:val="000000"/>
                <w:sz w:val="16"/>
              </w:rPr>
              <w:t xml:space="preserve"> 40,403 </w:t>
            </w:r>
          </w:p>
        </w:tc>
      </w:tr>
      <w:tr w:rsidR="00FB7D0B" w14:paraId="22DB1B03" w14:textId="77777777" w:rsidTr="00FB7D0B">
        <w:trPr>
          <w:trHeight w:val="225"/>
        </w:trPr>
        <w:tc>
          <w:tcPr>
            <w:tcW w:w="2700" w:type="dxa"/>
            <w:gridSpan w:val="3"/>
            <w:tcBorders>
              <w:top w:val="nil"/>
              <w:left w:val="nil"/>
              <w:bottom w:val="nil"/>
              <w:right w:val="nil"/>
              <w:tl2br w:val="nil"/>
              <w:tr2bl w:val="nil"/>
            </w:tcBorders>
            <w:shd w:val="clear" w:color="auto" w:fill="FFFFFF"/>
            <w:tcMar>
              <w:left w:w="101" w:type="dxa"/>
              <w:right w:w="101" w:type="dxa"/>
            </w:tcMar>
            <w:vAlign w:val="bottom"/>
          </w:tcPr>
          <w:p w14:paraId="3FBB8B99" w14:textId="77777777" w:rsidR="003F0EEA" w:rsidRDefault="00FB7D0B">
            <w:pPr>
              <w:rPr>
                <w:rFonts w:ascii="Arial" w:eastAsia="Arial" w:hAnsi="Arial" w:cs="Arial"/>
                <w:color w:val="000000"/>
                <w:sz w:val="16"/>
              </w:rPr>
            </w:pPr>
            <w:r>
              <w:rPr>
                <w:rFonts w:ascii="Arial" w:eastAsia="Arial" w:hAnsi="Arial" w:cs="Arial"/>
                <w:b/>
                <w:i/>
                <w:color w:val="000000"/>
                <w:sz w:val="16"/>
              </w:rPr>
              <w:t>Total provisions and payables</w:t>
            </w:r>
          </w:p>
        </w:tc>
        <w:tc>
          <w:tcPr>
            <w:tcW w:w="1035"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18E747EC" w14:textId="77777777" w:rsidR="003F0EEA" w:rsidRDefault="00FB7D0B">
            <w:pPr>
              <w:jc w:val="right"/>
              <w:rPr>
                <w:rFonts w:ascii="Arial" w:eastAsia="Arial" w:hAnsi="Arial" w:cs="Arial"/>
                <w:b/>
                <w:i/>
                <w:color w:val="000000"/>
                <w:sz w:val="16"/>
              </w:rPr>
            </w:pPr>
            <w:r>
              <w:rPr>
                <w:rFonts w:ascii="Arial" w:eastAsia="Arial" w:hAnsi="Arial" w:cs="Arial"/>
                <w:b/>
                <w:color w:val="000000"/>
                <w:sz w:val="16"/>
              </w:rPr>
              <w:t xml:space="preserve"> 5,419,750 </w:t>
            </w:r>
          </w:p>
        </w:tc>
        <w:tc>
          <w:tcPr>
            <w:tcW w:w="1035" w:type="dxa"/>
            <w:tcBorders>
              <w:top w:val="single" w:sz="6" w:space="0" w:color="000000"/>
              <w:left w:val="nil"/>
              <w:bottom w:val="single" w:sz="6" w:space="0" w:color="000000"/>
              <w:right w:val="nil"/>
              <w:tl2br w:val="nil"/>
              <w:tr2bl w:val="nil"/>
            </w:tcBorders>
            <w:shd w:val="clear" w:color="auto" w:fill="FFFF00"/>
            <w:tcMar>
              <w:left w:w="101" w:type="dxa"/>
              <w:right w:w="101" w:type="dxa"/>
            </w:tcMar>
            <w:vAlign w:val="bottom"/>
          </w:tcPr>
          <w:p w14:paraId="7BBEEC51" w14:textId="77777777" w:rsidR="003F0EEA" w:rsidRDefault="00FB7D0B">
            <w:pPr>
              <w:jc w:val="right"/>
              <w:rPr>
                <w:rFonts w:ascii="Arial" w:eastAsia="Arial" w:hAnsi="Arial" w:cs="Arial"/>
                <w:b/>
                <w:color w:val="000000"/>
                <w:sz w:val="16"/>
              </w:rPr>
            </w:pPr>
            <w:r>
              <w:rPr>
                <w:rFonts w:ascii="Arial" w:eastAsia="Arial" w:hAnsi="Arial" w:cs="Arial"/>
                <w:b/>
                <w:color w:val="000000"/>
                <w:sz w:val="16"/>
              </w:rPr>
              <w:t xml:space="preserve"> 5,641,254 </w:t>
            </w:r>
          </w:p>
        </w:tc>
        <w:tc>
          <w:tcPr>
            <w:tcW w:w="1035"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667CD97B" w14:textId="77777777" w:rsidR="003F0EEA" w:rsidRDefault="00FB7D0B">
            <w:pPr>
              <w:jc w:val="right"/>
              <w:rPr>
                <w:rFonts w:ascii="Arial" w:eastAsia="Arial" w:hAnsi="Arial" w:cs="Arial"/>
                <w:b/>
                <w:color w:val="000000"/>
                <w:sz w:val="16"/>
              </w:rPr>
            </w:pPr>
            <w:r>
              <w:rPr>
                <w:rFonts w:ascii="Arial" w:eastAsia="Arial" w:hAnsi="Arial" w:cs="Arial"/>
                <w:b/>
                <w:color w:val="000000"/>
                <w:sz w:val="16"/>
              </w:rPr>
              <w:t xml:space="preserve"> 5,898,562 </w:t>
            </w:r>
          </w:p>
        </w:tc>
        <w:tc>
          <w:tcPr>
            <w:tcW w:w="1035"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5EB03FD7" w14:textId="77777777" w:rsidR="003F0EEA" w:rsidRDefault="00FB7D0B">
            <w:pPr>
              <w:jc w:val="right"/>
              <w:rPr>
                <w:rFonts w:ascii="Arial" w:eastAsia="Arial" w:hAnsi="Arial" w:cs="Arial"/>
                <w:b/>
                <w:color w:val="000000"/>
                <w:sz w:val="16"/>
              </w:rPr>
            </w:pPr>
            <w:r>
              <w:rPr>
                <w:rFonts w:ascii="Arial" w:eastAsia="Arial" w:hAnsi="Arial" w:cs="Arial"/>
                <w:b/>
                <w:color w:val="000000"/>
                <w:sz w:val="16"/>
              </w:rPr>
              <w:t xml:space="preserve"> 6,157,222 </w:t>
            </w:r>
          </w:p>
        </w:tc>
        <w:tc>
          <w:tcPr>
            <w:tcW w:w="1035"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2A8DF41F" w14:textId="77777777" w:rsidR="003F0EEA" w:rsidRDefault="00FB7D0B">
            <w:pPr>
              <w:jc w:val="right"/>
              <w:rPr>
                <w:rFonts w:ascii="Arial" w:eastAsia="Arial" w:hAnsi="Arial" w:cs="Arial"/>
                <w:b/>
                <w:color w:val="000000"/>
                <w:sz w:val="16"/>
              </w:rPr>
            </w:pPr>
            <w:r>
              <w:rPr>
                <w:rFonts w:ascii="Arial" w:eastAsia="Arial" w:hAnsi="Arial" w:cs="Arial"/>
                <w:b/>
                <w:color w:val="000000"/>
                <w:sz w:val="16"/>
              </w:rPr>
              <w:t xml:space="preserve"> 6,399,400 </w:t>
            </w:r>
          </w:p>
        </w:tc>
      </w:tr>
      <w:tr w:rsidR="00724034" w14:paraId="3207502E" w14:textId="77777777">
        <w:trPr>
          <w:trHeight w:hRule="exact" w:val="60"/>
        </w:trPr>
        <w:tc>
          <w:tcPr>
            <w:tcW w:w="180" w:type="dxa"/>
            <w:tcBorders>
              <w:top w:val="nil"/>
              <w:left w:val="nil"/>
              <w:bottom w:val="nil"/>
              <w:right w:val="nil"/>
              <w:tl2br w:val="nil"/>
              <w:tr2bl w:val="nil"/>
            </w:tcBorders>
            <w:shd w:val="clear" w:color="auto" w:fill="FFFFFF"/>
            <w:tcMar>
              <w:left w:w="101" w:type="dxa"/>
              <w:right w:w="101" w:type="dxa"/>
            </w:tcMar>
            <w:vAlign w:val="bottom"/>
          </w:tcPr>
          <w:p w14:paraId="4AA7FC16" w14:textId="77777777" w:rsidR="003F0EEA" w:rsidRDefault="003F0EEA">
            <w:pPr>
              <w:rPr>
                <w:rFonts w:ascii="Arial" w:eastAsia="Arial" w:hAnsi="Arial" w:cs="Arial"/>
                <w:b/>
                <w:color w:val="000000"/>
                <w:sz w:val="16"/>
              </w:rPr>
            </w:pPr>
          </w:p>
        </w:tc>
        <w:tc>
          <w:tcPr>
            <w:tcW w:w="180" w:type="dxa"/>
            <w:tcBorders>
              <w:top w:val="nil"/>
              <w:left w:val="nil"/>
              <w:bottom w:val="nil"/>
              <w:right w:val="nil"/>
              <w:tl2br w:val="nil"/>
              <w:tr2bl w:val="nil"/>
            </w:tcBorders>
            <w:shd w:val="clear" w:color="auto" w:fill="FFFFFF"/>
            <w:tcMar>
              <w:left w:w="101" w:type="dxa"/>
              <w:right w:w="101" w:type="dxa"/>
            </w:tcMar>
            <w:vAlign w:val="bottom"/>
          </w:tcPr>
          <w:p w14:paraId="297EA219" w14:textId="77777777" w:rsidR="003F0EEA" w:rsidRDefault="003F0EEA">
            <w:pPr>
              <w:rPr>
                <w:rFonts w:ascii="Arial" w:eastAsia="Arial" w:hAnsi="Arial" w:cs="Arial"/>
                <w:color w:val="000000"/>
                <w:sz w:val="16"/>
              </w:rPr>
            </w:pPr>
          </w:p>
        </w:tc>
        <w:tc>
          <w:tcPr>
            <w:tcW w:w="2340" w:type="dxa"/>
            <w:tcBorders>
              <w:top w:val="nil"/>
              <w:left w:val="nil"/>
              <w:bottom w:val="nil"/>
              <w:right w:val="nil"/>
              <w:tl2br w:val="nil"/>
              <w:tr2bl w:val="nil"/>
            </w:tcBorders>
            <w:shd w:val="clear" w:color="auto" w:fill="FFFFFF"/>
            <w:tcMar>
              <w:left w:w="101" w:type="dxa"/>
              <w:right w:w="101" w:type="dxa"/>
            </w:tcMar>
            <w:vAlign w:val="bottom"/>
          </w:tcPr>
          <w:p w14:paraId="7A1D6535" w14:textId="77777777" w:rsidR="003F0EEA" w:rsidRDefault="003F0EEA">
            <w:pPr>
              <w:rPr>
                <w:rFonts w:ascii="Arial" w:eastAsia="Arial" w:hAnsi="Arial" w:cs="Arial"/>
                <w:color w:val="000000"/>
                <w:sz w:val="16"/>
              </w:rPr>
            </w:pPr>
          </w:p>
        </w:tc>
        <w:tc>
          <w:tcPr>
            <w:tcW w:w="103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54C09112" w14:textId="77777777" w:rsidR="003F0EEA" w:rsidRDefault="003F0EEA">
            <w:pPr>
              <w:rPr>
                <w:rFonts w:ascii="Arial" w:eastAsia="Arial" w:hAnsi="Arial" w:cs="Arial"/>
                <w:b/>
                <w:color w:val="000000"/>
                <w:sz w:val="16"/>
              </w:rPr>
            </w:pPr>
          </w:p>
        </w:tc>
        <w:tc>
          <w:tcPr>
            <w:tcW w:w="1035" w:type="dxa"/>
            <w:tcBorders>
              <w:top w:val="single" w:sz="6" w:space="0" w:color="000000"/>
              <w:left w:val="nil"/>
              <w:bottom w:val="nil"/>
              <w:right w:val="nil"/>
              <w:tl2br w:val="nil"/>
              <w:tr2bl w:val="nil"/>
            </w:tcBorders>
            <w:shd w:val="clear" w:color="auto" w:fill="FFFF00"/>
            <w:tcMar>
              <w:left w:w="101" w:type="dxa"/>
              <w:right w:w="101" w:type="dxa"/>
            </w:tcMar>
            <w:vAlign w:val="bottom"/>
          </w:tcPr>
          <w:p w14:paraId="7A8A5240" w14:textId="77777777" w:rsidR="003F0EEA" w:rsidRDefault="003F0EEA">
            <w:pPr>
              <w:rPr>
                <w:rFonts w:ascii="Arial" w:eastAsia="Arial" w:hAnsi="Arial" w:cs="Arial"/>
                <w:color w:val="000000"/>
                <w:sz w:val="16"/>
              </w:rPr>
            </w:pPr>
          </w:p>
        </w:tc>
        <w:tc>
          <w:tcPr>
            <w:tcW w:w="103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278264FA" w14:textId="77777777" w:rsidR="003F0EEA" w:rsidRDefault="003F0EEA">
            <w:pPr>
              <w:rPr>
                <w:rFonts w:ascii="Arial" w:eastAsia="Arial" w:hAnsi="Arial" w:cs="Arial"/>
                <w:color w:val="000000"/>
                <w:sz w:val="16"/>
              </w:rPr>
            </w:pPr>
          </w:p>
        </w:tc>
        <w:tc>
          <w:tcPr>
            <w:tcW w:w="103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50688AE2" w14:textId="77777777" w:rsidR="003F0EEA" w:rsidRDefault="003F0EEA">
            <w:pPr>
              <w:rPr>
                <w:rFonts w:ascii="Arial" w:eastAsia="Arial" w:hAnsi="Arial" w:cs="Arial"/>
                <w:color w:val="000000"/>
                <w:sz w:val="16"/>
              </w:rPr>
            </w:pPr>
          </w:p>
        </w:tc>
        <w:tc>
          <w:tcPr>
            <w:tcW w:w="103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55A4E58E" w14:textId="77777777" w:rsidR="003F0EEA" w:rsidRDefault="003F0EEA">
            <w:pPr>
              <w:rPr>
                <w:rFonts w:ascii="Arial" w:eastAsia="Arial" w:hAnsi="Arial" w:cs="Arial"/>
                <w:color w:val="000000"/>
                <w:sz w:val="16"/>
              </w:rPr>
            </w:pPr>
          </w:p>
        </w:tc>
      </w:tr>
      <w:tr w:rsidR="00FB7D0B" w14:paraId="43B52042" w14:textId="77777777" w:rsidTr="00FB7D0B">
        <w:trPr>
          <w:trHeight w:val="225"/>
        </w:trPr>
        <w:tc>
          <w:tcPr>
            <w:tcW w:w="3735" w:type="dxa"/>
            <w:gridSpan w:val="4"/>
            <w:tcBorders>
              <w:top w:val="nil"/>
              <w:left w:val="nil"/>
              <w:bottom w:val="nil"/>
              <w:right w:val="nil"/>
              <w:tl2br w:val="nil"/>
              <w:tr2bl w:val="nil"/>
            </w:tcBorders>
            <w:shd w:val="clear" w:color="auto" w:fill="FFFFFF"/>
            <w:tcMar>
              <w:left w:w="101" w:type="dxa"/>
              <w:right w:w="101" w:type="dxa"/>
            </w:tcMar>
            <w:vAlign w:val="bottom"/>
          </w:tcPr>
          <w:p w14:paraId="5D9BB526" w14:textId="77777777" w:rsidR="003F0EEA" w:rsidRDefault="00FB7D0B">
            <w:pPr>
              <w:rPr>
                <w:rFonts w:ascii="Arial" w:eastAsia="Arial" w:hAnsi="Arial" w:cs="Arial"/>
                <w:color w:val="000000"/>
                <w:sz w:val="16"/>
              </w:rPr>
            </w:pPr>
            <w:r>
              <w:rPr>
                <w:rFonts w:ascii="Arial" w:eastAsia="Arial" w:hAnsi="Arial" w:cs="Arial"/>
                <w:b/>
                <w:color w:val="000000"/>
                <w:sz w:val="16"/>
              </w:rPr>
              <w:t>Total liabilities administered on</w:t>
            </w:r>
          </w:p>
        </w:tc>
        <w:tc>
          <w:tcPr>
            <w:tcW w:w="1035" w:type="dxa"/>
            <w:tcBorders>
              <w:top w:val="nil"/>
              <w:left w:val="nil"/>
              <w:bottom w:val="single" w:sz="6" w:space="0" w:color="000000"/>
              <w:right w:val="nil"/>
              <w:tl2br w:val="nil"/>
              <w:tr2bl w:val="nil"/>
            </w:tcBorders>
            <w:shd w:val="clear" w:color="auto" w:fill="FFFF00"/>
            <w:tcMar>
              <w:left w:w="101" w:type="dxa"/>
              <w:right w:w="101" w:type="dxa"/>
            </w:tcMar>
            <w:vAlign w:val="bottom"/>
          </w:tcPr>
          <w:p w14:paraId="398154BD" w14:textId="77777777" w:rsidR="003F0EEA" w:rsidRDefault="003F0EEA">
            <w:pPr>
              <w:rPr>
                <w:rFonts w:ascii="Arial" w:eastAsia="Arial" w:hAnsi="Arial" w:cs="Arial"/>
                <w:b/>
                <w:color w:val="000000"/>
                <w:sz w:val="16"/>
              </w:rPr>
            </w:pPr>
          </w:p>
        </w:tc>
        <w:tc>
          <w:tcPr>
            <w:tcW w:w="1035"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319C99A6" w14:textId="77777777" w:rsidR="003F0EEA" w:rsidRDefault="003F0EEA">
            <w:pPr>
              <w:rPr>
                <w:rFonts w:ascii="Arial" w:eastAsia="Arial" w:hAnsi="Arial" w:cs="Arial"/>
                <w:color w:val="000000"/>
                <w:sz w:val="16"/>
              </w:rPr>
            </w:pPr>
          </w:p>
        </w:tc>
        <w:tc>
          <w:tcPr>
            <w:tcW w:w="1035"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5FBF379D" w14:textId="77777777" w:rsidR="003F0EEA" w:rsidRDefault="003F0EEA">
            <w:pPr>
              <w:rPr>
                <w:rFonts w:ascii="Arial" w:eastAsia="Arial" w:hAnsi="Arial" w:cs="Arial"/>
                <w:color w:val="000000"/>
                <w:sz w:val="16"/>
              </w:rPr>
            </w:pPr>
          </w:p>
        </w:tc>
        <w:tc>
          <w:tcPr>
            <w:tcW w:w="1035"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45C578B9" w14:textId="77777777" w:rsidR="003F0EEA" w:rsidRDefault="003F0EEA">
            <w:pPr>
              <w:rPr>
                <w:rFonts w:ascii="Arial" w:eastAsia="Arial" w:hAnsi="Arial" w:cs="Arial"/>
                <w:color w:val="000000"/>
                <w:sz w:val="16"/>
              </w:rPr>
            </w:pPr>
          </w:p>
        </w:tc>
      </w:tr>
      <w:tr w:rsidR="00FB7D0B" w14:paraId="09442478" w14:textId="77777777" w:rsidTr="00FB7D0B">
        <w:trPr>
          <w:trHeight w:val="225"/>
        </w:trPr>
        <w:tc>
          <w:tcPr>
            <w:tcW w:w="2700" w:type="dxa"/>
            <w:gridSpan w:val="3"/>
            <w:tcBorders>
              <w:top w:val="nil"/>
              <w:left w:val="nil"/>
              <w:bottom w:val="single" w:sz="6" w:space="0" w:color="000000"/>
              <w:right w:val="nil"/>
              <w:tl2br w:val="nil"/>
              <w:tr2bl w:val="nil"/>
            </w:tcBorders>
            <w:shd w:val="clear" w:color="auto" w:fill="FFFFFF"/>
            <w:tcMar>
              <w:left w:w="101" w:type="dxa"/>
              <w:right w:w="101" w:type="dxa"/>
            </w:tcMar>
            <w:vAlign w:val="bottom"/>
          </w:tcPr>
          <w:p w14:paraId="16A34FA8" w14:textId="77777777" w:rsidR="003F0EEA" w:rsidRDefault="00FB7D0B">
            <w:pPr>
              <w:rPr>
                <w:rFonts w:ascii="Arial" w:eastAsia="Arial" w:hAnsi="Arial" w:cs="Arial"/>
                <w:color w:val="000000"/>
                <w:sz w:val="16"/>
              </w:rPr>
            </w:pPr>
            <w:r>
              <w:rPr>
                <w:rFonts w:ascii="Arial" w:eastAsia="Arial" w:hAnsi="Arial" w:cs="Arial"/>
                <w:b/>
                <w:color w:val="000000"/>
                <w:sz w:val="16"/>
              </w:rPr>
              <w:t>behalf of the government</w:t>
            </w:r>
          </w:p>
        </w:tc>
        <w:tc>
          <w:tcPr>
            <w:tcW w:w="1035"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1233A50B" w14:textId="77777777" w:rsidR="003F0EEA" w:rsidRDefault="00FB7D0B">
            <w:pPr>
              <w:jc w:val="right"/>
              <w:rPr>
                <w:rFonts w:ascii="Arial" w:eastAsia="Arial" w:hAnsi="Arial" w:cs="Arial"/>
                <w:b/>
                <w:color w:val="000000"/>
                <w:sz w:val="16"/>
              </w:rPr>
            </w:pPr>
            <w:r>
              <w:rPr>
                <w:rFonts w:ascii="Arial" w:eastAsia="Arial" w:hAnsi="Arial" w:cs="Arial"/>
                <w:b/>
                <w:color w:val="000000"/>
                <w:sz w:val="16"/>
              </w:rPr>
              <w:t xml:space="preserve"> 5,419,750 </w:t>
            </w:r>
          </w:p>
        </w:tc>
        <w:tc>
          <w:tcPr>
            <w:tcW w:w="1035" w:type="dxa"/>
            <w:tcBorders>
              <w:top w:val="single" w:sz="6" w:space="0" w:color="000000"/>
              <w:left w:val="nil"/>
              <w:bottom w:val="single" w:sz="6" w:space="0" w:color="000000"/>
              <w:right w:val="nil"/>
              <w:tl2br w:val="nil"/>
              <w:tr2bl w:val="nil"/>
            </w:tcBorders>
            <w:shd w:val="clear" w:color="auto" w:fill="FFFF00"/>
            <w:tcMar>
              <w:left w:w="101" w:type="dxa"/>
              <w:right w:w="101" w:type="dxa"/>
            </w:tcMar>
            <w:vAlign w:val="bottom"/>
          </w:tcPr>
          <w:p w14:paraId="624F55A2" w14:textId="77777777" w:rsidR="003F0EEA" w:rsidRDefault="00FB7D0B">
            <w:pPr>
              <w:jc w:val="right"/>
              <w:rPr>
                <w:rFonts w:ascii="Arial" w:eastAsia="Arial" w:hAnsi="Arial" w:cs="Arial"/>
                <w:b/>
                <w:color w:val="000000"/>
                <w:sz w:val="16"/>
              </w:rPr>
            </w:pPr>
            <w:r>
              <w:rPr>
                <w:rFonts w:ascii="Arial" w:eastAsia="Arial" w:hAnsi="Arial" w:cs="Arial"/>
                <w:b/>
                <w:color w:val="000000"/>
                <w:sz w:val="16"/>
              </w:rPr>
              <w:t xml:space="preserve"> 5,641,254 </w:t>
            </w:r>
          </w:p>
        </w:tc>
        <w:tc>
          <w:tcPr>
            <w:tcW w:w="1035"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1895225D" w14:textId="77777777" w:rsidR="003F0EEA" w:rsidRDefault="00FB7D0B">
            <w:pPr>
              <w:jc w:val="right"/>
              <w:rPr>
                <w:rFonts w:ascii="Arial" w:eastAsia="Arial" w:hAnsi="Arial" w:cs="Arial"/>
                <w:b/>
                <w:color w:val="000000"/>
                <w:sz w:val="16"/>
              </w:rPr>
            </w:pPr>
            <w:r>
              <w:rPr>
                <w:rFonts w:ascii="Arial" w:eastAsia="Arial" w:hAnsi="Arial" w:cs="Arial"/>
                <w:b/>
                <w:color w:val="000000"/>
                <w:sz w:val="16"/>
              </w:rPr>
              <w:t xml:space="preserve"> 5,898,562 </w:t>
            </w:r>
          </w:p>
        </w:tc>
        <w:tc>
          <w:tcPr>
            <w:tcW w:w="1035"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2C53FC97" w14:textId="77777777" w:rsidR="003F0EEA" w:rsidRDefault="00FB7D0B">
            <w:pPr>
              <w:jc w:val="right"/>
              <w:rPr>
                <w:rFonts w:ascii="Arial" w:eastAsia="Arial" w:hAnsi="Arial" w:cs="Arial"/>
                <w:b/>
                <w:color w:val="000000"/>
                <w:sz w:val="16"/>
              </w:rPr>
            </w:pPr>
            <w:r>
              <w:rPr>
                <w:rFonts w:ascii="Arial" w:eastAsia="Arial" w:hAnsi="Arial" w:cs="Arial"/>
                <w:b/>
                <w:color w:val="000000"/>
                <w:sz w:val="16"/>
              </w:rPr>
              <w:t xml:space="preserve"> 6,157,222 </w:t>
            </w:r>
          </w:p>
        </w:tc>
        <w:tc>
          <w:tcPr>
            <w:tcW w:w="1035"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2D0DE62D" w14:textId="77777777" w:rsidR="003F0EEA" w:rsidRDefault="00FB7D0B">
            <w:pPr>
              <w:jc w:val="right"/>
              <w:rPr>
                <w:rFonts w:ascii="Arial" w:eastAsia="Arial" w:hAnsi="Arial" w:cs="Arial"/>
                <w:b/>
                <w:color w:val="000000"/>
                <w:sz w:val="16"/>
              </w:rPr>
            </w:pPr>
            <w:r>
              <w:rPr>
                <w:rFonts w:ascii="Arial" w:eastAsia="Arial" w:hAnsi="Arial" w:cs="Arial"/>
                <w:b/>
                <w:color w:val="000000"/>
                <w:sz w:val="16"/>
              </w:rPr>
              <w:t xml:space="preserve"> 6,399,400 </w:t>
            </w:r>
          </w:p>
        </w:tc>
      </w:tr>
    </w:tbl>
    <w:p w14:paraId="1637B416" w14:textId="77777777" w:rsidR="003F0EEA" w:rsidRPr="00141F34" w:rsidRDefault="00FB7D0B" w:rsidP="003F0EEA">
      <w:pPr>
        <w:pStyle w:val="ListParagraph22"/>
        <w:spacing w:before="120" w:after="0" w:line="240" w:lineRule="auto"/>
        <w:ind w:left="0"/>
        <w:rPr>
          <w:rFonts w:ascii="Arial" w:hAnsi="Arial" w:cs="Arial"/>
          <w:sz w:val="16"/>
          <w:szCs w:val="16"/>
        </w:rPr>
      </w:pPr>
      <w:r w:rsidRPr="00141F34">
        <w:rPr>
          <w:rFonts w:ascii="Arial" w:hAnsi="Arial" w:cs="Arial"/>
          <w:sz w:val="16"/>
          <w:szCs w:val="16"/>
        </w:rPr>
        <w:t>Prepared on Australian Accounting Standards basis</w:t>
      </w:r>
    </w:p>
    <w:p w14:paraId="72047513" w14:textId="77777777" w:rsidR="003F0EEA" w:rsidRPr="00141F34" w:rsidRDefault="00FB7D0B">
      <w:pPr>
        <w:spacing w:line="14" w:lineRule="exact"/>
        <w:rPr>
          <w:rFonts w:ascii="Arial" w:hAnsi="Arial" w:cs="Arial"/>
          <w:sz w:val="16"/>
          <w:szCs w:val="16"/>
        </w:rPr>
      </w:pPr>
      <w:r w:rsidRPr="00141F34">
        <w:rPr>
          <w:rFonts w:ascii="Arial" w:hAnsi="Arial" w:cs="Arial"/>
          <w:sz w:val="16"/>
          <w:szCs w:val="16"/>
        </w:rPr>
        <w:br w:type="page"/>
      </w:r>
    </w:p>
    <w:p w14:paraId="300C45E0" w14:textId="77777777" w:rsidR="003F0EEA" w:rsidRPr="000A2095" w:rsidRDefault="00FB7D0B" w:rsidP="003F0EEA">
      <w:pPr>
        <w:pStyle w:val="Normal199"/>
        <w:spacing w:before="120"/>
        <w:rPr>
          <w:rFonts w:ascii="Arial" w:hAnsi="Arial" w:cs="Arial"/>
          <w:b/>
          <w:sz w:val="20"/>
          <w:szCs w:val="20"/>
        </w:rPr>
      </w:pPr>
      <w:r w:rsidRPr="000A2095">
        <w:rPr>
          <w:rFonts w:ascii="Arial" w:hAnsi="Arial" w:cs="Arial"/>
          <w:b/>
          <w:sz w:val="20"/>
          <w:szCs w:val="20"/>
        </w:rPr>
        <w:t>Table 3.2.</w:t>
      </w:r>
      <w:r>
        <w:rPr>
          <w:rFonts w:ascii="Arial" w:hAnsi="Arial" w:cs="Arial"/>
          <w:b/>
          <w:sz w:val="20"/>
          <w:szCs w:val="20"/>
        </w:rPr>
        <w:t>9: Schedule of Budgeted Administered Cash F</w:t>
      </w:r>
      <w:r w:rsidRPr="000A2095">
        <w:rPr>
          <w:rFonts w:ascii="Arial" w:hAnsi="Arial" w:cs="Arial"/>
          <w:b/>
          <w:sz w:val="20"/>
          <w:szCs w:val="20"/>
        </w:rPr>
        <w:t xml:space="preserve">lows </w:t>
      </w:r>
      <w:r w:rsidRPr="000A2095">
        <w:rPr>
          <w:rFonts w:ascii="Arial" w:hAnsi="Arial" w:cs="Arial"/>
          <w:b/>
          <w:sz w:val="20"/>
          <w:szCs w:val="20"/>
        </w:rPr>
        <w:br/>
      </w:r>
      <w:r w:rsidRPr="00A11A44">
        <w:rPr>
          <w:rFonts w:ascii="Arial" w:hAnsi="Arial" w:cs="Arial"/>
          <w:b/>
          <w:sz w:val="20"/>
          <w:szCs w:val="20"/>
        </w:rPr>
        <w:t>for the period ended 30 June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2"/>
        <w:gridCol w:w="222"/>
        <w:gridCol w:w="2070"/>
        <w:gridCol w:w="1110"/>
        <w:gridCol w:w="1110"/>
        <w:gridCol w:w="1110"/>
        <w:gridCol w:w="1110"/>
        <w:gridCol w:w="1110"/>
      </w:tblGrid>
      <w:tr w:rsidR="00724034" w14:paraId="369A994C" w14:textId="77777777">
        <w:trPr>
          <w:trHeight w:val="225"/>
        </w:trPr>
        <w:tc>
          <w:tcPr>
            <w:tcW w:w="180"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61E17279" w14:textId="77777777" w:rsidR="003F0EEA" w:rsidRPr="000A2095" w:rsidRDefault="003F0EEA">
            <w:pPr>
              <w:rPr>
                <w:rFonts w:ascii="Arial" w:eastAsia="Times New Roman" w:hAnsi="Arial" w:cs="Arial"/>
                <w:b/>
                <w:sz w:val="20"/>
                <w:szCs w:val="20"/>
              </w:rPr>
            </w:pPr>
          </w:p>
        </w:tc>
        <w:tc>
          <w:tcPr>
            <w:tcW w:w="180"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20F16C78" w14:textId="77777777" w:rsidR="003F0EEA" w:rsidRPr="000A2095" w:rsidRDefault="003F0EEA">
            <w:pPr>
              <w:rPr>
                <w:rFonts w:ascii="Arial" w:eastAsia="Arial" w:hAnsi="Arial" w:cs="Arial"/>
                <w:color w:val="000000"/>
                <w:sz w:val="16"/>
                <w:szCs w:val="20"/>
              </w:rPr>
            </w:pPr>
          </w:p>
        </w:tc>
        <w:tc>
          <w:tcPr>
            <w:tcW w:w="2070"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68DAE945" w14:textId="77777777" w:rsidR="003F0EEA" w:rsidRPr="000A2095" w:rsidRDefault="003F0EEA">
            <w:pPr>
              <w:rPr>
                <w:rFonts w:ascii="Arial" w:eastAsia="Arial" w:hAnsi="Arial" w:cs="Arial"/>
                <w:color w:val="000000"/>
                <w:sz w:val="16"/>
                <w:szCs w:val="20"/>
              </w:rPr>
            </w:pPr>
          </w:p>
        </w:tc>
        <w:tc>
          <w:tcPr>
            <w:tcW w:w="1110"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3133E651" w14:textId="77777777" w:rsidR="003F0EEA" w:rsidRPr="000A2095" w:rsidRDefault="00FB7D0B">
            <w:pPr>
              <w:jc w:val="right"/>
              <w:rPr>
                <w:rFonts w:ascii="Arial" w:eastAsia="Arial" w:hAnsi="Arial" w:cs="Arial"/>
                <w:color w:val="000000"/>
                <w:sz w:val="16"/>
                <w:szCs w:val="20"/>
              </w:rPr>
            </w:pPr>
            <w:r w:rsidRPr="000A2095">
              <w:rPr>
                <w:rFonts w:ascii="Arial" w:eastAsia="Arial" w:hAnsi="Arial" w:cs="Arial"/>
                <w:color w:val="000000"/>
                <w:sz w:val="16"/>
                <w:szCs w:val="20"/>
              </w:rPr>
              <w:t>Estimated</w:t>
            </w:r>
          </w:p>
        </w:tc>
        <w:tc>
          <w:tcPr>
            <w:tcW w:w="1110" w:type="dxa"/>
            <w:tcBorders>
              <w:top w:val="single" w:sz="6" w:space="0" w:color="000000"/>
              <w:left w:val="nil"/>
              <w:bottom w:val="nil"/>
              <w:right w:val="nil"/>
              <w:tl2br w:val="nil"/>
              <w:tr2bl w:val="nil"/>
            </w:tcBorders>
            <w:shd w:val="clear" w:color="auto" w:fill="FFFF00"/>
            <w:tcMar>
              <w:left w:w="101" w:type="dxa"/>
              <w:right w:w="101" w:type="dxa"/>
            </w:tcMar>
            <w:vAlign w:val="bottom"/>
          </w:tcPr>
          <w:p w14:paraId="2F177AA2" w14:textId="77777777" w:rsidR="003F0EEA" w:rsidRPr="000A2095" w:rsidRDefault="00FB7D0B">
            <w:pPr>
              <w:jc w:val="right"/>
              <w:rPr>
                <w:rFonts w:ascii="Arial" w:eastAsia="Arial" w:hAnsi="Arial" w:cs="Arial"/>
                <w:color w:val="000000"/>
                <w:sz w:val="16"/>
                <w:szCs w:val="20"/>
              </w:rPr>
            </w:pPr>
            <w:r w:rsidRPr="000A2095">
              <w:rPr>
                <w:rFonts w:ascii="Arial" w:eastAsia="Arial" w:hAnsi="Arial" w:cs="Arial"/>
                <w:color w:val="000000"/>
                <w:sz w:val="16"/>
                <w:szCs w:val="20"/>
              </w:rPr>
              <w:t>Budget</w:t>
            </w:r>
          </w:p>
        </w:tc>
        <w:tc>
          <w:tcPr>
            <w:tcW w:w="1110"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32C85E16" w14:textId="77777777" w:rsidR="003F0EEA" w:rsidRPr="000A2095" w:rsidRDefault="00FB7D0B">
            <w:pPr>
              <w:jc w:val="right"/>
              <w:rPr>
                <w:rFonts w:ascii="Arial" w:eastAsia="Arial" w:hAnsi="Arial" w:cs="Arial"/>
                <w:color w:val="000000"/>
                <w:sz w:val="16"/>
                <w:szCs w:val="20"/>
              </w:rPr>
            </w:pPr>
            <w:r w:rsidRPr="000A2095">
              <w:rPr>
                <w:rFonts w:ascii="Arial" w:eastAsia="Arial" w:hAnsi="Arial" w:cs="Arial"/>
                <w:color w:val="000000"/>
                <w:sz w:val="16"/>
                <w:szCs w:val="20"/>
              </w:rPr>
              <w:t>Forward</w:t>
            </w:r>
          </w:p>
        </w:tc>
        <w:tc>
          <w:tcPr>
            <w:tcW w:w="1110"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4BCE4589" w14:textId="77777777" w:rsidR="003F0EEA" w:rsidRPr="000A2095" w:rsidRDefault="00FB7D0B">
            <w:pPr>
              <w:jc w:val="right"/>
              <w:rPr>
                <w:rFonts w:ascii="Arial" w:eastAsia="Arial" w:hAnsi="Arial" w:cs="Arial"/>
                <w:color w:val="000000"/>
                <w:sz w:val="16"/>
                <w:szCs w:val="20"/>
              </w:rPr>
            </w:pPr>
            <w:r w:rsidRPr="000A2095">
              <w:rPr>
                <w:rFonts w:ascii="Arial" w:eastAsia="Arial" w:hAnsi="Arial" w:cs="Arial"/>
                <w:color w:val="000000"/>
                <w:sz w:val="16"/>
                <w:szCs w:val="20"/>
              </w:rPr>
              <w:t>Forward</w:t>
            </w:r>
          </w:p>
        </w:tc>
        <w:tc>
          <w:tcPr>
            <w:tcW w:w="1110"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434E86EA" w14:textId="77777777" w:rsidR="003F0EEA" w:rsidRPr="000A2095" w:rsidRDefault="00FB7D0B">
            <w:pPr>
              <w:jc w:val="right"/>
              <w:rPr>
                <w:rFonts w:ascii="Arial" w:eastAsia="Arial" w:hAnsi="Arial" w:cs="Arial"/>
                <w:color w:val="000000"/>
                <w:sz w:val="16"/>
                <w:szCs w:val="20"/>
              </w:rPr>
            </w:pPr>
            <w:r w:rsidRPr="000A2095">
              <w:rPr>
                <w:rFonts w:ascii="Arial" w:eastAsia="Arial" w:hAnsi="Arial" w:cs="Arial"/>
                <w:color w:val="000000"/>
                <w:sz w:val="16"/>
                <w:szCs w:val="20"/>
              </w:rPr>
              <w:t>Forward</w:t>
            </w:r>
          </w:p>
        </w:tc>
      </w:tr>
      <w:tr w:rsidR="00724034" w14:paraId="7E95998F" w14:textId="77777777">
        <w:trPr>
          <w:trHeight w:val="225"/>
        </w:trPr>
        <w:tc>
          <w:tcPr>
            <w:tcW w:w="180" w:type="dxa"/>
            <w:tcBorders>
              <w:top w:val="nil"/>
              <w:left w:val="nil"/>
              <w:bottom w:val="nil"/>
              <w:right w:val="nil"/>
              <w:tl2br w:val="nil"/>
              <w:tr2bl w:val="nil"/>
            </w:tcBorders>
            <w:shd w:val="clear" w:color="auto" w:fill="FFFFFF"/>
            <w:tcMar>
              <w:left w:w="101" w:type="dxa"/>
              <w:right w:w="101" w:type="dxa"/>
            </w:tcMar>
            <w:vAlign w:val="bottom"/>
          </w:tcPr>
          <w:p w14:paraId="63F7CDBA" w14:textId="77777777" w:rsidR="003F0EEA" w:rsidRPr="000A2095" w:rsidRDefault="003F0EEA">
            <w:pPr>
              <w:rPr>
                <w:rFonts w:ascii="Arial" w:eastAsia="Arial" w:hAnsi="Arial" w:cs="Arial"/>
                <w:color w:val="000000"/>
                <w:sz w:val="16"/>
                <w:szCs w:val="20"/>
              </w:rPr>
            </w:pPr>
          </w:p>
        </w:tc>
        <w:tc>
          <w:tcPr>
            <w:tcW w:w="180" w:type="dxa"/>
            <w:tcBorders>
              <w:top w:val="nil"/>
              <w:left w:val="nil"/>
              <w:bottom w:val="nil"/>
              <w:right w:val="nil"/>
              <w:tl2br w:val="nil"/>
              <w:tr2bl w:val="nil"/>
            </w:tcBorders>
            <w:shd w:val="clear" w:color="auto" w:fill="FFFFFF"/>
            <w:tcMar>
              <w:left w:w="101" w:type="dxa"/>
              <w:right w:w="101" w:type="dxa"/>
            </w:tcMar>
            <w:vAlign w:val="bottom"/>
          </w:tcPr>
          <w:p w14:paraId="349C3F99" w14:textId="77777777" w:rsidR="003F0EEA" w:rsidRPr="000A2095" w:rsidRDefault="003F0EEA">
            <w:pPr>
              <w:rPr>
                <w:rFonts w:ascii="Arial" w:eastAsia="Arial" w:hAnsi="Arial" w:cs="Arial"/>
                <w:color w:val="000000"/>
                <w:sz w:val="16"/>
                <w:szCs w:val="20"/>
              </w:rPr>
            </w:pPr>
          </w:p>
        </w:tc>
        <w:tc>
          <w:tcPr>
            <w:tcW w:w="2070" w:type="dxa"/>
            <w:tcBorders>
              <w:top w:val="nil"/>
              <w:left w:val="nil"/>
              <w:bottom w:val="nil"/>
              <w:right w:val="nil"/>
              <w:tl2br w:val="nil"/>
              <w:tr2bl w:val="nil"/>
            </w:tcBorders>
            <w:shd w:val="clear" w:color="auto" w:fill="FFFFFF"/>
            <w:tcMar>
              <w:left w:w="101" w:type="dxa"/>
              <w:right w:w="101" w:type="dxa"/>
            </w:tcMar>
            <w:vAlign w:val="bottom"/>
          </w:tcPr>
          <w:p w14:paraId="6940A10E" w14:textId="77777777" w:rsidR="003F0EEA" w:rsidRPr="000A2095" w:rsidRDefault="003F0EEA">
            <w:pPr>
              <w:rPr>
                <w:rFonts w:ascii="Arial" w:eastAsia="Arial" w:hAnsi="Arial" w:cs="Arial"/>
                <w:color w:val="000000"/>
                <w:sz w:val="16"/>
                <w:szCs w:val="20"/>
              </w:rPr>
            </w:pPr>
          </w:p>
        </w:tc>
        <w:tc>
          <w:tcPr>
            <w:tcW w:w="1110" w:type="dxa"/>
            <w:tcBorders>
              <w:top w:val="nil"/>
              <w:left w:val="nil"/>
              <w:bottom w:val="nil"/>
              <w:right w:val="nil"/>
              <w:tl2br w:val="nil"/>
              <w:tr2bl w:val="nil"/>
            </w:tcBorders>
            <w:shd w:val="clear" w:color="auto" w:fill="FFFFFF"/>
            <w:tcMar>
              <w:left w:w="101" w:type="dxa"/>
              <w:right w:w="101" w:type="dxa"/>
            </w:tcMar>
            <w:vAlign w:val="bottom"/>
          </w:tcPr>
          <w:p w14:paraId="6F6F7312" w14:textId="77777777" w:rsidR="003F0EEA" w:rsidRPr="000A2095" w:rsidRDefault="00FB7D0B">
            <w:pPr>
              <w:jc w:val="right"/>
              <w:rPr>
                <w:rFonts w:ascii="Arial" w:eastAsia="Arial" w:hAnsi="Arial" w:cs="Arial"/>
                <w:color w:val="000000"/>
                <w:sz w:val="16"/>
                <w:szCs w:val="20"/>
              </w:rPr>
            </w:pPr>
            <w:r w:rsidRPr="000A2095">
              <w:rPr>
                <w:rFonts w:ascii="Arial" w:eastAsia="Arial" w:hAnsi="Arial" w:cs="Arial"/>
                <w:color w:val="000000"/>
                <w:sz w:val="16"/>
                <w:szCs w:val="20"/>
              </w:rPr>
              <w:t>actual</w:t>
            </w:r>
          </w:p>
        </w:tc>
        <w:tc>
          <w:tcPr>
            <w:tcW w:w="1110" w:type="dxa"/>
            <w:tcBorders>
              <w:top w:val="nil"/>
              <w:left w:val="nil"/>
              <w:bottom w:val="nil"/>
              <w:right w:val="nil"/>
              <w:tl2br w:val="nil"/>
              <w:tr2bl w:val="nil"/>
            </w:tcBorders>
            <w:shd w:val="clear" w:color="auto" w:fill="FFFF00"/>
            <w:tcMar>
              <w:left w:w="101" w:type="dxa"/>
              <w:right w:w="101" w:type="dxa"/>
            </w:tcMar>
            <w:vAlign w:val="bottom"/>
          </w:tcPr>
          <w:p w14:paraId="219E6357" w14:textId="77777777" w:rsidR="003F0EEA" w:rsidRPr="000A2095" w:rsidRDefault="00FB7D0B">
            <w:pPr>
              <w:jc w:val="right"/>
              <w:rPr>
                <w:rFonts w:ascii="Arial" w:eastAsia="Arial" w:hAnsi="Arial" w:cs="Arial"/>
                <w:color w:val="000000"/>
                <w:sz w:val="16"/>
                <w:szCs w:val="20"/>
              </w:rPr>
            </w:pPr>
            <w:r w:rsidRPr="000A2095">
              <w:rPr>
                <w:rFonts w:ascii="Arial" w:eastAsia="Arial" w:hAnsi="Arial" w:cs="Arial"/>
                <w:color w:val="000000"/>
                <w:sz w:val="16"/>
                <w:szCs w:val="20"/>
              </w:rPr>
              <w:t>estimate</w:t>
            </w:r>
          </w:p>
        </w:tc>
        <w:tc>
          <w:tcPr>
            <w:tcW w:w="1110" w:type="dxa"/>
            <w:tcBorders>
              <w:top w:val="nil"/>
              <w:left w:val="nil"/>
              <w:bottom w:val="nil"/>
              <w:right w:val="nil"/>
              <w:tl2br w:val="nil"/>
              <w:tr2bl w:val="nil"/>
            </w:tcBorders>
            <w:shd w:val="clear" w:color="auto" w:fill="FFFFFF"/>
            <w:tcMar>
              <w:left w:w="101" w:type="dxa"/>
              <w:right w:w="101" w:type="dxa"/>
            </w:tcMar>
            <w:vAlign w:val="bottom"/>
          </w:tcPr>
          <w:p w14:paraId="5455C65D" w14:textId="77777777" w:rsidR="003F0EEA" w:rsidRPr="000A2095" w:rsidRDefault="00FB7D0B">
            <w:pPr>
              <w:jc w:val="right"/>
              <w:rPr>
                <w:rFonts w:ascii="Arial" w:eastAsia="Arial" w:hAnsi="Arial" w:cs="Arial"/>
                <w:color w:val="000000"/>
                <w:sz w:val="16"/>
                <w:szCs w:val="20"/>
              </w:rPr>
            </w:pPr>
            <w:r w:rsidRPr="000A2095">
              <w:rPr>
                <w:rFonts w:ascii="Arial" w:eastAsia="Arial" w:hAnsi="Arial" w:cs="Arial"/>
                <w:color w:val="000000"/>
                <w:sz w:val="16"/>
                <w:szCs w:val="20"/>
              </w:rPr>
              <w:t>estimate</w:t>
            </w:r>
          </w:p>
        </w:tc>
        <w:tc>
          <w:tcPr>
            <w:tcW w:w="1110" w:type="dxa"/>
            <w:tcBorders>
              <w:top w:val="nil"/>
              <w:left w:val="nil"/>
              <w:bottom w:val="nil"/>
              <w:right w:val="nil"/>
              <w:tl2br w:val="nil"/>
              <w:tr2bl w:val="nil"/>
            </w:tcBorders>
            <w:shd w:val="clear" w:color="auto" w:fill="FFFFFF"/>
            <w:tcMar>
              <w:left w:w="101" w:type="dxa"/>
              <w:right w:w="101" w:type="dxa"/>
            </w:tcMar>
            <w:vAlign w:val="bottom"/>
          </w:tcPr>
          <w:p w14:paraId="79A7BBBE" w14:textId="77777777" w:rsidR="003F0EEA" w:rsidRPr="000A2095" w:rsidRDefault="00FB7D0B">
            <w:pPr>
              <w:jc w:val="right"/>
              <w:rPr>
                <w:rFonts w:ascii="Arial" w:eastAsia="Arial" w:hAnsi="Arial" w:cs="Arial"/>
                <w:color w:val="000000"/>
                <w:sz w:val="16"/>
                <w:szCs w:val="20"/>
              </w:rPr>
            </w:pPr>
            <w:r w:rsidRPr="000A2095">
              <w:rPr>
                <w:rFonts w:ascii="Arial" w:eastAsia="Arial" w:hAnsi="Arial" w:cs="Arial"/>
                <w:color w:val="000000"/>
                <w:sz w:val="16"/>
                <w:szCs w:val="20"/>
              </w:rPr>
              <w:t>estimate</w:t>
            </w:r>
          </w:p>
        </w:tc>
        <w:tc>
          <w:tcPr>
            <w:tcW w:w="1110" w:type="dxa"/>
            <w:tcBorders>
              <w:top w:val="nil"/>
              <w:left w:val="nil"/>
              <w:bottom w:val="nil"/>
              <w:right w:val="nil"/>
              <w:tl2br w:val="nil"/>
              <w:tr2bl w:val="nil"/>
            </w:tcBorders>
            <w:shd w:val="clear" w:color="auto" w:fill="FFFFFF"/>
            <w:tcMar>
              <w:left w:w="101" w:type="dxa"/>
              <w:right w:w="101" w:type="dxa"/>
            </w:tcMar>
            <w:vAlign w:val="bottom"/>
          </w:tcPr>
          <w:p w14:paraId="32DA5FAF" w14:textId="77777777" w:rsidR="003F0EEA" w:rsidRPr="000A2095" w:rsidRDefault="00FB7D0B">
            <w:pPr>
              <w:jc w:val="right"/>
              <w:rPr>
                <w:rFonts w:ascii="Arial" w:eastAsia="Arial" w:hAnsi="Arial" w:cs="Arial"/>
                <w:color w:val="000000"/>
                <w:sz w:val="16"/>
                <w:szCs w:val="20"/>
              </w:rPr>
            </w:pPr>
            <w:r w:rsidRPr="000A2095">
              <w:rPr>
                <w:rFonts w:ascii="Arial" w:eastAsia="Arial" w:hAnsi="Arial" w:cs="Arial"/>
                <w:color w:val="000000"/>
                <w:sz w:val="16"/>
                <w:szCs w:val="20"/>
              </w:rPr>
              <w:t>estimate</w:t>
            </w:r>
          </w:p>
        </w:tc>
      </w:tr>
      <w:tr w:rsidR="00724034" w14:paraId="7EDBAC4A" w14:textId="77777777">
        <w:trPr>
          <w:trHeight w:val="225"/>
        </w:trPr>
        <w:tc>
          <w:tcPr>
            <w:tcW w:w="180" w:type="dxa"/>
            <w:tcBorders>
              <w:top w:val="nil"/>
              <w:left w:val="nil"/>
              <w:bottom w:val="nil"/>
              <w:right w:val="nil"/>
              <w:tl2br w:val="nil"/>
              <w:tr2bl w:val="nil"/>
            </w:tcBorders>
            <w:shd w:val="clear" w:color="auto" w:fill="FFFFFF"/>
            <w:tcMar>
              <w:left w:w="101" w:type="dxa"/>
              <w:right w:w="101" w:type="dxa"/>
            </w:tcMar>
            <w:vAlign w:val="bottom"/>
          </w:tcPr>
          <w:p w14:paraId="4C30ECBF" w14:textId="77777777" w:rsidR="003F0EEA" w:rsidRPr="000A2095" w:rsidRDefault="003F0EEA">
            <w:pPr>
              <w:rPr>
                <w:rFonts w:ascii="Arial" w:eastAsia="Arial" w:hAnsi="Arial" w:cs="Arial"/>
                <w:color w:val="000000"/>
                <w:sz w:val="16"/>
                <w:szCs w:val="20"/>
              </w:rPr>
            </w:pPr>
          </w:p>
        </w:tc>
        <w:tc>
          <w:tcPr>
            <w:tcW w:w="180" w:type="dxa"/>
            <w:tcBorders>
              <w:top w:val="nil"/>
              <w:left w:val="nil"/>
              <w:bottom w:val="nil"/>
              <w:right w:val="nil"/>
              <w:tl2br w:val="nil"/>
              <w:tr2bl w:val="nil"/>
            </w:tcBorders>
            <w:shd w:val="clear" w:color="auto" w:fill="FFFFFF"/>
            <w:tcMar>
              <w:left w:w="101" w:type="dxa"/>
              <w:right w:w="101" w:type="dxa"/>
            </w:tcMar>
            <w:vAlign w:val="bottom"/>
          </w:tcPr>
          <w:p w14:paraId="0BF74783" w14:textId="77777777" w:rsidR="003F0EEA" w:rsidRPr="000A2095" w:rsidRDefault="003F0EEA">
            <w:pPr>
              <w:rPr>
                <w:rFonts w:ascii="Arial" w:eastAsia="Arial" w:hAnsi="Arial" w:cs="Arial"/>
                <w:color w:val="000000"/>
                <w:sz w:val="16"/>
                <w:szCs w:val="20"/>
              </w:rPr>
            </w:pPr>
          </w:p>
        </w:tc>
        <w:tc>
          <w:tcPr>
            <w:tcW w:w="2070" w:type="dxa"/>
            <w:tcBorders>
              <w:top w:val="nil"/>
              <w:left w:val="nil"/>
              <w:bottom w:val="nil"/>
              <w:right w:val="nil"/>
              <w:tl2br w:val="nil"/>
              <w:tr2bl w:val="nil"/>
            </w:tcBorders>
            <w:shd w:val="clear" w:color="auto" w:fill="FFFFFF"/>
            <w:tcMar>
              <w:left w:w="101" w:type="dxa"/>
              <w:right w:w="101" w:type="dxa"/>
            </w:tcMar>
            <w:vAlign w:val="bottom"/>
          </w:tcPr>
          <w:p w14:paraId="287F2430" w14:textId="77777777" w:rsidR="003F0EEA" w:rsidRPr="000A2095" w:rsidRDefault="003F0EEA">
            <w:pPr>
              <w:rPr>
                <w:rFonts w:ascii="Arial" w:eastAsia="Arial" w:hAnsi="Arial" w:cs="Arial"/>
                <w:color w:val="000000"/>
                <w:sz w:val="16"/>
                <w:szCs w:val="20"/>
              </w:rPr>
            </w:pPr>
          </w:p>
        </w:tc>
        <w:tc>
          <w:tcPr>
            <w:tcW w:w="1110" w:type="dxa"/>
            <w:tcBorders>
              <w:top w:val="nil"/>
              <w:left w:val="nil"/>
              <w:bottom w:val="nil"/>
              <w:right w:val="nil"/>
              <w:tl2br w:val="nil"/>
              <w:tr2bl w:val="nil"/>
            </w:tcBorders>
            <w:shd w:val="clear" w:color="auto" w:fill="FFFFFF"/>
            <w:tcMar>
              <w:left w:w="101" w:type="dxa"/>
              <w:right w:w="101" w:type="dxa"/>
            </w:tcMar>
            <w:vAlign w:val="bottom"/>
          </w:tcPr>
          <w:p w14:paraId="309C16BC" w14:textId="77777777" w:rsidR="003F0EEA" w:rsidRPr="000A2095" w:rsidRDefault="00FB7D0B">
            <w:pPr>
              <w:jc w:val="right"/>
              <w:rPr>
                <w:rFonts w:ascii="Arial" w:eastAsia="Arial" w:hAnsi="Arial" w:cs="Arial"/>
                <w:color w:val="000000"/>
                <w:sz w:val="16"/>
                <w:szCs w:val="20"/>
              </w:rPr>
            </w:pPr>
            <w:r w:rsidRPr="000A2095">
              <w:rPr>
                <w:rFonts w:ascii="Arial" w:eastAsia="Arial" w:hAnsi="Arial" w:cs="Arial"/>
                <w:color w:val="000000"/>
                <w:sz w:val="16"/>
                <w:szCs w:val="20"/>
              </w:rPr>
              <w:t>2013-14</w:t>
            </w:r>
          </w:p>
        </w:tc>
        <w:tc>
          <w:tcPr>
            <w:tcW w:w="1110" w:type="dxa"/>
            <w:tcBorders>
              <w:top w:val="nil"/>
              <w:left w:val="nil"/>
              <w:bottom w:val="nil"/>
              <w:right w:val="nil"/>
              <w:tl2br w:val="nil"/>
              <w:tr2bl w:val="nil"/>
            </w:tcBorders>
            <w:shd w:val="clear" w:color="auto" w:fill="FFFF00"/>
            <w:tcMar>
              <w:left w:w="101" w:type="dxa"/>
              <w:right w:w="101" w:type="dxa"/>
            </w:tcMar>
            <w:vAlign w:val="bottom"/>
          </w:tcPr>
          <w:p w14:paraId="6F210735" w14:textId="77777777" w:rsidR="003F0EEA" w:rsidRPr="000A2095" w:rsidRDefault="00FB7D0B">
            <w:pPr>
              <w:jc w:val="right"/>
              <w:rPr>
                <w:rFonts w:ascii="Arial" w:eastAsia="Arial" w:hAnsi="Arial" w:cs="Arial"/>
                <w:color w:val="000000"/>
                <w:sz w:val="16"/>
                <w:szCs w:val="20"/>
              </w:rPr>
            </w:pPr>
            <w:r w:rsidRPr="000A2095">
              <w:rPr>
                <w:rFonts w:ascii="Arial" w:eastAsia="Arial" w:hAnsi="Arial" w:cs="Arial"/>
                <w:color w:val="000000"/>
                <w:sz w:val="16"/>
                <w:szCs w:val="20"/>
              </w:rPr>
              <w:t>2014-15</w:t>
            </w:r>
          </w:p>
        </w:tc>
        <w:tc>
          <w:tcPr>
            <w:tcW w:w="1110" w:type="dxa"/>
            <w:tcBorders>
              <w:top w:val="nil"/>
              <w:left w:val="nil"/>
              <w:bottom w:val="nil"/>
              <w:right w:val="nil"/>
              <w:tl2br w:val="nil"/>
              <w:tr2bl w:val="nil"/>
            </w:tcBorders>
            <w:shd w:val="clear" w:color="auto" w:fill="FFFFFF"/>
            <w:tcMar>
              <w:left w:w="101" w:type="dxa"/>
              <w:right w:w="101" w:type="dxa"/>
            </w:tcMar>
            <w:vAlign w:val="bottom"/>
          </w:tcPr>
          <w:p w14:paraId="611E5F15" w14:textId="77777777" w:rsidR="003F0EEA" w:rsidRPr="000A2095" w:rsidRDefault="00FB7D0B">
            <w:pPr>
              <w:jc w:val="right"/>
              <w:rPr>
                <w:rFonts w:ascii="Arial" w:eastAsia="Arial" w:hAnsi="Arial" w:cs="Arial"/>
                <w:color w:val="000000"/>
                <w:sz w:val="16"/>
                <w:szCs w:val="20"/>
              </w:rPr>
            </w:pPr>
            <w:r w:rsidRPr="000A2095">
              <w:rPr>
                <w:rFonts w:ascii="Arial" w:eastAsia="Arial" w:hAnsi="Arial" w:cs="Arial"/>
                <w:color w:val="000000"/>
                <w:sz w:val="16"/>
                <w:szCs w:val="20"/>
              </w:rPr>
              <w:t>2015-16</w:t>
            </w:r>
          </w:p>
        </w:tc>
        <w:tc>
          <w:tcPr>
            <w:tcW w:w="1110" w:type="dxa"/>
            <w:tcBorders>
              <w:top w:val="nil"/>
              <w:left w:val="nil"/>
              <w:bottom w:val="nil"/>
              <w:right w:val="nil"/>
              <w:tl2br w:val="nil"/>
              <w:tr2bl w:val="nil"/>
            </w:tcBorders>
            <w:shd w:val="clear" w:color="auto" w:fill="FFFFFF"/>
            <w:tcMar>
              <w:left w:w="101" w:type="dxa"/>
              <w:right w:w="101" w:type="dxa"/>
            </w:tcMar>
            <w:vAlign w:val="bottom"/>
          </w:tcPr>
          <w:p w14:paraId="653298F2" w14:textId="77777777" w:rsidR="003F0EEA" w:rsidRPr="000A2095" w:rsidRDefault="00FB7D0B">
            <w:pPr>
              <w:jc w:val="right"/>
              <w:rPr>
                <w:rFonts w:ascii="Arial" w:eastAsia="Arial" w:hAnsi="Arial" w:cs="Arial"/>
                <w:color w:val="000000"/>
                <w:sz w:val="16"/>
                <w:szCs w:val="20"/>
              </w:rPr>
            </w:pPr>
            <w:r w:rsidRPr="000A2095">
              <w:rPr>
                <w:rFonts w:ascii="Arial" w:eastAsia="Arial" w:hAnsi="Arial" w:cs="Arial"/>
                <w:color w:val="000000"/>
                <w:sz w:val="16"/>
                <w:szCs w:val="20"/>
              </w:rPr>
              <w:t>2016-17</w:t>
            </w:r>
          </w:p>
        </w:tc>
        <w:tc>
          <w:tcPr>
            <w:tcW w:w="1110" w:type="dxa"/>
            <w:tcBorders>
              <w:top w:val="nil"/>
              <w:left w:val="nil"/>
              <w:bottom w:val="nil"/>
              <w:right w:val="nil"/>
              <w:tl2br w:val="nil"/>
              <w:tr2bl w:val="nil"/>
            </w:tcBorders>
            <w:shd w:val="clear" w:color="auto" w:fill="FFFFFF"/>
            <w:tcMar>
              <w:left w:w="101" w:type="dxa"/>
              <w:right w:w="101" w:type="dxa"/>
            </w:tcMar>
            <w:vAlign w:val="bottom"/>
          </w:tcPr>
          <w:p w14:paraId="61226077" w14:textId="77777777" w:rsidR="003F0EEA" w:rsidRPr="000A2095" w:rsidRDefault="00FB7D0B">
            <w:pPr>
              <w:jc w:val="right"/>
              <w:rPr>
                <w:rFonts w:ascii="Arial" w:eastAsia="Arial" w:hAnsi="Arial" w:cs="Arial"/>
                <w:color w:val="000000"/>
                <w:sz w:val="16"/>
                <w:szCs w:val="20"/>
              </w:rPr>
            </w:pPr>
            <w:r w:rsidRPr="000A2095">
              <w:rPr>
                <w:rFonts w:ascii="Arial" w:eastAsia="Arial" w:hAnsi="Arial" w:cs="Arial"/>
                <w:color w:val="000000"/>
                <w:sz w:val="16"/>
                <w:szCs w:val="20"/>
              </w:rPr>
              <w:t>2017-18</w:t>
            </w:r>
          </w:p>
        </w:tc>
      </w:tr>
      <w:tr w:rsidR="00724034" w14:paraId="126561E1" w14:textId="77777777">
        <w:trPr>
          <w:trHeight w:val="225"/>
        </w:trPr>
        <w:tc>
          <w:tcPr>
            <w:tcW w:w="180" w:type="dxa"/>
            <w:tcBorders>
              <w:top w:val="nil"/>
              <w:left w:val="nil"/>
              <w:bottom w:val="nil"/>
              <w:right w:val="nil"/>
              <w:tl2br w:val="nil"/>
              <w:tr2bl w:val="nil"/>
            </w:tcBorders>
            <w:shd w:val="clear" w:color="auto" w:fill="FFFFFF"/>
            <w:tcMar>
              <w:left w:w="101" w:type="dxa"/>
              <w:right w:w="101" w:type="dxa"/>
            </w:tcMar>
            <w:vAlign w:val="bottom"/>
          </w:tcPr>
          <w:p w14:paraId="4C6D84C6" w14:textId="77777777" w:rsidR="003F0EEA" w:rsidRPr="000A2095" w:rsidRDefault="003F0EEA">
            <w:pPr>
              <w:rPr>
                <w:rFonts w:ascii="Arial" w:eastAsia="Arial" w:hAnsi="Arial" w:cs="Arial"/>
                <w:color w:val="000000"/>
                <w:sz w:val="16"/>
                <w:szCs w:val="20"/>
              </w:rPr>
            </w:pPr>
          </w:p>
        </w:tc>
        <w:tc>
          <w:tcPr>
            <w:tcW w:w="180" w:type="dxa"/>
            <w:tcBorders>
              <w:top w:val="nil"/>
              <w:left w:val="nil"/>
              <w:bottom w:val="nil"/>
              <w:right w:val="nil"/>
              <w:tl2br w:val="nil"/>
              <w:tr2bl w:val="nil"/>
            </w:tcBorders>
            <w:shd w:val="clear" w:color="auto" w:fill="FFFFFF"/>
            <w:tcMar>
              <w:left w:w="101" w:type="dxa"/>
              <w:right w:w="101" w:type="dxa"/>
            </w:tcMar>
            <w:vAlign w:val="bottom"/>
          </w:tcPr>
          <w:p w14:paraId="208B7D5E" w14:textId="77777777" w:rsidR="003F0EEA" w:rsidRPr="000A2095" w:rsidRDefault="003F0EEA">
            <w:pPr>
              <w:rPr>
                <w:rFonts w:ascii="Arial" w:eastAsia="Arial" w:hAnsi="Arial" w:cs="Arial"/>
                <w:color w:val="000000"/>
                <w:sz w:val="16"/>
                <w:szCs w:val="20"/>
              </w:rPr>
            </w:pPr>
          </w:p>
        </w:tc>
        <w:tc>
          <w:tcPr>
            <w:tcW w:w="2070" w:type="dxa"/>
            <w:tcBorders>
              <w:top w:val="nil"/>
              <w:left w:val="nil"/>
              <w:bottom w:val="nil"/>
              <w:right w:val="nil"/>
              <w:tl2br w:val="nil"/>
              <w:tr2bl w:val="nil"/>
            </w:tcBorders>
            <w:shd w:val="clear" w:color="auto" w:fill="FFFFFF"/>
            <w:tcMar>
              <w:left w:w="101" w:type="dxa"/>
              <w:right w:w="101" w:type="dxa"/>
            </w:tcMar>
            <w:vAlign w:val="bottom"/>
          </w:tcPr>
          <w:p w14:paraId="22554608" w14:textId="77777777" w:rsidR="003F0EEA" w:rsidRPr="000A2095" w:rsidRDefault="003F0EEA">
            <w:pPr>
              <w:rPr>
                <w:rFonts w:ascii="Arial" w:eastAsia="Arial" w:hAnsi="Arial" w:cs="Arial"/>
                <w:color w:val="000000"/>
                <w:sz w:val="16"/>
                <w:szCs w:val="20"/>
              </w:rPr>
            </w:pPr>
          </w:p>
        </w:tc>
        <w:tc>
          <w:tcPr>
            <w:tcW w:w="1110"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3C6C744D" w14:textId="77777777" w:rsidR="003F0EEA" w:rsidRPr="000A2095" w:rsidRDefault="00FB7D0B">
            <w:pPr>
              <w:jc w:val="right"/>
              <w:rPr>
                <w:rFonts w:ascii="Arial" w:eastAsia="Arial" w:hAnsi="Arial" w:cs="Arial"/>
                <w:color w:val="000000"/>
                <w:sz w:val="16"/>
                <w:szCs w:val="20"/>
              </w:rPr>
            </w:pPr>
            <w:r w:rsidRPr="000A2095">
              <w:rPr>
                <w:rFonts w:ascii="Arial" w:eastAsia="Arial" w:hAnsi="Arial" w:cs="Arial"/>
                <w:color w:val="000000"/>
                <w:sz w:val="16"/>
                <w:szCs w:val="20"/>
              </w:rPr>
              <w:t>$'000</w:t>
            </w:r>
          </w:p>
        </w:tc>
        <w:tc>
          <w:tcPr>
            <w:tcW w:w="1110" w:type="dxa"/>
            <w:tcBorders>
              <w:top w:val="nil"/>
              <w:left w:val="nil"/>
              <w:bottom w:val="single" w:sz="6" w:space="0" w:color="000000"/>
              <w:right w:val="nil"/>
              <w:tl2br w:val="nil"/>
              <w:tr2bl w:val="nil"/>
            </w:tcBorders>
            <w:shd w:val="clear" w:color="auto" w:fill="FFFF00"/>
            <w:tcMar>
              <w:left w:w="101" w:type="dxa"/>
              <w:right w:w="101" w:type="dxa"/>
            </w:tcMar>
            <w:vAlign w:val="bottom"/>
          </w:tcPr>
          <w:p w14:paraId="27B68E2F" w14:textId="77777777" w:rsidR="003F0EEA" w:rsidRPr="000A2095" w:rsidRDefault="00FB7D0B">
            <w:pPr>
              <w:jc w:val="right"/>
              <w:rPr>
                <w:rFonts w:ascii="Arial" w:eastAsia="Arial" w:hAnsi="Arial" w:cs="Arial"/>
                <w:color w:val="000000"/>
                <w:sz w:val="16"/>
                <w:szCs w:val="20"/>
              </w:rPr>
            </w:pPr>
            <w:r w:rsidRPr="000A2095">
              <w:rPr>
                <w:rFonts w:ascii="Arial" w:eastAsia="Arial" w:hAnsi="Arial" w:cs="Arial"/>
                <w:color w:val="000000"/>
                <w:sz w:val="16"/>
                <w:szCs w:val="20"/>
              </w:rPr>
              <w:t>$'000</w:t>
            </w:r>
          </w:p>
        </w:tc>
        <w:tc>
          <w:tcPr>
            <w:tcW w:w="1110"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21795D3E" w14:textId="77777777" w:rsidR="003F0EEA" w:rsidRPr="000A2095" w:rsidRDefault="00FB7D0B">
            <w:pPr>
              <w:jc w:val="right"/>
              <w:rPr>
                <w:rFonts w:ascii="Arial" w:eastAsia="Arial" w:hAnsi="Arial" w:cs="Arial"/>
                <w:color w:val="000000"/>
                <w:sz w:val="16"/>
                <w:szCs w:val="20"/>
              </w:rPr>
            </w:pPr>
            <w:r w:rsidRPr="000A2095">
              <w:rPr>
                <w:rFonts w:ascii="Arial" w:eastAsia="Arial" w:hAnsi="Arial" w:cs="Arial"/>
                <w:color w:val="000000"/>
                <w:sz w:val="16"/>
                <w:szCs w:val="20"/>
              </w:rPr>
              <w:t>$'000</w:t>
            </w:r>
          </w:p>
        </w:tc>
        <w:tc>
          <w:tcPr>
            <w:tcW w:w="1110"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47FAE7E4" w14:textId="77777777" w:rsidR="003F0EEA" w:rsidRPr="000A2095" w:rsidRDefault="00FB7D0B">
            <w:pPr>
              <w:jc w:val="right"/>
              <w:rPr>
                <w:rFonts w:ascii="Arial" w:eastAsia="Arial" w:hAnsi="Arial" w:cs="Arial"/>
                <w:color w:val="000000"/>
                <w:sz w:val="16"/>
                <w:szCs w:val="20"/>
              </w:rPr>
            </w:pPr>
            <w:r w:rsidRPr="000A2095">
              <w:rPr>
                <w:rFonts w:ascii="Arial" w:eastAsia="Arial" w:hAnsi="Arial" w:cs="Arial"/>
                <w:color w:val="000000"/>
                <w:sz w:val="16"/>
                <w:szCs w:val="20"/>
              </w:rPr>
              <w:t>$'000</w:t>
            </w:r>
          </w:p>
        </w:tc>
        <w:tc>
          <w:tcPr>
            <w:tcW w:w="1110"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7F9F03E5" w14:textId="77777777" w:rsidR="003F0EEA" w:rsidRPr="000A2095" w:rsidRDefault="00FB7D0B">
            <w:pPr>
              <w:jc w:val="right"/>
              <w:rPr>
                <w:rFonts w:ascii="Arial" w:eastAsia="Arial" w:hAnsi="Arial" w:cs="Arial"/>
                <w:color w:val="000000"/>
                <w:sz w:val="16"/>
                <w:szCs w:val="20"/>
              </w:rPr>
            </w:pPr>
            <w:r w:rsidRPr="000A2095">
              <w:rPr>
                <w:rFonts w:ascii="Arial" w:eastAsia="Arial" w:hAnsi="Arial" w:cs="Arial"/>
                <w:color w:val="000000"/>
                <w:sz w:val="16"/>
                <w:szCs w:val="20"/>
              </w:rPr>
              <w:t>$'000</w:t>
            </w:r>
          </w:p>
        </w:tc>
      </w:tr>
      <w:tr w:rsidR="00FB7D0B" w14:paraId="04A52463" w14:textId="77777777" w:rsidTr="00FB7D0B">
        <w:trPr>
          <w:trHeight w:val="225"/>
        </w:trPr>
        <w:tc>
          <w:tcPr>
            <w:tcW w:w="2430" w:type="dxa"/>
            <w:gridSpan w:val="3"/>
            <w:tcBorders>
              <w:top w:val="nil"/>
              <w:left w:val="nil"/>
              <w:bottom w:val="nil"/>
              <w:right w:val="nil"/>
              <w:tl2br w:val="nil"/>
              <w:tr2bl w:val="nil"/>
            </w:tcBorders>
            <w:shd w:val="clear" w:color="auto" w:fill="FFFFFF"/>
            <w:tcMar>
              <w:left w:w="101" w:type="dxa"/>
              <w:right w:w="101" w:type="dxa"/>
            </w:tcMar>
            <w:vAlign w:val="bottom"/>
          </w:tcPr>
          <w:p w14:paraId="5668A79D" w14:textId="77777777" w:rsidR="003F0EEA" w:rsidRPr="000A2095" w:rsidRDefault="00FB7D0B">
            <w:pPr>
              <w:rPr>
                <w:rFonts w:ascii="Arial" w:eastAsia="Arial" w:hAnsi="Arial" w:cs="Arial"/>
                <w:color w:val="000000"/>
                <w:sz w:val="16"/>
                <w:szCs w:val="20"/>
              </w:rPr>
            </w:pPr>
            <w:r w:rsidRPr="000A2095">
              <w:rPr>
                <w:rFonts w:ascii="Arial" w:eastAsia="Arial" w:hAnsi="Arial" w:cs="Arial"/>
                <w:b/>
                <w:color w:val="000000"/>
                <w:sz w:val="16"/>
                <w:szCs w:val="20"/>
              </w:rPr>
              <w:t>OPERATING ACTIVITIES</w:t>
            </w:r>
          </w:p>
        </w:tc>
        <w:tc>
          <w:tcPr>
            <w:tcW w:w="1110"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07F318B1" w14:textId="77777777" w:rsidR="003F0EEA" w:rsidRPr="000A2095" w:rsidRDefault="003F0EEA">
            <w:pPr>
              <w:rPr>
                <w:rFonts w:ascii="Arial" w:eastAsia="Arial" w:hAnsi="Arial" w:cs="Arial"/>
                <w:b/>
                <w:color w:val="000000"/>
                <w:sz w:val="16"/>
                <w:szCs w:val="20"/>
              </w:rPr>
            </w:pPr>
          </w:p>
        </w:tc>
        <w:tc>
          <w:tcPr>
            <w:tcW w:w="1110" w:type="dxa"/>
            <w:tcBorders>
              <w:top w:val="single" w:sz="6" w:space="0" w:color="000000"/>
              <w:left w:val="nil"/>
              <w:bottom w:val="nil"/>
              <w:right w:val="nil"/>
              <w:tl2br w:val="nil"/>
              <w:tr2bl w:val="nil"/>
            </w:tcBorders>
            <w:shd w:val="clear" w:color="auto" w:fill="FFFF00"/>
            <w:tcMar>
              <w:left w:w="101" w:type="dxa"/>
              <w:right w:w="101" w:type="dxa"/>
            </w:tcMar>
            <w:vAlign w:val="bottom"/>
          </w:tcPr>
          <w:p w14:paraId="1406EBEF" w14:textId="77777777" w:rsidR="003F0EEA" w:rsidRPr="000A2095" w:rsidRDefault="003F0EEA">
            <w:pPr>
              <w:rPr>
                <w:rFonts w:ascii="Arial" w:eastAsia="Arial" w:hAnsi="Arial" w:cs="Arial"/>
                <w:color w:val="000000"/>
                <w:sz w:val="16"/>
                <w:szCs w:val="20"/>
              </w:rPr>
            </w:pPr>
          </w:p>
        </w:tc>
        <w:tc>
          <w:tcPr>
            <w:tcW w:w="1110"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6895FB0D" w14:textId="77777777" w:rsidR="003F0EEA" w:rsidRPr="000A2095" w:rsidRDefault="003F0EEA">
            <w:pPr>
              <w:rPr>
                <w:rFonts w:ascii="Arial" w:eastAsia="Arial" w:hAnsi="Arial" w:cs="Arial"/>
                <w:color w:val="000000"/>
                <w:sz w:val="16"/>
                <w:szCs w:val="20"/>
              </w:rPr>
            </w:pPr>
          </w:p>
        </w:tc>
        <w:tc>
          <w:tcPr>
            <w:tcW w:w="1110"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5CCD09A6" w14:textId="77777777" w:rsidR="003F0EEA" w:rsidRPr="000A2095" w:rsidRDefault="003F0EEA">
            <w:pPr>
              <w:rPr>
                <w:rFonts w:ascii="Arial" w:eastAsia="Arial" w:hAnsi="Arial" w:cs="Arial"/>
                <w:color w:val="000000"/>
                <w:sz w:val="16"/>
                <w:szCs w:val="20"/>
              </w:rPr>
            </w:pPr>
          </w:p>
        </w:tc>
        <w:tc>
          <w:tcPr>
            <w:tcW w:w="1110"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40F7FCAC" w14:textId="77777777" w:rsidR="003F0EEA" w:rsidRPr="000A2095" w:rsidRDefault="003F0EEA">
            <w:pPr>
              <w:rPr>
                <w:rFonts w:ascii="Arial" w:eastAsia="Arial" w:hAnsi="Arial" w:cs="Arial"/>
                <w:color w:val="000000"/>
                <w:sz w:val="16"/>
                <w:szCs w:val="20"/>
              </w:rPr>
            </w:pPr>
          </w:p>
        </w:tc>
      </w:tr>
      <w:tr w:rsidR="00FB7D0B" w14:paraId="1AC573C6" w14:textId="77777777" w:rsidTr="00FB7D0B">
        <w:trPr>
          <w:trHeight w:val="225"/>
        </w:trPr>
        <w:tc>
          <w:tcPr>
            <w:tcW w:w="2430" w:type="dxa"/>
            <w:gridSpan w:val="3"/>
            <w:tcBorders>
              <w:top w:val="nil"/>
              <w:left w:val="nil"/>
              <w:bottom w:val="nil"/>
              <w:right w:val="nil"/>
              <w:tl2br w:val="nil"/>
              <w:tr2bl w:val="nil"/>
            </w:tcBorders>
            <w:shd w:val="clear" w:color="auto" w:fill="FFFFFF"/>
            <w:tcMar>
              <w:left w:w="101" w:type="dxa"/>
              <w:right w:w="101" w:type="dxa"/>
            </w:tcMar>
            <w:vAlign w:val="bottom"/>
          </w:tcPr>
          <w:p w14:paraId="4E718B88" w14:textId="77777777" w:rsidR="003F0EEA" w:rsidRPr="000A2095" w:rsidRDefault="00FB7D0B">
            <w:pPr>
              <w:rPr>
                <w:rFonts w:ascii="Arial" w:eastAsia="Arial" w:hAnsi="Arial" w:cs="Arial"/>
                <w:color w:val="000000"/>
                <w:sz w:val="16"/>
                <w:szCs w:val="20"/>
              </w:rPr>
            </w:pPr>
            <w:r w:rsidRPr="000A2095">
              <w:rPr>
                <w:rFonts w:ascii="Arial" w:eastAsia="Arial" w:hAnsi="Arial" w:cs="Arial"/>
                <w:b/>
                <w:color w:val="000000"/>
                <w:sz w:val="16"/>
                <w:szCs w:val="20"/>
              </w:rPr>
              <w:t>Cash received</w:t>
            </w:r>
          </w:p>
        </w:tc>
        <w:tc>
          <w:tcPr>
            <w:tcW w:w="1110" w:type="dxa"/>
            <w:tcBorders>
              <w:top w:val="nil"/>
              <w:left w:val="nil"/>
              <w:bottom w:val="nil"/>
              <w:right w:val="nil"/>
              <w:tl2br w:val="nil"/>
              <w:tr2bl w:val="nil"/>
            </w:tcBorders>
            <w:shd w:val="clear" w:color="auto" w:fill="FFFFFF"/>
            <w:tcMar>
              <w:left w:w="101" w:type="dxa"/>
              <w:right w:w="101" w:type="dxa"/>
            </w:tcMar>
            <w:vAlign w:val="bottom"/>
          </w:tcPr>
          <w:p w14:paraId="7502C8A1" w14:textId="77777777" w:rsidR="003F0EEA" w:rsidRPr="000A2095" w:rsidRDefault="003F0EEA">
            <w:pPr>
              <w:rPr>
                <w:rFonts w:ascii="Arial" w:eastAsia="Arial" w:hAnsi="Arial" w:cs="Arial"/>
                <w:b/>
                <w:color w:val="000000"/>
                <w:sz w:val="16"/>
                <w:szCs w:val="20"/>
              </w:rPr>
            </w:pPr>
          </w:p>
        </w:tc>
        <w:tc>
          <w:tcPr>
            <w:tcW w:w="1110" w:type="dxa"/>
            <w:tcBorders>
              <w:top w:val="nil"/>
              <w:left w:val="nil"/>
              <w:bottom w:val="nil"/>
              <w:right w:val="nil"/>
              <w:tl2br w:val="nil"/>
              <w:tr2bl w:val="nil"/>
            </w:tcBorders>
            <w:shd w:val="clear" w:color="auto" w:fill="FFFF00"/>
            <w:tcMar>
              <w:left w:w="101" w:type="dxa"/>
              <w:right w:w="101" w:type="dxa"/>
            </w:tcMar>
            <w:vAlign w:val="bottom"/>
          </w:tcPr>
          <w:p w14:paraId="06D7BBBB" w14:textId="77777777" w:rsidR="003F0EEA" w:rsidRPr="000A2095" w:rsidRDefault="003F0EEA">
            <w:pPr>
              <w:rPr>
                <w:rFonts w:ascii="Arial" w:eastAsia="Arial" w:hAnsi="Arial" w:cs="Arial"/>
                <w:color w:val="000000"/>
                <w:sz w:val="16"/>
                <w:szCs w:val="20"/>
              </w:rPr>
            </w:pPr>
          </w:p>
        </w:tc>
        <w:tc>
          <w:tcPr>
            <w:tcW w:w="1110" w:type="dxa"/>
            <w:tcBorders>
              <w:top w:val="nil"/>
              <w:left w:val="nil"/>
              <w:bottom w:val="nil"/>
              <w:right w:val="nil"/>
              <w:tl2br w:val="nil"/>
              <w:tr2bl w:val="nil"/>
            </w:tcBorders>
            <w:shd w:val="clear" w:color="auto" w:fill="FFFFFF"/>
            <w:tcMar>
              <w:left w:w="101" w:type="dxa"/>
              <w:right w:w="101" w:type="dxa"/>
            </w:tcMar>
            <w:vAlign w:val="bottom"/>
          </w:tcPr>
          <w:p w14:paraId="1D49B680" w14:textId="77777777" w:rsidR="003F0EEA" w:rsidRPr="000A2095" w:rsidRDefault="003F0EEA">
            <w:pPr>
              <w:rPr>
                <w:rFonts w:ascii="Arial" w:eastAsia="Arial" w:hAnsi="Arial" w:cs="Arial"/>
                <w:color w:val="000000"/>
                <w:sz w:val="16"/>
                <w:szCs w:val="20"/>
              </w:rPr>
            </w:pPr>
          </w:p>
        </w:tc>
        <w:tc>
          <w:tcPr>
            <w:tcW w:w="1110" w:type="dxa"/>
            <w:tcBorders>
              <w:top w:val="nil"/>
              <w:left w:val="nil"/>
              <w:bottom w:val="nil"/>
              <w:right w:val="nil"/>
              <w:tl2br w:val="nil"/>
              <w:tr2bl w:val="nil"/>
            </w:tcBorders>
            <w:shd w:val="clear" w:color="auto" w:fill="FFFFFF"/>
            <w:tcMar>
              <w:left w:w="101" w:type="dxa"/>
              <w:right w:w="101" w:type="dxa"/>
            </w:tcMar>
            <w:vAlign w:val="bottom"/>
          </w:tcPr>
          <w:p w14:paraId="2FEAFD81" w14:textId="77777777" w:rsidR="003F0EEA" w:rsidRPr="000A2095" w:rsidRDefault="003F0EEA">
            <w:pPr>
              <w:rPr>
                <w:rFonts w:ascii="Arial" w:eastAsia="Arial" w:hAnsi="Arial" w:cs="Arial"/>
                <w:color w:val="000000"/>
                <w:sz w:val="16"/>
                <w:szCs w:val="20"/>
              </w:rPr>
            </w:pPr>
          </w:p>
        </w:tc>
        <w:tc>
          <w:tcPr>
            <w:tcW w:w="1110" w:type="dxa"/>
            <w:tcBorders>
              <w:top w:val="nil"/>
              <w:left w:val="nil"/>
              <w:bottom w:val="nil"/>
              <w:right w:val="nil"/>
              <w:tl2br w:val="nil"/>
              <w:tr2bl w:val="nil"/>
            </w:tcBorders>
            <w:shd w:val="clear" w:color="auto" w:fill="FFFFFF"/>
            <w:tcMar>
              <w:left w:w="101" w:type="dxa"/>
              <w:right w:w="101" w:type="dxa"/>
            </w:tcMar>
            <w:vAlign w:val="bottom"/>
          </w:tcPr>
          <w:p w14:paraId="650C0FC2" w14:textId="77777777" w:rsidR="003F0EEA" w:rsidRPr="000A2095" w:rsidRDefault="003F0EEA">
            <w:pPr>
              <w:rPr>
                <w:rFonts w:ascii="Arial" w:eastAsia="Arial" w:hAnsi="Arial" w:cs="Arial"/>
                <w:color w:val="000000"/>
                <w:sz w:val="16"/>
                <w:szCs w:val="20"/>
              </w:rPr>
            </w:pPr>
          </w:p>
        </w:tc>
      </w:tr>
      <w:tr w:rsidR="00FB7D0B" w14:paraId="39D21D40" w14:textId="77777777" w:rsidTr="00FB7D0B">
        <w:trPr>
          <w:trHeight w:val="255"/>
        </w:trPr>
        <w:tc>
          <w:tcPr>
            <w:tcW w:w="180" w:type="dxa"/>
            <w:tcBorders>
              <w:top w:val="nil"/>
              <w:left w:val="nil"/>
              <w:bottom w:val="nil"/>
              <w:right w:val="nil"/>
              <w:tl2br w:val="nil"/>
              <w:tr2bl w:val="nil"/>
            </w:tcBorders>
            <w:shd w:val="clear" w:color="auto" w:fill="FFFFFF"/>
            <w:tcMar>
              <w:left w:w="101" w:type="dxa"/>
              <w:right w:w="101" w:type="dxa"/>
            </w:tcMar>
            <w:vAlign w:val="bottom"/>
          </w:tcPr>
          <w:p w14:paraId="23F734CB" w14:textId="77777777" w:rsidR="003F0EEA" w:rsidRPr="000A2095" w:rsidRDefault="003F0EEA">
            <w:pPr>
              <w:rPr>
                <w:rFonts w:ascii="Arial" w:eastAsia="Arial" w:hAnsi="Arial" w:cs="Arial"/>
                <w:color w:val="000000"/>
                <w:sz w:val="16"/>
                <w:szCs w:val="20"/>
              </w:rPr>
            </w:pPr>
          </w:p>
        </w:tc>
        <w:tc>
          <w:tcPr>
            <w:tcW w:w="2250" w:type="dxa"/>
            <w:gridSpan w:val="2"/>
            <w:vMerge w:val="restart"/>
            <w:tcBorders>
              <w:top w:val="nil"/>
              <w:left w:val="nil"/>
              <w:bottom w:val="nil"/>
              <w:right w:val="nil"/>
              <w:tl2br w:val="nil"/>
              <w:tr2bl w:val="nil"/>
            </w:tcBorders>
            <w:shd w:val="clear" w:color="auto" w:fill="FFFFFF"/>
            <w:tcMar>
              <w:left w:w="101" w:type="dxa"/>
              <w:right w:w="101" w:type="dxa"/>
            </w:tcMar>
            <w:vAlign w:val="bottom"/>
          </w:tcPr>
          <w:p w14:paraId="5DB11C9F" w14:textId="77777777" w:rsidR="003F0EEA" w:rsidRPr="000A2095" w:rsidRDefault="00FB7D0B">
            <w:pPr>
              <w:rPr>
                <w:rFonts w:ascii="Arial" w:eastAsia="Arial" w:hAnsi="Arial" w:cs="Arial"/>
                <w:color w:val="000000"/>
                <w:sz w:val="16"/>
                <w:szCs w:val="20"/>
              </w:rPr>
            </w:pPr>
            <w:r w:rsidRPr="000A2095">
              <w:rPr>
                <w:rFonts w:ascii="Arial" w:eastAsia="Arial" w:hAnsi="Arial" w:cs="Arial"/>
                <w:color w:val="000000"/>
                <w:sz w:val="16"/>
                <w:szCs w:val="20"/>
              </w:rPr>
              <w:t>GST input credit received</w:t>
            </w:r>
          </w:p>
        </w:tc>
        <w:tc>
          <w:tcPr>
            <w:tcW w:w="1110" w:type="dxa"/>
            <w:tcBorders>
              <w:top w:val="nil"/>
              <w:left w:val="nil"/>
              <w:bottom w:val="nil"/>
              <w:right w:val="nil"/>
              <w:tl2br w:val="nil"/>
              <w:tr2bl w:val="nil"/>
            </w:tcBorders>
            <w:shd w:val="clear" w:color="auto" w:fill="FFFFFF"/>
            <w:tcMar>
              <w:left w:w="101" w:type="dxa"/>
              <w:right w:w="101" w:type="dxa"/>
            </w:tcMar>
            <w:vAlign w:val="bottom"/>
          </w:tcPr>
          <w:p w14:paraId="6EA3E789" w14:textId="77777777" w:rsidR="003F0EEA" w:rsidRPr="000A2095" w:rsidRDefault="00FB7D0B">
            <w:pPr>
              <w:jc w:val="right"/>
              <w:rPr>
                <w:rFonts w:ascii="Arial" w:eastAsia="Arial" w:hAnsi="Arial" w:cs="Arial"/>
                <w:color w:val="000000"/>
                <w:sz w:val="16"/>
                <w:szCs w:val="20"/>
              </w:rPr>
            </w:pPr>
            <w:r w:rsidRPr="000A2095">
              <w:rPr>
                <w:rFonts w:ascii="Arial" w:eastAsia="Arial" w:hAnsi="Arial" w:cs="Arial"/>
                <w:color w:val="000000"/>
                <w:sz w:val="16"/>
                <w:szCs w:val="20"/>
              </w:rPr>
              <w:t xml:space="preserve"> 43,512 </w:t>
            </w:r>
          </w:p>
        </w:tc>
        <w:tc>
          <w:tcPr>
            <w:tcW w:w="1110" w:type="dxa"/>
            <w:tcBorders>
              <w:top w:val="nil"/>
              <w:left w:val="nil"/>
              <w:bottom w:val="nil"/>
              <w:right w:val="nil"/>
              <w:tl2br w:val="nil"/>
              <w:tr2bl w:val="nil"/>
            </w:tcBorders>
            <w:shd w:val="clear" w:color="auto" w:fill="FFFF00"/>
            <w:tcMar>
              <w:left w:w="101" w:type="dxa"/>
              <w:right w:w="101" w:type="dxa"/>
            </w:tcMar>
            <w:vAlign w:val="bottom"/>
          </w:tcPr>
          <w:p w14:paraId="20F66291" w14:textId="77777777" w:rsidR="003F0EEA" w:rsidRPr="000A2095" w:rsidRDefault="00FB7D0B">
            <w:pPr>
              <w:jc w:val="right"/>
              <w:rPr>
                <w:rFonts w:ascii="Arial" w:eastAsia="Arial" w:hAnsi="Arial" w:cs="Arial"/>
                <w:color w:val="000000"/>
                <w:sz w:val="16"/>
                <w:szCs w:val="20"/>
              </w:rPr>
            </w:pPr>
            <w:r w:rsidRPr="000A2095">
              <w:rPr>
                <w:rFonts w:ascii="Arial" w:eastAsia="Arial" w:hAnsi="Arial" w:cs="Arial"/>
                <w:color w:val="000000"/>
                <w:sz w:val="16"/>
                <w:szCs w:val="20"/>
              </w:rPr>
              <w:t xml:space="preserve"> 43,512 </w:t>
            </w:r>
          </w:p>
        </w:tc>
        <w:tc>
          <w:tcPr>
            <w:tcW w:w="1110" w:type="dxa"/>
            <w:tcBorders>
              <w:top w:val="nil"/>
              <w:left w:val="nil"/>
              <w:bottom w:val="nil"/>
              <w:right w:val="nil"/>
              <w:tl2br w:val="nil"/>
              <w:tr2bl w:val="nil"/>
            </w:tcBorders>
            <w:shd w:val="clear" w:color="auto" w:fill="FFFFFF"/>
            <w:tcMar>
              <w:left w:w="101" w:type="dxa"/>
              <w:right w:w="101" w:type="dxa"/>
            </w:tcMar>
            <w:vAlign w:val="bottom"/>
          </w:tcPr>
          <w:p w14:paraId="27300874" w14:textId="77777777" w:rsidR="003F0EEA" w:rsidRPr="000A2095" w:rsidRDefault="00FB7D0B">
            <w:pPr>
              <w:jc w:val="right"/>
              <w:rPr>
                <w:rFonts w:ascii="Arial" w:eastAsia="Arial" w:hAnsi="Arial" w:cs="Arial"/>
                <w:color w:val="000000"/>
                <w:sz w:val="16"/>
                <w:szCs w:val="20"/>
              </w:rPr>
            </w:pPr>
            <w:r w:rsidRPr="000A2095">
              <w:rPr>
                <w:rFonts w:ascii="Arial" w:eastAsia="Arial" w:hAnsi="Arial" w:cs="Arial"/>
                <w:color w:val="000000"/>
                <w:sz w:val="16"/>
                <w:szCs w:val="20"/>
              </w:rPr>
              <w:t xml:space="preserve"> 43,512 </w:t>
            </w:r>
          </w:p>
        </w:tc>
        <w:tc>
          <w:tcPr>
            <w:tcW w:w="1110" w:type="dxa"/>
            <w:tcBorders>
              <w:top w:val="nil"/>
              <w:left w:val="nil"/>
              <w:bottom w:val="nil"/>
              <w:right w:val="nil"/>
              <w:tl2br w:val="nil"/>
              <w:tr2bl w:val="nil"/>
            </w:tcBorders>
            <w:shd w:val="clear" w:color="auto" w:fill="FFFFFF"/>
            <w:tcMar>
              <w:left w:w="101" w:type="dxa"/>
              <w:right w:w="101" w:type="dxa"/>
            </w:tcMar>
            <w:vAlign w:val="bottom"/>
          </w:tcPr>
          <w:p w14:paraId="78C11152" w14:textId="77777777" w:rsidR="003F0EEA" w:rsidRPr="000A2095" w:rsidRDefault="00FB7D0B">
            <w:pPr>
              <w:jc w:val="right"/>
              <w:rPr>
                <w:rFonts w:ascii="Arial" w:eastAsia="Arial" w:hAnsi="Arial" w:cs="Arial"/>
                <w:color w:val="000000"/>
                <w:sz w:val="16"/>
                <w:szCs w:val="20"/>
              </w:rPr>
            </w:pPr>
            <w:r w:rsidRPr="000A2095">
              <w:rPr>
                <w:rFonts w:ascii="Arial" w:eastAsia="Arial" w:hAnsi="Arial" w:cs="Arial"/>
                <w:color w:val="000000"/>
                <w:sz w:val="16"/>
                <w:szCs w:val="20"/>
              </w:rPr>
              <w:t xml:space="preserve"> 43,512 </w:t>
            </w:r>
          </w:p>
        </w:tc>
        <w:tc>
          <w:tcPr>
            <w:tcW w:w="1110" w:type="dxa"/>
            <w:tcBorders>
              <w:top w:val="nil"/>
              <w:left w:val="nil"/>
              <w:bottom w:val="nil"/>
              <w:right w:val="nil"/>
              <w:tl2br w:val="nil"/>
              <w:tr2bl w:val="nil"/>
            </w:tcBorders>
            <w:shd w:val="clear" w:color="auto" w:fill="FFFFFF"/>
            <w:tcMar>
              <w:left w:w="101" w:type="dxa"/>
              <w:right w:w="101" w:type="dxa"/>
            </w:tcMar>
            <w:vAlign w:val="bottom"/>
          </w:tcPr>
          <w:p w14:paraId="21C2660F" w14:textId="77777777" w:rsidR="003F0EEA" w:rsidRPr="000A2095" w:rsidRDefault="00FB7D0B">
            <w:pPr>
              <w:jc w:val="right"/>
              <w:rPr>
                <w:rFonts w:ascii="Arial" w:eastAsia="Arial" w:hAnsi="Arial" w:cs="Arial"/>
                <w:color w:val="000000"/>
                <w:sz w:val="16"/>
                <w:szCs w:val="20"/>
              </w:rPr>
            </w:pPr>
            <w:r w:rsidRPr="000A2095">
              <w:rPr>
                <w:rFonts w:ascii="Arial" w:eastAsia="Arial" w:hAnsi="Arial" w:cs="Arial"/>
                <w:color w:val="000000"/>
                <w:sz w:val="16"/>
                <w:szCs w:val="20"/>
              </w:rPr>
              <w:t xml:space="preserve"> 43,512 </w:t>
            </w:r>
          </w:p>
        </w:tc>
      </w:tr>
      <w:tr w:rsidR="00FB7D0B" w14:paraId="07B74FCC" w14:textId="77777777" w:rsidTr="00FB7D0B">
        <w:trPr>
          <w:trHeight w:val="225"/>
        </w:trPr>
        <w:tc>
          <w:tcPr>
            <w:tcW w:w="180" w:type="dxa"/>
            <w:tcBorders>
              <w:top w:val="nil"/>
              <w:left w:val="nil"/>
              <w:bottom w:val="nil"/>
              <w:right w:val="nil"/>
              <w:tl2br w:val="nil"/>
              <w:tr2bl w:val="nil"/>
            </w:tcBorders>
            <w:shd w:val="clear" w:color="auto" w:fill="FFFFFF"/>
            <w:tcMar>
              <w:left w:w="101" w:type="dxa"/>
              <w:right w:w="101" w:type="dxa"/>
            </w:tcMar>
            <w:vAlign w:val="bottom"/>
          </w:tcPr>
          <w:p w14:paraId="4CB8E4E2" w14:textId="77777777" w:rsidR="003F0EEA" w:rsidRPr="000A2095" w:rsidRDefault="003F0EEA">
            <w:pPr>
              <w:rPr>
                <w:rFonts w:ascii="Arial" w:eastAsia="Arial" w:hAnsi="Arial" w:cs="Arial"/>
                <w:color w:val="000000"/>
                <w:sz w:val="16"/>
                <w:szCs w:val="20"/>
              </w:rPr>
            </w:pPr>
          </w:p>
        </w:tc>
        <w:tc>
          <w:tcPr>
            <w:tcW w:w="2250" w:type="dxa"/>
            <w:gridSpan w:val="2"/>
            <w:tcBorders>
              <w:top w:val="nil"/>
              <w:left w:val="nil"/>
              <w:bottom w:val="nil"/>
              <w:right w:val="nil"/>
              <w:tl2br w:val="nil"/>
              <w:tr2bl w:val="nil"/>
            </w:tcBorders>
            <w:shd w:val="clear" w:color="auto" w:fill="FFFFFF"/>
            <w:tcMar>
              <w:left w:w="101" w:type="dxa"/>
              <w:right w:w="101" w:type="dxa"/>
            </w:tcMar>
            <w:vAlign w:val="bottom"/>
          </w:tcPr>
          <w:p w14:paraId="6C319AA0" w14:textId="77777777" w:rsidR="003F0EEA" w:rsidRPr="000A2095" w:rsidRDefault="00FB7D0B">
            <w:pPr>
              <w:rPr>
                <w:rFonts w:ascii="Arial" w:eastAsia="Arial" w:hAnsi="Arial" w:cs="Arial"/>
                <w:color w:val="000000"/>
                <w:sz w:val="16"/>
                <w:szCs w:val="20"/>
              </w:rPr>
            </w:pPr>
            <w:r w:rsidRPr="000A2095">
              <w:rPr>
                <w:rFonts w:ascii="Arial" w:eastAsia="Arial" w:hAnsi="Arial" w:cs="Arial"/>
                <w:color w:val="000000"/>
                <w:sz w:val="16"/>
                <w:szCs w:val="20"/>
              </w:rPr>
              <w:t>Other</w:t>
            </w:r>
          </w:p>
        </w:tc>
        <w:tc>
          <w:tcPr>
            <w:tcW w:w="1110"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4605D4E0" w14:textId="77777777" w:rsidR="003F0EEA" w:rsidRPr="000A2095" w:rsidRDefault="00FB7D0B">
            <w:pPr>
              <w:jc w:val="right"/>
              <w:rPr>
                <w:rFonts w:ascii="Arial" w:eastAsia="Arial" w:hAnsi="Arial" w:cs="Arial"/>
                <w:color w:val="000000"/>
                <w:sz w:val="16"/>
                <w:szCs w:val="20"/>
              </w:rPr>
            </w:pPr>
            <w:r w:rsidRPr="000A2095">
              <w:rPr>
                <w:rFonts w:ascii="Arial" w:eastAsia="Arial" w:hAnsi="Arial" w:cs="Arial"/>
                <w:color w:val="000000"/>
                <w:sz w:val="16"/>
                <w:szCs w:val="20"/>
              </w:rPr>
              <w:t xml:space="preserve"> 9,471 </w:t>
            </w:r>
          </w:p>
        </w:tc>
        <w:tc>
          <w:tcPr>
            <w:tcW w:w="1110" w:type="dxa"/>
            <w:tcBorders>
              <w:top w:val="nil"/>
              <w:left w:val="nil"/>
              <w:bottom w:val="single" w:sz="6" w:space="0" w:color="000000"/>
              <w:right w:val="nil"/>
              <w:tl2br w:val="nil"/>
              <w:tr2bl w:val="nil"/>
            </w:tcBorders>
            <w:shd w:val="clear" w:color="auto" w:fill="FFFF00"/>
            <w:tcMar>
              <w:left w:w="101" w:type="dxa"/>
              <w:right w:w="101" w:type="dxa"/>
            </w:tcMar>
            <w:vAlign w:val="bottom"/>
          </w:tcPr>
          <w:p w14:paraId="68C46CD0" w14:textId="77777777" w:rsidR="003F0EEA" w:rsidRPr="000A2095" w:rsidRDefault="00FB7D0B">
            <w:pPr>
              <w:jc w:val="right"/>
              <w:rPr>
                <w:rFonts w:ascii="Arial" w:eastAsia="Arial" w:hAnsi="Arial" w:cs="Arial"/>
                <w:color w:val="000000"/>
                <w:sz w:val="16"/>
                <w:szCs w:val="20"/>
              </w:rPr>
            </w:pPr>
            <w:r w:rsidRPr="000A2095">
              <w:rPr>
                <w:rFonts w:ascii="Arial" w:eastAsia="Arial" w:hAnsi="Arial" w:cs="Arial"/>
                <w:color w:val="000000"/>
                <w:sz w:val="16"/>
                <w:szCs w:val="20"/>
              </w:rPr>
              <w:t xml:space="preserve"> 9,471 </w:t>
            </w:r>
          </w:p>
        </w:tc>
        <w:tc>
          <w:tcPr>
            <w:tcW w:w="1110"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528F66CA" w14:textId="77777777" w:rsidR="003F0EEA" w:rsidRPr="000A2095" w:rsidRDefault="00FB7D0B">
            <w:pPr>
              <w:jc w:val="right"/>
              <w:rPr>
                <w:rFonts w:ascii="Arial" w:eastAsia="Arial" w:hAnsi="Arial" w:cs="Arial"/>
                <w:color w:val="000000"/>
                <w:sz w:val="16"/>
                <w:szCs w:val="20"/>
              </w:rPr>
            </w:pPr>
            <w:r w:rsidRPr="000A2095">
              <w:rPr>
                <w:rFonts w:ascii="Arial" w:eastAsia="Arial" w:hAnsi="Arial" w:cs="Arial"/>
                <w:color w:val="000000"/>
                <w:sz w:val="16"/>
                <w:szCs w:val="20"/>
              </w:rPr>
              <w:t xml:space="preserve"> 9,471 </w:t>
            </w:r>
          </w:p>
        </w:tc>
        <w:tc>
          <w:tcPr>
            <w:tcW w:w="1110"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62673D8E" w14:textId="77777777" w:rsidR="003F0EEA" w:rsidRPr="000A2095" w:rsidRDefault="00FB7D0B">
            <w:pPr>
              <w:jc w:val="right"/>
              <w:rPr>
                <w:rFonts w:ascii="Arial" w:eastAsia="Arial" w:hAnsi="Arial" w:cs="Arial"/>
                <w:color w:val="000000"/>
                <w:sz w:val="16"/>
                <w:szCs w:val="20"/>
              </w:rPr>
            </w:pPr>
            <w:r w:rsidRPr="000A2095">
              <w:rPr>
                <w:rFonts w:ascii="Arial" w:eastAsia="Arial" w:hAnsi="Arial" w:cs="Arial"/>
                <w:color w:val="000000"/>
                <w:sz w:val="16"/>
                <w:szCs w:val="20"/>
              </w:rPr>
              <w:t xml:space="preserve"> 9,471 </w:t>
            </w:r>
          </w:p>
        </w:tc>
        <w:tc>
          <w:tcPr>
            <w:tcW w:w="1110"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2DB15930" w14:textId="77777777" w:rsidR="003F0EEA" w:rsidRPr="000A2095" w:rsidRDefault="00FB7D0B">
            <w:pPr>
              <w:jc w:val="right"/>
              <w:rPr>
                <w:rFonts w:ascii="Arial" w:eastAsia="Arial" w:hAnsi="Arial" w:cs="Arial"/>
                <w:color w:val="000000"/>
                <w:sz w:val="16"/>
                <w:szCs w:val="20"/>
              </w:rPr>
            </w:pPr>
            <w:r w:rsidRPr="000A2095">
              <w:rPr>
                <w:rFonts w:ascii="Arial" w:eastAsia="Arial" w:hAnsi="Arial" w:cs="Arial"/>
                <w:color w:val="000000"/>
                <w:sz w:val="16"/>
                <w:szCs w:val="20"/>
              </w:rPr>
              <w:t xml:space="preserve"> 9,471 </w:t>
            </w:r>
          </w:p>
        </w:tc>
      </w:tr>
      <w:tr w:rsidR="00FB7D0B" w14:paraId="13B8613A" w14:textId="77777777" w:rsidTr="00FB7D0B">
        <w:trPr>
          <w:trHeight w:val="225"/>
        </w:trPr>
        <w:tc>
          <w:tcPr>
            <w:tcW w:w="2430" w:type="dxa"/>
            <w:gridSpan w:val="3"/>
            <w:tcBorders>
              <w:top w:val="nil"/>
              <w:left w:val="nil"/>
              <w:bottom w:val="nil"/>
              <w:right w:val="nil"/>
              <w:tl2br w:val="nil"/>
              <w:tr2bl w:val="nil"/>
            </w:tcBorders>
            <w:shd w:val="clear" w:color="auto" w:fill="FFFFFF"/>
            <w:tcMar>
              <w:left w:w="101" w:type="dxa"/>
              <w:right w:w="101" w:type="dxa"/>
            </w:tcMar>
            <w:vAlign w:val="bottom"/>
          </w:tcPr>
          <w:p w14:paraId="1E7CF1EB" w14:textId="77777777" w:rsidR="003F0EEA" w:rsidRPr="000A2095" w:rsidRDefault="00FB7D0B">
            <w:pPr>
              <w:rPr>
                <w:rFonts w:ascii="Arial" w:eastAsia="Arial" w:hAnsi="Arial" w:cs="Arial"/>
                <w:color w:val="000000"/>
                <w:sz w:val="16"/>
                <w:szCs w:val="20"/>
              </w:rPr>
            </w:pPr>
            <w:r w:rsidRPr="000A2095">
              <w:rPr>
                <w:rFonts w:ascii="Arial" w:eastAsia="Arial" w:hAnsi="Arial" w:cs="Arial"/>
                <w:b/>
                <w:i/>
                <w:color w:val="000000"/>
                <w:sz w:val="16"/>
                <w:szCs w:val="20"/>
              </w:rPr>
              <w:t>Total cash received</w:t>
            </w:r>
          </w:p>
        </w:tc>
        <w:tc>
          <w:tcPr>
            <w:tcW w:w="1110"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3A598FAD" w14:textId="77777777" w:rsidR="003F0EEA" w:rsidRPr="000A2095" w:rsidRDefault="00FB7D0B">
            <w:pPr>
              <w:jc w:val="right"/>
              <w:rPr>
                <w:rFonts w:ascii="Arial" w:eastAsia="Arial" w:hAnsi="Arial" w:cs="Arial"/>
                <w:b/>
                <w:i/>
                <w:color w:val="000000"/>
                <w:sz w:val="16"/>
                <w:szCs w:val="20"/>
              </w:rPr>
            </w:pPr>
            <w:r w:rsidRPr="000A2095">
              <w:rPr>
                <w:rFonts w:ascii="Arial" w:eastAsia="Arial" w:hAnsi="Arial" w:cs="Arial"/>
                <w:b/>
                <w:color w:val="000000"/>
                <w:sz w:val="16"/>
                <w:szCs w:val="20"/>
              </w:rPr>
              <w:t xml:space="preserve"> 52,983 </w:t>
            </w:r>
          </w:p>
        </w:tc>
        <w:tc>
          <w:tcPr>
            <w:tcW w:w="1110" w:type="dxa"/>
            <w:tcBorders>
              <w:top w:val="single" w:sz="6" w:space="0" w:color="000000"/>
              <w:left w:val="nil"/>
              <w:bottom w:val="single" w:sz="6" w:space="0" w:color="000000"/>
              <w:right w:val="nil"/>
              <w:tl2br w:val="nil"/>
              <w:tr2bl w:val="nil"/>
            </w:tcBorders>
            <w:shd w:val="clear" w:color="auto" w:fill="FFFF00"/>
            <w:tcMar>
              <w:left w:w="101" w:type="dxa"/>
              <w:right w:w="101" w:type="dxa"/>
            </w:tcMar>
            <w:vAlign w:val="bottom"/>
          </w:tcPr>
          <w:p w14:paraId="18E9A862" w14:textId="77777777" w:rsidR="003F0EEA" w:rsidRPr="000A2095" w:rsidRDefault="00FB7D0B">
            <w:pPr>
              <w:jc w:val="right"/>
              <w:rPr>
                <w:rFonts w:ascii="Arial" w:eastAsia="Arial" w:hAnsi="Arial" w:cs="Arial"/>
                <w:b/>
                <w:color w:val="000000"/>
                <w:sz w:val="16"/>
                <w:szCs w:val="20"/>
              </w:rPr>
            </w:pPr>
            <w:r w:rsidRPr="000A2095">
              <w:rPr>
                <w:rFonts w:ascii="Arial" w:eastAsia="Arial" w:hAnsi="Arial" w:cs="Arial"/>
                <w:b/>
                <w:color w:val="000000"/>
                <w:sz w:val="16"/>
                <w:szCs w:val="20"/>
              </w:rPr>
              <w:t xml:space="preserve"> 52,983 </w:t>
            </w:r>
          </w:p>
        </w:tc>
        <w:tc>
          <w:tcPr>
            <w:tcW w:w="1110"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56ED647C" w14:textId="77777777" w:rsidR="003F0EEA" w:rsidRPr="000A2095" w:rsidRDefault="00FB7D0B">
            <w:pPr>
              <w:jc w:val="right"/>
              <w:rPr>
                <w:rFonts w:ascii="Arial" w:eastAsia="Arial" w:hAnsi="Arial" w:cs="Arial"/>
                <w:b/>
                <w:color w:val="000000"/>
                <w:sz w:val="16"/>
                <w:szCs w:val="20"/>
              </w:rPr>
            </w:pPr>
            <w:r w:rsidRPr="000A2095">
              <w:rPr>
                <w:rFonts w:ascii="Arial" w:eastAsia="Arial" w:hAnsi="Arial" w:cs="Arial"/>
                <w:b/>
                <w:color w:val="000000"/>
                <w:sz w:val="16"/>
                <w:szCs w:val="20"/>
              </w:rPr>
              <w:t xml:space="preserve"> 52,983 </w:t>
            </w:r>
          </w:p>
        </w:tc>
        <w:tc>
          <w:tcPr>
            <w:tcW w:w="1110"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6C34BB51" w14:textId="77777777" w:rsidR="003F0EEA" w:rsidRPr="000A2095" w:rsidRDefault="00FB7D0B">
            <w:pPr>
              <w:jc w:val="right"/>
              <w:rPr>
                <w:rFonts w:ascii="Arial" w:eastAsia="Arial" w:hAnsi="Arial" w:cs="Arial"/>
                <w:b/>
                <w:color w:val="000000"/>
                <w:sz w:val="16"/>
                <w:szCs w:val="20"/>
              </w:rPr>
            </w:pPr>
            <w:r w:rsidRPr="000A2095">
              <w:rPr>
                <w:rFonts w:ascii="Arial" w:eastAsia="Arial" w:hAnsi="Arial" w:cs="Arial"/>
                <w:b/>
                <w:color w:val="000000"/>
                <w:sz w:val="16"/>
                <w:szCs w:val="20"/>
              </w:rPr>
              <w:t xml:space="preserve"> 52,983 </w:t>
            </w:r>
          </w:p>
        </w:tc>
        <w:tc>
          <w:tcPr>
            <w:tcW w:w="1110"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3E02FD33" w14:textId="77777777" w:rsidR="003F0EEA" w:rsidRPr="000A2095" w:rsidRDefault="00FB7D0B">
            <w:pPr>
              <w:jc w:val="right"/>
              <w:rPr>
                <w:rFonts w:ascii="Arial" w:eastAsia="Arial" w:hAnsi="Arial" w:cs="Arial"/>
                <w:b/>
                <w:color w:val="000000"/>
                <w:sz w:val="16"/>
                <w:szCs w:val="20"/>
              </w:rPr>
            </w:pPr>
            <w:r w:rsidRPr="000A2095">
              <w:rPr>
                <w:rFonts w:ascii="Arial" w:eastAsia="Arial" w:hAnsi="Arial" w:cs="Arial"/>
                <w:b/>
                <w:color w:val="000000"/>
                <w:sz w:val="16"/>
                <w:szCs w:val="20"/>
              </w:rPr>
              <w:t xml:space="preserve"> 52,983 </w:t>
            </w:r>
          </w:p>
        </w:tc>
      </w:tr>
      <w:tr w:rsidR="00724034" w14:paraId="23F1887C" w14:textId="77777777">
        <w:trPr>
          <w:trHeight w:hRule="exact" w:val="60"/>
        </w:trPr>
        <w:tc>
          <w:tcPr>
            <w:tcW w:w="180" w:type="dxa"/>
            <w:tcBorders>
              <w:top w:val="nil"/>
              <w:left w:val="nil"/>
              <w:bottom w:val="nil"/>
              <w:right w:val="nil"/>
              <w:tl2br w:val="nil"/>
              <w:tr2bl w:val="nil"/>
            </w:tcBorders>
            <w:shd w:val="clear" w:color="auto" w:fill="FFFFFF"/>
            <w:tcMar>
              <w:left w:w="101" w:type="dxa"/>
              <w:right w:w="101" w:type="dxa"/>
            </w:tcMar>
            <w:vAlign w:val="bottom"/>
          </w:tcPr>
          <w:p w14:paraId="23769D6D" w14:textId="77777777" w:rsidR="003F0EEA" w:rsidRPr="000A2095" w:rsidRDefault="003F0EEA">
            <w:pPr>
              <w:rPr>
                <w:rFonts w:ascii="Arial" w:eastAsia="Arial" w:hAnsi="Arial" w:cs="Arial"/>
                <w:b/>
                <w:color w:val="000000"/>
                <w:sz w:val="16"/>
                <w:szCs w:val="20"/>
              </w:rPr>
            </w:pPr>
          </w:p>
        </w:tc>
        <w:tc>
          <w:tcPr>
            <w:tcW w:w="180" w:type="dxa"/>
            <w:tcBorders>
              <w:top w:val="nil"/>
              <w:left w:val="nil"/>
              <w:bottom w:val="nil"/>
              <w:right w:val="nil"/>
              <w:tl2br w:val="nil"/>
              <w:tr2bl w:val="nil"/>
            </w:tcBorders>
            <w:shd w:val="clear" w:color="auto" w:fill="FFFFFF"/>
            <w:tcMar>
              <w:left w:w="101" w:type="dxa"/>
              <w:right w:w="101" w:type="dxa"/>
            </w:tcMar>
            <w:vAlign w:val="bottom"/>
          </w:tcPr>
          <w:p w14:paraId="188230A6" w14:textId="77777777" w:rsidR="003F0EEA" w:rsidRPr="000A2095" w:rsidRDefault="003F0EEA">
            <w:pPr>
              <w:rPr>
                <w:rFonts w:ascii="Arial" w:eastAsia="Arial" w:hAnsi="Arial" w:cs="Arial"/>
                <w:color w:val="000000"/>
                <w:sz w:val="16"/>
                <w:szCs w:val="20"/>
              </w:rPr>
            </w:pPr>
          </w:p>
        </w:tc>
        <w:tc>
          <w:tcPr>
            <w:tcW w:w="2070" w:type="dxa"/>
            <w:tcBorders>
              <w:top w:val="nil"/>
              <w:left w:val="nil"/>
              <w:bottom w:val="nil"/>
              <w:right w:val="nil"/>
              <w:tl2br w:val="nil"/>
              <w:tr2bl w:val="nil"/>
            </w:tcBorders>
            <w:shd w:val="clear" w:color="auto" w:fill="FFFFFF"/>
            <w:tcMar>
              <w:left w:w="101" w:type="dxa"/>
              <w:right w:w="101" w:type="dxa"/>
            </w:tcMar>
            <w:vAlign w:val="bottom"/>
          </w:tcPr>
          <w:p w14:paraId="5590FFCF" w14:textId="77777777" w:rsidR="003F0EEA" w:rsidRPr="000A2095" w:rsidRDefault="003F0EEA">
            <w:pPr>
              <w:rPr>
                <w:rFonts w:ascii="Arial" w:eastAsia="Arial" w:hAnsi="Arial" w:cs="Arial"/>
                <w:color w:val="000000"/>
                <w:sz w:val="16"/>
                <w:szCs w:val="20"/>
              </w:rPr>
            </w:pPr>
          </w:p>
        </w:tc>
        <w:tc>
          <w:tcPr>
            <w:tcW w:w="1110"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36B2882F" w14:textId="77777777" w:rsidR="003F0EEA" w:rsidRPr="000A2095" w:rsidRDefault="003F0EEA">
            <w:pPr>
              <w:rPr>
                <w:rFonts w:ascii="Arial" w:eastAsia="Arial" w:hAnsi="Arial" w:cs="Arial"/>
                <w:b/>
                <w:color w:val="000000"/>
                <w:sz w:val="16"/>
                <w:szCs w:val="20"/>
              </w:rPr>
            </w:pPr>
          </w:p>
        </w:tc>
        <w:tc>
          <w:tcPr>
            <w:tcW w:w="1110" w:type="dxa"/>
            <w:tcBorders>
              <w:top w:val="single" w:sz="6" w:space="0" w:color="000000"/>
              <w:left w:val="nil"/>
              <w:bottom w:val="nil"/>
              <w:right w:val="nil"/>
              <w:tl2br w:val="nil"/>
              <w:tr2bl w:val="nil"/>
            </w:tcBorders>
            <w:shd w:val="clear" w:color="auto" w:fill="FFFF00"/>
            <w:tcMar>
              <w:left w:w="101" w:type="dxa"/>
              <w:right w:w="101" w:type="dxa"/>
            </w:tcMar>
            <w:vAlign w:val="bottom"/>
          </w:tcPr>
          <w:p w14:paraId="7A1F40B2" w14:textId="77777777" w:rsidR="003F0EEA" w:rsidRPr="000A2095" w:rsidRDefault="003F0EEA">
            <w:pPr>
              <w:rPr>
                <w:rFonts w:ascii="Arial" w:eastAsia="Arial" w:hAnsi="Arial" w:cs="Arial"/>
                <w:color w:val="000000"/>
                <w:sz w:val="16"/>
                <w:szCs w:val="20"/>
              </w:rPr>
            </w:pPr>
          </w:p>
        </w:tc>
        <w:tc>
          <w:tcPr>
            <w:tcW w:w="1110"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1C01F3C3" w14:textId="77777777" w:rsidR="003F0EEA" w:rsidRPr="000A2095" w:rsidRDefault="003F0EEA">
            <w:pPr>
              <w:rPr>
                <w:rFonts w:ascii="Arial" w:eastAsia="Arial" w:hAnsi="Arial" w:cs="Arial"/>
                <w:color w:val="000000"/>
                <w:sz w:val="16"/>
                <w:szCs w:val="20"/>
              </w:rPr>
            </w:pPr>
          </w:p>
        </w:tc>
        <w:tc>
          <w:tcPr>
            <w:tcW w:w="1110"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11F14680" w14:textId="77777777" w:rsidR="003F0EEA" w:rsidRPr="000A2095" w:rsidRDefault="003F0EEA">
            <w:pPr>
              <w:rPr>
                <w:rFonts w:ascii="Arial" w:eastAsia="Arial" w:hAnsi="Arial" w:cs="Arial"/>
                <w:color w:val="000000"/>
                <w:sz w:val="16"/>
                <w:szCs w:val="20"/>
              </w:rPr>
            </w:pPr>
          </w:p>
        </w:tc>
        <w:tc>
          <w:tcPr>
            <w:tcW w:w="1110"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702A5AFD" w14:textId="77777777" w:rsidR="003F0EEA" w:rsidRPr="000A2095" w:rsidRDefault="003F0EEA">
            <w:pPr>
              <w:rPr>
                <w:rFonts w:ascii="Arial" w:eastAsia="Arial" w:hAnsi="Arial" w:cs="Arial"/>
                <w:color w:val="000000"/>
                <w:sz w:val="16"/>
                <w:szCs w:val="20"/>
              </w:rPr>
            </w:pPr>
          </w:p>
        </w:tc>
      </w:tr>
      <w:tr w:rsidR="00FB7D0B" w14:paraId="3878B516" w14:textId="77777777" w:rsidTr="00FB7D0B">
        <w:trPr>
          <w:trHeight w:val="225"/>
        </w:trPr>
        <w:tc>
          <w:tcPr>
            <w:tcW w:w="2430" w:type="dxa"/>
            <w:gridSpan w:val="3"/>
            <w:tcBorders>
              <w:top w:val="nil"/>
              <w:left w:val="nil"/>
              <w:bottom w:val="nil"/>
              <w:right w:val="nil"/>
              <w:tl2br w:val="nil"/>
              <w:tr2bl w:val="nil"/>
            </w:tcBorders>
            <w:shd w:val="clear" w:color="auto" w:fill="FFFFFF"/>
            <w:tcMar>
              <w:left w:w="101" w:type="dxa"/>
              <w:right w:w="101" w:type="dxa"/>
            </w:tcMar>
            <w:vAlign w:val="bottom"/>
          </w:tcPr>
          <w:p w14:paraId="040DB82B" w14:textId="77777777" w:rsidR="003F0EEA" w:rsidRPr="000A2095" w:rsidRDefault="00FB7D0B">
            <w:pPr>
              <w:rPr>
                <w:rFonts w:ascii="Arial" w:eastAsia="Arial" w:hAnsi="Arial" w:cs="Arial"/>
                <w:color w:val="000000"/>
                <w:sz w:val="16"/>
                <w:szCs w:val="20"/>
              </w:rPr>
            </w:pPr>
            <w:r w:rsidRPr="000A2095">
              <w:rPr>
                <w:rFonts w:ascii="Arial" w:eastAsia="Arial" w:hAnsi="Arial" w:cs="Arial"/>
                <w:b/>
                <w:color w:val="000000"/>
                <w:sz w:val="16"/>
                <w:szCs w:val="20"/>
              </w:rPr>
              <w:t>Cash used</w:t>
            </w:r>
          </w:p>
        </w:tc>
        <w:tc>
          <w:tcPr>
            <w:tcW w:w="1110" w:type="dxa"/>
            <w:tcBorders>
              <w:top w:val="nil"/>
              <w:left w:val="nil"/>
              <w:bottom w:val="nil"/>
              <w:right w:val="nil"/>
              <w:tl2br w:val="nil"/>
              <w:tr2bl w:val="nil"/>
            </w:tcBorders>
            <w:shd w:val="clear" w:color="auto" w:fill="FFFFFF"/>
            <w:tcMar>
              <w:left w:w="101" w:type="dxa"/>
              <w:right w:w="101" w:type="dxa"/>
            </w:tcMar>
            <w:vAlign w:val="bottom"/>
          </w:tcPr>
          <w:p w14:paraId="1D5F092A" w14:textId="77777777" w:rsidR="003F0EEA" w:rsidRPr="000A2095" w:rsidRDefault="003F0EEA">
            <w:pPr>
              <w:rPr>
                <w:rFonts w:ascii="Arial" w:eastAsia="Arial" w:hAnsi="Arial" w:cs="Arial"/>
                <w:b/>
                <w:color w:val="000000"/>
                <w:sz w:val="16"/>
                <w:szCs w:val="20"/>
              </w:rPr>
            </w:pPr>
          </w:p>
        </w:tc>
        <w:tc>
          <w:tcPr>
            <w:tcW w:w="1110" w:type="dxa"/>
            <w:tcBorders>
              <w:top w:val="nil"/>
              <w:left w:val="nil"/>
              <w:bottom w:val="nil"/>
              <w:right w:val="nil"/>
              <w:tl2br w:val="nil"/>
              <w:tr2bl w:val="nil"/>
            </w:tcBorders>
            <w:shd w:val="clear" w:color="auto" w:fill="FFFF00"/>
            <w:tcMar>
              <w:left w:w="101" w:type="dxa"/>
              <w:right w:w="101" w:type="dxa"/>
            </w:tcMar>
            <w:vAlign w:val="bottom"/>
          </w:tcPr>
          <w:p w14:paraId="61EF44EE" w14:textId="77777777" w:rsidR="003F0EEA" w:rsidRPr="000A2095" w:rsidRDefault="003F0EEA">
            <w:pPr>
              <w:rPr>
                <w:rFonts w:ascii="Arial" w:eastAsia="Arial" w:hAnsi="Arial" w:cs="Arial"/>
                <w:color w:val="000000"/>
                <w:sz w:val="16"/>
                <w:szCs w:val="20"/>
              </w:rPr>
            </w:pPr>
          </w:p>
        </w:tc>
        <w:tc>
          <w:tcPr>
            <w:tcW w:w="1110" w:type="dxa"/>
            <w:tcBorders>
              <w:top w:val="nil"/>
              <w:left w:val="nil"/>
              <w:bottom w:val="nil"/>
              <w:right w:val="nil"/>
              <w:tl2br w:val="nil"/>
              <w:tr2bl w:val="nil"/>
            </w:tcBorders>
            <w:shd w:val="clear" w:color="auto" w:fill="FFFFFF"/>
            <w:tcMar>
              <w:left w:w="101" w:type="dxa"/>
              <w:right w:w="101" w:type="dxa"/>
            </w:tcMar>
            <w:vAlign w:val="bottom"/>
          </w:tcPr>
          <w:p w14:paraId="333452E7" w14:textId="77777777" w:rsidR="003F0EEA" w:rsidRPr="000A2095" w:rsidRDefault="003F0EEA">
            <w:pPr>
              <w:rPr>
                <w:rFonts w:ascii="Arial" w:eastAsia="Arial" w:hAnsi="Arial" w:cs="Arial"/>
                <w:color w:val="000000"/>
                <w:sz w:val="16"/>
                <w:szCs w:val="20"/>
              </w:rPr>
            </w:pPr>
          </w:p>
        </w:tc>
        <w:tc>
          <w:tcPr>
            <w:tcW w:w="1110" w:type="dxa"/>
            <w:tcBorders>
              <w:top w:val="nil"/>
              <w:left w:val="nil"/>
              <w:bottom w:val="nil"/>
              <w:right w:val="nil"/>
              <w:tl2br w:val="nil"/>
              <w:tr2bl w:val="nil"/>
            </w:tcBorders>
            <w:shd w:val="clear" w:color="auto" w:fill="FFFFFF"/>
            <w:tcMar>
              <w:left w:w="101" w:type="dxa"/>
              <w:right w:w="101" w:type="dxa"/>
            </w:tcMar>
            <w:vAlign w:val="bottom"/>
          </w:tcPr>
          <w:p w14:paraId="795D25BB" w14:textId="77777777" w:rsidR="003F0EEA" w:rsidRPr="000A2095" w:rsidRDefault="003F0EEA">
            <w:pPr>
              <w:rPr>
                <w:rFonts w:ascii="Arial" w:eastAsia="Arial" w:hAnsi="Arial" w:cs="Arial"/>
                <w:color w:val="000000"/>
                <w:sz w:val="16"/>
                <w:szCs w:val="20"/>
              </w:rPr>
            </w:pPr>
          </w:p>
        </w:tc>
        <w:tc>
          <w:tcPr>
            <w:tcW w:w="1110" w:type="dxa"/>
            <w:tcBorders>
              <w:top w:val="nil"/>
              <w:left w:val="nil"/>
              <w:bottom w:val="nil"/>
              <w:right w:val="nil"/>
              <w:tl2br w:val="nil"/>
              <w:tr2bl w:val="nil"/>
            </w:tcBorders>
            <w:shd w:val="clear" w:color="auto" w:fill="FFFFFF"/>
            <w:tcMar>
              <w:left w:w="101" w:type="dxa"/>
              <w:right w:w="101" w:type="dxa"/>
            </w:tcMar>
            <w:vAlign w:val="bottom"/>
          </w:tcPr>
          <w:p w14:paraId="057D7185" w14:textId="77777777" w:rsidR="003F0EEA" w:rsidRPr="000A2095" w:rsidRDefault="003F0EEA">
            <w:pPr>
              <w:rPr>
                <w:rFonts w:ascii="Arial" w:eastAsia="Arial" w:hAnsi="Arial" w:cs="Arial"/>
                <w:color w:val="000000"/>
                <w:sz w:val="16"/>
                <w:szCs w:val="20"/>
              </w:rPr>
            </w:pPr>
          </w:p>
        </w:tc>
      </w:tr>
      <w:tr w:rsidR="00FB7D0B" w14:paraId="1D7A611D" w14:textId="77777777" w:rsidTr="00FB7D0B">
        <w:trPr>
          <w:trHeight w:val="225"/>
        </w:trPr>
        <w:tc>
          <w:tcPr>
            <w:tcW w:w="180" w:type="dxa"/>
            <w:tcBorders>
              <w:top w:val="nil"/>
              <w:left w:val="nil"/>
              <w:bottom w:val="nil"/>
              <w:right w:val="nil"/>
              <w:tl2br w:val="nil"/>
              <w:tr2bl w:val="nil"/>
            </w:tcBorders>
            <w:shd w:val="clear" w:color="auto" w:fill="FFFFFF"/>
            <w:tcMar>
              <w:left w:w="101" w:type="dxa"/>
              <w:right w:w="101" w:type="dxa"/>
            </w:tcMar>
            <w:vAlign w:val="bottom"/>
          </w:tcPr>
          <w:p w14:paraId="09C7E88F" w14:textId="77777777" w:rsidR="003F0EEA" w:rsidRPr="000A2095" w:rsidRDefault="003F0EEA">
            <w:pPr>
              <w:rPr>
                <w:rFonts w:ascii="Arial" w:eastAsia="Arial" w:hAnsi="Arial" w:cs="Arial"/>
                <w:color w:val="000000"/>
                <w:sz w:val="16"/>
                <w:szCs w:val="20"/>
              </w:rPr>
            </w:pPr>
          </w:p>
        </w:tc>
        <w:tc>
          <w:tcPr>
            <w:tcW w:w="2250" w:type="dxa"/>
            <w:gridSpan w:val="2"/>
            <w:vMerge w:val="restart"/>
            <w:tcBorders>
              <w:top w:val="nil"/>
              <w:left w:val="nil"/>
              <w:bottom w:val="nil"/>
              <w:right w:val="nil"/>
              <w:tl2br w:val="nil"/>
              <w:tr2bl w:val="nil"/>
            </w:tcBorders>
            <w:shd w:val="clear" w:color="auto" w:fill="FFFFFF"/>
            <w:tcMar>
              <w:left w:w="101" w:type="dxa"/>
              <w:right w:w="101" w:type="dxa"/>
            </w:tcMar>
            <w:vAlign w:val="bottom"/>
          </w:tcPr>
          <w:p w14:paraId="55316813" w14:textId="77777777" w:rsidR="003F0EEA" w:rsidRPr="000A2095" w:rsidRDefault="00FB7D0B">
            <w:pPr>
              <w:rPr>
                <w:rFonts w:ascii="Arial" w:eastAsia="Arial" w:hAnsi="Arial" w:cs="Arial"/>
                <w:color w:val="000000"/>
                <w:sz w:val="16"/>
                <w:szCs w:val="20"/>
              </w:rPr>
            </w:pPr>
            <w:r w:rsidRPr="000A2095">
              <w:rPr>
                <w:rFonts w:ascii="Arial" w:eastAsia="Arial" w:hAnsi="Arial" w:cs="Arial"/>
                <w:color w:val="000000"/>
                <w:sz w:val="16"/>
                <w:szCs w:val="20"/>
              </w:rPr>
              <w:t>Personal benefits</w:t>
            </w:r>
          </w:p>
        </w:tc>
        <w:tc>
          <w:tcPr>
            <w:tcW w:w="1110" w:type="dxa"/>
            <w:tcBorders>
              <w:top w:val="nil"/>
              <w:left w:val="nil"/>
              <w:bottom w:val="nil"/>
              <w:right w:val="nil"/>
              <w:tl2br w:val="nil"/>
              <w:tr2bl w:val="nil"/>
            </w:tcBorders>
            <w:shd w:val="clear" w:color="auto" w:fill="FFFFFF"/>
            <w:tcMar>
              <w:left w:w="101" w:type="dxa"/>
              <w:right w:w="101" w:type="dxa"/>
            </w:tcMar>
            <w:vAlign w:val="bottom"/>
          </w:tcPr>
          <w:p w14:paraId="63728E98" w14:textId="77777777" w:rsidR="003F0EEA" w:rsidRPr="000A2095" w:rsidRDefault="00FB7D0B">
            <w:pPr>
              <w:jc w:val="right"/>
              <w:rPr>
                <w:rFonts w:ascii="Arial" w:eastAsia="Arial" w:hAnsi="Arial" w:cs="Arial"/>
                <w:color w:val="000000"/>
                <w:sz w:val="16"/>
                <w:szCs w:val="20"/>
              </w:rPr>
            </w:pPr>
            <w:r w:rsidRPr="000A2095">
              <w:rPr>
                <w:rFonts w:ascii="Arial" w:eastAsia="Arial" w:hAnsi="Arial" w:cs="Arial"/>
                <w:color w:val="000000"/>
                <w:sz w:val="16"/>
                <w:szCs w:val="20"/>
              </w:rPr>
              <w:t xml:space="preserve"> 6,583,362 </w:t>
            </w:r>
          </w:p>
        </w:tc>
        <w:tc>
          <w:tcPr>
            <w:tcW w:w="1110" w:type="dxa"/>
            <w:tcBorders>
              <w:top w:val="nil"/>
              <w:left w:val="nil"/>
              <w:bottom w:val="nil"/>
              <w:right w:val="nil"/>
              <w:tl2br w:val="nil"/>
              <w:tr2bl w:val="nil"/>
            </w:tcBorders>
            <w:shd w:val="clear" w:color="auto" w:fill="FFFF00"/>
            <w:tcMar>
              <w:left w:w="101" w:type="dxa"/>
              <w:right w:w="101" w:type="dxa"/>
            </w:tcMar>
            <w:vAlign w:val="bottom"/>
          </w:tcPr>
          <w:p w14:paraId="3CD55A6D" w14:textId="77777777" w:rsidR="003F0EEA" w:rsidRPr="000A2095" w:rsidRDefault="00FB7D0B">
            <w:pPr>
              <w:jc w:val="right"/>
              <w:rPr>
                <w:rFonts w:ascii="Arial" w:eastAsia="Arial" w:hAnsi="Arial" w:cs="Arial"/>
                <w:color w:val="000000"/>
                <w:sz w:val="16"/>
                <w:szCs w:val="20"/>
              </w:rPr>
            </w:pPr>
            <w:r w:rsidRPr="000A2095">
              <w:rPr>
                <w:rFonts w:ascii="Arial" w:eastAsia="Arial" w:hAnsi="Arial" w:cs="Arial"/>
                <w:color w:val="000000"/>
                <w:sz w:val="16"/>
                <w:szCs w:val="20"/>
              </w:rPr>
              <w:t xml:space="preserve"> 6,464,419 </w:t>
            </w:r>
          </w:p>
        </w:tc>
        <w:tc>
          <w:tcPr>
            <w:tcW w:w="1110" w:type="dxa"/>
            <w:tcBorders>
              <w:top w:val="nil"/>
              <w:left w:val="nil"/>
              <w:bottom w:val="nil"/>
              <w:right w:val="nil"/>
              <w:tl2br w:val="nil"/>
              <w:tr2bl w:val="nil"/>
            </w:tcBorders>
            <w:shd w:val="clear" w:color="auto" w:fill="FFFFFF"/>
            <w:tcMar>
              <w:left w:w="101" w:type="dxa"/>
              <w:right w:w="101" w:type="dxa"/>
            </w:tcMar>
            <w:vAlign w:val="bottom"/>
          </w:tcPr>
          <w:p w14:paraId="5FFACF14" w14:textId="77777777" w:rsidR="003F0EEA" w:rsidRPr="000A2095" w:rsidRDefault="00FB7D0B">
            <w:pPr>
              <w:jc w:val="right"/>
              <w:rPr>
                <w:rFonts w:ascii="Arial" w:eastAsia="Arial" w:hAnsi="Arial" w:cs="Arial"/>
                <w:color w:val="000000"/>
                <w:sz w:val="16"/>
                <w:szCs w:val="20"/>
              </w:rPr>
            </w:pPr>
            <w:r w:rsidRPr="000A2095">
              <w:rPr>
                <w:rFonts w:ascii="Arial" w:eastAsia="Arial" w:hAnsi="Arial" w:cs="Arial"/>
                <w:color w:val="000000"/>
                <w:sz w:val="16"/>
                <w:szCs w:val="20"/>
              </w:rPr>
              <w:t xml:space="preserve"> 6,306,230 </w:t>
            </w:r>
          </w:p>
        </w:tc>
        <w:tc>
          <w:tcPr>
            <w:tcW w:w="1110" w:type="dxa"/>
            <w:tcBorders>
              <w:top w:val="nil"/>
              <w:left w:val="nil"/>
              <w:bottom w:val="nil"/>
              <w:right w:val="nil"/>
              <w:tl2br w:val="nil"/>
              <w:tr2bl w:val="nil"/>
            </w:tcBorders>
            <w:shd w:val="clear" w:color="auto" w:fill="FFFFFF"/>
            <w:tcMar>
              <w:left w:w="101" w:type="dxa"/>
              <w:right w:w="101" w:type="dxa"/>
            </w:tcMar>
            <w:vAlign w:val="bottom"/>
          </w:tcPr>
          <w:p w14:paraId="33E7170C" w14:textId="77777777" w:rsidR="003F0EEA" w:rsidRPr="000A2095" w:rsidRDefault="00FB7D0B">
            <w:pPr>
              <w:jc w:val="right"/>
              <w:rPr>
                <w:rFonts w:ascii="Arial" w:eastAsia="Arial" w:hAnsi="Arial" w:cs="Arial"/>
                <w:color w:val="000000"/>
                <w:sz w:val="16"/>
                <w:szCs w:val="20"/>
              </w:rPr>
            </w:pPr>
            <w:r w:rsidRPr="000A2095">
              <w:rPr>
                <w:rFonts w:ascii="Arial" w:eastAsia="Arial" w:hAnsi="Arial" w:cs="Arial"/>
                <w:color w:val="000000"/>
                <w:sz w:val="16"/>
                <w:szCs w:val="20"/>
              </w:rPr>
              <w:t xml:space="preserve"> 6,155,722 </w:t>
            </w:r>
          </w:p>
        </w:tc>
        <w:tc>
          <w:tcPr>
            <w:tcW w:w="1110" w:type="dxa"/>
            <w:tcBorders>
              <w:top w:val="nil"/>
              <w:left w:val="nil"/>
              <w:bottom w:val="nil"/>
              <w:right w:val="nil"/>
              <w:tl2br w:val="nil"/>
              <w:tr2bl w:val="nil"/>
            </w:tcBorders>
            <w:shd w:val="clear" w:color="auto" w:fill="FFFFFF"/>
            <w:tcMar>
              <w:left w:w="101" w:type="dxa"/>
              <w:right w:w="101" w:type="dxa"/>
            </w:tcMar>
            <w:vAlign w:val="bottom"/>
          </w:tcPr>
          <w:p w14:paraId="436BE699" w14:textId="77777777" w:rsidR="003F0EEA" w:rsidRPr="000A2095" w:rsidRDefault="00FB7D0B">
            <w:pPr>
              <w:jc w:val="right"/>
              <w:rPr>
                <w:rFonts w:ascii="Arial" w:eastAsia="Arial" w:hAnsi="Arial" w:cs="Arial"/>
                <w:color w:val="000000"/>
                <w:sz w:val="16"/>
                <w:szCs w:val="20"/>
              </w:rPr>
            </w:pPr>
            <w:r w:rsidRPr="000A2095">
              <w:rPr>
                <w:rFonts w:ascii="Arial" w:eastAsia="Arial" w:hAnsi="Arial" w:cs="Arial"/>
                <w:color w:val="000000"/>
                <w:sz w:val="16"/>
                <w:szCs w:val="20"/>
              </w:rPr>
              <w:t xml:space="preserve"> 5,932,417 </w:t>
            </w:r>
          </w:p>
        </w:tc>
      </w:tr>
      <w:tr w:rsidR="00FB7D0B" w14:paraId="05E2529C" w14:textId="77777777" w:rsidTr="00FB7D0B">
        <w:trPr>
          <w:trHeight w:val="225"/>
        </w:trPr>
        <w:tc>
          <w:tcPr>
            <w:tcW w:w="180" w:type="dxa"/>
            <w:tcBorders>
              <w:top w:val="nil"/>
              <w:left w:val="nil"/>
              <w:bottom w:val="nil"/>
              <w:right w:val="nil"/>
              <w:tl2br w:val="nil"/>
              <w:tr2bl w:val="nil"/>
            </w:tcBorders>
            <w:shd w:val="clear" w:color="auto" w:fill="FFFFFF"/>
            <w:tcMar>
              <w:left w:w="101" w:type="dxa"/>
              <w:right w:w="101" w:type="dxa"/>
            </w:tcMar>
            <w:vAlign w:val="bottom"/>
          </w:tcPr>
          <w:p w14:paraId="7AEC4DBA" w14:textId="77777777" w:rsidR="003F0EEA" w:rsidRPr="000A2095" w:rsidRDefault="003F0EEA">
            <w:pPr>
              <w:rPr>
                <w:rFonts w:ascii="Arial" w:eastAsia="Arial" w:hAnsi="Arial" w:cs="Arial"/>
                <w:color w:val="000000"/>
                <w:sz w:val="16"/>
                <w:szCs w:val="20"/>
              </w:rPr>
            </w:pPr>
          </w:p>
        </w:tc>
        <w:tc>
          <w:tcPr>
            <w:tcW w:w="2250" w:type="dxa"/>
            <w:gridSpan w:val="2"/>
            <w:vMerge w:val="restart"/>
            <w:tcBorders>
              <w:top w:val="nil"/>
              <w:left w:val="nil"/>
              <w:bottom w:val="nil"/>
              <w:right w:val="nil"/>
              <w:tl2br w:val="nil"/>
              <w:tr2bl w:val="nil"/>
            </w:tcBorders>
            <w:shd w:val="clear" w:color="auto" w:fill="FFFFFF"/>
            <w:tcMar>
              <w:left w:w="101" w:type="dxa"/>
              <w:right w:w="101" w:type="dxa"/>
            </w:tcMar>
            <w:vAlign w:val="bottom"/>
          </w:tcPr>
          <w:p w14:paraId="566EE19D" w14:textId="77777777" w:rsidR="003F0EEA" w:rsidRPr="000A2095" w:rsidRDefault="00FB7D0B">
            <w:pPr>
              <w:rPr>
                <w:rFonts w:ascii="Arial" w:eastAsia="Arial" w:hAnsi="Arial" w:cs="Arial"/>
                <w:color w:val="000000"/>
                <w:sz w:val="16"/>
                <w:szCs w:val="20"/>
              </w:rPr>
            </w:pPr>
            <w:r w:rsidRPr="000A2095">
              <w:rPr>
                <w:rFonts w:ascii="Arial" w:eastAsia="Arial" w:hAnsi="Arial" w:cs="Arial"/>
                <w:color w:val="000000"/>
                <w:sz w:val="16"/>
                <w:szCs w:val="20"/>
              </w:rPr>
              <w:t>Other</w:t>
            </w:r>
          </w:p>
        </w:tc>
        <w:tc>
          <w:tcPr>
            <w:tcW w:w="1110" w:type="dxa"/>
            <w:tcBorders>
              <w:top w:val="nil"/>
              <w:left w:val="nil"/>
              <w:bottom w:val="nil"/>
              <w:right w:val="nil"/>
              <w:tl2br w:val="nil"/>
              <w:tr2bl w:val="nil"/>
            </w:tcBorders>
            <w:shd w:val="clear" w:color="auto" w:fill="FFFFFF"/>
            <w:tcMar>
              <w:left w:w="101" w:type="dxa"/>
              <w:right w:w="101" w:type="dxa"/>
            </w:tcMar>
            <w:vAlign w:val="bottom"/>
          </w:tcPr>
          <w:p w14:paraId="76D2266A" w14:textId="77777777" w:rsidR="003F0EEA" w:rsidRPr="000A2095" w:rsidRDefault="00FB7D0B">
            <w:pPr>
              <w:jc w:val="right"/>
              <w:rPr>
                <w:rFonts w:ascii="Arial" w:eastAsia="Arial" w:hAnsi="Arial" w:cs="Arial"/>
                <w:color w:val="000000"/>
                <w:sz w:val="16"/>
                <w:szCs w:val="20"/>
              </w:rPr>
            </w:pPr>
            <w:r w:rsidRPr="000A2095">
              <w:rPr>
                <w:rFonts w:ascii="Arial" w:eastAsia="Arial" w:hAnsi="Arial" w:cs="Arial"/>
                <w:color w:val="000000"/>
                <w:sz w:val="16"/>
                <w:szCs w:val="20"/>
              </w:rPr>
              <w:t xml:space="preserve"> 5,415,297 </w:t>
            </w:r>
          </w:p>
        </w:tc>
        <w:tc>
          <w:tcPr>
            <w:tcW w:w="1110" w:type="dxa"/>
            <w:tcBorders>
              <w:top w:val="nil"/>
              <w:left w:val="nil"/>
              <w:bottom w:val="nil"/>
              <w:right w:val="nil"/>
              <w:tl2br w:val="nil"/>
              <w:tr2bl w:val="nil"/>
            </w:tcBorders>
            <w:shd w:val="clear" w:color="auto" w:fill="FFFF00"/>
            <w:tcMar>
              <w:left w:w="101" w:type="dxa"/>
              <w:right w:w="101" w:type="dxa"/>
            </w:tcMar>
            <w:vAlign w:val="bottom"/>
          </w:tcPr>
          <w:p w14:paraId="77189D4D" w14:textId="77777777" w:rsidR="003F0EEA" w:rsidRPr="000A2095" w:rsidRDefault="00FB7D0B">
            <w:pPr>
              <w:jc w:val="right"/>
              <w:rPr>
                <w:rFonts w:ascii="Arial" w:eastAsia="Arial" w:hAnsi="Arial" w:cs="Arial"/>
                <w:color w:val="000000"/>
                <w:sz w:val="16"/>
                <w:szCs w:val="20"/>
              </w:rPr>
            </w:pPr>
            <w:r w:rsidRPr="000A2095">
              <w:rPr>
                <w:rFonts w:ascii="Arial" w:eastAsia="Arial" w:hAnsi="Arial" w:cs="Arial"/>
                <w:color w:val="000000"/>
                <w:sz w:val="16"/>
                <w:szCs w:val="20"/>
              </w:rPr>
              <w:t xml:space="preserve"> 5,436,364 </w:t>
            </w:r>
          </w:p>
        </w:tc>
        <w:tc>
          <w:tcPr>
            <w:tcW w:w="1110" w:type="dxa"/>
            <w:tcBorders>
              <w:top w:val="nil"/>
              <w:left w:val="nil"/>
              <w:bottom w:val="nil"/>
              <w:right w:val="nil"/>
              <w:tl2br w:val="nil"/>
              <w:tr2bl w:val="nil"/>
            </w:tcBorders>
            <w:shd w:val="clear" w:color="auto" w:fill="FFFFFF"/>
            <w:tcMar>
              <w:left w:w="101" w:type="dxa"/>
              <w:right w:w="101" w:type="dxa"/>
            </w:tcMar>
            <w:vAlign w:val="bottom"/>
          </w:tcPr>
          <w:p w14:paraId="0657894A" w14:textId="77777777" w:rsidR="003F0EEA" w:rsidRPr="000A2095" w:rsidRDefault="00FB7D0B">
            <w:pPr>
              <w:jc w:val="right"/>
              <w:rPr>
                <w:rFonts w:ascii="Arial" w:eastAsia="Arial" w:hAnsi="Arial" w:cs="Arial"/>
                <w:color w:val="000000"/>
                <w:sz w:val="16"/>
                <w:szCs w:val="20"/>
              </w:rPr>
            </w:pPr>
            <w:r w:rsidRPr="000A2095">
              <w:rPr>
                <w:rFonts w:ascii="Arial" w:eastAsia="Arial" w:hAnsi="Arial" w:cs="Arial"/>
                <w:color w:val="000000"/>
                <w:sz w:val="16"/>
                <w:szCs w:val="20"/>
              </w:rPr>
              <w:t xml:space="preserve"> 5,463,738 </w:t>
            </w:r>
          </w:p>
        </w:tc>
        <w:tc>
          <w:tcPr>
            <w:tcW w:w="1110" w:type="dxa"/>
            <w:tcBorders>
              <w:top w:val="nil"/>
              <w:left w:val="nil"/>
              <w:bottom w:val="nil"/>
              <w:right w:val="nil"/>
              <w:tl2br w:val="nil"/>
              <w:tr2bl w:val="nil"/>
            </w:tcBorders>
            <w:shd w:val="clear" w:color="auto" w:fill="FFFFFF"/>
            <w:tcMar>
              <w:left w:w="101" w:type="dxa"/>
              <w:right w:w="101" w:type="dxa"/>
            </w:tcMar>
            <w:vAlign w:val="bottom"/>
          </w:tcPr>
          <w:p w14:paraId="673A882A" w14:textId="77777777" w:rsidR="003F0EEA" w:rsidRPr="000A2095" w:rsidRDefault="00FB7D0B">
            <w:pPr>
              <w:jc w:val="right"/>
              <w:rPr>
                <w:rFonts w:ascii="Arial" w:eastAsia="Arial" w:hAnsi="Arial" w:cs="Arial"/>
                <w:color w:val="000000"/>
                <w:sz w:val="16"/>
                <w:szCs w:val="20"/>
              </w:rPr>
            </w:pPr>
            <w:r w:rsidRPr="000A2095">
              <w:rPr>
                <w:rFonts w:ascii="Arial" w:eastAsia="Arial" w:hAnsi="Arial" w:cs="Arial"/>
                <w:color w:val="000000"/>
                <w:sz w:val="16"/>
                <w:szCs w:val="20"/>
              </w:rPr>
              <w:t xml:space="preserve"> 5,592,473 </w:t>
            </w:r>
          </w:p>
        </w:tc>
        <w:tc>
          <w:tcPr>
            <w:tcW w:w="1110" w:type="dxa"/>
            <w:tcBorders>
              <w:top w:val="nil"/>
              <w:left w:val="nil"/>
              <w:bottom w:val="nil"/>
              <w:right w:val="nil"/>
              <w:tl2br w:val="nil"/>
              <w:tr2bl w:val="nil"/>
            </w:tcBorders>
            <w:shd w:val="clear" w:color="auto" w:fill="FFFFFF"/>
            <w:tcMar>
              <w:left w:w="101" w:type="dxa"/>
              <w:right w:w="101" w:type="dxa"/>
            </w:tcMar>
            <w:vAlign w:val="bottom"/>
          </w:tcPr>
          <w:p w14:paraId="4B869A82" w14:textId="77777777" w:rsidR="003F0EEA" w:rsidRPr="000A2095" w:rsidRDefault="00FB7D0B">
            <w:pPr>
              <w:jc w:val="right"/>
              <w:rPr>
                <w:rFonts w:ascii="Arial" w:eastAsia="Arial" w:hAnsi="Arial" w:cs="Arial"/>
                <w:color w:val="000000"/>
                <w:sz w:val="16"/>
                <w:szCs w:val="20"/>
              </w:rPr>
            </w:pPr>
            <w:r w:rsidRPr="000A2095">
              <w:rPr>
                <w:rFonts w:ascii="Arial" w:eastAsia="Arial" w:hAnsi="Arial" w:cs="Arial"/>
                <w:color w:val="000000"/>
                <w:sz w:val="16"/>
                <w:szCs w:val="20"/>
              </w:rPr>
              <w:t xml:space="preserve"> 5,770,375 </w:t>
            </w:r>
          </w:p>
        </w:tc>
      </w:tr>
      <w:tr w:rsidR="00FB7D0B" w14:paraId="791B0AFA" w14:textId="77777777" w:rsidTr="00FB7D0B">
        <w:trPr>
          <w:trHeight w:val="255"/>
        </w:trPr>
        <w:tc>
          <w:tcPr>
            <w:tcW w:w="180" w:type="dxa"/>
            <w:tcBorders>
              <w:top w:val="nil"/>
              <w:left w:val="nil"/>
              <w:bottom w:val="nil"/>
              <w:right w:val="nil"/>
              <w:tl2br w:val="nil"/>
              <w:tr2bl w:val="nil"/>
            </w:tcBorders>
            <w:shd w:val="clear" w:color="auto" w:fill="FFFFFF"/>
            <w:tcMar>
              <w:left w:w="101" w:type="dxa"/>
              <w:right w:w="101" w:type="dxa"/>
            </w:tcMar>
            <w:vAlign w:val="bottom"/>
          </w:tcPr>
          <w:p w14:paraId="5687D4EE" w14:textId="77777777" w:rsidR="003F0EEA" w:rsidRPr="000A2095" w:rsidRDefault="003F0EEA">
            <w:pPr>
              <w:rPr>
                <w:rFonts w:ascii="Arial" w:eastAsia="Arial" w:hAnsi="Arial" w:cs="Arial"/>
                <w:color w:val="000000"/>
                <w:sz w:val="16"/>
                <w:szCs w:val="20"/>
              </w:rPr>
            </w:pPr>
          </w:p>
        </w:tc>
        <w:tc>
          <w:tcPr>
            <w:tcW w:w="2250" w:type="dxa"/>
            <w:gridSpan w:val="2"/>
            <w:vMerge w:val="restart"/>
            <w:tcBorders>
              <w:top w:val="nil"/>
              <w:left w:val="nil"/>
              <w:bottom w:val="nil"/>
              <w:right w:val="nil"/>
              <w:tl2br w:val="nil"/>
              <w:tr2bl w:val="nil"/>
            </w:tcBorders>
            <w:shd w:val="clear" w:color="auto" w:fill="FFFFFF"/>
            <w:tcMar>
              <w:left w:w="101" w:type="dxa"/>
              <w:right w:w="101" w:type="dxa"/>
            </w:tcMar>
            <w:vAlign w:val="bottom"/>
          </w:tcPr>
          <w:p w14:paraId="34009962" w14:textId="77777777" w:rsidR="003F0EEA" w:rsidRPr="000A2095" w:rsidRDefault="00FB7D0B">
            <w:pPr>
              <w:rPr>
                <w:rFonts w:ascii="Arial" w:eastAsia="Arial" w:hAnsi="Arial" w:cs="Arial"/>
                <w:color w:val="000000"/>
                <w:sz w:val="16"/>
                <w:szCs w:val="20"/>
              </w:rPr>
            </w:pPr>
            <w:r w:rsidRPr="000A2095">
              <w:rPr>
                <w:rFonts w:ascii="Arial" w:eastAsia="Arial" w:hAnsi="Arial" w:cs="Arial"/>
                <w:color w:val="000000"/>
                <w:sz w:val="16"/>
                <w:szCs w:val="20"/>
              </w:rPr>
              <w:t>Grant payments</w:t>
            </w:r>
          </w:p>
        </w:tc>
        <w:tc>
          <w:tcPr>
            <w:tcW w:w="1110" w:type="dxa"/>
            <w:tcBorders>
              <w:top w:val="nil"/>
              <w:left w:val="nil"/>
              <w:bottom w:val="nil"/>
              <w:right w:val="nil"/>
              <w:tl2br w:val="nil"/>
              <w:tr2bl w:val="nil"/>
            </w:tcBorders>
            <w:shd w:val="clear" w:color="auto" w:fill="FFFFFF"/>
            <w:tcMar>
              <w:left w:w="101" w:type="dxa"/>
              <w:right w:w="101" w:type="dxa"/>
            </w:tcMar>
            <w:vAlign w:val="bottom"/>
          </w:tcPr>
          <w:p w14:paraId="16092629" w14:textId="77777777" w:rsidR="003F0EEA" w:rsidRPr="000A2095" w:rsidRDefault="00FB7D0B">
            <w:pPr>
              <w:jc w:val="right"/>
              <w:rPr>
                <w:rFonts w:ascii="Arial" w:eastAsia="Arial" w:hAnsi="Arial" w:cs="Arial"/>
                <w:color w:val="000000"/>
                <w:sz w:val="16"/>
                <w:szCs w:val="20"/>
              </w:rPr>
            </w:pPr>
            <w:r w:rsidRPr="000A2095">
              <w:rPr>
                <w:rFonts w:ascii="Arial" w:eastAsia="Arial" w:hAnsi="Arial" w:cs="Arial"/>
                <w:color w:val="000000"/>
                <w:sz w:val="16"/>
                <w:szCs w:val="20"/>
              </w:rPr>
              <w:t xml:space="preserve"> 6,826 </w:t>
            </w:r>
          </w:p>
        </w:tc>
        <w:tc>
          <w:tcPr>
            <w:tcW w:w="1110" w:type="dxa"/>
            <w:tcBorders>
              <w:top w:val="nil"/>
              <w:left w:val="nil"/>
              <w:bottom w:val="nil"/>
              <w:right w:val="nil"/>
              <w:tl2br w:val="nil"/>
              <w:tr2bl w:val="nil"/>
            </w:tcBorders>
            <w:shd w:val="clear" w:color="auto" w:fill="FFFF00"/>
            <w:tcMar>
              <w:left w:w="101" w:type="dxa"/>
              <w:right w:w="101" w:type="dxa"/>
            </w:tcMar>
            <w:vAlign w:val="bottom"/>
          </w:tcPr>
          <w:p w14:paraId="7809B966" w14:textId="77777777" w:rsidR="003F0EEA" w:rsidRPr="000A2095" w:rsidRDefault="00FB7D0B">
            <w:pPr>
              <w:jc w:val="right"/>
              <w:rPr>
                <w:rFonts w:ascii="Arial" w:eastAsia="Arial" w:hAnsi="Arial" w:cs="Arial"/>
                <w:color w:val="000000"/>
                <w:sz w:val="16"/>
                <w:szCs w:val="20"/>
              </w:rPr>
            </w:pPr>
            <w:r w:rsidRPr="000A2095">
              <w:rPr>
                <w:rFonts w:ascii="Arial" w:eastAsia="Arial" w:hAnsi="Arial" w:cs="Arial"/>
                <w:color w:val="000000"/>
                <w:sz w:val="16"/>
                <w:szCs w:val="20"/>
              </w:rPr>
              <w:t xml:space="preserve"> 5,904 </w:t>
            </w:r>
          </w:p>
        </w:tc>
        <w:tc>
          <w:tcPr>
            <w:tcW w:w="1110" w:type="dxa"/>
            <w:tcBorders>
              <w:top w:val="nil"/>
              <w:left w:val="nil"/>
              <w:bottom w:val="nil"/>
              <w:right w:val="nil"/>
              <w:tl2br w:val="nil"/>
              <w:tr2bl w:val="nil"/>
            </w:tcBorders>
            <w:shd w:val="clear" w:color="auto" w:fill="FFFFFF"/>
            <w:tcMar>
              <w:left w:w="101" w:type="dxa"/>
              <w:right w:w="101" w:type="dxa"/>
            </w:tcMar>
            <w:vAlign w:val="bottom"/>
          </w:tcPr>
          <w:p w14:paraId="281A7B56" w14:textId="77777777" w:rsidR="003F0EEA" w:rsidRPr="000A2095" w:rsidRDefault="00FB7D0B">
            <w:pPr>
              <w:jc w:val="right"/>
              <w:rPr>
                <w:rFonts w:ascii="Arial" w:eastAsia="Arial" w:hAnsi="Arial" w:cs="Arial"/>
                <w:color w:val="000000"/>
                <w:sz w:val="16"/>
                <w:szCs w:val="20"/>
              </w:rPr>
            </w:pPr>
            <w:r w:rsidRPr="000A2095">
              <w:rPr>
                <w:rFonts w:ascii="Arial" w:eastAsia="Arial" w:hAnsi="Arial" w:cs="Arial"/>
                <w:color w:val="000000"/>
                <w:sz w:val="16"/>
                <w:szCs w:val="20"/>
              </w:rPr>
              <w:t xml:space="preserve"> 5,887 </w:t>
            </w:r>
          </w:p>
        </w:tc>
        <w:tc>
          <w:tcPr>
            <w:tcW w:w="1110" w:type="dxa"/>
            <w:tcBorders>
              <w:top w:val="nil"/>
              <w:left w:val="nil"/>
              <w:bottom w:val="nil"/>
              <w:right w:val="nil"/>
              <w:tl2br w:val="nil"/>
              <w:tr2bl w:val="nil"/>
            </w:tcBorders>
            <w:shd w:val="clear" w:color="auto" w:fill="FFFFFF"/>
            <w:tcMar>
              <w:left w:w="101" w:type="dxa"/>
              <w:right w:w="101" w:type="dxa"/>
            </w:tcMar>
            <w:vAlign w:val="bottom"/>
          </w:tcPr>
          <w:p w14:paraId="1AFA60B2" w14:textId="77777777" w:rsidR="003F0EEA" w:rsidRPr="000A2095" w:rsidRDefault="00FB7D0B">
            <w:pPr>
              <w:jc w:val="right"/>
              <w:rPr>
                <w:rFonts w:ascii="Arial" w:eastAsia="Arial" w:hAnsi="Arial" w:cs="Arial"/>
                <w:color w:val="000000"/>
                <w:sz w:val="16"/>
                <w:szCs w:val="20"/>
              </w:rPr>
            </w:pPr>
            <w:r w:rsidRPr="000A2095">
              <w:rPr>
                <w:rFonts w:ascii="Arial" w:eastAsia="Arial" w:hAnsi="Arial" w:cs="Arial"/>
                <w:color w:val="000000"/>
                <w:sz w:val="16"/>
                <w:szCs w:val="20"/>
              </w:rPr>
              <w:t xml:space="preserve"> 5,994 </w:t>
            </w:r>
          </w:p>
        </w:tc>
        <w:tc>
          <w:tcPr>
            <w:tcW w:w="1110" w:type="dxa"/>
            <w:tcBorders>
              <w:top w:val="nil"/>
              <w:left w:val="nil"/>
              <w:bottom w:val="nil"/>
              <w:right w:val="nil"/>
              <w:tl2br w:val="nil"/>
              <w:tr2bl w:val="nil"/>
            </w:tcBorders>
            <w:shd w:val="clear" w:color="auto" w:fill="FFFFFF"/>
            <w:tcMar>
              <w:left w:w="101" w:type="dxa"/>
              <w:right w:w="101" w:type="dxa"/>
            </w:tcMar>
            <w:vAlign w:val="bottom"/>
          </w:tcPr>
          <w:p w14:paraId="125C46F6" w14:textId="77777777" w:rsidR="003F0EEA" w:rsidRPr="000A2095" w:rsidRDefault="00FB7D0B">
            <w:pPr>
              <w:jc w:val="right"/>
              <w:rPr>
                <w:rFonts w:ascii="Arial" w:eastAsia="Arial" w:hAnsi="Arial" w:cs="Arial"/>
                <w:color w:val="000000"/>
                <w:sz w:val="16"/>
                <w:szCs w:val="20"/>
              </w:rPr>
            </w:pPr>
            <w:r w:rsidRPr="000A2095">
              <w:rPr>
                <w:rFonts w:ascii="Arial" w:eastAsia="Arial" w:hAnsi="Arial" w:cs="Arial"/>
                <w:color w:val="000000"/>
                <w:sz w:val="16"/>
                <w:szCs w:val="20"/>
              </w:rPr>
              <w:t xml:space="preserve"> 7,049 </w:t>
            </w:r>
          </w:p>
        </w:tc>
      </w:tr>
      <w:tr w:rsidR="00FB7D0B" w14:paraId="182E6442" w14:textId="77777777" w:rsidTr="00FB7D0B">
        <w:trPr>
          <w:trHeight w:val="225"/>
        </w:trPr>
        <w:tc>
          <w:tcPr>
            <w:tcW w:w="180" w:type="dxa"/>
            <w:tcBorders>
              <w:top w:val="nil"/>
              <w:left w:val="nil"/>
              <w:bottom w:val="nil"/>
              <w:right w:val="nil"/>
              <w:tl2br w:val="nil"/>
              <w:tr2bl w:val="nil"/>
            </w:tcBorders>
            <w:shd w:val="clear" w:color="auto" w:fill="FFFFFF"/>
            <w:tcMar>
              <w:left w:w="101" w:type="dxa"/>
              <w:right w:w="101" w:type="dxa"/>
            </w:tcMar>
            <w:vAlign w:val="bottom"/>
          </w:tcPr>
          <w:p w14:paraId="1D812131" w14:textId="77777777" w:rsidR="003F0EEA" w:rsidRPr="000A2095" w:rsidRDefault="003F0EEA">
            <w:pPr>
              <w:rPr>
                <w:rFonts w:ascii="Arial" w:eastAsia="Arial" w:hAnsi="Arial" w:cs="Arial"/>
                <w:color w:val="000000"/>
                <w:sz w:val="16"/>
                <w:szCs w:val="20"/>
              </w:rPr>
            </w:pPr>
          </w:p>
        </w:tc>
        <w:tc>
          <w:tcPr>
            <w:tcW w:w="2250" w:type="dxa"/>
            <w:gridSpan w:val="2"/>
            <w:vMerge w:val="restart"/>
            <w:tcBorders>
              <w:top w:val="nil"/>
              <w:left w:val="nil"/>
              <w:bottom w:val="nil"/>
              <w:right w:val="nil"/>
              <w:tl2br w:val="nil"/>
              <w:tr2bl w:val="nil"/>
            </w:tcBorders>
            <w:shd w:val="clear" w:color="auto" w:fill="FFFFFF"/>
            <w:tcMar>
              <w:left w:w="101" w:type="dxa"/>
              <w:right w:w="101" w:type="dxa"/>
            </w:tcMar>
            <w:vAlign w:val="bottom"/>
          </w:tcPr>
          <w:p w14:paraId="7DE31EC0" w14:textId="77777777" w:rsidR="003F0EEA" w:rsidRPr="000A2095" w:rsidRDefault="00FB7D0B">
            <w:pPr>
              <w:rPr>
                <w:rFonts w:ascii="Arial" w:eastAsia="Arial" w:hAnsi="Arial" w:cs="Arial"/>
                <w:color w:val="000000"/>
                <w:sz w:val="16"/>
                <w:szCs w:val="20"/>
              </w:rPr>
            </w:pPr>
            <w:r w:rsidRPr="000A2095">
              <w:rPr>
                <w:rFonts w:ascii="Arial" w:eastAsia="Arial" w:hAnsi="Arial" w:cs="Arial"/>
                <w:color w:val="000000"/>
                <w:sz w:val="16"/>
                <w:szCs w:val="20"/>
              </w:rPr>
              <w:t>GST payments to suppliers</w:t>
            </w:r>
          </w:p>
        </w:tc>
        <w:tc>
          <w:tcPr>
            <w:tcW w:w="1110" w:type="dxa"/>
            <w:tcBorders>
              <w:top w:val="nil"/>
              <w:left w:val="nil"/>
              <w:bottom w:val="nil"/>
              <w:right w:val="nil"/>
              <w:tl2br w:val="nil"/>
              <w:tr2bl w:val="nil"/>
            </w:tcBorders>
            <w:shd w:val="clear" w:color="auto" w:fill="FFFFFF"/>
            <w:tcMar>
              <w:left w:w="101" w:type="dxa"/>
              <w:right w:w="101" w:type="dxa"/>
            </w:tcMar>
            <w:vAlign w:val="bottom"/>
          </w:tcPr>
          <w:p w14:paraId="0D1FB6AC" w14:textId="77777777" w:rsidR="003F0EEA" w:rsidRPr="000A2095" w:rsidRDefault="00FB7D0B">
            <w:pPr>
              <w:jc w:val="right"/>
              <w:rPr>
                <w:rFonts w:ascii="Arial" w:eastAsia="Arial" w:hAnsi="Arial" w:cs="Arial"/>
                <w:color w:val="000000"/>
                <w:sz w:val="16"/>
                <w:szCs w:val="20"/>
              </w:rPr>
            </w:pPr>
            <w:r w:rsidRPr="000A2095">
              <w:rPr>
                <w:rFonts w:ascii="Arial" w:eastAsia="Arial" w:hAnsi="Arial" w:cs="Arial"/>
                <w:color w:val="000000"/>
                <w:sz w:val="16"/>
                <w:szCs w:val="20"/>
              </w:rPr>
              <w:t xml:space="preserve"> 43,512 </w:t>
            </w:r>
          </w:p>
        </w:tc>
        <w:tc>
          <w:tcPr>
            <w:tcW w:w="1110" w:type="dxa"/>
            <w:tcBorders>
              <w:top w:val="nil"/>
              <w:left w:val="nil"/>
              <w:bottom w:val="nil"/>
              <w:right w:val="nil"/>
              <w:tl2br w:val="nil"/>
              <w:tr2bl w:val="nil"/>
            </w:tcBorders>
            <w:shd w:val="clear" w:color="auto" w:fill="FFFF00"/>
            <w:tcMar>
              <w:left w:w="101" w:type="dxa"/>
              <w:right w:w="101" w:type="dxa"/>
            </w:tcMar>
            <w:vAlign w:val="bottom"/>
          </w:tcPr>
          <w:p w14:paraId="14AF8EF9" w14:textId="77777777" w:rsidR="003F0EEA" w:rsidRPr="000A2095" w:rsidRDefault="00FB7D0B">
            <w:pPr>
              <w:jc w:val="right"/>
              <w:rPr>
                <w:rFonts w:ascii="Arial" w:eastAsia="Arial" w:hAnsi="Arial" w:cs="Arial"/>
                <w:color w:val="000000"/>
                <w:sz w:val="16"/>
                <w:szCs w:val="20"/>
              </w:rPr>
            </w:pPr>
            <w:r w:rsidRPr="000A2095">
              <w:rPr>
                <w:rFonts w:ascii="Arial" w:eastAsia="Arial" w:hAnsi="Arial" w:cs="Arial"/>
                <w:color w:val="000000"/>
                <w:sz w:val="16"/>
                <w:szCs w:val="20"/>
              </w:rPr>
              <w:t xml:space="preserve"> 43,512 </w:t>
            </w:r>
          </w:p>
        </w:tc>
        <w:tc>
          <w:tcPr>
            <w:tcW w:w="1110" w:type="dxa"/>
            <w:tcBorders>
              <w:top w:val="nil"/>
              <w:left w:val="nil"/>
              <w:bottom w:val="nil"/>
              <w:right w:val="nil"/>
              <w:tl2br w:val="nil"/>
              <w:tr2bl w:val="nil"/>
            </w:tcBorders>
            <w:shd w:val="clear" w:color="auto" w:fill="FFFFFF"/>
            <w:tcMar>
              <w:left w:w="101" w:type="dxa"/>
              <w:right w:w="101" w:type="dxa"/>
            </w:tcMar>
            <w:vAlign w:val="bottom"/>
          </w:tcPr>
          <w:p w14:paraId="2E0C998F" w14:textId="77777777" w:rsidR="003F0EEA" w:rsidRPr="000A2095" w:rsidRDefault="00FB7D0B">
            <w:pPr>
              <w:jc w:val="right"/>
              <w:rPr>
                <w:rFonts w:ascii="Arial" w:eastAsia="Arial" w:hAnsi="Arial" w:cs="Arial"/>
                <w:color w:val="000000"/>
                <w:sz w:val="16"/>
                <w:szCs w:val="20"/>
              </w:rPr>
            </w:pPr>
            <w:r w:rsidRPr="000A2095">
              <w:rPr>
                <w:rFonts w:ascii="Arial" w:eastAsia="Arial" w:hAnsi="Arial" w:cs="Arial"/>
                <w:color w:val="000000"/>
                <w:sz w:val="16"/>
                <w:szCs w:val="20"/>
              </w:rPr>
              <w:t xml:space="preserve"> 43,512 </w:t>
            </w:r>
          </w:p>
        </w:tc>
        <w:tc>
          <w:tcPr>
            <w:tcW w:w="1110" w:type="dxa"/>
            <w:tcBorders>
              <w:top w:val="nil"/>
              <w:left w:val="nil"/>
              <w:bottom w:val="nil"/>
              <w:right w:val="nil"/>
              <w:tl2br w:val="nil"/>
              <w:tr2bl w:val="nil"/>
            </w:tcBorders>
            <w:shd w:val="clear" w:color="auto" w:fill="FFFFFF"/>
            <w:tcMar>
              <w:left w:w="101" w:type="dxa"/>
              <w:right w:w="101" w:type="dxa"/>
            </w:tcMar>
            <w:vAlign w:val="bottom"/>
          </w:tcPr>
          <w:p w14:paraId="346BD825" w14:textId="77777777" w:rsidR="003F0EEA" w:rsidRPr="000A2095" w:rsidRDefault="00FB7D0B">
            <w:pPr>
              <w:jc w:val="right"/>
              <w:rPr>
                <w:rFonts w:ascii="Arial" w:eastAsia="Arial" w:hAnsi="Arial" w:cs="Arial"/>
                <w:color w:val="000000"/>
                <w:sz w:val="16"/>
                <w:szCs w:val="20"/>
              </w:rPr>
            </w:pPr>
            <w:r w:rsidRPr="000A2095">
              <w:rPr>
                <w:rFonts w:ascii="Arial" w:eastAsia="Arial" w:hAnsi="Arial" w:cs="Arial"/>
                <w:color w:val="000000"/>
                <w:sz w:val="16"/>
                <w:szCs w:val="20"/>
              </w:rPr>
              <w:t xml:space="preserve"> 43,512 </w:t>
            </w:r>
          </w:p>
        </w:tc>
        <w:tc>
          <w:tcPr>
            <w:tcW w:w="1110" w:type="dxa"/>
            <w:tcBorders>
              <w:top w:val="nil"/>
              <w:left w:val="nil"/>
              <w:bottom w:val="nil"/>
              <w:right w:val="nil"/>
              <w:tl2br w:val="nil"/>
              <w:tr2bl w:val="nil"/>
            </w:tcBorders>
            <w:shd w:val="clear" w:color="auto" w:fill="FFFFFF"/>
            <w:tcMar>
              <w:left w:w="101" w:type="dxa"/>
              <w:right w:w="101" w:type="dxa"/>
            </w:tcMar>
            <w:vAlign w:val="bottom"/>
          </w:tcPr>
          <w:p w14:paraId="284FCB13" w14:textId="77777777" w:rsidR="003F0EEA" w:rsidRPr="000A2095" w:rsidRDefault="00FB7D0B">
            <w:pPr>
              <w:jc w:val="right"/>
              <w:rPr>
                <w:rFonts w:ascii="Arial" w:eastAsia="Arial" w:hAnsi="Arial" w:cs="Arial"/>
                <w:color w:val="000000"/>
                <w:sz w:val="16"/>
                <w:szCs w:val="20"/>
              </w:rPr>
            </w:pPr>
            <w:r w:rsidRPr="000A2095">
              <w:rPr>
                <w:rFonts w:ascii="Arial" w:eastAsia="Arial" w:hAnsi="Arial" w:cs="Arial"/>
                <w:color w:val="000000"/>
                <w:sz w:val="16"/>
                <w:szCs w:val="20"/>
              </w:rPr>
              <w:t xml:space="preserve"> 43,512 </w:t>
            </w:r>
          </w:p>
        </w:tc>
      </w:tr>
      <w:tr w:rsidR="00FB7D0B" w14:paraId="424164F9" w14:textId="77777777" w:rsidTr="00FB7D0B">
        <w:trPr>
          <w:trHeight w:val="225"/>
        </w:trPr>
        <w:tc>
          <w:tcPr>
            <w:tcW w:w="180" w:type="dxa"/>
            <w:tcBorders>
              <w:top w:val="nil"/>
              <w:left w:val="nil"/>
              <w:bottom w:val="nil"/>
              <w:right w:val="nil"/>
              <w:tl2br w:val="nil"/>
              <w:tr2bl w:val="nil"/>
            </w:tcBorders>
            <w:shd w:val="clear" w:color="auto" w:fill="FFFFFF"/>
            <w:tcMar>
              <w:left w:w="101" w:type="dxa"/>
              <w:right w:w="101" w:type="dxa"/>
            </w:tcMar>
            <w:vAlign w:val="bottom"/>
          </w:tcPr>
          <w:p w14:paraId="46C8EEF9" w14:textId="77777777" w:rsidR="003F0EEA" w:rsidRPr="000A2095" w:rsidRDefault="003F0EEA">
            <w:pPr>
              <w:rPr>
                <w:rFonts w:ascii="Arial" w:eastAsia="Arial" w:hAnsi="Arial" w:cs="Arial"/>
                <w:color w:val="000000"/>
                <w:sz w:val="16"/>
                <w:szCs w:val="20"/>
              </w:rPr>
            </w:pPr>
          </w:p>
        </w:tc>
        <w:tc>
          <w:tcPr>
            <w:tcW w:w="2250" w:type="dxa"/>
            <w:gridSpan w:val="2"/>
            <w:vMerge w:val="restart"/>
            <w:tcBorders>
              <w:top w:val="nil"/>
              <w:left w:val="nil"/>
              <w:bottom w:val="nil"/>
              <w:right w:val="nil"/>
              <w:tl2br w:val="nil"/>
              <w:tr2bl w:val="nil"/>
            </w:tcBorders>
            <w:shd w:val="clear" w:color="auto" w:fill="FFFFFF"/>
            <w:tcMar>
              <w:left w:w="101" w:type="dxa"/>
              <w:right w:w="101" w:type="dxa"/>
            </w:tcMar>
            <w:vAlign w:val="bottom"/>
          </w:tcPr>
          <w:p w14:paraId="2584ACBC" w14:textId="77777777" w:rsidR="003F0EEA" w:rsidRPr="000A2095" w:rsidRDefault="00FB7D0B">
            <w:pPr>
              <w:rPr>
                <w:rFonts w:ascii="Arial" w:eastAsia="Arial" w:hAnsi="Arial" w:cs="Arial"/>
                <w:color w:val="000000"/>
                <w:sz w:val="16"/>
                <w:szCs w:val="20"/>
              </w:rPr>
            </w:pPr>
            <w:r w:rsidRPr="000A2095">
              <w:rPr>
                <w:rFonts w:ascii="Arial" w:eastAsia="Arial" w:hAnsi="Arial" w:cs="Arial"/>
                <w:color w:val="000000"/>
                <w:sz w:val="16"/>
                <w:szCs w:val="20"/>
              </w:rPr>
              <w:t>Payments to CAC Act bodies</w:t>
            </w:r>
          </w:p>
        </w:tc>
        <w:tc>
          <w:tcPr>
            <w:tcW w:w="1110"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6DE37FD0" w14:textId="77777777" w:rsidR="003F0EEA" w:rsidRPr="000A2095" w:rsidRDefault="00FB7D0B">
            <w:pPr>
              <w:jc w:val="right"/>
              <w:rPr>
                <w:rFonts w:ascii="Arial" w:eastAsia="Arial" w:hAnsi="Arial" w:cs="Arial"/>
                <w:color w:val="000000"/>
                <w:sz w:val="16"/>
                <w:szCs w:val="20"/>
              </w:rPr>
            </w:pPr>
            <w:r w:rsidRPr="000A2095">
              <w:rPr>
                <w:rFonts w:ascii="Arial" w:eastAsia="Arial" w:hAnsi="Arial" w:cs="Arial"/>
                <w:color w:val="000000"/>
                <w:sz w:val="16"/>
                <w:szCs w:val="20"/>
              </w:rPr>
              <w:t xml:space="preserve"> 40,900 </w:t>
            </w:r>
          </w:p>
        </w:tc>
        <w:tc>
          <w:tcPr>
            <w:tcW w:w="1110" w:type="dxa"/>
            <w:tcBorders>
              <w:top w:val="nil"/>
              <w:left w:val="nil"/>
              <w:bottom w:val="single" w:sz="6" w:space="0" w:color="000000"/>
              <w:right w:val="nil"/>
              <w:tl2br w:val="nil"/>
              <w:tr2bl w:val="nil"/>
            </w:tcBorders>
            <w:shd w:val="clear" w:color="auto" w:fill="FFFF00"/>
            <w:tcMar>
              <w:left w:w="101" w:type="dxa"/>
              <w:right w:w="101" w:type="dxa"/>
            </w:tcMar>
            <w:vAlign w:val="bottom"/>
          </w:tcPr>
          <w:p w14:paraId="4BAB2E65" w14:textId="77777777" w:rsidR="003F0EEA" w:rsidRPr="000A2095" w:rsidRDefault="00FB7D0B">
            <w:pPr>
              <w:jc w:val="right"/>
              <w:rPr>
                <w:rFonts w:ascii="Arial" w:eastAsia="Arial" w:hAnsi="Arial" w:cs="Arial"/>
                <w:color w:val="000000"/>
                <w:sz w:val="16"/>
                <w:szCs w:val="20"/>
              </w:rPr>
            </w:pPr>
            <w:r w:rsidRPr="000A2095">
              <w:rPr>
                <w:rFonts w:ascii="Arial" w:eastAsia="Arial" w:hAnsi="Arial" w:cs="Arial"/>
                <w:color w:val="000000"/>
                <w:sz w:val="16"/>
                <w:szCs w:val="20"/>
              </w:rPr>
              <w:t xml:space="preserve"> 47,808 </w:t>
            </w:r>
          </w:p>
        </w:tc>
        <w:tc>
          <w:tcPr>
            <w:tcW w:w="1110"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011FBED3" w14:textId="77777777" w:rsidR="003F0EEA" w:rsidRPr="000A2095" w:rsidRDefault="00FB7D0B">
            <w:pPr>
              <w:jc w:val="right"/>
              <w:rPr>
                <w:rFonts w:ascii="Arial" w:eastAsia="Arial" w:hAnsi="Arial" w:cs="Arial"/>
                <w:color w:val="000000"/>
                <w:sz w:val="16"/>
                <w:szCs w:val="20"/>
              </w:rPr>
            </w:pPr>
            <w:r w:rsidRPr="000A2095">
              <w:rPr>
                <w:rFonts w:ascii="Arial" w:eastAsia="Arial" w:hAnsi="Arial" w:cs="Arial"/>
                <w:color w:val="000000"/>
                <w:sz w:val="16"/>
                <w:szCs w:val="20"/>
              </w:rPr>
              <w:t xml:space="preserve"> 39,382 </w:t>
            </w:r>
          </w:p>
        </w:tc>
        <w:tc>
          <w:tcPr>
            <w:tcW w:w="1110"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39E847DF" w14:textId="77777777" w:rsidR="003F0EEA" w:rsidRPr="000A2095" w:rsidRDefault="00FB7D0B">
            <w:pPr>
              <w:jc w:val="right"/>
              <w:rPr>
                <w:rFonts w:ascii="Arial" w:eastAsia="Arial" w:hAnsi="Arial" w:cs="Arial"/>
                <w:color w:val="000000"/>
                <w:sz w:val="16"/>
                <w:szCs w:val="20"/>
              </w:rPr>
            </w:pPr>
            <w:r w:rsidRPr="000A2095">
              <w:rPr>
                <w:rFonts w:ascii="Arial" w:eastAsia="Arial" w:hAnsi="Arial" w:cs="Arial"/>
                <w:color w:val="000000"/>
                <w:sz w:val="16"/>
                <w:szCs w:val="20"/>
              </w:rPr>
              <w:t xml:space="preserve"> 38,937 </w:t>
            </w:r>
          </w:p>
        </w:tc>
        <w:tc>
          <w:tcPr>
            <w:tcW w:w="1110"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1F19F7BA" w14:textId="77777777" w:rsidR="003F0EEA" w:rsidRPr="000A2095" w:rsidRDefault="00FB7D0B">
            <w:pPr>
              <w:jc w:val="right"/>
              <w:rPr>
                <w:rFonts w:ascii="Arial" w:eastAsia="Arial" w:hAnsi="Arial" w:cs="Arial"/>
                <w:color w:val="000000"/>
                <w:sz w:val="16"/>
                <w:szCs w:val="20"/>
              </w:rPr>
            </w:pPr>
            <w:r w:rsidRPr="000A2095">
              <w:rPr>
                <w:rFonts w:ascii="Arial" w:eastAsia="Arial" w:hAnsi="Arial" w:cs="Arial"/>
                <w:color w:val="000000"/>
                <w:sz w:val="16"/>
                <w:szCs w:val="20"/>
              </w:rPr>
              <w:t xml:space="preserve"> 39,100 </w:t>
            </w:r>
          </w:p>
        </w:tc>
      </w:tr>
      <w:tr w:rsidR="00FB7D0B" w14:paraId="096464C1" w14:textId="77777777" w:rsidTr="00FB7D0B">
        <w:trPr>
          <w:trHeight w:val="225"/>
        </w:trPr>
        <w:tc>
          <w:tcPr>
            <w:tcW w:w="2430" w:type="dxa"/>
            <w:gridSpan w:val="3"/>
            <w:tcBorders>
              <w:top w:val="nil"/>
              <w:left w:val="nil"/>
              <w:bottom w:val="nil"/>
              <w:right w:val="nil"/>
              <w:tl2br w:val="nil"/>
              <w:tr2bl w:val="nil"/>
            </w:tcBorders>
            <w:shd w:val="clear" w:color="auto" w:fill="FFFFFF"/>
            <w:tcMar>
              <w:left w:w="101" w:type="dxa"/>
              <w:right w:w="101" w:type="dxa"/>
            </w:tcMar>
            <w:vAlign w:val="bottom"/>
          </w:tcPr>
          <w:p w14:paraId="61CB8C75" w14:textId="77777777" w:rsidR="003F0EEA" w:rsidRPr="000A2095" w:rsidRDefault="00FB7D0B">
            <w:pPr>
              <w:rPr>
                <w:rFonts w:ascii="Arial" w:eastAsia="Arial" w:hAnsi="Arial" w:cs="Arial"/>
                <w:color w:val="000000"/>
                <w:sz w:val="16"/>
                <w:szCs w:val="20"/>
              </w:rPr>
            </w:pPr>
            <w:r w:rsidRPr="000A2095">
              <w:rPr>
                <w:rFonts w:ascii="Arial" w:eastAsia="Arial" w:hAnsi="Arial" w:cs="Arial"/>
                <w:b/>
                <w:i/>
                <w:color w:val="000000"/>
                <w:sz w:val="16"/>
                <w:szCs w:val="20"/>
              </w:rPr>
              <w:t>Total cash used</w:t>
            </w:r>
          </w:p>
        </w:tc>
        <w:tc>
          <w:tcPr>
            <w:tcW w:w="1110"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58D842D6" w14:textId="77777777" w:rsidR="003F0EEA" w:rsidRPr="000A2095" w:rsidRDefault="00FB7D0B">
            <w:pPr>
              <w:jc w:val="right"/>
              <w:rPr>
                <w:rFonts w:ascii="Arial" w:eastAsia="Arial" w:hAnsi="Arial" w:cs="Arial"/>
                <w:b/>
                <w:i/>
                <w:color w:val="000000"/>
                <w:sz w:val="16"/>
                <w:szCs w:val="20"/>
              </w:rPr>
            </w:pPr>
            <w:r w:rsidRPr="000A2095">
              <w:rPr>
                <w:rFonts w:ascii="Arial" w:eastAsia="Arial" w:hAnsi="Arial" w:cs="Arial"/>
                <w:b/>
                <w:color w:val="000000"/>
                <w:sz w:val="16"/>
                <w:szCs w:val="20"/>
              </w:rPr>
              <w:t xml:space="preserve"> 12,089,897 </w:t>
            </w:r>
          </w:p>
        </w:tc>
        <w:tc>
          <w:tcPr>
            <w:tcW w:w="1110" w:type="dxa"/>
            <w:tcBorders>
              <w:top w:val="single" w:sz="6" w:space="0" w:color="000000"/>
              <w:left w:val="nil"/>
              <w:bottom w:val="single" w:sz="6" w:space="0" w:color="000000"/>
              <w:right w:val="nil"/>
              <w:tl2br w:val="nil"/>
              <w:tr2bl w:val="nil"/>
            </w:tcBorders>
            <w:shd w:val="clear" w:color="auto" w:fill="FFFF00"/>
            <w:tcMar>
              <w:left w:w="101" w:type="dxa"/>
              <w:right w:w="101" w:type="dxa"/>
            </w:tcMar>
            <w:vAlign w:val="bottom"/>
          </w:tcPr>
          <w:p w14:paraId="7B88FFE1" w14:textId="77777777" w:rsidR="003F0EEA" w:rsidRPr="000A2095" w:rsidRDefault="00FB7D0B">
            <w:pPr>
              <w:jc w:val="right"/>
              <w:rPr>
                <w:rFonts w:ascii="Arial" w:eastAsia="Arial" w:hAnsi="Arial" w:cs="Arial"/>
                <w:b/>
                <w:color w:val="000000"/>
                <w:sz w:val="16"/>
                <w:szCs w:val="20"/>
              </w:rPr>
            </w:pPr>
            <w:r w:rsidRPr="000A2095">
              <w:rPr>
                <w:rFonts w:ascii="Arial" w:eastAsia="Arial" w:hAnsi="Arial" w:cs="Arial"/>
                <w:b/>
                <w:color w:val="000000"/>
                <w:sz w:val="16"/>
                <w:szCs w:val="20"/>
              </w:rPr>
              <w:t xml:space="preserve"> 11,998,007 </w:t>
            </w:r>
          </w:p>
        </w:tc>
        <w:tc>
          <w:tcPr>
            <w:tcW w:w="1110"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51CD4968" w14:textId="77777777" w:rsidR="003F0EEA" w:rsidRPr="000A2095" w:rsidRDefault="00FB7D0B">
            <w:pPr>
              <w:jc w:val="right"/>
              <w:rPr>
                <w:rFonts w:ascii="Arial" w:eastAsia="Arial" w:hAnsi="Arial" w:cs="Arial"/>
                <w:b/>
                <w:color w:val="000000"/>
                <w:sz w:val="16"/>
                <w:szCs w:val="20"/>
              </w:rPr>
            </w:pPr>
            <w:r w:rsidRPr="000A2095">
              <w:rPr>
                <w:rFonts w:ascii="Arial" w:eastAsia="Arial" w:hAnsi="Arial" w:cs="Arial"/>
                <w:b/>
                <w:color w:val="000000"/>
                <w:sz w:val="16"/>
                <w:szCs w:val="20"/>
              </w:rPr>
              <w:t xml:space="preserve"> 11,858,749 </w:t>
            </w:r>
          </w:p>
        </w:tc>
        <w:tc>
          <w:tcPr>
            <w:tcW w:w="1110"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4B85FF8F" w14:textId="77777777" w:rsidR="003F0EEA" w:rsidRPr="000A2095" w:rsidRDefault="00FB7D0B">
            <w:pPr>
              <w:jc w:val="right"/>
              <w:rPr>
                <w:rFonts w:ascii="Arial" w:eastAsia="Arial" w:hAnsi="Arial" w:cs="Arial"/>
                <w:b/>
                <w:color w:val="000000"/>
                <w:sz w:val="16"/>
                <w:szCs w:val="20"/>
              </w:rPr>
            </w:pPr>
            <w:r w:rsidRPr="000A2095">
              <w:rPr>
                <w:rFonts w:ascii="Arial" w:eastAsia="Arial" w:hAnsi="Arial" w:cs="Arial"/>
                <w:b/>
                <w:color w:val="000000"/>
                <w:sz w:val="16"/>
                <w:szCs w:val="20"/>
              </w:rPr>
              <w:t xml:space="preserve"> 11,836,638 </w:t>
            </w:r>
          </w:p>
        </w:tc>
        <w:tc>
          <w:tcPr>
            <w:tcW w:w="1110"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6EA9F68D" w14:textId="77777777" w:rsidR="003F0EEA" w:rsidRPr="000A2095" w:rsidRDefault="00FB7D0B">
            <w:pPr>
              <w:jc w:val="right"/>
              <w:rPr>
                <w:rFonts w:ascii="Arial" w:eastAsia="Arial" w:hAnsi="Arial" w:cs="Arial"/>
                <w:b/>
                <w:color w:val="000000"/>
                <w:sz w:val="16"/>
                <w:szCs w:val="20"/>
              </w:rPr>
            </w:pPr>
            <w:r w:rsidRPr="000A2095">
              <w:rPr>
                <w:rFonts w:ascii="Arial" w:eastAsia="Arial" w:hAnsi="Arial" w:cs="Arial"/>
                <w:b/>
                <w:color w:val="000000"/>
                <w:sz w:val="16"/>
                <w:szCs w:val="20"/>
              </w:rPr>
              <w:t xml:space="preserve"> 11,792,453 </w:t>
            </w:r>
          </w:p>
        </w:tc>
      </w:tr>
      <w:tr w:rsidR="00FB7D0B" w14:paraId="748B3A9D" w14:textId="77777777" w:rsidTr="00FB7D0B">
        <w:trPr>
          <w:trHeight w:val="225"/>
        </w:trPr>
        <w:tc>
          <w:tcPr>
            <w:tcW w:w="2430" w:type="dxa"/>
            <w:gridSpan w:val="3"/>
            <w:tcBorders>
              <w:top w:val="nil"/>
              <w:left w:val="nil"/>
              <w:bottom w:val="nil"/>
              <w:right w:val="nil"/>
              <w:tl2br w:val="nil"/>
              <w:tr2bl w:val="nil"/>
            </w:tcBorders>
            <w:shd w:val="clear" w:color="auto" w:fill="FFFFFF"/>
            <w:tcMar>
              <w:left w:w="101" w:type="dxa"/>
              <w:right w:w="101" w:type="dxa"/>
            </w:tcMar>
            <w:vAlign w:val="bottom"/>
          </w:tcPr>
          <w:p w14:paraId="6B79F862" w14:textId="77777777" w:rsidR="003F0EEA" w:rsidRPr="000A2095" w:rsidRDefault="00FB7D0B">
            <w:pPr>
              <w:rPr>
                <w:rFonts w:ascii="Arial" w:eastAsia="Arial" w:hAnsi="Arial" w:cs="Arial"/>
                <w:b/>
                <w:color w:val="000000"/>
                <w:sz w:val="16"/>
                <w:szCs w:val="20"/>
              </w:rPr>
            </w:pPr>
            <w:r w:rsidRPr="000A2095">
              <w:rPr>
                <w:rFonts w:ascii="Arial" w:eastAsia="Arial" w:hAnsi="Arial" w:cs="Arial"/>
                <w:b/>
                <w:color w:val="000000"/>
                <w:sz w:val="16"/>
                <w:szCs w:val="20"/>
              </w:rPr>
              <w:t>Net cash used by</w:t>
            </w:r>
          </w:p>
        </w:tc>
        <w:tc>
          <w:tcPr>
            <w:tcW w:w="1110"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413AB140" w14:textId="77777777" w:rsidR="003F0EEA" w:rsidRPr="000A2095" w:rsidRDefault="003F0EEA">
            <w:pPr>
              <w:rPr>
                <w:rFonts w:ascii="Arial" w:eastAsia="Arial" w:hAnsi="Arial" w:cs="Arial"/>
                <w:b/>
                <w:color w:val="000000"/>
                <w:sz w:val="16"/>
                <w:szCs w:val="20"/>
              </w:rPr>
            </w:pPr>
          </w:p>
        </w:tc>
        <w:tc>
          <w:tcPr>
            <w:tcW w:w="1110" w:type="dxa"/>
            <w:tcBorders>
              <w:top w:val="single" w:sz="6" w:space="0" w:color="000000"/>
              <w:left w:val="nil"/>
              <w:bottom w:val="nil"/>
              <w:right w:val="nil"/>
              <w:tl2br w:val="nil"/>
              <w:tr2bl w:val="nil"/>
            </w:tcBorders>
            <w:shd w:val="clear" w:color="auto" w:fill="FFFF00"/>
            <w:tcMar>
              <w:left w:w="101" w:type="dxa"/>
              <w:right w:w="101" w:type="dxa"/>
            </w:tcMar>
            <w:vAlign w:val="bottom"/>
          </w:tcPr>
          <w:p w14:paraId="03AEC297" w14:textId="77777777" w:rsidR="003F0EEA" w:rsidRPr="000A2095" w:rsidRDefault="003F0EEA">
            <w:pPr>
              <w:rPr>
                <w:rFonts w:ascii="Arial" w:eastAsia="Arial" w:hAnsi="Arial" w:cs="Arial"/>
                <w:color w:val="000000"/>
                <w:sz w:val="16"/>
                <w:szCs w:val="20"/>
              </w:rPr>
            </w:pPr>
          </w:p>
        </w:tc>
        <w:tc>
          <w:tcPr>
            <w:tcW w:w="1110"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626BC244" w14:textId="77777777" w:rsidR="003F0EEA" w:rsidRPr="000A2095" w:rsidRDefault="003F0EEA">
            <w:pPr>
              <w:rPr>
                <w:rFonts w:ascii="Arial" w:eastAsia="Arial" w:hAnsi="Arial" w:cs="Arial"/>
                <w:color w:val="000000"/>
                <w:sz w:val="16"/>
                <w:szCs w:val="20"/>
              </w:rPr>
            </w:pPr>
          </w:p>
        </w:tc>
        <w:tc>
          <w:tcPr>
            <w:tcW w:w="1110"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5B08995F" w14:textId="77777777" w:rsidR="003F0EEA" w:rsidRPr="000A2095" w:rsidRDefault="003F0EEA">
            <w:pPr>
              <w:rPr>
                <w:rFonts w:ascii="Arial" w:eastAsia="Arial" w:hAnsi="Arial" w:cs="Arial"/>
                <w:color w:val="000000"/>
                <w:sz w:val="16"/>
                <w:szCs w:val="20"/>
              </w:rPr>
            </w:pPr>
          </w:p>
        </w:tc>
        <w:tc>
          <w:tcPr>
            <w:tcW w:w="1110"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73F0B636" w14:textId="77777777" w:rsidR="003F0EEA" w:rsidRPr="000A2095" w:rsidRDefault="003F0EEA">
            <w:pPr>
              <w:rPr>
                <w:rFonts w:ascii="Arial" w:eastAsia="Arial" w:hAnsi="Arial" w:cs="Arial"/>
                <w:color w:val="000000"/>
                <w:sz w:val="16"/>
                <w:szCs w:val="20"/>
              </w:rPr>
            </w:pPr>
          </w:p>
        </w:tc>
      </w:tr>
      <w:tr w:rsidR="00FB7D0B" w14:paraId="3DA25C5F" w14:textId="77777777" w:rsidTr="00FB7D0B">
        <w:trPr>
          <w:trHeight w:val="225"/>
        </w:trPr>
        <w:tc>
          <w:tcPr>
            <w:tcW w:w="180" w:type="dxa"/>
            <w:tcBorders>
              <w:top w:val="nil"/>
              <w:left w:val="nil"/>
              <w:bottom w:val="nil"/>
              <w:right w:val="nil"/>
              <w:tl2br w:val="nil"/>
              <w:tr2bl w:val="nil"/>
            </w:tcBorders>
            <w:shd w:val="clear" w:color="auto" w:fill="FFFFFF"/>
            <w:tcMar>
              <w:left w:w="101" w:type="dxa"/>
              <w:right w:w="101" w:type="dxa"/>
            </w:tcMar>
            <w:vAlign w:val="bottom"/>
          </w:tcPr>
          <w:p w14:paraId="1C5482C3" w14:textId="77777777" w:rsidR="003F0EEA" w:rsidRPr="000A2095" w:rsidRDefault="003F0EEA">
            <w:pPr>
              <w:rPr>
                <w:rFonts w:ascii="Arial" w:eastAsia="Arial" w:hAnsi="Arial" w:cs="Arial"/>
                <w:color w:val="000000"/>
                <w:sz w:val="16"/>
                <w:szCs w:val="20"/>
              </w:rPr>
            </w:pPr>
          </w:p>
        </w:tc>
        <w:tc>
          <w:tcPr>
            <w:tcW w:w="2250" w:type="dxa"/>
            <w:gridSpan w:val="2"/>
            <w:tcBorders>
              <w:top w:val="nil"/>
              <w:left w:val="nil"/>
              <w:bottom w:val="nil"/>
              <w:right w:val="nil"/>
              <w:tl2br w:val="nil"/>
              <w:tr2bl w:val="nil"/>
            </w:tcBorders>
            <w:shd w:val="clear" w:color="auto" w:fill="FFFFFF"/>
            <w:tcMar>
              <w:left w:w="101" w:type="dxa"/>
              <w:right w:w="101" w:type="dxa"/>
            </w:tcMar>
            <w:vAlign w:val="bottom"/>
          </w:tcPr>
          <w:p w14:paraId="712931B4" w14:textId="77777777" w:rsidR="003F0EEA" w:rsidRPr="000A2095" w:rsidRDefault="00FB7D0B">
            <w:pPr>
              <w:rPr>
                <w:rFonts w:ascii="Arial" w:eastAsia="Arial" w:hAnsi="Arial" w:cs="Arial"/>
                <w:color w:val="000000"/>
                <w:sz w:val="16"/>
                <w:szCs w:val="20"/>
              </w:rPr>
            </w:pPr>
            <w:r w:rsidRPr="000A2095">
              <w:rPr>
                <w:rFonts w:ascii="Arial" w:eastAsia="Arial" w:hAnsi="Arial" w:cs="Arial"/>
                <w:b/>
                <w:color w:val="000000"/>
                <w:sz w:val="16"/>
                <w:szCs w:val="20"/>
              </w:rPr>
              <w:t>operating activities</w:t>
            </w:r>
          </w:p>
        </w:tc>
        <w:tc>
          <w:tcPr>
            <w:tcW w:w="1110"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5464AF70" w14:textId="77777777" w:rsidR="003F0EEA" w:rsidRPr="000A2095" w:rsidRDefault="00FB7D0B">
            <w:pPr>
              <w:jc w:val="right"/>
              <w:rPr>
                <w:rFonts w:ascii="Arial" w:eastAsia="Arial" w:hAnsi="Arial" w:cs="Arial"/>
                <w:b/>
                <w:color w:val="000000"/>
                <w:sz w:val="16"/>
                <w:szCs w:val="20"/>
              </w:rPr>
            </w:pPr>
            <w:r w:rsidRPr="000A2095">
              <w:rPr>
                <w:rFonts w:ascii="Arial" w:eastAsia="Arial" w:hAnsi="Arial" w:cs="Arial"/>
                <w:b/>
                <w:color w:val="000000"/>
                <w:sz w:val="16"/>
                <w:szCs w:val="20"/>
              </w:rPr>
              <w:t>(12,036,914)</w:t>
            </w:r>
          </w:p>
        </w:tc>
        <w:tc>
          <w:tcPr>
            <w:tcW w:w="1110" w:type="dxa"/>
            <w:tcBorders>
              <w:top w:val="nil"/>
              <w:left w:val="nil"/>
              <w:bottom w:val="single" w:sz="6" w:space="0" w:color="000000"/>
              <w:right w:val="nil"/>
              <w:tl2br w:val="nil"/>
              <w:tr2bl w:val="nil"/>
            </w:tcBorders>
            <w:shd w:val="clear" w:color="auto" w:fill="FFFF00"/>
            <w:tcMar>
              <w:left w:w="101" w:type="dxa"/>
              <w:right w:w="101" w:type="dxa"/>
            </w:tcMar>
            <w:vAlign w:val="bottom"/>
          </w:tcPr>
          <w:p w14:paraId="35AB4F01" w14:textId="77777777" w:rsidR="003F0EEA" w:rsidRPr="000A2095" w:rsidRDefault="00FB7D0B">
            <w:pPr>
              <w:jc w:val="right"/>
              <w:rPr>
                <w:rFonts w:ascii="Arial" w:eastAsia="Arial" w:hAnsi="Arial" w:cs="Arial"/>
                <w:b/>
                <w:color w:val="000000"/>
                <w:sz w:val="16"/>
                <w:szCs w:val="20"/>
              </w:rPr>
            </w:pPr>
            <w:r w:rsidRPr="000A2095">
              <w:rPr>
                <w:rFonts w:ascii="Arial" w:eastAsia="Arial" w:hAnsi="Arial" w:cs="Arial"/>
                <w:b/>
                <w:color w:val="000000"/>
                <w:sz w:val="16"/>
                <w:szCs w:val="20"/>
              </w:rPr>
              <w:t>(11,945,024)</w:t>
            </w:r>
          </w:p>
        </w:tc>
        <w:tc>
          <w:tcPr>
            <w:tcW w:w="1110"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0802A1BF" w14:textId="77777777" w:rsidR="003F0EEA" w:rsidRPr="000A2095" w:rsidRDefault="00FB7D0B">
            <w:pPr>
              <w:jc w:val="right"/>
              <w:rPr>
                <w:rFonts w:ascii="Arial" w:eastAsia="Arial" w:hAnsi="Arial" w:cs="Arial"/>
                <w:b/>
                <w:color w:val="000000"/>
                <w:sz w:val="16"/>
                <w:szCs w:val="20"/>
              </w:rPr>
            </w:pPr>
            <w:r w:rsidRPr="000A2095">
              <w:rPr>
                <w:rFonts w:ascii="Arial" w:eastAsia="Arial" w:hAnsi="Arial" w:cs="Arial"/>
                <w:b/>
                <w:color w:val="000000"/>
                <w:sz w:val="16"/>
                <w:szCs w:val="20"/>
              </w:rPr>
              <w:t>(11,805,766)</w:t>
            </w:r>
          </w:p>
        </w:tc>
        <w:tc>
          <w:tcPr>
            <w:tcW w:w="1110"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6803E1B1" w14:textId="77777777" w:rsidR="003F0EEA" w:rsidRPr="000A2095" w:rsidRDefault="00FB7D0B">
            <w:pPr>
              <w:jc w:val="right"/>
              <w:rPr>
                <w:rFonts w:ascii="Arial" w:eastAsia="Arial" w:hAnsi="Arial" w:cs="Arial"/>
                <w:b/>
                <w:color w:val="000000"/>
                <w:sz w:val="16"/>
                <w:szCs w:val="20"/>
              </w:rPr>
            </w:pPr>
            <w:r w:rsidRPr="000A2095">
              <w:rPr>
                <w:rFonts w:ascii="Arial" w:eastAsia="Arial" w:hAnsi="Arial" w:cs="Arial"/>
                <w:b/>
                <w:color w:val="000000"/>
                <w:sz w:val="16"/>
                <w:szCs w:val="20"/>
              </w:rPr>
              <w:t>(11,783,655)</w:t>
            </w:r>
          </w:p>
        </w:tc>
        <w:tc>
          <w:tcPr>
            <w:tcW w:w="1110"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77F6442D" w14:textId="77777777" w:rsidR="003F0EEA" w:rsidRPr="000A2095" w:rsidRDefault="00FB7D0B">
            <w:pPr>
              <w:jc w:val="right"/>
              <w:rPr>
                <w:rFonts w:ascii="Arial" w:eastAsia="Arial" w:hAnsi="Arial" w:cs="Arial"/>
                <w:b/>
                <w:color w:val="000000"/>
                <w:sz w:val="16"/>
                <w:szCs w:val="20"/>
              </w:rPr>
            </w:pPr>
            <w:r w:rsidRPr="000A2095">
              <w:rPr>
                <w:rFonts w:ascii="Arial" w:eastAsia="Arial" w:hAnsi="Arial" w:cs="Arial"/>
                <w:b/>
                <w:color w:val="000000"/>
                <w:sz w:val="16"/>
                <w:szCs w:val="20"/>
              </w:rPr>
              <w:t>(11,739,470)</w:t>
            </w:r>
          </w:p>
        </w:tc>
      </w:tr>
      <w:tr w:rsidR="00724034" w14:paraId="1AC7C4CE" w14:textId="77777777">
        <w:trPr>
          <w:trHeight w:hRule="exact" w:val="135"/>
        </w:trPr>
        <w:tc>
          <w:tcPr>
            <w:tcW w:w="180" w:type="dxa"/>
            <w:tcBorders>
              <w:top w:val="nil"/>
              <w:left w:val="nil"/>
              <w:bottom w:val="nil"/>
              <w:right w:val="nil"/>
              <w:tl2br w:val="nil"/>
              <w:tr2bl w:val="nil"/>
            </w:tcBorders>
            <w:shd w:val="clear" w:color="auto" w:fill="FFFFFF"/>
            <w:tcMar>
              <w:left w:w="101" w:type="dxa"/>
              <w:right w:w="101" w:type="dxa"/>
            </w:tcMar>
            <w:vAlign w:val="bottom"/>
          </w:tcPr>
          <w:p w14:paraId="18BE8341" w14:textId="77777777" w:rsidR="003F0EEA" w:rsidRPr="000A2095" w:rsidRDefault="003F0EEA">
            <w:pPr>
              <w:rPr>
                <w:rFonts w:ascii="Arial" w:eastAsia="Arial" w:hAnsi="Arial" w:cs="Arial"/>
                <w:b/>
                <w:color w:val="000000"/>
                <w:sz w:val="16"/>
                <w:szCs w:val="20"/>
              </w:rPr>
            </w:pPr>
          </w:p>
        </w:tc>
        <w:tc>
          <w:tcPr>
            <w:tcW w:w="180" w:type="dxa"/>
            <w:tcBorders>
              <w:top w:val="nil"/>
              <w:left w:val="nil"/>
              <w:bottom w:val="nil"/>
              <w:right w:val="nil"/>
              <w:tl2br w:val="nil"/>
              <w:tr2bl w:val="nil"/>
            </w:tcBorders>
            <w:shd w:val="clear" w:color="auto" w:fill="FFFFFF"/>
            <w:tcMar>
              <w:left w:w="101" w:type="dxa"/>
              <w:right w:w="101" w:type="dxa"/>
            </w:tcMar>
            <w:vAlign w:val="bottom"/>
          </w:tcPr>
          <w:p w14:paraId="5FBE06D0" w14:textId="77777777" w:rsidR="003F0EEA" w:rsidRPr="000A2095" w:rsidRDefault="003F0EEA">
            <w:pPr>
              <w:rPr>
                <w:rFonts w:ascii="Arial" w:eastAsia="Arial" w:hAnsi="Arial" w:cs="Arial"/>
                <w:color w:val="000000"/>
                <w:sz w:val="16"/>
                <w:szCs w:val="20"/>
              </w:rPr>
            </w:pPr>
          </w:p>
        </w:tc>
        <w:tc>
          <w:tcPr>
            <w:tcW w:w="2070" w:type="dxa"/>
            <w:tcBorders>
              <w:top w:val="nil"/>
              <w:left w:val="nil"/>
              <w:bottom w:val="nil"/>
              <w:right w:val="nil"/>
              <w:tl2br w:val="nil"/>
              <w:tr2bl w:val="nil"/>
            </w:tcBorders>
            <w:shd w:val="clear" w:color="auto" w:fill="FFFFFF"/>
            <w:tcMar>
              <w:left w:w="101" w:type="dxa"/>
              <w:right w:w="101" w:type="dxa"/>
            </w:tcMar>
            <w:vAlign w:val="bottom"/>
          </w:tcPr>
          <w:p w14:paraId="18184E3B" w14:textId="77777777" w:rsidR="003F0EEA" w:rsidRPr="000A2095" w:rsidRDefault="003F0EEA">
            <w:pPr>
              <w:rPr>
                <w:rFonts w:ascii="Arial" w:eastAsia="Arial" w:hAnsi="Arial" w:cs="Arial"/>
                <w:color w:val="000000"/>
                <w:sz w:val="16"/>
                <w:szCs w:val="20"/>
              </w:rPr>
            </w:pPr>
          </w:p>
        </w:tc>
        <w:tc>
          <w:tcPr>
            <w:tcW w:w="1110"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777DD9CA" w14:textId="77777777" w:rsidR="003F0EEA" w:rsidRPr="000A2095" w:rsidRDefault="003F0EEA">
            <w:pPr>
              <w:rPr>
                <w:rFonts w:ascii="Arial" w:eastAsia="Arial" w:hAnsi="Arial" w:cs="Arial"/>
                <w:b/>
                <w:color w:val="000000"/>
                <w:sz w:val="16"/>
                <w:szCs w:val="20"/>
              </w:rPr>
            </w:pPr>
          </w:p>
        </w:tc>
        <w:tc>
          <w:tcPr>
            <w:tcW w:w="1110" w:type="dxa"/>
            <w:tcBorders>
              <w:top w:val="single" w:sz="6" w:space="0" w:color="000000"/>
              <w:left w:val="nil"/>
              <w:bottom w:val="nil"/>
              <w:right w:val="nil"/>
              <w:tl2br w:val="nil"/>
              <w:tr2bl w:val="nil"/>
            </w:tcBorders>
            <w:shd w:val="clear" w:color="auto" w:fill="FFFF00"/>
            <w:tcMar>
              <w:left w:w="101" w:type="dxa"/>
              <w:right w:w="101" w:type="dxa"/>
            </w:tcMar>
            <w:vAlign w:val="bottom"/>
          </w:tcPr>
          <w:p w14:paraId="3219089A" w14:textId="77777777" w:rsidR="003F0EEA" w:rsidRPr="000A2095" w:rsidRDefault="003F0EEA">
            <w:pPr>
              <w:rPr>
                <w:rFonts w:ascii="Arial" w:eastAsia="Arial" w:hAnsi="Arial" w:cs="Arial"/>
                <w:color w:val="000000"/>
                <w:sz w:val="16"/>
                <w:szCs w:val="20"/>
              </w:rPr>
            </w:pPr>
          </w:p>
        </w:tc>
        <w:tc>
          <w:tcPr>
            <w:tcW w:w="1110"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056BDD48" w14:textId="77777777" w:rsidR="003F0EEA" w:rsidRPr="000A2095" w:rsidRDefault="003F0EEA">
            <w:pPr>
              <w:rPr>
                <w:rFonts w:ascii="Arial" w:eastAsia="Arial" w:hAnsi="Arial" w:cs="Arial"/>
                <w:color w:val="000000"/>
                <w:sz w:val="16"/>
                <w:szCs w:val="20"/>
              </w:rPr>
            </w:pPr>
          </w:p>
        </w:tc>
        <w:tc>
          <w:tcPr>
            <w:tcW w:w="1110"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1614C4C3" w14:textId="77777777" w:rsidR="003F0EEA" w:rsidRPr="000A2095" w:rsidRDefault="003F0EEA">
            <w:pPr>
              <w:rPr>
                <w:rFonts w:ascii="Arial" w:eastAsia="Arial" w:hAnsi="Arial" w:cs="Arial"/>
                <w:color w:val="000000"/>
                <w:sz w:val="16"/>
                <w:szCs w:val="20"/>
              </w:rPr>
            </w:pPr>
          </w:p>
        </w:tc>
        <w:tc>
          <w:tcPr>
            <w:tcW w:w="1110"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35CD29C2" w14:textId="77777777" w:rsidR="003F0EEA" w:rsidRPr="000A2095" w:rsidRDefault="003F0EEA">
            <w:pPr>
              <w:rPr>
                <w:rFonts w:ascii="Arial" w:eastAsia="Arial" w:hAnsi="Arial" w:cs="Arial"/>
                <w:color w:val="000000"/>
                <w:sz w:val="16"/>
                <w:szCs w:val="20"/>
              </w:rPr>
            </w:pPr>
          </w:p>
        </w:tc>
      </w:tr>
      <w:tr w:rsidR="00FB7D0B" w14:paraId="6D771880" w14:textId="77777777" w:rsidTr="00FB7D0B">
        <w:trPr>
          <w:trHeight w:val="225"/>
        </w:trPr>
        <w:tc>
          <w:tcPr>
            <w:tcW w:w="2430" w:type="dxa"/>
            <w:gridSpan w:val="3"/>
            <w:tcBorders>
              <w:top w:val="nil"/>
              <w:left w:val="nil"/>
              <w:bottom w:val="nil"/>
              <w:right w:val="nil"/>
              <w:tl2br w:val="nil"/>
              <w:tr2bl w:val="nil"/>
            </w:tcBorders>
            <w:shd w:val="clear" w:color="auto" w:fill="FFFFFF"/>
            <w:tcMar>
              <w:left w:w="101" w:type="dxa"/>
              <w:right w:w="101" w:type="dxa"/>
            </w:tcMar>
            <w:vAlign w:val="bottom"/>
          </w:tcPr>
          <w:p w14:paraId="7CD5D7B1" w14:textId="77777777" w:rsidR="003F0EEA" w:rsidRPr="000A2095" w:rsidRDefault="00FB7D0B">
            <w:pPr>
              <w:rPr>
                <w:rFonts w:ascii="Arial" w:eastAsia="Arial" w:hAnsi="Arial" w:cs="Arial"/>
                <w:color w:val="000000"/>
                <w:sz w:val="16"/>
                <w:szCs w:val="20"/>
              </w:rPr>
            </w:pPr>
            <w:r w:rsidRPr="000A2095">
              <w:rPr>
                <w:rFonts w:ascii="Arial" w:eastAsia="Arial" w:hAnsi="Arial" w:cs="Arial"/>
                <w:b/>
                <w:color w:val="000000"/>
                <w:sz w:val="16"/>
                <w:szCs w:val="20"/>
              </w:rPr>
              <w:t>INVESTING ACTIVITIES</w:t>
            </w:r>
          </w:p>
        </w:tc>
        <w:tc>
          <w:tcPr>
            <w:tcW w:w="1110" w:type="dxa"/>
            <w:tcBorders>
              <w:top w:val="nil"/>
              <w:left w:val="nil"/>
              <w:bottom w:val="nil"/>
              <w:right w:val="nil"/>
              <w:tl2br w:val="nil"/>
              <w:tr2bl w:val="nil"/>
            </w:tcBorders>
            <w:shd w:val="clear" w:color="auto" w:fill="FFFFFF"/>
            <w:tcMar>
              <w:left w:w="101" w:type="dxa"/>
              <w:right w:w="101" w:type="dxa"/>
            </w:tcMar>
            <w:vAlign w:val="bottom"/>
          </w:tcPr>
          <w:p w14:paraId="32C09EBB" w14:textId="77777777" w:rsidR="003F0EEA" w:rsidRPr="000A2095" w:rsidRDefault="003F0EEA">
            <w:pPr>
              <w:rPr>
                <w:rFonts w:ascii="Arial" w:eastAsia="Arial" w:hAnsi="Arial" w:cs="Arial"/>
                <w:b/>
                <w:color w:val="000000"/>
                <w:sz w:val="16"/>
                <w:szCs w:val="20"/>
              </w:rPr>
            </w:pPr>
          </w:p>
        </w:tc>
        <w:tc>
          <w:tcPr>
            <w:tcW w:w="1110" w:type="dxa"/>
            <w:tcBorders>
              <w:top w:val="nil"/>
              <w:left w:val="nil"/>
              <w:bottom w:val="nil"/>
              <w:right w:val="nil"/>
              <w:tl2br w:val="nil"/>
              <w:tr2bl w:val="nil"/>
            </w:tcBorders>
            <w:shd w:val="clear" w:color="auto" w:fill="FFFF00"/>
            <w:tcMar>
              <w:left w:w="101" w:type="dxa"/>
              <w:right w:w="101" w:type="dxa"/>
            </w:tcMar>
            <w:vAlign w:val="bottom"/>
          </w:tcPr>
          <w:p w14:paraId="22964879" w14:textId="77777777" w:rsidR="003F0EEA" w:rsidRPr="000A2095" w:rsidRDefault="003F0EEA">
            <w:pPr>
              <w:rPr>
                <w:rFonts w:ascii="Arial" w:eastAsia="Arial" w:hAnsi="Arial" w:cs="Arial"/>
                <w:color w:val="000000"/>
                <w:sz w:val="16"/>
                <w:szCs w:val="20"/>
              </w:rPr>
            </w:pPr>
          </w:p>
        </w:tc>
        <w:tc>
          <w:tcPr>
            <w:tcW w:w="1110" w:type="dxa"/>
            <w:tcBorders>
              <w:top w:val="nil"/>
              <w:left w:val="nil"/>
              <w:bottom w:val="nil"/>
              <w:right w:val="nil"/>
              <w:tl2br w:val="nil"/>
              <w:tr2bl w:val="nil"/>
            </w:tcBorders>
            <w:shd w:val="clear" w:color="auto" w:fill="FFFFFF"/>
            <w:tcMar>
              <w:left w:w="101" w:type="dxa"/>
              <w:right w:w="101" w:type="dxa"/>
            </w:tcMar>
            <w:vAlign w:val="bottom"/>
          </w:tcPr>
          <w:p w14:paraId="7A6709F1" w14:textId="77777777" w:rsidR="003F0EEA" w:rsidRPr="000A2095" w:rsidRDefault="003F0EEA">
            <w:pPr>
              <w:rPr>
                <w:rFonts w:ascii="Arial" w:eastAsia="Arial" w:hAnsi="Arial" w:cs="Arial"/>
                <w:color w:val="000000"/>
                <w:sz w:val="16"/>
                <w:szCs w:val="20"/>
              </w:rPr>
            </w:pPr>
          </w:p>
        </w:tc>
        <w:tc>
          <w:tcPr>
            <w:tcW w:w="1110" w:type="dxa"/>
            <w:tcBorders>
              <w:top w:val="nil"/>
              <w:left w:val="nil"/>
              <w:bottom w:val="nil"/>
              <w:right w:val="nil"/>
              <w:tl2br w:val="nil"/>
              <w:tr2bl w:val="nil"/>
            </w:tcBorders>
            <w:shd w:val="clear" w:color="auto" w:fill="FFFFFF"/>
            <w:tcMar>
              <w:left w:w="101" w:type="dxa"/>
              <w:right w:w="101" w:type="dxa"/>
            </w:tcMar>
            <w:vAlign w:val="bottom"/>
          </w:tcPr>
          <w:p w14:paraId="5DF56766" w14:textId="77777777" w:rsidR="003F0EEA" w:rsidRPr="000A2095" w:rsidRDefault="003F0EEA">
            <w:pPr>
              <w:rPr>
                <w:rFonts w:ascii="Arial" w:eastAsia="Arial" w:hAnsi="Arial" w:cs="Arial"/>
                <w:color w:val="000000"/>
                <w:sz w:val="16"/>
                <w:szCs w:val="20"/>
              </w:rPr>
            </w:pPr>
          </w:p>
        </w:tc>
        <w:tc>
          <w:tcPr>
            <w:tcW w:w="1110" w:type="dxa"/>
            <w:tcBorders>
              <w:top w:val="nil"/>
              <w:left w:val="nil"/>
              <w:bottom w:val="nil"/>
              <w:right w:val="nil"/>
              <w:tl2br w:val="nil"/>
              <w:tr2bl w:val="nil"/>
            </w:tcBorders>
            <w:shd w:val="clear" w:color="auto" w:fill="FFFFFF"/>
            <w:tcMar>
              <w:left w:w="101" w:type="dxa"/>
              <w:right w:w="101" w:type="dxa"/>
            </w:tcMar>
            <w:vAlign w:val="bottom"/>
          </w:tcPr>
          <w:p w14:paraId="2A8C8FD8" w14:textId="77777777" w:rsidR="003F0EEA" w:rsidRPr="000A2095" w:rsidRDefault="003F0EEA">
            <w:pPr>
              <w:rPr>
                <w:rFonts w:ascii="Arial" w:eastAsia="Arial" w:hAnsi="Arial" w:cs="Arial"/>
                <w:color w:val="000000"/>
                <w:sz w:val="16"/>
                <w:szCs w:val="20"/>
              </w:rPr>
            </w:pPr>
          </w:p>
        </w:tc>
      </w:tr>
      <w:tr w:rsidR="00FB7D0B" w14:paraId="20347380" w14:textId="77777777" w:rsidTr="00FB7D0B">
        <w:trPr>
          <w:trHeight w:val="225"/>
        </w:trPr>
        <w:tc>
          <w:tcPr>
            <w:tcW w:w="2430" w:type="dxa"/>
            <w:gridSpan w:val="3"/>
            <w:tcBorders>
              <w:top w:val="nil"/>
              <w:left w:val="nil"/>
              <w:bottom w:val="nil"/>
              <w:right w:val="nil"/>
              <w:tl2br w:val="nil"/>
              <w:tr2bl w:val="nil"/>
            </w:tcBorders>
            <w:shd w:val="clear" w:color="auto" w:fill="FFFFFF"/>
            <w:tcMar>
              <w:left w:w="101" w:type="dxa"/>
              <w:right w:w="101" w:type="dxa"/>
            </w:tcMar>
            <w:vAlign w:val="bottom"/>
          </w:tcPr>
          <w:p w14:paraId="0CF3C7D6" w14:textId="77777777" w:rsidR="003F0EEA" w:rsidRPr="000A2095" w:rsidRDefault="00FB7D0B">
            <w:pPr>
              <w:rPr>
                <w:rFonts w:ascii="Arial" w:eastAsia="Arial" w:hAnsi="Arial" w:cs="Arial"/>
                <w:color w:val="000000"/>
                <w:sz w:val="16"/>
                <w:szCs w:val="20"/>
              </w:rPr>
            </w:pPr>
            <w:r w:rsidRPr="000A2095">
              <w:rPr>
                <w:rFonts w:ascii="Arial" w:eastAsia="Arial" w:hAnsi="Arial" w:cs="Arial"/>
                <w:b/>
                <w:color w:val="000000"/>
                <w:sz w:val="16"/>
                <w:szCs w:val="20"/>
              </w:rPr>
              <w:t>Cash used</w:t>
            </w:r>
          </w:p>
        </w:tc>
        <w:tc>
          <w:tcPr>
            <w:tcW w:w="1110" w:type="dxa"/>
            <w:tcBorders>
              <w:top w:val="nil"/>
              <w:left w:val="nil"/>
              <w:bottom w:val="nil"/>
              <w:right w:val="nil"/>
              <w:tl2br w:val="nil"/>
              <w:tr2bl w:val="nil"/>
            </w:tcBorders>
            <w:shd w:val="clear" w:color="auto" w:fill="FFFFFF"/>
            <w:tcMar>
              <w:left w:w="101" w:type="dxa"/>
              <w:right w:w="101" w:type="dxa"/>
            </w:tcMar>
            <w:vAlign w:val="bottom"/>
          </w:tcPr>
          <w:p w14:paraId="7F460E6B" w14:textId="77777777" w:rsidR="003F0EEA" w:rsidRPr="000A2095" w:rsidRDefault="003F0EEA">
            <w:pPr>
              <w:rPr>
                <w:rFonts w:ascii="Arial" w:eastAsia="Arial" w:hAnsi="Arial" w:cs="Arial"/>
                <w:b/>
                <w:color w:val="000000"/>
                <w:sz w:val="16"/>
                <w:szCs w:val="20"/>
              </w:rPr>
            </w:pPr>
          </w:p>
        </w:tc>
        <w:tc>
          <w:tcPr>
            <w:tcW w:w="1110" w:type="dxa"/>
            <w:tcBorders>
              <w:top w:val="nil"/>
              <w:left w:val="nil"/>
              <w:bottom w:val="nil"/>
              <w:right w:val="nil"/>
              <w:tl2br w:val="nil"/>
              <w:tr2bl w:val="nil"/>
            </w:tcBorders>
            <w:shd w:val="clear" w:color="auto" w:fill="FFFF00"/>
            <w:tcMar>
              <w:left w:w="101" w:type="dxa"/>
              <w:right w:w="101" w:type="dxa"/>
            </w:tcMar>
            <w:vAlign w:val="bottom"/>
          </w:tcPr>
          <w:p w14:paraId="3DA4091F" w14:textId="77777777" w:rsidR="003F0EEA" w:rsidRPr="000A2095" w:rsidRDefault="003F0EEA">
            <w:pPr>
              <w:rPr>
                <w:rFonts w:ascii="Arial" w:eastAsia="Arial" w:hAnsi="Arial" w:cs="Arial"/>
                <w:color w:val="000000"/>
                <w:sz w:val="16"/>
                <w:szCs w:val="20"/>
              </w:rPr>
            </w:pPr>
          </w:p>
        </w:tc>
        <w:tc>
          <w:tcPr>
            <w:tcW w:w="1110" w:type="dxa"/>
            <w:tcBorders>
              <w:top w:val="nil"/>
              <w:left w:val="nil"/>
              <w:bottom w:val="nil"/>
              <w:right w:val="nil"/>
              <w:tl2br w:val="nil"/>
              <w:tr2bl w:val="nil"/>
            </w:tcBorders>
            <w:shd w:val="clear" w:color="auto" w:fill="FFFFFF"/>
            <w:tcMar>
              <w:left w:w="101" w:type="dxa"/>
              <w:right w:w="101" w:type="dxa"/>
            </w:tcMar>
            <w:vAlign w:val="bottom"/>
          </w:tcPr>
          <w:p w14:paraId="58FEB39E" w14:textId="77777777" w:rsidR="003F0EEA" w:rsidRPr="000A2095" w:rsidRDefault="003F0EEA">
            <w:pPr>
              <w:rPr>
                <w:rFonts w:ascii="Arial" w:eastAsia="Arial" w:hAnsi="Arial" w:cs="Arial"/>
                <w:color w:val="000000"/>
                <w:sz w:val="16"/>
                <w:szCs w:val="20"/>
              </w:rPr>
            </w:pPr>
          </w:p>
        </w:tc>
        <w:tc>
          <w:tcPr>
            <w:tcW w:w="1110" w:type="dxa"/>
            <w:tcBorders>
              <w:top w:val="nil"/>
              <w:left w:val="nil"/>
              <w:bottom w:val="nil"/>
              <w:right w:val="nil"/>
              <w:tl2br w:val="nil"/>
              <w:tr2bl w:val="nil"/>
            </w:tcBorders>
            <w:shd w:val="clear" w:color="auto" w:fill="FFFFFF"/>
            <w:tcMar>
              <w:left w:w="101" w:type="dxa"/>
              <w:right w:w="101" w:type="dxa"/>
            </w:tcMar>
            <w:vAlign w:val="bottom"/>
          </w:tcPr>
          <w:p w14:paraId="3E3D8792" w14:textId="77777777" w:rsidR="003F0EEA" w:rsidRPr="000A2095" w:rsidRDefault="003F0EEA">
            <w:pPr>
              <w:rPr>
                <w:rFonts w:ascii="Arial" w:eastAsia="Arial" w:hAnsi="Arial" w:cs="Arial"/>
                <w:color w:val="000000"/>
                <w:sz w:val="16"/>
                <w:szCs w:val="20"/>
              </w:rPr>
            </w:pPr>
          </w:p>
        </w:tc>
        <w:tc>
          <w:tcPr>
            <w:tcW w:w="1110" w:type="dxa"/>
            <w:tcBorders>
              <w:top w:val="nil"/>
              <w:left w:val="nil"/>
              <w:bottom w:val="nil"/>
              <w:right w:val="nil"/>
              <w:tl2br w:val="nil"/>
              <w:tr2bl w:val="nil"/>
            </w:tcBorders>
            <w:shd w:val="clear" w:color="auto" w:fill="FFFFFF"/>
            <w:tcMar>
              <w:left w:w="101" w:type="dxa"/>
              <w:right w:w="101" w:type="dxa"/>
            </w:tcMar>
            <w:vAlign w:val="bottom"/>
          </w:tcPr>
          <w:p w14:paraId="5986B757" w14:textId="77777777" w:rsidR="003F0EEA" w:rsidRPr="000A2095" w:rsidRDefault="003F0EEA">
            <w:pPr>
              <w:rPr>
                <w:rFonts w:ascii="Arial" w:eastAsia="Arial" w:hAnsi="Arial" w:cs="Arial"/>
                <w:color w:val="000000"/>
                <w:sz w:val="16"/>
                <w:szCs w:val="20"/>
              </w:rPr>
            </w:pPr>
          </w:p>
        </w:tc>
      </w:tr>
      <w:tr w:rsidR="00FB7D0B" w14:paraId="2E8B0134" w14:textId="77777777" w:rsidTr="00FB7D0B">
        <w:trPr>
          <w:trHeight w:val="225"/>
        </w:trPr>
        <w:tc>
          <w:tcPr>
            <w:tcW w:w="180" w:type="dxa"/>
            <w:tcBorders>
              <w:top w:val="nil"/>
              <w:left w:val="nil"/>
              <w:bottom w:val="nil"/>
              <w:right w:val="nil"/>
              <w:tl2br w:val="nil"/>
              <w:tr2bl w:val="nil"/>
            </w:tcBorders>
            <w:shd w:val="clear" w:color="auto" w:fill="FFFFFF"/>
            <w:tcMar>
              <w:left w:w="101" w:type="dxa"/>
              <w:right w:w="101" w:type="dxa"/>
            </w:tcMar>
            <w:vAlign w:val="bottom"/>
          </w:tcPr>
          <w:p w14:paraId="173FC8C0" w14:textId="77777777" w:rsidR="003F0EEA" w:rsidRPr="000A2095" w:rsidRDefault="003F0EEA">
            <w:pPr>
              <w:rPr>
                <w:rFonts w:ascii="Arial" w:eastAsia="Arial" w:hAnsi="Arial" w:cs="Arial"/>
                <w:color w:val="000000"/>
                <w:sz w:val="16"/>
                <w:szCs w:val="20"/>
              </w:rPr>
            </w:pPr>
          </w:p>
        </w:tc>
        <w:tc>
          <w:tcPr>
            <w:tcW w:w="2250" w:type="dxa"/>
            <w:gridSpan w:val="2"/>
            <w:vMerge w:val="restart"/>
            <w:tcBorders>
              <w:top w:val="nil"/>
              <w:left w:val="nil"/>
              <w:bottom w:val="nil"/>
              <w:right w:val="nil"/>
              <w:tl2br w:val="nil"/>
              <w:tr2bl w:val="nil"/>
            </w:tcBorders>
            <w:shd w:val="clear" w:color="auto" w:fill="FFFFFF"/>
            <w:tcMar>
              <w:left w:w="101" w:type="dxa"/>
              <w:right w:w="101" w:type="dxa"/>
            </w:tcMar>
            <w:vAlign w:val="bottom"/>
          </w:tcPr>
          <w:p w14:paraId="050519A9" w14:textId="77777777" w:rsidR="003F0EEA" w:rsidRPr="000A2095" w:rsidRDefault="00FB7D0B">
            <w:pPr>
              <w:rPr>
                <w:rFonts w:ascii="Arial" w:eastAsia="Arial" w:hAnsi="Arial" w:cs="Arial"/>
                <w:b/>
                <w:color w:val="000000"/>
                <w:sz w:val="16"/>
                <w:szCs w:val="20"/>
              </w:rPr>
            </w:pPr>
            <w:r w:rsidRPr="000A2095">
              <w:rPr>
                <w:rFonts w:ascii="Arial" w:eastAsia="Arial" w:hAnsi="Arial" w:cs="Arial"/>
                <w:color w:val="000000"/>
                <w:sz w:val="16"/>
                <w:szCs w:val="20"/>
              </w:rPr>
              <w:t xml:space="preserve">Purchase of property, plant, </w:t>
            </w:r>
          </w:p>
        </w:tc>
        <w:tc>
          <w:tcPr>
            <w:tcW w:w="1110" w:type="dxa"/>
            <w:tcBorders>
              <w:top w:val="nil"/>
              <w:left w:val="nil"/>
              <w:bottom w:val="nil"/>
              <w:right w:val="nil"/>
              <w:tl2br w:val="nil"/>
              <w:tr2bl w:val="nil"/>
            </w:tcBorders>
            <w:shd w:val="clear" w:color="auto" w:fill="FFFFFF"/>
            <w:tcMar>
              <w:left w:w="101" w:type="dxa"/>
              <w:right w:w="101" w:type="dxa"/>
            </w:tcMar>
            <w:vAlign w:val="bottom"/>
          </w:tcPr>
          <w:p w14:paraId="2FB62CCE" w14:textId="77777777" w:rsidR="003F0EEA" w:rsidRPr="000A2095" w:rsidRDefault="003F0EEA">
            <w:pPr>
              <w:rPr>
                <w:rFonts w:ascii="Arial" w:eastAsia="Arial" w:hAnsi="Arial" w:cs="Arial"/>
                <w:color w:val="000000"/>
                <w:sz w:val="16"/>
                <w:szCs w:val="20"/>
              </w:rPr>
            </w:pPr>
          </w:p>
        </w:tc>
        <w:tc>
          <w:tcPr>
            <w:tcW w:w="1110" w:type="dxa"/>
            <w:tcBorders>
              <w:top w:val="nil"/>
              <w:left w:val="nil"/>
              <w:bottom w:val="nil"/>
              <w:right w:val="nil"/>
              <w:tl2br w:val="nil"/>
              <w:tr2bl w:val="nil"/>
            </w:tcBorders>
            <w:shd w:val="clear" w:color="auto" w:fill="FFFF00"/>
            <w:tcMar>
              <w:left w:w="101" w:type="dxa"/>
              <w:right w:w="101" w:type="dxa"/>
            </w:tcMar>
            <w:vAlign w:val="bottom"/>
          </w:tcPr>
          <w:p w14:paraId="7AE1AE74" w14:textId="77777777" w:rsidR="003F0EEA" w:rsidRPr="000A2095" w:rsidRDefault="003F0EEA">
            <w:pPr>
              <w:rPr>
                <w:rFonts w:ascii="Arial" w:eastAsia="Arial" w:hAnsi="Arial" w:cs="Arial"/>
                <w:color w:val="000000"/>
                <w:sz w:val="16"/>
                <w:szCs w:val="20"/>
              </w:rPr>
            </w:pPr>
          </w:p>
        </w:tc>
        <w:tc>
          <w:tcPr>
            <w:tcW w:w="1110" w:type="dxa"/>
            <w:tcBorders>
              <w:top w:val="nil"/>
              <w:left w:val="nil"/>
              <w:bottom w:val="nil"/>
              <w:right w:val="nil"/>
              <w:tl2br w:val="nil"/>
              <w:tr2bl w:val="nil"/>
            </w:tcBorders>
            <w:shd w:val="clear" w:color="auto" w:fill="FFFFFF"/>
            <w:tcMar>
              <w:left w:w="101" w:type="dxa"/>
              <w:right w:w="101" w:type="dxa"/>
            </w:tcMar>
            <w:vAlign w:val="bottom"/>
          </w:tcPr>
          <w:p w14:paraId="3EEE8D41" w14:textId="77777777" w:rsidR="003F0EEA" w:rsidRPr="000A2095" w:rsidRDefault="003F0EEA">
            <w:pPr>
              <w:rPr>
                <w:rFonts w:ascii="Arial" w:eastAsia="Arial" w:hAnsi="Arial" w:cs="Arial"/>
                <w:color w:val="000000"/>
                <w:sz w:val="16"/>
                <w:szCs w:val="20"/>
              </w:rPr>
            </w:pPr>
          </w:p>
        </w:tc>
        <w:tc>
          <w:tcPr>
            <w:tcW w:w="1110" w:type="dxa"/>
            <w:tcBorders>
              <w:top w:val="nil"/>
              <w:left w:val="nil"/>
              <w:bottom w:val="nil"/>
              <w:right w:val="nil"/>
              <w:tl2br w:val="nil"/>
              <w:tr2bl w:val="nil"/>
            </w:tcBorders>
            <w:shd w:val="clear" w:color="auto" w:fill="FFFFFF"/>
            <w:tcMar>
              <w:left w:w="101" w:type="dxa"/>
              <w:right w:w="101" w:type="dxa"/>
            </w:tcMar>
            <w:vAlign w:val="bottom"/>
          </w:tcPr>
          <w:p w14:paraId="60ADCCDB" w14:textId="77777777" w:rsidR="003F0EEA" w:rsidRPr="000A2095" w:rsidRDefault="003F0EEA">
            <w:pPr>
              <w:rPr>
                <w:rFonts w:ascii="Arial" w:eastAsia="Arial" w:hAnsi="Arial" w:cs="Arial"/>
                <w:color w:val="000000"/>
                <w:sz w:val="16"/>
                <w:szCs w:val="20"/>
              </w:rPr>
            </w:pPr>
          </w:p>
        </w:tc>
        <w:tc>
          <w:tcPr>
            <w:tcW w:w="1110" w:type="dxa"/>
            <w:tcBorders>
              <w:top w:val="nil"/>
              <w:left w:val="nil"/>
              <w:bottom w:val="nil"/>
              <w:right w:val="nil"/>
              <w:tl2br w:val="nil"/>
              <w:tr2bl w:val="nil"/>
            </w:tcBorders>
            <w:shd w:val="clear" w:color="auto" w:fill="FFFFFF"/>
            <w:tcMar>
              <w:left w:w="101" w:type="dxa"/>
              <w:right w:w="101" w:type="dxa"/>
            </w:tcMar>
            <w:vAlign w:val="bottom"/>
          </w:tcPr>
          <w:p w14:paraId="0698CA06" w14:textId="77777777" w:rsidR="003F0EEA" w:rsidRPr="000A2095" w:rsidRDefault="003F0EEA">
            <w:pPr>
              <w:rPr>
                <w:rFonts w:ascii="Arial" w:eastAsia="Arial" w:hAnsi="Arial" w:cs="Arial"/>
                <w:color w:val="000000"/>
                <w:sz w:val="16"/>
                <w:szCs w:val="20"/>
              </w:rPr>
            </w:pPr>
          </w:p>
        </w:tc>
      </w:tr>
      <w:tr w:rsidR="00FB7D0B" w14:paraId="580B361E" w14:textId="77777777" w:rsidTr="00FB7D0B">
        <w:trPr>
          <w:trHeight w:val="225"/>
        </w:trPr>
        <w:tc>
          <w:tcPr>
            <w:tcW w:w="180" w:type="dxa"/>
            <w:tcBorders>
              <w:top w:val="nil"/>
              <w:left w:val="nil"/>
              <w:bottom w:val="nil"/>
              <w:right w:val="nil"/>
              <w:tl2br w:val="nil"/>
              <w:tr2bl w:val="nil"/>
            </w:tcBorders>
            <w:shd w:val="clear" w:color="auto" w:fill="FFFFFF"/>
            <w:tcMar>
              <w:left w:w="101" w:type="dxa"/>
              <w:right w:w="101" w:type="dxa"/>
            </w:tcMar>
            <w:vAlign w:val="bottom"/>
          </w:tcPr>
          <w:p w14:paraId="25B9E423" w14:textId="77777777" w:rsidR="003F0EEA" w:rsidRPr="000A2095" w:rsidRDefault="003F0EEA">
            <w:pPr>
              <w:rPr>
                <w:rFonts w:ascii="Arial" w:eastAsia="Arial" w:hAnsi="Arial" w:cs="Arial"/>
                <w:color w:val="000000"/>
                <w:sz w:val="16"/>
                <w:szCs w:val="20"/>
              </w:rPr>
            </w:pPr>
          </w:p>
        </w:tc>
        <w:tc>
          <w:tcPr>
            <w:tcW w:w="2250" w:type="dxa"/>
            <w:gridSpan w:val="2"/>
            <w:vMerge w:val="restart"/>
            <w:tcBorders>
              <w:top w:val="nil"/>
              <w:left w:val="nil"/>
              <w:bottom w:val="nil"/>
              <w:right w:val="nil"/>
              <w:tl2br w:val="nil"/>
              <w:tr2bl w:val="nil"/>
            </w:tcBorders>
            <w:shd w:val="clear" w:color="auto" w:fill="FFFFFF"/>
            <w:tcMar>
              <w:left w:w="101" w:type="dxa"/>
              <w:right w:w="101" w:type="dxa"/>
            </w:tcMar>
            <w:vAlign w:val="bottom"/>
          </w:tcPr>
          <w:p w14:paraId="6771C7B0" w14:textId="77777777" w:rsidR="003F0EEA" w:rsidRPr="000A2095" w:rsidRDefault="00FB7D0B">
            <w:pPr>
              <w:rPr>
                <w:rFonts w:ascii="Arial" w:eastAsia="Arial" w:hAnsi="Arial" w:cs="Arial"/>
                <w:b/>
                <w:color w:val="000000"/>
                <w:sz w:val="16"/>
                <w:szCs w:val="20"/>
              </w:rPr>
            </w:pPr>
            <w:r w:rsidRPr="000A2095">
              <w:rPr>
                <w:rFonts w:ascii="Arial" w:eastAsia="Arial" w:hAnsi="Arial" w:cs="Arial"/>
                <w:color w:val="000000"/>
                <w:sz w:val="16"/>
                <w:szCs w:val="20"/>
              </w:rPr>
              <w:t>equipment and Intangibles</w:t>
            </w:r>
          </w:p>
        </w:tc>
        <w:tc>
          <w:tcPr>
            <w:tcW w:w="1110" w:type="dxa"/>
            <w:tcBorders>
              <w:top w:val="nil"/>
              <w:left w:val="nil"/>
              <w:bottom w:val="nil"/>
              <w:right w:val="nil"/>
              <w:tl2br w:val="nil"/>
              <w:tr2bl w:val="nil"/>
            </w:tcBorders>
            <w:shd w:val="clear" w:color="auto" w:fill="FFFFFF"/>
            <w:tcMar>
              <w:left w:w="101" w:type="dxa"/>
              <w:right w:w="101" w:type="dxa"/>
            </w:tcMar>
            <w:vAlign w:val="bottom"/>
          </w:tcPr>
          <w:p w14:paraId="130694E4" w14:textId="77777777" w:rsidR="003F0EEA" w:rsidRPr="000A2095" w:rsidRDefault="00FB7D0B">
            <w:pPr>
              <w:jc w:val="right"/>
              <w:rPr>
                <w:rFonts w:ascii="Arial" w:eastAsia="Arial" w:hAnsi="Arial" w:cs="Arial"/>
                <w:color w:val="000000"/>
                <w:sz w:val="16"/>
                <w:szCs w:val="20"/>
              </w:rPr>
            </w:pPr>
            <w:r w:rsidRPr="000A2095">
              <w:rPr>
                <w:rFonts w:ascii="Arial" w:eastAsia="Arial" w:hAnsi="Arial" w:cs="Arial"/>
                <w:color w:val="000000"/>
                <w:sz w:val="16"/>
                <w:szCs w:val="20"/>
              </w:rPr>
              <w:t xml:space="preserve"> - </w:t>
            </w:r>
          </w:p>
        </w:tc>
        <w:tc>
          <w:tcPr>
            <w:tcW w:w="1110" w:type="dxa"/>
            <w:tcBorders>
              <w:top w:val="nil"/>
              <w:left w:val="nil"/>
              <w:bottom w:val="nil"/>
              <w:right w:val="nil"/>
              <w:tl2br w:val="nil"/>
              <w:tr2bl w:val="nil"/>
            </w:tcBorders>
            <w:shd w:val="clear" w:color="auto" w:fill="FFFF00"/>
            <w:tcMar>
              <w:left w:w="101" w:type="dxa"/>
              <w:right w:w="101" w:type="dxa"/>
            </w:tcMar>
            <w:vAlign w:val="bottom"/>
          </w:tcPr>
          <w:p w14:paraId="7E8A9C28" w14:textId="77777777" w:rsidR="003F0EEA" w:rsidRPr="000A2095" w:rsidRDefault="00FB7D0B">
            <w:pPr>
              <w:jc w:val="right"/>
              <w:rPr>
                <w:rFonts w:ascii="Arial" w:eastAsia="Arial" w:hAnsi="Arial" w:cs="Arial"/>
                <w:color w:val="000000"/>
                <w:sz w:val="16"/>
                <w:szCs w:val="20"/>
              </w:rPr>
            </w:pPr>
            <w:r w:rsidRPr="000A2095">
              <w:rPr>
                <w:rFonts w:ascii="Arial" w:eastAsia="Arial" w:hAnsi="Arial" w:cs="Arial"/>
                <w:color w:val="000000"/>
                <w:sz w:val="16"/>
                <w:szCs w:val="20"/>
              </w:rPr>
              <w:t xml:space="preserve"> 6,061 </w:t>
            </w:r>
          </w:p>
        </w:tc>
        <w:tc>
          <w:tcPr>
            <w:tcW w:w="1110" w:type="dxa"/>
            <w:tcBorders>
              <w:top w:val="nil"/>
              <w:left w:val="nil"/>
              <w:bottom w:val="nil"/>
              <w:right w:val="nil"/>
              <w:tl2br w:val="nil"/>
              <w:tr2bl w:val="nil"/>
            </w:tcBorders>
            <w:shd w:val="clear" w:color="auto" w:fill="FFFFFF"/>
            <w:tcMar>
              <w:left w:w="101" w:type="dxa"/>
              <w:right w:w="101" w:type="dxa"/>
            </w:tcMar>
            <w:vAlign w:val="bottom"/>
          </w:tcPr>
          <w:p w14:paraId="2695A69D" w14:textId="77777777" w:rsidR="003F0EEA" w:rsidRPr="000A2095" w:rsidRDefault="00FB7D0B">
            <w:pPr>
              <w:jc w:val="right"/>
              <w:rPr>
                <w:rFonts w:ascii="Arial" w:eastAsia="Arial" w:hAnsi="Arial" w:cs="Arial"/>
                <w:color w:val="000000"/>
                <w:sz w:val="16"/>
                <w:szCs w:val="20"/>
              </w:rPr>
            </w:pPr>
            <w:r w:rsidRPr="000A2095">
              <w:rPr>
                <w:rFonts w:ascii="Arial" w:eastAsia="Arial" w:hAnsi="Arial" w:cs="Arial"/>
                <w:color w:val="000000"/>
                <w:sz w:val="16"/>
                <w:szCs w:val="20"/>
              </w:rPr>
              <w:t xml:space="preserve"> - </w:t>
            </w:r>
          </w:p>
        </w:tc>
        <w:tc>
          <w:tcPr>
            <w:tcW w:w="1110" w:type="dxa"/>
            <w:tcBorders>
              <w:top w:val="nil"/>
              <w:left w:val="nil"/>
              <w:bottom w:val="nil"/>
              <w:right w:val="nil"/>
              <w:tl2br w:val="nil"/>
              <w:tr2bl w:val="nil"/>
            </w:tcBorders>
            <w:shd w:val="clear" w:color="auto" w:fill="FFFFFF"/>
            <w:tcMar>
              <w:left w:w="101" w:type="dxa"/>
              <w:right w:w="101" w:type="dxa"/>
            </w:tcMar>
            <w:vAlign w:val="bottom"/>
          </w:tcPr>
          <w:p w14:paraId="5625A715" w14:textId="77777777" w:rsidR="003F0EEA" w:rsidRPr="000A2095" w:rsidRDefault="00FB7D0B">
            <w:pPr>
              <w:jc w:val="right"/>
              <w:rPr>
                <w:rFonts w:ascii="Arial" w:eastAsia="Arial" w:hAnsi="Arial" w:cs="Arial"/>
                <w:color w:val="000000"/>
                <w:sz w:val="16"/>
                <w:szCs w:val="20"/>
              </w:rPr>
            </w:pPr>
            <w:r w:rsidRPr="000A2095">
              <w:rPr>
                <w:rFonts w:ascii="Arial" w:eastAsia="Arial" w:hAnsi="Arial" w:cs="Arial"/>
                <w:color w:val="000000"/>
                <w:sz w:val="16"/>
                <w:szCs w:val="20"/>
              </w:rPr>
              <w:t xml:space="preserve"> - </w:t>
            </w:r>
          </w:p>
        </w:tc>
        <w:tc>
          <w:tcPr>
            <w:tcW w:w="1110" w:type="dxa"/>
            <w:tcBorders>
              <w:top w:val="nil"/>
              <w:left w:val="nil"/>
              <w:bottom w:val="nil"/>
              <w:right w:val="nil"/>
              <w:tl2br w:val="nil"/>
              <w:tr2bl w:val="nil"/>
            </w:tcBorders>
            <w:shd w:val="clear" w:color="auto" w:fill="FFFFFF"/>
            <w:tcMar>
              <w:left w:w="101" w:type="dxa"/>
              <w:right w:w="101" w:type="dxa"/>
            </w:tcMar>
            <w:vAlign w:val="bottom"/>
          </w:tcPr>
          <w:p w14:paraId="7D87A67E" w14:textId="77777777" w:rsidR="003F0EEA" w:rsidRPr="000A2095" w:rsidRDefault="00FB7D0B">
            <w:pPr>
              <w:jc w:val="right"/>
              <w:rPr>
                <w:rFonts w:ascii="Arial" w:eastAsia="Arial" w:hAnsi="Arial" w:cs="Arial"/>
                <w:color w:val="000000"/>
                <w:sz w:val="16"/>
                <w:szCs w:val="20"/>
              </w:rPr>
            </w:pPr>
            <w:r w:rsidRPr="000A2095">
              <w:rPr>
                <w:rFonts w:ascii="Arial" w:eastAsia="Arial" w:hAnsi="Arial" w:cs="Arial"/>
                <w:color w:val="000000"/>
                <w:sz w:val="16"/>
                <w:szCs w:val="20"/>
              </w:rPr>
              <w:t xml:space="preserve"> - </w:t>
            </w:r>
          </w:p>
        </w:tc>
      </w:tr>
      <w:tr w:rsidR="00FB7D0B" w14:paraId="4A4A28FF" w14:textId="77777777" w:rsidTr="00FB7D0B">
        <w:trPr>
          <w:trHeight w:val="225"/>
        </w:trPr>
        <w:tc>
          <w:tcPr>
            <w:tcW w:w="180" w:type="dxa"/>
            <w:tcBorders>
              <w:top w:val="nil"/>
              <w:left w:val="nil"/>
              <w:bottom w:val="nil"/>
              <w:right w:val="nil"/>
              <w:tl2br w:val="nil"/>
              <w:tr2bl w:val="nil"/>
            </w:tcBorders>
            <w:shd w:val="clear" w:color="auto" w:fill="FFFFFF"/>
            <w:tcMar>
              <w:left w:w="101" w:type="dxa"/>
              <w:right w:w="101" w:type="dxa"/>
            </w:tcMar>
            <w:vAlign w:val="bottom"/>
          </w:tcPr>
          <w:p w14:paraId="412810F6" w14:textId="77777777" w:rsidR="003F0EEA" w:rsidRPr="000A2095" w:rsidRDefault="003F0EEA">
            <w:pPr>
              <w:rPr>
                <w:rFonts w:ascii="Arial" w:eastAsia="Arial" w:hAnsi="Arial" w:cs="Arial"/>
                <w:color w:val="000000"/>
                <w:sz w:val="16"/>
                <w:szCs w:val="20"/>
              </w:rPr>
            </w:pPr>
          </w:p>
        </w:tc>
        <w:tc>
          <w:tcPr>
            <w:tcW w:w="2250" w:type="dxa"/>
            <w:gridSpan w:val="2"/>
            <w:vMerge w:val="restart"/>
            <w:tcBorders>
              <w:top w:val="nil"/>
              <w:left w:val="nil"/>
              <w:bottom w:val="nil"/>
              <w:right w:val="nil"/>
              <w:tl2br w:val="nil"/>
              <w:tr2bl w:val="nil"/>
            </w:tcBorders>
            <w:shd w:val="clear" w:color="auto" w:fill="FFFFFF"/>
            <w:tcMar>
              <w:left w:w="101" w:type="dxa"/>
              <w:right w:w="101" w:type="dxa"/>
            </w:tcMar>
            <w:vAlign w:val="bottom"/>
          </w:tcPr>
          <w:p w14:paraId="391F9512" w14:textId="77777777" w:rsidR="003F0EEA" w:rsidRPr="000A2095" w:rsidRDefault="00FB7D0B">
            <w:pPr>
              <w:rPr>
                <w:rFonts w:ascii="Arial" w:eastAsia="Arial" w:hAnsi="Arial" w:cs="Arial"/>
                <w:color w:val="000000"/>
                <w:sz w:val="16"/>
                <w:szCs w:val="20"/>
              </w:rPr>
            </w:pPr>
            <w:r w:rsidRPr="000A2095">
              <w:rPr>
                <w:rFonts w:ascii="Arial" w:eastAsia="Arial" w:hAnsi="Arial" w:cs="Arial"/>
                <w:color w:val="000000"/>
                <w:sz w:val="16"/>
                <w:szCs w:val="20"/>
              </w:rPr>
              <w:t>Payments to CAC Act Bodies</w:t>
            </w:r>
          </w:p>
        </w:tc>
        <w:tc>
          <w:tcPr>
            <w:tcW w:w="1110"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0BA69601" w14:textId="77777777" w:rsidR="003F0EEA" w:rsidRPr="000A2095" w:rsidRDefault="00FB7D0B">
            <w:pPr>
              <w:jc w:val="right"/>
              <w:rPr>
                <w:rFonts w:ascii="Arial" w:eastAsia="Arial" w:hAnsi="Arial" w:cs="Arial"/>
                <w:color w:val="000000"/>
                <w:sz w:val="16"/>
                <w:szCs w:val="20"/>
              </w:rPr>
            </w:pPr>
            <w:r w:rsidRPr="000A2095">
              <w:rPr>
                <w:rFonts w:ascii="Arial" w:eastAsia="Arial" w:hAnsi="Arial" w:cs="Arial"/>
                <w:color w:val="000000"/>
                <w:sz w:val="16"/>
                <w:szCs w:val="20"/>
              </w:rPr>
              <w:t xml:space="preserve"> 25,258 </w:t>
            </w:r>
          </w:p>
        </w:tc>
        <w:tc>
          <w:tcPr>
            <w:tcW w:w="1110" w:type="dxa"/>
            <w:tcBorders>
              <w:top w:val="nil"/>
              <w:left w:val="nil"/>
              <w:bottom w:val="single" w:sz="6" w:space="0" w:color="000000"/>
              <w:right w:val="nil"/>
              <w:tl2br w:val="nil"/>
              <w:tr2bl w:val="nil"/>
            </w:tcBorders>
            <w:shd w:val="clear" w:color="auto" w:fill="FFFF00"/>
            <w:tcMar>
              <w:left w:w="101" w:type="dxa"/>
              <w:right w:w="101" w:type="dxa"/>
            </w:tcMar>
            <w:vAlign w:val="bottom"/>
          </w:tcPr>
          <w:p w14:paraId="10D55C43" w14:textId="77777777" w:rsidR="003F0EEA" w:rsidRPr="000A2095" w:rsidRDefault="00FB7D0B">
            <w:pPr>
              <w:jc w:val="right"/>
              <w:rPr>
                <w:rFonts w:ascii="Arial" w:eastAsia="Arial" w:hAnsi="Arial" w:cs="Arial"/>
                <w:color w:val="000000"/>
                <w:sz w:val="16"/>
                <w:szCs w:val="20"/>
              </w:rPr>
            </w:pPr>
            <w:r w:rsidRPr="000A2095">
              <w:rPr>
                <w:rFonts w:ascii="Arial" w:eastAsia="Arial" w:hAnsi="Arial" w:cs="Arial"/>
                <w:color w:val="000000"/>
                <w:sz w:val="16"/>
                <w:szCs w:val="20"/>
              </w:rPr>
              <w:t xml:space="preserve"> 12,444 </w:t>
            </w:r>
          </w:p>
        </w:tc>
        <w:tc>
          <w:tcPr>
            <w:tcW w:w="1110"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64413D25" w14:textId="77777777" w:rsidR="003F0EEA" w:rsidRPr="000A2095" w:rsidRDefault="00FB7D0B">
            <w:pPr>
              <w:jc w:val="right"/>
              <w:rPr>
                <w:rFonts w:ascii="Arial" w:eastAsia="Arial" w:hAnsi="Arial" w:cs="Arial"/>
                <w:color w:val="000000"/>
                <w:sz w:val="16"/>
                <w:szCs w:val="20"/>
              </w:rPr>
            </w:pPr>
            <w:r w:rsidRPr="000A2095">
              <w:rPr>
                <w:rFonts w:ascii="Arial" w:eastAsia="Arial" w:hAnsi="Arial" w:cs="Arial"/>
                <w:color w:val="000000"/>
                <w:sz w:val="16"/>
                <w:szCs w:val="20"/>
              </w:rPr>
              <w:t xml:space="preserve"> 7,193 </w:t>
            </w:r>
          </w:p>
        </w:tc>
        <w:tc>
          <w:tcPr>
            <w:tcW w:w="1110"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35D3A73C" w14:textId="77777777" w:rsidR="003F0EEA" w:rsidRPr="000A2095" w:rsidRDefault="00FB7D0B">
            <w:pPr>
              <w:jc w:val="right"/>
              <w:rPr>
                <w:rFonts w:ascii="Arial" w:eastAsia="Arial" w:hAnsi="Arial" w:cs="Arial"/>
                <w:color w:val="000000"/>
                <w:sz w:val="16"/>
                <w:szCs w:val="20"/>
              </w:rPr>
            </w:pPr>
            <w:r w:rsidRPr="000A2095">
              <w:rPr>
                <w:rFonts w:ascii="Arial" w:eastAsia="Arial" w:hAnsi="Arial" w:cs="Arial"/>
                <w:color w:val="000000"/>
                <w:sz w:val="16"/>
                <w:szCs w:val="20"/>
              </w:rPr>
              <w:t xml:space="preserve"> 7,203 </w:t>
            </w:r>
          </w:p>
        </w:tc>
        <w:tc>
          <w:tcPr>
            <w:tcW w:w="1110"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13C366C4" w14:textId="77777777" w:rsidR="003F0EEA" w:rsidRPr="000A2095" w:rsidRDefault="00FB7D0B">
            <w:pPr>
              <w:jc w:val="right"/>
              <w:rPr>
                <w:rFonts w:ascii="Arial" w:eastAsia="Arial" w:hAnsi="Arial" w:cs="Arial"/>
                <w:color w:val="000000"/>
                <w:sz w:val="16"/>
                <w:szCs w:val="20"/>
              </w:rPr>
            </w:pPr>
            <w:r w:rsidRPr="000A2095">
              <w:rPr>
                <w:rFonts w:ascii="Arial" w:eastAsia="Arial" w:hAnsi="Arial" w:cs="Arial"/>
                <w:color w:val="000000"/>
                <w:sz w:val="16"/>
                <w:szCs w:val="20"/>
              </w:rPr>
              <w:t xml:space="preserve"> 7,559 </w:t>
            </w:r>
          </w:p>
        </w:tc>
      </w:tr>
      <w:tr w:rsidR="00FB7D0B" w14:paraId="1632D859" w14:textId="77777777" w:rsidTr="00FB7D0B">
        <w:trPr>
          <w:trHeight w:val="225"/>
        </w:trPr>
        <w:tc>
          <w:tcPr>
            <w:tcW w:w="2430" w:type="dxa"/>
            <w:gridSpan w:val="3"/>
            <w:tcBorders>
              <w:top w:val="nil"/>
              <w:left w:val="nil"/>
              <w:bottom w:val="nil"/>
              <w:right w:val="nil"/>
              <w:tl2br w:val="nil"/>
              <w:tr2bl w:val="nil"/>
            </w:tcBorders>
            <w:shd w:val="clear" w:color="auto" w:fill="FFFFFF"/>
            <w:tcMar>
              <w:left w:w="101" w:type="dxa"/>
              <w:right w:w="101" w:type="dxa"/>
            </w:tcMar>
            <w:vAlign w:val="bottom"/>
          </w:tcPr>
          <w:p w14:paraId="1A139688" w14:textId="77777777" w:rsidR="003F0EEA" w:rsidRPr="000A2095" w:rsidRDefault="00FB7D0B">
            <w:pPr>
              <w:rPr>
                <w:rFonts w:ascii="Arial" w:eastAsia="Arial" w:hAnsi="Arial" w:cs="Arial"/>
                <w:color w:val="000000"/>
                <w:sz w:val="16"/>
                <w:szCs w:val="20"/>
              </w:rPr>
            </w:pPr>
            <w:r w:rsidRPr="000A2095">
              <w:rPr>
                <w:rFonts w:ascii="Arial" w:eastAsia="Arial" w:hAnsi="Arial" w:cs="Arial"/>
                <w:b/>
                <w:i/>
                <w:color w:val="000000"/>
                <w:sz w:val="16"/>
                <w:szCs w:val="20"/>
              </w:rPr>
              <w:t>Total cash used</w:t>
            </w:r>
          </w:p>
        </w:tc>
        <w:tc>
          <w:tcPr>
            <w:tcW w:w="1110"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7C82955A" w14:textId="77777777" w:rsidR="003F0EEA" w:rsidRPr="000A2095" w:rsidRDefault="00FB7D0B">
            <w:pPr>
              <w:jc w:val="right"/>
              <w:rPr>
                <w:rFonts w:ascii="Arial" w:eastAsia="Arial" w:hAnsi="Arial" w:cs="Arial"/>
                <w:b/>
                <w:i/>
                <w:color w:val="000000"/>
                <w:sz w:val="16"/>
                <w:szCs w:val="20"/>
              </w:rPr>
            </w:pPr>
            <w:r w:rsidRPr="000A2095">
              <w:rPr>
                <w:rFonts w:ascii="Arial" w:eastAsia="Arial" w:hAnsi="Arial" w:cs="Arial"/>
                <w:b/>
                <w:color w:val="000000"/>
                <w:sz w:val="16"/>
                <w:szCs w:val="20"/>
              </w:rPr>
              <w:t xml:space="preserve"> 25,258 </w:t>
            </w:r>
          </w:p>
        </w:tc>
        <w:tc>
          <w:tcPr>
            <w:tcW w:w="1110" w:type="dxa"/>
            <w:tcBorders>
              <w:top w:val="single" w:sz="6" w:space="0" w:color="000000"/>
              <w:left w:val="nil"/>
              <w:bottom w:val="single" w:sz="6" w:space="0" w:color="000000"/>
              <w:right w:val="nil"/>
              <w:tl2br w:val="nil"/>
              <w:tr2bl w:val="nil"/>
            </w:tcBorders>
            <w:shd w:val="clear" w:color="auto" w:fill="FFFF00"/>
            <w:tcMar>
              <w:left w:w="101" w:type="dxa"/>
              <w:right w:w="101" w:type="dxa"/>
            </w:tcMar>
            <w:vAlign w:val="bottom"/>
          </w:tcPr>
          <w:p w14:paraId="38A89582" w14:textId="77777777" w:rsidR="003F0EEA" w:rsidRPr="000A2095" w:rsidRDefault="00FB7D0B">
            <w:pPr>
              <w:jc w:val="right"/>
              <w:rPr>
                <w:rFonts w:ascii="Arial" w:eastAsia="Arial" w:hAnsi="Arial" w:cs="Arial"/>
                <w:b/>
                <w:color w:val="000000"/>
                <w:sz w:val="16"/>
                <w:szCs w:val="20"/>
              </w:rPr>
            </w:pPr>
            <w:r w:rsidRPr="000A2095">
              <w:rPr>
                <w:rFonts w:ascii="Arial" w:eastAsia="Arial" w:hAnsi="Arial" w:cs="Arial"/>
                <w:b/>
                <w:color w:val="000000"/>
                <w:sz w:val="16"/>
                <w:szCs w:val="20"/>
              </w:rPr>
              <w:t xml:space="preserve"> 18,505 </w:t>
            </w:r>
          </w:p>
        </w:tc>
        <w:tc>
          <w:tcPr>
            <w:tcW w:w="1110"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367C60C9" w14:textId="77777777" w:rsidR="003F0EEA" w:rsidRPr="000A2095" w:rsidRDefault="00FB7D0B">
            <w:pPr>
              <w:jc w:val="right"/>
              <w:rPr>
                <w:rFonts w:ascii="Arial" w:eastAsia="Arial" w:hAnsi="Arial" w:cs="Arial"/>
                <w:b/>
                <w:color w:val="000000"/>
                <w:sz w:val="16"/>
                <w:szCs w:val="20"/>
              </w:rPr>
            </w:pPr>
            <w:r w:rsidRPr="000A2095">
              <w:rPr>
                <w:rFonts w:ascii="Arial" w:eastAsia="Arial" w:hAnsi="Arial" w:cs="Arial"/>
                <w:b/>
                <w:color w:val="000000"/>
                <w:sz w:val="16"/>
                <w:szCs w:val="20"/>
              </w:rPr>
              <w:t xml:space="preserve"> 7,193 </w:t>
            </w:r>
          </w:p>
        </w:tc>
        <w:tc>
          <w:tcPr>
            <w:tcW w:w="1110"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5C99E093" w14:textId="77777777" w:rsidR="003F0EEA" w:rsidRPr="000A2095" w:rsidRDefault="00FB7D0B">
            <w:pPr>
              <w:jc w:val="right"/>
              <w:rPr>
                <w:rFonts w:ascii="Arial" w:eastAsia="Arial" w:hAnsi="Arial" w:cs="Arial"/>
                <w:b/>
                <w:color w:val="000000"/>
                <w:sz w:val="16"/>
                <w:szCs w:val="20"/>
              </w:rPr>
            </w:pPr>
            <w:r w:rsidRPr="000A2095">
              <w:rPr>
                <w:rFonts w:ascii="Arial" w:eastAsia="Arial" w:hAnsi="Arial" w:cs="Arial"/>
                <w:b/>
                <w:color w:val="000000"/>
                <w:sz w:val="16"/>
                <w:szCs w:val="20"/>
              </w:rPr>
              <w:t xml:space="preserve"> 7,203 </w:t>
            </w:r>
          </w:p>
        </w:tc>
        <w:tc>
          <w:tcPr>
            <w:tcW w:w="1110"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16495447" w14:textId="77777777" w:rsidR="003F0EEA" w:rsidRPr="000A2095" w:rsidRDefault="00FB7D0B">
            <w:pPr>
              <w:jc w:val="right"/>
              <w:rPr>
                <w:rFonts w:ascii="Arial" w:eastAsia="Arial" w:hAnsi="Arial" w:cs="Arial"/>
                <w:b/>
                <w:color w:val="000000"/>
                <w:sz w:val="16"/>
                <w:szCs w:val="20"/>
              </w:rPr>
            </w:pPr>
            <w:r w:rsidRPr="000A2095">
              <w:rPr>
                <w:rFonts w:ascii="Arial" w:eastAsia="Arial" w:hAnsi="Arial" w:cs="Arial"/>
                <w:b/>
                <w:color w:val="000000"/>
                <w:sz w:val="16"/>
                <w:szCs w:val="20"/>
              </w:rPr>
              <w:t xml:space="preserve"> 7,559 </w:t>
            </w:r>
          </w:p>
        </w:tc>
      </w:tr>
      <w:tr w:rsidR="00FB7D0B" w14:paraId="0F75D729" w14:textId="77777777" w:rsidTr="00FB7D0B">
        <w:trPr>
          <w:trHeight w:val="225"/>
        </w:trPr>
        <w:tc>
          <w:tcPr>
            <w:tcW w:w="2430" w:type="dxa"/>
            <w:gridSpan w:val="3"/>
            <w:tcBorders>
              <w:top w:val="nil"/>
              <w:left w:val="nil"/>
              <w:bottom w:val="nil"/>
              <w:right w:val="nil"/>
              <w:tl2br w:val="nil"/>
              <w:tr2bl w:val="nil"/>
            </w:tcBorders>
            <w:shd w:val="clear" w:color="auto" w:fill="FFFFFF"/>
            <w:tcMar>
              <w:left w:w="101" w:type="dxa"/>
              <w:right w:w="101" w:type="dxa"/>
            </w:tcMar>
            <w:vAlign w:val="bottom"/>
          </w:tcPr>
          <w:p w14:paraId="37A29CC8" w14:textId="77777777" w:rsidR="003F0EEA" w:rsidRPr="000A2095" w:rsidRDefault="00FB7D0B">
            <w:pPr>
              <w:rPr>
                <w:rFonts w:ascii="Arial" w:eastAsia="Arial" w:hAnsi="Arial" w:cs="Arial"/>
                <w:b/>
                <w:color w:val="000000"/>
                <w:sz w:val="16"/>
                <w:szCs w:val="20"/>
              </w:rPr>
            </w:pPr>
            <w:r w:rsidRPr="000A2095">
              <w:rPr>
                <w:rFonts w:ascii="Arial" w:eastAsia="Arial" w:hAnsi="Arial" w:cs="Arial"/>
                <w:b/>
                <w:color w:val="000000"/>
                <w:sz w:val="16"/>
                <w:szCs w:val="20"/>
              </w:rPr>
              <w:t>Net cash used by investing</w:t>
            </w:r>
          </w:p>
        </w:tc>
        <w:tc>
          <w:tcPr>
            <w:tcW w:w="1110"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74658550" w14:textId="77777777" w:rsidR="003F0EEA" w:rsidRPr="000A2095" w:rsidRDefault="003F0EEA">
            <w:pPr>
              <w:rPr>
                <w:rFonts w:ascii="Arial" w:eastAsia="Arial" w:hAnsi="Arial" w:cs="Arial"/>
                <w:b/>
                <w:color w:val="000000"/>
                <w:sz w:val="16"/>
                <w:szCs w:val="20"/>
              </w:rPr>
            </w:pPr>
          </w:p>
        </w:tc>
        <w:tc>
          <w:tcPr>
            <w:tcW w:w="1110" w:type="dxa"/>
            <w:tcBorders>
              <w:top w:val="single" w:sz="6" w:space="0" w:color="000000"/>
              <w:left w:val="nil"/>
              <w:bottom w:val="nil"/>
              <w:right w:val="nil"/>
              <w:tl2br w:val="nil"/>
              <w:tr2bl w:val="nil"/>
            </w:tcBorders>
            <w:shd w:val="clear" w:color="auto" w:fill="FFFF00"/>
            <w:tcMar>
              <w:left w:w="101" w:type="dxa"/>
              <w:right w:w="101" w:type="dxa"/>
            </w:tcMar>
            <w:vAlign w:val="bottom"/>
          </w:tcPr>
          <w:p w14:paraId="75B83409" w14:textId="77777777" w:rsidR="003F0EEA" w:rsidRPr="000A2095" w:rsidRDefault="003F0EEA">
            <w:pPr>
              <w:rPr>
                <w:rFonts w:ascii="Arial" w:eastAsia="Arial" w:hAnsi="Arial" w:cs="Arial"/>
                <w:color w:val="000000"/>
                <w:sz w:val="16"/>
                <w:szCs w:val="20"/>
              </w:rPr>
            </w:pPr>
          </w:p>
        </w:tc>
        <w:tc>
          <w:tcPr>
            <w:tcW w:w="1110"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36B145B7" w14:textId="77777777" w:rsidR="003F0EEA" w:rsidRPr="000A2095" w:rsidRDefault="003F0EEA">
            <w:pPr>
              <w:rPr>
                <w:rFonts w:ascii="Arial" w:eastAsia="Arial" w:hAnsi="Arial" w:cs="Arial"/>
                <w:color w:val="000000"/>
                <w:sz w:val="16"/>
                <w:szCs w:val="20"/>
              </w:rPr>
            </w:pPr>
          </w:p>
        </w:tc>
        <w:tc>
          <w:tcPr>
            <w:tcW w:w="1110"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49CC4E7A" w14:textId="77777777" w:rsidR="003F0EEA" w:rsidRPr="000A2095" w:rsidRDefault="003F0EEA">
            <w:pPr>
              <w:rPr>
                <w:rFonts w:ascii="Arial" w:eastAsia="Arial" w:hAnsi="Arial" w:cs="Arial"/>
                <w:color w:val="000000"/>
                <w:sz w:val="16"/>
                <w:szCs w:val="20"/>
              </w:rPr>
            </w:pPr>
          </w:p>
        </w:tc>
        <w:tc>
          <w:tcPr>
            <w:tcW w:w="1110"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3DEB85B9" w14:textId="77777777" w:rsidR="003F0EEA" w:rsidRPr="000A2095" w:rsidRDefault="003F0EEA">
            <w:pPr>
              <w:rPr>
                <w:rFonts w:ascii="Arial" w:eastAsia="Arial" w:hAnsi="Arial" w:cs="Arial"/>
                <w:color w:val="000000"/>
                <w:sz w:val="16"/>
                <w:szCs w:val="20"/>
              </w:rPr>
            </w:pPr>
          </w:p>
        </w:tc>
      </w:tr>
      <w:tr w:rsidR="00724034" w14:paraId="23EC6CC4" w14:textId="77777777">
        <w:trPr>
          <w:trHeight w:val="225"/>
        </w:trPr>
        <w:tc>
          <w:tcPr>
            <w:tcW w:w="180" w:type="dxa"/>
            <w:tcBorders>
              <w:top w:val="nil"/>
              <w:left w:val="nil"/>
              <w:bottom w:val="nil"/>
              <w:right w:val="nil"/>
              <w:tl2br w:val="nil"/>
              <w:tr2bl w:val="nil"/>
            </w:tcBorders>
            <w:shd w:val="clear" w:color="auto" w:fill="FFFFFF"/>
            <w:tcMar>
              <w:left w:w="101" w:type="dxa"/>
              <w:right w:w="101" w:type="dxa"/>
            </w:tcMar>
            <w:vAlign w:val="bottom"/>
          </w:tcPr>
          <w:p w14:paraId="36CC0847" w14:textId="77777777" w:rsidR="003F0EEA" w:rsidRPr="000A2095" w:rsidRDefault="003F0EEA">
            <w:pPr>
              <w:rPr>
                <w:rFonts w:ascii="Arial" w:eastAsia="Arial" w:hAnsi="Arial" w:cs="Arial"/>
                <w:color w:val="000000"/>
                <w:sz w:val="16"/>
                <w:szCs w:val="20"/>
              </w:rPr>
            </w:pPr>
          </w:p>
        </w:tc>
        <w:tc>
          <w:tcPr>
            <w:tcW w:w="180" w:type="dxa"/>
            <w:tcBorders>
              <w:top w:val="nil"/>
              <w:left w:val="nil"/>
              <w:bottom w:val="nil"/>
              <w:right w:val="nil"/>
              <w:tl2br w:val="nil"/>
              <w:tr2bl w:val="nil"/>
            </w:tcBorders>
            <w:shd w:val="clear" w:color="auto" w:fill="FFFFFF"/>
            <w:tcMar>
              <w:left w:w="101" w:type="dxa"/>
              <w:right w:w="101" w:type="dxa"/>
            </w:tcMar>
            <w:vAlign w:val="bottom"/>
          </w:tcPr>
          <w:p w14:paraId="4C66511A" w14:textId="77777777" w:rsidR="003F0EEA" w:rsidRPr="000A2095" w:rsidRDefault="003F0EEA">
            <w:pPr>
              <w:rPr>
                <w:rFonts w:ascii="Arial" w:eastAsia="Arial" w:hAnsi="Arial" w:cs="Arial"/>
                <w:b/>
                <w:color w:val="000000"/>
                <w:sz w:val="16"/>
                <w:szCs w:val="20"/>
              </w:rPr>
            </w:pPr>
          </w:p>
        </w:tc>
        <w:tc>
          <w:tcPr>
            <w:tcW w:w="2070" w:type="dxa"/>
            <w:tcBorders>
              <w:top w:val="nil"/>
              <w:left w:val="nil"/>
              <w:bottom w:val="nil"/>
              <w:right w:val="nil"/>
              <w:tl2br w:val="nil"/>
              <w:tr2bl w:val="nil"/>
            </w:tcBorders>
            <w:shd w:val="clear" w:color="auto" w:fill="FFFFFF"/>
            <w:tcMar>
              <w:left w:w="101" w:type="dxa"/>
              <w:right w:w="101" w:type="dxa"/>
            </w:tcMar>
            <w:vAlign w:val="bottom"/>
          </w:tcPr>
          <w:p w14:paraId="0C422CF6" w14:textId="77777777" w:rsidR="003F0EEA" w:rsidRPr="000A2095" w:rsidRDefault="00FB7D0B">
            <w:pPr>
              <w:rPr>
                <w:rFonts w:ascii="Arial" w:eastAsia="Arial" w:hAnsi="Arial" w:cs="Arial"/>
                <w:b/>
                <w:color w:val="000000"/>
                <w:sz w:val="16"/>
                <w:szCs w:val="20"/>
              </w:rPr>
            </w:pPr>
            <w:r w:rsidRPr="000A2095">
              <w:rPr>
                <w:rFonts w:ascii="Arial" w:eastAsia="Arial" w:hAnsi="Arial" w:cs="Arial"/>
                <w:b/>
                <w:color w:val="000000"/>
                <w:sz w:val="16"/>
                <w:szCs w:val="20"/>
              </w:rPr>
              <w:t>Activities</w:t>
            </w:r>
          </w:p>
        </w:tc>
        <w:tc>
          <w:tcPr>
            <w:tcW w:w="1110"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61C39D07" w14:textId="77777777" w:rsidR="003F0EEA" w:rsidRPr="000A2095" w:rsidRDefault="00FB7D0B">
            <w:pPr>
              <w:jc w:val="right"/>
              <w:rPr>
                <w:rFonts w:ascii="Arial" w:eastAsia="Arial" w:hAnsi="Arial" w:cs="Arial"/>
                <w:b/>
                <w:color w:val="000000"/>
                <w:sz w:val="16"/>
                <w:szCs w:val="20"/>
              </w:rPr>
            </w:pPr>
            <w:r w:rsidRPr="000A2095">
              <w:rPr>
                <w:rFonts w:ascii="Arial" w:eastAsia="Arial" w:hAnsi="Arial" w:cs="Arial"/>
                <w:b/>
                <w:color w:val="000000"/>
                <w:sz w:val="16"/>
                <w:szCs w:val="20"/>
              </w:rPr>
              <w:t>(25,258)</w:t>
            </w:r>
          </w:p>
        </w:tc>
        <w:tc>
          <w:tcPr>
            <w:tcW w:w="1110" w:type="dxa"/>
            <w:tcBorders>
              <w:top w:val="nil"/>
              <w:left w:val="nil"/>
              <w:bottom w:val="single" w:sz="6" w:space="0" w:color="000000"/>
              <w:right w:val="nil"/>
              <w:tl2br w:val="nil"/>
              <w:tr2bl w:val="nil"/>
            </w:tcBorders>
            <w:shd w:val="clear" w:color="auto" w:fill="FFFF00"/>
            <w:tcMar>
              <w:left w:w="101" w:type="dxa"/>
              <w:right w:w="101" w:type="dxa"/>
            </w:tcMar>
            <w:vAlign w:val="bottom"/>
          </w:tcPr>
          <w:p w14:paraId="286BF035" w14:textId="77777777" w:rsidR="003F0EEA" w:rsidRPr="000A2095" w:rsidRDefault="00FB7D0B">
            <w:pPr>
              <w:jc w:val="right"/>
              <w:rPr>
                <w:rFonts w:ascii="Arial" w:eastAsia="Arial" w:hAnsi="Arial" w:cs="Arial"/>
                <w:b/>
                <w:color w:val="000000"/>
                <w:sz w:val="16"/>
                <w:szCs w:val="20"/>
              </w:rPr>
            </w:pPr>
            <w:r w:rsidRPr="000A2095">
              <w:rPr>
                <w:rFonts w:ascii="Arial" w:eastAsia="Arial" w:hAnsi="Arial" w:cs="Arial"/>
                <w:b/>
                <w:color w:val="000000"/>
                <w:sz w:val="16"/>
                <w:szCs w:val="20"/>
              </w:rPr>
              <w:t>(18,505)</w:t>
            </w:r>
          </w:p>
        </w:tc>
        <w:tc>
          <w:tcPr>
            <w:tcW w:w="1110"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4FEAF2DA" w14:textId="77777777" w:rsidR="003F0EEA" w:rsidRPr="000A2095" w:rsidRDefault="00FB7D0B">
            <w:pPr>
              <w:jc w:val="right"/>
              <w:rPr>
                <w:rFonts w:ascii="Arial" w:eastAsia="Arial" w:hAnsi="Arial" w:cs="Arial"/>
                <w:b/>
                <w:color w:val="000000"/>
                <w:sz w:val="16"/>
                <w:szCs w:val="20"/>
              </w:rPr>
            </w:pPr>
            <w:r w:rsidRPr="000A2095">
              <w:rPr>
                <w:rFonts w:ascii="Arial" w:eastAsia="Arial" w:hAnsi="Arial" w:cs="Arial"/>
                <w:b/>
                <w:color w:val="000000"/>
                <w:sz w:val="16"/>
                <w:szCs w:val="20"/>
              </w:rPr>
              <w:t>(7,193)</w:t>
            </w:r>
          </w:p>
        </w:tc>
        <w:tc>
          <w:tcPr>
            <w:tcW w:w="1110"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0373679F" w14:textId="77777777" w:rsidR="003F0EEA" w:rsidRPr="000A2095" w:rsidRDefault="00FB7D0B">
            <w:pPr>
              <w:jc w:val="right"/>
              <w:rPr>
                <w:rFonts w:ascii="Arial" w:eastAsia="Arial" w:hAnsi="Arial" w:cs="Arial"/>
                <w:b/>
                <w:color w:val="000000"/>
                <w:sz w:val="16"/>
                <w:szCs w:val="20"/>
              </w:rPr>
            </w:pPr>
            <w:r w:rsidRPr="000A2095">
              <w:rPr>
                <w:rFonts w:ascii="Arial" w:eastAsia="Arial" w:hAnsi="Arial" w:cs="Arial"/>
                <w:b/>
                <w:color w:val="000000"/>
                <w:sz w:val="16"/>
                <w:szCs w:val="20"/>
              </w:rPr>
              <w:t>(7,203)</w:t>
            </w:r>
          </w:p>
        </w:tc>
        <w:tc>
          <w:tcPr>
            <w:tcW w:w="1110"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7D5AEABE" w14:textId="77777777" w:rsidR="003F0EEA" w:rsidRPr="000A2095" w:rsidRDefault="00FB7D0B">
            <w:pPr>
              <w:jc w:val="right"/>
              <w:rPr>
                <w:rFonts w:ascii="Arial" w:eastAsia="Arial" w:hAnsi="Arial" w:cs="Arial"/>
                <w:b/>
                <w:color w:val="000000"/>
                <w:sz w:val="16"/>
                <w:szCs w:val="20"/>
              </w:rPr>
            </w:pPr>
            <w:r w:rsidRPr="000A2095">
              <w:rPr>
                <w:rFonts w:ascii="Arial" w:eastAsia="Arial" w:hAnsi="Arial" w:cs="Arial"/>
                <w:b/>
                <w:color w:val="000000"/>
                <w:sz w:val="16"/>
                <w:szCs w:val="20"/>
              </w:rPr>
              <w:t>(7,559)</w:t>
            </w:r>
          </w:p>
        </w:tc>
      </w:tr>
      <w:tr w:rsidR="00FB7D0B" w14:paraId="0CB55151" w14:textId="77777777" w:rsidTr="00FB7D0B">
        <w:trPr>
          <w:trHeight w:val="225"/>
        </w:trPr>
        <w:tc>
          <w:tcPr>
            <w:tcW w:w="2430" w:type="dxa"/>
            <w:gridSpan w:val="3"/>
            <w:tcBorders>
              <w:top w:val="nil"/>
              <w:left w:val="nil"/>
              <w:bottom w:val="nil"/>
              <w:right w:val="nil"/>
              <w:tl2br w:val="nil"/>
              <w:tr2bl w:val="nil"/>
            </w:tcBorders>
            <w:shd w:val="clear" w:color="auto" w:fill="FFFFFF"/>
            <w:tcMar>
              <w:left w:w="101" w:type="dxa"/>
              <w:right w:w="101" w:type="dxa"/>
            </w:tcMar>
            <w:vAlign w:val="bottom"/>
          </w:tcPr>
          <w:p w14:paraId="40156ADA" w14:textId="77777777" w:rsidR="003F0EEA" w:rsidRPr="000A2095" w:rsidRDefault="00FB7D0B">
            <w:pPr>
              <w:rPr>
                <w:rFonts w:ascii="Arial" w:eastAsia="Arial" w:hAnsi="Arial" w:cs="Arial"/>
                <w:b/>
                <w:color w:val="000000"/>
                <w:sz w:val="16"/>
                <w:szCs w:val="20"/>
              </w:rPr>
            </w:pPr>
            <w:r w:rsidRPr="000A2095">
              <w:rPr>
                <w:rFonts w:ascii="Arial" w:eastAsia="Arial" w:hAnsi="Arial" w:cs="Arial"/>
                <w:b/>
                <w:color w:val="000000"/>
                <w:sz w:val="16"/>
                <w:szCs w:val="20"/>
              </w:rPr>
              <w:t>FINANCING ACTIVITIES</w:t>
            </w:r>
          </w:p>
        </w:tc>
        <w:tc>
          <w:tcPr>
            <w:tcW w:w="1110"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10B10A42" w14:textId="77777777" w:rsidR="003F0EEA" w:rsidRPr="000A2095" w:rsidRDefault="003F0EEA">
            <w:pPr>
              <w:rPr>
                <w:rFonts w:ascii="Arial" w:eastAsia="Arial" w:hAnsi="Arial" w:cs="Arial"/>
                <w:b/>
                <w:color w:val="000000"/>
                <w:sz w:val="16"/>
                <w:szCs w:val="20"/>
              </w:rPr>
            </w:pPr>
          </w:p>
        </w:tc>
        <w:tc>
          <w:tcPr>
            <w:tcW w:w="1110" w:type="dxa"/>
            <w:tcBorders>
              <w:top w:val="single" w:sz="6" w:space="0" w:color="000000"/>
              <w:left w:val="nil"/>
              <w:bottom w:val="nil"/>
              <w:right w:val="nil"/>
              <w:tl2br w:val="nil"/>
              <w:tr2bl w:val="nil"/>
            </w:tcBorders>
            <w:shd w:val="clear" w:color="auto" w:fill="FFFF00"/>
            <w:tcMar>
              <w:left w:w="101" w:type="dxa"/>
              <w:right w:w="101" w:type="dxa"/>
            </w:tcMar>
            <w:vAlign w:val="bottom"/>
          </w:tcPr>
          <w:p w14:paraId="72E35061" w14:textId="77777777" w:rsidR="003F0EEA" w:rsidRPr="000A2095" w:rsidRDefault="003F0EEA">
            <w:pPr>
              <w:rPr>
                <w:rFonts w:ascii="Arial" w:eastAsia="Arial" w:hAnsi="Arial" w:cs="Arial"/>
                <w:color w:val="000000"/>
                <w:sz w:val="16"/>
                <w:szCs w:val="20"/>
              </w:rPr>
            </w:pPr>
          </w:p>
        </w:tc>
        <w:tc>
          <w:tcPr>
            <w:tcW w:w="1110"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158F813E" w14:textId="77777777" w:rsidR="003F0EEA" w:rsidRPr="000A2095" w:rsidRDefault="003F0EEA">
            <w:pPr>
              <w:rPr>
                <w:rFonts w:ascii="Arial" w:eastAsia="Arial" w:hAnsi="Arial" w:cs="Arial"/>
                <w:color w:val="000000"/>
                <w:sz w:val="16"/>
                <w:szCs w:val="20"/>
              </w:rPr>
            </w:pPr>
          </w:p>
        </w:tc>
        <w:tc>
          <w:tcPr>
            <w:tcW w:w="1110"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3D5DDF7F" w14:textId="77777777" w:rsidR="003F0EEA" w:rsidRPr="000A2095" w:rsidRDefault="003F0EEA">
            <w:pPr>
              <w:rPr>
                <w:rFonts w:ascii="Arial" w:eastAsia="Arial" w:hAnsi="Arial" w:cs="Arial"/>
                <w:color w:val="000000"/>
                <w:sz w:val="16"/>
                <w:szCs w:val="20"/>
              </w:rPr>
            </w:pPr>
          </w:p>
        </w:tc>
        <w:tc>
          <w:tcPr>
            <w:tcW w:w="1110"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5553D8E9" w14:textId="77777777" w:rsidR="003F0EEA" w:rsidRPr="000A2095" w:rsidRDefault="003F0EEA">
            <w:pPr>
              <w:rPr>
                <w:rFonts w:ascii="Arial" w:eastAsia="Arial" w:hAnsi="Arial" w:cs="Arial"/>
                <w:color w:val="000000"/>
                <w:sz w:val="16"/>
                <w:szCs w:val="20"/>
              </w:rPr>
            </w:pPr>
          </w:p>
        </w:tc>
      </w:tr>
      <w:tr w:rsidR="00FB7D0B" w14:paraId="5DC49A17" w14:textId="77777777" w:rsidTr="00FB7D0B">
        <w:trPr>
          <w:trHeight w:val="225"/>
        </w:trPr>
        <w:tc>
          <w:tcPr>
            <w:tcW w:w="2430" w:type="dxa"/>
            <w:gridSpan w:val="3"/>
            <w:tcBorders>
              <w:top w:val="nil"/>
              <w:left w:val="nil"/>
              <w:bottom w:val="nil"/>
              <w:right w:val="nil"/>
              <w:tl2br w:val="nil"/>
              <w:tr2bl w:val="nil"/>
            </w:tcBorders>
            <w:shd w:val="clear" w:color="auto" w:fill="FFFFFF"/>
            <w:tcMar>
              <w:left w:w="101" w:type="dxa"/>
              <w:right w:w="101" w:type="dxa"/>
            </w:tcMar>
            <w:vAlign w:val="bottom"/>
          </w:tcPr>
          <w:p w14:paraId="22FD4EC5" w14:textId="77777777" w:rsidR="003F0EEA" w:rsidRPr="000A2095" w:rsidRDefault="00FB7D0B">
            <w:pPr>
              <w:rPr>
                <w:rFonts w:ascii="Arial" w:eastAsia="Arial" w:hAnsi="Arial" w:cs="Arial"/>
                <w:color w:val="000000"/>
                <w:sz w:val="16"/>
                <w:szCs w:val="20"/>
              </w:rPr>
            </w:pPr>
            <w:r w:rsidRPr="000A2095">
              <w:rPr>
                <w:rFonts w:ascii="Arial" w:eastAsia="Arial" w:hAnsi="Arial" w:cs="Arial"/>
                <w:b/>
                <w:color w:val="000000"/>
                <w:sz w:val="16"/>
                <w:szCs w:val="20"/>
              </w:rPr>
              <w:t>Cash received</w:t>
            </w:r>
          </w:p>
        </w:tc>
        <w:tc>
          <w:tcPr>
            <w:tcW w:w="1110" w:type="dxa"/>
            <w:tcBorders>
              <w:top w:val="nil"/>
              <w:left w:val="nil"/>
              <w:bottom w:val="nil"/>
              <w:right w:val="nil"/>
              <w:tl2br w:val="nil"/>
              <w:tr2bl w:val="nil"/>
            </w:tcBorders>
            <w:shd w:val="clear" w:color="auto" w:fill="FFFFFF"/>
            <w:tcMar>
              <w:left w:w="101" w:type="dxa"/>
              <w:right w:w="101" w:type="dxa"/>
            </w:tcMar>
            <w:vAlign w:val="bottom"/>
          </w:tcPr>
          <w:p w14:paraId="6AC393D6" w14:textId="77777777" w:rsidR="003F0EEA" w:rsidRPr="000A2095" w:rsidRDefault="003F0EEA">
            <w:pPr>
              <w:rPr>
                <w:rFonts w:ascii="Arial" w:eastAsia="Arial" w:hAnsi="Arial" w:cs="Arial"/>
                <w:b/>
                <w:color w:val="000000"/>
                <w:sz w:val="16"/>
                <w:szCs w:val="20"/>
              </w:rPr>
            </w:pPr>
          </w:p>
        </w:tc>
        <w:tc>
          <w:tcPr>
            <w:tcW w:w="1110" w:type="dxa"/>
            <w:tcBorders>
              <w:top w:val="nil"/>
              <w:left w:val="nil"/>
              <w:bottom w:val="nil"/>
              <w:right w:val="nil"/>
              <w:tl2br w:val="nil"/>
              <w:tr2bl w:val="nil"/>
            </w:tcBorders>
            <w:shd w:val="clear" w:color="auto" w:fill="FFFF00"/>
            <w:tcMar>
              <w:left w:w="101" w:type="dxa"/>
              <w:right w:w="101" w:type="dxa"/>
            </w:tcMar>
            <w:vAlign w:val="bottom"/>
          </w:tcPr>
          <w:p w14:paraId="6C0B6264" w14:textId="77777777" w:rsidR="003F0EEA" w:rsidRPr="000A2095" w:rsidRDefault="003F0EEA">
            <w:pPr>
              <w:rPr>
                <w:rFonts w:ascii="Arial" w:eastAsia="Arial" w:hAnsi="Arial" w:cs="Arial"/>
                <w:color w:val="000000"/>
                <w:sz w:val="16"/>
                <w:szCs w:val="20"/>
              </w:rPr>
            </w:pPr>
          </w:p>
        </w:tc>
        <w:tc>
          <w:tcPr>
            <w:tcW w:w="1110" w:type="dxa"/>
            <w:tcBorders>
              <w:top w:val="nil"/>
              <w:left w:val="nil"/>
              <w:bottom w:val="nil"/>
              <w:right w:val="nil"/>
              <w:tl2br w:val="nil"/>
              <w:tr2bl w:val="nil"/>
            </w:tcBorders>
            <w:shd w:val="clear" w:color="auto" w:fill="FFFFFF"/>
            <w:tcMar>
              <w:left w:w="101" w:type="dxa"/>
              <w:right w:w="101" w:type="dxa"/>
            </w:tcMar>
            <w:vAlign w:val="bottom"/>
          </w:tcPr>
          <w:p w14:paraId="0BCA7484" w14:textId="77777777" w:rsidR="003F0EEA" w:rsidRPr="000A2095" w:rsidRDefault="003F0EEA">
            <w:pPr>
              <w:rPr>
                <w:rFonts w:ascii="Arial" w:eastAsia="Arial" w:hAnsi="Arial" w:cs="Arial"/>
                <w:color w:val="000000"/>
                <w:sz w:val="16"/>
                <w:szCs w:val="20"/>
              </w:rPr>
            </w:pPr>
          </w:p>
        </w:tc>
        <w:tc>
          <w:tcPr>
            <w:tcW w:w="1110" w:type="dxa"/>
            <w:tcBorders>
              <w:top w:val="nil"/>
              <w:left w:val="nil"/>
              <w:bottom w:val="nil"/>
              <w:right w:val="nil"/>
              <w:tl2br w:val="nil"/>
              <w:tr2bl w:val="nil"/>
            </w:tcBorders>
            <w:shd w:val="clear" w:color="auto" w:fill="FFFFFF"/>
            <w:tcMar>
              <w:left w:w="101" w:type="dxa"/>
              <w:right w:w="101" w:type="dxa"/>
            </w:tcMar>
            <w:vAlign w:val="bottom"/>
          </w:tcPr>
          <w:p w14:paraId="70E4ABDD" w14:textId="77777777" w:rsidR="003F0EEA" w:rsidRPr="000A2095" w:rsidRDefault="003F0EEA">
            <w:pPr>
              <w:rPr>
                <w:rFonts w:ascii="Arial" w:eastAsia="Arial" w:hAnsi="Arial" w:cs="Arial"/>
                <w:color w:val="000000"/>
                <w:sz w:val="16"/>
                <w:szCs w:val="20"/>
              </w:rPr>
            </w:pPr>
          </w:p>
        </w:tc>
        <w:tc>
          <w:tcPr>
            <w:tcW w:w="1110" w:type="dxa"/>
            <w:tcBorders>
              <w:top w:val="nil"/>
              <w:left w:val="nil"/>
              <w:bottom w:val="nil"/>
              <w:right w:val="nil"/>
              <w:tl2br w:val="nil"/>
              <w:tr2bl w:val="nil"/>
            </w:tcBorders>
            <w:shd w:val="clear" w:color="auto" w:fill="FFFFFF"/>
            <w:tcMar>
              <w:left w:w="101" w:type="dxa"/>
              <w:right w:w="101" w:type="dxa"/>
            </w:tcMar>
            <w:vAlign w:val="bottom"/>
          </w:tcPr>
          <w:p w14:paraId="0FA23B2B" w14:textId="77777777" w:rsidR="003F0EEA" w:rsidRPr="000A2095" w:rsidRDefault="003F0EEA">
            <w:pPr>
              <w:rPr>
                <w:rFonts w:ascii="Arial" w:eastAsia="Arial" w:hAnsi="Arial" w:cs="Arial"/>
                <w:color w:val="000000"/>
                <w:sz w:val="16"/>
                <w:szCs w:val="20"/>
              </w:rPr>
            </w:pPr>
          </w:p>
        </w:tc>
      </w:tr>
      <w:tr w:rsidR="00FB7D0B" w14:paraId="22CACC69" w14:textId="77777777" w:rsidTr="00FB7D0B">
        <w:trPr>
          <w:trHeight w:val="225"/>
        </w:trPr>
        <w:tc>
          <w:tcPr>
            <w:tcW w:w="180" w:type="dxa"/>
            <w:tcBorders>
              <w:top w:val="nil"/>
              <w:left w:val="nil"/>
              <w:bottom w:val="nil"/>
              <w:right w:val="nil"/>
              <w:tl2br w:val="nil"/>
              <w:tr2bl w:val="nil"/>
            </w:tcBorders>
            <w:shd w:val="clear" w:color="auto" w:fill="FFFFFF"/>
            <w:tcMar>
              <w:left w:w="101" w:type="dxa"/>
              <w:right w:w="101" w:type="dxa"/>
            </w:tcMar>
            <w:vAlign w:val="bottom"/>
          </w:tcPr>
          <w:p w14:paraId="5A584A68" w14:textId="77777777" w:rsidR="003F0EEA" w:rsidRPr="000A2095" w:rsidRDefault="003F0EEA">
            <w:pPr>
              <w:rPr>
                <w:rFonts w:ascii="Arial" w:eastAsia="Arial" w:hAnsi="Arial" w:cs="Arial"/>
                <w:color w:val="000000"/>
                <w:sz w:val="16"/>
                <w:szCs w:val="20"/>
              </w:rPr>
            </w:pPr>
          </w:p>
        </w:tc>
        <w:tc>
          <w:tcPr>
            <w:tcW w:w="2250" w:type="dxa"/>
            <w:gridSpan w:val="2"/>
            <w:vMerge w:val="restart"/>
            <w:tcBorders>
              <w:top w:val="nil"/>
              <w:left w:val="nil"/>
              <w:bottom w:val="nil"/>
              <w:right w:val="nil"/>
              <w:tl2br w:val="nil"/>
              <w:tr2bl w:val="nil"/>
            </w:tcBorders>
            <w:shd w:val="clear" w:color="auto" w:fill="FFFFFF"/>
            <w:tcMar>
              <w:left w:w="101" w:type="dxa"/>
              <w:right w:w="101" w:type="dxa"/>
            </w:tcMar>
            <w:vAlign w:val="bottom"/>
          </w:tcPr>
          <w:p w14:paraId="082B60C2" w14:textId="77777777" w:rsidR="003F0EEA" w:rsidRPr="000A2095" w:rsidRDefault="00FB7D0B">
            <w:pPr>
              <w:rPr>
                <w:rFonts w:ascii="Arial" w:eastAsia="Arial" w:hAnsi="Arial" w:cs="Arial"/>
                <w:b/>
                <w:color w:val="000000"/>
                <w:sz w:val="16"/>
                <w:szCs w:val="20"/>
              </w:rPr>
            </w:pPr>
            <w:r w:rsidRPr="000A2095">
              <w:rPr>
                <w:rFonts w:ascii="Arial" w:eastAsia="Arial" w:hAnsi="Arial" w:cs="Arial"/>
                <w:color w:val="000000"/>
                <w:sz w:val="16"/>
                <w:szCs w:val="20"/>
              </w:rPr>
              <w:t>Capital injections</w:t>
            </w:r>
          </w:p>
        </w:tc>
        <w:tc>
          <w:tcPr>
            <w:tcW w:w="1110"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032BB850" w14:textId="77777777" w:rsidR="003F0EEA" w:rsidRPr="000A2095" w:rsidRDefault="00FB7D0B">
            <w:pPr>
              <w:jc w:val="right"/>
              <w:rPr>
                <w:rFonts w:ascii="Arial" w:eastAsia="Arial" w:hAnsi="Arial" w:cs="Arial"/>
                <w:color w:val="000000"/>
                <w:sz w:val="16"/>
                <w:szCs w:val="20"/>
              </w:rPr>
            </w:pPr>
            <w:r w:rsidRPr="000A2095">
              <w:rPr>
                <w:rFonts w:ascii="Arial" w:eastAsia="Arial" w:hAnsi="Arial" w:cs="Arial"/>
                <w:color w:val="000000"/>
                <w:sz w:val="16"/>
                <w:szCs w:val="20"/>
              </w:rPr>
              <w:t xml:space="preserve"> - </w:t>
            </w:r>
          </w:p>
        </w:tc>
        <w:tc>
          <w:tcPr>
            <w:tcW w:w="1110" w:type="dxa"/>
            <w:tcBorders>
              <w:top w:val="nil"/>
              <w:left w:val="nil"/>
              <w:bottom w:val="single" w:sz="6" w:space="0" w:color="000000"/>
              <w:right w:val="nil"/>
              <w:tl2br w:val="nil"/>
              <w:tr2bl w:val="nil"/>
            </w:tcBorders>
            <w:shd w:val="clear" w:color="auto" w:fill="FFFF00"/>
            <w:tcMar>
              <w:left w:w="101" w:type="dxa"/>
              <w:right w:w="101" w:type="dxa"/>
            </w:tcMar>
            <w:vAlign w:val="bottom"/>
          </w:tcPr>
          <w:p w14:paraId="3F4A93A1" w14:textId="77777777" w:rsidR="003F0EEA" w:rsidRPr="000A2095" w:rsidRDefault="00FB7D0B">
            <w:pPr>
              <w:jc w:val="right"/>
              <w:rPr>
                <w:rFonts w:ascii="Arial" w:eastAsia="Arial" w:hAnsi="Arial" w:cs="Arial"/>
                <w:color w:val="000000"/>
                <w:sz w:val="16"/>
                <w:szCs w:val="20"/>
              </w:rPr>
            </w:pPr>
            <w:r w:rsidRPr="000A2095">
              <w:rPr>
                <w:rFonts w:ascii="Arial" w:eastAsia="Arial" w:hAnsi="Arial" w:cs="Arial"/>
                <w:color w:val="000000"/>
                <w:sz w:val="16"/>
                <w:szCs w:val="20"/>
              </w:rPr>
              <w:t xml:space="preserve"> 6,061 </w:t>
            </w:r>
          </w:p>
        </w:tc>
        <w:tc>
          <w:tcPr>
            <w:tcW w:w="1110"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2B0E54AB" w14:textId="77777777" w:rsidR="003F0EEA" w:rsidRPr="000A2095" w:rsidRDefault="00FB7D0B">
            <w:pPr>
              <w:jc w:val="right"/>
              <w:rPr>
                <w:rFonts w:ascii="Arial" w:eastAsia="Arial" w:hAnsi="Arial" w:cs="Arial"/>
                <w:color w:val="000000"/>
                <w:sz w:val="16"/>
                <w:szCs w:val="20"/>
              </w:rPr>
            </w:pPr>
            <w:r w:rsidRPr="000A2095">
              <w:rPr>
                <w:rFonts w:ascii="Arial" w:eastAsia="Arial" w:hAnsi="Arial" w:cs="Arial"/>
                <w:color w:val="000000"/>
                <w:sz w:val="16"/>
                <w:szCs w:val="20"/>
              </w:rPr>
              <w:t xml:space="preserve"> - </w:t>
            </w:r>
          </w:p>
        </w:tc>
        <w:tc>
          <w:tcPr>
            <w:tcW w:w="1110"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5FD2F20B" w14:textId="77777777" w:rsidR="003F0EEA" w:rsidRPr="000A2095" w:rsidRDefault="00FB7D0B">
            <w:pPr>
              <w:jc w:val="right"/>
              <w:rPr>
                <w:rFonts w:ascii="Arial" w:eastAsia="Arial" w:hAnsi="Arial" w:cs="Arial"/>
                <w:color w:val="000000"/>
                <w:sz w:val="16"/>
                <w:szCs w:val="20"/>
              </w:rPr>
            </w:pPr>
            <w:r w:rsidRPr="000A2095">
              <w:rPr>
                <w:rFonts w:ascii="Arial" w:eastAsia="Arial" w:hAnsi="Arial" w:cs="Arial"/>
                <w:color w:val="000000"/>
                <w:sz w:val="16"/>
                <w:szCs w:val="20"/>
              </w:rPr>
              <w:t xml:space="preserve"> - </w:t>
            </w:r>
          </w:p>
        </w:tc>
        <w:tc>
          <w:tcPr>
            <w:tcW w:w="1110"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3A9C8C9A" w14:textId="77777777" w:rsidR="003F0EEA" w:rsidRPr="000A2095" w:rsidRDefault="00FB7D0B">
            <w:pPr>
              <w:jc w:val="right"/>
              <w:rPr>
                <w:rFonts w:ascii="Arial" w:eastAsia="Arial" w:hAnsi="Arial" w:cs="Arial"/>
                <w:color w:val="000000"/>
                <w:sz w:val="16"/>
                <w:szCs w:val="20"/>
              </w:rPr>
            </w:pPr>
            <w:r w:rsidRPr="000A2095">
              <w:rPr>
                <w:rFonts w:ascii="Arial" w:eastAsia="Arial" w:hAnsi="Arial" w:cs="Arial"/>
                <w:color w:val="000000"/>
                <w:sz w:val="16"/>
                <w:szCs w:val="20"/>
              </w:rPr>
              <w:t xml:space="preserve"> - </w:t>
            </w:r>
          </w:p>
        </w:tc>
      </w:tr>
      <w:tr w:rsidR="00FB7D0B" w14:paraId="24CE7626" w14:textId="77777777" w:rsidTr="00FB7D0B">
        <w:trPr>
          <w:trHeight w:val="225"/>
        </w:trPr>
        <w:tc>
          <w:tcPr>
            <w:tcW w:w="2430" w:type="dxa"/>
            <w:gridSpan w:val="3"/>
            <w:vMerge w:val="restart"/>
            <w:tcBorders>
              <w:top w:val="nil"/>
              <w:left w:val="nil"/>
              <w:bottom w:val="nil"/>
              <w:right w:val="nil"/>
              <w:tl2br w:val="nil"/>
              <w:tr2bl w:val="nil"/>
            </w:tcBorders>
            <w:shd w:val="clear" w:color="auto" w:fill="FFFFFF"/>
            <w:tcMar>
              <w:left w:w="101" w:type="dxa"/>
              <w:right w:w="101" w:type="dxa"/>
            </w:tcMar>
            <w:vAlign w:val="bottom"/>
          </w:tcPr>
          <w:p w14:paraId="5910912A" w14:textId="77777777" w:rsidR="003F0EEA" w:rsidRPr="000A2095" w:rsidRDefault="00FB7D0B">
            <w:pPr>
              <w:rPr>
                <w:rFonts w:ascii="Arial" w:eastAsia="Arial" w:hAnsi="Arial" w:cs="Arial"/>
                <w:color w:val="000000"/>
                <w:sz w:val="16"/>
                <w:szCs w:val="20"/>
              </w:rPr>
            </w:pPr>
            <w:r w:rsidRPr="000A2095">
              <w:rPr>
                <w:rFonts w:ascii="Arial" w:eastAsia="Arial" w:hAnsi="Arial" w:cs="Arial"/>
                <w:b/>
                <w:i/>
                <w:color w:val="000000"/>
                <w:sz w:val="16"/>
                <w:szCs w:val="20"/>
              </w:rPr>
              <w:t>Total cash received</w:t>
            </w:r>
          </w:p>
        </w:tc>
        <w:tc>
          <w:tcPr>
            <w:tcW w:w="1110"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6B9DDADC" w14:textId="77777777" w:rsidR="003F0EEA" w:rsidRPr="000A2095" w:rsidRDefault="00FB7D0B">
            <w:pPr>
              <w:jc w:val="right"/>
              <w:rPr>
                <w:rFonts w:ascii="Arial" w:eastAsia="Arial" w:hAnsi="Arial" w:cs="Arial"/>
                <w:b/>
                <w:i/>
                <w:color w:val="000000"/>
                <w:sz w:val="16"/>
                <w:szCs w:val="20"/>
              </w:rPr>
            </w:pPr>
            <w:r w:rsidRPr="000A2095">
              <w:rPr>
                <w:rFonts w:ascii="Arial" w:eastAsia="Arial" w:hAnsi="Arial" w:cs="Arial"/>
                <w:b/>
                <w:color w:val="000000"/>
                <w:sz w:val="16"/>
                <w:szCs w:val="20"/>
              </w:rPr>
              <w:t xml:space="preserve"> - </w:t>
            </w:r>
          </w:p>
        </w:tc>
        <w:tc>
          <w:tcPr>
            <w:tcW w:w="1110" w:type="dxa"/>
            <w:tcBorders>
              <w:top w:val="single" w:sz="6" w:space="0" w:color="000000"/>
              <w:left w:val="nil"/>
              <w:bottom w:val="single" w:sz="6" w:space="0" w:color="000000"/>
              <w:right w:val="nil"/>
              <w:tl2br w:val="nil"/>
              <w:tr2bl w:val="nil"/>
            </w:tcBorders>
            <w:shd w:val="clear" w:color="auto" w:fill="FFFF00"/>
            <w:tcMar>
              <w:left w:w="101" w:type="dxa"/>
              <w:right w:w="101" w:type="dxa"/>
            </w:tcMar>
            <w:vAlign w:val="bottom"/>
          </w:tcPr>
          <w:p w14:paraId="21E22BA0" w14:textId="77777777" w:rsidR="003F0EEA" w:rsidRPr="000A2095" w:rsidRDefault="00FB7D0B">
            <w:pPr>
              <w:jc w:val="right"/>
              <w:rPr>
                <w:rFonts w:ascii="Arial" w:eastAsia="Arial" w:hAnsi="Arial" w:cs="Arial"/>
                <w:b/>
                <w:color w:val="000000"/>
                <w:sz w:val="16"/>
                <w:szCs w:val="20"/>
              </w:rPr>
            </w:pPr>
            <w:r w:rsidRPr="000A2095">
              <w:rPr>
                <w:rFonts w:ascii="Arial" w:eastAsia="Arial" w:hAnsi="Arial" w:cs="Arial"/>
                <w:b/>
                <w:color w:val="000000"/>
                <w:sz w:val="16"/>
                <w:szCs w:val="20"/>
              </w:rPr>
              <w:t xml:space="preserve"> 6,061 </w:t>
            </w:r>
          </w:p>
        </w:tc>
        <w:tc>
          <w:tcPr>
            <w:tcW w:w="1110"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7CB05CC8" w14:textId="77777777" w:rsidR="003F0EEA" w:rsidRPr="000A2095" w:rsidRDefault="00FB7D0B">
            <w:pPr>
              <w:jc w:val="right"/>
              <w:rPr>
                <w:rFonts w:ascii="Arial" w:eastAsia="Arial" w:hAnsi="Arial" w:cs="Arial"/>
                <w:b/>
                <w:color w:val="000000"/>
                <w:sz w:val="16"/>
                <w:szCs w:val="20"/>
              </w:rPr>
            </w:pPr>
            <w:r w:rsidRPr="000A2095">
              <w:rPr>
                <w:rFonts w:ascii="Arial" w:eastAsia="Arial" w:hAnsi="Arial" w:cs="Arial"/>
                <w:b/>
                <w:color w:val="000000"/>
                <w:sz w:val="16"/>
                <w:szCs w:val="20"/>
              </w:rPr>
              <w:t xml:space="preserve"> - </w:t>
            </w:r>
          </w:p>
        </w:tc>
        <w:tc>
          <w:tcPr>
            <w:tcW w:w="1110"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14E465B0" w14:textId="77777777" w:rsidR="003F0EEA" w:rsidRPr="000A2095" w:rsidRDefault="00FB7D0B">
            <w:pPr>
              <w:jc w:val="right"/>
              <w:rPr>
                <w:rFonts w:ascii="Arial" w:eastAsia="Arial" w:hAnsi="Arial" w:cs="Arial"/>
                <w:b/>
                <w:color w:val="000000"/>
                <w:sz w:val="16"/>
                <w:szCs w:val="20"/>
              </w:rPr>
            </w:pPr>
            <w:r w:rsidRPr="000A2095">
              <w:rPr>
                <w:rFonts w:ascii="Arial" w:eastAsia="Arial" w:hAnsi="Arial" w:cs="Arial"/>
                <w:b/>
                <w:color w:val="000000"/>
                <w:sz w:val="16"/>
                <w:szCs w:val="20"/>
              </w:rPr>
              <w:t xml:space="preserve"> - </w:t>
            </w:r>
          </w:p>
        </w:tc>
        <w:tc>
          <w:tcPr>
            <w:tcW w:w="1110"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191DBC53" w14:textId="77777777" w:rsidR="003F0EEA" w:rsidRPr="000A2095" w:rsidRDefault="00FB7D0B">
            <w:pPr>
              <w:jc w:val="right"/>
              <w:rPr>
                <w:rFonts w:ascii="Arial" w:eastAsia="Arial" w:hAnsi="Arial" w:cs="Arial"/>
                <w:b/>
                <w:color w:val="000000"/>
                <w:sz w:val="16"/>
                <w:szCs w:val="20"/>
              </w:rPr>
            </w:pPr>
            <w:r w:rsidRPr="000A2095">
              <w:rPr>
                <w:rFonts w:ascii="Arial" w:eastAsia="Arial" w:hAnsi="Arial" w:cs="Arial"/>
                <w:b/>
                <w:color w:val="000000"/>
                <w:sz w:val="16"/>
                <w:szCs w:val="20"/>
              </w:rPr>
              <w:t xml:space="preserve"> - </w:t>
            </w:r>
          </w:p>
        </w:tc>
      </w:tr>
      <w:tr w:rsidR="00FB7D0B" w14:paraId="32984139" w14:textId="77777777" w:rsidTr="00FB7D0B">
        <w:trPr>
          <w:trHeight w:val="225"/>
        </w:trPr>
        <w:tc>
          <w:tcPr>
            <w:tcW w:w="2430" w:type="dxa"/>
            <w:gridSpan w:val="3"/>
            <w:vMerge w:val="restart"/>
            <w:tcBorders>
              <w:top w:val="nil"/>
              <w:left w:val="nil"/>
              <w:bottom w:val="nil"/>
              <w:right w:val="nil"/>
              <w:tl2br w:val="nil"/>
              <w:tr2bl w:val="nil"/>
            </w:tcBorders>
            <w:shd w:val="clear" w:color="auto" w:fill="FFFFFF"/>
            <w:tcMar>
              <w:left w:w="101" w:type="dxa"/>
              <w:right w:w="101" w:type="dxa"/>
            </w:tcMar>
            <w:vAlign w:val="bottom"/>
          </w:tcPr>
          <w:p w14:paraId="1F9759E9" w14:textId="77777777" w:rsidR="003F0EEA" w:rsidRPr="000A2095" w:rsidRDefault="00FB7D0B">
            <w:pPr>
              <w:rPr>
                <w:rFonts w:ascii="Arial" w:eastAsia="Arial" w:hAnsi="Arial" w:cs="Arial"/>
                <w:b/>
                <w:color w:val="000000"/>
                <w:sz w:val="16"/>
                <w:szCs w:val="20"/>
              </w:rPr>
            </w:pPr>
            <w:r w:rsidRPr="000A2095">
              <w:rPr>
                <w:rFonts w:ascii="Arial" w:eastAsia="Arial" w:hAnsi="Arial" w:cs="Arial"/>
                <w:b/>
                <w:color w:val="000000"/>
                <w:sz w:val="16"/>
                <w:szCs w:val="20"/>
              </w:rPr>
              <w:t>Net cash received from</w:t>
            </w:r>
          </w:p>
        </w:tc>
        <w:tc>
          <w:tcPr>
            <w:tcW w:w="1110"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0C610BC6" w14:textId="77777777" w:rsidR="003F0EEA" w:rsidRPr="000A2095" w:rsidRDefault="003F0EEA">
            <w:pPr>
              <w:rPr>
                <w:rFonts w:ascii="Arial" w:eastAsia="Arial" w:hAnsi="Arial" w:cs="Arial"/>
                <w:b/>
                <w:color w:val="000000"/>
                <w:sz w:val="16"/>
                <w:szCs w:val="20"/>
              </w:rPr>
            </w:pPr>
          </w:p>
        </w:tc>
        <w:tc>
          <w:tcPr>
            <w:tcW w:w="1110" w:type="dxa"/>
            <w:tcBorders>
              <w:top w:val="single" w:sz="6" w:space="0" w:color="000000"/>
              <w:left w:val="nil"/>
              <w:bottom w:val="nil"/>
              <w:right w:val="nil"/>
              <w:tl2br w:val="nil"/>
              <w:tr2bl w:val="nil"/>
            </w:tcBorders>
            <w:shd w:val="clear" w:color="auto" w:fill="FFFF00"/>
            <w:tcMar>
              <w:left w:w="101" w:type="dxa"/>
              <w:right w:w="101" w:type="dxa"/>
            </w:tcMar>
            <w:vAlign w:val="bottom"/>
          </w:tcPr>
          <w:p w14:paraId="020D7364" w14:textId="77777777" w:rsidR="003F0EEA" w:rsidRPr="000A2095" w:rsidRDefault="003F0EEA">
            <w:pPr>
              <w:rPr>
                <w:rFonts w:ascii="Arial" w:eastAsia="Arial" w:hAnsi="Arial" w:cs="Arial"/>
                <w:b/>
                <w:color w:val="000000"/>
                <w:sz w:val="16"/>
                <w:szCs w:val="20"/>
              </w:rPr>
            </w:pPr>
          </w:p>
        </w:tc>
        <w:tc>
          <w:tcPr>
            <w:tcW w:w="1110"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5910693E" w14:textId="77777777" w:rsidR="003F0EEA" w:rsidRPr="000A2095" w:rsidRDefault="003F0EEA">
            <w:pPr>
              <w:rPr>
                <w:rFonts w:ascii="Arial" w:eastAsia="Arial" w:hAnsi="Arial" w:cs="Arial"/>
                <w:b/>
                <w:color w:val="000000"/>
                <w:sz w:val="16"/>
                <w:szCs w:val="20"/>
              </w:rPr>
            </w:pPr>
          </w:p>
        </w:tc>
        <w:tc>
          <w:tcPr>
            <w:tcW w:w="1110"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65A245EB" w14:textId="77777777" w:rsidR="003F0EEA" w:rsidRPr="000A2095" w:rsidRDefault="003F0EEA">
            <w:pPr>
              <w:rPr>
                <w:rFonts w:ascii="Arial" w:eastAsia="Arial" w:hAnsi="Arial" w:cs="Arial"/>
                <w:b/>
                <w:color w:val="000000"/>
                <w:sz w:val="16"/>
                <w:szCs w:val="20"/>
              </w:rPr>
            </w:pPr>
          </w:p>
        </w:tc>
        <w:tc>
          <w:tcPr>
            <w:tcW w:w="1110"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1D612369" w14:textId="77777777" w:rsidR="003F0EEA" w:rsidRPr="000A2095" w:rsidRDefault="003F0EEA">
            <w:pPr>
              <w:rPr>
                <w:rFonts w:ascii="Arial" w:eastAsia="Arial" w:hAnsi="Arial" w:cs="Arial"/>
                <w:b/>
                <w:color w:val="000000"/>
                <w:sz w:val="16"/>
                <w:szCs w:val="20"/>
              </w:rPr>
            </w:pPr>
          </w:p>
        </w:tc>
      </w:tr>
      <w:tr w:rsidR="00FB7D0B" w14:paraId="176AE0A7" w14:textId="77777777" w:rsidTr="00FB7D0B">
        <w:trPr>
          <w:trHeight w:val="225"/>
        </w:trPr>
        <w:tc>
          <w:tcPr>
            <w:tcW w:w="360" w:type="dxa"/>
            <w:gridSpan w:val="2"/>
            <w:vMerge w:val="restart"/>
            <w:tcBorders>
              <w:top w:val="nil"/>
              <w:left w:val="nil"/>
              <w:bottom w:val="nil"/>
              <w:right w:val="nil"/>
              <w:tl2br w:val="nil"/>
              <w:tr2bl w:val="nil"/>
            </w:tcBorders>
            <w:shd w:val="clear" w:color="auto" w:fill="FFFFFF"/>
            <w:tcMar>
              <w:left w:w="101" w:type="dxa"/>
              <w:right w:w="101" w:type="dxa"/>
            </w:tcMar>
            <w:vAlign w:val="bottom"/>
          </w:tcPr>
          <w:p w14:paraId="160AE587" w14:textId="77777777" w:rsidR="003F0EEA" w:rsidRPr="000A2095" w:rsidRDefault="003F0EEA">
            <w:pPr>
              <w:rPr>
                <w:rFonts w:ascii="Arial" w:eastAsia="Arial" w:hAnsi="Arial" w:cs="Arial"/>
                <w:b/>
                <w:color w:val="000000"/>
                <w:sz w:val="16"/>
                <w:szCs w:val="20"/>
              </w:rPr>
            </w:pPr>
          </w:p>
        </w:tc>
        <w:tc>
          <w:tcPr>
            <w:tcW w:w="2070" w:type="dxa"/>
            <w:tcBorders>
              <w:top w:val="nil"/>
              <w:left w:val="nil"/>
              <w:bottom w:val="nil"/>
              <w:right w:val="nil"/>
              <w:tl2br w:val="nil"/>
              <w:tr2bl w:val="nil"/>
            </w:tcBorders>
            <w:shd w:val="clear" w:color="auto" w:fill="FFFFFF"/>
            <w:tcMar>
              <w:left w:w="101" w:type="dxa"/>
              <w:right w:w="101" w:type="dxa"/>
            </w:tcMar>
            <w:vAlign w:val="bottom"/>
          </w:tcPr>
          <w:p w14:paraId="3B1419E6" w14:textId="77777777" w:rsidR="003F0EEA" w:rsidRPr="000A2095" w:rsidRDefault="00FB7D0B">
            <w:pPr>
              <w:rPr>
                <w:rFonts w:ascii="Arial" w:eastAsia="Arial" w:hAnsi="Arial" w:cs="Arial"/>
                <w:b/>
                <w:color w:val="000000"/>
                <w:sz w:val="16"/>
                <w:szCs w:val="20"/>
              </w:rPr>
            </w:pPr>
            <w:r w:rsidRPr="000A2095">
              <w:rPr>
                <w:rFonts w:ascii="Arial" w:eastAsia="Arial" w:hAnsi="Arial" w:cs="Arial"/>
                <w:b/>
                <w:color w:val="000000"/>
                <w:sz w:val="16"/>
                <w:szCs w:val="20"/>
              </w:rPr>
              <w:t>financing activities</w:t>
            </w:r>
          </w:p>
        </w:tc>
        <w:tc>
          <w:tcPr>
            <w:tcW w:w="1110"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0D326CB1" w14:textId="77777777" w:rsidR="003F0EEA" w:rsidRPr="000A2095" w:rsidRDefault="00FB7D0B">
            <w:pPr>
              <w:jc w:val="right"/>
              <w:rPr>
                <w:rFonts w:ascii="Arial" w:eastAsia="Arial" w:hAnsi="Arial" w:cs="Arial"/>
                <w:b/>
                <w:color w:val="000000"/>
                <w:sz w:val="16"/>
                <w:szCs w:val="20"/>
              </w:rPr>
            </w:pPr>
            <w:r w:rsidRPr="000A2095">
              <w:rPr>
                <w:rFonts w:ascii="Arial" w:eastAsia="Arial" w:hAnsi="Arial" w:cs="Arial"/>
                <w:b/>
                <w:color w:val="000000"/>
                <w:sz w:val="16"/>
                <w:szCs w:val="20"/>
              </w:rPr>
              <w:t xml:space="preserve"> - </w:t>
            </w:r>
          </w:p>
        </w:tc>
        <w:tc>
          <w:tcPr>
            <w:tcW w:w="1110" w:type="dxa"/>
            <w:tcBorders>
              <w:top w:val="nil"/>
              <w:left w:val="nil"/>
              <w:bottom w:val="single" w:sz="6" w:space="0" w:color="000000"/>
              <w:right w:val="nil"/>
              <w:tl2br w:val="nil"/>
              <w:tr2bl w:val="nil"/>
            </w:tcBorders>
            <w:shd w:val="clear" w:color="auto" w:fill="FFFF00"/>
            <w:tcMar>
              <w:left w:w="101" w:type="dxa"/>
              <w:right w:w="101" w:type="dxa"/>
            </w:tcMar>
            <w:vAlign w:val="bottom"/>
          </w:tcPr>
          <w:p w14:paraId="62807780" w14:textId="77777777" w:rsidR="003F0EEA" w:rsidRPr="000A2095" w:rsidRDefault="00FB7D0B">
            <w:pPr>
              <w:jc w:val="right"/>
              <w:rPr>
                <w:rFonts w:ascii="Arial" w:eastAsia="Arial" w:hAnsi="Arial" w:cs="Arial"/>
                <w:b/>
                <w:color w:val="000000"/>
                <w:sz w:val="16"/>
                <w:szCs w:val="20"/>
              </w:rPr>
            </w:pPr>
            <w:r w:rsidRPr="000A2095">
              <w:rPr>
                <w:rFonts w:ascii="Arial" w:eastAsia="Arial" w:hAnsi="Arial" w:cs="Arial"/>
                <w:b/>
                <w:color w:val="000000"/>
                <w:sz w:val="16"/>
                <w:szCs w:val="20"/>
              </w:rPr>
              <w:t xml:space="preserve"> 6,061 </w:t>
            </w:r>
          </w:p>
        </w:tc>
        <w:tc>
          <w:tcPr>
            <w:tcW w:w="1110"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757541FD" w14:textId="77777777" w:rsidR="003F0EEA" w:rsidRPr="000A2095" w:rsidRDefault="00FB7D0B">
            <w:pPr>
              <w:jc w:val="right"/>
              <w:rPr>
                <w:rFonts w:ascii="Arial" w:eastAsia="Arial" w:hAnsi="Arial" w:cs="Arial"/>
                <w:b/>
                <w:color w:val="000000"/>
                <w:sz w:val="16"/>
                <w:szCs w:val="20"/>
              </w:rPr>
            </w:pPr>
            <w:r w:rsidRPr="000A2095">
              <w:rPr>
                <w:rFonts w:ascii="Arial" w:eastAsia="Arial" w:hAnsi="Arial" w:cs="Arial"/>
                <w:b/>
                <w:color w:val="000000"/>
                <w:sz w:val="16"/>
                <w:szCs w:val="20"/>
              </w:rPr>
              <w:t xml:space="preserve"> - </w:t>
            </w:r>
          </w:p>
        </w:tc>
        <w:tc>
          <w:tcPr>
            <w:tcW w:w="1110"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2E71749B" w14:textId="77777777" w:rsidR="003F0EEA" w:rsidRPr="000A2095" w:rsidRDefault="00FB7D0B">
            <w:pPr>
              <w:jc w:val="right"/>
              <w:rPr>
                <w:rFonts w:ascii="Arial" w:eastAsia="Arial" w:hAnsi="Arial" w:cs="Arial"/>
                <w:b/>
                <w:color w:val="000000"/>
                <w:sz w:val="16"/>
                <w:szCs w:val="20"/>
              </w:rPr>
            </w:pPr>
            <w:r w:rsidRPr="000A2095">
              <w:rPr>
                <w:rFonts w:ascii="Arial" w:eastAsia="Arial" w:hAnsi="Arial" w:cs="Arial"/>
                <w:b/>
                <w:color w:val="000000"/>
                <w:sz w:val="16"/>
                <w:szCs w:val="20"/>
              </w:rPr>
              <w:t xml:space="preserve"> - </w:t>
            </w:r>
          </w:p>
        </w:tc>
        <w:tc>
          <w:tcPr>
            <w:tcW w:w="1110"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51933526" w14:textId="77777777" w:rsidR="003F0EEA" w:rsidRPr="000A2095" w:rsidRDefault="00FB7D0B">
            <w:pPr>
              <w:jc w:val="right"/>
              <w:rPr>
                <w:rFonts w:ascii="Arial" w:eastAsia="Arial" w:hAnsi="Arial" w:cs="Arial"/>
                <w:b/>
                <w:color w:val="000000"/>
                <w:sz w:val="16"/>
                <w:szCs w:val="20"/>
              </w:rPr>
            </w:pPr>
            <w:r w:rsidRPr="000A2095">
              <w:rPr>
                <w:rFonts w:ascii="Arial" w:eastAsia="Arial" w:hAnsi="Arial" w:cs="Arial"/>
                <w:b/>
                <w:color w:val="000000"/>
                <w:sz w:val="16"/>
                <w:szCs w:val="20"/>
              </w:rPr>
              <w:t xml:space="preserve"> - </w:t>
            </w:r>
          </w:p>
        </w:tc>
      </w:tr>
      <w:tr w:rsidR="00FB7D0B" w14:paraId="47054C6E" w14:textId="77777777" w:rsidTr="00FB7D0B">
        <w:trPr>
          <w:trHeight w:val="450"/>
        </w:trPr>
        <w:tc>
          <w:tcPr>
            <w:tcW w:w="2430" w:type="dxa"/>
            <w:gridSpan w:val="3"/>
            <w:tcBorders>
              <w:top w:val="nil"/>
              <w:left w:val="nil"/>
              <w:bottom w:val="nil"/>
              <w:right w:val="nil"/>
              <w:tl2br w:val="nil"/>
              <w:tr2bl w:val="nil"/>
            </w:tcBorders>
            <w:shd w:val="clear" w:color="auto" w:fill="FFFFFF"/>
            <w:tcMar>
              <w:left w:w="101" w:type="dxa"/>
              <w:right w:w="101" w:type="dxa"/>
            </w:tcMar>
            <w:vAlign w:val="bottom"/>
          </w:tcPr>
          <w:p w14:paraId="7A392514" w14:textId="77777777" w:rsidR="003F0EEA" w:rsidRPr="000A2095" w:rsidRDefault="00FB7D0B">
            <w:pPr>
              <w:rPr>
                <w:rFonts w:ascii="Arial" w:eastAsia="Arial" w:hAnsi="Arial" w:cs="Arial"/>
                <w:b/>
                <w:color w:val="000000"/>
                <w:sz w:val="16"/>
                <w:szCs w:val="20"/>
              </w:rPr>
            </w:pPr>
            <w:r w:rsidRPr="000A2095">
              <w:rPr>
                <w:rFonts w:ascii="Arial" w:eastAsia="Arial" w:hAnsi="Arial" w:cs="Arial"/>
                <w:b/>
                <w:color w:val="000000"/>
                <w:sz w:val="16"/>
                <w:szCs w:val="20"/>
              </w:rPr>
              <w:t>Net increase/decrease in cash held</w:t>
            </w:r>
          </w:p>
        </w:tc>
        <w:tc>
          <w:tcPr>
            <w:tcW w:w="1110"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7D507C3A" w14:textId="77777777" w:rsidR="003F0EEA" w:rsidRPr="000A2095" w:rsidRDefault="00FB7D0B">
            <w:pPr>
              <w:jc w:val="right"/>
              <w:rPr>
                <w:rFonts w:ascii="Arial" w:eastAsia="Arial" w:hAnsi="Arial" w:cs="Arial"/>
                <w:b/>
                <w:color w:val="000000"/>
                <w:sz w:val="16"/>
                <w:szCs w:val="20"/>
              </w:rPr>
            </w:pPr>
            <w:r w:rsidRPr="000A2095">
              <w:rPr>
                <w:rFonts w:ascii="Arial" w:eastAsia="Arial" w:hAnsi="Arial" w:cs="Arial"/>
                <w:b/>
                <w:color w:val="000000"/>
                <w:sz w:val="16"/>
                <w:szCs w:val="20"/>
              </w:rPr>
              <w:t>(12,062,172)</w:t>
            </w:r>
          </w:p>
        </w:tc>
        <w:tc>
          <w:tcPr>
            <w:tcW w:w="1110" w:type="dxa"/>
            <w:tcBorders>
              <w:top w:val="single" w:sz="6" w:space="0" w:color="000000"/>
              <w:left w:val="nil"/>
              <w:bottom w:val="single" w:sz="6" w:space="0" w:color="000000"/>
              <w:right w:val="nil"/>
              <w:tl2br w:val="nil"/>
              <w:tr2bl w:val="nil"/>
            </w:tcBorders>
            <w:shd w:val="clear" w:color="auto" w:fill="FFFF00"/>
            <w:tcMar>
              <w:left w:w="101" w:type="dxa"/>
              <w:right w:w="101" w:type="dxa"/>
            </w:tcMar>
            <w:vAlign w:val="bottom"/>
          </w:tcPr>
          <w:p w14:paraId="13BAC8F7" w14:textId="77777777" w:rsidR="003F0EEA" w:rsidRPr="000A2095" w:rsidRDefault="00FB7D0B">
            <w:pPr>
              <w:jc w:val="right"/>
              <w:rPr>
                <w:rFonts w:ascii="Arial" w:eastAsia="Arial" w:hAnsi="Arial" w:cs="Arial"/>
                <w:b/>
                <w:color w:val="000000"/>
                <w:sz w:val="16"/>
                <w:szCs w:val="20"/>
              </w:rPr>
            </w:pPr>
            <w:r w:rsidRPr="000A2095">
              <w:rPr>
                <w:rFonts w:ascii="Arial" w:eastAsia="Arial" w:hAnsi="Arial" w:cs="Arial"/>
                <w:b/>
                <w:color w:val="000000"/>
                <w:sz w:val="16"/>
                <w:szCs w:val="20"/>
              </w:rPr>
              <w:t>(11,957,468)</w:t>
            </w:r>
          </w:p>
        </w:tc>
        <w:tc>
          <w:tcPr>
            <w:tcW w:w="1110"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7FBC6400" w14:textId="77777777" w:rsidR="003F0EEA" w:rsidRPr="000A2095" w:rsidRDefault="00FB7D0B">
            <w:pPr>
              <w:jc w:val="right"/>
              <w:rPr>
                <w:rFonts w:ascii="Arial" w:eastAsia="Arial" w:hAnsi="Arial" w:cs="Arial"/>
                <w:b/>
                <w:color w:val="000000"/>
                <w:sz w:val="16"/>
                <w:szCs w:val="20"/>
              </w:rPr>
            </w:pPr>
            <w:r w:rsidRPr="000A2095">
              <w:rPr>
                <w:rFonts w:ascii="Arial" w:eastAsia="Arial" w:hAnsi="Arial" w:cs="Arial"/>
                <w:b/>
                <w:color w:val="000000"/>
                <w:sz w:val="16"/>
                <w:szCs w:val="20"/>
              </w:rPr>
              <w:t>(11,812,959)</w:t>
            </w:r>
          </w:p>
        </w:tc>
        <w:tc>
          <w:tcPr>
            <w:tcW w:w="1110"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79553DA5" w14:textId="77777777" w:rsidR="003F0EEA" w:rsidRPr="000A2095" w:rsidRDefault="00FB7D0B">
            <w:pPr>
              <w:jc w:val="right"/>
              <w:rPr>
                <w:rFonts w:ascii="Arial" w:eastAsia="Arial" w:hAnsi="Arial" w:cs="Arial"/>
                <w:b/>
                <w:color w:val="000000"/>
                <w:sz w:val="16"/>
                <w:szCs w:val="20"/>
              </w:rPr>
            </w:pPr>
            <w:r w:rsidRPr="000A2095">
              <w:rPr>
                <w:rFonts w:ascii="Arial" w:eastAsia="Arial" w:hAnsi="Arial" w:cs="Arial"/>
                <w:b/>
                <w:color w:val="000000"/>
                <w:sz w:val="16"/>
                <w:szCs w:val="20"/>
              </w:rPr>
              <w:t>(11,790,858)</w:t>
            </w:r>
          </w:p>
        </w:tc>
        <w:tc>
          <w:tcPr>
            <w:tcW w:w="1110"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562AE7A3" w14:textId="77777777" w:rsidR="003F0EEA" w:rsidRPr="000A2095" w:rsidRDefault="00FB7D0B">
            <w:pPr>
              <w:jc w:val="right"/>
              <w:rPr>
                <w:rFonts w:ascii="Arial" w:eastAsia="Arial" w:hAnsi="Arial" w:cs="Arial"/>
                <w:b/>
                <w:color w:val="000000"/>
                <w:sz w:val="16"/>
                <w:szCs w:val="20"/>
              </w:rPr>
            </w:pPr>
            <w:r w:rsidRPr="000A2095">
              <w:rPr>
                <w:rFonts w:ascii="Arial" w:eastAsia="Arial" w:hAnsi="Arial" w:cs="Arial"/>
                <w:b/>
                <w:color w:val="000000"/>
                <w:sz w:val="16"/>
                <w:szCs w:val="20"/>
              </w:rPr>
              <w:t>(11,747,029)</w:t>
            </w:r>
          </w:p>
        </w:tc>
      </w:tr>
      <w:tr w:rsidR="00FB7D0B" w14:paraId="425D5F7D" w14:textId="77777777" w:rsidTr="00FB7D0B">
        <w:trPr>
          <w:trHeight w:val="225"/>
        </w:trPr>
        <w:tc>
          <w:tcPr>
            <w:tcW w:w="2430" w:type="dxa"/>
            <w:gridSpan w:val="3"/>
            <w:tcBorders>
              <w:top w:val="nil"/>
              <w:left w:val="nil"/>
              <w:bottom w:val="nil"/>
              <w:right w:val="nil"/>
              <w:tl2br w:val="nil"/>
              <w:tr2bl w:val="nil"/>
            </w:tcBorders>
            <w:shd w:val="clear" w:color="auto" w:fill="FFFFFF"/>
            <w:tcMar>
              <w:left w:w="101" w:type="dxa"/>
              <w:right w:w="101" w:type="dxa"/>
            </w:tcMar>
            <w:vAlign w:val="bottom"/>
          </w:tcPr>
          <w:p w14:paraId="3151E73C" w14:textId="77777777" w:rsidR="003F0EEA" w:rsidRPr="000A2095" w:rsidRDefault="00FB7D0B">
            <w:pPr>
              <w:rPr>
                <w:rFonts w:ascii="Arial" w:eastAsia="Arial" w:hAnsi="Arial" w:cs="Arial"/>
                <w:b/>
                <w:color w:val="000000"/>
                <w:sz w:val="16"/>
                <w:szCs w:val="20"/>
              </w:rPr>
            </w:pPr>
            <w:r w:rsidRPr="000A2095">
              <w:rPr>
                <w:rFonts w:ascii="Arial" w:eastAsia="Arial" w:hAnsi="Arial" w:cs="Arial"/>
                <w:color w:val="000000"/>
                <w:sz w:val="16"/>
                <w:szCs w:val="20"/>
              </w:rPr>
              <w:t>Cash and cash equivalents at</w:t>
            </w:r>
          </w:p>
        </w:tc>
        <w:tc>
          <w:tcPr>
            <w:tcW w:w="1110"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2E20C961" w14:textId="77777777" w:rsidR="003F0EEA" w:rsidRPr="000A2095" w:rsidRDefault="003F0EEA">
            <w:pPr>
              <w:rPr>
                <w:rFonts w:ascii="Arial" w:eastAsia="Arial" w:hAnsi="Arial" w:cs="Arial"/>
                <w:color w:val="000000"/>
                <w:sz w:val="16"/>
                <w:szCs w:val="20"/>
              </w:rPr>
            </w:pPr>
          </w:p>
        </w:tc>
        <w:tc>
          <w:tcPr>
            <w:tcW w:w="1110" w:type="dxa"/>
            <w:tcBorders>
              <w:top w:val="single" w:sz="6" w:space="0" w:color="000000"/>
              <w:left w:val="nil"/>
              <w:bottom w:val="nil"/>
              <w:right w:val="nil"/>
              <w:tl2br w:val="nil"/>
              <w:tr2bl w:val="nil"/>
            </w:tcBorders>
            <w:shd w:val="clear" w:color="auto" w:fill="FFFF00"/>
            <w:tcMar>
              <w:left w:w="101" w:type="dxa"/>
              <w:right w:w="101" w:type="dxa"/>
            </w:tcMar>
            <w:vAlign w:val="bottom"/>
          </w:tcPr>
          <w:p w14:paraId="3ADA6D3F" w14:textId="77777777" w:rsidR="003F0EEA" w:rsidRPr="000A2095" w:rsidRDefault="003F0EEA">
            <w:pPr>
              <w:rPr>
                <w:rFonts w:ascii="Arial" w:eastAsia="Arial" w:hAnsi="Arial" w:cs="Arial"/>
                <w:b/>
                <w:color w:val="000000"/>
                <w:sz w:val="16"/>
                <w:szCs w:val="20"/>
              </w:rPr>
            </w:pPr>
          </w:p>
        </w:tc>
        <w:tc>
          <w:tcPr>
            <w:tcW w:w="1110"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689DF003" w14:textId="77777777" w:rsidR="003F0EEA" w:rsidRPr="000A2095" w:rsidRDefault="003F0EEA">
            <w:pPr>
              <w:rPr>
                <w:rFonts w:ascii="Arial" w:eastAsia="Arial" w:hAnsi="Arial" w:cs="Arial"/>
                <w:b/>
                <w:color w:val="000000"/>
                <w:sz w:val="16"/>
                <w:szCs w:val="20"/>
              </w:rPr>
            </w:pPr>
          </w:p>
        </w:tc>
        <w:tc>
          <w:tcPr>
            <w:tcW w:w="1110"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0E0D9309" w14:textId="77777777" w:rsidR="003F0EEA" w:rsidRPr="000A2095" w:rsidRDefault="003F0EEA">
            <w:pPr>
              <w:rPr>
                <w:rFonts w:ascii="Arial" w:eastAsia="Arial" w:hAnsi="Arial" w:cs="Arial"/>
                <w:b/>
                <w:color w:val="000000"/>
                <w:sz w:val="16"/>
                <w:szCs w:val="20"/>
              </w:rPr>
            </w:pPr>
          </w:p>
        </w:tc>
        <w:tc>
          <w:tcPr>
            <w:tcW w:w="1110"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39CE81FB" w14:textId="77777777" w:rsidR="003F0EEA" w:rsidRPr="000A2095" w:rsidRDefault="003F0EEA">
            <w:pPr>
              <w:rPr>
                <w:rFonts w:ascii="Arial" w:eastAsia="Arial" w:hAnsi="Arial" w:cs="Arial"/>
                <w:b/>
                <w:color w:val="000000"/>
                <w:sz w:val="16"/>
                <w:szCs w:val="20"/>
              </w:rPr>
            </w:pPr>
          </w:p>
        </w:tc>
      </w:tr>
      <w:tr w:rsidR="00FB7D0B" w14:paraId="693D0357" w14:textId="77777777" w:rsidTr="00FB7D0B">
        <w:trPr>
          <w:trHeight w:val="225"/>
        </w:trPr>
        <w:tc>
          <w:tcPr>
            <w:tcW w:w="180" w:type="dxa"/>
            <w:tcBorders>
              <w:top w:val="nil"/>
              <w:left w:val="nil"/>
              <w:bottom w:val="nil"/>
              <w:right w:val="nil"/>
              <w:tl2br w:val="nil"/>
              <w:tr2bl w:val="nil"/>
            </w:tcBorders>
            <w:shd w:val="clear" w:color="auto" w:fill="FFFFFF"/>
            <w:tcMar>
              <w:left w:w="101" w:type="dxa"/>
              <w:right w:w="101" w:type="dxa"/>
            </w:tcMar>
            <w:vAlign w:val="bottom"/>
          </w:tcPr>
          <w:p w14:paraId="13250811" w14:textId="77777777" w:rsidR="003F0EEA" w:rsidRPr="000A2095" w:rsidRDefault="003F0EEA">
            <w:pPr>
              <w:rPr>
                <w:rFonts w:ascii="Arial" w:eastAsia="Arial" w:hAnsi="Arial" w:cs="Arial"/>
                <w:b/>
                <w:color w:val="000000"/>
                <w:sz w:val="16"/>
                <w:szCs w:val="20"/>
              </w:rPr>
            </w:pPr>
          </w:p>
        </w:tc>
        <w:tc>
          <w:tcPr>
            <w:tcW w:w="2250" w:type="dxa"/>
            <w:gridSpan w:val="2"/>
            <w:vMerge w:val="restart"/>
            <w:tcBorders>
              <w:top w:val="nil"/>
              <w:left w:val="nil"/>
              <w:bottom w:val="nil"/>
              <w:right w:val="nil"/>
              <w:tl2br w:val="nil"/>
              <w:tr2bl w:val="nil"/>
            </w:tcBorders>
            <w:shd w:val="clear" w:color="auto" w:fill="FFFFFF"/>
            <w:tcMar>
              <w:left w:w="101" w:type="dxa"/>
              <w:right w:w="101" w:type="dxa"/>
            </w:tcMar>
            <w:vAlign w:val="bottom"/>
          </w:tcPr>
          <w:p w14:paraId="0EB33CDC" w14:textId="77777777" w:rsidR="003F0EEA" w:rsidRPr="000A2095" w:rsidRDefault="00FB7D0B">
            <w:pPr>
              <w:rPr>
                <w:rFonts w:ascii="Arial" w:eastAsia="Arial" w:hAnsi="Arial" w:cs="Arial"/>
                <w:color w:val="000000"/>
                <w:sz w:val="16"/>
                <w:szCs w:val="20"/>
              </w:rPr>
            </w:pPr>
            <w:r w:rsidRPr="000A2095">
              <w:rPr>
                <w:rFonts w:ascii="Arial" w:eastAsia="Arial" w:hAnsi="Arial" w:cs="Arial"/>
                <w:color w:val="000000"/>
                <w:sz w:val="16"/>
                <w:szCs w:val="20"/>
              </w:rPr>
              <w:t xml:space="preserve"> beginning of reporting period</w:t>
            </w:r>
          </w:p>
        </w:tc>
        <w:tc>
          <w:tcPr>
            <w:tcW w:w="1110" w:type="dxa"/>
            <w:tcBorders>
              <w:top w:val="nil"/>
              <w:left w:val="nil"/>
              <w:bottom w:val="nil"/>
              <w:right w:val="nil"/>
              <w:tl2br w:val="nil"/>
              <w:tr2bl w:val="nil"/>
            </w:tcBorders>
            <w:shd w:val="clear" w:color="auto" w:fill="FFFFFF"/>
            <w:tcMar>
              <w:left w:w="101" w:type="dxa"/>
              <w:right w:w="101" w:type="dxa"/>
            </w:tcMar>
            <w:vAlign w:val="bottom"/>
          </w:tcPr>
          <w:p w14:paraId="0D327EBE" w14:textId="77777777" w:rsidR="003F0EEA" w:rsidRPr="000A2095" w:rsidRDefault="00FB7D0B">
            <w:pPr>
              <w:jc w:val="right"/>
              <w:rPr>
                <w:rFonts w:ascii="Arial" w:eastAsia="Arial" w:hAnsi="Arial" w:cs="Arial"/>
                <w:color w:val="000000"/>
                <w:sz w:val="16"/>
                <w:szCs w:val="20"/>
              </w:rPr>
            </w:pPr>
            <w:r w:rsidRPr="000A2095">
              <w:rPr>
                <w:rFonts w:ascii="Arial" w:eastAsia="Arial" w:hAnsi="Arial" w:cs="Arial"/>
                <w:color w:val="000000"/>
                <w:sz w:val="16"/>
                <w:szCs w:val="20"/>
              </w:rPr>
              <w:t xml:space="preserve"> 78,801 </w:t>
            </w:r>
          </w:p>
        </w:tc>
        <w:tc>
          <w:tcPr>
            <w:tcW w:w="1110" w:type="dxa"/>
            <w:tcBorders>
              <w:top w:val="nil"/>
              <w:left w:val="nil"/>
              <w:bottom w:val="nil"/>
              <w:right w:val="nil"/>
              <w:tl2br w:val="nil"/>
              <w:tr2bl w:val="nil"/>
            </w:tcBorders>
            <w:shd w:val="clear" w:color="auto" w:fill="FFFF00"/>
            <w:tcMar>
              <w:left w:w="101" w:type="dxa"/>
              <w:right w:w="101" w:type="dxa"/>
            </w:tcMar>
            <w:vAlign w:val="bottom"/>
          </w:tcPr>
          <w:p w14:paraId="6535090D" w14:textId="77777777" w:rsidR="003F0EEA" w:rsidRPr="000A2095" w:rsidRDefault="00FB7D0B">
            <w:pPr>
              <w:jc w:val="right"/>
              <w:rPr>
                <w:rFonts w:ascii="Arial" w:eastAsia="Arial" w:hAnsi="Arial" w:cs="Arial"/>
                <w:color w:val="000000"/>
                <w:sz w:val="16"/>
                <w:szCs w:val="20"/>
              </w:rPr>
            </w:pPr>
            <w:r w:rsidRPr="000A2095">
              <w:rPr>
                <w:rFonts w:ascii="Arial" w:eastAsia="Arial" w:hAnsi="Arial" w:cs="Arial"/>
                <w:color w:val="000000"/>
                <w:sz w:val="16"/>
                <w:szCs w:val="20"/>
              </w:rPr>
              <w:t xml:space="preserve"> 78,801 </w:t>
            </w:r>
          </w:p>
        </w:tc>
        <w:tc>
          <w:tcPr>
            <w:tcW w:w="1110" w:type="dxa"/>
            <w:tcBorders>
              <w:top w:val="nil"/>
              <w:left w:val="nil"/>
              <w:bottom w:val="nil"/>
              <w:right w:val="nil"/>
              <w:tl2br w:val="nil"/>
              <w:tr2bl w:val="nil"/>
            </w:tcBorders>
            <w:shd w:val="clear" w:color="auto" w:fill="FFFFFF"/>
            <w:tcMar>
              <w:left w:w="101" w:type="dxa"/>
              <w:right w:w="101" w:type="dxa"/>
            </w:tcMar>
            <w:vAlign w:val="bottom"/>
          </w:tcPr>
          <w:p w14:paraId="3EA9233F" w14:textId="77777777" w:rsidR="003F0EEA" w:rsidRPr="000A2095" w:rsidRDefault="00FB7D0B">
            <w:pPr>
              <w:jc w:val="right"/>
              <w:rPr>
                <w:rFonts w:ascii="Arial" w:eastAsia="Arial" w:hAnsi="Arial" w:cs="Arial"/>
                <w:color w:val="000000"/>
                <w:sz w:val="16"/>
                <w:szCs w:val="20"/>
              </w:rPr>
            </w:pPr>
            <w:r w:rsidRPr="000A2095">
              <w:rPr>
                <w:rFonts w:ascii="Arial" w:eastAsia="Arial" w:hAnsi="Arial" w:cs="Arial"/>
                <w:color w:val="000000"/>
                <w:sz w:val="16"/>
                <w:szCs w:val="20"/>
              </w:rPr>
              <w:t xml:space="preserve"> 78,801 </w:t>
            </w:r>
          </w:p>
        </w:tc>
        <w:tc>
          <w:tcPr>
            <w:tcW w:w="1110" w:type="dxa"/>
            <w:tcBorders>
              <w:top w:val="nil"/>
              <w:left w:val="nil"/>
              <w:bottom w:val="nil"/>
              <w:right w:val="nil"/>
              <w:tl2br w:val="nil"/>
              <w:tr2bl w:val="nil"/>
            </w:tcBorders>
            <w:shd w:val="clear" w:color="auto" w:fill="FFFFFF"/>
            <w:tcMar>
              <w:left w:w="101" w:type="dxa"/>
              <w:right w:w="101" w:type="dxa"/>
            </w:tcMar>
            <w:vAlign w:val="bottom"/>
          </w:tcPr>
          <w:p w14:paraId="79B9F476" w14:textId="77777777" w:rsidR="003F0EEA" w:rsidRPr="000A2095" w:rsidRDefault="00FB7D0B">
            <w:pPr>
              <w:jc w:val="right"/>
              <w:rPr>
                <w:rFonts w:ascii="Arial" w:eastAsia="Arial" w:hAnsi="Arial" w:cs="Arial"/>
                <w:color w:val="000000"/>
                <w:sz w:val="16"/>
                <w:szCs w:val="20"/>
              </w:rPr>
            </w:pPr>
            <w:r w:rsidRPr="000A2095">
              <w:rPr>
                <w:rFonts w:ascii="Arial" w:eastAsia="Arial" w:hAnsi="Arial" w:cs="Arial"/>
                <w:color w:val="000000"/>
                <w:sz w:val="16"/>
                <w:szCs w:val="20"/>
              </w:rPr>
              <w:t xml:space="preserve"> 78,801 </w:t>
            </w:r>
          </w:p>
        </w:tc>
        <w:tc>
          <w:tcPr>
            <w:tcW w:w="1110" w:type="dxa"/>
            <w:tcBorders>
              <w:top w:val="nil"/>
              <w:left w:val="nil"/>
              <w:bottom w:val="nil"/>
              <w:right w:val="nil"/>
              <w:tl2br w:val="nil"/>
              <w:tr2bl w:val="nil"/>
            </w:tcBorders>
            <w:shd w:val="clear" w:color="auto" w:fill="FFFFFF"/>
            <w:tcMar>
              <w:left w:w="101" w:type="dxa"/>
              <w:right w:w="101" w:type="dxa"/>
            </w:tcMar>
            <w:vAlign w:val="bottom"/>
          </w:tcPr>
          <w:p w14:paraId="6DE44521" w14:textId="77777777" w:rsidR="003F0EEA" w:rsidRPr="000A2095" w:rsidRDefault="00FB7D0B">
            <w:pPr>
              <w:jc w:val="right"/>
              <w:rPr>
                <w:rFonts w:ascii="Arial" w:eastAsia="Arial" w:hAnsi="Arial" w:cs="Arial"/>
                <w:color w:val="000000"/>
                <w:sz w:val="16"/>
                <w:szCs w:val="20"/>
              </w:rPr>
            </w:pPr>
            <w:r w:rsidRPr="000A2095">
              <w:rPr>
                <w:rFonts w:ascii="Arial" w:eastAsia="Arial" w:hAnsi="Arial" w:cs="Arial"/>
                <w:color w:val="000000"/>
                <w:sz w:val="16"/>
                <w:szCs w:val="20"/>
              </w:rPr>
              <w:t xml:space="preserve"> 78,801 </w:t>
            </w:r>
          </w:p>
        </w:tc>
      </w:tr>
      <w:tr w:rsidR="00FB7D0B" w14:paraId="2F2E7D35" w14:textId="77777777" w:rsidTr="00FB7D0B">
        <w:trPr>
          <w:trHeight w:val="450"/>
        </w:trPr>
        <w:tc>
          <w:tcPr>
            <w:tcW w:w="2430" w:type="dxa"/>
            <w:gridSpan w:val="3"/>
            <w:vMerge w:val="restart"/>
            <w:tcBorders>
              <w:top w:val="nil"/>
              <w:left w:val="nil"/>
              <w:bottom w:val="nil"/>
              <w:right w:val="nil"/>
              <w:tl2br w:val="nil"/>
              <w:tr2bl w:val="nil"/>
            </w:tcBorders>
            <w:shd w:val="clear" w:color="auto" w:fill="FFFFFF"/>
            <w:tcMar>
              <w:left w:w="101" w:type="dxa"/>
              <w:right w:w="101" w:type="dxa"/>
            </w:tcMar>
            <w:vAlign w:val="bottom"/>
          </w:tcPr>
          <w:p w14:paraId="64B60049" w14:textId="77777777" w:rsidR="003F0EEA" w:rsidRPr="000A2095" w:rsidRDefault="00FB7D0B">
            <w:pPr>
              <w:rPr>
                <w:rFonts w:ascii="Arial" w:eastAsia="Arial" w:hAnsi="Arial" w:cs="Arial"/>
                <w:color w:val="000000"/>
                <w:sz w:val="16"/>
                <w:szCs w:val="20"/>
              </w:rPr>
            </w:pPr>
            <w:r w:rsidRPr="000A2095">
              <w:rPr>
                <w:rFonts w:ascii="Arial" w:eastAsia="Arial" w:hAnsi="Arial" w:cs="Arial"/>
                <w:color w:val="000000"/>
                <w:sz w:val="16"/>
                <w:szCs w:val="20"/>
              </w:rPr>
              <w:t>Cash from Official Public Account</w:t>
            </w:r>
          </w:p>
        </w:tc>
        <w:tc>
          <w:tcPr>
            <w:tcW w:w="1110" w:type="dxa"/>
            <w:tcBorders>
              <w:top w:val="nil"/>
              <w:left w:val="nil"/>
              <w:bottom w:val="nil"/>
              <w:right w:val="nil"/>
              <w:tl2br w:val="nil"/>
              <w:tr2bl w:val="nil"/>
            </w:tcBorders>
            <w:shd w:val="clear" w:color="auto" w:fill="FFFFFF"/>
            <w:tcMar>
              <w:left w:w="101" w:type="dxa"/>
              <w:right w:w="101" w:type="dxa"/>
            </w:tcMar>
            <w:vAlign w:val="bottom"/>
          </w:tcPr>
          <w:p w14:paraId="3535EF00" w14:textId="77777777" w:rsidR="003F0EEA" w:rsidRPr="000A2095" w:rsidRDefault="00FB7D0B">
            <w:pPr>
              <w:jc w:val="right"/>
              <w:rPr>
                <w:rFonts w:ascii="Arial" w:eastAsia="Arial" w:hAnsi="Arial" w:cs="Arial"/>
                <w:color w:val="000000"/>
                <w:sz w:val="16"/>
                <w:szCs w:val="20"/>
              </w:rPr>
            </w:pPr>
            <w:r w:rsidRPr="000A2095">
              <w:rPr>
                <w:rFonts w:ascii="Arial" w:eastAsia="Arial" w:hAnsi="Arial" w:cs="Arial"/>
                <w:color w:val="000000"/>
                <w:sz w:val="16"/>
                <w:szCs w:val="20"/>
              </w:rPr>
              <w:t xml:space="preserve"> 12,071,641 </w:t>
            </w:r>
          </w:p>
        </w:tc>
        <w:tc>
          <w:tcPr>
            <w:tcW w:w="1110" w:type="dxa"/>
            <w:tcBorders>
              <w:top w:val="nil"/>
              <w:left w:val="nil"/>
              <w:bottom w:val="nil"/>
              <w:right w:val="nil"/>
              <w:tl2br w:val="nil"/>
              <w:tr2bl w:val="nil"/>
            </w:tcBorders>
            <w:shd w:val="clear" w:color="auto" w:fill="FFFF00"/>
            <w:tcMar>
              <w:left w:w="101" w:type="dxa"/>
              <w:right w:w="101" w:type="dxa"/>
            </w:tcMar>
            <w:vAlign w:val="bottom"/>
          </w:tcPr>
          <w:p w14:paraId="711E9DDA" w14:textId="77777777" w:rsidR="003F0EEA" w:rsidRPr="000A2095" w:rsidRDefault="00FB7D0B">
            <w:pPr>
              <w:jc w:val="right"/>
              <w:rPr>
                <w:rFonts w:ascii="Arial" w:eastAsia="Arial" w:hAnsi="Arial" w:cs="Arial"/>
                <w:color w:val="000000"/>
                <w:sz w:val="16"/>
                <w:szCs w:val="20"/>
              </w:rPr>
            </w:pPr>
            <w:r w:rsidRPr="000A2095">
              <w:rPr>
                <w:rFonts w:ascii="Arial" w:eastAsia="Arial" w:hAnsi="Arial" w:cs="Arial"/>
                <w:color w:val="000000"/>
                <w:sz w:val="16"/>
                <w:szCs w:val="20"/>
              </w:rPr>
              <w:t xml:space="preserve"> 11,967,684 </w:t>
            </w:r>
          </w:p>
        </w:tc>
        <w:tc>
          <w:tcPr>
            <w:tcW w:w="1110" w:type="dxa"/>
            <w:tcBorders>
              <w:top w:val="nil"/>
              <w:left w:val="nil"/>
              <w:bottom w:val="nil"/>
              <w:right w:val="nil"/>
              <w:tl2br w:val="nil"/>
              <w:tr2bl w:val="nil"/>
            </w:tcBorders>
            <w:shd w:val="clear" w:color="auto" w:fill="FFFFFF"/>
            <w:tcMar>
              <w:left w:w="101" w:type="dxa"/>
              <w:right w:w="101" w:type="dxa"/>
            </w:tcMar>
            <w:vAlign w:val="bottom"/>
          </w:tcPr>
          <w:p w14:paraId="3E9A9FA5" w14:textId="77777777" w:rsidR="003F0EEA" w:rsidRPr="000A2095" w:rsidRDefault="00FB7D0B">
            <w:pPr>
              <w:jc w:val="right"/>
              <w:rPr>
                <w:rFonts w:ascii="Arial" w:eastAsia="Arial" w:hAnsi="Arial" w:cs="Arial"/>
                <w:color w:val="000000"/>
                <w:sz w:val="16"/>
                <w:szCs w:val="20"/>
              </w:rPr>
            </w:pPr>
            <w:r w:rsidRPr="000A2095">
              <w:rPr>
                <w:rFonts w:ascii="Arial" w:eastAsia="Arial" w:hAnsi="Arial" w:cs="Arial"/>
                <w:color w:val="000000"/>
                <w:sz w:val="16"/>
                <w:szCs w:val="20"/>
              </w:rPr>
              <w:t xml:space="preserve"> 11,823,846 </w:t>
            </w:r>
          </w:p>
        </w:tc>
        <w:tc>
          <w:tcPr>
            <w:tcW w:w="1110" w:type="dxa"/>
            <w:tcBorders>
              <w:top w:val="nil"/>
              <w:left w:val="nil"/>
              <w:bottom w:val="nil"/>
              <w:right w:val="nil"/>
              <w:tl2br w:val="nil"/>
              <w:tr2bl w:val="nil"/>
            </w:tcBorders>
            <w:shd w:val="clear" w:color="auto" w:fill="FFFFFF"/>
            <w:tcMar>
              <w:left w:w="101" w:type="dxa"/>
              <w:right w:w="101" w:type="dxa"/>
            </w:tcMar>
            <w:vAlign w:val="bottom"/>
          </w:tcPr>
          <w:p w14:paraId="4CEB42B3" w14:textId="77777777" w:rsidR="003F0EEA" w:rsidRPr="000A2095" w:rsidRDefault="00FB7D0B">
            <w:pPr>
              <w:jc w:val="right"/>
              <w:rPr>
                <w:rFonts w:ascii="Arial" w:eastAsia="Arial" w:hAnsi="Arial" w:cs="Arial"/>
                <w:color w:val="000000"/>
                <w:sz w:val="16"/>
                <w:szCs w:val="20"/>
              </w:rPr>
            </w:pPr>
            <w:r w:rsidRPr="000A2095">
              <w:rPr>
                <w:rFonts w:ascii="Arial" w:eastAsia="Arial" w:hAnsi="Arial" w:cs="Arial"/>
                <w:color w:val="000000"/>
                <w:sz w:val="16"/>
                <w:szCs w:val="20"/>
              </w:rPr>
              <w:t xml:space="preserve"> 11,802,324 </w:t>
            </w:r>
          </w:p>
        </w:tc>
        <w:tc>
          <w:tcPr>
            <w:tcW w:w="1110" w:type="dxa"/>
            <w:tcBorders>
              <w:top w:val="nil"/>
              <w:left w:val="nil"/>
              <w:bottom w:val="nil"/>
              <w:right w:val="nil"/>
              <w:tl2br w:val="nil"/>
              <w:tr2bl w:val="nil"/>
            </w:tcBorders>
            <w:shd w:val="clear" w:color="auto" w:fill="FFFFFF"/>
            <w:tcMar>
              <w:left w:w="101" w:type="dxa"/>
              <w:right w:w="101" w:type="dxa"/>
            </w:tcMar>
            <w:vAlign w:val="bottom"/>
          </w:tcPr>
          <w:p w14:paraId="786AAAFC" w14:textId="77777777" w:rsidR="003F0EEA" w:rsidRPr="000A2095" w:rsidRDefault="00FB7D0B">
            <w:pPr>
              <w:jc w:val="right"/>
              <w:rPr>
                <w:rFonts w:ascii="Arial" w:eastAsia="Arial" w:hAnsi="Arial" w:cs="Arial"/>
                <w:color w:val="000000"/>
                <w:sz w:val="16"/>
                <w:szCs w:val="20"/>
              </w:rPr>
            </w:pPr>
            <w:r w:rsidRPr="000A2095">
              <w:rPr>
                <w:rFonts w:ascii="Arial" w:eastAsia="Arial" w:hAnsi="Arial" w:cs="Arial"/>
                <w:color w:val="000000"/>
                <w:sz w:val="16"/>
                <w:szCs w:val="20"/>
              </w:rPr>
              <w:t xml:space="preserve"> 11,758,980 </w:t>
            </w:r>
          </w:p>
        </w:tc>
      </w:tr>
      <w:tr w:rsidR="00FB7D0B" w14:paraId="42212514" w14:textId="77777777" w:rsidTr="00FB7D0B">
        <w:trPr>
          <w:trHeight w:val="225"/>
        </w:trPr>
        <w:tc>
          <w:tcPr>
            <w:tcW w:w="2430" w:type="dxa"/>
            <w:gridSpan w:val="3"/>
            <w:vMerge w:val="restart"/>
            <w:tcBorders>
              <w:top w:val="nil"/>
              <w:left w:val="nil"/>
              <w:bottom w:val="nil"/>
              <w:right w:val="nil"/>
              <w:tl2br w:val="nil"/>
              <w:tr2bl w:val="nil"/>
            </w:tcBorders>
            <w:shd w:val="clear" w:color="auto" w:fill="FFFFFF"/>
            <w:tcMar>
              <w:left w:w="101" w:type="dxa"/>
              <w:right w:w="101" w:type="dxa"/>
            </w:tcMar>
            <w:vAlign w:val="bottom"/>
          </w:tcPr>
          <w:p w14:paraId="2586373E" w14:textId="77777777" w:rsidR="003F0EEA" w:rsidRPr="000A2095" w:rsidRDefault="00FB7D0B">
            <w:pPr>
              <w:rPr>
                <w:rFonts w:ascii="Arial" w:eastAsia="Arial" w:hAnsi="Arial" w:cs="Arial"/>
                <w:color w:val="000000"/>
                <w:sz w:val="16"/>
                <w:szCs w:val="20"/>
              </w:rPr>
            </w:pPr>
            <w:r w:rsidRPr="000A2095">
              <w:rPr>
                <w:rFonts w:ascii="Arial" w:eastAsia="Arial" w:hAnsi="Arial" w:cs="Arial"/>
                <w:color w:val="000000"/>
                <w:sz w:val="16"/>
                <w:szCs w:val="20"/>
              </w:rPr>
              <w:t>Cash to Official Public Account</w:t>
            </w:r>
          </w:p>
        </w:tc>
        <w:tc>
          <w:tcPr>
            <w:tcW w:w="1110"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290208F6" w14:textId="77777777" w:rsidR="003F0EEA" w:rsidRPr="000A2095" w:rsidRDefault="00FB7D0B">
            <w:pPr>
              <w:jc w:val="right"/>
              <w:rPr>
                <w:rFonts w:ascii="Arial" w:eastAsia="Arial" w:hAnsi="Arial" w:cs="Arial"/>
                <w:color w:val="000000"/>
                <w:sz w:val="16"/>
                <w:szCs w:val="20"/>
              </w:rPr>
            </w:pPr>
            <w:r w:rsidRPr="000A2095">
              <w:rPr>
                <w:rFonts w:ascii="Arial" w:eastAsia="Arial" w:hAnsi="Arial" w:cs="Arial"/>
                <w:color w:val="000000"/>
                <w:sz w:val="16"/>
                <w:szCs w:val="20"/>
              </w:rPr>
              <w:t>(9,469)</w:t>
            </w:r>
          </w:p>
        </w:tc>
        <w:tc>
          <w:tcPr>
            <w:tcW w:w="1110" w:type="dxa"/>
            <w:tcBorders>
              <w:top w:val="nil"/>
              <w:left w:val="nil"/>
              <w:bottom w:val="single" w:sz="6" w:space="0" w:color="000000"/>
              <w:right w:val="nil"/>
              <w:tl2br w:val="nil"/>
              <w:tr2bl w:val="nil"/>
            </w:tcBorders>
            <w:shd w:val="clear" w:color="auto" w:fill="FFFF00"/>
            <w:tcMar>
              <w:left w:w="101" w:type="dxa"/>
              <w:right w:w="101" w:type="dxa"/>
            </w:tcMar>
            <w:vAlign w:val="bottom"/>
          </w:tcPr>
          <w:p w14:paraId="4E1E8B20" w14:textId="77777777" w:rsidR="003F0EEA" w:rsidRPr="000A2095" w:rsidRDefault="00FB7D0B">
            <w:pPr>
              <w:jc w:val="right"/>
              <w:rPr>
                <w:rFonts w:ascii="Arial" w:eastAsia="Arial" w:hAnsi="Arial" w:cs="Arial"/>
                <w:color w:val="000000"/>
                <w:sz w:val="16"/>
                <w:szCs w:val="20"/>
              </w:rPr>
            </w:pPr>
            <w:r w:rsidRPr="000A2095">
              <w:rPr>
                <w:rFonts w:ascii="Arial" w:eastAsia="Arial" w:hAnsi="Arial" w:cs="Arial"/>
                <w:color w:val="000000"/>
                <w:sz w:val="16"/>
                <w:szCs w:val="20"/>
              </w:rPr>
              <w:t>(10,216)</w:t>
            </w:r>
          </w:p>
        </w:tc>
        <w:tc>
          <w:tcPr>
            <w:tcW w:w="1110"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04CC2897" w14:textId="77777777" w:rsidR="003F0EEA" w:rsidRPr="000A2095" w:rsidRDefault="00FB7D0B">
            <w:pPr>
              <w:jc w:val="right"/>
              <w:rPr>
                <w:rFonts w:ascii="Arial" w:eastAsia="Arial" w:hAnsi="Arial" w:cs="Arial"/>
                <w:color w:val="000000"/>
                <w:sz w:val="16"/>
                <w:szCs w:val="20"/>
              </w:rPr>
            </w:pPr>
            <w:r w:rsidRPr="000A2095">
              <w:rPr>
                <w:rFonts w:ascii="Arial" w:eastAsia="Arial" w:hAnsi="Arial" w:cs="Arial"/>
                <w:color w:val="000000"/>
                <w:sz w:val="16"/>
                <w:szCs w:val="20"/>
              </w:rPr>
              <w:t>(10,887)</w:t>
            </w:r>
          </w:p>
        </w:tc>
        <w:tc>
          <w:tcPr>
            <w:tcW w:w="1110"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273DD3CB" w14:textId="77777777" w:rsidR="003F0EEA" w:rsidRPr="000A2095" w:rsidRDefault="00FB7D0B">
            <w:pPr>
              <w:jc w:val="right"/>
              <w:rPr>
                <w:rFonts w:ascii="Arial" w:eastAsia="Arial" w:hAnsi="Arial" w:cs="Arial"/>
                <w:color w:val="000000"/>
                <w:sz w:val="16"/>
                <w:szCs w:val="20"/>
              </w:rPr>
            </w:pPr>
            <w:r w:rsidRPr="000A2095">
              <w:rPr>
                <w:rFonts w:ascii="Arial" w:eastAsia="Arial" w:hAnsi="Arial" w:cs="Arial"/>
                <w:color w:val="000000"/>
                <w:sz w:val="16"/>
                <w:szCs w:val="20"/>
              </w:rPr>
              <w:t>(11,466)</w:t>
            </w:r>
          </w:p>
        </w:tc>
        <w:tc>
          <w:tcPr>
            <w:tcW w:w="1110"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09F2C94C" w14:textId="77777777" w:rsidR="003F0EEA" w:rsidRPr="000A2095" w:rsidRDefault="00FB7D0B">
            <w:pPr>
              <w:jc w:val="right"/>
              <w:rPr>
                <w:rFonts w:ascii="Arial" w:eastAsia="Arial" w:hAnsi="Arial" w:cs="Arial"/>
                <w:color w:val="000000"/>
                <w:sz w:val="16"/>
                <w:szCs w:val="20"/>
              </w:rPr>
            </w:pPr>
            <w:r w:rsidRPr="000A2095">
              <w:rPr>
                <w:rFonts w:ascii="Arial" w:eastAsia="Arial" w:hAnsi="Arial" w:cs="Arial"/>
                <w:color w:val="000000"/>
                <w:sz w:val="16"/>
                <w:szCs w:val="20"/>
              </w:rPr>
              <w:t>(11,951)</w:t>
            </w:r>
          </w:p>
        </w:tc>
      </w:tr>
      <w:tr w:rsidR="00FB7D0B" w14:paraId="3EAB53FC" w14:textId="77777777" w:rsidTr="00FB7D0B">
        <w:trPr>
          <w:trHeight w:val="225"/>
        </w:trPr>
        <w:tc>
          <w:tcPr>
            <w:tcW w:w="2430" w:type="dxa"/>
            <w:gridSpan w:val="3"/>
            <w:tcBorders>
              <w:top w:val="nil"/>
              <w:left w:val="nil"/>
              <w:bottom w:val="nil"/>
              <w:right w:val="nil"/>
              <w:tl2br w:val="nil"/>
              <w:tr2bl w:val="nil"/>
            </w:tcBorders>
            <w:shd w:val="clear" w:color="auto" w:fill="FFFFFF"/>
            <w:tcMar>
              <w:left w:w="101" w:type="dxa"/>
              <w:right w:w="101" w:type="dxa"/>
            </w:tcMar>
            <w:vAlign w:val="bottom"/>
          </w:tcPr>
          <w:p w14:paraId="0C983A26" w14:textId="77777777" w:rsidR="003F0EEA" w:rsidRPr="000A2095" w:rsidRDefault="00FB7D0B">
            <w:pPr>
              <w:rPr>
                <w:rFonts w:ascii="Arial" w:eastAsia="Arial" w:hAnsi="Arial" w:cs="Arial"/>
                <w:color w:val="000000"/>
                <w:sz w:val="16"/>
                <w:szCs w:val="20"/>
              </w:rPr>
            </w:pPr>
            <w:r w:rsidRPr="000A2095">
              <w:rPr>
                <w:rFonts w:ascii="Arial" w:eastAsia="Arial" w:hAnsi="Arial" w:cs="Arial"/>
                <w:b/>
                <w:color w:val="000000"/>
                <w:sz w:val="16"/>
                <w:szCs w:val="20"/>
              </w:rPr>
              <w:t xml:space="preserve">Cash and cash equivalents </w:t>
            </w:r>
          </w:p>
        </w:tc>
        <w:tc>
          <w:tcPr>
            <w:tcW w:w="1110"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46FB7B07" w14:textId="77777777" w:rsidR="003F0EEA" w:rsidRPr="000A2095" w:rsidRDefault="003F0EEA">
            <w:pPr>
              <w:rPr>
                <w:rFonts w:ascii="Arial" w:eastAsia="Arial" w:hAnsi="Arial" w:cs="Arial"/>
                <w:b/>
                <w:color w:val="000000"/>
                <w:sz w:val="16"/>
                <w:szCs w:val="20"/>
              </w:rPr>
            </w:pPr>
          </w:p>
        </w:tc>
        <w:tc>
          <w:tcPr>
            <w:tcW w:w="1110" w:type="dxa"/>
            <w:tcBorders>
              <w:top w:val="single" w:sz="6" w:space="0" w:color="000000"/>
              <w:left w:val="nil"/>
              <w:bottom w:val="nil"/>
              <w:right w:val="nil"/>
              <w:tl2br w:val="nil"/>
              <w:tr2bl w:val="nil"/>
            </w:tcBorders>
            <w:shd w:val="clear" w:color="auto" w:fill="FFFF00"/>
            <w:tcMar>
              <w:left w:w="101" w:type="dxa"/>
              <w:right w:w="101" w:type="dxa"/>
            </w:tcMar>
            <w:vAlign w:val="bottom"/>
          </w:tcPr>
          <w:p w14:paraId="38AB905D" w14:textId="77777777" w:rsidR="003F0EEA" w:rsidRPr="000A2095" w:rsidRDefault="003F0EEA">
            <w:pPr>
              <w:rPr>
                <w:rFonts w:ascii="Arial" w:eastAsia="Arial" w:hAnsi="Arial" w:cs="Arial"/>
                <w:color w:val="000000"/>
                <w:sz w:val="16"/>
                <w:szCs w:val="20"/>
              </w:rPr>
            </w:pPr>
          </w:p>
        </w:tc>
        <w:tc>
          <w:tcPr>
            <w:tcW w:w="1110"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28CE0AF1" w14:textId="77777777" w:rsidR="003F0EEA" w:rsidRPr="000A2095" w:rsidRDefault="003F0EEA">
            <w:pPr>
              <w:rPr>
                <w:rFonts w:ascii="Arial" w:eastAsia="Arial" w:hAnsi="Arial" w:cs="Arial"/>
                <w:color w:val="000000"/>
                <w:sz w:val="16"/>
                <w:szCs w:val="20"/>
              </w:rPr>
            </w:pPr>
          </w:p>
        </w:tc>
        <w:tc>
          <w:tcPr>
            <w:tcW w:w="1110"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03867A26" w14:textId="77777777" w:rsidR="003F0EEA" w:rsidRPr="000A2095" w:rsidRDefault="003F0EEA">
            <w:pPr>
              <w:rPr>
                <w:rFonts w:ascii="Arial" w:eastAsia="Arial" w:hAnsi="Arial" w:cs="Arial"/>
                <w:color w:val="000000"/>
                <w:sz w:val="16"/>
                <w:szCs w:val="20"/>
              </w:rPr>
            </w:pPr>
          </w:p>
        </w:tc>
        <w:tc>
          <w:tcPr>
            <w:tcW w:w="1110"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5908B8ED" w14:textId="77777777" w:rsidR="003F0EEA" w:rsidRPr="000A2095" w:rsidRDefault="003F0EEA">
            <w:pPr>
              <w:rPr>
                <w:rFonts w:ascii="Arial" w:eastAsia="Arial" w:hAnsi="Arial" w:cs="Arial"/>
                <w:color w:val="000000"/>
                <w:sz w:val="16"/>
                <w:szCs w:val="20"/>
              </w:rPr>
            </w:pPr>
          </w:p>
        </w:tc>
      </w:tr>
      <w:tr w:rsidR="00FB7D0B" w14:paraId="4F2E8842" w14:textId="77777777" w:rsidTr="00FB7D0B">
        <w:trPr>
          <w:trHeight w:val="225"/>
        </w:trPr>
        <w:tc>
          <w:tcPr>
            <w:tcW w:w="2430" w:type="dxa"/>
            <w:gridSpan w:val="3"/>
            <w:tcBorders>
              <w:top w:val="nil"/>
              <w:left w:val="nil"/>
              <w:bottom w:val="single" w:sz="6" w:space="0" w:color="000000"/>
              <w:right w:val="nil"/>
              <w:tl2br w:val="nil"/>
              <w:tr2bl w:val="nil"/>
            </w:tcBorders>
            <w:shd w:val="clear" w:color="auto" w:fill="FFFFFF"/>
            <w:tcMar>
              <w:left w:w="101" w:type="dxa"/>
              <w:right w:w="101" w:type="dxa"/>
            </w:tcMar>
            <w:vAlign w:val="bottom"/>
          </w:tcPr>
          <w:p w14:paraId="4DC1B600" w14:textId="77777777" w:rsidR="003F0EEA" w:rsidRPr="000A2095" w:rsidRDefault="00FB7D0B">
            <w:pPr>
              <w:rPr>
                <w:rFonts w:ascii="Arial" w:eastAsia="Arial" w:hAnsi="Arial" w:cs="Arial"/>
                <w:color w:val="000000"/>
                <w:sz w:val="16"/>
                <w:szCs w:val="20"/>
              </w:rPr>
            </w:pPr>
            <w:r w:rsidRPr="000A2095">
              <w:rPr>
                <w:rFonts w:ascii="Arial" w:eastAsia="Arial" w:hAnsi="Arial" w:cs="Arial"/>
                <w:b/>
                <w:color w:val="000000"/>
                <w:sz w:val="16"/>
                <w:szCs w:val="20"/>
              </w:rPr>
              <w:t>at end of reporting period</w:t>
            </w:r>
          </w:p>
        </w:tc>
        <w:tc>
          <w:tcPr>
            <w:tcW w:w="1110"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1B6FF478" w14:textId="77777777" w:rsidR="003F0EEA" w:rsidRPr="000A2095" w:rsidRDefault="00FB7D0B">
            <w:pPr>
              <w:jc w:val="right"/>
              <w:rPr>
                <w:rFonts w:ascii="Arial" w:eastAsia="Arial" w:hAnsi="Arial" w:cs="Arial"/>
                <w:b/>
                <w:color w:val="000000"/>
                <w:sz w:val="16"/>
                <w:szCs w:val="20"/>
              </w:rPr>
            </w:pPr>
            <w:r w:rsidRPr="000A2095">
              <w:rPr>
                <w:rFonts w:ascii="Arial" w:eastAsia="Arial" w:hAnsi="Arial" w:cs="Arial"/>
                <w:b/>
                <w:color w:val="000000"/>
                <w:sz w:val="16"/>
                <w:szCs w:val="20"/>
              </w:rPr>
              <w:t xml:space="preserve"> 78,801 </w:t>
            </w:r>
          </w:p>
        </w:tc>
        <w:tc>
          <w:tcPr>
            <w:tcW w:w="1110" w:type="dxa"/>
            <w:tcBorders>
              <w:top w:val="nil"/>
              <w:left w:val="nil"/>
              <w:bottom w:val="single" w:sz="6" w:space="0" w:color="000000"/>
              <w:right w:val="nil"/>
              <w:tl2br w:val="nil"/>
              <w:tr2bl w:val="nil"/>
            </w:tcBorders>
            <w:shd w:val="clear" w:color="auto" w:fill="FFFF00"/>
            <w:tcMar>
              <w:left w:w="101" w:type="dxa"/>
              <w:right w:w="101" w:type="dxa"/>
            </w:tcMar>
            <w:vAlign w:val="bottom"/>
          </w:tcPr>
          <w:p w14:paraId="31026A99" w14:textId="77777777" w:rsidR="003F0EEA" w:rsidRPr="000A2095" w:rsidRDefault="00FB7D0B">
            <w:pPr>
              <w:jc w:val="right"/>
              <w:rPr>
                <w:rFonts w:ascii="Arial" w:eastAsia="Arial" w:hAnsi="Arial" w:cs="Arial"/>
                <w:b/>
                <w:color w:val="000000"/>
                <w:sz w:val="16"/>
                <w:szCs w:val="20"/>
              </w:rPr>
            </w:pPr>
            <w:r w:rsidRPr="000A2095">
              <w:rPr>
                <w:rFonts w:ascii="Arial" w:eastAsia="Arial" w:hAnsi="Arial" w:cs="Arial"/>
                <w:b/>
                <w:color w:val="000000"/>
                <w:sz w:val="16"/>
                <w:szCs w:val="20"/>
              </w:rPr>
              <w:t xml:space="preserve"> 78,801 </w:t>
            </w:r>
          </w:p>
        </w:tc>
        <w:tc>
          <w:tcPr>
            <w:tcW w:w="1110"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44C0429A" w14:textId="77777777" w:rsidR="003F0EEA" w:rsidRPr="000A2095" w:rsidRDefault="00FB7D0B">
            <w:pPr>
              <w:jc w:val="right"/>
              <w:rPr>
                <w:rFonts w:ascii="Arial" w:eastAsia="Arial" w:hAnsi="Arial" w:cs="Arial"/>
                <w:b/>
                <w:color w:val="000000"/>
                <w:sz w:val="16"/>
                <w:szCs w:val="20"/>
              </w:rPr>
            </w:pPr>
            <w:r w:rsidRPr="000A2095">
              <w:rPr>
                <w:rFonts w:ascii="Arial" w:eastAsia="Arial" w:hAnsi="Arial" w:cs="Arial"/>
                <w:b/>
                <w:color w:val="000000"/>
                <w:sz w:val="16"/>
                <w:szCs w:val="20"/>
              </w:rPr>
              <w:t xml:space="preserve"> 78,801 </w:t>
            </w:r>
          </w:p>
        </w:tc>
        <w:tc>
          <w:tcPr>
            <w:tcW w:w="1110"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1EC7F1AD" w14:textId="77777777" w:rsidR="003F0EEA" w:rsidRPr="000A2095" w:rsidRDefault="00FB7D0B">
            <w:pPr>
              <w:jc w:val="right"/>
              <w:rPr>
                <w:rFonts w:ascii="Arial" w:eastAsia="Arial" w:hAnsi="Arial" w:cs="Arial"/>
                <w:b/>
                <w:color w:val="000000"/>
                <w:sz w:val="16"/>
                <w:szCs w:val="20"/>
              </w:rPr>
            </w:pPr>
            <w:r w:rsidRPr="000A2095">
              <w:rPr>
                <w:rFonts w:ascii="Arial" w:eastAsia="Arial" w:hAnsi="Arial" w:cs="Arial"/>
                <w:b/>
                <w:color w:val="000000"/>
                <w:sz w:val="16"/>
                <w:szCs w:val="20"/>
              </w:rPr>
              <w:t xml:space="preserve"> 78,801 </w:t>
            </w:r>
          </w:p>
        </w:tc>
        <w:tc>
          <w:tcPr>
            <w:tcW w:w="1110"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778F4A9E" w14:textId="77777777" w:rsidR="003F0EEA" w:rsidRPr="000A2095" w:rsidRDefault="00FB7D0B">
            <w:pPr>
              <w:jc w:val="right"/>
              <w:rPr>
                <w:rFonts w:ascii="Arial" w:eastAsia="Arial" w:hAnsi="Arial" w:cs="Arial"/>
                <w:b/>
                <w:color w:val="000000"/>
                <w:sz w:val="16"/>
                <w:szCs w:val="20"/>
              </w:rPr>
            </w:pPr>
            <w:r w:rsidRPr="000A2095">
              <w:rPr>
                <w:rFonts w:ascii="Arial" w:eastAsia="Arial" w:hAnsi="Arial" w:cs="Arial"/>
                <w:b/>
                <w:color w:val="000000"/>
                <w:sz w:val="16"/>
                <w:szCs w:val="20"/>
              </w:rPr>
              <w:t xml:space="preserve"> 78,801 </w:t>
            </w:r>
          </w:p>
        </w:tc>
      </w:tr>
    </w:tbl>
    <w:p w14:paraId="472E255E" w14:textId="77777777" w:rsidR="003F0EEA" w:rsidRPr="00141F34" w:rsidRDefault="00FB7D0B" w:rsidP="003F0EEA">
      <w:pPr>
        <w:pStyle w:val="ListParagraph23"/>
        <w:spacing w:before="120" w:after="0" w:line="240" w:lineRule="auto"/>
        <w:ind w:left="0"/>
        <w:rPr>
          <w:rFonts w:ascii="Arial" w:hAnsi="Arial" w:cs="Arial"/>
          <w:sz w:val="16"/>
          <w:szCs w:val="16"/>
        </w:rPr>
      </w:pPr>
      <w:r w:rsidRPr="00141F34">
        <w:rPr>
          <w:rFonts w:ascii="Arial" w:hAnsi="Arial" w:cs="Arial"/>
          <w:sz w:val="16"/>
          <w:szCs w:val="16"/>
        </w:rPr>
        <w:t>Prepared on Australian Accounting Standards basis</w:t>
      </w:r>
    </w:p>
    <w:p w14:paraId="505C555F" w14:textId="77777777" w:rsidR="003F0EEA" w:rsidRPr="00141F34" w:rsidRDefault="00FB7D0B">
      <w:pPr>
        <w:spacing w:line="14" w:lineRule="exact"/>
        <w:rPr>
          <w:rFonts w:ascii="Arial" w:hAnsi="Arial" w:cs="Arial"/>
          <w:sz w:val="16"/>
          <w:szCs w:val="16"/>
        </w:rPr>
      </w:pPr>
      <w:r w:rsidRPr="00141F34">
        <w:rPr>
          <w:rFonts w:ascii="Arial" w:hAnsi="Arial" w:cs="Arial"/>
          <w:sz w:val="16"/>
          <w:szCs w:val="16"/>
        </w:rPr>
        <w:br w:type="page"/>
      </w:r>
    </w:p>
    <w:p w14:paraId="01440FA2" w14:textId="77777777" w:rsidR="003F0EEA" w:rsidRDefault="00FB7D0B" w:rsidP="003F0EEA">
      <w:pPr>
        <w:pStyle w:val="TableHeading23"/>
        <w:spacing w:after="0"/>
        <w:rPr>
          <w:rFonts w:eastAsia="Calibri"/>
        </w:rPr>
      </w:pPr>
      <w:r>
        <w:rPr>
          <w:rFonts w:eastAsia="Calibri"/>
        </w:rPr>
        <w:t>Table 3.2.5: Administered Capital Budget Statement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2"/>
        <w:gridCol w:w="222"/>
        <w:gridCol w:w="2700"/>
        <w:gridCol w:w="915"/>
        <w:gridCol w:w="915"/>
        <w:gridCol w:w="915"/>
        <w:gridCol w:w="915"/>
        <w:gridCol w:w="915"/>
      </w:tblGrid>
      <w:tr w:rsidR="00724034" w14:paraId="63C2BC1C" w14:textId="77777777">
        <w:trPr>
          <w:trHeight w:val="225"/>
        </w:trPr>
        <w:tc>
          <w:tcPr>
            <w:tcW w:w="180"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2B185F78" w14:textId="77777777" w:rsidR="003F0EEA" w:rsidRDefault="003F0EEA"/>
        </w:tc>
        <w:tc>
          <w:tcPr>
            <w:tcW w:w="180"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6113391D" w14:textId="77777777" w:rsidR="003F0EEA" w:rsidRDefault="003F0EEA">
            <w:pPr>
              <w:rPr>
                <w:rFonts w:ascii="Arial" w:eastAsia="Arial" w:hAnsi="Arial" w:cs="Arial"/>
                <w:color w:val="000000"/>
                <w:sz w:val="18"/>
              </w:rPr>
            </w:pPr>
          </w:p>
        </w:tc>
        <w:tc>
          <w:tcPr>
            <w:tcW w:w="2700"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3982ED8E" w14:textId="77777777" w:rsidR="003F0EEA" w:rsidRDefault="003F0EEA">
            <w:pPr>
              <w:rPr>
                <w:rFonts w:ascii="Arial" w:eastAsia="Arial" w:hAnsi="Arial" w:cs="Arial"/>
                <w:color w:val="000000"/>
                <w:sz w:val="18"/>
              </w:rPr>
            </w:pPr>
          </w:p>
        </w:tc>
        <w:tc>
          <w:tcPr>
            <w:tcW w:w="91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6EE044D6" w14:textId="77777777" w:rsidR="003F0EEA" w:rsidRDefault="00FB7D0B">
            <w:pPr>
              <w:jc w:val="right"/>
              <w:rPr>
                <w:rFonts w:ascii="Arial" w:eastAsia="Arial" w:hAnsi="Arial" w:cs="Arial"/>
                <w:color w:val="000000"/>
                <w:sz w:val="16"/>
                <w:vertAlign w:val="superscript"/>
              </w:rPr>
            </w:pPr>
            <w:r>
              <w:rPr>
                <w:rFonts w:ascii="Arial" w:eastAsia="Arial" w:hAnsi="Arial" w:cs="Arial"/>
                <w:color w:val="000000"/>
                <w:sz w:val="16"/>
              </w:rPr>
              <w:t>Estimated</w:t>
            </w:r>
          </w:p>
        </w:tc>
        <w:tc>
          <w:tcPr>
            <w:tcW w:w="915" w:type="dxa"/>
            <w:tcBorders>
              <w:top w:val="single" w:sz="6" w:space="0" w:color="000000"/>
              <w:left w:val="nil"/>
              <w:bottom w:val="nil"/>
              <w:right w:val="nil"/>
              <w:tl2br w:val="nil"/>
              <w:tr2bl w:val="nil"/>
            </w:tcBorders>
            <w:shd w:val="clear" w:color="auto" w:fill="FFFF00"/>
            <w:tcMar>
              <w:left w:w="101" w:type="dxa"/>
              <w:right w:w="101" w:type="dxa"/>
            </w:tcMar>
            <w:vAlign w:val="bottom"/>
          </w:tcPr>
          <w:p w14:paraId="2CBDC74B" w14:textId="77777777" w:rsidR="003F0EEA" w:rsidRDefault="00FB7D0B">
            <w:pPr>
              <w:jc w:val="right"/>
              <w:rPr>
                <w:rFonts w:ascii="Arial" w:eastAsia="Arial" w:hAnsi="Arial" w:cs="Arial"/>
                <w:color w:val="000000"/>
                <w:sz w:val="16"/>
              </w:rPr>
            </w:pPr>
            <w:r>
              <w:rPr>
                <w:rFonts w:ascii="Arial" w:eastAsia="Arial" w:hAnsi="Arial" w:cs="Arial"/>
                <w:color w:val="000000"/>
                <w:sz w:val="16"/>
              </w:rPr>
              <w:t>Budget</w:t>
            </w:r>
          </w:p>
        </w:tc>
        <w:tc>
          <w:tcPr>
            <w:tcW w:w="91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07936456" w14:textId="77777777" w:rsidR="003F0EEA" w:rsidRDefault="00FB7D0B">
            <w:pPr>
              <w:jc w:val="right"/>
              <w:rPr>
                <w:rFonts w:ascii="Arial" w:eastAsia="Arial" w:hAnsi="Arial" w:cs="Arial"/>
                <w:color w:val="000000"/>
                <w:sz w:val="16"/>
              </w:rPr>
            </w:pPr>
            <w:r>
              <w:rPr>
                <w:rFonts w:ascii="Arial" w:eastAsia="Arial" w:hAnsi="Arial" w:cs="Arial"/>
                <w:color w:val="000000"/>
                <w:sz w:val="16"/>
              </w:rPr>
              <w:t xml:space="preserve">Forward </w:t>
            </w:r>
          </w:p>
        </w:tc>
        <w:tc>
          <w:tcPr>
            <w:tcW w:w="91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3C7CF3C9" w14:textId="77777777" w:rsidR="003F0EEA" w:rsidRDefault="00FB7D0B">
            <w:pPr>
              <w:jc w:val="right"/>
              <w:rPr>
                <w:rFonts w:ascii="Arial" w:eastAsia="Arial" w:hAnsi="Arial" w:cs="Arial"/>
                <w:color w:val="000000"/>
                <w:sz w:val="16"/>
              </w:rPr>
            </w:pPr>
            <w:r>
              <w:rPr>
                <w:rFonts w:ascii="Arial" w:eastAsia="Arial" w:hAnsi="Arial" w:cs="Arial"/>
                <w:color w:val="000000"/>
                <w:sz w:val="16"/>
              </w:rPr>
              <w:t xml:space="preserve">Forward </w:t>
            </w:r>
          </w:p>
        </w:tc>
        <w:tc>
          <w:tcPr>
            <w:tcW w:w="91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20A136DF" w14:textId="77777777" w:rsidR="003F0EEA" w:rsidRDefault="00FB7D0B">
            <w:pPr>
              <w:jc w:val="right"/>
              <w:rPr>
                <w:rFonts w:ascii="Arial" w:eastAsia="Arial" w:hAnsi="Arial" w:cs="Arial"/>
                <w:color w:val="000000"/>
                <w:sz w:val="16"/>
              </w:rPr>
            </w:pPr>
            <w:r>
              <w:rPr>
                <w:rFonts w:ascii="Arial" w:eastAsia="Arial" w:hAnsi="Arial" w:cs="Arial"/>
                <w:color w:val="000000"/>
                <w:sz w:val="16"/>
              </w:rPr>
              <w:t xml:space="preserve">Forward </w:t>
            </w:r>
          </w:p>
        </w:tc>
      </w:tr>
      <w:tr w:rsidR="00724034" w14:paraId="1CF2977C" w14:textId="77777777">
        <w:trPr>
          <w:trHeight w:val="225"/>
        </w:trPr>
        <w:tc>
          <w:tcPr>
            <w:tcW w:w="180" w:type="dxa"/>
            <w:tcBorders>
              <w:top w:val="nil"/>
              <w:left w:val="nil"/>
              <w:bottom w:val="nil"/>
              <w:right w:val="nil"/>
              <w:tl2br w:val="nil"/>
              <w:tr2bl w:val="nil"/>
            </w:tcBorders>
            <w:shd w:val="clear" w:color="auto" w:fill="FFFFFF"/>
            <w:tcMar>
              <w:left w:w="101" w:type="dxa"/>
              <w:right w:w="101" w:type="dxa"/>
            </w:tcMar>
            <w:vAlign w:val="bottom"/>
          </w:tcPr>
          <w:p w14:paraId="40B779BB" w14:textId="77777777" w:rsidR="003F0EEA" w:rsidRDefault="003F0EEA">
            <w:pPr>
              <w:rPr>
                <w:rFonts w:ascii="Arial" w:eastAsia="Arial" w:hAnsi="Arial" w:cs="Arial"/>
                <w:color w:val="000000"/>
                <w:sz w:val="16"/>
              </w:rPr>
            </w:pPr>
          </w:p>
        </w:tc>
        <w:tc>
          <w:tcPr>
            <w:tcW w:w="180" w:type="dxa"/>
            <w:tcBorders>
              <w:top w:val="nil"/>
              <w:left w:val="nil"/>
              <w:bottom w:val="nil"/>
              <w:right w:val="nil"/>
              <w:tl2br w:val="nil"/>
              <w:tr2bl w:val="nil"/>
            </w:tcBorders>
            <w:shd w:val="clear" w:color="auto" w:fill="FFFFFF"/>
            <w:tcMar>
              <w:left w:w="101" w:type="dxa"/>
              <w:right w:w="101" w:type="dxa"/>
            </w:tcMar>
            <w:vAlign w:val="bottom"/>
          </w:tcPr>
          <w:p w14:paraId="59C5C290" w14:textId="77777777" w:rsidR="003F0EEA" w:rsidRDefault="003F0EEA">
            <w:pPr>
              <w:rPr>
                <w:rFonts w:ascii="Arial" w:eastAsia="Arial" w:hAnsi="Arial" w:cs="Arial"/>
                <w:color w:val="000000"/>
                <w:sz w:val="18"/>
              </w:rPr>
            </w:pPr>
          </w:p>
        </w:tc>
        <w:tc>
          <w:tcPr>
            <w:tcW w:w="2700" w:type="dxa"/>
            <w:tcBorders>
              <w:top w:val="nil"/>
              <w:left w:val="nil"/>
              <w:bottom w:val="nil"/>
              <w:right w:val="nil"/>
              <w:tl2br w:val="nil"/>
              <w:tr2bl w:val="nil"/>
            </w:tcBorders>
            <w:shd w:val="clear" w:color="auto" w:fill="FFFFFF"/>
            <w:tcMar>
              <w:left w:w="101" w:type="dxa"/>
              <w:right w:w="101" w:type="dxa"/>
            </w:tcMar>
            <w:vAlign w:val="bottom"/>
          </w:tcPr>
          <w:p w14:paraId="12C60108" w14:textId="77777777" w:rsidR="003F0EEA" w:rsidRDefault="003F0EEA">
            <w:pPr>
              <w:rPr>
                <w:rFonts w:ascii="Arial" w:eastAsia="Arial" w:hAnsi="Arial" w:cs="Arial"/>
                <w:color w:val="000000"/>
                <w:sz w:val="18"/>
              </w:rPr>
            </w:pP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512246E7" w14:textId="77777777" w:rsidR="003F0EEA" w:rsidRDefault="00FB7D0B">
            <w:pPr>
              <w:jc w:val="right"/>
              <w:rPr>
                <w:rFonts w:ascii="Arial" w:eastAsia="Arial" w:hAnsi="Arial" w:cs="Arial"/>
                <w:color w:val="000000"/>
                <w:sz w:val="16"/>
                <w:vertAlign w:val="superscript"/>
              </w:rPr>
            </w:pPr>
            <w:r>
              <w:rPr>
                <w:rFonts w:ascii="Arial" w:eastAsia="Arial" w:hAnsi="Arial" w:cs="Arial"/>
                <w:color w:val="000000"/>
                <w:sz w:val="16"/>
              </w:rPr>
              <w:t>actual</w:t>
            </w:r>
          </w:p>
        </w:tc>
        <w:tc>
          <w:tcPr>
            <w:tcW w:w="915" w:type="dxa"/>
            <w:tcBorders>
              <w:top w:val="nil"/>
              <w:left w:val="nil"/>
              <w:bottom w:val="nil"/>
              <w:right w:val="nil"/>
              <w:tl2br w:val="nil"/>
              <w:tr2bl w:val="nil"/>
            </w:tcBorders>
            <w:shd w:val="clear" w:color="auto" w:fill="FFFF00"/>
            <w:tcMar>
              <w:left w:w="101" w:type="dxa"/>
              <w:right w:w="101" w:type="dxa"/>
            </w:tcMar>
            <w:vAlign w:val="bottom"/>
          </w:tcPr>
          <w:p w14:paraId="2B06F232" w14:textId="77777777" w:rsidR="003F0EEA" w:rsidRDefault="00FB7D0B">
            <w:pPr>
              <w:jc w:val="right"/>
              <w:rPr>
                <w:rFonts w:ascii="Arial" w:eastAsia="Arial" w:hAnsi="Arial" w:cs="Arial"/>
                <w:color w:val="000000"/>
                <w:sz w:val="16"/>
              </w:rPr>
            </w:pPr>
            <w:r>
              <w:rPr>
                <w:rFonts w:ascii="Arial" w:eastAsia="Arial" w:hAnsi="Arial" w:cs="Arial"/>
                <w:color w:val="000000"/>
                <w:sz w:val="16"/>
              </w:rPr>
              <w:t>estimate</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44863FAE" w14:textId="77777777" w:rsidR="003F0EEA" w:rsidRDefault="00FB7D0B">
            <w:pPr>
              <w:jc w:val="right"/>
              <w:rPr>
                <w:rFonts w:ascii="Arial" w:eastAsia="Arial" w:hAnsi="Arial" w:cs="Arial"/>
                <w:color w:val="000000"/>
                <w:sz w:val="16"/>
              </w:rPr>
            </w:pPr>
            <w:r>
              <w:rPr>
                <w:rFonts w:ascii="Arial" w:eastAsia="Arial" w:hAnsi="Arial" w:cs="Arial"/>
                <w:color w:val="000000"/>
                <w:sz w:val="16"/>
              </w:rPr>
              <w:t>estimate</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6D45D60B" w14:textId="77777777" w:rsidR="003F0EEA" w:rsidRDefault="00FB7D0B">
            <w:pPr>
              <w:jc w:val="right"/>
              <w:rPr>
                <w:rFonts w:ascii="Arial" w:eastAsia="Arial" w:hAnsi="Arial" w:cs="Arial"/>
                <w:color w:val="000000"/>
                <w:sz w:val="16"/>
              </w:rPr>
            </w:pPr>
            <w:r>
              <w:rPr>
                <w:rFonts w:ascii="Arial" w:eastAsia="Arial" w:hAnsi="Arial" w:cs="Arial"/>
                <w:color w:val="000000"/>
                <w:sz w:val="16"/>
              </w:rPr>
              <w:t>estimate</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2B314A0D" w14:textId="77777777" w:rsidR="003F0EEA" w:rsidRDefault="00FB7D0B">
            <w:pPr>
              <w:jc w:val="right"/>
              <w:rPr>
                <w:rFonts w:ascii="Arial" w:eastAsia="Arial" w:hAnsi="Arial" w:cs="Arial"/>
                <w:color w:val="000000"/>
                <w:sz w:val="16"/>
              </w:rPr>
            </w:pPr>
            <w:r>
              <w:rPr>
                <w:rFonts w:ascii="Arial" w:eastAsia="Arial" w:hAnsi="Arial" w:cs="Arial"/>
                <w:color w:val="000000"/>
                <w:sz w:val="16"/>
              </w:rPr>
              <w:t>estimate</w:t>
            </w:r>
          </w:p>
        </w:tc>
      </w:tr>
      <w:tr w:rsidR="00724034" w14:paraId="2E477874" w14:textId="77777777">
        <w:trPr>
          <w:trHeight w:val="225"/>
        </w:trPr>
        <w:tc>
          <w:tcPr>
            <w:tcW w:w="180" w:type="dxa"/>
            <w:tcBorders>
              <w:top w:val="nil"/>
              <w:left w:val="nil"/>
              <w:bottom w:val="nil"/>
              <w:right w:val="nil"/>
              <w:tl2br w:val="nil"/>
              <w:tr2bl w:val="nil"/>
            </w:tcBorders>
            <w:shd w:val="clear" w:color="auto" w:fill="FFFFFF"/>
            <w:tcMar>
              <w:left w:w="101" w:type="dxa"/>
              <w:right w:w="101" w:type="dxa"/>
            </w:tcMar>
            <w:vAlign w:val="bottom"/>
          </w:tcPr>
          <w:p w14:paraId="21AA43D2" w14:textId="77777777" w:rsidR="003F0EEA" w:rsidRDefault="003F0EEA">
            <w:pPr>
              <w:rPr>
                <w:rFonts w:ascii="Arial" w:eastAsia="Arial" w:hAnsi="Arial" w:cs="Arial"/>
                <w:color w:val="000000"/>
                <w:sz w:val="16"/>
              </w:rPr>
            </w:pPr>
          </w:p>
        </w:tc>
        <w:tc>
          <w:tcPr>
            <w:tcW w:w="180" w:type="dxa"/>
            <w:tcBorders>
              <w:top w:val="nil"/>
              <w:left w:val="nil"/>
              <w:bottom w:val="nil"/>
              <w:right w:val="nil"/>
              <w:tl2br w:val="nil"/>
              <w:tr2bl w:val="nil"/>
            </w:tcBorders>
            <w:shd w:val="clear" w:color="auto" w:fill="FFFFFF"/>
            <w:tcMar>
              <w:left w:w="101" w:type="dxa"/>
              <w:right w:w="101" w:type="dxa"/>
            </w:tcMar>
            <w:vAlign w:val="bottom"/>
          </w:tcPr>
          <w:p w14:paraId="1BF8859D" w14:textId="77777777" w:rsidR="003F0EEA" w:rsidRDefault="003F0EEA">
            <w:pPr>
              <w:rPr>
                <w:rFonts w:ascii="Arial" w:eastAsia="Arial" w:hAnsi="Arial" w:cs="Arial"/>
                <w:color w:val="000000"/>
                <w:sz w:val="18"/>
              </w:rPr>
            </w:pPr>
          </w:p>
        </w:tc>
        <w:tc>
          <w:tcPr>
            <w:tcW w:w="2700" w:type="dxa"/>
            <w:tcBorders>
              <w:top w:val="nil"/>
              <w:left w:val="nil"/>
              <w:bottom w:val="nil"/>
              <w:right w:val="nil"/>
              <w:tl2br w:val="nil"/>
              <w:tr2bl w:val="nil"/>
            </w:tcBorders>
            <w:shd w:val="clear" w:color="auto" w:fill="FFFFFF"/>
            <w:tcMar>
              <w:left w:w="101" w:type="dxa"/>
              <w:right w:w="101" w:type="dxa"/>
            </w:tcMar>
            <w:vAlign w:val="bottom"/>
          </w:tcPr>
          <w:p w14:paraId="282AA5F6" w14:textId="77777777" w:rsidR="003F0EEA" w:rsidRDefault="003F0EEA">
            <w:pPr>
              <w:rPr>
                <w:rFonts w:ascii="Arial" w:eastAsia="Arial" w:hAnsi="Arial" w:cs="Arial"/>
                <w:color w:val="000000"/>
                <w:sz w:val="18"/>
              </w:rPr>
            </w:pP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072DA49D" w14:textId="77777777" w:rsidR="003F0EEA" w:rsidRDefault="00FB7D0B">
            <w:pPr>
              <w:jc w:val="right"/>
              <w:rPr>
                <w:rFonts w:ascii="Arial" w:eastAsia="Arial" w:hAnsi="Arial" w:cs="Arial"/>
                <w:color w:val="000000"/>
                <w:sz w:val="16"/>
                <w:vertAlign w:val="superscript"/>
              </w:rPr>
            </w:pPr>
            <w:r>
              <w:rPr>
                <w:rFonts w:ascii="Arial" w:eastAsia="Arial" w:hAnsi="Arial" w:cs="Arial"/>
                <w:color w:val="000000"/>
                <w:sz w:val="16"/>
              </w:rPr>
              <w:t>2013-14</w:t>
            </w:r>
          </w:p>
        </w:tc>
        <w:tc>
          <w:tcPr>
            <w:tcW w:w="915" w:type="dxa"/>
            <w:tcBorders>
              <w:top w:val="nil"/>
              <w:left w:val="nil"/>
              <w:bottom w:val="nil"/>
              <w:right w:val="nil"/>
              <w:tl2br w:val="nil"/>
              <w:tr2bl w:val="nil"/>
            </w:tcBorders>
            <w:shd w:val="clear" w:color="auto" w:fill="FFFF00"/>
            <w:tcMar>
              <w:left w:w="101" w:type="dxa"/>
              <w:right w:w="101" w:type="dxa"/>
            </w:tcMar>
            <w:vAlign w:val="bottom"/>
          </w:tcPr>
          <w:p w14:paraId="7D10D121" w14:textId="77777777" w:rsidR="003F0EEA" w:rsidRDefault="00FB7D0B">
            <w:pPr>
              <w:jc w:val="right"/>
              <w:rPr>
                <w:rFonts w:ascii="Arial" w:eastAsia="Arial" w:hAnsi="Arial" w:cs="Arial"/>
                <w:color w:val="000000"/>
                <w:sz w:val="16"/>
              </w:rPr>
            </w:pPr>
            <w:r>
              <w:rPr>
                <w:rFonts w:ascii="Arial" w:eastAsia="Arial" w:hAnsi="Arial" w:cs="Arial"/>
                <w:color w:val="000000"/>
                <w:sz w:val="16"/>
              </w:rPr>
              <w:t>2014-15</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0933E4BD" w14:textId="77777777" w:rsidR="003F0EEA" w:rsidRDefault="00FB7D0B">
            <w:pPr>
              <w:jc w:val="right"/>
              <w:rPr>
                <w:rFonts w:ascii="Arial" w:eastAsia="Arial" w:hAnsi="Arial" w:cs="Arial"/>
                <w:color w:val="000000"/>
                <w:sz w:val="16"/>
              </w:rPr>
            </w:pPr>
            <w:r>
              <w:rPr>
                <w:rFonts w:ascii="Arial" w:eastAsia="Arial" w:hAnsi="Arial" w:cs="Arial"/>
                <w:color w:val="000000"/>
                <w:sz w:val="16"/>
              </w:rPr>
              <w:t>2015-16</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26DAE2FB" w14:textId="77777777" w:rsidR="003F0EEA" w:rsidRDefault="00FB7D0B">
            <w:pPr>
              <w:jc w:val="right"/>
              <w:rPr>
                <w:rFonts w:ascii="Arial" w:eastAsia="Arial" w:hAnsi="Arial" w:cs="Arial"/>
                <w:color w:val="000000"/>
                <w:sz w:val="16"/>
              </w:rPr>
            </w:pPr>
            <w:r>
              <w:rPr>
                <w:rFonts w:ascii="Arial" w:eastAsia="Arial" w:hAnsi="Arial" w:cs="Arial"/>
                <w:color w:val="000000"/>
                <w:sz w:val="16"/>
              </w:rPr>
              <w:t>2016-17</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36427321" w14:textId="77777777" w:rsidR="003F0EEA" w:rsidRDefault="00FB7D0B">
            <w:pPr>
              <w:jc w:val="right"/>
              <w:rPr>
                <w:rFonts w:ascii="Arial" w:eastAsia="Arial" w:hAnsi="Arial" w:cs="Arial"/>
                <w:color w:val="000000"/>
                <w:sz w:val="16"/>
              </w:rPr>
            </w:pPr>
            <w:r>
              <w:rPr>
                <w:rFonts w:ascii="Arial" w:eastAsia="Arial" w:hAnsi="Arial" w:cs="Arial"/>
                <w:color w:val="000000"/>
                <w:sz w:val="16"/>
              </w:rPr>
              <w:t>2017-18</w:t>
            </w:r>
          </w:p>
        </w:tc>
      </w:tr>
      <w:tr w:rsidR="00724034" w14:paraId="1A21BED9" w14:textId="77777777">
        <w:trPr>
          <w:trHeight w:val="225"/>
        </w:trPr>
        <w:tc>
          <w:tcPr>
            <w:tcW w:w="180"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06E4CE37" w14:textId="77777777" w:rsidR="003F0EEA" w:rsidRDefault="003F0EEA">
            <w:pPr>
              <w:rPr>
                <w:rFonts w:ascii="Arial" w:eastAsia="Arial" w:hAnsi="Arial" w:cs="Arial"/>
                <w:color w:val="000000"/>
                <w:sz w:val="16"/>
              </w:rPr>
            </w:pPr>
          </w:p>
        </w:tc>
        <w:tc>
          <w:tcPr>
            <w:tcW w:w="180"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12C7BFD1" w14:textId="77777777" w:rsidR="003F0EEA" w:rsidRDefault="003F0EEA">
            <w:pPr>
              <w:rPr>
                <w:rFonts w:ascii="Arial" w:eastAsia="Arial" w:hAnsi="Arial" w:cs="Arial"/>
                <w:color w:val="000000"/>
                <w:sz w:val="18"/>
              </w:rPr>
            </w:pPr>
          </w:p>
        </w:tc>
        <w:tc>
          <w:tcPr>
            <w:tcW w:w="2700"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1416725F" w14:textId="77777777" w:rsidR="003F0EEA" w:rsidRDefault="003F0EEA">
            <w:pPr>
              <w:rPr>
                <w:rFonts w:ascii="Arial" w:eastAsia="Arial" w:hAnsi="Arial" w:cs="Arial"/>
                <w:color w:val="000000"/>
                <w:sz w:val="18"/>
              </w:rPr>
            </w:pPr>
          </w:p>
        </w:tc>
        <w:tc>
          <w:tcPr>
            <w:tcW w:w="915"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3C2E57E4" w14:textId="77777777" w:rsidR="003F0EEA" w:rsidRDefault="00FB7D0B">
            <w:pPr>
              <w:jc w:val="right"/>
              <w:rPr>
                <w:rFonts w:ascii="Arial" w:eastAsia="Arial" w:hAnsi="Arial" w:cs="Arial"/>
                <w:color w:val="000000"/>
                <w:sz w:val="16"/>
                <w:vertAlign w:val="superscript"/>
              </w:rPr>
            </w:pPr>
            <w:r>
              <w:rPr>
                <w:rFonts w:ascii="Arial" w:eastAsia="Arial" w:hAnsi="Arial" w:cs="Arial"/>
                <w:color w:val="000000"/>
                <w:sz w:val="16"/>
              </w:rPr>
              <w:t>$'000</w:t>
            </w:r>
          </w:p>
        </w:tc>
        <w:tc>
          <w:tcPr>
            <w:tcW w:w="915" w:type="dxa"/>
            <w:tcBorders>
              <w:top w:val="nil"/>
              <w:left w:val="nil"/>
              <w:bottom w:val="single" w:sz="6" w:space="0" w:color="000000"/>
              <w:right w:val="nil"/>
              <w:tl2br w:val="nil"/>
              <w:tr2bl w:val="nil"/>
            </w:tcBorders>
            <w:shd w:val="clear" w:color="auto" w:fill="FFFF00"/>
            <w:tcMar>
              <w:left w:w="101" w:type="dxa"/>
              <w:right w:w="101" w:type="dxa"/>
            </w:tcMar>
            <w:vAlign w:val="bottom"/>
          </w:tcPr>
          <w:p w14:paraId="58EE9434" w14:textId="77777777" w:rsidR="003F0EEA" w:rsidRDefault="00FB7D0B">
            <w:pPr>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53B86894" w14:textId="77777777" w:rsidR="003F0EEA" w:rsidRDefault="00FB7D0B">
            <w:pPr>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6490DFDD" w14:textId="77777777" w:rsidR="003F0EEA" w:rsidRDefault="00FB7D0B">
            <w:pPr>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24E902EB" w14:textId="77777777" w:rsidR="003F0EEA" w:rsidRDefault="00FB7D0B">
            <w:pPr>
              <w:jc w:val="right"/>
              <w:rPr>
                <w:rFonts w:ascii="Arial" w:eastAsia="Arial" w:hAnsi="Arial" w:cs="Arial"/>
                <w:color w:val="000000"/>
                <w:sz w:val="16"/>
              </w:rPr>
            </w:pPr>
            <w:r>
              <w:rPr>
                <w:rFonts w:ascii="Arial" w:eastAsia="Arial" w:hAnsi="Arial" w:cs="Arial"/>
                <w:color w:val="000000"/>
                <w:sz w:val="16"/>
              </w:rPr>
              <w:t>$'000</w:t>
            </w:r>
          </w:p>
        </w:tc>
      </w:tr>
      <w:tr w:rsidR="00724034" w14:paraId="0E70B379" w14:textId="77777777">
        <w:trPr>
          <w:trHeight w:val="225"/>
        </w:trPr>
        <w:tc>
          <w:tcPr>
            <w:tcW w:w="180"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1BA35DA1" w14:textId="77777777" w:rsidR="003F0EEA" w:rsidRDefault="003F0EEA">
            <w:pPr>
              <w:rPr>
                <w:rFonts w:ascii="Arial" w:eastAsia="Arial" w:hAnsi="Arial" w:cs="Arial"/>
                <w:color w:val="000000"/>
                <w:sz w:val="16"/>
              </w:rPr>
            </w:pPr>
          </w:p>
        </w:tc>
        <w:tc>
          <w:tcPr>
            <w:tcW w:w="180"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654BB850" w14:textId="77777777" w:rsidR="003F0EEA" w:rsidRDefault="003F0EEA">
            <w:pPr>
              <w:rPr>
                <w:rFonts w:ascii="Arial" w:eastAsia="Arial" w:hAnsi="Arial" w:cs="Arial"/>
                <w:color w:val="000000"/>
                <w:sz w:val="18"/>
              </w:rPr>
            </w:pPr>
          </w:p>
        </w:tc>
        <w:tc>
          <w:tcPr>
            <w:tcW w:w="2700"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24EAB233" w14:textId="77777777" w:rsidR="003F0EEA" w:rsidRDefault="003F0EEA">
            <w:pPr>
              <w:rPr>
                <w:rFonts w:ascii="Arial" w:eastAsia="Arial" w:hAnsi="Arial" w:cs="Arial"/>
                <w:color w:val="000000"/>
                <w:sz w:val="18"/>
              </w:rPr>
            </w:pPr>
          </w:p>
        </w:tc>
        <w:tc>
          <w:tcPr>
            <w:tcW w:w="91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5AC31FE6" w14:textId="77777777" w:rsidR="003F0EEA" w:rsidRDefault="003F0EEA">
            <w:pPr>
              <w:rPr>
                <w:rFonts w:ascii="Arial" w:eastAsia="Arial" w:hAnsi="Arial" w:cs="Arial"/>
                <w:color w:val="000000"/>
                <w:sz w:val="16"/>
                <w:vertAlign w:val="superscript"/>
              </w:rPr>
            </w:pPr>
          </w:p>
        </w:tc>
        <w:tc>
          <w:tcPr>
            <w:tcW w:w="915" w:type="dxa"/>
            <w:tcBorders>
              <w:top w:val="single" w:sz="6" w:space="0" w:color="000000"/>
              <w:left w:val="nil"/>
              <w:bottom w:val="nil"/>
              <w:right w:val="nil"/>
              <w:tl2br w:val="nil"/>
              <w:tr2bl w:val="nil"/>
            </w:tcBorders>
            <w:shd w:val="clear" w:color="auto" w:fill="FFFF00"/>
            <w:tcMar>
              <w:left w:w="101" w:type="dxa"/>
              <w:right w:w="101" w:type="dxa"/>
            </w:tcMar>
            <w:vAlign w:val="bottom"/>
          </w:tcPr>
          <w:p w14:paraId="0AAB9E70" w14:textId="77777777" w:rsidR="003F0EEA" w:rsidRDefault="003F0EEA">
            <w:pPr>
              <w:rPr>
                <w:rFonts w:ascii="Arial" w:eastAsia="Arial" w:hAnsi="Arial" w:cs="Arial"/>
                <w:color w:val="000000"/>
                <w:sz w:val="16"/>
                <w:vertAlign w:val="superscript"/>
              </w:rPr>
            </w:pPr>
          </w:p>
        </w:tc>
        <w:tc>
          <w:tcPr>
            <w:tcW w:w="91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74E9E708" w14:textId="77777777" w:rsidR="003F0EEA" w:rsidRDefault="003F0EEA">
            <w:pPr>
              <w:rPr>
                <w:rFonts w:ascii="Arial" w:eastAsia="Arial" w:hAnsi="Arial" w:cs="Arial"/>
                <w:color w:val="000000"/>
                <w:sz w:val="16"/>
                <w:vertAlign w:val="superscript"/>
              </w:rPr>
            </w:pPr>
          </w:p>
        </w:tc>
        <w:tc>
          <w:tcPr>
            <w:tcW w:w="91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4C510E86" w14:textId="77777777" w:rsidR="003F0EEA" w:rsidRDefault="003F0EEA">
            <w:pPr>
              <w:rPr>
                <w:rFonts w:ascii="Arial" w:eastAsia="Arial" w:hAnsi="Arial" w:cs="Arial"/>
                <w:color w:val="000000"/>
                <w:sz w:val="16"/>
                <w:vertAlign w:val="superscript"/>
              </w:rPr>
            </w:pPr>
          </w:p>
        </w:tc>
        <w:tc>
          <w:tcPr>
            <w:tcW w:w="91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5CA704D1" w14:textId="77777777" w:rsidR="003F0EEA" w:rsidRDefault="003F0EEA">
            <w:pPr>
              <w:rPr>
                <w:rFonts w:ascii="Arial" w:eastAsia="Arial" w:hAnsi="Arial" w:cs="Arial"/>
                <w:color w:val="000000"/>
                <w:sz w:val="16"/>
                <w:vertAlign w:val="superscript"/>
              </w:rPr>
            </w:pPr>
          </w:p>
        </w:tc>
      </w:tr>
      <w:tr w:rsidR="00FB7D0B" w14:paraId="2D956B43" w14:textId="77777777" w:rsidTr="00FB7D0B">
        <w:trPr>
          <w:trHeight w:val="225"/>
        </w:trPr>
        <w:tc>
          <w:tcPr>
            <w:tcW w:w="3060" w:type="dxa"/>
            <w:gridSpan w:val="3"/>
            <w:tcBorders>
              <w:top w:val="nil"/>
              <w:left w:val="nil"/>
              <w:bottom w:val="nil"/>
              <w:right w:val="nil"/>
              <w:tl2br w:val="nil"/>
              <w:tr2bl w:val="nil"/>
            </w:tcBorders>
            <w:shd w:val="clear" w:color="auto" w:fill="FFFFFF"/>
            <w:tcMar>
              <w:left w:w="101" w:type="dxa"/>
              <w:right w:w="101" w:type="dxa"/>
            </w:tcMar>
            <w:vAlign w:val="bottom"/>
          </w:tcPr>
          <w:p w14:paraId="14A1F1DD" w14:textId="77777777" w:rsidR="003F0EEA" w:rsidRDefault="00FB7D0B">
            <w:pPr>
              <w:rPr>
                <w:rFonts w:ascii="Arial" w:eastAsia="Arial" w:hAnsi="Arial" w:cs="Arial"/>
                <w:color w:val="000000"/>
                <w:sz w:val="16"/>
                <w:vertAlign w:val="superscript"/>
              </w:rPr>
            </w:pPr>
            <w:r>
              <w:rPr>
                <w:rFonts w:ascii="Arial" w:eastAsia="Arial" w:hAnsi="Arial" w:cs="Arial"/>
                <w:b/>
                <w:color w:val="000000"/>
                <w:sz w:val="16"/>
              </w:rPr>
              <w:t>NEW CAPITAL APPROPRIATIONS</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23C87B03" w14:textId="77777777" w:rsidR="003F0EEA" w:rsidRDefault="003F0EEA">
            <w:pPr>
              <w:rPr>
                <w:rFonts w:ascii="Arial" w:eastAsia="Arial" w:hAnsi="Arial" w:cs="Arial"/>
                <w:b/>
                <w:color w:val="000000"/>
                <w:sz w:val="16"/>
                <w:vertAlign w:val="superscript"/>
              </w:rPr>
            </w:pPr>
          </w:p>
        </w:tc>
        <w:tc>
          <w:tcPr>
            <w:tcW w:w="915" w:type="dxa"/>
            <w:tcBorders>
              <w:top w:val="nil"/>
              <w:left w:val="nil"/>
              <w:bottom w:val="nil"/>
              <w:right w:val="nil"/>
              <w:tl2br w:val="nil"/>
              <w:tr2bl w:val="nil"/>
            </w:tcBorders>
            <w:shd w:val="clear" w:color="auto" w:fill="FFFF00"/>
            <w:tcMar>
              <w:left w:w="101" w:type="dxa"/>
              <w:right w:w="101" w:type="dxa"/>
            </w:tcMar>
            <w:vAlign w:val="bottom"/>
          </w:tcPr>
          <w:p w14:paraId="5D23DFC1" w14:textId="77777777" w:rsidR="003F0EEA" w:rsidRDefault="003F0EEA">
            <w:pPr>
              <w:rPr>
                <w:rFonts w:ascii="Arial" w:eastAsia="Arial" w:hAnsi="Arial" w:cs="Arial"/>
                <w:color w:val="000000"/>
                <w:sz w:val="16"/>
                <w:vertAlign w:val="superscript"/>
              </w:rPr>
            </w:pP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444BDBC2" w14:textId="77777777" w:rsidR="003F0EEA" w:rsidRDefault="003F0EEA">
            <w:pPr>
              <w:rPr>
                <w:rFonts w:ascii="Arial" w:eastAsia="Arial" w:hAnsi="Arial" w:cs="Arial"/>
                <w:color w:val="000000"/>
                <w:sz w:val="16"/>
                <w:vertAlign w:val="superscript"/>
              </w:rPr>
            </w:pP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2D3A89DA" w14:textId="77777777" w:rsidR="003F0EEA" w:rsidRDefault="003F0EEA">
            <w:pPr>
              <w:rPr>
                <w:rFonts w:ascii="Arial" w:eastAsia="Arial" w:hAnsi="Arial" w:cs="Arial"/>
                <w:color w:val="000000"/>
                <w:sz w:val="16"/>
                <w:vertAlign w:val="superscript"/>
              </w:rPr>
            </w:pP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39C74B02" w14:textId="77777777" w:rsidR="003F0EEA" w:rsidRDefault="003F0EEA">
            <w:pPr>
              <w:rPr>
                <w:rFonts w:ascii="Arial" w:eastAsia="Arial" w:hAnsi="Arial" w:cs="Arial"/>
                <w:color w:val="000000"/>
                <w:sz w:val="16"/>
                <w:vertAlign w:val="superscript"/>
              </w:rPr>
            </w:pPr>
          </w:p>
        </w:tc>
      </w:tr>
      <w:tr w:rsidR="00FB7D0B" w14:paraId="3241EF58" w14:textId="77777777" w:rsidTr="00FB7D0B">
        <w:trPr>
          <w:trHeight w:val="225"/>
        </w:trPr>
        <w:tc>
          <w:tcPr>
            <w:tcW w:w="180" w:type="dxa"/>
            <w:tcBorders>
              <w:top w:val="nil"/>
              <w:left w:val="nil"/>
              <w:bottom w:val="nil"/>
              <w:right w:val="nil"/>
              <w:tl2br w:val="nil"/>
              <w:tr2bl w:val="nil"/>
            </w:tcBorders>
            <w:shd w:val="clear" w:color="auto" w:fill="FFFFFF"/>
            <w:tcMar>
              <w:left w:w="101" w:type="dxa"/>
              <w:right w:w="101" w:type="dxa"/>
            </w:tcMar>
            <w:vAlign w:val="bottom"/>
          </w:tcPr>
          <w:p w14:paraId="5840B385" w14:textId="77777777" w:rsidR="003F0EEA" w:rsidRDefault="003F0EEA">
            <w:pPr>
              <w:rPr>
                <w:rFonts w:ascii="Arial" w:eastAsia="Arial" w:hAnsi="Arial" w:cs="Arial"/>
                <w:color w:val="000000"/>
                <w:sz w:val="16"/>
                <w:vertAlign w:val="superscript"/>
              </w:rPr>
            </w:pPr>
          </w:p>
        </w:tc>
        <w:tc>
          <w:tcPr>
            <w:tcW w:w="2880" w:type="dxa"/>
            <w:gridSpan w:val="2"/>
            <w:vMerge w:val="restart"/>
            <w:tcBorders>
              <w:top w:val="nil"/>
              <w:left w:val="nil"/>
              <w:bottom w:val="nil"/>
              <w:right w:val="nil"/>
              <w:tl2br w:val="nil"/>
              <w:tr2bl w:val="nil"/>
            </w:tcBorders>
            <w:shd w:val="clear" w:color="auto" w:fill="FFFFFF"/>
            <w:tcMar>
              <w:left w:w="101" w:type="dxa"/>
              <w:right w:w="101" w:type="dxa"/>
            </w:tcMar>
            <w:vAlign w:val="bottom"/>
          </w:tcPr>
          <w:p w14:paraId="4533C869" w14:textId="77777777" w:rsidR="003F0EEA" w:rsidRDefault="00FB7D0B">
            <w:pPr>
              <w:rPr>
                <w:rFonts w:ascii="Arial" w:eastAsia="Arial" w:hAnsi="Arial" w:cs="Arial"/>
                <w:color w:val="000000"/>
                <w:sz w:val="18"/>
                <w:vertAlign w:val="superscript"/>
              </w:rPr>
            </w:pPr>
            <w:r>
              <w:rPr>
                <w:rFonts w:ascii="Arial" w:eastAsia="Arial" w:hAnsi="Arial" w:cs="Arial"/>
                <w:color w:val="000000"/>
                <w:sz w:val="16"/>
              </w:rPr>
              <w:t>Equity injections - Bill 2</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6E9C4ED7" w14:textId="77777777" w:rsidR="003F0EEA" w:rsidRDefault="00FB7D0B">
            <w:pPr>
              <w:jc w:val="right"/>
              <w:rPr>
                <w:rFonts w:ascii="Arial" w:eastAsia="Arial" w:hAnsi="Arial" w:cs="Arial"/>
                <w:color w:val="000000"/>
                <w:sz w:val="16"/>
                <w:vertAlign w:val="superscript"/>
              </w:rPr>
            </w:pPr>
            <w:r>
              <w:rPr>
                <w:rFonts w:ascii="Arial" w:eastAsia="Arial" w:hAnsi="Arial" w:cs="Arial"/>
                <w:color w:val="000000"/>
                <w:sz w:val="16"/>
              </w:rPr>
              <w:t xml:space="preserve"> - </w:t>
            </w:r>
          </w:p>
        </w:tc>
        <w:tc>
          <w:tcPr>
            <w:tcW w:w="915" w:type="dxa"/>
            <w:tcBorders>
              <w:top w:val="nil"/>
              <w:left w:val="nil"/>
              <w:bottom w:val="nil"/>
              <w:right w:val="nil"/>
              <w:tl2br w:val="nil"/>
              <w:tr2bl w:val="nil"/>
            </w:tcBorders>
            <w:shd w:val="clear" w:color="auto" w:fill="FFFF00"/>
            <w:tcMar>
              <w:left w:w="101" w:type="dxa"/>
              <w:right w:w="101" w:type="dxa"/>
            </w:tcMar>
            <w:vAlign w:val="bottom"/>
          </w:tcPr>
          <w:p w14:paraId="7D89811E" w14:textId="77777777" w:rsidR="003F0EEA" w:rsidRDefault="00FB7D0B">
            <w:pPr>
              <w:jc w:val="right"/>
              <w:rPr>
                <w:rFonts w:ascii="Arial" w:eastAsia="Arial" w:hAnsi="Arial" w:cs="Arial"/>
                <w:color w:val="000000"/>
                <w:sz w:val="16"/>
              </w:rPr>
            </w:pPr>
            <w:r>
              <w:rPr>
                <w:rFonts w:ascii="Arial" w:eastAsia="Arial" w:hAnsi="Arial" w:cs="Arial"/>
                <w:color w:val="000000"/>
                <w:sz w:val="16"/>
              </w:rPr>
              <w:t xml:space="preserve"> 6,061 </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1F2B5536" w14:textId="77777777" w:rsidR="003F0EEA" w:rsidRDefault="00FB7D0B">
            <w:pPr>
              <w:jc w:val="right"/>
              <w:rPr>
                <w:rFonts w:ascii="Arial" w:eastAsia="Arial" w:hAnsi="Arial" w:cs="Arial"/>
                <w:color w:val="000000"/>
                <w:sz w:val="16"/>
              </w:rPr>
            </w:pPr>
            <w:r>
              <w:rPr>
                <w:rFonts w:ascii="Arial" w:eastAsia="Arial" w:hAnsi="Arial" w:cs="Arial"/>
                <w:color w:val="000000"/>
                <w:sz w:val="16"/>
              </w:rPr>
              <w:t xml:space="preserve"> - </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5C70AF17" w14:textId="77777777" w:rsidR="003F0EEA" w:rsidRDefault="00FB7D0B">
            <w:pPr>
              <w:jc w:val="right"/>
              <w:rPr>
                <w:rFonts w:ascii="Arial" w:eastAsia="Arial" w:hAnsi="Arial" w:cs="Arial"/>
                <w:color w:val="000000"/>
                <w:sz w:val="16"/>
              </w:rPr>
            </w:pPr>
            <w:r>
              <w:rPr>
                <w:rFonts w:ascii="Arial" w:eastAsia="Arial" w:hAnsi="Arial" w:cs="Arial"/>
                <w:color w:val="000000"/>
                <w:sz w:val="16"/>
              </w:rPr>
              <w:t xml:space="preserve"> - </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69F9E137" w14:textId="77777777" w:rsidR="003F0EEA" w:rsidRDefault="00FB7D0B">
            <w:pPr>
              <w:jc w:val="right"/>
              <w:rPr>
                <w:rFonts w:ascii="Arial" w:eastAsia="Arial" w:hAnsi="Arial" w:cs="Arial"/>
                <w:color w:val="000000"/>
                <w:sz w:val="16"/>
              </w:rPr>
            </w:pPr>
            <w:r>
              <w:rPr>
                <w:rFonts w:ascii="Arial" w:eastAsia="Arial" w:hAnsi="Arial" w:cs="Arial"/>
                <w:color w:val="000000"/>
                <w:sz w:val="16"/>
              </w:rPr>
              <w:t xml:space="preserve"> - </w:t>
            </w:r>
          </w:p>
        </w:tc>
      </w:tr>
      <w:tr w:rsidR="00FB7D0B" w14:paraId="20B0A66B" w14:textId="77777777" w:rsidTr="00FB7D0B">
        <w:trPr>
          <w:trHeight w:val="225"/>
        </w:trPr>
        <w:tc>
          <w:tcPr>
            <w:tcW w:w="3060" w:type="dxa"/>
            <w:gridSpan w:val="3"/>
            <w:vMerge w:val="restart"/>
            <w:tcBorders>
              <w:top w:val="nil"/>
              <w:left w:val="nil"/>
              <w:bottom w:val="nil"/>
              <w:right w:val="nil"/>
              <w:tl2br w:val="nil"/>
              <w:tr2bl w:val="nil"/>
            </w:tcBorders>
            <w:shd w:val="clear" w:color="auto" w:fill="FFFFFF"/>
            <w:tcMar>
              <w:left w:w="101" w:type="dxa"/>
              <w:right w:w="101" w:type="dxa"/>
            </w:tcMar>
            <w:vAlign w:val="bottom"/>
          </w:tcPr>
          <w:p w14:paraId="2687E02E" w14:textId="77777777" w:rsidR="003F0EEA" w:rsidRDefault="00FB7D0B">
            <w:pPr>
              <w:rPr>
                <w:rFonts w:ascii="Arial" w:eastAsia="Arial" w:hAnsi="Arial" w:cs="Arial"/>
                <w:color w:val="000000"/>
                <w:sz w:val="16"/>
              </w:rPr>
            </w:pPr>
            <w:r>
              <w:rPr>
                <w:rFonts w:ascii="Arial" w:eastAsia="Arial" w:hAnsi="Arial" w:cs="Arial"/>
                <w:b/>
                <w:color w:val="000000"/>
                <w:sz w:val="16"/>
              </w:rPr>
              <w:t>Total new capital appropriations</w:t>
            </w:r>
          </w:p>
        </w:tc>
        <w:tc>
          <w:tcPr>
            <w:tcW w:w="915"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45B01D0D" w14:textId="77777777" w:rsidR="003F0EEA" w:rsidRDefault="00FB7D0B">
            <w:pPr>
              <w:jc w:val="right"/>
              <w:rPr>
                <w:rFonts w:ascii="Arial" w:eastAsia="Arial" w:hAnsi="Arial" w:cs="Arial"/>
                <w:b/>
                <w:color w:val="000000"/>
                <w:sz w:val="16"/>
                <w:vertAlign w:val="superscript"/>
              </w:rPr>
            </w:pPr>
            <w:r>
              <w:rPr>
                <w:rFonts w:ascii="Arial" w:eastAsia="Arial" w:hAnsi="Arial" w:cs="Arial"/>
                <w:b/>
                <w:color w:val="000000"/>
                <w:sz w:val="16"/>
              </w:rPr>
              <w:t xml:space="preserve"> - </w:t>
            </w:r>
          </w:p>
        </w:tc>
        <w:tc>
          <w:tcPr>
            <w:tcW w:w="915" w:type="dxa"/>
            <w:tcBorders>
              <w:top w:val="single" w:sz="6" w:space="0" w:color="000000"/>
              <w:left w:val="nil"/>
              <w:bottom w:val="single" w:sz="6" w:space="0" w:color="000000"/>
              <w:right w:val="nil"/>
              <w:tl2br w:val="nil"/>
              <w:tr2bl w:val="nil"/>
            </w:tcBorders>
            <w:shd w:val="clear" w:color="auto" w:fill="FFFF00"/>
            <w:tcMar>
              <w:left w:w="101" w:type="dxa"/>
              <w:right w:w="101" w:type="dxa"/>
            </w:tcMar>
            <w:vAlign w:val="bottom"/>
          </w:tcPr>
          <w:p w14:paraId="10575B7C" w14:textId="77777777" w:rsidR="003F0EEA" w:rsidRDefault="00FB7D0B">
            <w:pPr>
              <w:jc w:val="right"/>
              <w:rPr>
                <w:rFonts w:ascii="Arial" w:eastAsia="Arial" w:hAnsi="Arial" w:cs="Arial"/>
                <w:b/>
                <w:color w:val="000000"/>
                <w:sz w:val="16"/>
              </w:rPr>
            </w:pPr>
            <w:r>
              <w:rPr>
                <w:rFonts w:ascii="Arial" w:eastAsia="Arial" w:hAnsi="Arial" w:cs="Arial"/>
                <w:b/>
                <w:color w:val="000000"/>
                <w:sz w:val="16"/>
              </w:rPr>
              <w:t xml:space="preserve"> 6,061 </w:t>
            </w:r>
          </w:p>
        </w:tc>
        <w:tc>
          <w:tcPr>
            <w:tcW w:w="915"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025D5CC6" w14:textId="77777777" w:rsidR="003F0EEA" w:rsidRDefault="00FB7D0B">
            <w:pPr>
              <w:jc w:val="right"/>
              <w:rPr>
                <w:rFonts w:ascii="Arial" w:eastAsia="Arial" w:hAnsi="Arial" w:cs="Arial"/>
                <w:b/>
                <w:color w:val="000000"/>
                <w:sz w:val="16"/>
              </w:rPr>
            </w:pPr>
            <w:r>
              <w:rPr>
                <w:rFonts w:ascii="Arial" w:eastAsia="Arial" w:hAnsi="Arial" w:cs="Arial"/>
                <w:b/>
                <w:color w:val="000000"/>
                <w:sz w:val="16"/>
              </w:rPr>
              <w:t xml:space="preserve"> - </w:t>
            </w:r>
          </w:p>
        </w:tc>
        <w:tc>
          <w:tcPr>
            <w:tcW w:w="915"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52BCB84C" w14:textId="77777777" w:rsidR="003F0EEA" w:rsidRDefault="00FB7D0B">
            <w:pPr>
              <w:jc w:val="right"/>
              <w:rPr>
                <w:rFonts w:ascii="Arial" w:eastAsia="Arial" w:hAnsi="Arial" w:cs="Arial"/>
                <w:b/>
                <w:color w:val="000000"/>
                <w:sz w:val="16"/>
              </w:rPr>
            </w:pPr>
            <w:r>
              <w:rPr>
                <w:rFonts w:ascii="Arial" w:eastAsia="Arial" w:hAnsi="Arial" w:cs="Arial"/>
                <w:b/>
                <w:color w:val="000000"/>
                <w:sz w:val="16"/>
              </w:rPr>
              <w:t xml:space="preserve"> - </w:t>
            </w:r>
          </w:p>
        </w:tc>
        <w:tc>
          <w:tcPr>
            <w:tcW w:w="915"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2CF7276F" w14:textId="77777777" w:rsidR="003F0EEA" w:rsidRDefault="00FB7D0B">
            <w:pPr>
              <w:jc w:val="right"/>
              <w:rPr>
                <w:rFonts w:ascii="Arial" w:eastAsia="Arial" w:hAnsi="Arial" w:cs="Arial"/>
                <w:b/>
                <w:color w:val="000000"/>
                <w:sz w:val="16"/>
              </w:rPr>
            </w:pPr>
            <w:r>
              <w:rPr>
                <w:rFonts w:ascii="Arial" w:eastAsia="Arial" w:hAnsi="Arial" w:cs="Arial"/>
                <w:b/>
                <w:color w:val="000000"/>
                <w:sz w:val="16"/>
              </w:rPr>
              <w:t xml:space="preserve"> - </w:t>
            </w:r>
          </w:p>
        </w:tc>
      </w:tr>
      <w:tr w:rsidR="00FB7D0B" w14:paraId="6C67189E" w14:textId="77777777" w:rsidTr="00FB7D0B">
        <w:trPr>
          <w:trHeight w:val="225"/>
        </w:trPr>
        <w:tc>
          <w:tcPr>
            <w:tcW w:w="3060" w:type="dxa"/>
            <w:gridSpan w:val="3"/>
            <w:tcBorders>
              <w:top w:val="nil"/>
              <w:left w:val="nil"/>
              <w:bottom w:val="nil"/>
              <w:right w:val="nil"/>
              <w:tl2br w:val="nil"/>
              <w:tr2bl w:val="nil"/>
            </w:tcBorders>
            <w:shd w:val="clear" w:color="auto" w:fill="FFFFFF"/>
            <w:tcMar>
              <w:left w:w="101" w:type="dxa"/>
              <w:right w:w="101" w:type="dxa"/>
            </w:tcMar>
            <w:vAlign w:val="bottom"/>
          </w:tcPr>
          <w:p w14:paraId="33ED0939" w14:textId="77777777" w:rsidR="003F0EEA" w:rsidRDefault="003F0EEA">
            <w:pPr>
              <w:rPr>
                <w:rFonts w:ascii="Arial" w:eastAsia="Arial" w:hAnsi="Arial" w:cs="Arial"/>
                <w:b/>
                <w:color w:val="000000"/>
                <w:sz w:val="16"/>
              </w:rPr>
            </w:pPr>
          </w:p>
        </w:tc>
        <w:tc>
          <w:tcPr>
            <w:tcW w:w="91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2787ABF2" w14:textId="77777777" w:rsidR="003F0EEA" w:rsidRDefault="003F0EEA">
            <w:pPr>
              <w:rPr>
                <w:rFonts w:ascii="Arial" w:eastAsia="Arial" w:hAnsi="Arial" w:cs="Arial"/>
                <w:b/>
                <w:color w:val="000000"/>
                <w:sz w:val="16"/>
                <w:vertAlign w:val="superscript"/>
              </w:rPr>
            </w:pPr>
          </w:p>
        </w:tc>
        <w:tc>
          <w:tcPr>
            <w:tcW w:w="915" w:type="dxa"/>
            <w:tcBorders>
              <w:top w:val="single" w:sz="6" w:space="0" w:color="000000"/>
              <w:left w:val="nil"/>
              <w:bottom w:val="nil"/>
              <w:right w:val="nil"/>
              <w:tl2br w:val="nil"/>
              <w:tr2bl w:val="nil"/>
            </w:tcBorders>
            <w:shd w:val="clear" w:color="auto" w:fill="FFFF00"/>
            <w:tcMar>
              <w:left w:w="101" w:type="dxa"/>
              <w:right w:w="101" w:type="dxa"/>
            </w:tcMar>
            <w:vAlign w:val="bottom"/>
          </w:tcPr>
          <w:p w14:paraId="1ADC2D65" w14:textId="77777777" w:rsidR="003F0EEA" w:rsidRDefault="003F0EEA">
            <w:pPr>
              <w:rPr>
                <w:rFonts w:ascii="Arial" w:eastAsia="Arial" w:hAnsi="Arial" w:cs="Arial"/>
                <w:color w:val="000000"/>
                <w:sz w:val="16"/>
                <w:vertAlign w:val="superscript"/>
              </w:rPr>
            </w:pPr>
          </w:p>
        </w:tc>
        <w:tc>
          <w:tcPr>
            <w:tcW w:w="91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0BC6444D" w14:textId="77777777" w:rsidR="003F0EEA" w:rsidRDefault="003F0EEA">
            <w:pPr>
              <w:rPr>
                <w:rFonts w:ascii="Arial" w:eastAsia="Arial" w:hAnsi="Arial" w:cs="Arial"/>
                <w:color w:val="000000"/>
                <w:sz w:val="16"/>
                <w:vertAlign w:val="superscript"/>
              </w:rPr>
            </w:pPr>
          </w:p>
        </w:tc>
        <w:tc>
          <w:tcPr>
            <w:tcW w:w="91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5036F1D3" w14:textId="77777777" w:rsidR="003F0EEA" w:rsidRDefault="003F0EEA">
            <w:pPr>
              <w:rPr>
                <w:rFonts w:ascii="Arial" w:eastAsia="Arial" w:hAnsi="Arial" w:cs="Arial"/>
                <w:color w:val="000000"/>
                <w:sz w:val="16"/>
                <w:vertAlign w:val="superscript"/>
              </w:rPr>
            </w:pPr>
          </w:p>
        </w:tc>
        <w:tc>
          <w:tcPr>
            <w:tcW w:w="91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66E7F9CD" w14:textId="77777777" w:rsidR="003F0EEA" w:rsidRDefault="003F0EEA">
            <w:pPr>
              <w:rPr>
                <w:rFonts w:ascii="Arial" w:eastAsia="Arial" w:hAnsi="Arial" w:cs="Arial"/>
                <w:color w:val="000000"/>
                <w:sz w:val="16"/>
                <w:vertAlign w:val="superscript"/>
              </w:rPr>
            </w:pPr>
          </w:p>
        </w:tc>
      </w:tr>
      <w:tr w:rsidR="00FB7D0B" w14:paraId="0530C31E" w14:textId="77777777" w:rsidTr="00FB7D0B">
        <w:trPr>
          <w:trHeight w:val="225"/>
        </w:trPr>
        <w:tc>
          <w:tcPr>
            <w:tcW w:w="3060" w:type="dxa"/>
            <w:gridSpan w:val="3"/>
            <w:tcBorders>
              <w:top w:val="nil"/>
              <w:left w:val="nil"/>
              <w:bottom w:val="nil"/>
              <w:right w:val="nil"/>
              <w:tl2br w:val="nil"/>
              <w:tr2bl w:val="nil"/>
            </w:tcBorders>
            <w:shd w:val="clear" w:color="auto" w:fill="FFFFFF"/>
            <w:tcMar>
              <w:left w:w="101" w:type="dxa"/>
              <w:right w:w="101" w:type="dxa"/>
            </w:tcMar>
            <w:vAlign w:val="bottom"/>
          </w:tcPr>
          <w:p w14:paraId="4A285BDC" w14:textId="77777777" w:rsidR="003F0EEA" w:rsidRDefault="00FB7D0B">
            <w:pPr>
              <w:rPr>
                <w:rFonts w:ascii="Arial" w:eastAsia="Arial" w:hAnsi="Arial" w:cs="Arial"/>
                <w:color w:val="000000"/>
                <w:sz w:val="16"/>
                <w:vertAlign w:val="superscript"/>
              </w:rPr>
            </w:pPr>
            <w:r>
              <w:rPr>
                <w:rFonts w:ascii="Arial" w:eastAsia="Arial" w:hAnsi="Arial" w:cs="Arial"/>
                <w:b/>
                <w:color w:val="000000"/>
                <w:sz w:val="16"/>
              </w:rPr>
              <w:t>Provided for:</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0958E782" w14:textId="77777777" w:rsidR="003F0EEA" w:rsidRDefault="003F0EEA">
            <w:pPr>
              <w:rPr>
                <w:rFonts w:ascii="Arial" w:eastAsia="Arial" w:hAnsi="Arial" w:cs="Arial"/>
                <w:b/>
                <w:color w:val="000000"/>
                <w:sz w:val="16"/>
                <w:vertAlign w:val="superscript"/>
              </w:rPr>
            </w:pPr>
          </w:p>
        </w:tc>
        <w:tc>
          <w:tcPr>
            <w:tcW w:w="915" w:type="dxa"/>
            <w:tcBorders>
              <w:top w:val="nil"/>
              <w:left w:val="nil"/>
              <w:bottom w:val="nil"/>
              <w:right w:val="nil"/>
              <w:tl2br w:val="nil"/>
              <w:tr2bl w:val="nil"/>
            </w:tcBorders>
            <w:shd w:val="clear" w:color="auto" w:fill="FFFF00"/>
            <w:tcMar>
              <w:left w:w="101" w:type="dxa"/>
              <w:right w:w="101" w:type="dxa"/>
            </w:tcMar>
            <w:vAlign w:val="bottom"/>
          </w:tcPr>
          <w:p w14:paraId="32B61EE0" w14:textId="77777777" w:rsidR="003F0EEA" w:rsidRDefault="003F0EEA">
            <w:pPr>
              <w:rPr>
                <w:rFonts w:ascii="Arial" w:eastAsia="Arial" w:hAnsi="Arial" w:cs="Arial"/>
                <w:color w:val="000000"/>
                <w:sz w:val="16"/>
                <w:vertAlign w:val="superscript"/>
              </w:rPr>
            </w:pP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0FCB3724" w14:textId="77777777" w:rsidR="003F0EEA" w:rsidRDefault="003F0EEA">
            <w:pPr>
              <w:rPr>
                <w:rFonts w:ascii="Arial" w:eastAsia="Arial" w:hAnsi="Arial" w:cs="Arial"/>
                <w:color w:val="000000"/>
                <w:sz w:val="16"/>
                <w:vertAlign w:val="superscript"/>
              </w:rPr>
            </w:pP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020F29A9" w14:textId="77777777" w:rsidR="003F0EEA" w:rsidRDefault="003F0EEA">
            <w:pPr>
              <w:rPr>
                <w:rFonts w:ascii="Arial" w:eastAsia="Arial" w:hAnsi="Arial" w:cs="Arial"/>
                <w:color w:val="000000"/>
                <w:sz w:val="16"/>
                <w:vertAlign w:val="superscript"/>
              </w:rPr>
            </w:pP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1ABDFA1C" w14:textId="77777777" w:rsidR="003F0EEA" w:rsidRDefault="003F0EEA">
            <w:pPr>
              <w:rPr>
                <w:rFonts w:ascii="Arial" w:eastAsia="Arial" w:hAnsi="Arial" w:cs="Arial"/>
                <w:color w:val="000000"/>
                <w:sz w:val="16"/>
                <w:vertAlign w:val="superscript"/>
              </w:rPr>
            </w:pPr>
          </w:p>
        </w:tc>
      </w:tr>
      <w:tr w:rsidR="00FB7D0B" w14:paraId="52AA0A48" w14:textId="77777777" w:rsidTr="00FB7D0B">
        <w:trPr>
          <w:trHeight w:val="225"/>
        </w:trPr>
        <w:tc>
          <w:tcPr>
            <w:tcW w:w="180" w:type="dxa"/>
            <w:tcBorders>
              <w:top w:val="nil"/>
              <w:left w:val="nil"/>
              <w:bottom w:val="nil"/>
              <w:right w:val="nil"/>
              <w:tl2br w:val="nil"/>
              <w:tr2bl w:val="nil"/>
            </w:tcBorders>
            <w:shd w:val="clear" w:color="auto" w:fill="FFFFFF"/>
            <w:tcMar>
              <w:left w:w="101" w:type="dxa"/>
              <w:right w:w="101" w:type="dxa"/>
            </w:tcMar>
            <w:vAlign w:val="bottom"/>
          </w:tcPr>
          <w:p w14:paraId="3ABA1031" w14:textId="77777777" w:rsidR="003F0EEA" w:rsidRDefault="003F0EEA">
            <w:pPr>
              <w:rPr>
                <w:rFonts w:ascii="Arial" w:eastAsia="Arial" w:hAnsi="Arial" w:cs="Arial"/>
                <w:color w:val="000000"/>
                <w:sz w:val="16"/>
                <w:vertAlign w:val="superscript"/>
              </w:rPr>
            </w:pPr>
          </w:p>
        </w:tc>
        <w:tc>
          <w:tcPr>
            <w:tcW w:w="2880" w:type="dxa"/>
            <w:gridSpan w:val="2"/>
            <w:tcBorders>
              <w:top w:val="nil"/>
              <w:left w:val="nil"/>
              <w:bottom w:val="nil"/>
              <w:right w:val="nil"/>
              <w:tl2br w:val="nil"/>
              <w:tr2bl w:val="nil"/>
            </w:tcBorders>
            <w:shd w:val="clear" w:color="auto" w:fill="FFFFFF"/>
            <w:tcMar>
              <w:left w:w="101" w:type="dxa"/>
              <w:right w:w="101" w:type="dxa"/>
            </w:tcMar>
            <w:vAlign w:val="bottom"/>
          </w:tcPr>
          <w:p w14:paraId="0F0C0DC8" w14:textId="77777777" w:rsidR="003F0EEA" w:rsidRDefault="00FB7D0B">
            <w:pPr>
              <w:rPr>
                <w:rFonts w:ascii="Arial" w:eastAsia="Arial" w:hAnsi="Arial" w:cs="Arial"/>
                <w:color w:val="000000"/>
                <w:sz w:val="18"/>
                <w:vertAlign w:val="superscript"/>
              </w:rPr>
            </w:pPr>
            <w:r>
              <w:rPr>
                <w:rFonts w:ascii="Arial" w:eastAsia="Arial" w:hAnsi="Arial" w:cs="Arial"/>
                <w:color w:val="000000"/>
                <w:sz w:val="16"/>
              </w:rPr>
              <w:t>Purchase of non-financial assets</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5C796D4C" w14:textId="77777777" w:rsidR="003F0EEA" w:rsidRDefault="00FB7D0B">
            <w:pPr>
              <w:jc w:val="right"/>
              <w:rPr>
                <w:rFonts w:ascii="Arial" w:eastAsia="Arial" w:hAnsi="Arial" w:cs="Arial"/>
                <w:color w:val="000000"/>
                <w:sz w:val="16"/>
                <w:vertAlign w:val="superscript"/>
              </w:rPr>
            </w:pPr>
            <w:r>
              <w:rPr>
                <w:rFonts w:ascii="Arial" w:eastAsia="Arial" w:hAnsi="Arial" w:cs="Arial"/>
                <w:color w:val="000000"/>
                <w:sz w:val="16"/>
              </w:rPr>
              <w:t xml:space="preserve"> - </w:t>
            </w:r>
          </w:p>
        </w:tc>
        <w:tc>
          <w:tcPr>
            <w:tcW w:w="915" w:type="dxa"/>
            <w:tcBorders>
              <w:top w:val="nil"/>
              <w:left w:val="nil"/>
              <w:bottom w:val="nil"/>
              <w:right w:val="nil"/>
              <w:tl2br w:val="nil"/>
              <w:tr2bl w:val="nil"/>
            </w:tcBorders>
            <w:shd w:val="clear" w:color="auto" w:fill="FFFF00"/>
            <w:tcMar>
              <w:left w:w="101" w:type="dxa"/>
              <w:right w:w="101" w:type="dxa"/>
            </w:tcMar>
            <w:vAlign w:val="bottom"/>
          </w:tcPr>
          <w:p w14:paraId="3962ECED" w14:textId="77777777" w:rsidR="003F0EEA" w:rsidRDefault="00FB7D0B">
            <w:pPr>
              <w:jc w:val="right"/>
              <w:rPr>
                <w:rFonts w:ascii="Arial" w:eastAsia="Arial" w:hAnsi="Arial" w:cs="Arial"/>
                <w:color w:val="000000"/>
                <w:sz w:val="16"/>
              </w:rPr>
            </w:pPr>
            <w:r>
              <w:rPr>
                <w:rFonts w:ascii="Arial" w:eastAsia="Arial" w:hAnsi="Arial" w:cs="Arial"/>
                <w:color w:val="000000"/>
                <w:sz w:val="16"/>
              </w:rPr>
              <w:t xml:space="preserve"> 6,061 </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232824A7" w14:textId="77777777" w:rsidR="003F0EEA" w:rsidRDefault="00FB7D0B">
            <w:pPr>
              <w:jc w:val="right"/>
              <w:rPr>
                <w:rFonts w:ascii="Arial" w:eastAsia="Arial" w:hAnsi="Arial" w:cs="Arial"/>
                <w:color w:val="000000"/>
                <w:sz w:val="16"/>
              </w:rPr>
            </w:pPr>
            <w:r>
              <w:rPr>
                <w:rFonts w:ascii="Arial" w:eastAsia="Arial" w:hAnsi="Arial" w:cs="Arial"/>
                <w:color w:val="000000"/>
                <w:sz w:val="16"/>
              </w:rPr>
              <w:t xml:space="preserve"> - </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5612EB5D" w14:textId="77777777" w:rsidR="003F0EEA" w:rsidRDefault="00FB7D0B">
            <w:pPr>
              <w:jc w:val="right"/>
              <w:rPr>
                <w:rFonts w:ascii="Arial" w:eastAsia="Arial" w:hAnsi="Arial" w:cs="Arial"/>
                <w:color w:val="000000"/>
                <w:sz w:val="16"/>
              </w:rPr>
            </w:pPr>
            <w:r>
              <w:rPr>
                <w:rFonts w:ascii="Arial" w:eastAsia="Arial" w:hAnsi="Arial" w:cs="Arial"/>
                <w:color w:val="000000"/>
                <w:sz w:val="16"/>
              </w:rPr>
              <w:t xml:space="preserve"> - </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2EDC40AD" w14:textId="77777777" w:rsidR="003F0EEA" w:rsidRDefault="00FB7D0B">
            <w:pPr>
              <w:jc w:val="right"/>
              <w:rPr>
                <w:rFonts w:ascii="Arial" w:eastAsia="Arial" w:hAnsi="Arial" w:cs="Arial"/>
                <w:color w:val="000000"/>
                <w:sz w:val="16"/>
              </w:rPr>
            </w:pPr>
            <w:r>
              <w:rPr>
                <w:rFonts w:ascii="Arial" w:eastAsia="Arial" w:hAnsi="Arial" w:cs="Arial"/>
                <w:color w:val="000000"/>
                <w:sz w:val="16"/>
              </w:rPr>
              <w:t xml:space="preserve"> - </w:t>
            </w:r>
          </w:p>
        </w:tc>
      </w:tr>
      <w:tr w:rsidR="00FB7D0B" w14:paraId="34E935E5" w14:textId="77777777" w:rsidTr="00FB7D0B">
        <w:trPr>
          <w:trHeight w:val="225"/>
        </w:trPr>
        <w:tc>
          <w:tcPr>
            <w:tcW w:w="3060" w:type="dxa"/>
            <w:gridSpan w:val="3"/>
            <w:tcBorders>
              <w:top w:val="nil"/>
              <w:left w:val="nil"/>
              <w:bottom w:val="nil"/>
              <w:right w:val="nil"/>
              <w:tl2br w:val="nil"/>
              <w:tr2bl w:val="nil"/>
            </w:tcBorders>
            <w:shd w:val="clear" w:color="auto" w:fill="FFFFFF"/>
            <w:tcMar>
              <w:left w:w="101" w:type="dxa"/>
              <w:right w:w="101" w:type="dxa"/>
            </w:tcMar>
            <w:vAlign w:val="bottom"/>
          </w:tcPr>
          <w:p w14:paraId="60595966" w14:textId="77777777" w:rsidR="003F0EEA" w:rsidRDefault="00FB7D0B">
            <w:pPr>
              <w:rPr>
                <w:rFonts w:ascii="Arial" w:eastAsia="Arial" w:hAnsi="Arial" w:cs="Arial"/>
                <w:color w:val="000000"/>
                <w:sz w:val="16"/>
              </w:rPr>
            </w:pPr>
            <w:r>
              <w:rPr>
                <w:rFonts w:ascii="Arial" w:eastAsia="Arial" w:hAnsi="Arial" w:cs="Arial"/>
                <w:b/>
                <w:color w:val="000000"/>
                <w:sz w:val="16"/>
              </w:rPr>
              <w:t>Total items</w:t>
            </w:r>
          </w:p>
        </w:tc>
        <w:tc>
          <w:tcPr>
            <w:tcW w:w="915"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5EC797D0" w14:textId="77777777" w:rsidR="003F0EEA" w:rsidRDefault="00FB7D0B">
            <w:pPr>
              <w:jc w:val="right"/>
              <w:rPr>
                <w:rFonts w:ascii="Arial" w:eastAsia="Arial" w:hAnsi="Arial" w:cs="Arial"/>
                <w:b/>
                <w:color w:val="000000"/>
                <w:sz w:val="16"/>
                <w:vertAlign w:val="superscript"/>
              </w:rPr>
            </w:pPr>
            <w:r>
              <w:rPr>
                <w:rFonts w:ascii="Arial" w:eastAsia="Arial" w:hAnsi="Arial" w:cs="Arial"/>
                <w:b/>
                <w:color w:val="000000"/>
                <w:sz w:val="16"/>
              </w:rPr>
              <w:t xml:space="preserve"> - </w:t>
            </w:r>
          </w:p>
        </w:tc>
        <w:tc>
          <w:tcPr>
            <w:tcW w:w="915" w:type="dxa"/>
            <w:tcBorders>
              <w:top w:val="single" w:sz="6" w:space="0" w:color="000000"/>
              <w:left w:val="nil"/>
              <w:bottom w:val="single" w:sz="6" w:space="0" w:color="000000"/>
              <w:right w:val="nil"/>
              <w:tl2br w:val="nil"/>
              <w:tr2bl w:val="nil"/>
            </w:tcBorders>
            <w:shd w:val="clear" w:color="auto" w:fill="FFFF00"/>
            <w:tcMar>
              <w:left w:w="101" w:type="dxa"/>
              <w:right w:w="101" w:type="dxa"/>
            </w:tcMar>
            <w:vAlign w:val="bottom"/>
          </w:tcPr>
          <w:p w14:paraId="2A17E6C6" w14:textId="77777777" w:rsidR="003F0EEA" w:rsidRDefault="00FB7D0B">
            <w:pPr>
              <w:jc w:val="right"/>
              <w:rPr>
                <w:rFonts w:ascii="Arial" w:eastAsia="Arial" w:hAnsi="Arial" w:cs="Arial"/>
                <w:b/>
                <w:color w:val="000000"/>
                <w:sz w:val="16"/>
              </w:rPr>
            </w:pPr>
            <w:r>
              <w:rPr>
                <w:rFonts w:ascii="Arial" w:eastAsia="Arial" w:hAnsi="Arial" w:cs="Arial"/>
                <w:b/>
                <w:color w:val="000000"/>
                <w:sz w:val="16"/>
              </w:rPr>
              <w:t xml:space="preserve"> 6,061 </w:t>
            </w:r>
          </w:p>
        </w:tc>
        <w:tc>
          <w:tcPr>
            <w:tcW w:w="915"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71FCF618" w14:textId="77777777" w:rsidR="003F0EEA" w:rsidRDefault="00FB7D0B">
            <w:pPr>
              <w:jc w:val="right"/>
              <w:rPr>
                <w:rFonts w:ascii="Arial" w:eastAsia="Arial" w:hAnsi="Arial" w:cs="Arial"/>
                <w:b/>
                <w:color w:val="000000"/>
                <w:sz w:val="16"/>
              </w:rPr>
            </w:pPr>
            <w:r>
              <w:rPr>
                <w:rFonts w:ascii="Arial" w:eastAsia="Arial" w:hAnsi="Arial" w:cs="Arial"/>
                <w:b/>
                <w:color w:val="000000"/>
                <w:sz w:val="16"/>
              </w:rPr>
              <w:t xml:space="preserve"> - </w:t>
            </w:r>
          </w:p>
        </w:tc>
        <w:tc>
          <w:tcPr>
            <w:tcW w:w="915"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1079F174" w14:textId="77777777" w:rsidR="003F0EEA" w:rsidRDefault="00FB7D0B">
            <w:pPr>
              <w:jc w:val="right"/>
              <w:rPr>
                <w:rFonts w:ascii="Arial" w:eastAsia="Arial" w:hAnsi="Arial" w:cs="Arial"/>
                <w:b/>
                <w:color w:val="000000"/>
                <w:sz w:val="16"/>
              </w:rPr>
            </w:pPr>
            <w:r>
              <w:rPr>
                <w:rFonts w:ascii="Arial" w:eastAsia="Arial" w:hAnsi="Arial" w:cs="Arial"/>
                <w:b/>
                <w:color w:val="000000"/>
                <w:sz w:val="16"/>
              </w:rPr>
              <w:t xml:space="preserve"> - </w:t>
            </w:r>
          </w:p>
        </w:tc>
        <w:tc>
          <w:tcPr>
            <w:tcW w:w="915"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3130B700" w14:textId="77777777" w:rsidR="003F0EEA" w:rsidRDefault="00FB7D0B">
            <w:pPr>
              <w:jc w:val="right"/>
              <w:rPr>
                <w:rFonts w:ascii="Arial" w:eastAsia="Arial" w:hAnsi="Arial" w:cs="Arial"/>
                <w:b/>
                <w:color w:val="000000"/>
                <w:sz w:val="16"/>
              </w:rPr>
            </w:pPr>
            <w:r>
              <w:rPr>
                <w:rFonts w:ascii="Arial" w:eastAsia="Arial" w:hAnsi="Arial" w:cs="Arial"/>
                <w:b/>
                <w:color w:val="000000"/>
                <w:sz w:val="16"/>
              </w:rPr>
              <w:t xml:space="preserve"> - </w:t>
            </w:r>
          </w:p>
        </w:tc>
      </w:tr>
      <w:tr w:rsidR="00724034" w14:paraId="5A508976" w14:textId="77777777">
        <w:trPr>
          <w:trHeight w:val="225"/>
        </w:trPr>
        <w:tc>
          <w:tcPr>
            <w:tcW w:w="180" w:type="dxa"/>
            <w:tcBorders>
              <w:top w:val="nil"/>
              <w:left w:val="nil"/>
              <w:bottom w:val="nil"/>
              <w:right w:val="nil"/>
              <w:tl2br w:val="nil"/>
              <w:tr2bl w:val="nil"/>
            </w:tcBorders>
            <w:shd w:val="clear" w:color="auto" w:fill="FFFFFF"/>
            <w:tcMar>
              <w:left w:w="101" w:type="dxa"/>
              <w:right w:w="101" w:type="dxa"/>
            </w:tcMar>
            <w:vAlign w:val="bottom"/>
          </w:tcPr>
          <w:p w14:paraId="71C56330" w14:textId="77777777" w:rsidR="003F0EEA" w:rsidRDefault="003F0EEA">
            <w:pPr>
              <w:rPr>
                <w:rFonts w:ascii="Arial" w:eastAsia="Arial" w:hAnsi="Arial" w:cs="Arial"/>
                <w:b/>
                <w:color w:val="000000"/>
                <w:sz w:val="16"/>
              </w:rPr>
            </w:pPr>
          </w:p>
        </w:tc>
        <w:tc>
          <w:tcPr>
            <w:tcW w:w="180" w:type="dxa"/>
            <w:tcBorders>
              <w:top w:val="nil"/>
              <w:left w:val="nil"/>
              <w:bottom w:val="nil"/>
              <w:right w:val="nil"/>
              <w:tl2br w:val="nil"/>
              <w:tr2bl w:val="nil"/>
            </w:tcBorders>
            <w:shd w:val="clear" w:color="auto" w:fill="FFFFFF"/>
            <w:tcMar>
              <w:left w:w="101" w:type="dxa"/>
              <w:right w:w="101" w:type="dxa"/>
            </w:tcMar>
            <w:vAlign w:val="bottom"/>
          </w:tcPr>
          <w:p w14:paraId="3C7B0FD7" w14:textId="77777777" w:rsidR="003F0EEA" w:rsidRDefault="003F0EEA">
            <w:pPr>
              <w:rPr>
                <w:rFonts w:ascii="Arial" w:eastAsia="Arial" w:hAnsi="Arial" w:cs="Arial"/>
                <w:color w:val="000000"/>
                <w:sz w:val="18"/>
              </w:rPr>
            </w:pPr>
          </w:p>
        </w:tc>
        <w:tc>
          <w:tcPr>
            <w:tcW w:w="2700" w:type="dxa"/>
            <w:tcBorders>
              <w:top w:val="nil"/>
              <w:left w:val="nil"/>
              <w:bottom w:val="nil"/>
              <w:right w:val="nil"/>
              <w:tl2br w:val="nil"/>
              <w:tr2bl w:val="nil"/>
            </w:tcBorders>
            <w:shd w:val="clear" w:color="auto" w:fill="FFFFFF"/>
            <w:tcMar>
              <w:left w:w="101" w:type="dxa"/>
              <w:right w:w="101" w:type="dxa"/>
            </w:tcMar>
            <w:vAlign w:val="bottom"/>
          </w:tcPr>
          <w:p w14:paraId="581B780E" w14:textId="77777777" w:rsidR="003F0EEA" w:rsidRDefault="003F0EEA">
            <w:pPr>
              <w:rPr>
                <w:rFonts w:ascii="Arial" w:eastAsia="Arial" w:hAnsi="Arial" w:cs="Arial"/>
                <w:color w:val="000000"/>
                <w:sz w:val="18"/>
              </w:rPr>
            </w:pPr>
          </w:p>
        </w:tc>
        <w:tc>
          <w:tcPr>
            <w:tcW w:w="91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30D99FD5" w14:textId="77777777" w:rsidR="003F0EEA" w:rsidRDefault="003F0EEA">
            <w:pPr>
              <w:rPr>
                <w:rFonts w:ascii="Arial" w:eastAsia="Arial" w:hAnsi="Arial" w:cs="Arial"/>
                <w:color w:val="000000"/>
                <w:sz w:val="16"/>
                <w:vertAlign w:val="superscript"/>
              </w:rPr>
            </w:pPr>
          </w:p>
        </w:tc>
        <w:tc>
          <w:tcPr>
            <w:tcW w:w="915" w:type="dxa"/>
            <w:tcBorders>
              <w:top w:val="single" w:sz="6" w:space="0" w:color="000000"/>
              <w:left w:val="nil"/>
              <w:bottom w:val="nil"/>
              <w:right w:val="nil"/>
              <w:tl2br w:val="nil"/>
              <w:tr2bl w:val="nil"/>
            </w:tcBorders>
            <w:shd w:val="clear" w:color="auto" w:fill="FFFF00"/>
            <w:tcMar>
              <w:left w:w="101" w:type="dxa"/>
              <w:right w:w="101" w:type="dxa"/>
            </w:tcMar>
            <w:vAlign w:val="bottom"/>
          </w:tcPr>
          <w:p w14:paraId="27D573B0" w14:textId="77777777" w:rsidR="003F0EEA" w:rsidRDefault="003F0EEA">
            <w:pPr>
              <w:rPr>
                <w:rFonts w:ascii="Arial" w:eastAsia="Arial" w:hAnsi="Arial" w:cs="Arial"/>
                <w:color w:val="000000"/>
                <w:sz w:val="16"/>
                <w:vertAlign w:val="superscript"/>
              </w:rPr>
            </w:pPr>
          </w:p>
        </w:tc>
        <w:tc>
          <w:tcPr>
            <w:tcW w:w="91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42C40173" w14:textId="77777777" w:rsidR="003F0EEA" w:rsidRDefault="003F0EEA">
            <w:pPr>
              <w:rPr>
                <w:rFonts w:ascii="Arial" w:eastAsia="Arial" w:hAnsi="Arial" w:cs="Arial"/>
                <w:color w:val="000000"/>
                <w:sz w:val="16"/>
                <w:vertAlign w:val="superscript"/>
              </w:rPr>
            </w:pPr>
          </w:p>
        </w:tc>
        <w:tc>
          <w:tcPr>
            <w:tcW w:w="91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747882CC" w14:textId="77777777" w:rsidR="003F0EEA" w:rsidRDefault="003F0EEA">
            <w:pPr>
              <w:rPr>
                <w:rFonts w:ascii="Arial" w:eastAsia="Arial" w:hAnsi="Arial" w:cs="Arial"/>
                <w:color w:val="000000"/>
                <w:sz w:val="16"/>
                <w:vertAlign w:val="superscript"/>
              </w:rPr>
            </w:pPr>
          </w:p>
        </w:tc>
        <w:tc>
          <w:tcPr>
            <w:tcW w:w="91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4E3ECD23" w14:textId="77777777" w:rsidR="003F0EEA" w:rsidRDefault="003F0EEA">
            <w:pPr>
              <w:rPr>
                <w:rFonts w:ascii="Arial" w:eastAsia="Arial" w:hAnsi="Arial" w:cs="Arial"/>
                <w:color w:val="000000"/>
                <w:sz w:val="16"/>
                <w:vertAlign w:val="superscript"/>
              </w:rPr>
            </w:pPr>
          </w:p>
        </w:tc>
      </w:tr>
      <w:tr w:rsidR="00FB7D0B" w14:paraId="4DF98E6E" w14:textId="77777777" w:rsidTr="00FB7D0B">
        <w:trPr>
          <w:trHeight w:val="225"/>
        </w:trPr>
        <w:tc>
          <w:tcPr>
            <w:tcW w:w="3975" w:type="dxa"/>
            <w:gridSpan w:val="4"/>
            <w:tcBorders>
              <w:top w:val="nil"/>
              <w:left w:val="nil"/>
              <w:bottom w:val="nil"/>
              <w:right w:val="nil"/>
              <w:tl2br w:val="nil"/>
              <w:tr2bl w:val="nil"/>
            </w:tcBorders>
            <w:shd w:val="clear" w:color="auto" w:fill="FFFFFF"/>
            <w:tcMar>
              <w:left w:w="101" w:type="dxa"/>
              <w:right w:w="101" w:type="dxa"/>
            </w:tcMar>
            <w:vAlign w:val="bottom"/>
          </w:tcPr>
          <w:p w14:paraId="5EB65439" w14:textId="77777777" w:rsidR="003F0EEA" w:rsidRDefault="00FB7D0B">
            <w:pPr>
              <w:rPr>
                <w:rFonts w:ascii="Arial" w:eastAsia="Arial" w:hAnsi="Arial" w:cs="Arial"/>
                <w:color w:val="000000"/>
                <w:sz w:val="16"/>
                <w:vertAlign w:val="superscript"/>
              </w:rPr>
            </w:pPr>
            <w:r>
              <w:rPr>
                <w:rFonts w:ascii="Arial" w:eastAsia="Arial" w:hAnsi="Arial" w:cs="Arial"/>
                <w:b/>
                <w:color w:val="000000"/>
                <w:sz w:val="16"/>
              </w:rPr>
              <w:t>PURCHASE OF NON-FINANCIAL ASSETS</w:t>
            </w:r>
          </w:p>
        </w:tc>
        <w:tc>
          <w:tcPr>
            <w:tcW w:w="915" w:type="dxa"/>
            <w:tcBorders>
              <w:top w:val="nil"/>
              <w:left w:val="nil"/>
              <w:bottom w:val="nil"/>
              <w:right w:val="nil"/>
              <w:tl2br w:val="nil"/>
              <w:tr2bl w:val="nil"/>
            </w:tcBorders>
            <w:shd w:val="clear" w:color="auto" w:fill="FFFF00"/>
            <w:tcMar>
              <w:left w:w="101" w:type="dxa"/>
              <w:right w:w="101" w:type="dxa"/>
            </w:tcMar>
            <w:vAlign w:val="bottom"/>
          </w:tcPr>
          <w:p w14:paraId="13C9FF2D" w14:textId="77777777" w:rsidR="003F0EEA" w:rsidRDefault="003F0EEA">
            <w:pPr>
              <w:rPr>
                <w:rFonts w:ascii="Arial" w:eastAsia="Arial" w:hAnsi="Arial" w:cs="Arial"/>
                <w:b/>
                <w:color w:val="000000"/>
                <w:sz w:val="16"/>
              </w:rPr>
            </w:pP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474F2D7A" w14:textId="77777777" w:rsidR="003F0EEA" w:rsidRDefault="003F0EEA">
            <w:pPr>
              <w:rPr>
                <w:rFonts w:ascii="Arial" w:eastAsia="Arial" w:hAnsi="Arial" w:cs="Arial"/>
                <w:color w:val="000000"/>
                <w:sz w:val="16"/>
              </w:rPr>
            </w:pP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439069C7" w14:textId="77777777" w:rsidR="003F0EEA" w:rsidRDefault="003F0EEA">
            <w:pPr>
              <w:rPr>
                <w:rFonts w:ascii="Arial" w:eastAsia="Arial" w:hAnsi="Arial" w:cs="Arial"/>
                <w:color w:val="000000"/>
                <w:sz w:val="16"/>
              </w:rPr>
            </w:pP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1636C393" w14:textId="77777777" w:rsidR="003F0EEA" w:rsidRDefault="003F0EEA">
            <w:pPr>
              <w:rPr>
                <w:rFonts w:ascii="Arial" w:eastAsia="Arial" w:hAnsi="Arial" w:cs="Arial"/>
                <w:color w:val="000000"/>
                <w:sz w:val="16"/>
              </w:rPr>
            </w:pPr>
          </w:p>
        </w:tc>
      </w:tr>
      <w:tr w:rsidR="00FB7D0B" w14:paraId="69035322" w14:textId="77777777" w:rsidTr="00FB7D0B">
        <w:trPr>
          <w:trHeight w:val="225"/>
        </w:trPr>
        <w:tc>
          <w:tcPr>
            <w:tcW w:w="180" w:type="dxa"/>
            <w:tcBorders>
              <w:top w:val="nil"/>
              <w:left w:val="nil"/>
              <w:bottom w:val="nil"/>
              <w:right w:val="nil"/>
              <w:tl2br w:val="nil"/>
              <w:tr2bl w:val="nil"/>
            </w:tcBorders>
            <w:shd w:val="clear" w:color="auto" w:fill="FFFFFF"/>
            <w:tcMar>
              <w:left w:w="101" w:type="dxa"/>
              <w:right w:w="101" w:type="dxa"/>
            </w:tcMar>
            <w:vAlign w:val="bottom"/>
          </w:tcPr>
          <w:p w14:paraId="79D9FC5B" w14:textId="77777777" w:rsidR="003F0EEA" w:rsidRDefault="003F0EEA">
            <w:pPr>
              <w:rPr>
                <w:rFonts w:ascii="Arial" w:eastAsia="Arial" w:hAnsi="Arial" w:cs="Arial"/>
                <w:color w:val="000000"/>
                <w:sz w:val="16"/>
              </w:rPr>
            </w:pPr>
          </w:p>
        </w:tc>
        <w:tc>
          <w:tcPr>
            <w:tcW w:w="2880" w:type="dxa"/>
            <w:gridSpan w:val="2"/>
            <w:tcBorders>
              <w:top w:val="nil"/>
              <w:left w:val="nil"/>
              <w:bottom w:val="nil"/>
              <w:right w:val="nil"/>
              <w:tl2br w:val="nil"/>
              <w:tr2bl w:val="nil"/>
            </w:tcBorders>
            <w:shd w:val="clear" w:color="auto" w:fill="FFFFFF"/>
            <w:tcMar>
              <w:left w:w="101" w:type="dxa"/>
              <w:right w:w="101" w:type="dxa"/>
            </w:tcMar>
            <w:vAlign w:val="bottom"/>
          </w:tcPr>
          <w:p w14:paraId="3AB32C90" w14:textId="77777777" w:rsidR="003F0EEA" w:rsidRDefault="00FB7D0B">
            <w:pPr>
              <w:rPr>
                <w:rFonts w:ascii="Arial" w:eastAsia="Arial" w:hAnsi="Arial" w:cs="Arial"/>
                <w:color w:val="000000"/>
                <w:sz w:val="18"/>
              </w:rPr>
            </w:pPr>
            <w:r>
              <w:rPr>
                <w:rFonts w:ascii="Arial" w:eastAsia="Arial" w:hAnsi="Arial" w:cs="Arial"/>
                <w:color w:val="000000"/>
                <w:sz w:val="16"/>
              </w:rPr>
              <w:t>Funded by capital appropriations</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06C173BF" w14:textId="77777777" w:rsidR="003F0EEA" w:rsidRDefault="00FB7D0B">
            <w:pPr>
              <w:jc w:val="right"/>
              <w:rPr>
                <w:rFonts w:ascii="Arial" w:eastAsia="Arial" w:hAnsi="Arial" w:cs="Arial"/>
                <w:color w:val="000000"/>
                <w:sz w:val="16"/>
                <w:vertAlign w:val="superscript"/>
              </w:rPr>
            </w:pPr>
            <w:r>
              <w:rPr>
                <w:rFonts w:ascii="Arial" w:eastAsia="Arial" w:hAnsi="Arial" w:cs="Arial"/>
                <w:color w:val="000000"/>
                <w:sz w:val="16"/>
              </w:rPr>
              <w:t xml:space="preserve"> - </w:t>
            </w:r>
          </w:p>
        </w:tc>
        <w:tc>
          <w:tcPr>
            <w:tcW w:w="915" w:type="dxa"/>
            <w:tcBorders>
              <w:top w:val="nil"/>
              <w:left w:val="nil"/>
              <w:bottom w:val="nil"/>
              <w:right w:val="nil"/>
              <w:tl2br w:val="nil"/>
              <w:tr2bl w:val="nil"/>
            </w:tcBorders>
            <w:shd w:val="clear" w:color="auto" w:fill="FFFF00"/>
            <w:tcMar>
              <w:left w:w="101" w:type="dxa"/>
              <w:right w:w="101" w:type="dxa"/>
            </w:tcMar>
            <w:vAlign w:val="bottom"/>
          </w:tcPr>
          <w:p w14:paraId="46821B49" w14:textId="77777777" w:rsidR="003F0EEA" w:rsidRDefault="00FB7D0B">
            <w:pPr>
              <w:jc w:val="right"/>
              <w:rPr>
                <w:rFonts w:ascii="Arial" w:eastAsia="Arial" w:hAnsi="Arial" w:cs="Arial"/>
                <w:color w:val="000000"/>
                <w:sz w:val="16"/>
              </w:rPr>
            </w:pPr>
            <w:r>
              <w:rPr>
                <w:rFonts w:ascii="Arial" w:eastAsia="Arial" w:hAnsi="Arial" w:cs="Arial"/>
                <w:color w:val="000000"/>
                <w:sz w:val="16"/>
              </w:rPr>
              <w:t xml:space="preserve"> 6,061 </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085DA281" w14:textId="77777777" w:rsidR="003F0EEA" w:rsidRDefault="00FB7D0B">
            <w:pPr>
              <w:jc w:val="right"/>
              <w:rPr>
                <w:rFonts w:ascii="Arial" w:eastAsia="Arial" w:hAnsi="Arial" w:cs="Arial"/>
                <w:color w:val="000000"/>
                <w:sz w:val="16"/>
              </w:rPr>
            </w:pPr>
            <w:r>
              <w:rPr>
                <w:rFonts w:ascii="Arial" w:eastAsia="Arial" w:hAnsi="Arial" w:cs="Arial"/>
                <w:color w:val="000000"/>
                <w:sz w:val="16"/>
              </w:rPr>
              <w:t xml:space="preserve"> - </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0B2FE052" w14:textId="77777777" w:rsidR="003F0EEA" w:rsidRDefault="00FB7D0B">
            <w:pPr>
              <w:jc w:val="right"/>
              <w:rPr>
                <w:rFonts w:ascii="Arial" w:eastAsia="Arial" w:hAnsi="Arial" w:cs="Arial"/>
                <w:color w:val="000000"/>
                <w:sz w:val="16"/>
              </w:rPr>
            </w:pPr>
            <w:r>
              <w:rPr>
                <w:rFonts w:ascii="Arial" w:eastAsia="Arial" w:hAnsi="Arial" w:cs="Arial"/>
                <w:color w:val="000000"/>
                <w:sz w:val="16"/>
              </w:rPr>
              <w:t xml:space="preserve"> - </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46BD58C5" w14:textId="77777777" w:rsidR="003F0EEA" w:rsidRDefault="00FB7D0B">
            <w:pPr>
              <w:jc w:val="right"/>
              <w:rPr>
                <w:rFonts w:ascii="Arial" w:eastAsia="Arial" w:hAnsi="Arial" w:cs="Arial"/>
                <w:color w:val="000000"/>
                <w:sz w:val="16"/>
              </w:rPr>
            </w:pPr>
            <w:r>
              <w:rPr>
                <w:rFonts w:ascii="Arial" w:eastAsia="Arial" w:hAnsi="Arial" w:cs="Arial"/>
                <w:color w:val="000000"/>
                <w:sz w:val="16"/>
              </w:rPr>
              <w:t xml:space="preserve"> - </w:t>
            </w:r>
          </w:p>
        </w:tc>
      </w:tr>
      <w:tr w:rsidR="00FB7D0B" w14:paraId="27FE4086" w14:textId="77777777" w:rsidTr="00FB7D0B">
        <w:trPr>
          <w:trHeight w:val="225"/>
        </w:trPr>
        <w:tc>
          <w:tcPr>
            <w:tcW w:w="3060" w:type="dxa"/>
            <w:gridSpan w:val="3"/>
            <w:tcBorders>
              <w:top w:val="nil"/>
              <w:left w:val="nil"/>
              <w:bottom w:val="nil"/>
              <w:right w:val="nil"/>
              <w:tl2br w:val="nil"/>
              <w:tr2bl w:val="nil"/>
            </w:tcBorders>
            <w:shd w:val="clear" w:color="auto" w:fill="FFFFFF"/>
            <w:tcMar>
              <w:left w:w="101" w:type="dxa"/>
              <w:right w:w="101" w:type="dxa"/>
            </w:tcMar>
            <w:vAlign w:val="bottom"/>
          </w:tcPr>
          <w:p w14:paraId="3F9929D3" w14:textId="77777777" w:rsidR="003F0EEA" w:rsidRDefault="00FB7D0B">
            <w:pPr>
              <w:rPr>
                <w:rFonts w:ascii="Arial" w:eastAsia="Arial" w:hAnsi="Arial" w:cs="Arial"/>
                <w:color w:val="000000"/>
                <w:sz w:val="16"/>
              </w:rPr>
            </w:pPr>
            <w:r>
              <w:rPr>
                <w:rFonts w:ascii="Arial" w:eastAsia="Arial" w:hAnsi="Arial" w:cs="Arial"/>
                <w:b/>
                <w:color w:val="000000"/>
                <w:sz w:val="16"/>
              </w:rPr>
              <w:t>TOTAL</w:t>
            </w:r>
          </w:p>
        </w:tc>
        <w:tc>
          <w:tcPr>
            <w:tcW w:w="915"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71E661C2" w14:textId="77777777" w:rsidR="003F0EEA" w:rsidRDefault="00FB7D0B">
            <w:pPr>
              <w:jc w:val="right"/>
              <w:rPr>
                <w:rFonts w:ascii="Arial" w:eastAsia="Arial" w:hAnsi="Arial" w:cs="Arial"/>
                <w:b/>
                <w:color w:val="000000"/>
                <w:sz w:val="16"/>
                <w:vertAlign w:val="superscript"/>
              </w:rPr>
            </w:pPr>
            <w:r>
              <w:rPr>
                <w:rFonts w:ascii="Arial" w:eastAsia="Arial" w:hAnsi="Arial" w:cs="Arial"/>
                <w:b/>
                <w:color w:val="000000"/>
                <w:sz w:val="16"/>
              </w:rPr>
              <w:t xml:space="preserve"> - </w:t>
            </w:r>
          </w:p>
        </w:tc>
        <w:tc>
          <w:tcPr>
            <w:tcW w:w="915" w:type="dxa"/>
            <w:tcBorders>
              <w:top w:val="single" w:sz="6" w:space="0" w:color="000000"/>
              <w:left w:val="nil"/>
              <w:bottom w:val="single" w:sz="6" w:space="0" w:color="000000"/>
              <w:right w:val="nil"/>
              <w:tl2br w:val="nil"/>
              <w:tr2bl w:val="nil"/>
            </w:tcBorders>
            <w:shd w:val="clear" w:color="auto" w:fill="FFFF00"/>
            <w:tcMar>
              <w:left w:w="101" w:type="dxa"/>
              <w:right w:w="101" w:type="dxa"/>
            </w:tcMar>
            <w:vAlign w:val="bottom"/>
          </w:tcPr>
          <w:p w14:paraId="2E415513" w14:textId="77777777" w:rsidR="003F0EEA" w:rsidRDefault="00FB7D0B">
            <w:pPr>
              <w:jc w:val="right"/>
              <w:rPr>
                <w:rFonts w:ascii="Arial" w:eastAsia="Arial" w:hAnsi="Arial" w:cs="Arial"/>
                <w:b/>
                <w:color w:val="000000"/>
                <w:sz w:val="16"/>
              </w:rPr>
            </w:pPr>
            <w:r>
              <w:rPr>
                <w:rFonts w:ascii="Arial" w:eastAsia="Arial" w:hAnsi="Arial" w:cs="Arial"/>
                <w:b/>
                <w:color w:val="000000"/>
                <w:sz w:val="16"/>
              </w:rPr>
              <w:t xml:space="preserve"> 6,061 </w:t>
            </w:r>
          </w:p>
        </w:tc>
        <w:tc>
          <w:tcPr>
            <w:tcW w:w="915"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1B698EA6" w14:textId="77777777" w:rsidR="003F0EEA" w:rsidRDefault="00FB7D0B">
            <w:pPr>
              <w:jc w:val="right"/>
              <w:rPr>
                <w:rFonts w:ascii="Arial" w:eastAsia="Arial" w:hAnsi="Arial" w:cs="Arial"/>
                <w:b/>
                <w:color w:val="000000"/>
                <w:sz w:val="16"/>
              </w:rPr>
            </w:pPr>
            <w:r>
              <w:rPr>
                <w:rFonts w:ascii="Arial" w:eastAsia="Arial" w:hAnsi="Arial" w:cs="Arial"/>
                <w:b/>
                <w:color w:val="000000"/>
                <w:sz w:val="16"/>
              </w:rPr>
              <w:t xml:space="preserve"> - </w:t>
            </w:r>
          </w:p>
        </w:tc>
        <w:tc>
          <w:tcPr>
            <w:tcW w:w="915"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3B923A7D" w14:textId="77777777" w:rsidR="003F0EEA" w:rsidRDefault="00FB7D0B">
            <w:pPr>
              <w:jc w:val="right"/>
              <w:rPr>
                <w:rFonts w:ascii="Arial" w:eastAsia="Arial" w:hAnsi="Arial" w:cs="Arial"/>
                <w:b/>
                <w:color w:val="000000"/>
                <w:sz w:val="16"/>
              </w:rPr>
            </w:pPr>
            <w:r>
              <w:rPr>
                <w:rFonts w:ascii="Arial" w:eastAsia="Arial" w:hAnsi="Arial" w:cs="Arial"/>
                <w:b/>
                <w:color w:val="000000"/>
                <w:sz w:val="16"/>
              </w:rPr>
              <w:t xml:space="preserve"> - </w:t>
            </w:r>
          </w:p>
        </w:tc>
        <w:tc>
          <w:tcPr>
            <w:tcW w:w="915" w:type="dxa"/>
            <w:tcBorders>
              <w:top w:val="single" w:sz="6" w:space="0" w:color="000000"/>
              <w:left w:val="nil"/>
              <w:bottom w:val="single" w:sz="6" w:space="0" w:color="000000"/>
              <w:right w:val="nil"/>
              <w:tl2br w:val="nil"/>
              <w:tr2bl w:val="nil"/>
            </w:tcBorders>
            <w:shd w:val="clear" w:color="auto" w:fill="FFFFFF"/>
            <w:tcMar>
              <w:left w:w="101" w:type="dxa"/>
              <w:right w:w="101" w:type="dxa"/>
            </w:tcMar>
            <w:vAlign w:val="bottom"/>
          </w:tcPr>
          <w:p w14:paraId="73DAB27C" w14:textId="77777777" w:rsidR="003F0EEA" w:rsidRDefault="00FB7D0B">
            <w:pPr>
              <w:jc w:val="right"/>
              <w:rPr>
                <w:rFonts w:ascii="Arial" w:eastAsia="Arial" w:hAnsi="Arial" w:cs="Arial"/>
                <w:b/>
                <w:color w:val="000000"/>
                <w:sz w:val="16"/>
              </w:rPr>
            </w:pPr>
            <w:r>
              <w:rPr>
                <w:rFonts w:ascii="Arial" w:eastAsia="Arial" w:hAnsi="Arial" w:cs="Arial"/>
                <w:b/>
                <w:color w:val="000000"/>
                <w:sz w:val="16"/>
              </w:rPr>
              <w:t xml:space="preserve"> - </w:t>
            </w:r>
          </w:p>
        </w:tc>
      </w:tr>
      <w:tr w:rsidR="00724034" w14:paraId="7429CB01" w14:textId="77777777">
        <w:trPr>
          <w:trHeight w:val="225"/>
        </w:trPr>
        <w:tc>
          <w:tcPr>
            <w:tcW w:w="180" w:type="dxa"/>
            <w:tcBorders>
              <w:top w:val="nil"/>
              <w:left w:val="nil"/>
              <w:bottom w:val="nil"/>
              <w:right w:val="nil"/>
              <w:tl2br w:val="nil"/>
              <w:tr2bl w:val="nil"/>
            </w:tcBorders>
            <w:shd w:val="clear" w:color="auto" w:fill="FFFFFF"/>
            <w:tcMar>
              <w:left w:w="101" w:type="dxa"/>
              <w:right w:w="101" w:type="dxa"/>
            </w:tcMar>
            <w:vAlign w:val="bottom"/>
          </w:tcPr>
          <w:p w14:paraId="5FFE29B9" w14:textId="77777777" w:rsidR="003F0EEA" w:rsidRDefault="003F0EEA">
            <w:pPr>
              <w:rPr>
                <w:rFonts w:ascii="Arial" w:eastAsia="Arial" w:hAnsi="Arial" w:cs="Arial"/>
                <w:b/>
                <w:color w:val="000000"/>
                <w:sz w:val="16"/>
              </w:rPr>
            </w:pPr>
          </w:p>
        </w:tc>
        <w:tc>
          <w:tcPr>
            <w:tcW w:w="180" w:type="dxa"/>
            <w:tcBorders>
              <w:top w:val="nil"/>
              <w:left w:val="nil"/>
              <w:bottom w:val="nil"/>
              <w:right w:val="nil"/>
              <w:tl2br w:val="nil"/>
              <w:tr2bl w:val="nil"/>
            </w:tcBorders>
            <w:shd w:val="clear" w:color="auto" w:fill="FFFFFF"/>
            <w:tcMar>
              <w:left w:w="101" w:type="dxa"/>
              <w:right w:w="101" w:type="dxa"/>
            </w:tcMar>
            <w:vAlign w:val="bottom"/>
          </w:tcPr>
          <w:p w14:paraId="34937E44" w14:textId="77777777" w:rsidR="003F0EEA" w:rsidRDefault="003F0EEA">
            <w:pPr>
              <w:rPr>
                <w:rFonts w:ascii="Arial" w:eastAsia="Arial" w:hAnsi="Arial" w:cs="Arial"/>
                <w:color w:val="000000"/>
                <w:sz w:val="18"/>
              </w:rPr>
            </w:pPr>
          </w:p>
        </w:tc>
        <w:tc>
          <w:tcPr>
            <w:tcW w:w="2700" w:type="dxa"/>
            <w:tcBorders>
              <w:top w:val="nil"/>
              <w:left w:val="nil"/>
              <w:bottom w:val="nil"/>
              <w:right w:val="nil"/>
              <w:tl2br w:val="nil"/>
              <w:tr2bl w:val="nil"/>
            </w:tcBorders>
            <w:shd w:val="clear" w:color="auto" w:fill="FFFFFF"/>
            <w:tcMar>
              <w:left w:w="101" w:type="dxa"/>
              <w:right w:w="101" w:type="dxa"/>
            </w:tcMar>
            <w:vAlign w:val="bottom"/>
          </w:tcPr>
          <w:p w14:paraId="195FCB4D" w14:textId="77777777" w:rsidR="003F0EEA" w:rsidRDefault="003F0EEA">
            <w:pPr>
              <w:rPr>
                <w:rFonts w:ascii="Arial" w:eastAsia="Arial" w:hAnsi="Arial" w:cs="Arial"/>
                <w:color w:val="000000"/>
                <w:sz w:val="18"/>
              </w:rPr>
            </w:pPr>
          </w:p>
        </w:tc>
        <w:tc>
          <w:tcPr>
            <w:tcW w:w="91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0B06FF39" w14:textId="77777777" w:rsidR="003F0EEA" w:rsidRDefault="003F0EEA">
            <w:pPr>
              <w:rPr>
                <w:rFonts w:ascii="Arial" w:eastAsia="Arial" w:hAnsi="Arial" w:cs="Arial"/>
                <w:color w:val="000000"/>
                <w:sz w:val="16"/>
                <w:vertAlign w:val="superscript"/>
              </w:rPr>
            </w:pPr>
          </w:p>
        </w:tc>
        <w:tc>
          <w:tcPr>
            <w:tcW w:w="915" w:type="dxa"/>
            <w:tcBorders>
              <w:top w:val="single" w:sz="6" w:space="0" w:color="000000"/>
              <w:left w:val="nil"/>
              <w:bottom w:val="nil"/>
              <w:right w:val="nil"/>
              <w:tl2br w:val="nil"/>
              <w:tr2bl w:val="nil"/>
            </w:tcBorders>
            <w:shd w:val="clear" w:color="auto" w:fill="FFFF00"/>
            <w:tcMar>
              <w:left w:w="101" w:type="dxa"/>
              <w:right w:w="101" w:type="dxa"/>
            </w:tcMar>
            <w:vAlign w:val="bottom"/>
          </w:tcPr>
          <w:p w14:paraId="2679F4AA" w14:textId="77777777" w:rsidR="003F0EEA" w:rsidRDefault="003F0EEA">
            <w:pPr>
              <w:rPr>
                <w:rFonts w:ascii="Arial" w:eastAsia="Arial" w:hAnsi="Arial" w:cs="Arial"/>
                <w:color w:val="000000"/>
                <w:sz w:val="16"/>
                <w:vertAlign w:val="superscript"/>
              </w:rPr>
            </w:pPr>
          </w:p>
        </w:tc>
        <w:tc>
          <w:tcPr>
            <w:tcW w:w="91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2FABF81F" w14:textId="77777777" w:rsidR="003F0EEA" w:rsidRDefault="003F0EEA">
            <w:pPr>
              <w:rPr>
                <w:rFonts w:ascii="Arial" w:eastAsia="Arial" w:hAnsi="Arial" w:cs="Arial"/>
                <w:color w:val="000000"/>
                <w:sz w:val="16"/>
                <w:vertAlign w:val="superscript"/>
              </w:rPr>
            </w:pPr>
          </w:p>
        </w:tc>
        <w:tc>
          <w:tcPr>
            <w:tcW w:w="91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735A9959" w14:textId="77777777" w:rsidR="003F0EEA" w:rsidRDefault="003F0EEA">
            <w:pPr>
              <w:rPr>
                <w:rFonts w:ascii="Arial" w:eastAsia="Arial" w:hAnsi="Arial" w:cs="Arial"/>
                <w:color w:val="000000"/>
                <w:sz w:val="16"/>
                <w:vertAlign w:val="superscript"/>
              </w:rPr>
            </w:pPr>
          </w:p>
        </w:tc>
        <w:tc>
          <w:tcPr>
            <w:tcW w:w="91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75B9CE3C" w14:textId="77777777" w:rsidR="003F0EEA" w:rsidRDefault="003F0EEA">
            <w:pPr>
              <w:rPr>
                <w:rFonts w:ascii="Arial" w:eastAsia="Arial" w:hAnsi="Arial" w:cs="Arial"/>
                <w:color w:val="000000"/>
                <w:sz w:val="16"/>
                <w:vertAlign w:val="superscript"/>
              </w:rPr>
            </w:pPr>
          </w:p>
        </w:tc>
      </w:tr>
      <w:tr w:rsidR="00FB7D0B" w14:paraId="5270B3F1" w14:textId="77777777" w:rsidTr="00FB7D0B">
        <w:trPr>
          <w:trHeight w:val="225"/>
        </w:trPr>
        <w:tc>
          <w:tcPr>
            <w:tcW w:w="3060" w:type="dxa"/>
            <w:gridSpan w:val="3"/>
            <w:tcBorders>
              <w:top w:val="nil"/>
              <w:left w:val="nil"/>
              <w:bottom w:val="nil"/>
              <w:right w:val="nil"/>
              <w:tl2br w:val="nil"/>
              <w:tr2bl w:val="nil"/>
            </w:tcBorders>
            <w:shd w:val="clear" w:color="auto" w:fill="FFFFFF"/>
            <w:tcMar>
              <w:left w:w="101" w:type="dxa"/>
              <w:right w:w="101" w:type="dxa"/>
            </w:tcMar>
            <w:vAlign w:val="bottom"/>
          </w:tcPr>
          <w:p w14:paraId="025DE545" w14:textId="77777777" w:rsidR="003F0EEA" w:rsidRDefault="00FB7D0B">
            <w:pPr>
              <w:rPr>
                <w:rFonts w:ascii="Arial" w:eastAsia="Arial" w:hAnsi="Arial" w:cs="Arial"/>
                <w:color w:val="000000"/>
                <w:sz w:val="16"/>
                <w:vertAlign w:val="superscript"/>
              </w:rPr>
            </w:pPr>
            <w:r>
              <w:rPr>
                <w:rFonts w:ascii="Arial" w:eastAsia="Arial" w:hAnsi="Arial" w:cs="Arial"/>
                <w:b/>
                <w:color w:val="000000"/>
                <w:sz w:val="16"/>
              </w:rPr>
              <w:t>RECONCILIATION OF CASH</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67313DF0" w14:textId="77777777" w:rsidR="003F0EEA" w:rsidRDefault="003F0EEA">
            <w:pPr>
              <w:rPr>
                <w:rFonts w:ascii="Arial" w:eastAsia="Arial" w:hAnsi="Arial" w:cs="Arial"/>
                <w:b/>
                <w:color w:val="000000"/>
                <w:sz w:val="16"/>
                <w:vertAlign w:val="superscript"/>
              </w:rPr>
            </w:pPr>
          </w:p>
        </w:tc>
        <w:tc>
          <w:tcPr>
            <w:tcW w:w="915" w:type="dxa"/>
            <w:tcBorders>
              <w:top w:val="nil"/>
              <w:left w:val="nil"/>
              <w:bottom w:val="nil"/>
              <w:right w:val="nil"/>
              <w:tl2br w:val="nil"/>
              <w:tr2bl w:val="nil"/>
            </w:tcBorders>
            <w:shd w:val="clear" w:color="auto" w:fill="FFFF00"/>
            <w:tcMar>
              <w:left w:w="101" w:type="dxa"/>
              <w:right w:w="101" w:type="dxa"/>
            </w:tcMar>
            <w:vAlign w:val="bottom"/>
          </w:tcPr>
          <w:p w14:paraId="67221108" w14:textId="77777777" w:rsidR="003F0EEA" w:rsidRDefault="003F0EEA">
            <w:pPr>
              <w:rPr>
                <w:rFonts w:ascii="Arial" w:eastAsia="Arial" w:hAnsi="Arial" w:cs="Arial"/>
                <w:color w:val="000000"/>
                <w:sz w:val="16"/>
                <w:vertAlign w:val="superscript"/>
              </w:rPr>
            </w:pP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20F43F84" w14:textId="77777777" w:rsidR="003F0EEA" w:rsidRDefault="003F0EEA">
            <w:pPr>
              <w:rPr>
                <w:rFonts w:ascii="Arial" w:eastAsia="Arial" w:hAnsi="Arial" w:cs="Arial"/>
                <w:color w:val="000000"/>
                <w:sz w:val="16"/>
                <w:vertAlign w:val="superscript"/>
              </w:rPr>
            </w:pP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55357C19" w14:textId="77777777" w:rsidR="003F0EEA" w:rsidRDefault="003F0EEA">
            <w:pPr>
              <w:rPr>
                <w:rFonts w:ascii="Arial" w:eastAsia="Arial" w:hAnsi="Arial" w:cs="Arial"/>
                <w:color w:val="000000"/>
                <w:sz w:val="16"/>
                <w:vertAlign w:val="superscript"/>
              </w:rPr>
            </w:pP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7FE6C06B" w14:textId="77777777" w:rsidR="003F0EEA" w:rsidRDefault="003F0EEA">
            <w:pPr>
              <w:rPr>
                <w:rFonts w:ascii="Arial" w:eastAsia="Arial" w:hAnsi="Arial" w:cs="Arial"/>
                <w:color w:val="000000"/>
                <w:sz w:val="16"/>
                <w:vertAlign w:val="superscript"/>
              </w:rPr>
            </w:pPr>
          </w:p>
        </w:tc>
      </w:tr>
      <w:tr w:rsidR="00FB7D0B" w14:paraId="0ED5D59C" w14:textId="77777777" w:rsidTr="00FB7D0B">
        <w:trPr>
          <w:trHeight w:val="225"/>
        </w:trPr>
        <w:tc>
          <w:tcPr>
            <w:tcW w:w="180" w:type="dxa"/>
            <w:tcBorders>
              <w:top w:val="nil"/>
              <w:left w:val="nil"/>
              <w:bottom w:val="nil"/>
              <w:right w:val="nil"/>
              <w:tl2br w:val="nil"/>
              <w:tr2bl w:val="nil"/>
            </w:tcBorders>
            <w:shd w:val="clear" w:color="auto" w:fill="FFFFFF"/>
            <w:tcMar>
              <w:left w:w="101" w:type="dxa"/>
              <w:right w:w="101" w:type="dxa"/>
            </w:tcMar>
            <w:vAlign w:val="bottom"/>
          </w:tcPr>
          <w:p w14:paraId="48B4141E" w14:textId="77777777" w:rsidR="003F0EEA" w:rsidRDefault="003F0EEA">
            <w:pPr>
              <w:rPr>
                <w:rFonts w:ascii="Arial" w:eastAsia="Arial" w:hAnsi="Arial" w:cs="Arial"/>
                <w:color w:val="000000"/>
                <w:sz w:val="16"/>
                <w:vertAlign w:val="superscript"/>
              </w:rPr>
            </w:pPr>
          </w:p>
        </w:tc>
        <w:tc>
          <w:tcPr>
            <w:tcW w:w="2880" w:type="dxa"/>
            <w:gridSpan w:val="2"/>
            <w:vMerge w:val="restart"/>
            <w:tcBorders>
              <w:top w:val="nil"/>
              <w:left w:val="nil"/>
              <w:bottom w:val="nil"/>
              <w:right w:val="nil"/>
              <w:tl2br w:val="nil"/>
              <w:tr2bl w:val="nil"/>
            </w:tcBorders>
            <w:shd w:val="clear" w:color="auto" w:fill="FFFFFF"/>
            <w:tcMar>
              <w:left w:w="101" w:type="dxa"/>
              <w:right w:w="101" w:type="dxa"/>
            </w:tcMar>
            <w:vAlign w:val="bottom"/>
          </w:tcPr>
          <w:p w14:paraId="3F74AE7F" w14:textId="77777777" w:rsidR="003F0EEA" w:rsidRDefault="00FB7D0B">
            <w:pPr>
              <w:rPr>
                <w:rFonts w:ascii="Arial" w:eastAsia="Arial" w:hAnsi="Arial" w:cs="Arial"/>
                <w:color w:val="000000"/>
                <w:sz w:val="18"/>
                <w:vertAlign w:val="superscript"/>
              </w:rPr>
            </w:pPr>
            <w:r>
              <w:rPr>
                <w:rFonts w:ascii="Arial" w:eastAsia="Arial" w:hAnsi="Arial" w:cs="Arial"/>
                <w:b/>
                <w:color w:val="000000"/>
                <w:sz w:val="16"/>
              </w:rPr>
              <w:t>USED TO ACQUIRE ASSETS</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7A5711AE" w14:textId="77777777" w:rsidR="003F0EEA" w:rsidRDefault="003F0EEA">
            <w:pPr>
              <w:rPr>
                <w:rFonts w:ascii="Arial" w:eastAsia="Arial" w:hAnsi="Arial" w:cs="Arial"/>
                <w:b/>
                <w:color w:val="000000"/>
                <w:sz w:val="16"/>
                <w:vertAlign w:val="superscript"/>
              </w:rPr>
            </w:pPr>
          </w:p>
        </w:tc>
        <w:tc>
          <w:tcPr>
            <w:tcW w:w="915" w:type="dxa"/>
            <w:tcBorders>
              <w:top w:val="nil"/>
              <w:left w:val="nil"/>
              <w:bottom w:val="nil"/>
              <w:right w:val="nil"/>
              <w:tl2br w:val="nil"/>
              <w:tr2bl w:val="nil"/>
            </w:tcBorders>
            <w:shd w:val="clear" w:color="auto" w:fill="FFFF00"/>
            <w:tcMar>
              <w:left w:w="101" w:type="dxa"/>
              <w:right w:w="101" w:type="dxa"/>
            </w:tcMar>
            <w:vAlign w:val="bottom"/>
          </w:tcPr>
          <w:p w14:paraId="794E2E5A" w14:textId="77777777" w:rsidR="003F0EEA" w:rsidRDefault="003F0EEA">
            <w:pPr>
              <w:rPr>
                <w:rFonts w:ascii="Arial" w:eastAsia="Arial" w:hAnsi="Arial" w:cs="Arial"/>
                <w:color w:val="000000"/>
                <w:sz w:val="16"/>
                <w:vertAlign w:val="superscript"/>
              </w:rPr>
            </w:pP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4755337F" w14:textId="77777777" w:rsidR="003F0EEA" w:rsidRDefault="003F0EEA">
            <w:pPr>
              <w:rPr>
                <w:rFonts w:ascii="Arial" w:eastAsia="Arial" w:hAnsi="Arial" w:cs="Arial"/>
                <w:color w:val="000000"/>
                <w:sz w:val="16"/>
                <w:vertAlign w:val="superscript"/>
              </w:rPr>
            </w:pP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2AA57245" w14:textId="77777777" w:rsidR="003F0EEA" w:rsidRDefault="003F0EEA">
            <w:pPr>
              <w:rPr>
                <w:rFonts w:ascii="Arial" w:eastAsia="Arial" w:hAnsi="Arial" w:cs="Arial"/>
                <w:color w:val="000000"/>
                <w:sz w:val="16"/>
                <w:vertAlign w:val="superscript"/>
              </w:rPr>
            </w:pP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281D8075" w14:textId="77777777" w:rsidR="003F0EEA" w:rsidRDefault="003F0EEA">
            <w:pPr>
              <w:rPr>
                <w:rFonts w:ascii="Arial" w:eastAsia="Arial" w:hAnsi="Arial" w:cs="Arial"/>
                <w:color w:val="000000"/>
                <w:sz w:val="16"/>
                <w:vertAlign w:val="superscript"/>
              </w:rPr>
            </w:pPr>
          </w:p>
        </w:tc>
      </w:tr>
      <w:tr w:rsidR="00FB7D0B" w14:paraId="646FC423" w14:textId="77777777" w:rsidTr="00FB7D0B">
        <w:trPr>
          <w:trHeight w:val="225"/>
        </w:trPr>
        <w:tc>
          <w:tcPr>
            <w:tcW w:w="180" w:type="dxa"/>
            <w:tcBorders>
              <w:top w:val="nil"/>
              <w:left w:val="nil"/>
              <w:bottom w:val="nil"/>
              <w:right w:val="nil"/>
              <w:tl2br w:val="nil"/>
              <w:tr2bl w:val="nil"/>
            </w:tcBorders>
            <w:shd w:val="clear" w:color="auto" w:fill="FFFFFF"/>
            <w:tcMar>
              <w:left w:w="101" w:type="dxa"/>
              <w:right w:w="101" w:type="dxa"/>
            </w:tcMar>
            <w:vAlign w:val="bottom"/>
          </w:tcPr>
          <w:p w14:paraId="3C7071A0" w14:textId="77777777" w:rsidR="003F0EEA" w:rsidRDefault="003F0EEA">
            <w:pPr>
              <w:rPr>
                <w:rFonts w:ascii="Arial" w:eastAsia="Arial" w:hAnsi="Arial" w:cs="Arial"/>
                <w:color w:val="000000"/>
                <w:sz w:val="16"/>
                <w:vertAlign w:val="superscript"/>
              </w:rPr>
            </w:pPr>
          </w:p>
        </w:tc>
        <w:tc>
          <w:tcPr>
            <w:tcW w:w="2880" w:type="dxa"/>
            <w:gridSpan w:val="2"/>
            <w:vMerge w:val="restart"/>
            <w:tcBorders>
              <w:top w:val="nil"/>
              <w:left w:val="nil"/>
              <w:bottom w:val="nil"/>
              <w:right w:val="nil"/>
              <w:tl2br w:val="nil"/>
              <w:tr2bl w:val="nil"/>
            </w:tcBorders>
            <w:shd w:val="clear" w:color="auto" w:fill="FFFFFF"/>
            <w:tcMar>
              <w:left w:w="101" w:type="dxa"/>
              <w:right w:w="101" w:type="dxa"/>
            </w:tcMar>
            <w:vAlign w:val="bottom"/>
          </w:tcPr>
          <w:p w14:paraId="40C3EA8E" w14:textId="77777777" w:rsidR="003F0EEA" w:rsidRDefault="00FB7D0B">
            <w:pPr>
              <w:rPr>
                <w:rFonts w:ascii="Arial" w:eastAsia="Arial" w:hAnsi="Arial" w:cs="Arial"/>
                <w:color w:val="000000"/>
                <w:sz w:val="18"/>
                <w:vertAlign w:val="superscript"/>
              </w:rPr>
            </w:pPr>
            <w:r>
              <w:rPr>
                <w:rFonts w:ascii="Arial" w:eastAsia="Arial" w:hAnsi="Arial" w:cs="Arial"/>
                <w:b/>
                <w:color w:val="000000"/>
                <w:sz w:val="16"/>
              </w:rPr>
              <w:t>TO ASSET MOVEMENT TABLE</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370A24D9" w14:textId="77777777" w:rsidR="003F0EEA" w:rsidRDefault="003F0EEA">
            <w:pPr>
              <w:rPr>
                <w:rFonts w:ascii="Arial" w:eastAsia="Arial" w:hAnsi="Arial" w:cs="Arial"/>
                <w:b/>
                <w:color w:val="000000"/>
                <w:sz w:val="16"/>
                <w:vertAlign w:val="superscript"/>
              </w:rPr>
            </w:pPr>
          </w:p>
        </w:tc>
        <w:tc>
          <w:tcPr>
            <w:tcW w:w="915" w:type="dxa"/>
            <w:tcBorders>
              <w:top w:val="nil"/>
              <w:left w:val="nil"/>
              <w:bottom w:val="nil"/>
              <w:right w:val="nil"/>
              <w:tl2br w:val="nil"/>
              <w:tr2bl w:val="nil"/>
            </w:tcBorders>
            <w:shd w:val="clear" w:color="auto" w:fill="FFFF00"/>
            <w:tcMar>
              <w:left w:w="101" w:type="dxa"/>
              <w:right w:w="101" w:type="dxa"/>
            </w:tcMar>
            <w:vAlign w:val="bottom"/>
          </w:tcPr>
          <w:p w14:paraId="1B347BD1" w14:textId="77777777" w:rsidR="003F0EEA" w:rsidRDefault="003F0EEA">
            <w:pPr>
              <w:rPr>
                <w:rFonts w:ascii="Arial" w:eastAsia="Arial" w:hAnsi="Arial" w:cs="Arial"/>
                <w:color w:val="000000"/>
                <w:sz w:val="16"/>
                <w:vertAlign w:val="superscript"/>
              </w:rPr>
            </w:pP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477EB261" w14:textId="77777777" w:rsidR="003F0EEA" w:rsidRDefault="003F0EEA">
            <w:pPr>
              <w:rPr>
                <w:rFonts w:ascii="Arial" w:eastAsia="Arial" w:hAnsi="Arial" w:cs="Arial"/>
                <w:color w:val="000000"/>
                <w:sz w:val="16"/>
                <w:vertAlign w:val="superscript"/>
              </w:rPr>
            </w:pP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628E0894" w14:textId="77777777" w:rsidR="003F0EEA" w:rsidRDefault="003F0EEA">
            <w:pPr>
              <w:rPr>
                <w:rFonts w:ascii="Arial" w:eastAsia="Arial" w:hAnsi="Arial" w:cs="Arial"/>
                <w:color w:val="000000"/>
                <w:sz w:val="16"/>
                <w:vertAlign w:val="superscript"/>
              </w:rPr>
            </w:pP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7DEC11B2" w14:textId="77777777" w:rsidR="003F0EEA" w:rsidRDefault="003F0EEA">
            <w:pPr>
              <w:rPr>
                <w:rFonts w:ascii="Arial" w:eastAsia="Arial" w:hAnsi="Arial" w:cs="Arial"/>
                <w:color w:val="000000"/>
                <w:sz w:val="16"/>
                <w:vertAlign w:val="superscript"/>
              </w:rPr>
            </w:pPr>
          </w:p>
        </w:tc>
      </w:tr>
      <w:tr w:rsidR="00FB7D0B" w14:paraId="4A377498" w14:textId="77777777" w:rsidTr="00FB7D0B">
        <w:trPr>
          <w:trHeight w:val="225"/>
        </w:trPr>
        <w:tc>
          <w:tcPr>
            <w:tcW w:w="180" w:type="dxa"/>
            <w:tcBorders>
              <w:top w:val="nil"/>
              <w:left w:val="nil"/>
              <w:bottom w:val="nil"/>
              <w:right w:val="nil"/>
              <w:tl2br w:val="nil"/>
              <w:tr2bl w:val="nil"/>
            </w:tcBorders>
            <w:shd w:val="clear" w:color="auto" w:fill="FFFFFF"/>
            <w:tcMar>
              <w:left w:w="101" w:type="dxa"/>
              <w:right w:w="101" w:type="dxa"/>
            </w:tcMar>
            <w:vAlign w:val="bottom"/>
          </w:tcPr>
          <w:p w14:paraId="2EC450E7" w14:textId="77777777" w:rsidR="003F0EEA" w:rsidRDefault="003F0EEA">
            <w:pPr>
              <w:rPr>
                <w:rFonts w:ascii="Arial" w:eastAsia="Arial" w:hAnsi="Arial" w:cs="Arial"/>
                <w:color w:val="000000"/>
                <w:sz w:val="16"/>
                <w:vertAlign w:val="superscript"/>
              </w:rPr>
            </w:pPr>
          </w:p>
        </w:tc>
        <w:tc>
          <w:tcPr>
            <w:tcW w:w="2880" w:type="dxa"/>
            <w:gridSpan w:val="2"/>
            <w:vMerge w:val="restart"/>
            <w:tcBorders>
              <w:top w:val="nil"/>
              <w:left w:val="nil"/>
              <w:bottom w:val="nil"/>
              <w:right w:val="nil"/>
              <w:tl2br w:val="nil"/>
              <w:tr2bl w:val="nil"/>
            </w:tcBorders>
            <w:shd w:val="clear" w:color="auto" w:fill="FFFFFF"/>
            <w:tcMar>
              <w:left w:w="101" w:type="dxa"/>
              <w:right w:w="101" w:type="dxa"/>
            </w:tcMar>
            <w:vAlign w:val="bottom"/>
          </w:tcPr>
          <w:p w14:paraId="3C606DC2" w14:textId="77777777" w:rsidR="003F0EEA" w:rsidRDefault="00FB7D0B">
            <w:pPr>
              <w:rPr>
                <w:rFonts w:ascii="Arial" w:eastAsia="Arial" w:hAnsi="Arial" w:cs="Arial"/>
                <w:color w:val="000000"/>
                <w:sz w:val="18"/>
                <w:vertAlign w:val="superscript"/>
              </w:rPr>
            </w:pPr>
            <w:r>
              <w:rPr>
                <w:rFonts w:ascii="Arial" w:eastAsia="Arial" w:hAnsi="Arial" w:cs="Arial"/>
                <w:color w:val="000000"/>
                <w:sz w:val="16"/>
              </w:rPr>
              <w:t>Total purchases</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5A5F7C06" w14:textId="77777777" w:rsidR="003F0EEA" w:rsidRDefault="00FB7D0B">
            <w:pPr>
              <w:jc w:val="right"/>
              <w:rPr>
                <w:rFonts w:ascii="Arial" w:eastAsia="Arial" w:hAnsi="Arial" w:cs="Arial"/>
                <w:color w:val="000000"/>
                <w:sz w:val="16"/>
                <w:vertAlign w:val="superscript"/>
              </w:rPr>
            </w:pPr>
            <w:r>
              <w:rPr>
                <w:rFonts w:ascii="Arial" w:eastAsia="Arial" w:hAnsi="Arial" w:cs="Arial"/>
                <w:color w:val="000000"/>
                <w:sz w:val="16"/>
              </w:rPr>
              <w:t xml:space="preserve"> - </w:t>
            </w:r>
          </w:p>
        </w:tc>
        <w:tc>
          <w:tcPr>
            <w:tcW w:w="915" w:type="dxa"/>
            <w:tcBorders>
              <w:top w:val="nil"/>
              <w:left w:val="nil"/>
              <w:bottom w:val="nil"/>
              <w:right w:val="nil"/>
              <w:tl2br w:val="nil"/>
              <w:tr2bl w:val="nil"/>
            </w:tcBorders>
            <w:shd w:val="clear" w:color="auto" w:fill="FFFF00"/>
            <w:tcMar>
              <w:left w:w="101" w:type="dxa"/>
              <w:right w:w="101" w:type="dxa"/>
            </w:tcMar>
            <w:vAlign w:val="bottom"/>
          </w:tcPr>
          <w:p w14:paraId="1C25D623" w14:textId="77777777" w:rsidR="003F0EEA" w:rsidRDefault="00FB7D0B">
            <w:pPr>
              <w:jc w:val="right"/>
              <w:rPr>
                <w:rFonts w:ascii="Arial" w:eastAsia="Arial" w:hAnsi="Arial" w:cs="Arial"/>
                <w:color w:val="000000"/>
                <w:sz w:val="16"/>
              </w:rPr>
            </w:pPr>
            <w:r>
              <w:rPr>
                <w:rFonts w:ascii="Arial" w:eastAsia="Arial" w:hAnsi="Arial" w:cs="Arial"/>
                <w:color w:val="000000"/>
                <w:sz w:val="16"/>
              </w:rPr>
              <w:t xml:space="preserve"> 6,061 </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7294BC07" w14:textId="77777777" w:rsidR="003F0EEA" w:rsidRDefault="00FB7D0B">
            <w:pPr>
              <w:jc w:val="right"/>
              <w:rPr>
                <w:rFonts w:ascii="Arial" w:eastAsia="Arial" w:hAnsi="Arial" w:cs="Arial"/>
                <w:color w:val="000000"/>
                <w:sz w:val="16"/>
              </w:rPr>
            </w:pPr>
            <w:r>
              <w:rPr>
                <w:rFonts w:ascii="Arial" w:eastAsia="Arial" w:hAnsi="Arial" w:cs="Arial"/>
                <w:color w:val="000000"/>
                <w:sz w:val="16"/>
              </w:rPr>
              <w:t xml:space="preserve"> - </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4EFE450A" w14:textId="77777777" w:rsidR="003F0EEA" w:rsidRDefault="00FB7D0B">
            <w:pPr>
              <w:jc w:val="right"/>
              <w:rPr>
                <w:rFonts w:ascii="Arial" w:eastAsia="Arial" w:hAnsi="Arial" w:cs="Arial"/>
                <w:color w:val="000000"/>
                <w:sz w:val="16"/>
              </w:rPr>
            </w:pPr>
            <w:r>
              <w:rPr>
                <w:rFonts w:ascii="Arial" w:eastAsia="Arial" w:hAnsi="Arial" w:cs="Arial"/>
                <w:color w:val="000000"/>
                <w:sz w:val="16"/>
              </w:rPr>
              <w:t xml:space="preserve"> - </w:t>
            </w:r>
          </w:p>
        </w:tc>
        <w:tc>
          <w:tcPr>
            <w:tcW w:w="915" w:type="dxa"/>
            <w:tcBorders>
              <w:top w:val="nil"/>
              <w:left w:val="nil"/>
              <w:bottom w:val="nil"/>
              <w:right w:val="nil"/>
              <w:tl2br w:val="nil"/>
              <w:tr2bl w:val="nil"/>
            </w:tcBorders>
            <w:shd w:val="clear" w:color="auto" w:fill="FFFFFF"/>
            <w:tcMar>
              <w:left w:w="101" w:type="dxa"/>
              <w:right w:w="101" w:type="dxa"/>
            </w:tcMar>
            <w:vAlign w:val="bottom"/>
          </w:tcPr>
          <w:p w14:paraId="0BAB6B13" w14:textId="77777777" w:rsidR="003F0EEA" w:rsidRDefault="00FB7D0B">
            <w:pPr>
              <w:jc w:val="right"/>
              <w:rPr>
                <w:rFonts w:ascii="Arial" w:eastAsia="Arial" w:hAnsi="Arial" w:cs="Arial"/>
                <w:color w:val="000000"/>
                <w:sz w:val="16"/>
              </w:rPr>
            </w:pPr>
            <w:r>
              <w:rPr>
                <w:rFonts w:ascii="Arial" w:eastAsia="Arial" w:hAnsi="Arial" w:cs="Arial"/>
                <w:color w:val="000000"/>
                <w:sz w:val="16"/>
              </w:rPr>
              <w:t xml:space="preserve"> - </w:t>
            </w:r>
          </w:p>
        </w:tc>
      </w:tr>
      <w:tr w:rsidR="00FB7D0B" w14:paraId="54A700E7" w14:textId="77777777" w:rsidTr="00FB7D0B">
        <w:trPr>
          <w:trHeight w:val="225"/>
        </w:trPr>
        <w:tc>
          <w:tcPr>
            <w:tcW w:w="3060" w:type="dxa"/>
            <w:gridSpan w:val="3"/>
            <w:tcBorders>
              <w:top w:val="nil"/>
              <w:left w:val="nil"/>
              <w:bottom w:val="nil"/>
              <w:right w:val="nil"/>
              <w:tl2br w:val="nil"/>
              <w:tr2bl w:val="nil"/>
            </w:tcBorders>
            <w:shd w:val="clear" w:color="auto" w:fill="FFFFFF"/>
            <w:tcMar>
              <w:left w:w="101" w:type="dxa"/>
              <w:right w:w="101" w:type="dxa"/>
            </w:tcMar>
            <w:vAlign w:val="bottom"/>
          </w:tcPr>
          <w:p w14:paraId="4C80CA01" w14:textId="77777777" w:rsidR="003F0EEA" w:rsidRDefault="00FB7D0B">
            <w:pPr>
              <w:rPr>
                <w:rFonts w:ascii="Arial" w:eastAsia="Arial" w:hAnsi="Arial" w:cs="Arial"/>
                <w:color w:val="000000"/>
                <w:sz w:val="16"/>
              </w:rPr>
            </w:pPr>
            <w:r>
              <w:rPr>
                <w:rFonts w:ascii="Arial" w:eastAsia="Arial" w:hAnsi="Arial" w:cs="Arial"/>
                <w:b/>
                <w:color w:val="000000"/>
                <w:sz w:val="16"/>
              </w:rPr>
              <w:t>Total cash used to</w:t>
            </w:r>
          </w:p>
        </w:tc>
        <w:tc>
          <w:tcPr>
            <w:tcW w:w="91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03D25997" w14:textId="77777777" w:rsidR="003F0EEA" w:rsidRDefault="003F0EEA">
            <w:pPr>
              <w:rPr>
                <w:rFonts w:ascii="Arial" w:eastAsia="Arial" w:hAnsi="Arial" w:cs="Arial"/>
                <w:b/>
                <w:color w:val="000000"/>
                <w:sz w:val="16"/>
                <w:vertAlign w:val="superscript"/>
              </w:rPr>
            </w:pPr>
          </w:p>
        </w:tc>
        <w:tc>
          <w:tcPr>
            <w:tcW w:w="915" w:type="dxa"/>
            <w:tcBorders>
              <w:top w:val="single" w:sz="6" w:space="0" w:color="000000"/>
              <w:left w:val="nil"/>
              <w:bottom w:val="nil"/>
              <w:right w:val="nil"/>
              <w:tl2br w:val="nil"/>
              <w:tr2bl w:val="nil"/>
            </w:tcBorders>
            <w:shd w:val="clear" w:color="auto" w:fill="FFFF00"/>
            <w:tcMar>
              <w:left w:w="101" w:type="dxa"/>
              <w:right w:w="101" w:type="dxa"/>
            </w:tcMar>
            <w:vAlign w:val="bottom"/>
          </w:tcPr>
          <w:p w14:paraId="37C3A570" w14:textId="77777777" w:rsidR="003F0EEA" w:rsidRDefault="003F0EEA">
            <w:pPr>
              <w:rPr>
                <w:rFonts w:ascii="Arial" w:eastAsia="Arial" w:hAnsi="Arial" w:cs="Arial"/>
                <w:color w:val="000000"/>
                <w:sz w:val="16"/>
                <w:vertAlign w:val="superscript"/>
              </w:rPr>
            </w:pPr>
          </w:p>
        </w:tc>
        <w:tc>
          <w:tcPr>
            <w:tcW w:w="91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67AE7A46" w14:textId="77777777" w:rsidR="003F0EEA" w:rsidRDefault="003F0EEA">
            <w:pPr>
              <w:rPr>
                <w:rFonts w:ascii="Arial" w:eastAsia="Arial" w:hAnsi="Arial" w:cs="Arial"/>
                <w:b/>
                <w:color w:val="000000"/>
                <w:sz w:val="16"/>
                <w:vertAlign w:val="superscript"/>
              </w:rPr>
            </w:pPr>
          </w:p>
        </w:tc>
        <w:tc>
          <w:tcPr>
            <w:tcW w:w="91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2B95BF4D" w14:textId="77777777" w:rsidR="003F0EEA" w:rsidRDefault="003F0EEA">
            <w:pPr>
              <w:rPr>
                <w:rFonts w:ascii="Arial" w:eastAsia="Arial" w:hAnsi="Arial" w:cs="Arial"/>
                <w:b/>
                <w:color w:val="000000"/>
                <w:sz w:val="16"/>
                <w:vertAlign w:val="superscript"/>
              </w:rPr>
            </w:pPr>
          </w:p>
        </w:tc>
        <w:tc>
          <w:tcPr>
            <w:tcW w:w="915" w:type="dxa"/>
            <w:tcBorders>
              <w:top w:val="single" w:sz="6" w:space="0" w:color="000000"/>
              <w:left w:val="nil"/>
              <w:bottom w:val="nil"/>
              <w:right w:val="nil"/>
              <w:tl2br w:val="nil"/>
              <w:tr2bl w:val="nil"/>
            </w:tcBorders>
            <w:shd w:val="clear" w:color="auto" w:fill="FFFFFF"/>
            <w:tcMar>
              <w:left w:w="101" w:type="dxa"/>
              <w:right w:w="101" w:type="dxa"/>
            </w:tcMar>
            <w:vAlign w:val="bottom"/>
          </w:tcPr>
          <w:p w14:paraId="2AD8A7B8" w14:textId="77777777" w:rsidR="003F0EEA" w:rsidRDefault="003F0EEA">
            <w:pPr>
              <w:rPr>
                <w:rFonts w:ascii="Arial" w:eastAsia="Arial" w:hAnsi="Arial" w:cs="Arial"/>
                <w:b/>
                <w:color w:val="000000"/>
                <w:sz w:val="16"/>
                <w:vertAlign w:val="superscript"/>
              </w:rPr>
            </w:pPr>
          </w:p>
        </w:tc>
      </w:tr>
      <w:tr w:rsidR="00FB7D0B" w14:paraId="25A54ED1" w14:textId="77777777" w:rsidTr="00FB7D0B">
        <w:trPr>
          <w:trHeight w:val="225"/>
        </w:trPr>
        <w:tc>
          <w:tcPr>
            <w:tcW w:w="180"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25DA8D90" w14:textId="77777777" w:rsidR="003F0EEA" w:rsidRDefault="003F0EEA">
            <w:pPr>
              <w:rPr>
                <w:rFonts w:ascii="Arial" w:eastAsia="Arial" w:hAnsi="Arial" w:cs="Arial"/>
                <w:b/>
                <w:color w:val="000000"/>
                <w:sz w:val="16"/>
                <w:vertAlign w:val="superscript"/>
              </w:rPr>
            </w:pPr>
          </w:p>
        </w:tc>
        <w:tc>
          <w:tcPr>
            <w:tcW w:w="2880" w:type="dxa"/>
            <w:gridSpan w:val="2"/>
            <w:tcBorders>
              <w:top w:val="nil"/>
              <w:left w:val="nil"/>
              <w:bottom w:val="single" w:sz="6" w:space="0" w:color="000000"/>
              <w:right w:val="nil"/>
              <w:tl2br w:val="nil"/>
              <w:tr2bl w:val="nil"/>
            </w:tcBorders>
            <w:shd w:val="clear" w:color="auto" w:fill="FFFFFF"/>
            <w:tcMar>
              <w:left w:w="101" w:type="dxa"/>
              <w:right w:w="101" w:type="dxa"/>
            </w:tcMar>
            <w:vAlign w:val="bottom"/>
          </w:tcPr>
          <w:p w14:paraId="4C759984" w14:textId="77777777" w:rsidR="003F0EEA" w:rsidRDefault="00FB7D0B">
            <w:pPr>
              <w:rPr>
                <w:rFonts w:ascii="Arial" w:eastAsia="Arial" w:hAnsi="Arial" w:cs="Arial"/>
                <w:color w:val="000000"/>
                <w:sz w:val="18"/>
                <w:vertAlign w:val="superscript"/>
              </w:rPr>
            </w:pPr>
            <w:r>
              <w:rPr>
                <w:rFonts w:ascii="Arial" w:eastAsia="Arial" w:hAnsi="Arial" w:cs="Arial"/>
                <w:b/>
                <w:color w:val="000000"/>
                <w:sz w:val="16"/>
              </w:rPr>
              <w:t>acquire assets</w:t>
            </w:r>
          </w:p>
        </w:tc>
        <w:tc>
          <w:tcPr>
            <w:tcW w:w="915"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568F2C60" w14:textId="77777777" w:rsidR="003F0EEA" w:rsidRDefault="00FB7D0B">
            <w:pPr>
              <w:jc w:val="right"/>
              <w:rPr>
                <w:rFonts w:ascii="Arial" w:eastAsia="Arial" w:hAnsi="Arial" w:cs="Arial"/>
                <w:b/>
                <w:color w:val="000000"/>
                <w:sz w:val="16"/>
                <w:vertAlign w:val="superscript"/>
              </w:rPr>
            </w:pPr>
            <w:r>
              <w:rPr>
                <w:rFonts w:ascii="Arial" w:eastAsia="Arial" w:hAnsi="Arial" w:cs="Arial"/>
                <w:b/>
                <w:color w:val="000000"/>
                <w:sz w:val="16"/>
              </w:rPr>
              <w:t xml:space="preserve"> - </w:t>
            </w:r>
          </w:p>
        </w:tc>
        <w:tc>
          <w:tcPr>
            <w:tcW w:w="915" w:type="dxa"/>
            <w:tcBorders>
              <w:top w:val="nil"/>
              <w:left w:val="nil"/>
              <w:bottom w:val="single" w:sz="6" w:space="0" w:color="000000"/>
              <w:right w:val="nil"/>
              <w:tl2br w:val="nil"/>
              <w:tr2bl w:val="nil"/>
            </w:tcBorders>
            <w:shd w:val="clear" w:color="auto" w:fill="FFFF00"/>
            <w:tcMar>
              <w:left w:w="101" w:type="dxa"/>
              <w:right w:w="101" w:type="dxa"/>
            </w:tcMar>
            <w:vAlign w:val="bottom"/>
          </w:tcPr>
          <w:p w14:paraId="4DA64D65" w14:textId="77777777" w:rsidR="003F0EEA" w:rsidRDefault="00FB7D0B">
            <w:pPr>
              <w:jc w:val="right"/>
              <w:rPr>
                <w:rFonts w:ascii="Arial" w:eastAsia="Arial" w:hAnsi="Arial" w:cs="Arial"/>
                <w:b/>
                <w:color w:val="000000"/>
                <w:sz w:val="16"/>
              </w:rPr>
            </w:pPr>
            <w:r>
              <w:rPr>
                <w:rFonts w:ascii="Arial" w:eastAsia="Arial" w:hAnsi="Arial" w:cs="Arial"/>
                <w:b/>
                <w:color w:val="000000"/>
                <w:sz w:val="16"/>
              </w:rPr>
              <w:t xml:space="preserve"> 6,061 </w:t>
            </w:r>
          </w:p>
        </w:tc>
        <w:tc>
          <w:tcPr>
            <w:tcW w:w="915"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7FF3F274" w14:textId="77777777" w:rsidR="003F0EEA" w:rsidRDefault="00FB7D0B">
            <w:pPr>
              <w:jc w:val="right"/>
              <w:rPr>
                <w:rFonts w:ascii="Arial" w:eastAsia="Arial" w:hAnsi="Arial" w:cs="Arial"/>
                <w:b/>
                <w:color w:val="000000"/>
                <w:sz w:val="16"/>
              </w:rPr>
            </w:pPr>
            <w:r>
              <w:rPr>
                <w:rFonts w:ascii="Arial" w:eastAsia="Arial" w:hAnsi="Arial" w:cs="Arial"/>
                <w:b/>
                <w:color w:val="000000"/>
                <w:sz w:val="16"/>
              </w:rPr>
              <w:t xml:space="preserve"> - </w:t>
            </w:r>
          </w:p>
        </w:tc>
        <w:tc>
          <w:tcPr>
            <w:tcW w:w="915"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4CA95961" w14:textId="77777777" w:rsidR="003F0EEA" w:rsidRDefault="00FB7D0B">
            <w:pPr>
              <w:jc w:val="right"/>
              <w:rPr>
                <w:rFonts w:ascii="Arial" w:eastAsia="Arial" w:hAnsi="Arial" w:cs="Arial"/>
                <w:b/>
                <w:color w:val="000000"/>
                <w:sz w:val="16"/>
              </w:rPr>
            </w:pPr>
            <w:r>
              <w:rPr>
                <w:rFonts w:ascii="Arial" w:eastAsia="Arial" w:hAnsi="Arial" w:cs="Arial"/>
                <w:b/>
                <w:color w:val="000000"/>
                <w:sz w:val="16"/>
              </w:rPr>
              <w:t xml:space="preserve"> - </w:t>
            </w:r>
          </w:p>
        </w:tc>
        <w:tc>
          <w:tcPr>
            <w:tcW w:w="915" w:type="dxa"/>
            <w:tcBorders>
              <w:top w:val="nil"/>
              <w:left w:val="nil"/>
              <w:bottom w:val="single" w:sz="6" w:space="0" w:color="000000"/>
              <w:right w:val="nil"/>
              <w:tl2br w:val="nil"/>
              <w:tr2bl w:val="nil"/>
            </w:tcBorders>
            <w:shd w:val="clear" w:color="auto" w:fill="FFFFFF"/>
            <w:tcMar>
              <w:left w:w="101" w:type="dxa"/>
              <w:right w:w="101" w:type="dxa"/>
            </w:tcMar>
            <w:vAlign w:val="bottom"/>
          </w:tcPr>
          <w:p w14:paraId="17D6C737" w14:textId="77777777" w:rsidR="003F0EEA" w:rsidRDefault="00FB7D0B">
            <w:pPr>
              <w:jc w:val="right"/>
              <w:rPr>
                <w:rFonts w:ascii="Arial" w:eastAsia="Arial" w:hAnsi="Arial" w:cs="Arial"/>
                <w:b/>
                <w:color w:val="000000"/>
                <w:sz w:val="16"/>
              </w:rPr>
            </w:pPr>
            <w:r>
              <w:rPr>
                <w:rFonts w:ascii="Arial" w:eastAsia="Arial" w:hAnsi="Arial" w:cs="Arial"/>
                <w:b/>
                <w:color w:val="000000"/>
                <w:sz w:val="16"/>
              </w:rPr>
              <w:t xml:space="preserve"> - </w:t>
            </w:r>
          </w:p>
        </w:tc>
      </w:tr>
    </w:tbl>
    <w:p w14:paraId="51CD667D" w14:textId="77777777" w:rsidR="003F0EEA" w:rsidRDefault="003F0EEA">
      <w:pPr>
        <w:sectPr w:rsidR="003F0EEA">
          <w:pgSz w:w="10319" w:h="14572"/>
          <w:pgMar w:top="1077" w:right="1077" w:bottom="1134" w:left="1134" w:header="709" w:footer="709" w:gutter="0"/>
          <w:cols w:space="708"/>
        </w:sectPr>
      </w:pPr>
    </w:p>
    <w:p w14:paraId="4FE1BCF3" w14:textId="77777777" w:rsidR="003F0EEA" w:rsidRPr="00E25338" w:rsidRDefault="00FB7D0B">
      <w:pPr>
        <w:pStyle w:val="Normal206"/>
        <w:rPr>
          <w:color w:val="FFFFFF"/>
        </w:rPr>
      </w:pPr>
      <w:r>
        <w:rPr>
          <w:color w:val="FFFFFF"/>
        </w:rPr>
        <w:lastRenderedPageBreak/>
        <w:t>DVA</w:t>
      </w:r>
    </w:p>
    <w:p w14:paraId="221A9391" w14:textId="77777777" w:rsidR="003F0EEA" w:rsidRPr="00E25338" w:rsidRDefault="003F0EEA">
      <w:pPr>
        <w:rPr>
          <w:rFonts w:ascii="Times New Roman" w:eastAsia="Times New Roman" w:hAnsi="Times New Roman" w:cs="Times New Roman"/>
          <w:color w:val="FFFFFF"/>
        </w:rPr>
        <w:sectPr w:rsidR="003F0EEA" w:rsidRPr="00E25338">
          <w:headerReference w:type="even" r:id="rId60"/>
          <w:headerReference w:type="default" r:id="rId61"/>
          <w:footerReference w:type="even" r:id="rId62"/>
          <w:footerReference w:type="default" r:id="rId63"/>
          <w:pgSz w:w="10319" w:h="14572"/>
          <w:pgMar w:top="1077" w:right="1077" w:bottom="1134" w:left="1134" w:header="709" w:footer="709" w:gutter="0"/>
          <w:cols w:space="708"/>
        </w:sectPr>
      </w:pPr>
    </w:p>
    <w:p w14:paraId="709BDA9E" w14:textId="77777777" w:rsidR="003F0EEA" w:rsidRPr="00F17041" w:rsidRDefault="003F0EEA" w:rsidP="003F0EEA">
      <w:pPr>
        <w:pStyle w:val="Department0"/>
        <w:rPr>
          <w:rFonts w:ascii="Arial" w:hAnsi="Arial" w:cs="Arial"/>
          <w:sz w:val="48"/>
          <w:szCs w:val="48"/>
        </w:rPr>
      </w:pPr>
    </w:p>
    <w:p w14:paraId="261EE167" w14:textId="77777777" w:rsidR="003F0EEA" w:rsidRPr="00F17041" w:rsidRDefault="003F0EEA" w:rsidP="003F0EEA">
      <w:pPr>
        <w:pStyle w:val="Department0"/>
        <w:rPr>
          <w:rFonts w:ascii="Arial" w:hAnsi="Arial" w:cs="Arial"/>
          <w:sz w:val="48"/>
          <w:szCs w:val="48"/>
        </w:rPr>
      </w:pPr>
    </w:p>
    <w:p w14:paraId="09B9E598" w14:textId="77777777" w:rsidR="003F0EEA" w:rsidRPr="00F17041" w:rsidRDefault="003F0EEA" w:rsidP="003F0EEA">
      <w:pPr>
        <w:pStyle w:val="Department0"/>
        <w:rPr>
          <w:rFonts w:ascii="Arial" w:hAnsi="Arial" w:cs="Arial"/>
          <w:sz w:val="48"/>
          <w:szCs w:val="48"/>
        </w:rPr>
      </w:pPr>
    </w:p>
    <w:p w14:paraId="3BA99C09" w14:textId="77777777" w:rsidR="003F0EEA" w:rsidRPr="00F17041" w:rsidRDefault="003F0EEA" w:rsidP="003F0EEA">
      <w:pPr>
        <w:pStyle w:val="Department0"/>
        <w:rPr>
          <w:rFonts w:ascii="Arial" w:hAnsi="Arial" w:cs="Arial"/>
          <w:sz w:val="48"/>
          <w:szCs w:val="48"/>
        </w:rPr>
      </w:pPr>
    </w:p>
    <w:p w14:paraId="74D3D85D" w14:textId="77777777" w:rsidR="003F0EEA" w:rsidRPr="00F17041" w:rsidRDefault="00FB7D0B" w:rsidP="003F0EEA">
      <w:pPr>
        <w:pStyle w:val="Department0"/>
        <w:rPr>
          <w:rFonts w:ascii="Arial" w:hAnsi="Arial" w:cs="Arial"/>
        </w:rPr>
      </w:pPr>
      <w:r w:rsidRPr="00F17041">
        <w:rPr>
          <w:rFonts w:ascii="Arial" w:hAnsi="Arial" w:cs="Arial"/>
        </w:rPr>
        <w:t>Australian War Memorial</w:t>
      </w:r>
    </w:p>
    <w:p w14:paraId="7E20527B" w14:textId="77777777" w:rsidR="003F0EEA" w:rsidRPr="00F17041" w:rsidRDefault="003F0EEA" w:rsidP="003F0EEA">
      <w:pPr>
        <w:pStyle w:val="Department0"/>
        <w:rPr>
          <w:rFonts w:ascii="Arial" w:hAnsi="Arial" w:cs="Arial"/>
          <w:sz w:val="48"/>
          <w:szCs w:val="48"/>
        </w:rPr>
      </w:pPr>
    </w:p>
    <w:p w14:paraId="39092BB3" w14:textId="77777777" w:rsidR="003F0EEA" w:rsidRPr="00F17041" w:rsidRDefault="003F0EEA" w:rsidP="003F0EEA">
      <w:pPr>
        <w:pStyle w:val="Department0"/>
        <w:rPr>
          <w:rFonts w:ascii="Arial" w:hAnsi="Arial" w:cs="Arial"/>
          <w:sz w:val="48"/>
          <w:szCs w:val="48"/>
        </w:rPr>
      </w:pPr>
    </w:p>
    <w:p w14:paraId="2FDE44F9" w14:textId="77777777" w:rsidR="003F0EEA" w:rsidRPr="00F17041" w:rsidRDefault="003F0EEA" w:rsidP="003F0EEA">
      <w:pPr>
        <w:pStyle w:val="Department0"/>
        <w:rPr>
          <w:rFonts w:ascii="Arial" w:hAnsi="Arial" w:cs="Arial"/>
          <w:sz w:val="48"/>
          <w:szCs w:val="48"/>
        </w:rPr>
      </w:pPr>
    </w:p>
    <w:p w14:paraId="7D08E137" w14:textId="77777777" w:rsidR="003F0EEA" w:rsidRPr="00F17041" w:rsidRDefault="003F0EEA" w:rsidP="003F0EEA">
      <w:pPr>
        <w:pStyle w:val="Department0"/>
        <w:rPr>
          <w:rFonts w:ascii="Arial" w:hAnsi="Arial" w:cs="Arial"/>
          <w:sz w:val="48"/>
          <w:szCs w:val="48"/>
        </w:rPr>
      </w:pPr>
    </w:p>
    <w:p w14:paraId="58B4F63D" w14:textId="77777777" w:rsidR="003F0EEA" w:rsidRPr="00F17041" w:rsidRDefault="00FB7D0B" w:rsidP="003F0EEA">
      <w:pPr>
        <w:pStyle w:val="DepartmentSubtitle0"/>
        <w:rPr>
          <w:rFonts w:ascii="Arial" w:hAnsi="Arial" w:cs="Arial"/>
        </w:rPr>
      </w:pPr>
      <w:r>
        <w:rPr>
          <w:rFonts w:ascii="Arial" w:hAnsi="Arial" w:cs="Arial"/>
        </w:rPr>
        <w:t>Agency Resources and Planned P</w:t>
      </w:r>
      <w:r w:rsidRPr="00F17041">
        <w:rPr>
          <w:rFonts w:ascii="Arial" w:hAnsi="Arial" w:cs="Arial"/>
        </w:rPr>
        <w:t>erformance</w:t>
      </w:r>
    </w:p>
    <w:p w14:paraId="3157545C" w14:textId="77777777" w:rsidR="003F0EEA" w:rsidRPr="00F17041" w:rsidRDefault="003F0EEA">
      <w:pPr>
        <w:rPr>
          <w:rFonts w:ascii="Arial" w:eastAsia="Times New Roman" w:hAnsi="Arial" w:cs="Arial"/>
        </w:rPr>
        <w:sectPr w:rsidR="003F0EEA" w:rsidRPr="00F17041">
          <w:headerReference w:type="even" r:id="rId64"/>
          <w:headerReference w:type="default" r:id="rId65"/>
          <w:footerReference w:type="even" r:id="rId66"/>
          <w:footerReference w:type="default" r:id="rId67"/>
          <w:pgSz w:w="10319" w:h="14572"/>
          <w:pgMar w:top="1077" w:right="1077" w:bottom="1134" w:left="1134" w:header="709" w:footer="709" w:gutter="0"/>
          <w:cols w:space="708"/>
        </w:sectPr>
      </w:pPr>
    </w:p>
    <w:p w14:paraId="7E4C0ADC" w14:textId="77777777" w:rsidR="003F0EEA" w:rsidRPr="00E25338" w:rsidRDefault="00FB7D0B">
      <w:pPr>
        <w:pStyle w:val="Normal214"/>
        <w:rPr>
          <w:color w:val="FFFFFF"/>
        </w:rPr>
      </w:pPr>
      <w:r>
        <w:rPr>
          <w:color w:val="FFFFFF"/>
        </w:rPr>
        <w:lastRenderedPageBreak/>
        <w:t>DVA</w:t>
      </w:r>
    </w:p>
    <w:p w14:paraId="46499807" w14:textId="77777777" w:rsidR="003F0EEA" w:rsidRPr="00E25338" w:rsidRDefault="003F0EEA">
      <w:pPr>
        <w:rPr>
          <w:rFonts w:ascii="Times New Roman" w:eastAsia="Times New Roman" w:hAnsi="Times New Roman" w:cs="Times New Roman"/>
          <w:color w:val="FFFFFF"/>
        </w:rPr>
        <w:sectPr w:rsidR="003F0EEA" w:rsidRPr="00E25338">
          <w:footerReference w:type="even" r:id="rId68"/>
          <w:footerReference w:type="default" r:id="rId69"/>
          <w:pgSz w:w="10319" w:h="14572"/>
          <w:pgMar w:top="1077" w:right="1077" w:bottom="1134" w:left="1134" w:header="709" w:footer="709" w:gutter="0"/>
          <w:cols w:space="708"/>
        </w:sectPr>
      </w:pPr>
    </w:p>
    <w:p w14:paraId="105A12FF" w14:textId="77777777" w:rsidR="003F0EEA" w:rsidRDefault="00FB7D0B" w:rsidP="003F0EEA">
      <w:pPr>
        <w:pStyle w:val="ContentsHeading2"/>
      </w:pPr>
      <w:r>
        <w:lastRenderedPageBreak/>
        <w:t>Australian War Memorial</w:t>
      </w:r>
    </w:p>
    <w:p w14:paraId="6A977AEE" w14:textId="77777777" w:rsidR="003F0EEA" w:rsidRPr="00237412" w:rsidRDefault="00FB7D0B" w:rsidP="003F0EEA">
      <w:pPr>
        <w:pStyle w:val="TOC3"/>
        <w:ind w:right="-87"/>
        <w:rPr>
          <w:noProof/>
          <w:szCs w:val="24"/>
        </w:rPr>
      </w:pPr>
      <w:r>
        <w:rPr>
          <w:noProof/>
        </w:rPr>
        <w:t>Section 1: Agency Overview and Resources</w:t>
      </w:r>
      <w:r>
        <w:rPr>
          <w:noProof/>
        </w:rPr>
        <w:tab/>
        <w:t>99</w:t>
      </w:r>
    </w:p>
    <w:p w14:paraId="5053E270" w14:textId="77777777" w:rsidR="003F0EEA" w:rsidRPr="00F84997" w:rsidRDefault="00FB7D0B" w:rsidP="003F0EEA">
      <w:pPr>
        <w:pStyle w:val="TOC4"/>
        <w:tabs>
          <w:tab w:val="left" w:pos="800"/>
        </w:tabs>
        <w:rPr>
          <w:noProof/>
          <w:szCs w:val="24"/>
        </w:rPr>
      </w:pPr>
      <w:r w:rsidRPr="0059396C">
        <w:rPr>
          <w:rFonts w:cs="Arial"/>
          <w:noProof/>
        </w:rPr>
        <w:t>1.1</w:t>
      </w:r>
      <w:r>
        <w:rPr>
          <w:rFonts w:cs="Arial"/>
          <w:noProof/>
        </w:rPr>
        <w:t xml:space="preserve"> </w:t>
      </w:r>
      <w:r>
        <w:rPr>
          <w:noProof/>
        </w:rPr>
        <w:t>Strategic Direction Statement</w:t>
      </w:r>
      <w:r>
        <w:rPr>
          <w:noProof/>
        </w:rPr>
        <w:tab/>
        <w:t>99</w:t>
      </w:r>
    </w:p>
    <w:p w14:paraId="3D22C4B2" w14:textId="77777777" w:rsidR="003F0EEA" w:rsidRPr="00916D5E" w:rsidRDefault="00FB7D0B" w:rsidP="003F0EEA">
      <w:pPr>
        <w:pStyle w:val="TOC4"/>
        <w:tabs>
          <w:tab w:val="left" w:pos="800"/>
        </w:tabs>
        <w:rPr>
          <w:noProof/>
          <w:szCs w:val="24"/>
        </w:rPr>
      </w:pPr>
      <w:r>
        <w:rPr>
          <w:noProof/>
        </w:rPr>
        <w:t>1.2 Agency Resource Statement</w:t>
      </w:r>
      <w:r>
        <w:rPr>
          <w:noProof/>
        </w:rPr>
        <w:tab/>
        <w:t>101</w:t>
      </w:r>
    </w:p>
    <w:p w14:paraId="79E0AA9D" w14:textId="77777777" w:rsidR="003F0EEA" w:rsidRPr="000E6B7F" w:rsidRDefault="00FB7D0B" w:rsidP="003F0EEA">
      <w:pPr>
        <w:pStyle w:val="TOC4"/>
        <w:tabs>
          <w:tab w:val="left" w:pos="800"/>
        </w:tabs>
        <w:rPr>
          <w:noProof/>
        </w:rPr>
      </w:pPr>
      <w:r w:rsidRPr="0059396C">
        <w:rPr>
          <w:rFonts w:cs="Arial"/>
          <w:noProof/>
        </w:rPr>
        <w:t>1.3</w:t>
      </w:r>
      <w:r>
        <w:rPr>
          <w:rFonts w:cs="Arial"/>
          <w:noProof/>
        </w:rPr>
        <w:t xml:space="preserve"> </w:t>
      </w:r>
      <w:r>
        <w:rPr>
          <w:noProof/>
        </w:rPr>
        <w:t>Budget Measures</w:t>
      </w:r>
      <w:r>
        <w:rPr>
          <w:noProof/>
        </w:rPr>
        <w:tab/>
        <w:t>102</w:t>
      </w:r>
    </w:p>
    <w:p w14:paraId="3AFE53F4" w14:textId="77777777" w:rsidR="003F0EEA" w:rsidRPr="00B82CD9" w:rsidRDefault="00FB7D0B" w:rsidP="003F0EEA">
      <w:pPr>
        <w:pStyle w:val="TOC3"/>
        <w:rPr>
          <w:noProof/>
          <w:szCs w:val="24"/>
        </w:rPr>
      </w:pPr>
      <w:r>
        <w:rPr>
          <w:noProof/>
        </w:rPr>
        <w:t>Section 2: Outcomes and Planned Performance</w:t>
      </w:r>
      <w:r>
        <w:rPr>
          <w:noProof/>
        </w:rPr>
        <w:tab/>
        <w:t>103</w:t>
      </w:r>
    </w:p>
    <w:p w14:paraId="49E7887D" w14:textId="77777777" w:rsidR="003F0EEA" w:rsidRPr="00B82CD9" w:rsidRDefault="00FB7D0B" w:rsidP="003F0EEA">
      <w:pPr>
        <w:pStyle w:val="TOC4"/>
        <w:tabs>
          <w:tab w:val="left" w:pos="800"/>
        </w:tabs>
        <w:rPr>
          <w:noProof/>
          <w:szCs w:val="24"/>
        </w:rPr>
      </w:pPr>
      <w:r w:rsidRPr="0059396C">
        <w:rPr>
          <w:rFonts w:cs="Arial"/>
          <w:noProof/>
        </w:rPr>
        <w:t>2.1</w:t>
      </w:r>
      <w:r>
        <w:rPr>
          <w:rFonts w:cs="Arial"/>
          <w:noProof/>
        </w:rPr>
        <w:t xml:space="preserve"> O</w:t>
      </w:r>
      <w:r>
        <w:rPr>
          <w:noProof/>
        </w:rPr>
        <w:t>utcomes and Performance Information</w:t>
      </w:r>
      <w:r>
        <w:rPr>
          <w:noProof/>
        </w:rPr>
        <w:tab/>
        <w:t>103</w:t>
      </w:r>
    </w:p>
    <w:p w14:paraId="526BFCE0" w14:textId="77777777" w:rsidR="003F0EEA" w:rsidRPr="005B18CD" w:rsidRDefault="00FB7D0B" w:rsidP="003F0EEA">
      <w:pPr>
        <w:pStyle w:val="TOC3"/>
        <w:rPr>
          <w:noProof/>
          <w:szCs w:val="24"/>
        </w:rPr>
      </w:pPr>
      <w:r>
        <w:rPr>
          <w:noProof/>
        </w:rPr>
        <w:t>Section 3: Explanatory Tables and Budgeted Financial Statements</w:t>
      </w:r>
      <w:r>
        <w:rPr>
          <w:noProof/>
        </w:rPr>
        <w:tab/>
        <w:t>115</w:t>
      </w:r>
    </w:p>
    <w:p w14:paraId="13D0F292" w14:textId="77777777" w:rsidR="003F0EEA" w:rsidRPr="005B18CD" w:rsidRDefault="00FB7D0B" w:rsidP="003F0EEA">
      <w:pPr>
        <w:pStyle w:val="TOC4"/>
        <w:tabs>
          <w:tab w:val="left" w:pos="800"/>
        </w:tabs>
        <w:rPr>
          <w:noProof/>
        </w:rPr>
      </w:pPr>
      <w:r w:rsidRPr="0059396C">
        <w:rPr>
          <w:rFonts w:cs="Arial"/>
          <w:noProof/>
        </w:rPr>
        <w:t>3.1</w:t>
      </w:r>
      <w:r>
        <w:rPr>
          <w:rFonts w:cs="Arial"/>
          <w:noProof/>
        </w:rPr>
        <w:t xml:space="preserve"> </w:t>
      </w:r>
      <w:r>
        <w:rPr>
          <w:noProof/>
        </w:rPr>
        <w:t>Explanatory Tables</w:t>
      </w:r>
      <w:r>
        <w:rPr>
          <w:noProof/>
        </w:rPr>
        <w:tab/>
        <w:t>115</w:t>
      </w:r>
    </w:p>
    <w:p w14:paraId="51F692AB" w14:textId="77777777" w:rsidR="003F0EEA" w:rsidRPr="00920A19" w:rsidRDefault="00FB7D0B" w:rsidP="003F0EEA">
      <w:pPr>
        <w:pStyle w:val="TOC4"/>
        <w:tabs>
          <w:tab w:val="left" w:pos="800"/>
        </w:tabs>
        <w:rPr>
          <w:noProof/>
        </w:rPr>
      </w:pPr>
      <w:r w:rsidRPr="0059396C">
        <w:rPr>
          <w:rFonts w:cs="Arial"/>
          <w:noProof/>
        </w:rPr>
        <w:t>3.2</w:t>
      </w:r>
      <w:r>
        <w:rPr>
          <w:rFonts w:cs="Arial"/>
          <w:noProof/>
        </w:rPr>
        <w:t xml:space="preserve"> </w:t>
      </w:r>
      <w:r>
        <w:rPr>
          <w:noProof/>
        </w:rPr>
        <w:t>Budgeted Financial Statements</w:t>
      </w:r>
      <w:r>
        <w:rPr>
          <w:noProof/>
        </w:rPr>
        <w:tab/>
        <w:t>117</w:t>
      </w:r>
    </w:p>
    <w:p w14:paraId="7B659CD5" w14:textId="77777777" w:rsidR="003F0EEA" w:rsidRPr="00E25338" w:rsidRDefault="00FB7D0B">
      <w:pPr>
        <w:pStyle w:val="Normal217"/>
        <w:rPr>
          <w:color w:val="FFFFFF"/>
        </w:rPr>
      </w:pPr>
      <w:r>
        <w:rPr>
          <w:color w:val="FFFFFF"/>
        </w:rPr>
        <w:t>DVA</w:t>
      </w:r>
    </w:p>
    <w:p w14:paraId="043E9B1B" w14:textId="77777777" w:rsidR="003F0EEA" w:rsidRPr="00E25338" w:rsidRDefault="003F0EEA">
      <w:pPr>
        <w:rPr>
          <w:rFonts w:eastAsia="Times New Roman" w:cs="Times New Roman"/>
          <w:color w:val="FFFFFF"/>
        </w:rPr>
        <w:sectPr w:rsidR="003F0EEA" w:rsidRPr="00E25338">
          <w:footerReference w:type="even" r:id="rId70"/>
          <w:footerReference w:type="default" r:id="rId71"/>
          <w:pgSz w:w="10319" w:h="14572"/>
          <w:pgMar w:top="1077" w:right="1077" w:bottom="1134" w:left="1134" w:header="709" w:footer="709" w:gutter="0"/>
          <w:cols w:space="708"/>
        </w:sectPr>
      </w:pPr>
    </w:p>
    <w:p w14:paraId="70D11ADF" w14:textId="77777777" w:rsidR="00724034" w:rsidRDefault="00724034">
      <w:pPr>
        <w:sectPr w:rsidR="00724034">
          <w:footerReference w:type="even" r:id="rId72"/>
          <w:footerReference w:type="default" r:id="rId73"/>
          <w:pgSz w:w="10319" w:h="14572"/>
          <w:pgMar w:top="1077" w:right="1077" w:bottom="1134" w:left="1134" w:header="709" w:footer="709" w:gutter="0"/>
          <w:cols w:space="708"/>
        </w:sectPr>
      </w:pPr>
    </w:p>
    <w:p w14:paraId="2100C278" w14:textId="77777777" w:rsidR="003F0EEA" w:rsidRDefault="00FB7D0B" w:rsidP="003F0EEA">
      <w:pPr>
        <w:pStyle w:val="Heading12"/>
        <w:ind w:left="1134" w:firstLine="567"/>
        <w:jc w:val="both"/>
      </w:pPr>
      <w:r>
        <w:lastRenderedPageBreak/>
        <w:t>Australian War Memorial</w:t>
      </w:r>
    </w:p>
    <w:p w14:paraId="353126F9" w14:textId="77777777" w:rsidR="003F0EEA" w:rsidRDefault="003F0EEA" w:rsidP="003F0EEA">
      <w:pPr>
        <w:pStyle w:val="Heading12"/>
      </w:pPr>
    </w:p>
    <w:p w14:paraId="39B0ECD5" w14:textId="77777777" w:rsidR="003F0EEA" w:rsidRDefault="00FB7D0B" w:rsidP="003F0EEA">
      <w:pPr>
        <w:pStyle w:val="Heading22"/>
      </w:pPr>
      <w:r>
        <w:t>Section 1: Agency overview and resources</w:t>
      </w:r>
    </w:p>
    <w:p w14:paraId="537A8111" w14:textId="77777777" w:rsidR="003F0EEA" w:rsidRDefault="00FB7D0B" w:rsidP="003F0EEA">
      <w:pPr>
        <w:pStyle w:val="Heading310"/>
      </w:pPr>
      <w:r>
        <w:t>1.1</w:t>
      </w:r>
      <w:r>
        <w:tab/>
        <w:t>Strategic Direction Statement</w:t>
      </w:r>
    </w:p>
    <w:p w14:paraId="1DB65347" w14:textId="77777777" w:rsidR="003F0EEA" w:rsidRDefault="00FB7D0B" w:rsidP="003F0EEA">
      <w:pPr>
        <w:pStyle w:val="Normal222"/>
      </w:pPr>
      <w:r>
        <w:t xml:space="preserve">The Australian Government’s outcome for the Australian War Memorial (AWM) includes all functions required of the Memorial under the </w:t>
      </w:r>
      <w:r>
        <w:rPr>
          <w:i/>
        </w:rPr>
        <w:t>Australian</w:t>
      </w:r>
      <w:r>
        <w:t xml:space="preserve"> </w:t>
      </w:r>
      <w:r>
        <w:rPr>
          <w:i/>
        </w:rPr>
        <w:t>War Memorial Act 1980</w:t>
      </w:r>
      <w:r>
        <w:t>. One programme and eight programme components contribute to a single outcome:</w:t>
      </w:r>
    </w:p>
    <w:p w14:paraId="76A5860F" w14:textId="77777777" w:rsidR="003F0EEA" w:rsidRDefault="00FB7D0B" w:rsidP="003F0EEA">
      <w:pPr>
        <w:pStyle w:val="Normal222"/>
        <w:ind w:left="567" w:right="737"/>
      </w:pPr>
      <w:r>
        <w:rPr>
          <w:i/>
        </w:rPr>
        <w:t>Outcome 1: Australians remembering, interpreting and understanding the Australian experience of war and its enduring impact through maintaining and developing the National Memorial, its collection and exhibition of historical material, commemorative ceremonies and research</w:t>
      </w:r>
      <w:r>
        <w:t>.</w:t>
      </w:r>
    </w:p>
    <w:p w14:paraId="4714E14A" w14:textId="77777777" w:rsidR="003F0EEA" w:rsidRDefault="00FB7D0B" w:rsidP="003F0EEA">
      <w:pPr>
        <w:pStyle w:val="Normal222"/>
        <w:spacing w:before="120" w:after="0" w:line="240" w:lineRule="auto"/>
      </w:pPr>
      <w:r>
        <w:t xml:space="preserve">During 2014-15, the Memorial will contribute significantly to its planned outcome by delivering the priorities and strategies detailed in the </w:t>
      </w:r>
      <w:r>
        <w:rPr>
          <w:i/>
        </w:rPr>
        <w:t>Corporate Plan 2014-2017</w:t>
      </w:r>
      <w:r>
        <w:t>.</w:t>
      </w:r>
    </w:p>
    <w:p w14:paraId="0713A6D5" w14:textId="77777777" w:rsidR="003F0EEA" w:rsidRDefault="00FB7D0B" w:rsidP="003F0EEA">
      <w:pPr>
        <w:pStyle w:val="Normal222"/>
        <w:spacing w:before="120" w:after="0" w:line="240" w:lineRule="auto"/>
      </w:pPr>
      <w:r>
        <w:rPr>
          <w:lang w:val="en-GB"/>
        </w:rPr>
        <w:t xml:space="preserve">Preparation for the Centenary of the First World War 2014-2018 will continue and implementation of a number of programmes commenced.  </w:t>
      </w:r>
      <w:r>
        <w:t xml:space="preserve">On behalf of Government the Memorial will be developing the Anzac Centenary Travelling Exhibition and delivering an Anzac Centenary merchandising programme.  </w:t>
      </w:r>
      <w:r>
        <w:rPr>
          <w:lang w:val="en-GB"/>
        </w:rPr>
        <w:t xml:space="preserve">The Memorial will deliver the </w:t>
      </w:r>
      <w:r>
        <w:t xml:space="preserve">First World War galleries redevelopment by the end of 2014 with a formal opening planned for early 2015.  </w:t>
      </w:r>
    </w:p>
    <w:p w14:paraId="17F3EFC8" w14:textId="77777777" w:rsidR="003F0EEA" w:rsidRDefault="00FB7D0B" w:rsidP="003F0EEA">
      <w:pPr>
        <w:pStyle w:val="Normal222"/>
        <w:spacing w:before="120" w:after="0" w:line="240" w:lineRule="auto"/>
        <w:rPr>
          <w:bCs/>
          <w:i/>
          <w:iCs/>
        </w:rPr>
      </w:pPr>
      <w:r>
        <w:t xml:space="preserve">Other key centenary projects will focus on commemorations such as the enhanced Anzac Day 2015 National Ceremony, a performance on 26 April 2015 following Anzac Day, the Commemorative Crosses programme which engages school children on an international scale and enhancements to the Commemorative Area including a Roll of Honour soundscape and lighting projections.  School children across the nation will be involved in the sound recordings of the Roll of Honour soundscape.  Anzac Connections will improve online access to the National Collection and encourage collaboration and community engagement.  The History Channel documentary series, the Gallipoli conference, and the publication and exhibition programme will disseminate information and engage with the broader Australian and international community.  First World War publications include </w:t>
      </w:r>
      <w:r>
        <w:rPr>
          <w:bCs/>
          <w:i/>
          <w:iCs/>
        </w:rPr>
        <w:t xml:space="preserve">ANZAC Treasures: the Gallipoli collections of the Australian War Memorial and Australians at the Great War, 1914-1918.  </w:t>
      </w:r>
    </w:p>
    <w:p w14:paraId="04427A31" w14:textId="77777777" w:rsidR="003F0EEA" w:rsidRDefault="00FB7D0B" w:rsidP="003F0EEA">
      <w:pPr>
        <w:pStyle w:val="Normal222"/>
        <w:spacing w:before="120" w:after="0" w:line="240" w:lineRule="auto"/>
      </w:pPr>
      <w:r>
        <w:t xml:space="preserve">The travelling exhibition programme will see six exhibitions tour during the year, including: </w:t>
      </w:r>
      <w:r>
        <w:rPr>
          <w:i/>
        </w:rPr>
        <w:t>Shaun Gladwell: Afghanistan</w:t>
      </w:r>
      <w:r>
        <w:t xml:space="preserve">; </w:t>
      </w:r>
      <w:r>
        <w:rPr>
          <w:i/>
        </w:rPr>
        <w:t>Nurses: Zululand to Afghanistan</w:t>
      </w:r>
      <w:r>
        <w:t xml:space="preserve">; </w:t>
      </w:r>
      <w:r>
        <w:rPr>
          <w:i/>
        </w:rPr>
        <w:t>Ben Quilty: After Afghanistan</w:t>
      </w:r>
      <w:r>
        <w:t xml:space="preserve">; </w:t>
      </w:r>
      <w:r>
        <w:rPr>
          <w:i/>
        </w:rPr>
        <w:t>Remember me: the lost diggers of Vignacourt</w:t>
      </w:r>
      <w:r>
        <w:t xml:space="preserve">; </w:t>
      </w:r>
      <w:r>
        <w:rPr>
          <w:i/>
        </w:rPr>
        <w:t>Reality in Flames: modern Australian art and the Second World War</w:t>
      </w:r>
      <w:r>
        <w:t xml:space="preserve">; and </w:t>
      </w:r>
      <w:r>
        <w:rPr>
          <w:i/>
        </w:rPr>
        <w:t>A Camera at Gallipoli</w:t>
      </w:r>
      <w:r>
        <w:t xml:space="preserve"> (working title).  </w:t>
      </w:r>
    </w:p>
    <w:p w14:paraId="05565590" w14:textId="77777777" w:rsidR="003F0EEA" w:rsidRPr="00257375" w:rsidRDefault="00FB7D0B" w:rsidP="003F0EEA">
      <w:pPr>
        <w:pStyle w:val="Normal222"/>
        <w:spacing w:before="120" w:after="0" w:line="240" w:lineRule="auto"/>
      </w:pPr>
      <w:r>
        <w:t>The History Channel documentary series showing the Memorial behind the scenes and a Memorial Centenary merchandising programme will also promote the Memorial and our activities across Australia and internationally.</w:t>
      </w:r>
    </w:p>
    <w:p w14:paraId="5C1D2BC9" w14:textId="77777777" w:rsidR="003F0EEA" w:rsidRPr="00257375" w:rsidRDefault="003F0EEA">
      <w:pPr>
        <w:rPr>
          <w:rFonts w:eastAsia="Times New Roman" w:cs="Times New Roman"/>
        </w:rPr>
        <w:sectPr w:rsidR="003F0EEA" w:rsidRPr="00257375">
          <w:footerReference w:type="even" r:id="rId74"/>
          <w:footerReference w:type="default" r:id="rId75"/>
          <w:pgSz w:w="10319" w:h="14572"/>
          <w:pgMar w:top="1077" w:right="1077" w:bottom="1134" w:left="1134" w:header="709" w:footer="709" w:gutter="0"/>
          <w:cols w:space="708"/>
        </w:sectPr>
      </w:pPr>
    </w:p>
    <w:p w14:paraId="662599E1" w14:textId="77777777" w:rsidR="003F0EEA" w:rsidRDefault="00FB7D0B" w:rsidP="003F0EEA">
      <w:pPr>
        <w:pStyle w:val="Normal225"/>
        <w:spacing w:before="120" w:after="0" w:line="240" w:lineRule="auto"/>
      </w:pPr>
      <w:r>
        <w:lastRenderedPageBreak/>
        <w:t xml:space="preserve">The writing of the </w:t>
      </w:r>
      <w:r>
        <w:rPr>
          <w:i/>
        </w:rPr>
        <w:t>Official History of Peacekeeping and Post-Cold War Conflicts</w:t>
      </w:r>
      <w:r>
        <w:t xml:space="preserve"> will continue in 2014-15. This major project ensures that the Memorial continues its important role of recording </w:t>
      </w:r>
      <w:smartTag w:uri="urn:schemas-microsoft-com:office:smarttags" w:element="country-region">
        <w:smartTag w:uri="urn:schemas-microsoft-com:office:smarttags" w:element="place">
          <w:r>
            <w:t>Australia</w:t>
          </w:r>
        </w:smartTag>
      </w:smartTag>
      <w:r>
        <w:t xml:space="preserve">’s military history.  </w:t>
      </w:r>
    </w:p>
    <w:p w14:paraId="4B8D411A" w14:textId="77777777" w:rsidR="003F0EEA" w:rsidRDefault="00FB7D0B" w:rsidP="003F0EEA">
      <w:pPr>
        <w:pStyle w:val="Normal225"/>
        <w:spacing w:before="120" w:after="0" w:line="240" w:lineRule="auto"/>
      </w:pPr>
      <w:r>
        <w:t xml:space="preserve">The Memorial will continue to provide dignified and fitting ceremonies, not only for Anzac Day and Remembrance Day, but for other commemorative days.  The Last Post ceremony will be conducted on a daily basis and will be streamed live via the Memorial’s website.  </w:t>
      </w:r>
    </w:p>
    <w:p w14:paraId="05075FA9" w14:textId="77777777" w:rsidR="003F0EEA" w:rsidRDefault="00FB7D0B" w:rsidP="003F0EEA">
      <w:pPr>
        <w:pStyle w:val="CommentText"/>
        <w:spacing w:before="120" w:after="0" w:line="240" w:lineRule="auto"/>
        <w:rPr>
          <w:color w:val="000000"/>
        </w:rPr>
      </w:pPr>
      <w:r>
        <w:rPr>
          <w:color w:val="000000"/>
        </w:rPr>
        <w:t xml:space="preserve">Education programmes will continue to be a focus and the Memorial will deliver a range of high quality, engaging, curriculum-related school education programmes as well as increased online resources for teachers and students.  </w:t>
      </w:r>
    </w:p>
    <w:p w14:paraId="06ED8860" w14:textId="77777777" w:rsidR="003F0EEA" w:rsidRDefault="00FB7D0B" w:rsidP="003F0EEA">
      <w:pPr>
        <w:pStyle w:val="CommentText"/>
        <w:spacing w:before="120" w:after="0" w:line="240" w:lineRule="auto"/>
        <w:rPr>
          <w:color w:val="000000"/>
        </w:rPr>
      </w:pPr>
      <w:r>
        <w:rPr>
          <w:color w:val="000000"/>
        </w:rPr>
        <w:t xml:space="preserve">The Web Strategic Plan will be reviewed and updated and will include a strategy for the coordinated delivery of internet and social media components to internal and external users.  </w:t>
      </w:r>
    </w:p>
    <w:p w14:paraId="61958445" w14:textId="77777777" w:rsidR="003F0EEA" w:rsidRDefault="00FB7D0B" w:rsidP="003F0EEA">
      <w:pPr>
        <w:pStyle w:val="CommentText"/>
        <w:spacing w:before="120" w:after="0" w:line="240" w:lineRule="auto"/>
        <w:rPr>
          <w:color w:val="000000"/>
        </w:rPr>
      </w:pPr>
      <w:r>
        <w:rPr>
          <w:color w:val="000000"/>
        </w:rPr>
        <w:t xml:space="preserve">Major collection conservation programmes will continue with a focus on meeting the requirements of the First World War projects.   The Collection Development Plan will be reviewed to identify gaps in the Collection, determine an approach for collecting for new conflicts, develop themes for ongoing collection development and ensure acquisitions and donations are managed effectively and efficiently.  Implementation of a Treloar Site Development Plan to increase Collection storage at the Mitchell precinct will be commenced.  </w:t>
      </w:r>
    </w:p>
    <w:p w14:paraId="40002A27" w14:textId="77777777" w:rsidR="003F0EEA" w:rsidRDefault="00FB7D0B" w:rsidP="003F0EEA">
      <w:pPr>
        <w:pStyle w:val="Normal225"/>
        <w:autoSpaceDE w:val="0"/>
        <w:autoSpaceDN w:val="0"/>
        <w:adjustRightInd w:val="0"/>
        <w:spacing w:before="120" w:after="0" w:line="240" w:lineRule="auto"/>
      </w:pPr>
      <w:r>
        <w:t xml:space="preserve">The Memorial will also be developing and implementing an Enterprise Architecture Strategy to improve business processes across all Memorial operations, increase flexibility for staff to achieve business goals, and to provide better services and facilities for visitors.  </w:t>
      </w:r>
    </w:p>
    <w:p w14:paraId="615DE0E6" w14:textId="77777777" w:rsidR="003F0EEA" w:rsidRDefault="003F0EEA">
      <w:pPr>
        <w:rPr>
          <w:rFonts w:eastAsia="Times New Roman" w:cs="Times New Roman"/>
        </w:rPr>
        <w:sectPr w:rsidR="003F0EEA">
          <w:headerReference w:type="even" r:id="rId76"/>
          <w:headerReference w:type="default" r:id="rId77"/>
          <w:type w:val="continuous"/>
          <w:pgSz w:w="10319" w:h="14572"/>
          <w:pgMar w:top="1077" w:right="1077" w:bottom="1134" w:left="1134" w:header="709" w:footer="709" w:gutter="0"/>
          <w:cols w:space="708"/>
        </w:sectPr>
      </w:pPr>
    </w:p>
    <w:p w14:paraId="6989C360" w14:textId="77777777" w:rsidR="003F0EEA" w:rsidRDefault="00FB7D0B" w:rsidP="003F0EEA">
      <w:pPr>
        <w:pStyle w:val="Heading39"/>
      </w:pPr>
      <w:r>
        <w:rPr>
          <w:rFonts w:cs="Arial"/>
        </w:rPr>
        <w:lastRenderedPageBreak/>
        <w:t>1.2</w:t>
      </w:r>
      <w:r>
        <w:rPr>
          <w:rFonts w:cs="Arial"/>
        </w:rPr>
        <w:tab/>
        <w:t>Agency resource statement</w:t>
      </w:r>
    </w:p>
    <w:p w14:paraId="65192253" w14:textId="77777777" w:rsidR="003F0EEA" w:rsidRDefault="00FB7D0B" w:rsidP="003F0EEA">
      <w:pPr>
        <w:pStyle w:val="Normal226"/>
      </w:pPr>
      <w:r>
        <w:t>Table 1.1 shows the total resources from all sources. The table summarises how resources will be applied by outcome and by administered and departmental classification.</w:t>
      </w:r>
    </w:p>
    <w:p w14:paraId="1046ABF0" w14:textId="77777777" w:rsidR="003F0EEA" w:rsidRDefault="00FB7D0B" w:rsidP="003F0EEA">
      <w:pPr>
        <w:pStyle w:val="TableHeading24"/>
        <w:spacing w:before="0" w:after="0"/>
      </w:pPr>
      <w:r>
        <w:t>Table 1.1: Australian War Memorial Resource Statement</w:t>
      </w:r>
    </w:p>
    <w:p w14:paraId="023ECB3E" w14:textId="77777777" w:rsidR="003F0EEA" w:rsidRPr="008C27C3" w:rsidRDefault="00FB7D0B" w:rsidP="003F0EEA">
      <w:pPr>
        <w:pStyle w:val="TableHeading24"/>
        <w:spacing w:before="0" w:after="0"/>
      </w:pPr>
      <w:r>
        <w:t>Budget estimates for 2014-15 as at Budget May</w:t>
      </w:r>
      <w:r w:rsidRPr="008C27C3">
        <w:t xml:space="preserve"> 2014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0"/>
        <w:gridCol w:w="250"/>
        <w:gridCol w:w="2475"/>
        <w:gridCol w:w="250"/>
        <w:gridCol w:w="1080"/>
        <w:gridCol w:w="250"/>
        <w:gridCol w:w="930"/>
        <w:gridCol w:w="250"/>
        <w:gridCol w:w="930"/>
        <w:gridCol w:w="1155"/>
      </w:tblGrid>
      <w:tr w:rsidR="00724034" w14:paraId="5F544DE2" w14:textId="77777777">
        <w:trPr>
          <w:trHeight w:val="225"/>
        </w:trPr>
        <w:tc>
          <w:tcPr>
            <w:tcW w:w="180"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3E07ADB7" w14:textId="77777777" w:rsidR="003F0EEA" w:rsidRPr="008C27C3" w:rsidRDefault="003F0EEA">
            <w:pPr>
              <w:rPr>
                <w:rFonts w:eastAsia="Times New Roman"/>
              </w:rPr>
            </w:pPr>
          </w:p>
        </w:tc>
        <w:tc>
          <w:tcPr>
            <w:tcW w:w="180"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47A0150E" w14:textId="77777777" w:rsidR="003F0EEA" w:rsidRPr="008C27C3" w:rsidRDefault="003F0EEA">
            <w:pPr>
              <w:rPr>
                <w:rFonts w:ascii="Arial" w:eastAsia="Arial" w:hAnsi="Arial" w:cs="Arial"/>
                <w:color w:val="000000"/>
                <w:sz w:val="16"/>
              </w:rPr>
            </w:pPr>
          </w:p>
        </w:tc>
        <w:tc>
          <w:tcPr>
            <w:tcW w:w="2475"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6354A72E" w14:textId="77777777" w:rsidR="003F0EEA" w:rsidRPr="008C27C3" w:rsidRDefault="003F0EEA">
            <w:pPr>
              <w:rPr>
                <w:rFonts w:ascii="Arial" w:eastAsia="Arial" w:hAnsi="Arial" w:cs="Arial"/>
                <w:color w:val="000000"/>
                <w:sz w:val="16"/>
              </w:rPr>
            </w:pPr>
          </w:p>
        </w:tc>
        <w:tc>
          <w:tcPr>
            <w:tcW w:w="90"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419E7B88" w14:textId="77777777" w:rsidR="003F0EEA" w:rsidRPr="008C27C3" w:rsidRDefault="003F0EEA">
            <w:pPr>
              <w:jc w:val="center"/>
              <w:rPr>
                <w:rFonts w:ascii="Arial" w:eastAsia="Arial" w:hAnsi="Arial" w:cs="Arial"/>
                <w:color w:val="000000"/>
                <w:sz w:val="16"/>
                <w:vertAlign w:val="superscript"/>
              </w:rPr>
            </w:pPr>
          </w:p>
        </w:tc>
        <w:tc>
          <w:tcPr>
            <w:tcW w:w="1080"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77F5F8DA" w14:textId="77777777" w:rsidR="003F0EEA" w:rsidRPr="008C27C3" w:rsidRDefault="00FB7D0B">
            <w:pPr>
              <w:jc w:val="right"/>
              <w:rPr>
                <w:rFonts w:ascii="Arial" w:eastAsia="Arial" w:hAnsi="Arial" w:cs="Arial"/>
                <w:color w:val="000000"/>
                <w:sz w:val="16"/>
                <w:vertAlign w:val="superscript"/>
              </w:rPr>
            </w:pPr>
            <w:r w:rsidRPr="008C27C3">
              <w:rPr>
                <w:rFonts w:ascii="Arial" w:eastAsia="Arial" w:hAnsi="Arial" w:cs="Arial"/>
                <w:color w:val="000000"/>
                <w:sz w:val="16"/>
              </w:rPr>
              <w:t>Estimate</w:t>
            </w:r>
          </w:p>
        </w:tc>
        <w:tc>
          <w:tcPr>
            <w:tcW w:w="90"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3258CB57" w14:textId="77777777" w:rsidR="003F0EEA" w:rsidRPr="008C27C3" w:rsidRDefault="003F0EEA">
            <w:pPr>
              <w:rPr>
                <w:rFonts w:ascii="Arial" w:eastAsia="Arial" w:hAnsi="Arial" w:cs="Arial"/>
                <w:color w:val="000000"/>
                <w:sz w:val="16"/>
              </w:rPr>
            </w:pPr>
          </w:p>
        </w:tc>
        <w:tc>
          <w:tcPr>
            <w:tcW w:w="930"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137DA419" w14:textId="77777777" w:rsidR="003F0EEA" w:rsidRPr="008C27C3" w:rsidRDefault="00FB7D0B">
            <w:pPr>
              <w:jc w:val="right"/>
              <w:rPr>
                <w:rFonts w:ascii="Arial" w:eastAsia="Arial" w:hAnsi="Arial" w:cs="Arial"/>
                <w:color w:val="000000"/>
                <w:sz w:val="16"/>
              </w:rPr>
            </w:pPr>
            <w:r w:rsidRPr="008C27C3">
              <w:rPr>
                <w:rFonts w:ascii="Arial" w:eastAsia="Arial" w:hAnsi="Arial" w:cs="Arial"/>
                <w:color w:val="000000"/>
                <w:sz w:val="16"/>
              </w:rPr>
              <w:t>Proposed</w:t>
            </w:r>
          </w:p>
        </w:tc>
        <w:tc>
          <w:tcPr>
            <w:tcW w:w="90"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560CFE3D" w14:textId="77777777" w:rsidR="003F0EEA" w:rsidRPr="008C27C3" w:rsidRDefault="00FB7D0B">
            <w:pPr>
              <w:rPr>
                <w:rFonts w:ascii="Arial" w:eastAsia="Arial" w:hAnsi="Arial" w:cs="Arial"/>
                <w:color w:val="000000"/>
                <w:sz w:val="16"/>
              </w:rPr>
            </w:pPr>
            <w:r w:rsidRPr="008C27C3">
              <w:rPr>
                <w:rFonts w:ascii="Arial" w:eastAsia="Arial" w:hAnsi="Arial" w:cs="Arial"/>
                <w:color w:val="000000"/>
                <w:sz w:val="16"/>
              </w:rPr>
              <w:t xml:space="preserve"> </w:t>
            </w:r>
          </w:p>
        </w:tc>
        <w:tc>
          <w:tcPr>
            <w:tcW w:w="930" w:type="dxa"/>
            <w:tcBorders>
              <w:top w:val="single" w:sz="6" w:space="0" w:color="000000"/>
              <w:left w:val="nil"/>
              <w:bottom w:val="nil"/>
              <w:right w:val="nil"/>
              <w:tl2br w:val="nil"/>
              <w:tr2bl w:val="nil"/>
            </w:tcBorders>
            <w:shd w:val="clear" w:color="auto" w:fill="C0C0C0"/>
            <w:tcMar>
              <w:left w:w="115" w:type="dxa"/>
              <w:right w:w="115" w:type="dxa"/>
            </w:tcMar>
            <w:vAlign w:val="bottom"/>
          </w:tcPr>
          <w:p w14:paraId="4B825BFA" w14:textId="77777777" w:rsidR="003F0EEA" w:rsidRPr="008C27C3" w:rsidRDefault="00FB7D0B">
            <w:pPr>
              <w:jc w:val="right"/>
              <w:rPr>
                <w:rFonts w:ascii="Arial" w:eastAsia="Arial" w:hAnsi="Arial" w:cs="Arial"/>
                <w:color w:val="000000"/>
                <w:sz w:val="16"/>
              </w:rPr>
            </w:pPr>
            <w:r w:rsidRPr="008C27C3">
              <w:rPr>
                <w:rFonts w:ascii="Arial" w:eastAsia="Arial" w:hAnsi="Arial" w:cs="Arial"/>
                <w:color w:val="000000"/>
                <w:sz w:val="16"/>
              </w:rPr>
              <w:t xml:space="preserve">Total </w:t>
            </w:r>
          </w:p>
        </w:tc>
        <w:tc>
          <w:tcPr>
            <w:tcW w:w="1155"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630F5C49" w14:textId="77777777" w:rsidR="003F0EEA" w:rsidRPr="008C27C3" w:rsidRDefault="00FB7D0B">
            <w:pPr>
              <w:jc w:val="right"/>
              <w:rPr>
                <w:rFonts w:ascii="Arial" w:eastAsia="Arial" w:hAnsi="Arial" w:cs="Arial"/>
                <w:color w:val="000000"/>
                <w:sz w:val="16"/>
              </w:rPr>
            </w:pPr>
            <w:r w:rsidRPr="008C27C3">
              <w:rPr>
                <w:rFonts w:ascii="Arial" w:eastAsia="Arial" w:hAnsi="Arial" w:cs="Arial"/>
                <w:color w:val="000000"/>
                <w:sz w:val="16"/>
              </w:rPr>
              <w:t>Actual</w:t>
            </w:r>
          </w:p>
        </w:tc>
      </w:tr>
      <w:tr w:rsidR="00724034" w14:paraId="35255A1E" w14:textId="77777777">
        <w:trPr>
          <w:trHeight w:val="225"/>
        </w:trPr>
        <w:tc>
          <w:tcPr>
            <w:tcW w:w="180" w:type="dxa"/>
            <w:tcBorders>
              <w:top w:val="nil"/>
              <w:left w:val="nil"/>
              <w:bottom w:val="nil"/>
              <w:right w:val="nil"/>
              <w:tl2br w:val="nil"/>
              <w:tr2bl w:val="nil"/>
            </w:tcBorders>
            <w:shd w:val="clear" w:color="auto" w:fill="FFFFFF"/>
            <w:tcMar>
              <w:left w:w="115" w:type="dxa"/>
              <w:right w:w="115" w:type="dxa"/>
            </w:tcMar>
            <w:vAlign w:val="bottom"/>
          </w:tcPr>
          <w:p w14:paraId="403CD07C" w14:textId="77777777" w:rsidR="003F0EEA" w:rsidRPr="008C27C3" w:rsidRDefault="003F0EEA">
            <w:pPr>
              <w:rPr>
                <w:rFonts w:ascii="Arial" w:eastAsia="Arial" w:hAnsi="Arial" w:cs="Arial"/>
                <w:color w:val="000000"/>
                <w:sz w:val="16"/>
              </w:rPr>
            </w:pPr>
          </w:p>
        </w:tc>
        <w:tc>
          <w:tcPr>
            <w:tcW w:w="180" w:type="dxa"/>
            <w:tcBorders>
              <w:top w:val="nil"/>
              <w:left w:val="nil"/>
              <w:bottom w:val="nil"/>
              <w:right w:val="nil"/>
              <w:tl2br w:val="nil"/>
              <w:tr2bl w:val="nil"/>
            </w:tcBorders>
            <w:shd w:val="clear" w:color="auto" w:fill="FFFFFF"/>
            <w:tcMar>
              <w:left w:w="115" w:type="dxa"/>
              <w:right w:w="115" w:type="dxa"/>
            </w:tcMar>
            <w:vAlign w:val="bottom"/>
          </w:tcPr>
          <w:p w14:paraId="781708C6" w14:textId="77777777" w:rsidR="003F0EEA" w:rsidRPr="008C27C3" w:rsidRDefault="003F0EEA">
            <w:pPr>
              <w:rPr>
                <w:rFonts w:ascii="Arial" w:eastAsia="Arial" w:hAnsi="Arial" w:cs="Arial"/>
                <w:color w:val="000000"/>
                <w:sz w:val="16"/>
              </w:rPr>
            </w:pPr>
          </w:p>
        </w:tc>
        <w:tc>
          <w:tcPr>
            <w:tcW w:w="2475" w:type="dxa"/>
            <w:tcBorders>
              <w:top w:val="nil"/>
              <w:left w:val="nil"/>
              <w:bottom w:val="nil"/>
              <w:right w:val="nil"/>
              <w:tl2br w:val="nil"/>
              <w:tr2bl w:val="nil"/>
            </w:tcBorders>
            <w:shd w:val="clear" w:color="auto" w:fill="FFFFFF"/>
            <w:tcMar>
              <w:left w:w="115" w:type="dxa"/>
              <w:right w:w="115" w:type="dxa"/>
            </w:tcMar>
            <w:vAlign w:val="bottom"/>
          </w:tcPr>
          <w:p w14:paraId="26B88B11" w14:textId="77777777" w:rsidR="003F0EEA" w:rsidRPr="008C27C3" w:rsidRDefault="003F0EEA">
            <w:pPr>
              <w:rPr>
                <w:rFonts w:ascii="Arial" w:eastAsia="Arial" w:hAnsi="Arial" w:cs="Arial"/>
                <w:color w:val="000000"/>
                <w:sz w:val="16"/>
              </w:rPr>
            </w:pPr>
          </w:p>
        </w:tc>
        <w:tc>
          <w:tcPr>
            <w:tcW w:w="90" w:type="dxa"/>
            <w:tcBorders>
              <w:top w:val="nil"/>
              <w:left w:val="nil"/>
              <w:bottom w:val="nil"/>
              <w:right w:val="nil"/>
              <w:tl2br w:val="nil"/>
              <w:tr2bl w:val="nil"/>
            </w:tcBorders>
            <w:shd w:val="clear" w:color="auto" w:fill="FFFFFF"/>
            <w:tcMar>
              <w:left w:w="115" w:type="dxa"/>
              <w:right w:w="115" w:type="dxa"/>
            </w:tcMar>
            <w:vAlign w:val="bottom"/>
          </w:tcPr>
          <w:p w14:paraId="10BBDDD3" w14:textId="77777777" w:rsidR="003F0EEA" w:rsidRPr="008C27C3" w:rsidRDefault="003F0EEA">
            <w:pPr>
              <w:jc w:val="center"/>
              <w:rPr>
                <w:rFonts w:ascii="Arial" w:eastAsia="Arial" w:hAnsi="Arial" w:cs="Arial"/>
                <w:color w:val="000000"/>
                <w:sz w:val="16"/>
                <w:vertAlign w:val="superscript"/>
              </w:rPr>
            </w:pPr>
          </w:p>
        </w:tc>
        <w:tc>
          <w:tcPr>
            <w:tcW w:w="1080" w:type="dxa"/>
            <w:tcBorders>
              <w:top w:val="nil"/>
              <w:left w:val="nil"/>
              <w:bottom w:val="nil"/>
              <w:right w:val="nil"/>
              <w:tl2br w:val="nil"/>
              <w:tr2bl w:val="nil"/>
            </w:tcBorders>
            <w:shd w:val="clear" w:color="auto" w:fill="FFFFFF"/>
            <w:tcMar>
              <w:left w:w="115" w:type="dxa"/>
              <w:right w:w="115" w:type="dxa"/>
            </w:tcMar>
            <w:vAlign w:val="bottom"/>
          </w:tcPr>
          <w:p w14:paraId="1239A88B" w14:textId="77777777" w:rsidR="003F0EEA" w:rsidRPr="008C27C3" w:rsidRDefault="00FB7D0B">
            <w:pPr>
              <w:jc w:val="right"/>
              <w:rPr>
                <w:rFonts w:ascii="Arial" w:eastAsia="Arial" w:hAnsi="Arial" w:cs="Arial"/>
                <w:color w:val="000000"/>
                <w:sz w:val="16"/>
                <w:vertAlign w:val="superscript"/>
              </w:rPr>
            </w:pPr>
            <w:r w:rsidRPr="008C27C3">
              <w:rPr>
                <w:rFonts w:ascii="Arial" w:eastAsia="Arial" w:hAnsi="Arial" w:cs="Arial"/>
                <w:color w:val="000000"/>
                <w:sz w:val="16"/>
              </w:rPr>
              <w:t>of prior</w:t>
            </w:r>
          </w:p>
        </w:tc>
        <w:tc>
          <w:tcPr>
            <w:tcW w:w="90" w:type="dxa"/>
            <w:tcBorders>
              <w:top w:val="nil"/>
              <w:left w:val="nil"/>
              <w:bottom w:val="nil"/>
              <w:right w:val="nil"/>
              <w:tl2br w:val="nil"/>
              <w:tr2bl w:val="nil"/>
            </w:tcBorders>
            <w:shd w:val="clear" w:color="auto" w:fill="FFFFFF"/>
            <w:tcMar>
              <w:left w:w="115" w:type="dxa"/>
              <w:right w:w="115" w:type="dxa"/>
            </w:tcMar>
            <w:vAlign w:val="bottom"/>
          </w:tcPr>
          <w:p w14:paraId="49039B83" w14:textId="77777777" w:rsidR="003F0EEA" w:rsidRPr="008C27C3" w:rsidRDefault="00FB7D0B">
            <w:pPr>
              <w:jc w:val="center"/>
              <w:rPr>
                <w:rFonts w:ascii="Arial" w:eastAsia="Arial" w:hAnsi="Arial" w:cs="Arial"/>
                <w:color w:val="000000"/>
                <w:sz w:val="16"/>
              </w:rPr>
            </w:pPr>
            <w:r w:rsidRPr="008C27C3">
              <w:rPr>
                <w:rFonts w:ascii="Arial" w:eastAsia="Arial" w:hAnsi="Arial" w:cs="Arial"/>
                <w:color w:val="000000"/>
                <w:sz w:val="16"/>
                <w:vertAlign w:val="superscript"/>
              </w:rPr>
              <w:t>+</w:t>
            </w:r>
          </w:p>
        </w:tc>
        <w:tc>
          <w:tcPr>
            <w:tcW w:w="930" w:type="dxa"/>
            <w:tcBorders>
              <w:top w:val="nil"/>
              <w:left w:val="nil"/>
              <w:bottom w:val="nil"/>
              <w:right w:val="nil"/>
              <w:tl2br w:val="nil"/>
              <w:tr2bl w:val="nil"/>
            </w:tcBorders>
            <w:shd w:val="clear" w:color="auto" w:fill="FFFFFF"/>
            <w:tcMar>
              <w:left w:w="115" w:type="dxa"/>
              <w:right w:w="115" w:type="dxa"/>
            </w:tcMar>
            <w:vAlign w:val="bottom"/>
          </w:tcPr>
          <w:p w14:paraId="2A71C137" w14:textId="77777777" w:rsidR="003F0EEA" w:rsidRPr="008C27C3" w:rsidRDefault="00FB7D0B">
            <w:pPr>
              <w:jc w:val="right"/>
              <w:rPr>
                <w:rFonts w:ascii="Arial" w:eastAsia="Arial" w:hAnsi="Arial" w:cs="Arial"/>
                <w:color w:val="000000"/>
                <w:sz w:val="16"/>
                <w:vertAlign w:val="superscript"/>
              </w:rPr>
            </w:pPr>
            <w:r w:rsidRPr="008C27C3">
              <w:rPr>
                <w:rFonts w:ascii="Arial" w:eastAsia="Arial" w:hAnsi="Arial" w:cs="Arial"/>
                <w:color w:val="000000"/>
                <w:sz w:val="16"/>
              </w:rPr>
              <w:t>at Budget</w:t>
            </w:r>
          </w:p>
        </w:tc>
        <w:tc>
          <w:tcPr>
            <w:tcW w:w="90" w:type="dxa"/>
            <w:tcBorders>
              <w:top w:val="nil"/>
              <w:left w:val="nil"/>
              <w:bottom w:val="nil"/>
              <w:right w:val="nil"/>
              <w:tl2br w:val="nil"/>
              <w:tr2bl w:val="nil"/>
            </w:tcBorders>
            <w:shd w:val="clear" w:color="auto" w:fill="FFFFFF"/>
            <w:tcMar>
              <w:left w:w="115" w:type="dxa"/>
              <w:right w:w="115" w:type="dxa"/>
            </w:tcMar>
            <w:vAlign w:val="bottom"/>
          </w:tcPr>
          <w:p w14:paraId="690E1F8A" w14:textId="77777777" w:rsidR="003F0EEA" w:rsidRPr="008C27C3" w:rsidRDefault="00FB7D0B">
            <w:pPr>
              <w:jc w:val="center"/>
              <w:rPr>
                <w:rFonts w:ascii="Arial" w:eastAsia="Arial" w:hAnsi="Arial" w:cs="Arial"/>
                <w:color w:val="000000"/>
                <w:sz w:val="16"/>
              </w:rPr>
            </w:pPr>
            <w:r w:rsidRPr="008C27C3">
              <w:rPr>
                <w:rFonts w:ascii="Arial" w:eastAsia="Arial" w:hAnsi="Arial" w:cs="Arial"/>
                <w:color w:val="000000"/>
                <w:sz w:val="16"/>
                <w:vertAlign w:val="superscript"/>
              </w:rPr>
              <w:t>=</w:t>
            </w:r>
          </w:p>
        </w:tc>
        <w:tc>
          <w:tcPr>
            <w:tcW w:w="930" w:type="dxa"/>
            <w:tcBorders>
              <w:top w:val="nil"/>
              <w:left w:val="nil"/>
              <w:bottom w:val="nil"/>
              <w:right w:val="nil"/>
              <w:tl2br w:val="nil"/>
              <w:tr2bl w:val="nil"/>
            </w:tcBorders>
            <w:shd w:val="clear" w:color="auto" w:fill="C0C0C0"/>
            <w:tcMar>
              <w:left w:w="115" w:type="dxa"/>
              <w:right w:w="115" w:type="dxa"/>
            </w:tcMar>
            <w:vAlign w:val="bottom"/>
          </w:tcPr>
          <w:p w14:paraId="5DDCD2B0" w14:textId="77777777" w:rsidR="003F0EEA" w:rsidRPr="008C27C3" w:rsidRDefault="00FB7D0B">
            <w:pPr>
              <w:jc w:val="right"/>
              <w:rPr>
                <w:rFonts w:ascii="Arial" w:eastAsia="Arial" w:hAnsi="Arial" w:cs="Arial"/>
                <w:color w:val="000000"/>
                <w:sz w:val="16"/>
                <w:vertAlign w:val="superscript"/>
              </w:rPr>
            </w:pPr>
            <w:r w:rsidRPr="008C27C3">
              <w:rPr>
                <w:rFonts w:ascii="Arial" w:eastAsia="Arial" w:hAnsi="Arial" w:cs="Arial"/>
                <w:color w:val="000000"/>
                <w:sz w:val="16"/>
              </w:rPr>
              <w:t>estimate</w:t>
            </w:r>
          </w:p>
        </w:tc>
        <w:tc>
          <w:tcPr>
            <w:tcW w:w="1155" w:type="dxa"/>
            <w:tcBorders>
              <w:top w:val="nil"/>
              <w:left w:val="nil"/>
              <w:bottom w:val="nil"/>
              <w:right w:val="nil"/>
              <w:tl2br w:val="nil"/>
              <w:tr2bl w:val="nil"/>
            </w:tcBorders>
            <w:shd w:val="clear" w:color="auto" w:fill="FFFFFF"/>
            <w:tcMar>
              <w:left w:w="115" w:type="dxa"/>
              <w:right w:w="115" w:type="dxa"/>
            </w:tcMar>
            <w:vAlign w:val="bottom"/>
          </w:tcPr>
          <w:p w14:paraId="7B8B96CE" w14:textId="77777777" w:rsidR="003F0EEA" w:rsidRPr="008C27C3" w:rsidRDefault="00FB7D0B">
            <w:pPr>
              <w:jc w:val="right"/>
              <w:rPr>
                <w:rFonts w:ascii="Arial" w:eastAsia="Arial" w:hAnsi="Arial" w:cs="Arial"/>
                <w:color w:val="000000"/>
                <w:sz w:val="16"/>
              </w:rPr>
            </w:pPr>
            <w:r w:rsidRPr="008C27C3">
              <w:rPr>
                <w:rFonts w:ascii="Arial" w:eastAsia="Arial" w:hAnsi="Arial" w:cs="Arial"/>
                <w:color w:val="000000"/>
                <w:sz w:val="16"/>
              </w:rPr>
              <w:t>available</w:t>
            </w:r>
          </w:p>
        </w:tc>
      </w:tr>
      <w:tr w:rsidR="00724034" w14:paraId="0F3B22D6" w14:textId="77777777">
        <w:trPr>
          <w:trHeight w:val="225"/>
        </w:trPr>
        <w:tc>
          <w:tcPr>
            <w:tcW w:w="180" w:type="dxa"/>
            <w:tcBorders>
              <w:top w:val="nil"/>
              <w:left w:val="nil"/>
              <w:bottom w:val="nil"/>
              <w:right w:val="nil"/>
              <w:tl2br w:val="nil"/>
              <w:tr2bl w:val="nil"/>
            </w:tcBorders>
            <w:shd w:val="clear" w:color="auto" w:fill="FFFFFF"/>
            <w:tcMar>
              <w:left w:w="115" w:type="dxa"/>
              <w:right w:w="115" w:type="dxa"/>
            </w:tcMar>
            <w:vAlign w:val="bottom"/>
          </w:tcPr>
          <w:p w14:paraId="74FEFF58" w14:textId="77777777" w:rsidR="003F0EEA" w:rsidRPr="008C27C3" w:rsidRDefault="003F0EEA">
            <w:pPr>
              <w:rPr>
                <w:rFonts w:ascii="Arial" w:eastAsia="Arial" w:hAnsi="Arial" w:cs="Arial"/>
                <w:color w:val="000000"/>
                <w:sz w:val="16"/>
              </w:rPr>
            </w:pPr>
          </w:p>
        </w:tc>
        <w:tc>
          <w:tcPr>
            <w:tcW w:w="180" w:type="dxa"/>
            <w:tcBorders>
              <w:top w:val="nil"/>
              <w:left w:val="nil"/>
              <w:bottom w:val="nil"/>
              <w:right w:val="nil"/>
              <w:tl2br w:val="nil"/>
              <w:tr2bl w:val="nil"/>
            </w:tcBorders>
            <w:shd w:val="clear" w:color="auto" w:fill="FFFFFF"/>
            <w:tcMar>
              <w:left w:w="115" w:type="dxa"/>
              <w:right w:w="115" w:type="dxa"/>
            </w:tcMar>
            <w:vAlign w:val="bottom"/>
          </w:tcPr>
          <w:p w14:paraId="7596D9FD" w14:textId="77777777" w:rsidR="003F0EEA" w:rsidRPr="008C27C3" w:rsidRDefault="003F0EEA">
            <w:pPr>
              <w:rPr>
                <w:rFonts w:ascii="Arial" w:eastAsia="Arial" w:hAnsi="Arial" w:cs="Arial"/>
                <w:color w:val="000000"/>
                <w:sz w:val="16"/>
              </w:rPr>
            </w:pPr>
          </w:p>
        </w:tc>
        <w:tc>
          <w:tcPr>
            <w:tcW w:w="2475" w:type="dxa"/>
            <w:tcBorders>
              <w:top w:val="nil"/>
              <w:left w:val="nil"/>
              <w:bottom w:val="nil"/>
              <w:right w:val="nil"/>
              <w:tl2br w:val="nil"/>
              <w:tr2bl w:val="nil"/>
            </w:tcBorders>
            <w:shd w:val="clear" w:color="auto" w:fill="FFFFFF"/>
            <w:tcMar>
              <w:left w:w="115" w:type="dxa"/>
              <w:right w:w="115" w:type="dxa"/>
            </w:tcMar>
            <w:vAlign w:val="bottom"/>
          </w:tcPr>
          <w:p w14:paraId="3735A50A" w14:textId="77777777" w:rsidR="003F0EEA" w:rsidRPr="008C27C3" w:rsidRDefault="003F0EEA">
            <w:pPr>
              <w:rPr>
                <w:rFonts w:ascii="Arial" w:eastAsia="Arial" w:hAnsi="Arial" w:cs="Arial"/>
                <w:color w:val="000000"/>
                <w:sz w:val="16"/>
              </w:rPr>
            </w:pPr>
          </w:p>
        </w:tc>
        <w:tc>
          <w:tcPr>
            <w:tcW w:w="90" w:type="dxa"/>
            <w:tcBorders>
              <w:top w:val="nil"/>
              <w:left w:val="nil"/>
              <w:bottom w:val="nil"/>
              <w:right w:val="nil"/>
              <w:tl2br w:val="nil"/>
              <w:tr2bl w:val="nil"/>
            </w:tcBorders>
            <w:shd w:val="clear" w:color="auto" w:fill="FFFFFF"/>
            <w:tcMar>
              <w:left w:w="115" w:type="dxa"/>
              <w:right w:w="115" w:type="dxa"/>
            </w:tcMar>
            <w:vAlign w:val="bottom"/>
          </w:tcPr>
          <w:p w14:paraId="20093A4A" w14:textId="77777777" w:rsidR="003F0EEA" w:rsidRPr="008C27C3" w:rsidRDefault="003F0EEA">
            <w:pPr>
              <w:jc w:val="center"/>
              <w:rPr>
                <w:rFonts w:ascii="Arial" w:eastAsia="Arial" w:hAnsi="Arial" w:cs="Arial"/>
                <w:color w:val="000000"/>
                <w:sz w:val="16"/>
                <w:vertAlign w:val="superscript"/>
              </w:rPr>
            </w:pPr>
          </w:p>
        </w:tc>
        <w:tc>
          <w:tcPr>
            <w:tcW w:w="1080" w:type="dxa"/>
            <w:tcBorders>
              <w:top w:val="nil"/>
              <w:left w:val="nil"/>
              <w:bottom w:val="nil"/>
              <w:right w:val="nil"/>
              <w:tl2br w:val="nil"/>
              <w:tr2bl w:val="nil"/>
            </w:tcBorders>
            <w:shd w:val="clear" w:color="auto" w:fill="FFFFFF"/>
            <w:tcMar>
              <w:left w:w="115" w:type="dxa"/>
              <w:right w:w="115" w:type="dxa"/>
            </w:tcMar>
            <w:vAlign w:val="bottom"/>
          </w:tcPr>
          <w:p w14:paraId="1D0DF191" w14:textId="77777777" w:rsidR="003F0EEA" w:rsidRPr="008C27C3" w:rsidRDefault="00FB7D0B">
            <w:pPr>
              <w:jc w:val="right"/>
              <w:rPr>
                <w:rFonts w:ascii="Arial" w:eastAsia="Arial" w:hAnsi="Arial" w:cs="Arial"/>
                <w:color w:val="000000"/>
                <w:sz w:val="16"/>
                <w:vertAlign w:val="superscript"/>
              </w:rPr>
            </w:pPr>
            <w:r w:rsidRPr="008C27C3">
              <w:rPr>
                <w:rFonts w:ascii="Arial" w:eastAsia="Arial" w:hAnsi="Arial" w:cs="Arial"/>
                <w:color w:val="000000"/>
                <w:sz w:val="16"/>
              </w:rPr>
              <w:t>year amounts</w:t>
            </w:r>
          </w:p>
        </w:tc>
        <w:tc>
          <w:tcPr>
            <w:tcW w:w="90" w:type="dxa"/>
            <w:tcBorders>
              <w:top w:val="nil"/>
              <w:left w:val="nil"/>
              <w:bottom w:val="nil"/>
              <w:right w:val="nil"/>
              <w:tl2br w:val="nil"/>
              <w:tr2bl w:val="nil"/>
            </w:tcBorders>
            <w:shd w:val="clear" w:color="auto" w:fill="FFFFFF"/>
            <w:tcMar>
              <w:left w:w="115" w:type="dxa"/>
              <w:right w:w="115" w:type="dxa"/>
            </w:tcMar>
            <w:vAlign w:val="bottom"/>
          </w:tcPr>
          <w:p w14:paraId="3AF9027F" w14:textId="77777777" w:rsidR="003F0EEA" w:rsidRPr="008C27C3" w:rsidRDefault="00FB7D0B">
            <w:pPr>
              <w:rPr>
                <w:rFonts w:ascii="Arial" w:eastAsia="Arial" w:hAnsi="Arial" w:cs="Arial"/>
                <w:color w:val="000000"/>
                <w:sz w:val="16"/>
              </w:rPr>
            </w:pPr>
            <w:r w:rsidRPr="008C27C3">
              <w:rPr>
                <w:rFonts w:ascii="Arial" w:eastAsia="Arial" w:hAnsi="Arial" w:cs="Arial"/>
                <w:color w:val="000000"/>
                <w:sz w:val="16"/>
              </w:rPr>
              <w:t xml:space="preserve"> </w:t>
            </w:r>
          </w:p>
        </w:tc>
        <w:tc>
          <w:tcPr>
            <w:tcW w:w="930" w:type="dxa"/>
            <w:tcBorders>
              <w:top w:val="nil"/>
              <w:left w:val="nil"/>
              <w:bottom w:val="nil"/>
              <w:right w:val="nil"/>
              <w:tl2br w:val="nil"/>
              <w:tr2bl w:val="nil"/>
            </w:tcBorders>
            <w:shd w:val="clear" w:color="auto" w:fill="FFFFFF"/>
            <w:tcMar>
              <w:left w:w="115" w:type="dxa"/>
              <w:right w:w="115" w:type="dxa"/>
            </w:tcMar>
            <w:vAlign w:val="bottom"/>
          </w:tcPr>
          <w:p w14:paraId="7DE18C2A" w14:textId="77777777" w:rsidR="003F0EEA" w:rsidRPr="008C27C3" w:rsidRDefault="003F0EEA">
            <w:pPr>
              <w:jc w:val="right"/>
              <w:rPr>
                <w:rFonts w:ascii="Arial" w:eastAsia="Arial" w:hAnsi="Arial" w:cs="Arial"/>
                <w:color w:val="000000"/>
                <w:sz w:val="16"/>
              </w:rPr>
            </w:pPr>
          </w:p>
        </w:tc>
        <w:tc>
          <w:tcPr>
            <w:tcW w:w="90" w:type="dxa"/>
            <w:tcBorders>
              <w:top w:val="nil"/>
              <w:left w:val="nil"/>
              <w:bottom w:val="nil"/>
              <w:right w:val="nil"/>
              <w:tl2br w:val="nil"/>
              <w:tr2bl w:val="nil"/>
            </w:tcBorders>
            <w:shd w:val="clear" w:color="auto" w:fill="FFFFFF"/>
            <w:tcMar>
              <w:left w:w="115" w:type="dxa"/>
              <w:right w:w="115" w:type="dxa"/>
            </w:tcMar>
            <w:vAlign w:val="bottom"/>
          </w:tcPr>
          <w:p w14:paraId="50CB12C7" w14:textId="77777777" w:rsidR="003F0EEA" w:rsidRPr="008C27C3" w:rsidRDefault="00FB7D0B">
            <w:pPr>
              <w:rPr>
                <w:rFonts w:ascii="Arial" w:eastAsia="Arial" w:hAnsi="Arial" w:cs="Arial"/>
                <w:color w:val="000000"/>
                <w:sz w:val="16"/>
              </w:rPr>
            </w:pPr>
            <w:r w:rsidRPr="008C27C3">
              <w:rPr>
                <w:rFonts w:ascii="Arial" w:eastAsia="Arial" w:hAnsi="Arial" w:cs="Arial"/>
                <w:color w:val="000000"/>
                <w:sz w:val="16"/>
              </w:rPr>
              <w:t xml:space="preserve"> </w:t>
            </w:r>
          </w:p>
        </w:tc>
        <w:tc>
          <w:tcPr>
            <w:tcW w:w="930" w:type="dxa"/>
            <w:tcBorders>
              <w:top w:val="nil"/>
              <w:left w:val="nil"/>
              <w:bottom w:val="nil"/>
              <w:right w:val="nil"/>
              <w:tl2br w:val="nil"/>
              <w:tr2bl w:val="nil"/>
            </w:tcBorders>
            <w:shd w:val="clear" w:color="auto" w:fill="C0C0C0"/>
            <w:tcMar>
              <w:left w:w="115" w:type="dxa"/>
              <w:right w:w="115" w:type="dxa"/>
            </w:tcMar>
            <w:vAlign w:val="bottom"/>
          </w:tcPr>
          <w:p w14:paraId="199C4F50" w14:textId="77777777" w:rsidR="003F0EEA" w:rsidRPr="008C27C3" w:rsidRDefault="003F0EEA">
            <w:pPr>
              <w:jc w:val="right"/>
              <w:rPr>
                <w:rFonts w:ascii="Arial" w:eastAsia="Arial" w:hAnsi="Arial" w:cs="Arial"/>
                <w:color w:val="000000"/>
                <w:sz w:val="16"/>
              </w:rPr>
            </w:pPr>
          </w:p>
        </w:tc>
        <w:tc>
          <w:tcPr>
            <w:tcW w:w="1155" w:type="dxa"/>
            <w:tcBorders>
              <w:top w:val="nil"/>
              <w:left w:val="nil"/>
              <w:bottom w:val="nil"/>
              <w:right w:val="nil"/>
              <w:tl2br w:val="nil"/>
              <w:tr2bl w:val="nil"/>
            </w:tcBorders>
            <w:shd w:val="clear" w:color="auto" w:fill="FFFFFF"/>
            <w:tcMar>
              <w:left w:w="115" w:type="dxa"/>
              <w:right w:w="115" w:type="dxa"/>
            </w:tcMar>
          </w:tcPr>
          <w:p w14:paraId="1C9B5C93" w14:textId="77777777" w:rsidR="003F0EEA" w:rsidRPr="008C27C3" w:rsidRDefault="00FB7D0B">
            <w:pPr>
              <w:jc w:val="right"/>
              <w:rPr>
                <w:rFonts w:ascii="Arial" w:eastAsia="Arial" w:hAnsi="Arial" w:cs="Arial"/>
                <w:color w:val="000000"/>
                <w:sz w:val="16"/>
              </w:rPr>
            </w:pPr>
            <w:r w:rsidRPr="008C27C3">
              <w:rPr>
                <w:rFonts w:ascii="Arial" w:eastAsia="Arial" w:hAnsi="Arial" w:cs="Arial"/>
                <w:color w:val="000000"/>
                <w:sz w:val="16"/>
              </w:rPr>
              <w:t>appropriation</w:t>
            </w:r>
          </w:p>
        </w:tc>
      </w:tr>
      <w:tr w:rsidR="00724034" w14:paraId="6A77D7A0" w14:textId="77777777">
        <w:trPr>
          <w:trHeight w:val="225"/>
        </w:trPr>
        <w:tc>
          <w:tcPr>
            <w:tcW w:w="180" w:type="dxa"/>
            <w:tcBorders>
              <w:top w:val="nil"/>
              <w:left w:val="nil"/>
              <w:bottom w:val="nil"/>
              <w:right w:val="nil"/>
              <w:tl2br w:val="nil"/>
              <w:tr2bl w:val="nil"/>
            </w:tcBorders>
            <w:shd w:val="clear" w:color="auto" w:fill="FFFFFF"/>
            <w:tcMar>
              <w:left w:w="115" w:type="dxa"/>
              <w:right w:w="115" w:type="dxa"/>
            </w:tcMar>
            <w:vAlign w:val="bottom"/>
          </w:tcPr>
          <w:p w14:paraId="6AB41E64" w14:textId="77777777" w:rsidR="003F0EEA" w:rsidRPr="008C27C3" w:rsidRDefault="003F0EEA">
            <w:pPr>
              <w:rPr>
                <w:rFonts w:ascii="Arial" w:eastAsia="Arial" w:hAnsi="Arial" w:cs="Arial"/>
                <w:color w:val="000000"/>
                <w:sz w:val="16"/>
              </w:rPr>
            </w:pPr>
          </w:p>
        </w:tc>
        <w:tc>
          <w:tcPr>
            <w:tcW w:w="180" w:type="dxa"/>
            <w:tcBorders>
              <w:top w:val="nil"/>
              <w:left w:val="nil"/>
              <w:bottom w:val="nil"/>
              <w:right w:val="nil"/>
              <w:tl2br w:val="nil"/>
              <w:tr2bl w:val="nil"/>
            </w:tcBorders>
            <w:shd w:val="clear" w:color="auto" w:fill="FFFFFF"/>
            <w:tcMar>
              <w:left w:w="115" w:type="dxa"/>
              <w:right w:w="115" w:type="dxa"/>
            </w:tcMar>
            <w:vAlign w:val="bottom"/>
          </w:tcPr>
          <w:p w14:paraId="1AFEDA71" w14:textId="77777777" w:rsidR="003F0EEA" w:rsidRPr="008C27C3" w:rsidRDefault="003F0EEA">
            <w:pPr>
              <w:rPr>
                <w:rFonts w:ascii="Arial" w:eastAsia="Arial" w:hAnsi="Arial" w:cs="Arial"/>
                <w:color w:val="000000"/>
                <w:sz w:val="16"/>
              </w:rPr>
            </w:pPr>
          </w:p>
        </w:tc>
        <w:tc>
          <w:tcPr>
            <w:tcW w:w="2475" w:type="dxa"/>
            <w:tcBorders>
              <w:top w:val="nil"/>
              <w:left w:val="nil"/>
              <w:bottom w:val="nil"/>
              <w:right w:val="nil"/>
              <w:tl2br w:val="nil"/>
              <w:tr2bl w:val="nil"/>
            </w:tcBorders>
            <w:shd w:val="clear" w:color="auto" w:fill="FFFFFF"/>
            <w:tcMar>
              <w:left w:w="115" w:type="dxa"/>
              <w:right w:w="115" w:type="dxa"/>
            </w:tcMar>
            <w:vAlign w:val="bottom"/>
          </w:tcPr>
          <w:p w14:paraId="3E0EDB0C" w14:textId="77777777" w:rsidR="003F0EEA" w:rsidRPr="008C27C3" w:rsidRDefault="003F0EEA">
            <w:pPr>
              <w:rPr>
                <w:rFonts w:ascii="Arial" w:eastAsia="Arial" w:hAnsi="Arial" w:cs="Arial"/>
                <w:color w:val="000000"/>
                <w:sz w:val="16"/>
              </w:rPr>
            </w:pPr>
          </w:p>
        </w:tc>
        <w:tc>
          <w:tcPr>
            <w:tcW w:w="90" w:type="dxa"/>
            <w:tcBorders>
              <w:top w:val="nil"/>
              <w:left w:val="nil"/>
              <w:bottom w:val="nil"/>
              <w:right w:val="nil"/>
              <w:tl2br w:val="nil"/>
              <w:tr2bl w:val="nil"/>
            </w:tcBorders>
            <w:shd w:val="clear" w:color="auto" w:fill="FFFFFF"/>
            <w:tcMar>
              <w:left w:w="115" w:type="dxa"/>
              <w:right w:w="115" w:type="dxa"/>
            </w:tcMar>
            <w:vAlign w:val="bottom"/>
          </w:tcPr>
          <w:p w14:paraId="5AF62576" w14:textId="77777777" w:rsidR="003F0EEA" w:rsidRPr="008C27C3" w:rsidRDefault="003F0EEA">
            <w:pPr>
              <w:jc w:val="center"/>
              <w:rPr>
                <w:rFonts w:ascii="Arial" w:eastAsia="Arial" w:hAnsi="Arial" w:cs="Arial"/>
                <w:color w:val="000000"/>
                <w:sz w:val="16"/>
                <w:vertAlign w:val="superscript"/>
              </w:rPr>
            </w:pPr>
          </w:p>
        </w:tc>
        <w:tc>
          <w:tcPr>
            <w:tcW w:w="1080" w:type="dxa"/>
            <w:tcBorders>
              <w:top w:val="nil"/>
              <w:left w:val="nil"/>
              <w:bottom w:val="nil"/>
              <w:right w:val="nil"/>
              <w:tl2br w:val="nil"/>
              <w:tr2bl w:val="nil"/>
            </w:tcBorders>
            <w:shd w:val="clear" w:color="auto" w:fill="FFFFFF"/>
            <w:tcMar>
              <w:left w:w="115" w:type="dxa"/>
              <w:right w:w="115" w:type="dxa"/>
            </w:tcMar>
            <w:vAlign w:val="bottom"/>
          </w:tcPr>
          <w:p w14:paraId="3008125C" w14:textId="77777777" w:rsidR="003F0EEA" w:rsidRPr="008C27C3" w:rsidRDefault="00FB7D0B">
            <w:pPr>
              <w:jc w:val="right"/>
              <w:rPr>
                <w:rFonts w:ascii="Arial" w:eastAsia="Arial" w:hAnsi="Arial" w:cs="Arial"/>
                <w:color w:val="000000"/>
                <w:sz w:val="16"/>
                <w:vertAlign w:val="superscript"/>
              </w:rPr>
            </w:pPr>
            <w:r w:rsidRPr="008C27C3">
              <w:rPr>
                <w:rFonts w:ascii="Arial" w:eastAsia="Arial" w:hAnsi="Arial" w:cs="Arial"/>
                <w:color w:val="000000"/>
                <w:sz w:val="16"/>
              </w:rPr>
              <w:t xml:space="preserve"> available in</w:t>
            </w:r>
          </w:p>
        </w:tc>
        <w:tc>
          <w:tcPr>
            <w:tcW w:w="90" w:type="dxa"/>
            <w:tcBorders>
              <w:top w:val="nil"/>
              <w:left w:val="nil"/>
              <w:bottom w:val="nil"/>
              <w:right w:val="nil"/>
              <w:tl2br w:val="nil"/>
              <w:tr2bl w:val="nil"/>
            </w:tcBorders>
            <w:shd w:val="clear" w:color="auto" w:fill="FFFFFF"/>
            <w:tcMar>
              <w:left w:w="115" w:type="dxa"/>
              <w:right w:w="115" w:type="dxa"/>
            </w:tcMar>
            <w:vAlign w:val="bottom"/>
          </w:tcPr>
          <w:p w14:paraId="40B51BE1" w14:textId="77777777" w:rsidR="003F0EEA" w:rsidRPr="008C27C3" w:rsidRDefault="00FB7D0B">
            <w:pPr>
              <w:rPr>
                <w:rFonts w:ascii="Arial" w:eastAsia="Arial" w:hAnsi="Arial" w:cs="Arial"/>
                <w:color w:val="000000"/>
                <w:sz w:val="16"/>
              </w:rPr>
            </w:pPr>
            <w:r w:rsidRPr="008C27C3">
              <w:rPr>
                <w:rFonts w:ascii="Arial" w:eastAsia="Arial" w:hAnsi="Arial" w:cs="Arial"/>
                <w:color w:val="000000"/>
                <w:sz w:val="16"/>
              </w:rPr>
              <w:t xml:space="preserve"> </w:t>
            </w:r>
          </w:p>
        </w:tc>
        <w:tc>
          <w:tcPr>
            <w:tcW w:w="930" w:type="dxa"/>
            <w:tcBorders>
              <w:top w:val="nil"/>
              <w:left w:val="nil"/>
              <w:bottom w:val="nil"/>
              <w:right w:val="nil"/>
              <w:tl2br w:val="nil"/>
              <w:tr2bl w:val="nil"/>
            </w:tcBorders>
            <w:shd w:val="clear" w:color="auto" w:fill="FFFFFF"/>
            <w:tcMar>
              <w:left w:w="115" w:type="dxa"/>
              <w:right w:w="115" w:type="dxa"/>
            </w:tcMar>
            <w:vAlign w:val="bottom"/>
          </w:tcPr>
          <w:p w14:paraId="7EFB5303" w14:textId="77777777" w:rsidR="003F0EEA" w:rsidRPr="008C27C3" w:rsidRDefault="003F0EEA">
            <w:pPr>
              <w:jc w:val="right"/>
              <w:rPr>
                <w:rFonts w:ascii="Arial" w:eastAsia="Arial" w:hAnsi="Arial" w:cs="Arial"/>
                <w:color w:val="000000"/>
                <w:sz w:val="16"/>
              </w:rPr>
            </w:pPr>
          </w:p>
        </w:tc>
        <w:tc>
          <w:tcPr>
            <w:tcW w:w="90" w:type="dxa"/>
            <w:tcBorders>
              <w:top w:val="nil"/>
              <w:left w:val="nil"/>
              <w:bottom w:val="nil"/>
              <w:right w:val="nil"/>
              <w:tl2br w:val="nil"/>
              <w:tr2bl w:val="nil"/>
            </w:tcBorders>
            <w:shd w:val="clear" w:color="auto" w:fill="FFFFFF"/>
            <w:tcMar>
              <w:left w:w="115" w:type="dxa"/>
              <w:right w:w="115" w:type="dxa"/>
            </w:tcMar>
            <w:vAlign w:val="bottom"/>
          </w:tcPr>
          <w:p w14:paraId="0AAC96D9" w14:textId="77777777" w:rsidR="003F0EEA" w:rsidRPr="008C27C3" w:rsidRDefault="00FB7D0B">
            <w:pPr>
              <w:rPr>
                <w:rFonts w:ascii="Arial" w:eastAsia="Arial" w:hAnsi="Arial" w:cs="Arial"/>
                <w:color w:val="000000"/>
                <w:sz w:val="16"/>
              </w:rPr>
            </w:pPr>
            <w:r w:rsidRPr="008C27C3">
              <w:rPr>
                <w:rFonts w:ascii="Arial" w:eastAsia="Arial" w:hAnsi="Arial" w:cs="Arial"/>
                <w:color w:val="000000"/>
                <w:sz w:val="16"/>
              </w:rPr>
              <w:t xml:space="preserve"> </w:t>
            </w:r>
          </w:p>
        </w:tc>
        <w:tc>
          <w:tcPr>
            <w:tcW w:w="930" w:type="dxa"/>
            <w:tcBorders>
              <w:top w:val="nil"/>
              <w:left w:val="nil"/>
              <w:bottom w:val="nil"/>
              <w:right w:val="nil"/>
              <w:tl2br w:val="nil"/>
              <w:tr2bl w:val="nil"/>
            </w:tcBorders>
            <w:shd w:val="clear" w:color="auto" w:fill="C0C0C0"/>
            <w:tcMar>
              <w:left w:w="115" w:type="dxa"/>
              <w:right w:w="115" w:type="dxa"/>
            </w:tcMar>
            <w:vAlign w:val="bottom"/>
          </w:tcPr>
          <w:p w14:paraId="1A23C6F2" w14:textId="77777777" w:rsidR="003F0EEA" w:rsidRPr="008C27C3" w:rsidRDefault="003F0EEA">
            <w:pPr>
              <w:jc w:val="right"/>
              <w:rPr>
                <w:rFonts w:ascii="Arial" w:eastAsia="Arial" w:hAnsi="Arial" w:cs="Arial"/>
                <w:color w:val="000000"/>
                <w:sz w:val="16"/>
              </w:rPr>
            </w:pPr>
          </w:p>
        </w:tc>
        <w:tc>
          <w:tcPr>
            <w:tcW w:w="1155" w:type="dxa"/>
            <w:tcBorders>
              <w:top w:val="nil"/>
              <w:left w:val="nil"/>
              <w:bottom w:val="nil"/>
              <w:right w:val="nil"/>
              <w:tl2br w:val="nil"/>
              <w:tr2bl w:val="nil"/>
            </w:tcBorders>
            <w:shd w:val="clear" w:color="auto" w:fill="FFFFFF"/>
            <w:tcMar>
              <w:left w:w="115" w:type="dxa"/>
              <w:right w:w="115" w:type="dxa"/>
            </w:tcMar>
            <w:vAlign w:val="bottom"/>
          </w:tcPr>
          <w:p w14:paraId="6993E9A9" w14:textId="77777777" w:rsidR="003F0EEA" w:rsidRPr="008C27C3" w:rsidRDefault="003F0EEA">
            <w:pPr>
              <w:jc w:val="right"/>
              <w:rPr>
                <w:rFonts w:ascii="Arial" w:eastAsia="Arial" w:hAnsi="Arial" w:cs="Arial"/>
                <w:color w:val="000000"/>
                <w:sz w:val="16"/>
              </w:rPr>
            </w:pPr>
          </w:p>
        </w:tc>
      </w:tr>
      <w:tr w:rsidR="00724034" w14:paraId="7E4BC8F0" w14:textId="77777777">
        <w:trPr>
          <w:trHeight w:val="225"/>
        </w:trPr>
        <w:tc>
          <w:tcPr>
            <w:tcW w:w="180" w:type="dxa"/>
            <w:tcBorders>
              <w:top w:val="nil"/>
              <w:left w:val="nil"/>
              <w:bottom w:val="nil"/>
              <w:right w:val="nil"/>
              <w:tl2br w:val="nil"/>
              <w:tr2bl w:val="nil"/>
            </w:tcBorders>
            <w:shd w:val="clear" w:color="auto" w:fill="FFFFFF"/>
            <w:tcMar>
              <w:left w:w="115" w:type="dxa"/>
              <w:right w:w="115" w:type="dxa"/>
            </w:tcMar>
            <w:vAlign w:val="bottom"/>
          </w:tcPr>
          <w:p w14:paraId="12981029" w14:textId="77777777" w:rsidR="003F0EEA" w:rsidRPr="008C27C3" w:rsidRDefault="003F0EEA">
            <w:pPr>
              <w:rPr>
                <w:rFonts w:ascii="Arial" w:eastAsia="Arial" w:hAnsi="Arial" w:cs="Arial"/>
                <w:color w:val="000000"/>
                <w:sz w:val="16"/>
              </w:rPr>
            </w:pPr>
          </w:p>
        </w:tc>
        <w:tc>
          <w:tcPr>
            <w:tcW w:w="180" w:type="dxa"/>
            <w:tcBorders>
              <w:top w:val="nil"/>
              <w:left w:val="nil"/>
              <w:bottom w:val="nil"/>
              <w:right w:val="nil"/>
              <w:tl2br w:val="nil"/>
              <w:tr2bl w:val="nil"/>
            </w:tcBorders>
            <w:shd w:val="clear" w:color="auto" w:fill="FFFFFF"/>
            <w:tcMar>
              <w:left w:w="115" w:type="dxa"/>
              <w:right w:w="115" w:type="dxa"/>
            </w:tcMar>
            <w:vAlign w:val="bottom"/>
          </w:tcPr>
          <w:p w14:paraId="6EB0B21C" w14:textId="77777777" w:rsidR="003F0EEA" w:rsidRPr="008C27C3" w:rsidRDefault="003F0EEA">
            <w:pPr>
              <w:rPr>
                <w:rFonts w:ascii="Arial" w:eastAsia="Arial" w:hAnsi="Arial" w:cs="Arial"/>
                <w:color w:val="000000"/>
                <w:sz w:val="16"/>
              </w:rPr>
            </w:pPr>
          </w:p>
        </w:tc>
        <w:tc>
          <w:tcPr>
            <w:tcW w:w="2475" w:type="dxa"/>
            <w:tcBorders>
              <w:top w:val="nil"/>
              <w:left w:val="nil"/>
              <w:bottom w:val="nil"/>
              <w:right w:val="nil"/>
              <w:tl2br w:val="nil"/>
              <w:tr2bl w:val="nil"/>
            </w:tcBorders>
            <w:shd w:val="clear" w:color="auto" w:fill="FFFFFF"/>
            <w:tcMar>
              <w:left w:w="115" w:type="dxa"/>
              <w:right w:w="115" w:type="dxa"/>
            </w:tcMar>
            <w:vAlign w:val="bottom"/>
          </w:tcPr>
          <w:p w14:paraId="0BADC560" w14:textId="77777777" w:rsidR="003F0EEA" w:rsidRPr="008C27C3" w:rsidRDefault="003F0EEA">
            <w:pPr>
              <w:rPr>
                <w:rFonts w:ascii="Arial" w:eastAsia="Arial" w:hAnsi="Arial" w:cs="Arial"/>
                <w:color w:val="000000"/>
                <w:sz w:val="16"/>
              </w:rPr>
            </w:pPr>
          </w:p>
        </w:tc>
        <w:tc>
          <w:tcPr>
            <w:tcW w:w="90" w:type="dxa"/>
            <w:tcBorders>
              <w:top w:val="nil"/>
              <w:left w:val="nil"/>
              <w:bottom w:val="nil"/>
              <w:right w:val="nil"/>
              <w:tl2br w:val="nil"/>
              <w:tr2bl w:val="nil"/>
            </w:tcBorders>
            <w:shd w:val="clear" w:color="auto" w:fill="FFFFFF"/>
            <w:tcMar>
              <w:left w:w="115" w:type="dxa"/>
              <w:right w:w="115" w:type="dxa"/>
            </w:tcMar>
            <w:vAlign w:val="bottom"/>
          </w:tcPr>
          <w:p w14:paraId="2479A840" w14:textId="77777777" w:rsidR="003F0EEA" w:rsidRPr="008C27C3" w:rsidRDefault="003F0EEA">
            <w:pPr>
              <w:jc w:val="center"/>
              <w:rPr>
                <w:rFonts w:ascii="Arial" w:eastAsia="Arial" w:hAnsi="Arial" w:cs="Arial"/>
                <w:color w:val="000000"/>
                <w:sz w:val="16"/>
                <w:vertAlign w:val="superscript"/>
              </w:rPr>
            </w:pPr>
          </w:p>
        </w:tc>
        <w:tc>
          <w:tcPr>
            <w:tcW w:w="1080" w:type="dxa"/>
            <w:tcBorders>
              <w:top w:val="nil"/>
              <w:left w:val="nil"/>
              <w:bottom w:val="nil"/>
              <w:right w:val="nil"/>
              <w:tl2br w:val="nil"/>
              <w:tr2bl w:val="nil"/>
            </w:tcBorders>
            <w:shd w:val="clear" w:color="auto" w:fill="FFFFFF"/>
            <w:tcMar>
              <w:left w:w="115" w:type="dxa"/>
              <w:right w:w="115" w:type="dxa"/>
            </w:tcMar>
            <w:vAlign w:val="bottom"/>
          </w:tcPr>
          <w:p w14:paraId="6A3877D0" w14:textId="77777777" w:rsidR="003F0EEA" w:rsidRPr="008C27C3" w:rsidRDefault="00FB7D0B">
            <w:pPr>
              <w:jc w:val="right"/>
              <w:rPr>
                <w:rFonts w:ascii="Arial" w:eastAsia="Arial" w:hAnsi="Arial" w:cs="Arial"/>
                <w:color w:val="000000"/>
                <w:sz w:val="16"/>
                <w:vertAlign w:val="superscript"/>
              </w:rPr>
            </w:pPr>
            <w:r w:rsidRPr="008C27C3">
              <w:rPr>
                <w:rFonts w:ascii="Arial" w:eastAsia="Arial" w:hAnsi="Arial" w:cs="Arial"/>
                <w:color w:val="000000"/>
                <w:sz w:val="16"/>
              </w:rPr>
              <w:t>2014-15</w:t>
            </w:r>
          </w:p>
        </w:tc>
        <w:tc>
          <w:tcPr>
            <w:tcW w:w="90" w:type="dxa"/>
            <w:tcBorders>
              <w:top w:val="nil"/>
              <w:left w:val="nil"/>
              <w:bottom w:val="nil"/>
              <w:right w:val="nil"/>
              <w:tl2br w:val="nil"/>
              <w:tr2bl w:val="nil"/>
            </w:tcBorders>
            <w:shd w:val="clear" w:color="auto" w:fill="FFFFFF"/>
            <w:tcMar>
              <w:left w:w="115" w:type="dxa"/>
              <w:right w:w="115" w:type="dxa"/>
            </w:tcMar>
            <w:vAlign w:val="bottom"/>
          </w:tcPr>
          <w:p w14:paraId="13595B3B" w14:textId="77777777" w:rsidR="003F0EEA" w:rsidRPr="008C27C3" w:rsidRDefault="00FB7D0B">
            <w:pPr>
              <w:rPr>
                <w:rFonts w:ascii="Arial" w:eastAsia="Arial" w:hAnsi="Arial" w:cs="Arial"/>
                <w:color w:val="000000"/>
                <w:sz w:val="16"/>
              </w:rPr>
            </w:pPr>
            <w:r w:rsidRPr="008C27C3">
              <w:rPr>
                <w:rFonts w:ascii="Arial" w:eastAsia="Arial" w:hAnsi="Arial" w:cs="Arial"/>
                <w:color w:val="000000"/>
                <w:sz w:val="16"/>
              </w:rPr>
              <w:t xml:space="preserve"> </w:t>
            </w:r>
          </w:p>
        </w:tc>
        <w:tc>
          <w:tcPr>
            <w:tcW w:w="930" w:type="dxa"/>
            <w:tcBorders>
              <w:top w:val="nil"/>
              <w:left w:val="nil"/>
              <w:bottom w:val="nil"/>
              <w:right w:val="nil"/>
              <w:tl2br w:val="nil"/>
              <w:tr2bl w:val="nil"/>
            </w:tcBorders>
            <w:shd w:val="clear" w:color="auto" w:fill="FFFFFF"/>
            <w:tcMar>
              <w:left w:w="115" w:type="dxa"/>
              <w:right w:w="115" w:type="dxa"/>
            </w:tcMar>
            <w:vAlign w:val="bottom"/>
          </w:tcPr>
          <w:p w14:paraId="660D92CA" w14:textId="77777777" w:rsidR="003F0EEA" w:rsidRPr="008C27C3" w:rsidRDefault="00FB7D0B">
            <w:pPr>
              <w:jc w:val="right"/>
              <w:rPr>
                <w:rFonts w:ascii="Arial" w:eastAsia="Arial" w:hAnsi="Arial" w:cs="Arial"/>
                <w:color w:val="000000"/>
                <w:sz w:val="16"/>
              </w:rPr>
            </w:pPr>
            <w:r w:rsidRPr="008C27C3">
              <w:rPr>
                <w:rFonts w:ascii="Arial" w:eastAsia="Arial" w:hAnsi="Arial" w:cs="Arial"/>
                <w:color w:val="000000"/>
                <w:sz w:val="16"/>
              </w:rPr>
              <w:t>2014-15</w:t>
            </w:r>
          </w:p>
        </w:tc>
        <w:tc>
          <w:tcPr>
            <w:tcW w:w="90" w:type="dxa"/>
            <w:tcBorders>
              <w:top w:val="nil"/>
              <w:left w:val="nil"/>
              <w:bottom w:val="nil"/>
              <w:right w:val="nil"/>
              <w:tl2br w:val="nil"/>
              <w:tr2bl w:val="nil"/>
            </w:tcBorders>
            <w:shd w:val="clear" w:color="auto" w:fill="FFFFFF"/>
            <w:tcMar>
              <w:left w:w="115" w:type="dxa"/>
              <w:right w:w="115" w:type="dxa"/>
            </w:tcMar>
            <w:vAlign w:val="bottom"/>
          </w:tcPr>
          <w:p w14:paraId="31C53D9B" w14:textId="77777777" w:rsidR="003F0EEA" w:rsidRPr="008C27C3" w:rsidRDefault="00FB7D0B">
            <w:pPr>
              <w:rPr>
                <w:rFonts w:ascii="Arial" w:eastAsia="Arial" w:hAnsi="Arial" w:cs="Arial"/>
                <w:color w:val="000000"/>
                <w:sz w:val="16"/>
              </w:rPr>
            </w:pPr>
            <w:r w:rsidRPr="008C27C3">
              <w:rPr>
                <w:rFonts w:ascii="Arial" w:eastAsia="Arial" w:hAnsi="Arial" w:cs="Arial"/>
                <w:color w:val="000000"/>
                <w:sz w:val="16"/>
              </w:rPr>
              <w:t xml:space="preserve"> </w:t>
            </w:r>
          </w:p>
        </w:tc>
        <w:tc>
          <w:tcPr>
            <w:tcW w:w="930" w:type="dxa"/>
            <w:tcBorders>
              <w:top w:val="nil"/>
              <w:left w:val="nil"/>
              <w:bottom w:val="nil"/>
              <w:right w:val="nil"/>
              <w:tl2br w:val="nil"/>
              <w:tr2bl w:val="nil"/>
            </w:tcBorders>
            <w:shd w:val="clear" w:color="auto" w:fill="C0C0C0"/>
            <w:tcMar>
              <w:left w:w="115" w:type="dxa"/>
              <w:right w:w="115" w:type="dxa"/>
            </w:tcMar>
            <w:vAlign w:val="bottom"/>
          </w:tcPr>
          <w:p w14:paraId="76D91E33" w14:textId="77777777" w:rsidR="003F0EEA" w:rsidRPr="008C27C3" w:rsidRDefault="00FB7D0B">
            <w:pPr>
              <w:jc w:val="right"/>
              <w:rPr>
                <w:rFonts w:ascii="Arial" w:eastAsia="Arial" w:hAnsi="Arial" w:cs="Arial"/>
                <w:color w:val="000000"/>
                <w:sz w:val="16"/>
              </w:rPr>
            </w:pPr>
            <w:r w:rsidRPr="008C27C3">
              <w:rPr>
                <w:rFonts w:ascii="Arial" w:eastAsia="Arial" w:hAnsi="Arial" w:cs="Arial"/>
                <w:color w:val="000000"/>
                <w:sz w:val="16"/>
              </w:rPr>
              <w:t>2014-15</w:t>
            </w:r>
          </w:p>
        </w:tc>
        <w:tc>
          <w:tcPr>
            <w:tcW w:w="1155" w:type="dxa"/>
            <w:tcBorders>
              <w:top w:val="nil"/>
              <w:left w:val="nil"/>
              <w:bottom w:val="nil"/>
              <w:right w:val="nil"/>
              <w:tl2br w:val="nil"/>
              <w:tr2bl w:val="nil"/>
            </w:tcBorders>
            <w:shd w:val="clear" w:color="auto" w:fill="FFFFFF"/>
            <w:tcMar>
              <w:left w:w="115" w:type="dxa"/>
              <w:right w:w="115" w:type="dxa"/>
            </w:tcMar>
            <w:vAlign w:val="bottom"/>
          </w:tcPr>
          <w:p w14:paraId="026881E4" w14:textId="77777777" w:rsidR="003F0EEA" w:rsidRPr="008C27C3" w:rsidRDefault="00FB7D0B">
            <w:pPr>
              <w:jc w:val="right"/>
              <w:rPr>
                <w:rFonts w:ascii="Arial" w:eastAsia="Arial" w:hAnsi="Arial" w:cs="Arial"/>
                <w:color w:val="000000"/>
                <w:sz w:val="16"/>
              </w:rPr>
            </w:pPr>
            <w:r w:rsidRPr="008C27C3">
              <w:rPr>
                <w:rFonts w:ascii="Arial" w:eastAsia="Arial" w:hAnsi="Arial" w:cs="Arial"/>
                <w:color w:val="000000"/>
                <w:sz w:val="16"/>
              </w:rPr>
              <w:t>2013-14</w:t>
            </w:r>
          </w:p>
        </w:tc>
      </w:tr>
      <w:tr w:rsidR="00724034" w14:paraId="27BF4971" w14:textId="77777777">
        <w:trPr>
          <w:trHeight w:val="225"/>
        </w:trPr>
        <w:tc>
          <w:tcPr>
            <w:tcW w:w="180"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3C689979" w14:textId="77777777" w:rsidR="003F0EEA" w:rsidRPr="008C27C3" w:rsidRDefault="003F0EEA">
            <w:pPr>
              <w:rPr>
                <w:rFonts w:ascii="Arial" w:eastAsia="Arial" w:hAnsi="Arial" w:cs="Arial"/>
                <w:color w:val="000000"/>
                <w:sz w:val="16"/>
              </w:rPr>
            </w:pPr>
          </w:p>
        </w:tc>
        <w:tc>
          <w:tcPr>
            <w:tcW w:w="180"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13D4924C" w14:textId="77777777" w:rsidR="003F0EEA" w:rsidRPr="008C27C3" w:rsidRDefault="003F0EEA">
            <w:pPr>
              <w:rPr>
                <w:rFonts w:ascii="Arial" w:eastAsia="Arial" w:hAnsi="Arial" w:cs="Arial"/>
                <w:color w:val="000000"/>
                <w:sz w:val="16"/>
              </w:rPr>
            </w:pPr>
          </w:p>
        </w:tc>
        <w:tc>
          <w:tcPr>
            <w:tcW w:w="2475"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5CFD3131" w14:textId="77777777" w:rsidR="003F0EEA" w:rsidRPr="008C27C3" w:rsidRDefault="003F0EEA">
            <w:pPr>
              <w:rPr>
                <w:rFonts w:ascii="Arial" w:eastAsia="Arial" w:hAnsi="Arial" w:cs="Arial"/>
                <w:color w:val="000000"/>
                <w:sz w:val="16"/>
              </w:rPr>
            </w:pPr>
          </w:p>
        </w:tc>
        <w:tc>
          <w:tcPr>
            <w:tcW w:w="90"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78551EDB" w14:textId="77777777" w:rsidR="003F0EEA" w:rsidRPr="008C27C3" w:rsidRDefault="003F0EEA">
            <w:pPr>
              <w:jc w:val="center"/>
              <w:rPr>
                <w:rFonts w:ascii="Arial" w:eastAsia="Arial" w:hAnsi="Arial" w:cs="Arial"/>
                <w:color w:val="000000"/>
                <w:sz w:val="16"/>
                <w:vertAlign w:val="superscript"/>
              </w:rPr>
            </w:pPr>
          </w:p>
        </w:tc>
        <w:tc>
          <w:tcPr>
            <w:tcW w:w="1080"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748DB3A3" w14:textId="77777777" w:rsidR="003F0EEA" w:rsidRPr="008C27C3" w:rsidRDefault="00FB7D0B">
            <w:pPr>
              <w:jc w:val="right"/>
              <w:rPr>
                <w:rFonts w:ascii="Arial" w:eastAsia="Arial" w:hAnsi="Arial" w:cs="Arial"/>
                <w:color w:val="000000"/>
                <w:sz w:val="16"/>
                <w:vertAlign w:val="superscript"/>
              </w:rPr>
            </w:pPr>
            <w:r w:rsidRPr="008C27C3">
              <w:rPr>
                <w:rFonts w:ascii="Arial" w:eastAsia="Arial" w:hAnsi="Arial" w:cs="Arial"/>
                <w:color w:val="000000"/>
                <w:sz w:val="16"/>
              </w:rPr>
              <w:t>$'000</w:t>
            </w:r>
          </w:p>
        </w:tc>
        <w:tc>
          <w:tcPr>
            <w:tcW w:w="90"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7B316C9F" w14:textId="77777777" w:rsidR="003F0EEA" w:rsidRPr="008C27C3" w:rsidRDefault="00FB7D0B">
            <w:pPr>
              <w:rPr>
                <w:rFonts w:ascii="Arial" w:eastAsia="Arial" w:hAnsi="Arial" w:cs="Arial"/>
                <w:color w:val="000000"/>
                <w:sz w:val="16"/>
              </w:rPr>
            </w:pPr>
            <w:r w:rsidRPr="008C27C3">
              <w:rPr>
                <w:rFonts w:ascii="Arial" w:eastAsia="Arial" w:hAnsi="Arial" w:cs="Arial"/>
                <w:b/>
                <w:color w:val="000000"/>
                <w:sz w:val="16"/>
              </w:rPr>
              <w:t xml:space="preserve"> </w:t>
            </w:r>
          </w:p>
        </w:tc>
        <w:tc>
          <w:tcPr>
            <w:tcW w:w="930"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32210C12" w14:textId="77777777" w:rsidR="003F0EEA" w:rsidRPr="008C27C3" w:rsidRDefault="00FB7D0B">
            <w:pPr>
              <w:jc w:val="right"/>
              <w:rPr>
                <w:rFonts w:ascii="Arial" w:eastAsia="Arial" w:hAnsi="Arial" w:cs="Arial"/>
                <w:b/>
                <w:color w:val="000000"/>
                <w:sz w:val="16"/>
              </w:rPr>
            </w:pPr>
            <w:r w:rsidRPr="008C27C3">
              <w:rPr>
                <w:rFonts w:ascii="Arial" w:eastAsia="Arial" w:hAnsi="Arial" w:cs="Arial"/>
                <w:color w:val="000000"/>
                <w:sz w:val="16"/>
              </w:rPr>
              <w:t>$'000</w:t>
            </w:r>
          </w:p>
        </w:tc>
        <w:tc>
          <w:tcPr>
            <w:tcW w:w="90"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38D8CF34" w14:textId="77777777" w:rsidR="003F0EEA" w:rsidRPr="008C27C3" w:rsidRDefault="00FB7D0B">
            <w:pPr>
              <w:rPr>
                <w:rFonts w:ascii="Arial" w:eastAsia="Arial" w:hAnsi="Arial" w:cs="Arial"/>
                <w:color w:val="000000"/>
                <w:sz w:val="16"/>
              </w:rPr>
            </w:pPr>
            <w:r w:rsidRPr="008C27C3">
              <w:rPr>
                <w:rFonts w:ascii="Arial" w:eastAsia="Arial" w:hAnsi="Arial" w:cs="Arial"/>
                <w:b/>
                <w:color w:val="000000"/>
                <w:sz w:val="16"/>
              </w:rPr>
              <w:t xml:space="preserve"> </w:t>
            </w:r>
          </w:p>
        </w:tc>
        <w:tc>
          <w:tcPr>
            <w:tcW w:w="930" w:type="dxa"/>
            <w:tcBorders>
              <w:top w:val="nil"/>
              <w:left w:val="nil"/>
              <w:bottom w:val="single" w:sz="6" w:space="0" w:color="000000"/>
              <w:right w:val="nil"/>
              <w:tl2br w:val="nil"/>
              <w:tr2bl w:val="nil"/>
            </w:tcBorders>
            <w:shd w:val="clear" w:color="auto" w:fill="C0C0C0"/>
            <w:tcMar>
              <w:left w:w="115" w:type="dxa"/>
              <w:right w:w="115" w:type="dxa"/>
            </w:tcMar>
            <w:vAlign w:val="bottom"/>
          </w:tcPr>
          <w:p w14:paraId="7091CE5C" w14:textId="77777777" w:rsidR="003F0EEA" w:rsidRPr="008C27C3" w:rsidRDefault="00FB7D0B">
            <w:pPr>
              <w:jc w:val="right"/>
              <w:rPr>
                <w:rFonts w:ascii="Arial" w:eastAsia="Arial" w:hAnsi="Arial" w:cs="Arial"/>
                <w:b/>
                <w:color w:val="000000"/>
                <w:sz w:val="16"/>
              </w:rPr>
            </w:pPr>
            <w:r w:rsidRPr="008C27C3">
              <w:rPr>
                <w:rFonts w:ascii="Arial" w:eastAsia="Arial" w:hAnsi="Arial" w:cs="Arial"/>
                <w:color w:val="000000"/>
                <w:sz w:val="16"/>
              </w:rPr>
              <w:t>$'000</w:t>
            </w:r>
          </w:p>
        </w:tc>
        <w:tc>
          <w:tcPr>
            <w:tcW w:w="1155"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24A6A2C6" w14:textId="77777777" w:rsidR="003F0EEA" w:rsidRPr="008C27C3" w:rsidRDefault="00FB7D0B">
            <w:pPr>
              <w:jc w:val="right"/>
              <w:rPr>
                <w:rFonts w:ascii="Arial" w:eastAsia="Arial" w:hAnsi="Arial" w:cs="Arial"/>
                <w:color w:val="000000"/>
                <w:sz w:val="16"/>
              </w:rPr>
            </w:pPr>
            <w:r w:rsidRPr="008C27C3">
              <w:rPr>
                <w:rFonts w:ascii="Arial" w:eastAsia="Arial" w:hAnsi="Arial" w:cs="Arial"/>
                <w:color w:val="000000"/>
                <w:sz w:val="16"/>
              </w:rPr>
              <w:t>$'000</w:t>
            </w:r>
          </w:p>
        </w:tc>
      </w:tr>
      <w:tr w:rsidR="00724034" w14:paraId="131CC5FF" w14:textId="77777777">
        <w:trPr>
          <w:trHeight w:val="60"/>
        </w:trPr>
        <w:tc>
          <w:tcPr>
            <w:tcW w:w="180"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707140C6" w14:textId="77777777" w:rsidR="003F0EEA" w:rsidRPr="008C27C3" w:rsidRDefault="003F0EEA">
            <w:pPr>
              <w:rPr>
                <w:rFonts w:ascii="Arial" w:eastAsia="Arial" w:hAnsi="Arial" w:cs="Arial"/>
                <w:color w:val="000000"/>
                <w:sz w:val="16"/>
              </w:rPr>
            </w:pPr>
          </w:p>
        </w:tc>
        <w:tc>
          <w:tcPr>
            <w:tcW w:w="180"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43CEEC22" w14:textId="77777777" w:rsidR="003F0EEA" w:rsidRPr="008C27C3" w:rsidRDefault="003F0EEA">
            <w:pPr>
              <w:rPr>
                <w:rFonts w:ascii="Arial" w:eastAsia="Arial" w:hAnsi="Arial" w:cs="Arial"/>
                <w:color w:val="000000"/>
                <w:sz w:val="16"/>
              </w:rPr>
            </w:pPr>
          </w:p>
        </w:tc>
        <w:tc>
          <w:tcPr>
            <w:tcW w:w="2475"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7445A618" w14:textId="77777777" w:rsidR="003F0EEA" w:rsidRPr="008C27C3" w:rsidRDefault="003F0EEA">
            <w:pPr>
              <w:rPr>
                <w:rFonts w:ascii="Arial" w:eastAsia="Arial" w:hAnsi="Arial" w:cs="Arial"/>
                <w:color w:val="000000"/>
                <w:sz w:val="16"/>
              </w:rPr>
            </w:pPr>
          </w:p>
        </w:tc>
        <w:tc>
          <w:tcPr>
            <w:tcW w:w="90"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2F01ED71" w14:textId="77777777" w:rsidR="003F0EEA" w:rsidRPr="008C27C3" w:rsidRDefault="003F0EEA">
            <w:pPr>
              <w:jc w:val="center"/>
              <w:rPr>
                <w:rFonts w:ascii="Arial" w:eastAsia="Arial" w:hAnsi="Arial" w:cs="Arial"/>
                <w:color w:val="000000"/>
                <w:sz w:val="16"/>
                <w:vertAlign w:val="superscript"/>
              </w:rPr>
            </w:pPr>
          </w:p>
        </w:tc>
        <w:tc>
          <w:tcPr>
            <w:tcW w:w="1080"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77FED24D" w14:textId="77777777" w:rsidR="003F0EEA" w:rsidRPr="008C27C3" w:rsidRDefault="003F0EEA">
            <w:pPr>
              <w:jc w:val="right"/>
              <w:rPr>
                <w:rFonts w:ascii="Arial" w:eastAsia="Arial" w:hAnsi="Arial" w:cs="Arial"/>
                <w:color w:val="000000"/>
                <w:sz w:val="16"/>
                <w:vertAlign w:val="superscript"/>
              </w:rPr>
            </w:pPr>
          </w:p>
        </w:tc>
        <w:tc>
          <w:tcPr>
            <w:tcW w:w="90"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05D6D467" w14:textId="77777777" w:rsidR="003F0EEA" w:rsidRPr="008C27C3" w:rsidRDefault="00FB7D0B">
            <w:pPr>
              <w:rPr>
                <w:rFonts w:ascii="Arial" w:eastAsia="Arial" w:hAnsi="Arial" w:cs="Arial"/>
                <w:color w:val="000000"/>
                <w:sz w:val="16"/>
                <w:vertAlign w:val="superscript"/>
              </w:rPr>
            </w:pPr>
            <w:r w:rsidRPr="008C27C3">
              <w:rPr>
                <w:rFonts w:ascii="Arial" w:eastAsia="Arial" w:hAnsi="Arial" w:cs="Arial"/>
                <w:b/>
                <w:color w:val="000000"/>
                <w:sz w:val="16"/>
              </w:rPr>
              <w:t xml:space="preserve"> </w:t>
            </w:r>
          </w:p>
        </w:tc>
        <w:tc>
          <w:tcPr>
            <w:tcW w:w="930"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1D9F33C9" w14:textId="77777777" w:rsidR="003F0EEA" w:rsidRPr="008C27C3" w:rsidRDefault="003F0EEA">
            <w:pPr>
              <w:jc w:val="right"/>
              <w:rPr>
                <w:rFonts w:ascii="Arial" w:eastAsia="Arial" w:hAnsi="Arial" w:cs="Arial"/>
                <w:b/>
                <w:color w:val="000000"/>
                <w:sz w:val="16"/>
              </w:rPr>
            </w:pPr>
          </w:p>
        </w:tc>
        <w:tc>
          <w:tcPr>
            <w:tcW w:w="90"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7F925A9E" w14:textId="77777777" w:rsidR="003F0EEA" w:rsidRPr="008C27C3" w:rsidRDefault="00FB7D0B">
            <w:pPr>
              <w:rPr>
                <w:rFonts w:ascii="Arial" w:eastAsia="Arial" w:hAnsi="Arial" w:cs="Arial"/>
                <w:color w:val="000000"/>
                <w:sz w:val="16"/>
              </w:rPr>
            </w:pPr>
            <w:r w:rsidRPr="008C27C3">
              <w:rPr>
                <w:rFonts w:ascii="Arial" w:eastAsia="Arial" w:hAnsi="Arial" w:cs="Arial"/>
                <w:b/>
                <w:color w:val="000000"/>
                <w:sz w:val="16"/>
              </w:rPr>
              <w:t xml:space="preserve"> </w:t>
            </w:r>
          </w:p>
        </w:tc>
        <w:tc>
          <w:tcPr>
            <w:tcW w:w="930" w:type="dxa"/>
            <w:tcBorders>
              <w:top w:val="single" w:sz="6" w:space="0" w:color="000000"/>
              <w:left w:val="nil"/>
              <w:bottom w:val="nil"/>
              <w:right w:val="nil"/>
              <w:tl2br w:val="nil"/>
              <w:tr2bl w:val="nil"/>
            </w:tcBorders>
            <w:shd w:val="clear" w:color="auto" w:fill="C0C0C0"/>
            <w:tcMar>
              <w:left w:w="115" w:type="dxa"/>
              <w:right w:w="115" w:type="dxa"/>
            </w:tcMar>
            <w:vAlign w:val="bottom"/>
          </w:tcPr>
          <w:p w14:paraId="2CAB4CDF" w14:textId="77777777" w:rsidR="003F0EEA" w:rsidRPr="008C27C3" w:rsidRDefault="003F0EEA">
            <w:pPr>
              <w:jc w:val="right"/>
              <w:rPr>
                <w:rFonts w:ascii="Arial" w:eastAsia="Arial" w:hAnsi="Arial" w:cs="Arial"/>
                <w:b/>
                <w:color w:val="000000"/>
                <w:sz w:val="16"/>
              </w:rPr>
            </w:pPr>
          </w:p>
        </w:tc>
        <w:tc>
          <w:tcPr>
            <w:tcW w:w="1155"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42B0C906" w14:textId="77777777" w:rsidR="003F0EEA" w:rsidRPr="008C27C3" w:rsidRDefault="003F0EEA">
            <w:pPr>
              <w:jc w:val="right"/>
              <w:rPr>
                <w:rFonts w:ascii="Arial" w:eastAsia="Arial" w:hAnsi="Arial" w:cs="Arial"/>
                <w:color w:val="000000"/>
                <w:sz w:val="16"/>
              </w:rPr>
            </w:pPr>
          </w:p>
        </w:tc>
      </w:tr>
      <w:tr w:rsidR="00FB7D0B" w14:paraId="4245EDD6" w14:textId="77777777" w:rsidTr="00FB7D0B">
        <w:trPr>
          <w:trHeight w:val="225"/>
        </w:trPr>
        <w:tc>
          <w:tcPr>
            <w:tcW w:w="2835" w:type="dxa"/>
            <w:gridSpan w:val="3"/>
            <w:tcBorders>
              <w:top w:val="nil"/>
              <w:left w:val="nil"/>
              <w:bottom w:val="nil"/>
              <w:right w:val="nil"/>
              <w:tl2br w:val="nil"/>
              <w:tr2bl w:val="nil"/>
            </w:tcBorders>
            <w:shd w:val="clear" w:color="auto" w:fill="FFFFFF"/>
            <w:tcMar>
              <w:left w:w="115" w:type="dxa"/>
              <w:right w:w="115" w:type="dxa"/>
            </w:tcMar>
            <w:vAlign w:val="bottom"/>
          </w:tcPr>
          <w:p w14:paraId="51E480CE" w14:textId="77777777" w:rsidR="003F0EEA" w:rsidRPr="008C27C3" w:rsidRDefault="00FB7D0B">
            <w:pPr>
              <w:rPr>
                <w:rFonts w:ascii="Arial" w:eastAsia="Arial" w:hAnsi="Arial" w:cs="Arial"/>
                <w:color w:val="000000"/>
                <w:sz w:val="16"/>
              </w:rPr>
            </w:pPr>
            <w:r w:rsidRPr="008C27C3">
              <w:rPr>
                <w:rFonts w:ascii="Arial" w:eastAsia="Arial" w:hAnsi="Arial" w:cs="Arial"/>
                <w:b/>
                <w:color w:val="000000"/>
                <w:sz w:val="16"/>
              </w:rPr>
              <w:t>Opening balance/Reserves at bank</w:t>
            </w:r>
          </w:p>
        </w:tc>
        <w:tc>
          <w:tcPr>
            <w:tcW w:w="90" w:type="dxa"/>
            <w:tcBorders>
              <w:top w:val="nil"/>
              <w:left w:val="nil"/>
              <w:bottom w:val="nil"/>
              <w:right w:val="nil"/>
              <w:tl2br w:val="nil"/>
              <w:tr2bl w:val="nil"/>
            </w:tcBorders>
            <w:shd w:val="clear" w:color="auto" w:fill="FFFFFF"/>
            <w:tcMar>
              <w:left w:w="115" w:type="dxa"/>
              <w:right w:w="115" w:type="dxa"/>
            </w:tcMar>
            <w:vAlign w:val="bottom"/>
          </w:tcPr>
          <w:p w14:paraId="462E4F61" w14:textId="77777777" w:rsidR="003F0EEA" w:rsidRPr="008C27C3" w:rsidRDefault="003F0EEA">
            <w:pPr>
              <w:jc w:val="center"/>
              <w:rPr>
                <w:rFonts w:ascii="Arial" w:eastAsia="Arial" w:hAnsi="Arial" w:cs="Arial"/>
                <w:b/>
                <w:color w:val="000000"/>
                <w:sz w:val="16"/>
                <w:vertAlign w:val="superscript"/>
              </w:rPr>
            </w:pPr>
          </w:p>
        </w:tc>
        <w:tc>
          <w:tcPr>
            <w:tcW w:w="1080" w:type="dxa"/>
            <w:tcBorders>
              <w:top w:val="nil"/>
              <w:left w:val="nil"/>
              <w:bottom w:val="nil"/>
              <w:right w:val="nil"/>
              <w:tl2br w:val="nil"/>
              <w:tr2bl w:val="nil"/>
            </w:tcBorders>
            <w:shd w:val="clear" w:color="auto" w:fill="FFFFFF"/>
            <w:tcMar>
              <w:left w:w="115" w:type="dxa"/>
              <w:right w:w="115" w:type="dxa"/>
            </w:tcMar>
            <w:vAlign w:val="bottom"/>
          </w:tcPr>
          <w:p w14:paraId="79A80F55" w14:textId="77777777" w:rsidR="003F0EEA" w:rsidRPr="008C27C3" w:rsidRDefault="00FB7D0B">
            <w:pPr>
              <w:jc w:val="right"/>
              <w:rPr>
                <w:rFonts w:ascii="Arial" w:eastAsia="Arial" w:hAnsi="Arial" w:cs="Arial"/>
                <w:color w:val="000000"/>
                <w:sz w:val="16"/>
                <w:vertAlign w:val="superscript"/>
              </w:rPr>
            </w:pPr>
            <w:r w:rsidRPr="008C27C3">
              <w:rPr>
                <w:rFonts w:ascii="Arial" w:eastAsia="Arial" w:hAnsi="Arial" w:cs="Arial"/>
                <w:color w:val="000000"/>
                <w:sz w:val="16"/>
              </w:rPr>
              <w:t>74,496 </w:t>
            </w:r>
          </w:p>
        </w:tc>
        <w:tc>
          <w:tcPr>
            <w:tcW w:w="90" w:type="dxa"/>
            <w:tcBorders>
              <w:top w:val="nil"/>
              <w:left w:val="nil"/>
              <w:bottom w:val="nil"/>
              <w:right w:val="nil"/>
              <w:tl2br w:val="nil"/>
              <w:tr2bl w:val="nil"/>
            </w:tcBorders>
            <w:shd w:val="clear" w:color="auto" w:fill="FFFFFF"/>
            <w:tcMar>
              <w:left w:w="115" w:type="dxa"/>
              <w:right w:w="115" w:type="dxa"/>
            </w:tcMar>
            <w:vAlign w:val="bottom"/>
          </w:tcPr>
          <w:p w14:paraId="3F611A94" w14:textId="77777777" w:rsidR="003F0EEA" w:rsidRPr="008C27C3" w:rsidRDefault="00FB7D0B">
            <w:pPr>
              <w:rPr>
                <w:rFonts w:ascii="Arial" w:eastAsia="Arial" w:hAnsi="Arial" w:cs="Arial"/>
                <w:color w:val="000000"/>
                <w:sz w:val="16"/>
              </w:rPr>
            </w:pPr>
            <w:r w:rsidRPr="008C27C3">
              <w:rPr>
                <w:rFonts w:ascii="Arial" w:eastAsia="Arial" w:hAnsi="Arial" w:cs="Arial"/>
                <w:color w:val="000000"/>
                <w:sz w:val="16"/>
              </w:rPr>
              <w:t xml:space="preserve"> </w:t>
            </w:r>
          </w:p>
        </w:tc>
        <w:tc>
          <w:tcPr>
            <w:tcW w:w="930" w:type="dxa"/>
            <w:tcBorders>
              <w:top w:val="nil"/>
              <w:left w:val="nil"/>
              <w:bottom w:val="nil"/>
              <w:right w:val="nil"/>
              <w:tl2br w:val="nil"/>
              <w:tr2bl w:val="nil"/>
            </w:tcBorders>
            <w:shd w:val="clear" w:color="auto" w:fill="FFFFFF"/>
            <w:tcMar>
              <w:left w:w="115" w:type="dxa"/>
              <w:right w:w="115" w:type="dxa"/>
            </w:tcMar>
            <w:vAlign w:val="bottom"/>
          </w:tcPr>
          <w:p w14:paraId="0B456C6C" w14:textId="77777777" w:rsidR="003F0EEA" w:rsidRPr="008C27C3" w:rsidRDefault="00FB7D0B">
            <w:pPr>
              <w:jc w:val="right"/>
              <w:rPr>
                <w:rFonts w:ascii="Arial" w:eastAsia="Arial" w:hAnsi="Arial" w:cs="Arial"/>
                <w:color w:val="000000"/>
                <w:sz w:val="16"/>
              </w:rPr>
            </w:pPr>
            <w:r w:rsidRPr="008C27C3">
              <w:rPr>
                <w:rFonts w:ascii="Arial" w:eastAsia="Arial" w:hAnsi="Arial" w:cs="Arial"/>
                <w:color w:val="000000"/>
                <w:sz w:val="16"/>
              </w:rPr>
              <w:t xml:space="preserve"> - </w:t>
            </w:r>
          </w:p>
        </w:tc>
        <w:tc>
          <w:tcPr>
            <w:tcW w:w="90" w:type="dxa"/>
            <w:tcBorders>
              <w:top w:val="nil"/>
              <w:left w:val="nil"/>
              <w:bottom w:val="nil"/>
              <w:right w:val="nil"/>
              <w:tl2br w:val="nil"/>
              <w:tr2bl w:val="nil"/>
            </w:tcBorders>
            <w:shd w:val="clear" w:color="auto" w:fill="FFFFFF"/>
            <w:tcMar>
              <w:left w:w="115" w:type="dxa"/>
              <w:right w:w="115" w:type="dxa"/>
            </w:tcMar>
            <w:vAlign w:val="bottom"/>
          </w:tcPr>
          <w:p w14:paraId="015D17BF" w14:textId="77777777" w:rsidR="003F0EEA" w:rsidRPr="008C27C3" w:rsidRDefault="00FB7D0B">
            <w:pPr>
              <w:rPr>
                <w:rFonts w:ascii="Arial" w:eastAsia="Arial" w:hAnsi="Arial" w:cs="Arial"/>
                <w:color w:val="000000"/>
                <w:sz w:val="16"/>
              </w:rPr>
            </w:pPr>
            <w:r w:rsidRPr="008C27C3">
              <w:rPr>
                <w:rFonts w:ascii="Arial" w:eastAsia="Arial" w:hAnsi="Arial" w:cs="Arial"/>
                <w:color w:val="000000"/>
                <w:sz w:val="16"/>
              </w:rPr>
              <w:t xml:space="preserve"> </w:t>
            </w:r>
          </w:p>
        </w:tc>
        <w:tc>
          <w:tcPr>
            <w:tcW w:w="930" w:type="dxa"/>
            <w:tcBorders>
              <w:top w:val="nil"/>
              <w:left w:val="nil"/>
              <w:bottom w:val="nil"/>
              <w:right w:val="nil"/>
              <w:tl2br w:val="nil"/>
              <w:tr2bl w:val="nil"/>
            </w:tcBorders>
            <w:shd w:val="clear" w:color="auto" w:fill="C0C0C0"/>
            <w:tcMar>
              <w:left w:w="115" w:type="dxa"/>
              <w:right w:w="115" w:type="dxa"/>
            </w:tcMar>
            <w:vAlign w:val="bottom"/>
          </w:tcPr>
          <w:p w14:paraId="6B64A9D0" w14:textId="77777777" w:rsidR="003F0EEA" w:rsidRPr="008C27C3" w:rsidRDefault="00FB7D0B">
            <w:pPr>
              <w:jc w:val="right"/>
              <w:rPr>
                <w:rFonts w:ascii="Arial" w:eastAsia="Arial" w:hAnsi="Arial" w:cs="Arial"/>
                <w:color w:val="000000"/>
                <w:sz w:val="16"/>
              </w:rPr>
            </w:pPr>
            <w:r w:rsidRPr="008C27C3">
              <w:rPr>
                <w:rFonts w:ascii="Arial" w:eastAsia="Arial" w:hAnsi="Arial" w:cs="Arial"/>
                <w:color w:val="000000"/>
                <w:sz w:val="16"/>
              </w:rPr>
              <w:t>74,496 </w:t>
            </w:r>
          </w:p>
        </w:tc>
        <w:tc>
          <w:tcPr>
            <w:tcW w:w="1155" w:type="dxa"/>
            <w:tcBorders>
              <w:top w:val="nil"/>
              <w:left w:val="nil"/>
              <w:bottom w:val="nil"/>
              <w:right w:val="nil"/>
              <w:tl2br w:val="nil"/>
              <w:tr2bl w:val="nil"/>
            </w:tcBorders>
            <w:shd w:val="clear" w:color="auto" w:fill="FFFFFF"/>
            <w:tcMar>
              <w:left w:w="115" w:type="dxa"/>
              <w:right w:w="115" w:type="dxa"/>
            </w:tcMar>
            <w:vAlign w:val="bottom"/>
          </w:tcPr>
          <w:p w14:paraId="0FD38FF2" w14:textId="77777777" w:rsidR="003F0EEA" w:rsidRPr="008C27C3" w:rsidRDefault="00FB7D0B">
            <w:pPr>
              <w:jc w:val="right"/>
              <w:rPr>
                <w:rFonts w:ascii="Arial" w:eastAsia="Arial" w:hAnsi="Arial" w:cs="Arial"/>
                <w:color w:val="000000"/>
                <w:sz w:val="16"/>
              </w:rPr>
            </w:pPr>
            <w:r w:rsidRPr="008C27C3">
              <w:rPr>
                <w:rFonts w:ascii="Arial" w:eastAsia="Arial" w:hAnsi="Arial" w:cs="Arial"/>
                <w:color w:val="000000"/>
                <w:sz w:val="16"/>
              </w:rPr>
              <w:t>68,373 </w:t>
            </w:r>
          </w:p>
        </w:tc>
      </w:tr>
      <w:tr w:rsidR="00724034" w14:paraId="66ACFC65" w14:textId="77777777">
        <w:trPr>
          <w:trHeight w:val="60"/>
        </w:trPr>
        <w:tc>
          <w:tcPr>
            <w:tcW w:w="180" w:type="dxa"/>
            <w:tcBorders>
              <w:top w:val="nil"/>
              <w:left w:val="nil"/>
              <w:bottom w:val="nil"/>
              <w:right w:val="nil"/>
              <w:tl2br w:val="nil"/>
              <w:tr2bl w:val="nil"/>
            </w:tcBorders>
            <w:shd w:val="clear" w:color="auto" w:fill="FFFFFF"/>
            <w:tcMar>
              <w:left w:w="115" w:type="dxa"/>
              <w:right w:w="115" w:type="dxa"/>
            </w:tcMar>
            <w:vAlign w:val="bottom"/>
          </w:tcPr>
          <w:p w14:paraId="0FC20A0E" w14:textId="77777777" w:rsidR="003F0EEA" w:rsidRPr="008C27C3" w:rsidRDefault="003F0EEA">
            <w:pPr>
              <w:rPr>
                <w:rFonts w:ascii="Arial" w:eastAsia="Arial" w:hAnsi="Arial" w:cs="Arial"/>
                <w:color w:val="000000"/>
                <w:sz w:val="16"/>
              </w:rPr>
            </w:pPr>
          </w:p>
        </w:tc>
        <w:tc>
          <w:tcPr>
            <w:tcW w:w="180" w:type="dxa"/>
            <w:tcBorders>
              <w:top w:val="nil"/>
              <w:left w:val="nil"/>
              <w:bottom w:val="nil"/>
              <w:right w:val="nil"/>
              <w:tl2br w:val="nil"/>
              <w:tr2bl w:val="nil"/>
            </w:tcBorders>
            <w:shd w:val="clear" w:color="auto" w:fill="FFFFFF"/>
            <w:tcMar>
              <w:left w:w="115" w:type="dxa"/>
              <w:right w:w="115" w:type="dxa"/>
            </w:tcMar>
            <w:vAlign w:val="bottom"/>
          </w:tcPr>
          <w:p w14:paraId="2208705D" w14:textId="77777777" w:rsidR="003F0EEA" w:rsidRPr="008C27C3" w:rsidRDefault="003F0EEA">
            <w:pPr>
              <w:rPr>
                <w:rFonts w:ascii="Arial" w:eastAsia="Arial" w:hAnsi="Arial" w:cs="Arial"/>
                <w:color w:val="000000"/>
                <w:sz w:val="16"/>
              </w:rPr>
            </w:pPr>
          </w:p>
        </w:tc>
        <w:tc>
          <w:tcPr>
            <w:tcW w:w="2475" w:type="dxa"/>
            <w:tcBorders>
              <w:top w:val="nil"/>
              <w:left w:val="nil"/>
              <w:bottom w:val="nil"/>
              <w:right w:val="nil"/>
              <w:tl2br w:val="nil"/>
              <w:tr2bl w:val="nil"/>
            </w:tcBorders>
            <w:shd w:val="clear" w:color="auto" w:fill="FFFFFF"/>
            <w:tcMar>
              <w:left w:w="115" w:type="dxa"/>
              <w:right w:w="115" w:type="dxa"/>
            </w:tcMar>
            <w:vAlign w:val="bottom"/>
          </w:tcPr>
          <w:p w14:paraId="38CB58E2" w14:textId="77777777" w:rsidR="003F0EEA" w:rsidRPr="008C27C3" w:rsidRDefault="003F0EEA">
            <w:pPr>
              <w:rPr>
                <w:rFonts w:ascii="Arial" w:eastAsia="Arial" w:hAnsi="Arial" w:cs="Arial"/>
                <w:color w:val="000000"/>
                <w:sz w:val="16"/>
              </w:rPr>
            </w:pPr>
          </w:p>
        </w:tc>
        <w:tc>
          <w:tcPr>
            <w:tcW w:w="90" w:type="dxa"/>
            <w:tcBorders>
              <w:top w:val="nil"/>
              <w:left w:val="nil"/>
              <w:bottom w:val="nil"/>
              <w:right w:val="nil"/>
              <w:tl2br w:val="nil"/>
              <w:tr2bl w:val="nil"/>
            </w:tcBorders>
            <w:shd w:val="clear" w:color="auto" w:fill="FFFFFF"/>
            <w:tcMar>
              <w:left w:w="115" w:type="dxa"/>
              <w:right w:w="115" w:type="dxa"/>
            </w:tcMar>
            <w:vAlign w:val="bottom"/>
          </w:tcPr>
          <w:p w14:paraId="6C1D994F" w14:textId="77777777" w:rsidR="003F0EEA" w:rsidRPr="008C27C3" w:rsidRDefault="003F0EEA">
            <w:pPr>
              <w:jc w:val="center"/>
              <w:rPr>
                <w:rFonts w:ascii="Arial" w:eastAsia="Arial" w:hAnsi="Arial" w:cs="Arial"/>
                <w:color w:val="000000"/>
                <w:sz w:val="16"/>
                <w:vertAlign w:val="superscript"/>
              </w:rPr>
            </w:pPr>
          </w:p>
        </w:tc>
        <w:tc>
          <w:tcPr>
            <w:tcW w:w="1080" w:type="dxa"/>
            <w:tcBorders>
              <w:top w:val="nil"/>
              <w:left w:val="nil"/>
              <w:bottom w:val="nil"/>
              <w:right w:val="nil"/>
              <w:tl2br w:val="nil"/>
              <w:tr2bl w:val="nil"/>
            </w:tcBorders>
            <w:shd w:val="clear" w:color="auto" w:fill="FFFFFF"/>
            <w:tcMar>
              <w:left w:w="115" w:type="dxa"/>
              <w:right w:w="115" w:type="dxa"/>
            </w:tcMar>
            <w:vAlign w:val="bottom"/>
          </w:tcPr>
          <w:p w14:paraId="468F6947" w14:textId="77777777" w:rsidR="003F0EEA" w:rsidRPr="008C27C3" w:rsidRDefault="003F0EEA">
            <w:pPr>
              <w:jc w:val="right"/>
              <w:rPr>
                <w:rFonts w:ascii="Arial" w:eastAsia="Arial" w:hAnsi="Arial" w:cs="Arial"/>
                <w:color w:val="000000"/>
                <w:sz w:val="16"/>
                <w:vertAlign w:val="superscript"/>
              </w:rPr>
            </w:pPr>
          </w:p>
        </w:tc>
        <w:tc>
          <w:tcPr>
            <w:tcW w:w="90" w:type="dxa"/>
            <w:tcBorders>
              <w:top w:val="nil"/>
              <w:left w:val="nil"/>
              <w:bottom w:val="nil"/>
              <w:right w:val="nil"/>
              <w:tl2br w:val="nil"/>
              <w:tr2bl w:val="nil"/>
            </w:tcBorders>
            <w:shd w:val="clear" w:color="auto" w:fill="FFFFFF"/>
            <w:tcMar>
              <w:left w:w="115" w:type="dxa"/>
              <w:right w:w="115" w:type="dxa"/>
            </w:tcMar>
            <w:vAlign w:val="bottom"/>
          </w:tcPr>
          <w:p w14:paraId="06C6B31F" w14:textId="77777777" w:rsidR="003F0EEA" w:rsidRPr="008C27C3" w:rsidRDefault="00FB7D0B">
            <w:pPr>
              <w:rPr>
                <w:rFonts w:ascii="Arial" w:eastAsia="Arial" w:hAnsi="Arial" w:cs="Arial"/>
                <w:color w:val="000000"/>
                <w:sz w:val="16"/>
                <w:vertAlign w:val="superscript"/>
              </w:rPr>
            </w:pPr>
            <w:r w:rsidRPr="008C27C3">
              <w:rPr>
                <w:rFonts w:ascii="Arial" w:eastAsia="Arial" w:hAnsi="Arial" w:cs="Arial"/>
                <w:color w:val="000000"/>
                <w:sz w:val="16"/>
              </w:rPr>
              <w:t xml:space="preserve"> </w:t>
            </w:r>
          </w:p>
        </w:tc>
        <w:tc>
          <w:tcPr>
            <w:tcW w:w="930" w:type="dxa"/>
            <w:tcBorders>
              <w:top w:val="nil"/>
              <w:left w:val="nil"/>
              <w:bottom w:val="nil"/>
              <w:right w:val="nil"/>
              <w:tl2br w:val="nil"/>
              <w:tr2bl w:val="nil"/>
            </w:tcBorders>
            <w:shd w:val="clear" w:color="auto" w:fill="FFFFFF"/>
            <w:tcMar>
              <w:left w:w="115" w:type="dxa"/>
              <w:right w:w="115" w:type="dxa"/>
            </w:tcMar>
            <w:vAlign w:val="bottom"/>
          </w:tcPr>
          <w:p w14:paraId="0FD25613" w14:textId="77777777" w:rsidR="003F0EEA" w:rsidRPr="008C27C3" w:rsidRDefault="003F0EEA">
            <w:pPr>
              <w:jc w:val="right"/>
              <w:rPr>
                <w:rFonts w:ascii="Arial" w:eastAsia="Arial" w:hAnsi="Arial" w:cs="Arial"/>
                <w:color w:val="000000"/>
                <w:sz w:val="16"/>
              </w:rPr>
            </w:pPr>
          </w:p>
        </w:tc>
        <w:tc>
          <w:tcPr>
            <w:tcW w:w="90" w:type="dxa"/>
            <w:tcBorders>
              <w:top w:val="nil"/>
              <w:left w:val="nil"/>
              <w:bottom w:val="nil"/>
              <w:right w:val="nil"/>
              <w:tl2br w:val="nil"/>
              <w:tr2bl w:val="nil"/>
            </w:tcBorders>
            <w:shd w:val="clear" w:color="auto" w:fill="FFFFFF"/>
            <w:tcMar>
              <w:left w:w="115" w:type="dxa"/>
              <w:right w:w="115" w:type="dxa"/>
            </w:tcMar>
            <w:vAlign w:val="bottom"/>
          </w:tcPr>
          <w:p w14:paraId="133CD805" w14:textId="77777777" w:rsidR="003F0EEA" w:rsidRPr="008C27C3" w:rsidRDefault="00FB7D0B">
            <w:pPr>
              <w:rPr>
                <w:rFonts w:ascii="Arial" w:eastAsia="Arial" w:hAnsi="Arial" w:cs="Arial"/>
                <w:color w:val="000000"/>
                <w:sz w:val="16"/>
              </w:rPr>
            </w:pPr>
            <w:r w:rsidRPr="008C27C3">
              <w:rPr>
                <w:rFonts w:ascii="Arial" w:eastAsia="Arial" w:hAnsi="Arial" w:cs="Arial"/>
                <w:color w:val="000000"/>
                <w:sz w:val="16"/>
              </w:rPr>
              <w:t xml:space="preserve"> </w:t>
            </w:r>
          </w:p>
        </w:tc>
        <w:tc>
          <w:tcPr>
            <w:tcW w:w="930" w:type="dxa"/>
            <w:tcBorders>
              <w:top w:val="nil"/>
              <w:left w:val="nil"/>
              <w:bottom w:val="nil"/>
              <w:right w:val="nil"/>
              <w:tl2br w:val="nil"/>
              <w:tr2bl w:val="nil"/>
            </w:tcBorders>
            <w:shd w:val="clear" w:color="auto" w:fill="C0C0C0"/>
            <w:tcMar>
              <w:left w:w="115" w:type="dxa"/>
              <w:right w:w="115" w:type="dxa"/>
            </w:tcMar>
            <w:vAlign w:val="bottom"/>
          </w:tcPr>
          <w:p w14:paraId="2037E560" w14:textId="77777777" w:rsidR="003F0EEA" w:rsidRPr="008C27C3" w:rsidRDefault="003F0EEA">
            <w:pPr>
              <w:jc w:val="right"/>
              <w:rPr>
                <w:rFonts w:ascii="Arial" w:eastAsia="Arial" w:hAnsi="Arial" w:cs="Arial"/>
                <w:color w:val="000000"/>
                <w:sz w:val="16"/>
              </w:rPr>
            </w:pPr>
          </w:p>
        </w:tc>
        <w:tc>
          <w:tcPr>
            <w:tcW w:w="1155" w:type="dxa"/>
            <w:tcBorders>
              <w:top w:val="nil"/>
              <w:left w:val="nil"/>
              <w:bottom w:val="nil"/>
              <w:right w:val="nil"/>
              <w:tl2br w:val="nil"/>
              <w:tr2bl w:val="nil"/>
            </w:tcBorders>
            <w:shd w:val="clear" w:color="auto" w:fill="FFFFFF"/>
            <w:tcMar>
              <w:left w:w="115" w:type="dxa"/>
              <w:right w:w="115" w:type="dxa"/>
            </w:tcMar>
            <w:vAlign w:val="bottom"/>
          </w:tcPr>
          <w:p w14:paraId="1B675823" w14:textId="77777777" w:rsidR="003F0EEA" w:rsidRPr="008C27C3" w:rsidRDefault="003F0EEA">
            <w:pPr>
              <w:jc w:val="right"/>
              <w:rPr>
                <w:rFonts w:ascii="Arial" w:eastAsia="Arial" w:hAnsi="Arial" w:cs="Arial"/>
                <w:color w:val="000000"/>
                <w:sz w:val="16"/>
              </w:rPr>
            </w:pPr>
          </w:p>
        </w:tc>
      </w:tr>
      <w:tr w:rsidR="00FB7D0B" w14:paraId="6B7E2108" w14:textId="77777777" w:rsidTr="00FB7D0B">
        <w:trPr>
          <w:trHeight w:val="225"/>
        </w:trPr>
        <w:tc>
          <w:tcPr>
            <w:tcW w:w="2835" w:type="dxa"/>
            <w:gridSpan w:val="3"/>
            <w:tcBorders>
              <w:top w:val="nil"/>
              <w:left w:val="nil"/>
              <w:bottom w:val="nil"/>
              <w:right w:val="nil"/>
              <w:tl2br w:val="nil"/>
              <w:tr2bl w:val="nil"/>
            </w:tcBorders>
            <w:shd w:val="clear" w:color="auto" w:fill="FFFFFF"/>
            <w:tcMar>
              <w:left w:w="115" w:type="dxa"/>
              <w:right w:w="115" w:type="dxa"/>
            </w:tcMar>
            <w:vAlign w:val="bottom"/>
          </w:tcPr>
          <w:p w14:paraId="155BAC0D" w14:textId="77777777" w:rsidR="003F0EEA" w:rsidRPr="008C27C3" w:rsidRDefault="00FB7D0B">
            <w:pPr>
              <w:rPr>
                <w:rFonts w:ascii="Arial" w:eastAsia="Arial" w:hAnsi="Arial" w:cs="Arial"/>
                <w:color w:val="000000"/>
                <w:sz w:val="16"/>
              </w:rPr>
            </w:pPr>
            <w:r w:rsidRPr="008C27C3">
              <w:rPr>
                <w:rFonts w:ascii="Arial" w:eastAsia="Arial" w:hAnsi="Arial" w:cs="Arial"/>
                <w:b/>
                <w:color w:val="000000"/>
                <w:sz w:val="16"/>
              </w:rPr>
              <w:t>REVENUE FROM GOVERNMENT</w:t>
            </w:r>
          </w:p>
        </w:tc>
        <w:tc>
          <w:tcPr>
            <w:tcW w:w="90" w:type="dxa"/>
            <w:tcBorders>
              <w:top w:val="nil"/>
              <w:left w:val="nil"/>
              <w:bottom w:val="nil"/>
              <w:right w:val="nil"/>
              <w:tl2br w:val="nil"/>
              <w:tr2bl w:val="nil"/>
            </w:tcBorders>
            <w:shd w:val="clear" w:color="auto" w:fill="FFFFFF"/>
            <w:tcMar>
              <w:left w:w="115" w:type="dxa"/>
              <w:right w:w="115" w:type="dxa"/>
            </w:tcMar>
            <w:vAlign w:val="bottom"/>
          </w:tcPr>
          <w:p w14:paraId="78E41DC6" w14:textId="77777777" w:rsidR="003F0EEA" w:rsidRPr="008C27C3" w:rsidRDefault="003F0EEA">
            <w:pPr>
              <w:jc w:val="center"/>
              <w:rPr>
                <w:rFonts w:ascii="Arial" w:eastAsia="Arial" w:hAnsi="Arial" w:cs="Arial"/>
                <w:b/>
                <w:color w:val="000000"/>
                <w:sz w:val="16"/>
                <w:vertAlign w:val="superscript"/>
              </w:rPr>
            </w:pPr>
          </w:p>
        </w:tc>
        <w:tc>
          <w:tcPr>
            <w:tcW w:w="1080" w:type="dxa"/>
            <w:tcBorders>
              <w:top w:val="nil"/>
              <w:left w:val="nil"/>
              <w:bottom w:val="nil"/>
              <w:right w:val="nil"/>
              <w:tl2br w:val="nil"/>
              <w:tr2bl w:val="nil"/>
            </w:tcBorders>
            <w:shd w:val="clear" w:color="auto" w:fill="FFFFFF"/>
            <w:tcMar>
              <w:left w:w="115" w:type="dxa"/>
              <w:right w:w="115" w:type="dxa"/>
            </w:tcMar>
            <w:vAlign w:val="bottom"/>
          </w:tcPr>
          <w:p w14:paraId="625737D4" w14:textId="77777777" w:rsidR="003F0EEA" w:rsidRPr="008C27C3" w:rsidRDefault="003F0EEA">
            <w:pPr>
              <w:jc w:val="right"/>
              <w:rPr>
                <w:rFonts w:ascii="Arial" w:eastAsia="Arial" w:hAnsi="Arial" w:cs="Arial"/>
                <w:color w:val="000000"/>
                <w:sz w:val="16"/>
                <w:vertAlign w:val="superscript"/>
              </w:rPr>
            </w:pPr>
          </w:p>
        </w:tc>
        <w:tc>
          <w:tcPr>
            <w:tcW w:w="90" w:type="dxa"/>
            <w:tcBorders>
              <w:top w:val="nil"/>
              <w:left w:val="nil"/>
              <w:bottom w:val="nil"/>
              <w:right w:val="nil"/>
              <w:tl2br w:val="nil"/>
              <w:tr2bl w:val="nil"/>
            </w:tcBorders>
            <w:shd w:val="clear" w:color="auto" w:fill="FFFFFF"/>
            <w:tcMar>
              <w:left w:w="115" w:type="dxa"/>
              <w:right w:w="115" w:type="dxa"/>
            </w:tcMar>
            <w:vAlign w:val="bottom"/>
          </w:tcPr>
          <w:p w14:paraId="4705A671" w14:textId="77777777" w:rsidR="003F0EEA" w:rsidRPr="008C27C3" w:rsidRDefault="00FB7D0B">
            <w:pPr>
              <w:rPr>
                <w:rFonts w:ascii="Arial" w:eastAsia="Arial" w:hAnsi="Arial" w:cs="Arial"/>
                <w:color w:val="000000"/>
                <w:sz w:val="16"/>
                <w:vertAlign w:val="superscript"/>
              </w:rPr>
            </w:pPr>
            <w:r w:rsidRPr="008C27C3">
              <w:rPr>
                <w:rFonts w:ascii="Arial" w:eastAsia="Arial" w:hAnsi="Arial" w:cs="Arial"/>
                <w:color w:val="000000"/>
                <w:sz w:val="16"/>
              </w:rPr>
              <w:t xml:space="preserve"> </w:t>
            </w:r>
          </w:p>
        </w:tc>
        <w:tc>
          <w:tcPr>
            <w:tcW w:w="930" w:type="dxa"/>
            <w:tcBorders>
              <w:top w:val="nil"/>
              <w:left w:val="nil"/>
              <w:bottom w:val="nil"/>
              <w:right w:val="nil"/>
              <w:tl2br w:val="nil"/>
              <w:tr2bl w:val="nil"/>
            </w:tcBorders>
            <w:shd w:val="clear" w:color="auto" w:fill="FFFFFF"/>
            <w:tcMar>
              <w:left w:w="115" w:type="dxa"/>
              <w:right w:w="115" w:type="dxa"/>
            </w:tcMar>
            <w:vAlign w:val="bottom"/>
          </w:tcPr>
          <w:p w14:paraId="3ECF2281" w14:textId="77777777" w:rsidR="003F0EEA" w:rsidRPr="008C27C3" w:rsidRDefault="003F0EEA">
            <w:pPr>
              <w:jc w:val="right"/>
              <w:rPr>
                <w:rFonts w:ascii="Arial" w:eastAsia="Arial" w:hAnsi="Arial" w:cs="Arial"/>
                <w:color w:val="000000"/>
                <w:sz w:val="16"/>
              </w:rPr>
            </w:pPr>
          </w:p>
        </w:tc>
        <w:tc>
          <w:tcPr>
            <w:tcW w:w="90" w:type="dxa"/>
            <w:tcBorders>
              <w:top w:val="nil"/>
              <w:left w:val="nil"/>
              <w:bottom w:val="nil"/>
              <w:right w:val="nil"/>
              <w:tl2br w:val="nil"/>
              <w:tr2bl w:val="nil"/>
            </w:tcBorders>
            <w:shd w:val="clear" w:color="auto" w:fill="FFFFFF"/>
            <w:tcMar>
              <w:left w:w="115" w:type="dxa"/>
              <w:right w:w="115" w:type="dxa"/>
            </w:tcMar>
            <w:vAlign w:val="bottom"/>
          </w:tcPr>
          <w:p w14:paraId="2B6B8675" w14:textId="77777777" w:rsidR="003F0EEA" w:rsidRPr="008C27C3" w:rsidRDefault="00FB7D0B">
            <w:pPr>
              <w:rPr>
                <w:rFonts w:ascii="Arial" w:eastAsia="Arial" w:hAnsi="Arial" w:cs="Arial"/>
                <w:color w:val="000000"/>
                <w:sz w:val="16"/>
              </w:rPr>
            </w:pPr>
            <w:r w:rsidRPr="008C27C3">
              <w:rPr>
                <w:rFonts w:ascii="Arial" w:eastAsia="Arial" w:hAnsi="Arial" w:cs="Arial"/>
                <w:color w:val="000000"/>
                <w:sz w:val="16"/>
              </w:rPr>
              <w:t xml:space="preserve"> </w:t>
            </w:r>
          </w:p>
        </w:tc>
        <w:tc>
          <w:tcPr>
            <w:tcW w:w="930" w:type="dxa"/>
            <w:tcBorders>
              <w:top w:val="nil"/>
              <w:left w:val="nil"/>
              <w:bottom w:val="nil"/>
              <w:right w:val="nil"/>
              <w:tl2br w:val="nil"/>
              <w:tr2bl w:val="nil"/>
            </w:tcBorders>
            <w:shd w:val="clear" w:color="auto" w:fill="C0C0C0"/>
            <w:tcMar>
              <w:left w:w="115" w:type="dxa"/>
              <w:right w:w="115" w:type="dxa"/>
            </w:tcMar>
            <w:vAlign w:val="bottom"/>
          </w:tcPr>
          <w:p w14:paraId="5711F6F1" w14:textId="77777777" w:rsidR="003F0EEA" w:rsidRPr="008C27C3" w:rsidRDefault="003F0EEA">
            <w:pPr>
              <w:jc w:val="right"/>
              <w:rPr>
                <w:rFonts w:ascii="Arial" w:eastAsia="Arial" w:hAnsi="Arial" w:cs="Arial"/>
                <w:color w:val="000000"/>
                <w:sz w:val="16"/>
              </w:rPr>
            </w:pPr>
          </w:p>
        </w:tc>
        <w:tc>
          <w:tcPr>
            <w:tcW w:w="1155" w:type="dxa"/>
            <w:tcBorders>
              <w:top w:val="nil"/>
              <w:left w:val="nil"/>
              <w:bottom w:val="nil"/>
              <w:right w:val="nil"/>
              <w:tl2br w:val="nil"/>
              <w:tr2bl w:val="nil"/>
            </w:tcBorders>
            <w:shd w:val="clear" w:color="auto" w:fill="FFFFFF"/>
            <w:tcMar>
              <w:left w:w="115" w:type="dxa"/>
              <w:right w:w="115" w:type="dxa"/>
            </w:tcMar>
            <w:vAlign w:val="bottom"/>
          </w:tcPr>
          <w:p w14:paraId="673B5D7B" w14:textId="77777777" w:rsidR="003F0EEA" w:rsidRPr="008C27C3" w:rsidRDefault="003F0EEA">
            <w:pPr>
              <w:jc w:val="right"/>
              <w:rPr>
                <w:rFonts w:ascii="Arial" w:eastAsia="Arial" w:hAnsi="Arial" w:cs="Arial"/>
                <w:color w:val="000000"/>
                <w:sz w:val="16"/>
              </w:rPr>
            </w:pPr>
          </w:p>
        </w:tc>
      </w:tr>
      <w:tr w:rsidR="00FB7D0B" w14:paraId="7866E053" w14:textId="77777777" w:rsidTr="00FB7D0B">
        <w:trPr>
          <w:trHeight w:val="225"/>
        </w:trPr>
        <w:tc>
          <w:tcPr>
            <w:tcW w:w="2835" w:type="dxa"/>
            <w:gridSpan w:val="3"/>
            <w:tcBorders>
              <w:top w:val="nil"/>
              <w:left w:val="nil"/>
              <w:bottom w:val="nil"/>
              <w:right w:val="nil"/>
              <w:tl2br w:val="nil"/>
              <w:tr2bl w:val="nil"/>
            </w:tcBorders>
            <w:shd w:val="clear" w:color="auto" w:fill="FFFFFF"/>
            <w:tcMar>
              <w:left w:w="115" w:type="dxa"/>
              <w:right w:w="115" w:type="dxa"/>
            </w:tcMar>
            <w:vAlign w:val="bottom"/>
          </w:tcPr>
          <w:p w14:paraId="60C61894" w14:textId="77777777" w:rsidR="003F0EEA" w:rsidRPr="008C27C3" w:rsidRDefault="00FB7D0B">
            <w:pPr>
              <w:rPr>
                <w:rFonts w:ascii="Arial" w:eastAsia="Arial" w:hAnsi="Arial" w:cs="Arial"/>
                <w:color w:val="000000"/>
                <w:sz w:val="16"/>
              </w:rPr>
            </w:pPr>
            <w:r w:rsidRPr="008C27C3">
              <w:rPr>
                <w:rFonts w:ascii="Arial" w:eastAsia="Arial" w:hAnsi="Arial" w:cs="Arial"/>
                <w:b/>
                <w:color w:val="000000"/>
                <w:sz w:val="16"/>
              </w:rPr>
              <w:t>Ordinary annual services</w:t>
            </w:r>
            <w:r w:rsidRPr="008C27C3">
              <w:rPr>
                <w:rFonts w:ascii="Arial" w:eastAsia="Arial" w:hAnsi="Arial" w:cs="Arial"/>
                <w:b/>
                <w:color w:val="000000"/>
                <w:sz w:val="16"/>
                <w:vertAlign w:val="superscript"/>
              </w:rPr>
              <w:t>1 </w:t>
            </w:r>
          </w:p>
        </w:tc>
        <w:tc>
          <w:tcPr>
            <w:tcW w:w="90" w:type="dxa"/>
            <w:tcBorders>
              <w:top w:val="nil"/>
              <w:left w:val="nil"/>
              <w:bottom w:val="nil"/>
              <w:right w:val="nil"/>
              <w:tl2br w:val="nil"/>
              <w:tr2bl w:val="nil"/>
            </w:tcBorders>
            <w:shd w:val="clear" w:color="auto" w:fill="FFFFFF"/>
            <w:tcMar>
              <w:left w:w="115" w:type="dxa"/>
              <w:right w:w="115" w:type="dxa"/>
            </w:tcMar>
            <w:vAlign w:val="bottom"/>
          </w:tcPr>
          <w:p w14:paraId="2AA9DC87" w14:textId="77777777" w:rsidR="003F0EEA" w:rsidRPr="008C27C3" w:rsidRDefault="003F0EEA">
            <w:pPr>
              <w:jc w:val="center"/>
              <w:rPr>
                <w:rFonts w:ascii="Arial" w:eastAsia="Arial" w:hAnsi="Arial" w:cs="Arial"/>
                <w:b/>
                <w:color w:val="000000"/>
                <w:sz w:val="16"/>
                <w:vertAlign w:val="superscript"/>
              </w:rPr>
            </w:pPr>
          </w:p>
        </w:tc>
        <w:tc>
          <w:tcPr>
            <w:tcW w:w="1080" w:type="dxa"/>
            <w:tcBorders>
              <w:top w:val="nil"/>
              <w:left w:val="nil"/>
              <w:bottom w:val="nil"/>
              <w:right w:val="nil"/>
              <w:tl2br w:val="nil"/>
              <w:tr2bl w:val="nil"/>
            </w:tcBorders>
            <w:shd w:val="clear" w:color="auto" w:fill="FFFFFF"/>
            <w:tcMar>
              <w:left w:w="115" w:type="dxa"/>
              <w:right w:w="115" w:type="dxa"/>
            </w:tcMar>
            <w:vAlign w:val="bottom"/>
          </w:tcPr>
          <w:p w14:paraId="517DFD0F" w14:textId="77777777" w:rsidR="003F0EEA" w:rsidRPr="008C27C3" w:rsidRDefault="003F0EEA">
            <w:pPr>
              <w:jc w:val="right"/>
              <w:rPr>
                <w:rFonts w:ascii="Arial" w:eastAsia="Arial" w:hAnsi="Arial" w:cs="Arial"/>
                <w:b/>
                <w:color w:val="000000"/>
                <w:sz w:val="16"/>
                <w:vertAlign w:val="superscript"/>
              </w:rPr>
            </w:pPr>
          </w:p>
        </w:tc>
        <w:tc>
          <w:tcPr>
            <w:tcW w:w="90" w:type="dxa"/>
            <w:tcBorders>
              <w:top w:val="nil"/>
              <w:left w:val="nil"/>
              <w:bottom w:val="nil"/>
              <w:right w:val="nil"/>
              <w:tl2br w:val="nil"/>
              <w:tr2bl w:val="nil"/>
            </w:tcBorders>
            <w:shd w:val="clear" w:color="auto" w:fill="FFFFFF"/>
            <w:tcMar>
              <w:left w:w="115" w:type="dxa"/>
              <w:right w:w="115" w:type="dxa"/>
            </w:tcMar>
            <w:vAlign w:val="bottom"/>
          </w:tcPr>
          <w:p w14:paraId="6962165E" w14:textId="77777777" w:rsidR="003F0EEA" w:rsidRPr="008C27C3" w:rsidRDefault="00FB7D0B">
            <w:pPr>
              <w:rPr>
                <w:rFonts w:ascii="Arial" w:eastAsia="Arial" w:hAnsi="Arial" w:cs="Arial"/>
                <w:color w:val="000000"/>
                <w:sz w:val="16"/>
                <w:vertAlign w:val="superscript"/>
              </w:rPr>
            </w:pPr>
            <w:r w:rsidRPr="008C27C3">
              <w:rPr>
                <w:rFonts w:ascii="Arial" w:eastAsia="Arial" w:hAnsi="Arial" w:cs="Arial"/>
                <w:color w:val="000000"/>
                <w:sz w:val="16"/>
              </w:rPr>
              <w:t xml:space="preserve"> </w:t>
            </w:r>
          </w:p>
        </w:tc>
        <w:tc>
          <w:tcPr>
            <w:tcW w:w="930" w:type="dxa"/>
            <w:tcBorders>
              <w:top w:val="nil"/>
              <w:left w:val="nil"/>
              <w:bottom w:val="nil"/>
              <w:right w:val="nil"/>
              <w:tl2br w:val="nil"/>
              <w:tr2bl w:val="nil"/>
            </w:tcBorders>
            <w:shd w:val="clear" w:color="auto" w:fill="FFFFFF"/>
            <w:tcMar>
              <w:left w:w="115" w:type="dxa"/>
              <w:right w:w="115" w:type="dxa"/>
            </w:tcMar>
            <w:vAlign w:val="bottom"/>
          </w:tcPr>
          <w:p w14:paraId="7300FFE4" w14:textId="77777777" w:rsidR="003F0EEA" w:rsidRPr="008C27C3" w:rsidRDefault="003F0EEA">
            <w:pPr>
              <w:jc w:val="right"/>
              <w:rPr>
                <w:rFonts w:ascii="Arial" w:eastAsia="Arial" w:hAnsi="Arial" w:cs="Arial"/>
                <w:color w:val="000000"/>
                <w:sz w:val="16"/>
              </w:rPr>
            </w:pPr>
          </w:p>
        </w:tc>
        <w:tc>
          <w:tcPr>
            <w:tcW w:w="90" w:type="dxa"/>
            <w:tcBorders>
              <w:top w:val="nil"/>
              <w:left w:val="nil"/>
              <w:bottom w:val="nil"/>
              <w:right w:val="nil"/>
              <w:tl2br w:val="nil"/>
              <w:tr2bl w:val="nil"/>
            </w:tcBorders>
            <w:shd w:val="clear" w:color="auto" w:fill="FFFFFF"/>
            <w:tcMar>
              <w:left w:w="115" w:type="dxa"/>
              <w:right w:w="115" w:type="dxa"/>
            </w:tcMar>
            <w:vAlign w:val="bottom"/>
          </w:tcPr>
          <w:p w14:paraId="0865D5AD" w14:textId="77777777" w:rsidR="003F0EEA" w:rsidRPr="008C27C3" w:rsidRDefault="00FB7D0B">
            <w:pPr>
              <w:rPr>
                <w:rFonts w:ascii="Arial" w:eastAsia="Arial" w:hAnsi="Arial" w:cs="Arial"/>
                <w:color w:val="000000"/>
                <w:sz w:val="16"/>
              </w:rPr>
            </w:pPr>
            <w:r w:rsidRPr="008C27C3">
              <w:rPr>
                <w:rFonts w:ascii="Arial" w:eastAsia="Arial" w:hAnsi="Arial" w:cs="Arial"/>
                <w:color w:val="000000"/>
                <w:sz w:val="16"/>
              </w:rPr>
              <w:t xml:space="preserve"> </w:t>
            </w:r>
          </w:p>
        </w:tc>
        <w:tc>
          <w:tcPr>
            <w:tcW w:w="930" w:type="dxa"/>
            <w:tcBorders>
              <w:top w:val="nil"/>
              <w:left w:val="nil"/>
              <w:bottom w:val="nil"/>
              <w:right w:val="nil"/>
              <w:tl2br w:val="nil"/>
              <w:tr2bl w:val="nil"/>
            </w:tcBorders>
            <w:shd w:val="clear" w:color="auto" w:fill="C0C0C0"/>
            <w:tcMar>
              <w:left w:w="115" w:type="dxa"/>
              <w:right w:w="115" w:type="dxa"/>
            </w:tcMar>
            <w:vAlign w:val="bottom"/>
          </w:tcPr>
          <w:p w14:paraId="45C30D76" w14:textId="77777777" w:rsidR="003F0EEA" w:rsidRPr="008C27C3" w:rsidRDefault="003F0EEA">
            <w:pPr>
              <w:jc w:val="right"/>
              <w:rPr>
                <w:rFonts w:ascii="Arial" w:eastAsia="Arial" w:hAnsi="Arial" w:cs="Arial"/>
                <w:color w:val="000000"/>
                <w:sz w:val="16"/>
              </w:rPr>
            </w:pPr>
          </w:p>
        </w:tc>
        <w:tc>
          <w:tcPr>
            <w:tcW w:w="1155" w:type="dxa"/>
            <w:tcBorders>
              <w:top w:val="nil"/>
              <w:left w:val="nil"/>
              <w:bottom w:val="nil"/>
              <w:right w:val="nil"/>
              <w:tl2br w:val="nil"/>
              <w:tr2bl w:val="nil"/>
            </w:tcBorders>
            <w:shd w:val="clear" w:color="auto" w:fill="FFFFFF"/>
            <w:tcMar>
              <w:left w:w="115" w:type="dxa"/>
              <w:right w:w="115" w:type="dxa"/>
            </w:tcMar>
            <w:vAlign w:val="bottom"/>
          </w:tcPr>
          <w:p w14:paraId="66E849DF" w14:textId="77777777" w:rsidR="003F0EEA" w:rsidRPr="008C27C3" w:rsidRDefault="003F0EEA">
            <w:pPr>
              <w:jc w:val="right"/>
              <w:rPr>
                <w:rFonts w:ascii="Arial" w:eastAsia="Arial" w:hAnsi="Arial" w:cs="Arial"/>
                <w:color w:val="000000"/>
                <w:sz w:val="16"/>
              </w:rPr>
            </w:pPr>
          </w:p>
        </w:tc>
      </w:tr>
      <w:tr w:rsidR="00FB7D0B" w14:paraId="61BE4EC4" w14:textId="77777777" w:rsidTr="00FB7D0B">
        <w:trPr>
          <w:trHeight w:val="225"/>
        </w:trPr>
        <w:tc>
          <w:tcPr>
            <w:tcW w:w="180" w:type="dxa"/>
            <w:tcBorders>
              <w:top w:val="nil"/>
              <w:left w:val="nil"/>
              <w:bottom w:val="nil"/>
              <w:right w:val="nil"/>
              <w:tl2br w:val="nil"/>
              <w:tr2bl w:val="nil"/>
            </w:tcBorders>
            <w:shd w:val="clear" w:color="auto" w:fill="FFFFFF"/>
            <w:tcMar>
              <w:left w:w="115" w:type="dxa"/>
              <w:right w:w="115" w:type="dxa"/>
            </w:tcMar>
            <w:vAlign w:val="bottom"/>
          </w:tcPr>
          <w:p w14:paraId="1DB8DB12" w14:textId="77777777" w:rsidR="003F0EEA" w:rsidRPr="008C27C3" w:rsidRDefault="003F0EEA">
            <w:pPr>
              <w:rPr>
                <w:rFonts w:ascii="Arial" w:eastAsia="Arial" w:hAnsi="Arial" w:cs="Arial"/>
                <w:color w:val="000000"/>
                <w:sz w:val="16"/>
              </w:rPr>
            </w:pPr>
          </w:p>
        </w:tc>
        <w:tc>
          <w:tcPr>
            <w:tcW w:w="2655" w:type="dxa"/>
            <w:gridSpan w:val="2"/>
            <w:tcBorders>
              <w:top w:val="nil"/>
              <w:left w:val="nil"/>
              <w:bottom w:val="nil"/>
              <w:right w:val="nil"/>
              <w:tl2br w:val="nil"/>
              <w:tr2bl w:val="nil"/>
            </w:tcBorders>
            <w:shd w:val="clear" w:color="auto" w:fill="FFFFFF"/>
            <w:tcMar>
              <w:left w:w="115" w:type="dxa"/>
              <w:right w:w="115" w:type="dxa"/>
            </w:tcMar>
            <w:vAlign w:val="bottom"/>
          </w:tcPr>
          <w:p w14:paraId="57B91263" w14:textId="77777777" w:rsidR="003F0EEA" w:rsidRPr="008C27C3" w:rsidRDefault="00FB7D0B">
            <w:pPr>
              <w:rPr>
                <w:rFonts w:ascii="Arial" w:eastAsia="Arial" w:hAnsi="Arial" w:cs="Arial"/>
                <w:color w:val="000000"/>
                <w:sz w:val="16"/>
              </w:rPr>
            </w:pPr>
            <w:r w:rsidRPr="008C27C3">
              <w:rPr>
                <w:rFonts w:ascii="Arial" w:eastAsia="Arial" w:hAnsi="Arial" w:cs="Arial"/>
                <w:color w:val="000000"/>
                <w:sz w:val="16"/>
              </w:rPr>
              <w:t>Outcome 1</w:t>
            </w:r>
          </w:p>
        </w:tc>
        <w:tc>
          <w:tcPr>
            <w:tcW w:w="90" w:type="dxa"/>
            <w:tcBorders>
              <w:top w:val="nil"/>
              <w:left w:val="nil"/>
              <w:bottom w:val="nil"/>
              <w:right w:val="nil"/>
              <w:tl2br w:val="nil"/>
              <w:tr2bl w:val="nil"/>
            </w:tcBorders>
            <w:shd w:val="clear" w:color="auto" w:fill="FFFFFF"/>
            <w:tcMar>
              <w:left w:w="115" w:type="dxa"/>
              <w:right w:w="115" w:type="dxa"/>
            </w:tcMar>
            <w:vAlign w:val="bottom"/>
          </w:tcPr>
          <w:p w14:paraId="7203396D" w14:textId="77777777" w:rsidR="003F0EEA" w:rsidRPr="008C27C3" w:rsidRDefault="003F0EEA">
            <w:pPr>
              <w:jc w:val="center"/>
              <w:rPr>
                <w:rFonts w:ascii="Arial" w:eastAsia="Arial" w:hAnsi="Arial" w:cs="Arial"/>
                <w:color w:val="000000"/>
                <w:sz w:val="16"/>
                <w:vertAlign w:val="superscript"/>
              </w:rPr>
            </w:pPr>
          </w:p>
        </w:tc>
        <w:tc>
          <w:tcPr>
            <w:tcW w:w="1080" w:type="dxa"/>
            <w:tcBorders>
              <w:top w:val="nil"/>
              <w:left w:val="nil"/>
              <w:bottom w:val="nil"/>
              <w:right w:val="nil"/>
              <w:tl2br w:val="nil"/>
              <w:tr2bl w:val="nil"/>
            </w:tcBorders>
            <w:shd w:val="clear" w:color="auto" w:fill="FFFFFF"/>
            <w:tcMar>
              <w:left w:w="115" w:type="dxa"/>
              <w:right w:w="115" w:type="dxa"/>
            </w:tcMar>
            <w:vAlign w:val="bottom"/>
          </w:tcPr>
          <w:p w14:paraId="00BF0629" w14:textId="77777777" w:rsidR="003F0EEA" w:rsidRPr="008C27C3" w:rsidRDefault="00FB7D0B">
            <w:pPr>
              <w:jc w:val="right"/>
              <w:rPr>
                <w:rFonts w:ascii="Arial" w:eastAsia="Arial" w:hAnsi="Arial" w:cs="Arial"/>
                <w:b/>
                <w:color w:val="000000"/>
                <w:sz w:val="16"/>
                <w:vertAlign w:val="superscript"/>
              </w:rPr>
            </w:pPr>
            <w:r w:rsidRPr="008C27C3">
              <w:rPr>
                <w:rFonts w:ascii="Arial" w:eastAsia="Arial" w:hAnsi="Arial" w:cs="Arial"/>
                <w:color w:val="000000"/>
                <w:sz w:val="16"/>
              </w:rPr>
              <w:t>8,400 </w:t>
            </w:r>
          </w:p>
        </w:tc>
        <w:tc>
          <w:tcPr>
            <w:tcW w:w="90" w:type="dxa"/>
            <w:tcBorders>
              <w:top w:val="nil"/>
              <w:left w:val="nil"/>
              <w:bottom w:val="nil"/>
              <w:right w:val="nil"/>
              <w:tl2br w:val="nil"/>
              <w:tr2bl w:val="nil"/>
            </w:tcBorders>
            <w:shd w:val="clear" w:color="auto" w:fill="FFFFFF"/>
            <w:tcMar>
              <w:left w:w="115" w:type="dxa"/>
              <w:right w:w="115" w:type="dxa"/>
            </w:tcMar>
            <w:vAlign w:val="bottom"/>
          </w:tcPr>
          <w:p w14:paraId="3B5BF43D" w14:textId="77777777" w:rsidR="003F0EEA" w:rsidRPr="008C27C3" w:rsidRDefault="00FB7D0B">
            <w:pPr>
              <w:rPr>
                <w:rFonts w:ascii="Arial" w:eastAsia="Arial" w:hAnsi="Arial" w:cs="Arial"/>
                <w:color w:val="000000"/>
                <w:sz w:val="16"/>
              </w:rPr>
            </w:pPr>
            <w:r w:rsidRPr="008C27C3">
              <w:rPr>
                <w:rFonts w:ascii="Arial" w:eastAsia="Arial" w:hAnsi="Arial" w:cs="Arial"/>
                <w:color w:val="000000"/>
                <w:sz w:val="16"/>
              </w:rPr>
              <w:t xml:space="preserve"> </w:t>
            </w:r>
          </w:p>
        </w:tc>
        <w:tc>
          <w:tcPr>
            <w:tcW w:w="930" w:type="dxa"/>
            <w:tcBorders>
              <w:top w:val="nil"/>
              <w:left w:val="nil"/>
              <w:bottom w:val="nil"/>
              <w:right w:val="nil"/>
              <w:tl2br w:val="nil"/>
              <w:tr2bl w:val="nil"/>
            </w:tcBorders>
            <w:shd w:val="clear" w:color="auto" w:fill="FFFFFF"/>
            <w:tcMar>
              <w:left w:w="115" w:type="dxa"/>
              <w:right w:w="115" w:type="dxa"/>
            </w:tcMar>
            <w:vAlign w:val="bottom"/>
          </w:tcPr>
          <w:p w14:paraId="51B59B7B" w14:textId="77777777" w:rsidR="003F0EEA" w:rsidRPr="008C27C3" w:rsidRDefault="00FB7D0B">
            <w:pPr>
              <w:jc w:val="right"/>
              <w:rPr>
                <w:rFonts w:ascii="Arial" w:eastAsia="Arial" w:hAnsi="Arial" w:cs="Arial"/>
                <w:color w:val="000000"/>
                <w:sz w:val="16"/>
              </w:rPr>
            </w:pPr>
            <w:r w:rsidRPr="008C27C3">
              <w:rPr>
                <w:rFonts w:ascii="Arial" w:eastAsia="Arial" w:hAnsi="Arial" w:cs="Arial"/>
                <w:color w:val="000000"/>
                <w:sz w:val="16"/>
              </w:rPr>
              <w:t xml:space="preserve"> 39,408 </w:t>
            </w:r>
          </w:p>
        </w:tc>
        <w:tc>
          <w:tcPr>
            <w:tcW w:w="90" w:type="dxa"/>
            <w:tcBorders>
              <w:top w:val="nil"/>
              <w:left w:val="nil"/>
              <w:bottom w:val="nil"/>
              <w:right w:val="nil"/>
              <w:tl2br w:val="nil"/>
              <w:tr2bl w:val="nil"/>
            </w:tcBorders>
            <w:shd w:val="clear" w:color="auto" w:fill="FFFFFF"/>
            <w:tcMar>
              <w:left w:w="115" w:type="dxa"/>
              <w:right w:w="115" w:type="dxa"/>
            </w:tcMar>
            <w:vAlign w:val="bottom"/>
          </w:tcPr>
          <w:p w14:paraId="3F1AA263" w14:textId="77777777" w:rsidR="003F0EEA" w:rsidRPr="008C27C3" w:rsidRDefault="00FB7D0B">
            <w:pPr>
              <w:rPr>
                <w:rFonts w:ascii="Arial" w:eastAsia="Arial" w:hAnsi="Arial" w:cs="Arial"/>
                <w:color w:val="000000"/>
                <w:sz w:val="16"/>
              </w:rPr>
            </w:pPr>
            <w:r w:rsidRPr="008C27C3">
              <w:rPr>
                <w:rFonts w:ascii="Arial" w:eastAsia="Arial" w:hAnsi="Arial" w:cs="Arial"/>
                <w:color w:val="000000"/>
                <w:sz w:val="16"/>
              </w:rPr>
              <w:t xml:space="preserve"> </w:t>
            </w:r>
          </w:p>
        </w:tc>
        <w:tc>
          <w:tcPr>
            <w:tcW w:w="930" w:type="dxa"/>
            <w:tcBorders>
              <w:top w:val="nil"/>
              <w:left w:val="nil"/>
              <w:bottom w:val="nil"/>
              <w:right w:val="nil"/>
              <w:tl2br w:val="nil"/>
              <w:tr2bl w:val="nil"/>
            </w:tcBorders>
            <w:shd w:val="clear" w:color="auto" w:fill="C0C0C0"/>
            <w:tcMar>
              <w:left w:w="115" w:type="dxa"/>
              <w:right w:w="115" w:type="dxa"/>
            </w:tcMar>
            <w:vAlign w:val="bottom"/>
          </w:tcPr>
          <w:p w14:paraId="7BD48E99" w14:textId="77777777" w:rsidR="003F0EEA" w:rsidRPr="008C27C3" w:rsidRDefault="00FB7D0B">
            <w:pPr>
              <w:jc w:val="right"/>
              <w:rPr>
                <w:rFonts w:ascii="Arial" w:eastAsia="Arial" w:hAnsi="Arial" w:cs="Arial"/>
                <w:color w:val="000000"/>
                <w:sz w:val="16"/>
              </w:rPr>
            </w:pPr>
            <w:r w:rsidRPr="008C27C3">
              <w:rPr>
                <w:rFonts w:ascii="Arial" w:eastAsia="Arial" w:hAnsi="Arial" w:cs="Arial"/>
                <w:color w:val="000000"/>
                <w:sz w:val="16"/>
              </w:rPr>
              <w:t>47,808 </w:t>
            </w:r>
          </w:p>
        </w:tc>
        <w:tc>
          <w:tcPr>
            <w:tcW w:w="1155" w:type="dxa"/>
            <w:tcBorders>
              <w:top w:val="nil"/>
              <w:left w:val="nil"/>
              <w:bottom w:val="nil"/>
              <w:right w:val="nil"/>
              <w:tl2br w:val="nil"/>
              <w:tr2bl w:val="nil"/>
            </w:tcBorders>
            <w:shd w:val="clear" w:color="auto" w:fill="FFFFFF"/>
            <w:tcMar>
              <w:left w:w="115" w:type="dxa"/>
              <w:right w:w="115" w:type="dxa"/>
            </w:tcMar>
            <w:vAlign w:val="bottom"/>
          </w:tcPr>
          <w:p w14:paraId="246F6D3C" w14:textId="77777777" w:rsidR="003F0EEA" w:rsidRPr="008C27C3" w:rsidRDefault="00FB7D0B">
            <w:pPr>
              <w:jc w:val="right"/>
              <w:rPr>
                <w:rFonts w:ascii="Arial" w:eastAsia="Arial" w:hAnsi="Arial" w:cs="Arial"/>
                <w:color w:val="000000"/>
                <w:sz w:val="16"/>
              </w:rPr>
            </w:pPr>
            <w:r w:rsidRPr="008C27C3">
              <w:rPr>
                <w:rFonts w:ascii="Arial" w:eastAsia="Arial" w:hAnsi="Arial" w:cs="Arial"/>
                <w:color w:val="000000"/>
                <w:sz w:val="16"/>
              </w:rPr>
              <w:t>40,900 </w:t>
            </w:r>
          </w:p>
        </w:tc>
      </w:tr>
      <w:tr w:rsidR="00724034" w14:paraId="277A303F" w14:textId="77777777">
        <w:trPr>
          <w:trHeight w:val="60"/>
        </w:trPr>
        <w:tc>
          <w:tcPr>
            <w:tcW w:w="180" w:type="dxa"/>
            <w:tcBorders>
              <w:top w:val="nil"/>
              <w:left w:val="nil"/>
              <w:bottom w:val="nil"/>
              <w:right w:val="nil"/>
              <w:tl2br w:val="nil"/>
              <w:tr2bl w:val="nil"/>
            </w:tcBorders>
            <w:shd w:val="clear" w:color="auto" w:fill="FFFFFF"/>
            <w:tcMar>
              <w:left w:w="115" w:type="dxa"/>
              <w:right w:w="115" w:type="dxa"/>
            </w:tcMar>
            <w:vAlign w:val="bottom"/>
          </w:tcPr>
          <w:p w14:paraId="5CE0A957" w14:textId="77777777" w:rsidR="003F0EEA" w:rsidRPr="008C27C3" w:rsidRDefault="003F0EEA">
            <w:pPr>
              <w:rPr>
                <w:rFonts w:ascii="Arial" w:eastAsia="Arial" w:hAnsi="Arial" w:cs="Arial"/>
                <w:color w:val="000000"/>
                <w:sz w:val="16"/>
              </w:rPr>
            </w:pPr>
          </w:p>
        </w:tc>
        <w:tc>
          <w:tcPr>
            <w:tcW w:w="180" w:type="dxa"/>
            <w:tcBorders>
              <w:top w:val="nil"/>
              <w:left w:val="nil"/>
              <w:bottom w:val="nil"/>
              <w:right w:val="nil"/>
              <w:tl2br w:val="nil"/>
              <w:tr2bl w:val="nil"/>
            </w:tcBorders>
            <w:shd w:val="clear" w:color="auto" w:fill="FFFFFF"/>
            <w:tcMar>
              <w:left w:w="115" w:type="dxa"/>
              <w:right w:w="115" w:type="dxa"/>
            </w:tcMar>
            <w:vAlign w:val="bottom"/>
          </w:tcPr>
          <w:p w14:paraId="31CD5D47" w14:textId="77777777" w:rsidR="003F0EEA" w:rsidRPr="008C27C3" w:rsidRDefault="003F0EEA">
            <w:pPr>
              <w:rPr>
                <w:rFonts w:ascii="Arial" w:eastAsia="Arial" w:hAnsi="Arial" w:cs="Arial"/>
                <w:color w:val="000000"/>
                <w:sz w:val="16"/>
              </w:rPr>
            </w:pPr>
          </w:p>
        </w:tc>
        <w:tc>
          <w:tcPr>
            <w:tcW w:w="2475" w:type="dxa"/>
            <w:tcBorders>
              <w:top w:val="nil"/>
              <w:left w:val="nil"/>
              <w:bottom w:val="nil"/>
              <w:right w:val="nil"/>
              <w:tl2br w:val="nil"/>
              <w:tr2bl w:val="nil"/>
            </w:tcBorders>
            <w:shd w:val="clear" w:color="auto" w:fill="FFFFFF"/>
            <w:tcMar>
              <w:left w:w="115" w:type="dxa"/>
              <w:right w:w="115" w:type="dxa"/>
            </w:tcMar>
            <w:vAlign w:val="bottom"/>
          </w:tcPr>
          <w:p w14:paraId="2E802B22" w14:textId="77777777" w:rsidR="003F0EEA" w:rsidRPr="008C27C3" w:rsidRDefault="003F0EEA">
            <w:pPr>
              <w:rPr>
                <w:rFonts w:ascii="Arial" w:eastAsia="Arial" w:hAnsi="Arial" w:cs="Arial"/>
                <w:color w:val="000000"/>
                <w:sz w:val="16"/>
              </w:rPr>
            </w:pPr>
          </w:p>
        </w:tc>
        <w:tc>
          <w:tcPr>
            <w:tcW w:w="90" w:type="dxa"/>
            <w:tcBorders>
              <w:top w:val="nil"/>
              <w:left w:val="nil"/>
              <w:bottom w:val="nil"/>
              <w:right w:val="nil"/>
              <w:tl2br w:val="nil"/>
              <w:tr2bl w:val="nil"/>
            </w:tcBorders>
            <w:shd w:val="clear" w:color="auto" w:fill="FFFFFF"/>
            <w:tcMar>
              <w:left w:w="115" w:type="dxa"/>
              <w:right w:w="115" w:type="dxa"/>
            </w:tcMar>
            <w:vAlign w:val="bottom"/>
          </w:tcPr>
          <w:p w14:paraId="060395FD" w14:textId="77777777" w:rsidR="003F0EEA" w:rsidRPr="008C27C3" w:rsidRDefault="003F0EEA">
            <w:pPr>
              <w:jc w:val="center"/>
              <w:rPr>
                <w:rFonts w:ascii="Arial" w:eastAsia="Arial" w:hAnsi="Arial" w:cs="Arial"/>
                <w:color w:val="000000"/>
                <w:sz w:val="16"/>
                <w:vertAlign w:val="superscript"/>
              </w:rPr>
            </w:pPr>
          </w:p>
        </w:tc>
        <w:tc>
          <w:tcPr>
            <w:tcW w:w="1080"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529DCE32" w14:textId="77777777" w:rsidR="003F0EEA" w:rsidRPr="008C27C3" w:rsidRDefault="003F0EEA">
            <w:pPr>
              <w:jc w:val="right"/>
              <w:rPr>
                <w:rFonts w:ascii="Arial" w:eastAsia="Arial" w:hAnsi="Arial" w:cs="Arial"/>
                <w:color w:val="000000"/>
                <w:sz w:val="16"/>
                <w:vertAlign w:val="superscript"/>
              </w:rPr>
            </w:pPr>
          </w:p>
        </w:tc>
        <w:tc>
          <w:tcPr>
            <w:tcW w:w="90"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0AFC325A" w14:textId="77777777" w:rsidR="003F0EEA" w:rsidRPr="008C27C3" w:rsidRDefault="00FB7D0B">
            <w:pPr>
              <w:rPr>
                <w:rFonts w:ascii="Arial" w:eastAsia="Arial" w:hAnsi="Arial" w:cs="Arial"/>
                <w:i/>
                <w:color w:val="000000"/>
                <w:sz w:val="16"/>
                <w:vertAlign w:val="superscript"/>
              </w:rPr>
            </w:pPr>
            <w:r w:rsidRPr="008C27C3">
              <w:rPr>
                <w:rFonts w:ascii="Arial" w:eastAsia="Arial" w:hAnsi="Arial" w:cs="Arial"/>
                <w:i/>
                <w:color w:val="000000"/>
                <w:sz w:val="16"/>
              </w:rPr>
              <w:t xml:space="preserve"> </w:t>
            </w:r>
          </w:p>
        </w:tc>
        <w:tc>
          <w:tcPr>
            <w:tcW w:w="930"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0824668A" w14:textId="77777777" w:rsidR="003F0EEA" w:rsidRPr="008C27C3" w:rsidRDefault="003F0EEA">
            <w:pPr>
              <w:jc w:val="right"/>
              <w:rPr>
                <w:rFonts w:ascii="Arial" w:eastAsia="Arial" w:hAnsi="Arial" w:cs="Arial"/>
                <w:i/>
                <w:color w:val="000000"/>
                <w:sz w:val="16"/>
              </w:rPr>
            </w:pPr>
          </w:p>
        </w:tc>
        <w:tc>
          <w:tcPr>
            <w:tcW w:w="90"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777E6650" w14:textId="77777777" w:rsidR="003F0EEA" w:rsidRPr="008C27C3" w:rsidRDefault="00FB7D0B">
            <w:pPr>
              <w:rPr>
                <w:rFonts w:ascii="Arial" w:eastAsia="Arial" w:hAnsi="Arial" w:cs="Arial"/>
                <w:i/>
                <w:color w:val="000000"/>
                <w:sz w:val="16"/>
              </w:rPr>
            </w:pPr>
            <w:r w:rsidRPr="008C27C3">
              <w:rPr>
                <w:rFonts w:ascii="Arial" w:eastAsia="Arial" w:hAnsi="Arial" w:cs="Arial"/>
                <w:i/>
                <w:color w:val="000000"/>
                <w:sz w:val="16"/>
              </w:rPr>
              <w:t xml:space="preserve"> </w:t>
            </w:r>
          </w:p>
        </w:tc>
        <w:tc>
          <w:tcPr>
            <w:tcW w:w="930" w:type="dxa"/>
            <w:tcBorders>
              <w:top w:val="nil"/>
              <w:left w:val="nil"/>
              <w:bottom w:val="single" w:sz="6" w:space="0" w:color="000000"/>
              <w:right w:val="nil"/>
              <w:tl2br w:val="nil"/>
              <w:tr2bl w:val="nil"/>
            </w:tcBorders>
            <w:shd w:val="clear" w:color="auto" w:fill="C0C0C0"/>
            <w:tcMar>
              <w:left w:w="115" w:type="dxa"/>
              <w:right w:w="115" w:type="dxa"/>
            </w:tcMar>
            <w:vAlign w:val="bottom"/>
          </w:tcPr>
          <w:p w14:paraId="47281561" w14:textId="77777777" w:rsidR="003F0EEA" w:rsidRPr="008C27C3" w:rsidRDefault="003F0EEA">
            <w:pPr>
              <w:jc w:val="right"/>
              <w:rPr>
                <w:rFonts w:ascii="Arial" w:eastAsia="Arial" w:hAnsi="Arial" w:cs="Arial"/>
                <w:i/>
                <w:color w:val="000000"/>
                <w:sz w:val="16"/>
              </w:rPr>
            </w:pPr>
          </w:p>
        </w:tc>
        <w:tc>
          <w:tcPr>
            <w:tcW w:w="1155"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67C91010" w14:textId="77777777" w:rsidR="003F0EEA" w:rsidRPr="008C27C3" w:rsidRDefault="003F0EEA">
            <w:pPr>
              <w:jc w:val="right"/>
              <w:rPr>
                <w:rFonts w:ascii="Arial" w:eastAsia="Arial" w:hAnsi="Arial" w:cs="Arial"/>
                <w:color w:val="000000"/>
                <w:sz w:val="16"/>
              </w:rPr>
            </w:pPr>
          </w:p>
        </w:tc>
      </w:tr>
      <w:tr w:rsidR="00FB7D0B" w14:paraId="32F77901" w14:textId="77777777" w:rsidTr="00FB7D0B">
        <w:trPr>
          <w:trHeight w:val="225"/>
        </w:trPr>
        <w:tc>
          <w:tcPr>
            <w:tcW w:w="180" w:type="dxa"/>
            <w:tcBorders>
              <w:top w:val="nil"/>
              <w:left w:val="nil"/>
              <w:bottom w:val="nil"/>
              <w:right w:val="nil"/>
              <w:tl2br w:val="nil"/>
              <w:tr2bl w:val="nil"/>
            </w:tcBorders>
            <w:shd w:val="clear" w:color="auto" w:fill="FFFFFF"/>
            <w:tcMar>
              <w:left w:w="115" w:type="dxa"/>
              <w:right w:w="115" w:type="dxa"/>
            </w:tcMar>
            <w:vAlign w:val="bottom"/>
          </w:tcPr>
          <w:p w14:paraId="1599B316" w14:textId="77777777" w:rsidR="003F0EEA" w:rsidRPr="008C27C3" w:rsidRDefault="003F0EEA">
            <w:pPr>
              <w:rPr>
                <w:rFonts w:ascii="Arial" w:eastAsia="Arial" w:hAnsi="Arial" w:cs="Arial"/>
                <w:color w:val="000000"/>
                <w:sz w:val="16"/>
              </w:rPr>
            </w:pPr>
          </w:p>
        </w:tc>
        <w:tc>
          <w:tcPr>
            <w:tcW w:w="2655" w:type="dxa"/>
            <w:gridSpan w:val="2"/>
            <w:tcBorders>
              <w:top w:val="nil"/>
              <w:left w:val="nil"/>
              <w:bottom w:val="nil"/>
              <w:right w:val="nil"/>
              <w:tl2br w:val="nil"/>
              <w:tr2bl w:val="nil"/>
            </w:tcBorders>
            <w:shd w:val="clear" w:color="auto" w:fill="FFFFFF"/>
            <w:tcMar>
              <w:left w:w="115" w:type="dxa"/>
              <w:right w:w="115" w:type="dxa"/>
            </w:tcMar>
            <w:vAlign w:val="bottom"/>
          </w:tcPr>
          <w:p w14:paraId="4478106F" w14:textId="77777777" w:rsidR="003F0EEA" w:rsidRPr="008C27C3" w:rsidRDefault="00FB7D0B">
            <w:pPr>
              <w:rPr>
                <w:rFonts w:ascii="Arial" w:eastAsia="Arial" w:hAnsi="Arial" w:cs="Arial"/>
                <w:color w:val="000000"/>
                <w:sz w:val="16"/>
              </w:rPr>
            </w:pPr>
            <w:r w:rsidRPr="008C27C3">
              <w:rPr>
                <w:rFonts w:ascii="Arial" w:eastAsia="Arial" w:hAnsi="Arial" w:cs="Arial"/>
                <w:b/>
                <w:color w:val="000000"/>
                <w:sz w:val="16"/>
              </w:rPr>
              <w:t xml:space="preserve">Total ordinary annual services  </w:t>
            </w:r>
          </w:p>
        </w:tc>
        <w:tc>
          <w:tcPr>
            <w:tcW w:w="90" w:type="dxa"/>
            <w:tcBorders>
              <w:top w:val="nil"/>
              <w:left w:val="nil"/>
              <w:bottom w:val="nil"/>
              <w:right w:val="nil"/>
              <w:tl2br w:val="nil"/>
              <w:tr2bl w:val="nil"/>
            </w:tcBorders>
            <w:shd w:val="clear" w:color="auto" w:fill="FFFFFF"/>
            <w:tcMar>
              <w:left w:w="115" w:type="dxa"/>
              <w:right w:w="115" w:type="dxa"/>
            </w:tcMar>
            <w:vAlign w:val="bottom"/>
          </w:tcPr>
          <w:p w14:paraId="4D1B4A11" w14:textId="77777777" w:rsidR="003F0EEA" w:rsidRPr="008C27C3" w:rsidRDefault="003F0EEA">
            <w:pPr>
              <w:jc w:val="center"/>
              <w:rPr>
                <w:rFonts w:ascii="Arial" w:eastAsia="Arial" w:hAnsi="Arial" w:cs="Arial"/>
                <w:b/>
                <w:color w:val="000000"/>
                <w:sz w:val="16"/>
                <w:vertAlign w:val="superscript"/>
              </w:rPr>
            </w:pPr>
          </w:p>
        </w:tc>
        <w:tc>
          <w:tcPr>
            <w:tcW w:w="1080" w:type="dxa"/>
            <w:tcBorders>
              <w:top w:val="single" w:sz="6" w:space="0" w:color="000000"/>
              <w:left w:val="nil"/>
              <w:bottom w:val="single" w:sz="6" w:space="0" w:color="000000"/>
              <w:right w:val="nil"/>
              <w:tl2br w:val="nil"/>
              <w:tr2bl w:val="nil"/>
            </w:tcBorders>
            <w:shd w:val="clear" w:color="auto" w:fill="FFFFFF"/>
            <w:tcMar>
              <w:left w:w="115" w:type="dxa"/>
              <w:right w:w="115" w:type="dxa"/>
            </w:tcMar>
            <w:vAlign w:val="bottom"/>
          </w:tcPr>
          <w:p w14:paraId="2AF53C8D" w14:textId="77777777" w:rsidR="003F0EEA" w:rsidRPr="008C27C3" w:rsidRDefault="00FB7D0B">
            <w:pPr>
              <w:jc w:val="right"/>
              <w:rPr>
                <w:rFonts w:ascii="Arial" w:eastAsia="Arial" w:hAnsi="Arial" w:cs="Arial"/>
                <w:b/>
                <w:color w:val="000000"/>
                <w:sz w:val="16"/>
                <w:vertAlign w:val="superscript"/>
              </w:rPr>
            </w:pPr>
            <w:r w:rsidRPr="008C27C3">
              <w:rPr>
                <w:rFonts w:ascii="Arial" w:eastAsia="Arial" w:hAnsi="Arial" w:cs="Arial"/>
                <w:b/>
                <w:color w:val="000000"/>
                <w:sz w:val="16"/>
              </w:rPr>
              <w:t xml:space="preserve"> 8,400 </w:t>
            </w:r>
          </w:p>
        </w:tc>
        <w:tc>
          <w:tcPr>
            <w:tcW w:w="90" w:type="dxa"/>
            <w:tcBorders>
              <w:top w:val="single" w:sz="6" w:space="0" w:color="000000"/>
              <w:left w:val="nil"/>
              <w:bottom w:val="single" w:sz="6" w:space="0" w:color="000000"/>
              <w:right w:val="nil"/>
              <w:tl2br w:val="nil"/>
              <w:tr2bl w:val="nil"/>
            </w:tcBorders>
            <w:shd w:val="clear" w:color="auto" w:fill="FFFFFF"/>
            <w:tcMar>
              <w:left w:w="115" w:type="dxa"/>
              <w:right w:w="115" w:type="dxa"/>
            </w:tcMar>
            <w:vAlign w:val="bottom"/>
          </w:tcPr>
          <w:p w14:paraId="1D20C6EA" w14:textId="77777777" w:rsidR="003F0EEA" w:rsidRPr="008C27C3" w:rsidRDefault="00FB7D0B">
            <w:pPr>
              <w:rPr>
                <w:rFonts w:ascii="Arial" w:eastAsia="Arial" w:hAnsi="Arial" w:cs="Arial"/>
                <w:b/>
                <w:color w:val="000000"/>
                <w:sz w:val="16"/>
              </w:rPr>
            </w:pPr>
            <w:r w:rsidRPr="008C27C3">
              <w:rPr>
                <w:rFonts w:ascii="Arial" w:eastAsia="Arial" w:hAnsi="Arial" w:cs="Arial"/>
                <w:b/>
                <w:color w:val="000000"/>
                <w:sz w:val="16"/>
              </w:rPr>
              <w:t xml:space="preserve"> </w:t>
            </w:r>
          </w:p>
        </w:tc>
        <w:tc>
          <w:tcPr>
            <w:tcW w:w="930" w:type="dxa"/>
            <w:tcBorders>
              <w:top w:val="single" w:sz="6" w:space="0" w:color="000000"/>
              <w:left w:val="nil"/>
              <w:bottom w:val="single" w:sz="6" w:space="0" w:color="000000"/>
              <w:right w:val="nil"/>
              <w:tl2br w:val="nil"/>
              <w:tr2bl w:val="nil"/>
            </w:tcBorders>
            <w:shd w:val="clear" w:color="auto" w:fill="FFFFFF"/>
            <w:tcMar>
              <w:left w:w="115" w:type="dxa"/>
              <w:right w:w="115" w:type="dxa"/>
            </w:tcMar>
            <w:vAlign w:val="bottom"/>
          </w:tcPr>
          <w:p w14:paraId="0D7BC2BF" w14:textId="77777777" w:rsidR="003F0EEA" w:rsidRPr="008C27C3" w:rsidRDefault="00FB7D0B">
            <w:pPr>
              <w:jc w:val="right"/>
              <w:rPr>
                <w:rFonts w:ascii="Arial" w:eastAsia="Arial" w:hAnsi="Arial" w:cs="Arial"/>
                <w:b/>
                <w:color w:val="000000"/>
                <w:sz w:val="16"/>
              </w:rPr>
            </w:pPr>
            <w:r w:rsidRPr="008C27C3">
              <w:rPr>
                <w:rFonts w:ascii="Arial" w:eastAsia="Arial" w:hAnsi="Arial" w:cs="Arial"/>
                <w:b/>
                <w:color w:val="000000"/>
                <w:sz w:val="16"/>
              </w:rPr>
              <w:t>39,408 </w:t>
            </w:r>
          </w:p>
        </w:tc>
        <w:tc>
          <w:tcPr>
            <w:tcW w:w="90" w:type="dxa"/>
            <w:tcBorders>
              <w:top w:val="single" w:sz="6" w:space="0" w:color="000000"/>
              <w:left w:val="nil"/>
              <w:bottom w:val="single" w:sz="6" w:space="0" w:color="000000"/>
              <w:right w:val="nil"/>
              <w:tl2br w:val="nil"/>
              <w:tr2bl w:val="nil"/>
            </w:tcBorders>
            <w:shd w:val="clear" w:color="auto" w:fill="FFFFFF"/>
            <w:tcMar>
              <w:left w:w="115" w:type="dxa"/>
              <w:right w:w="115" w:type="dxa"/>
            </w:tcMar>
            <w:vAlign w:val="bottom"/>
          </w:tcPr>
          <w:p w14:paraId="5FEAD4A7" w14:textId="77777777" w:rsidR="003F0EEA" w:rsidRPr="008C27C3" w:rsidRDefault="00FB7D0B">
            <w:pPr>
              <w:rPr>
                <w:rFonts w:ascii="Arial" w:eastAsia="Arial" w:hAnsi="Arial" w:cs="Arial"/>
                <w:b/>
                <w:color w:val="000000"/>
                <w:sz w:val="16"/>
              </w:rPr>
            </w:pPr>
            <w:r w:rsidRPr="008C27C3">
              <w:rPr>
                <w:rFonts w:ascii="Arial" w:eastAsia="Arial" w:hAnsi="Arial" w:cs="Arial"/>
                <w:b/>
                <w:color w:val="000000"/>
                <w:sz w:val="16"/>
              </w:rPr>
              <w:t xml:space="preserve"> </w:t>
            </w:r>
          </w:p>
        </w:tc>
        <w:tc>
          <w:tcPr>
            <w:tcW w:w="930" w:type="dxa"/>
            <w:tcBorders>
              <w:top w:val="single" w:sz="6" w:space="0" w:color="000000"/>
              <w:left w:val="nil"/>
              <w:bottom w:val="single" w:sz="6" w:space="0" w:color="000000"/>
              <w:right w:val="nil"/>
              <w:tl2br w:val="nil"/>
              <w:tr2bl w:val="nil"/>
            </w:tcBorders>
            <w:shd w:val="clear" w:color="auto" w:fill="C0C0C0"/>
            <w:tcMar>
              <w:left w:w="115" w:type="dxa"/>
              <w:right w:w="115" w:type="dxa"/>
            </w:tcMar>
            <w:vAlign w:val="bottom"/>
          </w:tcPr>
          <w:p w14:paraId="4EECFE82" w14:textId="77777777" w:rsidR="003F0EEA" w:rsidRPr="008C27C3" w:rsidRDefault="00FB7D0B">
            <w:pPr>
              <w:jc w:val="right"/>
              <w:rPr>
                <w:rFonts w:ascii="Arial" w:eastAsia="Arial" w:hAnsi="Arial" w:cs="Arial"/>
                <w:b/>
                <w:color w:val="000000"/>
                <w:sz w:val="16"/>
              </w:rPr>
            </w:pPr>
            <w:r w:rsidRPr="008C27C3">
              <w:rPr>
                <w:rFonts w:ascii="Arial" w:eastAsia="Arial" w:hAnsi="Arial" w:cs="Arial"/>
                <w:b/>
                <w:color w:val="000000"/>
                <w:sz w:val="16"/>
              </w:rPr>
              <w:t>47,808 </w:t>
            </w:r>
          </w:p>
        </w:tc>
        <w:tc>
          <w:tcPr>
            <w:tcW w:w="1155" w:type="dxa"/>
            <w:tcBorders>
              <w:top w:val="single" w:sz="6" w:space="0" w:color="000000"/>
              <w:left w:val="nil"/>
              <w:bottom w:val="single" w:sz="6" w:space="0" w:color="000000"/>
              <w:right w:val="nil"/>
              <w:tl2br w:val="nil"/>
              <w:tr2bl w:val="nil"/>
            </w:tcBorders>
            <w:shd w:val="clear" w:color="auto" w:fill="FFFFFF"/>
            <w:tcMar>
              <w:left w:w="115" w:type="dxa"/>
              <w:right w:w="115" w:type="dxa"/>
            </w:tcMar>
            <w:vAlign w:val="bottom"/>
          </w:tcPr>
          <w:p w14:paraId="74EC9405" w14:textId="77777777" w:rsidR="003F0EEA" w:rsidRPr="008C27C3" w:rsidRDefault="00FB7D0B">
            <w:pPr>
              <w:jc w:val="right"/>
              <w:rPr>
                <w:rFonts w:ascii="Arial" w:eastAsia="Arial" w:hAnsi="Arial" w:cs="Arial"/>
                <w:b/>
                <w:color w:val="000000"/>
                <w:sz w:val="16"/>
              </w:rPr>
            </w:pPr>
            <w:r w:rsidRPr="008C27C3">
              <w:rPr>
                <w:rFonts w:ascii="Arial" w:eastAsia="Arial" w:hAnsi="Arial" w:cs="Arial"/>
                <w:b/>
                <w:color w:val="000000"/>
                <w:sz w:val="16"/>
              </w:rPr>
              <w:t>40,900 </w:t>
            </w:r>
          </w:p>
        </w:tc>
      </w:tr>
      <w:tr w:rsidR="00724034" w14:paraId="0272C858" w14:textId="77777777">
        <w:trPr>
          <w:trHeight w:val="60"/>
        </w:trPr>
        <w:tc>
          <w:tcPr>
            <w:tcW w:w="180" w:type="dxa"/>
            <w:tcBorders>
              <w:top w:val="nil"/>
              <w:left w:val="nil"/>
              <w:bottom w:val="nil"/>
              <w:right w:val="nil"/>
              <w:tl2br w:val="nil"/>
              <w:tr2bl w:val="nil"/>
            </w:tcBorders>
            <w:shd w:val="clear" w:color="auto" w:fill="FFFFFF"/>
            <w:tcMar>
              <w:left w:w="115" w:type="dxa"/>
              <w:right w:w="115" w:type="dxa"/>
            </w:tcMar>
            <w:vAlign w:val="bottom"/>
          </w:tcPr>
          <w:p w14:paraId="5AE9F87F" w14:textId="77777777" w:rsidR="003F0EEA" w:rsidRPr="008C27C3" w:rsidRDefault="003F0EEA">
            <w:pPr>
              <w:rPr>
                <w:rFonts w:ascii="Arial" w:eastAsia="Arial" w:hAnsi="Arial" w:cs="Arial"/>
                <w:b/>
                <w:color w:val="000000"/>
                <w:sz w:val="16"/>
              </w:rPr>
            </w:pPr>
          </w:p>
        </w:tc>
        <w:tc>
          <w:tcPr>
            <w:tcW w:w="180" w:type="dxa"/>
            <w:tcBorders>
              <w:top w:val="nil"/>
              <w:left w:val="nil"/>
              <w:bottom w:val="nil"/>
              <w:right w:val="nil"/>
              <w:tl2br w:val="nil"/>
              <w:tr2bl w:val="nil"/>
            </w:tcBorders>
            <w:shd w:val="clear" w:color="auto" w:fill="FFFFFF"/>
            <w:tcMar>
              <w:left w:w="115" w:type="dxa"/>
              <w:right w:w="115" w:type="dxa"/>
            </w:tcMar>
            <w:vAlign w:val="bottom"/>
          </w:tcPr>
          <w:p w14:paraId="5CEF17DF" w14:textId="77777777" w:rsidR="003F0EEA" w:rsidRPr="008C27C3" w:rsidRDefault="003F0EEA">
            <w:pPr>
              <w:rPr>
                <w:rFonts w:ascii="Arial" w:eastAsia="Arial" w:hAnsi="Arial" w:cs="Arial"/>
                <w:i/>
                <w:color w:val="000000"/>
                <w:sz w:val="16"/>
              </w:rPr>
            </w:pPr>
          </w:p>
        </w:tc>
        <w:tc>
          <w:tcPr>
            <w:tcW w:w="2475" w:type="dxa"/>
            <w:tcBorders>
              <w:top w:val="nil"/>
              <w:left w:val="nil"/>
              <w:bottom w:val="nil"/>
              <w:right w:val="nil"/>
              <w:tl2br w:val="nil"/>
              <w:tr2bl w:val="nil"/>
            </w:tcBorders>
            <w:shd w:val="clear" w:color="auto" w:fill="FFFFFF"/>
            <w:tcMar>
              <w:left w:w="115" w:type="dxa"/>
              <w:right w:w="115" w:type="dxa"/>
            </w:tcMar>
            <w:vAlign w:val="bottom"/>
          </w:tcPr>
          <w:p w14:paraId="5B73A9E4" w14:textId="77777777" w:rsidR="003F0EEA" w:rsidRPr="008C27C3" w:rsidRDefault="003F0EEA">
            <w:pPr>
              <w:rPr>
                <w:rFonts w:ascii="Arial" w:eastAsia="Arial" w:hAnsi="Arial" w:cs="Arial"/>
                <w:i/>
                <w:color w:val="000000"/>
                <w:sz w:val="16"/>
              </w:rPr>
            </w:pPr>
          </w:p>
        </w:tc>
        <w:tc>
          <w:tcPr>
            <w:tcW w:w="90" w:type="dxa"/>
            <w:tcBorders>
              <w:top w:val="nil"/>
              <w:left w:val="nil"/>
              <w:bottom w:val="nil"/>
              <w:right w:val="nil"/>
              <w:tl2br w:val="nil"/>
              <w:tr2bl w:val="nil"/>
            </w:tcBorders>
            <w:shd w:val="clear" w:color="auto" w:fill="FFFFFF"/>
            <w:tcMar>
              <w:left w:w="115" w:type="dxa"/>
              <w:right w:w="115" w:type="dxa"/>
            </w:tcMar>
            <w:vAlign w:val="bottom"/>
          </w:tcPr>
          <w:p w14:paraId="7F496E89" w14:textId="77777777" w:rsidR="003F0EEA" w:rsidRPr="008C27C3" w:rsidRDefault="003F0EEA">
            <w:pPr>
              <w:jc w:val="center"/>
              <w:rPr>
                <w:rFonts w:ascii="Arial" w:eastAsia="Arial" w:hAnsi="Arial" w:cs="Arial"/>
                <w:i/>
                <w:color w:val="000000"/>
                <w:sz w:val="16"/>
                <w:vertAlign w:val="superscript"/>
              </w:rPr>
            </w:pPr>
          </w:p>
        </w:tc>
        <w:tc>
          <w:tcPr>
            <w:tcW w:w="1080"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3F226E63" w14:textId="77777777" w:rsidR="003F0EEA" w:rsidRPr="008C27C3" w:rsidRDefault="003F0EEA">
            <w:pPr>
              <w:jc w:val="right"/>
              <w:rPr>
                <w:rFonts w:ascii="Arial" w:eastAsia="Arial" w:hAnsi="Arial" w:cs="Arial"/>
                <w:i/>
                <w:color w:val="000000"/>
                <w:sz w:val="16"/>
                <w:vertAlign w:val="superscript"/>
              </w:rPr>
            </w:pPr>
          </w:p>
        </w:tc>
        <w:tc>
          <w:tcPr>
            <w:tcW w:w="90"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26F1A61B" w14:textId="77777777" w:rsidR="003F0EEA" w:rsidRPr="008C27C3" w:rsidRDefault="00FB7D0B">
            <w:pPr>
              <w:rPr>
                <w:rFonts w:ascii="Arial" w:eastAsia="Arial" w:hAnsi="Arial" w:cs="Arial"/>
                <w:b/>
                <w:color w:val="000000"/>
                <w:sz w:val="16"/>
                <w:vertAlign w:val="superscript"/>
              </w:rPr>
            </w:pPr>
            <w:r w:rsidRPr="008C27C3">
              <w:rPr>
                <w:rFonts w:ascii="Arial" w:eastAsia="Arial" w:hAnsi="Arial" w:cs="Arial"/>
                <w:b/>
                <w:color w:val="000000"/>
                <w:sz w:val="16"/>
              </w:rPr>
              <w:t xml:space="preserve"> </w:t>
            </w:r>
          </w:p>
        </w:tc>
        <w:tc>
          <w:tcPr>
            <w:tcW w:w="930"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1F7E20FE" w14:textId="77777777" w:rsidR="003F0EEA" w:rsidRPr="008C27C3" w:rsidRDefault="003F0EEA">
            <w:pPr>
              <w:jc w:val="right"/>
              <w:rPr>
                <w:rFonts w:ascii="Arial" w:eastAsia="Arial" w:hAnsi="Arial" w:cs="Arial"/>
                <w:b/>
                <w:color w:val="000000"/>
                <w:sz w:val="16"/>
              </w:rPr>
            </w:pPr>
          </w:p>
        </w:tc>
        <w:tc>
          <w:tcPr>
            <w:tcW w:w="90"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44C4792E" w14:textId="77777777" w:rsidR="003F0EEA" w:rsidRPr="008C27C3" w:rsidRDefault="00FB7D0B">
            <w:pPr>
              <w:rPr>
                <w:rFonts w:ascii="Arial" w:eastAsia="Arial" w:hAnsi="Arial" w:cs="Arial"/>
                <w:b/>
                <w:color w:val="000000"/>
                <w:sz w:val="16"/>
              </w:rPr>
            </w:pPr>
            <w:r w:rsidRPr="008C27C3">
              <w:rPr>
                <w:rFonts w:ascii="Arial" w:eastAsia="Arial" w:hAnsi="Arial" w:cs="Arial"/>
                <w:b/>
                <w:color w:val="000000"/>
                <w:sz w:val="16"/>
              </w:rPr>
              <w:t xml:space="preserve"> </w:t>
            </w:r>
          </w:p>
        </w:tc>
        <w:tc>
          <w:tcPr>
            <w:tcW w:w="930" w:type="dxa"/>
            <w:tcBorders>
              <w:top w:val="single" w:sz="6" w:space="0" w:color="000000"/>
              <w:left w:val="nil"/>
              <w:bottom w:val="nil"/>
              <w:right w:val="nil"/>
              <w:tl2br w:val="nil"/>
              <w:tr2bl w:val="nil"/>
            </w:tcBorders>
            <w:shd w:val="clear" w:color="auto" w:fill="C0C0C0"/>
            <w:tcMar>
              <w:left w:w="115" w:type="dxa"/>
              <w:right w:w="115" w:type="dxa"/>
            </w:tcMar>
            <w:vAlign w:val="bottom"/>
          </w:tcPr>
          <w:p w14:paraId="4069A96F" w14:textId="77777777" w:rsidR="003F0EEA" w:rsidRPr="008C27C3" w:rsidRDefault="003F0EEA">
            <w:pPr>
              <w:jc w:val="right"/>
              <w:rPr>
                <w:rFonts w:ascii="Arial" w:eastAsia="Arial" w:hAnsi="Arial" w:cs="Arial"/>
                <w:b/>
                <w:color w:val="000000"/>
                <w:sz w:val="16"/>
              </w:rPr>
            </w:pPr>
          </w:p>
        </w:tc>
        <w:tc>
          <w:tcPr>
            <w:tcW w:w="1155"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3095EB5B" w14:textId="77777777" w:rsidR="003F0EEA" w:rsidRPr="008C27C3" w:rsidRDefault="003F0EEA">
            <w:pPr>
              <w:jc w:val="right"/>
              <w:rPr>
                <w:rFonts w:ascii="Arial" w:eastAsia="Arial" w:hAnsi="Arial" w:cs="Arial"/>
                <w:color w:val="000000"/>
                <w:sz w:val="16"/>
              </w:rPr>
            </w:pPr>
          </w:p>
        </w:tc>
      </w:tr>
      <w:tr w:rsidR="00FB7D0B" w14:paraId="094B000E" w14:textId="77777777" w:rsidTr="00FB7D0B">
        <w:trPr>
          <w:trHeight w:val="225"/>
        </w:trPr>
        <w:tc>
          <w:tcPr>
            <w:tcW w:w="2835" w:type="dxa"/>
            <w:gridSpan w:val="3"/>
            <w:tcBorders>
              <w:top w:val="nil"/>
              <w:left w:val="nil"/>
              <w:bottom w:val="nil"/>
              <w:right w:val="nil"/>
              <w:tl2br w:val="nil"/>
              <w:tr2bl w:val="nil"/>
            </w:tcBorders>
            <w:shd w:val="clear" w:color="auto" w:fill="FFFFFF"/>
            <w:tcMar>
              <w:left w:w="115" w:type="dxa"/>
              <w:right w:w="115" w:type="dxa"/>
            </w:tcMar>
            <w:vAlign w:val="bottom"/>
          </w:tcPr>
          <w:p w14:paraId="087C99FC" w14:textId="77777777" w:rsidR="003F0EEA" w:rsidRPr="008C27C3" w:rsidRDefault="00FB7D0B">
            <w:pPr>
              <w:rPr>
                <w:rFonts w:ascii="Arial" w:eastAsia="Arial" w:hAnsi="Arial" w:cs="Arial"/>
                <w:color w:val="000000"/>
                <w:sz w:val="16"/>
              </w:rPr>
            </w:pPr>
            <w:r w:rsidRPr="008C27C3">
              <w:rPr>
                <w:rFonts w:ascii="Arial" w:eastAsia="Arial" w:hAnsi="Arial" w:cs="Arial"/>
                <w:b/>
                <w:color w:val="000000"/>
                <w:sz w:val="16"/>
              </w:rPr>
              <w:t>Other services</w:t>
            </w:r>
            <w:r w:rsidRPr="008C27C3">
              <w:rPr>
                <w:rFonts w:ascii="Arial" w:eastAsia="Arial" w:hAnsi="Arial" w:cs="Arial"/>
                <w:b/>
                <w:color w:val="000000"/>
                <w:sz w:val="16"/>
                <w:vertAlign w:val="superscript"/>
              </w:rPr>
              <w:t>2 </w:t>
            </w:r>
          </w:p>
        </w:tc>
        <w:tc>
          <w:tcPr>
            <w:tcW w:w="90" w:type="dxa"/>
            <w:tcBorders>
              <w:top w:val="nil"/>
              <w:left w:val="nil"/>
              <w:bottom w:val="nil"/>
              <w:right w:val="nil"/>
              <w:tl2br w:val="nil"/>
              <w:tr2bl w:val="nil"/>
            </w:tcBorders>
            <w:shd w:val="clear" w:color="auto" w:fill="FFFFFF"/>
            <w:tcMar>
              <w:left w:w="115" w:type="dxa"/>
              <w:right w:w="115" w:type="dxa"/>
            </w:tcMar>
            <w:vAlign w:val="bottom"/>
          </w:tcPr>
          <w:p w14:paraId="2F2C0D00" w14:textId="77777777" w:rsidR="003F0EEA" w:rsidRPr="008C27C3" w:rsidRDefault="003F0EEA">
            <w:pPr>
              <w:jc w:val="center"/>
              <w:rPr>
                <w:rFonts w:ascii="Arial" w:eastAsia="Arial" w:hAnsi="Arial" w:cs="Arial"/>
                <w:b/>
                <w:color w:val="000000"/>
                <w:sz w:val="16"/>
                <w:vertAlign w:val="superscript"/>
              </w:rPr>
            </w:pPr>
          </w:p>
        </w:tc>
        <w:tc>
          <w:tcPr>
            <w:tcW w:w="1080" w:type="dxa"/>
            <w:tcBorders>
              <w:top w:val="nil"/>
              <w:left w:val="nil"/>
              <w:bottom w:val="nil"/>
              <w:right w:val="nil"/>
              <w:tl2br w:val="nil"/>
              <w:tr2bl w:val="nil"/>
            </w:tcBorders>
            <w:shd w:val="clear" w:color="auto" w:fill="FFFFFF"/>
            <w:tcMar>
              <w:left w:w="115" w:type="dxa"/>
              <w:right w:w="115" w:type="dxa"/>
            </w:tcMar>
            <w:vAlign w:val="bottom"/>
          </w:tcPr>
          <w:p w14:paraId="47FB892A" w14:textId="77777777" w:rsidR="003F0EEA" w:rsidRPr="008C27C3" w:rsidRDefault="003F0EEA">
            <w:pPr>
              <w:jc w:val="right"/>
              <w:rPr>
                <w:rFonts w:ascii="Arial" w:eastAsia="Arial" w:hAnsi="Arial" w:cs="Arial"/>
                <w:b/>
                <w:color w:val="000000"/>
                <w:sz w:val="16"/>
                <w:vertAlign w:val="superscript"/>
              </w:rPr>
            </w:pPr>
          </w:p>
        </w:tc>
        <w:tc>
          <w:tcPr>
            <w:tcW w:w="90" w:type="dxa"/>
            <w:tcBorders>
              <w:top w:val="nil"/>
              <w:left w:val="nil"/>
              <w:bottom w:val="nil"/>
              <w:right w:val="nil"/>
              <w:tl2br w:val="nil"/>
              <w:tr2bl w:val="nil"/>
            </w:tcBorders>
            <w:shd w:val="clear" w:color="auto" w:fill="FFFFFF"/>
            <w:tcMar>
              <w:left w:w="115" w:type="dxa"/>
              <w:right w:w="115" w:type="dxa"/>
            </w:tcMar>
            <w:vAlign w:val="bottom"/>
          </w:tcPr>
          <w:p w14:paraId="17C9E87D" w14:textId="77777777" w:rsidR="003F0EEA" w:rsidRPr="008C27C3" w:rsidRDefault="00FB7D0B">
            <w:pPr>
              <w:rPr>
                <w:rFonts w:ascii="Arial" w:eastAsia="Arial" w:hAnsi="Arial" w:cs="Arial"/>
                <w:color w:val="000000"/>
                <w:sz w:val="16"/>
                <w:vertAlign w:val="superscript"/>
              </w:rPr>
            </w:pPr>
            <w:r w:rsidRPr="008C27C3">
              <w:rPr>
                <w:rFonts w:ascii="Arial" w:eastAsia="Arial" w:hAnsi="Arial" w:cs="Arial"/>
                <w:color w:val="000000"/>
                <w:sz w:val="16"/>
              </w:rPr>
              <w:t xml:space="preserve"> </w:t>
            </w:r>
          </w:p>
        </w:tc>
        <w:tc>
          <w:tcPr>
            <w:tcW w:w="930" w:type="dxa"/>
            <w:tcBorders>
              <w:top w:val="nil"/>
              <w:left w:val="nil"/>
              <w:bottom w:val="nil"/>
              <w:right w:val="nil"/>
              <w:tl2br w:val="nil"/>
              <w:tr2bl w:val="nil"/>
            </w:tcBorders>
            <w:shd w:val="clear" w:color="auto" w:fill="FFFFFF"/>
            <w:tcMar>
              <w:left w:w="115" w:type="dxa"/>
              <w:right w:w="115" w:type="dxa"/>
            </w:tcMar>
            <w:vAlign w:val="bottom"/>
          </w:tcPr>
          <w:p w14:paraId="37E8C57F" w14:textId="77777777" w:rsidR="003F0EEA" w:rsidRPr="008C27C3" w:rsidRDefault="003F0EEA">
            <w:pPr>
              <w:jc w:val="right"/>
              <w:rPr>
                <w:rFonts w:ascii="Arial" w:eastAsia="Arial" w:hAnsi="Arial" w:cs="Arial"/>
                <w:color w:val="000000"/>
                <w:sz w:val="16"/>
              </w:rPr>
            </w:pPr>
          </w:p>
        </w:tc>
        <w:tc>
          <w:tcPr>
            <w:tcW w:w="90" w:type="dxa"/>
            <w:tcBorders>
              <w:top w:val="nil"/>
              <w:left w:val="nil"/>
              <w:bottom w:val="nil"/>
              <w:right w:val="nil"/>
              <w:tl2br w:val="nil"/>
              <w:tr2bl w:val="nil"/>
            </w:tcBorders>
            <w:shd w:val="clear" w:color="auto" w:fill="FFFFFF"/>
            <w:tcMar>
              <w:left w:w="115" w:type="dxa"/>
              <w:right w:w="115" w:type="dxa"/>
            </w:tcMar>
            <w:vAlign w:val="bottom"/>
          </w:tcPr>
          <w:p w14:paraId="77ED7AEA" w14:textId="77777777" w:rsidR="003F0EEA" w:rsidRPr="008C27C3" w:rsidRDefault="00FB7D0B">
            <w:pPr>
              <w:rPr>
                <w:rFonts w:ascii="Arial" w:eastAsia="Arial" w:hAnsi="Arial" w:cs="Arial"/>
                <w:b/>
                <w:color w:val="000000"/>
                <w:sz w:val="16"/>
              </w:rPr>
            </w:pPr>
            <w:r w:rsidRPr="008C27C3">
              <w:rPr>
                <w:rFonts w:ascii="Arial" w:eastAsia="Arial" w:hAnsi="Arial" w:cs="Arial"/>
                <w:color w:val="000000"/>
                <w:sz w:val="16"/>
              </w:rPr>
              <w:t xml:space="preserve"> </w:t>
            </w:r>
          </w:p>
        </w:tc>
        <w:tc>
          <w:tcPr>
            <w:tcW w:w="930" w:type="dxa"/>
            <w:tcBorders>
              <w:top w:val="nil"/>
              <w:left w:val="nil"/>
              <w:bottom w:val="nil"/>
              <w:right w:val="nil"/>
              <w:tl2br w:val="nil"/>
              <w:tr2bl w:val="nil"/>
            </w:tcBorders>
            <w:shd w:val="clear" w:color="auto" w:fill="C0C0C0"/>
            <w:tcMar>
              <w:left w:w="115" w:type="dxa"/>
              <w:right w:w="115" w:type="dxa"/>
            </w:tcMar>
            <w:vAlign w:val="bottom"/>
          </w:tcPr>
          <w:p w14:paraId="6C9164C8" w14:textId="77777777" w:rsidR="003F0EEA" w:rsidRPr="008C27C3" w:rsidRDefault="003F0EEA">
            <w:pPr>
              <w:jc w:val="right"/>
              <w:rPr>
                <w:rFonts w:ascii="Arial" w:eastAsia="Arial" w:hAnsi="Arial" w:cs="Arial"/>
                <w:color w:val="000000"/>
                <w:sz w:val="16"/>
              </w:rPr>
            </w:pPr>
          </w:p>
        </w:tc>
        <w:tc>
          <w:tcPr>
            <w:tcW w:w="1155" w:type="dxa"/>
            <w:tcBorders>
              <w:top w:val="nil"/>
              <w:left w:val="nil"/>
              <w:bottom w:val="nil"/>
              <w:right w:val="nil"/>
              <w:tl2br w:val="nil"/>
              <w:tr2bl w:val="nil"/>
            </w:tcBorders>
            <w:shd w:val="clear" w:color="auto" w:fill="FFFFFF"/>
            <w:tcMar>
              <w:left w:w="115" w:type="dxa"/>
              <w:right w:w="115" w:type="dxa"/>
            </w:tcMar>
            <w:vAlign w:val="bottom"/>
          </w:tcPr>
          <w:p w14:paraId="20D43D93" w14:textId="77777777" w:rsidR="003F0EEA" w:rsidRPr="008C27C3" w:rsidRDefault="003F0EEA">
            <w:pPr>
              <w:jc w:val="right"/>
              <w:rPr>
                <w:rFonts w:ascii="Arial" w:eastAsia="Arial" w:hAnsi="Arial" w:cs="Arial"/>
                <w:color w:val="000000"/>
                <w:sz w:val="16"/>
              </w:rPr>
            </w:pPr>
          </w:p>
        </w:tc>
      </w:tr>
      <w:tr w:rsidR="00FB7D0B" w14:paraId="7AAEEF4C" w14:textId="77777777" w:rsidTr="00FB7D0B">
        <w:trPr>
          <w:trHeight w:val="225"/>
        </w:trPr>
        <w:tc>
          <w:tcPr>
            <w:tcW w:w="180" w:type="dxa"/>
            <w:tcBorders>
              <w:top w:val="nil"/>
              <w:left w:val="nil"/>
              <w:bottom w:val="nil"/>
              <w:right w:val="nil"/>
              <w:tl2br w:val="nil"/>
              <w:tr2bl w:val="nil"/>
            </w:tcBorders>
            <w:shd w:val="clear" w:color="auto" w:fill="FFFFFF"/>
            <w:tcMar>
              <w:left w:w="115" w:type="dxa"/>
              <w:right w:w="115" w:type="dxa"/>
            </w:tcMar>
            <w:vAlign w:val="bottom"/>
          </w:tcPr>
          <w:p w14:paraId="1D4DCFC9" w14:textId="77777777" w:rsidR="003F0EEA" w:rsidRPr="008C27C3" w:rsidRDefault="003F0EEA">
            <w:pPr>
              <w:rPr>
                <w:rFonts w:ascii="Arial" w:eastAsia="Arial" w:hAnsi="Arial" w:cs="Arial"/>
                <w:color w:val="000000"/>
                <w:sz w:val="16"/>
              </w:rPr>
            </w:pPr>
          </w:p>
        </w:tc>
        <w:tc>
          <w:tcPr>
            <w:tcW w:w="2655" w:type="dxa"/>
            <w:gridSpan w:val="2"/>
            <w:tcBorders>
              <w:top w:val="nil"/>
              <w:left w:val="nil"/>
              <w:bottom w:val="nil"/>
              <w:right w:val="nil"/>
              <w:tl2br w:val="nil"/>
              <w:tr2bl w:val="nil"/>
            </w:tcBorders>
            <w:shd w:val="clear" w:color="auto" w:fill="FFFFFF"/>
            <w:tcMar>
              <w:left w:w="115" w:type="dxa"/>
              <w:right w:w="115" w:type="dxa"/>
            </w:tcMar>
            <w:vAlign w:val="bottom"/>
          </w:tcPr>
          <w:p w14:paraId="4D291C6C" w14:textId="77777777" w:rsidR="003F0EEA" w:rsidRPr="008C27C3" w:rsidRDefault="00FB7D0B">
            <w:pPr>
              <w:rPr>
                <w:rFonts w:ascii="Arial" w:eastAsia="Arial" w:hAnsi="Arial" w:cs="Arial"/>
                <w:color w:val="000000"/>
                <w:sz w:val="16"/>
              </w:rPr>
            </w:pPr>
            <w:r w:rsidRPr="008C27C3">
              <w:rPr>
                <w:rFonts w:ascii="Arial" w:eastAsia="Arial" w:hAnsi="Arial" w:cs="Arial"/>
                <w:i/>
                <w:color w:val="000000"/>
                <w:sz w:val="16"/>
              </w:rPr>
              <w:t>Non-operating</w:t>
            </w:r>
          </w:p>
        </w:tc>
        <w:tc>
          <w:tcPr>
            <w:tcW w:w="90" w:type="dxa"/>
            <w:tcBorders>
              <w:top w:val="nil"/>
              <w:left w:val="nil"/>
              <w:bottom w:val="nil"/>
              <w:right w:val="nil"/>
              <w:tl2br w:val="nil"/>
              <w:tr2bl w:val="nil"/>
            </w:tcBorders>
            <w:shd w:val="clear" w:color="auto" w:fill="FFFFFF"/>
            <w:tcMar>
              <w:left w:w="115" w:type="dxa"/>
              <w:right w:w="115" w:type="dxa"/>
            </w:tcMar>
            <w:vAlign w:val="bottom"/>
          </w:tcPr>
          <w:p w14:paraId="3D34433C" w14:textId="77777777" w:rsidR="003F0EEA" w:rsidRPr="008C27C3" w:rsidRDefault="003F0EEA">
            <w:pPr>
              <w:jc w:val="center"/>
              <w:rPr>
                <w:rFonts w:ascii="Arial" w:eastAsia="Arial" w:hAnsi="Arial" w:cs="Arial"/>
                <w:i/>
                <w:color w:val="000000"/>
                <w:sz w:val="16"/>
                <w:vertAlign w:val="superscript"/>
              </w:rPr>
            </w:pPr>
          </w:p>
        </w:tc>
        <w:tc>
          <w:tcPr>
            <w:tcW w:w="1080" w:type="dxa"/>
            <w:tcBorders>
              <w:top w:val="nil"/>
              <w:left w:val="nil"/>
              <w:bottom w:val="nil"/>
              <w:right w:val="nil"/>
              <w:tl2br w:val="nil"/>
              <w:tr2bl w:val="nil"/>
            </w:tcBorders>
            <w:shd w:val="clear" w:color="auto" w:fill="FFFFFF"/>
            <w:tcMar>
              <w:left w:w="115" w:type="dxa"/>
              <w:right w:w="115" w:type="dxa"/>
            </w:tcMar>
            <w:vAlign w:val="bottom"/>
          </w:tcPr>
          <w:p w14:paraId="19043322" w14:textId="77777777" w:rsidR="003F0EEA" w:rsidRPr="008C27C3" w:rsidRDefault="00FB7D0B">
            <w:pPr>
              <w:jc w:val="right"/>
              <w:rPr>
                <w:rFonts w:ascii="Arial" w:eastAsia="Arial" w:hAnsi="Arial" w:cs="Arial"/>
                <w:b/>
                <w:color w:val="000000"/>
                <w:sz w:val="16"/>
                <w:vertAlign w:val="superscript"/>
              </w:rPr>
            </w:pPr>
            <w:r w:rsidRPr="008C27C3">
              <w:rPr>
                <w:rFonts w:ascii="Arial" w:eastAsia="Arial" w:hAnsi="Arial" w:cs="Arial"/>
                <w:b/>
                <w:color w:val="000000"/>
                <w:sz w:val="16"/>
              </w:rPr>
              <w:t xml:space="preserve"> - </w:t>
            </w:r>
          </w:p>
        </w:tc>
        <w:tc>
          <w:tcPr>
            <w:tcW w:w="90" w:type="dxa"/>
            <w:tcBorders>
              <w:top w:val="nil"/>
              <w:left w:val="nil"/>
              <w:bottom w:val="nil"/>
              <w:right w:val="nil"/>
              <w:tl2br w:val="nil"/>
              <w:tr2bl w:val="nil"/>
            </w:tcBorders>
            <w:shd w:val="clear" w:color="auto" w:fill="FFFFFF"/>
            <w:tcMar>
              <w:left w:w="115" w:type="dxa"/>
              <w:right w:w="115" w:type="dxa"/>
            </w:tcMar>
            <w:vAlign w:val="bottom"/>
          </w:tcPr>
          <w:p w14:paraId="512A6D20" w14:textId="77777777" w:rsidR="003F0EEA" w:rsidRPr="008C27C3" w:rsidRDefault="00FB7D0B">
            <w:pPr>
              <w:rPr>
                <w:rFonts w:ascii="Arial" w:eastAsia="Arial" w:hAnsi="Arial" w:cs="Arial"/>
                <w:b/>
                <w:color w:val="000000"/>
                <w:sz w:val="16"/>
              </w:rPr>
            </w:pPr>
            <w:r w:rsidRPr="008C27C3">
              <w:rPr>
                <w:rFonts w:ascii="Arial" w:eastAsia="Arial" w:hAnsi="Arial" w:cs="Arial"/>
                <w:b/>
                <w:color w:val="000000"/>
                <w:sz w:val="16"/>
              </w:rPr>
              <w:t xml:space="preserve"> </w:t>
            </w:r>
          </w:p>
        </w:tc>
        <w:tc>
          <w:tcPr>
            <w:tcW w:w="930" w:type="dxa"/>
            <w:tcBorders>
              <w:top w:val="nil"/>
              <w:left w:val="nil"/>
              <w:bottom w:val="nil"/>
              <w:right w:val="nil"/>
              <w:tl2br w:val="nil"/>
              <w:tr2bl w:val="nil"/>
            </w:tcBorders>
            <w:shd w:val="clear" w:color="auto" w:fill="FFFFFF"/>
            <w:tcMar>
              <w:left w:w="115" w:type="dxa"/>
              <w:right w:w="115" w:type="dxa"/>
            </w:tcMar>
            <w:vAlign w:val="bottom"/>
          </w:tcPr>
          <w:p w14:paraId="63A9534B" w14:textId="77777777" w:rsidR="003F0EEA" w:rsidRPr="008C27C3" w:rsidRDefault="00FB7D0B">
            <w:pPr>
              <w:jc w:val="right"/>
              <w:rPr>
                <w:rFonts w:ascii="Arial" w:eastAsia="Arial" w:hAnsi="Arial" w:cs="Arial"/>
                <w:b/>
                <w:color w:val="000000"/>
                <w:sz w:val="16"/>
              </w:rPr>
            </w:pPr>
            <w:r w:rsidRPr="008C27C3">
              <w:rPr>
                <w:rFonts w:ascii="Arial" w:eastAsia="Arial" w:hAnsi="Arial" w:cs="Arial"/>
                <w:color w:val="000000"/>
                <w:sz w:val="16"/>
              </w:rPr>
              <w:t>12,444 </w:t>
            </w:r>
          </w:p>
        </w:tc>
        <w:tc>
          <w:tcPr>
            <w:tcW w:w="90" w:type="dxa"/>
            <w:tcBorders>
              <w:top w:val="nil"/>
              <w:left w:val="nil"/>
              <w:bottom w:val="nil"/>
              <w:right w:val="nil"/>
              <w:tl2br w:val="nil"/>
              <w:tr2bl w:val="nil"/>
            </w:tcBorders>
            <w:shd w:val="clear" w:color="auto" w:fill="FFFFFF"/>
            <w:tcMar>
              <w:left w:w="115" w:type="dxa"/>
              <w:right w:w="115" w:type="dxa"/>
            </w:tcMar>
            <w:vAlign w:val="bottom"/>
          </w:tcPr>
          <w:p w14:paraId="71ED48F2" w14:textId="77777777" w:rsidR="003F0EEA" w:rsidRPr="008C27C3" w:rsidRDefault="00FB7D0B">
            <w:pPr>
              <w:rPr>
                <w:rFonts w:ascii="Arial" w:eastAsia="Arial" w:hAnsi="Arial" w:cs="Arial"/>
                <w:color w:val="000000"/>
                <w:sz w:val="16"/>
              </w:rPr>
            </w:pPr>
            <w:r w:rsidRPr="008C27C3">
              <w:rPr>
                <w:rFonts w:ascii="Arial" w:eastAsia="Arial" w:hAnsi="Arial" w:cs="Arial"/>
                <w:b/>
                <w:color w:val="000000"/>
                <w:sz w:val="16"/>
              </w:rPr>
              <w:t xml:space="preserve"> </w:t>
            </w:r>
          </w:p>
        </w:tc>
        <w:tc>
          <w:tcPr>
            <w:tcW w:w="930" w:type="dxa"/>
            <w:tcBorders>
              <w:top w:val="nil"/>
              <w:left w:val="nil"/>
              <w:bottom w:val="nil"/>
              <w:right w:val="nil"/>
              <w:tl2br w:val="nil"/>
              <w:tr2bl w:val="nil"/>
            </w:tcBorders>
            <w:shd w:val="clear" w:color="auto" w:fill="C0C0C0"/>
            <w:tcMar>
              <w:left w:w="115" w:type="dxa"/>
              <w:right w:w="115" w:type="dxa"/>
            </w:tcMar>
            <w:vAlign w:val="bottom"/>
          </w:tcPr>
          <w:p w14:paraId="371470EA" w14:textId="77777777" w:rsidR="003F0EEA" w:rsidRPr="008C27C3" w:rsidRDefault="00FB7D0B">
            <w:pPr>
              <w:jc w:val="right"/>
              <w:rPr>
                <w:rFonts w:ascii="Arial" w:eastAsia="Arial" w:hAnsi="Arial" w:cs="Arial"/>
                <w:b/>
                <w:color w:val="000000"/>
                <w:sz w:val="16"/>
              </w:rPr>
            </w:pPr>
            <w:r w:rsidRPr="008C27C3">
              <w:rPr>
                <w:rFonts w:ascii="Arial" w:eastAsia="Arial" w:hAnsi="Arial" w:cs="Arial"/>
                <w:color w:val="000000"/>
                <w:sz w:val="16"/>
              </w:rPr>
              <w:t>12,444 </w:t>
            </w:r>
          </w:p>
        </w:tc>
        <w:tc>
          <w:tcPr>
            <w:tcW w:w="1155" w:type="dxa"/>
            <w:tcBorders>
              <w:top w:val="nil"/>
              <w:left w:val="nil"/>
              <w:bottom w:val="nil"/>
              <w:right w:val="nil"/>
              <w:tl2br w:val="nil"/>
              <w:tr2bl w:val="nil"/>
            </w:tcBorders>
            <w:shd w:val="clear" w:color="auto" w:fill="FFFFFF"/>
            <w:tcMar>
              <w:left w:w="115" w:type="dxa"/>
              <w:right w:w="115" w:type="dxa"/>
            </w:tcMar>
            <w:vAlign w:val="bottom"/>
          </w:tcPr>
          <w:p w14:paraId="263C845F" w14:textId="77777777" w:rsidR="003F0EEA" w:rsidRPr="008C27C3" w:rsidRDefault="00FB7D0B">
            <w:pPr>
              <w:jc w:val="right"/>
              <w:rPr>
                <w:rFonts w:ascii="Arial" w:eastAsia="Arial" w:hAnsi="Arial" w:cs="Arial"/>
                <w:color w:val="000000"/>
                <w:sz w:val="16"/>
              </w:rPr>
            </w:pPr>
            <w:r w:rsidRPr="008C27C3">
              <w:rPr>
                <w:rFonts w:ascii="Arial" w:eastAsia="Arial" w:hAnsi="Arial" w:cs="Arial"/>
                <w:color w:val="000000"/>
                <w:sz w:val="16"/>
              </w:rPr>
              <w:t>25,258 </w:t>
            </w:r>
          </w:p>
        </w:tc>
      </w:tr>
      <w:tr w:rsidR="00724034" w14:paraId="742AAB56" w14:textId="77777777">
        <w:trPr>
          <w:trHeight w:val="60"/>
        </w:trPr>
        <w:tc>
          <w:tcPr>
            <w:tcW w:w="180" w:type="dxa"/>
            <w:tcBorders>
              <w:top w:val="nil"/>
              <w:left w:val="nil"/>
              <w:bottom w:val="nil"/>
              <w:right w:val="nil"/>
              <w:tl2br w:val="nil"/>
              <w:tr2bl w:val="nil"/>
            </w:tcBorders>
            <w:shd w:val="clear" w:color="auto" w:fill="FFFFFF"/>
            <w:tcMar>
              <w:left w:w="115" w:type="dxa"/>
              <w:right w:w="115" w:type="dxa"/>
            </w:tcMar>
            <w:vAlign w:val="bottom"/>
          </w:tcPr>
          <w:p w14:paraId="241F3F0E" w14:textId="77777777" w:rsidR="003F0EEA" w:rsidRPr="008C27C3" w:rsidRDefault="003F0EEA">
            <w:pPr>
              <w:rPr>
                <w:rFonts w:ascii="Arial" w:eastAsia="Arial" w:hAnsi="Arial" w:cs="Arial"/>
                <w:color w:val="000000"/>
                <w:sz w:val="16"/>
              </w:rPr>
            </w:pPr>
          </w:p>
        </w:tc>
        <w:tc>
          <w:tcPr>
            <w:tcW w:w="180" w:type="dxa"/>
            <w:tcBorders>
              <w:top w:val="nil"/>
              <w:left w:val="nil"/>
              <w:bottom w:val="nil"/>
              <w:right w:val="nil"/>
              <w:tl2br w:val="nil"/>
              <w:tr2bl w:val="nil"/>
            </w:tcBorders>
            <w:shd w:val="clear" w:color="auto" w:fill="FFFFFF"/>
            <w:tcMar>
              <w:left w:w="115" w:type="dxa"/>
              <w:right w:w="115" w:type="dxa"/>
            </w:tcMar>
            <w:vAlign w:val="bottom"/>
          </w:tcPr>
          <w:p w14:paraId="5DC2CD15" w14:textId="77777777" w:rsidR="003F0EEA" w:rsidRPr="008C27C3" w:rsidRDefault="003F0EEA">
            <w:pPr>
              <w:rPr>
                <w:rFonts w:ascii="Arial" w:eastAsia="Arial" w:hAnsi="Arial" w:cs="Arial"/>
                <w:color w:val="000000"/>
                <w:sz w:val="16"/>
              </w:rPr>
            </w:pPr>
          </w:p>
        </w:tc>
        <w:tc>
          <w:tcPr>
            <w:tcW w:w="2475" w:type="dxa"/>
            <w:tcBorders>
              <w:top w:val="nil"/>
              <w:left w:val="nil"/>
              <w:bottom w:val="nil"/>
              <w:right w:val="nil"/>
              <w:tl2br w:val="nil"/>
              <w:tr2bl w:val="nil"/>
            </w:tcBorders>
            <w:shd w:val="clear" w:color="auto" w:fill="FFFFFF"/>
            <w:tcMar>
              <w:left w:w="115" w:type="dxa"/>
              <w:right w:w="115" w:type="dxa"/>
            </w:tcMar>
            <w:vAlign w:val="bottom"/>
          </w:tcPr>
          <w:p w14:paraId="15428608" w14:textId="77777777" w:rsidR="003F0EEA" w:rsidRPr="008C27C3" w:rsidRDefault="003F0EEA">
            <w:pPr>
              <w:rPr>
                <w:rFonts w:ascii="Arial" w:eastAsia="Arial" w:hAnsi="Arial" w:cs="Arial"/>
                <w:color w:val="000000"/>
                <w:sz w:val="16"/>
              </w:rPr>
            </w:pPr>
          </w:p>
        </w:tc>
        <w:tc>
          <w:tcPr>
            <w:tcW w:w="90" w:type="dxa"/>
            <w:tcBorders>
              <w:top w:val="nil"/>
              <w:left w:val="nil"/>
              <w:bottom w:val="nil"/>
              <w:right w:val="nil"/>
              <w:tl2br w:val="nil"/>
              <w:tr2bl w:val="nil"/>
            </w:tcBorders>
            <w:shd w:val="clear" w:color="auto" w:fill="FFFFFF"/>
            <w:tcMar>
              <w:left w:w="115" w:type="dxa"/>
              <w:right w:w="115" w:type="dxa"/>
            </w:tcMar>
            <w:vAlign w:val="bottom"/>
          </w:tcPr>
          <w:p w14:paraId="341CADDC" w14:textId="77777777" w:rsidR="003F0EEA" w:rsidRPr="008C27C3" w:rsidRDefault="003F0EEA">
            <w:pPr>
              <w:jc w:val="center"/>
              <w:rPr>
                <w:rFonts w:ascii="Arial" w:eastAsia="Arial" w:hAnsi="Arial" w:cs="Arial"/>
                <w:color w:val="000000"/>
                <w:sz w:val="16"/>
                <w:vertAlign w:val="superscript"/>
              </w:rPr>
            </w:pPr>
          </w:p>
        </w:tc>
        <w:tc>
          <w:tcPr>
            <w:tcW w:w="1080" w:type="dxa"/>
            <w:tcBorders>
              <w:top w:val="nil"/>
              <w:left w:val="nil"/>
              <w:bottom w:val="nil"/>
              <w:right w:val="nil"/>
              <w:tl2br w:val="nil"/>
              <w:tr2bl w:val="nil"/>
            </w:tcBorders>
            <w:shd w:val="clear" w:color="auto" w:fill="FFFFFF"/>
            <w:tcMar>
              <w:left w:w="115" w:type="dxa"/>
              <w:right w:w="115" w:type="dxa"/>
            </w:tcMar>
            <w:vAlign w:val="bottom"/>
          </w:tcPr>
          <w:p w14:paraId="4B46994D" w14:textId="77777777" w:rsidR="003F0EEA" w:rsidRPr="008C27C3" w:rsidRDefault="003F0EEA">
            <w:pPr>
              <w:jc w:val="right"/>
              <w:rPr>
                <w:rFonts w:ascii="Arial" w:eastAsia="Arial" w:hAnsi="Arial" w:cs="Arial"/>
                <w:color w:val="000000"/>
                <w:sz w:val="16"/>
                <w:vertAlign w:val="superscript"/>
              </w:rPr>
            </w:pPr>
          </w:p>
        </w:tc>
        <w:tc>
          <w:tcPr>
            <w:tcW w:w="90" w:type="dxa"/>
            <w:tcBorders>
              <w:top w:val="nil"/>
              <w:left w:val="nil"/>
              <w:bottom w:val="nil"/>
              <w:right w:val="nil"/>
              <w:tl2br w:val="nil"/>
              <w:tr2bl w:val="nil"/>
            </w:tcBorders>
            <w:shd w:val="clear" w:color="auto" w:fill="FFFFFF"/>
            <w:tcMar>
              <w:left w:w="115" w:type="dxa"/>
              <w:right w:w="115" w:type="dxa"/>
            </w:tcMar>
            <w:vAlign w:val="bottom"/>
          </w:tcPr>
          <w:p w14:paraId="6E740AA4" w14:textId="77777777" w:rsidR="003F0EEA" w:rsidRPr="008C27C3" w:rsidRDefault="00FB7D0B">
            <w:pPr>
              <w:rPr>
                <w:rFonts w:ascii="Arial" w:eastAsia="Arial" w:hAnsi="Arial" w:cs="Arial"/>
                <w:color w:val="000000"/>
                <w:sz w:val="16"/>
                <w:vertAlign w:val="superscript"/>
              </w:rPr>
            </w:pPr>
            <w:r w:rsidRPr="008C27C3">
              <w:rPr>
                <w:rFonts w:ascii="Arial" w:eastAsia="Arial" w:hAnsi="Arial" w:cs="Arial"/>
                <w:color w:val="000000"/>
                <w:sz w:val="16"/>
              </w:rPr>
              <w:t xml:space="preserve"> </w:t>
            </w:r>
          </w:p>
        </w:tc>
        <w:tc>
          <w:tcPr>
            <w:tcW w:w="930" w:type="dxa"/>
            <w:tcBorders>
              <w:top w:val="nil"/>
              <w:left w:val="nil"/>
              <w:bottom w:val="nil"/>
              <w:right w:val="nil"/>
              <w:tl2br w:val="nil"/>
              <w:tr2bl w:val="nil"/>
            </w:tcBorders>
            <w:shd w:val="clear" w:color="auto" w:fill="FFFFFF"/>
            <w:tcMar>
              <w:left w:w="115" w:type="dxa"/>
              <w:right w:w="115" w:type="dxa"/>
            </w:tcMar>
            <w:vAlign w:val="bottom"/>
          </w:tcPr>
          <w:p w14:paraId="74C93674" w14:textId="77777777" w:rsidR="003F0EEA" w:rsidRPr="008C27C3" w:rsidRDefault="003F0EEA">
            <w:pPr>
              <w:jc w:val="right"/>
              <w:rPr>
                <w:rFonts w:ascii="Arial" w:eastAsia="Arial" w:hAnsi="Arial" w:cs="Arial"/>
                <w:color w:val="000000"/>
                <w:sz w:val="16"/>
              </w:rPr>
            </w:pPr>
          </w:p>
        </w:tc>
        <w:tc>
          <w:tcPr>
            <w:tcW w:w="90" w:type="dxa"/>
            <w:tcBorders>
              <w:top w:val="nil"/>
              <w:left w:val="nil"/>
              <w:bottom w:val="nil"/>
              <w:right w:val="nil"/>
              <w:tl2br w:val="nil"/>
              <w:tr2bl w:val="nil"/>
            </w:tcBorders>
            <w:shd w:val="clear" w:color="auto" w:fill="FFFFFF"/>
            <w:tcMar>
              <w:left w:w="115" w:type="dxa"/>
              <w:right w:w="115" w:type="dxa"/>
            </w:tcMar>
            <w:vAlign w:val="bottom"/>
          </w:tcPr>
          <w:p w14:paraId="663AEA2A" w14:textId="77777777" w:rsidR="003F0EEA" w:rsidRPr="008C27C3" w:rsidRDefault="00FB7D0B">
            <w:pPr>
              <w:rPr>
                <w:rFonts w:ascii="Arial" w:eastAsia="Arial" w:hAnsi="Arial" w:cs="Arial"/>
                <w:color w:val="000000"/>
                <w:sz w:val="16"/>
              </w:rPr>
            </w:pPr>
            <w:r w:rsidRPr="008C27C3">
              <w:rPr>
                <w:rFonts w:ascii="Arial" w:eastAsia="Arial" w:hAnsi="Arial" w:cs="Arial"/>
                <w:color w:val="000000"/>
                <w:sz w:val="16"/>
              </w:rPr>
              <w:t xml:space="preserve"> </w:t>
            </w:r>
          </w:p>
        </w:tc>
        <w:tc>
          <w:tcPr>
            <w:tcW w:w="930" w:type="dxa"/>
            <w:tcBorders>
              <w:top w:val="nil"/>
              <w:left w:val="nil"/>
              <w:bottom w:val="nil"/>
              <w:right w:val="nil"/>
              <w:tl2br w:val="nil"/>
              <w:tr2bl w:val="nil"/>
            </w:tcBorders>
            <w:shd w:val="clear" w:color="auto" w:fill="C0C0C0"/>
            <w:tcMar>
              <w:left w:w="115" w:type="dxa"/>
              <w:right w:w="115" w:type="dxa"/>
            </w:tcMar>
            <w:vAlign w:val="bottom"/>
          </w:tcPr>
          <w:p w14:paraId="7D3627FE" w14:textId="77777777" w:rsidR="003F0EEA" w:rsidRPr="008C27C3" w:rsidRDefault="003F0EEA">
            <w:pPr>
              <w:jc w:val="right"/>
              <w:rPr>
                <w:rFonts w:ascii="Arial" w:eastAsia="Arial" w:hAnsi="Arial" w:cs="Arial"/>
                <w:color w:val="000000"/>
                <w:sz w:val="16"/>
              </w:rPr>
            </w:pPr>
          </w:p>
        </w:tc>
        <w:tc>
          <w:tcPr>
            <w:tcW w:w="1155" w:type="dxa"/>
            <w:tcBorders>
              <w:top w:val="nil"/>
              <w:left w:val="nil"/>
              <w:bottom w:val="nil"/>
              <w:right w:val="nil"/>
              <w:tl2br w:val="nil"/>
              <w:tr2bl w:val="nil"/>
            </w:tcBorders>
            <w:shd w:val="clear" w:color="auto" w:fill="FFFFFF"/>
            <w:tcMar>
              <w:left w:w="115" w:type="dxa"/>
              <w:right w:w="115" w:type="dxa"/>
            </w:tcMar>
            <w:vAlign w:val="bottom"/>
          </w:tcPr>
          <w:p w14:paraId="21A93A34" w14:textId="77777777" w:rsidR="003F0EEA" w:rsidRPr="008C27C3" w:rsidRDefault="003F0EEA">
            <w:pPr>
              <w:jc w:val="right"/>
              <w:rPr>
                <w:rFonts w:ascii="Arial" w:eastAsia="Arial" w:hAnsi="Arial" w:cs="Arial"/>
                <w:color w:val="000000"/>
                <w:sz w:val="16"/>
              </w:rPr>
            </w:pPr>
          </w:p>
        </w:tc>
      </w:tr>
      <w:tr w:rsidR="00FB7D0B" w14:paraId="272D0167" w14:textId="77777777" w:rsidTr="00FB7D0B">
        <w:trPr>
          <w:trHeight w:val="225"/>
        </w:trPr>
        <w:tc>
          <w:tcPr>
            <w:tcW w:w="180" w:type="dxa"/>
            <w:tcBorders>
              <w:top w:val="nil"/>
              <w:left w:val="nil"/>
              <w:bottom w:val="nil"/>
              <w:right w:val="nil"/>
              <w:tl2br w:val="nil"/>
              <w:tr2bl w:val="nil"/>
            </w:tcBorders>
            <w:shd w:val="clear" w:color="auto" w:fill="FFFFFF"/>
            <w:tcMar>
              <w:left w:w="115" w:type="dxa"/>
              <w:right w:w="115" w:type="dxa"/>
            </w:tcMar>
            <w:vAlign w:val="bottom"/>
          </w:tcPr>
          <w:p w14:paraId="23FC0944" w14:textId="77777777" w:rsidR="003F0EEA" w:rsidRPr="008C27C3" w:rsidRDefault="003F0EEA">
            <w:pPr>
              <w:rPr>
                <w:rFonts w:ascii="Arial" w:eastAsia="Arial" w:hAnsi="Arial" w:cs="Arial"/>
                <w:color w:val="000000"/>
                <w:sz w:val="16"/>
              </w:rPr>
            </w:pPr>
          </w:p>
        </w:tc>
        <w:tc>
          <w:tcPr>
            <w:tcW w:w="2655" w:type="dxa"/>
            <w:gridSpan w:val="2"/>
            <w:tcBorders>
              <w:top w:val="nil"/>
              <w:left w:val="nil"/>
              <w:bottom w:val="nil"/>
              <w:right w:val="nil"/>
              <w:tl2br w:val="nil"/>
              <w:tr2bl w:val="nil"/>
            </w:tcBorders>
            <w:shd w:val="clear" w:color="auto" w:fill="FFFFFF"/>
            <w:tcMar>
              <w:left w:w="115" w:type="dxa"/>
              <w:right w:w="115" w:type="dxa"/>
            </w:tcMar>
            <w:vAlign w:val="bottom"/>
          </w:tcPr>
          <w:p w14:paraId="16FC3578" w14:textId="77777777" w:rsidR="003F0EEA" w:rsidRPr="008C27C3" w:rsidRDefault="00FB7D0B">
            <w:pPr>
              <w:rPr>
                <w:rFonts w:ascii="Arial" w:eastAsia="Arial" w:hAnsi="Arial" w:cs="Arial"/>
                <w:color w:val="000000"/>
                <w:sz w:val="16"/>
              </w:rPr>
            </w:pPr>
            <w:r w:rsidRPr="008C27C3">
              <w:rPr>
                <w:rFonts w:ascii="Arial" w:eastAsia="Arial" w:hAnsi="Arial" w:cs="Arial"/>
                <w:b/>
                <w:color w:val="000000"/>
                <w:sz w:val="16"/>
              </w:rPr>
              <w:t xml:space="preserve">Total other services </w:t>
            </w:r>
          </w:p>
        </w:tc>
        <w:tc>
          <w:tcPr>
            <w:tcW w:w="90" w:type="dxa"/>
            <w:tcBorders>
              <w:top w:val="nil"/>
              <w:left w:val="nil"/>
              <w:bottom w:val="nil"/>
              <w:right w:val="nil"/>
              <w:tl2br w:val="nil"/>
              <w:tr2bl w:val="nil"/>
            </w:tcBorders>
            <w:shd w:val="clear" w:color="auto" w:fill="FFFFFF"/>
            <w:tcMar>
              <w:left w:w="115" w:type="dxa"/>
              <w:right w:w="115" w:type="dxa"/>
            </w:tcMar>
            <w:vAlign w:val="bottom"/>
          </w:tcPr>
          <w:p w14:paraId="649C062C" w14:textId="77777777" w:rsidR="003F0EEA" w:rsidRPr="008C27C3" w:rsidRDefault="003F0EEA">
            <w:pPr>
              <w:jc w:val="center"/>
              <w:rPr>
                <w:rFonts w:ascii="Arial" w:eastAsia="Arial" w:hAnsi="Arial" w:cs="Arial"/>
                <w:b/>
                <w:color w:val="000000"/>
                <w:sz w:val="16"/>
                <w:vertAlign w:val="superscript"/>
              </w:rPr>
            </w:pPr>
          </w:p>
        </w:tc>
        <w:tc>
          <w:tcPr>
            <w:tcW w:w="1080" w:type="dxa"/>
            <w:tcBorders>
              <w:top w:val="nil"/>
              <w:left w:val="nil"/>
              <w:bottom w:val="nil"/>
              <w:right w:val="nil"/>
              <w:tl2br w:val="nil"/>
              <w:tr2bl w:val="nil"/>
            </w:tcBorders>
            <w:shd w:val="clear" w:color="auto" w:fill="FFFFFF"/>
            <w:tcMar>
              <w:left w:w="115" w:type="dxa"/>
              <w:right w:w="115" w:type="dxa"/>
            </w:tcMar>
            <w:vAlign w:val="bottom"/>
          </w:tcPr>
          <w:p w14:paraId="50A5AE0F" w14:textId="77777777" w:rsidR="003F0EEA" w:rsidRPr="008C27C3" w:rsidRDefault="00FB7D0B">
            <w:pPr>
              <w:jc w:val="right"/>
              <w:rPr>
                <w:rFonts w:ascii="Arial" w:eastAsia="Arial" w:hAnsi="Arial" w:cs="Arial"/>
                <w:b/>
                <w:color w:val="000000"/>
                <w:sz w:val="16"/>
                <w:vertAlign w:val="superscript"/>
              </w:rPr>
            </w:pPr>
            <w:r w:rsidRPr="008C27C3">
              <w:rPr>
                <w:rFonts w:ascii="Arial" w:eastAsia="Arial" w:hAnsi="Arial" w:cs="Arial"/>
                <w:b/>
                <w:color w:val="000000"/>
                <w:sz w:val="16"/>
              </w:rPr>
              <w:t xml:space="preserve"> - </w:t>
            </w:r>
          </w:p>
        </w:tc>
        <w:tc>
          <w:tcPr>
            <w:tcW w:w="90" w:type="dxa"/>
            <w:tcBorders>
              <w:top w:val="nil"/>
              <w:left w:val="nil"/>
              <w:bottom w:val="nil"/>
              <w:right w:val="nil"/>
              <w:tl2br w:val="nil"/>
              <w:tr2bl w:val="nil"/>
            </w:tcBorders>
            <w:shd w:val="clear" w:color="auto" w:fill="FFFFFF"/>
            <w:tcMar>
              <w:left w:w="115" w:type="dxa"/>
              <w:right w:w="115" w:type="dxa"/>
            </w:tcMar>
            <w:vAlign w:val="bottom"/>
          </w:tcPr>
          <w:p w14:paraId="7F135AC0" w14:textId="77777777" w:rsidR="003F0EEA" w:rsidRPr="008C27C3" w:rsidRDefault="00FB7D0B">
            <w:pPr>
              <w:rPr>
                <w:rFonts w:ascii="Arial" w:eastAsia="Arial" w:hAnsi="Arial" w:cs="Arial"/>
                <w:b/>
                <w:color w:val="000000"/>
                <w:sz w:val="16"/>
              </w:rPr>
            </w:pPr>
            <w:r w:rsidRPr="008C27C3">
              <w:rPr>
                <w:rFonts w:ascii="Arial" w:eastAsia="Arial" w:hAnsi="Arial" w:cs="Arial"/>
                <w:b/>
                <w:color w:val="000000"/>
                <w:sz w:val="16"/>
              </w:rPr>
              <w:t xml:space="preserve"> </w:t>
            </w:r>
          </w:p>
        </w:tc>
        <w:tc>
          <w:tcPr>
            <w:tcW w:w="930" w:type="dxa"/>
            <w:tcBorders>
              <w:top w:val="nil"/>
              <w:left w:val="nil"/>
              <w:bottom w:val="nil"/>
              <w:right w:val="nil"/>
              <w:tl2br w:val="nil"/>
              <w:tr2bl w:val="nil"/>
            </w:tcBorders>
            <w:shd w:val="clear" w:color="auto" w:fill="FFFFFF"/>
            <w:tcMar>
              <w:left w:w="115" w:type="dxa"/>
              <w:right w:w="115" w:type="dxa"/>
            </w:tcMar>
            <w:vAlign w:val="bottom"/>
          </w:tcPr>
          <w:p w14:paraId="248D67C5" w14:textId="77777777" w:rsidR="003F0EEA" w:rsidRPr="008C27C3" w:rsidRDefault="00FB7D0B">
            <w:pPr>
              <w:jc w:val="right"/>
              <w:rPr>
                <w:rFonts w:ascii="Arial" w:eastAsia="Arial" w:hAnsi="Arial" w:cs="Arial"/>
                <w:b/>
                <w:color w:val="000000"/>
                <w:sz w:val="16"/>
              </w:rPr>
            </w:pPr>
            <w:r w:rsidRPr="008C27C3">
              <w:rPr>
                <w:rFonts w:ascii="Arial" w:eastAsia="Arial" w:hAnsi="Arial" w:cs="Arial"/>
                <w:b/>
                <w:color w:val="000000"/>
                <w:sz w:val="16"/>
              </w:rPr>
              <w:t>12,444 </w:t>
            </w:r>
          </w:p>
        </w:tc>
        <w:tc>
          <w:tcPr>
            <w:tcW w:w="90" w:type="dxa"/>
            <w:tcBorders>
              <w:top w:val="nil"/>
              <w:left w:val="nil"/>
              <w:bottom w:val="nil"/>
              <w:right w:val="nil"/>
              <w:tl2br w:val="nil"/>
              <w:tr2bl w:val="nil"/>
            </w:tcBorders>
            <w:shd w:val="clear" w:color="auto" w:fill="FFFFFF"/>
            <w:tcMar>
              <w:left w:w="115" w:type="dxa"/>
              <w:right w:w="115" w:type="dxa"/>
            </w:tcMar>
            <w:vAlign w:val="bottom"/>
          </w:tcPr>
          <w:p w14:paraId="5FD2B952" w14:textId="77777777" w:rsidR="003F0EEA" w:rsidRPr="008C27C3" w:rsidRDefault="00FB7D0B">
            <w:pPr>
              <w:rPr>
                <w:rFonts w:ascii="Arial" w:eastAsia="Arial" w:hAnsi="Arial" w:cs="Arial"/>
                <w:b/>
                <w:color w:val="000000"/>
                <w:sz w:val="16"/>
              </w:rPr>
            </w:pPr>
            <w:r w:rsidRPr="008C27C3">
              <w:rPr>
                <w:rFonts w:ascii="Arial" w:eastAsia="Arial" w:hAnsi="Arial" w:cs="Arial"/>
                <w:b/>
                <w:color w:val="000000"/>
                <w:sz w:val="16"/>
              </w:rPr>
              <w:t xml:space="preserve"> </w:t>
            </w:r>
          </w:p>
        </w:tc>
        <w:tc>
          <w:tcPr>
            <w:tcW w:w="930" w:type="dxa"/>
            <w:tcBorders>
              <w:top w:val="nil"/>
              <w:left w:val="nil"/>
              <w:bottom w:val="nil"/>
              <w:right w:val="nil"/>
              <w:tl2br w:val="nil"/>
              <w:tr2bl w:val="nil"/>
            </w:tcBorders>
            <w:shd w:val="clear" w:color="auto" w:fill="C0C0C0"/>
            <w:tcMar>
              <w:left w:w="115" w:type="dxa"/>
              <w:right w:w="115" w:type="dxa"/>
            </w:tcMar>
            <w:vAlign w:val="bottom"/>
          </w:tcPr>
          <w:p w14:paraId="321C66F1" w14:textId="77777777" w:rsidR="003F0EEA" w:rsidRPr="008C27C3" w:rsidRDefault="00FB7D0B">
            <w:pPr>
              <w:jc w:val="right"/>
              <w:rPr>
                <w:rFonts w:ascii="Arial" w:eastAsia="Arial" w:hAnsi="Arial" w:cs="Arial"/>
                <w:b/>
                <w:color w:val="000000"/>
                <w:sz w:val="16"/>
              </w:rPr>
            </w:pPr>
            <w:r w:rsidRPr="008C27C3">
              <w:rPr>
                <w:rFonts w:ascii="Arial" w:eastAsia="Arial" w:hAnsi="Arial" w:cs="Arial"/>
                <w:b/>
                <w:color w:val="000000"/>
                <w:sz w:val="16"/>
              </w:rPr>
              <w:t>12,444 </w:t>
            </w:r>
          </w:p>
        </w:tc>
        <w:tc>
          <w:tcPr>
            <w:tcW w:w="1155" w:type="dxa"/>
            <w:tcBorders>
              <w:top w:val="nil"/>
              <w:left w:val="nil"/>
              <w:bottom w:val="nil"/>
              <w:right w:val="nil"/>
              <w:tl2br w:val="nil"/>
              <w:tr2bl w:val="nil"/>
            </w:tcBorders>
            <w:shd w:val="clear" w:color="auto" w:fill="FFFFFF"/>
            <w:tcMar>
              <w:left w:w="115" w:type="dxa"/>
              <w:right w:w="115" w:type="dxa"/>
            </w:tcMar>
            <w:vAlign w:val="bottom"/>
          </w:tcPr>
          <w:p w14:paraId="06A5F176" w14:textId="77777777" w:rsidR="003F0EEA" w:rsidRPr="008C27C3" w:rsidRDefault="00FB7D0B">
            <w:pPr>
              <w:jc w:val="right"/>
              <w:rPr>
                <w:rFonts w:ascii="Arial" w:eastAsia="Arial" w:hAnsi="Arial" w:cs="Arial"/>
                <w:b/>
                <w:color w:val="000000"/>
                <w:sz w:val="16"/>
              </w:rPr>
            </w:pPr>
            <w:r w:rsidRPr="008C27C3">
              <w:rPr>
                <w:rFonts w:ascii="Arial" w:eastAsia="Arial" w:hAnsi="Arial" w:cs="Arial"/>
                <w:b/>
                <w:color w:val="000000"/>
                <w:sz w:val="16"/>
              </w:rPr>
              <w:t>25,258 </w:t>
            </w:r>
          </w:p>
        </w:tc>
      </w:tr>
      <w:tr w:rsidR="00724034" w14:paraId="178D4089" w14:textId="77777777">
        <w:trPr>
          <w:trHeight w:val="60"/>
        </w:trPr>
        <w:tc>
          <w:tcPr>
            <w:tcW w:w="180" w:type="dxa"/>
            <w:tcBorders>
              <w:top w:val="nil"/>
              <w:left w:val="nil"/>
              <w:bottom w:val="nil"/>
              <w:right w:val="nil"/>
              <w:tl2br w:val="nil"/>
              <w:tr2bl w:val="nil"/>
            </w:tcBorders>
            <w:shd w:val="clear" w:color="auto" w:fill="FFFFFF"/>
            <w:tcMar>
              <w:left w:w="115" w:type="dxa"/>
              <w:right w:w="115" w:type="dxa"/>
            </w:tcMar>
            <w:vAlign w:val="bottom"/>
          </w:tcPr>
          <w:p w14:paraId="049B957A" w14:textId="77777777" w:rsidR="003F0EEA" w:rsidRPr="008C27C3" w:rsidRDefault="003F0EEA">
            <w:pPr>
              <w:rPr>
                <w:rFonts w:ascii="Arial" w:eastAsia="Arial" w:hAnsi="Arial" w:cs="Arial"/>
                <w:b/>
                <w:color w:val="000000"/>
                <w:sz w:val="16"/>
              </w:rPr>
            </w:pPr>
          </w:p>
        </w:tc>
        <w:tc>
          <w:tcPr>
            <w:tcW w:w="180" w:type="dxa"/>
            <w:tcBorders>
              <w:top w:val="nil"/>
              <w:left w:val="nil"/>
              <w:bottom w:val="nil"/>
              <w:right w:val="nil"/>
              <w:tl2br w:val="nil"/>
              <w:tr2bl w:val="nil"/>
            </w:tcBorders>
            <w:shd w:val="clear" w:color="auto" w:fill="FFFFFF"/>
            <w:tcMar>
              <w:left w:w="115" w:type="dxa"/>
              <w:right w:w="115" w:type="dxa"/>
            </w:tcMar>
            <w:vAlign w:val="bottom"/>
          </w:tcPr>
          <w:p w14:paraId="5FC2209E" w14:textId="77777777" w:rsidR="003F0EEA" w:rsidRPr="008C27C3" w:rsidRDefault="003F0EEA">
            <w:pPr>
              <w:rPr>
                <w:rFonts w:ascii="Arial" w:eastAsia="Arial" w:hAnsi="Arial" w:cs="Arial"/>
                <w:color w:val="000000"/>
                <w:sz w:val="16"/>
              </w:rPr>
            </w:pPr>
          </w:p>
        </w:tc>
        <w:tc>
          <w:tcPr>
            <w:tcW w:w="2475" w:type="dxa"/>
            <w:tcBorders>
              <w:top w:val="nil"/>
              <w:left w:val="nil"/>
              <w:bottom w:val="nil"/>
              <w:right w:val="nil"/>
              <w:tl2br w:val="nil"/>
              <w:tr2bl w:val="nil"/>
            </w:tcBorders>
            <w:shd w:val="clear" w:color="auto" w:fill="FFFFFF"/>
            <w:tcMar>
              <w:left w:w="115" w:type="dxa"/>
              <w:right w:w="115" w:type="dxa"/>
            </w:tcMar>
            <w:vAlign w:val="bottom"/>
          </w:tcPr>
          <w:p w14:paraId="356A2930" w14:textId="77777777" w:rsidR="003F0EEA" w:rsidRPr="008C27C3" w:rsidRDefault="003F0EEA">
            <w:pPr>
              <w:rPr>
                <w:rFonts w:ascii="Arial" w:eastAsia="Arial" w:hAnsi="Arial" w:cs="Arial"/>
                <w:color w:val="000000"/>
                <w:sz w:val="16"/>
              </w:rPr>
            </w:pPr>
          </w:p>
        </w:tc>
        <w:tc>
          <w:tcPr>
            <w:tcW w:w="90" w:type="dxa"/>
            <w:tcBorders>
              <w:top w:val="nil"/>
              <w:left w:val="nil"/>
              <w:bottom w:val="nil"/>
              <w:right w:val="nil"/>
              <w:tl2br w:val="nil"/>
              <w:tr2bl w:val="nil"/>
            </w:tcBorders>
            <w:shd w:val="clear" w:color="auto" w:fill="FFFFFF"/>
            <w:tcMar>
              <w:left w:w="115" w:type="dxa"/>
              <w:right w:w="115" w:type="dxa"/>
            </w:tcMar>
            <w:vAlign w:val="bottom"/>
          </w:tcPr>
          <w:p w14:paraId="44BADD78" w14:textId="77777777" w:rsidR="003F0EEA" w:rsidRPr="008C27C3" w:rsidRDefault="003F0EEA">
            <w:pPr>
              <w:jc w:val="center"/>
              <w:rPr>
                <w:rFonts w:ascii="Arial" w:eastAsia="Arial" w:hAnsi="Arial" w:cs="Arial"/>
                <w:color w:val="000000"/>
                <w:sz w:val="16"/>
                <w:vertAlign w:val="superscript"/>
              </w:rPr>
            </w:pPr>
          </w:p>
        </w:tc>
        <w:tc>
          <w:tcPr>
            <w:tcW w:w="1080"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4FCF25ED" w14:textId="77777777" w:rsidR="003F0EEA" w:rsidRPr="008C27C3" w:rsidRDefault="003F0EEA">
            <w:pPr>
              <w:jc w:val="right"/>
              <w:rPr>
                <w:rFonts w:ascii="Arial" w:eastAsia="Arial" w:hAnsi="Arial" w:cs="Arial"/>
                <w:color w:val="000000"/>
                <w:sz w:val="16"/>
                <w:vertAlign w:val="superscript"/>
              </w:rPr>
            </w:pPr>
          </w:p>
        </w:tc>
        <w:tc>
          <w:tcPr>
            <w:tcW w:w="90"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58EECD10" w14:textId="77777777" w:rsidR="003F0EEA" w:rsidRPr="008C27C3" w:rsidRDefault="00FB7D0B">
            <w:pPr>
              <w:rPr>
                <w:rFonts w:ascii="Arial" w:eastAsia="Arial" w:hAnsi="Arial" w:cs="Arial"/>
                <w:b/>
                <w:color w:val="000000"/>
                <w:sz w:val="16"/>
                <w:vertAlign w:val="superscript"/>
              </w:rPr>
            </w:pPr>
            <w:r w:rsidRPr="008C27C3">
              <w:rPr>
                <w:rFonts w:ascii="Arial" w:eastAsia="Arial" w:hAnsi="Arial" w:cs="Arial"/>
                <w:b/>
                <w:color w:val="000000"/>
                <w:sz w:val="16"/>
              </w:rPr>
              <w:t xml:space="preserve"> </w:t>
            </w:r>
          </w:p>
        </w:tc>
        <w:tc>
          <w:tcPr>
            <w:tcW w:w="930"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5C3DC217" w14:textId="77777777" w:rsidR="003F0EEA" w:rsidRPr="008C27C3" w:rsidRDefault="003F0EEA">
            <w:pPr>
              <w:jc w:val="right"/>
              <w:rPr>
                <w:rFonts w:ascii="Arial" w:eastAsia="Arial" w:hAnsi="Arial" w:cs="Arial"/>
                <w:b/>
                <w:color w:val="000000"/>
                <w:sz w:val="16"/>
              </w:rPr>
            </w:pPr>
          </w:p>
        </w:tc>
        <w:tc>
          <w:tcPr>
            <w:tcW w:w="90"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484BE00B" w14:textId="77777777" w:rsidR="003F0EEA" w:rsidRPr="008C27C3" w:rsidRDefault="00FB7D0B">
            <w:pPr>
              <w:rPr>
                <w:rFonts w:ascii="Arial" w:eastAsia="Arial" w:hAnsi="Arial" w:cs="Arial"/>
                <w:b/>
                <w:color w:val="000000"/>
                <w:sz w:val="16"/>
              </w:rPr>
            </w:pPr>
            <w:r w:rsidRPr="008C27C3">
              <w:rPr>
                <w:rFonts w:ascii="Arial" w:eastAsia="Arial" w:hAnsi="Arial" w:cs="Arial"/>
                <w:b/>
                <w:color w:val="000000"/>
                <w:sz w:val="16"/>
              </w:rPr>
              <w:t xml:space="preserve"> </w:t>
            </w:r>
          </w:p>
        </w:tc>
        <w:tc>
          <w:tcPr>
            <w:tcW w:w="930" w:type="dxa"/>
            <w:tcBorders>
              <w:top w:val="nil"/>
              <w:left w:val="nil"/>
              <w:bottom w:val="single" w:sz="6" w:space="0" w:color="000000"/>
              <w:right w:val="nil"/>
              <w:tl2br w:val="nil"/>
              <w:tr2bl w:val="nil"/>
            </w:tcBorders>
            <w:shd w:val="clear" w:color="auto" w:fill="C0C0C0"/>
            <w:tcMar>
              <w:left w:w="115" w:type="dxa"/>
              <w:right w:w="115" w:type="dxa"/>
            </w:tcMar>
            <w:vAlign w:val="bottom"/>
          </w:tcPr>
          <w:p w14:paraId="21DEF138" w14:textId="77777777" w:rsidR="003F0EEA" w:rsidRPr="008C27C3" w:rsidRDefault="003F0EEA">
            <w:pPr>
              <w:jc w:val="right"/>
              <w:rPr>
                <w:rFonts w:ascii="Arial" w:eastAsia="Arial" w:hAnsi="Arial" w:cs="Arial"/>
                <w:b/>
                <w:color w:val="000000"/>
                <w:sz w:val="16"/>
              </w:rPr>
            </w:pPr>
          </w:p>
        </w:tc>
        <w:tc>
          <w:tcPr>
            <w:tcW w:w="1155"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00D8C86A" w14:textId="77777777" w:rsidR="003F0EEA" w:rsidRPr="008C27C3" w:rsidRDefault="003F0EEA">
            <w:pPr>
              <w:jc w:val="right"/>
              <w:rPr>
                <w:rFonts w:ascii="Arial" w:eastAsia="Arial" w:hAnsi="Arial" w:cs="Arial"/>
                <w:color w:val="000000"/>
                <w:sz w:val="16"/>
              </w:rPr>
            </w:pPr>
          </w:p>
        </w:tc>
      </w:tr>
      <w:tr w:rsidR="00FB7D0B" w14:paraId="5F7E2A5B" w14:textId="77777777" w:rsidTr="00FB7D0B">
        <w:trPr>
          <w:trHeight w:val="225"/>
        </w:trPr>
        <w:tc>
          <w:tcPr>
            <w:tcW w:w="180" w:type="dxa"/>
            <w:tcBorders>
              <w:top w:val="nil"/>
              <w:left w:val="nil"/>
              <w:bottom w:val="nil"/>
              <w:right w:val="nil"/>
              <w:tl2br w:val="nil"/>
              <w:tr2bl w:val="nil"/>
            </w:tcBorders>
            <w:shd w:val="clear" w:color="auto" w:fill="FFFFFF"/>
            <w:tcMar>
              <w:left w:w="115" w:type="dxa"/>
              <w:right w:w="115" w:type="dxa"/>
            </w:tcMar>
            <w:vAlign w:val="bottom"/>
          </w:tcPr>
          <w:p w14:paraId="20F179D3" w14:textId="77777777" w:rsidR="003F0EEA" w:rsidRPr="008C27C3" w:rsidRDefault="003F0EEA">
            <w:pPr>
              <w:rPr>
                <w:rFonts w:ascii="Arial" w:eastAsia="Arial" w:hAnsi="Arial" w:cs="Arial"/>
                <w:color w:val="000000"/>
                <w:sz w:val="16"/>
              </w:rPr>
            </w:pPr>
          </w:p>
        </w:tc>
        <w:tc>
          <w:tcPr>
            <w:tcW w:w="2655" w:type="dxa"/>
            <w:gridSpan w:val="2"/>
            <w:tcBorders>
              <w:top w:val="nil"/>
              <w:left w:val="nil"/>
              <w:bottom w:val="nil"/>
              <w:right w:val="nil"/>
              <w:tl2br w:val="nil"/>
              <w:tr2bl w:val="nil"/>
            </w:tcBorders>
            <w:shd w:val="clear" w:color="auto" w:fill="FFFFFF"/>
            <w:tcMar>
              <w:left w:w="115" w:type="dxa"/>
              <w:right w:w="115" w:type="dxa"/>
            </w:tcMar>
            <w:vAlign w:val="bottom"/>
          </w:tcPr>
          <w:p w14:paraId="6ADB5F84" w14:textId="77777777" w:rsidR="003F0EEA" w:rsidRPr="008C27C3" w:rsidRDefault="00FB7D0B">
            <w:pPr>
              <w:rPr>
                <w:rFonts w:ascii="Arial" w:eastAsia="Arial" w:hAnsi="Arial" w:cs="Arial"/>
                <w:color w:val="000000"/>
                <w:sz w:val="16"/>
              </w:rPr>
            </w:pPr>
            <w:r w:rsidRPr="008C27C3">
              <w:rPr>
                <w:rFonts w:ascii="Arial" w:eastAsia="Arial" w:hAnsi="Arial" w:cs="Arial"/>
                <w:b/>
                <w:color w:val="000000"/>
                <w:sz w:val="16"/>
              </w:rPr>
              <w:t>Total annual appropriations</w:t>
            </w:r>
          </w:p>
        </w:tc>
        <w:tc>
          <w:tcPr>
            <w:tcW w:w="90" w:type="dxa"/>
            <w:tcBorders>
              <w:top w:val="nil"/>
              <w:left w:val="nil"/>
              <w:bottom w:val="nil"/>
              <w:right w:val="nil"/>
              <w:tl2br w:val="nil"/>
              <w:tr2bl w:val="nil"/>
            </w:tcBorders>
            <w:shd w:val="clear" w:color="auto" w:fill="FFFFFF"/>
            <w:tcMar>
              <w:left w:w="115" w:type="dxa"/>
              <w:right w:w="115" w:type="dxa"/>
            </w:tcMar>
            <w:vAlign w:val="bottom"/>
          </w:tcPr>
          <w:p w14:paraId="7CEC3490" w14:textId="77777777" w:rsidR="003F0EEA" w:rsidRPr="008C27C3" w:rsidRDefault="003F0EEA">
            <w:pPr>
              <w:jc w:val="center"/>
              <w:rPr>
                <w:rFonts w:ascii="Arial" w:eastAsia="Arial" w:hAnsi="Arial" w:cs="Arial"/>
                <w:b/>
                <w:color w:val="000000"/>
                <w:sz w:val="16"/>
                <w:vertAlign w:val="superscript"/>
              </w:rPr>
            </w:pPr>
          </w:p>
        </w:tc>
        <w:tc>
          <w:tcPr>
            <w:tcW w:w="1080" w:type="dxa"/>
            <w:tcBorders>
              <w:top w:val="single" w:sz="6" w:space="0" w:color="000000"/>
              <w:left w:val="nil"/>
              <w:bottom w:val="single" w:sz="6" w:space="0" w:color="000000"/>
              <w:right w:val="nil"/>
              <w:tl2br w:val="nil"/>
              <w:tr2bl w:val="nil"/>
            </w:tcBorders>
            <w:shd w:val="clear" w:color="auto" w:fill="FFFFFF"/>
            <w:tcMar>
              <w:left w:w="115" w:type="dxa"/>
              <w:right w:w="115" w:type="dxa"/>
            </w:tcMar>
            <w:vAlign w:val="bottom"/>
          </w:tcPr>
          <w:p w14:paraId="0CA9663C" w14:textId="77777777" w:rsidR="003F0EEA" w:rsidRPr="008C27C3" w:rsidRDefault="00FB7D0B">
            <w:pPr>
              <w:jc w:val="right"/>
              <w:rPr>
                <w:rFonts w:ascii="Arial" w:eastAsia="Arial" w:hAnsi="Arial" w:cs="Arial"/>
                <w:b/>
                <w:color w:val="000000"/>
                <w:sz w:val="16"/>
                <w:vertAlign w:val="superscript"/>
              </w:rPr>
            </w:pPr>
            <w:r w:rsidRPr="008C27C3">
              <w:rPr>
                <w:rFonts w:ascii="Arial" w:eastAsia="Arial" w:hAnsi="Arial" w:cs="Arial"/>
                <w:b/>
                <w:color w:val="000000"/>
                <w:sz w:val="16"/>
              </w:rPr>
              <w:t xml:space="preserve"> 8,400 </w:t>
            </w:r>
          </w:p>
        </w:tc>
        <w:tc>
          <w:tcPr>
            <w:tcW w:w="90" w:type="dxa"/>
            <w:tcBorders>
              <w:top w:val="single" w:sz="6" w:space="0" w:color="000000"/>
              <w:left w:val="nil"/>
              <w:bottom w:val="single" w:sz="6" w:space="0" w:color="000000"/>
              <w:right w:val="nil"/>
              <w:tl2br w:val="nil"/>
              <w:tr2bl w:val="nil"/>
            </w:tcBorders>
            <w:shd w:val="clear" w:color="auto" w:fill="FFFFFF"/>
            <w:tcMar>
              <w:left w:w="115" w:type="dxa"/>
              <w:right w:w="115" w:type="dxa"/>
            </w:tcMar>
            <w:vAlign w:val="bottom"/>
          </w:tcPr>
          <w:p w14:paraId="59C3D141" w14:textId="77777777" w:rsidR="003F0EEA" w:rsidRPr="008C27C3" w:rsidRDefault="00FB7D0B">
            <w:pPr>
              <w:rPr>
                <w:rFonts w:ascii="Arial" w:eastAsia="Arial" w:hAnsi="Arial" w:cs="Arial"/>
                <w:b/>
                <w:color w:val="000000"/>
                <w:sz w:val="16"/>
              </w:rPr>
            </w:pPr>
            <w:r w:rsidRPr="008C27C3">
              <w:rPr>
                <w:rFonts w:ascii="Arial" w:eastAsia="Arial" w:hAnsi="Arial" w:cs="Arial"/>
                <w:b/>
                <w:color w:val="000000"/>
                <w:sz w:val="16"/>
              </w:rPr>
              <w:t xml:space="preserve"> </w:t>
            </w:r>
          </w:p>
        </w:tc>
        <w:tc>
          <w:tcPr>
            <w:tcW w:w="930" w:type="dxa"/>
            <w:tcBorders>
              <w:top w:val="single" w:sz="6" w:space="0" w:color="000000"/>
              <w:left w:val="nil"/>
              <w:bottom w:val="single" w:sz="6" w:space="0" w:color="000000"/>
              <w:right w:val="nil"/>
              <w:tl2br w:val="nil"/>
              <w:tr2bl w:val="nil"/>
            </w:tcBorders>
            <w:shd w:val="clear" w:color="auto" w:fill="FFFFFF"/>
            <w:tcMar>
              <w:left w:w="115" w:type="dxa"/>
              <w:right w:w="115" w:type="dxa"/>
            </w:tcMar>
            <w:vAlign w:val="bottom"/>
          </w:tcPr>
          <w:p w14:paraId="483F9310" w14:textId="77777777" w:rsidR="003F0EEA" w:rsidRPr="008C27C3" w:rsidRDefault="00FB7D0B">
            <w:pPr>
              <w:jc w:val="right"/>
              <w:rPr>
                <w:rFonts w:ascii="Arial" w:eastAsia="Arial" w:hAnsi="Arial" w:cs="Arial"/>
                <w:b/>
                <w:color w:val="000000"/>
                <w:sz w:val="16"/>
              </w:rPr>
            </w:pPr>
            <w:r w:rsidRPr="008C27C3">
              <w:rPr>
                <w:rFonts w:ascii="Arial" w:eastAsia="Arial" w:hAnsi="Arial" w:cs="Arial"/>
                <w:b/>
                <w:color w:val="000000"/>
                <w:sz w:val="16"/>
              </w:rPr>
              <w:t>51,852 </w:t>
            </w:r>
          </w:p>
        </w:tc>
        <w:tc>
          <w:tcPr>
            <w:tcW w:w="90" w:type="dxa"/>
            <w:tcBorders>
              <w:top w:val="single" w:sz="6" w:space="0" w:color="000000"/>
              <w:left w:val="nil"/>
              <w:bottom w:val="single" w:sz="6" w:space="0" w:color="000000"/>
              <w:right w:val="nil"/>
              <w:tl2br w:val="nil"/>
              <w:tr2bl w:val="nil"/>
            </w:tcBorders>
            <w:shd w:val="clear" w:color="auto" w:fill="FFFFFF"/>
            <w:tcMar>
              <w:left w:w="115" w:type="dxa"/>
              <w:right w:w="115" w:type="dxa"/>
            </w:tcMar>
            <w:vAlign w:val="bottom"/>
          </w:tcPr>
          <w:p w14:paraId="49F9AE98" w14:textId="77777777" w:rsidR="003F0EEA" w:rsidRPr="008C27C3" w:rsidRDefault="00FB7D0B">
            <w:pPr>
              <w:rPr>
                <w:rFonts w:ascii="Arial" w:eastAsia="Arial" w:hAnsi="Arial" w:cs="Arial"/>
                <w:b/>
                <w:color w:val="000000"/>
                <w:sz w:val="16"/>
              </w:rPr>
            </w:pPr>
            <w:r w:rsidRPr="008C27C3">
              <w:rPr>
                <w:rFonts w:ascii="Arial" w:eastAsia="Arial" w:hAnsi="Arial" w:cs="Arial"/>
                <w:b/>
                <w:color w:val="000000"/>
                <w:sz w:val="16"/>
              </w:rPr>
              <w:t xml:space="preserve"> </w:t>
            </w:r>
          </w:p>
        </w:tc>
        <w:tc>
          <w:tcPr>
            <w:tcW w:w="930" w:type="dxa"/>
            <w:tcBorders>
              <w:top w:val="single" w:sz="6" w:space="0" w:color="000000"/>
              <w:left w:val="nil"/>
              <w:bottom w:val="single" w:sz="6" w:space="0" w:color="000000"/>
              <w:right w:val="nil"/>
              <w:tl2br w:val="nil"/>
              <w:tr2bl w:val="nil"/>
            </w:tcBorders>
            <w:shd w:val="clear" w:color="auto" w:fill="C0C0C0"/>
            <w:tcMar>
              <w:left w:w="115" w:type="dxa"/>
              <w:right w:w="115" w:type="dxa"/>
            </w:tcMar>
            <w:vAlign w:val="bottom"/>
          </w:tcPr>
          <w:p w14:paraId="0AABD8A3" w14:textId="77777777" w:rsidR="003F0EEA" w:rsidRPr="008C27C3" w:rsidRDefault="00FB7D0B">
            <w:pPr>
              <w:jc w:val="right"/>
              <w:rPr>
                <w:rFonts w:ascii="Arial" w:eastAsia="Arial" w:hAnsi="Arial" w:cs="Arial"/>
                <w:b/>
                <w:color w:val="000000"/>
                <w:sz w:val="16"/>
              </w:rPr>
            </w:pPr>
            <w:r w:rsidRPr="008C27C3">
              <w:rPr>
                <w:rFonts w:ascii="Arial" w:eastAsia="Arial" w:hAnsi="Arial" w:cs="Arial"/>
                <w:b/>
                <w:color w:val="000000"/>
                <w:sz w:val="16"/>
              </w:rPr>
              <w:t>60,252 </w:t>
            </w:r>
          </w:p>
        </w:tc>
        <w:tc>
          <w:tcPr>
            <w:tcW w:w="1155" w:type="dxa"/>
            <w:tcBorders>
              <w:top w:val="single" w:sz="6" w:space="0" w:color="000000"/>
              <w:left w:val="nil"/>
              <w:bottom w:val="single" w:sz="6" w:space="0" w:color="000000"/>
              <w:right w:val="nil"/>
              <w:tl2br w:val="nil"/>
              <w:tr2bl w:val="nil"/>
            </w:tcBorders>
            <w:shd w:val="clear" w:color="auto" w:fill="FFFFFF"/>
            <w:tcMar>
              <w:left w:w="115" w:type="dxa"/>
              <w:right w:w="115" w:type="dxa"/>
            </w:tcMar>
            <w:vAlign w:val="bottom"/>
          </w:tcPr>
          <w:p w14:paraId="7DA28967" w14:textId="77777777" w:rsidR="003F0EEA" w:rsidRPr="008C27C3" w:rsidRDefault="00FB7D0B">
            <w:pPr>
              <w:jc w:val="right"/>
              <w:rPr>
                <w:rFonts w:ascii="Arial" w:eastAsia="Arial" w:hAnsi="Arial" w:cs="Arial"/>
                <w:b/>
                <w:color w:val="000000"/>
                <w:sz w:val="16"/>
              </w:rPr>
            </w:pPr>
            <w:r w:rsidRPr="008C27C3">
              <w:rPr>
                <w:rFonts w:ascii="Arial" w:eastAsia="Arial" w:hAnsi="Arial" w:cs="Arial"/>
                <w:b/>
                <w:color w:val="000000"/>
                <w:sz w:val="16"/>
              </w:rPr>
              <w:t>66,158 </w:t>
            </w:r>
          </w:p>
        </w:tc>
      </w:tr>
      <w:tr w:rsidR="00724034" w14:paraId="53B838E0" w14:textId="77777777">
        <w:trPr>
          <w:trHeight w:val="75"/>
        </w:trPr>
        <w:tc>
          <w:tcPr>
            <w:tcW w:w="180" w:type="dxa"/>
            <w:tcBorders>
              <w:top w:val="nil"/>
              <w:left w:val="nil"/>
              <w:bottom w:val="nil"/>
              <w:right w:val="nil"/>
              <w:tl2br w:val="nil"/>
              <w:tr2bl w:val="nil"/>
            </w:tcBorders>
            <w:shd w:val="clear" w:color="auto" w:fill="FFFFFF"/>
            <w:tcMar>
              <w:left w:w="115" w:type="dxa"/>
              <w:right w:w="115" w:type="dxa"/>
            </w:tcMar>
            <w:vAlign w:val="bottom"/>
          </w:tcPr>
          <w:p w14:paraId="062BBB4E" w14:textId="77777777" w:rsidR="003F0EEA" w:rsidRPr="008C27C3" w:rsidRDefault="003F0EEA">
            <w:pPr>
              <w:rPr>
                <w:rFonts w:ascii="Arial" w:eastAsia="Arial" w:hAnsi="Arial" w:cs="Arial"/>
                <w:b/>
                <w:color w:val="000000"/>
                <w:sz w:val="16"/>
              </w:rPr>
            </w:pPr>
          </w:p>
        </w:tc>
        <w:tc>
          <w:tcPr>
            <w:tcW w:w="180" w:type="dxa"/>
            <w:tcBorders>
              <w:top w:val="nil"/>
              <w:left w:val="nil"/>
              <w:bottom w:val="nil"/>
              <w:right w:val="nil"/>
              <w:tl2br w:val="nil"/>
              <w:tr2bl w:val="nil"/>
            </w:tcBorders>
            <w:shd w:val="clear" w:color="auto" w:fill="FFFFFF"/>
            <w:tcMar>
              <w:left w:w="115" w:type="dxa"/>
              <w:right w:w="115" w:type="dxa"/>
            </w:tcMar>
            <w:vAlign w:val="bottom"/>
          </w:tcPr>
          <w:p w14:paraId="56BD556F" w14:textId="77777777" w:rsidR="003F0EEA" w:rsidRPr="008C27C3" w:rsidRDefault="003F0EEA">
            <w:pPr>
              <w:rPr>
                <w:rFonts w:ascii="Arial" w:eastAsia="Arial" w:hAnsi="Arial" w:cs="Arial"/>
                <w:b/>
                <w:color w:val="000000"/>
                <w:sz w:val="16"/>
              </w:rPr>
            </w:pPr>
          </w:p>
        </w:tc>
        <w:tc>
          <w:tcPr>
            <w:tcW w:w="2475" w:type="dxa"/>
            <w:tcBorders>
              <w:top w:val="nil"/>
              <w:left w:val="nil"/>
              <w:bottom w:val="nil"/>
              <w:right w:val="nil"/>
              <w:tl2br w:val="nil"/>
              <w:tr2bl w:val="nil"/>
            </w:tcBorders>
            <w:shd w:val="clear" w:color="auto" w:fill="FFFFFF"/>
            <w:tcMar>
              <w:left w:w="115" w:type="dxa"/>
              <w:right w:w="115" w:type="dxa"/>
            </w:tcMar>
            <w:vAlign w:val="bottom"/>
          </w:tcPr>
          <w:p w14:paraId="388362B5" w14:textId="77777777" w:rsidR="003F0EEA" w:rsidRPr="008C27C3" w:rsidRDefault="003F0EEA">
            <w:pPr>
              <w:rPr>
                <w:rFonts w:ascii="Arial" w:eastAsia="Arial" w:hAnsi="Arial" w:cs="Arial"/>
                <w:b/>
                <w:color w:val="000000"/>
                <w:sz w:val="16"/>
              </w:rPr>
            </w:pPr>
          </w:p>
        </w:tc>
        <w:tc>
          <w:tcPr>
            <w:tcW w:w="90" w:type="dxa"/>
            <w:tcBorders>
              <w:top w:val="nil"/>
              <w:left w:val="nil"/>
              <w:bottom w:val="nil"/>
              <w:right w:val="nil"/>
              <w:tl2br w:val="nil"/>
              <w:tr2bl w:val="nil"/>
            </w:tcBorders>
            <w:shd w:val="clear" w:color="auto" w:fill="FFFFFF"/>
            <w:tcMar>
              <w:left w:w="115" w:type="dxa"/>
              <w:right w:w="115" w:type="dxa"/>
            </w:tcMar>
            <w:vAlign w:val="bottom"/>
          </w:tcPr>
          <w:p w14:paraId="236E9C5D" w14:textId="77777777" w:rsidR="003F0EEA" w:rsidRPr="008C27C3" w:rsidRDefault="003F0EEA">
            <w:pPr>
              <w:jc w:val="center"/>
              <w:rPr>
                <w:rFonts w:ascii="Arial" w:eastAsia="Arial" w:hAnsi="Arial" w:cs="Arial"/>
                <w:b/>
                <w:color w:val="000000"/>
                <w:sz w:val="16"/>
                <w:vertAlign w:val="superscript"/>
              </w:rPr>
            </w:pPr>
          </w:p>
        </w:tc>
        <w:tc>
          <w:tcPr>
            <w:tcW w:w="1080"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657150C2" w14:textId="77777777" w:rsidR="003F0EEA" w:rsidRPr="008C27C3" w:rsidRDefault="003F0EEA">
            <w:pPr>
              <w:jc w:val="right"/>
              <w:rPr>
                <w:rFonts w:ascii="Arial" w:eastAsia="Arial" w:hAnsi="Arial" w:cs="Arial"/>
                <w:b/>
                <w:color w:val="000000"/>
                <w:sz w:val="16"/>
                <w:vertAlign w:val="superscript"/>
              </w:rPr>
            </w:pPr>
          </w:p>
        </w:tc>
        <w:tc>
          <w:tcPr>
            <w:tcW w:w="90"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47340C6D" w14:textId="77777777" w:rsidR="003F0EEA" w:rsidRPr="008C27C3" w:rsidRDefault="00FB7D0B">
            <w:pPr>
              <w:rPr>
                <w:rFonts w:ascii="Arial" w:eastAsia="Arial" w:hAnsi="Arial" w:cs="Arial"/>
                <w:b/>
                <w:color w:val="000000"/>
                <w:sz w:val="16"/>
                <w:vertAlign w:val="superscript"/>
              </w:rPr>
            </w:pPr>
            <w:r w:rsidRPr="008C27C3">
              <w:rPr>
                <w:rFonts w:ascii="Arial" w:eastAsia="Arial" w:hAnsi="Arial" w:cs="Arial"/>
                <w:b/>
                <w:color w:val="000000"/>
                <w:sz w:val="16"/>
              </w:rPr>
              <w:t xml:space="preserve"> </w:t>
            </w:r>
          </w:p>
        </w:tc>
        <w:tc>
          <w:tcPr>
            <w:tcW w:w="930"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32CD854B" w14:textId="77777777" w:rsidR="003F0EEA" w:rsidRPr="008C27C3" w:rsidRDefault="003F0EEA">
            <w:pPr>
              <w:jc w:val="right"/>
              <w:rPr>
                <w:rFonts w:ascii="Arial" w:eastAsia="Arial" w:hAnsi="Arial" w:cs="Arial"/>
                <w:b/>
                <w:color w:val="000000"/>
                <w:sz w:val="16"/>
              </w:rPr>
            </w:pPr>
          </w:p>
        </w:tc>
        <w:tc>
          <w:tcPr>
            <w:tcW w:w="90"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117F63F8" w14:textId="77777777" w:rsidR="003F0EEA" w:rsidRPr="008C27C3" w:rsidRDefault="00FB7D0B">
            <w:pPr>
              <w:rPr>
                <w:rFonts w:ascii="Arial" w:eastAsia="Arial" w:hAnsi="Arial" w:cs="Arial"/>
                <w:b/>
                <w:color w:val="000000"/>
                <w:sz w:val="16"/>
              </w:rPr>
            </w:pPr>
            <w:r w:rsidRPr="008C27C3">
              <w:rPr>
                <w:rFonts w:ascii="Arial" w:eastAsia="Arial" w:hAnsi="Arial" w:cs="Arial"/>
                <w:b/>
                <w:color w:val="000000"/>
                <w:sz w:val="16"/>
              </w:rPr>
              <w:t xml:space="preserve"> </w:t>
            </w:r>
          </w:p>
        </w:tc>
        <w:tc>
          <w:tcPr>
            <w:tcW w:w="930" w:type="dxa"/>
            <w:tcBorders>
              <w:top w:val="single" w:sz="6" w:space="0" w:color="000000"/>
              <w:left w:val="nil"/>
              <w:bottom w:val="nil"/>
              <w:right w:val="nil"/>
              <w:tl2br w:val="nil"/>
              <w:tr2bl w:val="nil"/>
            </w:tcBorders>
            <w:shd w:val="clear" w:color="auto" w:fill="C0C0C0"/>
            <w:tcMar>
              <w:left w:w="115" w:type="dxa"/>
              <w:right w:w="115" w:type="dxa"/>
            </w:tcMar>
            <w:vAlign w:val="bottom"/>
          </w:tcPr>
          <w:p w14:paraId="5F2ACCC6" w14:textId="77777777" w:rsidR="003F0EEA" w:rsidRPr="008C27C3" w:rsidRDefault="003F0EEA">
            <w:pPr>
              <w:jc w:val="right"/>
              <w:rPr>
                <w:rFonts w:ascii="Arial" w:eastAsia="Arial" w:hAnsi="Arial" w:cs="Arial"/>
                <w:b/>
                <w:color w:val="000000"/>
                <w:sz w:val="16"/>
              </w:rPr>
            </w:pPr>
          </w:p>
        </w:tc>
        <w:tc>
          <w:tcPr>
            <w:tcW w:w="1155"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07FEC42A" w14:textId="77777777" w:rsidR="003F0EEA" w:rsidRPr="008C27C3" w:rsidRDefault="003F0EEA">
            <w:pPr>
              <w:jc w:val="right"/>
              <w:rPr>
                <w:rFonts w:ascii="Arial" w:eastAsia="Arial" w:hAnsi="Arial" w:cs="Arial"/>
                <w:b/>
                <w:color w:val="000000"/>
                <w:sz w:val="16"/>
              </w:rPr>
            </w:pPr>
          </w:p>
        </w:tc>
      </w:tr>
      <w:tr w:rsidR="00724034" w14:paraId="2F62E88B" w14:textId="77777777">
        <w:trPr>
          <w:trHeight w:val="60"/>
        </w:trPr>
        <w:tc>
          <w:tcPr>
            <w:tcW w:w="180" w:type="dxa"/>
            <w:tcBorders>
              <w:top w:val="nil"/>
              <w:left w:val="nil"/>
              <w:bottom w:val="nil"/>
              <w:right w:val="nil"/>
              <w:tl2br w:val="nil"/>
              <w:tr2bl w:val="nil"/>
            </w:tcBorders>
            <w:shd w:val="clear" w:color="auto" w:fill="FFFFFF"/>
            <w:tcMar>
              <w:left w:w="115" w:type="dxa"/>
              <w:right w:w="115" w:type="dxa"/>
            </w:tcMar>
            <w:vAlign w:val="bottom"/>
          </w:tcPr>
          <w:p w14:paraId="5D6ADD5D" w14:textId="77777777" w:rsidR="003F0EEA" w:rsidRPr="008C27C3" w:rsidRDefault="003F0EEA">
            <w:pPr>
              <w:rPr>
                <w:rFonts w:ascii="Arial" w:eastAsia="Arial" w:hAnsi="Arial" w:cs="Arial"/>
                <w:b/>
                <w:color w:val="000000"/>
                <w:sz w:val="16"/>
              </w:rPr>
            </w:pPr>
          </w:p>
        </w:tc>
        <w:tc>
          <w:tcPr>
            <w:tcW w:w="180" w:type="dxa"/>
            <w:tcBorders>
              <w:top w:val="nil"/>
              <w:left w:val="nil"/>
              <w:bottom w:val="nil"/>
              <w:right w:val="nil"/>
              <w:tl2br w:val="nil"/>
              <w:tr2bl w:val="nil"/>
            </w:tcBorders>
            <w:shd w:val="clear" w:color="auto" w:fill="FFFFFF"/>
            <w:tcMar>
              <w:left w:w="115" w:type="dxa"/>
              <w:right w:w="115" w:type="dxa"/>
            </w:tcMar>
            <w:vAlign w:val="bottom"/>
          </w:tcPr>
          <w:p w14:paraId="67BB1984" w14:textId="77777777" w:rsidR="003F0EEA" w:rsidRPr="008C27C3" w:rsidRDefault="003F0EEA">
            <w:pPr>
              <w:rPr>
                <w:rFonts w:ascii="Arial" w:eastAsia="Arial" w:hAnsi="Arial" w:cs="Arial"/>
                <w:b/>
                <w:color w:val="000000"/>
                <w:sz w:val="16"/>
              </w:rPr>
            </w:pPr>
          </w:p>
        </w:tc>
        <w:tc>
          <w:tcPr>
            <w:tcW w:w="2475" w:type="dxa"/>
            <w:tcBorders>
              <w:top w:val="nil"/>
              <w:left w:val="nil"/>
              <w:bottom w:val="nil"/>
              <w:right w:val="nil"/>
              <w:tl2br w:val="nil"/>
              <w:tr2bl w:val="nil"/>
            </w:tcBorders>
            <w:shd w:val="clear" w:color="auto" w:fill="FFFFFF"/>
            <w:tcMar>
              <w:left w:w="115" w:type="dxa"/>
              <w:right w:w="115" w:type="dxa"/>
            </w:tcMar>
            <w:vAlign w:val="bottom"/>
          </w:tcPr>
          <w:p w14:paraId="0FCEC9E7" w14:textId="77777777" w:rsidR="003F0EEA" w:rsidRPr="008C27C3" w:rsidRDefault="003F0EEA">
            <w:pPr>
              <w:rPr>
                <w:rFonts w:ascii="Arial" w:eastAsia="Arial" w:hAnsi="Arial" w:cs="Arial"/>
                <w:b/>
                <w:color w:val="000000"/>
                <w:sz w:val="16"/>
              </w:rPr>
            </w:pPr>
          </w:p>
        </w:tc>
        <w:tc>
          <w:tcPr>
            <w:tcW w:w="90" w:type="dxa"/>
            <w:tcBorders>
              <w:top w:val="nil"/>
              <w:left w:val="nil"/>
              <w:bottom w:val="nil"/>
              <w:right w:val="nil"/>
              <w:tl2br w:val="nil"/>
              <w:tr2bl w:val="nil"/>
            </w:tcBorders>
            <w:shd w:val="clear" w:color="auto" w:fill="FFFFFF"/>
            <w:tcMar>
              <w:left w:w="115" w:type="dxa"/>
              <w:right w:w="115" w:type="dxa"/>
            </w:tcMar>
            <w:vAlign w:val="bottom"/>
          </w:tcPr>
          <w:p w14:paraId="0B245A72" w14:textId="77777777" w:rsidR="003F0EEA" w:rsidRPr="008C27C3" w:rsidRDefault="003F0EEA">
            <w:pPr>
              <w:jc w:val="center"/>
              <w:rPr>
                <w:rFonts w:ascii="Arial" w:eastAsia="Arial" w:hAnsi="Arial" w:cs="Arial"/>
                <w:b/>
                <w:color w:val="000000"/>
                <w:sz w:val="16"/>
                <w:vertAlign w:val="superscript"/>
              </w:rPr>
            </w:pPr>
          </w:p>
        </w:tc>
        <w:tc>
          <w:tcPr>
            <w:tcW w:w="1080" w:type="dxa"/>
            <w:tcBorders>
              <w:top w:val="nil"/>
              <w:left w:val="nil"/>
              <w:bottom w:val="nil"/>
              <w:right w:val="nil"/>
              <w:tl2br w:val="nil"/>
              <w:tr2bl w:val="nil"/>
            </w:tcBorders>
            <w:shd w:val="clear" w:color="auto" w:fill="FFFFFF"/>
            <w:tcMar>
              <w:left w:w="115" w:type="dxa"/>
              <w:right w:w="115" w:type="dxa"/>
            </w:tcMar>
            <w:vAlign w:val="bottom"/>
          </w:tcPr>
          <w:p w14:paraId="0CAE6B62" w14:textId="77777777" w:rsidR="003F0EEA" w:rsidRPr="008C27C3" w:rsidRDefault="003F0EEA">
            <w:pPr>
              <w:jc w:val="right"/>
              <w:rPr>
                <w:rFonts w:ascii="Arial" w:eastAsia="Arial" w:hAnsi="Arial" w:cs="Arial"/>
                <w:b/>
                <w:color w:val="000000"/>
                <w:sz w:val="16"/>
                <w:vertAlign w:val="superscript"/>
              </w:rPr>
            </w:pPr>
          </w:p>
        </w:tc>
        <w:tc>
          <w:tcPr>
            <w:tcW w:w="90" w:type="dxa"/>
            <w:tcBorders>
              <w:top w:val="nil"/>
              <w:left w:val="nil"/>
              <w:bottom w:val="nil"/>
              <w:right w:val="nil"/>
              <w:tl2br w:val="nil"/>
              <w:tr2bl w:val="nil"/>
            </w:tcBorders>
            <w:shd w:val="clear" w:color="auto" w:fill="FFFFFF"/>
            <w:tcMar>
              <w:left w:w="115" w:type="dxa"/>
              <w:right w:w="115" w:type="dxa"/>
            </w:tcMar>
            <w:vAlign w:val="bottom"/>
          </w:tcPr>
          <w:p w14:paraId="1A5A4946" w14:textId="77777777" w:rsidR="003F0EEA" w:rsidRPr="008C27C3" w:rsidRDefault="00FB7D0B">
            <w:pPr>
              <w:rPr>
                <w:rFonts w:ascii="Arial" w:eastAsia="Arial" w:hAnsi="Arial" w:cs="Arial"/>
                <w:b/>
                <w:color w:val="000000"/>
                <w:sz w:val="16"/>
                <w:vertAlign w:val="superscript"/>
              </w:rPr>
            </w:pPr>
            <w:r w:rsidRPr="008C27C3">
              <w:rPr>
                <w:rFonts w:ascii="Arial" w:eastAsia="Arial" w:hAnsi="Arial" w:cs="Arial"/>
                <w:b/>
                <w:color w:val="000000"/>
                <w:sz w:val="16"/>
              </w:rPr>
              <w:t xml:space="preserve"> </w:t>
            </w:r>
          </w:p>
        </w:tc>
        <w:tc>
          <w:tcPr>
            <w:tcW w:w="930" w:type="dxa"/>
            <w:tcBorders>
              <w:top w:val="nil"/>
              <w:left w:val="nil"/>
              <w:bottom w:val="nil"/>
              <w:right w:val="nil"/>
              <w:tl2br w:val="nil"/>
              <w:tr2bl w:val="nil"/>
            </w:tcBorders>
            <w:shd w:val="clear" w:color="auto" w:fill="FFFFFF"/>
            <w:tcMar>
              <w:left w:w="115" w:type="dxa"/>
              <w:right w:w="115" w:type="dxa"/>
            </w:tcMar>
            <w:vAlign w:val="bottom"/>
          </w:tcPr>
          <w:p w14:paraId="14B9BE86" w14:textId="77777777" w:rsidR="003F0EEA" w:rsidRPr="008C27C3" w:rsidRDefault="003F0EEA">
            <w:pPr>
              <w:jc w:val="right"/>
              <w:rPr>
                <w:rFonts w:ascii="Arial" w:eastAsia="Arial" w:hAnsi="Arial" w:cs="Arial"/>
                <w:b/>
                <w:color w:val="000000"/>
                <w:sz w:val="16"/>
              </w:rPr>
            </w:pPr>
          </w:p>
        </w:tc>
        <w:tc>
          <w:tcPr>
            <w:tcW w:w="90" w:type="dxa"/>
            <w:tcBorders>
              <w:top w:val="nil"/>
              <w:left w:val="nil"/>
              <w:bottom w:val="nil"/>
              <w:right w:val="nil"/>
              <w:tl2br w:val="nil"/>
              <w:tr2bl w:val="nil"/>
            </w:tcBorders>
            <w:shd w:val="clear" w:color="auto" w:fill="FFFFFF"/>
            <w:tcMar>
              <w:left w:w="115" w:type="dxa"/>
              <w:right w:w="115" w:type="dxa"/>
            </w:tcMar>
            <w:vAlign w:val="bottom"/>
          </w:tcPr>
          <w:p w14:paraId="34CEE815" w14:textId="77777777" w:rsidR="003F0EEA" w:rsidRPr="008C27C3" w:rsidRDefault="00FB7D0B">
            <w:pPr>
              <w:rPr>
                <w:rFonts w:ascii="Arial" w:eastAsia="Arial" w:hAnsi="Arial" w:cs="Arial"/>
                <w:b/>
                <w:color w:val="000000"/>
                <w:sz w:val="16"/>
              </w:rPr>
            </w:pPr>
            <w:r w:rsidRPr="008C27C3">
              <w:rPr>
                <w:rFonts w:ascii="Arial" w:eastAsia="Arial" w:hAnsi="Arial" w:cs="Arial"/>
                <w:b/>
                <w:color w:val="000000"/>
                <w:sz w:val="16"/>
              </w:rPr>
              <w:t xml:space="preserve"> </w:t>
            </w:r>
          </w:p>
        </w:tc>
        <w:tc>
          <w:tcPr>
            <w:tcW w:w="930" w:type="dxa"/>
            <w:tcBorders>
              <w:top w:val="nil"/>
              <w:left w:val="nil"/>
              <w:bottom w:val="nil"/>
              <w:right w:val="nil"/>
              <w:tl2br w:val="nil"/>
              <w:tr2bl w:val="nil"/>
            </w:tcBorders>
            <w:shd w:val="clear" w:color="auto" w:fill="C0C0C0"/>
            <w:tcMar>
              <w:left w:w="115" w:type="dxa"/>
              <w:right w:w="115" w:type="dxa"/>
            </w:tcMar>
            <w:vAlign w:val="bottom"/>
          </w:tcPr>
          <w:p w14:paraId="00AA3976" w14:textId="77777777" w:rsidR="003F0EEA" w:rsidRPr="008C27C3" w:rsidRDefault="003F0EEA">
            <w:pPr>
              <w:jc w:val="right"/>
              <w:rPr>
                <w:rFonts w:ascii="Arial" w:eastAsia="Arial" w:hAnsi="Arial" w:cs="Arial"/>
                <w:b/>
                <w:color w:val="000000"/>
                <w:sz w:val="16"/>
              </w:rPr>
            </w:pPr>
          </w:p>
        </w:tc>
        <w:tc>
          <w:tcPr>
            <w:tcW w:w="1155" w:type="dxa"/>
            <w:tcBorders>
              <w:top w:val="nil"/>
              <w:left w:val="nil"/>
              <w:bottom w:val="nil"/>
              <w:right w:val="nil"/>
              <w:tl2br w:val="nil"/>
              <w:tr2bl w:val="nil"/>
            </w:tcBorders>
            <w:shd w:val="clear" w:color="auto" w:fill="FFFFFF"/>
            <w:tcMar>
              <w:left w:w="115" w:type="dxa"/>
              <w:right w:w="115" w:type="dxa"/>
            </w:tcMar>
            <w:vAlign w:val="bottom"/>
          </w:tcPr>
          <w:p w14:paraId="1D6B1074" w14:textId="77777777" w:rsidR="003F0EEA" w:rsidRPr="008C27C3" w:rsidRDefault="003F0EEA">
            <w:pPr>
              <w:jc w:val="right"/>
              <w:rPr>
                <w:rFonts w:ascii="Arial" w:eastAsia="Arial" w:hAnsi="Arial" w:cs="Arial"/>
                <w:b/>
                <w:color w:val="000000"/>
                <w:sz w:val="16"/>
              </w:rPr>
            </w:pPr>
          </w:p>
        </w:tc>
      </w:tr>
      <w:tr w:rsidR="00FB7D0B" w14:paraId="47895178" w14:textId="77777777" w:rsidTr="00FB7D0B">
        <w:trPr>
          <w:trHeight w:val="225"/>
        </w:trPr>
        <w:tc>
          <w:tcPr>
            <w:tcW w:w="2835" w:type="dxa"/>
            <w:gridSpan w:val="3"/>
            <w:tcBorders>
              <w:top w:val="nil"/>
              <w:left w:val="nil"/>
              <w:bottom w:val="nil"/>
              <w:right w:val="nil"/>
              <w:tl2br w:val="nil"/>
              <w:tr2bl w:val="nil"/>
            </w:tcBorders>
            <w:shd w:val="clear" w:color="auto" w:fill="FFFFFF"/>
            <w:tcMar>
              <w:left w:w="115" w:type="dxa"/>
              <w:right w:w="115" w:type="dxa"/>
            </w:tcMar>
            <w:vAlign w:val="bottom"/>
          </w:tcPr>
          <w:p w14:paraId="007FD688" w14:textId="77777777" w:rsidR="003F0EEA" w:rsidRPr="008C27C3" w:rsidRDefault="00FB7D0B">
            <w:pPr>
              <w:rPr>
                <w:rFonts w:ascii="Arial" w:eastAsia="Arial" w:hAnsi="Arial" w:cs="Arial"/>
                <w:b/>
                <w:color w:val="000000"/>
                <w:sz w:val="16"/>
              </w:rPr>
            </w:pPr>
            <w:r w:rsidRPr="008C27C3">
              <w:rPr>
                <w:rFonts w:ascii="Arial" w:eastAsia="Arial" w:hAnsi="Arial" w:cs="Arial"/>
                <w:b/>
                <w:color w:val="000000"/>
                <w:sz w:val="16"/>
              </w:rPr>
              <w:t>FUNDS FROM OTHER SOURCES</w:t>
            </w:r>
          </w:p>
        </w:tc>
        <w:tc>
          <w:tcPr>
            <w:tcW w:w="90" w:type="dxa"/>
            <w:tcBorders>
              <w:top w:val="nil"/>
              <w:left w:val="nil"/>
              <w:bottom w:val="nil"/>
              <w:right w:val="nil"/>
              <w:tl2br w:val="nil"/>
              <w:tr2bl w:val="nil"/>
            </w:tcBorders>
            <w:shd w:val="clear" w:color="auto" w:fill="FFFFFF"/>
            <w:tcMar>
              <w:left w:w="115" w:type="dxa"/>
              <w:right w:w="115" w:type="dxa"/>
            </w:tcMar>
            <w:vAlign w:val="bottom"/>
          </w:tcPr>
          <w:p w14:paraId="4355D9D0" w14:textId="77777777" w:rsidR="003F0EEA" w:rsidRPr="008C27C3" w:rsidRDefault="003F0EEA">
            <w:pPr>
              <w:jc w:val="center"/>
              <w:rPr>
                <w:rFonts w:ascii="Arial" w:eastAsia="Arial" w:hAnsi="Arial" w:cs="Arial"/>
                <w:b/>
                <w:color w:val="000000"/>
                <w:sz w:val="16"/>
                <w:vertAlign w:val="superscript"/>
              </w:rPr>
            </w:pPr>
          </w:p>
        </w:tc>
        <w:tc>
          <w:tcPr>
            <w:tcW w:w="1080" w:type="dxa"/>
            <w:tcBorders>
              <w:top w:val="nil"/>
              <w:left w:val="nil"/>
              <w:bottom w:val="nil"/>
              <w:right w:val="nil"/>
              <w:tl2br w:val="nil"/>
              <w:tr2bl w:val="nil"/>
            </w:tcBorders>
            <w:shd w:val="clear" w:color="auto" w:fill="FFFFFF"/>
            <w:tcMar>
              <w:left w:w="115" w:type="dxa"/>
              <w:right w:w="115" w:type="dxa"/>
            </w:tcMar>
            <w:vAlign w:val="bottom"/>
          </w:tcPr>
          <w:p w14:paraId="4F91DDD0" w14:textId="77777777" w:rsidR="003F0EEA" w:rsidRPr="008C27C3" w:rsidRDefault="003F0EEA">
            <w:pPr>
              <w:jc w:val="right"/>
              <w:rPr>
                <w:rFonts w:ascii="Arial" w:eastAsia="Arial" w:hAnsi="Arial" w:cs="Arial"/>
                <w:color w:val="000000"/>
                <w:sz w:val="16"/>
                <w:vertAlign w:val="superscript"/>
              </w:rPr>
            </w:pPr>
          </w:p>
        </w:tc>
        <w:tc>
          <w:tcPr>
            <w:tcW w:w="90" w:type="dxa"/>
            <w:tcBorders>
              <w:top w:val="nil"/>
              <w:left w:val="nil"/>
              <w:bottom w:val="nil"/>
              <w:right w:val="nil"/>
              <w:tl2br w:val="nil"/>
              <w:tr2bl w:val="nil"/>
            </w:tcBorders>
            <w:shd w:val="clear" w:color="auto" w:fill="FFFFFF"/>
            <w:tcMar>
              <w:left w:w="115" w:type="dxa"/>
              <w:right w:w="115" w:type="dxa"/>
            </w:tcMar>
            <w:vAlign w:val="bottom"/>
          </w:tcPr>
          <w:p w14:paraId="29F748B5" w14:textId="77777777" w:rsidR="003F0EEA" w:rsidRPr="008C27C3" w:rsidRDefault="003F0EEA">
            <w:pPr>
              <w:rPr>
                <w:rFonts w:ascii="Arial" w:eastAsia="Arial" w:hAnsi="Arial" w:cs="Arial"/>
                <w:color w:val="000000"/>
                <w:sz w:val="16"/>
                <w:vertAlign w:val="superscript"/>
              </w:rPr>
            </w:pPr>
          </w:p>
        </w:tc>
        <w:tc>
          <w:tcPr>
            <w:tcW w:w="930" w:type="dxa"/>
            <w:tcBorders>
              <w:top w:val="nil"/>
              <w:left w:val="nil"/>
              <w:bottom w:val="nil"/>
              <w:right w:val="nil"/>
              <w:tl2br w:val="nil"/>
              <w:tr2bl w:val="nil"/>
            </w:tcBorders>
            <w:shd w:val="clear" w:color="auto" w:fill="FFFFFF"/>
            <w:tcMar>
              <w:left w:w="115" w:type="dxa"/>
              <w:right w:w="115" w:type="dxa"/>
            </w:tcMar>
            <w:vAlign w:val="bottom"/>
          </w:tcPr>
          <w:p w14:paraId="0EAD20EC" w14:textId="77777777" w:rsidR="003F0EEA" w:rsidRPr="008C27C3" w:rsidRDefault="003F0EEA">
            <w:pPr>
              <w:jc w:val="right"/>
              <w:rPr>
                <w:rFonts w:ascii="Arial" w:eastAsia="Arial" w:hAnsi="Arial" w:cs="Arial"/>
                <w:color w:val="000000"/>
                <w:sz w:val="16"/>
                <w:vertAlign w:val="superscript"/>
              </w:rPr>
            </w:pPr>
          </w:p>
        </w:tc>
        <w:tc>
          <w:tcPr>
            <w:tcW w:w="90" w:type="dxa"/>
            <w:tcBorders>
              <w:top w:val="nil"/>
              <w:left w:val="nil"/>
              <w:bottom w:val="nil"/>
              <w:right w:val="nil"/>
              <w:tl2br w:val="nil"/>
              <w:tr2bl w:val="nil"/>
            </w:tcBorders>
            <w:shd w:val="clear" w:color="auto" w:fill="FFFFFF"/>
            <w:tcMar>
              <w:left w:w="115" w:type="dxa"/>
              <w:right w:w="115" w:type="dxa"/>
            </w:tcMar>
            <w:vAlign w:val="bottom"/>
          </w:tcPr>
          <w:p w14:paraId="22D4B70E" w14:textId="77777777" w:rsidR="003F0EEA" w:rsidRPr="008C27C3" w:rsidRDefault="003F0EEA">
            <w:pPr>
              <w:rPr>
                <w:rFonts w:ascii="Arial" w:eastAsia="Arial" w:hAnsi="Arial" w:cs="Arial"/>
                <w:color w:val="000000"/>
                <w:sz w:val="16"/>
                <w:vertAlign w:val="superscript"/>
              </w:rPr>
            </w:pPr>
          </w:p>
        </w:tc>
        <w:tc>
          <w:tcPr>
            <w:tcW w:w="930" w:type="dxa"/>
            <w:tcBorders>
              <w:top w:val="nil"/>
              <w:left w:val="nil"/>
              <w:bottom w:val="nil"/>
              <w:right w:val="nil"/>
              <w:tl2br w:val="nil"/>
              <w:tr2bl w:val="nil"/>
            </w:tcBorders>
            <w:shd w:val="clear" w:color="auto" w:fill="C0C0C0"/>
            <w:tcMar>
              <w:left w:w="115" w:type="dxa"/>
              <w:right w:w="115" w:type="dxa"/>
            </w:tcMar>
            <w:vAlign w:val="bottom"/>
          </w:tcPr>
          <w:p w14:paraId="557F6C33" w14:textId="77777777" w:rsidR="003F0EEA" w:rsidRPr="008C27C3" w:rsidRDefault="003F0EEA">
            <w:pPr>
              <w:jc w:val="right"/>
              <w:rPr>
                <w:rFonts w:ascii="Arial" w:eastAsia="Arial" w:hAnsi="Arial" w:cs="Arial"/>
                <w:color w:val="000000"/>
                <w:sz w:val="16"/>
                <w:vertAlign w:val="superscript"/>
              </w:rPr>
            </w:pPr>
          </w:p>
        </w:tc>
        <w:tc>
          <w:tcPr>
            <w:tcW w:w="1155" w:type="dxa"/>
            <w:tcBorders>
              <w:top w:val="nil"/>
              <w:left w:val="nil"/>
              <w:bottom w:val="nil"/>
              <w:right w:val="nil"/>
              <w:tl2br w:val="nil"/>
              <w:tr2bl w:val="nil"/>
            </w:tcBorders>
            <w:shd w:val="clear" w:color="auto" w:fill="FFFFFF"/>
            <w:tcMar>
              <w:left w:w="115" w:type="dxa"/>
              <w:right w:w="115" w:type="dxa"/>
            </w:tcMar>
            <w:vAlign w:val="bottom"/>
          </w:tcPr>
          <w:p w14:paraId="1466D1BF" w14:textId="77777777" w:rsidR="003F0EEA" w:rsidRPr="008C27C3" w:rsidRDefault="003F0EEA">
            <w:pPr>
              <w:jc w:val="right"/>
              <w:rPr>
                <w:rFonts w:ascii="Arial" w:eastAsia="Arial" w:hAnsi="Arial" w:cs="Arial"/>
                <w:color w:val="000000"/>
                <w:sz w:val="16"/>
                <w:vertAlign w:val="superscript"/>
              </w:rPr>
            </w:pPr>
          </w:p>
        </w:tc>
      </w:tr>
      <w:tr w:rsidR="00FB7D0B" w14:paraId="51E228E4" w14:textId="77777777" w:rsidTr="00FB7D0B">
        <w:trPr>
          <w:trHeight w:val="225"/>
        </w:trPr>
        <w:tc>
          <w:tcPr>
            <w:tcW w:w="180" w:type="dxa"/>
            <w:tcBorders>
              <w:top w:val="nil"/>
              <w:left w:val="nil"/>
              <w:bottom w:val="nil"/>
              <w:right w:val="nil"/>
              <w:tl2br w:val="nil"/>
              <w:tr2bl w:val="nil"/>
            </w:tcBorders>
            <w:shd w:val="clear" w:color="auto" w:fill="FFFFFF"/>
            <w:tcMar>
              <w:left w:w="115" w:type="dxa"/>
              <w:right w:w="115" w:type="dxa"/>
            </w:tcMar>
            <w:vAlign w:val="bottom"/>
          </w:tcPr>
          <w:p w14:paraId="7A075490" w14:textId="77777777" w:rsidR="003F0EEA" w:rsidRPr="008C27C3" w:rsidRDefault="003F0EEA">
            <w:pPr>
              <w:rPr>
                <w:rFonts w:ascii="Arial" w:eastAsia="Arial" w:hAnsi="Arial" w:cs="Arial"/>
                <w:color w:val="000000"/>
                <w:sz w:val="16"/>
                <w:vertAlign w:val="superscript"/>
              </w:rPr>
            </w:pPr>
          </w:p>
        </w:tc>
        <w:tc>
          <w:tcPr>
            <w:tcW w:w="2655" w:type="dxa"/>
            <w:gridSpan w:val="2"/>
            <w:vMerge w:val="restart"/>
            <w:tcBorders>
              <w:top w:val="nil"/>
              <w:left w:val="nil"/>
              <w:bottom w:val="nil"/>
              <w:right w:val="nil"/>
              <w:tl2br w:val="nil"/>
              <w:tr2bl w:val="nil"/>
            </w:tcBorders>
            <w:shd w:val="clear" w:color="auto" w:fill="FFFFFF"/>
            <w:tcMar>
              <w:left w:w="115" w:type="dxa"/>
              <w:right w:w="115" w:type="dxa"/>
            </w:tcMar>
            <w:vAlign w:val="bottom"/>
          </w:tcPr>
          <w:p w14:paraId="06440EB4" w14:textId="77777777" w:rsidR="003F0EEA" w:rsidRPr="008C27C3" w:rsidRDefault="00FB7D0B">
            <w:pPr>
              <w:rPr>
                <w:rFonts w:ascii="Arial" w:eastAsia="Arial" w:hAnsi="Arial" w:cs="Arial"/>
                <w:color w:val="000000"/>
                <w:sz w:val="16"/>
                <w:vertAlign w:val="superscript"/>
              </w:rPr>
            </w:pPr>
            <w:r w:rsidRPr="008C27C3">
              <w:rPr>
                <w:rFonts w:ascii="Arial" w:eastAsia="Arial" w:hAnsi="Arial" w:cs="Arial"/>
                <w:color w:val="000000"/>
                <w:sz w:val="16"/>
              </w:rPr>
              <w:t>Interest</w:t>
            </w:r>
          </w:p>
        </w:tc>
        <w:tc>
          <w:tcPr>
            <w:tcW w:w="90" w:type="dxa"/>
            <w:tcBorders>
              <w:top w:val="nil"/>
              <w:left w:val="nil"/>
              <w:bottom w:val="nil"/>
              <w:right w:val="nil"/>
              <w:tl2br w:val="nil"/>
              <w:tr2bl w:val="nil"/>
            </w:tcBorders>
            <w:shd w:val="clear" w:color="auto" w:fill="FFFFFF"/>
            <w:tcMar>
              <w:left w:w="115" w:type="dxa"/>
              <w:right w:w="115" w:type="dxa"/>
            </w:tcMar>
            <w:vAlign w:val="bottom"/>
          </w:tcPr>
          <w:p w14:paraId="7BF4C290" w14:textId="77777777" w:rsidR="003F0EEA" w:rsidRPr="008C27C3" w:rsidRDefault="003F0EEA">
            <w:pPr>
              <w:jc w:val="center"/>
              <w:rPr>
                <w:rFonts w:ascii="Arial" w:eastAsia="Arial" w:hAnsi="Arial" w:cs="Arial"/>
                <w:color w:val="000000"/>
                <w:sz w:val="16"/>
                <w:vertAlign w:val="superscript"/>
              </w:rPr>
            </w:pPr>
          </w:p>
        </w:tc>
        <w:tc>
          <w:tcPr>
            <w:tcW w:w="1080" w:type="dxa"/>
            <w:tcBorders>
              <w:top w:val="nil"/>
              <w:left w:val="nil"/>
              <w:bottom w:val="nil"/>
              <w:right w:val="nil"/>
              <w:tl2br w:val="nil"/>
              <w:tr2bl w:val="nil"/>
            </w:tcBorders>
            <w:shd w:val="clear" w:color="auto" w:fill="FFFFFF"/>
            <w:tcMar>
              <w:left w:w="115" w:type="dxa"/>
              <w:right w:w="115" w:type="dxa"/>
            </w:tcMar>
            <w:vAlign w:val="bottom"/>
          </w:tcPr>
          <w:p w14:paraId="77D910D6" w14:textId="77777777" w:rsidR="003F0EEA" w:rsidRPr="008C27C3" w:rsidRDefault="00FB7D0B">
            <w:pPr>
              <w:jc w:val="right"/>
              <w:rPr>
                <w:rFonts w:ascii="Arial" w:eastAsia="Arial" w:hAnsi="Arial" w:cs="Arial"/>
                <w:color w:val="000000"/>
                <w:sz w:val="16"/>
                <w:vertAlign w:val="superscript"/>
              </w:rPr>
            </w:pPr>
            <w:r w:rsidRPr="008C27C3">
              <w:rPr>
                <w:rFonts w:ascii="Arial" w:eastAsia="Arial" w:hAnsi="Arial" w:cs="Arial"/>
                <w:b/>
                <w:color w:val="000000"/>
                <w:sz w:val="16"/>
              </w:rPr>
              <w:t xml:space="preserve"> - </w:t>
            </w:r>
          </w:p>
        </w:tc>
        <w:tc>
          <w:tcPr>
            <w:tcW w:w="90" w:type="dxa"/>
            <w:tcBorders>
              <w:top w:val="nil"/>
              <w:left w:val="nil"/>
              <w:bottom w:val="nil"/>
              <w:right w:val="nil"/>
              <w:tl2br w:val="nil"/>
              <w:tr2bl w:val="nil"/>
            </w:tcBorders>
            <w:shd w:val="clear" w:color="auto" w:fill="FFFFFF"/>
            <w:tcMar>
              <w:left w:w="115" w:type="dxa"/>
              <w:right w:w="115" w:type="dxa"/>
            </w:tcMar>
            <w:vAlign w:val="bottom"/>
          </w:tcPr>
          <w:p w14:paraId="5D67CBC4" w14:textId="77777777" w:rsidR="003F0EEA" w:rsidRPr="008C27C3" w:rsidRDefault="003F0EEA">
            <w:pPr>
              <w:rPr>
                <w:rFonts w:ascii="Arial" w:eastAsia="Arial" w:hAnsi="Arial" w:cs="Arial"/>
                <w:b/>
                <w:color w:val="000000"/>
                <w:sz w:val="16"/>
              </w:rPr>
            </w:pPr>
          </w:p>
        </w:tc>
        <w:tc>
          <w:tcPr>
            <w:tcW w:w="930" w:type="dxa"/>
            <w:tcBorders>
              <w:top w:val="nil"/>
              <w:left w:val="nil"/>
              <w:bottom w:val="nil"/>
              <w:right w:val="nil"/>
              <w:tl2br w:val="nil"/>
              <w:tr2bl w:val="nil"/>
            </w:tcBorders>
            <w:shd w:val="clear" w:color="auto" w:fill="FFFFFF"/>
            <w:tcMar>
              <w:left w:w="115" w:type="dxa"/>
              <w:right w:w="115" w:type="dxa"/>
            </w:tcMar>
            <w:vAlign w:val="bottom"/>
          </w:tcPr>
          <w:p w14:paraId="7200F8F0" w14:textId="77777777" w:rsidR="003F0EEA" w:rsidRPr="008C27C3" w:rsidRDefault="00FB7D0B">
            <w:pPr>
              <w:jc w:val="right"/>
              <w:rPr>
                <w:rFonts w:ascii="Arial" w:eastAsia="Arial" w:hAnsi="Arial" w:cs="Arial"/>
                <w:color w:val="000000"/>
                <w:sz w:val="16"/>
              </w:rPr>
            </w:pPr>
            <w:r w:rsidRPr="008C27C3">
              <w:rPr>
                <w:rFonts w:ascii="Arial" w:eastAsia="Arial" w:hAnsi="Arial" w:cs="Arial"/>
                <w:color w:val="000000"/>
                <w:sz w:val="16"/>
              </w:rPr>
              <w:t>2,470 </w:t>
            </w:r>
          </w:p>
        </w:tc>
        <w:tc>
          <w:tcPr>
            <w:tcW w:w="90" w:type="dxa"/>
            <w:tcBorders>
              <w:top w:val="nil"/>
              <w:left w:val="nil"/>
              <w:bottom w:val="nil"/>
              <w:right w:val="nil"/>
              <w:tl2br w:val="nil"/>
              <w:tr2bl w:val="nil"/>
            </w:tcBorders>
            <w:shd w:val="clear" w:color="auto" w:fill="FFFFFF"/>
            <w:tcMar>
              <w:left w:w="115" w:type="dxa"/>
              <w:right w:w="115" w:type="dxa"/>
            </w:tcMar>
            <w:vAlign w:val="bottom"/>
          </w:tcPr>
          <w:p w14:paraId="2A5B0E1E" w14:textId="77777777" w:rsidR="003F0EEA" w:rsidRPr="008C27C3" w:rsidRDefault="003F0EEA">
            <w:pPr>
              <w:rPr>
                <w:rFonts w:ascii="Arial" w:eastAsia="Arial" w:hAnsi="Arial" w:cs="Arial"/>
                <w:color w:val="000000"/>
                <w:sz w:val="16"/>
              </w:rPr>
            </w:pPr>
          </w:p>
        </w:tc>
        <w:tc>
          <w:tcPr>
            <w:tcW w:w="930" w:type="dxa"/>
            <w:tcBorders>
              <w:top w:val="nil"/>
              <w:left w:val="nil"/>
              <w:bottom w:val="nil"/>
              <w:right w:val="nil"/>
              <w:tl2br w:val="nil"/>
              <w:tr2bl w:val="nil"/>
            </w:tcBorders>
            <w:shd w:val="clear" w:color="auto" w:fill="C0C0C0"/>
            <w:tcMar>
              <w:left w:w="115" w:type="dxa"/>
              <w:right w:w="115" w:type="dxa"/>
            </w:tcMar>
            <w:vAlign w:val="bottom"/>
          </w:tcPr>
          <w:p w14:paraId="0239635A" w14:textId="77777777" w:rsidR="003F0EEA" w:rsidRPr="008C27C3" w:rsidRDefault="00FB7D0B">
            <w:pPr>
              <w:jc w:val="right"/>
              <w:rPr>
                <w:rFonts w:ascii="Arial" w:eastAsia="Arial" w:hAnsi="Arial" w:cs="Arial"/>
                <w:color w:val="000000"/>
                <w:sz w:val="16"/>
              </w:rPr>
            </w:pPr>
            <w:r w:rsidRPr="008C27C3">
              <w:rPr>
                <w:rFonts w:ascii="Arial" w:eastAsia="Arial" w:hAnsi="Arial" w:cs="Arial"/>
                <w:color w:val="000000"/>
                <w:sz w:val="16"/>
              </w:rPr>
              <w:t>2,470 </w:t>
            </w:r>
          </w:p>
        </w:tc>
        <w:tc>
          <w:tcPr>
            <w:tcW w:w="1155" w:type="dxa"/>
            <w:tcBorders>
              <w:top w:val="nil"/>
              <w:left w:val="nil"/>
              <w:bottom w:val="nil"/>
              <w:right w:val="nil"/>
              <w:tl2br w:val="nil"/>
              <w:tr2bl w:val="nil"/>
            </w:tcBorders>
            <w:shd w:val="clear" w:color="auto" w:fill="FFFFFF"/>
            <w:tcMar>
              <w:left w:w="115" w:type="dxa"/>
              <w:right w:w="115" w:type="dxa"/>
            </w:tcMar>
            <w:vAlign w:val="bottom"/>
          </w:tcPr>
          <w:p w14:paraId="6EA52DFD" w14:textId="77777777" w:rsidR="003F0EEA" w:rsidRPr="008C27C3" w:rsidRDefault="00FB7D0B">
            <w:pPr>
              <w:jc w:val="right"/>
              <w:rPr>
                <w:rFonts w:ascii="Arial" w:eastAsia="Arial" w:hAnsi="Arial" w:cs="Arial"/>
                <w:color w:val="000000"/>
                <w:sz w:val="16"/>
              </w:rPr>
            </w:pPr>
            <w:r w:rsidRPr="008C27C3">
              <w:rPr>
                <w:rFonts w:ascii="Arial" w:eastAsia="Arial" w:hAnsi="Arial" w:cs="Arial"/>
                <w:color w:val="000000"/>
                <w:sz w:val="16"/>
              </w:rPr>
              <w:t>2,833 </w:t>
            </w:r>
          </w:p>
        </w:tc>
      </w:tr>
      <w:tr w:rsidR="00FB7D0B" w14:paraId="4ADF3874" w14:textId="77777777" w:rsidTr="00FB7D0B">
        <w:trPr>
          <w:trHeight w:val="225"/>
        </w:trPr>
        <w:tc>
          <w:tcPr>
            <w:tcW w:w="180" w:type="dxa"/>
            <w:tcBorders>
              <w:top w:val="nil"/>
              <w:left w:val="nil"/>
              <w:bottom w:val="nil"/>
              <w:right w:val="nil"/>
              <w:tl2br w:val="nil"/>
              <w:tr2bl w:val="nil"/>
            </w:tcBorders>
            <w:shd w:val="clear" w:color="auto" w:fill="FFFFFF"/>
            <w:tcMar>
              <w:left w:w="115" w:type="dxa"/>
              <w:right w:w="115" w:type="dxa"/>
            </w:tcMar>
            <w:vAlign w:val="bottom"/>
          </w:tcPr>
          <w:p w14:paraId="6C478579" w14:textId="77777777" w:rsidR="003F0EEA" w:rsidRPr="008C27C3" w:rsidRDefault="003F0EEA">
            <w:pPr>
              <w:rPr>
                <w:rFonts w:ascii="Arial" w:eastAsia="Arial" w:hAnsi="Arial" w:cs="Arial"/>
                <w:color w:val="000000"/>
                <w:sz w:val="16"/>
              </w:rPr>
            </w:pPr>
          </w:p>
        </w:tc>
        <w:tc>
          <w:tcPr>
            <w:tcW w:w="2655" w:type="dxa"/>
            <w:gridSpan w:val="2"/>
            <w:vMerge w:val="restart"/>
            <w:tcBorders>
              <w:top w:val="nil"/>
              <w:left w:val="nil"/>
              <w:bottom w:val="nil"/>
              <w:right w:val="nil"/>
              <w:tl2br w:val="nil"/>
              <w:tr2bl w:val="nil"/>
            </w:tcBorders>
            <w:shd w:val="clear" w:color="auto" w:fill="FFFFFF"/>
            <w:tcMar>
              <w:left w:w="115" w:type="dxa"/>
              <w:right w:w="115" w:type="dxa"/>
            </w:tcMar>
            <w:vAlign w:val="bottom"/>
          </w:tcPr>
          <w:p w14:paraId="0ED85A36" w14:textId="77777777" w:rsidR="003F0EEA" w:rsidRPr="008C27C3" w:rsidRDefault="00FB7D0B">
            <w:pPr>
              <w:rPr>
                <w:rFonts w:ascii="Arial" w:eastAsia="Arial" w:hAnsi="Arial" w:cs="Arial"/>
                <w:color w:val="000000"/>
                <w:sz w:val="16"/>
              </w:rPr>
            </w:pPr>
            <w:r w:rsidRPr="008C27C3">
              <w:rPr>
                <w:rFonts w:ascii="Arial" w:eastAsia="Arial" w:hAnsi="Arial" w:cs="Arial"/>
                <w:color w:val="000000"/>
                <w:sz w:val="16"/>
              </w:rPr>
              <w:t>Royalties</w:t>
            </w:r>
          </w:p>
        </w:tc>
        <w:tc>
          <w:tcPr>
            <w:tcW w:w="90" w:type="dxa"/>
            <w:tcBorders>
              <w:top w:val="nil"/>
              <w:left w:val="nil"/>
              <w:bottom w:val="nil"/>
              <w:right w:val="nil"/>
              <w:tl2br w:val="nil"/>
              <w:tr2bl w:val="nil"/>
            </w:tcBorders>
            <w:shd w:val="clear" w:color="auto" w:fill="FFFFFF"/>
            <w:tcMar>
              <w:left w:w="115" w:type="dxa"/>
              <w:right w:w="115" w:type="dxa"/>
            </w:tcMar>
            <w:vAlign w:val="bottom"/>
          </w:tcPr>
          <w:p w14:paraId="1D0988C9" w14:textId="77777777" w:rsidR="003F0EEA" w:rsidRPr="008C27C3" w:rsidRDefault="003F0EEA">
            <w:pPr>
              <w:jc w:val="center"/>
              <w:rPr>
                <w:rFonts w:ascii="Arial" w:eastAsia="Arial" w:hAnsi="Arial" w:cs="Arial"/>
                <w:color w:val="000000"/>
                <w:sz w:val="16"/>
                <w:vertAlign w:val="superscript"/>
              </w:rPr>
            </w:pPr>
          </w:p>
        </w:tc>
        <w:tc>
          <w:tcPr>
            <w:tcW w:w="1080" w:type="dxa"/>
            <w:tcBorders>
              <w:top w:val="nil"/>
              <w:left w:val="nil"/>
              <w:bottom w:val="nil"/>
              <w:right w:val="nil"/>
              <w:tl2br w:val="nil"/>
              <w:tr2bl w:val="nil"/>
            </w:tcBorders>
            <w:shd w:val="clear" w:color="auto" w:fill="FFFFFF"/>
            <w:tcMar>
              <w:left w:w="115" w:type="dxa"/>
              <w:right w:w="115" w:type="dxa"/>
            </w:tcMar>
            <w:vAlign w:val="bottom"/>
          </w:tcPr>
          <w:p w14:paraId="11D13F38" w14:textId="77777777" w:rsidR="003F0EEA" w:rsidRPr="008C27C3" w:rsidRDefault="00FB7D0B">
            <w:pPr>
              <w:jc w:val="right"/>
              <w:rPr>
                <w:rFonts w:ascii="Arial" w:eastAsia="Arial" w:hAnsi="Arial" w:cs="Arial"/>
                <w:color w:val="000000"/>
                <w:sz w:val="16"/>
                <w:vertAlign w:val="superscript"/>
              </w:rPr>
            </w:pPr>
            <w:r w:rsidRPr="008C27C3">
              <w:rPr>
                <w:rFonts w:ascii="Arial" w:eastAsia="Arial" w:hAnsi="Arial" w:cs="Arial"/>
                <w:b/>
                <w:color w:val="000000"/>
                <w:sz w:val="16"/>
              </w:rPr>
              <w:t xml:space="preserve"> - </w:t>
            </w:r>
          </w:p>
        </w:tc>
        <w:tc>
          <w:tcPr>
            <w:tcW w:w="90" w:type="dxa"/>
            <w:tcBorders>
              <w:top w:val="nil"/>
              <w:left w:val="nil"/>
              <w:bottom w:val="nil"/>
              <w:right w:val="nil"/>
              <w:tl2br w:val="nil"/>
              <w:tr2bl w:val="nil"/>
            </w:tcBorders>
            <w:shd w:val="clear" w:color="auto" w:fill="FFFFFF"/>
            <w:tcMar>
              <w:left w:w="115" w:type="dxa"/>
              <w:right w:w="115" w:type="dxa"/>
            </w:tcMar>
            <w:vAlign w:val="bottom"/>
          </w:tcPr>
          <w:p w14:paraId="237303AA" w14:textId="77777777" w:rsidR="003F0EEA" w:rsidRPr="008C27C3" w:rsidRDefault="003F0EEA">
            <w:pPr>
              <w:rPr>
                <w:rFonts w:ascii="Arial" w:eastAsia="Arial" w:hAnsi="Arial" w:cs="Arial"/>
                <w:b/>
                <w:color w:val="000000"/>
                <w:sz w:val="16"/>
              </w:rPr>
            </w:pPr>
          </w:p>
        </w:tc>
        <w:tc>
          <w:tcPr>
            <w:tcW w:w="930" w:type="dxa"/>
            <w:tcBorders>
              <w:top w:val="nil"/>
              <w:left w:val="nil"/>
              <w:bottom w:val="nil"/>
              <w:right w:val="nil"/>
              <w:tl2br w:val="nil"/>
              <w:tr2bl w:val="nil"/>
            </w:tcBorders>
            <w:shd w:val="clear" w:color="auto" w:fill="FFFFFF"/>
            <w:tcMar>
              <w:left w:w="115" w:type="dxa"/>
              <w:right w:w="115" w:type="dxa"/>
            </w:tcMar>
            <w:vAlign w:val="bottom"/>
          </w:tcPr>
          <w:p w14:paraId="0E604CB4" w14:textId="77777777" w:rsidR="003F0EEA" w:rsidRPr="008C27C3" w:rsidRDefault="00FB7D0B">
            <w:pPr>
              <w:jc w:val="right"/>
              <w:rPr>
                <w:rFonts w:ascii="Arial" w:eastAsia="Arial" w:hAnsi="Arial" w:cs="Arial"/>
                <w:color w:val="000000"/>
                <w:sz w:val="16"/>
              </w:rPr>
            </w:pPr>
            <w:r w:rsidRPr="008C27C3">
              <w:rPr>
                <w:rFonts w:ascii="Arial" w:eastAsia="Arial" w:hAnsi="Arial" w:cs="Arial"/>
                <w:color w:val="000000"/>
                <w:sz w:val="16"/>
              </w:rPr>
              <w:t>150 </w:t>
            </w:r>
          </w:p>
        </w:tc>
        <w:tc>
          <w:tcPr>
            <w:tcW w:w="90" w:type="dxa"/>
            <w:tcBorders>
              <w:top w:val="nil"/>
              <w:left w:val="nil"/>
              <w:bottom w:val="nil"/>
              <w:right w:val="nil"/>
              <w:tl2br w:val="nil"/>
              <w:tr2bl w:val="nil"/>
            </w:tcBorders>
            <w:shd w:val="clear" w:color="auto" w:fill="FFFFFF"/>
            <w:tcMar>
              <w:left w:w="115" w:type="dxa"/>
              <w:right w:w="115" w:type="dxa"/>
            </w:tcMar>
            <w:vAlign w:val="bottom"/>
          </w:tcPr>
          <w:p w14:paraId="1F6B54DB" w14:textId="77777777" w:rsidR="003F0EEA" w:rsidRPr="008C27C3" w:rsidRDefault="003F0EEA">
            <w:pPr>
              <w:rPr>
                <w:rFonts w:ascii="Arial" w:eastAsia="Arial" w:hAnsi="Arial" w:cs="Arial"/>
                <w:color w:val="000000"/>
                <w:sz w:val="16"/>
              </w:rPr>
            </w:pPr>
          </w:p>
        </w:tc>
        <w:tc>
          <w:tcPr>
            <w:tcW w:w="930" w:type="dxa"/>
            <w:tcBorders>
              <w:top w:val="nil"/>
              <w:left w:val="nil"/>
              <w:bottom w:val="nil"/>
              <w:right w:val="nil"/>
              <w:tl2br w:val="nil"/>
              <w:tr2bl w:val="nil"/>
            </w:tcBorders>
            <w:shd w:val="clear" w:color="auto" w:fill="C0C0C0"/>
            <w:tcMar>
              <w:left w:w="115" w:type="dxa"/>
              <w:right w:w="115" w:type="dxa"/>
            </w:tcMar>
            <w:vAlign w:val="bottom"/>
          </w:tcPr>
          <w:p w14:paraId="73A329A0" w14:textId="77777777" w:rsidR="003F0EEA" w:rsidRPr="008C27C3" w:rsidRDefault="00FB7D0B">
            <w:pPr>
              <w:jc w:val="right"/>
              <w:rPr>
                <w:rFonts w:ascii="Arial" w:eastAsia="Arial" w:hAnsi="Arial" w:cs="Arial"/>
                <w:color w:val="000000"/>
                <w:sz w:val="16"/>
              </w:rPr>
            </w:pPr>
            <w:r w:rsidRPr="008C27C3">
              <w:rPr>
                <w:rFonts w:ascii="Arial" w:eastAsia="Arial" w:hAnsi="Arial" w:cs="Arial"/>
                <w:color w:val="000000"/>
                <w:sz w:val="16"/>
              </w:rPr>
              <w:t>150 </w:t>
            </w:r>
          </w:p>
        </w:tc>
        <w:tc>
          <w:tcPr>
            <w:tcW w:w="1155" w:type="dxa"/>
            <w:tcBorders>
              <w:top w:val="nil"/>
              <w:left w:val="nil"/>
              <w:bottom w:val="nil"/>
              <w:right w:val="nil"/>
              <w:tl2br w:val="nil"/>
              <w:tr2bl w:val="nil"/>
            </w:tcBorders>
            <w:shd w:val="clear" w:color="auto" w:fill="FFFFFF"/>
            <w:tcMar>
              <w:left w:w="115" w:type="dxa"/>
              <w:right w:w="115" w:type="dxa"/>
            </w:tcMar>
            <w:vAlign w:val="bottom"/>
          </w:tcPr>
          <w:p w14:paraId="5580D7AF" w14:textId="77777777" w:rsidR="003F0EEA" w:rsidRPr="008C27C3" w:rsidRDefault="00FB7D0B">
            <w:pPr>
              <w:jc w:val="right"/>
              <w:rPr>
                <w:rFonts w:ascii="Arial" w:eastAsia="Arial" w:hAnsi="Arial" w:cs="Arial"/>
                <w:color w:val="000000"/>
                <w:sz w:val="16"/>
              </w:rPr>
            </w:pPr>
            <w:r w:rsidRPr="008C27C3">
              <w:rPr>
                <w:rFonts w:ascii="Arial" w:eastAsia="Arial" w:hAnsi="Arial" w:cs="Arial"/>
                <w:color w:val="000000"/>
                <w:sz w:val="16"/>
              </w:rPr>
              <w:t>25 </w:t>
            </w:r>
          </w:p>
        </w:tc>
      </w:tr>
      <w:tr w:rsidR="00FB7D0B" w14:paraId="16BD0D6E" w14:textId="77777777" w:rsidTr="00FB7D0B">
        <w:trPr>
          <w:trHeight w:val="225"/>
        </w:trPr>
        <w:tc>
          <w:tcPr>
            <w:tcW w:w="180" w:type="dxa"/>
            <w:tcBorders>
              <w:top w:val="nil"/>
              <w:left w:val="nil"/>
              <w:bottom w:val="nil"/>
              <w:right w:val="nil"/>
              <w:tl2br w:val="nil"/>
              <w:tr2bl w:val="nil"/>
            </w:tcBorders>
            <w:shd w:val="clear" w:color="auto" w:fill="FFFFFF"/>
            <w:tcMar>
              <w:left w:w="115" w:type="dxa"/>
              <w:right w:w="115" w:type="dxa"/>
            </w:tcMar>
            <w:vAlign w:val="bottom"/>
          </w:tcPr>
          <w:p w14:paraId="708598D9" w14:textId="77777777" w:rsidR="003F0EEA" w:rsidRPr="008C27C3" w:rsidRDefault="003F0EEA">
            <w:pPr>
              <w:rPr>
                <w:rFonts w:ascii="Arial" w:eastAsia="Arial" w:hAnsi="Arial" w:cs="Arial"/>
                <w:color w:val="000000"/>
                <w:sz w:val="16"/>
              </w:rPr>
            </w:pPr>
          </w:p>
        </w:tc>
        <w:tc>
          <w:tcPr>
            <w:tcW w:w="2655" w:type="dxa"/>
            <w:gridSpan w:val="2"/>
            <w:vMerge w:val="restart"/>
            <w:tcBorders>
              <w:top w:val="nil"/>
              <w:left w:val="nil"/>
              <w:bottom w:val="nil"/>
              <w:right w:val="nil"/>
              <w:tl2br w:val="nil"/>
              <w:tr2bl w:val="nil"/>
            </w:tcBorders>
            <w:shd w:val="clear" w:color="auto" w:fill="FFFFFF"/>
            <w:tcMar>
              <w:left w:w="115" w:type="dxa"/>
              <w:right w:w="115" w:type="dxa"/>
            </w:tcMar>
            <w:vAlign w:val="bottom"/>
          </w:tcPr>
          <w:p w14:paraId="5045AD73" w14:textId="77777777" w:rsidR="003F0EEA" w:rsidRPr="008C27C3" w:rsidRDefault="00FB7D0B">
            <w:pPr>
              <w:rPr>
                <w:rFonts w:ascii="Arial" w:eastAsia="Arial" w:hAnsi="Arial" w:cs="Arial"/>
                <w:color w:val="000000"/>
                <w:sz w:val="16"/>
              </w:rPr>
            </w:pPr>
            <w:r w:rsidRPr="008C27C3">
              <w:rPr>
                <w:rFonts w:ascii="Arial" w:eastAsia="Arial" w:hAnsi="Arial" w:cs="Arial"/>
                <w:color w:val="000000"/>
                <w:sz w:val="16"/>
              </w:rPr>
              <w:t>Sale of goods and services</w:t>
            </w:r>
          </w:p>
        </w:tc>
        <w:tc>
          <w:tcPr>
            <w:tcW w:w="90" w:type="dxa"/>
            <w:tcBorders>
              <w:top w:val="nil"/>
              <w:left w:val="nil"/>
              <w:bottom w:val="nil"/>
              <w:right w:val="nil"/>
              <w:tl2br w:val="nil"/>
              <w:tr2bl w:val="nil"/>
            </w:tcBorders>
            <w:shd w:val="clear" w:color="auto" w:fill="FFFFFF"/>
            <w:tcMar>
              <w:left w:w="115" w:type="dxa"/>
              <w:right w:w="115" w:type="dxa"/>
            </w:tcMar>
            <w:vAlign w:val="bottom"/>
          </w:tcPr>
          <w:p w14:paraId="1C1BEEEB" w14:textId="77777777" w:rsidR="003F0EEA" w:rsidRPr="008C27C3" w:rsidRDefault="003F0EEA">
            <w:pPr>
              <w:jc w:val="center"/>
              <w:rPr>
                <w:rFonts w:ascii="Arial" w:eastAsia="Arial" w:hAnsi="Arial" w:cs="Arial"/>
                <w:color w:val="000000"/>
                <w:sz w:val="16"/>
                <w:vertAlign w:val="superscript"/>
              </w:rPr>
            </w:pPr>
          </w:p>
        </w:tc>
        <w:tc>
          <w:tcPr>
            <w:tcW w:w="1080" w:type="dxa"/>
            <w:tcBorders>
              <w:top w:val="nil"/>
              <w:left w:val="nil"/>
              <w:bottom w:val="nil"/>
              <w:right w:val="nil"/>
              <w:tl2br w:val="nil"/>
              <w:tr2bl w:val="nil"/>
            </w:tcBorders>
            <w:shd w:val="clear" w:color="auto" w:fill="FFFFFF"/>
            <w:tcMar>
              <w:left w:w="115" w:type="dxa"/>
              <w:right w:w="115" w:type="dxa"/>
            </w:tcMar>
            <w:vAlign w:val="bottom"/>
          </w:tcPr>
          <w:p w14:paraId="76A9748D" w14:textId="77777777" w:rsidR="003F0EEA" w:rsidRPr="008C27C3" w:rsidRDefault="00FB7D0B">
            <w:pPr>
              <w:jc w:val="right"/>
              <w:rPr>
                <w:rFonts w:ascii="Arial" w:eastAsia="Arial" w:hAnsi="Arial" w:cs="Arial"/>
                <w:color w:val="000000"/>
                <w:sz w:val="16"/>
                <w:vertAlign w:val="superscript"/>
              </w:rPr>
            </w:pPr>
            <w:r w:rsidRPr="008C27C3">
              <w:rPr>
                <w:rFonts w:ascii="Arial" w:eastAsia="Arial" w:hAnsi="Arial" w:cs="Arial"/>
                <w:b/>
                <w:color w:val="000000"/>
                <w:sz w:val="16"/>
              </w:rPr>
              <w:t xml:space="preserve"> - </w:t>
            </w:r>
          </w:p>
        </w:tc>
        <w:tc>
          <w:tcPr>
            <w:tcW w:w="90" w:type="dxa"/>
            <w:tcBorders>
              <w:top w:val="nil"/>
              <w:left w:val="nil"/>
              <w:bottom w:val="nil"/>
              <w:right w:val="nil"/>
              <w:tl2br w:val="nil"/>
              <w:tr2bl w:val="nil"/>
            </w:tcBorders>
            <w:shd w:val="clear" w:color="auto" w:fill="FFFFFF"/>
            <w:tcMar>
              <w:left w:w="115" w:type="dxa"/>
              <w:right w:w="115" w:type="dxa"/>
            </w:tcMar>
            <w:vAlign w:val="bottom"/>
          </w:tcPr>
          <w:p w14:paraId="5DE9347D" w14:textId="77777777" w:rsidR="003F0EEA" w:rsidRPr="008C27C3" w:rsidRDefault="003F0EEA">
            <w:pPr>
              <w:rPr>
                <w:rFonts w:ascii="Arial" w:eastAsia="Arial" w:hAnsi="Arial" w:cs="Arial"/>
                <w:b/>
                <w:color w:val="000000"/>
                <w:sz w:val="16"/>
              </w:rPr>
            </w:pPr>
          </w:p>
        </w:tc>
        <w:tc>
          <w:tcPr>
            <w:tcW w:w="930" w:type="dxa"/>
            <w:tcBorders>
              <w:top w:val="nil"/>
              <w:left w:val="nil"/>
              <w:bottom w:val="nil"/>
              <w:right w:val="nil"/>
              <w:tl2br w:val="nil"/>
              <w:tr2bl w:val="nil"/>
            </w:tcBorders>
            <w:shd w:val="clear" w:color="auto" w:fill="FFFFFF"/>
            <w:tcMar>
              <w:left w:w="115" w:type="dxa"/>
              <w:right w:w="115" w:type="dxa"/>
            </w:tcMar>
            <w:vAlign w:val="bottom"/>
          </w:tcPr>
          <w:p w14:paraId="568F9592" w14:textId="77777777" w:rsidR="003F0EEA" w:rsidRPr="008C27C3" w:rsidRDefault="00FB7D0B">
            <w:pPr>
              <w:jc w:val="right"/>
              <w:rPr>
                <w:rFonts w:ascii="Arial" w:eastAsia="Arial" w:hAnsi="Arial" w:cs="Arial"/>
                <w:color w:val="000000"/>
                <w:sz w:val="16"/>
              </w:rPr>
            </w:pPr>
            <w:r w:rsidRPr="008C27C3">
              <w:rPr>
                <w:rFonts w:ascii="Arial" w:eastAsia="Arial" w:hAnsi="Arial" w:cs="Arial"/>
                <w:color w:val="000000"/>
                <w:sz w:val="16"/>
              </w:rPr>
              <w:t>3,255 </w:t>
            </w:r>
          </w:p>
        </w:tc>
        <w:tc>
          <w:tcPr>
            <w:tcW w:w="90" w:type="dxa"/>
            <w:tcBorders>
              <w:top w:val="nil"/>
              <w:left w:val="nil"/>
              <w:bottom w:val="nil"/>
              <w:right w:val="nil"/>
              <w:tl2br w:val="nil"/>
              <w:tr2bl w:val="nil"/>
            </w:tcBorders>
            <w:shd w:val="clear" w:color="auto" w:fill="FFFFFF"/>
            <w:tcMar>
              <w:left w:w="115" w:type="dxa"/>
              <w:right w:w="115" w:type="dxa"/>
            </w:tcMar>
            <w:vAlign w:val="bottom"/>
          </w:tcPr>
          <w:p w14:paraId="5D69ED09" w14:textId="77777777" w:rsidR="003F0EEA" w:rsidRPr="008C27C3" w:rsidRDefault="003F0EEA">
            <w:pPr>
              <w:rPr>
                <w:rFonts w:ascii="Arial" w:eastAsia="Arial" w:hAnsi="Arial" w:cs="Arial"/>
                <w:color w:val="000000"/>
                <w:sz w:val="16"/>
              </w:rPr>
            </w:pPr>
          </w:p>
        </w:tc>
        <w:tc>
          <w:tcPr>
            <w:tcW w:w="930" w:type="dxa"/>
            <w:tcBorders>
              <w:top w:val="nil"/>
              <w:left w:val="nil"/>
              <w:bottom w:val="nil"/>
              <w:right w:val="nil"/>
              <w:tl2br w:val="nil"/>
              <w:tr2bl w:val="nil"/>
            </w:tcBorders>
            <w:shd w:val="clear" w:color="auto" w:fill="C0C0C0"/>
            <w:tcMar>
              <w:left w:w="115" w:type="dxa"/>
              <w:right w:w="115" w:type="dxa"/>
            </w:tcMar>
            <w:vAlign w:val="bottom"/>
          </w:tcPr>
          <w:p w14:paraId="43B75ACB" w14:textId="77777777" w:rsidR="003F0EEA" w:rsidRPr="008C27C3" w:rsidRDefault="00FB7D0B">
            <w:pPr>
              <w:jc w:val="right"/>
              <w:rPr>
                <w:rFonts w:ascii="Arial" w:eastAsia="Arial" w:hAnsi="Arial" w:cs="Arial"/>
                <w:color w:val="000000"/>
                <w:sz w:val="16"/>
              </w:rPr>
            </w:pPr>
            <w:r w:rsidRPr="008C27C3">
              <w:rPr>
                <w:rFonts w:ascii="Arial" w:eastAsia="Arial" w:hAnsi="Arial" w:cs="Arial"/>
                <w:color w:val="000000"/>
                <w:sz w:val="16"/>
              </w:rPr>
              <w:t>3,255 </w:t>
            </w:r>
          </w:p>
        </w:tc>
        <w:tc>
          <w:tcPr>
            <w:tcW w:w="1155" w:type="dxa"/>
            <w:tcBorders>
              <w:top w:val="nil"/>
              <w:left w:val="nil"/>
              <w:bottom w:val="nil"/>
              <w:right w:val="nil"/>
              <w:tl2br w:val="nil"/>
              <w:tr2bl w:val="nil"/>
            </w:tcBorders>
            <w:shd w:val="clear" w:color="auto" w:fill="FFFFFF"/>
            <w:tcMar>
              <w:left w:w="115" w:type="dxa"/>
              <w:right w:w="115" w:type="dxa"/>
            </w:tcMar>
            <w:vAlign w:val="bottom"/>
          </w:tcPr>
          <w:p w14:paraId="6C23067E" w14:textId="77777777" w:rsidR="003F0EEA" w:rsidRPr="008C27C3" w:rsidRDefault="00FB7D0B">
            <w:pPr>
              <w:jc w:val="right"/>
              <w:rPr>
                <w:rFonts w:ascii="Arial" w:eastAsia="Arial" w:hAnsi="Arial" w:cs="Arial"/>
                <w:color w:val="000000"/>
                <w:sz w:val="16"/>
              </w:rPr>
            </w:pPr>
            <w:r w:rsidRPr="008C27C3">
              <w:rPr>
                <w:rFonts w:ascii="Arial" w:eastAsia="Arial" w:hAnsi="Arial" w:cs="Arial"/>
                <w:color w:val="000000"/>
                <w:sz w:val="16"/>
              </w:rPr>
              <w:t>3,255 </w:t>
            </w:r>
          </w:p>
        </w:tc>
      </w:tr>
      <w:tr w:rsidR="00FB7D0B" w14:paraId="2AFD2A12" w14:textId="77777777" w:rsidTr="00FB7D0B">
        <w:trPr>
          <w:trHeight w:val="225"/>
        </w:trPr>
        <w:tc>
          <w:tcPr>
            <w:tcW w:w="180" w:type="dxa"/>
            <w:tcBorders>
              <w:top w:val="nil"/>
              <w:left w:val="nil"/>
              <w:bottom w:val="nil"/>
              <w:right w:val="nil"/>
              <w:tl2br w:val="nil"/>
              <w:tr2bl w:val="nil"/>
            </w:tcBorders>
            <w:shd w:val="clear" w:color="auto" w:fill="FFFFFF"/>
            <w:tcMar>
              <w:left w:w="115" w:type="dxa"/>
              <w:right w:w="115" w:type="dxa"/>
            </w:tcMar>
            <w:vAlign w:val="bottom"/>
          </w:tcPr>
          <w:p w14:paraId="6DB8FFF6" w14:textId="77777777" w:rsidR="003F0EEA" w:rsidRPr="008C27C3" w:rsidRDefault="003F0EEA">
            <w:pPr>
              <w:rPr>
                <w:rFonts w:ascii="Arial" w:eastAsia="Arial" w:hAnsi="Arial" w:cs="Arial"/>
                <w:color w:val="000000"/>
                <w:sz w:val="16"/>
              </w:rPr>
            </w:pPr>
          </w:p>
        </w:tc>
        <w:tc>
          <w:tcPr>
            <w:tcW w:w="2655" w:type="dxa"/>
            <w:gridSpan w:val="2"/>
            <w:tcBorders>
              <w:top w:val="nil"/>
              <w:left w:val="nil"/>
              <w:bottom w:val="nil"/>
              <w:right w:val="nil"/>
              <w:tl2br w:val="nil"/>
              <w:tr2bl w:val="nil"/>
            </w:tcBorders>
            <w:shd w:val="clear" w:color="auto" w:fill="FFFFFF"/>
            <w:tcMar>
              <w:left w:w="115" w:type="dxa"/>
              <w:right w:w="115" w:type="dxa"/>
            </w:tcMar>
            <w:vAlign w:val="bottom"/>
          </w:tcPr>
          <w:p w14:paraId="6D4079C0" w14:textId="77777777" w:rsidR="003F0EEA" w:rsidRPr="008C27C3" w:rsidRDefault="00FB7D0B">
            <w:pPr>
              <w:rPr>
                <w:rFonts w:ascii="Arial" w:eastAsia="Arial" w:hAnsi="Arial" w:cs="Arial"/>
                <w:color w:val="000000"/>
                <w:sz w:val="16"/>
              </w:rPr>
            </w:pPr>
            <w:r w:rsidRPr="008C27C3">
              <w:rPr>
                <w:rFonts w:ascii="Arial" w:eastAsia="Arial" w:hAnsi="Arial" w:cs="Arial"/>
                <w:color w:val="000000"/>
                <w:sz w:val="16"/>
              </w:rPr>
              <w:t xml:space="preserve">Other </w:t>
            </w:r>
          </w:p>
        </w:tc>
        <w:tc>
          <w:tcPr>
            <w:tcW w:w="90" w:type="dxa"/>
            <w:tcBorders>
              <w:top w:val="nil"/>
              <w:left w:val="nil"/>
              <w:bottom w:val="nil"/>
              <w:right w:val="nil"/>
              <w:tl2br w:val="nil"/>
              <w:tr2bl w:val="nil"/>
            </w:tcBorders>
            <w:shd w:val="clear" w:color="auto" w:fill="FFFFFF"/>
            <w:tcMar>
              <w:left w:w="115" w:type="dxa"/>
              <w:right w:w="115" w:type="dxa"/>
            </w:tcMar>
            <w:vAlign w:val="bottom"/>
          </w:tcPr>
          <w:p w14:paraId="5D8B9E7A" w14:textId="77777777" w:rsidR="003F0EEA" w:rsidRPr="008C27C3" w:rsidRDefault="003F0EEA">
            <w:pPr>
              <w:jc w:val="center"/>
              <w:rPr>
                <w:rFonts w:ascii="Arial" w:eastAsia="Arial" w:hAnsi="Arial" w:cs="Arial"/>
                <w:color w:val="000000"/>
                <w:sz w:val="16"/>
                <w:vertAlign w:val="superscript"/>
              </w:rPr>
            </w:pPr>
          </w:p>
        </w:tc>
        <w:tc>
          <w:tcPr>
            <w:tcW w:w="1080" w:type="dxa"/>
            <w:tcBorders>
              <w:top w:val="nil"/>
              <w:left w:val="nil"/>
              <w:bottom w:val="nil"/>
              <w:right w:val="nil"/>
              <w:tl2br w:val="nil"/>
              <w:tr2bl w:val="nil"/>
            </w:tcBorders>
            <w:shd w:val="clear" w:color="auto" w:fill="FFFFFF"/>
            <w:tcMar>
              <w:left w:w="115" w:type="dxa"/>
              <w:right w:w="115" w:type="dxa"/>
            </w:tcMar>
            <w:vAlign w:val="bottom"/>
          </w:tcPr>
          <w:p w14:paraId="504BA588" w14:textId="77777777" w:rsidR="003F0EEA" w:rsidRPr="008C27C3" w:rsidRDefault="00FB7D0B">
            <w:pPr>
              <w:jc w:val="right"/>
              <w:rPr>
                <w:rFonts w:ascii="Arial" w:eastAsia="Arial" w:hAnsi="Arial" w:cs="Arial"/>
                <w:color w:val="000000"/>
                <w:sz w:val="16"/>
                <w:vertAlign w:val="superscript"/>
              </w:rPr>
            </w:pPr>
            <w:r w:rsidRPr="008C27C3">
              <w:rPr>
                <w:rFonts w:ascii="Arial" w:eastAsia="Arial" w:hAnsi="Arial" w:cs="Arial"/>
                <w:b/>
                <w:color w:val="000000"/>
                <w:sz w:val="16"/>
              </w:rPr>
              <w:t xml:space="preserve"> - </w:t>
            </w:r>
          </w:p>
        </w:tc>
        <w:tc>
          <w:tcPr>
            <w:tcW w:w="90" w:type="dxa"/>
            <w:tcBorders>
              <w:top w:val="nil"/>
              <w:left w:val="nil"/>
              <w:bottom w:val="nil"/>
              <w:right w:val="nil"/>
              <w:tl2br w:val="nil"/>
              <w:tr2bl w:val="nil"/>
            </w:tcBorders>
            <w:shd w:val="clear" w:color="auto" w:fill="FFFFFF"/>
            <w:tcMar>
              <w:left w:w="115" w:type="dxa"/>
              <w:right w:w="115" w:type="dxa"/>
            </w:tcMar>
            <w:vAlign w:val="bottom"/>
          </w:tcPr>
          <w:p w14:paraId="011A2BE0" w14:textId="77777777" w:rsidR="003F0EEA" w:rsidRPr="008C27C3" w:rsidRDefault="003F0EEA">
            <w:pPr>
              <w:rPr>
                <w:rFonts w:ascii="Arial" w:eastAsia="Arial" w:hAnsi="Arial" w:cs="Arial"/>
                <w:b/>
                <w:color w:val="000000"/>
                <w:sz w:val="16"/>
              </w:rPr>
            </w:pPr>
          </w:p>
        </w:tc>
        <w:tc>
          <w:tcPr>
            <w:tcW w:w="930" w:type="dxa"/>
            <w:tcBorders>
              <w:top w:val="nil"/>
              <w:left w:val="nil"/>
              <w:bottom w:val="nil"/>
              <w:right w:val="nil"/>
              <w:tl2br w:val="nil"/>
              <w:tr2bl w:val="nil"/>
            </w:tcBorders>
            <w:shd w:val="clear" w:color="auto" w:fill="FFFFFF"/>
            <w:tcMar>
              <w:left w:w="115" w:type="dxa"/>
              <w:right w:w="115" w:type="dxa"/>
            </w:tcMar>
            <w:vAlign w:val="bottom"/>
          </w:tcPr>
          <w:p w14:paraId="6411DF34" w14:textId="77777777" w:rsidR="003F0EEA" w:rsidRPr="008C27C3" w:rsidRDefault="00FB7D0B">
            <w:pPr>
              <w:jc w:val="right"/>
              <w:rPr>
                <w:rFonts w:ascii="Arial" w:eastAsia="Arial" w:hAnsi="Arial" w:cs="Arial"/>
                <w:color w:val="000000"/>
                <w:sz w:val="16"/>
              </w:rPr>
            </w:pPr>
            <w:r w:rsidRPr="008C27C3">
              <w:rPr>
                <w:rFonts w:ascii="Arial" w:eastAsia="Arial" w:hAnsi="Arial" w:cs="Arial"/>
                <w:color w:val="000000"/>
                <w:sz w:val="16"/>
              </w:rPr>
              <w:t>5,389 </w:t>
            </w:r>
          </w:p>
        </w:tc>
        <w:tc>
          <w:tcPr>
            <w:tcW w:w="90" w:type="dxa"/>
            <w:tcBorders>
              <w:top w:val="nil"/>
              <w:left w:val="nil"/>
              <w:bottom w:val="nil"/>
              <w:right w:val="nil"/>
              <w:tl2br w:val="nil"/>
              <w:tr2bl w:val="nil"/>
            </w:tcBorders>
            <w:shd w:val="clear" w:color="auto" w:fill="FFFFFF"/>
            <w:tcMar>
              <w:left w:w="115" w:type="dxa"/>
              <w:right w:w="115" w:type="dxa"/>
            </w:tcMar>
            <w:vAlign w:val="bottom"/>
          </w:tcPr>
          <w:p w14:paraId="1CACBBE4" w14:textId="77777777" w:rsidR="003F0EEA" w:rsidRPr="008C27C3" w:rsidRDefault="003F0EEA">
            <w:pPr>
              <w:rPr>
                <w:rFonts w:ascii="Arial" w:eastAsia="Arial" w:hAnsi="Arial" w:cs="Arial"/>
                <w:color w:val="000000"/>
                <w:sz w:val="16"/>
              </w:rPr>
            </w:pPr>
          </w:p>
        </w:tc>
        <w:tc>
          <w:tcPr>
            <w:tcW w:w="930" w:type="dxa"/>
            <w:tcBorders>
              <w:top w:val="nil"/>
              <w:left w:val="nil"/>
              <w:bottom w:val="nil"/>
              <w:right w:val="nil"/>
              <w:tl2br w:val="nil"/>
              <w:tr2bl w:val="nil"/>
            </w:tcBorders>
            <w:shd w:val="clear" w:color="auto" w:fill="C0C0C0"/>
            <w:tcMar>
              <w:left w:w="115" w:type="dxa"/>
              <w:right w:w="115" w:type="dxa"/>
            </w:tcMar>
            <w:vAlign w:val="bottom"/>
          </w:tcPr>
          <w:p w14:paraId="29B0CB48" w14:textId="77777777" w:rsidR="003F0EEA" w:rsidRPr="008C27C3" w:rsidRDefault="00FB7D0B">
            <w:pPr>
              <w:jc w:val="right"/>
              <w:rPr>
                <w:rFonts w:ascii="Arial" w:eastAsia="Arial" w:hAnsi="Arial" w:cs="Arial"/>
                <w:color w:val="000000"/>
                <w:sz w:val="16"/>
              </w:rPr>
            </w:pPr>
            <w:r w:rsidRPr="008C27C3">
              <w:rPr>
                <w:rFonts w:ascii="Arial" w:eastAsia="Arial" w:hAnsi="Arial" w:cs="Arial"/>
                <w:color w:val="000000"/>
                <w:sz w:val="16"/>
              </w:rPr>
              <w:t>5,389 </w:t>
            </w:r>
          </w:p>
        </w:tc>
        <w:tc>
          <w:tcPr>
            <w:tcW w:w="1155" w:type="dxa"/>
            <w:tcBorders>
              <w:top w:val="nil"/>
              <w:left w:val="nil"/>
              <w:bottom w:val="nil"/>
              <w:right w:val="nil"/>
              <w:tl2br w:val="nil"/>
              <w:tr2bl w:val="nil"/>
            </w:tcBorders>
            <w:shd w:val="clear" w:color="auto" w:fill="FFFFFF"/>
            <w:tcMar>
              <w:left w:w="115" w:type="dxa"/>
              <w:right w:w="115" w:type="dxa"/>
            </w:tcMar>
            <w:vAlign w:val="bottom"/>
          </w:tcPr>
          <w:p w14:paraId="7E735E7F" w14:textId="77777777" w:rsidR="003F0EEA" w:rsidRPr="008C27C3" w:rsidRDefault="00FB7D0B">
            <w:pPr>
              <w:jc w:val="right"/>
              <w:rPr>
                <w:rFonts w:ascii="Arial" w:eastAsia="Arial" w:hAnsi="Arial" w:cs="Arial"/>
                <w:color w:val="000000"/>
                <w:sz w:val="16"/>
              </w:rPr>
            </w:pPr>
            <w:r w:rsidRPr="008C27C3">
              <w:rPr>
                <w:rFonts w:ascii="Arial" w:eastAsia="Arial" w:hAnsi="Arial" w:cs="Arial"/>
                <w:color w:val="000000"/>
                <w:sz w:val="16"/>
              </w:rPr>
              <w:t>4,456 </w:t>
            </w:r>
          </w:p>
        </w:tc>
      </w:tr>
      <w:tr w:rsidR="00FB7D0B" w14:paraId="1368A920" w14:textId="77777777" w:rsidTr="00FB7D0B">
        <w:trPr>
          <w:trHeight w:val="225"/>
        </w:trPr>
        <w:tc>
          <w:tcPr>
            <w:tcW w:w="180" w:type="dxa"/>
            <w:tcBorders>
              <w:top w:val="nil"/>
              <w:left w:val="nil"/>
              <w:bottom w:val="nil"/>
              <w:right w:val="nil"/>
              <w:tl2br w:val="nil"/>
              <w:tr2bl w:val="nil"/>
            </w:tcBorders>
            <w:shd w:val="clear" w:color="auto" w:fill="FFFFFF"/>
            <w:tcMar>
              <w:left w:w="115" w:type="dxa"/>
              <w:right w:w="115" w:type="dxa"/>
            </w:tcMar>
            <w:vAlign w:val="bottom"/>
          </w:tcPr>
          <w:p w14:paraId="4D43B8CC" w14:textId="77777777" w:rsidR="003F0EEA" w:rsidRPr="008C27C3" w:rsidRDefault="003F0EEA">
            <w:pPr>
              <w:rPr>
                <w:rFonts w:ascii="Arial" w:eastAsia="Arial" w:hAnsi="Arial" w:cs="Arial"/>
                <w:color w:val="000000"/>
                <w:sz w:val="16"/>
              </w:rPr>
            </w:pPr>
          </w:p>
        </w:tc>
        <w:tc>
          <w:tcPr>
            <w:tcW w:w="2655" w:type="dxa"/>
            <w:gridSpan w:val="2"/>
            <w:tcBorders>
              <w:top w:val="nil"/>
              <w:left w:val="nil"/>
              <w:bottom w:val="nil"/>
              <w:right w:val="nil"/>
              <w:tl2br w:val="nil"/>
              <w:tr2bl w:val="nil"/>
            </w:tcBorders>
            <w:shd w:val="clear" w:color="auto" w:fill="FFFFFF"/>
            <w:tcMar>
              <w:left w:w="115" w:type="dxa"/>
              <w:right w:w="115" w:type="dxa"/>
            </w:tcMar>
            <w:vAlign w:val="bottom"/>
          </w:tcPr>
          <w:p w14:paraId="3A155628" w14:textId="77777777" w:rsidR="003F0EEA" w:rsidRPr="008C27C3" w:rsidRDefault="00FB7D0B">
            <w:pPr>
              <w:rPr>
                <w:rFonts w:ascii="Arial" w:eastAsia="Arial" w:hAnsi="Arial" w:cs="Arial"/>
                <w:color w:val="000000"/>
                <w:sz w:val="16"/>
              </w:rPr>
            </w:pPr>
            <w:r w:rsidRPr="008C27C3">
              <w:rPr>
                <w:rFonts w:ascii="Arial" w:eastAsia="Arial" w:hAnsi="Arial" w:cs="Arial"/>
                <w:b/>
                <w:color w:val="000000"/>
                <w:sz w:val="16"/>
              </w:rPr>
              <w:t>Total</w:t>
            </w:r>
          </w:p>
        </w:tc>
        <w:tc>
          <w:tcPr>
            <w:tcW w:w="90" w:type="dxa"/>
            <w:tcBorders>
              <w:top w:val="nil"/>
              <w:left w:val="nil"/>
              <w:bottom w:val="nil"/>
              <w:right w:val="nil"/>
              <w:tl2br w:val="nil"/>
              <w:tr2bl w:val="nil"/>
            </w:tcBorders>
            <w:shd w:val="clear" w:color="auto" w:fill="FFFFFF"/>
            <w:tcMar>
              <w:left w:w="115" w:type="dxa"/>
              <w:right w:w="115" w:type="dxa"/>
            </w:tcMar>
            <w:vAlign w:val="bottom"/>
          </w:tcPr>
          <w:p w14:paraId="5F971385" w14:textId="77777777" w:rsidR="003F0EEA" w:rsidRPr="008C27C3" w:rsidRDefault="003F0EEA">
            <w:pPr>
              <w:jc w:val="center"/>
              <w:rPr>
                <w:rFonts w:ascii="Arial" w:eastAsia="Arial" w:hAnsi="Arial" w:cs="Arial"/>
                <w:b/>
                <w:color w:val="000000"/>
                <w:sz w:val="16"/>
                <w:vertAlign w:val="superscript"/>
              </w:rPr>
            </w:pPr>
          </w:p>
        </w:tc>
        <w:tc>
          <w:tcPr>
            <w:tcW w:w="1080" w:type="dxa"/>
            <w:tcBorders>
              <w:top w:val="nil"/>
              <w:left w:val="nil"/>
              <w:bottom w:val="nil"/>
              <w:right w:val="nil"/>
              <w:tl2br w:val="nil"/>
              <w:tr2bl w:val="nil"/>
            </w:tcBorders>
            <w:shd w:val="clear" w:color="auto" w:fill="FFFFFF"/>
            <w:tcMar>
              <w:left w:w="115" w:type="dxa"/>
              <w:right w:w="115" w:type="dxa"/>
            </w:tcMar>
            <w:vAlign w:val="bottom"/>
          </w:tcPr>
          <w:p w14:paraId="41D4D119" w14:textId="77777777" w:rsidR="003F0EEA" w:rsidRPr="008C27C3" w:rsidRDefault="00FB7D0B">
            <w:pPr>
              <w:jc w:val="right"/>
              <w:rPr>
                <w:rFonts w:ascii="Arial" w:eastAsia="Arial" w:hAnsi="Arial" w:cs="Arial"/>
                <w:color w:val="000000"/>
                <w:sz w:val="16"/>
                <w:vertAlign w:val="superscript"/>
              </w:rPr>
            </w:pPr>
            <w:r w:rsidRPr="008C27C3">
              <w:rPr>
                <w:rFonts w:ascii="Arial" w:eastAsia="Arial" w:hAnsi="Arial" w:cs="Arial"/>
                <w:b/>
                <w:color w:val="000000"/>
                <w:sz w:val="16"/>
              </w:rPr>
              <w:t xml:space="preserve"> - </w:t>
            </w:r>
          </w:p>
        </w:tc>
        <w:tc>
          <w:tcPr>
            <w:tcW w:w="90" w:type="dxa"/>
            <w:tcBorders>
              <w:top w:val="nil"/>
              <w:left w:val="nil"/>
              <w:bottom w:val="nil"/>
              <w:right w:val="nil"/>
              <w:tl2br w:val="nil"/>
              <w:tr2bl w:val="nil"/>
            </w:tcBorders>
            <w:shd w:val="clear" w:color="auto" w:fill="FFFFFF"/>
            <w:tcMar>
              <w:left w:w="115" w:type="dxa"/>
              <w:right w:w="115" w:type="dxa"/>
            </w:tcMar>
            <w:vAlign w:val="bottom"/>
          </w:tcPr>
          <w:p w14:paraId="1C66889F" w14:textId="77777777" w:rsidR="003F0EEA" w:rsidRPr="008C27C3" w:rsidRDefault="003F0EEA">
            <w:pPr>
              <w:rPr>
                <w:rFonts w:ascii="Arial" w:eastAsia="Arial" w:hAnsi="Arial" w:cs="Arial"/>
                <w:b/>
                <w:color w:val="000000"/>
                <w:sz w:val="16"/>
              </w:rPr>
            </w:pPr>
          </w:p>
        </w:tc>
        <w:tc>
          <w:tcPr>
            <w:tcW w:w="930" w:type="dxa"/>
            <w:tcBorders>
              <w:top w:val="nil"/>
              <w:left w:val="nil"/>
              <w:bottom w:val="nil"/>
              <w:right w:val="nil"/>
              <w:tl2br w:val="nil"/>
              <w:tr2bl w:val="nil"/>
            </w:tcBorders>
            <w:shd w:val="clear" w:color="auto" w:fill="FFFFFF"/>
            <w:tcMar>
              <w:left w:w="115" w:type="dxa"/>
              <w:right w:w="115" w:type="dxa"/>
            </w:tcMar>
            <w:vAlign w:val="bottom"/>
          </w:tcPr>
          <w:p w14:paraId="2493FBC1" w14:textId="77777777" w:rsidR="003F0EEA" w:rsidRPr="008C27C3" w:rsidRDefault="00FB7D0B">
            <w:pPr>
              <w:jc w:val="right"/>
              <w:rPr>
                <w:rFonts w:ascii="Arial" w:eastAsia="Arial" w:hAnsi="Arial" w:cs="Arial"/>
                <w:color w:val="000000"/>
                <w:sz w:val="16"/>
              </w:rPr>
            </w:pPr>
            <w:r w:rsidRPr="008C27C3">
              <w:rPr>
                <w:rFonts w:ascii="Arial" w:eastAsia="Arial" w:hAnsi="Arial" w:cs="Arial"/>
                <w:b/>
                <w:color w:val="000000"/>
                <w:sz w:val="16"/>
              </w:rPr>
              <w:t>11,264 </w:t>
            </w:r>
          </w:p>
        </w:tc>
        <w:tc>
          <w:tcPr>
            <w:tcW w:w="90" w:type="dxa"/>
            <w:tcBorders>
              <w:top w:val="nil"/>
              <w:left w:val="nil"/>
              <w:bottom w:val="nil"/>
              <w:right w:val="nil"/>
              <w:tl2br w:val="nil"/>
              <w:tr2bl w:val="nil"/>
            </w:tcBorders>
            <w:shd w:val="clear" w:color="auto" w:fill="FFFFFF"/>
            <w:tcMar>
              <w:left w:w="115" w:type="dxa"/>
              <w:right w:w="115" w:type="dxa"/>
            </w:tcMar>
            <w:vAlign w:val="bottom"/>
          </w:tcPr>
          <w:p w14:paraId="5C2DD33C" w14:textId="77777777" w:rsidR="003F0EEA" w:rsidRPr="008C27C3" w:rsidRDefault="003F0EEA">
            <w:pPr>
              <w:rPr>
                <w:rFonts w:ascii="Arial" w:eastAsia="Arial" w:hAnsi="Arial" w:cs="Arial"/>
                <w:b/>
                <w:color w:val="000000"/>
                <w:sz w:val="16"/>
              </w:rPr>
            </w:pPr>
          </w:p>
        </w:tc>
        <w:tc>
          <w:tcPr>
            <w:tcW w:w="930" w:type="dxa"/>
            <w:tcBorders>
              <w:top w:val="nil"/>
              <w:left w:val="nil"/>
              <w:bottom w:val="nil"/>
              <w:right w:val="nil"/>
              <w:tl2br w:val="nil"/>
              <w:tr2bl w:val="nil"/>
            </w:tcBorders>
            <w:shd w:val="clear" w:color="auto" w:fill="C0C0C0"/>
            <w:tcMar>
              <w:left w:w="115" w:type="dxa"/>
              <w:right w:w="115" w:type="dxa"/>
            </w:tcMar>
            <w:vAlign w:val="bottom"/>
          </w:tcPr>
          <w:p w14:paraId="650D8082" w14:textId="77777777" w:rsidR="003F0EEA" w:rsidRPr="008C27C3" w:rsidRDefault="00FB7D0B">
            <w:pPr>
              <w:jc w:val="right"/>
              <w:rPr>
                <w:rFonts w:ascii="Arial" w:eastAsia="Arial" w:hAnsi="Arial" w:cs="Arial"/>
                <w:color w:val="000000"/>
                <w:sz w:val="16"/>
              </w:rPr>
            </w:pPr>
            <w:r w:rsidRPr="008C27C3">
              <w:rPr>
                <w:rFonts w:ascii="Arial" w:eastAsia="Arial" w:hAnsi="Arial" w:cs="Arial"/>
                <w:b/>
                <w:color w:val="000000"/>
                <w:sz w:val="16"/>
              </w:rPr>
              <w:t>11,264 </w:t>
            </w:r>
          </w:p>
        </w:tc>
        <w:tc>
          <w:tcPr>
            <w:tcW w:w="1155" w:type="dxa"/>
            <w:tcBorders>
              <w:top w:val="nil"/>
              <w:left w:val="nil"/>
              <w:bottom w:val="nil"/>
              <w:right w:val="nil"/>
              <w:tl2br w:val="nil"/>
              <w:tr2bl w:val="nil"/>
            </w:tcBorders>
            <w:shd w:val="clear" w:color="auto" w:fill="FFFFFF"/>
            <w:tcMar>
              <w:left w:w="115" w:type="dxa"/>
              <w:right w:w="115" w:type="dxa"/>
            </w:tcMar>
            <w:vAlign w:val="bottom"/>
          </w:tcPr>
          <w:p w14:paraId="5207E1A7" w14:textId="77777777" w:rsidR="003F0EEA" w:rsidRPr="008C27C3" w:rsidRDefault="00FB7D0B">
            <w:pPr>
              <w:jc w:val="right"/>
              <w:rPr>
                <w:rFonts w:ascii="Arial" w:eastAsia="Arial" w:hAnsi="Arial" w:cs="Arial"/>
                <w:b/>
                <w:color w:val="000000"/>
                <w:sz w:val="16"/>
              </w:rPr>
            </w:pPr>
            <w:r w:rsidRPr="008C27C3">
              <w:rPr>
                <w:rFonts w:ascii="Arial" w:eastAsia="Arial" w:hAnsi="Arial" w:cs="Arial"/>
                <w:b/>
                <w:color w:val="000000"/>
                <w:sz w:val="16"/>
              </w:rPr>
              <w:t>10,569 </w:t>
            </w:r>
          </w:p>
        </w:tc>
      </w:tr>
      <w:tr w:rsidR="00724034" w14:paraId="506E15C0" w14:textId="77777777">
        <w:trPr>
          <w:trHeight w:val="60"/>
        </w:trPr>
        <w:tc>
          <w:tcPr>
            <w:tcW w:w="180" w:type="dxa"/>
            <w:tcBorders>
              <w:top w:val="nil"/>
              <w:left w:val="nil"/>
              <w:bottom w:val="nil"/>
              <w:right w:val="nil"/>
              <w:tl2br w:val="nil"/>
              <w:tr2bl w:val="nil"/>
            </w:tcBorders>
            <w:shd w:val="clear" w:color="auto" w:fill="FFFFFF"/>
            <w:tcMar>
              <w:left w:w="115" w:type="dxa"/>
              <w:right w:w="115" w:type="dxa"/>
            </w:tcMar>
            <w:vAlign w:val="bottom"/>
          </w:tcPr>
          <w:p w14:paraId="312CE1DB" w14:textId="77777777" w:rsidR="003F0EEA" w:rsidRPr="008C27C3" w:rsidRDefault="003F0EEA">
            <w:pPr>
              <w:rPr>
                <w:rFonts w:ascii="Arial" w:eastAsia="Arial" w:hAnsi="Arial" w:cs="Arial"/>
                <w:b/>
                <w:color w:val="000000"/>
                <w:sz w:val="16"/>
              </w:rPr>
            </w:pPr>
          </w:p>
        </w:tc>
        <w:tc>
          <w:tcPr>
            <w:tcW w:w="180" w:type="dxa"/>
            <w:tcBorders>
              <w:top w:val="nil"/>
              <w:left w:val="nil"/>
              <w:bottom w:val="nil"/>
              <w:right w:val="nil"/>
              <w:tl2br w:val="nil"/>
              <w:tr2bl w:val="nil"/>
            </w:tcBorders>
            <w:shd w:val="clear" w:color="auto" w:fill="FFFFFF"/>
            <w:tcMar>
              <w:left w:w="115" w:type="dxa"/>
              <w:right w:w="115" w:type="dxa"/>
            </w:tcMar>
            <w:vAlign w:val="bottom"/>
          </w:tcPr>
          <w:p w14:paraId="21E14F00" w14:textId="77777777" w:rsidR="003F0EEA" w:rsidRPr="008C27C3" w:rsidRDefault="003F0EEA">
            <w:pPr>
              <w:rPr>
                <w:rFonts w:ascii="Arial" w:eastAsia="Arial" w:hAnsi="Arial" w:cs="Arial"/>
                <w:b/>
                <w:color w:val="000000"/>
                <w:sz w:val="16"/>
              </w:rPr>
            </w:pPr>
          </w:p>
        </w:tc>
        <w:tc>
          <w:tcPr>
            <w:tcW w:w="2475" w:type="dxa"/>
            <w:tcBorders>
              <w:top w:val="nil"/>
              <w:left w:val="nil"/>
              <w:bottom w:val="nil"/>
              <w:right w:val="nil"/>
              <w:tl2br w:val="nil"/>
              <w:tr2bl w:val="nil"/>
            </w:tcBorders>
            <w:shd w:val="clear" w:color="auto" w:fill="FFFFFF"/>
            <w:tcMar>
              <w:left w:w="115" w:type="dxa"/>
              <w:right w:w="115" w:type="dxa"/>
            </w:tcMar>
            <w:vAlign w:val="bottom"/>
          </w:tcPr>
          <w:p w14:paraId="5BA06E91" w14:textId="77777777" w:rsidR="003F0EEA" w:rsidRPr="008C27C3" w:rsidRDefault="003F0EEA">
            <w:pPr>
              <w:rPr>
                <w:rFonts w:ascii="Arial" w:eastAsia="Arial" w:hAnsi="Arial" w:cs="Arial"/>
                <w:b/>
                <w:color w:val="000000"/>
                <w:sz w:val="16"/>
              </w:rPr>
            </w:pPr>
          </w:p>
        </w:tc>
        <w:tc>
          <w:tcPr>
            <w:tcW w:w="90" w:type="dxa"/>
            <w:tcBorders>
              <w:top w:val="nil"/>
              <w:left w:val="nil"/>
              <w:bottom w:val="nil"/>
              <w:right w:val="nil"/>
              <w:tl2br w:val="nil"/>
              <w:tr2bl w:val="nil"/>
            </w:tcBorders>
            <w:shd w:val="clear" w:color="auto" w:fill="FFFFFF"/>
            <w:tcMar>
              <w:left w:w="115" w:type="dxa"/>
              <w:right w:w="115" w:type="dxa"/>
            </w:tcMar>
            <w:vAlign w:val="bottom"/>
          </w:tcPr>
          <w:p w14:paraId="34BE9A07" w14:textId="77777777" w:rsidR="003F0EEA" w:rsidRPr="008C27C3" w:rsidRDefault="003F0EEA">
            <w:pPr>
              <w:jc w:val="center"/>
              <w:rPr>
                <w:rFonts w:ascii="Arial" w:eastAsia="Arial" w:hAnsi="Arial" w:cs="Arial"/>
                <w:b/>
                <w:color w:val="000000"/>
                <w:sz w:val="16"/>
                <w:vertAlign w:val="superscript"/>
              </w:rPr>
            </w:pPr>
          </w:p>
        </w:tc>
        <w:tc>
          <w:tcPr>
            <w:tcW w:w="1080"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0F27C0DC" w14:textId="77777777" w:rsidR="003F0EEA" w:rsidRPr="008C27C3" w:rsidRDefault="003F0EEA">
            <w:pPr>
              <w:jc w:val="right"/>
              <w:rPr>
                <w:rFonts w:ascii="Arial" w:eastAsia="Arial" w:hAnsi="Arial" w:cs="Arial"/>
                <w:color w:val="000000"/>
                <w:sz w:val="16"/>
                <w:vertAlign w:val="superscript"/>
              </w:rPr>
            </w:pPr>
          </w:p>
        </w:tc>
        <w:tc>
          <w:tcPr>
            <w:tcW w:w="90"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031E61E3" w14:textId="77777777" w:rsidR="003F0EEA" w:rsidRPr="008C27C3" w:rsidRDefault="003F0EEA">
            <w:pPr>
              <w:rPr>
                <w:rFonts w:ascii="Arial" w:eastAsia="Arial" w:hAnsi="Arial" w:cs="Arial"/>
                <w:color w:val="000000"/>
                <w:sz w:val="16"/>
                <w:vertAlign w:val="superscript"/>
              </w:rPr>
            </w:pPr>
          </w:p>
        </w:tc>
        <w:tc>
          <w:tcPr>
            <w:tcW w:w="930"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3F9DEA27" w14:textId="77777777" w:rsidR="003F0EEA" w:rsidRPr="008C27C3" w:rsidRDefault="003F0EEA">
            <w:pPr>
              <w:jc w:val="right"/>
              <w:rPr>
                <w:rFonts w:ascii="Arial" w:eastAsia="Arial" w:hAnsi="Arial" w:cs="Arial"/>
                <w:color w:val="000000"/>
                <w:sz w:val="16"/>
                <w:vertAlign w:val="superscript"/>
              </w:rPr>
            </w:pPr>
          </w:p>
        </w:tc>
        <w:tc>
          <w:tcPr>
            <w:tcW w:w="90"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282CA5DA" w14:textId="77777777" w:rsidR="003F0EEA" w:rsidRPr="008C27C3" w:rsidRDefault="003F0EEA">
            <w:pPr>
              <w:rPr>
                <w:rFonts w:ascii="Arial" w:eastAsia="Arial" w:hAnsi="Arial" w:cs="Arial"/>
                <w:color w:val="000000"/>
                <w:sz w:val="16"/>
                <w:vertAlign w:val="superscript"/>
              </w:rPr>
            </w:pPr>
          </w:p>
        </w:tc>
        <w:tc>
          <w:tcPr>
            <w:tcW w:w="930" w:type="dxa"/>
            <w:tcBorders>
              <w:top w:val="nil"/>
              <w:left w:val="nil"/>
              <w:bottom w:val="single" w:sz="6" w:space="0" w:color="000000"/>
              <w:right w:val="nil"/>
              <w:tl2br w:val="nil"/>
              <w:tr2bl w:val="nil"/>
            </w:tcBorders>
            <w:shd w:val="clear" w:color="auto" w:fill="C0C0C0"/>
            <w:tcMar>
              <w:left w:w="115" w:type="dxa"/>
              <w:right w:w="115" w:type="dxa"/>
            </w:tcMar>
            <w:vAlign w:val="bottom"/>
          </w:tcPr>
          <w:p w14:paraId="53E351D8" w14:textId="77777777" w:rsidR="003F0EEA" w:rsidRPr="008C27C3" w:rsidRDefault="003F0EEA">
            <w:pPr>
              <w:jc w:val="right"/>
              <w:rPr>
                <w:rFonts w:ascii="Arial" w:eastAsia="Arial" w:hAnsi="Arial" w:cs="Arial"/>
                <w:color w:val="000000"/>
                <w:sz w:val="16"/>
                <w:vertAlign w:val="superscript"/>
              </w:rPr>
            </w:pPr>
          </w:p>
        </w:tc>
        <w:tc>
          <w:tcPr>
            <w:tcW w:w="1155"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52C7A768" w14:textId="77777777" w:rsidR="003F0EEA" w:rsidRPr="008C27C3" w:rsidRDefault="003F0EEA">
            <w:pPr>
              <w:jc w:val="right"/>
              <w:rPr>
                <w:rFonts w:ascii="Arial" w:eastAsia="Arial" w:hAnsi="Arial" w:cs="Arial"/>
                <w:color w:val="000000"/>
                <w:sz w:val="16"/>
                <w:vertAlign w:val="superscript"/>
              </w:rPr>
            </w:pPr>
          </w:p>
        </w:tc>
      </w:tr>
      <w:tr w:rsidR="00FB7D0B" w14:paraId="4C83D05A" w14:textId="77777777" w:rsidTr="00FB7D0B">
        <w:trPr>
          <w:trHeight w:val="225"/>
        </w:trPr>
        <w:tc>
          <w:tcPr>
            <w:tcW w:w="2835" w:type="dxa"/>
            <w:gridSpan w:val="3"/>
            <w:tcBorders>
              <w:top w:val="nil"/>
              <w:left w:val="nil"/>
              <w:bottom w:val="single" w:sz="6" w:space="0" w:color="000000"/>
              <w:right w:val="nil"/>
              <w:tl2br w:val="nil"/>
              <w:tr2bl w:val="nil"/>
            </w:tcBorders>
            <w:shd w:val="clear" w:color="auto" w:fill="FFFFFF"/>
            <w:tcMar>
              <w:left w:w="115" w:type="dxa"/>
              <w:right w:w="115" w:type="dxa"/>
            </w:tcMar>
            <w:vAlign w:val="bottom"/>
          </w:tcPr>
          <w:p w14:paraId="2A453FD7" w14:textId="77777777" w:rsidR="003F0EEA" w:rsidRPr="008C27C3" w:rsidRDefault="00FB7D0B">
            <w:pPr>
              <w:rPr>
                <w:rFonts w:ascii="Arial" w:eastAsia="Arial" w:hAnsi="Arial" w:cs="Arial"/>
                <w:color w:val="000000"/>
                <w:sz w:val="16"/>
                <w:vertAlign w:val="superscript"/>
              </w:rPr>
            </w:pPr>
            <w:r w:rsidRPr="008C27C3">
              <w:rPr>
                <w:rFonts w:ascii="Arial" w:eastAsia="Arial" w:hAnsi="Arial" w:cs="Arial"/>
                <w:b/>
                <w:color w:val="000000"/>
                <w:sz w:val="16"/>
              </w:rPr>
              <w:t>Total net resourcing for agency</w:t>
            </w:r>
          </w:p>
        </w:tc>
        <w:tc>
          <w:tcPr>
            <w:tcW w:w="90"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3DAEF3D2" w14:textId="77777777" w:rsidR="003F0EEA" w:rsidRPr="008C27C3" w:rsidRDefault="003F0EEA">
            <w:pPr>
              <w:jc w:val="center"/>
              <w:rPr>
                <w:rFonts w:ascii="Arial" w:eastAsia="Arial" w:hAnsi="Arial" w:cs="Arial"/>
                <w:b/>
                <w:color w:val="000000"/>
                <w:sz w:val="16"/>
                <w:vertAlign w:val="superscript"/>
              </w:rPr>
            </w:pPr>
          </w:p>
        </w:tc>
        <w:tc>
          <w:tcPr>
            <w:tcW w:w="1080" w:type="dxa"/>
            <w:tcBorders>
              <w:top w:val="single" w:sz="6" w:space="0" w:color="000000"/>
              <w:left w:val="nil"/>
              <w:bottom w:val="single" w:sz="6" w:space="0" w:color="000000"/>
              <w:right w:val="nil"/>
              <w:tl2br w:val="nil"/>
              <w:tr2bl w:val="nil"/>
            </w:tcBorders>
            <w:shd w:val="clear" w:color="auto" w:fill="FFFFFF"/>
            <w:tcMar>
              <w:left w:w="115" w:type="dxa"/>
              <w:right w:w="115" w:type="dxa"/>
            </w:tcMar>
            <w:vAlign w:val="bottom"/>
          </w:tcPr>
          <w:p w14:paraId="7BCC9B86" w14:textId="77777777" w:rsidR="003F0EEA" w:rsidRPr="008C27C3" w:rsidRDefault="00FB7D0B">
            <w:pPr>
              <w:jc w:val="right"/>
              <w:rPr>
                <w:rFonts w:ascii="Arial" w:eastAsia="Arial" w:hAnsi="Arial" w:cs="Arial"/>
                <w:b/>
                <w:color w:val="000000"/>
                <w:sz w:val="16"/>
                <w:vertAlign w:val="superscript"/>
              </w:rPr>
            </w:pPr>
            <w:r w:rsidRPr="008C27C3">
              <w:rPr>
                <w:rFonts w:ascii="Arial" w:eastAsia="Arial" w:hAnsi="Arial" w:cs="Arial"/>
                <w:b/>
                <w:color w:val="000000"/>
                <w:sz w:val="16"/>
              </w:rPr>
              <w:t>82,896 </w:t>
            </w:r>
          </w:p>
        </w:tc>
        <w:tc>
          <w:tcPr>
            <w:tcW w:w="90" w:type="dxa"/>
            <w:tcBorders>
              <w:top w:val="single" w:sz="6" w:space="0" w:color="000000"/>
              <w:left w:val="nil"/>
              <w:bottom w:val="single" w:sz="6" w:space="0" w:color="000000"/>
              <w:right w:val="nil"/>
              <w:tl2br w:val="nil"/>
              <w:tr2bl w:val="nil"/>
            </w:tcBorders>
            <w:shd w:val="clear" w:color="auto" w:fill="FFFFFF"/>
            <w:tcMar>
              <w:left w:w="115" w:type="dxa"/>
              <w:right w:w="115" w:type="dxa"/>
            </w:tcMar>
            <w:vAlign w:val="bottom"/>
          </w:tcPr>
          <w:p w14:paraId="73775485" w14:textId="77777777" w:rsidR="003F0EEA" w:rsidRPr="008C27C3" w:rsidRDefault="003F0EEA">
            <w:pPr>
              <w:rPr>
                <w:rFonts w:ascii="Arial" w:eastAsia="Arial" w:hAnsi="Arial" w:cs="Arial"/>
                <w:b/>
                <w:color w:val="000000"/>
                <w:sz w:val="16"/>
              </w:rPr>
            </w:pPr>
          </w:p>
        </w:tc>
        <w:tc>
          <w:tcPr>
            <w:tcW w:w="930" w:type="dxa"/>
            <w:tcBorders>
              <w:top w:val="single" w:sz="6" w:space="0" w:color="000000"/>
              <w:left w:val="nil"/>
              <w:bottom w:val="single" w:sz="6" w:space="0" w:color="000000"/>
              <w:right w:val="nil"/>
              <w:tl2br w:val="nil"/>
              <w:tr2bl w:val="nil"/>
            </w:tcBorders>
            <w:shd w:val="clear" w:color="auto" w:fill="FFFFFF"/>
            <w:tcMar>
              <w:left w:w="115" w:type="dxa"/>
              <w:right w:w="115" w:type="dxa"/>
            </w:tcMar>
            <w:vAlign w:val="bottom"/>
          </w:tcPr>
          <w:p w14:paraId="43F2616F" w14:textId="77777777" w:rsidR="003F0EEA" w:rsidRPr="008C27C3" w:rsidRDefault="00FB7D0B">
            <w:pPr>
              <w:jc w:val="right"/>
              <w:rPr>
                <w:rFonts w:ascii="Arial" w:eastAsia="Arial" w:hAnsi="Arial" w:cs="Arial"/>
                <w:b/>
                <w:color w:val="000000"/>
                <w:sz w:val="16"/>
              </w:rPr>
            </w:pPr>
            <w:r w:rsidRPr="008C27C3">
              <w:rPr>
                <w:rFonts w:ascii="Arial" w:eastAsia="Arial" w:hAnsi="Arial" w:cs="Arial"/>
                <w:b/>
                <w:color w:val="000000"/>
                <w:sz w:val="16"/>
              </w:rPr>
              <w:t>63,116 </w:t>
            </w:r>
          </w:p>
        </w:tc>
        <w:tc>
          <w:tcPr>
            <w:tcW w:w="90" w:type="dxa"/>
            <w:tcBorders>
              <w:top w:val="single" w:sz="6" w:space="0" w:color="000000"/>
              <w:left w:val="nil"/>
              <w:bottom w:val="single" w:sz="6" w:space="0" w:color="000000"/>
              <w:right w:val="nil"/>
              <w:tl2br w:val="nil"/>
              <w:tr2bl w:val="nil"/>
            </w:tcBorders>
            <w:shd w:val="clear" w:color="auto" w:fill="FFFFFF"/>
            <w:tcMar>
              <w:left w:w="115" w:type="dxa"/>
              <w:right w:w="115" w:type="dxa"/>
            </w:tcMar>
            <w:vAlign w:val="bottom"/>
          </w:tcPr>
          <w:p w14:paraId="4490C78D" w14:textId="77777777" w:rsidR="003F0EEA" w:rsidRPr="008C27C3" w:rsidRDefault="003F0EEA">
            <w:pPr>
              <w:rPr>
                <w:rFonts w:ascii="Arial" w:eastAsia="Arial" w:hAnsi="Arial" w:cs="Arial"/>
                <w:b/>
                <w:color w:val="000000"/>
                <w:sz w:val="16"/>
              </w:rPr>
            </w:pPr>
          </w:p>
        </w:tc>
        <w:tc>
          <w:tcPr>
            <w:tcW w:w="930" w:type="dxa"/>
            <w:tcBorders>
              <w:top w:val="single" w:sz="6" w:space="0" w:color="000000"/>
              <w:left w:val="nil"/>
              <w:bottom w:val="single" w:sz="6" w:space="0" w:color="000000"/>
              <w:right w:val="nil"/>
              <w:tl2br w:val="nil"/>
              <w:tr2bl w:val="nil"/>
            </w:tcBorders>
            <w:shd w:val="clear" w:color="auto" w:fill="C0C0C0"/>
            <w:tcMar>
              <w:left w:w="115" w:type="dxa"/>
              <w:right w:w="115" w:type="dxa"/>
            </w:tcMar>
            <w:vAlign w:val="bottom"/>
          </w:tcPr>
          <w:p w14:paraId="0144391A" w14:textId="77777777" w:rsidR="003F0EEA" w:rsidRPr="008C27C3" w:rsidRDefault="00FB7D0B">
            <w:pPr>
              <w:jc w:val="right"/>
              <w:rPr>
                <w:rFonts w:ascii="Arial" w:eastAsia="Arial" w:hAnsi="Arial" w:cs="Arial"/>
                <w:b/>
                <w:color w:val="000000"/>
                <w:sz w:val="16"/>
              </w:rPr>
            </w:pPr>
            <w:r w:rsidRPr="008C27C3">
              <w:rPr>
                <w:rFonts w:ascii="Arial" w:eastAsia="Arial" w:hAnsi="Arial" w:cs="Arial"/>
                <w:b/>
                <w:color w:val="000000"/>
                <w:sz w:val="16"/>
              </w:rPr>
              <w:t>146,012 </w:t>
            </w:r>
          </w:p>
        </w:tc>
        <w:tc>
          <w:tcPr>
            <w:tcW w:w="1155" w:type="dxa"/>
            <w:tcBorders>
              <w:top w:val="single" w:sz="6" w:space="0" w:color="000000"/>
              <w:left w:val="nil"/>
              <w:bottom w:val="single" w:sz="6" w:space="0" w:color="000000"/>
              <w:right w:val="nil"/>
              <w:tl2br w:val="nil"/>
              <w:tr2bl w:val="nil"/>
            </w:tcBorders>
            <w:shd w:val="clear" w:color="auto" w:fill="FFFFFF"/>
            <w:tcMar>
              <w:left w:w="115" w:type="dxa"/>
              <w:right w:w="115" w:type="dxa"/>
            </w:tcMar>
            <w:vAlign w:val="bottom"/>
          </w:tcPr>
          <w:p w14:paraId="314F5BDC" w14:textId="77777777" w:rsidR="003F0EEA" w:rsidRPr="008C27C3" w:rsidRDefault="00FB7D0B">
            <w:pPr>
              <w:jc w:val="right"/>
              <w:rPr>
                <w:rFonts w:ascii="Arial" w:eastAsia="Arial" w:hAnsi="Arial" w:cs="Arial"/>
                <w:b/>
                <w:color w:val="000000"/>
                <w:sz w:val="16"/>
              </w:rPr>
            </w:pPr>
            <w:r w:rsidRPr="008C27C3">
              <w:rPr>
                <w:rFonts w:ascii="Arial" w:eastAsia="Arial" w:hAnsi="Arial" w:cs="Arial"/>
                <w:b/>
                <w:color w:val="000000"/>
                <w:sz w:val="16"/>
              </w:rPr>
              <w:t>145,100 </w:t>
            </w:r>
          </w:p>
        </w:tc>
      </w:tr>
    </w:tbl>
    <w:p w14:paraId="77DCF255" w14:textId="77777777" w:rsidR="003F0EEA" w:rsidRDefault="00FB7D0B" w:rsidP="003F0EEA">
      <w:pPr>
        <w:pStyle w:val="TableGraphic1"/>
        <w:rPr>
          <w:rFonts w:ascii="Arial" w:hAnsi="Arial" w:cs="Arial"/>
          <w:sz w:val="16"/>
          <w:szCs w:val="16"/>
        </w:rPr>
      </w:pPr>
      <w:r>
        <w:rPr>
          <w:rFonts w:ascii="Arial" w:hAnsi="Arial" w:cs="Arial"/>
          <w:sz w:val="16"/>
          <w:szCs w:val="16"/>
        </w:rPr>
        <w:t>All figures are GST exclusive.</w:t>
      </w:r>
    </w:p>
    <w:p w14:paraId="7249A31B" w14:textId="77777777" w:rsidR="003F0EEA" w:rsidRDefault="00FB7D0B" w:rsidP="003F0EEA">
      <w:pPr>
        <w:pStyle w:val="ChartandTableFootnote5"/>
        <w:ind w:left="0" w:firstLine="0"/>
        <w:rPr>
          <w:rFonts w:cs="Times New Roman"/>
        </w:rPr>
      </w:pPr>
      <w:r>
        <w:t>The Australian War Memorial (AWM) is not directly appropriated as it is a CAC Act body. Appropriations are made to the Department of Veterans' Affairs which are then paid them to the AWM and are considered 'departmental' for all purposes.</w:t>
      </w:r>
    </w:p>
    <w:p w14:paraId="0E03494F" w14:textId="77777777" w:rsidR="003F0EEA" w:rsidRDefault="00FB7D0B" w:rsidP="003F0EEA">
      <w:pPr>
        <w:pStyle w:val="ChartandTableFootnote5"/>
      </w:pPr>
      <w:r>
        <w:t>1.</w:t>
      </w:r>
      <w:r>
        <w:tab/>
        <w:t>Appropriation Bill (No. 1) 2014-15.</w:t>
      </w:r>
    </w:p>
    <w:p w14:paraId="2F2010F9" w14:textId="77777777" w:rsidR="003F0EEA" w:rsidRDefault="00FB7D0B" w:rsidP="003F0EEA">
      <w:pPr>
        <w:pStyle w:val="ChartandTableFootnote5"/>
      </w:pPr>
      <w:r>
        <w:t>2.</w:t>
      </w:r>
      <w:r>
        <w:tab/>
        <w:t>Appropriation Bill (No. 2) 2014-15.</w:t>
      </w:r>
    </w:p>
    <w:p w14:paraId="7C37FFEA" w14:textId="77777777" w:rsidR="003F0EEA" w:rsidRPr="00B221C4" w:rsidRDefault="00FB7D0B" w:rsidP="003F0EEA">
      <w:pPr>
        <w:pStyle w:val="Normal227"/>
        <w:rPr>
          <w:rFonts w:ascii="Arial" w:hAnsi="Arial" w:cs="Arial"/>
          <w:sz w:val="16"/>
          <w:szCs w:val="20"/>
        </w:rPr>
      </w:pPr>
      <w:r w:rsidRPr="00B221C4">
        <w:rPr>
          <w:rFonts w:ascii="Arial" w:hAnsi="Arial" w:cs="Arial"/>
          <w:sz w:val="16"/>
          <w:szCs w:val="20"/>
        </w:rPr>
        <w:t>The movement of funds between years relates to the planned expenditure for the Anzac Centenary Travelling Exhibition.</w:t>
      </w:r>
    </w:p>
    <w:p w14:paraId="0B619D96" w14:textId="77777777" w:rsidR="003F0EEA" w:rsidRPr="00B221C4" w:rsidRDefault="003F0EEA">
      <w:pPr>
        <w:rPr>
          <w:rFonts w:ascii="Arial" w:eastAsia="Times New Roman" w:hAnsi="Arial" w:cs="Arial"/>
          <w:sz w:val="16"/>
          <w:szCs w:val="20"/>
        </w:rPr>
        <w:sectPr w:rsidR="003F0EEA" w:rsidRPr="00B221C4">
          <w:pgSz w:w="10319" w:h="14572"/>
          <w:pgMar w:top="1077" w:right="1077" w:bottom="1134" w:left="1134" w:header="709" w:footer="709" w:gutter="0"/>
          <w:cols w:space="708"/>
        </w:sectPr>
      </w:pPr>
    </w:p>
    <w:p w14:paraId="3AE7346C" w14:textId="77777777" w:rsidR="003F0EEA" w:rsidRDefault="00FB7D0B" w:rsidP="003F0EEA">
      <w:pPr>
        <w:pStyle w:val="Heading311"/>
      </w:pPr>
      <w:r>
        <w:rPr>
          <w:rFonts w:cs="Arial"/>
        </w:rPr>
        <w:lastRenderedPageBreak/>
        <w:t>1.3</w:t>
      </w:r>
      <w:r>
        <w:rPr>
          <w:rFonts w:cs="Arial"/>
        </w:rPr>
        <w:tab/>
        <w:t>Budget measures</w:t>
      </w:r>
    </w:p>
    <w:p w14:paraId="52D2DE29" w14:textId="77777777" w:rsidR="003F0EEA" w:rsidRDefault="00FB7D0B" w:rsidP="003F0EEA">
      <w:pPr>
        <w:pStyle w:val="Normal228"/>
        <w:spacing w:after="0"/>
        <w:jc w:val="left"/>
      </w:pPr>
      <w:r>
        <w:t>Budget measures relating to the Australian War Memorial are detailed in Budget Paper No. 2 and are summarised below.</w:t>
      </w:r>
    </w:p>
    <w:p w14:paraId="7EA1BD4E" w14:textId="77777777" w:rsidR="003F0EEA" w:rsidRDefault="003F0EEA" w:rsidP="003F0EEA">
      <w:pPr>
        <w:pStyle w:val="Normal228"/>
        <w:spacing w:after="0"/>
        <w:jc w:val="left"/>
      </w:pPr>
    </w:p>
    <w:p w14:paraId="1DE8678D" w14:textId="77777777" w:rsidR="003F0EEA" w:rsidRDefault="00FB7D0B" w:rsidP="003F0EEA">
      <w:pPr>
        <w:pStyle w:val="TableHeadingcontinued11"/>
        <w:spacing w:before="0" w:after="0"/>
        <w:rPr>
          <w:rFonts w:ascii="Arial" w:hAnsi="Arial" w:cs="Arial"/>
        </w:rPr>
      </w:pPr>
      <w:r w:rsidRPr="00B54316">
        <w:rPr>
          <w:rFonts w:ascii="Arial" w:hAnsi="Arial" w:cs="Arial"/>
        </w:rPr>
        <w:t xml:space="preserve">Table 1.2: </w:t>
      </w:r>
      <w:r>
        <w:rPr>
          <w:rFonts w:ascii="Arial" w:hAnsi="Arial" w:cs="Arial"/>
        </w:rPr>
        <w:t>Agency 2014-15 Budget measures</w:t>
      </w:r>
    </w:p>
    <w:p w14:paraId="77D95CC4" w14:textId="77777777" w:rsidR="003F0EEA" w:rsidRPr="00F142B1" w:rsidRDefault="00FB7D0B" w:rsidP="003F0EEA">
      <w:pPr>
        <w:pStyle w:val="TableHeadingcontinued11"/>
        <w:spacing w:before="0" w:after="0"/>
        <w:rPr>
          <w:rFonts w:ascii="Arial" w:hAnsi="Arial" w:cs="Arial"/>
        </w:rPr>
      </w:pPr>
      <w:r w:rsidRPr="009218F2">
        <w:rPr>
          <w:rFonts w:ascii="Arial" w:hAnsi="Arial" w:cs="Arial"/>
        </w:rPr>
        <w:t>Part 1: Measures announced since the 2013-14 MYEFO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0"/>
        <w:gridCol w:w="1755"/>
        <w:gridCol w:w="735"/>
        <w:gridCol w:w="900"/>
        <w:gridCol w:w="1005"/>
        <w:gridCol w:w="1005"/>
        <w:gridCol w:w="1005"/>
        <w:gridCol w:w="1005"/>
        <w:gridCol w:w="1005"/>
      </w:tblGrid>
      <w:tr w:rsidR="00FB7D0B" w14:paraId="0F037F33" w14:textId="77777777" w:rsidTr="00FB7D0B">
        <w:trPr>
          <w:trHeight w:val="225"/>
        </w:trPr>
        <w:tc>
          <w:tcPr>
            <w:tcW w:w="180"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68C8D585" w14:textId="77777777" w:rsidR="003F0EEA" w:rsidRPr="00F142B1" w:rsidRDefault="003F0EEA">
            <w:pPr>
              <w:rPr>
                <w:rFonts w:ascii="Arial" w:eastAsia="Times New Roman" w:hAnsi="Arial" w:cs="Arial"/>
              </w:rPr>
            </w:pPr>
          </w:p>
        </w:tc>
        <w:tc>
          <w:tcPr>
            <w:tcW w:w="1755"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7BB43524" w14:textId="77777777" w:rsidR="003F0EEA" w:rsidRPr="00F142B1" w:rsidRDefault="003F0EEA">
            <w:pPr>
              <w:rPr>
                <w:rFonts w:ascii="Arial" w:eastAsia="Arial" w:hAnsi="Arial" w:cs="Arial"/>
                <w:color w:val="000000"/>
                <w:sz w:val="16"/>
              </w:rPr>
            </w:pPr>
          </w:p>
        </w:tc>
        <w:tc>
          <w:tcPr>
            <w:tcW w:w="1635" w:type="dxa"/>
            <w:gridSpan w:val="2"/>
            <w:tcBorders>
              <w:top w:val="single" w:sz="6" w:space="0" w:color="000000"/>
              <w:left w:val="nil"/>
              <w:bottom w:val="nil"/>
              <w:right w:val="nil"/>
              <w:tl2br w:val="nil"/>
              <w:tr2bl w:val="nil"/>
            </w:tcBorders>
            <w:shd w:val="clear" w:color="auto" w:fill="FFFFFF"/>
            <w:tcMar>
              <w:left w:w="115" w:type="dxa"/>
              <w:right w:w="115" w:type="dxa"/>
            </w:tcMar>
            <w:vAlign w:val="bottom"/>
          </w:tcPr>
          <w:p w14:paraId="4B67A083" w14:textId="77777777" w:rsidR="003F0EEA" w:rsidRPr="00F142B1" w:rsidRDefault="00FB7D0B">
            <w:pPr>
              <w:jc w:val="right"/>
              <w:rPr>
                <w:rFonts w:ascii="Arial" w:eastAsia="Arial" w:hAnsi="Arial" w:cs="Arial"/>
                <w:color w:val="000000"/>
                <w:sz w:val="16"/>
              </w:rPr>
            </w:pPr>
            <w:r w:rsidRPr="00F142B1">
              <w:rPr>
                <w:rFonts w:ascii="Arial" w:eastAsia="Arial" w:hAnsi="Arial" w:cs="Arial"/>
                <w:color w:val="000000"/>
                <w:sz w:val="16"/>
              </w:rPr>
              <w:t>Programme</w:t>
            </w:r>
          </w:p>
        </w:tc>
        <w:tc>
          <w:tcPr>
            <w:tcW w:w="1005" w:type="dxa"/>
            <w:tcBorders>
              <w:top w:val="single" w:sz="6" w:space="0" w:color="000000"/>
              <w:left w:val="nil"/>
              <w:bottom w:val="nil"/>
              <w:right w:val="nil"/>
              <w:tl2br w:val="nil"/>
              <w:tr2bl w:val="nil"/>
            </w:tcBorders>
            <w:shd w:val="clear" w:color="auto" w:fill="C0C0C0"/>
            <w:tcMar>
              <w:left w:w="115" w:type="dxa"/>
              <w:right w:w="115" w:type="dxa"/>
            </w:tcMar>
            <w:vAlign w:val="bottom"/>
          </w:tcPr>
          <w:p w14:paraId="618593EF" w14:textId="77777777" w:rsidR="003F0EEA" w:rsidRPr="00F142B1" w:rsidRDefault="00FB7D0B">
            <w:pPr>
              <w:jc w:val="right"/>
              <w:rPr>
                <w:rFonts w:ascii="Arial" w:eastAsia="Arial" w:hAnsi="Arial" w:cs="Arial"/>
                <w:color w:val="000000"/>
                <w:sz w:val="16"/>
              </w:rPr>
            </w:pPr>
            <w:r w:rsidRPr="00F142B1">
              <w:rPr>
                <w:rFonts w:ascii="Arial" w:eastAsia="Arial" w:hAnsi="Arial" w:cs="Arial"/>
                <w:color w:val="000000"/>
                <w:sz w:val="16"/>
              </w:rPr>
              <w:t>2013-14</w:t>
            </w:r>
          </w:p>
        </w:tc>
        <w:tc>
          <w:tcPr>
            <w:tcW w:w="1005"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5C892990" w14:textId="77777777" w:rsidR="003F0EEA" w:rsidRPr="00F142B1" w:rsidRDefault="00FB7D0B">
            <w:pPr>
              <w:jc w:val="right"/>
              <w:rPr>
                <w:rFonts w:ascii="Arial" w:eastAsia="Arial" w:hAnsi="Arial" w:cs="Arial"/>
                <w:color w:val="000000"/>
                <w:sz w:val="16"/>
              </w:rPr>
            </w:pPr>
            <w:r w:rsidRPr="00F142B1">
              <w:rPr>
                <w:rFonts w:ascii="Arial" w:eastAsia="Arial" w:hAnsi="Arial" w:cs="Arial"/>
                <w:color w:val="000000"/>
                <w:sz w:val="16"/>
              </w:rPr>
              <w:t>2014-15</w:t>
            </w:r>
          </w:p>
        </w:tc>
        <w:tc>
          <w:tcPr>
            <w:tcW w:w="1005" w:type="dxa"/>
            <w:tcBorders>
              <w:top w:val="single" w:sz="6" w:space="0" w:color="000000"/>
              <w:left w:val="nil"/>
              <w:bottom w:val="nil"/>
              <w:right w:val="nil"/>
              <w:tl2br w:val="nil"/>
              <w:tr2bl w:val="nil"/>
            </w:tcBorders>
            <w:shd w:val="clear" w:color="auto" w:fill="C0C0C0"/>
            <w:tcMar>
              <w:left w:w="115" w:type="dxa"/>
              <w:right w:w="115" w:type="dxa"/>
            </w:tcMar>
            <w:vAlign w:val="bottom"/>
          </w:tcPr>
          <w:p w14:paraId="150C6F2D" w14:textId="77777777" w:rsidR="003F0EEA" w:rsidRPr="00F142B1" w:rsidRDefault="00FB7D0B">
            <w:pPr>
              <w:jc w:val="right"/>
              <w:rPr>
                <w:rFonts w:ascii="Arial" w:eastAsia="Arial" w:hAnsi="Arial" w:cs="Arial"/>
                <w:color w:val="000000"/>
                <w:sz w:val="16"/>
              </w:rPr>
            </w:pPr>
            <w:r w:rsidRPr="00F142B1">
              <w:rPr>
                <w:rFonts w:ascii="Arial" w:eastAsia="Arial" w:hAnsi="Arial" w:cs="Arial"/>
                <w:color w:val="000000"/>
                <w:sz w:val="16"/>
              </w:rPr>
              <w:t>2015-16</w:t>
            </w:r>
          </w:p>
        </w:tc>
        <w:tc>
          <w:tcPr>
            <w:tcW w:w="1005"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1911E07A" w14:textId="77777777" w:rsidR="003F0EEA" w:rsidRPr="00F142B1" w:rsidRDefault="00FB7D0B">
            <w:pPr>
              <w:jc w:val="right"/>
              <w:rPr>
                <w:rFonts w:ascii="Arial" w:eastAsia="Arial" w:hAnsi="Arial" w:cs="Arial"/>
                <w:color w:val="000000"/>
                <w:sz w:val="16"/>
              </w:rPr>
            </w:pPr>
            <w:r w:rsidRPr="00F142B1">
              <w:rPr>
                <w:rFonts w:ascii="Arial" w:eastAsia="Arial" w:hAnsi="Arial" w:cs="Arial"/>
                <w:color w:val="000000"/>
                <w:sz w:val="16"/>
              </w:rPr>
              <w:t>2016-17</w:t>
            </w:r>
          </w:p>
        </w:tc>
        <w:tc>
          <w:tcPr>
            <w:tcW w:w="1005" w:type="dxa"/>
            <w:tcBorders>
              <w:top w:val="single" w:sz="6" w:space="0" w:color="000000"/>
              <w:left w:val="nil"/>
              <w:bottom w:val="nil"/>
              <w:right w:val="nil"/>
              <w:tl2br w:val="nil"/>
              <w:tr2bl w:val="nil"/>
            </w:tcBorders>
            <w:shd w:val="clear" w:color="auto" w:fill="C0C0C0"/>
            <w:tcMar>
              <w:left w:w="115" w:type="dxa"/>
              <w:right w:w="115" w:type="dxa"/>
            </w:tcMar>
            <w:vAlign w:val="bottom"/>
          </w:tcPr>
          <w:p w14:paraId="5DDD549A" w14:textId="77777777" w:rsidR="003F0EEA" w:rsidRPr="00F142B1" w:rsidRDefault="00FB7D0B">
            <w:pPr>
              <w:jc w:val="right"/>
              <w:rPr>
                <w:rFonts w:ascii="Arial" w:eastAsia="Arial" w:hAnsi="Arial" w:cs="Arial"/>
                <w:color w:val="000000"/>
                <w:sz w:val="16"/>
              </w:rPr>
            </w:pPr>
            <w:r w:rsidRPr="00F142B1">
              <w:rPr>
                <w:rFonts w:ascii="Arial" w:eastAsia="Arial" w:hAnsi="Arial" w:cs="Arial"/>
                <w:color w:val="000000"/>
                <w:sz w:val="16"/>
              </w:rPr>
              <w:t>2017-18</w:t>
            </w:r>
          </w:p>
        </w:tc>
      </w:tr>
      <w:tr w:rsidR="00724034" w14:paraId="714DFD60" w14:textId="77777777">
        <w:trPr>
          <w:trHeight w:val="225"/>
        </w:trPr>
        <w:tc>
          <w:tcPr>
            <w:tcW w:w="180" w:type="dxa"/>
            <w:tcBorders>
              <w:top w:val="nil"/>
              <w:left w:val="nil"/>
              <w:bottom w:val="nil"/>
              <w:right w:val="nil"/>
              <w:tl2br w:val="nil"/>
              <w:tr2bl w:val="nil"/>
            </w:tcBorders>
            <w:shd w:val="clear" w:color="auto" w:fill="FFFFFF"/>
            <w:tcMar>
              <w:left w:w="115" w:type="dxa"/>
              <w:right w:w="115" w:type="dxa"/>
            </w:tcMar>
            <w:vAlign w:val="bottom"/>
          </w:tcPr>
          <w:p w14:paraId="1433868C" w14:textId="77777777" w:rsidR="003F0EEA" w:rsidRPr="00F142B1" w:rsidRDefault="003F0EEA">
            <w:pPr>
              <w:rPr>
                <w:rFonts w:ascii="Arial" w:eastAsia="Arial" w:hAnsi="Arial" w:cs="Arial"/>
                <w:color w:val="000000"/>
                <w:sz w:val="16"/>
              </w:rPr>
            </w:pPr>
          </w:p>
        </w:tc>
        <w:tc>
          <w:tcPr>
            <w:tcW w:w="1755" w:type="dxa"/>
            <w:tcBorders>
              <w:top w:val="nil"/>
              <w:left w:val="nil"/>
              <w:bottom w:val="nil"/>
              <w:right w:val="nil"/>
              <w:tl2br w:val="nil"/>
              <w:tr2bl w:val="nil"/>
            </w:tcBorders>
            <w:shd w:val="clear" w:color="auto" w:fill="FFFFFF"/>
            <w:tcMar>
              <w:left w:w="115" w:type="dxa"/>
              <w:right w:w="115" w:type="dxa"/>
            </w:tcMar>
            <w:vAlign w:val="bottom"/>
          </w:tcPr>
          <w:p w14:paraId="17BD531F" w14:textId="77777777" w:rsidR="003F0EEA" w:rsidRPr="00F142B1" w:rsidRDefault="003F0EEA">
            <w:pPr>
              <w:rPr>
                <w:rFonts w:ascii="Arial" w:eastAsia="Arial" w:hAnsi="Arial" w:cs="Arial"/>
                <w:color w:val="000000"/>
                <w:sz w:val="16"/>
              </w:rPr>
            </w:pPr>
          </w:p>
        </w:tc>
        <w:tc>
          <w:tcPr>
            <w:tcW w:w="735" w:type="dxa"/>
            <w:tcBorders>
              <w:top w:val="nil"/>
              <w:left w:val="nil"/>
              <w:bottom w:val="nil"/>
              <w:right w:val="nil"/>
              <w:tl2br w:val="nil"/>
              <w:tr2bl w:val="nil"/>
            </w:tcBorders>
            <w:shd w:val="clear" w:color="auto" w:fill="FFFFFF"/>
            <w:tcMar>
              <w:left w:w="115" w:type="dxa"/>
              <w:right w:w="115" w:type="dxa"/>
            </w:tcMar>
            <w:vAlign w:val="bottom"/>
          </w:tcPr>
          <w:p w14:paraId="552A90D2" w14:textId="77777777" w:rsidR="003F0EEA" w:rsidRPr="00F142B1" w:rsidRDefault="003F0EEA">
            <w:pPr>
              <w:rPr>
                <w:rFonts w:ascii="Arial" w:eastAsia="Arial" w:hAnsi="Arial" w:cs="Arial"/>
                <w:color w:val="000000"/>
                <w:sz w:val="16"/>
              </w:rPr>
            </w:pPr>
          </w:p>
        </w:tc>
        <w:tc>
          <w:tcPr>
            <w:tcW w:w="900"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5D02A9D8" w14:textId="77777777" w:rsidR="003F0EEA" w:rsidRPr="00F142B1" w:rsidRDefault="003F0EEA">
            <w:pPr>
              <w:rPr>
                <w:rFonts w:ascii="Arial" w:eastAsia="Arial" w:hAnsi="Arial" w:cs="Arial"/>
                <w:color w:val="000000"/>
                <w:sz w:val="16"/>
              </w:rPr>
            </w:pPr>
          </w:p>
        </w:tc>
        <w:tc>
          <w:tcPr>
            <w:tcW w:w="1005" w:type="dxa"/>
            <w:tcBorders>
              <w:top w:val="nil"/>
              <w:left w:val="nil"/>
              <w:bottom w:val="single" w:sz="6" w:space="0" w:color="000000"/>
              <w:right w:val="nil"/>
              <w:tl2br w:val="nil"/>
              <w:tr2bl w:val="nil"/>
            </w:tcBorders>
            <w:shd w:val="clear" w:color="auto" w:fill="C0C0C0"/>
            <w:tcMar>
              <w:left w:w="115" w:type="dxa"/>
              <w:right w:w="115" w:type="dxa"/>
            </w:tcMar>
            <w:vAlign w:val="bottom"/>
          </w:tcPr>
          <w:p w14:paraId="4A3AB057" w14:textId="77777777" w:rsidR="003F0EEA" w:rsidRPr="00F142B1" w:rsidRDefault="00FB7D0B">
            <w:pPr>
              <w:jc w:val="right"/>
              <w:rPr>
                <w:rFonts w:ascii="Arial" w:eastAsia="Arial" w:hAnsi="Arial" w:cs="Arial"/>
                <w:color w:val="000000"/>
                <w:sz w:val="16"/>
              </w:rPr>
            </w:pPr>
            <w:r w:rsidRPr="00F142B1">
              <w:rPr>
                <w:rFonts w:ascii="Arial" w:eastAsia="Arial" w:hAnsi="Arial" w:cs="Arial"/>
                <w:color w:val="000000"/>
                <w:sz w:val="16"/>
              </w:rPr>
              <w:t>$'000</w:t>
            </w:r>
          </w:p>
        </w:tc>
        <w:tc>
          <w:tcPr>
            <w:tcW w:w="1005"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488BD086" w14:textId="77777777" w:rsidR="003F0EEA" w:rsidRPr="00F142B1" w:rsidRDefault="00FB7D0B">
            <w:pPr>
              <w:jc w:val="right"/>
              <w:rPr>
                <w:rFonts w:ascii="Arial" w:eastAsia="Arial" w:hAnsi="Arial" w:cs="Arial"/>
                <w:color w:val="000000"/>
                <w:sz w:val="16"/>
              </w:rPr>
            </w:pPr>
            <w:r w:rsidRPr="00F142B1">
              <w:rPr>
                <w:rFonts w:ascii="Arial" w:eastAsia="Arial" w:hAnsi="Arial" w:cs="Arial"/>
                <w:color w:val="000000"/>
                <w:sz w:val="16"/>
              </w:rPr>
              <w:t>$'000</w:t>
            </w:r>
          </w:p>
        </w:tc>
        <w:tc>
          <w:tcPr>
            <w:tcW w:w="1005" w:type="dxa"/>
            <w:tcBorders>
              <w:top w:val="nil"/>
              <w:left w:val="nil"/>
              <w:bottom w:val="single" w:sz="6" w:space="0" w:color="000000"/>
              <w:right w:val="nil"/>
              <w:tl2br w:val="nil"/>
              <w:tr2bl w:val="nil"/>
            </w:tcBorders>
            <w:shd w:val="clear" w:color="auto" w:fill="C0C0C0"/>
            <w:tcMar>
              <w:left w:w="115" w:type="dxa"/>
              <w:right w:w="115" w:type="dxa"/>
            </w:tcMar>
            <w:vAlign w:val="bottom"/>
          </w:tcPr>
          <w:p w14:paraId="36CB7321" w14:textId="77777777" w:rsidR="003F0EEA" w:rsidRPr="00F142B1" w:rsidRDefault="00FB7D0B">
            <w:pPr>
              <w:jc w:val="right"/>
              <w:rPr>
                <w:rFonts w:ascii="Arial" w:eastAsia="Arial" w:hAnsi="Arial" w:cs="Arial"/>
                <w:color w:val="000000"/>
                <w:sz w:val="16"/>
              </w:rPr>
            </w:pPr>
            <w:r w:rsidRPr="00F142B1">
              <w:rPr>
                <w:rFonts w:ascii="Arial" w:eastAsia="Arial" w:hAnsi="Arial" w:cs="Arial"/>
                <w:color w:val="000000"/>
                <w:sz w:val="16"/>
              </w:rPr>
              <w:t>$'000</w:t>
            </w:r>
          </w:p>
        </w:tc>
        <w:tc>
          <w:tcPr>
            <w:tcW w:w="1005"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360C99A6" w14:textId="77777777" w:rsidR="003F0EEA" w:rsidRPr="00F142B1" w:rsidRDefault="00FB7D0B">
            <w:pPr>
              <w:jc w:val="right"/>
              <w:rPr>
                <w:rFonts w:ascii="Arial" w:eastAsia="Arial" w:hAnsi="Arial" w:cs="Arial"/>
                <w:color w:val="000000"/>
                <w:sz w:val="16"/>
              </w:rPr>
            </w:pPr>
            <w:r w:rsidRPr="00F142B1">
              <w:rPr>
                <w:rFonts w:ascii="Arial" w:eastAsia="Arial" w:hAnsi="Arial" w:cs="Arial"/>
                <w:color w:val="000000"/>
                <w:sz w:val="16"/>
              </w:rPr>
              <w:t>$'000</w:t>
            </w:r>
          </w:p>
        </w:tc>
        <w:tc>
          <w:tcPr>
            <w:tcW w:w="1005" w:type="dxa"/>
            <w:tcBorders>
              <w:top w:val="nil"/>
              <w:left w:val="nil"/>
              <w:bottom w:val="single" w:sz="6" w:space="0" w:color="000000"/>
              <w:right w:val="nil"/>
              <w:tl2br w:val="nil"/>
              <w:tr2bl w:val="nil"/>
            </w:tcBorders>
            <w:shd w:val="clear" w:color="auto" w:fill="C0C0C0"/>
            <w:tcMar>
              <w:left w:w="115" w:type="dxa"/>
              <w:right w:w="115" w:type="dxa"/>
            </w:tcMar>
            <w:vAlign w:val="bottom"/>
          </w:tcPr>
          <w:p w14:paraId="1C6F34EC" w14:textId="77777777" w:rsidR="003F0EEA" w:rsidRPr="00F142B1" w:rsidRDefault="00FB7D0B">
            <w:pPr>
              <w:jc w:val="right"/>
              <w:rPr>
                <w:rFonts w:ascii="Arial" w:eastAsia="Arial" w:hAnsi="Arial" w:cs="Arial"/>
                <w:color w:val="000000"/>
                <w:sz w:val="16"/>
              </w:rPr>
            </w:pPr>
            <w:r w:rsidRPr="00F142B1">
              <w:rPr>
                <w:rFonts w:ascii="Arial" w:eastAsia="Arial" w:hAnsi="Arial" w:cs="Arial"/>
                <w:color w:val="000000"/>
                <w:sz w:val="16"/>
              </w:rPr>
              <w:t>$'000</w:t>
            </w:r>
          </w:p>
        </w:tc>
      </w:tr>
      <w:tr w:rsidR="00724034" w14:paraId="07559841" w14:textId="77777777">
        <w:trPr>
          <w:trHeight w:hRule="exact" w:val="60"/>
        </w:trPr>
        <w:tc>
          <w:tcPr>
            <w:tcW w:w="180" w:type="dxa"/>
            <w:tcBorders>
              <w:top w:val="nil"/>
              <w:left w:val="nil"/>
              <w:bottom w:val="nil"/>
              <w:right w:val="nil"/>
              <w:tl2br w:val="nil"/>
              <w:tr2bl w:val="nil"/>
            </w:tcBorders>
            <w:shd w:val="clear" w:color="auto" w:fill="FFFFFF"/>
            <w:tcMar>
              <w:left w:w="115" w:type="dxa"/>
              <w:right w:w="115" w:type="dxa"/>
            </w:tcMar>
            <w:vAlign w:val="bottom"/>
          </w:tcPr>
          <w:p w14:paraId="57FE3C31" w14:textId="77777777" w:rsidR="003F0EEA" w:rsidRPr="00F142B1" w:rsidRDefault="003F0EEA">
            <w:pPr>
              <w:rPr>
                <w:rFonts w:ascii="Arial" w:eastAsia="Arial" w:hAnsi="Arial" w:cs="Arial"/>
                <w:color w:val="000000"/>
                <w:sz w:val="16"/>
              </w:rPr>
            </w:pPr>
          </w:p>
        </w:tc>
        <w:tc>
          <w:tcPr>
            <w:tcW w:w="1755" w:type="dxa"/>
            <w:tcBorders>
              <w:top w:val="nil"/>
              <w:left w:val="nil"/>
              <w:bottom w:val="nil"/>
              <w:right w:val="nil"/>
              <w:tl2br w:val="nil"/>
              <w:tr2bl w:val="nil"/>
            </w:tcBorders>
            <w:shd w:val="clear" w:color="auto" w:fill="FFFFFF"/>
            <w:tcMar>
              <w:left w:w="115" w:type="dxa"/>
              <w:right w:w="115" w:type="dxa"/>
            </w:tcMar>
            <w:vAlign w:val="bottom"/>
          </w:tcPr>
          <w:p w14:paraId="4F58086E" w14:textId="77777777" w:rsidR="003F0EEA" w:rsidRPr="00F142B1" w:rsidRDefault="003F0EEA">
            <w:pPr>
              <w:rPr>
                <w:rFonts w:ascii="Arial" w:eastAsia="Arial" w:hAnsi="Arial" w:cs="Arial"/>
                <w:b/>
                <w:color w:val="000000"/>
                <w:sz w:val="16"/>
              </w:rPr>
            </w:pPr>
          </w:p>
        </w:tc>
        <w:tc>
          <w:tcPr>
            <w:tcW w:w="735" w:type="dxa"/>
            <w:tcBorders>
              <w:top w:val="nil"/>
              <w:left w:val="nil"/>
              <w:bottom w:val="nil"/>
              <w:right w:val="nil"/>
              <w:tl2br w:val="nil"/>
              <w:tr2bl w:val="nil"/>
            </w:tcBorders>
            <w:shd w:val="clear" w:color="auto" w:fill="FFFFFF"/>
            <w:tcMar>
              <w:left w:w="115" w:type="dxa"/>
              <w:right w:w="115" w:type="dxa"/>
            </w:tcMar>
            <w:vAlign w:val="bottom"/>
          </w:tcPr>
          <w:p w14:paraId="7F483BA0" w14:textId="77777777" w:rsidR="003F0EEA" w:rsidRPr="00F142B1" w:rsidRDefault="003F0EEA">
            <w:pPr>
              <w:rPr>
                <w:rFonts w:ascii="Arial" w:eastAsia="Arial" w:hAnsi="Arial" w:cs="Arial"/>
                <w:b/>
                <w:color w:val="000000"/>
                <w:sz w:val="16"/>
              </w:rPr>
            </w:pPr>
          </w:p>
        </w:tc>
        <w:tc>
          <w:tcPr>
            <w:tcW w:w="900"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112456E6" w14:textId="77777777" w:rsidR="003F0EEA" w:rsidRPr="00F142B1" w:rsidRDefault="003F0EEA">
            <w:pPr>
              <w:jc w:val="center"/>
              <w:rPr>
                <w:rFonts w:ascii="Arial" w:eastAsia="Arial" w:hAnsi="Arial" w:cs="Arial"/>
                <w:b/>
                <w:color w:val="000000"/>
                <w:sz w:val="16"/>
              </w:rPr>
            </w:pPr>
          </w:p>
        </w:tc>
        <w:tc>
          <w:tcPr>
            <w:tcW w:w="1005" w:type="dxa"/>
            <w:tcBorders>
              <w:top w:val="single" w:sz="6" w:space="0" w:color="000000"/>
              <w:left w:val="nil"/>
              <w:bottom w:val="nil"/>
              <w:right w:val="nil"/>
              <w:tl2br w:val="nil"/>
              <w:tr2bl w:val="nil"/>
            </w:tcBorders>
            <w:shd w:val="clear" w:color="auto" w:fill="C0C0C0"/>
            <w:tcMar>
              <w:left w:w="115" w:type="dxa"/>
              <w:right w:w="115" w:type="dxa"/>
            </w:tcMar>
            <w:vAlign w:val="bottom"/>
          </w:tcPr>
          <w:p w14:paraId="3A266D14" w14:textId="77777777" w:rsidR="003F0EEA" w:rsidRPr="00F142B1" w:rsidRDefault="003F0EEA">
            <w:pPr>
              <w:jc w:val="right"/>
              <w:rPr>
                <w:rFonts w:ascii="Arial" w:eastAsia="Arial" w:hAnsi="Arial" w:cs="Arial"/>
                <w:color w:val="000000"/>
                <w:sz w:val="16"/>
              </w:rPr>
            </w:pPr>
          </w:p>
        </w:tc>
        <w:tc>
          <w:tcPr>
            <w:tcW w:w="1005"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6F336298" w14:textId="77777777" w:rsidR="003F0EEA" w:rsidRPr="00F142B1" w:rsidRDefault="003F0EEA">
            <w:pPr>
              <w:jc w:val="right"/>
              <w:rPr>
                <w:rFonts w:ascii="Arial" w:eastAsia="Arial" w:hAnsi="Arial" w:cs="Arial"/>
                <w:b/>
                <w:color w:val="000000"/>
                <w:sz w:val="16"/>
              </w:rPr>
            </w:pPr>
          </w:p>
        </w:tc>
        <w:tc>
          <w:tcPr>
            <w:tcW w:w="1005" w:type="dxa"/>
            <w:tcBorders>
              <w:top w:val="single" w:sz="6" w:space="0" w:color="000000"/>
              <w:left w:val="nil"/>
              <w:bottom w:val="nil"/>
              <w:right w:val="nil"/>
              <w:tl2br w:val="nil"/>
              <w:tr2bl w:val="nil"/>
            </w:tcBorders>
            <w:shd w:val="clear" w:color="auto" w:fill="C0C0C0"/>
            <w:tcMar>
              <w:left w:w="115" w:type="dxa"/>
              <w:right w:w="115" w:type="dxa"/>
            </w:tcMar>
            <w:vAlign w:val="bottom"/>
          </w:tcPr>
          <w:p w14:paraId="215A4241" w14:textId="77777777" w:rsidR="003F0EEA" w:rsidRPr="00F142B1" w:rsidRDefault="003F0EEA">
            <w:pPr>
              <w:jc w:val="right"/>
              <w:rPr>
                <w:rFonts w:ascii="Arial" w:eastAsia="Arial" w:hAnsi="Arial" w:cs="Arial"/>
                <w:b/>
                <w:color w:val="000000"/>
                <w:sz w:val="16"/>
              </w:rPr>
            </w:pPr>
          </w:p>
        </w:tc>
        <w:tc>
          <w:tcPr>
            <w:tcW w:w="1005"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1EAC73C8" w14:textId="77777777" w:rsidR="003F0EEA" w:rsidRPr="00F142B1" w:rsidRDefault="003F0EEA">
            <w:pPr>
              <w:jc w:val="right"/>
              <w:rPr>
                <w:rFonts w:ascii="Arial" w:eastAsia="Arial" w:hAnsi="Arial" w:cs="Arial"/>
                <w:b/>
                <w:color w:val="000000"/>
                <w:sz w:val="16"/>
              </w:rPr>
            </w:pPr>
          </w:p>
        </w:tc>
        <w:tc>
          <w:tcPr>
            <w:tcW w:w="1005" w:type="dxa"/>
            <w:tcBorders>
              <w:top w:val="single" w:sz="6" w:space="0" w:color="000000"/>
              <w:left w:val="nil"/>
              <w:bottom w:val="nil"/>
              <w:right w:val="nil"/>
              <w:tl2br w:val="nil"/>
              <w:tr2bl w:val="nil"/>
            </w:tcBorders>
            <w:shd w:val="clear" w:color="auto" w:fill="C0C0C0"/>
            <w:tcMar>
              <w:left w:w="115" w:type="dxa"/>
              <w:right w:w="115" w:type="dxa"/>
            </w:tcMar>
            <w:vAlign w:val="bottom"/>
          </w:tcPr>
          <w:p w14:paraId="58E29406" w14:textId="77777777" w:rsidR="003F0EEA" w:rsidRPr="00F142B1" w:rsidRDefault="003F0EEA">
            <w:pPr>
              <w:jc w:val="right"/>
              <w:rPr>
                <w:rFonts w:ascii="Arial" w:eastAsia="Arial" w:hAnsi="Arial" w:cs="Arial"/>
                <w:b/>
                <w:color w:val="000000"/>
                <w:sz w:val="16"/>
              </w:rPr>
            </w:pPr>
          </w:p>
        </w:tc>
      </w:tr>
      <w:tr w:rsidR="00FB7D0B" w14:paraId="266C7BD6" w14:textId="77777777" w:rsidTr="00FB7D0B">
        <w:trPr>
          <w:trHeight w:val="225"/>
        </w:trPr>
        <w:tc>
          <w:tcPr>
            <w:tcW w:w="1935" w:type="dxa"/>
            <w:gridSpan w:val="2"/>
            <w:tcBorders>
              <w:top w:val="nil"/>
              <w:left w:val="nil"/>
              <w:bottom w:val="nil"/>
              <w:right w:val="nil"/>
              <w:tl2br w:val="nil"/>
              <w:tr2bl w:val="nil"/>
            </w:tcBorders>
            <w:shd w:val="clear" w:color="auto" w:fill="FFFFFF"/>
            <w:tcMar>
              <w:left w:w="115" w:type="dxa"/>
              <w:right w:w="115" w:type="dxa"/>
            </w:tcMar>
            <w:vAlign w:val="bottom"/>
          </w:tcPr>
          <w:p w14:paraId="79BEA291" w14:textId="77777777" w:rsidR="003F0EEA" w:rsidRPr="00F142B1" w:rsidRDefault="00FB7D0B">
            <w:pPr>
              <w:rPr>
                <w:rFonts w:ascii="Arial" w:eastAsia="Arial" w:hAnsi="Arial" w:cs="Arial"/>
                <w:b/>
                <w:color w:val="000000"/>
                <w:sz w:val="16"/>
              </w:rPr>
            </w:pPr>
            <w:r w:rsidRPr="00F142B1">
              <w:rPr>
                <w:rFonts w:ascii="Arial" w:eastAsia="Arial" w:hAnsi="Arial" w:cs="Arial"/>
                <w:b/>
                <w:color w:val="000000"/>
                <w:sz w:val="16"/>
              </w:rPr>
              <w:t>Expense measures</w:t>
            </w:r>
          </w:p>
        </w:tc>
        <w:tc>
          <w:tcPr>
            <w:tcW w:w="735" w:type="dxa"/>
            <w:tcBorders>
              <w:top w:val="nil"/>
              <w:left w:val="nil"/>
              <w:bottom w:val="nil"/>
              <w:right w:val="nil"/>
              <w:tl2br w:val="nil"/>
              <w:tr2bl w:val="nil"/>
            </w:tcBorders>
            <w:shd w:val="clear" w:color="auto" w:fill="FFFFFF"/>
            <w:tcMar>
              <w:left w:w="115" w:type="dxa"/>
              <w:right w:w="115" w:type="dxa"/>
            </w:tcMar>
            <w:vAlign w:val="bottom"/>
          </w:tcPr>
          <w:p w14:paraId="216F9448" w14:textId="77777777" w:rsidR="003F0EEA" w:rsidRPr="00F142B1" w:rsidRDefault="003F0EEA">
            <w:pPr>
              <w:rPr>
                <w:rFonts w:ascii="Arial" w:eastAsia="Arial" w:hAnsi="Arial" w:cs="Arial"/>
                <w:b/>
                <w:color w:val="000000"/>
                <w:sz w:val="16"/>
              </w:rPr>
            </w:pPr>
          </w:p>
        </w:tc>
        <w:tc>
          <w:tcPr>
            <w:tcW w:w="900" w:type="dxa"/>
            <w:tcBorders>
              <w:top w:val="nil"/>
              <w:left w:val="nil"/>
              <w:bottom w:val="nil"/>
              <w:right w:val="nil"/>
              <w:tl2br w:val="nil"/>
              <w:tr2bl w:val="nil"/>
            </w:tcBorders>
            <w:shd w:val="clear" w:color="auto" w:fill="FFFFFF"/>
            <w:tcMar>
              <w:left w:w="115" w:type="dxa"/>
              <w:right w:w="115" w:type="dxa"/>
            </w:tcMar>
            <w:vAlign w:val="bottom"/>
          </w:tcPr>
          <w:p w14:paraId="50984E85" w14:textId="77777777" w:rsidR="003F0EEA" w:rsidRPr="00F142B1" w:rsidRDefault="003F0EEA">
            <w:pPr>
              <w:rPr>
                <w:rFonts w:ascii="Arial" w:eastAsia="Arial" w:hAnsi="Arial" w:cs="Arial"/>
                <w:b/>
                <w:color w:val="000000"/>
                <w:sz w:val="16"/>
              </w:rPr>
            </w:pPr>
          </w:p>
        </w:tc>
        <w:tc>
          <w:tcPr>
            <w:tcW w:w="1005" w:type="dxa"/>
            <w:tcBorders>
              <w:top w:val="nil"/>
              <w:left w:val="nil"/>
              <w:bottom w:val="nil"/>
              <w:right w:val="nil"/>
              <w:tl2br w:val="nil"/>
              <w:tr2bl w:val="nil"/>
            </w:tcBorders>
            <w:shd w:val="clear" w:color="auto" w:fill="C0C0C0"/>
            <w:tcMar>
              <w:left w:w="115" w:type="dxa"/>
              <w:right w:w="115" w:type="dxa"/>
            </w:tcMar>
            <w:vAlign w:val="bottom"/>
          </w:tcPr>
          <w:p w14:paraId="7E091F47" w14:textId="77777777" w:rsidR="003F0EEA" w:rsidRPr="00F142B1" w:rsidRDefault="003F0EEA">
            <w:pPr>
              <w:rPr>
                <w:rFonts w:ascii="Arial" w:eastAsia="Arial" w:hAnsi="Arial" w:cs="Arial"/>
                <w:color w:val="000000"/>
                <w:sz w:val="16"/>
              </w:rPr>
            </w:pPr>
          </w:p>
        </w:tc>
        <w:tc>
          <w:tcPr>
            <w:tcW w:w="1005" w:type="dxa"/>
            <w:tcBorders>
              <w:top w:val="nil"/>
              <w:left w:val="nil"/>
              <w:bottom w:val="nil"/>
              <w:right w:val="nil"/>
              <w:tl2br w:val="nil"/>
              <w:tr2bl w:val="nil"/>
            </w:tcBorders>
            <w:shd w:val="clear" w:color="auto" w:fill="FFFFFF"/>
            <w:tcMar>
              <w:left w:w="115" w:type="dxa"/>
              <w:right w:w="115" w:type="dxa"/>
            </w:tcMar>
            <w:vAlign w:val="bottom"/>
          </w:tcPr>
          <w:p w14:paraId="3F01D443" w14:textId="77777777" w:rsidR="003F0EEA" w:rsidRPr="00F142B1" w:rsidRDefault="003F0EEA">
            <w:pPr>
              <w:rPr>
                <w:rFonts w:ascii="Arial" w:eastAsia="Arial" w:hAnsi="Arial" w:cs="Arial"/>
                <w:color w:val="000000"/>
                <w:sz w:val="16"/>
              </w:rPr>
            </w:pPr>
          </w:p>
        </w:tc>
        <w:tc>
          <w:tcPr>
            <w:tcW w:w="1005" w:type="dxa"/>
            <w:tcBorders>
              <w:top w:val="nil"/>
              <w:left w:val="nil"/>
              <w:bottom w:val="nil"/>
              <w:right w:val="nil"/>
              <w:tl2br w:val="nil"/>
              <w:tr2bl w:val="nil"/>
            </w:tcBorders>
            <w:shd w:val="clear" w:color="auto" w:fill="C0C0C0"/>
            <w:tcMar>
              <w:left w:w="115" w:type="dxa"/>
              <w:right w:w="115" w:type="dxa"/>
            </w:tcMar>
            <w:vAlign w:val="bottom"/>
          </w:tcPr>
          <w:p w14:paraId="4438F6B7" w14:textId="77777777" w:rsidR="003F0EEA" w:rsidRPr="00F142B1" w:rsidRDefault="003F0EEA">
            <w:pPr>
              <w:rPr>
                <w:rFonts w:ascii="Arial" w:eastAsia="Arial" w:hAnsi="Arial" w:cs="Arial"/>
                <w:color w:val="000000"/>
                <w:sz w:val="16"/>
              </w:rPr>
            </w:pPr>
          </w:p>
        </w:tc>
        <w:tc>
          <w:tcPr>
            <w:tcW w:w="1005" w:type="dxa"/>
            <w:tcBorders>
              <w:top w:val="nil"/>
              <w:left w:val="nil"/>
              <w:bottom w:val="nil"/>
              <w:right w:val="nil"/>
              <w:tl2br w:val="nil"/>
              <w:tr2bl w:val="nil"/>
            </w:tcBorders>
            <w:shd w:val="clear" w:color="auto" w:fill="FFFFFF"/>
            <w:tcMar>
              <w:left w:w="115" w:type="dxa"/>
              <w:right w:w="115" w:type="dxa"/>
            </w:tcMar>
            <w:vAlign w:val="bottom"/>
          </w:tcPr>
          <w:p w14:paraId="585DA54B" w14:textId="77777777" w:rsidR="003F0EEA" w:rsidRPr="00F142B1" w:rsidRDefault="003F0EEA">
            <w:pPr>
              <w:jc w:val="right"/>
              <w:rPr>
                <w:rFonts w:ascii="Arial" w:eastAsia="Arial" w:hAnsi="Arial" w:cs="Arial"/>
                <w:color w:val="000000"/>
                <w:sz w:val="16"/>
              </w:rPr>
            </w:pPr>
          </w:p>
        </w:tc>
        <w:tc>
          <w:tcPr>
            <w:tcW w:w="1005" w:type="dxa"/>
            <w:tcBorders>
              <w:top w:val="nil"/>
              <w:left w:val="nil"/>
              <w:bottom w:val="nil"/>
              <w:right w:val="nil"/>
              <w:tl2br w:val="nil"/>
              <w:tr2bl w:val="nil"/>
            </w:tcBorders>
            <w:shd w:val="clear" w:color="auto" w:fill="C0C0C0"/>
            <w:tcMar>
              <w:left w:w="115" w:type="dxa"/>
              <w:right w:w="115" w:type="dxa"/>
            </w:tcMar>
            <w:vAlign w:val="bottom"/>
          </w:tcPr>
          <w:p w14:paraId="1B9B0DC8" w14:textId="77777777" w:rsidR="003F0EEA" w:rsidRPr="00F142B1" w:rsidRDefault="003F0EEA">
            <w:pPr>
              <w:rPr>
                <w:rFonts w:ascii="Arial" w:eastAsia="Arial" w:hAnsi="Arial" w:cs="Arial"/>
                <w:color w:val="000000"/>
                <w:sz w:val="16"/>
              </w:rPr>
            </w:pPr>
          </w:p>
        </w:tc>
      </w:tr>
      <w:tr w:rsidR="00FB7D0B" w14:paraId="0234EA55" w14:textId="77777777" w:rsidTr="00FB7D0B">
        <w:trPr>
          <w:trHeight w:val="735"/>
        </w:trPr>
        <w:tc>
          <w:tcPr>
            <w:tcW w:w="1935" w:type="dxa"/>
            <w:gridSpan w:val="2"/>
            <w:tcBorders>
              <w:top w:val="nil"/>
              <w:left w:val="nil"/>
              <w:bottom w:val="nil"/>
              <w:right w:val="nil"/>
              <w:tl2br w:val="nil"/>
              <w:tr2bl w:val="nil"/>
            </w:tcBorders>
            <w:shd w:val="clear" w:color="auto" w:fill="FFFFFF"/>
            <w:tcMar>
              <w:left w:w="115" w:type="dxa"/>
              <w:right w:w="115" w:type="dxa"/>
            </w:tcMar>
            <w:vAlign w:val="bottom"/>
          </w:tcPr>
          <w:p w14:paraId="2AD793D7" w14:textId="77777777" w:rsidR="003F0EEA" w:rsidRPr="00F142B1" w:rsidRDefault="00FB7D0B">
            <w:pPr>
              <w:rPr>
                <w:rFonts w:ascii="Arial" w:eastAsia="Arial" w:hAnsi="Arial" w:cs="Arial"/>
                <w:color w:val="000000"/>
                <w:sz w:val="16"/>
              </w:rPr>
            </w:pPr>
            <w:r w:rsidRPr="00F142B1">
              <w:rPr>
                <w:rFonts w:ascii="Arial" w:eastAsia="Arial" w:hAnsi="Arial" w:cs="Arial"/>
                <w:color w:val="000000"/>
                <w:sz w:val="16"/>
              </w:rPr>
              <w:t>Efficiency Dividend - a further temporary increase of 0.25 per cent</w:t>
            </w:r>
          </w:p>
        </w:tc>
        <w:tc>
          <w:tcPr>
            <w:tcW w:w="735" w:type="dxa"/>
            <w:tcBorders>
              <w:top w:val="nil"/>
              <w:left w:val="nil"/>
              <w:bottom w:val="nil"/>
              <w:right w:val="nil"/>
              <w:tl2br w:val="nil"/>
              <w:tr2bl w:val="nil"/>
            </w:tcBorders>
            <w:shd w:val="clear" w:color="auto" w:fill="FFFFFF"/>
            <w:tcMar>
              <w:left w:w="115" w:type="dxa"/>
              <w:right w:w="115" w:type="dxa"/>
            </w:tcMar>
            <w:vAlign w:val="bottom"/>
          </w:tcPr>
          <w:p w14:paraId="2B4F6371" w14:textId="77777777" w:rsidR="003F0EEA" w:rsidRPr="00F142B1" w:rsidRDefault="003F0EEA">
            <w:pPr>
              <w:rPr>
                <w:rFonts w:ascii="Arial" w:eastAsia="Arial" w:hAnsi="Arial" w:cs="Arial"/>
                <w:color w:val="000000"/>
                <w:sz w:val="16"/>
              </w:rPr>
            </w:pPr>
          </w:p>
        </w:tc>
        <w:tc>
          <w:tcPr>
            <w:tcW w:w="900" w:type="dxa"/>
            <w:tcBorders>
              <w:top w:val="nil"/>
              <w:left w:val="nil"/>
              <w:bottom w:val="nil"/>
              <w:right w:val="nil"/>
              <w:tl2br w:val="nil"/>
              <w:tr2bl w:val="nil"/>
            </w:tcBorders>
            <w:shd w:val="clear" w:color="auto" w:fill="FFFFFF"/>
            <w:tcMar>
              <w:left w:w="115" w:type="dxa"/>
              <w:right w:w="115" w:type="dxa"/>
            </w:tcMar>
            <w:vAlign w:val="bottom"/>
          </w:tcPr>
          <w:p w14:paraId="1FA6B2B4" w14:textId="77777777" w:rsidR="003F0EEA" w:rsidRPr="00F142B1" w:rsidRDefault="00FB7D0B">
            <w:pPr>
              <w:jc w:val="right"/>
              <w:rPr>
                <w:color w:val="000000"/>
              </w:rPr>
            </w:pPr>
            <w:r w:rsidRPr="00F142B1">
              <w:rPr>
                <w:rFonts w:ascii="Arial" w:eastAsia="Arial" w:hAnsi="Arial" w:cs="Arial"/>
                <w:color w:val="000000"/>
                <w:sz w:val="16"/>
              </w:rPr>
              <w:t>1.1-1.8</w:t>
            </w:r>
          </w:p>
        </w:tc>
        <w:tc>
          <w:tcPr>
            <w:tcW w:w="1005" w:type="dxa"/>
            <w:tcBorders>
              <w:top w:val="nil"/>
              <w:left w:val="nil"/>
              <w:bottom w:val="nil"/>
              <w:right w:val="nil"/>
              <w:tl2br w:val="nil"/>
              <w:tr2bl w:val="nil"/>
            </w:tcBorders>
            <w:shd w:val="clear" w:color="auto" w:fill="C0C0C0"/>
            <w:tcMar>
              <w:left w:w="115" w:type="dxa"/>
              <w:right w:w="115" w:type="dxa"/>
            </w:tcMar>
            <w:vAlign w:val="bottom"/>
          </w:tcPr>
          <w:p w14:paraId="59227643" w14:textId="77777777" w:rsidR="003F0EEA" w:rsidRPr="00F142B1" w:rsidRDefault="003F0EEA">
            <w:pPr>
              <w:jc w:val="right"/>
              <w:rPr>
                <w:rFonts w:ascii="Arial" w:eastAsia="Arial" w:hAnsi="Arial" w:cs="Arial"/>
                <w:color w:val="000000"/>
                <w:sz w:val="16"/>
              </w:rPr>
            </w:pPr>
          </w:p>
        </w:tc>
        <w:tc>
          <w:tcPr>
            <w:tcW w:w="1005" w:type="dxa"/>
            <w:tcBorders>
              <w:top w:val="nil"/>
              <w:left w:val="nil"/>
              <w:bottom w:val="nil"/>
              <w:right w:val="nil"/>
              <w:tl2br w:val="nil"/>
              <w:tr2bl w:val="nil"/>
            </w:tcBorders>
            <w:shd w:val="clear" w:color="auto" w:fill="FFFFFF"/>
            <w:tcMar>
              <w:left w:w="115" w:type="dxa"/>
              <w:right w:w="115" w:type="dxa"/>
            </w:tcMar>
            <w:vAlign w:val="bottom"/>
          </w:tcPr>
          <w:p w14:paraId="1A1FBE23" w14:textId="77777777" w:rsidR="003F0EEA" w:rsidRPr="00F142B1" w:rsidRDefault="003F0EEA">
            <w:pPr>
              <w:jc w:val="right"/>
              <w:rPr>
                <w:rFonts w:ascii="Arial" w:eastAsia="Arial" w:hAnsi="Arial" w:cs="Arial"/>
                <w:color w:val="000000"/>
                <w:sz w:val="16"/>
              </w:rPr>
            </w:pPr>
          </w:p>
        </w:tc>
        <w:tc>
          <w:tcPr>
            <w:tcW w:w="1005" w:type="dxa"/>
            <w:tcBorders>
              <w:top w:val="nil"/>
              <w:left w:val="nil"/>
              <w:bottom w:val="nil"/>
              <w:right w:val="nil"/>
              <w:tl2br w:val="nil"/>
              <w:tr2bl w:val="nil"/>
            </w:tcBorders>
            <w:shd w:val="clear" w:color="auto" w:fill="C0C0C0"/>
            <w:tcMar>
              <w:left w:w="115" w:type="dxa"/>
              <w:right w:w="115" w:type="dxa"/>
            </w:tcMar>
            <w:vAlign w:val="bottom"/>
          </w:tcPr>
          <w:p w14:paraId="4ECDF75E" w14:textId="77777777" w:rsidR="003F0EEA" w:rsidRPr="00F142B1" w:rsidRDefault="003F0EEA">
            <w:pPr>
              <w:jc w:val="right"/>
              <w:rPr>
                <w:rFonts w:ascii="Arial" w:eastAsia="Arial" w:hAnsi="Arial" w:cs="Arial"/>
                <w:color w:val="000000"/>
                <w:sz w:val="16"/>
              </w:rPr>
            </w:pPr>
          </w:p>
        </w:tc>
        <w:tc>
          <w:tcPr>
            <w:tcW w:w="1005" w:type="dxa"/>
            <w:tcBorders>
              <w:top w:val="nil"/>
              <w:left w:val="nil"/>
              <w:bottom w:val="nil"/>
              <w:right w:val="nil"/>
              <w:tl2br w:val="nil"/>
              <w:tr2bl w:val="nil"/>
            </w:tcBorders>
            <w:shd w:val="clear" w:color="auto" w:fill="FFFFFF"/>
            <w:tcMar>
              <w:left w:w="115" w:type="dxa"/>
              <w:right w:w="115" w:type="dxa"/>
            </w:tcMar>
            <w:vAlign w:val="bottom"/>
          </w:tcPr>
          <w:p w14:paraId="4E97A2E5" w14:textId="77777777" w:rsidR="003F0EEA" w:rsidRPr="00F142B1" w:rsidRDefault="003F0EEA">
            <w:pPr>
              <w:jc w:val="right"/>
              <w:rPr>
                <w:rFonts w:ascii="Arial" w:eastAsia="Arial" w:hAnsi="Arial" w:cs="Arial"/>
                <w:color w:val="000000"/>
                <w:sz w:val="16"/>
              </w:rPr>
            </w:pPr>
          </w:p>
        </w:tc>
        <w:tc>
          <w:tcPr>
            <w:tcW w:w="1005" w:type="dxa"/>
            <w:tcBorders>
              <w:top w:val="nil"/>
              <w:left w:val="nil"/>
              <w:bottom w:val="nil"/>
              <w:right w:val="nil"/>
              <w:tl2br w:val="nil"/>
              <w:tr2bl w:val="nil"/>
            </w:tcBorders>
            <w:shd w:val="clear" w:color="auto" w:fill="C0C0C0"/>
            <w:tcMar>
              <w:left w:w="115" w:type="dxa"/>
              <w:right w:w="115" w:type="dxa"/>
            </w:tcMar>
            <w:vAlign w:val="bottom"/>
          </w:tcPr>
          <w:p w14:paraId="2A510B8D" w14:textId="77777777" w:rsidR="003F0EEA" w:rsidRPr="00F142B1" w:rsidRDefault="003F0EEA">
            <w:pPr>
              <w:jc w:val="right"/>
              <w:rPr>
                <w:rFonts w:ascii="Arial" w:eastAsia="Arial" w:hAnsi="Arial" w:cs="Arial"/>
                <w:color w:val="000000"/>
                <w:sz w:val="16"/>
              </w:rPr>
            </w:pPr>
          </w:p>
        </w:tc>
      </w:tr>
      <w:tr w:rsidR="00FB7D0B" w14:paraId="40BAA212" w14:textId="77777777" w:rsidTr="00FB7D0B">
        <w:trPr>
          <w:trHeight w:val="225"/>
        </w:trPr>
        <w:tc>
          <w:tcPr>
            <w:tcW w:w="180" w:type="dxa"/>
            <w:tcBorders>
              <w:top w:val="nil"/>
              <w:left w:val="nil"/>
              <w:bottom w:val="nil"/>
              <w:right w:val="nil"/>
              <w:tl2br w:val="nil"/>
              <w:tr2bl w:val="nil"/>
            </w:tcBorders>
            <w:shd w:val="clear" w:color="auto" w:fill="FFFFFF"/>
            <w:tcMar>
              <w:left w:w="115" w:type="dxa"/>
              <w:right w:w="115" w:type="dxa"/>
            </w:tcMar>
            <w:vAlign w:val="bottom"/>
          </w:tcPr>
          <w:p w14:paraId="430E64A5" w14:textId="77777777" w:rsidR="003F0EEA" w:rsidRPr="00F142B1" w:rsidRDefault="003F0EEA">
            <w:pPr>
              <w:rPr>
                <w:rFonts w:ascii="Arial" w:eastAsia="Arial" w:hAnsi="Arial" w:cs="Arial"/>
                <w:color w:val="000000"/>
                <w:sz w:val="16"/>
              </w:rPr>
            </w:pPr>
          </w:p>
        </w:tc>
        <w:tc>
          <w:tcPr>
            <w:tcW w:w="2490" w:type="dxa"/>
            <w:gridSpan w:val="2"/>
            <w:tcBorders>
              <w:top w:val="nil"/>
              <w:left w:val="nil"/>
              <w:bottom w:val="nil"/>
              <w:right w:val="nil"/>
              <w:tl2br w:val="nil"/>
              <w:tr2bl w:val="nil"/>
            </w:tcBorders>
            <w:shd w:val="clear" w:color="auto" w:fill="FFFFFF"/>
            <w:tcMar>
              <w:left w:w="115" w:type="dxa"/>
              <w:right w:w="115" w:type="dxa"/>
            </w:tcMar>
            <w:vAlign w:val="bottom"/>
          </w:tcPr>
          <w:p w14:paraId="1A37D667" w14:textId="77777777" w:rsidR="003F0EEA" w:rsidRPr="00F142B1" w:rsidRDefault="00FB7D0B">
            <w:pPr>
              <w:rPr>
                <w:rFonts w:ascii="Arial" w:eastAsia="Arial" w:hAnsi="Arial" w:cs="Arial"/>
                <w:color w:val="000000"/>
                <w:sz w:val="16"/>
              </w:rPr>
            </w:pPr>
            <w:r w:rsidRPr="00F142B1">
              <w:rPr>
                <w:rFonts w:ascii="Arial" w:eastAsia="Arial" w:hAnsi="Arial" w:cs="Arial"/>
                <w:color w:val="000000"/>
                <w:sz w:val="16"/>
              </w:rPr>
              <w:t>Departmental expenses</w:t>
            </w:r>
          </w:p>
        </w:tc>
        <w:tc>
          <w:tcPr>
            <w:tcW w:w="900" w:type="dxa"/>
            <w:tcBorders>
              <w:top w:val="nil"/>
              <w:left w:val="nil"/>
              <w:bottom w:val="nil"/>
              <w:right w:val="nil"/>
              <w:tl2br w:val="nil"/>
              <w:tr2bl w:val="nil"/>
            </w:tcBorders>
            <w:shd w:val="clear" w:color="auto" w:fill="FFFFFF"/>
            <w:tcMar>
              <w:left w:w="115" w:type="dxa"/>
              <w:right w:w="115" w:type="dxa"/>
            </w:tcMar>
            <w:vAlign w:val="bottom"/>
          </w:tcPr>
          <w:p w14:paraId="6B28EA55" w14:textId="77777777" w:rsidR="003F0EEA" w:rsidRPr="00F142B1" w:rsidRDefault="003F0EEA">
            <w:pPr>
              <w:jc w:val="center"/>
              <w:rPr>
                <w:rFonts w:ascii="Arial" w:eastAsia="Arial" w:hAnsi="Arial" w:cs="Arial"/>
                <w:color w:val="000000"/>
                <w:sz w:val="16"/>
              </w:rPr>
            </w:pPr>
          </w:p>
        </w:tc>
        <w:tc>
          <w:tcPr>
            <w:tcW w:w="1005" w:type="dxa"/>
            <w:tcBorders>
              <w:top w:val="nil"/>
              <w:left w:val="nil"/>
              <w:bottom w:val="single" w:sz="6" w:space="0" w:color="000000"/>
              <w:right w:val="nil"/>
              <w:tl2br w:val="nil"/>
              <w:tr2bl w:val="nil"/>
            </w:tcBorders>
            <w:shd w:val="clear" w:color="auto" w:fill="C0C0C0"/>
            <w:tcMar>
              <w:left w:w="115" w:type="dxa"/>
              <w:right w:w="115" w:type="dxa"/>
            </w:tcMar>
            <w:vAlign w:val="bottom"/>
          </w:tcPr>
          <w:p w14:paraId="1BB2B292" w14:textId="77777777" w:rsidR="003F0EEA" w:rsidRPr="00F142B1" w:rsidRDefault="00FB7D0B">
            <w:pPr>
              <w:jc w:val="center"/>
              <w:rPr>
                <w:rFonts w:ascii="Arial" w:eastAsia="Arial" w:hAnsi="Arial" w:cs="Arial"/>
                <w:color w:val="000000"/>
                <w:sz w:val="16"/>
              </w:rPr>
            </w:pPr>
            <w:r w:rsidRPr="00F142B1">
              <w:rPr>
                <w:rFonts w:ascii="Arial" w:eastAsia="Arial" w:hAnsi="Arial" w:cs="Arial"/>
                <w:color w:val="000000"/>
                <w:sz w:val="16"/>
              </w:rPr>
              <w:t xml:space="preserve"> - </w:t>
            </w:r>
          </w:p>
        </w:tc>
        <w:tc>
          <w:tcPr>
            <w:tcW w:w="1005"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31794FE6" w14:textId="77777777" w:rsidR="003F0EEA" w:rsidRPr="00F142B1" w:rsidRDefault="00FB7D0B">
            <w:pPr>
              <w:jc w:val="right"/>
              <w:rPr>
                <w:rFonts w:ascii="Arial" w:eastAsia="Arial" w:hAnsi="Arial" w:cs="Arial"/>
                <w:color w:val="000000"/>
                <w:sz w:val="16"/>
              </w:rPr>
            </w:pPr>
            <w:r w:rsidRPr="00F142B1">
              <w:rPr>
                <w:rFonts w:ascii="Arial" w:eastAsia="Arial" w:hAnsi="Arial" w:cs="Arial"/>
                <w:color w:val="000000"/>
                <w:sz w:val="16"/>
              </w:rPr>
              <w:t xml:space="preserve"> (101)</w:t>
            </w:r>
          </w:p>
        </w:tc>
        <w:tc>
          <w:tcPr>
            <w:tcW w:w="1005" w:type="dxa"/>
            <w:tcBorders>
              <w:top w:val="nil"/>
              <w:left w:val="nil"/>
              <w:bottom w:val="single" w:sz="6" w:space="0" w:color="000000"/>
              <w:right w:val="nil"/>
              <w:tl2br w:val="nil"/>
              <w:tr2bl w:val="nil"/>
            </w:tcBorders>
            <w:shd w:val="clear" w:color="auto" w:fill="C0C0C0"/>
            <w:tcMar>
              <w:left w:w="115" w:type="dxa"/>
              <w:right w:w="115" w:type="dxa"/>
            </w:tcMar>
            <w:vAlign w:val="bottom"/>
          </w:tcPr>
          <w:p w14:paraId="15FB01A0" w14:textId="77777777" w:rsidR="003F0EEA" w:rsidRPr="00F142B1" w:rsidRDefault="00FB7D0B">
            <w:pPr>
              <w:jc w:val="right"/>
              <w:rPr>
                <w:rFonts w:ascii="Arial" w:eastAsia="Arial" w:hAnsi="Arial" w:cs="Arial"/>
                <w:color w:val="000000"/>
                <w:sz w:val="16"/>
              </w:rPr>
            </w:pPr>
            <w:r w:rsidRPr="00F142B1">
              <w:rPr>
                <w:rFonts w:ascii="Arial" w:eastAsia="Arial" w:hAnsi="Arial" w:cs="Arial"/>
                <w:color w:val="000000"/>
                <w:sz w:val="16"/>
              </w:rPr>
              <w:t xml:space="preserve"> (202)</w:t>
            </w:r>
          </w:p>
        </w:tc>
        <w:tc>
          <w:tcPr>
            <w:tcW w:w="1005"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597A0D26" w14:textId="77777777" w:rsidR="003F0EEA" w:rsidRPr="00F142B1" w:rsidRDefault="00FB7D0B">
            <w:pPr>
              <w:jc w:val="right"/>
              <w:rPr>
                <w:rFonts w:ascii="Arial" w:eastAsia="Arial" w:hAnsi="Arial" w:cs="Arial"/>
                <w:color w:val="000000"/>
                <w:sz w:val="16"/>
              </w:rPr>
            </w:pPr>
            <w:r w:rsidRPr="00F142B1">
              <w:rPr>
                <w:rFonts w:ascii="Arial" w:eastAsia="Arial" w:hAnsi="Arial" w:cs="Arial"/>
                <w:color w:val="000000"/>
                <w:sz w:val="16"/>
              </w:rPr>
              <w:t xml:space="preserve"> (300)</w:t>
            </w:r>
          </w:p>
        </w:tc>
        <w:tc>
          <w:tcPr>
            <w:tcW w:w="1005" w:type="dxa"/>
            <w:tcBorders>
              <w:top w:val="nil"/>
              <w:left w:val="nil"/>
              <w:bottom w:val="single" w:sz="6" w:space="0" w:color="000000"/>
              <w:right w:val="nil"/>
              <w:tl2br w:val="nil"/>
              <w:tr2bl w:val="nil"/>
            </w:tcBorders>
            <w:shd w:val="clear" w:color="auto" w:fill="C0C0C0"/>
            <w:tcMar>
              <w:left w:w="115" w:type="dxa"/>
              <w:right w:w="115" w:type="dxa"/>
            </w:tcMar>
            <w:vAlign w:val="bottom"/>
          </w:tcPr>
          <w:p w14:paraId="3A574339" w14:textId="77777777" w:rsidR="003F0EEA" w:rsidRPr="00F142B1" w:rsidRDefault="00FB7D0B">
            <w:pPr>
              <w:jc w:val="right"/>
              <w:rPr>
                <w:rFonts w:ascii="Arial" w:eastAsia="Arial" w:hAnsi="Arial" w:cs="Arial"/>
                <w:color w:val="000000"/>
                <w:sz w:val="16"/>
              </w:rPr>
            </w:pPr>
            <w:r w:rsidRPr="00F142B1">
              <w:rPr>
                <w:rFonts w:ascii="Arial" w:eastAsia="Arial" w:hAnsi="Arial" w:cs="Arial"/>
                <w:color w:val="000000"/>
                <w:sz w:val="16"/>
              </w:rPr>
              <w:t xml:space="preserve"> (301)</w:t>
            </w:r>
          </w:p>
        </w:tc>
      </w:tr>
      <w:tr w:rsidR="00FB7D0B" w14:paraId="6CBF7665" w14:textId="77777777" w:rsidTr="00FB7D0B">
        <w:trPr>
          <w:trHeight w:val="225"/>
        </w:trPr>
        <w:tc>
          <w:tcPr>
            <w:tcW w:w="1935" w:type="dxa"/>
            <w:gridSpan w:val="2"/>
            <w:tcBorders>
              <w:top w:val="nil"/>
              <w:left w:val="nil"/>
              <w:bottom w:val="nil"/>
              <w:right w:val="nil"/>
              <w:tl2br w:val="nil"/>
              <w:tr2bl w:val="nil"/>
            </w:tcBorders>
            <w:shd w:val="clear" w:color="auto" w:fill="FFFFFF"/>
            <w:tcMar>
              <w:left w:w="115" w:type="dxa"/>
              <w:right w:w="115" w:type="dxa"/>
            </w:tcMar>
            <w:vAlign w:val="bottom"/>
          </w:tcPr>
          <w:p w14:paraId="52E86780" w14:textId="77777777" w:rsidR="003F0EEA" w:rsidRPr="00F142B1" w:rsidRDefault="00FB7D0B">
            <w:pPr>
              <w:rPr>
                <w:rFonts w:ascii="Arial" w:eastAsia="Arial" w:hAnsi="Arial" w:cs="Arial"/>
                <w:color w:val="000000"/>
                <w:sz w:val="16"/>
              </w:rPr>
            </w:pPr>
            <w:r w:rsidRPr="00F142B1">
              <w:rPr>
                <w:rFonts w:ascii="Arial" w:eastAsia="Arial" w:hAnsi="Arial" w:cs="Arial"/>
                <w:b/>
                <w:color w:val="000000"/>
                <w:sz w:val="16"/>
              </w:rPr>
              <w:t xml:space="preserve">Total </w:t>
            </w:r>
          </w:p>
        </w:tc>
        <w:tc>
          <w:tcPr>
            <w:tcW w:w="735" w:type="dxa"/>
            <w:tcBorders>
              <w:top w:val="nil"/>
              <w:left w:val="nil"/>
              <w:bottom w:val="nil"/>
              <w:right w:val="nil"/>
              <w:tl2br w:val="nil"/>
              <w:tr2bl w:val="nil"/>
            </w:tcBorders>
            <w:shd w:val="clear" w:color="auto" w:fill="FFFFFF"/>
            <w:tcMar>
              <w:left w:w="115" w:type="dxa"/>
              <w:right w:w="115" w:type="dxa"/>
            </w:tcMar>
            <w:vAlign w:val="bottom"/>
          </w:tcPr>
          <w:p w14:paraId="38D786F9" w14:textId="77777777" w:rsidR="003F0EEA" w:rsidRPr="00F142B1" w:rsidRDefault="003F0EEA">
            <w:pPr>
              <w:rPr>
                <w:rFonts w:ascii="Arial" w:eastAsia="Arial" w:hAnsi="Arial" w:cs="Arial"/>
                <w:b/>
                <w:color w:val="000000"/>
                <w:sz w:val="16"/>
              </w:rPr>
            </w:pPr>
          </w:p>
        </w:tc>
        <w:tc>
          <w:tcPr>
            <w:tcW w:w="900" w:type="dxa"/>
            <w:tcBorders>
              <w:top w:val="nil"/>
              <w:left w:val="nil"/>
              <w:bottom w:val="nil"/>
              <w:right w:val="nil"/>
              <w:tl2br w:val="nil"/>
              <w:tr2bl w:val="nil"/>
            </w:tcBorders>
            <w:shd w:val="clear" w:color="auto" w:fill="FFFFFF"/>
            <w:tcMar>
              <w:left w:w="115" w:type="dxa"/>
              <w:right w:w="115" w:type="dxa"/>
            </w:tcMar>
            <w:vAlign w:val="bottom"/>
          </w:tcPr>
          <w:p w14:paraId="3F61C065" w14:textId="77777777" w:rsidR="003F0EEA" w:rsidRPr="00F142B1" w:rsidRDefault="003F0EEA">
            <w:pPr>
              <w:jc w:val="center"/>
              <w:rPr>
                <w:rFonts w:ascii="Arial" w:eastAsia="Arial" w:hAnsi="Arial" w:cs="Arial"/>
                <w:b/>
                <w:color w:val="000000"/>
                <w:sz w:val="16"/>
              </w:rPr>
            </w:pPr>
          </w:p>
        </w:tc>
        <w:tc>
          <w:tcPr>
            <w:tcW w:w="1005" w:type="dxa"/>
            <w:tcBorders>
              <w:top w:val="single" w:sz="6" w:space="0" w:color="000000"/>
              <w:left w:val="nil"/>
              <w:bottom w:val="single" w:sz="6" w:space="0" w:color="000000"/>
              <w:right w:val="nil"/>
              <w:tl2br w:val="nil"/>
              <w:tr2bl w:val="nil"/>
            </w:tcBorders>
            <w:shd w:val="clear" w:color="auto" w:fill="C0C0C0"/>
            <w:tcMar>
              <w:left w:w="115" w:type="dxa"/>
              <w:right w:w="115" w:type="dxa"/>
            </w:tcMar>
            <w:vAlign w:val="bottom"/>
          </w:tcPr>
          <w:p w14:paraId="241EB68A" w14:textId="77777777" w:rsidR="003F0EEA" w:rsidRPr="00F142B1" w:rsidRDefault="00FB7D0B">
            <w:pPr>
              <w:jc w:val="center"/>
              <w:rPr>
                <w:rFonts w:ascii="Arial" w:eastAsia="Arial" w:hAnsi="Arial" w:cs="Arial"/>
                <w:color w:val="000000"/>
                <w:sz w:val="16"/>
              </w:rPr>
            </w:pPr>
            <w:r w:rsidRPr="00F142B1">
              <w:rPr>
                <w:rFonts w:ascii="Arial" w:eastAsia="Arial" w:hAnsi="Arial" w:cs="Arial"/>
                <w:b/>
                <w:color w:val="000000"/>
                <w:sz w:val="16"/>
              </w:rPr>
              <w:t xml:space="preserve"> - </w:t>
            </w:r>
          </w:p>
        </w:tc>
        <w:tc>
          <w:tcPr>
            <w:tcW w:w="1005" w:type="dxa"/>
            <w:tcBorders>
              <w:top w:val="single" w:sz="6" w:space="0" w:color="000000"/>
              <w:left w:val="nil"/>
              <w:bottom w:val="single" w:sz="6" w:space="0" w:color="000000"/>
              <w:right w:val="nil"/>
              <w:tl2br w:val="nil"/>
              <w:tr2bl w:val="nil"/>
            </w:tcBorders>
            <w:shd w:val="clear" w:color="auto" w:fill="FFFFFF"/>
            <w:tcMar>
              <w:left w:w="115" w:type="dxa"/>
              <w:right w:w="115" w:type="dxa"/>
            </w:tcMar>
            <w:vAlign w:val="bottom"/>
          </w:tcPr>
          <w:p w14:paraId="494D896D" w14:textId="77777777" w:rsidR="003F0EEA" w:rsidRPr="00F142B1" w:rsidRDefault="00FB7D0B">
            <w:pPr>
              <w:jc w:val="right"/>
              <w:rPr>
                <w:rFonts w:ascii="Arial" w:eastAsia="Arial" w:hAnsi="Arial" w:cs="Arial"/>
                <w:b/>
                <w:color w:val="000000"/>
                <w:sz w:val="16"/>
              </w:rPr>
            </w:pPr>
            <w:r w:rsidRPr="00F142B1">
              <w:rPr>
                <w:rFonts w:ascii="Arial" w:eastAsia="Arial" w:hAnsi="Arial" w:cs="Arial"/>
                <w:b/>
                <w:color w:val="000000"/>
                <w:sz w:val="16"/>
              </w:rPr>
              <w:t xml:space="preserve"> (101)</w:t>
            </w:r>
          </w:p>
        </w:tc>
        <w:tc>
          <w:tcPr>
            <w:tcW w:w="1005" w:type="dxa"/>
            <w:tcBorders>
              <w:top w:val="single" w:sz="6" w:space="0" w:color="000000"/>
              <w:left w:val="nil"/>
              <w:bottom w:val="single" w:sz="6" w:space="0" w:color="000000"/>
              <w:right w:val="nil"/>
              <w:tl2br w:val="nil"/>
              <w:tr2bl w:val="nil"/>
            </w:tcBorders>
            <w:shd w:val="clear" w:color="auto" w:fill="C0C0C0"/>
            <w:tcMar>
              <w:left w:w="115" w:type="dxa"/>
              <w:right w:w="115" w:type="dxa"/>
            </w:tcMar>
            <w:vAlign w:val="bottom"/>
          </w:tcPr>
          <w:p w14:paraId="3E9DE467" w14:textId="77777777" w:rsidR="003F0EEA" w:rsidRPr="00F142B1" w:rsidRDefault="00FB7D0B">
            <w:pPr>
              <w:jc w:val="right"/>
              <w:rPr>
                <w:rFonts w:ascii="Arial" w:eastAsia="Arial" w:hAnsi="Arial" w:cs="Arial"/>
                <w:b/>
                <w:color w:val="000000"/>
                <w:sz w:val="16"/>
              </w:rPr>
            </w:pPr>
            <w:r w:rsidRPr="00F142B1">
              <w:rPr>
                <w:rFonts w:ascii="Arial" w:eastAsia="Arial" w:hAnsi="Arial" w:cs="Arial"/>
                <w:b/>
                <w:color w:val="000000"/>
                <w:sz w:val="16"/>
              </w:rPr>
              <w:t xml:space="preserve"> (202)</w:t>
            </w:r>
          </w:p>
        </w:tc>
        <w:tc>
          <w:tcPr>
            <w:tcW w:w="1005" w:type="dxa"/>
            <w:tcBorders>
              <w:top w:val="single" w:sz="6" w:space="0" w:color="000000"/>
              <w:left w:val="nil"/>
              <w:bottom w:val="single" w:sz="6" w:space="0" w:color="000000"/>
              <w:right w:val="nil"/>
              <w:tl2br w:val="nil"/>
              <w:tr2bl w:val="nil"/>
            </w:tcBorders>
            <w:shd w:val="clear" w:color="auto" w:fill="FFFFFF"/>
            <w:tcMar>
              <w:left w:w="115" w:type="dxa"/>
              <w:right w:w="115" w:type="dxa"/>
            </w:tcMar>
            <w:vAlign w:val="bottom"/>
          </w:tcPr>
          <w:p w14:paraId="4A501A09" w14:textId="77777777" w:rsidR="003F0EEA" w:rsidRPr="00F142B1" w:rsidRDefault="00FB7D0B">
            <w:pPr>
              <w:jc w:val="right"/>
              <w:rPr>
                <w:rFonts w:ascii="Arial" w:eastAsia="Arial" w:hAnsi="Arial" w:cs="Arial"/>
                <w:b/>
                <w:color w:val="000000"/>
                <w:sz w:val="16"/>
              </w:rPr>
            </w:pPr>
            <w:r w:rsidRPr="00F142B1">
              <w:rPr>
                <w:rFonts w:ascii="Arial" w:eastAsia="Arial" w:hAnsi="Arial" w:cs="Arial"/>
                <w:b/>
                <w:color w:val="000000"/>
                <w:sz w:val="16"/>
              </w:rPr>
              <w:t xml:space="preserve"> (300)</w:t>
            </w:r>
          </w:p>
        </w:tc>
        <w:tc>
          <w:tcPr>
            <w:tcW w:w="1005" w:type="dxa"/>
            <w:tcBorders>
              <w:top w:val="single" w:sz="6" w:space="0" w:color="000000"/>
              <w:left w:val="nil"/>
              <w:bottom w:val="single" w:sz="6" w:space="0" w:color="000000"/>
              <w:right w:val="nil"/>
              <w:tl2br w:val="nil"/>
              <w:tr2bl w:val="nil"/>
            </w:tcBorders>
            <w:shd w:val="clear" w:color="auto" w:fill="C0C0C0"/>
            <w:tcMar>
              <w:left w:w="115" w:type="dxa"/>
              <w:right w:w="115" w:type="dxa"/>
            </w:tcMar>
            <w:vAlign w:val="bottom"/>
          </w:tcPr>
          <w:p w14:paraId="7E03A435" w14:textId="77777777" w:rsidR="003F0EEA" w:rsidRPr="00F142B1" w:rsidRDefault="00FB7D0B">
            <w:pPr>
              <w:jc w:val="right"/>
              <w:rPr>
                <w:rFonts w:ascii="Arial" w:eastAsia="Arial" w:hAnsi="Arial" w:cs="Arial"/>
                <w:b/>
                <w:color w:val="000000"/>
                <w:sz w:val="16"/>
              </w:rPr>
            </w:pPr>
            <w:r w:rsidRPr="00F142B1">
              <w:rPr>
                <w:rFonts w:ascii="Arial" w:eastAsia="Arial" w:hAnsi="Arial" w:cs="Arial"/>
                <w:b/>
                <w:color w:val="000000"/>
                <w:sz w:val="16"/>
              </w:rPr>
              <w:t xml:space="preserve"> (301)</w:t>
            </w:r>
          </w:p>
        </w:tc>
      </w:tr>
      <w:tr w:rsidR="00724034" w14:paraId="18A78746" w14:textId="77777777">
        <w:trPr>
          <w:trHeight w:hRule="exact" w:val="60"/>
        </w:trPr>
        <w:tc>
          <w:tcPr>
            <w:tcW w:w="180" w:type="dxa"/>
            <w:tcBorders>
              <w:top w:val="nil"/>
              <w:left w:val="nil"/>
              <w:bottom w:val="nil"/>
              <w:right w:val="nil"/>
              <w:tl2br w:val="nil"/>
              <w:tr2bl w:val="nil"/>
            </w:tcBorders>
            <w:shd w:val="clear" w:color="auto" w:fill="FFFFFF"/>
            <w:tcMar>
              <w:left w:w="115" w:type="dxa"/>
              <w:right w:w="115" w:type="dxa"/>
            </w:tcMar>
            <w:vAlign w:val="bottom"/>
          </w:tcPr>
          <w:p w14:paraId="082DE553" w14:textId="77777777" w:rsidR="003F0EEA" w:rsidRPr="00F142B1" w:rsidRDefault="003F0EEA">
            <w:pPr>
              <w:rPr>
                <w:rFonts w:ascii="Arial" w:eastAsia="Arial" w:hAnsi="Arial" w:cs="Arial"/>
                <w:b/>
                <w:color w:val="000000"/>
                <w:sz w:val="16"/>
              </w:rPr>
            </w:pPr>
          </w:p>
        </w:tc>
        <w:tc>
          <w:tcPr>
            <w:tcW w:w="1755" w:type="dxa"/>
            <w:tcBorders>
              <w:top w:val="nil"/>
              <w:left w:val="nil"/>
              <w:bottom w:val="nil"/>
              <w:right w:val="nil"/>
              <w:tl2br w:val="nil"/>
              <w:tr2bl w:val="nil"/>
            </w:tcBorders>
            <w:shd w:val="clear" w:color="auto" w:fill="FFFFFF"/>
            <w:tcMar>
              <w:left w:w="115" w:type="dxa"/>
              <w:right w:w="115" w:type="dxa"/>
            </w:tcMar>
            <w:vAlign w:val="bottom"/>
          </w:tcPr>
          <w:p w14:paraId="63C35287" w14:textId="77777777" w:rsidR="003F0EEA" w:rsidRPr="00F142B1" w:rsidRDefault="003F0EEA">
            <w:pPr>
              <w:rPr>
                <w:rFonts w:ascii="Arial" w:eastAsia="Arial" w:hAnsi="Arial" w:cs="Arial"/>
                <w:b/>
                <w:color w:val="000000"/>
                <w:sz w:val="16"/>
              </w:rPr>
            </w:pPr>
          </w:p>
        </w:tc>
        <w:tc>
          <w:tcPr>
            <w:tcW w:w="735" w:type="dxa"/>
            <w:tcBorders>
              <w:top w:val="nil"/>
              <w:left w:val="nil"/>
              <w:bottom w:val="nil"/>
              <w:right w:val="nil"/>
              <w:tl2br w:val="nil"/>
              <w:tr2bl w:val="nil"/>
            </w:tcBorders>
            <w:shd w:val="clear" w:color="auto" w:fill="FFFFFF"/>
            <w:tcMar>
              <w:left w:w="115" w:type="dxa"/>
              <w:right w:w="115" w:type="dxa"/>
            </w:tcMar>
            <w:vAlign w:val="bottom"/>
          </w:tcPr>
          <w:p w14:paraId="5741F9C8" w14:textId="77777777" w:rsidR="003F0EEA" w:rsidRPr="00F142B1" w:rsidRDefault="003F0EEA">
            <w:pPr>
              <w:rPr>
                <w:rFonts w:ascii="Arial" w:eastAsia="Arial" w:hAnsi="Arial" w:cs="Arial"/>
                <w:b/>
                <w:color w:val="000000"/>
                <w:sz w:val="16"/>
              </w:rPr>
            </w:pPr>
          </w:p>
        </w:tc>
        <w:tc>
          <w:tcPr>
            <w:tcW w:w="900" w:type="dxa"/>
            <w:tcBorders>
              <w:top w:val="nil"/>
              <w:left w:val="nil"/>
              <w:bottom w:val="nil"/>
              <w:right w:val="nil"/>
              <w:tl2br w:val="nil"/>
              <w:tr2bl w:val="nil"/>
            </w:tcBorders>
            <w:shd w:val="clear" w:color="auto" w:fill="FFFFFF"/>
            <w:tcMar>
              <w:left w:w="115" w:type="dxa"/>
              <w:right w:w="115" w:type="dxa"/>
            </w:tcMar>
            <w:vAlign w:val="bottom"/>
          </w:tcPr>
          <w:p w14:paraId="19184759" w14:textId="77777777" w:rsidR="003F0EEA" w:rsidRPr="00F142B1" w:rsidRDefault="003F0EEA">
            <w:pPr>
              <w:jc w:val="center"/>
              <w:rPr>
                <w:rFonts w:ascii="Arial" w:eastAsia="Arial" w:hAnsi="Arial" w:cs="Arial"/>
                <w:b/>
                <w:color w:val="000000"/>
                <w:sz w:val="16"/>
              </w:rPr>
            </w:pPr>
          </w:p>
        </w:tc>
        <w:tc>
          <w:tcPr>
            <w:tcW w:w="1005" w:type="dxa"/>
            <w:tcBorders>
              <w:top w:val="single" w:sz="6" w:space="0" w:color="000000"/>
              <w:left w:val="nil"/>
              <w:bottom w:val="nil"/>
              <w:right w:val="nil"/>
              <w:tl2br w:val="nil"/>
              <w:tr2bl w:val="nil"/>
            </w:tcBorders>
            <w:shd w:val="clear" w:color="auto" w:fill="C0C0C0"/>
            <w:tcMar>
              <w:left w:w="115" w:type="dxa"/>
              <w:right w:w="115" w:type="dxa"/>
            </w:tcMar>
            <w:vAlign w:val="bottom"/>
          </w:tcPr>
          <w:p w14:paraId="5375E511" w14:textId="77777777" w:rsidR="003F0EEA" w:rsidRPr="00F142B1" w:rsidRDefault="003F0EEA">
            <w:pPr>
              <w:jc w:val="center"/>
              <w:rPr>
                <w:rFonts w:ascii="Arial" w:eastAsia="Arial" w:hAnsi="Arial" w:cs="Arial"/>
                <w:color w:val="000000"/>
                <w:sz w:val="16"/>
              </w:rPr>
            </w:pPr>
          </w:p>
        </w:tc>
        <w:tc>
          <w:tcPr>
            <w:tcW w:w="1005"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6CE19ECE" w14:textId="77777777" w:rsidR="003F0EEA" w:rsidRPr="00F142B1" w:rsidRDefault="003F0EEA">
            <w:pPr>
              <w:jc w:val="right"/>
              <w:rPr>
                <w:rFonts w:ascii="Arial" w:eastAsia="Arial" w:hAnsi="Arial" w:cs="Arial"/>
                <w:b/>
                <w:color w:val="000000"/>
                <w:sz w:val="16"/>
              </w:rPr>
            </w:pPr>
          </w:p>
        </w:tc>
        <w:tc>
          <w:tcPr>
            <w:tcW w:w="1005" w:type="dxa"/>
            <w:tcBorders>
              <w:top w:val="single" w:sz="6" w:space="0" w:color="000000"/>
              <w:left w:val="nil"/>
              <w:bottom w:val="nil"/>
              <w:right w:val="nil"/>
              <w:tl2br w:val="nil"/>
              <w:tr2bl w:val="nil"/>
            </w:tcBorders>
            <w:shd w:val="clear" w:color="auto" w:fill="C0C0C0"/>
            <w:tcMar>
              <w:left w:w="115" w:type="dxa"/>
              <w:right w:w="115" w:type="dxa"/>
            </w:tcMar>
            <w:vAlign w:val="bottom"/>
          </w:tcPr>
          <w:p w14:paraId="269638AD" w14:textId="77777777" w:rsidR="003F0EEA" w:rsidRPr="00F142B1" w:rsidRDefault="003F0EEA">
            <w:pPr>
              <w:jc w:val="right"/>
              <w:rPr>
                <w:rFonts w:ascii="Arial" w:eastAsia="Arial" w:hAnsi="Arial" w:cs="Arial"/>
                <w:b/>
                <w:color w:val="000000"/>
                <w:sz w:val="16"/>
              </w:rPr>
            </w:pPr>
          </w:p>
        </w:tc>
        <w:tc>
          <w:tcPr>
            <w:tcW w:w="1005"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6C0917CA" w14:textId="77777777" w:rsidR="003F0EEA" w:rsidRPr="00F142B1" w:rsidRDefault="003F0EEA">
            <w:pPr>
              <w:jc w:val="right"/>
              <w:rPr>
                <w:rFonts w:ascii="Arial" w:eastAsia="Arial" w:hAnsi="Arial" w:cs="Arial"/>
                <w:b/>
                <w:color w:val="000000"/>
                <w:sz w:val="16"/>
              </w:rPr>
            </w:pPr>
          </w:p>
        </w:tc>
        <w:tc>
          <w:tcPr>
            <w:tcW w:w="1005" w:type="dxa"/>
            <w:tcBorders>
              <w:top w:val="single" w:sz="6" w:space="0" w:color="000000"/>
              <w:left w:val="nil"/>
              <w:bottom w:val="nil"/>
              <w:right w:val="nil"/>
              <w:tl2br w:val="nil"/>
              <w:tr2bl w:val="nil"/>
            </w:tcBorders>
            <w:shd w:val="clear" w:color="auto" w:fill="C0C0C0"/>
            <w:tcMar>
              <w:left w:w="115" w:type="dxa"/>
              <w:right w:w="115" w:type="dxa"/>
            </w:tcMar>
            <w:vAlign w:val="bottom"/>
          </w:tcPr>
          <w:p w14:paraId="33E2A382" w14:textId="77777777" w:rsidR="003F0EEA" w:rsidRPr="00F142B1" w:rsidRDefault="003F0EEA">
            <w:pPr>
              <w:jc w:val="right"/>
              <w:rPr>
                <w:rFonts w:ascii="Arial" w:eastAsia="Arial" w:hAnsi="Arial" w:cs="Arial"/>
                <w:b/>
                <w:color w:val="000000"/>
                <w:sz w:val="16"/>
              </w:rPr>
            </w:pPr>
          </w:p>
        </w:tc>
      </w:tr>
      <w:tr w:rsidR="00FB7D0B" w14:paraId="11B472B5" w14:textId="77777777" w:rsidTr="00FB7D0B">
        <w:trPr>
          <w:trHeight w:val="255"/>
        </w:trPr>
        <w:tc>
          <w:tcPr>
            <w:tcW w:w="1935" w:type="dxa"/>
            <w:gridSpan w:val="2"/>
            <w:tcBorders>
              <w:top w:val="nil"/>
              <w:left w:val="nil"/>
              <w:bottom w:val="nil"/>
              <w:right w:val="nil"/>
              <w:tl2br w:val="nil"/>
              <w:tr2bl w:val="nil"/>
            </w:tcBorders>
            <w:shd w:val="clear" w:color="auto" w:fill="FFFFFF"/>
            <w:tcMar>
              <w:left w:w="115" w:type="dxa"/>
              <w:right w:w="115" w:type="dxa"/>
            </w:tcMar>
            <w:vAlign w:val="bottom"/>
          </w:tcPr>
          <w:p w14:paraId="6DFD421F" w14:textId="77777777" w:rsidR="003F0EEA" w:rsidRPr="00F142B1" w:rsidRDefault="00FB7D0B">
            <w:pPr>
              <w:rPr>
                <w:rFonts w:ascii="Arial" w:eastAsia="Arial" w:hAnsi="Arial" w:cs="Arial"/>
                <w:b/>
                <w:color w:val="000000"/>
                <w:sz w:val="16"/>
              </w:rPr>
            </w:pPr>
            <w:r w:rsidRPr="00F142B1">
              <w:rPr>
                <w:rFonts w:ascii="Arial" w:eastAsia="Arial" w:hAnsi="Arial" w:cs="Arial"/>
                <w:b/>
                <w:color w:val="000000"/>
                <w:sz w:val="16"/>
              </w:rPr>
              <w:t>Total expense measures</w:t>
            </w:r>
          </w:p>
        </w:tc>
        <w:tc>
          <w:tcPr>
            <w:tcW w:w="735" w:type="dxa"/>
            <w:tcBorders>
              <w:top w:val="nil"/>
              <w:left w:val="nil"/>
              <w:bottom w:val="nil"/>
              <w:right w:val="nil"/>
              <w:tl2br w:val="nil"/>
              <w:tr2bl w:val="nil"/>
            </w:tcBorders>
            <w:shd w:val="clear" w:color="auto" w:fill="FFFFFF"/>
            <w:tcMar>
              <w:left w:w="115" w:type="dxa"/>
              <w:right w:w="115" w:type="dxa"/>
            </w:tcMar>
            <w:vAlign w:val="bottom"/>
          </w:tcPr>
          <w:p w14:paraId="27DE9A39" w14:textId="77777777" w:rsidR="003F0EEA" w:rsidRPr="00F142B1" w:rsidRDefault="003F0EEA">
            <w:pPr>
              <w:rPr>
                <w:rFonts w:ascii="Arial" w:eastAsia="Arial" w:hAnsi="Arial" w:cs="Arial"/>
                <w:b/>
                <w:color w:val="000000"/>
                <w:sz w:val="16"/>
              </w:rPr>
            </w:pPr>
          </w:p>
        </w:tc>
        <w:tc>
          <w:tcPr>
            <w:tcW w:w="900" w:type="dxa"/>
            <w:tcBorders>
              <w:top w:val="nil"/>
              <w:left w:val="nil"/>
              <w:bottom w:val="nil"/>
              <w:right w:val="nil"/>
              <w:tl2br w:val="nil"/>
              <w:tr2bl w:val="nil"/>
            </w:tcBorders>
            <w:shd w:val="clear" w:color="auto" w:fill="FFFFFF"/>
            <w:tcMar>
              <w:left w:w="115" w:type="dxa"/>
              <w:right w:w="115" w:type="dxa"/>
            </w:tcMar>
            <w:vAlign w:val="bottom"/>
          </w:tcPr>
          <w:p w14:paraId="21CF3308" w14:textId="77777777" w:rsidR="003F0EEA" w:rsidRPr="00F142B1" w:rsidRDefault="003F0EEA">
            <w:pPr>
              <w:jc w:val="center"/>
              <w:rPr>
                <w:rFonts w:ascii="Arial" w:eastAsia="Arial" w:hAnsi="Arial" w:cs="Arial"/>
                <w:b/>
                <w:color w:val="000000"/>
                <w:sz w:val="16"/>
              </w:rPr>
            </w:pPr>
          </w:p>
        </w:tc>
        <w:tc>
          <w:tcPr>
            <w:tcW w:w="1005" w:type="dxa"/>
            <w:tcBorders>
              <w:top w:val="nil"/>
              <w:left w:val="nil"/>
              <w:bottom w:val="nil"/>
              <w:right w:val="nil"/>
              <w:tl2br w:val="nil"/>
              <w:tr2bl w:val="nil"/>
            </w:tcBorders>
            <w:shd w:val="clear" w:color="auto" w:fill="C0C0C0"/>
            <w:tcMar>
              <w:left w:w="115" w:type="dxa"/>
              <w:right w:w="115" w:type="dxa"/>
            </w:tcMar>
            <w:vAlign w:val="bottom"/>
          </w:tcPr>
          <w:p w14:paraId="24E587D5" w14:textId="77777777" w:rsidR="003F0EEA" w:rsidRPr="00F142B1" w:rsidRDefault="003F0EEA">
            <w:pPr>
              <w:jc w:val="right"/>
              <w:rPr>
                <w:rFonts w:ascii="Arial" w:eastAsia="Arial" w:hAnsi="Arial" w:cs="Arial"/>
                <w:color w:val="000000"/>
                <w:sz w:val="16"/>
              </w:rPr>
            </w:pPr>
          </w:p>
        </w:tc>
        <w:tc>
          <w:tcPr>
            <w:tcW w:w="1005" w:type="dxa"/>
            <w:tcBorders>
              <w:top w:val="nil"/>
              <w:left w:val="nil"/>
              <w:bottom w:val="nil"/>
              <w:right w:val="nil"/>
              <w:tl2br w:val="nil"/>
              <w:tr2bl w:val="nil"/>
            </w:tcBorders>
            <w:shd w:val="clear" w:color="auto" w:fill="FFFFFF"/>
            <w:tcMar>
              <w:left w:w="115" w:type="dxa"/>
              <w:right w:w="115" w:type="dxa"/>
            </w:tcMar>
            <w:vAlign w:val="bottom"/>
          </w:tcPr>
          <w:p w14:paraId="1498CCA0" w14:textId="77777777" w:rsidR="003F0EEA" w:rsidRPr="00F142B1" w:rsidRDefault="003F0EEA">
            <w:pPr>
              <w:jc w:val="right"/>
              <w:rPr>
                <w:rFonts w:ascii="Arial" w:eastAsia="Arial" w:hAnsi="Arial" w:cs="Arial"/>
                <w:color w:val="000000"/>
                <w:sz w:val="16"/>
              </w:rPr>
            </w:pPr>
          </w:p>
        </w:tc>
        <w:tc>
          <w:tcPr>
            <w:tcW w:w="1005" w:type="dxa"/>
            <w:tcBorders>
              <w:top w:val="nil"/>
              <w:left w:val="nil"/>
              <w:bottom w:val="nil"/>
              <w:right w:val="nil"/>
              <w:tl2br w:val="nil"/>
              <w:tr2bl w:val="nil"/>
            </w:tcBorders>
            <w:shd w:val="clear" w:color="auto" w:fill="C0C0C0"/>
            <w:tcMar>
              <w:left w:w="115" w:type="dxa"/>
              <w:right w:w="115" w:type="dxa"/>
            </w:tcMar>
            <w:vAlign w:val="bottom"/>
          </w:tcPr>
          <w:p w14:paraId="44EECC39" w14:textId="77777777" w:rsidR="003F0EEA" w:rsidRPr="00F142B1" w:rsidRDefault="003F0EEA">
            <w:pPr>
              <w:jc w:val="right"/>
              <w:rPr>
                <w:rFonts w:ascii="Arial" w:eastAsia="Arial" w:hAnsi="Arial" w:cs="Arial"/>
                <w:color w:val="000000"/>
                <w:sz w:val="16"/>
              </w:rPr>
            </w:pPr>
          </w:p>
        </w:tc>
        <w:tc>
          <w:tcPr>
            <w:tcW w:w="1005" w:type="dxa"/>
            <w:tcBorders>
              <w:top w:val="nil"/>
              <w:left w:val="nil"/>
              <w:bottom w:val="nil"/>
              <w:right w:val="nil"/>
              <w:tl2br w:val="nil"/>
              <w:tr2bl w:val="nil"/>
            </w:tcBorders>
            <w:shd w:val="clear" w:color="auto" w:fill="FFFFFF"/>
            <w:tcMar>
              <w:left w:w="115" w:type="dxa"/>
              <w:right w:w="115" w:type="dxa"/>
            </w:tcMar>
            <w:vAlign w:val="bottom"/>
          </w:tcPr>
          <w:p w14:paraId="181D8618" w14:textId="77777777" w:rsidR="003F0EEA" w:rsidRPr="00F142B1" w:rsidRDefault="003F0EEA">
            <w:pPr>
              <w:jc w:val="right"/>
              <w:rPr>
                <w:rFonts w:ascii="Arial" w:eastAsia="Arial" w:hAnsi="Arial" w:cs="Arial"/>
                <w:color w:val="000000"/>
                <w:sz w:val="16"/>
              </w:rPr>
            </w:pPr>
          </w:p>
        </w:tc>
        <w:tc>
          <w:tcPr>
            <w:tcW w:w="1005" w:type="dxa"/>
            <w:tcBorders>
              <w:top w:val="nil"/>
              <w:left w:val="nil"/>
              <w:bottom w:val="nil"/>
              <w:right w:val="nil"/>
              <w:tl2br w:val="nil"/>
              <w:tr2bl w:val="nil"/>
            </w:tcBorders>
            <w:shd w:val="clear" w:color="auto" w:fill="C0C0C0"/>
            <w:tcMar>
              <w:left w:w="115" w:type="dxa"/>
              <w:right w:w="115" w:type="dxa"/>
            </w:tcMar>
            <w:vAlign w:val="bottom"/>
          </w:tcPr>
          <w:p w14:paraId="3FAE02F6" w14:textId="77777777" w:rsidR="003F0EEA" w:rsidRPr="00F142B1" w:rsidRDefault="003F0EEA">
            <w:pPr>
              <w:jc w:val="right"/>
              <w:rPr>
                <w:rFonts w:ascii="Arial" w:eastAsia="Arial" w:hAnsi="Arial" w:cs="Arial"/>
                <w:color w:val="000000"/>
                <w:sz w:val="16"/>
              </w:rPr>
            </w:pPr>
          </w:p>
        </w:tc>
      </w:tr>
      <w:tr w:rsidR="00724034" w14:paraId="1EDA8B4F" w14:textId="77777777">
        <w:trPr>
          <w:trHeight w:val="225"/>
        </w:trPr>
        <w:tc>
          <w:tcPr>
            <w:tcW w:w="180" w:type="dxa"/>
            <w:tcBorders>
              <w:top w:val="nil"/>
              <w:left w:val="nil"/>
              <w:bottom w:val="nil"/>
              <w:right w:val="nil"/>
              <w:tl2br w:val="nil"/>
              <w:tr2bl w:val="nil"/>
            </w:tcBorders>
            <w:shd w:val="clear" w:color="auto" w:fill="FFFFFF"/>
            <w:tcMar>
              <w:left w:w="115" w:type="dxa"/>
              <w:right w:w="115" w:type="dxa"/>
            </w:tcMar>
            <w:vAlign w:val="bottom"/>
          </w:tcPr>
          <w:p w14:paraId="52A14D57" w14:textId="77777777" w:rsidR="003F0EEA" w:rsidRPr="00F142B1" w:rsidRDefault="003F0EEA">
            <w:pPr>
              <w:rPr>
                <w:rFonts w:ascii="Arial" w:eastAsia="Arial" w:hAnsi="Arial" w:cs="Arial"/>
                <w:color w:val="000000"/>
                <w:sz w:val="16"/>
              </w:rPr>
            </w:pPr>
          </w:p>
        </w:tc>
        <w:tc>
          <w:tcPr>
            <w:tcW w:w="1755" w:type="dxa"/>
            <w:tcBorders>
              <w:top w:val="nil"/>
              <w:left w:val="nil"/>
              <w:bottom w:val="nil"/>
              <w:right w:val="nil"/>
              <w:tl2br w:val="nil"/>
              <w:tr2bl w:val="nil"/>
            </w:tcBorders>
            <w:shd w:val="clear" w:color="auto" w:fill="FFFFFF"/>
            <w:tcMar>
              <w:left w:w="115" w:type="dxa"/>
              <w:right w:w="115" w:type="dxa"/>
            </w:tcMar>
            <w:vAlign w:val="bottom"/>
          </w:tcPr>
          <w:p w14:paraId="1120D64E" w14:textId="77777777" w:rsidR="003F0EEA" w:rsidRPr="00F142B1" w:rsidRDefault="00FB7D0B">
            <w:pPr>
              <w:rPr>
                <w:rFonts w:ascii="Arial" w:eastAsia="Arial" w:hAnsi="Arial" w:cs="Arial"/>
                <w:color w:val="000000"/>
                <w:sz w:val="16"/>
              </w:rPr>
            </w:pPr>
            <w:r w:rsidRPr="00F142B1">
              <w:rPr>
                <w:rFonts w:ascii="Arial" w:eastAsia="Arial" w:hAnsi="Arial" w:cs="Arial"/>
                <w:color w:val="000000"/>
                <w:sz w:val="16"/>
              </w:rPr>
              <w:t>Departmental</w:t>
            </w:r>
          </w:p>
        </w:tc>
        <w:tc>
          <w:tcPr>
            <w:tcW w:w="735" w:type="dxa"/>
            <w:tcBorders>
              <w:top w:val="nil"/>
              <w:left w:val="nil"/>
              <w:bottom w:val="nil"/>
              <w:right w:val="nil"/>
              <w:tl2br w:val="nil"/>
              <w:tr2bl w:val="nil"/>
            </w:tcBorders>
            <w:shd w:val="clear" w:color="auto" w:fill="FFFFFF"/>
            <w:tcMar>
              <w:left w:w="115" w:type="dxa"/>
              <w:right w:w="115" w:type="dxa"/>
            </w:tcMar>
            <w:vAlign w:val="bottom"/>
          </w:tcPr>
          <w:p w14:paraId="33CA1DB1" w14:textId="77777777" w:rsidR="003F0EEA" w:rsidRPr="00F142B1" w:rsidRDefault="003F0EEA">
            <w:pPr>
              <w:rPr>
                <w:rFonts w:ascii="Arial" w:eastAsia="Arial" w:hAnsi="Arial" w:cs="Arial"/>
                <w:color w:val="000000"/>
                <w:sz w:val="16"/>
              </w:rPr>
            </w:pPr>
          </w:p>
        </w:tc>
        <w:tc>
          <w:tcPr>
            <w:tcW w:w="900" w:type="dxa"/>
            <w:tcBorders>
              <w:top w:val="nil"/>
              <w:left w:val="nil"/>
              <w:bottom w:val="nil"/>
              <w:right w:val="nil"/>
              <w:tl2br w:val="nil"/>
              <w:tr2bl w:val="nil"/>
            </w:tcBorders>
            <w:shd w:val="clear" w:color="auto" w:fill="FFFFFF"/>
            <w:tcMar>
              <w:left w:w="115" w:type="dxa"/>
              <w:right w:w="115" w:type="dxa"/>
            </w:tcMar>
            <w:vAlign w:val="bottom"/>
          </w:tcPr>
          <w:p w14:paraId="6BE1E158" w14:textId="77777777" w:rsidR="003F0EEA" w:rsidRPr="00F142B1" w:rsidRDefault="003F0EEA">
            <w:pPr>
              <w:rPr>
                <w:rFonts w:ascii="Arial" w:eastAsia="Arial" w:hAnsi="Arial" w:cs="Arial"/>
                <w:color w:val="000000"/>
                <w:sz w:val="16"/>
              </w:rPr>
            </w:pPr>
          </w:p>
        </w:tc>
        <w:tc>
          <w:tcPr>
            <w:tcW w:w="1005" w:type="dxa"/>
            <w:tcBorders>
              <w:top w:val="nil"/>
              <w:left w:val="nil"/>
              <w:bottom w:val="single" w:sz="6" w:space="0" w:color="000000"/>
              <w:right w:val="nil"/>
              <w:tl2br w:val="nil"/>
              <w:tr2bl w:val="nil"/>
            </w:tcBorders>
            <w:shd w:val="clear" w:color="auto" w:fill="C0C0C0"/>
            <w:tcMar>
              <w:left w:w="115" w:type="dxa"/>
              <w:right w:w="115" w:type="dxa"/>
            </w:tcMar>
            <w:vAlign w:val="bottom"/>
          </w:tcPr>
          <w:p w14:paraId="538EE933" w14:textId="77777777" w:rsidR="003F0EEA" w:rsidRPr="00F142B1" w:rsidRDefault="00FB7D0B">
            <w:pPr>
              <w:jc w:val="center"/>
              <w:rPr>
                <w:rFonts w:ascii="Arial" w:eastAsia="Arial" w:hAnsi="Arial" w:cs="Arial"/>
                <w:color w:val="000000"/>
                <w:sz w:val="16"/>
              </w:rPr>
            </w:pPr>
            <w:r w:rsidRPr="00F142B1">
              <w:rPr>
                <w:rFonts w:ascii="Arial" w:eastAsia="Arial" w:hAnsi="Arial" w:cs="Arial"/>
                <w:color w:val="000000"/>
                <w:sz w:val="16"/>
              </w:rPr>
              <w:t xml:space="preserve"> - </w:t>
            </w:r>
          </w:p>
        </w:tc>
        <w:tc>
          <w:tcPr>
            <w:tcW w:w="1005"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2C9529A9" w14:textId="77777777" w:rsidR="003F0EEA" w:rsidRPr="00F142B1" w:rsidRDefault="00FB7D0B">
            <w:pPr>
              <w:jc w:val="right"/>
              <w:rPr>
                <w:rFonts w:ascii="Arial" w:eastAsia="Arial" w:hAnsi="Arial" w:cs="Arial"/>
                <w:color w:val="000000"/>
                <w:sz w:val="16"/>
              </w:rPr>
            </w:pPr>
            <w:r w:rsidRPr="00F142B1">
              <w:rPr>
                <w:rFonts w:ascii="Arial" w:eastAsia="Arial" w:hAnsi="Arial" w:cs="Arial"/>
                <w:color w:val="000000"/>
                <w:sz w:val="16"/>
              </w:rPr>
              <w:t xml:space="preserve"> (101)</w:t>
            </w:r>
          </w:p>
        </w:tc>
        <w:tc>
          <w:tcPr>
            <w:tcW w:w="1005" w:type="dxa"/>
            <w:tcBorders>
              <w:top w:val="nil"/>
              <w:left w:val="nil"/>
              <w:bottom w:val="single" w:sz="6" w:space="0" w:color="000000"/>
              <w:right w:val="nil"/>
              <w:tl2br w:val="nil"/>
              <w:tr2bl w:val="nil"/>
            </w:tcBorders>
            <w:shd w:val="clear" w:color="auto" w:fill="C0C0C0"/>
            <w:tcMar>
              <w:left w:w="115" w:type="dxa"/>
              <w:right w:w="115" w:type="dxa"/>
            </w:tcMar>
            <w:vAlign w:val="bottom"/>
          </w:tcPr>
          <w:p w14:paraId="716C13F4" w14:textId="77777777" w:rsidR="003F0EEA" w:rsidRPr="00F142B1" w:rsidRDefault="00FB7D0B">
            <w:pPr>
              <w:jc w:val="right"/>
              <w:rPr>
                <w:rFonts w:ascii="Arial" w:eastAsia="Arial" w:hAnsi="Arial" w:cs="Arial"/>
                <w:color w:val="000000"/>
                <w:sz w:val="16"/>
              </w:rPr>
            </w:pPr>
            <w:r w:rsidRPr="00F142B1">
              <w:rPr>
                <w:rFonts w:ascii="Arial" w:eastAsia="Arial" w:hAnsi="Arial" w:cs="Arial"/>
                <w:color w:val="000000"/>
                <w:sz w:val="16"/>
              </w:rPr>
              <w:t xml:space="preserve"> (202)</w:t>
            </w:r>
          </w:p>
        </w:tc>
        <w:tc>
          <w:tcPr>
            <w:tcW w:w="1005"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5A46767E" w14:textId="77777777" w:rsidR="003F0EEA" w:rsidRPr="00F142B1" w:rsidRDefault="00FB7D0B">
            <w:pPr>
              <w:jc w:val="right"/>
              <w:rPr>
                <w:rFonts w:ascii="Arial" w:eastAsia="Arial" w:hAnsi="Arial" w:cs="Arial"/>
                <w:color w:val="000000"/>
                <w:sz w:val="16"/>
              </w:rPr>
            </w:pPr>
            <w:r w:rsidRPr="00F142B1">
              <w:rPr>
                <w:rFonts w:ascii="Arial" w:eastAsia="Arial" w:hAnsi="Arial" w:cs="Arial"/>
                <w:color w:val="000000"/>
                <w:sz w:val="16"/>
              </w:rPr>
              <w:t xml:space="preserve"> (300)</w:t>
            </w:r>
          </w:p>
        </w:tc>
        <w:tc>
          <w:tcPr>
            <w:tcW w:w="1005" w:type="dxa"/>
            <w:tcBorders>
              <w:top w:val="nil"/>
              <w:left w:val="nil"/>
              <w:bottom w:val="single" w:sz="6" w:space="0" w:color="000000"/>
              <w:right w:val="nil"/>
              <w:tl2br w:val="nil"/>
              <w:tr2bl w:val="nil"/>
            </w:tcBorders>
            <w:shd w:val="clear" w:color="auto" w:fill="C0C0C0"/>
            <w:tcMar>
              <w:left w:w="115" w:type="dxa"/>
              <w:right w:w="115" w:type="dxa"/>
            </w:tcMar>
            <w:vAlign w:val="bottom"/>
          </w:tcPr>
          <w:p w14:paraId="5C3CAD8B" w14:textId="77777777" w:rsidR="003F0EEA" w:rsidRPr="00F142B1" w:rsidRDefault="00FB7D0B">
            <w:pPr>
              <w:jc w:val="right"/>
              <w:rPr>
                <w:rFonts w:ascii="Arial" w:eastAsia="Arial" w:hAnsi="Arial" w:cs="Arial"/>
                <w:color w:val="000000"/>
                <w:sz w:val="16"/>
              </w:rPr>
            </w:pPr>
            <w:r w:rsidRPr="00F142B1">
              <w:rPr>
                <w:rFonts w:ascii="Arial" w:eastAsia="Arial" w:hAnsi="Arial" w:cs="Arial"/>
                <w:color w:val="000000"/>
                <w:sz w:val="16"/>
              </w:rPr>
              <w:t xml:space="preserve"> (301)</w:t>
            </w:r>
          </w:p>
        </w:tc>
      </w:tr>
      <w:tr w:rsidR="00FB7D0B" w14:paraId="62E0CEDD" w14:textId="77777777" w:rsidTr="00FB7D0B">
        <w:trPr>
          <w:trHeight w:val="225"/>
        </w:trPr>
        <w:tc>
          <w:tcPr>
            <w:tcW w:w="1935" w:type="dxa"/>
            <w:gridSpan w:val="2"/>
            <w:tcBorders>
              <w:top w:val="nil"/>
              <w:left w:val="nil"/>
              <w:bottom w:val="nil"/>
              <w:right w:val="nil"/>
              <w:tl2br w:val="nil"/>
              <w:tr2bl w:val="nil"/>
            </w:tcBorders>
            <w:shd w:val="clear" w:color="auto" w:fill="FFFFFF"/>
            <w:tcMar>
              <w:left w:w="115" w:type="dxa"/>
              <w:right w:w="115" w:type="dxa"/>
            </w:tcMar>
            <w:vAlign w:val="bottom"/>
          </w:tcPr>
          <w:p w14:paraId="411F190F" w14:textId="77777777" w:rsidR="003F0EEA" w:rsidRPr="00F142B1" w:rsidRDefault="00FB7D0B">
            <w:pPr>
              <w:rPr>
                <w:rFonts w:ascii="Arial" w:eastAsia="Arial" w:hAnsi="Arial" w:cs="Arial"/>
                <w:color w:val="000000"/>
                <w:sz w:val="16"/>
              </w:rPr>
            </w:pPr>
            <w:r w:rsidRPr="00F142B1">
              <w:rPr>
                <w:rFonts w:ascii="Arial" w:eastAsia="Arial" w:hAnsi="Arial" w:cs="Arial"/>
                <w:b/>
                <w:color w:val="000000"/>
                <w:sz w:val="16"/>
              </w:rPr>
              <w:t>Total</w:t>
            </w:r>
          </w:p>
        </w:tc>
        <w:tc>
          <w:tcPr>
            <w:tcW w:w="735" w:type="dxa"/>
            <w:tcBorders>
              <w:top w:val="nil"/>
              <w:left w:val="nil"/>
              <w:bottom w:val="nil"/>
              <w:right w:val="nil"/>
              <w:tl2br w:val="nil"/>
              <w:tr2bl w:val="nil"/>
            </w:tcBorders>
            <w:shd w:val="clear" w:color="auto" w:fill="FFFFFF"/>
            <w:tcMar>
              <w:left w:w="115" w:type="dxa"/>
              <w:right w:w="115" w:type="dxa"/>
            </w:tcMar>
            <w:vAlign w:val="bottom"/>
          </w:tcPr>
          <w:p w14:paraId="6111399A" w14:textId="77777777" w:rsidR="003F0EEA" w:rsidRPr="00F142B1" w:rsidRDefault="003F0EEA">
            <w:pPr>
              <w:rPr>
                <w:rFonts w:ascii="Arial" w:eastAsia="Arial" w:hAnsi="Arial" w:cs="Arial"/>
                <w:b/>
                <w:color w:val="000000"/>
                <w:sz w:val="16"/>
              </w:rPr>
            </w:pPr>
          </w:p>
        </w:tc>
        <w:tc>
          <w:tcPr>
            <w:tcW w:w="900" w:type="dxa"/>
            <w:tcBorders>
              <w:top w:val="nil"/>
              <w:left w:val="nil"/>
              <w:bottom w:val="nil"/>
              <w:right w:val="nil"/>
              <w:tl2br w:val="nil"/>
              <w:tr2bl w:val="nil"/>
            </w:tcBorders>
            <w:shd w:val="clear" w:color="auto" w:fill="FFFFFF"/>
            <w:tcMar>
              <w:left w:w="115" w:type="dxa"/>
              <w:right w:w="115" w:type="dxa"/>
            </w:tcMar>
            <w:vAlign w:val="bottom"/>
          </w:tcPr>
          <w:p w14:paraId="6CDBAB06" w14:textId="77777777" w:rsidR="003F0EEA" w:rsidRPr="00F142B1" w:rsidRDefault="003F0EEA">
            <w:pPr>
              <w:rPr>
                <w:rFonts w:ascii="Arial" w:eastAsia="Arial" w:hAnsi="Arial" w:cs="Arial"/>
                <w:b/>
                <w:color w:val="000000"/>
                <w:sz w:val="16"/>
              </w:rPr>
            </w:pPr>
          </w:p>
        </w:tc>
        <w:tc>
          <w:tcPr>
            <w:tcW w:w="1005" w:type="dxa"/>
            <w:tcBorders>
              <w:top w:val="single" w:sz="6" w:space="0" w:color="000000"/>
              <w:left w:val="nil"/>
              <w:bottom w:val="single" w:sz="6" w:space="0" w:color="000000"/>
              <w:right w:val="nil"/>
              <w:tl2br w:val="nil"/>
              <w:tr2bl w:val="nil"/>
            </w:tcBorders>
            <w:shd w:val="clear" w:color="auto" w:fill="C0C0C0"/>
            <w:tcMar>
              <w:left w:w="115" w:type="dxa"/>
              <w:right w:w="115" w:type="dxa"/>
            </w:tcMar>
            <w:vAlign w:val="bottom"/>
          </w:tcPr>
          <w:p w14:paraId="423CFC77" w14:textId="77777777" w:rsidR="003F0EEA" w:rsidRPr="00F142B1" w:rsidRDefault="00FB7D0B">
            <w:pPr>
              <w:jc w:val="center"/>
              <w:rPr>
                <w:rFonts w:ascii="Arial" w:eastAsia="Arial" w:hAnsi="Arial" w:cs="Arial"/>
                <w:b/>
                <w:color w:val="000000"/>
                <w:sz w:val="16"/>
              </w:rPr>
            </w:pPr>
            <w:r w:rsidRPr="00F142B1">
              <w:rPr>
                <w:rFonts w:ascii="Arial" w:eastAsia="Arial" w:hAnsi="Arial" w:cs="Arial"/>
                <w:b/>
                <w:color w:val="000000"/>
                <w:sz w:val="16"/>
              </w:rPr>
              <w:t xml:space="preserve"> - </w:t>
            </w:r>
          </w:p>
        </w:tc>
        <w:tc>
          <w:tcPr>
            <w:tcW w:w="1005" w:type="dxa"/>
            <w:tcBorders>
              <w:top w:val="single" w:sz="6" w:space="0" w:color="000000"/>
              <w:left w:val="nil"/>
              <w:bottom w:val="single" w:sz="6" w:space="0" w:color="000000"/>
              <w:right w:val="nil"/>
              <w:tl2br w:val="nil"/>
              <w:tr2bl w:val="nil"/>
            </w:tcBorders>
            <w:shd w:val="clear" w:color="auto" w:fill="FFFFFF"/>
            <w:tcMar>
              <w:left w:w="115" w:type="dxa"/>
              <w:right w:w="115" w:type="dxa"/>
            </w:tcMar>
            <w:vAlign w:val="bottom"/>
          </w:tcPr>
          <w:p w14:paraId="38AE41AA" w14:textId="77777777" w:rsidR="003F0EEA" w:rsidRPr="00F142B1" w:rsidRDefault="00FB7D0B">
            <w:pPr>
              <w:jc w:val="right"/>
              <w:rPr>
                <w:rFonts w:ascii="Arial" w:eastAsia="Arial" w:hAnsi="Arial" w:cs="Arial"/>
                <w:b/>
                <w:color w:val="000000"/>
                <w:sz w:val="16"/>
              </w:rPr>
            </w:pPr>
            <w:r w:rsidRPr="00F142B1">
              <w:rPr>
                <w:rFonts w:ascii="Arial" w:eastAsia="Arial" w:hAnsi="Arial" w:cs="Arial"/>
                <w:b/>
                <w:color w:val="000000"/>
                <w:sz w:val="16"/>
              </w:rPr>
              <w:t xml:space="preserve"> (101)</w:t>
            </w:r>
          </w:p>
        </w:tc>
        <w:tc>
          <w:tcPr>
            <w:tcW w:w="1005" w:type="dxa"/>
            <w:tcBorders>
              <w:top w:val="single" w:sz="6" w:space="0" w:color="000000"/>
              <w:left w:val="nil"/>
              <w:bottom w:val="single" w:sz="6" w:space="0" w:color="000000"/>
              <w:right w:val="nil"/>
              <w:tl2br w:val="nil"/>
              <w:tr2bl w:val="nil"/>
            </w:tcBorders>
            <w:shd w:val="clear" w:color="auto" w:fill="C0C0C0"/>
            <w:tcMar>
              <w:left w:w="115" w:type="dxa"/>
              <w:right w:w="115" w:type="dxa"/>
            </w:tcMar>
            <w:vAlign w:val="bottom"/>
          </w:tcPr>
          <w:p w14:paraId="1019E7D5" w14:textId="77777777" w:rsidR="003F0EEA" w:rsidRPr="00F142B1" w:rsidRDefault="00FB7D0B">
            <w:pPr>
              <w:jc w:val="right"/>
              <w:rPr>
                <w:rFonts w:ascii="Arial" w:eastAsia="Arial" w:hAnsi="Arial" w:cs="Arial"/>
                <w:b/>
                <w:color w:val="000000"/>
                <w:sz w:val="16"/>
              </w:rPr>
            </w:pPr>
            <w:r w:rsidRPr="00F142B1">
              <w:rPr>
                <w:rFonts w:ascii="Arial" w:eastAsia="Arial" w:hAnsi="Arial" w:cs="Arial"/>
                <w:b/>
                <w:color w:val="000000"/>
                <w:sz w:val="16"/>
              </w:rPr>
              <w:t xml:space="preserve"> (202)</w:t>
            </w:r>
          </w:p>
        </w:tc>
        <w:tc>
          <w:tcPr>
            <w:tcW w:w="1005" w:type="dxa"/>
            <w:tcBorders>
              <w:top w:val="single" w:sz="6" w:space="0" w:color="000000"/>
              <w:left w:val="nil"/>
              <w:bottom w:val="single" w:sz="6" w:space="0" w:color="000000"/>
              <w:right w:val="nil"/>
              <w:tl2br w:val="nil"/>
              <w:tr2bl w:val="nil"/>
            </w:tcBorders>
            <w:shd w:val="clear" w:color="auto" w:fill="FFFFFF"/>
            <w:tcMar>
              <w:left w:w="115" w:type="dxa"/>
              <w:right w:w="115" w:type="dxa"/>
            </w:tcMar>
            <w:vAlign w:val="bottom"/>
          </w:tcPr>
          <w:p w14:paraId="4CDF9E62" w14:textId="77777777" w:rsidR="003F0EEA" w:rsidRPr="00F142B1" w:rsidRDefault="00FB7D0B">
            <w:pPr>
              <w:jc w:val="right"/>
              <w:rPr>
                <w:rFonts w:ascii="Arial" w:eastAsia="Arial" w:hAnsi="Arial" w:cs="Arial"/>
                <w:b/>
                <w:color w:val="000000"/>
                <w:sz w:val="16"/>
              </w:rPr>
            </w:pPr>
            <w:r w:rsidRPr="00F142B1">
              <w:rPr>
                <w:rFonts w:ascii="Arial" w:eastAsia="Arial" w:hAnsi="Arial" w:cs="Arial"/>
                <w:b/>
                <w:color w:val="000000"/>
                <w:sz w:val="16"/>
              </w:rPr>
              <w:t xml:space="preserve"> (300)</w:t>
            </w:r>
          </w:p>
        </w:tc>
        <w:tc>
          <w:tcPr>
            <w:tcW w:w="1005" w:type="dxa"/>
            <w:tcBorders>
              <w:top w:val="single" w:sz="6" w:space="0" w:color="000000"/>
              <w:left w:val="nil"/>
              <w:bottom w:val="single" w:sz="6" w:space="0" w:color="000000"/>
              <w:right w:val="nil"/>
              <w:tl2br w:val="nil"/>
              <w:tr2bl w:val="nil"/>
            </w:tcBorders>
            <w:shd w:val="clear" w:color="auto" w:fill="C0C0C0"/>
            <w:tcMar>
              <w:left w:w="115" w:type="dxa"/>
              <w:right w:w="115" w:type="dxa"/>
            </w:tcMar>
            <w:vAlign w:val="bottom"/>
          </w:tcPr>
          <w:p w14:paraId="39CC04CC" w14:textId="77777777" w:rsidR="003F0EEA" w:rsidRPr="00F142B1" w:rsidRDefault="00FB7D0B">
            <w:pPr>
              <w:jc w:val="right"/>
              <w:rPr>
                <w:rFonts w:ascii="Arial" w:eastAsia="Arial" w:hAnsi="Arial" w:cs="Arial"/>
                <w:b/>
                <w:color w:val="000000"/>
                <w:sz w:val="16"/>
              </w:rPr>
            </w:pPr>
            <w:r w:rsidRPr="00F142B1">
              <w:rPr>
                <w:rFonts w:ascii="Arial" w:eastAsia="Arial" w:hAnsi="Arial" w:cs="Arial"/>
                <w:b/>
                <w:color w:val="000000"/>
                <w:sz w:val="16"/>
              </w:rPr>
              <w:t xml:space="preserve"> (301)</w:t>
            </w:r>
          </w:p>
        </w:tc>
      </w:tr>
      <w:tr w:rsidR="00724034" w14:paraId="71FE6C7D" w14:textId="77777777">
        <w:trPr>
          <w:trHeight w:hRule="exact" w:val="60"/>
        </w:trPr>
        <w:tc>
          <w:tcPr>
            <w:tcW w:w="180" w:type="dxa"/>
            <w:tcBorders>
              <w:top w:val="nil"/>
              <w:left w:val="nil"/>
              <w:bottom w:val="nil"/>
              <w:right w:val="nil"/>
              <w:tl2br w:val="nil"/>
              <w:tr2bl w:val="nil"/>
            </w:tcBorders>
            <w:shd w:val="clear" w:color="auto" w:fill="FFFFFF"/>
            <w:tcMar>
              <w:left w:w="115" w:type="dxa"/>
              <w:right w:w="115" w:type="dxa"/>
            </w:tcMar>
            <w:vAlign w:val="bottom"/>
          </w:tcPr>
          <w:p w14:paraId="656CDC6F" w14:textId="77777777" w:rsidR="003F0EEA" w:rsidRPr="00F142B1" w:rsidRDefault="003F0EEA">
            <w:pPr>
              <w:rPr>
                <w:rFonts w:ascii="Arial" w:eastAsia="Arial" w:hAnsi="Arial" w:cs="Arial"/>
                <w:b/>
                <w:color w:val="000000"/>
                <w:sz w:val="16"/>
              </w:rPr>
            </w:pPr>
          </w:p>
        </w:tc>
        <w:tc>
          <w:tcPr>
            <w:tcW w:w="1755" w:type="dxa"/>
            <w:tcBorders>
              <w:top w:val="nil"/>
              <w:left w:val="nil"/>
              <w:bottom w:val="nil"/>
              <w:right w:val="nil"/>
              <w:tl2br w:val="nil"/>
              <w:tr2bl w:val="nil"/>
            </w:tcBorders>
            <w:shd w:val="clear" w:color="auto" w:fill="FFFFFF"/>
            <w:tcMar>
              <w:left w:w="115" w:type="dxa"/>
              <w:right w:w="115" w:type="dxa"/>
            </w:tcMar>
            <w:vAlign w:val="bottom"/>
          </w:tcPr>
          <w:p w14:paraId="1C517A99" w14:textId="77777777" w:rsidR="003F0EEA" w:rsidRPr="00F142B1" w:rsidRDefault="003F0EEA">
            <w:pPr>
              <w:rPr>
                <w:rFonts w:ascii="Arial" w:eastAsia="Arial" w:hAnsi="Arial" w:cs="Arial"/>
                <w:b/>
                <w:color w:val="000000"/>
                <w:sz w:val="16"/>
              </w:rPr>
            </w:pPr>
          </w:p>
        </w:tc>
        <w:tc>
          <w:tcPr>
            <w:tcW w:w="735" w:type="dxa"/>
            <w:tcBorders>
              <w:top w:val="nil"/>
              <w:left w:val="nil"/>
              <w:bottom w:val="nil"/>
              <w:right w:val="nil"/>
              <w:tl2br w:val="nil"/>
              <w:tr2bl w:val="nil"/>
            </w:tcBorders>
            <w:shd w:val="clear" w:color="auto" w:fill="FFFFFF"/>
            <w:tcMar>
              <w:left w:w="115" w:type="dxa"/>
              <w:right w:w="115" w:type="dxa"/>
            </w:tcMar>
            <w:vAlign w:val="bottom"/>
          </w:tcPr>
          <w:p w14:paraId="7CD9051D" w14:textId="77777777" w:rsidR="003F0EEA" w:rsidRPr="00F142B1" w:rsidRDefault="003F0EEA">
            <w:pPr>
              <w:rPr>
                <w:rFonts w:ascii="Arial" w:eastAsia="Arial" w:hAnsi="Arial" w:cs="Arial"/>
                <w:b/>
                <w:color w:val="000000"/>
                <w:sz w:val="16"/>
              </w:rPr>
            </w:pPr>
          </w:p>
        </w:tc>
        <w:tc>
          <w:tcPr>
            <w:tcW w:w="900" w:type="dxa"/>
            <w:tcBorders>
              <w:top w:val="nil"/>
              <w:left w:val="nil"/>
              <w:bottom w:val="nil"/>
              <w:right w:val="nil"/>
              <w:tl2br w:val="nil"/>
              <w:tr2bl w:val="nil"/>
            </w:tcBorders>
            <w:shd w:val="clear" w:color="auto" w:fill="FFFFFF"/>
            <w:tcMar>
              <w:left w:w="115" w:type="dxa"/>
              <w:right w:w="115" w:type="dxa"/>
            </w:tcMar>
            <w:vAlign w:val="bottom"/>
          </w:tcPr>
          <w:p w14:paraId="2CA618F4" w14:textId="77777777" w:rsidR="003F0EEA" w:rsidRPr="00F142B1" w:rsidRDefault="003F0EEA">
            <w:pPr>
              <w:rPr>
                <w:rFonts w:ascii="Arial" w:eastAsia="Arial" w:hAnsi="Arial" w:cs="Arial"/>
                <w:b/>
                <w:color w:val="000000"/>
                <w:sz w:val="16"/>
              </w:rPr>
            </w:pPr>
          </w:p>
        </w:tc>
        <w:tc>
          <w:tcPr>
            <w:tcW w:w="1005" w:type="dxa"/>
            <w:tcBorders>
              <w:top w:val="single" w:sz="6" w:space="0" w:color="000000"/>
              <w:left w:val="nil"/>
              <w:bottom w:val="nil"/>
              <w:right w:val="nil"/>
              <w:tl2br w:val="nil"/>
              <w:tr2bl w:val="nil"/>
            </w:tcBorders>
            <w:shd w:val="clear" w:color="auto" w:fill="C0C0C0"/>
            <w:tcMar>
              <w:left w:w="115" w:type="dxa"/>
              <w:right w:w="115" w:type="dxa"/>
            </w:tcMar>
            <w:vAlign w:val="bottom"/>
          </w:tcPr>
          <w:p w14:paraId="7B18265F" w14:textId="77777777" w:rsidR="003F0EEA" w:rsidRPr="00F142B1" w:rsidRDefault="003F0EEA">
            <w:pPr>
              <w:jc w:val="center"/>
              <w:rPr>
                <w:rFonts w:ascii="Arial" w:eastAsia="Arial" w:hAnsi="Arial" w:cs="Arial"/>
                <w:b/>
                <w:color w:val="000000"/>
                <w:sz w:val="16"/>
              </w:rPr>
            </w:pPr>
          </w:p>
        </w:tc>
        <w:tc>
          <w:tcPr>
            <w:tcW w:w="1005"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688513A1" w14:textId="77777777" w:rsidR="003F0EEA" w:rsidRPr="00F142B1" w:rsidRDefault="003F0EEA">
            <w:pPr>
              <w:jc w:val="right"/>
              <w:rPr>
                <w:rFonts w:ascii="Arial" w:eastAsia="Arial" w:hAnsi="Arial" w:cs="Arial"/>
                <w:b/>
                <w:color w:val="000000"/>
                <w:sz w:val="16"/>
              </w:rPr>
            </w:pPr>
          </w:p>
        </w:tc>
        <w:tc>
          <w:tcPr>
            <w:tcW w:w="1005" w:type="dxa"/>
            <w:tcBorders>
              <w:top w:val="single" w:sz="6" w:space="0" w:color="000000"/>
              <w:left w:val="nil"/>
              <w:bottom w:val="nil"/>
              <w:right w:val="nil"/>
              <w:tl2br w:val="nil"/>
              <w:tr2bl w:val="nil"/>
            </w:tcBorders>
            <w:shd w:val="clear" w:color="auto" w:fill="C0C0C0"/>
            <w:tcMar>
              <w:left w:w="115" w:type="dxa"/>
              <w:right w:w="115" w:type="dxa"/>
            </w:tcMar>
            <w:vAlign w:val="bottom"/>
          </w:tcPr>
          <w:p w14:paraId="544EF0E9" w14:textId="77777777" w:rsidR="003F0EEA" w:rsidRPr="00F142B1" w:rsidRDefault="003F0EEA">
            <w:pPr>
              <w:jc w:val="right"/>
              <w:rPr>
                <w:rFonts w:ascii="Arial" w:eastAsia="Arial" w:hAnsi="Arial" w:cs="Arial"/>
                <w:b/>
                <w:color w:val="000000"/>
                <w:sz w:val="16"/>
              </w:rPr>
            </w:pPr>
          </w:p>
        </w:tc>
        <w:tc>
          <w:tcPr>
            <w:tcW w:w="1005"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737D0A49" w14:textId="77777777" w:rsidR="003F0EEA" w:rsidRPr="00F142B1" w:rsidRDefault="003F0EEA">
            <w:pPr>
              <w:jc w:val="right"/>
              <w:rPr>
                <w:rFonts w:ascii="Arial" w:eastAsia="Arial" w:hAnsi="Arial" w:cs="Arial"/>
                <w:b/>
                <w:color w:val="000000"/>
                <w:sz w:val="16"/>
              </w:rPr>
            </w:pPr>
          </w:p>
        </w:tc>
        <w:tc>
          <w:tcPr>
            <w:tcW w:w="1005" w:type="dxa"/>
            <w:tcBorders>
              <w:top w:val="single" w:sz="6" w:space="0" w:color="000000"/>
              <w:left w:val="nil"/>
              <w:bottom w:val="nil"/>
              <w:right w:val="nil"/>
              <w:tl2br w:val="nil"/>
              <w:tr2bl w:val="nil"/>
            </w:tcBorders>
            <w:shd w:val="clear" w:color="auto" w:fill="C0C0C0"/>
            <w:tcMar>
              <w:left w:w="115" w:type="dxa"/>
              <w:right w:w="115" w:type="dxa"/>
            </w:tcMar>
            <w:vAlign w:val="bottom"/>
          </w:tcPr>
          <w:p w14:paraId="1F008516" w14:textId="77777777" w:rsidR="003F0EEA" w:rsidRPr="00F142B1" w:rsidRDefault="003F0EEA">
            <w:pPr>
              <w:jc w:val="right"/>
              <w:rPr>
                <w:rFonts w:ascii="Arial" w:eastAsia="Arial" w:hAnsi="Arial" w:cs="Arial"/>
                <w:b/>
                <w:color w:val="000000"/>
                <w:sz w:val="16"/>
              </w:rPr>
            </w:pPr>
          </w:p>
        </w:tc>
      </w:tr>
      <w:tr w:rsidR="00FB7D0B" w14:paraId="4C505848" w14:textId="77777777" w:rsidTr="00FB7D0B">
        <w:trPr>
          <w:trHeight w:val="225"/>
        </w:trPr>
        <w:tc>
          <w:tcPr>
            <w:tcW w:w="2670" w:type="dxa"/>
            <w:gridSpan w:val="3"/>
            <w:tcBorders>
              <w:top w:val="nil"/>
              <w:left w:val="nil"/>
              <w:bottom w:val="nil"/>
              <w:right w:val="nil"/>
              <w:tl2br w:val="nil"/>
              <w:tr2bl w:val="nil"/>
            </w:tcBorders>
            <w:shd w:val="clear" w:color="auto" w:fill="FFFFFF"/>
            <w:tcMar>
              <w:left w:w="115" w:type="dxa"/>
              <w:right w:w="115" w:type="dxa"/>
            </w:tcMar>
            <w:vAlign w:val="bottom"/>
          </w:tcPr>
          <w:p w14:paraId="4894ECE6" w14:textId="77777777" w:rsidR="003F0EEA" w:rsidRPr="00F142B1" w:rsidRDefault="00FB7D0B">
            <w:pPr>
              <w:rPr>
                <w:rFonts w:ascii="Arial" w:eastAsia="Arial" w:hAnsi="Arial" w:cs="Arial"/>
                <w:b/>
                <w:color w:val="000000"/>
                <w:sz w:val="16"/>
              </w:rPr>
            </w:pPr>
            <w:r w:rsidRPr="00F142B1">
              <w:rPr>
                <w:rFonts w:ascii="Arial" w:eastAsia="Arial" w:hAnsi="Arial" w:cs="Arial"/>
                <w:b/>
                <w:color w:val="000000"/>
                <w:sz w:val="16"/>
              </w:rPr>
              <w:t>Capital measures (if applicable)</w:t>
            </w:r>
          </w:p>
        </w:tc>
        <w:tc>
          <w:tcPr>
            <w:tcW w:w="900" w:type="dxa"/>
            <w:tcBorders>
              <w:top w:val="nil"/>
              <w:left w:val="nil"/>
              <w:bottom w:val="nil"/>
              <w:right w:val="nil"/>
              <w:tl2br w:val="nil"/>
              <w:tr2bl w:val="nil"/>
            </w:tcBorders>
            <w:shd w:val="clear" w:color="auto" w:fill="FFFFFF"/>
            <w:tcMar>
              <w:left w:w="115" w:type="dxa"/>
              <w:right w:w="115" w:type="dxa"/>
            </w:tcMar>
            <w:vAlign w:val="bottom"/>
          </w:tcPr>
          <w:p w14:paraId="14510634" w14:textId="77777777" w:rsidR="003F0EEA" w:rsidRPr="00F142B1" w:rsidRDefault="003F0EEA">
            <w:pPr>
              <w:rPr>
                <w:rFonts w:ascii="Arial" w:eastAsia="Arial" w:hAnsi="Arial" w:cs="Arial"/>
                <w:b/>
                <w:color w:val="000000"/>
                <w:sz w:val="16"/>
              </w:rPr>
            </w:pPr>
          </w:p>
        </w:tc>
        <w:tc>
          <w:tcPr>
            <w:tcW w:w="1005" w:type="dxa"/>
            <w:tcBorders>
              <w:top w:val="nil"/>
              <w:left w:val="nil"/>
              <w:bottom w:val="nil"/>
              <w:right w:val="nil"/>
              <w:tl2br w:val="nil"/>
              <w:tr2bl w:val="nil"/>
            </w:tcBorders>
            <w:shd w:val="clear" w:color="auto" w:fill="C0C0C0"/>
            <w:tcMar>
              <w:left w:w="115" w:type="dxa"/>
              <w:right w:w="115" w:type="dxa"/>
            </w:tcMar>
            <w:vAlign w:val="bottom"/>
          </w:tcPr>
          <w:p w14:paraId="0367B9C8" w14:textId="77777777" w:rsidR="003F0EEA" w:rsidRPr="00F142B1" w:rsidRDefault="003F0EEA">
            <w:pPr>
              <w:jc w:val="center"/>
              <w:rPr>
                <w:rFonts w:ascii="Arial" w:eastAsia="Arial" w:hAnsi="Arial" w:cs="Arial"/>
                <w:b/>
                <w:color w:val="000000"/>
                <w:sz w:val="16"/>
              </w:rPr>
            </w:pPr>
          </w:p>
        </w:tc>
        <w:tc>
          <w:tcPr>
            <w:tcW w:w="1005" w:type="dxa"/>
            <w:tcBorders>
              <w:top w:val="nil"/>
              <w:left w:val="nil"/>
              <w:bottom w:val="nil"/>
              <w:right w:val="nil"/>
              <w:tl2br w:val="nil"/>
              <w:tr2bl w:val="nil"/>
            </w:tcBorders>
            <w:shd w:val="clear" w:color="auto" w:fill="FFFFFF"/>
            <w:tcMar>
              <w:left w:w="115" w:type="dxa"/>
              <w:right w:w="115" w:type="dxa"/>
            </w:tcMar>
            <w:vAlign w:val="bottom"/>
          </w:tcPr>
          <w:p w14:paraId="3D4EECAC" w14:textId="77777777" w:rsidR="003F0EEA" w:rsidRPr="00F142B1" w:rsidRDefault="003F0EEA">
            <w:pPr>
              <w:jc w:val="right"/>
              <w:rPr>
                <w:rFonts w:ascii="Arial" w:eastAsia="Arial" w:hAnsi="Arial" w:cs="Arial"/>
                <w:b/>
                <w:color w:val="000000"/>
                <w:sz w:val="16"/>
              </w:rPr>
            </w:pPr>
          </w:p>
        </w:tc>
        <w:tc>
          <w:tcPr>
            <w:tcW w:w="1005" w:type="dxa"/>
            <w:tcBorders>
              <w:top w:val="nil"/>
              <w:left w:val="nil"/>
              <w:bottom w:val="nil"/>
              <w:right w:val="nil"/>
              <w:tl2br w:val="nil"/>
              <w:tr2bl w:val="nil"/>
            </w:tcBorders>
            <w:shd w:val="clear" w:color="auto" w:fill="C0C0C0"/>
            <w:tcMar>
              <w:left w:w="115" w:type="dxa"/>
              <w:right w:w="115" w:type="dxa"/>
            </w:tcMar>
            <w:vAlign w:val="bottom"/>
          </w:tcPr>
          <w:p w14:paraId="17DA531C" w14:textId="77777777" w:rsidR="003F0EEA" w:rsidRPr="00F142B1" w:rsidRDefault="003F0EEA">
            <w:pPr>
              <w:jc w:val="right"/>
              <w:rPr>
                <w:rFonts w:ascii="Arial" w:eastAsia="Arial" w:hAnsi="Arial" w:cs="Arial"/>
                <w:b/>
                <w:color w:val="000000"/>
                <w:sz w:val="16"/>
              </w:rPr>
            </w:pPr>
          </w:p>
        </w:tc>
        <w:tc>
          <w:tcPr>
            <w:tcW w:w="1005" w:type="dxa"/>
            <w:tcBorders>
              <w:top w:val="nil"/>
              <w:left w:val="nil"/>
              <w:bottom w:val="nil"/>
              <w:right w:val="nil"/>
              <w:tl2br w:val="nil"/>
              <w:tr2bl w:val="nil"/>
            </w:tcBorders>
            <w:shd w:val="clear" w:color="auto" w:fill="FFFFFF"/>
            <w:tcMar>
              <w:left w:w="115" w:type="dxa"/>
              <w:right w:w="115" w:type="dxa"/>
            </w:tcMar>
            <w:vAlign w:val="bottom"/>
          </w:tcPr>
          <w:p w14:paraId="2DB31DBC" w14:textId="77777777" w:rsidR="003F0EEA" w:rsidRPr="00F142B1" w:rsidRDefault="003F0EEA">
            <w:pPr>
              <w:jc w:val="right"/>
              <w:rPr>
                <w:rFonts w:ascii="Arial" w:eastAsia="Arial" w:hAnsi="Arial" w:cs="Arial"/>
                <w:b/>
                <w:color w:val="000000"/>
                <w:sz w:val="16"/>
              </w:rPr>
            </w:pPr>
          </w:p>
        </w:tc>
        <w:tc>
          <w:tcPr>
            <w:tcW w:w="1005" w:type="dxa"/>
            <w:tcBorders>
              <w:top w:val="nil"/>
              <w:left w:val="nil"/>
              <w:bottom w:val="nil"/>
              <w:right w:val="nil"/>
              <w:tl2br w:val="nil"/>
              <w:tr2bl w:val="nil"/>
            </w:tcBorders>
            <w:shd w:val="clear" w:color="auto" w:fill="C0C0C0"/>
            <w:tcMar>
              <w:left w:w="115" w:type="dxa"/>
              <w:right w:w="115" w:type="dxa"/>
            </w:tcMar>
            <w:vAlign w:val="bottom"/>
          </w:tcPr>
          <w:p w14:paraId="4B88707D" w14:textId="77777777" w:rsidR="003F0EEA" w:rsidRPr="00F142B1" w:rsidRDefault="003F0EEA">
            <w:pPr>
              <w:jc w:val="right"/>
              <w:rPr>
                <w:rFonts w:ascii="Arial" w:eastAsia="Arial" w:hAnsi="Arial" w:cs="Arial"/>
                <w:b/>
                <w:color w:val="000000"/>
                <w:sz w:val="16"/>
              </w:rPr>
            </w:pPr>
          </w:p>
        </w:tc>
      </w:tr>
      <w:tr w:rsidR="00FB7D0B" w14:paraId="26605279" w14:textId="77777777" w:rsidTr="00FB7D0B">
        <w:trPr>
          <w:trHeight w:val="750"/>
        </w:trPr>
        <w:tc>
          <w:tcPr>
            <w:tcW w:w="2670" w:type="dxa"/>
            <w:gridSpan w:val="3"/>
            <w:tcBorders>
              <w:top w:val="nil"/>
              <w:left w:val="nil"/>
              <w:bottom w:val="nil"/>
              <w:right w:val="nil"/>
              <w:tl2br w:val="nil"/>
              <w:tr2bl w:val="nil"/>
            </w:tcBorders>
            <w:shd w:val="clear" w:color="auto" w:fill="FFFFFF"/>
            <w:tcMar>
              <w:left w:w="115" w:type="dxa"/>
              <w:right w:w="115" w:type="dxa"/>
            </w:tcMar>
            <w:vAlign w:val="bottom"/>
          </w:tcPr>
          <w:p w14:paraId="41579913" w14:textId="77777777" w:rsidR="003F0EEA" w:rsidRPr="00F142B1" w:rsidRDefault="00FB7D0B">
            <w:pPr>
              <w:rPr>
                <w:rFonts w:ascii="Arial" w:eastAsia="Arial" w:hAnsi="Arial" w:cs="Arial"/>
                <w:b/>
                <w:color w:val="000000"/>
                <w:sz w:val="16"/>
              </w:rPr>
            </w:pPr>
            <w:r w:rsidRPr="00F142B1">
              <w:rPr>
                <w:rFonts w:ascii="Arial" w:eastAsia="Arial" w:hAnsi="Arial" w:cs="Arial"/>
                <w:color w:val="000000"/>
                <w:sz w:val="16"/>
              </w:rPr>
              <w:t>Efficiency Dividend - a further temporary increase of 0.25 per cent</w:t>
            </w:r>
          </w:p>
        </w:tc>
        <w:tc>
          <w:tcPr>
            <w:tcW w:w="900" w:type="dxa"/>
            <w:tcBorders>
              <w:top w:val="nil"/>
              <w:left w:val="nil"/>
              <w:bottom w:val="nil"/>
              <w:right w:val="nil"/>
              <w:tl2br w:val="nil"/>
              <w:tr2bl w:val="nil"/>
            </w:tcBorders>
            <w:shd w:val="clear" w:color="auto" w:fill="FFFFFF"/>
            <w:tcMar>
              <w:left w:w="115" w:type="dxa"/>
              <w:right w:w="115" w:type="dxa"/>
            </w:tcMar>
            <w:vAlign w:val="bottom"/>
          </w:tcPr>
          <w:p w14:paraId="58983C5A" w14:textId="77777777" w:rsidR="003F0EEA" w:rsidRPr="00F142B1" w:rsidRDefault="00FB7D0B">
            <w:pPr>
              <w:jc w:val="right"/>
              <w:rPr>
                <w:rFonts w:ascii="Arial" w:eastAsia="Arial" w:hAnsi="Arial" w:cs="Arial"/>
                <w:color w:val="000000"/>
                <w:sz w:val="16"/>
              </w:rPr>
            </w:pPr>
            <w:r w:rsidRPr="00F142B1">
              <w:rPr>
                <w:rFonts w:ascii="Arial" w:eastAsia="Arial" w:hAnsi="Arial" w:cs="Arial"/>
                <w:color w:val="000000"/>
                <w:sz w:val="16"/>
              </w:rPr>
              <w:t>1.2-1.3</w:t>
            </w:r>
          </w:p>
        </w:tc>
        <w:tc>
          <w:tcPr>
            <w:tcW w:w="1005" w:type="dxa"/>
            <w:tcBorders>
              <w:top w:val="nil"/>
              <w:left w:val="nil"/>
              <w:bottom w:val="nil"/>
              <w:right w:val="nil"/>
              <w:tl2br w:val="nil"/>
              <w:tr2bl w:val="nil"/>
            </w:tcBorders>
            <w:shd w:val="clear" w:color="auto" w:fill="C0C0C0"/>
            <w:tcMar>
              <w:left w:w="115" w:type="dxa"/>
              <w:right w:w="115" w:type="dxa"/>
            </w:tcMar>
            <w:vAlign w:val="bottom"/>
          </w:tcPr>
          <w:p w14:paraId="6350295A" w14:textId="77777777" w:rsidR="003F0EEA" w:rsidRPr="00F142B1" w:rsidRDefault="003F0EEA">
            <w:pPr>
              <w:jc w:val="center"/>
              <w:rPr>
                <w:rFonts w:ascii="Arial" w:eastAsia="Arial" w:hAnsi="Arial" w:cs="Arial"/>
                <w:color w:val="000000"/>
                <w:sz w:val="16"/>
              </w:rPr>
            </w:pPr>
          </w:p>
        </w:tc>
        <w:tc>
          <w:tcPr>
            <w:tcW w:w="1005" w:type="dxa"/>
            <w:tcBorders>
              <w:top w:val="nil"/>
              <w:left w:val="nil"/>
              <w:bottom w:val="nil"/>
              <w:right w:val="nil"/>
              <w:tl2br w:val="nil"/>
              <w:tr2bl w:val="nil"/>
            </w:tcBorders>
            <w:shd w:val="clear" w:color="auto" w:fill="FFFFFF"/>
            <w:tcMar>
              <w:left w:w="115" w:type="dxa"/>
              <w:right w:w="115" w:type="dxa"/>
            </w:tcMar>
            <w:vAlign w:val="bottom"/>
          </w:tcPr>
          <w:p w14:paraId="154F47AD" w14:textId="77777777" w:rsidR="003F0EEA" w:rsidRPr="00F142B1" w:rsidRDefault="003F0EEA">
            <w:pPr>
              <w:jc w:val="right"/>
              <w:rPr>
                <w:rFonts w:ascii="Arial" w:eastAsia="Arial" w:hAnsi="Arial" w:cs="Arial"/>
                <w:b/>
                <w:color w:val="000000"/>
                <w:sz w:val="16"/>
              </w:rPr>
            </w:pPr>
          </w:p>
        </w:tc>
        <w:tc>
          <w:tcPr>
            <w:tcW w:w="1005" w:type="dxa"/>
            <w:tcBorders>
              <w:top w:val="nil"/>
              <w:left w:val="nil"/>
              <w:bottom w:val="nil"/>
              <w:right w:val="nil"/>
              <w:tl2br w:val="nil"/>
              <w:tr2bl w:val="nil"/>
            </w:tcBorders>
            <w:shd w:val="clear" w:color="auto" w:fill="C0C0C0"/>
            <w:tcMar>
              <w:left w:w="115" w:type="dxa"/>
              <w:right w:w="115" w:type="dxa"/>
            </w:tcMar>
            <w:vAlign w:val="bottom"/>
          </w:tcPr>
          <w:p w14:paraId="1D7D737E" w14:textId="77777777" w:rsidR="003F0EEA" w:rsidRPr="00F142B1" w:rsidRDefault="003F0EEA">
            <w:pPr>
              <w:jc w:val="right"/>
              <w:rPr>
                <w:rFonts w:ascii="Arial" w:eastAsia="Arial" w:hAnsi="Arial" w:cs="Arial"/>
                <w:b/>
                <w:color w:val="000000"/>
                <w:sz w:val="16"/>
              </w:rPr>
            </w:pPr>
          </w:p>
        </w:tc>
        <w:tc>
          <w:tcPr>
            <w:tcW w:w="1005" w:type="dxa"/>
            <w:tcBorders>
              <w:top w:val="nil"/>
              <w:left w:val="nil"/>
              <w:bottom w:val="nil"/>
              <w:right w:val="nil"/>
              <w:tl2br w:val="nil"/>
              <w:tr2bl w:val="nil"/>
            </w:tcBorders>
            <w:shd w:val="clear" w:color="auto" w:fill="FFFFFF"/>
            <w:tcMar>
              <w:left w:w="115" w:type="dxa"/>
              <w:right w:w="115" w:type="dxa"/>
            </w:tcMar>
            <w:vAlign w:val="bottom"/>
          </w:tcPr>
          <w:p w14:paraId="70C472BA" w14:textId="77777777" w:rsidR="003F0EEA" w:rsidRPr="00F142B1" w:rsidRDefault="003F0EEA">
            <w:pPr>
              <w:jc w:val="right"/>
              <w:rPr>
                <w:rFonts w:ascii="Arial" w:eastAsia="Arial" w:hAnsi="Arial" w:cs="Arial"/>
                <w:b/>
                <w:color w:val="000000"/>
                <w:sz w:val="16"/>
              </w:rPr>
            </w:pPr>
          </w:p>
        </w:tc>
        <w:tc>
          <w:tcPr>
            <w:tcW w:w="1005" w:type="dxa"/>
            <w:tcBorders>
              <w:top w:val="nil"/>
              <w:left w:val="nil"/>
              <w:bottom w:val="nil"/>
              <w:right w:val="nil"/>
              <w:tl2br w:val="nil"/>
              <w:tr2bl w:val="nil"/>
            </w:tcBorders>
            <w:shd w:val="clear" w:color="auto" w:fill="C0C0C0"/>
            <w:tcMar>
              <w:left w:w="115" w:type="dxa"/>
              <w:right w:w="115" w:type="dxa"/>
            </w:tcMar>
            <w:vAlign w:val="bottom"/>
          </w:tcPr>
          <w:p w14:paraId="3B722E20" w14:textId="77777777" w:rsidR="003F0EEA" w:rsidRPr="00F142B1" w:rsidRDefault="003F0EEA">
            <w:pPr>
              <w:jc w:val="right"/>
              <w:rPr>
                <w:rFonts w:ascii="Arial" w:eastAsia="Arial" w:hAnsi="Arial" w:cs="Arial"/>
                <w:b/>
                <w:color w:val="000000"/>
                <w:sz w:val="16"/>
              </w:rPr>
            </w:pPr>
          </w:p>
        </w:tc>
      </w:tr>
      <w:tr w:rsidR="00FB7D0B" w14:paraId="5F676D23" w14:textId="77777777" w:rsidTr="00FB7D0B">
        <w:trPr>
          <w:trHeight w:val="225"/>
        </w:trPr>
        <w:tc>
          <w:tcPr>
            <w:tcW w:w="180" w:type="dxa"/>
            <w:tcBorders>
              <w:top w:val="nil"/>
              <w:left w:val="nil"/>
              <w:bottom w:val="nil"/>
              <w:right w:val="nil"/>
              <w:tl2br w:val="nil"/>
              <w:tr2bl w:val="nil"/>
            </w:tcBorders>
            <w:shd w:val="clear" w:color="auto" w:fill="FFFFFF"/>
            <w:tcMar>
              <w:left w:w="115" w:type="dxa"/>
              <w:right w:w="115" w:type="dxa"/>
            </w:tcMar>
            <w:vAlign w:val="bottom"/>
          </w:tcPr>
          <w:p w14:paraId="5848C56C" w14:textId="77777777" w:rsidR="003F0EEA" w:rsidRPr="00F142B1" w:rsidRDefault="003F0EEA">
            <w:pPr>
              <w:rPr>
                <w:rFonts w:ascii="Arial" w:eastAsia="Arial" w:hAnsi="Arial" w:cs="Arial"/>
                <w:b/>
                <w:color w:val="000000"/>
                <w:sz w:val="16"/>
              </w:rPr>
            </w:pPr>
          </w:p>
        </w:tc>
        <w:tc>
          <w:tcPr>
            <w:tcW w:w="2490" w:type="dxa"/>
            <w:gridSpan w:val="2"/>
            <w:tcBorders>
              <w:top w:val="nil"/>
              <w:left w:val="nil"/>
              <w:bottom w:val="nil"/>
              <w:right w:val="nil"/>
              <w:tl2br w:val="nil"/>
              <w:tr2bl w:val="nil"/>
            </w:tcBorders>
            <w:shd w:val="clear" w:color="auto" w:fill="FFFFFF"/>
            <w:tcMar>
              <w:left w:w="115" w:type="dxa"/>
              <w:right w:w="115" w:type="dxa"/>
            </w:tcMar>
            <w:vAlign w:val="bottom"/>
          </w:tcPr>
          <w:p w14:paraId="7ACA956D" w14:textId="77777777" w:rsidR="003F0EEA" w:rsidRPr="00F142B1" w:rsidRDefault="00FB7D0B">
            <w:pPr>
              <w:rPr>
                <w:rFonts w:ascii="Arial" w:eastAsia="Arial" w:hAnsi="Arial" w:cs="Arial"/>
                <w:b/>
                <w:color w:val="000000"/>
                <w:sz w:val="16"/>
              </w:rPr>
            </w:pPr>
            <w:r w:rsidRPr="00F142B1">
              <w:rPr>
                <w:rFonts w:ascii="Arial" w:eastAsia="Arial" w:hAnsi="Arial" w:cs="Arial"/>
                <w:color w:val="000000"/>
                <w:sz w:val="16"/>
              </w:rPr>
              <w:t>Departmental capital</w:t>
            </w:r>
          </w:p>
        </w:tc>
        <w:tc>
          <w:tcPr>
            <w:tcW w:w="900" w:type="dxa"/>
            <w:tcBorders>
              <w:top w:val="nil"/>
              <w:left w:val="nil"/>
              <w:bottom w:val="nil"/>
              <w:right w:val="nil"/>
              <w:tl2br w:val="nil"/>
              <w:tr2bl w:val="nil"/>
            </w:tcBorders>
            <w:shd w:val="clear" w:color="auto" w:fill="FFFFFF"/>
            <w:tcMar>
              <w:left w:w="115" w:type="dxa"/>
              <w:right w:w="115" w:type="dxa"/>
            </w:tcMar>
            <w:vAlign w:val="bottom"/>
          </w:tcPr>
          <w:p w14:paraId="48D36498" w14:textId="77777777" w:rsidR="003F0EEA" w:rsidRPr="00F142B1" w:rsidRDefault="003F0EEA">
            <w:pPr>
              <w:rPr>
                <w:rFonts w:ascii="Arial" w:eastAsia="Arial" w:hAnsi="Arial" w:cs="Arial"/>
                <w:color w:val="000000"/>
                <w:sz w:val="16"/>
              </w:rPr>
            </w:pPr>
          </w:p>
        </w:tc>
        <w:tc>
          <w:tcPr>
            <w:tcW w:w="1005" w:type="dxa"/>
            <w:tcBorders>
              <w:top w:val="nil"/>
              <w:left w:val="nil"/>
              <w:bottom w:val="single" w:sz="6" w:space="0" w:color="000000"/>
              <w:right w:val="nil"/>
              <w:tl2br w:val="nil"/>
              <w:tr2bl w:val="nil"/>
            </w:tcBorders>
            <w:shd w:val="clear" w:color="auto" w:fill="C0C0C0"/>
            <w:tcMar>
              <w:left w:w="115" w:type="dxa"/>
              <w:right w:w="115" w:type="dxa"/>
            </w:tcMar>
            <w:vAlign w:val="bottom"/>
          </w:tcPr>
          <w:p w14:paraId="70C6E791" w14:textId="77777777" w:rsidR="003F0EEA" w:rsidRPr="00F142B1" w:rsidRDefault="003F0EEA">
            <w:pPr>
              <w:jc w:val="center"/>
              <w:rPr>
                <w:rFonts w:ascii="Arial" w:eastAsia="Arial" w:hAnsi="Arial" w:cs="Arial"/>
                <w:b/>
                <w:color w:val="000000"/>
                <w:sz w:val="16"/>
              </w:rPr>
            </w:pPr>
          </w:p>
        </w:tc>
        <w:tc>
          <w:tcPr>
            <w:tcW w:w="1005"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19AEA967" w14:textId="77777777" w:rsidR="003F0EEA" w:rsidRPr="00F142B1" w:rsidRDefault="00FB7D0B">
            <w:pPr>
              <w:jc w:val="right"/>
              <w:rPr>
                <w:rFonts w:ascii="Arial" w:eastAsia="Arial" w:hAnsi="Arial" w:cs="Arial"/>
                <w:b/>
                <w:color w:val="000000"/>
                <w:sz w:val="16"/>
              </w:rPr>
            </w:pPr>
            <w:r w:rsidRPr="00F142B1">
              <w:rPr>
                <w:rFonts w:ascii="Arial" w:eastAsia="Arial" w:hAnsi="Arial" w:cs="Arial"/>
                <w:color w:val="000000"/>
                <w:sz w:val="16"/>
              </w:rPr>
              <w:t xml:space="preserve"> (19)</w:t>
            </w:r>
          </w:p>
        </w:tc>
        <w:tc>
          <w:tcPr>
            <w:tcW w:w="1005" w:type="dxa"/>
            <w:tcBorders>
              <w:top w:val="nil"/>
              <w:left w:val="nil"/>
              <w:bottom w:val="single" w:sz="6" w:space="0" w:color="000000"/>
              <w:right w:val="nil"/>
              <w:tl2br w:val="nil"/>
              <w:tr2bl w:val="nil"/>
            </w:tcBorders>
            <w:shd w:val="clear" w:color="auto" w:fill="C0C0C0"/>
            <w:tcMar>
              <w:left w:w="115" w:type="dxa"/>
              <w:right w:w="115" w:type="dxa"/>
            </w:tcMar>
            <w:vAlign w:val="bottom"/>
          </w:tcPr>
          <w:p w14:paraId="5CA5947B" w14:textId="77777777" w:rsidR="003F0EEA" w:rsidRPr="00F142B1" w:rsidRDefault="00FB7D0B">
            <w:pPr>
              <w:jc w:val="right"/>
              <w:rPr>
                <w:rFonts w:ascii="Arial" w:eastAsia="Arial" w:hAnsi="Arial" w:cs="Arial"/>
                <w:color w:val="000000"/>
                <w:sz w:val="16"/>
              </w:rPr>
            </w:pPr>
            <w:r w:rsidRPr="00F142B1">
              <w:rPr>
                <w:rFonts w:ascii="Arial" w:eastAsia="Arial" w:hAnsi="Arial" w:cs="Arial"/>
                <w:color w:val="000000"/>
                <w:sz w:val="16"/>
              </w:rPr>
              <w:t xml:space="preserve"> (37)</w:t>
            </w:r>
          </w:p>
        </w:tc>
        <w:tc>
          <w:tcPr>
            <w:tcW w:w="1005"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573E1823" w14:textId="77777777" w:rsidR="003F0EEA" w:rsidRPr="00F142B1" w:rsidRDefault="00FB7D0B">
            <w:pPr>
              <w:jc w:val="right"/>
              <w:rPr>
                <w:rFonts w:ascii="Arial" w:eastAsia="Arial" w:hAnsi="Arial" w:cs="Arial"/>
                <w:color w:val="000000"/>
                <w:sz w:val="16"/>
              </w:rPr>
            </w:pPr>
            <w:r w:rsidRPr="00F142B1">
              <w:rPr>
                <w:rFonts w:ascii="Arial" w:eastAsia="Arial" w:hAnsi="Arial" w:cs="Arial"/>
                <w:color w:val="000000"/>
                <w:sz w:val="16"/>
              </w:rPr>
              <w:t xml:space="preserve"> (55)</w:t>
            </w:r>
          </w:p>
        </w:tc>
        <w:tc>
          <w:tcPr>
            <w:tcW w:w="1005" w:type="dxa"/>
            <w:tcBorders>
              <w:top w:val="nil"/>
              <w:left w:val="nil"/>
              <w:bottom w:val="single" w:sz="6" w:space="0" w:color="000000"/>
              <w:right w:val="nil"/>
              <w:tl2br w:val="nil"/>
              <w:tr2bl w:val="nil"/>
            </w:tcBorders>
            <w:shd w:val="clear" w:color="auto" w:fill="C0C0C0"/>
            <w:tcMar>
              <w:left w:w="115" w:type="dxa"/>
              <w:right w:w="115" w:type="dxa"/>
            </w:tcMar>
            <w:vAlign w:val="bottom"/>
          </w:tcPr>
          <w:p w14:paraId="0430CE4F" w14:textId="77777777" w:rsidR="003F0EEA" w:rsidRPr="00F142B1" w:rsidRDefault="00FB7D0B">
            <w:pPr>
              <w:jc w:val="right"/>
              <w:rPr>
                <w:rFonts w:ascii="Arial" w:eastAsia="Arial" w:hAnsi="Arial" w:cs="Arial"/>
                <w:color w:val="000000"/>
                <w:sz w:val="16"/>
              </w:rPr>
            </w:pPr>
            <w:r w:rsidRPr="00F142B1">
              <w:rPr>
                <w:rFonts w:ascii="Arial" w:eastAsia="Arial" w:hAnsi="Arial" w:cs="Arial"/>
                <w:color w:val="000000"/>
                <w:sz w:val="16"/>
              </w:rPr>
              <w:t xml:space="preserve"> (58)</w:t>
            </w:r>
          </w:p>
        </w:tc>
      </w:tr>
      <w:tr w:rsidR="00FB7D0B" w14:paraId="00A083D4" w14:textId="77777777" w:rsidTr="00FB7D0B">
        <w:trPr>
          <w:trHeight w:val="225"/>
        </w:trPr>
        <w:tc>
          <w:tcPr>
            <w:tcW w:w="2670" w:type="dxa"/>
            <w:gridSpan w:val="3"/>
            <w:tcBorders>
              <w:top w:val="nil"/>
              <w:left w:val="nil"/>
              <w:bottom w:val="nil"/>
              <w:right w:val="nil"/>
              <w:tl2br w:val="nil"/>
              <w:tr2bl w:val="nil"/>
            </w:tcBorders>
            <w:shd w:val="clear" w:color="auto" w:fill="FFFFFF"/>
            <w:tcMar>
              <w:left w:w="115" w:type="dxa"/>
              <w:right w:w="115" w:type="dxa"/>
            </w:tcMar>
            <w:vAlign w:val="bottom"/>
          </w:tcPr>
          <w:p w14:paraId="1DD2B9A6" w14:textId="77777777" w:rsidR="003F0EEA" w:rsidRPr="00F142B1" w:rsidRDefault="00FB7D0B">
            <w:pPr>
              <w:rPr>
                <w:rFonts w:ascii="Arial" w:eastAsia="Arial" w:hAnsi="Arial" w:cs="Arial"/>
                <w:color w:val="000000"/>
                <w:sz w:val="16"/>
              </w:rPr>
            </w:pPr>
            <w:r w:rsidRPr="00F142B1">
              <w:rPr>
                <w:rFonts w:ascii="Arial" w:eastAsia="Arial" w:hAnsi="Arial" w:cs="Arial"/>
                <w:b/>
                <w:color w:val="000000"/>
                <w:sz w:val="16"/>
              </w:rPr>
              <w:t>Total</w:t>
            </w:r>
          </w:p>
        </w:tc>
        <w:tc>
          <w:tcPr>
            <w:tcW w:w="900" w:type="dxa"/>
            <w:tcBorders>
              <w:top w:val="nil"/>
              <w:left w:val="nil"/>
              <w:bottom w:val="nil"/>
              <w:right w:val="nil"/>
              <w:tl2br w:val="nil"/>
              <w:tr2bl w:val="nil"/>
            </w:tcBorders>
            <w:shd w:val="clear" w:color="auto" w:fill="FFFFFF"/>
            <w:tcMar>
              <w:left w:w="115" w:type="dxa"/>
              <w:right w:w="115" w:type="dxa"/>
            </w:tcMar>
            <w:vAlign w:val="bottom"/>
          </w:tcPr>
          <w:p w14:paraId="3828D84B" w14:textId="77777777" w:rsidR="003F0EEA" w:rsidRPr="00F142B1" w:rsidRDefault="003F0EEA">
            <w:pPr>
              <w:rPr>
                <w:rFonts w:ascii="Arial" w:eastAsia="Arial" w:hAnsi="Arial" w:cs="Arial"/>
                <w:b/>
                <w:color w:val="000000"/>
                <w:sz w:val="16"/>
              </w:rPr>
            </w:pPr>
          </w:p>
        </w:tc>
        <w:tc>
          <w:tcPr>
            <w:tcW w:w="1005" w:type="dxa"/>
            <w:tcBorders>
              <w:top w:val="single" w:sz="6" w:space="0" w:color="000000"/>
              <w:left w:val="nil"/>
              <w:bottom w:val="single" w:sz="6" w:space="0" w:color="000000"/>
              <w:right w:val="nil"/>
              <w:tl2br w:val="nil"/>
              <w:tr2bl w:val="nil"/>
            </w:tcBorders>
            <w:shd w:val="clear" w:color="auto" w:fill="C0C0C0"/>
            <w:tcMar>
              <w:left w:w="115" w:type="dxa"/>
              <w:right w:w="115" w:type="dxa"/>
            </w:tcMar>
            <w:vAlign w:val="bottom"/>
          </w:tcPr>
          <w:p w14:paraId="11FE7790" w14:textId="77777777" w:rsidR="003F0EEA" w:rsidRPr="00F142B1" w:rsidRDefault="003F0EEA">
            <w:pPr>
              <w:jc w:val="center"/>
              <w:rPr>
                <w:rFonts w:ascii="Arial" w:eastAsia="Arial" w:hAnsi="Arial" w:cs="Arial"/>
                <w:b/>
                <w:color w:val="000000"/>
                <w:sz w:val="16"/>
              </w:rPr>
            </w:pPr>
          </w:p>
        </w:tc>
        <w:tc>
          <w:tcPr>
            <w:tcW w:w="1005" w:type="dxa"/>
            <w:tcBorders>
              <w:top w:val="single" w:sz="6" w:space="0" w:color="000000"/>
              <w:left w:val="nil"/>
              <w:bottom w:val="single" w:sz="6" w:space="0" w:color="000000"/>
              <w:right w:val="nil"/>
              <w:tl2br w:val="nil"/>
              <w:tr2bl w:val="nil"/>
            </w:tcBorders>
            <w:shd w:val="clear" w:color="auto" w:fill="FFFFFF"/>
            <w:tcMar>
              <w:left w:w="115" w:type="dxa"/>
              <w:right w:w="115" w:type="dxa"/>
            </w:tcMar>
            <w:vAlign w:val="bottom"/>
          </w:tcPr>
          <w:p w14:paraId="6A3D7945" w14:textId="77777777" w:rsidR="003F0EEA" w:rsidRPr="00F142B1" w:rsidRDefault="00FB7D0B">
            <w:pPr>
              <w:jc w:val="right"/>
              <w:rPr>
                <w:rFonts w:ascii="Arial" w:eastAsia="Arial" w:hAnsi="Arial" w:cs="Arial"/>
                <w:b/>
                <w:color w:val="000000"/>
                <w:sz w:val="16"/>
              </w:rPr>
            </w:pPr>
            <w:r w:rsidRPr="00F142B1">
              <w:rPr>
                <w:rFonts w:ascii="Arial" w:eastAsia="Arial" w:hAnsi="Arial" w:cs="Arial"/>
                <w:b/>
                <w:color w:val="000000"/>
                <w:sz w:val="16"/>
              </w:rPr>
              <w:t xml:space="preserve"> (19)</w:t>
            </w:r>
          </w:p>
        </w:tc>
        <w:tc>
          <w:tcPr>
            <w:tcW w:w="1005" w:type="dxa"/>
            <w:tcBorders>
              <w:top w:val="single" w:sz="6" w:space="0" w:color="000000"/>
              <w:left w:val="nil"/>
              <w:bottom w:val="single" w:sz="6" w:space="0" w:color="000000"/>
              <w:right w:val="nil"/>
              <w:tl2br w:val="nil"/>
              <w:tr2bl w:val="nil"/>
            </w:tcBorders>
            <w:shd w:val="clear" w:color="auto" w:fill="C0C0C0"/>
            <w:tcMar>
              <w:left w:w="115" w:type="dxa"/>
              <w:right w:w="115" w:type="dxa"/>
            </w:tcMar>
            <w:vAlign w:val="bottom"/>
          </w:tcPr>
          <w:p w14:paraId="5362417A" w14:textId="77777777" w:rsidR="003F0EEA" w:rsidRPr="00F142B1" w:rsidRDefault="00FB7D0B">
            <w:pPr>
              <w:jc w:val="right"/>
              <w:rPr>
                <w:rFonts w:ascii="Arial" w:eastAsia="Arial" w:hAnsi="Arial" w:cs="Arial"/>
                <w:b/>
                <w:color w:val="000000"/>
                <w:sz w:val="16"/>
              </w:rPr>
            </w:pPr>
            <w:r w:rsidRPr="00F142B1">
              <w:rPr>
                <w:rFonts w:ascii="Arial" w:eastAsia="Arial" w:hAnsi="Arial" w:cs="Arial"/>
                <w:b/>
                <w:color w:val="000000"/>
                <w:sz w:val="16"/>
              </w:rPr>
              <w:t xml:space="preserve"> (37)</w:t>
            </w:r>
          </w:p>
        </w:tc>
        <w:tc>
          <w:tcPr>
            <w:tcW w:w="1005" w:type="dxa"/>
            <w:tcBorders>
              <w:top w:val="single" w:sz="6" w:space="0" w:color="000000"/>
              <w:left w:val="nil"/>
              <w:bottom w:val="single" w:sz="6" w:space="0" w:color="000000"/>
              <w:right w:val="nil"/>
              <w:tl2br w:val="nil"/>
              <w:tr2bl w:val="nil"/>
            </w:tcBorders>
            <w:shd w:val="clear" w:color="auto" w:fill="FFFFFF"/>
            <w:tcMar>
              <w:left w:w="115" w:type="dxa"/>
              <w:right w:w="115" w:type="dxa"/>
            </w:tcMar>
            <w:vAlign w:val="bottom"/>
          </w:tcPr>
          <w:p w14:paraId="7B76D75C" w14:textId="77777777" w:rsidR="003F0EEA" w:rsidRPr="00F142B1" w:rsidRDefault="00FB7D0B">
            <w:pPr>
              <w:jc w:val="right"/>
              <w:rPr>
                <w:rFonts w:ascii="Arial" w:eastAsia="Arial" w:hAnsi="Arial" w:cs="Arial"/>
                <w:b/>
                <w:color w:val="000000"/>
                <w:sz w:val="16"/>
              </w:rPr>
            </w:pPr>
            <w:r w:rsidRPr="00F142B1">
              <w:rPr>
                <w:rFonts w:ascii="Arial" w:eastAsia="Arial" w:hAnsi="Arial" w:cs="Arial"/>
                <w:b/>
                <w:color w:val="000000"/>
                <w:sz w:val="16"/>
              </w:rPr>
              <w:t xml:space="preserve"> (55)</w:t>
            </w:r>
          </w:p>
        </w:tc>
        <w:tc>
          <w:tcPr>
            <w:tcW w:w="1005" w:type="dxa"/>
            <w:tcBorders>
              <w:top w:val="single" w:sz="6" w:space="0" w:color="000000"/>
              <w:left w:val="nil"/>
              <w:bottom w:val="single" w:sz="6" w:space="0" w:color="000000"/>
              <w:right w:val="nil"/>
              <w:tl2br w:val="nil"/>
              <w:tr2bl w:val="nil"/>
            </w:tcBorders>
            <w:shd w:val="clear" w:color="auto" w:fill="C0C0C0"/>
            <w:tcMar>
              <w:left w:w="115" w:type="dxa"/>
              <w:right w:w="115" w:type="dxa"/>
            </w:tcMar>
            <w:vAlign w:val="bottom"/>
          </w:tcPr>
          <w:p w14:paraId="1930CFCC" w14:textId="77777777" w:rsidR="003F0EEA" w:rsidRPr="00F142B1" w:rsidRDefault="00FB7D0B">
            <w:pPr>
              <w:jc w:val="right"/>
              <w:rPr>
                <w:rFonts w:ascii="Arial" w:eastAsia="Arial" w:hAnsi="Arial" w:cs="Arial"/>
                <w:b/>
                <w:color w:val="000000"/>
                <w:sz w:val="16"/>
              </w:rPr>
            </w:pPr>
            <w:r w:rsidRPr="00F142B1">
              <w:rPr>
                <w:rFonts w:ascii="Arial" w:eastAsia="Arial" w:hAnsi="Arial" w:cs="Arial"/>
                <w:b/>
                <w:color w:val="000000"/>
                <w:sz w:val="16"/>
              </w:rPr>
              <w:t xml:space="preserve"> (58)</w:t>
            </w:r>
          </w:p>
        </w:tc>
      </w:tr>
      <w:tr w:rsidR="00724034" w14:paraId="2EB662BD" w14:textId="77777777">
        <w:trPr>
          <w:trHeight w:hRule="exact" w:val="60"/>
        </w:trPr>
        <w:tc>
          <w:tcPr>
            <w:tcW w:w="180" w:type="dxa"/>
            <w:tcBorders>
              <w:top w:val="nil"/>
              <w:left w:val="nil"/>
              <w:bottom w:val="nil"/>
              <w:right w:val="nil"/>
              <w:tl2br w:val="nil"/>
              <w:tr2bl w:val="nil"/>
            </w:tcBorders>
            <w:shd w:val="clear" w:color="auto" w:fill="FFFFFF"/>
            <w:tcMar>
              <w:left w:w="115" w:type="dxa"/>
              <w:right w:w="115" w:type="dxa"/>
            </w:tcMar>
            <w:vAlign w:val="bottom"/>
          </w:tcPr>
          <w:p w14:paraId="28EE10C4" w14:textId="77777777" w:rsidR="003F0EEA" w:rsidRPr="00F142B1" w:rsidRDefault="003F0EEA">
            <w:pPr>
              <w:rPr>
                <w:rFonts w:ascii="Arial" w:eastAsia="Arial" w:hAnsi="Arial" w:cs="Arial"/>
                <w:b/>
                <w:color w:val="000000"/>
                <w:sz w:val="16"/>
              </w:rPr>
            </w:pPr>
          </w:p>
        </w:tc>
        <w:tc>
          <w:tcPr>
            <w:tcW w:w="1755" w:type="dxa"/>
            <w:tcBorders>
              <w:top w:val="nil"/>
              <w:left w:val="nil"/>
              <w:bottom w:val="nil"/>
              <w:right w:val="nil"/>
              <w:tl2br w:val="nil"/>
              <w:tr2bl w:val="nil"/>
            </w:tcBorders>
            <w:shd w:val="clear" w:color="auto" w:fill="FFFFFF"/>
            <w:tcMar>
              <w:left w:w="115" w:type="dxa"/>
              <w:right w:w="115" w:type="dxa"/>
            </w:tcMar>
            <w:vAlign w:val="bottom"/>
          </w:tcPr>
          <w:p w14:paraId="5006043F" w14:textId="77777777" w:rsidR="003F0EEA" w:rsidRPr="00F142B1" w:rsidRDefault="003F0EEA">
            <w:pPr>
              <w:rPr>
                <w:rFonts w:ascii="Arial" w:eastAsia="Arial" w:hAnsi="Arial" w:cs="Arial"/>
                <w:b/>
                <w:color w:val="000000"/>
                <w:sz w:val="16"/>
              </w:rPr>
            </w:pPr>
          </w:p>
        </w:tc>
        <w:tc>
          <w:tcPr>
            <w:tcW w:w="735" w:type="dxa"/>
            <w:tcBorders>
              <w:top w:val="nil"/>
              <w:left w:val="nil"/>
              <w:bottom w:val="nil"/>
              <w:right w:val="nil"/>
              <w:tl2br w:val="nil"/>
              <w:tr2bl w:val="nil"/>
            </w:tcBorders>
            <w:shd w:val="clear" w:color="auto" w:fill="FFFFFF"/>
            <w:tcMar>
              <w:left w:w="115" w:type="dxa"/>
              <w:right w:w="115" w:type="dxa"/>
            </w:tcMar>
            <w:vAlign w:val="bottom"/>
          </w:tcPr>
          <w:p w14:paraId="11DDD073" w14:textId="77777777" w:rsidR="003F0EEA" w:rsidRPr="00F142B1" w:rsidRDefault="003F0EEA">
            <w:pPr>
              <w:rPr>
                <w:rFonts w:ascii="Arial" w:eastAsia="Arial" w:hAnsi="Arial" w:cs="Arial"/>
                <w:b/>
                <w:color w:val="000000"/>
                <w:sz w:val="16"/>
              </w:rPr>
            </w:pPr>
          </w:p>
        </w:tc>
        <w:tc>
          <w:tcPr>
            <w:tcW w:w="900" w:type="dxa"/>
            <w:tcBorders>
              <w:top w:val="nil"/>
              <w:left w:val="nil"/>
              <w:bottom w:val="nil"/>
              <w:right w:val="nil"/>
              <w:tl2br w:val="nil"/>
              <w:tr2bl w:val="nil"/>
            </w:tcBorders>
            <w:shd w:val="clear" w:color="auto" w:fill="FFFFFF"/>
            <w:tcMar>
              <w:left w:w="115" w:type="dxa"/>
              <w:right w:w="115" w:type="dxa"/>
            </w:tcMar>
            <w:vAlign w:val="bottom"/>
          </w:tcPr>
          <w:p w14:paraId="0592889F" w14:textId="77777777" w:rsidR="003F0EEA" w:rsidRPr="00F142B1" w:rsidRDefault="003F0EEA">
            <w:pPr>
              <w:rPr>
                <w:rFonts w:ascii="Arial" w:eastAsia="Arial" w:hAnsi="Arial" w:cs="Arial"/>
                <w:b/>
                <w:color w:val="000000"/>
                <w:sz w:val="16"/>
              </w:rPr>
            </w:pPr>
          </w:p>
        </w:tc>
        <w:tc>
          <w:tcPr>
            <w:tcW w:w="1005" w:type="dxa"/>
            <w:tcBorders>
              <w:top w:val="single" w:sz="6" w:space="0" w:color="000000"/>
              <w:left w:val="nil"/>
              <w:bottom w:val="nil"/>
              <w:right w:val="nil"/>
              <w:tl2br w:val="nil"/>
              <w:tr2bl w:val="nil"/>
            </w:tcBorders>
            <w:shd w:val="clear" w:color="auto" w:fill="C0C0C0"/>
            <w:tcMar>
              <w:left w:w="115" w:type="dxa"/>
              <w:right w:w="115" w:type="dxa"/>
            </w:tcMar>
            <w:vAlign w:val="bottom"/>
          </w:tcPr>
          <w:p w14:paraId="6190021E" w14:textId="77777777" w:rsidR="003F0EEA" w:rsidRPr="00F142B1" w:rsidRDefault="003F0EEA">
            <w:pPr>
              <w:jc w:val="center"/>
              <w:rPr>
                <w:rFonts w:ascii="Arial" w:eastAsia="Arial" w:hAnsi="Arial" w:cs="Arial"/>
                <w:b/>
                <w:color w:val="000000"/>
                <w:sz w:val="16"/>
              </w:rPr>
            </w:pPr>
          </w:p>
        </w:tc>
        <w:tc>
          <w:tcPr>
            <w:tcW w:w="1005"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6CAE283D" w14:textId="77777777" w:rsidR="003F0EEA" w:rsidRPr="00F142B1" w:rsidRDefault="003F0EEA">
            <w:pPr>
              <w:jc w:val="right"/>
              <w:rPr>
                <w:rFonts w:ascii="Arial" w:eastAsia="Arial" w:hAnsi="Arial" w:cs="Arial"/>
                <w:b/>
                <w:color w:val="000000"/>
                <w:sz w:val="16"/>
              </w:rPr>
            </w:pPr>
          </w:p>
        </w:tc>
        <w:tc>
          <w:tcPr>
            <w:tcW w:w="1005" w:type="dxa"/>
            <w:tcBorders>
              <w:top w:val="single" w:sz="6" w:space="0" w:color="000000"/>
              <w:left w:val="nil"/>
              <w:bottom w:val="nil"/>
              <w:right w:val="nil"/>
              <w:tl2br w:val="nil"/>
              <w:tr2bl w:val="nil"/>
            </w:tcBorders>
            <w:shd w:val="clear" w:color="auto" w:fill="C0C0C0"/>
            <w:tcMar>
              <w:left w:w="115" w:type="dxa"/>
              <w:right w:w="115" w:type="dxa"/>
            </w:tcMar>
            <w:vAlign w:val="bottom"/>
          </w:tcPr>
          <w:p w14:paraId="704AA936" w14:textId="77777777" w:rsidR="003F0EEA" w:rsidRPr="00F142B1" w:rsidRDefault="003F0EEA">
            <w:pPr>
              <w:jc w:val="right"/>
              <w:rPr>
                <w:rFonts w:ascii="Arial" w:eastAsia="Arial" w:hAnsi="Arial" w:cs="Arial"/>
                <w:b/>
                <w:color w:val="000000"/>
                <w:sz w:val="16"/>
              </w:rPr>
            </w:pPr>
          </w:p>
        </w:tc>
        <w:tc>
          <w:tcPr>
            <w:tcW w:w="1005"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7B4A82F6" w14:textId="77777777" w:rsidR="003F0EEA" w:rsidRPr="00F142B1" w:rsidRDefault="003F0EEA">
            <w:pPr>
              <w:jc w:val="right"/>
              <w:rPr>
                <w:rFonts w:ascii="Arial" w:eastAsia="Arial" w:hAnsi="Arial" w:cs="Arial"/>
                <w:b/>
                <w:color w:val="000000"/>
                <w:sz w:val="16"/>
              </w:rPr>
            </w:pPr>
          </w:p>
        </w:tc>
        <w:tc>
          <w:tcPr>
            <w:tcW w:w="1005" w:type="dxa"/>
            <w:tcBorders>
              <w:top w:val="single" w:sz="6" w:space="0" w:color="000000"/>
              <w:left w:val="nil"/>
              <w:bottom w:val="nil"/>
              <w:right w:val="nil"/>
              <w:tl2br w:val="nil"/>
              <w:tr2bl w:val="nil"/>
            </w:tcBorders>
            <w:shd w:val="clear" w:color="auto" w:fill="C0C0C0"/>
            <w:tcMar>
              <w:left w:w="115" w:type="dxa"/>
              <w:right w:w="115" w:type="dxa"/>
            </w:tcMar>
            <w:vAlign w:val="bottom"/>
          </w:tcPr>
          <w:p w14:paraId="748F0B6E" w14:textId="77777777" w:rsidR="003F0EEA" w:rsidRPr="00F142B1" w:rsidRDefault="003F0EEA">
            <w:pPr>
              <w:jc w:val="right"/>
              <w:rPr>
                <w:rFonts w:ascii="Arial" w:eastAsia="Arial" w:hAnsi="Arial" w:cs="Arial"/>
                <w:b/>
                <w:color w:val="000000"/>
                <w:sz w:val="16"/>
              </w:rPr>
            </w:pPr>
          </w:p>
        </w:tc>
      </w:tr>
      <w:tr w:rsidR="00FB7D0B" w14:paraId="7316B4AB" w14:textId="77777777" w:rsidTr="00FB7D0B">
        <w:trPr>
          <w:trHeight w:val="225"/>
        </w:trPr>
        <w:tc>
          <w:tcPr>
            <w:tcW w:w="2670" w:type="dxa"/>
            <w:gridSpan w:val="3"/>
            <w:tcBorders>
              <w:top w:val="nil"/>
              <w:left w:val="nil"/>
              <w:bottom w:val="nil"/>
              <w:right w:val="nil"/>
              <w:tl2br w:val="nil"/>
              <w:tr2bl w:val="nil"/>
            </w:tcBorders>
            <w:shd w:val="clear" w:color="auto" w:fill="FFFFFF"/>
            <w:tcMar>
              <w:left w:w="115" w:type="dxa"/>
              <w:right w:w="115" w:type="dxa"/>
            </w:tcMar>
            <w:vAlign w:val="bottom"/>
          </w:tcPr>
          <w:p w14:paraId="25F6B62B" w14:textId="77777777" w:rsidR="003F0EEA" w:rsidRPr="00F142B1" w:rsidRDefault="00FB7D0B">
            <w:pPr>
              <w:rPr>
                <w:rFonts w:ascii="Arial" w:eastAsia="Arial" w:hAnsi="Arial" w:cs="Arial"/>
                <w:b/>
                <w:color w:val="000000"/>
                <w:sz w:val="16"/>
              </w:rPr>
            </w:pPr>
            <w:r w:rsidRPr="00F142B1">
              <w:rPr>
                <w:rFonts w:ascii="Arial" w:eastAsia="Arial" w:hAnsi="Arial" w:cs="Arial"/>
                <w:b/>
                <w:color w:val="000000"/>
                <w:sz w:val="16"/>
              </w:rPr>
              <w:t>Total capital measures</w:t>
            </w:r>
          </w:p>
        </w:tc>
        <w:tc>
          <w:tcPr>
            <w:tcW w:w="900" w:type="dxa"/>
            <w:tcBorders>
              <w:top w:val="nil"/>
              <w:left w:val="nil"/>
              <w:bottom w:val="nil"/>
              <w:right w:val="nil"/>
              <w:tl2br w:val="nil"/>
              <w:tr2bl w:val="nil"/>
            </w:tcBorders>
            <w:shd w:val="clear" w:color="auto" w:fill="FFFFFF"/>
            <w:tcMar>
              <w:left w:w="115" w:type="dxa"/>
              <w:right w:w="115" w:type="dxa"/>
            </w:tcMar>
            <w:vAlign w:val="bottom"/>
          </w:tcPr>
          <w:p w14:paraId="04B74A5E" w14:textId="77777777" w:rsidR="003F0EEA" w:rsidRPr="00F142B1" w:rsidRDefault="003F0EEA">
            <w:pPr>
              <w:rPr>
                <w:rFonts w:ascii="Arial" w:eastAsia="Arial" w:hAnsi="Arial" w:cs="Arial"/>
                <w:b/>
                <w:color w:val="000000"/>
                <w:sz w:val="16"/>
              </w:rPr>
            </w:pPr>
          </w:p>
        </w:tc>
        <w:tc>
          <w:tcPr>
            <w:tcW w:w="1005" w:type="dxa"/>
            <w:tcBorders>
              <w:top w:val="nil"/>
              <w:left w:val="nil"/>
              <w:bottom w:val="nil"/>
              <w:right w:val="nil"/>
              <w:tl2br w:val="nil"/>
              <w:tr2bl w:val="nil"/>
            </w:tcBorders>
            <w:shd w:val="clear" w:color="auto" w:fill="C0C0C0"/>
            <w:tcMar>
              <w:left w:w="115" w:type="dxa"/>
              <w:right w:w="115" w:type="dxa"/>
            </w:tcMar>
            <w:vAlign w:val="bottom"/>
          </w:tcPr>
          <w:p w14:paraId="06ACBB37" w14:textId="77777777" w:rsidR="003F0EEA" w:rsidRPr="00F142B1" w:rsidRDefault="003F0EEA">
            <w:pPr>
              <w:jc w:val="center"/>
              <w:rPr>
                <w:rFonts w:ascii="Arial" w:eastAsia="Arial" w:hAnsi="Arial" w:cs="Arial"/>
                <w:b/>
                <w:color w:val="000000"/>
                <w:sz w:val="16"/>
              </w:rPr>
            </w:pPr>
          </w:p>
        </w:tc>
        <w:tc>
          <w:tcPr>
            <w:tcW w:w="1005" w:type="dxa"/>
            <w:tcBorders>
              <w:top w:val="nil"/>
              <w:left w:val="nil"/>
              <w:bottom w:val="nil"/>
              <w:right w:val="nil"/>
              <w:tl2br w:val="nil"/>
              <w:tr2bl w:val="nil"/>
            </w:tcBorders>
            <w:shd w:val="clear" w:color="auto" w:fill="FFFFFF"/>
            <w:tcMar>
              <w:left w:w="115" w:type="dxa"/>
              <w:right w:w="115" w:type="dxa"/>
            </w:tcMar>
            <w:vAlign w:val="bottom"/>
          </w:tcPr>
          <w:p w14:paraId="2B96CFE6" w14:textId="77777777" w:rsidR="003F0EEA" w:rsidRPr="00F142B1" w:rsidRDefault="003F0EEA">
            <w:pPr>
              <w:jc w:val="right"/>
              <w:rPr>
                <w:rFonts w:ascii="Arial" w:eastAsia="Arial" w:hAnsi="Arial" w:cs="Arial"/>
                <w:b/>
                <w:color w:val="000000"/>
                <w:sz w:val="16"/>
              </w:rPr>
            </w:pPr>
          </w:p>
        </w:tc>
        <w:tc>
          <w:tcPr>
            <w:tcW w:w="1005" w:type="dxa"/>
            <w:tcBorders>
              <w:top w:val="nil"/>
              <w:left w:val="nil"/>
              <w:bottom w:val="nil"/>
              <w:right w:val="nil"/>
              <w:tl2br w:val="nil"/>
              <w:tr2bl w:val="nil"/>
            </w:tcBorders>
            <w:shd w:val="clear" w:color="auto" w:fill="C0C0C0"/>
            <w:tcMar>
              <w:left w:w="115" w:type="dxa"/>
              <w:right w:w="115" w:type="dxa"/>
            </w:tcMar>
            <w:vAlign w:val="bottom"/>
          </w:tcPr>
          <w:p w14:paraId="53B276C2" w14:textId="77777777" w:rsidR="003F0EEA" w:rsidRPr="00F142B1" w:rsidRDefault="003F0EEA">
            <w:pPr>
              <w:jc w:val="right"/>
              <w:rPr>
                <w:rFonts w:ascii="Arial" w:eastAsia="Arial" w:hAnsi="Arial" w:cs="Arial"/>
                <w:b/>
                <w:color w:val="000000"/>
                <w:sz w:val="16"/>
              </w:rPr>
            </w:pPr>
          </w:p>
        </w:tc>
        <w:tc>
          <w:tcPr>
            <w:tcW w:w="1005" w:type="dxa"/>
            <w:tcBorders>
              <w:top w:val="nil"/>
              <w:left w:val="nil"/>
              <w:bottom w:val="nil"/>
              <w:right w:val="nil"/>
              <w:tl2br w:val="nil"/>
              <w:tr2bl w:val="nil"/>
            </w:tcBorders>
            <w:shd w:val="clear" w:color="auto" w:fill="FFFFFF"/>
            <w:tcMar>
              <w:left w:w="115" w:type="dxa"/>
              <w:right w:w="115" w:type="dxa"/>
            </w:tcMar>
            <w:vAlign w:val="bottom"/>
          </w:tcPr>
          <w:p w14:paraId="0082BFE8" w14:textId="77777777" w:rsidR="003F0EEA" w:rsidRPr="00F142B1" w:rsidRDefault="003F0EEA">
            <w:pPr>
              <w:jc w:val="right"/>
              <w:rPr>
                <w:rFonts w:ascii="Arial" w:eastAsia="Arial" w:hAnsi="Arial" w:cs="Arial"/>
                <w:b/>
                <w:color w:val="000000"/>
                <w:sz w:val="16"/>
              </w:rPr>
            </w:pPr>
          </w:p>
        </w:tc>
        <w:tc>
          <w:tcPr>
            <w:tcW w:w="1005" w:type="dxa"/>
            <w:tcBorders>
              <w:top w:val="nil"/>
              <w:left w:val="nil"/>
              <w:bottom w:val="nil"/>
              <w:right w:val="nil"/>
              <w:tl2br w:val="nil"/>
              <w:tr2bl w:val="nil"/>
            </w:tcBorders>
            <w:shd w:val="clear" w:color="auto" w:fill="C0C0C0"/>
            <w:tcMar>
              <w:left w:w="115" w:type="dxa"/>
              <w:right w:w="115" w:type="dxa"/>
            </w:tcMar>
            <w:vAlign w:val="bottom"/>
          </w:tcPr>
          <w:p w14:paraId="3308C913" w14:textId="77777777" w:rsidR="003F0EEA" w:rsidRPr="00F142B1" w:rsidRDefault="003F0EEA">
            <w:pPr>
              <w:jc w:val="right"/>
              <w:rPr>
                <w:rFonts w:ascii="Arial" w:eastAsia="Arial" w:hAnsi="Arial" w:cs="Arial"/>
                <w:b/>
                <w:color w:val="000000"/>
                <w:sz w:val="16"/>
              </w:rPr>
            </w:pPr>
          </w:p>
        </w:tc>
      </w:tr>
      <w:tr w:rsidR="00FB7D0B" w14:paraId="6D106A4E" w14:textId="77777777" w:rsidTr="00FB7D0B">
        <w:trPr>
          <w:trHeight w:val="225"/>
        </w:trPr>
        <w:tc>
          <w:tcPr>
            <w:tcW w:w="180" w:type="dxa"/>
            <w:tcBorders>
              <w:top w:val="nil"/>
              <w:left w:val="nil"/>
              <w:bottom w:val="nil"/>
              <w:right w:val="nil"/>
              <w:tl2br w:val="nil"/>
              <w:tr2bl w:val="nil"/>
            </w:tcBorders>
            <w:shd w:val="clear" w:color="auto" w:fill="FFFFFF"/>
            <w:tcMar>
              <w:left w:w="115" w:type="dxa"/>
              <w:right w:w="115" w:type="dxa"/>
            </w:tcMar>
            <w:vAlign w:val="bottom"/>
          </w:tcPr>
          <w:p w14:paraId="491DF680" w14:textId="77777777" w:rsidR="003F0EEA" w:rsidRPr="00F142B1" w:rsidRDefault="003F0EEA">
            <w:pPr>
              <w:rPr>
                <w:rFonts w:ascii="Arial" w:eastAsia="Arial" w:hAnsi="Arial" w:cs="Arial"/>
                <w:b/>
                <w:color w:val="000000"/>
                <w:sz w:val="16"/>
              </w:rPr>
            </w:pPr>
          </w:p>
        </w:tc>
        <w:tc>
          <w:tcPr>
            <w:tcW w:w="2490" w:type="dxa"/>
            <w:gridSpan w:val="2"/>
            <w:tcBorders>
              <w:top w:val="nil"/>
              <w:left w:val="nil"/>
              <w:bottom w:val="nil"/>
              <w:right w:val="nil"/>
              <w:tl2br w:val="nil"/>
              <w:tr2bl w:val="nil"/>
            </w:tcBorders>
            <w:shd w:val="clear" w:color="auto" w:fill="FFFFFF"/>
            <w:tcMar>
              <w:left w:w="115" w:type="dxa"/>
              <w:right w:w="115" w:type="dxa"/>
            </w:tcMar>
            <w:vAlign w:val="bottom"/>
          </w:tcPr>
          <w:p w14:paraId="1D865DCD" w14:textId="77777777" w:rsidR="003F0EEA" w:rsidRPr="00F142B1" w:rsidRDefault="00FB7D0B">
            <w:pPr>
              <w:rPr>
                <w:rFonts w:ascii="Arial" w:eastAsia="Arial" w:hAnsi="Arial" w:cs="Arial"/>
                <w:b/>
                <w:color w:val="000000"/>
                <w:sz w:val="16"/>
              </w:rPr>
            </w:pPr>
            <w:r w:rsidRPr="00F142B1">
              <w:rPr>
                <w:rFonts w:ascii="Arial" w:eastAsia="Arial" w:hAnsi="Arial" w:cs="Arial"/>
                <w:color w:val="000000"/>
                <w:sz w:val="16"/>
              </w:rPr>
              <w:t>Departmental</w:t>
            </w:r>
          </w:p>
        </w:tc>
        <w:tc>
          <w:tcPr>
            <w:tcW w:w="900" w:type="dxa"/>
            <w:tcBorders>
              <w:top w:val="nil"/>
              <w:left w:val="nil"/>
              <w:bottom w:val="nil"/>
              <w:right w:val="nil"/>
              <w:tl2br w:val="nil"/>
              <w:tr2bl w:val="nil"/>
            </w:tcBorders>
            <w:shd w:val="clear" w:color="auto" w:fill="FFFFFF"/>
            <w:tcMar>
              <w:left w:w="115" w:type="dxa"/>
              <w:right w:w="115" w:type="dxa"/>
            </w:tcMar>
            <w:vAlign w:val="bottom"/>
          </w:tcPr>
          <w:p w14:paraId="46C93805" w14:textId="77777777" w:rsidR="003F0EEA" w:rsidRPr="00F142B1" w:rsidRDefault="003F0EEA">
            <w:pPr>
              <w:rPr>
                <w:rFonts w:ascii="Arial" w:eastAsia="Arial" w:hAnsi="Arial" w:cs="Arial"/>
                <w:color w:val="000000"/>
                <w:sz w:val="16"/>
              </w:rPr>
            </w:pPr>
          </w:p>
        </w:tc>
        <w:tc>
          <w:tcPr>
            <w:tcW w:w="1005" w:type="dxa"/>
            <w:tcBorders>
              <w:top w:val="nil"/>
              <w:left w:val="nil"/>
              <w:bottom w:val="single" w:sz="6" w:space="0" w:color="000000"/>
              <w:right w:val="nil"/>
              <w:tl2br w:val="nil"/>
              <w:tr2bl w:val="nil"/>
            </w:tcBorders>
            <w:shd w:val="clear" w:color="auto" w:fill="C0C0C0"/>
            <w:tcMar>
              <w:left w:w="115" w:type="dxa"/>
              <w:right w:w="115" w:type="dxa"/>
            </w:tcMar>
            <w:vAlign w:val="bottom"/>
          </w:tcPr>
          <w:p w14:paraId="3076FAA6" w14:textId="77777777" w:rsidR="003F0EEA" w:rsidRPr="00F142B1" w:rsidRDefault="003F0EEA">
            <w:pPr>
              <w:jc w:val="center"/>
              <w:rPr>
                <w:rFonts w:ascii="Arial" w:eastAsia="Arial" w:hAnsi="Arial" w:cs="Arial"/>
                <w:b/>
                <w:color w:val="000000"/>
                <w:sz w:val="16"/>
              </w:rPr>
            </w:pPr>
          </w:p>
        </w:tc>
        <w:tc>
          <w:tcPr>
            <w:tcW w:w="1005"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5F7A7C2F" w14:textId="77777777" w:rsidR="003F0EEA" w:rsidRPr="00F142B1" w:rsidRDefault="00FB7D0B">
            <w:pPr>
              <w:jc w:val="right"/>
              <w:rPr>
                <w:rFonts w:ascii="Arial" w:eastAsia="Arial" w:hAnsi="Arial" w:cs="Arial"/>
                <w:b/>
                <w:color w:val="000000"/>
                <w:sz w:val="16"/>
              </w:rPr>
            </w:pPr>
            <w:r w:rsidRPr="00F142B1">
              <w:rPr>
                <w:rFonts w:ascii="Arial" w:eastAsia="Arial" w:hAnsi="Arial" w:cs="Arial"/>
                <w:color w:val="000000"/>
                <w:sz w:val="16"/>
              </w:rPr>
              <w:t xml:space="preserve"> (19)</w:t>
            </w:r>
          </w:p>
        </w:tc>
        <w:tc>
          <w:tcPr>
            <w:tcW w:w="1005" w:type="dxa"/>
            <w:tcBorders>
              <w:top w:val="nil"/>
              <w:left w:val="nil"/>
              <w:bottom w:val="single" w:sz="6" w:space="0" w:color="000000"/>
              <w:right w:val="nil"/>
              <w:tl2br w:val="nil"/>
              <w:tr2bl w:val="nil"/>
            </w:tcBorders>
            <w:shd w:val="clear" w:color="auto" w:fill="C0C0C0"/>
            <w:tcMar>
              <w:left w:w="115" w:type="dxa"/>
              <w:right w:w="115" w:type="dxa"/>
            </w:tcMar>
            <w:vAlign w:val="bottom"/>
          </w:tcPr>
          <w:p w14:paraId="78FAF4A8" w14:textId="77777777" w:rsidR="003F0EEA" w:rsidRPr="00F142B1" w:rsidRDefault="00FB7D0B">
            <w:pPr>
              <w:jc w:val="right"/>
              <w:rPr>
                <w:rFonts w:ascii="Arial" w:eastAsia="Arial" w:hAnsi="Arial" w:cs="Arial"/>
                <w:color w:val="000000"/>
                <w:sz w:val="16"/>
              </w:rPr>
            </w:pPr>
            <w:r w:rsidRPr="00F142B1">
              <w:rPr>
                <w:rFonts w:ascii="Arial" w:eastAsia="Arial" w:hAnsi="Arial" w:cs="Arial"/>
                <w:color w:val="000000"/>
                <w:sz w:val="16"/>
              </w:rPr>
              <w:t xml:space="preserve"> (37)</w:t>
            </w:r>
          </w:p>
        </w:tc>
        <w:tc>
          <w:tcPr>
            <w:tcW w:w="1005"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4E88CC36" w14:textId="77777777" w:rsidR="003F0EEA" w:rsidRPr="00F142B1" w:rsidRDefault="00FB7D0B">
            <w:pPr>
              <w:jc w:val="right"/>
              <w:rPr>
                <w:rFonts w:ascii="Arial" w:eastAsia="Arial" w:hAnsi="Arial" w:cs="Arial"/>
                <w:color w:val="000000"/>
                <w:sz w:val="16"/>
              </w:rPr>
            </w:pPr>
            <w:r w:rsidRPr="00F142B1">
              <w:rPr>
                <w:rFonts w:ascii="Arial" w:eastAsia="Arial" w:hAnsi="Arial" w:cs="Arial"/>
                <w:color w:val="000000"/>
                <w:sz w:val="16"/>
              </w:rPr>
              <w:t xml:space="preserve"> (55)</w:t>
            </w:r>
          </w:p>
        </w:tc>
        <w:tc>
          <w:tcPr>
            <w:tcW w:w="1005" w:type="dxa"/>
            <w:tcBorders>
              <w:top w:val="nil"/>
              <w:left w:val="nil"/>
              <w:bottom w:val="single" w:sz="6" w:space="0" w:color="000000"/>
              <w:right w:val="nil"/>
              <w:tl2br w:val="nil"/>
              <w:tr2bl w:val="nil"/>
            </w:tcBorders>
            <w:shd w:val="clear" w:color="auto" w:fill="C0C0C0"/>
            <w:tcMar>
              <w:left w:w="115" w:type="dxa"/>
              <w:right w:w="115" w:type="dxa"/>
            </w:tcMar>
            <w:vAlign w:val="bottom"/>
          </w:tcPr>
          <w:p w14:paraId="710F2522" w14:textId="77777777" w:rsidR="003F0EEA" w:rsidRPr="00F142B1" w:rsidRDefault="00FB7D0B">
            <w:pPr>
              <w:jc w:val="right"/>
              <w:rPr>
                <w:rFonts w:ascii="Arial" w:eastAsia="Arial" w:hAnsi="Arial" w:cs="Arial"/>
                <w:color w:val="000000"/>
                <w:sz w:val="16"/>
              </w:rPr>
            </w:pPr>
            <w:r w:rsidRPr="00F142B1">
              <w:rPr>
                <w:rFonts w:ascii="Arial" w:eastAsia="Arial" w:hAnsi="Arial" w:cs="Arial"/>
                <w:color w:val="000000"/>
                <w:sz w:val="16"/>
              </w:rPr>
              <w:t xml:space="preserve"> (58)</w:t>
            </w:r>
          </w:p>
        </w:tc>
      </w:tr>
      <w:tr w:rsidR="00FB7D0B" w14:paraId="6D028DC5" w14:textId="77777777" w:rsidTr="00FB7D0B">
        <w:trPr>
          <w:trHeight w:val="225"/>
        </w:trPr>
        <w:tc>
          <w:tcPr>
            <w:tcW w:w="2670" w:type="dxa"/>
            <w:gridSpan w:val="3"/>
            <w:tcBorders>
              <w:top w:val="nil"/>
              <w:left w:val="nil"/>
              <w:bottom w:val="single" w:sz="6" w:space="0" w:color="000000"/>
              <w:right w:val="nil"/>
              <w:tl2br w:val="nil"/>
              <w:tr2bl w:val="nil"/>
            </w:tcBorders>
            <w:shd w:val="clear" w:color="auto" w:fill="FFFFFF"/>
            <w:tcMar>
              <w:left w:w="115" w:type="dxa"/>
              <w:right w:w="115" w:type="dxa"/>
            </w:tcMar>
            <w:vAlign w:val="bottom"/>
          </w:tcPr>
          <w:p w14:paraId="29CB3457" w14:textId="77777777" w:rsidR="003F0EEA" w:rsidRPr="00F142B1" w:rsidRDefault="00FB7D0B">
            <w:pPr>
              <w:rPr>
                <w:rFonts w:ascii="Arial" w:eastAsia="Arial" w:hAnsi="Arial" w:cs="Arial"/>
                <w:color w:val="000000"/>
                <w:sz w:val="16"/>
              </w:rPr>
            </w:pPr>
            <w:r w:rsidRPr="00F142B1">
              <w:rPr>
                <w:rFonts w:ascii="Arial" w:eastAsia="Arial" w:hAnsi="Arial" w:cs="Arial"/>
                <w:b/>
                <w:color w:val="000000"/>
                <w:sz w:val="16"/>
              </w:rPr>
              <w:t>Total</w:t>
            </w:r>
          </w:p>
        </w:tc>
        <w:tc>
          <w:tcPr>
            <w:tcW w:w="900"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73A3A6C6" w14:textId="77777777" w:rsidR="003F0EEA" w:rsidRPr="00F142B1" w:rsidRDefault="003F0EEA">
            <w:pPr>
              <w:rPr>
                <w:rFonts w:ascii="Arial" w:eastAsia="Arial" w:hAnsi="Arial" w:cs="Arial"/>
                <w:b/>
                <w:color w:val="000000"/>
                <w:sz w:val="16"/>
              </w:rPr>
            </w:pPr>
          </w:p>
        </w:tc>
        <w:tc>
          <w:tcPr>
            <w:tcW w:w="1005" w:type="dxa"/>
            <w:tcBorders>
              <w:top w:val="single" w:sz="6" w:space="0" w:color="000000"/>
              <w:left w:val="nil"/>
              <w:bottom w:val="single" w:sz="6" w:space="0" w:color="000000"/>
              <w:right w:val="nil"/>
              <w:tl2br w:val="nil"/>
              <w:tr2bl w:val="nil"/>
            </w:tcBorders>
            <w:shd w:val="clear" w:color="auto" w:fill="C0C0C0"/>
            <w:tcMar>
              <w:left w:w="115" w:type="dxa"/>
              <w:right w:w="115" w:type="dxa"/>
            </w:tcMar>
            <w:vAlign w:val="bottom"/>
          </w:tcPr>
          <w:p w14:paraId="6841EA78" w14:textId="77777777" w:rsidR="003F0EEA" w:rsidRPr="00F142B1" w:rsidRDefault="003F0EEA">
            <w:pPr>
              <w:jc w:val="center"/>
              <w:rPr>
                <w:rFonts w:ascii="Arial" w:eastAsia="Arial" w:hAnsi="Arial" w:cs="Arial"/>
                <w:b/>
                <w:color w:val="000000"/>
                <w:sz w:val="16"/>
              </w:rPr>
            </w:pPr>
          </w:p>
        </w:tc>
        <w:tc>
          <w:tcPr>
            <w:tcW w:w="1005" w:type="dxa"/>
            <w:tcBorders>
              <w:top w:val="single" w:sz="6" w:space="0" w:color="000000"/>
              <w:left w:val="nil"/>
              <w:bottom w:val="single" w:sz="6" w:space="0" w:color="000000"/>
              <w:right w:val="nil"/>
              <w:tl2br w:val="nil"/>
              <w:tr2bl w:val="nil"/>
            </w:tcBorders>
            <w:shd w:val="clear" w:color="auto" w:fill="FFFFFF"/>
            <w:tcMar>
              <w:left w:w="115" w:type="dxa"/>
              <w:right w:w="115" w:type="dxa"/>
            </w:tcMar>
            <w:vAlign w:val="bottom"/>
          </w:tcPr>
          <w:p w14:paraId="43CCF734" w14:textId="77777777" w:rsidR="003F0EEA" w:rsidRPr="00F142B1" w:rsidRDefault="00FB7D0B">
            <w:pPr>
              <w:jc w:val="right"/>
              <w:rPr>
                <w:rFonts w:ascii="Arial" w:eastAsia="Arial" w:hAnsi="Arial" w:cs="Arial"/>
                <w:b/>
                <w:color w:val="000000"/>
                <w:sz w:val="16"/>
              </w:rPr>
            </w:pPr>
            <w:r w:rsidRPr="00F142B1">
              <w:rPr>
                <w:rFonts w:ascii="Arial" w:eastAsia="Arial" w:hAnsi="Arial" w:cs="Arial"/>
                <w:b/>
                <w:color w:val="000000"/>
                <w:sz w:val="16"/>
              </w:rPr>
              <w:t xml:space="preserve"> (19)</w:t>
            </w:r>
          </w:p>
        </w:tc>
        <w:tc>
          <w:tcPr>
            <w:tcW w:w="1005" w:type="dxa"/>
            <w:tcBorders>
              <w:top w:val="single" w:sz="6" w:space="0" w:color="000000"/>
              <w:left w:val="nil"/>
              <w:bottom w:val="single" w:sz="6" w:space="0" w:color="000000"/>
              <w:right w:val="nil"/>
              <w:tl2br w:val="nil"/>
              <w:tr2bl w:val="nil"/>
            </w:tcBorders>
            <w:shd w:val="clear" w:color="auto" w:fill="C0C0C0"/>
            <w:tcMar>
              <w:left w:w="115" w:type="dxa"/>
              <w:right w:w="115" w:type="dxa"/>
            </w:tcMar>
            <w:vAlign w:val="bottom"/>
          </w:tcPr>
          <w:p w14:paraId="2934582A" w14:textId="77777777" w:rsidR="003F0EEA" w:rsidRPr="00F142B1" w:rsidRDefault="00FB7D0B">
            <w:pPr>
              <w:jc w:val="right"/>
              <w:rPr>
                <w:rFonts w:ascii="Arial" w:eastAsia="Arial" w:hAnsi="Arial" w:cs="Arial"/>
                <w:b/>
                <w:color w:val="000000"/>
                <w:sz w:val="16"/>
              </w:rPr>
            </w:pPr>
            <w:r w:rsidRPr="00F142B1">
              <w:rPr>
                <w:rFonts w:ascii="Arial" w:eastAsia="Arial" w:hAnsi="Arial" w:cs="Arial"/>
                <w:b/>
                <w:color w:val="000000"/>
                <w:sz w:val="16"/>
              </w:rPr>
              <w:t xml:space="preserve"> (37)</w:t>
            </w:r>
          </w:p>
        </w:tc>
        <w:tc>
          <w:tcPr>
            <w:tcW w:w="1005" w:type="dxa"/>
            <w:tcBorders>
              <w:top w:val="single" w:sz="6" w:space="0" w:color="000000"/>
              <w:left w:val="nil"/>
              <w:bottom w:val="single" w:sz="6" w:space="0" w:color="000000"/>
              <w:right w:val="nil"/>
              <w:tl2br w:val="nil"/>
              <w:tr2bl w:val="nil"/>
            </w:tcBorders>
            <w:shd w:val="clear" w:color="auto" w:fill="FFFFFF"/>
            <w:tcMar>
              <w:left w:w="115" w:type="dxa"/>
              <w:right w:w="115" w:type="dxa"/>
            </w:tcMar>
            <w:vAlign w:val="bottom"/>
          </w:tcPr>
          <w:p w14:paraId="582707AB" w14:textId="77777777" w:rsidR="003F0EEA" w:rsidRPr="00F142B1" w:rsidRDefault="00FB7D0B">
            <w:pPr>
              <w:jc w:val="right"/>
              <w:rPr>
                <w:rFonts w:ascii="Arial" w:eastAsia="Arial" w:hAnsi="Arial" w:cs="Arial"/>
                <w:b/>
                <w:color w:val="000000"/>
                <w:sz w:val="16"/>
              </w:rPr>
            </w:pPr>
            <w:r w:rsidRPr="00F142B1">
              <w:rPr>
                <w:rFonts w:ascii="Arial" w:eastAsia="Arial" w:hAnsi="Arial" w:cs="Arial"/>
                <w:b/>
                <w:color w:val="000000"/>
                <w:sz w:val="16"/>
              </w:rPr>
              <w:t xml:space="preserve"> (55)</w:t>
            </w:r>
          </w:p>
        </w:tc>
        <w:tc>
          <w:tcPr>
            <w:tcW w:w="1005" w:type="dxa"/>
            <w:tcBorders>
              <w:top w:val="single" w:sz="6" w:space="0" w:color="000000"/>
              <w:left w:val="nil"/>
              <w:bottom w:val="single" w:sz="6" w:space="0" w:color="000000"/>
              <w:right w:val="nil"/>
              <w:tl2br w:val="nil"/>
              <w:tr2bl w:val="nil"/>
            </w:tcBorders>
            <w:shd w:val="clear" w:color="auto" w:fill="C0C0C0"/>
            <w:tcMar>
              <w:left w:w="115" w:type="dxa"/>
              <w:right w:w="115" w:type="dxa"/>
            </w:tcMar>
            <w:vAlign w:val="bottom"/>
          </w:tcPr>
          <w:p w14:paraId="6C5DFEBD" w14:textId="77777777" w:rsidR="003F0EEA" w:rsidRPr="00F142B1" w:rsidRDefault="00FB7D0B">
            <w:pPr>
              <w:jc w:val="right"/>
              <w:rPr>
                <w:rFonts w:ascii="Arial" w:eastAsia="Arial" w:hAnsi="Arial" w:cs="Arial"/>
                <w:b/>
                <w:color w:val="000000"/>
                <w:sz w:val="16"/>
              </w:rPr>
            </w:pPr>
            <w:r w:rsidRPr="00F142B1">
              <w:rPr>
                <w:rFonts w:ascii="Arial" w:eastAsia="Arial" w:hAnsi="Arial" w:cs="Arial"/>
                <w:b/>
                <w:color w:val="000000"/>
                <w:sz w:val="16"/>
              </w:rPr>
              <w:t xml:space="preserve"> (58)</w:t>
            </w:r>
          </w:p>
        </w:tc>
      </w:tr>
    </w:tbl>
    <w:p w14:paraId="1605BB2D" w14:textId="77777777" w:rsidR="003F0EEA" w:rsidRPr="00F142B1" w:rsidRDefault="003F0EEA">
      <w:pPr>
        <w:rPr>
          <w:rFonts w:ascii="Arial" w:eastAsia="Times New Roman" w:hAnsi="Arial" w:cs="Arial"/>
        </w:rPr>
        <w:sectPr w:rsidR="003F0EEA" w:rsidRPr="00F142B1">
          <w:pgSz w:w="10319" w:h="14572"/>
          <w:pgMar w:top="1077" w:right="1077" w:bottom="1134" w:left="1134" w:header="709" w:footer="709" w:gutter="0"/>
          <w:cols w:space="708"/>
        </w:sectPr>
      </w:pPr>
    </w:p>
    <w:p w14:paraId="74EA6385" w14:textId="77777777" w:rsidR="003F0EEA" w:rsidRPr="00671CF6" w:rsidRDefault="00FB7D0B" w:rsidP="003F0EEA">
      <w:pPr>
        <w:pStyle w:val="Heading312"/>
        <w:rPr>
          <w:sz w:val="30"/>
          <w:szCs w:val="30"/>
        </w:rPr>
      </w:pPr>
      <w:r w:rsidRPr="00671CF6">
        <w:rPr>
          <w:rFonts w:cs="Arial"/>
          <w:sz w:val="30"/>
          <w:szCs w:val="30"/>
        </w:rPr>
        <w:lastRenderedPageBreak/>
        <w:t>Section 2: Outcomes and planned performance</w:t>
      </w:r>
    </w:p>
    <w:p w14:paraId="5EF8CBAB" w14:textId="77777777" w:rsidR="003F0EEA" w:rsidRDefault="00FB7D0B" w:rsidP="003F0EEA">
      <w:pPr>
        <w:pStyle w:val="Heading312"/>
      </w:pPr>
      <w:r>
        <w:rPr>
          <w:rFonts w:cs="Arial"/>
        </w:rPr>
        <w:t>2.1</w:t>
      </w:r>
      <w:r>
        <w:rPr>
          <w:rFonts w:cs="Arial"/>
        </w:rPr>
        <w:tab/>
        <w:t>Outcomes and performance information</w:t>
      </w:r>
    </w:p>
    <w:p w14:paraId="09AA3DC2" w14:textId="77777777" w:rsidR="003F0EEA" w:rsidRDefault="00FB7D0B" w:rsidP="003F0EEA">
      <w:pPr>
        <w:pStyle w:val="Normal229"/>
      </w:pPr>
      <w:r>
        <w:t>Government outcomes are the intended results, impacts or consequences of actions by the Government on the Australian community. Commonwealth programmes are the primary vehicle by which Government agencies achieve the intended results of their outcome statements. Agencies are required to identify the programmes which contribute to Government outcomes over the Budget and forward years.</w:t>
      </w:r>
    </w:p>
    <w:p w14:paraId="630FFEC3" w14:textId="77777777" w:rsidR="003F0EEA" w:rsidRDefault="00FB7D0B" w:rsidP="003F0EEA">
      <w:pPr>
        <w:pStyle w:val="Normal229"/>
      </w:pPr>
      <w:r>
        <w:t>Each outcome is described below together with its related programmes, specifying the performance indicators and targets used to assess and monitor the performance of the</w:t>
      </w:r>
      <w:r>
        <w:rPr>
          <w:color w:val="FF0000"/>
        </w:rPr>
        <w:t xml:space="preserve"> </w:t>
      </w:r>
      <w:r>
        <w:t>Australian War Memorial in achieving Government outcomes.</w:t>
      </w:r>
    </w:p>
    <w:p w14:paraId="77AD5D06" w14:textId="77777777" w:rsidR="003F0EEA" w:rsidRDefault="003F0EEA" w:rsidP="003F0EEA">
      <w:pPr>
        <w:pStyle w:val="Exampletext0"/>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7713"/>
      </w:tblGrid>
      <w:tr w:rsidR="00724034" w14:paraId="532DA126" w14:textId="77777777" w:rsidTr="003F0EEA">
        <w:tc>
          <w:tcPr>
            <w:tcW w:w="7713" w:type="dxa"/>
            <w:tcBorders>
              <w:top w:val="single" w:sz="2" w:space="0" w:color="auto"/>
              <w:left w:val="single" w:sz="2" w:space="0" w:color="auto"/>
              <w:bottom w:val="single" w:sz="2" w:space="0" w:color="auto"/>
              <w:right w:val="single" w:sz="2" w:space="0" w:color="auto"/>
            </w:tcBorders>
            <w:shd w:val="clear" w:color="auto" w:fill="E6E6E6"/>
          </w:tcPr>
          <w:p w14:paraId="50D69562" w14:textId="77777777" w:rsidR="003F0EEA" w:rsidRDefault="00FB7D0B">
            <w:pPr>
              <w:pStyle w:val="TableColumnHeadingLeft7"/>
            </w:pPr>
            <w:r>
              <w:rPr>
                <w:rFonts w:cs="Arial"/>
              </w:rPr>
              <w:t>Outcome 1: Australians remembering, interpreting and understanding the Australian experience of war and its enduring impact through maintaining and developing the National Memorial, its collection and exhibition of historical material, commemorative ceremonies and research.</w:t>
            </w:r>
          </w:p>
        </w:tc>
      </w:tr>
    </w:tbl>
    <w:p w14:paraId="188C12C3" w14:textId="77777777" w:rsidR="003F0EEA" w:rsidRDefault="003F0EEA" w:rsidP="003F0EEA">
      <w:pPr>
        <w:pStyle w:val="NoSpacing"/>
      </w:pPr>
    </w:p>
    <w:p w14:paraId="50B88227" w14:textId="77777777" w:rsidR="003F0EEA" w:rsidRPr="0061265D" w:rsidRDefault="00FB7D0B" w:rsidP="003F0EEA">
      <w:pPr>
        <w:pStyle w:val="Heading413"/>
        <w:rPr>
          <w:rFonts w:ascii="Arial" w:hAnsi="Arial" w:cs="Arial"/>
          <w:sz w:val="22"/>
          <w:szCs w:val="22"/>
        </w:rPr>
      </w:pPr>
      <w:r w:rsidRPr="0061265D">
        <w:rPr>
          <w:rFonts w:ascii="Arial" w:hAnsi="Arial" w:cs="Arial"/>
          <w:sz w:val="22"/>
          <w:szCs w:val="22"/>
        </w:rPr>
        <w:t>Outcome 1 Strategy</w:t>
      </w:r>
    </w:p>
    <w:p w14:paraId="5165FEAA" w14:textId="77777777" w:rsidR="003F0EEA" w:rsidRDefault="00FB7D0B" w:rsidP="003F0EEA">
      <w:pPr>
        <w:pStyle w:val="Exampletextbullet"/>
        <w:numPr>
          <w:ilvl w:val="0"/>
          <w:numId w:val="0"/>
        </w:numPr>
        <w:tabs>
          <w:tab w:val="left" w:pos="720"/>
        </w:tabs>
        <w:rPr>
          <w:i w:val="0"/>
          <w:color w:val="auto"/>
        </w:rPr>
      </w:pPr>
      <w:r>
        <w:rPr>
          <w:i w:val="0"/>
          <w:color w:val="auto"/>
        </w:rPr>
        <w:t xml:space="preserve">The outcome will be achieved through the maintenance and development of the National Memorial, a national collection of historical material and through commemorative ceremonies, exhibitions, research, interpretation and dissemination. </w:t>
      </w:r>
    </w:p>
    <w:p w14:paraId="50E79A32" w14:textId="77777777" w:rsidR="003F0EEA" w:rsidRDefault="00FB7D0B">
      <w:pPr>
        <w:spacing w:line="14" w:lineRule="exact"/>
        <w:rPr>
          <w:rFonts w:eastAsia="Times New Roman" w:cs="Times New Roman"/>
        </w:rPr>
      </w:pPr>
      <w:r>
        <w:rPr>
          <w:rFonts w:eastAsia="Times New Roman" w:cs="Times New Roman"/>
        </w:rPr>
        <w:br w:type="page"/>
      </w:r>
    </w:p>
    <w:p w14:paraId="60135338" w14:textId="77777777" w:rsidR="003F0EEA" w:rsidRPr="00850706" w:rsidRDefault="00FB7D0B" w:rsidP="003F0EEA">
      <w:pPr>
        <w:pStyle w:val="Heading51"/>
        <w:rPr>
          <w:rFonts w:ascii="Arial" w:hAnsi="Arial" w:cs="Arial"/>
          <w:i w:val="0"/>
          <w:sz w:val="20"/>
          <w:szCs w:val="20"/>
        </w:rPr>
      </w:pPr>
      <w:r w:rsidRPr="00850706">
        <w:rPr>
          <w:rFonts w:ascii="Arial" w:hAnsi="Arial" w:cs="Arial"/>
          <w:i w:val="0"/>
          <w:sz w:val="20"/>
          <w:szCs w:val="20"/>
        </w:rPr>
        <w:t>Outcome Expense Statement</w:t>
      </w:r>
    </w:p>
    <w:p w14:paraId="606C6A20" w14:textId="77777777" w:rsidR="003F0EEA" w:rsidRDefault="00FB7D0B" w:rsidP="003F0EEA">
      <w:pPr>
        <w:pStyle w:val="Normal230"/>
      </w:pPr>
      <w:r>
        <w:t>Table 2.1 provides an overview of the total expenses for Outcome 1, by programme.</w:t>
      </w:r>
    </w:p>
    <w:p w14:paraId="3A304536" w14:textId="77777777" w:rsidR="003F0EEA" w:rsidRPr="001B4BF9" w:rsidRDefault="00FB7D0B" w:rsidP="003F0EEA">
      <w:pPr>
        <w:pStyle w:val="TableHeading25"/>
      </w:pPr>
      <w:r>
        <w:t>Table 2.1: Budgeted Expenses for Outcome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0"/>
        <w:gridCol w:w="5400"/>
        <w:gridCol w:w="1275"/>
        <w:gridCol w:w="1275"/>
      </w:tblGrid>
      <w:tr w:rsidR="00724034" w14:paraId="6963A407" w14:textId="77777777">
        <w:trPr>
          <w:trHeight w:hRule="exact" w:val="60"/>
        </w:trPr>
        <w:tc>
          <w:tcPr>
            <w:tcW w:w="300" w:type="dxa"/>
            <w:tcBorders>
              <w:top w:val="nil"/>
              <w:left w:val="nil"/>
              <w:bottom w:val="single" w:sz="6" w:space="0" w:color="000000"/>
              <w:right w:val="nil"/>
              <w:tl2br w:val="nil"/>
              <w:tr2bl w:val="nil"/>
            </w:tcBorders>
            <w:shd w:val="clear" w:color="auto" w:fill="FFFFFF"/>
            <w:tcMar>
              <w:left w:w="115" w:type="dxa"/>
              <w:right w:w="115" w:type="dxa"/>
            </w:tcMar>
            <w:vAlign w:val="center"/>
          </w:tcPr>
          <w:p w14:paraId="68DBFE8F" w14:textId="77777777" w:rsidR="003F0EEA" w:rsidRDefault="003F0EEA">
            <w:pPr>
              <w:rPr>
                <w:rFonts w:eastAsia="Times New Roman" w:cs="Times New Roman"/>
              </w:rPr>
            </w:pPr>
          </w:p>
        </w:tc>
        <w:tc>
          <w:tcPr>
            <w:tcW w:w="5400" w:type="dxa"/>
            <w:tcBorders>
              <w:top w:val="nil"/>
              <w:left w:val="nil"/>
              <w:bottom w:val="single" w:sz="6" w:space="0" w:color="000000"/>
              <w:right w:val="nil"/>
              <w:tl2br w:val="nil"/>
              <w:tr2bl w:val="nil"/>
            </w:tcBorders>
            <w:shd w:val="clear" w:color="auto" w:fill="FFFFFF"/>
            <w:tcMar>
              <w:left w:w="115" w:type="dxa"/>
              <w:right w:w="115" w:type="dxa"/>
            </w:tcMar>
            <w:vAlign w:val="center"/>
          </w:tcPr>
          <w:p w14:paraId="5AC19AE6" w14:textId="77777777" w:rsidR="003F0EEA" w:rsidRDefault="003F0EEA">
            <w:pPr>
              <w:rPr>
                <w:rFonts w:ascii="Arial" w:eastAsia="Arial" w:hAnsi="Arial" w:cs="Arial"/>
                <w:b/>
                <w:color w:val="000000"/>
                <w:sz w:val="16"/>
              </w:rPr>
            </w:pPr>
          </w:p>
        </w:tc>
        <w:tc>
          <w:tcPr>
            <w:tcW w:w="1275" w:type="dxa"/>
            <w:tcBorders>
              <w:top w:val="nil"/>
              <w:left w:val="nil"/>
              <w:bottom w:val="single" w:sz="6" w:space="0" w:color="000000"/>
              <w:right w:val="nil"/>
              <w:tl2br w:val="nil"/>
              <w:tr2bl w:val="nil"/>
            </w:tcBorders>
            <w:shd w:val="clear" w:color="auto" w:fill="FFFFFF"/>
            <w:tcMar>
              <w:left w:w="115" w:type="dxa"/>
              <w:right w:w="115" w:type="dxa"/>
            </w:tcMar>
            <w:vAlign w:val="center"/>
          </w:tcPr>
          <w:p w14:paraId="5060596C" w14:textId="77777777" w:rsidR="003F0EEA" w:rsidRDefault="003F0EEA">
            <w:pPr>
              <w:rPr>
                <w:rFonts w:ascii="Arial" w:eastAsia="Arial" w:hAnsi="Arial" w:cs="Arial"/>
                <w:b/>
                <w:color w:val="000000"/>
                <w:sz w:val="16"/>
              </w:rPr>
            </w:pPr>
          </w:p>
        </w:tc>
        <w:tc>
          <w:tcPr>
            <w:tcW w:w="1275" w:type="dxa"/>
            <w:tcBorders>
              <w:top w:val="nil"/>
              <w:left w:val="nil"/>
              <w:bottom w:val="single" w:sz="6" w:space="0" w:color="000000"/>
              <w:right w:val="nil"/>
              <w:tl2br w:val="nil"/>
              <w:tr2bl w:val="nil"/>
            </w:tcBorders>
            <w:shd w:val="clear" w:color="auto" w:fill="FFFFFF"/>
            <w:tcMar>
              <w:left w:w="115" w:type="dxa"/>
              <w:right w:w="115" w:type="dxa"/>
            </w:tcMar>
            <w:vAlign w:val="center"/>
          </w:tcPr>
          <w:p w14:paraId="1B536558" w14:textId="77777777" w:rsidR="003F0EEA" w:rsidRDefault="003F0EEA">
            <w:pPr>
              <w:rPr>
                <w:rFonts w:ascii="Arial" w:eastAsia="Arial" w:hAnsi="Arial" w:cs="Arial"/>
                <w:color w:val="000000"/>
                <w:sz w:val="16"/>
              </w:rPr>
            </w:pPr>
          </w:p>
        </w:tc>
      </w:tr>
      <w:tr w:rsidR="00FB7D0B" w14:paraId="15495A86" w14:textId="77777777" w:rsidTr="00FB7D0B">
        <w:trPr>
          <w:trHeight w:val="225"/>
        </w:trPr>
        <w:tc>
          <w:tcPr>
            <w:tcW w:w="5700" w:type="dxa"/>
            <w:gridSpan w:val="2"/>
            <w:vMerge w:val="restart"/>
            <w:tcBorders>
              <w:top w:val="single" w:sz="6" w:space="0" w:color="000000"/>
              <w:left w:val="nil"/>
              <w:bottom w:val="nil"/>
              <w:right w:val="nil"/>
              <w:tl2br w:val="nil"/>
              <w:tr2bl w:val="nil"/>
            </w:tcBorders>
            <w:shd w:val="clear" w:color="auto" w:fill="FFFFFF"/>
            <w:tcMar>
              <w:left w:w="115" w:type="dxa"/>
              <w:right w:w="115" w:type="dxa"/>
            </w:tcMar>
            <w:vAlign w:val="bottom"/>
          </w:tcPr>
          <w:p w14:paraId="2E989030" w14:textId="77777777" w:rsidR="003F0EEA" w:rsidRDefault="00FB7D0B">
            <w:pPr>
              <w:rPr>
                <w:rFonts w:ascii="Arial" w:eastAsia="Arial" w:hAnsi="Arial" w:cs="Arial"/>
                <w:color w:val="000000"/>
                <w:sz w:val="16"/>
              </w:rPr>
            </w:pPr>
            <w:r>
              <w:rPr>
                <w:rFonts w:ascii="Arial" w:eastAsia="Arial" w:hAnsi="Arial" w:cs="Arial"/>
                <w:color w:val="000000"/>
                <w:sz w:val="16"/>
              </w:rPr>
              <w:t xml:space="preserve"> </w:t>
            </w:r>
            <w:r>
              <w:rPr>
                <w:rFonts w:ascii="Arial" w:eastAsia="Arial" w:hAnsi="Arial" w:cs="Arial"/>
                <w:b/>
                <w:color w:val="000000"/>
                <w:sz w:val="16"/>
              </w:rPr>
              <w:t>Outcome 1</w:t>
            </w:r>
            <w:r>
              <w:rPr>
                <w:rFonts w:ascii="Arial" w:eastAsia="Arial" w:hAnsi="Arial" w:cs="Arial"/>
                <w:color w:val="000000"/>
                <w:sz w:val="16"/>
              </w:rPr>
              <w:t xml:space="preserve">: Australians remembering, interpreting and </w:t>
            </w:r>
          </w:p>
        </w:tc>
        <w:tc>
          <w:tcPr>
            <w:tcW w:w="1275"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2DE04DA4" w14:textId="77777777" w:rsidR="003F0EEA" w:rsidRDefault="00FB7D0B">
            <w:pPr>
              <w:jc w:val="right"/>
              <w:rPr>
                <w:rFonts w:ascii="Arial" w:eastAsia="Arial" w:hAnsi="Arial" w:cs="Arial"/>
                <w:color w:val="000000"/>
                <w:sz w:val="16"/>
              </w:rPr>
            </w:pPr>
            <w:r>
              <w:rPr>
                <w:rFonts w:ascii="Arial" w:eastAsia="Arial" w:hAnsi="Arial" w:cs="Arial"/>
                <w:color w:val="000000"/>
                <w:sz w:val="16"/>
              </w:rPr>
              <w:t>2013-14</w:t>
            </w:r>
          </w:p>
        </w:tc>
        <w:tc>
          <w:tcPr>
            <w:tcW w:w="1275" w:type="dxa"/>
            <w:tcBorders>
              <w:top w:val="single" w:sz="6" w:space="0" w:color="000000"/>
              <w:left w:val="nil"/>
              <w:bottom w:val="nil"/>
              <w:right w:val="nil"/>
              <w:tl2br w:val="nil"/>
              <w:tr2bl w:val="nil"/>
            </w:tcBorders>
            <w:shd w:val="clear" w:color="auto" w:fill="C0C0C0"/>
            <w:tcMar>
              <w:left w:w="115" w:type="dxa"/>
              <w:right w:w="115" w:type="dxa"/>
            </w:tcMar>
            <w:vAlign w:val="bottom"/>
          </w:tcPr>
          <w:p w14:paraId="110F5C01" w14:textId="77777777" w:rsidR="003F0EEA" w:rsidRDefault="00FB7D0B">
            <w:pPr>
              <w:jc w:val="right"/>
              <w:rPr>
                <w:rFonts w:ascii="Arial" w:eastAsia="Arial" w:hAnsi="Arial" w:cs="Arial"/>
                <w:color w:val="000000"/>
                <w:sz w:val="16"/>
              </w:rPr>
            </w:pPr>
            <w:r>
              <w:rPr>
                <w:rFonts w:ascii="Arial" w:eastAsia="Arial" w:hAnsi="Arial" w:cs="Arial"/>
                <w:color w:val="000000"/>
                <w:sz w:val="16"/>
              </w:rPr>
              <w:t>2014-15</w:t>
            </w:r>
          </w:p>
        </w:tc>
      </w:tr>
      <w:tr w:rsidR="00FB7D0B" w14:paraId="70080611" w14:textId="77777777" w:rsidTr="00FB7D0B">
        <w:trPr>
          <w:trHeight w:val="225"/>
        </w:trPr>
        <w:tc>
          <w:tcPr>
            <w:tcW w:w="5700" w:type="dxa"/>
            <w:gridSpan w:val="2"/>
            <w:vMerge w:val="restart"/>
            <w:tcBorders>
              <w:top w:val="nil"/>
              <w:left w:val="nil"/>
              <w:bottom w:val="nil"/>
              <w:right w:val="nil"/>
              <w:tl2br w:val="nil"/>
              <w:tr2bl w:val="nil"/>
            </w:tcBorders>
            <w:shd w:val="clear" w:color="auto" w:fill="FFFFFF"/>
            <w:tcMar>
              <w:left w:w="115" w:type="dxa"/>
              <w:right w:w="115" w:type="dxa"/>
            </w:tcMar>
            <w:vAlign w:val="bottom"/>
          </w:tcPr>
          <w:p w14:paraId="3A227716" w14:textId="77777777" w:rsidR="003F0EEA" w:rsidRDefault="00FB7D0B">
            <w:pPr>
              <w:rPr>
                <w:rFonts w:ascii="Arial" w:eastAsia="Arial" w:hAnsi="Arial" w:cs="Arial"/>
                <w:color w:val="000000"/>
                <w:sz w:val="16"/>
              </w:rPr>
            </w:pPr>
            <w:r>
              <w:rPr>
                <w:rFonts w:ascii="Arial" w:eastAsia="Arial" w:hAnsi="Arial" w:cs="Arial"/>
                <w:color w:val="000000"/>
                <w:sz w:val="16"/>
              </w:rPr>
              <w:t>understanding the Australian experience of war and its enduring</w:t>
            </w:r>
          </w:p>
        </w:tc>
        <w:tc>
          <w:tcPr>
            <w:tcW w:w="1275" w:type="dxa"/>
            <w:tcBorders>
              <w:top w:val="nil"/>
              <w:left w:val="nil"/>
              <w:bottom w:val="nil"/>
              <w:right w:val="nil"/>
              <w:tl2br w:val="nil"/>
              <w:tr2bl w:val="nil"/>
            </w:tcBorders>
            <w:shd w:val="clear" w:color="auto" w:fill="FFFFFF"/>
            <w:tcMar>
              <w:left w:w="115" w:type="dxa"/>
              <w:right w:w="115" w:type="dxa"/>
            </w:tcMar>
            <w:vAlign w:val="bottom"/>
          </w:tcPr>
          <w:p w14:paraId="573F4781" w14:textId="77777777" w:rsidR="003F0EEA" w:rsidRDefault="00FB7D0B">
            <w:pPr>
              <w:jc w:val="right"/>
              <w:rPr>
                <w:rFonts w:ascii="Arial" w:eastAsia="Arial" w:hAnsi="Arial" w:cs="Arial"/>
                <w:color w:val="000000"/>
                <w:sz w:val="16"/>
              </w:rPr>
            </w:pPr>
            <w:r>
              <w:rPr>
                <w:rFonts w:ascii="Arial" w:eastAsia="Arial" w:hAnsi="Arial" w:cs="Arial"/>
                <w:color w:val="000000"/>
                <w:sz w:val="16"/>
              </w:rPr>
              <w:t>Estimated</w:t>
            </w:r>
          </w:p>
        </w:tc>
        <w:tc>
          <w:tcPr>
            <w:tcW w:w="1275" w:type="dxa"/>
            <w:tcBorders>
              <w:top w:val="nil"/>
              <w:left w:val="nil"/>
              <w:bottom w:val="nil"/>
              <w:right w:val="nil"/>
              <w:tl2br w:val="nil"/>
              <w:tr2bl w:val="nil"/>
            </w:tcBorders>
            <w:shd w:val="clear" w:color="auto" w:fill="C0C0C0"/>
            <w:tcMar>
              <w:left w:w="115" w:type="dxa"/>
              <w:right w:w="115" w:type="dxa"/>
            </w:tcMar>
            <w:vAlign w:val="bottom"/>
          </w:tcPr>
          <w:p w14:paraId="31A708C4" w14:textId="77777777" w:rsidR="003F0EEA" w:rsidRDefault="00FB7D0B">
            <w:pPr>
              <w:jc w:val="right"/>
              <w:rPr>
                <w:rFonts w:ascii="Arial" w:eastAsia="Arial" w:hAnsi="Arial" w:cs="Arial"/>
                <w:color w:val="000000"/>
                <w:sz w:val="16"/>
              </w:rPr>
            </w:pPr>
            <w:r>
              <w:rPr>
                <w:rFonts w:ascii="Arial" w:eastAsia="Arial" w:hAnsi="Arial" w:cs="Arial"/>
                <w:color w:val="000000"/>
                <w:sz w:val="16"/>
              </w:rPr>
              <w:t>Estimated</w:t>
            </w:r>
          </w:p>
        </w:tc>
      </w:tr>
      <w:tr w:rsidR="00FB7D0B" w14:paraId="15838C7F" w14:textId="77777777" w:rsidTr="00FB7D0B">
        <w:trPr>
          <w:trHeight w:val="225"/>
        </w:trPr>
        <w:tc>
          <w:tcPr>
            <w:tcW w:w="5700" w:type="dxa"/>
            <w:gridSpan w:val="2"/>
            <w:vMerge w:val="restart"/>
            <w:tcBorders>
              <w:top w:val="nil"/>
              <w:left w:val="nil"/>
              <w:bottom w:val="nil"/>
              <w:right w:val="nil"/>
              <w:tl2br w:val="nil"/>
              <w:tr2bl w:val="nil"/>
            </w:tcBorders>
            <w:shd w:val="clear" w:color="auto" w:fill="FFFFFF"/>
            <w:tcMar>
              <w:left w:w="115" w:type="dxa"/>
              <w:right w:w="115" w:type="dxa"/>
            </w:tcMar>
            <w:vAlign w:val="bottom"/>
          </w:tcPr>
          <w:p w14:paraId="7EDDA339" w14:textId="77777777" w:rsidR="003F0EEA" w:rsidRDefault="00FB7D0B">
            <w:pPr>
              <w:rPr>
                <w:rFonts w:ascii="Arial" w:eastAsia="Arial" w:hAnsi="Arial" w:cs="Arial"/>
                <w:color w:val="000000"/>
                <w:sz w:val="16"/>
              </w:rPr>
            </w:pPr>
            <w:r>
              <w:rPr>
                <w:rFonts w:ascii="Arial" w:eastAsia="Arial" w:hAnsi="Arial" w:cs="Arial"/>
                <w:color w:val="000000"/>
                <w:sz w:val="16"/>
              </w:rPr>
              <w:t>impact through maintaining and developing the National</w:t>
            </w:r>
          </w:p>
        </w:tc>
        <w:tc>
          <w:tcPr>
            <w:tcW w:w="1275" w:type="dxa"/>
            <w:tcBorders>
              <w:top w:val="nil"/>
              <w:left w:val="nil"/>
              <w:bottom w:val="nil"/>
              <w:right w:val="nil"/>
              <w:tl2br w:val="nil"/>
              <w:tr2bl w:val="nil"/>
            </w:tcBorders>
            <w:shd w:val="clear" w:color="auto" w:fill="FFFFFF"/>
            <w:tcMar>
              <w:left w:w="115" w:type="dxa"/>
              <w:right w:w="115" w:type="dxa"/>
            </w:tcMar>
            <w:vAlign w:val="bottom"/>
          </w:tcPr>
          <w:p w14:paraId="17CBB506" w14:textId="77777777" w:rsidR="003F0EEA" w:rsidRDefault="00FB7D0B">
            <w:pPr>
              <w:jc w:val="right"/>
              <w:rPr>
                <w:rFonts w:ascii="Arial" w:eastAsia="Arial" w:hAnsi="Arial" w:cs="Arial"/>
                <w:color w:val="000000"/>
                <w:sz w:val="16"/>
              </w:rPr>
            </w:pPr>
            <w:r>
              <w:rPr>
                <w:rFonts w:ascii="Arial" w:eastAsia="Arial" w:hAnsi="Arial" w:cs="Arial"/>
                <w:color w:val="000000"/>
                <w:sz w:val="16"/>
              </w:rPr>
              <w:t>actual</w:t>
            </w:r>
          </w:p>
        </w:tc>
        <w:tc>
          <w:tcPr>
            <w:tcW w:w="1275" w:type="dxa"/>
            <w:tcBorders>
              <w:top w:val="nil"/>
              <w:left w:val="nil"/>
              <w:bottom w:val="nil"/>
              <w:right w:val="nil"/>
              <w:tl2br w:val="nil"/>
              <w:tr2bl w:val="nil"/>
            </w:tcBorders>
            <w:shd w:val="clear" w:color="auto" w:fill="C0C0C0"/>
            <w:tcMar>
              <w:left w:w="115" w:type="dxa"/>
              <w:right w:w="115" w:type="dxa"/>
            </w:tcMar>
            <w:vAlign w:val="bottom"/>
          </w:tcPr>
          <w:p w14:paraId="7CEC6FA2" w14:textId="77777777" w:rsidR="003F0EEA" w:rsidRDefault="00FB7D0B">
            <w:pPr>
              <w:jc w:val="right"/>
              <w:rPr>
                <w:rFonts w:ascii="Arial" w:eastAsia="Arial" w:hAnsi="Arial" w:cs="Arial"/>
                <w:color w:val="000000"/>
                <w:sz w:val="16"/>
              </w:rPr>
            </w:pPr>
            <w:r>
              <w:rPr>
                <w:rFonts w:ascii="Arial" w:eastAsia="Arial" w:hAnsi="Arial" w:cs="Arial"/>
                <w:color w:val="000000"/>
                <w:sz w:val="16"/>
              </w:rPr>
              <w:t>expenses</w:t>
            </w:r>
          </w:p>
        </w:tc>
      </w:tr>
      <w:tr w:rsidR="00FB7D0B" w14:paraId="1366D07D" w14:textId="77777777" w:rsidTr="00FB7D0B">
        <w:trPr>
          <w:trHeight w:val="225"/>
        </w:trPr>
        <w:tc>
          <w:tcPr>
            <w:tcW w:w="5700" w:type="dxa"/>
            <w:gridSpan w:val="2"/>
            <w:tcBorders>
              <w:top w:val="nil"/>
              <w:left w:val="nil"/>
              <w:bottom w:val="nil"/>
              <w:right w:val="nil"/>
              <w:tl2br w:val="nil"/>
              <w:tr2bl w:val="nil"/>
            </w:tcBorders>
            <w:shd w:val="clear" w:color="auto" w:fill="FFFFFF"/>
            <w:tcMar>
              <w:left w:w="115" w:type="dxa"/>
              <w:right w:w="115" w:type="dxa"/>
            </w:tcMar>
            <w:vAlign w:val="bottom"/>
          </w:tcPr>
          <w:p w14:paraId="72B19450" w14:textId="77777777" w:rsidR="003F0EEA" w:rsidRDefault="00FB7D0B">
            <w:pPr>
              <w:rPr>
                <w:rFonts w:ascii="Arial" w:eastAsia="Arial" w:hAnsi="Arial" w:cs="Arial"/>
                <w:color w:val="000000"/>
                <w:sz w:val="16"/>
              </w:rPr>
            </w:pPr>
            <w:r>
              <w:rPr>
                <w:rFonts w:ascii="Arial" w:eastAsia="Arial" w:hAnsi="Arial" w:cs="Arial"/>
                <w:color w:val="000000"/>
                <w:sz w:val="16"/>
              </w:rPr>
              <w:t>Memorial, its collection and exhibition of historical material,</w:t>
            </w:r>
          </w:p>
        </w:tc>
        <w:tc>
          <w:tcPr>
            <w:tcW w:w="1275" w:type="dxa"/>
            <w:tcBorders>
              <w:top w:val="nil"/>
              <w:left w:val="nil"/>
              <w:bottom w:val="nil"/>
              <w:right w:val="nil"/>
              <w:tl2br w:val="nil"/>
              <w:tr2bl w:val="nil"/>
            </w:tcBorders>
            <w:shd w:val="clear" w:color="auto" w:fill="FFFFFF"/>
            <w:tcMar>
              <w:left w:w="115" w:type="dxa"/>
              <w:right w:w="115" w:type="dxa"/>
            </w:tcMar>
            <w:vAlign w:val="bottom"/>
          </w:tcPr>
          <w:p w14:paraId="2193B966" w14:textId="77777777" w:rsidR="003F0EEA" w:rsidRDefault="00FB7D0B">
            <w:pPr>
              <w:jc w:val="right"/>
              <w:rPr>
                <w:rFonts w:ascii="Arial" w:eastAsia="Arial" w:hAnsi="Arial" w:cs="Arial"/>
                <w:color w:val="000000"/>
                <w:sz w:val="16"/>
              </w:rPr>
            </w:pPr>
            <w:r>
              <w:rPr>
                <w:rFonts w:ascii="Arial" w:eastAsia="Arial" w:hAnsi="Arial" w:cs="Arial"/>
                <w:color w:val="000000"/>
                <w:sz w:val="16"/>
              </w:rPr>
              <w:t>expenses</w:t>
            </w:r>
          </w:p>
        </w:tc>
        <w:tc>
          <w:tcPr>
            <w:tcW w:w="1275" w:type="dxa"/>
            <w:tcBorders>
              <w:top w:val="nil"/>
              <w:left w:val="nil"/>
              <w:bottom w:val="nil"/>
              <w:right w:val="nil"/>
              <w:tl2br w:val="nil"/>
              <w:tr2bl w:val="nil"/>
            </w:tcBorders>
            <w:shd w:val="clear" w:color="auto" w:fill="C0C0C0"/>
            <w:tcMar>
              <w:left w:w="115" w:type="dxa"/>
              <w:right w:w="115" w:type="dxa"/>
            </w:tcMar>
            <w:vAlign w:val="bottom"/>
          </w:tcPr>
          <w:p w14:paraId="3B3C4D1B" w14:textId="77777777" w:rsidR="003F0EEA" w:rsidRDefault="003F0EEA">
            <w:pPr>
              <w:jc w:val="right"/>
              <w:rPr>
                <w:rFonts w:ascii="Arial" w:eastAsia="Arial" w:hAnsi="Arial" w:cs="Arial"/>
                <w:color w:val="000000"/>
                <w:sz w:val="16"/>
              </w:rPr>
            </w:pPr>
          </w:p>
        </w:tc>
      </w:tr>
      <w:tr w:rsidR="00FB7D0B" w14:paraId="2DE5DD8F" w14:textId="77777777" w:rsidTr="00FB7D0B">
        <w:trPr>
          <w:trHeight w:val="225"/>
        </w:trPr>
        <w:tc>
          <w:tcPr>
            <w:tcW w:w="5700" w:type="dxa"/>
            <w:gridSpan w:val="2"/>
            <w:tcBorders>
              <w:top w:val="nil"/>
              <w:left w:val="nil"/>
              <w:bottom w:val="nil"/>
              <w:right w:val="nil"/>
              <w:tl2br w:val="nil"/>
              <w:tr2bl w:val="nil"/>
            </w:tcBorders>
            <w:shd w:val="clear" w:color="auto" w:fill="FFFFFF"/>
            <w:tcMar>
              <w:left w:w="115" w:type="dxa"/>
              <w:right w:w="115" w:type="dxa"/>
            </w:tcMar>
            <w:vAlign w:val="bottom"/>
          </w:tcPr>
          <w:p w14:paraId="6A59106B" w14:textId="77777777" w:rsidR="003F0EEA" w:rsidRDefault="00FB7D0B">
            <w:pPr>
              <w:rPr>
                <w:rFonts w:ascii="Arial" w:eastAsia="Arial" w:hAnsi="Arial" w:cs="Arial"/>
                <w:color w:val="000000"/>
                <w:sz w:val="16"/>
              </w:rPr>
            </w:pPr>
            <w:r>
              <w:rPr>
                <w:rFonts w:ascii="Arial" w:eastAsia="Arial" w:hAnsi="Arial" w:cs="Arial"/>
                <w:color w:val="000000"/>
                <w:sz w:val="16"/>
              </w:rPr>
              <w:t>commemorative ceremonies and research.</w:t>
            </w:r>
          </w:p>
        </w:tc>
        <w:tc>
          <w:tcPr>
            <w:tcW w:w="1275"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75D7BDDF" w14:textId="77777777" w:rsidR="003F0EEA" w:rsidRDefault="00FB7D0B">
            <w:pPr>
              <w:jc w:val="right"/>
              <w:rPr>
                <w:rFonts w:ascii="Arial" w:eastAsia="Arial" w:hAnsi="Arial" w:cs="Arial"/>
                <w:color w:val="000000"/>
                <w:sz w:val="16"/>
              </w:rPr>
            </w:pPr>
            <w:r>
              <w:rPr>
                <w:rFonts w:ascii="Arial" w:eastAsia="Arial" w:hAnsi="Arial" w:cs="Arial"/>
                <w:color w:val="000000"/>
                <w:sz w:val="16"/>
              </w:rPr>
              <w:t>$'000</w:t>
            </w:r>
          </w:p>
        </w:tc>
        <w:tc>
          <w:tcPr>
            <w:tcW w:w="1275" w:type="dxa"/>
            <w:tcBorders>
              <w:top w:val="nil"/>
              <w:left w:val="nil"/>
              <w:bottom w:val="single" w:sz="6" w:space="0" w:color="000000"/>
              <w:right w:val="nil"/>
              <w:tl2br w:val="nil"/>
              <w:tr2bl w:val="nil"/>
            </w:tcBorders>
            <w:shd w:val="clear" w:color="auto" w:fill="C0C0C0"/>
            <w:tcMar>
              <w:left w:w="115" w:type="dxa"/>
              <w:right w:w="115" w:type="dxa"/>
            </w:tcMar>
            <w:vAlign w:val="bottom"/>
          </w:tcPr>
          <w:p w14:paraId="709C0E84" w14:textId="77777777" w:rsidR="003F0EEA" w:rsidRDefault="00FB7D0B">
            <w:pPr>
              <w:jc w:val="right"/>
              <w:rPr>
                <w:rFonts w:ascii="Arial" w:eastAsia="Arial" w:hAnsi="Arial" w:cs="Arial"/>
                <w:color w:val="000000"/>
                <w:sz w:val="16"/>
              </w:rPr>
            </w:pPr>
            <w:r>
              <w:rPr>
                <w:rFonts w:ascii="Arial" w:eastAsia="Arial" w:hAnsi="Arial" w:cs="Arial"/>
                <w:color w:val="000000"/>
                <w:sz w:val="16"/>
              </w:rPr>
              <w:t>$'000</w:t>
            </w:r>
          </w:p>
        </w:tc>
      </w:tr>
      <w:tr w:rsidR="00724034" w14:paraId="14EEC028" w14:textId="77777777">
        <w:trPr>
          <w:trHeight w:hRule="exact" w:val="60"/>
        </w:trPr>
        <w:tc>
          <w:tcPr>
            <w:tcW w:w="300" w:type="dxa"/>
            <w:tcBorders>
              <w:top w:val="nil"/>
              <w:left w:val="nil"/>
              <w:bottom w:val="nil"/>
              <w:right w:val="nil"/>
              <w:tl2br w:val="nil"/>
              <w:tr2bl w:val="nil"/>
            </w:tcBorders>
            <w:shd w:val="clear" w:color="auto" w:fill="FFFFFF"/>
            <w:tcMar>
              <w:left w:w="115" w:type="dxa"/>
              <w:right w:w="115" w:type="dxa"/>
            </w:tcMar>
            <w:vAlign w:val="bottom"/>
          </w:tcPr>
          <w:p w14:paraId="66717750" w14:textId="77777777" w:rsidR="003F0EEA" w:rsidRDefault="003F0EEA">
            <w:pPr>
              <w:rPr>
                <w:rFonts w:ascii="Arial" w:eastAsia="Arial" w:hAnsi="Arial" w:cs="Arial"/>
                <w:color w:val="000000"/>
                <w:sz w:val="16"/>
              </w:rPr>
            </w:pPr>
          </w:p>
        </w:tc>
        <w:tc>
          <w:tcPr>
            <w:tcW w:w="5400" w:type="dxa"/>
            <w:tcBorders>
              <w:top w:val="nil"/>
              <w:left w:val="nil"/>
              <w:bottom w:val="nil"/>
              <w:right w:val="nil"/>
              <w:tl2br w:val="nil"/>
              <w:tr2bl w:val="nil"/>
            </w:tcBorders>
            <w:shd w:val="clear" w:color="auto" w:fill="FFFFFF"/>
            <w:tcMar>
              <w:left w:w="115" w:type="dxa"/>
              <w:right w:w="115" w:type="dxa"/>
            </w:tcMar>
            <w:vAlign w:val="bottom"/>
          </w:tcPr>
          <w:p w14:paraId="29FB1307" w14:textId="77777777" w:rsidR="003F0EEA" w:rsidRDefault="003F0EEA">
            <w:pPr>
              <w:rPr>
                <w:rFonts w:ascii="Book Antiqua" w:eastAsia="Book Antiqua" w:hAnsi="Book Antiqua" w:cs="Book Antiqua"/>
                <w:color w:val="000000"/>
                <w:sz w:val="16"/>
              </w:rPr>
            </w:pPr>
          </w:p>
        </w:tc>
        <w:tc>
          <w:tcPr>
            <w:tcW w:w="1275"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2015BAA7" w14:textId="77777777" w:rsidR="003F0EEA" w:rsidRDefault="003F0EEA">
            <w:pPr>
              <w:jc w:val="right"/>
              <w:rPr>
                <w:rFonts w:ascii="Book Antiqua" w:eastAsia="Book Antiqua" w:hAnsi="Book Antiqua" w:cs="Book Antiqua"/>
                <w:color w:val="000000"/>
                <w:sz w:val="16"/>
              </w:rPr>
            </w:pPr>
          </w:p>
        </w:tc>
        <w:tc>
          <w:tcPr>
            <w:tcW w:w="1275" w:type="dxa"/>
            <w:tcBorders>
              <w:top w:val="single" w:sz="6" w:space="0" w:color="000000"/>
              <w:left w:val="nil"/>
              <w:bottom w:val="nil"/>
              <w:right w:val="nil"/>
              <w:tl2br w:val="nil"/>
              <w:tr2bl w:val="nil"/>
            </w:tcBorders>
            <w:shd w:val="clear" w:color="auto" w:fill="C0C0C0"/>
            <w:tcMar>
              <w:left w:w="115" w:type="dxa"/>
              <w:right w:w="115" w:type="dxa"/>
            </w:tcMar>
            <w:vAlign w:val="bottom"/>
          </w:tcPr>
          <w:p w14:paraId="7CA65A9A" w14:textId="77777777" w:rsidR="003F0EEA" w:rsidRDefault="003F0EEA">
            <w:pPr>
              <w:jc w:val="right"/>
              <w:rPr>
                <w:rFonts w:ascii="Arial" w:eastAsia="Arial" w:hAnsi="Arial" w:cs="Arial"/>
                <w:color w:val="000000"/>
                <w:sz w:val="16"/>
              </w:rPr>
            </w:pPr>
          </w:p>
        </w:tc>
      </w:tr>
      <w:tr w:rsidR="00FB7D0B" w14:paraId="21C66068" w14:textId="77777777" w:rsidTr="00FB7D0B">
        <w:trPr>
          <w:trHeight w:val="225"/>
        </w:trPr>
        <w:tc>
          <w:tcPr>
            <w:tcW w:w="5700" w:type="dxa"/>
            <w:gridSpan w:val="2"/>
            <w:tcBorders>
              <w:top w:val="nil"/>
              <w:left w:val="nil"/>
              <w:bottom w:val="nil"/>
              <w:right w:val="nil"/>
              <w:tl2br w:val="nil"/>
              <w:tr2bl w:val="nil"/>
            </w:tcBorders>
            <w:shd w:val="clear" w:color="auto" w:fill="FFFFFF"/>
            <w:tcMar>
              <w:left w:w="115" w:type="dxa"/>
              <w:right w:w="115" w:type="dxa"/>
            </w:tcMar>
            <w:vAlign w:val="bottom"/>
          </w:tcPr>
          <w:p w14:paraId="264E7BE6" w14:textId="77777777" w:rsidR="003F0EEA" w:rsidRDefault="00FB7D0B">
            <w:pPr>
              <w:rPr>
                <w:rFonts w:ascii="Arial" w:eastAsia="Arial" w:hAnsi="Arial" w:cs="Arial"/>
                <w:color w:val="000000"/>
                <w:sz w:val="16"/>
              </w:rPr>
            </w:pPr>
            <w:r>
              <w:rPr>
                <w:rFonts w:ascii="Arial" w:eastAsia="Arial" w:hAnsi="Arial" w:cs="Arial"/>
                <w:b/>
                <w:color w:val="000000"/>
                <w:sz w:val="16"/>
              </w:rPr>
              <w:t>Programme 1.1: Australian War Memorial</w:t>
            </w:r>
          </w:p>
        </w:tc>
        <w:tc>
          <w:tcPr>
            <w:tcW w:w="1275" w:type="dxa"/>
            <w:tcBorders>
              <w:top w:val="nil"/>
              <w:left w:val="nil"/>
              <w:bottom w:val="nil"/>
              <w:right w:val="nil"/>
              <w:tl2br w:val="nil"/>
              <w:tr2bl w:val="nil"/>
            </w:tcBorders>
            <w:shd w:val="clear" w:color="auto" w:fill="FFFFFF"/>
            <w:tcMar>
              <w:left w:w="115" w:type="dxa"/>
              <w:right w:w="115" w:type="dxa"/>
            </w:tcMar>
            <w:vAlign w:val="bottom"/>
          </w:tcPr>
          <w:p w14:paraId="2BF3F754" w14:textId="77777777" w:rsidR="003F0EEA" w:rsidRDefault="003F0EEA">
            <w:pPr>
              <w:jc w:val="right"/>
              <w:rPr>
                <w:rFonts w:ascii="Arial" w:eastAsia="Arial" w:hAnsi="Arial" w:cs="Arial"/>
                <w:b/>
                <w:color w:val="000000"/>
                <w:sz w:val="16"/>
              </w:rPr>
            </w:pPr>
          </w:p>
        </w:tc>
        <w:tc>
          <w:tcPr>
            <w:tcW w:w="1275" w:type="dxa"/>
            <w:tcBorders>
              <w:top w:val="nil"/>
              <w:left w:val="nil"/>
              <w:bottom w:val="nil"/>
              <w:right w:val="nil"/>
              <w:tl2br w:val="nil"/>
              <w:tr2bl w:val="nil"/>
            </w:tcBorders>
            <w:shd w:val="clear" w:color="auto" w:fill="C0C0C0"/>
            <w:tcMar>
              <w:left w:w="115" w:type="dxa"/>
              <w:right w:w="115" w:type="dxa"/>
            </w:tcMar>
            <w:vAlign w:val="bottom"/>
          </w:tcPr>
          <w:p w14:paraId="49642403" w14:textId="77777777" w:rsidR="003F0EEA" w:rsidRDefault="003F0EEA">
            <w:pPr>
              <w:jc w:val="right"/>
              <w:rPr>
                <w:rFonts w:ascii="Arial" w:eastAsia="Arial" w:hAnsi="Arial" w:cs="Arial"/>
                <w:color w:val="000000"/>
                <w:sz w:val="16"/>
              </w:rPr>
            </w:pPr>
          </w:p>
        </w:tc>
      </w:tr>
      <w:tr w:rsidR="00724034" w14:paraId="262AA4FF" w14:textId="77777777">
        <w:trPr>
          <w:trHeight w:hRule="exact" w:val="60"/>
        </w:trPr>
        <w:tc>
          <w:tcPr>
            <w:tcW w:w="300" w:type="dxa"/>
            <w:tcBorders>
              <w:top w:val="nil"/>
              <w:left w:val="nil"/>
              <w:bottom w:val="nil"/>
              <w:right w:val="nil"/>
              <w:tl2br w:val="nil"/>
              <w:tr2bl w:val="nil"/>
            </w:tcBorders>
            <w:shd w:val="clear" w:color="auto" w:fill="FFFFFF"/>
            <w:tcMar>
              <w:left w:w="115" w:type="dxa"/>
              <w:right w:w="115" w:type="dxa"/>
            </w:tcMar>
            <w:vAlign w:val="bottom"/>
          </w:tcPr>
          <w:p w14:paraId="526D3D0A" w14:textId="77777777" w:rsidR="003F0EEA" w:rsidRDefault="003F0EEA">
            <w:pPr>
              <w:rPr>
                <w:rFonts w:ascii="Arial" w:eastAsia="Arial" w:hAnsi="Arial" w:cs="Arial"/>
                <w:color w:val="000000"/>
                <w:sz w:val="16"/>
              </w:rPr>
            </w:pPr>
          </w:p>
        </w:tc>
        <w:tc>
          <w:tcPr>
            <w:tcW w:w="5400" w:type="dxa"/>
            <w:tcBorders>
              <w:top w:val="nil"/>
              <w:left w:val="nil"/>
              <w:bottom w:val="nil"/>
              <w:right w:val="nil"/>
              <w:tl2br w:val="nil"/>
              <w:tr2bl w:val="nil"/>
            </w:tcBorders>
            <w:shd w:val="clear" w:color="auto" w:fill="FFFFFF"/>
            <w:tcMar>
              <w:left w:w="115" w:type="dxa"/>
              <w:right w:w="115" w:type="dxa"/>
            </w:tcMar>
            <w:vAlign w:val="bottom"/>
          </w:tcPr>
          <w:p w14:paraId="43CB7882" w14:textId="77777777" w:rsidR="003F0EEA" w:rsidRDefault="003F0EEA">
            <w:pPr>
              <w:rPr>
                <w:rFonts w:ascii="Arial" w:eastAsia="Arial" w:hAnsi="Arial" w:cs="Arial"/>
                <w:b/>
                <w:color w:val="000000"/>
                <w:sz w:val="16"/>
              </w:rPr>
            </w:pPr>
          </w:p>
        </w:tc>
        <w:tc>
          <w:tcPr>
            <w:tcW w:w="1275" w:type="dxa"/>
            <w:tcBorders>
              <w:top w:val="nil"/>
              <w:left w:val="nil"/>
              <w:bottom w:val="nil"/>
              <w:right w:val="nil"/>
              <w:tl2br w:val="nil"/>
              <w:tr2bl w:val="nil"/>
            </w:tcBorders>
            <w:shd w:val="clear" w:color="auto" w:fill="FFFFFF"/>
            <w:tcMar>
              <w:left w:w="115" w:type="dxa"/>
              <w:right w:w="115" w:type="dxa"/>
            </w:tcMar>
            <w:vAlign w:val="bottom"/>
          </w:tcPr>
          <w:p w14:paraId="6FDADED4" w14:textId="77777777" w:rsidR="003F0EEA" w:rsidRDefault="003F0EEA">
            <w:pPr>
              <w:jc w:val="right"/>
              <w:rPr>
                <w:rFonts w:ascii="Arial" w:eastAsia="Arial" w:hAnsi="Arial" w:cs="Arial"/>
                <w:b/>
                <w:color w:val="000000"/>
                <w:sz w:val="16"/>
              </w:rPr>
            </w:pPr>
          </w:p>
        </w:tc>
        <w:tc>
          <w:tcPr>
            <w:tcW w:w="1275" w:type="dxa"/>
            <w:tcBorders>
              <w:top w:val="nil"/>
              <w:left w:val="nil"/>
              <w:bottom w:val="nil"/>
              <w:right w:val="nil"/>
              <w:tl2br w:val="nil"/>
              <w:tr2bl w:val="nil"/>
            </w:tcBorders>
            <w:shd w:val="clear" w:color="auto" w:fill="C0C0C0"/>
            <w:tcMar>
              <w:left w:w="115" w:type="dxa"/>
              <w:right w:w="115" w:type="dxa"/>
            </w:tcMar>
            <w:vAlign w:val="bottom"/>
          </w:tcPr>
          <w:p w14:paraId="3AA34F6C" w14:textId="77777777" w:rsidR="003F0EEA" w:rsidRDefault="003F0EEA">
            <w:pPr>
              <w:jc w:val="right"/>
              <w:rPr>
                <w:rFonts w:ascii="Arial" w:eastAsia="Arial" w:hAnsi="Arial" w:cs="Arial"/>
                <w:color w:val="000000"/>
                <w:sz w:val="16"/>
              </w:rPr>
            </w:pPr>
          </w:p>
        </w:tc>
      </w:tr>
      <w:tr w:rsidR="00FB7D0B" w14:paraId="5540618F" w14:textId="77777777" w:rsidTr="00FB7D0B">
        <w:trPr>
          <w:trHeight w:val="225"/>
        </w:trPr>
        <w:tc>
          <w:tcPr>
            <w:tcW w:w="5700" w:type="dxa"/>
            <w:gridSpan w:val="2"/>
            <w:tcBorders>
              <w:top w:val="nil"/>
              <w:left w:val="nil"/>
              <w:bottom w:val="nil"/>
              <w:right w:val="nil"/>
              <w:tl2br w:val="nil"/>
              <w:tr2bl w:val="nil"/>
            </w:tcBorders>
            <w:shd w:val="clear" w:color="auto" w:fill="FFFFFF"/>
            <w:tcMar>
              <w:left w:w="115" w:type="dxa"/>
              <w:right w:w="115" w:type="dxa"/>
            </w:tcMar>
            <w:vAlign w:val="bottom"/>
          </w:tcPr>
          <w:p w14:paraId="4D089E68" w14:textId="77777777" w:rsidR="003F0EEA" w:rsidRDefault="00FB7D0B">
            <w:pPr>
              <w:rPr>
                <w:rFonts w:ascii="Arial" w:eastAsia="Arial" w:hAnsi="Arial" w:cs="Arial"/>
                <w:color w:val="000000"/>
                <w:sz w:val="16"/>
              </w:rPr>
            </w:pPr>
            <w:r>
              <w:rPr>
                <w:rFonts w:ascii="Arial" w:eastAsia="Arial" w:hAnsi="Arial" w:cs="Arial"/>
                <w:color w:val="000000"/>
                <w:sz w:val="16"/>
              </w:rPr>
              <w:t>Revenue from Government</w:t>
            </w:r>
          </w:p>
        </w:tc>
        <w:tc>
          <w:tcPr>
            <w:tcW w:w="1275" w:type="dxa"/>
            <w:tcBorders>
              <w:top w:val="nil"/>
              <w:left w:val="nil"/>
              <w:bottom w:val="nil"/>
              <w:right w:val="nil"/>
              <w:tl2br w:val="nil"/>
              <w:tr2bl w:val="nil"/>
            </w:tcBorders>
            <w:shd w:val="clear" w:color="auto" w:fill="FFFFFF"/>
            <w:tcMar>
              <w:left w:w="115" w:type="dxa"/>
              <w:right w:w="115" w:type="dxa"/>
            </w:tcMar>
            <w:vAlign w:val="bottom"/>
          </w:tcPr>
          <w:p w14:paraId="5EB1D877" w14:textId="77777777" w:rsidR="003F0EEA" w:rsidRDefault="003F0EEA">
            <w:pPr>
              <w:jc w:val="right"/>
              <w:rPr>
                <w:rFonts w:ascii="Arial" w:eastAsia="Arial" w:hAnsi="Arial" w:cs="Arial"/>
                <w:color w:val="000000"/>
                <w:sz w:val="16"/>
              </w:rPr>
            </w:pPr>
          </w:p>
        </w:tc>
        <w:tc>
          <w:tcPr>
            <w:tcW w:w="1275" w:type="dxa"/>
            <w:tcBorders>
              <w:top w:val="nil"/>
              <w:left w:val="nil"/>
              <w:bottom w:val="nil"/>
              <w:right w:val="nil"/>
              <w:tl2br w:val="nil"/>
              <w:tr2bl w:val="nil"/>
            </w:tcBorders>
            <w:shd w:val="clear" w:color="auto" w:fill="C0C0C0"/>
            <w:tcMar>
              <w:left w:w="115" w:type="dxa"/>
              <w:right w:w="115" w:type="dxa"/>
            </w:tcMar>
            <w:vAlign w:val="bottom"/>
          </w:tcPr>
          <w:p w14:paraId="67CA4184" w14:textId="77777777" w:rsidR="003F0EEA" w:rsidRDefault="003F0EEA">
            <w:pPr>
              <w:jc w:val="right"/>
              <w:rPr>
                <w:rFonts w:ascii="Arial" w:eastAsia="Arial" w:hAnsi="Arial" w:cs="Arial"/>
                <w:color w:val="000000"/>
                <w:sz w:val="16"/>
              </w:rPr>
            </w:pPr>
          </w:p>
        </w:tc>
      </w:tr>
      <w:tr w:rsidR="00724034" w14:paraId="6A466F99" w14:textId="77777777">
        <w:trPr>
          <w:trHeight w:val="225"/>
        </w:trPr>
        <w:tc>
          <w:tcPr>
            <w:tcW w:w="300" w:type="dxa"/>
            <w:tcBorders>
              <w:top w:val="nil"/>
              <w:left w:val="nil"/>
              <w:bottom w:val="nil"/>
              <w:right w:val="nil"/>
              <w:tl2br w:val="nil"/>
              <w:tr2bl w:val="nil"/>
            </w:tcBorders>
            <w:shd w:val="clear" w:color="auto" w:fill="FFFFFF"/>
            <w:tcMar>
              <w:left w:w="115" w:type="dxa"/>
              <w:right w:w="115" w:type="dxa"/>
            </w:tcMar>
            <w:vAlign w:val="bottom"/>
          </w:tcPr>
          <w:p w14:paraId="21EB876A" w14:textId="77777777" w:rsidR="003F0EEA" w:rsidRDefault="003F0EEA">
            <w:pPr>
              <w:rPr>
                <w:rFonts w:ascii="Arial" w:eastAsia="Arial" w:hAnsi="Arial" w:cs="Arial"/>
                <w:color w:val="000000"/>
                <w:sz w:val="16"/>
              </w:rPr>
            </w:pPr>
          </w:p>
        </w:tc>
        <w:tc>
          <w:tcPr>
            <w:tcW w:w="5400" w:type="dxa"/>
            <w:tcBorders>
              <w:top w:val="nil"/>
              <w:left w:val="nil"/>
              <w:bottom w:val="nil"/>
              <w:right w:val="nil"/>
              <w:tl2br w:val="nil"/>
              <w:tr2bl w:val="nil"/>
            </w:tcBorders>
            <w:shd w:val="clear" w:color="auto" w:fill="FFFFFF"/>
            <w:tcMar>
              <w:left w:w="115" w:type="dxa"/>
              <w:right w:w="115" w:type="dxa"/>
            </w:tcMar>
            <w:vAlign w:val="bottom"/>
          </w:tcPr>
          <w:p w14:paraId="63B6A687" w14:textId="77777777" w:rsidR="003F0EEA" w:rsidRDefault="00FB7D0B">
            <w:pPr>
              <w:rPr>
                <w:rFonts w:ascii="Arial" w:eastAsia="Arial" w:hAnsi="Arial" w:cs="Arial"/>
                <w:color w:val="000000"/>
                <w:sz w:val="16"/>
              </w:rPr>
            </w:pPr>
            <w:r>
              <w:rPr>
                <w:rFonts w:ascii="Arial" w:eastAsia="Arial" w:hAnsi="Arial" w:cs="Arial"/>
                <w:color w:val="000000"/>
                <w:sz w:val="16"/>
              </w:rPr>
              <w:t>Ordinary annual services (Appropriation Bill No. 1)</w:t>
            </w:r>
          </w:p>
        </w:tc>
        <w:tc>
          <w:tcPr>
            <w:tcW w:w="1275" w:type="dxa"/>
            <w:tcBorders>
              <w:top w:val="nil"/>
              <w:left w:val="nil"/>
              <w:bottom w:val="nil"/>
              <w:right w:val="nil"/>
              <w:tl2br w:val="nil"/>
              <w:tr2bl w:val="nil"/>
            </w:tcBorders>
            <w:shd w:val="clear" w:color="auto" w:fill="FFFFFF"/>
            <w:tcMar>
              <w:left w:w="115" w:type="dxa"/>
              <w:right w:w="115" w:type="dxa"/>
            </w:tcMar>
            <w:vAlign w:val="bottom"/>
          </w:tcPr>
          <w:p w14:paraId="711F6BA5" w14:textId="77777777" w:rsidR="003F0EEA" w:rsidRDefault="00FB7D0B">
            <w:pPr>
              <w:jc w:val="right"/>
              <w:rPr>
                <w:rFonts w:ascii="Arial" w:eastAsia="Arial" w:hAnsi="Arial" w:cs="Arial"/>
                <w:color w:val="000000"/>
                <w:sz w:val="16"/>
              </w:rPr>
            </w:pPr>
            <w:r>
              <w:rPr>
                <w:rFonts w:ascii="Arial" w:eastAsia="Arial" w:hAnsi="Arial" w:cs="Arial"/>
                <w:color w:val="000000"/>
                <w:sz w:val="16"/>
              </w:rPr>
              <w:t>40,900 </w:t>
            </w:r>
          </w:p>
        </w:tc>
        <w:tc>
          <w:tcPr>
            <w:tcW w:w="1275" w:type="dxa"/>
            <w:tcBorders>
              <w:top w:val="nil"/>
              <w:left w:val="nil"/>
              <w:bottom w:val="nil"/>
              <w:right w:val="nil"/>
              <w:tl2br w:val="nil"/>
              <w:tr2bl w:val="nil"/>
            </w:tcBorders>
            <w:shd w:val="clear" w:color="auto" w:fill="C0C0C0"/>
            <w:tcMar>
              <w:left w:w="115" w:type="dxa"/>
              <w:right w:w="115" w:type="dxa"/>
            </w:tcMar>
            <w:vAlign w:val="bottom"/>
          </w:tcPr>
          <w:p w14:paraId="5D719AA4" w14:textId="77777777" w:rsidR="003F0EEA" w:rsidRDefault="00FB7D0B">
            <w:pPr>
              <w:jc w:val="right"/>
              <w:rPr>
                <w:rFonts w:ascii="Arial" w:eastAsia="Arial" w:hAnsi="Arial" w:cs="Arial"/>
                <w:color w:val="000000"/>
                <w:sz w:val="16"/>
              </w:rPr>
            </w:pPr>
            <w:r>
              <w:rPr>
                <w:rFonts w:ascii="Arial" w:eastAsia="Arial" w:hAnsi="Arial" w:cs="Arial"/>
                <w:color w:val="000000"/>
                <w:sz w:val="16"/>
              </w:rPr>
              <w:t>47,808 </w:t>
            </w:r>
          </w:p>
        </w:tc>
      </w:tr>
      <w:tr w:rsidR="00FB7D0B" w14:paraId="76C1F9C1" w14:textId="77777777" w:rsidTr="00FB7D0B">
        <w:trPr>
          <w:trHeight w:val="225"/>
        </w:trPr>
        <w:tc>
          <w:tcPr>
            <w:tcW w:w="5700" w:type="dxa"/>
            <w:gridSpan w:val="2"/>
            <w:tcBorders>
              <w:top w:val="nil"/>
              <w:left w:val="nil"/>
              <w:bottom w:val="nil"/>
              <w:right w:val="nil"/>
              <w:tl2br w:val="nil"/>
              <w:tr2bl w:val="nil"/>
            </w:tcBorders>
            <w:shd w:val="clear" w:color="auto" w:fill="FFFFFF"/>
            <w:tcMar>
              <w:left w:w="115" w:type="dxa"/>
              <w:right w:w="115" w:type="dxa"/>
            </w:tcMar>
            <w:vAlign w:val="bottom"/>
          </w:tcPr>
          <w:p w14:paraId="2B34419C" w14:textId="77777777" w:rsidR="003F0EEA" w:rsidRDefault="00FB7D0B">
            <w:pPr>
              <w:rPr>
                <w:rFonts w:ascii="Arial" w:eastAsia="Arial" w:hAnsi="Arial" w:cs="Arial"/>
                <w:color w:val="000000"/>
                <w:sz w:val="16"/>
              </w:rPr>
            </w:pPr>
            <w:r>
              <w:rPr>
                <w:rFonts w:ascii="Arial" w:eastAsia="Arial" w:hAnsi="Arial" w:cs="Arial"/>
                <w:color w:val="000000"/>
                <w:sz w:val="16"/>
              </w:rPr>
              <w:t xml:space="preserve">Revenues from other independent sources </w:t>
            </w:r>
          </w:p>
        </w:tc>
        <w:tc>
          <w:tcPr>
            <w:tcW w:w="1275" w:type="dxa"/>
            <w:tcBorders>
              <w:top w:val="nil"/>
              <w:left w:val="nil"/>
              <w:bottom w:val="nil"/>
              <w:right w:val="nil"/>
              <w:tl2br w:val="nil"/>
              <w:tr2bl w:val="nil"/>
            </w:tcBorders>
            <w:shd w:val="clear" w:color="auto" w:fill="FFFFFF"/>
            <w:tcMar>
              <w:left w:w="115" w:type="dxa"/>
              <w:right w:w="115" w:type="dxa"/>
            </w:tcMar>
            <w:vAlign w:val="bottom"/>
          </w:tcPr>
          <w:p w14:paraId="0EC5CF46" w14:textId="77777777" w:rsidR="003F0EEA" w:rsidRDefault="00FB7D0B">
            <w:pPr>
              <w:jc w:val="right"/>
              <w:rPr>
                <w:rFonts w:ascii="Arial" w:eastAsia="Arial" w:hAnsi="Arial" w:cs="Arial"/>
                <w:color w:val="000000"/>
                <w:sz w:val="16"/>
              </w:rPr>
            </w:pPr>
            <w:r>
              <w:rPr>
                <w:rFonts w:ascii="Arial" w:eastAsia="Arial" w:hAnsi="Arial" w:cs="Arial"/>
                <w:color w:val="000000"/>
                <w:sz w:val="16"/>
              </w:rPr>
              <w:t>10,869 </w:t>
            </w:r>
          </w:p>
        </w:tc>
        <w:tc>
          <w:tcPr>
            <w:tcW w:w="1275" w:type="dxa"/>
            <w:tcBorders>
              <w:top w:val="nil"/>
              <w:left w:val="nil"/>
              <w:bottom w:val="nil"/>
              <w:right w:val="nil"/>
              <w:tl2br w:val="nil"/>
              <w:tr2bl w:val="nil"/>
            </w:tcBorders>
            <w:shd w:val="clear" w:color="auto" w:fill="C0C0C0"/>
            <w:tcMar>
              <w:left w:w="115" w:type="dxa"/>
              <w:right w:w="115" w:type="dxa"/>
            </w:tcMar>
            <w:vAlign w:val="bottom"/>
          </w:tcPr>
          <w:p w14:paraId="55AD5C7D" w14:textId="77777777" w:rsidR="003F0EEA" w:rsidRDefault="00FB7D0B">
            <w:pPr>
              <w:jc w:val="right"/>
              <w:rPr>
                <w:rFonts w:ascii="Arial" w:eastAsia="Arial" w:hAnsi="Arial" w:cs="Arial"/>
                <w:color w:val="000000"/>
                <w:sz w:val="16"/>
              </w:rPr>
            </w:pPr>
            <w:r>
              <w:rPr>
                <w:rFonts w:ascii="Arial" w:eastAsia="Arial" w:hAnsi="Arial" w:cs="Arial"/>
                <w:color w:val="000000"/>
                <w:sz w:val="16"/>
              </w:rPr>
              <w:t>11,564 </w:t>
            </w:r>
          </w:p>
        </w:tc>
      </w:tr>
      <w:tr w:rsidR="00FB7D0B" w14:paraId="30F0C6D5" w14:textId="77777777" w:rsidTr="00FB7D0B">
        <w:trPr>
          <w:trHeight w:val="225"/>
        </w:trPr>
        <w:tc>
          <w:tcPr>
            <w:tcW w:w="5700" w:type="dxa"/>
            <w:gridSpan w:val="2"/>
            <w:tcBorders>
              <w:top w:val="nil"/>
              <w:left w:val="nil"/>
              <w:bottom w:val="nil"/>
              <w:right w:val="nil"/>
              <w:tl2br w:val="nil"/>
              <w:tr2bl w:val="nil"/>
            </w:tcBorders>
            <w:shd w:val="clear" w:color="auto" w:fill="FFFFFF"/>
            <w:tcMar>
              <w:left w:w="115" w:type="dxa"/>
              <w:right w:w="115" w:type="dxa"/>
            </w:tcMar>
            <w:vAlign w:val="bottom"/>
          </w:tcPr>
          <w:p w14:paraId="0A9752DC" w14:textId="77777777" w:rsidR="003F0EEA" w:rsidRDefault="00FB7D0B">
            <w:pPr>
              <w:rPr>
                <w:rFonts w:ascii="Arial" w:eastAsia="Arial" w:hAnsi="Arial" w:cs="Arial"/>
                <w:color w:val="000000"/>
                <w:sz w:val="16"/>
              </w:rPr>
            </w:pPr>
            <w:r>
              <w:rPr>
                <w:rFonts w:ascii="Arial" w:eastAsia="Arial" w:hAnsi="Arial" w:cs="Arial"/>
                <w:color w:val="000000"/>
                <w:sz w:val="16"/>
              </w:rPr>
              <w:t>Expenses not requiring appropriation in the Budget year</w:t>
            </w:r>
          </w:p>
        </w:tc>
        <w:tc>
          <w:tcPr>
            <w:tcW w:w="1275" w:type="dxa"/>
            <w:tcBorders>
              <w:top w:val="nil"/>
              <w:left w:val="nil"/>
              <w:bottom w:val="nil"/>
              <w:right w:val="nil"/>
              <w:tl2br w:val="nil"/>
              <w:tr2bl w:val="nil"/>
            </w:tcBorders>
            <w:shd w:val="clear" w:color="auto" w:fill="FFFFFF"/>
            <w:tcMar>
              <w:left w:w="115" w:type="dxa"/>
              <w:right w:w="115" w:type="dxa"/>
            </w:tcMar>
            <w:vAlign w:val="bottom"/>
          </w:tcPr>
          <w:p w14:paraId="6A526B35" w14:textId="77777777" w:rsidR="003F0EEA" w:rsidRDefault="00FB7D0B">
            <w:pPr>
              <w:jc w:val="right"/>
              <w:rPr>
                <w:rFonts w:ascii="Arial" w:eastAsia="Arial" w:hAnsi="Arial" w:cs="Arial"/>
                <w:color w:val="000000"/>
                <w:sz w:val="16"/>
              </w:rPr>
            </w:pPr>
            <w:r>
              <w:rPr>
                <w:rFonts w:ascii="Arial" w:eastAsia="Arial" w:hAnsi="Arial" w:cs="Arial"/>
                <w:color w:val="000000"/>
                <w:sz w:val="16"/>
              </w:rPr>
              <w:t>9,703 </w:t>
            </w:r>
          </w:p>
        </w:tc>
        <w:tc>
          <w:tcPr>
            <w:tcW w:w="1275" w:type="dxa"/>
            <w:tcBorders>
              <w:top w:val="nil"/>
              <w:left w:val="nil"/>
              <w:bottom w:val="nil"/>
              <w:right w:val="nil"/>
              <w:tl2br w:val="nil"/>
              <w:tr2bl w:val="nil"/>
            </w:tcBorders>
            <w:shd w:val="clear" w:color="auto" w:fill="C0C0C0"/>
            <w:tcMar>
              <w:left w:w="115" w:type="dxa"/>
              <w:right w:w="115" w:type="dxa"/>
            </w:tcMar>
            <w:vAlign w:val="bottom"/>
          </w:tcPr>
          <w:p w14:paraId="76E7AD50" w14:textId="77777777" w:rsidR="003F0EEA" w:rsidRDefault="00FB7D0B">
            <w:pPr>
              <w:jc w:val="right"/>
              <w:rPr>
                <w:rFonts w:ascii="Arial" w:eastAsia="Arial" w:hAnsi="Arial" w:cs="Arial"/>
                <w:color w:val="000000"/>
                <w:sz w:val="16"/>
              </w:rPr>
            </w:pPr>
            <w:r>
              <w:rPr>
                <w:rFonts w:ascii="Arial" w:eastAsia="Arial" w:hAnsi="Arial" w:cs="Arial"/>
                <w:color w:val="000000"/>
                <w:sz w:val="16"/>
              </w:rPr>
              <w:t>10,125 </w:t>
            </w:r>
          </w:p>
        </w:tc>
      </w:tr>
      <w:tr w:rsidR="00724034" w14:paraId="343B429A" w14:textId="77777777">
        <w:trPr>
          <w:trHeight w:hRule="exact" w:val="60"/>
        </w:trPr>
        <w:tc>
          <w:tcPr>
            <w:tcW w:w="300" w:type="dxa"/>
            <w:tcBorders>
              <w:top w:val="nil"/>
              <w:left w:val="nil"/>
              <w:bottom w:val="nil"/>
              <w:right w:val="nil"/>
              <w:tl2br w:val="nil"/>
              <w:tr2bl w:val="nil"/>
            </w:tcBorders>
            <w:shd w:val="clear" w:color="auto" w:fill="FFFFFF"/>
            <w:tcMar>
              <w:left w:w="115" w:type="dxa"/>
              <w:right w:w="115" w:type="dxa"/>
            </w:tcMar>
            <w:vAlign w:val="bottom"/>
          </w:tcPr>
          <w:p w14:paraId="20089B18" w14:textId="77777777" w:rsidR="003F0EEA" w:rsidRDefault="003F0EEA">
            <w:pPr>
              <w:rPr>
                <w:rFonts w:ascii="Arial" w:eastAsia="Arial" w:hAnsi="Arial" w:cs="Arial"/>
                <w:color w:val="000000"/>
                <w:sz w:val="16"/>
              </w:rPr>
            </w:pPr>
          </w:p>
        </w:tc>
        <w:tc>
          <w:tcPr>
            <w:tcW w:w="5400" w:type="dxa"/>
            <w:tcBorders>
              <w:top w:val="nil"/>
              <w:left w:val="nil"/>
              <w:bottom w:val="nil"/>
              <w:right w:val="nil"/>
              <w:tl2br w:val="nil"/>
              <w:tr2bl w:val="nil"/>
            </w:tcBorders>
            <w:shd w:val="clear" w:color="auto" w:fill="FFFFFF"/>
            <w:tcMar>
              <w:left w:w="115" w:type="dxa"/>
              <w:right w:w="115" w:type="dxa"/>
            </w:tcMar>
            <w:vAlign w:val="bottom"/>
          </w:tcPr>
          <w:p w14:paraId="0532A6AA" w14:textId="77777777" w:rsidR="003F0EEA" w:rsidRDefault="003F0EEA">
            <w:pPr>
              <w:rPr>
                <w:rFonts w:ascii="Arial" w:eastAsia="Arial" w:hAnsi="Arial" w:cs="Arial"/>
                <w:color w:val="000000"/>
                <w:sz w:val="16"/>
              </w:rPr>
            </w:pPr>
          </w:p>
        </w:tc>
        <w:tc>
          <w:tcPr>
            <w:tcW w:w="1275"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03306B0E" w14:textId="77777777" w:rsidR="003F0EEA" w:rsidRDefault="003F0EEA">
            <w:pPr>
              <w:jc w:val="right"/>
              <w:rPr>
                <w:rFonts w:ascii="Arial" w:eastAsia="Arial" w:hAnsi="Arial" w:cs="Arial"/>
                <w:color w:val="000000"/>
                <w:sz w:val="16"/>
              </w:rPr>
            </w:pPr>
          </w:p>
        </w:tc>
        <w:tc>
          <w:tcPr>
            <w:tcW w:w="1275" w:type="dxa"/>
            <w:tcBorders>
              <w:top w:val="nil"/>
              <w:left w:val="nil"/>
              <w:bottom w:val="single" w:sz="6" w:space="0" w:color="000000"/>
              <w:right w:val="nil"/>
              <w:tl2br w:val="nil"/>
              <w:tr2bl w:val="nil"/>
            </w:tcBorders>
            <w:shd w:val="clear" w:color="auto" w:fill="C0C0C0"/>
            <w:tcMar>
              <w:left w:w="115" w:type="dxa"/>
              <w:right w:w="115" w:type="dxa"/>
            </w:tcMar>
            <w:vAlign w:val="bottom"/>
          </w:tcPr>
          <w:p w14:paraId="73879A66" w14:textId="77777777" w:rsidR="003F0EEA" w:rsidRDefault="003F0EEA">
            <w:pPr>
              <w:jc w:val="right"/>
              <w:rPr>
                <w:rFonts w:ascii="Arial" w:eastAsia="Arial" w:hAnsi="Arial" w:cs="Arial"/>
                <w:color w:val="000000"/>
                <w:sz w:val="16"/>
              </w:rPr>
            </w:pPr>
          </w:p>
        </w:tc>
      </w:tr>
      <w:tr w:rsidR="00724034" w14:paraId="6A9A2C37" w14:textId="77777777">
        <w:trPr>
          <w:trHeight w:val="225"/>
        </w:trPr>
        <w:tc>
          <w:tcPr>
            <w:tcW w:w="300" w:type="dxa"/>
            <w:tcBorders>
              <w:top w:val="nil"/>
              <w:left w:val="nil"/>
              <w:bottom w:val="nil"/>
              <w:right w:val="nil"/>
              <w:tl2br w:val="nil"/>
              <w:tr2bl w:val="nil"/>
            </w:tcBorders>
            <w:shd w:val="clear" w:color="auto" w:fill="FFFFFF"/>
            <w:tcMar>
              <w:left w:w="115" w:type="dxa"/>
              <w:right w:w="115" w:type="dxa"/>
            </w:tcMar>
            <w:vAlign w:val="bottom"/>
          </w:tcPr>
          <w:p w14:paraId="6076EEFA" w14:textId="77777777" w:rsidR="003F0EEA" w:rsidRDefault="003F0EEA">
            <w:pPr>
              <w:rPr>
                <w:rFonts w:ascii="Arial" w:eastAsia="Arial" w:hAnsi="Arial" w:cs="Arial"/>
                <w:color w:val="000000"/>
                <w:sz w:val="16"/>
              </w:rPr>
            </w:pPr>
          </w:p>
        </w:tc>
        <w:tc>
          <w:tcPr>
            <w:tcW w:w="5400" w:type="dxa"/>
            <w:tcBorders>
              <w:top w:val="nil"/>
              <w:left w:val="nil"/>
              <w:bottom w:val="nil"/>
              <w:right w:val="nil"/>
              <w:tl2br w:val="nil"/>
              <w:tr2bl w:val="nil"/>
            </w:tcBorders>
            <w:shd w:val="clear" w:color="auto" w:fill="FFFFFF"/>
            <w:tcMar>
              <w:left w:w="115" w:type="dxa"/>
              <w:right w:w="115" w:type="dxa"/>
            </w:tcMar>
            <w:vAlign w:val="bottom"/>
          </w:tcPr>
          <w:p w14:paraId="4DBACF47" w14:textId="77777777" w:rsidR="003F0EEA" w:rsidRDefault="00FB7D0B">
            <w:pPr>
              <w:rPr>
                <w:rFonts w:ascii="Arial" w:eastAsia="Arial" w:hAnsi="Arial" w:cs="Arial"/>
                <w:b/>
                <w:color w:val="000000"/>
                <w:sz w:val="16"/>
              </w:rPr>
            </w:pPr>
            <w:r>
              <w:rPr>
                <w:rFonts w:ascii="Arial" w:eastAsia="Arial" w:hAnsi="Arial" w:cs="Arial"/>
                <w:b/>
                <w:color w:val="000000"/>
                <w:sz w:val="16"/>
              </w:rPr>
              <w:t>Total for Programme 1.1</w:t>
            </w:r>
          </w:p>
        </w:tc>
        <w:tc>
          <w:tcPr>
            <w:tcW w:w="1275" w:type="dxa"/>
            <w:tcBorders>
              <w:top w:val="single" w:sz="6" w:space="0" w:color="000000"/>
              <w:left w:val="nil"/>
              <w:bottom w:val="single" w:sz="6" w:space="0" w:color="000000"/>
              <w:right w:val="nil"/>
              <w:tl2br w:val="nil"/>
              <w:tr2bl w:val="nil"/>
            </w:tcBorders>
            <w:shd w:val="clear" w:color="auto" w:fill="FFFFFF"/>
            <w:tcMar>
              <w:left w:w="115" w:type="dxa"/>
              <w:right w:w="115" w:type="dxa"/>
            </w:tcMar>
            <w:vAlign w:val="bottom"/>
          </w:tcPr>
          <w:p w14:paraId="12AEA432" w14:textId="77777777" w:rsidR="003F0EEA" w:rsidRDefault="00FB7D0B">
            <w:pPr>
              <w:jc w:val="right"/>
              <w:rPr>
                <w:rFonts w:ascii="Arial" w:eastAsia="Arial" w:hAnsi="Arial" w:cs="Arial"/>
                <w:b/>
                <w:color w:val="000000"/>
                <w:sz w:val="16"/>
              </w:rPr>
            </w:pPr>
            <w:r>
              <w:rPr>
                <w:rFonts w:ascii="Arial" w:eastAsia="Arial" w:hAnsi="Arial" w:cs="Arial"/>
                <w:b/>
                <w:color w:val="000000"/>
                <w:sz w:val="16"/>
              </w:rPr>
              <w:t>61,472 </w:t>
            </w:r>
          </w:p>
        </w:tc>
        <w:tc>
          <w:tcPr>
            <w:tcW w:w="1275" w:type="dxa"/>
            <w:tcBorders>
              <w:top w:val="single" w:sz="6" w:space="0" w:color="000000"/>
              <w:left w:val="nil"/>
              <w:bottom w:val="single" w:sz="6" w:space="0" w:color="000000"/>
              <w:right w:val="nil"/>
              <w:tl2br w:val="nil"/>
              <w:tr2bl w:val="nil"/>
            </w:tcBorders>
            <w:shd w:val="clear" w:color="auto" w:fill="C0C0C0"/>
            <w:tcMar>
              <w:left w:w="115" w:type="dxa"/>
              <w:right w:w="115" w:type="dxa"/>
            </w:tcMar>
            <w:vAlign w:val="bottom"/>
          </w:tcPr>
          <w:p w14:paraId="50DDDDFE" w14:textId="77777777" w:rsidR="003F0EEA" w:rsidRDefault="00FB7D0B">
            <w:pPr>
              <w:jc w:val="right"/>
              <w:rPr>
                <w:rFonts w:ascii="Arial" w:eastAsia="Arial" w:hAnsi="Arial" w:cs="Arial"/>
                <w:b/>
                <w:color w:val="000000"/>
                <w:sz w:val="16"/>
              </w:rPr>
            </w:pPr>
            <w:r>
              <w:rPr>
                <w:rFonts w:ascii="Arial" w:eastAsia="Arial" w:hAnsi="Arial" w:cs="Arial"/>
                <w:b/>
                <w:color w:val="000000"/>
                <w:sz w:val="16"/>
              </w:rPr>
              <w:t>69,497 </w:t>
            </w:r>
          </w:p>
        </w:tc>
      </w:tr>
      <w:tr w:rsidR="00724034" w14:paraId="619C8775" w14:textId="77777777">
        <w:trPr>
          <w:trHeight w:hRule="exact" w:val="60"/>
        </w:trPr>
        <w:tc>
          <w:tcPr>
            <w:tcW w:w="300" w:type="dxa"/>
            <w:tcBorders>
              <w:top w:val="nil"/>
              <w:left w:val="nil"/>
              <w:bottom w:val="nil"/>
              <w:right w:val="nil"/>
              <w:tl2br w:val="nil"/>
              <w:tr2bl w:val="nil"/>
            </w:tcBorders>
            <w:shd w:val="clear" w:color="auto" w:fill="FFFFFF"/>
            <w:tcMar>
              <w:left w:w="115" w:type="dxa"/>
              <w:right w:w="115" w:type="dxa"/>
            </w:tcMar>
            <w:vAlign w:val="bottom"/>
          </w:tcPr>
          <w:p w14:paraId="379F3D1B" w14:textId="77777777" w:rsidR="003F0EEA" w:rsidRDefault="003F0EEA">
            <w:pPr>
              <w:rPr>
                <w:rFonts w:ascii="Arial" w:eastAsia="Arial" w:hAnsi="Arial" w:cs="Arial"/>
                <w:b/>
                <w:color w:val="000000"/>
                <w:sz w:val="16"/>
              </w:rPr>
            </w:pPr>
          </w:p>
        </w:tc>
        <w:tc>
          <w:tcPr>
            <w:tcW w:w="5400" w:type="dxa"/>
            <w:tcBorders>
              <w:top w:val="nil"/>
              <w:left w:val="nil"/>
              <w:bottom w:val="nil"/>
              <w:right w:val="nil"/>
              <w:tl2br w:val="nil"/>
              <w:tr2bl w:val="nil"/>
            </w:tcBorders>
            <w:shd w:val="clear" w:color="auto" w:fill="FFFFFF"/>
            <w:tcMar>
              <w:left w:w="115" w:type="dxa"/>
              <w:right w:w="115" w:type="dxa"/>
            </w:tcMar>
            <w:vAlign w:val="bottom"/>
          </w:tcPr>
          <w:p w14:paraId="72F809B3" w14:textId="77777777" w:rsidR="003F0EEA" w:rsidRDefault="003F0EEA">
            <w:pPr>
              <w:rPr>
                <w:rFonts w:ascii="Arial" w:eastAsia="Arial" w:hAnsi="Arial" w:cs="Arial"/>
                <w:color w:val="000000"/>
                <w:sz w:val="16"/>
              </w:rPr>
            </w:pPr>
          </w:p>
        </w:tc>
        <w:tc>
          <w:tcPr>
            <w:tcW w:w="1275"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30991083" w14:textId="77777777" w:rsidR="003F0EEA" w:rsidRDefault="003F0EEA">
            <w:pPr>
              <w:jc w:val="right"/>
              <w:rPr>
                <w:rFonts w:ascii="Arial" w:eastAsia="Arial" w:hAnsi="Arial" w:cs="Arial"/>
                <w:color w:val="000000"/>
                <w:sz w:val="16"/>
              </w:rPr>
            </w:pPr>
          </w:p>
        </w:tc>
        <w:tc>
          <w:tcPr>
            <w:tcW w:w="1275" w:type="dxa"/>
            <w:tcBorders>
              <w:top w:val="single" w:sz="6" w:space="0" w:color="000000"/>
              <w:left w:val="nil"/>
              <w:bottom w:val="nil"/>
              <w:right w:val="nil"/>
              <w:tl2br w:val="nil"/>
              <w:tr2bl w:val="nil"/>
            </w:tcBorders>
            <w:shd w:val="clear" w:color="auto" w:fill="C0C0C0"/>
            <w:tcMar>
              <w:left w:w="115" w:type="dxa"/>
              <w:right w:w="115" w:type="dxa"/>
            </w:tcMar>
            <w:vAlign w:val="bottom"/>
          </w:tcPr>
          <w:p w14:paraId="7B1B4E6C" w14:textId="77777777" w:rsidR="003F0EEA" w:rsidRDefault="003F0EEA">
            <w:pPr>
              <w:jc w:val="right"/>
              <w:rPr>
                <w:rFonts w:ascii="Arial" w:eastAsia="Arial" w:hAnsi="Arial" w:cs="Arial"/>
                <w:color w:val="000000"/>
                <w:sz w:val="16"/>
              </w:rPr>
            </w:pPr>
          </w:p>
        </w:tc>
      </w:tr>
      <w:tr w:rsidR="00724034" w14:paraId="7F6C7AE7" w14:textId="77777777">
        <w:trPr>
          <w:trHeight w:hRule="exact" w:val="60"/>
        </w:trPr>
        <w:tc>
          <w:tcPr>
            <w:tcW w:w="300" w:type="dxa"/>
            <w:tcBorders>
              <w:top w:val="nil"/>
              <w:left w:val="nil"/>
              <w:bottom w:val="nil"/>
              <w:right w:val="nil"/>
              <w:tl2br w:val="nil"/>
              <w:tr2bl w:val="nil"/>
            </w:tcBorders>
            <w:shd w:val="clear" w:color="auto" w:fill="FFFFFF"/>
            <w:tcMar>
              <w:left w:w="115" w:type="dxa"/>
              <w:right w:w="115" w:type="dxa"/>
            </w:tcMar>
            <w:vAlign w:val="bottom"/>
          </w:tcPr>
          <w:p w14:paraId="4D058804" w14:textId="77777777" w:rsidR="003F0EEA" w:rsidRDefault="003F0EEA">
            <w:pPr>
              <w:rPr>
                <w:rFonts w:ascii="Arial" w:eastAsia="Arial" w:hAnsi="Arial" w:cs="Arial"/>
                <w:color w:val="000000"/>
                <w:sz w:val="16"/>
              </w:rPr>
            </w:pPr>
          </w:p>
        </w:tc>
        <w:tc>
          <w:tcPr>
            <w:tcW w:w="5400" w:type="dxa"/>
            <w:tcBorders>
              <w:top w:val="nil"/>
              <w:left w:val="nil"/>
              <w:bottom w:val="nil"/>
              <w:right w:val="nil"/>
              <w:tl2br w:val="nil"/>
              <w:tr2bl w:val="nil"/>
            </w:tcBorders>
            <w:shd w:val="clear" w:color="auto" w:fill="FFFFFF"/>
            <w:tcMar>
              <w:left w:w="115" w:type="dxa"/>
              <w:right w:w="115" w:type="dxa"/>
            </w:tcMar>
            <w:vAlign w:val="bottom"/>
          </w:tcPr>
          <w:p w14:paraId="683FEC99" w14:textId="77777777" w:rsidR="003F0EEA" w:rsidRDefault="003F0EEA">
            <w:pPr>
              <w:rPr>
                <w:rFonts w:ascii="Arial" w:eastAsia="Arial" w:hAnsi="Arial" w:cs="Arial"/>
                <w:b/>
                <w:color w:val="000000"/>
                <w:sz w:val="16"/>
              </w:rPr>
            </w:pPr>
          </w:p>
        </w:tc>
        <w:tc>
          <w:tcPr>
            <w:tcW w:w="1275" w:type="dxa"/>
            <w:tcBorders>
              <w:top w:val="nil"/>
              <w:left w:val="nil"/>
              <w:bottom w:val="nil"/>
              <w:right w:val="nil"/>
              <w:tl2br w:val="nil"/>
              <w:tr2bl w:val="nil"/>
            </w:tcBorders>
            <w:shd w:val="clear" w:color="auto" w:fill="FFFFFF"/>
            <w:tcMar>
              <w:left w:w="115" w:type="dxa"/>
              <w:right w:w="115" w:type="dxa"/>
            </w:tcMar>
            <w:vAlign w:val="bottom"/>
          </w:tcPr>
          <w:p w14:paraId="7764A00A" w14:textId="77777777" w:rsidR="003F0EEA" w:rsidRDefault="003F0EEA">
            <w:pPr>
              <w:jc w:val="right"/>
              <w:rPr>
                <w:rFonts w:ascii="Arial" w:eastAsia="Arial" w:hAnsi="Arial" w:cs="Arial"/>
                <w:b/>
                <w:color w:val="000000"/>
                <w:sz w:val="16"/>
              </w:rPr>
            </w:pPr>
          </w:p>
        </w:tc>
        <w:tc>
          <w:tcPr>
            <w:tcW w:w="1275" w:type="dxa"/>
            <w:tcBorders>
              <w:top w:val="nil"/>
              <w:left w:val="nil"/>
              <w:bottom w:val="nil"/>
              <w:right w:val="nil"/>
              <w:tl2br w:val="nil"/>
              <w:tr2bl w:val="nil"/>
            </w:tcBorders>
            <w:shd w:val="clear" w:color="auto" w:fill="C0C0C0"/>
            <w:tcMar>
              <w:left w:w="115" w:type="dxa"/>
              <w:right w:w="115" w:type="dxa"/>
            </w:tcMar>
            <w:vAlign w:val="bottom"/>
          </w:tcPr>
          <w:p w14:paraId="6A5CA680" w14:textId="77777777" w:rsidR="003F0EEA" w:rsidRDefault="003F0EEA">
            <w:pPr>
              <w:jc w:val="right"/>
              <w:rPr>
                <w:rFonts w:ascii="Arial" w:eastAsia="Arial" w:hAnsi="Arial" w:cs="Arial"/>
                <w:color w:val="000000"/>
                <w:sz w:val="16"/>
              </w:rPr>
            </w:pPr>
          </w:p>
        </w:tc>
      </w:tr>
      <w:tr w:rsidR="00724034" w14:paraId="22005C57" w14:textId="77777777">
        <w:trPr>
          <w:trHeight w:hRule="exact" w:val="60"/>
        </w:trPr>
        <w:tc>
          <w:tcPr>
            <w:tcW w:w="300"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7FB3DA2A" w14:textId="77777777" w:rsidR="003F0EEA" w:rsidRDefault="003F0EEA">
            <w:pPr>
              <w:rPr>
                <w:rFonts w:ascii="Arial" w:eastAsia="Arial" w:hAnsi="Arial" w:cs="Arial"/>
                <w:color w:val="000000"/>
                <w:sz w:val="16"/>
              </w:rPr>
            </w:pPr>
          </w:p>
        </w:tc>
        <w:tc>
          <w:tcPr>
            <w:tcW w:w="5400"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31C56CFA" w14:textId="77777777" w:rsidR="003F0EEA" w:rsidRDefault="003F0EEA">
            <w:pPr>
              <w:rPr>
                <w:rFonts w:ascii="Arial" w:eastAsia="Arial" w:hAnsi="Arial" w:cs="Arial"/>
                <w:color w:val="000000"/>
                <w:sz w:val="16"/>
              </w:rPr>
            </w:pPr>
          </w:p>
        </w:tc>
        <w:tc>
          <w:tcPr>
            <w:tcW w:w="1275"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7DF28610" w14:textId="77777777" w:rsidR="003F0EEA" w:rsidRDefault="003F0EEA">
            <w:pPr>
              <w:jc w:val="right"/>
              <w:rPr>
                <w:rFonts w:ascii="Arial" w:eastAsia="Arial" w:hAnsi="Arial" w:cs="Arial"/>
                <w:color w:val="000000"/>
                <w:sz w:val="16"/>
              </w:rPr>
            </w:pPr>
          </w:p>
        </w:tc>
        <w:tc>
          <w:tcPr>
            <w:tcW w:w="1275" w:type="dxa"/>
            <w:tcBorders>
              <w:top w:val="nil"/>
              <w:left w:val="nil"/>
              <w:bottom w:val="single" w:sz="6" w:space="0" w:color="000000"/>
              <w:right w:val="nil"/>
              <w:tl2br w:val="nil"/>
              <w:tr2bl w:val="nil"/>
            </w:tcBorders>
            <w:shd w:val="clear" w:color="auto" w:fill="C0C0C0"/>
            <w:tcMar>
              <w:left w:w="115" w:type="dxa"/>
              <w:right w:w="115" w:type="dxa"/>
            </w:tcMar>
            <w:vAlign w:val="bottom"/>
          </w:tcPr>
          <w:p w14:paraId="5C0E0C72" w14:textId="77777777" w:rsidR="003F0EEA" w:rsidRDefault="003F0EEA">
            <w:pPr>
              <w:jc w:val="right"/>
              <w:rPr>
                <w:rFonts w:ascii="Arial" w:eastAsia="Arial" w:hAnsi="Arial" w:cs="Arial"/>
                <w:color w:val="000000"/>
                <w:sz w:val="16"/>
              </w:rPr>
            </w:pPr>
          </w:p>
        </w:tc>
      </w:tr>
      <w:tr w:rsidR="00FB7D0B" w14:paraId="08B8CCE7" w14:textId="77777777" w:rsidTr="00FB7D0B">
        <w:trPr>
          <w:trHeight w:val="225"/>
        </w:trPr>
        <w:tc>
          <w:tcPr>
            <w:tcW w:w="5700" w:type="dxa"/>
            <w:gridSpan w:val="2"/>
            <w:tcBorders>
              <w:top w:val="single" w:sz="6" w:space="0" w:color="000000"/>
              <w:left w:val="nil"/>
              <w:bottom w:val="single" w:sz="6" w:space="0" w:color="000000"/>
              <w:right w:val="nil"/>
              <w:tl2br w:val="nil"/>
              <w:tr2bl w:val="nil"/>
            </w:tcBorders>
            <w:shd w:val="clear" w:color="auto" w:fill="FFFFFF"/>
            <w:tcMar>
              <w:left w:w="115" w:type="dxa"/>
              <w:right w:w="115" w:type="dxa"/>
            </w:tcMar>
            <w:vAlign w:val="bottom"/>
          </w:tcPr>
          <w:p w14:paraId="02E330CE" w14:textId="77777777" w:rsidR="003F0EEA" w:rsidRDefault="00FB7D0B">
            <w:pPr>
              <w:rPr>
                <w:rFonts w:ascii="Arial" w:eastAsia="Arial" w:hAnsi="Arial" w:cs="Arial"/>
                <w:color w:val="000000"/>
                <w:sz w:val="16"/>
              </w:rPr>
            </w:pPr>
            <w:r>
              <w:rPr>
                <w:rFonts w:ascii="Arial" w:eastAsia="Arial" w:hAnsi="Arial" w:cs="Arial"/>
                <w:b/>
                <w:color w:val="000000"/>
                <w:sz w:val="16"/>
              </w:rPr>
              <w:t>Total expenses for Outcome 1</w:t>
            </w:r>
          </w:p>
        </w:tc>
        <w:tc>
          <w:tcPr>
            <w:tcW w:w="1275" w:type="dxa"/>
            <w:tcBorders>
              <w:top w:val="single" w:sz="6" w:space="0" w:color="000000"/>
              <w:left w:val="nil"/>
              <w:bottom w:val="single" w:sz="6" w:space="0" w:color="000000"/>
              <w:right w:val="nil"/>
              <w:tl2br w:val="nil"/>
              <w:tr2bl w:val="nil"/>
            </w:tcBorders>
            <w:shd w:val="clear" w:color="auto" w:fill="FFFFFF"/>
            <w:tcMar>
              <w:left w:w="115" w:type="dxa"/>
              <w:right w:w="115" w:type="dxa"/>
            </w:tcMar>
            <w:vAlign w:val="bottom"/>
          </w:tcPr>
          <w:p w14:paraId="60D3EEFA" w14:textId="77777777" w:rsidR="003F0EEA" w:rsidRDefault="00FB7D0B">
            <w:pPr>
              <w:jc w:val="right"/>
              <w:rPr>
                <w:rFonts w:ascii="Arial" w:eastAsia="Arial" w:hAnsi="Arial" w:cs="Arial"/>
                <w:b/>
                <w:color w:val="000000"/>
                <w:sz w:val="16"/>
              </w:rPr>
            </w:pPr>
            <w:r>
              <w:rPr>
                <w:rFonts w:ascii="Arial" w:eastAsia="Arial" w:hAnsi="Arial" w:cs="Arial"/>
                <w:b/>
                <w:color w:val="000000"/>
                <w:sz w:val="16"/>
              </w:rPr>
              <w:t>61,472 </w:t>
            </w:r>
          </w:p>
        </w:tc>
        <w:tc>
          <w:tcPr>
            <w:tcW w:w="1275" w:type="dxa"/>
            <w:tcBorders>
              <w:top w:val="single" w:sz="6" w:space="0" w:color="000000"/>
              <w:left w:val="nil"/>
              <w:bottom w:val="single" w:sz="6" w:space="0" w:color="000000"/>
              <w:right w:val="nil"/>
              <w:tl2br w:val="nil"/>
              <w:tr2bl w:val="nil"/>
            </w:tcBorders>
            <w:shd w:val="clear" w:color="auto" w:fill="C0C0C0"/>
            <w:tcMar>
              <w:left w:w="115" w:type="dxa"/>
              <w:right w:w="115" w:type="dxa"/>
            </w:tcMar>
            <w:vAlign w:val="bottom"/>
          </w:tcPr>
          <w:p w14:paraId="3D83EA1A" w14:textId="77777777" w:rsidR="003F0EEA" w:rsidRDefault="00FB7D0B">
            <w:pPr>
              <w:jc w:val="right"/>
              <w:rPr>
                <w:rFonts w:ascii="Arial" w:eastAsia="Arial" w:hAnsi="Arial" w:cs="Arial"/>
                <w:b/>
                <w:color w:val="000000"/>
                <w:sz w:val="16"/>
              </w:rPr>
            </w:pPr>
            <w:r>
              <w:rPr>
                <w:rFonts w:ascii="Arial" w:eastAsia="Arial" w:hAnsi="Arial" w:cs="Arial"/>
                <w:b/>
                <w:color w:val="000000"/>
                <w:sz w:val="16"/>
              </w:rPr>
              <w:t>69,497 </w:t>
            </w:r>
          </w:p>
        </w:tc>
      </w:tr>
      <w:tr w:rsidR="00724034" w14:paraId="5CE3E3F4" w14:textId="77777777">
        <w:trPr>
          <w:trHeight w:hRule="exact" w:val="60"/>
        </w:trPr>
        <w:tc>
          <w:tcPr>
            <w:tcW w:w="300"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34996B26" w14:textId="77777777" w:rsidR="003F0EEA" w:rsidRDefault="003F0EEA">
            <w:pPr>
              <w:rPr>
                <w:rFonts w:ascii="Arial" w:eastAsia="Arial" w:hAnsi="Arial" w:cs="Arial"/>
                <w:b/>
                <w:color w:val="000000"/>
                <w:sz w:val="16"/>
              </w:rPr>
            </w:pPr>
          </w:p>
        </w:tc>
        <w:tc>
          <w:tcPr>
            <w:tcW w:w="5400"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7CB0513D" w14:textId="77777777" w:rsidR="003F0EEA" w:rsidRDefault="003F0EEA">
            <w:pPr>
              <w:rPr>
                <w:rFonts w:ascii="Arial" w:eastAsia="Arial" w:hAnsi="Arial" w:cs="Arial"/>
                <w:color w:val="000000"/>
                <w:sz w:val="16"/>
              </w:rPr>
            </w:pPr>
          </w:p>
        </w:tc>
        <w:tc>
          <w:tcPr>
            <w:tcW w:w="1275"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13299975" w14:textId="77777777" w:rsidR="003F0EEA" w:rsidRDefault="003F0EEA">
            <w:pPr>
              <w:jc w:val="right"/>
              <w:rPr>
                <w:rFonts w:ascii="Arial" w:eastAsia="Arial" w:hAnsi="Arial" w:cs="Arial"/>
                <w:color w:val="000000"/>
                <w:sz w:val="16"/>
              </w:rPr>
            </w:pPr>
          </w:p>
        </w:tc>
        <w:tc>
          <w:tcPr>
            <w:tcW w:w="1275" w:type="dxa"/>
            <w:tcBorders>
              <w:top w:val="single" w:sz="6" w:space="0" w:color="000000"/>
              <w:left w:val="nil"/>
              <w:bottom w:val="nil"/>
              <w:right w:val="nil"/>
              <w:tl2br w:val="nil"/>
              <w:tr2bl w:val="nil"/>
            </w:tcBorders>
            <w:shd w:val="clear" w:color="auto" w:fill="C0C0C0"/>
            <w:tcMar>
              <w:left w:w="115" w:type="dxa"/>
              <w:right w:w="115" w:type="dxa"/>
            </w:tcMar>
            <w:vAlign w:val="bottom"/>
          </w:tcPr>
          <w:p w14:paraId="3DF0E091" w14:textId="77777777" w:rsidR="003F0EEA" w:rsidRDefault="003F0EEA">
            <w:pPr>
              <w:jc w:val="right"/>
              <w:rPr>
                <w:rFonts w:ascii="Arial" w:eastAsia="Arial" w:hAnsi="Arial" w:cs="Arial"/>
                <w:color w:val="000000"/>
                <w:sz w:val="16"/>
              </w:rPr>
            </w:pPr>
          </w:p>
        </w:tc>
      </w:tr>
      <w:tr w:rsidR="00724034" w14:paraId="796680E2" w14:textId="77777777">
        <w:trPr>
          <w:trHeight w:val="225"/>
        </w:trPr>
        <w:tc>
          <w:tcPr>
            <w:tcW w:w="300" w:type="dxa"/>
            <w:tcBorders>
              <w:top w:val="nil"/>
              <w:left w:val="nil"/>
              <w:bottom w:val="nil"/>
              <w:right w:val="nil"/>
              <w:tl2br w:val="nil"/>
              <w:tr2bl w:val="nil"/>
            </w:tcBorders>
            <w:shd w:val="clear" w:color="auto" w:fill="FFFFFF"/>
            <w:tcMar>
              <w:left w:w="115" w:type="dxa"/>
              <w:right w:w="115" w:type="dxa"/>
            </w:tcMar>
            <w:vAlign w:val="bottom"/>
          </w:tcPr>
          <w:p w14:paraId="2DACFA35" w14:textId="77777777" w:rsidR="003F0EEA" w:rsidRDefault="003F0EEA">
            <w:pPr>
              <w:rPr>
                <w:rFonts w:ascii="Arial" w:eastAsia="Arial" w:hAnsi="Arial" w:cs="Arial"/>
                <w:color w:val="000000"/>
                <w:sz w:val="14"/>
              </w:rPr>
            </w:pPr>
          </w:p>
        </w:tc>
        <w:tc>
          <w:tcPr>
            <w:tcW w:w="5400" w:type="dxa"/>
            <w:tcBorders>
              <w:top w:val="nil"/>
              <w:left w:val="nil"/>
              <w:bottom w:val="nil"/>
              <w:right w:val="nil"/>
              <w:tl2br w:val="nil"/>
              <w:tr2bl w:val="nil"/>
            </w:tcBorders>
            <w:shd w:val="clear" w:color="auto" w:fill="FFFFFF"/>
            <w:tcMar>
              <w:left w:w="115" w:type="dxa"/>
              <w:right w:w="115" w:type="dxa"/>
            </w:tcMar>
            <w:vAlign w:val="bottom"/>
          </w:tcPr>
          <w:p w14:paraId="600792AD" w14:textId="77777777" w:rsidR="003F0EEA" w:rsidRDefault="003F0EEA">
            <w:pPr>
              <w:rPr>
                <w:rFonts w:ascii="Arial" w:eastAsia="Arial" w:hAnsi="Arial" w:cs="Arial"/>
                <w:color w:val="000000"/>
                <w:sz w:val="16"/>
              </w:rPr>
            </w:pPr>
          </w:p>
        </w:tc>
        <w:tc>
          <w:tcPr>
            <w:tcW w:w="1275"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1D92E55F" w14:textId="77777777" w:rsidR="003F0EEA" w:rsidRDefault="00FB7D0B">
            <w:pPr>
              <w:jc w:val="right"/>
              <w:rPr>
                <w:rFonts w:ascii="Arial" w:eastAsia="Arial" w:hAnsi="Arial" w:cs="Arial"/>
                <w:color w:val="000000"/>
                <w:sz w:val="16"/>
              </w:rPr>
            </w:pPr>
            <w:r>
              <w:rPr>
                <w:rFonts w:ascii="Arial" w:eastAsia="Arial" w:hAnsi="Arial" w:cs="Arial"/>
                <w:color w:val="000000"/>
                <w:sz w:val="16"/>
              </w:rPr>
              <w:t>2013-14</w:t>
            </w:r>
          </w:p>
        </w:tc>
        <w:tc>
          <w:tcPr>
            <w:tcW w:w="1275" w:type="dxa"/>
            <w:tcBorders>
              <w:top w:val="nil"/>
              <w:left w:val="nil"/>
              <w:bottom w:val="single" w:sz="6" w:space="0" w:color="000000"/>
              <w:right w:val="nil"/>
              <w:tl2br w:val="nil"/>
              <w:tr2bl w:val="nil"/>
            </w:tcBorders>
            <w:shd w:val="clear" w:color="auto" w:fill="C0C0C0"/>
            <w:tcMar>
              <w:left w:w="115" w:type="dxa"/>
              <w:right w:w="115" w:type="dxa"/>
            </w:tcMar>
            <w:vAlign w:val="bottom"/>
          </w:tcPr>
          <w:p w14:paraId="27761DEB" w14:textId="77777777" w:rsidR="003F0EEA" w:rsidRDefault="00FB7D0B">
            <w:pPr>
              <w:jc w:val="right"/>
              <w:rPr>
                <w:rFonts w:ascii="Arial" w:eastAsia="Arial" w:hAnsi="Arial" w:cs="Arial"/>
                <w:color w:val="000000"/>
                <w:sz w:val="16"/>
              </w:rPr>
            </w:pPr>
            <w:r>
              <w:rPr>
                <w:rFonts w:ascii="Arial" w:eastAsia="Arial" w:hAnsi="Arial" w:cs="Arial"/>
                <w:color w:val="000000"/>
                <w:sz w:val="16"/>
              </w:rPr>
              <w:t>2014-15</w:t>
            </w:r>
          </w:p>
        </w:tc>
      </w:tr>
      <w:tr w:rsidR="00FB7D0B" w14:paraId="368A73EF" w14:textId="77777777" w:rsidTr="00FB7D0B">
        <w:trPr>
          <w:trHeight w:val="225"/>
        </w:trPr>
        <w:tc>
          <w:tcPr>
            <w:tcW w:w="5700" w:type="dxa"/>
            <w:gridSpan w:val="2"/>
            <w:tcBorders>
              <w:top w:val="nil"/>
              <w:left w:val="nil"/>
              <w:bottom w:val="single" w:sz="6" w:space="0" w:color="000000"/>
              <w:right w:val="nil"/>
              <w:tl2br w:val="nil"/>
              <w:tr2bl w:val="nil"/>
            </w:tcBorders>
            <w:shd w:val="clear" w:color="auto" w:fill="FFFFFF"/>
            <w:tcMar>
              <w:left w:w="115" w:type="dxa"/>
              <w:right w:w="115" w:type="dxa"/>
            </w:tcMar>
            <w:vAlign w:val="bottom"/>
          </w:tcPr>
          <w:p w14:paraId="6C6B4700" w14:textId="77777777" w:rsidR="003F0EEA" w:rsidRDefault="00FB7D0B">
            <w:pPr>
              <w:rPr>
                <w:rFonts w:ascii="Arial" w:eastAsia="Arial" w:hAnsi="Arial" w:cs="Arial"/>
                <w:color w:val="000000"/>
                <w:sz w:val="16"/>
              </w:rPr>
            </w:pPr>
            <w:r>
              <w:rPr>
                <w:rFonts w:ascii="Arial" w:eastAsia="Arial" w:hAnsi="Arial" w:cs="Arial"/>
                <w:b/>
                <w:color w:val="000000"/>
                <w:sz w:val="16"/>
              </w:rPr>
              <w:t>Average Staffing Level (number)</w:t>
            </w:r>
          </w:p>
        </w:tc>
        <w:tc>
          <w:tcPr>
            <w:tcW w:w="1275" w:type="dxa"/>
            <w:tcBorders>
              <w:top w:val="single" w:sz="6" w:space="0" w:color="000000"/>
              <w:left w:val="nil"/>
              <w:bottom w:val="single" w:sz="6" w:space="0" w:color="000000"/>
              <w:right w:val="nil"/>
              <w:tl2br w:val="nil"/>
              <w:tr2bl w:val="nil"/>
            </w:tcBorders>
            <w:shd w:val="clear" w:color="auto" w:fill="FFFFFF"/>
            <w:tcMar>
              <w:left w:w="115" w:type="dxa"/>
              <w:right w:w="115" w:type="dxa"/>
            </w:tcMar>
            <w:vAlign w:val="bottom"/>
          </w:tcPr>
          <w:p w14:paraId="6A8FB03A" w14:textId="77777777" w:rsidR="003F0EEA" w:rsidRDefault="00FB7D0B">
            <w:pPr>
              <w:jc w:val="right"/>
              <w:rPr>
                <w:rFonts w:ascii="Arial" w:eastAsia="Arial" w:hAnsi="Arial" w:cs="Arial"/>
                <w:b/>
                <w:color w:val="000000"/>
                <w:sz w:val="16"/>
              </w:rPr>
            </w:pPr>
            <w:r>
              <w:rPr>
                <w:rFonts w:ascii="Arial" w:eastAsia="Arial" w:hAnsi="Arial" w:cs="Arial"/>
                <w:color w:val="000000"/>
                <w:sz w:val="16"/>
              </w:rPr>
              <w:t xml:space="preserve"> 329 </w:t>
            </w:r>
          </w:p>
        </w:tc>
        <w:tc>
          <w:tcPr>
            <w:tcW w:w="1275" w:type="dxa"/>
            <w:tcBorders>
              <w:top w:val="single" w:sz="6" w:space="0" w:color="000000"/>
              <w:left w:val="nil"/>
              <w:bottom w:val="single" w:sz="6" w:space="0" w:color="000000"/>
              <w:right w:val="nil"/>
              <w:tl2br w:val="nil"/>
              <w:tr2bl w:val="nil"/>
            </w:tcBorders>
            <w:shd w:val="clear" w:color="auto" w:fill="C0C0C0"/>
            <w:tcMar>
              <w:left w:w="115" w:type="dxa"/>
              <w:right w:w="115" w:type="dxa"/>
            </w:tcMar>
            <w:vAlign w:val="bottom"/>
          </w:tcPr>
          <w:p w14:paraId="25688A32" w14:textId="77777777" w:rsidR="003F0EEA" w:rsidRDefault="00FB7D0B">
            <w:pPr>
              <w:jc w:val="right"/>
              <w:rPr>
                <w:rFonts w:ascii="Arial" w:eastAsia="Arial" w:hAnsi="Arial" w:cs="Arial"/>
                <w:color w:val="000000"/>
                <w:sz w:val="16"/>
              </w:rPr>
            </w:pPr>
            <w:r>
              <w:rPr>
                <w:rFonts w:ascii="Arial" w:eastAsia="Arial" w:hAnsi="Arial" w:cs="Arial"/>
                <w:color w:val="000000"/>
                <w:sz w:val="16"/>
              </w:rPr>
              <w:t xml:space="preserve"> 333 </w:t>
            </w:r>
          </w:p>
        </w:tc>
      </w:tr>
    </w:tbl>
    <w:p w14:paraId="788E7482" w14:textId="77777777" w:rsidR="003F0EEA" w:rsidRDefault="00FB7D0B" w:rsidP="003F0EEA">
      <w:pPr>
        <w:pStyle w:val="Source16"/>
      </w:pPr>
      <w:r>
        <w:t>Note: Departmental appropriation splits and totals are indicative estimates and may change in the course of the budget year as government priorities change.</w:t>
      </w:r>
    </w:p>
    <w:p w14:paraId="0C189385" w14:textId="77777777" w:rsidR="003F0EEA" w:rsidRDefault="00FB7D0B">
      <w:pPr>
        <w:spacing w:line="14" w:lineRule="exact"/>
        <w:rPr>
          <w:rFonts w:eastAsia="Times New Roman" w:cs="Times New Roman"/>
        </w:rPr>
      </w:pPr>
      <w:r>
        <w:rPr>
          <w:rFonts w:eastAsia="Times New Roman" w:cs="Times New Roman"/>
        </w:rPr>
        <w:br w:type="page"/>
      </w:r>
    </w:p>
    <w:p w14:paraId="25E00533" w14:textId="77777777" w:rsidR="003F0EEA" w:rsidRPr="00690152" w:rsidRDefault="00FB7D0B" w:rsidP="003F0EEA">
      <w:pPr>
        <w:pStyle w:val="TableHeading26"/>
        <w:rPr>
          <w:sz w:val="22"/>
          <w:szCs w:val="22"/>
        </w:rPr>
      </w:pPr>
      <w:r w:rsidRPr="00690152">
        <w:rPr>
          <w:sz w:val="22"/>
          <w:szCs w:val="22"/>
        </w:rPr>
        <w:t xml:space="preserve">Contributions to Outcome 1 </w:t>
      </w:r>
    </w:p>
    <w:tbl>
      <w:tblPr>
        <w:tblW w:w="0" w:type="auto"/>
        <w:tblBorders>
          <w:top w:val="single" w:sz="2" w:space="0" w:color="auto"/>
          <w:left w:val="single" w:sz="2" w:space="0" w:color="auto"/>
          <w:bottom w:val="single" w:sz="2" w:space="0" w:color="auto"/>
          <w:right w:val="single" w:sz="2" w:space="0" w:color="auto"/>
          <w:insideH w:val="single" w:sz="2" w:space="0" w:color="auto"/>
        </w:tblBorders>
        <w:tblLook w:val="01E0" w:firstRow="1" w:lastRow="1" w:firstColumn="1" w:lastColumn="1" w:noHBand="0" w:noVBand="0"/>
      </w:tblPr>
      <w:tblGrid>
        <w:gridCol w:w="7713"/>
      </w:tblGrid>
      <w:tr w:rsidR="00724034" w14:paraId="527A7882" w14:textId="77777777" w:rsidTr="003F0EEA">
        <w:tc>
          <w:tcPr>
            <w:tcW w:w="7713" w:type="dxa"/>
            <w:tcBorders>
              <w:top w:val="single" w:sz="2" w:space="0" w:color="auto"/>
              <w:left w:val="single" w:sz="2" w:space="0" w:color="auto"/>
              <w:bottom w:val="single" w:sz="2" w:space="0" w:color="auto"/>
              <w:right w:val="single" w:sz="2" w:space="0" w:color="auto"/>
            </w:tcBorders>
            <w:shd w:val="clear" w:color="auto" w:fill="E6E6E6"/>
          </w:tcPr>
          <w:p w14:paraId="1E342BA1" w14:textId="77777777" w:rsidR="003F0EEA" w:rsidRPr="00690152" w:rsidRDefault="00FB7D0B">
            <w:pPr>
              <w:pStyle w:val="TableColumnHeadingLeft8"/>
              <w:rPr>
                <w:rFonts w:cs="Arial"/>
              </w:rPr>
            </w:pPr>
            <w:r w:rsidRPr="00690152">
              <w:rPr>
                <w:rFonts w:cs="Arial"/>
              </w:rPr>
              <w:t>Programme 1.1: Australian War Memorial</w:t>
            </w:r>
          </w:p>
        </w:tc>
      </w:tr>
    </w:tbl>
    <w:p w14:paraId="3F6DF5D5" w14:textId="77777777" w:rsidR="003F0EEA" w:rsidRDefault="003F0EEA" w:rsidP="003F0EEA">
      <w:pPr>
        <w:pStyle w:val="NoSpacing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18"/>
      </w:tblGrid>
      <w:tr w:rsidR="00724034" w14:paraId="276BCCCF" w14:textId="77777777" w:rsidTr="003F0EEA">
        <w:tc>
          <w:tcPr>
            <w:tcW w:w="7818" w:type="dxa"/>
            <w:tcBorders>
              <w:top w:val="single" w:sz="4" w:space="0" w:color="auto"/>
              <w:left w:val="single" w:sz="4" w:space="0" w:color="auto"/>
              <w:bottom w:val="single" w:sz="4" w:space="0" w:color="auto"/>
              <w:right w:val="single" w:sz="4" w:space="0" w:color="auto"/>
            </w:tcBorders>
          </w:tcPr>
          <w:p w14:paraId="787CC7B7" w14:textId="77777777" w:rsidR="003F0EEA" w:rsidRPr="00690152" w:rsidRDefault="00FB7D0B">
            <w:pPr>
              <w:pStyle w:val="TableTextLeft43"/>
              <w:rPr>
                <w:b/>
                <w:sz w:val="20"/>
              </w:rPr>
            </w:pPr>
            <w:r w:rsidRPr="00690152">
              <w:rPr>
                <w:b/>
                <w:sz w:val="20"/>
              </w:rPr>
              <w:t>Programme 1.1 objective</w:t>
            </w:r>
          </w:p>
          <w:p w14:paraId="6606A16D" w14:textId="77777777" w:rsidR="003F0EEA" w:rsidRPr="00690152" w:rsidRDefault="00FB7D0B">
            <w:pPr>
              <w:pStyle w:val="TableTextLeft43"/>
              <w:rPr>
                <w:szCs w:val="18"/>
              </w:rPr>
            </w:pPr>
            <w:r w:rsidRPr="00690152">
              <w:rPr>
                <w:szCs w:val="18"/>
              </w:rPr>
              <w:t xml:space="preserve">To maintain and develop the National Memorial and a national collection of historical material and through commemorative ceremonies, exhibitions, research, interpretation and dissemination. </w:t>
            </w:r>
          </w:p>
        </w:tc>
      </w:tr>
      <w:tr w:rsidR="00724034" w14:paraId="20B1346D" w14:textId="77777777" w:rsidTr="003F0EEA">
        <w:trPr>
          <w:trHeight w:val="113"/>
        </w:trPr>
        <w:tc>
          <w:tcPr>
            <w:tcW w:w="7818" w:type="dxa"/>
            <w:tcBorders>
              <w:top w:val="single" w:sz="4" w:space="0" w:color="auto"/>
              <w:left w:val="single" w:sz="4" w:space="0" w:color="auto"/>
              <w:bottom w:val="single" w:sz="4" w:space="0" w:color="auto"/>
              <w:right w:val="single" w:sz="4" w:space="0" w:color="auto"/>
            </w:tcBorders>
          </w:tcPr>
          <w:p w14:paraId="6D9CDE7D" w14:textId="77777777" w:rsidR="003F0EEA" w:rsidRPr="00690152" w:rsidRDefault="00FB7D0B">
            <w:pPr>
              <w:pStyle w:val="TableColumnHeadingLeft8"/>
              <w:rPr>
                <w:rFonts w:cs="Arial"/>
              </w:rPr>
            </w:pPr>
            <w:r w:rsidRPr="00690152">
              <w:rPr>
                <w:rFonts w:cs="Arial"/>
              </w:rPr>
              <w:t>Linked to the following Programme components:</w:t>
            </w:r>
          </w:p>
          <w:p w14:paraId="36105194" w14:textId="77777777" w:rsidR="003F0EEA" w:rsidRPr="00690152" w:rsidRDefault="00FB7D0B">
            <w:pPr>
              <w:pStyle w:val="TableTextLeft43"/>
              <w:rPr>
                <w:szCs w:val="18"/>
              </w:rPr>
            </w:pPr>
            <w:r w:rsidRPr="00690152">
              <w:rPr>
                <w:szCs w:val="18"/>
              </w:rPr>
              <w:t>Programme component 1.1: Commemorative Ceremonies</w:t>
            </w:r>
          </w:p>
          <w:p w14:paraId="2B167176" w14:textId="77777777" w:rsidR="003F0EEA" w:rsidRPr="00690152" w:rsidRDefault="00FB7D0B">
            <w:pPr>
              <w:pStyle w:val="TableTextLeft43"/>
              <w:rPr>
                <w:szCs w:val="18"/>
              </w:rPr>
            </w:pPr>
            <w:r w:rsidRPr="00690152">
              <w:rPr>
                <w:szCs w:val="18"/>
              </w:rPr>
              <w:t>Programme component 1.2: National Memorial and Grounds</w:t>
            </w:r>
          </w:p>
          <w:p w14:paraId="170B756A" w14:textId="77777777" w:rsidR="003F0EEA" w:rsidRPr="00690152" w:rsidRDefault="00FB7D0B">
            <w:pPr>
              <w:pStyle w:val="TableTextLeft43"/>
              <w:rPr>
                <w:szCs w:val="18"/>
              </w:rPr>
            </w:pPr>
            <w:r w:rsidRPr="00690152">
              <w:rPr>
                <w:szCs w:val="18"/>
              </w:rPr>
              <w:t>Programme component 1.3: National Collection</w:t>
            </w:r>
          </w:p>
          <w:p w14:paraId="2DA42A2B" w14:textId="77777777" w:rsidR="003F0EEA" w:rsidRPr="00690152" w:rsidRDefault="00FB7D0B">
            <w:pPr>
              <w:pStyle w:val="TableTextLeft43"/>
              <w:rPr>
                <w:szCs w:val="18"/>
              </w:rPr>
            </w:pPr>
            <w:r w:rsidRPr="00690152">
              <w:rPr>
                <w:szCs w:val="18"/>
              </w:rPr>
              <w:t>Programme component 1.4: Exhibitions</w:t>
            </w:r>
          </w:p>
          <w:p w14:paraId="0DF2721D" w14:textId="77777777" w:rsidR="003F0EEA" w:rsidRPr="00690152" w:rsidRDefault="00FB7D0B">
            <w:pPr>
              <w:pStyle w:val="TableTextLeft43"/>
              <w:rPr>
                <w:szCs w:val="18"/>
              </w:rPr>
            </w:pPr>
            <w:r w:rsidRPr="00690152">
              <w:rPr>
                <w:szCs w:val="18"/>
              </w:rPr>
              <w:t>Programme component 1.5: Interpretive Services</w:t>
            </w:r>
          </w:p>
          <w:p w14:paraId="291088BF" w14:textId="77777777" w:rsidR="003F0EEA" w:rsidRPr="00690152" w:rsidRDefault="00FB7D0B">
            <w:pPr>
              <w:pStyle w:val="TableTextLeft43"/>
              <w:rPr>
                <w:szCs w:val="18"/>
              </w:rPr>
            </w:pPr>
            <w:r w:rsidRPr="00690152">
              <w:rPr>
                <w:szCs w:val="18"/>
              </w:rPr>
              <w:t>Programme component 1.6: Promotion and Community Services</w:t>
            </w:r>
          </w:p>
          <w:p w14:paraId="7A5AC26D" w14:textId="77777777" w:rsidR="003F0EEA" w:rsidRPr="00690152" w:rsidRDefault="00FB7D0B">
            <w:pPr>
              <w:pStyle w:val="TableTextLeft43"/>
              <w:rPr>
                <w:szCs w:val="18"/>
              </w:rPr>
            </w:pPr>
            <w:r w:rsidRPr="00690152">
              <w:rPr>
                <w:szCs w:val="18"/>
              </w:rPr>
              <w:t>Programme component 1.7: Research and Information Dissemination</w:t>
            </w:r>
          </w:p>
          <w:p w14:paraId="06E1D4E6" w14:textId="77777777" w:rsidR="003F0EEA" w:rsidRDefault="00FB7D0B">
            <w:pPr>
              <w:pStyle w:val="TableTextLeft43"/>
              <w:rPr>
                <w:rFonts w:ascii="Book Antiqua" w:hAnsi="Book Antiqua"/>
                <w:sz w:val="20"/>
              </w:rPr>
            </w:pPr>
            <w:r w:rsidRPr="00690152">
              <w:rPr>
                <w:szCs w:val="18"/>
              </w:rPr>
              <w:t>Programme component 1.8: Visitor Services.</w:t>
            </w:r>
          </w:p>
        </w:tc>
      </w:tr>
    </w:tbl>
    <w:p w14:paraId="49350E44" w14:textId="77777777" w:rsidR="003F0EEA" w:rsidRDefault="003F0EEA" w:rsidP="003F0EEA">
      <w:pPr>
        <w:pStyle w:val="SingleParagraph2"/>
      </w:pPr>
    </w:p>
    <w:p w14:paraId="13712A49" w14:textId="77777777" w:rsidR="003F0EEA" w:rsidRPr="006D47B4" w:rsidRDefault="00FB7D0B" w:rsidP="003F0EEA">
      <w:pPr>
        <w:pStyle w:val="SingleParagraph2"/>
        <w:rPr>
          <w:rFonts w:ascii="Arial" w:hAnsi="Arial" w:cs="Arial"/>
          <w:b/>
          <w:sz w:val="16"/>
          <w:szCs w:val="16"/>
        </w:rPr>
      </w:pPr>
      <w:r w:rsidRPr="006D47B4">
        <w:rPr>
          <w:rFonts w:ascii="Arial" w:hAnsi="Arial" w:cs="Arial"/>
          <w:b/>
          <w:sz w:val="16"/>
          <w:szCs w:val="16"/>
        </w:rPr>
        <w:t xml:space="preserve">Programme Expenses 1.1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0"/>
        <w:gridCol w:w="250"/>
        <w:gridCol w:w="2175"/>
        <w:gridCol w:w="285"/>
        <w:gridCol w:w="1125"/>
        <w:gridCol w:w="915"/>
        <w:gridCol w:w="915"/>
        <w:gridCol w:w="915"/>
        <w:gridCol w:w="915"/>
      </w:tblGrid>
      <w:tr w:rsidR="00724034" w14:paraId="1A987493" w14:textId="77777777">
        <w:trPr>
          <w:trHeight w:hRule="exact" w:val="60"/>
        </w:trPr>
        <w:tc>
          <w:tcPr>
            <w:tcW w:w="180"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776FF55A" w14:textId="77777777" w:rsidR="003F0EEA" w:rsidRPr="006D47B4" w:rsidRDefault="003F0EEA">
            <w:pPr>
              <w:rPr>
                <w:rFonts w:ascii="Arial" w:eastAsia="Times New Roman" w:hAnsi="Arial" w:cs="Arial"/>
                <w:b/>
                <w:sz w:val="16"/>
                <w:szCs w:val="16"/>
              </w:rPr>
            </w:pPr>
          </w:p>
        </w:tc>
        <w:tc>
          <w:tcPr>
            <w:tcW w:w="180" w:type="dxa"/>
            <w:tcBorders>
              <w:top w:val="nil"/>
              <w:left w:val="nil"/>
              <w:bottom w:val="single" w:sz="6" w:space="0" w:color="000000"/>
              <w:right w:val="nil"/>
              <w:tl2br w:val="nil"/>
              <w:tr2bl w:val="nil"/>
            </w:tcBorders>
            <w:shd w:val="clear" w:color="auto" w:fill="FFFFFF"/>
            <w:tcMar>
              <w:left w:w="115" w:type="dxa"/>
              <w:right w:w="115" w:type="dxa"/>
            </w:tcMar>
          </w:tcPr>
          <w:p w14:paraId="1D247ECD" w14:textId="77777777" w:rsidR="003F0EEA" w:rsidRPr="006D47B4" w:rsidRDefault="003F0EEA">
            <w:pPr>
              <w:jc w:val="right"/>
              <w:rPr>
                <w:rFonts w:ascii="Arial" w:eastAsia="Arial" w:hAnsi="Arial" w:cs="Arial"/>
                <w:b/>
                <w:color w:val="000000"/>
                <w:sz w:val="16"/>
                <w:szCs w:val="16"/>
              </w:rPr>
            </w:pPr>
          </w:p>
        </w:tc>
        <w:tc>
          <w:tcPr>
            <w:tcW w:w="2175" w:type="dxa"/>
            <w:tcBorders>
              <w:top w:val="nil"/>
              <w:left w:val="nil"/>
              <w:bottom w:val="single" w:sz="6" w:space="0" w:color="000000"/>
              <w:right w:val="nil"/>
              <w:tl2br w:val="nil"/>
              <w:tr2bl w:val="nil"/>
            </w:tcBorders>
            <w:shd w:val="clear" w:color="auto" w:fill="FFFFFF"/>
            <w:tcMar>
              <w:left w:w="115" w:type="dxa"/>
              <w:right w:w="115" w:type="dxa"/>
            </w:tcMar>
          </w:tcPr>
          <w:p w14:paraId="1C2130C1" w14:textId="77777777" w:rsidR="003F0EEA" w:rsidRPr="006D47B4" w:rsidRDefault="003F0EEA">
            <w:pPr>
              <w:jc w:val="right"/>
              <w:rPr>
                <w:rFonts w:ascii="Arial" w:eastAsia="Arial" w:hAnsi="Arial" w:cs="Arial"/>
                <w:color w:val="000000"/>
                <w:sz w:val="16"/>
                <w:szCs w:val="16"/>
              </w:rPr>
            </w:pPr>
          </w:p>
        </w:tc>
        <w:tc>
          <w:tcPr>
            <w:tcW w:w="285" w:type="dxa"/>
            <w:tcBorders>
              <w:top w:val="nil"/>
              <w:left w:val="nil"/>
              <w:bottom w:val="single" w:sz="6" w:space="0" w:color="000000"/>
              <w:right w:val="nil"/>
              <w:tl2br w:val="nil"/>
              <w:tr2bl w:val="nil"/>
            </w:tcBorders>
            <w:shd w:val="clear" w:color="auto" w:fill="FFFFFF"/>
            <w:tcMar>
              <w:left w:w="115" w:type="dxa"/>
              <w:right w:w="115" w:type="dxa"/>
            </w:tcMar>
          </w:tcPr>
          <w:p w14:paraId="40580B05" w14:textId="77777777" w:rsidR="003F0EEA" w:rsidRPr="006D47B4" w:rsidRDefault="003F0EEA">
            <w:pPr>
              <w:jc w:val="right"/>
              <w:rPr>
                <w:rFonts w:ascii="Arial" w:eastAsia="Arial" w:hAnsi="Arial" w:cs="Arial"/>
                <w:color w:val="000000"/>
                <w:sz w:val="16"/>
                <w:szCs w:val="16"/>
              </w:rPr>
            </w:pPr>
          </w:p>
        </w:tc>
        <w:tc>
          <w:tcPr>
            <w:tcW w:w="1125" w:type="dxa"/>
            <w:tcBorders>
              <w:top w:val="nil"/>
              <w:left w:val="nil"/>
              <w:bottom w:val="single" w:sz="6" w:space="0" w:color="000000"/>
              <w:right w:val="nil"/>
              <w:tl2br w:val="nil"/>
              <w:tr2bl w:val="nil"/>
            </w:tcBorders>
            <w:shd w:val="clear" w:color="auto" w:fill="FFFFFF"/>
            <w:tcMar>
              <w:left w:w="115" w:type="dxa"/>
              <w:right w:w="115" w:type="dxa"/>
            </w:tcMar>
          </w:tcPr>
          <w:p w14:paraId="0CAB8D6B" w14:textId="77777777" w:rsidR="003F0EEA" w:rsidRPr="006D47B4" w:rsidRDefault="003F0EEA">
            <w:pPr>
              <w:jc w:val="right"/>
              <w:rPr>
                <w:rFonts w:ascii="Arial" w:eastAsia="Arial" w:hAnsi="Arial" w:cs="Arial"/>
                <w:color w:val="000000"/>
                <w:sz w:val="16"/>
                <w:szCs w:val="16"/>
              </w:rPr>
            </w:pPr>
          </w:p>
        </w:tc>
        <w:tc>
          <w:tcPr>
            <w:tcW w:w="915" w:type="dxa"/>
            <w:tcBorders>
              <w:top w:val="nil"/>
              <w:left w:val="nil"/>
              <w:bottom w:val="single" w:sz="6" w:space="0" w:color="000000"/>
              <w:right w:val="nil"/>
              <w:tl2br w:val="nil"/>
              <w:tr2bl w:val="nil"/>
            </w:tcBorders>
            <w:shd w:val="clear" w:color="auto" w:fill="FFFFFF"/>
            <w:tcMar>
              <w:left w:w="115" w:type="dxa"/>
              <w:right w:w="115" w:type="dxa"/>
            </w:tcMar>
          </w:tcPr>
          <w:p w14:paraId="2C5D0A1A" w14:textId="77777777" w:rsidR="003F0EEA" w:rsidRPr="006D47B4" w:rsidRDefault="003F0EEA">
            <w:pPr>
              <w:jc w:val="right"/>
              <w:rPr>
                <w:rFonts w:ascii="Arial" w:eastAsia="Arial" w:hAnsi="Arial" w:cs="Arial"/>
                <w:color w:val="000000"/>
                <w:sz w:val="16"/>
                <w:szCs w:val="16"/>
              </w:rPr>
            </w:pPr>
          </w:p>
        </w:tc>
        <w:tc>
          <w:tcPr>
            <w:tcW w:w="915" w:type="dxa"/>
            <w:tcBorders>
              <w:top w:val="nil"/>
              <w:left w:val="nil"/>
              <w:bottom w:val="single" w:sz="6" w:space="0" w:color="000000"/>
              <w:right w:val="nil"/>
              <w:tl2br w:val="nil"/>
              <w:tr2bl w:val="nil"/>
            </w:tcBorders>
            <w:shd w:val="clear" w:color="auto" w:fill="FFFFFF"/>
            <w:tcMar>
              <w:left w:w="115" w:type="dxa"/>
              <w:right w:w="115" w:type="dxa"/>
            </w:tcMar>
          </w:tcPr>
          <w:p w14:paraId="0859652F" w14:textId="77777777" w:rsidR="003F0EEA" w:rsidRPr="006D47B4" w:rsidRDefault="003F0EEA">
            <w:pPr>
              <w:jc w:val="right"/>
              <w:rPr>
                <w:rFonts w:ascii="Arial" w:eastAsia="Arial" w:hAnsi="Arial" w:cs="Arial"/>
                <w:color w:val="000000"/>
                <w:sz w:val="16"/>
                <w:szCs w:val="16"/>
              </w:rPr>
            </w:pPr>
          </w:p>
        </w:tc>
        <w:tc>
          <w:tcPr>
            <w:tcW w:w="915" w:type="dxa"/>
            <w:tcBorders>
              <w:top w:val="nil"/>
              <w:left w:val="nil"/>
              <w:bottom w:val="single" w:sz="6" w:space="0" w:color="000000"/>
              <w:right w:val="nil"/>
              <w:tl2br w:val="nil"/>
              <w:tr2bl w:val="nil"/>
            </w:tcBorders>
            <w:shd w:val="clear" w:color="auto" w:fill="FFFFFF"/>
            <w:tcMar>
              <w:left w:w="115" w:type="dxa"/>
              <w:right w:w="115" w:type="dxa"/>
            </w:tcMar>
          </w:tcPr>
          <w:p w14:paraId="688B7877" w14:textId="77777777" w:rsidR="003F0EEA" w:rsidRPr="006D47B4" w:rsidRDefault="003F0EEA">
            <w:pPr>
              <w:jc w:val="right"/>
              <w:rPr>
                <w:rFonts w:ascii="Arial" w:eastAsia="Arial" w:hAnsi="Arial" w:cs="Arial"/>
                <w:color w:val="000000"/>
                <w:sz w:val="16"/>
                <w:szCs w:val="16"/>
              </w:rPr>
            </w:pPr>
          </w:p>
        </w:tc>
        <w:tc>
          <w:tcPr>
            <w:tcW w:w="915" w:type="dxa"/>
            <w:tcBorders>
              <w:top w:val="nil"/>
              <w:left w:val="nil"/>
              <w:bottom w:val="single" w:sz="6" w:space="0" w:color="000000"/>
              <w:right w:val="nil"/>
              <w:tl2br w:val="nil"/>
              <w:tr2bl w:val="nil"/>
            </w:tcBorders>
            <w:shd w:val="clear" w:color="auto" w:fill="FFFFFF"/>
            <w:tcMar>
              <w:left w:w="115" w:type="dxa"/>
              <w:right w:w="115" w:type="dxa"/>
            </w:tcMar>
          </w:tcPr>
          <w:p w14:paraId="49995681" w14:textId="77777777" w:rsidR="003F0EEA" w:rsidRPr="006D47B4" w:rsidRDefault="003F0EEA">
            <w:pPr>
              <w:jc w:val="right"/>
              <w:rPr>
                <w:rFonts w:ascii="Arial" w:eastAsia="Arial" w:hAnsi="Arial" w:cs="Arial"/>
                <w:color w:val="000000"/>
                <w:sz w:val="16"/>
                <w:szCs w:val="16"/>
              </w:rPr>
            </w:pPr>
          </w:p>
        </w:tc>
      </w:tr>
      <w:tr w:rsidR="00FB7D0B" w14:paraId="26F93D7B" w14:textId="77777777" w:rsidTr="00FB7D0B">
        <w:trPr>
          <w:trHeight w:val="225"/>
        </w:trPr>
        <w:tc>
          <w:tcPr>
            <w:tcW w:w="180" w:type="dxa"/>
            <w:tcBorders>
              <w:top w:val="single" w:sz="6" w:space="0" w:color="000000"/>
              <w:left w:val="single" w:sz="6" w:space="0" w:color="000000"/>
              <w:bottom w:val="nil"/>
              <w:right w:val="nil"/>
              <w:tl2br w:val="nil"/>
              <w:tr2bl w:val="nil"/>
            </w:tcBorders>
            <w:shd w:val="clear" w:color="auto" w:fill="FFFFFF"/>
            <w:tcMar>
              <w:left w:w="115" w:type="dxa"/>
              <w:right w:w="115" w:type="dxa"/>
            </w:tcMar>
            <w:vAlign w:val="bottom"/>
          </w:tcPr>
          <w:p w14:paraId="65BCD97B" w14:textId="77777777" w:rsidR="003F0EEA" w:rsidRPr="006D47B4" w:rsidRDefault="003F0EEA">
            <w:pPr>
              <w:jc w:val="center"/>
              <w:rPr>
                <w:rFonts w:ascii="Arial" w:eastAsia="Arial" w:hAnsi="Arial" w:cs="Arial"/>
                <w:color w:val="000000"/>
                <w:sz w:val="16"/>
                <w:szCs w:val="16"/>
              </w:rPr>
            </w:pPr>
          </w:p>
        </w:tc>
        <w:tc>
          <w:tcPr>
            <w:tcW w:w="180"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18F038B9" w14:textId="77777777" w:rsidR="003F0EEA" w:rsidRPr="006D47B4" w:rsidRDefault="003F0EEA">
            <w:pPr>
              <w:jc w:val="right"/>
              <w:rPr>
                <w:rFonts w:ascii="Arial" w:eastAsia="Arial" w:hAnsi="Arial" w:cs="Arial"/>
                <w:b/>
                <w:color w:val="000000"/>
                <w:sz w:val="16"/>
                <w:szCs w:val="16"/>
              </w:rPr>
            </w:pPr>
          </w:p>
        </w:tc>
        <w:tc>
          <w:tcPr>
            <w:tcW w:w="2175"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52BCE068" w14:textId="77777777" w:rsidR="003F0EEA" w:rsidRPr="006D47B4" w:rsidRDefault="003F0EEA">
            <w:pPr>
              <w:jc w:val="right"/>
              <w:rPr>
                <w:rFonts w:ascii="Arial" w:eastAsia="Arial" w:hAnsi="Arial" w:cs="Arial"/>
                <w:color w:val="000000"/>
                <w:sz w:val="16"/>
                <w:szCs w:val="16"/>
              </w:rPr>
            </w:pPr>
          </w:p>
        </w:tc>
        <w:tc>
          <w:tcPr>
            <w:tcW w:w="1410" w:type="dxa"/>
            <w:gridSpan w:val="2"/>
            <w:tcBorders>
              <w:top w:val="single" w:sz="6" w:space="0" w:color="000000"/>
              <w:left w:val="nil"/>
              <w:bottom w:val="nil"/>
              <w:right w:val="nil"/>
              <w:tl2br w:val="nil"/>
              <w:tr2bl w:val="nil"/>
            </w:tcBorders>
            <w:shd w:val="clear" w:color="auto" w:fill="FFFFFF"/>
            <w:tcMar>
              <w:left w:w="115" w:type="dxa"/>
              <w:right w:w="115" w:type="dxa"/>
            </w:tcMar>
            <w:vAlign w:val="bottom"/>
          </w:tcPr>
          <w:p w14:paraId="32F9CF66" w14:textId="77777777" w:rsidR="003F0EEA" w:rsidRPr="006D47B4" w:rsidRDefault="00FB7D0B">
            <w:pPr>
              <w:jc w:val="right"/>
              <w:rPr>
                <w:rFonts w:ascii="Arial" w:eastAsia="Arial" w:hAnsi="Arial" w:cs="Arial"/>
                <w:color w:val="000000"/>
                <w:sz w:val="16"/>
                <w:szCs w:val="16"/>
              </w:rPr>
            </w:pPr>
            <w:r w:rsidRPr="006D47B4">
              <w:rPr>
                <w:rFonts w:ascii="Arial" w:eastAsia="Arial" w:hAnsi="Arial" w:cs="Arial"/>
                <w:color w:val="000000"/>
                <w:sz w:val="16"/>
                <w:szCs w:val="16"/>
              </w:rPr>
              <w:t>2013-14</w:t>
            </w:r>
          </w:p>
        </w:tc>
        <w:tc>
          <w:tcPr>
            <w:tcW w:w="915" w:type="dxa"/>
            <w:tcBorders>
              <w:top w:val="single" w:sz="6" w:space="0" w:color="000000"/>
              <w:left w:val="nil"/>
              <w:bottom w:val="nil"/>
              <w:right w:val="nil"/>
              <w:tl2br w:val="nil"/>
              <w:tr2bl w:val="nil"/>
            </w:tcBorders>
            <w:shd w:val="clear" w:color="auto" w:fill="C0C0C0"/>
            <w:tcMar>
              <w:left w:w="115" w:type="dxa"/>
              <w:right w:w="115" w:type="dxa"/>
            </w:tcMar>
            <w:vAlign w:val="bottom"/>
          </w:tcPr>
          <w:p w14:paraId="349638D3" w14:textId="77777777" w:rsidR="003F0EEA" w:rsidRPr="006D47B4" w:rsidRDefault="00FB7D0B">
            <w:pPr>
              <w:jc w:val="right"/>
              <w:rPr>
                <w:rFonts w:ascii="Arial" w:eastAsia="Arial" w:hAnsi="Arial" w:cs="Arial"/>
                <w:color w:val="000000"/>
                <w:sz w:val="16"/>
                <w:szCs w:val="16"/>
              </w:rPr>
            </w:pPr>
            <w:r w:rsidRPr="006D47B4">
              <w:rPr>
                <w:rFonts w:ascii="Arial" w:eastAsia="Arial" w:hAnsi="Arial" w:cs="Arial"/>
                <w:color w:val="000000"/>
                <w:sz w:val="16"/>
                <w:szCs w:val="16"/>
              </w:rPr>
              <w:t>2014-15</w:t>
            </w:r>
          </w:p>
        </w:tc>
        <w:tc>
          <w:tcPr>
            <w:tcW w:w="915"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020EB60C" w14:textId="77777777" w:rsidR="003F0EEA" w:rsidRPr="006D47B4" w:rsidRDefault="00FB7D0B">
            <w:pPr>
              <w:jc w:val="right"/>
              <w:rPr>
                <w:rFonts w:ascii="Arial" w:eastAsia="Arial" w:hAnsi="Arial" w:cs="Arial"/>
                <w:color w:val="000000"/>
                <w:sz w:val="16"/>
                <w:szCs w:val="16"/>
              </w:rPr>
            </w:pPr>
            <w:r w:rsidRPr="006D47B4">
              <w:rPr>
                <w:rFonts w:ascii="Arial" w:eastAsia="Arial" w:hAnsi="Arial" w:cs="Arial"/>
                <w:color w:val="000000"/>
                <w:sz w:val="16"/>
                <w:szCs w:val="16"/>
              </w:rPr>
              <w:t>2015-16</w:t>
            </w:r>
          </w:p>
        </w:tc>
        <w:tc>
          <w:tcPr>
            <w:tcW w:w="915"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096A911A" w14:textId="77777777" w:rsidR="003F0EEA" w:rsidRPr="006D47B4" w:rsidRDefault="00FB7D0B">
            <w:pPr>
              <w:jc w:val="right"/>
              <w:rPr>
                <w:rFonts w:ascii="Arial" w:eastAsia="Arial" w:hAnsi="Arial" w:cs="Arial"/>
                <w:color w:val="000000"/>
                <w:sz w:val="16"/>
                <w:szCs w:val="16"/>
              </w:rPr>
            </w:pPr>
            <w:r w:rsidRPr="006D47B4">
              <w:rPr>
                <w:rFonts w:ascii="Arial" w:eastAsia="Arial" w:hAnsi="Arial" w:cs="Arial"/>
                <w:color w:val="000000"/>
                <w:sz w:val="16"/>
                <w:szCs w:val="16"/>
              </w:rPr>
              <w:t>2016-17</w:t>
            </w:r>
          </w:p>
        </w:tc>
        <w:tc>
          <w:tcPr>
            <w:tcW w:w="915" w:type="dxa"/>
            <w:tcBorders>
              <w:top w:val="single" w:sz="6" w:space="0" w:color="000000"/>
              <w:left w:val="nil"/>
              <w:bottom w:val="nil"/>
              <w:right w:val="single" w:sz="6" w:space="0" w:color="000000"/>
              <w:tl2br w:val="nil"/>
              <w:tr2bl w:val="nil"/>
            </w:tcBorders>
            <w:shd w:val="clear" w:color="auto" w:fill="FFFFFF"/>
            <w:tcMar>
              <w:left w:w="115" w:type="dxa"/>
              <w:right w:w="115" w:type="dxa"/>
            </w:tcMar>
            <w:vAlign w:val="bottom"/>
          </w:tcPr>
          <w:p w14:paraId="584D4267" w14:textId="77777777" w:rsidR="003F0EEA" w:rsidRPr="006D47B4" w:rsidRDefault="00FB7D0B">
            <w:pPr>
              <w:jc w:val="right"/>
              <w:rPr>
                <w:rFonts w:ascii="Arial" w:eastAsia="Arial" w:hAnsi="Arial" w:cs="Arial"/>
                <w:color w:val="000000"/>
                <w:sz w:val="16"/>
                <w:szCs w:val="16"/>
              </w:rPr>
            </w:pPr>
            <w:r w:rsidRPr="006D47B4">
              <w:rPr>
                <w:rFonts w:ascii="Arial" w:eastAsia="Arial" w:hAnsi="Arial" w:cs="Arial"/>
                <w:color w:val="000000"/>
                <w:sz w:val="16"/>
                <w:szCs w:val="16"/>
              </w:rPr>
              <w:t>2017-18</w:t>
            </w:r>
          </w:p>
        </w:tc>
      </w:tr>
      <w:tr w:rsidR="00724034" w14:paraId="441CE9A1" w14:textId="77777777">
        <w:trPr>
          <w:trHeight w:val="225"/>
        </w:trPr>
        <w:tc>
          <w:tcPr>
            <w:tcW w:w="180" w:type="dxa"/>
            <w:tcBorders>
              <w:top w:val="nil"/>
              <w:left w:val="single" w:sz="6" w:space="0" w:color="000000"/>
              <w:bottom w:val="nil"/>
              <w:right w:val="nil"/>
              <w:tl2br w:val="nil"/>
              <w:tr2bl w:val="nil"/>
            </w:tcBorders>
            <w:shd w:val="clear" w:color="auto" w:fill="FFFFFF"/>
            <w:tcMar>
              <w:left w:w="115" w:type="dxa"/>
              <w:right w:w="115" w:type="dxa"/>
            </w:tcMar>
            <w:vAlign w:val="bottom"/>
          </w:tcPr>
          <w:p w14:paraId="42B85A98" w14:textId="77777777" w:rsidR="003F0EEA" w:rsidRPr="006D47B4" w:rsidRDefault="003F0EEA">
            <w:pPr>
              <w:rPr>
                <w:rFonts w:ascii="Arial" w:eastAsia="Arial" w:hAnsi="Arial" w:cs="Arial"/>
                <w:color w:val="000000"/>
                <w:sz w:val="16"/>
                <w:szCs w:val="16"/>
              </w:rPr>
            </w:pPr>
          </w:p>
        </w:tc>
        <w:tc>
          <w:tcPr>
            <w:tcW w:w="180" w:type="dxa"/>
            <w:tcBorders>
              <w:top w:val="nil"/>
              <w:left w:val="nil"/>
              <w:bottom w:val="nil"/>
              <w:right w:val="nil"/>
              <w:tl2br w:val="nil"/>
              <w:tr2bl w:val="nil"/>
            </w:tcBorders>
            <w:shd w:val="clear" w:color="auto" w:fill="FFFFFF"/>
            <w:tcMar>
              <w:left w:w="115" w:type="dxa"/>
              <w:right w:w="115" w:type="dxa"/>
            </w:tcMar>
            <w:vAlign w:val="bottom"/>
          </w:tcPr>
          <w:p w14:paraId="35785AED" w14:textId="77777777" w:rsidR="003F0EEA" w:rsidRPr="006D47B4" w:rsidRDefault="003F0EEA">
            <w:pPr>
              <w:jc w:val="right"/>
              <w:rPr>
                <w:rFonts w:ascii="Arial" w:eastAsia="Arial" w:hAnsi="Arial" w:cs="Arial"/>
                <w:color w:val="000000"/>
                <w:sz w:val="16"/>
                <w:szCs w:val="16"/>
              </w:rPr>
            </w:pPr>
          </w:p>
        </w:tc>
        <w:tc>
          <w:tcPr>
            <w:tcW w:w="2175" w:type="dxa"/>
            <w:tcBorders>
              <w:top w:val="nil"/>
              <w:left w:val="nil"/>
              <w:bottom w:val="nil"/>
              <w:right w:val="nil"/>
              <w:tl2br w:val="nil"/>
              <w:tr2bl w:val="nil"/>
            </w:tcBorders>
            <w:shd w:val="clear" w:color="auto" w:fill="FFFFFF"/>
            <w:tcMar>
              <w:left w:w="115" w:type="dxa"/>
              <w:right w:w="115" w:type="dxa"/>
            </w:tcMar>
            <w:vAlign w:val="bottom"/>
          </w:tcPr>
          <w:p w14:paraId="65450A8A" w14:textId="77777777" w:rsidR="003F0EEA" w:rsidRPr="006D47B4" w:rsidRDefault="003F0EEA">
            <w:pPr>
              <w:jc w:val="right"/>
              <w:rPr>
                <w:rFonts w:ascii="Arial" w:eastAsia="Arial" w:hAnsi="Arial" w:cs="Arial"/>
                <w:color w:val="000000"/>
                <w:sz w:val="16"/>
                <w:szCs w:val="16"/>
              </w:rPr>
            </w:pPr>
          </w:p>
        </w:tc>
        <w:tc>
          <w:tcPr>
            <w:tcW w:w="285" w:type="dxa"/>
            <w:tcBorders>
              <w:top w:val="nil"/>
              <w:left w:val="nil"/>
              <w:bottom w:val="nil"/>
              <w:right w:val="nil"/>
              <w:tl2br w:val="nil"/>
              <w:tr2bl w:val="nil"/>
            </w:tcBorders>
            <w:shd w:val="clear" w:color="auto" w:fill="FFFFFF"/>
            <w:tcMar>
              <w:left w:w="115" w:type="dxa"/>
              <w:right w:w="115" w:type="dxa"/>
            </w:tcMar>
            <w:vAlign w:val="bottom"/>
          </w:tcPr>
          <w:p w14:paraId="24B2452C" w14:textId="77777777" w:rsidR="003F0EEA" w:rsidRPr="006D47B4" w:rsidRDefault="003F0EEA">
            <w:pPr>
              <w:jc w:val="right"/>
              <w:rPr>
                <w:rFonts w:ascii="Arial" w:eastAsia="Arial" w:hAnsi="Arial" w:cs="Arial"/>
                <w:color w:val="000000"/>
                <w:sz w:val="16"/>
                <w:szCs w:val="16"/>
              </w:rPr>
            </w:pPr>
          </w:p>
        </w:tc>
        <w:tc>
          <w:tcPr>
            <w:tcW w:w="1125" w:type="dxa"/>
            <w:tcBorders>
              <w:top w:val="nil"/>
              <w:left w:val="nil"/>
              <w:bottom w:val="nil"/>
              <w:right w:val="nil"/>
              <w:tl2br w:val="nil"/>
              <w:tr2bl w:val="nil"/>
            </w:tcBorders>
            <w:shd w:val="clear" w:color="auto" w:fill="FFFFFF"/>
            <w:tcMar>
              <w:left w:w="115" w:type="dxa"/>
              <w:right w:w="115" w:type="dxa"/>
            </w:tcMar>
            <w:vAlign w:val="bottom"/>
          </w:tcPr>
          <w:p w14:paraId="6614782E" w14:textId="77777777" w:rsidR="003F0EEA" w:rsidRPr="006D47B4" w:rsidRDefault="00FB7D0B">
            <w:pPr>
              <w:jc w:val="right"/>
              <w:rPr>
                <w:rFonts w:ascii="Arial" w:eastAsia="Arial" w:hAnsi="Arial" w:cs="Arial"/>
                <w:color w:val="000000"/>
                <w:sz w:val="16"/>
                <w:szCs w:val="16"/>
              </w:rPr>
            </w:pPr>
            <w:r w:rsidRPr="006D47B4">
              <w:rPr>
                <w:rFonts w:ascii="Arial" w:eastAsia="Arial" w:hAnsi="Arial" w:cs="Arial"/>
                <w:color w:val="000000"/>
                <w:sz w:val="16"/>
                <w:szCs w:val="16"/>
              </w:rPr>
              <w:t>Revised</w:t>
            </w:r>
          </w:p>
        </w:tc>
        <w:tc>
          <w:tcPr>
            <w:tcW w:w="915" w:type="dxa"/>
            <w:tcBorders>
              <w:top w:val="nil"/>
              <w:left w:val="nil"/>
              <w:bottom w:val="nil"/>
              <w:right w:val="nil"/>
              <w:tl2br w:val="nil"/>
              <w:tr2bl w:val="nil"/>
            </w:tcBorders>
            <w:shd w:val="clear" w:color="auto" w:fill="C0C0C0"/>
            <w:tcMar>
              <w:left w:w="115" w:type="dxa"/>
              <w:right w:w="115" w:type="dxa"/>
            </w:tcMar>
            <w:vAlign w:val="bottom"/>
          </w:tcPr>
          <w:p w14:paraId="3A537CB0" w14:textId="77777777" w:rsidR="003F0EEA" w:rsidRPr="006D47B4" w:rsidRDefault="00FB7D0B">
            <w:pPr>
              <w:jc w:val="right"/>
              <w:rPr>
                <w:rFonts w:ascii="Arial" w:eastAsia="Arial" w:hAnsi="Arial" w:cs="Arial"/>
                <w:color w:val="000000"/>
                <w:sz w:val="16"/>
                <w:szCs w:val="16"/>
              </w:rPr>
            </w:pPr>
            <w:r w:rsidRPr="006D47B4">
              <w:rPr>
                <w:rFonts w:ascii="Arial" w:eastAsia="Arial" w:hAnsi="Arial" w:cs="Arial"/>
                <w:color w:val="000000"/>
                <w:sz w:val="16"/>
                <w:szCs w:val="16"/>
              </w:rPr>
              <w:t>Budget</w:t>
            </w:r>
          </w:p>
        </w:tc>
        <w:tc>
          <w:tcPr>
            <w:tcW w:w="915" w:type="dxa"/>
            <w:tcBorders>
              <w:top w:val="nil"/>
              <w:left w:val="nil"/>
              <w:bottom w:val="nil"/>
              <w:right w:val="nil"/>
              <w:tl2br w:val="nil"/>
              <w:tr2bl w:val="nil"/>
            </w:tcBorders>
            <w:shd w:val="clear" w:color="auto" w:fill="FFFFFF"/>
            <w:tcMar>
              <w:left w:w="115" w:type="dxa"/>
              <w:right w:w="115" w:type="dxa"/>
            </w:tcMar>
            <w:vAlign w:val="bottom"/>
          </w:tcPr>
          <w:p w14:paraId="2FE34F12" w14:textId="77777777" w:rsidR="003F0EEA" w:rsidRPr="006D47B4" w:rsidRDefault="00FB7D0B">
            <w:pPr>
              <w:jc w:val="right"/>
              <w:rPr>
                <w:rFonts w:ascii="Arial" w:eastAsia="Arial" w:hAnsi="Arial" w:cs="Arial"/>
                <w:color w:val="000000"/>
                <w:sz w:val="16"/>
                <w:szCs w:val="16"/>
              </w:rPr>
            </w:pPr>
            <w:r w:rsidRPr="006D47B4">
              <w:rPr>
                <w:rFonts w:ascii="Arial" w:eastAsia="Arial" w:hAnsi="Arial" w:cs="Arial"/>
                <w:color w:val="000000"/>
                <w:sz w:val="16"/>
                <w:szCs w:val="16"/>
              </w:rPr>
              <w:t>Forward</w:t>
            </w:r>
          </w:p>
        </w:tc>
        <w:tc>
          <w:tcPr>
            <w:tcW w:w="915" w:type="dxa"/>
            <w:tcBorders>
              <w:top w:val="nil"/>
              <w:left w:val="nil"/>
              <w:bottom w:val="nil"/>
              <w:right w:val="nil"/>
              <w:tl2br w:val="nil"/>
              <w:tr2bl w:val="nil"/>
            </w:tcBorders>
            <w:shd w:val="clear" w:color="auto" w:fill="FFFFFF"/>
            <w:tcMar>
              <w:left w:w="115" w:type="dxa"/>
              <w:right w:w="115" w:type="dxa"/>
            </w:tcMar>
            <w:vAlign w:val="bottom"/>
          </w:tcPr>
          <w:p w14:paraId="3E5D24EE" w14:textId="77777777" w:rsidR="003F0EEA" w:rsidRPr="006D47B4" w:rsidRDefault="00FB7D0B">
            <w:pPr>
              <w:jc w:val="right"/>
              <w:rPr>
                <w:rFonts w:ascii="Arial" w:eastAsia="Arial" w:hAnsi="Arial" w:cs="Arial"/>
                <w:color w:val="000000"/>
                <w:sz w:val="16"/>
                <w:szCs w:val="16"/>
              </w:rPr>
            </w:pPr>
            <w:r w:rsidRPr="006D47B4">
              <w:rPr>
                <w:rFonts w:ascii="Arial" w:eastAsia="Arial" w:hAnsi="Arial" w:cs="Arial"/>
                <w:color w:val="000000"/>
                <w:sz w:val="16"/>
                <w:szCs w:val="16"/>
              </w:rPr>
              <w:t>Forward</w:t>
            </w:r>
          </w:p>
        </w:tc>
        <w:tc>
          <w:tcPr>
            <w:tcW w:w="915" w:type="dxa"/>
            <w:tcBorders>
              <w:top w:val="nil"/>
              <w:left w:val="nil"/>
              <w:bottom w:val="nil"/>
              <w:right w:val="single" w:sz="6" w:space="0" w:color="000000"/>
              <w:tl2br w:val="nil"/>
              <w:tr2bl w:val="nil"/>
            </w:tcBorders>
            <w:shd w:val="clear" w:color="auto" w:fill="FFFFFF"/>
            <w:tcMar>
              <w:left w:w="115" w:type="dxa"/>
              <w:right w:w="115" w:type="dxa"/>
            </w:tcMar>
            <w:vAlign w:val="bottom"/>
          </w:tcPr>
          <w:p w14:paraId="165E8B91" w14:textId="77777777" w:rsidR="003F0EEA" w:rsidRPr="006D47B4" w:rsidRDefault="00FB7D0B">
            <w:pPr>
              <w:jc w:val="right"/>
              <w:rPr>
                <w:rFonts w:ascii="Arial" w:eastAsia="Arial" w:hAnsi="Arial" w:cs="Arial"/>
                <w:color w:val="000000"/>
                <w:sz w:val="16"/>
                <w:szCs w:val="16"/>
              </w:rPr>
            </w:pPr>
            <w:r w:rsidRPr="006D47B4">
              <w:rPr>
                <w:rFonts w:ascii="Arial" w:eastAsia="Arial" w:hAnsi="Arial" w:cs="Arial"/>
                <w:color w:val="000000"/>
                <w:sz w:val="16"/>
                <w:szCs w:val="16"/>
              </w:rPr>
              <w:t>Forward</w:t>
            </w:r>
          </w:p>
        </w:tc>
      </w:tr>
      <w:tr w:rsidR="00724034" w14:paraId="45EFDDF3" w14:textId="77777777">
        <w:trPr>
          <w:trHeight w:val="225"/>
        </w:trPr>
        <w:tc>
          <w:tcPr>
            <w:tcW w:w="180" w:type="dxa"/>
            <w:tcBorders>
              <w:top w:val="nil"/>
              <w:left w:val="single" w:sz="6" w:space="0" w:color="000000"/>
              <w:bottom w:val="nil"/>
              <w:right w:val="nil"/>
              <w:tl2br w:val="nil"/>
              <w:tr2bl w:val="nil"/>
            </w:tcBorders>
            <w:shd w:val="clear" w:color="auto" w:fill="FFFFFF"/>
            <w:tcMar>
              <w:left w:w="115" w:type="dxa"/>
              <w:right w:w="115" w:type="dxa"/>
            </w:tcMar>
            <w:vAlign w:val="bottom"/>
          </w:tcPr>
          <w:p w14:paraId="243BA8EC" w14:textId="77777777" w:rsidR="003F0EEA" w:rsidRPr="006D47B4" w:rsidRDefault="003F0EEA">
            <w:pPr>
              <w:rPr>
                <w:rFonts w:ascii="Arial" w:eastAsia="Arial" w:hAnsi="Arial" w:cs="Arial"/>
                <w:color w:val="000000"/>
                <w:sz w:val="16"/>
                <w:szCs w:val="16"/>
              </w:rPr>
            </w:pPr>
          </w:p>
        </w:tc>
        <w:tc>
          <w:tcPr>
            <w:tcW w:w="180" w:type="dxa"/>
            <w:tcBorders>
              <w:top w:val="nil"/>
              <w:left w:val="nil"/>
              <w:bottom w:val="nil"/>
              <w:right w:val="nil"/>
              <w:tl2br w:val="nil"/>
              <w:tr2bl w:val="nil"/>
            </w:tcBorders>
            <w:shd w:val="clear" w:color="auto" w:fill="FFFFFF"/>
            <w:tcMar>
              <w:left w:w="115" w:type="dxa"/>
              <w:right w:w="115" w:type="dxa"/>
            </w:tcMar>
            <w:vAlign w:val="bottom"/>
          </w:tcPr>
          <w:p w14:paraId="1FCC1AA3" w14:textId="77777777" w:rsidR="003F0EEA" w:rsidRPr="006D47B4" w:rsidRDefault="003F0EEA">
            <w:pPr>
              <w:jc w:val="right"/>
              <w:rPr>
                <w:rFonts w:ascii="Arial" w:eastAsia="Arial" w:hAnsi="Arial" w:cs="Arial"/>
                <w:color w:val="000000"/>
                <w:sz w:val="16"/>
                <w:szCs w:val="16"/>
              </w:rPr>
            </w:pPr>
          </w:p>
        </w:tc>
        <w:tc>
          <w:tcPr>
            <w:tcW w:w="2175" w:type="dxa"/>
            <w:tcBorders>
              <w:top w:val="nil"/>
              <w:left w:val="nil"/>
              <w:bottom w:val="nil"/>
              <w:right w:val="nil"/>
              <w:tl2br w:val="nil"/>
              <w:tr2bl w:val="nil"/>
            </w:tcBorders>
            <w:shd w:val="clear" w:color="auto" w:fill="FFFFFF"/>
            <w:tcMar>
              <w:left w:w="115" w:type="dxa"/>
              <w:right w:w="115" w:type="dxa"/>
            </w:tcMar>
            <w:vAlign w:val="bottom"/>
          </w:tcPr>
          <w:p w14:paraId="74269BD4" w14:textId="77777777" w:rsidR="003F0EEA" w:rsidRPr="006D47B4" w:rsidRDefault="003F0EEA">
            <w:pPr>
              <w:jc w:val="right"/>
              <w:rPr>
                <w:rFonts w:ascii="Arial" w:eastAsia="Arial" w:hAnsi="Arial" w:cs="Arial"/>
                <w:color w:val="000000"/>
                <w:sz w:val="16"/>
                <w:szCs w:val="16"/>
              </w:rPr>
            </w:pPr>
          </w:p>
        </w:tc>
        <w:tc>
          <w:tcPr>
            <w:tcW w:w="285" w:type="dxa"/>
            <w:tcBorders>
              <w:top w:val="nil"/>
              <w:left w:val="nil"/>
              <w:bottom w:val="nil"/>
              <w:right w:val="nil"/>
              <w:tl2br w:val="nil"/>
              <w:tr2bl w:val="nil"/>
            </w:tcBorders>
            <w:shd w:val="clear" w:color="auto" w:fill="FFFFFF"/>
            <w:tcMar>
              <w:left w:w="115" w:type="dxa"/>
              <w:right w:w="115" w:type="dxa"/>
            </w:tcMar>
            <w:vAlign w:val="bottom"/>
          </w:tcPr>
          <w:p w14:paraId="08351233" w14:textId="77777777" w:rsidR="003F0EEA" w:rsidRPr="006D47B4" w:rsidRDefault="003F0EEA">
            <w:pPr>
              <w:jc w:val="right"/>
              <w:rPr>
                <w:rFonts w:ascii="Arial" w:eastAsia="Arial" w:hAnsi="Arial" w:cs="Arial"/>
                <w:color w:val="000000"/>
                <w:sz w:val="16"/>
                <w:szCs w:val="16"/>
              </w:rPr>
            </w:pPr>
          </w:p>
        </w:tc>
        <w:tc>
          <w:tcPr>
            <w:tcW w:w="1125" w:type="dxa"/>
            <w:tcBorders>
              <w:top w:val="nil"/>
              <w:left w:val="nil"/>
              <w:bottom w:val="nil"/>
              <w:right w:val="nil"/>
              <w:tl2br w:val="nil"/>
              <w:tr2bl w:val="nil"/>
            </w:tcBorders>
            <w:shd w:val="clear" w:color="auto" w:fill="FFFFFF"/>
            <w:tcMar>
              <w:left w:w="115" w:type="dxa"/>
              <w:right w:w="115" w:type="dxa"/>
            </w:tcMar>
            <w:vAlign w:val="bottom"/>
          </w:tcPr>
          <w:p w14:paraId="7707DD81" w14:textId="77777777" w:rsidR="003F0EEA" w:rsidRPr="006D47B4" w:rsidRDefault="00FB7D0B">
            <w:pPr>
              <w:jc w:val="right"/>
              <w:rPr>
                <w:rFonts w:ascii="Arial" w:eastAsia="Arial" w:hAnsi="Arial" w:cs="Arial"/>
                <w:color w:val="000000"/>
                <w:sz w:val="16"/>
                <w:szCs w:val="16"/>
              </w:rPr>
            </w:pPr>
            <w:r w:rsidRPr="006D47B4">
              <w:rPr>
                <w:rFonts w:ascii="Arial" w:eastAsia="Arial" w:hAnsi="Arial" w:cs="Arial"/>
                <w:color w:val="000000"/>
                <w:sz w:val="16"/>
                <w:szCs w:val="16"/>
              </w:rPr>
              <w:t>budget</w:t>
            </w:r>
          </w:p>
        </w:tc>
        <w:tc>
          <w:tcPr>
            <w:tcW w:w="915" w:type="dxa"/>
            <w:tcBorders>
              <w:top w:val="nil"/>
              <w:left w:val="nil"/>
              <w:bottom w:val="nil"/>
              <w:right w:val="nil"/>
              <w:tl2br w:val="nil"/>
              <w:tr2bl w:val="nil"/>
            </w:tcBorders>
            <w:shd w:val="clear" w:color="auto" w:fill="C0C0C0"/>
            <w:tcMar>
              <w:left w:w="115" w:type="dxa"/>
              <w:right w:w="115" w:type="dxa"/>
            </w:tcMar>
            <w:vAlign w:val="bottom"/>
          </w:tcPr>
          <w:p w14:paraId="03C999CC" w14:textId="77777777" w:rsidR="003F0EEA" w:rsidRPr="006D47B4" w:rsidRDefault="003F0EEA">
            <w:pPr>
              <w:jc w:val="right"/>
              <w:rPr>
                <w:rFonts w:ascii="Arial" w:eastAsia="Arial" w:hAnsi="Arial" w:cs="Arial"/>
                <w:color w:val="000000"/>
                <w:sz w:val="16"/>
                <w:szCs w:val="16"/>
              </w:rPr>
            </w:pPr>
          </w:p>
        </w:tc>
        <w:tc>
          <w:tcPr>
            <w:tcW w:w="915" w:type="dxa"/>
            <w:tcBorders>
              <w:top w:val="nil"/>
              <w:left w:val="nil"/>
              <w:bottom w:val="nil"/>
              <w:right w:val="nil"/>
              <w:tl2br w:val="nil"/>
              <w:tr2bl w:val="nil"/>
            </w:tcBorders>
            <w:shd w:val="clear" w:color="auto" w:fill="FFFFFF"/>
            <w:tcMar>
              <w:left w:w="115" w:type="dxa"/>
              <w:right w:w="115" w:type="dxa"/>
            </w:tcMar>
            <w:vAlign w:val="bottom"/>
          </w:tcPr>
          <w:p w14:paraId="681DEB5E" w14:textId="77777777" w:rsidR="003F0EEA" w:rsidRPr="006D47B4" w:rsidRDefault="00FB7D0B">
            <w:pPr>
              <w:jc w:val="right"/>
              <w:rPr>
                <w:rFonts w:ascii="Arial" w:eastAsia="Arial" w:hAnsi="Arial" w:cs="Arial"/>
                <w:color w:val="000000"/>
                <w:sz w:val="16"/>
                <w:szCs w:val="16"/>
              </w:rPr>
            </w:pPr>
            <w:r w:rsidRPr="006D47B4">
              <w:rPr>
                <w:rFonts w:ascii="Arial" w:eastAsia="Arial" w:hAnsi="Arial" w:cs="Arial"/>
                <w:color w:val="000000"/>
                <w:sz w:val="16"/>
                <w:szCs w:val="16"/>
              </w:rPr>
              <w:t>year 1</w:t>
            </w:r>
          </w:p>
        </w:tc>
        <w:tc>
          <w:tcPr>
            <w:tcW w:w="915" w:type="dxa"/>
            <w:tcBorders>
              <w:top w:val="nil"/>
              <w:left w:val="nil"/>
              <w:bottom w:val="nil"/>
              <w:right w:val="nil"/>
              <w:tl2br w:val="nil"/>
              <w:tr2bl w:val="nil"/>
            </w:tcBorders>
            <w:shd w:val="clear" w:color="auto" w:fill="FFFFFF"/>
            <w:tcMar>
              <w:left w:w="115" w:type="dxa"/>
              <w:right w:w="115" w:type="dxa"/>
            </w:tcMar>
            <w:vAlign w:val="bottom"/>
          </w:tcPr>
          <w:p w14:paraId="5EDB6132" w14:textId="77777777" w:rsidR="003F0EEA" w:rsidRPr="006D47B4" w:rsidRDefault="00FB7D0B">
            <w:pPr>
              <w:jc w:val="right"/>
              <w:rPr>
                <w:rFonts w:ascii="Arial" w:eastAsia="Arial" w:hAnsi="Arial" w:cs="Arial"/>
                <w:color w:val="000000"/>
                <w:sz w:val="16"/>
                <w:szCs w:val="16"/>
              </w:rPr>
            </w:pPr>
            <w:r w:rsidRPr="006D47B4">
              <w:rPr>
                <w:rFonts w:ascii="Arial" w:eastAsia="Arial" w:hAnsi="Arial" w:cs="Arial"/>
                <w:color w:val="000000"/>
                <w:sz w:val="16"/>
                <w:szCs w:val="16"/>
              </w:rPr>
              <w:t>year 2</w:t>
            </w:r>
          </w:p>
        </w:tc>
        <w:tc>
          <w:tcPr>
            <w:tcW w:w="915" w:type="dxa"/>
            <w:tcBorders>
              <w:top w:val="nil"/>
              <w:left w:val="nil"/>
              <w:bottom w:val="nil"/>
              <w:right w:val="single" w:sz="6" w:space="0" w:color="000000"/>
              <w:tl2br w:val="nil"/>
              <w:tr2bl w:val="nil"/>
            </w:tcBorders>
            <w:shd w:val="clear" w:color="auto" w:fill="FFFFFF"/>
            <w:tcMar>
              <w:left w:w="115" w:type="dxa"/>
              <w:right w:w="115" w:type="dxa"/>
            </w:tcMar>
            <w:vAlign w:val="bottom"/>
          </w:tcPr>
          <w:p w14:paraId="212C9228" w14:textId="77777777" w:rsidR="003F0EEA" w:rsidRPr="006D47B4" w:rsidRDefault="00FB7D0B">
            <w:pPr>
              <w:jc w:val="right"/>
              <w:rPr>
                <w:rFonts w:ascii="Arial" w:eastAsia="Arial" w:hAnsi="Arial" w:cs="Arial"/>
                <w:color w:val="000000"/>
                <w:sz w:val="16"/>
                <w:szCs w:val="16"/>
              </w:rPr>
            </w:pPr>
            <w:r w:rsidRPr="006D47B4">
              <w:rPr>
                <w:rFonts w:ascii="Arial" w:eastAsia="Arial" w:hAnsi="Arial" w:cs="Arial"/>
                <w:color w:val="000000"/>
                <w:sz w:val="16"/>
                <w:szCs w:val="16"/>
              </w:rPr>
              <w:t>year 3</w:t>
            </w:r>
          </w:p>
        </w:tc>
      </w:tr>
      <w:tr w:rsidR="00FB7D0B" w14:paraId="67865419" w14:textId="77777777" w:rsidTr="00FB7D0B">
        <w:trPr>
          <w:trHeight w:val="225"/>
        </w:trPr>
        <w:tc>
          <w:tcPr>
            <w:tcW w:w="2535" w:type="dxa"/>
            <w:gridSpan w:val="3"/>
            <w:tcBorders>
              <w:top w:val="nil"/>
              <w:left w:val="single" w:sz="6" w:space="0" w:color="000000"/>
              <w:bottom w:val="single" w:sz="6" w:space="0" w:color="000000"/>
              <w:right w:val="nil"/>
              <w:tl2br w:val="nil"/>
              <w:tr2bl w:val="nil"/>
            </w:tcBorders>
            <w:shd w:val="clear" w:color="auto" w:fill="FFFFFF"/>
            <w:tcMar>
              <w:left w:w="115" w:type="dxa"/>
              <w:right w:w="115" w:type="dxa"/>
            </w:tcMar>
            <w:vAlign w:val="bottom"/>
          </w:tcPr>
          <w:p w14:paraId="1E228FD1" w14:textId="77777777" w:rsidR="003F0EEA" w:rsidRPr="006D47B4" w:rsidRDefault="003F0EEA">
            <w:pPr>
              <w:rPr>
                <w:rFonts w:ascii="Arial" w:eastAsia="Arial" w:hAnsi="Arial" w:cs="Arial"/>
                <w:color w:val="000000"/>
                <w:sz w:val="16"/>
                <w:szCs w:val="16"/>
              </w:rPr>
            </w:pPr>
          </w:p>
        </w:tc>
        <w:tc>
          <w:tcPr>
            <w:tcW w:w="285"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2EF404EA" w14:textId="77777777" w:rsidR="003F0EEA" w:rsidRPr="006D47B4" w:rsidRDefault="003F0EEA">
            <w:pPr>
              <w:rPr>
                <w:rFonts w:ascii="Arial" w:eastAsia="Arial" w:hAnsi="Arial" w:cs="Arial"/>
                <w:color w:val="000000"/>
                <w:sz w:val="16"/>
                <w:szCs w:val="16"/>
              </w:rPr>
            </w:pPr>
          </w:p>
        </w:tc>
        <w:tc>
          <w:tcPr>
            <w:tcW w:w="1125"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626D637E" w14:textId="77777777" w:rsidR="003F0EEA" w:rsidRPr="006D47B4" w:rsidRDefault="00FB7D0B">
            <w:pPr>
              <w:jc w:val="right"/>
              <w:rPr>
                <w:rFonts w:ascii="Arial" w:eastAsia="Arial" w:hAnsi="Arial" w:cs="Arial"/>
                <w:color w:val="000000"/>
                <w:sz w:val="16"/>
                <w:szCs w:val="16"/>
              </w:rPr>
            </w:pPr>
            <w:r w:rsidRPr="006D47B4">
              <w:rPr>
                <w:rFonts w:ascii="Arial" w:eastAsia="Arial" w:hAnsi="Arial" w:cs="Arial"/>
                <w:color w:val="000000"/>
                <w:sz w:val="16"/>
                <w:szCs w:val="16"/>
              </w:rPr>
              <w:t>$'000</w:t>
            </w:r>
          </w:p>
        </w:tc>
        <w:tc>
          <w:tcPr>
            <w:tcW w:w="915" w:type="dxa"/>
            <w:tcBorders>
              <w:top w:val="nil"/>
              <w:left w:val="nil"/>
              <w:bottom w:val="single" w:sz="6" w:space="0" w:color="000000"/>
              <w:right w:val="nil"/>
              <w:tl2br w:val="nil"/>
              <w:tr2bl w:val="nil"/>
            </w:tcBorders>
            <w:shd w:val="clear" w:color="auto" w:fill="C0C0C0"/>
            <w:tcMar>
              <w:left w:w="115" w:type="dxa"/>
              <w:right w:w="115" w:type="dxa"/>
            </w:tcMar>
            <w:vAlign w:val="bottom"/>
          </w:tcPr>
          <w:p w14:paraId="198EB47D" w14:textId="77777777" w:rsidR="003F0EEA" w:rsidRPr="006D47B4" w:rsidRDefault="00FB7D0B">
            <w:pPr>
              <w:jc w:val="right"/>
              <w:rPr>
                <w:rFonts w:ascii="Arial" w:eastAsia="Arial" w:hAnsi="Arial" w:cs="Arial"/>
                <w:color w:val="000000"/>
                <w:sz w:val="16"/>
                <w:szCs w:val="16"/>
              </w:rPr>
            </w:pPr>
            <w:r w:rsidRPr="006D47B4">
              <w:rPr>
                <w:rFonts w:ascii="Arial" w:eastAsia="Arial" w:hAnsi="Arial" w:cs="Arial"/>
                <w:color w:val="000000"/>
                <w:sz w:val="16"/>
                <w:szCs w:val="16"/>
              </w:rPr>
              <w:t>$'000</w:t>
            </w:r>
          </w:p>
        </w:tc>
        <w:tc>
          <w:tcPr>
            <w:tcW w:w="915"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12AEDF7A" w14:textId="77777777" w:rsidR="003F0EEA" w:rsidRPr="006D47B4" w:rsidRDefault="00FB7D0B">
            <w:pPr>
              <w:jc w:val="right"/>
              <w:rPr>
                <w:rFonts w:ascii="Arial" w:eastAsia="Arial" w:hAnsi="Arial" w:cs="Arial"/>
                <w:color w:val="000000"/>
                <w:sz w:val="16"/>
                <w:szCs w:val="16"/>
              </w:rPr>
            </w:pPr>
            <w:r w:rsidRPr="006D47B4">
              <w:rPr>
                <w:rFonts w:ascii="Arial" w:eastAsia="Arial" w:hAnsi="Arial" w:cs="Arial"/>
                <w:color w:val="000000"/>
                <w:sz w:val="16"/>
                <w:szCs w:val="16"/>
              </w:rPr>
              <w:t>$'000</w:t>
            </w:r>
          </w:p>
        </w:tc>
        <w:tc>
          <w:tcPr>
            <w:tcW w:w="915"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59C00A69" w14:textId="77777777" w:rsidR="003F0EEA" w:rsidRPr="006D47B4" w:rsidRDefault="00FB7D0B">
            <w:pPr>
              <w:jc w:val="right"/>
              <w:rPr>
                <w:rFonts w:ascii="Arial" w:eastAsia="Arial" w:hAnsi="Arial" w:cs="Arial"/>
                <w:color w:val="000000"/>
                <w:sz w:val="16"/>
                <w:szCs w:val="16"/>
              </w:rPr>
            </w:pPr>
            <w:r w:rsidRPr="006D47B4">
              <w:rPr>
                <w:rFonts w:ascii="Arial" w:eastAsia="Arial" w:hAnsi="Arial" w:cs="Arial"/>
                <w:color w:val="000000"/>
                <w:sz w:val="16"/>
                <w:szCs w:val="16"/>
              </w:rPr>
              <w:t>$'000</w:t>
            </w:r>
          </w:p>
        </w:tc>
        <w:tc>
          <w:tcPr>
            <w:tcW w:w="915" w:type="dxa"/>
            <w:tcBorders>
              <w:top w:val="nil"/>
              <w:left w:val="nil"/>
              <w:bottom w:val="single" w:sz="6" w:space="0" w:color="000000"/>
              <w:right w:val="single" w:sz="6" w:space="0" w:color="000000"/>
              <w:tl2br w:val="nil"/>
              <w:tr2bl w:val="nil"/>
            </w:tcBorders>
            <w:shd w:val="clear" w:color="auto" w:fill="FFFFFF"/>
            <w:tcMar>
              <w:left w:w="115" w:type="dxa"/>
              <w:right w:w="115" w:type="dxa"/>
            </w:tcMar>
            <w:vAlign w:val="bottom"/>
          </w:tcPr>
          <w:p w14:paraId="375C35BD" w14:textId="77777777" w:rsidR="003F0EEA" w:rsidRPr="006D47B4" w:rsidRDefault="00FB7D0B">
            <w:pPr>
              <w:jc w:val="right"/>
              <w:rPr>
                <w:rFonts w:ascii="Arial" w:eastAsia="Arial" w:hAnsi="Arial" w:cs="Arial"/>
                <w:color w:val="000000"/>
                <w:sz w:val="16"/>
                <w:szCs w:val="16"/>
              </w:rPr>
            </w:pPr>
            <w:r w:rsidRPr="006D47B4">
              <w:rPr>
                <w:rFonts w:ascii="Arial" w:eastAsia="Arial" w:hAnsi="Arial" w:cs="Arial"/>
                <w:color w:val="000000"/>
                <w:sz w:val="16"/>
                <w:szCs w:val="16"/>
              </w:rPr>
              <w:t>$'000</w:t>
            </w:r>
          </w:p>
        </w:tc>
      </w:tr>
      <w:tr w:rsidR="00FB7D0B" w14:paraId="447B1434" w14:textId="77777777" w:rsidTr="00FB7D0B">
        <w:trPr>
          <w:trHeight w:val="225"/>
        </w:trPr>
        <w:tc>
          <w:tcPr>
            <w:tcW w:w="2535" w:type="dxa"/>
            <w:gridSpan w:val="3"/>
            <w:tcBorders>
              <w:top w:val="single" w:sz="6" w:space="0" w:color="000000"/>
              <w:left w:val="single" w:sz="6" w:space="0" w:color="000000"/>
              <w:bottom w:val="nil"/>
              <w:right w:val="nil"/>
              <w:tl2br w:val="nil"/>
              <w:tr2bl w:val="nil"/>
            </w:tcBorders>
            <w:shd w:val="clear" w:color="auto" w:fill="FFFFFF"/>
            <w:tcMar>
              <w:left w:w="115" w:type="dxa"/>
              <w:right w:w="115" w:type="dxa"/>
            </w:tcMar>
            <w:vAlign w:val="bottom"/>
          </w:tcPr>
          <w:p w14:paraId="27552504" w14:textId="77777777" w:rsidR="003F0EEA" w:rsidRPr="006D47B4" w:rsidRDefault="00FB7D0B">
            <w:pPr>
              <w:rPr>
                <w:rFonts w:ascii="Arial" w:eastAsia="Arial" w:hAnsi="Arial" w:cs="Arial"/>
                <w:color w:val="000000"/>
                <w:sz w:val="16"/>
                <w:szCs w:val="16"/>
              </w:rPr>
            </w:pPr>
            <w:r w:rsidRPr="006D47B4">
              <w:rPr>
                <w:rFonts w:ascii="Arial" w:eastAsia="Arial" w:hAnsi="Arial" w:cs="Arial"/>
                <w:color w:val="000000"/>
                <w:sz w:val="16"/>
                <w:szCs w:val="16"/>
              </w:rPr>
              <w:t>Annual departmental expenses:</w:t>
            </w:r>
          </w:p>
        </w:tc>
        <w:tc>
          <w:tcPr>
            <w:tcW w:w="285"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0879CD71" w14:textId="77777777" w:rsidR="003F0EEA" w:rsidRPr="006D47B4" w:rsidRDefault="003F0EEA">
            <w:pPr>
              <w:rPr>
                <w:rFonts w:ascii="Arial" w:eastAsia="Arial" w:hAnsi="Arial" w:cs="Arial"/>
                <w:color w:val="000000"/>
                <w:sz w:val="16"/>
                <w:szCs w:val="16"/>
              </w:rPr>
            </w:pPr>
          </w:p>
        </w:tc>
        <w:tc>
          <w:tcPr>
            <w:tcW w:w="1125"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43CB2A5D" w14:textId="77777777" w:rsidR="003F0EEA" w:rsidRPr="006D47B4" w:rsidRDefault="003F0EEA">
            <w:pPr>
              <w:rPr>
                <w:rFonts w:ascii="Arial" w:eastAsia="Arial" w:hAnsi="Arial" w:cs="Arial"/>
                <w:color w:val="000000"/>
                <w:sz w:val="20"/>
                <w:szCs w:val="16"/>
              </w:rPr>
            </w:pPr>
          </w:p>
        </w:tc>
        <w:tc>
          <w:tcPr>
            <w:tcW w:w="915" w:type="dxa"/>
            <w:tcBorders>
              <w:top w:val="single" w:sz="6" w:space="0" w:color="000000"/>
              <w:left w:val="nil"/>
              <w:bottom w:val="nil"/>
              <w:right w:val="nil"/>
              <w:tl2br w:val="nil"/>
              <w:tr2bl w:val="nil"/>
            </w:tcBorders>
            <w:shd w:val="clear" w:color="auto" w:fill="C0C0C0"/>
            <w:tcMar>
              <w:left w:w="115" w:type="dxa"/>
              <w:right w:w="115" w:type="dxa"/>
            </w:tcMar>
            <w:vAlign w:val="bottom"/>
          </w:tcPr>
          <w:p w14:paraId="6425021B" w14:textId="77777777" w:rsidR="003F0EEA" w:rsidRPr="006D47B4" w:rsidRDefault="003F0EEA">
            <w:pPr>
              <w:jc w:val="right"/>
              <w:rPr>
                <w:rFonts w:ascii="Arial" w:eastAsia="Arial" w:hAnsi="Arial" w:cs="Arial"/>
                <w:color w:val="000000"/>
                <w:sz w:val="16"/>
                <w:szCs w:val="16"/>
              </w:rPr>
            </w:pPr>
          </w:p>
        </w:tc>
        <w:tc>
          <w:tcPr>
            <w:tcW w:w="915"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7ACEBB38" w14:textId="77777777" w:rsidR="003F0EEA" w:rsidRPr="006D47B4" w:rsidRDefault="003F0EEA">
            <w:pPr>
              <w:jc w:val="right"/>
              <w:rPr>
                <w:rFonts w:ascii="Arial" w:eastAsia="Arial" w:hAnsi="Arial" w:cs="Arial"/>
                <w:color w:val="000000"/>
                <w:sz w:val="16"/>
                <w:szCs w:val="16"/>
              </w:rPr>
            </w:pPr>
          </w:p>
        </w:tc>
        <w:tc>
          <w:tcPr>
            <w:tcW w:w="915"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67F14562" w14:textId="77777777" w:rsidR="003F0EEA" w:rsidRPr="006D47B4" w:rsidRDefault="003F0EEA">
            <w:pPr>
              <w:jc w:val="right"/>
              <w:rPr>
                <w:rFonts w:ascii="Arial" w:eastAsia="Arial" w:hAnsi="Arial" w:cs="Arial"/>
                <w:color w:val="000000"/>
                <w:sz w:val="16"/>
                <w:szCs w:val="16"/>
              </w:rPr>
            </w:pPr>
          </w:p>
        </w:tc>
        <w:tc>
          <w:tcPr>
            <w:tcW w:w="915" w:type="dxa"/>
            <w:tcBorders>
              <w:top w:val="single" w:sz="6" w:space="0" w:color="000000"/>
              <w:left w:val="nil"/>
              <w:bottom w:val="nil"/>
              <w:right w:val="single" w:sz="6" w:space="0" w:color="000000"/>
              <w:tl2br w:val="nil"/>
              <w:tr2bl w:val="nil"/>
            </w:tcBorders>
            <w:shd w:val="clear" w:color="auto" w:fill="FFFFFF"/>
            <w:tcMar>
              <w:left w:w="115" w:type="dxa"/>
              <w:right w:w="115" w:type="dxa"/>
            </w:tcMar>
            <w:vAlign w:val="bottom"/>
          </w:tcPr>
          <w:p w14:paraId="2DFFAC20" w14:textId="77777777" w:rsidR="003F0EEA" w:rsidRPr="006D47B4" w:rsidRDefault="003F0EEA">
            <w:pPr>
              <w:jc w:val="right"/>
              <w:rPr>
                <w:rFonts w:ascii="Arial" w:eastAsia="Arial" w:hAnsi="Arial" w:cs="Arial"/>
                <w:color w:val="000000"/>
                <w:sz w:val="16"/>
                <w:szCs w:val="16"/>
              </w:rPr>
            </w:pPr>
          </w:p>
        </w:tc>
      </w:tr>
      <w:tr w:rsidR="00FB7D0B" w14:paraId="7780F3A1" w14:textId="77777777" w:rsidTr="00FB7D0B">
        <w:trPr>
          <w:trHeight w:val="225"/>
        </w:trPr>
        <w:tc>
          <w:tcPr>
            <w:tcW w:w="180" w:type="dxa"/>
            <w:tcBorders>
              <w:top w:val="nil"/>
              <w:left w:val="single" w:sz="6" w:space="0" w:color="000000"/>
              <w:bottom w:val="nil"/>
              <w:right w:val="nil"/>
              <w:tl2br w:val="nil"/>
              <w:tr2bl w:val="nil"/>
            </w:tcBorders>
            <w:shd w:val="clear" w:color="auto" w:fill="FFFFFF"/>
            <w:tcMar>
              <w:left w:w="115" w:type="dxa"/>
              <w:right w:w="115" w:type="dxa"/>
            </w:tcMar>
            <w:vAlign w:val="bottom"/>
          </w:tcPr>
          <w:p w14:paraId="40C2DACB" w14:textId="77777777" w:rsidR="003F0EEA" w:rsidRPr="006D47B4" w:rsidRDefault="003F0EEA">
            <w:pPr>
              <w:rPr>
                <w:rFonts w:ascii="Arial" w:eastAsia="Arial" w:hAnsi="Arial" w:cs="Arial"/>
                <w:color w:val="000000"/>
                <w:sz w:val="16"/>
                <w:szCs w:val="16"/>
              </w:rPr>
            </w:pPr>
          </w:p>
        </w:tc>
        <w:tc>
          <w:tcPr>
            <w:tcW w:w="2355" w:type="dxa"/>
            <w:gridSpan w:val="2"/>
            <w:tcBorders>
              <w:top w:val="nil"/>
              <w:left w:val="nil"/>
              <w:bottom w:val="nil"/>
              <w:right w:val="nil"/>
              <w:tl2br w:val="nil"/>
              <w:tr2bl w:val="nil"/>
            </w:tcBorders>
            <w:shd w:val="clear" w:color="auto" w:fill="FFFFFF"/>
            <w:tcMar>
              <w:left w:w="115" w:type="dxa"/>
              <w:right w:w="115" w:type="dxa"/>
            </w:tcMar>
            <w:vAlign w:val="bottom"/>
          </w:tcPr>
          <w:p w14:paraId="0E5077AA" w14:textId="77777777" w:rsidR="003F0EEA" w:rsidRPr="006D47B4" w:rsidRDefault="00FB7D0B">
            <w:pPr>
              <w:rPr>
                <w:rFonts w:ascii="Arial" w:eastAsia="Arial" w:hAnsi="Arial" w:cs="Arial"/>
                <w:color w:val="000000"/>
                <w:sz w:val="16"/>
                <w:szCs w:val="16"/>
              </w:rPr>
            </w:pPr>
            <w:r w:rsidRPr="006D47B4">
              <w:rPr>
                <w:rFonts w:ascii="Arial" w:eastAsia="Arial" w:hAnsi="Arial" w:cs="Arial"/>
                <w:color w:val="000000"/>
                <w:sz w:val="16"/>
                <w:szCs w:val="16"/>
              </w:rPr>
              <w:t>Departmental item</w:t>
            </w:r>
          </w:p>
        </w:tc>
        <w:tc>
          <w:tcPr>
            <w:tcW w:w="285" w:type="dxa"/>
            <w:tcBorders>
              <w:top w:val="nil"/>
              <w:left w:val="nil"/>
              <w:bottom w:val="nil"/>
              <w:right w:val="nil"/>
              <w:tl2br w:val="nil"/>
              <w:tr2bl w:val="nil"/>
            </w:tcBorders>
            <w:shd w:val="clear" w:color="auto" w:fill="FFFFFF"/>
            <w:tcMar>
              <w:left w:w="115" w:type="dxa"/>
              <w:right w:w="115" w:type="dxa"/>
            </w:tcMar>
            <w:vAlign w:val="bottom"/>
          </w:tcPr>
          <w:p w14:paraId="400B6709" w14:textId="77777777" w:rsidR="003F0EEA" w:rsidRPr="006D47B4" w:rsidRDefault="003F0EEA">
            <w:pPr>
              <w:rPr>
                <w:rFonts w:ascii="Arial" w:eastAsia="Arial" w:hAnsi="Arial" w:cs="Arial"/>
                <w:color w:val="000000"/>
                <w:sz w:val="16"/>
                <w:szCs w:val="16"/>
              </w:rPr>
            </w:pPr>
          </w:p>
        </w:tc>
        <w:tc>
          <w:tcPr>
            <w:tcW w:w="1125"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107C998B" w14:textId="77777777" w:rsidR="003F0EEA" w:rsidRPr="006D47B4" w:rsidRDefault="00FB7D0B">
            <w:pPr>
              <w:jc w:val="right"/>
              <w:rPr>
                <w:rFonts w:ascii="Arial" w:eastAsia="Arial" w:hAnsi="Arial" w:cs="Arial"/>
                <w:color w:val="000000"/>
                <w:sz w:val="16"/>
                <w:szCs w:val="16"/>
              </w:rPr>
            </w:pPr>
            <w:r w:rsidRPr="006D47B4">
              <w:rPr>
                <w:rFonts w:ascii="Arial" w:eastAsia="Arial" w:hAnsi="Arial" w:cs="Arial"/>
                <w:color w:val="000000"/>
                <w:sz w:val="16"/>
                <w:szCs w:val="16"/>
              </w:rPr>
              <w:t>61,472 </w:t>
            </w:r>
          </w:p>
        </w:tc>
        <w:tc>
          <w:tcPr>
            <w:tcW w:w="915" w:type="dxa"/>
            <w:tcBorders>
              <w:top w:val="nil"/>
              <w:left w:val="nil"/>
              <w:bottom w:val="single" w:sz="6" w:space="0" w:color="000000"/>
              <w:right w:val="nil"/>
              <w:tl2br w:val="nil"/>
              <w:tr2bl w:val="nil"/>
            </w:tcBorders>
            <w:shd w:val="clear" w:color="auto" w:fill="C0C0C0"/>
            <w:tcMar>
              <w:left w:w="115" w:type="dxa"/>
              <w:right w:w="115" w:type="dxa"/>
            </w:tcMar>
            <w:vAlign w:val="bottom"/>
          </w:tcPr>
          <w:p w14:paraId="171B11BC" w14:textId="77777777" w:rsidR="003F0EEA" w:rsidRPr="006D47B4" w:rsidRDefault="00FB7D0B">
            <w:pPr>
              <w:jc w:val="right"/>
              <w:rPr>
                <w:rFonts w:ascii="Arial" w:eastAsia="Arial" w:hAnsi="Arial" w:cs="Arial"/>
                <w:color w:val="000000"/>
                <w:sz w:val="16"/>
                <w:szCs w:val="16"/>
              </w:rPr>
            </w:pPr>
            <w:r w:rsidRPr="006D47B4">
              <w:rPr>
                <w:rFonts w:ascii="Arial" w:eastAsia="Arial" w:hAnsi="Arial" w:cs="Arial"/>
                <w:color w:val="000000"/>
                <w:sz w:val="16"/>
                <w:szCs w:val="16"/>
              </w:rPr>
              <w:t>69,497 </w:t>
            </w:r>
          </w:p>
        </w:tc>
        <w:tc>
          <w:tcPr>
            <w:tcW w:w="915"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04842188" w14:textId="77777777" w:rsidR="003F0EEA" w:rsidRPr="006D47B4" w:rsidRDefault="00FB7D0B">
            <w:pPr>
              <w:jc w:val="right"/>
              <w:rPr>
                <w:rFonts w:ascii="Arial" w:eastAsia="Arial" w:hAnsi="Arial" w:cs="Arial"/>
                <w:color w:val="000000"/>
                <w:sz w:val="16"/>
                <w:szCs w:val="16"/>
              </w:rPr>
            </w:pPr>
            <w:r w:rsidRPr="006D47B4">
              <w:rPr>
                <w:rFonts w:ascii="Arial" w:eastAsia="Arial" w:hAnsi="Arial" w:cs="Arial"/>
                <w:color w:val="000000"/>
                <w:sz w:val="16"/>
                <w:szCs w:val="16"/>
              </w:rPr>
              <w:t>59,313 </w:t>
            </w:r>
          </w:p>
        </w:tc>
        <w:tc>
          <w:tcPr>
            <w:tcW w:w="915"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5C0715C7" w14:textId="77777777" w:rsidR="003F0EEA" w:rsidRPr="006D47B4" w:rsidRDefault="00FB7D0B">
            <w:pPr>
              <w:jc w:val="right"/>
              <w:rPr>
                <w:rFonts w:ascii="Arial" w:eastAsia="Arial" w:hAnsi="Arial" w:cs="Arial"/>
                <w:color w:val="000000"/>
                <w:sz w:val="16"/>
                <w:szCs w:val="16"/>
              </w:rPr>
            </w:pPr>
            <w:r w:rsidRPr="006D47B4">
              <w:rPr>
                <w:rFonts w:ascii="Arial" w:eastAsia="Arial" w:hAnsi="Arial" w:cs="Arial"/>
                <w:color w:val="000000"/>
                <w:sz w:val="16"/>
                <w:szCs w:val="16"/>
              </w:rPr>
              <w:t>58,338 </w:t>
            </w:r>
          </w:p>
        </w:tc>
        <w:tc>
          <w:tcPr>
            <w:tcW w:w="915" w:type="dxa"/>
            <w:tcBorders>
              <w:top w:val="nil"/>
              <w:left w:val="nil"/>
              <w:bottom w:val="single" w:sz="6" w:space="0" w:color="000000"/>
              <w:right w:val="single" w:sz="6" w:space="0" w:color="000000"/>
              <w:tl2br w:val="nil"/>
              <w:tr2bl w:val="nil"/>
            </w:tcBorders>
            <w:shd w:val="clear" w:color="auto" w:fill="FFFFFF"/>
            <w:tcMar>
              <w:left w:w="115" w:type="dxa"/>
              <w:right w:w="115" w:type="dxa"/>
            </w:tcMar>
            <w:vAlign w:val="bottom"/>
          </w:tcPr>
          <w:p w14:paraId="16DB560D" w14:textId="77777777" w:rsidR="003F0EEA" w:rsidRPr="006D47B4" w:rsidRDefault="00FB7D0B">
            <w:pPr>
              <w:jc w:val="right"/>
              <w:rPr>
                <w:rFonts w:ascii="Arial" w:eastAsia="Arial" w:hAnsi="Arial" w:cs="Arial"/>
                <w:color w:val="000000"/>
                <w:sz w:val="16"/>
                <w:szCs w:val="16"/>
              </w:rPr>
            </w:pPr>
            <w:r w:rsidRPr="006D47B4">
              <w:rPr>
                <w:rFonts w:ascii="Arial" w:eastAsia="Arial" w:hAnsi="Arial" w:cs="Arial"/>
                <w:color w:val="000000"/>
                <w:sz w:val="16"/>
                <w:szCs w:val="16"/>
              </w:rPr>
              <w:t>57,967 </w:t>
            </w:r>
          </w:p>
        </w:tc>
      </w:tr>
      <w:tr w:rsidR="00FB7D0B" w14:paraId="776D8B0D" w14:textId="77777777" w:rsidTr="00FB7D0B">
        <w:trPr>
          <w:trHeight w:val="225"/>
        </w:trPr>
        <w:tc>
          <w:tcPr>
            <w:tcW w:w="2535" w:type="dxa"/>
            <w:gridSpan w:val="3"/>
            <w:tcBorders>
              <w:top w:val="nil"/>
              <w:left w:val="single" w:sz="6" w:space="0" w:color="000000"/>
              <w:bottom w:val="single" w:sz="6" w:space="0" w:color="000000"/>
              <w:right w:val="nil"/>
              <w:tl2br w:val="nil"/>
              <w:tr2bl w:val="nil"/>
            </w:tcBorders>
            <w:shd w:val="clear" w:color="auto" w:fill="FFFFFF"/>
            <w:tcMar>
              <w:left w:w="115" w:type="dxa"/>
              <w:right w:w="115" w:type="dxa"/>
            </w:tcMar>
            <w:vAlign w:val="bottom"/>
          </w:tcPr>
          <w:p w14:paraId="290F6F8F" w14:textId="77777777" w:rsidR="003F0EEA" w:rsidRPr="006D47B4" w:rsidRDefault="00FB7D0B">
            <w:pPr>
              <w:rPr>
                <w:rFonts w:ascii="Arial" w:eastAsia="Arial" w:hAnsi="Arial" w:cs="Arial"/>
                <w:color w:val="000000"/>
                <w:sz w:val="16"/>
                <w:szCs w:val="16"/>
              </w:rPr>
            </w:pPr>
            <w:r w:rsidRPr="006D47B4">
              <w:rPr>
                <w:rFonts w:ascii="Arial" w:eastAsia="Arial" w:hAnsi="Arial" w:cs="Arial"/>
                <w:b/>
                <w:color w:val="000000"/>
                <w:sz w:val="16"/>
                <w:szCs w:val="16"/>
              </w:rPr>
              <w:t xml:space="preserve">Total programme expenses </w:t>
            </w:r>
          </w:p>
        </w:tc>
        <w:tc>
          <w:tcPr>
            <w:tcW w:w="285"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50379565" w14:textId="77777777" w:rsidR="003F0EEA" w:rsidRPr="006D47B4" w:rsidRDefault="003F0EEA">
            <w:pPr>
              <w:rPr>
                <w:rFonts w:ascii="Arial" w:eastAsia="Arial" w:hAnsi="Arial" w:cs="Arial"/>
                <w:b/>
                <w:color w:val="000000"/>
                <w:sz w:val="16"/>
                <w:szCs w:val="16"/>
              </w:rPr>
            </w:pPr>
          </w:p>
        </w:tc>
        <w:tc>
          <w:tcPr>
            <w:tcW w:w="1125" w:type="dxa"/>
            <w:tcBorders>
              <w:top w:val="single" w:sz="6" w:space="0" w:color="000000"/>
              <w:left w:val="nil"/>
              <w:bottom w:val="single" w:sz="6" w:space="0" w:color="000000"/>
              <w:right w:val="nil"/>
              <w:tl2br w:val="nil"/>
              <w:tr2bl w:val="nil"/>
            </w:tcBorders>
            <w:shd w:val="clear" w:color="auto" w:fill="FFFFFF"/>
            <w:tcMar>
              <w:left w:w="115" w:type="dxa"/>
              <w:right w:w="115" w:type="dxa"/>
            </w:tcMar>
            <w:vAlign w:val="bottom"/>
          </w:tcPr>
          <w:p w14:paraId="7F6B125D" w14:textId="77777777" w:rsidR="003F0EEA" w:rsidRPr="006D47B4" w:rsidRDefault="00FB7D0B">
            <w:pPr>
              <w:jc w:val="right"/>
              <w:rPr>
                <w:rFonts w:ascii="Arial" w:eastAsia="Arial" w:hAnsi="Arial" w:cs="Arial"/>
                <w:b/>
                <w:color w:val="000000"/>
                <w:sz w:val="16"/>
                <w:szCs w:val="16"/>
              </w:rPr>
            </w:pPr>
            <w:r w:rsidRPr="006D47B4">
              <w:rPr>
                <w:rFonts w:ascii="Arial" w:eastAsia="Arial" w:hAnsi="Arial" w:cs="Arial"/>
                <w:b/>
                <w:color w:val="000000"/>
                <w:sz w:val="16"/>
                <w:szCs w:val="16"/>
              </w:rPr>
              <w:t>61,472 </w:t>
            </w:r>
          </w:p>
        </w:tc>
        <w:tc>
          <w:tcPr>
            <w:tcW w:w="915" w:type="dxa"/>
            <w:tcBorders>
              <w:top w:val="single" w:sz="6" w:space="0" w:color="000000"/>
              <w:left w:val="nil"/>
              <w:bottom w:val="single" w:sz="6" w:space="0" w:color="000000"/>
              <w:right w:val="nil"/>
              <w:tl2br w:val="nil"/>
              <w:tr2bl w:val="nil"/>
            </w:tcBorders>
            <w:shd w:val="clear" w:color="auto" w:fill="C0C0C0"/>
            <w:tcMar>
              <w:left w:w="115" w:type="dxa"/>
              <w:right w:w="115" w:type="dxa"/>
            </w:tcMar>
            <w:vAlign w:val="bottom"/>
          </w:tcPr>
          <w:p w14:paraId="49AC6F59" w14:textId="77777777" w:rsidR="003F0EEA" w:rsidRPr="006D47B4" w:rsidRDefault="00FB7D0B">
            <w:pPr>
              <w:jc w:val="right"/>
              <w:rPr>
                <w:rFonts w:ascii="Arial" w:eastAsia="Arial" w:hAnsi="Arial" w:cs="Arial"/>
                <w:b/>
                <w:color w:val="000000"/>
                <w:sz w:val="16"/>
                <w:szCs w:val="16"/>
              </w:rPr>
            </w:pPr>
            <w:r w:rsidRPr="006D47B4">
              <w:rPr>
                <w:rFonts w:ascii="Arial" w:eastAsia="Arial" w:hAnsi="Arial" w:cs="Arial"/>
                <w:b/>
                <w:color w:val="000000"/>
                <w:sz w:val="16"/>
                <w:szCs w:val="16"/>
              </w:rPr>
              <w:t>69,497 </w:t>
            </w:r>
          </w:p>
        </w:tc>
        <w:tc>
          <w:tcPr>
            <w:tcW w:w="915" w:type="dxa"/>
            <w:tcBorders>
              <w:top w:val="single" w:sz="6" w:space="0" w:color="000000"/>
              <w:left w:val="nil"/>
              <w:bottom w:val="single" w:sz="6" w:space="0" w:color="000000"/>
              <w:right w:val="nil"/>
              <w:tl2br w:val="nil"/>
              <w:tr2bl w:val="nil"/>
            </w:tcBorders>
            <w:shd w:val="clear" w:color="auto" w:fill="FFFFFF"/>
            <w:tcMar>
              <w:left w:w="115" w:type="dxa"/>
              <w:right w:w="115" w:type="dxa"/>
            </w:tcMar>
            <w:vAlign w:val="bottom"/>
          </w:tcPr>
          <w:p w14:paraId="77388305" w14:textId="77777777" w:rsidR="003F0EEA" w:rsidRPr="006D47B4" w:rsidRDefault="00FB7D0B">
            <w:pPr>
              <w:jc w:val="right"/>
              <w:rPr>
                <w:rFonts w:ascii="Arial" w:eastAsia="Arial" w:hAnsi="Arial" w:cs="Arial"/>
                <w:b/>
                <w:color w:val="000000"/>
                <w:sz w:val="16"/>
                <w:szCs w:val="16"/>
              </w:rPr>
            </w:pPr>
            <w:r w:rsidRPr="006D47B4">
              <w:rPr>
                <w:rFonts w:ascii="Arial" w:eastAsia="Arial" w:hAnsi="Arial" w:cs="Arial"/>
                <w:b/>
                <w:color w:val="000000"/>
                <w:sz w:val="16"/>
                <w:szCs w:val="16"/>
              </w:rPr>
              <w:t>59,313 </w:t>
            </w:r>
          </w:p>
        </w:tc>
        <w:tc>
          <w:tcPr>
            <w:tcW w:w="915" w:type="dxa"/>
            <w:tcBorders>
              <w:top w:val="single" w:sz="6" w:space="0" w:color="000000"/>
              <w:left w:val="nil"/>
              <w:bottom w:val="single" w:sz="6" w:space="0" w:color="000000"/>
              <w:right w:val="nil"/>
              <w:tl2br w:val="nil"/>
              <w:tr2bl w:val="nil"/>
            </w:tcBorders>
            <w:shd w:val="clear" w:color="auto" w:fill="FFFFFF"/>
            <w:tcMar>
              <w:left w:w="115" w:type="dxa"/>
              <w:right w:w="115" w:type="dxa"/>
            </w:tcMar>
            <w:vAlign w:val="bottom"/>
          </w:tcPr>
          <w:p w14:paraId="4E0740EA" w14:textId="77777777" w:rsidR="003F0EEA" w:rsidRPr="006D47B4" w:rsidRDefault="00FB7D0B">
            <w:pPr>
              <w:jc w:val="right"/>
              <w:rPr>
                <w:rFonts w:ascii="Arial" w:eastAsia="Arial" w:hAnsi="Arial" w:cs="Arial"/>
                <w:b/>
                <w:color w:val="000000"/>
                <w:sz w:val="16"/>
                <w:szCs w:val="16"/>
              </w:rPr>
            </w:pPr>
            <w:r w:rsidRPr="006D47B4">
              <w:rPr>
                <w:rFonts w:ascii="Arial" w:eastAsia="Arial" w:hAnsi="Arial" w:cs="Arial"/>
                <w:b/>
                <w:color w:val="000000"/>
                <w:sz w:val="16"/>
                <w:szCs w:val="16"/>
              </w:rPr>
              <w:t>58,338 </w:t>
            </w:r>
          </w:p>
        </w:tc>
        <w:tc>
          <w:tcPr>
            <w:tcW w:w="915" w:type="dxa"/>
            <w:tcBorders>
              <w:top w:val="single" w:sz="6" w:space="0" w:color="000000"/>
              <w:left w:val="nil"/>
              <w:bottom w:val="single" w:sz="6" w:space="0" w:color="000000"/>
              <w:right w:val="single" w:sz="6" w:space="0" w:color="000000"/>
              <w:tl2br w:val="nil"/>
              <w:tr2bl w:val="nil"/>
            </w:tcBorders>
            <w:shd w:val="clear" w:color="auto" w:fill="FFFFFF"/>
            <w:tcMar>
              <w:left w:w="115" w:type="dxa"/>
              <w:right w:w="115" w:type="dxa"/>
            </w:tcMar>
            <w:vAlign w:val="bottom"/>
          </w:tcPr>
          <w:p w14:paraId="075232A5" w14:textId="77777777" w:rsidR="003F0EEA" w:rsidRPr="006D47B4" w:rsidRDefault="00FB7D0B">
            <w:pPr>
              <w:jc w:val="right"/>
              <w:rPr>
                <w:rFonts w:ascii="Arial" w:eastAsia="Arial" w:hAnsi="Arial" w:cs="Arial"/>
                <w:b/>
                <w:color w:val="000000"/>
                <w:sz w:val="16"/>
                <w:szCs w:val="16"/>
              </w:rPr>
            </w:pPr>
            <w:r w:rsidRPr="006D47B4">
              <w:rPr>
                <w:rFonts w:ascii="Arial" w:eastAsia="Arial" w:hAnsi="Arial" w:cs="Arial"/>
                <w:b/>
                <w:color w:val="000000"/>
                <w:sz w:val="16"/>
                <w:szCs w:val="16"/>
              </w:rPr>
              <w:t>57,967 </w:t>
            </w:r>
          </w:p>
        </w:tc>
      </w:tr>
    </w:tbl>
    <w:p w14:paraId="407C6AE2" w14:textId="77777777" w:rsidR="003F0EEA" w:rsidRPr="006D47B4" w:rsidRDefault="00FB7D0B">
      <w:pPr>
        <w:rPr>
          <w:rFonts w:ascii="Arial" w:eastAsia="Times New Roman" w:hAnsi="Arial" w:cs="Arial"/>
          <w:b/>
          <w:sz w:val="16"/>
          <w:szCs w:val="16"/>
        </w:rPr>
      </w:pPr>
      <w:r w:rsidRPr="006D47B4">
        <w:rPr>
          <w:rFonts w:ascii="Arial" w:eastAsia="Times New Roman" w:hAnsi="Arial" w:cs="Arial"/>
          <w:b/>
          <w:sz w:val="16"/>
          <w:szCs w:val="16"/>
        </w:rPr>
        <w:br w:type="page"/>
      </w:r>
    </w:p>
    <w:tbl>
      <w:tblPr>
        <w:tblW w:w="8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
        <w:gridCol w:w="368"/>
        <w:gridCol w:w="2300"/>
        <w:gridCol w:w="1010"/>
        <w:gridCol w:w="998"/>
        <w:gridCol w:w="1012"/>
        <w:gridCol w:w="1012"/>
        <w:gridCol w:w="1012"/>
      </w:tblGrid>
      <w:tr w:rsidR="00724034" w14:paraId="7AA0F71A" w14:textId="77777777" w:rsidTr="003F0EEA">
        <w:tc>
          <w:tcPr>
            <w:tcW w:w="8080" w:type="dxa"/>
            <w:gridSpan w:val="8"/>
            <w:tcBorders>
              <w:top w:val="single" w:sz="4" w:space="0" w:color="auto"/>
              <w:left w:val="single" w:sz="4" w:space="0" w:color="auto"/>
              <w:bottom w:val="single" w:sz="4" w:space="0" w:color="auto"/>
              <w:right w:val="single" w:sz="4" w:space="0" w:color="auto"/>
            </w:tcBorders>
            <w:shd w:val="clear" w:color="auto" w:fill="E6E6E6"/>
          </w:tcPr>
          <w:p w14:paraId="001D2F01" w14:textId="77777777" w:rsidR="003F0EEA" w:rsidRPr="00A17252" w:rsidRDefault="00FB7D0B" w:rsidP="003F0EEA">
            <w:pPr>
              <w:pStyle w:val="TableTextLeft44"/>
              <w:rPr>
                <w:b/>
              </w:rPr>
            </w:pPr>
            <w:r w:rsidRPr="00A17252">
              <w:rPr>
                <w:b/>
                <w:sz w:val="20"/>
              </w:rPr>
              <w:t>Program</w:t>
            </w:r>
            <w:r>
              <w:rPr>
                <w:b/>
                <w:sz w:val="20"/>
              </w:rPr>
              <w:t>me</w:t>
            </w:r>
            <w:r w:rsidRPr="00A17252">
              <w:rPr>
                <w:b/>
                <w:sz w:val="20"/>
              </w:rPr>
              <w:t xml:space="preserve"> 1.1: Australian War Memorial</w:t>
            </w:r>
            <w:r>
              <w:rPr>
                <w:b/>
                <w:sz w:val="20"/>
              </w:rPr>
              <w:t xml:space="preserve"> (continued)</w:t>
            </w:r>
          </w:p>
        </w:tc>
      </w:tr>
      <w:tr w:rsidR="00FB7D0B" w14:paraId="5820F62A" w14:textId="77777777" w:rsidTr="00FB7D0B">
        <w:tblPrEx>
          <w:tblLook w:val="04A0" w:firstRow="1" w:lastRow="0" w:firstColumn="1" w:lastColumn="0" w:noHBand="0" w:noVBand="1"/>
        </w:tblPrEx>
        <w:trPr>
          <w:trHeight w:val="225"/>
        </w:trPr>
        <w:tc>
          <w:tcPr>
            <w:tcW w:w="0" w:type="auto"/>
            <w:gridSpan w:val="8"/>
            <w:tcBorders>
              <w:top w:val="single" w:sz="6" w:space="0" w:color="000000"/>
              <w:left w:val="single" w:sz="6" w:space="0" w:color="000000"/>
              <w:bottom w:val="single" w:sz="6" w:space="0" w:color="000000"/>
              <w:right w:val="single" w:sz="6" w:space="0" w:color="000000"/>
              <w:tl2br w:val="nil"/>
              <w:tr2bl w:val="nil"/>
            </w:tcBorders>
            <w:shd w:val="clear" w:color="auto" w:fill="FFFFFF"/>
            <w:tcMar>
              <w:left w:w="115" w:type="dxa"/>
              <w:right w:w="115" w:type="dxa"/>
            </w:tcMar>
            <w:vAlign w:val="bottom"/>
          </w:tcPr>
          <w:p w14:paraId="0C349411" w14:textId="77777777" w:rsidR="00724034" w:rsidRDefault="00FB7D0B">
            <w:r>
              <w:rPr>
                <w:rFonts w:ascii="Arial" w:eastAsia="Arial" w:hAnsi="Arial" w:cs="Arial"/>
                <w:b/>
                <w:color w:val="000000"/>
                <w:sz w:val="16"/>
              </w:rPr>
              <w:t>Programme Components</w:t>
            </w:r>
          </w:p>
        </w:tc>
      </w:tr>
      <w:tr w:rsidR="00724034" w14:paraId="2E497FA5" w14:textId="77777777">
        <w:tblPrEx>
          <w:tblLook w:val="04A0" w:firstRow="1" w:lastRow="0" w:firstColumn="1" w:lastColumn="0" w:noHBand="0" w:noVBand="1"/>
        </w:tblPrEx>
        <w:trPr>
          <w:trHeight w:val="225"/>
        </w:trPr>
        <w:tc>
          <w:tcPr>
            <w:tcW w:w="0" w:type="auto"/>
            <w:tcBorders>
              <w:top w:val="single" w:sz="6" w:space="0" w:color="000000"/>
              <w:left w:val="single" w:sz="6" w:space="0" w:color="000000"/>
              <w:bottom w:val="nil"/>
              <w:right w:val="nil"/>
              <w:tl2br w:val="nil"/>
              <w:tr2bl w:val="nil"/>
            </w:tcBorders>
            <w:shd w:val="clear" w:color="auto" w:fill="FFFFFF"/>
            <w:tcMar>
              <w:left w:w="115" w:type="dxa"/>
              <w:right w:w="115" w:type="dxa"/>
            </w:tcMar>
            <w:vAlign w:val="bottom"/>
          </w:tcPr>
          <w:p w14:paraId="0390869F" w14:textId="77777777" w:rsidR="00724034" w:rsidRDefault="00724034">
            <w:pPr>
              <w:rPr>
                <w:rFonts w:ascii="Arial" w:eastAsia="Arial" w:hAnsi="Arial" w:cs="Arial"/>
                <w:b/>
                <w:color w:val="000000"/>
                <w:sz w:val="16"/>
              </w:rPr>
            </w:pPr>
          </w:p>
        </w:tc>
        <w:tc>
          <w:tcPr>
            <w:tcW w:w="0" w:type="auto"/>
            <w:tcBorders>
              <w:top w:val="single" w:sz="6" w:space="0" w:color="000000"/>
              <w:left w:val="nil"/>
              <w:bottom w:val="nil"/>
              <w:right w:val="nil"/>
              <w:tl2br w:val="nil"/>
              <w:tr2bl w:val="nil"/>
            </w:tcBorders>
            <w:shd w:val="clear" w:color="auto" w:fill="FFFFFF"/>
            <w:tcMar>
              <w:left w:w="115" w:type="dxa"/>
              <w:right w:w="115" w:type="dxa"/>
            </w:tcMar>
            <w:vAlign w:val="bottom"/>
          </w:tcPr>
          <w:p w14:paraId="5A8941AD" w14:textId="77777777" w:rsidR="00724034" w:rsidRDefault="00724034">
            <w:pPr>
              <w:rPr>
                <w:rFonts w:ascii="Arial" w:eastAsia="Arial" w:hAnsi="Arial" w:cs="Arial"/>
                <w:b/>
                <w:color w:val="000000"/>
                <w:sz w:val="16"/>
              </w:rPr>
            </w:pPr>
          </w:p>
        </w:tc>
        <w:tc>
          <w:tcPr>
            <w:tcW w:w="0" w:type="auto"/>
            <w:tcBorders>
              <w:top w:val="single" w:sz="6" w:space="0" w:color="000000"/>
              <w:left w:val="nil"/>
              <w:bottom w:val="nil"/>
              <w:right w:val="nil"/>
              <w:tl2br w:val="nil"/>
              <w:tr2bl w:val="nil"/>
            </w:tcBorders>
            <w:shd w:val="clear" w:color="auto" w:fill="FFFFFF"/>
            <w:tcMar>
              <w:left w:w="115" w:type="dxa"/>
              <w:right w:w="115" w:type="dxa"/>
            </w:tcMar>
            <w:vAlign w:val="bottom"/>
          </w:tcPr>
          <w:p w14:paraId="5EA9615D" w14:textId="77777777" w:rsidR="00724034" w:rsidRDefault="00724034">
            <w:pPr>
              <w:rPr>
                <w:rFonts w:ascii="Arial" w:eastAsia="Arial" w:hAnsi="Arial" w:cs="Arial"/>
                <w:b/>
                <w:color w:val="000000"/>
                <w:sz w:val="16"/>
              </w:rPr>
            </w:pPr>
          </w:p>
        </w:tc>
        <w:tc>
          <w:tcPr>
            <w:tcW w:w="0" w:type="auto"/>
            <w:tcBorders>
              <w:top w:val="single" w:sz="6" w:space="0" w:color="000000"/>
              <w:left w:val="nil"/>
              <w:bottom w:val="nil"/>
              <w:right w:val="nil"/>
              <w:tl2br w:val="nil"/>
              <w:tr2bl w:val="nil"/>
            </w:tcBorders>
            <w:shd w:val="clear" w:color="auto" w:fill="FFFFFF"/>
            <w:tcMar>
              <w:left w:w="115" w:type="dxa"/>
              <w:right w:w="115" w:type="dxa"/>
            </w:tcMar>
            <w:vAlign w:val="bottom"/>
          </w:tcPr>
          <w:p w14:paraId="23090C9F" w14:textId="77777777" w:rsidR="00724034" w:rsidRDefault="00FB7D0B">
            <w:pPr>
              <w:jc w:val="right"/>
              <w:rPr>
                <w:rFonts w:ascii="Arial" w:eastAsia="Arial" w:hAnsi="Arial" w:cs="Arial"/>
                <w:b/>
                <w:color w:val="000000"/>
                <w:sz w:val="16"/>
              </w:rPr>
            </w:pPr>
            <w:r>
              <w:rPr>
                <w:rFonts w:ascii="Arial" w:eastAsia="Arial" w:hAnsi="Arial" w:cs="Arial"/>
                <w:color w:val="000000"/>
                <w:sz w:val="16"/>
              </w:rPr>
              <w:t>2013-14</w:t>
            </w:r>
          </w:p>
        </w:tc>
        <w:tc>
          <w:tcPr>
            <w:tcW w:w="0" w:type="auto"/>
            <w:tcBorders>
              <w:top w:val="single" w:sz="6" w:space="0" w:color="000000"/>
              <w:left w:val="nil"/>
              <w:bottom w:val="nil"/>
              <w:right w:val="nil"/>
              <w:tl2br w:val="nil"/>
              <w:tr2bl w:val="nil"/>
            </w:tcBorders>
            <w:shd w:val="clear" w:color="auto" w:fill="C0C0C0"/>
            <w:tcMar>
              <w:left w:w="115" w:type="dxa"/>
              <w:right w:w="115" w:type="dxa"/>
            </w:tcMar>
            <w:vAlign w:val="bottom"/>
          </w:tcPr>
          <w:p w14:paraId="2D35EF74" w14:textId="77777777" w:rsidR="00724034" w:rsidRDefault="00FB7D0B">
            <w:pPr>
              <w:jc w:val="right"/>
              <w:rPr>
                <w:rFonts w:ascii="Arial" w:eastAsia="Arial" w:hAnsi="Arial" w:cs="Arial"/>
                <w:color w:val="000000"/>
                <w:sz w:val="16"/>
              </w:rPr>
            </w:pPr>
            <w:r>
              <w:rPr>
                <w:rFonts w:ascii="Arial" w:eastAsia="Arial" w:hAnsi="Arial" w:cs="Arial"/>
                <w:color w:val="000000"/>
                <w:sz w:val="16"/>
              </w:rPr>
              <w:t>2014-15</w:t>
            </w:r>
          </w:p>
        </w:tc>
        <w:tc>
          <w:tcPr>
            <w:tcW w:w="0" w:type="auto"/>
            <w:tcBorders>
              <w:top w:val="single" w:sz="6" w:space="0" w:color="000000"/>
              <w:left w:val="nil"/>
              <w:bottom w:val="nil"/>
              <w:right w:val="nil"/>
              <w:tl2br w:val="nil"/>
              <w:tr2bl w:val="nil"/>
            </w:tcBorders>
            <w:shd w:val="clear" w:color="auto" w:fill="FFFFFF"/>
            <w:tcMar>
              <w:left w:w="115" w:type="dxa"/>
              <w:right w:w="115" w:type="dxa"/>
            </w:tcMar>
            <w:vAlign w:val="bottom"/>
          </w:tcPr>
          <w:p w14:paraId="092FF7C1" w14:textId="77777777" w:rsidR="00724034" w:rsidRDefault="00FB7D0B">
            <w:pPr>
              <w:jc w:val="right"/>
              <w:rPr>
                <w:rFonts w:ascii="Arial" w:eastAsia="Arial" w:hAnsi="Arial" w:cs="Arial"/>
                <w:color w:val="000000"/>
                <w:sz w:val="16"/>
              </w:rPr>
            </w:pPr>
            <w:r>
              <w:rPr>
                <w:rFonts w:ascii="Arial" w:eastAsia="Arial" w:hAnsi="Arial" w:cs="Arial"/>
                <w:color w:val="000000"/>
                <w:sz w:val="16"/>
              </w:rPr>
              <w:t>2015-16</w:t>
            </w:r>
          </w:p>
        </w:tc>
        <w:tc>
          <w:tcPr>
            <w:tcW w:w="0" w:type="auto"/>
            <w:tcBorders>
              <w:top w:val="single" w:sz="6" w:space="0" w:color="000000"/>
              <w:left w:val="nil"/>
              <w:bottom w:val="nil"/>
              <w:right w:val="nil"/>
              <w:tl2br w:val="nil"/>
              <w:tr2bl w:val="nil"/>
            </w:tcBorders>
            <w:shd w:val="clear" w:color="auto" w:fill="FFFFFF"/>
            <w:tcMar>
              <w:left w:w="115" w:type="dxa"/>
              <w:right w:w="115" w:type="dxa"/>
            </w:tcMar>
            <w:vAlign w:val="bottom"/>
          </w:tcPr>
          <w:p w14:paraId="10406CF3" w14:textId="77777777" w:rsidR="00724034" w:rsidRDefault="00FB7D0B">
            <w:pPr>
              <w:jc w:val="right"/>
              <w:rPr>
                <w:rFonts w:ascii="Arial" w:eastAsia="Arial" w:hAnsi="Arial" w:cs="Arial"/>
                <w:color w:val="000000"/>
                <w:sz w:val="16"/>
              </w:rPr>
            </w:pPr>
            <w:r>
              <w:rPr>
                <w:rFonts w:ascii="Arial" w:eastAsia="Arial" w:hAnsi="Arial" w:cs="Arial"/>
                <w:color w:val="000000"/>
                <w:sz w:val="16"/>
              </w:rPr>
              <w:t>2016-17</w:t>
            </w:r>
          </w:p>
        </w:tc>
        <w:tc>
          <w:tcPr>
            <w:tcW w:w="0" w:type="auto"/>
            <w:tcBorders>
              <w:top w:val="single" w:sz="6" w:space="0" w:color="000000"/>
              <w:left w:val="nil"/>
              <w:bottom w:val="nil"/>
              <w:right w:val="single" w:sz="6" w:space="0" w:color="000000"/>
              <w:tl2br w:val="nil"/>
              <w:tr2bl w:val="nil"/>
            </w:tcBorders>
            <w:shd w:val="clear" w:color="auto" w:fill="FFFFFF"/>
            <w:tcMar>
              <w:left w:w="115" w:type="dxa"/>
              <w:right w:w="115" w:type="dxa"/>
            </w:tcMar>
            <w:vAlign w:val="bottom"/>
          </w:tcPr>
          <w:p w14:paraId="12A064D8" w14:textId="77777777" w:rsidR="00724034" w:rsidRDefault="00FB7D0B">
            <w:pPr>
              <w:jc w:val="right"/>
              <w:rPr>
                <w:rFonts w:ascii="Arial" w:eastAsia="Arial" w:hAnsi="Arial" w:cs="Arial"/>
                <w:color w:val="000000"/>
                <w:sz w:val="16"/>
              </w:rPr>
            </w:pPr>
            <w:r>
              <w:rPr>
                <w:rFonts w:ascii="Arial" w:eastAsia="Arial" w:hAnsi="Arial" w:cs="Arial"/>
                <w:color w:val="000000"/>
                <w:sz w:val="16"/>
              </w:rPr>
              <w:t>2017-18</w:t>
            </w:r>
          </w:p>
        </w:tc>
      </w:tr>
      <w:tr w:rsidR="00724034" w14:paraId="20E1C2E8" w14:textId="77777777">
        <w:tblPrEx>
          <w:tblLook w:val="04A0" w:firstRow="1" w:lastRow="0" w:firstColumn="1" w:lastColumn="0" w:noHBand="0" w:noVBand="1"/>
        </w:tblPrEx>
        <w:trPr>
          <w:trHeight w:val="225"/>
        </w:trPr>
        <w:tc>
          <w:tcPr>
            <w:tcW w:w="0" w:type="auto"/>
            <w:tcBorders>
              <w:top w:val="nil"/>
              <w:left w:val="single" w:sz="6" w:space="0" w:color="000000"/>
              <w:bottom w:val="nil"/>
              <w:right w:val="nil"/>
              <w:tl2br w:val="nil"/>
              <w:tr2bl w:val="nil"/>
            </w:tcBorders>
            <w:shd w:val="clear" w:color="auto" w:fill="FFFFFF"/>
            <w:tcMar>
              <w:left w:w="115" w:type="dxa"/>
              <w:right w:w="115" w:type="dxa"/>
            </w:tcMar>
            <w:vAlign w:val="bottom"/>
          </w:tcPr>
          <w:p w14:paraId="54B2BA3A" w14:textId="77777777" w:rsidR="00724034" w:rsidRDefault="00724034">
            <w:pPr>
              <w:rPr>
                <w:rFonts w:ascii="Arial" w:eastAsia="Arial" w:hAnsi="Arial" w:cs="Arial"/>
                <w:color w:val="000000"/>
                <w:sz w:val="16"/>
              </w:rPr>
            </w:pPr>
          </w:p>
        </w:tc>
        <w:tc>
          <w:tcPr>
            <w:tcW w:w="0" w:type="auto"/>
            <w:tcBorders>
              <w:top w:val="nil"/>
              <w:left w:val="nil"/>
              <w:bottom w:val="nil"/>
              <w:right w:val="nil"/>
              <w:tl2br w:val="nil"/>
              <w:tr2bl w:val="nil"/>
            </w:tcBorders>
            <w:shd w:val="clear" w:color="auto" w:fill="FFFFFF"/>
            <w:tcMar>
              <w:left w:w="115" w:type="dxa"/>
              <w:right w:w="115" w:type="dxa"/>
            </w:tcMar>
            <w:vAlign w:val="bottom"/>
          </w:tcPr>
          <w:p w14:paraId="679F2261" w14:textId="77777777" w:rsidR="00724034" w:rsidRDefault="00724034">
            <w:pPr>
              <w:rPr>
                <w:rFonts w:ascii="Arial" w:eastAsia="Arial" w:hAnsi="Arial" w:cs="Arial"/>
                <w:color w:val="000000"/>
                <w:sz w:val="16"/>
              </w:rPr>
            </w:pPr>
          </w:p>
        </w:tc>
        <w:tc>
          <w:tcPr>
            <w:tcW w:w="0" w:type="auto"/>
            <w:tcBorders>
              <w:top w:val="nil"/>
              <w:left w:val="nil"/>
              <w:bottom w:val="nil"/>
              <w:right w:val="nil"/>
              <w:tl2br w:val="nil"/>
              <w:tr2bl w:val="nil"/>
            </w:tcBorders>
            <w:shd w:val="clear" w:color="auto" w:fill="FFFFFF"/>
            <w:tcMar>
              <w:left w:w="115" w:type="dxa"/>
              <w:right w:w="115" w:type="dxa"/>
            </w:tcMar>
            <w:vAlign w:val="bottom"/>
          </w:tcPr>
          <w:p w14:paraId="5EF6BEE0" w14:textId="77777777" w:rsidR="00724034" w:rsidRDefault="00724034">
            <w:pPr>
              <w:rPr>
                <w:rFonts w:ascii="Arial" w:eastAsia="Arial" w:hAnsi="Arial" w:cs="Arial"/>
                <w:color w:val="000000"/>
                <w:sz w:val="16"/>
              </w:rPr>
            </w:pPr>
          </w:p>
        </w:tc>
        <w:tc>
          <w:tcPr>
            <w:tcW w:w="0" w:type="auto"/>
            <w:tcBorders>
              <w:top w:val="nil"/>
              <w:left w:val="nil"/>
              <w:bottom w:val="nil"/>
              <w:right w:val="nil"/>
              <w:tl2br w:val="nil"/>
              <w:tr2bl w:val="nil"/>
            </w:tcBorders>
            <w:shd w:val="clear" w:color="auto" w:fill="FFFFFF"/>
            <w:tcMar>
              <w:left w:w="115" w:type="dxa"/>
              <w:right w:w="115" w:type="dxa"/>
            </w:tcMar>
            <w:vAlign w:val="bottom"/>
          </w:tcPr>
          <w:p w14:paraId="3B0576D6" w14:textId="77777777" w:rsidR="00724034" w:rsidRDefault="00FB7D0B">
            <w:pPr>
              <w:jc w:val="right"/>
              <w:rPr>
                <w:rFonts w:ascii="Arial" w:eastAsia="Arial" w:hAnsi="Arial" w:cs="Arial"/>
                <w:color w:val="000000"/>
                <w:sz w:val="16"/>
              </w:rPr>
            </w:pPr>
            <w:r>
              <w:rPr>
                <w:rFonts w:ascii="Arial" w:eastAsia="Arial" w:hAnsi="Arial" w:cs="Arial"/>
                <w:color w:val="000000"/>
                <w:sz w:val="16"/>
              </w:rPr>
              <w:t>Revised</w:t>
            </w:r>
          </w:p>
        </w:tc>
        <w:tc>
          <w:tcPr>
            <w:tcW w:w="0" w:type="auto"/>
            <w:tcBorders>
              <w:top w:val="nil"/>
              <w:left w:val="nil"/>
              <w:bottom w:val="nil"/>
              <w:right w:val="nil"/>
              <w:tl2br w:val="nil"/>
              <w:tr2bl w:val="nil"/>
            </w:tcBorders>
            <w:shd w:val="clear" w:color="auto" w:fill="C0C0C0"/>
            <w:tcMar>
              <w:left w:w="115" w:type="dxa"/>
              <w:right w:w="115" w:type="dxa"/>
            </w:tcMar>
            <w:vAlign w:val="bottom"/>
          </w:tcPr>
          <w:p w14:paraId="5BACB2F4" w14:textId="77777777" w:rsidR="00724034" w:rsidRDefault="00FB7D0B">
            <w:pPr>
              <w:jc w:val="right"/>
              <w:rPr>
                <w:rFonts w:ascii="Arial" w:eastAsia="Arial" w:hAnsi="Arial" w:cs="Arial"/>
                <w:color w:val="000000"/>
                <w:sz w:val="16"/>
              </w:rPr>
            </w:pPr>
            <w:r>
              <w:rPr>
                <w:rFonts w:ascii="Arial" w:eastAsia="Arial" w:hAnsi="Arial" w:cs="Arial"/>
                <w:color w:val="000000"/>
                <w:sz w:val="16"/>
              </w:rPr>
              <w:t>Budget</w:t>
            </w:r>
          </w:p>
        </w:tc>
        <w:tc>
          <w:tcPr>
            <w:tcW w:w="0" w:type="auto"/>
            <w:tcBorders>
              <w:top w:val="nil"/>
              <w:left w:val="nil"/>
              <w:bottom w:val="nil"/>
              <w:right w:val="nil"/>
              <w:tl2br w:val="nil"/>
              <w:tr2bl w:val="nil"/>
            </w:tcBorders>
            <w:shd w:val="clear" w:color="auto" w:fill="FFFFFF"/>
            <w:tcMar>
              <w:left w:w="115" w:type="dxa"/>
              <w:right w:w="115" w:type="dxa"/>
            </w:tcMar>
            <w:vAlign w:val="bottom"/>
          </w:tcPr>
          <w:p w14:paraId="0B5A11DC" w14:textId="77777777" w:rsidR="00724034" w:rsidRDefault="00FB7D0B">
            <w:pPr>
              <w:jc w:val="right"/>
              <w:rPr>
                <w:rFonts w:ascii="Arial" w:eastAsia="Arial" w:hAnsi="Arial" w:cs="Arial"/>
                <w:color w:val="000000"/>
                <w:sz w:val="16"/>
              </w:rPr>
            </w:pPr>
            <w:r>
              <w:rPr>
                <w:rFonts w:ascii="Arial" w:eastAsia="Arial" w:hAnsi="Arial" w:cs="Arial"/>
                <w:color w:val="000000"/>
                <w:sz w:val="16"/>
              </w:rPr>
              <w:t>Forward</w:t>
            </w:r>
          </w:p>
        </w:tc>
        <w:tc>
          <w:tcPr>
            <w:tcW w:w="0" w:type="auto"/>
            <w:tcBorders>
              <w:top w:val="nil"/>
              <w:left w:val="nil"/>
              <w:bottom w:val="nil"/>
              <w:right w:val="nil"/>
              <w:tl2br w:val="nil"/>
              <w:tr2bl w:val="nil"/>
            </w:tcBorders>
            <w:shd w:val="clear" w:color="auto" w:fill="FFFFFF"/>
            <w:tcMar>
              <w:left w:w="115" w:type="dxa"/>
              <w:right w:w="115" w:type="dxa"/>
            </w:tcMar>
            <w:vAlign w:val="bottom"/>
          </w:tcPr>
          <w:p w14:paraId="196BE8E2" w14:textId="77777777" w:rsidR="00724034" w:rsidRDefault="00FB7D0B">
            <w:pPr>
              <w:jc w:val="right"/>
              <w:rPr>
                <w:rFonts w:ascii="Arial" w:eastAsia="Arial" w:hAnsi="Arial" w:cs="Arial"/>
                <w:color w:val="000000"/>
                <w:sz w:val="16"/>
              </w:rPr>
            </w:pPr>
            <w:r>
              <w:rPr>
                <w:rFonts w:ascii="Arial" w:eastAsia="Arial" w:hAnsi="Arial" w:cs="Arial"/>
                <w:color w:val="000000"/>
                <w:sz w:val="16"/>
              </w:rPr>
              <w:t>Forward</w:t>
            </w:r>
          </w:p>
        </w:tc>
        <w:tc>
          <w:tcPr>
            <w:tcW w:w="0" w:type="auto"/>
            <w:tcBorders>
              <w:top w:val="nil"/>
              <w:left w:val="nil"/>
              <w:bottom w:val="nil"/>
              <w:right w:val="single" w:sz="6" w:space="0" w:color="000000"/>
              <w:tl2br w:val="nil"/>
              <w:tr2bl w:val="nil"/>
            </w:tcBorders>
            <w:shd w:val="clear" w:color="auto" w:fill="FFFFFF"/>
            <w:tcMar>
              <w:left w:w="115" w:type="dxa"/>
              <w:right w:w="115" w:type="dxa"/>
            </w:tcMar>
            <w:vAlign w:val="bottom"/>
          </w:tcPr>
          <w:p w14:paraId="5BD1F646" w14:textId="77777777" w:rsidR="00724034" w:rsidRDefault="00FB7D0B">
            <w:pPr>
              <w:jc w:val="right"/>
              <w:rPr>
                <w:rFonts w:ascii="Arial" w:eastAsia="Arial" w:hAnsi="Arial" w:cs="Arial"/>
                <w:color w:val="000000"/>
                <w:sz w:val="16"/>
              </w:rPr>
            </w:pPr>
            <w:r>
              <w:rPr>
                <w:rFonts w:ascii="Arial" w:eastAsia="Arial" w:hAnsi="Arial" w:cs="Arial"/>
                <w:color w:val="000000"/>
                <w:sz w:val="16"/>
              </w:rPr>
              <w:t>Forward</w:t>
            </w:r>
          </w:p>
        </w:tc>
      </w:tr>
      <w:tr w:rsidR="00724034" w14:paraId="58F4EDA2" w14:textId="77777777">
        <w:tblPrEx>
          <w:tblLook w:val="04A0" w:firstRow="1" w:lastRow="0" w:firstColumn="1" w:lastColumn="0" w:noHBand="0" w:noVBand="1"/>
        </w:tblPrEx>
        <w:trPr>
          <w:trHeight w:val="225"/>
        </w:trPr>
        <w:tc>
          <w:tcPr>
            <w:tcW w:w="0" w:type="auto"/>
            <w:tcBorders>
              <w:top w:val="nil"/>
              <w:left w:val="single" w:sz="6" w:space="0" w:color="000000"/>
              <w:bottom w:val="nil"/>
              <w:right w:val="nil"/>
              <w:tl2br w:val="nil"/>
              <w:tr2bl w:val="nil"/>
            </w:tcBorders>
            <w:shd w:val="clear" w:color="auto" w:fill="FFFFFF"/>
            <w:tcMar>
              <w:left w:w="115" w:type="dxa"/>
              <w:right w:w="115" w:type="dxa"/>
            </w:tcMar>
            <w:vAlign w:val="bottom"/>
          </w:tcPr>
          <w:p w14:paraId="0FFF1234" w14:textId="77777777" w:rsidR="00724034" w:rsidRDefault="00724034">
            <w:pPr>
              <w:rPr>
                <w:rFonts w:ascii="Arial" w:eastAsia="Arial" w:hAnsi="Arial" w:cs="Arial"/>
                <w:color w:val="000000"/>
                <w:sz w:val="16"/>
              </w:rPr>
            </w:pPr>
          </w:p>
        </w:tc>
        <w:tc>
          <w:tcPr>
            <w:tcW w:w="0" w:type="auto"/>
            <w:tcBorders>
              <w:top w:val="nil"/>
              <w:left w:val="nil"/>
              <w:bottom w:val="nil"/>
              <w:right w:val="nil"/>
              <w:tl2br w:val="nil"/>
              <w:tr2bl w:val="nil"/>
            </w:tcBorders>
            <w:shd w:val="clear" w:color="auto" w:fill="FFFFFF"/>
            <w:tcMar>
              <w:left w:w="115" w:type="dxa"/>
              <w:right w:w="115" w:type="dxa"/>
            </w:tcMar>
            <w:vAlign w:val="bottom"/>
          </w:tcPr>
          <w:p w14:paraId="476A1926" w14:textId="77777777" w:rsidR="00724034" w:rsidRDefault="00724034">
            <w:pPr>
              <w:rPr>
                <w:rFonts w:ascii="Arial" w:eastAsia="Arial" w:hAnsi="Arial" w:cs="Arial"/>
                <w:color w:val="000000"/>
                <w:sz w:val="16"/>
              </w:rPr>
            </w:pPr>
          </w:p>
        </w:tc>
        <w:tc>
          <w:tcPr>
            <w:tcW w:w="0" w:type="auto"/>
            <w:tcBorders>
              <w:top w:val="nil"/>
              <w:left w:val="nil"/>
              <w:bottom w:val="nil"/>
              <w:right w:val="nil"/>
              <w:tl2br w:val="nil"/>
              <w:tr2bl w:val="nil"/>
            </w:tcBorders>
            <w:shd w:val="clear" w:color="auto" w:fill="FFFFFF"/>
            <w:tcMar>
              <w:left w:w="115" w:type="dxa"/>
              <w:right w:w="115" w:type="dxa"/>
            </w:tcMar>
            <w:vAlign w:val="bottom"/>
          </w:tcPr>
          <w:p w14:paraId="4C53B2DA" w14:textId="77777777" w:rsidR="00724034" w:rsidRDefault="00724034">
            <w:pPr>
              <w:rPr>
                <w:rFonts w:ascii="Arial" w:eastAsia="Arial" w:hAnsi="Arial" w:cs="Arial"/>
                <w:color w:val="000000"/>
                <w:sz w:val="16"/>
              </w:rPr>
            </w:pPr>
          </w:p>
        </w:tc>
        <w:tc>
          <w:tcPr>
            <w:tcW w:w="0" w:type="auto"/>
            <w:tcBorders>
              <w:top w:val="nil"/>
              <w:left w:val="nil"/>
              <w:bottom w:val="nil"/>
              <w:right w:val="nil"/>
              <w:tl2br w:val="nil"/>
              <w:tr2bl w:val="nil"/>
            </w:tcBorders>
            <w:shd w:val="clear" w:color="auto" w:fill="FFFFFF"/>
            <w:tcMar>
              <w:left w:w="115" w:type="dxa"/>
              <w:right w:w="115" w:type="dxa"/>
            </w:tcMar>
            <w:vAlign w:val="bottom"/>
          </w:tcPr>
          <w:p w14:paraId="42012C30" w14:textId="77777777" w:rsidR="00724034" w:rsidRDefault="00FB7D0B">
            <w:pPr>
              <w:jc w:val="right"/>
              <w:rPr>
                <w:rFonts w:ascii="Arial" w:eastAsia="Arial" w:hAnsi="Arial" w:cs="Arial"/>
                <w:color w:val="000000"/>
                <w:sz w:val="16"/>
              </w:rPr>
            </w:pPr>
            <w:r>
              <w:rPr>
                <w:rFonts w:ascii="Arial" w:eastAsia="Arial" w:hAnsi="Arial" w:cs="Arial"/>
                <w:color w:val="000000"/>
                <w:sz w:val="16"/>
              </w:rPr>
              <w:t>budget</w:t>
            </w:r>
          </w:p>
        </w:tc>
        <w:tc>
          <w:tcPr>
            <w:tcW w:w="0" w:type="auto"/>
            <w:tcBorders>
              <w:top w:val="nil"/>
              <w:left w:val="nil"/>
              <w:bottom w:val="nil"/>
              <w:right w:val="nil"/>
              <w:tl2br w:val="nil"/>
              <w:tr2bl w:val="nil"/>
            </w:tcBorders>
            <w:shd w:val="clear" w:color="auto" w:fill="C0C0C0"/>
            <w:tcMar>
              <w:left w:w="115" w:type="dxa"/>
              <w:right w:w="115" w:type="dxa"/>
            </w:tcMar>
            <w:vAlign w:val="bottom"/>
          </w:tcPr>
          <w:p w14:paraId="420902DB" w14:textId="77777777" w:rsidR="00724034" w:rsidRDefault="00724034">
            <w:pPr>
              <w:jc w:val="right"/>
              <w:rPr>
                <w:rFonts w:ascii="Arial" w:eastAsia="Arial" w:hAnsi="Arial" w:cs="Arial"/>
                <w:color w:val="000000"/>
                <w:sz w:val="16"/>
              </w:rPr>
            </w:pPr>
          </w:p>
        </w:tc>
        <w:tc>
          <w:tcPr>
            <w:tcW w:w="0" w:type="auto"/>
            <w:tcBorders>
              <w:top w:val="nil"/>
              <w:left w:val="nil"/>
              <w:bottom w:val="nil"/>
              <w:right w:val="nil"/>
              <w:tl2br w:val="nil"/>
              <w:tr2bl w:val="nil"/>
            </w:tcBorders>
            <w:shd w:val="clear" w:color="auto" w:fill="FFFFFF"/>
            <w:tcMar>
              <w:left w:w="115" w:type="dxa"/>
              <w:right w:w="115" w:type="dxa"/>
            </w:tcMar>
            <w:vAlign w:val="bottom"/>
          </w:tcPr>
          <w:p w14:paraId="6EBF6818" w14:textId="77777777" w:rsidR="00724034" w:rsidRDefault="00FB7D0B">
            <w:pPr>
              <w:jc w:val="right"/>
              <w:rPr>
                <w:rFonts w:ascii="Arial" w:eastAsia="Arial" w:hAnsi="Arial" w:cs="Arial"/>
                <w:color w:val="000000"/>
                <w:sz w:val="16"/>
              </w:rPr>
            </w:pPr>
            <w:r>
              <w:rPr>
                <w:rFonts w:ascii="Arial" w:eastAsia="Arial" w:hAnsi="Arial" w:cs="Arial"/>
                <w:color w:val="000000"/>
                <w:sz w:val="16"/>
              </w:rPr>
              <w:t>year 1</w:t>
            </w:r>
          </w:p>
        </w:tc>
        <w:tc>
          <w:tcPr>
            <w:tcW w:w="0" w:type="auto"/>
            <w:tcBorders>
              <w:top w:val="nil"/>
              <w:left w:val="nil"/>
              <w:bottom w:val="nil"/>
              <w:right w:val="nil"/>
              <w:tl2br w:val="nil"/>
              <w:tr2bl w:val="nil"/>
            </w:tcBorders>
            <w:shd w:val="clear" w:color="auto" w:fill="FFFFFF"/>
            <w:tcMar>
              <w:left w:w="115" w:type="dxa"/>
              <w:right w:w="115" w:type="dxa"/>
            </w:tcMar>
            <w:vAlign w:val="bottom"/>
          </w:tcPr>
          <w:p w14:paraId="40094712" w14:textId="77777777" w:rsidR="00724034" w:rsidRDefault="00FB7D0B">
            <w:pPr>
              <w:jc w:val="right"/>
              <w:rPr>
                <w:rFonts w:ascii="Arial" w:eastAsia="Arial" w:hAnsi="Arial" w:cs="Arial"/>
                <w:color w:val="000000"/>
                <w:sz w:val="16"/>
              </w:rPr>
            </w:pPr>
            <w:r>
              <w:rPr>
                <w:rFonts w:ascii="Arial" w:eastAsia="Arial" w:hAnsi="Arial" w:cs="Arial"/>
                <w:color w:val="000000"/>
                <w:sz w:val="16"/>
              </w:rPr>
              <w:t>year 2</w:t>
            </w:r>
          </w:p>
        </w:tc>
        <w:tc>
          <w:tcPr>
            <w:tcW w:w="0" w:type="auto"/>
            <w:tcBorders>
              <w:top w:val="nil"/>
              <w:left w:val="nil"/>
              <w:bottom w:val="nil"/>
              <w:right w:val="single" w:sz="6" w:space="0" w:color="000000"/>
              <w:tl2br w:val="nil"/>
              <w:tr2bl w:val="nil"/>
            </w:tcBorders>
            <w:shd w:val="clear" w:color="auto" w:fill="FFFFFF"/>
            <w:tcMar>
              <w:left w:w="115" w:type="dxa"/>
              <w:right w:w="115" w:type="dxa"/>
            </w:tcMar>
            <w:vAlign w:val="bottom"/>
          </w:tcPr>
          <w:p w14:paraId="3EF85C2D" w14:textId="77777777" w:rsidR="00724034" w:rsidRDefault="00FB7D0B">
            <w:pPr>
              <w:jc w:val="right"/>
              <w:rPr>
                <w:rFonts w:ascii="Arial" w:eastAsia="Arial" w:hAnsi="Arial" w:cs="Arial"/>
                <w:color w:val="000000"/>
                <w:sz w:val="16"/>
              </w:rPr>
            </w:pPr>
            <w:r>
              <w:rPr>
                <w:rFonts w:ascii="Arial" w:eastAsia="Arial" w:hAnsi="Arial" w:cs="Arial"/>
                <w:color w:val="000000"/>
                <w:sz w:val="16"/>
              </w:rPr>
              <w:t>year 3</w:t>
            </w:r>
          </w:p>
        </w:tc>
      </w:tr>
      <w:tr w:rsidR="00724034" w14:paraId="3944B7EC" w14:textId="77777777">
        <w:tblPrEx>
          <w:tblLook w:val="04A0" w:firstRow="1" w:lastRow="0" w:firstColumn="1" w:lastColumn="0" w:noHBand="0" w:noVBand="1"/>
        </w:tblPrEx>
        <w:trPr>
          <w:trHeight w:val="225"/>
        </w:trPr>
        <w:tc>
          <w:tcPr>
            <w:tcW w:w="0" w:type="auto"/>
            <w:tcBorders>
              <w:top w:val="nil"/>
              <w:left w:val="single" w:sz="6" w:space="0" w:color="000000"/>
              <w:bottom w:val="single" w:sz="6" w:space="0" w:color="000000"/>
              <w:right w:val="nil"/>
              <w:tl2br w:val="nil"/>
              <w:tr2bl w:val="nil"/>
            </w:tcBorders>
            <w:shd w:val="clear" w:color="auto" w:fill="FFFFFF"/>
            <w:tcMar>
              <w:left w:w="115" w:type="dxa"/>
              <w:right w:w="115" w:type="dxa"/>
            </w:tcMar>
            <w:vAlign w:val="bottom"/>
          </w:tcPr>
          <w:p w14:paraId="474D3E09" w14:textId="77777777" w:rsidR="00724034" w:rsidRDefault="00724034">
            <w:pPr>
              <w:rPr>
                <w:rFonts w:ascii="Arial" w:eastAsia="Arial" w:hAnsi="Arial" w:cs="Arial"/>
                <w:color w:val="000000"/>
                <w:sz w:val="16"/>
              </w:rPr>
            </w:pPr>
          </w:p>
        </w:tc>
        <w:tc>
          <w:tcPr>
            <w:tcW w:w="0" w:type="auto"/>
            <w:tcBorders>
              <w:top w:val="nil"/>
              <w:left w:val="nil"/>
              <w:bottom w:val="single" w:sz="6" w:space="0" w:color="000000"/>
              <w:right w:val="nil"/>
              <w:tl2br w:val="nil"/>
              <w:tr2bl w:val="nil"/>
            </w:tcBorders>
            <w:shd w:val="clear" w:color="auto" w:fill="FFFFFF"/>
            <w:tcMar>
              <w:left w:w="115" w:type="dxa"/>
              <w:right w:w="115" w:type="dxa"/>
            </w:tcMar>
            <w:vAlign w:val="bottom"/>
          </w:tcPr>
          <w:p w14:paraId="7951C578" w14:textId="77777777" w:rsidR="00724034" w:rsidRDefault="00724034">
            <w:pPr>
              <w:rPr>
                <w:rFonts w:ascii="Arial" w:eastAsia="Arial" w:hAnsi="Arial" w:cs="Arial"/>
                <w:color w:val="000000"/>
                <w:sz w:val="16"/>
              </w:rPr>
            </w:pPr>
          </w:p>
        </w:tc>
        <w:tc>
          <w:tcPr>
            <w:tcW w:w="0" w:type="auto"/>
            <w:tcBorders>
              <w:top w:val="nil"/>
              <w:left w:val="nil"/>
              <w:bottom w:val="single" w:sz="6" w:space="0" w:color="000000"/>
              <w:right w:val="nil"/>
              <w:tl2br w:val="nil"/>
              <w:tr2bl w:val="nil"/>
            </w:tcBorders>
            <w:shd w:val="clear" w:color="auto" w:fill="FFFFFF"/>
            <w:tcMar>
              <w:left w:w="115" w:type="dxa"/>
              <w:right w:w="115" w:type="dxa"/>
            </w:tcMar>
            <w:vAlign w:val="bottom"/>
          </w:tcPr>
          <w:p w14:paraId="51118381" w14:textId="77777777" w:rsidR="00724034" w:rsidRDefault="00724034">
            <w:pPr>
              <w:rPr>
                <w:rFonts w:ascii="Arial" w:eastAsia="Arial" w:hAnsi="Arial" w:cs="Arial"/>
                <w:color w:val="000000"/>
                <w:sz w:val="16"/>
              </w:rPr>
            </w:pPr>
          </w:p>
        </w:tc>
        <w:tc>
          <w:tcPr>
            <w:tcW w:w="0" w:type="auto"/>
            <w:tcBorders>
              <w:top w:val="nil"/>
              <w:left w:val="nil"/>
              <w:bottom w:val="single" w:sz="6" w:space="0" w:color="000000"/>
              <w:right w:val="nil"/>
              <w:tl2br w:val="nil"/>
              <w:tr2bl w:val="nil"/>
            </w:tcBorders>
            <w:shd w:val="clear" w:color="auto" w:fill="FFFFFF"/>
            <w:tcMar>
              <w:left w:w="115" w:type="dxa"/>
              <w:right w:w="115" w:type="dxa"/>
            </w:tcMar>
            <w:vAlign w:val="bottom"/>
          </w:tcPr>
          <w:p w14:paraId="27EECFE5" w14:textId="77777777" w:rsidR="00724034" w:rsidRDefault="00FB7D0B">
            <w:pPr>
              <w:jc w:val="right"/>
              <w:rPr>
                <w:rFonts w:ascii="Arial" w:eastAsia="Arial" w:hAnsi="Arial" w:cs="Arial"/>
                <w:color w:val="000000"/>
                <w:sz w:val="16"/>
              </w:rPr>
            </w:pPr>
            <w:r>
              <w:rPr>
                <w:rFonts w:ascii="Arial" w:eastAsia="Arial" w:hAnsi="Arial" w:cs="Arial"/>
                <w:color w:val="000000"/>
                <w:sz w:val="16"/>
              </w:rPr>
              <w:t>$'000</w:t>
            </w:r>
          </w:p>
        </w:tc>
        <w:tc>
          <w:tcPr>
            <w:tcW w:w="0" w:type="auto"/>
            <w:tcBorders>
              <w:top w:val="nil"/>
              <w:left w:val="nil"/>
              <w:bottom w:val="single" w:sz="6" w:space="0" w:color="000000"/>
              <w:right w:val="nil"/>
              <w:tl2br w:val="nil"/>
              <w:tr2bl w:val="nil"/>
            </w:tcBorders>
            <w:shd w:val="clear" w:color="auto" w:fill="C0C0C0"/>
            <w:tcMar>
              <w:left w:w="115" w:type="dxa"/>
              <w:right w:w="115" w:type="dxa"/>
            </w:tcMar>
            <w:vAlign w:val="bottom"/>
          </w:tcPr>
          <w:p w14:paraId="0FAA4A7A" w14:textId="77777777" w:rsidR="00724034" w:rsidRDefault="00FB7D0B">
            <w:pPr>
              <w:jc w:val="right"/>
              <w:rPr>
                <w:rFonts w:ascii="Arial" w:eastAsia="Arial" w:hAnsi="Arial" w:cs="Arial"/>
                <w:color w:val="000000"/>
                <w:sz w:val="16"/>
              </w:rPr>
            </w:pPr>
            <w:r>
              <w:rPr>
                <w:rFonts w:ascii="Arial" w:eastAsia="Arial" w:hAnsi="Arial" w:cs="Arial"/>
                <w:color w:val="000000"/>
                <w:sz w:val="16"/>
              </w:rPr>
              <w:t>$'000</w:t>
            </w:r>
          </w:p>
        </w:tc>
        <w:tc>
          <w:tcPr>
            <w:tcW w:w="0" w:type="auto"/>
            <w:tcBorders>
              <w:top w:val="nil"/>
              <w:left w:val="nil"/>
              <w:bottom w:val="single" w:sz="6" w:space="0" w:color="000000"/>
              <w:right w:val="nil"/>
              <w:tl2br w:val="nil"/>
              <w:tr2bl w:val="nil"/>
            </w:tcBorders>
            <w:shd w:val="clear" w:color="auto" w:fill="FFFFFF"/>
            <w:tcMar>
              <w:left w:w="115" w:type="dxa"/>
              <w:right w:w="115" w:type="dxa"/>
            </w:tcMar>
            <w:vAlign w:val="bottom"/>
          </w:tcPr>
          <w:p w14:paraId="12F7EC56" w14:textId="77777777" w:rsidR="00724034" w:rsidRDefault="00FB7D0B">
            <w:pPr>
              <w:jc w:val="right"/>
              <w:rPr>
                <w:rFonts w:ascii="Arial" w:eastAsia="Arial" w:hAnsi="Arial" w:cs="Arial"/>
                <w:color w:val="000000"/>
                <w:sz w:val="16"/>
              </w:rPr>
            </w:pPr>
            <w:r>
              <w:rPr>
                <w:rFonts w:ascii="Arial" w:eastAsia="Arial" w:hAnsi="Arial" w:cs="Arial"/>
                <w:color w:val="000000"/>
                <w:sz w:val="16"/>
              </w:rPr>
              <w:t>$'000</w:t>
            </w:r>
          </w:p>
        </w:tc>
        <w:tc>
          <w:tcPr>
            <w:tcW w:w="0" w:type="auto"/>
            <w:tcBorders>
              <w:top w:val="nil"/>
              <w:left w:val="nil"/>
              <w:bottom w:val="single" w:sz="6" w:space="0" w:color="000000"/>
              <w:right w:val="nil"/>
              <w:tl2br w:val="nil"/>
              <w:tr2bl w:val="nil"/>
            </w:tcBorders>
            <w:shd w:val="clear" w:color="auto" w:fill="FFFFFF"/>
            <w:tcMar>
              <w:left w:w="115" w:type="dxa"/>
              <w:right w:w="115" w:type="dxa"/>
            </w:tcMar>
            <w:vAlign w:val="bottom"/>
          </w:tcPr>
          <w:p w14:paraId="4C3253B1" w14:textId="77777777" w:rsidR="00724034" w:rsidRDefault="00FB7D0B">
            <w:pPr>
              <w:jc w:val="right"/>
              <w:rPr>
                <w:rFonts w:ascii="Arial" w:eastAsia="Arial" w:hAnsi="Arial" w:cs="Arial"/>
                <w:color w:val="000000"/>
                <w:sz w:val="16"/>
              </w:rPr>
            </w:pPr>
            <w:r>
              <w:rPr>
                <w:rFonts w:ascii="Arial" w:eastAsia="Arial" w:hAnsi="Arial" w:cs="Arial"/>
                <w:color w:val="000000"/>
                <w:sz w:val="16"/>
              </w:rPr>
              <w:t>$'000</w:t>
            </w:r>
          </w:p>
        </w:tc>
        <w:tc>
          <w:tcPr>
            <w:tcW w:w="0" w:type="auto"/>
            <w:tcBorders>
              <w:top w:val="nil"/>
              <w:left w:val="nil"/>
              <w:bottom w:val="single" w:sz="6" w:space="0" w:color="000000"/>
              <w:right w:val="single" w:sz="6" w:space="0" w:color="000000"/>
              <w:tl2br w:val="nil"/>
              <w:tr2bl w:val="nil"/>
            </w:tcBorders>
            <w:shd w:val="clear" w:color="auto" w:fill="FFFFFF"/>
            <w:tcMar>
              <w:left w:w="115" w:type="dxa"/>
              <w:right w:w="115" w:type="dxa"/>
            </w:tcMar>
            <w:vAlign w:val="bottom"/>
          </w:tcPr>
          <w:p w14:paraId="41C18CD6" w14:textId="77777777" w:rsidR="00724034" w:rsidRDefault="00FB7D0B">
            <w:pPr>
              <w:jc w:val="right"/>
              <w:rPr>
                <w:rFonts w:ascii="Arial" w:eastAsia="Arial" w:hAnsi="Arial" w:cs="Arial"/>
                <w:color w:val="000000"/>
                <w:sz w:val="16"/>
              </w:rPr>
            </w:pPr>
            <w:r>
              <w:rPr>
                <w:rFonts w:ascii="Arial" w:eastAsia="Arial" w:hAnsi="Arial" w:cs="Arial"/>
                <w:color w:val="000000"/>
                <w:sz w:val="16"/>
              </w:rPr>
              <w:t>$'000</w:t>
            </w:r>
          </w:p>
        </w:tc>
      </w:tr>
      <w:tr w:rsidR="00FB7D0B" w14:paraId="026C2E7C" w14:textId="77777777" w:rsidTr="00FB7D0B">
        <w:tblPrEx>
          <w:tblLook w:val="04A0" w:firstRow="1" w:lastRow="0" w:firstColumn="1" w:lastColumn="0" w:noHBand="0" w:noVBand="1"/>
        </w:tblPrEx>
        <w:trPr>
          <w:trHeight w:val="225"/>
        </w:trPr>
        <w:tc>
          <w:tcPr>
            <w:tcW w:w="0" w:type="auto"/>
            <w:gridSpan w:val="3"/>
            <w:tcBorders>
              <w:top w:val="single" w:sz="6" w:space="0" w:color="000000"/>
              <w:left w:val="single" w:sz="6" w:space="0" w:color="000000"/>
              <w:bottom w:val="nil"/>
              <w:right w:val="nil"/>
              <w:tl2br w:val="nil"/>
              <w:tr2bl w:val="nil"/>
            </w:tcBorders>
            <w:shd w:val="clear" w:color="auto" w:fill="FFFFFF"/>
            <w:tcMar>
              <w:left w:w="115" w:type="dxa"/>
              <w:right w:w="115" w:type="dxa"/>
            </w:tcMar>
            <w:vAlign w:val="bottom"/>
          </w:tcPr>
          <w:p w14:paraId="1C50ABD5" w14:textId="77777777" w:rsidR="00724034" w:rsidRDefault="00FB7D0B">
            <w:pPr>
              <w:rPr>
                <w:rFonts w:ascii="Arial" w:eastAsia="Arial" w:hAnsi="Arial" w:cs="Arial"/>
                <w:color w:val="000000"/>
                <w:sz w:val="16"/>
              </w:rPr>
            </w:pPr>
            <w:r>
              <w:rPr>
                <w:rFonts w:ascii="Arial" w:eastAsia="Arial" w:hAnsi="Arial" w:cs="Arial"/>
                <w:b/>
                <w:i/>
                <w:color w:val="000000"/>
                <w:sz w:val="16"/>
              </w:rPr>
              <w:t>1.1 - Commemorative Ceremonies</w:t>
            </w:r>
          </w:p>
        </w:tc>
        <w:tc>
          <w:tcPr>
            <w:tcW w:w="0" w:type="auto"/>
            <w:tcBorders>
              <w:top w:val="single" w:sz="6" w:space="0" w:color="000000"/>
              <w:left w:val="nil"/>
              <w:bottom w:val="nil"/>
              <w:right w:val="nil"/>
              <w:tl2br w:val="nil"/>
              <w:tr2bl w:val="nil"/>
            </w:tcBorders>
            <w:shd w:val="clear" w:color="auto" w:fill="FFFFFF"/>
            <w:tcMar>
              <w:left w:w="115" w:type="dxa"/>
              <w:right w:w="115" w:type="dxa"/>
            </w:tcMar>
            <w:vAlign w:val="bottom"/>
          </w:tcPr>
          <w:p w14:paraId="5DDCCEB6" w14:textId="77777777" w:rsidR="00724034" w:rsidRDefault="00724034">
            <w:pPr>
              <w:jc w:val="right"/>
              <w:rPr>
                <w:rFonts w:ascii="Arial" w:eastAsia="Arial" w:hAnsi="Arial" w:cs="Arial"/>
                <w:b/>
                <w:i/>
                <w:color w:val="000000"/>
                <w:sz w:val="16"/>
              </w:rPr>
            </w:pPr>
          </w:p>
        </w:tc>
        <w:tc>
          <w:tcPr>
            <w:tcW w:w="0" w:type="auto"/>
            <w:tcBorders>
              <w:top w:val="single" w:sz="6" w:space="0" w:color="000000"/>
              <w:left w:val="nil"/>
              <w:bottom w:val="nil"/>
              <w:right w:val="nil"/>
              <w:tl2br w:val="nil"/>
              <w:tr2bl w:val="nil"/>
            </w:tcBorders>
            <w:shd w:val="clear" w:color="auto" w:fill="C0C0C0"/>
            <w:tcMar>
              <w:left w:w="115" w:type="dxa"/>
              <w:right w:w="115" w:type="dxa"/>
            </w:tcMar>
            <w:vAlign w:val="bottom"/>
          </w:tcPr>
          <w:p w14:paraId="7AF30F21" w14:textId="77777777" w:rsidR="00724034" w:rsidRDefault="00724034">
            <w:pPr>
              <w:rPr>
                <w:rFonts w:ascii="Arial" w:eastAsia="Arial" w:hAnsi="Arial" w:cs="Arial"/>
                <w:color w:val="000000"/>
                <w:sz w:val="16"/>
              </w:rPr>
            </w:pPr>
          </w:p>
        </w:tc>
        <w:tc>
          <w:tcPr>
            <w:tcW w:w="0" w:type="auto"/>
            <w:tcBorders>
              <w:top w:val="single" w:sz="6" w:space="0" w:color="000000"/>
              <w:left w:val="nil"/>
              <w:bottom w:val="nil"/>
              <w:right w:val="nil"/>
              <w:tl2br w:val="nil"/>
              <w:tr2bl w:val="nil"/>
            </w:tcBorders>
            <w:shd w:val="clear" w:color="auto" w:fill="FFFFFF"/>
            <w:tcMar>
              <w:left w:w="115" w:type="dxa"/>
              <w:right w:w="115" w:type="dxa"/>
            </w:tcMar>
            <w:vAlign w:val="bottom"/>
          </w:tcPr>
          <w:p w14:paraId="59985E39" w14:textId="77777777" w:rsidR="00724034" w:rsidRDefault="00724034">
            <w:pPr>
              <w:jc w:val="right"/>
              <w:rPr>
                <w:rFonts w:ascii="Arial" w:eastAsia="Arial" w:hAnsi="Arial" w:cs="Arial"/>
                <w:color w:val="000000"/>
                <w:sz w:val="16"/>
              </w:rPr>
            </w:pPr>
          </w:p>
        </w:tc>
        <w:tc>
          <w:tcPr>
            <w:tcW w:w="0" w:type="auto"/>
            <w:tcBorders>
              <w:top w:val="single" w:sz="6" w:space="0" w:color="000000"/>
              <w:left w:val="nil"/>
              <w:bottom w:val="nil"/>
              <w:right w:val="nil"/>
              <w:tl2br w:val="nil"/>
              <w:tr2bl w:val="nil"/>
            </w:tcBorders>
            <w:shd w:val="clear" w:color="auto" w:fill="FFFFFF"/>
            <w:tcMar>
              <w:left w:w="115" w:type="dxa"/>
              <w:right w:w="115" w:type="dxa"/>
            </w:tcMar>
            <w:vAlign w:val="bottom"/>
          </w:tcPr>
          <w:p w14:paraId="456386A6" w14:textId="77777777" w:rsidR="00724034" w:rsidRDefault="00724034">
            <w:pPr>
              <w:jc w:val="right"/>
              <w:rPr>
                <w:rFonts w:ascii="Arial" w:eastAsia="Arial" w:hAnsi="Arial" w:cs="Arial"/>
                <w:color w:val="000000"/>
                <w:sz w:val="16"/>
              </w:rPr>
            </w:pPr>
          </w:p>
        </w:tc>
        <w:tc>
          <w:tcPr>
            <w:tcW w:w="0" w:type="auto"/>
            <w:tcBorders>
              <w:top w:val="single" w:sz="6" w:space="0" w:color="000000"/>
              <w:left w:val="nil"/>
              <w:bottom w:val="nil"/>
              <w:right w:val="single" w:sz="6" w:space="0" w:color="000000"/>
              <w:tl2br w:val="nil"/>
              <w:tr2bl w:val="nil"/>
            </w:tcBorders>
            <w:shd w:val="clear" w:color="auto" w:fill="FFFFFF"/>
            <w:tcMar>
              <w:left w:w="115" w:type="dxa"/>
              <w:right w:w="115" w:type="dxa"/>
            </w:tcMar>
            <w:vAlign w:val="bottom"/>
          </w:tcPr>
          <w:p w14:paraId="16317542" w14:textId="77777777" w:rsidR="00724034" w:rsidRDefault="00724034">
            <w:pPr>
              <w:jc w:val="right"/>
              <w:rPr>
                <w:rFonts w:ascii="Arial" w:eastAsia="Arial" w:hAnsi="Arial" w:cs="Arial"/>
                <w:color w:val="000000"/>
                <w:sz w:val="16"/>
              </w:rPr>
            </w:pPr>
          </w:p>
        </w:tc>
      </w:tr>
      <w:tr w:rsidR="00FB7D0B" w14:paraId="7BBBA4DF" w14:textId="77777777" w:rsidTr="00FB7D0B">
        <w:tblPrEx>
          <w:tblLook w:val="04A0" w:firstRow="1" w:lastRow="0" w:firstColumn="1" w:lastColumn="0" w:noHBand="0" w:noVBand="1"/>
        </w:tblPrEx>
        <w:trPr>
          <w:trHeight w:val="225"/>
        </w:trPr>
        <w:tc>
          <w:tcPr>
            <w:tcW w:w="0" w:type="auto"/>
            <w:tcBorders>
              <w:top w:val="nil"/>
              <w:left w:val="single" w:sz="6" w:space="0" w:color="000000"/>
              <w:bottom w:val="nil"/>
              <w:right w:val="nil"/>
              <w:tl2br w:val="nil"/>
              <w:tr2bl w:val="nil"/>
            </w:tcBorders>
            <w:shd w:val="clear" w:color="auto" w:fill="FFFFFF"/>
            <w:tcMar>
              <w:left w:w="115" w:type="dxa"/>
              <w:right w:w="115" w:type="dxa"/>
            </w:tcMar>
            <w:vAlign w:val="bottom"/>
          </w:tcPr>
          <w:p w14:paraId="0B4005CB" w14:textId="77777777" w:rsidR="00724034" w:rsidRDefault="00724034">
            <w:pPr>
              <w:rPr>
                <w:rFonts w:ascii="Arial" w:eastAsia="Arial" w:hAnsi="Arial" w:cs="Arial"/>
                <w:color w:val="000000"/>
                <w:sz w:val="16"/>
              </w:rPr>
            </w:pPr>
          </w:p>
        </w:tc>
        <w:tc>
          <w:tcPr>
            <w:tcW w:w="0" w:type="auto"/>
            <w:gridSpan w:val="2"/>
            <w:tcBorders>
              <w:top w:val="nil"/>
              <w:left w:val="nil"/>
              <w:bottom w:val="nil"/>
              <w:right w:val="nil"/>
              <w:tl2br w:val="nil"/>
              <w:tr2bl w:val="nil"/>
            </w:tcBorders>
            <w:shd w:val="clear" w:color="auto" w:fill="FFFFFF"/>
            <w:tcMar>
              <w:left w:w="115" w:type="dxa"/>
              <w:right w:w="115" w:type="dxa"/>
            </w:tcMar>
            <w:vAlign w:val="bottom"/>
          </w:tcPr>
          <w:p w14:paraId="322AFFCF" w14:textId="77777777" w:rsidR="00724034" w:rsidRDefault="00FB7D0B">
            <w:pPr>
              <w:rPr>
                <w:rFonts w:ascii="Arial" w:eastAsia="Arial" w:hAnsi="Arial" w:cs="Arial"/>
                <w:color w:val="000000"/>
                <w:sz w:val="16"/>
              </w:rPr>
            </w:pPr>
            <w:r>
              <w:rPr>
                <w:rFonts w:ascii="Arial" w:eastAsia="Arial" w:hAnsi="Arial" w:cs="Arial"/>
                <w:color w:val="000000"/>
                <w:sz w:val="16"/>
              </w:rPr>
              <w:t>Annual departmental expenses:</w:t>
            </w:r>
          </w:p>
        </w:tc>
        <w:tc>
          <w:tcPr>
            <w:tcW w:w="0" w:type="auto"/>
            <w:tcBorders>
              <w:top w:val="nil"/>
              <w:left w:val="nil"/>
              <w:bottom w:val="nil"/>
              <w:right w:val="nil"/>
              <w:tl2br w:val="nil"/>
              <w:tr2bl w:val="nil"/>
            </w:tcBorders>
            <w:shd w:val="clear" w:color="auto" w:fill="FFFFFF"/>
            <w:tcMar>
              <w:left w:w="115" w:type="dxa"/>
              <w:right w:w="115" w:type="dxa"/>
            </w:tcMar>
            <w:vAlign w:val="bottom"/>
          </w:tcPr>
          <w:p w14:paraId="36A48879" w14:textId="77777777" w:rsidR="00724034" w:rsidRDefault="00724034">
            <w:pPr>
              <w:jc w:val="right"/>
              <w:rPr>
                <w:rFonts w:ascii="Arial" w:eastAsia="Arial" w:hAnsi="Arial" w:cs="Arial"/>
                <w:color w:val="000000"/>
                <w:sz w:val="16"/>
              </w:rPr>
            </w:pPr>
          </w:p>
        </w:tc>
        <w:tc>
          <w:tcPr>
            <w:tcW w:w="0" w:type="auto"/>
            <w:tcBorders>
              <w:top w:val="nil"/>
              <w:left w:val="nil"/>
              <w:bottom w:val="nil"/>
              <w:right w:val="nil"/>
              <w:tl2br w:val="nil"/>
              <w:tr2bl w:val="nil"/>
            </w:tcBorders>
            <w:shd w:val="clear" w:color="auto" w:fill="C0C0C0"/>
            <w:tcMar>
              <w:left w:w="115" w:type="dxa"/>
              <w:right w:w="115" w:type="dxa"/>
            </w:tcMar>
            <w:vAlign w:val="bottom"/>
          </w:tcPr>
          <w:p w14:paraId="61146435" w14:textId="77777777" w:rsidR="00724034" w:rsidRDefault="00724034">
            <w:pPr>
              <w:rPr>
                <w:rFonts w:ascii="Arial" w:eastAsia="Arial" w:hAnsi="Arial" w:cs="Arial"/>
                <w:color w:val="000000"/>
                <w:sz w:val="16"/>
              </w:rPr>
            </w:pPr>
          </w:p>
        </w:tc>
        <w:tc>
          <w:tcPr>
            <w:tcW w:w="0" w:type="auto"/>
            <w:tcBorders>
              <w:top w:val="nil"/>
              <w:left w:val="nil"/>
              <w:bottom w:val="nil"/>
              <w:right w:val="nil"/>
              <w:tl2br w:val="nil"/>
              <w:tr2bl w:val="nil"/>
            </w:tcBorders>
            <w:shd w:val="clear" w:color="auto" w:fill="FFFFFF"/>
            <w:tcMar>
              <w:left w:w="115" w:type="dxa"/>
              <w:right w:w="115" w:type="dxa"/>
            </w:tcMar>
            <w:vAlign w:val="bottom"/>
          </w:tcPr>
          <w:p w14:paraId="66552A1B" w14:textId="77777777" w:rsidR="00724034" w:rsidRDefault="00724034">
            <w:pPr>
              <w:jc w:val="right"/>
              <w:rPr>
                <w:rFonts w:ascii="Arial" w:eastAsia="Arial" w:hAnsi="Arial" w:cs="Arial"/>
                <w:color w:val="000000"/>
                <w:sz w:val="16"/>
              </w:rPr>
            </w:pPr>
          </w:p>
        </w:tc>
        <w:tc>
          <w:tcPr>
            <w:tcW w:w="0" w:type="auto"/>
            <w:tcBorders>
              <w:top w:val="nil"/>
              <w:left w:val="nil"/>
              <w:bottom w:val="nil"/>
              <w:right w:val="nil"/>
              <w:tl2br w:val="nil"/>
              <w:tr2bl w:val="nil"/>
            </w:tcBorders>
            <w:shd w:val="clear" w:color="auto" w:fill="FFFFFF"/>
            <w:tcMar>
              <w:left w:w="115" w:type="dxa"/>
              <w:right w:w="115" w:type="dxa"/>
            </w:tcMar>
            <w:vAlign w:val="bottom"/>
          </w:tcPr>
          <w:p w14:paraId="6C3D3A61" w14:textId="77777777" w:rsidR="00724034" w:rsidRDefault="00724034">
            <w:pPr>
              <w:jc w:val="right"/>
              <w:rPr>
                <w:rFonts w:ascii="Arial" w:eastAsia="Arial" w:hAnsi="Arial" w:cs="Arial"/>
                <w:color w:val="000000"/>
                <w:sz w:val="16"/>
              </w:rPr>
            </w:pPr>
          </w:p>
        </w:tc>
        <w:tc>
          <w:tcPr>
            <w:tcW w:w="0" w:type="auto"/>
            <w:tcBorders>
              <w:top w:val="nil"/>
              <w:left w:val="nil"/>
              <w:bottom w:val="nil"/>
              <w:right w:val="single" w:sz="6" w:space="0" w:color="000000"/>
              <w:tl2br w:val="nil"/>
              <w:tr2bl w:val="nil"/>
            </w:tcBorders>
            <w:shd w:val="clear" w:color="auto" w:fill="FFFFFF"/>
            <w:tcMar>
              <w:left w:w="115" w:type="dxa"/>
              <w:right w:w="115" w:type="dxa"/>
            </w:tcMar>
            <w:vAlign w:val="bottom"/>
          </w:tcPr>
          <w:p w14:paraId="03F57CA6" w14:textId="77777777" w:rsidR="00724034" w:rsidRDefault="00724034">
            <w:pPr>
              <w:jc w:val="right"/>
              <w:rPr>
                <w:rFonts w:ascii="Arial" w:eastAsia="Arial" w:hAnsi="Arial" w:cs="Arial"/>
                <w:color w:val="000000"/>
                <w:sz w:val="16"/>
              </w:rPr>
            </w:pPr>
          </w:p>
        </w:tc>
      </w:tr>
      <w:tr w:rsidR="00724034" w14:paraId="57B3C381" w14:textId="77777777">
        <w:tblPrEx>
          <w:tblLook w:val="04A0" w:firstRow="1" w:lastRow="0" w:firstColumn="1" w:lastColumn="0" w:noHBand="0" w:noVBand="1"/>
        </w:tblPrEx>
        <w:trPr>
          <w:trHeight w:val="225"/>
        </w:trPr>
        <w:tc>
          <w:tcPr>
            <w:tcW w:w="0" w:type="auto"/>
            <w:tcBorders>
              <w:top w:val="nil"/>
              <w:left w:val="single" w:sz="6" w:space="0" w:color="000000"/>
              <w:bottom w:val="nil"/>
              <w:right w:val="nil"/>
              <w:tl2br w:val="nil"/>
              <w:tr2bl w:val="nil"/>
            </w:tcBorders>
            <w:shd w:val="clear" w:color="auto" w:fill="FFFFFF"/>
            <w:tcMar>
              <w:left w:w="115" w:type="dxa"/>
              <w:right w:w="115" w:type="dxa"/>
            </w:tcMar>
            <w:vAlign w:val="bottom"/>
          </w:tcPr>
          <w:p w14:paraId="68B10488" w14:textId="77777777" w:rsidR="00724034" w:rsidRDefault="00724034">
            <w:pPr>
              <w:rPr>
                <w:rFonts w:ascii="Arial" w:eastAsia="Arial" w:hAnsi="Arial" w:cs="Arial"/>
                <w:color w:val="000000"/>
                <w:sz w:val="16"/>
              </w:rPr>
            </w:pPr>
          </w:p>
        </w:tc>
        <w:tc>
          <w:tcPr>
            <w:tcW w:w="0" w:type="auto"/>
            <w:tcBorders>
              <w:top w:val="nil"/>
              <w:left w:val="nil"/>
              <w:bottom w:val="nil"/>
              <w:right w:val="nil"/>
              <w:tl2br w:val="nil"/>
              <w:tr2bl w:val="nil"/>
            </w:tcBorders>
            <w:shd w:val="clear" w:color="auto" w:fill="FFFFFF"/>
            <w:tcMar>
              <w:left w:w="115" w:type="dxa"/>
              <w:right w:w="115" w:type="dxa"/>
            </w:tcMar>
            <w:vAlign w:val="bottom"/>
          </w:tcPr>
          <w:p w14:paraId="6A07C99E" w14:textId="77777777" w:rsidR="00724034" w:rsidRDefault="00724034">
            <w:pPr>
              <w:rPr>
                <w:rFonts w:ascii="Arial" w:eastAsia="Arial" w:hAnsi="Arial" w:cs="Arial"/>
                <w:color w:val="000000"/>
                <w:sz w:val="16"/>
              </w:rPr>
            </w:pPr>
          </w:p>
        </w:tc>
        <w:tc>
          <w:tcPr>
            <w:tcW w:w="0" w:type="auto"/>
            <w:tcBorders>
              <w:top w:val="nil"/>
              <w:left w:val="nil"/>
              <w:bottom w:val="nil"/>
              <w:right w:val="nil"/>
              <w:tl2br w:val="nil"/>
              <w:tr2bl w:val="nil"/>
            </w:tcBorders>
            <w:shd w:val="clear" w:color="auto" w:fill="FFFFFF"/>
            <w:tcMar>
              <w:left w:w="115" w:type="dxa"/>
              <w:right w:w="115" w:type="dxa"/>
            </w:tcMar>
            <w:vAlign w:val="bottom"/>
          </w:tcPr>
          <w:p w14:paraId="47CEA809" w14:textId="77777777" w:rsidR="00724034" w:rsidRDefault="00FB7D0B">
            <w:pPr>
              <w:rPr>
                <w:rFonts w:ascii="Arial" w:eastAsia="Arial" w:hAnsi="Arial" w:cs="Arial"/>
                <w:color w:val="000000"/>
                <w:sz w:val="16"/>
              </w:rPr>
            </w:pPr>
            <w:r>
              <w:rPr>
                <w:rFonts w:ascii="Arial" w:eastAsia="Arial" w:hAnsi="Arial" w:cs="Arial"/>
                <w:color w:val="000000"/>
                <w:sz w:val="16"/>
              </w:rPr>
              <w:t>Departmental item</w:t>
            </w:r>
          </w:p>
        </w:tc>
        <w:tc>
          <w:tcPr>
            <w:tcW w:w="0" w:type="auto"/>
            <w:tcBorders>
              <w:top w:val="nil"/>
              <w:left w:val="nil"/>
              <w:bottom w:val="single" w:sz="6" w:space="0" w:color="000000"/>
              <w:right w:val="nil"/>
              <w:tl2br w:val="nil"/>
              <w:tr2bl w:val="nil"/>
            </w:tcBorders>
            <w:shd w:val="clear" w:color="auto" w:fill="FFFFFF"/>
            <w:tcMar>
              <w:left w:w="115" w:type="dxa"/>
              <w:right w:w="115" w:type="dxa"/>
            </w:tcMar>
            <w:vAlign w:val="bottom"/>
          </w:tcPr>
          <w:p w14:paraId="5E1141DA" w14:textId="77777777" w:rsidR="00724034" w:rsidRDefault="00FB7D0B">
            <w:pPr>
              <w:jc w:val="right"/>
              <w:rPr>
                <w:rFonts w:ascii="Arial" w:eastAsia="Arial" w:hAnsi="Arial" w:cs="Arial"/>
                <w:color w:val="000000"/>
                <w:sz w:val="16"/>
              </w:rPr>
            </w:pPr>
            <w:r>
              <w:rPr>
                <w:rFonts w:ascii="Arial" w:eastAsia="Arial" w:hAnsi="Arial" w:cs="Arial"/>
                <w:color w:val="000000"/>
                <w:sz w:val="16"/>
              </w:rPr>
              <w:t xml:space="preserve"> 572 </w:t>
            </w:r>
          </w:p>
        </w:tc>
        <w:tc>
          <w:tcPr>
            <w:tcW w:w="0" w:type="auto"/>
            <w:tcBorders>
              <w:top w:val="nil"/>
              <w:left w:val="nil"/>
              <w:bottom w:val="single" w:sz="6" w:space="0" w:color="000000"/>
              <w:right w:val="nil"/>
              <w:tl2br w:val="nil"/>
              <w:tr2bl w:val="nil"/>
            </w:tcBorders>
            <w:shd w:val="clear" w:color="auto" w:fill="C0C0C0"/>
            <w:tcMar>
              <w:left w:w="115" w:type="dxa"/>
              <w:right w:w="115" w:type="dxa"/>
            </w:tcMar>
            <w:vAlign w:val="bottom"/>
          </w:tcPr>
          <w:p w14:paraId="57182734" w14:textId="77777777" w:rsidR="00724034" w:rsidRDefault="00FB7D0B">
            <w:pPr>
              <w:jc w:val="right"/>
              <w:rPr>
                <w:rFonts w:ascii="Arial" w:eastAsia="Arial" w:hAnsi="Arial" w:cs="Arial"/>
                <w:color w:val="000000"/>
                <w:sz w:val="16"/>
              </w:rPr>
            </w:pPr>
            <w:r>
              <w:rPr>
                <w:rFonts w:ascii="Arial" w:eastAsia="Arial" w:hAnsi="Arial" w:cs="Arial"/>
                <w:color w:val="000000"/>
                <w:sz w:val="16"/>
              </w:rPr>
              <w:t xml:space="preserve"> 561 </w:t>
            </w:r>
          </w:p>
        </w:tc>
        <w:tc>
          <w:tcPr>
            <w:tcW w:w="0" w:type="auto"/>
            <w:tcBorders>
              <w:top w:val="nil"/>
              <w:left w:val="nil"/>
              <w:bottom w:val="single" w:sz="6" w:space="0" w:color="000000"/>
              <w:right w:val="nil"/>
              <w:tl2br w:val="nil"/>
              <w:tr2bl w:val="nil"/>
            </w:tcBorders>
            <w:shd w:val="clear" w:color="auto" w:fill="FFFFFF"/>
            <w:tcMar>
              <w:left w:w="115" w:type="dxa"/>
              <w:right w:w="115" w:type="dxa"/>
            </w:tcMar>
            <w:vAlign w:val="bottom"/>
          </w:tcPr>
          <w:p w14:paraId="54A4DC04" w14:textId="77777777" w:rsidR="00724034" w:rsidRDefault="00FB7D0B">
            <w:pPr>
              <w:jc w:val="right"/>
              <w:rPr>
                <w:rFonts w:ascii="Arial" w:eastAsia="Arial" w:hAnsi="Arial" w:cs="Arial"/>
                <w:color w:val="000000"/>
                <w:sz w:val="16"/>
              </w:rPr>
            </w:pPr>
            <w:r>
              <w:rPr>
                <w:rFonts w:ascii="Arial" w:eastAsia="Arial" w:hAnsi="Arial" w:cs="Arial"/>
                <w:color w:val="000000"/>
                <w:sz w:val="16"/>
              </w:rPr>
              <w:t xml:space="preserve"> 542 </w:t>
            </w:r>
          </w:p>
        </w:tc>
        <w:tc>
          <w:tcPr>
            <w:tcW w:w="0" w:type="auto"/>
            <w:tcBorders>
              <w:top w:val="nil"/>
              <w:left w:val="nil"/>
              <w:bottom w:val="single" w:sz="6" w:space="0" w:color="000000"/>
              <w:right w:val="nil"/>
              <w:tl2br w:val="nil"/>
              <w:tr2bl w:val="nil"/>
            </w:tcBorders>
            <w:shd w:val="clear" w:color="auto" w:fill="FFFFFF"/>
            <w:tcMar>
              <w:left w:w="115" w:type="dxa"/>
              <w:right w:w="115" w:type="dxa"/>
            </w:tcMar>
            <w:vAlign w:val="bottom"/>
          </w:tcPr>
          <w:p w14:paraId="53997565" w14:textId="77777777" w:rsidR="00724034" w:rsidRDefault="00FB7D0B">
            <w:pPr>
              <w:jc w:val="right"/>
              <w:rPr>
                <w:rFonts w:ascii="Arial" w:eastAsia="Arial" w:hAnsi="Arial" w:cs="Arial"/>
                <w:color w:val="000000"/>
                <w:sz w:val="16"/>
              </w:rPr>
            </w:pPr>
            <w:r>
              <w:rPr>
                <w:rFonts w:ascii="Arial" w:eastAsia="Arial" w:hAnsi="Arial" w:cs="Arial"/>
                <w:color w:val="000000"/>
                <w:sz w:val="16"/>
              </w:rPr>
              <w:t xml:space="preserve"> 533 </w:t>
            </w:r>
          </w:p>
        </w:tc>
        <w:tc>
          <w:tcPr>
            <w:tcW w:w="0" w:type="auto"/>
            <w:tcBorders>
              <w:top w:val="nil"/>
              <w:left w:val="nil"/>
              <w:bottom w:val="single" w:sz="6" w:space="0" w:color="000000"/>
              <w:right w:val="single" w:sz="6" w:space="0" w:color="000000"/>
              <w:tl2br w:val="nil"/>
              <w:tr2bl w:val="nil"/>
            </w:tcBorders>
            <w:shd w:val="clear" w:color="auto" w:fill="FFFFFF"/>
            <w:tcMar>
              <w:left w:w="115" w:type="dxa"/>
              <w:right w:w="115" w:type="dxa"/>
            </w:tcMar>
            <w:vAlign w:val="bottom"/>
          </w:tcPr>
          <w:p w14:paraId="41398BC4" w14:textId="77777777" w:rsidR="00724034" w:rsidRDefault="00FB7D0B">
            <w:pPr>
              <w:jc w:val="right"/>
              <w:rPr>
                <w:rFonts w:ascii="Arial" w:eastAsia="Arial" w:hAnsi="Arial" w:cs="Arial"/>
                <w:color w:val="000000"/>
                <w:sz w:val="16"/>
              </w:rPr>
            </w:pPr>
            <w:r>
              <w:rPr>
                <w:rFonts w:ascii="Arial" w:eastAsia="Arial" w:hAnsi="Arial" w:cs="Arial"/>
                <w:color w:val="000000"/>
                <w:sz w:val="16"/>
              </w:rPr>
              <w:t xml:space="preserve"> 529 </w:t>
            </w:r>
          </w:p>
        </w:tc>
      </w:tr>
      <w:tr w:rsidR="00FB7D0B" w14:paraId="19B3226A" w14:textId="77777777" w:rsidTr="00FB7D0B">
        <w:tblPrEx>
          <w:tblLook w:val="04A0" w:firstRow="1" w:lastRow="0" w:firstColumn="1" w:lastColumn="0" w:noHBand="0" w:noVBand="1"/>
        </w:tblPrEx>
        <w:trPr>
          <w:trHeight w:val="225"/>
        </w:trPr>
        <w:tc>
          <w:tcPr>
            <w:tcW w:w="0" w:type="auto"/>
            <w:tcBorders>
              <w:top w:val="nil"/>
              <w:left w:val="single" w:sz="6" w:space="0" w:color="000000"/>
              <w:bottom w:val="nil"/>
              <w:right w:val="nil"/>
              <w:tl2br w:val="nil"/>
              <w:tr2bl w:val="nil"/>
            </w:tcBorders>
            <w:shd w:val="clear" w:color="auto" w:fill="FFFFFF"/>
            <w:tcMar>
              <w:left w:w="115" w:type="dxa"/>
              <w:right w:w="115" w:type="dxa"/>
            </w:tcMar>
            <w:vAlign w:val="bottom"/>
          </w:tcPr>
          <w:p w14:paraId="26601BE2" w14:textId="77777777" w:rsidR="00724034" w:rsidRDefault="00724034">
            <w:pPr>
              <w:rPr>
                <w:rFonts w:ascii="Arial" w:eastAsia="Arial" w:hAnsi="Arial" w:cs="Arial"/>
                <w:color w:val="000000"/>
                <w:sz w:val="16"/>
              </w:rPr>
            </w:pPr>
          </w:p>
        </w:tc>
        <w:tc>
          <w:tcPr>
            <w:tcW w:w="0" w:type="auto"/>
            <w:gridSpan w:val="2"/>
            <w:vMerge w:val="restart"/>
            <w:tcBorders>
              <w:top w:val="nil"/>
              <w:left w:val="nil"/>
              <w:bottom w:val="nil"/>
              <w:right w:val="nil"/>
              <w:tl2br w:val="nil"/>
              <w:tr2bl w:val="nil"/>
            </w:tcBorders>
            <w:shd w:val="clear" w:color="auto" w:fill="FFFFFF"/>
            <w:tcMar>
              <w:left w:w="115" w:type="dxa"/>
              <w:right w:w="115" w:type="dxa"/>
            </w:tcMar>
            <w:vAlign w:val="bottom"/>
          </w:tcPr>
          <w:p w14:paraId="501A75C8" w14:textId="77777777" w:rsidR="00724034" w:rsidRDefault="00FB7D0B">
            <w:pPr>
              <w:rPr>
                <w:rFonts w:ascii="Arial" w:eastAsia="Arial" w:hAnsi="Arial" w:cs="Arial"/>
                <w:b/>
                <w:color w:val="000000"/>
                <w:sz w:val="16"/>
              </w:rPr>
            </w:pPr>
            <w:r>
              <w:rPr>
                <w:rFonts w:ascii="Arial" w:eastAsia="Arial" w:hAnsi="Arial" w:cs="Arial"/>
                <w:b/>
                <w:color w:val="000000"/>
                <w:sz w:val="16"/>
              </w:rPr>
              <w:t>Total component expenses</w:t>
            </w:r>
          </w:p>
        </w:tc>
        <w:tc>
          <w:tcPr>
            <w:tcW w:w="0" w:type="auto"/>
            <w:tcBorders>
              <w:top w:val="single" w:sz="6" w:space="0" w:color="000000"/>
              <w:left w:val="nil"/>
              <w:bottom w:val="single" w:sz="6" w:space="0" w:color="000000"/>
              <w:right w:val="nil"/>
              <w:tl2br w:val="nil"/>
              <w:tr2bl w:val="nil"/>
            </w:tcBorders>
            <w:shd w:val="clear" w:color="auto" w:fill="FFFFFF"/>
            <w:tcMar>
              <w:left w:w="115" w:type="dxa"/>
              <w:right w:w="115" w:type="dxa"/>
            </w:tcMar>
            <w:vAlign w:val="bottom"/>
          </w:tcPr>
          <w:p w14:paraId="22255AD7" w14:textId="77777777" w:rsidR="00724034" w:rsidRDefault="00FB7D0B">
            <w:pPr>
              <w:jc w:val="right"/>
              <w:rPr>
                <w:rFonts w:ascii="Arial" w:eastAsia="Arial" w:hAnsi="Arial" w:cs="Arial"/>
                <w:b/>
                <w:color w:val="000000"/>
                <w:sz w:val="16"/>
              </w:rPr>
            </w:pPr>
            <w:r>
              <w:rPr>
                <w:rFonts w:ascii="Arial" w:eastAsia="Arial" w:hAnsi="Arial" w:cs="Arial"/>
                <w:b/>
                <w:color w:val="000000"/>
                <w:sz w:val="16"/>
              </w:rPr>
              <w:t>572 </w:t>
            </w:r>
          </w:p>
        </w:tc>
        <w:tc>
          <w:tcPr>
            <w:tcW w:w="0" w:type="auto"/>
            <w:tcBorders>
              <w:top w:val="single" w:sz="6" w:space="0" w:color="000000"/>
              <w:left w:val="nil"/>
              <w:bottom w:val="single" w:sz="6" w:space="0" w:color="000000"/>
              <w:right w:val="nil"/>
              <w:tl2br w:val="nil"/>
              <w:tr2bl w:val="nil"/>
            </w:tcBorders>
            <w:shd w:val="clear" w:color="auto" w:fill="C0C0C0"/>
            <w:tcMar>
              <w:left w:w="115" w:type="dxa"/>
              <w:right w:w="115" w:type="dxa"/>
            </w:tcMar>
            <w:vAlign w:val="bottom"/>
          </w:tcPr>
          <w:p w14:paraId="0E1AB423" w14:textId="77777777" w:rsidR="00724034" w:rsidRDefault="00FB7D0B">
            <w:pPr>
              <w:jc w:val="right"/>
              <w:rPr>
                <w:rFonts w:ascii="Arial" w:eastAsia="Arial" w:hAnsi="Arial" w:cs="Arial"/>
                <w:b/>
                <w:color w:val="000000"/>
                <w:sz w:val="16"/>
              </w:rPr>
            </w:pPr>
            <w:r>
              <w:rPr>
                <w:rFonts w:ascii="Arial" w:eastAsia="Arial" w:hAnsi="Arial" w:cs="Arial"/>
                <w:b/>
                <w:color w:val="000000"/>
                <w:sz w:val="16"/>
              </w:rPr>
              <w:t>561 </w:t>
            </w:r>
          </w:p>
        </w:tc>
        <w:tc>
          <w:tcPr>
            <w:tcW w:w="0" w:type="auto"/>
            <w:tcBorders>
              <w:top w:val="single" w:sz="6" w:space="0" w:color="000000"/>
              <w:left w:val="nil"/>
              <w:bottom w:val="single" w:sz="6" w:space="0" w:color="000000"/>
              <w:right w:val="nil"/>
              <w:tl2br w:val="nil"/>
              <w:tr2bl w:val="nil"/>
            </w:tcBorders>
            <w:shd w:val="clear" w:color="auto" w:fill="FFFFFF"/>
            <w:tcMar>
              <w:left w:w="115" w:type="dxa"/>
              <w:right w:w="115" w:type="dxa"/>
            </w:tcMar>
            <w:vAlign w:val="bottom"/>
          </w:tcPr>
          <w:p w14:paraId="317D67E0" w14:textId="77777777" w:rsidR="00724034" w:rsidRDefault="00FB7D0B">
            <w:pPr>
              <w:jc w:val="right"/>
              <w:rPr>
                <w:rFonts w:ascii="Arial" w:eastAsia="Arial" w:hAnsi="Arial" w:cs="Arial"/>
                <w:b/>
                <w:color w:val="000000"/>
                <w:sz w:val="16"/>
              </w:rPr>
            </w:pPr>
            <w:r>
              <w:rPr>
                <w:rFonts w:ascii="Arial" w:eastAsia="Arial" w:hAnsi="Arial" w:cs="Arial"/>
                <w:b/>
                <w:color w:val="000000"/>
                <w:sz w:val="16"/>
              </w:rPr>
              <w:t>542 </w:t>
            </w:r>
          </w:p>
        </w:tc>
        <w:tc>
          <w:tcPr>
            <w:tcW w:w="0" w:type="auto"/>
            <w:tcBorders>
              <w:top w:val="single" w:sz="6" w:space="0" w:color="000000"/>
              <w:left w:val="nil"/>
              <w:bottom w:val="single" w:sz="6" w:space="0" w:color="000000"/>
              <w:right w:val="nil"/>
              <w:tl2br w:val="nil"/>
              <w:tr2bl w:val="nil"/>
            </w:tcBorders>
            <w:shd w:val="clear" w:color="auto" w:fill="FFFFFF"/>
            <w:tcMar>
              <w:left w:w="115" w:type="dxa"/>
              <w:right w:w="115" w:type="dxa"/>
            </w:tcMar>
            <w:vAlign w:val="bottom"/>
          </w:tcPr>
          <w:p w14:paraId="3306C8F4" w14:textId="77777777" w:rsidR="00724034" w:rsidRDefault="00FB7D0B">
            <w:pPr>
              <w:jc w:val="right"/>
              <w:rPr>
                <w:rFonts w:ascii="Arial" w:eastAsia="Arial" w:hAnsi="Arial" w:cs="Arial"/>
                <w:b/>
                <w:color w:val="000000"/>
                <w:sz w:val="16"/>
              </w:rPr>
            </w:pPr>
            <w:r>
              <w:rPr>
                <w:rFonts w:ascii="Arial" w:eastAsia="Arial" w:hAnsi="Arial" w:cs="Arial"/>
                <w:b/>
                <w:color w:val="000000"/>
                <w:sz w:val="16"/>
              </w:rPr>
              <w:t>533 </w:t>
            </w:r>
          </w:p>
        </w:tc>
        <w:tc>
          <w:tcPr>
            <w:tcW w:w="0" w:type="auto"/>
            <w:tcBorders>
              <w:top w:val="single" w:sz="6" w:space="0" w:color="000000"/>
              <w:left w:val="nil"/>
              <w:bottom w:val="single" w:sz="6" w:space="0" w:color="000000"/>
              <w:right w:val="single" w:sz="6" w:space="0" w:color="000000"/>
              <w:tl2br w:val="nil"/>
              <w:tr2bl w:val="nil"/>
            </w:tcBorders>
            <w:shd w:val="clear" w:color="auto" w:fill="FFFFFF"/>
            <w:tcMar>
              <w:left w:w="115" w:type="dxa"/>
              <w:right w:w="115" w:type="dxa"/>
            </w:tcMar>
            <w:vAlign w:val="bottom"/>
          </w:tcPr>
          <w:p w14:paraId="2658048B" w14:textId="77777777" w:rsidR="00724034" w:rsidRDefault="00FB7D0B">
            <w:pPr>
              <w:jc w:val="right"/>
              <w:rPr>
                <w:rFonts w:ascii="Arial" w:eastAsia="Arial" w:hAnsi="Arial" w:cs="Arial"/>
                <w:b/>
                <w:color w:val="000000"/>
                <w:sz w:val="16"/>
              </w:rPr>
            </w:pPr>
            <w:r>
              <w:rPr>
                <w:rFonts w:ascii="Arial" w:eastAsia="Arial" w:hAnsi="Arial" w:cs="Arial"/>
                <w:b/>
                <w:color w:val="000000"/>
                <w:sz w:val="16"/>
              </w:rPr>
              <w:t>529 </w:t>
            </w:r>
          </w:p>
        </w:tc>
      </w:tr>
      <w:tr w:rsidR="00FB7D0B" w14:paraId="7C968595" w14:textId="77777777" w:rsidTr="00FB7D0B">
        <w:tblPrEx>
          <w:tblLook w:val="04A0" w:firstRow="1" w:lastRow="0" w:firstColumn="1" w:lastColumn="0" w:noHBand="0" w:noVBand="1"/>
        </w:tblPrEx>
        <w:trPr>
          <w:trHeight w:val="225"/>
        </w:trPr>
        <w:tc>
          <w:tcPr>
            <w:tcW w:w="0" w:type="auto"/>
            <w:gridSpan w:val="3"/>
            <w:tcBorders>
              <w:top w:val="nil"/>
              <w:left w:val="single" w:sz="6" w:space="0" w:color="000000"/>
              <w:bottom w:val="nil"/>
              <w:right w:val="nil"/>
              <w:tl2br w:val="nil"/>
              <w:tr2bl w:val="nil"/>
            </w:tcBorders>
            <w:shd w:val="clear" w:color="auto" w:fill="FFFFFF"/>
            <w:tcMar>
              <w:left w:w="115" w:type="dxa"/>
              <w:right w:w="115" w:type="dxa"/>
            </w:tcMar>
            <w:vAlign w:val="bottom"/>
          </w:tcPr>
          <w:p w14:paraId="083BEECA" w14:textId="77777777" w:rsidR="00724034" w:rsidRDefault="00FB7D0B">
            <w:pPr>
              <w:rPr>
                <w:rFonts w:ascii="Arial" w:eastAsia="Arial" w:hAnsi="Arial" w:cs="Arial"/>
                <w:b/>
                <w:color w:val="000000"/>
                <w:sz w:val="16"/>
              </w:rPr>
            </w:pPr>
            <w:r>
              <w:rPr>
                <w:rFonts w:ascii="Arial" w:eastAsia="Arial" w:hAnsi="Arial" w:cs="Arial"/>
                <w:b/>
                <w:i/>
                <w:color w:val="000000"/>
                <w:sz w:val="16"/>
              </w:rPr>
              <w:t>1.2 - National Memorial &amp; Grounds</w:t>
            </w:r>
          </w:p>
        </w:tc>
        <w:tc>
          <w:tcPr>
            <w:tcW w:w="0" w:type="auto"/>
            <w:tcBorders>
              <w:top w:val="single" w:sz="6" w:space="0" w:color="000000"/>
              <w:left w:val="nil"/>
              <w:bottom w:val="nil"/>
              <w:right w:val="nil"/>
              <w:tl2br w:val="nil"/>
              <w:tr2bl w:val="nil"/>
            </w:tcBorders>
            <w:shd w:val="clear" w:color="auto" w:fill="FFFFFF"/>
            <w:tcMar>
              <w:left w:w="115" w:type="dxa"/>
              <w:right w:w="115" w:type="dxa"/>
            </w:tcMar>
            <w:vAlign w:val="bottom"/>
          </w:tcPr>
          <w:p w14:paraId="7E446A49" w14:textId="77777777" w:rsidR="00724034" w:rsidRDefault="00724034">
            <w:pPr>
              <w:jc w:val="right"/>
              <w:rPr>
                <w:rFonts w:ascii="Arial" w:eastAsia="Arial" w:hAnsi="Arial" w:cs="Arial"/>
                <w:b/>
                <w:i/>
                <w:color w:val="000000"/>
                <w:sz w:val="16"/>
              </w:rPr>
            </w:pPr>
          </w:p>
        </w:tc>
        <w:tc>
          <w:tcPr>
            <w:tcW w:w="0" w:type="auto"/>
            <w:tcBorders>
              <w:top w:val="single" w:sz="6" w:space="0" w:color="000000"/>
              <w:left w:val="nil"/>
              <w:bottom w:val="nil"/>
              <w:right w:val="nil"/>
              <w:tl2br w:val="nil"/>
              <w:tr2bl w:val="nil"/>
            </w:tcBorders>
            <w:shd w:val="clear" w:color="auto" w:fill="C0C0C0"/>
            <w:tcMar>
              <w:left w:w="115" w:type="dxa"/>
              <w:right w:w="115" w:type="dxa"/>
            </w:tcMar>
            <w:vAlign w:val="bottom"/>
          </w:tcPr>
          <w:p w14:paraId="21AE677C" w14:textId="77777777" w:rsidR="00724034" w:rsidRDefault="00724034">
            <w:pPr>
              <w:jc w:val="right"/>
              <w:rPr>
                <w:rFonts w:ascii="Arial" w:eastAsia="Arial" w:hAnsi="Arial" w:cs="Arial"/>
                <w:color w:val="000000"/>
                <w:sz w:val="16"/>
              </w:rPr>
            </w:pPr>
          </w:p>
        </w:tc>
        <w:tc>
          <w:tcPr>
            <w:tcW w:w="0" w:type="auto"/>
            <w:tcBorders>
              <w:top w:val="single" w:sz="6" w:space="0" w:color="000000"/>
              <w:left w:val="nil"/>
              <w:bottom w:val="nil"/>
              <w:right w:val="nil"/>
              <w:tl2br w:val="nil"/>
              <w:tr2bl w:val="nil"/>
            </w:tcBorders>
            <w:shd w:val="clear" w:color="auto" w:fill="FFFFFF"/>
            <w:tcMar>
              <w:left w:w="115" w:type="dxa"/>
              <w:right w:w="115" w:type="dxa"/>
            </w:tcMar>
            <w:vAlign w:val="bottom"/>
          </w:tcPr>
          <w:p w14:paraId="3AC4C85A" w14:textId="77777777" w:rsidR="00724034" w:rsidRDefault="00724034">
            <w:pPr>
              <w:jc w:val="right"/>
              <w:rPr>
                <w:rFonts w:ascii="Arial" w:eastAsia="Arial" w:hAnsi="Arial" w:cs="Arial"/>
                <w:color w:val="000000"/>
                <w:sz w:val="16"/>
              </w:rPr>
            </w:pPr>
          </w:p>
        </w:tc>
        <w:tc>
          <w:tcPr>
            <w:tcW w:w="0" w:type="auto"/>
            <w:tcBorders>
              <w:top w:val="single" w:sz="6" w:space="0" w:color="000000"/>
              <w:left w:val="nil"/>
              <w:bottom w:val="nil"/>
              <w:right w:val="nil"/>
              <w:tl2br w:val="nil"/>
              <w:tr2bl w:val="nil"/>
            </w:tcBorders>
            <w:shd w:val="clear" w:color="auto" w:fill="FFFFFF"/>
            <w:tcMar>
              <w:left w:w="115" w:type="dxa"/>
              <w:right w:w="115" w:type="dxa"/>
            </w:tcMar>
            <w:vAlign w:val="bottom"/>
          </w:tcPr>
          <w:p w14:paraId="2A470967" w14:textId="77777777" w:rsidR="00724034" w:rsidRDefault="00724034">
            <w:pPr>
              <w:jc w:val="right"/>
              <w:rPr>
                <w:rFonts w:ascii="Arial" w:eastAsia="Arial" w:hAnsi="Arial" w:cs="Arial"/>
                <w:color w:val="000000"/>
                <w:sz w:val="16"/>
              </w:rPr>
            </w:pPr>
          </w:p>
        </w:tc>
        <w:tc>
          <w:tcPr>
            <w:tcW w:w="0" w:type="auto"/>
            <w:tcBorders>
              <w:top w:val="single" w:sz="6" w:space="0" w:color="000000"/>
              <w:left w:val="nil"/>
              <w:bottom w:val="nil"/>
              <w:right w:val="single" w:sz="6" w:space="0" w:color="000000"/>
              <w:tl2br w:val="nil"/>
              <w:tr2bl w:val="nil"/>
            </w:tcBorders>
            <w:shd w:val="clear" w:color="auto" w:fill="FFFFFF"/>
            <w:tcMar>
              <w:left w:w="115" w:type="dxa"/>
              <w:right w:w="115" w:type="dxa"/>
            </w:tcMar>
            <w:vAlign w:val="bottom"/>
          </w:tcPr>
          <w:p w14:paraId="02406CB1" w14:textId="77777777" w:rsidR="00724034" w:rsidRDefault="00724034">
            <w:pPr>
              <w:jc w:val="right"/>
              <w:rPr>
                <w:rFonts w:ascii="Arial" w:eastAsia="Arial" w:hAnsi="Arial" w:cs="Arial"/>
                <w:color w:val="000000"/>
                <w:sz w:val="16"/>
              </w:rPr>
            </w:pPr>
          </w:p>
        </w:tc>
      </w:tr>
      <w:tr w:rsidR="00FB7D0B" w14:paraId="78F9E589" w14:textId="77777777" w:rsidTr="00FB7D0B">
        <w:tblPrEx>
          <w:tblLook w:val="04A0" w:firstRow="1" w:lastRow="0" w:firstColumn="1" w:lastColumn="0" w:noHBand="0" w:noVBand="1"/>
        </w:tblPrEx>
        <w:trPr>
          <w:trHeight w:val="225"/>
        </w:trPr>
        <w:tc>
          <w:tcPr>
            <w:tcW w:w="0" w:type="auto"/>
            <w:tcBorders>
              <w:top w:val="nil"/>
              <w:left w:val="single" w:sz="6" w:space="0" w:color="000000"/>
              <w:bottom w:val="nil"/>
              <w:right w:val="nil"/>
              <w:tl2br w:val="nil"/>
              <w:tr2bl w:val="nil"/>
            </w:tcBorders>
            <w:shd w:val="clear" w:color="auto" w:fill="FFFFFF"/>
            <w:tcMar>
              <w:left w:w="115" w:type="dxa"/>
              <w:right w:w="115" w:type="dxa"/>
            </w:tcMar>
            <w:vAlign w:val="bottom"/>
          </w:tcPr>
          <w:p w14:paraId="358FA9AE" w14:textId="77777777" w:rsidR="00724034" w:rsidRDefault="00724034">
            <w:pPr>
              <w:rPr>
                <w:rFonts w:ascii="Arial" w:eastAsia="Arial" w:hAnsi="Arial" w:cs="Arial"/>
                <w:color w:val="000000"/>
                <w:sz w:val="16"/>
              </w:rPr>
            </w:pPr>
          </w:p>
        </w:tc>
        <w:tc>
          <w:tcPr>
            <w:tcW w:w="0" w:type="auto"/>
            <w:gridSpan w:val="2"/>
            <w:tcBorders>
              <w:top w:val="nil"/>
              <w:left w:val="nil"/>
              <w:bottom w:val="nil"/>
              <w:right w:val="nil"/>
              <w:tl2br w:val="nil"/>
              <w:tr2bl w:val="nil"/>
            </w:tcBorders>
            <w:shd w:val="clear" w:color="auto" w:fill="FFFFFF"/>
            <w:tcMar>
              <w:left w:w="115" w:type="dxa"/>
              <w:right w:w="115" w:type="dxa"/>
            </w:tcMar>
            <w:vAlign w:val="bottom"/>
          </w:tcPr>
          <w:p w14:paraId="636D4F0D" w14:textId="77777777" w:rsidR="00724034" w:rsidRDefault="00FB7D0B">
            <w:pPr>
              <w:rPr>
                <w:rFonts w:ascii="Arial" w:eastAsia="Arial" w:hAnsi="Arial" w:cs="Arial"/>
                <w:color w:val="000000"/>
                <w:sz w:val="16"/>
              </w:rPr>
            </w:pPr>
            <w:r>
              <w:rPr>
                <w:rFonts w:ascii="Arial" w:eastAsia="Arial" w:hAnsi="Arial" w:cs="Arial"/>
                <w:color w:val="000000"/>
                <w:sz w:val="16"/>
              </w:rPr>
              <w:t>Annual departmental expenses:</w:t>
            </w:r>
          </w:p>
        </w:tc>
        <w:tc>
          <w:tcPr>
            <w:tcW w:w="0" w:type="auto"/>
            <w:tcBorders>
              <w:top w:val="nil"/>
              <w:left w:val="nil"/>
              <w:bottom w:val="nil"/>
              <w:right w:val="nil"/>
              <w:tl2br w:val="nil"/>
              <w:tr2bl w:val="nil"/>
            </w:tcBorders>
            <w:shd w:val="clear" w:color="auto" w:fill="FFFFFF"/>
            <w:tcMar>
              <w:left w:w="115" w:type="dxa"/>
              <w:right w:w="115" w:type="dxa"/>
            </w:tcMar>
            <w:vAlign w:val="bottom"/>
          </w:tcPr>
          <w:p w14:paraId="737E9391" w14:textId="77777777" w:rsidR="00724034" w:rsidRDefault="00724034">
            <w:pPr>
              <w:jc w:val="right"/>
              <w:rPr>
                <w:rFonts w:ascii="Arial" w:eastAsia="Arial" w:hAnsi="Arial" w:cs="Arial"/>
                <w:color w:val="000000"/>
                <w:sz w:val="16"/>
              </w:rPr>
            </w:pPr>
          </w:p>
        </w:tc>
        <w:tc>
          <w:tcPr>
            <w:tcW w:w="0" w:type="auto"/>
            <w:tcBorders>
              <w:top w:val="nil"/>
              <w:left w:val="nil"/>
              <w:bottom w:val="nil"/>
              <w:right w:val="nil"/>
              <w:tl2br w:val="nil"/>
              <w:tr2bl w:val="nil"/>
            </w:tcBorders>
            <w:shd w:val="clear" w:color="auto" w:fill="C0C0C0"/>
            <w:tcMar>
              <w:left w:w="115" w:type="dxa"/>
              <w:right w:w="115" w:type="dxa"/>
            </w:tcMar>
            <w:vAlign w:val="bottom"/>
          </w:tcPr>
          <w:p w14:paraId="59F00674" w14:textId="77777777" w:rsidR="00724034" w:rsidRDefault="00724034">
            <w:pPr>
              <w:jc w:val="right"/>
              <w:rPr>
                <w:rFonts w:ascii="Arial" w:eastAsia="Arial" w:hAnsi="Arial" w:cs="Arial"/>
                <w:color w:val="000000"/>
                <w:sz w:val="16"/>
              </w:rPr>
            </w:pPr>
          </w:p>
        </w:tc>
        <w:tc>
          <w:tcPr>
            <w:tcW w:w="0" w:type="auto"/>
            <w:tcBorders>
              <w:top w:val="nil"/>
              <w:left w:val="nil"/>
              <w:bottom w:val="nil"/>
              <w:right w:val="nil"/>
              <w:tl2br w:val="nil"/>
              <w:tr2bl w:val="nil"/>
            </w:tcBorders>
            <w:shd w:val="clear" w:color="auto" w:fill="FFFFFF"/>
            <w:tcMar>
              <w:left w:w="115" w:type="dxa"/>
              <w:right w:w="115" w:type="dxa"/>
            </w:tcMar>
            <w:vAlign w:val="bottom"/>
          </w:tcPr>
          <w:p w14:paraId="683475D1" w14:textId="77777777" w:rsidR="00724034" w:rsidRDefault="00724034">
            <w:pPr>
              <w:jc w:val="right"/>
              <w:rPr>
                <w:rFonts w:ascii="Arial" w:eastAsia="Arial" w:hAnsi="Arial" w:cs="Arial"/>
                <w:color w:val="000000"/>
                <w:sz w:val="16"/>
              </w:rPr>
            </w:pPr>
          </w:p>
        </w:tc>
        <w:tc>
          <w:tcPr>
            <w:tcW w:w="0" w:type="auto"/>
            <w:tcBorders>
              <w:top w:val="nil"/>
              <w:left w:val="nil"/>
              <w:bottom w:val="nil"/>
              <w:right w:val="nil"/>
              <w:tl2br w:val="nil"/>
              <w:tr2bl w:val="nil"/>
            </w:tcBorders>
            <w:shd w:val="clear" w:color="auto" w:fill="FFFFFF"/>
            <w:tcMar>
              <w:left w:w="115" w:type="dxa"/>
              <w:right w:w="115" w:type="dxa"/>
            </w:tcMar>
            <w:vAlign w:val="bottom"/>
          </w:tcPr>
          <w:p w14:paraId="3F98BF6C" w14:textId="77777777" w:rsidR="00724034" w:rsidRDefault="00724034">
            <w:pPr>
              <w:jc w:val="right"/>
              <w:rPr>
                <w:rFonts w:ascii="Arial" w:eastAsia="Arial" w:hAnsi="Arial" w:cs="Arial"/>
                <w:color w:val="000000"/>
                <w:sz w:val="16"/>
              </w:rPr>
            </w:pPr>
          </w:p>
        </w:tc>
        <w:tc>
          <w:tcPr>
            <w:tcW w:w="0" w:type="auto"/>
            <w:tcBorders>
              <w:top w:val="nil"/>
              <w:left w:val="nil"/>
              <w:bottom w:val="nil"/>
              <w:right w:val="single" w:sz="6" w:space="0" w:color="000000"/>
              <w:tl2br w:val="nil"/>
              <w:tr2bl w:val="nil"/>
            </w:tcBorders>
            <w:shd w:val="clear" w:color="auto" w:fill="FFFFFF"/>
            <w:tcMar>
              <w:left w:w="115" w:type="dxa"/>
              <w:right w:w="115" w:type="dxa"/>
            </w:tcMar>
            <w:vAlign w:val="bottom"/>
          </w:tcPr>
          <w:p w14:paraId="61F46CAC" w14:textId="77777777" w:rsidR="00724034" w:rsidRDefault="00724034">
            <w:pPr>
              <w:jc w:val="right"/>
              <w:rPr>
                <w:rFonts w:ascii="Arial" w:eastAsia="Arial" w:hAnsi="Arial" w:cs="Arial"/>
                <w:color w:val="000000"/>
                <w:sz w:val="16"/>
              </w:rPr>
            </w:pPr>
          </w:p>
        </w:tc>
      </w:tr>
      <w:tr w:rsidR="00724034" w14:paraId="3499C7C1" w14:textId="77777777">
        <w:tblPrEx>
          <w:tblLook w:val="04A0" w:firstRow="1" w:lastRow="0" w:firstColumn="1" w:lastColumn="0" w:noHBand="0" w:noVBand="1"/>
        </w:tblPrEx>
        <w:trPr>
          <w:trHeight w:val="225"/>
        </w:trPr>
        <w:tc>
          <w:tcPr>
            <w:tcW w:w="0" w:type="auto"/>
            <w:tcBorders>
              <w:top w:val="nil"/>
              <w:left w:val="single" w:sz="6" w:space="0" w:color="000000"/>
              <w:bottom w:val="nil"/>
              <w:right w:val="nil"/>
              <w:tl2br w:val="nil"/>
              <w:tr2bl w:val="nil"/>
            </w:tcBorders>
            <w:shd w:val="clear" w:color="auto" w:fill="FFFFFF"/>
            <w:tcMar>
              <w:left w:w="115" w:type="dxa"/>
              <w:right w:w="115" w:type="dxa"/>
            </w:tcMar>
            <w:vAlign w:val="bottom"/>
          </w:tcPr>
          <w:p w14:paraId="25E7BDEB" w14:textId="77777777" w:rsidR="00724034" w:rsidRDefault="00724034">
            <w:pPr>
              <w:rPr>
                <w:rFonts w:ascii="Arial" w:eastAsia="Arial" w:hAnsi="Arial" w:cs="Arial"/>
                <w:color w:val="000000"/>
                <w:sz w:val="16"/>
              </w:rPr>
            </w:pPr>
          </w:p>
        </w:tc>
        <w:tc>
          <w:tcPr>
            <w:tcW w:w="0" w:type="auto"/>
            <w:tcBorders>
              <w:top w:val="nil"/>
              <w:left w:val="nil"/>
              <w:bottom w:val="nil"/>
              <w:right w:val="nil"/>
              <w:tl2br w:val="nil"/>
              <w:tr2bl w:val="nil"/>
            </w:tcBorders>
            <w:shd w:val="clear" w:color="auto" w:fill="FFFFFF"/>
            <w:tcMar>
              <w:left w:w="115" w:type="dxa"/>
              <w:right w:w="115" w:type="dxa"/>
            </w:tcMar>
            <w:vAlign w:val="bottom"/>
          </w:tcPr>
          <w:p w14:paraId="466DB1AB" w14:textId="77777777" w:rsidR="00724034" w:rsidRDefault="00724034">
            <w:pPr>
              <w:rPr>
                <w:rFonts w:ascii="Arial" w:eastAsia="Arial" w:hAnsi="Arial" w:cs="Arial"/>
                <w:color w:val="000000"/>
                <w:sz w:val="16"/>
              </w:rPr>
            </w:pPr>
          </w:p>
        </w:tc>
        <w:tc>
          <w:tcPr>
            <w:tcW w:w="0" w:type="auto"/>
            <w:tcBorders>
              <w:top w:val="nil"/>
              <w:left w:val="nil"/>
              <w:bottom w:val="nil"/>
              <w:right w:val="nil"/>
              <w:tl2br w:val="nil"/>
              <w:tr2bl w:val="nil"/>
            </w:tcBorders>
            <w:shd w:val="clear" w:color="auto" w:fill="FFFFFF"/>
            <w:tcMar>
              <w:left w:w="115" w:type="dxa"/>
              <w:right w:w="115" w:type="dxa"/>
            </w:tcMar>
            <w:vAlign w:val="bottom"/>
          </w:tcPr>
          <w:p w14:paraId="7945CA07" w14:textId="77777777" w:rsidR="00724034" w:rsidRDefault="00FB7D0B">
            <w:pPr>
              <w:rPr>
                <w:rFonts w:ascii="Arial" w:eastAsia="Arial" w:hAnsi="Arial" w:cs="Arial"/>
                <w:color w:val="000000"/>
                <w:sz w:val="16"/>
              </w:rPr>
            </w:pPr>
            <w:r>
              <w:rPr>
                <w:rFonts w:ascii="Arial" w:eastAsia="Arial" w:hAnsi="Arial" w:cs="Arial"/>
                <w:color w:val="000000"/>
                <w:sz w:val="16"/>
              </w:rPr>
              <w:t>Departmental item</w:t>
            </w:r>
          </w:p>
        </w:tc>
        <w:tc>
          <w:tcPr>
            <w:tcW w:w="0" w:type="auto"/>
            <w:tcBorders>
              <w:top w:val="nil"/>
              <w:left w:val="nil"/>
              <w:bottom w:val="single" w:sz="6" w:space="0" w:color="000000"/>
              <w:right w:val="nil"/>
              <w:tl2br w:val="nil"/>
              <w:tr2bl w:val="nil"/>
            </w:tcBorders>
            <w:shd w:val="clear" w:color="auto" w:fill="FFFFFF"/>
            <w:tcMar>
              <w:left w:w="115" w:type="dxa"/>
              <w:right w:w="115" w:type="dxa"/>
            </w:tcMar>
            <w:vAlign w:val="bottom"/>
          </w:tcPr>
          <w:p w14:paraId="056477BE" w14:textId="77777777" w:rsidR="00724034" w:rsidRDefault="00FB7D0B">
            <w:pPr>
              <w:jc w:val="right"/>
              <w:rPr>
                <w:rFonts w:ascii="Arial" w:eastAsia="Arial" w:hAnsi="Arial" w:cs="Arial"/>
                <w:color w:val="000000"/>
                <w:sz w:val="16"/>
              </w:rPr>
            </w:pPr>
            <w:r>
              <w:rPr>
                <w:rFonts w:ascii="Arial" w:eastAsia="Arial" w:hAnsi="Arial" w:cs="Arial"/>
                <w:color w:val="000000"/>
                <w:sz w:val="16"/>
              </w:rPr>
              <w:t xml:space="preserve"> 6,590 </w:t>
            </w:r>
          </w:p>
        </w:tc>
        <w:tc>
          <w:tcPr>
            <w:tcW w:w="0" w:type="auto"/>
            <w:tcBorders>
              <w:top w:val="nil"/>
              <w:left w:val="nil"/>
              <w:bottom w:val="single" w:sz="6" w:space="0" w:color="000000"/>
              <w:right w:val="nil"/>
              <w:tl2br w:val="nil"/>
              <w:tr2bl w:val="nil"/>
            </w:tcBorders>
            <w:shd w:val="clear" w:color="auto" w:fill="C0C0C0"/>
            <w:tcMar>
              <w:left w:w="115" w:type="dxa"/>
              <w:right w:w="115" w:type="dxa"/>
            </w:tcMar>
            <w:vAlign w:val="bottom"/>
          </w:tcPr>
          <w:p w14:paraId="7A52579C" w14:textId="77777777" w:rsidR="00724034" w:rsidRDefault="00FB7D0B">
            <w:pPr>
              <w:jc w:val="right"/>
              <w:rPr>
                <w:rFonts w:ascii="Arial" w:eastAsia="Arial" w:hAnsi="Arial" w:cs="Arial"/>
                <w:color w:val="000000"/>
                <w:sz w:val="16"/>
              </w:rPr>
            </w:pPr>
            <w:r>
              <w:rPr>
                <w:rFonts w:ascii="Arial" w:eastAsia="Arial" w:hAnsi="Arial" w:cs="Arial"/>
                <w:color w:val="000000"/>
                <w:sz w:val="16"/>
              </w:rPr>
              <w:t xml:space="preserve"> 6,474 </w:t>
            </w:r>
          </w:p>
        </w:tc>
        <w:tc>
          <w:tcPr>
            <w:tcW w:w="0" w:type="auto"/>
            <w:tcBorders>
              <w:top w:val="nil"/>
              <w:left w:val="nil"/>
              <w:bottom w:val="single" w:sz="6" w:space="0" w:color="000000"/>
              <w:right w:val="nil"/>
              <w:tl2br w:val="nil"/>
              <w:tr2bl w:val="nil"/>
            </w:tcBorders>
            <w:shd w:val="clear" w:color="auto" w:fill="FFFFFF"/>
            <w:tcMar>
              <w:left w:w="115" w:type="dxa"/>
              <w:right w:w="115" w:type="dxa"/>
            </w:tcMar>
            <w:vAlign w:val="bottom"/>
          </w:tcPr>
          <w:p w14:paraId="43F80697" w14:textId="77777777" w:rsidR="00724034" w:rsidRDefault="00FB7D0B">
            <w:pPr>
              <w:jc w:val="right"/>
              <w:rPr>
                <w:rFonts w:ascii="Arial" w:eastAsia="Arial" w:hAnsi="Arial" w:cs="Arial"/>
                <w:color w:val="000000"/>
                <w:sz w:val="16"/>
              </w:rPr>
            </w:pPr>
            <w:r>
              <w:rPr>
                <w:rFonts w:ascii="Arial" w:eastAsia="Arial" w:hAnsi="Arial" w:cs="Arial"/>
                <w:color w:val="000000"/>
                <w:sz w:val="16"/>
              </w:rPr>
              <w:t xml:space="preserve"> 6,244 </w:t>
            </w:r>
          </w:p>
        </w:tc>
        <w:tc>
          <w:tcPr>
            <w:tcW w:w="0" w:type="auto"/>
            <w:tcBorders>
              <w:top w:val="nil"/>
              <w:left w:val="nil"/>
              <w:bottom w:val="single" w:sz="6" w:space="0" w:color="000000"/>
              <w:right w:val="nil"/>
              <w:tl2br w:val="nil"/>
              <w:tr2bl w:val="nil"/>
            </w:tcBorders>
            <w:shd w:val="clear" w:color="auto" w:fill="FFFFFF"/>
            <w:tcMar>
              <w:left w:w="115" w:type="dxa"/>
              <w:right w:w="115" w:type="dxa"/>
            </w:tcMar>
            <w:vAlign w:val="bottom"/>
          </w:tcPr>
          <w:p w14:paraId="1D219FB5" w14:textId="77777777" w:rsidR="00724034" w:rsidRDefault="00FB7D0B">
            <w:pPr>
              <w:jc w:val="right"/>
              <w:rPr>
                <w:rFonts w:ascii="Arial" w:eastAsia="Arial" w:hAnsi="Arial" w:cs="Arial"/>
                <w:color w:val="000000"/>
                <w:sz w:val="16"/>
              </w:rPr>
            </w:pPr>
            <w:r>
              <w:rPr>
                <w:rFonts w:ascii="Arial" w:eastAsia="Arial" w:hAnsi="Arial" w:cs="Arial"/>
                <w:color w:val="000000"/>
                <w:sz w:val="16"/>
              </w:rPr>
              <w:t xml:space="preserve"> 6,141 </w:t>
            </w:r>
          </w:p>
        </w:tc>
        <w:tc>
          <w:tcPr>
            <w:tcW w:w="0" w:type="auto"/>
            <w:tcBorders>
              <w:top w:val="nil"/>
              <w:left w:val="nil"/>
              <w:bottom w:val="single" w:sz="6" w:space="0" w:color="000000"/>
              <w:right w:val="single" w:sz="6" w:space="0" w:color="000000"/>
              <w:tl2br w:val="nil"/>
              <w:tr2bl w:val="nil"/>
            </w:tcBorders>
            <w:shd w:val="clear" w:color="auto" w:fill="FFFFFF"/>
            <w:tcMar>
              <w:left w:w="115" w:type="dxa"/>
              <w:right w:w="115" w:type="dxa"/>
            </w:tcMar>
            <w:vAlign w:val="bottom"/>
          </w:tcPr>
          <w:p w14:paraId="2DF895DB" w14:textId="77777777" w:rsidR="00724034" w:rsidRDefault="00FB7D0B">
            <w:pPr>
              <w:jc w:val="right"/>
              <w:rPr>
                <w:rFonts w:ascii="Arial" w:eastAsia="Arial" w:hAnsi="Arial" w:cs="Arial"/>
                <w:color w:val="000000"/>
                <w:sz w:val="16"/>
              </w:rPr>
            </w:pPr>
            <w:r>
              <w:rPr>
                <w:rFonts w:ascii="Arial" w:eastAsia="Arial" w:hAnsi="Arial" w:cs="Arial"/>
                <w:color w:val="000000"/>
                <w:sz w:val="16"/>
              </w:rPr>
              <w:t xml:space="preserve"> 6,103 </w:t>
            </w:r>
          </w:p>
        </w:tc>
      </w:tr>
      <w:tr w:rsidR="00FB7D0B" w14:paraId="5ABEB80C" w14:textId="77777777" w:rsidTr="00FB7D0B">
        <w:tblPrEx>
          <w:tblLook w:val="04A0" w:firstRow="1" w:lastRow="0" w:firstColumn="1" w:lastColumn="0" w:noHBand="0" w:noVBand="1"/>
        </w:tblPrEx>
        <w:trPr>
          <w:trHeight w:val="225"/>
        </w:trPr>
        <w:tc>
          <w:tcPr>
            <w:tcW w:w="0" w:type="auto"/>
            <w:tcBorders>
              <w:top w:val="nil"/>
              <w:left w:val="single" w:sz="6" w:space="0" w:color="000000"/>
              <w:bottom w:val="nil"/>
              <w:right w:val="nil"/>
              <w:tl2br w:val="nil"/>
              <w:tr2bl w:val="nil"/>
            </w:tcBorders>
            <w:shd w:val="clear" w:color="auto" w:fill="FFFFFF"/>
            <w:tcMar>
              <w:left w:w="115" w:type="dxa"/>
              <w:right w:w="115" w:type="dxa"/>
            </w:tcMar>
            <w:vAlign w:val="bottom"/>
          </w:tcPr>
          <w:p w14:paraId="0A90FEC0" w14:textId="77777777" w:rsidR="00724034" w:rsidRDefault="00724034">
            <w:pPr>
              <w:rPr>
                <w:rFonts w:ascii="Arial" w:eastAsia="Arial" w:hAnsi="Arial" w:cs="Arial"/>
                <w:color w:val="000000"/>
                <w:sz w:val="16"/>
              </w:rPr>
            </w:pPr>
          </w:p>
        </w:tc>
        <w:tc>
          <w:tcPr>
            <w:tcW w:w="0" w:type="auto"/>
            <w:gridSpan w:val="2"/>
            <w:vMerge w:val="restart"/>
            <w:tcBorders>
              <w:top w:val="nil"/>
              <w:left w:val="nil"/>
              <w:bottom w:val="nil"/>
              <w:right w:val="nil"/>
              <w:tl2br w:val="nil"/>
              <w:tr2bl w:val="nil"/>
            </w:tcBorders>
            <w:shd w:val="clear" w:color="auto" w:fill="FFFFFF"/>
            <w:tcMar>
              <w:left w:w="115" w:type="dxa"/>
              <w:right w:w="115" w:type="dxa"/>
            </w:tcMar>
            <w:vAlign w:val="bottom"/>
          </w:tcPr>
          <w:p w14:paraId="7789B1BC" w14:textId="77777777" w:rsidR="00724034" w:rsidRDefault="00FB7D0B">
            <w:pPr>
              <w:rPr>
                <w:rFonts w:ascii="Arial" w:eastAsia="Arial" w:hAnsi="Arial" w:cs="Arial"/>
                <w:b/>
                <w:color w:val="000000"/>
                <w:sz w:val="16"/>
              </w:rPr>
            </w:pPr>
            <w:r>
              <w:rPr>
                <w:rFonts w:ascii="Arial" w:eastAsia="Arial" w:hAnsi="Arial" w:cs="Arial"/>
                <w:b/>
                <w:color w:val="000000"/>
                <w:sz w:val="16"/>
              </w:rPr>
              <w:t>Total component expenses</w:t>
            </w:r>
          </w:p>
        </w:tc>
        <w:tc>
          <w:tcPr>
            <w:tcW w:w="0" w:type="auto"/>
            <w:tcBorders>
              <w:top w:val="single" w:sz="6" w:space="0" w:color="000000"/>
              <w:left w:val="nil"/>
              <w:bottom w:val="single" w:sz="6" w:space="0" w:color="000000"/>
              <w:right w:val="nil"/>
              <w:tl2br w:val="nil"/>
              <w:tr2bl w:val="nil"/>
            </w:tcBorders>
            <w:shd w:val="clear" w:color="auto" w:fill="FFFFFF"/>
            <w:tcMar>
              <w:left w:w="115" w:type="dxa"/>
              <w:right w:w="115" w:type="dxa"/>
            </w:tcMar>
            <w:vAlign w:val="bottom"/>
          </w:tcPr>
          <w:p w14:paraId="78747D05" w14:textId="77777777" w:rsidR="00724034" w:rsidRDefault="00FB7D0B">
            <w:pPr>
              <w:jc w:val="right"/>
              <w:rPr>
                <w:rFonts w:ascii="Arial" w:eastAsia="Arial" w:hAnsi="Arial" w:cs="Arial"/>
                <w:b/>
                <w:color w:val="000000"/>
                <w:sz w:val="16"/>
              </w:rPr>
            </w:pPr>
            <w:r>
              <w:rPr>
                <w:rFonts w:ascii="Arial" w:eastAsia="Arial" w:hAnsi="Arial" w:cs="Arial"/>
                <w:b/>
                <w:color w:val="000000"/>
                <w:sz w:val="16"/>
              </w:rPr>
              <w:t>6,590 </w:t>
            </w:r>
          </w:p>
        </w:tc>
        <w:tc>
          <w:tcPr>
            <w:tcW w:w="0" w:type="auto"/>
            <w:tcBorders>
              <w:top w:val="single" w:sz="6" w:space="0" w:color="000000"/>
              <w:left w:val="nil"/>
              <w:bottom w:val="single" w:sz="6" w:space="0" w:color="000000"/>
              <w:right w:val="nil"/>
              <w:tl2br w:val="nil"/>
              <w:tr2bl w:val="nil"/>
            </w:tcBorders>
            <w:shd w:val="clear" w:color="auto" w:fill="C0C0C0"/>
            <w:tcMar>
              <w:left w:w="115" w:type="dxa"/>
              <w:right w:w="115" w:type="dxa"/>
            </w:tcMar>
            <w:vAlign w:val="bottom"/>
          </w:tcPr>
          <w:p w14:paraId="27ED0F3F" w14:textId="77777777" w:rsidR="00724034" w:rsidRDefault="00FB7D0B">
            <w:pPr>
              <w:jc w:val="right"/>
              <w:rPr>
                <w:rFonts w:ascii="Arial" w:eastAsia="Arial" w:hAnsi="Arial" w:cs="Arial"/>
                <w:b/>
                <w:color w:val="000000"/>
                <w:sz w:val="16"/>
              </w:rPr>
            </w:pPr>
            <w:r>
              <w:rPr>
                <w:rFonts w:ascii="Arial" w:eastAsia="Arial" w:hAnsi="Arial" w:cs="Arial"/>
                <w:b/>
                <w:color w:val="000000"/>
                <w:sz w:val="16"/>
              </w:rPr>
              <w:t>6,474 </w:t>
            </w:r>
          </w:p>
        </w:tc>
        <w:tc>
          <w:tcPr>
            <w:tcW w:w="0" w:type="auto"/>
            <w:tcBorders>
              <w:top w:val="single" w:sz="6" w:space="0" w:color="000000"/>
              <w:left w:val="nil"/>
              <w:bottom w:val="single" w:sz="6" w:space="0" w:color="000000"/>
              <w:right w:val="nil"/>
              <w:tl2br w:val="nil"/>
              <w:tr2bl w:val="nil"/>
            </w:tcBorders>
            <w:shd w:val="clear" w:color="auto" w:fill="FFFFFF"/>
            <w:tcMar>
              <w:left w:w="115" w:type="dxa"/>
              <w:right w:w="115" w:type="dxa"/>
            </w:tcMar>
            <w:vAlign w:val="bottom"/>
          </w:tcPr>
          <w:p w14:paraId="4C6EA30D" w14:textId="77777777" w:rsidR="00724034" w:rsidRDefault="00FB7D0B">
            <w:pPr>
              <w:jc w:val="right"/>
              <w:rPr>
                <w:rFonts w:ascii="Arial" w:eastAsia="Arial" w:hAnsi="Arial" w:cs="Arial"/>
                <w:b/>
                <w:color w:val="000000"/>
                <w:sz w:val="16"/>
              </w:rPr>
            </w:pPr>
            <w:r>
              <w:rPr>
                <w:rFonts w:ascii="Arial" w:eastAsia="Arial" w:hAnsi="Arial" w:cs="Arial"/>
                <w:b/>
                <w:color w:val="000000"/>
                <w:sz w:val="16"/>
              </w:rPr>
              <w:t>6,244 </w:t>
            </w:r>
          </w:p>
        </w:tc>
        <w:tc>
          <w:tcPr>
            <w:tcW w:w="0" w:type="auto"/>
            <w:tcBorders>
              <w:top w:val="single" w:sz="6" w:space="0" w:color="000000"/>
              <w:left w:val="nil"/>
              <w:bottom w:val="single" w:sz="6" w:space="0" w:color="000000"/>
              <w:right w:val="nil"/>
              <w:tl2br w:val="nil"/>
              <w:tr2bl w:val="nil"/>
            </w:tcBorders>
            <w:shd w:val="clear" w:color="auto" w:fill="FFFFFF"/>
            <w:tcMar>
              <w:left w:w="115" w:type="dxa"/>
              <w:right w:w="115" w:type="dxa"/>
            </w:tcMar>
            <w:vAlign w:val="bottom"/>
          </w:tcPr>
          <w:p w14:paraId="4B720848" w14:textId="77777777" w:rsidR="00724034" w:rsidRDefault="00FB7D0B">
            <w:pPr>
              <w:jc w:val="right"/>
              <w:rPr>
                <w:rFonts w:ascii="Arial" w:eastAsia="Arial" w:hAnsi="Arial" w:cs="Arial"/>
                <w:b/>
                <w:color w:val="000000"/>
                <w:sz w:val="16"/>
              </w:rPr>
            </w:pPr>
            <w:r>
              <w:rPr>
                <w:rFonts w:ascii="Arial" w:eastAsia="Arial" w:hAnsi="Arial" w:cs="Arial"/>
                <w:b/>
                <w:color w:val="000000"/>
                <w:sz w:val="16"/>
              </w:rPr>
              <w:t>6,141 </w:t>
            </w:r>
          </w:p>
        </w:tc>
        <w:tc>
          <w:tcPr>
            <w:tcW w:w="0" w:type="auto"/>
            <w:tcBorders>
              <w:top w:val="single" w:sz="6" w:space="0" w:color="000000"/>
              <w:left w:val="nil"/>
              <w:bottom w:val="single" w:sz="6" w:space="0" w:color="000000"/>
              <w:right w:val="single" w:sz="6" w:space="0" w:color="000000"/>
              <w:tl2br w:val="nil"/>
              <w:tr2bl w:val="nil"/>
            </w:tcBorders>
            <w:shd w:val="clear" w:color="auto" w:fill="FFFFFF"/>
            <w:tcMar>
              <w:left w:w="115" w:type="dxa"/>
              <w:right w:w="115" w:type="dxa"/>
            </w:tcMar>
            <w:vAlign w:val="bottom"/>
          </w:tcPr>
          <w:p w14:paraId="70B494D6" w14:textId="77777777" w:rsidR="00724034" w:rsidRDefault="00FB7D0B">
            <w:pPr>
              <w:jc w:val="right"/>
              <w:rPr>
                <w:rFonts w:ascii="Arial" w:eastAsia="Arial" w:hAnsi="Arial" w:cs="Arial"/>
                <w:b/>
                <w:color w:val="000000"/>
                <w:sz w:val="16"/>
              </w:rPr>
            </w:pPr>
            <w:r>
              <w:rPr>
                <w:rFonts w:ascii="Arial" w:eastAsia="Arial" w:hAnsi="Arial" w:cs="Arial"/>
                <w:b/>
                <w:color w:val="000000"/>
                <w:sz w:val="16"/>
              </w:rPr>
              <w:t>6,103 </w:t>
            </w:r>
          </w:p>
        </w:tc>
      </w:tr>
      <w:tr w:rsidR="00FB7D0B" w14:paraId="707B3424" w14:textId="77777777" w:rsidTr="00FB7D0B">
        <w:tblPrEx>
          <w:tblLook w:val="04A0" w:firstRow="1" w:lastRow="0" w:firstColumn="1" w:lastColumn="0" w:noHBand="0" w:noVBand="1"/>
        </w:tblPrEx>
        <w:trPr>
          <w:trHeight w:val="225"/>
        </w:trPr>
        <w:tc>
          <w:tcPr>
            <w:tcW w:w="0" w:type="auto"/>
            <w:gridSpan w:val="3"/>
            <w:tcBorders>
              <w:top w:val="nil"/>
              <w:left w:val="single" w:sz="6" w:space="0" w:color="000000"/>
              <w:bottom w:val="nil"/>
              <w:right w:val="nil"/>
              <w:tl2br w:val="nil"/>
              <w:tr2bl w:val="nil"/>
            </w:tcBorders>
            <w:shd w:val="clear" w:color="auto" w:fill="FFFFFF"/>
            <w:tcMar>
              <w:left w:w="115" w:type="dxa"/>
              <w:right w:w="115" w:type="dxa"/>
            </w:tcMar>
            <w:vAlign w:val="bottom"/>
          </w:tcPr>
          <w:p w14:paraId="61A78A2F" w14:textId="77777777" w:rsidR="00724034" w:rsidRDefault="00FB7D0B">
            <w:pPr>
              <w:rPr>
                <w:rFonts w:ascii="Arial" w:eastAsia="Arial" w:hAnsi="Arial" w:cs="Arial"/>
                <w:b/>
                <w:color w:val="000000"/>
                <w:sz w:val="16"/>
              </w:rPr>
            </w:pPr>
            <w:r>
              <w:rPr>
                <w:rFonts w:ascii="Arial" w:eastAsia="Arial" w:hAnsi="Arial" w:cs="Arial"/>
                <w:b/>
                <w:i/>
                <w:color w:val="000000"/>
                <w:sz w:val="16"/>
              </w:rPr>
              <w:t>1.3 - National Collection</w:t>
            </w:r>
          </w:p>
        </w:tc>
        <w:tc>
          <w:tcPr>
            <w:tcW w:w="0" w:type="auto"/>
            <w:tcBorders>
              <w:top w:val="single" w:sz="6" w:space="0" w:color="000000"/>
              <w:left w:val="nil"/>
              <w:bottom w:val="nil"/>
              <w:right w:val="nil"/>
              <w:tl2br w:val="nil"/>
              <w:tr2bl w:val="nil"/>
            </w:tcBorders>
            <w:shd w:val="clear" w:color="auto" w:fill="FFFFFF"/>
            <w:tcMar>
              <w:left w:w="115" w:type="dxa"/>
              <w:right w:w="115" w:type="dxa"/>
            </w:tcMar>
            <w:vAlign w:val="bottom"/>
          </w:tcPr>
          <w:p w14:paraId="736D2781" w14:textId="77777777" w:rsidR="00724034" w:rsidRDefault="00724034">
            <w:pPr>
              <w:jc w:val="right"/>
              <w:rPr>
                <w:rFonts w:ascii="Arial" w:eastAsia="Arial" w:hAnsi="Arial" w:cs="Arial"/>
                <w:b/>
                <w:i/>
                <w:color w:val="000000"/>
                <w:sz w:val="16"/>
              </w:rPr>
            </w:pPr>
          </w:p>
        </w:tc>
        <w:tc>
          <w:tcPr>
            <w:tcW w:w="0" w:type="auto"/>
            <w:tcBorders>
              <w:top w:val="single" w:sz="6" w:space="0" w:color="000000"/>
              <w:left w:val="nil"/>
              <w:bottom w:val="nil"/>
              <w:right w:val="nil"/>
              <w:tl2br w:val="nil"/>
              <w:tr2bl w:val="nil"/>
            </w:tcBorders>
            <w:shd w:val="clear" w:color="auto" w:fill="C0C0C0"/>
            <w:tcMar>
              <w:left w:w="115" w:type="dxa"/>
              <w:right w:w="115" w:type="dxa"/>
            </w:tcMar>
            <w:vAlign w:val="bottom"/>
          </w:tcPr>
          <w:p w14:paraId="3D91786C" w14:textId="77777777" w:rsidR="00724034" w:rsidRDefault="00724034">
            <w:pPr>
              <w:jc w:val="right"/>
              <w:rPr>
                <w:rFonts w:ascii="Arial" w:eastAsia="Arial" w:hAnsi="Arial" w:cs="Arial"/>
                <w:color w:val="000000"/>
                <w:sz w:val="16"/>
              </w:rPr>
            </w:pPr>
          </w:p>
        </w:tc>
        <w:tc>
          <w:tcPr>
            <w:tcW w:w="0" w:type="auto"/>
            <w:tcBorders>
              <w:top w:val="single" w:sz="6" w:space="0" w:color="000000"/>
              <w:left w:val="nil"/>
              <w:bottom w:val="nil"/>
              <w:right w:val="nil"/>
              <w:tl2br w:val="nil"/>
              <w:tr2bl w:val="nil"/>
            </w:tcBorders>
            <w:shd w:val="clear" w:color="auto" w:fill="FFFFFF"/>
            <w:tcMar>
              <w:left w:w="115" w:type="dxa"/>
              <w:right w:w="115" w:type="dxa"/>
            </w:tcMar>
            <w:vAlign w:val="bottom"/>
          </w:tcPr>
          <w:p w14:paraId="10C5AB1E" w14:textId="77777777" w:rsidR="00724034" w:rsidRDefault="00724034">
            <w:pPr>
              <w:jc w:val="right"/>
              <w:rPr>
                <w:rFonts w:ascii="Arial" w:eastAsia="Arial" w:hAnsi="Arial" w:cs="Arial"/>
                <w:color w:val="000000"/>
                <w:sz w:val="16"/>
              </w:rPr>
            </w:pPr>
          </w:p>
        </w:tc>
        <w:tc>
          <w:tcPr>
            <w:tcW w:w="0" w:type="auto"/>
            <w:tcBorders>
              <w:top w:val="single" w:sz="6" w:space="0" w:color="000000"/>
              <w:left w:val="nil"/>
              <w:bottom w:val="nil"/>
              <w:right w:val="nil"/>
              <w:tl2br w:val="nil"/>
              <w:tr2bl w:val="nil"/>
            </w:tcBorders>
            <w:shd w:val="clear" w:color="auto" w:fill="FFFFFF"/>
            <w:tcMar>
              <w:left w:w="115" w:type="dxa"/>
              <w:right w:w="115" w:type="dxa"/>
            </w:tcMar>
            <w:vAlign w:val="bottom"/>
          </w:tcPr>
          <w:p w14:paraId="0A425640" w14:textId="77777777" w:rsidR="00724034" w:rsidRDefault="00724034">
            <w:pPr>
              <w:jc w:val="right"/>
              <w:rPr>
                <w:rFonts w:ascii="Arial" w:eastAsia="Arial" w:hAnsi="Arial" w:cs="Arial"/>
                <w:color w:val="000000"/>
                <w:sz w:val="16"/>
              </w:rPr>
            </w:pPr>
          </w:p>
        </w:tc>
        <w:tc>
          <w:tcPr>
            <w:tcW w:w="0" w:type="auto"/>
            <w:tcBorders>
              <w:top w:val="single" w:sz="6" w:space="0" w:color="000000"/>
              <w:left w:val="nil"/>
              <w:bottom w:val="nil"/>
              <w:right w:val="single" w:sz="6" w:space="0" w:color="000000"/>
              <w:tl2br w:val="nil"/>
              <w:tr2bl w:val="nil"/>
            </w:tcBorders>
            <w:shd w:val="clear" w:color="auto" w:fill="FFFFFF"/>
            <w:tcMar>
              <w:left w:w="115" w:type="dxa"/>
              <w:right w:w="115" w:type="dxa"/>
            </w:tcMar>
            <w:vAlign w:val="bottom"/>
          </w:tcPr>
          <w:p w14:paraId="2DF37924" w14:textId="77777777" w:rsidR="00724034" w:rsidRDefault="00724034">
            <w:pPr>
              <w:jc w:val="right"/>
              <w:rPr>
                <w:rFonts w:ascii="Arial" w:eastAsia="Arial" w:hAnsi="Arial" w:cs="Arial"/>
                <w:color w:val="000000"/>
                <w:sz w:val="16"/>
              </w:rPr>
            </w:pPr>
          </w:p>
        </w:tc>
      </w:tr>
      <w:tr w:rsidR="00FB7D0B" w14:paraId="653324C3" w14:textId="77777777" w:rsidTr="00FB7D0B">
        <w:tblPrEx>
          <w:tblLook w:val="04A0" w:firstRow="1" w:lastRow="0" w:firstColumn="1" w:lastColumn="0" w:noHBand="0" w:noVBand="1"/>
        </w:tblPrEx>
        <w:trPr>
          <w:trHeight w:val="225"/>
        </w:trPr>
        <w:tc>
          <w:tcPr>
            <w:tcW w:w="0" w:type="auto"/>
            <w:tcBorders>
              <w:top w:val="nil"/>
              <w:left w:val="single" w:sz="6" w:space="0" w:color="000000"/>
              <w:bottom w:val="nil"/>
              <w:right w:val="nil"/>
              <w:tl2br w:val="nil"/>
              <w:tr2bl w:val="nil"/>
            </w:tcBorders>
            <w:shd w:val="clear" w:color="auto" w:fill="FFFFFF"/>
            <w:tcMar>
              <w:left w:w="115" w:type="dxa"/>
              <w:right w:w="115" w:type="dxa"/>
            </w:tcMar>
            <w:vAlign w:val="bottom"/>
          </w:tcPr>
          <w:p w14:paraId="418C2FA8" w14:textId="77777777" w:rsidR="00724034" w:rsidRDefault="00724034">
            <w:pPr>
              <w:rPr>
                <w:rFonts w:ascii="Arial" w:eastAsia="Arial" w:hAnsi="Arial" w:cs="Arial"/>
                <w:color w:val="000000"/>
                <w:sz w:val="16"/>
              </w:rPr>
            </w:pPr>
          </w:p>
        </w:tc>
        <w:tc>
          <w:tcPr>
            <w:tcW w:w="0" w:type="auto"/>
            <w:gridSpan w:val="2"/>
            <w:tcBorders>
              <w:top w:val="nil"/>
              <w:left w:val="nil"/>
              <w:bottom w:val="nil"/>
              <w:right w:val="nil"/>
              <w:tl2br w:val="nil"/>
              <w:tr2bl w:val="nil"/>
            </w:tcBorders>
            <w:shd w:val="clear" w:color="auto" w:fill="FFFFFF"/>
            <w:tcMar>
              <w:left w:w="115" w:type="dxa"/>
              <w:right w:w="115" w:type="dxa"/>
            </w:tcMar>
            <w:vAlign w:val="bottom"/>
          </w:tcPr>
          <w:p w14:paraId="3A0D0D22" w14:textId="77777777" w:rsidR="00724034" w:rsidRDefault="00FB7D0B">
            <w:pPr>
              <w:rPr>
                <w:rFonts w:ascii="Arial" w:eastAsia="Arial" w:hAnsi="Arial" w:cs="Arial"/>
                <w:color w:val="000000"/>
                <w:sz w:val="16"/>
              </w:rPr>
            </w:pPr>
            <w:r>
              <w:rPr>
                <w:rFonts w:ascii="Arial" w:eastAsia="Arial" w:hAnsi="Arial" w:cs="Arial"/>
                <w:color w:val="000000"/>
                <w:sz w:val="16"/>
              </w:rPr>
              <w:t>Annual departmental expenses:</w:t>
            </w:r>
          </w:p>
        </w:tc>
        <w:tc>
          <w:tcPr>
            <w:tcW w:w="0" w:type="auto"/>
            <w:tcBorders>
              <w:top w:val="nil"/>
              <w:left w:val="nil"/>
              <w:bottom w:val="nil"/>
              <w:right w:val="nil"/>
              <w:tl2br w:val="nil"/>
              <w:tr2bl w:val="nil"/>
            </w:tcBorders>
            <w:shd w:val="clear" w:color="auto" w:fill="FFFFFF"/>
            <w:tcMar>
              <w:left w:w="115" w:type="dxa"/>
              <w:right w:w="115" w:type="dxa"/>
            </w:tcMar>
            <w:vAlign w:val="bottom"/>
          </w:tcPr>
          <w:p w14:paraId="21BDA7AC" w14:textId="77777777" w:rsidR="00724034" w:rsidRDefault="00724034">
            <w:pPr>
              <w:jc w:val="right"/>
              <w:rPr>
                <w:rFonts w:ascii="Arial" w:eastAsia="Arial" w:hAnsi="Arial" w:cs="Arial"/>
                <w:color w:val="000000"/>
                <w:sz w:val="16"/>
              </w:rPr>
            </w:pPr>
          </w:p>
        </w:tc>
        <w:tc>
          <w:tcPr>
            <w:tcW w:w="0" w:type="auto"/>
            <w:tcBorders>
              <w:top w:val="nil"/>
              <w:left w:val="nil"/>
              <w:bottom w:val="nil"/>
              <w:right w:val="nil"/>
              <w:tl2br w:val="nil"/>
              <w:tr2bl w:val="nil"/>
            </w:tcBorders>
            <w:shd w:val="clear" w:color="auto" w:fill="C0C0C0"/>
            <w:tcMar>
              <w:left w:w="115" w:type="dxa"/>
              <w:right w:w="115" w:type="dxa"/>
            </w:tcMar>
            <w:vAlign w:val="bottom"/>
          </w:tcPr>
          <w:p w14:paraId="03D62E8E" w14:textId="77777777" w:rsidR="00724034" w:rsidRDefault="00724034">
            <w:pPr>
              <w:jc w:val="right"/>
              <w:rPr>
                <w:rFonts w:ascii="Arial" w:eastAsia="Arial" w:hAnsi="Arial" w:cs="Arial"/>
                <w:color w:val="000000"/>
                <w:sz w:val="16"/>
              </w:rPr>
            </w:pPr>
          </w:p>
        </w:tc>
        <w:tc>
          <w:tcPr>
            <w:tcW w:w="0" w:type="auto"/>
            <w:tcBorders>
              <w:top w:val="nil"/>
              <w:left w:val="nil"/>
              <w:bottom w:val="nil"/>
              <w:right w:val="nil"/>
              <w:tl2br w:val="nil"/>
              <w:tr2bl w:val="nil"/>
            </w:tcBorders>
            <w:shd w:val="clear" w:color="auto" w:fill="FFFFFF"/>
            <w:tcMar>
              <w:left w:w="115" w:type="dxa"/>
              <w:right w:w="115" w:type="dxa"/>
            </w:tcMar>
            <w:vAlign w:val="bottom"/>
          </w:tcPr>
          <w:p w14:paraId="4AC4B27C" w14:textId="77777777" w:rsidR="00724034" w:rsidRDefault="00724034">
            <w:pPr>
              <w:jc w:val="right"/>
              <w:rPr>
                <w:rFonts w:ascii="Arial" w:eastAsia="Arial" w:hAnsi="Arial" w:cs="Arial"/>
                <w:color w:val="000000"/>
                <w:sz w:val="16"/>
              </w:rPr>
            </w:pPr>
          </w:p>
        </w:tc>
        <w:tc>
          <w:tcPr>
            <w:tcW w:w="0" w:type="auto"/>
            <w:tcBorders>
              <w:top w:val="nil"/>
              <w:left w:val="nil"/>
              <w:bottom w:val="nil"/>
              <w:right w:val="nil"/>
              <w:tl2br w:val="nil"/>
              <w:tr2bl w:val="nil"/>
            </w:tcBorders>
            <w:shd w:val="clear" w:color="auto" w:fill="FFFFFF"/>
            <w:tcMar>
              <w:left w:w="115" w:type="dxa"/>
              <w:right w:w="115" w:type="dxa"/>
            </w:tcMar>
            <w:vAlign w:val="bottom"/>
          </w:tcPr>
          <w:p w14:paraId="77002206" w14:textId="77777777" w:rsidR="00724034" w:rsidRDefault="00724034">
            <w:pPr>
              <w:jc w:val="right"/>
              <w:rPr>
                <w:rFonts w:ascii="Arial" w:eastAsia="Arial" w:hAnsi="Arial" w:cs="Arial"/>
                <w:color w:val="000000"/>
                <w:sz w:val="16"/>
              </w:rPr>
            </w:pPr>
          </w:p>
        </w:tc>
        <w:tc>
          <w:tcPr>
            <w:tcW w:w="0" w:type="auto"/>
            <w:tcBorders>
              <w:top w:val="nil"/>
              <w:left w:val="nil"/>
              <w:bottom w:val="nil"/>
              <w:right w:val="single" w:sz="6" w:space="0" w:color="000000"/>
              <w:tl2br w:val="nil"/>
              <w:tr2bl w:val="nil"/>
            </w:tcBorders>
            <w:shd w:val="clear" w:color="auto" w:fill="FFFFFF"/>
            <w:tcMar>
              <w:left w:w="115" w:type="dxa"/>
              <w:right w:w="115" w:type="dxa"/>
            </w:tcMar>
            <w:vAlign w:val="bottom"/>
          </w:tcPr>
          <w:p w14:paraId="5B263E5C" w14:textId="77777777" w:rsidR="00724034" w:rsidRDefault="00724034">
            <w:pPr>
              <w:jc w:val="right"/>
              <w:rPr>
                <w:rFonts w:ascii="Arial" w:eastAsia="Arial" w:hAnsi="Arial" w:cs="Arial"/>
                <w:color w:val="000000"/>
                <w:sz w:val="16"/>
              </w:rPr>
            </w:pPr>
          </w:p>
        </w:tc>
      </w:tr>
      <w:tr w:rsidR="00724034" w14:paraId="2F4B1606" w14:textId="77777777">
        <w:tblPrEx>
          <w:tblLook w:val="04A0" w:firstRow="1" w:lastRow="0" w:firstColumn="1" w:lastColumn="0" w:noHBand="0" w:noVBand="1"/>
        </w:tblPrEx>
        <w:trPr>
          <w:trHeight w:val="225"/>
        </w:trPr>
        <w:tc>
          <w:tcPr>
            <w:tcW w:w="0" w:type="auto"/>
            <w:tcBorders>
              <w:top w:val="nil"/>
              <w:left w:val="single" w:sz="6" w:space="0" w:color="000000"/>
              <w:bottom w:val="nil"/>
              <w:right w:val="nil"/>
              <w:tl2br w:val="nil"/>
              <w:tr2bl w:val="nil"/>
            </w:tcBorders>
            <w:shd w:val="clear" w:color="auto" w:fill="FFFFFF"/>
            <w:tcMar>
              <w:left w:w="115" w:type="dxa"/>
              <w:right w:w="115" w:type="dxa"/>
            </w:tcMar>
            <w:vAlign w:val="bottom"/>
          </w:tcPr>
          <w:p w14:paraId="761648C5" w14:textId="77777777" w:rsidR="00724034" w:rsidRDefault="00724034">
            <w:pPr>
              <w:rPr>
                <w:rFonts w:ascii="Arial" w:eastAsia="Arial" w:hAnsi="Arial" w:cs="Arial"/>
                <w:color w:val="000000"/>
                <w:sz w:val="16"/>
              </w:rPr>
            </w:pPr>
          </w:p>
        </w:tc>
        <w:tc>
          <w:tcPr>
            <w:tcW w:w="0" w:type="auto"/>
            <w:tcBorders>
              <w:top w:val="nil"/>
              <w:left w:val="nil"/>
              <w:bottom w:val="nil"/>
              <w:right w:val="nil"/>
              <w:tl2br w:val="nil"/>
              <w:tr2bl w:val="nil"/>
            </w:tcBorders>
            <w:shd w:val="clear" w:color="auto" w:fill="FFFFFF"/>
            <w:tcMar>
              <w:left w:w="115" w:type="dxa"/>
              <w:right w:w="115" w:type="dxa"/>
            </w:tcMar>
            <w:vAlign w:val="bottom"/>
          </w:tcPr>
          <w:p w14:paraId="4FF2980A" w14:textId="77777777" w:rsidR="00724034" w:rsidRDefault="00724034">
            <w:pPr>
              <w:rPr>
                <w:rFonts w:ascii="Arial" w:eastAsia="Arial" w:hAnsi="Arial" w:cs="Arial"/>
                <w:color w:val="000000"/>
                <w:sz w:val="16"/>
              </w:rPr>
            </w:pPr>
          </w:p>
        </w:tc>
        <w:tc>
          <w:tcPr>
            <w:tcW w:w="0" w:type="auto"/>
            <w:tcBorders>
              <w:top w:val="nil"/>
              <w:left w:val="nil"/>
              <w:bottom w:val="nil"/>
              <w:right w:val="nil"/>
              <w:tl2br w:val="nil"/>
              <w:tr2bl w:val="nil"/>
            </w:tcBorders>
            <w:shd w:val="clear" w:color="auto" w:fill="FFFFFF"/>
            <w:tcMar>
              <w:left w:w="115" w:type="dxa"/>
              <w:right w:w="115" w:type="dxa"/>
            </w:tcMar>
            <w:vAlign w:val="bottom"/>
          </w:tcPr>
          <w:p w14:paraId="28BF95D2" w14:textId="77777777" w:rsidR="00724034" w:rsidRDefault="00FB7D0B">
            <w:pPr>
              <w:rPr>
                <w:rFonts w:ascii="Arial" w:eastAsia="Arial" w:hAnsi="Arial" w:cs="Arial"/>
                <w:color w:val="000000"/>
                <w:sz w:val="16"/>
              </w:rPr>
            </w:pPr>
            <w:r>
              <w:rPr>
                <w:rFonts w:ascii="Arial" w:eastAsia="Arial" w:hAnsi="Arial" w:cs="Arial"/>
                <w:color w:val="000000"/>
                <w:sz w:val="16"/>
              </w:rPr>
              <w:t>Departmental item</w:t>
            </w:r>
          </w:p>
        </w:tc>
        <w:tc>
          <w:tcPr>
            <w:tcW w:w="0" w:type="auto"/>
            <w:tcBorders>
              <w:top w:val="nil"/>
              <w:left w:val="nil"/>
              <w:bottom w:val="single" w:sz="6" w:space="0" w:color="000000"/>
              <w:right w:val="nil"/>
              <w:tl2br w:val="nil"/>
              <w:tr2bl w:val="nil"/>
            </w:tcBorders>
            <w:shd w:val="clear" w:color="auto" w:fill="FFFFFF"/>
            <w:tcMar>
              <w:left w:w="115" w:type="dxa"/>
              <w:right w:w="115" w:type="dxa"/>
            </w:tcMar>
            <w:vAlign w:val="bottom"/>
          </w:tcPr>
          <w:p w14:paraId="58E35920" w14:textId="77777777" w:rsidR="00724034" w:rsidRDefault="00FB7D0B">
            <w:pPr>
              <w:jc w:val="right"/>
              <w:rPr>
                <w:rFonts w:ascii="Arial" w:eastAsia="Arial" w:hAnsi="Arial" w:cs="Arial"/>
                <w:color w:val="000000"/>
                <w:sz w:val="16"/>
              </w:rPr>
            </w:pPr>
            <w:r>
              <w:rPr>
                <w:rFonts w:ascii="Arial" w:eastAsia="Arial" w:hAnsi="Arial" w:cs="Arial"/>
                <w:color w:val="000000"/>
                <w:sz w:val="16"/>
              </w:rPr>
              <w:t xml:space="preserve"> 30,704 </w:t>
            </w:r>
          </w:p>
        </w:tc>
        <w:tc>
          <w:tcPr>
            <w:tcW w:w="0" w:type="auto"/>
            <w:tcBorders>
              <w:top w:val="nil"/>
              <w:left w:val="nil"/>
              <w:bottom w:val="single" w:sz="6" w:space="0" w:color="000000"/>
              <w:right w:val="nil"/>
              <w:tl2br w:val="nil"/>
              <w:tr2bl w:val="nil"/>
            </w:tcBorders>
            <w:shd w:val="clear" w:color="auto" w:fill="C0C0C0"/>
            <w:tcMar>
              <w:left w:w="115" w:type="dxa"/>
              <w:right w:w="115" w:type="dxa"/>
            </w:tcMar>
            <w:vAlign w:val="bottom"/>
          </w:tcPr>
          <w:p w14:paraId="24DF178A" w14:textId="77777777" w:rsidR="00724034" w:rsidRDefault="00FB7D0B">
            <w:pPr>
              <w:jc w:val="right"/>
              <w:rPr>
                <w:rFonts w:ascii="Arial" w:eastAsia="Arial" w:hAnsi="Arial" w:cs="Arial"/>
                <w:color w:val="000000"/>
                <w:sz w:val="16"/>
              </w:rPr>
            </w:pPr>
            <w:r>
              <w:rPr>
                <w:rFonts w:ascii="Arial" w:eastAsia="Arial" w:hAnsi="Arial" w:cs="Arial"/>
                <w:color w:val="000000"/>
                <w:sz w:val="16"/>
              </w:rPr>
              <w:t xml:space="preserve"> 30,165 </w:t>
            </w:r>
          </w:p>
        </w:tc>
        <w:tc>
          <w:tcPr>
            <w:tcW w:w="0" w:type="auto"/>
            <w:tcBorders>
              <w:top w:val="nil"/>
              <w:left w:val="nil"/>
              <w:bottom w:val="single" w:sz="6" w:space="0" w:color="000000"/>
              <w:right w:val="nil"/>
              <w:tl2br w:val="nil"/>
              <w:tr2bl w:val="nil"/>
            </w:tcBorders>
            <w:shd w:val="clear" w:color="auto" w:fill="FFFFFF"/>
            <w:tcMar>
              <w:left w:w="115" w:type="dxa"/>
              <w:right w:w="115" w:type="dxa"/>
            </w:tcMar>
            <w:vAlign w:val="bottom"/>
          </w:tcPr>
          <w:p w14:paraId="1D96C6BA" w14:textId="77777777" w:rsidR="00724034" w:rsidRDefault="00FB7D0B">
            <w:pPr>
              <w:jc w:val="right"/>
              <w:rPr>
                <w:rFonts w:ascii="Arial" w:eastAsia="Arial" w:hAnsi="Arial" w:cs="Arial"/>
                <w:color w:val="000000"/>
                <w:sz w:val="16"/>
              </w:rPr>
            </w:pPr>
            <w:r>
              <w:rPr>
                <w:rFonts w:ascii="Arial" w:eastAsia="Arial" w:hAnsi="Arial" w:cs="Arial"/>
                <w:color w:val="000000"/>
                <w:sz w:val="16"/>
              </w:rPr>
              <w:t xml:space="preserve"> 29,098 </w:t>
            </w:r>
          </w:p>
        </w:tc>
        <w:tc>
          <w:tcPr>
            <w:tcW w:w="0" w:type="auto"/>
            <w:tcBorders>
              <w:top w:val="nil"/>
              <w:left w:val="nil"/>
              <w:bottom w:val="single" w:sz="6" w:space="0" w:color="000000"/>
              <w:right w:val="nil"/>
              <w:tl2br w:val="nil"/>
              <w:tr2bl w:val="nil"/>
            </w:tcBorders>
            <w:shd w:val="clear" w:color="auto" w:fill="FFFFFF"/>
            <w:tcMar>
              <w:left w:w="115" w:type="dxa"/>
              <w:right w:w="115" w:type="dxa"/>
            </w:tcMar>
            <w:vAlign w:val="bottom"/>
          </w:tcPr>
          <w:p w14:paraId="3C528CE3" w14:textId="77777777" w:rsidR="00724034" w:rsidRDefault="00FB7D0B">
            <w:pPr>
              <w:jc w:val="right"/>
              <w:rPr>
                <w:rFonts w:ascii="Arial" w:eastAsia="Arial" w:hAnsi="Arial" w:cs="Arial"/>
                <w:color w:val="000000"/>
                <w:sz w:val="16"/>
              </w:rPr>
            </w:pPr>
            <w:r>
              <w:rPr>
                <w:rFonts w:ascii="Arial" w:eastAsia="Arial" w:hAnsi="Arial" w:cs="Arial"/>
                <w:color w:val="000000"/>
                <w:sz w:val="16"/>
              </w:rPr>
              <w:t xml:space="preserve"> 28,616 </w:t>
            </w:r>
          </w:p>
        </w:tc>
        <w:tc>
          <w:tcPr>
            <w:tcW w:w="0" w:type="auto"/>
            <w:tcBorders>
              <w:top w:val="nil"/>
              <w:left w:val="nil"/>
              <w:bottom w:val="single" w:sz="6" w:space="0" w:color="000000"/>
              <w:right w:val="single" w:sz="6" w:space="0" w:color="000000"/>
              <w:tl2br w:val="nil"/>
              <w:tr2bl w:val="nil"/>
            </w:tcBorders>
            <w:shd w:val="clear" w:color="auto" w:fill="FFFFFF"/>
            <w:tcMar>
              <w:left w:w="115" w:type="dxa"/>
              <w:right w:w="115" w:type="dxa"/>
            </w:tcMar>
            <w:vAlign w:val="bottom"/>
          </w:tcPr>
          <w:p w14:paraId="45F3A699" w14:textId="77777777" w:rsidR="00724034" w:rsidRDefault="00FB7D0B">
            <w:pPr>
              <w:jc w:val="right"/>
              <w:rPr>
                <w:rFonts w:ascii="Arial" w:eastAsia="Arial" w:hAnsi="Arial" w:cs="Arial"/>
                <w:color w:val="000000"/>
                <w:sz w:val="16"/>
              </w:rPr>
            </w:pPr>
            <w:r>
              <w:rPr>
                <w:rFonts w:ascii="Arial" w:eastAsia="Arial" w:hAnsi="Arial" w:cs="Arial"/>
                <w:color w:val="000000"/>
                <w:sz w:val="16"/>
              </w:rPr>
              <w:t xml:space="preserve"> 28,437 </w:t>
            </w:r>
          </w:p>
        </w:tc>
      </w:tr>
      <w:tr w:rsidR="00FB7D0B" w14:paraId="1ED385E1" w14:textId="77777777" w:rsidTr="00FB7D0B">
        <w:tblPrEx>
          <w:tblLook w:val="04A0" w:firstRow="1" w:lastRow="0" w:firstColumn="1" w:lastColumn="0" w:noHBand="0" w:noVBand="1"/>
        </w:tblPrEx>
        <w:trPr>
          <w:trHeight w:val="225"/>
        </w:trPr>
        <w:tc>
          <w:tcPr>
            <w:tcW w:w="0" w:type="auto"/>
            <w:tcBorders>
              <w:top w:val="nil"/>
              <w:left w:val="single" w:sz="6" w:space="0" w:color="000000"/>
              <w:bottom w:val="nil"/>
              <w:right w:val="nil"/>
              <w:tl2br w:val="nil"/>
              <w:tr2bl w:val="nil"/>
            </w:tcBorders>
            <w:shd w:val="clear" w:color="auto" w:fill="FFFFFF"/>
            <w:tcMar>
              <w:left w:w="115" w:type="dxa"/>
              <w:right w:w="115" w:type="dxa"/>
            </w:tcMar>
            <w:vAlign w:val="bottom"/>
          </w:tcPr>
          <w:p w14:paraId="6E98A0DE" w14:textId="77777777" w:rsidR="00724034" w:rsidRDefault="00724034">
            <w:pPr>
              <w:rPr>
                <w:rFonts w:ascii="Arial" w:eastAsia="Arial" w:hAnsi="Arial" w:cs="Arial"/>
                <w:color w:val="000000"/>
                <w:sz w:val="16"/>
              </w:rPr>
            </w:pPr>
          </w:p>
        </w:tc>
        <w:tc>
          <w:tcPr>
            <w:tcW w:w="0" w:type="auto"/>
            <w:gridSpan w:val="2"/>
            <w:vMerge w:val="restart"/>
            <w:tcBorders>
              <w:top w:val="nil"/>
              <w:left w:val="nil"/>
              <w:bottom w:val="nil"/>
              <w:right w:val="nil"/>
              <w:tl2br w:val="nil"/>
              <w:tr2bl w:val="nil"/>
            </w:tcBorders>
            <w:shd w:val="clear" w:color="auto" w:fill="FFFFFF"/>
            <w:tcMar>
              <w:left w:w="115" w:type="dxa"/>
              <w:right w:w="115" w:type="dxa"/>
            </w:tcMar>
            <w:vAlign w:val="bottom"/>
          </w:tcPr>
          <w:p w14:paraId="706069CB" w14:textId="77777777" w:rsidR="00724034" w:rsidRDefault="00FB7D0B">
            <w:pPr>
              <w:rPr>
                <w:rFonts w:ascii="Arial" w:eastAsia="Arial" w:hAnsi="Arial" w:cs="Arial"/>
                <w:b/>
                <w:color w:val="000000"/>
                <w:sz w:val="16"/>
              </w:rPr>
            </w:pPr>
            <w:r>
              <w:rPr>
                <w:rFonts w:ascii="Arial" w:eastAsia="Arial" w:hAnsi="Arial" w:cs="Arial"/>
                <w:b/>
                <w:color w:val="000000"/>
                <w:sz w:val="16"/>
              </w:rPr>
              <w:t>Total component expenses</w:t>
            </w:r>
          </w:p>
        </w:tc>
        <w:tc>
          <w:tcPr>
            <w:tcW w:w="0" w:type="auto"/>
            <w:tcBorders>
              <w:top w:val="single" w:sz="6" w:space="0" w:color="000000"/>
              <w:left w:val="nil"/>
              <w:bottom w:val="single" w:sz="6" w:space="0" w:color="000000"/>
              <w:right w:val="nil"/>
              <w:tl2br w:val="nil"/>
              <w:tr2bl w:val="nil"/>
            </w:tcBorders>
            <w:shd w:val="clear" w:color="auto" w:fill="FFFFFF"/>
            <w:tcMar>
              <w:left w:w="115" w:type="dxa"/>
              <w:right w:w="115" w:type="dxa"/>
            </w:tcMar>
            <w:vAlign w:val="bottom"/>
          </w:tcPr>
          <w:p w14:paraId="3DC78868" w14:textId="77777777" w:rsidR="00724034" w:rsidRDefault="00FB7D0B">
            <w:pPr>
              <w:jc w:val="right"/>
              <w:rPr>
                <w:rFonts w:ascii="Arial" w:eastAsia="Arial" w:hAnsi="Arial" w:cs="Arial"/>
                <w:b/>
                <w:color w:val="000000"/>
                <w:sz w:val="16"/>
              </w:rPr>
            </w:pPr>
            <w:r>
              <w:rPr>
                <w:rFonts w:ascii="Arial" w:eastAsia="Arial" w:hAnsi="Arial" w:cs="Arial"/>
                <w:b/>
                <w:color w:val="000000"/>
                <w:sz w:val="16"/>
              </w:rPr>
              <w:t>30,704 </w:t>
            </w:r>
          </w:p>
        </w:tc>
        <w:tc>
          <w:tcPr>
            <w:tcW w:w="0" w:type="auto"/>
            <w:tcBorders>
              <w:top w:val="single" w:sz="6" w:space="0" w:color="000000"/>
              <w:left w:val="nil"/>
              <w:bottom w:val="single" w:sz="6" w:space="0" w:color="000000"/>
              <w:right w:val="nil"/>
              <w:tl2br w:val="nil"/>
              <w:tr2bl w:val="nil"/>
            </w:tcBorders>
            <w:shd w:val="clear" w:color="auto" w:fill="C0C0C0"/>
            <w:tcMar>
              <w:left w:w="115" w:type="dxa"/>
              <w:right w:w="115" w:type="dxa"/>
            </w:tcMar>
            <w:vAlign w:val="bottom"/>
          </w:tcPr>
          <w:p w14:paraId="2AC8DAC5" w14:textId="77777777" w:rsidR="00724034" w:rsidRDefault="00FB7D0B">
            <w:pPr>
              <w:jc w:val="right"/>
              <w:rPr>
                <w:rFonts w:ascii="Arial" w:eastAsia="Arial" w:hAnsi="Arial" w:cs="Arial"/>
                <w:b/>
                <w:color w:val="000000"/>
                <w:sz w:val="16"/>
              </w:rPr>
            </w:pPr>
            <w:r>
              <w:rPr>
                <w:rFonts w:ascii="Arial" w:eastAsia="Arial" w:hAnsi="Arial" w:cs="Arial"/>
                <w:b/>
                <w:color w:val="000000"/>
                <w:sz w:val="16"/>
              </w:rPr>
              <w:t>30,165 </w:t>
            </w:r>
          </w:p>
        </w:tc>
        <w:tc>
          <w:tcPr>
            <w:tcW w:w="0" w:type="auto"/>
            <w:tcBorders>
              <w:top w:val="single" w:sz="6" w:space="0" w:color="000000"/>
              <w:left w:val="nil"/>
              <w:bottom w:val="single" w:sz="6" w:space="0" w:color="000000"/>
              <w:right w:val="nil"/>
              <w:tl2br w:val="nil"/>
              <w:tr2bl w:val="nil"/>
            </w:tcBorders>
            <w:shd w:val="clear" w:color="auto" w:fill="FFFFFF"/>
            <w:tcMar>
              <w:left w:w="115" w:type="dxa"/>
              <w:right w:w="115" w:type="dxa"/>
            </w:tcMar>
            <w:vAlign w:val="bottom"/>
          </w:tcPr>
          <w:p w14:paraId="767D7B00" w14:textId="77777777" w:rsidR="00724034" w:rsidRDefault="00FB7D0B">
            <w:pPr>
              <w:jc w:val="right"/>
              <w:rPr>
                <w:rFonts w:ascii="Arial" w:eastAsia="Arial" w:hAnsi="Arial" w:cs="Arial"/>
                <w:b/>
                <w:color w:val="000000"/>
                <w:sz w:val="16"/>
              </w:rPr>
            </w:pPr>
            <w:r>
              <w:rPr>
                <w:rFonts w:ascii="Arial" w:eastAsia="Arial" w:hAnsi="Arial" w:cs="Arial"/>
                <w:b/>
                <w:color w:val="000000"/>
                <w:sz w:val="16"/>
              </w:rPr>
              <w:t>29,098 </w:t>
            </w:r>
          </w:p>
        </w:tc>
        <w:tc>
          <w:tcPr>
            <w:tcW w:w="0" w:type="auto"/>
            <w:tcBorders>
              <w:top w:val="single" w:sz="6" w:space="0" w:color="000000"/>
              <w:left w:val="nil"/>
              <w:bottom w:val="single" w:sz="6" w:space="0" w:color="000000"/>
              <w:right w:val="nil"/>
              <w:tl2br w:val="nil"/>
              <w:tr2bl w:val="nil"/>
            </w:tcBorders>
            <w:shd w:val="clear" w:color="auto" w:fill="FFFFFF"/>
            <w:tcMar>
              <w:left w:w="115" w:type="dxa"/>
              <w:right w:w="115" w:type="dxa"/>
            </w:tcMar>
            <w:vAlign w:val="bottom"/>
          </w:tcPr>
          <w:p w14:paraId="46E49B1F" w14:textId="77777777" w:rsidR="00724034" w:rsidRDefault="00FB7D0B">
            <w:pPr>
              <w:jc w:val="right"/>
              <w:rPr>
                <w:rFonts w:ascii="Arial" w:eastAsia="Arial" w:hAnsi="Arial" w:cs="Arial"/>
                <w:b/>
                <w:color w:val="000000"/>
                <w:sz w:val="16"/>
              </w:rPr>
            </w:pPr>
            <w:r>
              <w:rPr>
                <w:rFonts w:ascii="Arial" w:eastAsia="Arial" w:hAnsi="Arial" w:cs="Arial"/>
                <w:b/>
                <w:color w:val="000000"/>
                <w:sz w:val="16"/>
              </w:rPr>
              <w:t>28,616 </w:t>
            </w:r>
          </w:p>
        </w:tc>
        <w:tc>
          <w:tcPr>
            <w:tcW w:w="0" w:type="auto"/>
            <w:tcBorders>
              <w:top w:val="single" w:sz="6" w:space="0" w:color="000000"/>
              <w:left w:val="nil"/>
              <w:bottom w:val="single" w:sz="6" w:space="0" w:color="000000"/>
              <w:right w:val="single" w:sz="6" w:space="0" w:color="000000"/>
              <w:tl2br w:val="nil"/>
              <w:tr2bl w:val="nil"/>
            </w:tcBorders>
            <w:shd w:val="clear" w:color="auto" w:fill="FFFFFF"/>
            <w:tcMar>
              <w:left w:w="115" w:type="dxa"/>
              <w:right w:w="115" w:type="dxa"/>
            </w:tcMar>
            <w:vAlign w:val="bottom"/>
          </w:tcPr>
          <w:p w14:paraId="4B1FD24C" w14:textId="77777777" w:rsidR="00724034" w:rsidRDefault="00FB7D0B">
            <w:pPr>
              <w:jc w:val="right"/>
              <w:rPr>
                <w:rFonts w:ascii="Arial" w:eastAsia="Arial" w:hAnsi="Arial" w:cs="Arial"/>
                <w:b/>
                <w:color w:val="000000"/>
                <w:sz w:val="16"/>
              </w:rPr>
            </w:pPr>
            <w:r>
              <w:rPr>
                <w:rFonts w:ascii="Arial" w:eastAsia="Arial" w:hAnsi="Arial" w:cs="Arial"/>
                <w:b/>
                <w:color w:val="000000"/>
                <w:sz w:val="16"/>
              </w:rPr>
              <w:t>28,437 </w:t>
            </w:r>
          </w:p>
        </w:tc>
      </w:tr>
      <w:tr w:rsidR="00FB7D0B" w14:paraId="15E0518D" w14:textId="77777777" w:rsidTr="00FB7D0B">
        <w:tblPrEx>
          <w:tblLook w:val="04A0" w:firstRow="1" w:lastRow="0" w:firstColumn="1" w:lastColumn="0" w:noHBand="0" w:noVBand="1"/>
        </w:tblPrEx>
        <w:trPr>
          <w:trHeight w:val="225"/>
        </w:trPr>
        <w:tc>
          <w:tcPr>
            <w:tcW w:w="0" w:type="auto"/>
            <w:gridSpan w:val="3"/>
            <w:tcBorders>
              <w:top w:val="nil"/>
              <w:left w:val="single" w:sz="6" w:space="0" w:color="000000"/>
              <w:bottom w:val="nil"/>
              <w:right w:val="nil"/>
              <w:tl2br w:val="nil"/>
              <w:tr2bl w:val="nil"/>
            </w:tcBorders>
            <w:shd w:val="clear" w:color="auto" w:fill="FFFFFF"/>
            <w:tcMar>
              <w:left w:w="115" w:type="dxa"/>
              <w:right w:w="115" w:type="dxa"/>
            </w:tcMar>
            <w:vAlign w:val="bottom"/>
          </w:tcPr>
          <w:p w14:paraId="33C3BB2B" w14:textId="77777777" w:rsidR="00724034" w:rsidRDefault="00FB7D0B">
            <w:pPr>
              <w:rPr>
                <w:rFonts w:ascii="Arial" w:eastAsia="Arial" w:hAnsi="Arial" w:cs="Arial"/>
                <w:b/>
                <w:color w:val="000000"/>
                <w:sz w:val="16"/>
              </w:rPr>
            </w:pPr>
            <w:r>
              <w:rPr>
                <w:rFonts w:ascii="Arial" w:eastAsia="Arial" w:hAnsi="Arial" w:cs="Arial"/>
                <w:b/>
                <w:i/>
                <w:color w:val="000000"/>
                <w:sz w:val="16"/>
              </w:rPr>
              <w:t>1.4 - Exhibitions</w:t>
            </w:r>
          </w:p>
        </w:tc>
        <w:tc>
          <w:tcPr>
            <w:tcW w:w="0" w:type="auto"/>
            <w:tcBorders>
              <w:top w:val="single" w:sz="6" w:space="0" w:color="000000"/>
              <w:left w:val="nil"/>
              <w:bottom w:val="nil"/>
              <w:right w:val="nil"/>
              <w:tl2br w:val="nil"/>
              <w:tr2bl w:val="nil"/>
            </w:tcBorders>
            <w:shd w:val="clear" w:color="auto" w:fill="FFFFFF"/>
            <w:tcMar>
              <w:left w:w="115" w:type="dxa"/>
              <w:right w:w="115" w:type="dxa"/>
            </w:tcMar>
            <w:vAlign w:val="bottom"/>
          </w:tcPr>
          <w:p w14:paraId="76F01D76" w14:textId="77777777" w:rsidR="00724034" w:rsidRDefault="00724034">
            <w:pPr>
              <w:jc w:val="right"/>
              <w:rPr>
                <w:rFonts w:ascii="Arial" w:eastAsia="Arial" w:hAnsi="Arial" w:cs="Arial"/>
                <w:b/>
                <w:i/>
                <w:color w:val="000000"/>
                <w:sz w:val="16"/>
              </w:rPr>
            </w:pPr>
          </w:p>
        </w:tc>
        <w:tc>
          <w:tcPr>
            <w:tcW w:w="0" w:type="auto"/>
            <w:tcBorders>
              <w:top w:val="single" w:sz="6" w:space="0" w:color="000000"/>
              <w:left w:val="nil"/>
              <w:bottom w:val="nil"/>
              <w:right w:val="nil"/>
              <w:tl2br w:val="nil"/>
              <w:tr2bl w:val="nil"/>
            </w:tcBorders>
            <w:shd w:val="clear" w:color="auto" w:fill="C0C0C0"/>
            <w:tcMar>
              <w:left w:w="115" w:type="dxa"/>
              <w:right w:w="115" w:type="dxa"/>
            </w:tcMar>
            <w:vAlign w:val="bottom"/>
          </w:tcPr>
          <w:p w14:paraId="74A72496" w14:textId="77777777" w:rsidR="00724034" w:rsidRDefault="00724034">
            <w:pPr>
              <w:jc w:val="right"/>
              <w:rPr>
                <w:rFonts w:ascii="Arial" w:eastAsia="Arial" w:hAnsi="Arial" w:cs="Arial"/>
                <w:color w:val="000000"/>
                <w:sz w:val="16"/>
              </w:rPr>
            </w:pPr>
          </w:p>
        </w:tc>
        <w:tc>
          <w:tcPr>
            <w:tcW w:w="0" w:type="auto"/>
            <w:tcBorders>
              <w:top w:val="single" w:sz="6" w:space="0" w:color="000000"/>
              <w:left w:val="nil"/>
              <w:bottom w:val="nil"/>
              <w:right w:val="nil"/>
              <w:tl2br w:val="nil"/>
              <w:tr2bl w:val="nil"/>
            </w:tcBorders>
            <w:shd w:val="clear" w:color="auto" w:fill="FFFFFF"/>
            <w:tcMar>
              <w:left w:w="115" w:type="dxa"/>
              <w:right w:w="115" w:type="dxa"/>
            </w:tcMar>
            <w:vAlign w:val="bottom"/>
          </w:tcPr>
          <w:p w14:paraId="4B337DE9" w14:textId="77777777" w:rsidR="00724034" w:rsidRDefault="00724034">
            <w:pPr>
              <w:jc w:val="right"/>
              <w:rPr>
                <w:rFonts w:ascii="Arial" w:eastAsia="Arial" w:hAnsi="Arial" w:cs="Arial"/>
                <w:color w:val="000000"/>
                <w:sz w:val="16"/>
              </w:rPr>
            </w:pPr>
          </w:p>
        </w:tc>
        <w:tc>
          <w:tcPr>
            <w:tcW w:w="0" w:type="auto"/>
            <w:tcBorders>
              <w:top w:val="single" w:sz="6" w:space="0" w:color="000000"/>
              <w:left w:val="nil"/>
              <w:bottom w:val="nil"/>
              <w:right w:val="nil"/>
              <w:tl2br w:val="nil"/>
              <w:tr2bl w:val="nil"/>
            </w:tcBorders>
            <w:shd w:val="clear" w:color="auto" w:fill="FFFFFF"/>
            <w:tcMar>
              <w:left w:w="115" w:type="dxa"/>
              <w:right w:w="115" w:type="dxa"/>
            </w:tcMar>
            <w:vAlign w:val="bottom"/>
          </w:tcPr>
          <w:p w14:paraId="11723162" w14:textId="77777777" w:rsidR="00724034" w:rsidRDefault="00724034">
            <w:pPr>
              <w:jc w:val="right"/>
              <w:rPr>
                <w:rFonts w:ascii="Arial" w:eastAsia="Arial" w:hAnsi="Arial" w:cs="Arial"/>
                <w:color w:val="000000"/>
                <w:sz w:val="16"/>
              </w:rPr>
            </w:pPr>
          </w:p>
        </w:tc>
        <w:tc>
          <w:tcPr>
            <w:tcW w:w="0" w:type="auto"/>
            <w:tcBorders>
              <w:top w:val="single" w:sz="6" w:space="0" w:color="000000"/>
              <w:left w:val="nil"/>
              <w:bottom w:val="nil"/>
              <w:right w:val="single" w:sz="6" w:space="0" w:color="000000"/>
              <w:tl2br w:val="nil"/>
              <w:tr2bl w:val="nil"/>
            </w:tcBorders>
            <w:shd w:val="clear" w:color="auto" w:fill="FFFFFF"/>
            <w:tcMar>
              <w:left w:w="115" w:type="dxa"/>
              <w:right w:w="115" w:type="dxa"/>
            </w:tcMar>
            <w:vAlign w:val="bottom"/>
          </w:tcPr>
          <w:p w14:paraId="64DD38FE" w14:textId="77777777" w:rsidR="00724034" w:rsidRDefault="00724034">
            <w:pPr>
              <w:jc w:val="right"/>
              <w:rPr>
                <w:rFonts w:ascii="Arial" w:eastAsia="Arial" w:hAnsi="Arial" w:cs="Arial"/>
                <w:color w:val="000000"/>
                <w:sz w:val="16"/>
              </w:rPr>
            </w:pPr>
          </w:p>
        </w:tc>
      </w:tr>
      <w:tr w:rsidR="00FB7D0B" w14:paraId="04FF0B39" w14:textId="77777777" w:rsidTr="00FB7D0B">
        <w:tblPrEx>
          <w:tblLook w:val="04A0" w:firstRow="1" w:lastRow="0" w:firstColumn="1" w:lastColumn="0" w:noHBand="0" w:noVBand="1"/>
        </w:tblPrEx>
        <w:trPr>
          <w:trHeight w:val="225"/>
        </w:trPr>
        <w:tc>
          <w:tcPr>
            <w:tcW w:w="0" w:type="auto"/>
            <w:tcBorders>
              <w:top w:val="nil"/>
              <w:left w:val="single" w:sz="6" w:space="0" w:color="000000"/>
              <w:bottom w:val="nil"/>
              <w:right w:val="nil"/>
              <w:tl2br w:val="nil"/>
              <w:tr2bl w:val="nil"/>
            </w:tcBorders>
            <w:shd w:val="clear" w:color="auto" w:fill="FFFFFF"/>
            <w:tcMar>
              <w:left w:w="115" w:type="dxa"/>
              <w:right w:w="115" w:type="dxa"/>
            </w:tcMar>
            <w:vAlign w:val="bottom"/>
          </w:tcPr>
          <w:p w14:paraId="59A54991" w14:textId="77777777" w:rsidR="00724034" w:rsidRDefault="00724034">
            <w:pPr>
              <w:rPr>
                <w:rFonts w:ascii="Arial" w:eastAsia="Arial" w:hAnsi="Arial" w:cs="Arial"/>
                <w:color w:val="000000"/>
                <w:sz w:val="16"/>
              </w:rPr>
            </w:pPr>
          </w:p>
        </w:tc>
        <w:tc>
          <w:tcPr>
            <w:tcW w:w="0" w:type="auto"/>
            <w:gridSpan w:val="2"/>
            <w:tcBorders>
              <w:top w:val="nil"/>
              <w:left w:val="nil"/>
              <w:bottom w:val="nil"/>
              <w:right w:val="nil"/>
              <w:tl2br w:val="nil"/>
              <w:tr2bl w:val="nil"/>
            </w:tcBorders>
            <w:shd w:val="clear" w:color="auto" w:fill="FFFFFF"/>
            <w:tcMar>
              <w:left w:w="115" w:type="dxa"/>
              <w:right w:w="115" w:type="dxa"/>
            </w:tcMar>
            <w:vAlign w:val="bottom"/>
          </w:tcPr>
          <w:p w14:paraId="3504141F" w14:textId="77777777" w:rsidR="00724034" w:rsidRDefault="00FB7D0B">
            <w:pPr>
              <w:rPr>
                <w:rFonts w:ascii="Arial" w:eastAsia="Arial" w:hAnsi="Arial" w:cs="Arial"/>
                <w:color w:val="000000"/>
                <w:sz w:val="16"/>
              </w:rPr>
            </w:pPr>
            <w:r>
              <w:rPr>
                <w:rFonts w:ascii="Arial" w:eastAsia="Arial" w:hAnsi="Arial" w:cs="Arial"/>
                <w:color w:val="000000"/>
                <w:sz w:val="16"/>
              </w:rPr>
              <w:t>Annual departmental expenses:</w:t>
            </w:r>
          </w:p>
        </w:tc>
        <w:tc>
          <w:tcPr>
            <w:tcW w:w="0" w:type="auto"/>
            <w:tcBorders>
              <w:top w:val="nil"/>
              <w:left w:val="nil"/>
              <w:bottom w:val="nil"/>
              <w:right w:val="nil"/>
              <w:tl2br w:val="nil"/>
              <w:tr2bl w:val="nil"/>
            </w:tcBorders>
            <w:shd w:val="clear" w:color="auto" w:fill="FFFFFF"/>
            <w:tcMar>
              <w:left w:w="115" w:type="dxa"/>
              <w:right w:w="115" w:type="dxa"/>
            </w:tcMar>
            <w:vAlign w:val="bottom"/>
          </w:tcPr>
          <w:p w14:paraId="7884B7EF" w14:textId="77777777" w:rsidR="00724034" w:rsidRDefault="00724034">
            <w:pPr>
              <w:jc w:val="right"/>
              <w:rPr>
                <w:rFonts w:ascii="Arial" w:eastAsia="Arial" w:hAnsi="Arial" w:cs="Arial"/>
                <w:color w:val="000000"/>
                <w:sz w:val="16"/>
              </w:rPr>
            </w:pPr>
          </w:p>
        </w:tc>
        <w:tc>
          <w:tcPr>
            <w:tcW w:w="0" w:type="auto"/>
            <w:tcBorders>
              <w:top w:val="nil"/>
              <w:left w:val="nil"/>
              <w:bottom w:val="nil"/>
              <w:right w:val="nil"/>
              <w:tl2br w:val="nil"/>
              <w:tr2bl w:val="nil"/>
            </w:tcBorders>
            <w:shd w:val="clear" w:color="auto" w:fill="C0C0C0"/>
            <w:tcMar>
              <w:left w:w="115" w:type="dxa"/>
              <w:right w:w="115" w:type="dxa"/>
            </w:tcMar>
            <w:vAlign w:val="bottom"/>
          </w:tcPr>
          <w:p w14:paraId="16914164" w14:textId="77777777" w:rsidR="00724034" w:rsidRDefault="00724034">
            <w:pPr>
              <w:jc w:val="right"/>
              <w:rPr>
                <w:rFonts w:ascii="Arial" w:eastAsia="Arial" w:hAnsi="Arial" w:cs="Arial"/>
                <w:color w:val="000000"/>
                <w:sz w:val="16"/>
              </w:rPr>
            </w:pPr>
          </w:p>
        </w:tc>
        <w:tc>
          <w:tcPr>
            <w:tcW w:w="0" w:type="auto"/>
            <w:tcBorders>
              <w:top w:val="nil"/>
              <w:left w:val="nil"/>
              <w:bottom w:val="nil"/>
              <w:right w:val="nil"/>
              <w:tl2br w:val="nil"/>
              <w:tr2bl w:val="nil"/>
            </w:tcBorders>
            <w:shd w:val="clear" w:color="auto" w:fill="FFFFFF"/>
            <w:tcMar>
              <w:left w:w="115" w:type="dxa"/>
              <w:right w:w="115" w:type="dxa"/>
            </w:tcMar>
            <w:vAlign w:val="bottom"/>
          </w:tcPr>
          <w:p w14:paraId="5D864CA7" w14:textId="77777777" w:rsidR="00724034" w:rsidRDefault="00724034">
            <w:pPr>
              <w:jc w:val="right"/>
              <w:rPr>
                <w:rFonts w:ascii="Arial" w:eastAsia="Arial" w:hAnsi="Arial" w:cs="Arial"/>
                <w:color w:val="000000"/>
                <w:sz w:val="16"/>
              </w:rPr>
            </w:pPr>
          </w:p>
        </w:tc>
        <w:tc>
          <w:tcPr>
            <w:tcW w:w="0" w:type="auto"/>
            <w:tcBorders>
              <w:top w:val="nil"/>
              <w:left w:val="nil"/>
              <w:bottom w:val="nil"/>
              <w:right w:val="nil"/>
              <w:tl2br w:val="nil"/>
              <w:tr2bl w:val="nil"/>
            </w:tcBorders>
            <w:shd w:val="clear" w:color="auto" w:fill="FFFFFF"/>
            <w:tcMar>
              <w:left w:w="115" w:type="dxa"/>
              <w:right w:w="115" w:type="dxa"/>
            </w:tcMar>
            <w:vAlign w:val="bottom"/>
          </w:tcPr>
          <w:p w14:paraId="04378CC5" w14:textId="77777777" w:rsidR="00724034" w:rsidRDefault="00724034">
            <w:pPr>
              <w:jc w:val="right"/>
              <w:rPr>
                <w:rFonts w:ascii="Arial" w:eastAsia="Arial" w:hAnsi="Arial" w:cs="Arial"/>
                <w:color w:val="000000"/>
                <w:sz w:val="16"/>
              </w:rPr>
            </w:pPr>
          </w:p>
        </w:tc>
        <w:tc>
          <w:tcPr>
            <w:tcW w:w="0" w:type="auto"/>
            <w:tcBorders>
              <w:top w:val="nil"/>
              <w:left w:val="nil"/>
              <w:bottom w:val="nil"/>
              <w:right w:val="single" w:sz="6" w:space="0" w:color="000000"/>
              <w:tl2br w:val="nil"/>
              <w:tr2bl w:val="nil"/>
            </w:tcBorders>
            <w:shd w:val="clear" w:color="auto" w:fill="FFFFFF"/>
            <w:tcMar>
              <w:left w:w="115" w:type="dxa"/>
              <w:right w:w="115" w:type="dxa"/>
            </w:tcMar>
            <w:vAlign w:val="bottom"/>
          </w:tcPr>
          <w:p w14:paraId="62201CD5" w14:textId="77777777" w:rsidR="00724034" w:rsidRDefault="00724034">
            <w:pPr>
              <w:jc w:val="right"/>
              <w:rPr>
                <w:rFonts w:ascii="Arial" w:eastAsia="Arial" w:hAnsi="Arial" w:cs="Arial"/>
                <w:color w:val="000000"/>
                <w:sz w:val="16"/>
              </w:rPr>
            </w:pPr>
          </w:p>
        </w:tc>
      </w:tr>
      <w:tr w:rsidR="00724034" w14:paraId="582985FC" w14:textId="77777777">
        <w:tblPrEx>
          <w:tblLook w:val="04A0" w:firstRow="1" w:lastRow="0" w:firstColumn="1" w:lastColumn="0" w:noHBand="0" w:noVBand="1"/>
        </w:tblPrEx>
        <w:trPr>
          <w:trHeight w:val="225"/>
        </w:trPr>
        <w:tc>
          <w:tcPr>
            <w:tcW w:w="0" w:type="auto"/>
            <w:tcBorders>
              <w:top w:val="nil"/>
              <w:left w:val="single" w:sz="6" w:space="0" w:color="000000"/>
              <w:bottom w:val="nil"/>
              <w:right w:val="nil"/>
              <w:tl2br w:val="nil"/>
              <w:tr2bl w:val="nil"/>
            </w:tcBorders>
            <w:shd w:val="clear" w:color="auto" w:fill="FFFFFF"/>
            <w:tcMar>
              <w:left w:w="115" w:type="dxa"/>
              <w:right w:w="115" w:type="dxa"/>
            </w:tcMar>
            <w:vAlign w:val="bottom"/>
          </w:tcPr>
          <w:p w14:paraId="475E3624" w14:textId="77777777" w:rsidR="00724034" w:rsidRDefault="00724034">
            <w:pPr>
              <w:rPr>
                <w:rFonts w:ascii="Arial" w:eastAsia="Arial" w:hAnsi="Arial" w:cs="Arial"/>
                <w:color w:val="000000"/>
                <w:sz w:val="16"/>
              </w:rPr>
            </w:pPr>
          </w:p>
        </w:tc>
        <w:tc>
          <w:tcPr>
            <w:tcW w:w="0" w:type="auto"/>
            <w:tcBorders>
              <w:top w:val="nil"/>
              <w:left w:val="nil"/>
              <w:bottom w:val="nil"/>
              <w:right w:val="nil"/>
              <w:tl2br w:val="nil"/>
              <w:tr2bl w:val="nil"/>
            </w:tcBorders>
            <w:shd w:val="clear" w:color="auto" w:fill="FFFFFF"/>
            <w:tcMar>
              <w:left w:w="115" w:type="dxa"/>
              <w:right w:w="115" w:type="dxa"/>
            </w:tcMar>
            <w:vAlign w:val="bottom"/>
          </w:tcPr>
          <w:p w14:paraId="044FD1E8" w14:textId="77777777" w:rsidR="00724034" w:rsidRDefault="00724034">
            <w:pPr>
              <w:rPr>
                <w:rFonts w:ascii="Arial" w:eastAsia="Arial" w:hAnsi="Arial" w:cs="Arial"/>
                <w:color w:val="000000"/>
                <w:sz w:val="16"/>
              </w:rPr>
            </w:pPr>
          </w:p>
        </w:tc>
        <w:tc>
          <w:tcPr>
            <w:tcW w:w="0" w:type="auto"/>
            <w:tcBorders>
              <w:top w:val="nil"/>
              <w:left w:val="nil"/>
              <w:bottom w:val="nil"/>
              <w:right w:val="nil"/>
              <w:tl2br w:val="nil"/>
              <w:tr2bl w:val="nil"/>
            </w:tcBorders>
            <w:shd w:val="clear" w:color="auto" w:fill="FFFFFF"/>
            <w:tcMar>
              <w:left w:w="115" w:type="dxa"/>
              <w:right w:w="115" w:type="dxa"/>
            </w:tcMar>
            <w:vAlign w:val="bottom"/>
          </w:tcPr>
          <w:p w14:paraId="0534680F" w14:textId="77777777" w:rsidR="00724034" w:rsidRDefault="00FB7D0B">
            <w:pPr>
              <w:rPr>
                <w:rFonts w:ascii="Arial" w:eastAsia="Arial" w:hAnsi="Arial" w:cs="Arial"/>
                <w:color w:val="000000"/>
                <w:sz w:val="16"/>
              </w:rPr>
            </w:pPr>
            <w:r>
              <w:rPr>
                <w:rFonts w:ascii="Arial" w:eastAsia="Arial" w:hAnsi="Arial" w:cs="Arial"/>
                <w:color w:val="000000"/>
                <w:sz w:val="16"/>
              </w:rPr>
              <w:t>Departmental item</w:t>
            </w:r>
          </w:p>
        </w:tc>
        <w:tc>
          <w:tcPr>
            <w:tcW w:w="0" w:type="auto"/>
            <w:tcBorders>
              <w:top w:val="nil"/>
              <w:left w:val="nil"/>
              <w:bottom w:val="single" w:sz="6" w:space="0" w:color="000000"/>
              <w:right w:val="nil"/>
              <w:tl2br w:val="nil"/>
              <w:tr2bl w:val="nil"/>
            </w:tcBorders>
            <w:shd w:val="clear" w:color="auto" w:fill="FFFFFF"/>
            <w:tcMar>
              <w:left w:w="115" w:type="dxa"/>
              <w:right w:w="115" w:type="dxa"/>
            </w:tcMar>
            <w:vAlign w:val="bottom"/>
          </w:tcPr>
          <w:p w14:paraId="4688B275" w14:textId="77777777" w:rsidR="00724034" w:rsidRDefault="00FB7D0B">
            <w:pPr>
              <w:jc w:val="right"/>
              <w:rPr>
                <w:rFonts w:ascii="Arial" w:eastAsia="Arial" w:hAnsi="Arial" w:cs="Arial"/>
                <w:color w:val="000000"/>
                <w:sz w:val="16"/>
              </w:rPr>
            </w:pPr>
            <w:r>
              <w:rPr>
                <w:rFonts w:ascii="Arial" w:eastAsia="Arial" w:hAnsi="Arial" w:cs="Arial"/>
                <w:color w:val="000000"/>
                <w:sz w:val="16"/>
              </w:rPr>
              <w:t xml:space="preserve"> 8,256 </w:t>
            </w:r>
          </w:p>
        </w:tc>
        <w:tc>
          <w:tcPr>
            <w:tcW w:w="0" w:type="auto"/>
            <w:tcBorders>
              <w:top w:val="nil"/>
              <w:left w:val="nil"/>
              <w:bottom w:val="single" w:sz="6" w:space="0" w:color="000000"/>
              <w:right w:val="nil"/>
              <w:tl2br w:val="nil"/>
              <w:tr2bl w:val="nil"/>
            </w:tcBorders>
            <w:shd w:val="clear" w:color="auto" w:fill="C0C0C0"/>
            <w:tcMar>
              <w:left w:w="115" w:type="dxa"/>
              <w:right w:w="115" w:type="dxa"/>
            </w:tcMar>
            <w:vAlign w:val="bottom"/>
          </w:tcPr>
          <w:p w14:paraId="05331663" w14:textId="77777777" w:rsidR="00724034" w:rsidRDefault="00FB7D0B">
            <w:pPr>
              <w:jc w:val="right"/>
              <w:rPr>
                <w:rFonts w:ascii="Arial" w:eastAsia="Arial" w:hAnsi="Arial" w:cs="Arial"/>
                <w:color w:val="000000"/>
                <w:sz w:val="16"/>
              </w:rPr>
            </w:pPr>
            <w:r>
              <w:rPr>
                <w:rFonts w:ascii="Arial" w:eastAsia="Arial" w:hAnsi="Arial" w:cs="Arial"/>
                <w:color w:val="000000"/>
                <w:sz w:val="16"/>
              </w:rPr>
              <w:t xml:space="preserve"> 17,219 </w:t>
            </w:r>
          </w:p>
        </w:tc>
        <w:tc>
          <w:tcPr>
            <w:tcW w:w="0" w:type="auto"/>
            <w:tcBorders>
              <w:top w:val="nil"/>
              <w:left w:val="nil"/>
              <w:bottom w:val="single" w:sz="6" w:space="0" w:color="000000"/>
              <w:right w:val="nil"/>
              <w:tl2br w:val="nil"/>
              <w:tr2bl w:val="nil"/>
            </w:tcBorders>
            <w:shd w:val="clear" w:color="auto" w:fill="FFFFFF"/>
            <w:tcMar>
              <w:left w:w="115" w:type="dxa"/>
              <w:right w:w="115" w:type="dxa"/>
            </w:tcMar>
            <w:vAlign w:val="bottom"/>
          </w:tcPr>
          <w:p w14:paraId="13EE8C50" w14:textId="77777777" w:rsidR="00724034" w:rsidRDefault="00FB7D0B">
            <w:pPr>
              <w:jc w:val="right"/>
              <w:rPr>
                <w:rFonts w:ascii="Arial" w:eastAsia="Arial" w:hAnsi="Arial" w:cs="Arial"/>
                <w:color w:val="000000"/>
                <w:sz w:val="16"/>
              </w:rPr>
            </w:pPr>
            <w:r>
              <w:rPr>
                <w:rFonts w:ascii="Arial" w:eastAsia="Arial" w:hAnsi="Arial" w:cs="Arial"/>
                <w:color w:val="000000"/>
                <w:sz w:val="16"/>
              </w:rPr>
              <w:t xml:space="preserve"> 8,884 </w:t>
            </w:r>
          </w:p>
        </w:tc>
        <w:tc>
          <w:tcPr>
            <w:tcW w:w="0" w:type="auto"/>
            <w:tcBorders>
              <w:top w:val="nil"/>
              <w:left w:val="nil"/>
              <w:bottom w:val="single" w:sz="6" w:space="0" w:color="000000"/>
              <w:right w:val="nil"/>
              <w:tl2br w:val="nil"/>
              <w:tr2bl w:val="nil"/>
            </w:tcBorders>
            <w:shd w:val="clear" w:color="auto" w:fill="FFFFFF"/>
            <w:tcMar>
              <w:left w:w="115" w:type="dxa"/>
              <w:right w:w="115" w:type="dxa"/>
            </w:tcMar>
            <w:vAlign w:val="bottom"/>
          </w:tcPr>
          <w:p w14:paraId="4189A351" w14:textId="77777777" w:rsidR="00724034" w:rsidRDefault="00FB7D0B">
            <w:pPr>
              <w:jc w:val="right"/>
              <w:rPr>
                <w:rFonts w:ascii="Arial" w:eastAsia="Arial" w:hAnsi="Arial" w:cs="Arial"/>
                <w:color w:val="000000"/>
                <w:sz w:val="16"/>
              </w:rPr>
            </w:pPr>
            <w:r>
              <w:rPr>
                <w:rFonts w:ascii="Arial" w:eastAsia="Arial" w:hAnsi="Arial" w:cs="Arial"/>
                <w:color w:val="000000"/>
                <w:sz w:val="16"/>
              </w:rPr>
              <w:t xml:space="preserve"> 8,743 </w:t>
            </w:r>
          </w:p>
        </w:tc>
        <w:tc>
          <w:tcPr>
            <w:tcW w:w="0" w:type="auto"/>
            <w:tcBorders>
              <w:top w:val="nil"/>
              <w:left w:val="nil"/>
              <w:bottom w:val="single" w:sz="6" w:space="0" w:color="000000"/>
              <w:right w:val="single" w:sz="6" w:space="0" w:color="000000"/>
              <w:tl2br w:val="nil"/>
              <w:tr2bl w:val="nil"/>
            </w:tcBorders>
            <w:shd w:val="clear" w:color="auto" w:fill="FFFFFF"/>
            <w:tcMar>
              <w:left w:w="115" w:type="dxa"/>
              <w:right w:w="115" w:type="dxa"/>
            </w:tcMar>
            <w:vAlign w:val="bottom"/>
          </w:tcPr>
          <w:p w14:paraId="584B347D" w14:textId="77777777" w:rsidR="00724034" w:rsidRDefault="00FB7D0B">
            <w:pPr>
              <w:jc w:val="right"/>
              <w:rPr>
                <w:rFonts w:ascii="Arial" w:eastAsia="Arial" w:hAnsi="Arial" w:cs="Arial"/>
                <w:color w:val="000000"/>
                <w:sz w:val="16"/>
              </w:rPr>
            </w:pPr>
            <w:r>
              <w:rPr>
                <w:rFonts w:ascii="Arial" w:eastAsia="Arial" w:hAnsi="Arial" w:cs="Arial"/>
                <w:color w:val="000000"/>
                <w:sz w:val="16"/>
              </w:rPr>
              <w:t xml:space="preserve"> 8,683 </w:t>
            </w:r>
          </w:p>
        </w:tc>
      </w:tr>
      <w:tr w:rsidR="00FB7D0B" w14:paraId="735E9F4D" w14:textId="77777777" w:rsidTr="00FB7D0B">
        <w:tblPrEx>
          <w:tblLook w:val="04A0" w:firstRow="1" w:lastRow="0" w:firstColumn="1" w:lastColumn="0" w:noHBand="0" w:noVBand="1"/>
        </w:tblPrEx>
        <w:trPr>
          <w:trHeight w:val="225"/>
        </w:trPr>
        <w:tc>
          <w:tcPr>
            <w:tcW w:w="0" w:type="auto"/>
            <w:tcBorders>
              <w:top w:val="nil"/>
              <w:left w:val="single" w:sz="6" w:space="0" w:color="000000"/>
              <w:bottom w:val="nil"/>
              <w:right w:val="nil"/>
              <w:tl2br w:val="nil"/>
              <w:tr2bl w:val="nil"/>
            </w:tcBorders>
            <w:shd w:val="clear" w:color="auto" w:fill="FFFFFF"/>
            <w:tcMar>
              <w:left w:w="115" w:type="dxa"/>
              <w:right w:w="115" w:type="dxa"/>
            </w:tcMar>
            <w:vAlign w:val="bottom"/>
          </w:tcPr>
          <w:p w14:paraId="4C0607F0" w14:textId="77777777" w:rsidR="00724034" w:rsidRDefault="00724034">
            <w:pPr>
              <w:rPr>
                <w:rFonts w:ascii="Arial" w:eastAsia="Arial" w:hAnsi="Arial" w:cs="Arial"/>
                <w:color w:val="000000"/>
                <w:sz w:val="16"/>
              </w:rPr>
            </w:pPr>
          </w:p>
        </w:tc>
        <w:tc>
          <w:tcPr>
            <w:tcW w:w="0" w:type="auto"/>
            <w:gridSpan w:val="2"/>
            <w:vMerge w:val="restart"/>
            <w:tcBorders>
              <w:top w:val="nil"/>
              <w:left w:val="nil"/>
              <w:bottom w:val="nil"/>
              <w:right w:val="nil"/>
              <w:tl2br w:val="nil"/>
              <w:tr2bl w:val="nil"/>
            </w:tcBorders>
            <w:shd w:val="clear" w:color="auto" w:fill="FFFFFF"/>
            <w:tcMar>
              <w:left w:w="115" w:type="dxa"/>
              <w:right w:w="115" w:type="dxa"/>
            </w:tcMar>
            <w:vAlign w:val="bottom"/>
          </w:tcPr>
          <w:p w14:paraId="1E6B518A" w14:textId="77777777" w:rsidR="00724034" w:rsidRDefault="00FB7D0B">
            <w:pPr>
              <w:rPr>
                <w:rFonts w:ascii="Arial" w:eastAsia="Arial" w:hAnsi="Arial" w:cs="Arial"/>
                <w:b/>
                <w:color w:val="000000"/>
                <w:sz w:val="16"/>
              </w:rPr>
            </w:pPr>
            <w:r>
              <w:rPr>
                <w:rFonts w:ascii="Arial" w:eastAsia="Arial" w:hAnsi="Arial" w:cs="Arial"/>
                <w:b/>
                <w:color w:val="000000"/>
                <w:sz w:val="16"/>
              </w:rPr>
              <w:t>Total component expenses</w:t>
            </w:r>
          </w:p>
        </w:tc>
        <w:tc>
          <w:tcPr>
            <w:tcW w:w="0" w:type="auto"/>
            <w:tcBorders>
              <w:top w:val="single" w:sz="6" w:space="0" w:color="000000"/>
              <w:left w:val="nil"/>
              <w:bottom w:val="single" w:sz="6" w:space="0" w:color="000000"/>
              <w:right w:val="nil"/>
              <w:tl2br w:val="nil"/>
              <w:tr2bl w:val="nil"/>
            </w:tcBorders>
            <w:shd w:val="clear" w:color="auto" w:fill="FFFFFF"/>
            <w:tcMar>
              <w:left w:w="115" w:type="dxa"/>
              <w:right w:w="115" w:type="dxa"/>
            </w:tcMar>
            <w:vAlign w:val="bottom"/>
          </w:tcPr>
          <w:p w14:paraId="1623DC53" w14:textId="77777777" w:rsidR="00724034" w:rsidRDefault="00FB7D0B">
            <w:pPr>
              <w:jc w:val="right"/>
              <w:rPr>
                <w:rFonts w:ascii="Arial" w:eastAsia="Arial" w:hAnsi="Arial" w:cs="Arial"/>
                <w:b/>
                <w:color w:val="000000"/>
                <w:sz w:val="16"/>
              </w:rPr>
            </w:pPr>
            <w:r>
              <w:rPr>
                <w:rFonts w:ascii="Arial" w:eastAsia="Arial" w:hAnsi="Arial" w:cs="Arial"/>
                <w:b/>
                <w:color w:val="000000"/>
                <w:sz w:val="16"/>
              </w:rPr>
              <w:t>8,256 </w:t>
            </w:r>
          </w:p>
        </w:tc>
        <w:tc>
          <w:tcPr>
            <w:tcW w:w="0" w:type="auto"/>
            <w:tcBorders>
              <w:top w:val="single" w:sz="6" w:space="0" w:color="000000"/>
              <w:left w:val="nil"/>
              <w:bottom w:val="single" w:sz="6" w:space="0" w:color="000000"/>
              <w:right w:val="nil"/>
              <w:tl2br w:val="nil"/>
              <w:tr2bl w:val="nil"/>
            </w:tcBorders>
            <w:shd w:val="clear" w:color="auto" w:fill="C0C0C0"/>
            <w:tcMar>
              <w:left w:w="115" w:type="dxa"/>
              <w:right w:w="115" w:type="dxa"/>
            </w:tcMar>
            <w:vAlign w:val="bottom"/>
          </w:tcPr>
          <w:p w14:paraId="78C810AD" w14:textId="77777777" w:rsidR="00724034" w:rsidRDefault="00FB7D0B">
            <w:pPr>
              <w:jc w:val="right"/>
              <w:rPr>
                <w:rFonts w:ascii="Arial" w:eastAsia="Arial" w:hAnsi="Arial" w:cs="Arial"/>
                <w:b/>
                <w:color w:val="000000"/>
                <w:sz w:val="16"/>
              </w:rPr>
            </w:pPr>
            <w:r>
              <w:rPr>
                <w:rFonts w:ascii="Arial" w:eastAsia="Arial" w:hAnsi="Arial" w:cs="Arial"/>
                <w:b/>
                <w:color w:val="000000"/>
                <w:sz w:val="16"/>
              </w:rPr>
              <w:t>17,219 </w:t>
            </w:r>
          </w:p>
        </w:tc>
        <w:tc>
          <w:tcPr>
            <w:tcW w:w="0" w:type="auto"/>
            <w:tcBorders>
              <w:top w:val="single" w:sz="6" w:space="0" w:color="000000"/>
              <w:left w:val="nil"/>
              <w:bottom w:val="single" w:sz="6" w:space="0" w:color="000000"/>
              <w:right w:val="nil"/>
              <w:tl2br w:val="nil"/>
              <w:tr2bl w:val="nil"/>
            </w:tcBorders>
            <w:shd w:val="clear" w:color="auto" w:fill="FFFFFF"/>
            <w:tcMar>
              <w:left w:w="115" w:type="dxa"/>
              <w:right w:w="115" w:type="dxa"/>
            </w:tcMar>
            <w:vAlign w:val="bottom"/>
          </w:tcPr>
          <w:p w14:paraId="2E34A35A" w14:textId="77777777" w:rsidR="00724034" w:rsidRDefault="00FB7D0B">
            <w:pPr>
              <w:jc w:val="right"/>
              <w:rPr>
                <w:rFonts w:ascii="Arial" w:eastAsia="Arial" w:hAnsi="Arial" w:cs="Arial"/>
                <w:b/>
                <w:color w:val="000000"/>
                <w:sz w:val="16"/>
              </w:rPr>
            </w:pPr>
            <w:r>
              <w:rPr>
                <w:rFonts w:ascii="Arial" w:eastAsia="Arial" w:hAnsi="Arial" w:cs="Arial"/>
                <w:b/>
                <w:color w:val="000000"/>
                <w:sz w:val="16"/>
              </w:rPr>
              <w:t>8,884 </w:t>
            </w:r>
          </w:p>
        </w:tc>
        <w:tc>
          <w:tcPr>
            <w:tcW w:w="0" w:type="auto"/>
            <w:tcBorders>
              <w:top w:val="single" w:sz="6" w:space="0" w:color="000000"/>
              <w:left w:val="nil"/>
              <w:bottom w:val="single" w:sz="6" w:space="0" w:color="000000"/>
              <w:right w:val="nil"/>
              <w:tl2br w:val="nil"/>
              <w:tr2bl w:val="nil"/>
            </w:tcBorders>
            <w:shd w:val="clear" w:color="auto" w:fill="FFFFFF"/>
            <w:tcMar>
              <w:left w:w="115" w:type="dxa"/>
              <w:right w:w="115" w:type="dxa"/>
            </w:tcMar>
            <w:vAlign w:val="bottom"/>
          </w:tcPr>
          <w:p w14:paraId="346B79C1" w14:textId="77777777" w:rsidR="00724034" w:rsidRDefault="00FB7D0B">
            <w:pPr>
              <w:jc w:val="right"/>
              <w:rPr>
                <w:rFonts w:ascii="Arial" w:eastAsia="Arial" w:hAnsi="Arial" w:cs="Arial"/>
                <w:b/>
                <w:color w:val="000000"/>
                <w:sz w:val="16"/>
              </w:rPr>
            </w:pPr>
            <w:r>
              <w:rPr>
                <w:rFonts w:ascii="Arial" w:eastAsia="Arial" w:hAnsi="Arial" w:cs="Arial"/>
                <w:b/>
                <w:color w:val="000000"/>
                <w:sz w:val="16"/>
              </w:rPr>
              <w:t>8,743 </w:t>
            </w:r>
          </w:p>
        </w:tc>
        <w:tc>
          <w:tcPr>
            <w:tcW w:w="0" w:type="auto"/>
            <w:tcBorders>
              <w:top w:val="single" w:sz="6" w:space="0" w:color="000000"/>
              <w:left w:val="nil"/>
              <w:bottom w:val="single" w:sz="6" w:space="0" w:color="000000"/>
              <w:right w:val="single" w:sz="6" w:space="0" w:color="000000"/>
              <w:tl2br w:val="nil"/>
              <w:tr2bl w:val="nil"/>
            </w:tcBorders>
            <w:shd w:val="clear" w:color="auto" w:fill="FFFFFF"/>
            <w:tcMar>
              <w:left w:w="115" w:type="dxa"/>
              <w:right w:w="115" w:type="dxa"/>
            </w:tcMar>
            <w:vAlign w:val="bottom"/>
          </w:tcPr>
          <w:p w14:paraId="1A2AB496" w14:textId="77777777" w:rsidR="00724034" w:rsidRDefault="00FB7D0B">
            <w:pPr>
              <w:jc w:val="right"/>
              <w:rPr>
                <w:rFonts w:ascii="Arial" w:eastAsia="Arial" w:hAnsi="Arial" w:cs="Arial"/>
                <w:b/>
                <w:color w:val="000000"/>
                <w:sz w:val="16"/>
              </w:rPr>
            </w:pPr>
            <w:r>
              <w:rPr>
                <w:rFonts w:ascii="Arial" w:eastAsia="Arial" w:hAnsi="Arial" w:cs="Arial"/>
                <w:b/>
                <w:color w:val="000000"/>
                <w:sz w:val="16"/>
              </w:rPr>
              <w:t>8,683 </w:t>
            </w:r>
          </w:p>
        </w:tc>
      </w:tr>
      <w:tr w:rsidR="00FB7D0B" w14:paraId="64A3EB0F" w14:textId="77777777" w:rsidTr="00FB7D0B">
        <w:tblPrEx>
          <w:tblLook w:val="04A0" w:firstRow="1" w:lastRow="0" w:firstColumn="1" w:lastColumn="0" w:noHBand="0" w:noVBand="1"/>
        </w:tblPrEx>
        <w:trPr>
          <w:trHeight w:val="225"/>
        </w:trPr>
        <w:tc>
          <w:tcPr>
            <w:tcW w:w="0" w:type="auto"/>
            <w:gridSpan w:val="3"/>
            <w:tcBorders>
              <w:top w:val="nil"/>
              <w:left w:val="single" w:sz="6" w:space="0" w:color="000000"/>
              <w:bottom w:val="nil"/>
              <w:right w:val="nil"/>
              <w:tl2br w:val="nil"/>
              <w:tr2bl w:val="nil"/>
            </w:tcBorders>
            <w:shd w:val="clear" w:color="auto" w:fill="FFFFFF"/>
            <w:tcMar>
              <w:left w:w="115" w:type="dxa"/>
              <w:right w:w="115" w:type="dxa"/>
            </w:tcMar>
            <w:vAlign w:val="bottom"/>
          </w:tcPr>
          <w:p w14:paraId="101251C0" w14:textId="77777777" w:rsidR="00724034" w:rsidRDefault="00FB7D0B">
            <w:pPr>
              <w:rPr>
                <w:rFonts w:ascii="Arial" w:eastAsia="Arial" w:hAnsi="Arial" w:cs="Arial"/>
                <w:b/>
                <w:color w:val="000000"/>
                <w:sz w:val="16"/>
              </w:rPr>
            </w:pPr>
            <w:r>
              <w:rPr>
                <w:rFonts w:ascii="Arial" w:eastAsia="Arial" w:hAnsi="Arial" w:cs="Arial"/>
                <w:b/>
                <w:i/>
                <w:color w:val="000000"/>
                <w:sz w:val="16"/>
              </w:rPr>
              <w:t>1.5 - Interpretive Services</w:t>
            </w:r>
          </w:p>
        </w:tc>
        <w:tc>
          <w:tcPr>
            <w:tcW w:w="0" w:type="auto"/>
            <w:tcBorders>
              <w:top w:val="single" w:sz="6" w:space="0" w:color="000000"/>
              <w:left w:val="nil"/>
              <w:bottom w:val="nil"/>
              <w:right w:val="nil"/>
              <w:tl2br w:val="nil"/>
              <w:tr2bl w:val="nil"/>
            </w:tcBorders>
            <w:shd w:val="clear" w:color="auto" w:fill="FFFFFF"/>
            <w:tcMar>
              <w:left w:w="115" w:type="dxa"/>
              <w:right w:w="115" w:type="dxa"/>
            </w:tcMar>
            <w:vAlign w:val="bottom"/>
          </w:tcPr>
          <w:p w14:paraId="29D6E122" w14:textId="77777777" w:rsidR="00724034" w:rsidRDefault="00724034">
            <w:pPr>
              <w:jc w:val="right"/>
              <w:rPr>
                <w:rFonts w:ascii="Arial" w:eastAsia="Arial" w:hAnsi="Arial" w:cs="Arial"/>
                <w:b/>
                <w:i/>
                <w:color w:val="000000"/>
                <w:sz w:val="16"/>
              </w:rPr>
            </w:pPr>
          </w:p>
        </w:tc>
        <w:tc>
          <w:tcPr>
            <w:tcW w:w="0" w:type="auto"/>
            <w:tcBorders>
              <w:top w:val="single" w:sz="6" w:space="0" w:color="000000"/>
              <w:left w:val="nil"/>
              <w:bottom w:val="nil"/>
              <w:right w:val="nil"/>
              <w:tl2br w:val="nil"/>
              <w:tr2bl w:val="nil"/>
            </w:tcBorders>
            <w:shd w:val="clear" w:color="auto" w:fill="C0C0C0"/>
            <w:tcMar>
              <w:left w:w="115" w:type="dxa"/>
              <w:right w:w="115" w:type="dxa"/>
            </w:tcMar>
            <w:vAlign w:val="bottom"/>
          </w:tcPr>
          <w:p w14:paraId="3387998A" w14:textId="77777777" w:rsidR="00724034" w:rsidRDefault="00724034">
            <w:pPr>
              <w:jc w:val="right"/>
              <w:rPr>
                <w:rFonts w:ascii="Arial" w:eastAsia="Arial" w:hAnsi="Arial" w:cs="Arial"/>
                <w:color w:val="000000"/>
                <w:sz w:val="16"/>
              </w:rPr>
            </w:pPr>
          </w:p>
        </w:tc>
        <w:tc>
          <w:tcPr>
            <w:tcW w:w="0" w:type="auto"/>
            <w:tcBorders>
              <w:top w:val="single" w:sz="6" w:space="0" w:color="000000"/>
              <w:left w:val="nil"/>
              <w:bottom w:val="nil"/>
              <w:right w:val="nil"/>
              <w:tl2br w:val="nil"/>
              <w:tr2bl w:val="nil"/>
            </w:tcBorders>
            <w:shd w:val="clear" w:color="auto" w:fill="FFFFFF"/>
            <w:tcMar>
              <w:left w:w="115" w:type="dxa"/>
              <w:right w:w="115" w:type="dxa"/>
            </w:tcMar>
            <w:vAlign w:val="bottom"/>
          </w:tcPr>
          <w:p w14:paraId="741A01D8" w14:textId="77777777" w:rsidR="00724034" w:rsidRDefault="00724034">
            <w:pPr>
              <w:jc w:val="right"/>
              <w:rPr>
                <w:rFonts w:ascii="Arial" w:eastAsia="Arial" w:hAnsi="Arial" w:cs="Arial"/>
                <w:color w:val="000000"/>
                <w:sz w:val="16"/>
              </w:rPr>
            </w:pPr>
          </w:p>
        </w:tc>
        <w:tc>
          <w:tcPr>
            <w:tcW w:w="0" w:type="auto"/>
            <w:tcBorders>
              <w:top w:val="single" w:sz="6" w:space="0" w:color="000000"/>
              <w:left w:val="nil"/>
              <w:bottom w:val="nil"/>
              <w:right w:val="nil"/>
              <w:tl2br w:val="nil"/>
              <w:tr2bl w:val="nil"/>
            </w:tcBorders>
            <w:shd w:val="clear" w:color="auto" w:fill="FFFFFF"/>
            <w:tcMar>
              <w:left w:w="115" w:type="dxa"/>
              <w:right w:w="115" w:type="dxa"/>
            </w:tcMar>
            <w:vAlign w:val="bottom"/>
          </w:tcPr>
          <w:p w14:paraId="24C5BCF2" w14:textId="77777777" w:rsidR="00724034" w:rsidRDefault="00724034">
            <w:pPr>
              <w:jc w:val="right"/>
              <w:rPr>
                <w:rFonts w:ascii="Arial" w:eastAsia="Arial" w:hAnsi="Arial" w:cs="Arial"/>
                <w:color w:val="000000"/>
                <w:sz w:val="16"/>
              </w:rPr>
            </w:pPr>
          </w:p>
        </w:tc>
        <w:tc>
          <w:tcPr>
            <w:tcW w:w="0" w:type="auto"/>
            <w:tcBorders>
              <w:top w:val="single" w:sz="6" w:space="0" w:color="000000"/>
              <w:left w:val="nil"/>
              <w:bottom w:val="nil"/>
              <w:right w:val="single" w:sz="6" w:space="0" w:color="000000"/>
              <w:tl2br w:val="nil"/>
              <w:tr2bl w:val="nil"/>
            </w:tcBorders>
            <w:shd w:val="clear" w:color="auto" w:fill="FFFFFF"/>
            <w:tcMar>
              <w:left w:w="115" w:type="dxa"/>
              <w:right w:w="115" w:type="dxa"/>
            </w:tcMar>
            <w:vAlign w:val="bottom"/>
          </w:tcPr>
          <w:p w14:paraId="50EE64F5" w14:textId="77777777" w:rsidR="00724034" w:rsidRDefault="00724034">
            <w:pPr>
              <w:jc w:val="right"/>
              <w:rPr>
                <w:rFonts w:ascii="Arial" w:eastAsia="Arial" w:hAnsi="Arial" w:cs="Arial"/>
                <w:color w:val="000000"/>
                <w:sz w:val="16"/>
              </w:rPr>
            </w:pPr>
          </w:p>
        </w:tc>
      </w:tr>
      <w:tr w:rsidR="00FB7D0B" w14:paraId="1F6A717D" w14:textId="77777777" w:rsidTr="00FB7D0B">
        <w:tblPrEx>
          <w:tblLook w:val="04A0" w:firstRow="1" w:lastRow="0" w:firstColumn="1" w:lastColumn="0" w:noHBand="0" w:noVBand="1"/>
        </w:tblPrEx>
        <w:trPr>
          <w:trHeight w:val="225"/>
        </w:trPr>
        <w:tc>
          <w:tcPr>
            <w:tcW w:w="0" w:type="auto"/>
            <w:tcBorders>
              <w:top w:val="nil"/>
              <w:left w:val="single" w:sz="6" w:space="0" w:color="000000"/>
              <w:bottom w:val="nil"/>
              <w:right w:val="nil"/>
              <w:tl2br w:val="nil"/>
              <w:tr2bl w:val="nil"/>
            </w:tcBorders>
            <w:shd w:val="clear" w:color="auto" w:fill="FFFFFF"/>
            <w:tcMar>
              <w:left w:w="115" w:type="dxa"/>
              <w:right w:w="115" w:type="dxa"/>
            </w:tcMar>
            <w:vAlign w:val="bottom"/>
          </w:tcPr>
          <w:p w14:paraId="7F7D9967" w14:textId="77777777" w:rsidR="00724034" w:rsidRDefault="00724034">
            <w:pPr>
              <w:rPr>
                <w:rFonts w:ascii="Arial" w:eastAsia="Arial" w:hAnsi="Arial" w:cs="Arial"/>
                <w:color w:val="000000"/>
                <w:sz w:val="16"/>
              </w:rPr>
            </w:pPr>
          </w:p>
        </w:tc>
        <w:tc>
          <w:tcPr>
            <w:tcW w:w="0" w:type="auto"/>
            <w:gridSpan w:val="2"/>
            <w:tcBorders>
              <w:top w:val="nil"/>
              <w:left w:val="nil"/>
              <w:bottom w:val="nil"/>
              <w:right w:val="nil"/>
              <w:tl2br w:val="nil"/>
              <w:tr2bl w:val="nil"/>
            </w:tcBorders>
            <w:shd w:val="clear" w:color="auto" w:fill="FFFFFF"/>
            <w:tcMar>
              <w:left w:w="115" w:type="dxa"/>
              <w:right w:w="115" w:type="dxa"/>
            </w:tcMar>
            <w:vAlign w:val="bottom"/>
          </w:tcPr>
          <w:p w14:paraId="10730765" w14:textId="77777777" w:rsidR="00724034" w:rsidRDefault="00FB7D0B">
            <w:pPr>
              <w:rPr>
                <w:rFonts w:ascii="Arial" w:eastAsia="Arial" w:hAnsi="Arial" w:cs="Arial"/>
                <w:color w:val="000000"/>
                <w:sz w:val="16"/>
              </w:rPr>
            </w:pPr>
            <w:r>
              <w:rPr>
                <w:rFonts w:ascii="Arial" w:eastAsia="Arial" w:hAnsi="Arial" w:cs="Arial"/>
                <w:color w:val="000000"/>
                <w:sz w:val="16"/>
              </w:rPr>
              <w:t>Annual departmental expenses:</w:t>
            </w:r>
          </w:p>
        </w:tc>
        <w:tc>
          <w:tcPr>
            <w:tcW w:w="0" w:type="auto"/>
            <w:tcBorders>
              <w:top w:val="nil"/>
              <w:left w:val="nil"/>
              <w:bottom w:val="nil"/>
              <w:right w:val="nil"/>
              <w:tl2br w:val="nil"/>
              <w:tr2bl w:val="nil"/>
            </w:tcBorders>
            <w:shd w:val="clear" w:color="auto" w:fill="FFFFFF"/>
            <w:tcMar>
              <w:left w:w="115" w:type="dxa"/>
              <w:right w:w="115" w:type="dxa"/>
            </w:tcMar>
            <w:vAlign w:val="bottom"/>
          </w:tcPr>
          <w:p w14:paraId="27EF74A6" w14:textId="77777777" w:rsidR="00724034" w:rsidRDefault="00724034">
            <w:pPr>
              <w:jc w:val="right"/>
              <w:rPr>
                <w:rFonts w:ascii="Arial" w:eastAsia="Arial" w:hAnsi="Arial" w:cs="Arial"/>
                <w:color w:val="000000"/>
                <w:sz w:val="16"/>
              </w:rPr>
            </w:pPr>
          </w:p>
        </w:tc>
        <w:tc>
          <w:tcPr>
            <w:tcW w:w="0" w:type="auto"/>
            <w:tcBorders>
              <w:top w:val="nil"/>
              <w:left w:val="nil"/>
              <w:bottom w:val="nil"/>
              <w:right w:val="nil"/>
              <w:tl2br w:val="nil"/>
              <w:tr2bl w:val="nil"/>
            </w:tcBorders>
            <w:shd w:val="clear" w:color="auto" w:fill="C0C0C0"/>
            <w:tcMar>
              <w:left w:w="115" w:type="dxa"/>
              <w:right w:w="115" w:type="dxa"/>
            </w:tcMar>
            <w:vAlign w:val="bottom"/>
          </w:tcPr>
          <w:p w14:paraId="285ADEAC" w14:textId="77777777" w:rsidR="00724034" w:rsidRDefault="00724034">
            <w:pPr>
              <w:jc w:val="right"/>
              <w:rPr>
                <w:rFonts w:ascii="Arial" w:eastAsia="Arial" w:hAnsi="Arial" w:cs="Arial"/>
                <w:color w:val="000000"/>
                <w:sz w:val="16"/>
              </w:rPr>
            </w:pPr>
          </w:p>
        </w:tc>
        <w:tc>
          <w:tcPr>
            <w:tcW w:w="0" w:type="auto"/>
            <w:tcBorders>
              <w:top w:val="nil"/>
              <w:left w:val="nil"/>
              <w:bottom w:val="nil"/>
              <w:right w:val="nil"/>
              <w:tl2br w:val="nil"/>
              <w:tr2bl w:val="nil"/>
            </w:tcBorders>
            <w:shd w:val="clear" w:color="auto" w:fill="FFFFFF"/>
            <w:tcMar>
              <w:left w:w="115" w:type="dxa"/>
              <w:right w:w="115" w:type="dxa"/>
            </w:tcMar>
            <w:vAlign w:val="bottom"/>
          </w:tcPr>
          <w:p w14:paraId="411D2235" w14:textId="77777777" w:rsidR="00724034" w:rsidRDefault="00724034">
            <w:pPr>
              <w:jc w:val="right"/>
              <w:rPr>
                <w:rFonts w:ascii="Arial" w:eastAsia="Arial" w:hAnsi="Arial" w:cs="Arial"/>
                <w:color w:val="000000"/>
                <w:sz w:val="16"/>
              </w:rPr>
            </w:pPr>
          </w:p>
        </w:tc>
        <w:tc>
          <w:tcPr>
            <w:tcW w:w="0" w:type="auto"/>
            <w:tcBorders>
              <w:top w:val="nil"/>
              <w:left w:val="nil"/>
              <w:bottom w:val="nil"/>
              <w:right w:val="nil"/>
              <w:tl2br w:val="nil"/>
              <w:tr2bl w:val="nil"/>
            </w:tcBorders>
            <w:shd w:val="clear" w:color="auto" w:fill="FFFFFF"/>
            <w:tcMar>
              <w:left w:w="115" w:type="dxa"/>
              <w:right w:w="115" w:type="dxa"/>
            </w:tcMar>
            <w:vAlign w:val="bottom"/>
          </w:tcPr>
          <w:p w14:paraId="15B62E2A" w14:textId="77777777" w:rsidR="00724034" w:rsidRDefault="00724034">
            <w:pPr>
              <w:jc w:val="right"/>
              <w:rPr>
                <w:rFonts w:ascii="Arial" w:eastAsia="Arial" w:hAnsi="Arial" w:cs="Arial"/>
                <w:color w:val="000000"/>
                <w:sz w:val="16"/>
              </w:rPr>
            </w:pPr>
          </w:p>
        </w:tc>
        <w:tc>
          <w:tcPr>
            <w:tcW w:w="0" w:type="auto"/>
            <w:tcBorders>
              <w:top w:val="nil"/>
              <w:left w:val="nil"/>
              <w:bottom w:val="nil"/>
              <w:right w:val="single" w:sz="6" w:space="0" w:color="000000"/>
              <w:tl2br w:val="nil"/>
              <w:tr2bl w:val="nil"/>
            </w:tcBorders>
            <w:shd w:val="clear" w:color="auto" w:fill="FFFFFF"/>
            <w:tcMar>
              <w:left w:w="115" w:type="dxa"/>
              <w:right w:w="115" w:type="dxa"/>
            </w:tcMar>
            <w:vAlign w:val="bottom"/>
          </w:tcPr>
          <w:p w14:paraId="0915ABBF" w14:textId="77777777" w:rsidR="00724034" w:rsidRDefault="00724034">
            <w:pPr>
              <w:jc w:val="right"/>
              <w:rPr>
                <w:rFonts w:ascii="Arial" w:eastAsia="Arial" w:hAnsi="Arial" w:cs="Arial"/>
                <w:color w:val="000000"/>
                <w:sz w:val="16"/>
              </w:rPr>
            </w:pPr>
          </w:p>
        </w:tc>
      </w:tr>
      <w:tr w:rsidR="00724034" w14:paraId="04A72736" w14:textId="77777777">
        <w:tblPrEx>
          <w:tblLook w:val="04A0" w:firstRow="1" w:lastRow="0" w:firstColumn="1" w:lastColumn="0" w:noHBand="0" w:noVBand="1"/>
        </w:tblPrEx>
        <w:trPr>
          <w:trHeight w:val="225"/>
        </w:trPr>
        <w:tc>
          <w:tcPr>
            <w:tcW w:w="0" w:type="auto"/>
            <w:tcBorders>
              <w:top w:val="nil"/>
              <w:left w:val="single" w:sz="6" w:space="0" w:color="000000"/>
              <w:bottom w:val="nil"/>
              <w:right w:val="nil"/>
              <w:tl2br w:val="nil"/>
              <w:tr2bl w:val="nil"/>
            </w:tcBorders>
            <w:shd w:val="clear" w:color="auto" w:fill="FFFFFF"/>
            <w:tcMar>
              <w:left w:w="115" w:type="dxa"/>
              <w:right w:w="115" w:type="dxa"/>
            </w:tcMar>
            <w:vAlign w:val="bottom"/>
          </w:tcPr>
          <w:p w14:paraId="51909D9A" w14:textId="77777777" w:rsidR="00724034" w:rsidRDefault="00724034">
            <w:pPr>
              <w:rPr>
                <w:rFonts w:ascii="Arial" w:eastAsia="Arial" w:hAnsi="Arial" w:cs="Arial"/>
                <w:color w:val="000000"/>
                <w:sz w:val="16"/>
              </w:rPr>
            </w:pPr>
          </w:p>
        </w:tc>
        <w:tc>
          <w:tcPr>
            <w:tcW w:w="0" w:type="auto"/>
            <w:tcBorders>
              <w:top w:val="nil"/>
              <w:left w:val="nil"/>
              <w:bottom w:val="nil"/>
              <w:right w:val="nil"/>
              <w:tl2br w:val="nil"/>
              <w:tr2bl w:val="nil"/>
            </w:tcBorders>
            <w:shd w:val="clear" w:color="auto" w:fill="FFFFFF"/>
            <w:tcMar>
              <w:left w:w="115" w:type="dxa"/>
              <w:right w:w="115" w:type="dxa"/>
            </w:tcMar>
            <w:vAlign w:val="bottom"/>
          </w:tcPr>
          <w:p w14:paraId="33FB0AF1" w14:textId="77777777" w:rsidR="00724034" w:rsidRDefault="00724034">
            <w:pPr>
              <w:rPr>
                <w:rFonts w:ascii="Arial" w:eastAsia="Arial" w:hAnsi="Arial" w:cs="Arial"/>
                <w:color w:val="000000"/>
                <w:sz w:val="16"/>
              </w:rPr>
            </w:pPr>
          </w:p>
        </w:tc>
        <w:tc>
          <w:tcPr>
            <w:tcW w:w="0" w:type="auto"/>
            <w:tcBorders>
              <w:top w:val="nil"/>
              <w:left w:val="nil"/>
              <w:bottom w:val="nil"/>
              <w:right w:val="nil"/>
              <w:tl2br w:val="nil"/>
              <w:tr2bl w:val="nil"/>
            </w:tcBorders>
            <w:shd w:val="clear" w:color="auto" w:fill="FFFFFF"/>
            <w:tcMar>
              <w:left w:w="115" w:type="dxa"/>
              <w:right w:w="115" w:type="dxa"/>
            </w:tcMar>
            <w:vAlign w:val="bottom"/>
          </w:tcPr>
          <w:p w14:paraId="40DF8BE7" w14:textId="77777777" w:rsidR="00724034" w:rsidRDefault="00FB7D0B">
            <w:pPr>
              <w:rPr>
                <w:rFonts w:ascii="Arial" w:eastAsia="Arial" w:hAnsi="Arial" w:cs="Arial"/>
                <w:color w:val="000000"/>
                <w:sz w:val="16"/>
              </w:rPr>
            </w:pPr>
            <w:r>
              <w:rPr>
                <w:rFonts w:ascii="Arial" w:eastAsia="Arial" w:hAnsi="Arial" w:cs="Arial"/>
                <w:color w:val="000000"/>
                <w:sz w:val="16"/>
              </w:rPr>
              <w:t>Departmental item</w:t>
            </w:r>
          </w:p>
        </w:tc>
        <w:tc>
          <w:tcPr>
            <w:tcW w:w="0" w:type="auto"/>
            <w:tcBorders>
              <w:top w:val="nil"/>
              <w:left w:val="nil"/>
              <w:bottom w:val="single" w:sz="6" w:space="0" w:color="000000"/>
              <w:right w:val="nil"/>
              <w:tl2br w:val="nil"/>
              <w:tr2bl w:val="nil"/>
            </w:tcBorders>
            <w:shd w:val="clear" w:color="auto" w:fill="FFFFFF"/>
            <w:tcMar>
              <w:left w:w="115" w:type="dxa"/>
              <w:right w:w="115" w:type="dxa"/>
            </w:tcMar>
            <w:vAlign w:val="bottom"/>
          </w:tcPr>
          <w:p w14:paraId="5B06FA47" w14:textId="77777777" w:rsidR="00724034" w:rsidRDefault="00FB7D0B">
            <w:pPr>
              <w:jc w:val="right"/>
              <w:rPr>
                <w:rFonts w:ascii="Arial" w:eastAsia="Arial" w:hAnsi="Arial" w:cs="Arial"/>
                <w:color w:val="000000"/>
                <w:sz w:val="16"/>
              </w:rPr>
            </w:pPr>
            <w:r>
              <w:rPr>
                <w:rFonts w:ascii="Arial" w:eastAsia="Arial" w:hAnsi="Arial" w:cs="Arial"/>
                <w:color w:val="000000"/>
                <w:sz w:val="16"/>
              </w:rPr>
              <w:t xml:space="preserve"> 4,371 </w:t>
            </w:r>
          </w:p>
        </w:tc>
        <w:tc>
          <w:tcPr>
            <w:tcW w:w="0" w:type="auto"/>
            <w:tcBorders>
              <w:top w:val="nil"/>
              <w:left w:val="nil"/>
              <w:bottom w:val="single" w:sz="6" w:space="0" w:color="000000"/>
              <w:right w:val="nil"/>
              <w:tl2br w:val="nil"/>
              <w:tr2bl w:val="nil"/>
            </w:tcBorders>
            <w:shd w:val="clear" w:color="auto" w:fill="C0C0C0"/>
            <w:tcMar>
              <w:left w:w="115" w:type="dxa"/>
              <w:right w:w="115" w:type="dxa"/>
            </w:tcMar>
            <w:vAlign w:val="bottom"/>
          </w:tcPr>
          <w:p w14:paraId="35BC5C12" w14:textId="77777777" w:rsidR="00724034" w:rsidRDefault="00FB7D0B">
            <w:pPr>
              <w:jc w:val="right"/>
              <w:rPr>
                <w:rFonts w:ascii="Arial" w:eastAsia="Arial" w:hAnsi="Arial" w:cs="Arial"/>
                <w:color w:val="000000"/>
                <w:sz w:val="16"/>
              </w:rPr>
            </w:pPr>
            <w:r>
              <w:rPr>
                <w:rFonts w:ascii="Arial" w:eastAsia="Arial" w:hAnsi="Arial" w:cs="Arial"/>
                <w:color w:val="000000"/>
                <w:sz w:val="16"/>
              </w:rPr>
              <w:t xml:space="preserve"> 4,293 </w:t>
            </w:r>
          </w:p>
        </w:tc>
        <w:tc>
          <w:tcPr>
            <w:tcW w:w="0" w:type="auto"/>
            <w:tcBorders>
              <w:top w:val="nil"/>
              <w:left w:val="nil"/>
              <w:bottom w:val="single" w:sz="6" w:space="0" w:color="000000"/>
              <w:right w:val="nil"/>
              <w:tl2br w:val="nil"/>
              <w:tr2bl w:val="nil"/>
            </w:tcBorders>
            <w:shd w:val="clear" w:color="auto" w:fill="FFFFFF"/>
            <w:tcMar>
              <w:left w:w="115" w:type="dxa"/>
              <w:right w:w="115" w:type="dxa"/>
            </w:tcMar>
            <w:vAlign w:val="bottom"/>
          </w:tcPr>
          <w:p w14:paraId="1624F60F" w14:textId="77777777" w:rsidR="00724034" w:rsidRDefault="00FB7D0B">
            <w:pPr>
              <w:jc w:val="right"/>
              <w:rPr>
                <w:rFonts w:ascii="Arial" w:eastAsia="Arial" w:hAnsi="Arial" w:cs="Arial"/>
                <w:color w:val="000000"/>
                <w:sz w:val="16"/>
              </w:rPr>
            </w:pPr>
            <w:r>
              <w:rPr>
                <w:rFonts w:ascii="Arial" w:eastAsia="Arial" w:hAnsi="Arial" w:cs="Arial"/>
                <w:color w:val="000000"/>
                <w:sz w:val="16"/>
              </w:rPr>
              <w:t xml:space="preserve"> 4,142 </w:t>
            </w:r>
          </w:p>
        </w:tc>
        <w:tc>
          <w:tcPr>
            <w:tcW w:w="0" w:type="auto"/>
            <w:tcBorders>
              <w:top w:val="nil"/>
              <w:left w:val="nil"/>
              <w:bottom w:val="single" w:sz="6" w:space="0" w:color="000000"/>
              <w:right w:val="nil"/>
              <w:tl2br w:val="nil"/>
              <w:tr2bl w:val="nil"/>
            </w:tcBorders>
            <w:shd w:val="clear" w:color="auto" w:fill="FFFFFF"/>
            <w:tcMar>
              <w:left w:w="115" w:type="dxa"/>
              <w:right w:w="115" w:type="dxa"/>
            </w:tcMar>
            <w:vAlign w:val="bottom"/>
          </w:tcPr>
          <w:p w14:paraId="230056EC" w14:textId="77777777" w:rsidR="00724034" w:rsidRDefault="00FB7D0B">
            <w:pPr>
              <w:jc w:val="right"/>
              <w:rPr>
                <w:rFonts w:ascii="Arial" w:eastAsia="Arial" w:hAnsi="Arial" w:cs="Arial"/>
                <w:color w:val="000000"/>
                <w:sz w:val="16"/>
              </w:rPr>
            </w:pPr>
            <w:r>
              <w:rPr>
                <w:rFonts w:ascii="Arial" w:eastAsia="Arial" w:hAnsi="Arial" w:cs="Arial"/>
                <w:color w:val="000000"/>
                <w:sz w:val="16"/>
              </w:rPr>
              <w:t xml:space="preserve"> 4,073 </w:t>
            </w:r>
          </w:p>
        </w:tc>
        <w:tc>
          <w:tcPr>
            <w:tcW w:w="0" w:type="auto"/>
            <w:tcBorders>
              <w:top w:val="nil"/>
              <w:left w:val="nil"/>
              <w:bottom w:val="single" w:sz="6" w:space="0" w:color="000000"/>
              <w:right w:val="single" w:sz="6" w:space="0" w:color="000000"/>
              <w:tl2br w:val="nil"/>
              <w:tr2bl w:val="nil"/>
            </w:tcBorders>
            <w:shd w:val="clear" w:color="auto" w:fill="FFFFFF"/>
            <w:tcMar>
              <w:left w:w="115" w:type="dxa"/>
              <w:right w:w="115" w:type="dxa"/>
            </w:tcMar>
            <w:vAlign w:val="bottom"/>
          </w:tcPr>
          <w:p w14:paraId="5F135B6C" w14:textId="77777777" w:rsidR="00724034" w:rsidRDefault="00FB7D0B">
            <w:pPr>
              <w:jc w:val="right"/>
              <w:rPr>
                <w:rFonts w:ascii="Arial" w:eastAsia="Arial" w:hAnsi="Arial" w:cs="Arial"/>
                <w:color w:val="000000"/>
                <w:sz w:val="16"/>
              </w:rPr>
            </w:pPr>
            <w:r>
              <w:rPr>
                <w:rFonts w:ascii="Arial" w:eastAsia="Arial" w:hAnsi="Arial" w:cs="Arial"/>
                <w:color w:val="000000"/>
                <w:sz w:val="16"/>
              </w:rPr>
              <w:t xml:space="preserve"> 4,047 </w:t>
            </w:r>
          </w:p>
        </w:tc>
      </w:tr>
      <w:tr w:rsidR="00FB7D0B" w14:paraId="3C594389" w14:textId="77777777" w:rsidTr="00FB7D0B">
        <w:tblPrEx>
          <w:tblLook w:val="04A0" w:firstRow="1" w:lastRow="0" w:firstColumn="1" w:lastColumn="0" w:noHBand="0" w:noVBand="1"/>
        </w:tblPrEx>
        <w:trPr>
          <w:trHeight w:val="225"/>
        </w:trPr>
        <w:tc>
          <w:tcPr>
            <w:tcW w:w="0" w:type="auto"/>
            <w:tcBorders>
              <w:top w:val="nil"/>
              <w:left w:val="single" w:sz="6" w:space="0" w:color="000000"/>
              <w:bottom w:val="nil"/>
              <w:right w:val="nil"/>
              <w:tl2br w:val="nil"/>
              <w:tr2bl w:val="nil"/>
            </w:tcBorders>
            <w:shd w:val="clear" w:color="auto" w:fill="FFFFFF"/>
            <w:tcMar>
              <w:left w:w="115" w:type="dxa"/>
              <w:right w:w="115" w:type="dxa"/>
            </w:tcMar>
            <w:vAlign w:val="bottom"/>
          </w:tcPr>
          <w:p w14:paraId="1B980874" w14:textId="77777777" w:rsidR="00724034" w:rsidRDefault="00724034">
            <w:pPr>
              <w:rPr>
                <w:rFonts w:ascii="Arial" w:eastAsia="Arial" w:hAnsi="Arial" w:cs="Arial"/>
                <w:color w:val="000000"/>
                <w:sz w:val="16"/>
              </w:rPr>
            </w:pPr>
          </w:p>
        </w:tc>
        <w:tc>
          <w:tcPr>
            <w:tcW w:w="0" w:type="auto"/>
            <w:gridSpan w:val="2"/>
            <w:vMerge w:val="restart"/>
            <w:tcBorders>
              <w:top w:val="nil"/>
              <w:left w:val="nil"/>
              <w:bottom w:val="nil"/>
              <w:right w:val="nil"/>
              <w:tl2br w:val="nil"/>
              <w:tr2bl w:val="nil"/>
            </w:tcBorders>
            <w:shd w:val="clear" w:color="auto" w:fill="FFFFFF"/>
            <w:tcMar>
              <w:left w:w="115" w:type="dxa"/>
              <w:right w:w="115" w:type="dxa"/>
            </w:tcMar>
            <w:vAlign w:val="bottom"/>
          </w:tcPr>
          <w:p w14:paraId="328908B5" w14:textId="77777777" w:rsidR="00724034" w:rsidRDefault="00FB7D0B">
            <w:pPr>
              <w:rPr>
                <w:rFonts w:ascii="Arial" w:eastAsia="Arial" w:hAnsi="Arial" w:cs="Arial"/>
                <w:b/>
                <w:color w:val="000000"/>
                <w:sz w:val="16"/>
              </w:rPr>
            </w:pPr>
            <w:r>
              <w:rPr>
                <w:rFonts w:ascii="Arial" w:eastAsia="Arial" w:hAnsi="Arial" w:cs="Arial"/>
                <w:b/>
                <w:color w:val="000000"/>
                <w:sz w:val="16"/>
              </w:rPr>
              <w:t>Total component expenses</w:t>
            </w:r>
          </w:p>
        </w:tc>
        <w:tc>
          <w:tcPr>
            <w:tcW w:w="0" w:type="auto"/>
            <w:tcBorders>
              <w:top w:val="single" w:sz="6" w:space="0" w:color="000000"/>
              <w:left w:val="nil"/>
              <w:bottom w:val="single" w:sz="6" w:space="0" w:color="000000"/>
              <w:right w:val="nil"/>
              <w:tl2br w:val="nil"/>
              <w:tr2bl w:val="nil"/>
            </w:tcBorders>
            <w:shd w:val="clear" w:color="auto" w:fill="FFFFFF"/>
            <w:tcMar>
              <w:left w:w="115" w:type="dxa"/>
              <w:right w:w="115" w:type="dxa"/>
            </w:tcMar>
            <w:vAlign w:val="bottom"/>
          </w:tcPr>
          <w:p w14:paraId="4E1FD4EE" w14:textId="77777777" w:rsidR="00724034" w:rsidRDefault="00FB7D0B">
            <w:pPr>
              <w:jc w:val="right"/>
              <w:rPr>
                <w:rFonts w:ascii="Arial" w:eastAsia="Arial" w:hAnsi="Arial" w:cs="Arial"/>
                <w:b/>
                <w:color w:val="000000"/>
                <w:sz w:val="16"/>
              </w:rPr>
            </w:pPr>
            <w:r>
              <w:rPr>
                <w:rFonts w:ascii="Arial" w:eastAsia="Arial" w:hAnsi="Arial" w:cs="Arial"/>
                <w:b/>
                <w:color w:val="000000"/>
                <w:sz w:val="16"/>
              </w:rPr>
              <w:t>4,371 </w:t>
            </w:r>
          </w:p>
        </w:tc>
        <w:tc>
          <w:tcPr>
            <w:tcW w:w="0" w:type="auto"/>
            <w:tcBorders>
              <w:top w:val="single" w:sz="6" w:space="0" w:color="000000"/>
              <w:left w:val="nil"/>
              <w:bottom w:val="single" w:sz="6" w:space="0" w:color="000000"/>
              <w:right w:val="nil"/>
              <w:tl2br w:val="nil"/>
              <w:tr2bl w:val="nil"/>
            </w:tcBorders>
            <w:shd w:val="clear" w:color="auto" w:fill="C0C0C0"/>
            <w:tcMar>
              <w:left w:w="115" w:type="dxa"/>
              <w:right w:w="115" w:type="dxa"/>
            </w:tcMar>
            <w:vAlign w:val="bottom"/>
          </w:tcPr>
          <w:p w14:paraId="36388BBF" w14:textId="77777777" w:rsidR="00724034" w:rsidRDefault="00FB7D0B">
            <w:pPr>
              <w:jc w:val="right"/>
              <w:rPr>
                <w:rFonts w:ascii="Arial" w:eastAsia="Arial" w:hAnsi="Arial" w:cs="Arial"/>
                <w:b/>
                <w:color w:val="000000"/>
                <w:sz w:val="16"/>
              </w:rPr>
            </w:pPr>
            <w:r>
              <w:rPr>
                <w:rFonts w:ascii="Arial" w:eastAsia="Arial" w:hAnsi="Arial" w:cs="Arial"/>
                <w:b/>
                <w:color w:val="000000"/>
                <w:sz w:val="16"/>
              </w:rPr>
              <w:t>4,293 </w:t>
            </w:r>
          </w:p>
        </w:tc>
        <w:tc>
          <w:tcPr>
            <w:tcW w:w="0" w:type="auto"/>
            <w:tcBorders>
              <w:top w:val="single" w:sz="6" w:space="0" w:color="000000"/>
              <w:left w:val="nil"/>
              <w:bottom w:val="single" w:sz="6" w:space="0" w:color="000000"/>
              <w:right w:val="nil"/>
              <w:tl2br w:val="nil"/>
              <w:tr2bl w:val="nil"/>
            </w:tcBorders>
            <w:shd w:val="clear" w:color="auto" w:fill="FFFFFF"/>
            <w:tcMar>
              <w:left w:w="115" w:type="dxa"/>
              <w:right w:w="115" w:type="dxa"/>
            </w:tcMar>
            <w:vAlign w:val="bottom"/>
          </w:tcPr>
          <w:p w14:paraId="3255FDB2" w14:textId="77777777" w:rsidR="00724034" w:rsidRDefault="00FB7D0B">
            <w:pPr>
              <w:jc w:val="right"/>
              <w:rPr>
                <w:rFonts w:ascii="Arial" w:eastAsia="Arial" w:hAnsi="Arial" w:cs="Arial"/>
                <w:b/>
                <w:color w:val="000000"/>
                <w:sz w:val="16"/>
              </w:rPr>
            </w:pPr>
            <w:r>
              <w:rPr>
                <w:rFonts w:ascii="Arial" w:eastAsia="Arial" w:hAnsi="Arial" w:cs="Arial"/>
                <w:b/>
                <w:color w:val="000000"/>
                <w:sz w:val="16"/>
              </w:rPr>
              <w:t>4,142 </w:t>
            </w:r>
          </w:p>
        </w:tc>
        <w:tc>
          <w:tcPr>
            <w:tcW w:w="0" w:type="auto"/>
            <w:tcBorders>
              <w:top w:val="single" w:sz="6" w:space="0" w:color="000000"/>
              <w:left w:val="nil"/>
              <w:bottom w:val="single" w:sz="6" w:space="0" w:color="000000"/>
              <w:right w:val="nil"/>
              <w:tl2br w:val="nil"/>
              <w:tr2bl w:val="nil"/>
            </w:tcBorders>
            <w:shd w:val="clear" w:color="auto" w:fill="FFFFFF"/>
            <w:tcMar>
              <w:left w:w="115" w:type="dxa"/>
              <w:right w:w="115" w:type="dxa"/>
            </w:tcMar>
            <w:vAlign w:val="bottom"/>
          </w:tcPr>
          <w:p w14:paraId="27F2714E" w14:textId="77777777" w:rsidR="00724034" w:rsidRDefault="00FB7D0B">
            <w:pPr>
              <w:jc w:val="right"/>
              <w:rPr>
                <w:rFonts w:ascii="Arial" w:eastAsia="Arial" w:hAnsi="Arial" w:cs="Arial"/>
                <w:b/>
                <w:color w:val="000000"/>
                <w:sz w:val="16"/>
              </w:rPr>
            </w:pPr>
            <w:r>
              <w:rPr>
                <w:rFonts w:ascii="Arial" w:eastAsia="Arial" w:hAnsi="Arial" w:cs="Arial"/>
                <w:b/>
                <w:color w:val="000000"/>
                <w:sz w:val="16"/>
              </w:rPr>
              <w:t>4,073 </w:t>
            </w:r>
          </w:p>
        </w:tc>
        <w:tc>
          <w:tcPr>
            <w:tcW w:w="0" w:type="auto"/>
            <w:tcBorders>
              <w:top w:val="single" w:sz="6" w:space="0" w:color="000000"/>
              <w:left w:val="nil"/>
              <w:bottom w:val="single" w:sz="6" w:space="0" w:color="000000"/>
              <w:right w:val="single" w:sz="6" w:space="0" w:color="000000"/>
              <w:tl2br w:val="nil"/>
              <w:tr2bl w:val="nil"/>
            </w:tcBorders>
            <w:shd w:val="clear" w:color="auto" w:fill="FFFFFF"/>
            <w:tcMar>
              <w:left w:w="115" w:type="dxa"/>
              <w:right w:w="115" w:type="dxa"/>
            </w:tcMar>
            <w:vAlign w:val="bottom"/>
          </w:tcPr>
          <w:p w14:paraId="1AF1766F" w14:textId="77777777" w:rsidR="00724034" w:rsidRDefault="00FB7D0B">
            <w:pPr>
              <w:jc w:val="right"/>
              <w:rPr>
                <w:rFonts w:ascii="Arial" w:eastAsia="Arial" w:hAnsi="Arial" w:cs="Arial"/>
                <w:b/>
                <w:color w:val="000000"/>
                <w:sz w:val="16"/>
              </w:rPr>
            </w:pPr>
            <w:r>
              <w:rPr>
                <w:rFonts w:ascii="Arial" w:eastAsia="Arial" w:hAnsi="Arial" w:cs="Arial"/>
                <w:b/>
                <w:color w:val="000000"/>
                <w:sz w:val="16"/>
              </w:rPr>
              <w:t>4,047 </w:t>
            </w:r>
          </w:p>
        </w:tc>
      </w:tr>
      <w:tr w:rsidR="00FB7D0B" w14:paraId="22998A13" w14:textId="77777777" w:rsidTr="00FB7D0B">
        <w:tblPrEx>
          <w:tblLook w:val="04A0" w:firstRow="1" w:lastRow="0" w:firstColumn="1" w:lastColumn="0" w:noHBand="0" w:noVBand="1"/>
        </w:tblPrEx>
        <w:trPr>
          <w:trHeight w:val="450"/>
        </w:trPr>
        <w:tc>
          <w:tcPr>
            <w:tcW w:w="0" w:type="auto"/>
            <w:gridSpan w:val="3"/>
            <w:tcBorders>
              <w:top w:val="nil"/>
              <w:left w:val="single" w:sz="6" w:space="0" w:color="000000"/>
              <w:bottom w:val="nil"/>
              <w:right w:val="nil"/>
              <w:tl2br w:val="nil"/>
              <w:tr2bl w:val="nil"/>
            </w:tcBorders>
            <w:shd w:val="clear" w:color="auto" w:fill="FFFFFF"/>
            <w:tcMar>
              <w:left w:w="115" w:type="dxa"/>
              <w:right w:w="115" w:type="dxa"/>
            </w:tcMar>
            <w:vAlign w:val="bottom"/>
          </w:tcPr>
          <w:p w14:paraId="4780B5FC" w14:textId="77777777" w:rsidR="00724034" w:rsidRDefault="00FB7D0B">
            <w:pPr>
              <w:rPr>
                <w:rFonts w:ascii="Arial" w:eastAsia="Arial" w:hAnsi="Arial" w:cs="Arial"/>
                <w:b/>
                <w:color w:val="000000"/>
                <w:sz w:val="16"/>
              </w:rPr>
            </w:pPr>
            <w:r>
              <w:rPr>
                <w:rFonts w:ascii="Arial" w:eastAsia="Arial" w:hAnsi="Arial" w:cs="Arial"/>
                <w:b/>
                <w:i/>
                <w:color w:val="000000"/>
                <w:sz w:val="16"/>
              </w:rPr>
              <w:t>1.6 - Promotion &amp; Community Services</w:t>
            </w:r>
          </w:p>
        </w:tc>
        <w:tc>
          <w:tcPr>
            <w:tcW w:w="0" w:type="auto"/>
            <w:tcBorders>
              <w:top w:val="single" w:sz="6" w:space="0" w:color="000000"/>
              <w:left w:val="nil"/>
              <w:bottom w:val="nil"/>
              <w:right w:val="nil"/>
              <w:tl2br w:val="nil"/>
              <w:tr2bl w:val="nil"/>
            </w:tcBorders>
            <w:shd w:val="clear" w:color="auto" w:fill="FFFFFF"/>
            <w:tcMar>
              <w:left w:w="115" w:type="dxa"/>
              <w:right w:w="115" w:type="dxa"/>
            </w:tcMar>
            <w:vAlign w:val="bottom"/>
          </w:tcPr>
          <w:p w14:paraId="2FD26EDF" w14:textId="77777777" w:rsidR="00724034" w:rsidRDefault="00724034">
            <w:pPr>
              <w:jc w:val="right"/>
              <w:rPr>
                <w:rFonts w:ascii="Arial" w:eastAsia="Arial" w:hAnsi="Arial" w:cs="Arial"/>
                <w:b/>
                <w:i/>
                <w:color w:val="000000"/>
                <w:sz w:val="16"/>
              </w:rPr>
            </w:pPr>
          </w:p>
        </w:tc>
        <w:tc>
          <w:tcPr>
            <w:tcW w:w="0" w:type="auto"/>
            <w:tcBorders>
              <w:top w:val="single" w:sz="6" w:space="0" w:color="000000"/>
              <w:left w:val="nil"/>
              <w:bottom w:val="nil"/>
              <w:right w:val="nil"/>
              <w:tl2br w:val="nil"/>
              <w:tr2bl w:val="nil"/>
            </w:tcBorders>
            <w:shd w:val="clear" w:color="auto" w:fill="C0C0C0"/>
            <w:tcMar>
              <w:left w:w="115" w:type="dxa"/>
              <w:right w:w="115" w:type="dxa"/>
            </w:tcMar>
            <w:vAlign w:val="bottom"/>
          </w:tcPr>
          <w:p w14:paraId="36F43130" w14:textId="77777777" w:rsidR="00724034" w:rsidRDefault="00724034">
            <w:pPr>
              <w:jc w:val="right"/>
              <w:rPr>
                <w:rFonts w:ascii="Arial" w:eastAsia="Arial" w:hAnsi="Arial" w:cs="Arial"/>
                <w:color w:val="000000"/>
                <w:sz w:val="16"/>
              </w:rPr>
            </w:pPr>
          </w:p>
        </w:tc>
        <w:tc>
          <w:tcPr>
            <w:tcW w:w="0" w:type="auto"/>
            <w:tcBorders>
              <w:top w:val="single" w:sz="6" w:space="0" w:color="000000"/>
              <w:left w:val="nil"/>
              <w:bottom w:val="nil"/>
              <w:right w:val="nil"/>
              <w:tl2br w:val="nil"/>
              <w:tr2bl w:val="nil"/>
            </w:tcBorders>
            <w:shd w:val="clear" w:color="auto" w:fill="FFFFFF"/>
            <w:tcMar>
              <w:left w:w="115" w:type="dxa"/>
              <w:right w:w="115" w:type="dxa"/>
            </w:tcMar>
            <w:vAlign w:val="bottom"/>
          </w:tcPr>
          <w:p w14:paraId="510FBF8D" w14:textId="77777777" w:rsidR="00724034" w:rsidRDefault="00724034">
            <w:pPr>
              <w:jc w:val="right"/>
              <w:rPr>
                <w:rFonts w:ascii="Arial" w:eastAsia="Arial" w:hAnsi="Arial" w:cs="Arial"/>
                <w:color w:val="000000"/>
                <w:sz w:val="16"/>
              </w:rPr>
            </w:pPr>
          </w:p>
        </w:tc>
        <w:tc>
          <w:tcPr>
            <w:tcW w:w="0" w:type="auto"/>
            <w:tcBorders>
              <w:top w:val="single" w:sz="6" w:space="0" w:color="000000"/>
              <w:left w:val="nil"/>
              <w:bottom w:val="nil"/>
              <w:right w:val="nil"/>
              <w:tl2br w:val="nil"/>
              <w:tr2bl w:val="nil"/>
            </w:tcBorders>
            <w:shd w:val="clear" w:color="auto" w:fill="FFFFFF"/>
            <w:tcMar>
              <w:left w:w="115" w:type="dxa"/>
              <w:right w:w="115" w:type="dxa"/>
            </w:tcMar>
            <w:vAlign w:val="bottom"/>
          </w:tcPr>
          <w:p w14:paraId="64345824" w14:textId="77777777" w:rsidR="00724034" w:rsidRDefault="00724034">
            <w:pPr>
              <w:jc w:val="right"/>
              <w:rPr>
                <w:rFonts w:ascii="Arial" w:eastAsia="Arial" w:hAnsi="Arial" w:cs="Arial"/>
                <w:color w:val="000000"/>
                <w:sz w:val="16"/>
              </w:rPr>
            </w:pPr>
          </w:p>
        </w:tc>
        <w:tc>
          <w:tcPr>
            <w:tcW w:w="0" w:type="auto"/>
            <w:tcBorders>
              <w:top w:val="single" w:sz="6" w:space="0" w:color="000000"/>
              <w:left w:val="nil"/>
              <w:bottom w:val="nil"/>
              <w:right w:val="single" w:sz="6" w:space="0" w:color="000000"/>
              <w:tl2br w:val="nil"/>
              <w:tr2bl w:val="nil"/>
            </w:tcBorders>
            <w:shd w:val="clear" w:color="auto" w:fill="FFFFFF"/>
            <w:tcMar>
              <w:left w:w="115" w:type="dxa"/>
              <w:right w:w="115" w:type="dxa"/>
            </w:tcMar>
            <w:vAlign w:val="bottom"/>
          </w:tcPr>
          <w:p w14:paraId="472647B3" w14:textId="77777777" w:rsidR="00724034" w:rsidRDefault="00724034">
            <w:pPr>
              <w:jc w:val="right"/>
              <w:rPr>
                <w:rFonts w:ascii="Arial" w:eastAsia="Arial" w:hAnsi="Arial" w:cs="Arial"/>
                <w:color w:val="000000"/>
                <w:sz w:val="16"/>
              </w:rPr>
            </w:pPr>
          </w:p>
        </w:tc>
      </w:tr>
      <w:tr w:rsidR="00FB7D0B" w14:paraId="5C0E97EA" w14:textId="77777777" w:rsidTr="00FB7D0B">
        <w:tblPrEx>
          <w:tblLook w:val="04A0" w:firstRow="1" w:lastRow="0" w:firstColumn="1" w:lastColumn="0" w:noHBand="0" w:noVBand="1"/>
        </w:tblPrEx>
        <w:trPr>
          <w:trHeight w:val="225"/>
        </w:trPr>
        <w:tc>
          <w:tcPr>
            <w:tcW w:w="0" w:type="auto"/>
            <w:tcBorders>
              <w:top w:val="nil"/>
              <w:left w:val="single" w:sz="6" w:space="0" w:color="000000"/>
              <w:bottom w:val="nil"/>
              <w:right w:val="nil"/>
              <w:tl2br w:val="nil"/>
              <w:tr2bl w:val="nil"/>
            </w:tcBorders>
            <w:shd w:val="clear" w:color="auto" w:fill="FFFFFF"/>
            <w:tcMar>
              <w:left w:w="115" w:type="dxa"/>
              <w:right w:w="115" w:type="dxa"/>
            </w:tcMar>
            <w:vAlign w:val="bottom"/>
          </w:tcPr>
          <w:p w14:paraId="7752D1E4" w14:textId="77777777" w:rsidR="00724034" w:rsidRDefault="00724034">
            <w:pPr>
              <w:rPr>
                <w:rFonts w:ascii="Arial" w:eastAsia="Arial" w:hAnsi="Arial" w:cs="Arial"/>
                <w:color w:val="000000"/>
                <w:sz w:val="16"/>
              </w:rPr>
            </w:pPr>
          </w:p>
        </w:tc>
        <w:tc>
          <w:tcPr>
            <w:tcW w:w="0" w:type="auto"/>
            <w:gridSpan w:val="2"/>
            <w:tcBorders>
              <w:top w:val="nil"/>
              <w:left w:val="nil"/>
              <w:bottom w:val="nil"/>
              <w:right w:val="nil"/>
              <w:tl2br w:val="nil"/>
              <w:tr2bl w:val="nil"/>
            </w:tcBorders>
            <w:shd w:val="clear" w:color="auto" w:fill="FFFFFF"/>
            <w:tcMar>
              <w:left w:w="115" w:type="dxa"/>
              <w:right w:w="115" w:type="dxa"/>
            </w:tcMar>
            <w:vAlign w:val="bottom"/>
          </w:tcPr>
          <w:p w14:paraId="3F4B139C" w14:textId="77777777" w:rsidR="00724034" w:rsidRDefault="00FB7D0B">
            <w:pPr>
              <w:rPr>
                <w:rFonts w:ascii="Arial" w:eastAsia="Arial" w:hAnsi="Arial" w:cs="Arial"/>
                <w:color w:val="000000"/>
                <w:sz w:val="16"/>
              </w:rPr>
            </w:pPr>
            <w:r>
              <w:rPr>
                <w:rFonts w:ascii="Arial" w:eastAsia="Arial" w:hAnsi="Arial" w:cs="Arial"/>
                <w:color w:val="000000"/>
                <w:sz w:val="16"/>
              </w:rPr>
              <w:t>Annual departmental expenses:</w:t>
            </w:r>
          </w:p>
        </w:tc>
        <w:tc>
          <w:tcPr>
            <w:tcW w:w="0" w:type="auto"/>
            <w:tcBorders>
              <w:top w:val="nil"/>
              <w:left w:val="nil"/>
              <w:bottom w:val="nil"/>
              <w:right w:val="nil"/>
              <w:tl2br w:val="nil"/>
              <w:tr2bl w:val="nil"/>
            </w:tcBorders>
            <w:shd w:val="clear" w:color="auto" w:fill="FFFFFF"/>
            <w:tcMar>
              <w:left w:w="115" w:type="dxa"/>
              <w:right w:w="115" w:type="dxa"/>
            </w:tcMar>
            <w:vAlign w:val="bottom"/>
          </w:tcPr>
          <w:p w14:paraId="3E3C2435" w14:textId="77777777" w:rsidR="00724034" w:rsidRDefault="00724034">
            <w:pPr>
              <w:jc w:val="right"/>
              <w:rPr>
                <w:rFonts w:ascii="Arial" w:eastAsia="Arial" w:hAnsi="Arial" w:cs="Arial"/>
                <w:color w:val="000000"/>
                <w:sz w:val="16"/>
              </w:rPr>
            </w:pPr>
          </w:p>
        </w:tc>
        <w:tc>
          <w:tcPr>
            <w:tcW w:w="0" w:type="auto"/>
            <w:tcBorders>
              <w:top w:val="nil"/>
              <w:left w:val="nil"/>
              <w:bottom w:val="nil"/>
              <w:right w:val="nil"/>
              <w:tl2br w:val="nil"/>
              <w:tr2bl w:val="nil"/>
            </w:tcBorders>
            <w:shd w:val="clear" w:color="auto" w:fill="C0C0C0"/>
            <w:tcMar>
              <w:left w:w="115" w:type="dxa"/>
              <w:right w:w="115" w:type="dxa"/>
            </w:tcMar>
            <w:vAlign w:val="bottom"/>
          </w:tcPr>
          <w:p w14:paraId="2445EB9C" w14:textId="77777777" w:rsidR="00724034" w:rsidRDefault="00724034">
            <w:pPr>
              <w:jc w:val="right"/>
              <w:rPr>
                <w:rFonts w:ascii="Arial" w:eastAsia="Arial" w:hAnsi="Arial" w:cs="Arial"/>
                <w:color w:val="000000"/>
                <w:sz w:val="16"/>
              </w:rPr>
            </w:pPr>
          </w:p>
        </w:tc>
        <w:tc>
          <w:tcPr>
            <w:tcW w:w="0" w:type="auto"/>
            <w:tcBorders>
              <w:top w:val="nil"/>
              <w:left w:val="nil"/>
              <w:bottom w:val="nil"/>
              <w:right w:val="nil"/>
              <w:tl2br w:val="nil"/>
              <w:tr2bl w:val="nil"/>
            </w:tcBorders>
            <w:shd w:val="clear" w:color="auto" w:fill="FFFFFF"/>
            <w:tcMar>
              <w:left w:w="115" w:type="dxa"/>
              <w:right w:w="115" w:type="dxa"/>
            </w:tcMar>
            <w:vAlign w:val="bottom"/>
          </w:tcPr>
          <w:p w14:paraId="296C77CB" w14:textId="77777777" w:rsidR="00724034" w:rsidRDefault="00724034">
            <w:pPr>
              <w:jc w:val="right"/>
              <w:rPr>
                <w:rFonts w:ascii="Arial" w:eastAsia="Arial" w:hAnsi="Arial" w:cs="Arial"/>
                <w:color w:val="000000"/>
                <w:sz w:val="16"/>
              </w:rPr>
            </w:pPr>
          </w:p>
        </w:tc>
        <w:tc>
          <w:tcPr>
            <w:tcW w:w="0" w:type="auto"/>
            <w:tcBorders>
              <w:top w:val="nil"/>
              <w:left w:val="nil"/>
              <w:bottom w:val="nil"/>
              <w:right w:val="nil"/>
              <w:tl2br w:val="nil"/>
              <w:tr2bl w:val="nil"/>
            </w:tcBorders>
            <w:shd w:val="clear" w:color="auto" w:fill="FFFFFF"/>
            <w:tcMar>
              <w:left w:w="115" w:type="dxa"/>
              <w:right w:w="115" w:type="dxa"/>
            </w:tcMar>
            <w:vAlign w:val="bottom"/>
          </w:tcPr>
          <w:p w14:paraId="413C8275" w14:textId="77777777" w:rsidR="00724034" w:rsidRDefault="00724034">
            <w:pPr>
              <w:jc w:val="right"/>
              <w:rPr>
                <w:rFonts w:ascii="Arial" w:eastAsia="Arial" w:hAnsi="Arial" w:cs="Arial"/>
                <w:color w:val="000000"/>
                <w:sz w:val="16"/>
              </w:rPr>
            </w:pPr>
          </w:p>
        </w:tc>
        <w:tc>
          <w:tcPr>
            <w:tcW w:w="0" w:type="auto"/>
            <w:tcBorders>
              <w:top w:val="nil"/>
              <w:left w:val="nil"/>
              <w:bottom w:val="nil"/>
              <w:right w:val="single" w:sz="6" w:space="0" w:color="000000"/>
              <w:tl2br w:val="nil"/>
              <w:tr2bl w:val="nil"/>
            </w:tcBorders>
            <w:shd w:val="clear" w:color="auto" w:fill="FFFFFF"/>
            <w:tcMar>
              <w:left w:w="115" w:type="dxa"/>
              <w:right w:w="115" w:type="dxa"/>
            </w:tcMar>
            <w:vAlign w:val="bottom"/>
          </w:tcPr>
          <w:p w14:paraId="4965A8EE" w14:textId="77777777" w:rsidR="00724034" w:rsidRDefault="00724034">
            <w:pPr>
              <w:jc w:val="right"/>
              <w:rPr>
                <w:rFonts w:ascii="Arial" w:eastAsia="Arial" w:hAnsi="Arial" w:cs="Arial"/>
                <w:color w:val="000000"/>
                <w:sz w:val="16"/>
              </w:rPr>
            </w:pPr>
          </w:p>
        </w:tc>
      </w:tr>
      <w:tr w:rsidR="00724034" w14:paraId="60AA5BF6" w14:textId="77777777">
        <w:tblPrEx>
          <w:tblLook w:val="04A0" w:firstRow="1" w:lastRow="0" w:firstColumn="1" w:lastColumn="0" w:noHBand="0" w:noVBand="1"/>
        </w:tblPrEx>
        <w:trPr>
          <w:trHeight w:val="225"/>
        </w:trPr>
        <w:tc>
          <w:tcPr>
            <w:tcW w:w="0" w:type="auto"/>
            <w:tcBorders>
              <w:top w:val="nil"/>
              <w:left w:val="single" w:sz="6" w:space="0" w:color="000000"/>
              <w:bottom w:val="nil"/>
              <w:right w:val="nil"/>
              <w:tl2br w:val="nil"/>
              <w:tr2bl w:val="nil"/>
            </w:tcBorders>
            <w:shd w:val="clear" w:color="auto" w:fill="FFFFFF"/>
            <w:tcMar>
              <w:left w:w="115" w:type="dxa"/>
              <w:right w:w="115" w:type="dxa"/>
            </w:tcMar>
            <w:vAlign w:val="bottom"/>
          </w:tcPr>
          <w:p w14:paraId="36E6C39A" w14:textId="77777777" w:rsidR="00724034" w:rsidRDefault="00724034">
            <w:pPr>
              <w:rPr>
                <w:rFonts w:ascii="Arial" w:eastAsia="Arial" w:hAnsi="Arial" w:cs="Arial"/>
                <w:color w:val="000000"/>
                <w:sz w:val="16"/>
              </w:rPr>
            </w:pPr>
          </w:p>
        </w:tc>
        <w:tc>
          <w:tcPr>
            <w:tcW w:w="0" w:type="auto"/>
            <w:tcBorders>
              <w:top w:val="nil"/>
              <w:left w:val="nil"/>
              <w:bottom w:val="nil"/>
              <w:right w:val="nil"/>
              <w:tl2br w:val="nil"/>
              <w:tr2bl w:val="nil"/>
            </w:tcBorders>
            <w:shd w:val="clear" w:color="auto" w:fill="FFFFFF"/>
            <w:tcMar>
              <w:left w:w="115" w:type="dxa"/>
              <w:right w:w="115" w:type="dxa"/>
            </w:tcMar>
            <w:vAlign w:val="bottom"/>
          </w:tcPr>
          <w:p w14:paraId="4DEAAB62" w14:textId="77777777" w:rsidR="00724034" w:rsidRDefault="00724034">
            <w:pPr>
              <w:rPr>
                <w:rFonts w:ascii="Arial" w:eastAsia="Arial" w:hAnsi="Arial" w:cs="Arial"/>
                <w:color w:val="000000"/>
                <w:sz w:val="16"/>
              </w:rPr>
            </w:pPr>
          </w:p>
        </w:tc>
        <w:tc>
          <w:tcPr>
            <w:tcW w:w="0" w:type="auto"/>
            <w:tcBorders>
              <w:top w:val="nil"/>
              <w:left w:val="nil"/>
              <w:bottom w:val="nil"/>
              <w:right w:val="nil"/>
              <w:tl2br w:val="nil"/>
              <w:tr2bl w:val="nil"/>
            </w:tcBorders>
            <w:shd w:val="clear" w:color="auto" w:fill="FFFFFF"/>
            <w:tcMar>
              <w:left w:w="115" w:type="dxa"/>
              <w:right w:w="115" w:type="dxa"/>
            </w:tcMar>
            <w:vAlign w:val="bottom"/>
          </w:tcPr>
          <w:p w14:paraId="3EBDB089" w14:textId="77777777" w:rsidR="00724034" w:rsidRDefault="00FB7D0B">
            <w:pPr>
              <w:rPr>
                <w:rFonts w:ascii="Arial" w:eastAsia="Arial" w:hAnsi="Arial" w:cs="Arial"/>
                <w:color w:val="000000"/>
                <w:sz w:val="16"/>
              </w:rPr>
            </w:pPr>
            <w:r>
              <w:rPr>
                <w:rFonts w:ascii="Arial" w:eastAsia="Arial" w:hAnsi="Arial" w:cs="Arial"/>
                <w:color w:val="000000"/>
                <w:sz w:val="16"/>
              </w:rPr>
              <w:t>Departmental item</w:t>
            </w:r>
          </w:p>
        </w:tc>
        <w:tc>
          <w:tcPr>
            <w:tcW w:w="0" w:type="auto"/>
            <w:tcBorders>
              <w:top w:val="nil"/>
              <w:left w:val="nil"/>
              <w:bottom w:val="single" w:sz="6" w:space="0" w:color="000000"/>
              <w:right w:val="nil"/>
              <w:tl2br w:val="nil"/>
              <w:tr2bl w:val="nil"/>
            </w:tcBorders>
            <w:shd w:val="clear" w:color="auto" w:fill="FFFFFF"/>
            <w:tcMar>
              <w:left w:w="115" w:type="dxa"/>
              <w:right w:w="115" w:type="dxa"/>
            </w:tcMar>
            <w:vAlign w:val="bottom"/>
          </w:tcPr>
          <w:p w14:paraId="0E2A3AC2" w14:textId="77777777" w:rsidR="00724034" w:rsidRDefault="00FB7D0B">
            <w:pPr>
              <w:jc w:val="right"/>
              <w:rPr>
                <w:rFonts w:ascii="Arial" w:eastAsia="Arial" w:hAnsi="Arial" w:cs="Arial"/>
                <w:color w:val="000000"/>
                <w:sz w:val="16"/>
              </w:rPr>
            </w:pPr>
            <w:r>
              <w:rPr>
                <w:rFonts w:ascii="Arial" w:eastAsia="Arial" w:hAnsi="Arial" w:cs="Arial"/>
                <w:color w:val="000000"/>
                <w:sz w:val="16"/>
              </w:rPr>
              <w:t xml:space="preserve"> 3,363 </w:t>
            </w:r>
          </w:p>
        </w:tc>
        <w:tc>
          <w:tcPr>
            <w:tcW w:w="0" w:type="auto"/>
            <w:tcBorders>
              <w:top w:val="nil"/>
              <w:left w:val="nil"/>
              <w:bottom w:val="single" w:sz="6" w:space="0" w:color="000000"/>
              <w:right w:val="nil"/>
              <w:tl2br w:val="nil"/>
              <w:tr2bl w:val="nil"/>
            </w:tcBorders>
            <w:shd w:val="clear" w:color="auto" w:fill="C0C0C0"/>
            <w:tcMar>
              <w:left w:w="115" w:type="dxa"/>
              <w:right w:w="115" w:type="dxa"/>
            </w:tcMar>
            <w:vAlign w:val="bottom"/>
          </w:tcPr>
          <w:p w14:paraId="051CE6CB" w14:textId="77777777" w:rsidR="00724034" w:rsidRDefault="00FB7D0B">
            <w:pPr>
              <w:jc w:val="right"/>
              <w:rPr>
                <w:rFonts w:ascii="Arial" w:eastAsia="Arial" w:hAnsi="Arial" w:cs="Arial"/>
                <w:color w:val="000000"/>
                <w:sz w:val="16"/>
              </w:rPr>
            </w:pPr>
            <w:r>
              <w:rPr>
                <w:rFonts w:ascii="Arial" w:eastAsia="Arial" w:hAnsi="Arial" w:cs="Arial"/>
                <w:color w:val="000000"/>
                <w:sz w:val="16"/>
              </w:rPr>
              <w:t xml:space="preserve"> 3,303 </w:t>
            </w:r>
          </w:p>
        </w:tc>
        <w:tc>
          <w:tcPr>
            <w:tcW w:w="0" w:type="auto"/>
            <w:tcBorders>
              <w:top w:val="nil"/>
              <w:left w:val="nil"/>
              <w:bottom w:val="single" w:sz="6" w:space="0" w:color="000000"/>
              <w:right w:val="nil"/>
              <w:tl2br w:val="nil"/>
              <w:tr2bl w:val="nil"/>
            </w:tcBorders>
            <w:shd w:val="clear" w:color="auto" w:fill="FFFFFF"/>
            <w:tcMar>
              <w:left w:w="115" w:type="dxa"/>
              <w:right w:w="115" w:type="dxa"/>
            </w:tcMar>
            <w:vAlign w:val="bottom"/>
          </w:tcPr>
          <w:p w14:paraId="40CEA3B5" w14:textId="77777777" w:rsidR="00724034" w:rsidRDefault="00FB7D0B">
            <w:pPr>
              <w:jc w:val="right"/>
              <w:rPr>
                <w:rFonts w:ascii="Arial" w:eastAsia="Arial" w:hAnsi="Arial" w:cs="Arial"/>
                <w:color w:val="000000"/>
                <w:sz w:val="16"/>
              </w:rPr>
            </w:pPr>
            <w:r>
              <w:rPr>
                <w:rFonts w:ascii="Arial" w:eastAsia="Arial" w:hAnsi="Arial" w:cs="Arial"/>
                <w:color w:val="000000"/>
                <w:sz w:val="16"/>
              </w:rPr>
              <w:t xml:space="preserve"> 3,186 </w:t>
            </w:r>
          </w:p>
        </w:tc>
        <w:tc>
          <w:tcPr>
            <w:tcW w:w="0" w:type="auto"/>
            <w:tcBorders>
              <w:top w:val="nil"/>
              <w:left w:val="nil"/>
              <w:bottom w:val="single" w:sz="6" w:space="0" w:color="000000"/>
              <w:right w:val="nil"/>
              <w:tl2br w:val="nil"/>
              <w:tr2bl w:val="nil"/>
            </w:tcBorders>
            <w:shd w:val="clear" w:color="auto" w:fill="FFFFFF"/>
            <w:tcMar>
              <w:left w:w="115" w:type="dxa"/>
              <w:right w:w="115" w:type="dxa"/>
            </w:tcMar>
            <w:vAlign w:val="bottom"/>
          </w:tcPr>
          <w:p w14:paraId="526B25CD" w14:textId="77777777" w:rsidR="00724034" w:rsidRDefault="00FB7D0B">
            <w:pPr>
              <w:jc w:val="right"/>
              <w:rPr>
                <w:rFonts w:ascii="Arial" w:eastAsia="Arial" w:hAnsi="Arial" w:cs="Arial"/>
                <w:color w:val="000000"/>
                <w:sz w:val="16"/>
              </w:rPr>
            </w:pPr>
            <w:r>
              <w:rPr>
                <w:rFonts w:ascii="Arial" w:eastAsia="Arial" w:hAnsi="Arial" w:cs="Arial"/>
                <w:color w:val="000000"/>
                <w:sz w:val="16"/>
              </w:rPr>
              <w:t xml:space="preserve"> 3,134 </w:t>
            </w:r>
          </w:p>
        </w:tc>
        <w:tc>
          <w:tcPr>
            <w:tcW w:w="0" w:type="auto"/>
            <w:tcBorders>
              <w:top w:val="nil"/>
              <w:left w:val="nil"/>
              <w:bottom w:val="single" w:sz="6" w:space="0" w:color="000000"/>
              <w:right w:val="single" w:sz="6" w:space="0" w:color="000000"/>
              <w:tl2br w:val="nil"/>
              <w:tr2bl w:val="nil"/>
            </w:tcBorders>
            <w:shd w:val="clear" w:color="auto" w:fill="FFFFFF"/>
            <w:tcMar>
              <w:left w:w="115" w:type="dxa"/>
              <w:right w:w="115" w:type="dxa"/>
            </w:tcMar>
            <w:vAlign w:val="bottom"/>
          </w:tcPr>
          <w:p w14:paraId="73961B83" w14:textId="77777777" w:rsidR="00724034" w:rsidRDefault="00FB7D0B">
            <w:pPr>
              <w:jc w:val="right"/>
              <w:rPr>
                <w:rFonts w:ascii="Arial" w:eastAsia="Arial" w:hAnsi="Arial" w:cs="Arial"/>
                <w:color w:val="000000"/>
                <w:sz w:val="16"/>
              </w:rPr>
            </w:pPr>
            <w:r>
              <w:rPr>
                <w:rFonts w:ascii="Arial" w:eastAsia="Arial" w:hAnsi="Arial" w:cs="Arial"/>
                <w:color w:val="000000"/>
                <w:sz w:val="16"/>
              </w:rPr>
              <w:t xml:space="preserve"> 3,114 </w:t>
            </w:r>
          </w:p>
        </w:tc>
      </w:tr>
      <w:tr w:rsidR="00FB7D0B" w14:paraId="1D0A6381" w14:textId="77777777" w:rsidTr="00FB7D0B">
        <w:tblPrEx>
          <w:tblLook w:val="04A0" w:firstRow="1" w:lastRow="0" w:firstColumn="1" w:lastColumn="0" w:noHBand="0" w:noVBand="1"/>
        </w:tblPrEx>
        <w:trPr>
          <w:trHeight w:val="225"/>
        </w:trPr>
        <w:tc>
          <w:tcPr>
            <w:tcW w:w="0" w:type="auto"/>
            <w:tcBorders>
              <w:top w:val="nil"/>
              <w:left w:val="single" w:sz="6" w:space="0" w:color="000000"/>
              <w:bottom w:val="nil"/>
              <w:right w:val="nil"/>
              <w:tl2br w:val="nil"/>
              <w:tr2bl w:val="nil"/>
            </w:tcBorders>
            <w:shd w:val="clear" w:color="auto" w:fill="FFFFFF"/>
            <w:tcMar>
              <w:left w:w="115" w:type="dxa"/>
              <w:right w:w="115" w:type="dxa"/>
            </w:tcMar>
            <w:vAlign w:val="bottom"/>
          </w:tcPr>
          <w:p w14:paraId="0296D173" w14:textId="77777777" w:rsidR="00724034" w:rsidRDefault="00724034">
            <w:pPr>
              <w:rPr>
                <w:rFonts w:ascii="Arial" w:eastAsia="Arial" w:hAnsi="Arial" w:cs="Arial"/>
                <w:color w:val="000000"/>
                <w:sz w:val="16"/>
              </w:rPr>
            </w:pPr>
          </w:p>
        </w:tc>
        <w:tc>
          <w:tcPr>
            <w:tcW w:w="0" w:type="auto"/>
            <w:gridSpan w:val="2"/>
            <w:vMerge w:val="restart"/>
            <w:tcBorders>
              <w:top w:val="nil"/>
              <w:left w:val="nil"/>
              <w:bottom w:val="nil"/>
              <w:right w:val="nil"/>
              <w:tl2br w:val="nil"/>
              <w:tr2bl w:val="nil"/>
            </w:tcBorders>
            <w:shd w:val="clear" w:color="auto" w:fill="FFFFFF"/>
            <w:tcMar>
              <w:left w:w="115" w:type="dxa"/>
              <w:right w:w="115" w:type="dxa"/>
            </w:tcMar>
            <w:vAlign w:val="bottom"/>
          </w:tcPr>
          <w:p w14:paraId="6EEDDD86" w14:textId="77777777" w:rsidR="00724034" w:rsidRDefault="00FB7D0B">
            <w:pPr>
              <w:rPr>
                <w:rFonts w:ascii="Arial" w:eastAsia="Arial" w:hAnsi="Arial" w:cs="Arial"/>
                <w:b/>
                <w:color w:val="000000"/>
                <w:sz w:val="16"/>
              </w:rPr>
            </w:pPr>
            <w:r>
              <w:rPr>
                <w:rFonts w:ascii="Arial" w:eastAsia="Arial" w:hAnsi="Arial" w:cs="Arial"/>
                <w:b/>
                <w:color w:val="000000"/>
                <w:sz w:val="16"/>
              </w:rPr>
              <w:t>Total component expenses</w:t>
            </w:r>
          </w:p>
        </w:tc>
        <w:tc>
          <w:tcPr>
            <w:tcW w:w="0" w:type="auto"/>
            <w:tcBorders>
              <w:top w:val="single" w:sz="6" w:space="0" w:color="000000"/>
              <w:left w:val="nil"/>
              <w:bottom w:val="single" w:sz="6" w:space="0" w:color="000000"/>
              <w:right w:val="nil"/>
              <w:tl2br w:val="nil"/>
              <w:tr2bl w:val="nil"/>
            </w:tcBorders>
            <w:shd w:val="clear" w:color="auto" w:fill="FFFFFF"/>
            <w:tcMar>
              <w:left w:w="115" w:type="dxa"/>
              <w:right w:w="115" w:type="dxa"/>
            </w:tcMar>
            <w:vAlign w:val="bottom"/>
          </w:tcPr>
          <w:p w14:paraId="36585917" w14:textId="77777777" w:rsidR="00724034" w:rsidRDefault="00FB7D0B">
            <w:pPr>
              <w:jc w:val="right"/>
              <w:rPr>
                <w:rFonts w:ascii="Arial" w:eastAsia="Arial" w:hAnsi="Arial" w:cs="Arial"/>
                <w:b/>
                <w:color w:val="000000"/>
                <w:sz w:val="16"/>
              </w:rPr>
            </w:pPr>
            <w:r>
              <w:rPr>
                <w:rFonts w:ascii="Arial" w:eastAsia="Arial" w:hAnsi="Arial" w:cs="Arial"/>
                <w:b/>
                <w:color w:val="000000"/>
                <w:sz w:val="16"/>
              </w:rPr>
              <w:t>3,363 </w:t>
            </w:r>
          </w:p>
        </w:tc>
        <w:tc>
          <w:tcPr>
            <w:tcW w:w="0" w:type="auto"/>
            <w:tcBorders>
              <w:top w:val="single" w:sz="6" w:space="0" w:color="000000"/>
              <w:left w:val="nil"/>
              <w:bottom w:val="single" w:sz="6" w:space="0" w:color="000000"/>
              <w:right w:val="nil"/>
              <w:tl2br w:val="nil"/>
              <w:tr2bl w:val="nil"/>
            </w:tcBorders>
            <w:shd w:val="clear" w:color="auto" w:fill="C0C0C0"/>
            <w:tcMar>
              <w:left w:w="115" w:type="dxa"/>
              <w:right w:w="115" w:type="dxa"/>
            </w:tcMar>
            <w:vAlign w:val="bottom"/>
          </w:tcPr>
          <w:p w14:paraId="765E980D" w14:textId="77777777" w:rsidR="00724034" w:rsidRDefault="00FB7D0B">
            <w:pPr>
              <w:jc w:val="right"/>
              <w:rPr>
                <w:rFonts w:ascii="Arial" w:eastAsia="Arial" w:hAnsi="Arial" w:cs="Arial"/>
                <w:b/>
                <w:color w:val="000000"/>
                <w:sz w:val="16"/>
              </w:rPr>
            </w:pPr>
            <w:r>
              <w:rPr>
                <w:rFonts w:ascii="Arial" w:eastAsia="Arial" w:hAnsi="Arial" w:cs="Arial"/>
                <w:b/>
                <w:color w:val="000000"/>
                <w:sz w:val="16"/>
              </w:rPr>
              <w:t>3,303 </w:t>
            </w:r>
          </w:p>
        </w:tc>
        <w:tc>
          <w:tcPr>
            <w:tcW w:w="0" w:type="auto"/>
            <w:tcBorders>
              <w:top w:val="single" w:sz="6" w:space="0" w:color="000000"/>
              <w:left w:val="nil"/>
              <w:bottom w:val="single" w:sz="6" w:space="0" w:color="000000"/>
              <w:right w:val="nil"/>
              <w:tl2br w:val="nil"/>
              <w:tr2bl w:val="nil"/>
            </w:tcBorders>
            <w:shd w:val="clear" w:color="auto" w:fill="FFFFFF"/>
            <w:tcMar>
              <w:left w:w="115" w:type="dxa"/>
              <w:right w:w="115" w:type="dxa"/>
            </w:tcMar>
            <w:vAlign w:val="bottom"/>
          </w:tcPr>
          <w:p w14:paraId="25FC1C9E" w14:textId="77777777" w:rsidR="00724034" w:rsidRDefault="00FB7D0B">
            <w:pPr>
              <w:jc w:val="right"/>
              <w:rPr>
                <w:rFonts w:ascii="Arial" w:eastAsia="Arial" w:hAnsi="Arial" w:cs="Arial"/>
                <w:b/>
                <w:color w:val="000000"/>
                <w:sz w:val="16"/>
              </w:rPr>
            </w:pPr>
            <w:r>
              <w:rPr>
                <w:rFonts w:ascii="Arial" w:eastAsia="Arial" w:hAnsi="Arial" w:cs="Arial"/>
                <w:b/>
                <w:color w:val="000000"/>
                <w:sz w:val="16"/>
              </w:rPr>
              <w:t>3,186 </w:t>
            </w:r>
          </w:p>
        </w:tc>
        <w:tc>
          <w:tcPr>
            <w:tcW w:w="0" w:type="auto"/>
            <w:tcBorders>
              <w:top w:val="single" w:sz="6" w:space="0" w:color="000000"/>
              <w:left w:val="nil"/>
              <w:bottom w:val="single" w:sz="6" w:space="0" w:color="000000"/>
              <w:right w:val="nil"/>
              <w:tl2br w:val="nil"/>
              <w:tr2bl w:val="nil"/>
            </w:tcBorders>
            <w:shd w:val="clear" w:color="auto" w:fill="FFFFFF"/>
            <w:tcMar>
              <w:left w:w="115" w:type="dxa"/>
              <w:right w:w="115" w:type="dxa"/>
            </w:tcMar>
            <w:vAlign w:val="bottom"/>
          </w:tcPr>
          <w:p w14:paraId="53E29078" w14:textId="77777777" w:rsidR="00724034" w:rsidRDefault="00FB7D0B">
            <w:pPr>
              <w:jc w:val="right"/>
              <w:rPr>
                <w:rFonts w:ascii="Arial" w:eastAsia="Arial" w:hAnsi="Arial" w:cs="Arial"/>
                <w:b/>
                <w:color w:val="000000"/>
                <w:sz w:val="16"/>
              </w:rPr>
            </w:pPr>
            <w:r>
              <w:rPr>
                <w:rFonts w:ascii="Arial" w:eastAsia="Arial" w:hAnsi="Arial" w:cs="Arial"/>
                <w:b/>
                <w:color w:val="000000"/>
                <w:sz w:val="16"/>
              </w:rPr>
              <w:t>3,134 </w:t>
            </w:r>
          </w:p>
        </w:tc>
        <w:tc>
          <w:tcPr>
            <w:tcW w:w="0" w:type="auto"/>
            <w:tcBorders>
              <w:top w:val="single" w:sz="6" w:space="0" w:color="000000"/>
              <w:left w:val="nil"/>
              <w:bottom w:val="single" w:sz="6" w:space="0" w:color="000000"/>
              <w:right w:val="single" w:sz="6" w:space="0" w:color="000000"/>
              <w:tl2br w:val="nil"/>
              <w:tr2bl w:val="nil"/>
            </w:tcBorders>
            <w:shd w:val="clear" w:color="auto" w:fill="FFFFFF"/>
            <w:tcMar>
              <w:left w:w="115" w:type="dxa"/>
              <w:right w:w="115" w:type="dxa"/>
            </w:tcMar>
            <w:vAlign w:val="bottom"/>
          </w:tcPr>
          <w:p w14:paraId="35CD38D7" w14:textId="77777777" w:rsidR="00724034" w:rsidRDefault="00FB7D0B">
            <w:pPr>
              <w:jc w:val="right"/>
              <w:rPr>
                <w:rFonts w:ascii="Arial" w:eastAsia="Arial" w:hAnsi="Arial" w:cs="Arial"/>
                <w:b/>
                <w:color w:val="000000"/>
                <w:sz w:val="16"/>
              </w:rPr>
            </w:pPr>
            <w:r>
              <w:rPr>
                <w:rFonts w:ascii="Arial" w:eastAsia="Arial" w:hAnsi="Arial" w:cs="Arial"/>
                <w:b/>
                <w:color w:val="000000"/>
                <w:sz w:val="16"/>
              </w:rPr>
              <w:t>3,114 </w:t>
            </w:r>
          </w:p>
        </w:tc>
      </w:tr>
      <w:tr w:rsidR="00FB7D0B" w14:paraId="763874DE" w14:textId="77777777" w:rsidTr="00FB7D0B">
        <w:tblPrEx>
          <w:tblLook w:val="04A0" w:firstRow="1" w:lastRow="0" w:firstColumn="1" w:lastColumn="0" w:noHBand="0" w:noVBand="1"/>
        </w:tblPrEx>
        <w:trPr>
          <w:trHeight w:val="450"/>
        </w:trPr>
        <w:tc>
          <w:tcPr>
            <w:tcW w:w="0" w:type="auto"/>
            <w:gridSpan w:val="3"/>
            <w:tcBorders>
              <w:top w:val="nil"/>
              <w:left w:val="single" w:sz="6" w:space="0" w:color="000000"/>
              <w:bottom w:val="nil"/>
              <w:right w:val="nil"/>
              <w:tl2br w:val="nil"/>
              <w:tr2bl w:val="nil"/>
            </w:tcBorders>
            <w:shd w:val="clear" w:color="auto" w:fill="FFFFFF"/>
            <w:tcMar>
              <w:left w:w="115" w:type="dxa"/>
              <w:right w:w="115" w:type="dxa"/>
            </w:tcMar>
            <w:vAlign w:val="bottom"/>
          </w:tcPr>
          <w:p w14:paraId="329805B6" w14:textId="77777777" w:rsidR="00724034" w:rsidRDefault="00FB7D0B">
            <w:pPr>
              <w:rPr>
                <w:rFonts w:ascii="Arial" w:eastAsia="Arial" w:hAnsi="Arial" w:cs="Arial"/>
                <w:b/>
                <w:color w:val="000000"/>
                <w:sz w:val="16"/>
              </w:rPr>
            </w:pPr>
            <w:r>
              <w:rPr>
                <w:rFonts w:ascii="Arial" w:eastAsia="Arial" w:hAnsi="Arial" w:cs="Arial"/>
                <w:b/>
                <w:i/>
                <w:color w:val="000000"/>
                <w:sz w:val="16"/>
              </w:rPr>
              <w:t>1.7 - Research &amp; Information Dissemination</w:t>
            </w:r>
          </w:p>
        </w:tc>
        <w:tc>
          <w:tcPr>
            <w:tcW w:w="0" w:type="auto"/>
            <w:tcBorders>
              <w:top w:val="single" w:sz="6" w:space="0" w:color="000000"/>
              <w:left w:val="nil"/>
              <w:bottom w:val="nil"/>
              <w:right w:val="nil"/>
              <w:tl2br w:val="nil"/>
              <w:tr2bl w:val="nil"/>
            </w:tcBorders>
            <w:shd w:val="clear" w:color="auto" w:fill="FFFFFF"/>
            <w:tcMar>
              <w:left w:w="115" w:type="dxa"/>
              <w:right w:w="115" w:type="dxa"/>
            </w:tcMar>
            <w:vAlign w:val="bottom"/>
          </w:tcPr>
          <w:p w14:paraId="0D1FD34A" w14:textId="77777777" w:rsidR="00724034" w:rsidRDefault="00724034">
            <w:pPr>
              <w:jc w:val="right"/>
              <w:rPr>
                <w:rFonts w:ascii="Arial" w:eastAsia="Arial" w:hAnsi="Arial" w:cs="Arial"/>
                <w:b/>
                <w:i/>
                <w:color w:val="000000"/>
                <w:sz w:val="16"/>
              </w:rPr>
            </w:pPr>
          </w:p>
        </w:tc>
        <w:tc>
          <w:tcPr>
            <w:tcW w:w="0" w:type="auto"/>
            <w:tcBorders>
              <w:top w:val="single" w:sz="6" w:space="0" w:color="000000"/>
              <w:left w:val="nil"/>
              <w:bottom w:val="nil"/>
              <w:right w:val="nil"/>
              <w:tl2br w:val="nil"/>
              <w:tr2bl w:val="nil"/>
            </w:tcBorders>
            <w:shd w:val="clear" w:color="auto" w:fill="C0C0C0"/>
            <w:tcMar>
              <w:left w:w="115" w:type="dxa"/>
              <w:right w:w="115" w:type="dxa"/>
            </w:tcMar>
            <w:vAlign w:val="bottom"/>
          </w:tcPr>
          <w:p w14:paraId="18F96BE4" w14:textId="77777777" w:rsidR="00724034" w:rsidRDefault="00724034">
            <w:pPr>
              <w:jc w:val="right"/>
              <w:rPr>
                <w:rFonts w:ascii="Arial" w:eastAsia="Arial" w:hAnsi="Arial" w:cs="Arial"/>
                <w:color w:val="000000"/>
                <w:sz w:val="16"/>
              </w:rPr>
            </w:pPr>
          </w:p>
        </w:tc>
        <w:tc>
          <w:tcPr>
            <w:tcW w:w="0" w:type="auto"/>
            <w:tcBorders>
              <w:top w:val="single" w:sz="6" w:space="0" w:color="000000"/>
              <w:left w:val="nil"/>
              <w:bottom w:val="nil"/>
              <w:right w:val="nil"/>
              <w:tl2br w:val="nil"/>
              <w:tr2bl w:val="nil"/>
            </w:tcBorders>
            <w:shd w:val="clear" w:color="auto" w:fill="FFFFFF"/>
            <w:tcMar>
              <w:left w:w="115" w:type="dxa"/>
              <w:right w:w="115" w:type="dxa"/>
            </w:tcMar>
            <w:vAlign w:val="bottom"/>
          </w:tcPr>
          <w:p w14:paraId="33ACD189" w14:textId="77777777" w:rsidR="00724034" w:rsidRDefault="00724034">
            <w:pPr>
              <w:jc w:val="right"/>
              <w:rPr>
                <w:rFonts w:ascii="Arial" w:eastAsia="Arial" w:hAnsi="Arial" w:cs="Arial"/>
                <w:color w:val="000000"/>
                <w:sz w:val="16"/>
              </w:rPr>
            </w:pPr>
          </w:p>
        </w:tc>
        <w:tc>
          <w:tcPr>
            <w:tcW w:w="0" w:type="auto"/>
            <w:tcBorders>
              <w:top w:val="single" w:sz="6" w:space="0" w:color="000000"/>
              <w:left w:val="nil"/>
              <w:bottom w:val="nil"/>
              <w:right w:val="nil"/>
              <w:tl2br w:val="nil"/>
              <w:tr2bl w:val="nil"/>
            </w:tcBorders>
            <w:shd w:val="clear" w:color="auto" w:fill="FFFFFF"/>
            <w:tcMar>
              <w:left w:w="115" w:type="dxa"/>
              <w:right w:w="115" w:type="dxa"/>
            </w:tcMar>
            <w:vAlign w:val="bottom"/>
          </w:tcPr>
          <w:p w14:paraId="07EF4818" w14:textId="77777777" w:rsidR="00724034" w:rsidRDefault="00724034">
            <w:pPr>
              <w:jc w:val="right"/>
              <w:rPr>
                <w:rFonts w:ascii="Arial" w:eastAsia="Arial" w:hAnsi="Arial" w:cs="Arial"/>
                <w:color w:val="000000"/>
                <w:sz w:val="16"/>
              </w:rPr>
            </w:pPr>
          </w:p>
        </w:tc>
        <w:tc>
          <w:tcPr>
            <w:tcW w:w="0" w:type="auto"/>
            <w:tcBorders>
              <w:top w:val="single" w:sz="6" w:space="0" w:color="000000"/>
              <w:left w:val="nil"/>
              <w:bottom w:val="nil"/>
              <w:right w:val="single" w:sz="6" w:space="0" w:color="000000"/>
              <w:tl2br w:val="nil"/>
              <w:tr2bl w:val="nil"/>
            </w:tcBorders>
            <w:shd w:val="clear" w:color="auto" w:fill="FFFFFF"/>
            <w:tcMar>
              <w:left w:w="115" w:type="dxa"/>
              <w:right w:w="115" w:type="dxa"/>
            </w:tcMar>
            <w:vAlign w:val="bottom"/>
          </w:tcPr>
          <w:p w14:paraId="01AD7399" w14:textId="77777777" w:rsidR="00724034" w:rsidRDefault="00724034">
            <w:pPr>
              <w:jc w:val="right"/>
              <w:rPr>
                <w:rFonts w:ascii="Arial" w:eastAsia="Arial" w:hAnsi="Arial" w:cs="Arial"/>
                <w:color w:val="000000"/>
                <w:sz w:val="16"/>
              </w:rPr>
            </w:pPr>
          </w:p>
        </w:tc>
      </w:tr>
      <w:tr w:rsidR="00FB7D0B" w14:paraId="74247980" w14:textId="77777777" w:rsidTr="00FB7D0B">
        <w:tblPrEx>
          <w:tblLook w:val="04A0" w:firstRow="1" w:lastRow="0" w:firstColumn="1" w:lastColumn="0" w:noHBand="0" w:noVBand="1"/>
        </w:tblPrEx>
        <w:trPr>
          <w:trHeight w:val="225"/>
        </w:trPr>
        <w:tc>
          <w:tcPr>
            <w:tcW w:w="0" w:type="auto"/>
            <w:tcBorders>
              <w:top w:val="nil"/>
              <w:left w:val="single" w:sz="6" w:space="0" w:color="000000"/>
              <w:bottom w:val="nil"/>
              <w:right w:val="nil"/>
              <w:tl2br w:val="nil"/>
              <w:tr2bl w:val="nil"/>
            </w:tcBorders>
            <w:shd w:val="clear" w:color="auto" w:fill="FFFFFF"/>
            <w:tcMar>
              <w:left w:w="115" w:type="dxa"/>
              <w:right w:w="115" w:type="dxa"/>
            </w:tcMar>
            <w:vAlign w:val="bottom"/>
          </w:tcPr>
          <w:p w14:paraId="6EE86302" w14:textId="77777777" w:rsidR="00724034" w:rsidRDefault="00724034">
            <w:pPr>
              <w:rPr>
                <w:rFonts w:ascii="Arial" w:eastAsia="Arial" w:hAnsi="Arial" w:cs="Arial"/>
                <w:color w:val="000000"/>
                <w:sz w:val="16"/>
              </w:rPr>
            </w:pPr>
          </w:p>
        </w:tc>
        <w:tc>
          <w:tcPr>
            <w:tcW w:w="0" w:type="auto"/>
            <w:gridSpan w:val="2"/>
            <w:tcBorders>
              <w:top w:val="nil"/>
              <w:left w:val="nil"/>
              <w:bottom w:val="nil"/>
              <w:right w:val="nil"/>
              <w:tl2br w:val="nil"/>
              <w:tr2bl w:val="nil"/>
            </w:tcBorders>
            <w:shd w:val="clear" w:color="auto" w:fill="FFFFFF"/>
            <w:tcMar>
              <w:left w:w="115" w:type="dxa"/>
              <w:right w:w="115" w:type="dxa"/>
            </w:tcMar>
            <w:vAlign w:val="bottom"/>
          </w:tcPr>
          <w:p w14:paraId="642B25F5" w14:textId="77777777" w:rsidR="00724034" w:rsidRDefault="00FB7D0B">
            <w:pPr>
              <w:rPr>
                <w:rFonts w:ascii="Arial" w:eastAsia="Arial" w:hAnsi="Arial" w:cs="Arial"/>
                <w:color w:val="000000"/>
                <w:sz w:val="16"/>
              </w:rPr>
            </w:pPr>
            <w:r>
              <w:rPr>
                <w:rFonts w:ascii="Arial" w:eastAsia="Arial" w:hAnsi="Arial" w:cs="Arial"/>
                <w:color w:val="000000"/>
                <w:sz w:val="16"/>
              </w:rPr>
              <w:t>Annual departmental expenses:</w:t>
            </w:r>
          </w:p>
        </w:tc>
        <w:tc>
          <w:tcPr>
            <w:tcW w:w="0" w:type="auto"/>
            <w:tcBorders>
              <w:top w:val="nil"/>
              <w:left w:val="nil"/>
              <w:bottom w:val="nil"/>
              <w:right w:val="nil"/>
              <w:tl2br w:val="nil"/>
              <w:tr2bl w:val="nil"/>
            </w:tcBorders>
            <w:shd w:val="clear" w:color="auto" w:fill="FFFFFF"/>
            <w:tcMar>
              <w:left w:w="115" w:type="dxa"/>
              <w:right w:w="115" w:type="dxa"/>
            </w:tcMar>
            <w:vAlign w:val="bottom"/>
          </w:tcPr>
          <w:p w14:paraId="665C06F0" w14:textId="77777777" w:rsidR="00724034" w:rsidRDefault="00724034">
            <w:pPr>
              <w:jc w:val="right"/>
              <w:rPr>
                <w:rFonts w:ascii="Arial" w:eastAsia="Arial" w:hAnsi="Arial" w:cs="Arial"/>
                <w:color w:val="000000"/>
                <w:sz w:val="16"/>
              </w:rPr>
            </w:pPr>
          </w:p>
        </w:tc>
        <w:tc>
          <w:tcPr>
            <w:tcW w:w="0" w:type="auto"/>
            <w:tcBorders>
              <w:top w:val="nil"/>
              <w:left w:val="nil"/>
              <w:bottom w:val="nil"/>
              <w:right w:val="nil"/>
              <w:tl2br w:val="nil"/>
              <w:tr2bl w:val="nil"/>
            </w:tcBorders>
            <w:shd w:val="clear" w:color="auto" w:fill="C0C0C0"/>
            <w:tcMar>
              <w:left w:w="115" w:type="dxa"/>
              <w:right w:w="115" w:type="dxa"/>
            </w:tcMar>
            <w:vAlign w:val="bottom"/>
          </w:tcPr>
          <w:p w14:paraId="73830458" w14:textId="77777777" w:rsidR="00724034" w:rsidRDefault="00724034">
            <w:pPr>
              <w:jc w:val="right"/>
              <w:rPr>
                <w:rFonts w:ascii="Arial" w:eastAsia="Arial" w:hAnsi="Arial" w:cs="Arial"/>
                <w:color w:val="000000"/>
                <w:sz w:val="16"/>
              </w:rPr>
            </w:pPr>
          </w:p>
        </w:tc>
        <w:tc>
          <w:tcPr>
            <w:tcW w:w="0" w:type="auto"/>
            <w:tcBorders>
              <w:top w:val="nil"/>
              <w:left w:val="nil"/>
              <w:bottom w:val="nil"/>
              <w:right w:val="nil"/>
              <w:tl2br w:val="nil"/>
              <w:tr2bl w:val="nil"/>
            </w:tcBorders>
            <w:shd w:val="clear" w:color="auto" w:fill="FFFFFF"/>
            <w:tcMar>
              <w:left w:w="115" w:type="dxa"/>
              <w:right w:w="115" w:type="dxa"/>
            </w:tcMar>
            <w:vAlign w:val="bottom"/>
          </w:tcPr>
          <w:p w14:paraId="044A9809" w14:textId="77777777" w:rsidR="00724034" w:rsidRDefault="00724034">
            <w:pPr>
              <w:jc w:val="right"/>
              <w:rPr>
                <w:rFonts w:ascii="Arial" w:eastAsia="Arial" w:hAnsi="Arial" w:cs="Arial"/>
                <w:color w:val="000000"/>
                <w:sz w:val="16"/>
              </w:rPr>
            </w:pPr>
          </w:p>
        </w:tc>
        <w:tc>
          <w:tcPr>
            <w:tcW w:w="0" w:type="auto"/>
            <w:tcBorders>
              <w:top w:val="nil"/>
              <w:left w:val="nil"/>
              <w:bottom w:val="nil"/>
              <w:right w:val="nil"/>
              <w:tl2br w:val="nil"/>
              <w:tr2bl w:val="nil"/>
            </w:tcBorders>
            <w:shd w:val="clear" w:color="auto" w:fill="FFFFFF"/>
            <w:tcMar>
              <w:left w:w="115" w:type="dxa"/>
              <w:right w:w="115" w:type="dxa"/>
            </w:tcMar>
            <w:vAlign w:val="bottom"/>
          </w:tcPr>
          <w:p w14:paraId="3CB752AF" w14:textId="77777777" w:rsidR="00724034" w:rsidRDefault="00724034">
            <w:pPr>
              <w:jc w:val="right"/>
              <w:rPr>
                <w:rFonts w:ascii="Arial" w:eastAsia="Arial" w:hAnsi="Arial" w:cs="Arial"/>
                <w:color w:val="000000"/>
                <w:sz w:val="16"/>
              </w:rPr>
            </w:pPr>
          </w:p>
        </w:tc>
        <w:tc>
          <w:tcPr>
            <w:tcW w:w="0" w:type="auto"/>
            <w:tcBorders>
              <w:top w:val="nil"/>
              <w:left w:val="nil"/>
              <w:bottom w:val="nil"/>
              <w:right w:val="single" w:sz="6" w:space="0" w:color="000000"/>
              <w:tl2br w:val="nil"/>
              <w:tr2bl w:val="nil"/>
            </w:tcBorders>
            <w:shd w:val="clear" w:color="auto" w:fill="FFFFFF"/>
            <w:tcMar>
              <w:left w:w="115" w:type="dxa"/>
              <w:right w:w="115" w:type="dxa"/>
            </w:tcMar>
            <w:vAlign w:val="bottom"/>
          </w:tcPr>
          <w:p w14:paraId="5FEBCD01" w14:textId="77777777" w:rsidR="00724034" w:rsidRDefault="00724034">
            <w:pPr>
              <w:jc w:val="right"/>
              <w:rPr>
                <w:rFonts w:ascii="Arial" w:eastAsia="Arial" w:hAnsi="Arial" w:cs="Arial"/>
                <w:color w:val="000000"/>
                <w:sz w:val="16"/>
              </w:rPr>
            </w:pPr>
          </w:p>
        </w:tc>
      </w:tr>
      <w:tr w:rsidR="00724034" w14:paraId="684FC62E" w14:textId="77777777">
        <w:tblPrEx>
          <w:tblLook w:val="04A0" w:firstRow="1" w:lastRow="0" w:firstColumn="1" w:lastColumn="0" w:noHBand="0" w:noVBand="1"/>
        </w:tblPrEx>
        <w:trPr>
          <w:trHeight w:val="225"/>
        </w:trPr>
        <w:tc>
          <w:tcPr>
            <w:tcW w:w="0" w:type="auto"/>
            <w:tcBorders>
              <w:top w:val="nil"/>
              <w:left w:val="single" w:sz="6" w:space="0" w:color="000000"/>
              <w:bottom w:val="nil"/>
              <w:right w:val="nil"/>
              <w:tl2br w:val="nil"/>
              <w:tr2bl w:val="nil"/>
            </w:tcBorders>
            <w:shd w:val="clear" w:color="auto" w:fill="FFFFFF"/>
            <w:tcMar>
              <w:left w:w="115" w:type="dxa"/>
              <w:right w:w="115" w:type="dxa"/>
            </w:tcMar>
            <w:vAlign w:val="bottom"/>
          </w:tcPr>
          <w:p w14:paraId="3656110C" w14:textId="77777777" w:rsidR="00724034" w:rsidRDefault="00724034">
            <w:pPr>
              <w:rPr>
                <w:rFonts w:ascii="Arial" w:eastAsia="Arial" w:hAnsi="Arial" w:cs="Arial"/>
                <w:color w:val="000000"/>
                <w:sz w:val="16"/>
              </w:rPr>
            </w:pPr>
          </w:p>
        </w:tc>
        <w:tc>
          <w:tcPr>
            <w:tcW w:w="0" w:type="auto"/>
            <w:tcBorders>
              <w:top w:val="nil"/>
              <w:left w:val="nil"/>
              <w:bottom w:val="nil"/>
              <w:right w:val="nil"/>
              <w:tl2br w:val="nil"/>
              <w:tr2bl w:val="nil"/>
            </w:tcBorders>
            <w:shd w:val="clear" w:color="auto" w:fill="FFFFFF"/>
            <w:tcMar>
              <w:left w:w="115" w:type="dxa"/>
              <w:right w:w="115" w:type="dxa"/>
            </w:tcMar>
            <w:vAlign w:val="bottom"/>
          </w:tcPr>
          <w:p w14:paraId="1ED8C26B" w14:textId="77777777" w:rsidR="00724034" w:rsidRDefault="00724034">
            <w:pPr>
              <w:rPr>
                <w:rFonts w:ascii="Arial" w:eastAsia="Arial" w:hAnsi="Arial" w:cs="Arial"/>
                <w:color w:val="000000"/>
                <w:sz w:val="16"/>
              </w:rPr>
            </w:pPr>
          </w:p>
        </w:tc>
        <w:tc>
          <w:tcPr>
            <w:tcW w:w="0" w:type="auto"/>
            <w:tcBorders>
              <w:top w:val="nil"/>
              <w:left w:val="nil"/>
              <w:bottom w:val="nil"/>
              <w:right w:val="nil"/>
              <w:tl2br w:val="nil"/>
              <w:tr2bl w:val="nil"/>
            </w:tcBorders>
            <w:shd w:val="clear" w:color="auto" w:fill="FFFFFF"/>
            <w:tcMar>
              <w:left w:w="115" w:type="dxa"/>
              <w:right w:w="115" w:type="dxa"/>
            </w:tcMar>
            <w:vAlign w:val="bottom"/>
          </w:tcPr>
          <w:p w14:paraId="7CA73A2A" w14:textId="77777777" w:rsidR="00724034" w:rsidRDefault="00FB7D0B">
            <w:pPr>
              <w:rPr>
                <w:rFonts w:ascii="Arial" w:eastAsia="Arial" w:hAnsi="Arial" w:cs="Arial"/>
                <w:color w:val="000000"/>
                <w:sz w:val="16"/>
              </w:rPr>
            </w:pPr>
            <w:r>
              <w:rPr>
                <w:rFonts w:ascii="Arial" w:eastAsia="Arial" w:hAnsi="Arial" w:cs="Arial"/>
                <w:color w:val="000000"/>
                <w:sz w:val="16"/>
              </w:rPr>
              <w:t>Departmental item</w:t>
            </w:r>
          </w:p>
        </w:tc>
        <w:tc>
          <w:tcPr>
            <w:tcW w:w="0" w:type="auto"/>
            <w:tcBorders>
              <w:top w:val="nil"/>
              <w:left w:val="nil"/>
              <w:bottom w:val="single" w:sz="6" w:space="0" w:color="000000"/>
              <w:right w:val="nil"/>
              <w:tl2br w:val="nil"/>
              <w:tr2bl w:val="nil"/>
            </w:tcBorders>
            <w:shd w:val="clear" w:color="auto" w:fill="FFFFFF"/>
            <w:tcMar>
              <w:left w:w="115" w:type="dxa"/>
              <w:right w:w="115" w:type="dxa"/>
            </w:tcMar>
            <w:vAlign w:val="bottom"/>
          </w:tcPr>
          <w:p w14:paraId="366F5F69" w14:textId="77777777" w:rsidR="00724034" w:rsidRDefault="00FB7D0B">
            <w:pPr>
              <w:jc w:val="right"/>
              <w:rPr>
                <w:rFonts w:ascii="Arial" w:eastAsia="Arial" w:hAnsi="Arial" w:cs="Arial"/>
                <w:color w:val="000000"/>
                <w:sz w:val="16"/>
              </w:rPr>
            </w:pPr>
            <w:r>
              <w:rPr>
                <w:rFonts w:ascii="Arial" w:eastAsia="Arial" w:hAnsi="Arial" w:cs="Arial"/>
                <w:color w:val="000000"/>
                <w:sz w:val="16"/>
              </w:rPr>
              <w:t xml:space="preserve"> 4,635 </w:t>
            </w:r>
          </w:p>
        </w:tc>
        <w:tc>
          <w:tcPr>
            <w:tcW w:w="0" w:type="auto"/>
            <w:tcBorders>
              <w:top w:val="nil"/>
              <w:left w:val="nil"/>
              <w:bottom w:val="single" w:sz="6" w:space="0" w:color="000000"/>
              <w:right w:val="nil"/>
              <w:tl2br w:val="nil"/>
              <w:tr2bl w:val="nil"/>
            </w:tcBorders>
            <w:shd w:val="clear" w:color="auto" w:fill="C0C0C0"/>
            <w:tcMar>
              <w:left w:w="115" w:type="dxa"/>
              <w:right w:w="115" w:type="dxa"/>
            </w:tcMar>
            <w:vAlign w:val="bottom"/>
          </w:tcPr>
          <w:p w14:paraId="69AC0640" w14:textId="77777777" w:rsidR="00724034" w:rsidRDefault="00FB7D0B">
            <w:pPr>
              <w:jc w:val="right"/>
              <w:rPr>
                <w:rFonts w:ascii="Arial" w:eastAsia="Arial" w:hAnsi="Arial" w:cs="Arial"/>
                <w:color w:val="000000"/>
                <w:sz w:val="16"/>
              </w:rPr>
            </w:pPr>
            <w:r>
              <w:rPr>
                <w:rFonts w:ascii="Arial" w:eastAsia="Arial" w:hAnsi="Arial" w:cs="Arial"/>
                <w:color w:val="000000"/>
                <w:sz w:val="16"/>
              </w:rPr>
              <w:t xml:space="preserve"> 4,553 </w:t>
            </w:r>
          </w:p>
        </w:tc>
        <w:tc>
          <w:tcPr>
            <w:tcW w:w="0" w:type="auto"/>
            <w:tcBorders>
              <w:top w:val="nil"/>
              <w:left w:val="nil"/>
              <w:bottom w:val="single" w:sz="6" w:space="0" w:color="000000"/>
              <w:right w:val="nil"/>
              <w:tl2br w:val="nil"/>
              <w:tr2bl w:val="nil"/>
            </w:tcBorders>
            <w:shd w:val="clear" w:color="auto" w:fill="FFFFFF"/>
            <w:tcMar>
              <w:left w:w="115" w:type="dxa"/>
              <w:right w:w="115" w:type="dxa"/>
            </w:tcMar>
            <w:vAlign w:val="bottom"/>
          </w:tcPr>
          <w:p w14:paraId="0778AD8E" w14:textId="77777777" w:rsidR="00724034" w:rsidRDefault="00FB7D0B">
            <w:pPr>
              <w:jc w:val="right"/>
              <w:rPr>
                <w:rFonts w:ascii="Arial" w:eastAsia="Arial" w:hAnsi="Arial" w:cs="Arial"/>
                <w:color w:val="000000"/>
                <w:sz w:val="16"/>
              </w:rPr>
            </w:pPr>
            <w:r>
              <w:rPr>
                <w:rFonts w:ascii="Arial" w:eastAsia="Arial" w:hAnsi="Arial" w:cs="Arial"/>
                <w:color w:val="000000"/>
                <w:sz w:val="16"/>
              </w:rPr>
              <w:t xml:space="preserve"> 4,392 </w:t>
            </w:r>
          </w:p>
        </w:tc>
        <w:tc>
          <w:tcPr>
            <w:tcW w:w="0" w:type="auto"/>
            <w:tcBorders>
              <w:top w:val="nil"/>
              <w:left w:val="nil"/>
              <w:bottom w:val="single" w:sz="6" w:space="0" w:color="000000"/>
              <w:right w:val="nil"/>
              <w:tl2br w:val="nil"/>
              <w:tr2bl w:val="nil"/>
            </w:tcBorders>
            <w:shd w:val="clear" w:color="auto" w:fill="FFFFFF"/>
            <w:tcMar>
              <w:left w:w="115" w:type="dxa"/>
              <w:right w:w="115" w:type="dxa"/>
            </w:tcMar>
            <w:vAlign w:val="bottom"/>
          </w:tcPr>
          <w:p w14:paraId="3BA6CE11" w14:textId="77777777" w:rsidR="00724034" w:rsidRDefault="00FB7D0B">
            <w:pPr>
              <w:jc w:val="right"/>
              <w:rPr>
                <w:rFonts w:ascii="Arial" w:eastAsia="Arial" w:hAnsi="Arial" w:cs="Arial"/>
                <w:color w:val="000000"/>
                <w:sz w:val="16"/>
              </w:rPr>
            </w:pPr>
            <w:r>
              <w:rPr>
                <w:rFonts w:ascii="Arial" w:eastAsia="Arial" w:hAnsi="Arial" w:cs="Arial"/>
                <w:color w:val="000000"/>
                <w:sz w:val="16"/>
              </w:rPr>
              <w:t xml:space="preserve"> 4,320 </w:t>
            </w:r>
          </w:p>
        </w:tc>
        <w:tc>
          <w:tcPr>
            <w:tcW w:w="0" w:type="auto"/>
            <w:tcBorders>
              <w:top w:val="nil"/>
              <w:left w:val="nil"/>
              <w:bottom w:val="single" w:sz="6" w:space="0" w:color="000000"/>
              <w:right w:val="single" w:sz="6" w:space="0" w:color="000000"/>
              <w:tl2br w:val="nil"/>
              <w:tr2bl w:val="nil"/>
            </w:tcBorders>
            <w:shd w:val="clear" w:color="auto" w:fill="FFFFFF"/>
            <w:tcMar>
              <w:left w:w="115" w:type="dxa"/>
              <w:right w:w="115" w:type="dxa"/>
            </w:tcMar>
            <w:vAlign w:val="bottom"/>
          </w:tcPr>
          <w:p w14:paraId="093C45D6" w14:textId="77777777" w:rsidR="00724034" w:rsidRDefault="00FB7D0B">
            <w:pPr>
              <w:jc w:val="right"/>
              <w:rPr>
                <w:rFonts w:ascii="Arial" w:eastAsia="Arial" w:hAnsi="Arial" w:cs="Arial"/>
                <w:color w:val="000000"/>
                <w:sz w:val="16"/>
              </w:rPr>
            </w:pPr>
            <w:r>
              <w:rPr>
                <w:rFonts w:ascii="Arial" w:eastAsia="Arial" w:hAnsi="Arial" w:cs="Arial"/>
                <w:color w:val="000000"/>
                <w:sz w:val="16"/>
              </w:rPr>
              <w:t xml:space="preserve"> 4,293 </w:t>
            </w:r>
          </w:p>
        </w:tc>
      </w:tr>
      <w:tr w:rsidR="00FB7D0B" w14:paraId="4A87711F" w14:textId="77777777" w:rsidTr="00FB7D0B">
        <w:tblPrEx>
          <w:tblLook w:val="04A0" w:firstRow="1" w:lastRow="0" w:firstColumn="1" w:lastColumn="0" w:noHBand="0" w:noVBand="1"/>
        </w:tblPrEx>
        <w:trPr>
          <w:trHeight w:val="225"/>
        </w:trPr>
        <w:tc>
          <w:tcPr>
            <w:tcW w:w="0" w:type="auto"/>
            <w:tcBorders>
              <w:top w:val="nil"/>
              <w:left w:val="single" w:sz="6" w:space="0" w:color="000000"/>
              <w:bottom w:val="nil"/>
              <w:right w:val="nil"/>
              <w:tl2br w:val="nil"/>
              <w:tr2bl w:val="nil"/>
            </w:tcBorders>
            <w:shd w:val="clear" w:color="auto" w:fill="FFFFFF"/>
            <w:tcMar>
              <w:left w:w="115" w:type="dxa"/>
              <w:right w:w="115" w:type="dxa"/>
            </w:tcMar>
            <w:vAlign w:val="bottom"/>
          </w:tcPr>
          <w:p w14:paraId="5772CFB1" w14:textId="77777777" w:rsidR="00724034" w:rsidRDefault="00724034">
            <w:pPr>
              <w:rPr>
                <w:rFonts w:ascii="Arial" w:eastAsia="Arial" w:hAnsi="Arial" w:cs="Arial"/>
                <w:color w:val="000000"/>
                <w:sz w:val="16"/>
              </w:rPr>
            </w:pPr>
          </w:p>
        </w:tc>
        <w:tc>
          <w:tcPr>
            <w:tcW w:w="0" w:type="auto"/>
            <w:gridSpan w:val="2"/>
            <w:vMerge w:val="restart"/>
            <w:tcBorders>
              <w:top w:val="nil"/>
              <w:left w:val="nil"/>
              <w:bottom w:val="nil"/>
              <w:right w:val="nil"/>
              <w:tl2br w:val="nil"/>
              <w:tr2bl w:val="nil"/>
            </w:tcBorders>
            <w:shd w:val="clear" w:color="auto" w:fill="FFFFFF"/>
            <w:tcMar>
              <w:left w:w="115" w:type="dxa"/>
              <w:right w:w="115" w:type="dxa"/>
            </w:tcMar>
            <w:vAlign w:val="bottom"/>
          </w:tcPr>
          <w:p w14:paraId="6A96923D" w14:textId="77777777" w:rsidR="00724034" w:rsidRDefault="00FB7D0B">
            <w:pPr>
              <w:rPr>
                <w:rFonts w:ascii="Arial" w:eastAsia="Arial" w:hAnsi="Arial" w:cs="Arial"/>
                <w:b/>
                <w:color w:val="000000"/>
                <w:sz w:val="16"/>
              </w:rPr>
            </w:pPr>
            <w:r>
              <w:rPr>
                <w:rFonts w:ascii="Arial" w:eastAsia="Arial" w:hAnsi="Arial" w:cs="Arial"/>
                <w:b/>
                <w:color w:val="000000"/>
                <w:sz w:val="16"/>
              </w:rPr>
              <w:t>Total component expenses</w:t>
            </w:r>
          </w:p>
        </w:tc>
        <w:tc>
          <w:tcPr>
            <w:tcW w:w="0" w:type="auto"/>
            <w:tcBorders>
              <w:top w:val="single" w:sz="6" w:space="0" w:color="000000"/>
              <w:left w:val="nil"/>
              <w:bottom w:val="single" w:sz="6" w:space="0" w:color="000000"/>
              <w:right w:val="nil"/>
              <w:tl2br w:val="nil"/>
              <w:tr2bl w:val="nil"/>
            </w:tcBorders>
            <w:shd w:val="clear" w:color="auto" w:fill="FFFFFF"/>
            <w:tcMar>
              <w:left w:w="115" w:type="dxa"/>
              <w:right w:w="115" w:type="dxa"/>
            </w:tcMar>
            <w:vAlign w:val="bottom"/>
          </w:tcPr>
          <w:p w14:paraId="2D751F4E" w14:textId="77777777" w:rsidR="00724034" w:rsidRDefault="00FB7D0B">
            <w:pPr>
              <w:jc w:val="right"/>
              <w:rPr>
                <w:rFonts w:ascii="Arial" w:eastAsia="Arial" w:hAnsi="Arial" w:cs="Arial"/>
                <w:b/>
                <w:color w:val="000000"/>
                <w:sz w:val="16"/>
              </w:rPr>
            </w:pPr>
            <w:r>
              <w:rPr>
                <w:rFonts w:ascii="Arial" w:eastAsia="Arial" w:hAnsi="Arial" w:cs="Arial"/>
                <w:b/>
                <w:color w:val="000000"/>
                <w:sz w:val="16"/>
              </w:rPr>
              <w:t>4,635 </w:t>
            </w:r>
          </w:p>
        </w:tc>
        <w:tc>
          <w:tcPr>
            <w:tcW w:w="0" w:type="auto"/>
            <w:tcBorders>
              <w:top w:val="single" w:sz="6" w:space="0" w:color="000000"/>
              <w:left w:val="nil"/>
              <w:bottom w:val="single" w:sz="6" w:space="0" w:color="000000"/>
              <w:right w:val="nil"/>
              <w:tl2br w:val="nil"/>
              <w:tr2bl w:val="nil"/>
            </w:tcBorders>
            <w:shd w:val="clear" w:color="auto" w:fill="C0C0C0"/>
            <w:tcMar>
              <w:left w:w="115" w:type="dxa"/>
              <w:right w:w="115" w:type="dxa"/>
            </w:tcMar>
            <w:vAlign w:val="bottom"/>
          </w:tcPr>
          <w:p w14:paraId="013EB175" w14:textId="77777777" w:rsidR="00724034" w:rsidRDefault="00FB7D0B">
            <w:pPr>
              <w:jc w:val="right"/>
              <w:rPr>
                <w:rFonts w:ascii="Arial" w:eastAsia="Arial" w:hAnsi="Arial" w:cs="Arial"/>
                <w:b/>
                <w:color w:val="000000"/>
                <w:sz w:val="16"/>
              </w:rPr>
            </w:pPr>
            <w:r>
              <w:rPr>
                <w:rFonts w:ascii="Arial" w:eastAsia="Arial" w:hAnsi="Arial" w:cs="Arial"/>
                <w:b/>
                <w:color w:val="000000"/>
                <w:sz w:val="16"/>
              </w:rPr>
              <w:t>4,553 </w:t>
            </w:r>
          </w:p>
        </w:tc>
        <w:tc>
          <w:tcPr>
            <w:tcW w:w="0" w:type="auto"/>
            <w:tcBorders>
              <w:top w:val="single" w:sz="6" w:space="0" w:color="000000"/>
              <w:left w:val="nil"/>
              <w:bottom w:val="single" w:sz="6" w:space="0" w:color="000000"/>
              <w:right w:val="nil"/>
              <w:tl2br w:val="nil"/>
              <w:tr2bl w:val="nil"/>
            </w:tcBorders>
            <w:shd w:val="clear" w:color="auto" w:fill="FFFFFF"/>
            <w:tcMar>
              <w:left w:w="115" w:type="dxa"/>
              <w:right w:w="115" w:type="dxa"/>
            </w:tcMar>
            <w:vAlign w:val="bottom"/>
          </w:tcPr>
          <w:p w14:paraId="5D2A78DE" w14:textId="77777777" w:rsidR="00724034" w:rsidRDefault="00FB7D0B">
            <w:pPr>
              <w:jc w:val="right"/>
              <w:rPr>
                <w:rFonts w:ascii="Arial" w:eastAsia="Arial" w:hAnsi="Arial" w:cs="Arial"/>
                <w:b/>
                <w:color w:val="000000"/>
                <w:sz w:val="16"/>
              </w:rPr>
            </w:pPr>
            <w:r>
              <w:rPr>
                <w:rFonts w:ascii="Arial" w:eastAsia="Arial" w:hAnsi="Arial" w:cs="Arial"/>
                <w:b/>
                <w:color w:val="000000"/>
                <w:sz w:val="16"/>
              </w:rPr>
              <w:t>4,392 </w:t>
            </w:r>
          </w:p>
        </w:tc>
        <w:tc>
          <w:tcPr>
            <w:tcW w:w="0" w:type="auto"/>
            <w:tcBorders>
              <w:top w:val="single" w:sz="6" w:space="0" w:color="000000"/>
              <w:left w:val="nil"/>
              <w:bottom w:val="single" w:sz="6" w:space="0" w:color="000000"/>
              <w:right w:val="nil"/>
              <w:tl2br w:val="nil"/>
              <w:tr2bl w:val="nil"/>
            </w:tcBorders>
            <w:shd w:val="clear" w:color="auto" w:fill="FFFFFF"/>
            <w:tcMar>
              <w:left w:w="115" w:type="dxa"/>
              <w:right w:w="115" w:type="dxa"/>
            </w:tcMar>
            <w:vAlign w:val="bottom"/>
          </w:tcPr>
          <w:p w14:paraId="416BD2A9" w14:textId="77777777" w:rsidR="00724034" w:rsidRDefault="00FB7D0B">
            <w:pPr>
              <w:jc w:val="right"/>
              <w:rPr>
                <w:rFonts w:ascii="Arial" w:eastAsia="Arial" w:hAnsi="Arial" w:cs="Arial"/>
                <w:b/>
                <w:color w:val="000000"/>
                <w:sz w:val="16"/>
              </w:rPr>
            </w:pPr>
            <w:r>
              <w:rPr>
                <w:rFonts w:ascii="Arial" w:eastAsia="Arial" w:hAnsi="Arial" w:cs="Arial"/>
                <w:b/>
                <w:color w:val="000000"/>
                <w:sz w:val="16"/>
              </w:rPr>
              <w:t>4,320 </w:t>
            </w:r>
          </w:p>
        </w:tc>
        <w:tc>
          <w:tcPr>
            <w:tcW w:w="0" w:type="auto"/>
            <w:tcBorders>
              <w:top w:val="single" w:sz="6" w:space="0" w:color="000000"/>
              <w:left w:val="nil"/>
              <w:bottom w:val="single" w:sz="6" w:space="0" w:color="000000"/>
              <w:right w:val="single" w:sz="6" w:space="0" w:color="000000"/>
              <w:tl2br w:val="nil"/>
              <w:tr2bl w:val="nil"/>
            </w:tcBorders>
            <w:shd w:val="clear" w:color="auto" w:fill="FFFFFF"/>
            <w:tcMar>
              <w:left w:w="115" w:type="dxa"/>
              <w:right w:w="115" w:type="dxa"/>
            </w:tcMar>
            <w:vAlign w:val="bottom"/>
          </w:tcPr>
          <w:p w14:paraId="607D85EB" w14:textId="77777777" w:rsidR="00724034" w:rsidRDefault="00FB7D0B">
            <w:pPr>
              <w:jc w:val="right"/>
              <w:rPr>
                <w:rFonts w:ascii="Arial" w:eastAsia="Arial" w:hAnsi="Arial" w:cs="Arial"/>
                <w:b/>
                <w:color w:val="000000"/>
                <w:sz w:val="16"/>
              </w:rPr>
            </w:pPr>
            <w:r>
              <w:rPr>
                <w:rFonts w:ascii="Arial" w:eastAsia="Arial" w:hAnsi="Arial" w:cs="Arial"/>
                <w:b/>
                <w:color w:val="000000"/>
                <w:sz w:val="16"/>
              </w:rPr>
              <w:t>4,293 </w:t>
            </w:r>
          </w:p>
        </w:tc>
      </w:tr>
      <w:tr w:rsidR="00FB7D0B" w14:paraId="58895188" w14:textId="77777777" w:rsidTr="00FB7D0B">
        <w:tblPrEx>
          <w:tblLook w:val="04A0" w:firstRow="1" w:lastRow="0" w:firstColumn="1" w:lastColumn="0" w:noHBand="0" w:noVBand="1"/>
        </w:tblPrEx>
        <w:trPr>
          <w:trHeight w:val="225"/>
        </w:trPr>
        <w:tc>
          <w:tcPr>
            <w:tcW w:w="0" w:type="auto"/>
            <w:gridSpan w:val="3"/>
            <w:tcBorders>
              <w:top w:val="nil"/>
              <w:left w:val="single" w:sz="6" w:space="0" w:color="000000"/>
              <w:bottom w:val="nil"/>
              <w:right w:val="nil"/>
              <w:tl2br w:val="nil"/>
              <w:tr2bl w:val="nil"/>
            </w:tcBorders>
            <w:shd w:val="clear" w:color="auto" w:fill="FFFFFF"/>
            <w:tcMar>
              <w:left w:w="115" w:type="dxa"/>
              <w:right w:w="115" w:type="dxa"/>
            </w:tcMar>
            <w:vAlign w:val="bottom"/>
          </w:tcPr>
          <w:p w14:paraId="490B898E" w14:textId="77777777" w:rsidR="00724034" w:rsidRDefault="00FB7D0B">
            <w:pPr>
              <w:rPr>
                <w:rFonts w:ascii="Arial" w:eastAsia="Arial" w:hAnsi="Arial" w:cs="Arial"/>
                <w:b/>
                <w:color w:val="000000"/>
                <w:sz w:val="16"/>
              </w:rPr>
            </w:pPr>
            <w:r>
              <w:rPr>
                <w:rFonts w:ascii="Arial" w:eastAsia="Arial" w:hAnsi="Arial" w:cs="Arial"/>
                <w:b/>
                <w:i/>
                <w:color w:val="000000"/>
                <w:sz w:val="16"/>
              </w:rPr>
              <w:t>1.8 - Visitor Services</w:t>
            </w:r>
          </w:p>
        </w:tc>
        <w:tc>
          <w:tcPr>
            <w:tcW w:w="0" w:type="auto"/>
            <w:tcBorders>
              <w:top w:val="single" w:sz="6" w:space="0" w:color="000000"/>
              <w:left w:val="nil"/>
              <w:bottom w:val="nil"/>
              <w:right w:val="nil"/>
              <w:tl2br w:val="nil"/>
              <w:tr2bl w:val="nil"/>
            </w:tcBorders>
            <w:shd w:val="clear" w:color="auto" w:fill="FFFFFF"/>
            <w:tcMar>
              <w:left w:w="115" w:type="dxa"/>
              <w:right w:w="115" w:type="dxa"/>
            </w:tcMar>
            <w:vAlign w:val="bottom"/>
          </w:tcPr>
          <w:p w14:paraId="5AA8D783" w14:textId="77777777" w:rsidR="00724034" w:rsidRDefault="00724034">
            <w:pPr>
              <w:jc w:val="right"/>
              <w:rPr>
                <w:rFonts w:ascii="Arial" w:eastAsia="Arial" w:hAnsi="Arial" w:cs="Arial"/>
                <w:b/>
                <w:i/>
                <w:color w:val="000000"/>
                <w:sz w:val="16"/>
              </w:rPr>
            </w:pPr>
          </w:p>
        </w:tc>
        <w:tc>
          <w:tcPr>
            <w:tcW w:w="0" w:type="auto"/>
            <w:tcBorders>
              <w:top w:val="single" w:sz="6" w:space="0" w:color="000000"/>
              <w:left w:val="nil"/>
              <w:bottom w:val="nil"/>
              <w:right w:val="nil"/>
              <w:tl2br w:val="nil"/>
              <w:tr2bl w:val="nil"/>
            </w:tcBorders>
            <w:shd w:val="clear" w:color="auto" w:fill="C0C0C0"/>
            <w:tcMar>
              <w:left w:w="115" w:type="dxa"/>
              <w:right w:w="115" w:type="dxa"/>
            </w:tcMar>
            <w:vAlign w:val="bottom"/>
          </w:tcPr>
          <w:p w14:paraId="1A60AF02" w14:textId="77777777" w:rsidR="00724034" w:rsidRDefault="00724034">
            <w:pPr>
              <w:jc w:val="right"/>
              <w:rPr>
                <w:rFonts w:ascii="Arial" w:eastAsia="Arial" w:hAnsi="Arial" w:cs="Arial"/>
                <w:color w:val="000000"/>
                <w:sz w:val="16"/>
              </w:rPr>
            </w:pPr>
          </w:p>
        </w:tc>
        <w:tc>
          <w:tcPr>
            <w:tcW w:w="0" w:type="auto"/>
            <w:tcBorders>
              <w:top w:val="single" w:sz="6" w:space="0" w:color="000000"/>
              <w:left w:val="nil"/>
              <w:bottom w:val="nil"/>
              <w:right w:val="nil"/>
              <w:tl2br w:val="nil"/>
              <w:tr2bl w:val="nil"/>
            </w:tcBorders>
            <w:shd w:val="clear" w:color="auto" w:fill="FFFFFF"/>
            <w:tcMar>
              <w:left w:w="115" w:type="dxa"/>
              <w:right w:w="115" w:type="dxa"/>
            </w:tcMar>
            <w:vAlign w:val="bottom"/>
          </w:tcPr>
          <w:p w14:paraId="0A26A138" w14:textId="77777777" w:rsidR="00724034" w:rsidRDefault="00724034">
            <w:pPr>
              <w:jc w:val="right"/>
              <w:rPr>
                <w:rFonts w:ascii="Arial" w:eastAsia="Arial" w:hAnsi="Arial" w:cs="Arial"/>
                <w:color w:val="000000"/>
                <w:sz w:val="16"/>
              </w:rPr>
            </w:pPr>
          </w:p>
        </w:tc>
        <w:tc>
          <w:tcPr>
            <w:tcW w:w="0" w:type="auto"/>
            <w:tcBorders>
              <w:top w:val="single" w:sz="6" w:space="0" w:color="000000"/>
              <w:left w:val="nil"/>
              <w:bottom w:val="nil"/>
              <w:right w:val="nil"/>
              <w:tl2br w:val="nil"/>
              <w:tr2bl w:val="nil"/>
            </w:tcBorders>
            <w:shd w:val="clear" w:color="auto" w:fill="FFFFFF"/>
            <w:tcMar>
              <w:left w:w="115" w:type="dxa"/>
              <w:right w:w="115" w:type="dxa"/>
            </w:tcMar>
            <w:vAlign w:val="bottom"/>
          </w:tcPr>
          <w:p w14:paraId="07038B62" w14:textId="77777777" w:rsidR="00724034" w:rsidRDefault="00724034">
            <w:pPr>
              <w:jc w:val="right"/>
              <w:rPr>
                <w:rFonts w:ascii="Arial" w:eastAsia="Arial" w:hAnsi="Arial" w:cs="Arial"/>
                <w:color w:val="000000"/>
                <w:sz w:val="16"/>
              </w:rPr>
            </w:pPr>
          </w:p>
        </w:tc>
        <w:tc>
          <w:tcPr>
            <w:tcW w:w="0" w:type="auto"/>
            <w:tcBorders>
              <w:top w:val="single" w:sz="6" w:space="0" w:color="000000"/>
              <w:left w:val="nil"/>
              <w:bottom w:val="nil"/>
              <w:right w:val="single" w:sz="6" w:space="0" w:color="000000"/>
              <w:tl2br w:val="nil"/>
              <w:tr2bl w:val="nil"/>
            </w:tcBorders>
            <w:shd w:val="clear" w:color="auto" w:fill="FFFFFF"/>
            <w:tcMar>
              <w:left w:w="115" w:type="dxa"/>
              <w:right w:w="115" w:type="dxa"/>
            </w:tcMar>
            <w:vAlign w:val="bottom"/>
          </w:tcPr>
          <w:p w14:paraId="2E06DE42" w14:textId="77777777" w:rsidR="00724034" w:rsidRDefault="00724034">
            <w:pPr>
              <w:jc w:val="right"/>
              <w:rPr>
                <w:rFonts w:ascii="Arial" w:eastAsia="Arial" w:hAnsi="Arial" w:cs="Arial"/>
                <w:color w:val="000000"/>
                <w:sz w:val="16"/>
              </w:rPr>
            </w:pPr>
          </w:p>
        </w:tc>
      </w:tr>
      <w:tr w:rsidR="00FB7D0B" w14:paraId="52C8DC32" w14:textId="77777777" w:rsidTr="00FB7D0B">
        <w:tblPrEx>
          <w:tblLook w:val="04A0" w:firstRow="1" w:lastRow="0" w:firstColumn="1" w:lastColumn="0" w:noHBand="0" w:noVBand="1"/>
        </w:tblPrEx>
        <w:trPr>
          <w:trHeight w:val="225"/>
        </w:trPr>
        <w:tc>
          <w:tcPr>
            <w:tcW w:w="0" w:type="auto"/>
            <w:tcBorders>
              <w:top w:val="nil"/>
              <w:left w:val="single" w:sz="6" w:space="0" w:color="000000"/>
              <w:bottom w:val="nil"/>
              <w:right w:val="nil"/>
              <w:tl2br w:val="nil"/>
              <w:tr2bl w:val="nil"/>
            </w:tcBorders>
            <w:shd w:val="clear" w:color="auto" w:fill="FFFFFF"/>
            <w:tcMar>
              <w:left w:w="115" w:type="dxa"/>
              <w:right w:w="115" w:type="dxa"/>
            </w:tcMar>
            <w:vAlign w:val="bottom"/>
          </w:tcPr>
          <w:p w14:paraId="2709BA28" w14:textId="77777777" w:rsidR="00724034" w:rsidRDefault="00724034">
            <w:pPr>
              <w:rPr>
                <w:rFonts w:ascii="Arial" w:eastAsia="Arial" w:hAnsi="Arial" w:cs="Arial"/>
                <w:color w:val="000000"/>
                <w:sz w:val="16"/>
              </w:rPr>
            </w:pPr>
          </w:p>
        </w:tc>
        <w:tc>
          <w:tcPr>
            <w:tcW w:w="0" w:type="auto"/>
            <w:gridSpan w:val="2"/>
            <w:tcBorders>
              <w:top w:val="nil"/>
              <w:left w:val="nil"/>
              <w:bottom w:val="nil"/>
              <w:right w:val="nil"/>
              <w:tl2br w:val="nil"/>
              <w:tr2bl w:val="nil"/>
            </w:tcBorders>
            <w:shd w:val="clear" w:color="auto" w:fill="FFFFFF"/>
            <w:tcMar>
              <w:left w:w="115" w:type="dxa"/>
              <w:right w:w="115" w:type="dxa"/>
            </w:tcMar>
            <w:vAlign w:val="bottom"/>
          </w:tcPr>
          <w:p w14:paraId="3B374BA6" w14:textId="77777777" w:rsidR="00724034" w:rsidRDefault="00FB7D0B">
            <w:pPr>
              <w:rPr>
                <w:rFonts w:ascii="Arial" w:eastAsia="Arial" w:hAnsi="Arial" w:cs="Arial"/>
                <w:color w:val="000000"/>
                <w:sz w:val="16"/>
              </w:rPr>
            </w:pPr>
            <w:r>
              <w:rPr>
                <w:rFonts w:ascii="Arial" w:eastAsia="Arial" w:hAnsi="Arial" w:cs="Arial"/>
                <w:color w:val="000000"/>
                <w:sz w:val="16"/>
              </w:rPr>
              <w:t>Annual departmental expenses:</w:t>
            </w:r>
          </w:p>
        </w:tc>
        <w:tc>
          <w:tcPr>
            <w:tcW w:w="0" w:type="auto"/>
            <w:tcBorders>
              <w:top w:val="nil"/>
              <w:left w:val="nil"/>
              <w:bottom w:val="nil"/>
              <w:right w:val="nil"/>
              <w:tl2br w:val="nil"/>
              <w:tr2bl w:val="nil"/>
            </w:tcBorders>
            <w:shd w:val="clear" w:color="auto" w:fill="FFFFFF"/>
            <w:tcMar>
              <w:left w:w="115" w:type="dxa"/>
              <w:right w:w="115" w:type="dxa"/>
            </w:tcMar>
            <w:vAlign w:val="bottom"/>
          </w:tcPr>
          <w:p w14:paraId="535E0535" w14:textId="77777777" w:rsidR="00724034" w:rsidRDefault="00724034">
            <w:pPr>
              <w:jc w:val="right"/>
              <w:rPr>
                <w:rFonts w:ascii="Arial" w:eastAsia="Arial" w:hAnsi="Arial" w:cs="Arial"/>
                <w:color w:val="000000"/>
                <w:sz w:val="16"/>
              </w:rPr>
            </w:pPr>
          </w:p>
        </w:tc>
        <w:tc>
          <w:tcPr>
            <w:tcW w:w="0" w:type="auto"/>
            <w:tcBorders>
              <w:top w:val="nil"/>
              <w:left w:val="nil"/>
              <w:bottom w:val="nil"/>
              <w:right w:val="nil"/>
              <w:tl2br w:val="nil"/>
              <w:tr2bl w:val="nil"/>
            </w:tcBorders>
            <w:shd w:val="clear" w:color="auto" w:fill="C0C0C0"/>
            <w:tcMar>
              <w:left w:w="115" w:type="dxa"/>
              <w:right w:w="115" w:type="dxa"/>
            </w:tcMar>
            <w:vAlign w:val="bottom"/>
          </w:tcPr>
          <w:p w14:paraId="58FA9D4A" w14:textId="77777777" w:rsidR="00724034" w:rsidRDefault="00724034">
            <w:pPr>
              <w:jc w:val="right"/>
              <w:rPr>
                <w:rFonts w:ascii="Arial" w:eastAsia="Arial" w:hAnsi="Arial" w:cs="Arial"/>
                <w:color w:val="000000"/>
                <w:sz w:val="16"/>
              </w:rPr>
            </w:pPr>
          </w:p>
        </w:tc>
        <w:tc>
          <w:tcPr>
            <w:tcW w:w="0" w:type="auto"/>
            <w:tcBorders>
              <w:top w:val="nil"/>
              <w:left w:val="nil"/>
              <w:bottom w:val="nil"/>
              <w:right w:val="nil"/>
              <w:tl2br w:val="nil"/>
              <w:tr2bl w:val="nil"/>
            </w:tcBorders>
            <w:shd w:val="clear" w:color="auto" w:fill="FFFFFF"/>
            <w:tcMar>
              <w:left w:w="115" w:type="dxa"/>
              <w:right w:w="115" w:type="dxa"/>
            </w:tcMar>
            <w:vAlign w:val="bottom"/>
          </w:tcPr>
          <w:p w14:paraId="21711453" w14:textId="77777777" w:rsidR="00724034" w:rsidRDefault="00724034">
            <w:pPr>
              <w:jc w:val="right"/>
              <w:rPr>
                <w:rFonts w:ascii="Arial" w:eastAsia="Arial" w:hAnsi="Arial" w:cs="Arial"/>
                <w:color w:val="000000"/>
                <w:sz w:val="16"/>
              </w:rPr>
            </w:pPr>
          </w:p>
        </w:tc>
        <w:tc>
          <w:tcPr>
            <w:tcW w:w="0" w:type="auto"/>
            <w:tcBorders>
              <w:top w:val="nil"/>
              <w:left w:val="nil"/>
              <w:bottom w:val="nil"/>
              <w:right w:val="nil"/>
              <w:tl2br w:val="nil"/>
              <w:tr2bl w:val="nil"/>
            </w:tcBorders>
            <w:shd w:val="clear" w:color="auto" w:fill="FFFFFF"/>
            <w:tcMar>
              <w:left w:w="115" w:type="dxa"/>
              <w:right w:w="115" w:type="dxa"/>
            </w:tcMar>
            <w:vAlign w:val="bottom"/>
          </w:tcPr>
          <w:p w14:paraId="0A2571F9" w14:textId="77777777" w:rsidR="00724034" w:rsidRDefault="00724034">
            <w:pPr>
              <w:jc w:val="right"/>
              <w:rPr>
                <w:rFonts w:ascii="Arial" w:eastAsia="Arial" w:hAnsi="Arial" w:cs="Arial"/>
                <w:color w:val="000000"/>
                <w:sz w:val="16"/>
              </w:rPr>
            </w:pPr>
          </w:p>
        </w:tc>
        <w:tc>
          <w:tcPr>
            <w:tcW w:w="0" w:type="auto"/>
            <w:tcBorders>
              <w:top w:val="nil"/>
              <w:left w:val="nil"/>
              <w:bottom w:val="nil"/>
              <w:right w:val="single" w:sz="6" w:space="0" w:color="000000"/>
              <w:tl2br w:val="nil"/>
              <w:tr2bl w:val="nil"/>
            </w:tcBorders>
            <w:shd w:val="clear" w:color="auto" w:fill="FFFFFF"/>
            <w:tcMar>
              <w:left w:w="115" w:type="dxa"/>
              <w:right w:w="115" w:type="dxa"/>
            </w:tcMar>
            <w:vAlign w:val="bottom"/>
          </w:tcPr>
          <w:p w14:paraId="59920B50" w14:textId="77777777" w:rsidR="00724034" w:rsidRDefault="00724034">
            <w:pPr>
              <w:jc w:val="right"/>
              <w:rPr>
                <w:rFonts w:ascii="Arial" w:eastAsia="Arial" w:hAnsi="Arial" w:cs="Arial"/>
                <w:color w:val="000000"/>
                <w:sz w:val="16"/>
              </w:rPr>
            </w:pPr>
          </w:p>
        </w:tc>
      </w:tr>
      <w:tr w:rsidR="00724034" w14:paraId="2590C68F" w14:textId="77777777">
        <w:tblPrEx>
          <w:tblLook w:val="04A0" w:firstRow="1" w:lastRow="0" w:firstColumn="1" w:lastColumn="0" w:noHBand="0" w:noVBand="1"/>
        </w:tblPrEx>
        <w:trPr>
          <w:trHeight w:val="225"/>
        </w:trPr>
        <w:tc>
          <w:tcPr>
            <w:tcW w:w="0" w:type="auto"/>
            <w:tcBorders>
              <w:top w:val="nil"/>
              <w:left w:val="single" w:sz="6" w:space="0" w:color="000000"/>
              <w:bottom w:val="nil"/>
              <w:right w:val="nil"/>
              <w:tl2br w:val="nil"/>
              <w:tr2bl w:val="nil"/>
            </w:tcBorders>
            <w:shd w:val="clear" w:color="auto" w:fill="FFFFFF"/>
            <w:tcMar>
              <w:left w:w="115" w:type="dxa"/>
              <w:right w:w="115" w:type="dxa"/>
            </w:tcMar>
            <w:vAlign w:val="bottom"/>
          </w:tcPr>
          <w:p w14:paraId="7EB445B9" w14:textId="77777777" w:rsidR="00724034" w:rsidRDefault="00724034">
            <w:pPr>
              <w:rPr>
                <w:rFonts w:ascii="Arial" w:eastAsia="Arial" w:hAnsi="Arial" w:cs="Arial"/>
                <w:color w:val="000000"/>
                <w:sz w:val="16"/>
              </w:rPr>
            </w:pPr>
          </w:p>
        </w:tc>
        <w:tc>
          <w:tcPr>
            <w:tcW w:w="0" w:type="auto"/>
            <w:tcBorders>
              <w:top w:val="nil"/>
              <w:left w:val="nil"/>
              <w:bottom w:val="nil"/>
              <w:right w:val="nil"/>
              <w:tl2br w:val="nil"/>
              <w:tr2bl w:val="nil"/>
            </w:tcBorders>
            <w:shd w:val="clear" w:color="auto" w:fill="FFFFFF"/>
            <w:tcMar>
              <w:left w:w="115" w:type="dxa"/>
              <w:right w:w="115" w:type="dxa"/>
            </w:tcMar>
            <w:vAlign w:val="bottom"/>
          </w:tcPr>
          <w:p w14:paraId="64E3C90F" w14:textId="77777777" w:rsidR="00724034" w:rsidRDefault="00724034">
            <w:pPr>
              <w:rPr>
                <w:rFonts w:ascii="Arial" w:eastAsia="Arial" w:hAnsi="Arial" w:cs="Arial"/>
                <w:color w:val="000000"/>
                <w:sz w:val="16"/>
              </w:rPr>
            </w:pPr>
          </w:p>
        </w:tc>
        <w:tc>
          <w:tcPr>
            <w:tcW w:w="0" w:type="auto"/>
            <w:tcBorders>
              <w:top w:val="nil"/>
              <w:left w:val="nil"/>
              <w:bottom w:val="nil"/>
              <w:right w:val="nil"/>
              <w:tl2br w:val="nil"/>
              <w:tr2bl w:val="nil"/>
            </w:tcBorders>
            <w:shd w:val="clear" w:color="auto" w:fill="FFFFFF"/>
            <w:tcMar>
              <w:left w:w="115" w:type="dxa"/>
              <w:right w:w="115" w:type="dxa"/>
            </w:tcMar>
            <w:vAlign w:val="bottom"/>
          </w:tcPr>
          <w:p w14:paraId="11A53239" w14:textId="77777777" w:rsidR="00724034" w:rsidRDefault="00FB7D0B">
            <w:pPr>
              <w:rPr>
                <w:rFonts w:ascii="Arial" w:eastAsia="Arial" w:hAnsi="Arial" w:cs="Arial"/>
                <w:color w:val="000000"/>
                <w:sz w:val="16"/>
              </w:rPr>
            </w:pPr>
            <w:r>
              <w:rPr>
                <w:rFonts w:ascii="Arial" w:eastAsia="Arial" w:hAnsi="Arial" w:cs="Arial"/>
                <w:color w:val="000000"/>
                <w:sz w:val="16"/>
              </w:rPr>
              <w:t>Departmental item</w:t>
            </w:r>
          </w:p>
        </w:tc>
        <w:tc>
          <w:tcPr>
            <w:tcW w:w="0" w:type="auto"/>
            <w:tcBorders>
              <w:top w:val="nil"/>
              <w:left w:val="nil"/>
              <w:bottom w:val="single" w:sz="6" w:space="0" w:color="000000"/>
              <w:right w:val="nil"/>
              <w:tl2br w:val="nil"/>
              <w:tr2bl w:val="nil"/>
            </w:tcBorders>
            <w:shd w:val="clear" w:color="auto" w:fill="FFFFFF"/>
            <w:tcMar>
              <w:left w:w="115" w:type="dxa"/>
              <w:right w:w="115" w:type="dxa"/>
            </w:tcMar>
            <w:vAlign w:val="bottom"/>
          </w:tcPr>
          <w:p w14:paraId="09846C28" w14:textId="77777777" w:rsidR="00724034" w:rsidRDefault="00FB7D0B">
            <w:pPr>
              <w:jc w:val="right"/>
              <w:rPr>
                <w:rFonts w:ascii="Arial" w:eastAsia="Arial" w:hAnsi="Arial" w:cs="Arial"/>
                <w:color w:val="000000"/>
                <w:sz w:val="16"/>
              </w:rPr>
            </w:pPr>
            <w:r>
              <w:rPr>
                <w:rFonts w:ascii="Arial" w:eastAsia="Arial" w:hAnsi="Arial" w:cs="Arial"/>
                <w:color w:val="000000"/>
                <w:sz w:val="16"/>
              </w:rPr>
              <w:t xml:space="preserve"> 2,981 </w:t>
            </w:r>
          </w:p>
        </w:tc>
        <w:tc>
          <w:tcPr>
            <w:tcW w:w="0" w:type="auto"/>
            <w:tcBorders>
              <w:top w:val="nil"/>
              <w:left w:val="nil"/>
              <w:bottom w:val="single" w:sz="6" w:space="0" w:color="000000"/>
              <w:right w:val="nil"/>
              <w:tl2br w:val="nil"/>
              <w:tr2bl w:val="nil"/>
            </w:tcBorders>
            <w:shd w:val="clear" w:color="auto" w:fill="C0C0C0"/>
            <w:tcMar>
              <w:left w:w="115" w:type="dxa"/>
              <w:right w:w="115" w:type="dxa"/>
            </w:tcMar>
            <w:vAlign w:val="bottom"/>
          </w:tcPr>
          <w:p w14:paraId="3835FDE5" w14:textId="77777777" w:rsidR="00724034" w:rsidRDefault="00FB7D0B">
            <w:pPr>
              <w:jc w:val="right"/>
              <w:rPr>
                <w:rFonts w:ascii="Arial" w:eastAsia="Arial" w:hAnsi="Arial" w:cs="Arial"/>
                <w:color w:val="000000"/>
                <w:sz w:val="16"/>
              </w:rPr>
            </w:pPr>
            <w:r>
              <w:rPr>
                <w:rFonts w:ascii="Arial" w:eastAsia="Arial" w:hAnsi="Arial" w:cs="Arial"/>
                <w:color w:val="000000"/>
                <w:sz w:val="16"/>
              </w:rPr>
              <w:t xml:space="preserve"> 2,929 </w:t>
            </w:r>
          </w:p>
        </w:tc>
        <w:tc>
          <w:tcPr>
            <w:tcW w:w="0" w:type="auto"/>
            <w:tcBorders>
              <w:top w:val="nil"/>
              <w:left w:val="nil"/>
              <w:bottom w:val="single" w:sz="6" w:space="0" w:color="000000"/>
              <w:right w:val="nil"/>
              <w:tl2br w:val="nil"/>
              <w:tr2bl w:val="nil"/>
            </w:tcBorders>
            <w:shd w:val="clear" w:color="auto" w:fill="FFFFFF"/>
            <w:tcMar>
              <w:left w:w="115" w:type="dxa"/>
              <w:right w:w="115" w:type="dxa"/>
            </w:tcMar>
            <w:vAlign w:val="bottom"/>
          </w:tcPr>
          <w:p w14:paraId="0A59F8FC" w14:textId="77777777" w:rsidR="00724034" w:rsidRDefault="00FB7D0B">
            <w:pPr>
              <w:jc w:val="right"/>
              <w:rPr>
                <w:rFonts w:ascii="Arial" w:eastAsia="Arial" w:hAnsi="Arial" w:cs="Arial"/>
                <w:color w:val="000000"/>
                <w:sz w:val="16"/>
              </w:rPr>
            </w:pPr>
            <w:r>
              <w:rPr>
                <w:rFonts w:ascii="Arial" w:eastAsia="Arial" w:hAnsi="Arial" w:cs="Arial"/>
                <w:color w:val="000000"/>
                <w:sz w:val="16"/>
              </w:rPr>
              <w:t xml:space="preserve"> 2,825 </w:t>
            </w:r>
          </w:p>
        </w:tc>
        <w:tc>
          <w:tcPr>
            <w:tcW w:w="0" w:type="auto"/>
            <w:tcBorders>
              <w:top w:val="nil"/>
              <w:left w:val="nil"/>
              <w:bottom w:val="single" w:sz="6" w:space="0" w:color="000000"/>
              <w:right w:val="nil"/>
              <w:tl2br w:val="nil"/>
              <w:tr2bl w:val="nil"/>
            </w:tcBorders>
            <w:shd w:val="clear" w:color="auto" w:fill="FFFFFF"/>
            <w:tcMar>
              <w:left w:w="115" w:type="dxa"/>
              <w:right w:w="115" w:type="dxa"/>
            </w:tcMar>
            <w:vAlign w:val="bottom"/>
          </w:tcPr>
          <w:p w14:paraId="38B19744" w14:textId="77777777" w:rsidR="00724034" w:rsidRDefault="00FB7D0B">
            <w:pPr>
              <w:jc w:val="right"/>
              <w:rPr>
                <w:rFonts w:ascii="Arial" w:eastAsia="Arial" w:hAnsi="Arial" w:cs="Arial"/>
                <w:color w:val="000000"/>
                <w:sz w:val="16"/>
              </w:rPr>
            </w:pPr>
            <w:r>
              <w:rPr>
                <w:rFonts w:ascii="Arial" w:eastAsia="Arial" w:hAnsi="Arial" w:cs="Arial"/>
                <w:color w:val="000000"/>
                <w:sz w:val="16"/>
              </w:rPr>
              <w:t xml:space="preserve"> 2,778 </w:t>
            </w:r>
          </w:p>
        </w:tc>
        <w:tc>
          <w:tcPr>
            <w:tcW w:w="0" w:type="auto"/>
            <w:tcBorders>
              <w:top w:val="nil"/>
              <w:left w:val="nil"/>
              <w:bottom w:val="single" w:sz="6" w:space="0" w:color="000000"/>
              <w:right w:val="single" w:sz="6" w:space="0" w:color="000000"/>
              <w:tl2br w:val="nil"/>
              <w:tr2bl w:val="nil"/>
            </w:tcBorders>
            <w:shd w:val="clear" w:color="auto" w:fill="FFFFFF"/>
            <w:tcMar>
              <w:left w:w="115" w:type="dxa"/>
              <w:right w:w="115" w:type="dxa"/>
            </w:tcMar>
            <w:vAlign w:val="bottom"/>
          </w:tcPr>
          <w:p w14:paraId="1004DCA1" w14:textId="77777777" w:rsidR="00724034" w:rsidRDefault="00FB7D0B">
            <w:pPr>
              <w:jc w:val="right"/>
              <w:rPr>
                <w:rFonts w:ascii="Arial" w:eastAsia="Arial" w:hAnsi="Arial" w:cs="Arial"/>
                <w:color w:val="000000"/>
                <w:sz w:val="16"/>
              </w:rPr>
            </w:pPr>
            <w:r>
              <w:rPr>
                <w:rFonts w:ascii="Arial" w:eastAsia="Arial" w:hAnsi="Arial" w:cs="Arial"/>
                <w:color w:val="000000"/>
                <w:sz w:val="16"/>
              </w:rPr>
              <w:t xml:space="preserve"> 2,761 </w:t>
            </w:r>
          </w:p>
        </w:tc>
      </w:tr>
      <w:tr w:rsidR="00FB7D0B" w14:paraId="1266B8C2" w14:textId="77777777" w:rsidTr="00FB7D0B">
        <w:tblPrEx>
          <w:tblLook w:val="04A0" w:firstRow="1" w:lastRow="0" w:firstColumn="1" w:lastColumn="0" w:noHBand="0" w:noVBand="1"/>
        </w:tblPrEx>
        <w:trPr>
          <w:trHeight w:val="225"/>
        </w:trPr>
        <w:tc>
          <w:tcPr>
            <w:tcW w:w="0" w:type="auto"/>
            <w:tcBorders>
              <w:top w:val="nil"/>
              <w:left w:val="single" w:sz="6" w:space="0" w:color="000000"/>
              <w:bottom w:val="nil"/>
              <w:right w:val="nil"/>
              <w:tl2br w:val="nil"/>
              <w:tr2bl w:val="nil"/>
            </w:tcBorders>
            <w:shd w:val="clear" w:color="auto" w:fill="FFFFFF"/>
            <w:tcMar>
              <w:left w:w="115" w:type="dxa"/>
              <w:right w:w="115" w:type="dxa"/>
            </w:tcMar>
            <w:vAlign w:val="bottom"/>
          </w:tcPr>
          <w:p w14:paraId="3E1E2D06" w14:textId="77777777" w:rsidR="00724034" w:rsidRDefault="00724034">
            <w:pPr>
              <w:rPr>
                <w:rFonts w:ascii="Arial" w:eastAsia="Arial" w:hAnsi="Arial" w:cs="Arial"/>
                <w:color w:val="000000"/>
                <w:sz w:val="16"/>
              </w:rPr>
            </w:pPr>
          </w:p>
        </w:tc>
        <w:tc>
          <w:tcPr>
            <w:tcW w:w="0" w:type="auto"/>
            <w:gridSpan w:val="2"/>
            <w:tcBorders>
              <w:top w:val="nil"/>
              <w:left w:val="nil"/>
              <w:bottom w:val="nil"/>
              <w:right w:val="nil"/>
              <w:tl2br w:val="nil"/>
              <w:tr2bl w:val="nil"/>
            </w:tcBorders>
            <w:shd w:val="clear" w:color="auto" w:fill="FFFFFF"/>
            <w:tcMar>
              <w:left w:w="115" w:type="dxa"/>
              <w:right w:w="115" w:type="dxa"/>
            </w:tcMar>
            <w:vAlign w:val="bottom"/>
          </w:tcPr>
          <w:p w14:paraId="26B20730" w14:textId="77777777" w:rsidR="00724034" w:rsidRDefault="00FB7D0B">
            <w:pPr>
              <w:rPr>
                <w:rFonts w:ascii="Arial" w:eastAsia="Arial" w:hAnsi="Arial" w:cs="Arial"/>
                <w:b/>
                <w:color w:val="000000"/>
                <w:sz w:val="16"/>
              </w:rPr>
            </w:pPr>
            <w:r>
              <w:rPr>
                <w:rFonts w:ascii="Arial" w:eastAsia="Arial" w:hAnsi="Arial" w:cs="Arial"/>
                <w:b/>
                <w:color w:val="000000"/>
                <w:sz w:val="16"/>
              </w:rPr>
              <w:t>Total component expenses</w:t>
            </w:r>
          </w:p>
        </w:tc>
        <w:tc>
          <w:tcPr>
            <w:tcW w:w="0" w:type="auto"/>
            <w:tcBorders>
              <w:top w:val="single" w:sz="6" w:space="0" w:color="000000"/>
              <w:left w:val="nil"/>
              <w:bottom w:val="single" w:sz="6" w:space="0" w:color="000000"/>
              <w:right w:val="nil"/>
              <w:tl2br w:val="nil"/>
              <w:tr2bl w:val="nil"/>
            </w:tcBorders>
            <w:shd w:val="clear" w:color="auto" w:fill="FFFFFF"/>
            <w:tcMar>
              <w:left w:w="115" w:type="dxa"/>
              <w:right w:w="115" w:type="dxa"/>
            </w:tcMar>
            <w:vAlign w:val="bottom"/>
          </w:tcPr>
          <w:p w14:paraId="16CA8545" w14:textId="77777777" w:rsidR="00724034" w:rsidRDefault="00FB7D0B">
            <w:pPr>
              <w:jc w:val="right"/>
              <w:rPr>
                <w:rFonts w:ascii="Arial" w:eastAsia="Arial" w:hAnsi="Arial" w:cs="Arial"/>
                <w:b/>
                <w:color w:val="000000"/>
                <w:sz w:val="16"/>
              </w:rPr>
            </w:pPr>
            <w:r>
              <w:rPr>
                <w:rFonts w:ascii="Arial" w:eastAsia="Arial" w:hAnsi="Arial" w:cs="Arial"/>
                <w:b/>
                <w:color w:val="000000"/>
                <w:sz w:val="16"/>
              </w:rPr>
              <w:t>2,981 </w:t>
            </w:r>
          </w:p>
        </w:tc>
        <w:tc>
          <w:tcPr>
            <w:tcW w:w="0" w:type="auto"/>
            <w:tcBorders>
              <w:top w:val="single" w:sz="6" w:space="0" w:color="000000"/>
              <w:left w:val="nil"/>
              <w:bottom w:val="single" w:sz="6" w:space="0" w:color="000000"/>
              <w:right w:val="nil"/>
              <w:tl2br w:val="nil"/>
              <w:tr2bl w:val="nil"/>
            </w:tcBorders>
            <w:shd w:val="clear" w:color="auto" w:fill="C0C0C0"/>
            <w:tcMar>
              <w:left w:w="115" w:type="dxa"/>
              <w:right w:w="115" w:type="dxa"/>
            </w:tcMar>
            <w:vAlign w:val="bottom"/>
          </w:tcPr>
          <w:p w14:paraId="726770D2" w14:textId="77777777" w:rsidR="00724034" w:rsidRDefault="00FB7D0B">
            <w:pPr>
              <w:jc w:val="right"/>
              <w:rPr>
                <w:rFonts w:ascii="Arial" w:eastAsia="Arial" w:hAnsi="Arial" w:cs="Arial"/>
                <w:b/>
                <w:color w:val="000000"/>
                <w:sz w:val="16"/>
              </w:rPr>
            </w:pPr>
            <w:r>
              <w:rPr>
                <w:rFonts w:ascii="Arial" w:eastAsia="Arial" w:hAnsi="Arial" w:cs="Arial"/>
                <w:b/>
                <w:color w:val="000000"/>
                <w:sz w:val="16"/>
              </w:rPr>
              <w:t>2,929 </w:t>
            </w:r>
          </w:p>
        </w:tc>
        <w:tc>
          <w:tcPr>
            <w:tcW w:w="0" w:type="auto"/>
            <w:tcBorders>
              <w:top w:val="single" w:sz="6" w:space="0" w:color="000000"/>
              <w:left w:val="nil"/>
              <w:bottom w:val="single" w:sz="6" w:space="0" w:color="000000"/>
              <w:right w:val="nil"/>
              <w:tl2br w:val="nil"/>
              <w:tr2bl w:val="nil"/>
            </w:tcBorders>
            <w:shd w:val="clear" w:color="auto" w:fill="FFFFFF"/>
            <w:tcMar>
              <w:left w:w="115" w:type="dxa"/>
              <w:right w:w="115" w:type="dxa"/>
            </w:tcMar>
            <w:vAlign w:val="bottom"/>
          </w:tcPr>
          <w:p w14:paraId="05601071" w14:textId="77777777" w:rsidR="00724034" w:rsidRDefault="00FB7D0B">
            <w:pPr>
              <w:jc w:val="right"/>
              <w:rPr>
                <w:rFonts w:ascii="Arial" w:eastAsia="Arial" w:hAnsi="Arial" w:cs="Arial"/>
                <w:b/>
                <w:color w:val="000000"/>
                <w:sz w:val="16"/>
              </w:rPr>
            </w:pPr>
            <w:r>
              <w:rPr>
                <w:rFonts w:ascii="Arial" w:eastAsia="Arial" w:hAnsi="Arial" w:cs="Arial"/>
                <w:b/>
                <w:color w:val="000000"/>
                <w:sz w:val="16"/>
              </w:rPr>
              <w:t>2,825 </w:t>
            </w:r>
          </w:p>
        </w:tc>
        <w:tc>
          <w:tcPr>
            <w:tcW w:w="0" w:type="auto"/>
            <w:tcBorders>
              <w:top w:val="single" w:sz="6" w:space="0" w:color="000000"/>
              <w:left w:val="nil"/>
              <w:bottom w:val="single" w:sz="6" w:space="0" w:color="000000"/>
              <w:right w:val="nil"/>
              <w:tl2br w:val="nil"/>
              <w:tr2bl w:val="nil"/>
            </w:tcBorders>
            <w:shd w:val="clear" w:color="auto" w:fill="FFFFFF"/>
            <w:tcMar>
              <w:left w:w="115" w:type="dxa"/>
              <w:right w:w="115" w:type="dxa"/>
            </w:tcMar>
            <w:vAlign w:val="bottom"/>
          </w:tcPr>
          <w:p w14:paraId="5163851C" w14:textId="77777777" w:rsidR="00724034" w:rsidRDefault="00FB7D0B">
            <w:pPr>
              <w:jc w:val="right"/>
              <w:rPr>
                <w:rFonts w:ascii="Arial" w:eastAsia="Arial" w:hAnsi="Arial" w:cs="Arial"/>
                <w:b/>
                <w:color w:val="000000"/>
                <w:sz w:val="16"/>
              </w:rPr>
            </w:pPr>
            <w:r>
              <w:rPr>
                <w:rFonts w:ascii="Arial" w:eastAsia="Arial" w:hAnsi="Arial" w:cs="Arial"/>
                <w:b/>
                <w:color w:val="000000"/>
                <w:sz w:val="16"/>
              </w:rPr>
              <w:t>2,778 </w:t>
            </w:r>
          </w:p>
        </w:tc>
        <w:tc>
          <w:tcPr>
            <w:tcW w:w="0" w:type="auto"/>
            <w:tcBorders>
              <w:top w:val="single" w:sz="6" w:space="0" w:color="000000"/>
              <w:left w:val="nil"/>
              <w:bottom w:val="single" w:sz="6" w:space="0" w:color="000000"/>
              <w:right w:val="single" w:sz="6" w:space="0" w:color="000000"/>
              <w:tl2br w:val="nil"/>
              <w:tr2bl w:val="nil"/>
            </w:tcBorders>
            <w:shd w:val="clear" w:color="auto" w:fill="FFFFFF"/>
            <w:tcMar>
              <w:left w:w="115" w:type="dxa"/>
              <w:right w:w="115" w:type="dxa"/>
            </w:tcMar>
            <w:vAlign w:val="bottom"/>
          </w:tcPr>
          <w:p w14:paraId="71F656A4" w14:textId="77777777" w:rsidR="00724034" w:rsidRDefault="00FB7D0B">
            <w:pPr>
              <w:jc w:val="right"/>
              <w:rPr>
                <w:rFonts w:ascii="Arial" w:eastAsia="Arial" w:hAnsi="Arial" w:cs="Arial"/>
                <w:b/>
                <w:color w:val="000000"/>
                <w:sz w:val="16"/>
              </w:rPr>
            </w:pPr>
            <w:r>
              <w:rPr>
                <w:rFonts w:ascii="Arial" w:eastAsia="Arial" w:hAnsi="Arial" w:cs="Arial"/>
                <w:b/>
                <w:color w:val="000000"/>
                <w:sz w:val="16"/>
              </w:rPr>
              <w:t>2,761 </w:t>
            </w:r>
          </w:p>
        </w:tc>
      </w:tr>
      <w:tr w:rsidR="00FB7D0B" w14:paraId="6C4A126E" w14:textId="77777777" w:rsidTr="00FB7D0B">
        <w:tblPrEx>
          <w:tblLook w:val="04A0" w:firstRow="1" w:lastRow="0" w:firstColumn="1" w:lastColumn="0" w:noHBand="0" w:noVBand="1"/>
        </w:tblPrEx>
        <w:trPr>
          <w:trHeight w:val="225"/>
        </w:trPr>
        <w:tc>
          <w:tcPr>
            <w:tcW w:w="0" w:type="auto"/>
            <w:gridSpan w:val="3"/>
            <w:tcBorders>
              <w:top w:val="nil"/>
              <w:left w:val="single" w:sz="6" w:space="0" w:color="000000"/>
              <w:bottom w:val="single" w:sz="6" w:space="0" w:color="000000"/>
              <w:right w:val="nil"/>
              <w:tl2br w:val="nil"/>
              <w:tr2bl w:val="nil"/>
            </w:tcBorders>
            <w:shd w:val="clear" w:color="auto" w:fill="FFFFFF"/>
            <w:tcMar>
              <w:left w:w="115" w:type="dxa"/>
              <w:right w:w="115" w:type="dxa"/>
            </w:tcMar>
            <w:vAlign w:val="bottom"/>
          </w:tcPr>
          <w:p w14:paraId="09CAA29A" w14:textId="77777777" w:rsidR="00724034" w:rsidRDefault="00FB7D0B">
            <w:pPr>
              <w:rPr>
                <w:rFonts w:ascii="Arial" w:eastAsia="Arial" w:hAnsi="Arial" w:cs="Arial"/>
                <w:b/>
                <w:color w:val="000000"/>
                <w:sz w:val="16"/>
              </w:rPr>
            </w:pPr>
            <w:r>
              <w:rPr>
                <w:rFonts w:ascii="Arial" w:eastAsia="Arial" w:hAnsi="Arial" w:cs="Arial"/>
                <w:b/>
                <w:color w:val="000000"/>
                <w:sz w:val="16"/>
              </w:rPr>
              <w:t xml:space="preserve">Total programme expenses </w:t>
            </w:r>
          </w:p>
        </w:tc>
        <w:tc>
          <w:tcPr>
            <w:tcW w:w="0" w:type="auto"/>
            <w:tcBorders>
              <w:top w:val="single" w:sz="6" w:space="0" w:color="000000"/>
              <w:left w:val="nil"/>
              <w:bottom w:val="single" w:sz="6" w:space="0" w:color="000000"/>
              <w:right w:val="nil"/>
              <w:tl2br w:val="nil"/>
              <w:tr2bl w:val="nil"/>
            </w:tcBorders>
            <w:shd w:val="clear" w:color="auto" w:fill="FFFFFF"/>
            <w:tcMar>
              <w:left w:w="115" w:type="dxa"/>
              <w:right w:w="115" w:type="dxa"/>
            </w:tcMar>
            <w:vAlign w:val="bottom"/>
          </w:tcPr>
          <w:p w14:paraId="3DCCA34B" w14:textId="77777777" w:rsidR="00724034" w:rsidRDefault="00FB7D0B">
            <w:pPr>
              <w:jc w:val="right"/>
              <w:rPr>
                <w:rFonts w:ascii="Arial" w:eastAsia="Arial" w:hAnsi="Arial" w:cs="Arial"/>
                <w:b/>
                <w:color w:val="000000"/>
                <w:sz w:val="16"/>
              </w:rPr>
            </w:pPr>
            <w:r>
              <w:rPr>
                <w:rFonts w:ascii="Arial" w:eastAsia="Arial" w:hAnsi="Arial" w:cs="Arial"/>
                <w:b/>
                <w:color w:val="000000"/>
                <w:sz w:val="16"/>
              </w:rPr>
              <w:t>61,472 </w:t>
            </w:r>
          </w:p>
        </w:tc>
        <w:tc>
          <w:tcPr>
            <w:tcW w:w="0" w:type="auto"/>
            <w:tcBorders>
              <w:top w:val="single" w:sz="6" w:space="0" w:color="000000"/>
              <w:left w:val="nil"/>
              <w:bottom w:val="single" w:sz="6" w:space="0" w:color="000000"/>
              <w:right w:val="nil"/>
              <w:tl2br w:val="nil"/>
              <w:tr2bl w:val="nil"/>
            </w:tcBorders>
            <w:shd w:val="clear" w:color="auto" w:fill="C0C0C0"/>
            <w:tcMar>
              <w:left w:w="115" w:type="dxa"/>
              <w:right w:w="115" w:type="dxa"/>
            </w:tcMar>
            <w:vAlign w:val="bottom"/>
          </w:tcPr>
          <w:p w14:paraId="6EA15AAC" w14:textId="77777777" w:rsidR="00724034" w:rsidRDefault="00FB7D0B">
            <w:pPr>
              <w:jc w:val="right"/>
              <w:rPr>
                <w:rFonts w:ascii="Arial" w:eastAsia="Arial" w:hAnsi="Arial" w:cs="Arial"/>
                <w:b/>
                <w:color w:val="000000"/>
                <w:sz w:val="16"/>
              </w:rPr>
            </w:pPr>
            <w:r>
              <w:rPr>
                <w:rFonts w:ascii="Arial" w:eastAsia="Arial" w:hAnsi="Arial" w:cs="Arial"/>
                <w:b/>
                <w:color w:val="000000"/>
                <w:sz w:val="16"/>
              </w:rPr>
              <w:t>69,497 </w:t>
            </w:r>
          </w:p>
        </w:tc>
        <w:tc>
          <w:tcPr>
            <w:tcW w:w="0" w:type="auto"/>
            <w:tcBorders>
              <w:top w:val="single" w:sz="6" w:space="0" w:color="000000"/>
              <w:left w:val="nil"/>
              <w:bottom w:val="single" w:sz="6" w:space="0" w:color="000000"/>
              <w:right w:val="nil"/>
              <w:tl2br w:val="nil"/>
              <w:tr2bl w:val="nil"/>
            </w:tcBorders>
            <w:shd w:val="clear" w:color="auto" w:fill="FFFFFF"/>
            <w:tcMar>
              <w:left w:w="115" w:type="dxa"/>
              <w:right w:w="115" w:type="dxa"/>
            </w:tcMar>
            <w:vAlign w:val="bottom"/>
          </w:tcPr>
          <w:p w14:paraId="3F205DF0" w14:textId="77777777" w:rsidR="00724034" w:rsidRDefault="00FB7D0B">
            <w:pPr>
              <w:jc w:val="right"/>
              <w:rPr>
                <w:rFonts w:ascii="Arial" w:eastAsia="Arial" w:hAnsi="Arial" w:cs="Arial"/>
                <w:b/>
                <w:color w:val="000000"/>
                <w:sz w:val="16"/>
              </w:rPr>
            </w:pPr>
            <w:r>
              <w:rPr>
                <w:rFonts w:ascii="Arial" w:eastAsia="Arial" w:hAnsi="Arial" w:cs="Arial"/>
                <w:b/>
                <w:color w:val="000000"/>
                <w:sz w:val="16"/>
              </w:rPr>
              <w:t>59,313 </w:t>
            </w:r>
          </w:p>
        </w:tc>
        <w:tc>
          <w:tcPr>
            <w:tcW w:w="0" w:type="auto"/>
            <w:tcBorders>
              <w:top w:val="single" w:sz="6" w:space="0" w:color="000000"/>
              <w:left w:val="nil"/>
              <w:bottom w:val="single" w:sz="6" w:space="0" w:color="000000"/>
              <w:right w:val="nil"/>
              <w:tl2br w:val="nil"/>
              <w:tr2bl w:val="nil"/>
            </w:tcBorders>
            <w:shd w:val="clear" w:color="auto" w:fill="FFFFFF"/>
            <w:tcMar>
              <w:left w:w="115" w:type="dxa"/>
              <w:right w:w="115" w:type="dxa"/>
            </w:tcMar>
            <w:vAlign w:val="bottom"/>
          </w:tcPr>
          <w:p w14:paraId="57C097ED" w14:textId="77777777" w:rsidR="00724034" w:rsidRDefault="00FB7D0B">
            <w:pPr>
              <w:jc w:val="right"/>
              <w:rPr>
                <w:rFonts w:ascii="Arial" w:eastAsia="Arial" w:hAnsi="Arial" w:cs="Arial"/>
                <w:b/>
                <w:color w:val="000000"/>
                <w:sz w:val="16"/>
              </w:rPr>
            </w:pPr>
            <w:r>
              <w:rPr>
                <w:rFonts w:ascii="Arial" w:eastAsia="Arial" w:hAnsi="Arial" w:cs="Arial"/>
                <w:b/>
                <w:color w:val="000000"/>
                <w:sz w:val="16"/>
              </w:rPr>
              <w:t>58,338 </w:t>
            </w:r>
          </w:p>
        </w:tc>
        <w:tc>
          <w:tcPr>
            <w:tcW w:w="0" w:type="auto"/>
            <w:tcBorders>
              <w:top w:val="single" w:sz="6" w:space="0" w:color="000000"/>
              <w:left w:val="nil"/>
              <w:bottom w:val="single" w:sz="6" w:space="0" w:color="000000"/>
              <w:right w:val="single" w:sz="6" w:space="0" w:color="000000"/>
              <w:tl2br w:val="nil"/>
              <w:tr2bl w:val="nil"/>
            </w:tcBorders>
            <w:shd w:val="clear" w:color="auto" w:fill="FFFFFF"/>
            <w:tcMar>
              <w:left w:w="115" w:type="dxa"/>
              <w:right w:w="115" w:type="dxa"/>
            </w:tcMar>
            <w:vAlign w:val="bottom"/>
          </w:tcPr>
          <w:p w14:paraId="129153D7" w14:textId="77777777" w:rsidR="00724034" w:rsidRDefault="00FB7D0B">
            <w:pPr>
              <w:jc w:val="right"/>
              <w:rPr>
                <w:rFonts w:ascii="Arial" w:eastAsia="Arial" w:hAnsi="Arial" w:cs="Arial"/>
                <w:b/>
                <w:color w:val="000000"/>
                <w:sz w:val="16"/>
              </w:rPr>
            </w:pPr>
            <w:r>
              <w:rPr>
                <w:rFonts w:ascii="Arial" w:eastAsia="Arial" w:hAnsi="Arial" w:cs="Arial"/>
                <w:b/>
                <w:color w:val="000000"/>
                <w:sz w:val="16"/>
              </w:rPr>
              <w:t>57,967 </w:t>
            </w:r>
          </w:p>
        </w:tc>
      </w:tr>
    </w:tbl>
    <w:p w14:paraId="70B1F00F" w14:textId="77777777" w:rsidR="00724034" w:rsidRDefault="00FB7D0B">
      <w:pPr>
        <w:spacing w:line="14" w:lineRule="exact"/>
      </w:pPr>
      <w:r>
        <w:br w:type="page"/>
      </w:r>
    </w:p>
    <w:p w14:paraId="75535114" w14:textId="77777777" w:rsidR="003F0EEA" w:rsidRPr="003C333E" w:rsidRDefault="00FB7D0B" w:rsidP="003F0EEA">
      <w:pPr>
        <w:pStyle w:val="Heading313"/>
        <w:tabs>
          <w:tab w:val="clear" w:pos="709"/>
        </w:tabs>
        <w:rPr>
          <w:rFonts w:cs="Arial"/>
          <w:i/>
          <w:sz w:val="22"/>
          <w:szCs w:val="22"/>
        </w:rPr>
      </w:pPr>
      <w:r w:rsidRPr="003C333E">
        <w:rPr>
          <w:rFonts w:cs="Arial"/>
          <w:sz w:val="22"/>
          <w:szCs w:val="22"/>
        </w:rPr>
        <w:t xml:space="preserve">Contributions to Outcome 1 </w:t>
      </w:r>
    </w:p>
    <w:tbl>
      <w:tblPr>
        <w:tblW w:w="0" w:type="auto"/>
        <w:tblBorders>
          <w:top w:val="single" w:sz="2" w:space="0" w:color="auto"/>
          <w:left w:val="single" w:sz="2" w:space="0" w:color="auto"/>
          <w:bottom w:val="single" w:sz="2" w:space="0" w:color="auto"/>
          <w:right w:val="single" w:sz="2" w:space="0" w:color="auto"/>
          <w:insideH w:val="single" w:sz="2" w:space="0" w:color="auto"/>
        </w:tblBorders>
        <w:tblLook w:val="01E0" w:firstRow="1" w:lastRow="1" w:firstColumn="1" w:lastColumn="1" w:noHBand="0" w:noVBand="0"/>
      </w:tblPr>
      <w:tblGrid>
        <w:gridCol w:w="8324"/>
      </w:tblGrid>
      <w:tr w:rsidR="00724034" w14:paraId="5E289E8C" w14:textId="77777777" w:rsidTr="003F0EEA">
        <w:tc>
          <w:tcPr>
            <w:tcW w:w="8336" w:type="dxa"/>
            <w:tcBorders>
              <w:top w:val="single" w:sz="2" w:space="0" w:color="auto"/>
              <w:left w:val="single" w:sz="2" w:space="0" w:color="auto"/>
              <w:bottom w:val="single" w:sz="2" w:space="0" w:color="auto"/>
              <w:right w:val="single" w:sz="2" w:space="0" w:color="auto"/>
            </w:tcBorders>
            <w:shd w:val="clear" w:color="auto" w:fill="E6E6E6"/>
          </w:tcPr>
          <w:p w14:paraId="185A602F" w14:textId="77777777" w:rsidR="003F0EEA" w:rsidRDefault="00FB7D0B">
            <w:pPr>
              <w:pStyle w:val="TableColumnHeadingLeft9"/>
              <w:rPr>
                <w:rFonts w:cs="Arial"/>
              </w:rPr>
            </w:pPr>
            <w:r>
              <w:rPr>
                <w:rFonts w:cs="Arial"/>
              </w:rPr>
              <w:t>Programme Component 1.1: Commemorative Ceremonies</w:t>
            </w:r>
          </w:p>
        </w:tc>
      </w:tr>
      <w:tr w:rsidR="00724034" w14:paraId="330D7C5B" w14:textId="77777777" w:rsidTr="003F0EEA">
        <w:tc>
          <w:tcPr>
            <w:tcW w:w="8336" w:type="dxa"/>
            <w:tcBorders>
              <w:top w:val="single" w:sz="4" w:space="0" w:color="auto"/>
              <w:left w:val="single" w:sz="4" w:space="0" w:color="auto"/>
              <w:bottom w:val="single" w:sz="4" w:space="0" w:color="auto"/>
              <w:right w:val="single" w:sz="4" w:space="0" w:color="auto"/>
            </w:tcBorders>
          </w:tcPr>
          <w:p w14:paraId="575758E5" w14:textId="77777777" w:rsidR="003F0EEA" w:rsidRDefault="00FB7D0B">
            <w:pPr>
              <w:pStyle w:val="TableTextLeft45"/>
              <w:rPr>
                <w:b/>
                <w:sz w:val="20"/>
              </w:rPr>
            </w:pPr>
            <w:r>
              <w:rPr>
                <w:b/>
                <w:sz w:val="20"/>
              </w:rPr>
              <w:t>Programme component 1.1 objective</w:t>
            </w:r>
          </w:p>
          <w:p w14:paraId="4CFA2295" w14:textId="77777777" w:rsidR="003F0EEA" w:rsidRPr="003C333E" w:rsidRDefault="00FB7D0B">
            <w:pPr>
              <w:pStyle w:val="TableTextLeft45"/>
              <w:rPr>
                <w:szCs w:val="18"/>
              </w:rPr>
            </w:pPr>
            <w:r w:rsidRPr="003C333E">
              <w:rPr>
                <w:snapToGrid w:val="0"/>
                <w:szCs w:val="18"/>
                <w:lang w:eastAsia="en-US"/>
              </w:rPr>
              <w:t xml:space="preserve">Major national ceremonies, particularly Anzac Day and Remembrance Day, and other commemorative ceremonies are conducted and promoted in an engaging, dignified and appropriate </w:t>
            </w:r>
            <w:r w:rsidRPr="003C333E">
              <w:rPr>
                <w:szCs w:val="18"/>
              </w:rPr>
              <w:t>manner. This Programme component assists Australians to remember the Australian experience of war and its enduring impact on Australian society.</w:t>
            </w:r>
          </w:p>
        </w:tc>
      </w:tr>
      <w:tr w:rsidR="00724034" w14:paraId="7BD079DE" w14:textId="77777777" w:rsidTr="003F0EEA">
        <w:tc>
          <w:tcPr>
            <w:tcW w:w="8336" w:type="dxa"/>
            <w:tcBorders>
              <w:top w:val="single" w:sz="4" w:space="0" w:color="auto"/>
              <w:left w:val="single" w:sz="4" w:space="0" w:color="auto"/>
              <w:bottom w:val="single" w:sz="4" w:space="0" w:color="auto"/>
              <w:right w:val="single" w:sz="4" w:space="0" w:color="auto"/>
            </w:tcBorders>
          </w:tcPr>
          <w:p w14:paraId="27687AD0" w14:textId="77777777" w:rsidR="003F0EEA" w:rsidRDefault="00FB7D0B">
            <w:pPr>
              <w:pStyle w:val="TableTextLeft45"/>
              <w:rPr>
                <w:b/>
                <w:sz w:val="20"/>
              </w:rPr>
            </w:pPr>
            <w:r>
              <w:rPr>
                <w:b/>
                <w:sz w:val="20"/>
              </w:rPr>
              <w:t xml:space="preserve">Programme component 1.1 deliverables </w:t>
            </w:r>
          </w:p>
          <w:p w14:paraId="6E3C498A" w14:textId="77777777" w:rsidR="003F0EEA" w:rsidRPr="003C333E" w:rsidRDefault="00FB7D0B">
            <w:pPr>
              <w:pStyle w:val="TableTextLeft45"/>
              <w:rPr>
                <w:szCs w:val="18"/>
                <w:lang w:val="en-GB"/>
              </w:rPr>
            </w:pPr>
            <w:r w:rsidRPr="003C333E">
              <w:rPr>
                <w:szCs w:val="18"/>
                <w:lang w:val="en-GB"/>
              </w:rPr>
              <w:t xml:space="preserve">The Australian War Memorial will deliver: </w:t>
            </w:r>
          </w:p>
          <w:p w14:paraId="19DE1405" w14:textId="77777777" w:rsidR="003F0EEA" w:rsidRPr="003C333E" w:rsidRDefault="00FB7D0B" w:rsidP="003F0EEA">
            <w:pPr>
              <w:pStyle w:val="TableTextBullet22"/>
              <w:numPr>
                <w:ilvl w:val="0"/>
                <w:numId w:val="58"/>
              </w:numPr>
              <w:ind w:left="318" w:hanging="318"/>
              <w:rPr>
                <w:rFonts w:cs="Arial"/>
                <w:szCs w:val="18"/>
                <w:lang w:val="en-GB"/>
              </w:rPr>
            </w:pPr>
            <w:r w:rsidRPr="003C333E">
              <w:rPr>
                <w:rFonts w:cs="Arial"/>
                <w:szCs w:val="18"/>
                <w:lang w:val="en-GB"/>
              </w:rPr>
              <w:t>Three major commemorative ceremonies – the Anzac Day Dawn Service, Anzac Day National ceremony and Remembrance Day ceremony.</w:t>
            </w:r>
          </w:p>
          <w:p w14:paraId="77B2B20B" w14:textId="77777777" w:rsidR="003F0EEA" w:rsidRPr="003C333E" w:rsidRDefault="00FB7D0B" w:rsidP="003F0EEA">
            <w:pPr>
              <w:pStyle w:val="TableTextBullet22"/>
              <w:numPr>
                <w:ilvl w:val="0"/>
                <w:numId w:val="58"/>
              </w:numPr>
              <w:tabs>
                <w:tab w:val="left" w:pos="318"/>
              </w:tabs>
              <w:ind w:left="318" w:hanging="318"/>
              <w:rPr>
                <w:rFonts w:cs="Arial"/>
                <w:szCs w:val="18"/>
                <w:lang w:val="en-GB"/>
              </w:rPr>
            </w:pPr>
            <w:r w:rsidRPr="003C333E">
              <w:rPr>
                <w:rFonts w:cs="Arial"/>
                <w:szCs w:val="18"/>
                <w:lang w:val="en-GB"/>
              </w:rPr>
              <w:t>At least 10 other commemorative ceremonies.</w:t>
            </w:r>
          </w:p>
          <w:p w14:paraId="1D6552F9" w14:textId="77777777" w:rsidR="003F0EEA" w:rsidRPr="003C333E" w:rsidRDefault="00FB7D0B" w:rsidP="003F0EEA">
            <w:pPr>
              <w:pStyle w:val="TableTextBullet22"/>
              <w:numPr>
                <w:ilvl w:val="0"/>
                <w:numId w:val="58"/>
              </w:numPr>
              <w:tabs>
                <w:tab w:val="left" w:pos="318"/>
              </w:tabs>
              <w:ind w:left="318" w:hanging="318"/>
              <w:rPr>
                <w:rFonts w:cs="Arial"/>
                <w:szCs w:val="18"/>
                <w:lang w:val="en-GB"/>
              </w:rPr>
            </w:pPr>
            <w:r w:rsidRPr="003C333E">
              <w:rPr>
                <w:rFonts w:cs="Arial"/>
                <w:szCs w:val="18"/>
                <w:lang w:val="en-GB"/>
              </w:rPr>
              <w:t>At least two ceremonies per week for the School Wreath-laying Program.</w:t>
            </w:r>
          </w:p>
          <w:p w14:paraId="532CE16A" w14:textId="77777777" w:rsidR="003F0EEA" w:rsidRDefault="00FB7D0B" w:rsidP="003F0EEA">
            <w:pPr>
              <w:pStyle w:val="TableTextBullet22"/>
              <w:numPr>
                <w:ilvl w:val="0"/>
                <w:numId w:val="58"/>
              </w:numPr>
              <w:tabs>
                <w:tab w:val="left" w:pos="318"/>
              </w:tabs>
              <w:ind w:left="318" w:hanging="318"/>
              <w:rPr>
                <w:rFonts w:cs="Arial"/>
                <w:sz w:val="20"/>
                <w:lang w:val="en-GB"/>
              </w:rPr>
            </w:pPr>
            <w:r w:rsidRPr="003C333E">
              <w:rPr>
                <w:rFonts w:cs="Arial"/>
                <w:szCs w:val="18"/>
                <w:lang w:val="en-GB"/>
              </w:rPr>
              <w:t>The Last Post ceremony on a daily basis.</w:t>
            </w:r>
            <w:r>
              <w:rPr>
                <w:rFonts w:cs="Arial"/>
                <w:sz w:val="20"/>
                <w:lang w:val="en-GB"/>
              </w:rPr>
              <w:t xml:space="preserve"> </w:t>
            </w:r>
          </w:p>
        </w:tc>
      </w:tr>
      <w:tr w:rsidR="00724034" w14:paraId="678133A0" w14:textId="77777777" w:rsidTr="003F0EEA">
        <w:tc>
          <w:tcPr>
            <w:tcW w:w="8336" w:type="dxa"/>
            <w:tcBorders>
              <w:top w:val="single" w:sz="4" w:space="0" w:color="auto"/>
              <w:left w:val="single" w:sz="4" w:space="0" w:color="auto"/>
              <w:bottom w:val="single" w:sz="4" w:space="0" w:color="auto"/>
              <w:right w:val="single" w:sz="4" w:space="0" w:color="auto"/>
            </w:tcBorders>
          </w:tcPr>
          <w:p w14:paraId="07E03C1A" w14:textId="77777777" w:rsidR="003F0EEA" w:rsidRDefault="00FB7D0B">
            <w:pPr>
              <w:pStyle w:val="TableTextLeft45"/>
              <w:rPr>
                <w:b/>
                <w:sz w:val="20"/>
              </w:rPr>
            </w:pPr>
            <w:r>
              <w:rPr>
                <w:b/>
              </w:rPr>
              <w:br w:type="page"/>
            </w:r>
            <w:r>
              <w:rPr>
                <w:b/>
                <w:sz w:val="20"/>
              </w:rPr>
              <w:t xml:space="preserve">Programme component 1.1 key performance indicators </w:t>
            </w:r>
          </w:p>
          <w:p w14:paraId="406E6E10" w14:textId="77777777" w:rsidR="003F0EEA" w:rsidRPr="003C333E" w:rsidRDefault="00FB7D0B">
            <w:pPr>
              <w:pStyle w:val="TableTextLeft45"/>
              <w:rPr>
                <w:szCs w:val="18"/>
                <w:lang w:val="en-GB"/>
              </w:rPr>
            </w:pPr>
            <w:r w:rsidRPr="003C333E">
              <w:rPr>
                <w:szCs w:val="18"/>
                <w:lang w:val="en-GB"/>
              </w:rPr>
              <w:t>Attendance at and participation in a commemorative ceremony is an explicit act of remembrance. Therefore, the KPI for measuring the effectiveness of this Programme is the total attendance figure at commemorative ceremonies.</w:t>
            </w:r>
          </w:p>
        </w:tc>
      </w:tr>
    </w:tbl>
    <w:p w14:paraId="62A67CD4" w14:textId="77777777" w:rsidR="00724034" w:rsidRDefault="00724034"/>
    <w:p w14:paraId="280FCCF3" w14:textId="77777777" w:rsidR="00724034" w:rsidRDefault="00FB7D0B">
      <w:pPr>
        <w:spacing w:line="14" w:lineRule="exact"/>
      </w:pPr>
      <w:r>
        <w:br w:type="page"/>
      </w:r>
    </w:p>
    <w:tbl>
      <w:tblPr>
        <w:tblW w:w="0" w:type="auto"/>
        <w:tblBorders>
          <w:top w:val="single" w:sz="2" w:space="0" w:color="auto"/>
          <w:left w:val="single" w:sz="2" w:space="0" w:color="auto"/>
          <w:bottom w:val="single" w:sz="2" w:space="0" w:color="auto"/>
          <w:right w:val="single" w:sz="2" w:space="0" w:color="auto"/>
          <w:insideH w:val="single" w:sz="2" w:space="0" w:color="auto"/>
        </w:tblBorders>
        <w:tblLook w:val="01E0" w:firstRow="1" w:lastRow="1" w:firstColumn="1" w:lastColumn="1" w:noHBand="0" w:noVBand="0"/>
      </w:tblPr>
      <w:tblGrid>
        <w:gridCol w:w="8222"/>
      </w:tblGrid>
      <w:tr w:rsidR="00724034" w14:paraId="1AD09614" w14:textId="77777777" w:rsidTr="003F0EEA">
        <w:tc>
          <w:tcPr>
            <w:tcW w:w="8222" w:type="dxa"/>
            <w:tcBorders>
              <w:top w:val="single" w:sz="2" w:space="0" w:color="auto"/>
              <w:left w:val="single" w:sz="2" w:space="0" w:color="auto"/>
              <w:bottom w:val="single" w:sz="2" w:space="0" w:color="auto"/>
              <w:right w:val="single" w:sz="2" w:space="0" w:color="auto"/>
            </w:tcBorders>
            <w:shd w:val="clear" w:color="auto" w:fill="E6E6E6"/>
          </w:tcPr>
          <w:p w14:paraId="01364A64" w14:textId="77777777" w:rsidR="003F0EEA" w:rsidRDefault="00FB7D0B">
            <w:pPr>
              <w:pStyle w:val="TableColumnHeadingLeft10"/>
              <w:rPr>
                <w:rFonts w:cs="Arial"/>
              </w:rPr>
            </w:pPr>
            <w:r>
              <w:rPr>
                <w:rFonts w:cs="Arial"/>
              </w:rPr>
              <w:t>Programme component 1.2: National Memorial and Grounds</w:t>
            </w:r>
          </w:p>
        </w:tc>
      </w:tr>
      <w:tr w:rsidR="00724034" w14:paraId="60AA1C4A" w14:textId="77777777" w:rsidTr="003F0EEA">
        <w:tc>
          <w:tcPr>
            <w:tcW w:w="8222" w:type="dxa"/>
            <w:tcBorders>
              <w:top w:val="single" w:sz="4" w:space="0" w:color="auto"/>
              <w:left w:val="single" w:sz="4" w:space="0" w:color="auto"/>
              <w:bottom w:val="single" w:sz="4" w:space="0" w:color="auto"/>
              <w:right w:val="single" w:sz="4" w:space="0" w:color="auto"/>
            </w:tcBorders>
          </w:tcPr>
          <w:p w14:paraId="4F1A3623" w14:textId="77777777" w:rsidR="003F0EEA" w:rsidRDefault="00FB7D0B">
            <w:pPr>
              <w:pStyle w:val="TableTextLeft46"/>
              <w:rPr>
                <w:b/>
                <w:sz w:val="20"/>
              </w:rPr>
            </w:pPr>
            <w:r>
              <w:rPr>
                <w:b/>
                <w:sz w:val="20"/>
              </w:rPr>
              <w:t>Programme component 1.2 objective</w:t>
            </w:r>
          </w:p>
          <w:p w14:paraId="3B9BBCE3" w14:textId="77777777" w:rsidR="003F0EEA" w:rsidRPr="00B85386" w:rsidRDefault="00FB7D0B">
            <w:pPr>
              <w:pStyle w:val="TableTextLeft46"/>
              <w:rPr>
                <w:snapToGrid w:val="0"/>
                <w:szCs w:val="18"/>
                <w:lang w:eastAsia="en-US"/>
              </w:rPr>
            </w:pPr>
            <w:r w:rsidRPr="00B85386">
              <w:rPr>
                <w:snapToGrid w:val="0"/>
                <w:szCs w:val="18"/>
                <w:lang w:eastAsia="en-US"/>
              </w:rPr>
              <w:t xml:space="preserve">The Memorial building and grounds are conserved and developed as a dignified, moving and impressive national memorial to Australians who served and died at war. </w:t>
            </w:r>
            <w:r w:rsidRPr="00B85386">
              <w:rPr>
                <w:szCs w:val="18"/>
              </w:rPr>
              <w:t>This Programme component assists Australians to remember the Australian experience of war and its enduring impact on Australian society.</w:t>
            </w:r>
          </w:p>
        </w:tc>
      </w:tr>
      <w:tr w:rsidR="00724034" w14:paraId="271642FE" w14:textId="77777777" w:rsidTr="003F0EEA">
        <w:tc>
          <w:tcPr>
            <w:tcW w:w="8222" w:type="dxa"/>
            <w:tcBorders>
              <w:top w:val="single" w:sz="4" w:space="0" w:color="auto"/>
              <w:left w:val="single" w:sz="4" w:space="0" w:color="auto"/>
              <w:bottom w:val="single" w:sz="4" w:space="0" w:color="auto"/>
              <w:right w:val="single" w:sz="4" w:space="0" w:color="auto"/>
            </w:tcBorders>
          </w:tcPr>
          <w:p w14:paraId="790C3C30" w14:textId="77777777" w:rsidR="003F0EEA" w:rsidRDefault="00FB7D0B">
            <w:pPr>
              <w:pStyle w:val="TableTextLeft46"/>
              <w:rPr>
                <w:b/>
                <w:sz w:val="20"/>
              </w:rPr>
            </w:pPr>
            <w:r>
              <w:rPr>
                <w:b/>
                <w:sz w:val="20"/>
              </w:rPr>
              <w:t xml:space="preserve">Programme component 1.2 deliverables </w:t>
            </w:r>
          </w:p>
          <w:p w14:paraId="656E008F" w14:textId="77777777" w:rsidR="003F0EEA" w:rsidRPr="00B85386" w:rsidRDefault="00FB7D0B">
            <w:pPr>
              <w:pStyle w:val="TableTextLeft46"/>
              <w:rPr>
                <w:szCs w:val="18"/>
                <w:lang w:val="en-GB"/>
              </w:rPr>
            </w:pPr>
            <w:r w:rsidRPr="00B85386">
              <w:rPr>
                <w:szCs w:val="18"/>
                <w:lang w:val="en-GB"/>
              </w:rPr>
              <w:t>The Australian War Memorial will deliver:</w:t>
            </w:r>
          </w:p>
          <w:p w14:paraId="4818695B" w14:textId="77777777" w:rsidR="003F0EEA" w:rsidRPr="00B85386" w:rsidRDefault="00FB7D0B" w:rsidP="003F0EEA">
            <w:pPr>
              <w:pStyle w:val="TableTextBullet23"/>
              <w:numPr>
                <w:ilvl w:val="0"/>
                <w:numId w:val="60"/>
              </w:numPr>
              <w:rPr>
                <w:rFonts w:cs="Arial"/>
                <w:szCs w:val="18"/>
                <w:lang w:val="en-GB"/>
              </w:rPr>
            </w:pPr>
            <w:r w:rsidRPr="00B85386">
              <w:rPr>
                <w:rFonts w:cs="Arial"/>
                <w:szCs w:val="18"/>
                <w:lang w:val="en-GB"/>
              </w:rPr>
              <w:t>The Memorial heritage building, commemorative area and surrounding grounds maintained and presented to the highest standards</w:t>
            </w:r>
          </w:p>
          <w:p w14:paraId="6B8EA81D" w14:textId="77777777" w:rsidR="003F0EEA" w:rsidRPr="00B85386" w:rsidRDefault="00FB7D0B" w:rsidP="003F0EEA">
            <w:pPr>
              <w:pStyle w:val="TableTextBullet23"/>
              <w:numPr>
                <w:ilvl w:val="0"/>
                <w:numId w:val="60"/>
              </w:numPr>
              <w:rPr>
                <w:rFonts w:cs="Arial"/>
                <w:szCs w:val="18"/>
                <w:lang w:val="en-GB"/>
              </w:rPr>
            </w:pPr>
            <w:r w:rsidRPr="00B85386">
              <w:rPr>
                <w:rFonts w:cs="Arial"/>
                <w:szCs w:val="18"/>
                <w:lang w:val="en-GB"/>
              </w:rPr>
              <w:t>Access to the Memorial and visitor facilities of the highest standard</w:t>
            </w:r>
          </w:p>
          <w:p w14:paraId="5AD45B7E" w14:textId="77777777" w:rsidR="003F0EEA" w:rsidRPr="00B85386" w:rsidRDefault="00FB7D0B" w:rsidP="003F0EEA">
            <w:pPr>
              <w:pStyle w:val="TableTextBullet23"/>
              <w:numPr>
                <w:ilvl w:val="0"/>
                <w:numId w:val="60"/>
              </w:numPr>
              <w:rPr>
                <w:rFonts w:cs="Arial"/>
                <w:szCs w:val="18"/>
                <w:lang w:val="en-GB"/>
              </w:rPr>
            </w:pPr>
            <w:r w:rsidRPr="00B85386">
              <w:rPr>
                <w:rFonts w:cs="Arial"/>
                <w:szCs w:val="18"/>
                <w:lang w:val="en-GB"/>
              </w:rPr>
              <w:t>Building works that comply with relevant standards, codes and regulations</w:t>
            </w:r>
          </w:p>
          <w:p w14:paraId="1FC6CD76" w14:textId="77777777" w:rsidR="003F0EEA" w:rsidRPr="00B85386" w:rsidRDefault="00FB7D0B" w:rsidP="003F0EEA">
            <w:pPr>
              <w:pStyle w:val="TableTextBullet23"/>
              <w:numPr>
                <w:ilvl w:val="0"/>
                <w:numId w:val="60"/>
              </w:numPr>
              <w:rPr>
                <w:rFonts w:cs="Arial"/>
                <w:szCs w:val="18"/>
                <w:lang w:val="en-GB"/>
              </w:rPr>
            </w:pPr>
            <w:r w:rsidRPr="00B85386">
              <w:rPr>
                <w:rFonts w:cs="Arial"/>
                <w:szCs w:val="18"/>
                <w:lang w:val="en-GB"/>
              </w:rPr>
              <w:t>Management and conservation of heritage elements using the Australia ICOMOS Burra Charter</w:t>
            </w:r>
          </w:p>
          <w:p w14:paraId="28C4F5CB" w14:textId="77777777" w:rsidR="003F0EEA" w:rsidRDefault="00FB7D0B" w:rsidP="003F0EEA">
            <w:pPr>
              <w:pStyle w:val="TableTextBullet23"/>
              <w:numPr>
                <w:ilvl w:val="0"/>
                <w:numId w:val="60"/>
              </w:numPr>
              <w:rPr>
                <w:rFonts w:cs="Arial"/>
                <w:sz w:val="20"/>
                <w:lang w:val="en-GB"/>
              </w:rPr>
            </w:pPr>
            <w:r w:rsidRPr="00B85386">
              <w:rPr>
                <w:rFonts w:cs="Arial"/>
                <w:szCs w:val="18"/>
                <w:lang w:val="en-GB"/>
              </w:rPr>
              <w:t>Timely completion of works to minimise impact on visitors.</w:t>
            </w:r>
          </w:p>
        </w:tc>
      </w:tr>
      <w:tr w:rsidR="00724034" w14:paraId="1814C2CD" w14:textId="77777777" w:rsidTr="003F0EEA">
        <w:tc>
          <w:tcPr>
            <w:tcW w:w="8222" w:type="dxa"/>
            <w:tcBorders>
              <w:top w:val="single" w:sz="4" w:space="0" w:color="auto"/>
              <w:left w:val="single" w:sz="4" w:space="0" w:color="auto"/>
              <w:bottom w:val="single" w:sz="4" w:space="0" w:color="auto"/>
              <w:right w:val="single" w:sz="4" w:space="0" w:color="auto"/>
            </w:tcBorders>
          </w:tcPr>
          <w:p w14:paraId="1C14C060" w14:textId="77777777" w:rsidR="003F0EEA" w:rsidRDefault="00FB7D0B">
            <w:pPr>
              <w:pStyle w:val="TableTextLeft46"/>
              <w:rPr>
                <w:b/>
                <w:sz w:val="20"/>
              </w:rPr>
            </w:pPr>
            <w:r>
              <w:rPr>
                <w:b/>
              </w:rPr>
              <w:br w:type="page"/>
            </w:r>
            <w:r>
              <w:rPr>
                <w:b/>
                <w:sz w:val="20"/>
              </w:rPr>
              <w:t xml:space="preserve">Programme component 1.2 key performance indicators </w:t>
            </w:r>
          </w:p>
          <w:p w14:paraId="6324DBE5" w14:textId="77777777" w:rsidR="003F0EEA" w:rsidRPr="00B85386" w:rsidRDefault="00FB7D0B">
            <w:pPr>
              <w:pStyle w:val="TableTextLeft46"/>
              <w:rPr>
                <w:szCs w:val="18"/>
                <w:lang w:val="en-GB"/>
              </w:rPr>
            </w:pPr>
            <w:r w:rsidRPr="00B85386">
              <w:rPr>
                <w:szCs w:val="18"/>
                <w:lang w:val="en-GB"/>
              </w:rPr>
              <w:t xml:space="preserve">Attending the National Memorial is an explicit act of remembrance. Therefore, the KPI for this Programme component is the total attendance figure at the Australian War Memorial in Canberra. </w:t>
            </w:r>
          </w:p>
        </w:tc>
      </w:tr>
    </w:tbl>
    <w:p w14:paraId="6F81E772" w14:textId="77777777" w:rsidR="003F0EEA" w:rsidRDefault="00FB7D0B">
      <w:pPr>
        <w:rPr>
          <w:rFonts w:ascii="Arial" w:eastAsia="Times New Roman" w:hAnsi="Arial" w:cs="Arial"/>
        </w:rPr>
      </w:pPr>
      <w:r>
        <w:rPr>
          <w:rFonts w:ascii="Arial" w:eastAsia="Times New Roman" w:hAnsi="Arial" w:cs="Arial"/>
        </w:rPr>
        <w:br w:type="page"/>
      </w:r>
    </w:p>
    <w:tbl>
      <w:tblPr>
        <w:tblW w:w="0" w:type="auto"/>
        <w:tblBorders>
          <w:top w:val="single" w:sz="2" w:space="0" w:color="auto"/>
          <w:left w:val="single" w:sz="2" w:space="0" w:color="auto"/>
          <w:bottom w:val="single" w:sz="2" w:space="0" w:color="auto"/>
          <w:right w:val="single" w:sz="2" w:space="0" w:color="auto"/>
          <w:insideH w:val="single" w:sz="2" w:space="0" w:color="auto"/>
        </w:tblBorders>
        <w:tblLook w:val="01E0" w:firstRow="1" w:lastRow="1" w:firstColumn="1" w:lastColumn="1" w:noHBand="0" w:noVBand="0"/>
      </w:tblPr>
      <w:tblGrid>
        <w:gridCol w:w="8222"/>
      </w:tblGrid>
      <w:tr w:rsidR="00724034" w14:paraId="3663C5A1" w14:textId="77777777" w:rsidTr="003F0EEA">
        <w:tc>
          <w:tcPr>
            <w:tcW w:w="8222" w:type="dxa"/>
            <w:tcBorders>
              <w:top w:val="single" w:sz="2" w:space="0" w:color="auto"/>
              <w:left w:val="single" w:sz="2" w:space="0" w:color="auto"/>
              <w:bottom w:val="single" w:sz="2" w:space="0" w:color="auto"/>
              <w:right w:val="single" w:sz="2" w:space="0" w:color="auto"/>
            </w:tcBorders>
            <w:shd w:val="clear" w:color="auto" w:fill="E6E6E6"/>
          </w:tcPr>
          <w:p w14:paraId="6598EA5C" w14:textId="77777777" w:rsidR="003F0EEA" w:rsidRDefault="00FB7D0B">
            <w:pPr>
              <w:pStyle w:val="TableColumnHeadingLeft11"/>
              <w:rPr>
                <w:rFonts w:cs="Arial"/>
              </w:rPr>
            </w:pPr>
            <w:r>
              <w:rPr>
                <w:rFonts w:cs="Arial"/>
              </w:rPr>
              <w:t>Programme component 1.3: National Collection</w:t>
            </w:r>
          </w:p>
        </w:tc>
      </w:tr>
      <w:tr w:rsidR="00724034" w14:paraId="2A3C2581" w14:textId="77777777" w:rsidTr="003F0EEA">
        <w:tc>
          <w:tcPr>
            <w:tcW w:w="8222" w:type="dxa"/>
            <w:tcBorders>
              <w:top w:val="single" w:sz="4" w:space="0" w:color="auto"/>
              <w:left w:val="single" w:sz="4" w:space="0" w:color="auto"/>
              <w:bottom w:val="single" w:sz="4" w:space="0" w:color="auto"/>
              <w:right w:val="single" w:sz="4" w:space="0" w:color="auto"/>
            </w:tcBorders>
          </w:tcPr>
          <w:p w14:paraId="2CA19525" w14:textId="77777777" w:rsidR="003F0EEA" w:rsidRPr="00B71BD9" w:rsidRDefault="00FB7D0B">
            <w:pPr>
              <w:pStyle w:val="TableTextLeft47"/>
              <w:rPr>
                <w:b/>
                <w:szCs w:val="18"/>
              </w:rPr>
            </w:pPr>
            <w:r w:rsidRPr="00B71BD9">
              <w:rPr>
                <w:b/>
                <w:szCs w:val="18"/>
              </w:rPr>
              <w:t>Programme component 1.3 objective</w:t>
            </w:r>
          </w:p>
          <w:p w14:paraId="4DE3763F" w14:textId="77777777" w:rsidR="003F0EEA" w:rsidRPr="00B71BD9" w:rsidRDefault="00FB7D0B">
            <w:pPr>
              <w:pStyle w:val="TableTextLeft47"/>
              <w:rPr>
                <w:snapToGrid w:val="0"/>
                <w:szCs w:val="18"/>
                <w:lang w:eastAsia="en-US"/>
              </w:rPr>
            </w:pPr>
            <w:r w:rsidRPr="00B71BD9">
              <w:rPr>
                <w:snapToGrid w:val="0"/>
                <w:szCs w:val="18"/>
                <w:lang w:eastAsia="en-US"/>
              </w:rPr>
              <w:t>An outstanding national collection of historical material with provenance that is related to Australia’s military history, and which is developed, managed, preserved and interpreted to make it accessible. This Programme component assists Australians to remember, interpret and understand the Australian experience of war and its enduring impact on Australian society</w:t>
            </w:r>
            <w:r w:rsidRPr="00B71BD9">
              <w:rPr>
                <w:szCs w:val="18"/>
              </w:rPr>
              <w:t>.</w:t>
            </w:r>
          </w:p>
        </w:tc>
      </w:tr>
      <w:tr w:rsidR="00724034" w14:paraId="171037AF" w14:textId="77777777" w:rsidTr="003F0EEA">
        <w:tc>
          <w:tcPr>
            <w:tcW w:w="8222" w:type="dxa"/>
            <w:tcBorders>
              <w:top w:val="single" w:sz="4" w:space="0" w:color="auto"/>
              <w:left w:val="single" w:sz="4" w:space="0" w:color="auto"/>
              <w:bottom w:val="single" w:sz="4" w:space="0" w:color="auto"/>
              <w:right w:val="single" w:sz="4" w:space="0" w:color="auto"/>
            </w:tcBorders>
          </w:tcPr>
          <w:p w14:paraId="60779ECD" w14:textId="77777777" w:rsidR="003F0EEA" w:rsidRPr="00B71BD9" w:rsidRDefault="00FB7D0B">
            <w:pPr>
              <w:pStyle w:val="TableTextLeft47"/>
              <w:rPr>
                <w:b/>
                <w:szCs w:val="18"/>
              </w:rPr>
            </w:pPr>
            <w:r w:rsidRPr="00B71BD9">
              <w:rPr>
                <w:b/>
                <w:szCs w:val="18"/>
              </w:rPr>
              <w:t xml:space="preserve">Programme component 1.3 deliverables </w:t>
            </w:r>
          </w:p>
          <w:p w14:paraId="68140F9D" w14:textId="77777777" w:rsidR="003F0EEA" w:rsidRPr="00B71BD9" w:rsidRDefault="00FB7D0B">
            <w:pPr>
              <w:pStyle w:val="TableTextLeft47"/>
              <w:rPr>
                <w:szCs w:val="18"/>
                <w:lang w:val="en-GB"/>
              </w:rPr>
            </w:pPr>
            <w:r w:rsidRPr="00B71BD9">
              <w:rPr>
                <w:szCs w:val="18"/>
                <w:lang w:val="en-GB"/>
              </w:rPr>
              <w:t>The Australian War Memorial will deliver:</w:t>
            </w:r>
          </w:p>
          <w:p w14:paraId="64A7DE83" w14:textId="77777777" w:rsidR="003F0EEA" w:rsidRPr="00B71BD9" w:rsidRDefault="00FB7D0B" w:rsidP="003F0EEA">
            <w:pPr>
              <w:pStyle w:val="TableTextBullet24"/>
              <w:numPr>
                <w:ilvl w:val="0"/>
                <w:numId w:val="62"/>
              </w:numPr>
              <w:rPr>
                <w:rFonts w:cs="Arial"/>
                <w:szCs w:val="18"/>
                <w:lang w:val="en-GB"/>
              </w:rPr>
            </w:pPr>
            <w:r w:rsidRPr="00B71BD9">
              <w:rPr>
                <w:rFonts w:cs="Arial"/>
                <w:snapToGrid w:val="0"/>
                <w:szCs w:val="18"/>
                <w:lang w:eastAsia="en-US"/>
              </w:rPr>
              <w:t>An outstanding national collection of historical material with provenance that is related to Australia’s military history</w:t>
            </w:r>
            <w:r w:rsidRPr="00B71BD9">
              <w:rPr>
                <w:rFonts w:cs="Arial"/>
                <w:szCs w:val="18"/>
                <w:lang w:val="en-GB"/>
              </w:rPr>
              <w:t>.</w:t>
            </w:r>
          </w:p>
        </w:tc>
      </w:tr>
      <w:tr w:rsidR="00724034" w14:paraId="4069348F" w14:textId="77777777" w:rsidTr="003F0EEA">
        <w:tc>
          <w:tcPr>
            <w:tcW w:w="8222" w:type="dxa"/>
            <w:tcBorders>
              <w:top w:val="single" w:sz="4" w:space="0" w:color="auto"/>
              <w:left w:val="single" w:sz="4" w:space="0" w:color="auto"/>
              <w:bottom w:val="single" w:sz="4" w:space="0" w:color="auto"/>
              <w:right w:val="single" w:sz="4" w:space="0" w:color="auto"/>
            </w:tcBorders>
          </w:tcPr>
          <w:p w14:paraId="64350439" w14:textId="77777777" w:rsidR="003F0EEA" w:rsidRPr="00B71BD9" w:rsidRDefault="00FB7D0B">
            <w:pPr>
              <w:pStyle w:val="TableTextLeft47"/>
              <w:rPr>
                <w:b/>
                <w:szCs w:val="18"/>
              </w:rPr>
            </w:pPr>
            <w:r w:rsidRPr="00B71BD9">
              <w:rPr>
                <w:b/>
                <w:szCs w:val="18"/>
              </w:rPr>
              <w:br w:type="page"/>
              <w:t xml:space="preserve">Programme component 1.3 key performance indicators </w:t>
            </w:r>
          </w:p>
          <w:p w14:paraId="60EFDBC4" w14:textId="77777777" w:rsidR="003F0EEA" w:rsidRPr="00B71BD9" w:rsidRDefault="00FB7D0B">
            <w:pPr>
              <w:pStyle w:val="TableTextLeft47"/>
              <w:rPr>
                <w:szCs w:val="18"/>
                <w:lang w:val="en-GB"/>
              </w:rPr>
            </w:pPr>
            <w:r w:rsidRPr="00B71BD9">
              <w:rPr>
                <w:szCs w:val="18"/>
                <w:lang w:val="en-GB"/>
              </w:rPr>
              <w:t xml:space="preserve">The existence of an </w:t>
            </w:r>
            <w:r w:rsidRPr="00B71BD9">
              <w:rPr>
                <w:szCs w:val="18"/>
              </w:rPr>
              <w:t>outstanding</w:t>
            </w:r>
            <w:r w:rsidRPr="00B71BD9">
              <w:rPr>
                <w:szCs w:val="18"/>
                <w:lang w:val="en-GB"/>
              </w:rPr>
              <w:t xml:space="preserve"> national collection provides the necessary foundation for other Programme components to be able to occur (namely Programme components 1.2, 1.4 and 1.7). </w:t>
            </w:r>
            <w:r w:rsidRPr="00B71BD9">
              <w:rPr>
                <w:szCs w:val="18"/>
              </w:rPr>
              <w:t>The KPIs for the effectiveness of this Programme component are:</w:t>
            </w:r>
          </w:p>
          <w:p w14:paraId="6CCEDEF8" w14:textId="77777777" w:rsidR="003F0EEA" w:rsidRPr="00B71BD9" w:rsidRDefault="00FB7D0B" w:rsidP="003F0EEA">
            <w:pPr>
              <w:pStyle w:val="TableTextBullet24"/>
              <w:numPr>
                <w:ilvl w:val="0"/>
                <w:numId w:val="63"/>
              </w:numPr>
              <w:rPr>
                <w:rFonts w:cs="Arial"/>
                <w:szCs w:val="18"/>
                <w:lang w:val="en-GB"/>
              </w:rPr>
            </w:pPr>
            <w:r w:rsidRPr="00B71BD9">
              <w:rPr>
                <w:rFonts w:cs="Arial"/>
                <w:szCs w:val="18"/>
                <w:lang w:val="en-GB"/>
              </w:rPr>
              <w:t>The number of new items acquired, in accordance with the Collection Development Plan</w:t>
            </w:r>
          </w:p>
          <w:p w14:paraId="574CB818" w14:textId="77777777" w:rsidR="003F0EEA" w:rsidRPr="00B71BD9" w:rsidRDefault="00FB7D0B" w:rsidP="003F0EEA">
            <w:pPr>
              <w:pStyle w:val="TableTextBullet24"/>
              <w:numPr>
                <w:ilvl w:val="0"/>
                <w:numId w:val="63"/>
              </w:numPr>
              <w:rPr>
                <w:rFonts w:cs="Arial"/>
                <w:szCs w:val="18"/>
                <w:lang w:val="en-GB"/>
              </w:rPr>
            </w:pPr>
            <w:r w:rsidRPr="00B71BD9">
              <w:rPr>
                <w:rFonts w:cs="Arial"/>
                <w:szCs w:val="18"/>
                <w:lang w:val="en-GB"/>
              </w:rPr>
              <w:t>The number of items disposed of, in accordance with the Collection Development Plan</w:t>
            </w:r>
          </w:p>
          <w:p w14:paraId="353F4F0E" w14:textId="77777777" w:rsidR="003F0EEA" w:rsidRPr="00B71BD9" w:rsidRDefault="00FB7D0B" w:rsidP="003F0EEA">
            <w:pPr>
              <w:pStyle w:val="TableTextBullet24"/>
              <w:numPr>
                <w:ilvl w:val="0"/>
                <w:numId w:val="63"/>
              </w:numPr>
              <w:rPr>
                <w:rFonts w:cs="Arial"/>
                <w:szCs w:val="18"/>
                <w:lang w:val="en-GB"/>
              </w:rPr>
            </w:pPr>
            <w:r w:rsidRPr="00B71BD9">
              <w:rPr>
                <w:rFonts w:cs="Arial"/>
                <w:szCs w:val="18"/>
                <w:lang w:val="en-GB"/>
              </w:rPr>
              <w:t>The number of collection items for which documentation has been enhanced or corrected</w:t>
            </w:r>
          </w:p>
          <w:p w14:paraId="58C899DC" w14:textId="77777777" w:rsidR="003F0EEA" w:rsidRPr="00B71BD9" w:rsidRDefault="00FB7D0B" w:rsidP="003F0EEA">
            <w:pPr>
              <w:pStyle w:val="TableTextBullet24"/>
              <w:numPr>
                <w:ilvl w:val="0"/>
                <w:numId w:val="63"/>
              </w:numPr>
              <w:rPr>
                <w:rFonts w:cs="Arial"/>
                <w:szCs w:val="18"/>
                <w:lang w:val="en-GB"/>
              </w:rPr>
            </w:pPr>
            <w:r w:rsidRPr="00B71BD9">
              <w:rPr>
                <w:rFonts w:cs="Arial"/>
                <w:szCs w:val="18"/>
                <w:lang w:val="en-GB"/>
              </w:rPr>
              <w:t>At least 80% of the collection in storage meets conservation standards for environmental conditions</w:t>
            </w:r>
          </w:p>
          <w:p w14:paraId="22C37B98" w14:textId="77777777" w:rsidR="003F0EEA" w:rsidRPr="00B71BD9" w:rsidRDefault="00FB7D0B" w:rsidP="003F0EEA">
            <w:pPr>
              <w:pStyle w:val="TableTextBullet24"/>
              <w:numPr>
                <w:ilvl w:val="0"/>
                <w:numId w:val="63"/>
              </w:numPr>
              <w:rPr>
                <w:rFonts w:cs="Arial"/>
                <w:szCs w:val="18"/>
                <w:lang w:val="en-GB"/>
              </w:rPr>
            </w:pPr>
            <w:r w:rsidRPr="00B71BD9">
              <w:rPr>
                <w:rFonts w:cs="Arial"/>
                <w:szCs w:val="18"/>
                <w:lang w:val="en-GB"/>
              </w:rPr>
              <w:t>Number of collection items that can be accessed via the Memorial’s website.</w:t>
            </w:r>
          </w:p>
        </w:tc>
      </w:tr>
    </w:tbl>
    <w:p w14:paraId="1F123096" w14:textId="77777777" w:rsidR="00724034" w:rsidRDefault="00FB7D0B">
      <w:r>
        <w:br w:type="page"/>
      </w:r>
    </w:p>
    <w:tbl>
      <w:tblPr>
        <w:tblW w:w="0" w:type="auto"/>
        <w:tblBorders>
          <w:top w:val="single" w:sz="2" w:space="0" w:color="auto"/>
          <w:left w:val="single" w:sz="2" w:space="0" w:color="auto"/>
          <w:bottom w:val="single" w:sz="2" w:space="0" w:color="auto"/>
          <w:right w:val="single" w:sz="2" w:space="0" w:color="auto"/>
          <w:insideH w:val="single" w:sz="2" w:space="0" w:color="auto"/>
        </w:tblBorders>
        <w:tblLook w:val="01E0" w:firstRow="1" w:lastRow="1" w:firstColumn="1" w:lastColumn="1" w:noHBand="0" w:noVBand="0"/>
      </w:tblPr>
      <w:tblGrid>
        <w:gridCol w:w="8324"/>
      </w:tblGrid>
      <w:tr w:rsidR="00724034" w14:paraId="54BD897A" w14:textId="77777777" w:rsidTr="003F0EEA">
        <w:tc>
          <w:tcPr>
            <w:tcW w:w="8336" w:type="dxa"/>
            <w:tcBorders>
              <w:top w:val="single" w:sz="2" w:space="0" w:color="auto"/>
              <w:left w:val="single" w:sz="2" w:space="0" w:color="auto"/>
              <w:bottom w:val="single" w:sz="2" w:space="0" w:color="auto"/>
              <w:right w:val="single" w:sz="2" w:space="0" w:color="auto"/>
            </w:tcBorders>
            <w:shd w:val="clear" w:color="auto" w:fill="E6E6E6"/>
          </w:tcPr>
          <w:p w14:paraId="17DEADC8" w14:textId="77777777" w:rsidR="003F0EEA" w:rsidRDefault="00FB7D0B">
            <w:pPr>
              <w:pStyle w:val="TableColumnHeadingLeft12"/>
              <w:rPr>
                <w:rFonts w:cs="Arial"/>
              </w:rPr>
            </w:pPr>
            <w:r>
              <w:rPr>
                <w:rFonts w:cs="Arial"/>
              </w:rPr>
              <w:t>Programme Component 1.4: Exhibitions</w:t>
            </w:r>
          </w:p>
        </w:tc>
      </w:tr>
      <w:tr w:rsidR="00724034" w14:paraId="20339107" w14:textId="77777777" w:rsidTr="003F0EEA">
        <w:tc>
          <w:tcPr>
            <w:tcW w:w="8336" w:type="dxa"/>
            <w:tcBorders>
              <w:top w:val="single" w:sz="4" w:space="0" w:color="auto"/>
              <w:left w:val="single" w:sz="4" w:space="0" w:color="auto"/>
              <w:bottom w:val="single" w:sz="4" w:space="0" w:color="auto"/>
              <w:right w:val="single" w:sz="4" w:space="0" w:color="auto"/>
            </w:tcBorders>
          </w:tcPr>
          <w:p w14:paraId="064FF387" w14:textId="77777777" w:rsidR="003F0EEA" w:rsidRPr="00252C90" w:rsidRDefault="00FB7D0B">
            <w:pPr>
              <w:pStyle w:val="TableTextLeft48"/>
              <w:rPr>
                <w:b/>
                <w:szCs w:val="18"/>
              </w:rPr>
            </w:pPr>
            <w:r w:rsidRPr="00252C90">
              <w:rPr>
                <w:b/>
                <w:szCs w:val="18"/>
              </w:rPr>
              <w:t>Programme component 1.4 objective</w:t>
            </w:r>
          </w:p>
          <w:p w14:paraId="443E2C3A" w14:textId="77777777" w:rsidR="003F0EEA" w:rsidRPr="00252C90" w:rsidRDefault="00FB7D0B">
            <w:pPr>
              <w:pStyle w:val="TableTextLeft48"/>
              <w:rPr>
                <w:snapToGrid w:val="0"/>
                <w:szCs w:val="18"/>
                <w:lang w:eastAsia="en-US"/>
              </w:rPr>
            </w:pPr>
            <w:r w:rsidRPr="00252C90">
              <w:rPr>
                <w:snapToGrid w:val="0"/>
                <w:szCs w:val="18"/>
                <w:lang w:eastAsia="en-US"/>
              </w:rPr>
              <w:t>Development and maintenance of outstanding permanent, temporary and travelling exhibitions. This Programme component assists Australians to understand the Australian experience of war and its enduring impact on Australian society.</w:t>
            </w:r>
          </w:p>
        </w:tc>
      </w:tr>
      <w:tr w:rsidR="00724034" w14:paraId="5976D9DA" w14:textId="77777777" w:rsidTr="003F0EEA">
        <w:tc>
          <w:tcPr>
            <w:tcW w:w="8336" w:type="dxa"/>
            <w:tcBorders>
              <w:top w:val="single" w:sz="4" w:space="0" w:color="auto"/>
              <w:left w:val="single" w:sz="4" w:space="0" w:color="auto"/>
              <w:bottom w:val="single" w:sz="4" w:space="0" w:color="auto"/>
              <w:right w:val="single" w:sz="4" w:space="0" w:color="auto"/>
            </w:tcBorders>
          </w:tcPr>
          <w:p w14:paraId="754F78DB" w14:textId="77777777" w:rsidR="003F0EEA" w:rsidRPr="00252C90" w:rsidRDefault="00FB7D0B">
            <w:pPr>
              <w:pStyle w:val="TableTextLeft48"/>
              <w:rPr>
                <w:b/>
                <w:szCs w:val="18"/>
              </w:rPr>
            </w:pPr>
            <w:r w:rsidRPr="00252C90">
              <w:rPr>
                <w:b/>
                <w:szCs w:val="18"/>
              </w:rPr>
              <w:t xml:space="preserve">Programme component 1.4 deliverables </w:t>
            </w:r>
          </w:p>
          <w:p w14:paraId="04DC560F" w14:textId="77777777" w:rsidR="003F0EEA" w:rsidRPr="00252C90" w:rsidRDefault="00FB7D0B">
            <w:pPr>
              <w:pStyle w:val="TableTextLeft48"/>
              <w:rPr>
                <w:szCs w:val="18"/>
                <w:lang w:val="en-GB"/>
              </w:rPr>
            </w:pPr>
            <w:r w:rsidRPr="00252C90">
              <w:rPr>
                <w:szCs w:val="18"/>
                <w:lang w:val="en-GB"/>
              </w:rPr>
              <w:t>The Australian War Memorial will deliver:</w:t>
            </w:r>
          </w:p>
          <w:p w14:paraId="13DE3187" w14:textId="77777777" w:rsidR="003F0EEA" w:rsidRPr="00252C90" w:rsidRDefault="00FB7D0B" w:rsidP="003F0EEA">
            <w:pPr>
              <w:pStyle w:val="TableTextBullet25"/>
              <w:numPr>
                <w:ilvl w:val="0"/>
                <w:numId w:val="65"/>
              </w:numPr>
              <w:rPr>
                <w:rFonts w:cs="Arial"/>
                <w:szCs w:val="18"/>
                <w:lang w:val="en-GB"/>
              </w:rPr>
            </w:pPr>
            <w:r w:rsidRPr="00252C90">
              <w:rPr>
                <w:rFonts w:cs="Arial"/>
                <w:szCs w:val="18"/>
                <w:lang w:val="en-GB"/>
              </w:rPr>
              <w:t>Permanent exhibitions developed and maintained to the highest standards</w:t>
            </w:r>
          </w:p>
          <w:p w14:paraId="4E1EC4BC" w14:textId="77777777" w:rsidR="003F0EEA" w:rsidRPr="00252C90" w:rsidRDefault="00FB7D0B" w:rsidP="003F0EEA">
            <w:pPr>
              <w:pStyle w:val="TableTextBullet25"/>
              <w:numPr>
                <w:ilvl w:val="0"/>
                <w:numId w:val="65"/>
              </w:numPr>
              <w:rPr>
                <w:rFonts w:cs="Arial"/>
                <w:szCs w:val="18"/>
                <w:lang w:val="en-GB"/>
              </w:rPr>
            </w:pPr>
            <w:r w:rsidRPr="00252C90">
              <w:rPr>
                <w:rFonts w:cs="Arial"/>
                <w:szCs w:val="18"/>
                <w:lang w:val="en-GB"/>
              </w:rPr>
              <w:t xml:space="preserve">Travelling exhibitions exhibited at different venues across Australia </w:t>
            </w:r>
            <w:r w:rsidRPr="00252C90">
              <w:rPr>
                <w:rFonts w:cs="Arial"/>
                <w:color w:val="993366"/>
                <w:szCs w:val="18"/>
                <w:lang w:val="en-GB"/>
              </w:rPr>
              <w:t xml:space="preserve"> </w:t>
            </w:r>
          </w:p>
          <w:p w14:paraId="0D6E3F16" w14:textId="77777777" w:rsidR="003F0EEA" w:rsidRPr="00252C90" w:rsidRDefault="00FB7D0B" w:rsidP="003F0EEA">
            <w:pPr>
              <w:pStyle w:val="TableTextBullet25"/>
              <w:numPr>
                <w:ilvl w:val="0"/>
                <w:numId w:val="65"/>
              </w:numPr>
              <w:rPr>
                <w:rFonts w:cs="Arial"/>
                <w:szCs w:val="18"/>
                <w:lang w:val="en-GB"/>
              </w:rPr>
            </w:pPr>
            <w:r w:rsidRPr="00252C90">
              <w:rPr>
                <w:rFonts w:cs="Arial"/>
                <w:szCs w:val="18"/>
                <w:lang w:val="en-GB"/>
              </w:rPr>
              <w:t>A minimum of two exhibitions displayed per year in the Special Exhibitions Gallery.</w:t>
            </w:r>
          </w:p>
        </w:tc>
      </w:tr>
      <w:tr w:rsidR="00724034" w14:paraId="7E765433" w14:textId="77777777" w:rsidTr="003F0EEA">
        <w:tc>
          <w:tcPr>
            <w:tcW w:w="8336" w:type="dxa"/>
            <w:tcBorders>
              <w:top w:val="single" w:sz="4" w:space="0" w:color="auto"/>
              <w:left w:val="single" w:sz="4" w:space="0" w:color="auto"/>
              <w:bottom w:val="single" w:sz="4" w:space="0" w:color="auto"/>
              <w:right w:val="single" w:sz="4" w:space="0" w:color="auto"/>
            </w:tcBorders>
          </w:tcPr>
          <w:p w14:paraId="3F905623" w14:textId="77777777" w:rsidR="003F0EEA" w:rsidRPr="00252C90" w:rsidRDefault="00FB7D0B">
            <w:pPr>
              <w:pStyle w:val="TableTextLeft48"/>
              <w:rPr>
                <w:b/>
                <w:szCs w:val="18"/>
              </w:rPr>
            </w:pPr>
            <w:r w:rsidRPr="00252C90">
              <w:rPr>
                <w:szCs w:val="18"/>
              </w:rPr>
              <w:br w:type="page"/>
            </w:r>
            <w:r w:rsidRPr="00252C90">
              <w:rPr>
                <w:b/>
                <w:szCs w:val="18"/>
              </w:rPr>
              <w:br w:type="page"/>
              <w:t xml:space="preserve">Programme component 1.4 key performance indicators </w:t>
            </w:r>
          </w:p>
          <w:p w14:paraId="1F4563AB" w14:textId="77777777" w:rsidR="003F0EEA" w:rsidRPr="00252C90" w:rsidRDefault="00FB7D0B">
            <w:pPr>
              <w:pStyle w:val="TableTextLeft48"/>
              <w:rPr>
                <w:szCs w:val="18"/>
              </w:rPr>
            </w:pPr>
            <w:r w:rsidRPr="00252C90">
              <w:rPr>
                <w:szCs w:val="18"/>
                <w:lang w:val="en-GB"/>
              </w:rPr>
              <w:t xml:space="preserve">Attending a Memorial exhibition is a deliberate act to find out more </w:t>
            </w:r>
            <w:r w:rsidRPr="00252C90">
              <w:rPr>
                <w:szCs w:val="18"/>
              </w:rPr>
              <w:t>about the Australian experience of war. The KPIs for this Programme component are:</w:t>
            </w:r>
          </w:p>
          <w:p w14:paraId="440D60A0" w14:textId="77777777" w:rsidR="003F0EEA" w:rsidRPr="00252C90" w:rsidRDefault="00FB7D0B" w:rsidP="003F0EEA">
            <w:pPr>
              <w:pStyle w:val="TableTextBullet25"/>
              <w:numPr>
                <w:ilvl w:val="0"/>
                <w:numId w:val="66"/>
              </w:numPr>
              <w:rPr>
                <w:rFonts w:cs="Arial"/>
                <w:szCs w:val="18"/>
                <w:lang w:val="en-GB"/>
              </w:rPr>
            </w:pPr>
            <w:r w:rsidRPr="00252C90">
              <w:rPr>
                <w:rFonts w:cs="Arial"/>
                <w:szCs w:val="18"/>
                <w:lang w:val="en-GB"/>
              </w:rPr>
              <w:t>The total attendance figure at Memorial exhibitions and travelling exhibitions</w:t>
            </w:r>
          </w:p>
          <w:p w14:paraId="5040BB3B" w14:textId="77777777" w:rsidR="003F0EEA" w:rsidRPr="00252C90" w:rsidRDefault="00FB7D0B" w:rsidP="003F0EEA">
            <w:pPr>
              <w:pStyle w:val="TableTextBullet25"/>
              <w:numPr>
                <w:ilvl w:val="0"/>
                <w:numId w:val="66"/>
              </w:numPr>
              <w:rPr>
                <w:rFonts w:cs="Arial"/>
                <w:szCs w:val="18"/>
                <w:lang w:val="en-GB"/>
              </w:rPr>
            </w:pPr>
            <w:r w:rsidRPr="00252C90">
              <w:rPr>
                <w:rFonts w:cs="Arial"/>
                <w:szCs w:val="18"/>
                <w:lang w:val="en-GB"/>
              </w:rPr>
              <w:t xml:space="preserve">Qualitative or quantitative evidence about increases in visitors’ understanding </w:t>
            </w:r>
          </w:p>
          <w:p w14:paraId="5E5BAFDB" w14:textId="77777777" w:rsidR="003F0EEA" w:rsidRPr="00252C90" w:rsidRDefault="00FB7D0B" w:rsidP="003F0EEA">
            <w:pPr>
              <w:pStyle w:val="TableTextBullet25"/>
              <w:numPr>
                <w:ilvl w:val="0"/>
                <w:numId w:val="66"/>
              </w:numPr>
              <w:rPr>
                <w:rFonts w:cs="Arial"/>
                <w:szCs w:val="18"/>
                <w:lang w:val="en-GB"/>
              </w:rPr>
            </w:pPr>
            <w:r w:rsidRPr="00252C90">
              <w:rPr>
                <w:rFonts w:cs="Arial"/>
                <w:szCs w:val="18"/>
                <w:lang w:val="en-GB"/>
              </w:rPr>
              <w:t>Qualitative or quantitative evidence of affective or attitudinal change.</w:t>
            </w:r>
          </w:p>
        </w:tc>
      </w:tr>
    </w:tbl>
    <w:p w14:paraId="1C891B18" w14:textId="77777777" w:rsidR="00724034" w:rsidRDefault="00FB7D0B">
      <w:r>
        <w:br w:type="page"/>
      </w:r>
    </w:p>
    <w:tbl>
      <w:tblPr>
        <w:tblW w:w="0" w:type="auto"/>
        <w:tblBorders>
          <w:top w:val="single" w:sz="2" w:space="0" w:color="auto"/>
          <w:left w:val="single" w:sz="2" w:space="0" w:color="auto"/>
          <w:bottom w:val="single" w:sz="2" w:space="0" w:color="auto"/>
          <w:right w:val="single" w:sz="2" w:space="0" w:color="auto"/>
          <w:insideH w:val="single" w:sz="2" w:space="0" w:color="auto"/>
        </w:tblBorders>
        <w:tblLook w:val="01E0" w:firstRow="1" w:lastRow="1" w:firstColumn="1" w:lastColumn="1" w:noHBand="0" w:noVBand="0"/>
      </w:tblPr>
      <w:tblGrid>
        <w:gridCol w:w="8324"/>
      </w:tblGrid>
      <w:tr w:rsidR="00724034" w14:paraId="25102E78" w14:textId="77777777" w:rsidTr="003F0EEA">
        <w:tc>
          <w:tcPr>
            <w:tcW w:w="8336" w:type="dxa"/>
            <w:tcBorders>
              <w:top w:val="single" w:sz="2" w:space="0" w:color="auto"/>
              <w:left w:val="single" w:sz="2" w:space="0" w:color="auto"/>
              <w:bottom w:val="single" w:sz="2" w:space="0" w:color="auto"/>
              <w:right w:val="single" w:sz="2" w:space="0" w:color="auto"/>
            </w:tcBorders>
            <w:shd w:val="clear" w:color="auto" w:fill="E6E6E6"/>
          </w:tcPr>
          <w:p w14:paraId="52E13738" w14:textId="77777777" w:rsidR="003F0EEA" w:rsidRDefault="00FB7D0B">
            <w:pPr>
              <w:pStyle w:val="TableColumnHeadingLeft13"/>
              <w:rPr>
                <w:rFonts w:cs="Arial"/>
              </w:rPr>
            </w:pPr>
            <w:r>
              <w:rPr>
                <w:rFonts w:cs="Arial"/>
              </w:rPr>
              <w:t>Programme Component 1.5: Interpretive Services</w:t>
            </w:r>
          </w:p>
        </w:tc>
      </w:tr>
      <w:tr w:rsidR="00724034" w14:paraId="3A4744AC" w14:textId="77777777" w:rsidTr="003F0EEA">
        <w:tc>
          <w:tcPr>
            <w:tcW w:w="8336" w:type="dxa"/>
            <w:tcBorders>
              <w:top w:val="single" w:sz="4" w:space="0" w:color="auto"/>
              <w:left w:val="single" w:sz="4" w:space="0" w:color="auto"/>
              <w:bottom w:val="single" w:sz="4" w:space="0" w:color="auto"/>
              <w:right w:val="single" w:sz="4" w:space="0" w:color="auto"/>
            </w:tcBorders>
          </w:tcPr>
          <w:p w14:paraId="78D3843D" w14:textId="77777777" w:rsidR="003F0EEA" w:rsidRPr="006C0A36" w:rsidRDefault="00FB7D0B">
            <w:pPr>
              <w:pStyle w:val="TableTextLeft49"/>
              <w:rPr>
                <w:b/>
                <w:szCs w:val="18"/>
              </w:rPr>
            </w:pPr>
            <w:r w:rsidRPr="006C0A36">
              <w:rPr>
                <w:b/>
                <w:szCs w:val="18"/>
              </w:rPr>
              <w:t>Programme component 1.5 objective</w:t>
            </w:r>
          </w:p>
          <w:p w14:paraId="6584FF69" w14:textId="77777777" w:rsidR="003F0EEA" w:rsidRPr="006C0A36" w:rsidRDefault="00FB7D0B">
            <w:pPr>
              <w:pStyle w:val="TableTextLeft49"/>
              <w:rPr>
                <w:snapToGrid w:val="0"/>
                <w:szCs w:val="18"/>
                <w:lang w:eastAsia="en-US"/>
              </w:rPr>
            </w:pPr>
            <w:r w:rsidRPr="006C0A36">
              <w:rPr>
                <w:snapToGrid w:val="0"/>
                <w:szCs w:val="18"/>
                <w:lang w:eastAsia="en-US"/>
              </w:rPr>
              <w:t>Understanding of the Australian experience of war is enhanced through the provision of interactive interpretation, including the delivery of innovative on-site, outreach and online education and public programmes as well as special events. This Programme component assists Australians to understand the Australian experience of war and its enduring impact on Australian society.</w:t>
            </w:r>
          </w:p>
        </w:tc>
      </w:tr>
      <w:tr w:rsidR="00724034" w14:paraId="33EAFE28" w14:textId="77777777" w:rsidTr="003F0EEA">
        <w:tc>
          <w:tcPr>
            <w:tcW w:w="8336" w:type="dxa"/>
            <w:tcBorders>
              <w:top w:val="single" w:sz="4" w:space="0" w:color="auto"/>
              <w:left w:val="single" w:sz="4" w:space="0" w:color="auto"/>
              <w:bottom w:val="single" w:sz="4" w:space="0" w:color="auto"/>
              <w:right w:val="single" w:sz="4" w:space="0" w:color="auto"/>
            </w:tcBorders>
          </w:tcPr>
          <w:p w14:paraId="5B22590B" w14:textId="77777777" w:rsidR="003F0EEA" w:rsidRPr="006C0A36" w:rsidRDefault="00FB7D0B">
            <w:pPr>
              <w:pStyle w:val="TableTextLeft49"/>
              <w:rPr>
                <w:b/>
                <w:szCs w:val="18"/>
              </w:rPr>
            </w:pPr>
            <w:r w:rsidRPr="006C0A36">
              <w:rPr>
                <w:b/>
                <w:szCs w:val="18"/>
              </w:rPr>
              <w:t xml:space="preserve">Programme component 1.5 deliverables </w:t>
            </w:r>
          </w:p>
          <w:p w14:paraId="4FBEDDAD" w14:textId="77777777" w:rsidR="003F0EEA" w:rsidRPr="006C0A36" w:rsidRDefault="00FB7D0B">
            <w:pPr>
              <w:pStyle w:val="TableTextLeft49"/>
              <w:rPr>
                <w:szCs w:val="18"/>
                <w:lang w:val="en-GB"/>
              </w:rPr>
            </w:pPr>
            <w:r w:rsidRPr="006C0A36">
              <w:rPr>
                <w:szCs w:val="18"/>
                <w:lang w:val="en-GB"/>
              </w:rPr>
              <w:t>The Australian War Memorial will deliver:</w:t>
            </w:r>
          </w:p>
          <w:p w14:paraId="684B1827" w14:textId="77777777" w:rsidR="003F0EEA" w:rsidRPr="006C0A36" w:rsidRDefault="00FB7D0B" w:rsidP="003F0EEA">
            <w:pPr>
              <w:pStyle w:val="TableTextBullet26"/>
              <w:numPr>
                <w:ilvl w:val="0"/>
                <w:numId w:val="68"/>
              </w:numPr>
              <w:rPr>
                <w:rFonts w:cs="Arial"/>
                <w:szCs w:val="18"/>
                <w:lang w:val="en-GB"/>
              </w:rPr>
            </w:pPr>
            <w:r w:rsidRPr="006C0A36">
              <w:rPr>
                <w:rFonts w:cs="Arial"/>
                <w:szCs w:val="18"/>
                <w:lang w:val="en-GB"/>
              </w:rPr>
              <w:t>a range of public programmes and events for visitors to the Memorial</w:t>
            </w:r>
          </w:p>
          <w:p w14:paraId="23EA75FF" w14:textId="77777777" w:rsidR="003F0EEA" w:rsidRPr="006C0A36" w:rsidRDefault="00FB7D0B" w:rsidP="003F0EEA">
            <w:pPr>
              <w:pStyle w:val="TableTextBullet26"/>
              <w:numPr>
                <w:ilvl w:val="0"/>
                <w:numId w:val="68"/>
              </w:numPr>
              <w:rPr>
                <w:rFonts w:cs="Arial"/>
                <w:szCs w:val="18"/>
                <w:lang w:val="en-GB"/>
              </w:rPr>
            </w:pPr>
            <w:r w:rsidRPr="006C0A36">
              <w:rPr>
                <w:rFonts w:cs="Arial"/>
                <w:szCs w:val="18"/>
                <w:lang w:val="en-GB"/>
              </w:rPr>
              <w:t>a series of quality, engaging curriculum-related school education programmes for on-site education groups</w:t>
            </w:r>
          </w:p>
          <w:p w14:paraId="74BD8BB4" w14:textId="77777777" w:rsidR="003F0EEA" w:rsidRPr="006C0A36" w:rsidRDefault="00FB7D0B" w:rsidP="003F0EEA">
            <w:pPr>
              <w:pStyle w:val="TableTextBullet26"/>
              <w:numPr>
                <w:ilvl w:val="0"/>
                <w:numId w:val="68"/>
              </w:numPr>
              <w:rPr>
                <w:rFonts w:cs="Arial"/>
                <w:szCs w:val="18"/>
                <w:lang w:val="en-GB"/>
              </w:rPr>
            </w:pPr>
            <w:r w:rsidRPr="006C0A36">
              <w:rPr>
                <w:rFonts w:cs="Arial"/>
                <w:szCs w:val="18"/>
                <w:lang w:val="en-GB"/>
              </w:rPr>
              <w:t>Memorial Boxes for schools in all Australian states and territories to borrow during the year</w:t>
            </w:r>
          </w:p>
          <w:p w14:paraId="26A570F4" w14:textId="77777777" w:rsidR="003F0EEA" w:rsidRPr="006C0A36" w:rsidRDefault="00FB7D0B" w:rsidP="003F0EEA">
            <w:pPr>
              <w:pStyle w:val="TableTextBullet26"/>
              <w:numPr>
                <w:ilvl w:val="0"/>
                <w:numId w:val="68"/>
              </w:numPr>
              <w:rPr>
                <w:rFonts w:cs="Arial"/>
                <w:szCs w:val="18"/>
                <w:lang w:val="en-GB"/>
              </w:rPr>
            </w:pPr>
            <w:r w:rsidRPr="006C0A36">
              <w:rPr>
                <w:rFonts w:cs="Arial"/>
                <w:szCs w:val="18"/>
                <w:lang w:val="en-GB"/>
              </w:rPr>
              <w:t>a range of quality, engaging, curriculum-related online school education resources for teachers and students.</w:t>
            </w:r>
          </w:p>
        </w:tc>
      </w:tr>
      <w:tr w:rsidR="00724034" w14:paraId="4E47A016" w14:textId="77777777" w:rsidTr="003F0EEA">
        <w:tc>
          <w:tcPr>
            <w:tcW w:w="8336" w:type="dxa"/>
            <w:tcBorders>
              <w:top w:val="single" w:sz="4" w:space="0" w:color="auto"/>
              <w:left w:val="single" w:sz="4" w:space="0" w:color="auto"/>
              <w:bottom w:val="single" w:sz="4" w:space="0" w:color="auto"/>
              <w:right w:val="single" w:sz="4" w:space="0" w:color="auto"/>
            </w:tcBorders>
          </w:tcPr>
          <w:p w14:paraId="5925233D" w14:textId="77777777" w:rsidR="003F0EEA" w:rsidRPr="006C0A36" w:rsidRDefault="00FB7D0B" w:rsidP="003F0EEA">
            <w:pPr>
              <w:pStyle w:val="TableTextLeft49"/>
              <w:rPr>
                <w:b/>
                <w:szCs w:val="18"/>
              </w:rPr>
            </w:pPr>
            <w:r w:rsidRPr="006C0A36">
              <w:rPr>
                <w:b/>
                <w:szCs w:val="18"/>
              </w:rPr>
              <w:br w:type="page"/>
              <w:t xml:space="preserve">Programme component 1.5 key performance indicators </w:t>
            </w:r>
          </w:p>
          <w:p w14:paraId="00C5CBC8" w14:textId="77777777" w:rsidR="003F0EEA" w:rsidRPr="006C0A36" w:rsidRDefault="00FB7D0B" w:rsidP="003F0EEA">
            <w:pPr>
              <w:pStyle w:val="TableTextLeft49"/>
              <w:rPr>
                <w:szCs w:val="18"/>
              </w:rPr>
            </w:pPr>
            <w:r w:rsidRPr="006C0A36">
              <w:rPr>
                <w:szCs w:val="18"/>
                <w:lang w:val="en-GB"/>
              </w:rPr>
              <w:t xml:space="preserve">Attending a Memorial Programme or event is a deliberate act to find out more </w:t>
            </w:r>
            <w:r w:rsidRPr="006C0A36">
              <w:rPr>
                <w:szCs w:val="18"/>
              </w:rPr>
              <w:t>about the Australian experience of war. The KPIs for this Programme component are:</w:t>
            </w:r>
          </w:p>
          <w:p w14:paraId="3F276B5B" w14:textId="77777777" w:rsidR="003F0EEA" w:rsidRPr="006C0A36" w:rsidRDefault="00FB7D0B" w:rsidP="003F0EEA">
            <w:pPr>
              <w:pStyle w:val="TableTextBullet26"/>
              <w:numPr>
                <w:ilvl w:val="0"/>
                <w:numId w:val="68"/>
              </w:numPr>
              <w:rPr>
                <w:rFonts w:cs="Arial"/>
                <w:szCs w:val="18"/>
                <w:lang w:val="en-GB"/>
              </w:rPr>
            </w:pPr>
            <w:r w:rsidRPr="006C0A36">
              <w:rPr>
                <w:rFonts w:cs="Arial"/>
                <w:szCs w:val="18"/>
                <w:lang w:val="en-GB"/>
              </w:rPr>
              <w:t>The total attendance figure at Memorial programmes</w:t>
            </w:r>
          </w:p>
          <w:p w14:paraId="664E68A2" w14:textId="77777777" w:rsidR="003F0EEA" w:rsidRPr="006C0A36" w:rsidRDefault="00FB7D0B" w:rsidP="003F0EEA">
            <w:pPr>
              <w:pStyle w:val="TableTextBullet26"/>
              <w:numPr>
                <w:ilvl w:val="0"/>
                <w:numId w:val="68"/>
              </w:numPr>
              <w:rPr>
                <w:rFonts w:cs="Arial"/>
                <w:szCs w:val="18"/>
                <w:lang w:val="en-GB"/>
              </w:rPr>
            </w:pPr>
            <w:r w:rsidRPr="006C0A36">
              <w:rPr>
                <w:rFonts w:cs="Arial"/>
                <w:szCs w:val="18"/>
                <w:lang w:val="en-GB"/>
              </w:rPr>
              <w:t>Qualitative or quantitative evidence about increases in participants’ understanding</w:t>
            </w:r>
          </w:p>
          <w:p w14:paraId="69110DB4" w14:textId="77777777" w:rsidR="003F0EEA" w:rsidRPr="006C0A36" w:rsidRDefault="00FB7D0B" w:rsidP="003F0EEA">
            <w:pPr>
              <w:pStyle w:val="TableTextBullet26"/>
              <w:numPr>
                <w:ilvl w:val="0"/>
                <w:numId w:val="68"/>
              </w:numPr>
              <w:rPr>
                <w:rFonts w:cs="Arial"/>
                <w:szCs w:val="18"/>
                <w:lang w:val="en-GB"/>
              </w:rPr>
            </w:pPr>
            <w:r w:rsidRPr="006C0A36">
              <w:rPr>
                <w:rFonts w:cs="Arial"/>
                <w:szCs w:val="18"/>
                <w:lang w:val="en-GB"/>
              </w:rPr>
              <w:t>Qualitative or quantitative evidence of affective or attitudinal change.</w:t>
            </w:r>
          </w:p>
        </w:tc>
      </w:tr>
    </w:tbl>
    <w:p w14:paraId="2CD542D6" w14:textId="77777777" w:rsidR="00724034" w:rsidRDefault="00FB7D0B">
      <w:pPr>
        <w:spacing w:line="14" w:lineRule="exact"/>
      </w:pPr>
      <w:r>
        <w:br w:type="page"/>
      </w:r>
    </w:p>
    <w:tbl>
      <w:tblPr>
        <w:tblW w:w="0" w:type="auto"/>
        <w:tblBorders>
          <w:top w:val="single" w:sz="2" w:space="0" w:color="auto"/>
          <w:left w:val="single" w:sz="2" w:space="0" w:color="auto"/>
          <w:bottom w:val="single" w:sz="2" w:space="0" w:color="auto"/>
          <w:right w:val="single" w:sz="2" w:space="0" w:color="auto"/>
          <w:insideH w:val="single" w:sz="2" w:space="0" w:color="auto"/>
        </w:tblBorders>
        <w:tblLook w:val="01E0" w:firstRow="1" w:lastRow="1" w:firstColumn="1" w:lastColumn="1" w:noHBand="0" w:noVBand="0"/>
      </w:tblPr>
      <w:tblGrid>
        <w:gridCol w:w="8222"/>
      </w:tblGrid>
      <w:tr w:rsidR="00724034" w14:paraId="05C1167D" w14:textId="77777777" w:rsidTr="003F0EEA">
        <w:tc>
          <w:tcPr>
            <w:tcW w:w="8222" w:type="dxa"/>
            <w:tcBorders>
              <w:top w:val="single" w:sz="2" w:space="0" w:color="auto"/>
              <w:left w:val="single" w:sz="2" w:space="0" w:color="auto"/>
              <w:bottom w:val="single" w:sz="2" w:space="0" w:color="auto"/>
              <w:right w:val="single" w:sz="2" w:space="0" w:color="auto"/>
            </w:tcBorders>
            <w:shd w:val="clear" w:color="auto" w:fill="E6E6E6"/>
          </w:tcPr>
          <w:p w14:paraId="0C71D33A" w14:textId="77777777" w:rsidR="003F0EEA" w:rsidRDefault="00FB7D0B">
            <w:pPr>
              <w:pStyle w:val="TableColumnHeadingLeft14"/>
              <w:rPr>
                <w:rFonts w:cs="Arial"/>
              </w:rPr>
            </w:pPr>
            <w:r>
              <w:rPr>
                <w:rFonts w:cs="Arial"/>
              </w:rPr>
              <w:t>Programme Component 1.6: Promotion and Community Services</w:t>
            </w:r>
          </w:p>
        </w:tc>
      </w:tr>
      <w:tr w:rsidR="00724034" w14:paraId="39E192F0" w14:textId="77777777" w:rsidTr="003F0EEA">
        <w:tc>
          <w:tcPr>
            <w:tcW w:w="8222" w:type="dxa"/>
            <w:tcBorders>
              <w:top w:val="single" w:sz="4" w:space="0" w:color="auto"/>
              <w:left w:val="single" w:sz="4" w:space="0" w:color="auto"/>
              <w:bottom w:val="single" w:sz="4" w:space="0" w:color="auto"/>
              <w:right w:val="single" w:sz="4" w:space="0" w:color="auto"/>
            </w:tcBorders>
          </w:tcPr>
          <w:p w14:paraId="5B8878A6" w14:textId="77777777" w:rsidR="003F0EEA" w:rsidRPr="00491459" w:rsidRDefault="00FB7D0B">
            <w:pPr>
              <w:pStyle w:val="TableTextLeft50"/>
              <w:rPr>
                <w:b/>
                <w:szCs w:val="18"/>
              </w:rPr>
            </w:pPr>
            <w:r w:rsidRPr="00491459">
              <w:rPr>
                <w:b/>
                <w:szCs w:val="18"/>
              </w:rPr>
              <w:t>Programme component 1.6 objective</w:t>
            </w:r>
          </w:p>
          <w:p w14:paraId="1D895DD6" w14:textId="77777777" w:rsidR="003F0EEA" w:rsidRPr="00491459" w:rsidRDefault="00FB7D0B">
            <w:pPr>
              <w:pStyle w:val="TableTextLeft50"/>
              <w:rPr>
                <w:snapToGrid w:val="0"/>
                <w:szCs w:val="18"/>
                <w:lang w:eastAsia="en-US"/>
              </w:rPr>
            </w:pPr>
            <w:r w:rsidRPr="00491459">
              <w:rPr>
                <w:snapToGrid w:val="0"/>
                <w:szCs w:val="18"/>
                <w:lang w:eastAsia="en-US"/>
              </w:rPr>
              <w:t xml:space="preserve">Promotion of the Memorial as an outstanding national institution and assistance to the community to understand the Memorial’s roles, activities, programmes, relevance and future.  Through the provision of high-quality promotion and community services, the Programme provides a necessary foundation for other programmes to function effectively.  In this way, this Programme assists Australians to remember, interpret and understand the Australian experience of war and its enduring impact on Australian society. </w:t>
            </w:r>
          </w:p>
        </w:tc>
      </w:tr>
      <w:tr w:rsidR="00724034" w14:paraId="639AB571" w14:textId="77777777" w:rsidTr="003F0EEA">
        <w:tc>
          <w:tcPr>
            <w:tcW w:w="8222" w:type="dxa"/>
            <w:tcBorders>
              <w:top w:val="single" w:sz="4" w:space="0" w:color="auto"/>
              <w:left w:val="single" w:sz="4" w:space="0" w:color="auto"/>
              <w:bottom w:val="single" w:sz="4" w:space="0" w:color="auto"/>
              <w:right w:val="single" w:sz="4" w:space="0" w:color="auto"/>
            </w:tcBorders>
          </w:tcPr>
          <w:p w14:paraId="1DCEE3DF" w14:textId="77777777" w:rsidR="003F0EEA" w:rsidRPr="00491459" w:rsidRDefault="00FB7D0B">
            <w:pPr>
              <w:pStyle w:val="TableTextLeft50"/>
              <w:rPr>
                <w:b/>
                <w:szCs w:val="18"/>
              </w:rPr>
            </w:pPr>
            <w:r w:rsidRPr="00491459">
              <w:rPr>
                <w:b/>
                <w:szCs w:val="18"/>
              </w:rPr>
              <w:t xml:space="preserve">Programme component 1.6 deliverables </w:t>
            </w:r>
          </w:p>
          <w:p w14:paraId="25089DF5" w14:textId="77777777" w:rsidR="003F0EEA" w:rsidRPr="00491459" w:rsidRDefault="00FB7D0B">
            <w:pPr>
              <w:pStyle w:val="TableTextLeft50"/>
              <w:rPr>
                <w:szCs w:val="18"/>
              </w:rPr>
            </w:pPr>
            <w:r w:rsidRPr="00491459">
              <w:rPr>
                <w:szCs w:val="18"/>
                <w:lang w:val="en-GB"/>
              </w:rPr>
              <w:t>The Australian War Memorial will deliver:</w:t>
            </w:r>
          </w:p>
          <w:p w14:paraId="56A07F78" w14:textId="77777777" w:rsidR="003F0EEA" w:rsidRPr="00491459" w:rsidRDefault="00FB7D0B" w:rsidP="003F0EEA">
            <w:pPr>
              <w:pStyle w:val="TableTextBullet27"/>
              <w:numPr>
                <w:ilvl w:val="0"/>
                <w:numId w:val="70"/>
              </w:numPr>
              <w:rPr>
                <w:rFonts w:cs="Arial"/>
                <w:szCs w:val="18"/>
                <w:lang w:val="en-GB"/>
              </w:rPr>
            </w:pPr>
            <w:r w:rsidRPr="00491459">
              <w:rPr>
                <w:rFonts w:cs="Arial"/>
                <w:szCs w:val="18"/>
                <w:lang w:val="en-GB"/>
              </w:rPr>
              <w:t>An engaging website with accurate information</w:t>
            </w:r>
          </w:p>
          <w:p w14:paraId="6646F2A9" w14:textId="77777777" w:rsidR="003F0EEA" w:rsidRPr="00491459" w:rsidRDefault="00FB7D0B" w:rsidP="003F0EEA">
            <w:pPr>
              <w:pStyle w:val="TableTextBullet27"/>
              <w:numPr>
                <w:ilvl w:val="0"/>
                <w:numId w:val="70"/>
              </w:numPr>
              <w:rPr>
                <w:rFonts w:cs="Arial"/>
                <w:szCs w:val="18"/>
                <w:lang w:val="en-GB"/>
              </w:rPr>
            </w:pPr>
            <w:r w:rsidRPr="00491459">
              <w:rPr>
                <w:rFonts w:cs="Arial"/>
                <w:szCs w:val="18"/>
                <w:lang w:val="en-GB"/>
              </w:rPr>
              <w:t>High quality service to the media to encourage suitable coverage in all forms of media</w:t>
            </w:r>
          </w:p>
          <w:p w14:paraId="4AD835F4" w14:textId="77777777" w:rsidR="003F0EEA" w:rsidRPr="00491459" w:rsidRDefault="00FB7D0B" w:rsidP="003F0EEA">
            <w:pPr>
              <w:pStyle w:val="TableTextBullet27"/>
              <w:numPr>
                <w:ilvl w:val="0"/>
                <w:numId w:val="70"/>
              </w:numPr>
              <w:rPr>
                <w:rFonts w:cs="Arial"/>
                <w:szCs w:val="18"/>
                <w:lang w:val="en-GB"/>
              </w:rPr>
            </w:pPr>
            <w:r w:rsidRPr="00491459">
              <w:rPr>
                <w:rFonts w:cs="Arial"/>
                <w:szCs w:val="18"/>
                <w:lang w:val="en-GB"/>
              </w:rPr>
              <w:t>High quality marketing and promotional activities as appropriate.</w:t>
            </w:r>
          </w:p>
        </w:tc>
      </w:tr>
      <w:tr w:rsidR="00724034" w14:paraId="1DF08BCD" w14:textId="77777777" w:rsidTr="003F0EEA">
        <w:tc>
          <w:tcPr>
            <w:tcW w:w="8222" w:type="dxa"/>
            <w:tcBorders>
              <w:top w:val="single" w:sz="4" w:space="0" w:color="auto"/>
              <w:left w:val="single" w:sz="4" w:space="0" w:color="auto"/>
              <w:bottom w:val="single" w:sz="4" w:space="0" w:color="auto"/>
              <w:right w:val="single" w:sz="4" w:space="0" w:color="auto"/>
            </w:tcBorders>
          </w:tcPr>
          <w:p w14:paraId="412FAE28" w14:textId="77777777" w:rsidR="003F0EEA" w:rsidRPr="00491459" w:rsidRDefault="00FB7D0B">
            <w:pPr>
              <w:pStyle w:val="TableTextLeft50"/>
              <w:rPr>
                <w:b/>
                <w:szCs w:val="18"/>
              </w:rPr>
            </w:pPr>
            <w:r w:rsidRPr="00491459">
              <w:rPr>
                <w:b/>
                <w:szCs w:val="18"/>
              </w:rPr>
              <w:br w:type="page"/>
              <w:t xml:space="preserve">Programme component 1.6 key performance indicators </w:t>
            </w:r>
          </w:p>
          <w:p w14:paraId="5D3902E8" w14:textId="77777777" w:rsidR="003F0EEA" w:rsidRPr="00491459" w:rsidRDefault="00FB7D0B">
            <w:pPr>
              <w:pStyle w:val="TableTextLeft50"/>
              <w:rPr>
                <w:szCs w:val="18"/>
                <w:lang w:val="en-GB"/>
              </w:rPr>
            </w:pPr>
            <w:r w:rsidRPr="00491459">
              <w:rPr>
                <w:szCs w:val="18"/>
                <w:lang w:val="en-GB"/>
              </w:rPr>
              <w:t xml:space="preserve">Effective promotion of the Memorial provides the necessary </w:t>
            </w:r>
            <w:r w:rsidRPr="00491459">
              <w:rPr>
                <w:szCs w:val="18"/>
              </w:rPr>
              <w:t>foundation</w:t>
            </w:r>
            <w:r w:rsidRPr="00491459">
              <w:rPr>
                <w:szCs w:val="18"/>
                <w:lang w:val="en-GB"/>
              </w:rPr>
              <w:t xml:space="preserve"> for other Programme components to function effectively (namely Programme components 1.1, 1.2, 1.3, 1.4, 1.5 and 1.7). </w:t>
            </w:r>
            <w:r w:rsidRPr="00491459">
              <w:rPr>
                <w:szCs w:val="18"/>
              </w:rPr>
              <w:t>The KPIs for the effectiveness of this Programme component are:</w:t>
            </w:r>
          </w:p>
          <w:p w14:paraId="6F3157F8" w14:textId="77777777" w:rsidR="003F0EEA" w:rsidRPr="00491459" w:rsidRDefault="00FB7D0B" w:rsidP="003F0EEA">
            <w:pPr>
              <w:pStyle w:val="TableTextBullet27"/>
              <w:numPr>
                <w:ilvl w:val="0"/>
                <w:numId w:val="71"/>
              </w:numPr>
              <w:rPr>
                <w:rFonts w:cs="Arial"/>
                <w:szCs w:val="18"/>
                <w:lang w:val="en-GB"/>
              </w:rPr>
            </w:pPr>
            <w:r w:rsidRPr="00491459">
              <w:rPr>
                <w:rFonts w:cs="Arial"/>
                <w:szCs w:val="18"/>
                <w:lang w:val="en-GB"/>
              </w:rPr>
              <w:t>Number of visits to the Memorial’s website</w:t>
            </w:r>
          </w:p>
          <w:p w14:paraId="5308AF31" w14:textId="77777777" w:rsidR="003F0EEA" w:rsidRPr="00491459" w:rsidRDefault="00FB7D0B" w:rsidP="003F0EEA">
            <w:pPr>
              <w:pStyle w:val="TableTextBullet27"/>
              <w:numPr>
                <w:ilvl w:val="0"/>
                <w:numId w:val="71"/>
              </w:numPr>
              <w:rPr>
                <w:rFonts w:cs="Arial"/>
                <w:szCs w:val="18"/>
                <w:lang w:val="en-GB"/>
              </w:rPr>
            </w:pPr>
            <w:r w:rsidRPr="00491459">
              <w:rPr>
                <w:rFonts w:cs="Arial"/>
                <w:szCs w:val="18"/>
                <w:lang w:val="en-GB"/>
              </w:rPr>
              <w:t>Number of people to make their first visit to the Memorial.</w:t>
            </w:r>
          </w:p>
          <w:p w14:paraId="0F35CC70" w14:textId="77777777" w:rsidR="003F0EEA" w:rsidRPr="00491459" w:rsidRDefault="00FB7D0B" w:rsidP="003F0EEA">
            <w:pPr>
              <w:pStyle w:val="TableTextBullet27"/>
              <w:numPr>
                <w:ilvl w:val="0"/>
                <w:numId w:val="71"/>
              </w:numPr>
              <w:rPr>
                <w:rFonts w:cs="Arial"/>
                <w:szCs w:val="18"/>
                <w:lang w:val="en-GB"/>
              </w:rPr>
            </w:pPr>
            <w:r w:rsidRPr="00491459">
              <w:rPr>
                <w:rFonts w:cs="Arial"/>
                <w:szCs w:val="18"/>
                <w:lang w:val="en-GB"/>
              </w:rPr>
              <w:t xml:space="preserve">Number of positive media items including television, radio, online and print media. </w:t>
            </w:r>
          </w:p>
        </w:tc>
      </w:tr>
    </w:tbl>
    <w:p w14:paraId="30300A45" w14:textId="77777777" w:rsidR="003F0EEA" w:rsidRDefault="00FB7D0B">
      <w:pPr>
        <w:spacing w:line="14" w:lineRule="exact"/>
        <w:rPr>
          <w:rFonts w:ascii="Arial" w:eastAsia="Times New Roman" w:hAnsi="Arial" w:cs="Arial"/>
        </w:rPr>
      </w:pPr>
      <w:r>
        <w:rPr>
          <w:rFonts w:ascii="Arial" w:eastAsia="Times New Roman" w:hAnsi="Arial" w:cs="Arial"/>
        </w:rPr>
        <w:br w:type="page"/>
      </w:r>
    </w:p>
    <w:tbl>
      <w:tblPr>
        <w:tblW w:w="0" w:type="auto"/>
        <w:tblBorders>
          <w:top w:val="single" w:sz="2" w:space="0" w:color="auto"/>
          <w:left w:val="single" w:sz="2" w:space="0" w:color="auto"/>
          <w:bottom w:val="single" w:sz="2" w:space="0" w:color="auto"/>
          <w:right w:val="single" w:sz="2" w:space="0" w:color="auto"/>
          <w:insideH w:val="single" w:sz="2" w:space="0" w:color="auto"/>
        </w:tblBorders>
        <w:tblLook w:val="01E0" w:firstRow="1" w:lastRow="1" w:firstColumn="1" w:lastColumn="1" w:noHBand="0" w:noVBand="0"/>
      </w:tblPr>
      <w:tblGrid>
        <w:gridCol w:w="8222"/>
      </w:tblGrid>
      <w:tr w:rsidR="00724034" w14:paraId="252F52F7" w14:textId="77777777" w:rsidTr="003F0EEA">
        <w:tc>
          <w:tcPr>
            <w:tcW w:w="8222" w:type="dxa"/>
            <w:tcBorders>
              <w:top w:val="single" w:sz="2" w:space="0" w:color="auto"/>
              <w:left w:val="single" w:sz="2" w:space="0" w:color="auto"/>
              <w:bottom w:val="single" w:sz="2" w:space="0" w:color="auto"/>
              <w:right w:val="single" w:sz="2" w:space="0" w:color="auto"/>
            </w:tcBorders>
            <w:shd w:val="clear" w:color="auto" w:fill="E6E6E6"/>
          </w:tcPr>
          <w:p w14:paraId="3E06C7E4" w14:textId="77777777" w:rsidR="003F0EEA" w:rsidRDefault="00FB7D0B">
            <w:pPr>
              <w:pStyle w:val="TableColumnHeadingLeft15"/>
              <w:rPr>
                <w:rFonts w:cs="Arial"/>
              </w:rPr>
            </w:pPr>
            <w:r>
              <w:rPr>
                <w:rFonts w:cs="Arial"/>
              </w:rPr>
              <w:t>Programme Component 1.7: Research and Information Dissemination</w:t>
            </w:r>
          </w:p>
        </w:tc>
      </w:tr>
      <w:tr w:rsidR="00724034" w14:paraId="45662ADD" w14:textId="77777777" w:rsidTr="003F0EEA">
        <w:tc>
          <w:tcPr>
            <w:tcW w:w="8222" w:type="dxa"/>
            <w:tcBorders>
              <w:top w:val="single" w:sz="4" w:space="0" w:color="auto"/>
              <w:left w:val="single" w:sz="4" w:space="0" w:color="auto"/>
              <w:bottom w:val="single" w:sz="4" w:space="0" w:color="auto"/>
              <w:right w:val="single" w:sz="4" w:space="0" w:color="auto"/>
            </w:tcBorders>
          </w:tcPr>
          <w:p w14:paraId="238E9F1B" w14:textId="77777777" w:rsidR="003F0EEA" w:rsidRPr="000C4356" w:rsidRDefault="00FB7D0B">
            <w:pPr>
              <w:pStyle w:val="TableTextLeft51"/>
              <w:rPr>
                <w:b/>
                <w:szCs w:val="18"/>
              </w:rPr>
            </w:pPr>
            <w:r w:rsidRPr="000C4356">
              <w:rPr>
                <w:b/>
                <w:szCs w:val="18"/>
              </w:rPr>
              <w:t>Programme component 1.7 objective</w:t>
            </w:r>
          </w:p>
          <w:p w14:paraId="317A8C53" w14:textId="77777777" w:rsidR="003F0EEA" w:rsidRPr="000C4356" w:rsidRDefault="00FB7D0B">
            <w:pPr>
              <w:pStyle w:val="TableTextLeft51"/>
              <w:rPr>
                <w:snapToGrid w:val="0"/>
                <w:szCs w:val="18"/>
                <w:lang w:eastAsia="en-US"/>
              </w:rPr>
            </w:pPr>
            <w:r w:rsidRPr="000C4356">
              <w:rPr>
                <w:szCs w:val="18"/>
              </w:rPr>
              <w:t>The stimulation of an interest in and understanding of Australia’s military history by the production of and dissemination in print, broadcast and online media of articles, papers and presentations, conferences, publications and encouraging the conduct of historical research and dissemination of knowledge and understanding of Australia’s military history.  This Programme component assists Australians to interpret and understand the Australian experience of war and its enduring impact on Australian society</w:t>
            </w:r>
            <w:r w:rsidRPr="000C4356">
              <w:rPr>
                <w:snapToGrid w:val="0"/>
                <w:szCs w:val="18"/>
                <w:lang w:eastAsia="en-US"/>
              </w:rPr>
              <w:t>.</w:t>
            </w:r>
          </w:p>
        </w:tc>
      </w:tr>
      <w:tr w:rsidR="00724034" w14:paraId="46BE5BFA" w14:textId="77777777" w:rsidTr="003F0EEA">
        <w:tc>
          <w:tcPr>
            <w:tcW w:w="8222" w:type="dxa"/>
            <w:tcBorders>
              <w:top w:val="single" w:sz="4" w:space="0" w:color="auto"/>
              <w:left w:val="single" w:sz="4" w:space="0" w:color="auto"/>
              <w:bottom w:val="single" w:sz="4" w:space="0" w:color="auto"/>
              <w:right w:val="single" w:sz="4" w:space="0" w:color="auto"/>
            </w:tcBorders>
          </w:tcPr>
          <w:p w14:paraId="7B872A89" w14:textId="77777777" w:rsidR="003F0EEA" w:rsidRPr="000C4356" w:rsidRDefault="00FB7D0B">
            <w:pPr>
              <w:pStyle w:val="TableTextLeft51"/>
              <w:spacing w:before="0" w:after="0"/>
              <w:rPr>
                <w:b/>
                <w:szCs w:val="18"/>
              </w:rPr>
            </w:pPr>
            <w:r w:rsidRPr="000C4356">
              <w:rPr>
                <w:b/>
                <w:szCs w:val="18"/>
              </w:rPr>
              <w:t xml:space="preserve">Programme component 1.7 deliverables </w:t>
            </w:r>
          </w:p>
          <w:p w14:paraId="0B77CA33" w14:textId="77777777" w:rsidR="003F0EEA" w:rsidRPr="000C4356" w:rsidRDefault="00FB7D0B">
            <w:pPr>
              <w:pStyle w:val="Normal240"/>
              <w:spacing w:after="0" w:line="240" w:lineRule="auto"/>
              <w:rPr>
                <w:rFonts w:ascii="Arial" w:hAnsi="Arial" w:cs="Arial"/>
                <w:sz w:val="18"/>
                <w:szCs w:val="18"/>
              </w:rPr>
            </w:pPr>
            <w:r w:rsidRPr="000C4356">
              <w:rPr>
                <w:rFonts w:ascii="Arial" w:hAnsi="Arial" w:cs="Arial"/>
                <w:sz w:val="18"/>
                <w:szCs w:val="18"/>
              </w:rPr>
              <w:t xml:space="preserve">The Australian War Memorial will deliver: </w:t>
            </w:r>
          </w:p>
          <w:p w14:paraId="0D94C6E5" w14:textId="77777777" w:rsidR="003F0EEA" w:rsidRPr="000C4356" w:rsidRDefault="00FB7D0B" w:rsidP="003F0EEA">
            <w:pPr>
              <w:pStyle w:val="ListParagraph24"/>
              <w:numPr>
                <w:ilvl w:val="0"/>
                <w:numId w:val="72"/>
              </w:numPr>
              <w:spacing w:after="0" w:line="240" w:lineRule="auto"/>
              <w:rPr>
                <w:rFonts w:ascii="Arial" w:hAnsi="Arial" w:cs="Arial"/>
                <w:sz w:val="18"/>
                <w:szCs w:val="18"/>
              </w:rPr>
            </w:pPr>
            <w:r w:rsidRPr="000C4356">
              <w:rPr>
                <w:rFonts w:ascii="Arial" w:hAnsi="Arial" w:cs="Arial"/>
                <w:sz w:val="18"/>
                <w:szCs w:val="18"/>
              </w:rPr>
              <w:t xml:space="preserve">Support for research about Australian military history including: </w:t>
            </w:r>
          </w:p>
          <w:p w14:paraId="1F9EF3CB" w14:textId="77777777" w:rsidR="003F0EEA" w:rsidRPr="000C4356" w:rsidRDefault="00FB7D0B" w:rsidP="003F0EEA">
            <w:pPr>
              <w:pStyle w:val="ListParagraph24"/>
              <w:numPr>
                <w:ilvl w:val="1"/>
                <w:numId w:val="72"/>
              </w:numPr>
              <w:spacing w:after="0" w:line="240" w:lineRule="auto"/>
              <w:rPr>
                <w:rFonts w:ascii="Arial" w:hAnsi="Arial" w:cs="Arial"/>
                <w:sz w:val="18"/>
                <w:szCs w:val="18"/>
              </w:rPr>
            </w:pPr>
            <w:r w:rsidRPr="000C4356">
              <w:rPr>
                <w:rFonts w:ascii="Arial" w:hAnsi="Arial" w:cs="Arial"/>
                <w:sz w:val="18"/>
                <w:szCs w:val="18"/>
              </w:rPr>
              <w:t xml:space="preserve">The </w:t>
            </w:r>
            <w:r w:rsidRPr="000C4356">
              <w:rPr>
                <w:rFonts w:ascii="Arial" w:hAnsi="Arial" w:cs="Arial"/>
                <w:i/>
                <w:sz w:val="18"/>
                <w:szCs w:val="18"/>
              </w:rPr>
              <w:t>Official History of Peacekeeping, Humanitarian and Post Cold-War Conflicts</w:t>
            </w:r>
          </w:p>
          <w:p w14:paraId="2FFB79DB" w14:textId="77777777" w:rsidR="003F0EEA" w:rsidRPr="000C4356" w:rsidRDefault="00FB7D0B" w:rsidP="003F0EEA">
            <w:pPr>
              <w:pStyle w:val="ListParagraph24"/>
              <w:numPr>
                <w:ilvl w:val="1"/>
                <w:numId w:val="72"/>
              </w:numPr>
              <w:spacing w:after="0" w:line="240" w:lineRule="auto"/>
              <w:rPr>
                <w:rFonts w:ascii="Arial" w:hAnsi="Arial" w:cs="Arial"/>
                <w:sz w:val="18"/>
                <w:szCs w:val="18"/>
              </w:rPr>
            </w:pPr>
            <w:r w:rsidRPr="000C4356">
              <w:rPr>
                <w:rFonts w:ascii="Arial" w:hAnsi="Arial" w:cs="Arial"/>
                <w:sz w:val="18"/>
                <w:szCs w:val="18"/>
              </w:rPr>
              <w:t>The Summer Scholars program</w:t>
            </w:r>
          </w:p>
          <w:p w14:paraId="5D7E887E" w14:textId="77777777" w:rsidR="003F0EEA" w:rsidRPr="000C4356" w:rsidRDefault="00FB7D0B" w:rsidP="003F0EEA">
            <w:pPr>
              <w:pStyle w:val="ListParagraph24"/>
              <w:numPr>
                <w:ilvl w:val="1"/>
                <w:numId w:val="72"/>
              </w:numPr>
              <w:spacing w:after="0" w:line="240" w:lineRule="auto"/>
              <w:rPr>
                <w:rFonts w:ascii="Arial" w:hAnsi="Arial" w:cs="Arial"/>
                <w:sz w:val="18"/>
                <w:szCs w:val="18"/>
              </w:rPr>
            </w:pPr>
            <w:r w:rsidRPr="000C4356">
              <w:rPr>
                <w:rFonts w:ascii="Arial" w:hAnsi="Arial" w:cs="Arial"/>
                <w:sz w:val="18"/>
                <w:szCs w:val="18"/>
              </w:rPr>
              <w:t>A range of internal research projects</w:t>
            </w:r>
          </w:p>
          <w:p w14:paraId="5A4743FB" w14:textId="77777777" w:rsidR="003F0EEA" w:rsidRPr="000C4356" w:rsidRDefault="00FB7D0B" w:rsidP="003F0EEA">
            <w:pPr>
              <w:pStyle w:val="ListParagraph24"/>
              <w:numPr>
                <w:ilvl w:val="0"/>
                <w:numId w:val="72"/>
              </w:numPr>
              <w:spacing w:after="0" w:line="240" w:lineRule="auto"/>
              <w:rPr>
                <w:rFonts w:ascii="Arial" w:hAnsi="Arial" w:cs="Arial"/>
                <w:sz w:val="18"/>
                <w:szCs w:val="18"/>
              </w:rPr>
            </w:pPr>
            <w:r w:rsidRPr="000C4356">
              <w:rPr>
                <w:rFonts w:ascii="Arial" w:hAnsi="Arial" w:cs="Arial"/>
                <w:sz w:val="18"/>
                <w:szCs w:val="18"/>
              </w:rPr>
              <w:t>A publishing Programme including:</w:t>
            </w:r>
          </w:p>
          <w:p w14:paraId="7B07D7D6" w14:textId="77777777" w:rsidR="003F0EEA" w:rsidRPr="000C4356" w:rsidRDefault="00FB7D0B" w:rsidP="003F0EEA">
            <w:pPr>
              <w:pStyle w:val="ListParagraph24"/>
              <w:numPr>
                <w:ilvl w:val="1"/>
                <w:numId w:val="72"/>
              </w:numPr>
              <w:spacing w:after="0" w:line="240" w:lineRule="auto"/>
              <w:rPr>
                <w:rFonts w:ascii="Arial" w:hAnsi="Arial" w:cs="Arial"/>
                <w:sz w:val="18"/>
                <w:szCs w:val="18"/>
              </w:rPr>
            </w:pPr>
            <w:r w:rsidRPr="000C4356">
              <w:rPr>
                <w:rFonts w:ascii="Arial" w:hAnsi="Arial" w:cs="Arial"/>
                <w:sz w:val="18"/>
                <w:szCs w:val="18"/>
              </w:rPr>
              <w:t>Curatorial monographs</w:t>
            </w:r>
          </w:p>
          <w:p w14:paraId="76F01CE8" w14:textId="77777777" w:rsidR="003F0EEA" w:rsidRPr="000C4356" w:rsidRDefault="00FB7D0B" w:rsidP="003F0EEA">
            <w:pPr>
              <w:pStyle w:val="ListParagraph24"/>
              <w:numPr>
                <w:ilvl w:val="1"/>
                <w:numId w:val="72"/>
              </w:numPr>
              <w:spacing w:after="0" w:line="240" w:lineRule="auto"/>
              <w:rPr>
                <w:rFonts w:ascii="Arial" w:hAnsi="Arial" w:cs="Arial"/>
                <w:sz w:val="18"/>
                <w:szCs w:val="18"/>
              </w:rPr>
            </w:pPr>
            <w:r w:rsidRPr="000C4356">
              <w:rPr>
                <w:rFonts w:ascii="Arial" w:hAnsi="Arial" w:cs="Arial"/>
                <w:sz w:val="18"/>
                <w:szCs w:val="18"/>
              </w:rPr>
              <w:t>Military history publications</w:t>
            </w:r>
          </w:p>
          <w:p w14:paraId="7491ED55" w14:textId="77777777" w:rsidR="003F0EEA" w:rsidRPr="000C4356" w:rsidRDefault="00FB7D0B" w:rsidP="003F0EEA">
            <w:pPr>
              <w:pStyle w:val="ListParagraph24"/>
              <w:numPr>
                <w:ilvl w:val="1"/>
                <w:numId w:val="72"/>
              </w:numPr>
              <w:spacing w:after="0" w:line="240" w:lineRule="auto"/>
              <w:rPr>
                <w:rFonts w:ascii="Arial" w:hAnsi="Arial" w:cs="Arial"/>
                <w:sz w:val="18"/>
                <w:szCs w:val="18"/>
              </w:rPr>
            </w:pPr>
            <w:r w:rsidRPr="000C4356">
              <w:rPr>
                <w:rFonts w:ascii="Arial" w:hAnsi="Arial" w:cs="Arial"/>
                <w:i/>
                <w:sz w:val="18"/>
                <w:szCs w:val="18"/>
              </w:rPr>
              <w:t>Wartime</w:t>
            </w:r>
            <w:r w:rsidRPr="000C4356">
              <w:rPr>
                <w:rFonts w:ascii="Arial" w:hAnsi="Arial" w:cs="Arial"/>
                <w:sz w:val="18"/>
                <w:szCs w:val="18"/>
              </w:rPr>
              <w:t xml:space="preserve"> magazine</w:t>
            </w:r>
          </w:p>
          <w:p w14:paraId="1D4ADC3A" w14:textId="77777777" w:rsidR="003F0EEA" w:rsidRPr="000C4356" w:rsidRDefault="00FB7D0B" w:rsidP="003F0EEA">
            <w:pPr>
              <w:pStyle w:val="ListParagraph24"/>
              <w:numPr>
                <w:ilvl w:val="1"/>
                <w:numId w:val="72"/>
              </w:numPr>
              <w:spacing w:after="0" w:line="240" w:lineRule="auto"/>
              <w:rPr>
                <w:rFonts w:ascii="Arial" w:hAnsi="Arial" w:cs="Arial"/>
                <w:sz w:val="18"/>
                <w:szCs w:val="18"/>
              </w:rPr>
            </w:pPr>
            <w:r w:rsidRPr="000C4356">
              <w:rPr>
                <w:rFonts w:ascii="Arial" w:hAnsi="Arial" w:cs="Arial"/>
                <w:sz w:val="18"/>
                <w:szCs w:val="18"/>
              </w:rPr>
              <w:t>Exhibition and education publications</w:t>
            </w:r>
          </w:p>
          <w:p w14:paraId="5BEF6AC5" w14:textId="77777777" w:rsidR="003F0EEA" w:rsidRPr="000C4356" w:rsidRDefault="00FB7D0B" w:rsidP="003F0EEA">
            <w:pPr>
              <w:pStyle w:val="ListParagraph24"/>
              <w:numPr>
                <w:ilvl w:val="0"/>
                <w:numId w:val="72"/>
              </w:numPr>
              <w:spacing w:after="0" w:line="240" w:lineRule="auto"/>
              <w:rPr>
                <w:rFonts w:ascii="Arial" w:hAnsi="Arial" w:cs="Arial"/>
                <w:sz w:val="18"/>
                <w:szCs w:val="18"/>
              </w:rPr>
            </w:pPr>
            <w:r w:rsidRPr="000C4356">
              <w:rPr>
                <w:rFonts w:ascii="Arial" w:hAnsi="Arial" w:cs="Arial"/>
                <w:sz w:val="18"/>
                <w:szCs w:val="18"/>
              </w:rPr>
              <w:t>Access to collection items and military history information including:</w:t>
            </w:r>
          </w:p>
          <w:p w14:paraId="0ADFEF45" w14:textId="77777777" w:rsidR="003F0EEA" w:rsidRPr="000C4356" w:rsidRDefault="00FB7D0B" w:rsidP="003F0EEA">
            <w:pPr>
              <w:pStyle w:val="ListParagraph24"/>
              <w:numPr>
                <w:ilvl w:val="1"/>
                <w:numId w:val="72"/>
              </w:numPr>
              <w:spacing w:after="0" w:line="240" w:lineRule="auto"/>
              <w:rPr>
                <w:rFonts w:ascii="Arial" w:hAnsi="Arial" w:cs="Arial"/>
                <w:sz w:val="18"/>
                <w:szCs w:val="18"/>
              </w:rPr>
            </w:pPr>
            <w:r w:rsidRPr="000C4356">
              <w:rPr>
                <w:rFonts w:ascii="Arial" w:hAnsi="Arial" w:cs="Arial"/>
                <w:sz w:val="18"/>
                <w:szCs w:val="18"/>
              </w:rPr>
              <w:t>Reading room facilities</w:t>
            </w:r>
          </w:p>
          <w:p w14:paraId="4BEAEC87" w14:textId="77777777" w:rsidR="003F0EEA" w:rsidRPr="000C4356" w:rsidRDefault="00FB7D0B" w:rsidP="003F0EEA">
            <w:pPr>
              <w:pStyle w:val="ListParagraph24"/>
              <w:numPr>
                <w:ilvl w:val="1"/>
                <w:numId w:val="72"/>
              </w:numPr>
              <w:spacing w:after="0" w:line="240" w:lineRule="auto"/>
              <w:rPr>
                <w:rFonts w:ascii="Arial" w:hAnsi="Arial" w:cs="Arial"/>
                <w:sz w:val="18"/>
                <w:szCs w:val="18"/>
              </w:rPr>
            </w:pPr>
            <w:r w:rsidRPr="000C4356">
              <w:rPr>
                <w:rFonts w:ascii="Arial" w:hAnsi="Arial" w:cs="Arial"/>
                <w:sz w:val="18"/>
                <w:szCs w:val="18"/>
              </w:rPr>
              <w:t>An authoritative research enquiry service</w:t>
            </w:r>
          </w:p>
          <w:p w14:paraId="0E80D54E" w14:textId="77777777" w:rsidR="003F0EEA" w:rsidRPr="000C4356" w:rsidRDefault="00FB7D0B" w:rsidP="003F0EEA">
            <w:pPr>
              <w:pStyle w:val="ListParagraph24"/>
              <w:numPr>
                <w:ilvl w:val="1"/>
                <w:numId w:val="72"/>
              </w:numPr>
              <w:spacing w:after="0" w:line="240" w:lineRule="auto"/>
              <w:rPr>
                <w:rFonts w:ascii="Arial" w:hAnsi="Arial" w:cs="Arial"/>
                <w:sz w:val="18"/>
                <w:szCs w:val="18"/>
              </w:rPr>
            </w:pPr>
            <w:r w:rsidRPr="000C4356">
              <w:rPr>
                <w:rFonts w:ascii="Arial" w:hAnsi="Arial" w:cs="Arial"/>
                <w:sz w:val="18"/>
                <w:szCs w:val="18"/>
              </w:rPr>
              <w:t>An annual conference</w:t>
            </w:r>
          </w:p>
          <w:p w14:paraId="7F83D824" w14:textId="77777777" w:rsidR="003F0EEA" w:rsidRPr="000C4356" w:rsidRDefault="00FB7D0B" w:rsidP="003F0EEA">
            <w:pPr>
              <w:pStyle w:val="ListParagraph24"/>
              <w:numPr>
                <w:ilvl w:val="1"/>
                <w:numId w:val="72"/>
              </w:numPr>
              <w:spacing w:after="0" w:line="240" w:lineRule="auto"/>
              <w:rPr>
                <w:rFonts w:ascii="Arial" w:hAnsi="Arial" w:cs="Arial"/>
                <w:sz w:val="18"/>
                <w:szCs w:val="18"/>
              </w:rPr>
            </w:pPr>
            <w:r w:rsidRPr="000C4356">
              <w:rPr>
                <w:rFonts w:ascii="Arial" w:hAnsi="Arial" w:cs="Arial"/>
                <w:sz w:val="18"/>
                <w:szCs w:val="18"/>
              </w:rPr>
              <w:t>Online research facilities</w:t>
            </w:r>
          </w:p>
          <w:p w14:paraId="0007CFDF" w14:textId="77777777" w:rsidR="003F0EEA" w:rsidRPr="000C4356" w:rsidRDefault="00FB7D0B" w:rsidP="003F0EEA">
            <w:pPr>
              <w:pStyle w:val="ListParagraph24"/>
              <w:numPr>
                <w:ilvl w:val="1"/>
                <w:numId w:val="72"/>
              </w:numPr>
              <w:spacing w:after="0" w:line="240" w:lineRule="auto"/>
              <w:rPr>
                <w:rFonts w:ascii="Arial" w:hAnsi="Arial" w:cs="Arial"/>
                <w:sz w:val="18"/>
                <w:szCs w:val="18"/>
                <w:lang w:val="en-GB"/>
              </w:rPr>
            </w:pPr>
            <w:r w:rsidRPr="000C4356">
              <w:rPr>
                <w:rFonts w:ascii="Arial" w:hAnsi="Arial" w:cs="Arial"/>
                <w:sz w:val="18"/>
                <w:szCs w:val="18"/>
              </w:rPr>
              <w:t>A shop that provides quality military history books and exhibition publications</w:t>
            </w:r>
          </w:p>
        </w:tc>
      </w:tr>
      <w:tr w:rsidR="00724034" w14:paraId="48694235" w14:textId="77777777" w:rsidTr="003F0EEA">
        <w:tc>
          <w:tcPr>
            <w:tcW w:w="8222" w:type="dxa"/>
            <w:tcBorders>
              <w:top w:val="single" w:sz="4" w:space="0" w:color="auto"/>
              <w:left w:val="single" w:sz="4" w:space="0" w:color="auto"/>
              <w:bottom w:val="single" w:sz="4" w:space="0" w:color="auto"/>
              <w:right w:val="single" w:sz="4" w:space="0" w:color="auto"/>
            </w:tcBorders>
          </w:tcPr>
          <w:p w14:paraId="0FDB67FB" w14:textId="77777777" w:rsidR="003F0EEA" w:rsidRPr="000C4356" w:rsidRDefault="00FB7D0B">
            <w:pPr>
              <w:pStyle w:val="TableTextLeft51"/>
              <w:spacing w:before="0" w:after="0"/>
              <w:rPr>
                <w:b/>
                <w:szCs w:val="18"/>
              </w:rPr>
            </w:pPr>
            <w:r w:rsidRPr="000C4356">
              <w:rPr>
                <w:b/>
                <w:szCs w:val="18"/>
              </w:rPr>
              <w:br w:type="page"/>
              <w:t xml:space="preserve">Programme component 1.7 key performance indicators </w:t>
            </w:r>
          </w:p>
          <w:p w14:paraId="6F30C758" w14:textId="77777777" w:rsidR="003F0EEA" w:rsidRPr="000C4356" w:rsidRDefault="00FB7D0B">
            <w:pPr>
              <w:pStyle w:val="Normal240"/>
              <w:spacing w:after="0" w:line="240" w:lineRule="auto"/>
              <w:rPr>
                <w:rFonts w:ascii="Arial" w:hAnsi="Arial" w:cs="Arial"/>
                <w:sz w:val="18"/>
                <w:szCs w:val="18"/>
              </w:rPr>
            </w:pPr>
            <w:r w:rsidRPr="000C4356">
              <w:rPr>
                <w:rFonts w:ascii="Arial" w:hAnsi="Arial" w:cs="Arial"/>
                <w:sz w:val="18"/>
                <w:szCs w:val="18"/>
              </w:rPr>
              <w:t xml:space="preserve">Conducting individual research at the Memorial’s Research Centre, viewing online research facilities, making research enquiries, attending conferences or lectures, reading material produced by Memorial curators or historians are all deliberate actions to interpret and understand the Australian experience of war and its enduring impact on Australian society.  The KPIs for the effectiveness of the Programme component are: </w:t>
            </w:r>
          </w:p>
          <w:p w14:paraId="3D5C7FE4" w14:textId="77777777" w:rsidR="003F0EEA" w:rsidRPr="000C4356" w:rsidRDefault="00FB7D0B" w:rsidP="003F0EEA">
            <w:pPr>
              <w:pStyle w:val="ListParagraph24"/>
              <w:numPr>
                <w:ilvl w:val="0"/>
                <w:numId w:val="73"/>
              </w:numPr>
              <w:spacing w:after="0" w:line="240" w:lineRule="auto"/>
              <w:rPr>
                <w:rFonts w:ascii="Arial" w:hAnsi="Arial" w:cs="Arial"/>
                <w:sz w:val="18"/>
                <w:szCs w:val="18"/>
              </w:rPr>
            </w:pPr>
            <w:r w:rsidRPr="000C4356">
              <w:rPr>
                <w:rFonts w:ascii="Arial" w:hAnsi="Arial" w:cs="Arial"/>
                <w:sz w:val="18"/>
                <w:szCs w:val="18"/>
              </w:rPr>
              <w:t xml:space="preserve">Number of visitors to the Research Centre’s Reading Room </w:t>
            </w:r>
          </w:p>
          <w:p w14:paraId="20A330A9" w14:textId="77777777" w:rsidR="003F0EEA" w:rsidRPr="000C4356" w:rsidRDefault="00FB7D0B" w:rsidP="003F0EEA">
            <w:pPr>
              <w:pStyle w:val="ListParagraph24"/>
              <w:numPr>
                <w:ilvl w:val="0"/>
                <w:numId w:val="73"/>
              </w:numPr>
              <w:spacing w:after="0" w:line="240" w:lineRule="auto"/>
              <w:rPr>
                <w:rFonts w:ascii="Arial" w:hAnsi="Arial" w:cs="Arial"/>
                <w:sz w:val="18"/>
                <w:szCs w:val="18"/>
              </w:rPr>
            </w:pPr>
            <w:r w:rsidRPr="000C4356">
              <w:rPr>
                <w:rFonts w:ascii="Arial" w:hAnsi="Arial" w:cs="Arial"/>
                <w:sz w:val="18"/>
                <w:szCs w:val="18"/>
              </w:rPr>
              <w:t>Number of items retrieved for and accessed by Reading Room clients</w:t>
            </w:r>
          </w:p>
          <w:p w14:paraId="2F8E8D46" w14:textId="77777777" w:rsidR="003F0EEA" w:rsidRPr="000C4356" w:rsidRDefault="00FB7D0B" w:rsidP="003F0EEA">
            <w:pPr>
              <w:pStyle w:val="ListParagraph24"/>
              <w:numPr>
                <w:ilvl w:val="0"/>
                <w:numId w:val="73"/>
              </w:numPr>
              <w:spacing w:after="0" w:line="240" w:lineRule="auto"/>
              <w:rPr>
                <w:rFonts w:ascii="Arial" w:hAnsi="Arial" w:cs="Arial"/>
                <w:sz w:val="18"/>
                <w:szCs w:val="18"/>
              </w:rPr>
            </w:pPr>
            <w:r w:rsidRPr="000C4356">
              <w:rPr>
                <w:rFonts w:ascii="Arial" w:hAnsi="Arial" w:cs="Arial"/>
                <w:sz w:val="18"/>
                <w:szCs w:val="18"/>
              </w:rPr>
              <w:t>Number of page views accessing the Memorial’s online research facilities</w:t>
            </w:r>
          </w:p>
          <w:p w14:paraId="0ACE9405" w14:textId="77777777" w:rsidR="003F0EEA" w:rsidRPr="000C4356" w:rsidRDefault="00FB7D0B" w:rsidP="003F0EEA">
            <w:pPr>
              <w:pStyle w:val="ListParagraph24"/>
              <w:numPr>
                <w:ilvl w:val="0"/>
                <w:numId w:val="73"/>
              </w:numPr>
              <w:spacing w:after="0" w:line="240" w:lineRule="auto"/>
              <w:rPr>
                <w:rFonts w:ascii="Arial" w:hAnsi="Arial" w:cs="Arial"/>
                <w:sz w:val="18"/>
                <w:szCs w:val="18"/>
              </w:rPr>
            </w:pPr>
            <w:r w:rsidRPr="000C4356">
              <w:rPr>
                <w:rFonts w:ascii="Arial" w:hAnsi="Arial" w:cs="Arial"/>
                <w:sz w:val="18"/>
                <w:szCs w:val="18"/>
              </w:rPr>
              <w:t>Number of research enquiries answered by Memorial staff</w:t>
            </w:r>
          </w:p>
          <w:p w14:paraId="32113246" w14:textId="77777777" w:rsidR="003F0EEA" w:rsidRPr="000C4356" w:rsidRDefault="00FB7D0B" w:rsidP="003F0EEA">
            <w:pPr>
              <w:pStyle w:val="ListParagraph24"/>
              <w:numPr>
                <w:ilvl w:val="0"/>
                <w:numId w:val="73"/>
              </w:numPr>
              <w:spacing w:after="0" w:line="240" w:lineRule="auto"/>
              <w:rPr>
                <w:rFonts w:ascii="Arial" w:hAnsi="Arial" w:cs="Arial"/>
                <w:sz w:val="18"/>
                <w:szCs w:val="18"/>
              </w:rPr>
            </w:pPr>
            <w:r w:rsidRPr="000C4356">
              <w:rPr>
                <w:rFonts w:ascii="Arial" w:hAnsi="Arial" w:cs="Arial"/>
                <w:sz w:val="18"/>
                <w:szCs w:val="18"/>
              </w:rPr>
              <w:t>Total attendance at the annual conference</w:t>
            </w:r>
          </w:p>
          <w:p w14:paraId="58C27295" w14:textId="77777777" w:rsidR="003F0EEA" w:rsidRPr="000C4356" w:rsidRDefault="00FB7D0B" w:rsidP="003F0EEA">
            <w:pPr>
              <w:pStyle w:val="ListParagraph24"/>
              <w:numPr>
                <w:ilvl w:val="0"/>
                <w:numId w:val="73"/>
              </w:numPr>
              <w:spacing w:after="0" w:line="240" w:lineRule="auto"/>
              <w:rPr>
                <w:rFonts w:ascii="Arial" w:hAnsi="Arial" w:cs="Arial"/>
                <w:sz w:val="18"/>
                <w:szCs w:val="18"/>
              </w:rPr>
            </w:pPr>
            <w:r w:rsidRPr="000C4356">
              <w:rPr>
                <w:rFonts w:ascii="Arial" w:hAnsi="Arial" w:cs="Arial"/>
                <w:sz w:val="18"/>
                <w:szCs w:val="18"/>
              </w:rPr>
              <w:t xml:space="preserve">Number of lectures and conference papers given by Memorial staff </w:t>
            </w:r>
          </w:p>
          <w:p w14:paraId="36B29F16" w14:textId="77777777" w:rsidR="003F0EEA" w:rsidRPr="000C4356" w:rsidRDefault="00FB7D0B" w:rsidP="003F0EEA">
            <w:pPr>
              <w:pStyle w:val="ListParagraph24"/>
              <w:numPr>
                <w:ilvl w:val="0"/>
                <w:numId w:val="73"/>
              </w:numPr>
              <w:spacing w:after="0" w:line="240" w:lineRule="auto"/>
              <w:rPr>
                <w:rFonts w:ascii="Arial" w:hAnsi="Arial" w:cs="Arial"/>
                <w:sz w:val="18"/>
                <w:szCs w:val="18"/>
              </w:rPr>
            </w:pPr>
            <w:r w:rsidRPr="000C4356">
              <w:rPr>
                <w:rFonts w:ascii="Arial" w:hAnsi="Arial" w:cs="Arial"/>
                <w:sz w:val="18"/>
                <w:szCs w:val="18"/>
              </w:rPr>
              <w:t>Number of books and articles written by Memorial staff</w:t>
            </w:r>
          </w:p>
          <w:p w14:paraId="7D8DEA7A" w14:textId="77777777" w:rsidR="003F0EEA" w:rsidRPr="000C4356" w:rsidRDefault="00FB7D0B" w:rsidP="003F0EEA">
            <w:pPr>
              <w:pStyle w:val="ListParagraph24"/>
              <w:numPr>
                <w:ilvl w:val="0"/>
                <w:numId w:val="73"/>
              </w:numPr>
              <w:spacing w:after="0" w:line="240" w:lineRule="auto"/>
              <w:rPr>
                <w:rFonts w:ascii="Arial" w:hAnsi="Arial" w:cs="Arial"/>
                <w:sz w:val="18"/>
                <w:szCs w:val="18"/>
              </w:rPr>
            </w:pPr>
            <w:r w:rsidRPr="000C4356">
              <w:rPr>
                <w:rFonts w:ascii="Arial" w:hAnsi="Arial" w:cs="Arial"/>
                <w:sz w:val="18"/>
                <w:szCs w:val="18"/>
              </w:rPr>
              <w:t xml:space="preserve">Sales figures for </w:t>
            </w:r>
            <w:r w:rsidRPr="000C4356">
              <w:rPr>
                <w:rFonts w:ascii="Arial" w:hAnsi="Arial" w:cs="Arial"/>
                <w:i/>
                <w:sz w:val="18"/>
                <w:szCs w:val="18"/>
              </w:rPr>
              <w:t>Wartime</w:t>
            </w:r>
            <w:r w:rsidRPr="000C4356">
              <w:rPr>
                <w:rFonts w:ascii="Arial" w:hAnsi="Arial" w:cs="Arial"/>
                <w:sz w:val="18"/>
                <w:szCs w:val="18"/>
              </w:rPr>
              <w:t xml:space="preserve"> and other publications produced by the Memorial</w:t>
            </w:r>
          </w:p>
        </w:tc>
      </w:tr>
    </w:tbl>
    <w:p w14:paraId="091DB6B6" w14:textId="77777777" w:rsidR="003F0EEA" w:rsidRDefault="00FB7D0B">
      <w:pPr>
        <w:spacing w:line="14" w:lineRule="exact"/>
        <w:rPr>
          <w:rFonts w:ascii="Arial" w:eastAsia="Times New Roman" w:hAnsi="Arial" w:cs="Arial"/>
        </w:rPr>
      </w:pPr>
      <w:r>
        <w:rPr>
          <w:rFonts w:ascii="Arial" w:eastAsia="Times New Roman" w:hAnsi="Arial" w:cs="Arial"/>
        </w:rPr>
        <w:br w:type="page"/>
      </w:r>
    </w:p>
    <w:tbl>
      <w:tblPr>
        <w:tblW w:w="0" w:type="auto"/>
        <w:tblBorders>
          <w:top w:val="single" w:sz="2" w:space="0" w:color="auto"/>
          <w:left w:val="single" w:sz="2" w:space="0" w:color="auto"/>
          <w:bottom w:val="single" w:sz="2" w:space="0" w:color="auto"/>
          <w:right w:val="single" w:sz="2" w:space="0" w:color="auto"/>
          <w:insideH w:val="single" w:sz="2" w:space="0" w:color="auto"/>
        </w:tblBorders>
        <w:tblLook w:val="01E0" w:firstRow="1" w:lastRow="1" w:firstColumn="1" w:lastColumn="1" w:noHBand="0" w:noVBand="0"/>
      </w:tblPr>
      <w:tblGrid>
        <w:gridCol w:w="8195"/>
      </w:tblGrid>
      <w:tr w:rsidR="00724034" w14:paraId="48CF99B6" w14:textId="77777777" w:rsidTr="003F0EEA">
        <w:tc>
          <w:tcPr>
            <w:tcW w:w="8195" w:type="dxa"/>
            <w:tcBorders>
              <w:top w:val="single" w:sz="2" w:space="0" w:color="auto"/>
              <w:left w:val="single" w:sz="2" w:space="0" w:color="auto"/>
              <w:bottom w:val="single" w:sz="2" w:space="0" w:color="auto"/>
              <w:right w:val="single" w:sz="2" w:space="0" w:color="auto"/>
            </w:tcBorders>
            <w:shd w:val="clear" w:color="auto" w:fill="E6E6E6"/>
          </w:tcPr>
          <w:p w14:paraId="53F71438" w14:textId="77777777" w:rsidR="003F0EEA" w:rsidRDefault="00FB7D0B">
            <w:pPr>
              <w:pStyle w:val="TableColumnHeadingLeft16"/>
              <w:rPr>
                <w:rFonts w:cs="Arial"/>
              </w:rPr>
            </w:pPr>
            <w:r>
              <w:rPr>
                <w:rFonts w:cs="Arial"/>
              </w:rPr>
              <w:t>Programme Component 1.8: Visitor Services</w:t>
            </w:r>
          </w:p>
        </w:tc>
      </w:tr>
      <w:tr w:rsidR="00724034" w14:paraId="6C46DE2F" w14:textId="77777777" w:rsidTr="003F0EEA">
        <w:tc>
          <w:tcPr>
            <w:tcW w:w="8195" w:type="dxa"/>
            <w:tcBorders>
              <w:top w:val="single" w:sz="4" w:space="0" w:color="auto"/>
              <w:left w:val="single" w:sz="4" w:space="0" w:color="auto"/>
              <w:bottom w:val="single" w:sz="4" w:space="0" w:color="auto"/>
              <w:right w:val="single" w:sz="4" w:space="0" w:color="auto"/>
            </w:tcBorders>
          </w:tcPr>
          <w:p w14:paraId="5F48AE23" w14:textId="77777777" w:rsidR="003F0EEA" w:rsidRPr="00094305" w:rsidRDefault="00FB7D0B">
            <w:pPr>
              <w:pStyle w:val="TableTextLeft52"/>
              <w:rPr>
                <w:b/>
                <w:szCs w:val="18"/>
              </w:rPr>
            </w:pPr>
            <w:r w:rsidRPr="00094305">
              <w:rPr>
                <w:b/>
                <w:szCs w:val="18"/>
              </w:rPr>
              <w:t>Programme component 1.8 objective</w:t>
            </w:r>
          </w:p>
          <w:p w14:paraId="024D5873" w14:textId="77777777" w:rsidR="003F0EEA" w:rsidRPr="00094305" w:rsidRDefault="00FB7D0B">
            <w:pPr>
              <w:pStyle w:val="TableTextLeft52"/>
              <w:rPr>
                <w:snapToGrid w:val="0"/>
                <w:szCs w:val="18"/>
                <w:lang w:eastAsia="en-US"/>
              </w:rPr>
            </w:pPr>
            <w:r w:rsidRPr="00094305">
              <w:rPr>
                <w:snapToGrid w:val="0"/>
                <w:szCs w:val="18"/>
                <w:lang w:eastAsia="en-US"/>
              </w:rPr>
              <w:t>Visitors to both the Memorial and its outreach programmes are provided with a standard of service that enhances their experience and encourages them to re-use services and promote them to others. Through the provision of high-quality visitor services, this Programme component provides a necessary foundation for other Programme components to function effectively. In this way, this Programme component assists Australians to understand the Australian experience of war and its enduring impact on Australian society.</w:t>
            </w:r>
          </w:p>
        </w:tc>
      </w:tr>
      <w:tr w:rsidR="00724034" w14:paraId="14CEF122" w14:textId="77777777" w:rsidTr="003F0EEA">
        <w:tc>
          <w:tcPr>
            <w:tcW w:w="8195" w:type="dxa"/>
            <w:tcBorders>
              <w:top w:val="single" w:sz="4" w:space="0" w:color="auto"/>
              <w:left w:val="single" w:sz="4" w:space="0" w:color="auto"/>
              <w:bottom w:val="single" w:sz="4" w:space="0" w:color="auto"/>
              <w:right w:val="single" w:sz="4" w:space="0" w:color="auto"/>
            </w:tcBorders>
          </w:tcPr>
          <w:p w14:paraId="75C6A9EF" w14:textId="77777777" w:rsidR="003F0EEA" w:rsidRPr="00094305" w:rsidRDefault="00FB7D0B">
            <w:pPr>
              <w:pStyle w:val="TableTextLeft52"/>
              <w:rPr>
                <w:b/>
                <w:szCs w:val="18"/>
              </w:rPr>
            </w:pPr>
            <w:r w:rsidRPr="00094305">
              <w:rPr>
                <w:b/>
                <w:szCs w:val="18"/>
              </w:rPr>
              <w:t xml:space="preserve">Programme component 1.8 deliverables </w:t>
            </w:r>
          </w:p>
          <w:p w14:paraId="61722624" w14:textId="77777777" w:rsidR="003F0EEA" w:rsidRPr="00094305" w:rsidRDefault="00FB7D0B">
            <w:pPr>
              <w:pStyle w:val="TableTextLeft52"/>
              <w:rPr>
                <w:szCs w:val="18"/>
                <w:lang w:val="en-GB"/>
              </w:rPr>
            </w:pPr>
            <w:r w:rsidRPr="00094305">
              <w:rPr>
                <w:szCs w:val="18"/>
                <w:lang w:val="en-GB"/>
              </w:rPr>
              <w:t xml:space="preserve">The Australian War Memorial will deliver: </w:t>
            </w:r>
          </w:p>
          <w:p w14:paraId="732E17B4" w14:textId="77777777" w:rsidR="003F0EEA" w:rsidRPr="00094305" w:rsidRDefault="00FB7D0B" w:rsidP="003F0EEA">
            <w:pPr>
              <w:pStyle w:val="ListParagraph25"/>
              <w:numPr>
                <w:ilvl w:val="0"/>
                <w:numId w:val="74"/>
              </w:numPr>
              <w:spacing w:after="0" w:line="240" w:lineRule="auto"/>
              <w:rPr>
                <w:rFonts w:ascii="Arial" w:hAnsi="Arial" w:cs="Arial"/>
                <w:sz w:val="18"/>
                <w:szCs w:val="18"/>
              </w:rPr>
            </w:pPr>
            <w:r w:rsidRPr="00094305">
              <w:rPr>
                <w:rFonts w:ascii="Arial" w:hAnsi="Arial" w:cs="Arial"/>
                <w:sz w:val="18"/>
                <w:szCs w:val="18"/>
              </w:rPr>
              <w:t>Front-of-house staff trained to deliver high level customer service and voluntary guides trained to an introductory level of military history and to deliver high level customer service.</w:t>
            </w:r>
          </w:p>
          <w:p w14:paraId="4A50526B" w14:textId="77777777" w:rsidR="003F0EEA" w:rsidRPr="00094305" w:rsidRDefault="00FB7D0B" w:rsidP="003F0EEA">
            <w:pPr>
              <w:pStyle w:val="TableTextBullet28"/>
              <w:numPr>
                <w:ilvl w:val="0"/>
                <w:numId w:val="74"/>
              </w:numPr>
              <w:rPr>
                <w:rFonts w:cs="Arial"/>
                <w:szCs w:val="18"/>
                <w:lang w:val="en-GB"/>
              </w:rPr>
            </w:pPr>
            <w:r w:rsidRPr="00094305">
              <w:rPr>
                <w:rFonts w:cs="Arial"/>
                <w:szCs w:val="18"/>
                <w:lang w:val="en-GB"/>
              </w:rPr>
              <w:t>High quality and suitable public facilities such as restrooms, cafe, and way-finding signs.</w:t>
            </w:r>
          </w:p>
          <w:p w14:paraId="0676C0CB" w14:textId="77777777" w:rsidR="003F0EEA" w:rsidRPr="00094305" w:rsidRDefault="00FB7D0B" w:rsidP="003F0EEA">
            <w:pPr>
              <w:pStyle w:val="TableTextBullet28"/>
              <w:numPr>
                <w:ilvl w:val="0"/>
                <w:numId w:val="74"/>
              </w:numPr>
              <w:rPr>
                <w:rFonts w:cs="Arial"/>
                <w:szCs w:val="18"/>
                <w:lang w:val="en-GB"/>
              </w:rPr>
            </w:pPr>
            <w:r w:rsidRPr="00094305">
              <w:rPr>
                <w:rFonts w:cs="Arial"/>
                <w:szCs w:val="18"/>
                <w:lang w:val="en-GB"/>
              </w:rPr>
              <w:t>Opportunities for visitor feedback such as Service Charter, Visitors’ Book and evaluation services.</w:t>
            </w:r>
          </w:p>
        </w:tc>
      </w:tr>
      <w:tr w:rsidR="00724034" w14:paraId="5605066A" w14:textId="77777777" w:rsidTr="003F0EEA">
        <w:tc>
          <w:tcPr>
            <w:tcW w:w="8195" w:type="dxa"/>
            <w:tcBorders>
              <w:top w:val="single" w:sz="4" w:space="0" w:color="auto"/>
              <w:left w:val="single" w:sz="4" w:space="0" w:color="auto"/>
              <w:bottom w:val="single" w:sz="4" w:space="0" w:color="auto"/>
              <w:right w:val="single" w:sz="4" w:space="0" w:color="auto"/>
            </w:tcBorders>
          </w:tcPr>
          <w:p w14:paraId="62056078" w14:textId="77777777" w:rsidR="003F0EEA" w:rsidRPr="00094305" w:rsidRDefault="00FB7D0B">
            <w:pPr>
              <w:pStyle w:val="TableTextLeft52"/>
              <w:rPr>
                <w:b/>
                <w:szCs w:val="18"/>
              </w:rPr>
            </w:pPr>
            <w:r w:rsidRPr="00094305">
              <w:rPr>
                <w:b/>
                <w:szCs w:val="18"/>
              </w:rPr>
              <w:br w:type="page"/>
              <w:t xml:space="preserve">Programme component 1.8 key performance indicators </w:t>
            </w:r>
          </w:p>
          <w:p w14:paraId="0352C180" w14:textId="77777777" w:rsidR="003F0EEA" w:rsidRPr="00094305" w:rsidRDefault="00FB7D0B">
            <w:pPr>
              <w:pStyle w:val="TableTextLeft52"/>
              <w:rPr>
                <w:szCs w:val="18"/>
                <w:lang w:val="en-GB"/>
              </w:rPr>
            </w:pPr>
            <w:r w:rsidRPr="00094305">
              <w:rPr>
                <w:szCs w:val="18"/>
                <w:lang w:val="en-GB"/>
              </w:rPr>
              <w:t xml:space="preserve">The provision of high-quality visitor services provides the necessary foundation for other Programme components to function effectively (namely Programme components 1.1, 1.2, 1.4, 1.5 and 1.7). </w:t>
            </w:r>
            <w:r w:rsidRPr="00094305">
              <w:rPr>
                <w:szCs w:val="18"/>
              </w:rPr>
              <w:t>The KPIs for the effectiveness of this Programme component are:</w:t>
            </w:r>
          </w:p>
          <w:p w14:paraId="18D6002D" w14:textId="77777777" w:rsidR="003F0EEA" w:rsidRPr="00094305" w:rsidRDefault="00FB7D0B" w:rsidP="003F0EEA">
            <w:pPr>
              <w:pStyle w:val="TableTextBullet28"/>
              <w:numPr>
                <w:ilvl w:val="0"/>
                <w:numId w:val="76"/>
              </w:numPr>
              <w:rPr>
                <w:rFonts w:cs="Arial"/>
                <w:szCs w:val="18"/>
                <w:lang w:val="en-GB"/>
              </w:rPr>
            </w:pPr>
            <w:r w:rsidRPr="00094305">
              <w:rPr>
                <w:rFonts w:cs="Arial"/>
                <w:szCs w:val="18"/>
                <w:lang w:val="en-GB"/>
              </w:rPr>
              <w:t>At least 90% of surveyed visitors state that their visit has met or exceeded their expectations.</w:t>
            </w:r>
          </w:p>
          <w:p w14:paraId="64D18C6C" w14:textId="77777777" w:rsidR="003F0EEA" w:rsidRPr="00094305" w:rsidRDefault="00FB7D0B" w:rsidP="003F0EEA">
            <w:pPr>
              <w:pStyle w:val="TableTextBullet28"/>
              <w:numPr>
                <w:ilvl w:val="0"/>
                <w:numId w:val="76"/>
              </w:numPr>
              <w:rPr>
                <w:rFonts w:cs="Arial"/>
                <w:szCs w:val="18"/>
                <w:lang w:val="en-GB"/>
              </w:rPr>
            </w:pPr>
            <w:r w:rsidRPr="00094305">
              <w:rPr>
                <w:rFonts w:cs="Arial"/>
                <w:szCs w:val="18"/>
                <w:lang w:val="en-GB"/>
              </w:rPr>
              <w:t>At least 80% of surveyed visitors state that the Memorial has maintained or improved its standard of service since their last visit.</w:t>
            </w:r>
          </w:p>
        </w:tc>
      </w:tr>
    </w:tbl>
    <w:p w14:paraId="19D40207" w14:textId="77777777" w:rsidR="003F0EEA" w:rsidRDefault="003F0EEA">
      <w:pPr>
        <w:rPr>
          <w:rFonts w:eastAsia="Times New Roman" w:cs="Times New Roman"/>
        </w:rPr>
        <w:sectPr w:rsidR="003F0EEA">
          <w:pgSz w:w="10319" w:h="14572"/>
          <w:pgMar w:top="1077" w:right="1077" w:bottom="1134" w:left="1134" w:header="709" w:footer="709" w:gutter="0"/>
          <w:cols w:space="708"/>
        </w:sectPr>
      </w:pPr>
    </w:p>
    <w:p w14:paraId="755E8122" w14:textId="77777777" w:rsidR="003F0EEA" w:rsidRPr="00FB1E6E" w:rsidRDefault="00FB7D0B" w:rsidP="003F0EEA">
      <w:pPr>
        <w:pStyle w:val="Heading23"/>
        <w:spacing w:before="0" w:after="120"/>
        <w:rPr>
          <w:i w:val="0"/>
          <w:sz w:val="30"/>
          <w:szCs w:val="30"/>
        </w:rPr>
      </w:pPr>
      <w:bookmarkStart w:id="15" w:name="_Toc190682532"/>
      <w:bookmarkStart w:id="16" w:name="_Toc190682315"/>
      <w:r w:rsidRPr="008F0900">
        <w:rPr>
          <w:i w:val="0"/>
          <w:sz w:val="30"/>
          <w:szCs w:val="30"/>
        </w:rPr>
        <w:lastRenderedPageBreak/>
        <w:t>Section 3: Explanatory Tables and Budgeted Financial Statements</w:t>
      </w:r>
      <w:bookmarkEnd w:id="15"/>
      <w:bookmarkEnd w:id="16"/>
    </w:p>
    <w:p w14:paraId="458CF734" w14:textId="77777777" w:rsidR="003F0EEA" w:rsidRDefault="00FB7D0B" w:rsidP="003F0EEA">
      <w:pPr>
        <w:pStyle w:val="Normal242"/>
      </w:pPr>
      <w:r w:rsidRPr="00FB1E6E">
        <w:t>Section 3 presents</w:t>
      </w:r>
      <w:r>
        <w:t xml:space="preserve"> explanatory tables and budgeted financial statements which provide a comprehensive snapshot of agency finances for the 2014-15</w:t>
      </w:r>
      <w:r>
        <w:rPr>
          <w:color w:val="00B050"/>
        </w:rPr>
        <w:t xml:space="preserve"> </w:t>
      </w:r>
      <w:r>
        <w:t>budget year. It explains how budget plans are incorporated into the financial statements and provides further details of the reconciliation between appropriations and programme expenses, movements in administered funds, special accounts and government indigenous expenditure.</w:t>
      </w:r>
    </w:p>
    <w:p w14:paraId="4BF4577D" w14:textId="77777777" w:rsidR="003F0EEA" w:rsidRPr="00B11644" w:rsidRDefault="00FB7D0B" w:rsidP="003F0EEA">
      <w:pPr>
        <w:pStyle w:val="Heading314"/>
        <w:rPr>
          <w:rFonts w:cs="Arial"/>
          <w:szCs w:val="26"/>
        </w:rPr>
      </w:pPr>
      <w:r w:rsidRPr="00B11644">
        <w:rPr>
          <w:rFonts w:cs="Arial"/>
          <w:szCs w:val="26"/>
        </w:rPr>
        <w:t>3.1</w:t>
      </w:r>
      <w:r w:rsidRPr="00B11644">
        <w:rPr>
          <w:rFonts w:cs="Arial"/>
          <w:szCs w:val="26"/>
        </w:rPr>
        <w:tab/>
        <w:t>Explanatory tables</w:t>
      </w:r>
    </w:p>
    <w:p w14:paraId="77CD28D4" w14:textId="77777777" w:rsidR="003F0EEA" w:rsidRPr="0085210C" w:rsidRDefault="00FB7D0B" w:rsidP="003F0EEA">
      <w:pPr>
        <w:pStyle w:val="Heading414"/>
        <w:rPr>
          <w:rFonts w:ascii="Arial" w:hAnsi="Arial" w:cs="Arial"/>
          <w:sz w:val="22"/>
          <w:szCs w:val="22"/>
        </w:rPr>
      </w:pPr>
      <w:r w:rsidRPr="0085210C">
        <w:rPr>
          <w:rFonts w:ascii="Arial" w:hAnsi="Arial" w:cs="Arial"/>
          <w:sz w:val="22"/>
          <w:szCs w:val="22"/>
        </w:rPr>
        <w:t>3.1.1</w:t>
      </w:r>
      <w:r w:rsidRPr="0085210C">
        <w:rPr>
          <w:rFonts w:ascii="Arial" w:hAnsi="Arial" w:cs="Arial"/>
          <w:sz w:val="22"/>
          <w:szCs w:val="22"/>
        </w:rPr>
        <w:tab/>
        <w:t>Movement of Administered Funds Between Years</w:t>
      </w:r>
    </w:p>
    <w:p w14:paraId="14A445BA" w14:textId="77777777" w:rsidR="003F0EEA" w:rsidRDefault="00FB7D0B" w:rsidP="003F0EEA">
      <w:pPr>
        <w:pStyle w:val="Normal242"/>
      </w:pPr>
      <w:r>
        <w:t xml:space="preserve">The Australian War Memorial does not manage administered funds, however the Memorial’s appropriation is treated as administered funds by Department of Veterans’ Affairs. </w:t>
      </w:r>
    </w:p>
    <w:p w14:paraId="7D13BC05" w14:textId="77777777" w:rsidR="003F0EEA" w:rsidRDefault="00FB7D0B" w:rsidP="003F0EEA">
      <w:pPr>
        <w:pStyle w:val="Normal242"/>
      </w:pPr>
      <w:r>
        <w:t>Administered funds can be provided for a specified period, for example under annual Appropriation Acts. Funds not used in the specified period with the agreement of the Finance Minister may be moved to a future year. Table 3.1.1 shows the movement of administered funds approved between years, which relates to the planned expenditure for the Anzac Centenary Travelling Exhibition.</w:t>
      </w:r>
    </w:p>
    <w:tbl>
      <w:tblPr>
        <w:tblW w:w="7243" w:type="dxa"/>
        <w:tblLook w:val="04A0" w:firstRow="1" w:lastRow="0" w:firstColumn="1" w:lastColumn="0" w:noHBand="0" w:noVBand="1"/>
      </w:tblPr>
      <w:tblGrid>
        <w:gridCol w:w="2977"/>
        <w:gridCol w:w="851"/>
        <w:gridCol w:w="850"/>
        <w:gridCol w:w="853"/>
        <w:gridCol w:w="856"/>
        <w:gridCol w:w="856"/>
      </w:tblGrid>
      <w:tr w:rsidR="00724034" w14:paraId="717AFA39" w14:textId="77777777" w:rsidTr="003F0EEA">
        <w:trPr>
          <w:trHeight w:val="210"/>
        </w:trPr>
        <w:tc>
          <w:tcPr>
            <w:tcW w:w="5531" w:type="dxa"/>
            <w:gridSpan w:val="4"/>
            <w:noWrap/>
            <w:vAlign w:val="center"/>
          </w:tcPr>
          <w:p w14:paraId="792108A5" w14:textId="77777777" w:rsidR="003F0EEA" w:rsidRDefault="00FB7D0B">
            <w:pPr>
              <w:pStyle w:val="Normal242"/>
              <w:spacing w:after="0" w:line="240" w:lineRule="auto"/>
              <w:jc w:val="left"/>
              <w:rPr>
                <w:rFonts w:ascii="Arial" w:hAnsi="Arial" w:cs="Arial"/>
                <w:b/>
                <w:bCs/>
                <w:sz w:val="16"/>
                <w:szCs w:val="16"/>
              </w:rPr>
            </w:pPr>
            <w:r>
              <w:rPr>
                <w:rFonts w:ascii="Arial" w:hAnsi="Arial" w:cs="Arial"/>
                <w:b/>
                <w:bCs/>
                <w:sz w:val="16"/>
                <w:szCs w:val="16"/>
              </w:rPr>
              <w:t>Table 3.1.1:  Movement of Administered Funds Between Years</w:t>
            </w:r>
            <w:r>
              <w:rPr>
                <w:rFonts w:ascii="Arial" w:hAnsi="Arial" w:cs="Arial"/>
                <w:b/>
                <w:bCs/>
                <w:sz w:val="16"/>
                <w:szCs w:val="16"/>
                <w:vertAlign w:val="superscript"/>
              </w:rPr>
              <w:t>1</w:t>
            </w:r>
          </w:p>
        </w:tc>
        <w:tc>
          <w:tcPr>
            <w:tcW w:w="856" w:type="dxa"/>
            <w:noWrap/>
            <w:vAlign w:val="center"/>
          </w:tcPr>
          <w:p w14:paraId="03559376" w14:textId="77777777" w:rsidR="003F0EEA" w:rsidRDefault="003F0EEA">
            <w:pPr>
              <w:pStyle w:val="Normal242"/>
              <w:spacing w:after="0" w:line="240" w:lineRule="auto"/>
              <w:jc w:val="left"/>
              <w:rPr>
                <w:rFonts w:ascii="Arial" w:hAnsi="Arial" w:cs="Arial"/>
                <w:color w:val="000000"/>
                <w:sz w:val="16"/>
                <w:szCs w:val="16"/>
              </w:rPr>
            </w:pPr>
          </w:p>
        </w:tc>
        <w:tc>
          <w:tcPr>
            <w:tcW w:w="856" w:type="dxa"/>
            <w:noWrap/>
            <w:vAlign w:val="center"/>
          </w:tcPr>
          <w:p w14:paraId="0506D08A" w14:textId="77777777" w:rsidR="003F0EEA" w:rsidRDefault="003F0EEA">
            <w:pPr>
              <w:pStyle w:val="Normal242"/>
              <w:spacing w:after="0" w:line="240" w:lineRule="auto"/>
              <w:jc w:val="left"/>
              <w:rPr>
                <w:rFonts w:ascii="Arial" w:hAnsi="Arial" w:cs="Arial"/>
                <w:color w:val="000000"/>
                <w:sz w:val="16"/>
                <w:szCs w:val="16"/>
              </w:rPr>
            </w:pPr>
          </w:p>
        </w:tc>
      </w:tr>
      <w:tr w:rsidR="00724034" w14:paraId="64061444" w14:textId="77777777" w:rsidTr="003F0EEA">
        <w:trPr>
          <w:trHeight w:val="210"/>
        </w:trPr>
        <w:tc>
          <w:tcPr>
            <w:tcW w:w="2977" w:type="dxa"/>
            <w:noWrap/>
            <w:vAlign w:val="center"/>
          </w:tcPr>
          <w:p w14:paraId="15DE5079" w14:textId="77777777" w:rsidR="003F0EEA" w:rsidRDefault="003F0EEA">
            <w:pPr>
              <w:pStyle w:val="Normal242"/>
              <w:spacing w:after="0" w:line="240" w:lineRule="auto"/>
              <w:jc w:val="left"/>
              <w:rPr>
                <w:rFonts w:ascii="Arial" w:hAnsi="Arial" w:cs="Arial"/>
                <w:b/>
                <w:bCs/>
                <w:color w:val="000000"/>
                <w:sz w:val="16"/>
                <w:szCs w:val="16"/>
              </w:rPr>
            </w:pPr>
          </w:p>
        </w:tc>
        <w:tc>
          <w:tcPr>
            <w:tcW w:w="851" w:type="dxa"/>
            <w:noWrap/>
            <w:vAlign w:val="center"/>
          </w:tcPr>
          <w:p w14:paraId="0CC1FDDD" w14:textId="77777777" w:rsidR="003F0EEA" w:rsidRDefault="003F0EEA">
            <w:pPr>
              <w:pStyle w:val="Normal242"/>
              <w:spacing w:after="0" w:line="240" w:lineRule="auto"/>
              <w:jc w:val="left"/>
              <w:rPr>
                <w:rFonts w:ascii="Arial" w:hAnsi="Arial" w:cs="Arial"/>
                <w:color w:val="000000"/>
                <w:sz w:val="16"/>
                <w:szCs w:val="16"/>
              </w:rPr>
            </w:pPr>
          </w:p>
        </w:tc>
        <w:tc>
          <w:tcPr>
            <w:tcW w:w="850" w:type="dxa"/>
            <w:noWrap/>
            <w:vAlign w:val="center"/>
          </w:tcPr>
          <w:p w14:paraId="0934BAD7" w14:textId="77777777" w:rsidR="003F0EEA" w:rsidRDefault="003F0EEA">
            <w:pPr>
              <w:pStyle w:val="Normal242"/>
              <w:spacing w:after="0" w:line="240" w:lineRule="auto"/>
              <w:jc w:val="left"/>
              <w:rPr>
                <w:rFonts w:ascii="Arial" w:hAnsi="Arial" w:cs="Arial"/>
                <w:color w:val="000000"/>
                <w:sz w:val="16"/>
                <w:szCs w:val="16"/>
              </w:rPr>
            </w:pPr>
          </w:p>
        </w:tc>
        <w:tc>
          <w:tcPr>
            <w:tcW w:w="853" w:type="dxa"/>
            <w:noWrap/>
            <w:vAlign w:val="center"/>
          </w:tcPr>
          <w:p w14:paraId="46F07C62" w14:textId="77777777" w:rsidR="003F0EEA" w:rsidRDefault="003F0EEA">
            <w:pPr>
              <w:pStyle w:val="Normal242"/>
              <w:spacing w:after="0" w:line="240" w:lineRule="auto"/>
              <w:jc w:val="left"/>
              <w:rPr>
                <w:rFonts w:ascii="Arial" w:hAnsi="Arial" w:cs="Arial"/>
                <w:color w:val="000000"/>
                <w:sz w:val="16"/>
                <w:szCs w:val="16"/>
              </w:rPr>
            </w:pPr>
          </w:p>
        </w:tc>
        <w:tc>
          <w:tcPr>
            <w:tcW w:w="856" w:type="dxa"/>
            <w:noWrap/>
            <w:vAlign w:val="center"/>
          </w:tcPr>
          <w:p w14:paraId="12E090DF" w14:textId="77777777" w:rsidR="003F0EEA" w:rsidRDefault="003F0EEA">
            <w:pPr>
              <w:pStyle w:val="Normal242"/>
              <w:spacing w:after="0" w:line="240" w:lineRule="auto"/>
              <w:jc w:val="left"/>
              <w:rPr>
                <w:rFonts w:ascii="Arial" w:hAnsi="Arial" w:cs="Arial"/>
                <w:color w:val="000000"/>
                <w:sz w:val="16"/>
                <w:szCs w:val="16"/>
              </w:rPr>
            </w:pPr>
          </w:p>
        </w:tc>
        <w:tc>
          <w:tcPr>
            <w:tcW w:w="856" w:type="dxa"/>
            <w:noWrap/>
            <w:vAlign w:val="center"/>
          </w:tcPr>
          <w:p w14:paraId="4C22899C" w14:textId="77777777" w:rsidR="003F0EEA" w:rsidRDefault="003F0EEA">
            <w:pPr>
              <w:pStyle w:val="Normal242"/>
              <w:spacing w:after="0" w:line="240" w:lineRule="auto"/>
              <w:jc w:val="left"/>
              <w:rPr>
                <w:rFonts w:ascii="Arial" w:hAnsi="Arial" w:cs="Arial"/>
                <w:color w:val="000000"/>
                <w:sz w:val="16"/>
                <w:szCs w:val="16"/>
              </w:rPr>
            </w:pPr>
          </w:p>
        </w:tc>
      </w:tr>
      <w:tr w:rsidR="00724034" w14:paraId="5CBDABDA" w14:textId="77777777" w:rsidTr="003F0EEA">
        <w:trPr>
          <w:trHeight w:val="225"/>
        </w:trPr>
        <w:tc>
          <w:tcPr>
            <w:tcW w:w="2977" w:type="dxa"/>
            <w:tcBorders>
              <w:top w:val="single" w:sz="4" w:space="0" w:color="000000"/>
              <w:left w:val="nil"/>
              <w:bottom w:val="nil"/>
              <w:right w:val="nil"/>
            </w:tcBorders>
            <w:noWrap/>
            <w:vAlign w:val="center"/>
          </w:tcPr>
          <w:p w14:paraId="58445270" w14:textId="77777777" w:rsidR="003F0EEA" w:rsidRDefault="00FB7D0B">
            <w:pPr>
              <w:pStyle w:val="Normal242"/>
              <w:spacing w:after="0" w:line="240" w:lineRule="auto"/>
              <w:jc w:val="left"/>
              <w:rPr>
                <w:rFonts w:ascii="Arial" w:hAnsi="Arial" w:cs="Arial"/>
                <w:color w:val="000000"/>
                <w:sz w:val="16"/>
                <w:szCs w:val="16"/>
              </w:rPr>
            </w:pPr>
            <w:r>
              <w:rPr>
                <w:rFonts w:ascii="Arial" w:hAnsi="Arial" w:cs="Arial"/>
                <w:color w:val="000000"/>
                <w:sz w:val="16"/>
                <w:szCs w:val="16"/>
              </w:rPr>
              <w:t> </w:t>
            </w:r>
          </w:p>
        </w:tc>
        <w:tc>
          <w:tcPr>
            <w:tcW w:w="851" w:type="dxa"/>
            <w:tcBorders>
              <w:top w:val="single" w:sz="4" w:space="0" w:color="auto"/>
              <w:left w:val="nil"/>
              <w:bottom w:val="nil"/>
              <w:right w:val="nil"/>
            </w:tcBorders>
            <w:shd w:val="clear" w:color="auto" w:fill="FFFFFF"/>
            <w:noWrap/>
            <w:vAlign w:val="bottom"/>
          </w:tcPr>
          <w:p w14:paraId="501B7571" w14:textId="77777777" w:rsidR="003F0EEA" w:rsidRDefault="00FB7D0B">
            <w:pPr>
              <w:pStyle w:val="Normal242"/>
              <w:spacing w:after="0" w:line="240" w:lineRule="auto"/>
              <w:jc w:val="right"/>
              <w:rPr>
                <w:rFonts w:ascii="Arial" w:hAnsi="Arial" w:cs="Arial"/>
                <w:sz w:val="16"/>
                <w:szCs w:val="16"/>
              </w:rPr>
            </w:pPr>
            <w:r>
              <w:rPr>
                <w:rFonts w:ascii="Arial" w:hAnsi="Arial" w:cs="Arial"/>
                <w:sz w:val="16"/>
                <w:szCs w:val="16"/>
              </w:rPr>
              <w:t>2013-14</w:t>
            </w:r>
          </w:p>
        </w:tc>
        <w:tc>
          <w:tcPr>
            <w:tcW w:w="850" w:type="dxa"/>
            <w:tcBorders>
              <w:top w:val="single" w:sz="4" w:space="0" w:color="auto"/>
              <w:left w:val="nil"/>
              <w:bottom w:val="nil"/>
              <w:right w:val="nil"/>
            </w:tcBorders>
            <w:shd w:val="clear" w:color="auto" w:fill="E6E6E6"/>
            <w:noWrap/>
            <w:vAlign w:val="bottom"/>
          </w:tcPr>
          <w:p w14:paraId="48755953" w14:textId="77777777" w:rsidR="003F0EEA" w:rsidRDefault="00FB7D0B">
            <w:pPr>
              <w:pStyle w:val="Normal242"/>
              <w:spacing w:after="0" w:line="240" w:lineRule="auto"/>
              <w:jc w:val="right"/>
              <w:rPr>
                <w:rFonts w:ascii="Arial" w:hAnsi="Arial" w:cs="Arial"/>
                <w:sz w:val="16"/>
                <w:szCs w:val="16"/>
              </w:rPr>
            </w:pPr>
            <w:r>
              <w:rPr>
                <w:rFonts w:ascii="Arial" w:hAnsi="Arial" w:cs="Arial"/>
                <w:sz w:val="16"/>
                <w:szCs w:val="16"/>
              </w:rPr>
              <w:t>2014-15</w:t>
            </w:r>
          </w:p>
        </w:tc>
        <w:tc>
          <w:tcPr>
            <w:tcW w:w="853" w:type="dxa"/>
            <w:tcBorders>
              <w:top w:val="single" w:sz="4" w:space="0" w:color="auto"/>
              <w:left w:val="nil"/>
              <w:bottom w:val="nil"/>
              <w:right w:val="nil"/>
            </w:tcBorders>
            <w:shd w:val="clear" w:color="auto" w:fill="FFFFFF"/>
            <w:noWrap/>
            <w:vAlign w:val="bottom"/>
          </w:tcPr>
          <w:p w14:paraId="58F0A6DC" w14:textId="77777777" w:rsidR="003F0EEA" w:rsidRDefault="00FB7D0B">
            <w:pPr>
              <w:pStyle w:val="Normal242"/>
              <w:spacing w:after="0" w:line="240" w:lineRule="auto"/>
              <w:jc w:val="right"/>
              <w:rPr>
                <w:rFonts w:ascii="Arial" w:hAnsi="Arial" w:cs="Arial"/>
                <w:sz w:val="16"/>
                <w:szCs w:val="16"/>
              </w:rPr>
            </w:pPr>
            <w:r>
              <w:rPr>
                <w:rFonts w:ascii="Arial" w:hAnsi="Arial" w:cs="Arial"/>
                <w:sz w:val="16"/>
                <w:szCs w:val="16"/>
              </w:rPr>
              <w:t>2015-16</w:t>
            </w:r>
          </w:p>
        </w:tc>
        <w:tc>
          <w:tcPr>
            <w:tcW w:w="856" w:type="dxa"/>
            <w:tcBorders>
              <w:top w:val="single" w:sz="4" w:space="0" w:color="auto"/>
              <w:left w:val="nil"/>
              <w:bottom w:val="nil"/>
              <w:right w:val="nil"/>
            </w:tcBorders>
            <w:shd w:val="clear" w:color="auto" w:fill="FFFFFF"/>
            <w:noWrap/>
            <w:vAlign w:val="bottom"/>
          </w:tcPr>
          <w:p w14:paraId="233E1A5E" w14:textId="77777777" w:rsidR="003F0EEA" w:rsidRDefault="00FB7D0B">
            <w:pPr>
              <w:pStyle w:val="Normal242"/>
              <w:spacing w:after="0" w:line="240" w:lineRule="auto"/>
              <w:jc w:val="right"/>
              <w:rPr>
                <w:rFonts w:ascii="Arial" w:hAnsi="Arial" w:cs="Arial"/>
                <w:sz w:val="16"/>
                <w:szCs w:val="16"/>
              </w:rPr>
            </w:pPr>
            <w:r>
              <w:rPr>
                <w:rFonts w:ascii="Arial" w:hAnsi="Arial" w:cs="Arial"/>
                <w:sz w:val="16"/>
                <w:szCs w:val="16"/>
              </w:rPr>
              <w:t>2016-17</w:t>
            </w:r>
          </w:p>
        </w:tc>
        <w:tc>
          <w:tcPr>
            <w:tcW w:w="856" w:type="dxa"/>
            <w:tcBorders>
              <w:top w:val="single" w:sz="4" w:space="0" w:color="auto"/>
              <w:left w:val="nil"/>
              <w:bottom w:val="nil"/>
              <w:right w:val="nil"/>
            </w:tcBorders>
            <w:shd w:val="clear" w:color="auto" w:fill="FFFFFF"/>
            <w:noWrap/>
            <w:vAlign w:val="bottom"/>
          </w:tcPr>
          <w:p w14:paraId="208656D3" w14:textId="77777777" w:rsidR="003F0EEA" w:rsidRDefault="00FB7D0B">
            <w:pPr>
              <w:pStyle w:val="Normal242"/>
              <w:spacing w:after="0" w:line="240" w:lineRule="auto"/>
              <w:jc w:val="right"/>
              <w:rPr>
                <w:rFonts w:ascii="Arial" w:hAnsi="Arial" w:cs="Arial"/>
                <w:sz w:val="16"/>
                <w:szCs w:val="16"/>
              </w:rPr>
            </w:pPr>
            <w:r>
              <w:rPr>
                <w:rFonts w:ascii="Arial" w:hAnsi="Arial" w:cs="Arial"/>
                <w:sz w:val="16"/>
                <w:szCs w:val="16"/>
              </w:rPr>
              <w:t>2017-18</w:t>
            </w:r>
          </w:p>
        </w:tc>
      </w:tr>
      <w:tr w:rsidR="00724034" w14:paraId="51BFF408" w14:textId="77777777" w:rsidTr="003F0EEA">
        <w:trPr>
          <w:trHeight w:val="225"/>
        </w:trPr>
        <w:tc>
          <w:tcPr>
            <w:tcW w:w="2977" w:type="dxa"/>
            <w:noWrap/>
            <w:vAlign w:val="center"/>
          </w:tcPr>
          <w:p w14:paraId="7376A3CF" w14:textId="77777777" w:rsidR="003F0EEA" w:rsidRDefault="003F0EEA">
            <w:pPr>
              <w:pStyle w:val="Normal242"/>
              <w:spacing w:after="0" w:line="240" w:lineRule="auto"/>
              <w:jc w:val="left"/>
              <w:rPr>
                <w:rFonts w:ascii="Arial" w:hAnsi="Arial" w:cs="Arial"/>
                <w:color w:val="000000"/>
                <w:sz w:val="16"/>
                <w:szCs w:val="16"/>
              </w:rPr>
            </w:pPr>
          </w:p>
        </w:tc>
        <w:tc>
          <w:tcPr>
            <w:tcW w:w="851" w:type="dxa"/>
            <w:tcBorders>
              <w:top w:val="nil"/>
              <w:left w:val="nil"/>
              <w:bottom w:val="single" w:sz="4" w:space="0" w:color="000000"/>
              <w:right w:val="nil"/>
            </w:tcBorders>
            <w:noWrap/>
            <w:vAlign w:val="center"/>
          </w:tcPr>
          <w:p w14:paraId="29771F55" w14:textId="77777777" w:rsidR="003F0EEA" w:rsidRDefault="00FB7D0B">
            <w:pPr>
              <w:pStyle w:val="Normal242"/>
              <w:spacing w:after="0" w:line="240" w:lineRule="auto"/>
              <w:jc w:val="right"/>
              <w:rPr>
                <w:rFonts w:ascii="Arial" w:hAnsi="Arial" w:cs="Arial"/>
                <w:color w:val="000000"/>
                <w:sz w:val="16"/>
                <w:szCs w:val="16"/>
              </w:rPr>
            </w:pPr>
            <w:r>
              <w:rPr>
                <w:rFonts w:ascii="Arial" w:hAnsi="Arial" w:cs="Arial"/>
                <w:color w:val="000000"/>
                <w:sz w:val="16"/>
                <w:szCs w:val="16"/>
              </w:rPr>
              <w:t>$'000</w:t>
            </w:r>
          </w:p>
        </w:tc>
        <w:tc>
          <w:tcPr>
            <w:tcW w:w="850" w:type="dxa"/>
            <w:tcBorders>
              <w:top w:val="nil"/>
              <w:left w:val="nil"/>
              <w:bottom w:val="single" w:sz="4" w:space="0" w:color="000000"/>
              <w:right w:val="nil"/>
            </w:tcBorders>
            <w:shd w:val="clear" w:color="auto" w:fill="E6E6E6"/>
            <w:noWrap/>
            <w:vAlign w:val="center"/>
          </w:tcPr>
          <w:p w14:paraId="59F9BF58" w14:textId="77777777" w:rsidR="003F0EEA" w:rsidRDefault="00FB7D0B">
            <w:pPr>
              <w:pStyle w:val="Normal242"/>
              <w:spacing w:after="0" w:line="240" w:lineRule="auto"/>
              <w:jc w:val="right"/>
              <w:rPr>
                <w:rFonts w:ascii="Arial" w:hAnsi="Arial" w:cs="Arial"/>
                <w:color w:val="000000"/>
                <w:sz w:val="16"/>
                <w:szCs w:val="16"/>
              </w:rPr>
            </w:pPr>
            <w:r>
              <w:rPr>
                <w:rFonts w:ascii="Arial" w:hAnsi="Arial" w:cs="Arial"/>
                <w:color w:val="000000"/>
                <w:sz w:val="16"/>
                <w:szCs w:val="16"/>
              </w:rPr>
              <w:t>$'000</w:t>
            </w:r>
          </w:p>
        </w:tc>
        <w:tc>
          <w:tcPr>
            <w:tcW w:w="853" w:type="dxa"/>
            <w:tcBorders>
              <w:top w:val="nil"/>
              <w:left w:val="nil"/>
              <w:bottom w:val="single" w:sz="4" w:space="0" w:color="000000"/>
              <w:right w:val="nil"/>
            </w:tcBorders>
            <w:noWrap/>
            <w:vAlign w:val="center"/>
          </w:tcPr>
          <w:p w14:paraId="5D2E6709" w14:textId="77777777" w:rsidR="003F0EEA" w:rsidRDefault="00FB7D0B">
            <w:pPr>
              <w:pStyle w:val="Normal242"/>
              <w:spacing w:after="0" w:line="240" w:lineRule="auto"/>
              <w:jc w:val="right"/>
              <w:rPr>
                <w:rFonts w:ascii="Arial" w:hAnsi="Arial" w:cs="Arial"/>
                <w:color w:val="000000"/>
                <w:sz w:val="16"/>
                <w:szCs w:val="16"/>
              </w:rPr>
            </w:pPr>
            <w:r>
              <w:rPr>
                <w:rFonts w:ascii="Arial" w:hAnsi="Arial" w:cs="Arial"/>
                <w:color w:val="000000"/>
                <w:sz w:val="16"/>
                <w:szCs w:val="16"/>
              </w:rPr>
              <w:t>$'000</w:t>
            </w:r>
          </w:p>
        </w:tc>
        <w:tc>
          <w:tcPr>
            <w:tcW w:w="856" w:type="dxa"/>
            <w:tcBorders>
              <w:top w:val="nil"/>
              <w:left w:val="nil"/>
              <w:bottom w:val="single" w:sz="4" w:space="0" w:color="000000"/>
              <w:right w:val="nil"/>
            </w:tcBorders>
            <w:noWrap/>
            <w:vAlign w:val="center"/>
          </w:tcPr>
          <w:p w14:paraId="5833BCD4" w14:textId="77777777" w:rsidR="003F0EEA" w:rsidRDefault="00FB7D0B">
            <w:pPr>
              <w:pStyle w:val="Normal242"/>
              <w:spacing w:after="0" w:line="240" w:lineRule="auto"/>
              <w:jc w:val="right"/>
              <w:rPr>
                <w:rFonts w:ascii="Arial" w:hAnsi="Arial" w:cs="Arial"/>
                <w:color w:val="000000"/>
                <w:sz w:val="16"/>
                <w:szCs w:val="16"/>
              </w:rPr>
            </w:pPr>
            <w:r>
              <w:rPr>
                <w:rFonts w:ascii="Arial" w:hAnsi="Arial" w:cs="Arial"/>
                <w:color w:val="000000"/>
                <w:sz w:val="16"/>
                <w:szCs w:val="16"/>
              </w:rPr>
              <w:t>$'000</w:t>
            </w:r>
          </w:p>
        </w:tc>
        <w:tc>
          <w:tcPr>
            <w:tcW w:w="856" w:type="dxa"/>
            <w:tcBorders>
              <w:top w:val="nil"/>
              <w:left w:val="nil"/>
              <w:bottom w:val="single" w:sz="4" w:space="0" w:color="000000"/>
              <w:right w:val="nil"/>
            </w:tcBorders>
            <w:noWrap/>
            <w:vAlign w:val="center"/>
          </w:tcPr>
          <w:p w14:paraId="53DFF4D2" w14:textId="77777777" w:rsidR="003F0EEA" w:rsidRDefault="00FB7D0B">
            <w:pPr>
              <w:pStyle w:val="Normal242"/>
              <w:spacing w:after="0" w:line="240" w:lineRule="auto"/>
              <w:jc w:val="right"/>
              <w:rPr>
                <w:rFonts w:ascii="Arial" w:hAnsi="Arial" w:cs="Arial"/>
                <w:color w:val="000000"/>
                <w:sz w:val="16"/>
                <w:szCs w:val="16"/>
              </w:rPr>
            </w:pPr>
            <w:r>
              <w:rPr>
                <w:rFonts w:ascii="Arial" w:hAnsi="Arial" w:cs="Arial"/>
                <w:color w:val="000000"/>
                <w:sz w:val="16"/>
                <w:szCs w:val="16"/>
              </w:rPr>
              <w:t>$'000</w:t>
            </w:r>
          </w:p>
        </w:tc>
      </w:tr>
      <w:tr w:rsidR="00724034" w14:paraId="5DB30D28" w14:textId="77777777" w:rsidTr="003F0EEA">
        <w:trPr>
          <w:trHeight w:val="225"/>
        </w:trPr>
        <w:tc>
          <w:tcPr>
            <w:tcW w:w="2977" w:type="dxa"/>
            <w:tcBorders>
              <w:top w:val="single" w:sz="4" w:space="0" w:color="000000"/>
              <w:left w:val="nil"/>
              <w:bottom w:val="nil"/>
              <w:right w:val="nil"/>
            </w:tcBorders>
            <w:noWrap/>
            <w:vAlign w:val="center"/>
          </w:tcPr>
          <w:p w14:paraId="4C01A548" w14:textId="77777777" w:rsidR="003F0EEA" w:rsidRDefault="00FB7D0B">
            <w:pPr>
              <w:pStyle w:val="Normal242"/>
              <w:spacing w:after="0" w:line="240" w:lineRule="auto"/>
              <w:jc w:val="left"/>
              <w:rPr>
                <w:rFonts w:ascii="Arial" w:hAnsi="Arial" w:cs="Arial"/>
                <w:sz w:val="16"/>
                <w:szCs w:val="16"/>
              </w:rPr>
            </w:pPr>
            <w:r>
              <w:rPr>
                <w:rFonts w:ascii="Arial" w:hAnsi="Arial" w:cs="Arial"/>
                <w:sz w:val="16"/>
                <w:szCs w:val="16"/>
              </w:rPr>
              <w:t xml:space="preserve">Outcome 1: </w:t>
            </w:r>
          </w:p>
        </w:tc>
        <w:tc>
          <w:tcPr>
            <w:tcW w:w="851" w:type="dxa"/>
            <w:noWrap/>
            <w:vAlign w:val="center"/>
          </w:tcPr>
          <w:p w14:paraId="762E94D8" w14:textId="77777777" w:rsidR="003F0EEA" w:rsidRDefault="003F0EEA">
            <w:pPr>
              <w:pStyle w:val="Normal242"/>
              <w:spacing w:after="0" w:line="240" w:lineRule="auto"/>
              <w:jc w:val="left"/>
              <w:rPr>
                <w:rFonts w:ascii="Arial" w:hAnsi="Arial" w:cs="Arial"/>
                <w:color w:val="000000"/>
                <w:sz w:val="16"/>
                <w:szCs w:val="16"/>
              </w:rPr>
            </w:pPr>
          </w:p>
        </w:tc>
        <w:tc>
          <w:tcPr>
            <w:tcW w:w="850" w:type="dxa"/>
            <w:shd w:val="clear" w:color="auto" w:fill="E6E6E6"/>
            <w:noWrap/>
            <w:vAlign w:val="center"/>
          </w:tcPr>
          <w:p w14:paraId="74110C90" w14:textId="77777777" w:rsidR="003F0EEA" w:rsidRDefault="00FB7D0B">
            <w:pPr>
              <w:pStyle w:val="Normal242"/>
              <w:spacing w:after="0" w:line="240" w:lineRule="auto"/>
              <w:jc w:val="left"/>
              <w:rPr>
                <w:rFonts w:ascii="Arial" w:hAnsi="Arial" w:cs="Arial"/>
                <w:color w:val="000000"/>
                <w:sz w:val="16"/>
                <w:szCs w:val="16"/>
              </w:rPr>
            </w:pPr>
            <w:r>
              <w:rPr>
                <w:rFonts w:ascii="Arial" w:hAnsi="Arial" w:cs="Arial"/>
                <w:color w:val="000000"/>
                <w:sz w:val="16"/>
                <w:szCs w:val="16"/>
              </w:rPr>
              <w:t> </w:t>
            </w:r>
          </w:p>
        </w:tc>
        <w:tc>
          <w:tcPr>
            <w:tcW w:w="853" w:type="dxa"/>
            <w:noWrap/>
            <w:vAlign w:val="center"/>
          </w:tcPr>
          <w:p w14:paraId="4D1BF84F" w14:textId="77777777" w:rsidR="003F0EEA" w:rsidRDefault="003F0EEA">
            <w:pPr>
              <w:pStyle w:val="Normal242"/>
              <w:spacing w:after="0" w:line="240" w:lineRule="auto"/>
              <w:jc w:val="left"/>
              <w:rPr>
                <w:rFonts w:ascii="Arial" w:hAnsi="Arial" w:cs="Arial"/>
                <w:color w:val="000000"/>
                <w:sz w:val="16"/>
                <w:szCs w:val="16"/>
              </w:rPr>
            </w:pPr>
          </w:p>
        </w:tc>
        <w:tc>
          <w:tcPr>
            <w:tcW w:w="856" w:type="dxa"/>
            <w:noWrap/>
            <w:vAlign w:val="center"/>
          </w:tcPr>
          <w:p w14:paraId="4511BC40" w14:textId="77777777" w:rsidR="003F0EEA" w:rsidRDefault="003F0EEA">
            <w:pPr>
              <w:pStyle w:val="Normal242"/>
              <w:spacing w:after="0" w:line="240" w:lineRule="auto"/>
              <w:jc w:val="left"/>
              <w:rPr>
                <w:rFonts w:ascii="Arial" w:hAnsi="Arial" w:cs="Arial"/>
                <w:color w:val="000000"/>
                <w:sz w:val="16"/>
                <w:szCs w:val="16"/>
              </w:rPr>
            </w:pPr>
          </w:p>
        </w:tc>
        <w:tc>
          <w:tcPr>
            <w:tcW w:w="856" w:type="dxa"/>
            <w:noWrap/>
            <w:vAlign w:val="center"/>
          </w:tcPr>
          <w:p w14:paraId="546FBD03" w14:textId="77777777" w:rsidR="003F0EEA" w:rsidRDefault="003F0EEA">
            <w:pPr>
              <w:pStyle w:val="Normal242"/>
              <w:spacing w:after="0" w:line="240" w:lineRule="auto"/>
              <w:jc w:val="left"/>
              <w:rPr>
                <w:rFonts w:ascii="Arial" w:hAnsi="Arial" w:cs="Arial"/>
                <w:color w:val="000000"/>
                <w:sz w:val="16"/>
                <w:szCs w:val="16"/>
              </w:rPr>
            </w:pPr>
          </w:p>
        </w:tc>
      </w:tr>
      <w:tr w:rsidR="00724034" w14:paraId="3D7E3217" w14:textId="77777777" w:rsidTr="003F0EEA">
        <w:trPr>
          <w:trHeight w:val="225"/>
        </w:trPr>
        <w:tc>
          <w:tcPr>
            <w:tcW w:w="2977" w:type="dxa"/>
            <w:noWrap/>
            <w:vAlign w:val="center"/>
          </w:tcPr>
          <w:p w14:paraId="390C950B" w14:textId="77777777" w:rsidR="003F0EEA" w:rsidRDefault="00FB7D0B">
            <w:pPr>
              <w:pStyle w:val="Normal242"/>
              <w:spacing w:after="0" w:line="240" w:lineRule="auto"/>
              <w:ind w:firstLine="160"/>
              <w:jc w:val="left"/>
              <w:rPr>
                <w:rFonts w:ascii="Arial" w:hAnsi="Arial" w:cs="Arial"/>
                <w:sz w:val="16"/>
                <w:szCs w:val="16"/>
              </w:rPr>
            </w:pPr>
            <w:r>
              <w:rPr>
                <w:rFonts w:ascii="Arial" w:hAnsi="Arial" w:cs="Arial"/>
                <w:sz w:val="16"/>
                <w:szCs w:val="16"/>
              </w:rPr>
              <w:t>Programme 1.1 Australian War Memorial</w:t>
            </w:r>
          </w:p>
        </w:tc>
        <w:tc>
          <w:tcPr>
            <w:tcW w:w="851" w:type="dxa"/>
            <w:noWrap/>
            <w:vAlign w:val="center"/>
          </w:tcPr>
          <w:p w14:paraId="32BE94D9" w14:textId="77777777" w:rsidR="003F0EEA" w:rsidRDefault="00FB7D0B" w:rsidP="003F0EEA">
            <w:pPr>
              <w:pStyle w:val="Normal242"/>
              <w:spacing w:after="0" w:line="240" w:lineRule="auto"/>
              <w:jc w:val="right"/>
              <w:rPr>
                <w:rFonts w:ascii="Arial" w:hAnsi="Arial" w:cs="Arial"/>
                <w:color w:val="000000"/>
                <w:sz w:val="16"/>
                <w:szCs w:val="16"/>
              </w:rPr>
            </w:pPr>
            <w:r>
              <w:rPr>
                <w:rFonts w:ascii="Arial" w:hAnsi="Arial" w:cs="Arial"/>
                <w:color w:val="000000"/>
                <w:sz w:val="16"/>
                <w:szCs w:val="16"/>
              </w:rPr>
              <w:t>(8,400)</w:t>
            </w:r>
          </w:p>
        </w:tc>
        <w:tc>
          <w:tcPr>
            <w:tcW w:w="850" w:type="dxa"/>
            <w:shd w:val="clear" w:color="auto" w:fill="E6E6E6"/>
            <w:noWrap/>
            <w:vAlign w:val="center"/>
          </w:tcPr>
          <w:p w14:paraId="5461181B" w14:textId="77777777" w:rsidR="003F0EEA" w:rsidRDefault="00FB7D0B" w:rsidP="003F0EEA">
            <w:pPr>
              <w:pStyle w:val="Normal242"/>
              <w:spacing w:after="0" w:line="240" w:lineRule="auto"/>
              <w:jc w:val="right"/>
              <w:rPr>
                <w:rFonts w:ascii="Arial" w:hAnsi="Arial" w:cs="Arial"/>
                <w:color w:val="000000"/>
                <w:sz w:val="16"/>
                <w:szCs w:val="16"/>
              </w:rPr>
            </w:pPr>
            <w:r>
              <w:rPr>
                <w:rFonts w:ascii="Arial" w:hAnsi="Arial" w:cs="Arial"/>
                <w:color w:val="000000"/>
                <w:sz w:val="16"/>
                <w:szCs w:val="16"/>
              </w:rPr>
              <w:t>8,400 </w:t>
            </w:r>
          </w:p>
        </w:tc>
        <w:tc>
          <w:tcPr>
            <w:tcW w:w="853" w:type="dxa"/>
            <w:noWrap/>
            <w:vAlign w:val="center"/>
          </w:tcPr>
          <w:p w14:paraId="2BE6A465" w14:textId="77777777" w:rsidR="003F0EEA" w:rsidRDefault="003F0EEA">
            <w:pPr>
              <w:pStyle w:val="Normal242"/>
              <w:spacing w:after="0" w:line="240" w:lineRule="auto"/>
              <w:jc w:val="left"/>
              <w:rPr>
                <w:rFonts w:ascii="Arial" w:hAnsi="Arial" w:cs="Arial"/>
                <w:color w:val="000000"/>
                <w:sz w:val="16"/>
                <w:szCs w:val="16"/>
              </w:rPr>
            </w:pPr>
          </w:p>
        </w:tc>
        <w:tc>
          <w:tcPr>
            <w:tcW w:w="856" w:type="dxa"/>
            <w:noWrap/>
            <w:vAlign w:val="center"/>
          </w:tcPr>
          <w:p w14:paraId="4A3D6F56" w14:textId="77777777" w:rsidR="003F0EEA" w:rsidRDefault="003F0EEA">
            <w:pPr>
              <w:pStyle w:val="Normal242"/>
              <w:spacing w:after="0" w:line="240" w:lineRule="auto"/>
              <w:jc w:val="left"/>
              <w:rPr>
                <w:rFonts w:ascii="Arial" w:hAnsi="Arial" w:cs="Arial"/>
                <w:color w:val="000000"/>
                <w:sz w:val="16"/>
                <w:szCs w:val="16"/>
              </w:rPr>
            </w:pPr>
          </w:p>
        </w:tc>
        <w:tc>
          <w:tcPr>
            <w:tcW w:w="856" w:type="dxa"/>
            <w:noWrap/>
            <w:vAlign w:val="center"/>
          </w:tcPr>
          <w:p w14:paraId="31E51C5F" w14:textId="77777777" w:rsidR="003F0EEA" w:rsidRDefault="003F0EEA">
            <w:pPr>
              <w:pStyle w:val="Normal242"/>
              <w:spacing w:after="0" w:line="240" w:lineRule="auto"/>
              <w:jc w:val="left"/>
              <w:rPr>
                <w:rFonts w:ascii="Arial" w:hAnsi="Arial" w:cs="Arial"/>
                <w:color w:val="000000"/>
                <w:sz w:val="16"/>
                <w:szCs w:val="16"/>
              </w:rPr>
            </w:pPr>
          </w:p>
        </w:tc>
      </w:tr>
      <w:tr w:rsidR="00724034" w14:paraId="527EB058" w14:textId="77777777" w:rsidTr="003F0EEA">
        <w:trPr>
          <w:trHeight w:val="225"/>
        </w:trPr>
        <w:tc>
          <w:tcPr>
            <w:tcW w:w="2977" w:type="dxa"/>
            <w:noWrap/>
            <w:vAlign w:val="center"/>
          </w:tcPr>
          <w:p w14:paraId="2D54846F" w14:textId="77777777" w:rsidR="003F0EEA" w:rsidRDefault="003F0EEA">
            <w:pPr>
              <w:pStyle w:val="Normal242"/>
              <w:spacing w:after="0" w:line="240" w:lineRule="auto"/>
              <w:jc w:val="left"/>
              <w:rPr>
                <w:rFonts w:ascii="Arial" w:hAnsi="Arial" w:cs="Arial"/>
                <w:b/>
                <w:bCs/>
                <w:color w:val="000000"/>
                <w:sz w:val="16"/>
                <w:szCs w:val="16"/>
              </w:rPr>
            </w:pPr>
          </w:p>
        </w:tc>
        <w:tc>
          <w:tcPr>
            <w:tcW w:w="851" w:type="dxa"/>
            <w:tcBorders>
              <w:top w:val="nil"/>
              <w:left w:val="nil"/>
              <w:bottom w:val="single" w:sz="4" w:space="0" w:color="auto"/>
              <w:right w:val="nil"/>
            </w:tcBorders>
            <w:noWrap/>
            <w:vAlign w:val="center"/>
          </w:tcPr>
          <w:p w14:paraId="1E695544" w14:textId="77777777" w:rsidR="003F0EEA" w:rsidRDefault="003F0EEA" w:rsidP="003F0EEA">
            <w:pPr>
              <w:pStyle w:val="Normal242"/>
              <w:spacing w:after="0" w:line="240" w:lineRule="auto"/>
              <w:jc w:val="right"/>
              <w:rPr>
                <w:rFonts w:ascii="Arial" w:hAnsi="Arial" w:cs="Arial"/>
                <w:b/>
                <w:bCs/>
                <w:color w:val="000000"/>
                <w:sz w:val="16"/>
                <w:szCs w:val="16"/>
              </w:rPr>
            </w:pPr>
          </w:p>
        </w:tc>
        <w:tc>
          <w:tcPr>
            <w:tcW w:w="850" w:type="dxa"/>
            <w:tcBorders>
              <w:top w:val="nil"/>
              <w:left w:val="nil"/>
              <w:bottom w:val="single" w:sz="4" w:space="0" w:color="auto"/>
              <w:right w:val="nil"/>
            </w:tcBorders>
            <w:shd w:val="clear" w:color="auto" w:fill="E6E6E6"/>
            <w:noWrap/>
            <w:vAlign w:val="center"/>
          </w:tcPr>
          <w:p w14:paraId="49F8DB5B" w14:textId="77777777" w:rsidR="003F0EEA" w:rsidRDefault="003F0EEA" w:rsidP="003F0EEA">
            <w:pPr>
              <w:pStyle w:val="Normal242"/>
              <w:spacing w:after="0" w:line="240" w:lineRule="auto"/>
              <w:jc w:val="right"/>
              <w:rPr>
                <w:rFonts w:ascii="Arial" w:hAnsi="Arial" w:cs="Arial"/>
                <w:b/>
                <w:bCs/>
                <w:color w:val="000000"/>
                <w:sz w:val="16"/>
                <w:szCs w:val="16"/>
              </w:rPr>
            </w:pPr>
          </w:p>
        </w:tc>
        <w:tc>
          <w:tcPr>
            <w:tcW w:w="853" w:type="dxa"/>
            <w:tcBorders>
              <w:top w:val="nil"/>
              <w:left w:val="nil"/>
              <w:bottom w:val="single" w:sz="4" w:space="0" w:color="auto"/>
              <w:right w:val="nil"/>
            </w:tcBorders>
            <w:noWrap/>
            <w:vAlign w:val="center"/>
          </w:tcPr>
          <w:p w14:paraId="6B04211A" w14:textId="77777777" w:rsidR="003F0EEA" w:rsidRDefault="00FB7D0B">
            <w:pPr>
              <w:pStyle w:val="Normal242"/>
              <w:spacing w:after="0" w:line="240" w:lineRule="auto"/>
              <w:jc w:val="right"/>
              <w:rPr>
                <w:rFonts w:ascii="Arial" w:hAnsi="Arial" w:cs="Arial"/>
                <w:b/>
                <w:bCs/>
                <w:color w:val="000000"/>
                <w:sz w:val="16"/>
                <w:szCs w:val="16"/>
              </w:rPr>
            </w:pPr>
            <w:r>
              <w:rPr>
                <w:rFonts w:ascii="Arial" w:hAnsi="Arial" w:cs="Arial"/>
                <w:b/>
                <w:bCs/>
                <w:color w:val="000000"/>
                <w:sz w:val="16"/>
                <w:szCs w:val="16"/>
              </w:rPr>
              <w:t xml:space="preserve">- </w:t>
            </w:r>
          </w:p>
        </w:tc>
        <w:tc>
          <w:tcPr>
            <w:tcW w:w="856" w:type="dxa"/>
            <w:tcBorders>
              <w:top w:val="nil"/>
              <w:left w:val="nil"/>
              <w:bottom w:val="single" w:sz="4" w:space="0" w:color="auto"/>
              <w:right w:val="nil"/>
            </w:tcBorders>
            <w:noWrap/>
            <w:vAlign w:val="center"/>
          </w:tcPr>
          <w:p w14:paraId="1876C3A1" w14:textId="77777777" w:rsidR="003F0EEA" w:rsidRDefault="00FB7D0B">
            <w:pPr>
              <w:pStyle w:val="Normal242"/>
              <w:spacing w:after="0" w:line="240" w:lineRule="auto"/>
              <w:jc w:val="right"/>
              <w:rPr>
                <w:rFonts w:ascii="Arial" w:hAnsi="Arial" w:cs="Arial"/>
                <w:b/>
                <w:bCs/>
                <w:color w:val="000000"/>
                <w:sz w:val="16"/>
                <w:szCs w:val="16"/>
              </w:rPr>
            </w:pPr>
            <w:r>
              <w:rPr>
                <w:rFonts w:ascii="Arial" w:hAnsi="Arial" w:cs="Arial"/>
                <w:b/>
                <w:bCs/>
                <w:color w:val="000000"/>
                <w:sz w:val="16"/>
                <w:szCs w:val="16"/>
              </w:rPr>
              <w:t xml:space="preserve">- </w:t>
            </w:r>
          </w:p>
        </w:tc>
        <w:tc>
          <w:tcPr>
            <w:tcW w:w="856" w:type="dxa"/>
            <w:tcBorders>
              <w:top w:val="nil"/>
              <w:left w:val="nil"/>
              <w:bottom w:val="single" w:sz="4" w:space="0" w:color="auto"/>
              <w:right w:val="nil"/>
            </w:tcBorders>
            <w:noWrap/>
            <w:vAlign w:val="center"/>
          </w:tcPr>
          <w:p w14:paraId="1F3BC198" w14:textId="77777777" w:rsidR="003F0EEA" w:rsidRDefault="00FB7D0B">
            <w:pPr>
              <w:pStyle w:val="Normal242"/>
              <w:spacing w:after="0" w:line="240" w:lineRule="auto"/>
              <w:jc w:val="right"/>
              <w:rPr>
                <w:rFonts w:ascii="Arial" w:hAnsi="Arial" w:cs="Arial"/>
                <w:b/>
                <w:bCs/>
                <w:color w:val="000000"/>
                <w:sz w:val="16"/>
                <w:szCs w:val="16"/>
              </w:rPr>
            </w:pPr>
            <w:r>
              <w:rPr>
                <w:rFonts w:ascii="Arial" w:hAnsi="Arial" w:cs="Arial"/>
                <w:b/>
                <w:bCs/>
                <w:color w:val="000000"/>
                <w:sz w:val="16"/>
                <w:szCs w:val="16"/>
              </w:rPr>
              <w:t xml:space="preserve">- </w:t>
            </w:r>
          </w:p>
        </w:tc>
      </w:tr>
      <w:tr w:rsidR="00724034" w14:paraId="72DD62AB" w14:textId="77777777" w:rsidTr="003F0EEA">
        <w:trPr>
          <w:trHeight w:val="225"/>
        </w:trPr>
        <w:tc>
          <w:tcPr>
            <w:tcW w:w="2977" w:type="dxa"/>
            <w:noWrap/>
            <w:vAlign w:val="center"/>
          </w:tcPr>
          <w:p w14:paraId="61400EC9" w14:textId="77777777" w:rsidR="003F0EEA" w:rsidRDefault="00FB7D0B">
            <w:pPr>
              <w:pStyle w:val="Normal242"/>
              <w:spacing w:after="0" w:line="240" w:lineRule="auto"/>
              <w:jc w:val="left"/>
              <w:rPr>
                <w:rFonts w:ascii="Arial" w:hAnsi="Arial" w:cs="Arial"/>
                <w:b/>
                <w:bCs/>
                <w:color w:val="000000"/>
                <w:sz w:val="16"/>
                <w:szCs w:val="16"/>
              </w:rPr>
            </w:pPr>
            <w:r>
              <w:rPr>
                <w:rFonts w:ascii="Arial" w:hAnsi="Arial" w:cs="Arial"/>
                <w:b/>
                <w:bCs/>
                <w:color w:val="000000"/>
                <w:sz w:val="16"/>
                <w:szCs w:val="16"/>
              </w:rPr>
              <w:t>Total Movement of</w:t>
            </w:r>
          </w:p>
        </w:tc>
        <w:tc>
          <w:tcPr>
            <w:tcW w:w="851" w:type="dxa"/>
            <w:noWrap/>
            <w:vAlign w:val="center"/>
          </w:tcPr>
          <w:p w14:paraId="718427A8" w14:textId="77777777" w:rsidR="003F0EEA" w:rsidRDefault="003F0EEA" w:rsidP="003F0EEA">
            <w:pPr>
              <w:pStyle w:val="Normal242"/>
              <w:spacing w:after="0" w:line="240" w:lineRule="auto"/>
              <w:jc w:val="right"/>
              <w:rPr>
                <w:rFonts w:ascii="Arial" w:hAnsi="Arial" w:cs="Arial"/>
                <w:b/>
                <w:bCs/>
                <w:color w:val="000000"/>
                <w:sz w:val="16"/>
                <w:szCs w:val="16"/>
              </w:rPr>
            </w:pPr>
          </w:p>
        </w:tc>
        <w:tc>
          <w:tcPr>
            <w:tcW w:w="850" w:type="dxa"/>
            <w:shd w:val="clear" w:color="auto" w:fill="E6E6E6"/>
            <w:noWrap/>
            <w:vAlign w:val="center"/>
          </w:tcPr>
          <w:p w14:paraId="75F254C9" w14:textId="77777777" w:rsidR="003F0EEA" w:rsidRDefault="003F0EEA" w:rsidP="003F0EEA">
            <w:pPr>
              <w:pStyle w:val="Normal242"/>
              <w:spacing w:after="0" w:line="240" w:lineRule="auto"/>
              <w:jc w:val="right"/>
              <w:rPr>
                <w:rFonts w:ascii="Arial" w:hAnsi="Arial" w:cs="Arial"/>
                <w:b/>
                <w:bCs/>
                <w:color w:val="000000"/>
                <w:sz w:val="16"/>
                <w:szCs w:val="16"/>
              </w:rPr>
            </w:pPr>
          </w:p>
        </w:tc>
        <w:tc>
          <w:tcPr>
            <w:tcW w:w="853" w:type="dxa"/>
            <w:noWrap/>
            <w:vAlign w:val="center"/>
          </w:tcPr>
          <w:p w14:paraId="6CAB8D7E" w14:textId="77777777" w:rsidR="003F0EEA" w:rsidRDefault="003F0EEA">
            <w:pPr>
              <w:pStyle w:val="Normal242"/>
              <w:spacing w:after="0" w:line="240" w:lineRule="auto"/>
              <w:jc w:val="left"/>
              <w:rPr>
                <w:rFonts w:ascii="Arial" w:hAnsi="Arial" w:cs="Arial"/>
                <w:b/>
                <w:bCs/>
                <w:color w:val="000000"/>
                <w:sz w:val="16"/>
                <w:szCs w:val="16"/>
              </w:rPr>
            </w:pPr>
          </w:p>
        </w:tc>
        <w:tc>
          <w:tcPr>
            <w:tcW w:w="856" w:type="dxa"/>
            <w:noWrap/>
            <w:vAlign w:val="center"/>
          </w:tcPr>
          <w:p w14:paraId="0C5FF8F6" w14:textId="77777777" w:rsidR="003F0EEA" w:rsidRDefault="003F0EEA">
            <w:pPr>
              <w:pStyle w:val="Normal242"/>
              <w:spacing w:after="0" w:line="240" w:lineRule="auto"/>
              <w:jc w:val="left"/>
              <w:rPr>
                <w:rFonts w:ascii="Arial" w:hAnsi="Arial" w:cs="Arial"/>
                <w:b/>
                <w:bCs/>
                <w:color w:val="000000"/>
                <w:sz w:val="16"/>
                <w:szCs w:val="16"/>
              </w:rPr>
            </w:pPr>
          </w:p>
        </w:tc>
        <w:tc>
          <w:tcPr>
            <w:tcW w:w="856" w:type="dxa"/>
            <w:noWrap/>
            <w:vAlign w:val="center"/>
          </w:tcPr>
          <w:p w14:paraId="58DEB548" w14:textId="77777777" w:rsidR="003F0EEA" w:rsidRDefault="003F0EEA">
            <w:pPr>
              <w:pStyle w:val="Normal242"/>
              <w:spacing w:after="0" w:line="240" w:lineRule="auto"/>
              <w:jc w:val="left"/>
              <w:rPr>
                <w:rFonts w:ascii="Arial" w:hAnsi="Arial" w:cs="Arial"/>
                <w:b/>
                <w:bCs/>
                <w:color w:val="000000"/>
                <w:sz w:val="16"/>
                <w:szCs w:val="16"/>
              </w:rPr>
            </w:pPr>
          </w:p>
        </w:tc>
      </w:tr>
      <w:tr w:rsidR="00724034" w14:paraId="26DD1A19" w14:textId="77777777" w:rsidTr="003F0EEA">
        <w:trPr>
          <w:trHeight w:val="225"/>
        </w:trPr>
        <w:tc>
          <w:tcPr>
            <w:tcW w:w="2977" w:type="dxa"/>
            <w:tcBorders>
              <w:top w:val="nil"/>
              <w:left w:val="nil"/>
              <w:bottom w:val="single" w:sz="4" w:space="0" w:color="auto"/>
              <w:right w:val="nil"/>
            </w:tcBorders>
            <w:noWrap/>
            <w:vAlign w:val="center"/>
          </w:tcPr>
          <w:p w14:paraId="321F4052" w14:textId="77777777" w:rsidR="003F0EEA" w:rsidRDefault="00FB7D0B">
            <w:pPr>
              <w:pStyle w:val="Normal242"/>
              <w:spacing w:after="0" w:line="240" w:lineRule="auto"/>
              <w:jc w:val="left"/>
              <w:rPr>
                <w:rFonts w:ascii="Arial" w:hAnsi="Arial" w:cs="Arial"/>
                <w:b/>
                <w:bCs/>
                <w:sz w:val="16"/>
                <w:szCs w:val="16"/>
              </w:rPr>
            </w:pPr>
            <w:r>
              <w:rPr>
                <w:rFonts w:ascii="Arial" w:hAnsi="Arial" w:cs="Arial"/>
                <w:b/>
                <w:bCs/>
                <w:sz w:val="16"/>
                <w:szCs w:val="16"/>
              </w:rPr>
              <w:t>Administered Funds</w:t>
            </w:r>
          </w:p>
        </w:tc>
        <w:tc>
          <w:tcPr>
            <w:tcW w:w="851" w:type="dxa"/>
            <w:tcBorders>
              <w:top w:val="nil"/>
              <w:left w:val="nil"/>
              <w:bottom w:val="single" w:sz="4" w:space="0" w:color="auto"/>
              <w:right w:val="nil"/>
            </w:tcBorders>
            <w:noWrap/>
            <w:vAlign w:val="center"/>
          </w:tcPr>
          <w:p w14:paraId="73F3498D" w14:textId="77777777" w:rsidR="003F0EEA" w:rsidRDefault="00FB7D0B" w:rsidP="003F0EEA">
            <w:pPr>
              <w:pStyle w:val="Normal242"/>
              <w:spacing w:after="0" w:line="240" w:lineRule="auto"/>
              <w:jc w:val="right"/>
              <w:rPr>
                <w:rFonts w:ascii="Arial" w:hAnsi="Arial" w:cs="Arial"/>
                <w:b/>
                <w:bCs/>
                <w:color w:val="000000"/>
                <w:sz w:val="16"/>
                <w:szCs w:val="16"/>
              </w:rPr>
            </w:pPr>
            <w:r>
              <w:rPr>
                <w:rFonts w:ascii="Arial" w:hAnsi="Arial" w:cs="Arial"/>
                <w:b/>
                <w:bCs/>
                <w:color w:val="000000"/>
                <w:sz w:val="16"/>
                <w:szCs w:val="16"/>
              </w:rPr>
              <w:t>(8,400)</w:t>
            </w:r>
          </w:p>
        </w:tc>
        <w:tc>
          <w:tcPr>
            <w:tcW w:w="850" w:type="dxa"/>
            <w:tcBorders>
              <w:top w:val="nil"/>
              <w:left w:val="nil"/>
              <w:bottom w:val="single" w:sz="4" w:space="0" w:color="auto"/>
              <w:right w:val="nil"/>
            </w:tcBorders>
            <w:shd w:val="clear" w:color="auto" w:fill="E6E6E6"/>
            <w:noWrap/>
            <w:vAlign w:val="center"/>
          </w:tcPr>
          <w:p w14:paraId="5759962A" w14:textId="77777777" w:rsidR="003F0EEA" w:rsidRDefault="00FB7D0B" w:rsidP="003F0EEA">
            <w:pPr>
              <w:pStyle w:val="Normal242"/>
              <w:spacing w:after="0" w:line="240" w:lineRule="auto"/>
              <w:jc w:val="right"/>
              <w:rPr>
                <w:rFonts w:ascii="Arial" w:hAnsi="Arial" w:cs="Arial"/>
                <w:b/>
                <w:bCs/>
                <w:color w:val="000000"/>
                <w:sz w:val="16"/>
                <w:szCs w:val="16"/>
              </w:rPr>
            </w:pPr>
            <w:r>
              <w:rPr>
                <w:rFonts w:ascii="Arial" w:hAnsi="Arial" w:cs="Arial"/>
                <w:b/>
                <w:bCs/>
                <w:color w:val="000000"/>
                <w:sz w:val="16"/>
                <w:szCs w:val="16"/>
              </w:rPr>
              <w:t>8,400</w:t>
            </w:r>
          </w:p>
        </w:tc>
        <w:tc>
          <w:tcPr>
            <w:tcW w:w="853" w:type="dxa"/>
            <w:tcBorders>
              <w:top w:val="nil"/>
              <w:left w:val="nil"/>
              <w:bottom w:val="single" w:sz="4" w:space="0" w:color="auto"/>
              <w:right w:val="nil"/>
            </w:tcBorders>
            <w:noWrap/>
            <w:vAlign w:val="center"/>
          </w:tcPr>
          <w:p w14:paraId="22E2B17C" w14:textId="77777777" w:rsidR="003F0EEA" w:rsidRDefault="00FB7D0B">
            <w:pPr>
              <w:pStyle w:val="Normal242"/>
              <w:spacing w:after="0" w:line="240" w:lineRule="auto"/>
              <w:jc w:val="right"/>
              <w:rPr>
                <w:rFonts w:ascii="Arial" w:hAnsi="Arial" w:cs="Arial"/>
                <w:b/>
                <w:bCs/>
                <w:color w:val="000000"/>
                <w:sz w:val="16"/>
                <w:szCs w:val="16"/>
              </w:rPr>
            </w:pPr>
            <w:r>
              <w:rPr>
                <w:rFonts w:ascii="Arial" w:hAnsi="Arial" w:cs="Arial"/>
                <w:b/>
                <w:bCs/>
                <w:color w:val="000000"/>
                <w:sz w:val="16"/>
                <w:szCs w:val="16"/>
              </w:rPr>
              <w:t xml:space="preserve">- </w:t>
            </w:r>
          </w:p>
        </w:tc>
        <w:tc>
          <w:tcPr>
            <w:tcW w:w="856" w:type="dxa"/>
            <w:tcBorders>
              <w:top w:val="nil"/>
              <w:left w:val="nil"/>
              <w:bottom w:val="single" w:sz="4" w:space="0" w:color="auto"/>
              <w:right w:val="nil"/>
            </w:tcBorders>
            <w:noWrap/>
            <w:vAlign w:val="center"/>
          </w:tcPr>
          <w:p w14:paraId="6DBFAEEC" w14:textId="77777777" w:rsidR="003F0EEA" w:rsidRDefault="00FB7D0B">
            <w:pPr>
              <w:pStyle w:val="Normal242"/>
              <w:spacing w:after="0" w:line="240" w:lineRule="auto"/>
              <w:jc w:val="right"/>
              <w:rPr>
                <w:rFonts w:ascii="Arial" w:hAnsi="Arial" w:cs="Arial"/>
                <w:b/>
                <w:bCs/>
                <w:color w:val="000000"/>
                <w:sz w:val="16"/>
                <w:szCs w:val="16"/>
              </w:rPr>
            </w:pPr>
            <w:r>
              <w:rPr>
                <w:rFonts w:ascii="Arial" w:hAnsi="Arial" w:cs="Arial"/>
                <w:b/>
                <w:bCs/>
                <w:color w:val="000000"/>
                <w:sz w:val="16"/>
                <w:szCs w:val="16"/>
              </w:rPr>
              <w:t xml:space="preserve">- </w:t>
            </w:r>
          </w:p>
        </w:tc>
        <w:tc>
          <w:tcPr>
            <w:tcW w:w="856" w:type="dxa"/>
            <w:tcBorders>
              <w:top w:val="nil"/>
              <w:left w:val="nil"/>
              <w:bottom w:val="single" w:sz="4" w:space="0" w:color="auto"/>
              <w:right w:val="nil"/>
            </w:tcBorders>
            <w:noWrap/>
            <w:vAlign w:val="center"/>
          </w:tcPr>
          <w:p w14:paraId="6DA67B82" w14:textId="77777777" w:rsidR="003F0EEA" w:rsidRDefault="00FB7D0B">
            <w:pPr>
              <w:pStyle w:val="Normal242"/>
              <w:spacing w:after="0" w:line="240" w:lineRule="auto"/>
              <w:jc w:val="right"/>
              <w:rPr>
                <w:rFonts w:ascii="Arial" w:hAnsi="Arial" w:cs="Arial"/>
                <w:b/>
                <w:bCs/>
                <w:color w:val="000000"/>
                <w:sz w:val="16"/>
                <w:szCs w:val="16"/>
              </w:rPr>
            </w:pPr>
            <w:r>
              <w:rPr>
                <w:rFonts w:ascii="Arial" w:hAnsi="Arial" w:cs="Arial"/>
                <w:b/>
                <w:bCs/>
                <w:color w:val="000000"/>
                <w:sz w:val="16"/>
                <w:szCs w:val="16"/>
              </w:rPr>
              <w:t xml:space="preserve">- </w:t>
            </w:r>
          </w:p>
        </w:tc>
      </w:tr>
      <w:tr w:rsidR="00724034" w14:paraId="2EE81959" w14:textId="77777777" w:rsidTr="003F0EEA">
        <w:trPr>
          <w:trHeight w:val="225"/>
        </w:trPr>
        <w:tc>
          <w:tcPr>
            <w:tcW w:w="2977" w:type="dxa"/>
            <w:noWrap/>
            <w:vAlign w:val="center"/>
          </w:tcPr>
          <w:p w14:paraId="0B3EEBE7" w14:textId="77777777" w:rsidR="003F0EEA" w:rsidRDefault="003F0EEA">
            <w:pPr>
              <w:pStyle w:val="Normal242"/>
              <w:spacing w:after="0" w:line="240" w:lineRule="auto"/>
              <w:jc w:val="left"/>
              <w:rPr>
                <w:rFonts w:ascii="Arial" w:hAnsi="Arial" w:cs="Arial"/>
                <w:b/>
                <w:bCs/>
                <w:sz w:val="16"/>
                <w:szCs w:val="16"/>
              </w:rPr>
            </w:pPr>
          </w:p>
        </w:tc>
        <w:tc>
          <w:tcPr>
            <w:tcW w:w="851" w:type="dxa"/>
            <w:noWrap/>
            <w:vAlign w:val="center"/>
          </w:tcPr>
          <w:p w14:paraId="07ECC6F3" w14:textId="77777777" w:rsidR="003F0EEA" w:rsidRDefault="003F0EEA">
            <w:pPr>
              <w:pStyle w:val="Normal242"/>
              <w:spacing w:after="0" w:line="240" w:lineRule="auto"/>
              <w:jc w:val="left"/>
              <w:rPr>
                <w:rFonts w:ascii="Arial" w:hAnsi="Arial" w:cs="Arial"/>
                <w:color w:val="000000"/>
                <w:sz w:val="16"/>
                <w:szCs w:val="16"/>
              </w:rPr>
            </w:pPr>
          </w:p>
        </w:tc>
        <w:tc>
          <w:tcPr>
            <w:tcW w:w="850" w:type="dxa"/>
            <w:noWrap/>
            <w:vAlign w:val="center"/>
          </w:tcPr>
          <w:p w14:paraId="21991D70" w14:textId="77777777" w:rsidR="003F0EEA" w:rsidRDefault="003F0EEA">
            <w:pPr>
              <w:pStyle w:val="Normal242"/>
              <w:spacing w:after="0" w:line="240" w:lineRule="auto"/>
              <w:jc w:val="left"/>
              <w:rPr>
                <w:rFonts w:ascii="Arial" w:hAnsi="Arial" w:cs="Arial"/>
                <w:color w:val="000000"/>
                <w:sz w:val="16"/>
                <w:szCs w:val="16"/>
              </w:rPr>
            </w:pPr>
          </w:p>
        </w:tc>
        <w:tc>
          <w:tcPr>
            <w:tcW w:w="853" w:type="dxa"/>
            <w:noWrap/>
            <w:vAlign w:val="center"/>
          </w:tcPr>
          <w:p w14:paraId="0A0B1E45" w14:textId="77777777" w:rsidR="003F0EEA" w:rsidRDefault="003F0EEA">
            <w:pPr>
              <w:pStyle w:val="Normal242"/>
              <w:spacing w:after="0" w:line="240" w:lineRule="auto"/>
              <w:jc w:val="left"/>
              <w:rPr>
                <w:rFonts w:ascii="Arial" w:hAnsi="Arial" w:cs="Arial"/>
                <w:color w:val="000000"/>
                <w:sz w:val="16"/>
                <w:szCs w:val="16"/>
              </w:rPr>
            </w:pPr>
          </w:p>
        </w:tc>
        <w:tc>
          <w:tcPr>
            <w:tcW w:w="856" w:type="dxa"/>
            <w:noWrap/>
            <w:vAlign w:val="center"/>
          </w:tcPr>
          <w:p w14:paraId="6794E29A" w14:textId="77777777" w:rsidR="003F0EEA" w:rsidRDefault="003F0EEA">
            <w:pPr>
              <w:pStyle w:val="Normal242"/>
              <w:spacing w:after="0" w:line="240" w:lineRule="auto"/>
              <w:jc w:val="left"/>
              <w:rPr>
                <w:rFonts w:ascii="Arial" w:hAnsi="Arial" w:cs="Arial"/>
                <w:color w:val="000000"/>
                <w:sz w:val="16"/>
                <w:szCs w:val="16"/>
              </w:rPr>
            </w:pPr>
          </w:p>
        </w:tc>
        <w:tc>
          <w:tcPr>
            <w:tcW w:w="856" w:type="dxa"/>
            <w:noWrap/>
            <w:vAlign w:val="center"/>
          </w:tcPr>
          <w:p w14:paraId="55C62E39" w14:textId="77777777" w:rsidR="003F0EEA" w:rsidRDefault="003F0EEA">
            <w:pPr>
              <w:pStyle w:val="Normal242"/>
              <w:spacing w:after="0" w:line="240" w:lineRule="auto"/>
              <w:jc w:val="left"/>
              <w:rPr>
                <w:rFonts w:ascii="Arial" w:hAnsi="Arial" w:cs="Arial"/>
                <w:color w:val="000000"/>
                <w:sz w:val="16"/>
                <w:szCs w:val="16"/>
              </w:rPr>
            </w:pPr>
          </w:p>
        </w:tc>
      </w:tr>
      <w:tr w:rsidR="00724034" w14:paraId="2BB8228C" w14:textId="77777777" w:rsidTr="003F0EEA">
        <w:trPr>
          <w:trHeight w:val="450"/>
        </w:trPr>
        <w:tc>
          <w:tcPr>
            <w:tcW w:w="7243" w:type="dxa"/>
            <w:gridSpan w:val="6"/>
            <w:noWrap/>
            <w:vAlign w:val="center"/>
          </w:tcPr>
          <w:p w14:paraId="1921409A" w14:textId="77777777" w:rsidR="003F0EEA" w:rsidRDefault="00FB7D0B">
            <w:pPr>
              <w:pStyle w:val="Normal242"/>
              <w:spacing w:after="0" w:line="240" w:lineRule="auto"/>
              <w:jc w:val="left"/>
              <w:rPr>
                <w:rFonts w:ascii="Arial" w:hAnsi="Arial" w:cs="Arial"/>
                <w:sz w:val="16"/>
                <w:szCs w:val="16"/>
              </w:rPr>
            </w:pPr>
            <w:r>
              <w:rPr>
                <w:rFonts w:ascii="Arial" w:hAnsi="Arial" w:cs="Arial"/>
                <w:sz w:val="16"/>
                <w:szCs w:val="16"/>
                <w:vertAlign w:val="superscript"/>
              </w:rPr>
              <w:t>1</w:t>
            </w:r>
            <w:r>
              <w:rPr>
                <w:rFonts w:ascii="Arial" w:hAnsi="Arial" w:cs="Arial"/>
                <w:sz w:val="16"/>
                <w:szCs w:val="16"/>
              </w:rPr>
              <w:t xml:space="preserve"> Figures displayed as a negative (-) represent a decrease in funds and a positive reflect an increase in funds.</w:t>
            </w:r>
          </w:p>
        </w:tc>
      </w:tr>
    </w:tbl>
    <w:p w14:paraId="52121D17" w14:textId="77777777" w:rsidR="003F0EEA" w:rsidRPr="0085210C" w:rsidRDefault="00FB7D0B" w:rsidP="003F0EEA">
      <w:pPr>
        <w:pStyle w:val="Heading414"/>
        <w:rPr>
          <w:rFonts w:ascii="Arial" w:hAnsi="Arial" w:cs="Arial"/>
          <w:sz w:val="22"/>
          <w:szCs w:val="22"/>
        </w:rPr>
      </w:pPr>
      <w:r w:rsidRPr="0085210C">
        <w:rPr>
          <w:rFonts w:ascii="Arial" w:hAnsi="Arial" w:cs="Arial"/>
          <w:sz w:val="22"/>
          <w:szCs w:val="22"/>
        </w:rPr>
        <w:t>3.1.2</w:t>
      </w:r>
      <w:r w:rsidRPr="0085210C">
        <w:rPr>
          <w:rFonts w:ascii="Arial" w:hAnsi="Arial" w:cs="Arial"/>
          <w:sz w:val="22"/>
          <w:szCs w:val="22"/>
        </w:rPr>
        <w:tab/>
        <w:t>Special Accounts</w:t>
      </w:r>
    </w:p>
    <w:p w14:paraId="1BF2D918" w14:textId="77777777" w:rsidR="003F0EEA" w:rsidRDefault="00FB7D0B" w:rsidP="003F0EEA">
      <w:pPr>
        <w:pStyle w:val="Normal242"/>
      </w:pPr>
      <w:r>
        <w:t>The Australian War Memorial does not operate Special Accounts.</w:t>
      </w:r>
    </w:p>
    <w:p w14:paraId="4E7F2A1C" w14:textId="77777777" w:rsidR="003F0EEA" w:rsidRDefault="003F0EEA" w:rsidP="003F0EEA">
      <w:pPr>
        <w:pStyle w:val="Normal242"/>
      </w:pPr>
    </w:p>
    <w:p w14:paraId="7F7F5D71" w14:textId="77777777" w:rsidR="003F0EEA" w:rsidRDefault="003F0EEA" w:rsidP="003F0EEA">
      <w:pPr>
        <w:pStyle w:val="Normal242"/>
      </w:pPr>
    </w:p>
    <w:p w14:paraId="5430C01F" w14:textId="77777777" w:rsidR="003F0EEA" w:rsidRDefault="00FB7D0B">
      <w:pPr>
        <w:spacing w:line="14" w:lineRule="exact"/>
        <w:rPr>
          <w:rFonts w:eastAsia="Times New Roman" w:cs="Times New Roman"/>
        </w:rPr>
      </w:pPr>
      <w:r>
        <w:rPr>
          <w:rFonts w:eastAsia="Times New Roman" w:cs="Times New Roman"/>
        </w:rPr>
        <w:br w:type="page"/>
      </w:r>
    </w:p>
    <w:p w14:paraId="6D4739B4" w14:textId="77777777" w:rsidR="003F0EEA" w:rsidRPr="00261054" w:rsidRDefault="00FB7D0B" w:rsidP="003F0EEA">
      <w:pPr>
        <w:pStyle w:val="Heading415"/>
        <w:rPr>
          <w:rFonts w:ascii="Arial" w:hAnsi="Arial" w:cs="Arial"/>
          <w:sz w:val="22"/>
          <w:szCs w:val="22"/>
        </w:rPr>
      </w:pPr>
      <w:r w:rsidRPr="00261054">
        <w:rPr>
          <w:rFonts w:ascii="Arial" w:hAnsi="Arial" w:cs="Arial"/>
          <w:sz w:val="22"/>
          <w:szCs w:val="22"/>
        </w:rPr>
        <w:t>3.1.3 Australian Government Indigenous Expenditure</w:t>
      </w:r>
    </w:p>
    <w:p w14:paraId="607DA36D" w14:textId="77777777" w:rsidR="003F0EEA" w:rsidRDefault="00FB7D0B" w:rsidP="003F0EEA">
      <w:pPr>
        <w:pStyle w:val="Normal243"/>
      </w:pPr>
      <w:r>
        <w:t>The Australian War Memorial reports the following Australian Government Indigenous expenditure.</w:t>
      </w:r>
    </w:p>
    <w:p w14:paraId="4EF3824F" w14:textId="77777777" w:rsidR="003F0EEA" w:rsidRPr="005555DD" w:rsidRDefault="003F0EE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0"/>
        <w:gridCol w:w="250"/>
        <w:gridCol w:w="1965"/>
        <w:gridCol w:w="750"/>
        <w:gridCol w:w="750"/>
        <w:gridCol w:w="840"/>
        <w:gridCol w:w="750"/>
        <w:gridCol w:w="250"/>
        <w:gridCol w:w="660"/>
        <w:gridCol w:w="855"/>
        <w:gridCol w:w="975"/>
      </w:tblGrid>
      <w:tr w:rsidR="00FB7D0B" w14:paraId="7597E89E" w14:textId="77777777" w:rsidTr="00FB7D0B">
        <w:trPr>
          <w:trHeight w:val="225"/>
        </w:trPr>
        <w:tc>
          <w:tcPr>
            <w:tcW w:w="180" w:type="dxa"/>
            <w:tcBorders>
              <w:top w:val="single" w:sz="6" w:space="0" w:color="000000"/>
              <w:left w:val="nil"/>
              <w:bottom w:val="nil"/>
              <w:right w:val="nil"/>
              <w:tl2br w:val="nil"/>
              <w:tr2bl w:val="nil"/>
            </w:tcBorders>
            <w:shd w:val="clear" w:color="auto" w:fill="FFFFFF"/>
            <w:tcMar>
              <w:left w:w="115" w:type="dxa"/>
              <w:right w:w="115" w:type="dxa"/>
            </w:tcMar>
            <w:vAlign w:val="center"/>
          </w:tcPr>
          <w:p w14:paraId="6EDAF83F" w14:textId="77777777" w:rsidR="003F0EEA" w:rsidRPr="005555DD" w:rsidRDefault="003F0EEA"/>
        </w:tc>
        <w:tc>
          <w:tcPr>
            <w:tcW w:w="180" w:type="dxa"/>
            <w:tcBorders>
              <w:top w:val="single" w:sz="6" w:space="0" w:color="000000"/>
              <w:left w:val="nil"/>
              <w:bottom w:val="nil"/>
              <w:right w:val="nil"/>
              <w:tl2br w:val="nil"/>
              <w:tr2bl w:val="nil"/>
            </w:tcBorders>
            <w:shd w:val="clear" w:color="auto" w:fill="FFFFFF"/>
            <w:tcMar>
              <w:left w:w="115" w:type="dxa"/>
              <w:right w:w="115" w:type="dxa"/>
            </w:tcMar>
            <w:vAlign w:val="center"/>
          </w:tcPr>
          <w:p w14:paraId="61728A23" w14:textId="77777777" w:rsidR="003F0EEA" w:rsidRPr="005555DD" w:rsidRDefault="003F0EEA">
            <w:pPr>
              <w:rPr>
                <w:rFonts w:ascii="Arial" w:eastAsia="Arial" w:hAnsi="Arial" w:cs="Arial"/>
                <w:color w:val="000000"/>
                <w:sz w:val="16"/>
              </w:rPr>
            </w:pPr>
          </w:p>
        </w:tc>
        <w:tc>
          <w:tcPr>
            <w:tcW w:w="1965" w:type="dxa"/>
            <w:tcBorders>
              <w:top w:val="single" w:sz="6" w:space="0" w:color="000000"/>
              <w:left w:val="nil"/>
              <w:bottom w:val="nil"/>
              <w:right w:val="nil"/>
              <w:tl2br w:val="nil"/>
              <w:tr2bl w:val="nil"/>
            </w:tcBorders>
            <w:shd w:val="clear" w:color="auto" w:fill="FFFFFF"/>
            <w:tcMar>
              <w:left w:w="115" w:type="dxa"/>
              <w:right w:w="115" w:type="dxa"/>
            </w:tcMar>
            <w:vAlign w:val="center"/>
          </w:tcPr>
          <w:p w14:paraId="022A474C" w14:textId="77777777" w:rsidR="003F0EEA" w:rsidRPr="005555DD" w:rsidRDefault="003F0EEA">
            <w:pPr>
              <w:rPr>
                <w:rFonts w:ascii="Arial" w:eastAsia="Arial" w:hAnsi="Arial" w:cs="Arial"/>
                <w:color w:val="000000"/>
                <w:sz w:val="16"/>
              </w:rPr>
            </w:pPr>
          </w:p>
        </w:tc>
        <w:tc>
          <w:tcPr>
            <w:tcW w:w="3090" w:type="dxa"/>
            <w:gridSpan w:val="4"/>
            <w:tcBorders>
              <w:top w:val="single" w:sz="6" w:space="0" w:color="000000"/>
              <w:left w:val="nil"/>
              <w:bottom w:val="single" w:sz="6" w:space="0" w:color="000000"/>
              <w:right w:val="nil"/>
              <w:tl2br w:val="nil"/>
              <w:tr2bl w:val="nil"/>
            </w:tcBorders>
            <w:shd w:val="clear" w:color="auto" w:fill="FFFFFF"/>
            <w:tcMar>
              <w:left w:w="115" w:type="dxa"/>
              <w:right w:w="115" w:type="dxa"/>
            </w:tcMar>
            <w:vAlign w:val="bottom"/>
          </w:tcPr>
          <w:p w14:paraId="2AFDD546" w14:textId="77777777" w:rsidR="003F0EEA" w:rsidRPr="005555DD" w:rsidRDefault="00FB7D0B">
            <w:pPr>
              <w:jc w:val="center"/>
              <w:rPr>
                <w:rFonts w:ascii="Arial" w:eastAsia="Arial" w:hAnsi="Arial" w:cs="Arial"/>
                <w:color w:val="000000"/>
                <w:sz w:val="16"/>
              </w:rPr>
            </w:pPr>
            <w:r w:rsidRPr="005555DD">
              <w:rPr>
                <w:rFonts w:ascii="Arial" w:eastAsia="Arial" w:hAnsi="Arial" w:cs="Arial"/>
                <w:color w:val="000000"/>
                <w:sz w:val="16"/>
              </w:rPr>
              <w:t>Appropriations</w:t>
            </w:r>
          </w:p>
        </w:tc>
        <w:tc>
          <w:tcPr>
            <w:tcW w:w="90" w:type="dxa"/>
            <w:tcBorders>
              <w:top w:val="single" w:sz="6" w:space="0" w:color="000000"/>
              <w:left w:val="nil"/>
              <w:bottom w:val="single" w:sz="6" w:space="0" w:color="000000"/>
              <w:right w:val="nil"/>
              <w:tl2br w:val="nil"/>
              <w:tr2bl w:val="nil"/>
            </w:tcBorders>
            <w:shd w:val="clear" w:color="auto" w:fill="FFFFFF"/>
            <w:tcMar>
              <w:left w:w="115" w:type="dxa"/>
              <w:right w:w="115" w:type="dxa"/>
            </w:tcMar>
            <w:vAlign w:val="bottom"/>
          </w:tcPr>
          <w:p w14:paraId="66EBADC7" w14:textId="77777777" w:rsidR="003F0EEA" w:rsidRPr="005555DD" w:rsidRDefault="003F0EEA">
            <w:pPr>
              <w:rPr>
                <w:rFonts w:ascii="Arial" w:eastAsia="Arial" w:hAnsi="Arial" w:cs="Arial"/>
                <w:color w:val="000000"/>
                <w:sz w:val="16"/>
              </w:rPr>
            </w:pPr>
          </w:p>
        </w:tc>
        <w:tc>
          <w:tcPr>
            <w:tcW w:w="660" w:type="dxa"/>
            <w:tcBorders>
              <w:top w:val="single" w:sz="6" w:space="0" w:color="000000"/>
              <w:left w:val="nil"/>
              <w:bottom w:val="single" w:sz="6" w:space="0" w:color="000000"/>
              <w:right w:val="nil"/>
              <w:tl2br w:val="nil"/>
              <w:tr2bl w:val="nil"/>
            </w:tcBorders>
            <w:shd w:val="clear" w:color="auto" w:fill="FFFFFF"/>
            <w:tcMar>
              <w:left w:w="115" w:type="dxa"/>
              <w:right w:w="115" w:type="dxa"/>
            </w:tcMar>
            <w:vAlign w:val="bottom"/>
          </w:tcPr>
          <w:p w14:paraId="7A76A9D8" w14:textId="77777777" w:rsidR="003F0EEA" w:rsidRPr="005555DD" w:rsidRDefault="00FB7D0B">
            <w:pPr>
              <w:jc w:val="right"/>
              <w:rPr>
                <w:rFonts w:ascii="Arial" w:eastAsia="Arial" w:hAnsi="Arial" w:cs="Arial"/>
                <w:color w:val="000000"/>
                <w:sz w:val="16"/>
              </w:rPr>
            </w:pPr>
            <w:r w:rsidRPr="005555DD">
              <w:rPr>
                <w:rFonts w:ascii="Arial" w:eastAsia="Arial" w:hAnsi="Arial" w:cs="Arial"/>
                <w:color w:val="000000"/>
                <w:sz w:val="16"/>
              </w:rPr>
              <w:t>Other</w:t>
            </w:r>
          </w:p>
        </w:tc>
        <w:tc>
          <w:tcPr>
            <w:tcW w:w="855" w:type="dxa"/>
            <w:tcBorders>
              <w:top w:val="single" w:sz="6" w:space="0" w:color="000000"/>
              <w:left w:val="nil"/>
              <w:bottom w:val="single" w:sz="6" w:space="0" w:color="000000"/>
              <w:right w:val="nil"/>
              <w:tl2br w:val="nil"/>
              <w:tr2bl w:val="nil"/>
            </w:tcBorders>
            <w:shd w:val="clear" w:color="auto" w:fill="FFFFFF"/>
            <w:tcMar>
              <w:left w:w="115" w:type="dxa"/>
              <w:right w:w="115" w:type="dxa"/>
            </w:tcMar>
            <w:vAlign w:val="bottom"/>
          </w:tcPr>
          <w:p w14:paraId="355EBBA8" w14:textId="77777777" w:rsidR="003F0EEA" w:rsidRPr="005555DD" w:rsidRDefault="00FB7D0B">
            <w:pPr>
              <w:jc w:val="right"/>
              <w:rPr>
                <w:rFonts w:ascii="Arial" w:eastAsia="Arial" w:hAnsi="Arial" w:cs="Arial"/>
                <w:color w:val="000000"/>
                <w:sz w:val="16"/>
              </w:rPr>
            </w:pPr>
            <w:r w:rsidRPr="005555DD">
              <w:rPr>
                <w:rFonts w:ascii="Arial" w:eastAsia="Arial" w:hAnsi="Arial" w:cs="Arial"/>
                <w:color w:val="000000"/>
                <w:sz w:val="16"/>
              </w:rPr>
              <w:t>Total</w:t>
            </w:r>
          </w:p>
        </w:tc>
        <w:tc>
          <w:tcPr>
            <w:tcW w:w="975" w:type="dxa"/>
            <w:tcBorders>
              <w:top w:val="single" w:sz="6" w:space="0" w:color="000000"/>
              <w:left w:val="nil"/>
              <w:bottom w:val="single" w:sz="6" w:space="0" w:color="000000"/>
              <w:right w:val="nil"/>
              <w:tl2br w:val="nil"/>
              <w:tr2bl w:val="nil"/>
            </w:tcBorders>
            <w:shd w:val="clear" w:color="auto" w:fill="FFFFFF"/>
            <w:tcMar>
              <w:left w:w="115" w:type="dxa"/>
              <w:right w:w="115" w:type="dxa"/>
            </w:tcMar>
            <w:vAlign w:val="bottom"/>
          </w:tcPr>
          <w:p w14:paraId="0E51DCFF" w14:textId="77777777" w:rsidR="003F0EEA" w:rsidRPr="005555DD" w:rsidRDefault="00FB7D0B">
            <w:pPr>
              <w:jc w:val="right"/>
              <w:rPr>
                <w:rFonts w:ascii="Arial" w:eastAsia="Arial" w:hAnsi="Arial" w:cs="Arial"/>
                <w:color w:val="000000"/>
                <w:sz w:val="16"/>
              </w:rPr>
            </w:pPr>
            <w:r w:rsidRPr="005555DD">
              <w:rPr>
                <w:rFonts w:ascii="Arial" w:eastAsia="Arial" w:hAnsi="Arial" w:cs="Arial"/>
                <w:color w:val="000000"/>
                <w:sz w:val="14"/>
              </w:rPr>
              <w:t>Programme</w:t>
            </w:r>
          </w:p>
        </w:tc>
      </w:tr>
      <w:tr w:rsidR="00724034" w14:paraId="0F931BF2" w14:textId="77777777">
        <w:trPr>
          <w:trHeight w:val="225"/>
        </w:trPr>
        <w:tc>
          <w:tcPr>
            <w:tcW w:w="180" w:type="dxa"/>
            <w:tcBorders>
              <w:top w:val="nil"/>
              <w:left w:val="nil"/>
              <w:bottom w:val="nil"/>
              <w:right w:val="nil"/>
              <w:tl2br w:val="nil"/>
              <w:tr2bl w:val="nil"/>
            </w:tcBorders>
            <w:shd w:val="clear" w:color="auto" w:fill="FFFFFF"/>
            <w:tcMar>
              <w:left w:w="115" w:type="dxa"/>
              <w:right w:w="115" w:type="dxa"/>
            </w:tcMar>
            <w:vAlign w:val="center"/>
          </w:tcPr>
          <w:p w14:paraId="5FC3E843" w14:textId="77777777" w:rsidR="003F0EEA" w:rsidRPr="005555DD" w:rsidRDefault="003F0EEA">
            <w:pPr>
              <w:jc w:val="right"/>
              <w:rPr>
                <w:rFonts w:ascii="Arial" w:eastAsia="Arial" w:hAnsi="Arial" w:cs="Arial"/>
                <w:color w:val="000000"/>
                <w:sz w:val="14"/>
              </w:rPr>
            </w:pPr>
          </w:p>
        </w:tc>
        <w:tc>
          <w:tcPr>
            <w:tcW w:w="180" w:type="dxa"/>
            <w:tcBorders>
              <w:top w:val="nil"/>
              <w:left w:val="nil"/>
              <w:bottom w:val="nil"/>
              <w:right w:val="nil"/>
              <w:tl2br w:val="nil"/>
              <w:tr2bl w:val="nil"/>
            </w:tcBorders>
            <w:shd w:val="clear" w:color="auto" w:fill="FFFFFF"/>
            <w:tcMar>
              <w:left w:w="115" w:type="dxa"/>
              <w:right w:w="115" w:type="dxa"/>
            </w:tcMar>
            <w:vAlign w:val="center"/>
          </w:tcPr>
          <w:p w14:paraId="79B23DB5" w14:textId="77777777" w:rsidR="003F0EEA" w:rsidRPr="005555DD" w:rsidRDefault="003F0EEA">
            <w:pPr>
              <w:jc w:val="right"/>
              <w:rPr>
                <w:rFonts w:ascii="Arial" w:eastAsia="Arial" w:hAnsi="Arial" w:cs="Arial"/>
                <w:color w:val="000000"/>
                <w:sz w:val="16"/>
              </w:rPr>
            </w:pPr>
          </w:p>
        </w:tc>
        <w:tc>
          <w:tcPr>
            <w:tcW w:w="1965" w:type="dxa"/>
            <w:tcBorders>
              <w:top w:val="nil"/>
              <w:left w:val="nil"/>
              <w:bottom w:val="nil"/>
              <w:right w:val="nil"/>
              <w:tl2br w:val="nil"/>
              <w:tr2bl w:val="nil"/>
            </w:tcBorders>
            <w:shd w:val="clear" w:color="auto" w:fill="FFFFFF"/>
            <w:tcMar>
              <w:left w:w="115" w:type="dxa"/>
              <w:right w:w="115" w:type="dxa"/>
            </w:tcMar>
            <w:vAlign w:val="center"/>
          </w:tcPr>
          <w:p w14:paraId="45F6541F" w14:textId="77777777" w:rsidR="003F0EEA" w:rsidRPr="005555DD" w:rsidRDefault="003F0EEA">
            <w:pPr>
              <w:jc w:val="right"/>
              <w:rPr>
                <w:rFonts w:ascii="Arial" w:eastAsia="Arial" w:hAnsi="Arial" w:cs="Arial"/>
                <w:color w:val="000000"/>
                <w:sz w:val="16"/>
              </w:rPr>
            </w:pPr>
          </w:p>
        </w:tc>
        <w:tc>
          <w:tcPr>
            <w:tcW w:w="750"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1605FD69" w14:textId="77777777" w:rsidR="003F0EEA" w:rsidRPr="005555DD" w:rsidRDefault="00FB7D0B">
            <w:pPr>
              <w:jc w:val="right"/>
              <w:rPr>
                <w:rFonts w:ascii="Arial" w:eastAsia="Arial" w:hAnsi="Arial" w:cs="Arial"/>
                <w:color w:val="000000"/>
                <w:sz w:val="16"/>
              </w:rPr>
            </w:pPr>
            <w:r w:rsidRPr="005555DD">
              <w:rPr>
                <w:rFonts w:ascii="Arial" w:eastAsia="Arial" w:hAnsi="Arial" w:cs="Arial"/>
                <w:color w:val="000000"/>
                <w:sz w:val="16"/>
              </w:rPr>
              <w:t xml:space="preserve">Bill </w:t>
            </w:r>
          </w:p>
        </w:tc>
        <w:tc>
          <w:tcPr>
            <w:tcW w:w="750"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7ED757F1" w14:textId="77777777" w:rsidR="003F0EEA" w:rsidRPr="005555DD" w:rsidRDefault="00FB7D0B">
            <w:pPr>
              <w:jc w:val="right"/>
              <w:rPr>
                <w:rFonts w:ascii="Arial" w:eastAsia="Arial" w:hAnsi="Arial" w:cs="Arial"/>
                <w:color w:val="000000"/>
                <w:sz w:val="16"/>
              </w:rPr>
            </w:pPr>
            <w:r w:rsidRPr="005555DD">
              <w:rPr>
                <w:rFonts w:ascii="Arial" w:eastAsia="Arial" w:hAnsi="Arial" w:cs="Arial"/>
                <w:color w:val="000000"/>
                <w:sz w:val="16"/>
              </w:rPr>
              <w:t xml:space="preserve">Bill </w:t>
            </w:r>
          </w:p>
        </w:tc>
        <w:tc>
          <w:tcPr>
            <w:tcW w:w="840"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2655BE99" w14:textId="77777777" w:rsidR="003F0EEA" w:rsidRPr="005555DD" w:rsidRDefault="00FB7D0B">
            <w:pPr>
              <w:jc w:val="right"/>
              <w:rPr>
                <w:rFonts w:ascii="Arial" w:eastAsia="Arial" w:hAnsi="Arial" w:cs="Arial"/>
                <w:color w:val="000000"/>
                <w:sz w:val="16"/>
              </w:rPr>
            </w:pPr>
            <w:r w:rsidRPr="005555DD">
              <w:rPr>
                <w:rFonts w:ascii="Arial" w:eastAsia="Arial" w:hAnsi="Arial" w:cs="Arial"/>
                <w:color w:val="000000"/>
                <w:sz w:val="16"/>
              </w:rPr>
              <w:t>Special</w:t>
            </w:r>
          </w:p>
        </w:tc>
        <w:tc>
          <w:tcPr>
            <w:tcW w:w="750"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427DCBC6" w14:textId="77777777" w:rsidR="003F0EEA" w:rsidRPr="005555DD" w:rsidRDefault="00FB7D0B">
            <w:pPr>
              <w:jc w:val="right"/>
              <w:rPr>
                <w:rFonts w:ascii="Arial" w:eastAsia="Arial" w:hAnsi="Arial" w:cs="Arial"/>
                <w:color w:val="000000"/>
                <w:sz w:val="16"/>
              </w:rPr>
            </w:pPr>
            <w:r w:rsidRPr="005555DD">
              <w:rPr>
                <w:rFonts w:ascii="Arial" w:eastAsia="Arial" w:hAnsi="Arial" w:cs="Arial"/>
                <w:color w:val="000000"/>
                <w:sz w:val="16"/>
              </w:rPr>
              <w:t>Total</w:t>
            </w:r>
          </w:p>
        </w:tc>
        <w:tc>
          <w:tcPr>
            <w:tcW w:w="90"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6EFF3CC0" w14:textId="77777777" w:rsidR="003F0EEA" w:rsidRPr="005555DD" w:rsidRDefault="003F0EEA">
            <w:pPr>
              <w:jc w:val="right"/>
              <w:rPr>
                <w:rFonts w:ascii="Arial" w:eastAsia="Arial" w:hAnsi="Arial" w:cs="Arial"/>
                <w:color w:val="000000"/>
                <w:sz w:val="16"/>
              </w:rPr>
            </w:pPr>
          </w:p>
        </w:tc>
        <w:tc>
          <w:tcPr>
            <w:tcW w:w="660"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50CA7913" w14:textId="77777777" w:rsidR="003F0EEA" w:rsidRPr="005555DD" w:rsidRDefault="003F0EEA">
            <w:pPr>
              <w:rPr>
                <w:rFonts w:ascii="Arial" w:eastAsia="Arial" w:hAnsi="Arial" w:cs="Arial"/>
                <w:color w:val="000000"/>
                <w:sz w:val="16"/>
              </w:rPr>
            </w:pPr>
          </w:p>
        </w:tc>
        <w:tc>
          <w:tcPr>
            <w:tcW w:w="855"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0293BA54" w14:textId="77777777" w:rsidR="003F0EEA" w:rsidRPr="005555DD" w:rsidRDefault="003F0EEA">
            <w:pPr>
              <w:rPr>
                <w:rFonts w:ascii="Arial" w:eastAsia="Arial" w:hAnsi="Arial" w:cs="Arial"/>
                <w:color w:val="000000"/>
                <w:sz w:val="16"/>
              </w:rPr>
            </w:pPr>
          </w:p>
        </w:tc>
        <w:tc>
          <w:tcPr>
            <w:tcW w:w="975"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785FD59F" w14:textId="77777777" w:rsidR="003F0EEA" w:rsidRPr="005555DD" w:rsidRDefault="003F0EEA">
            <w:pPr>
              <w:rPr>
                <w:rFonts w:ascii="Arial" w:eastAsia="Arial" w:hAnsi="Arial" w:cs="Arial"/>
                <w:color w:val="000000"/>
                <w:sz w:val="16"/>
              </w:rPr>
            </w:pPr>
          </w:p>
        </w:tc>
      </w:tr>
      <w:tr w:rsidR="00724034" w14:paraId="1AA65803" w14:textId="77777777">
        <w:trPr>
          <w:trHeight w:val="225"/>
        </w:trPr>
        <w:tc>
          <w:tcPr>
            <w:tcW w:w="180" w:type="dxa"/>
            <w:tcBorders>
              <w:top w:val="nil"/>
              <w:left w:val="nil"/>
              <w:bottom w:val="nil"/>
              <w:right w:val="nil"/>
              <w:tl2br w:val="nil"/>
              <w:tr2bl w:val="nil"/>
            </w:tcBorders>
            <w:shd w:val="clear" w:color="auto" w:fill="FFFFFF"/>
            <w:tcMar>
              <w:left w:w="115" w:type="dxa"/>
              <w:right w:w="115" w:type="dxa"/>
            </w:tcMar>
            <w:vAlign w:val="center"/>
          </w:tcPr>
          <w:p w14:paraId="19A3BB9A" w14:textId="77777777" w:rsidR="003F0EEA" w:rsidRPr="005555DD" w:rsidRDefault="003F0EEA">
            <w:pPr>
              <w:jc w:val="right"/>
              <w:rPr>
                <w:rFonts w:ascii="Arial" w:eastAsia="Arial" w:hAnsi="Arial" w:cs="Arial"/>
                <w:color w:val="000000"/>
                <w:sz w:val="16"/>
              </w:rPr>
            </w:pPr>
          </w:p>
        </w:tc>
        <w:tc>
          <w:tcPr>
            <w:tcW w:w="180" w:type="dxa"/>
            <w:tcBorders>
              <w:top w:val="nil"/>
              <w:left w:val="nil"/>
              <w:bottom w:val="nil"/>
              <w:right w:val="nil"/>
              <w:tl2br w:val="nil"/>
              <w:tr2bl w:val="nil"/>
            </w:tcBorders>
            <w:shd w:val="clear" w:color="auto" w:fill="FFFFFF"/>
            <w:tcMar>
              <w:left w:w="115" w:type="dxa"/>
              <w:right w:w="115" w:type="dxa"/>
            </w:tcMar>
            <w:vAlign w:val="center"/>
          </w:tcPr>
          <w:p w14:paraId="3960CEA0" w14:textId="77777777" w:rsidR="003F0EEA" w:rsidRPr="005555DD" w:rsidRDefault="003F0EEA">
            <w:pPr>
              <w:jc w:val="right"/>
              <w:rPr>
                <w:rFonts w:ascii="Arial" w:eastAsia="Arial" w:hAnsi="Arial" w:cs="Arial"/>
                <w:color w:val="000000"/>
                <w:sz w:val="16"/>
              </w:rPr>
            </w:pPr>
          </w:p>
        </w:tc>
        <w:tc>
          <w:tcPr>
            <w:tcW w:w="1965" w:type="dxa"/>
            <w:tcBorders>
              <w:top w:val="nil"/>
              <w:left w:val="nil"/>
              <w:bottom w:val="nil"/>
              <w:right w:val="nil"/>
              <w:tl2br w:val="nil"/>
              <w:tr2bl w:val="nil"/>
            </w:tcBorders>
            <w:shd w:val="clear" w:color="auto" w:fill="FFFFFF"/>
            <w:tcMar>
              <w:left w:w="115" w:type="dxa"/>
              <w:right w:w="115" w:type="dxa"/>
            </w:tcMar>
            <w:vAlign w:val="center"/>
          </w:tcPr>
          <w:p w14:paraId="51E39522" w14:textId="77777777" w:rsidR="003F0EEA" w:rsidRPr="005555DD" w:rsidRDefault="003F0EEA">
            <w:pPr>
              <w:jc w:val="right"/>
              <w:rPr>
                <w:rFonts w:ascii="Arial" w:eastAsia="Arial" w:hAnsi="Arial" w:cs="Arial"/>
                <w:color w:val="000000"/>
                <w:sz w:val="16"/>
              </w:rPr>
            </w:pPr>
          </w:p>
        </w:tc>
        <w:tc>
          <w:tcPr>
            <w:tcW w:w="750" w:type="dxa"/>
            <w:tcBorders>
              <w:top w:val="nil"/>
              <w:left w:val="nil"/>
              <w:bottom w:val="nil"/>
              <w:right w:val="nil"/>
              <w:tl2br w:val="nil"/>
              <w:tr2bl w:val="nil"/>
            </w:tcBorders>
            <w:shd w:val="clear" w:color="auto" w:fill="FFFFFF"/>
            <w:tcMar>
              <w:left w:w="115" w:type="dxa"/>
              <w:right w:w="115" w:type="dxa"/>
            </w:tcMar>
            <w:vAlign w:val="bottom"/>
          </w:tcPr>
          <w:p w14:paraId="22DD1E5B" w14:textId="77777777" w:rsidR="003F0EEA" w:rsidRPr="005555DD" w:rsidRDefault="00FB7D0B">
            <w:pPr>
              <w:jc w:val="right"/>
              <w:rPr>
                <w:rFonts w:ascii="Arial" w:eastAsia="Arial" w:hAnsi="Arial" w:cs="Arial"/>
                <w:color w:val="000000"/>
                <w:sz w:val="16"/>
              </w:rPr>
            </w:pPr>
            <w:r w:rsidRPr="005555DD">
              <w:rPr>
                <w:rFonts w:ascii="Arial" w:eastAsia="Arial" w:hAnsi="Arial" w:cs="Arial"/>
                <w:color w:val="000000"/>
                <w:sz w:val="16"/>
              </w:rPr>
              <w:t>No. 1</w:t>
            </w:r>
          </w:p>
        </w:tc>
        <w:tc>
          <w:tcPr>
            <w:tcW w:w="750" w:type="dxa"/>
            <w:tcBorders>
              <w:top w:val="nil"/>
              <w:left w:val="nil"/>
              <w:bottom w:val="nil"/>
              <w:right w:val="nil"/>
              <w:tl2br w:val="nil"/>
              <w:tr2bl w:val="nil"/>
            </w:tcBorders>
            <w:shd w:val="clear" w:color="auto" w:fill="FFFFFF"/>
            <w:tcMar>
              <w:left w:w="115" w:type="dxa"/>
              <w:right w:w="115" w:type="dxa"/>
            </w:tcMar>
            <w:vAlign w:val="bottom"/>
          </w:tcPr>
          <w:p w14:paraId="17E25D35" w14:textId="77777777" w:rsidR="003F0EEA" w:rsidRPr="005555DD" w:rsidRDefault="00FB7D0B">
            <w:pPr>
              <w:jc w:val="right"/>
              <w:rPr>
                <w:rFonts w:ascii="Arial" w:eastAsia="Arial" w:hAnsi="Arial" w:cs="Arial"/>
                <w:color w:val="000000"/>
                <w:sz w:val="16"/>
              </w:rPr>
            </w:pPr>
            <w:r w:rsidRPr="005555DD">
              <w:rPr>
                <w:rFonts w:ascii="Arial" w:eastAsia="Arial" w:hAnsi="Arial" w:cs="Arial"/>
                <w:color w:val="000000"/>
                <w:sz w:val="16"/>
              </w:rPr>
              <w:t>No. 2</w:t>
            </w:r>
          </w:p>
        </w:tc>
        <w:tc>
          <w:tcPr>
            <w:tcW w:w="840" w:type="dxa"/>
            <w:tcBorders>
              <w:top w:val="nil"/>
              <w:left w:val="nil"/>
              <w:bottom w:val="nil"/>
              <w:right w:val="nil"/>
              <w:tl2br w:val="nil"/>
              <w:tr2bl w:val="nil"/>
            </w:tcBorders>
            <w:shd w:val="clear" w:color="auto" w:fill="FFFFFF"/>
            <w:tcMar>
              <w:left w:w="115" w:type="dxa"/>
              <w:right w:w="115" w:type="dxa"/>
            </w:tcMar>
            <w:vAlign w:val="bottom"/>
          </w:tcPr>
          <w:p w14:paraId="621E6D0E" w14:textId="77777777" w:rsidR="003F0EEA" w:rsidRPr="005555DD" w:rsidRDefault="00FB7D0B">
            <w:pPr>
              <w:jc w:val="right"/>
              <w:rPr>
                <w:rFonts w:ascii="Arial" w:eastAsia="Arial" w:hAnsi="Arial" w:cs="Arial"/>
                <w:color w:val="000000"/>
                <w:sz w:val="16"/>
              </w:rPr>
            </w:pPr>
            <w:r w:rsidRPr="005555DD">
              <w:rPr>
                <w:rFonts w:ascii="Arial" w:eastAsia="Arial" w:hAnsi="Arial" w:cs="Arial"/>
                <w:color w:val="000000"/>
                <w:sz w:val="16"/>
              </w:rPr>
              <w:t>approp</w:t>
            </w:r>
          </w:p>
        </w:tc>
        <w:tc>
          <w:tcPr>
            <w:tcW w:w="750" w:type="dxa"/>
            <w:tcBorders>
              <w:top w:val="nil"/>
              <w:left w:val="nil"/>
              <w:bottom w:val="nil"/>
              <w:right w:val="nil"/>
              <w:tl2br w:val="nil"/>
              <w:tr2bl w:val="nil"/>
            </w:tcBorders>
            <w:shd w:val="clear" w:color="auto" w:fill="FFFFFF"/>
            <w:tcMar>
              <w:left w:w="115" w:type="dxa"/>
              <w:right w:w="115" w:type="dxa"/>
            </w:tcMar>
            <w:vAlign w:val="bottom"/>
          </w:tcPr>
          <w:p w14:paraId="444A91C5" w14:textId="77777777" w:rsidR="003F0EEA" w:rsidRPr="005555DD" w:rsidRDefault="00FB7D0B">
            <w:pPr>
              <w:jc w:val="right"/>
              <w:rPr>
                <w:rFonts w:ascii="Arial" w:eastAsia="Arial" w:hAnsi="Arial" w:cs="Arial"/>
                <w:color w:val="000000"/>
                <w:sz w:val="16"/>
              </w:rPr>
            </w:pPr>
            <w:r w:rsidRPr="005555DD">
              <w:rPr>
                <w:rFonts w:ascii="Arial" w:eastAsia="Arial" w:hAnsi="Arial" w:cs="Arial"/>
                <w:color w:val="000000"/>
                <w:sz w:val="16"/>
              </w:rPr>
              <w:t>approp</w:t>
            </w:r>
          </w:p>
        </w:tc>
        <w:tc>
          <w:tcPr>
            <w:tcW w:w="90" w:type="dxa"/>
            <w:tcBorders>
              <w:top w:val="nil"/>
              <w:left w:val="nil"/>
              <w:bottom w:val="nil"/>
              <w:right w:val="nil"/>
              <w:tl2br w:val="nil"/>
              <w:tr2bl w:val="nil"/>
            </w:tcBorders>
            <w:shd w:val="clear" w:color="auto" w:fill="FFFFFF"/>
            <w:tcMar>
              <w:left w:w="115" w:type="dxa"/>
              <w:right w:w="115" w:type="dxa"/>
            </w:tcMar>
            <w:vAlign w:val="bottom"/>
          </w:tcPr>
          <w:p w14:paraId="7BC70AAE" w14:textId="77777777" w:rsidR="003F0EEA" w:rsidRPr="005555DD" w:rsidRDefault="003F0EEA">
            <w:pPr>
              <w:jc w:val="right"/>
              <w:rPr>
                <w:rFonts w:ascii="Arial" w:eastAsia="Arial" w:hAnsi="Arial" w:cs="Arial"/>
                <w:color w:val="000000"/>
                <w:sz w:val="16"/>
              </w:rPr>
            </w:pPr>
          </w:p>
        </w:tc>
        <w:tc>
          <w:tcPr>
            <w:tcW w:w="660" w:type="dxa"/>
            <w:tcBorders>
              <w:top w:val="nil"/>
              <w:left w:val="nil"/>
              <w:bottom w:val="nil"/>
              <w:right w:val="nil"/>
              <w:tl2br w:val="nil"/>
              <w:tr2bl w:val="nil"/>
            </w:tcBorders>
            <w:shd w:val="clear" w:color="auto" w:fill="FFFFFF"/>
            <w:tcMar>
              <w:left w:w="115" w:type="dxa"/>
              <w:right w:w="115" w:type="dxa"/>
            </w:tcMar>
            <w:vAlign w:val="bottom"/>
          </w:tcPr>
          <w:p w14:paraId="1DF1A66E" w14:textId="77777777" w:rsidR="003F0EEA" w:rsidRPr="005555DD" w:rsidRDefault="003F0EEA">
            <w:pPr>
              <w:rPr>
                <w:rFonts w:ascii="Arial" w:eastAsia="Arial" w:hAnsi="Arial" w:cs="Arial"/>
                <w:color w:val="000000"/>
                <w:sz w:val="16"/>
              </w:rPr>
            </w:pPr>
          </w:p>
        </w:tc>
        <w:tc>
          <w:tcPr>
            <w:tcW w:w="855" w:type="dxa"/>
            <w:tcBorders>
              <w:top w:val="nil"/>
              <w:left w:val="nil"/>
              <w:bottom w:val="nil"/>
              <w:right w:val="nil"/>
              <w:tl2br w:val="nil"/>
              <w:tr2bl w:val="nil"/>
            </w:tcBorders>
            <w:shd w:val="clear" w:color="auto" w:fill="FFFFFF"/>
            <w:tcMar>
              <w:left w:w="115" w:type="dxa"/>
              <w:right w:w="115" w:type="dxa"/>
            </w:tcMar>
            <w:vAlign w:val="bottom"/>
          </w:tcPr>
          <w:p w14:paraId="5A8A8F1E" w14:textId="77777777" w:rsidR="003F0EEA" w:rsidRPr="005555DD" w:rsidRDefault="003F0EEA">
            <w:pPr>
              <w:rPr>
                <w:rFonts w:ascii="Arial" w:eastAsia="Arial" w:hAnsi="Arial" w:cs="Arial"/>
                <w:color w:val="000000"/>
                <w:sz w:val="16"/>
              </w:rPr>
            </w:pPr>
          </w:p>
        </w:tc>
        <w:tc>
          <w:tcPr>
            <w:tcW w:w="975" w:type="dxa"/>
            <w:tcBorders>
              <w:top w:val="nil"/>
              <w:left w:val="nil"/>
              <w:bottom w:val="nil"/>
              <w:right w:val="nil"/>
              <w:tl2br w:val="nil"/>
              <w:tr2bl w:val="nil"/>
            </w:tcBorders>
            <w:shd w:val="clear" w:color="auto" w:fill="FFFFFF"/>
            <w:tcMar>
              <w:left w:w="115" w:type="dxa"/>
              <w:right w:w="115" w:type="dxa"/>
            </w:tcMar>
            <w:vAlign w:val="bottom"/>
          </w:tcPr>
          <w:p w14:paraId="10A164D7" w14:textId="77777777" w:rsidR="003F0EEA" w:rsidRPr="005555DD" w:rsidRDefault="003F0EEA">
            <w:pPr>
              <w:rPr>
                <w:rFonts w:ascii="Arial" w:eastAsia="Arial" w:hAnsi="Arial" w:cs="Arial"/>
                <w:color w:val="000000"/>
                <w:sz w:val="16"/>
              </w:rPr>
            </w:pPr>
          </w:p>
        </w:tc>
      </w:tr>
      <w:tr w:rsidR="00724034" w14:paraId="59920F41" w14:textId="77777777">
        <w:trPr>
          <w:trHeight w:val="225"/>
        </w:trPr>
        <w:tc>
          <w:tcPr>
            <w:tcW w:w="180" w:type="dxa"/>
            <w:tcBorders>
              <w:top w:val="nil"/>
              <w:left w:val="nil"/>
              <w:bottom w:val="nil"/>
              <w:right w:val="nil"/>
              <w:tl2br w:val="nil"/>
              <w:tr2bl w:val="nil"/>
            </w:tcBorders>
            <w:shd w:val="clear" w:color="auto" w:fill="FFFFFF"/>
            <w:tcMar>
              <w:left w:w="115" w:type="dxa"/>
              <w:right w:w="115" w:type="dxa"/>
            </w:tcMar>
            <w:vAlign w:val="center"/>
          </w:tcPr>
          <w:p w14:paraId="7A8B1EA3" w14:textId="77777777" w:rsidR="003F0EEA" w:rsidRPr="005555DD" w:rsidRDefault="003F0EEA">
            <w:pPr>
              <w:rPr>
                <w:rFonts w:ascii="Arial" w:eastAsia="Arial" w:hAnsi="Arial" w:cs="Arial"/>
                <w:color w:val="000000"/>
                <w:sz w:val="16"/>
              </w:rPr>
            </w:pPr>
          </w:p>
        </w:tc>
        <w:tc>
          <w:tcPr>
            <w:tcW w:w="180" w:type="dxa"/>
            <w:tcBorders>
              <w:top w:val="nil"/>
              <w:left w:val="nil"/>
              <w:bottom w:val="nil"/>
              <w:right w:val="nil"/>
              <w:tl2br w:val="nil"/>
              <w:tr2bl w:val="nil"/>
            </w:tcBorders>
            <w:shd w:val="clear" w:color="auto" w:fill="FFFFFF"/>
            <w:tcMar>
              <w:left w:w="115" w:type="dxa"/>
              <w:right w:w="115" w:type="dxa"/>
            </w:tcMar>
            <w:vAlign w:val="center"/>
          </w:tcPr>
          <w:p w14:paraId="46235238" w14:textId="77777777" w:rsidR="003F0EEA" w:rsidRPr="005555DD" w:rsidRDefault="003F0EEA">
            <w:pPr>
              <w:rPr>
                <w:rFonts w:ascii="Arial" w:eastAsia="Arial" w:hAnsi="Arial" w:cs="Arial"/>
                <w:color w:val="000000"/>
                <w:sz w:val="16"/>
              </w:rPr>
            </w:pPr>
          </w:p>
        </w:tc>
        <w:tc>
          <w:tcPr>
            <w:tcW w:w="1965" w:type="dxa"/>
            <w:tcBorders>
              <w:top w:val="nil"/>
              <w:left w:val="nil"/>
              <w:bottom w:val="nil"/>
              <w:right w:val="nil"/>
              <w:tl2br w:val="nil"/>
              <w:tr2bl w:val="nil"/>
            </w:tcBorders>
            <w:shd w:val="clear" w:color="auto" w:fill="FFFFFF"/>
            <w:tcMar>
              <w:left w:w="115" w:type="dxa"/>
              <w:right w:w="115" w:type="dxa"/>
            </w:tcMar>
            <w:vAlign w:val="center"/>
          </w:tcPr>
          <w:p w14:paraId="541603B0" w14:textId="77777777" w:rsidR="003F0EEA" w:rsidRPr="005555DD" w:rsidRDefault="003F0EEA">
            <w:pPr>
              <w:rPr>
                <w:rFonts w:ascii="Arial" w:eastAsia="Arial" w:hAnsi="Arial" w:cs="Arial"/>
                <w:color w:val="000000"/>
                <w:sz w:val="16"/>
              </w:rPr>
            </w:pPr>
          </w:p>
        </w:tc>
        <w:tc>
          <w:tcPr>
            <w:tcW w:w="750"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6B984C81" w14:textId="77777777" w:rsidR="003F0EEA" w:rsidRPr="005555DD" w:rsidRDefault="00FB7D0B">
            <w:pPr>
              <w:jc w:val="right"/>
              <w:rPr>
                <w:rFonts w:ascii="Arial" w:eastAsia="Arial" w:hAnsi="Arial" w:cs="Arial"/>
                <w:color w:val="000000"/>
                <w:sz w:val="16"/>
              </w:rPr>
            </w:pPr>
            <w:r w:rsidRPr="005555DD">
              <w:rPr>
                <w:rFonts w:ascii="Arial" w:eastAsia="Arial" w:hAnsi="Arial" w:cs="Arial"/>
                <w:color w:val="000000"/>
                <w:sz w:val="16"/>
              </w:rPr>
              <w:t>$'000</w:t>
            </w:r>
          </w:p>
        </w:tc>
        <w:tc>
          <w:tcPr>
            <w:tcW w:w="750"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4CBBDB56" w14:textId="77777777" w:rsidR="003F0EEA" w:rsidRPr="005555DD" w:rsidRDefault="00FB7D0B">
            <w:pPr>
              <w:jc w:val="right"/>
              <w:rPr>
                <w:rFonts w:ascii="Arial" w:eastAsia="Arial" w:hAnsi="Arial" w:cs="Arial"/>
                <w:color w:val="000000"/>
                <w:sz w:val="16"/>
              </w:rPr>
            </w:pPr>
            <w:r w:rsidRPr="005555DD">
              <w:rPr>
                <w:rFonts w:ascii="Arial" w:eastAsia="Arial" w:hAnsi="Arial" w:cs="Arial"/>
                <w:color w:val="000000"/>
                <w:sz w:val="16"/>
              </w:rPr>
              <w:t>$'000</w:t>
            </w:r>
          </w:p>
        </w:tc>
        <w:tc>
          <w:tcPr>
            <w:tcW w:w="840"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5DDA506D" w14:textId="77777777" w:rsidR="003F0EEA" w:rsidRPr="005555DD" w:rsidRDefault="00FB7D0B">
            <w:pPr>
              <w:jc w:val="right"/>
              <w:rPr>
                <w:rFonts w:ascii="Arial" w:eastAsia="Arial" w:hAnsi="Arial" w:cs="Arial"/>
                <w:color w:val="000000"/>
                <w:sz w:val="16"/>
              </w:rPr>
            </w:pPr>
            <w:r w:rsidRPr="005555DD">
              <w:rPr>
                <w:rFonts w:ascii="Arial" w:eastAsia="Arial" w:hAnsi="Arial" w:cs="Arial"/>
                <w:color w:val="000000"/>
                <w:sz w:val="16"/>
              </w:rPr>
              <w:t>$'000</w:t>
            </w:r>
          </w:p>
        </w:tc>
        <w:tc>
          <w:tcPr>
            <w:tcW w:w="750"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1B4C4BCD" w14:textId="77777777" w:rsidR="003F0EEA" w:rsidRPr="005555DD" w:rsidRDefault="00FB7D0B">
            <w:pPr>
              <w:jc w:val="right"/>
              <w:rPr>
                <w:rFonts w:ascii="Arial" w:eastAsia="Arial" w:hAnsi="Arial" w:cs="Arial"/>
                <w:color w:val="000000"/>
                <w:sz w:val="16"/>
              </w:rPr>
            </w:pPr>
            <w:r w:rsidRPr="005555DD">
              <w:rPr>
                <w:rFonts w:ascii="Arial" w:eastAsia="Arial" w:hAnsi="Arial" w:cs="Arial"/>
                <w:color w:val="000000"/>
                <w:sz w:val="16"/>
              </w:rPr>
              <w:t>$'000</w:t>
            </w:r>
          </w:p>
        </w:tc>
        <w:tc>
          <w:tcPr>
            <w:tcW w:w="90"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5904C805" w14:textId="77777777" w:rsidR="003F0EEA" w:rsidRPr="005555DD" w:rsidRDefault="003F0EEA">
            <w:pPr>
              <w:jc w:val="right"/>
              <w:rPr>
                <w:rFonts w:ascii="Arial" w:eastAsia="Arial" w:hAnsi="Arial" w:cs="Arial"/>
                <w:color w:val="000000"/>
                <w:sz w:val="16"/>
              </w:rPr>
            </w:pPr>
          </w:p>
        </w:tc>
        <w:tc>
          <w:tcPr>
            <w:tcW w:w="660"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277A4BC6" w14:textId="77777777" w:rsidR="003F0EEA" w:rsidRPr="005555DD" w:rsidRDefault="00FB7D0B">
            <w:pPr>
              <w:jc w:val="right"/>
              <w:rPr>
                <w:rFonts w:ascii="Arial" w:eastAsia="Arial" w:hAnsi="Arial" w:cs="Arial"/>
                <w:color w:val="000000"/>
                <w:sz w:val="16"/>
              </w:rPr>
            </w:pPr>
            <w:r w:rsidRPr="005555DD">
              <w:rPr>
                <w:rFonts w:ascii="Arial" w:eastAsia="Arial" w:hAnsi="Arial" w:cs="Arial"/>
                <w:color w:val="000000"/>
                <w:sz w:val="16"/>
              </w:rPr>
              <w:t xml:space="preserve">$'000        </w:t>
            </w:r>
          </w:p>
        </w:tc>
        <w:tc>
          <w:tcPr>
            <w:tcW w:w="855"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19B9AA3F" w14:textId="77777777" w:rsidR="003F0EEA" w:rsidRPr="005555DD" w:rsidRDefault="00FB7D0B">
            <w:pPr>
              <w:jc w:val="right"/>
              <w:rPr>
                <w:rFonts w:ascii="Arial" w:eastAsia="Arial" w:hAnsi="Arial" w:cs="Arial"/>
                <w:color w:val="000000"/>
                <w:sz w:val="16"/>
              </w:rPr>
            </w:pPr>
            <w:r w:rsidRPr="005555DD">
              <w:rPr>
                <w:rFonts w:ascii="Arial" w:eastAsia="Arial" w:hAnsi="Arial" w:cs="Arial"/>
                <w:color w:val="000000"/>
                <w:sz w:val="16"/>
              </w:rPr>
              <w:t>$'000</w:t>
            </w:r>
          </w:p>
        </w:tc>
        <w:tc>
          <w:tcPr>
            <w:tcW w:w="975"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02C4F906" w14:textId="77777777" w:rsidR="003F0EEA" w:rsidRPr="005555DD" w:rsidRDefault="003F0EEA">
            <w:pPr>
              <w:rPr>
                <w:rFonts w:ascii="Arial" w:eastAsia="Arial" w:hAnsi="Arial" w:cs="Arial"/>
                <w:color w:val="000000"/>
                <w:sz w:val="16"/>
              </w:rPr>
            </w:pPr>
          </w:p>
        </w:tc>
      </w:tr>
      <w:tr w:rsidR="00724034" w14:paraId="4A2C411A" w14:textId="77777777">
        <w:trPr>
          <w:trHeight w:hRule="exact" w:val="225"/>
        </w:trPr>
        <w:tc>
          <w:tcPr>
            <w:tcW w:w="180" w:type="dxa"/>
            <w:tcBorders>
              <w:top w:val="nil"/>
              <w:left w:val="nil"/>
              <w:bottom w:val="nil"/>
              <w:right w:val="nil"/>
              <w:tl2br w:val="nil"/>
              <w:tr2bl w:val="nil"/>
            </w:tcBorders>
            <w:shd w:val="clear" w:color="auto" w:fill="FFFFFF"/>
            <w:tcMar>
              <w:left w:w="115" w:type="dxa"/>
              <w:right w:w="115" w:type="dxa"/>
            </w:tcMar>
            <w:vAlign w:val="center"/>
          </w:tcPr>
          <w:p w14:paraId="536013AC" w14:textId="77777777" w:rsidR="003F0EEA" w:rsidRPr="005555DD" w:rsidRDefault="003F0EEA">
            <w:pPr>
              <w:rPr>
                <w:rFonts w:ascii="Arial" w:eastAsia="Arial" w:hAnsi="Arial" w:cs="Arial"/>
                <w:color w:val="000000"/>
                <w:sz w:val="16"/>
              </w:rPr>
            </w:pPr>
          </w:p>
        </w:tc>
        <w:tc>
          <w:tcPr>
            <w:tcW w:w="180" w:type="dxa"/>
            <w:tcBorders>
              <w:top w:val="nil"/>
              <w:left w:val="nil"/>
              <w:bottom w:val="nil"/>
              <w:right w:val="nil"/>
              <w:tl2br w:val="nil"/>
              <w:tr2bl w:val="nil"/>
            </w:tcBorders>
            <w:shd w:val="clear" w:color="auto" w:fill="FFFFFF"/>
            <w:tcMar>
              <w:left w:w="115" w:type="dxa"/>
              <w:right w:w="115" w:type="dxa"/>
            </w:tcMar>
            <w:vAlign w:val="center"/>
          </w:tcPr>
          <w:p w14:paraId="27DF7CE9" w14:textId="77777777" w:rsidR="003F0EEA" w:rsidRPr="005555DD" w:rsidRDefault="003F0EEA">
            <w:pPr>
              <w:rPr>
                <w:rFonts w:ascii="Arial" w:eastAsia="Arial" w:hAnsi="Arial" w:cs="Arial"/>
                <w:color w:val="000000"/>
                <w:sz w:val="16"/>
              </w:rPr>
            </w:pPr>
          </w:p>
        </w:tc>
        <w:tc>
          <w:tcPr>
            <w:tcW w:w="1965" w:type="dxa"/>
            <w:tcBorders>
              <w:top w:val="nil"/>
              <w:left w:val="nil"/>
              <w:bottom w:val="nil"/>
              <w:right w:val="nil"/>
              <w:tl2br w:val="nil"/>
              <w:tr2bl w:val="nil"/>
            </w:tcBorders>
            <w:shd w:val="clear" w:color="auto" w:fill="FFFFFF"/>
            <w:tcMar>
              <w:left w:w="115" w:type="dxa"/>
              <w:right w:w="115" w:type="dxa"/>
            </w:tcMar>
            <w:vAlign w:val="center"/>
          </w:tcPr>
          <w:p w14:paraId="43C7BECD" w14:textId="77777777" w:rsidR="003F0EEA" w:rsidRPr="005555DD" w:rsidRDefault="003F0EEA">
            <w:pPr>
              <w:rPr>
                <w:rFonts w:ascii="Arial" w:eastAsia="Arial" w:hAnsi="Arial" w:cs="Arial"/>
                <w:color w:val="000000"/>
                <w:sz w:val="16"/>
              </w:rPr>
            </w:pPr>
          </w:p>
        </w:tc>
        <w:tc>
          <w:tcPr>
            <w:tcW w:w="750"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60EF953D" w14:textId="77777777" w:rsidR="003F0EEA" w:rsidRPr="005555DD" w:rsidRDefault="003F0EEA">
            <w:pPr>
              <w:jc w:val="right"/>
              <w:rPr>
                <w:rFonts w:ascii="Arial" w:eastAsia="Arial" w:hAnsi="Arial" w:cs="Arial"/>
                <w:color w:val="000000"/>
                <w:sz w:val="16"/>
              </w:rPr>
            </w:pPr>
          </w:p>
        </w:tc>
        <w:tc>
          <w:tcPr>
            <w:tcW w:w="750"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623D2C09" w14:textId="77777777" w:rsidR="003F0EEA" w:rsidRPr="005555DD" w:rsidRDefault="003F0EEA">
            <w:pPr>
              <w:jc w:val="right"/>
              <w:rPr>
                <w:rFonts w:ascii="Arial" w:eastAsia="Arial" w:hAnsi="Arial" w:cs="Arial"/>
                <w:color w:val="000000"/>
                <w:sz w:val="16"/>
              </w:rPr>
            </w:pPr>
          </w:p>
        </w:tc>
        <w:tc>
          <w:tcPr>
            <w:tcW w:w="840"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5FCF3E2B" w14:textId="77777777" w:rsidR="003F0EEA" w:rsidRPr="005555DD" w:rsidRDefault="003F0EEA">
            <w:pPr>
              <w:jc w:val="right"/>
              <w:rPr>
                <w:rFonts w:ascii="Arial" w:eastAsia="Arial" w:hAnsi="Arial" w:cs="Arial"/>
                <w:color w:val="000000"/>
                <w:sz w:val="16"/>
              </w:rPr>
            </w:pPr>
          </w:p>
        </w:tc>
        <w:tc>
          <w:tcPr>
            <w:tcW w:w="750"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2C90DCDA" w14:textId="77777777" w:rsidR="003F0EEA" w:rsidRPr="005555DD" w:rsidRDefault="003F0EEA">
            <w:pPr>
              <w:jc w:val="right"/>
              <w:rPr>
                <w:rFonts w:ascii="Arial" w:eastAsia="Arial" w:hAnsi="Arial" w:cs="Arial"/>
                <w:color w:val="000000"/>
                <w:sz w:val="16"/>
              </w:rPr>
            </w:pPr>
          </w:p>
        </w:tc>
        <w:tc>
          <w:tcPr>
            <w:tcW w:w="90"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4C7559E2" w14:textId="77777777" w:rsidR="003F0EEA" w:rsidRPr="005555DD" w:rsidRDefault="003F0EEA">
            <w:pPr>
              <w:jc w:val="right"/>
              <w:rPr>
                <w:rFonts w:ascii="Arial" w:eastAsia="Arial" w:hAnsi="Arial" w:cs="Arial"/>
                <w:color w:val="000000"/>
                <w:sz w:val="16"/>
              </w:rPr>
            </w:pPr>
          </w:p>
        </w:tc>
        <w:tc>
          <w:tcPr>
            <w:tcW w:w="660"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4D05FFE7" w14:textId="77777777" w:rsidR="003F0EEA" w:rsidRPr="005555DD" w:rsidRDefault="003F0EEA">
            <w:pPr>
              <w:jc w:val="right"/>
              <w:rPr>
                <w:rFonts w:ascii="Arial" w:eastAsia="Arial" w:hAnsi="Arial" w:cs="Arial"/>
                <w:color w:val="000000"/>
                <w:sz w:val="16"/>
              </w:rPr>
            </w:pPr>
          </w:p>
        </w:tc>
        <w:tc>
          <w:tcPr>
            <w:tcW w:w="855"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7A3721B9" w14:textId="77777777" w:rsidR="003F0EEA" w:rsidRPr="005555DD" w:rsidRDefault="003F0EEA">
            <w:pPr>
              <w:jc w:val="right"/>
              <w:rPr>
                <w:rFonts w:ascii="Arial" w:eastAsia="Arial" w:hAnsi="Arial" w:cs="Arial"/>
                <w:color w:val="000000"/>
                <w:sz w:val="16"/>
              </w:rPr>
            </w:pPr>
          </w:p>
        </w:tc>
        <w:tc>
          <w:tcPr>
            <w:tcW w:w="975"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3015AA1F" w14:textId="77777777" w:rsidR="003F0EEA" w:rsidRPr="005555DD" w:rsidRDefault="003F0EEA">
            <w:pPr>
              <w:rPr>
                <w:rFonts w:ascii="Arial" w:eastAsia="Arial" w:hAnsi="Arial" w:cs="Arial"/>
                <w:color w:val="000000"/>
                <w:sz w:val="16"/>
              </w:rPr>
            </w:pPr>
          </w:p>
        </w:tc>
      </w:tr>
      <w:tr w:rsidR="00FB7D0B" w14:paraId="0805AC81" w14:textId="77777777" w:rsidTr="00FB7D0B">
        <w:trPr>
          <w:trHeight w:val="315"/>
        </w:trPr>
        <w:tc>
          <w:tcPr>
            <w:tcW w:w="2325" w:type="dxa"/>
            <w:gridSpan w:val="3"/>
            <w:tcBorders>
              <w:top w:val="nil"/>
              <w:left w:val="nil"/>
              <w:bottom w:val="nil"/>
              <w:right w:val="nil"/>
              <w:tl2br w:val="nil"/>
              <w:tr2bl w:val="nil"/>
            </w:tcBorders>
            <w:shd w:val="clear" w:color="auto" w:fill="FFFFFF"/>
            <w:tcMar>
              <w:left w:w="115" w:type="dxa"/>
              <w:right w:w="115" w:type="dxa"/>
            </w:tcMar>
            <w:vAlign w:val="bottom"/>
          </w:tcPr>
          <w:p w14:paraId="1ECA541F" w14:textId="77777777" w:rsidR="003F0EEA" w:rsidRPr="005555DD" w:rsidRDefault="00FB7D0B">
            <w:pPr>
              <w:rPr>
                <w:rFonts w:ascii="Arial" w:eastAsia="Arial" w:hAnsi="Arial" w:cs="Arial"/>
                <w:color w:val="000000"/>
                <w:sz w:val="16"/>
              </w:rPr>
            </w:pPr>
            <w:r w:rsidRPr="005555DD">
              <w:rPr>
                <w:rFonts w:ascii="Arial" w:eastAsia="Arial" w:hAnsi="Arial" w:cs="Arial"/>
                <w:b/>
                <w:color w:val="000000"/>
                <w:sz w:val="16"/>
              </w:rPr>
              <w:t>Australian War Memorial</w:t>
            </w:r>
          </w:p>
        </w:tc>
        <w:tc>
          <w:tcPr>
            <w:tcW w:w="750" w:type="dxa"/>
            <w:tcBorders>
              <w:top w:val="nil"/>
              <w:left w:val="nil"/>
              <w:bottom w:val="nil"/>
              <w:right w:val="nil"/>
              <w:tl2br w:val="nil"/>
              <w:tr2bl w:val="nil"/>
            </w:tcBorders>
            <w:shd w:val="clear" w:color="auto" w:fill="FFFFFF"/>
            <w:tcMar>
              <w:left w:w="115" w:type="dxa"/>
              <w:right w:w="115" w:type="dxa"/>
            </w:tcMar>
            <w:vAlign w:val="bottom"/>
          </w:tcPr>
          <w:p w14:paraId="5309DC49" w14:textId="77777777" w:rsidR="003F0EEA" w:rsidRPr="005555DD" w:rsidRDefault="003F0EEA">
            <w:pPr>
              <w:jc w:val="right"/>
              <w:rPr>
                <w:rFonts w:ascii="Arial" w:eastAsia="Arial" w:hAnsi="Arial" w:cs="Arial"/>
                <w:b/>
                <w:color w:val="000000"/>
                <w:sz w:val="16"/>
              </w:rPr>
            </w:pPr>
          </w:p>
        </w:tc>
        <w:tc>
          <w:tcPr>
            <w:tcW w:w="750" w:type="dxa"/>
            <w:tcBorders>
              <w:top w:val="nil"/>
              <w:left w:val="nil"/>
              <w:bottom w:val="nil"/>
              <w:right w:val="nil"/>
              <w:tl2br w:val="nil"/>
              <w:tr2bl w:val="nil"/>
            </w:tcBorders>
            <w:shd w:val="clear" w:color="auto" w:fill="FFFFFF"/>
            <w:tcMar>
              <w:left w:w="115" w:type="dxa"/>
              <w:right w:w="115" w:type="dxa"/>
            </w:tcMar>
            <w:vAlign w:val="bottom"/>
          </w:tcPr>
          <w:p w14:paraId="3C54D11C" w14:textId="77777777" w:rsidR="003F0EEA" w:rsidRPr="005555DD" w:rsidRDefault="003F0EEA">
            <w:pPr>
              <w:rPr>
                <w:rFonts w:ascii="Arial" w:eastAsia="Arial" w:hAnsi="Arial" w:cs="Arial"/>
                <w:color w:val="000000"/>
                <w:sz w:val="16"/>
              </w:rPr>
            </w:pPr>
          </w:p>
        </w:tc>
        <w:tc>
          <w:tcPr>
            <w:tcW w:w="840" w:type="dxa"/>
            <w:tcBorders>
              <w:top w:val="nil"/>
              <w:left w:val="nil"/>
              <w:bottom w:val="nil"/>
              <w:right w:val="nil"/>
              <w:tl2br w:val="nil"/>
              <w:tr2bl w:val="nil"/>
            </w:tcBorders>
            <w:shd w:val="clear" w:color="auto" w:fill="FFFFFF"/>
            <w:tcMar>
              <w:left w:w="115" w:type="dxa"/>
              <w:right w:w="115" w:type="dxa"/>
            </w:tcMar>
            <w:vAlign w:val="bottom"/>
          </w:tcPr>
          <w:p w14:paraId="1CE6EAED" w14:textId="77777777" w:rsidR="003F0EEA" w:rsidRPr="005555DD" w:rsidRDefault="003F0EEA">
            <w:pPr>
              <w:jc w:val="right"/>
              <w:rPr>
                <w:rFonts w:ascii="Arial" w:eastAsia="Arial" w:hAnsi="Arial" w:cs="Arial"/>
                <w:color w:val="000000"/>
                <w:sz w:val="16"/>
              </w:rPr>
            </w:pPr>
          </w:p>
        </w:tc>
        <w:tc>
          <w:tcPr>
            <w:tcW w:w="750" w:type="dxa"/>
            <w:tcBorders>
              <w:top w:val="nil"/>
              <w:left w:val="nil"/>
              <w:bottom w:val="nil"/>
              <w:right w:val="nil"/>
              <w:tl2br w:val="nil"/>
              <w:tr2bl w:val="nil"/>
            </w:tcBorders>
            <w:shd w:val="clear" w:color="auto" w:fill="FFFFFF"/>
            <w:tcMar>
              <w:left w:w="115" w:type="dxa"/>
              <w:right w:w="115" w:type="dxa"/>
            </w:tcMar>
            <w:vAlign w:val="bottom"/>
          </w:tcPr>
          <w:p w14:paraId="61CF5213" w14:textId="77777777" w:rsidR="003F0EEA" w:rsidRPr="005555DD" w:rsidRDefault="003F0EEA">
            <w:pPr>
              <w:rPr>
                <w:rFonts w:ascii="Arial" w:eastAsia="Arial" w:hAnsi="Arial" w:cs="Arial"/>
                <w:color w:val="000000"/>
                <w:sz w:val="16"/>
              </w:rPr>
            </w:pPr>
          </w:p>
        </w:tc>
        <w:tc>
          <w:tcPr>
            <w:tcW w:w="90" w:type="dxa"/>
            <w:tcBorders>
              <w:top w:val="nil"/>
              <w:left w:val="nil"/>
              <w:bottom w:val="nil"/>
              <w:right w:val="nil"/>
              <w:tl2br w:val="nil"/>
              <w:tr2bl w:val="nil"/>
            </w:tcBorders>
            <w:shd w:val="clear" w:color="auto" w:fill="FFFFFF"/>
            <w:tcMar>
              <w:left w:w="115" w:type="dxa"/>
              <w:right w:w="115" w:type="dxa"/>
            </w:tcMar>
            <w:vAlign w:val="bottom"/>
          </w:tcPr>
          <w:p w14:paraId="698C83C8" w14:textId="77777777" w:rsidR="003F0EEA" w:rsidRPr="005555DD" w:rsidRDefault="003F0EEA">
            <w:pPr>
              <w:rPr>
                <w:rFonts w:ascii="Arial" w:eastAsia="Arial" w:hAnsi="Arial" w:cs="Arial"/>
                <w:color w:val="000000"/>
                <w:sz w:val="16"/>
              </w:rPr>
            </w:pPr>
          </w:p>
        </w:tc>
        <w:tc>
          <w:tcPr>
            <w:tcW w:w="660" w:type="dxa"/>
            <w:tcBorders>
              <w:top w:val="nil"/>
              <w:left w:val="nil"/>
              <w:bottom w:val="nil"/>
              <w:right w:val="nil"/>
              <w:tl2br w:val="nil"/>
              <w:tr2bl w:val="nil"/>
            </w:tcBorders>
            <w:shd w:val="clear" w:color="auto" w:fill="FFFFFF"/>
            <w:tcMar>
              <w:left w:w="115" w:type="dxa"/>
              <w:right w:w="115" w:type="dxa"/>
            </w:tcMar>
            <w:vAlign w:val="bottom"/>
          </w:tcPr>
          <w:p w14:paraId="4EA88A8A" w14:textId="77777777" w:rsidR="003F0EEA" w:rsidRPr="005555DD" w:rsidRDefault="003F0EEA">
            <w:pPr>
              <w:rPr>
                <w:rFonts w:ascii="Arial" w:eastAsia="Arial" w:hAnsi="Arial" w:cs="Arial"/>
                <w:color w:val="000000"/>
                <w:sz w:val="16"/>
              </w:rPr>
            </w:pPr>
          </w:p>
        </w:tc>
        <w:tc>
          <w:tcPr>
            <w:tcW w:w="855" w:type="dxa"/>
            <w:tcBorders>
              <w:top w:val="nil"/>
              <w:left w:val="nil"/>
              <w:bottom w:val="nil"/>
              <w:right w:val="nil"/>
              <w:tl2br w:val="nil"/>
              <w:tr2bl w:val="nil"/>
            </w:tcBorders>
            <w:shd w:val="clear" w:color="auto" w:fill="FFFFFF"/>
            <w:tcMar>
              <w:left w:w="115" w:type="dxa"/>
              <w:right w:w="115" w:type="dxa"/>
            </w:tcMar>
            <w:vAlign w:val="bottom"/>
          </w:tcPr>
          <w:p w14:paraId="32D7A5C7" w14:textId="77777777" w:rsidR="003F0EEA" w:rsidRPr="005555DD" w:rsidRDefault="003F0EEA">
            <w:pPr>
              <w:rPr>
                <w:rFonts w:ascii="Arial" w:eastAsia="Arial" w:hAnsi="Arial" w:cs="Arial"/>
                <w:color w:val="000000"/>
                <w:sz w:val="16"/>
              </w:rPr>
            </w:pPr>
          </w:p>
        </w:tc>
        <w:tc>
          <w:tcPr>
            <w:tcW w:w="975" w:type="dxa"/>
            <w:tcBorders>
              <w:top w:val="nil"/>
              <w:left w:val="nil"/>
              <w:bottom w:val="nil"/>
              <w:right w:val="nil"/>
              <w:tl2br w:val="nil"/>
              <w:tr2bl w:val="nil"/>
            </w:tcBorders>
            <w:shd w:val="clear" w:color="auto" w:fill="FFFFFF"/>
            <w:tcMar>
              <w:left w:w="115" w:type="dxa"/>
              <w:right w:w="115" w:type="dxa"/>
            </w:tcMar>
            <w:vAlign w:val="bottom"/>
          </w:tcPr>
          <w:p w14:paraId="15FF8E60" w14:textId="77777777" w:rsidR="003F0EEA" w:rsidRPr="005555DD" w:rsidRDefault="003F0EEA">
            <w:pPr>
              <w:rPr>
                <w:rFonts w:ascii="Arial" w:eastAsia="Arial" w:hAnsi="Arial" w:cs="Arial"/>
                <w:color w:val="000000"/>
                <w:sz w:val="16"/>
              </w:rPr>
            </w:pPr>
          </w:p>
        </w:tc>
      </w:tr>
      <w:tr w:rsidR="00FB7D0B" w14:paraId="0369FBA3" w14:textId="77777777" w:rsidTr="00FB7D0B">
        <w:trPr>
          <w:trHeight w:val="315"/>
        </w:trPr>
        <w:tc>
          <w:tcPr>
            <w:tcW w:w="2325" w:type="dxa"/>
            <w:gridSpan w:val="3"/>
            <w:tcBorders>
              <w:top w:val="nil"/>
              <w:left w:val="nil"/>
              <w:bottom w:val="nil"/>
              <w:right w:val="nil"/>
              <w:tl2br w:val="nil"/>
              <w:tr2bl w:val="nil"/>
            </w:tcBorders>
            <w:shd w:val="clear" w:color="auto" w:fill="FFFFFF"/>
            <w:tcMar>
              <w:left w:w="115" w:type="dxa"/>
              <w:right w:w="115" w:type="dxa"/>
            </w:tcMar>
            <w:vAlign w:val="bottom"/>
          </w:tcPr>
          <w:p w14:paraId="5CB78A1B" w14:textId="77777777" w:rsidR="003F0EEA" w:rsidRPr="005555DD" w:rsidRDefault="00FB7D0B">
            <w:pPr>
              <w:rPr>
                <w:rFonts w:ascii="Arial" w:eastAsia="Arial" w:hAnsi="Arial" w:cs="Arial"/>
                <w:color w:val="000000"/>
                <w:sz w:val="16"/>
              </w:rPr>
            </w:pPr>
            <w:r w:rsidRPr="005555DD">
              <w:rPr>
                <w:rFonts w:ascii="Arial" w:eastAsia="Arial" w:hAnsi="Arial" w:cs="Arial"/>
                <w:b/>
                <w:color w:val="000000"/>
                <w:sz w:val="16"/>
              </w:rPr>
              <w:t>Outcome 1</w:t>
            </w:r>
          </w:p>
        </w:tc>
        <w:tc>
          <w:tcPr>
            <w:tcW w:w="750" w:type="dxa"/>
            <w:tcBorders>
              <w:top w:val="nil"/>
              <w:left w:val="nil"/>
              <w:bottom w:val="nil"/>
              <w:right w:val="nil"/>
              <w:tl2br w:val="nil"/>
              <w:tr2bl w:val="nil"/>
            </w:tcBorders>
            <w:shd w:val="clear" w:color="auto" w:fill="FFFFFF"/>
            <w:tcMar>
              <w:left w:w="115" w:type="dxa"/>
              <w:right w:w="115" w:type="dxa"/>
            </w:tcMar>
            <w:vAlign w:val="bottom"/>
          </w:tcPr>
          <w:p w14:paraId="083A2553" w14:textId="77777777" w:rsidR="003F0EEA" w:rsidRPr="005555DD" w:rsidRDefault="003F0EEA">
            <w:pPr>
              <w:jc w:val="right"/>
              <w:rPr>
                <w:rFonts w:ascii="Arial" w:eastAsia="Arial" w:hAnsi="Arial" w:cs="Arial"/>
                <w:b/>
                <w:color w:val="000000"/>
                <w:sz w:val="16"/>
              </w:rPr>
            </w:pPr>
          </w:p>
        </w:tc>
        <w:tc>
          <w:tcPr>
            <w:tcW w:w="750" w:type="dxa"/>
            <w:tcBorders>
              <w:top w:val="nil"/>
              <w:left w:val="nil"/>
              <w:bottom w:val="nil"/>
              <w:right w:val="nil"/>
              <w:tl2br w:val="nil"/>
              <w:tr2bl w:val="nil"/>
            </w:tcBorders>
            <w:shd w:val="clear" w:color="auto" w:fill="FFFFFF"/>
            <w:tcMar>
              <w:left w:w="115" w:type="dxa"/>
              <w:right w:w="115" w:type="dxa"/>
            </w:tcMar>
            <w:vAlign w:val="bottom"/>
          </w:tcPr>
          <w:p w14:paraId="39B689C4" w14:textId="77777777" w:rsidR="003F0EEA" w:rsidRPr="005555DD" w:rsidRDefault="003F0EEA">
            <w:pPr>
              <w:rPr>
                <w:rFonts w:ascii="Arial" w:eastAsia="Arial" w:hAnsi="Arial" w:cs="Arial"/>
                <w:color w:val="000000"/>
                <w:sz w:val="16"/>
              </w:rPr>
            </w:pPr>
          </w:p>
        </w:tc>
        <w:tc>
          <w:tcPr>
            <w:tcW w:w="840" w:type="dxa"/>
            <w:tcBorders>
              <w:top w:val="nil"/>
              <w:left w:val="nil"/>
              <w:bottom w:val="nil"/>
              <w:right w:val="nil"/>
              <w:tl2br w:val="nil"/>
              <w:tr2bl w:val="nil"/>
            </w:tcBorders>
            <w:shd w:val="clear" w:color="auto" w:fill="FFFFFF"/>
            <w:tcMar>
              <w:left w:w="115" w:type="dxa"/>
              <w:right w:w="115" w:type="dxa"/>
            </w:tcMar>
            <w:vAlign w:val="bottom"/>
          </w:tcPr>
          <w:p w14:paraId="2ACFE8EA" w14:textId="77777777" w:rsidR="003F0EEA" w:rsidRPr="005555DD" w:rsidRDefault="003F0EEA">
            <w:pPr>
              <w:jc w:val="right"/>
              <w:rPr>
                <w:rFonts w:ascii="Arial" w:eastAsia="Arial" w:hAnsi="Arial" w:cs="Arial"/>
                <w:color w:val="000000"/>
                <w:sz w:val="16"/>
              </w:rPr>
            </w:pPr>
          </w:p>
        </w:tc>
        <w:tc>
          <w:tcPr>
            <w:tcW w:w="750" w:type="dxa"/>
            <w:tcBorders>
              <w:top w:val="nil"/>
              <w:left w:val="nil"/>
              <w:bottom w:val="nil"/>
              <w:right w:val="nil"/>
              <w:tl2br w:val="nil"/>
              <w:tr2bl w:val="nil"/>
            </w:tcBorders>
            <w:shd w:val="clear" w:color="auto" w:fill="FFFFFF"/>
            <w:tcMar>
              <w:left w:w="115" w:type="dxa"/>
              <w:right w:w="115" w:type="dxa"/>
            </w:tcMar>
            <w:vAlign w:val="bottom"/>
          </w:tcPr>
          <w:p w14:paraId="05272224" w14:textId="77777777" w:rsidR="003F0EEA" w:rsidRPr="005555DD" w:rsidRDefault="003F0EEA">
            <w:pPr>
              <w:rPr>
                <w:rFonts w:ascii="Arial" w:eastAsia="Arial" w:hAnsi="Arial" w:cs="Arial"/>
                <w:color w:val="000000"/>
                <w:sz w:val="16"/>
              </w:rPr>
            </w:pPr>
          </w:p>
        </w:tc>
        <w:tc>
          <w:tcPr>
            <w:tcW w:w="90" w:type="dxa"/>
            <w:tcBorders>
              <w:top w:val="nil"/>
              <w:left w:val="nil"/>
              <w:bottom w:val="nil"/>
              <w:right w:val="nil"/>
              <w:tl2br w:val="nil"/>
              <w:tr2bl w:val="nil"/>
            </w:tcBorders>
            <w:shd w:val="clear" w:color="auto" w:fill="FFFFFF"/>
            <w:tcMar>
              <w:left w:w="115" w:type="dxa"/>
              <w:right w:w="115" w:type="dxa"/>
            </w:tcMar>
            <w:vAlign w:val="bottom"/>
          </w:tcPr>
          <w:p w14:paraId="49557D58" w14:textId="77777777" w:rsidR="003F0EEA" w:rsidRPr="005555DD" w:rsidRDefault="003F0EEA">
            <w:pPr>
              <w:rPr>
                <w:rFonts w:ascii="Arial" w:eastAsia="Arial" w:hAnsi="Arial" w:cs="Arial"/>
                <w:color w:val="000000"/>
                <w:sz w:val="16"/>
              </w:rPr>
            </w:pPr>
          </w:p>
        </w:tc>
        <w:tc>
          <w:tcPr>
            <w:tcW w:w="660" w:type="dxa"/>
            <w:tcBorders>
              <w:top w:val="nil"/>
              <w:left w:val="nil"/>
              <w:bottom w:val="nil"/>
              <w:right w:val="nil"/>
              <w:tl2br w:val="nil"/>
              <w:tr2bl w:val="nil"/>
            </w:tcBorders>
            <w:shd w:val="clear" w:color="auto" w:fill="FFFFFF"/>
            <w:tcMar>
              <w:left w:w="115" w:type="dxa"/>
              <w:right w:w="115" w:type="dxa"/>
            </w:tcMar>
            <w:vAlign w:val="bottom"/>
          </w:tcPr>
          <w:p w14:paraId="6FB670A2" w14:textId="77777777" w:rsidR="003F0EEA" w:rsidRPr="005555DD" w:rsidRDefault="003F0EEA">
            <w:pPr>
              <w:rPr>
                <w:rFonts w:ascii="Arial" w:eastAsia="Arial" w:hAnsi="Arial" w:cs="Arial"/>
                <w:color w:val="000000"/>
                <w:sz w:val="16"/>
              </w:rPr>
            </w:pPr>
          </w:p>
        </w:tc>
        <w:tc>
          <w:tcPr>
            <w:tcW w:w="855" w:type="dxa"/>
            <w:tcBorders>
              <w:top w:val="nil"/>
              <w:left w:val="nil"/>
              <w:bottom w:val="nil"/>
              <w:right w:val="nil"/>
              <w:tl2br w:val="nil"/>
              <w:tr2bl w:val="nil"/>
            </w:tcBorders>
            <w:shd w:val="clear" w:color="auto" w:fill="FFFFFF"/>
            <w:tcMar>
              <w:left w:w="115" w:type="dxa"/>
              <w:right w:w="115" w:type="dxa"/>
            </w:tcMar>
            <w:vAlign w:val="bottom"/>
          </w:tcPr>
          <w:p w14:paraId="450BE49F" w14:textId="77777777" w:rsidR="003F0EEA" w:rsidRPr="005555DD" w:rsidRDefault="003F0EEA">
            <w:pPr>
              <w:rPr>
                <w:rFonts w:ascii="Arial" w:eastAsia="Arial" w:hAnsi="Arial" w:cs="Arial"/>
                <w:color w:val="000000"/>
                <w:sz w:val="16"/>
              </w:rPr>
            </w:pPr>
          </w:p>
        </w:tc>
        <w:tc>
          <w:tcPr>
            <w:tcW w:w="975" w:type="dxa"/>
            <w:tcBorders>
              <w:top w:val="nil"/>
              <w:left w:val="nil"/>
              <w:bottom w:val="nil"/>
              <w:right w:val="nil"/>
              <w:tl2br w:val="nil"/>
              <w:tr2bl w:val="nil"/>
            </w:tcBorders>
            <w:shd w:val="clear" w:color="auto" w:fill="FFFFFF"/>
            <w:tcMar>
              <w:left w:w="115" w:type="dxa"/>
              <w:right w:w="115" w:type="dxa"/>
            </w:tcMar>
            <w:vAlign w:val="bottom"/>
          </w:tcPr>
          <w:p w14:paraId="744E85A5" w14:textId="77777777" w:rsidR="003F0EEA" w:rsidRPr="005555DD" w:rsidRDefault="003F0EEA">
            <w:pPr>
              <w:rPr>
                <w:rFonts w:ascii="Arial" w:eastAsia="Arial" w:hAnsi="Arial" w:cs="Arial"/>
                <w:color w:val="000000"/>
                <w:sz w:val="16"/>
              </w:rPr>
            </w:pPr>
          </w:p>
        </w:tc>
      </w:tr>
      <w:tr w:rsidR="00724034" w14:paraId="00BEFFA7" w14:textId="77777777">
        <w:trPr>
          <w:trHeight w:hRule="exact" w:val="315"/>
        </w:trPr>
        <w:tc>
          <w:tcPr>
            <w:tcW w:w="180" w:type="dxa"/>
            <w:tcBorders>
              <w:top w:val="nil"/>
              <w:left w:val="nil"/>
              <w:bottom w:val="nil"/>
              <w:right w:val="nil"/>
              <w:tl2br w:val="nil"/>
              <w:tr2bl w:val="nil"/>
            </w:tcBorders>
            <w:shd w:val="clear" w:color="auto" w:fill="FFFFFF"/>
            <w:tcMar>
              <w:left w:w="115" w:type="dxa"/>
              <w:right w:w="115" w:type="dxa"/>
            </w:tcMar>
            <w:vAlign w:val="bottom"/>
          </w:tcPr>
          <w:p w14:paraId="13E756E3" w14:textId="77777777" w:rsidR="003F0EEA" w:rsidRPr="005555DD" w:rsidRDefault="003F0EEA">
            <w:pPr>
              <w:rPr>
                <w:rFonts w:ascii="Arial" w:eastAsia="Arial" w:hAnsi="Arial" w:cs="Arial"/>
                <w:color w:val="000000"/>
                <w:sz w:val="16"/>
              </w:rPr>
            </w:pPr>
          </w:p>
        </w:tc>
        <w:tc>
          <w:tcPr>
            <w:tcW w:w="180" w:type="dxa"/>
            <w:tcBorders>
              <w:top w:val="nil"/>
              <w:left w:val="nil"/>
              <w:bottom w:val="nil"/>
              <w:right w:val="nil"/>
              <w:tl2br w:val="nil"/>
              <w:tr2bl w:val="nil"/>
            </w:tcBorders>
            <w:shd w:val="clear" w:color="auto" w:fill="FFFFFF"/>
            <w:tcMar>
              <w:left w:w="115" w:type="dxa"/>
              <w:right w:w="115" w:type="dxa"/>
            </w:tcMar>
            <w:vAlign w:val="bottom"/>
          </w:tcPr>
          <w:p w14:paraId="2CFCFE8F" w14:textId="77777777" w:rsidR="003F0EEA" w:rsidRPr="005555DD" w:rsidRDefault="003F0EEA">
            <w:pPr>
              <w:rPr>
                <w:rFonts w:ascii="Arial" w:eastAsia="Arial" w:hAnsi="Arial" w:cs="Arial"/>
                <w:b/>
                <w:color w:val="000000"/>
                <w:sz w:val="16"/>
              </w:rPr>
            </w:pPr>
          </w:p>
        </w:tc>
        <w:tc>
          <w:tcPr>
            <w:tcW w:w="1965" w:type="dxa"/>
            <w:tcBorders>
              <w:top w:val="nil"/>
              <w:left w:val="nil"/>
              <w:bottom w:val="nil"/>
              <w:right w:val="nil"/>
              <w:tl2br w:val="nil"/>
              <w:tr2bl w:val="nil"/>
            </w:tcBorders>
            <w:shd w:val="clear" w:color="auto" w:fill="FFFFFF"/>
            <w:tcMar>
              <w:left w:w="115" w:type="dxa"/>
              <w:right w:w="115" w:type="dxa"/>
            </w:tcMar>
            <w:vAlign w:val="bottom"/>
          </w:tcPr>
          <w:p w14:paraId="00BE815B" w14:textId="77777777" w:rsidR="003F0EEA" w:rsidRPr="005555DD" w:rsidRDefault="003F0EEA">
            <w:pPr>
              <w:rPr>
                <w:rFonts w:ascii="Arial" w:eastAsia="Arial" w:hAnsi="Arial" w:cs="Arial"/>
                <w:b/>
                <w:color w:val="000000"/>
                <w:sz w:val="16"/>
              </w:rPr>
            </w:pPr>
          </w:p>
        </w:tc>
        <w:tc>
          <w:tcPr>
            <w:tcW w:w="750" w:type="dxa"/>
            <w:tcBorders>
              <w:top w:val="nil"/>
              <w:left w:val="nil"/>
              <w:bottom w:val="nil"/>
              <w:right w:val="nil"/>
              <w:tl2br w:val="nil"/>
              <w:tr2bl w:val="nil"/>
            </w:tcBorders>
            <w:shd w:val="clear" w:color="auto" w:fill="FFFFFF"/>
            <w:tcMar>
              <w:left w:w="115" w:type="dxa"/>
              <w:right w:w="115" w:type="dxa"/>
            </w:tcMar>
            <w:vAlign w:val="bottom"/>
          </w:tcPr>
          <w:p w14:paraId="27752586" w14:textId="77777777" w:rsidR="003F0EEA" w:rsidRPr="005555DD" w:rsidRDefault="003F0EEA">
            <w:pPr>
              <w:jc w:val="right"/>
              <w:rPr>
                <w:rFonts w:ascii="Arial" w:eastAsia="Arial" w:hAnsi="Arial" w:cs="Arial"/>
                <w:b/>
                <w:color w:val="000000"/>
                <w:sz w:val="16"/>
              </w:rPr>
            </w:pPr>
          </w:p>
        </w:tc>
        <w:tc>
          <w:tcPr>
            <w:tcW w:w="750" w:type="dxa"/>
            <w:tcBorders>
              <w:top w:val="nil"/>
              <w:left w:val="nil"/>
              <w:bottom w:val="nil"/>
              <w:right w:val="nil"/>
              <w:tl2br w:val="nil"/>
              <w:tr2bl w:val="nil"/>
            </w:tcBorders>
            <w:shd w:val="clear" w:color="auto" w:fill="FFFFFF"/>
            <w:tcMar>
              <w:left w:w="115" w:type="dxa"/>
              <w:right w:w="115" w:type="dxa"/>
            </w:tcMar>
            <w:vAlign w:val="bottom"/>
          </w:tcPr>
          <w:p w14:paraId="542D58A0" w14:textId="77777777" w:rsidR="003F0EEA" w:rsidRPr="005555DD" w:rsidRDefault="003F0EEA">
            <w:pPr>
              <w:rPr>
                <w:rFonts w:ascii="Arial" w:eastAsia="Arial" w:hAnsi="Arial" w:cs="Arial"/>
                <w:color w:val="000000"/>
                <w:sz w:val="16"/>
              </w:rPr>
            </w:pPr>
          </w:p>
        </w:tc>
        <w:tc>
          <w:tcPr>
            <w:tcW w:w="840" w:type="dxa"/>
            <w:tcBorders>
              <w:top w:val="nil"/>
              <w:left w:val="nil"/>
              <w:bottom w:val="nil"/>
              <w:right w:val="nil"/>
              <w:tl2br w:val="nil"/>
              <w:tr2bl w:val="nil"/>
            </w:tcBorders>
            <w:shd w:val="clear" w:color="auto" w:fill="FFFFFF"/>
            <w:tcMar>
              <w:left w:w="115" w:type="dxa"/>
              <w:right w:w="115" w:type="dxa"/>
            </w:tcMar>
            <w:vAlign w:val="bottom"/>
          </w:tcPr>
          <w:p w14:paraId="6AADDA63" w14:textId="77777777" w:rsidR="003F0EEA" w:rsidRPr="005555DD" w:rsidRDefault="003F0EEA">
            <w:pPr>
              <w:jc w:val="right"/>
              <w:rPr>
                <w:rFonts w:ascii="Arial" w:eastAsia="Arial" w:hAnsi="Arial" w:cs="Arial"/>
                <w:color w:val="000000"/>
                <w:sz w:val="16"/>
              </w:rPr>
            </w:pPr>
          </w:p>
        </w:tc>
        <w:tc>
          <w:tcPr>
            <w:tcW w:w="750" w:type="dxa"/>
            <w:tcBorders>
              <w:top w:val="nil"/>
              <w:left w:val="nil"/>
              <w:bottom w:val="nil"/>
              <w:right w:val="nil"/>
              <w:tl2br w:val="nil"/>
              <w:tr2bl w:val="nil"/>
            </w:tcBorders>
            <w:shd w:val="clear" w:color="auto" w:fill="FFFFFF"/>
            <w:tcMar>
              <w:left w:w="115" w:type="dxa"/>
              <w:right w:w="115" w:type="dxa"/>
            </w:tcMar>
            <w:vAlign w:val="bottom"/>
          </w:tcPr>
          <w:p w14:paraId="2A9FEB79" w14:textId="77777777" w:rsidR="003F0EEA" w:rsidRPr="005555DD" w:rsidRDefault="003F0EEA">
            <w:pPr>
              <w:rPr>
                <w:rFonts w:ascii="Arial" w:eastAsia="Arial" w:hAnsi="Arial" w:cs="Arial"/>
                <w:color w:val="000000"/>
                <w:sz w:val="16"/>
              </w:rPr>
            </w:pPr>
          </w:p>
        </w:tc>
        <w:tc>
          <w:tcPr>
            <w:tcW w:w="90" w:type="dxa"/>
            <w:tcBorders>
              <w:top w:val="nil"/>
              <w:left w:val="nil"/>
              <w:bottom w:val="nil"/>
              <w:right w:val="nil"/>
              <w:tl2br w:val="nil"/>
              <w:tr2bl w:val="nil"/>
            </w:tcBorders>
            <w:shd w:val="clear" w:color="auto" w:fill="FFFFFF"/>
            <w:tcMar>
              <w:left w:w="115" w:type="dxa"/>
              <w:right w:w="115" w:type="dxa"/>
            </w:tcMar>
            <w:vAlign w:val="bottom"/>
          </w:tcPr>
          <w:p w14:paraId="54193CD3" w14:textId="77777777" w:rsidR="003F0EEA" w:rsidRPr="005555DD" w:rsidRDefault="003F0EEA">
            <w:pPr>
              <w:rPr>
                <w:rFonts w:ascii="Arial" w:eastAsia="Arial" w:hAnsi="Arial" w:cs="Arial"/>
                <w:color w:val="000000"/>
                <w:sz w:val="16"/>
              </w:rPr>
            </w:pPr>
          </w:p>
        </w:tc>
        <w:tc>
          <w:tcPr>
            <w:tcW w:w="660" w:type="dxa"/>
            <w:tcBorders>
              <w:top w:val="nil"/>
              <w:left w:val="nil"/>
              <w:bottom w:val="nil"/>
              <w:right w:val="nil"/>
              <w:tl2br w:val="nil"/>
              <w:tr2bl w:val="nil"/>
            </w:tcBorders>
            <w:shd w:val="clear" w:color="auto" w:fill="FFFFFF"/>
            <w:tcMar>
              <w:left w:w="115" w:type="dxa"/>
              <w:right w:w="115" w:type="dxa"/>
            </w:tcMar>
            <w:vAlign w:val="bottom"/>
          </w:tcPr>
          <w:p w14:paraId="673F4982" w14:textId="77777777" w:rsidR="003F0EEA" w:rsidRPr="005555DD" w:rsidRDefault="003F0EEA">
            <w:pPr>
              <w:rPr>
                <w:rFonts w:ascii="Arial" w:eastAsia="Arial" w:hAnsi="Arial" w:cs="Arial"/>
                <w:color w:val="000000"/>
                <w:sz w:val="16"/>
              </w:rPr>
            </w:pPr>
          </w:p>
        </w:tc>
        <w:tc>
          <w:tcPr>
            <w:tcW w:w="855" w:type="dxa"/>
            <w:tcBorders>
              <w:top w:val="nil"/>
              <w:left w:val="nil"/>
              <w:bottom w:val="nil"/>
              <w:right w:val="nil"/>
              <w:tl2br w:val="nil"/>
              <w:tr2bl w:val="nil"/>
            </w:tcBorders>
            <w:shd w:val="clear" w:color="auto" w:fill="FFFFFF"/>
            <w:tcMar>
              <w:left w:w="115" w:type="dxa"/>
              <w:right w:w="115" w:type="dxa"/>
            </w:tcMar>
            <w:vAlign w:val="bottom"/>
          </w:tcPr>
          <w:p w14:paraId="01F3FEC9" w14:textId="77777777" w:rsidR="003F0EEA" w:rsidRPr="005555DD" w:rsidRDefault="003F0EEA">
            <w:pPr>
              <w:rPr>
                <w:rFonts w:ascii="Arial" w:eastAsia="Arial" w:hAnsi="Arial" w:cs="Arial"/>
                <w:color w:val="000000"/>
                <w:sz w:val="16"/>
              </w:rPr>
            </w:pPr>
          </w:p>
        </w:tc>
        <w:tc>
          <w:tcPr>
            <w:tcW w:w="975" w:type="dxa"/>
            <w:tcBorders>
              <w:top w:val="nil"/>
              <w:left w:val="nil"/>
              <w:bottom w:val="nil"/>
              <w:right w:val="nil"/>
              <w:tl2br w:val="nil"/>
              <w:tr2bl w:val="nil"/>
            </w:tcBorders>
            <w:shd w:val="clear" w:color="auto" w:fill="FFFFFF"/>
            <w:tcMar>
              <w:left w:w="115" w:type="dxa"/>
              <w:right w:w="115" w:type="dxa"/>
            </w:tcMar>
            <w:vAlign w:val="bottom"/>
          </w:tcPr>
          <w:p w14:paraId="0882107B" w14:textId="77777777" w:rsidR="003F0EEA" w:rsidRPr="005555DD" w:rsidRDefault="003F0EEA">
            <w:pPr>
              <w:rPr>
                <w:rFonts w:ascii="Arial" w:eastAsia="Arial" w:hAnsi="Arial" w:cs="Arial"/>
                <w:color w:val="000000"/>
                <w:sz w:val="16"/>
              </w:rPr>
            </w:pPr>
          </w:p>
        </w:tc>
      </w:tr>
      <w:tr w:rsidR="00FB7D0B" w14:paraId="35846DDC" w14:textId="77777777" w:rsidTr="00FB7D0B">
        <w:trPr>
          <w:trHeight w:val="315"/>
        </w:trPr>
        <w:tc>
          <w:tcPr>
            <w:tcW w:w="180" w:type="dxa"/>
            <w:tcBorders>
              <w:top w:val="nil"/>
              <w:left w:val="nil"/>
              <w:bottom w:val="nil"/>
              <w:right w:val="nil"/>
              <w:tl2br w:val="nil"/>
              <w:tr2bl w:val="nil"/>
            </w:tcBorders>
            <w:shd w:val="clear" w:color="auto" w:fill="FFFFFF"/>
            <w:tcMar>
              <w:left w:w="115" w:type="dxa"/>
              <w:right w:w="115" w:type="dxa"/>
            </w:tcMar>
            <w:vAlign w:val="bottom"/>
          </w:tcPr>
          <w:p w14:paraId="3A626048" w14:textId="77777777" w:rsidR="003F0EEA" w:rsidRPr="005555DD" w:rsidRDefault="003F0EEA">
            <w:pPr>
              <w:rPr>
                <w:rFonts w:ascii="Arial" w:eastAsia="Arial" w:hAnsi="Arial" w:cs="Arial"/>
                <w:color w:val="000000"/>
                <w:sz w:val="16"/>
              </w:rPr>
            </w:pPr>
          </w:p>
        </w:tc>
        <w:tc>
          <w:tcPr>
            <w:tcW w:w="2145" w:type="dxa"/>
            <w:gridSpan w:val="2"/>
            <w:vMerge w:val="restart"/>
            <w:tcBorders>
              <w:top w:val="nil"/>
              <w:left w:val="nil"/>
              <w:bottom w:val="nil"/>
              <w:right w:val="nil"/>
              <w:tl2br w:val="nil"/>
              <w:tr2bl w:val="nil"/>
            </w:tcBorders>
            <w:shd w:val="clear" w:color="auto" w:fill="FFFFFF"/>
            <w:tcMar>
              <w:left w:w="115" w:type="dxa"/>
              <w:right w:w="115" w:type="dxa"/>
            </w:tcMar>
            <w:vAlign w:val="bottom"/>
          </w:tcPr>
          <w:p w14:paraId="6B1484B2" w14:textId="77777777" w:rsidR="003F0EEA" w:rsidRPr="005555DD" w:rsidRDefault="00FB7D0B">
            <w:pPr>
              <w:rPr>
                <w:rFonts w:ascii="Arial" w:eastAsia="Arial" w:hAnsi="Arial" w:cs="Arial"/>
                <w:color w:val="000000"/>
                <w:sz w:val="16"/>
              </w:rPr>
            </w:pPr>
            <w:r w:rsidRPr="005555DD">
              <w:rPr>
                <w:rFonts w:ascii="Arial" w:eastAsia="Arial" w:hAnsi="Arial" w:cs="Arial"/>
                <w:color w:val="000000"/>
                <w:sz w:val="16"/>
              </w:rPr>
              <w:t>Departmental  2014-15</w:t>
            </w:r>
          </w:p>
        </w:tc>
        <w:tc>
          <w:tcPr>
            <w:tcW w:w="750" w:type="dxa"/>
            <w:tcBorders>
              <w:top w:val="nil"/>
              <w:left w:val="nil"/>
              <w:bottom w:val="nil"/>
              <w:right w:val="nil"/>
              <w:tl2br w:val="nil"/>
              <w:tr2bl w:val="nil"/>
            </w:tcBorders>
            <w:shd w:val="clear" w:color="auto" w:fill="FFFFFF"/>
            <w:tcMar>
              <w:left w:w="115" w:type="dxa"/>
              <w:right w:w="115" w:type="dxa"/>
            </w:tcMar>
            <w:vAlign w:val="bottom"/>
          </w:tcPr>
          <w:p w14:paraId="0D339D93" w14:textId="77777777" w:rsidR="003F0EEA" w:rsidRPr="005555DD" w:rsidRDefault="00FB7D0B">
            <w:pPr>
              <w:jc w:val="right"/>
              <w:rPr>
                <w:rFonts w:ascii="Arial" w:eastAsia="Arial" w:hAnsi="Arial" w:cs="Arial"/>
                <w:color w:val="000000"/>
                <w:sz w:val="16"/>
              </w:rPr>
            </w:pPr>
            <w:r w:rsidRPr="005555DD">
              <w:rPr>
                <w:rFonts w:ascii="Arial" w:eastAsia="Arial" w:hAnsi="Arial" w:cs="Arial"/>
                <w:color w:val="000000"/>
                <w:sz w:val="16"/>
              </w:rPr>
              <w:t>116 </w:t>
            </w:r>
          </w:p>
        </w:tc>
        <w:tc>
          <w:tcPr>
            <w:tcW w:w="750" w:type="dxa"/>
            <w:tcBorders>
              <w:top w:val="nil"/>
              <w:left w:val="nil"/>
              <w:bottom w:val="nil"/>
              <w:right w:val="nil"/>
              <w:tl2br w:val="nil"/>
              <w:tr2bl w:val="nil"/>
            </w:tcBorders>
            <w:shd w:val="clear" w:color="auto" w:fill="FFFFFF"/>
            <w:tcMar>
              <w:left w:w="115" w:type="dxa"/>
              <w:right w:w="115" w:type="dxa"/>
            </w:tcMar>
            <w:vAlign w:val="bottom"/>
          </w:tcPr>
          <w:p w14:paraId="1030BC17" w14:textId="77777777" w:rsidR="003F0EEA" w:rsidRPr="005555DD" w:rsidRDefault="00FB7D0B">
            <w:pPr>
              <w:jc w:val="right"/>
              <w:rPr>
                <w:rFonts w:ascii="Arial" w:eastAsia="Arial" w:hAnsi="Arial" w:cs="Arial"/>
                <w:color w:val="000000"/>
                <w:sz w:val="16"/>
              </w:rPr>
            </w:pPr>
            <w:r w:rsidRPr="005555DD">
              <w:rPr>
                <w:rFonts w:ascii="Arial" w:eastAsia="Arial" w:hAnsi="Arial" w:cs="Arial"/>
                <w:color w:val="000000"/>
                <w:sz w:val="16"/>
              </w:rPr>
              <w:t xml:space="preserve"> - </w:t>
            </w:r>
          </w:p>
        </w:tc>
        <w:tc>
          <w:tcPr>
            <w:tcW w:w="840" w:type="dxa"/>
            <w:tcBorders>
              <w:top w:val="nil"/>
              <w:left w:val="nil"/>
              <w:bottom w:val="nil"/>
              <w:right w:val="nil"/>
              <w:tl2br w:val="nil"/>
              <w:tr2bl w:val="nil"/>
            </w:tcBorders>
            <w:shd w:val="clear" w:color="auto" w:fill="FFFFFF"/>
            <w:tcMar>
              <w:left w:w="115" w:type="dxa"/>
              <w:right w:w="115" w:type="dxa"/>
            </w:tcMar>
            <w:vAlign w:val="bottom"/>
          </w:tcPr>
          <w:p w14:paraId="38AC6DDC" w14:textId="77777777" w:rsidR="003F0EEA" w:rsidRPr="005555DD" w:rsidRDefault="00FB7D0B">
            <w:pPr>
              <w:jc w:val="right"/>
              <w:rPr>
                <w:rFonts w:ascii="Arial" w:eastAsia="Arial" w:hAnsi="Arial" w:cs="Arial"/>
                <w:color w:val="000000"/>
                <w:sz w:val="16"/>
              </w:rPr>
            </w:pPr>
            <w:r w:rsidRPr="005555DD">
              <w:rPr>
                <w:rFonts w:ascii="Arial" w:eastAsia="Arial" w:hAnsi="Arial" w:cs="Arial"/>
                <w:color w:val="000000"/>
                <w:sz w:val="16"/>
              </w:rPr>
              <w:t xml:space="preserve"> - </w:t>
            </w:r>
          </w:p>
        </w:tc>
        <w:tc>
          <w:tcPr>
            <w:tcW w:w="750" w:type="dxa"/>
            <w:tcBorders>
              <w:top w:val="nil"/>
              <w:left w:val="nil"/>
              <w:bottom w:val="nil"/>
              <w:right w:val="nil"/>
              <w:tl2br w:val="nil"/>
              <w:tr2bl w:val="nil"/>
            </w:tcBorders>
            <w:shd w:val="clear" w:color="auto" w:fill="FFFFFF"/>
            <w:tcMar>
              <w:left w:w="115" w:type="dxa"/>
              <w:right w:w="115" w:type="dxa"/>
            </w:tcMar>
            <w:vAlign w:val="bottom"/>
          </w:tcPr>
          <w:p w14:paraId="49FF70E8" w14:textId="77777777" w:rsidR="003F0EEA" w:rsidRPr="005555DD" w:rsidRDefault="00FB7D0B">
            <w:pPr>
              <w:jc w:val="right"/>
              <w:rPr>
                <w:rFonts w:ascii="Arial" w:eastAsia="Arial" w:hAnsi="Arial" w:cs="Arial"/>
                <w:color w:val="000000"/>
                <w:sz w:val="16"/>
              </w:rPr>
            </w:pPr>
            <w:r w:rsidRPr="005555DD">
              <w:rPr>
                <w:rFonts w:ascii="Arial" w:eastAsia="Arial" w:hAnsi="Arial" w:cs="Arial"/>
                <w:color w:val="000000"/>
                <w:sz w:val="16"/>
              </w:rPr>
              <w:t>116 </w:t>
            </w:r>
          </w:p>
        </w:tc>
        <w:tc>
          <w:tcPr>
            <w:tcW w:w="90" w:type="dxa"/>
            <w:tcBorders>
              <w:top w:val="nil"/>
              <w:left w:val="nil"/>
              <w:bottom w:val="nil"/>
              <w:right w:val="nil"/>
              <w:tl2br w:val="nil"/>
              <w:tr2bl w:val="nil"/>
            </w:tcBorders>
            <w:shd w:val="clear" w:color="auto" w:fill="FFFFFF"/>
            <w:tcMar>
              <w:left w:w="115" w:type="dxa"/>
              <w:right w:w="115" w:type="dxa"/>
            </w:tcMar>
            <w:vAlign w:val="bottom"/>
          </w:tcPr>
          <w:p w14:paraId="679B41E8" w14:textId="77777777" w:rsidR="003F0EEA" w:rsidRPr="005555DD" w:rsidRDefault="003F0EEA">
            <w:pPr>
              <w:rPr>
                <w:rFonts w:ascii="Arial" w:eastAsia="Arial" w:hAnsi="Arial" w:cs="Arial"/>
                <w:color w:val="000000"/>
                <w:sz w:val="16"/>
              </w:rPr>
            </w:pPr>
          </w:p>
        </w:tc>
        <w:tc>
          <w:tcPr>
            <w:tcW w:w="660" w:type="dxa"/>
            <w:tcBorders>
              <w:top w:val="nil"/>
              <w:left w:val="nil"/>
              <w:bottom w:val="nil"/>
              <w:right w:val="nil"/>
              <w:tl2br w:val="nil"/>
              <w:tr2bl w:val="nil"/>
            </w:tcBorders>
            <w:shd w:val="clear" w:color="auto" w:fill="FFFFFF"/>
            <w:tcMar>
              <w:left w:w="115" w:type="dxa"/>
              <w:right w:w="115" w:type="dxa"/>
            </w:tcMar>
            <w:vAlign w:val="bottom"/>
          </w:tcPr>
          <w:p w14:paraId="4A3C4203" w14:textId="77777777" w:rsidR="003F0EEA" w:rsidRPr="005555DD" w:rsidRDefault="00FB7D0B">
            <w:pPr>
              <w:jc w:val="right"/>
              <w:rPr>
                <w:rFonts w:ascii="Arial" w:eastAsia="Arial" w:hAnsi="Arial" w:cs="Arial"/>
                <w:color w:val="000000"/>
                <w:sz w:val="16"/>
              </w:rPr>
            </w:pPr>
            <w:r w:rsidRPr="005555DD">
              <w:rPr>
                <w:rFonts w:ascii="Arial" w:eastAsia="Arial" w:hAnsi="Arial" w:cs="Arial"/>
                <w:color w:val="000000"/>
                <w:sz w:val="16"/>
              </w:rPr>
              <w:t xml:space="preserve"> - </w:t>
            </w:r>
          </w:p>
        </w:tc>
        <w:tc>
          <w:tcPr>
            <w:tcW w:w="855" w:type="dxa"/>
            <w:tcBorders>
              <w:top w:val="nil"/>
              <w:left w:val="nil"/>
              <w:bottom w:val="nil"/>
              <w:right w:val="nil"/>
              <w:tl2br w:val="nil"/>
              <w:tr2bl w:val="nil"/>
            </w:tcBorders>
            <w:shd w:val="clear" w:color="auto" w:fill="FFFFFF"/>
            <w:tcMar>
              <w:left w:w="115" w:type="dxa"/>
              <w:right w:w="115" w:type="dxa"/>
            </w:tcMar>
            <w:vAlign w:val="bottom"/>
          </w:tcPr>
          <w:p w14:paraId="04BD5A0A" w14:textId="77777777" w:rsidR="003F0EEA" w:rsidRPr="005555DD" w:rsidRDefault="00FB7D0B">
            <w:pPr>
              <w:jc w:val="right"/>
              <w:rPr>
                <w:rFonts w:ascii="Arial" w:eastAsia="Arial" w:hAnsi="Arial" w:cs="Arial"/>
                <w:color w:val="000000"/>
                <w:sz w:val="16"/>
              </w:rPr>
            </w:pPr>
            <w:r w:rsidRPr="005555DD">
              <w:rPr>
                <w:rFonts w:ascii="Arial" w:eastAsia="Arial" w:hAnsi="Arial" w:cs="Arial"/>
                <w:color w:val="000000"/>
                <w:sz w:val="16"/>
              </w:rPr>
              <w:t>116 </w:t>
            </w:r>
          </w:p>
        </w:tc>
        <w:tc>
          <w:tcPr>
            <w:tcW w:w="975" w:type="dxa"/>
            <w:tcBorders>
              <w:top w:val="nil"/>
              <w:left w:val="nil"/>
              <w:bottom w:val="nil"/>
              <w:right w:val="nil"/>
              <w:tl2br w:val="nil"/>
              <w:tr2bl w:val="nil"/>
            </w:tcBorders>
            <w:shd w:val="clear" w:color="auto" w:fill="FFFFFF"/>
            <w:tcMar>
              <w:left w:w="115" w:type="dxa"/>
              <w:right w:w="115" w:type="dxa"/>
            </w:tcMar>
            <w:vAlign w:val="bottom"/>
          </w:tcPr>
          <w:p w14:paraId="6F33E927" w14:textId="77777777" w:rsidR="003F0EEA" w:rsidRPr="005555DD" w:rsidRDefault="00FB7D0B">
            <w:pPr>
              <w:jc w:val="right"/>
              <w:rPr>
                <w:rFonts w:ascii="Arial" w:eastAsia="Arial" w:hAnsi="Arial" w:cs="Arial"/>
                <w:color w:val="000000"/>
                <w:sz w:val="16"/>
              </w:rPr>
            </w:pPr>
            <w:r w:rsidRPr="005555DD">
              <w:rPr>
                <w:rFonts w:ascii="Arial" w:eastAsia="Arial" w:hAnsi="Arial" w:cs="Arial"/>
                <w:color w:val="000000"/>
                <w:sz w:val="16"/>
              </w:rPr>
              <w:t>AWM</w:t>
            </w:r>
          </w:p>
        </w:tc>
      </w:tr>
      <w:tr w:rsidR="00FB7D0B" w14:paraId="45BB68DF" w14:textId="77777777" w:rsidTr="00FB7D0B">
        <w:trPr>
          <w:trHeight w:val="315"/>
        </w:trPr>
        <w:tc>
          <w:tcPr>
            <w:tcW w:w="180" w:type="dxa"/>
            <w:tcBorders>
              <w:top w:val="nil"/>
              <w:left w:val="nil"/>
              <w:bottom w:val="nil"/>
              <w:right w:val="nil"/>
              <w:tl2br w:val="nil"/>
              <w:tr2bl w:val="nil"/>
            </w:tcBorders>
            <w:shd w:val="clear" w:color="auto" w:fill="FFFFFF"/>
            <w:tcMar>
              <w:left w:w="115" w:type="dxa"/>
              <w:right w:w="115" w:type="dxa"/>
            </w:tcMar>
            <w:vAlign w:val="bottom"/>
          </w:tcPr>
          <w:p w14:paraId="347771F4" w14:textId="77777777" w:rsidR="003F0EEA" w:rsidRPr="005555DD" w:rsidRDefault="003F0EEA">
            <w:pPr>
              <w:rPr>
                <w:rFonts w:ascii="Arial" w:eastAsia="Arial" w:hAnsi="Arial" w:cs="Arial"/>
                <w:color w:val="000000"/>
                <w:sz w:val="16"/>
              </w:rPr>
            </w:pPr>
          </w:p>
        </w:tc>
        <w:tc>
          <w:tcPr>
            <w:tcW w:w="2145" w:type="dxa"/>
            <w:gridSpan w:val="2"/>
            <w:vMerge w:val="restart"/>
            <w:tcBorders>
              <w:top w:val="nil"/>
              <w:left w:val="nil"/>
              <w:bottom w:val="nil"/>
              <w:right w:val="nil"/>
              <w:tl2br w:val="nil"/>
              <w:tr2bl w:val="nil"/>
            </w:tcBorders>
            <w:shd w:val="clear" w:color="auto" w:fill="FFFFFF"/>
            <w:tcMar>
              <w:left w:w="115" w:type="dxa"/>
              <w:right w:w="115" w:type="dxa"/>
            </w:tcMar>
            <w:vAlign w:val="bottom"/>
          </w:tcPr>
          <w:p w14:paraId="655B8018" w14:textId="77777777" w:rsidR="003F0EEA" w:rsidRPr="005555DD" w:rsidRDefault="00FB7D0B">
            <w:pPr>
              <w:rPr>
                <w:rFonts w:ascii="Arial" w:eastAsia="Arial" w:hAnsi="Arial" w:cs="Arial"/>
                <w:color w:val="000000"/>
                <w:sz w:val="16"/>
              </w:rPr>
            </w:pPr>
            <w:r w:rsidRPr="005555DD">
              <w:rPr>
                <w:rFonts w:ascii="Arial" w:eastAsia="Arial" w:hAnsi="Arial" w:cs="Arial"/>
                <w:i/>
                <w:color w:val="000000"/>
                <w:sz w:val="16"/>
              </w:rPr>
              <w:t>Departmental 2013-14</w:t>
            </w:r>
          </w:p>
        </w:tc>
        <w:tc>
          <w:tcPr>
            <w:tcW w:w="750"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024E0C7D" w14:textId="77777777" w:rsidR="003F0EEA" w:rsidRPr="005555DD" w:rsidRDefault="00FB7D0B">
            <w:pPr>
              <w:jc w:val="right"/>
              <w:rPr>
                <w:rFonts w:ascii="Arial" w:eastAsia="Arial" w:hAnsi="Arial" w:cs="Arial"/>
                <w:i/>
                <w:color w:val="000000"/>
                <w:sz w:val="16"/>
              </w:rPr>
            </w:pPr>
            <w:r w:rsidRPr="005555DD">
              <w:rPr>
                <w:rFonts w:ascii="Arial" w:eastAsia="Arial" w:hAnsi="Arial" w:cs="Arial"/>
                <w:i/>
                <w:color w:val="000000"/>
                <w:sz w:val="16"/>
              </w:rPr>
              <w:t>103 </w:t>
            </w:r>
          </w:p>
        </w:tc>
        <w:tc>
          <w:tcPr>
            <w:tcW w:w="750"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0741BCE1" w14:textId="77777777" w:rsidR="003F0EEA" w:rsidRPr="005555DD" w:rsidRDefault="00FB7D0B">
            <w:pPr>
              <w:jc w:val="right"/>
              <w:rPr>
                <w:rFonts w:ascii="Arial" w:eastAsia="Arial" w:hAnsi="Arial" w:cs="Arial"/>
                <w:i/>
                <w:color w:val="000000"/>
                <w:sz w:val="16"/>
              </w:rPr>
            </w:pPr>
            <w:r w:rsidRPr="005555DD">
              <w:rPr>
                <w:rFonts w:ascii="Arial" w:eastAsia="Arial" w:hAnsi="Arial" w:cs="Arial"/>
                <w:i/>
                <w:color w:val="000000"/>
                <w:sz w:val="16"/>
              </w:rPr>
              <w:t xml:space="preserve"> - </w:t>
            </w:r>
          </w:p>
        </w:tc>
        <w:tc>
          <w:tcPr>
            <w:tcW w:w="840"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7FF7B052" w14:textId="77777777" w:rsidR="003F0EEA" w:rsidRPr="005555DD" w:rsidRDefault="00FB7D0B">
            <w:pPr>
              <w:jc w:val="right"/>
              <w:rPr>
                <w:rFonts w:ascii="Arial" w:eastAsia="Arial" w:hAnsi="Arial" w:cs="Arial"/>
                <w:i/>
                <w:color w:val="000000"/>
                <w:sz w:val="16"/>
              </w:rPr>
            </w:pPr>
            <w:r w:rsidRPr="005555DD">
              <w:rPr>
                <w:rFonts w:ascii="Arial" w:eastAsia="Arial" w:hAnsi="Arial" w:cs="Arial"/>
                <w:i/>
                <w:color w:val="000000"/>
                <w:sz w:val="16"/>
              </w:rPr>
              <w:t xml:space="preserve"> - </w:t>
            </w:r>
          </w:p>
        </w:tc>
        <w:tc>
          <w:tcPr>
            <w:tcW w:w="750"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5C342D8B" w14:textId="77777777" w:rsidR="003F0EEA" w:rsidRPr="005555DD" w:rsidRDefault="00FB7D0B">
            <w:pPr>
              <w:jc w:val="right"/>
              <w:rPr>
                <w:rFonts w:ascii="Arial" w:eastAsia="Arial" w:hAnsi="Arial" w:cs="Arial"/>
                <w:i/>
                <w:color w:val="000000"/>
                <w:sz w:val="16"/>
              </w:rPr>
            </w:pPr>
            <w:r w:rsidRPr="005555DD">
              <w:rPr>
                <w:rFonts w:ascii="Arial" w:eastAsia="Arial" w:hAnsi="Arial" w:cs="Arial"/>
                <w:i/>
                <w:color w:val="000000"/>
                <w:sz w:val="16"/>
              </w:rPr>
              <w:t>103 </w:t>
            </w:r>
          </w:p>
        </w:tc>
        <w:tc>
          <w:tcPr>
            <w:tcW w:w="90"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58C4107A" w14:textId="77777777" w:rsidR="003F0EEA" w:rsidRPr="005555DD" w:rsidRDefault="00FB7D0B">
            <w:pPr>
              <w:jc w:val="right"/>
              <w:rPr>
                <w:rFonts w:ascii="Arial" w:eastAsia="Arial" w:hAnsi="Arial" w:cs="Arial"/>
                <w:i/>
                <w:color w:val="000000"/>
                <w:sz w:val="16"/>
              </w:rPr>
            </w:pPr>
            <w:r w:rsidRPr="005555DD">
              <w:rPr>
                <w:rFonts w:ascii="Arial" w:eastAsia="Arial" w:hAnsi="Arial" w:cs="Arial"/>
                <w:i/>
                <w:color w:val="000000"/>
                <w:sz w:val="16"/>
              </w:rPr>
              <w:t>- </w:t>
            </w:r>
          </w:p>
        </w:tc>
        <w:tc>
          <w:tcPr>
            <w:tcW w:w="660"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74B8F022" w14:textId="77777777" w:rsidR="003F0EEA" w:rsidRPr="005555DD" w:rsidRDefault="00FB7D0B">
            <w:pPr>
              <w:jc w:val="right"/>
              <w:rPr>
                <w:rFonts w:ascii="Arial" w:eastAsia="Arial" w:hAnsi="Arial" w:cs="Arial"/>
                <w:i/>
                <w:color w:val="000000"/>
                <w:sz w:val="16"/>
              </w:rPr>
            </w:pPr>
            <w:r w:rsidRPr="005555DD">
              <w:rPr>
                <w:rFonts w:ascii="Arial" w:eastAsia="Arial" w:hAnsi="Arial" w:cs="Arial"/>
                <w:i/>
                <w:color w:val="000000"/>
                <w:sz w:val="16"/>
              </w:rPr>
              <w:t xml:space="preserve"> - </w:t>
            </w:r>
          </w:p>
        </w:tc>
        <w:tc>
          <w:tcPr>
            <w:tcW w:w="855"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75E1440E" w14:textId="77777777" w:rsidR="003F0EEA" w:rsidRPr="005555DD" w:rsidRDefault="00FB7D0B">
            <w:pPr>
              <w:jc w:val="right"/>
              <w:rPr>
                <w:rFonts w:ascii="Arial" w:eastAsia="Arial" w:hAnsi="Arial" w:cs="Arial"/>
                <w:i/>
                <w:color w:val="000000"/>
                <w:sz w:val="16"/>
              </w:rPr>
            </w:pPr>
            <w:r w:rsidRPr="005555DD">
              <w:rPr>
                <w:rFonts w:ascii="Arial" w:eastAsia="Arial" w:hAnsi="Arial" w:cs="Arial"/>
                <w:i/>
                <w:color w:val="000000"/>
                <w:sz w:val="16"/>
              </w:rPr>
              <w:t>103 </w:t>
            </w:r>
          </w:p>
        </w:tc>
        <w:tc>
          <w:tcPr>
            <w:tcW w:w="975"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5DFCC917" w14:textId="77777777" w:rsidR="003F0EEA" w:rsidRPr="005555DD" w:rsidRDefault="00FB7D0B">
            <w:pPr>
              <w:jc w:val="right"/>
              <w:rPr>
                <w:rFonts w:ascii="Arial" w:eastAsia="Arial" w:hAnsi="Arial" w:cs="Arial"/>
                <w:i/>
                <w:color w:val="000000"/>
                <w:sz w:val="16"/>
              </w:rPr>
            </w:pPr>
            <w:r w:rsidRPr="005555DD">
              <w:rPr>
                <w:rFonts w:ascii="Arial" w:eastAsia="Arial" w:hAnsi="Arial" w:cs="Arial"/>
                <w:i/>
                <w:color w:val="000000"/>
                <w:sz w:val="16"/>
              </w:rPr>
              <w:t>AWM</w:t>
            </w:r>
          </w:p>
        </w:tc>
      </w:tr>
      <w:tr w:rsidR="00FB7D0B" w14:paraId="47C485D5" w14:textId="77777777" w:rsidTr="00FB7D0B">
        <w:trPr>
          <w:trHeight w:val="315"/>
        </w:trPr>
        <w:tc>
          <w:tcPr>
            <w:tcW w:w="180" w:type="dxa"/>
            <w:tcBorders>
              <w:top w:val="nil"/>
              <w:left w:val="nil"/>
              <w:bottom w:val="nil"/>
              <w:right w:val="nil"/>
              <w:tl2br w:val="nil"/>
              <w:tr2bl w:val="nil"/>
            </w:tcBorders>
            <w:shd w:val="clear" w:color="auto" w:fill="FFFFFF"/>
            <w:tcMar>
              <w:left w:w="115" w:type="dxa"/>
              <w:right w:w="115" w:type="dxa"/>
            </w:tcMar>
            <w:vAlign w:val="bottom"/>
          </w:tcPr>
          <w:p w14:paraId="41B313F8" w14:textId="77777777" w:rsidR="003F0EEA" w:rsidRPr="005555DD" w:rsidRDefault="003F0EEA">
            <w:pPr>
              <w:rPr>
                <w:rFonts w:ascii="Arial" w:eastAsia="Arial" w:hAnsi="Arial" w:cs="Arial"/>
                <w:i/>
                <w:color w:val="000000"/>
                <w:sz w:val="16"/>
              </w:rPr>
            </w:pPr>
          </w:p>
        </w:tc>
        <w:tc>
          <w:tcPr>
            <w:tcW w:w="2145" w:type="dxa"/>
            <w:gridSpan w:val="2"/>
            <w:vMerge w:val="restart"/>
            <w:tcBorders>
              <w:top w:val="nil"/>
              <w:left w:val="nil"/>
              <w:bottom w:val="nil"/>
              <w:right w:val="nil"/>
              <w:tl2br w:val="nil"/>
              <w:tr2bl w:val="nil"/>
            </w:tcBorders>
            <w:shd w:val="clear" w:color="auto" w:fill="FFFFFF"/>
            <w:tcMar>
              <w:left w:w="115" w:type="dxa"/>
              <w:right w:w="115" w:type="dxa"/>
            </w:tcMar>
            <w:vAlign w:val="bottom"/>
          </w:tcPr>
          <w:p w14:paraId="0E11EC96" w14:textId="77777777" w:rsidR="003F0EEA" w:rsidRPr="005555DD" w:rsidRDefault="00FB7D0B">
            <w:pPr>
              <w:rPr>
                <w:rFonts w:ascii="Arial" w:eastAsia="Arial" w:hAnsi="Arial" w:cs="Arial"/>
                <w:b/>
                <w:color w:val="000000"/>
                <w:sz w:val="16"/>
              </w:rPr>
            </w:pPr>
            <w:r w:rsidRPr="005555DD">
              <w:rPr>
                <w:rFonts w:ascii="Arial" w:eastAsia="Arial" w:hAnsi="Arial" w:cs="Arial"/>
                <w:color w:val="000000"/>
                <w:sz w:val="16"/>
              </w:rPr>
              <w:t>Total outcome  2014-15</w:t>
            </w:r>
          </w:p>
        </w:tc>
        <w:tc>
          <w:tcPr>
            <w:tcW w:w="750" w:type="dxa"/>
            <w:tcBorders>
              <w:top w:val="single" w:sz="6" w:space="0" w:color="000000"/>
              <w:left w:val="nil"/>
              <w:bottom w:val="single" w:sz="6" w:space="0" w:color="000000"/>
              <w:right w:val="nil"/>
              <w:tl2br w:val="nil"/>
              <w:tr2bl w:val="nil"/>
            </w:tcBorders>
            <w:shd w:val="clear" w:color="auto" w:fill="FFFFFF"/>
            <w:tcMar>
              <w:left w:w="115" w:type="dxa"/>
              <w:right w:w="115" w:type="dxa"/>
            </w:tcMar>
            <w:vAlign w:val="bottom"/>
          </w:tcPr>
          <w:p w14:paraId="60ADE1A6" w14:textId="77777777" w:rsidR="003F0EEA" w:rsidRPr="005555DD" w:rsidRDefault="00FB7D0B">
            <w:pPr>
              <w:jc w:val="right"/>
              <w:rPr>
                <w:rFonts w:ascii="Arial" w:eastAsia="Arial" w:hAnsi="Arial" w:cs="Arial"/>
                <w:color w:val="000000"/>
                <w:sz w:val="16"/>
              </w:rPr>
            </w:pPr>
            <w:r w:rsidRPr="005555DD">
              <w:rPr>
                <w:rFonts w:ascii="Arial" w:eastAsia="Arial" w:hAnsi="Arial" w:cs="Arial"/>
                <w:b/>
                <w:color w:val="000000"/>
                <w:sz w:val="16"/>
              </w:rPr>
              <w:t>116 </w:t>
            </w:r>
          </w:p>
        </w:tc>
        <w:tc>
          <w:tcPr>
            <w:tcW w:w="750" w:type="dxa"/>
            <w:tcBorders>
              <w:top w:val="single" w:sz="6" w:space="0" w:color="000000"/>
              <w:left w:val="nil"/>
              <w:bottom w:val="single" w:sz="6" w:space="0" w:color="000000"/>
              <w:right w:val="nil"/>
              <w:tl2br w:val="nil"/>
              <w:tr2bl w:val="nil"/>
            </w:tcBorders>
            <w:shd w:val="clear" w:color="auto" w:fill="FFFFFF"/>
            <w:tcMar>
              <w:left w:w="115" w:type="dxa"/>
              <w:right w:w="115" w:type="dxa"/>
            </w:tcMar>
            <w:vAlign w:val="bottom"/>
          </w:tcPr>
          <w:p w14:paraId="09B68F20" w14:textId="77777777" w:rsidR="003F0EEA" w:rsidRPr="005555DD" w:rsidRDefault="00FB7D0B">
            <w:pPr>
              <w:jc w:val="right"/>
              <w:rPr>
                <w:rFonts w:ascii="Arial" w:eastAsia="Arial" w:hAnsi="Arial" w:cs="Arial"/>
                <w:b/>
                <w:color w:val="000000"/>
                <w:sz w:val="16"/>
              </w:rPr>
            </w:pPr>
            <w:r w:rsidRPr="005555DD">
              <w:rPr>
                <w:rFonts w:ascii="Arial" w:eastAsia="Arial" w:hAnsi="Arial" w:cs="Arial"/>
                <w:b/>
                <w:color w:val="000000"/>
                <w:sz w:val="16"/>
              </w:rPr>
              <w:t xml:space="preserve"> - </w:t>
            </w:r>
          </w:p>
        </w:tc>
        <w:tc>
          <w:tcPr>
            <w:tcW w:w="840" w:type="dxa"/>
            <w:tcBorders>
              <w:top w:val="single" w:sz="6" w:space="0" w:color="000000"/>
              <w:left w:val="nil"/>
              <w:bottom w:val="single" w:sz="6" w:space="0" w:color="000000"/>
              <w:right w:val="nil"/>
              <w:tl2br w:val="nil"/>
              <w:tr2bl w:val="nil"/>
            </w:tcBorders>
            <w:shd w:val="clear" w:color="auto" w:fill="FFFFFF"/>
            <w:tcMar>
              <w:left w:w="115" w:type="dxa"/>
              <w:right w:w="115" w:type="dxa"/>
            </w:tcMar>
            <w:vAlign w:val="bottom"/>
          </w:tcPr>
          <w:p w14:paraId="3B9D6EBB" w14:textId="77777777" w:rsidR="003F0EEA" w:rsidRPr="005555DD" w:rsidRDefault="00FB7D0B">
            <w:pPr>
              <w:jc w:val="right"/>
              <w:rPr>
                <w:rFonts w:ascii="Arial" w:eastAsia="Arial" w:hAnsi="Arial" w:cs="Arial"/>
                <w:b/>
                <w:color w:val="000000"/>
                <w:sz w:val="16"/>
              </w:rPr>
            </w:pPr>
            <w:r w:rsidRPr="005555DD">
              <w:rPr>
                <w:rFonts w:ascii="Arial" w:eastAsia="Arial" w:hAnsi="Arial" w:cs="Arial"/>
                <w:b/>
                <w:color w:val="000000"/>
                <w:sz w:val="16"/>
              </w:rPr>
              <w:t xml:space="preserve"> - </w:t>
            </w:r>
          </w:p>
        </w:tc>
        <w:tc>
          <w:tcPr>
            <w:tcW w:w="750" w:type="dxa"/>
            <w:tcBorders>
              <w:top w:val="single" w:sz="6" w:space="0" w:color="000000"/>
              <w:left w:val="nil"/>
              <w:bottom w:val="single" w:sz="6" w:space="0" w:color="000000"/>
              <w:right w:val="nil"/>
              <w:tl2br w:val="nil"/>
              <w:tr2bl w:val="nil"/>
            </w:tcBorders>
            <w:shd w:val="clear" w:color="auto" w:fill="FFFFFF"/>
            <w:tcMar>
              <w:left w:w="115" w:type="dxa"/>
              <w:right w:w="115" w:type="dxa"/>
            </w:tcMar>
            <w:vAlign w:val="bottom"/>
          </w:tcPr>
          <w:p w14:paraId="21ADC6F0" w14:textId="77777777" w:rsidR="003F0EEA" w:rsidRPr="005555DD" w:rsidRDefault="00FB7D0B">
            <w:pPr>
              <w:jc w:val="right"/>
              <w:rPr>
                <w:rFonts w:ascii="Arial" w:eastAsia="Arial" w:hAnsi="Arial" w:cs="Arial"/>
                <w:b/>
                <w:color w:val="000000"/>
                <w:sz w:val="16"/>
              </w:rPr>
            </w:pPr>
            <w:r w:rsidRPr="005555DD">
              <w:rPr>
                <w:rFonts w:ascii="Arial" w:eastAsia="Arial" w:hAnsi="Arial" w:cs="Arial"/>
                <w:b/>
                <w:color w:val="000000"/>
                <w:sz w:val="16"/>
              </w:rPr>
              <w:t>116 </w:t>
            </w:r>
          </w:p>
        </w:tc>
        <w:tc>
          <w:tcPr>
            <w:tcW w:w="90" w:type="dxa"/>
            <w:tcBorders>
              <w:top w:val="single" w:sz="6" w:space="0" w:color="000000"/>
              <w:left w:val="nil"/>
              <w:bottom w:val="single" w:sz="6" w:space="0" w:color="000000"/>
              <w:right w:val="nil"/>
              <w:tl2br w:val="nil"/>
              <w:tr2bl w:val="nil"/>
            </w:tcBorders>
            <w:shd w:val="clear" w:color="auto" w:fill="FFFFFF"/>
            <w:tcMar>
              <w:left w:w="115" w:type="dxa"/>
              <w:right w:w="115" w:type="dxa"/>
            </w:tcMar>
            <w:vAlign w:val="bottom"/>
          </w:tcPr>
          <w:p w14:paraId="22B5B836" w14:textId="77777777" w:rsidR="003F0EEA" w:rsidRPr="005555DD" w:rsidRDefault="00FB7D0B">
            <w:pPr>
              <w:jc w:val="right"/>
              <w:rPr>
                <w:rFonts w:ascii="Arial" w:eastAsia="Arial" w:hAnsi="Arial" w:cs="Arial"/>
                <w:b/>
                <w:color w:val="000000"/>
                <w:sz w:val="16"/>
              </w:rPr>
            </w:pPr>
            <w:r w:rsidRPr="005555DD">
              <w:rPr>
                <w:rFonts w:ascii="Arial" w:eastAsia="Arial" w:hAnsi="Arial" w:cs="Arial"/>
                <w:b/>
                <w:color w:val="000000"/>
                <w:sz w:val="16"/>
              </w:rPr>
              <w:t>- </w:t>
            </w:r>
          </w:p>
        </w:tc>
        <w:tc>
          <w:tcPr>
            <w:tcW w:w="660" w:type="dxa"/>
            <w:tcBorders>
              <w:top w:val="single" w:sz="6" w:space="0" w:color="000000"/>
              <w:left w:val="nil"/>
              <w:bottom w:val="single" w:sz="6" w:space="0" w:color="000000"/>
              <w:right w:val="nil"/>
              <w:tl2br w:val="nil"/>
              <w:tr2bl w:val="nil"/>
            </w:tcBorders>
            <w:shd w:val="clear" w:color="auto" w:fill="FFFFFF"/>
            <w:tcMar>
              <w:left w:w="115" w:type="dxa"/>
              <w:right w:w="115" w:type="dxa"/>
            </w:tcMar>
            <w:vAlign w:val="bottom"/>
          </w:tcPr>
          <w:p w14:paraId="3068ACFC" w14:textId="77777777" w:rsidR="003F0EEA" w:rsidRPr="005555DD" w:rsidRDefault="00FB7D0B">
            <w:pPr>
              <w:jc w:val="right"/>
              <w:rPr>
                <w:rFonts w:ascii="Arial" w:eastAsia="Arial" w:hAnsi="Arial" w:cs="Arial"/>
                <w:b/>
                <w:color w:val="000000"/>
                <w:sz w:val="16"/>
              </w:rPr>
            </w:pPr>
            <w:r w:rsidRPr="005555DD">
              <w:rPr>
                <w:rFonts w:ascii="Arial" w:eastAsia="Arial" w:hAnsi="Arial" w:cs="Arial"/>
                <w:b/>
                <w:color w:val="000000"/>
                <w:sz w:val="16"/>
              </w:rPr>
              <w:t xml:space="preserve"> - </w:t>
            </w:r>
          </w:p>
        </w:tc>
        <w:tc>
          <w:tcPr>
            <w:tcW w:w="855" w:type="dxa"/>
            <w:tcBorders>
              <w:top w:val="single" w:sz="6" w:space="0" w:color="000000"/>
              <w:left w:val="nil"/>
              <w:bottom w:val="single" w:sz="6" w:space="0" w:color="000000"/>
              <w:right w:val="nil"/>
              <w:tl2br w:val="nil"/>
              <w:tr2bl w:val="nil"/>
            </w:tcBorders>
            <w:shd w:val="clear" w:color="auto" w:fill="FFFFFF"/>
            <w:tcMar>
              <w:left w:w="115" w:type="dxa"/>
              <w:right w:w="115" w:type="dxa"/>
            </w:tcMar>
            <w:vAlign w:val="bottom"/>
          </w:tcPr>
          <w:p w14:paraId="3AC11052" w14:textId="77777777" w:rsidR="003F0EEA" w:rsidRPr="005555DD" w:rsidRDefault="00FB7D0B">
            <w:pPr>
              <w:jc w:val="right"/>
              <w:rPr>
                <w:rFonts w:ascii="Arial" w:eastAsia="Arial" w:hAnsi="Arial" w:cs="Arial"/>
                <w:b/>
                <w:color w:val="000000"/>
                <w:sz w:val="16"/>
              </w:rPr>
            </w:pPr>
            <w:r w:rsidRPr="005555DD">
              <w:rPr>
                <w:rFonts w:ascii="Arial" w:eastAsia="Arial" w:hAnsi="Arial" w:cs="Arial"/>
                <w:b/>
                <w:color w:val="000000"/>
                <w:sz w:val="16"/>
              </w:rPr>
              <w:t>116 </w:t>
            </w:r>
          </w:p>
        </w:tc>
        <w:tc>
          <w:tcPr>
            <w:tcW w:w="975" w:type="dxa"/>
            <w:tcBorders>
              <w:top w:val="single" w:sz="6" w:space="0" w:color="000000"/>
              <w:left w:val="nil"/>
              <w:bottom w:val="single" w:sz="6" w:space="0" w:color="000000"/>
              <w:right w:val="nil"/>
              <w:tl2br w:val="nil"/>
              <w:tr2bl w:val="nil"/>
            </w:tcBorders>
            <w:shd w:val="clear" w:color="auto" w:fill="FFFFFF"/>
            <w:tcMar>
              <w:left w:w="115" w:type="dxa"/>
              <w:right w:w="115" w:type="dxa"/>
            </w:tcMar>
            <w:vAlign w:val="bottom"/>
          </w:tcPr>
          <w:p w14:paraId="1B9BEC4A" w14:textId="77777777" w:rsidR="003F0EEA" w:rsidRPr="005555DD" w:rsidRDefault="003F0EEA">
            <w:pPr>
              <w:rPr>
                <w:rFonts w:ascii="Arial" w:eastAsia="Arial" w:hAnsi="Arial" w:cs="Arial"/>
                <w:b/>
                <w:color w:val="000000"/>
                <w:sz w:val="16"/>
              </w:rPr>
            </w:pPr>
          </w:p>
        </w:tc>
      </w:tr>
      <w:tr w:rsidR="00FB7D0B" w14:paraId="365E5994" w14:textId="77777777" w:rsidTr="00FB7D0B">
        <w:trPr>
          <w:trHeight w:val="315"/>
        </w:trPr>
        <w:tc>
          <w:tcPr>
            <w:tcW w:w="180" w:type="dxa"/>
            <w:tcBorders>
              <w:top w:val="nil"/>
              <w:left w:val="nil"/>
              <w:bottom w:val="nil"/>
              <w:right w:val="nil"/>
              <w:tl2br w:val="nil"/>
              <w:tr2bl w:val="nil"/>
            </w:tcBorders>
            <w:shd w:val="clear" w:color="auto" w:fill="FFFFFF"/>
            <w:tcMar>
              <w:left w:w="115" w:type="dxa"/>
              <w:right w:w="115" w:type="dxa"/>
            </w:tcMar>
            <w:vAlign w:val="bottom"/>
          </w:tcPr>
          <w:p w14:paraId="594F29FF" w14:textId="77777777" w:rsidR="003F0EEA" w:rsidRPr="005555DD" w:rsidRDefault="003F0EEA">
            <w:pPr>
              <w:rPr>
                <w:rFonts w:ascii="Arial" w:eastAsia="Arial" w:hAnsi="Arial" w:cs="Arial"/>
                <w:b/>
                <w:color w:val="000000"/>
                <w:sz w:val="16"/>
              </w:rPr>
            </w:pPr>
          </w:p>
        </w:tc>
        <w:tc>
          <w:tcPr>
            <w:tcW w:w="2145" w:type="dxa"/>
            <w:gridSpan w:val="2"/>
            <w:vMerge w:val="restart"/>
            <w:tcBorders>
              <w:top w:val="nil"/>
              <w:left w:val="nil"/>
              <w:bottom w:val="nil"/>
              <w:right w:val="nil"/>
              <w:tl2br w:val="nil"/>
              <w:tr2bl w:val="nil"/>
            </w:tcBorders>
            <w:shd w:val="clear" w:color="auto" w:fill="FFFFFF"/>
            <w:tcMar>
              <w:left w:w="115" w:type="dxa"/>
              <w:right w:w="115" w:type="dxa"/>
            </w:tcMar>
            <w:vAlign w:val="bottom"/>
          </w:tcPr>
          <w:p w14:paraId="4D0B11E0" w14:textId="77777777" w:rsidR="003F0EEA" w:rsidRPr="005555DD" w:rsidRDefault="00FB7D0B">
            <w:pPr>
              <w:rPr>
                <w:rFonts w:ascii="Arial" w:eastAsia="Arial" w:hAnsi="Arial" w:cs="Arial"/>
                <w:color w:val="000000"/>
                <w:sz w:val="16"/>
              </w:rPr>
            </w:pPr>
            <w:r w:rsidRPr="005555DD">
              <w:rPr>
                <w:rFonts w:ascii="Arial" w:eastAsia="Arial" w:hAnsi="Arial" w:cs="Arial"/>
                <w:i/>
                <w:color w:val="000000"/>
                <w:sz w:val="16"/>
              </w:rPr>
              <w:t>Total outcome 2013-14</w:t>
            </w:r>
          </w:p>
        </w:tc>
        <w:tc>
          <w:tcPr>
            <w:tcW w:w="750" w:type="dxa"/>
            <w:tcBorders>
              <w:top w:val="single" w:sz="6" w:space="0" w:color="000000"/>
              <w:left w:val="nil"/>
              <w:bottom w:val="single" w:sz="6" w:space="0" w:color="000000"/>
              <w:right w:val="nil"/>
              <w:tl2br w:val="nil"/>
              <w:tr2bl w:val="nil"/>
            </w:tcBorders>
            <w:shd w:val="clear" w:color="auto" w:fill="FFFFFF"/>
            <w:tcMar>
              <w:left w:w="115" w:type="dxa"/>
              <w:right w:w="115" w:type="dxa"/>
            </w:tcMar>
            <w:vAlign w:val="bottom"/>
          </w:tcPr>
          <w:p w14:paraId="3CB989FA" w14:textId="77777777" w:rsidR="003F0EEA" w:rsidRPr="005555DD" w:rsidRDefault="00FB7D0B">
            <w:pPr>
              <w:jc w:val="right"/>
              <w:rPr>
                <w:rFonts w:ascii="Arial" w:eastAsia="Arial" w:hAnsi="Arial" w:cs="Arial"/>
                <w:i/>
                <w:color w:val="000000"/>
                <w:sz w:val="16"/>
              </w:rPr>
            </w:pPr>
            <w:r w:rsidRPr="005555DD">
              <w:rPr>
                <w:rFonts w:ascii="Arial" w:eastAsia="Arial" w:hAnsi="Arial" w:cs="Arial"/>
                <w:i/>
                <w:color w:val="000000"/>
                <w:sz w:val="16"/>
              </w:rPr>
              <w:t>103 </w:t>
            </w:r>
          </w:p>
        </w:tc>
        <w:tc>
          <w:tcPr>
            <w:tcW w:w="750" w:type="dxa"/>
            <w:tcBorders>
              <w:top w:val="single" w:sz="6" w:space="0" w:color="000000"/>
              <w:left w:val="nil"/>
              <w:bottom w:val="single" w:sz="6" w:space="0" w:color="000000"/>
              <w:right w:val="nil"/>
              <w:tl2br w:val="nil"/>
              <w:tr2bl w:val="nil"/>
            </w:tcBorders>
            <w:shd w:val="clear" w:color="auto" w:fill="FFFFFF"/>
            <w:tcMar>
              <w:left w:w="115" w:type="dxa"/>
              <w:right w:w="115" w:type="dxa"/>
            </w:tcMar>
            <w:vAlign w:val="bottom"/>
          </w:tcPr>
          <w:p w14:paraId="34EF203A" w14:textId="77777777" w:rsidR="003F0EEA" w:rsidRPr="005555DD" w:rsidRDefault="00FB7D0B">
            <w:pPr>
              <w:jc w:val="right"/>
              <w:rPr>
                <w:rFonts w:ascii="Arial" w:eastAsia="Arial" w:hAnsi="Arial" w:cs="Arial"/>
                <w:i/>
                <w:color w:val="000000"/>
                <w:sz w:val="16"/>
              </w:rPr>
            </w:pPr>
            <w:r w:rsidRPr="005555DD">
              <w:rPr>
                <w:rFonts w:ascii="Arial" w:eastAsia="Arial" w:hAnsi="Arial" w:cs="Arial"/>
                <w:i/>
                <w:color w:val="000000"/>
                <w:sz w:val="16"/>
              </w:rPr>
              <w:t xml:space="preserve"> - </w:t>
            </w:r>
          </w:p>
        </w:tc>
        <w:tc>
          <w:tcPr>
            <w:tcW w:w="840" w:type="dxa"/>
            <w:tcBorders>
              <w:top w:val="single" w:sz="6" w:space="0" w:color="000000"/>
              <w:left w:val="nil"/>
              <w:bottom w:val="single" w:sz="6" w:space="0" w:color="000000"/>
              <w:right w:val="nil"/>
              <w:tl2br w:val="nil"/>
              <w:tr2bl w:val="nil"/>
            </w:tcBorders>
            <w:shd w:val="clear" w:color="auto" w:fill="FFFFFF"/>
            <w:tcMar>
              <w:left w:w="115" w:type="dxa"/>
              <w:right w:w="115" w:type="dxa"/>
            </w:tcMar>
            <w:vAlign w:val="bottom"/>
          </w:tcPr>
          <w:p w14:paraId="54B413D5" w14:textId="77777777" w:rsidR="003F0EEA" w:rsidRPr="005555DD" w:rsidRDefault="00FB7D0B">
            <w:pPr>
              <w:jc w:val="right"/>
              <w:rPr>
                <w:rFonts w:ascii="Arial" w:eastAsia="Arial" w:hAnsi="Arial" w:cs="Arial"/>
                <w:i/>
                <w:color w:val="000000"/>
                <w:sz w:val="16"/>
              </w:rPr>
            </w:pPr>
            <w:r w:rsidRPr="005555DD">
              <w:rPr>
                <w:rFonts w:ascii="Arial" w:eastAsia="Arial" w:hAnsi="Arial" w:cs="Arial"/>
                <w:i/>
                <w:color w:val="000000"/>
                <w:sz w:val="16"/>
              </w:rPr>
              <w:t xml:space="preserve"> - </w:t>
            </w:r>
          </w:p>
        </w:tc>
        <w:tc>
          <w:tcPr>
            <w:tcW w:w="750" w:type="dxa"/>
            <w:tcBorders>
              <w:top w:val="single" w:sz="6" w:space="0" w:color="000000"/>
              <w:left w:val="nil"/>
              <w:bottom w:val="single" w:sz="6" w:space="0" w:color="000000"/>
              <w:right w:val="nil"/>
              <w:tl2br w:val="nil"/>
              <w:tr2bl w:val="nil"/>
            </w:tcBorders>
            <w:shd w:val="clear" w:color="auto" w:fill="FFFFFF"/>
            <w:tcMar>
              <w:left w:w="115" w:type="dxa"/>
              <w:right w:w="115" w:type="dxa"/>
            </w:tcMar>
            <w:vAlign w:val="bottom"/>
          </w:tcPr>
          <w:p w14:paraId="1B69A627" w14:textId="77777777" w:rsidR="003F0EEA" w:rsidRPr="005555DD" w:rsidRDefault="00FB7D0B">
            <w:pPr>
              <w:jc w:val="right"/>
              <w:rPr>
                <w:rFonts w:ascii="Arial" w:eastAsia="Arial" w:hAnsi="Arial" w:cs="Arial"/>
                <w:i/>
                <w:color w:val="000000"/>
                <w:sz w:val="16"/>
              </w:rPr>
            </w:pPr>
            <w:r w:rsidRPr="005555DD">
              <w:rPr>
                <w:rFonts w:ascii="Arial" w:eastAsia="Arial" w:hAnsi="Arial" w:cs="Arial"/>
                <w:i/>
                <w:color w:val="000000"/>
                <w:sz w:val="16"/>
              </w:rPr>
              <w:t>103 </w:t>
            </w:r>
          </w:p>
        </w:tc>
        <w:tc>
          <w:tcPr>
            <w:tcW w:w="90" w:type="dxa"/>
            <w:tcBorders>
              <w:top w:val="single" w:sz="6" w:space="0" w:color="000000"/>
              <w:left w:val="nil"/>
              <w:bottom w:val="single" w:sz="6" w:space="0" w:color="000000"/>
              <w:right w:val="nil"/>
              <w:tl2br w:val="nil"/>
              <w:tr2bl w:val="nil"/>
            </w:tcBorders>
            <w:shd w:val="clear" w:color="auto" w:fill="FFFFFF"/>
            <w:tcMar>
              <w:left w:w="115" w:type="dxa"/>
              <w:right w:w="115" w:type="dxa"/>
            </w:tcMar>
            <w:vAlign w:val="bottom"/>
          </w:tcPr>
          <w:p w14:paraId="3F17DC7E" w14:textId="77777777" w:rsidR="003F0EEA" w:rsidRPr="005555DD" w:rsidRDefault="003F0EEA">
            <w:pPr>
              <w:rPr>
                <w:rFonts w:ascii="Arial" w:eastAsia="Arial" w:hAnsi="Arial" w:cs="Arial"/>
                <w:i/>
                <w:color w:val="000000"/>
                <w:sz w:val="16"/>
              </w:rPr>
            </w:pPr>
          </w:p>
        </w:tc>
        <w:tc>
          <w:tcPr>
            <w:tcW w:w="660" w:type="dxa"/>
            <w:tcBorders>
              <w:top w:val="single" w:sz="6" w:space="0" w:color="000000"/>
              <w:left w:val="nil"/>
              <w:bottom w:val="single" w:sz="6" w:space="0" w:color="000000"/>
              <w:right w:val="nil"/>
              <w:tl2br w:val="nil"/>
              <w:tr2bl w:val="nil"/>
            </w:tcBorders>
            <w:shd w:val="clear" w:color="auto" w:fill="FFFFFF"/>
            <w:tcMar>
              <w:left w:w="115" w:type="dxa"/>
              <w:right w:w="115" w:type="dxa"/>
            </w:tcMar>
            <w:vAlign w:val="bottom"/>
          </w:tcPr>
          <w:p w14:paraId="11729BB4" w14:textId="77777777" w:rsidR="003F0EEA" w:rsidRPr="005555DD" w:rsidRDefault="00FB7D0B">
            <w:pPr>
              <w:jc w:val="right"/>
              <w:rPr>
                <w:rFonts w:ascii="Arial" w:eastAsia="Arial" w:hAnsi="Arial" w:cs="Arial"/>
                <w:i/>
                <w:color w:val="000000"/>
                <w:sz w:val="16"/>
              </w:rPr>
            </w:pPr>
            <w:r w:rsidRPr="005555DD">
              <w:rPr>
                <w:rFonts w:ascii="Arial" w:eastAsia="Arial" w:hAnsi="Arial" w:cs="Arial"/>
                <w:i/>
                <w:color w:val="000000"/>
                <w:sz w:val="16"/>
              </w:rPr>
              <w:t xml:space="preserve"> - </w:t>
            </w:r>
          </w:p>
        </w:tc>
        <w:tc>
          <w:tcPr>
            <w:tcW w:w="855" w:type="dxa"/>
            <w:tcBorders>
              <w:top w:val="single" w:sz="6" w:space="0" w:color="000000"/>
              <w:left w:val="nil"/>
              <w:bottom w:val="single" w:sz="6" w:space="0" w:color="000000"/>
              <w:right w:val="nil"/>
              <w:tl2br w:val="nil"/>
              <w:tr2bl w:val="nil"/>
            </w:tcBorders>
            <w:shd w:val="clear" w:color="auto" w:fill="FFFFFF"/>
            <w:tcMar>
              <w:left w:w="115" w:type="dxa"/>
              <w:right w:w="115" w:type="dxa"/>
            </w:tcMar>
            <w:vAlign w:val="bottom"/>
          </w:tcPr>
          <w:p w14:paraId="74CBF844" w14:textId="77777777" w:rsidR="003F0EEA" w:rsidRPr="005555DD" w:rsidRDefault="00FB7D0B">
            <w:pPr>
              <w:jc w:val="right"/>
              <w:rPr>
                <w:rFonts w:ascii="Arial" w:eastAsia="Arial" w:hAnsi="Arial" w:cs="Arial"/>
                <w:i/>
                <w:color w:val="000000"/>
                <w:sz w:val="16"/>
              </w:rPr>
            </w:pPr>
            <w:r w:rsidRPr="005555DD">
              <w:rPr>
                <w:rFonts w:ascii="Arial" w:eastAsia="Arial" w:hAnsi="Arial" w:cs="Arial"/>
                <w:i/>
                <w:color w:val="000000"/>
                <w:sz w:val="16"/>
              </w:rPr>
              <w:t>103 </w:t>
            </w:r>
          </w:p>
        </w:tc>
        <w:tc>
          <w:tcPr>
            <w:tcW w:w="975" w:type="dxa"/>
            <w:tcBorders>
              <w:top w:val="single" w:sz="6" w:space="0" w:color="000000"/>
              <w:left w:val="nil"/>
              <w:bottom w:val="single" w:sz="6" w:space="0" w:color="000000"/>
              <w:right w:val="nil"/>
              <w:tl2br w:val="nil"/>
              <w:tr2bl w:val="nil"/>
            </w:tcBorders>
            <w:shd w:val="clear" w:color="auto" w:fill="FFFFFF"/>
            <w:tcMar>
              <w:left w:w="115" w:type="dxa"/>
              <w:right w:w="115" w:type="dxa"/>
            </w:tcMar>
            <w:vAlign w:val="bottom"/>
          </w:tcPr>
          <w:p w14:paraId="50004B87" w14:textId="77777777" w:rsidR="003F0EEA" w:rsidRPr="005555DD" w:rsidRDefault="003F0EEA">
            <w:pPr>
              <w:rPr>
                <w:rFonts w:ascii="Arial" w:eastAsia="Arial" w:hAnsi="Arial" w:cs="Arial"/>
                <w:i/>
                <w:color w:val="000000"/>
                <w:sz w:val="16"/>
              </w:rPr>
            </w:pPr>
          </w:p>
        </w:tc>
      </w:tr>
      <w:tr w:rsidR="00FB7D0B" w14:paraId="3261A526" w14:textId="77777777" w:rsidTr="00FB7D0B">
        <w:trPr>
          <w:trHeight w:val="315"/>
        </w:trPr>
        <w:tc>
          <w:tcPr>
            <w:tcW w:w="2325" w:type="dxa"/>
            <w:gridSpan w:val="3"/>
            <w:tcBorders>
              <w:top w:val="nil"/>
              <w:left w:val="nil"/>
              <w:bottom w:val="nil"/>
              <w:right w:val="nil"/>
              <w:tl2br w:val="nil"/>
              <w:tr2bl w:val="nil"/>
            </w:tcBorders>
            <w:shd w:val="clear" w:color="auto" w:fill="FFFFFF"/>
            <w:tcMar>
              <w:left w:w="115" w:type="dxa"/>
              <w:right w:w="115" w:type="dxa"/>
            </w:tcMar>
            <w:vAlign w:val="bottom"/>
          </w:tcPr>
          <w:p w14:paraId="5C9F4CF1" w14:textId="77777777" w:rsidR="003F0EEA" w:rsidRPr="005555DD" w:rsidRDefault="00FB7D0B">
            <w:pPr>
              <w:rPr>
                <w:rFonts w:ascii="Arial" w:eastAsia="Arial" w:hAnsi="Arial" w:cs="Arial"/>
                <w:i/>
                <w:color w:val="000000"/>
                <w:sz w:val="16"/>
              </w:rPr>
            </w:pPr>
            <w:r w:rsidRPr="005555DD">
              <w:rPr>
                <w:rFonts w:ascii="Arial" w:eastAsia="Arial" w:hAnsi="Arial" w:cs="Arial"/>
                <w:b/>
                <w:color w:val="000000"/>
                <w:sz w:val="16"/>
              </w:rPr>
              <w:t>Total AGIE 2014-15</w:t>
            </w:r>
          </w:p>
        </w:tc>
        <w:tc>
          <w:tcPr>
            <w:tcW w:w="750" w:type="dxa"/>
            <w:tcBorders>
              <w:top w:val="single" w:sz="6" w:space="0" w:color="000000"/>
              <w:left w:val="nil"/>
              <w:bottom w:val="single" w:sz="6" w:space="0" w:color="000000"/>
              <w:right w:val="nil"/>
              <w:tl2br w:val="nil"/>
              <w:tr2bl w:val="nil"/>
            </w:tcBorders>
            <w:shd w:val="clear" w:color="auto" w:fill="FFFFFF"/>
            <w:tcMar>
              <w:left w:w="115" w:type="dxa"/>
              <w:right w:w="115" w:type="dxa"/>
            </w:tcMar>
            <w:vAlign w:val="bottom"/>
          </w:tcPr>
          <w:p w14:paraId="6657B302" w14:textId="77777777" w:rsidR="003F0EEA" w:rsidRPr="005555DD" w:rsidRDefault="00FB7D0B">
            <w:pPr>
              <w:jc w:val="right"/>
              <w:rPr>
                <w:rFonts w:ascii="Arial" w:eastAsia="Arial" w:hAnsi="Arial" w:cs="Arial"/>
                <w:b/>
                <w:color w:val="000000"/>
                <w:sz w:val="16"/>
              </w:rPr>
            </w:pPr>
            <w:r w:rsidRPr="005555DD">
              <w:rPr>
                <w:rFonts w:ascii="Arial" w:eastAsia="Arial" w:hAnsi="Arial" w:cs="Arial"/>
                <w:b/>
                <w:color w:val="000000"/>
                <w:sz w:val="16"/>
              </w:rPr>
              <w:t>116 </w:t>
            </w:r>
          </w:p>
        </w:tc>
        <w:tc>
          <w:tcPr>
            <w:tcW w:w="750" w:type="dxa"/>
            <w:tcBorders>
              <w:top w:val="single" w:sz="6" w:space="0" w:color="000000"/>
              <w:left w:val="nil"/>
              <w:bottom w:val="single" w:sz="6" w:space="0" w:color="000000"/>
              <w:right w:val="nil"/>
              <w:tl2br w:val="nil"/>
              <w:tr2bl w:val="nil"/>
            </w:tcBorders>
            <w:shd w:val="clear" w:color="auto" w:fill="FFFFFF"/>
            <w:tcMar>
              <w:left w:w="115" w:type="dxa"/>
              <w:right w:w="115" w:type="dxa"/>
            </w:tcMar>
            <w:vAlign w:val="bottom"/>
          </w:tcPr>
          <w:p w14:paraId="4D7B3E6D" w14:textId="77777777" w:rsidR="003F0EEA" w:rsidRPr="005555DD" w:rsidRDefault="00FB7D0B">
            <w:pPr>
              <w:jc w:val="right"/>
              <w:rPr>
                <w:rFonts w:ascii="Arial" w:eastAsia="Arial" w:hAnsi="Arial" w:cs="Arial"/>
                <w:b/>
                <w:color w:val="000000"/>
                <w:sz w:val="16"/>
              </w:rPr>
            </w:pPr>
            <w:r w:rsidRPr="005555DD">
              <w:rPr>
                <w:rFonts w:ascii="Arial" w:eastAsia="Arial" w:hAnsi="Arial" w:cs="Arial"/>
                <w:b/>
                <w:color w:val="000000"/>
                <w:sz w:val="16"/>
              </w:rPr>
              <w:t xml:space="preserve"> - </w:t>
            </w:r>
          </w:p>
        </w:tc>
        <w:tc>
          <w:tcPr>
            <w:tcW w:w="840" w:type="dxa"/>
            <w:tcBorders>
              <w:top w:val="single" w:sz="6" w:space="0" w:color="000000"/>
              <w:left w:val="nil"/>
              <w:bottom w:val="single" w:sz="6" w:space="0" w:color="000000"/>
              <w:right w:val="nil"/>
              <w:tl2br w:val="nil"/>
              <w:tr2bl w:val="nil"/>
            </w:tcBorders>
            <w:shd w:val="clear" w:color="auto" w:fill="FFFFFF"/>
            <w:tcMar>
              <w:left w:w="115" w:type="dxa"/>
              <w:right w:w="115" w:type="dxa"/>
            </w:tcMar>
            <w:vAlign w:val="bottom"/>
          </w:tcPr>
          <w:p w14:paraId="0C16A841" w14:textId="77777777" w:rsidR="003F0EEA" w:rsidRPr="005555DD" w:rsidRDefault="00FB7D0B">
            <w:pPr>
              <w:jc w:val="right"/>
              <w:rPr>
                <w:rFonts w:ascii="Arial" w:eastAsia="Arial" w:hAnsi="Arial" w:cs="Arial"/>
                <w:b/>
                <w:color w:val="000000"/>
                <w:sz w:val="16"/>
              </w:rPr>
            </w:pPr>
            <w:r w:rsidRPr="005555DD">
              <w:rPr>
                <w:rFonts w:ascii="Arial" w:eastAsia="Arial" w:hAnsi="Arial" w:cs="Arial"/>
                <w:b/>
                <w:color w:val="000000"/>
                <w:sz w:val="16"/>
              </w:rPr>
              <w:t xml:space="preserve"> - </w:t>
            </w:r>
          </w:p>
        </w:tc>
        <w:tc>
          <w:tcPr>
            <w:tcW w:w="750" w:type="dxa"/>
            <w:tcBorders>
              <w:top w:val="single" w:sz="6" w:space="0" w:color="000000"/>
              <w:left w:val="nil"/>
              <w:bottom w:val="single" w:sz="6" w:space="0" w:color="000000"/>
              <w:right w:val="nil"/>
              <w:tl2br w:val="nil"/>
              <w:tr2bl w:val="nil"/>
            </w:tcBorders>
            <w:shd w:val="clear" w:color="auto" w:fill="FFFFFF"/>
            <w:tcMar>
              <w:left w:w="115" w:type="dxa"/>
              <w:right w:w="115" w:type="dxa"/>
            </w:tcMar>
            <w:vAlign w:val="bottom"/>
          </w:tcPr>
          <w:p w14:paraId="5C41721F" w14:textId="77777777" w:rsidR="003F0EEA" w:rsidRPr="005555DD" w:rsidRDefault="00FB7D0B">
            <w:pPr>
              <w:jc w:val="right"/>
              <w:rPr>
                <w:rFonts w:ascii="Arial" w:eastAsia="Arial" w:hAnsi="Arial" w:cs="Arial"/>
                <w:b/>
                <w:color w:val="000000"/>
                <w:sz w:val="16"/>
              </w:rPr>
            </w:pPr>
            <w:r w:rsidRPr="005555DD">
              <w:rPr>
                <w:rFonts w:ascii="Arial" w:eastAsia="Arial" w:hAnsi="Arial" w:cs="Arial"/>
                <w:b/>
                <w:color w:val="000000"/>
                <w:sz w:val="16"/>
              </w:rPr>
              <w:t>116 </w:t>
            </w:r>
          </w:p>
        </w:tc>
        <w:tc>
          <w:tcPr>
            <w:tcW w:w="90" w:type="dxa"/>
            <w:tcBorders>
              <w:top w:val="single" w:sz="6" w:space="0" w:color="000000"/>
              <w:left w:val="nil"/>
              <w:bottom w:val="single" w:sz="6" w:space="0" w:color="000000"/>
              <w:right w:val="nil"/>
              <w:tl2br w:val="nil"/>
              <w:tr2bl w:val="nil"/>
            </w:tcBorders>
            <w:shd w:val="clear" w:color="auto" w:fill="FFFFFF"/>
            <w:tcMar>
              <w:left w:w="115" w:type="dxa"/>
              <w:right w:w="115" w:type="dxa"/>
            </w:tcMar>
            <w:vAlign w:val="bottom"/>
          </w:tcPr>
          <w:p w14:paraId="55C3E50E" w14:textId="77777777" w:rsidR="003F0EEA" w:rsidRPr="005555DD" w:rsidRDefault="003F0EEA">
            <w:pPr>
              <w:rPr>
                <w:rFonts w:ascii="Arial" w:eastAsia="Arial" w:hAnsi="Arial" w:cs="Arial"/>
                <w:b/>
                <w:color w:val="000000"/>
                <w:sz w:val="16"/>
              </w:rPr>
            </w:pPr>
          </w:p>
        </w:tc>
        <w:tc>
          <w:tcPr>
            <w:tcW w:w="660" w:type="dxa"/>
            <w:tcBorders>
              <w:top w:val="single" w:sz="6" w:space="0" w:color="000000"/>
              <w:left w:val="nil"/>
              <w:bottom w:val="single" w:sz="6" w:space="0" w:color="000000"/>
              <w:right w:val="nil"/>
              <w:tl2br w:val="nil"/>
              <w:tr2bl w:val="nil"/>
            </w:tcBorders>
            <w:shd w:val="clear" w:color="auto" w:fill="FFFFFF"/>
            <w:tcMar>
              <w:left w:w="115" w:type="dxa"/>
              <w:right w:w="115" w:type="dxa"/>
            </w:tcMar>
            <w:vAlign w:val="bottom"/>
          </w:tcPr>
          <w:p w14:paraId="5737231A" w14:textId="77777777" w:rsidR="003F0EEA" w:rsidRPr="005555DD" w:rsidRDefault="00FB7D0B">
            <w:pPr>
              <w:jc w:val="right"/>
              <w:rPr>
                <w:rFonts w:ascii="Arial" w:eastAsia="Arial" w:hAnsi="Arial" w:cs="Arial"/>
                <w:b/>
                <w:color w:val="000000"/>
                <w:sz w:val="16"/>
              </w:rPr>
            </w:pPr>
            <w:r w:rsidRPr="005555DD">
              <w:rPr>
                <w:rFonts w:ascii="Arial" w:eastAsia="Arial" w:hAnsi="Arial" w:cs="Arial"/>
                <w:b/>
                <w:color w:val="000000"/>
                <w:sz w:val="16"/>
              </w:rPr>
              <w:t xml:space="preserve"> - </w:t>
            </w:r>
          </w:p>
        </w:tc>
        <w:tc>
          <w:tcPr>
            <w:tcW w:w="855" w:type="dxa"/>
            <w:tcBorders>
              <w:top w:val="single" w:sz="6" w:space="0" w:color="000000"/>
              <w:left w:val="nil"/>
              <w:bottom w:val="single" w:sz="6" w:space="0" w:color="000000"/>
              <w:right w:val="nil"/>
              <w:tl2br w:val="nil"/>
              <w:tr2bl w:val="nil"/>
            </w:tcBorders>
            <w:shd w:val="clear" w:color="auto" w:fill="FFFFFF"/>
            <w:tcMar>
              <w:left w:w="115" w:type="dxa"/>
              <w:right w:w="115" w:type="dxa"/>
            </w:tcMar>
            <w:vAlign w:val="bottom"/>
          </w:tcPr>
          <w:p w14:paraId="794A6E30" w14:textId="77777777" w:rsidR="003F0EEA" w:rsidRPr="005555DD" w:rsidRDefault="00FB7D0B">
            <w:pPr>
              <w:jc w:val="right"/>
              <w:rPr>
                <w:rFonts w:ascii="Arial" w:eastAsia="Arial" w:hAnsi="Arial" w:cs="Arial"/>
                <w:b/>
                <w:color w:val="000000"/>
                <w:sz w:val="16"/>
              </w:rPr>
            </w:pPr>
            <w:r w:rsidRPr="005555DD">
              <w:rPr>
                <w:rFonts w:ascii="Arial" w:eastAsia="Arial" w:hAnsi="Arial" w:cs="Arial"/>
                <w:b/>
                <w:color w:val="000000"/>
                <w:sz w:val="16"/>
              </w:rPr>
              <w:t>116 </w:t>
            </w:r>
          </w:p>
        </w:tc>
        <w:tc>
          <w:tcPr>
            <w:tcW w:w="975" w:type="dxa"/>
            <w:tcBorders>
              <w:top w:val="single" w:sz="6" w:space="0" w:color="000000"/>
              <w:left w:val="nil"/>
              <w:bottom w:val="single" w:sz="6" w:space="0" w:color="000000"/>
              <w:right w:val="nil"/>
              <w:tl2br w:val="nil"/>
              <w:tr2bl w:val="nil"/>
            </w:tcBorders>
            <w:shd w:val="clear" w:color="auto" w:fill="FFFFFF"/>
            <w:tcMar>
              <w:left w:w="115" w:type="dxa"/>
              <w:right w:w="115" w:type="dxa"/>
            </w:tcMar>
            <w:vAlign w:val="bottom"/>
          </w:tcPr>
          <w:p w14:paraId="37722E29" w14:textId="77777777" w:rsidR="003F0EEA" w:rsidRPr="005555DD" w:rsidRDefault="003F0EEA">
            <w:pPr>
              <w:rPr>
                <w:rFonts w:ascii="Arial" w:eastAsia="Arial" w:hAnsi="Arial" w:cs="Arial"/>
                <w:b/>
                <w:color w:val="000000"/>
                <w:sz w:val="16"/>
              </w:rPr>
            </w:pPr>
          </w:p>
        </w:tc>
      </w:tr>
      <w:tr w:rsidR="00FB7D0B" w14:paraId="5D9D8B1A" w14:textId="77777777" w:rsidTr="00FB7D0B">
        <w:trPr>
          <w:trHeight w:val="315"/>
        </w:trPr>
        <w:tc>
          <w:tcPr>
            <w:tcW w:w="2325" w:type="dxa"/>
            <w:gridSpan w:val="3"/>
            <w:tcBorders>
              <w:top w:val="nil"/>
              <w:left w:val="nil"/>
              <w:bottom w:val="single" w:sz="6" w:space="0" w:color="000000"/>
              <w:right w:val="nil"/>
              <w:tl2br w:val="nil"/>
              <w:tr2bl w:val="nil"/>
            </w:tcBorders>
            <w:shd w:val="clear" w:color="auto" w:fill="FFFFFF"/>
            <w:tcMar>
              <w:left w:w="115" w:type="dxa"/>
              <w:right w:w="115" w:type="dxa"/>
            </w:tcMar>
            <w:vAlign w:val="bottom"/>
          </w:tcPr>
          <w:p w14:paraId="67097CDE" w14:textId="77777777" w:rsidR="003F0EEA" w:rsidRPr="005555DD" w:rsidRDefault="00FB7D0B">
            <w:pPr>
              <w:rPr>
                <w:rFonts w:ascii="Arial" w:eastAsia="Arial" w:hAnsi="Arial" w:cs="Arial"/>
                <w:b/>
                <w:color w:val="000000"/>
                <w:sz w:val="16"/>
              </w:rPr>
            </w:pPr>
            <w:r w:rsidRPr="005555DD">
              <w:rPr>
                <w:rFonts w:ascii="Arial" w:eastAsia="Arial" w:hAnsi="Arial" w:cs="Arial"/>
                <w:color w:val="000000"/>
                <w:sz w:val="16"/>
              </w:rPr>
              <w:t>Total AGIE 2013-14</w:t>
            </w:r>
          </w:p>
        </w:tc>
        <w:tc>
          <w:tcPr>
            <w:tcW w:w="750" w:type="dxa"/>
            <w:tcBorders>
              <w:top w:val="single" w:sz="6" w:space="0" w:color="000000"/>
              <w:left w:val="nil"/>
              <w:bottom w:val="single" w:sz="6" w:space="0" w:color="000000"/>
              <w:right w:val="nil"/>
              <w:tl2br w:val="nil"/>
              <w:tr2bl w:val="nil"/>
            </w:tcBorders>
            <w:shd w:val="clear" w:color="auto" w:fill="FFFFFF"/>
            <w:tcMar>
              <w:left w:w="115" w:type="dxa"/>
              <w:right w:w="115" w:type="dxa"/>
            </w:tcMar>
            <w:vAlign w:val="bottom"/>
          </w:tcPr>
          <w:p w14:paraId="72083739" w14:textId="77777777" w:rsidR="003F0EEA" w:rsidRPr="005555DD" w:rsidRDefault="00FB7D0B">
            <w:pPr>
              <w:jc w:val="right"/>
              <w:rPr>
                <w:rFonts w:ascii="Arial" w:eastAsia="Arial" w:hAnsi="Arial" w:cs="Arial"/>
                <w:color w:val="000000"/>
                <w:sz w:val="16"/>
              </w:rPr>
            </w:pPr>
            <w:r w:rsidRPr="005555DD">
              <w:rPr>
                <w:rFonts w:ascii="Arial" w:eastAsia="Arial" w:hAnsi="Arial" w:cs="Arial"/>
                <w:i/>
                <w:color w:val="000000"/>
                <w:sz w:val="16"/>
              </w:rPr>
              <w:t>103 </w:t>
            </w:r>
          </w:p>
        </w:tc>
        <w:tc>
          <w:tcPr>
            <w:tcW w:w="750" w:type="dxa"/>
            <w:tcBorders>
              <w:top w:val="single" w:sz="6" w:space="0" w:color="000000"/>
              <w:left w:val="nil"/>
              <w:bottom w:val="single" w:sz="6" w:space="0" w:color="000000"/>
              <w:right w:val="nil"/>
              <w:tl2br w:val="nil"/>
              <w:tr2bl w:val="nil"/>
            </w:tcBorders>
            <w:shd w:val="clear" w:color="auto" w:fill="FFFFFF"/>
            <w:tcMar>
              <w:left w:w="115" w:type="dxa"/>
              <w:right w:w="115" w:type="dxa"/>
            </w:tcMar>
            <w:vAlign w:val="bottom"/>
          </w:tcPr>
          <w:p w14:paraId="403B7919" w14:textId="77777777" w:rsidR="003F0EEA" w:rsidRPr="005555DD" w:rsidRDefault="00FB7D0B">
            <w:pPr>
              <w:jc w:val="right"/>
              <w:rPr>
                <w:rFonts w:ascii="Arial" w:eastAsia="Arial" w:hAnsi="Arial" w:cs="Arial"/>
                <w:i/>
                <w:color w:val="000000"/>
                <w:sz w:val="16"/>
              </w:rPr>
            </w:pPr>
            <w:r w:rsidRPr="005555DD">
              <w:rPr>
                <w:rFonts w:ascii="Arial" w:eastAsia="Arial" w:hAnsi="Arial" w:cs="Arial"/>
                <w:i/>
                <w:color w:val="000000"/>
                <w:sz w:val="16"/>
              </w:rPr>
              <w:t xml:space="preserve"> - </w:t>
            </w:r>
          </w:p>
        </w:tc>
        <w:tc>
          <w:tcPr>
            <w:tcW w:w="840" w:type="dxa"/>
            <w:tcBorders>
              <w:top w:val="single" w:sz="6" w:space="0" w:color="000000"/>
              <w:left w:val="nil"/>
              <w:bottom w:val="single" w:sz="6" w:space="0" w:color="000000"/>
              <w:right w:val="nil"/>
              <w:tl2br w:val="nil"/>
              <w:tr2bl w:val="nil"/>
            </w:tcBorders>
            <w:shd w:val="clear" w:color="auto" w:fill="FFFFFF"/>
            <w:tcMar>
              <w:left w:w="115" w:type="dxa"/>
              <w:right w:w="115" w:type="dxa"/>
            </w:tcMar>
            <w:vAlign w:val="bottom"/>
          </w:tcPr>
          <w:p w14:paraId="44A1836E" w14:textId="77777777" w:rsidR="003F0EEA" w:rsidRPr="005555DD" w:rsidRDefault="00FB7D0B">
            <w:pPr>
              <w:jc w:val="right"/>
              <w:rPr>
                <w:rFonts w:ascii="Arial" w:eastAsia="Arial" w:hAnsi="Arial" w:cs="Arial"/>
                <w:i/>
                <w:color w:val="000000"/>
                <w:sz w:val="16"/>
              </w:rPr>
            </w:pPr>
            <w:r w:rsidRPr="005555DD">
              <w:rPr>
                <w:rFonts w:ascii="Arial" w:eastAsia="Arial" w:hAnsi="Arial" w:cs="Arial"/>
                <w:i/>
                <w:color w:val="000000"/>
                <w:sz w:val="16"/>
              </w:rPr>
              <w:t xml:space="preserve"> - </w:t>
            </w:r>
          </w:p>
        </w:tc>
        <w:tc>
          <w:tcPr>
            <w:tcW w:w="750" w:type="dxa"/>
            <w:tcBorders>
              <w:top w:val="single" w:sz="6" w:space="0" w:color="000000"/>
              <w:left w:val="nil"/>
              <w:bottom w:val="single" w:sz="6" w:space="0" w:color="000000"/>
              <w:right w:val="nil"/>
              <w:tl2br w:val="nil"/>
              <w:tr2bl w:val="nil"/>
            </w:tcBorders>
            <w:shd w:val="clear" w:color="auto" w:fill="FFFFFF"/>
            <w:tcMar>
              <w:left w:w="115" w:type="dxa"/>
              <w:right w:w="115" w:type="dxa"/>
            </w:tcMar>
            <w:vAlign w:val="bottom"/>
          </w:tcPr>
          <w:p w14:paraId="033BFA84" w14:textId="77777777" w:rsidR="003F0EEA" w:rsidRPr="005555DD" w:rsidRDefault="00FB7D0B">
            <w:pPr>
              <w:jc w:val="right"/>
              <w:rPr>
                <w:rFonts w:ascii="Arial" w:eastAsia="Arial" w:hAnsi="Arial" w:cs="Arial"/>
                <w:i/>
                <w:color w:val="000000"/>
                <w:sz w:val="16"/>
              </w:rPr>
            </w:pPr>
            <w:r w:rsidRPr="005555DD">
              <w:rPr>
                <w:rFonts w:ascii="Arial" w:eastAsia="Arial" w:hAnsi="Arial" w:cs="Arial"/>
                <w:i/>
                <w:color w:val="000000"/>
                <w:sz w:val="16"/>
              </w:rPr>
              <w:t>103 </w:t>
            </w:r>
          </w:p>
        </w:tc>
        <w:tc>
          <w:tcPr>
            <w:tcW w:w="90" w:type="dxa"/>
            <w:tcBorders>
              <w:top w:val="single" w:sz="6" w:space="0" w:color="000000"/>
              <w:left w:val="nil"/>
              <w:bottom w:val="single" w:sz="6" w:space="0" w:color="000000"/>
              <w:right w:val="nil"/>
              <w:tl2br w:val="nil"/>
              <w:tr2bl w:val="nil"/>
            </w:tcBorders>
            <w:shd w:val="clear" w:color="auto" w:fill="FFFFFF"/>
            <w:tcMar>
              <w:left w:w="115" w:type="dxa"/>
              <w:right w:w="115" w:type="dxa"/>
            </w:tcMar>
            <w:vAlign w:val="bottom"/>
          </w:tcPr>
          <w:p w14:paraId="2F064E7B" w14:textId="77777777" w:rsidR="003F0EEA" w:rsidRPr="005555DD" w:rsidRDefault="003F0EEA">
            <w:pPr>
              <w:rPr>
                <w:rFonts w:ascii="Arial" w:eastAsia="Arial" w:hAnsi="Arial" w:cs="Arial"/>
                <w:i/>
                <w:color w:val="000000"/>
                <w:sz w:val="16"/>
              </w:rPr>
            </w:pPr>
          </w:p>
        </w:tc>
        <w:tc>
          <w:tcPr>
            <w:tcW w:w="660" w:type="dxa"/>
            <w:tcBorders>
              <w:top w:val="single" w:sz="6" w:space="0" w:color="000000"/>
              <w:left w:val="nil"/>
              <w:bottom w:val="single" w:sz="6" w:space="0" w:color="000000"/>
              <w:right w:val="nil"/>
              <w:tl2br w:val="nil"/>
              <w:tr2bl w:val="nil"/>
            </w:tcBorders>
            <w:shd w:val="clear" w:color="auto" w:fill="FFFFFF"/>
            <w:tcMar>
              <w:left w:w="115" w:type="dxa"/>
              <w:right w:w="115" w:type="dxa"/>
            </w:tcMar>
            <w:vAlign w:val="bottom"/>
          </w:tcPr>
          <w:p w14:paraId="1FFD84D4" w14:textId="77777777" w:rsidR="003F0EEA" w:rsidRPr="005555DD" w:rsidRDefault="00FB7D0B">
            <w:pPr>
              <w:jc w:val="right"/>
              <w:rPr>
                <w:rFonts w:ascii="Arial" w:eastAsia="Arial" w:hAnsi="Arial" w:cs="Arial"/>
                <w:i/>
                <w:color w:val="000000"/>
                <w:sz w:val="16"/>
              </w:rPr>
            </w:pPr>
            <w:r w:rsidRPr="005555DD">
              <w:rPr>
                <w:rFonts w:ascii="Arial" w:eastAsia="Arial" w:hAnsi="Arial" w:cs="Arial"/>
                <w:i/>
                <w:color w:val="000000"/>
                <w:sz w:val="16"/>
              </w:rPr>
              <w:t xml:space="preserve"> - </w:t>
            </w:r>
          </w:p>
        </w:tc>
        <w:tc>
          <w:tcPr>
            <w:tcW w:w="855" w:type="dxa"/>
            <w:tcBorders>
              <w:top w:val="single" w:sz="6" w:space="0" w:color="000000"/>
              <w:left w:val="nil"/>
              <w:bottom w:val="single" w:sz="6" w:space="0" w:color="000000"/>
              <w:right w:val="nil"/>
              <w:tl2br w:val="nil"/>
              <w:tr2bl w:val="nil"/>
            </w:tcBorders>
            <w:shd w:val="clear" w:color="auto" w:fill="FFFFFF"/>
            <w:tcMar>
              <w:left w:w="115" w:type="dxa"/>
              <w:right w:w="115" w:type="dxa"/>
            </w:tcMar>
            <w:vAlign w:val="bottom"/>
          </w:tcPr>
          <w:p w14:paraId="5BDD6FB6" w14:textId="77777777" w:rsidR="003F0EEA" w:rsidRPr="005555DD" w:rsidRDefault="00FB7D0B">
            <w:pPr>
              <w:jc w:val="right"/>
              <w:rPr>
                <w:rFonts w:ascii="Arial" w:eastAsia="Arial" w:hAnsi="Arial" w:cs="Arial"/>
                <w:i/>
                <w:color w:val="000000"/>
                <w:sz w:val="16"/>
              </w:rPr>
            </w:pPr>
            <w:r w:rsidRPr="005555DD">
              <w:rPr>
                <w:rFonts w:ascii="Arial" w:eastAsia="Arial" w:hAnsi="Arial" w:cs="Arial"/>
                <w:i/>
                <w:color w:val="000000"/>
                <w:sz w:val="16"/>
              </w:rPr>
              <w:t>103 </w:t>
            </w:r>
          </w:p>
        </w:tc>
        <w:tc>
          <w:tcPr>
            <w:tcW w:w="975" w:type="dxa"/>
            <w:tcBorders>
              <w:top w:val="single" w:sz="6" w:space="0" w:color="000000"/>
              <w:left w:val="nil"/>
              <w:bottom w:val="single" w:sz="6" w:space="0" w:color="000000"/>
              <w:right w:val="nil"/>
              <w:tl2br w:val="nil"/>
              <w:tr2bl w:val="nil"/>
            </w:tcBorders>
            <w:shd w:val="clear" w:color="auto" w:fill="FFFFFF"/>
            <w:tcMar>
              <w:left w:w="115" w:type="dxa"/>
              <w:right w:w="115" w:type="dxa"/>
            </w:tcMar>
            <w:vAlign w:val="bottom"/>
          </w:tcPr>
          <w:p w14:paraId="591389E2" w14:textId="77777777" w:rsidR="003F0EEA" w:rsidRPr="005555DD" w:rsidRDefault="003F0EEA">
            <w:pPr>
              <w:rPr>
                <w:rFonts w:ascii="Arial" w:eastAsia="Arial" w:hAnsi="Arial" w:cs="Arial"/>
                <w:i/>
                <w:color w:val="000000"/>
                <w:sz w:val="16"/>
              </w:rPr>
            </w:pPr>
          </w:p>
        </w:tc>
      </w:tr>
    </w:tbl>
    <w:p w14:paraId="7FEE42C7" w14:textId="77777777" w:rsidR="00724034" w:rsidRDefault="00724034">
      <w:pPr>
        <w:sectPr w:rsidR="00724034">
          <w:pgSz w:w="10319" w:h="14572"/>
          <w:pgMar w:top="1077" w:right="1077" w:bottom="1134" w:left="1134" w:header="709" w:footer="709" w:gutter="0"/>
          <w:cols w:space="708"/>
        </w:sectPr>
      </w:pPr>
    </w:p>
    <w:p w14:paraId="7284C06E" w14:textId="77777777" w:rsidR="003F0EEA" w:rsidRDefault="00FB7D0B" w:rsidP="003F0EEA">
      <w:pPr>
        <w:pStyle w:val="Heading315"/>
      </w:pPr>
      <w:r>
        <w:rPr>
          <w:rFonts w:cs="Arial"/>
        </w:rPr>
        <w:lastRenderedPageBreak/>
        <w:t>3.2</w:t>
      </w:r>
      <w:r>
        <w:rPr>
          <w:rFonts w:cs="Arial"/>
        </w:rPr>
        <w:tab/>
        <w:t>Budgeted financial statements</w:t>
      </w:r>
    </w:p>
    <w:p w14:paraId="69D72AC7" w14:textId="77777777" w:rsidR="003F0EEA" w:rsidRPr="00463511" w:rsidRDefault="00FB7D0B" w:rsidP="003F0EEA">
      <w:pPr>
        <w:pStyle w:val="Heading416"/>
        <w:rPr>
          <w:rFonts w:ascii="Arial" w:hAnsi="Arial" w:cs="Arial"/>
          <w:sz w:val="22"/>
          <w:szCs w:val="22"/>
        </w:rPr>
      </w:pPr>
      <w:r w:rsidRPr="00463511">
        <w:rPr>
          <w:rFonts w:ascii="Arial" w:hAnsi="Arial" w:cs="Arial"/>
          <w:sz w:val="22"/>
          <w:szCs w:val="22"/>
        </w:rPr>
        <w:t>3.2.1</w:t>
      </w:r>
      <w:r w:rsidRPr="00463511">
        <w:rPr>
          <w:rFonts w:ascii="Arial" w:hAnsi="Arial" w:cs="Arial"/>
          <w:sz w:val="22"/>
          <w:szCs w:val="22"/>
        </w:rPr>
        <w:tab/>
        <w:t>Differences in Agency Resourcing and Financial Statements</w:t>
      </w:r>
    </w:p>
    <w:p w14:paraId="7E910701" w14:textId="77777777" w:rsidR="003F0EEA" w:rsidRDefault="00FB7D0B" w:rsidP="003F0EEA">
      <w:pPr>
        <w:pStyle w:val="Normal2300"/>
      </w:pPr>
      <w:r>
        <w:rPr>
          <w:lang w:val="en-GB"/>
        </w:rPr>
        <w:t>The Memorial reports no significant difference between agency resourcing and financial statements.</w:t>
      </w:r>
    </w:p>
    <w:p w14:paraId="1CC6B517" w14:textId="77777777" w:rsidR="003F0EEA" w:rsidRPr="00463511" w:rsidRDefault="00FB7D0B" w:rsidP="003F0EEA">
      <w:pPr>
        <w:pStyle w:val="Heading416"/>
        <w:rPr>
          <w:rFonts w:ascii="Arial" w:hAnsi="Arial" w:cs="Arial"/>
          <w:sz w:val="22"/>
          <w:szCs w:val="22"/>
        </w:rPr>
      </w:pPr>
      <w:r w:rsidRPr="00463511">
        <w:rPr>
          <w:rFonts w:ascii="Arial" w:hAnsi="Arial" w:cs="Arial"/>
          <w:sz w:val="22"/>
          <w:szCs w:val="22"/>
        </w:rPr>
        <w:t>3.2.2</w:t>
      </w:r>
      <w:r w:rsidRPr="00463511">
        <w:rPr>
          <w:rFonts w:ascii="Arial" w:hAnsi="Arial" w:cs="Arial"/>
          <w:sz w:val="22"/>
          <w:szCs w:val="22"/>
        </w:rPr>
        <w:tab/>
        <w:t>Analysis of Budgeted Financial Statements</w:t>
      </w:r>
    </w:p>
    <w:p w14:paraId="0E1DF36C" w14:textId="77777777" w:rsidR="003F0EEA" w:rsidRDefault="00FB7D0B" w:rsidP="003F0EEA">
      <w:pPr>
        <w:pStyle w:val="Normal2300"/>
        <w:rPr>
          <w:lang w:val="en-GB"/>
        </w:rPr>
      </w:pPr>
      <w:r>
        <w:rPr>
          <w:lang w:val="en-GB"/>
        </w:rPr>
        <w:t xml:space="preserve">The Memorial is forecasting a surplus in the Budget year of $0.2 million before heritage and cultural assets depreciation expense. </w:t>
      </w:r>
    </w:p>
    <w:p w14:paraId="2E103553" w14:textId="77777777" w:rsidR="003F0EEA" w:rsidRDefault="00FB7D0B" w:rsidP="003F0EEA">
      <w:pPr>
        <w:pStyle w:val="Normal2300"/>
        <w:rPr>
          <w:lang w:val="en-GB"/>
        </w:rPr>
      </w:pPr>
      <w:r>
        <w:rPr>
          <w:lang w:val="en-GB"/>
        </w:rPr>
        <w:t>A deficit of $10 million is forecast in the Budget year after the application of heritage and cultural assets depreciation, also reflected in forward year estimates.</w:t>
      </w:r>
    </w:p>
    <w:p w14:paraId="3EDA88BE" w14:textId="77777777" w:rsidR="003F0EEA" w:rsidRDefault="00FB7D0B" w:rsidP="003F0EEA">
      <w:pPr>
        <w:pStyle w:val="Normal2300"/>
        <w:rPr>
          <w:lang w:val="en-GB"/>
        </w:rPr>
      </w:pPr>
      <w:r>
        <w:rPr>
          <w:lang w:val="en-GB"/>
        </w:rPr>
        <w:t>The Collection Development and Acquisition Budget (CDAB) is treated as an equity injection, and funds both the on-going preservation of the Memorial’s collection, plus acquisition of heritage and cultural assets.</w:t>
      </w:r>
    </w:p>
    <w:p w14:paraId="60BCC7D3" w14:textId="77777777" w:rsidR="003F0EEA" w:rsidRDefault="00FB7D0B" w:rsidP="003F0EEA">
      <w:pPr>
        <w:pStyle w:val="Normal2300"/>
        <w:rPr>
          <w:lang w:val="en-GB"/>
        </w:rPr>
      </w:pPr>
      <w:r>
        <w:rPr>
          <w:lang w:val="en-GB"/>
        </w:rPr>
        <w:t xml:space="preserve">Total revenue in 2014–15 is estimated to be $59 million, with the increase from 2013–14 estimated revenue attributable to a movement of 2013-14 funding into 2014-15 for the </w:t>
      </w:r>
      <w:r>
        <w:t>development of the ANZAC Centenary Travelling Exhibition.</w:t>
      </w:r>
    </w:p>
    <w:p w14:paraId="454ACB95" w14:textId="77777777" w:rsidR="003F0EEA" w:rsidRDefault="00FB7D0B" w:rsidP="003F0EEA">
      <w:pPr>
        <w:pStyle w:val="Normal2300"/>
        <w:rPr>
          <w:lang w:val="en-GB"/>
        </w:rPr>
      </w:pPr>
      <w:r>
        <w:rPr>
          <w:lang w:val="en-GB"/>
        </w:rPr>
        <w:t>The total equity of $1.265 billion in 2014–15 is an increase of $2 million from the 2013</w:t>
      </w:r>
      <w:r>
        <w:rPr>
          <w:lang w:val="en-GB"/>
        </w:rPr>
        <w:noBreakHyphen/>
        <w:t>14 estimate, represented by an increase in equity injections to fund capital expenditure, offset by the operating deficit for the year.</w:t>
      </w:r>
    </w:p>
    <w:p w14:paraId="6170FC7A" w14:textId="77777777" w:rsidR="003F0EEA" w:rsidRDefault="00FB7D0B" w:rsidP="003F0EEA">
      <w:pPr>
        <w:pStyle w:val="Normal2300"/>
        <w:rPr>
          <w:lang w:val="en-GB"/>
        </w:rPr>
      </w:pPr>
      <w:r>
        <w:rPr>
          <w:lang w:val="en-GB"/>
        </w:rPr>
        <w:t xml:space="preserve"> The Memorial’s primary asset, the National Collection, is projected to remain relatively stable in value.</w:t>
      </w:r>
    </w:p>
    <w:p w14:paraId="4692BCFF" w14:textId="77777777" w:rsidR="003F0EEA" w:rsidRDefault="00FB7D0B" w:rsidP="003F0EEA">
      <w:pPr>
        <w:pStyle w:val="Normal2300"/>
        <w:rPr>
          <w:lang w:val="en-GB"/>
        </w:rPr>
      </w:pPr>
      <w:r>
        <w:rPr>
          <w:lang w:val="en-GB"/>
        </w:rPr>
        <w:t xml:space="preserve">Investments on hand represent accumulated capital reserves, plus carried forward independently sourced revenue, set aside for specific commitments, planned for future years. </w:t>
      </w:r>
    </w:p>
    <w:p w14:paraId="066952F7" w14:textId="77777777" w:rsidR="003F0EEA" w:rsidRPr="004B5330" w:rsidRDefault="00FB7D0B" w:rsidP="003F0EEA">
      <w:pPr>
        <w:pStyle w:val="NoSpacing2"/>
      </w:pPr>
      <w:r w:rsidRPr="004B5330">
        <w:rPr>
          <w:lang w:val="en-GB"/>
        </w:rPr>
        <w:t>The Memorial’s primary liability continues to be employee provisions which, during 2014–15, are projected to be $9.1 million, as a result of accruing leave entitlements.</w:t>
      </w:r>
    </w:p>
    <w:p w14:paraId="11A0766B" w14:textId="77777777" w:rsidR="003F0EEA" w:rsidRPr="004B5330" w:rsidRDefault="00FB7D0B">
      <w:pPr>
        <w:spacing w:line="14" w:lineRule="exact"/>
        <w:rPr>
          <w:rFonts w:eastAsia="Times New Roman" w:cs="Times New Roman"/>
        </w:rPr>
      </w:pPr>
      <w:r w:rsidRPr="004B5330">
        <w:rPr>
          <w:rFonts w:eastAsia="Times New Roman" w:cs="Times New Roman"/>
        </w:rPr>
        <w:br w:type="page"/>
      </w:r>
    </w:p>
    <w:p w14:paraId="53EBB28C" w14:textId="77777777" w:rsidR="003F0EEA" w:rsidRPr="009D1869" w:rsidRDefault="00FB7D0B" w:rsidP="003F0EEA">
      <w:pPr>
        <w:pStyle w:val="Heading417"/>
        <w:rPr>
          <w:rFonts w:ascii="Arial" w:hAnsi="Arial" w:cs="Arial"/>
          <w:sz w:val="22"/>
          <w:szCs w:val="22"/>
        </w:rPr>
      </w:pPr>
      <w:r>
        <w:rPr>
          <w:rFonts w:ascii="Arial" w:hAnsi="Arial" w:cs="Arial"/>
          <w:sz w:val="22"/>
          <w:szCs w:val="22"/>
        </w:rPr>
        <w:t>3.2.3</w:t>
      </w:r>
      <w:r>
        <w:rPr>
          <w:rFonts w:ascii="Arial" w:hAnsi="Arial" w:cs="Arial"/>
          <w:sz w:val="22"/>
          <w:szCs w:val="22"/>
        </w:rPr>
        <w:tab/>
        <w:t>Budgeted Financial Statements T</w:t>
      </w:r>
      <w:r w:rsidRPr="009D1869">
        <w:rPr>
          <w:rFonts w:ascii="Arial" w:hAnsi="Arial" w:cs="Arial"/>
          <w:sz w:val="22"/>
          <w:szCs w:val="22"/>
        </w:rPr>
        <w:t>ables</w:t>
      </w:r>
    </w:p>
    <w:p w14:paraId="142D903C" w14:textId="77777777" w:rsidR="003F0EEA" w:rsidRDefault="00FB7D0B" w:rsidP="003F0EEA">
      <w:pPr>
        <w:pStyle w:val="TableHeading27"/>
        <w:rPr>
          <w:snapToGrid w:val="0"/>
        </w:rPr>
      </w:pPr>
      <w:r>
        <w:t>Table 3.2.1 Comprehensive Income Statement (Showing Net Cost of Services)</w:t>
      </w:r>
      <w:r>
        <w:rPr>
          <w:snapToGrid w:val="0"/>
        </w:rPr>
        <w:br/>
        <w:t>for the period ended 30 June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0"/>
        <w:gridCol w:w="250"/>
        <w:gridCol w:w="2700"/>
        <w:gridCol w:w="990"/>
        <w:gridCol w:w="990"/>
        <w:gridCol w:w="990"/>
        <w:gridCol w:w="990"/>
        <w:gridCol w:w="990"/>
      </w:tblGrid>
      <w:tr w:rsidR="00724034" w14:paraId="25696153" w14:textId="77777777">
        <w:trPr>
          <w:trHeight w:val="225"/>
        </w:trPr>
        <w:tc>
          <w:tcPr>
            <w:tcW w:w="180"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33030C70" w14:textId="77777777" w:rsidR="003F0EEA" w:rsidRDefault="003F0EEA">
            <w:pPr>
              <w:rPr>
                <w:rFonts w:eastAsia="Times New Roman"/>
                <w:snapToGrid w:val="0"/>
              </w:rPr>
            </w:pPr>
          </w:p>
        </w:tc>
        <w:tc>
          <w:tcPr>
            <w:tcW w:w="180"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1700F8D6" w14:textId="77777777" w:rsidR="003F0EEA" w:rsidRDefault="003F0EEA">
            <w:pPr>
              <w:rPr>
                <w:rFonts w:ascii="Arial" w:eastAsia="Arial" w:hAnsi="Arial" w:cs="Arial"/>
                <w:snapToGrid w:val="0"/>
                <w:color w:val="000000"/>
                <w:sz w:val="16"/>
              </w:rPr>
            </w:pPr>
          </w:p>
        </w:tc>
        <w:tc>
          <w:tcPr>
            <w:tcW w:w="2700"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1B56DC8C" w14:textId="77777777" w:rsidR="003F0EEA" w:rsidRDefault="003F0EEA">
            <w:pPr>
              <w:rPr>
                <w:rFonts w:ascii="Arial" w:eastAsia="Arial" w:hAnsi="Arial" w:cs="Arial"/>
                <w:snapToGrid w:val="0"/>
                <w:color w:val="000000"/>
                <w:sz w:val="16"/>
              </w:rPr>
            </w:pPr>
          </w:p>
        </w:tc>
        <w:tc>
          <w:tcPr>
            <w:tcW w:w="990"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6E57A02D" w14:textId="77777777" w:rsidR="003F0EEA" w:rsidRDefault="00FB7D0B">
            <w:pPr>
              <w:jc w:val="right"/>
              <w:rPr>
                <w:rFonts w:ascii="Arial" w:eastAsia="Arial" w:hAnsi="Arial" w:cs="Arial"/>
                <w:snapToGrid w:val="0"/>
                <w:color w:val="000000"/>
                <w:sz w:val="16"/>
                <w:vertAlign w:val="superscript"/>
              </w:rPr>
            </w:pPr>
            <w:r>
              <w:rPr>
                <w:rFonts w:ascii="Arial" w:eastAsia="Arial" w:hAnsi="Arial" w:cs="Arial"/>
                <w:snapToGrid w:val="0"/>
                <w:color w:val="000000"/>
                <w:sz w:val="16"/>
              </w:rPr>
              <w:t>Estimated</w:t>
            </w:r>
          </w:p>
        </w:tc>
        <w:tc>
          <w:tcPr>
            <w:tcW w:w="990" w:type="dxa"/>
            <w:tcBorders>
              <w:top w:val="single" w:sz="6" w:space="0" w:color="000000"/>
              <w:left w:val="nil"/>
              <w:bottom w:val="nil"/>
              <w:right w:val="nil"/>
              <w:tl2br w:val="nil"/>
              <w:tr2bl w:val="nil"/>
            </w:tcBorders>
            <w:shd w:val="clear" w:color="auto" w:fill="C0C0C0"/>
            <w:tcMar>
              <w:left w:w="115" w:type="dxa"/>
              <w:right w:w="115" w:type="dxa"/>
            </w:tcMar>
            <w:vAlign w:val="bottom"/>
          </w:tcPr>
          <w:p w14:paraId="32A8DCD4" w14:textId="77777777" w:rsidR="003F0EEA" w:rsidRDefault="00FB7D0B">
            <w:pPr>
              <w:jc w:val="right"/>
              <w:rPr>
                <w:rFonts w:ascii="Arial" w:eastAsia="Arial" w:hAnsi="Arial" w:cs="Arial"/>
                <w:snapToGrid w:val="0"/>
                <w:color w:val="000000"/>
                <w:sz w:val="16"/>
              </w:rPr>
            </w:pPr>
            <w:r>
              <w:rPr>
                <w:rFonts w:ascii="Arial" w:eastAsia="Arial" w:hAnsi="Arial" w:cs="Arial"/>
                <w:snapToGrid w:val="0"/>
                <w:color w:val="000000"/>
                <w:sz w:val="16"/>
              </w:rPr>
              <w:t>Budget</w:t>
            </w:r>
          </w:p>
        </w:tc>
        <w:tc>
          <w:tcPr>
            <w:tcW w:w="990"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132C7BDF" w14:textId="77777777" w:rsidR="003F0EEA" w:rsidRDefault="00FB7D0B">
            <w:pPr>
              <w:jc w:val="right"/>
              <w:rPr>
                <w:rFonts w:ascii="Arial" w:eastAsia="Arial" w:hAnsi="Arial" w:cs="Arial"/>
                <w:snapToGrid w:val="0"/>
                <w:color w:val="000000"/>
                <w:sz w:val="16"/>
              </w:rPr>
            </w:pPr>
            <w:r>
              <w:rPr>
                <w:rFonts w:ascii="Arial" w:eastAsia="Arial" w:hAnsi="Arial" w:cs="Arial"/>
                <w:snapToGrid w:val="0"/>
                <w:color w:val="000000"/>
                <w:sz w:val="16"/>
              </w:rPr>
              <w:t>Forward</w:t>
            </w:r>
          </w:p>
        </w:tc>
        <w:tc>
          <w:tcPr>
            <w:tcW w:w="990"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2C98DF19" w14:textId="77777777" w:rsidR="003F0EEA" w:rsidRDefault="00FB7D0B">
            <w:pPr>
              <w:jc w:val="right"/>
              <w:rPr>
                <w:rFonts w:ascii="Arial" w:eastAsia="Arial" w:hAnsi="Arial" w:cs="Arial"/>
                <w:snapToGrid w:val="0"/>
                <w:color w:val="000000"/>
                <w:sz w:val="16"/>
              </w:rPr>
            </w:pPr>
            <w:r>
              <w:rPr>
                <w:rFonts w:ascii="Arial" w:eastAsia="Arial" w:hAnsi="Arial" w:cs="Arial"/>
                <w:snapToGrid w:val="0"/>
                <w:color w:val="000000"/>
                <w:sz w:val="16"/>
              </w:rPr>
              <w:t>Forward</w:t>
            </w:r>
          </w:p>
        </w:tc>
        <w:tc>
          <w:tcPr>
            <w:tcW w:w="990"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7FB387B0" w14:textId="77777777" w:rsidR="003F0EEA" w:rsidRDefault="00FB7D0B">
            <w:pPr>
              <w:jc w:val="right"/>
              <w:rPr>
                <w:rFonts w:ascii="Arial" w:eastAsia="Arial" w:hAnsi="Arial" w:cs="Arial"/>
                <w:snapToGrid w:val="0"/>
                <w:color w:val="000000"/>
                <w:sz w:val="16"/>
              </w:rPr>
            </w:pPr>
            <w:r>
              <w:rPr>
                <w:rFonts w:ascii="Arial" w:eastAsia="Arial" w:hAnsi="Arial" w:cs="Arial"/>
                <w:snapToGrid w:val="0"/>
                <w:color w:val="000000"/>
                <w:sz w:val="16"/>
              </w:rPr>
              <w:t>Forward</w:t>
            </w:r>
          </w:p>
        </w:tc>
      </w:tr>
      <w:tr w:rsidR="00724034" w14:paraId="2A4762FA" w14:textId="77777777">
        <w:trPr>
          <w:trHeight w:val="225"/>
        </w:trPr>
        <w:tc>
          <w:tcPr>
            <w:tcW w:w="180" w:type="dxa"/>
            <w:tcBorders>
              <w:top w:val="nil"/>
              <w:left w:val="nil"/>
              <w:bottom w:val="nil"/>
              <w:right w:val="nil"/>
              <w:tl2br w:val="nil"/>
              <w:tr2bl w:val="nil"/>
            </w:tcBorders>
            <w:shd w:val="clear" w:color="auto" w:fill="FFFFFF"/>
            <w:tcMar>
              <w:left w:w="115" w:type="dxa"/>
              <w:right w:w="115" w:type="dxa"/>
            </w:tcMar>
            <w:vAlign w:val="bottom"/>
          </w:tcPr>
          <w:p w14:paraId="56C786B1" w14:textId="77777777" w:rsidR="003F0EEA" w:rsidRDefault="003F0EEA">
            <w:pPr>
              <w:rPr>
                <w:rFonts w:ascii="Arial" w:eastAsia="Arial" w:hAnsi="Arial" w:cs="Arial"/>
                <w:snapToGrid w:val="0"/>
                <w:color w:val="000000"/>
                <w:sz w:val="16"/>
              </w:rPr>
            </w:pPr>
          </w:p>
        </w:tc>
        <w:tc>
          <w:tcPr>
            <w:tcW w:w="180" w:type="dxa"/>
            <w:tcBorders>
              <w:top w:val="nil"/>
              <w:left w:val="nil"/>
              <w:bottom w:val="nil"/>
              <w:right w:val="nil"/>
              <w:tl2br w:val="nil"/>
              <w:tr2bl w:val="nil"/>
            </w:tcBorders>
            <w:shd w:val="clear" w:color="auto" w:fill="FFFFFF"/>
            <w:tcMar>
              <w:left w:w="115" w:type="dxa"/>
              <w:right w:w="115" w:type="dxa"/>
            </w:tcMar>
            <w:vAlign w:val="bottom"/>
          </w:tcPr>
          <w:p w14:paraId="3F871077" w14:textId="77777777" w:rsidR="003F0EEA" w:rsidRDefault="003F0EEA">
            <w:pPr>
              <w:rPr>
                <w:rFonts w:ascii="Arial" w:eastAsia="Arial" w:hAnsi="Arial" w:cs="Arial"/>
                <w:snapToGrid w:val="0"/>
                <w:color w:val="000000"/>
                <w:sz w:val="16"/>
              </w:rPr>
            </w:pPr>
          </w:p>
        </w:tc>
        <w:tc>
          <w:tcPr>
            <w:tcW w:w="2700" w:type="dxa"/>
            <w:tcBorders>
              <w:top w:val="nil"/>
              <w:left w:val="nil"/>
              <w:bottom w:val="nil"/>
              <w:right w:val="nil"/>
              <w:tl2br w:val="nil"/>
              <w:tr2bl w:val="nil"/>
            </w:tcBorders>
            <w:shd w:val="clear" w:color="auto" w:fill="FFFFFF"/>
            <w:tcMar>
              <w:left w:w="115" w:type="dxa"/>
              <w:right w:w="115" w:type="dxa"/>
            </w:tcMar>
            <w:vAlign w:val="bottom"/>
          </w:tcPr>
          <w:p w14:paraId="3B8F68BE" w14:textId="77777777" w:rsidR="003F0EEA" w:rsidRDefault="003F0EEA">
            <w:pPr>
              <w:rPr>
                <w:rFonts w:ascii="Arial" w:eastAsia="Arial" w:hAnsi="Arial" w:cs="Arial"/>
                <w:snapToGrid w:val="0"/>
                <w:color w:val="000000"/>
                <w:sz w:val="16"/>
              </w:rPr>
            </w:pPr>
          </w:p>
        </w:tc>
        <w:tc>
          <w:tcPr>
            <w:tcW w:w="990" w:type="dxa"/>
            <w:tcBorders>
              <w:top w:val="nil"/>
              <w:left w:val="nil"/>
              <w:bottom w:val="nil"/>
              <w:right w:val="nil"/>
              <w:tl2br w:val="nil"/>
              <w:tr2bl w:val="nil"/>
            </w:tcBorders>
            <w:shd w:val="clear" w:color="auto" w:fill="FFFFFF"/>
            <w:tcMar>
              <w:left w:w="115" w:type="dxa"/>
              <w:right w:w="115" w:type="dxa"/>
            </w:tcMar>
            <w:vAlign w:val="bottom"/>
          </w:tcPr>
          <w:p w14:paraId="07B20DC1" w14:textId="77777777" w:rsidR="003F0EEA" w:rsidRDefault="00FB7D0B">
            <w:pPr>
              <w:jc w:val="right"/>
              <w:rPr>
                <w:rFonts w:ascii="Arial" w:eastAsia="Arial" w:hAnsi="Arial" w:cs="Arial"/>
                <w:snapToGrid w:val="0"/>
                <w:color w:val="000000"/>
                <w:sz w:val="16"/>
                <w:vertAlign w:val="superscript"/>
              </w:rPr>
            </w:pPr>
            <w:r>
              <w:rPr>
                <w:rFonts w:ascii="Arial" w:eastAsia="Arial" w:hAnsi="Arial" w:cs="Arial"/>
                <w:snapToGrid w:val="0"/>
                <w:color w:val="000000"/>
                <w:sz w:val="16"/>
              </w:rPr>
              <w:t>actual</w:t>
            </w:r>
          </w:p>
        </w:tc>
        <w:tc>
          <w:tcPr>
            <w:tcW w:w="990" w:type="dxa"/>
            <w:tcBorders>
              <w:top w:val="nil"/>
              <w:left w:val="nil"/>
              <w:bottom w:val="nil"/>
              <w:right w:val="nil"/>
              <w:tl2br w:val="nil"/>
              <w:tr2bl w:val="nil"/>
            </w:tcBorders>
            <w:shd w:val="clear" w:color="auto" w:fill="C0C0C0"/>
            <w:tcMar>
              <w:left w:w="115" w:type="dxa"/>
              <w:right w:w="115" w:type="dxa"/>
            </w:tcMar>
            <w:vAlign w:val="bottom"/>
          </w:tcPr>
          <w:p w14:paraId="54C65897" w14:textId="77777777" w:rsidR="003F0EEA" w:rsidRDefault="00FB7D0B">
            <w:pPr>
              <w:jc w:val="right"/>
              <w:rPr>
                <w:rFonts w:ascii="Arial" w:eastAsia="Arial" w:hAnsi="Arial" w:cs="Arial"/>
                <w:snapToGrid w:val="0"/>
                <w:color w:val="000000"/>
                <w:sz w:val="16"/>
              </w:rPr>
            </w:pPr>
            <w:r>
              <w:rPr>
                <w:rFonts w:ascii="Arial" w:eastAsia="Arial" w:hAnsi="Arial" w:cs="Arial"/>
                <w:snapToGrid w:val="0"/>
                <w:color w:val="000000"/>
                <w:sz w:val="16"/>
              </w:rPr>
              <w:t>estimate</w:t>
            </w:r>
          </w:p>
        </w:tc>
        <w:tc>
          <w:tcPr>
            <w:tcW w:w="990" w:type="dxa"/>
            <w:tcBorders>
              <w:top w:val="nil"/>
              <w:left w:val="nil"/>
              <w:bottom w:val="nil"/>
              <w:right w:val="nil"/>
              <w:tl2br w:val="nil"/>
              <w:tr2bl w:val="nil"/>
            </w:tcBorders>
            <w:shd w:val="clear" w:color="auto" w:fill="FFFFFF"/>
            <w:tcMar>
              <w:left w:w="115" w:type="dxa"/>
              <w:right w:w="115" w:type="dxa"/>
            </w:tcMar>
            <w:vAlign w:val="bottom"/>
          </w:tcPr>
          <w:p w14:paraId="58416A87" w14:textId="77777777" w:rsidR="003F0EEA" w:rsidRDefault="00FB7D0B">
            <w:pPr>
              <w:jc w:val="right"/>
              <w:rPr>
                <w:rFonts w:ascii="Arial" w:eastAsia="Arial" w:hAnsi="Arial" w:cs="Arial"/>
                <w:snapToGrid w:val="0"/>
                <w:color w:val="000000"/>
                <w:sz w:val="16"/>
              </w:rPr>
            </w:pPr>
            <w:r>
              <w:rPr>
                <w:rFonts w:ascii="Arial" w:eastAsia="Arial" w:hAnsi="Arial" w:cs="Arial"/>
                <w:snapToGrid w:val="0"/>
                <w:color w:val="000000"/>
                <w:sz w:val="16"/>
              </w:rPr>
              <w:t>estimate</w:t>
            </w:r>
          </w:p>
        </w:tc>
        <w:tc>
          <w:tcPr>
            <w:tcW w:w="990" w:type="dxa"/>
            <w:tcBorders>
              <w:top w:val="nil"/>
              <w:left w:val="nil"/>
              <w:bottom w:val="nil"/>
              <w:right w:val="nil"/>
              <w:tl2br w:val="nil"/>
              <w:tr2bl w:val="nil"/>
            </w:tcBorders>
            <w:shd w:val="clear" w:color="auto" w:fill="FFFFFF"/>
            <w:tcMar>
              <w:left w:w="115" w:type="dxa"/>
              <w:right w:w="115" w:type="dxa"/>
            </w:tcMar>
            <w:vAlign w:val="bottom"/>
          </w:tcPr>
          <w:p w14:paraId="60A0966E" w14:textId="77777777" w:rsidR="003F0EEA" w:rsidRDefault="00FB7D0B">
            <w:pPr>
              <w:jc w:val="right"/>
              <w:rPr>
                <w:rFonts w:ascii="Arial" w:eastAsia="Arial" w:hAnsi="Arial" w:cs="Arial"/>
                <w:snapToGrid w:val="0"/>
                <w:color w:val="000000"/>
                <w:sz w:val="16"/>
              </w:rPr>
            </w:pPr>
            <w:r>
              <w:rPr>
                <w:rFonts w:ascii="Arial" w:eastAsia="Arial" w:hAnsi="Arial" w:cs="Arial"/>
                <w:snapToGrid w:val="0"/>
                <w:color w:val="000000"/>
                <w:sz w:val="16"/>
              </w:rPr>
              <w:t>estimate</w:t>
            </w:r>
          </w:p>
        </w:tc>
        <w:tc>
          <w:tcPr>
            <w:tcW w:w="990" w:type="dxa"/>
            <w:tcBorders>
              <w:top w:val="nil"/>
              <w:left w:val="nil"/>
              <w:bottom w:val="nil"/>
              <w:right w:val="nil"/>
              <w:tl2br w:val="nil"/>
              <w:tr2bl w:val="nil"/>
            </w:tcBorders>
            <w:shd w:val="clear" w:color="auto" w:fill="FFFFFF"/>
            <w:tcMar>
              <w:left w:w="115" w:type="dxa"/>
              <w:right w:w="115" w:type="dxa"/>
            </w:tcMar>
            <w:vAlign w:val="bottom"/>
          </w:tcPr>
          <w:p w14:paraId="0BB7EE8E" w14:textId="77777777" w:rsidR="003F0EEA" w:rsidRDefault="00FB7D0B">
            <w:pPr>
              <w:jc w:val="right"/>
              <w:rPr>
                <w:rFonts w:ascii="Arial" w:eastAsia="Arial" w:hAnsi="Arial" w:cs="Arial"/>
                <w:snapToGrid w:val="0"/>
                <w:color w:val="000000"/>
                <w:sz w:val="16"/>
              </w:rPr>
            </w:pPr>
            <w:r>
              <w:rPr>
                <w:rFonts w:ascii="Arial" w:eastAsia="Arial" w:hAnsi="Arial" w:cs="Arial"/>
                <w:snapToGrid w:val="0"/>
                <w:color w:val="000000"/>
                <w:sz w:val="16"/>
              </w:rPr>
              <w:t>estimate</w:t>
            </w:r>
          </w:p>
        </w:tc>
      </w:tr>
      <w:tr w:rsidR="00724034" w14:paraId="270B975A" w14:textId="77777777">
        <w:trPr>
          <w:trHeight w:val="225"/>
        </w:trPr>
        <w:tc>
          <w:tcPr>
            <w:tcW w:w="180" w:type="dxa"/>
            <w:tcBorders>
              <w:top w:val="nil"/>
              <w:left w:val="nil"/>
              <w:bottom w:val="nil"/>
              <w:right w:val="nil"/>
              <w:tl2br w:val="nil"/>
              <w:tr2bl w:val="nil"/>
            </w:tcBorders>
            <w:shd w:val="clear" w:color="auto" w:fill="FFFFFF"/>
            <w:tcMar>
              <w:left w:w="115" w:type="dxa"/>
              <w:right w:w="115" w:type="dxa"/>
            </w:tcMar>
            <w:vAlign w:val="bottom"/>
          </w:tcPr>
          <w:p w14:paraId="0FACDCCD" w14:textId="77777777" w:rsidR="003F0EEA" w:rsidRDefault="003F0EEA">
            <w:pPr>
              <w:rPr>
                <w:rFonts w:ascii="Arial" w:eastAsia="Arial" w:hAnsi="Arial" w:cs="Arial"/>
                <w:snapToGrid w:val="0"/>
                <w:color w:val="000000"/>
                <w:sz w:val="16"/>
              </w:rPr>
            </w:pPr>
          </w:p>
        </w:tc>
        <w:tc>
          <w:tcPr>
            <w:tcW w:w="180" w:type="dxa"/>
            <w:tcBorders>
              <w:top w:val="nil"/>
              <w:left w:val="nil"/>
              <w:bottom w:val="nil"/>
              <w:right w:val="nil"/>
              <w:tl2br w:val="nil"/>
              <w:tr2bl w:val="nil"/>
            </w:tcBorders>
            <w:shd w:val="clear" w:color="auto" w:fill="FFFFFF"/>
            <w:tcMar>
              <w:left w:w="115" w:type="dxa"/>
              <w:right w:w="115" w:type="dxa"/>
            </w:tcMar>
            <w:vAlign w:val="bottom"/>
          </w:tcPr>
          <w:p w14:paraId="759F5EFD" w14:textId="77777777" w:rsidR="003F0EEA" w:rsidRDefault="003F0EEA">
            <w:pPr>
              <w:rPr>
                <w:rFonts w:ascii="Arial" w:eastAsia="Arial" w:hAnsi="Arial" w:cs="Arial"/>
                <w:snapToGrid w:val="0"/>
                <w:color w:val="000000"/>
                <w:sz w:val="16"/>
              </w:rPr>
            </w:pPr>
          </w:p>
        </w:tc>
        <w:tc>
          <w:tcPr>
            <w:tcW w:w="2700" w:type="dxa"/>
            <w:tcBorders>
              <w:top w:val="nil"/>
              <w:left w:val="nil"/>
              <w:bottom w:val="nil"/>
              <w:right w:val="nil"/>
              <w:tl2br w:val="nil"/>
              <w:tr2bl w:val="nil"/>
            </w:tcBorders>
            <w:shd w:val="clear" w:color="auto" w:fill="FFFFFF"/>
            <w:tcMar>
              <w:left w:w="115" w:type="dxa"/>
              <w:right w:w="115" w:type="dxa"/>
            </w:tcMar>
            <w:vAlign w:val="bottom"/>
          </w:tcPr>
          <w:p w14:paraId="7E0C0ACA" w14:textId="77777777" w:rsidR="003F0EEA" w:rsidRDefault="003F0EEA">
            <w:pPr>
              <w:rPr>
                <w:rFonts w:ascii="Arial" w:eastAsia="Arial" w:hAnsi="Arial" w:cs="Arial"/>
                <w:snapToGrid w:val="0"/>
                <w:color w:val="000000"/>
                <w:sz w:val="16"/>
              </w:rPr>
            </w:pPr>
          </w:p>
        </w:tc>
        <w:tc>
          <w:tcPr>
            <w:tcW w:w="990" w:type="dxa"/>
            <w:tcBorders>
              <w:top w:val="nil"/>
              <w:left w:val="nil"/>
              <w:bottom w:val="nil"/>
              <w:right w:val="nil"/>
              <w:tl2br w:val="nil"/>
              <w:tr2bl w:val="nil"/>
            </w:tcBorders>
            <w:shd w:val="clear" w:color="auto" w:fill="FFFFFF"/>
            <w:tcMar>
              <w:left w:w="115" w:type="dxa"/>
              <w:right w:w="115" w:type="dxa"/>
            </w:tcMar>
            <w:vAlign w:val="bottom"/>
          </w:tcPr>
          <w:p w14:paraId="2F06E364" w14:textId="77777777" w:rsidR="003F0EEA" w:rsidRDefault="00FB7D0B">
            <w:pPr>
              <w:jc w:val="right"/>
              <w:rPr>
                <w:rFonts w:ascii="Arial" w:eastAsia="Arial" w:hAnsi="Arial" w:cs="Arial"/>
                <w:snapToGrid w:val="0"/>
                <w:color w:val="000000"/>
                <w:sz w:val="16"/>
                <w:vertAlign w:val="superscript"/>
              </w:rPr>
            </w:pPr>
            <w:r>
              <w:rPr>
                <w:rFonts w:ascii="Arial" w:eastAsia="Arial" w:hAnsi="Arial" w:cs="Arial"/>
                <w:snapToGrid w:val="0"/>
                <w:color w:val="000000"/>
                <w:sz w:val="16"/>
              </w:rPr>
              <w:t>2013-14</w:t>
            </w:r>
          </w:p>
        </w:tc>
        <w:tc>
          <w:tcPr>
            <w:tcW w:w="990" w:type="dxa"/>
            <w:tcBorders>
              <w:top w:val="nil"/>
              <w:left w:val="nil"/>
              <w:bottom w:val="nil"/>
              <w:right w:val="nil"/>
              <w:tl2br w:val="nil"/>
              <w:tr2bl w:val="nil"/>
            </w:tcBorders>
            <w:shd w:val="clear" w:color="auto" w:fill="C0C0C0"/>
            <w:tcMar>
              <w:left w:w="115" w:type="dxa"/>
              <w:right w:w="115" w:type="dxa"/>
            </w:tcMar>
            <w:vAlign w:val="bottom"/>
          </w:tcPr>
          <w:p w14:paraId="364E3E7B" w14:textId="77777777" w:rsidR="003F0EEA" w:rsidRDefault="00FB7D0B">
            <w:pPr>
              <w:jc w:val="right"/>
              <w:rPr>
                <w:rFonts w:ascii="Arial" w:eastAsia="Arial" w:hAnsi="Arial" w:cs="Arial"/>
                <w:snapToGrid w:val="0"/>
                <w:color w:val="000000"/>
                <w:sz w:val="16"/>
              </w:rPr>
            </w:pPr>
            <w:r>
              <w:rPr>
                <w:rFonts w:ascii="Arial" w:eastAsia="Arial" w:hAnsi="Arial" w:cs="Arial"/>
                <w:snapToGrid w:val="0"/>
                <w:color w:val="000000"/>
                <w:sz w:val="16"/>
              </w:rPr>
              <w:t>2014-15</w:t>
            </w:r>
          </w:p>
        </w:tc>
        <w:tc>
          <w:tcPr>
            <w:tcW w:w="990" w:type="dxa"/>
            <w:tcBorders>
              <w:top w:val="nil"/>
              <w:left w:val="nil"/>
              <w:bottom w:val="nil"/>
              <w:right w:val="nil"/>
              <w:tl2br w:val="nil"/>
              <w:tr2bl w:val="nil"/>
            </w:tcBorders>
            <w:shd w:val="clear" w:color="auto" w:fill="FFFFFF"/>
            <w:tcMar>
              <w:left w:w="115" w:type="dxa"/>
              <w:right w:w="115" w:type="dxa"/>
            </w:tcMar>
            <w:vAlign w:val="bottom"/>
          </w:tcPr>
          <w:p w14:paraId="72BFD5A3" w14:textId="77777777" w:rsidR="003F0EEA" w:rsidRDefault="00FB7D0B">
            <w:pPr>
              <w:jc w:val="right"/>
              <w:rPr>
                <w:rFonts w:ascii="Arial" w:eastAsia="Arial" w:hAnsi="Arial" w:cs="Arial"/>
                <w:snapToGrid w:val="0"/>
                <w:color w:val="000000"/>
                <w:sz w:val="16"/>
              </w:rPr>
            </w:pPr>
            <w:r>
              <w:rPr>
                <w:rFonts w:ascii="Arial" w:eastAsia="Arial" w:hAnsi="Arial" w:cs="Arial"/>
                <w:snapToGrid w:val="0"/>
                <w:color w:val="000000"/>
                <w:sz w:val="16"/>
              </w:rPr>
              <w:t>2015-16</w:t>
            </w:r>
          </w:p>
        </w:tc>
        <w:tc>
          <w:tcPr>
            <w:tcW w:w="990" w:type="dxa"/>
            <w:tcBorders>
              <w:top w:val="nil"/>
              <w:left w:val="nil"/>
              <w:bottom w:val="nil"/>
              <w:right w:val="nil"/>
              <w:tl2br w:val="nil"/>
              <w:tr2bl w:val="nil"/>
            </w:tcBorders>
            <w:shd w:val="clear" w:color="auto" w:fill="FFFFFF"/>
            <w:tcMar>
              <w:left w:w="115" w:type="dxa"/>
              <w:right w:w="115" w:type="dxa"/>
            </w:tcMar>
            <w:vAlign w:val="bottom"/>
          </w:tcPr>
          <w:p w14:paraId="4473D011" w14:textId="77777777" w:rsidR="003F0EEA" w:rsidRDefault="00FB7D0B">
            <w:pPr>
              <w:jc w:val="right"/>
              <w:rPr>
                <w:rFonts w:ascii="Arial" w:eastAsia="Arial" w:hAnsi="Arial" w:cs="Arial"/>
                <w:snapToGrid w:val="0"/>
                <w:color w:val="000000"/>
                <w:sz w:val="16"/>
              </w:rPr>
            </w:pPr>
            <w:r>
              <w:rPr>
                <w:rFonts w:ascii="Arial" w:eastAsia="Arial" w:hAnsi="Arial" w:cs="Arial"/>
                <w:snapToGrid w:val="0"/>
                <w:color w:val="000000"/>
                <w:sz w:val="16"/>
              </w:rPr>
              <w:t>2016-17</w:t>
            </w:r>
          </w:p>
        </w:tc>
        <w:tc>
          <w:tcPr>
            <w:tcW w:w="990" w:type="dxa"/>
            <w:tcBorders>
              <w:top w:val="nil"/>
              <w:left w:val="nil"/>
              <w:bottom w:val="nil"/>
              <w:right w:val="nil"/>
              <w:tl2br w:val="nil"/>
              <w:tr2bl w:val="nil"/>
            </w:tcBorders>
            <w:shd w:val="clear" w:color="auto" w:fill="FFFFFF"/>
            <w:tcMar>
              <w:left w:w="115" w:type="dxa"/>
              <w:right w:w="115" w:type="dxa"/>
            </w:tcMar>
            <w:vAlign w:val="bottom"/>
          </w:tcPr>
          <w:p w14:paraId="2A01EDC6" w14:textId="77777777" w:rsidR="003F0EEA" w:rsidRDefault="00FB7D0B">
            <w:pPr>
              <w:jc w:val="right"/>
              <w:rPr>
                <w:rFonts w:ascii="Arial" w:eastAsia="Arial" w:hAnsi="Arial" w:cs="Arial"/>
                <w:snapToGrid w:val="0"/>
                <w:color w:val="000000"/>
                <w:sz w:val="16"/>
              </w:rPr>
            </w:pPr>
            <w:r>
              <w:rPr>
                <w:rFonts w:ascii="Arial" w:eastAsia="Arial" w:hAnsi="Arial" w:cs="Arial"/>
                <w:snapToGrid w:val="0"/>
                <w:color w:val="000000"/>
                <w:sz w:val="16"/>
              </w:rPr>
              <w:t>2017-18</w:t>
            </w:r>
          </w:p>
        </w:tc>
      </w:tr>
      <w:tr w:rsidR="00724034" w14:paraId="4016A761" w14:textId="77777777">
        <w:trPr>
          <w:trHeight w:val="225"/>
        </w:trPr>
        <w:tc>
          <w:tcPr>
            <w:tcW w:w="180" w:type="dxa"/>
            <w:tcBorders>
              <w:top w:val="nil"/>
              <w:left w:val="nil"/>
              <w:bottom w:val="nil"/>
              <w:right w:val="nil"/>
              <w:tl2br w:val="nil"/>
              <w:tr2bl w:val="nil"/>
            </w:tcBorders>
            <w:shd w:val="clear" w:color="auto" w:fill="FFFFFF"/>
            <w:tcMar>
              <w:left w:w="115" w:type="dxa"/>
              <w:right w:w="115" w:type="dxa"/>
            </w:tcMar>
            <w:vAlign w:val="bottom"/>
          </w:tcPr>
          <w:p w14:paraId="02BA2A0C" w14:textId="77777777" w:rsidR="003F0EEA" w:rsidRDefault="003F0EEA">
            <w:pPr>
              <w:rPr>
                <w:rFonts w:ascii="Arial" w:eastAsia="Arial" w:hAnsi="Arial" w:cs="Arial"/>
                <w:snapToGrid w:val="0"/>
                <w:color w:val="000000"/>
                <w:sz w:val="16"/>
              </w:rPr>
            </w:pPr>
          </w:p>
        </w:tc>
        <w:tc>
          <w:tcPr>
            <w:tcW w:w="180" w:type="dxa"/>
            <w:tcBorders>
              <w:top w:val="nil"/>
              <w:left w:val="nil"/>
              <w:bottom w:val="nil"/>
              <w:right w:val="nil"/>
              <w:tl2br w:val="nil"/>
              <w:tr2bl w:val="nil"/>
            </w:tcBorders>
            <w:shd w:val="clear" w:color="auto" w:fill="FFFFFF"/>
            <w:tcMar>
              <w:left w:w="115" w:type="dxa"/>
              <w:right w:w="115" w:type="dxa"/>
            </w:tcMar>
            <w:vAlign w:val="bottom"/>
          </w:tcPr>
          <w:p w14:paraId="3AEBB360" w14:textId="77777777" w:rsidR="003F0EEA" w:rsidRDefault="003F0EEA">
            <w:pPr>
              <w:rPr>
                <w:rFonts w:ascii="Arial" w:eastAsia="Arial" w:hAnsi="Arial" w:cs="Arial"/>
                <w:b/>
                <w:snapToGrid w:val="0"/>
                <w:color w:val="000000"/>
                <w:sz w:val="16"/>
              </w:rPr>
            </w:pPr>
          </w:p>
        </w:tc>
        <w:tc>
          <w:tcPr>
            <w:tcW w:w="2700" w:type="dxa"/>
            <w:tcBorders>
              <w:top w:val="nil"/>
              <w:left w:val="nil"/>
              <w:bottom w:val="nil"/>
              <w:right w:val="nil"/>
              <w:tl2br w:val="nil"/>
              <w:tr2bl w:val="nil"/>
            </w:tcBorders>
            <w:shd w:val="clear" w:color="auto" w:fill="FFFFFF"/>
            <w:tcMar>
              <w:left w:w="115" w:type="dxa"/>
              <w:right w:w="115" w:type="dxa"/>
            </w:tcMar>
            <w:vAlign w:val="bottom"/>
          </w:tcPr>
          <w:p w14:paraId="7F4D395F" w14:textId="77777777" w:rsidR="003F0EEA" w:rsidRDefault="003F0EEA">
            <w:pPr>
              <w:rPr>
                <w:rFonts w:ascii="Arial" w:eastAsia="Arial" w:hAnsi="Arial" w:cs="Arial"/>
                <w:b/>
                <w:snapToGrid w:val="0"/>
                <w:color w:val="000000"/>
                <w:sz w:val="16"/>
              </w:rPr>
            </w:pPr>
          </w:p>
        </w:tc>
        <w:tc>
          <w:tcPr>
            <w:tcW w:w="990"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509EFE00" w14:textId="77777777" w:rsidR="003F0EEA" w:rsidRDefault="00FB7D0B">
            <w:pPr>
              <w:jc w:val="right"/>
              <w:rPr>
                <w:rFonts w:ascii="Arial" w:eastAsia="Arial" w:hAnsi="Arial" w:cs="Arial"/>
                <w:b/>
                <w:snapToGrid w:val="0"/>
                <w:color w:val="000000"/>
                <w:sz w:val="16"/>
                <w:vertAlign w:val="superscript"/>
              </w:rPr>
            </w:pPr>
            <w:r>
              <w:rPr>
                <w:rFonts w:ascii="Arial" w:eastAsia="Arial" w:hAnsi="Arial" w:cs="Arial"/>
                <w:snapToGrid w:val="0"/>
                <w:color w:val="000000"/>
                <w:sz w:val="16"/>
              </w:rPr>
              <w:t>$'000</w:t>
            </w:r>
          </w:p>
        </w:tc>
        <w:tc>
          <w:tcPr>
            <w:tcW w:w="990" w:type="dxa"/>
            <w:tcBorders>
              <w:top w:val="nil"/>
              <w:left w:val="nil"/>
              <w:bottom w:val="single" w:sz="6" w:space="0" w:color="000000"/>
              <w:right w:val="nil"/>
              <w:tl2br w:val="nil"/>
              <w:tr2bl w:val="nil"/>
            </w:tcBorders>
            <w:shd w:val="clear" w:color="auto" w:fill="C0C0C0"/>
            <w:tcMar>
              <w:left w:w="115" w:type="dxa"/>
              <w:right w:w="115" w:type="dxa"/>
            </w:tcMar>
            <w:vAlign w:val="bottom"/>
          </w:tcPr>
          <w:p w14:paraId="7E833604" w14:textId="77777777" w:rsidR="003F0EEA" w:rsidRDefault="00FB7D0B">
            <w:pPr>
              <w:jc w:val="right"/>
              <w:rPr>
                <w:rFonts w:ascii="Arial" w:eastAsia="Arial" w:hAnsi="Arial" w:cs="Arial"/>
                <w:snapToGrid w:val="0"/>
                <w:color w:val="000000"/>
                <w:sz w:val="16"/>
              </w:rPr>
            </w:pPr>
            <w:r>
              <w:rPr>
                <w:rFonts w:ascii="Arial" w:eastAsia="Arial" w:hAnsi="Arial" w:cs="Arial"/>
                <w:snapToGrid w:val="0"/>
                <w:color w:val="000000"/>
                <w:sz w:val="16"/>
              </w:rPr>
              <w:t>$'000</w:t>
            </w:r>
          </w:p>
        </w:tc>
        <w:tc>
          <w:tcPr>
            <w:tcW w:w="990"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0ABC2680" w14:textId="77777777" w:rsidR="003F0EEA" w:rsidRDefault="00FB7D0B">
            <w:pPr>
              <w:jc w:val="right"/>
              <w:rPr>
                <w:rFonts w:ascii="Arial" w:eastAsia="Arial" w:hAnsi="Arial" w:cs="Arial"/>
                <w:snapToGrid w:val="0"/>
                <w:color w:val="000000"/>
                <w:sz w:val="16"/>
              </w:rPr>
            </w:pPr>
            <w:r>
              <w:rPr>
                <w:rFonts w:ascii="Arial" w:eastAsia="Arial" w:hAnsi="Arial" w:cs="Arial"/>
                <w:snapToGrid w:val="0"/>
                <w:color w:val="000000"/>
                <w:sz w:val="16"/>
              </w:rPr>
              <w:t>$'000</w:t>
            </w:r>
          </w:p>
        </w:tc>
        <w:tc>
          <w:tcPr>
            <w:tcW w:w="990"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6F1DB777" w14:textId="77777777" w:rsidR="003F0EEA" w:rsidRDefault="00FB7D0B">
            <w:pPr>
              <w:jc w:val="right"/>
              <w:rPr>
                <w:rFonts w:ascii="Arial" w:eastAsia="Arial" w:hAnsi="Arial" w:cs="Arial"/>
                <w:snapToGrid w:val="0"/>
                <w:color w:val="000000"/>
                <w:sz w:val="16"/>
              </w:rPr>
            </w:pPr>
            <w:r>
              <w:rPr>
                <w:rFonts w:ascii="Arial" w:eastAsia="Arial" w:hAnsi="Arial" w:cs="Arial"/>
                <w:snapToGrid w:val="0"/>
                <w:color w:val="000000"/>
                <w:sz w:val="16"/>
              </w:rPr>
              <w:t>$'000</w:t>
            </w:r>
          </w:p>
        </w:tc>
        <w:tc>
          <w:tcPr>
            <w:tcW w:w="990"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62144E8F" w14:textId="77777777" w:rsidR="003F0EEA" w:rsidRDefault="00FB7D0B">
            <w:pPr>
              <w:jc w:val="right"/>
              <w:rPr>
                <w:rFonts w:ascii="Arial" w:eastAsia="Arial" w:hAnsi="Arial" w:cs="Arial"/>
                <w:snapToGrid w:val="0"/>
                <w:color w:val="000000"/>
                <w:sz w:val="16"/>
              </w:rPr>
            </w:pPr>
            <w:r>
              <w:rPr>
                <w:rFonts w:ascii="Arial" w:eastAsia="Arial" w:hAnsi="Arial" w:cs="Arial"/>
                <w:snapToGrid w:val="0"/>
                <w:color w:val="000000"/>
                <w:sz w:val="16"/>
              </w:rPr>
              <w:t>$'000</w:t>
            </w:r>
          </w:p>
        </w:tc>
      </w:tr>
      <w:tr w:rsidR="00FB7D0B" w14:paraId="4B9C34E5" w14:textId="77777777" w:rsidTr="00FB7D0B">
        <w:trPr>
          <w:trHeight w:val="225"/>
        </w:trPr>
        <w:tc>
          <w:tcPr>
            <w:tcW w:w="3060" w:type="dxa"/>
            <w:gridSpan w:val="3"/>
            <w:tcBorders>
              <w:top w:val="nil"/>
              <w:left w:val="nil"/>
              <w:bottom w:val="nil"/>
              <w:right w:val="nil"/>
              <w:tl2br w:val="nil"/>
              <w:tr2bl w:val="nil"/>
            </w:tcBorders>
            <w:shd w:val="clear" w:color="auto" w:fill="FFFFFF"/>
            <w:tcMar>
              <w:left w:w="115" w:type="dxa"/>
              <w:right w:w="115" w:type="dxa"/>
            </w:tcMar>
            <w:vAlign w:val="bottom"/>
          </w:tcPr>
          <w:p w14:paraId="40200F80" w14:textId="77777777" w:rsidR="003F0EEA" w:rsidRDefault="00FB7D0B">
            <w:pPr>
              <w:rPr>
                <w:rFonts w:ascii="Arial" w:eastAsia="Arial" w:hAnsi="Arial" w:cs="Arial"/>
                <w:snapToGrid w:val="0"/>
                <w:color w:val="000000"/>
                <w:sz w:val="16"/>
              </w:rPr>
            </w:pPr>
            <w:r>
              <w:rPr>
                <w:rFonts w:ascii="Arial" w:eastAsia="Arial" w:hAnsi="Arial" w:cs="Arial"/>
                <w:b/>
                <w:snapToGrid w:val="0"/>
                <w:color w:val="000000"/>
                <w:sz w:val="16"/>
              </w:rPr>
              <w:t>EXPENSES</w:t>
            </w:r>
          </w:p>
        </w:tc>
        <w:tc>
          <w:tcPr>
            <w:tcW w:w="990"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28FF847B" w14:textId="77777777" w:rsidR="003F0EEA" w:rsidRDefault="003F0EEA">
            <w:pPr>
              <w:jc w:val="right"/>
              <w:rPr>
                <w:rFonts w:ascii="Arial" w:eastAsia="Arial" w:hAnsi="Arial" w:cs="Arial"/>
                <w:b/>
                <w:snapToGrid w:val="0"/>
                <w:color w:val="000000"/>
                <w:sz w:val="16"/>
                <w:vertAlign w:val="superscript"/>
              </w:rPr>
            </w:pPr>
          </w:p>
        </w:tc>
        <w:tc>
          <w:tcPr>
            <w:tcW w:w="990" w:type="dxa"/>
            <w:tcBorders>
              <w:top w:val="single" w:sz="6" w:space="0" w:color="000000"/>
              <w:left w:val="nil"/>
              <w:bottom w:val="nil"/>
              <w:right w:val="nil"/>
              <w:tl2br w:val="nil"/>
              <w:tr2bl w:val="nil"/>
            </w:tcBorders>
            <w:shd w:val="clear" w:color="auto" w:fill="C0C0C0"/>
            <w:tcMar>
              <w:left w:w="115" w:type="dxa"/>
              <w:right w:w="115" w:type="dxa"/>
            </w:tcMar>
            <w:vAlign w:val="bottom"/>
          </w:tcPr>
          <w:p w14:paraId="6D8A3A7F" w14:textId="77777777" w:rsidR="003F0EEA" w:rsidRDefault="003F0EEA">
            <w:pPr>
              <w:jc w:val="right"/>
              <w:rPr>
                <w:rFonts w:ascii="Arial" w:eastAsia="Arial" w:hAnsi="Arial" w:cs="Arial"/>
                <w:b/>
                <w:snapToGrid w:val="0"/>
                <w:color w:val="000000"/>
                <w:sz w:val="16"/>
                <w:vertAlign w:val="superscript"/>
              </w:rPr>
            </w:pPr>
          </w:p>
        </w:tc>
        <w:tc>
          <w:tcPr>
            <w:tcW w:w="990"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6AF315D7" w14:textId="77777777" w:rsidR="003F0EEA" w:rsidRDefault="003F0EEA">
            <w:pPr>
              <w:jc w:val="right"/>
              <w:rPr>
                <w:rFonts w:ascii="Arial" w:eastAsia="Arial" w:hAnsi="Arial" w:cs="Arial"/>
                <w:b/>
                <w:snapToGrid w:val="0"/>
                <w:color w:val="000000"/>
                <w:sz w:val="16"/>
                <w:vertAlign w:val="superscript"/>
              </w:rPr>
            </w:pPr>
          </w:p>
        </w:tc>
        <w:tc>
          <w:tcPr>
            <w:tcW w:w="990"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0A99D51E" w14:textId="77777777" w:rsidR="003F0EEA" w:rsidRDefault="003F0EEA">
            <w:pPr>
              <w:jc w:val="right"/>
              <w:rPr>
                <w:rFonts w:ascii="Arial" w:eastAsia="Arial" w:hAnsi="Arial" w:cs="Arial"/>
                <w:b/>
                <w:snapToGrid w:val="0"/>
                <w:color w:val="000000"/>
                <w:sz w:val="16"/>
                <w:vertAlign w:val="superscript"/>
              </w:rPr>
            </w:pPr>
          </w:p>
        </w:tc>
        <w:tc>
          <w:tcPr>
            <w:tcW w:w="990"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4A9184B0" w14:textId="77777777" w:rsidR="003F0EEA" w:rsidRDefault="003F0EEA">
            <w:pPr>
              <w:jc w:val="right"/>
              <w:rPr>
                <w:rFonts w:ascii="Arial" w:eastAsia="Arial" w:hAnsi="Arial" w:cs="Arial"/>
                <w:b/>
                <w:snapToGrid w:val="0"/>
                <w:color w:val="000000"/>
                <w:sz w:val="16"/>
                <w:vertAlign w:val="superscript"/>
              </w:rPr>
            </w:pPr>
          </w:p>
        </w:tc>
      </w:tr>
      <w:tr w:rsidR="00355BFE" w14:paraId="32B96886" w14:textId="77777777" w:rsidTr="00355BFE">
        <w:trPr>
          <w:trHeight w:val="225"/>
        </w:trPr>
        <w:tc>
          <w:tcPr>
            <w:tcW w:w="180" w:type="dxa"/>
            <w:tcBorders>
              <w:top w:val="nil"/>
              <w:left w:val="nil"/>
              <w:bottom w:val="nil"/>
              <w:right w:val="nil"/>
              <w:tl2br w:val="nil"/>
              <w:tr2bl w:val="nil"/>
            </w:tcBorders>
            <w:shd w:val="clear" w:color="auto" w:fill="FFFFFF"/>
            <w:tcMar>
              <w:left w:w="115" w:type="dxa"/>
              <w:right w:w="115" w:type="dxa"/>
            </w:tcMar>
            <w:vAlign w:val="bottom"/>
          </w:tcPr>
          <w:p w14:paraId="42A610AE" w14:textId="77777777" w:rsidR="003F0EEA" w:rsidRDefault="003F0EEA">
            <w:pPr>
              <w:rPr>
                <w:rFonts w:ascii="Arial" w:eastAsia="Arial" w:hAnsi="Arial" w:cs="Arial"/>
                <w:b/>
                <w:snapToGrid w:val="0"/>
                <w:color w:val="000000"/>
                <w:sz w:val="16"/>
                <w:vertAlign w:val="superscript"/>
              </w:rPr>
            </w:pPr>
          </w:p>
        </w:tc>
        <w:tc>
          <w:tcPr>
            <w:tcW w:w="2880" w:type="dxa"/>
            <w:gridSpan w:val="2"/>
            <w:vMerge w:val="restart"/>
            <w:tcBorders>
              <w:top w:val="nil"/>
              <w:left w:val="nil"/>
              <w:bottom w:val="nil"/>
              <w:right w:val="nil"/>
              <w:tl2br w:val="nil"/>
              <w:tr2bl w:val="nil"/>
            </w:tcBorders>
            <w:shd w:val="clear" w:color="auto" w:fill="FFFFFF"/>
            <w:tcMar>
              <w:left w:w="115" w:type="dxa"/>
              <w:right w:w="115" w:type="dxa"/>
            </w:tcMar>
            <w:vAlign w:val="bottom"/>
          </w:tcPr>
          <w:p w14:paraId="77DAB4BB" w14:textId="77777777" w:rsidR="003F0EEA" w:rsidRDefault="00FB7D0B">
            <w:pPr>
              <w:rPr>
                <w:rFonts w:ascii="Arial" w:eastAsia="Arial" w:hAnsi="Arial" w:cs="Arial"/>
                <w:snapToGrid w:val="0"/>
                <w:color w:val="000000"/>
                <w:sz w:val="16"/>
                <w:vertAlign w:val="superscript"/>
              </w:rPr>
            </w:pPr>
            <w:r>
              <w:rPr>
                <w:rFonts w:ascii="Arial" w:eastAsia="Arial" w:hAnsi="Arial" w:cs="Arial"/>
                <w:snapToGrid w:val="0"/>
                <w:color w:val="000000"/>
                <w:sz w:val="16"/>
              </w:rPr>
              <w:t>Employee benefits</w:t>
            </w:r>
          </w:p>
        </w:tc>
        <w:tc>
          <w:tcPr>
            <w:tcW w:w="990" w:type="dxa"/>
            <w:tcBorders>
              <w:top w:val="nil"/>
              <w:left w:val="nil"/>
              <w:bottom w:val="nil"/>
              <w:right w:val="nil"/>
              <w:tl2br w:val="nil"/>
              <w:tr2bl w:val="nil"/>
            </w:tcBorders>
            <w:shd w:val="clear" w:color="auto" w:fill="FFFFFF"/>
            <w:tcMar>
              <w:left w:w="115" w:type="dxa"/>
              <w:right w:w="115" w:type="dxa"/>
            </w:tcMar>
            <w:vAlign w:val="bottom"/>
          </w:tcPr>
          <w:p w14:paraId="1C545BC1" w14:textId="77777777" w:rsidR="003F0EEA" w:rsidRDefault="00FB7D0B">
            <w:pPr>
              <w:jc w:val="right"/>
              <w:rPr>
                <w:rFonts w:ascii="Arial" w:eastAsia="Arial" w:hAnsi="Arial" w:cs="Arial"/>
                <w:snapToGrid w:val="0"/>
                <w:color w:val="000000"/>
                <w:sz w:val="16"/>
                <w:vertAlign w:val="superscript"/>
              </w:rPr>
            </w:pPr>
            <w:r>
              <w:rPr>
                <w:rFonts w:ascii="Arial" w:eastAsia="Arial" w:hAnsi="Arial" w:cs="Arial"/>
                <w:snapToGrid w:val="0"/>
                <w:color w:val="000000"/>
                <w:sz w:val="16"/>
              </w:rPr>
              <w:t xml:space="preserve"> 25,448 </w:t>
            </w:r>
          </w:p>
        </w:tc>
        <w:tc>
          <w:tcPr>
            <w:tcW w:w="990" w:type="dxa"/>
            <w:tcBorders>
              <w:top w:val="nil"/>
              <w:left w:val="nil"/>
              <w:bottom w:val="nil"/>
              <w:right w:val="nil"/>
              <w:tl2br w:val="nil"/>
              <w:tr2bl w:val="nil"/>
            </w:tcBorders>
            <w:shd w:val="clear" w:color="auto" w:fill="C0C0C0"/>
            <w:tcMar>
              <w:left w:w="115" w:type="dxa"/>
              <w:right w:w="115" w:type="dxa"/>
            </w:tcMar>
            <w:vAlign w:val="bottom"/>
          </w:tcPr>
          <w:p w14:paraId="6B50AB4A" w14:textId="77777777" w:rsidR="003F0EEA" w:rsidRDefault="00FB7D0B">
            <w:pPr>
              <w:jc w:val="right"/>
              <w:rPr>
                <w:rFonts w:ascii="Arial" w:eastAsia="Arial" w:hAnsi="Arial" w:cs="Arial"/>
                <w:snapToGrid w:val="0"/>
                <w:color w:val="000000"/>
                <w:sz w:val="16"/>
              </w:rPr>
            </w:pPr>
            <w:r>
              <w:rPr>
                <w:rFonts w:ascii="Arial" w:eastAsia="Arial" w:hAnsi="Arial" w:cs="Arial"/>
                <w:snapToGrid w:val="0"/>
                <w:color w:val="000000"/>
                <w:sz w:val="16"/>
              </w:rPr>
              <w:t xml:space="preserve"> 25,898 </w:t>
            </w:r>
          </w:p>
        </w:tc>
        <w:tc>
          <w:tcPr>
            <w:tcW w:w="990" w:type="dxa"/>
            <w:tcBorders>
              <w:top w:val="nil"/>
              <w:left w:val="nil"/>
              <w:bottom w:val="nil"/>
              <w:right w:val="nil"/>
              <w:tl2br w:val="nil"/>
              <w:tr2bl w:val="nil"/>
            </w:tcBorders>
            <w:shd w:val="clear" w:color="auto" w:fill="FFFFFF"/>
            <w:tcMar>
              <w:left w:w="115" w:type="dxa"/>
              <w:right w:w="115" w:type="dxa"/>
            </w:tcMar>
            <w:vAlign w:val="bottom"/>
          </w:tcPr>
          <w:p w14:paraId="10C82E39" w14:textId="77777777" w:rsidR="003F0EEA" w:rsidRDefault="00FB7D0B">
            <w:pPr>
              <w:jc w:val="right"/>
              <w:rPr>
                <w:rFonts w:ascii="Arial" w:eastAsia="Arial" w:hAnsi="Arial" w:cs="Arial"/>
                <w:snapToGrid w:val="0"/>
                <w:color w:val="000000"/>
                <w:sz w:val="16"/>
              </w:rPr>
            </w:pPr>
            <w:r>
              <w:rPr>
                <w:rFonts w:ascii="Arial" w:eastAsia="Arial" w:hAnsi="Arial" w:cs="Arial"/>
                <w:snapToGrid w:val="0"/>
                <w:color w:val="000000"/>
                <w:sz w:val="16"/>
              </w:rPr>
              <w:t xml:space="preserve"> 24,861 </w:t>
            </w:r>
          </w:p>
        </w:tc>
        <w:tc>
          <w:tcPr>
            <w:tcW w:w="990" w:type="dxa"/>
            <w:tcBorders>
              <w:top w:val="nil"/>
              <w:left w:val="nil"/>
              <w:bottom w:val="nil"/>
              <w:right w:val="nil"/>
              <w:tl2br w:val="nil"/>
              <w:tr2bl w:val="nil"/>
            </w:tcBorders>
            <w:shd w:val="clear" w:color="auto" w:fill="FFFFFF"/>
            <w:tcMar>
              <w:left w:w="115" w:type="dxa"/>
              <w:right w:w="115" w:type="dxa"/>
            </w:tcMar>
            <w:vAlign w:val="bottom"/>
          </w:tcPr>
          <w:p w14:paraId="6AA1E964" w14:textId="77777777" w:rsidR="003F0EEA" w:rsidRDefault="00FB7D0B">
            <w:pPr>
              <w:jc w:val="right"/>
              <w:rPr>
                <w:rFonts w:ascii="Arial" w:eastAsia="Arial" w:hAnsi="Arial" w:cs="Arial"/>
                <w:snapToGrid w:val="0"/>
                <w:color w:val="000000"/>
                <w:sz w:val="16"/>
              </w:rPr>
            </w:pPr>
            <w:r>
              <w:rPr>
                <w:rFonts w:ascii="Arial" w:eastAsia="Arial" w:hAnsi="Arial" w:cs="Arial"/>
                <w:snapToGrid w:val="0"/>
                <w:color w:val="000000"/>
                <w:sz w:val="16"/>
              </w:rPr>
              <w:t xml:space="preserve"> 24,018 </w:t>
            </w:r>
          </w:p>
        </w:tc>
        <w:tc>
          <w:tcPr>
            <w:tcW w:w="990" w:type="dxa"/>
            <w:tcBorders>
              <w:top w:val="nil"/>
              <w:left w:val="nil"/>
              <w:bottom w:val="nil"/>
              <w:right w:val="nil"/>
              <w:tl2br w:val="nil"/>
              <w:tr2bl w:val="nil"/>
            </w:tcBorders>
            <w:shd w:val="clear" w:color="auto" w:fill="FFFFFF"/>
            <w:tcMar>
              <w:left w:w="115" w:type="dxa"/>
              <w:right w:w="115" w:type="dxa"/>
            </w:tcMar>
            <w:vAlign w:val="bottom"/>
          </w:tcPr>
          <w:p w14:paraId="6083935E" w14:textId="77777777" w:rsidR="003F0EEA" w:rsidRDefault="00FB7D0B">
            <w:pPr>
              <w:jc w:val="right"/>
              <w:rPr>
                <w:rFonts w:ascii="Arial" w:eastAsia="Arial" w:hAnsi="Arial" w:cs="Arial"/>
                <w:snapToGrid w:val="0"/>
                <w:color w:val="000000"/>
                <w:sz w:val="16"/>
              </w:rPr>
            </w:pPr>
            <w:r>
              <w:rPr>
                <w:rFonts w:ascii="Arial" w:eastAsia="Arial" w:hAnsi="Arial" w:cs="Arial"/>
                <w:snapToGrid w:val="0"/>
                <w:color w:val="000000"/>
                <w:sz w:val="16"/>
              </w:rPr>
              <w:t xml:space="preserve"> 24,129 </w:t>
            </w:r>
          </w:p>
        </w:tc>
      </w:tr>
      <w:tr w:rsidR="00355BFE" w14:paraId="5BE1DE19" w14:textId="77777777" w:rsidTr="00355BFE">
        <w:trPr>
          <w:trHeight w:val="225"/>
        </w:trPr>
        <w:tc>
          <w:tcPr>
            <w:tcW w:w="180" w:type="dxa"/>
            <w:tcBorders>
              <w:top w:val="nil"/>
              <w:left w:val="nil"/>
              <w:bottom w:val="nil"/>
              <w:right w:val="nil"/>
              <w:tl2br w:val="nil"/>
              <w:tr2bl w:val="nil"/>
            </w:tcBorders>
            <w:shd w:val="clear" w:color="auto" w:fill="FFFFFF"/>
            <w:tcMar>
              <w:left w:w="115" w:type="dxa"/>
              <w:right w:w="115" w:type="dxa"/>
            </w:tcMar>
            <w:vAlign w:val="bottom"/>
          </w:tcPr>
          <w:p w14:paraId="0DEB9B53" w14:textId="77777777" w:rsidR="003F0EEA" w:rsidRDefault="003F0EEA">
            <w:pPr>
              <w:rPr>
                <w:rFonts w:ascii="Arial" w:eastAsia="Arial" w:hAnsi="Arial" w:cs="Arial"/>
                <w:snapToGrid w:val="0"/>
                <w:color w:val="000000"/>
                <w:sz w:val="16"/>
              </w:rPr>
            </w:pPr>
          </w:p>
        </w:tc>
        <w:tc>
          <w:tcPr>
            <w:tcW w:w="2880" w:type="dxa"/>
            <w:gridSpan w:val="2"/>
            <w:vMerge w:val="restart"/>
            <w:tcBorders>
              <w:top w:val="nil"/>
              <w:left w:val="nil"/>
              <w:bottom w:val="nil"/>
              <w:right w:val="nil"/>
              <w:tl2br w:val="nil"/>
              <w:tr2bl w:val="nil"/>
            </w:tcBorders>
            <w:shd w:val="clear" w:color="auto" w:fill="FFFFFF"/>
            <w:tcMar>
              <w:left w:w="115" w:type="dxa"/>
              <w:right w:w="115" w:type="dxa"/>
            </w:tcMar>
            <w:vAlign w:val="bottom"/>
          </w:tcPr>
          <w:p w14:paraId="22B26CF0" w14:textId="77777777" w:rsidR="003F0EEA" w:rsidRDefault="00FB7D0B">
            <w:pPr>
              <w:rPr>
                <w:rFonts w:ascii="Arial" w:eastAsia="Arial" w:hAnsi="Arial" w:cs="Arial"/>
                <w:snapToGrid w:val="0"/>
                <w:color w:val="000000"/>
                <w:sz w:val="16"/>
              </w:rPr>
            </w:pPr>
            <w:r>
              <w:rPr>
                <w:rFonts w:ascii="Arial" w:eastAsia="Arial" w:hAnsi="Arial" w:cs="Arial"/>
                <w:snapToGrid w:val="0"/>
                <w:color w:val="000000"/>
                <w:sz w:val="16"/>
              </w:rPr>
              <w:t>Supplier expenses</w:t>
            </w:r>
          </w:p>
        </w:tc>
        <w:tc>
          <w:tcPr>
            <w:tcW w:w="990" w:type="dxa"/>
            <w:tcBorders>
              <w:top w:val="nil"/>
              <w:left w:val="nil"/>
              <w:bottom w:val="nil"/>
              <w:right w:val="nil"/>
              <w:tl2br w:val="nil"/>
              <w:tr2bl w:val="nil"/>
            </w:tcBorders>
            <w:shd w:val="clear" w:color="auto" w:fill="FFFFFF"/>
            <w:tcMar>
              <w:left w:w="115" w:type="dxa"/>
              <w:right w:w="115" w:type="dxa"/>
            </w:tcMar>
            <w:vAlign w:val="bottom"/>
          </w:tcPr>
          <w:p w14:paraId="3209E5FD" w14:textId="77777777" w:rsidR="003F0EEA" w:rsidRDefault="00FB7D0B">
            <w:pPr>
              <w:jc w:val="right"/>
              <w:rPr>
                <w:rFonts w:ascii="Arial" w:eastAsia="Arial" w:hAnsi="Arial" w:cs="Arial"/>
                <w:snapToGrid w:val="0"/>
                <w:color w:val="000000"/>
                <w:sz w:val="16"/>
                <w:vertAlign w:val="superscript"/>
              </w:rPr>
            </w:pPr>
            <w:r>
              <w:rPr>
                <w:rFonts w:ascii="Arial" w:eastAsia="Arial" w:hAnsi="Arial" w:cs="Arial"/>
                <w:snapToGrid w:val="0"/>
                <w:color w:val="000000"/>
                <w:sz w:val="16"/>
              </w:rPr>
              <w:t xml:space="preserve"> 16,460 </w:t>
            </w:r>
          </w:p>
        </w:tc>
        <w:tc>
          <w:tcPr>
            <w:tcW w:w="990" w:type="dxa"/>
            <w:tcBorders>
              <w:top w:val="nil"/>
              <w:left w:val="nil"/>
              <w:bottom w:val="nil"/>
              <w:right w:val="nil"/>
              <w:tl2br w:val="nil"/>
              <w:tr2bl w:val="nil"/>
            </w:tcBorders>
            <w:shd w:val="clear" w:color="auto" w:fill="C0C0C0"/>
            <w:tcMar>
              <w:left w:w="115" w:type="dxa"/>
              <w:right w:w="115" w:type="dxa"/>
            </w:tcMar>
            <w:vAlign w:val="bottom"/>
          </w:tcPr>
          <w:p w14:paraId="40C8FA98" w14:textId="77777777" w:rsidR="003F0EEA" w:rsidRDefault="00FB7D0B">
            <w:pPr>
              <w:jc w:val="right"/>
              <w:rPr>
                <w:rFonts w:ascii="Arial" w:eastAsia="Arial" w:hAnsi="Arial" w:cs="Arial"/>
                <w:snapToGrid w:val="0"/>
                <w:color w:val="000000"/>
                <w:sz w:val="16"/>
              </w:rPr>
            </w:pPr>
            <w:r>
              <w:rPr>
                <w:rFonts w:ascii="Arial" w:eastAsia="Arial" w:hAnsi="Arial" w:cs="Arial"/>
                <w:snapToGrid w:val="0"/>
                <w:color w:val="000000"/>
                <w:sz w:val="16"/>
              </w:rPr>
              <w:t xml:space="preserve"> 23,019 </w:t>
            </w:r>
          </w:p>
        </w:tc>
        <w:tc>
          <w:tcPr>
            <w:tcW w:w="990" w:type="dxa"/>
            <w:tcBorders>
              <w:top w:val="nil"/>
              <w:left w:val="nil"/>
              <w:bottom w:val="nil"/>
              <w:right w:val="nil"/>
              <w:tl2br w:val="nil"/>
              <w:tr2bl w:val="nil"/>
            </w:tcBorders>
            <w:shd w:val="clear" w:color="auto" w:fill="FFFFFF"/>
            <w:tcMar>
              <w:left w:w="115" w:type="dxa"/>
              <w:right w:w="115" w:type="dxa"/>
            </w:tcMar>
            <w:vAlign w:val="bottom"/>
          </w:tcPr>
          <w:p w14:paraId="79427155" w14:textId="77777777" w:rsidR="003F0EEA" w:rsidRDefault="00FB7D0B">
            <w:pPr>
              <w:jc w:val="right"/>
              <w:rPr>
                <w:rFonts w:ascii="Arial" w:eastAsia="Arial" w:hAnsi="Arial" w:cs="Arial"/>
                <w:snapToGrid w:val="0"/>
                <w:color w:val="000000"/>
                <w:sz w:val="16"/>
              </w:rPr>
            </w:pPr>
            <w:r>
              <w:rPr>
                <w:rFonts w:ascii="Arial" w:eastAsia="Arial" w:hAnsi="Arial" w:cs="Arial"/>
                <w:snapToGrid w:val="0"/>
                <w:color w:val="000000"/>
                <w:sz w:val="16"/>
              </w:rPr>
              <w:t xml:space="preserve"> 13,492 </w:t>
            </w:r>
          </w:p>
        </w:tc>
        <w:tc>
          <w:tcPr>
            <w:tcW w:w="990" w:type="dxa"/>
            <w:tcBorders>
              <w:top w:val="nil"/>
              <w:left w:val="nil"/>
              <w:bottom w:val="nil"/>
              <w:right w:val="nil"/>
              <w:tl2br w:val="nil"/>
              <w:tr2bl w:val="nil"/>
            </w:tcBorders>
            <w:shd w:val="clear" w:color="auto" w:fill="FFFFFF"/>
            <w:tcMar>
              <w:left w:w="115" w:type="dxa"/>
              <w:right w:w="115" w:type="dxa"/>
            </w:tcMar>
            <w:vAlign w:val="bottom"/>
          </w:tcPr>
          <w:p w14:paraId="0502BB19" w14:textId="77777777" w:rsidR="003F0EEA" w:rsidRDefault="00FB7D0B">
            <w:pPr>
              <w:jc w:val="right"/>
              <w:rPr>
                <w:rFonts w:ascii="Arial" w:eastAsia="Arial" w:hAnsi="Arial" w:cs="Arial"/>
                <w:snapToGrid w:val="0"/>
                <w:color w:val="000000"/>
                <w:sz w:val="16"/>
              </w:rPr>
            </w:pPr>
            <w:r>
              <w:rPr>
                <w:rFonts w:ascii="Arial" w:eastAsia="Arial" w:hAnsi="Arial" w:cs="Arial"/>
                <w:snapToGrid w:val="0"/>
                <w:color w:val="000000"/>
                <w:sz w:val="16"/>
              </w:rPr>
              <w:t xml:space="preserve"> 13,606 </w:t>
            </w:r>
          </w:p>
        </w:tc>
        <w:tc>
          <w:tcPr>
            <w:tcW w:w="990" w:type="dxa"/>
            <w:tcBorders>
              <w:top w:val="nil"/>
              <w:left w:val="nil"/>
              <w:bottom w:val="nil"/>
              <w:right w:val="nil"/>
              <w:tl2br w:val="nil"/>
              <w:tr2bl w:val="nil"/>
            </w:tcBorders>
            <w:shd w:val="clear" w:color="auto" w:fill="FFFFFF"/>
            <w:tcMar>
              <w:left w:w="115" w:type="dxa"/>
              <w:right w:w="115" w:type="dxa"/>
            </w:tcMar>
            <w:vAlign w:val="bottom"/>
          </w:tcPr>
          <w:p w14:paraId="54D0733D" w14:textId="77777777" w:rsidR="003F0EEA" w:rsidRDefault="00FB7D0B">
            <w:pPr>
              <w:jc w:val="right"/>
              <w:rPr>
                <w:rFonts w:ascii="Arial" w:eastAsia="Arial" w:hAnsi="Arial" w:cs="Arial"/>
                <w:snapToGrid w:val="0"/>
                <w:color w:val="000000"/>
                <w:sz w:val="16"/>
              </w:rPr>
            </w:pPr>
            <w:r>
              <w:rPr>
                <w:rFonts w:ascii="Arial" w:eastAsia="Arial" w:hAnsi="Arial" w:cs="Arial"/>
                <w:snapToGrid w:val="0"/>
                <w:color w:val="000000"/>
                <w:sz w:val="16"/>
              </w:rPr>
              <w:t xml:space="preserve"> 13,413 </w:t>
            </w:r>
          </w:p>
        </w:tc>
      </w:tr>
      <w:tr w:rsidR="00355BFE" w14:paraId="06B2A5FB" w14:textId="77777777" w:rsidTr="00355BFE">
        <w:trPr>
          <w:trHeight w:val="225"/>
        </w:trPr>
        <w:tc>
          <w:tcPr>
            <w:tcW w:w="180" w:type="dxa"/>
            <w:tcBorders>
              <w:top w:val="nil"/>
              <w:left w:val="nil"/>
              <w:bottom w:val="nil"/>
              <w:right w:val="nil"/>
              <w:tl2br w:val="nil"/>
              <w:tr2bl w:val="nil"/>
            </w:tcBorders>
            <w:shd w:val="clear" w:color="auto" w:fill="FFFFFF"/>
            <w:tcMar>
              <w:left w:w="115" w:type="dxa"/>
              <w:right w:w="115" w:type="dxa"/>
            </w:tcMar>
            <w:vAlign w:val="bottom"/>
          </w:tcPr>
          <w:p w14:paraId="0312575A" w14:textId="77777777" w:rsidR="003F0EEA" w:rsidRDefault="003F0EEA">
            <w:pPr>
              <w:rPr>
                <w:rFonts w:ascii="Arial" w:eastAsia="Arial" w:hAnsi="Arial" w:cs="Arial"/>
                <w:snapToGrid w:val="0"/>
                <w:color w:val="000000"/>
                <w:sz w:val="16"/>
              </w:rPr>
            </w:pPr>
          </w:p>
        </w:tc>
        <w:tc>
          <w:tcPr>
            <w:tcW w:w="2880" w:type="dxa"/>
            <w:gridSpan w:val="2"/>
            <w:tcBorders>
              <w:top w:val="nil"/>
              <w:left w:val="nil"/>
              <w:bottom w:val="nil"/>
              <w:right w:val="nil"/>
              <w:tl2br w:val="nil"/>
              <w:tr2bl w:val="nil"/>
            </w:tcBorders>
            <w:shd w:val="clear" w:color="auto" w:fill="FFFFFF"/>
            <w:tcMar>
              <w:left w:w="115" w:type="dxa"/>
              <w:right w:w="115" w:type="dxa"/>
            </w:tcMar>
            <w:vAlign w:val="bottom"/>
          </w:tcPr>
          <w:p w14:paraId="71ADCB3E" w14:textId="77777777" w:rsidR="003F0EEA" w:rsidRDefault="00FB7D0B">
            <w:pPr>
              <w:rPr>
                <w:rFonts w:ascii="Arial" w:eastAsia="Arial" w:hAnsi="Arial" w:cs="Arial"/>
                <w:snapToGrid w:val="0"/>
                <w:color w:val="000000"/>
                <w:sz w:val="16"/>
              </w:rPr>
            </w:pPr>
            <w:r>
              <w:rPr>
                <w:rFonts w:ascii="Arial" w:eastAsia="Arial" w:hAnsi="Arial" w:cs="Arial"/>
                <w:snapToGrid w:val="0"/>
                <w:color w:val="000000"/>
                <w:sz w:val="16"/>
              </w:rPr>
              <w:t>Depreciation and amortisation</w:t>
            </w:r>
            <w:r>
              <w:rPr>
                <w:rFonts w:ascii="Arial" w:eastAsia="Arial" w:hAnsi="Arial" w:cs="Arial"/>
                <w:snapToGrid w:val="0"/>
                <w:color w:val="000000"/>
                <w:sz w:val="16"/>
                <w:vertAlign w:val="superscript"/>
              </w:rPr>
              <w:t>1 </w:t>
            </w:r>
          </w:p>
        </w:tc>
        <w:tc>
          <w:tcPr>
            <w:tcW w:w="990"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335B0888" w14:textId="77777777" w:rsidR="003F0EEA" w:rsidRDefault="00FB7D0B">
            <w:pPr>
              <w:jc w:val="right"/>
              <w:rPr>
                <w:rFonts w:ascii="Arial" w:eastAsia="Arial" w:hAnsi="Arial" w:cs="Arial"/>
                <w:snapToGrid w:val="0"/>
                <w:color w:val="000000"/>
                <w:sz w:val="16"/>
                <w:vertAlign w:val="superscript"/>
              </w:rPr>
            </w:pPr>
            <w:r>
              <w:rPr>
                <w:rFonts w:ascii="Arial" w:eastAsia="Arial" w:hAnsi="Arial" w:cs="Arial"/>
                <w:snapToGrid w:val="0"/>
                <w:color w:val="000000"/>
                <w:sz w:val="16"/>
              </w:rPr>
              <w:t xml:space="preserve"> 19,564 </w:t>
            </w:r>
          </w:p>
        </w:tc>
        <w:tc>
          <w:tcPr>
            <w:tcW w:w="990" w:type="dxa"/>
            <w:tcBorders>
              <w:top w:val="nil"/>
              <w:left w:val="nil"/>
              <w:bottom w:val="single" w:sz="6" w:space="0" w:color="000000"/>
              <w:right w:val="nil"/>
              <w:tl2br w:val="nil"/>
              <w:tr2bl w:val="nil"/>
            </w:tcBorders>
            <w:shd w:val="clear" w:color="auto" w:fill="C0C0C0"/>
            <w:tcMar>
              <w:left w:w="115" w:type="dxa"/>
              <w:right w:w="115" w:type="dxa"/>
            </w:tcMar>
            <w:vAlign w:val="bottom"/>
          </w:tcPr>
          <w:p w14:paraId="46630F50" w14:textId="77777777" w:rsidR="003F0EEA" w:rsidRDefault="00FB7D0B">
            <w:pPr>
              <w:jc w:val="right"/>
              <w:rPr>
                <w:rFonts w:ascii="Arial" w:eastAsia="Arial" w:hAnsi="Arial" w:cs="Arial"/>
                <w:snapToGrid w:val="0"/>
                <w:color w:val="000000"/>
                <w:sz w:val="16"/>
              </w:rPr>
            </w:pPr>
            <w:r>
              <w:rPr>
                <w:rFonts w:ascii="Arial" w:eastAsia="Arial" w:hAnsi="Arial" w:cs="Arial"/>
                <w:snapToGrid w:val="0"/>
                <w:color w:val="000000"/>
                <w:sz w:val="16"/>
              </w:rPr>
              <w:t xml:space="preserve"> 20,580 </w:t>
            </w:r>
          </w:p>
        </w:tc>
        <w:tc>
          <w:tcPr>
            <w:tcW w:w="990"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614F5BF5" w14:textId="77777777" w:rsidR="003F0EEA" w:rsidRDefault="00FB7D0B">
            <w:pPr>
              <w:jc w:val="right"/>
              <w:rPr>
                <w:rFonts w:ascii="Arial" w:eastAsia="Arial" w:hAnsi="Arial" w:cs="Arial"/>
                <w:snapToGrid w:val="0"/>
                <w:color w:val="000000"/>
                <w:sz w:val="16"/>
              </w:rPr>
            </w:pPr>
            <w:r>
              <w:rPr>
                <w:rFonts w:ascii="Arial" w:eastAsia="Arial" w:hAnsi="Arial" w:cs="Arial"/>
                <w:snapToGrid w:val="0"/>
                <w:color w:val="000000"/>
                <w:sz w:val="16"/>
              </w:rPr>
              <w:t xml:space="preserve"> 20,960 </w:t>
            </w:r>
          </w:p>
        </w:tc>
        <w:tc>
          <w:tcPr>
            <w:tcW w:w="990"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3C87B56C" w14:textId="77777777" w:rsidR="003F0EEA" w:rsidRDefault="00FB7D0B">
            <w:pPr>
              <w:jc w:val="right"/>
              <w:rPr>
                <w:rFonts w:ascii="Arial" w:eastAsia="Arial" w:hAnsi="Arial" w:cs="Arial"/>
                <w:snapToGrid w:val="0"/>
                <w:color w:val="000000"/>
                <w:sz w:val="16"/>
              </w:rPr>
            </w:pPr>
            <w:r>
              <w:rPr>
                <w:rFonts w:ascii="Arial" w:eastAsia="Arial" w:hAnsi="Arial" w:cs="Arial"/>
                <w:snapToGrid w:val="0"/>
                <w:color w:val="000000"/>
                <w:sz w:val="16"/>
              </w:rPr>
              <w:t xml:space="preserve"> 20,714 </w:t>
            </w:r>
          </w:p>
        </w:tc>
        <w:tc>
          <w:tcPr>
            <w:tcW w:w="990"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3D47CDE5" w14:textId="77777777" w:rsidR="003F0EEA" w:rsidRDefault="00FB7D0B">
            <w:pPr>
              <w:jc w:val="right"/>
              <w:rPr>
                <w:rFonts w:ascii="Arial" w:eastAsia="Arial" w:hAnsi="Arial" w:cs="Arial"/>
                <w:snapToGrid w:val="0"/>
                <w:color w:val="000000"/>
                <w:sz w:val="16"/>
              </w:rPr>
            </w:pPr>
            <w:r>
              <w:rPr>
                <w:rFonts w:ascii="Arial" w:eastAsia="Arial" w:hAnsi="Arial" w:cs="Arial"/>
                <w:snapToGrid w:val="0"/>
                <w:color w:val="000000"/>
                <w:sz w:val="16"/>
              </w:rPr>
              <w:t xml:space="preserve"> 20,425 </w:t>
            </w:r>
          </w:p>
        </w:tc>
      </w:tr>
      <w:tr w:rsidR="00355BFE" w14:paraId="611413F4" w14:textId="77777777" w:rsidTr="00355BFE">
        <w:trPr>
          <w:trHeight w:val="225"/>
        </w:trPr>
        <w:tc>
          <w:tcPr>
            <w:tcW w:w="3060" w:type="dxa"/>
            <w:gridSpan w:val="3"/>
            <w:tcBorders>
              <w:top w:val="nil"/>
              <w:left w:val="nil"/>
              <w:bottom w:val="nil"/>
              <w:right w:val="nil"/>
              <w:tl2br w:val="nil"/>
              <w:tr2bl w:val="nil"/>
            </w:tcBorders>
            <w:shd w:val="clear" w:color="auto" w:fill="FFFFFF"/>
            <w:tcMar>
              <w:left w:w="115" w:type="dxa"/>
              <w:right w:w="115" w:type="dxa"/>
            </w:tcMar>
            <w:vAlign w:val="bottom"/>
          </w:tcPr>
          <w:p w14:paraId="0E965538" w14:textId="77777777" w:rsidR="003F0EEA" w:rsidRDefault="00FB7D0B">
            <w:pPr>
              <w:rPr>
                <w:rFonts w:ascii="Arial" w:eastAsia="Arial" w:hAnsi="Arial" w:cs="Arial"/>
                <w:snapToGrid w:val="0"/>
                <w:color w:val="000000"/>
                <w:sz w:val="16"/>
              </w:rPr>
            </w:pPr>
            <w:r>
              <w:rPr>
                <w:rFonts w:ascii="Arial" w:eastAsia="Arial" w:hAnsi="Arial" w:cs="Arial"/>
                <w:b/>
                <w:snapToGrid w:val="0"/>
                <w:color w:val="000000"/>
                <w:sz w:val="16"/>
              </w:rPr>
              <w:t>Total expenses</w:t>
            </w:r>
          </w:p>
        </w:tc>
        <w:tc>
          <w:tcPr>
            <w:tcW w:w="990" w:type="dxa"/>
            <w:tcBorders>
              <w:top w:val="single" w:sz="6" w:space="0" w:color="000000"/>
              <w:left w:val="nil"/>
              <w:bottom w:val="single" w:sz="6" w:space="0" w:color="000000"/>
              <w:right w:val="nil"/>
              <w:tl2br w:val="nil"/>
              <w:tr2bl w:val="nil"/>
            </w:tcBorders>
            <w:shd w:val="clear" w:color="auto" w:fill="FFFFFF"/>
            <w:tcMar>
              <w:left w:w="115" w:type="dxa"/>
              <w:right w:w="115" w:type="dxa"/>
            </w:tcMar>
            <w:vAlign w:val="bottom"/>
          </w:tcPr>
          <w:p w14:paraId="38500050" w14:textId="77777777" w:rsidR="003F0EEA" w:rsidRDefault="00FB7D0B">
            <w:pPr>
              <w:jc w:val="right"/>
              <w:rPr>
                <w:rFonts w:ascii="Arial" w:eastAsia="Arial" w:hAnsi="Arial" w:cs="Arial"/>
                <w:b/>
                <w:snapToGrid w:val="0"/>
                <w:color w:val="000000"/>
                <w:sz w:val="16"/>
                <w:vertAlign w:val="superscript"/>
              </w:rPr>
            </w:pPr>
            <w:r>
              <w:rPr>
                <w:rFonts w:ascii="Arial" w:eastAsia="Arial" w:hAnsi="Arial" w:cs="Arial"/>
                <w:b/>
                <w:snapToGrid w:val="0"/>
                <w:color w:val="000000"/>
                <w:sz w:val="16"/>
              </w:rPr>
              <w:t xml:space="preserve"> 61,472 </w:t>
            </w:r>
          </w:p>
        </w:tc>
        <w:tc>
          <w:tcPr>
            <w:tcW w:w="990" w:type="dxa"/>
            <w:tcBorders>
              <w:top w:val="single" w:sz="6" w:space="0" w:color="000000"/>
              <w:left w:val="nil"/>
              <w:bottom w:val="single" w:sz="6" w:space="0" w:color="000000"/>
              <w:right w:val="nil"/>
              <w:tl2br w:val="nil"/>
              <w:tr2bl w:val="nil"/>
            </w:tcBorders>
            <w:shd w:val="clear" w:color="auto" w:fill="C0C0C0"/>
            <w:tcMar>
              <w:left w:w="115" w:type="dxa"/>
              <w:right w:w="115" w:type="dxa"/>
            </w:tcMar>
            <w:vAlign w:val="bottom"/>
          </w:tcPr>
          <w:p w14:paraId="7028D507" w14:textId="77777777" w:rsidR="003F0EEA" w:rsidRDefault="00FB7D0B">
            <w:pPr>
              <w:jc w:val="right"/>
              <w:rPr>
                <w:rFonts w:ascii="Arial" w:eastAsia="Arial" w:hAnsi="Arial" w:cs="Arial"/>
                <w:b/>
                <w:snapToGrid w:val="0"/>
                <w:color w:val="000000"/>
                <w:sz w:val="16"/>
              </w:rPr>
            </w:pPr>
            <w:r>
              <w:rPr>
                <w:rFonts w:ascii="Arial" w:eastAsia="Arial" w:hAnsi="Arial" w:cs="Arial"/>
                <w:b/>
                <w:snapToGrid w:val="0"/>
                <w:color w:val="000000"/>
                <w:sz w:val="16"/>
              </w:rPr>
              <w:t xml:space="preserve"> 69,497 </w:t>
            </w:r>
          </w:p>
        </w:tc>
        <w:tc>
          <w:tcPr>
            <w:tcW w:w="990" w:type="dxa"/>
            <w:tcBorders>
              <w:top w:val="single" w:sz="6" w:space="0" w:color="000000"/>
              <w:left w:val="nil"/>
              <w:bottom w:val="single" w:sz="6" w:space="0" w:color="000000"/>
              <w:right w:val="nil"/>
              <w:tl2br w:val="nil"/>
              <w:tr2bl w:val="nil"/>
            </w:tcBorders>
            <w:shd w:val="clear" w:color="auto" w:fill="FFFFFF"/>
            <w:tcMar>
              <w:left w:w="115" w:type="dxa"/>
              <w:right w:w="115" w:type="dxa"/>
            </w:tcMar>
            <w:vAlign w:val="bottom"/>
          </w:tcPr>
          <w:p w14:paraId="698150D2" w14:textId="77777777" w:rsidR="003F0EEA" w:rsidRDefault="00FB7D0B">
            <w:pPr>
              <w:jc w:val="right"/>
              <w:rPr>
                <w:rFonts w:ascii="Arial" w:eastAsia="Arial" w:hAnsi="Arial" w:cs="Arial"/>
                <w:b/>
                <w:snapToGrid w:val="0"/>
                <w:color w:val="000000"/>
                <w:sz w:val="16"/>
              </w:rPr>
            </w:pPr>
            <w:r>
              <w:rPr>
                <w:rFonts w:ascii="Arial" w:eastAsia="Arial" w:hAnsi="Arial" w:cs="Arial"/>
                <w:b/>
                <w:snapToGrid w:val="0"/>
                <w:color w:val="000000"/>
                <w:sz w:val="16"/>
              </w:rPr>
              <w:t xml:space="preserve"> 59,313 </w:t>
            </w:r>
          </w:p>
        </w:tc>
        <w:tc>
          <w:tcPr>
            <w:tcW w:w="990" w:type="dxa"/>
            <w:tcBorders>
              <w:top w:val="single" w:sz="6" w:space="0" w:color="000000"/>
              <w:left w:val="nil"/>
              <w:bottom w:val="single" w:sz="6" w:space="0" w:color="000000"/>
              <w:right w:val="nil"/>
              <w:tl2br w:val="nil"/>
              <w:tr2bl w:val="nil"/>
            </w:tcBorders>
            <w:shd w:val="clear" w:color="auto" w:fill="FFFFFF"/>
            <w:tcMar>
              <w:left w:w="115" w:type="dxa"/>
              <w:right w:w="115" w:type="dxa"/>
            </w:tcMar>
            <w:vAlign w:val="bottom"/>
          </w:tcPr>
          <w:p w14:paraId="21067C0E" w14:textId="77777777" w:rsidR="003F0EEA" w:rsidRDefault="00FB7D0B">
            <w:pPr>
              <w:jc w:val="right"/>
              <w:rPr>
                <w:rFonts w:ascii="Arial" w:eastAsia="Arial" w:hAnsi="Arial" w:cs="Arial"/>
                <w:b/>
                <w:snapToGrid w:val="0"/>
                <w:color w:val="000000"/>
                <w:sz w:val="16"/>
              </w:rPr>
            </w:pPr>
            <w:r>
              <w:rPr>
                <w:rFonts w:ascii="Arial" w:eastAsia="Arial" w:hAnsi="Arial" w:cs="Arial"/>
                <w:b/>
                <w:snapToGrid w:val="0"/>
                <w:color w:val="000000"/>
                <w:sz w:val="16"/>
              </w:rPr>
              <w:t xml:space="preserve"> 58,338 </w:t>
            </w:r>
          </w:p>
        </w:tc>
        <w:tc>
          <w:tcPr>
            <w:tcW w:w="990" w:type="dxa"/>
            <w:tcBorders>
              <w:top w:val="single" w:sz="6" w:space="0" w:color="000000"/>
              <w:left w:val="nil"/>
              <w:bottom w:val="single" w:sz="6" w:space="0" w:color="000000"/>
              <w:right w:val="nil"/>
              <w:tl2br w:val="nil"/>
              <w:tr2bl w:val="nil"/>
            </w:tcBorders>
            <w:shd w:val="clear" w:color="auto" w:fill="FFFFFF"/>
            <w:tcMar>
              <w:left w:w="115" w:type="dxa"/>
              <w:right w:w="115" w:type="dxa"/>
            </w:tcMar>
            <w:vAlign w:val="bottom"/>
          </w:tcPr>
          <w:p w14:paraId="10D1F0EB" w14:textId="77777777" w:rsidR="003F0EEA" w:rsidRDefault="00FB7D0B">
            <w:pPr>
              <w:jc w:val="right"/>
              <w:rPr>
                <w:rFonts w:ascii="Arial" w:eastAsia="Arial" w:hAnsi="Arial" w:cs="Arial"/>
                <w:b/>
                <w:snapToGrid w:val="0"/>
                <w:color w:val="000000"/>
                <w:sz w:val="16"/>
              </w:rPr>
            </w:pPr>
            <w:r>
              <w:rPr>
                <w:rFonts w:ascii="Arial" w:eastAsia="Arial" w:hAnsi="Arial" w:cs="Arial"/>
                <w:b/>
                <w:snapToGrid w:val="0"/>
                <w:color w:val="000000"/>
                <w:sz w:val="16"/>
              </w:rPr>
              <w:t xml:space="preserve"> 57,967 </w:t>
            </w:r>
          </w:p>
        </w:tc>
      </w:tr>
      <w:tr w:rsidR="00724034" w14:paraId="3CF5CCE5" w14:textId="77777777">
        <w:trPr>
          <w:trHeight w:val="60"/>
        </w:trPr>
        <w:tc>
          <w:tcPr>
            <w:tcW w:w="180" w:type="dxa"/>
            <w:tcBorders>
              <w:top w:val="nil"/>
              <w:left w:val="nil"/>
              <w:bottom w:val="nil"/>
              <w:right w:val="nil"/>
              <w:tl2br w:val="nil"/>
              <w:tr2bl w:val="nil"/>
            </w:tcBorders>
            <w:shd w:val="clear" w:color="auto" w:fill="FFFFFF"/>
            <w:tcMar>
              <w:left w:w="115" w:type="dxa"/>
              <w:right w:w="115" w:type="dxa"/>
            </w:tcMar>
            <w:vAlign w:val="bottom"/>
          </w:tcPr>
          <w:p w14:paraId="5A4E5467" w14:textId="77777777" w:rsidR="003F0EEA" w:rsidRDefault="003F0EEA">
            <w:pPr>
              <w:rPr>
                <w:rFonts w:ascii="Arial" w:eastAsia="Arial" w:hAnsi="Arial" w:cs="Arial"/>
                <w:b/>
                <w:snapToGrid w:val="0"/>
                <w:color w:val="000000"/>
                <w:sz w:val="16"/>
              </w:rPr>
            </w:pPr>
          </w:p>
        </w:tc>
        <w:tc>
          <w:tcPr>
            <w:tcW w:w="180" w:type="dxa"/>
            <w:tcBorders>
              <w:top w:val="nil"/>
              <w:left w:val="nil"/>
              <w:bottom w:val="nil"/>
              <w:right w:val="nil"/>
              <w:tl2br w:val="nil"/>
              <w:tr2bl w:val="nil"/>
            </w:tcBorders>
            <w:shd w:val="clear" w:color="auto" w:fill="FFFFFF"/>
            <w:tcMar>
              <w:left w:w="115" w:type="dxa"/>
              <w:right w:w="115" w:type="dxa"/>
            </w:tcMar>
            <w:vAlign w:val="bottom"/>
          </w:tcPr>
          <w:p w14:paraId="0A08C851" w14:textId="77777777" w:rsidR="003F0EEA" w:rsidRDefault="003F0EEA">
            <w:pPr>
              <w:rPr>
                <w:rFonts w:ascii="Arial" w:eastAsia="Arial" w:hAnsi="Arial" w:cs="Arial"/>
                <w:b/>
                <w:snapToGrid w:val="0"/>
                <w:color w:val="000000"/>
                <w:sz w:val="16"/>
              </w:rPr>
            </w:pPr>
          </w:p>
        </w:tc>
        <w:tc>
          <w:tcPr>
            <w:tcW w:w="2700" w:type="dxa"/>
            <w:tcBorders>
              <w:top w:val="nil"/>
              <w:left w:val="nil"/>
              <w:bottom w:val="nil"/>
              <w:right w:val="nil"/>
              <w:tl2br w:val="nil"/>
              <w:tr2bl w:val="nil"/>
            </w:tcBorders>
            <w:shd w:val="clear" w:color="auto" w:fill="FFFFFF"/>
            <w:tcMar>
              <w:left w:w="115" w:type="dxa"/>
              <w:right w:w="115" w:type="dxa"/>
            </w:tcMar>
            <w:vAlign w:val="bottom"/>
          </w:tcPr>
          <w:p w14:paraId="0DF97730" w14:textId="77777777" w:rsidR="003F0EEA" w:rsidRDefault="003F0EEA">
            <w:pPr>
              <w:rPr>
                <w:rFonts w:ascii="Arial" w:eastAsia="Arial" w:hAnsi="Arial" w:cs="Arial"/>
                <w:b/>
                <w:snapToGrid w:val="0"/>
                <w:color w:val="000000"/>
                <w:sz w:val="16"/>
              </w:rPr>
            </w:pPr>
          </w:p>
        </w:tc>
        <w:tc>
          <w:tcPr>
            <w:tcW w:w="990"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365E22E9" w14:textId="77777777" w:rsidR="003F0EEA" w:rsidRDefault="003F0EEA">
            <w:pPr>
              <w:jc w:val="right"/>
              <w:rPr>
                <w:rFonts w:ascii="Arial" w:eastAsia="Arial" w:hAnsi="Arial" w:cs="Arial"/>
                <w:b/>
                <w:snapToGrid w:val="0"/>
                <w:color w:val="000000"/>
                <w:sz w:val="16"/>
                <w:vertAlign w:val="superscript"/>
              </w:rPr>
            </w:pPr>
          </w:p>
        </w:tc>
        <w:tc>
          <w:tcPr>
            <w:tcW w:w="990" w:type="dxa"/>
            <w:tcBorders>
              <w:top w:val="single" w:sz="6" w:space="0" w:color="000000"/>
              <w:left w:val="nil"/>
              <w:bottom w:val="nil"/>
              <w:right w:val="nil"/>
              <w:tl2br w:val="nil"/>
              <w:tr2bl w:val="nil"/>
            </w:tcBorders>
            <w:shd w:val="clear" w:color="auto" w:fill="C0C0C0"/>
            <w:tcMar>
              <w:left w:w="115" w:type="dxa"/>
              <w:right w:w="115" w:type="dxa"/>
            </w:tcMar>
            <w:vAlign w:val="bottom"/>
          </w:tcPr>
          <w:p w14:paraId="546E2081" w14:textId="77777777" w:rsidR="003F0EEA" w:rsidRDefault="003F0EEA">
            <w:pPr>
              <w:jc w:val="right"/>
              <w:rPr>
                <w:rFonts w:ascii="Arial" w:eastAsia="Arial" w:hAnsi="Arial" w:cs="Arial"/>
                <w:snapToGrid w:val="0"/>
                <w:color w:val="000000"/>
                <w:sz w:val="16"/>
                <w:vertAlign w:val="superscript"/>
              </w:rPr>
            </w:pPr>
          </w:p>
        </w:tc>
        <w:tc>
          <w:tcPr>
            <w:tcW w:w="990"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1FE1E93B" w14:textId="77777777" w:rsidR="003F0EEA" w:rsidRDefault="003F0EEA">
            <w:pPr>
              <w:jc w:val="right"/>
              <w:rPr>
                <w:rFonts w:ascii="Arial" w:eastAsia="Arial" w:hAnsi="Arial" w:cs="Arial"/>
                <w:b/>
                <w:snapToGrid w:val="0"/>
                <w:color w:val="000000"/>
                <w:sz w:val="16"/>
                <w:vertAlign w:val="superscript"/>
              </w:rPr>
            </w:pPr>
          </w:p>
        </w:tc>
        <w:tc>
          <w:tcPr>
            <w:tcW w:w="990"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38BD3348" w14:textId="77777777" w:rsidR="003F0EEA" w:rsidRDefault="003F0EEA">
            <w:pPr>
              <w:jc w:val="right"/>
              <w:rPr>
                <w:rFonts w:ascii="Arial" w:eastAsia="Arial" w:hAnsi="Arial" w:cs="Arial"/>
                <w:snapToGrid w:val="0"/>
                <w:color w:val="000000"/>
                <w:sz w:val="16"/>
                <w:vertAlign w:val="superscript"/>
              </w:rPr>
            </w:pPr>
          </w:p>
        </w:tc>
        <w:tc>
          <w:tcPr>
            <w:tcW w:w="990"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4D65297F" w14:textId="77777777" w:rsidR="003F0EEA" w:rsidRDefault="003F0EEA">
            <w:pPr>
              <w:jc w:val="right"/>
              <w:rPr>
                <w:rFonts w:ascii="Arial" w:eastAsia="Arial" w:hAnsi="Arial" w:cs="Arial"/>
                <w:snapToGrid w:val="0"/>
                <w:color w:val="000000"/>
                <w:sz w:val="16"/>
                <w:vertAlign w:val="superscript"/>
              </w:rPr>
            </w:pPr>
          </w:p>
        </w:tc>
      </w:tr>
      <w:tr w:rsidR="00355BFE" w14:paraId="635702D6" w14:textId="77777777" w:rsidTr="00355BFE">
        <w:trPr>
          <w:trHeight w:val="225"/>
        </w:trPr>
        <w:tc>
          <w:tcPr>
            <w:tcW w:w="3060" w:type="dxa"/>
            <w:gridSpan w:val="3"/>
            <w:vMerge w:val="restart"/>
            <w:tcBorders>
              <w:top w:val="nil"/>
              <w:left w:val="nil"/>
              <w:bottom w:val="nil"/>
              <w:right w:val="nil"/>
              <w:tl2br w:val="nil"/>
              <w:tr2bl w:val="nil"/>
            </w:tcBorders>
            <w:shd w:val="clear" w:color="auto" w:fill="FFFFFF"/>
            <w:tcMar>
              <w:left w:w="115" w:type="dxa"/>
              <w:right w:w="115" w:type="dxa"/>
            </w:tcMar>
            <w:vAlign w:val="bottom"/>
          </w:tcPr>
          <w:p w14:paraId="3CC24C47" w14:textId="77777777" w:rsidR="003F0EEA" w:rsidRDefault="00FB7D0B">
            <w:pPr>
              <w:rPr>
                <w:rFonts w:ascii="Arial" w:eastAsia="Arial" w:hAnsi="Arial" w:cs="Arial"/>
                <w:snapToGrid w:val="0"/>
                <w:color w:val="000000"/>
                <w:sz w:val="16"/>
                <w:vertAlign w:val="superscript"/>
              </w:rPr>
            </w:pPr>
            <w:r>
              <w:rPr>
                <w:rFonts w:ascii="Arial" w:eastAsia="Arial" w:hAnsi="Arial" w:cs="Arial"/>
                <w:b/>
                <w:snapToGrid w:val="0"/>
                <w:color w:val="000000"/>
                <w:sz w:val="16"/>
              </w:rPr>
              <w:t xml:space="preserve">LESS: </w:t>
            </w:r>
          </w:p>
        </w:tc>
        <w:tc>
          <w:tcPr>
            <w:tcW w:w="990" w:type="dxa"/>
            <w:tcBorders>
              <w:top w:val="nil"/>
              <w:left w:val="nil"/>
              <w:bottom w:val="nil"/>
              <w:right w:val="nil"/>
              <w:tl2br w:val="nil"/>
              <w:tr2bl w:val="nil"/>
            </w:tcBorders>
            <w:shd w:val="clear" w:color="auto" w:fill="FFFFFF"/>
            <w:tcMar>
              <w:left w:w="115" w:type="dxa"/>
              <w:right w:w="115" w:type="dxa"/>
            </w:tcMar>
            <w:vAlign w:val="bottom"/>
          </w:tcPr>
          <w:p w14:paraId="04F50687" w14:textId="77777777" w:rsidR="003F0EEA" w:rsidRDefault="003F0EEA">
            <w:pPr>
              <w:jc w:val="right"/>
              <w:rPr>
                <w:rFonts w:ascii="Arial" w:eastAsia="Arial" w:hAnsi="Arial" w:cs="Arial"/>
                <w:b/>
                <w:snapToGrid w:val="0"/>
                <w:color w:val="000000"/>
                <w:sz w:val="16"/>
                <w:vertAlign w:val="superscript"/>
              </w:rPr>
            </w:pPr>
          </w:p>
        </w:tc>
        <w:tc>
          <w:tcPr>
            <w:tcW w:w="990" w:type="dxa"/>
            <w:tcBorders>
              <w:top w:val="nil"/>
              <w:left w:val="nil"/>
              <w:bottom w:val="nil"/>
              <w:right w:val="nil"/>
              <w:tl2br w:val="nil"/>
              <w:tr2bl w:val="nil"/>
            </w:tcBorders>
            <w:shd w:val="clear" w:color="auto" w:fill="C0C0C0"/>
            <w:tcMar>
              <w:left w:w="115" w:type="dxa"/>
              <w:right w:w="115" w:type="dxa"/>
            </w:tcMar>
            <w:vAlign w:val="bottom"/>
          </w:tcPr>
          <w:p w14:paraId="47082E80" w14:textId="77777777" w:rsidR="003F0EEA" w:rsidRDefault="003F0EEA">
            <w:pPr>
              <w:jc w:val="right"/>
              <w:rPr>
                <w:rFonts w:ascii="Arial" w:eastAsia="Arial" w:hAnsi="Arial" w:cs="Arial"/>
                <w:snapToGrid w:val="0"/>
                <w:color w:val="000000"/>
                <w:sz w:val="16"/>
                <w:vertAlign w:val="superscript"/>
              </w:rPr>
            </w:pPr>
          </w:p>
        </w:tc>
        <w:tc>
          <w:tcPr>
            <w:tcW w:w="990" w:type="dxa"/>
            <w:tcBorders>
              <w:top w:val="nil"/>
              <w:left w:val="nil"/>
              <w:bottom w:val="nil"/>
              <w:right w:val="nil"/>
              <w:tl2br w:val="nil"/>
              <w:tr2bl w:val="nil"/>
            </w:tcBorders>
            <w:shd w:val="clear" w:color="auto" w:fill="FFFFFF"/>
            <w:tcMar>
              <w:left w:w="115" w:type="dxa"/>
              <w:right w:w="115" w:type="dxa"/>
            </w:tcMar>
            <w:vAlign w:val="bottom"/>
          </w:tcPr>
          <w:p w14:paraId="1FECCCF4" w14:textId="77777777" w:rsidR="003F0EEA" w:rsidRDefault="003F0EEA">
            <w:pPr>
              <w:jc w:val="right"/>
              <w:rPr>
                <w:rFonts w:ascii="Arial" w:eastAsia="Arial" w:hAnsi="Arial" w:cs="Arial"/>
                <w:b/>
                <w:snapToGrid w:val="0"/>
                <w:color w:val="000000"/>
                <w:sz w:val="16"/>
                <w:vertAlign w:val="superscript"/>
              </w:rPr>
            </w:pPr>
          </w:p>
        </w:tc>
        <w:tc>
          <w:tcPr>
            <w:tcW w:w="990" w:type="dxa"/>
            <w:tcBorders>
              <w:top w:val="nil"/>
              <w:left w:val="nil"/>
              <w:bottom w:val="nil"/>
              <w:right w:val="nil"/>
              <w:tl2br w:val="nil"/>
              <w:tr2bl w:val="nil"/>
            </w:tcBorders>
            <w:shd w:val="clear" w:color="auto" w:fill="FFFFFF"/>
            <w:tcMar>
              <w:left w:w="115" w:type="dxa"/>
              <w:right w:w="115" w:type="dxa"/>
            </w:tcMar>
            <w:vAlign w:val="bottom"/>
          </w:tcPr>
          <w:p w14:paraId="5A7F680F" w14:textId="77777777" w:rsidR="003F0EEA" w:rsidRDefault="003F0EEA">
            <w:pPr>
              <w:jc w:val="right"/>
              <w:rPr>
                <w:rFonts w:ascii="Arial" w:eastAsia="Arial" w:hAnsi="Arial" w:cs="Arial"/>
                <w:snapToGrid w:val="0"/>
                <w:color w:val="000000"/>
                <w:sz w:val="16"/>
                <w:vertAlign w:val="superscript"/>
              </w:rPr>
            </w:pPr>
          </w:p>
        </w:tc>
        <w:tc>
          <w:tcPr>
            <w:tcW w:w="990" w:type="dxa"/>
            <w:tcBorders>
              <w:top w:val="nil"/>
              <w:left w:val="nil"/>
              <w:bottom w:val="nil"/>
              <w:right w:val="nil"/>
              <w:tl2br w:val="nil"/>
              <w:tr2bl w:val="nil"/>
            </w:tcBorders>
            <w:shd w:val="clear" w:color="auto" w:fill="FFFFFF"/>
            <w:tcMar>
              <w:left w:w="115" w:type="dxa"/>
              <w:right w:w="115" w:type="dxa"/>
            </w:tcMar>
            <w:vAlign w:val="bottom"/>
          </w:tcPr>
          <w:p w14:paraId="64C7E2DC" w14:textId="77777777" w:rsidR="003F0EEA" w:rsidRDefault="003F0EEA">
            <w:pPr>
              <w:jc w:val="right"/>
              <w:rPr>
                <w:rFonts w:ascii="Arial" w:eastAsia="Arial" w:hAnsi="Arial" w:cs="Arial"/>
                <w:snapToGrid w:val="0"/>
                <w:color w:val="000000"/>
                <w:sz w:val="16"/>
                <w:vertAlign w:val="superscript"/>
              </w:rPr>
            </w:pPr>
          </w:p>
        </w:tc>
      </w:tr>
      <w:tr w:rsidR="00355BFE" w14:paraId="3E2EBDB8" w14:textId="77777777" w:rsidTr="00355BFE">
        <w:trPr>
          <w:trHeight w:val="225"/>
        </w:trPr>
        <w:tc>
          <w:tcPr>
            <w:tcW w:w="3060" w:type="dxa"/>
            <w:gridSpan w:val="3"/>
            <w:tcBorders>
              <w:top w:val="nil"/>
              <w:left w:val="nil"/>
              <w:bottom w:val="nil"/>
              <w:right w:val="nil"/>
              <w:tl2br w:val="nil"/>
              <w:tr2bl w:val="nil"/>
            </w:tcBorders>
            <w:shd w:val="clear" w:color="auto" w:fill="FFFFFF"/>
            <w:tcMar>
              <w:left w:w="115" w:type="dxa"/>
              <w:right w:w="115" w:type="dxa"/>
            </w:tcMar>
            <w:vAlign w:val="bottom"/>
          </w:tcPr>
          <w:p w14:paraId="1C14C1AF" w14:textId="77777777" w:rsidR="003F0EEA" w:rsidRDefault="00FB7D0B">
            <w:pPr>
              <w:rPr>
                <w:rFonts w:ascii="Arial" w:eastAsia="Arial" w:hAnsi="Arial" w:cs="Arial"/>
                <w:snapToGrid w:val="0"/>
                <w:color w:val="000000"/>
                <w:sz w:val="16"/>
                <w:vertAlign w:val="superscript"/>
              </w:rPr>
            </w:pPr>
            <w:r>
              <w:rPr>
                <w:rFonts w:ascii="Arial" w:eastAsia="Arial" w:hAnsi="Arial" w:cs="Arial"/>
                <w:b/>
                <w:snapToGrid w:val="0"/>
                <w:color w:val="000000"/>
                <w:sz w:val="16"/>
              </w:rPr>
              <w:t>OWN-SOURCE INCOME</w:t>
            </w:r>
          </w:p>
        </w:tc>
        <w:tc>
          <w:tcPr>
            <w:tcW w:w="990" w:type="dxa"/>
            <w:tcBorders>
              <w:top w:val="nil"/>
              <w:left w:val="nil"/>
              <w:bottom w:val="nil"/>
              <w:right w:val="nil"/>
              <w:tl2br w:val="nil"/>
              <w:tr2bl w:val="nil"/>
            </w:tcBorders>
            <w:shd w:val="clear" w:color="auto" w:fill="FFFFFF"/>
            <w:tcMar>
              <w:left w:w="115" w:type="dxa"/>
              <w:right w:w="115" w:type="dxa"/>
            </w:tcMar>
            <w:vAlign w:val="bottom"/>
          </w:tcPr>
          <w:p w14:paraId="6357064D" w14:textId="77777777" w:rsidR="003F0EEA" w:rsidRDefault="003F0EEA">
            <w:pPr>
              <w:jc w:val="right"/>
              <w:rPr>
                <w:rFonts w:ascii="Arial" w:eastAsia="Arial" w:hAnsi="Arial" w:cs="Arial"/>
                <w:b/>
                <w:snapToGrid w:val="0"/>
                <w:color w:val="000000"/>
                <w:sz w:val="16"/>
                <w:vertAlign w:val="superscript"/>
              </w:rPr>
            </w:pPr>
          </w:p>
        </w:tc>
        <w:tc>
          <w:tcPr>
            <w:tcW w:w="990" w:type="dxa"/>
            <w:tcBorders>
              <w:top w:val="nil"/>
              <w:left w:val="nil"/>
              <w:bottom w:val="nil"/>
              <w:right w:val="nil"/>
              <w:tl2br w:val="nil"/>
              <w:tr2bl w:val="nil"/>
            </w:tcBorders>
            <w:shd w:val="clear" w:color="auto" w:fill="C0C0C0"/>
            <w:tcMar>
              <w:left w:w="115" w:type="dxa"/>
              <w:right w:w="115" w:type="dxa"/>
            </w:tcMar>
            <w:vAlign w:val="bottom"/>
          </w:tcPr>
          <w:p w14:paraId="1C99ACDD" w14:textId="77777777" w:rsidR="003F0EEA" w:rsidRDefault="003F0EEA">
            <w:pPr>
              <w:jc w:val="right"/>
              <w:rPr>
                <w:rFonts w:ascii="Arial" w:eastAsia="Arial" w:hAnsi="Arial" w:cs="Arial"/>
                <w:snapToGrid w:val="0"/>
                <w:color w:val="000000"/>
                <w:sz w:val="16"/>
                <w:vertAlign w:val="superscript"/>
              </w:rPr>
            </w:pPr>
          </w:p>
        </w:tc>
        <w:tc>
          <w:tcPr>
            <w:tcW w:w="990" w:type="dxa"/>
            <w:tcBorders>
              <w:top w:val="nil"/>
              <w:left w:val="nil"/>
              <w:bottom w:val="nil"/>
              <w:right w:val="nil"/>
              <w:tl2br w:val="nil"/>
              <w:tr2bl w:val="nil"/>
            </w:tcBorders>
            <w:shd w:val="clear" w:color="auto" w:fill="FFFFFF"/>
            <w:tcMar>
              <w:left w:w="115" w:type="dxa"/>
              <w:right w:w="115" w:type="dxa"/>
            </w:tcMar>
            <w:vAlign w:val="bottom"/>
          </w:tcPr>
          <w:p w14:paraId="4E895B8C" w14:textId="77777777" w:rsidR="003F0EEA" w:rsidRDefault="003F0EEA">
            <w:pPr>
              <w:jc w:val="right"/>
              <w:rPr>
                <w:rFonts w:ascii="Arial" w:eastAsia="Arial" w:hAnsi="Arial" w:cs="Arial"/>
                <w:b/>
                <w:snapToGrid w:val="0"/>
                <w:color w:val="000000"/>
                <w:sz w:val="16"/>
                <w:vertAlign w:val="superscript"/>
              </w:rPr>
            </w:pPr>
          </w:p>
        </w:tc>
        <w:tc>
          <w:tcPr>
            <w:tcW w:w="990" w:type="dxa"/>
            <w:tcBorders>
              <w:top w:val="nil"/>
              <w:left w:val="nil"/>
              <w:bottom w:val="nil"/>
              <w:right w:val="nil"/>
              <w:tl2br w:val="nil"/>
              <w:tr2bl w:val="nil"/>
            </w:tcBorders>
            <w:shd w:val="clear" w:color="auto" w:fill="FFFFFF"/>
            <w:tcMar>
              <w:left w:w="115" w:type="dxa"/>
              <w:right w:w="115" w:type="dxa"/>
            </w:tcMar>
            <w:vAlign w:val="bottom"/>
          </w:tcPr>
          <w:p w14:paraId="0689EBB8" w14:textId="77777777" w:rsidR="003F0EEA" w:rsidRDefault="003F0EEA">
            <w:pPr>
              <w:jc w:val="right"/>
              <w:rPr>
                <w:rFonts w:ascii="Arial" w:eastAsia="Arial" w:hAnsi="Arial" w:cs="Arial"/>
                <w:snapToGrid w:val="0"/>
                <w:color w:val="000000"/>
                <w:sz w:val="16"/>
                <w:vertAlign w:val="superscript"/>
              </w:rPr>
            </w:pPr>
          </w:p>
        </w:tc>
        <w:tc>
          <w:tcPr>
            <w:tcW w:w="990" w:type="dxa"/>
            <w:tcBorders>
              <w:top w:val="nil"/>
              <w:left w:val="nil"/>
              <w:bottom w:val="nil"/>
              <w:right w:val="nil"/>
              <w:tl2br w:val="nil"/>
              <w:tr2bl w:val="nil"/>
            </w:tcBorders>
            <w:shd w:val="clear" w:color="auto" w:fill="FFFFFF"/>
            <w:tcMar>
              <w:left w:w="115" w:type="dxa"/>
              <w:right w:w="115" w:type="dxa"/>
            </w:tcMar>
            <w:vAlign w:val="bottom"/>
          </w:tcPr>
          <w:p w14:paraId="7424ADDC" w14:textId="77777777" w:rsidR="003F0EEA" w:rsidRDefault="003F0EEA">
            <w:pPr>
              <w:jc w:val="right"/>
              <w:rPr>
                <w:rFonts w:ascii="Arial" w:eastAsia="Arial" w:hAnsi="Arial" w:cs="Arial"/>
                <w:snapToGrid w:val="0"/>
                <w:color w:val="000000"/>
                <w:sz w:val="16"/>
                <w:vertAlign w:val="superscript"/>
              </w:rPr>
            </w:pPr>
          </w:p>
        </w:tc>
      </w:tr>
      <w:tr w:rsidR="00355BFE" w14:paraId="257441F3" w14:textId="77777777" w:rsidTr="00355BFE">
        <w:trPr>
          <w:trHeight w:val="225"/>
        </w:trPr>
        <w:tc>
          <w:tcPr>
            <w:tcW w:w="3060" w:type="dxa"/>
            <w:gridSpan w:val="3"/>
            <w:tcBorders>
              <w:top w:val="nil"/>
              <w:left w:val="nil"/>
              <w:bottom w:val="nil"/>
              <w:right w:val="nil"/>
              <w:tl2br w:val="nil"/>
              <w:tr2bl w:val="nil"/>
            </w:tcBorders>
            <w:shd w:val="clear" w:color="auto" w:fill="FFFFFF"/>
            <w:tcMar>
              <w:left w:w="115" w:type="dxa"/>
              <w:right w:w="115" w:type="dxa"/>
            </w:tcMar>
            <w:vAlign w:val="bottom"/>
          </w:tcPr>
          <w:p w14:paraId="22310BCB" w14:textId="77777777" w:rsidR="003F0EEA" w:rsidRDefault="00FB7D0B">
            <w:pPr>
              <w:rPr>
                <w:rFonts w:ascii="Arial" w:eastAsia="Arial" w:hAnsi="Arial" w:cs="Arial"/>
                <w:snapToGrid w:val="0"/>
                <w:color w:val="000000"/>
                <w:sz w:val="16"/>
                <w:vertAlign w:val="superscript"/>
              </w:rPr>
            </w:pPr>
            <w:r>
              <w:rPr>
                <w:rFonts w:ascii="Arial" w:eastAsia="Arial" w:hAnsi="Arial" w:cs="Arial"/>
                <w:b/>
                <w:snapToGrid w:val="0"/>
                <w:color w:val="000000"/>
                <w:sz w:val="16"/>
              </w:rPr>
              <w:t>Own-source revenue</w:t>
            </w:r>
          </w:p>
        </w:tc>
        <w:tc>
          <w:tcPr>
            <w:tcW w:w="990" w:type="dxa"/>
            <w:tcBorders>
              <w:top w:val="nil"/>
              <w:left w:val="nil"/>
              <w:bottom w:val="nil"/>
              <w:right w:val="nil"/>
              <w:tl2br w:val="nil"/>
              <w:tr2bl w:val="nil"/>
            </w:tcBorders>
            <w:shd w:val="clear" w:color="auto" w:fill="FFFFFF"/>
            <w:tcMar>
              <w:left w:w="115" w:type="dxa"/>
              <w:right w:w="115" w:type="dxa"/>
            </w:tcMar>
            <w:vAlign w:val="bottom"/>
          </w:tcPr>
          <w:p w14:paraId="4E9E3D51" w14:textId="77777777" w:rsidR="003F0EEA" w:rsidRDefault="003F0EEA">
            <w:pPr>
              <w:jc w:val="right"/>
              <w:rPr>
                <w:rFonts w:ascii="Arial" w:eastAsia="Arial" w:hAnsi="Arial" w:cs="Arial"/>
                <w:b/>
                <w:snapToGrid w:val="0"/>
                <w:color w:val="000000"/>
                <w:sz w:val="16"/>
                <w:vertAlign w:val="superscript"/>
              </w:rPr>
            </w:pPr>
          </w:p>
        </w:tc>
        <w:tc>
          <w:tcPr>
            <w:tcW w:w="990" w:type="dxa"/>
            <w:tcBorders>
              <w:top w:val="nil"/>
              <w:left w:val="nil"/>
              <w:bottom w:val="nil"/>
              <w:right w:val="nil"/>
              <w:tl2br w:val="nil"/>
              <w:tr2bl w:val="nil"/>
            </w:tcBorders>
            <w:shd w:val="clear" w:color="auto" w:fill="C0C0C0"/>
            <w:tcMar>
              <w:left w:w="115" w:type="dxa"/>
              <w:right w:w="115" w:type="dxa"/>
            </w:tcMar>
            <w:vAlign w:val="bottom"/>
          </w:tcPr>
          <w:p w14:paraId="27A32CB6" w14:textId="77777777" w:rsidR="003F0EEA" w:rsidRDefault="003F0EEA">
            <w:pPr>
              <w:jc w:val="right"/>
              <w:rPr>
                <w:rFonts w:ascii="Arial" w:eastAsia="Arial" w:hAnsi="Arial" w:cs="Arial"/>
                <w:snapToGrid w:val="0"/>
                <w:color w:val="000000"/>
                <w:sz w:val="16"/>
                <w:vertAlign w:val="superscript"/>
              </w:rPr>
            </w:pPr>
          </w:p>
        </w:tc>
        <w:tc>
          <w:tcPr>
            <w:tcW w:w="990" w:type="dxa"/>
            <w:tcBorders>
              <w:top w:val="nil"/>
              <w:left w:val="nil"/>
              <w:bottom w:val="nil"/>
              <w:right w:val="nil"/>
              <w:tl2br w:val="nil"/>
              <w:tr2bl w:val="nil"/>
            </w:tcBorders>
            <w:shd w:val="clear" w:color="auto" w:fill="FFFFFF"/>
            <w:tcMar>
              <w:left w:w="115" w:type="dxa"/>
              <w:right w:w="115" w:type="dxa"/>
            </w:tcMar>
            <w:vAlign w:val="bottom"/>
          </w:tcPr>
          <w:p w14:paraId="39F70541" w14:textId="77777777" w:rsidR="003F0EEA" w:rsidRDefault="003F0EEA">
            <w:pPr>
              <w:jc w:val="right"/>
              <w:rPr>
                <w:rFonts w:ascii="Arial" w:eastAsia="Arial" w:hAnsi="Arial" w:cs="Arial"/>
                <w:b/>
                <w:snapToGrid w:val="0"/>
                <w:color w:val="000000"/>
                <w:sz w:val="16"/>
                <w:vertAlign w:val="superscript"/>
              </w:rPr>
            </w:pPr>
          </w:p>
        </w:tc>
        <w:tc>
          <w:tcPr>
            <w:tcW w:w="990" w:type="dxa"/>
            <w:tcBorders>
              <w:top w:val="nil"/>
              <w:left w:val="nil"/>
              <w:bottom w:val="nil"/>
              <w:right w:val="nil"/>
              <w:tl2br w:val="nil"/>
              <w:tr2bl w:val="nil"/>
            </w:tcBorders>
            <w:shd w:val="clear" w:color="auto" w:fill="FFFFFF"/>
            <w:tcMar>
              <w:left w:w="115" w:type="dxa"/>
              <w:right w:w="115" w:type="dxa"/>
            </w:tcMar>
            <w:vAlign w:val="bottom"/>
          </w:tcPr>
          <w:p w14:paraId="54915EDC" w14:textId="77777777" w:rsidR="003F0EEA" w:rsidRDefault="003F0EEA">
            <w:pPr>
              <w:jc w:val="right"/>
              <w:rPr>
                <w:rFonts w:ascii="Arial" w:eastAsia="Arial" w:hAnsi="Arial" w:cs="Arial"/>
                <w:snapToGrid w:val="0"/>
                <w:color w:val="000000"/>
                <w:sz w:val="16"/>
                <w:vertAlign w:val="superscript"/>
              </w:rPr>
            </w:pPr>
          </w:p>
        </w:tc>
        <w:tc>
          <w:tcPr>
            <w:tcW w:w="990" w:type="dxa"/>
            <w:tcBorders>
              <w:top w:val="nil"/>
              <w:left w:val="nil"/>
              <w:bottom w:val="nil"/>
              <w:right w:val="nil"/>
              <w:tl2br w:val="nil"/>
              <w:tr2bl w:val="nil"/>
            </w:tcBorders>
            <w:shd w:val="clear" w:color="auto" w:fill="FFFFFF"/>
            <w:tcMar>
              <w:left w:w="115" w:type="dxa"/>
              <w:right w:w="115" w:type="dxa"/>
            </w:tcMar>
            <w:vAlign w:val="bottom"/>
          </w:tcPr>
          <w:p w14:paraId="67F10C5D" w14:textId="77777777" w:rsidR="003F0EEA" w:rsidRDefault="003F0EEA">
            <w:pPr>
              <w:jc w:val="right"/>
              <w:rPr>
                <w:rFonts w:ascii="Arial" w:eastAsia="Arial" w:hAnsi="Arial" w:cs="Arial"/>
                <w:snapToGrid w:val="0"/>
                <w:color w:val="000000"/>
                <w:sz w:val="16"/>
                <w:vertAlign w:val="superscript"/>
              </w:rPr>
            </w:pPr>
          </w:p>
        </w:tc>
      </w:tr>
      <w:tr w:rsidR="00355BFE" w14:paraId="3207009C" w14:textId="77777777" w:rsidTr="00355BFE">
        <w:trPr>
          <w:trHeight w:val="225"/>
        </w:trPr>
        <w:tc>
          <w:tcPr>
            <w:tcW w:w="180" w:type="dxa"/>
            <w:tcBorders>
              <w:top w:val="nil"/>
              <w:left w:val="nil"/>
              <w:bottom w:val="nil"/>
              <w:right w:val="nil"/>
              <w:tl2br w:val="nil"/>
              <w:tr2bl w:val="nil"/>
            </w:tcBorders>
            <w:shd w:val="clear" w:color="auto" w:fill="FFFFFF"/>
            <w:tcMar>
              <w:left w:w="115" w:type="dxa"/>
              <w:right w:w="115" w:type="dxa"/>
            </w:tcMar>
            <w:vAlign w:val="bottom"/>
          </w:tcPr>
          <w:p w14:paraId="7812CBE9" w14:textId="77777777" w:rsidR="003F0EEA" w:rsidRDefault="003F0EEA">
            <w:pPr>
              <w:rPr>
                <w:rFonts w:ascii="Arial" w:eastAsia="Arial" w:hAnsi="Arial" w:cs="Arial"/>
                <w:snapToGrid w:val="0"/>
                <w:color w:val="000000"/>
                <w:sz w:val="16"/>
                <w:vertAlign w:val="superscript"/>
              </w:rPr>
            </w:pPr>
          </w:p>
        </w:tc>
        <w:tc>
          <w:tcPr>
            <w:tcW w:w="2880" w:type="dxa"/>
            <w:gridSpan w:val="2"/>
            <w:vMerge w:val="restart"/>
            <w:tcBorders>
              <w:top w:val="nil"/>
              <w:left w:val="nil"/>
              <w:bottom w:val="nil"/>
              <w:right w:val="nil"/>
              <w:tl2br w:val="nil"/>
              <w:tr2bl w:val="nil"/>
            </w:tcBorders>
            <w:shd w:val="clear" w:color="auto" w:fill="FFFFFF"/>
            <w:tcMar>
              <w:left w:w="115" w:type="dxa"/>
              <w:right w:w="115" w:type="dxa"/>
            </w:tcMar>
            <w:vAlign w:val="bottom"/>
          </w:tcPr>
          <w:p w14:paraId="0425922C" w14:textId="77777777" w:rsidR="003F0EEA" w:rsidRDefault="00FB7D0B">
            <w:pPr>
              <w:rPr>
                <w:rFonts w:ascii="Arial" w:eastAsia="Arial" w:hAnsi="Arial" w:cs="Arial"/>
                <w:snapToGrid w:val="0"/>
                <w:color w:val="000000"/>
                <w:sz w:val="16"/>
                <w:vertAlign w:val="superscript"/>
              </w:rPr>
            </w:pPr>
            <w:r>
              <w:rPr>
                <w:rFonts w:ascii="Arial" w:eastAsia="Arial" w:hAnsi="Arial" w:cs="Arial"/>
                <w:snapToGrid w:val="0"/>
                <w:color w:val="000000"/>
                <w:sz w:val="16"/>
              </w:rPr>
              <w:t>Sale of goods and rendering of services</w:t>
            </w:r>
          </w:p>
        </w:tc>
        <w:tc>
          <w:tcPr>
            <w:tcW w:w="990" w:type="dxa"/>
            <w:tcBorders>
              <w:top w:val="nil"/>
              <w:left w:val="nil"/>
              <w:bottom w:val="nil"/>
              <w:right w:val="nil"/>
              <w:tl2br w:val="nil"/>
              <w:tr2bl w:val="nil"/>
            </w:tcBorders>
            <w:shd w:val="clear" w:color="auto" w:fill="FFFFFF"/>
            <w:tcMar>
              <w:left w:w="115" w:type="dxa"/>
              <w:right w:w="115" w:type="dxa"/>
            </w:tcMar>
            <w:vAlign w:val="bottom"/>
          </w:tcPr>
          <w:p w14:paraId="30656472" w14:textId="77777777" w:rsidR="003F0EEA" w:rsidRDefault="00FB7D0B">
            <w:pPr>
              <w:jc w:val="right"/>
              <w:rPr>
                <w:rFonts w:ascii="Arial" w:eastAsia="Arial" w:hAnsi="Arial" w:cs="Arial"/>
                <w:snapToGrid w:val="0"/>
                <w:color w:val="000000"/>
                <w:sz w:val="16"/>
                <w:vertAlign w:val="superscript"/>
              </w:rPr>
            </w:pPr>
            <w:r>
              <w:rPr>
                <w:rFonts w:ascii="Arial" w:eastAsia="Arial" w:hAnsi="Arial" w:cs="Arial"/>
                <w:snapToGrid w:val="0"/>
                <w:color w:val="000000"/>
                <w:sz w:val="16"/>
              </w:rPr>
              <w:t xml:space="preserve"> 3,255 </w:t>
            </w:r>
          </w:p>
        </w:tc>
        <w:tc>
          <w:tcPr>
            <w:tcW w:w="990" w:type="dxa"/>
            <w:tcBorders>
              <w:top w:val="nil"/>
              <w:left w:val="nil"/>
              <w:bottom w:val="nil"/>
              <w:right w:val="nil"/>
              <w:tl2br w:val="nil"/>
              <w:tr2bl w:val="nil"/>
            </w:tcBorders>
            <w:shd w:val="clear" w:color="auto" w:fill="C0C0C0"/>
            <w:tcMar>
              <w:left w:w="115" w:type="dxa"/>
              <w:right w:w="115" w:type="dxa"/>
            </w:tcMar>
            <w:vAlign w:val="bottom"/>
          </w:tcPr>
          <w:p w14:paraId="3CCB47AD" w14:textId="77777777" w:rsidR="003F0EEA" w:rsidRDefault="00FB7D0B">
            <w:pPr>
              <w:jc w:val="right"/>
              <w:rPr>
                <w:rFonts w:ascii="Arial" w:eastAsia="Arial" w:hAnsi="Arial" w:cs="Arial"/>
                <w:snapToGrid w:val="0"/>
                <w:color w:val="000000"/>
                <w:sz w:val="16"/>
              </w:rPr>
            </w:pPr>
            <w:r>
              <w:rPr>
                <w:rFonts w:ascii="Arial" w:eastAsia="Arial" w:hAnsi="Arial" w:cs="Arial"/>
                <w:snapToGrid w:val="0"/>
                <w:color w:val="000000"/>
                <w:sz w:val="16"/>
              </w:rPr>
              <w:t xml:space="preserve"> 3,255 </w:t>
            </w:r>
          </w:p>
        </w:tc>
        <w:tc>
          <w:tcPr>
            <w:tcW w:w="990" w:type="dxa"/>
            <w:tcBorders>
              <w:top w:val="nil"/>
              <w:left w:val="nil"/>
              <w:bottom w:val="nil"/>
              <w:right w:val="nil"/>
              <w:tl2br w:val="nil"/>
              <w:tr2bl w:val="nil"/>
            </w:tcBorders>
            <w:shd w:val="clear" w:color="auto" w:fill="FFFFFF"/>
            <w:tcMar>
              <w:left w:w="115" w:type="dxa"/>
              <w:right w:w="115" w:type="dxa"/>
            </w:tcMar>
            <w:vAlign w:val="bottom"/>
          </w:tcPr>
          <w:p w14:paraId="5D897EA7" w14:textId="77777777" w:rsidR="003F0EEA" w:rsidRDefault="00FB7D0B">
            <w:pPr>
              <w:jc w:val="right"/>
              <w:rPr>
                <w:rFonts w:ascii="Arial" w:eastAsia="Arial" w:hAnsi="Arial" w:cs="Arial"/>
                <w:snapToGrid w:val="0"/>
                <w:color w:val="000000"/>
                <w:sz w:val="16"/>
              </w:rPr>
            </w:pPr>
            <w:r>
              <w:rPr>
                <w:rFonts w:ascii="Arial" w:eastAsia="Arial" w:hAnsi="Arial" w:cs="Arial"/>
                <w:snapToGrid w:val="0"/>
                <w:color w:val="000000"/>
                <w:sz w:val="16"/>
              </w:rPr>
              <w:t xml:space="preserve"> 3,255 </w:t>
            </w:r>
          </w:p>
        </w:tc>
        <w:tc>
          <w:tcPr>
            <w:tcW w:w="990" w:type="dxa"/>
            <w:tcBorders>
              <w:top w:val="nil"/>
              <w:left w:val="nil"/>
              <w:bottom w:val="nil"/>
              <w:right w:val="nil"/>
              <w:tl2br w:val="nil"/>
              <w:tr2bl w:val="nil"/>
            </w:tcBorders>
            <w:shd w:val="clear" w:color="auto" w:fill="FFFFFF"/>
            <w:tcMar>
              <w:left w:w="115" w:type="dxa"/>
              <w:right w:w="115" w:type="dxa"/>
            </w:tcMar>
            <w:vAlign w:val="bottom"/>
          </w:tcPr>
          <w:p w14:paraId="7ECCBF74" w14:textId="77777777" w:rsidR="003F0EEA" w:rsidRDefault="00FB7D0B">
            <w:pPr>
              <w:jc w:val="right"/>
              <w:rPr>
                <w:rFonts w:ascii="Arial" w:eastAsia="Arial" w:hAnsi="Arial" w:cs="Arial"/>
                <w:snapToGrid w:val="0"/>
                <w:color w:val="000000"/>
                <w:sz w:val="16"/>
              </w:rPr>
            </w:pPr>
            <w:r>
              <w:rPr>
                <w:rFonts w:ascii="Arial" w:eastAsia="Arial" w:hAnsi="Arial" w:cs="Arial"/>
                <w:snapToGrid w:val="0"/>
                <w:color w:val="000000"/>
                <w:sz w:val="16"/>
              </w:rPr>
              <w:t xml:space="preserve"> 3,255 </w:t>
            </w:r>
          </w:p>
        </w:tc>
        <w:tc>
          <w:tcPr>
            <w:tcW w:w="990" w:type="dxa"/>
            <w:tcBorders>
              <w:top w:val="nil"/>
              <w:left w:val="nil"/>
              <w:bottom w:val="nil"/>
              <w:right w:val="nil"/>
              <w:tl2br w:val="nil"/>
              <w:tr2bl w:val="nil"/>
            </w:tcBorders>
            <w:shd w:val="clear" w:color="auto" w:fill="FFFFFF"/>
            <w:tcMar>
              <w:left w:w="115" w:type="dxa"/>
              <w:right w:w="115" w:type="dxa"/>
            </w:tcMar>
            <w:vAlign w:val="bottom"/>
          </w:tcPr>
          <w:p w14:paraId="0FD9CFD6" w14:textId="77777777" w:rsidR="003F0EEA" w:rsidRDefault="00FB7D0B">
            <w:pPr>
              <w:jc w:val="right"/>
              <w:rPr>
                <w:rFonts w:ascii="Arial" w:eastAsia="Arial" w:hAnsi="Arial" w:cs="Arial"/>
                <w:snapToGrid w:val="0"/>
                <w:color w:val="000000"/>
                <w:sz w:val="16"/>
              </w:rPr>
            </w:pPr>
            <w:r>
              <w:rPr>
                <w:rFonts w:ascii="Arial" w:eastAsia="Arial" w:hAnsi="Arial" w:cs="Arial"/>
                <w:snapToGrid w:val="0"/>
                <w:color w:val="000000"/>
                <w:sz w:val="16"/>
              </w:rPr>
              <w:t xml:space="preserve"> 3,255 </w:t>
            </w:r>
          </w:p>
        </w:tc>
      </w:tr>
      <w:tr w:rsidR="00355BFE" w14:paraId="01F8A901" w14:textId="77777777" w:rsidTr="00355BFE">
        <w:trPr>
          <w:trHeight w:val="225"/>
        </w:trPr>
        <w:tc>
          <w:tcPr>
            <w:tcW w:w="180" w:type="dxa"/>
            <w:tcBorders>
              <w:top w:val="nil"/>
              <w:left w:val="nil"/>
              <w:bottom w:val="nil"/>
              <w:right w:val="nil"/>
              <w:tl2br w:val="nil"/>
              <w:tr2bl w:val="nil"/>
            </w:tcBorders>
            <w:shd w:val="clear" w:color="auto" w:fill="FFFFFF"/>
            <w:tcMar>
              <w:left w:w="115" w:type="dxa"/>
              <w:right w:w="115" w:type="dxa"/>
            </w:tcMar>
            <w:vAlign w:val="bottom"/>
          </w:tcPr>
          <w:p w14:paraId="51AF3F88" w14:textId="77777777" w:rsidR="003F0EEA" w:rsidRDefault="003F0EEA">
            <w:pPr>
              <w:rPr>
                <w:rFonts w:ascii="Arial" w:eastAsia="Arial" w:hAnsi="Arial" w:cs="Arial"/>
                <w:snapToGrid w:val="0"/>
                <w:color w:val="000000"/>
                <w:sz w:val="16"/>
              </w:rPr>
            </w:pPr>
          </w:p>
        </w:tc>
        <w:tc>
          <w:tcPr>
            <w:tcW w:w="2880" w:type="dxa"/>
            <w:gridSpan w:val="2"/>
            <w:vMerge w:val="restart"/>
            <w:tcBorders>
              <w:top w:val="nil"/>
              <w:left w:val="nil"/>
              <w:bottom w:val="nil"/>
              <w:right w:val="nil"/>
              <w:tl2br w:val="nil"/>
              <w:tr2bl w:val="nil"/>
            </w:tcBorders>
            <w:shd w:val="clear" w:color="auto" w:fill="FFFFFF"/>
            <w:tcMar>
              <w:left w:w="115" w:type="dxa"/>
              <w:right w:w="115" w:type="dxa"/>
            </w:tcMar>
            <w:vAlign w:val="bottom"/>
          </w:tcPr>
          <w:p w14:paraId="4B251C99" w14:textId="77777777" w:rsidR="003F0EEA" w:rsidRDefault="00FB7D0B">
            <w:pPr>
              <w:rPr>
                <w:rFonts w:ascii="Arial" w:eastAsia="Arial" w:hAnsi="Arial" w:cs="Arial"/>
                <w:snapToGrid w:val="0"/>
                <w:color w:val="000000"/>
                <w:sz w:val="16"/>
              </w:rPr>
            </w:pPr>
            <w:r>
              <w:rPr>
                <w:rFonts w:ascii="Arial" w:eastAsia="Arial" w:hAnsi="Arial" w:cs="Arial"/>
                <w:snapToGrid w:val="0"/>
                <w:color w:val="000000"/>
                <w:sz w:val="16"/>
              </w:rPr>
              <w:t>Interest</w:t>
            </w:r>
          </w:p>
        </w:tc>
        <w:tc>
          <w:tcPr>
            <w:tcW w:w="990" w:type="dxa"/>
            <w:tcBorders>
              <w:top w:val="nil"/>
              <w:left w:val="nil"/>
              <w:bottom w:val="nil"/>
              <w:right w:val="nil"/>
              <w:tl2br w:val="nil"/>
              <w:tr2bl w:val="nil"/>
            </w:tcBorders>
            <w:shd w:val="clear" w:color="auto" w:fill="FFFFFF"/>
            <w:tcMar>
              <w:left w:w="115" w:type="dxa"/>
              <w:right w:w="115" w:type="dxa"/>
            </w:tcMar>
            <w:vAlign w:val="bottom"/>
          </w:tcPr>
          <w:p w14:paraId="69C6EB67" w14:textId="77777777" w:rsidR="003F0EEA" w:rsidRDefault="00FB7D0B">
            <w:pPr>
              <w:jc w:val="right"/>
              <w:rPr>
                <w:rFonts w:ascii="Arial" w:eastAsia="Arial" w:hAnsi="Arial" w:cs="Arial"/>
                <w:snapToGrid w:val="0"/>
                <w:color w:val="000000"/>
                <w:sz w:val="16"/>
                <w:vertAlign w:val="superscript"/>
              </w:rPr>
            </w:pPr>
            <w:r>
              <w:rPr>
                <w:rFonts w:ascii="Arial" w:eastAsia="Arial" w:hAnsi="Arial" w:cs="Arial"/>
                <w:snapToGrid w:val="0"/>
                <w:color w:val="000000"/>
                <w:sz w:val="16"/>
              </w:rPr>
              <w:t xml:space="preserve"> 2,833 </w:t>
            </w:r>
          </w:p>
        </w:tc>
        <w:tc>
          <w:tcPr>
            <w:tcW w:w="990" w:type="dxa"/>
            <w:tcBorders>
              <w:top w:val="nil"/>
              <w:left w:val="nil"/>
              <w:bottom w:val="nil"/>
              <w:right w:val="nil"/>
              <w:tl2br w:val="nil"/>
              <w:tr2bl w:val="nil"/>
            </w:tcBorders>
            <w:shd w:val="clear" w:color="auto" w:fill="C0C0C0"/>
            <w:tcMar>
              <w:left w:w="115" w:type="dxa"/>
              <w:right w:w="115" w:type="dxa"/>
            </w:tcMar>
            <w:vAlign w:val="bottom"/>
          </w:tcPr>
          <w:p w14:paraId="0F41B5BF" w14:textId="77777777" w:rsidR="003F0EEA" w:rsidRDefault="00FB7D0B">
            <w:pPr>
              <w:jc w:val="right"/>
              <w:rPr>
                <w:rFonts w:ascii="Arial" w:eastAsia="Arial" w:hAnsi="Arial" w:cs="Arial"/>
                <w:snapToGrid w:val="0"/>
                <w:color w:val="000000"/>
                <w:sz w:val="16"/>
              </w:rPr>
            </w:pPr>
            <w:r>
              <w:rPr>
                <w:rFonts w:ascii="Arial" w:eastAsia="Arial" w:hAnsi="Arial" w:cs="Arial"/>
                <w:snapToGrid w:val="0"/>
                <w:color w:val="000000"/>
                <w:sz w:val="16"/>
              </w:rPr>
              <w:t xml:space="preserve"> 2,470 </w:t>
            </w:r>
          </w:p>
        </w:tc>
        <w:tc>
          <w:tcPr>
            <w:tcW w:w="990" w:type="dxa"/>
            <w:tcBorders>
              <w:top w:val="nil"/>
              <w:left w:val="nil"/>
              <w:bottom w:val="nil"/>
              <w:right w:val="nil"/>
              <w:tl2br w:val="nil"/>
              <w:tr2bl w:val="nil"/>
            </w:tcBorders>
            <w:shd w:val="clear" w:color="auto" w:fill="FFFFFF"/>
            <w:tcMar>
              <w:left w:w="115" w:type="dxa"/>
              <w:right w:w="115" w:type="dxa"/>
            </w:tcMar>
            <w:vAlign w:val="bottom"/>
          </w:tcPr>
          <w:p w14:paraId="66E6265E" w14:textId="77777777" w:rsidR="003F0EEA" w:rsidRDefault="00FB7D0B">
            <w:pPr>
              <w:jc w:val="right"/>
              <w:rPr>
                <w:rFonts w:ascii="Arial" w:eastAsia="Arial" w:hAnsi="Arial" w:cs="Arial"/>
                <w:snapToGrid w:val="0"/>
                <w:color w:val="000000"/>
                <w:sz w:val="16"/>
              </w:rPr>
            </w:pPr>
            <w:r>
              <w:rPr>
                <w:rFonts w:ascii="Arial" w:eastAsia="Arial" w:hAnsi="Arial" w:cs="Arial"/>
                <w:snapToGrid w:val="0"/>
                <w:color w:val="000000"/>
                <w:sz w:val="16"/>
              </w:rPr>
              <w:t xml:space="preserve"> 2,296 </w:t>
            </w:r>
          </w:p>
        </w:tc>
        <w:tc>
          <w:tcPr>
            <w:tcW w:w="990" w:type="dxa"/>
            <w:tcBorders>
              <w:top w:val="nil"/>
              <w:left w:val="nil"/>
              <w:bottom w:val="nil"/>
              <w:right w:val="nil"/>
              <w:tl2br w:val="nil"/>
              <w:tr2bl w:val="nil"/>
            </w:tcBorders>
            <w:shd w:val="clear" w:color="auto" w:fill="FFFFFF"/>
            <w:tcMar>
              <w:left w:w="115" w:type="dxa"/>
              <w:right w:w="115" w:type="dxa"/>
            </w:tcMar>
            <w:vAlign w:val="bottom"/>
          </w:tcPr>
          <w:p w14:paraId="265AD704" w14:textId="77777777" w:rsidR="003F0EEA" w:rsidRDefault="00FB7D0B">
            <w:pPr>
              <w:jc w:val="right"/>
              <w:rPr>
                <w:rFonts w:ascii="Arial" w:eastAsia="Arial" w:hAnsi="Arial" w:cs="Arial"/>
                <w:snapToGrid w:val="0"/>
                <w:color w:val="000000"/>
                <w:sz w:val="16"/>
              </w:rPr>
            </w:pPr>
            <w:r>
              <w:rPr>
                <w:rFonts w:ascii="Arial" w:eastAsia="Arial" w:hAnsi="Arial" w:cs="Arial"/>
                <w:snapToGrid w:val="0"/>
                <w:color w:val="000000"/>
                <w:sz w:val="16"/>
              </w:rPr>
              <w:t xml:space="preserve"> 2,352 </w:t>
            </w:r>
          </w:p>
        </w:tc>
        <w:tc>
          <w:tcPr>
            <w:tcW w:w="990" w:type="dxa"/>
            <w:tcBorders>
              <w:top w:val="nil"/>
              <w:left w:val="nil"/>
              <w:bottom w:val="nil"/>
              <w:right w:val="nil"/>
              <w:tl2br w:val="nil"/>
              <w:tr2bl w:val="nil"/>
            </w:tcBorders>
            <w:shd w:val="clear" w:color="auto" w:fill="FFFFFF"/>
            <w:tcMar>
              <w:left w:w="115" w:type="dxa"/>
              <w:right w:w="115" w:type="dxa"/>
            </w:tcMar>
            <w:vAlign w:val="bottom"/>
          </w:tcPr>
          <w:p w14:paraId="05F77964" w14:textId="77777777" w:rsidR="003F0EEA" w:rsidRDefault="00FB7D0B">
            <w:pPr>
              <w:jc w:val="right"/>
              <w:rPr>
                <w:rFonts w:ascii="Arial" w:eastAsia="Arial" w:hAnsi="Arial" w:cs="Arial"/>
                <w:snapToGrid w:val="0"/>
                <w:color w:val="000000"/>
                <w:sz w:val="16"/>
              </w:rPr>
            </w:pPr>
            <w:r>
              <w:rPr>
                <w:rFonts w:ascii="Arial" w:eastAsia="Arial" w:hAnsi="Arial" w:cs="Arial"/>
                <w:snapToGrid w:val="0"/>
                <w:color w:val="000000"/>
                <w:sz w:val="16"/>
              </w:rPr>
              <w:t xml:space="preserve"> 2,404 </w:t>
            </w:r>
          </w:p>
        </w:tc>
      </w:tr>
      <w:tr w:rsidR="00355BFE" w14:paraId="5B0ABAEF" w14:textId="77777777" w:rsidTr="00355BFE">
        <w:trPr>
          <w:trHeight w:val="225"/>
        </w:trPr>
        <w:tc>
          <w:tcPr>
            <w:tcW w:w="180" w:type="dxa"/>
            <w:tcBorders>
              <w:top w:val="nil"/>
              <w:left w:val="nil"/>
              <w:bottom w:val="nil"/>
              <w:right w:val="nil"/>
              <w:tl2br w:val="nil"/>
              <w:tr2bl w:val="nil"/>
            </w:tcBorders>
            <w:shd w:val="clear" w:color="auto" w:fill="FFFFFF"/>
            <w:tcMar>
              <w:left w:w="115" w:type="dxa"/>
              <w:right w:w="115" w:type="dxa"/>
            </w:tcMar>
            <w:vAlign w:val="bottom"/>
          </w:tcPr>
          <w:p w14:paraId="3B783D44" w14:textId="77777777" w:rsidR="003F0EEA" w:rsidRDefault="003F0EEA">
            <w:pPr>
              <w:rPr>
                <w:rFonts w:ascii="Arial" w:eastAsia="Arial" w:hAnsi="Arial" w:cs="Arial"/>
                <w:snapToGrid w:val="0"/>
                <w:color w:val="000000"/>
                <w:sz w:val="16"/>
              </w:rPr>
            </w:pPr>
          </w:p>
        </w:tc>
        <w:tc>
          <w:tcPr>
            <w:tcW w:w="2880" w:type="dxa"/>
            <w:gridSpan w:val="2"/>
            <w:vMerge w:val="restart"/>
            <w:tcBorders>
              <w:top w:val="nil"/>
              <w:left w:val="nil"/>
              <w:bottom w:val="nil"/>
              <w:right w:val="nil"/>
              <w:tl2br w:val="nil"/>
              <w:tr2bl w:val="nil"/>
            </w:tcBorders>
            <w:shd w:val="clear" w:color="auto" w:fill="FFFFFF"/>
            <w:tcMar>
              <w:left w:w="115" w:type="dxa"/>
              <w:right w:w="115" w:type="dxa"/>
            </w:tcMar>
            <w:vAlign w:val="bottom"/>
          </w:tcPr>
          <w:p w14:paraId="0ED33280" w14:textId="77777777" w:rsidR="003F0EEA" w:rsidRDefault="00FB7D0B">
            <w:pPr>
              <w:rPr>
                <w:rFonts w:ascii="Arial" w:eastAsia="Arial" w:hAnsi="Arial" w:cs="Arial"/>
                <w:snapToGrid w:val="0"/>
                <w:color w:val="000000"/>
                <w:sz w:val="16"/>
              </w:rPr>
            </w:pPr>
            <w:r>
              <w:rPr>
                <w:rFonts w:ascii="Arial" w:eastAsia="Arial" w:hAnsi="Arial" w:cs="Arial"/>
                <w:snapToGrid w:val="0"/>
                <w:color w:val="000000"/>
                <w:sz w:val="16"/>
              </w:rPr>
              <w:t>Royalties</w:t>
            </w:r>
          </w:p>
        </w:tc>
        <w:tc>
          <w:tcPr>
            <w:tcW w:w="990" w:type="dxa"/>
            <w:tcBorders>
              <w:top w:val="nil"/>
              <w:left w:val="nil"/>
              <w:bottom w:val="nil"/>
              <w:right w:val="nil"/>
              <w:tl2br w:val="nil"/>
              <w:tr2bl w:val="nil"/>
            </w:tcBorders>
            <w:shd w:val="clear" w:color="auto" w:fill="FFFFFF"/>
            <w:tcMar>
              <w:left w:w="115" w:type="dxa"/>
              <w:right w:w="115" w:type="dxa"/>
            </w:tcMar>
            <w:vAlign w:val="bottom"/>
          </w:tcPr>
          <w:p w14:paraId="574505FB" w14:textId="77777777" w:rsidR="003F0EEA" w:rsidRDefault="00FB7D0B">
            <w:pPr>
              <w:jc w:val="right"/>
              <w:rPr>
                <w:rFonts w:ascii="Arial" w:eastAsia="Arial" w:hAnsi="Arial" w:cs="Arial"/>
                <w:snapToGrid w:val="0"/>
                <w:color w:val="000000"/>
                <w:sz w:val="16"/>
                <w:vertAlign w:val="superscript"/>
              </w:rPr>
            </w:pPr>
            <w:r>
              <w:rPr>
                <w:rFonts w:ascii="Arial" w:eastAsia="Arial" w:hAnsi="Arial" w:cs="Arial"/>
                <w:snapToGrid w:val="0"/>
                <w:color w:val="000000"/>
                <w:sz w:val="16"/>
              </w:rPr>
              <w:t xml:space="preserve"> 25 </w:t>
            </w:r>
          </w:p>
        </w:tc>
        <w:tc>
          <w:tcPr>
            <w:tcW w:w="990" w:type="dxa"/>
            <w:tcBorders>
              <w:top w:val="nil"/>
              <w:left w:val="nil"/>
              <w:bottom w:val="nil"/>
              <w:right w:val="nil"/>
              <w:tl2br w:val="nil"/>
              <w:tr2bl w:val="nil"/>
            </w:tcBorders>
            <w:shd w:val="clear" w:color="auto" w:fill="C0C0C0"/>
            <w:tcMar>
              <w:left w:w="115" w:type="dxa"/>
              <w:right w:w="115" w:type="dxa"/>
            </w:tcMar>
            <w:vAlign w:val="bottom"/>
          </w:tcPr>
          <w:p w14:paraId="0E0351D7" w14:textId="77777777" w:rsidR="003F0EEA" w:rsidRDefault="00FB7D0B">
            <w:pPr>
              <w:jc w:val="right"/>
              <w:rPr>
                <w:rFonts w:ascii="Arial" w:eastAsia="Arial" w:hAnsi="Arial" w:cs="Arial"/>
                <w:snapToGrid w:val="0"/>
                <w:color w:val="000000"/>
                <w:sz w:val="16"/>
              </w:rPr>
            </w:pPr>
            <w:r>
              <w:rPr>
                <w:rFonts w:ascii="Arial" w:eastAsia="Arial" w:hAnsi="Arial" w:cs="Arial"/>
                <w:snapToGrid w:val="0"/>
                <w:color w:val="000000"/>
                <w:sz w:val="16"/>
              </w:rPr>
              <w:t xml:space="preserve"> 150 </w:t>
            </w:r>
          </w:p>
        </w:tc>
        <w:tc>
          <w:tcPr>
            <w:tcW w:w="990" w:type="dxa"/>
            <w:tcBorders>
              <w:top w:val="nil"/>
              <w:left w:val="nil"/>
              <w:bottom w:val="nil"/>
              <w:right w:val="nil"/>
              <w:tl2br w:val="nil"/>
              <w:tr2bl w:val="nil"/>
            </w:tcBorders>
            <w:shd w:val="clear" w:color="auto" w:fill="FFFFFF"/>
            <w:tcMar>
              <w:left w:w="115" w:type="dxa"/>
              <w:right w:w="115" w:type="dxa"/>
            </w:tcMar>
            <w:vAlign w:val="bottom"/>
          </w:tcPr>
          <w:p w14:paraId="30676EE9" w14:textId="77777777" w:rsidR="003F0EEA" w:rsidRDefault="00FB7D0B">
            <w:pPr>
              <w:jc w:val="right"/>
              <w:rPr>
                <w:rFonts w:ascii="Arial" w:eastAsia="Arial" w:hAnsi="Arial" w:cs="Arial"/>
                <w:snapToGrid w:val="0"/>
                <w:color w:val="000000"/>
                <w:sz w:val="16"/>
              </w:rPr>
            </w:pPr>
            <w:r>
              <w:rPr>
                <w:rFonts w:ascii="Arial" w:eastAsia="Arial" w:hAnsi="Arial" w:cs="Arial"/>
                <w:snapToGrid w:val="0"/>
                <w:color w:val="000000"/>
                <w:sz w:val="16"/>
              </w:rPr>
              <w:t xml:space="preserve"> 150 </w:t>
            </w:r>
          </w:p>
        </w:tc>
        <w:tc>
          <w:tcPr>
            <w:tcW w:w="990" w:type="dxa"/>
            <w:tcBorders>
              <w:top w:val="nil"/>
              <w:left w:val="nil"/>
              <w:bottom w:val="nil"/>
              <w:right w:val="nil"/>
              <w:tl2br w:val="nil"/>
              <w:tr2bl w:val="nil"/>
            </w:tcBorders>
            <w:shd w:val="clear" w:color="auto" w:fill="FFFFFF"/>
            <w:tcMar>
              <w:left w:w="115" w:type="dxa"/>
              <w:right w:w="115" w:type="dxa"/>
            </w:tcMar>
            <w:vAlign w:val="bottom"/>
          </w:tcPr>
          <w:p w14:paraId="0B16B744" w14:textId="77777777" w:rsidR="003F0EEA" w:rsidRDefault="00FB7D0B">
            <w:pPr>
              <w:jc w:val="right"/>
              <w:rPr>
                <w:rFonts w:ascii="Arial" w:eastAsia="Arial" w:hAnsi="Arial" w:cs="Arial"/>
                <w:snapToGrid w:val="0"/>
                <w:color w:val="000000"/>
                <w:sz w:val="16"/>
              </w:rPr>
            </w:pPr>
            <w:r>
              <w:rPr>
                <w:rFonts w:ascii="Arial" w:eastAsia="Arial" w:hAnsi="Arial" w:cs="Arial"/>
                <w:snapToGrid w:val="0"/>
                <w:color w:val="000000"/>
                <w:sz w:val="16"/>
              </w:rPr>
              <w:t xml:space="preserve"> 150 </w:t>
            </w:r>
          </w:p>
        </w:tc>
        <w:tc>
          <w:tcPr>
            <w:tcW w:w="990" w:type="dxa"/>
            <w:tcBorders>
              <w:top w:val="nil"/>
              <w:left w:val="nil"/>
              <w:bottom w:val="nil"/>
              <w:right w:val="nil"/>
              <w:tl2br w:val="nil"/>
              <w:tr2bl w:val="nil"/>
            </w:tcBorders>
            <w:shd w:val="clear" w:color="auto" w:fill="FFFFFF"/>
            <w:tcMar>
              <w:left w:w="115" w:type="dxa"/>
              <w:right w:w="115" w:type="dxa"/>
            </w:tcMar>
            <w:vAlign w:val="bottom"/>
          </w:tcPr>
          <w:p w14:paraId="01815E49" w14:textId="77777777" w:rsidR="003F0EEA" w:rsidRDefault="00FB7D0B">
            <w:pPr>
              <w:jc w:val="right"/>
              <w:rPr>
                <w:rFonts w:ascii="Arial" w:eastAsia="Arial" w:hAnsi="Arial" w:cs="Arial"/>
                <w:snapToGrid w:val="0"/>
                <w:color w:val="000000"/>
                <w:sz w:val="16"/>
              </w:rPr>
            </w:pPr>
            <w:r>
              <w:rPr>
                <w:rFonts w:ascii="Arial" w:eastAsia="Arial" w:hAnsi="Arial" w:cs="Arial"/>
                <w:snapToGrid w:val="0"/>
                <w:color w:val="000000"/>
                <w:sz w:val="16"/>
              </w:rPr>
              <w:t xml:space="preserve"> 150 </w:t>
            </w:r>
          </w:p>
        </w:tc>
      </w:tr>
      <w:tr w:rsidR="00355BFE" w14:paraId="53606010" w14:textId="77777777" w:rsidTr="00355BFE">
        <w:trPr>
          <w:trHeight w:val="225"/>
        </w:trPr>
        <w:tc>
          <w:tcPr>
            <w:tcW w:w="180" w:type="dxa"/>
            <w:tcBorders>
              <w:top w:val="nil"/>
              <w:left w:val="nil"/>
              <w:bottom w:val="nil"/>
              <w:right w:val="nil"/>
              <w:tl2br w:val="nil"/>
              <w:tr2bl w:val="nil"/>
            </w:tcBorders>
            <w:shd w:val="clear" w:color="auto" w:fill="FFFFFF"/>
            <w:tcMar>
              <w:left w:w="115" w:type="dxa"/>
              <w:right w:w="115" w:type="dxa"/>
            </w:tcMar>
            <w:vAlign w:val="bottom"/>
          </w:tcPr>
          <w:p w14:paraId="45B2474E" w14:textId="77777777" w:rsidR="003F0EEA" w:rsidRDefault="003F0EEA">
            <w:pPr>
              <w:rPr>
                <w:rFonts w:ascii="Arial" w:eastAsia="Arial" w:hAnsi="Arial" w:cs="Arial"/>
                <w:snapToGrid w:val="0"/>
                <w:color w:val="000000"/>
                <w:sz w:val="16"/>
              </w:rPr>
            </w:pPr>
          </w:p>
        </w:tc>
        <w:tc>
          <w:tcPr>
            <w:tcW w:w="2880" w:type="dxa"/>
            <w:gridSpan w:val="2"/>
            <w:tcBorders>
              <w:top w:val="nil"/>
              <w:left w:val="nil"/>
              <w:bottom w:val="nil"/>
              <w:right w:val="nil"/>
              <w:tl2br w:val="nil"/>
              <w:tr2bl w:val="nil"/>
            </w:tcBorders>
            <w:shd w:val="clear" w:color="auto" w:fill="FFFFFF"/>
            <w:tcMar>
              <w:left w:w="115" w:type="dxa"/>
              <w:right w:w="115" w:type="dxa"/>
            </w:tcMar>
            <w:vAlign w:val="bottom"/>
          </w:tcPr>
          <w:p w14:paraId="63665087" w14:textId="77777777" w:rsidR="003F0EEA" w:rsidRDefault="00FB7D0B">
            <w:pPr>
              <w:rPr>
                <w:rFonts w:ascii="Arial" w:eastAsia="Arial" w:hAnsi="Arial" w:cs="Arial"/>
                <w:snapToGrid w:val="0"/>
                <w:color w:val="000000"/>
                <w:sz w:val="16"/>
              </w:rPr>
            </w:pPr>
            <w:r>
              <w:rPr>
                <w:rFonts w:ascii="Arial" w:eastAsia="Arial" w:hAnsi="Arial" w:cs="Arial"/>
                <w:snapToGrid w:val="0"/>
                <w:color w:val="000000"/>
                <w:sz w:val="16"/>
              </w:rPr>
              <w:t>Other</w:t>
            </w:r>
          </w:p>
        </w:tc>
        <w:tc>
          <w:tcPr>
            <w:tcW w:w="990"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672C3909" w14:textId="77777777" w:rsidR="003F0EEA" w:rsidRDefault="00FB7D0B">
            <w:pPr>
              <w:jc w:val="right"/>
              <w:rPr>
                <w:rFonts w:ascii="Arial" w:eastAsia="Arial" w:hAnsi="Arial" w:cs="Arial"/>
                <w:snapToGrid w:val="0"/>
                <w:color w:val="000000"/>
                <w:sz w:val="16"/>
                <w:vertAlign w:val="superscript"/>
              </w:rPr>
            </w:pPr>
            <w:r>
              <w:rPr>
                <w:rFonts w:ascii="Arial" w:eastAsia="Arial" w:hAnsi="Arial" w:cs="Arial"/>
                <w:snapToGrid w:val="0"/>
                <w:color w:val="000000"/>
                <w:sz w:val="16"/>
              </w:rPr>
              <w:t xml:space="preserve"> 4,756 </w:t>
            </w:r>
          </w:p>
        </w:tc>
        <w:tc>
          <w:tcPr>
            <w:tcW w:w="990" w:type="dxa"/>
            <w:tcBorders>
              <w:top w:val="nil"/>
              <w:left w:val="nil"/>
              <w:bottom w:val="single" w:sz="6" w:space="0" w:color="000000"/>
              <w:right w:val="nil"/>
              <w:tl2br w:val="nil"/>
              <w:tr2bl w:val="nil"/>
            </w:tcBorders>
            <w:shd w:val="clear" w:color="auto" w:fill="C0C0C0"/>
            <w:tcMar>
              <w:left w:w="115" w:type="dxa"/>
              <w:right w:w="115" w:type="dxa"/>
            </w:tcMar>
            <w:vAlign w:val="bottom"/>
          </w:tcPr>
          <w:p w14:paraId="269500FD" w14:textId="77777777" w:rsidR="003F0EEA" w:rsidRDefault="00FB7D0B">
            <w:pPr>
              <w:jc w:val="right"/>
              <w:rPr>
                <w:rFonts w:ascii="Arial" w:eastAsia="Arial" w:hAnsi="Arial" w:cs="Arial"/>
                <w:snapToGrid w:val="0"/>
                <w:color w:val="000000"/>
                <w:sz w:val="16"/>
              </w:rPr>
            </w:pPr>
            <w:r>
              <w:rPr>
                <w:rFonts w:ascii="Arial" w:eastAsia="Arial" w:hAnsi="Arial" w:cs="Arial"/>
                <w:snapToGrid w:val="0"/>
                <w:color w:val="000000"/>
                <w:sz w:val="16"/>
              </w:rPr>
              <w:t xml:space="preserve"> 5,689 </w:t>
            </w:r>
          </w:p>
        </w:tc>
        <w:tc>
          <w:tcPr>
            <w:tcW w:w="990"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3D53A0E8" w14:textId="77777777" w:rsidR="003F0EEA" w:rsidRDefault="00FB7D0B">
            <w:pPr>
              <w:jc w:val="right"/>
              <w:rPr>
                <w:rFonts w:ascii="Arial" w:eastAsia="Arial" w:hAnsi="Arial" w:cs="Arial"/>
                <w:snapToGrid w:val="0"/>
                <w:color w:val="000000"/>
                <w:sz w:val="16"/>
              </w:rPr>
            </w:pPr>
            <w:r>
              <w:rPr>
                <w:rFonts w:ascii="Arial" w:eastAsia="Arial" w:hAnsi="Arial" w:cs="Arial"/>
                <w:snapToGrid w:val="0"/>
                <w:color w:val="000000"/>
                <w:sz w:val="16"/>
              </w:rPr>
              <w:t xml:space="preserve"> 4,044 </w:t>
            </w:r>
          </w:p>
        </w:tc>
        <w:tc>
          <w:tcPr>
            <w:tcW w:w="990"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4C50CA8F" w14:textId="77777777" w:rsidR="003F0EEA" w:rsidRDefault="00FB7D0B">
            <w:pPr>
              <w:jc w:val="right"/>
              <w:rPr>
                <w:rFonts w:ascii="Arial" w:eastAsia="Arial" w:hAnsi="Arial" w:cs="Arial"/>
                <w:snapToGrid w:val="0"/>
                <w:color w:val="000000"/>
                <w:sz w:val="16"/>
              </w:rPr>
            </w:pPr>
            <w:r>
              <w:rPr>
                <w:rFonts w:ascii="Arial" w:eastAsia="Arial" w:hAnsi="Arial" w:cs="Arial"/>
                <w:snapToGrid w:val="0"/>
                <w:color w:val="000000"/>
                <w:sz w:val="16"/>
              </w:rPr>
              <w:t xml:space="preserve"> 3,944 </w:t>
            </w:r>
          </w:p>
        </w:tc>
        <w:tc>
          <w:tcPr>
            <w:tcW w:w="990"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5277A777" w14:textId="77777777" w:rsidR="003F0EEA" w:rsidRDefault="00FB7D0B">
            <w:pPr>
              <w:jc w:val="right"/>
              <w:rPr>
                <w:rFonts w:ascii="Arial" w:eastAsia="Arial" w:hAnsi="Arial" w:cs="Arial"/>
                <w:snapToGrid w:val="0"/>
                <w:color w:val="000000"/>
                <w:sz w:val="16"/>
              </w:rPr>
            </w:pPr>
            <w:r>
              <w:rPr>
                <w:rFonts w:ascii="Arial" w:eastAsia="Arial" w:hAnsi="Arial" w:cs="Arial"/>
                <w:snapToGrid w:val="0"/>
                <w:color w:val="000000"/>
                <w:sz w:val="16"/>
              </w:rPr>
              <w:t xml:space="preserve"> 3,944 </w:t>
            </w:r>
          </w:p>
        </w:tc>
      </w:tr>
      <w:tr w:rsidR="00355BFE" w14:paraId="4C8928BB" w14:textId="77777777" w:rsidTr="00355BFE">
        <w:trPr>
          <w:trHeight w:val="225"/>
        </w:trPr>
        <w:tc>
          <w:tcPr>
            <w:tcW w:w="3060" w:type="dxa"/>
            <w:gridSpan w:val="3"/>
            <w:tcBorders>
              <w:top w:val="nil"/>
              <w:left w:val="nil"/>
              <w:bottom w:val="nil"/>
              <w:right w:val="nil"/>
              <w:tl2br w:val="nil"/>
              <w:tr2bl w:val="nil"/>
            </w:tcBorders>
            <w:shd w:val="clear" w:color="auto" w:fill="FFFFFF"/>
            <w:tcMar>
              <w:left w:w="115" w:type="dxa"/>
              <w:right w:w="115" w:type="dxa"/>
            </w:tcMar>
            <w:vAlign w:val="bottom"/>
          </w:tcPr>
          <w:p w14:paraId="33522BDE" w14:textId="77777777" w:rsidR="003F0EEA" w:rsidRDefault="00FB7D0B">
            <w:pPr>
              <w:rPr>
                <w:rFonts w:ascii="Arial" w:eastAsia="Arial" w:hAnsi="Arial" w:cs="Arial"/>
                <w:snapToGrid w:val="0"/>
                <w:color w:val="000000"/>
                <w:sz w:val="16"/>
              </w:rPr>
            </w:pPr>
            <w:r>
              <w:rPr>
                <w:rFonts w:ascii="Arial" w:eastAsia="Arial" w:hAnsi="Arial" w:cs="Arial"/>
                <w:b/>
                <w:snapToGrid w:val="0"/>
                <w:color w:val="000000"/>
                <w:sz w:val="16"/>
              </w:rPr>
              <w:t>Total own-source revenue</w:t>
            </w:r>
          </w:p>
        </w:tc>
        <w:tc>
          <w:tcPr>
            <w:tcW w:w="990" w:type="dxa"/>
            <w:tcBorders>
              <w:top w:val="single" w:sz="6" w:space="0" w:color="000000"/>
              <w:left w:val="nil"/>
              <w:bottom w:val="single" w:sz="6" w:space="0" w:color="000000"/>
              <w:right w:val="nil"/>
              <w:tl2br w:val="nil"/>
              <w:tr2bl w:val="nil"/>
            </w:tcBorders>
            <w:shd w:val="clear" w:color="auto" w:fill="FFFFFF"/>
            <w:tcMar>
              <w:left w:w="115" w:type="dxa"/>
              <w:right w:w="115" w:type="dxa"/>
            </w:tcMar>
            <w:vAlign w:val="bottom"/>
          </w:tcPr>
          <w:p w14:paraId="7269A642" w14:textId="77777777" w:rsidR="003F0EEA" w:rsidRDefault="00FB7D0B">
            <w:pPr>
              <w:jc w:val="right"/>
              <w:rPr>
                <w:rFonts w:ascii="Arial" w:eastAsia="Arial" w:hAnsi="Arial" w:cs="Arial"/>
                <w:b/>
                <w:snapToGrid w:val="0"/>
                <w:color w:val="000000"/>
                <w:sz w:val="16"/>
                <w:vertAlign w:val="superscript"/>
              </w:rPr>
            </w:pPr>
            <w:r>
              <w:rPr>
                <w:rFonts w:ascii="Arial" w:eastAsia="Arial" w:hAnsi="Arial" w:cs="Arial"/>
                <w:b/>
                <w:snapToGrid w:val="0"/>
                <w:color w:val="000000"/>
                <w:sz w:val="16"/>
              </w:rPr>
              <w:t xml:space="preserve"> 10,869 </w:t>
            </w:r>
          </w:p>
        </w:tc>
        <w:tc>
          <w:tcPr>
            <w:tcW w:w="990" w:type="dxa"/>
            <w:tcBorders>
              <w:top w:val="single" w:sz="6" w:space="0" w:color="000000"/>
              <w:left w:val="nil"/>
              <w:bottom w:val="single" w:sz="6" w:space="0" w:color="000000"/>
              <w:right w:val="nil"/>
              <w:tl2br w:val="nil"/>
              <w:tr2bl w:val="nil"/>
            </w:tcBorders>
            <w:shd w:val="clear" w:color="auto" w:fill="C0C0C0"/>
            <w:tcMar>
              <w:left w:w="115" w:type="dxa"/>
              <w:right w:w="115" w:type="dxa"/>
            </w:tcMar>
            <w:vAlign w:val="bottom"/>
          </w:tcPr>
          <w:p w14:paraId="5A1C1E2C" w14:textId="77777777" w:rsidR="003F0EEA" w:rsidRDefault="00FB7D0B">
            <w:pPr>
              <w:jc w:val="right"/>
              <w:rPr>
                <w:rFonts w:ascii="Arial" w:eastAsia="Arial" w:hAnsi="Arial" w:cs="Arial"/>
                <w:b/>
                <w:snapToGrid w:val="0"/>
                <w:color w:val="000000"/>
                <w:sz w:val="16"/>
              </w:rPr>
            </w:pPr>
            <w:r>
              <w:rPr>
                <w:rFonts w:ascii="Arial" w:eastAsia="Arial" w:hAnsi="Arial" w:cs="Arial"/>
                <w:b/>
                <w:snapToGrid w:val="0"/>
                <w:color w:val="000000"/>
                <w:sz w:val="16"/>
              </w:rPr>
              <w:t xml:space="preserve"> 11,564 </w:t>
            </w:r>
          </w:p>
        </w:tc>
        <w:tc>
          <w:tcPr>
            <w:tcW w:w="990" w:type="dxa"/>
            <w:tcBorders>
              <w:top w:val="single" w:sz="6" w:space="0" w:color="000000"/>
              <w:left w:val="nil"/>
              <w:bottom w:val="single" w:sz="6" w:space="0" w:color="000000"/>
              <w:right w:val="nil"/>
              <w:tl2br w:val="nil"/>
              <w:tr2bl w:val="nil"/>
            </w:tcBorders>
            <w:shd w:val="clear" w:color="auto" w:fill="FFFFFF"/>
            <w:tcMar>
              <w:left w:w="115" w:type="dxa"/>
              <w:right w:w="115" w:type="dxa"/>
            </w:tcMar>
            <w:vAlign w:val="bottom"/>
          </w:tcPr>
          <w:p w14:paraId="03BE62EB" w14:textId="77777777" w:rsidR="003F0EEA" w:rsidRDefault="00FB7D0B">
            <w:pPr>
              <w:jc w:val="right"/>
              <w:rPr>
                <w:rFonts w:ascii="Arial" w:eastAsia="Arial" w:hAnsi="Arial" w:cs="Arial"/>
                <w:b/>
                <w:snapToGrid w:val="0"/>
                <w:color w:val="000000"/>
                <w:sz w:val="16"/>
              </w:rPr>
            </w:pPr>
            <w:r>
              <w:rPr>
                <w:rFonts w:ascii="Arial" w:eastAsia="Arial" w:hAnsi="Arial" w:cs="Arial"/>
                <w:b/>
                <w:snapToGrid w:val="0"/>
                <w:color w:val="000000"/>
                <w:sz w:val="16"/>
              </w:rPr>
              <w:t xml:space="preserve"> 9,745 </w:t>
            </w:r>
          </w:p>
        </w:tc>
        <w:tc>
          <w:tcPr>
            <w:tcW w:w="990" w:type="dxa"/>
            <w:tcBorders>
              <w:top w:val="single" w:sz="6" w:space="0" w:color="000000"/>
              <w:left w:val="nil"/>
              <w:bottom w:val="single" w:sz="6" w:space="0" w:color="000000"/>
              <w:right w:val="nil"/>
              <w:tl2br w:val="nil"/>
              <w:tr2bl w:val="nil"/>
            </w:tcBorders>
            <w:shd w:val="clear" w:color="auto" w:fill="FFFFFF"/>
            <w:tcMar>
              <w:left w:w="115" w:type="dxa"/>
              <w:right w:w="115" w:type="dxa"/>
            </w:tcMar>
            <w:vAlign w:val="bottom"/>
          </w:tcPr>
          <w:p w14:paraId="39E5782F" w14:textId="77777777" w:rsidR="003F0EEA" w:rsidRDefault="00FB7D0B">
            <w:pPr>
              <w:jc w:val="right"/>
              <w:rPr>
                <w:rFonts w:ascii="Arial" w:eastAsia="Arial" w:hAnsi="Arial" w:cs="Arial"/>
                <w:b/>
                <w:snapToGrid w:val="0"/>
                <w:color w:val="000000"/>
                <w:sz w:val="16"/>
              </w:rPr>
            </w:pPr>
            <w:r>
              <w:rPr>
                <w:rFonts w:ascii="Arial" w:eastAsia="Arial" w:hAnsi="Arial" w:cs="Arial"/>
                <w:b/>
                <w:snapToGrid w:val="0"/>
                <w:color w:val="000000"/>
                <w:sz w:val="16"/>
              </w:rPr>
              <w:t xml:space="preserve"> 9,701 </w:t>
            </w:r>
          </w:p>
        </w:tc>
        <w:tc>
          <w:tcPr>
            <w:tcW w:w="990" w:type="dxa"/>
            <w:tcBorders>
              <w:top w:val="single" w:sz="6" w:space="0" w:color="000000"/>
              <w:left w:val="nil"/>
              <w:bottom w:val="single" w:sz="6" w:space="0" w:color="000000"/>
              <w:right w:val="nil"/>
              <w:tl2br w:val="nil"/>
              <w:tr2bl w:val="nil"/>
            </w:tcBorders>
            <w:shd w:val="clear" w:color="auto" w:fill="FFFFFF"/>
            <w:tcMar>
              <w:left w:w="115" w:type="dxa"/>
              <w:right w:w="115" w:type="dxa"/>
            </w:tcMar>
            <w:vAlign w:val="bottom"/>
          </w:tcPr>
          <w:p w14:paraId="3340805C" w14:textId="77777777" w:rsidR="003F0EEA" w:rsidRDefault="00FB7D0B">
            <w:pPr>
              <w:jc w:val="right"/>
              <w:rPr>
                <w:rFonts w:ascii="Arial" w:eastAsia="Arial" w:hAnsi="Arial" w:cs="Arial"/>
                <w:b/>
                <w:snapToGrid w:val="0"/>
                <w:color w:val="000000"/>
                <w:sz w:val="16"/>
              </w:rPr>
            </w:pPr>
            <w:r>
              <w:rPr>
                <w:rFonts w:ascii="Arial" w:eastAsia="Arial" w:hAnsi="Arial" w:cs="Arial"/>
                <w:b/>
                <w:snapToGrid w:val="0"/>
                <w:color w:val="000000"/>
                <w:sz w:val="16"/>
              </w:rPr>
              <w:t xml:space="preserve"> 9,753 </w:t>
            </w:r>
          </w:p>
        </w:tc>
      </w:tr>
      <w:tr w:rsidR="00724034" w14:paraId="181EF34D" w14:textId="77777777">
        <w:trPr>
          <w:trHeight w:val="60"/>
        </w:trPr>
        <w:tc>
          <w:tcPr>
            <w:tcW w:w="180" w:type="dxa"/>
            <w:tcBorders>
              <w:top w:val="nil"/>
              <w:left w:val="nil"/>
              <w:bottom w:val="nil"/>
              <w:right w:val="nil"/>
              <w:tl2br w:val="nil"/>
              <w:tr2bl w:val="nil"/>
            </w:tcBorders>
            <w:shd w:val="clear" w:color="auto" w:fill="FFFFFF"/>
            <w:tcMar>
              <w:left w:w="115" w:type="dxa"/>
              <w:right w:w="115" w:type="dxa"/>
            </w:tcMar>
            <w:vAlign w:val="bottom"/>
          </w:tcPr>
          <w:p w14:paraId="44EC6992" w14:textId="77777777" w:rsidR="003F0EEA" w:rsidRDefault="003F0EEA">
            <w:pPr>
              <w:rPr>
                <w:rFonts w:ascii="Arial" w:eastAsia="Arial" w:hAnsi="Arial" w:cs="Arial"/>
                <w:b/>
                <w:snapToGrid w:val="0"/>
                <w:color w:val="000000"/>
                <w:sz w:val="16"/>
              </w:rPr>
            </w:pPr>
          </w:p>
        </w:tc>
        <w:tc>
          <w:tcPr>
            <w:tcW w:w="180" w:type="dxa"/>
            <w:tcBorders>
              <w:top w:val="nil"/>
              <w:left w:val="nil"/>
              <w:bottom w:val="nil"/>
              <w:right w:val="nil"/>
              <w:tl2br w:val="nil"/>
              <w:tr2bl w:val="nil"/>
            </w:tcBorders>
            <w:shd w:val="clear" w:color="auto" w:fill="FFFFFF"/>
            <w:tcMar>
              <w:left w:w="115" w:type="dxa"/>
              <w:right w:w="115" w:type="dxa"/>
            </w:tcMar>
            <w:vAlign w:val="bottom"/>
          </w:tcPr>
          <w:p w14:paraId="3C9AE580" w14:textId="77777777" w:rsidR="003F0EEA" w:rsidRDefault="003F0EEA">
            <w:pPr>
              <w:rPr>
                <w:rFonts w:ascii="Arial" w:eastAsia="Arial" w:hAnsi="Arial" w:cs="Arial"/>
                <w:snapToGrid w:val="0"/>
                <w:color w:val="000000"/>
                <w:sz w:val="16"/>
              </w:rPr>
            </w:pPr>
          </w:p>
        </w:tc>
        <w:tc>
          <w:tcPr>
            <w:tcW w:w="2700" w:type="dxa"/>
            <w:tcBorders>
              <w:top w:val="nil"/>
              <w:left w:val="nil"/>
              <w:bottom w:val="nil"/>
              <w:right w:val="nil"/>
              <w:tl2br w:val="nil"/>
              <w:tr2bl w:val="nil"/>
            </w:tcBorders>
            <w:shd w:val="clear" w:color="auto" w:fill="FFFFFF"/>
            <w:tcMar>
              <w:left w:w="115" w:type="dxa"/>
              <w:right w:w="115" w:type="dxa"/>
            </w:tcMar>
            <w:vAlign w:val="bottom"/>
          </w:tcPr>
          <w:p w14:paraId="1D6322B7" w14:textId="77777777" w:rsidR="003F0EEA" w:rsidRDefault="003F0EEA">
            <w:pPr>
              <w:rPr>
                <w:rFonts w:ascii="Arial" w:eastAsia="Arial" w:hAnsi="Arial" w:cs="Arial"/>
                <w:snapToGrid w:val="0"/>
                <w:color w:val="000000"/>
                <w:sz w:val="16"/>
              </w:rPr>
            </w:pPr>
          </w:p>
        </w:tc>
        <w:tc>
          <w:tcPr>
            <w:tcW w:w="990"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7F377755" w14:textId="77777777" w:rsidR="003F0EEA" w:rsidRDefault="003F0EEA">
            <w:pPr>
              <w:jc w:val="right"/>
              <w:rPr>
                <w:rFonts w:ascii="Arial" w:eastAsia="Arial" w:hAnsi="Arial" w:cs="Arial"/>
                <w:snapToGrid w:val="0"/>
                <w:color w:val="000000"/>
                <w:sz w:val="16"/>
                <w:vertAlign w:val="superscript"/>
              </w:rPr>
            </w:pPr>
          </w:p>
        </w:tc>
        <w:tc>
          <w:tcPr>
            <w:tcW w:w="990" w:type="dxa"/>
            <w:tcBorders>
              <w:top w:val="single" w:sz="6" w:space="0" w:color="000000"/>
              <w:left w:val="nil"/>
              <w:bottom w:val="nil"/>
              <w:right w:val="nil"/>
              <w:tl2br w:val="nil"/>
              <w:tr2bl w:val="nil"/>
            </w:tcBorders>
            <w:shd w:val="clear" w:color="auto" w:fill="C0C0C0"/>
            <w:tcMar>
              <w:left w:w="115" w:type="dxa"/>
              <w:right w:w="115" w:type="dxa"/>
            </w:tcMar>
            <w:vAlign w:val="bottom"/>
          </w:tcPr>
          <w:p w14:paraId="0DE9E235" w14:textId="77777777" w:rsidR="003F0EEA" w:rsidRDefault="003F0EEA">
            <w:pPr>
              <w:jc w:val="right"/>
              <w:rPr>
                <w:rFonts w:ascii="Arial" w:eastAsia="Arial" w:hAnsi="Arial" w:cs="Arial"/>
                <w:snapToGrid w:val="0"/>
                <w:color w:val="000000"/>
                <w:sz w:val="16"/>
                <w:vertAlign w:val="superscript"/>
              </w:rPr>
            </w:pPr>
          </w:p>
        </w:tc>
        <w:tc>
          <w:tcPr>
            <w:tcW w:w="990"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6097B523" w14:textId="77777777" w:rsidR="003F0EEA" w:rsidRDefault="003F0EEA">
            <w:pPr>
              <w:jc w:val="right"/>
              <w:rPr>
                <w:rFonts w:ascii="Arial" w:eastAsia="Arial" w:hAnsi="Arial" w:cs="Arial"/>
                <w:b/>
                <w:snapToGrid w:val="0"/>
                <w:color w:val="000000"/>
                <w:sz w:val="16"/>
                <w:vertAlign w:val="superscript"/>
              </w:rPr>
            </w:pPr>
          </w:p>
        </w:tc>
        <w:tc>
          <w:tcPr>
            <w:tcW w:w="990"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370CEE29" w14:textId="77777777" w:rsidR="003F0EEA" w:rsidRDefault="003F0EEA">
            <w:pPr>
              <w:jc w:val="right"/>
              <w:rPr>
                <w:rFonts w:ascii="Arial" w:eastAsia="Arial" w:hAnsi="Arial" w:cs="Arial"/>
                <w:snapToGrid w:val="0"/>
                <w:color w:val="000000"/>
                <w:sz w:val="16"/>
                <w:vertAlign w:val="superscript"/>
              </w:rPr>
            </w:pPr>
          </w:p>
        </w:tc>
        <w:tc>
          <w:tcPr>
            <w:tcW w:w="990"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06196AB2" w14:textId="77777777" w:rsidR="003F0EEA" w:rsidRDefault="003F0EEA">
            <w:pPr>
              <w:jc w:val="right"/>
              <w:rPr>
                <w:rFonts w:ascii="Arial" w:eastAsia="Arial" w:hAnsi="Arial" w:cs="Arial"/>
                <w:snapToGrid w:val="0"/>
                <w:color w:val="000000"/>
                <w:sz w:val="16"/>
                <w:vertAlign w:val="superscript"/>
              </w:rPr>
            </w:pPr>
          </w:p>
        </w:tc>
      </w:tr>
      <w:tr w:rsidR="00724034" w14:paraId="3910180B" w14:textId="77777777">
        <w:trPr>
          <w:trHeight w:val="60"/>
        </w:trPr>
        <w:tc>
          <w:tcPr>
            <w:tcW w:w="180" w:type="dxa"/>
            <w:tcBorders>
              <w:top w:val="nil"/>
              <w:left w:val="nil"/>
              <w:bottom w:val="nil"/>
              <w:right w:val="nil"/>
              <w:tl2br w:val="nil"/>
              <w:tr2bl w:val="nil"/>
            </w:tcBorders>
            <w:shd w:val="clear" w:color="auto" w:fill="FFFFFF"/>
            <w:tcMar>
              <w:left w:w="115" w:type="dxa"/>
              <w:right w:w="115" w:type="dxa"/>
            </w:tcMar>
            <w:vAlign w:val="bottom"/>
          </w:tcPr>
          <w:p w14:paraId="76689322" w14:textId="77777777" w:rsidR="003F0EEA" w:rsidRDefault="003F0EEA">
            <w:pPr>
              <w:rPr>
                <w:rFonts w:ascii="Arial" w:eastAsia="Arial" w:hAnsi="Arial" w:cs="Arial"/>
                <w:snapToGrid w:val="0"/>
                <w:color w:val="000000"/>
                <w:sz w:val="16"/>
                <w:vertAlign w:val="superscript"/>
              </w:rPr>
            </w:pPr>
          </w:p>
        </w:tc>
        <w:tc>
          <w:tcPr>
            <w:tcW w:w="180" w:type="dxa"/>
            <w:tcBorders>
              <w:top w:val="nil"/>
              <w:left w:val="nil"/>
              <w:bottom w:val="nil"/>
              <w:right w:val="nil"/>
              <w:tl2br w:val="nil"/>
              <w:tr2bl w:val="nil"/>
            </w:tcBorders>
            <w:shd w:val="clear" w:color="auto" w:fill="FFFFFF"/>
            <w:tcMar>
              <w:left w:w="115" w:type="dxa"/>
              <w:right w:w="115" w:type="dxa"/>
            </w:tcMar>
            <w:vAlign w:val="bottom"/>
          </w:tcPr>
          <w:p w14:paraId="24E1681A" w14:textId="77777777" w:rsidR="003F0EEA" w:rsidRDefault="003F0EEA">
            <w:pPr>
              <w:rPr>
                <w:rFonts w:ascii="Arial" w:eastAsia="Arial" w:hAnsi="Arial" w:cs="Arial"/>
                <w:snapToGrid w:val="0"/>
                <w:color w:val="000000"/>
                <w:sz w:val="16"/>
                <w:vertAlign w:val="superscript"/>
              </w:rPr>
            </w:pPr>
          </w:p>
        </w:tc>
        <w:tc>
          <w:tcPr>
            <w:tcW w:w="2700" w:type="dxa"/>
            <w:tcBorders>
              <w:top w:val="nil"/>
              <w:left w:val="nil"/>
              <w:bottom w:val="nil"/>
              <w:right w:val="nil"/>
              <w:tl2br w:val="nil"/>
              <w:tr2bl w:val="nil"/>
            </w:tcBorders>
            <w:shd w:val="clear" w:color="auto" w:fill="FFFFFF"/>
            <w:tcMar>
              <w:left w:w="115" w:type="dxa"/>
              <w:right w:w="115" w:type="dxa"/>
            </w:tcMar>
            <w:vAlign w:val="bottom"/>
          </w:tcPr>
          <w:p w14:paraId="766384E2" w14:textId="77777777" w:rsidR="003F0EEA" w:rsidRDefault="003F0EEA">
            <w:pPr>
              <w:rPr>
                <w:rFonts w:ascii="Arial" w:eastAsia="Arial" w:hAnsi="Arial" w:cs="Arial"/>
                <w:snapToGrid w:val="0"/>
                <w:color w:val="000000"/>
                <w:sz w:val="16"/>
                <w:vertAlign w:val="superscript"/>
              </w:rPr>
            </w:pPr>
          </w:p>
        </w:tc>
        <w:tc>
          <w:tcPr>
            <w:tcW w:w="990" w:type="dxa"/>
            <w:tcBorders>
              <w:top w:val="nil"/>
              <w:left w:val="nil"/>
              <w:bottom w:val="nil"/>
              <w:right w:val="nil"/>
              <w:tl2br w:val="nil"/>
              <w:tr2bl w:val="nil"/>
            </w:tcBorders>
            <w:shd w:val="clear" w:color="auto" w:fill="FFFFFF"/>
            <w:tcMar>
              <w:left w:w="115" w:type="dxa"/>
              <w:right w:w="115" w:type="dxa"/>
            </w:tcMar>
            <w:vAlign w:val="bottom"/>
          </w:tcPr>
          <w:p w14:paraId="62EDD154" w14:textId="77777777" w:rsidR="003F0EEA" w:rsidRDefault="003F0EEA">
            <w:pPr>
              <w:jc w:val="right"/>
              <w:rPr>
                <w:rFonts w:ascii="Arial" w:eastAsia="Arial" w:hAnsi="Arial" w:cs="Arial"/>
                <w:snapToGrid w:val="0"/>
                <w:color w:val="000000"/>
                <w:sz w:val="16"/>
                <w:vertAlign w:val="superscript"/>
              </w:rPr>
            </w:pPr>
          </w:p>
        </w:tc>
        <w:tc>
          <w:tcPr>
            <w:tcW w:w="990" w:type="dxa"/>
            <w:tcBorders>
              <w:top w:val="nil"/>
              <w:left w:val="nil"/>
              <w:bottom w:val="nil"/>
              <w:right w:val="nil"/>
              <w:tl2br w:val="nil"/>
              <w:tr2bl w:val="nil"/>
            </w:tcBorders>
            <w:shd w:val="clear" w:color="auto" w:fill="C0C0C0"/>
            <w:tcMar>
              <w:left w:w="115" w:type="dxa"/>
              <w:right w:w="115" w:type="dxa"/>
            </w:tcMar>
            <w:vAlign w:val="bottom"/>
          </w:tcPr>
          <w:p w14:paraId="58846DD6" w14:textId="77777777" w:rsidR="003F0EEA" w:rsidRDefault="003F0EEA">
            <w:pPr>
              <w:jc w:val="right"/>
              <w:rPr>
                <w:rFonts w:ascii="Arial" w:eastAsia="Arial" w:hAnsi="Arial" w:cs="Arial"/>
                <w:snapToGrid w:val="0"/>
                <w:color w:val="000000"/>
                <w:sz w:val="16"/>
                <w:vertAlign w:val="superscript"/>
              </w:rPr>
            </w:pPr>
          </w:p>
        </w:tc>
        <w:tc>
          <w:tcPr>
            <w:tcW w:w="990" w:type="dxa"/>
            <w:tcBorders>
              <w:top w:val="nil"/>
              <w:left w:val="nil"/>
              <w:bottom w:val="nil"/>
              <w:right w:val="nil"/>
              <w:tl2br w:val="nil"/>
              <w:tr2bl w:val="nil"/>
            </w:tcBorders>
            <w:shd w:val="clear" w:color="auto" w:fill="FFFFFF"/>
            <w:tcMar>
              <w:left w:w="115" w:type="dxa"/>
              <w:right w:w="115" w:type="dxa"/>
            </w:tcMar>
            <w:vAlign w:val="bottom"/>
          </w:tcPr>
          <w:p w14:paraId="6B76A147" w14:textId="77777777" w:rsidR="003F0EEA" w:rsidRDefault="003F0EEA">
            <w:pPr>
              <w:jc w:val="right"/>
              <w:rPr>
                <w:rFonts w:ascii="Arial" w:eastAsia="Arial" w:hAnsi="Arial" w:cs="Arial"/>
                <w:b/>
                <w:snapToGrid w:val="0"/>
                <w:color w:val="000000"/>
                <w:sz w:val="16"/>
                <w:vertAlign w:val="superscript"/>
              </w:rPr>
            </w:pPr>
          </w:p>
        </w:tc>
        <w:tc>
          <w:tcPr>
            <w:tcW w:w="990" w:type="dxa"/>
            <w:tcBorders>
              <w:top w:val="nil"/>
              <w:left w:val="nil"/>
              <w:bottom w:val="nil"/>
              <w:right w:val="nil"/>
              <w:tl2br w:val="nil"/>
              <w:tr2bl w:val="nil"/>
            </w:tcBorders>
            <w:shd w:val="clear" w:color="auto" w:fill="FFFFFF"/>
            <w:tcMar>
              <w:left w:w="115" w:type="dxa"/>
              <w:right w:w="115" w:type="dxa"/>
            </w:tcMar>
            <w:vAlign w:val="bottom"/>
          </w:tcPr>
          <w:p w14:paraId="41160845" w14:textId="77777777" w:rsidR="003F0EEA" w:rsidRDefault="003F0EEA">
            <w:pPr>
              <w:jc w:val="right"/>
              <w:rPr>
                <w:rFonts w:ascii="Arial" w:eastAsia="Arial" w:hAnsi="Arial" w:cs="Arial"/>
                <w:snapToGrid w:val="0"/>
                <w:color w:val="000000"/>
                <w:sz w:val="16"/>
                <w:vertAlign w:val="superscript"/>
              </w:rPr>
            </w:pPr>
          </w:p>
        </w:tc>
        <w:tc>
          <w:tcPr>
            <w:tcW w:w="990" w:type="dxa"/>
            <w:tcBorders>
              <w:top w:val="nil"/>
              <w:left w:val="nil"/>
              <w:bottom w:val="nil"/>
              <w:right w:val="nil"/>
              <w:tl2br w:val="nil"/>
              <w:tr2bl w:val="nil"/>
            </w:tcBorders>
            <w:shd w:val="clear" w:color="auto" w:fill="FFFFFF"/>
            <w:tcMar>
              <w:left w:w="115" w:type="dxa"/>
              <w:right w:w="115" w:type="dxa"/>
            </w:tcMar>
            <w:vAlign w:val="bottom"/>
          </w:tcPr>
          <w:p w14:paraId="05481311" w14:textId="77777777" w:rsidR="003F0EEA" w:rsidRDefault="003F0EEA">
            <w:pPr>
              <w:jc w:val="right"/>
              <w:rPr>
                <w:rFonts w:ascii="Arial" w:eastAsia="Arial" w:hAnsi="Arial" w:cs="Arial"/>
                <w:snapToGrid w:val="0"/>
                <w:color w:val="000000"/>
                <w:sz w:val="16"/>
                <w:vertAlign w:val="superscript"/>
              </w:rPr>
            </w:pPr>
          </w:p>
        </w:tc>
      </w:tr>
      <w:tr w:rsidR="00355BFE" w14:paraId="69C309F8" w14:textId="77777777" w:rsidTr="00355BFE">
        <w:trPr>
          <w:trHeight w:val="225"/>
        </w:trPr>
        <w:tc>
          <w:tcPr>
            <w:tcW w:w="3060" w:type="dxa"/>
            <w:gridSpan w:val="3"/>
            <w:tcBorders>
              <w:top w:val="nil"/>
              <w:left w:val="nil"/>
              <w:bottom w:val="nil"/>
              <w:right w:val="nil"/>
              <w:tl2br w:val="nil"/>
              <w:tr2bl w:val="nil"/>
            </w:tcBorders>
            <w:shd w:val="clear" w:color="auto" w:fill="FFFFFF"/>
            <w:tcMar>
              <w:left w:w="115" w:type="dxa"/>
              <w:right w:w="115" w:type="dxa"/>
            </w:tcMar>
            <w:vAlign w:val="bottom"/>
          </w:tcPr>
          <w:p w14:paraId="39771F8F" w14:textId="77777777" w:rsidR="003F0EEA" w:rsidRDefault="00FB7D0B">
            <w:pPr>
              <w:rPr>
                <w:rFonts w:ascii="Arial" w:eastAsia="Arial" w:hAnsi="Arial" w:cs="Arial"/>
                <w:snapToGrid w:val="0"/>
                <w:color w:val="000000"/>
                <w:sz w:val="16"/>
                <w:vertAlign w:val="superscript"/>
              </w:rPr>
            </w:pPr>
            <w:r>
              <w:rPr>
                <w:rFonts w:ascii="Arial" w:eastAsia="Arial" w:hAnsi="Arial" w:cs="Arial"/>
                <w:b/>
                <w:snapToGrid w:val="0"/>
                <w:color w:val="000000"/>
                <w:sz w:val="16"/>
              </w:rPr>
              <w:t>Net cost of (contribution by)</w:t>
            </w:r>
          </w:p>
        </w:tc>
        <w:tc>
          <w:tcPr>
            <w:tcW w:w="990"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2A028851" w14:textId="77777777" w:rsidR="003F0EEA" w:rsidRDefault="003F0EEA">
            <w:pPr>
              <w:jc w:val="right"/>
              <w:rPr>
                <w:rFonts w:ascii="Arial" w:eastAsia="Arial" w:hAnsi="Arial" w:cs="Arial"/>
                <w:b/>
                <w:snapToGrid w:val="0"/>
                <w:color w:val="000000"/>
                <w:sz w:val="16"/>
                <w:vertAlign w:val="superscript"/>
              </w:rPr>
            </w:pPr>
          </w:p>
        </w:tc>
        <w:tc>
          <w:tcPr>
            <w:tcW w:w="990" w:type="dxa"/>
            <w:tcBorders>
              <w:top w:val="nil"/>
              <w:left w:val="nil"/>
              <w:bottom w:val="single" w:sz="6" w:space="0" w:color="000000"/>
              <w:right w:val="nil"/>
              <w:tl2br w:val="nil"/>
              <w:tr2bl w:val="nil"/>
            </w:tcBorders>
            <w:shd w:val="clear" w:color="auto" w:fill="C0C0C0"/>
            <w:tcMar>
              <w:left w:w="115" w:type="dxa"/>
              <w:right w:w="115" w:type="dxa"/>
            </w:tcMar>
            <w:vAlign w:val="bottom"/>
          </w:tcPr>
          <w:p w14:paraId="3E345D53" w14:textId="77777777" w:rsidR="003F0EEA" w:rsidRDefault="003F0EEA">
            <w:pPr>
              <w:jc w:val="right"/>
              <w:rPr>
                <w:rFonts w:ascii="Arial" w:eastAsia="Arial" w:hAnsi="Arial" w:cs="Arial"/>
                <w:snapToGrid w:val="0"/>
                <w:color w:val="000000"/>
                <w:sz w:val="16"/>
                <w:vertAlign w:val="superscript"/>
              </w:rPr>
            </w:pPr>
          </w:p>
        </w:tc>
        <w:tc>
          <w:tcPr>
            <w:tcW w:w="990"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79ED0115" w14:textId="77777777" w:rsidR="003F0EEA" w:rsidRDefault="003F0EEA">
            <w:pPr>
              <w:jc w:val="right"/>
              <w:rPr>
                <w:rFonts w:ascii="Arial" w:eastAsia="Arial" w:hAnsi="Arial" w:cs="Arial"/>
                <w:b/>
                <w:snapToGrid w:val="0"/>
                <w:color w:val="000000"/>
                <w:sz w:val="16"/>
                <w:vertAlign w:val="superscript"/>
              </w:rPr>
            </w:pPr>
          </w:p>
        </w:tc>
        <w:tc>
          <w:tcPr>
            <w:tcW w:w="990"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144F6ADB" w14:textId="77777777" w:rsidR="003F0EEA" w:rsidRDefault="003F0EEA">
            <w:pPr>
              <w:jc w:val="right"/>
              <w:rPr>
                <w:rFonts w:ascii="Arial" w:eastAsia="Arial" w:hAnsi="Arial" w:cs="Arial"/>
                <w:snapToGrid w:val="0"/>
                <w:color w:val="000000"/>
                <w:sz w:val="16"/>
                <w:vertAlign w:val="superscript"/>
              </w:rPr>
            </w:pPr>
          </w:p>
        </w:tc>
        <w:tc>
          <w:tcPr>
            <w:tcW w:w="990"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45C32083" w14:textId="77777777" w:rsidR="003F0EEA" w:rsidRDefault="003F0EEA">
            <w:pPr>
              <w:jc w:val="right"/>
              <w:rPr>
                <w:rFonts w:ascii="Arial" w:eastAsia="Arial" w:hAnsi="Arial" w:cs="Arial"/>
                <w:snapToGrid w:val="0"/>
                <w:color w:val="000000"/>
                <w:sz w:val="16"/>
                <w:vertAlign w:val="superscript"/>
              </w:rPr>
            </w:pPr>
          </w:p>
        </w:tc>
      </w:tr>
      <w:tr w:rsidR="00355BFE" w14:paraId="4023FC59" w14:textId="77777777" w:rsidTr="00355BFE">
        <w:trPr>
          <w:trHeight w:val="225"/>
        </w:trPr>
        <w:tc>
          <w:tcPr>
            <w:tcW w:w="3060" w:type="dxa"/>
            <w:gridSpan w:val="3"/>
            <w:tcBorders>
              <w:top w:val="nil"/>
              <w:left w:val="nil"/>
              <w:bottom w:val="nil"/>
              <w:right w:val="nil"/>
              <w:tl2br w:val="nil"/>
              <w:tr2bl w:val="nil"/>
            </w:tcBorders>
            <w:shd w:val="clear" w:color="auto" w:fill="FFFFFF"/>
            <w:tcMar>
              <w:left w:w="115" w:type="dxa"/>
              <w:right w:w="115" w:type="dxa"/>
            </w:tcMar>
            <w:vAlign w:val="bottom"/>
          </w:tcPr>
          <w:p w14:paraId="7A625AC3" w14:textId="77777777" w:rsidR="003F0EEA" w:rsidRDefault="00FB7D0B">
            <w:pPr>
              <w:rPr>
                <w:rFonts w:ascii="Arial" w:eastAsia="Arial" w:hAnsi="Arial" w:cs="Arial"/>
                <w:snapToGrid w:val="0"/>
                <w:color w:val="000000"/>
                <w:sz w:val="16"/>
                <w:vertAlign w:val="superscript"/>
              </w:rPr>
            </w:pPr>
            <w:r>
              <w:rPr>
                <w:rFonts w:ascii="Arial" w:eastAsia="Arial" w:hAnsi="Arial" w:cs="Arial"/>
                <w:b/>
                <w:snapToGrid w:val="0"/>
                <w:color w:val="000000"/>
                <w:sz w:val="16"/>
              </w:rPr>
              <w:t>services</w:t>
            </w:r>
          </w:p>
        </w:tc>
        <w:tc>
          <w:tcPr>
            <w:tcW w:w="990" w:type="dxa"/>
            <w:tcBorders>
              <w:top w:val="single" w:sz="6" w:space="0" w:color="000000"/>
              <w:left w:val="nil"/>
              <w:bottom w:val="single" w:sz="6" w:space="0" w:color="000000"/>
              <w:right w:val="nil"/>
              <w:tl2br w:val="nil"/>
              <w:tr2bl w:val="nil"/>
            </w:tcBorders>
            <w:shd w:val="clear" w:color="auto" w:fill="FFFFFF"/>
            <w:tcMar>
              <w:left w:w="115" w:type="dxa"/>
              <w:right w:w="115" w:type="dxa"/>
            </w:tcMar>
            <w:vAlign w:val="bottom"/>
          </w:tcPr>
          <w:p w14:paraId="2A40EBB8" w14:textId="77777777" w:rsidR="003F0EEA" w:rsidRDefault="00FB7D0B">
            <w:pPr>
              <w:jc w:val="right"/>
              <w:rPr>
                <w:rFonts w:ascii="Arial" w:eastAsia="Arial" w:hAnsi="Arial" w:cs="Arial"/>
                <w:b/>
                <w:snapToGrid w:val="0"/>
                <w:color w:val="000000"/>
                <w:sz w:val="16"/>
                <w:vertAlign w:val="superscript"/>
              </w:rPr>
            </w:pPr>
            <w:r>
              <w:rPr>
                <w:rFonts w:ascii="Arial" w:eastAsia="Arial" w:hAnsi="Arial" w:cs="Arial"/>
                <w:b/>
                <w:snapToGrid w:val="0"/>
                <w:color w:val="000000"/>
                <w:sz w:val="16"/>
              </w:rPr>
              <w:t xml:space="preserve"> 50,603 </w:t>
            </w:r>
          </w:p>
        </w:tc>
        <w:tc>
          <w:tcPr>
            <w:tcW w:w="990" w:type="dxa"/>
            <w:tcBorders>
              <w:top w:val="single" w:sz="6" w:space="0" w:color="000000"/>
              <w:left w:val="nil"/>
              <w:bottom w:val="single" w:sz="6" w:space="0" w:color="000000"/>
              <w:right w:val="nil"/>
              <w:tl2br w:val="nil"/>
              <w:tr2bl w:val="nil"/>
            </w:tcBorders>
            <w:shd w:val="clear" w:color="auto" w:fill="C0C0C0"/>
            <w:tcMar>
              <w:left w:w="115" w:type="dxa"/>
              <w:right w:w="115" w:type="dxa"/>
            </w:tcMar>
            <w:vAlign w:val="bottom"/>
          </w:tcPr>
          <w:p w14:paraId="179FB582" w14:textId="77777777" w:rsidR="003F0EEA" w:rsidRDefault="00FB7D0B">
            <w:pPr>
              <w:jc w:val="right"/>
              <w:rPr>
                <w:rFonts w:ascii="Arial" w:eastAsia="Arial" w:hAnsi="Arial" w:cs="Arial"/>
                <w:b/>
                <w:snapToGrid w:val="0"/>
                <w:color w:val="000000"/>
                <w:sz w:val="16"/>
              </w:rPr>
            </w:pPr>
            <w:r>
              <w:rPr>
                <w:rFonts w:ascii="Arial" w:eastAsia="Arial" w:hAnsi="Arial" w:cs="Arial"/>
                <w:b/>
                <w:snapToGrid w:val="0"/>
                <w:color w:val="000000"/>
                <w:sz w:val="16"/>
              </w:rPr>
              <w:t xml:space="preserve"> 57,933 </w:t>
            </w:r>
          </w:p>
        </w:tc>
        <w:tc>
          <w:tcPr>
            <w:tcW w:w="990" w:type="dxa"/>
            <w:tcBorders>
              <w:top w:val="single" w:sz="6" w:space="0" w:color="000000"/>
              <w:left w:val="nil"/>
              <w:bottom w:val="single" w:sz="6" w:space="0" w:color="000000"/>
              <w:right w:val="nil"/>
              <w:tl2br w:val="nil"/>
              <w:tr2bl w:val="nil"/>
            </w:tcBorders>
            <w:shd w:val="clear" w:color="auto" w:fill="FFFFFF"/>
            <w:tcMar>
              <w:left w:w="115" w:type="dxa"/>
              <w:right w:w="115" w:type="dxa"/>
            </w:tcMar>
            <w:vAlign w:val="bottom"/>
          </w:tcPr>
          <w:p w14:paraId="6502F086" w14:textId="77777777" w:rsidR="003F0EEA" w:rsidRDefault="00FB7D0B">
            <w:pPr>
              <w:jc w:val="right"/>
              <w:rPr>
                <w:rFonts w:ascii="Arial" w:eastAsia="Arial" w:hAnsi="Arial" w:cs="Arial"/>
                <w:b/>
                <w:snapToGrid w:val="0"/>
                <w:color w:val="000000"/>
                <w:sz w:val="16"/>
              </w:rPr>
            </w:pPr>
            <w:r>
              <w:rPr>
                <w:rFonts w:ascii="Arial" w:eastAsia="Arial" w:hAnsi="Arial" w:cs="Arial"/>
                <w:b/>
                <w:snapToGrid w:val="0"/>
                <w:color w:val="000000"/>
                <w:sz w:val="16"/>
              </w:rPr>
              <w:t xml:space="preserve"> 49,568 </w:t>
            </w:r>
          </w:p>
        </w:tc>
        <w:tc>
          <w:tcPr>
            <w:tcW w:w="990" w:type="dxa"/>
            <w:tcBorders>
              <w:top w:val="single" w:sz="6" w:space="0" w:color="000000"/>
              <w:left w:val="nil"/>
              <w:bottom w:val="single" w:sz="6" w:space="0" w:color="000000"/>
              <w:right w:val="nil"/>
              <w:tl2br w:val="nil"/>
              <w:tr2bl w:val="nil"/>
            </w:tcBorders>
            <w:shd w:val="clear" w:color="auto" w:fill="FFFFFF"/>
            <w:tcMar>
              <w:left w:w="115" w:type="dxa"/>
              <w:right w:w="115" w:type="dxa"/>
            </w:tcMar>
            <w:vAlign w:val="bottom"/>
          </w:tcPr>
          <w:p w14:paraId="3CD23CA4" w14:textId="77777777" w:rsidR="003F0EEA" w:rsidRDefault="00FB7D0B">
            <w:pPr>
              <w:jc w:val="right"/>
              <w:rPr>
                <w:rFonts w:ascii="Arial" w:eastAsia="Arial" w:hAnsi="Arial" w:cs="Arial"/>
                <w:b/>
                <w:snapToGrid w:val="0"/>
                <w:color w:val="000000"/>
                <w:sz w:val="16"/>
              </w:rPr>
            </w:pPr>
            <w:r>
              <w:rPr>
                <w:rFonts w:ascii="Arial" w:eastAsia="Arial" w:hAnsi="Arial" w:cs="Arial"/>
                <w:b/>
                <w:snapToGrid w:val="0"/>
                <w:color w:val="000000"/>
                <w:sz w:val="16"/>
              </w:rPr>
              <w:t xml:space="preserve"> 48,637 </w:t>
            </w:r>
          </w:p>
        </w:tc>
        <w:tc>
          <w:tcPr>
            <w:tcW w:w="990" w:type="dxa"/>
            <w:tcBorders>
              <w:top w:val="single" w:sz="6" w:space="0" w:color="000000"/>
              <w:left w:val="nil"/>
              <w:bottom w:val="single" w:sz="6" w:space="0" w:color="000000"/>
              <w:right w:val="nil"/>
              <w:tl2br w:val="nil"/>
              <w:tr2bl w:val="nil"/>
            </w:tcBorders>
            <w:shd w:val="clear" w:color="auto" w:fill="FFFFFF"/>
            <w:tcMar>
              <w:left w:w="115" w:type="dxa"/>
              <w:right w:w="115" w:type="dxa"/>
            </w:tcMar>
            <w:vAlign w:val="bottom"/>
          </w:tcPr>
          <w:p w14:paraId="686D31FF" w14:textId="77777777" w:rsidR="003F0EEA" w:rsidRDefault="00FB7D0B">
            <w:pPr>
              <w:jc w:val="right"/>
              <w:rPr>
                <w:rFonts w:ascii="Arial" w:eastAsia="Arial" w:hAnsi="Arial" w:cs="Arial"/>
                <w:b/>
                <w:snapToGrid w:val="0"/>
                <w:color w:val="000000"/>
                <w:sz w:val="16"/>
              </w:rPr>
            </w:pPr>
            <w:r>
              <w:rPr>
                <w:rFonts w:ascii="Arial" w:eastAsia="Arial" w:hAnsi="Arial" w:cs="Arial"/>
                <w:b/>
                <w:snapToGrid w:val="0"/>
                <w:color w:val="000000"/>
                <w:sz w:val="16"/>
              </w:rPr>
              <w:t xml:space="preserve"> 48,214 </w:t>
            </w:r>
          </w:p>
        </w:tc>
      </w:tr>
      <w:tr w:rsidR="00724034" w14:paraId="513B5D43" w14:textId="77777777">
        <w:trPr>
          <w:trHeight w:val="225"/>
        </w:trPr>
        <w:tc>
          <w:tcPr>
            <w:tcW w:w="180" w:type="dxa"/>
            <w:tcBorders>
              <w:top w:val="nil"/>
              <w:left w:val="nil"/>
              <w:bottom w:val="nil"/>
              <w:right w:val="nil"/>
              <w:tl2br w:val="nil"/>
              <w:tr2bl w:val="nil"/>
            </w:tcBorders>
            <w:shd w:val="clear" w:color="auto" w:fill="FFFFFF"/>
            <w:tcMar>
              <w:left w:w="115" w:type="dxa"/>
              <w:right w:w="115" w:type="dxa"/>
            </w:tcMar>
            <w:vAlign w:val="bottom"/>
          </w:tcPr>
          <w:p w14:paraId="3F94ADB6" w14:textId="77777777" w:rsidR="003F0EEA" w:rsidRDefault="003F0EEA">
            <w:pPr>
              <w:rPr>
                <w:rFonts w:ascii="Arial" w:eastAsia="Arial" w:hAnsi="Arial" w:cs="Arial"/>
                <w:b/>
                <w:snapToGrid w:val="0"/>
                <w:color w:val="000000"/>
                <w:sz w:val="16"/>
              </w:rPr>
            </w:pPr>
          </w:p>
        </w:tc>
        <w:tc>
          <w:tcPr>
            <w:tcW w:w="180" w:type="dxa"/>
            <w:tcBorders>
              <w:top w:val="nil"/>
              <w:left w:val="nil"/>
              <w:bottom w:val="nil"/>
              <w:right w:val="nil"/>
              <w:tl2br w:val="nil"/>
              <w:tr2bl w:val="nil"/>
            </w:tcBorders>
            <w:shd w:val="clear" w:color="auto" w:fill="FFFFFF"/>
            <w:tcMar>
              <w:left w:w="115" w:type="dxa"/>
              <w:right w:w="115" w:type="dxa"/>
            </w:tcMar>
            <w:vAlign w:val="bottom"/>
          </w:tcPr>
          <w:p w14:paraId="45D8EE9E" w14:textId="77777777" w:rsidR="003F0EEA" w:rsidRDefault="003F0EEA">
            <w:pPr>
              <w:rPr>
                <w:rFonts w:ascii="Arial" w:eastAsia="Arial" w:hAnsi="Arial" w:cs="Arial"/>
                <w:b/>
                <w:snapToGrid w:val="0"/>
                <w:color w:val="000000"/>
                <w:sz w:val="16"/>
              </w:rPr>
            </w:pPr>
          </w:p>
        </w:tc>
        <w:tc>
          <w:tcPr>
            <w:tcW w:w="2700" w:type="dxa"/>
            <w:tcBorders>
              <w:top w:val="nil"/>
              <w:left w:val="nil"/>
              <w:bottom w:val="nil"/>
              <w:right w:val="nil"/>
              <w:tl2br w:val="nil"/>
              <w:tr2bl w:val="nil"/>
            </w:tcBorders>
            <w:shd w:val="clear" w:color="auto" w:fill="FFFFFF"/>
            <w:tcMar>
              <w:left w:w="115" w:type="dxa"/>
              <w:right w:w="115" w:type="dxa"/>
            </w:tcMar>
            <w:vAlign w:val="bottom"/>
          </w:tcPr>
          <w:p w14:paraId="2E46F286" w14:textId="77777777" w:rsidR="003F0EEA" w:rsidRDefault="003F0EEA">
            <w:pPr>
              <w:rPr>
                <w:rFonts w:ascii="Arial" w:eastAsia="Arial" w:hAnsi="Arial" w:cs="Arial"/>
                <w:snapToGrid w:val="0"/>
                <w:color w:val="000000"/>
                <w:sz w:val="20"/>
              </w:rPr>
            </w:pPr>
          </w:p>
        </w:tc>
        <w:tc>
          <w:tcPr>
            <w:tcW w:w="990"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72D2D153" w14:textId="77777777" w:rsidR="003F0EEA" w:rsidRDefault="003F0EEA">
            <w:pPr>
              <w:jc w:val="right"/>
              <w:rPr>
                <w:rFonts w:ascii="Arial" w:eastAsia="Arial" w:hAnsi="Arial" w:cs="Arial"/>
                <w:b/>
                <w:snapToGrid w:val="0"/>
                <w:color w:val="000000"/>
                <w:sz w:val="16"/>
                <w:vertAlign w:val="superscript"/>
              </w:rPr>
            </w:pPr>
          </w:p>
        </w:tc>
        <w:tc>
          <w:tcPr>
            <w:tcW w:w="990" w:type="dxa"/>
            <w:tcBorders>
              <w:top w:val="single" w:sz="6" w:space="0" w:color="000000"/>
              <w:left w:val="nil"/>
              <w:bottom w:val="nil"/>
              <w:right w:val="nil"/>
              <w:tl2br w:val="nil"/>
              <w:tr2bl w:val="nil"/>
            </w:tcBorders>
            <w:shd w:val="clear" w:color="auto" w:fill="C0C0C0"/>
            <w:tcMar>
              <w:left w:w="115" w:type="dxa"/>
              <w:right w:w="115" w:type="dxa"/>
            </w:tcMar>
            <w:vAlign w:val="bottom"/>
          </w:tcPr>
          <w:p w14:paraId="1CB54468" w14:textId="77777777" w:rsidR="003F0EEA" w:rsidRDefault="003F0EEA">
            <w:pPr>
              <w:jc w:val="right"/>
              <w:rPr>
                <w:rFonts w:ascii="Arial" w:eastAsia="Arial" w:hAnsi="Arial" w:cs="Arial"/>
                <w:snapToGrid w:val="0"/>
                <w:color w:val="000000"/>
                <w:sz w:val="16"/>
                <w:vertAlign w:val="superscript"/>
              </w:rPr>
            </w:pPr>
          </w:p>
        </w:tc>
        <w:tc>
          <w:tcPr>
            <w:tcW w:w="990"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710E08F1" w14:textId="77777777" w:rsidR="003F0EEA" w:rsidRDefault="003F0EEA">
            <w:pPr>
              <w:jc w:val="right"/>
              <w:rPr>
                <w:rFonts w:ascii="Arial" w:eastAsia="Arial" w:hAnsi="Arial" w:cs="Arial"/>
                <w:b/>
                <w:snapToGrid w:val="0"/>
                <w:color w:val="000000"/>
                <w:sz w:val="16"/>
                <w:vertAlign w:val="superscript"/>
              </w:rPr>
            </w:pPr>
          </w:p>
        </w:tc>
        <w:tc>
          <w:tcPr>
            <w:tcW w:w="990"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427A0A79" w14:textId="77777777" w:rsidR="003F0EEA" w:rsidRDefault="003F0EEA">
            <w:pPr>
              <w:jc w:val="right"/>
              <w:rPr>
                <w:rFonts w:ascii="Arial" w:eastAsia="Arial" w:hAnsi="Arial" w:cs="Arial"/>
                <w:snapToGrid w:val="0"/>
                <w:color w:val="000000"/>
                <w:sz w:val="16"/>
                <w:vertAlign w:val="superscript"/>
              </w:rPr>
            </w:pPr>
          </w:p>
        </w:tc>
        <w:tc>
          <w:tcPr>
            <w:tcW w:w="990"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5EF0A6C9" w14:textId="77777777" w:rsidR="003F0EEA" w:rsidRDefault="003F0EEA">
            <w:pPr>
              <w:jc w:val="right"/>
              <w:rPr>
                <w:rFonts w:ascii="Arial" w:eastAsia="Arial" w:hAnsi="Arial" w:cs="Arial"/>
                <w:snapToGrid w:val="0"/>
                <w:color w:val="000000"/>
                <w:sz w:val="16"/>
                <w:vertAlign w:val="superscript"/>
              </w:rPr>
            </w:pPr>
          </w:p>
        </w:tc>
      </w:tr>
      <w:tr w:rsidR="00355BFE" w14:paraId="315EC43A" w14:textId="77777777" w:rsidTr="00355BFE">
        <w:trPr>
          <w:trHeight w:val="225"/>
        </w:trPr>
        <w:tc>
          <w:tcPr>
            <w:tcW w:w="180" w:type="dxa"/>
            <w:tcBorders>
              <w:top w:val="nil"/>
              <w:left w:val="nil"/>
              <w:bottom w:val="nil"/>
              <w:right w:val="nil"/>
              <w:tl2br w:val="nil"/>
              <w:tr2bl w:val="nil"/>
            </w:tcBorders>
            <w:shd w:val="clear" w:color="auto" w:fill="FFFFFF"/>
            <w:tcMar>
              <w:left w:w="115" w:type="dxa"/>
              <w:right w:w="115" w:type="dxa"/>
            </w:tcMar>
            <w:vAlign w:val="bottom"/>
          </w:tcPr>
          <w:p w14:paraId="6D75B0EC" w14:textId="77777777" w:rsidR="003F0EEA" w:rsidRDefault="003F0EEA">
            <w:pPr>
              <w:rPr>
                <w:rFonts w:ascii="Arial" w:eastAsia="Arial" w:hAnsi="Arial" w:cs="Arial"/>
                <w:snapToGrid w:val="0"/>
                <w:color w:val="000000"/>
                <w:sz w:val="16"/>
                <w:vertAlign w:val="superscript"/>
              </w:rPr>
            </w:pPr>
          </w:p>
        </w:tc>
        <w:tc>
          <w:tcPr>
            <w:tcW w:w="2880" w:type="dxa"/>
            <w:gridSpan w:val="2"/>
            <w:tcBorders>
              <w:top w:val="nil"/>
              <w:left w:val="nil"/>
              <w:bottom w:val="nil"/>
              <w:right w:val="nil"/>
              <w:tl2br w:val="nil"/>
              <w:tr2bl w:val="nil"/>
            </w:tcBorders>
            <w:shd w:val="clear" w:color="auto" w:fill="FFFFFF"/>
            <w:tcMar>
              <w:left w:w="115" w:type="dxa"/>
              <w:right w:w="115" w:type="dxa"/>
            </w:tcMar>
            <w:vAlign w:val="bottom"/>
          </w:tcPr>
          <w:p w14:paraId="571148EA" w14:textId="77777777" w:rsidR="003F0EEA" w:rsidRDefault="00FB7D0B">
            <w:pPr>
              <w:rPr>
                <w:rFonts w:ascii="Arial" w:eastAsia="Arial" w:hAnsi="Arial" w:cs="Arial"/>
                <w:snapToGrid w:val="0"/>
                <w:color w:val="000000"/>
                <w:sz w:val="16"/>
                <w:vertAlign w:val="superscript"/>
              </w:rPr>
            </w:pPr>
            <w:r>
              <w:rPr>
                <w:rFonts w:ascii="Arial" w:eastAsia="Arial" w:hAnsi="Arial" w:cs="Arial"/>
                <w:snapToGrid w:val="0"/>
                <w:color w:val="000000"/>
                <w:sz w:val="16"/>
              </w:rPr>
              <w:t>Revenue from Government</w:t>
            </w:r>
          </w:p>
        </w:tc>
        <w:tc>
          <w:tcPr>
            <w:tcW w:w="990"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4D272A86" w14:textId="77777777" w:rsidR="003F0EEA" w:rsidRDefault="00FB7D0B">
            <w:pPr>
              <w:jc w:val="right"/>
              <w:rPr>
                <w:rFonts w:ascii="Arial" w:eastAsia="Arial" w:hAnsi="Arial" w:cs="Arial"/>
                <w:snapToGrid w:val="0"/>
                <w:color w:val="000000"/>
                <w:sz w:val="16"/>
                <w:vertAlign w:val="superscript"/>
              </w:rPr>
            </w:pPr>
            <w:r>
              <w:rPr>
                <w:rFonts w:ascii="Arial" w:eastAsia="Arial" w:hAnsi="Arial" w:cs="Arial"/>
                <w:snapToGrid w:val="0"/>
                <w:color w:val="000000"/>
                <w:sz w:val="16"/>
              </w:rPr>
              <w:t xml:space="preserve"> 40,900 </w:t>
            </w:r>
          </w:p>
        </w:tc>
        <w:tc>
          <w:tcPr>
            <w:tcW w:w="990" w:type="dxa"/>
            <w:tcBorders>
              <w:top w:val="nil"/>
              <w:left w:val="nil"/>
              <w:bottom w:val="single" w:sz="6" w:space="0" w:color="000000"/>
              <w:right w:val="nil"/>
              <w:tl2br w:val="nil"/>
              <w:tr2bl w:val="nil"/>
            </w:tcBorders>
            <w:shd w:val="clear" w:color="auto" w:fill="C0C0C0"/>
            <w:tcMar>
              <w:left w:w="115" w:type="dxa"/>
              <w:right w:w="115" w:type="dxa"/>
            </w:tcMar>
            <w:vAlign w:val="bottom"/>
          </w:tcPr>
          <w:p w14:paraId="729737A2" w14:textId="77777777" w:rsidR="003F0EEA" w:rsidRDefault="00FB7D0B">
            <w:pPr>
              <w:jc w:val="right"/>
              <w:rPr>
                <w:rFonts w:ascii="Arial" w:eastAsia="Arial" w:hAnsi="Arial" w:cs="Arial"/>
                <w:snapToGrid w:val="0"/>
                <w:color w:val="000000"/>
                <w:sz w:val="16"/>
              </w:rPr>
            </w:pPr>
            <w:r>
              <w:rPr>
                <w:rFonts w:ascii="Arial" w:eastAsia="Arial" w:hAnsi="Arial" w:cs="Arial"/>
                <w:snapToGrid w:val="0"/>
                <w:color w:val="000000"/>
                <w:sz w:val="16"/>
              </w:rPr>
              <w:t xml:space="preserve"> 47,808 </w:t>
            </w:r>
          </w:p>
        </w:tc>
        <w:tc>
          <w:tcPr>
            <w:tcW w:w="990"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2E3E43B4" w14:textId="77777777" w:rsidR="003F0EEA" w:rsidRDefault="00FB7D0B">
            <w:pPr>
              <w:jc w:val="right"/>
              <w:rPr>
                <w:rFonts w:ascii="Arial" w:eastAsia="Arial" w:hAnsi="Arial" w:cs="Arial"/>
                <w:snapToGrid w:val="0"/>
                <w:color w:val="000000"/>
                <w:sz w:val="16"/>
              </w:rPr>
            </w:pPr>
            <w:r>
              <w:rPr>
                <w:rFonts w:ascii="Arial" w:eastAsia="Arial" w:hAnsi="Arial" w:cs="Arial"/>
                <w:snapToGrid w:val="0"/>
                <w:color w:val="000000"/>
                <w:sz w:val="16"/>
              </w:rPr>
              <w:t xml:space="preserve"> 39,382 </w:t>
            </w:r>
          </w:p>
        </w:tc>
        <w:tc>
          <w:tcPr>
            <w:tcW w:w="990"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25B821FD" w14:textId="77777777" w:rsidR="003F0EEA" w:rsidRDefault="00FB7D0B">
            <w:pPr>
              <w:jc w:val="right"/>
              <w:rPr>
                <w:rFonts w:ascii="Arial" w:eastAsia="Arial" w:hAnsi="Arial" w:cs="Arial"/>
                <w:snapToGrid w:val="0"/>
                <w:color w:val="000000"/>
                <w:sz w:val="16"/>
              </w:rPr>
            </w:pPr>
            <w:r>
              <w:rPr>
                <w:rFonts w:ascii="Arial" w:eastAsia="Arial" w:hAnsi="Arial" w:cs="Arial"/>
                <w:snapToGrid w:val="0"/>
                <w:color w:val="000000"/>
                <w:sz w:val="16"/>
              </w:rPr>
              <w:t xml:space="preserve"> 38,937 </w:t>
            </w:r>
          </w:p>
        </w:tc>
        <w:tc>
          <w:tcPr>
            <w:tcW w:w="990"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23FCB955" w14:textId="77777777" w:rsidR="003F0EEA" w:rsidRDefault="00FB7D0B">
            <w:pPr>
              <w:jc w:val="right"/>
              <w:rPr>
                <w:rFonts w:ascii="Arial" w:eastAsia="Arial" w:hAnsi="Arial" w:cs="Arial"/>
                <w:snapToGrid w:val="0"/>
                <w:color w:val="000000"/>
                <w:sz w:val="16"/>
              </w:rPr>
            </w:pPr>
            <w:r>
              <w:rPr>
                <w:rFonts w:ascii="Arial" w:eastAsia="Arial" w:hAnsi="Arial" w:cs="Arial"/>
                <w:snapToGrid w:val="0"/>
                <w:color w:val="000000"/>
                <w:sz w:val="16"/>
              </w:rPr>
              <w:t xml:space="preserve"> 39,099 </w:t>
            </w:r>
          </w:p>
        </w:tc>
      </w:tr>
      <w:tr w:rsidR="00724034" w14:paraId="13692DFB" w14:textId="77777777">
        <w:trPr>
          <w:trHeight w:val="60"/>
        </w:trPr>
        <w:tc>
          <w:tcPr>
            <w:tcW w:w="180" w:type="dxa"/>
            <w:tcBorders>
              <w:top w:val="nil"/>
              <w:left w:val="nil"/>
              <w:bottom w:val="nil"/>
              <w:right w:val="nil"/>
              <w:tl2br w:val="nil"/>
              <w:tr2bl w:val="nil"/>
            </w:tcBorders>
            <w:shd w:val="clear" w:color="auto" w:fill="FFFFFF"/>
            <w:tcMar>
              <w:left w:w="115" w:type="dxa"/>
              <w:right w:w="115" w:type="dxa"/>
            </w:tcMar>
            <w:vAlign w:val="bottom"/>
          </w:tcPr>
          <w:p w14:paraId="1B9AB073" w14:textId="77777777" w:rsidR="003F0EEA" w:rsidRDefault="003F0EEA">
            <w:pPr>
              <w:rPr>
                <w:rFonts w:ascii="Arial" w:eastAsia="Arial" w:hAnsi="Arial" w:cs="Arial"/>
                <w:snapToGrid w:val="0"/>
                <w:color w:val="000000"/>
                <w:sz w:val="16"/>
              </w:rPr>
            </w:pPr>
          </w:p>
        </w:tc>
        <w:tc>
          <w:tcPr>
            <w:tcW w:w="180" w:type="dxa"/>
            <w:tcBorders>
              <w:top w:val="nil"/>
              <w:left w:val="nil"/>
              <w:bottom w:val="nil"/>
              <w:right w:val="nil"/>
              <w:tl2br w:val="nil"/>
              <w:tr2bl w:val="nil"/>
            </w:tcBorders>
            <w:shd w:val="clear" w:color="auto" w:fill="FFFFFF"/>
            <w:tcMar>
              <w:left w:w="115" w:type="dxa"/>
              <w:right w:w="115" w:type="dxa"/>
            </w:tcMar>
            <w:vAlign w:val="bottom"/>
          </w:tcPr>
          <w:p w14:paraId="186FFB47" w14:textId="77777777" w:rsidR="003F0EEA" w:rsidRDefault="003F0EEA">
            <w:pPr>
              <w:rPr>
                <w:rFonts w:ascii="Arial" w:eastAsia="Arial" w:hAnsi="Arial" w:cs="Arial"/>
                <w:b/>
                <w:snapToGrid w:val="0"/>
                <w:color w:val="000000"/>
                <w:sz w:val="16"/>
              </w:rPr>
            </w:pPr>
          </w:p>
        </w:tc>
        <w:tc>
          <w:tcPr>
            <w:tcW w:w="2700" w:type="dxa"/>
            <w:tcBorders>
              <w:top w:val="nil"/>
              <w:left w:val="nil"/>
              <w:bottom w:val="nil"/>
              <w:right w:val="nil"/>
              <w:tl2br w:val="nil"/>
              <w:tr2bl w:val="nil"/>
            </w:tcBorders>
            <w:shd w:val="clear" w:color="auto" w:fill="FFFFFF"/>
            <w:tcMar>
              <w:left w:w="115" w:type="dxa"/>
              <w:right w:w="115" w:type="dxa"/>
            </w:tcMar>
            <w:vAlign w:val="bottom"/>
          </w:tcPr>
          <w:p w14:paraId="1B07A1EB" w14:textId="77777777" w:rsidR="003F0EEA" w:rsidRDefault="003F0EEA">
            <w:pPr>
              <w:rPr>
                <w:rFonts w:ascii="Arial" w:eastAsia="Arial" w:hAnsi="Arial" w:cs="Arial"/>
                <w:b/>
                <w:snapToGrid w:val="0"/>
                <w:color w:val="000000"/>
                <w:sz w:val="16"/>
              </w:rPr>
            </w:pPr>
          </w:p>
        </w:tc>
        <w:tc>
          <w:tcPr>
            <w:tcW w:w="990"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0EDB8705" w14:textId="77777777" w:rsidR="003F0EEA" w:rsidRDefault="003F0EEA">
            <w:pPr>
              <w:jc w:val="right"/>
              <w:rPr>
                <w:rFonts w:ascii="Arial" w:eastAsia="Arial" w:hAnsi="Arial" w:cs="Arial"/>
                <w:b/>
                <w:snapToGrid w:val="0"/>
                <w:color w:val="000000"/>
                <w:sz w:val="16"/>
                <w:vertAlign w:val="superscript"/>
              </w:rPr>
            </w:pPr>
          </w:p>
        </w:tc>
        <w:tc>
          <w:tcPr>
            <w:tcW w:w="990" w:type="dxa"/>
            <w:tcBorders>
              <w:top w:val="single" w:sz="6" w:space="0" w:color="000000"/>
              <w:left w:val="nil"/>
              <w:bottom w:val="nil"/>
              <w:right w:val="nil"/>
              <w:tl2br w:val="nil"/>
              <w:tr2bl w:val="nil"/>
            </w:tcBorders>
            <w:shd w:val="clear" w:color="auto" w:fill="C0C0C0"/>
            <w:tcMar>
              <w:left w:w="115" w:type="dxa"/>
              <w:right w:w="115" w:type="dxa"/>
            </w:tcMar>
            <w:vAlign w:val="bottom"/>
          </w:tcPr>
          <w:p w14:paraId="16D78BB5" w14:textId="77777777" w:rsidR="003F0EEA" w:rsidRDefault="003F0EEA">
            <w:pPr>
              <w:jc w:val="right"/>
              <w:rPr>
                <w:rFonts w:ascii="Arial" w:eastAsia="Arial" w:hAnsi="Arial" w:cs="Arial"/>
                <w:snapToGrid w:val="0"/>
                <w:color w:val="000000"/>
                <w:sz w:val="16"/>
                <w:vertAlign w:val="superscript"/>
              </w:rPr>
            </w:pPr>
          </w:p>
        </w:tc>
        <w:tc>
          <w:tcPr>
            <w:tcW w:w="990"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66175DC4" w14:textId="77777777" w:rsidR="003F0EEA" w:rsidRDefault="003F0EEA">
            <w:pPr>
              <w:jc w:val="right"/>
              <w:rPr>
                <w:rFonts w:ascii="Arial" w:eastAsia="Arial" w:hAnsi="Arial" w:cs="Arial"/>
                <w:b/>
                <w:snapToGrid w:val="0"/>
                <w:color w:val="000000"/>
                <w:sz w:val="16"/>
                <w:vertAlign w:val="superscript"/>
              </w:rPr>
            </w:pPr>
          </w:p>
        </w:tc>
        <w:tc>
          <w:tcPr>
            <w:tcW w:w="990"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29751F31" w14:textId="77777777" w:rsidR="003F0EEA" w:rsidRDefault="003F0EEA">
            <w:pPr>
              <w:jc w:val="right"/>
              <w:rPr>
                <w:rFonts w:ascii="Arial" w:eastAsia="Arial" w:hAnsi="Arial" w:cs="Arial"/>
                <w:snapToGrid w:val="0"/>
                <w:color w:val="000000"/>
                <w:sz w:val="16"/>
                <w:vertAlign w:val="superscript"/>
              </w:rPr>
            </w:pPr>
          </w:p>
        </w:tc>
        <w:tc>
          <w:tcPr>
            <w:tcW w:w="990"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0D3A5F5D" w14:textId="77777777" w:rsidR="003F0EEA" w:rsidRDefault="003F0EEA">
            <w:pPr>
              <w:jc w:val="right"/>
              <w:rPr>
                <w:rFonts w:ascii="Arial" w:eastAsia="Arial" w:hAnsi="Arial" w:cs="Arial"/>
                <w:snapToGrid w:val="0"/>
                <w:color w:val="000000"/>
                <w:sz w:val="16"/>
                <w:vertAlign w:val="superscript"/>
              </w:rPr>
            </w:pPr>
          </w:p>
        </w:tc>
      </w:tr>
      <w:tr w:rsidR="00355BFE" w14:paraId="7779E12E" w14:textId="77777777" w:rsidTr="00355BFE">
        <w:trPr>
          <w:trHeight w:val="225"/>
        </w:trPr>
        <w:tc>
          <w:tcPr>
            <w:tcW w:w="3060" w:type="dxa"/>
            <w:gridSpan w:val="3"/>
            <w:tcBorders>
              <w:top w:val="nil"/>
              <w:left w:val="nil"/>
              <w:bottom w:val="nil"/>
              <w:right w:val="nil"/>
              <w:tl2br w:val="nil"/>
              <w:tr2bl w:val="nil"/>
            </w:tcBorders>
            <w:shd w:val="clear" w:color="auto" w:fill="FFFFFF"/>
            <w:tcMar>
              <w:left w:w="115" w:type="dxa"/>
              <w:right w:w="115" w:type="dxa"/>
            </w:tcMar>
            <w:vAlign w:val="bottom"/>
          </w:tcPr>
          <w:p w14:paraId="4515BCB1" w14:textId="77777777" w:rsidR="003F0EEA" w:rsidRDefault="00FB7D0B">
            <w:pPr>
              <w:rPr>
                <w:rFonts w:ascii="Arial" w:eastAsia="Arial" w:hAnsi="Arial" w:cs="Arial"/>
                <w:snapToGrid w:val="0"/>
                <w:color w:val="000000"/>
                <w:sz w:val="16"/>
                <w:vertAlign w:val="superscript"/>
              </w:rPr>
            </w:pPr>
            <w:r>
              <w:rPr>
                <w:rFonts w:ascii="Arial" w:eastAsia="Arial" w:hAnsi="Arial" w:cs="Arial"/>
                <w:b/>
                <w:snapToGrid w:val="0"/>
                <w:color w:val="000000"/>
                <w:sz w:val="16"/>
              </w:rPr>
              <w:t xml:space="preserve">Surplus (Deficit) attributable to the </w:t>
            </w:r>
          </w:p>
        </w:tc>
        <w:tc>
          <w:tcPr>
            <w:tcW w:w="990" w:type="dxa"/>
            <w:tcBorders>
              <w:top w:val="nil"/>
              <w:left w:val="nil"/>
              <w:bottom w:val="nil"/>
              <w:right w:val="nil"/>
              <w:tl2br w:val="nil"/>
              <w:tr2bl w:val="nil"/>
            </w:tcBorders>
            <w:shd w:val="clear" w:color="auto" w:fill="FFFFFF"/>
            <w:tcMar>
              <w:left w:w="115" w:type="dxa"/>
              <w:right w:w="115" w:type="dxa"/>
            </w:tcMar>
            <w:vAlign w:val="bottom"/>
          </w:tcPr>
          <w:p w14:paraId="6DF4A937" w14:textId="77777777" w:rsidR="003F0EEA" w:rsidRDefault="003F0EEA">
            <w:pPr>
              <w:jc w:val="right"/>
              <w:rPr>
                <w:rFonts w:ascii="Arial" w:eastAsia="Arial" w:hAnsi="Arial" w:cs="Arial"/>
                <w:b/>
                <w:snapToGrid w:val="0"/>
                <w:color w:val="000000"/>
                <w:sz w:val="16"/>
                <w:vertAlign w:val="superscript"/>
              </w:rPr>
            </w:pPr>
          </w:p>
        </w:tc>
        <w:tc>
          <w:tcPr>
            <w:tcW w:w="990" w:type="dxa"/>
            <w:tcBorders>
              <w:top w:val="nil"/>
              <w:left w:val="nil"/>
              <w:bottom w:val="nil"/>
              <w:right w:val="nil"/>
              <w:tl2br w:val="nil"/>
              <w:tr2bl w:val="nil"/>
            </w:tcBorders>
            <w:shd w:val="clear" w:color="auto" w:fill="C0C0C0"/>
            <w:tcMar>
              <w:left w:w="115" w:type="dxa"/>
              <w:right w:w="115" w:type="dxa"/>
            </w:tcMar>
            <w:vAlign w:val="bottom"/>
          </w:tcPr>
          <w:p w14:paraId="5E0C97CB" w14:textId="77777777" w:rsidR="003F0EEA" w:rsidRDefault="003F0EEA">
            <w:pPr>
              <w:jc w:val="right"/>
              <w:rPr>
                <w:rFonts w:ascii="Arial" w:eastAsia="Arial" w:hAnsi="Arial" w:cs="Arial"/>
                <w:snapToGrid w:val="0"/>
                <w:color w:val="000000"/>
                <w:sz w:val="16"/>
                <w:vertAlign w:val="superscript"/>
              </w:rPr>
            </w:pPr>
          </w:p>
        </w:tc>
        <w:tc>
          <w:tcPr>
            <w:tcW w:w="990" w:type="dxa"/>
            <w:tcBorders>
              <w:top w:val="nil"/>
              <w:left w:val="nil"/>
              <w:bottom w:val="nil"/>
              <w:right w:val="nil"/>
              <w:tl2br w:val="nil"/>
              <w:tr2bl w:val="nil"/>
            </w:tcBorders>
            <w:shd w:val="clear" w:color="auto" w:fill="FFFFFF"/>
            <w:tcMar>
              <w:left w:w="115" w:type="dxa"/>
              <w:right w:w="115" w:type="dxa"/>
            </w:tcMar>
            <w:vAlign w:val="bottom"/>
          </w:tcPr>
          <w:p w14:paraId="2428277B" w14:textId="77777777" w:rsidR="003F0EEA" w:rsidRDefault="003F0EEA">
            <w:pPr>
              <w:jc w:val="right"/>
              <w:rPr>
                <w:rFonts w:ascii="Arial" w:eastAsia="Arial" w:hAnsi="Arial" w:cs="Arial"/>
                <w:b/>
                <w:snapToGrid w:val="0"/>
                <w:color w:val="000000"/>
                <w:sz w:val="16"/>
                <w:vertAlign w:val="superscript"/>
              </w:rPr>
            </w:pPr>
          </w:p>
        </w:tc>
        <w:tc>
          <w:tcPr>
            <w:tcW w:w="990" w:type="dxa"/>
            <w:tcBorders>
              <w:top w:val="nil"/>
              <w:left w:val="nil"/>
              <w:bottom w:val="nil"/>
              <w:right w:val="nil"/>
              <w:tl2br w:val="nil"/>
              <w:tr2bl w:val="nil"/>
            </w:tcBorders>
            <w:shd w:val="clear" w:color="auto" w:fill="FFFFFF"/>
            <w:tcMar>
              <w:left w:w="115" w:type="dxa"/>
              <w:right w:w="115" w:type="dxa"/>
            </w:tcMar>
            <w:vAlign w:val="bottom"/>
          </w:tcPr>
          <w:p w14:paraId="337F6044" w14:textId="77777777" w:rsidR="003F0EEA" w:rsidRDefault="003F0EEA">
            <w:pPr>
              <w:jc w:val="right"/>
              <w:rPr>
                <w:rFonts w:ascii="Arial" w:eastAsia="Arial" w:hAnsi="Arial" w:cs="Arial"/>
                <w:snapToGrid w:val="0"/>
                <w:color w:val="000000"/>
                <w:sz w:val="16"/>
                <w:vertAlign w:val="superscript"/>
              </w:rPr>
            </w:pPr>
          </w:p>
        </w:tc>
        <w:tc>
          <w:tcPr>
            <w:tcW w:w="990" w:type="dxa"/>
            <w:tcBorders>
              <w:top w:val="nil"/>
              <w:left w:val="nil"/>
              <w:bottom w:val="nil"/>
              <w:right w:val="nil"/>
              <w:tl2br w:val="nil"/>
              <w:tr2bl w:val="nil"/>
            </w:tcBorders>
            <w:shd w:val="clear" w:color="auto" w:fill="FFFFFF"/>
            <w:tcMar>
              <w:left w:w="115" w:type="dxa"/>
              <w:right w:w="115" w:type="dxa"/>
            </w:tcMar>
            <w:vAlign w:val="bottom"/>
          </w:tcPr>
          <w:p w14:paraId="389CEE97" w14:textId="77777777" w:rsidR="003F0EEA" w:rsidRDefault="003F0EEA">
            <w:pPr>
              <w:jc w:val="right"/>
              <w:rPr>
                <w:rFonts w:ascii="Arial" w:eastAsia="Arial" w:hAnsi="Arial" w:cs="Arial"/>
                <w:snapToGrid w:val="0"/>
                <w:color w:val="000000"/>
                <w:sz w:val="16"/>
                <w:vertAlign w:val="superscript"/>
              </w:rPr>
            </w:pPr>
          </w:p>
        </w:tc>
      </w:tr>
      <w:tr w:rsidR="00355BFE" w14:paraId="283A9398" w14:textId="77777777" w:rsidTr="00355BFE">
        <w:trPr>
          <w:trHeight w:val="225"/>
        </w:trPr>
        <w:tc>
          <w:tcPr>
            <w:tcW w:w="3060" w:type="dxa"/>
            <w:gridSpan w:val="3"/>
            <w:tcBorders>
              <w:top w:val="nil"/>
              <w:left w:val="nil"/>
              <w:bottom w:val="nil"/>
              <w:right w:val="nil"/>
              <w:tl2br w:val="nil"/>
              <w:tr2bl w:val="nil"/>
            </w:tcBorders>
            <w:shd w:val="clear" w:color="auto" w:fill="FFFFFF"/>
            <w:tcMar>
              <w:left w:w="115" w:type="dxa"/>
              <w:right w:w="115" w:type="dxa"/>
            </w:tcMar>
            <w:vAlign w:val="bottom"/>
          </w:tcPr>
          <w:p w14:paraId="19C0A91C" w14:textId="77777777" w:rsidR="003F0EEA" w:rsidRDefault="00FB7D0B">
            <w:pPr>
              <w:rPr>
                <w:rFonts w:ascii="Arial" w:eastAsia="Arial" w:hAnsi="Arial" w:cs="Arial"/>
                <w:snapToGrid w:val="0"/>
                <w:color w:val="000000"/>
                <w:sz w:val="16"/>
                <w:vertAlign w:val="superscript"/>
              </w:rPr>
            </w:pPr>
            <w:r>
              <w:rPr>
                <w:rFonts w:ascii="Arial" w:eastAsia="Arial" w:hAnsi="Arial" w:cs="Arial"/>
                <w:b/>
                <w:snapToGrid w:val="0"/>
                <w:color w:val="000000"/>
                <w:sz w:val="16"/>
              </w:rPr>
              <w:t>Australian Government</w:t>
            </w:r>
            <w:r>
              <w:rPr>
                <w:rFonts w:ascii="Arial" w:eastAsia="Arial" w:hAnsi="Arial" w:cs="Arial"/>
                <w:b/>
                <w:snapToGrid w:val="0"/>
                <w:color w:val="000000"/>
                <w:sz w:val="16"/>
                <w:vertAlign w:val="superscript"/>
              </w:rPr>
              <w:t>1 </w:t>
            </w:r>
          </w:p>
        </w:tc>
        <w:tc>
          <w:tcPr>
            <w:tcW w:w="990"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0F245358" w14:textId="77777777" w:rsidR="003F0EEA" w:rsidRDefault="00FB7D0B">
            <w:pPr>
              <w:jc w:val="right"/>
              <w:rPr>
                <w:rFonts w:ascii="Arial" w:eastAsia="Arial" w:hAnsi="Arial" w:cs="Arial"/>
                <w:b/>
                <w:snapToGrid w:val="0"/>
                <w:color w:val="000000"/>
                <w:sz w:val="16"/>
                <w:vertAlign w:val="superscript"/>
              </w:rPr>
            </w:pPr>
            <w:r>
              <w:rPr>
                <w:rFonts w:ascii="Arial" w:eastAsia="Arial" w:hAnsi="Arial" w:cs="Arial"/>
                <w:b/>
                <w:snapToGrid w:val="0"/>
                <w:color w:val="000000"/>
                <w:sz w:val="16"/>
              </w:rPr>
              <w:t>(9,703)</w:t>
            </w:r>
          </w:p>
        </w:tc>
        <w:tc>
          <w:tcPr>
            <w:tcW w:w="990" w:type="dxa"/>
            <w:tcBorders>
              <w:top w:val="nil"/>
              <w:left w:val="nil"/>
              <w:bottom w:val="single" w:sz="6" w:space="0" w:color="000000"/>
              <w:right w:val="nil"/>
              <w:tl2br w:val="nil"/>
              <w:tr2bl w:val="nil"/>
            </w:tcBorders>
            <w:shd w:val="clear" w:color="auto" w:fill="C0C0C0"/>
            <w:tcMar>
              <w:left w:w="115" w:type="dxa"/>
              <w:right w:w="115" w:type="dxa"/>
            </w:tcMar>
            <w:vAlign w:val="bottom"/>
          </w:tcPr>
          <w:p w14:paraId="7F9E04F9" w14:textId="77777777" w:rsidR="003F0EEA" w:rsidRDefault="00FB7D0B">
            <w:pPr>
              <w:jc w:val="right"/>
              <w:rPr>
                <w:rFonts w:ascii="Arial" w:eastAsia="Arial" w:hAnsi="Arial" w:cs="Arial"/>
                <w:b/>
                <w:snapToGrid w:val="0"/>
                <w:color w:val="000000"/>
                <w:sz w:val="16"/>
              </w:rPr>
            </w:pPr>
            <w:r>
              <w:rPr>
                <w:rFonts w:ascii="Arial" w:eastAsia="Arial" w:hAnsi="Arial" w:cs="Arial"/>
                <w:b/>
                <w:snapToGrid w:val="0"/>
                <w:color w:val="000000"/>
                <w:sz w:val="16"/>
              </w:rPr>
              <w:t>(10,125)</w:t>
            </w:r>
          </w:p>
        </w:tc>
        <w:tc>
          <w:tcPr>
            <w:tcW w:w="990"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6C31B286" w14:textId="77777777" w:rsidR="003F0EEA" w:rsidRDefault="00FB7D0B">
            <w:pPr>
              <w:jc w:val="right"/>
              <w:rPr>
                <w:rFonts w:ascii="Arial" w:eastAsia="Arial" w:hAnsi="Arial" w:cs="Arial"/>
                <w:b/>
                <w:snapToGrid w:val="0"/>
                <w:color w:val="000000"/>
                <w:sz w:val="16"/>
              </w:rPr>
            </w:pPr>
            <w:r>
              <w:rPr>
                <w:rFonts w:ascii="Arial" w:eastAsia="Arial" w:hAnsi="Arial" w:cs="Arial"/>
                <w:b/>
                <w:snapToGrid w:val="0"/>
                <w:color w:val="000000"/>
                <w:sz w:val="16"/>
              </w:rPr>
              <w:t>(10,186)</w:t>
            </w:r>
          </w:p>
        </w:tc>
        <w:tc>
          <w:tcPr>
            <w:tcW w:w="990"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499AB870" w14:textId="77777777" w:rsidR="003F0EEA" w:rsidRDefault="00FB7D0B">
            <w:pPr>
              <w:jc w:val="right"/>
              <w:rPr>
                <w:rFonts w:ascii="Arial" w:eastAsia="Arial" w:hAnsi="Arial" w:cs="Arial"/>
                <w:b/>
                <w:snapToGrid w:val="0"/>
                <w:color w:val="000000"/>
                <w:sz w:val="16"/>
              </w:rPr>
            </w:pPr>
            <w:r>
              <w:rPr>
                <w:rFonts w:ascii="Arial" w:eastAsia="Arial" w:hAnsi="Arial" w:cs="Arial"/>
                <w:b/>
                <w:snapToGrid w:val="0"/>
                <w:color w:val="000000"/>
                <w:sz w:val="16"/>
              </w:rPr>
              <w:t>(9,700)</w:t>
            </w:r>
          </w:p>
        </w:tc>
        <w:tc>
          <w:tcPr>
            <w:tcW w:w="990"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4FA280F8" w14:textId="77777777" w:rsidR="003F0EEA" w:rsidRDefault="00FB7D0B">
            <w:pPr>
              <w:jc w:val="right"/>
              <w:rPr>
                <w:rFonts w:ascii="Arial" w:eastAsia="Arial" w:hAnsi="Arial" w:cs="Arial"/>
                <w:b/>
                <w:snapToGrid w:val="0"/>
                <w:color w:val="000000"/>
                <w:sz w:val="16"/>
              </w:rPr>
            </w:pPr>
            <w:r>
              <w:rPr>
                <w:rFonts w:ascii="Arial" w:eastAsia="Arial" w:hAnsi="Arial" w:cs="Arial"/>
                <w:b/>
                <w:snapToGrid w:val="0"/>
                <w:color w:val="000000"/>
                <w:sz w:val="16"/>
              </w:rPr>
              <w:t>(9,115)</w:t>
            </w:r>
          </w:p>
        </w:tc>
      </w:tr>
      <w:tr w:rsidR="00724034" w14:paraId="2CFD97BD" w14:textId="77777777">
        <w:trPr>
          <w:trHeight w:val="60"/>
        </w:trPr>
        <w:tc>
          <w:tcPr>
            <w:tcW w:w="180" w:type="dxa"/>
            <w:tcBorders>
              <w:top w:val="nil"/>
              <w:left w:val="nil"/>
              <w:bottom w:val="nil"/>
              <w:right w:val="nil"/>
              <w:tl2br w:val="nil"/>
              <w:tr2bl w:val="nil"/>
            </w:tcBorders>
            <w:shd w:val="clear" w:color="auto" w:fill="FFFFFF"/>
            <w:tcMar>
              <w:left w:w="115" w:type="dxa"/>
              <w:right w:w="115" w:type="dxa"/>
            </w:tcMar>
            <w:vAlign w:val="bottom"/>
          </w:tcPr>
          <w:p w14:paraId="6A3CFE77" w14:textId="77777777" w:rsidR="003F0EEA" w:rsidRDefault="003F0EEA">
            <w:pPr>
              <w:rPr>
                <w:rFonts w:ascii="Arial" w:eastAsia="Arial" w:hAnsi="Arial" w:cs="Arial"/>
                <w:b/>
                <w:snapToGrid w:val="0"/>
                <w:color w:val="000000"/>
                <w:sz w:val="16"/>
              </w:rPr>
            </w:pPr>
          </w:p>
        </w:tc>
        <w:tc>
          <w:tcPr>
            <w:tcW w:w="180" w:type="dxa"/>
            <w:tcBorders>
              <w:top w:val="nil"/>
              <w:left w:val="nil"/>
              <w:bottom w:val="nil"/>
              <w:right w:val="nil"/>
              <w:tl2br w:val="nil"/>
              <w:tr2bl w:val="nil"/>
            </w:tcBorders>
            <w:shd w:val="clear" w:color="auto" w:fill="FFFFFF"/>
            <w:tcMar>
              <w:left w:w="115" w:type="dxa"/>
              <w:right w:w="115" w:type="dxa"/>
            </w:tcMar>
            <w:vAlign w:val="bottom"/>
          </w:tcPr>
          <w:p w14:paraId="40FB09AD" w14:textId="77777777" w:rsidR="003F0EEA" w:rsidRDefault="003F0EEA">
            <w:pPr>
              <w:rPr>
                <w:rFonts w:ascii="Arial" w:eastAsia="Arial" w:hAnsi="Arial" w:cs="Arial"/>
                <w:b/>
                <w:snapToGrid w:val="0"/>
                <w:color w:val="000000"/>
                <w:sz w:val="16"/>
              </w:rPr>
            </w:pPr>
          </w:p>
        </w:tc>
        <w:tc>
          <w:tcPr>
            <w:tcW w:w="2700" w:type="dxa"/>
            <w:tcBorders>
              <w:top w:val="nil"/>
              <w:left w:val="nil"/>
              <w:bottom w:val="nil"/>
              <w:right w:val="nil"/>
              <w:tl2br w:val="nil"/>
              <w:tr2bl w:val="nil"/>
            </w:tcBorders>
            <w:shd w:val="clear" w:color="auto" w:fill="FFFFFF"/>
            <w:tcMar>
              <w:left w:w="115" w:type="dxa"/>
              <w:right w:w="115" w:type="dxa"/>
            </w:tcMar>
            <w:vAlign w:val="bottom"/>
          </w:tcPr>
          <w:p w14:paraId="79AF01A5" w14:textId="77777777" w:rsidR="003F0EEA" w:rsidRDefault="003F0EEA">
            <w:pPr>
              <w:rPr>
                <w:rFonts w:ascii="Arial" w:eastAsia="Arial" w:hAnsi="Arial" w:cs="Arial"/>
                <w:b/>
                <w:snapToGrid w:val="0"/>
                <w:color w:val="000000"/>
                <w:sz w:val="16"/>
              </w:rPr>
            </w:pPr>
          </w:p>
        </w:tc>
        <w:tc>
          <w:tcPr>
            <w:tcW w:w="990"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49DF01F0" w14:textId="77777777" w:rsidR="003F0EEA" w:rsidRDefault="003F0EEA">
            <w:pPr>
              <w:jc w:val="right"/>
              <w:rPr>
                <w:rFonts w:ascii="Arial" w:eastAsia="Arial" w:hAnsi="Arial" w:cs="Arial"/>
                <w:b/>
                <w:snapToGrid w:val="0"/>
                <w:color w:val="000000"/>
                <w:sz w:val="16"/>
                <w:vertAlign w:val="superscript"/>
              </w:rPr>
            </w:pPr>
          </w:p>
        </w:tc>
        <w:tc>
          <w:tcPr>
            <w:tcW w:w="990" w:type="dxa"/>
            <w:tcBorders>
              <w:top w:val="single" w:sz="6" w:space="0" w:color="000000"/>
              <w:left w:val="nil"/>
              <w:bottom w:val="nil"/>
              <w:right w:val="nil"/>
              <w:tl2br w:val="nil"/>
              <w:tr2bl w:val="nil"/>
            </w:tcBorders>
            <w:shd w:val="clear" w:color="auto" w:fill="C0C0C0"/>
            <w:tcMar>
              <w:left w:w="115" w:type="dxa"/>
              <w:right w:w="115" w:type="dxa"/>
            </w:tcMar>
            <w:vAlign w:val="bottom"/>
          </w:tcPr>
          <w:p w14:paraId="0B5A3CB7" w14:textId="77777777" w:rsidR="003F0EEA" w:rsidRDefault="003F0EEA">
            <w:pPr>
              <w:jc w:val="right"/>
              <w:rPr>
                <w:rFonts w:ascii="Arial" w:eastAsia="Arial" w:hAnsi="Arial" w:cs="Arial"/>
                <w:snapToGrid w:val="0"/>
                <w:color w:val="000000"/>
                <w:sz w:val="16"/>
                <w:vertAlign w:val="superscript"/>
              </w:rPr>
            </w:pPr>
          </w:p>
        </w:tc>
        <w:tc>
          <w:tcPr>
            <w:tcW w:w="990"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1FD7FADF" w14:textId="77777777" w:rsidR="003F0EEA" w:rsidRDefault="003F0EEA">
            <w:pPr>
              <w:jc w:val="right"/>
              <w:rPr>
                <w:rFonts w:ascii="Arial" w:eastAsia="Arial" w:hAnsi="Arial" w:cs="Arial"/>
                <w:b/>
                <w:snapToGrid w:val="0"/>
                <w:color w:val="000000"/>
                <w:sz w:val="16"/>
                <w:vertAlign w:val="superscript"/>
              </w:rPr>
            </w:pPr>
          </w:p>
        </w:tc>
        <w:tc>
          <w:tcPr>
            <w:tcW w:w="990"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3BBFEDF1" w14:textId="77777777" w:rsidR="003F0EEA" w:rsidRDefault="003F0EEA">
            <w:pPr>
              <w:jc w:val="right"/>
              <w:rPr>
                <w:rFonts w:ascii="Arial" w:eastAsia="Arial" w:hAnsi="Arial" w:cs="Arial"/>
                <w:snapToGrid w:val="0"/>
                <w:color w:val="000000"/>
                <w:sz w:val="16"/>
                <w:vertAlign w:val="superscript"/>
              </w:rPr>
            </w:pPr>
          </w:p>
        </w:tc>
        <w:tc>
          <w:tcPr>
            <w:tcW w:w="990"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4D18017B" w14:textId="77777777" w:rsidR="003F0EEA" w:rsidRDefault="003F0EEA">
            <w:pPr>
              <w:jc w:val="right"/>
              <w:rPr>
                <w:rFonts w:ascii="Arial" w:eastAsia="Arial" w:hAnsi="Arial" w:cs="Arial"/>
                <w:snapToGrid w:val="0"/>
                <w:color w:val="000000"/>
                <w:sz w:val="16"/>
                <w:vertAlign w:val="superscript"/>
              </w:rPr>
            </w:pPr>
          </w:p>
        </w:tc>
      </w:tr>
      <w:tr w:rsidR="00355BFE" w14:paraId="168ED18D" w14:textId="77777777" w:rsidTr="00355BFE">
        <w:trPr>
          <w:trHeight w:val="225"/>
        </w:trPr>
        <w:tc>
          <w:tcPr>
            <w:tcW w:w="3060" w:type="dxa"/>
            <w:gridSpan w:val="3"/>
            <w:tcBorders>
              <w:top w:val="nil"/>
              <w:left w:val="nil"/>
              <w:bottom w:val="nil"/>
              <w:right w:val="nil"/>
              <w:tl2br w:val="nil"/>
              <w:tr2bl w:val="nil"/>
            </w:tcBorders>
            <w:shd w:val="clear" w:color="auto" w:fill="FFFFFF"/>
            <w:tcMar>
              <w:left w:w="115" w:type="dxa"/>
              <w:right w:w="115" w:type="dxa"/>
            </w:tcMar>
            <w:vAlign w:val="bottom"/>
          </w:tcPr>
          <w:p w14:paraId="17B2EF26" w14:textId="77777777" w:rsidR="003F0EEA" w:rsidRDefault="00FB7D0B">
            <w:pPr>
              <w:rPr>
                <w:rFonts w:ascii="Arial" w:eastAsia="Arial" w:hAnsi="Arial" w:cs="Arial"/>
                <w:snapToGrid w:val="0"/>
                <w:color w:val="000000"/>
                <w:sz w:val="16"/>
                <w:vertAlign w:val="superscript"/>
              </w:rPr>
            </w:pPr>
            <w:r>
              <w:rPr>
                <w:rFonts w:ascii="Arial" w:eastAsia="Arial" w:hAnsi="Arial" w:cs="Arial"/>
                <w:b/>
                <w:snapToGrid w:val="0"/>
                <w:color w:val="000000"/>
                <w:sz w:val="16"/>
              </w:rPr>
              <w:t>OTHER COMPREHENSIVE INCOME</w:t>
            </w:r>
          </w:p>
        </w:tc>
        <w:tc>
          <w:tcPr>
            <w:tcW w:w="990" w:type="dxa"/>
            <w:tcBorders>
              <w:top w:val="nil"/>
              <w:left w:val="nil"/>
              <w:bottom w:val="nil"/>
              <w:right w:val="nil"/>
              <w:tl2br w:val="nil"/>
              <w:tr2bl w:val="nil"/>
            </w:tcBorders>
            <w:shd w:val="clear" w:color="auto" w:fill="FFFFFF"/>
            <w:tcMar>
              <w:left w:w="115" w:type="dxa"/>
              <w:right w:w="115" w:type="dxa"/>
            </w:tcMar>
            <w:vAlign w:val="bottom"/>
          </w:tcPr>
          <w:p w14:paraId="468D5534" w14:textId="77777777" w:rsidR="003F0EEA" w:rsidRDefault="003F0EEA">
            <w:pPr>
              <w:jc w:val="right"/>
              <w:rPr>
                <w:rFonts w:ascii="Arial" w:eastAsia="Arial" w:hAnsi="Arial" w:cs="Arial"/>
                <w:b/>
                <w:snapToGrid w:val="0"/>
                <w:color w:val="000000"/>
                <w:sz w:val="16"/>
                <w:vertAlign w:val="superscript"/>
              </w:rPr>
            </w:pPr>
          </w:p>
        </w:tc>
        <w:tc>
          <w:tcPr>
            <w:tcW w:w="990" w:type="dxa"/>
            <w:tcBorders>
              <w:top w:val="nil"/>
              <w:left w:val="nil"/>
              <w:bottom w:val="nil"/>
              <w:right w:val="nil"/>
              <w:tl2br w:val="nil"/>
              <w:tr2bl w:val="nil"/>
            </w:tcBorders>
            <w:shd w:val="clear" w:color="auto" w:fill="C0C0C0"/>
            <w:tcMar>
              <w:left w:w="115" w:type="dxa"/>
              <w:right w:w="115" w:type="dxa"/>
            </w:tcMar>
            <w:vAlign w:val="bottom"/>
          </w:tcPr>
          <w:p w14:paraId="370A81E9" w14:textId="77777777" w:rsidR="003F0EEA" w:rsidRDefault="003F0EEA">
            <w:pPr>
              <w:jc w:val="right"/>
              <w:rPr>
                <w:rFonts w:ascii="Arial" w:eastAsia="Arial" w:hAnsi="Arial" w:cs="Arial"/>
                <w:snapToGrid w:val="0"/>
                <w:color w:val="000000"/>
                <w:sz w:val="16"/>
                <w:vertAlign w:val="superscript"/>
              </w:rPr>
            </w:pPr>
          </w:p>
        </w:tc>
        <w:tc>
          <w:tcPr>
            <w:tcW w:w="990" w:type="dxa"/>
            <w:tcBorders>
              <w:top w:val="nil"/>
              <w:left w:val="nil"/>
              <w:bottom w:val="nil"/>
              <w:right w:val="nil"/>
              <w:tl2br w:val="nil"/>
              <w:tr2bl w:val="nil"/>
            </w:tcBorders>
            <w:shd w:val="clear" w:color="auto" w:fill="FFFFFF"/>
            <w:tcMar>
              <w:left w:w="115" w:type="dxa"/>
              <w:right w:w="115" w:type="dxa"/>
            </w:tcMar>
            <w:vAlign w:val="bottom"/>
          </w:tcPr>
          <w:p w14:paraId="29268F34" w14:textId="77777777" w:rsidR="003F0EEA" w:rsidRDefault="003F0EEA">
            <w:pPr>
              <w:jc w:val="right"/>
              <w:rPr>
                <w:rFonts w:ascii="Arial" w:eastAsia="Arial" w:hAnsi="Arial" w:cs="Arial"/>
                <w:b/>
                <w:snapToGrid w:val="0"/>
                <w:color w:val="000000"/>
                <w:sz w:val="16"/>
                <w:vertAlign w:val="superscript"/>
              </w:rPr>
            </w:pPr>
          </w:p>
        </w:tc>
        <w:tc>
          <w:tcPr>
            <w:tcW w:w="990" w:type="dxa"/>
            <w:tcBorders>
              <w:top w:val="nil"/>
              <w:left w:val="nil"/>
              <w:bottom w:val="nil"/>
              <w:right w:val="nil"/>
              <w:tl2br w:val="nil"/>
              <w:tr2bl w:val="nil"/>
            </w:tcBorders>
            <w:shd w:val="clear" w:color="auto" w:fill="FFFFFF"/>
            <w:tcMar>
              <w:left w:w="115" w:type="dxa"/>
              <w:right w:w="115" w:type="dxa"/>
            </w:tcMar>
            <w:vAlign w:val="bottom"/>
          </w:tcPr>
          <w:p w14:paraId="47508346" w14:textId="77777777" w:rsidR="003F0EEA" w:rsidRDefault="003F0EEA">
            <w:pPr>
              <w:jc w:val="right"/>
              <w:rPr>
                <w:rFonts w:ascii="Arial" w:eastAsia="Arial" w:hAnsi="Arial" w:cs="Arial"/>
                <w:snapToGrid w:val="0"/>
                <w:color w:val="000000"/>
                <w:sz w:val="16"/>
                <w:vertAlign w:val="superscript"/>
              </w:rPr>
            </w:pPr>
          </w:p>
        </w:tc>
        <w:tc>
          <w:tcPr>
            <w:tcW w:w="990" w:type="dxa"/>
            <w:tcBorders>
              <w:top w:val="nil"/>
              <w:left w:val="nil"/>
              <w:bottom w:val="nil"/>
              <w:right w:val="nil"/>
              <w:tl2br w:val="nil"/>
              <w:tr2bl w:val="nil"/>
            </w:tcBorders>
            <w:shd w:val="clear" w:color="auto" w:fill="FFFFFF"/>
            <w:tcMar>
              <w:left w:w="115" w:type="dxa"/>
              <w:right w:w="115" w:type="dxa"/>
            </w:tcMar>
            <w:vAlign w:val="bottom"/>
          </w:tcPr>
          <w:p w14:paraId="76C8F5E9" w14:textId="77777777" w:rsidR="003F0EEA" w:rsidRDefault="003F0EEA">
            <w:pPr>
              <w:jc w:val="right"/>
              <w:rPr>
                <w:rFonts w:ascii="Arial" w:eastAsia="Arial" w:hAnsi="Arial" w:cs="Arial"/>
                <w:snapToGrid w:val="0"/>
                <w:color w:val="000000"/>
                <w:sz w:val="16"/>
                <w:vertAlign w:val="superscript"/>
              </w:rPr>
            </w:pPr>
          </w:p>
        </w:tc>
      </w:tr>
      <w:tr w:rsidR="00355BFE" w14:paraId="6D78AC02" w14:textId="77777777" w:rsidTr="00355BFE">
        <w:trPr>
          <w:trHeight w:val="225"/>
        </w:trPr>
        <w:tc>
          <w:tcPr>
            <w:tcW w:w="180" w:type="dxa"/>
            <w:tcBorders>
              <w:top w:val="nil"/>
              <w:left w:val="nil"/>
              <w:bottom w:val="nil"/>
              <w:right w:val="nil"/>
              <w:tl2br w:val="nil"/>
              <w:tr2bl w:val="nil"/>
            </w:tcBorders>
            <w:shd w:val="clear" w:color="auto" w:fill="FFFFFF"/>
            <w:tcMar>
              <w:left w:w="115" w:type="dxa"/>
              <w:right w:w="115" w:type="dxa"/>
            </w:tcMar>
            <w:vAlign w:val="bottom"/>
          </w:tcPr>
          <w:p w14:paraId="0009C2E7" w14:textId="77777777" w:rsidR="003F0EEA" w:rsidRDefault="003F0EEA">
            <w:pPr>
              <w:rPr>
                <w:rFonts w:ascii="Arial" w:eastAsia="Arial" w:hAnsi="Arial" w:cs="Arial"/>
                <w:snapToGrid w:val="0"/>
                <w:color w:val="000000"/>
                <w:sz w:val="16"/>
                <w:vertAlign w:val="superscript"/>
              </w:rPr>
            </w:pPr>
          </w:p>
        </w:tc>
        <w:tc>
          <w:tcPr>
            <w:tcW w:w="2880" w:type="dxa"/>
            <w:gridSpan w:val="2"/>
            <w:tcBorders>
              <w:top w:val="nil"/>
              <w:left w:val="nil"/>
              <w:bottom w:val="nil"/>
              <w:right w:val="nil"/>
              <w:tl2br w:val="nil"/>
              <w:tr2bl w:val="nil"/>
            </w:tcBorders>
            <w:shd w:val="clear" w:color="auto" w:fill="FFFFFF"/>
            <w:tcMar>
              <w:left w:w="115" w:type="dxa"/>
              <w:right w:w="115" w:type="dxa"/>
            </w:tcMar>
            <w:vAlign w:val="bottom"/>
          </w:tcPr>
          <w:p w14:paraId="1186BFA2" w14:textId="77777777" w:rsidR="003F0EEA" w:rsidRDefault="00FB7D0B">
            <w:pPr>
              <w:rPr>
                <w:rFonts w:ascii="Arial" w:eastAsia="Arial" w:hAnsi="Arial" w:cs="Arial"/>
                <w:snapToGrid w:val="0"/>
                <w:color w:val="000000"/>
                <w:sz w:val="16"/>
                <w:vertAlign w:val="superscript"/>
              </w:rPr>
            </w:pPr>
            <w:r>
              <w:rPr>
                <w:rFonts w:ascii="Arial" w:eastAsia="Arial" w:hAnsi="Arial" w:cs="Arial"/>
                <w:snapToGrid w:val="0"/>
                <w:color w:val="000000"/>
                <w:sz w:val="16"/>
              </w:rPr>
              <w:t>Changes in asset revaluation reserves</w:t>
            </w:r>
          </w:p>
        </w:tc>
        <w:tc>
          <w:tcPr>
            <w:tcW w:w="990" w:type="dxa"/>
            <w:tcBorders>
              <w:top w:val="nil"/>
              <w:left w:val="nil"/>
              <w:bottom w:val="nil"/>
              <w:right w:val="nil"/>
              <w:tl2br w:val="nil"/>
              <w:tr2bl w:val="nil"/>
            </w:tcBorders>
            <w:shd w:val="clear" w:color="auto" w:fill="FFFFFF"/>
            <w:tcMar>
              <w:left w:w="115" w:type="dxa"/>
              <w:right w:w="115" w:type="dxa"/>
            </w:tcMar>
            <w:vAlign w:val="bottom"/>
          </w:tcPr>
          <w:p w14:paraId="797267AA" w14:textId="77777777" w:rsidR="003F0EEA" w:rsidRDefault="00FB7D0B">
            <w:pPr>
              <w:jc w:val="right"/>
              <w:rPr>
                <w:rFonts w:ascii="Arial" w:eastAsia="Arial" w:hAnsi="Arial" w:cs="Arial"/>
                <w:snapToGrid w:val="0"/>
                <w:color w:val="000000"/>
                <w:sz w:val="16"/>
                <w:vertAlign w:val="superscript"/>
              </w:rPr>
            </w:pPr>
            <w:r>
              <w:rPr>
                <w:rFonts w:ascii="Arial" w:eastAsia="Arial" w:hAnsi="Arial" w:cs="Arial"/>
                <w:snapToGrid w:val="0"/>
                <w:color w:val="000000"/>
                <w:sz w:val="16"/>
              </w:rPr>
              <w:t xml:space="preserve"> 16,901 </w:t>
            </w:r>
          </w:p>
        </w:tc>
        <w:tc>
          <w:tcPr>
            <w:tcW w:w="990" w:type="dxa"/>
            <w:tcBorders>
              <w:top w:val="nil"/>
              <w:left w:val="nil"/>
              <w:bottom w:val="nil"/>
              <w:right w:val="nil"/>
              <w:tl2br w:val="nil"/>
              <w:tr2bl w:val="nil"/>
            </w:tcBorders>
            <w:shd w:val="clear" w:color="auto" w:fill="C0C0C0"/>
            <w:tcMar>
              <w:left w:w="115" w:type="dxa"/>
              <w:right w:w="115" w:type="dxa"/>
            </w:tcMar>
            <w:vAlign w:val="bottom"/>
          </w:tcPr>
          <w:p w14:paraId="34FFECFF" w14:textId="77777777" w:rsidR="003F0EEA" w:rsidRDefault="00FB7D0B">
            <w:pPr>
              <w:jc w:val="right"/>
              <w:rPr>
                <w:rFonts w:ascii="Arial" w:eastAsia="Arial" w:hAnsi="Arial" w:cs="Arial"/>
                <w:snapToGrid w:val="0"/>
                <w:color w:val="000000"/>
                <w:sz w:val="16"/>
              </w:rPr>
            </w:pPr>
            <w:r>
              <w:rPr>
                <w:rFonts w:ascii="Arial" w:eastAsia="Arial" w:hAnsi="Arial" w:cs="Arial"/>
                <w:b/>
                <w:snapToGrid w:val="0"/>
                <w:color w:val="000000"/>
                <w:sz w:val="16"/>
              </w:rPr>
              <w:t xml:space="preserve"> - </w:t>
            </w:r>
          </w:p>
        </w:tc>
        <w:tc>
          <w:tcPr>
            <w:tcW w:w="990" w:type="dxa"/>
            <w:tcBorders>
              <w:top w:val="nil"/>
              <w:left w:val="nil"/>
              <w:bottom w:val="nil"/>
              <w:right w:val="nil"/>
              <w:tl2br w:val="nil"/>
              <w:tr2bl w:val="nil"/>
            </w:tcBorders>
            <w:shd w:val="clear" w:color="auto" w:fill="FFFFFF"/>
            <w:tcMar>
              <w:left w:w="115" w:type="dxa"/>
              <w:right w:w="115" w:type="dxa"/>
            </w:tcMar>
            <w:vAlign w:val="bottom"/>
          </w:tcPr>
          <w:p w14:paraId="5933CD39" w14:textId="77777777" w:rsidR="003F0EEA" w:rsidRDefault="00FB7D0B">
            <w:pPr>
              <w:jc w:val="right"/>
              <w:rPr>
                <w:rFonts w:ascii="Arial" w:eastAsia="Arial" w:hAnsi="Arial" w:cs="Arial"/>
                <w:b/>
                <w:snapToGrid w:val="0"/>
                <w:color w:val="000000"/>
                <w:sz w:val="16"/>
              </w:rPr>
            </w:pPr>
            <w:r>
              <w:rPr>
                <w:rFonts w:ascii="Arial" w:eastAsia="Arial" w:hAnsi="Arial" w:cs="Arial"/>
                <w:snapToGrid w:val="0"/>
                <w:color w:val="000000"/>
                <w:sz w:val="16"/>
              </w:rPr>
              <w:t xml:space="preserve"> - </w:t>
            </w:r>
          </w:p>
        </w:tc>
        <w:tc>
          <w:tcPr>
            <w:tcW w:w="990" w:type="dxa"/>
            <w:tcBorders>
              <w:top w:val="nil"/>
              <w:left w:val="nil"/>
              <w:bottom w:val="nil"/>
              <w:right w:val="nil"/>
              <w:tl2br w:val="nil"/>
              <w:tr2bl w:val="nil"/>
            </w:tcBorders>
            <w:shd w:val="clear" w:color="auto" w:fill="FFFFFF"/>
            <w:tcMar>
              <w:left w:w="115" w:type="dxa"/>
              <w:right w:w="115" w:type="dxa"/>
            </w:tcMar>
            <w:vAlign w:val="bottom"/>
          </w:tcPr>
          <w:p w14:paraId="3354F4B3" w14:textId="77777777" w:rsidR="003F0EEA" w:rsidRDefault="00FB7D0B">
            <w:pPr>
              <w:jc w:val="right"/>
              <w:rPr>
                <w:rFonts w:ascii="Arial" w:eastAsia="Arial" w:hAnsi="Arial" w:cs="Arial"/>
                <w:snapToGrid w:val="0"/>
                <w:color w:val="000000"/>
                <w:sz w:val="16"/>
              </w:rPr>
            </w:pPr>
            <w:r>
              <w:rPr>
                <w:rFonts w:ascii="Arial" w:eastAsia="Arial" w:hAnsi="Arial" w:cs="Arial"/>
                <w:snapToGrid w:val="0"/>
                <w:color w:val="000000"/>
                <w:sz w:val="16"/>
              </w:rPr>
              <w:t xml:space="preserve"> - </w:t>
            </w:r>
          </w:p>
        </w:tc>
        <w:tc>
          <w:tcPr>
            <w:tcW w:w="990" w:type="dxa"/>
            <w:tcBorders>
              <w:top w:val="nil"/>
              <w:left w:val="nil"/>
              <w:bottom w:val="nil"/>
              <w:right w:val="nil"/>
              <w:tl2br w:val="nil"/>
              <w:tr2bl w:val="nil"/>
            </w:tcBorders>
            <w:shd w:val="clear" w:color="auto" w:fill="FFFFFF"/>
            <w:tcMar>
              <w:left w:w="115" w:type="dxa"/>
              <w:right w:w="115" w:type="dxa"/>
            </w:tcMar>
            <w:vAlign w:val="bottom"/>
          </w:tcPr>
          <w:p w14:paraId="5D3C4D91" w14:textId="77777777" w:rsidR="003F0EEA" w:rsidRDefault="00FB7D0B">
            <w:pPr>
              <w:jc w:val="right"/>
              <w:rPr>
                <w:rFonts w:ascii="Arial" w:eastAsia="Arial" w:hAnsi="Arial" w:cs="Arial"/>
                <w:snapToGrid w:val="0"/>
                <w:color w:val="000000"/>
                <w:sz w:val="16"/>
              </w:rPr>
            </w:pPr>
            <w:r>
              <w:rPr>
                <w:rFonts w:ascii="Arial" w:eastAsia="Arial" w:hAnsi="Arial" w:cs="Arial"/>
                <w:snapToGrid w:val="0"/>
                <w:color w:val="000000"/>
                <w:sz w:val="16"/>
              </w:rPr>
              <w:t xml:space="preserve"> - </w:t>
            </w:r>
          </w:p>
        </w:tc>
      </w:tr>
      <w:tr w:rsidR="00724034" w14:paraId="1F2F908C" w14:textId="77777777">
        <w:trPr>
          <w:trHeight w:val="60"/>
        </w:trPr>
        <w:tc>
          <w:tcPr>
            <w:tcW w:w="180" w:type="dxa"/>
            <w:tcBorders>
              <w:top w:val="nil"/>
              <w:left w:val="nil"/>
              <w:bottom w:val="nil"/>
              <w:right w:val="nil"/>
              <w:tl2br w:val="nil"/>
              <w:tr2bl w:val="nil"/>
            </w:tcBorders>
            <w:shd w:val="clear" w:color="auto" w:fill="FFFFFF"/>
            <w:tcMar>
              <w:left w:w="115" w:type="dxa"/>
              <w:right w:w="115" w:type="dxa"/>
            </w:tcMar>
            <w:vAlign w:val="bottom"/>
          </w:tcPr>
          <w:p w14:paraId="496BBDFD" w14:textId="77777777" w:rsidR="003F0EEA" w:rsidRDefault="003F0EEA">
            <w:pPr>
              <w:rPr>
                <w:rFonts w:ascii="Arial" w:eastAsia="Arial" w:hAnsi="Arial" w:cs="Arial"/>
                <w:snapToGrid w:val="0"/>
                <w:color w:val="000000"/>
                <w:sz w:val="16"/>
              </w:rPr>
            </w:pPr>
          </w:p>
        </w:tc>
        <w:tc>
          <w:tcPr>
            <w:tcW w:w="180" w:type="dxa"/>
            <w:tcBorders>
              <w:top w:val="nil"/>
              <w:left w:val="nil"/>
              <w:bottom w:val="nil"/>
              <w:right w:val="nil"/>
              <w:tl2br w:val="nil"/>
              <w:tr2bl w:val="nil"/>
            </w:tcBorders>
            <w:shd w:val="clear" w:color="auto" w:fill="FFFFFF"/>
            <w:tcMar>
              <w:left w:w="115" w:type="dxa"/>
              <w:right w:w="115" w:type="dxa"/>
            </w:tcMar>
            <w:vAlign w:val="bottom"/>
          </w:tcPr>
          <w:p w14:paraId="45647717" w14:textId="77777777" w:rsidR="003F0EEA" w:rsidRDefault="003F0EEA">
            <w:pPr>
              <w:rPr>
                <w:rFonts w:ascii="Arial" w:eastAsia="Arial" w:hAnsi="Arial" w:cs="Arial"/>
                <w:snapToGrid w:val="0"/>
                <w:color w:val="000000"/>
                <w:sz w:val="16"/>
              </w:rPr>
            </w:pPr>
          </w:p>
        </w:tc>
        <w:tc>
          <w:tcPr>
            <w:tcW w:w="2700" w:type="dxa"/>
            <w:tcBorders>
              <w:top w:val="nil"/>
              <w:left w:val="nil"/>
              <w:bottom w:val="nil"/>
              <w:right w:val="nil"/>
              <w:tl2br w:val="nil"/>
              <w:tr2bl w:val="nil"/>
            </w:tcBorders>
            <w:shd w:val="clear" w:color="auto" w:fill="FFFFFF"/>
            <w:tcMar>
              <w:left w:w="115" w:type="dxa"/>
              <w:right w:w="115" w:type="dxa"/>
            </w:tcMar>
            <w:vAlign w:val="bottom"/>
          </w:tcPr>
          <w:p w14:paraId="3A398193" w14:textId="77777777" w:rsidR="003F0EEA" w:rsidRDefault="003F0EEA">
            <w:pPr>
              <w:rPr>
                <w:rFonts w:ascii="Arial" w:eastAsia="Arial" w:hAnsi="Arial" w:cs="Arial"/>
                <w:snapToGrid w:val="0"/>
                <w:color w:val="000000"/>
                <w:sz w:val="16"/>
              </w:rPr>
            </w:pPr>
          </w:p>
        </w:tc>
        <w:tc>
          <w:tcPr>
            <w:tcW w:w="990" w:type="dxa"/>
            <w:tcBorders>
              <w:top w:val="nil"/>
              <w:left w:val="nil"/>
              <w:bottom w:val="nil"/>
              <w:right w:val="nil"/>
              <w:tl2br w:val="nil"/>
              <w:tr2bl w:val="nil"/>
            </w:tcBorders>
            <w:shd w:val="clear" w:color="auto" w:fill="FFFFFF"/>
            <w:tcMar>
              <w:left w:w="115" w:type="dxa"/>
              <w:right w:w="115" w:type="dxa"/>
            </w:tcMar>
            <w:vAlign w:val="bottom"/>
          </w:tcPr>
          <w:p w14:paraId="4B2CC489" w14:textId="77777777" w:rsidR="003F0EEA" w:rsidRDefault="003F0EEA">
            <w:pPr>
              <w:jc w:val="right"/>
              <w:rPr>
                <w:rFonts w:ascii="Arial" w:eastAsia="Arial" w:hAnsi="Arial" w:cs="Arial"/>
                <w:snapToGrid w:val="0"/>
                <w:color w:val="000000"/>
                <w:sz w:val="16"/>
                <w:vertAlign w:val="superscript"/>
              </w:rPr>
            </w:pPr>
          </w:p>
        </w:tc>
        <w:tc>
          <w:tcPr>
            <w:tcW w:w="990" w:type="dxa"/>
            <w:tcBorders>
              <w:top w:val="nil"/>
              <w:left w:val="nil"/>
              <w:bottom w:val="nil"/>
              <w:right w:val="nil"/>
              <w:tl2br w:val="nil"/>
              <w:tr2bl w:val="nil"/>
            </w:tcBorders>
            <w:shd w:val="clear" w:color="auto" w:fill="C0C0C0"/>
            <w:tcMar>
              <w:left w:w="115" w:type="dxa"/>
              <w:right w:w="115" w:type="dxa"/>
            </w:tcMar>
            <w:vAlign w:val="bottom"/>
          </w:tcPr>
          <w:p w14:paraId="0F7C9756" w14:textId="77777777" w:rsidR="003F0EEA" w:rsidRDefault="003F0EEA">
            <w:pPr>
              <w:jc w:val="right"/>
              <w:rPr>
                <w:rFonts w:ascii="Arial" w:eastAsia="Arial" w:hAnsi="Arial" w:cs="Arial"/>
                <w:snapToGrid w:val="0"/>
                <w:color w:val="000000"/>
                <w:sz w:val="16"/>
                <w:vertAlign w:val="superscript"/>
              </w:rPr>
            </w:pPr>
          </w:p>
        </w:tc>
        <w:tc>
          <w:tcPr>
            <w:tcW w:w="990" w:type="dxa"/>
            <w:tcBorders>
              <w:top w:val="nil"/>
              <w:left w:val="nil"/>
              <w:bottom w:val="nil"/>
              <w:right w:val="nil"/>
              <w:tl2br w:val="nil"/>
              <w:tr2bl w:val="nil"/>
            </w:tcBorders>
            <w:shd w:val="clear" w:color="auto" w:fill="FFFFFF"/>
            <w:tcMar>
              <w:left w:w="115" w:type="dxa"/>
              <w:right w:w="115" w:type="dxa"/>
            </w:tcMar>
            <w:vAlign w:val="bottom"/>
          </w:tcPr>
          <w:p w14:paraId="39C6705F" w14:textId="77777777" w:rsidR="003F0EEA" w:rsidRDefault="003F0EEA">
            <w:pPr>
              <w:jc w:val="right"/>
              <w:rPr>
                <w:rFonts w:ascii="Arial" w:eastAsia="Arial" w:hAnsi="Arial" w:cs="Arial"/>
                <w:b/>
                <w:snapToGrid w:val="0"/>
                <w:color w:val="000000"/>
                <w:sz w:val="16"/>
                <w:vertAlign w:val="superscript"/>
              </w:rPr>
            </w:pPr>
          </w:p>
        </w:tc>
        <w:tc>
          <w:tcPr>
            <w:tcW w:w="990" w:type="dxa"/>
            <w:tcBorders>
              <w:top w:val="nil"/>
              <w:left w:val="nil"/>
              <w:bottom w:val="nil"/>
              <w:right w:val="nil"/>
              <w:tl2br w:val="nil"/>
              <w:tr2bl w:val="nil"/>
            </w:tcBorders>
            <w:shd w:val="clear" w:color="auto" w:fill="FFFFFF"/>
            <w:tcMar>
              <w:left w:w="115" w:type="dxa"/>
              <w:right w:w="115" w:type="dxa"/>
            </w:tcMar>
            <w:vAlign w:val="bottom"/>
          </w:tcPr>
          <w:p w14:paraId="0CD1B3D9" w14:textId="77777777" w:rsidR="003F0EEA" w:rsidRDefault="003F0EEA">
            <w:pPr>
              <w:jc w:val="right"/>
              <w:rPr>
                <w:rFonts w:ascii="Arial" w:eastAsia="Arial" w:hAnsi="Arial" w:cs="Arial"/>
                <w:snapToGrid w:val="0"/>
                <w:color w:val="000000"/>
                <w:sz w:val="16"/>
                <w:vertAlign w:val="superscript"/>
              </w:rPr>
            </w:pPr>
          </w:p>
        </w:tc>
        <w:tc>
          <w:tcPr>
            <w:tcW w:w="990" w:type="dxa"/>
            <w:tcBorders>
              <w:top w:val="nil"/>
              <w:left w:val="nil"/>
              <w:bottom w:val="nil"/>
              <w:right w:val="nil"/>
              <w:tl2br w:val="nil"/>
              <w:tr2bl w:val="nil"/>
            </w:tcBorders>
            <w:shd w:val="clear" w:color="auto" w:fill="FFFFFF"/>
            <w:tcMar>
              <w:left w:w="115" w:type="dxa"/>
              <w:right w:w="115" w:type="dxa"/>
            </w:tcMar>
            <w:vAlign w:val="bottom"/>
          </w:tcPr>
          <w:p w14:paraId="63ED3C4F" w14:textId="77777777" w:rsidR="003F0EEA" w:rsidRDefault="003F0EEA">
            <w:pPr>
              <w:jc w:val="right"/>
              <w:rPr>
                <w:rFonts w:ascii="Arial" w:eastAsia="Arial" w:hAnsi="Arial" w:cs="Arial"/>
                <w:snapToGrid w:val="0"/>
                <w:color w:val="000000"/>
                <w:sz w:val="16"/>
                <w:vertAlign w:val="superscript"/>
              </w:rPr>
            </w:pPr>
          </w:p>
        </w:tc>
      </w:tr>
      <w:tr w:rsidR="00355BFE" w14:paraId="57D74359" w14:textId="77777777" w:rsidTr="00355BFE">
        <w:trPr>
          <w:trHeight w:val="225"/>
        </w:trPr>
        <w:tc>
          <w:tcPr>
            <w:tcW w:w="3060" w:type="dxa"/>
            <w:gridSpan w:val="3"/>
            <w:tcBorders>
              <w:top w:val="nil"/>
              <w:left w:val="nil"/>
              <w:bottom w:val="nil"/>
              <w:right w:val="nil"/>
              <w:tl2br w:val="nil"/>
              <w:tr2bl w:val="nil"/>
            </w:tcBorders>
            <w:shd w:val="clear" w:color="auto" w:fill="FFFFFF"/>
            <w:tcMar>
              <w:left w:w="115" w:type="dxa"/>
              <w:right w:w="115" w:type="dxa"/>
            </w:tcMar>
            <w:vAlign w:val="bottom"/>
          </w:tcPr>
          <w:p w14:paraId="7EC90945" w14:textId="77777777" w:rsidR="003F0EEA" w:rsidRDefault="00FB7D0B">
            <w:pPr>
              <w:rPr>
                <w:rFonts w:ascii="Arial" w:eastAsia="Arial" w:hAnsi="Arial" w:cs="Arial"/>
                <w:snapToGrid w:val="0"/>
                <w:color w:val="000000"/>
                <w:sz w:val="16"/>
                <w:vertAlign w:val="superscript"/>
              </w:rPr>
            </w:pPr>
            <w:r>
              <w:rPr>
                <w:rFonts w:ascii="Arial" w:eastAsia="Arial" w:hAnsi="Arial" w:cs="Arial"/>
                <w:b/>
                <w:snapToGrid w:val="0"/>
                <w:color w:val="000000"/>
                <w:sz w:val="16"/>
              </w:rPr>
              <w:t xml:space="preserve">Total other comprehensive income </w:t>
            </w:r>
          </w:p>
        </w:tc>
        <w:tc>
          <w:tcPr>
            <w:tcW w:w="990"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0175A809" w14:textId="77777777" w:rsidR="003F0EEA" w:rsidRDefault="00FB7D0B">
            <w:pPr>
              <w:jc w:val="right"/>
              <w:rPr>
                <w:rFonts w:ascii="Arial" w:eastAsia="Arial" w:hAnsi="Arial" w:cs="Arial"/>
                <w:b/>
                <w:snapToGrid w:val="0"/>
                <w:color w:val="000000"/>
                <w:sz w:val="16"/>
                <w:vertAlign w:val="superscript"/>
              </w:rPr>
            </w:pPr>
            <w:r>
              <w:rPr>
                <w:rFonts w:ascii="Arial" w:eastAsia="Arial" w:hAnsi="Arial" w:cs="Arial"/>
                <w:b/>
                <w:snapToGrid w:val="0"/>
                <w:color w:val="000000"/>
                <w:sz w:val="16"/>
              </w:rPr>
              <w:t xml:space="preserve"> 16,901 </w:t>
            </w:r>
          </w:p>
        </w:tc>
        <w:tc>
          <w:tcPr>
            <w:tcW w:w="990" w:type="dxa"/>
            <w:tcBorders>
              <w:top w:val="nil"/>
              <w:left w:val="nil"/>
              <w:bottom w:val="single" w:sz="6" w:space="0" w:color="000000"/>
              <w:right w:val="nil"/>
              <w:tl2br w:val="nil"/>
              <w:tr2bl w:val="nil"/>
            </w:tcBorders>
            <w:shd w:val="clear" w:color="auto" w:fill="C0C0C0"/>
            <w:tcMar>
              <w:left w:w="115" w:type="dxa"/>
              <w:right w:w="115" w:type="dxa"/>
            </w:tcMar>
            <w:vAlign w:val="bottom"/>
          </w:tcPr>
          <w:p w14:paraId="19BC2070" w14:textId="77777777" w:rsidR="003F0EEA" w:rsidRDefault="00FB7D0B">
            <w:pPr>
              <w:jc w:val="right"/>
              <w:rPr>
                <w:rFonts w:ascii="Arial" w:eastAsia="Arial" w:hAnsi="Arial" w:cs="Arial"/>
                <w:b/>
                <w:snapToGrid w:val="0"/>
                <w:color w:val="000000"/>
                <w:sz w:val="16"/>
              </w:rPr>
            </w:pPr>
            <w:r>
              <w:rPr>
                <w:rFonts w:ascii="Arial" w:eastAsia="Arial" w:hAnsi="Arial" w:cs="Arial"/>
                <w:b/>
                <w:snapToGrid w:val="0"/>
                <w:color w:val="000000"/>
                <w:sz w:val="16"/>
              </w:rPr>
              <w:t xml:space="preserve"> - </w:t>
            </w:r>
          </w:p>
        </w:tc>
        <w:tc>
          <w:tcPr>
            <w:tcW w:w="990"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613520E2" w14:textId="77777777" w:rsidR="003F0EEA" w:rsidRDefault="00FB7D0B">
            <w:pPr>
              <w:jc w:val="right"/>
              <w:rPr>
                <w:rFonts w:ascii="Arial" w:eastAsia="Arial" w:hAnsi="Arial" w:cs="Arial"/>
                <w:b/>
                <w:snapToGrid w:val="0"/>
                <w:color w:val="000000"/>
                <w:sz w:val="16"/>
              </w:rPr>
            </w:pPr>
            <w:r>
              <w:rPr>
                <w:rFonts w:ascii="Arial" w:eastAsia="Arial" w:hAnsi="Arial" w:cs="Arial"/>
                <w:b/>
                <w:snapToGrid w:val="0"/>
                <w:color w:val="000000"/>
                <w:sz w:val="16"/>
              </w:rPr>
              <w:t xml:space="preserve"> - </w:t>
            </w:r>
          </w:p>
        </w:tc>
        <w:tc>
          <w:tcPr>
            <w:tcW w:w="990"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4E3B6C48" w14:textId="77777777" w:rsidR="003F0EEA" w:rsidRDefault="00FB7D0B">
            <w:pPr>
              <w:jc w:val="right"/>
              <w:rPr>
                <w:rFonts w:ascii="Arial" w:eastAsia="Arial" w:hAnsi="Arial" w:cs="Arial"/>
                <w:b/>
                <w:snapToGrid w:val="0"/>
                <w:color w:val="000000"/>
                <w:sz w:val="16"/>
              </w:rPr>
            </w:pPr>
            <w:r>
              <w:rPr>
                <w:rFonts w:ascii="Arial" w:eastAsia="Arial" w:hAnsi="Arial" w:cs="Arial"/>
                <w:b/>
                <w:snapToGrid w:val="0"/>
                <w:color w:val="000000"/>
                <w:sz w:val="16"/>
              </w:rPr>
              <w:t xml:space="preserve"> - </w:t>
            </w:r>
          </w:p>
        </w:tc>
        <w:tc>
          <w:tcPr>
            <w:tcW w:w="990"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58B5F726" w14:textId="77777777" w:rsidR="003F0EEA" w:rsidRDefault="00FB7D0B">
            <w:pPr>
              <w:jc w:val="right"/>
              <w:rPr>
                <w:rFonts w:ascii="Arial" w:eastAsia="Arial" w:hAnsi="Arial" w:cs="Arial"/>
                <w:b/>
                <w:snapToGrid w:val="0"/>
                <w:color w:val="000000"/>
                <w:sz w:val="16"/>
              </w:rPr>
            </w:pPr>
            <w:r>
              <w:rPr>
                <w:rFonts w:ascii="Arial" w:eastAsia="Arial" w:hAnsi="Arial" w:cs="Arial"/>
                <w:b/>
                <w:snapToGrid w:val="0"/>
                <w:color w:val="000000"/>
                <w:sz w:val="16"/>
              </w:rPr>
              <w:t xml:space="preserve"> - </w:t>
            </w:r>
          </w:p>
        </w:tc>
      </w:tr>
      <w:tr w:rsidR="00724034" w14:paraId="7A9EB6AE" w14:textId="77777777">
        <w:trPr>
          <w:trHeight w:val="60"/>
        </w:trPr>
        <w:tc>
          <w:tcPr>
            <w:tcW w:w="180" w:type="dxa"/>
            <w:tcBorders>
              <w:top w:val="nil"/>
              <w:left w:val="nil"/>
              <w:bottom w:val="nil"/>
              <w:right w:val="nil"/>
              <w:tl2br w:val="nil"/>
              <w:tr2bl w:val="nil"/>
            </w:tcBorders>
            <w:shd w:val="clear" w:color="auto" w:fill="FFFFFF"/>
            <w:tcMar>
              <w:left w:w="115" w:type="dxa"/>
              <w:right w:w="115" w:type="dxa"/>
            </w:tcMar>
            <w:vAlign w:val="bottom"/>
          </w:tcPr>
          <w:p w14:paraId="783F7F4D" w14:textId="77777777" w:rsidR="003F0EEA" w:rsidRDefault="003F0EEA">
            <w:pPr>
              <w:rPr>
                <w:rFonts w:ascii="Arial" w:eastAsia="Arial" w:hAnsi="Arial" w:cs="Arial"/>
                <w:b/>
                <w:snapToGrid w:val="0"/>
                <w:color w:val="000000"/>
                <w:sz w:val="16"/>
              </w:rPr>
            </w:pPr>
          </w:p>
        </w:tc>
        <w:tc>
          <w:tcPr>
            <w:tcW w:w="180" w:type="dxa"/>
            <w:tcBorders>
              <w:top w:val="nil"/>
              <w:left w:val="nil"/>
              <w:bottom w:val="nil"/>
              <w:right w:val="nil"/>
              <w:tl2br w:val="nil"/>
              <w:tr2bl w:val="nil"/>
            </w:tcBorders>
            <w:shd w:val="clear" w:color="auto" w:fill="FFFFFF"/>
            <w:tcMar>
              <w:left w:w="115" w:type="dxa"/>
              <w:right w:w="115" w:type="dxa"/>
            </w:tcMar>
            <w:vAlign w:val="bottom"/>
          </w:tcPr>
          <w:p w14:paraId="3703A23C" w14:textId="77777777" w:rsidR="003F0EEA" w:rsidRDefault="003F0EEA">
            <w:pPr>
              <w:rPr>
                <w:rFonts w:ascii="Arial" w:eastAsia="Arial" w:hAnsi="Arial" w:cs="Arial"/>
                <w:b/>
                <w:snapToGrid w:val="0"/>
                <w:color w:val="000000"/>
                <w:sz w:val="16"/>
              </w:rPr>
            </w:pPr>
          </w:p>
        </w:tc>
        <w:tc>
          <w:tcPr>
            <w:tcW w:w="2700" w:type="dxa"/>
            <w:tcBorders>
              <w:top w:val="nil"/>
              <w:left w:val="nil"/>
              <w:bottom w:val="nil"/>
              <w:right w:val="nil"/>
              <w:tl2br w:val="nil"/>
              <w:tr2bl w:val="nil"/>
            </w:tcBorders>
            <w:shd w:val="clear" w:color="auto" w:fill="FFFFFF"/>
            <w:tcMar>
              <w:left w:w="115" w:type="dxa"/>
              <w:right w:w="115" w:type="dxa"/>
            </w:tcMar>
            <w:vAlign w:val="bottom"/>
          </w:tcPr>
          <w:p w14:paraId="2173BBFA" w14:textId="77777777" w:rsidR="003F0EEA" w:rsidRDefault="003F0EEA">
            <w:pPr>
              <w:rPr>
                <w:rFonts w:ascii="Arial" w:eastAsia="Arial" w:hAnsi="Arial" w:cs="Arial"/>
                <w:b/>
                <w:snapToGrid w:val="0"/>
                <w:color w:val="000000"/>
                <w:sz w:val="16"/>
              </w:rPr>
            </w:pPr>
          </w:p>
        </w:tc>
        <w:tc>
          <w:tcPr>
            <w:tcW w:w="990"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6FFF3A0A" w14:textId="77777777" w:rsidR="003F0EEA" w:rsidRDefault="003F0EEA">
            <w:pPr>
              <w:jc w:val="right"/>
              <w:rPr>
                <w:rFonts w:ascii="Arial" w:eastAsia="Arial" w:hAnsi="Arial" w:cs="Arial"/>
                <w:b/>
                <w:snapToGrid w:val="0"/>
                <w:color w:val="000000"/>
                <w:sz w:val="16"/>
                <w:vertAlign w:val="superscript"/>
              </w:rPr>
            </w:pPr>
          </w:p>
        </w:tc>
        <w:tc>
          <w:tcPr>
            <w:tcW w:w="990" w:type="dxa"/>
            <w:tcBorders>
              <w:top w:val="single" w:sz="6" w:space="0" w:color="000000"/>
              <w:left w:val="nil"/>
              <w:bottom w:val="nil"/>
              <w:right w:val="nil"/>
              <w:tl2br w:val="nil"/>
              <w:tr2bl w:val="nil"/>
            </w:tcBorders>
            <w:shd w:val="clear" w:color="auto" w:fill="C0C0C0"/>
            <w:tcMar>
              <w:left w:w="115" w:type="dxa"/>
              <w:right w:w="115" w:type="dxa"/>
            </w:tcMar>
            <w:vAlign w:val="bottom"/>
          </w:tcPr>
          <w:p w14:paraId="2D6271C4" w14:textId="77777777" w:rsidR="003F0EEA" w:rsidRDefault="003F0EEA">
            <w:pPr>
              <w:jc w:val="right"/>
              <w:rPr>
                <w:rFonts w:ascii="Arial" w:eastAsia="Arial" w:hAnsi="Arial" w:cs="Arial"/>
                <w:b/>
                <w:snapToGrid w:val="0"/>
                <w:color w:val="000000"/>
                <w:sz w:val="16"/>
                <w:vertAlign w:val="superscript"/>
              </w:rPr>
            </w:pPr>
          </w:p>
        </w:tc>
        <w:tc>
          <w:tcPr>
            <w:tcW w:w="990"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34B347D7" w14:textId="77777777" w:rsidR="003F0EEA" w:rsidRDefault="003F0EEA">
            <w:pPr>
              <w:jc w:val="right"/>
              <w:rPr>
                <w:rFonts w:ascii="Arial" w:eastAsia="Arial" w:hAnsi="Arial" w:cs="Arial"/>
                <w:b/>
                <w:snapToGrid w:val="0"/>
                <w:color w:val="000000"/>
                <w:sz w:val="16"/>
                <w:vertAlign w:val="superscript"/>
              </w:rPr>
            </w:pPr>
          </w:p>
        </w:tc>
        <w:tc>
          <w:tcPr>
            <w:tcW w:w="990"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5CD7E290" w14:textId="77777777" w:rsidR="003F0EEA" w:rsidRDefault="003F0EEA">
            <w:pPr>
              <w:jc w:val="right"/>
              <w:rPr>
                <w:rFonts w:ascii="Arial" w:eastAsia="Arial" w:hAnsi="Arial" w:cs="Arial"/>
                <w:b/>
                <w:snapToGrid w:val="0"/>
                <w:color w:val="000000"/>
                <w:sz w:val="16"/>
                <w:vertAlign w:val="superscript"/>
              </w:rPr>
            </w:pPr>
          </w:p>
        </w:tc>
        <w:tc>
          <w:tcPr>
            <w:tcW w:w="990"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611B97E3" w14:textId="77777777" w:rsidR="003F0EEA" w:rsidRDefault="003F0EEA">
            <w:pPr>
              <w:jc w:val="right"/>
              <w:rPr>
                <w:rFonts w:ascii="Arial" w:eastAsia="Arial" w:hAnsi="Arial" w:cs="Arial"/>
                <w:b/>
                <w:snapToGrid w:val="0"/>
                <w:color w:val="000000"/>
                <w:sz w:val="16"/>
                <w:vertAlign w:val="superscript"/>
              </w:rPr>
            </w:pPr>
          </w:p>
        </w:tc>
      </w:tr>
      <w:tr w:rsidR="00355BFE" w14:paraId="14FEB1D0" w14:textId="77777777" w:rsidTr="00355BFE">
        <w:trPr>
          <w:trHeight w:val="225"/>
        </w:trPr>
        <w:tc>
          <w:tcPr>
            <w:tcW w:w="3060" w:type="dxa"/>
            <w:gridSpan w:val="3"/>
            <w:tcBorders>
              <w:top w:val="nil"/>
              <w:left w:val="nil"/>
              <w:bottom w:val="nil"/>
              <w:right w:val="nil"/>
              <w:tl2br w:val="nil"/>
              <w:tr2bl w:val="nil"/>
            </w:tcBorders>
            <w:shd w:val="clear" w:color="auto" w:fill="FFFFFF"/>
            <w:tcMar>
              <w:left w:w="115" w:type="dxa"/>
              <w:right w:w="115" w:type="dxa"/>
            </w:tcMar>
            <w:vAlign w:val="bottom"/>
          </w:tcPr>
          <w:p w14:paraId="35D31B89" w14:textId="77777777" w:rsidR="003F0EEA" w:rsidRDefault="00FB7D0B">
            <w:pPr>
              <w:rPr>
                <w:rFonts w:ascii="Arial" w:eastAsia="Arial" w:hAnsi="Arial" w:cs="Arial"/>
                <w:b/>
                <w:snapToGrid w:val="0"/>
                <w:color w:val="000000"/>
                <w:sz w:val="16"/>
                <w:vertAlign w:val="superscript"/>
              </w:rPr>
            </w:pPr>
            <w:r>
              <w:rPr>
                <w:rFonts w:ascii="Arial" w:eastAsia="Arial" w:hAnsi="Arial" w:cs="Arial"/>
                <w:b/>
                <w:snapToGrid w:val="0"/>
                <w:color w:val="000000"/>
                <w:sz w:val="16"/>
              </w:rPr>
              <w:t>Total comprehensive income (loss)</w:t>
            </w:r>
          </w:p>
        </w:tc>
        <w:tc>
          <w:tcPr>
            <w:tcW w:w="990"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7ED42704" w14:textId="77777777" w:rsidR="003F0EEA" w:rsidRDefault="00FB7D0B">
            <w:pPr>
              <w:jc w:val="right"/>
              <w:rPr>
                <w:rFonts w:ascii="Arial" w:eastAsia="Arial" w:hAnsi="Arial" w:cs="Arial"/>
                <w:b/>
                <w:snapToGrid w:val="0"/>
                <w:color w:val="000000"/>
                <w:sz w:val="16"/>
                <w:vertAlign w:val="superscript"/>
              </w:rPr>
            </w:pPr>
            <w:r>
              <w:rPr>
                <w:rFonts w:ascii="Arial" w:eastAsia="Arial" w:hAnsi="Arial" w:cs="Arial"/>
                <w:b/>
                <w:snapToGrid w:val="0"/>
                <w:color w:val="000000"/>
                <w:sz w:val="16"/>
              </w:rPr>
              <w:t xml:space="preserve"> 7,198 </w:t>
            </w:r>
          </w:p>
        </w:tc>
        <w:tc>
          <w:tcPr>
            <w:tcW w:w="990" w:type="dxa"/>
            <w:tcBorders>
              <w:top w:val="nil"/>
              <w:left w:val="nil"/>
              <w:bottom w:val="single" w:sz="6" w:space="0" w:color="000000"/>
              <w:right w:val="nil"/>
              <w:tl2br w:val="nil"/>
              <w:tr2bl w:val="nil"/>
            </w:tcBorders>
            <w:shd w:val="clear" w:color="auto" w:fill="C0C0C0"/>
            <w:tcMar>
              <w:left w:w="115" w:type="dxa"/>
              <w:right w:w="115" w:type="dxa"/>
            </w:tcMar>
            <w:vAlign w:val="bottom"/>
          </w:tcPr>
          <w:p w14:paraId="2BE9B2E6" w14:textId="77777777" w:rsidR="003F0EEA" w:rsidRDefault="00FB7D0B">
            <w:pPr>
              <w:jc w:val="right"/>
              <w:rPr>
                <w:rFonts w:ascii="Arial" w:eastAsia="Arial" w:hAnsi="Arial" w:cs="Arial"/>
                <w:b/>
                <w:snapToGrid w:val="0"/>
                <w:color w:val="000000"/>
                <w:sz w:val="16"/>
              </w:rPr>
            </w:pPr>
            <w:r>
              <w:rPr>
                <w:rFonts w:ascii="Arial" w:eastAsia="Arial" w:hAnsi="Arial" w:cs="Arial"/>
                <w:b/>
                <w:snapToGrid w:val="0"/>
                <w:color w:val="000000"/>
                <w:sz w:val="16"/>
              </w:rPr>
              <w:t>(10,125)</w:t>
            </w:r>
          </w:p>
        </w:tc>
        <w:tc>
          <w:tcPr>
            <w:tcW w:w="990"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3F80F181" w14:textId="77777777" w:rsidR="003F0EEA" w:rsidRDefault="00FB7D0B">
            <w:pPr>
              <w:jc w:val="right"/>
              <w:rPr>
                <w:rFonts w:ascii="Arial" w:eastAsia="Arial" w:hAnsi="Arial" w:cs="Arial"/>
                <w:b/>
                <w:snapToGrid w:val="0"/>
                <w:color w:val="000000"/>
                <w:sz w:val="16"/>
              </w:rPr>
            </w:pPr>
            <w:r>
              <w:rPr>
                <w:rFonts w:ascii="Arial" w:eastAsia="Arial" w:hAnsi="Arial" w:cs="Arial"/>
                <w:b/>
                <w:snapToGrid w:val="0"/>
                <w:color w:val="000000"/>
                <w:sz w:val="16"/>
              </w:rPr>
              <w:t>(10,186)</w:t>
            </w:r>
          </w:p>
        </w:tc>
        <w:tc>
          <w:tcPr>
            <w:tcW w:w="990"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50BDB46F" w14:textId="77777777" w:rsidR="003F0EEA" w:rsidRDefault="00FB7D0B">
            <w:pPr>
              <w:jc w:val="right"/>
              <w:rPr>
                <w:rFonts w:ascii="Arial" w:eastAsia="Arial" w:hAnsi="Arial" w:cs="Arial"/>
                <w:b/>
                <w:snapToGrid w:val="0"/>
                <w:color w:val="000000"/>
                <w:sz w:val="16"/>
              </w:rPr>
            </w:pPr>
            <w:r>
              <w:rPr>
                <w:rFonts w:ascii="Arial" w:eastAsia="Arial" w:hAnsi="Arial" w:cs="Arial"/>
                <w:b/>
                <w:snapToGrid w:val="0"/>
                <w:color w:val="000000"/>
                <w:sz w:val="16"/>
              </w:rPr>
              <w:t>(9,700)</w:t>
            </w:r>
          </w:p>
        </w:tc>
        <w:tc>
          <w:tcPr>
            <w:tcW w:w="990"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18BFE69C" w14:textId="77777777" w:rsidR="003F0EEA" w:rsidRDefault="00FB7D0B">
            <w:pPr>
              <w:jc w:val="right"/>
              <w:rPr>
                <w:rFonts w:ascii="Arial" w:eastAsia="Arial" w:hAnsi="Arial" w:cs="Arial"/>
                <w:b/>
                <w:snapToGrid w:val="0"/>
                <w:color w:val="000000"/>
                <w:sz w:val="16"/>
              </w:rPr>
            </w:pPr>
            <w:r>
              <w:rPr>
                <w:rFonts w:ascii="Arial" w:eastAsia="Arial" w:hAnsi="Arial" w:cs="Arial"/>
                <w:b/>
                <w:snapToGrid w:val="0"/>
                <w:color w:val="000000"/>
                <w:sz w:val="16"/>
              </w:rPr>
              <w:t>(9,115)</w:t>
            </w:r>
          </w:p>
        </w:tc>
      </w:tr>
      <w:tr w:rsidR="00724034" w14:paraId="6F4E0097" w14:textId="77777777">
        <w:trPr>
          <w:trHeight w:val="60"/>
        </w:trPr>
        <w:tc>
          <w:tcPr>
            <w:tcW w:w="180" w:type="dxa"/>
            <w:tcBorders>
              <w:top w:val="nil"/>
              <w:left w:val="nil"/>
              <w:bottom w:val="nil"/>
              <w:right w:val="nil"/>
              <w:tl2br w:val="nil"/>
              <w:tr2bl w:val="nil"/>
            </w:tcBorders>
            <w:shd w:val="clear" w:color="auto" w:fill="FFFFFF"/>
            <w:tcMar>
              <w:left w:w="115" w:type="dxa"/>
              <w:right w:w="115" w:type="dxa"/>
            </w:tcMar>
            <w:vAlign w:val="bottom"/>
          </w:tcPr>
          <w:p w14:paraId="09F82273" w14:textId="77777777" w:rsidR="003F0EEA" w:rsidRDefault="003F0EEA">
            <w:pPr>
              <w:rPr>
                <w:rFonts w:ascii="Arial" w:eastAsia="Arial" w:hAnsi="Arial" w:cs="Arial"/>
                <w:b/>
                <w:snapToGrid w:val="0"/>
                <w:color w:val="000000"/>
                <w:sz w:val="16"/>
              </w:rPr>
            </w:pPr>
          </w:p>
        </w:tc>
        <w:tc>
          <w:tcPr>
            <w:tcW w:w="180" w:type="dxa"/>
            <w:tcBorders>
              <w:top w:val="nil"/>
              <w:left w:val="nil"/>
              <w:bottom w:val="nil"/>
              <w:right w:val="nil"/>
              <w:tl2br w:val="nil"/>
              <w:tr2bl w:val="nil"/>
            </w:tcBorders>
            <w:shd w:val="clear" w:color="auto" w:fill="FFFFFF"/>
            <w:tcMar>
              <w:left w:w="115" w:type="dxa"/>
              <w:right w:w="115" w:type="dxa"/>
            </w:tcMar>
            <w:vAlign w:val="bottom"/>
          </w:tcPr>
          <w:p w14:paraId="0F4E5DDD" w14:textId="77777777" w:rsidR="003F0EEA" w:rsidRDefault="003F0EEA">
            <w:pPr>
              <w:rPr>
                <w:rFonts w:ascii="Arial" w:eastAsia="Arial" w:hAnsi="Arial" w:cs="Arial"/>
                <w:snapToGrid w:val="0"/>
                <w:color w:val="000000"/>
                <w:sz w:val="16"/>
              </w:rPr>
            </w:pPr>
          </w:p>
        </w:tc>
        <w:tc>
          <w:tcPr>
            <w:tcW w:w="2700" w:type="dxa"/>
            <w:tcBorders>
              <w:top w:val="nil"/>
              <w:left w:val="nil"/>
              <w:bottom w:val="nil"/>
              <w:right w:val="nil"/>
              <w:tl2br w:val="nil"/>
              <w:tr2bl w:val="nil"/>
            </w:tcBorders>
            <w:shd w:val="clear" w:color="auto" w:fill="FFFFFF"/>
            <w:tcMar>
              <w:left w:w="115" w:type="dxa"/>
              <w:right w:w="115" w:type="dxa"/>
            </w:tcMar>
            <w:vAlign w:val="bottom"/>
          </w:tcPr>
          <w:p w14:paraId="4C7390B8" w14:textId="77777777" w:rsidR="003F0EEA" w:rsidRDefault="003F0EEA">
            <w:pPr>
              <w:rPr>
                <w:rFonts w:ascii="Arial" w:eastAsia="Arial" w:hAnsi="Arial" w:cs="Arial"/>
                <w:snapToGrid w:val="0"/>
                <w:color w:val="000000"/>
                <w:sz w:val="16"/>
              </w:rPr>
            </w:pPr>
          </w:p>
        </w:tc>
        <w:tc>
          <w:tcPr>
            <w:tcW w:w="990"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0883CDD8" w14:textId="77777777" w:rsidR="003F0EEA" w:rsidRDefault="003F0EEA">
            <w:pPr>
              <w:jc w:val="right"/>
              <w:rPr>
                <w:rFonts w:ascii="Arial" w:eastAsia="Arial" w:hAnsi="Arial" w:cs="Arial"/>
                <w:snapToGrid w:val="0"/>
                <w:color w:val="000000"/>
                <w:sz w:val="16"/>
                <w:vertAlign w:val="superscript"/>
              </w:rPr>
            </w:pPr>
          </w:p>
        </w:tc>
        <w:tc>
          <w:tcPr>
            <w:tcW w:w="990" w:type="dxa"/>
            <w:tcBorders>
              <w:top w:val="single" w:sz="6" w:space="0" w:color="000000"/>
              <w:left w:val="nil"/>
              <w:bottom w:val="nil"/>
              <w:right w:val="nil"/>
              <w:tl2br w:val="nil"/>
              <w:tr2bl w:val="nil"/>
            </w:tcBorders>
            <w:shd w:val="clear" w:color="auto" w:fill="C0C0C0"/>
            <w:tcMar>
              <w:left w:w="115" w:type="dxa"/>
              <w:right w:w="115" w:type="dxa"/>
            </w:tcMar>
            <w:vAlign w:val="bottom"/>
          </w:tcPr>
          <w:p w14:paraId="437C99A1" w14:textId="77777777" w:rsidR="003F0EEA" w:rsidRDefault="003F0EEA">
            <w:pPr>
              <w:jc w:val="right"/>
              <w:rPr>
                <w:rFonts w:ascii="Arial" w:eastAsia="Arial" w:hAnsi="Arial" w:cs="Arial"/>
                <w:snapToGrid w:val="0"/>
                <w:color w:val="000000"/>
                <w:sz w:val="16"/>
                <w:vertAlign w:val="superscript"/>
              </w:rPr>
            </w:pPr>
          </w:p>
        </w:tc>
        <w:tc>
          <w:tcPr>
            <w:tcW w:w="990"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1E1E9E3E" w14:textId="77777777" w:rsidR="003F0EEA" w:rsidRDefault="003F0EEA">
            <w:pPr>
              <w:jc w:val="right"/>
              <w:rPr>
                <w:rFonts w:ascii="Arial" w:eastAsia="Arial" w:hAnsi="Arial" w:cs="Arial"/>
                <w:b/>
                <w:snapToGrid w:val="0"/>
                <w:color w:val="000000"/>
                <w:sz w:val="16"/>
                <w:vertAlign w:val="superscript"/>
              </w:rPr>
            </w:pPr>
          </w:p>
        </w:tc>
        <w:tc>
          <w:tcPr>
            <w:tcW w:w="990"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17A96174" w14:textId="77777777" w:rsidR="003F0EEA" w:rsidRDefault="003F0EEA">
            <w:pPr>
              <w:jc w:val="right"/>
              <w:rPr>
                <w:rFonts w:ascii="Arial" w:eastAsia="Arial" w:hAnsi="Arial" w:cs="Arial"/>
                <w:snapToGrid w:val="0"/>
                <w:color w:val="000000"/>
                <w:sz w:val="16"/>
                <w:vertAlign w:val="superscript"/>
              </w:rPr>
            </w:pPr>
          </w:p>
        </w:tc>
        <w:tc>
          <w:tcPr>
            <w:tcW w:w="990"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580C6A11" w14:textId="77777777" w:rsidR="003F0EEA" w:rsidRDefault="003F0EEA">
            <w:pPr>
              <w:jc w:val="right"/>
              <w:rPr>
                <w:rFonts w:ascii="Arial" w:eastAsia="Arial" w:hAnsi="Arial" w:cs="Arial"/>
                <w:snapToGrid w:val="0"/>
                <w:color w:val="000000"/>
                <w:sz w:val="16"/>
                <w:vertAlign w:val="superscript"/>
              </w:rPr>
            </w:pPr>
          </w:p>
        </w:tc>
      </w:tr>
      <w:tr w:rsidR="00355BFE" w14:paraId="68CF8653" w14:textId="77777777" w:rsidTr="00355BFE">
        <w:trPr>
          <w:trHeight w:val="225"/>
        </w:trPr>
        <w:tc>
          <w:tcPr>
            <w:tcW w:w="3060" w:type="dxa"/>
            <w:gridSpan w:val="3"/>
            <w:vMerge w:val="restart"/>
            <w:tcBorders>
              <w:top w:val="nil"/>
              <w:left w:val="nil"/>
              <w:bottom w:val="nil"/>
              <w:right w:val="nil"/>
              <w:tl2br w:val="nil"/>
              <w:tr2bl w:val="nil"/>
            </w:tcBorders>
            <w:shd w:val="clear" w:color="auto" w:fill="FFFFFF"/>
            <w:tcMar>
              <w:left w:w="115" w:type="dxa"/>
              <w:right w:w="115" w:type="dxa"/>
            </w:tcMar>
            <w:vAlign w:val="bottom"/>
          </w:tcPr>
          <w:p w14:paraId="1E7988B5" w14:textId="77777777" w:rsidR="003F0EEA" w:rsidRDefault="00FB7D0B">
            <w:pPr>
              <w:rPr>
                <w:rFonts w:ascii="Arial" w:eastAsia="Arial" w:hAnsi="Arial" w:cs="Arial"/>
                <w:snapToGrid w:val="0"/>
                <w:color w:val="000000"/>
                <w:sz w:val="16"/>
                <w:vertAlign w:val="superscript"/>
              </w:rPr>
            </w:pPr>
            <w:r>
              <w:rPr>
                <w:rFonts w:ascii="Arial" w:eastAsia="Arial" w:hAnsi="Arial" w:cs="Arial"/>
                <w:b/>
                <w:snapToGrid w:val="0"/>
                <w:color w:val="000000"/>
                <w:sz w:val="16"/>
              </w:rPr>
              <w:t>Total comprehensive income (loss)</w:t>
            </w:r>
          </w:p>
        </w:tc>
        <w:tc>
          <w:tcPr>
            <w:tcW w:w="990" w:type="dxa"/>
            <w:tcBorders>
              <w:top w:val="nil"/>
              <w:left w:val="nil"/>
              <w:bottom w:val="nil"/>
              <w:right w:val="nil"/>
              <w:tl2br w:val="nil"/>
              <w:tr2bl w:val="nil"/>
            </w:tcBorders>
            <w:shd w:val="clear" w:color="auto" w:fill="FFFFFF"/>
            <w:tcMar>
              <w:left w:w="115" w:type="dxa"/>
              <w:right w:w="115" w:type="dxa"/>
            </w:tcMar>
            <w:vAlign w:val="bottom"/>
          </w:tcPr>
          <w:p w14:paraId="377E584D" w14:textId="77777777" w:rsidR="003F0EEA" w:rsidRDefault="003F0EEA">
            <w:pPr>
              <w:jc w:val="right"/>
              <w:rPr>
                <w:rFonts w:ascii="Arial" w:eastAsia="Arial" w:hAnsi="Arial" w:cs="Arial"/>
                <w:snapToGrid w:val="0"/>
                <w:color w:val="000000"/>
                <w:sz w:val="16"/>
                <w:vertAlign w:val="superscript"/>
              </w:rPr>
            </w:pPr>
          </w:p>
        </w:tc>
        <w:tc>
          <w:tcPr>
            <w:tcW w:w="990" w:type="dxa"/>
            <w:tcBorders>
              <w:top w:val="nil"/>
              <w:left w:val="nil"/>
              <w:bottom w:val="nil"/>
              <w:right w:val="nil"/>
              <w:tl2br w:val="nil"/>
              <w:tr2bl w:val="nil"/>
            </w:tcBorders>
            <w:shd w:val="clear" w:color="auto" w:fill="C0C0C0"/>
            <w:tcMar>
              <w:left w:w="115" w:type="dxa"/>
              <w:right w:w="115" w:type="dxa"/>
            </w:tcMar>
            <w:vAlign w:val="bottom"/>
          </w:tcPr>
          <w:p w14:paraId="050E65EE" w14:textId="77777777" w:rsidR="003F0EEA" w:rsidRDefault="003F0EEA">
            <w:pPr>
              <w:jc w:val="right"/>
              <w:rPr>
                <w:rFonts w:ascii="Arial" w:eastAsia="Arial" w:hAnsi="Arial" w:cs="Arial"/>
                <w:snapToGrid w:val="0"/>
                <w:color w:val="000000"/>
                <w:sz w:val="16"/>
                <w:vertAlign w:val="superscript"/>
              </w:rPr>
            </w:pPr>
          </w:p>
        </w:tc>
        <w:tc>
          <w:tcPr>
            <w:tcW w:w="990" w:type="dxa"/>
            <w:tcBorders>
              <w:top w:val="nil"/>
              <w:left w:val="nil"/>
              <w:bottom w:val="nil"/>
              <w:right w:val="nil"/>
              <w:tl2br w:val="nil"/>
              <w:tr2bl w:val="nil"/>
            </w:tcBorders>
            <w:shd w:val="clear" w:color="auto" w:fill="FFFFFF"/>
            <w:tcMar>
              <w:left w:w="115" w:type="dxa"/>
              <w:right w:w="115" w:type="dxa"/>
            </w:tcMar>
            <w:vAlign w:val="bottom"/>
          </w:tcPr>
          <w:p w14:paraId="14691AC7" w14:textId="77777777" w:rsidR="003F0EEA" w:rsidRDefault="003F0EEA">
            <w:pPr>
              <w:jc w:val="right"/>
              <w:rPr>
                <w:rFonts w:ascii="Arial" w:eastAsia="Arial" w:hAnsi="Arial" w:cs="Arial"/>
                <w:b/>
                <w:snapToGrid w:val="0"/>
                <w:color w:val="000000"/>
                <w:sz w:val="16"/>
                <w:vertAlign w:val="superscript"/>
              </w:rPr>
            </w:pPr>
          </w:p>
        </w:tc>
        <w:tc>
          <w:tcPr>
            <w:tcW w:w="990" w:type="dxa"/>
            <w:tcBorders>
              <w:top w:val="nil"/>
              <w:left w:val="nil"/>
              <w:bottom w:val="nil"/>
              <w:right w:val="nil"/>
              <w:tl2br w:val="nil"/>
              <w:tr2bl w:val="nil"/>
            </w:tcBorders>
            <w:shd w:val="clear" w:color="auto" w:fill="FFFFFF"/>
            <w:tcMar>
              <w:left w:w="115" w:type="dxa"/>
              <w:right w:w="115" w:type="dxa"/>
            </w:tcMar>
            <w:vAlign w:val="bottom"/>
          </w:tcPr>
          <w:p w14:paraId="1F350A6E" w14:textId="77777777" w:rsidR="003F0EEA" w:rsidRDefault="003F0EEA">
            <w:pPr>
              <w:jc w:val="right"/>
              <w:rPr>
                <w:rFonts w:ascii="Arial" w:eastAsia="Arial" w:hAnsi="Arial" w:cs="Arial"/>
                <w:snapToGrid w:val="0"/>
                <w:color w:val="000000"/>
                <w:sz w:val="16"/>
                <w:vertAlign w:val="superscript"/>
              </w:rPr>
            </w:pPr>
          </w:p>
        </w:tc>
        <w:tc>
          <w:tcPr>
            <w:tcW w:w="990" w:type="dxa"/>
            <w:tcBorders>
              <w:top w:val="nil"/>
              <w:left w:val="nil"/>
              <w:bottom w:val="nil"/>
              <w:right w:val="nil"/>
              <w:tl2br w:val="nil"/>
              <w:tr2bl w:val="nil"/>
            </w:tcBorders>
            <w:shd w:val="clear" w:color="auto" w:fill="FFFFFF"/>
            <w:tcMar>
              <w:left w:w="115" w:type="dxa"/>
              <w:right w:w="115" w:type="dxa"/>
            </w:tcMar>
            <w:vAlign w:val="bottom"/>
          </w:tcPr>
          <w:p w14:paraId="50DDD209" w14:textId="77777777" w:rsidR="003F0EEA" w:rsidRDefault="003F0EEA">
            <w:pPr>
              <w:jc w:val="right"/>
              <w:rPr>
                <w:rFonts w:ascii="Arial" w:eastAsia="Arial" w:hAnsi="Arial" w:cs="Arial"/>
                <w:snapToGrid w:val="0"/>
                <w:color w:val="000000"/>
                <w:sz w:val="16"/>
                <w:vertAlign w:val="superscript"/>
              </w:rPr>
            </w:pPr>
          </w:p>
        </w:tc>
      </w:tr>
      <w:tr w:rsidR="00355BFE" w14:paraId="71A5FE06" w14:textId="77777777" w:rsidTr="00355BFE">
        <w:trPr>
          <w:trHeight w:val="225"/>
        </w:trPr>
        <w:tc>
          <w:tcPr>
            <w:tcW w:w="3060" w:type="dxa"/>
            <w:gridSpan w:val="3"/>
            <w:vMerge w:val="restart"/>
            <w:tcBorders>
              <w:top w:val="nil"/>
              <w:left w:val="nil"/>
              <w:bottom w:val="nil"/>
              <w:right w:val="nil"/>
              <w:tl2br w:val="nil"/>
              <w:tr2bl w:val="nil"/>
            </w:tcBorders>
            <w:shd w:val="clear" w:color="auto" w:fill="FFFFFF"/>
            <w:tcMar>
              <w:left w:w="115" w:type="dxa"/>
              <w:right w:w="115" w:type="dxa"/>
            </w:tcMar>
            <w:vAlign w:val="bottom"/>
          </w:tcPr>
          <w:p w14:paraId="7C60FCEF" w14:textId="77777777" w:rsidR="003F0EEA" w:rsidRDefault="00FB7D0B">
            <w:pPr>
              <w:rPr>
                <w:rFonts w:ascii="Arial" w:eastAsia="Arial" w:hAnsi="Arial" w:cs="Arial"/>
                <w:snapToGrid w:val="0"/>
                <w:color w:val="000000"/>
                <w:sz w:val="16"/>
                <w:vertAlign w:val="superscript"/>
              </w:rPr>
            </w:pPr>
            <w:r>
              <w:rPr>
                <w:rFonts w:ascii="Arial" w:eastAsia="Arial" w:hAnsi="Arial" w:cs="Arial"/>
                <w:b/>
                <w:snapToGrid w:val="0"/>
                <w:color w:val="000000"/>
                <w:sz w:val="16"/>
              </w:rPr>
              <w:t>attributable to the</w:t>
            </w:r>
          </w:p>
        </w:tc>
        <w:tc>
          <w:tcPr>
            <w:tcW w:w="990" w:type="dxa"/>
            <w:tcBorders>
              <w:top w:val="nil"/>
              <w:left w:val="nil"/>
              <w:bottom w:val="nil"/>
              <w:right w:val="nil"/>
              <w:tl2br w:val="nil"/>
              <w:tr2bl w:val="nil"/>
            </w:tcBorders>
            <w:shd w:val="clear" w:color="auto" w:fill="FFFFFF"/>
            <w:tcMar>
              <w:left w:w="115" w:type="dxa"/>
              <w:right w:w="115" w:type="dxa"/>
            </w:tcMar>
            <w:vAlign w:val="bottom"/>
          </w:tcPr>
          <w:p w14:paraId="2FD45469" w14:textId="77777777" w:rsidR="003F0EEA" w:rsidRDefault="003F0EEA">
            <w:pPr>
              <w:jc w:val="right"/>
              <w:rPr>
                <w:rFonts w:ascii="Arial" w:eastAsia="Arial" w:hAnsi="Arial" w:cs="Arial"/>
                <w:b/>
                <w:snapToGrid w:val="0"/>
                <w:color w:val="000000"/>
                <w:sz w:val="16"/>
                <w:vertAlign w:val="superscript"/>
              </w:rPr>
            </w:pPr>
          </w:p>
        </w:tc>
        <w:tc>
          <w:tcPr>
            <w:tcW w:w="990" w:type="dxa"/>
            <w:tcBorders>
              <w:top w:val="nil"/>
              <w:left w:val="nil"/>
              <w:bottom w:val="nil"/>
              <w:right w:val="nil"/>
              <w:tl2br w:val="nil"/>
              <w:tr2bl w:val="nil"/>
            </w:tcBorders>
            <w:shd w:val="clear" w:color="auto" w:fill="C0C0C0"/>
            <w:tcMar>
              <w:left w:w="115" w:type="dxa"/>
              <w:right w:w="115" w:type="dxa"/>
            </w:tcMar>
            <w:vAlign w:val="bottom"/>
          </w:tcPr>
          <w:p w14:paraId="7FB71615" w14:textId="77777777" w:rsidR="003F0EEA" w:rsidRDefault="003F0EEA">
            <w:pPr>
              <w:jc w:val="right"/>
              <w:rPr>
                <w:rFonts w:ascii="Arial" w:eastAsia="Arial" w:hAnsi="Arial" w:cs="Arial"/>
                <w:snapToGrid w:val="0"/>
                <w:color w:val="000000"/>
                <w:sz w:val="16"/>
                <w:vertAlign w:val="superscript"/>
              </w:rPr>
            </w:pPr>
          </w:p>
        </w:tc>
        <w:tc>
          <w:tcPr>
            <w:tcW w:w="990" w:type="dxa"/>
            <w:tcBorders>
              <w:top w:val="nil"/>
              <w:left w:val="nil"/>
              <w:bottom w:val="nil"/>
              <w:right w:val="nil"/>
              <w:tl2br w:val="nil"/>
              <w:tr2bl w:val="nil"/>
            </w:tcBorders>
            <w:shd w:val="clear" w:color="auto" w:fill="FFFFFF"/>
            <w:tcMar>
              <w:left w:w="115" w:type="dxa"/>
              <w:right w:w="115" w:type="dxa"/>
            </w:tcMar>
            <w:vAlign w:val="bottom"/>
          </w:tcPr>
          <w:p w14:paraId="2DD730F2" w14:textId="77777777" w:rsidR="003F0EEA" w:rsidRDefault="003F0EEA">
            <w:pPr>
              <w:jc w:val="right"/>
              <w:rPr>
                <w:rFonts w:ascii="Arial" w:eastAsia="Arial" w:hAnsi="Arial" w:cs="Arial"/>
                <w:b/>
                <w:snapToGrid w:val="0"/>
                <w:color w:val="000000"/>
                <w:sz w:val="16"/>
                <w:vertAlign w:val="superscript"/>
              </w:rPr>
            </w:pPr>
          </w:p>
        </w:tc>
        <w:tc>
          <w:tcPr>
            <w:tcW w:w="990" w:type="dxa"/>
            <w:tcBorders>
              <w:top w:val="nil"/>
              <w:left w:val="nil"/>
              <w:bottom w:val="nil"/>
              <w:right w:val="nil"/>
              <w:tl2br w:val="nil"/>
              <w:tr2bl w:val="nil"/>
            </w:tcBorders>
            <w:shd w:val="clear" w:color="auto" w:fill="FFFFFF"/>
            <w:tcMar>
              <w:left w:w="115" w:type="dxa"/>
              <w:right w:w="115" w:type="dxa"/>
            </w:tcMar>
            <w:vAlign w:val="bottom"/>
          </w:tcPr>
          <w:p w14:paraId="337D7D92" w14:textId="77777777" w:rsidR="003F0EEA" w:rsidRDefault="003F0EEA">
            <w:pPr>
              <w:jc w:val="right"/>
              <w:rPr>
                <w:rFonts w:ascii="Arial" w:eastAsia="Arial" w:hAnsi="Arial" w:cs="Arial"/>
                <w:snapToGrid w:val="0"/>
                <w:color w:val="000000"/>
                <w:sz w:val="16"/>
                <w:vertAlign w:val="superscript"/>
              </w:rPr>
            </w:pPr>
          </w:p>
        </w:tc>
        <w:tc>
          <w:tcPr>
            <w:tcW w:w="990" w:type="dxa"/>
            <w:tcBorders>
              <w:top w:val="nil"/>
              <w:left w:val="nil"/>
              <w:bottom w:val="nil"/>
              <w:right w:val="nil"/>
              <w:tl2br w:val="nil"/>
              <w:tr2bl w:val="nil"/>
            </w:tcBorders>
            <w:shd w:val="clear" w:color="auto" w:fill="FFFFFF"/>
            <w:tcMar>
              <w:left w:w="115" w:type="dxa"/>
              <w:right w:w="115" w:type="dxa"/>
            </w:tcMar>
            <w:vAlign w:val="bottom"/>
          </w:tcPr>
          <w:p w14:paraId="704712B8" w14:textId="77777777" w:rsidR="003F0EEA" w:rsidRDefault="003F0EEA">
            <w:pPr>
              <w:jc w:val="right"/>
              <w:rPr>
                <w:rFonts w:ascii="Arial" w:eastAsia="Arial" w:hAnsi="Arial" w:cs="Arial"/>
                <w:snapToGrid w:val="0"/>
                <w:color w:val="000000"/>
                <w:sz w:val="16"/>
                <w:vertAlign w:val="superscript"/>
              </w:rPr>
            </w:pPr>
          </w:p>
        </w:tc>
      </w:tr>
      <w:tr w:rsidR="00355BFE" w14:paraId="2FEF0A2E" w14:textId="77777777" w:rsidTr="00355BFE">
        <w:trPr>
          <w:trHeight w:val="225"/>
        </w:trPr>
        <w:tc>
          <w:tcPr>
            <w:tcW w:w="3060" w:type="dxa"/>
            <w:gridSpan w:val="3"/>
            <w:tcBorders>
              <w:top w:val="nil"/>
              <w:left w:val="nil"/>
              <w:bottom w:val="single" w:sz="6" w:space="0" w:color="000000"/>
              <w:right w:val="nil"/>
              <w:tl2br w:val="nil"/>
              <w:tr2bl w:val="nil"/>
            </w:tcBorders>
            <w:shd w:val="clear" w:color="auto" w:fill="FFFFFF"/>
            <w:tcMar>
              <w:left w:w="115" w:type="dxa"/>
              <w:right w:w="115" w:type="dxa"/>
            </w:tcMar>
            <w:vAlign w:val="bottom"/>
          </w:tcPr>
          <w:p w14:paraId="080F1CA7" w14:textId="77777777" w:rsidR="003F0EEA" w:rsidRDefault="00FB7D0B">
            <w:pPr>
              <w:rPr>
                <w:rFonts w:ascii="Arial" w:eastAsia="Arial" w:hAnsi="Arial" w:cs="Arial"/>
                <w:snapToGrid w:val="0"/>
                <w:color w:val="000000"/>
                <w:sz w:val="16"/>
                <w:vertAlign w:val="superscript"/>
              </w:rPr>
            </w:pPr>
            <w:r>
              <w:rPr>
                <w:rFonts w:ascii="Arial" w:eastAsia="Arial" w:hAnsi="Arial" w:cs="Arial"/>
                <w:b/>
                <w:snapToGrid w:val="0"/>
                <w:color w:val="000000"/>
                <w:sz w:val="16"/>
              </w:rPr>
              <w:t>Australian Government</w:t>
            </w:r>
            <w:r>
              <w:rPr>
                <w:rFonts w:ascii="Arial" w:eastAsia="Arial" w:hAnsi="Arial" w:cs="Arial"/>
                <w:b/>
                <w:snapToGrid w:val="0"/>
                <w:color w:val="000000"/>
                <w:sz w:val="16"/>
                <w:vertAlign w:val="superscript"/>
              </w:rPr>
              <w:t>1 </w:t>
            </w:r>
          </w:p>
        </w:tc>
        <w:tc>
          <w:tcPr>
            <w:tcW w:w="990"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46CAD882" w14:textId="77777777" w:rsidR="003F0EEA" w:rsidRDefault="00FB7D0B">
            <w:pPr>
              <w:jc w:val="right"/>
              <w:rPr>
                <w:rFonts w:ascii="Arial" w:eastAsia="Arial" w:hAnsi="Arial" w:cs="Arial"/>
                <w:b/>
                <w:snapToGrid w:val="0"/>
                <w:color w:val="000000"/>
                <w:sz w:val="16"/>
                <w:vertAlign w:val="superscript"/>
              </w:rPr>
            </w:pPr>
            <w:r>
              <w:rPr>
                <w:rFonts w:ascii="Arial" w:eastAsia="Arial" w:hAnsi="Arial" w:cs="Arial"/>
                <w:b/>
                <w:snapToGrid w:val="0"/>
                <w:color w:val="000000"/>
                <w:sz w:val="16"/>
              </w:rPr>
              <w:t xml:space="preserve"> 7,198 </w:t>
            </w:r>
          </w:p>
        </w:tc>
        <w:tc>
          <w:tcPr>
            <w:tcW w:w="990" w:type="dxa"/>
            <w:tcBorders>
              <w:top w:val="nil"/>
              <w:left w:val="nil"/>
              <w:bottom w:val="single" w:sz="6" w:space="0" w:color="000000"/>
              <w:right w:val="nil"/>
              <w:tl2br w:val="nil"/>
              <w:tr2bl w:val="nil"/>
            </w:tcBorders>
            <w:shd w:val="clear" w:color="auto" w:fill="C0C0C0"/>
            <w:tcMar>
              <w:left w:w="115" w:type="dxa"/>
              <w:right w:w="115" w:type="dxa"/>
            </w:tcMar>
            <w:vAlign w:val="bottom"/>
          </w:tcPr>
          <w:p w14:paraId="6EE0C2A6" w14:textId="77777777" w:rsidR="003F0EEA" w:rsidRDefault="00FB7D0B">
            <w:pPr>
              <w:jc w:val="right"/>
              <w:rPr>
                <w:rFonts w:ascii="Arial" w:eastAsia="Arial" w:hAnsi="Arial" w:cs="Arial"/>
                <w:b/>
                <w:snapToGrid w:val="0"/>
                <w:color w:val="000000"/>
                <w:sz w:val="16"/>
              </w:rPr>
            </w:pPr>
            <w:r>
              <w:rPr>
                <w:rFonts w:ascii="Arial" w:eastAsia="Arial" w:hAnsi="Arial" w:cs="Arial"/>
                <w:b/>
                <w:snapToGrid w:val="0"/>
                <w:color w:val="000000"/>
                <w:sz w:val="16"/>
              </w:rPr>
              <w:t>(10,125)</w:t>
            </w:r>
          </w:p>
        </w:tc>
        <w:tc>
          <w:tcPr>
            <w:tcW w:w="990"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3F9848D3" w14:textId="77777777" w:rsidR="003F0EEA" w:rsidRDefault="00FB7D0B">
            <w:pPr>
              <w:jc w:val="right"/>
              <w:rPr>
                <w:rFonts w:ascii="Arial" w:eastAsia="Arial" w:hAnsi="Arial" w:cs="Arial"/>
                <w:b/>
                <w:snapToGrid w:val="0"/>
                <w:color w:val="000000"/>
                <w:sz w:val="16"/>
              </w:rPr>
            </w:pPr>
            <w:r>
              <w:rPr>
                <w:rFonts w:ascii="Arial" w:eastAsia="Arial" w:hAnsi="Arial" w:cs="Arial"/>
                <w:b/>
                <w:snapToGrid w:val="0"/>
                <w:color w:val="000000"/>
                <w:sz w:val="16"/>
              </w:rPr>
              <w:t>(10,186)</w:t>
            </w:r>
          </w:p>
        </w:tc>
        <w:tc>
          <w:tcPr>
            <w:tcW w:w="990"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502E9D7E" w14:textId="77777777" w:rsidR="003F0EEA" w:rsidRDefault="00FB7D0B">
            <w:pPr>
              <w:jc w:val="right"/>
              <w:rPr>
                <w:rFonts w:ascii="Arial" w:eastAsia="Arial" w:hAnsi="Arial" w:cs="Arial"/>
                <w:b/>
                <w:snapToGrid w:val="0"/>
                <w:color w:val="000000"/>
                <w:sz w:val="16"/>
              </w:rPr>
            </w:pPr>
            <w:r>
              <w:rPr>
                <w:rFonts w:ascii="Arial" w:eastAsia="Arial" w:hAnsi="Arial" w:cs="Arial"/>
                <w:b/>
                <w:snapToGrid w:val="0"/>
                <w:color w:val="000000"/>
                <w:sz w:val="16"/>
              </w:rPr>
              <w:t>(9,700)</w:t>
            </w:r>
          </w:p>
        </w:tc>
        <w:tc>
          <w:tcPr>
            <w:tcW w:w="990"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275CD89F" w14:textId="77777777" w:rsidR="003F0EEA" w:rsidRDefault="00FB7D0B">
            <w:pPr>
              <w:jc w:val="right"/>
              <w:rPr>
                <w:rFonts w:ascii="Arial" w:eastAsia="Arial" w:hAnsi="Arial" w:cs="Arial"/>
                <w:b/>
                <w:snapToGrid w:val="0"/>
                <w:color w:val="000000"/>
                <w:sz w:val="16"/>
              </w:rPr>
            </w:pPr>
            <w:r>
              <w:rPr>
                <w:rFonts w:ascii="Arial" w:eastAsia="Arial" w:hAnsi="Arial" w:cs="Arial"/>
                <w:b/>
                <w:snapToGrid w:val="0"/>
                <w:color w:val="000000"/>
                <w:sz w:val="16"/>
              </w:rPr>
              <w:t>(9,115)</w:t>
            </w:r>
          </w:p>
        </w:tc>
      </w:tr>
      <w:tr w:rsidR="00355BFE" w14:paraId="26E186C3" w14:textId="77777777" w:rsidTr="00355BFE">
        <w:trPr>
          <w:trHeight w:val="225"/>
        </w:trPr>
        <w:tc>
          <w:tcPr>
            <w:tcW w:w="4050" w:type="dxa"/>
            <w:gridSpan w:val="4"/>
            <w:tcBorders>
              <w:top w:val="single" w:sz="6" w:space="0" w:color="000000"/>
              <w:left w:val="nil"/>
              <w:bottom w:val="nil"/>
              <w:right w:val="nil"/>
              <w:tl2br w:val="nil"/>
              <w:tr2bl w:val="nil"/>
            </w:tcBorders>
            <w:shd w:val="clear" w:color="auto" w:fill="FFFFFF"/>
            <w:tcMar>
              <w:left w:w="115" w:type="dxa"/>
              <w:right w:w="115" w:type="dxa"/>
            </w:tcMar>
            <w:vAlign w:val="bottom"/>
          </w:tcPr>
          <w:p w14:paraId="006645F4" w14:textId="77777777" w:rsidR="003F0EEA" w:rsidRDefault="00FB7D0B">
            <w:pPr>
              <w:jc w:val="both"/>
              <w:rPr>
                <w:rFonts w:ascii="Arial" w:eastAsia="Arial" w:hAnsi="Arial" w:cs="Arial"/>
                <w:b/>
                <w:snapToGrid w:val="0"/>
                <w:color w:val="000000"/>
                <w:sz w:val="16"/>
              </w:rPr>
            </w:pPr>
            <w:r>
              <w:rPr>
                <w:rFonts w:ascii="Arial" w:eastAsia="Arial" w:hAnsi="Arial" w:cs="Arial"/>
                <w:snapToGrid w:val="0"/>
                <w:color w:val="000000"/>
                <w:sz w:val="16"/>
              </w:rPr>
              <w:t>Prepared on Australian Accounting Standards basis</w:t>
            </w:r>
          </w:p>
        </w:tc>
        <w:tc>
          <w:tcPr>
            <w:tcW w:w="990"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6E9660CD" w14:textId="77777777" w:rsidR="003F0EEA" w:rsidRDefault="003F0EEA">
            <w:pPr>
              <w:jc w:val="right"/>
              <w:rPr>
                <w:rFonts w:ascii="Arial" w:eastAsia="Arial" w:hAnsi="Arial" w:cs="Arial"/>
                <w:snapToGrid w:val="0"/>
                <w:color w:val="000000"/>
                <w:sz w:val="16"/>
              </w:rPr>
            </w:pPr>
          </w:p>
        </w:tc>
        <w:tc>
          <w:tcPr>
            <w:tcW w:w="990"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1A0C9D66" w14:textId="77777777" w:rsidR="003F0EEA" w:rsidRDefault="003F0EEA">
            <w:pPr>
              <w:jc w:val="right"/>
              <w:rPr>
                <w:rFonts w:ascii="Arial" w:eastAsia="Arial" w:hAnsi="Arial" w:cs="Arial"/>
                <w:b/>
                <w:snapToGrid w:val="0"/>
                <w:color w:val="000000"/>
                <w:sz w:val="16"/>
              </w:rPr>
            </w:pPr>
          </w:p>
        </w:tc>
        <w:tc>
          <w:tcPr>
            <w:tcW w:w="990"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70FF1CC1" w14:textId="77777777" w:rsidR="003F0EEA" w:rsidRDefault="003F0EEA">
            <w:pPr>
              <w:jc w:val="right"/>
              <w:rPr>
                <w:rFonts w:ascii="Arial" w:eastAsia="Arial" w:hAnsi="Arial" w:cs="Arial"/>
                <w:b/>
                <w:snapToGrid w:val="0"/>
                <w:color w:val="000000"/>
                <w:sz w:val="16"/>
              </w:rPr>
            </w:pPr>
          </w:p>
        </w:tc>
        <w:tc>
          <w:tcPr>
            <w:tcW w:w="990"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05FF1BFE" w14:textId="77777777" w:rsidR="003F0EEA" w:rsidRDefault="003F0EEA">
            <w:pPr>
              <w:jc w:val="right"/>
              <w:rPr>
                <w:rFonts w:ascii="Arial" w:eastAsia="Arial" w:hAnsi="Arial" w:cs="Arial"/>
                <w:b/>
                <w:snapToGrid w:val="0"/>
                <w:color w:val="000000"/>
                <w:sz w:val="16"/>
              </w:rPr>
            </w:pPr>
          </w:p>
        </w:tc>
      </w:tr>
      <w:tr w:rsidR="00355BFE" w14:paraId="5CEE6375" w14:textId="77777777" w:rsidTr="00355BFE">
        <w:trPr>
          <w:trHeight w:val="225"/>
        </w:trPr>
        <w:tc>
          <w:tcPr>
            <w:tcW w:w="180" w:type="dxa"/>
            <w:tcBorders>
              <w:top w:val="nil"/>
              <w:left w:val="nil"/>
              <w:bottom w:val="nil"/>
              <w:right w:val="nil"/>
              <w:tl2br w:val="nil"/>
              <w:tr2bl w:val="nil"/>
            </w:tcBorders>
            <w:shd w:val="clear" w:color="auto" w:fill="FFFFFF"/>
            <w:tcMar>
              <w:left w:w="115" w:type="dxa"/>
              <w:right w:w="115" w:type="dxa"/>
            </w:tcMar>
            <w:vAlign w:val="bottom"/>
          </w:tcPr>
          <w:p w14:paraId="34FBB61D" w14:textId="77777777" w:rsidR="003F0EEA" w:rsidRDefault="003F0EEA">
            <w:pPr>
              <w:rPr>
                <w:rFonts w:ascii="Arial" w:eastAsia="Arial" w:hAnsi="Arial" w:cs="Arial"/>
                <w:b/>
                <w:snapToGrid w:val="0"/>
                <w:color w:val="000000"/>
                <w:sz w:val="16"/>
              </w:rPr>
            </w:pPr>
          </w:p>
        </w:tc>
        <w:tc>
          <w:tcPr>
            <w:tcW w:w="180" w:type="dxa"/>
            <w:tcBorders>
              <w:top w:val="nil"/>
              <w:left w:val="nil"/>
              <w:bottom w:val="nil"/>
              <w:right w:val="nil"/>
              <w:tl2br w:val="nil"/>
              <w:tr2bl w:val="nil"/>
            </w:tcBorders>
            <w:shd w:val="clear" w:color="auto" w:fill="FFFFFF"/>
            <w:tcMar>
              <w:left w:w="115" w:type="dxa"/>
              <w:right w:w="115" w:type="dxa"/>
            </w:tcMar>
            <w:vAlign w:val="bottom"/>
          </w:tcPr>
          <w:p w14:paraId="3786571E" w14:textId="77777777" w:rsidR="003F0EEA" w:rsidRDefault="003F0EEA">
            <w:pPr>
              <w:rPr>
                <w:rFonts w:ascii="Arial" w:eastAsia="Arial" w:hAnsi="Arial" w:cs="Arial"/>
                <w:b/>
                <w:snapToGrid w:val="0"/>
                <w:color w:val="000000"/>
                <w:sz w:val="16"/>
              </w:rPr>
            </w:pPr>
          </w:p>
        </w:tc>
        <w:tc>
          <w:tcPr>
            <w:tcW w:w="2700" w:type="dxa"/>
            <w:tcBorders>
              <w:top w:val="nil"/>
              <w:left w:val="nil"/>
              <w:bottom w:val="nil"/>
              <w:right w:val="nil"/>
              <w:tl2br w:val="nil"/>
              <w:tr2bl w:val="nil"/>
            </w:tcBorders>
            <w:shd w:val="clear" w:color="auto" w:fill="FFFFFF"/>
            <w:tcMar>
              <w:left w:w="115" w:type="dxa"/>
              <w:right w:w="115" w:type="dxa"/>
            </w:tcMar>
            <w:vAlign w:val="bottom"/>
          </w:tcPr>
          <w:p w14:paraId="37C8F8E9" w14:textId="77777777" w:rsidR="003F0EEA" w:rsidRDefault="003F0EEA">
            <w:pPr>
              <w:rPr>
                <w:rFonts w:ascii="Arial" w:eastAsia="Arial" w:hAnsi="Arial" w:cs="Arial"/>
                <w:snapToGrid w:val="0"/>
                <w:color w:val="000000"/>
                <w:sz w:val="20"/>
              </w:rPr>
            </w:pPr>
          </w:p>
        </w:tc>
        <w:tc>
          <w:tcPr>
            <w:tcW w:w="990" w:type="dxa"/>
            <w:tcBorders>
              <w:top w:val="nil"/>
              <w:left w:val="nil"/>
              <w:bottom w:val="nil"/>
              <w:right w:val="nil"/>
              <w:tl2br w:val="nil"/>
              <w:tr2bl w:val="nil"/>
            </w:tcBorders>
            <w:shd w:val="clear" w:color="auto" w:fill="FFFFFF"/>
            <w:tcMar>
              <w:left w:w="115" w:type="dxa"/>
              <w:right w:w="115" w:type="dxa"/>
            </w:tcMar>
            <w:vAlign w:val="bottom"/>
          </w:tcPr>
          <w:p w14:paraId="3401C269" w14:textId="77777777" w:rsidR="003F0EEA" w:rsidRDefault="003F0EEA">
            <w:pPr>
              <w:jc w:val="right"/>
              <w:rPr>
                <w:rFonts w:ascii="Arial" w:eastAsia="Arial" w:hAnsi="Arial" w:cs="Arial"/>
                <w:b/>
                <w:snapToGrid w:val="0"/>
                <w:color w:val="000000"/>
                <w:sz w:val="16"/>
                <w:vertAlign w:val="superscript"/>
              </w:rPr>
            </w:pPr>
          </w:p>
        </w:tc>
        <w:tc>
          <w:tcPr>
            <w:tcW w:w="990" w:type="dxa"/>
            <w:tcBorders>
              <w:top w:val="nil"/>
              <w:left w:val="nil"/>
              <w:bottom w:val="nil"/>
              <w:right w:val="nil"/>
              <w:tl2br w:val="nil"/>
              <w:tr2bl w:val="nil"/>
            </w:tcBorders>
            <w:shd w:val="clear" w:color="auto" w:fill="FFFFFF"/>
            <w:tcMar>
              <w:left w:w="115" w:type="dxa"/>
              <w:right w:w="115" w:type="dxa"/>
            </w:tcMar>
            <w:vAlign w:val="bottom"/>
          </w:tcPr>
          <w:p w14:paraId="428BFFB9" w14:textId="77777777" w:rsidR="003F0EEA" w:rsidRDefault="003F0EEA">
            <w:pPr>
              <w:jc w:val="right"/>
              <w:rPr>
                <w:rFonts w:ascii="Arial" w:eastAsia="Arial" w:hAnsi="Arial" w:cs="Arial"/>
                <w:b/>
                <w:snapToGrid w:val="0"/>
                <w:color w:val="000000"/>
                <w:sz w:val="16"/>
                <w:vertAlign w:val="superscript"/>
              </w:rPr>
            </w:pPr>
          </w:p>
        </w:tc>
        <w:tc>
          <w:tcPr>
            <w:tcW w:w="2970" w:type="dxa"/>
            <w:gridSpan w:val="3"/>
            <w:tcBorders>
              <w:top w:val="nil"/>
              <w:left w:val="nil"/>
              <w:bottom w:val="nil"/>
              <w:right w:val="nil"/>
              <w:tl2br w:val="nil"/>
              <w:tr2bl w:val="nil"/>
            </w:tcBorders>
            <w:shd w:val="clear" w:color="auto" w:fill="FFFFFF"/>
            <w:tcMar>
              <w:left w:w="115" w:type="dxa"/>
              <w:right w:w="115" w:type="dxa"/>
            </w:tcMar>
            <w:vAlign w:val="bottom"/>
          </w:tcPr>
          <w:p w14:paraId="0FDE4449" w14:textId="77777777" w:rsidR="003F0EEA" w:rsidRDefault="00FB7D0B">
            <w:pPr>
              <w:jc w:val="right"/>
              <w:rPr>
                <w:rFonts w:ascii="Arial" w:eastAsia="Arial" w:hAnsi="Arial" w:cs="Arial"/>
                <w:b/>
                <w:snapToGrid w:val="0"/>
                <w:color w:val="000000"/>
                <w:sz w:val="16"/>
                <w:vertAlign w:val="superscript"/>
              </w:rPr>
            </w:pPr>
            <w:r>
              <w:rPr>
                <w:rFonts w:ascii="Arial" w:eastAsia="Arial" w:hAnsi="Arial" w:cs="Arial"/>
                <w:snapToGrid w:val="0"/>
                <w:color w:val="000000"/>
                <w:sz w:val="16"/>
              </w:rPr>
              <w:t>Continued on next page</w:t>
            </w:r>
          </w:p>
        </w:tc>
      </w:tr>
    </w:tbl>
    <w:p w14:paraId="406A6F86" w14:textId="77777777" w:rsidR="003F0EEA" w:rsidRDefault="00FB7D0B">
      <w:pPr>
        <w:spacing w:line="14" w:lineRule="exact"/>
        <w:rPr>
          <w:rFonts w:eastAsia="Times New Roman"/>
          <w:snapToGrid w:val="0"/>
        </w:rPr>
      </w:pPr>
      <w:r>
        <w:rPr>
          <w:rFonts w:eastAsia="Times New Roman"/>
          <w:snapToGrid w:val="0"/>
        </w:rPr>
        <w:br w:type="page"/>
      </w:r>
    </w:p>
    <w:p w14:paraId="4E45305C" w14:textId="77777777" w:rsidR="003F0EEA" w:rsidRPr="009719AA" w:rsidRDefault="00FB7D0B" w:rsidP="003F0EEA">
      <w:pPr>
        <w:pStyle w:val="TableHeading28"/>
        <w:rPr>
          <w:snapToGrid w:val="0"/>
        </w:rPr>
      </w:pPr>
      <w:r>
        <w:t>Table 3.2.1 Comprehensive Income Statement (Showing Net Cost of Services)</w:t>
      </w:r>
      <w:r>
        <w:rPr>
          <w:snapToGrid w:val="0"/>
        </w:rPr>
        <w:br/>
        <w:t>for the period ended 30 June (continued)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0"/>
        <w:gridCol w:w="250"/>
        <w:gridCol w:w="2700"/>
        <w:gridCol w:w="990"/>
        <w:gridCol w:w="990"/>
        <w:gridCol w:w="990"/>
        <w:gridCol w:w="990"/>
        <w:gridCol w:w="990"/>
      </w:tblGrid>
      <w:tr w:rsidR="00355BFE" w14:paraId="41D27657" w14:textId="77777777" w:rsidTr="00355BFE">
        <w:trPr>
          <w:trHeight w:val="225"/>
        </w:trPr>
        <w:tc>
          <w:tcPr>
            <w:tcW w:w="8010" w:type="dxa"/>
            <w:gridSpan w:val="8"/>
            <w:tcBorders>
              <w:top w:val="single" w:sz="6" w:space="0" w:color="000000"/>
              <w:left w:val="nil"/>
              <w:bottom w:val="nil"/>
              <w:right w:val="nil"/>
              <w:tl2br w:val="nil"/>
              <w:tr2bl w:val="nil"/>
            </w:tcBorders>
            <w:shd w:val="clear" w:color="auto" w:fill="FFFFFF"/>
            <w:tcMar>
              <w:left w:w="115" w:type="dxa"/>
              <w:right w:w="115" w:type="dxa"/>
            </w:tcMar>
            <w:vAlign w:val="bottom"/>
          </w:tcPr>
          <w:p w14:paraId="4F5D1A9A" w14:textId="77777777" w:rsidR="003F0EEA" w:rsidRPr="009719AA" w:rsidRDefault="00FB7D0B">
            <w:pPr>
              <w:rPr>
                <w:rFonts w:eastAsia="Times New Roman"/>
                <w:snapToGrid w:val="0"/>
              </w:rPr>
            </w:pPr>
            <w:r w:rsidRPr="009719AA">
              <w:rPr>
                <w:rFonts w:ascii="Arial" w:eastAsia="Arial" w:hAnsi="Arial" w:cs="Arial"/>
                <w:b/>
                <w:snapToGrid w:val="0"/>
                <w:color w:val="000000"/>
                <w:sz w:val="16"/>
              </w:rPr>
              <w:t>Note: Impact of Net Cash Appropriation Arrangements</w:t>
            </w:r>
          </w:p>
        </w:tc>
      </w:tr>
      <w:tr w:rsidR="00724034" w14:paraId="57F9D95B" w14:textId="77777777">
        <w:trPr>
          <w:trHeight w:val="225"/>
        </w:trPr>
        <w:tc>
          <w:tcPr>
            <w:tcW w:w="180" w:type="dxa"/>
            <w:tcBorders>
              <w:top w:val="nil"/>
              <w:left w:val="nil"/>
              <w:bottom w:val="nil"/>
              <w:right w:val="nil"/>
              <w:tl2br w:val="nil"/>
              <w:tr2bl w:val="nil"/>
            </w:tcBorders>
            <w:shd w:val="clear" w:color="auto" w:fill="FFFFFF"/>
            <w:tcMar>
              <w:left w:w="115" w:type="dxa"/>
              <w:right w:w="115" w:type="dxa"/>
            </w:tcMar>
            <w:vAlign w:val="bottom"/>
          </w:tcPr>
          <w:p w14:paraId="4212ACC4" w14:textId="77777777" w:rsidR="003F0EEA" w:rsidRPr="009719AA" w:rsidRDefault="003F0EEA">
            <w:pPr>
              <w:rPr>
                <w:rFonts w:ascii="Arial" w:eastAsia="Arial" w:hAnsi="Arial" w:cs="Arial"/>
                <w:b/>
                <w:snapToGrid w:val="0"/>
                <w:color w:val="000000"/>
                <w:sz w:val="16"/>
              </w:rPr>
            </w:pPr>
          </w:p>
        </w:tc>
        <w:tc>
          <w:tcPr>
            <w:tcW w:w="180" w:type="dxa"/>
            <w:tcBorders>
              <w:top w:val="nil"/>
              <w:left w:val="nil"/>
              <w:bottom w:val="nil"/>
              <w:right w:val="nil"/>
              <w:tl2br w:val="nil"/>
              <w:tr2bl w:val="nil"/>
            </w:tcBorders>
            <w:shd w:val="clear" w:color="auto" w:fill="FFFFFF"/>
            <w:tcMar>
              <w:left w:w="115" w:type="dxa"/>
              <w:right w:w="115" w:type="dxa"/>
            </w:tcMar>
            <w:vAlign w:val="bottom"/>
          </w:tcPr>
          <w:p w14:paraId="617AA7C7" w14:textId="77777777" w:rsidR="003F0EEA" w:rsidRPr="009719AA" w:rsidRDefault="003F0EEA">
            <w:pPr>
              <w:rPr>
                <w:rFonts w:ascii="Arial" w:eastAsia="Arial" w:hAnsi="Arial" w:cs="Arial"/>
                <w:b/>
                <w:snapToGrid w:val="0"/>
                <w:color w:val="000000"/>
                <w:sz w:val="16"/>
              </w:rPr>
            </w:pPr>
          </w:p>
        </w:tc>
        <w:tc>
          <w:tcPr>
            <w:tcW w:w="2700" w:type="dxa"/>
            <w:tcBorders>
              <w:top w:val="nil"/>
              <w:left w:val="nil"/>
              <w:bottom w:val="nil"/>
              <w:right w:val="nil"/>
              <w:tl2br w:val="nil"/>
              <w:tr2bl w:val="nil"/>
            </w:tcBorders>
            <w:shd w:val="clear" w:color="auto" w:fill="FFFFFF"/>
            <w:tcMar>
              <w:left w:w="115" w:type="dxa"/>
              <w:right w:w="115" w:type="dxa"/>
            </w:tcMar>
            <w:vAlign w:val="bottom"/>
          </w:tcPr>
          <w:p w14:paraId="39836F8F" w14:textId="77777777" w:rsidR="003F0EEA" w:rsidRPr="009719AA" w:rsidRDefault="003F0EEA">
            <w:pPr>
              <w:rPr>
                <w:rFonts w:ascii="Arial" w:eastAsia="Arial" w:hAnsi="Arial" w:cs="Arial"/>
                <w:b/>
                <w:snapToGrid w:val="0"/>
                <w:color w:val="000000"/>
                <w:sz w:val="16"/>
              </w:rPr>
            </w:pPr>
          </w:p>
        </w:tc>
        <w:tc>
          <w:tcPr>
            <w:tcW w:w="990"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025B9ADE" w14:textId="77777777" w:rsidR="003F0EEA" w:rsidRPr="009719AA" w:rsidRDefault="00FB7D0B">
            <w:pPr>
              <w:jc w:val="right"/>
              <w:rPr>
                <w:rFonts w:ascii="Arial" w:eastAsia="Arial" w:hAnsi="Arial" w:cs="Arial"/>
                <w:b/>
                <w:snapToGrid w:val="0"/>
                <w:color w:val="000000"/>
                <w:sz w:val="16"/>
                <w:vertAlign w:val="superscript"/>
              </w:rPr>
            </w:pPr>
            <w:r w:rsidRPr="009719AA">
              <w:rPr>
                <w:rFonts w:ascii="Arial" w:eastAsia="Arial" w:hAnsi="Arial" w:cs="Arial"/>
                <w:snapToGrid w:val="0"/>
                <w:color w:val="000000"/>
                <w:sz w:val="16"/>
              </w:rPr>
              <w:t>Estimated</w:t>
            </w:r>
          </w:p>
        </w:tc>
        <w:tc>
          <w:tcPr>
            <w:tcW w:w="990" w:type="dxa"/>
            <w:tcBorders>
              <w:top w:val="single" w:sz="6" w:space="0" w:color="000000"/>
              <w:left w:val="nil"/>
              <w:bottom w:val="nil"/>
              <w:right w:val="nil"/>
              <w:tl2br w:val="nil"/>
              <w:tr2bl w:val="nil"/>
            </w:tcBorders>
            <w:shd w:val="clear" w:color="auto" w:fill="C0C0C0"/>
            <w:tcMar>
              <w:left w:w="115" w:type="dxa"/>
              <w:right w:w="115" w:type="dxa"/>
            </w:tcMar>
            <w:vAlign w:val="bottom"/>
          </w:tcPr>
          <w:p w14:paraId="0F50E8EE" w14:textId="77777777" w:rsidR="003F0EEA" w:rsidRPr="009719AA" w:rsidRDefault="00FB7D0B">
            <w:pPr>
              <w:jc w:val="right"/>
              <w:rPr>
                <w:rFonts w:ascii="Arial" w:eastAsia="Arial" w:hAnsi="Arial" w:cs="Arial"/>
                <w:snapToGrid w:val="0"/>
                <w:color w:val="000000"/>
                <w:sz w:val="16"/>
              </w:rPr>
            </w:pPr>
            <w:r w:rsidRPr="009719AA">
              <w:rPr>
                <w:rFonts w:ascii="Arial" w:eastAsia="Arial" w:hAnsi="Arial" w:cs="Arial"/>
                <w:snapToGrid w:val="0"/>
                <w:color w:val="000000"/>
                <w:sz w:val="16"/>
              </w:rPr>
              <w:t>Budget</w:t>
            </w:r>
          </w:p>
        </w:tc>
        <w:tc>
          <w:tcPr>
            <w:tcW w:w="990"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2E04A15F" w14:textId="77777777" w:rsidR="003F0EEA" w:rsidRPr="009719AA" w:rsidRDefault="00FB7D0B">
            <w:pPr>
              <w:jc w:val="right"/>
              <w:rPr>
                <w:rFonts w:ascii="Arial" w:eastAsia="Arial" w:hAnsi="Arial" w:cs="Arial"/>
                <w:snapToGrid w:val="0"/>
                <w:color w:val="000000"/>
                <w:sz w:val="16"/>
              </w:rPr>
            </w:pPr>
            <w:r w:rsidRPr="009719AA">
              <w:rPr>
                <w:rFonts w:ascii="Arial" w:eastAsia="Arial" w:hAnsi="Arial" w:cs="Arial"/>
                <w:snapToGrid w:val="0"/>
                <w:color w:val="000000"/>
                <w:sz w:val="16"/>
              </w:rPr>
              <w:t>Forward</w:t>
            </w:r>
          </w:p>
        </w:tc>
        <w:tc>
          <w:tcPr>
            <w:tcW w:w="990"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02AF78C1" w14:textId="77777777" w:rsidR="003F0EEA" w:rsidRPr="009719AA" w:rsidRDefault="00FB7D0B">
            <w:pPr>
              <w:jc w:val="right"/>
              <w:rPr>
                <w:rFonts w:ascii="Arial" w:eastAsia="Arial" w:hAnsi="Arial" w:cs="Arial"/>
                <w:snapToGrid w:val="0"/>
                <w:color w:val="000000"/>
                <w:sz w:val="16"/>
              </w:rPr>
            </w:pPr>
            <w:r w:rsidRPr="009719AA">
              <w:rPr>
                <w:rFonts w:ascii="Arial" w:eastAsia="Arial" w:hAnsi="Arial" w:cs="Arial"/>
                <w:snapToGrid w:val="0"/>
                <w:color w:val="000000"/>
                <w:sz w:val="16"/>
              </w:rPr>
              <w:t>Forward</w:t>
            </w:r>
          </w:p>
        </w:tc>
        <w:tc>
          <w:tcPr>
            <w:tcW w:w="990"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20B84348" w14:textId="77777777" w:rsidR="003F0EEA" w:rsidRPr="009719AA" w:rsidRDefault="00FB7D0B">
            <w:pPr>
              <w:jc w:val="right"/>
              <w:rPr>
                <w:rFonts w:ascii="Arial" w:eastAsia="Arial" w:hAnsi="Arial" w:cs="Arial"/>
                <w:snapToGrid w:val="0"/>
                <w:color w:val="000000"/>
                <w:sz w:val="16"/>
              </w:rPr>
            </w:pPr>
            <w:r w:rsidRPr="009719AA">
              <w:rPr>
                <w:rFonts w:ascii="Arial" w:eastAsia="Arial" w:hAnsi="Arial" w:cs="Arial"/>
                <w:snapToGrid w:val="0"/>
                <w:color w:val="000000"/>
                <w:sz w:val="16"/>
              </w:rPr>
              <w:t>Forward</w:t>
            </w:r>
          </w:p>
        </w:tc>
      </w:tr>
      <w:tr w:rsidR="00724034" w14:paraId="3255FD7B" w14:textId="77777777">
        <w:trPr>
          <w:trHeight w:val="225"/>
        </w:trPr>
        <w:tc>
          <w:tcPr>
            <w:tcW w:w="180" w:type="dxa"/>
            <w:tcBorders>
              <w:top w:val="nil"/>
              <w:left w:val="nil"/>
              <w:bottom w:val="nil"/>
              <w:right w:val="nil"/>
              <w:tl2br w:val="nil"/>
              <w:tr2bl w:val="nil"/>
            </w:tcBorders>
            <w:shd w:val="clear" w:color="auto" w:fill="FFFFFF"/>
            <w:tcMar>
              <w:left w:w="115" w:type="dxa"/>
              <w:right w:w="115" w:type="dxa"/>
            </w:tcMar>
            <w:vAlign w:val="bottom"/>
          </w:tcPr>
          <w:p w14:paraId="27144B61" w14:textId="77777777" w:rsidR="003F0EEA" w:rsidRPr="009719AA" w:rsidRDefault="003F0EEA">
            <w:pPr>
              <w:rPr>
                <w:rFonts w:ascii="Arial" w:eastAsia="Arial" w:hAnsi="Arial" w:cs="Arial"/>
                <w:snapToGrid w:val="0"/>
                <w:color w:val="000000"/>
                <w:sz w:val="16"/>
              </w:rPr>
            </w:pPr>
          </w:p>
        </w:tc>
        <w:tc>
          <w:tcPr>
            <w:tcW w:w="180" w:type="dxa"/>
            <w:tcBorders>
              <w:top w:val="nil"/>
              <w:left w:val="nil"/>
              <w:bottom w:val="nil"/>
              <w:right w:val="nil"/>
              <w:tl2br w:val="nil"/>
              <w:tr2bl w:val="nil"/>
            </w:tcBorders>
            <w:shd w:val="clear" w:color="auto" w:fill="FFFFFF"/>
            <w:tcMar>
              <w:left w:w="115" w:type="dxa"/>
              <w:right w:w="115" w:type="dxa"/>
            </w:tcMar>
            <w:vAlign w:val="bottom"/>
          </w:tcPr>
          <w:p w14:paraId="509CA17A" w14:textId="77777777" w:rsidR="003F0EEA" w:rsidRPr="009719AA" w:rsidRDefault="003F0EEA">
            <w:pPr>
              <w:rPr>
                <w:rFonts w:ascii="Arial" w:eastAsia="Arial" w:hAnsi="Arial" w:cs="Arial"/>
                <w:b/>
                <w:snapToGrid w:val="0"/>
                <w:color w:val="000000"/>
                <w:sz w:val="16"/>
              </w:rPr>
            </w:pPr>
          </w:p>
        </w:tc>
        <w:tc>
          <w:tcPr>
            <w:tcW w:w="2700" w:type="dxa"/>
            <w:tcBorders>
              <w:top w:val="nil"/>
              <w:left w:val="nil"/>
              <w:bottom w:val="nil"/>
              <w:right w:val="nil"/>
              <w:tl2br w:val="nil"/>
              <w:tr2bl w:val="nil"/>
            </w:tcBorders>
            <w:shd w:val="clear" w:color="auto" w:fill="FFFFFF"/>
            <w:tcMar>
              <w:left w:w="115" w:type="dxa"/>
              <w:right w:w="115" w:type="dxa"/>
            </w:tcMar>
            <w:vAlign w:val="bottom"/>
          </w:tcPr>
          <w:p w14:paraId="23EBABF9" w14:textId="77777777" w:rsidR="003F0EEA" w:rsidRPr="009719AA" w:rsidRDefault="003F0EEA">
            <w:pPr>
              <w:rPr>
                <w:rFonts w:ascii="Arial" w:eastAsia="Arial" w:hAnsi="Arial" w:cs="Arial"/>
                <w:b/>
                <w:snapToGrid w:val="0"/>
                <w:color w:val="000000"/>
                <w:sz w:val="16"/>
              </w:rPr>
            </w:pPr>
          </w:p>
        </w:tc>
        <w:tc>
          <w:tcPr>
            <w:tcW w:w="990" w:type="dxa"/>
            <w:tcBorders>
              <w:top w:val="nil"/>
              <w:left w:val="nil"/>
              <w:bottom w:val="nil"/>
              <w:right w:val="nil"/>
              <w:tl2br w:val="nil"/>
              <w:tr2bl w:val="nil"/>
            </w:tcBorders>
            <w:shd w:val="clear" w:color="auto" w:fill="FFFFFF"/>
            <w:tcMar>
              <w:left w:w="115" w:type="dxa"/>
              <w:right w:w="115" w:type="dxa"/>
            </w:tcMar>
            <w:vAlign w:val="bottom"/>
          </w:tcPr>
          <w:p w14:paraId="23314374" w14:textId="77777777" w:rsidR="003F0EEA" w:rsidRPr="009719AA" w:rsidRDefault="00FB7D0B">
            <w:pPr>
              <w:jc w:val="right"/>
              <w:rPr>
                <w:rFonts w:ascii="Arial" w:eastAsia="Arial" w:hAnsi="Arial" w:cs="Arial"/>
                <w:b/>
                <w:snapToGrid w:val="0"/>
                <w:color w:val="000000"/>
                <w:sz w:val="16"/>
                <w:vertAlign w:val="superscript"/>
              </w:rPr>
            </w:pPr>
            <w:r w:rsidRPr="009719AA">
              <w:rPr>
                <w:rFonts w:ascii="Arial" w:eastAsia="Arial" w:hAnsi="Arial" w:cs="Arial"/>
                <w:snapToGrid w:val="0"/>
                <w:color w:val="000000"/>
                <w:sz w:val="16"/>
              </w:rPr>
              <w:t>actual</w:t>
            </w:r>
          </w:p>
        </w:tc>
        <w:tc>
          <w:tcPr>
            <w:tcW w:w="990" w:type="dxa"/>
            <w:tcBorders>
              <w:top w:val="nil"/>
              <w:left w:val="nil"/>
              <w:bottom w:val="nil"/>
              <w:right w:val="nil"/>
              <w:tl2br w:val="nil"/>
              <w:tr2bl w:val="nil"/>
            </w:tcBorders>
            <w:shd w:val="clear" w:color="auto" w:fill="C0C0C0"/>
            <w:tcMar>
              <w:left w:w="115" w:type="dxa"/>
              <w:right w:w="115" w:type="dxa"/>
            </w:tcMar>
            <w:vAlign w:val="bottom"/>
          </w:tcPr>
          <w:p w14:paraId="33F5845F" w14:textId="77777777" w:rsidR="003F0EEA" w:rsidRPr="009719AA" w:rsidRDefault="00FB7D0B">
            <w:pPr>
              <w:jc w:val="right"/>
              <w:rPr>
                <w:rFonts w:ascii="Arial" w:eastAsia="Arial" w:hAnsi="Arial" w:cs="Arial"/>
                <w:snapToGrid w:val="0"/>
                <w:color w:val="000000"/>
                <w:sz w:val="16"/>
              </w:rPr>
            </w:pPr>
            <w:r w:rsidRPr="009719AA">
              <w:rPr>
                <w:rFonts w:ascii="Arial" w:eastAsia="Arial" w:hAnsi="Arial" w:cs="Arial"/>
                <w:snapToGrid w:val="0"/>
                <w:color w:val="000000"/>
                <w:sz w:val="16"/>
              </w:rPr>
              <w:t>estimate</w:t>
            </w:r>
          </w:p>
        </w:tc>
        <w:tc>
          <w:tcPr>
            <w:tcW w:w="990" w:type="dxa"/>
            <w:tcBorders>
              <w:top w:val="nil"/>
              <w:left w:val="nil"/>
              <w:bottom w:val="nil"/>
              <w:right w:val="nil"/>
              <w:tl2br w:val="nil"/>
              <w:tr2bl w:val="nil"/>
            </w:tcBorders>
            <w:shd w:val="clear" w:color="auto" w:fill="FFFFFF"/>
            <w:tcMar>
              <w:left w:w="115" w:type="dxa"/>
              <w:right w:w="115" w:type="dxa"/>
            </w:tcMar>
            <w:vAlign w:val="bottom"/>
          </w:tcPr>
          <w:p w14:paraId="6CE3F212" w14:textId="77777777" w:rsidR="003F0EEA" w:rsidRPr="009719AA" w:rsidRDefault="00FB7D0B">
            <w:pPr>
              <w:jc w:val="right"/>
              <w:rPr>
                <w:rFonts w:ascii="Arial" w:eastAsia="Arial" w:hAnsi="Arial" w:cs="Arial"/>
                <w:snapToGrid w:val="0"/>
                <w:color w:val="000000"/>
                <w:sz w:val="16"/>
              </w:rPr>
            </w:pPr>
            <w:r w:rsidRPr="009719AA">
              <w:rPr>
                <w:rFonts w:ascii="Arial" w:eastAsia="Arial" w:hAnsi="Arial" w:cs="Arial"/>
                <w:snapToGrid w:val="0"/>
                <w:color w:val="000000"/>
                <w:sz w:val="16"/>
              </w:rPr>
              <w:t>estimate</w:t>
            </w:r>
          </w:p>
        </w:tc>
        <w:tc>
          <w:tcPr>
            <w:tcW w:w="990" w:type="dxa"/>
            <w:tcBorders>
              <w:top w:val="nil"/>
              <w:left w:val="nil"/>
              <w:bottom w:val="nil"/>
              <w:right w:val="nil"/>
              <w:tl2br w:val="nil"/>
              <w:tr2bl w:val="nil"/>
            </w:tcBorders>
            <w:shd w:val="clear" w:color="auto" w:fill="FFFFFF"/>
            <w:tcMar>
              <w:left w:w="115" w:type="dxa"/>
              <w:right w:w="115" w:type="dxa"/>
            </w:tcMar>
            <w:vAlign w:val="bottom"/>
          </w:tcPr>
          <w:p w14:paraId="7FCA9A44" w14:textId="77777777" w:rsidR="003F0EEA" w:rsidRPr="009719AA" w:rsidRDefault="00FB7D0B">
            <w:pPr>
              <w:jc w:val="right"/>
              <w:rPr>
                <w:rFonts w:ascii="Arial" w:eastAsia="Arial" w:hAnsi="Arial" w:cs="Arial"/>
                <w:snapToGrid w:val="0"/>
                <w:color w:val="000000"/>
                <w:sz w:val="16"/>
              </w:rPr>
            </w:pPr>
            <w:r w:rsidRPr="009719AA">
              <w:rPr>
                <w:rFonts w:ascii="Arial" w:eastAsia="Arial" w:hAnsi="Arial" w:cs="Arial"/>
                <w:snapToGrid w:val="0"/>
                <w:color w:val="000000"/>
                <w:sz w:val="16"/>
              </w:rPr>
              <w:t>estimate</w:t>
            </w:r>
          </w:p>
        </w:tc>
        <w:tc>
          <w:tcPr>
            <w:tcW w:w="990" w:type="dxa"/>
            <w:tcBorders>
              <w:top w:val="nil"/>
              <w:left w:val="nil"/>
              <w:bottom w:val="nil"/>
              <w:right w:val="nil"/>
              <w:tl2br w:val="nil"/>
              <w:tr2bl w:val="nil"/>
            </w:tcBorders>
            <w:shd w:val="clear" w:color="auto" w:fill="FFFFFF"/>
            <w:tcMar>
              <w:left w:w="115" w:type="dxa"/>
              <w:right w:w="115" w:type="dxa"/>
            </w:tcMar>
            <w:vAlign w:val="bottom"/>
          </w:tcPr>
          <w:p w14:paraId="1A8D1B1E" w14:textId="77777777" w:rsidR="003F0EEA" w:rsidRPr="009719AA" w:rsidRDefault="00FB7D0B">
            <w:pPr>
              <w:jc w:val="right"/>
              <w:rPr>
                <w:rFonts w:ascii="Arial" w:eastAsia="Arial" w:hAnsi="Arial" w:cs="Arial"/>
                <w:snapToGrid w:val="0"/>
                <w:color w:val="000000"/>
                <w:sz w:val="16"/>
              </w:rPr>
            </w:pPr>
            <w:r w:rsidRPr="009719AA">
              <w:rPr>
                <w:rFonts w:ascii="Arial" w:eastAsia="Arial" w:hAnsi="Arial" w:cs="Arial"/>
                <w:snapToGrid w:val="0"/>
                <w:color w:val="000000"/>
                <w:sz w:val="16"/>
              </w:rPr>
              <w:t>estimate</w:t>
            </w:r>
          </w:p>
        </w:tc>
      </w:tr>
      <w:tr w:rsidR="00724034" w14:paraId="08094F34" w14:textId="77777777">
        <w:trPr>
          <w:trHeight w:val="225"/>
        </w:trPr>
        <w:tc>
          <w:tcPr>
            <w:tcW w:w="180" w:type="dxa"/>
            <w:tcBorders>
              <w:top w:val="nil"/>
              <w:left w:val="nil"/>
              <w:bottom w:val="nil"/>
              <w:right w:val="nil"/>
              <w:tl2br w:val="nil"/>
              <w:tr2bl w:val="nil"/>
            </w:tcBorders>
            <w:shd w:val="clear" w:color="auto" w:fill="FFFFFF"/>
            <w:tcMar>
              <w:left w:w="115" w:type="dxa"/>
              <w:right w:w="115" w:type="dxa"/>
            </w:tcMar>
            <w:vAlign w:val="bottom"/>
          </w:tcPr>
          <w:p w14:paraId="27EA1846" w14:textId="77777777" w:rsidR="003F0EEA" w:rsidRPr="009719AA" w:rsidRDefault="003F0EEA">
            <w:pPr>
              <w:rPr>
                <w:rFonts w:ascii="Arial" w:eastAsia="Arial" w:hAnsi="Arial" w:cs="Arial"/>
                <w:snapToGrid w:val="0"/>
                <w:color w:val="000000"/>
                <w:sz w:val="16"/>
              </w:rPr>
            </w:pPr>
          </w:p>
        </w:tc>
        <w:tc>
          <w:tcPr>
            <w:tcW w:w="180" w:type="dxa"/>
            <w:tcBorders>
              <w:top w:val="nil"/>
              <w:left w:val="nil"/>
              <w:bottom w:val="nil"/>
              <w:right w:val="nil"/>
              <w:tl2br w:val="nil"/>
              <w:tr2bl w:val="nil"/>
            </w:tcBorders>
            <w:shd w:val="clear" w:color="auto" w:fill="FFFFFF"/>
            <w:tcMar>
              <w:left w:w="115" w:type="dxa"/>
              <w:right w:w="115" w:type="dxa"/>
            </w:tcMar>
            <w:vAlign w:val="bottom"/>
          </w:tcPr>
          <w:p w14:paraId="5AB1FEEF" w14:textId="77777777" w:rsidR="003F0EEA" w:rsidRPr="009719AA" w:rsidRDefault="003F0EEA">
            <w:pPr>
              <w:rPr>
                <w:rFonts w:ascii="Arial" w:eastAsia="Arial" w:hAnsi="Arial" w:cs="Arial"/>
                <w:snapToGrid w:val="0"/>
                <w:color w:val="000000"/>
                <w:sz w:val="16"/>
              </w:rPr>
            </w:pPr>
          </w:p>
        </w:tc>
        <w:tc>
          <w:tcPr>
            <w:tcW w:w="2700" w:type="dxa"/>
            <w:tcBorders>
              <w:top w:val="nil"/>
              <w:left w:val="nil"/>
              <w:bottom w:val="nil"/>
              <w:right w:val="nil"/>
              <w:tl2br w:val="nil"/>
              <w:tr2bl w:val="nil"/>
            </w:tcBorders>
            <w:shd w:val="clear" w:color="auto" w:fill="FFFFFF"/>
            <w:tcMar>
              <w:left w:w="115" w:type="dxa"/>
              <w:right w:w="115" w:type="dxa"/>
            </w:tcMar>
            <w:vAlign w:val="bottom"/>
          </w:tcPr>
          <w:p w14:paraId="798DF7EE" w14:textId="77777777" w:rsidR="003F0EEA" w:rsidRPr="009719AA" w:rsidRDefault="003F0EEA">
            <w:pPr>
              <w:rPr>
                <w:rFonts w:ascii="Arial" w:eastAsia="Arial" w:hAnsi="Arial" w:cs="Arial"/>
                <w:snapToGrid w:val="0"/>
                <w:color w:val="000000"/>
                <w:sz w:val="16"/>
              </w:rPr>
            </w:pPr>
          </w:p>
        </w:tc>
        <w:tc>
          <w:tcPr>
            <w:tcW w:w="990" w:type="dxa"/>
            <w:tcBorders>
              <w:top w:val="nil"/>
              <w:left w:val="nil"/>
              <w:bottom w:val="nil"/>
              <w:right w:val="nil"/>
              <w:tl2br w:val="nil"/>
              <w:tr2bl w:val="nil"/>
            </w:tcBorders>
            <w:shd w:val="clear" w:color="auto" w:fill="FFFFFF"/>
            <w:tcMar>
              <w:left w:w="115" w:type="dxa"/>
              <w:right w:w="115" w:type="dxa"/>
            </w:tcMar>
            <w:vAlign w:val="bottom"/>
          </w:tcPr>
          <w:p w14:paraId="566D4EE2" w14:textId="77777777" w:rsidR="003F0EEA" w:rsidRPr="009719AA" w:rsidRDefault="00FB7D0B">
            <w:pPr>
              <w:jc w:val="right"/>
              <w:rPr>
                <w:rFonts w:ascii="Arial" w:eastAsia="Arial" w:hAnsi="Arial" w:cs="Arial"/>
                <w:snapToGrid w:val="0"/>
                <w:color w:val="000000"/>
                <w:sz w:val="16"/>
                <w:vertAlign w:val="superscript"/>
              </w:rPr>
            </w:pPr>
            <w:r w:rsidRPr="009719AA">
              <w:rPr>
                <w:rFonts w:ascii="Arial" w:eastAsia="Arial" w:hAnsi="Arial" w:cs="Arial"/>
                <w:snapToGrid w:val="0"/>
                <w:color w:val="000000"/>
                <w:sz w:val="16"/>
              </w:rPr>
              <w:t>2013-14</w:t>
            </w:r>
          </w:p>
        </w:tc>
        <w:tc>
          <w:tcPr>
            <w:tcW w:w="990" w:type="dxa"/>
            <w:tcBorders>
              <w:top w:val="nil"/>
              <w:left w:val="nil"/>
              <w:bottom w:val="nil"/>
              <w:right w:val="nil"/>
              <w:tl2br w:val="nil"/>
              <w:tr2bl w:val="nil"/>
            </w:tcBorders>
            <w:shd w:val="clear" w:color="auto" w:fill="C0C0C0"/>
            <w:tcMar>
              <w:left w:w="115" w:type="dxa"/>
              <w:right w:w="115" w:type="dxa"/>
            </w:tcMar>
            <w:vAlign w:val="bottom"/>
          </w:tcPr>
          <w:p w14:paraId="3A7823D2" w14:textId="77777777" w:rsidR="003F0EEA" w:rsidRPr="009719AA" w:rsidRDefault="00FB7D0B">
            <w:pPr>
              <w:jc w:val="right"/>
              <w:rPr>
                <w:rFonts w:ascii="Arial" w:eastAsia="Arial" w:hAnsi="Arial" w:cs="Arial"/>
                <w:snapToGrid w:val="0"/>
                <w:color w:val="000000"/>
                <w:sz w:val="16"/>
              </w:rPr>
            </w:pPr>
            <w:r w:rsidRPr="009719AA">
              <w:rPr>
                <w:rFonts w:ascii="Arial" w:eastAsia="Arial" w:hAnsi="Arial" w:cs="Arial"/>
                <w:snapToGrid w:val="0"/>
                <w:color w:val="000000"/>
                <w:sz w:val="16"/>
              </w:rPr>
              <w:t>2014-15</w:t>
            </w:r>
          </w:p>
        </w:tc>
        <w:tc>
          <w:tcPr>
            <w:tcW w:w="990" w:type="dxa"/>
            <w:tcBorders>
              <w:top w:val="nil"/>
              <w:left w:val="nil"/>
              <w:bottom w:val="nil"/>
              <w:right w:val="nil"/>
              <w:tl2br w:val="nil"/>
              <w:tr2bl w:val="nil"/>
            </w:tcBorders>
            <w:shd w:val="clear" w:color="auto" w:fill="FFFFFF"/>
            <w:tcMar>
              <w:left w:w="115" w:type="dxa"/>
              <w:right w:w="115" w:type="dxa"/>
            </w:tcMar>
            <w:vAlign w:val="bottom"/>
          </w:tcPr>
          <w:p w14:paraId="2E030276" w14:textId="77777777" w:rsidR="003F0EEA" w:rsidRPr="009719AA" w:rsidRDefault="00FB7D0B">
            <w:pPr>
              <w:jc w:val="right"/>
              <w:rPr>
                <w:rFonts w:ascii="Arial" w:eastAsia="Arial" w:hAnsi="Arial" w:cs="Arial"/>
                <w:snapToGrid w:val="0"/>
                <w:color w:val="000000"/>
                <w:sz w:val="16"/>
              </w:rPr>
            </w:pPr>
            <w:r w:rsidRPr="009719AA">
              <w:rPr>
                <w:rFonts w:ascii="Arial" w:eastAsia="Arial" w:hAnsi="Arial" w:cs="Arial"/>
                <w:snapToGrid w:val="0"/>
                <w:color w:val="000000"/>
                <w:sz w:val="16"/>
              </w:rPr>
              <w:t>2015-16</w:t>
            </w:r>
          </w:p>
        </w:tc>
        <w:tc>
          <w:tcPr>
            <w:tcW w:w="990" w:type="dxa"/>
            <w:tcBorders>
              <w:top w:val="nil"/>
              <w:left w:val="nil"/>
              <w:bottom w:val="nil"/>
              <w:right w:val="nil"/>
              <w:tl2br w:val="nil"/>
              <w:tr2bl w:val="nil"/>
            </w:tcBorders>
            <w:shd w:val="clear" w:color="auto" w:fill="FFFFFF"/>
            <w:tcMar>
              <w:left w:w="115" w:type="dxa"/>
              <w:right w:w="115" w:type="dxa"/>
            </w:tcMar>
            <w:vAlign w:val="bottom"/>
          </w:tcPr>
          <w:p w14:paraId="4482342C" w14:textId="77777777" w:rsidR="003F0EEA" w:rsidRPr="009719AA" w:rsidRDefault="00FB7D0B">
            <w:pPr>
              <w:jc w:val="right"/>
              <w:rPr>
                <w:rFonts w:ascii="Arial" w:eastAsia="Arial" w:hAnsi="Arial" w:cs="Arial"/>
                <w:snapToGrid w:val="0"/>
                <w:color w:val="000000"/>
                <w:sz w:val="16"/>
              </w:rPr>
            </w:pPr>
            <w:r w:rsidRPr="009719AA">
              <w:rPr>
                <w:rFonts w:ascii="Arial" w:eastAsia="Arial" w:hAnsi="Arial" w:cs="Arial"/>
                <w:snapToGrid w:val="0"/>
                <w:color w:val="000000"/>
                <w:sz w:val="16"/>
              </w:rPr>
              <w:t>2016-17</w:t>
            </w:r>
          </w:p>
        </w:tc>
        <w:tc>
          <w:tcPr>
            <w:tcW w:w="990" w:type="dxa"/>
            <w:tcBorders>
              <w:top w:val="nil"/>
              <w:left w:val="nil"/>
              <w:bottom w:val="nil"/>
              <w:right w:val="nil"/>
              <w:tl2br w:val="nil"/>
              <w:tr2bl w:val="nil"/>
            </w:tcBorders>
            <w:shd w:val="clear" w:color="auto" w:fill="FFFFFF"/>
            <w:tcMar>
              <w:left w:w="115" w:type="dxa"/>
              <w:right w:w="115" w:type="dxa"/>
            </w:tcMar>
            <w:vAlign w:val="bottom"/>
          </w:tcPr>
          <w:p w14:paraId="52184484" w14:textId="77777777" w:rsidR="003F0EEA" w:rsidRPr="009719AA" w:rsidRDefault="00FB7D0B">
            <w:pPr>
              <w:jc w:val="right"/>
              <w:rPr>
                <w:rFonts w:ascii="Arial" w:eastAsia="Arial" w:hAnsi="Arial" w:cs="Arial"/>
                <w:snapToGrid w:val="0"/>
                <w:color w:val="000000"/>
                <w:sz w:val="16"/>
              </w:rPr>
            </w:pPr>
            <w:r w:rsidRPr="009719AA">
              <w:rPr>
                <w:rFonts w:ascii="Arial" w:eastAsia="Arial" w:hAnsi="Arial" w:cs="Arial"/>
                <w:snapToGrid w:val="0"/>
                <w:color w:val="000000"/>
                <w:sz w:val="16"/>
              </w:rPr>
              <w:t>2017-18</w:t>
            </w:r>
          </w:p>
        </w:tc>
      </w:tr>
      <w:tr w:rsidR="00724034" w14:paraId="0D08770A" w14:textId="77777777">
        <w:trPr>
          <w:trHeight w:val="225"/>
        </w:trPr>
        <w:tc>
          <w:tcPr>
            <w:tcW w:w="180" w:type="dxa"/>
            <w:tcBorders>
              <w:top w:val="nil"/>
              <w:left w:val="nil"/>
              <w:bottom w:val="nil"/>
              <w:right w:val="nil"/>
              <w:tl2br w:val="nil"/>
              <w:tr2bl w:val="nil"/>
            </w:tcBorders>
            <w:shd w:val="clear" w:color="auto" w:fill="FFFFFF"/>
            <w:tcMar>
              <w:left w:w="115" w:type="dxa"/>
              <w:right w:w="115" w:type="dxa"/>
            </w:tcMar>
            <w:vAlign w:val="bottom"/>
          </w:tcPr>
          <w:p w14:paraId="683029CC" w14:textId="77777777" w:rsidR="003F0EEA" w:rsidRPr="009719AA" w:rsidRDefault="003F0EEA">
            <w:pPr>
              <w:rPr>
                <w:rFonts w:ascii="Arial" w:eastAsia="Arial" w:hAnsi="Arial" w:cs="Arial"/>
                <w:snapToGrid w:val="0"/>
                <w:color w:val="000000"/>
                <w:sz w:val="16"/>
              </w:rPr>
            </w:pPr>
          </w:p>
        </w:tc>
        <w:tc>
          <w:tcPr>
            <w:tcW w:w="180" w:type="dxa"/>
            <w:tcBorders>
              <w:top w:val="nil"/>
              <w:left w:val="nil"/>
              <w:bottom w:val="nil"/>
              <w:right w:val="nil"/>
              <w:tl2br w:val="nil"/>
              <w:tr2bl w:val="nil"/>
            </w:tcBorders>
            <w:shd w:val="clear" w:color="auto" w:fill="FFFFFF"/>
            <w:tcMar>
              <w:left w:w="115" w:type="dxa"/>
              <w:right w:w="115" w:type="dxa"/>
            </w:tcMar>
            <w:vAlign w:val="bottom"/>
          </w:tcPr>
          <w:p w14:paraId="1AC061E3" w14:textId="77777777" w:rsidR="003F0EEA" w:rsidRPr="009719AA" w:rsidRDefault="003F0EEA">
            <w:pPr>
              <w:rPr>
                <w:rFonts w:ascii="Arial" w:eastAsia="Arial" w:hAnsi="Arial" w:cs="Arial"/>
                <w:snapToGrid w:val="0"/>
                <w:color w:val="000000"/>
                <w:sz w:val="16"/>
              </w:rPr>
            </w:pPr>
          </w:p>
        </w:tc>
        <w:tc>
          <w:tcPr>
            <w:tcW w:w="2700" w:type="dxa"/>
            <w:tcBorders>
              <w:top w:val="nil"/>
              <w:left w:val="nil"/>
              <w:bottom w:val="nil"/>
              <w:right w:val="nil"/>
              <w:tl2br w:val="nil"/>
              <w:tr2bl w:val="nil"/>
            </w:tcBorders>
            <w:shd w:val="clear" w:color="auto" w:fill="FFFFFF"/>
            <w:tcMar>
              <w:left w:w="115" w:type="dxa"/>
              <w:right w:w="115" w:type="dxa"/>
            </w:tcMar>
            <w:vAlign w:val="bottom"/>
          </w:tcPr>
          <w:p w14:paraId="6177EEB8" w14:textId="77777777" w:rsidR="003F0EEA" w:rsidRPr="009719AA" w:rsidRDefault="003F0EEA">
            <w:pPr>
              <w:rPr>
                <w:rFonts w:ascii="Arial" w:eastAsia="Arial" w:hAnsi="Arial" w:cs="Arial"/>
                <w:snapToGrid w:val="0"/>
                <w:color w:val="000000"/>
                <w:sz w:val="16"/>
              </w:rPr>
            </w:pPr>
          </w:p>
        </w:tc>
        <w:tc>
          <w:tcPr>
            <w:tcW w:w="990"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510DFDF5" w14:textId="77777777" w:rsidR="003F0EEA" w:rsidRPr="009719AA" w:rsidRDefault="00FB7D0B">
            <w:pPr>
              <w:jc w:val="right"/>
              <w:rPr>
                <w:rFonts w:ascii="Arial" w:eastAsia="Arial" w:hAnsi="Arial" w:cs="Arial"/>
                <w:snapToGrid w:val="0"/>
                <w:color w:val="000000"/>
                <w:sz w:val="16"/>
                <w:vertAlign w:val="superscript"/>
              </w:rPr>
            </w:pPr>
            <w:r w:rsidRPr="009719AA">
              <w:rPr>
                <w:rFonts w:ascii="Arial" w:eastAsia="Arial" w:hAnsi="Arial" w:cs="Arial"/>
                <w:snapToGrid w:val="0"/>
                <w:color w:val="000000"/>
                <w:sz w:val="16"/>
              </w:rPr>
              <w:t>$'000</w:t>
            </w:r>
          </w:p>
        </w:tc>
        <w:tc>
          <w:tcPr>
            <w:tcW w:w="990" w:type="dxa"/>
            <w:tcBorders>
              <w:top w:val="nil"/>
              <w:left w:val="nil"/>
              <w:bottom w:val="single" w:sz="6" w:space="0" w:color="000000"/>
              <w:right w:val="nil"/>
              <w:tl2br w:val="nil"/>
              <w:tr2bl w:val="nil"/>
            </w:tcBorders>
            <w:shd w:val="clear" w:color="auto" w:fill="C0C0C0"/>
            <w:tcMar>
              <w:left w:w="115" w:type="dxa"/>
              <w:right w:w="115" w:type="dxa"/>
            </w:tcMar>
            <w:vAlign w:val="bottom"/>
          </w:tcPr>
          <w:p w14:paraId="20D4762C" w14:textId="77777777" w:rsidR="003F0EEA" w:rsidRPr="009719AA" w:rsidRDefault="00FB7D0B">
            <w:pPr>
              <w:jc w:val="right"/>
              <w:rPr>
                <w:rFonts w:ascii="Arial" w:eastAsia="Arial" w:hAnsi="Arial" w:cs="Arial"/>
                <w:snapToGrid w:val="0"/>
                <w:color w:val="000000"/>
                <w:sz w:val="16"/>
              </w:rPr>
            </w:pPr>
            <w:r w:rsidRPr="009719AA">
              <w:rPr>
                <w:rFonts w:ascii="Arial" w:eastAsia="Arial" w:hAnsi="Arial" w:cs="Arial"/>
                <w:snapToGrid w:val="0"/>
                <w:color w:val="000000"/>
                <w:sz w:val="16"/>
              </w:rPr>
              <w:t>$'000</w:t>
            </w:r>
          </w:p>
        </w:tc>
        <w:tc>
          <w:tcPr>
            <w:tcW w:w="990"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11C64B7B" w14:textId="77777777" w:rsidR="003F0EEA" w:rsidRPr="009719AA" w:rsidRDefault="00FB7D0B">
            <w:pPr>
              <w:jc w:val="right"/>
              <w:rPr>
                <w:rFonts w:ascii="Arial" w:eastAsia="Arial" w:hAnsi="Arial" w:cs="Arial"/>
                <w:snapToGrid w:val="0"/>
                <w:color w:val="000000"/>
                <w:sz w:val="16"/>
              </w:rPr>
            </w:pPr>
            <w:r w:rsidRPr="009719AA">
              <w:rPr>
                <w:rFonts w:ascii="Arial" w:eastAsia="Arial" w:hAnsi="Arial" w:cs="Arial"/>
                <w:snapToGrid w:val="0"/>
                <w:color w:val="000000"/>
                <w:sz w:val="16"/>
              </w:rPr>
              <w:t>$'000</w:t>
            </w:r>
          </w:p>
        </w:tc>
        <w:tc>
          <w:tcPr>
            <w:tcW w:w="990"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7F4A6AD2" w14:textId="77777777" w:rsidR="003F0EEA" w:rsidRPr="009719AA" w:rsidRDefault="00FB7D0B">
            <w:pPr>
              <w:jc w:val="right"/>
              <w:rPr>
                <w:rFonts w:ascii="Arial" w:eastAsia="Arial" w:hAnsi="Arial" w:cs="Arial"/>
                <w:snapToGrid w:val="0"/>
                <w:color w:val="000000"/>
                <w:sz w:val="16"/>
              </w:rPr>
            </w:pPr>
            <w:r w:rsidRPr="009719AA">
              <w:rPr>
                <w:rFonts w:ascii="Arial" w:eastAsia="Arial" w:hAnsi="Arial" w:cs="Arial"/>
                <w:snapToGrid w:val="0"/>
                <w:color w:val="000000"/>
                <w:sz w:val="16"/>
              </w:rPr>
              <w:t>$'000</w:t>
            </w:r>
          </w:p>
        </w:tc>
        <w:tc>
          <w:tcPr>
            <w:tcW w:w="990"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64F102E2" w14:textId="77777777" w:rsidR="003F0EEA" w:rsidRPr="009719AA" w:rsidRDefault="00FB7D0B">
            <w:pPr>
              <w:jc w:val="right"/>
              <w:rPr>
                <w:rFonts w:ascii="Arial" w:eastAsia="Arial" w:hAnsi="Arial" w:cs="Arial"/>
                <w:snapToGrid w:val="0"/>
                <w:color w:val="000000"/>
                <w:sz w:val="16"/>
              </w:rPr>
            </w:pPr>
            <w:r w:rsidRPr="009719AA">
              <w:rPr>
                <w:rFonts w:ascii="Arial" w:eastAsia="Arial" w:hAnsi="Arial" w:cs="Arial"/>
                <w:snapToGrid w:val="0"/>
                <w:color w:val="000000"/>
                <w:sz w:val="16"/>
              </w:rPr>
              <w:t>$'000</w:t>
            </w:r>
          </w:p>
        </w:tc>
      </w:tr>
      <w:tr w:rsidR="00355BFE" w14:paraId="0874D406" w14:textId="77777777" w:rsidTr="00355BFE">
        <w:trPr>
          <w:trHeight w:val="225"/>
        </w:trPr>
        <w:tc>
          <w:tcPr>
            <w:tcW w:w="3060" w:type="dxa"/>
            <w:gridSpan w:val="3"/>
            <w:tcBorders>
              <w:top w:val="nil"/>
              <w:left w:val="nil"/>
              <w:bottom w:val="nil"/>
              <w:right w:val="nil"/>
              <w:tl2br w:val="nil"/>
              <w:tr2bl w:val="nil"/>
            </w:tcBorders>
            <w:shd w:val="clear" w:color="auto" w:fill="FFFFFF"/>
            <w:tcMar>
              <w:left w:w="115" w:type="dxa"/>
              <w:right w:w="115" w:type="dxa"/>
            </w:tcMar>
            <w:vAlign w:val="bottom"/>
          </w:tcPr>
          <w:p w14:paraId="18CB736E" w14:textId="77777777" w:rsidR="003F0EEA" w:rsidRPr="009719AA" w:rsidRDefault="00FB7D0B">
            <w:pPr>
              <w:rPr>
                <w:rFonts w:ascii="Arial" w:eastAsia="Arial" w:hAnsi="Arial" w:cs="Arial"/>
                <w:snapToGrid w:val="0"/>
                <w:color w:val="000000"/>
                <w:sz w:val="16"/>
              </w:rPr>
            </w:pPr>
            <w:r w:rsidRPr="009719AA">
              <w:rPr>
                <w:rFonts w:ascii="Arial" w:eastAsia="Arial" w:hAnsi="Arial" w:cs="Arial"/>
                <w:b/>
                <w:snapToGrid w:val="0"/>
                <w:color w:val="000000"/>
                <w:sz w:val="16"/>
              </w:rPr>
              <w:t xml:space="preserve">Total Comprehensive Income </w:t>
            </w:r>
          </w:p>
        </w:tc>
        <w:tc>
          <w:tcPr>
            <w:tcW w:w="990"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501810A9" w14:textId="77777777" w:rsidR="003F0EEA" w:rsidRPr="009719AA" w:rsidRDefault="003F0EEA">
            <w:pPr>
              <w:jc w:val="right"/>
              <w:rPr>
                <w:rFonts w:ascii="Arial" w:eastAsia="Arial" w:hAnsi="Arial" w:cs="Arial"/>
                <w:b/>
                <w:snapToGrid w:val="0"/>
                <w:color w:val="000000"/>
                <w:sz w:val="16"/>
                <w:vertAlign w:val="superscript"/>
              </w:rPr>
            </w:pPr>
          </w:p>
        </w:tc>
        <w:tc>
          <w:tcPr>
            <w:tcW w:w="990" w:type="dxa"/>
            <w:tcBorders>
              <w:top w:val="single" w:sz="6" w:space="0" w:color="000000"/>
              <w:left w:val="nil"/>
              <w:bottom w:val="nil"/>
              <w:right w:val="nil"/>
              <w:tl2br w:val="nil"/>
              <w:tr2bl w:val="nil"/>
            </w:tcBorders>
            <w:shd w:val="clear" w:color="auto" w:fill="C0C0C0"/>
            <w:tcMar>
              <w:left w:w="115" w:type="dxa"/>
              <w:right w:w="115" w:type="dxa"/>
            </w:tcMar>
            <w:vAlign w:val="bottom"/>
          </w:tcPr>
          <w:p w14:paraId="46440B18" w14:textId="77777777" w:rsidR="003F0EEA" w:rsidRPr="009719AA" w:rsidRDefault="003F0EEA">
            <w:pPr>
              <w:jc w:val="right"/>
              <w:rPr>
                <w:rFonts w:ascii="Arial" w:eastAsia="Arial" w:hAnsi="Arial" w:cs="Arial"/>
                <w:snapToGrid w:val="0"/>
                <w:color w:val="000000"/>
                <w:sz w:val="16"/>
                <w:vertAlign w:val="superscript"/>
              </w:rPr>
            </w:pPr>
          </w:p>
        </w:tc>
        <w:tc>
          <w:tcPr>
            <w:tcW w:w="990"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3B6A808B" w14:textId="77777777" w:rsidR="003F0EEA" w:rsidRPr="009719AA" w:rsidRDefault="003F0EEA">
            <w:pPr>
              <w:jc w:val="right"/>
              <w:rPr>
                <w:rFonts w:ascii="Arial" w:eastAsia="Arial" w:hAnsi="Arial" w:cs="Arial"/>
                <w:snapToGrid w:val="0"/>
                <w:color w:val="000000"/>
                <w:sz w:val="16"/>
                <w:vertAlign w:val="superscript"/>
              </w:rPr>
            </w:pPr>
          </w:p>
        </w:tc>
        <w:tc>
          <w:tcPr>
            <w:tcW w:w="990"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7FD232C1" w14:textId="77777777" w:rsidR="003F0EEA" w:rsidRPr="009719AA" w:rsidRDefault="003F0EEA">
            <w:pPr>
              <w:jc w:val="right"/>
              <w:rPr>
                <w:rFonts w:ascii="Arial" w:eastAsia="Arial" w:hAnsi="Arial" w:cs="Arial"/>
                <w:snapToGrid w:val="0"/>
                <w:color w:val="000000"/>
                <w:sz w:val="16"/>
                <w:vertAlign w:val="superscript"/>
              </w:rPr>
            </w:pPr>
          </w:p>
        </w:tc>
        <w:tc>
          <w:tcPr>
            <w:tcW w:w="990"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3DF20349" w14:textId="77777777" w:rsidR="003F0EEA" w:rsidRPr="009719AA" w:rsidRDefault="003F0EEA">
            <w:pPr>
              <w:jc w:val="right"/>
              <w:rPr>
                <w:rFonts w:ascii="Arial" w:eastAsia="Arial" w:hAnsi="Arial" w:cs="Arial"/>
                <w:snapToGrid w:val="0"/>
                <w:color w:val="000000"/>
                <w:sz w:val="16"/>
                <w:vertAlign w:val="superscript"/>
              </w:rPr>
            </w:pPr>
          </w:p>
        </w:tc>
      </w:tr>
      <w:tr w:rsidR="00355BFE" w14:paraId="6A165745" w14:textId="77777777" w:rsidTr="00355BFE">
        <w:trPr>
          <w:trHeight w:val="225"/>
        </w:trPr>
        <w:tc>
          <w:tcPr>
            <w:tcW w:w="180" w:type="dxa"/>
            <w:tcBorders>
              <w:top w:val="nil"/>
              <w:left w:val="nil"/>
              <w:bottom w:val="nil"/>
              <w:right w:val="nil"/>
              <w:tl2br w:val="nil"/>
              <w:tr2bl w:val="nil"/>
            </w:tcBorders>
            <w:shd w:val="clear" w:color="auto" w:fill="FFFFFF"/>
            <w:tcMar>
              <w:left w:w="115" w:type="dxa"/>
              <w:right w:w="115" w:type="dxa"/>
            </w:tcMar>
            <w:vAlign w:val="center"/>
          </w:tcPr>
          <w:p w14:paraId="04F6AF1E" w14:textId="77777777" w:rsidR="003F0EEA" w:rsidRPr="009719AA" w:rsidRDefault="003F0EEA">
            <w:pPr>
              <w:rPr>
                <w:rFonts w:ascii="Arial" w:eastAsia="Arial" w:hAnsi="Arial" w:cs="Arial"/>
                <w:snapToGrid w:val="0"/>
                <w:color w:val="000000"/>
                <w:sz w:val="16"/>
                <w:vertAlign w:val="superscript"/>
              </w:rPr>
            </w:pPr>
          </w:p>
        </w:tc>
        <w:tc>
          <w:tcPr>
            <w:tcW w:w="2880" w:type="dxa"/>
            <w:gridSpan w:val="2"/>
            <w:vMerge w:val="restart"/>
            <w:tcBorders>
              <w:top w:val="nil"/>
              <w:left w:val="nil"/>
              <w:bottom w:val="nil"/>
              <w:right w:val="nil"/>
              <w:tl2br w:val="nil"/>
              <w:tr2bl w:val="nil"/>
            </w:tcBorders>
            <w:shd w:val="clear" w:color="auto" w:fill="FFFFFF"/>
            <w:tcMar>
              <w:left w:w="115" w:type="dxa"/>
              <w:right w:w="115" w:type="dxa"/>
            </w:tcMar>
            <w:vAlign w:val="bottom"/>
          </w:tcPr>
          <w:p w14:paraId="06A8C993" w14:textId="77777777" w:rsidR="003F0EEA" w:rsidRPr="009719AA" w:rsidRDefault="00FB7D0B">
            <w:pPr>
              <w:rPr>
                <w:rFonts w:ascii="Arial" w:eastAsia="Arial" w:hAnsi="Arial" w:cs="Arial"/>
                <w:snapToGrid w:val="0"/>
                <w:color w:val="000000"/>
                <w:sz w:val="16"/>
                <w:vertAlign w:val="superscript"/>
              </w:rPr>
            </w:pPr>
            <w:r w:rsidRPr="009719AA">
              <w:rPr>
                <w:rFonts w:ascii="Arial" w:eastAsia="Arial" w:hAnsi="Arial" w:cs="Arial"/>
                <w:b/>
                <w:snapToGrid w:val="0"/>
                <w:color w:val="000000"/>
                <w:sz w:val="16"/>
              </w:rPr>
              <w:t>(loss) less heritage and cultural</w:t>
            </w:r>
          </w:p>
        </w:tc>
        <w:tc>
          <w:tcPr>
            <w:tcW w:w="990" w:type="dxa"/>
            <w:tcBorders>
              <w:top w:val="nil"/>
              <w:left w:val="nil"/>
              <w:bottom w:val="nil"/>
              <w:right w:val="nil"/>
              <w:tl2br w:val="nil"/>
              <w:tr2bl w:val="nil"/>
            </w:tcBorders>
            <w:shd w:val="clear" w:color="auto" w:fill="FFFFFF"/>
            <w:tcMar>
              <w:left w:w="115" w:type="dxa"/>
              <w:right w:w="115" w:type="dxa"/>
            </w:tcMar>
            <w:vAlign w:val="bottom"/>
          </w:tcPr>
          <w:p w14:paraId="1449BE4F" w14:textId="77777777" w:rsidR="003F0EEA" w:rsidRPr="009719AA" w:rsidRDefault="003F0EEA">
            <w:pPr>
              <w:rPr>
                <w:rFonts w:ascii="Arial" w:eastAsia="Arial" w:hAnsi="Arial" w:cs="Arial"/>
                <w:b/>
                <w:snapToGrid w:val="0"/>
                <w:color w:val="000000"/>
                <w:sz w:val="16"/>
                <w:vertAlign w:val="superscript"/>
              </w:rPr>
            </w:pPr>
          </w:p>
        </w:tc>
        <w:tc>
          <w:tcPr>
            <w:tcW w:w="990" w:type="dxa"/>
            <w:tcBorders>
              <w:top w:val="nil"/>
              <w:left w:val="nil"/>
              <w:bottom w:val="nil"/>
              <w:right w:val="nil"/>
              <w:tl2br w:val="nil"/>
              <w:tr2bl w:val="nil"/>
            </w:tcBorders>
            <w:shd w:val="clear" w:color="auto" w:fill="C0C0C0"/>
            <w:tcMar>
              <w:left w:w="115" w:type="dxa"/>
              <w:right w:w="115" w:type="dxa"/>
            </w:tcMar>
            <w:vAlign w:val="bottom"/>
          </w:tcPr>
          <w:p w14:paraId="6C168F20" w14:textId="77777777" w:rsidR="003F0EEA" w:rsidRPr="009719AA" w:rsidRDefault="003F0EEA">
            <w:pPr>
              <w:jc w:val="right"/>
              <w:rPr>
                <w:rFonts w:ascii="Arial" w:eastAsia="Arial" w:hAnsi="Arial" w:cs="Arial"/>
                <w:b/>
                <w:snapToGrid w:val="0"/>
                <w:color w:val="000000"/>
                <w:sz w:val="16"/>
                <w:vertAlign w:val="superscript"/>
              </w:rPr>
            </w:pPr>
          </w:p>
        </w:tc>
        <w:tc>
          <w:tcPr>
            <w:tcW w:w="990" w:type="dxa"/>
            <w:tcBorders>
              <w:top w:val="nil"/>
              <w:left w:val="nil"/>
              <w:bottom w:val="nil"/>
              <w:right w:val="nil"/>
              <w:tl2br w:val="nil"/>
              <w:tr2bl w:val="nil"/>
            </w:tcBorders>
            <w:shd w:val="clear" w:color="auto" w:fill="FFFFFF"/>
            <w:tcMar>
              <w:left w:w="115" w:type="dxa"/>
              <w:right w:w="115" w:type="dxa"/>
            </w:tcMar>
            <w:vAlign w:val="bottom"/>
          </w:tcPr>
          <w:p w14:paraId="387DA1D5" w14:textId="77777777" w:rsidR="003F0EEA" w:rsidRPr="009719AA" w:rsidRDefault="003F0EEA">
            <w:pPr>
              <w:jc w:val="right"/>
              <w:rPr>
                <w:rFonts w:ascii="Arial" w:eastAsia="Arial" w:hAnsi="Arial" w:cs="Arial"/>
                <w:snapToGrid w:val="0"/>
                <w:color w:val="000000"/>
                <w:sz w:val="16"/>
                <w:vertAlign w:val="superscript"/>
              </w:rPr>
            </w:pPr>
          </w:p>
        </w:tc>
        <w:tc>
          <w:tcPr>
            <w:tcW w:w="990" w:type="dxa"/>
            <w:tcBorders>
              <w:top w:val="nil"/>
              <w:left w:val="nil"/>
              <w:bottom w:val="nil"/>
              <w:right w:val="nil"/>
              <w:tl2br w:val="nil"/>
              <w:tr2bl w:val="nil"/>
            </w:tcBorders>
            <w:shd w:val="clear" w:color="auto" w:fill="FFFFFF"/>
            <w:tcMar>
              <w:left w:w="115" w:type="dxa"/>
              <w:right w:w="115" w:type="dxa"/>
            </w:tcMar>
            <w:vAlign w:val="bottom"/>
          </w:tcPr>
          <w:p w14:paraId="46B62EBD" w14:textId="77777777" w:rsidR="003F0EEA" w:rsidRPr="009719AA" w:rsidRDefault="003F0EEA">
            <w:pPr>
              <w:jc w:val="right"/>
              <w:rPr>
                <w:rFonts w:ascii="Arial" w:eastAsia="Arial" w:hAnsi="Arial" w:cs="Arial"/>
                <w:snapToGrid w:val="0"/>
                <w:color w:val="000000"/>
                <w:sz w:val="16"/>
                <w:vertAlign w:val="superscript"/>
              </w:rPr>
            </w:pPr>
          </w:p>
        </w:tc>
        <w:tc>
          <w:tcPr>
            <w:tcW w:w="990" w:type="dxa"/>
            <w:tcBorders>
              <w:top w:val="nil"/>
              <w:left w:val="nil"/>
              <w:bottom w:val="nil"/>
              <w:right w:val="nil"/>
              <w:tl2br w:val="nil"/>
              <w:tr2bl w:val="nil"/>
            </w:tcBorders>
            <w:shd w:val="clear" w:color="auto" w:fill="FFFFFF"/>
            <w:tcMar>
              <w:left w:w="115" w:type="dxa"/>
              <w:right w:w="115" w:type="dxa"/>
            </w:tcMar>
            <w:vAlign w:val="bottom"/>
          </w:tcPr>
          <w:p w14:paraId="562BD1A4" w14:textId="77777777" w:rsidR="003F0EEA" w:rsidRPr="009719AA" w:rsidRDefault="003F0EEA">
            <w:pPr>
              <w:jc w:val="right"/>
              <w:rPr>
                <w:rFonts w:ascii="Arial" w:eastAsia="Arial" w:hAnsi="Arial" w:cs="Arial"/>
                <w:snapToGrid w:val="0"/>
                <w:color w:val="000000"/>
                <w:sz w:val="16"/>
                <w:vertAlign w:val="superscript"/>
              </w:rPr>
            </w:pPr>
          </w:p>
        </w:tc>
      </w:tr>
      <w:tr w:rsidR="00355BFE" w14:paraId="2FBF791E" w14:textId="77777777" w:rsidTr="00355BFE">
        <w:trPr>
          <w:trHeight w:val="225"/>
        </w:trPr>
        <w:tc>
          <w:tcPr>
            <w:tcW w:w="180" w:type="dxa"/>
            <w:tcBorders>
              <w:top w:val="nil"/>
              <w:left w:val="nil"/>
              <w:bottom w:val="nil"/>
              <w:right w:val="nil"/>
              <w:tl2br w:val="nil"/>
              <w:tr2bl w:val="nil"/>
            </w:tcBorders>
            <w:shd w:val="clear" w:color="auto" w:fill="FFFFFF"/>
            <w:tcMar>
              <w:left w:w="115" w:type="dxa"/>
              <w:right w:w="115" w:type="dxa"/>
            </w:tcMar>
            <w:vAlign w:val="center"/>
          </w:tcPr>
          <w:p w14:paraId="761ED1F9" w14:textId="77777777" w:rsidR="003F0EEA" w:rsidRPr="009719AA" w:rsidRDefault="003F0EEA">
            <w:pPr>
              <w:rPr>
                <w:rFonts w:ascii="Arial" w:eastAsia="Arial" w:hAnsi="Arial" w:cs="Arial"/>
                <w:snapToGrid w:val="0"/>
                <w:color w:val="000000"/>
                <w:sz w:val="16"/>
                <w:vertAlign w:val="superscript"/>
              </w:rPr>
            </w:pPr>
          </w:p>
        </w:tc>
        <w:tc>
          <w:tcPr>
            <w:tcW w:w="2880" w:type="dxa"/>
            <w:gridSpan w:val="2"/>
            <w:tcBorders>
              <w:top w:val="nil"/>
              <w:left w:val="nil"/>
              <w:bottom w:val="nil"/>
              <w:right w:val="nil"/>
              <w:tl2br w:val="nil"/>
              <w:tr2bl w:val="nil"/>
            </w:tcBorders>
            <w:shd w:val="clear" w:color="auto" w:fill="FFFFFF"/>
            <w:tcMar>
              <w:left w:w="115" w:type="dxa"/>
              <w:right w:w="115" w:type="dxa"/>
            </w:tcMar>
            <w:vAlign w:val="bottom"/>
          </w:tcPr>
          <w:p w14:paraId="176A2A7B" w14:textId="77777777" w:rsidR="003F0EEA" w:rsidRPr="009719AA" w:rsidRDefault="00FB7D0B">
            <w:pPr>
              <w:rPr>
                <w:rFonts w:ascii="Arial" w:eastAsia="Arial" w:hAnsi="Arial" w:cs="Arial"/>
                <w:snapToGrid w:val="0"/>
                <w:color w:val="000000"/>
                <w:sz w:val="16"/>
                <w:vertAlign w:val="superscript"/>
              </w:rPr>
            </w:pPr>
            <w:r w:rsidRPr="009719AA">
              <w:rPr>
                <w:rFonts w:ascii="Arial" w:eastAsia="Arial" w:hAnsi="Arial" w:cs="Arial"/>
                <w:b/>
                <w:snapToGrid w:val="0"/>
                <w:color w:val="000000"/>
                <w:sz w:val="16"/>
              </w:rPr>
              <w:t>depreciation expenses previously</w:t>
            </w:r>
          </w:p>
        </w:tc>
        <w:tc>
          <w:tcPr>
            <w:tcW w:w="990" w:type="dxa"/>
            <w:tcBorders>
              <w:top w:val="nil"/>
              <w:left w:val="nil"/>
              <w:bottom w:val="nil"/>
              <w:right w:val="nil"/>
              <w:tl2br w:val="nil"/>
              <w:tr2bl w:val="nil"/>
            </w:tcBorders>
            <w:shd w:val="clear" w:color="auto" w:fill="FFFFFF"/>
            <w:tcMar>
              <w:left w:w="115" w:type="dxa"/>
              <w:right w:w="115" w:type="dxa"/>
            </w:tcMar>
            <w:vAlign w:val="bottom"/>
          </w:tcPr>
          <w:p w14:paraId="5EEC6F3F" w14:textId="77777777" w:rsidR="003F0EEA" w:rsidRPr="009719AA" w:rsidRDefault="003F0EEA">
            <w:pPr>
              <w:rPr>
                <w:rFonts w:ascii="Arial" w:eastAsia="Arial" w:hAnsi="Arial" w:cs="Arial"/>
                <w:b/>
                <w:snapToGrid w:val="0"/>
                <w:color w:val="000000"/>
                <w:sz w:val="16"/>
                <w:vertAlign w:val="superscript"/>
              </w:rPr>
            </w:pPr>
          </w:p>
        </w:tc>
        <w:tc>
          <w:tcPr>
            <w:tcW w:w="990" w:type="dxa"/>
            <w:tcBorders>
              <w:top w:val="nil"/>
              <w:left w:val="nil"/>
              <w:bottom w:val="nil"/>
              <w:right w:val="nil"/>
              <w:tl2br w:val="nil"/>
              <w:tr2bl w:val="nil"/>
            </w:tcBorders>
            <w:shd w:val="clear" w:color="auto" w:fill="C0C0C0"/>
            <w:tcMar>
              <w:left w:w="115" w:type="dxa"/>
              <w:right w:w="115" w:type="dxa"/>
            </w:tcMar>
            <w:vAlign w:val="bottom"/>
          </w:tcPr>
          <w:p w14:paraId="2F74B76D" w14:textId="77777777" w:rsidR="003F0EEA" w:rsidRPr="009719AA" w:rsidRDefault="003F0EEA">
            <w:pPr>
              <w:jc w:val="right"/>
              <w:rPr>
                <w:rFonts w:ascii="Arial" w:eastAsia="Arial" w:hAnsi="Arial" w:cs="Arial"/>
                <w:b/>
                <w:snapToGrid w:val="0"/>
                <w:color w:val="000000"/>
                <w:sz w:val="16"/>
                <w:vertAlign w:val="superscript"/>
              </w:rPr>
            </w:pPr>
          </w:p>
        </w:tc>
        <w:tc>
          <w:tcPr>
            <w:tcW w:w="990" w:type="dxa"/>
            <w:tcBorders>
              <w:top w:val="nil"/>
              <w:left w:val="nil"/>
              <w:bottom w:val="nil"/>
              <w:right w:val="nil"/>
              <w:tl2br w:val="nil"/>
              <w:tr2bl w:val="nil"/>
            </w:tcBorders>
            <w:shd w:val="clear" w:color="auto" w:fill="FFFFFF"/>
            <w:tcMar>
              <w:left w:w="115" w:type="dxa"/>
              <w:right w:w="115" w:type="dxa"/>
            </w:tcMar>
            <w:vAlign w:val="bottom"/>
          </w:tcPr>
          <w:p w14:paraId="2BADADE3" w14:textId="77777777" w:rsidR="003F0EEA" w:rsidRPr="009719AA" w:rsidRDefault="003F0EEA">
            <w:pPr>
              <w:jc w:val="right"/>
              <w:rPr>
                <w:rFonts w:ascii="Arial" w:eastAsia="Arial" w:hAnsi="Arial" w:cs="Arial"/>
                <w:snapToGrid w:val="0"/>
                <w:color w:val="000000"/>
                <w:sz w:val="16"/>
                <w:vertAlign w:val="superscript"/>
              </w:rPr>
            </w:pPr>
          </w:p>
        </w:tc>
        <w:tc>
          <w:tcPr>
            <w:tcW w:w="990" w:type="dxa"/>
            <w:tcBorders>
              <w:top w:val="nil"/>
              <w:left w:val="nil"/>
              <w:bottom w:val="nil"/>
              <w:right w:val="nil"/>
              <w:tl2br w:val="nil"/>
              <w:tr2bl w:val="nil"/>
            </w:tcBorders>
            <w:shd w:val="clear" w:color="auto" w:fill="FFFFFF"/>
            <w:tcMar>
              <w:left w:w="115" w:type="dxa"/>
              <w:right w:w="115" w:type="dxa"/>
            </w:tcMar>
            <w:vAlign w:val="bottom"/>
          </w:tcPr>
          <w:p w14:paraId="40F49669" w14:textId="77777777" w:rsidR="003F0EEA" w:rsidRPr="009719AA" w:rsidRDefault="003F0EEA">
            <w:pPr>
              <w:jc w:val="right"/>
              <w:rPr>
                <w:rFonts w:ascii="Arial" w:eastAsia="Arial" w:hAnsi="Arial" w:cs="Arial"/>
                <w:snapToGrid w:val="0"/>
                <w:color w:val="000000"/>
                <w:sz w:val="16"/>
                <w:vertAlign w:val="superscript"/>
              </w:rPr>
            </w:pPr>
          </w:p>
        </w:tc>
        <w:tc>
          <w:tcPr>
            <w:tcW w:w="990" w:type="dxa"/>
            <w:tcBorders>
              <w:top w:val="nil"/>
              <w:left w:val="nil"/>
              <w:bottom w:val="nil"/>
              <w:right w:val="nil"/>
              <w:tl2br w:val="nil"/>
              <w:tr2bl w:val="nil"/>
            </w:tcBorders>
            <w:shd w:val="clear" w:color="auto" w:fill="FFFFFF"/>
            <w:tcMar>
              <w:left w:w="115" w:type="dxa"/>
              <w:right w:w="115" w:type="dxa"/>
            </w:tcMar>
            <w:vAlign w:val="bottom"/>
          </w:tcPr>
          <w:p w14:paraId="023B15C9" w14:textId="77777777" w:rsidR="003F0EEA" w:rsidRPr="009719AA" w:rsidRDefault="003F0EEA">
            <w:pPr>
              <w:jc w:val="right"/>
              <w:rPr>
                <w:rFonts w:ascii="Arial" w:eastAsia="Arial" w:hAnsi="Arial" w:cs="Arial"/>
                <w:snapToGrid w:val="0"/>
                <w:color w:val="000000"/>
                <w:sz w:val="16"/>
                <w:vertAlign w:val="superscript"/>
              </w:rPr>
            </w:pPr>
          </w:p>
        </w:tc>
      </w:tr>
      <w:tr w:rsidR="00355BFE" w14:paraId="4772A1C1" w14:textId="77777777" w:rsidTr="00355BFE">
        <w:trPr>
          <w:trHeight w:val="225"/>
        </w:trPr>
        <w:tc>
          <w:tcPr>
            <w:tcW w:w="180" w:type="dxa"/>
            <w:tcBorders>
              <w:top w:val="nil"/>
              <w:left w:val="nil"/>
              <w:bottom w:val="nil"/>
              <w:right w:val="nil"/>
              <w:tl2br w:val="nil"/>
              <w:tr2bl w:val="nil"/>
            </w:tcBorders>
            <w:shd w:val="clear" w:color="auto" w:fill="FFFFFF"/>
            <w:tcMar>
              <w:left w:w="115" w:type="dxa"/>
              <w:right w:w="115" w:type="dxa"/>
            </w:tcMar>
            <w:vAlign w:val="center"/>
          </w:tcPr>
          <w:p w14:paraId="5F96371C" w14:textId="77777777" w:rsidR="003F0EEA" w:rsidRPr="009719AA" w:rsidRDefault="003F0EEA">
            <w:pPr>
              <w:rPr>
                <w:rFonts w:ascii="Arial" w:eastAsia="Arial" w:hAnsi="Arial" w:cs="Arial"/>
                <w:snapToGrid w:val="0"/>
                <w:color w:val="000000"/>
                <w:sz w:val="16"/>
                <w:vertAlign w:val="superscript"/>
              </w:rPr>
            </w:pPr>
          </w:p>
        </w:tc>
        <w:tc>
          <w:tcPr>
            <w:tcW w:w="2880" w:type="dxa"/>
            <w:gridSpan w:val="2"/>
            <w:tcBorders>
              <w:top w:val="nil"/>
              <w:left w:val="nil"/>
              <w:bottom w:val="nil"/>
              <w:right w:val="nil"/>
              <w:tl2br w:val="nil"/>
              <w:tr2bl w:val="nil"/>
            </w:tcBorders>
            <w:shd w:val="clear" w:color="auto" w:fill="FFFFFF"/>
            <w:tcMar>
              <w:left w:w="115" w:type="dxa"/>
              <w:right w:w="115" w:type="dxa"/>
            </w:tcMar>
            <w:vAlign w:val="bottom"/>
          </w:tcPr>
          <w:p w14:paraId="20CD1B65" w14:textId="77777777" w:rsidR="003F0EEA" w:rsidRPr="009719AA" w:rsidRDefault="00FB7D0B">
            <w:pPr>
              <w:rPr>
                <w:rFonts w:ascii="Arial" w:eastAsia="Arial" w:hAnsi="Arial" w:cs="Arial"/>
                <w:b/>
                <w:snapToGrid w:val="0"/>
                <w:color w:val="000000"/>
                <w:sz w:val="16"/>
                <w:vertAlign w:val="superscript"/>
              </w:rPr>
            </w:pPr>
            <w:r w:rsidRPr="009719AA">
              <w:rPr>
                <w:rFonts w:ascii="Arial" w:eastAsia="Arial" w:hAnsi="Arial" w:cs="Arial"/>
                <w:b/>
                <w:snapToGrid w:val="0"/>
                <w:color w:val="000000"/>
                <w:sz w:val="16"/>
              </w:rPr>
              <w:t>funded through revenue appropriations</w:t>
            </w:r>
          </w:p>
        </w:tc>
        <w:tc>
          <w:tcPr>
            <w:tcW w:w="990" w:type="dxa"/>
            <w:tcBorders>
              <w:top w:val="nil"/>
              <w:left w:val="nil"/>
              <w:bottom w:val="nil"/>
              <w:right w:val="nil"/>
              <w:tl2br w:val="nil"/>
              <w:tr2bl w:val="nil"/>
            </w:tcBorders>
            <w:shd w:val="clear" w:color="auto" w:fill="FFFFFF"/>
            <w:tcMar>
              <w:left w:w="115" w:type="dxa"/>
              <w:right w:w="115" w:type="dxa"/>
            </w:tcMar>
            <w:vAlign w:val="bottom"/>
          </w:tcPr>
          <w:p w14:paraId="77A0AC95" w14:textId="77777777" w:rsidR="003F0EEA" w:rsidRPr="009719AA" w:rsidRDefault="00FB7D0B">
            <w:pPr>
              <w:jc w:val="right"/>
              <w:rPr>
                <w:rFonts w:ascii="Arial" w:eastAsia="Arial" w:hAnsi="Arial" w:cs="Arial"/>
                <w:b/>
                <w:snapToGrid w:val="0"/>
                <w:color w:val="000000"/>
                <w:sz w:val="16"/>
                <w:vertAlign w:val="superscript"/>
              </w:rPr>
            </w:pPr>
            <w:r w:rsidRPr="009719AA">
              <w:rPr>
                <w:rFonts w:ascii="Arial" w:eastAsia="Arial" w:hAnsi="Arial" w:cs="Arial"/>
                <w:b/>
                <w:snapToGrid w:val="0"/>
                <w:color w:val="000000"/>
                <w:sz w:val="16"/>
              </w:rPr>
              <w:t>17,413 </w:t>
            </w:r>
          </w:p>
        </w:tc>
        <w:tc>
          <w:tcPr>
            <w:tcW w:w="990" w:type="dxa"/>
            <w:tcBorders>
              <w:top w:val="nil"/>
              <w:left w:val="nil"/>
              <w:bottom w:val="nil"/>
              <w:right w:val="nil"/>
              <w:tl2br w:val="nil"/>
              <w:tr2bl w:val="nil"/>
            </w:tcBorders>
            <w:shd w:val="clear" w:color="auto" w:fill="C0C0C0"/>
            <w:tcMar>
              <w:left w:w="115" w:type="dxa"/>
              <w:right w:w="115" w:type="dxa"/>
            </w:tcMar>
            <w:vAlign w:val="bottom"/>
          </w:tcPr>
          <w:p w14:paraId="6A09C77D" w14:textId="77777777" w:rsidR="003F0EEA" w:rsidRPr="009719AA" w:rsidRDefault="00FB7D0B">
            <w:pPr>
              <w:jc w:val="right"/>
              <w:rPr>
                <w:rFonts w:ascii="Arial" w:eastAsia="Arial" w:hAnsi="Arial" w:cs="Arial"/>
                <w:b/>
                <w:snapToGrid w:val="0"/>
                <w:color w:val="000000"/>
                <w:sz w:val="16"/>
              </w:rPr>
            </w:pPr>
            <w:r w:rsidRPr="009719AA">
              <w:rPr>
                <w:rFonts w:ascii="Arial" w:eastAsia="Arial" w:hAnsi="Arial" w:cs="Arial"/>
                <w:b/>
                <w:snapToGrid w:val="0"/>
                <w:color w:val="000000"/>
                <w:sz w:val="16"/>
              </w:rPr>
              <w:t>223 </w:t>
            </w:r>
          </w:p>
        </w:tc>
        <w:tc>
          <w:tcPr>
            <w:tcW w:w="990" w:type="dxa"/>
            <w:tcBorders>
              <w:top w:val="nil"/>
              <w:left w:val="nil"/>
              <w:bottom w:val="nil"/>
              <w:right w:val="nil"/>
              <w:tl2br w:val="nil"/>
              <w:tr2bl w:val="nil"/>
            </w:tcBorders>
            <w:shd w:val="clear" w:color="auto" w:fill="FFFFFF"/>
            <w:tcMar>
              <w:left w:w="115" w:type="dxa"/>
              <w:right w:w="115" w:type="dxa"/>
            </w:tcMar>
            <w:vAlign w:val="bottom"/>
          </w:tcPr>
          <w:p w14:paraId="1436EDE4" w14:textId="77777777" w:rsidR="003F0EEA" w:rsidRPr="009719AA" w:rsidRDefault="00FB7D0B">
            <w:pPr>
              <w:jc w:val="right"/>
              <w:rPr>
                <w:rFonts w:ascii="Arial" w:eastAsia="Arial" w:hAnsi="Arial" w:cs="Arial"/>
                <w:b/>
                <w:snapToGrid w:val="0"/>
                <w:color w:val="000000"/>
                <w:sz w:val="16"/>
              </w:rPr>
            </w:pPr>
            <w:r w:rsidRPr="009719AA">
              <w:rPr>
                <w:rFonts w:ascii="Arial" w:eastAsia="Arial" w:hAnsi="Arial" w:cs="Arial"/>
                <w:b/>
                <w:snapToGrid w:val="0"/>
                <w:color w:val="000000"/>
                <w:sz w:val="16"/>
              </w:rPr>
              <w:t>245 </w:t>
            </w:r>
          </w:p>
        </w:tc>
        <w:tc>
          <w:tcPr>
            <w:tcW w:w="990" w:type="dxa"/>
            <w:tcBorders>
              <w:top w:val="nil"/>
              <w:left w:val="nil"/>
              <w:bottom w:val="nil"/>
              <w:right w:val="nil"/>
              <w:tl2br w:val="nil"/>
              <w:tr2bl w:val="nil"/>
            </w:tcBorders>
            <w:shd w:val="clear" w:color="auto" w:fill="FFFFFF"/>
            <w:tcMar>
              <w:left w:w="115" w:type="dxa"/>
              <w:right w:w="115" w:type="dxa"/>
            </w:tcMar>
            <w:vAlign w:val="bottom"/>
          </w:tcPr>
          <w:p w14:paraId="1A50F163" w14:textId="77777777" w:rsidR="003F0EEA" w:rsidRPr="009719AA" w:rsidRDefault="00FB7D0B">
            <w:pPr>
              <w:jc w:val="right"/>
              <w:rPr>
                <w:rFonts w:ascii="Arial" w:eastAsia="Arial" w:hAnsi="Arial" w:cs="Arial"/>
                <w:b/>
                <w:snapToGrid w:val="0"/>
                <w:color w:val="000000"/>
                <w:sz w:val="16"/>
              </w:rPr>
            </w:pPr>
            <w:r w:rsidRPr="009719AA">
              <w:rPr>
                <w:rFonts w:ascii="Arial" w:eastAsia="Arial" w:hAnsi="Arial" w:cs="Arial"/>
                <w:b/>
                <w:snapToGrid w:val="0"/>
                <w:color w:val="000000"/>
                <w:sz w:val="16"/>
              </w:rPr>
              <w:t>181 </w:t>
            </w:r>
          </w:p>
        </w:tc>
        <w:tc>
          <w:tcPr>
            <w:tcW w:w="990" w:type="dxa"/>
            <w:tcBorders>
              <w:top w:val="nil"/>
              <w:left w:val="nil"/>
              <w:bottom w:val="nil"/>
              <w:right w:val="nil"/>
              <w:tl2br w:val="nil"/>
              <w:tr2bl w:val="nil"/>
            </w:tcBorders>
            <w:shd w:val="clear" w:color="auto" w:fill="FFFFFF"/>
            <w:tcMar>
              <w:left w:w="115" w:type="dxa"/>
              <w:right w:w="115" w:type="dxa"/>
            </w:tcMar>
            <w:vAlign w:val="bottom"/>
          </w:tcPr>
          <w:p w14:paraId="2E49273A" w14:textId="77777777" w:rsidR="003F0EEA" w:rsidRPr="009719AA" w:rsidRDefault="00FB7D0B">
            <w:pPr>
              <w:jc w:val="right"/>
              <w:rPr>
                <w:rFonts w:ascii="Arial" w:eastAsia="Arial" w:hAnsi="Arial" w:cs="Arial"/>
                <w:b/>
                <w:snapToGrid w:val="0"/>
                <w:color w:val="000000"/>
                <w:sz w:val="16"/>
              </w:rPr>
            </w:pPr>
            <w:r w:rsidRPr="009719AA">
              <w:rPr>
                <w:rFonts w:ascii="Arial" w:eastAsia="Arial" w:hAnsi="Arial" w:cs="Arial"/>
                <w:b/>
                <w:snapToGrid w:val="0"/>
                <w:color w:val="000000"/>
                <w:sz w:val="16"/>
              </w:rPr>
              <w:t>201 </w:t>
            </w:r>
          </w:p>
        </w:tc>
      </w:tr>
      <w:tr w:rsidR="00724034" w14:paraId="1FF0A391" w14:textId="77777777">
        <w:trPr>
          <w:trHeight w:val="60"/>
        </w:trPr>
        <w:tc>
          <w:tcPr>
            <w:tcW w:w="180" w:type="dxa"/>
            <w:tcBorders>
              <w:top w:val="nil"/>
              <w:left w:val="nil"/>
              <w:bottom w:val="nil"/>
              <w:right w:val="nil"/>
              <w:tl2br w:val="nil"/>
              <w:tr2bl w:val="nil"/>
            </w:tcBorders>
            <w:shd w:val="clear" w:color="auto" w:fill="FFFFFF"/>
            <w:tcMar>
              <w:left w:w="115" w:type="dxa"/>
              <w:right w:w="115" w:type="dxa"/>
            </w:tcMar>
            <w:vAlign w:val="bottom"/>
          </w:tcPr>
          <w:p w14:paraId="13B4401C" w14:textId="77777777" w:rsidR="003F0EEA" w:rsidRPr="009719AA" w:rsidRDefault="003F0EEA">
            <w:pPr>
              <w:rPr>
                <w:rFonts w:ascii="Arial" w:eastAsia="Arial" w:hAnsi="Arial" w:cs="Arial"/>
                <w:b/>
                <w:snapToGrid w:val="0"/>
                <w:color w:val="000000"/>
                <w:sz w:val="16"/>
              </w:rPr>
            </w:pPr>
          </w:p>
        </w:tc>
        <w:tc>
          <w:tcPr>
            <w:tcW w:w="180" w:type="dxa"/>
            <w:tcBorders>
              <w:top w:val="nil"/>
              <w:left w:val="nil"/>
              <w:bottom w:val="nil"/>
              <w:right w:val="nil"/>
              <w:tl2br w:val="nil"/>
              <w:tr2bl w:val="nil"/>
            </w:tcBorders>
            <w:shd w:val="clear" w:color="auto" w:fill="FFFFFF"/>
            <w:tcMar>
              <w:left w:w="115" w:type="dxa"/>
              <w:right w:w="115" w:type="dxa"/>
            </w:tcMar>
            <w:vAlign w:val="bottom"/>
          </w:tcPr>
          <w:p w14:paraId="050C213B" w14:textId="77777777" w:rsidR="003F0EEA" w:rsidRPr="009719AA" w:rsidRDefault="003F0EEA">
            <w:pPr>
              <w:rPr>
                <w:rFonts w:ascii="Arial" w:eastAsia="Arial" w:hAnsi="Arial" w:cs="Arial"/>
                <w:snapToGrid w:val="0"/>
                <w:color w:val="000000"/>
                <w:sz w:val="16"/>
              </w:rPr>
            </w:pPr>
          </w:p>
        </w:tc>
        <w:tc>
          <w:tcPr>
            <w:tcW w:w="2700" w:type="dxa"/>
            <w:tcBorders>
              <w:top w:val="nil"/>
              <w:left w:val="nil"/>
              <w:bottom w:val="nil"/>
              <w:right w:val="nil"/>
              <w:tl2br w:val="nil"/>
              <w:tr2bl w:val="nil"/>
            </w:tcBorders>
            <w:shd w:val="clear" w:color="auto" w:fill="FFFFFF"/>
            <w:tcMar>
              <w:left w:w="115" w:type="dxa"/>
              <w:right w:w="115" w:type="dxa"/>
            </w:tcMar>
            <w:vAlign w:val="bottom"/>
          </w:tcPr>
          <w:p w14:paraId="3D638A9B" w14:textId="77777777" w:rsidR="003F0EEA" w:rsidRPr="009719AA" w:rsidRDefault="003F0EEA">
            <w:pPr>
              <w:rPr>
                <w:rFonts w:ascii="Arial" w:eastAsia="Arial" w:hAnsi="Arial" w:cs="Arial"/>
                <w:snapToGrid w:val="0"/>
                <w:color w:val="000000"/>
                <w:sz w:val="16"/>
              </w:rPr>
            </w:pPr>
          </w:p>
        </w:tc>
        <w:tc>
          <w:tcPr>
            <w:tcW w:w="990" w:type="dxa"/>
            <w:tcBorders>
              <w:top w:val="nil"/>
              <w:left w:val="nil"/>
              <w:bottom w:val="nil"/>
              <w:right w:val="nil"/>
              <w:tl2br w:val="nil"/>
              <w:tr2bl w:val="nil"/>
            </w:tcBorders>
            <w:shd w:val="clear" w:color="auto" w:fill="FFFFFF"/>
            <w:tcMar>
              <w:left w:w="115" w:type="dxa"/>
              <w:right w:w="115" w:type="dxa"/>
            </w:tcMar>
            <w:vAlign w:val="bottom"/>
          </w:tcPr>
          <w:p w14:paraId="2EC942A9" w14:textId="77777777" w:rsidR="003F0EEA" w:rsidRPr="009719AA" w:rsidRDefault="003F0EEA">
            <w:pPr>
              <w:jc w:val="right"/>
              <w:rPr>
                <w:rFonts w:ascii="Arial" w:eastAsia="Arial" w:hAnsi="Arial" w:cs="Arial"/>
                <w:snapToGrid w:val="0"/>
                <w:color w:val="000000"/>
                <w:sz w:val="16"/>
                <w:vertAlign w:val="superscript"/>
              </w:rPr>
            </w:pPr>
          </w:p>
        </w:tc>
        <w:tc>
          <w:tcPr>
            <w:tcW w:w="990" w:type="dxa"/>
            <w:tcBorders>
              <w:top w:val="nil"/>
              <w:left w:val="nil"/>
              <w:bottom w:val="nil"/>
              <w:right w:val="nil"/>
              <w:tl2br w:val="nil"/>
              <w:tr2bl w:val="nil"/>
            </w:tcBorders>
            <w:shd w:val="clear" w:color="auto" w:fill="C0C0C0"/>
            <w:tcMar>
              <w:left w:w="115" w:type="dxa"/>
              <w:right w:w="115" w:type="dxa"/>
            </w:tcMar>
            <w:vAlign w:val="bottom"/>
          </w:tcPr>
          <w:p w14:paraId="7A0F2BE0" w14:textId="77777777" w:rsidR="003F0EEA" w:rsidRPr="009719AA" w:rsidRDefault="003F0EEA">
            <w:pPr>
              <w:jc w:val="right"/>
              <w:rPr>
                <w:rFonts w:ascii="Arial" w:eastAsia="Arial" w:hAnsi="Arial" w:cs="Arial"/>
                <w:snapToGrid w:val="0"/>
                <w:color w:val="000000"/>
                <w:sz w:val="16"/>
                <w:vertAlign w:val="superscript"/>
              </w:rPr>
            </w:pPr>
          </w:p>
        </w:tc>
        <w:tc>
          <w:tcPr>
            <w:tcW w:w="990" w:type="dxa"/>
            <w:tcBorders>
              <w:top w:val="nil"/>
              <w:left w:val="nil"/>
              <w:bottom w:val="nil"/>
              <w:right w:val="nil"/>
              <w:tl2br w:val="nil"/>
              <w:tr2bl w:val="nil"/>
            </w:tcBorders>
            <w:shd w:val="clear" w:color="auto" w:fill="FFFFFF"/>
            <w:tcMar>
              <w:left w:w="115" w:type="dxa"/>
              <w:right w:w="115" w:type="dxa"/>
            </w:tcMar>
            <w:vAlign w:val="bottom"/>
          </w:tcPr>
          <w:p w14:paraId="33133274" w14:textId="77777777" w:rsidR="003F0EEA" w:rsidRPr="009719AA" w:rsidRDefault="003F0EEA">
            <w:pPr>
              <w:jc w:val="right"/>
              <w:rPr>
                <w:rFonts w:ascii="Arial" w:eastAsia="Arial" w:hAnsi="Arial" w:cs="Arial"/>
                <w:b/>
                <w:snapToGrid w:val="0"/>
                <w:color w:val="000000"/>
                <w:sz w:val="16"/>
                <w:vertAlign w:val="superscript"/>
              </w:rPr>
            </w:pPr>
          </w:p>
        </w:tc>
        <w:tc>
          <w:tcPr>
            <w:tcW w:w="990" w:type="dxa"/>
            <w:tcBorders>
              <w:top w:val="nil"/>
              <w:left w:val="nil"/>
              <w:bottom w:val="nil"/>
              <w:right w:val="nil"/>
              <w:tl2br w:val="nil"/>
              <w:tr2bl w:val="nil"/>
            </w:tcBorders>
            <w:shd w:val="clear" w:color="auto" w:fill="FFFFFF"/>
            <w:tcMar>
              <w:left w:w="115" w:type="dxa"/>
              <w:right w:w="115" w:type="dxa"/>
            </w:tcMar>
            <w:vAlign w:val="bottom"/>
          </w:tcPr>
          <w:p w14:paraId="02834C35" w14:textId="77777777" w:rsidR="003F0EEA" w:rsidRPr="009719AA" w:rsidRDefault="003F0EEA">
            <w:pPr>
              <w:jc w:val="right"/>
              <w:rPr>
                <w:rFonts w:ascii="Arial" w:eastAsia="Arial" w:hAnsi="Arial" w:cs="Arial"/>
                <w:snapToGrid w:val="0"/>
                <w:color w:val="000000"/>
                <w:sz w:val="16"/>
                <w:vertAlign w:val="superscript"/>
              </w:rPr>
            </w:pPr>
          </w:p>
        </w:tc>
        <w:tc>
          <w:tcPr>
            <w:tcW w:w="990" w:type="dxa"/>
            <w:tcBorders>
              <w:top w:val="nil"/>
              <w:left w:val="nil"/>
              <w:bottom w:val="nil"/>
              <w:right w:val="nil"/>
              <w:tl2br w:val="nil"/>
              <w:tr2bl w:val="nil"/>
            </w:tcBorders>
            <w:shd w:val="clear" w:color="auto" w:fill="FFFFFF"/>
            <w:tcMar>
              <w:left w:w="115" w:type="dxa"/>
              <w:right w:w="115" w:type="dxa"/>
            </w:tcMar>
            <w:vAlign w:val="bottom"/>
          </w:tcPr>
          <w:p w14:paraId="020F4C59" w14:textId="77777777" w:rsidR="003F0EEA" w:rsidRPr="009719AA" w:rsidRDefault="003F0EEA">
            <w:pPr>
              <w:jc w:val="right"/>
              <w:rPr>
                <w:rFonts w:ascii="Arial" w:eastAsia="Arial" w:hAnsi="Arial" w:cs="Arial"/>
                <w:snapToGrid w:val="0"/>
                <w:color w:val="000000"/>
                <w:sz w:val="16"/>
                <w:vertAlign w:val="superscript"/>
              </w:rPr>
            </w:pPr>
          </w:p>
        </w:tc>
      </w:tr>
      <w:tr w:rsidR="00355BFE" w14:paraId="766CABD5" w14:textId="77777777" w:rsidTr="00355BFE">
        <w:trPr>
          <w:trHeight w:val="225"/>
        </w:trPr>
        <w:tc>
          <w:tcPr>
            <w:tcW w:w="3060" w:type="dxa"/>
            <w:gridSpan w:val="3"/>
            <w:tcBorders>
              <w:top w:val="nil"/>
              <w:left w:val="nil"/>
              <w:bottom w:val="nil"/>
              <w:right w:val="nil"/>
              <w:tl2br w:val="nil"/>
              <w:tr2bl w:val="nil"/>
            </w:tcBorders>
            <w:shd w:val="clear" w:color="auto" w:fill="FFFFFF"/>
            <w:tcMar>
              <w:left w:w="115" w:type="dxa"/>
              <w:right w:w="115" w:type="dxa"/>
            </w:tcMar>
            <w:vAlign w:val="bottom"/>
          </w:tcPr>
          <w:p w14:paraId="6DBFA2BF" w14:textId="77777777" w:rsidR="003F0EEA" w:rsidRPr="009719AA" w:rsidRDefault="00FB7D0B">
            <w:pPr>
              <w:rPr>
                <w:rFonts w:ascii="Arial" w:eastAsia="Arial" w:hAnsi="Arial" w:cs="Arial"/>
                <w:snapToGrid w:val="0"/>
                <w:color w:val="000000"/>
                <w:sz w:val="16"/>
                <w:vertAlign w:val="superscript"/>
              </w:rPr>
            </w:pPr>
            <w:r w:rsidRPr="009719AA">
              <w:rPr>
                <w:rFonts w:ascii="Arial" w:eastAsia="Arial" w:hAnsi="Arial" w:cs="Arial"/>
                <w:snapToGrid w:val="0"/>
                <w:color w:val="000000"/>
                <w:sz w:val="16"/>
              </w:rPr>
              <w:t>plus heritage and cultural depreciation</w:t>
            </w:r>
          </w:p>
        </w:tc>
        <w:tc>
          <w:tcPr>
            <w:tcW w:w="990" w:type="dxa"/>
            <w:tcBorders>
              <w:top w:val="nil"/>
              <w:left w:val="nil"/>
              <w:bottom w:val="nil"/>
              <w:right w:val="nil"/>
              <w:tl2br w:val="nil"/>
              <w:tr2bl w:val="nil"/>
            </w:tcBorders>
            <w:shd w:val="clear" w:color="auto" w:fill="FFFFFF"/>
            <w:tcMar>
              <w:left w:w="115" w:type="dxa"/>
              <w:right w:w="115" w:type="dxa"/>
            </w:tcMar>
            <w:vAlign w:val="bottom"/>
          </w:tcPr>
          <w:p w14:paraId="6BD370F8" w14:textId="77777777" w:rsidR="003F0EEA" w:rsidRPr="009719AA" w:rsidRDefault="003F0EEA">
            <w:pPr>
              <w:jc w:val="right"/>
              <w:rPr>
                <w:rFonts w:ascii="Arial" w:eastAsia="Arial" w:hAnsi="Arial" w:cs="Arial"/>
                <w:snapToGrid w:val="0"/>
                <w:color w:val="000000"/>
                <w:sz w:val="16"/>
                <w:vertAlign w:val="superscript"/>
              </w:rPr>
            </w:pPr>
          </w:p>
        </w:tc>
        <w:tc>
          <w:tcPr>
            <w:tcW w:w="990" w:type="dxa"/>
            <w:tcBorders>
              <w:top w:val="nil"/>
              <w:left w:val="nil"/>
              <w:bottom w:val="nil"/>
              <w:right w:val="nil"/>
              <w:tl2br w:val="nil"/>
              <w:tr2bl w:val="nil"/>
            </w:tcBorders>
            <w:shd w:val="clear" w:color="auto" w:fill="C0C0C0"/>
            <w:tcMar>
              <w:left w:w="115" w:type="dxa"/>
              <w:right w:w="115" w:type="dxa"/>
            </w:tcMar>
            <w:vAlign w:val="bottom"/>
          </w:tcPr>
          <w:p w14:paraId="29A1D667" w14:textId="77777777" w:rsidR="003F0EEA" w:rsidRPr="009719AA" w:rsidRDefault="003F0EEA">
            <w:pPr>
              <w:jc w:val="right"/>
              <w:rPr>
                <w:rFonts w:ascii="Arial" w:eastAsia="Arial" w:hAnsi="Arial" w:cs="Arial"/>
                <w:snapToGrid w:val="0"/>
                <w:color w:val="000000"/>
                <w:sz w:val="16"/>
                <w:vertAlign w:val="superscript"/>
              </w:rPr>
            </w:pPr>
          </w:p>
        </w:tc>
        <w:tc>
          <w:tcPr>
            <w:tcW w:w="990" w:type="dxa"/>
            <w:tcBorders>
              <w:top w:val="nil"/>
              <w:left w:val="nil"/>
              <w:bottom w:val="nil"/>
              <w:right w:val="nil"/>
              <w:tl2br w:val="nil"/>
              <w:tr2bl w:val="nil"/>
            </w:tcBorders>
            <w:shd w:val="clear" w:color="auto" w:fill="FFFFFF"/>
            <w:tcMar>
              <w:left w:w="115" w:type="dxa"/>
              <w:right w:w="115" w:type="dxa"/>
            </w:tcMar>
            <w:vAlign w:val="bottom"/>
          </w:tcPr>
          <w:p w14:paraId="40AAEE15" w14:textId="77777777" w:rsidR="003F0EEA" w:rsidRPr="009719AA" w:rsidRDefault="003F0EEA">
            <w:pPr>
              <w:jc w:val="right"/>
              <w:rPr>
                <w:rFonts w:ascii="Arial" w:eastAsia="Arial" w:hAnsi="Arial" w:cs="Arial"/>
                <w:b/>
                <w:snapToGrid w:val="0"/>
                <w:color w:val="000000"/>
                <w:sz w:val="16"/>
                <w:vertAlign w:val="superscript"/>
              </w:rPr>
            </w:pPr>
          </w:p>
        </w:tc>
        <w:tc>
          <w:tcPr>
            <w:tcW w:w="990" w:type="dxa"/>
            <w:tcBorders>
              <w:top w:val="nil"/>
              <w:left w:val="nil"/>
              <w:bottom w:val="nil"/>
              <w:right w:val="nil"/>
              <w:tl2br w:val="nil"/>
              <w:tr2bl w:val="nil"/>
            </w:tcBorders>
            <w:shd w:val="clear" w:color="auto" w:fill="FFFFFF"/>
            <w:tcMar>
              <w:left w:w="115" w:type="dxa"/>
              <w:right w:w="115" w:type="dxa"/>
            </w:tcMar>
            <w:vAlign w:val="bottom"/>
          </w:tcPr>
          <w:p w14:paraId="787C6C19" w14:textId="77777777" w:rsidR="003F0EEA" w:rsidRPr="009719AA" w:rsidRDefault="003F0EEA">
            <w:pPr>
              <w:jc w:val="right"/>
              <w:rPr>
                <w:rFonts w:ascii="Arial" w:eastAsia="Arial" w:hAnsi="Arial" w:cs="Arial"/>
                <w:snapToGrid w:val="0"/>
                <w:color w:val="000000"/>
                <w:sz w:val="16"/>
                <w:vertAlign w:val="superscript"/>
              </w:rPr>
            </w:pPr>
          </w:p>
        </w:tc>
        <w:tc>
          <w:tcPr>
            <w:tcW w:w="990" w:type="dxa"/>
            <w:tcBorders>
              <w:top w:val="nil"/>
              <w:left w:val="nil"/>
              <w:bottom w:val="nil"/>
              <w:right w:val="nil"/>
              <w:tl2br w:val="nil"/>
              <w:tr2bl w:val="nil"/>
            </w:tcBorders>
            <w:shd w:val="clear" w:color="auto" w:fill="FFFFFF"/>
            <w:tcMar>
              <w:left w:w="115" w:type="dxa"/>
              <w:right w:w="115" w:type="dxa"/>
            </w:tcMar>
            <w:vAlign w:val="bottom"/>
          </w:tcPr>
          <w:p w14:paraId="584BFE6E" w14:textId="77777777" w:rsidR="003F0EEA" w:rsidRPr="009719AA" w:rsidRDefault="003F0EEA">
            <w:pPr>
              <w:jc w:val="right"/>
              <w:rPr>
                <w:rFonts w:ascii="Arial" w:eastAsia="Arial" w:hAnsi="Arial" w:cs="Arial"/>
                <w:snapToGrid w:val="0"/>
                <w:color w:val="000000"/>
                <w:sz w:val="16"/>
                <w:vertAlign w:val="superscript"/>
              </w:rPr>
            </w:pPr>
          </w:p>
        </w:tc>
      </w:tr>
      <w:tr w:rsidR="00355BFE" w14:paraId="73FC7FD2" w14:textId="77777777" w:rsidTr="00355BFE">
        <w:trPr>
          <w:trHeight w:val="225"/>
        </w:trPr>
        <w:tc>
          <w:tcPr>
            <w:tcW w:w="180" w:type="dxa"/>
            <w:tcBorders>
              <w:top w:val="nil"/>
              <w:left w:val="nil"/>
              <w:bottom w:val="nil"/>
              <w:right w:val="nil"/>
              <w:tl2br w:val="nil"/>
              <w:tr2bl w:val="nil"/>
            </w:tcBorders>
            <w:shd w:val="clear" w:color="auto" w:fill="FFFFFF"/>
            <w:tcMar>
              <w:left w:w="115" w:type="dxa"/>
              <w:right w:w="115" w:type="dxa"/>
            </w:tcMar>
            <w:vAlign w:val="bottom"/>
          </w:tcPr>
          <w:p w14:paraId="4208FD78" w14:textId="77777777" w:rsidR="003F0EEA" w:rsidRPr="009719AA" w:rsidRDefault="003F0EEA">
            <w:pPr>
              <w:rPr>
                <w:rFonts w:ascii="Arial" w:eastAsia="Arial" w:hAnsi="Arial" w:cs="Arial"/>
                <w:snapToGrid w:val="0"/>
                <w:color w:val="000000"/>
                <w:sz w:val="16"/>
                <w:vertAlign w:val="superscript"/>
              </w:rPr>
            </w:pPr>
          </w:p>
        </w:tc>
        <w:tc>
          <w:tcPr>
            <w:tcW w:w="2880" w:type="dxa"/>
            <w:gridSpan w:val="2"/>
            <w:tcBorders>
              <w:top w:val="nil"/>
              <w:left w:val="nil"/>
              <w:bottom w:val="nil"/>
              <w:right w:val="nil"/>
              <w:tl2br w:val="nil"/>
              <w:tr2bl w:val="nil"/>
            </w:tcBorders>
            <w:shd w:val="clear" w:color="auto" w:fill="FFFFFF"/>
            <w:tcMar>
              <w:left w:w="115" w:type="dxa"/>
              <w:right w:w="115" w:type="dxa"/>
            </w:tcMar>
            <w:vAlign w:val="bottom"/>
          </w:tcPr>
          <w:p w14:paraId="6DF0BE6E" w14:textId="77777777" w:rsidR="003F0EEA" w:rsidRPr="009719AA" w:rsidRDefault="00FB7D0B">
            <w:pPr>
              <w:rPr>
                <w:rFonts w:ascii="Arial" w:eastAsia="Arial" w:hAnsi="Arial" w:cs="Arial"/>
                <w:snapToGrid w:val="0"/>
                <w:color w:val="000000"/>
                <w:sz w:val="16"/>
                <w:vertAlign w:val="superscript"/>
              </w:rPr>
            </w:pPr>
            <w:r w:rsidRPr="009719AA">
              <w:rPr>
                <w:rFonts w:ascii="Arial" w:eastAsia="Arial" w:hAnsi="Arial" w:cs="Arial"/>
                <w:snapToGrid w:val="0"/>
                <w:color w:val="000000"/>
                <w:sz w:val="16"/>
              </w:rPr>
              <w:t>expenses previously funded through</w:t>
            </w:r>
          </w:p>
        </w:tc>
        <w:tc>
          <w:tcPr>
            <w:tcW w:w="990" w:type="dxa"/>
            <w:tcBorders>
              <w:top w:val="nil"/>
              <w:left w:val="nil"/>
              <w:bottom w:val="nil"/>
              <w:right w:val="nil"/>
              <w:tl2br w:val="nil"/>
              <w:tr2bl w:val="nil"/>
            </w:tcBorders>
            <w:shd w:val="clear" w:color="auto" w:fill="FFFFFF"/>
            <w:tcMar>
              <w:left w:w="115" w:type="dxa"/>
              <w:right w:w="115" w:type="dxa"/>
            </w:tcMar>
            <w:vAlign w:val="bottom"/>
          </w:tcPr>
          <w:p w14:paraId="47C679FF" w14:textId="77777777" w:rsidR="003F0EEA" w:rsidRPr="009719AA" w:rsidRDefault="003F0EEA">
            <w:pPr>
              <w:jc w:val="right"/>
              <w:rPr>
                <w:rFonts w:ascii="Arial" w:eastAsia="Arial" w:hAnsi="Arial" w:cs="Arial"/>
                <w:snapToGrid w:val="0"/>
                <w:color w:val="000000"/>
                <w:sz w:val="16"/>
                <w:vertAlign w:val="superscript"/>
              </w:rPr>
            </w:pPr>
          </w:p>
        </w:tc>
        <w:tc>
          <w:tcPr>
            <w:tcW w:w="990" w:type="dxa"/>
            <w:tcBorders>
              <w:top w:val="nil"/>
              <w:left w:val="nil"/>
              <w:bottom w:val="nil"/>
              <w:right w:val="nil"/>
              <w:tl2br w:val="nil"/>
              <w:tr2bl w:val="nil"/>
            </w:tcBorders>
            <w:shd w:val="clear" w:color="auto" w:fill="C0C0C0"/>
            <w:tcMar>
              <w:left w:w="115" w:type="dxa"/>
              <w:right w:w="115" w:type="dxa"/>
            </w:tcMar>
            <w:vAlign w:val="bottom"/>
          </w:tcPr>
          <w:p w14:paraId="2443052E" w14:textId="77777777" w:rsidR="003F0EEA" w:rsidRPr="009719AA" w:rsidRDefault="003F0EEA">
            <w:pPr>
              <w:jc w:val="right"/>
              <w:rPr>
                <w:rFonts w:ascii="Arial" w:eastAsia="Arial" w:hAnsi="Arial" w:cs="Arial"/>
                <w:snapToGrid w:val="0"/>
                <w:color w:val="000000"/>
                <w:sz w:val="16"/>
                <w:vertAlign w:val="superscript"/>
              </w:rPr>
            </w:pPr>
          </w:p>
        </w:tc>
        <w:tc>
          <w:tcPr>
            <w:tcW w:w="990" w:type="dxa"/>
            <w:tcBorders>
              <w:top w:val="nil"/>
              <w:left w:val="nil"/>
              <w:bottom w:val="nil"/>
              <w:right w:val="nil"/>
              <w:tl2br w:val="nil"/>
              <w:tr2bl w:val="nil"/>
            </w:tcBorders>
            <w:shd w:val="clear" w:color="auto" w:fill="FFFFFF"/>
            <w:tcMar>
              <w:left w:w="115" w:type="dxa"/>
              <w:right w:w="115" w:type="dxa"/>
            </w:tcMar>
            <w:vAlign w:val="bottom"/>
          </w:tcPr>
          <w:p w14:paraId="3A2A6B83" w14:textId="77777777" w:rsidR="003F0EEA" w:rsidRPr="009719AA" w:rsidRDefault="003F0EEA">
            <w:pPr>
              <w:jc w:val="right"/>
              <w:rPr>
                <w:rFonts w:ascii="Arial" w:eastAsia="Arial" w:hAnsi="Arial" w:cs="Arial"/>
                <w:b/>
                <w:snapToGrid w:val="0"/>
                <w:color w:val="000000"/>
                <w:sz w:val="16"/>
                <w:vertAlign w:val="superscript"/>
              </w:rPr>
            </w:pPr>
          </w:p>
        </w:tc>
        <w:tc>
          <w:tcPr>
            <w:tcW w:w="990" w:type="dxa"/>
            <w:tcBorders>
              <w:top w:val="nil"/>
              <w:left w:val="nil"/>
              <w:bottom w:val="nil"/>
              <w:right w:val="nil"/>
              <w:tl2br w:val="nil"/>
              <w:tr2bl w:val="nil"/>
            </w:tcBorders>
            <w:shd w:val="clear" w:color="auto" w:fill="FFFFFF"/>
            <w:tcMar>
              <w:left w:w="115" w:type="dxa"/>
              <w:right w:w="115" w:type="dxa"/>
            </w:tcMar>
            <w:vAlign w:val="bottom"/>
          </w:tcPr>
          <w:p w14:paraId="086B441B" w14:textId="77777777" w:rsidR="003F0EEA" w:rsidRPr="009719AA" w:rsidRDefault="003F0EEA">
            <w:pPr>
              <w:jc w:val="right"/>
              <w:rPr>
                <w:rFonts w:ascii="Arial" w:eastAsia="Arial" w:hAnsi="Arial" w:cs="Arial"/>
                <w:snapToGrid w:val="0"/>
                <w:color w:val="000000"/>
                <w:sz w:val="16"/>
                <w:vertAlign w:val="superscript"/>
              </w:rPr>
            </w:pPr>
          </w:p>
        </w:tc>
        <w:tc>
          <w:tcPr>
            <w:tcW w:w="990" w:type="dxa"/>
            <w:tcBorders>
              <w:top w:val="nil"/>
              <w:left w:val="nil"/>
              <w:bottom w:val="nil"/>
              <w:right w:val="nil"/>
              <w:tl2br w:val="nil"/>
              <w:tr2bl w:val="nil"/>
            </w:tcBorders>
            <w:shd w:val="clear" w:color="auto" w:fill="FFFFFF"/>
            <w:tcMar>
              <w:left w:w="115" w:type="dxa"/>
              <w:right w:w="115" w:type="dxa"/>
            </w:tcMar>
            <w:vAlign w:val="bottom"/>
          </w:tcPr>
          <w:p w14:paraId="1620662D" w14:textId="77777777" w:rsidR="003F0EEA" w:rsidRPr="009719AA" w:rsidRDefault="003F0EEA">
            <w:pPr>
              <w:jc w:val="right"/>
              <w:rPr>
                <w:rFonts w:ascii="Arial" w:eastAsia="Arial" w:hAnsi="Arial" w:cs="Arial"/>
                <w:snapToGrid w:val="0"/>
                <w:color w:val="000000"/>
                <w:sz w:val="16"/>
                <w:vertAlign w:val="superscript"/>
              </w:rPr>
            </w:pPr>
          </w:p>
        </w:tc>
      </w:tr>
      <w:tr w:rsidR="00355BFE" w14:paraId="5F35B06E" w14:textId="77777777" w:rsidTr="00355BFE">
        <w:trPr>
          <w:trHeight w:val="225"/>
        </w:trPr>
        <w:tc>
          <w:tcPr>
            <w:tcW w:w="180" w:type="dxa"/>
            <w:tcBorders>
              <w:top w:val="nil"/>
              <w:left w:val="nil"/>
              <w:bottom w:val="nil"/>
              <w:right w:val="nil"/>
              <w:tl2br w:val="nil"/>
              <w:tr2bl w:val="nil"/>
            </w:tcBorders>
            <w:shd w:val="clear" w:color="auto" w:fill="FFFFFF"/>
            <w:tcMar>
              <w:left w:w="115" w:type="dxa"/>
              <w:right w:w="115" w:type="dxa"/>
            </w:tcMar>
            <w:vAlign w:val="bottom"/>
          </w:tcPr>
          <w:p w14:paraId="38C09353" w14:textId="77777777" w:rsidR="003F0EEA" w:rsidRPr="009719AA" w:rsidRDefault="003F0EEA">
            <w:pPr>
              <w:rPr>
                <w:rFonts w:ascii="Arial" w:eastAsia="Arial" w:hAnsi="Arial" w:cs="Arial"/>
                <w:snapToGrid w:val="0"/>
                <w:color w:val="000000"/>
                <w:sz w:val="16"/>
                <w:vertAlign w:val="superscript"/>
              </w:rPr>
            </w:pPr>
          </w:p>
        </w:tc>
        <w:tc>
          <w:tcPr>
            <w:tcW w:w="2880" w:type="dxa"/>
            <w:gridSpan w:val="2"/>
            <w:tcBorders>
              <w:top w:val="nil"/>
              <w:left w:val="nil"/>
              <w:bottom w:val="nil"/>
              <w:right w:val="nil"/>
              <w:tl2br w:val="nil"/>
              <w:tr2bl w:val="nil"/>
            </w:tcBorders>
            <w:shd w:val="clear" w:color="auto" w:fill="FFFFFF"/>
            <w:tcMar>
              <w:left w:w="115" w:type="dxa"/>
              <w:right w:w="115" w:type="dxa"/>
            </w:tcMar>
            <w:vAlign w:val="bottom"/>
          </w:tcPr>
          <w:p w14:paraId="4EE0B0B1" w14:textId="77777777" w:rsidR="003F0EEA" w:rsidRPr="009719AA" w:rsidRDefault="00FB7D0B">
            <w:pPr>
              <w:rPr>
                <w:rFonts w:ascii="Arial" w:eastAsia="Arial" w:hAnsi="Arial" w:cs="Arial"/>
                <w:snapToGrid w:val="0"/>
                <w:color w:val="000000"/>
                <w:sz w:val="16"/>
                <w:vertAlign w:val="superscript"/>
              </w:rPr>
            </w:pPr>
            <w:r w:rsidRPr="009719AA">
              <w:rPr>
                <w:rFonts w:ascii="Arial" w:eastAsia="Arial" w:hAnsi="Arial" w:cs="Arial"/>
                <w:snapToGrid w:val="0"/>
                <w:color w:val="000000"/>
                <w:sz w:val="16"/>
              </w:rPr>
              <w:t>revenue appropriations</w:t>
            </w:r>
            <w:r w:rsidRPr="009719AA">
              <w:rPr>
                <w:rFonts w:ascii="Arial" w:eastAsia="Arial" w:hAnsi="Arial" w:cs="Arial"/>
                <w:snapToGrid w:val="0"/>
                <w:color w:val="000000"/>
                <w:sz w:val="16"/>
                <w:vertAlign w:val="superscript"/>
              </w:rPr>
              <w:t>1 </w:t>
            </w:r>
          </w:p>
        </w:tc>
        <w:tc>
          <w:tcPr>
            <w:tcW w:w="990" w:type="dxa"/>
            <w:tcBorders>
              <w:top w:val="nil"/>
              <w:left w:val="nil"/>
              <w:bottom w:val="nil"/>
              <w:right w:val="nil"/>
              <w:tl2br w:val="nil"/>
              <w:tr2bl w:val="nil"/>
            </w:tcBorders>
            <w:shd w:val="clear" w:color="auto" w:fill="FFFFFF"/>
            <w:tcMar>
              <w:left w:w="115" w:type="dxa"/>
              <w:right w:w="115" w:type="dxa"/>
            </w:tcMar>
            <w:vAlign w:val="bottom"/>
          </w:tcPr>
          <w:p w14:paraId="1CE75277" w14:textId="77777777" w:rsidR="003F0EEA" w:rsidRPr="009719AA" w:rsidRDefault="00FB7D0B">
            <w:pPr>
              <w:jc w:val="right"/>
              <w:rPr>
                <w:rFonts w:ascii="Arial" w:eastAsia="Arial" w:hAnsi="Arial" w:cs="Arial"/>
                <w:snapToGrid w:val="0"/>
                <w:color w:val="000000"/>
                <w:sz w:val="16"/>
                <w:vertAlign w:val="superscript"/>
              </w:rPr>
            </w:pPr>
            <w:r w:rsidRPr="009719AA">
              <w:rPr>
                <w:rFonts w:ascii="Arial" w:eastAsia="Arial" w:hAnsi="Arial" w:cs="Arial"/>
                <w:snapToGrid w:val="0"/>
                <w:color w:val="000000"/>
                <w:sz w:val="16"/>
              </w:rPr>
              <w:t>10,215 </w:t>
            </w:r>
          </w:p>
        </w:tc>
        <w:tc>
          <w:tcPr>
            <w:tcW w:w="990" w:type="dxa"/>
            <w:tcBorders>
              <w:top w:val="nil"/>
              <w:left w:val="nil"/>
              <w:bottom w:val="nil"/>
              <w:right w:val="nil"/>
              <w:tl2br w:val="nil"/>
              <w:tr2bl w:val="nil"/>
            </w:tcBorders>
            <w:shd w:val="clear" w:color="auto" w:fill="C0C0C0"/>
            <w:tcMar>
              <w:left w:w="115" w:type="dxa"/>
              <w:right w:w="115" w:type="dxa"/>
            </w:tcMar>
            <w:vAlign w:val="bottom"/>
          </w:tcPr>
          <w:p w14:paraId="715362BD" w14:textId="77777777" w:rsidR="003F0EEA" w:rsidRPr="009719AA" w:rsidRDefault="00FB7D0B">
            <w:pPr>
              <w:jc w:val="right"/>
              <w:rPr>
                <w:rFonts w:ascii="Arial" w:eastAsia="Arial" w:hAnsi="Arial" w:cs="Arial"/>
                <w:snapToGrid w:val="0"/>
                <w:color w:val="000000"/>
                <w:sz w:val="16"/>
              </w:rPr>
            </w:pPr>
            <w:r w:rsidRPr="009719AA">
              <w:rPr>
                <w:rFonts w:ascii="Arial" w:eastAsia="Arial" w:hAnsi="Arial" w:cs="Arial"/>
                <w:snapToGrid w:val="0"/>
                <w:color w:val="000000"/>
                <w:sz w:val="16"/>
              </w:rPr>
              <w:t>10,348 </w:t>
            </w:r>
          </w:p>
        </w:tc>
        <w:tc>
          <w:tcPr>
            <w:tcW w:w="990" w:type="dxa"/>
            <w:tcBorders>
              <w:top w:val="nil"/>
              <w:left w:val="nil"/>
              <w:bottom w:val="nil"/>
              <w:right w:val="nil"/>
              <w:tl2br w:val="nil"/>
              <w:tr2bl w:val="nil"/>
            </w:tcBorders>
            <w:shd w:val="clear" w:color="auto" w:fill="FFFFFF"/>
            <w:tcMar>
              <w:left w:w="115" w:type="dxa"/>
              <w:right w:w="115" w:type="dxa"/>
            </w:tcMar>
            <w:vAlign w:val="bottom"/>
          </w:tcPr>
          <w:p w14:paraId="26FFDFC0" w14:textId="77777777" w:rsidR="003F0EEA" w:rsidRPr="009719AA" w:rsidRDefault="00FB7D0B">
            <w:pPr>
              <w:jc w:val="right"/>
              <w:rPr>
                <w:rFonts w:ascii="Arial" w:eastAsia="Arial" w:hAnsi="Arial" w:cs="Arial"/>
                <w:snapToGrid w:val="0"/>
                <w:color w:val="000000"/>
                <w:sz w:val="16"/>
              </w:rPr>
            </w:pPr>
            <w:r w:rsidRPr="009719AA">
              <w:rPr>
                <w:rFonts w:ascii="Arial" w:eastAsia="Arial" w:hAnsi="Arial" w:cs="Arial"/>
                <w:snapToGrid w:val="0"/>
                <w:color w:val="000000"/>
                <w:sz w:val="16"/>
              </w:rPr>
              <w:t>10,431 </w:t>
            </w:r>
          </w:p>
        </w:tc>
        <w:tc>
          <w:tcPr>
            <w:tcW w:w="990" w:type="dxa"/>
            <w:tcBorders>
              <w:top w:val="nil"/>
              <w:left w:val="nil"/>
              <w:bottom w:val="nil"/>
              <w:right w:val="nil"/>
              <w:tl2br w:val="nil"/>
              <w:tr2bl w:val="nil"/>
            </w:tcBorders>
            <w:shd w:val="clear" w:color="auto" w:fill="FFFFFF"/>
            <w:tcMar>
              <w:left w:w="115" w:type="dxa"/>
              <w:right w:w="115" w:type="dxa"/>
            </w:tcMar>
            <w:vAlign w:val="bottom"/>
          </w:tcPr>
          <w:p w14:paraId="4137A297" w14:textId="77777777" w:rsidR="003F0EEA" w:rsidRPr="009719AA" w:rsidRDefault="00FB7D0B">
            <w:pPr>
              <w:jc w:val="right"/>
              <w:rPr>
                <w:rFonts w:ascii="Arial" w:eastAsia="Arial" w:hAnsi="Arial" w:cs="Arial"/>
                <w:snapToGrid w:val="0"/>
                <w:color w:val="000000"/>
                <w:sz w:val="16"/>
              </w:rPr>
            </w:pPr>
            <w:r w:rsidRPr="009719AA">
              <w:rPr>
                <w:rFonts w:ascii="Arial" w:eastAsia="Arial" w:hAnsi="Arial" w:cs="Arial"/>
                <w:snapToGrid w:val="0"/>
                <w:color w:val="000000"/>
                <w:sz w:val="16"/>
              </w:rPr>
              <w:t>9,881 </w:t>
            </w:r>
          </w:p>
        </w:tc>
        <w:tc>
          <w:tcPr>
            <w:tcW w:w="990" w:type="dxa"/>
            <w:tcBorders>
              <w:top w:val="nil"/>
              <w:left w:val="nil"/>
              <w:bottom w:val="nil"/>
              <w:right w:val="nil"/>
              <w:tl2br w:val="nil"/>
              <w:tr2bl w:val="nil"/>
            </w:tcBorders>
            <w:shd w:val="clear" w:color="auto" w:fill="FFFFFF"/>
            <w:tcMar>
              <w:left w:w="115" w:type="dxa"/>
              <w:right w:w="115" w:type="dxa"/>
            </w:tcMar>
            <w:vAlign w:val="bottom"/>
          </w:tcPr>
          <w:p w14:paraId="0E654C88" w14:textId="77777777" w:rsidR="003F0EEA" w:rsidRPr="009719AA" w:rsidRDefault="00FB7D0B">
            <w:pPr>
              <w:jc w:val="right"/>
              <w:rPr>
                <w:rFonts w:ascii="Arial" w:eastAsia="Arial" w:hAnsi="Arial" w:cs="Arial"/>
                <w:snapToGrid w:val="0"/>
                <w:color w:val="000000"/>
                <w:sz w:val="16"/>
              </w:rPr>
            </w:pPr>
            <w:r w:rsidRPr="009719AA">
              <w:rPr>
                <w:rFonts w:ascii="Arial" w:eastAsia="Arial" w:hAnsi="Arial" w:cs="Arial"/>
                <w:snapToGrid w:val="0"/>
                <w:color w:val="000000"/>
                <w:sz w:val="16"/>
              </w:rPr>
              <w:t>9,316 </w:t>
            </w:r>
          </w:p>
        </w:tc>
      </w:tr>
      <w:tr w:rsidR="00724034" w14:paraId="510BEF8B" w14:textId="77777777">
        <w:trPr>
          <w:trHeight w:val="60"/>
        </w:trPr>
        <w:tc>
          <w:tcPr>
            <w:tcW w:w="180" w:type="dxa"/>
            <w:tcBorders>
              <w:top w:val="nil"/>
              <w:left w:val="nil"/>
              <w:bottom w:val="nil"/>
              <w:right w:val="nil"/>
              <w:tl2br w:val="nil"/>
              <w:tr2bl w:val="nil"/>
            </w:tcBorders>
            <w:shd w:val="clear" w:color="auto" w:fill="FFFFFF"/>
            <w:tcMar>
              <w:left w:w="115" w:type="dxa"/>
              <w:right w:w="115" w:type="dxa"/>
            </w:tcMar>
            <w:vAlign w:val="bottom"/>
          </w:tcPr>
          <w:p w14:paraId="29BE608D" w14:textId="77777777" w:rsidR="003F0EEA" w:rsidRPr="009719AA" w:rsidRDefault="003F0EEA">
            <w:pPr>
              <w:rPr>
                <w:rFonts w:ascii="Arial" w:eastAsia="Arial" w:hAnsi="Arial" w:cs="Arial"/>
                <w:snapToGrid w:val="0"/>
                <w:color w:val="000000"/>
                <w:sz w:val="16"/>
              </w:rPr>
            </w:pPr>
          </w:p>
        </w:tc>
        <w:tc>
          <w:tcPr>
            <w:tcW w:w="180" w:type="dxa"/>
            <w:tcBorders>
              <w:top w:val="nil"/>
              <w:left w:val="nil"/>
              <w:bottom w:val="nil"/>
              <w:right w:val="nil"/>
              <w:tl2br w:val="nil"/>
              <w:tr2bl w:val="nil"/>
            </w:tcBorders>
            <w:shd w:val="clear" w:color="auto" w:fill="FFFFFF"/>
            <w:tcMar>
              <w:left w:w="115" w:type="dxa"/>
              <w:right w:w="115" w:type="dxa"/>
            </w:tcMar>
            <w:vAlign w:val="bottom"/>
          </w:tcPr>
          <w:p w14:paraId="078ACCFB" w14:textId="77777777" w:rsidR="003F0EEA" w:rsidRPr="009719AA" w:rsidRDefault="003F0EEA">
            <w:pPr>
              <w:rPr>
                <w:rFonts w:ascii="Arial" w:eastAsia="Arial" w:hAnsi="Arial" w:cs="Arial"/>
                <w:snapToGrid w:val="0"/>
                <w:color w:val="000000"/>
                <w:sz w:val="16"/>
              </w:rPr>
            </w:pPr>
          </w:p>
        </w:tc>
        <w:tc>
          <w:tcPr>
            <w:tcW w:w="2700" w:type="dxa"/>
            <w:tcBorders>
              <w:top w:val="nil"/>
              <w:left w:val="nil"/>
              <w:bottom w:val="nil"/>
              <w:right w:val="nil"/>
              <w:tl2br w:val="nil"/>
              <w:tr2bl w:val="nil"/>
            </w:tcBorders>
            <w:shd w:val="clear" w:color="auto" w:fill="FFFFFF"/>
            <w:tcMar>
              <w:left w:w="115" w:type="dxa"/>
              <w:right w:w="115" w:type="dxa"/>
            </w:tcMar>
            <w:vAlign w:val="bottom"/>
          </w:tcPr>
          <w:p w14:paraId="72E65ECB" w14:textId="77777777" w:rsidR="003F0EEA" w:rsidRPr="009719AA" w:rsidRDefault="003F0EEA">
            <w:pPr>
              <w:rPr>
                <w:rFonts w:ascii="Arial" w:eastAsia="Arial" w:hAnsi="Arial" w:cs="Arial"/>
                <w:snapToGrid w:val="0"/>
                <w:color w:val="000000"/>
                <w:sz w:val="16"/>
              </w:rPr>
            </w:pPr>
          </w:p>
        </w:tc>
        <w:tc>
          <w:tcPr>
            <w:tcW w:w="990" w:type="dxa"/>
            <w:tcBorders>
              <w:top w:val="nil"/>
              <w:left w:val="nil"/>
              <w:bottom w:val="nil"/>
              <w:right w:val="nil"/>
              <w:tl2br w:val="nil"/>
              <w:tr2bl w:val="nil"/>
            </w:tcBorders>
            <w:shd w:val="clear" w:color="auto" w:fill="FFFFFF"/>
            <w:tcMar>
              <w:left w:w="115" w:type="dxa"/>
              <w:right w:w="115" w:type="dxa"/>
            </w:tcMar>
            <w:vAlign w:val="bottom"/>
          </w:tcPr>
          <w:p w14:paraId="0ACF98FF" w14:textId="77777777" w:rsidR="003F0EEA" w:rsidRPr="009719AA" w:rsidRDefault="003F0EEA">
            <w:pPr>
              <w:jc w:val="right"/>
              <w:rPr>
                <w:rFonts w:ascii="Arial" w:eastAsia="Arial" w:hAnsi="Arial" w:cs="Arial"/>
                <w:snapToGrid w:val="0"/>
                <w:color w:val="000000"/>
                <w:sz w:val="16"/>
                <w:vertAlign w:val="superscript"/>
              </w:rPr>
            </w:pPr>
          </w:p>
        </w:tc>
        <w:tc>
          <w:tcPr>
            <w:tcW w:w="990" w:type="dxa"/>
            <w:tcBorders>
              <w:top w:val="nil"/>
              <w:left w:val="nil"/>
              <w:bottom w:val="nil"/>
              <w:right w:val="nil"/>
              <w:tl2br w:val="nil"/>
              <w:tr2bl w:val="nil"/>
            </w:tcBorders>
            <w:shd w:val="clear" w:color="auto" w:fill="C0C0C0"/>
            <w:tcMar>
              <w:left w:w="115" w:type="dxa"/>
              <w:right w:w="115" w:type="dxa"/>
            </w:tcMar>
            <w:vAlign w:val="bottom"/>
          </w:tcPr>
          <w:p w14:paraId="592D1CDE" w14:textId="77777777" w:rsidR="003F0EEA" w:rsidRPr="009719AA" w:rsidRDefault="003F0EEA">
            <w:pPr>
              <w:jc w:val="right"/>
              <w:rPr>
                <w:snapToGrid w:val="0"/>
                <w:color w:val="000000"/>
                <w:vertAlign w:val="superscript"/>
              </w:rPr>
            </w:pPr>
          </w:p>
        </w:tc>
        <w:tc>
          <w:tcPr>
            <w:tcW w:w="990" w:type="dxa"/>
            <w:tcBorders>
              <w:top w:val="nil"/>
              <w:left w:val="nil"/>
              <w:bottom w:val="nil"/>
              <w:right w:val="nil"/>
              <w:tl2br w:val="nil"/>
              <w:tr2bl w:val="nil"/>
            </w:tcBorders>
            <w:shd w:val="clear" w:color="auto" w:fill="FFFFFF"/>
            <w:tcMar>
              <w:left w:w="115" w:type="dxa"/>
              <w:right w:w="115" w:type="dxa"/>
            </w:tcMar>
            <w:vAlign w:val="bottom"/>
          </w:tcPr>
          <w:p w14:paraId="32B94D43" w14:textId="77777777" w:rsidR="003F0EEA" w:rsidRPr="009719AA" w:rsidRDefault="003F0EEA">
            <w:pPr>
              <w:jc w:val="right"/>
              <w:rPr>
                <w:snapToGrid w:val="0"/>
                <w:color w:val="000000"/>
                <w:vertAlign w:val="superscript"/>
              </w:rPr>
            </w:pPr>
          </w:p>
        </w:tc>
        <w:tc>
          <w:tcPr>
            <w:tcW w:w="990" w:type="dxa"/>
            <w:tcBorders>
              <w:top w:val="nil"/>
              <w:left w:val="nil"/>
              <w:bottom w:val="nil"/>
              <w:right w:val="nil"/>
              <w:tl2br w:val="nil"/>
              <w:tr2bl w:val="nil"/>
            </w:tcBorders>
            <w:shd w:val="clear" w:color="auto" w:fill="FFFFFF"/>
            <w:tcMar>
              <w:left w:w="115" w:type="dxa"/>
              <w:right w:w="115" w:type="dxa"/>
            </w:tcMar>
            <w:vAlign w:val="bottom"/>
          </w:tcPr>
          <w:p w14:paraId="09D5CA4D" w14:textId="77777777" w:rsidR="003F0EEA" w:rsidRPr="009719AA" w:rsidRDefault="003F0EEA">
            <w:pPr>
              <w:jc w:val="right"/>
              <w:rPr>
                <w:snapToGrid w:val="0"/>
                <w:color w:val="000000"/>
                <w:vertAlign w:val="superscript"/>
              </w:rPr>
            </w:pPr>
          </w:p>
        </w:tc>
        <w:tc>
          <w:tcPr>
            <w:tcW w:w="990" w:type="dxa"/>
            <w:tcBorders>
              <w:top w:val="nil"/>
              <w:left w:val="nil"/>
              <w:bottom w:val="nil"/>
              <w:right w:val="nil"/>
              <w:tl2br w:val="nil"/>
              <w:tr2bl w:val="nil"/>
            </w:tcBorders>
            <w:shd w:val="clear" w:color="auto" w:fill="FFFFFF"/>
            <w:tcMar>
              <w:left w:w="115" w:type="dxa"/>
              <w:right w:w="115" w:type="dxa"/>
            </w:tcMar>
            <w:vAlign w:val="bottom"/>
          </w:tcPr>
          <w:p w14:paraId="69BE9FF8" w14:textId="77777777" w:rsidR="003F0EEA" w:rsidRPr="009719AA" w:rsidRDefault="003F0EEA">
            <w:pPr>
              <w:jc w:val="right"/>
              <w:rPr>
                <w:snapToGrid w:val="0"/>
                <w:color w:val="000000"/>
                <w:vertAlign w:val="superscript"/>
              </w:rPr>
            </w:pPr>
          </w:p>
        </w:tc>
      </w:tr>
      <w:tr w:rsidR="00355BFE" w14:paraId="4BFB5C55" w14:textId="77777777" w:rsidTr="00355BFE">
        <w:trPr>
          <w:trHeight w:val="225"/>
        </w:trPr>
        <w:tc>
          <w:tcPr>
            <w:tcW w:w="3060" w:type="dxa"/>
            <w:gridSpan w:val="3"/>
            <w:vMerge w:val="restart"/>
            <w:tcBorders>
              <w:top w:val="nil"/>
              <w:left w:val="nil"/>
              <w:bottom w:val="nil"/>
              <w:right w:val="nil"/>
              <w:tl2br w:val="nil"/>
              <w:tr2bl w:val="nil"/>
            </w:tcBorders>
            <w:shd w:val="clear" w:color="auto" w:fill="FFFFFF"/>
            <w:tcMar>
              <w:left w:w="115" w:type="dxa"/>
              <w:right w:w="115" w:type="dxa"/>
            </w:tcMar>
            <w:vAlign w:val="bottom"/>
          </w:tcPr>
          <w:p w14:paraId="51F18A67" w14:textId="77777777" w:rsidR="003F0EEA" w:rsidRPr="009719AA" w:rsidRDefault="00FB7D0B">
            <w:pPr>
              <w:rPr>
                <w:snapToGrid w:val="0"/>
                <w:color w:val="000000"/>
                <w:vertAlign w:val="superscript"/>
              </w:rPr>
            </w:pPr>
            <w:r w:rsidRPr="009719AA">
              <w:rPr>
                <w:rFonts w:ascii="Arial" w:eastAsia="Arial" w:hAnsi="Arial" w:cs="Arial"/>
                <w:b/>
                <w:snapToGrid w:val="0"/>
                <w:color w:val="000000"/>
                <w:sz w:val="16"/>
              </w:rPr>
              <w:t xml:space="preserve">Total Comprehensive Income </w:t>
            </w:r>
          </w:p>
        </w:tc>
        <w:tc>
          <w:tcPr>
            <w:tcW w:w="990" w:type="dxa"/>
            <w:tcBorders>
              <w:top w:val="nil"/>
              <w:left w:val="nil"/>
              <w:bottom w:val="nil"/>
              <w:right w:val="nil"/>
              <w:tl2br w:val="nil"/>
              <w:tr2bl w:val="nil"/>
            </w:tcBorders>
            <w:shd w:val="clear" w:color="auto" w:fill="FFFFFF"/>
            <w:tcMar>
              <w:left w:w="115" w:type="dxa"/>
              <w:right w:w="115" w:type="dxa"/>
            </w:tcMar>
            <w:vAlign w:val="bottom"/>
          </w:tcPr>
          <w:p w14:paraId="3A576244" w14:textId="77777777" w:rsidR="003F0EEA" w:rsidRPr="009719AA" w:rsidRDefault="003F0EEA">
            <w:pPr>
              <w:jc w:val="right"/>
              <w:rPr>
                <w:rFonts w:ascii="Arial" w:eastAsia="Arial" w:hAnsi="Arial" w:cs="Arial"/>
                <w:b/>
                <w:snapToGrid w:val="0"/>
                <w:color w:val="000000"/>
                <w:sz w:val="16"/>
                <w:vertAlign w:val="superscript"/>
              </w:rPr>
            </w:pPr>
          </w:p>
        </w:tc>
        <w:tc>
          <w:tcPr>
            <w:tcW w:w="990" w:type="dxa"/>
            <w:tcBorders>
              <w:top w:val="nil"/>
              <w:left w:val="nil"/>
              <w:bottom w:val="nil"/>
              <w:right w:val="nil"/>
              <w:tl2br w:val="nil"/>
              <w:tr2bl w:val="nil"/>
            </w:tcBorders>
            <w:shd w:val="clear" w:color="auto" w:fill="C0C0C0"/>
            <w:tcMar>
              <w:left w:w="115" w:type="dxa"/>
              <w:right w:w="115" w:type="dxa"/>
            </w:tcMar>
            <w:vAlign w:val="bottom"/>
          </w:tcPr>
          <w:p w14:paraId="4561A42B" w14:textId="77777777" w:rsidR="003F0EEA" w:rsidRPr="009719AA" w:rsidRDefault="003F0EEA">
            <w:pPr>
              <w:jc w:val="right"/>
              <w:rPr>
                <w:rFonts w:ascii="Arial" w:eastAsia="Arial" w:hAnsi="Arial" w:cs="Arial"/>
                <w:snapToGrid w:val="0"/>
                <w:color w:val="000000"/>
                <w:sz w:val="16"/>
                <w:vertAlign w:val="superscript"/>
              </w:rPr>
            </w:pPr>
          </w:p>
        </w:tc>
        <w:tc>
          <w:tcPr>
            <w:tcW w:w="990" w:type="dxa"/>
            <w:tcBorders>
              <w:top w:val="nil"/>
              <w:left w:val="nil"/>
              <w:bottom w:val="nil"/>
              <w:right w:val="nil"/>
              <w:tl2br w:val="nil"/>
              <w:tr2bl w:val="nil"/>
            </w:tcBorders>
            <w:shd w:val="clear" w:color="auto" w:fill="FFFFFF"/>
            <w:tcMar>
              <w:left w:w="115" w:type="dxa"/>
              <w:right w:w="115" w:type="dxa"/>
            </w:tcMar>
            <w:vAlign w:val="bottom"/>
          </w:tcPr>
          <w:p w14:paraId="4DE3DAD0" w14:textId="77777777" w:rsidR="003F0EEA" w:rsidRPr="009719AA" w:rsidRDefault="003F0EEA">
            <w:pPr>
              <w:jc w:val="right"/>
              <w:rPr>
                <w:rFonts w:ascii="Arial" w:eastAsia="Arial" w:hAnsi="Arial" w:cs="Arial"/>
                <w:snapToGrid w:val="0"/>
                <w:color w:val="000000"/>
                <w:sz w:val="16"/>
                <w:vertAlign w:val="superscript"/>
              </w:rPr>
            </w:pPr>
          </w:p>
        </w:tc>
        <w:tc>
          <w:tcPr>
            <w:tcW w:w="990" w:type="dxa"/>
            <w:tcBorders>
              <w:top w:val="nil"/>
              <w:left w:val="nil"/>
              <w:bottom w:val="nil"/>
              <w:right w:val="nil"/>
              <w:tl2br w:val="nil"/>
              <w:tr2bl w:val="nil"/>
            </w:tcBorders>
            <w:shd w:val="clear" w:color="auto" w:fill="FFFFFF"/>
            <w:tcMar>
              <w:left w:w="115" w:type="dxa"/>
              <w:right w:w="115" w:type="dxa"/>
            </w:tcMar>
            <w:vAlign w:val="bottom"/>
          </w:tcPr>
          <w:p w14:paraId="394E4B8F" w14:textId="77777777" w:rsidR="003F0EEA" w:rsidRPr="009719AA" w:rsidRDefault="003F0EEA">
            <w:pPr>
              <w:jc w:val="right"/>
              <w:rPr>
                <w:rFonts w:ascii="Arial" w:eastAsia="Arial" w:hAnsi="Arial" w:cs="Arial"/>
                <w:snapToGrid w:val="0"/>
                <w:color w:val="000000"/>
                <w:sz w:val="16"/>
                <w:vertAlign w:val="superscript"/>
              </w:rPr>
            </w:pPr>
          </w:p>
        </w:tc>
        <w:tc>
          <w:tcPr>
            <w:tcW w:w="990" w:type="dxa"/>
            <w:tcBorders>
              <w:top w:val="nil"/>
              <w:left w:val="nil"/>
              <w:bottom w:val="nil"/>
              <w:right w:val="nil"/>
              <w:tl2br w:val="nil"/>
              <w:tr2bl w:val="nil"/>
            </w:tcBorders>
            <w:shd w:val="clear" w:color="auto" w:fill="FFFFFF"/>
            <w:tcMar>
              <w:left w:w="115" w:type="dxa"/>
              <w:right w:w="115" w:type="dxa"/>
            </w:tcMar>
            <w:vAlign w:val="bottom"/>
          </w:tcPr>
          <w:p w14:paraId="0BB5794E" w14:textId="77777777" w:rsidR="003F0EEA" w:rsidRPr="009719AA" w:rsidRDefault="003F0EEA">
            <w:pPr>
              <w:jc w:val="right"/>
              <w:rPr>
                <w:rFonts w:ascii="Arial" w:eastAsia="Arial" w:hAnsi="Arial" w:cs="Arial"/>
                <w:snapToGrid w:val="0"/>
                <w:color w:val="000000"/>
                <w:sz w:val="16"/>
                <w:vertAlign w:val="superscript"/>
              </w:rPr>
            </w:pPr>
          </w:p>
        </w:tc>
      </w:tr>
      <w:tr w:rsidR="00355BFE" w14:paraId="25D77CDC" w14:textId="77777777" w:rsidTr="00355BFE">
        <w:trPr>
          <w:trHeight w:val="225"/>
        </w:trPr>
        <w:tc>
          <w:tcPr>
            <w:tcW w:w="3060" w:type="dxa"/>
            <w:gridSpan w:val="3"/>
            <w:tcBorders>
              <w:top w:val="nil"/>
              <w:left w:val="nil"/>
              <w:bottom w:val="nil"/>
              <w:right w:val="nil"/>
              <w:tl2br w:val="nil"/>
              <w:tr2bl w:val="nil"/>
            </w:tcBorders>
            <w:shd w:val="clear" w:color="auto" w:fill="FFFFFF"/>
            <w:tcMar>
              <w:left w:w="115" w:type="dxa"/>
              <w:right w:w="115" w:type="dxa"/>
            </w:tcMar>
            <w:vAlign w:val="bottom"/>
          </w:tcPr>
          <w:p w14:paraId="05120F29" w14:textId="77777777" w:rsidR="003F0EEA" w:rsidRPr="009719AA" w:rsidRDefault="00FB7D0B">
            <w:pPr>
              <w:rPr>
                <w:rFonts w:ascii="Arial" w:eastAsia="Arial" w:hAnsi="Arial" w:cs="Arial"/>
                <w:snapToGrid w:val="0"/>
                <w:color w:val="000000"/>
                <w:sz w:val="16"/>
                <w:vertAlign w:val="superscript"/>
              </w:rPr>
            </w:pPr>
            <w:r w:rsidRPr="009719AA">
              <w:rPr>
                <w:rFonts w:ascii="Arial" w:eastAsia="Arial" w:hAnsi="Arial" w:cs="Arial"/>
                <w:b/>
                <w:snapToGrid w:val="0"/>
                <w:color w:val="000000"/>
                <w:sz w:val="16"/>
              </w:rPr>
              <w:t>(loss) - as per the Statement of</w:t>
            </w:r>
          </w:p>
        </w:tc>
        <w:tc>
          <w:tcPr>
            <w:tcW w:w="990" w:type="dxa"/>
            <w:tcBorders>
              <w:top w:val="nil"/>
              <w:left w:val="nil"/>
              <w:bottom w:val="nil"/>
              <w:right w:val="nil"/>
              <w:tl2br w:val="nil"/>
              <w:tr2bl w:val="nil"/>
            </w:tcBorders>
            <w:shd w:val="clear" w:color="auto" w:fill="FFFFFF"/>
            <w:tcMar>
              <w:left w:w="115" w:type="dxa"/>
              <w:right w:w="115" w:type="dxa"/>
            </w:tcMar>
            <w:vAlign w:val="bottom"/>
          </w:tcPr>
          <w:p w14:paraId="20DC490D" w14:textId="77777777" w:rsidR="003F0EEA" w:rsidRPr="009719AA" w:rsidRDefault="003F0EEA">
            <w:pPr>
              <w:jc w:val="right"/>
              <w:rPr>
                <w:rFonts w:ascii="Arial" w:eastAsia="Arial" w:hAnsi="Arial" w:cs="Arial"/>
                <w:b/>
                <w:snapToGrid w:val="0"/>
                <w:color w:val="000000"/>
                <w:sz w:val="16"/>
                <w:vertAlign w:val="superscript"/>
              </w:rPr>
            </w:pPr>
          </w:p>
        </w:tc>
        <w:tc>
          <w:tcPr>
            <w:tcW w:w="990" w:type="dxa"/>
            <w:tcBorders>
              <w:top w:val="nil"/>
              <w:left w:val="nil"/>
              <w:bottom w:val="nil"/>
              <w:right w:val="nil"/>
              <w:tl2br w:val="nil"/>
              <w:tr2bl w:val="nil"/>
            </w:tcBorders>
            <w:shd w:val="clear" w:color="auto" w:fill="C0C0C0"/>
            <w:tcMar>
              <w:left w:w="115" w:type="dxa"/>
              <w:right w:w="115" w:type="dxa"/>
            </w:tcMar>
            <w:vAlign w:val="bottom"/>
          </w:tcPr>
          <w:p w14:paraId="3DEB3131" w14:textId="77777777" w:rsidR="003F0EEA" w:rsidRPr="009719AA" w:rsidRDefault="003F0EEA">
            <w:pPr>
              <w:jc w:val="right"/>
              <w:rPr>
                <w:rFonts w:ascii="Arial" w:eastAsia="Arial" w:hAnsi="Arial" w:cs="Arial"/>
                <w:snapToGrid w:val="0"/>
                <w:color w:val="000000"/>
                <w:sz w:val="16"/>
                <w:vertAlign w:val="superscript"/>
              </w:rPr>
            </w:pPr>
          </w:p>
        </w:tc>
        <w:tc>
          <w:tcPr>
            <w:tcW w:w="990" w:type="dxa"/>
            <w:tcBorders>
              <w:top w:val="nil"/>
              <w:left w:val="nil"/>
              <w:bottom w:val="nil"/>
              <w:right w:val="nil"/>
              <w:tl2br w:val="nil"/>
              <w:tr2bl w:val="nil"/>
            </w:tcBorders>
            <w:shd w:val="clear" w:color="auto" w:fill="FFFFFF"/>
            <w:tcMar>
              <w:left w:w="115" w:type="dxa"/>
              <w:right w:w="115" w:type="dxa"/>
            </w:tcMar>
            <w:vAlign w:val="bottom"/>
          </w:tcPr>
          <w:p w14:paraId="02CB0ADB" w14:textId="77777777" w:rsidR="003F0EEA" w:rsidRPr="009719AA" w:rsidRDefault="003F0EEA">
            <w:pPr>
              <w:jc w:val="right"/>
              <w:rPr>
                <w:rFonts w:ascii="Arial" w:eastAsia="Arial" w:hAnsi="Arial" w:cs="Arial"/>
                <w:snapToGrid w:val="0"/>
                <w:color w:val="000000"/>
                <w:sz w:val="16"/>
                <w:vertAlign w:val="superscript"/>
              </w:rPr>
            </w:pPr>
          </w:p>
        </w:tc>
        <w:tc>
          <w:tcPr>
            <w:tcW w:w="990" w:type="dxa"/>
            <w:tcBorders>
              <w:top w:val="nil"/>
              <w:left w:val="nil"/>
              <w:bottom w:val="nil"/>
              <w:right w:val="nil"/>
              <w:tl2br w:val="nil"/>
              <w:tr2bl w:val="nil"/>
            </w:tcBorders>
            <w:shd w:val="clear" w:color="auto" w:fill="FFFFFF"/>
            <w:tcMar>
              <w:left w:w="115" w:type="dxa"/>
              <w:right w:w="115" w:type="dxa"/>
            </w:tcMar>
            <w:vAlign w:val="bottom"/>
          </w:tcPr>
          <w:p w14:paraId="426C362C" w14:textId="77777777" w:rsidR="003F0EEA" w:rsidRPr="009719AA" w:rsidRDefault="003F0EEA">
            <w:pPr>
              <w:jc w:val="right"/>
              <w:rPr>
                <w:rFonts w:ascii="Arial" w:eastAsia="Arial" w:hAnsi="Arial" w:cs="Arial"/>
                <w:snapToGrid w:val="0"/>
                <w:color w:val="000000"/>
                <w:sz w:val="16"/>
                <w:vertAlign w:val="superscript"/>
              </w:rPr>
            </w:pPr>
          </w:p>
        </w:tc>
        <w:tc>
          <w:tcPr>
            <w:tcW w:w="990" w:type="dxa"/>
            <w:tcBorders>
              <w:top w:val="nil"/>
              <w:left w:val="nil"/>
              <w:bottom w:val="nil"/>
              <w:right w:val="nil"/>
              <w:tl2br w:val="nil"/>
              <w:tr2bl w:val="nil"/>
            </w:tcBorders>
            <w:shd w:val="clear" w:color="auto" w:fill="FFFFFF"/>
            <w:tcMar>
              <w:left w:w="115" w:type="dxa"/>
              <w:right w:w="115" w:type="dxa"/>
            </w:tcMar>
            <w:vAlign w:val="bottom"/>
          </w:tcPr>
          <w:p w14:paraId="4C66FBD2" w14:textId="77777777" w:rsidR="003F0EEA" w:rsidRPr="009719AA" w:rsidRDefault="003F0EEA">
            <w:pPr>
              <w:jc w:val="right"/>
              <w:rPr>
                <w:rFonts w:ascii="Arial" w:eastAsia="Arial" w:hAnsi="Arial" w:cs="Arial"/>
                <w:snapToGrid w:val="0"/>
                <w:color w:val="000000"/>
                <w:sz w:val="16"/>
                <w:vertAlign w:val="superscript"/>
              </w:rPr>
            </w:pPr>
          </w:p>
        </w:tc>
      </w:tr>
      <w:tr w:rsidR="00355BFE" w14:paraId="18797380" w14:textId="77777777" w:rsidTr="00355BFE">
        <w:trPr>
          <w:trHeight w:val="225"/>
        </w:trPr>
        <w:tc>
          <w:tcPr>
            <w:tcW w:w="3060" w:type="dxa"/>
            <w:gridSpan w:val="3"/>
            <w:tcBorders>
              <w:top w:val="nil"/>
              <w:left w:val="nil"/>
              <w:bottom w:val="single" w:sz="6" w:space="0" w:color="000000"/>
              <w:right w:val="nil"/>
              <w:tl2br w:val="nil"/>
              <w:tr2bl w:val="nil"/>
            </w:tcBorders>
            <w:shd w:val="clear" w:color="auto" w:fill="FFFFFF"/>
            <w:tcMar>
              <w:left w:w="115" w:type="dxa"/>
              <w:right w:w="115" w:type="dxa"/>
            </w:tcMar>
            <w:vAlign w:val="bottom"/>
          </w:tcPr>
          <w:p w14:paraId="56DDC808" w14:textId="77777777" w:rsidR="003F0EEA" w:rsidRPr="009719AA" w:rsidRDefault="00FB7D0B">
            <w:pPr>
              <w:rPr>
                <w:rFonts w:ascii="Arial" w:eastAsia="Arial" w:hAnsi="Arial" w:cs="Arial"/>
                <w:snapToGrid w:val="0"/>
                <w:color w:val="000000"/>
                <w:sz w:val="16"/>
                <w:vertAlign w:val="superscript"/>
              </w:rPr>
            </w:pPr>
            <w:r w:rsidRPr="009719AA">
              <w:rPr>
                <w:rFonts w:ascii="Arial" w:eastAsia="Arial" w:hAnsi="Arial" w:cs="Arial"/>
                <w:b/>
                <w:snapToGrid w:val="0"/>
                <w:color w:val="000000"/>
                <w:sz w:val="16"/>
              </w:rPr>
              <w:t>Comprehensive Income</w:t>
            </w:r>
          </w:p>
        </w:tc>
        <w:tc>
          <w:tcPr>
            <w:tcW w:w="990"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154FB905" w14:textId="77777777" w:rsidR="003F0EEA" w:rsidRPr="009719AA" w:rsidRDefault="00FB7D0B">
            <w:pPr>
              <w:jc w:val="right"/>
              <w:rPr>
                <w:rFonts w:ascii="Arial" w:eastAsia="Arial" w:hAnsi="Arial" w:cs="Arial"/>
                <w:b/>
                <w:snapToGrid w:val="0"/>
                <w:color w:val="000000"/>
                <w:sz w:val="16"/>
                <w:vertAlign w:val="superscript"/>
              </w:rPr>
            </w:pPr>
            <w:r w:rsidRPr="009719AA">
              <w:rPr>
                <w:rFonts w:ascii="Arial" w:eastAsia="Arial" w:hAnsi="Arial" w:cs="Arial"/>
                <w:b/>
                <w:snapToGrid w:val="0"/>
                <w:color w:val="000000"/>
                <w:sz w:val="16"/>
              </w:rPr>
              <w:t xml:space="preserve"> 7,198 </w:t>
            </w:r>
          </w:p>
        </w:tc>
        <w:tc>
          <w:tcPr>
            <w:tcW w:w="990" w:type="dxa"/>
            <w:tcBorders>
              <w:top w:val="nil"/>
              <w:left w:val="nil"/>
              <w:bottom w:val="single" w:sz="6" w:space="0" w:color="000000"/>
              <w:right w:val="nil"/>
              <w:tl2br w:val="nil"/>
              <w:tr2bl w:val="nil"/>
            </w:tcBorders>
            <w:shd w:val="clear" w:color="auto" w:fill="C0C0C0"/>
            <w:tcMar>
              <w:left w:w="115" w:type="dxa"/>
              <w:right w:w="115" w:type="dxa"/>
            </w:tcMar>
            <w:vAlign w:val="bottom"/>
          </w:tcPr>
          <w:p w14:paraId="2E79ADB0" w14:textId="77777777" w:rsidR="003F0EEA" w:rsidRPr="009719AA" w:rsidRDefault="00FB7D0B">
            <w:pPr>
              <w:jc w:val="right"/>
              <w:rPr>
                <w:rFonts w:ascii="Arial" w:eastAsia="Arial" w:hAnsi="Arial" w:cs="Arial"/>
                <w:b/>
                <w:snapToGrid w:val="0"/>
                <w:color w:val="000000"/>
                <w:sz w:val="16"/>
              </w:rPr>
            </w:pPr>
            <w:r w:rsidRPr="009719AA">
              <w:rPr>
                <w:rFonts w:ascii="Arial" w:eastAsia="Arial" w:hAnsi="Arial" w:cs="Arial"/>
                <w:b/>
                <w:snapToGrid w:val="0"/>
                <w:color w:val="000000"/>
                <w:sz w:val="16"/>
              </w:rPr>
              <w:t>(10,125)</w:t>
            </w:r>
          </w:p>
        </w:tc>
        <w:tc>
          <w:tcPr>
            <w:tcW w:w="990"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0D090D9C" w14:textId="77777777" w:rsidR="003F0EEA" w:rsidRPr="009719AA" w:rsidRDefault="00FB7D0B">
            <w:pPr>
              <w:jc w:val="right"/>
              <w:rPr>
                <w:rFonts w:ascii="Arial" w:eastAsia="Arial" w:hAnsi="Arial" w:cs="Arial"/>
                <w:b/>
                <w:snapToGrid w:val="0"/>
                <w:color w:val="000000"/>
                <w:sz w:val="16"/>
              </w:rPr>
            </w:pPr>
            <w:r w:rsidRPr="009719AA">
              <w:rPr>
                <w:rFonts w:ascii="Arial" w:eastAsia="Arial" w:hAnsi="Arial" w:cs="Arial"/>
                <w:b/>
                <w:snapToGrid w:val="0"/>
                <w:color w:val="000000"/>
                <w:sz w:val="16"/>
              </w:rPr>
              <w:t>(10,186)</w:t>
            </w:r>
          </w:p>
        </w:tc>
        <w:tc>
          <w:tcPr>
            <w:tcW w:w="990"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2F5BD6E4" w14:textId="77777777" w:rsidR="003F0EEA" w:rsidRPr="009719AA" w:rsidRDefault="00FB7D0B">
            <w:pPr>
              <w:jc w:val="right"/>
              <w:rPr>
                <w:rFonts w:ascii="Arial" w:eastAsia="Arial" w:hAnsi="Arial" w:cs="Arial"/>
                <w:b/>
                <w:snapToGrid w:val="0"/>
                <w:color w:val="000000"/>
                <w:sz w:val="16"/>
              </w:rPr>
            </w:pPr>
            <w:r w:rsidRPr="009719AA">
              <w:rPr>
                <w:rFonts w:ascii="Arial" w:eastAsia="Arial" w:hAnsi="Arial" w:cs="Arial"/>
                <w:b/>
                <w:snapToGrid w:val="0"/>
                <w:color w:val="000000"/>
                <w:sz w:val="16"/>
              </w:rPr>
              <w:t>(9,700)</w:t>
            </w:r>
          </w:p>
        </w:tc>
        <w:tc>
          <w:tcPr>
            <w:tcW w:w="990"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714FABA9" w14:textId="77777777" w:rsidR="003F0EEA" w:rsidRPr="009719AA" w:rsidRDefault="00FB7D0B">
            <w:pPr>
              <w:jc w:val="right"/>
              <w:rPr>
                <w:rFonts w:ascii="Arial" w:eastAsia="Arial" w:hAnsi="Arial" w:cs="Arial"/>
                <w:b/>
                <w:snapToGrid w:val="0"/>
                <w:color w:val="000000"/>
                <w:sz w:val="16"/>
              </w:rPr>
            </w:pPr>
            <w:r w:rsidRPr="009719AA">
              <w:rPr>
                <w:rFonts w:ascii="Arial" w:eastAsia="Arial" w:hAnsi="Arial" w:cs="Arial"/>
                <w:b/>
                <w:snapToGrid w:val="0"/>
                <w:color w:val="000000"/>
                <w:sz w:val="16"/>
              </w:rPr>
              <w:t>(9,115)</w:t>
            </w:r>
          </w:p>
        </w:tc>
      </w:tr>
      <w:tr w:rsidR="00355BFE" w14:paraId="68092CE9" w14:textId="77777777" w:rsidTr="00355BFE">
        <w:trPr>
          <w:trHeight w:val="225"/>
        </w:trPr>
        <w:tc>
          <w:tcPr>
            <w:tcW w:w="180"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0650A7C8" w14:textId="77777777" w:rsidR="003F0EEA" w:rsidRPr="009719AA" w:rsidRDefault="00FB7D0B">
            <w:pPr>
              <w:rPr>
                <w:rFonts w:ascii="Arial" w:eastAsia="Arial" w:hAnsi="Arial" w:cs="Arial"/>
                <w:b/>
                <w:snapToGrid w:val="0"/>
                <w:color w:val="000000"/>
                <w:sz w:val="16"/>
              </w:rPr>
            </w:pPr>
            <w:r w:rsidRPr="009719AA">
              <w:rPr>
                <w:rFonts w:ascii="Arial" w:eastAsia="Arial" w:hAnsi="Arial" w:cs="Arial"/>
                <w:snapToGrid w:val="0"/>
                <w:color w:val="000000"/>
                <w:sz w:val="16"/>
              </w:rPr>
              <w:t>1 </w:t>
            </w:r>
          </w:p>
        </w:tc>
        <w:tc>
          <w:tcPr>
            <w:tcW w:w="7830" w:type="dxa"/>
            <w:gridSpan w:val="7"/>
            <w:vMerge w:val="restart"/>
            <w:tcBorders>
              <w:top w:val="single" w:sz="6" w:space="0" w:color="000000"/>
              <w:left w:val="nil"/>
              <w:bottom w:val="nil"/>
              <w:right w:val="nil"/>
              <w:tl2br w:val="nil"/>
              <w:tr2bl w:val="nil"/>
            </w:tcBorders>
            <w:shd w:val="clear" w:color="auto" w:fill="FFFFFF"/>
            <w:tcMar>
              <w:left w:w="115" w:type="dxa"/>
              <w:right w:w="115" w:type="dxa"/>
            </w:tcMar>
          </w:tcPr>
          <w:p w14:paraId="5F41528F" w14:textId="77777777" w:rsidR="003F0EEA" w:rsidRPr="009719AA" w:rsidRDefault="00FB7D0B">
            <w:pPr>
              <w:rPr>
                <w:rFonts w:ascii="Arial" w:eastAsia="Arial" w:hAnsi="Arial" w:cs="Arial"/>
                <w:snapToGrid w:val="0"/>
                <w:color w:val="000000"/>
                <w:sz w:val="16"/>
              </w:rPr>
            </w:pPr>
            <w:r w:rsidRPr="009719AA">
              <w:rPr>
                <w:rFonts w:ascii="Arial" w:eastAsia="Arial" w:hAnsi="Arial" w:cs="Arial"/>
                <w:snapToGrid w:val="0"/>
                <w:color w:val="000000"/>
                <w:sz w:val="16"/>
              </w:rPr>
              <w:t>From 2009-10, the Government replaced Bill 1 revenue appropriations for the heritage and cultural depreciation expenses of designated Collection Institutions, with a separate capital budget (the Collection Development Acquisition Budget, or CDAB) provided through Bill 2 equity appropriations. For information regarding CDABs, please refer to Table 3.2.5 Departmental Capital Budget Statement.</w:t>
            </w:r>
          </w:p>
        </w:tc>
      </w:tr>
      <w:tr w:rsidR="00355BFE" w14:paraId="3FA7CDF2" w14:textId="77777777" w:rsidTr="00355BFE">
        <w:trPr>
          <w:trHeight w:hRule="exact" w:val="225"/>
        </w:trPr>
        <w:tc>
          <w:tcPr>
            <w:tcW w:w="180" w:type="dxa"/>
            <w:tcBorders>
              <w:top w:val="nil"/>
              <w:left w:val="nil"/>
              <w:bottom w:val="nil"/>
              <w:right w:val="nil"/>
              <w:tl2br w:val="nil"/>
              <w:tr2bl w:val="nil"/>
            </w:tcBorders>
            <w:shd w:val="clear" w:color="auto" w:fill="FFFFFF"/>
            <w:tcMar>
              <w:left w:w="115" w:type="dxa"/>
              <w:right w:w="115" w:type="dxa"/>
            </w:tcMar>
            <w:vAlign w:val="bottom"/>
          </w:tcPr>
          <w:p w14:paraId="430CD53D" w14:textId="77777777" w:rsidR="003F0EEA" w:rsidRPr="009719AA" w:rsidRDefault="003F0EEA">
            <w:pPr>
              <w:rPr>
                <w:rFonts w:ascii="Arial" w:eastAsia="Arial" w:hAnsi="Arial" w:cs="Arial"/>
                <w:snapToGrid w:val="0"/>
                <w:color w:val="000000"/>
                <w:sz w:val="16"/>
              </w:rPr>
            </w:pPr>
          </w:p>
        </w:tc>
        <w:tc>
          <w:tcPr>
            <w:tcW w:w="7830" w:type="dxa"/>
            <w:gridSpan w:val="7"/>
            <w:vMerge/>
            <w:tcBorders>
              <w:top w:val="nil"/>
              <w:left w:val="nil"/>
              <w:bottom w:val="nil"/>
              <w:right w:val="nil"/>
              <w:tl2br w:val="nil"/>
              <w:tr2bl w:val="nil"/>
            </w:tcBorders>
            <w:shd w:val="clear" w:color="auto" w:fill="FFFFFF"/>
            <w:tcMar>
              <w:left w:w="115" w:type="dxa"/>
              <w:right w:w="115" w:type="dxa"/>
            </w:tcMar>
            <w:vAlign w:val="bottom"/>
          </w:tcPr>
          <w:p w14:paraId="5E5D62E5" w14:textId="77777777" w:rsidR="003F0EEA" w:rsidRPr="009719AA" w:rsidRDefault="003F0EEA">
            <w:pPr>
              <w:rPr>
                <w:rFonts w:ascii="Arial" w:eastAsia="Arial" w:hAnsi="Arial" w:cs="Arial"/>
                <w:b/>
                <w:snapToGrid w:val="0"/>
                <w:color w:val="000000"/>
                <w:sz w:val="16"/>
              </w:rPr>
            </w:pPr>
          </w:p>
        </w:tc>
      </w:tr>
      <w:tr w:rsidR="00355BFE" w14:paraId="74739CE2" w14:textId="77777777" w:rsidTr="00355BFE">
        <w:trPr>
          <w:trHeight w:hRule="exact" w:val="225"/>
        </w:trPr>
        <w:tc>
          <w:tcPr>
            <w:tcW w:w="180" w:type="dxa"/>
            <w:tcBorders>
              <w:top w:val="nil"/>
              <w:left w:val="nil"/>
              <w:bottom w:val="nil"/>
              <w:right w:val="nil"/>
              <w:tl2br w:val="nil"/>
              <w:tr2bl w:val="nil"/>
            </w:tcBorders>
            <w:shd w:val="clear" w:color="auto" w:fill="FFFFFF"/>
            <w:tcMar>
              <w:left w:w="115" w:type="dxa"/>
              <w:right w:w="115" w:type="dxa"/>
            </w:tcMar>
            <w:vAlign w:val="bottom"/>
          </w:tcPr>
          <w:p w14:paraId="2394A631" w14:textId="77777777" w:rsidR="003F0EEA" w:rsidRPr="009719AA" w:rsidRDefault="003F0EEA">
            <w:pPr>
              <w:rPr>
                <w:rFonts w:ascii="Arial" w:eastAsia="Arial" w:hAnsi="Arial" w:cs="Arial"/>
                <w:b/>
                <w:snapToGrid w:val="0"/>
                <w:color w:val="000000"/>
                <w:sz w:val="16"/>
              </w:rPr>
            </w:pPr>
          </w:p>
        </w:tc>
        <w:tc>
          <w:tcPr>
            <w:tcW w:w="7830" w:type="dxa"/>
            <w:gridSpan w:val="7"/>
            <w:vMerge/>
            <w:tcBorders>
              <w:top w:val="nil"/>
              <w:left w:val="nil"/>
              <w:bottom w:val="nil"/>
              <w:right w:val="nil"/>
              <w:tl2br w:val="nil"/>
              <w:tr2bl w:val="nil"/>
            </w:tcBorders>
            <w:shd w:val="clear" w:color="auto" w:fill="FFFFFF"/>
            <w:tcMar>
              <w:left w:w="115" w:type="dxa"/>
              <w:right w:w="115" w:type="dxa"/>
            </w:tcMar>
            <w:vAlign w:val="bottom"/>
          </w:tcPr>
          <w:p w14:paraId="18B86126" w14:textId="77777777" w:rsidR="003F0EEA" w:rsidRPr="009719AA" w:rsidRDefault="003F0EEA">
            <w:pPr>
              <w:rPr>
                <w:rFonts w:ascii="Arial" w:eastAsia="Arial" w:hAnsi="Arial" w:cs="Arial"/>
                <w:b/>
                <w:snapToGrid w:val="0"/>
                <w:color w:val="000000"/>
                <w:sz w:val="16"/>
              </w:rPr>
            </w:pPr>
          </w:p>
        </w:tc>
      </w:tr>
      <w:tr w:rsidR="00355BFE" w14:paraId="271ED827" w14:textId="77777777" w:rsidTr="00355BFE">
        <w:trPr>
          <w:trHeight w:hRule="exact" w:val="225"/>
        </w:trPr>
        <w:tc>
          <w:tcPr>
            <w:tcW w:w="180" w:type="dxa"/>
            <w:tcBorders>
              <w:top w:val="nil"/>
              <w:left w:val="nil"/>
              <w:bottom w:val="nil"/>
              <w:right w:val="nil"/>
              <w:tl2br w:val="nil"/>
              <w:tr2bl w:val="nil"/>
            </w:tcBorders>
            <w:shd w:val="clear" w:color="auto" w:fill="FFFFFF"/>
            <w:tcMar>
              <w:left w:w="115" w:type="dxa"/>
              <w:right w:w="115" w:type="dxa"/>
            </w:tcMar>
            <w:vAlign w:val="bottom"/>
          </w:tcPr>
          <w:p w14:paraId="12567F25" w14:textId="77777777" w:rsidR="003F0EEA" w:rsidRPr="009719AA" w:rsidRDefault="003F0EEA">
            <w:pPr>
              <w:rPr>
                <w:rFonts w:ascii="Arial" w:eastAsia="Arial" w:hAnsi="Arial" w:cs="Arial"/>
                <w:b/>
                <w:snapToGrid w:val="0"/>
                <w:color w:val="000000"/>
                <w:sz w:val="16"/>
              </w:rPr>
            </w:pPr>
          </w:p>
        </w:tc>
        <w:tc>
          <w:tcPr>
            <w:tcW w:w="7830" w:type="dxa"/>
            <w:gridSpan w:val="7"/>
            <w:vMerge/>
            <w:tcBorders>
              <w:top w:val="nil"/>
              <w:left w:val="nil"/>
              <w:bottom w:val="nil"/>
              <w:right w:val="nil"/>
              <w:tl2br w:val="nil"/>
              <w:tr2bl w:val="nil"/>
            </w:tcBorders>
            <w:shd w:val="clear" w:color="auto" w:fill="FFFFFF"/>
            <w:tcMar>
              <w:left w:w="115" w:type="dxa"/>
              <w:right w:w="115" w:type="dxa"/>
            </w:tcMar>
            <w:vAlign w:val="bottom"/>
          </w:tcPr>
          <w:p w14:paraId="1B58576E" w14:textId="77777777" w:rsidR="003F0EEA" w:rsidRPr="009719AA" w:rsidRDefault="003F0EEA">
            <w:pPr>
              <w:rPr>
                <w:rFonts w:ascii="Arial" w:eastAsia="Arial" w:hAnsi="Arial" w:cs="Arial"/>
                <w:b/>
                <w:snapToGrid w:val="0"/>
                <w:color w:val="000000"/>
                <w:sz w:val="16"/>
              </w:rPr>
            </w:pPr>
          </w:p>
        </w:tc>
      </w:tr>
      <w:tr w:rsidR="00724034" w14:paraId="2948D85D" w14:textId="77777777">
        <w:trPr>
          <w:trHeight w:val="225"/>
        </w:trPr>
        <w:tc>
          <w:tcPr>
            <w:tcW w:w="180" w:type="dxa"/>
            <w:tcBorders>
              <w:top w:val="nil"/>
              <w:left w:val="nil"/>
              <w:bottom w:val="nil"/>
              <w:right w:val="nil"/>
              <w:tl2br w:val="nil"/>
              <w:tr2bl w:val="nil"/>
            </w:tcBorders>
            <w:shd w:val="clear" w:color="auto" w:fill="FFFFFF"/>
            <w:tcMar>
              <w:left w:w="115" w:type="dxa"/>
              <w:right w:w="115" w:type="dxa"/>
            </w:tcMar>
            <w:vAlign w:val="center"/>
          </w:tcPr>
          <w:p w14:paraId="655704B1" w14:textId="77777777" w:rsidR="003F0EEA" w:rsidRPr="009719AA" w:rsidRDefault="003F0EEA">
            <w:pPr>
              <w:rPr>
                <w:rFonts w:ascii="Arial" w:eastAsia="Arial" w:hAnsi="Arial" w:cs="Arial"/>
                <w:b/>
                <w:snapToGrid w:val="0"/>
                <w:color w:val="000000"/>
                <w:sz w:val="16"/>
              </w:rPr>
            </w:pPr>
          </w:p>
        </w:tc>
        <w:tc>
          <w:tcPr>
            <w:tcW w:w="180" w:type="dxa"/>
            <w:tcBorders>
              <w:top w:val="nil"/>
              <w:left w:val="nil"/>
              <w:bottom w:val="nil"/>
              <w:right w:val="nil"/>
              <w:tl2br w:val="nil"/>
              <w:tr2bl w:val="nil"/>
            </w:tcBorders>
            <w:shd w:val="clear" w:color="auto" w:fill="FFFFFF"/>
            <w:tcMar>
              <w:left w:w="115" w:type="dxa"/>
              <w:right w:w="115" w:type="dxa"/>
            </w:tcMar>
            <w:vAlign w:val="center"/>
          </w:tcPr>
          <w:p w14:paraId="565BE0CD" w14:textId="77777777" w:rsidR="003F0EEA" w:rsidRPr="009719AA" w:rsidRDefault="003F0EEA">
            <w:pPr>
              <w:rPr>
                <w:rFonts w:ascii="Arial" w:eastAsia="Arial" w:hAnsi="Arial" w:cs="Arial"/>
                <w:b/>
                <w:snapToGrid w:val="0"/>
                <w:color w:val="000000"/>
                <w:sz w:val="16"/>
              </w:rPr>
            </w:pPr>
          </w:p>
        </w:tc>
        <w:tc>
          <w:tcPr>
            <w:tcW w:w="2700" w:type="dxa"/>
            <w:tcBorders>
              <w:top w:val="nil"/>
              <w:left w:val="nil"/>
              <w:bottom w:val="nil"/>
              <w:right w:val="nil"/>
              <w:tl2br w:val="nil"/>
              <w:tr2bl w:val="nil"/>
            </w:tcBorders>
            <w:shd w:val="clear" w:color="auto" w:fill="FFFFFF"/>
            <w:tcMar>
              <w:left w:w="115" w:type="dxa"/>
              <w:right w:w="115" w:type="dxa"/>
            </w:tcMar>
            <w:vAlign w:val="center"/>
          </w:tcPr>
          <w:p w14:paraId="1DCC04E5" w14:textId="77777777" w:rsidR="003F0EEA" w:rsidRPr="009719AA" w:rsidRDefault="003F0EEA">
            <w:pPr>
              <w:rPr>
                <w:rFonts w:ascii="Arial" w:eastAsia="Arial" w:hAnsi="Arial" w:cs="Arial"/>
                <w:b/>
                <w:snapToGrid w:val="0"/>
                <w:color w:val="000000"/>
                <w:sz w:val="16"/>
              </w:rPr>
            </w:pPr>
          </w:p>
        </w:tc>
        <w:tc>
          <w:tcPr>
            <w:tcW w:w="990" w:type="dxa"/>
            <w:tcBorders>
              <w:top w:val="nil"/>
              <w:left w:val="nil"/>
              <w:bottom w:val="nil"/>
              <w:right w:val="nil"/>
              <w:tl2br w:val="nil"/>
              <w:tr2bl w:val="nil"/>
            </w:tcBorders>
            <w:shd w:val="clear" w:color="auto" w:fill="FFFFFF"/>
            <w:tcMar>
              <w:left w:w="115" w:type="dxa"/>
              <w:right w:w="115" w:type="dxa"/>
            </w:tcMar>
            <w:vAlign w:val="center"/>
          </w:tcPr>
          <w:p w14:paraId="36E498AA" w14:textId="77777777" w:rsidR="003F0EEA" w:rsidRPr="009719AA" w:rsidRDefault="003F0EEA">
            <w:pPr>
              <w:rPr>
                <w:rFonts w:ascii="Arial" w:eastAsia="Arial" w:hAnsi="Arial" w:cs="Arial"/>
                <w:b/>
                <w:snapToGrid w:val="0"/>
                <w:color w:val="000000"/>
                <w:sz w:val="16"/>
                <w:vertAlign w:val="superscript"/>
              </w:rPr>
            </w:pPr>
          </w:p>
        </w:tc>
        <w:tc>
          <w:tcPr>
            <w:tcW w:w="990" w:type="dxa"/>
            <w:tcBorders>
              <w:top w:val="nil"/>
              <w:left w:val="nil"/>
              <w:bottom w:val="nil"/>
              <w:right w:val="nil"/>
              <w:tl2br w:val="nil"/>
              <w:tr2bl w:val="nil"/>
            </w:tcBorders>
            <w:shd w:val="clear" w:color="auto" w:fill="FFFFFF"/>
            <w:tcMar>
              <w:left w:w="115" w:type="dxa"/>
              <w:right w:w="115" w:type="dxa"/>
            </w:tcMar>
            <w:vAlign w:val="center"/>
          </w:tcPr>
          <w:p w14:paraId="7AC17291" w14:textId="77777777" w:rsidR="003F0EEA" w:rsidRPr="009719AA" w:rsidRDefault="003F0EEA">
            <w:pPr>
              <w:rPr>
                <w:rFonts w:ascii="Arial" w:eastAsia="Arial" w:hAnsi="Arial" w:cs="Arial"/>
                <w:b/>
                <w:snapToGrid w:val="0"/>
                <w:color w:val="000000"/>
                <w:sz w:val="16"/>
                <w:vertAlign w:val="superscript"/>
              </w:rPr>
            </w:pPr>
          </w:p>
        </w:tc>
        <w:tc>
          <w:tcPr>
            <w:tcW w:w="990" w:type="dxa"/>
            <w:tcBorders>
              <w:top w:val="nil"/>
              <w:left w:val="nil"/>
              <w:bottom w:val="nil"/>
              <w:right w:val="nil"/>
              <w:tl2br w:val="nil"/>
              <w:tr2bl w:val="nil"/>
            </w:tcBorders>
            <w:shd w:val="clear" w:color="auto" w:fill="FFFFFF"/>
            <w:tcMar>
              <w:left w:w="115" w:type="dxa"/>
              <w:right w:w="115" w:type="dxa"/>
            </w:tcMar>
            <w:vAlign w:val="center"/>
          </w:tcPr>
          <w:p w14:paraId="6A552972" w14:textId="77777777" w:rsidR="003F0EEA" w:rsidRPr="009719AA" w:rsidRDefault="003F0EEA">
            <w:pPr>
              <w:rPr>
                <w:rFonts w:ascii="Arial" w:eastAsia="Arial" w:hAnsi="Arial" w:cs="Arial"/>
                <w:b/>
                <w:snapToGrid w:val="0"/>
                <w:color w:val="000000"/>
                <w:sz w:val="16"/>
                <w:vertAlign w:val="superscript"/>
              </w:rPr>
            </w:pPr>
          </w:p>
        </w:tc>
        <w:tc>
          <w:tcPr>
            <w:tcW w:w="990" w:type="dxa"/>
            <w:tcBorders>
              <w:top w:val="nil"/>
              <w:left w:val="nil"/>
              <w:bottom w:val="nil"/>
              <w:right w:val="nil"/>
              <w:tl2br w:val="nil"/>
              <w:tr2bl w:val="nil"/>
            </w:tcBorders>
            <w:shd w:val="clear" w:color="auto" w:fill="FFFFFF"/>
            <w:tcMar>
              <w:left w:w="115" w:type="dxa"/>
              <w:right w:w="115" w:type="dxa"/>
            </w:tcMar>
            <w:vAlign w:val="center"/>
          </w:tcPr>
          <w:p w14:paraId="6023F585" w14:textId="77777777" w:rsidR="003F0EEA" w:rsidRPr="009719AA" w:rsidRDefault="003F0EEA">
            <w:pPr>
              <w:rPr>
                <w:rFonts w:ascii="Arial" w:eastAsia="Arial" w:hAnsi="Arial" w:cs="Arial"/>
                <w:b/>
                <w:snapToGrid w:val="0"/>
                <w:color w:val="000000"/>
                <w:sz w:val="16"/>
                <w:vertAlign w:val="superscript"/>
              </w:rPr>
            </w:pPr>
          </w:p>
        </w:tc>
        <w:tc>
          <w:tcPr>
            <w:tcW w:w="990" w:type="dxa"/>
            <w:tcBorders>
              <w:top w:val="nil"/>
              <w:left w:val="nil"/>
              <w:bottom w:val="nil"/>
              <w:right w:val="nil"/>
              <w:tl2br w:val="nil"/>
              <w:tr2bl w:val="nil"/>
            </w:tcBorders>
            <w:shd w:val="clear" w:color="auto" w:fill="FFFFFF"/>
            <w:tcMar>
              <w:left w:w="115" w:type="dxa"/>
              <w:right w:w="115" w:type="dxa"/>
            </w:tcMar>
            <w:vAlign w:val="center"/>
          </w:tcPr>
          <w:p w14:paraId="5E8ED9DD" w14:textId="77777777" w:rsidR="003F0EEA" w:rsidRPr="009719AA" w:rsidRDefault="003F0EEA">
            <w:pPr>
              <w:rPr>
                <w:rFonts w:ascii="Arial" w:eastAsia="Arial" w:hAnsi="Arial" w:cs="Arial"/>
                <w:b/>
                <w:snapToGrid w:val="0"/>
                <w:color w:val="000000"/>
                <w:sz w:val="16"/>
                <w:vertAlign w:val="superscript"/>
              </w:rPr>
            </w:pPr>
          </w:p>
        </w:tc>
      </w:tr>
      <w:tr w:rsidR="00355BFE" w14:paraId="47904699" w14:textId="77777777" w:rsidTr="00355BFE">
        <w:trPr>
          <w:trHeight w:val="225"/>
        </w:trPr>
        <w:tc>
          <w:tcPr>
            <w:tcW w:w="8010" w:type="dxa"/>
            <w:gridSpan w:val="8"/>
            <w:tcBorders>
              <w:top w:val="nil"/>
              <w:left w:val="nil"/>
              <w:bottom w:val="nil"/>
              <w:right w:val="nil"/>
              <w:tl2br w:val="nil"/>
              <w:tr2bl w:val="nil"/>
            </w:tcBorders>
            <w:shd w:val="clear" w:color="auto" w:fill="FFFFFF"/>
            <w:tcMar>
              <w:left w:w="115" w:type="dxa"/>
              <w:right w:w="115" w:type="dxa"/>
            </w:tcMar>
            <w:vAlign w:val="bottom"/>
          </w:tcPr>
          <w:p w14:paraId="6AA142E5" w14:textId="77777777" w:rsidR="003F0EEA" w:rsidRPr="009719AA" w:rsidRDefault="00FB7D0B">
            <w:pPr>
              <w:rPr>
                <w:rFonts w:ascii="Arial" w:eastAsia="Arial" w:hAnsi="Arial" w:cs="Arial"/>
                <w:b/>
                <w:snapToGrid w:val="0"/>
                <w:color w:val="000000"/>
                <w:sz w:val="16"/>
                <w:vertAlign w:val="superscript"/>
              </w:rPr>
            </w:pPr>
            <w:r w:rsidRPr="009719AA">
              <w:rPr>
                <w:rFonts w:ascii="Arial" w:eastAsia="Arial" w:hAnsi="Arial" w:cs="Arial"/>
                <w:snapToGrid w:val="0"/>
                <w:color w:val="000000"/>
                <w:sz w:val="16"/>
              </w:rPr>
              <w:t>Prepared on Australian Accounting Standards basis</w:t>
            </w:r>
          </w:p>
        </w:tc>
      </w:tr>
    </w:tbl>
    <w:p w14:paraId="04F13BA5" w14:textId="77777777" w:rsidR="003F0EEA" w:rsidRPr="009719AA" w:rsidRDefault="00FB7D0B">
      <w:pPr>
        <w:spacing w:line="14" w:lineRule="exact"/>
        <w:rPr>
          <w:rFonts w:eastAsia="Times New Roman"/>
          <w:snapToGrid w:val="0"/>
        </w:rPr>
      </w:pPr>
      <w:r w:rsidRPr="009719AA">
        <w:rPr>
          <w:rFonts w:eastAsia="Times New Roman"/>
          <w:snapToGrid w:val="0"/>
        </w:rPr>
        <w:br w:type="page"/>
      </w:r>
    </w:p>
    <w:p w14:paraId="3589D72C" w14:textId="77777777" w:rsidR="003F0EEA" w:rsidRPr="00CB3E11" w:rsidRDefault="00FB7D0B" w:rsidP="003F0EEA">
      <w:pPr>
        <w:pStyle w:val="NoSpacing3"/>
        <w:jc w:val="left"/>
        <w:rPr>
          <w:rFonts w:ascii="Arial" w:hAnsi="Arial" w:cs="Arial"/>
          <w:b/>
        </w:rPr>
      </w:pPr>
      <w:r>
        <w:rPr>
          <w:rFonts w:ascii="Arial" w:hAnsi="Arial" w:cs="Arial"/>
          <w:b/>
        </w:rPr>
        <w:t>Table 3.2.2: Budgeted Departmental Balance S</w:t>
      </w:r>
      <w:r w:rsidRPr="00CB3E11">
        <w:rPr>
          <w:rFonts w:ascii="Arial" w:hAnsi="Arial" w:cs="Arial"/>
          <w:b/>
        </w:rPr>
        <w:t>heet</w:t>
      </w:r>
      <w:r w:rsidRPr="00CB3E11">
        <w:rPr>
          <w:rFonts w:ascii="Arial" w:hAnsi="Arial" w:cs="Arial"/>
          <w:b/>
        </w:rPr>
        <w:br/>
      </w:r>
      <w:r>
        <w:rPr>
          <w:rFonts w:ascii="Arial" w:hAnsi="Arial" w:cs="Arial"/>
          <w:b/>
        </w:rPr>
        <w:t>(</w:t>
      </w:r>
      <w:r w:rsidRPr="00CB3E11">
        <w:rPr>
          <w:rFonts w:ascii="Arial" w:hAnsi="Arial" w:cs="Arial"/>
          <w:b/>
        </w:rPr>
        <w:t>as at 30 June</w:t>
      </w:r>
      <w:r>
        <w:rPr>
          <w:rFonts w:ascii="Arial" w:hAnsi="Arial" w:cs="Arial"/>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0"/>
        <w:gridCol w:w="250"/>
        <w:gridCol w:w="3150"/>
        <w:gridCol w:w="990"/>
        <w:gridCol w:w="990"/>
        <w:gridCol w:w="990"/>
        <w:gridCol w:w="990"/>
        <w:gridCol w:w="990"/>
      </w:tblGrid>
      <w:tr w:rsidR="00724034" w14:paraId="7B0D93A4" w14:textId="77777777">
        <w:trPr>
          <w:trHeight w:val="225"/>
        </w:trPr>
        <w:tc>
          <w:tcPr>
            <w:tcW w:w="180"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04108F9A" w14:textId="77777777" w:rsidR="003F0EEA" w:rsidRPr="00CB3E11" w:rsidRDefault="003F0EEA">
            <w:pPr>
              <w:rPr>
                <w:rFonts w:ascii="Arial" w:eastAsia="Times New Roman" w:hAnsi="Arial" w:cs="Arial"/>
                <w:b/>
              </w:rPr>
            </w:pPr>
          </w:p>
        </w:tc>
        <w:tc>
          <w:tcPr>
            <w:tcW w:w="180"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0A61A78B" w14:textId="77777777" w:rsidR="003F0EEA" w:rsidRPr="00CB3E11" w:rsidRDefault="003F0EEA">
            <w:pPr>
              <w:rPr>
                <w:rFonts w:ascii="Arial" w:eastAsia="Arial" w:hAnsi="Arial" w:cs="Arial"/>
                <w:color w:val="000000"/>
                <w:sz w:val="16"/>
              </w:rPr>
            </w:pPr>
          </w:p>
        </w:tc>
        <w:tc>
          <w:tcPr>
            <w:tcW w:w="3150"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5F65337F" w14:textId="77777777" w:rsidR="003F0EEA" w:rsidRPr="00CB3E11" w:rsidRDefault="003F0EEA">
            <w:pPr>
              <w:rPr>
                <w:rFonts w:ascii="Arial" w:eastAsia="Arial" w:hAnsi="Arial" w:cs="Arial"/>
                <w:color w:val="000000"/>
                <w:sz w:val="16"/>
              </w:rPr>
            </w:pPr>
          </w:p>
        </w:tc>
        <w:tc>
          <w:tcPr>
            <w:tcW w:w="990"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48756B39" w14:textId="77777777" w:rsidR="003F0EEA" w:rsidRPr="00CB3E11" w:rsidRDefault="00FB7D0B">
            <w:pPr>
              <w:jc w:val="right"/>
              <w:rPr>
                <w:rFonts w:ascii="Arial" w:eastAsia="Arial" w:hAnsi="Arial" w:cs="Arial"/>
                <w:color w:val="000000"/>
                <w:sz w:val="16"/>
              </w:rPr>
            </w:pPr>
            <w:r w:rsidRPr="00CB3E11">
              <w:rPr>
                <w:rFonts w:ascii="Arial" w:eastAsia="Arial" w:hAnsi="Arial" w:cs="Arial"/>
                <w:color w:val="000000"/>
                <w:sz w:val="16"/>
              </w:rPr>
              <w:t>Estimated</w:t>
            </w:r>
          </w:p>
        </w:tc>
        <w:tc>
          <w:tcPr>
            <w:tcW w:w="990" w:type="dxa"/>
            <w:tcBorders>
              <w:top w:val="single" w:sz="6" w:space="0" w:color="000000"/>
              <w:left w:val="nil"/>
              <w:bottom w:val="nil"/>
              <w:right w:val="nil"/>
              <w:tl2br w:val="nil"/>
              <w:tr2bl w:val="nil"/>
            </w:tcBorders>
            <w:shd w:val="clear" w:color="auto" w:fill="C0C0C0"/>
            <w:tcMar>
              <w:left w:w="115" w:type="dxa"/>
              <w:right w:w="115" w:type="dxa"/>
            </w:tcMar>
            <w:vAlign w:val="bottom"/>
          </w:tcPr>
          <w:p w14:paraId="5B9F4C9C" w14:textId="77777777" w:rsidR="003F0EEA" w:rsidRPr="00CB3E11" w:rsidRDefault="00FB7D0B">
            <w:pPr>
              <w:jc w:val="right"/>
              <w:rPr>
                <w:rFonts w:ascii="Arial" w:eastAsia="Arial" w:hAnsi="Arial" w:cs="Arial"/>
                <w:color w:val="000000"/>
                <w:sz w:val="16"/>
              </w:rPr>
            </w:pPr>
            <w:r w:rsidRPr="00CB3E11">
              <w:rPr>
                <w:rFonts w:ascii="Arial" w:eastAsia="Arial" w:hAnsi="Arial" w:cs="Arial"/>
                <w:color w:val="000000"/>
                <w:sz w:val="16"/>
              </w:rPr>
              <w:t>Budget</w:t>
            </w:r>
          </w:p>
        </w:tc>
        <w:tc>
          <w:tcPr>
            <w:tcW w:w="990"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094AF3E3" w14:textId="77777777" w:rsidR="003F0EEA" w:rsidRPr="00CB3E11" w:rsidRDefault="00FB7D0B">
            <w:pPr>
              <w:jc w:val="right"/>
              <w:rPr>
                <w:rFonts w:ascii="Arial" w:eastAsia="Arial" w:hAnsi="Arial" w:cs="Arial"/>
                <w:color w:val="000000"/>
                <w:sz w:val="16"/>
              </w:rPr>
            </w:pPr>
            <w:r w:rsidRPr="00CB3E11">
              <w:rPr>
                <w:rFonts w:ascii="Arial" w:eastAsia="Arial" w:hAnsi="Arial" w:cs="Arial"/>
                <w:color w:val="000000"/>
                <w:sz w:val="16"/>
              </w:rPr>
              <w:t>Forward</w:t>
            </w:r>
          </w:p>
        </w:tc>
        <w:tc>
          <w:tcPr>
            <w:tcW w:w="990"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1B7AFE92" w14:textId="77777777" w:rsidR="003F0EEA" w:rsidRPr="00CB3E11" w:rsidRDefault="00FB7D0B">
            <w:pPr>
              <w:jc w:val="right"/>
              <w:rPr>
                <w:rFonts w:ascii="Arial" w:eastAsia="Arial" w:hAnsi="Arial" w:cs="Arial"/>
                <w:color w:val="000000"/>
                <w:sz w:val="16"/>
              </w:rPr>
            </w:pPr>
            <w:r w:rsidRPr="00CB3E11">
              <w:rPr>
                <w:rFonts w:ascii="Arial" w:eastAsia="Arial" w:hAnsi="Arial" w:cs="Arial"/>
                <w:color w:val="000000"/>
                <w:sz w:val="16"/>
              </w:rPr>
              <w:t>Forward</w:t>
            </w:r>
          </w:p>
        </w:tc>
        <w:tc>
          <w:tcPr>
            <w:tcW w:w="990"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5884D5DE" w14:textId="77777777" w:rsidR="003F0EEA" w:rsidRPr="00CB3E11" w:rsidRDefault="00FB7D0B">
            <w:pPr>
              <w:jc w:val="right"/>
              <w:rPr>
                <w:rFonts w:ascii="Arial" w:eastAsia="Arial" w:hAnsi="Arial" w:cs="Arial"/>
                <w:color w:val="000000"/>
                <w:sz w:val="16"/>
              </w:rPr>
            </w:pPr>
            <w:r w:rsidRPr="00CB3E11">
              <w:rPr>
                <w:rFonts w:ascii="Arial" w:eastAsia="Arial" w:hAnsi="Arial" w:cs="Arial"/>
                <w:color w:val="000000"/>
                <w:sz w:val="16"/>
              </w:rPr>
              <w:t>Forward</w:t>
            </w:r>
          </w:p>
        </w:tc>
      </w:tr>
      <w:tr w:rsidR="00724034" w14:paraId="2D8C5585" w14:textId="77777777">
        <w:trPr>
          <w:trHeight w:val="225"/>
        </w:trPr>
        <w:tc>
          <w:tcPr>
            <w:tcW w:w="180" w:type="dxa"/>
            <w:tcBorders>
              <w:top w:val="nil"/>
              <w:left w:val="nil"/>
              <w:bottom w:val="nil"/>
              <w:right w:val="nil"/>
              <w:tl2br w:val="nil"/>
              <w:tr2bl w:val="nil"/>
            </w:tcBorders>
            <w:shd w:val="clear" w:color="auto" w:fill="FFFFFF"/>
            <w:tcMar>
              <w:left w:w="115" w:type="dxa"/>
              <w:right w:w="115" w:type="dxa"/>
            </w:tcMar>
            <w:vAlign w:val="bottom"/>
          </w:tcPr>
          <w:p w14:paraId="52E5ED4B" w14:textId="77777777" w:rsidR="003F0EEA" w:rsidRPr="00CB3E11" w:rsidRDefault="003F0EEA">
            <w:pPr>
              <w:rPr>
                <w:rFonts w:ascii="Arial" w:eastAsia="Arial" w:hAnsi="Arial" w:cs="Arial"/>
                <w:color w:val="000000"/>
                <w:sz w:val="16"/>
              </w:rPr>
            </w:pPr>
          </w:p>
        </w:tc>
        <w:tc>
          <w:tcPr>
            <w:tcW w:w="180" w:type="dxa"/>
            <w:tcBorders>
              <w:top w:val="nil"/>
              <w:left w:val="nil"/>
              <w:bottom w:val="nil"/>
              <w:right w:val="nil"/>
              <w:tl2br w:val="nil"/>
              <w:tr2bl w:val="nil"/>
            </w:tcBorders>
            <w:shd w:val="clear" w:color="auto" w:fill="FFFFFF"/>
            <w:tcMar>
              <w:left w:w="115" w:type="dxa"/>
              <w:right w:w="115" w:type="dxa"/>
            </w:tcMar>
            <w:vAlign w:val="bottom"/>
          </w:tcPr>
          <w:p w14:paraId="59CD33AE" w14:textId="77777777" w:rsidR="003F0EEA" w:rsidRPr="00CB3E11" w:rsidRDefault="003F0EEA">
            <w:pPr>
              <w:rPr>
                <w:rFonts w:ascii="Arial" w:eastAsia="Arial" w:hAnsi="Arial" w:cs="Arial"/>
                <w:color w:val="000000"/>
                <w:sz w:val="16"/>
              </w:rPr>
            </w:pPr>
          </w:p>
        </w:tc>
        <w:tc>
          <w:tcPr>
            <w:tcW w:w="3150" w:type="dxa"/>
            <w:tcBorders>
              <w:top w:val="nil"/>
              <w:left w:val="nil"/>
              <w:bottom w:val="nil"/>
              <w:right w:val="nil"/>
              <w:tl2br w:val="nil"/>
              <w:tr2bl w:val="nil"/>
            </w:tcBorders>
            <w:shd w:val="clear" w:color="auto" w:fill="FFFFFF"/>
            <w:tcMar>
              <w:left w:w="115" w:type="dxa"/>
              <w:right w:w="115" w:type="dxa"/>
            </w:tcMar>
            <w:vAlign w:val="bottom"/>
          </w:tcPr>
          <w:p w14:paraId="30448775" w14:textId="77777777" w:rsidR="003F0EEA" w:rsidRPr="00CB3E11" w:rsidRDefault="003F0EEA">
            <w:pPr>
              <w:rPr>
                <w:rFonts w:ascii="Arial" w:eastAsia="Arial" w:hAnsi="Arial" w:cs="Arial"/>
                <w:color w:val="000000"/>
                <w:sz w:val="16"/>
              </w:rPr>
            </w:pPr>
          </w:p>
        </w:tc>
        <w:tc>
          <w:tcPr>
            <w:tcW w:w="990" w:type="dxa"/>
            <w:tcBorders>
              <w:top w:val="nil"/>
              <w:left w:val="nil"/>
              <w:bottom w:val="nil"/>
              <w:right w:val="nil"/>
              <w:tl2br w:val="nil"/>
              <w:tr2bl w:val="nil"/>
            </w:tcBorders>
            <w:shd w:val="clear" w:color="auto" w:fill="FFFFFF"/>
            <w:tcMar>
              <w:left w:w="115" w:type="dxa"/>
              <w:right w:w="115" w:type="dxa"/>
            </w:tcMar>
            <w:vAlign w:val="bottom"/>
          </w:tcPr>
          <w:p w14:paraId="500D66E6" w14:textId="77777777" w:rsidR="003F0EEA" w:rsidRPr="00CB3E11" w:rsidRDefault="00FB7D0B">
            <w:pPr>
              <w:jc w:val="right"/>
              <w:rPr>
                <w:rFonts w:ascii="Arial" w:eastAsia="Arial" w:hAnsi="Arial" w:cs="Arial"/>
                <w:color w:val="000000"/>
                <w:sz w:val="16"/>
              </w:rPr>
            </w:pPr>
            <w:r w:rsidRPr="00CB3E11">
              <w:rPr>
                <w:rFonts w:ascii="Arial" w:eastAsia="Arial" w:hAnsi="Arial" w:cs="Arial"/>
                <w:color w:val="000000"/>
                <w:sz w:val="16"/>
              </w:rPr>
              <w:t>actual</w:t>
            </w:r>
          </w:p>
        </w:tc>
        <w:tc>
          <w:tcPr>
            <w:tcW w:w="990" w:type="dxa"/>
            <w:tcBorders>
              <w:top w:val="nil"/>
              <w:left w:val="nil"/>
              <w:bottom w:val="nil"/>
              <w:right w:val="nil"/>
              <w:tl2br w:val="nil"/>
              <w:tr2bl w:val="nil"/>
            </w:tcBorders>
            <w:shd w:val="clear" w:color="auto" w:fill="C0C0C0"/>
            <w:tcMar>
              <w:left w:w="115" w:type="dxa"/>
              <w:right w:w="115" w:type="dxa"/>
            </w:tcMar>
            <w:vAlign w:val="bottom"/>
          </w:tcPr>
          <w:p w14:paraId="2D3165C4" w14:textId="77777777" w:rsidR="003F0EEA" w:rsidRPr="00CB3E11" w:rsidRDefault="00FB7D0B">
            <w:pPr>
              <w:jc w:val="right"/>
              <w:rPr>
                <w:rFonts w:ascii="Arial" w:eastAsia="Arial" w:hAnsi="Arial" w:cs="Arial"/>
                <w:color w:val="000000"/>
                <w:sz w:val="16"/>
              </w:rPr>
            </w:pPr>
            <w:r w:rsidRPr="00CB3E11">
              <w:rPr>
                <w:rFonts w:ascii="Arial" w:eastAsia="Arial" w:hAnsi="Arial" w:cs="Arial"/>
                <w:color w:val="000000"/>
                <w:sz w:val="16"/>
              </w:rPr>
              <w:t>estimate</w:t>
            </w:r>
          </w:p>
        </w:tc>
        <w:tc>
          <w:tcPr>
            <w:tcW w:w="990" w:type="dxa"/>
            <w:tcBorders>
              <w:top w:val="nil"/>
              <w:left w:val="nil"/>
              <w:bottom w:val="nil"/>
              <w:right w:val="nil"/>
              <w:tl2br w:val="nil"/>
              <w:tr2bl w:val="nil"/>
            </w:tcBorders>
            <w:shd w:val="clear" w:color="auto" w:fill="FFFFFF"/>
            <w:tcMar>
              <w:left w:w="115" w:type="dxa"/>
              <w:right w:w="115" w:type="dxa"/>
            </w:tcMar>
            <w:vAlign w:val="bottom"/>
          </w:tcPr>
          <w:p w14:paraId="5B19CC5F" w14:textId="77777777" w:rsidR="003F0EEA" w:rsidRPr="00CB3E11" w:rsidRDefault="00FB7D0B">
            <w:pPr>
              <w:jc w:val="right"/>
              <w:rPr>
                <w:rFonts w:ascii="Arial" w:eastAsia="Arial" w:hAnsi="Arial" w:cs="Arial"/>
                <w:color w:val="000000"/>
                <w:sz w:val="16"/>
              </w:rPr>
            </w:pPr>
            <w:r w:rsidRPr="00CB3E11">
              <w:rPr>
                <w:rFonts w:ascii="Arial" w:eastAsia="Arial" w:hAnsi="Arial" w:cs="Arial"/>
                <w:color w:val="000000"/>
                <w:sz w:val="16"/>
              </w:rPr>
              <w:t>estimate</w:t>
            </w:r>
          </w:p>
        </w:tc>
        <w:tc>
          <w:tcPr>
            <w:tcW w:w="990" w:type="dxa"/>
            <w:tcBorders>
              <w:top w:val="nil"/>
              <w:left w:val="nil"/>
              <w:bottom w:val="nil"/>
              <w:right w:val="nil"/>
              <w:tl2br w:val="nil"/>
              <w:tr2bl w:val="nil"/>
            </w:tcBorders>
            <w:shd w:val="clear" w:color="auto" w:fill="FFFFFF"/>
            <w:tcMar>
              <w:left w:w="115" w:type="dxa"/>
              <w:right w:w="115" w:type="dxa"/>
            </w:tcMar>
            <w:vAlign w:val="bottom"/>
          </w:tcPr>
          <w:p w14:paraId="07C22CE2" w14:textId="77777777" w:rsidR="003F0EEA" w:rsidRPr="00CB3E11" w:rsidRDefault="00FB7D0B">
            <w:pPr>
              <w:jc w:val="right"/>
              <w:rPr>
                <w:rFonts w:ascii="Arial" w:eastAsia="Arial" w:hAnsi="Arial" w:cs="Arial"/>
                <w:color w:val="000000"/>
                <w:sz w:val="16"/>
              </w:rPr>
            </w:pPr>
            <w:r w:rsidRPr="00CB3E11">
              <w:rPr>
                <w:rFonts w:ascii="Arial" w:eastAsia="Arial" w:hAnsi="Arial" w:cs="Arial"/>
                <w:color w:val="000000"/>
                <w:sz w:val="16"/>
              </w:rPr>
              <w:t>estimate</w:t>
            </w:r>
          </w:p>
        </w:tc>
        <w:tc>
          <w:tcPr>
            <w:tcW w:w="990" w:type="dxa"/>
            <w:tcBorders>
              <w:top w:val="nil"/>
              <w:left w:val="nil"/>
              <w:bottom w:val="nil"/>
              <w:right w:val="nil"/>
              <w:tl2br w:val="nil"/>
              <w:tr2bl w:val="nil"/>
            </w:tcBorders>
            <w:shd w:val="clear" w:color="auto" w:fill="FFFFFF"/>
            <w:tcMar>
              <w:left w:w="115" w:type="dxa"/>
              <w:right w:w="115" w:type="dxa"/>
            </w:tcMar>
            <w:vAlign w:val="bottom"/>
          </w:tcPr>
          <w:p w14:paraId="3F40A1CF" w14:textId="77777777" w:rsidR="003F0EEA" w:rsidRPr="00CB3E11" w:rsidRDefault="00FB7D0B">
            <w:pPr>
              <w:jc w:val="right"/>
              <w:rPr>
                <w:rFonts w:ascii="Arial" w:eastAsia="Arial" w:hAnsi="Arial" w:cs="Arial"/>
                <w:color w:val="000000"/>
                <w:sz w:val="16"/>
              </w:rPr>
            </w:pPr>
            <w:r w:rsidRPr="00CB3E11">
              <w:rPr>
                <w:rFonts w:ascii="Arial" w:eastAsia="Arial" w:hAnsi="Arial" w:cs="Arial"/>
                <w:color w:val="000000"/>
                <w:sz w:val="16"/>
              </w:rPr>
              <w:t>estimate</w:t>
            </w:r>
          </w:p>
        </w:tc>
      </w:tr>
      <w:tr w:rsidR="00724034" w14:paraId="3044F29A" w14:textId="77777777">
        <w:trPr>
          <w:trHeight w:val="225"/>
        </w:trPr>
        <w:tc>
          <w:tcPr>
            <w:tcW w:w="180" w:type="dxa"/>
            <w:tcBorders>
              <w:top w:val="nil"/>
              <w:left w:val="nil"/>
              <w:bottom w:val="nil"/>
              <w:right w:val="nil"/>
              <w:tl2br w:val="nil"/>
              <w:tr2bl w:val="nil"/>
            </w:tcBorders>
            <w:shd w:val="clear" w:color="auto" w:fill="FFFFFF"/>
            <w:tcMar>
              <w:left w:w="115" w:type="dxa"/>
              <w:right w:w="115" w:type="dxa"/>
            </w:tcMar>
            <w:vAlign w:val="bottom"/>
          </w:tcPr>
          <w:p w14:paraId="7BB9A88D" w14:textId="77777777" w:rsidR="003F0EEA" w:rsidRPr="00CB3E11" w:rsidRDefault="003F0EEA">
            <w:pPr>
              <w:rPr>
                <w:rFonts w:ascii="Arial" w:eastAsia="Arial" w:hAnsi="Arial" w:cs="Arial"/>
                <w:color w:val="000000"/>
                <w:sz w:val="16"/>
              </w:rPr>
            </w:pPr>
          </w:p>
        </w:tc>
        <w:tc>
          <w:tcPr>
            <w:tcW w:w="180" w:type="dxa"/>
            <w:tcBorders>
              <w:top w:val="nil"/>
              <w:left w:val="nil"/>
              <w:bottom w:val="nil"/>
              <w:right w:val="nil"/>
              <w:tl2br w:val="nil"/>
              <w:tr2bl w:val="nil"/>
            </w:tcBorders>
            <w:shd w:val="clear" w:color="auto" w:fill="FFFFFF"/>
            <w:tcMar>
              <w:left w:w="115" w:type="dxa"/>
              <w:right w:w="115" w:type="dxa"/>
            </w:tcMar>
            <w:vAlign w:val="bottom"/>
          </w:tcPr>
          <w:p w14:paraId="1C84363D" w14:textId="77777777" w:rsidR="003F0EEA" w:rsidRPr="00CB3E11" w:rsidRDefault="003F0EEA">
            <w:pPr>
              <w:rPr>
                <w:rFonts w:ascii="Arial" w:eastAsia="Arial" w:hAnsi="Arial" w:cs="Arial"/>
                <w:color w:val="000000"/>
                <w:sz w:val="16"/>
              </w:rPr>
            </w:pPr>
          </w:p>
        </w:tc>
        <w:tc>
          <w:tcPr>
            <w:tcW w:w="3150" w:type="dxa"/>
            <w:tcBorders>
              <w:top w:val="nil"/>
              <w:left w:val="nil"/>
              <w:bottom w:val="nil"/>
              <w:right w:val="nil"/>
              <w:tl2br w:val="nil"/>
              <w:tr2bl w:val="nil"/>
            </w:tcBorders>
            <w:shd w:val="clear" w:color="auto" w:fill="FFFFFF"/>
            <w:tcMar>
              <w:left w:w="115" w:type="dxa"/>
              <w:right w:w="115" w:type="dxa"/>
            </w:tcMar>
            <w:vAlign w:val="bottom"/>
          </w:tcPr>
          <w:p w14:paraId="1721964F" w14:textId="77777777" w:rsidR="003F0EEA" w:rsidRPr="00CB3E11" w:rsidRDefault="003F0EEA">
            <w:pPr>
              <w:rPr>
                <w:rFonts w:ascii="Arial" w:eastAsia="Arial" w:hAnsi="Arial" w:cs="Arial"/>
                <w:color w:val="000000"/>
                <w:sz w:val="16"/>
              </w:rPr>
            </w:pPr>
          </w:p>
        </w:tc>
        <w:tc>
          <w:tcPr>
            <w:tcW w:w="990" w:type="dxa"/>
            <w:tcBorders>
              <w:top w:val="nil"/>
              <w:left w:val="nil"/>
              <w:bottom w:val="nil"/>
              <w:right w:val="nil"/>
              <w:tl2br w:val="nil"/>
              <w:tr2bl w:val="nil"/>
            </w:tcBorders>
            <w:shd w:val="clear" w:color="auto" w:fill="FFFFFF"/>
            <w:tcMar>
              <w:left w:w="115" w:type="dxa"/>
              <w:right w:w="115" w:type="dxa"/>
            </w:tcMar>
            <w:vAlign w:val="bottom"/>
          </w:tcPr>
          <w:p w14:paraId="7E90077F" w14:textId="77777777" w:rsidR="003F0EEA" w:rsidRPr="00CB3E11" w:rsidRDefault="00FB7D0B">
            <w:pPr>
              <w:jc w:val="right"/>
              <w:rPr>
                <w:rFonts w:ascii="Arial" w:eastAsia="Arial" w:hAnsi="Arial" w:cs="Arial"/>
                <w:color w:val="000000"/>
                <w:sz w:val="16"/>
              </w:rPr>
            </w:pPr>
            <w:r w:rsidRPr="00CB3E11">
              <w:rPr>
                <w:rFonts w:ascii="Arial" w:eastAsia="Arial" w:hAnsi="Arial" w:cs="Arial"/>
                <w:color w:val="000000"/>
                <w:sz w:val="16"/>
              </w:rPr>
              <w:t>2013-14</w:t>
            </w:r>
          </w:p>
        </w:tc>
        <w:tc>
          <w:tcPr>
            <w:tcW w:w="990" w:type="dxa"/>
            <w:tcBorders>
              <w:top w:val="nil"/>
              <w:left w:val="nil"/>
              <w:bottom w:val="nil"/>
              <w:right w:val="nil"/>
              <w:tl2br w:val="nil"/>
              <w:tr2bl w:val="nil"/>
            </w:tcBorders>
            <w:shd w:val="clear" w:color="auto" w:fill="C0C0C0"/>
            <w:tcMar>
              <w:left w:w="115" w:type="dxa"/>
              <w:right w:w="115" w:type="dxa"/>
            </w:tcMar>
            <w:vAlign w:val="bottom"/>
          </w:tcPr>
          <w:p w14:paraId="767C992E" w14:textId="77777777" w:rsidR="003F0EEA" w:rsidRPr="00CB3E11" w:rsidRDefault="00FB7D0B">
            <w:pPr>
              <w:jc w:val="right"/>
              <w:rPr>
                <w:rFonts w:ascii="Arial" w:eastAsia="Arial" w:hAnsi="Arial" w:cs="Arial"/>
                <w:color w:val="000000"/>
                <w:sz w:val="16"/>
              </w:rPr>
            </w:pPr>
            <w:r w:rsidRPr="00CB3E11">
              <w:rPr>
                <w:rFonts w:ascii="Arial" w:eastAsia="Arial" w:hAnsi="Arial" w:cs="Arial"/>
                <w:color w:val="000000"/>
                <w:sz w:val="16"/>
              </w:rPr>
              <w:t>2014-15</w:t>
            </w:r>
          </w:p>
        </w:tc>
        <w:tc>
          <w:tcPr>
            <w:tcW w:w="990" w:type="dxa"/>
            <w:tcBorders>
              <w:top w:val="nil"/>
              <w:left w:val="nil"/>
              <w:bottom w:val="nil"/>
              <w:right w:val="nil"/>
              <w:tl2br w:val="nil"/>
              <w:tr2bl w:val="nil"/>
            </w:tcBorders>
            <w:shd w:val="clear" w:color="auto" w:fill="FFFFFF"/>
            <w:tcMar>
              <w:left w:w="115" w:type="dxa"/>
              <w:right w:w="115" w:type="dxa"/>
            </w:tcMar>
            <w:vAlign w:val="bottom"/>
          </w:tcPr>
          <w:p w14:paraId="250D7844" w14:textId="77777777" w:rsidR="003F0EEA" w:rsidRPr="00CB3E11" w:rsidRDefault="00FB7D0B">
            <w:pPr>
              <w:jc w:val="right"/>
              <w:rPr>
                <w:rFonts w:ascii="Arial" w:eastAsia="Arial" w:hAnsi="Arial" w:cs="Arial"/>
                <w:color w:val="000000"/>
                <w:sz w:val="16"/>
              </w:rPr>
            </w:pPr>
            <w:r w:rsidRPr="00CB3E11">
              <w:rPr>
                <w:rFonts w:ascii="Arial" w:eastAsia="Arial" w:hAnsi="Arial" w:cs="Arial"/>
                <w:color w:val="000000"/>
                <w:sz w:val="16"/>
              </w:rPr>
              <w:t>2015-16</w:t>
            </w:r>
          </w:p>
        </w:tc>
        <w:tc>
          <w:tcPr>
            <w:tcW w:w="990" w:type="dxa"/>
            <w:tcBorders>
              <w:top w:val="nil"/>
              <w:left w:val="nil"/>
              <w:bottom w:val="nil"/>
              <w:right w:val="nil"/>
              <w:tl2br w:val="nil"/>
              <w:tr2bl w:val="nil"/>
            </w:tcBorders>
            <w:shd w:val="clear" w:color="auto" w:fill="FFFFFF"/>
            <w:tcMar>
              <w:left w:w="115" w:type="dxa"/>
              <w:right w:w="115" w:type="dxa"/>
            </w:tcMar>
            <w:vAlign w:val="bottom"/>
          </w:tcPr>
          <w:p w14:paraId="10CB9A9A" w14:textId="77777777" w:rsidR="003F0EEA" w:rsidRPr="00CB3E11" w:rsidRDefault="00FB7D0B">
            <w:pPr>
              <w:jc w:val="right"/>
              <w:rPr>
                <w:rFonts w:ascii="Arial" w:eastAsia="Arial" w:hAnsi="Arial" w:cs="Arial"/>
                <w:color w:val="000000"/>
                <w:sz w:val="16"/>
              </w:rPr>
            </w:pPr>
            <w:r w:rsidRPr="00CB3E11">
              <w:rPr>
                <w:rFonts w:ascii="Arial" w:eastAsia="Arial" w:hAnsi="Arial" w:cs="Arial"/>
                <w:color w:val="000000"/>
                <w:sz w:val="16"/>
              </w:rPr>
              <w:t>2016-17</w:t>
            </w:r>
          </w:p>
        </w:tc>
        <w:tc>
          <w:tcPr>
            <w:tcW w:w="990" w:type="dxa"/>
            <w:tcBorders>
              <w:top w:val="nil"/>
              <w:left w:val="nil"/>
              <w:bottom w:val="nil"/>
              <w:right w:val="nil"/>
              <w:tl2br w:val="nil"/>
              <w:tr2bl w:val="nil"/>
            </w:tcBorders>
            <w:shd w:val="clear" w:color="auto" w:fill="FFFFFF"/>
            <w:tcMar>
              <w:left w:w="115" w:type="dxa"/>
              <w:right w:w="115" w:type="dxa"/>
            </w:tcMar>
            <w:vAlign w:val="bottom"/>
          </w:tcPr>
          <w:p w14:paraId="6DF6CDE0" w14:textId="77777777" w:rsidR="003F0EEA" w:rsidRPr="00CB3E11" w:rsidRDefault="00FB7D0B">
            <w:pPr>
              <w:jc w:val="right"/>
              <w:rPr>
                <w:rFonts w:ascii="Arial" w:eastAsia="Arial" w:hAnsi="Arial" w:cs="Arial"/>
                <w:color w:val="000000"/>
                <w:sz w:val="16"/>
              </w:rPr>
            </w:pPr>
            <w:r w:rsidRPr="00CB3E11">
              <w:rPr>
                <w:rFonts w:ascii="Arial" w:eastAsia="Arial" w:hAnsi="Arial" w:cs="Arial"/>
                <w:color w:val="000000"/>
                <w:sz w:val="16"/>
              </w:rPr>
              <w:t>2017-18</w:t>
            </w:r>
          </w:p>
        </w:tc>
      </w:tr>
      <w:tr w:rsidR="00724034" w14:paraId="5B15AC9B" w14:textId="77777777">
        <w:trPr>
          <w:trHeight w:val="225"/>
        </w:trPr>
        <w:tc>
          <w:tcPr>
            <w:tcW w:w="180" w:type="dxa"/>
            <w:tcBorders>
              <w:top w:val="nil"/>
              <w:left w:val="nil"/>
              <w:bottom w:val="nil"/>
              <w:right w:val="nil"/>
              <w:tl2br w:val="nil"/>
              <w:tr2bl w:val="nil"/>
            </w:tcBorders>
            <w:shd w:val="clear" w:color="auto" w:fill="FFFFFF"/>
            <w:tcMar>
              <w:left w:w="115" w:type="dxa"/>
              <w:right w:w="115" w:type="dxa"/>
            </w:tcMar>
            <w:vAlign w:val="bottom"/>
          </w:tcPr>
          <w:p w14:paraId="601BCAE5" w14:textId="77777777" w:rsidR="003F0EEA" w:rsidRPr="00CB3E11" w:rsidRDefault="003F0EEA">
            <w:pPr>
              <w:rPr>
                <w:rFonts w:ascii="Arial" w:eastAsia="Arial" w:hAnsi="Arial" w:cs="Arial"/>
                <w:color w:val="000000"/>
                <w:sz w:val="16"/>
              </w:rPr>
            </w:pPr>
          </w:p>
        </w:tc>
        <w:tc>
          <w:tcPr>
            <w:tcW w:w="180" w:type="dxa"/>
            <w:tcBorders>
              <w:top w:val="nil"/>
              <w:left w:val="nil"/>
              <w:bottom w:val="nil"/>
              <w:right w:val="nil"/>
              <w:tl2br w:val="nil"/>
              <w:tr2bl w:val="nil"/>
            </w:tcBorders>
            <w:shd w:val="clear" w:color="auto" w:fill="FFFFFF"/>
            <w:tcMar>
              <w:left w:w="115" w:type="dxa"/>
              <w:right w:w="115" w:type="dxa"/>
            </w:tcMar>
            <w:vAlign w:val="bottom"/>
          </w:tcPr>
          <w:p w14:paraId="2543A1F0" w14:textId="77777777" w:rsidR="003F0EEA" w:rsidRPr="00CB3E11" w:rsidRDefault="003F0EEA">
            <w:pPr>
              <w:rPr>
                <w:rFonts w:ascii="Arial" w:eastAsia="Arial" w:hAnsi="Arial" w:cs="Arial"/>
                <w:color w:val="000000"/>
                <w:sz w:val="16"/>
              </w:rPr>
            </w:pPr>
          </w:p>
        </w:tc>
        <w:tc>
          <w:tcPr>
            <w:tcW w:w="3150" w:type="dxa"/>
            <w:tcBorders>
              <w:top w:val="nil"/>
              <w:left w:val="nil"/>
              <w:bottom w:val="nil"/>
              <w:right w:val="nil"/>
              <w:tl2br w:val="nil"/>
              <w:tr2bl w:val="nil"/>
            </w:tcBorders>
            <w:shd w:val="clear" w:color="auto" w:fill="FFFFFF"/>
            <w:tcMar>
              <w:left w:w="115" w:type="dxa"/>
              <w:right w:w="115" w:type="dxa"/>
            </w:tcMar>
            <w:vAlign w:val="bottom"/>
          </w:tcPr>
          <w:p w14:paraId="2EA8397F" w14:textId="77777777" w:rsidR="003F0EEA" w:rsidRPr="00CB3E11" w:rsidRDefault="003F0EEA">
            <w:pPr>
              <w:rPr>
                <w:rFonts w:ascii="Arial" w:eastAsia="Arial" w:hAnsi="Arial" w:cs="Arial"/>
                <w:color w:val="000000"/>
                <w:sz w:val="16"/>
              </w:rPr>
            </w:pPr>
          </w:p>
        </w:tc>
        <w:tc>
          <w:tcPr>
            <w:tcW w:w="990"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06B297A7" w14:textId="77777777" w:rsidR="003F0EEA" w:rsidRPr="00CB3E11" w:rsidRDefault="00FB7D0B">
            <w:pPr>
              <w:jc w:val="right"/>
              <w:rPr>
                <w:rFonts w:ascii="Arial" w:eastAsia="Arial" w:hAnsi="Arial" w:cs="Arial"/>
                <w:color w:val="000000"/>
                <w:sz w:val="16"/>
              </w:rPr>
            </w:pPr>
            <w:r w:rsidRPr="00CB3E11">
              <w:rPr>
                <w:rFonts w:ascii="Arial" w:eastAsia="Arial" w:hAnsi="Arial" w:cs="Arial"/>
                <w:color w:val="000000"/>
                <w:sz w:val="16"/>
              </w:rPr>
              <w:t>$'000</w:t>
            </w:r>
          </w:p>
        </w:tc>
        <w:tc>
          <w:tcPr>
            <w:tcW w:w="990" w:type="dxa"/>
            <w:tcBorders>
              <w:top w:val="nil"/>
              <w:left w:val="nil"/>
              <w:bottom w:val="single" w:sz="6" w:space="0" w:color="000000"/>
              <w:right w:val="nil"/>
              <w:tl2br w:val="nil"/>
              <w:tr2bl w:val="nil"/>
            </w:tcBorders>
            <w:shd w:val="clear" w:color="auto" w:fill="C0C0C0"/>
            <w:tcMar>
              <w:left w:w="115" w:type="dxa"/>
              <w:right w:w="115" w:type="dxa"/>
            </w:tcMar>
            <w:vAlign w:val="bottom"/>
          </w:tcPr>
          <w:p w14:paraId="0C70A555" w14:textId="77777777" w:rsidR="003F0EEA" w:rsidRPr="00CB3E11" w:rsidRDefault="00FB7D0B">
            <w:pPr>
              <w:jc w:val="right"/>
              <w:rPr>
                <w:rFonts w:ascii="Arial" w:eastAsia="Arial" w:hAnsi="Arial" w:cs="Arial"/>
                <w:color w:val="000000"/>
                <w:sz w:val="16"/>
              </w:rPr>
            </w:pPr>
            <w:r w:rsidRPr="00CB3E11">
              <w:rPr>
                <w:rFonts w:ascii="Arial" w:eastAsia="Arial" w:hAnsi="Arial" w:cs="Arial"/>
                <w:color w:val="000000"/>
                <w:sz w:val="16"/>
              </w:rPr>
              <w:t>$'000</w:t>
            </w:r>
          </w:p>
        </w:tc>
        <w:tc>
          <w:tcPr>
            <w:tcW w:w="990"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5883622D" w14:textId="77777777" w:rsidR="003F0EEA" w:rsidRPr="00CB3E11" w:rsidRDefault="00FB7D0B">
            <w:pPr>
              <w:jc w:val="right"/>
              <w:rPr>
                <w:rFonts w:ascii="Arial" w:eastAsia="Arial" w:hAnsi="Arial" w:cs="Arial"/>
                <w:color w:val="000000"/>
                <w:sz w:val="16"/>
              </w:rPr>
            </w:pPr>
            <w:r w:rsidRPr="00CB3E11">
              <w:rPr>
                <w:rFonts w:ascii="Arial" w:eastAsia="Arial" w:hAnsi="Arial" w:cs="Arial"/>
                <w:color w:val="000000"/>
                <w:sz w:val="16"/>
              </w:rPr>
              <w:t>$'000</w:t>
            </w:r>
          </w:p>
        </w:tc>
        <w:tc>
          <w:tcPr>
            <w:tcW w:w="990"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435A504F" w14:textId="77777777" w:rsidR="003F0EEA" w:rsidRPr="00CB3E11" w:rsidRDefault="00FB7D0B">
            <w:pPr>
              <w:jc w:val="right"/>
              <w:rPr>
                <w:rFonts w:ascii="Arial" w:eastAsia="Arial" w:hAnsi="Arial" w:cs="Arial"/>
                <w:color w:val="000000"/>
                <w:sz w:val="16"/>
              </w:rPr>
            </w:pPr>
            <w:r w:rsidRPr="00CB3E11">
              <w:rPr>
                <w:rFonts w:ascii="Arial" w:eastAsia="Arial" w:hAnsi="Arial" w:cs="Arial"/>
                <w:color w:val="000000"/>
                <w:sz w:val="16"/>
              </w:rPr>
              <w:t>$'000</w:t>
            </w:r>
          </w:p>
        </w:tc>
        <w:tc>
          <w:tcPr>
            <w:tcW w:w="990"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7AC7B91E" w14:textId="77777777" w:rsidR="003F0EEA" w:rsidRPr="00CB3E11" w:rsidRDefault="00FB7D0B">
            <w:pPr>
              <w:jc w:val="right"/>
              <w:rPr>
                <w:rFonts w:ascii="Arial" w:eastAsia="Arial" w:hAnsi="Arial" w:cs="Arial"/>
                <w:color w:val="000000"/>
                <w:sz w:val="16"/>
              </w:rPr>
            </w:pPr>
            <w:r w:rsidRPr="00CB3E11">
              <w:rPr>
                <w:rFonts w:ascii="Arial" w:eastAsia="Arial" w:hAnsi="Arial" w:cs="Arial"/>
                <w:color w:val="000000"/>
                <w:sz w:val="16"/>
              </w:rPr>
              <w:t>$'000</w:t>
            </w:r>
          </w:p>
        </w:tc>
      </w:tr>
      <w:tr w:rsidR="00355BFE" w14:paraId="65412D61" w14:textId="77777777" w:rsidTr="00355BFE">
        <w:trPr>
          <w:trHeight w:val="225"/>
        </w:trPr>
        <w:tc>
          <w:tcPr>
            <w:tcW w:w="3510" w:type="dxa"/>
            <w:gridSpan w:val="3"/>
            <w:tcBorders>
              <w:top w:val="nil"/>
              <w:left w:val="nil"/>
              <w:bottom w:val="nil"/>
              <w:right w:val="nil"/>
              <w:tl2br w:val="nil"/>
              <w:tr2bl w:val="nil"/>
            </w:tcBorders>
            <w:shd w:val="clear" w:color="auto" w:fill="FFFFFF"/>
            <w:tcMar>
              <w:left w:w="115" w:type="dxa"/>
              <w:right w:w="115" w:type="dxa"/>
            </w:tcMar>
            <w:vAlign w:val="bottom"/>
          </w:tcPr>
          <w:p w14:paraId="698BA81F" w14:textId="77777777" w:rsidR="003F0EEA" w:rsidRPr="00CB3E11" w:rsidRDefault="00FB7D0B">
            <w:pPr>
              <w:rPr>
                <w:rFonts w:ascii="Arial" w:eastAsia="Arial" w:hAnsi="Arial" w:cs="Arial"/>
                <w:color w:val="000000"/>
                <w:sz w:val="16"/>
              </w:rPr>
            </w:pPr>
            <w:r w:rsidRPr="00CB3E11">
              <w:rPr>
                <w:rFonts w:ascii="Arial" w:eastAsia="Arial" w:hAnsi="Arial" w:cs="Arial"/>
                <w:b/>
                <w:color w:val="000000"/>
                <w:sz w:val="16"/>
              </w:rPr>
              <w:t>ASSETS</w:t>
            </w:r>
          </w:p>
        </w:tc>
        <w:tc>
          <w:tcPr>
            <w:tcW w:w="990"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2DBDAA18" w14:textId="77777777" w:rsidR="003F0EEA" w:rsidRPr="00CB3E11" w:rsidRDefault="003F0EEA">
            <w:pPr>
              <w:rPr>
                <w:rFonts w:ascii="Arial" w:eastAsia="Arial" w:hAnsi="Arial" w:cs="Arial"/>
                <w:b/>
                <w:color w:val="000000"/>
                <w:sz w:val="16"/>
              </w:rPr>
            </w:pPr>
          </w:p>
        </w:tc>
        <w:tc>
          <w:tcPr>
            <w:tcW w:w="990" w:type="dxa"/>
            <w:tcBorders>
              <w:top w:val="single" w:sz="6" w:space="0" w:color="000000"/>
              <w:left w:val="nil"/>
              <w:bottom w:val="nil"/>
              <w:right w:val="nil"/>
              <w:tl2br w:val="nil"/>
              <w:tr2bl w:val="nil"/>
            </w:tcBorders>
            <w:shd w:val="clear" w:color="auto" w:fill="C0C0C0"/>
            <w:tcMar>
              <w:left w:w="115" w:type="dxa"/>
              <w:right w:w="115" w:type="dxa"/>
            </w:tcMar>
            <w:vAlign w:val="bottom"/>
          </w:tcPr>
          <w:p w14:paraId="603325B8" w14:textId="77777777" w:rsidR="003F0EEA" w:rsidRPr="00CB3E11" w:rsidRDefault="003F0EEA">
            <w:pPr>
              <w:rPr>
                <w:rFonts w:ascii="Arial" w:eastAsia="Arial" w:hAnsi="Arial" w:cs="Arial"/>
                <w:color w:val="000000"/>
                <w:sz w:val="16"/>
              </w:rPr>
            </w:pPr>
          </w:p>
        </w:tc>
        <w:tc>
          <w:tcPr>
            <w:tcW w:w="990"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253AFD3B" w14:textId="77777777" w:rsidR="003F0EEA" w:rsidRPr="00CB3E11" w:rsidRDefault="003F0EEA">
            <w:pPr>
              <w:rPr>
                <w:rFonts w:ascii="Arial" w:eastAsia="Arial" w:hAnsi="Arial" w:cs="Arial"/>
                <w:color w:val="000000"/>
                <w:sz w:val="16"/>
              </w:rPr>
            </w:pPr>
          </w:p>
        </w:tc>
        <w:tc>
          <w:tcPr>
            <w:tcW w:w="990"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63117DCC" w14:textId="77777777" w:rsidR="003F0EEA" w:rsidRPr="00CB3E11" w:rsidRDefault="003F0EEA">
            <w:pPr>
              <w:rPr>
                <w:rFonts w:ascii="Arial" w:eastAsia="Arial" w:hAnsi="Arial" w:cs="Arial"/>
                <w:color w:val="000000"/>
                <w:sz w:val="16"/>
              </w:rPr>
            </w:pPr>
          </w:p>
        </w:tc>
        <w:tc>
          <w:tcPr>
            <w:tcW w:w="990"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3113F23F" w14:textId="77777777" w:rsidR="003F0EEA" w:rsidRPr="00CB3E11" w:rsidRDefault="003F0EEA">
            <w:pPr>
              <w:rPr>
                <w:rFonts w:ascii="Arial" w:eastAsia="Arial" w:hAnsi="Arial" w:cs="Arial"/>
                <w:color w:val="000000"/>
                <w:sz w:val="16"/>
              </w:rPr>
            </w:pPr>
          </w:p>
        </w:tc>
      </w:tr>
      <w:tr w:rsidR="00355BFE" w14:paraId="328EB433" w14:textId="77777777" w:rsidTr="00355BFE">
        <w:trPr>
          <w:trHeight w:val="225"/>
        </w:trPr>
        <w:tc>
          <w:tcPr>
            <w:tcW w:w="3510" w:type="dxa"/>
            <w:gridSpan w:val="3"/>
            <w:tcBorders>
              <w:top w:val="nil"/>
              <w:left w:val="nil"/>
              <w:bottom w:val="nil"/>
              <w:right w:val="nil"/>
              <w:tl2br w:val="nil"/>
              <w:tr2bl w:val="nil"/>
            </w:tcBorders>
            <w:shd w:val="clear" w:color="auto" w:fill="FFFFFF"/>
            <w:tcMar>
              <w:left w:w="115" w:type="dxa"/>
              <w:right w:w="115" w:type="dxa"/>
            </w:tcMar>
            <w:vAlign w:val="bottom"/>
          </w:tcPr>
          <w:p w14:paraId="1076E1EB" w14:textId="77777777" w:rsidR="003F0EEA" w:rsidRPr="00CB3E11" w:rsidRDefault="00FB7D0B">
            <w:pPr>
              <w:rPr>
                <w:rFonts w:ascii="Arial" w:eastAsia="Arial" w:hAnsi="Arial" w:cs="Arial"/>
                <w:color w:val="000000"/>
                <w:sz w:val="16"/>
              </w:rPr>
            </w:pPr>
            <w:r w:rsidRPr="00CB3E11">
              <w:rPr>
                <w:rFonts w:ascii="Arial" w:eastAsia="Arial" w:hAnsi="Arial" w:cs="Arial"/>
                <w:b/>
                <w:color w:val="000000"/>
                <w:sz w:val="16"/>
              </w:rPr>
              <w:t>Financial assets</w:t>
            </w:r>
          </w:p>
        </w:tc>
        <w:tc>
          <w:tcPr>
            <w:tcW w:w="990" w:type="dxa"/>
            <w:tcBorders>
              <w:top w:val="nil"/>
              <w:left w:val="nil"/>
              <w:bottom w:val="nil"/>
              <w:right w:val="nil"/>
              <w:tl2br w:val="nil"/>
              <w:tr2bl w:val="nil"/>
            </w:tcBorders>
            <w:shd w:val="clear" w:color="auto" w:fill="FFFFFF"/>
            <w:tcMar>
              <w:left w:w="115" w:type="dxa"/>
              <w:right w:w="115" w:type="dxa"/>
            </w:tcMar>
            <w:vAlign w:val="bottom"/>
          </w:tcPr>
          <w:p w14:paraId="3BC5BBA1" w14:textId="77777777" w:rsidR="003F0EEA" w:rsidRPr="00CB3E11" w:rsidRDefault="003F0EEA">
            <w:pPr>
              <w:rPr>
                <w:rFonts w:ascii="Arial" w:eastAsia="Arial" w:hAnsi="Arial" w:cs="Arial"/>
                <w:b/>
                <w:color w:val="000000"/>
                <w:sz w:val="16"/>
              </w:rPr>
            </w:pPr>
          </w:p>
        </w:tc>
        <w:tc>
          <w:tcPr>
            <w:tcW w:w="990" w:type="dxa"/>
            <w:tcBorders>
              <w:top w:val="nil"/>
              <w:left w:val="nil"/>
              <w:bottom w:val="nil"/>
              <w:right w:val="nil"/>
              <w:tl2br w:val="nil"/>
              <w:tr2bl w:val="nil"/>
            </w:tcBorders>
            <w:shd w:val="clear" w:color="auto" w:fill="C0C0C0"/>
            <w:tcMar>
              <w:left w:w="115" w:type="dxa"/>
              <w:right w:w="115" w:type="dxa"/>
            </w:tcMar>
            <w:vAlign w:val="bottom"/>
          </w:tcPr>
          <w:p w14:paraId="2BBBDF5D" w14:textId="77777777" w:rsidR="003F0EEA" w:rsidRPr="00CB3E11" w:rsidRDefault="003F0EEA">
            <w:pPr>
              <w:rPr>
                <w:rFonts w:ascii="Arial" w:eastAsia="Arial" w:hAnsi="Arial" w:cs="Arial"/>
                <w:color w:val="000000"/>
                <w:sz w:val="16"/>
              </w:rPr>
            </w:pPr>
          </w:p>
        </w:tc>
        <w:tc>
          <w:tcPr>
            <w:tcW w:w="990" w:type="dxa"/>
            <w:tcBorders>
              <w:top w:val="nil"/>
              <w:left w:val="nil"/>
              <w:bottom w:val="nil"/>
              <w:right w:val="nil"/>
              <w:tl2br w:val="nil"/>
              <w:tr2bl w:val="nil"/>
            </w:tcBorders>
            <w:shd w:val="clear" w:color="auto" w:fill="FFFFFF"/>
            <w:tcMar>
              <w:left w:w="115" w:type="dxa"/>
              <w:right w:w="115" w:type="dxa"/>
            </w:tcMar>
            <w:vAlign w:val="bottom"/>
          </w:tcPr>
          <w:p w14:paraId="6174BE63" w14:textId="77777777" w:rsidR="003F0EEA" w:rsidRPr="00CB3E11" w:rsidRDefault="003F0EEA">
            <w:pPr>
              <w:rPr>
                <w:rFonts w:ascii="Arial" w:eastAsia="Arial" w:hAnsi="Arial" w:cs="Arial"/>
                <w:color w:val="000000"/>
                <w:sz w:val="16"/>
              </w:rPr>
            </w:pPr>
          </w:p>
        </w:tc>
        <w:tc>
          <w:tcPr>
            <w:tcW w:w="990" w:type="dxa"/>
            <w:tcBorders>
              <w:top w:val="nil"/>
              <w:left w:val="nil"/>
              <w:bottom w:val="nil"/>
              <w:right w:val="nil"/>
              <w:tl2br w:val="nil"/>
              <w:tr2bl w:val="nil"/>
            </w:tcBorders>
            <w:shd w:val="clear" w:color="auto" w:fill="FFFFFF"/>
            <w:tcMar>
              <w:left w:w="115" w:type="dxa"/>
              <w:right w:w="115" w:type="dxa"/>
            </w:tcMar>
            <w:vAlign w:val="bottom"/>
          </w:tcPr>
          <w:p w14:paraId="56B8C05E" w14:textId="77777777" w:rsidR="003F0EEA" w:rsidRPr="00CB3E11" w:rsidRDefault="003F0EEA">
            <w:pPr>
              <w:rPr>
                <w:rFonts w:ascii="Arial" w:eastAsia="Arial" w:hAnsi="Arial" w:cs="Arial"/>
                <w:color w:val="000000"/>
                <w:sz w:val="16"/>
              </w:rPr>
            </w:pPr>
          </w:p>
        </w:tc>
        <w:tc>
          <w:tcPr>
            <w:tcW w:w="990" w:type="dxa"/>
            <w:tcBorders>
              <w:top w:val="nil"/>
              <w:left w:val="nil"/>
              <w:bottom w:val="nil"/>
              <w:right w:val="nil"/>
              <w:tl2br w:val="nil"/>
              <w:tr2bl w:val="nil"/>
            </w:tcBorders>
            <w:shd w:val="clear" w:color="auto" w:fill="FFFFFF"/>
            <w:tcMar>
              <w:left w:w="115" w:type="dxa"/>
              <w:right w:w="115" w:type="dxa"/>
            </w:tcMar>
            <w:vAlign w:val="bottom"/>
          </w:tcPr>
          <w:p w14:paraId="08B8BF47" w14:textId="77777777" w:rsidR="003F0EEA" w:rsidRPr="00CB3E11" w:rsidRDefault="003F0EEA">
            <w:pPr>
              <w:rPr>
                <w:rFonts w:ascii="Arial" w:eastAsia="Arial" w:hAnsi="Arial" w:cs="Arial"/>
                <w:color w:val="000000"/>
                <w:sz w:val="16"/>
              </w:rPr>
            </w:pPr>
          </w:p>
        </w:tc>
      </w:tr>
      <w:tr w:rsidR="00355BFE" w14:paraId="0E906C33" w14:textId="77777777" w:rsidTr="00355BFE">
        <w:trPr>
          <w:trHeight w:val="225"/>
        </w:trPr>
        <w:tc>
          <w:tcPr>
            <w:tcW w:w="180" w:type="dxa"/>
            <w:tcBorders>
              <w:top w:val="nil"/>
              <w:left w:val="nil"/>
              <w:bottom w:val="nil"/>
              <w:right w:val="nil"/>
              <w:tl2br w:val="nil"/>
              <w:tr2bl w:val="nil"/>
            </w:tcBorders>
            <w:shd w:val="clear" w:color="auto" w:fill="FFFFFF"/>
            <w:tcMar>
              <w:left w:w="115" w:type="dxa"/>
              <w:right w:w="115" w:type="dxa"/>
            </w:tcMar>
            <w:vAlign w:val="bottom"/>
          </w:tcPr>
          <w:p w14:paraId="27A3E537" w14:textId="77777777" w:rsidR="003F0EEA" w:rsidRPr="00CB3E11" w:rsidRDefault="003F0EEA">
            <w:pPr>
              <w:rPr>
                <w:rFonts w:ascii="Arial" w:eastAsia="Arial" w:hAnsi="Arial" w:cs="Arial"/>
                <w:color w:val="000000"/>
                <w:sz w:val="16"/>
              </w:rPr>
            </w:pPr>
          </w:p>
        </w:tc>
        <w:tc>
          <w:tcPr>
            <w:tcW w:w="3330" w:type="dxa"/>
            <w:gridSpan w:val="2"/>
            <w:vMerge w:val="restart"/>
            <w:tcBorders>
              <w:top w:val="nil"/>
              <w:left w:val="nil"/>
              <w:bottom w:val="nil"/>
              <w:right w:val="nil"/>
              <w:tl2br w:val="nil"/>
              <w:tr2bl w:val="nil"/>
            </w:tcBorders>
            <w:shd w:val="clear" w:color="auto" w:fill="FFFFFF"/>
            <w:tcMar>
              <w:left w:w="115" w:type="dxa"/>
              <w:right w:w="115" w:type="dxa"/>
            </w:tcMar>
            <w:vAlign w:val="bottom"/>
          </w:tcPr>
          <w:p w14:paraId="559D3CE8" w14:textId="77777777" w:rsidR="003F0EEA" w:rsidRPr="00CB3E11" w:rsidRDefault="00FB7D0B">
            <w:pPr>
              <w:rPr>
                <w:rFonts w:ascii="Arial" w:eastAsia="Arial" w:hAnsi="Arial" w:cs="Arial"/>
                <w:color w:val="000000"/>
                <w:sz w:val="16"/>
              </w:rPr>
            </w:pPr>
            <w:r w:rsidRPr="00CB3E11">
              <w:rPr>
                <w:rFonts w:ascii="Arial" w:eastAsia="Arial" w:hAnsi="Arial" w:cs="Arial"/>
                <w:color w:val="000000"/>
                <w:sz w:val="16"/>
              </w:rPr>
              <w:t>Cash and cash equivalents</w:t>
            </w:r>
          </w:p>
        </w:tc>
        <w:tc>
          <w:tcPr>
            <w:tcW w:w="990" w:type="dxa"/>
            <w:tcBorders>
              <w:top w:val="nil"/>
              <w:left w:val="nil"/>
              <w:bottom w:val="nil"/>
              <w:right w:val="nil"/>
              <w:tl2br w:val="nil"/>
              <w:tr2bl w:val="nil"/>
            </w:tcBorders>
            <w:shd w:val="clear" w:color="auto" w:fill="FFFFFF"/>
            <w:tcMar>
              <w:left w:w="115" w:type="dxa"/>
              <w:right w:w="115" w:type="dxa"/>
            </w:tcMar>
            <w:vAlign w:val="bottom"/>
          </w:tcPr>
          <w:p w14:paraId="0C366687" w14:textId="77777777" w:rsidR="003F0EEA" w:rsidRPr="00CB3E11" w:rsidRDefault="00FB7D0B">
            <w:pPr>
              <w:jc w:val="right"/>
              <w:rPr>
                <w:rFonts w:ascii="Arial" w:eastAsia="Arial" w:hAnsi="Arial" w:cs="Arial"/>
                <w:color w:val="000000"/>
                <w:sz w:val="16"/>
              </w:rPr>
            </w:pPr>
            <w:r w:rsidRPr="00CB3E11">
              <w:rPr>
                <w:rFonts w:ascii="Arial" w:eastAsia="Arial" w:hAnsi="Arial" w:cs="Arial"/>
                <w:color w:val="000000"/>
                <w:sz w:val="16"/>
              </w:rPr>
              <w:t>1,496 </w:t>
            </w:r>
          </w:p>
        </w:tc>
        <w:tc>
          <w:tcPr>
            <w:tcW w:w="990" w:type="dxa"/>
            <w:tcBorders>
              <w:top w:val="nil"/>
              <w:left w:val="nil"/>
              <w:bottom w:val="nil"/>
              <w:right w:val="nil"/>
              <w:tl2br w:val="nil"/>
              <w:tr2bl w:val="nil"/>
            </w:tcBorders>
            <w:shd w:val="clear" w:color="auto" w:fill="C0C0C0"/>
            <w:tcMar>
              <w:left w:w="115" w:type="dxa"/>
              <w:right w:w="115" w:type="dxa"/>
            </w:tcMar>
            <w:vAlign w:val="bottom"/>
          </w:tcPr>
          <w:p w14:paraId="1E07FF25" w14:textId="77777777" w:rsidR="003F0EEA" w:rsidRPr="00CB3E11" w:rsidRDefault="00FB7D0B">
            <w:pPr>
              <w:jc w:val="right"/>
              <w:rPr>
                <w:rFonts w:ascii="Arial" w:eastAsia="Arial" w:hAnsi="Arial" w:cs="Arial"/>
                <w:color w:val="000000"/>
                <w:sz w:val="16"/>
              </w:rPr>
            </w:pPr>
            <w:r w:rsidRPr="00CB3E11">
              <w:rPr>
                <w:rFonts w:ascii="Arial" w:eastAsia="Arial" w:hAnsi="Arial" w:cs="Arial"/>
                <w:color w:val="000000"/>
                <w:sz w:val="16"/>
              </w:rPr>
              <w:t>1,202 </w:t>
            </w:r>
          </w:p>
        </w:tc>
        <w:tc>
          <w:tcPr>
            <w:tcW w:w="990" w:type="dxa"/>
            <w:tcBorders>
              <w:top w:val="nil"/>
              <w:left w:val="nil"/>
              <w:bottom w:val="nil"/>
              <w:right w:val="nil"/>
              <w:tl2br w:val="nil"/>
              <w:tr2bl w:val="nil"/>
            </w:tcBorders>
            <w:shd w:val="clear" w:color="auto" w:fill="FFFFFF"/>
            <w:tcMar>
              <w:left w:w="115" w:type="dxa"/>
              <w:right w:w="115" w:type="dxa"/>
            </w:tcMar>
            <w:vAlign w:val="bottom"/>
          </w:tcPr>
          <w:p w14:paraId="33D3E777" w14:textId="77777777" w:rsidR="003F0EEA" w:rsidRPr="00CB3E11" w:rsidRDefault="00FB7D0B">
            <w:pPr>
              <w:jc w:val="right"/>
              <w:rPr>
                <w:rFonts w:ascii="Arial" w:eastAsia="Arial" w:hAnsi="Arial" w:cs="Arial"/>
                <w:color w:val="000000"/>
                <w:sz w:val="16"/>
              </w:rPr>
            </w:pPr>
            <w:r w:rsidRPr="00CB3E11">
              <w:rPr>
                <w:rFonts w:ascii="Arial" w:eastAsia="Arial" w:hAnsi="Arial" w:cs="Arial"/>
                <w:color w:val="000000"/>
                <w:sz w:val="16"/>
              </w:rPr>
              <w:t>1,726 </w:t>
            </w:r>
          </w:p>
        </w:tc>
        <w:tc>
          <w:tcPr>
            <w:tcW w:w="990" w:type="dxa"/>
            <w:tcBorders>
              <w:top w:val="nil"/>
              <w:left w:val="nil"/>
              <w:bottom w:val="nil"/>
              <w:right w:val="nil"/>
              <w:tl2br w:val="nil"/>
              <w:tr2bl w:val="nil"/>
            </w:tcBorders>
            <w:shd w:val="clear" w:color="auto" w:fill="FFFFFF"/>
            <w:tcMar>
              <w:left w:w="115" w:type="dxa"/>
              <w:right w:w="115" w:type="dxa"/>
            </w:tcMar>
            <w:vAlign w:val="bottom"/>
          </w:tcPr>
          <w:p w14:paraId="63637C79" w14:textId="77777777" w:rsidR="003F0EEA" w:rsidRPr="00CB3E11" w:rsidRDefault="00FB7D0B">
            <w:pPr>
              <w:jc w:val="right"/>
              <w:rPr>
                <w:rFonts w:ascii="Arial" w:eastAsia="Arial" w:hAnsi="Arial" w:cs="Arial"/>
                <w:color w:val="000000"/>
                <w:sz w:val="16"/>
              </w:rPr>
            </w:pPr>
            <w:r w:rsidRPr="00CB3E11">
              <w:rPr>
                <w:rFonts w:ascii="Arial" w:eastAsia="Arial" w:hAnsi="Arial" w:cs="Arial"/>
                <w:color w:val="000000"/>
                <w:sz w:val="16"/>
              </w:rPr>
              <w:t>1,490 </w:t>
            </w:r>
          </w:p>
        </w:tc>
        <w:tc>
          <w:tcPr>
            <w:tcW w:w="990" w:type="dxa"/>
            <w:tcBorders>
              <w:top w:val="nil"/>
              <w:left w:val="nil"/>
              <w:bottom w:val="nil"/>
              <w:right w:val="nil"/>
              <w:tl2br w:val="nil"/>
              <w:tr2bl w:val="nil"/>
            </w:tcBorders>
            <w:shd w:val="clear" w:color="auto" w:fill="FFFFFF"/>
            <w:tcMar>
              <w:left w:w="115" w:type="dxa"/>
              <w:right w:w="115" w:type="dxa"/>
            </w:tcMar>
            <w:vAlign w:val="bottom"/>
          </w:tcPr>
          <w:p w14:paraId="7AAB094B" w14:textId="77777777" w:rsidR="003F0EEA" w:rsidRPr="00CB3E11" w:rsidRDefault="00FB7D0B">
            <w:pPr>
              <w:jc w:val="right"/>
              <w:rPr>
                <w:rFonts w:ascii="Arial" w:eastAsia="Arial" w:hAnsi="Arial" w:cs="Arial"/>
                <w:color w:val="000000"/>
                <w:sz w:val="16"/>
              </w:rPr>
            </w:pPr>
            <w:r w:rsidRPr="00CB3E11">
              <w:rPr>
                <w:rFonts w:ascii="Arial" w:eastAsia="Arial" w:hAnsi="Arial" w:cs="Arial"/>
                <w:color w:val="000000"/>
                <w:sz w:val="16"/>
              </w:rPr>
              <w:t>1,850 </w:t>
            </w:r>
          </w:p>
        </w:tc>
      </w:tr>
      <w:tr w:rsidR="00355BFE" w14:paraId="1E5196A4" w14:textId="77777777" w:rsidTr="00355BFE">
        <w:trPr>
          <w:trHeight w:val="225"/>
        </w:trPr>
        <w:tc>
          <w:tcPr>
            <w:tcW w:w="180" w:type="dxa"/>
            <w:tcBorders>
              <w:top w:val="nil"/>
              <w:left w:val="nil"/>
              <w:bottom w:val="nil"/>
              <w:right w:val="nil"/>
              <w:tl2br w:val="nil"/>
              <w:tr2bl w:val="nil"/>
            </w:tcBorders>
            <w:shd w:val="clear" w:color="auto" w:fill="FFFFFF"/>
            <w:tcMar>
              <w:left w:w="115" w:type="dxa"/>
              <w:right w:w="115" w:type="dxa"/>
            </w:tcMar>
            <w:vAlign w:val="bottom"/>
          </w:tcPr>
          <w:p w14:paraId="55938E02" w14:textId="77777777" w:rsidR="003F0EEA" w:rsidRPr="00CB3E11" w:rsidRDefault="003F0EEA">
            <w:pPr>
              <w:rPr>
                <w:rFonts w:ascii="Arial" w:eastAsia="Arial" w:hAnsi="Arial" w:cs="Arial"/>
                <w:color w:val="000000"/>
                <w:sz w:val="16"/>
              </w:rPr>
            </w:pPr>
          </w:p>
        </w:tc>
        <w:tc>
          <w:tcPr>
            <w:tcW w:w="3330" w:type="dxa"/>
            <w:gridSpan w:val="2"/>
            <w:vMerge w:val="restart"/>
            <w:tcBorders>
              <w:top w:val="nil"/>
              <w:left w:val="nil"/>
              <w:bottom w:val="nil"/>
              <w:right w:val="nil"/>
              <w:tl2br w:val="nil"/>
              <w:tr2bl w:val="nil"/>
            </w:tcBorders>
            <w:shd w:val="clear" w:color="auto" w:fill="FFFFFF"/>
            <w:tcMar>
              <w:left w:w="115" w:type="dxa"/>
              <w:right w:w="115" w:type="dxa"/>
            </w:tcMar>
            <w:vAlign w:val="bottom"/>
          </w:tcPr>
          <w:p w14:paraId="18BBC662" w14:textId="77777777" w:rsidR="003F0EEA" w:rsidRPr="00CB3E11" w:rsidRDefault="00FB7D0B">
            <w:pPr>
              <w:rPr>
                <w:rFonts w:ascii="Arial" w:eastAsia="Arial" w:hAnsi="Arial" w:cs="Arial"/>
                <w:color w:val="000000"/>
                <w:sz w:val="16"/>
              </w:rPr>
            </w:pPr>
            <w:r w:rsidRPr="00CB3E11">
              <w:rPr>
                <w:rFonts w:ascii="Arial" w:eastAsia="Arial" w:hAnsi="Arial" w:cs="Arial"/>
                <w:color w:val="000000"/>
                <w:sz w:val="16"/>
              </w:rPr>
              <w:t>Trade and other receivables</w:t>
            </w:r>
          </w:p>
        </w:tc>
        <w:tc>
          <w:tcPr>
            <w:tcW w:w="990" w:type="dxa"/>
            <w:tcBorders>
              <w:top w:val="nil"/>
              <w:left w:val="nil"/>
              <w:bottom w:val="nil"/>
              <w:right w:val="nil"/>
              <w:tl2br w:val="nil"/>
              <w:tr2bl w:val="nil"/>
            </w:tcBorders>
            <w:shd w:val="clear" w:color="auto" w:fill="FFFFFF"/>
            <w:tcMar>
              <w:left w:w="115" w:type="dxa"/>
              <w:right w:w="115" w:type="dxa"/>
            </w:tcMar>
            <w:vAlign w:val="bottom"/>
          </w:tcPr>
          <w:p w14:paraId="76B66767" w14:textId="77777777" w:rsidR="003F0EEA" w:rsidRPr="00CB3E11" w:rsidRDefault="00FB7D0B">
            <w:pPr>
              <w:jc w:val="right"/>
              <w:rPr>
                <w:rFonts w:ascii="Arial" w:eastAsia="Arial" w:hAnsi="Arial" w:cs="Arial"/>
                <w:color w:val="000000"/>
                <w:sz w:val="16"/>
              </w:rPr>
            </w:pPr>
            <w:r w:rsidRPr="00CB3E11">
              <w:rPr>
                <w:rFonts w:ascii="Arial" w:eastAsia="Arial" w:hAnsi="Arial" w:cs="Arial"/>
                <w:color w:val="000000"/>
                <w:sz w:val="16"/>
              </w:rPr>
              <w:t>829 </w:t>
            </w:r>
          </w:p>
        </w:tc>
        <w:tc>
          <w:tcPr>
            <w:tcW w:w="990" w:type="dxa"/>
            <w:tcBorders>
              <w:top w:val="nil"/>
              <w:left w:val="nil"/>
              <w:bottom w:val="nil"/>
              <w:right w:val="nil"/>
              <w:tl2br w:val="nil"/>
              <w:tr2bl w:val="nil"/>
            </w:tcBorders>
            <w:shd w:val="clear" w:color="auto" w:fill="C0C0C0"/>
            <w:tcMar>
              <w:left w:w="115" w:type="dxa"/>
              <w:right w:w="115" w:type="dxa"/>
            </w:tcMar>
            <w:vAlign w:val="bottom"/>
          </w:tcPr>
          <w:p w14:paraId="4EA9D766" w14:textId="77777777" w:rsidR="003F0EEA" w:rsidRPr="00CB3E11" w:rsidRDefault="00FB7D0B">
            <w:pPr>
              <w:jc w:val="right"/>
              <w:rPr>
                <w:rFonts w:ascii="Arial" w:eastAsia="Arial" w:hAnsi="Arial" w:cs="Arial"/>
                <w:color w:val="000000"/>
                <w:sz w:val="16"/>
              </w:rPr>
            </w:pPr>
            <w:r w:rsidRPr="00CB3E11">
              <w:rPr>
                <w:rFonts w:ascii="Arial" w:eastAsia="Arial" w:hAnsi="Arial" w:cs="Arial"/>
                <w:color w:val="000000"/>
                <w:sz w:val="16"/>
              </w:rPr>
              <w:t>876 </w:t>
            </w:r>
          </w:p>
        </w:tc>
        <w:tc>
          <w:tcPr>
            <w:tcW w:w="990" w:type="dxa"/>
            <w:tcBorders>
              <w:top w:val="nil"/>
              <w:left w:val="nil"/>
              <w:bottom w:val="nil"/>
              <w:right w:val="nil"/>
              <w:tl2br w:val="nil"/>
              <w:tr2bl w:val="nil"/>
            </w:tcBorders>
            <w:shd w:val="clear" w:color="auto" w:fill="FFFFFF"/>
            <w:tcMar>
              <w:left w:w="115" w:type="dxa"/>
              <w:right w:w="115" w:type="dxa"/>
            </w:tcMar>
            <w:vAlign w:val="bottom"/>
          </w:tcPr>
          <w:p w14:paraId="64B93CFE" w14:textId="77777777" w:rsidR="003F0EEA" w:rsidRPr="00CB3E11" w:rsidRDefault="00FB7D0B">
            <w:pPr>
              <w:jc w:val="right"/>
              <w:rPr>
                <w:rFonts w:ascii="Arial" w:eastAsia="Arial" w:hAnsi="Arial" w:cs="Arial"/>
                <w:color w:val="000000"/>
                <w:sz w:val="16"/>
              </w:rPr>
            </w:pPr>
            <w:r w:rsidRPr="00CB3E11">
              <w:rPr>
                <w:rFonts w:ascii="Arial" w:eastAsia="Arial" w:hAnsi="Arial" w:cs="Arial"/>
                <w:color w:val="000000"/>
                <w:sz w:val="16"/>
              </w:rPr>
              <w:t>876 </w:t>
            </w:r>
          </w:p>
        </w:tc>
        <w:tc>
          <w:tcPr>
            <w:tcW w:w="990" w:type="dxa"/>
            <w:tcBorders>
              <w:top w:val="nil"/>
              <w:left w:val="nil"/>
              <w:bottom w:val="nil"/>
              <w:right w:val="nil"/>
              <w:tl2br w:val="nil"/>
              <w:tr2bl w:val="nil"/>
            </w:tcBorders>
            <w:shd w:val="clear" w:color="auto" w:fill="FFFFFF"/>
            <w:tcMar>
              <w:left w:w="115" w:type="dxa"/>
              <w:right w:w="115" w:type="dxa"/>
            </w:tcMar>
            <w:vAlign w:val="bottom"/>
          </w:tcPr>
          <w:p w14:paraId="3165CD6B" w14:textId="77777777" w:rsidR="003F0EEA" w:rsidRPr="00CB3E11" w:rsidRDefault="00FB7D0B">
            <w:pPr>
              <w:jc w:val="right"/>
              <w:rPr>
                <w:rFonts w:ascii="Arial" w:eastAsia="Arial" w:hAnsi="Arial" w:cs="Arial"/>
                <w:color w:val="000000"/>
                <w:sz w:val="16"/>
              </w:rPr>
            </w:pPr>
            <w:r w:rsidRPr="00CB3E11">
              <w:rPr>
                <w:rFonts w:ascii="Arial" w:eastAsia="Arial" w:hAnsi="Arial" w:cs="Arial"/>
                <w:color w:val="000000"/>
                <w:sz w:val="16"/>
              </w:rPr>
              <w:t>876 </w:t>
            </w:r>
          </w:p>
        </w:tc>
        <w:tc>
          <w:tcPr>
            <w:tcW w:w="990" w:type="dxa"/>
            <w:tcBorders>
              <w:top w:val="nil"/>
              <w:left w:val="nil"/>
              <w:bottom w:val="nil"/>
              <w:right w:val="nil"/>
              <w:tl2br w:val="nil"/>
              <w:tr2bl w:val="nil"/>
            </w:tcBorders>
            <w:shd w:val="clear" w:color="auto" w:fill="FFFFFF"/>
            <w:tcMar>
              <w:left w:w="115" w:type="dxa"/>
              <w:right w:w="115" w:type="dxa"/>
            </w:tcMar>
            <w:vAlign w:val="bottom"/>
          </w:tcPr>
          <w:p w14:paraId="29863FFD" w14:textId="77777777" w:rsidR="003F0EEA" w:rsidRPr="00CB3E11" w:rsidRDefault="00FB7D0B">
            <w:pPr>
              <w:jc w:val="right"/>
              <w:rPr>
                <w:rFonts w:ascii="Arial" w:eastAsia="Arial" w:hAnsi="Arial" w:cs="Arial"/>
                <w:color w:val="000000"/>
                <w:sz w:val="16"/>
              </w:rPr>
            </w:pPr>
            <w:r w:rsidRPr="00CB3E11">
              <w:rPr>
                <w:rFonts w:ascii="Arial" w:eastAsia="Arial" w:hAnsi="Arial" w:cs="Arial"/>
                <w:color w:val="000000"/>
                <w:sz w:val="16"/>
              </w:rPr>
              <w:t>876 </w:t>
            </w:r>
          </w:p>
        </w:tc>
      </w:tr>
      <w:tr w:rsidR="00355BFE" w14:paraId="2D727C03" w14:textId="77777777" w:rsidTr="00355BFE">
        <w:trPr>
          <w:trHeight w:val="225"/>
        </w:trPr>
        <w:tc>
          <w:tcPr>
            <w:tcW w:w="180" w:type="dxa"/>
            <w:tcBorders>
              <w:top w:val="nil"/>
              <w:left w:val="nil"/>
              <w:bottom w:val="nil"/>
              <w:right w:val="nil"/>
              <w:tl2br w:val="nil"/>
              <w:tr2bl w:val="nil"/>
            </w:tcBorders>
            <w:shd w:val="clear" w:color="auto" w:fill="FFFFFF"/>
            <w:tcMar>
              <w:left w:w="115" w:type="dxa"/>
              <w:right w:w="115" w:type="dxa"/>
            </w:tcMar>
            <w:vAlign w:val="bottom"/>
          </w:tcPr>
          <w:p w14:paraId="3B0CE13A" w14:textId="77777777" w:rsidR="003F0EEA" w:rsidRPr="00CB3E11" w:rsidRDefault="003F0EEA">
            <w:pPr>
              <w:rPr>
                <w:rFonts w:ascii="Arial" w:eastAsia="Arial" w:hAnsi="Arial" w:cs="Arial"/>
                <w:color w:val="000000"/>
                <w:sz w:val="16"/>
              </w:rPr>
            </w:pPr>
          </w:p>
        </w:tc>
        <w:tc>
          <w:tcPr>
            <w:tcW w:w="3330" w:type="dxa"/>
            <w:gridSpan w:val="2"/>
            <w:vMerge w:val="restart"/>
            <w:tcBorders>
              <w:top w:val="nil"/>
              <w:left w:val="nil"/>
              <w:bottom w:val="nil"/>
              <w:right w:val="nil"/>
              <w:tl2br w:val="nil"/>
              <w:tr2bl w:val="nil"/>
            </w:tcBorders>
            <w:shd w:val="clear" w:color="auto" w:fill="FFFFFF"/>
            <w:tcMar>
              <w:left w:w="115" w:type="dxa"/>
              <w:right w:w="115" w:type="dxa"/>
            </w:tcMar>
            <w:vAlign w:val="bottom"/>
          </w:tcPr>
          <w:p w14:paraId="78294B21" w14:textId="77777777" w:rsidR="003F0EEA" w:rsidRPr="00CB3E11" w:rsidRDefault="00FB7D0B">
            <w:pPr>
              <w:rPr>
                <w:rFonts w:ascii="Arial" w:eastAsia="Arial" w:hAnsi="Arial" w:cs="Arial"/>
                <w:color w:val="000000"/>
                <w:sz w:val="16"/>
              </w:rPr>
            </w:pPr>
            <w:r w:rsidRPr="00CB3E11">
              <w:rPr>
                <w:rFonts w:ascii="Arial" w:eastAsia="Arial" w:hAnsi="Arial" w:cs="Arial"/>
                <w:color w:val="000000"/>
                <w:sz w:val="16"/>
              </w:rPr>
              <w:t xml:space="preserve">Investments accounted for under </w:t>
            </w:r>
          </w:p>
        </w:tc>
        <w:tc>
          <w:tcPr>
            <w:tcW w:w="990" w:type="dxa"/>
            <w:tcBorders>
              <w:top w:val="nil"/>
              <w:left w:val="nil"/>
              <w:bottom w:val="nil"/>
              <w:right w:val="nil"/>
              <w:tl2br w:val="nil"/>
              <w:tr2bl w:val="nil"/>
            </w:tcBorders>
            <w:shd w:val="clear" w:color="auto" w:fill="FFFFFF"/>
            <w:tcMar>
              <w:left w:w="115" w:type="dxa"/>
              <w:right w:w="115" w:type="dxa"/>
            </w:tcMar>
            <w:vAlign w:val="bottom"/>
          </w:tcPr>
          <w:p w14:paraId="633421C1" w14:textId="77777777" w:rsidR="003F0EEA" w:rsidRPr="00CB3E11" w:rsidRDefault="003F0EEA">
            <w:pPr>
              <w:rPr>
                <w:rFonts w:ascii="Arial" w:eastAsia="Arial" w:hAnsi="Arial" w:cs="Arial"/>
                <w:color w:val="000000"/>
                <w:sz w:val="16"/>
              </w:rPr>
            </w:pPr>
          </w:p>
        </w:tc>
        <w:tc>
          <w:tcPr>
            <w:tcW w:w="990" w:type="dxa"/>
            <w:tcBorders>
              <w:top w:val="nil"/>
              <w:left w:val="nil"/>
              <w:bottom w:val="nil"/>
              <w:right w:val="nil"/>
              <w:tl2br w:val="nil"/>
              <w:tr2bl w:val="nil"/>
            </w:tcBorders>
            <w:shd w:val="clear" w:color="auto" w:fill="C0C0C0"/>
            <w:tcMar>
              <w:left w:w="115" w:type="dxa"/>
              <w:right w:w="115" w:type="dxa"/>
            </w:tcMar>
            <w:vAlign w:val="bottom"/>
          </w:tcPr>
          <w:p w14:paraId="61FFD130" w14:textId="77777777" w:rsidR="003F0EEA" w:rsidRPr="00CB3E11" w:rsidRDefault="003F0EEA">
            <w:pPr>
              <w:rPr>
                <w:rFonts w:ascii="Arial" w:eastAsia="Arial" w:hAnsi="Arial" w:cs="Arial"/>
                <w:color w:val="000000"/>
                <w:sz w:val="16"/>
              </w:rPr>
            </w:pPr>
          </w:p>
        </w:tc>
        <w:tc>
          <w:tcPr>
            <w:tcW w:w="990" w:type="dxa"/>
            <w:tcBorders>
              <w:top w:val="nil"/>
              <w:left w:val="nil"/>
              <w:bottom w:val="nil"/>
              <w:right w:val="nil"/>
              <w:tl2br w:val="nil"/>
              <w:tr2bl w:val="nil"/>
            </w:tcBorders>
            <w:shd w:val="clear" w:color="auto" w:fill="FFFFFF"/>
            <w:tcMar>
              <w:left w:w="115" w:type="dxa"/>
              <w:right w:w="115" w:type="dxa"/>
            </w:tcMar>
            <w:vAlign w:val="bottom"/>
          </w:tcPr>
          <w:p w14:paraId="2E0903BE" w14:textId="77777777" w:rsidR="003F0EEA" w:rsidRPr="00CB3E11" w:rsidRDefault="003F0EEA">
            <w:pPr>
              <w:rPr>
                <w:rFonts w:ascii="Arial" w:eastAsia="Arial" w:hAnsi="Arial" w:cs="Arial"/>
                <w:color w:val="000000"/>
                <w:sz w:val="16"/>
              </w:rPr>
            </w:pPr>
          </w:p>
        </w:tc>
        <w:tc>
          <w:tcPr>
            <w:tcW w:w="990" w:type="dxa"/>
            <w:tcBorders>
              <w:top w:val="nil"/>
              <w:left w:val="nil"/>
              <w:bottom w:val="nil"/>
              <w:right w:val="nil"/>
              <w:tl2br w:val="nil"/>
              <w:tr2bl w:val="nil"/>
            </w:tcBorders>
            <w:shd w:val="clear" w:color="auto" w:fill="FFFFFF"/>
            <w:tcMar>
              <w:left w:w="115" w:type="dxa"/>
              <w:right w:w="115" w:type="dxa"/>
            </w:tcMar>
            <w:vAlign w:val="bottom"/>
          </w:tcPr>
          <w:p w14:paraId="2AE159AE" w14:textId="77777777" w:rsidR="003F0EEA" w:rsidRPr="00CB3E11" w:rsidRDefault="003F0EEA">
            <w:pPr>
              <w:rPr>
                <w:rFonts w:ascii="Arial" w:eastAsia="Arial" w:hAnsi="Arial" w:cs="Arial"/>
                <w:color w:val="000000"/>
                <w:sz w:val="16"/>
              </w:rPr>
            </w:pPr>
          </w:p>
        </w:tc>
        <w:tc>
          <w:tcPr>
            <w:tcW w:w="990" w:type="dxa"/>
            <w:tcBorders>
              <w:top w:val="nil"/>
              <w:left w:val="nil"/>
              <w:bottom w:val="nil"/>
              <w:right w:val="nil"/>
              <w:tl2br w:val="nil"/>
              <w:tr2bl w:val="nil"/>
            </w:tcBorders>
            <w:shd w:val="clear" w:color="auto" w:fill="FFFFFF"/>
            <w:tcMar>
              <w:left w:w="115" w:type="dxa"/>
              <w:right w:w="115" w:type="dxa"/>
            </w:tcMar>
            <w:vAlign w:val="bottom"/>
          </w:tcPr>
          <w:p w14:paraId="223A30E5" w14:textId="77777777" w:rsidR="003F0EEA" w:rsidRPr="00CB3E11" w:rsidRDefault="003F0EEA">
            <w:pPr>
              <w:rPr>
                <w:rFonts w:ascii="Arial" w:eastAsia="Arial" w:hAnsi="Arial" w:cs="Arial"/>
                <w:color w:val="000000"/>
                <w:sz w:val="16"/>
              </w:rPr>
            </w:pPr>
          </w:p>
        </w:tc>
      </w:tr>
      <w:tr w:rsidR="00355BFE" w14:paraId="2D7C4407" w14:textId="77777777" w:rsidTr="00355BFE">
        <w:trPr>
          <w:trHeight w:val="225"/>
        </w:trPr>
        <w:tc>
          <w:tcPr>
            <w:tcW w:w="180" w:type="dxa"/>
            <w:tcBorders>
              <w:top w:val="nil"/>
              <w:left w:val="nil"/>
              <w:bottom w:val="nil"/>
              <w:right w:val="nil"/>
              <w:tl2br w:val="nil"/>
              <w:tr2bl w:val="nil"/>
            </w:tcBorders>
            <w:shd w:val="clear" w:color="auto" w:fill="FFFFFF"/>
            <w:tcMar>
              <w:left w:w="115" w:type="dxa"/>
              <w:right w:w="115" w:type="dxa"/>
            </w:tcMar>
            <w:vAlign w:val="bottom"/>
          </w:tcPr>
          <w:p w14:paraId="1C0C491F" w14:textId="77777777" w:rsidR="003F0EEA" w:rsidRPr="00CB3E11" w:rsidRDefault="003F0EEA">
            <w:pPr>
              <w:rPr>
                <w:rFonts w:ascii="Arial" w:eastAsia="Arial" w:hAnsi="Arial" w:cs="Arial"/>
                <w:color w:val="000000"/>
                <w:sz w:val="16"/>
              </w:rPr>
            </w:pPr>
          </w:p>
        </w:tc>
        <w:tc>
          <w:tcPr>
            <w:tcW w:w="3330" w:type="dxa"/>
            <w:gridSpan w:val="2"/>
            <w:vMerge w:val="restart"/>
            <w:tcBorders>
              <w:top w:val="nil"/>
              <w:left w:val="nil"/>
              <w:bottom w:val="nil"/>
              <w:right w:val="nil"/>
              <w:tl2br w:val="nil"/>
              <w:tr2bl w:val="nil"/>
            </w:tcBorders>
            <w:shd w:val="clear" w:color="auto" w:fill="FFFFFF"/>
            <w:tcMar>
              <w:left w:w="115" w:type="dxa"/>
              <w:right w:w="115" w:type="dxa"/>
            </w:tcMar>
            <w:vAlign w:val="bottom"/>
          </w:tcPr>
          <w:p w14:paraId="1E5DEF6C" w14:textId="77777777" w:rsidR="003F0EEA" w:rsidRPr="00CB3E11" w:rsidRDefault="00FB7D0B">
            <w:pPr>
              <w:rPr>
                <w:rFonts w:ascii="Arial" w:eastAsia="Arial" w:hAnsi="Arial" w:cs="Arial"/>
                <w:color w:val="000000"/>
                <w:sz w:val="16"/>
              </w:rPr>
            </w:pPr>
            <w:r w:rsidRPr="00CB3E11">
              <w:rPr>
                <w:rFonts w:ascii="Arial" w:eastAsia="Arial" w:hAnsi="Arial" w:cs="Arial"/>
                <w:color w:val="000000"/>
                <w:sz w:val="16"/>
              </w:rPr>
              <w:t xml:space="preserve"> the equity method</w:t>
            </w:r>
          </w:p>
        </w:tc>
        <w:tc>
          <w:tcPr>
            <w:tcW w:w="990" w:type="dxa"/>
            <w:tcBorders>
              <w:top w:val="nil"/>
              <w:left w:val="nil"/>
              <w:bottom w:val="nil"/>
              <w:right w:val="nil"/>
              <w:tl2br w:val="nil"/>
              <w:tr2bl w:val="nil"/>
            </w:tcBorders>
            <w:shd w:val="clear" w:color="auto" w:fill="FFFFFF"/>
            <w:tcMar>
              <w:left w:w="115" w:type="dxa"/>
              <w:right w:w="115" w:type="dxa"/>
            </w:tcMar>
            <w:vAlign w:val="bottom"/>
          </w:tcPr>
          <w:p w14:paraId="14B6CED0" w14:textId="77777777" w:rsidR="003F0EEA" w:rsidRPr="00CB3E11" w:rsidRDefault="00FB7D0B">
            <w:pPr>
              <w:jc w:val="right"/>
              <w:rPr>
                <w:rFonts w:ascii="Arial" w:eastAsia="Arial" w:hAnsi="Arial" w:cs="Arial"/>
                <w:color w:val="000000"/>
                <w:sz w:val="16"/>
              </w:rPr>
            </w:pPr>
            <w:r w:rsidRPr="00CB3E11">
              <w:rPr>
                <w:rFonts w:ascii="Arial" w:eastAsia="Arial" w:hAnsi="Arial" w:cs="Arial"/>
                <w:color w:val="000000"/>
                <w:sz w:val="16"/>
              </w:rPr>
              <w:t>73,000 </w:t>
            </w:r>
          </w:p>
        </w:tc>
        <w:tc>
          <w:tcPr>
            <w:tcW w:w="990" w:type="dxa"/>
            <w:tcBorders>
              <w:top w:val="nil"/>
              <w:left w:val="nil"/>
              <w:bottom w:val="nil"/>
              <w:right w:val="nil"/>
              <w:tl2br w:val="nil"/>
              <w:tr2bl w:val="nil"/>
            </w:tcBorders>
            <w:shd w:val="clear" w:color="auto" w:fill="C0C0C0"/>
            <w:tcMar>
              <w:left w:w="115" w:type="dxa"/>
              <w:right w:w="115" w:type="dxa"/>
            </w:tcMar>
            <w:vAlign w:val="bottom"/>
          </w:tcPr>
          <w:p w14:paraId="4428CD77" w14:textId="77777777" w:rsidR="003F0EEA" w:rsidRPr="00CB3E11" w:rsidRDefault="00FB7D0B">
            <w:pPr>
              <w:jc w:val="right"/>
              <w:rPr>
                <w:rFonts w:ascii="Arial" w:eastAsia="Arial" w:hAnsi="Arial" w:cs="Arial"/>
                <w:color w:val="000000"/>
                <w:sz w:val="16"/>
              </w:rPr>
            </w:pPr>
            <w:r w:rsidRPr="00CB3E11">
              <w:rPr>
                <w:rFonts w:ascii="Arial" w:eastAsia="Arial" w:hAnsi="Arial" w:cs="Arial"/>
                <w:color w:val="000000"/>
                <w:sz w:val="16"/>
              </w:rPr>
              <w:t>61,000 </w:t>
            </w:r>
          </w:p>
        </w:tc>
        <w:tc>
          <w:tcPr>
            <w:tcW w:w="990" w:type="dxa"/>
            <w:tcBorders>
              <w:top w:val="nil"/>
              <w:left w:val="nil"/>
              <w:bottom w:val="nil"/>
              <w:right w:val="nil"/>
              <w:tl2br w:val="nil"/>
              <w:tr2bl w:val="nil"/>
            </w:tcBorders>
            <w:shd w:val="clear" w:color="auto" w:fill="FFFFFF"/>
            <w:tcMar>
              <w:left w:w="115" w:type="dxa"/>
              <w:right w:w="115" w:type="dxa"/>
            </w:tcMar>
            <w:vAlign w:val="bottom"/>
          </w:tcPr>
          <w:p w14:paraId="6C5F2824" w14:textId="77777777" w:rsidR="003F0EEA" w:rsidRPr="00CB3E11" w:rsidRDefault="00FB7D0B">
            <w:pPr>
              <w:jc w:val="right"/>
              <w:rPr>
                <w:rFonts w:ascii="Arial" w:eastAsia="Arial" w:hAnsi="Arial" w:cs="Arial"/>
                <w:color w:val="000000"/>
                <w:sz w:val="16"/>
              </w:rPr>
            </w:pPr>
            <w:r w:rsidRPr="00CB3E11">
              <w:rPr>
                <w:rFonts w:ascii="Arial" w:eastAsia="Arial" w:hAnsi="Arial" w:cs="Arial"/>
                <w:color w:val="000000"/>
                <w:sz w:val="16"/>
              </w:rPr>
              <w:t>62,000 </w:t>
            </w:r>
          </w:p>
        </w:tc>
        <w:tc>
          <w:tcPr>
            <w:tcW w:w="990" w:type="dxa"/>
            <w:tcBorders>
              <w:top w:val="nil"/>
              <w:left w:val="nil"/>
              <w:bottom w:val="nil"/>
              <w:right w:val="nil"/>
              <w:tl2br w:val="nil"/>
              <w:tr2bl w:val="nil"/>
            </w:tcBorders>
            <w:shd w:val="clear" w:color="auto" w:fill="FFFFFF"/>
            <w:tcMar>
              <w:left w:w="115" w:type="dxa"/>
              <w:right w:w="115" w:type="dxa"/>
            </w:tcMar>
            <w:vAlign w:val="bottom"/>
          </w:tcPr>
          <w:p w14:paraId="1993EC16" w14:textId="77777777" w:rsidR="003F0EEA" w:rsidRPr="00CB3E11" w:rsidRDefault="00FB7D0B">
            <w:pPr>
              <w:jc w:val="right"/>
              <w:rPr>
                <w:rFonts w:ascii="Arial" w:eastAsia="Arial" w:hAnsi="Arial" w:cs="Arial"/>
                <w:color w:val="000000"/>
                <w:sz w:val="16"/>
              </w:rPr>
            </w:pPr>
            <w:r w:rsidRPr="00CB3E11">
              <w:rPr>
                <w:rFonts w:ascii="Arial" w:eastAsia="Arial" w:hAnsi="Arial" w:cs="Arial"/>
                <w:color w:val="000000"/>
                <w:sz w:val="16"/>
              </w:rPr>
              <w:t>64,000 </w:t>
            </w:r>
          </w:p>
        </w:tc>
        <w:tc>
          <w:tcPr>
            <w:tcW w:w="990" w:type="dxa"/>
            <w:tcBorders>
              <w:top w:val="nil"/>
              <w:left w:val="nil"/>
              <w:bottom w:val="nil"/>
              <w:right w:val="nil"/>
              <w:tl2br w:val="nil"/>
              <w:tr2bl w:val="nil"/>
            </w:tcBorders>
            <w:shd w:val="clear" w:color="auto" w:fill="FFFFFF"/>
            <w:tcMar>
              <w:left w:w="115" w:type="dxa"/>
              <w:right w:w="115" w:type="dxa"/>
            </w:tcMar>
            <w:vAlign w:val="bottom"/>
          </w:tcPr>
          <w:p w14:paraId="5AD4B6F9" w14:textId="77777777" w:rsidR="003F0EEA" w:rsidRPr="00CB3E11" w:rsidRDefault="00FB7D0B">
            <w:pPr>
              <w:jc w:val="right"/>
              <w:rPr>
                <w:rFonts w:ascii="Arial" w:eastAsia="Arial" w:hAnsi="Arial" w:cs="Arial"/>
                <w:color w:val="000000"/>
                <w:sz w:val="16"/>
              </w:rPr>
            </w:pPr>
            <w:r w:rsidRPr="00CB3E11">
              <w:rPr>
                <w:rFonts w:ascii="Arial" w:eastAsia="Arial" w:hAnsi="Arial" w:cs="Arial"/>
                <w:color w:val="000000"/>
                <w:sz w:val="16"/>
              </w:rPr>
              <w:t>65,000 </w:t>
            </w:r>
          </w:p>
        </w:tc>
      </w:tr>
      <w:tr w:rsidR="00355BFE" w14:paraId="4FF131BF" w14:textId="77777777" w:rsidTr="00355BFE">
        <w:trPr>
          <w:trHeight w:val="225"/>
        </w:trPr>
        <w:tc>
          <w:tcPr>
            <w:tcW w:w="180" w:type="dxa"/>
            <w:tcBorders>
              <w:top w:val="nil"/>
              <w:left w:val="nil"/>
              <w:bottom w:val="nil"/>
              <w:right w:val="nil"/>
              <w:tl2br w:val="nil"/>
              <w:tr2bl w:val="nil"/>
            </w:tcBorders>
            <w:shd w:val="clear" w:color="auto" w:fill="FFFFFF"/>
            <w:tcMar>
              <w:left w:w="115" w:type="dxa"/>
              <w:right w:w="115" w:type="dxa"/>
            </w:tcMar>
            <w:vAlign w:val="bottom"/>
          </w:tcPr>
          <w:p w14:paraId="134A84A8" w14:textId="77777777" w:rsidR="003F0EEA" w:rsidRPr="00CB3E11" w:rsidRDefault="003F0EEA">
            <w:pPr>
              <w:rPr>
                <w:rFonts w:ascii="Arial" w:eastAsia="Arial" w:hAnsi="Arial" w:cs="Arial"/>
                <w:color w:val="000000"/>
                <w:sz w:val="16"/>
              </w:rPr>
            </w:pPr>
          </w:p>
        </w:tc>
        <w:tc>
          <w:tcPr>
            <w:tcW w:w="3330" w:type="dxa"/>
            <w:gridSpan w:val="2"/>
            <w:tcBorders>
              <w:top w:val="nil"/>
              <w:left w:val="nil"/>
              <w:bottom w:val="nil"/>
              <w:right w:val="nil"/>
              <w:tl2br w:val="nil"/>
              <w:tr2bl w:val="nil"/>
            </w:tcBorders>
            <w:shd w:val="clear" w:color="auto" w:fill="FFFFFF"/>
            <w:tcMar>
              <w:left w:w="115" w:type="dxa"/>
              <w:right w:w="115" w:type="dxa"/>
            </w:tcMar>
            <w:vAlign w:val="bottom"/>
          </w:tcPr>
          <w:p w14:paraId="2CCFD8C8" w14:textId="77777777" w:rsidR="003F0EEA" w:rsidRPr="00CB3E11" w:rsidRDefault="00FB7D0B">
            <w:pPr>
              <w:rPr>
                <w:rFonts w:ascii="Arial" w:eastAsia="Arial" w:hAnsi="Arial" w:cs="Arial"/>
                <w:color w:val="000000"/>
                <w:sz w:val="16"/>
              </w:rPr>
            </w:pPr>
            <w:r w:rsidRPr="00CB3E11">
              <w:rPr>
                <w:rFonts w:ascii="Arial" w:eastAsia="Arial" w:hAnsi="Arial" w:cs="Arial"/>
                <w:color w:val="000000"/>
                <w:sz w:val="16"/>
              </w:rPr>
              <w:t>Other</w:t>
            </w:r>
          </w:p>
        </w:tc>
        <w:tc>
          <w:tcPr>
            <w:tcW w:w="990"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3CBC2987" w14:textId="77777777" w:rsidR="003F0EEA" w:rsidRPr="00CB3E11" w:rsidRDefault="00FB7D0B">
            <w:pPr>
              <w:jc w:val="right"/>
              <w:rPr>
                <w:rFonts w:ascii="Arial" w:eastAsia="Arial" w:hAnsi="Arial" w:cs="Arial"/>
                <w:color w:val="000000"/>
                <w:sz w:val="16"/>
              </w:rPr>
            </w:pPr>
            <w:r w:rsidRPr="00CB3E11">
              <w:rPr>
                <w:rFonts w:ascii="Arial" w:eastAsia="Arial" w:hAnsi="Arial" w:cs="Arial"/>
                <w:color w:val="000000"/>
                <w:sz w:val="16"/>
              </w:rPr>
              <w:t>1,255 </w:t>
            </w:r>
          </w:p>
        </w:tc>
        <w:tc>
          <w:tcPr>
            <w:tcW w:w="990" w:type="dxa"/>
            <w:tcBorders>
              <w:top w:val="nil"/>
              <w:left w:val="nil"/>
              <w:bottom w:val="single" w:sz="6" w:space="0" w:color="000000"/>
              <w:right w:val="nil"/>
              <w:tl2br w:val="nil"/>
              <w:tr2bl w:val="nil"/>
            </w:tcBorders>
            <w:shd w:val="clear" w:color="auto" w:fill="C0C0C0"/>
            <w:tcMar>
              <w:left w:w="115" w:type="dxa"/>
              <w:right w:w="115" w:type="dxa"/>
            </w:tcMar>
            <w:vAlign w:val="bottom"/>
          </w:tcPr>
          <w:p w14:paraId="1991F4B7" w14:textId="77777777" w:rsidR="003F0EEA" w:rsidRPr="00CB3E11" w:rsidRDefault="00FB7D0B">
            <w:pPr>
              <w:jc w:val="right"/>
              <w:rPr>
                <w:rFonts w:ascii="Arial" w:eastAsia="Arial" w:hAnsi="Arial" w:cs="Arial"/>
                <w:color w:val="000000"/>
                <w:sz w:val="16"/>
              </w:rPr>
            </w:pPr>
            <w:r w:rsidRPr="00CB3E11">
              <w:rPr>
                <w:rFonts w:ascii="Arial" w:eastAsia="Arial" w:hAnsi="Arial" w:cs="Arial"/>
                <w:color w:val="000000"/>
                <w:sz w:val="16"/>
              </w:rPr>
              <w:t>1,255 </w:t>
            </w:r>
          </w:p>
        </w:tc>
        <w:tc>
          <w:tcPr>
            <w:tcW w:w="990"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0F65CDB3" w14:textId="77777777" w:rsidR="003F0EEA" w:rsidRPr="00CB3E11" w:rsidRDefault="00FB7D0B">
            <w:pPr>
              <w:jc w:val="right"/>
              <w:rPr>
                <w:rFonts w:ascii="Arial" w:eastAsia="Arial" w:hAnsi="Arial" w:cs="Arial"/>
                <w:color w:val="000000"/>
                <w:sz w:val="16"/>
              </w:rPr>
            </w:pPr>
            <w:r w:rsidRPr="00CB3E11">
              <w:rPr>
                <w:rFonts w:ascii="Arial" w:eastAsia="Arial" w:hAnsi="Arial" w:cs="Arial"/>
                <w:color w:val="000000"/>
                <w:sz w:val="16"/>
              </w:rPr>
              <w:t>1,255 </w:t>
            </w:r>
          </w:p>
        </w:tc>
        <w:tc>
          <w:tcPr>
            <w:tcW w:w="990"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4F910EDD" w14:textId="77777777" w:rsidR="003F0EEA" w:rsidRPr="00CB3E11" w:rsidRDefault="00FB7D0B">
            <w:pPr>
              <w:jc w:val="right"/>
              <w:rPr>
                <w:rFonts w:ascii="Arial" w:eastAsia="Arial" w:hAnsi="Arial" w:cs="Arial"/>
                <w:color w:val="000000"/>
                <w:sz w:val="16"/>
              </w:rPr>
            </w:pPr>
            <w:r w:rsidRPr="00CB3E11">
              <w:rPr>
                <w:rFonts w:ascii="Arial" w:eastAsia="Arial" w:hAnsi="Arial" w:cs="Arial"/>
                <w:color w:val="000000"/>
                <w:sz w:val="16"/>
              </w:rPr>
              <w:t>1,255 </w:t>
            </w:r>
          </w:p>
        </w:tc>
        <w:tc>
          <w:tcPr>
            <w:tcW w:w="990"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0AF40F07" w14:textId="77777777" w:rsidR="003F0EEA" w:rsidRPr="00CB3E11" w:rsidRDefault="00FB7D0B">
            <w:pPr>
              <w:jc w:val="right"/>
              <w:rPr>
                <w:rFonts w:ascii="Arial" w:eastAsia="Arial" w:hAnsi="Arial" w:cs="Arial"/>
                <w:color w:val="000000"/>
                <w:sz w:val="16"/>
              </w:rPr>
            </w:pPr>
            <w:r w:rsidRPr="00CB3E11">
              <w:rPr>
                <w:rFonts w:ascii="Arial" w:eastAsia="Arial" w:hAnsi="Arial" w:cs="Arial"/>
                <w:color w:val="000000"/>
                <w:sz w:val="16"/>
              </w:rPr>
              <w:t>1,255 </w:t>
            </w:r>
          </w:p>
        </w:tc>
      </w:tr>
      <w:tr w:rsidR="00355BFE" w14:paraId="2AED6C20" w14:textId="77777777" w:rsidTr="00355BFE">
        <w:trPr>
          <w:trHeight w:val="225"/>
        </w:trPr>
        <w:tc>
          <w:tcPr>
            <w:tcW w:w="3510" w:type="dxa"/>
            <w:gridSpan w:val="3"/>
            <w:tcBorders>
              <w:top w:val="nil"/>
              <w:left w:val="nil"/>
              <w:bottom w:val="nil"/>
              <w:right w:val="nil"/>
              <w:tl2br w:val="nil"/>
              <w:tr2bl w:val="nil"/>
            </w:tcBorders>
            <w:shd w:val="clear" w:color="auto" w:fill="FFFFFF"/>
            <w:tcMar>
              <w:left w:w="115" w:type="dxa"/>
              <w:right w:w="115" w:type="dxa"/>
            </w:tcMar>
            <w:vAlign w:val="bottom"/>
          </w:tcPr>
          <w:p w14:paraId="730E3AAF" w14:textId="77777777" w:rsidR="003F0EEA" w:rsidRPr="00CB3E11" w:rsidRDefault="00FB7D0B">
            <w:pPr>
              <w:rPr>
                <w:rFonts w:ascii="Arial" w:eastAsia="Arial" w:hAnsi="Arial" w:cs="Arial"/>
                <w:color w:val="000000"/>
                <w:sz w:val="16"/>
              </w:rPr>
            </w:pPr>
            <w:r w:rsidRPr="00CB3E11">
              <w:rPr>
                <w:rFonts w:ascii="Arial" w:eastAsia="Arial" w:hAnsi="Arial" w:cs="Arial"/>
                <w:b/>
                <w:i/>
                <w:color w:val="000000"/>
                <w:sz w:val="16"/>
              </w:rPr>
              <w:t>Total financial assets</w:t>
            </w:r>
          </w:p>
        </w:tc>
        <w:tc>
          <w:tcPr>
            <w:tcW w:w="990" w:type="dxa"/>
            <w:tcBorders>
              <w:top w:val="single" w:sz="6" w:space="0" w:color="000000"/>
              <w:left w:val="nil"/>
              <w:bottom w:val="single" w:sz="6" w:space="0" w:color="000000"/>
              <w:right w:val="nil"/>
              <w:tl2br w:val="nil"/>
              <w:tr2bl w:val="nil"/>
            </w:tcBorders>
            <w:shd w:val="clear" w:color="auto" w:fill="FFFFFF"/>
            <w:tcMar>
              <w:left w:w="115" w:type="dxa"/>
              <w:right w:w="115" w:type="dxa"/>
            </w:tcMar>
            <w:vAlign w:val="bottom"/>
          </w:tcPr>
          <w:p w14:paraId="03EE44AA" w14:textId="77777777" w:rsidR="003F0EEA" w:rsidRPr="00CB3E11" w:rsidRDefault="00FB7D0B">
            <w:pPr>
              <w:jc w:val="right"/>
              <w:rPr>
                <w:rFonts w:ascii="Arial" w:eastAsia="Arial" w:hAnsi="Arial" w:cs="Arial"/>
                <w:b/>
                <w:i/>
                <w:color w:val="000000"/>
                <w:sz w:val="16"/>
              </w:rPr>
            </w:pPr>
            <w:r w:rsidRPr="00CB3E11">
              <w:rPr>
                <w:rFonts w:ascii="Arial" w:eastAsia="Arial" w:hAnsi="Arial" w:cs="Arial"/>
                <w:b/>
                <w:color w:val="000000"/>
                <w:sz w:val="16"/>
              </w:rPr>
              <w:t>76,580 </w:t>
            </w:r>
          </w:p>
        </w:tc>
        <w:tc>
          <w:tcPr>
            <w:tcW w:w="990" w:type="dxa"/>
            <w:tcBorders>
              <w:top w:val="single" w:sz="6" w:space="0" w:color="000000"/>
              <w:left w:val="nil"/>
              <w:bottom w:val="single" w:sz="6" w:space="0" w:color="000000"/>
              <w:right w:val="nil"/>
              <w:tl2br w:val="nil"/>
              <w:tr2bl w:val="nil"/>
            </w:tcBorders>
            <w:shd w:val="clear" w:color="auto" w:fill="C0C0C0"/>
            <w:tcMar>
              <w:left w:w="115" w:type="dxa"/>
              <w:right w:w="115" w:type="dxa"/>
            </w:tcMar>
            <w:vAlign w:val="bottom"/>
          </w:tcPr>
          <w:p w14:paraId="66CCCF40" w14:textId="77777777" w:rsidR="003F0EEA" w:rsidRPr="00CB3E11" w:rsidRDefault="00FB7D0B">
            <w:pPr>
              <w:jc w:val="right"/>
              <w:rPr>
                <w:rFonts w:ascii="Arial" w:eastAsia="Arial" w:hAnsi="Arial" w:cs="Arial"/>
                <w:b/>
                <w:color w:val="000000"/>
                <w:sz w:val="16"/>
              </w:rPr>
            </w:pPr>
            <w:r w:rsidRPr="00CB3E11">
              <w:rPr>
                <w:rFonts w:ascii="Arial" w:eastAsia="Arial" w:hAnsi="Arial" w:cs="Arial"/>
                <w:b/>
                <w:color w:val="000000"/>
                <w:sz w:val="16"/>
              </w:rPr>
              <w:t>64,333 </w:t>
            </w:r>
          </w:p>
        </w:tc>
        <w:tc>
          <w:tcPr>
            <w:tcW w:w="990" w:type="dxa"/>
            <w:tcBorders>
              <w:top w:val="single" w:sz="6" w:space="0" w:color="000000"/>
              <w:left w:val="nil"/>
              <w:bottom w:val="single" w:sz="6" w:space="0" w:color="000000"/>
              <w:right w:val="nil"/>
              <w:tl2br w:val="nil"/>
              <w:tr2bl w:val="nil"/>
            </w:tcBorders>
            <w:shd w:val="clear" w:color="auto" w:fill="FFFFFF"/>
            <w:tcMar>
              <w:left w:w="115" w:type="dxa"/>
              <w:right w:w="115" w:type="dxa"/>
            </w:tcMar>
            <w:vAlign w:val="bottom"/>
          </w:tcPr>
          <w:p w14:paraId="5A37AB81" w14:textId="77777777" w:rsidR="003F0EEA" w:rsidRPr="00CB3E11" w:rsidRDefault="00FB7D0B">
            <w:pPr>
              <w:jc w:val="right"/>
              <w:rPr>
                <w:rFonts w:ascii="Arial" w:eastAsia="Arial" w:hAnsi="Arial" w:cs="Arial"/>
                <w:b/>
                <w:color w:val="000000"/>
                <w:sz w:val="16"/>
              </w:rPr>
            </w:pPr>
            <w:r w:rsidRPr="00CB3E11">
              <w:rPr>
                <w:rFonts w:ascii="Arial" w:eastAsia="Arial" w:hAnsi="Arial" w:cs="Arial"/>
                <w:b/>
                <w:color w:val="000000"/>
                <w:sz w:val="16"/>
              </w:rPr>
              <w:t>65,857 </w:t>
            </w:r>
          </w:p>
        </w:tc>
        <w:tc>
          <w:tcPr>
            <w:tcW w:w="990" w:type="dxa"/>
            <w:tcBorders>
              <w:top w:val="single" w:sz="6" w:space="0" w:color="000000"/>
              <w:left w:val="nil"/>
              <w:bottom w:val="single" w:sz="6" w:space="0" w:color="000000"/>
              <w:right w:val="nil"/>
              <w:tl2br w:val="nil"/>
              <w:tr2bl w:val="nil"/>
            </w:tcBorders>
            <w:shd w:val="clear" w:color="auto" w:fill="FFFFFF"/>
            <w:tcMar>
              <w:left w:w="115" w:type="dxa"/>
              <w:right w:w="115" w:type="dxa"/>
            </w:tcMar>
            <w:vAlign w:val="bottom"/>
          </w:tcPr>
          <w:p w14:paraId="24BB6B3A" w14:textId="77777777" w:rsidR="003F0EEA" w:rsidRPr="00CB3E11" w:rsidRDefault="00FB7D0B">
            <w:pPr>
              <w:jc w:val="right"/>
              <w:rPr>
                <w:rFonts w:ascii="Arial" w:eastAsia="Arial" w:hAnsi="Arial" w:cs="Arial"/>
                <w:b/>
                <w:color w:val="000000"/>
                <w:sz w:val="16"/>
              </w:rPr>
            </w:pPr>
            <w:r w:rsidRPr="00CB3E11">
              <w:rPr>
                <w:rFonts w:ascii="Arial" w:eastAsia="Arial" w:hAnsi="Arial" w:cs="Arial"/>
                <w:b/>
                <w:color w:val="000000"/>
                <w:sz w:val="16"/>
              </w:rPr>
              <w:t>67,621 </w:t>
            </w:r>
          </w:p>
        </w:tc>
        <w:tc>
          <w:tcPr>
            <w:tcW w:w="990" w:type="dxa"/>
            <w:tcBorders>
              <w:top w:val="single" w:sz="6" w:space="0" w:color="000000"/>
              <w:left w:val="nil"/>
              <w:bottom w:val="single" w:sz="6" w:space="0" w:color="000000"/>
              <w:right w:val="nil"/>
              <w:tl2br w:val="nil"/>
              <w:tr2bl w:val="nil"/>
            </w:tcBorders>
            <w:shd w:val="clear" w:color="auto" w:fill="FFFFFF"/>
            <w:tcMar>
              <w:left w:w="115" w:type="dxa"/>
              <w:right w:w="115" w:type="dxa"/>
            </w:tcMar>
            <w:vAlign w:val="bottom"/>
          </w:tcPr>
          <w:p w14:paraId="450D511C" w14:textId="77777777" w:rsidR="003F0EEA" w:rsidRPr="00CB3E11" w:rsidRDefault="00FB7D0B">
            <w:pPr>
              <w:jc w:val="right"/>
              <w:rPr>
                <w:rFonts w:ascii="Arial" w:eastAsia="Arial" w:hAnsi="Arial" w:cs="Arial"/>
                <w:b/>
                <w:color w:val="000000"/>
                <w:sz w:val="16"/>
              </w:rPr>
            </w:pPr>
            <w:r w:rsidRPr="00CB3E11">
              <w:rPr>
                <w:rFonts w:ascii="Arial" w:eastAsia="Arial" w:hAnsi="Arial" w:cs="Arial"/>
                <w:b/>
                <w:color w:val="000000"/>
                <w:sz w:val="16"/>
              </w:rPr>
              <w:t>68,981 </w:t>
            </w:r>
          </w:p>
        </w:tc>
      </w:tr>
      <w:tr w:rsidR="00724034" w14:paraId="27B49187" w14:textId="77777777">
        <w:trPr>
          <w:trHeight w:hRule="exact" w:val="60"/>
        </w:trPr>
        <w:tc>
          <w:tcPr>
            <w:tcW w:w="180" w:type="dxa"/>
            <w:tcBorders>
              <w:top w:val="nil"/>
              <w:left w:val="nil"/>
              <w:bottom w:val="nil"/>
              <w:right w:val="nil"/>
              <w:tl2br w:val="nil"/>
              <w:tr2bl w:val="nil"/>
            </w:tcBorders>
            <w:shd w:val="clear" w:color="auto" w:fill="FFFFFF"/>
            <w:tcMar>
              <w:left w:w="115" w:type="dxa"/>
              <w:right w:w="115" w:type="dxa"/>
            </w:tcMar>
            <w:vAlign w:val="bottom"/>
          </w:tcPr>
          <w:p w14:paraId="7159D001" w14:textId="77777777" w:rsidR="003F0EEA" w:rsidRPr="00CB3E11" w:rsidRDefault="003F0EEA">
            <w:pPr>
              <w:rPr>
                <w:rFonts w:ascii="Arial" w:eastAsia="Arial" w:hAnsi="Arial" w:cs="Arial"/>
                <w:b/>
                <w:color w:val="000000"/>
                <w:sz w:val="16"/>
              </w:rPr>
            </w:pPr>
          </w:p>
        </w:tc>
        <w:tc>
          <w:tcPr>
            <w:tcW w:w="180" w:type="dxa"/>
            <w:tcBorders>
              <w:top w:val="nil"/>
              <w:left w:val="nil"/>
              <w:bottom w:val="nil"/>
              <w:right w:val="nil"/>
              <w:tl2br w:val="nil"/>
              <w:tr2bl w:val="nil"/>
            </w:tcBorders>
            <w:shd w:val="clear" w:color="auto" w:fill="FFFFFF"/>
            <w:tcMar>
              <w:left w:w="115" w:type="dxa"/>
              <w:right w:w="115" w:type="dxa"/>
            </w:tcMar>
            <w:vAlign w:val="bottom"/>
          </w:tcPr>
          <w:p w14:paraId="1D8DA20A" w14:textId="77777777" w:rsidR="003F0EEA" w:rsidRPr="00CB3E11" w:rsidRDefault="003F0EEA">
            <w:pPr>
              <w:rPr>
                <w:rFonts w:ascii="Arial" w:eastAsia="Arial" w:hAnsi="Arial" w:cs="Arial"/>
                <w:b/>
                <w:color w:val="000000"/>
                <w:sz w:val="16"/>
              </w:rPr>
            </w:pPr>
          </w:p>
        </w:tc>
        <w:tc>
          <w:tcPr>
            <w:tcW w:w="3150" w:type="dxa"/>
            <w:tcBorders>
              <w:top w:val="nil"/>
              <w:left w:val="nil"/>
              <w:bottom w:val="nil"/>
              <w:right w:val="nil"/>
              <w:tl2br w:val="nil"/>
              <w:tr2bl w:val="nil"/>
            </w:tcBorders>
            <w:shd w:val="clear" w:color="auto" w:fill="FFFFFF"/>
            <w:tcMar>
              <w:left w:w="115" w:type="dxa"/>
              <w:right w:w="115" w:type="dxa"/>
            </w:tcMar>
            <w:vAlign w:val="bottom"/>
          </w:tcPr>
          <w:p w14:paraId="5D8E0DDB" w14:textId="77777777" w:rsidR="003F0EEA" w:rsidRPr="00CB3E11" w:rsidRDefault="003F0EEA">
            <w:pPr>
              <w:rPr>
                <w:rFonts w:ascii="Arial" w:eastAsia="Arial" w:hAnsi="Arial" w:cs="Arial"/>
                <w:b/>
                <w:color w:val="000000"/>
                <w:sz w:val="16"/>
              </w:rPr>
            </w:pPr>
          </w:p>
        </w:tc>
        <w:tc>
          <w:tcPr>
            <w:tcW w:w="990"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2DB67B8D" w14:textId="77777777" w:rsidR="003F0EEA" w:rsidRPr="00CB3E11" w:rsidRDefault="003F0EEA">
            <w:pPr>
              <w:rPr>
                <w:rFonts w:ascii="Arial" w:eastAsia="Arial" w:hAnsi="Arial" w:cs="Arial"/>
                <w:b/>
                <w:color w:val="000000"/>
                <w:sz w:val="16"/>
              </w:rPr>
            </w:pPr>
          </w:p>
        </w:tc>
        <w:tc>
          <w:tcPr>
            <w:tcW w:w="990" w:type="dxa"/>
            <w:tcBorders>
              <w:top w:val="single" w:sz="6" w:space="0" w:color="000000"/>
              <w:left w:val="nil"/>
              <w:bottom w:val="nil"/>
              <w:right w:val="nil"/>
              <w:tl2br w:val="nil"/>
              <w:tr2bl w:val="nil"/>
            </w:tcBorders>
            <w:shd w:val="clear" w:color="auto" w:fill="C0C0C0"/>
            <w:tcMar>
              <w:left w:w="115" w:type="dxa"/>
              <w:right w:w="115" w:type="dxa"/>
            </w:tcMar>
            <w:vAlign w:val="bottom"/>
          </w:tcPr>
          <w:p w14:paraId="4CAEA6C4" w14:textId="77777777" w:rsidR="003F0EEA" w:rsidRPr="00CB3E11" w:rsidRDefault="003F0EEA">
            <w:pPr>
              <w:rPr>
                <w:rFonts w:ascii="Arial" w:eastAsia="Arial" w:hAnsi="Arial" w:cs="Arial"/>
                <w:color w:val="000000"/>
                <w:sz w:val="16"/>
              </w:rPr>
            </w:pPr>
          </w:p>
        </w:tc>
        <w:tc>
          <w:tcPr>
            <w:tcW w:w="990"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63407F2C" w14:textId="77777777" w:rsidR="003F0EEA" w:rsidRPr="00CB3E11" w:rsidRDefault="003F0EEA">
            <w:pPr>
              <w:rPr>
                <w:rFonts w:ascii="Arial" w:eastAsia="Arial" w:hAnsi="Arial" w:cs="Arial"/>
                <w:color w:val="000000"/>
                <w:sz w:val="16"/>
              </w:rPr>
            </w:pPr>
          </w:p>
        </w:tc>
        <w:tc>
          <w:tcPr>
            <w:tcW w:w="990"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3C5BB03F" w14:textId="77777777" w:rsidR="003F0EEA" w:rsidRPr="00CB3E11" w:rsidRDefault="003F0EEA">
            <w:pPr>
              <w:rPr>
                <w:rFonts w:ascii="Arial" w:eastAsia="Arial" w:hAnsi="Arial" w:cs="Arial"/>
                <w:color w:val="000000"/>
                <w:sz w:val="16"/>
              </w:rPr>
            </w:pPr>
          </w:p>
        </w:tc>
        <w:tc>
          <w:tcPr>
            <w:tcW w:w="990"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248544FE" w14:textId="77777777" w:rsidR="003F0EEA" w:rsidRPr="00CB3E11" w:rsidRDefault="003F0EEA">
            <w:pPr>
              <w:rPr>
                <w:rFonts w:ascii="Arial" w:eastAsia="Arial" w:hAnsi="Arial" w:cs="Arial"/>
                <w:color w:val="000000"/>
                <w:sz w:val="16"/>
              </w:rPr>
            </w:pPr>
          </w:p>
        </w:tc>
      </w:tr>
      <w:tr w:rsidR="00355BFE" w14:paraId="49C29DB4" w14:textId="77777777" w:rsidTr="00355BFE">
        <w:trPr>
          <w:trHeight w:val="225"/>
        </w:trPr>
        <w:tc>
          <w:tcPr>
            <w:tcW w:w="3510" w:type="dxa"/>
            <w:gridSpan w:val="3"/>
            <w:tcBorders>
              <w:top w:val="nil"/>
              <w:left w:val="nil"/>
              <w:bottom w:val="nil"/>
              <w:right w:val="nil"/>
              <w:tl2br w:val="nil"/>
              <w:tr2bl w:val="nil"/>
            </w:tcBorders>
            <w:shd w:val="clear" w:color="auto" w:fill="FFFFFF"/>
            <w:tcMar>
              <w:left w:w="115" w:type="dxa"/>
              <w:right w:w="115" w:type="dxa"/>
            </w:tcMar>
            <w:vAlign w:val="bottom"/>
          </w:tcPr>
          <w:p w14:paraId="553FA5EF" w14:textId="77777777" w:rsidR="003F0EEA" w:rsidRPr="00CB3E11" w:rsidRDefault="00FB7D0B">
            <w:pPr>
              <w:rPr>
                <w:rFonts w:ascii="Arial" w:eastAsia="Arial" w:hAnsi="Arial" w:cs="Arial"/>
                <w:color w:val="000000"/>
                <w:sz w:val="16"/>
              </w:rPr>
            </w:pPr>
            <w:r w:rsidRPr="00CB3E11">
              <w:rPr>
                <w:rFonts w:ascii="Arial" w:eastAsia="Arial" w:hAnsi="Arial" w:cs="Arial"/>
                <w:b/>
                <w:color w:val="000000"/>
                <w:sz w:val="16"/>
              </w:rPr>
              <w:t>Non-financial assets</w:t>
            </w:r>
          </w:p>
        </w:tc>
        <w:tc>
          <w:tcPr>
            <w:tcW w:w="990" w:type="dxa"/>
            <w:tcBorders>
              <w:top w:val="nil"/>
              <w:left w:val="nil"/>
              <w:bottom w:val="nil"/>
              <w:right w:val="nil"/>
              <w:tl2br w:val="nil"/>
              <w:tr2bl w:val="nil"/>
            </w:tcBorders>
            <w:shd w:val="clear" w:color="auto" w:fill="FFFFFF"/>
            <w:tcMar>
              <w:left w:w="115" w:type="dxa"/>
              <w:right w:w="115" w:type="dxa"/>
            </w:tcMar>
            <w:vAlign w:val="bottom"/>
          </w:tcPr>
          <w:p w14:paraId="05CD9D04" w14:textId="77777777" w:rsidR="003F0EEA" w:rsidRPr="00CB3E11" w:rsidRDefault="003F0EEA">
            <w:pPr>
              <w:rPr>
                <w:rFonts w:ascii="Arial" w:eastAsia="Arial" w:hAnsi="Arial" w:cs="Arial"/>
                <w:b/>
                <w:color w:val="000000"/>
                <w:sz w:val="16"/>
              </w:rPr>
            </w:pPr>
          </w:p>
        </w:tc>
        <w:tc>
          <w:tcPr>
            <w:tcW w:w="990" w:type="dxa"/>
            <w:tcBorders>
              <w:top w:val="nil"/>
              <w:left w:val="nil"/>
              <w:bottom w:val="nil"/>
              <w:right w:val="nil"/>
              <w:tl2br w:val="nil"/>
              <w:tr2bl w:val="nil"/>
            </w:tcBorders>
            <w:shd w:val="clear" w:color="auto" w:fill="C0C0C0"/>
            <w:tcMar>
              <w:left w:w="115" w:type="dxa"/>
              <w:right w:w="115" w:type="dxa"/>
            </w:tcMar>
            <w:vAlign w:val="bottom"/>
          </w:tcPr>
          <w:p w14:paraId="3C0D581A" w14:textId="77777777" w:rsidR="003F0EEA" w:rsidRPr="00CB3E11" w:rsidRDefault="003F0EEA">
            <w:pPr>
              <w:rPr>
                <w:rFonts w:ascii="Arial" w:eastAsia="Arial" w:hAnsi="Arial" w:cs="Arial"/>
                <w:color w:val="000000"/>
                <w:sz w:val="16"/>
              </w:rPr>
            </w:pPr>
          </w:p>
        </w:tc>
        <w:tc>
          <w:tcPr>
            <w:tcW w:w="990" w:type="dxa"/>
            <w:tcBorders>
              <w:top w:val="nil"/>
              <w:left w:val="nil"/>
              <w:bottom w:val="nil"/>
              <w:right w:val="nil"/>
              <w:tl2br w:val="nil"/>
              <w:tr2bl w:val="nil"/>
            </w:tcBorders>
            <w:shd w:val="clear" w:color="auto" w:fill="FFFFFF"/>
            <w:tcMar>
              <w:left w:w="115" w:type="dxa"/>
              <w:right w:w="115" w:type="dxa"/>
            </w:tcMar>
            <w:vAlign w:val="bottom"/>
          </w:tcPr>
          <w:p w14:paraId="66F9B961" w14:textId="77777777" w:rsidR="003F0EEA" w:rsidRPr="00CB3E11" w:rsidRDefault="003F0EEA">
            <w:pPr>
              <w:rPr>
                <w:rFonts w:ascii="Arial" w:eastAsia="Arial" w:hAnsi="Arial" w:cs="Arial"/>
                <w:color w:val="000000"/>
                <w:sz w:val="16"/>
              </w:rPr>
            </w:pPr>
          </w:p>
        </w:tc>
        <w:tc>
          <w:tcPr>
            <w:tcW w:w="990" w:type="dxa"/>
            <w:tcBorders>
              <w:top w:val="nil"/>
              <w:left w:val="nil"/>
              <w:bottom w:val="nil"/>
              <w:right w:val="nil"/>
              <w:tl2br w:val="nil"/>
              <w:tr2bl w:val="nil"/>
            </w:tcBorders>
            <w:shd w:val="clear" w:color="auto" w:fill="FFFFFF"/>
            <w:tcMar>
              <w:left w:w="115" w:type="dxa"/>
              <w:right w:w="115" w:type="dxa"/>
            </w:tcMar>
            <w:vAlign w:val="bottom"/>
          </w:tcPr>
          <w:p w14:paraId="1549B993" w14:textId="77777777" w:rsidR="003F0EEA" w:rsidRPr="00CB3E11" w:rsidRDefault="003F0EEA">
            <w:pPr>
              <w:rPr>
                <w:rFonts w:ascii="Arial" w:eastAsia="Arial" w:hAnsi="Arial" w:cs="Arial"/>
                <w:color w:val="000000"/>
                <w:sz w:val="16"/>
              </w:rPr>
            </w:pPr>
          </w:p>
        </w:tc>
        <w:tc>
          <w:tcPr>
            <w:tcW w:w="990" w:type="dxa"/>
            <w:tcBorders>
              <w:top w:val="nil"/>
              <w:left w:val="nil"/>
              <w:bottom w:val="nil"/>
              <w:right w:val="nil"/>
              <w:tl2br w:val="nil"/>
              <w:tr2bl w:val="nil"/>
            </w:tcBorders>
            <w:shd w:val="clear" w:color="auto" w:fill="FFFFFF"/>
            <w:tcMar>
              <w:left w:w="115" w:type="dxa"/>
              <w:right w:w="115" w:type="dxa"/>
            </w:tcMar>
            <w:vAlign w:val="bottom"/>
          </w:tcPr>
          <w:p w14:paraId="4860EF21" w14:textId="77777777" w:rsidR="003F0EEA" w:rsidRPr="00CB3E11" w:rsidRDefault="003F0EEA">
            <w:pPr>
              <w:rPr>
                <w:rFonts w:ascii="Arial" w:eastAsia="Arial" w:hAnsi="Arial" w:cs="Arial"/>
                <w:color w:val="000000"/>
                <w:sz w:val="16"/>
              </w:rPr>
            </w:pPr>
          </w:p>
        </w:tc>
      </w:tr>
      <w:tr w:rsidR="00355BFE" w14:paraId="7DB610C8" w14:textId="77777777" w:rsidTr="00355BFE">
        <w:trPr>
          <w:trHeight w:val="225"/>
        </w:trPr>
        <w:tc>
          <w:tcPr>
            <w:tcW w:w="180" w:type="dxa"/>
            <w:tcBorders>
              <w:top w:val="nil"/>
              <w:left w:val="nil"/>
              <w:bottom w:val="nil"/>
              <w:right w:val="nil"/>
              <w:tl2br w:val="nil"/>
              <w:tr2bl w:val="nil"/>
            </w:tcBorders>
            <w:shd w:val="clear" w:color="auto" w:fill="FFFFFF"/>
            <w:tcMar>
              <w:left w:w="115" w:type="dxa"/>
              <w:right w:w="115" w:type="dxa"/>
            </w:tcMar>
            <w:vAlign w:val="bottom"/>
          </w:tcPr>
          <w:p w14:paraId="4A28DEA1" w14:textId="77777777" w:rsidR="003F0EEA" w:rsidRPr="00CB3E11" w:rsidRDefault="003F0EEA">
            <w:pPr>
              <w:rPr>
                <w:rFonts w:ascii="Arial" w:eastAsia="Arial" w:hAnsi="Arial" w:cs="Arial"/>
                <w:color w:val="000000"/>
                <w:sz w:val="16"/>
              </w:rPr>
            </w:pPr>
          </w:p>
        </w:tc>
        <w:tc>
          <w:tcPr>
            <w:tcW w:w="3330" w:type="dxa"/>
            <w:gridSpan w:val="2"/>
            <w:vMerge w:val="restart"/>
            <w:tcBorders>
              <w:top w:val="nil"/>
              <w:left w:val="nil"/>
              <w:bottom w:val="nil"/>
              <w:right w:val="nil"/>
              <w:tl2br w:val="nil"/>
              <w:tr2bl w:val="nil"/>
            </w:tcBorders>
            <w:shd w:val="clear" w:color="auto" w:fill="FFFFFF"/>
            <w:tcMar>
              <w:left w:w="115" w:type="dxa"/>
              <w:right w:w="115" w:type="dxa"/>
            </w:tcMar>
            <w:vAlign w:val="bottom"/>
          </w:tcPr>
          <w:p w14:paraId="1CF190F8" w14:textId="77777777" w:rsidR="003F0EEA" w:rsidRPr="00CB3E11" w:rsidRDefault="00FB7D0B">
            <w:pPr>
              <w:rPr>
                <w:rFonts w:ascii="Arial" w:eastAsia="Arial" w:hAnsi="Arial" w:cs="Arial"/>
                <w:color w:val="000000"/>
                <w:sz w:val="16"/>
              </w:rPr>
            </w:pPr>
            <w:r w:rsidRPr="00CB3E11">
              <w:rPr>
                <w:rFonts w:ascii="Arial" w:eastAsia="Arial" w:hAnsi="Arial" w:cs="Arial"/>
                <w:color w:val="000000"/>
                <w:sz w:val="16"/>
              </w:rPr>
              <w:t>Land and buildings</w:t>
            </w:r>
          </w:p>
        </w:tc>
        <w:tc>
          <w:tcPr>
            <w:tcW w:w="990" w:type="dxa"/>
            <w:tcBorders>
              <w:top w:val="nil"/>
              <w:left w:val="nil"/>
              <w:bottom w:val="nil"/>
              <w:right w:val="nil"/>
              <w:tl2br w:val="nil"/>
              <w:tr2bl w:val="nil"/>
            </w:tcBorders>
            <w:shd w:val="clear" w:color="auto" w:fill="FFFFFF"/>
            <w:tcMar>
              <w:left w:w="115" w:type="dxa"/>
              <w:right w:w="115" w:type="dxa"/>
            </w:tcMar>
            <w:vAlign w:val="bottom"/>
          </w:tcPr>
          <w:p w14:paraId="7A5342B2" w14:textId="77777777" w:rsidR="003F0EEA" w:rsidRPr="00CB3E11" w:rsidRDefault="00FB7D0B">
            <w:pPr>
              <w:jc w:val="right"/>
              <w:rPr>
                <w:rFonts w:ascii="Arial" w:eastAsia="Arial" w:hAnsi="Arial" w:cs="Arial"/>
                <w:color w:val="000000"/>
                <w:sz w:val="16"/>
              </w:rPr>
            </w:pPr>
            <w:r w:rsidRPr="00CB3E11">
              <w:rPr>
                <w:rFonts w:ascii="Arial" w:eastAsia="Arial" w:hAnsi="Arial" w:cs="Arial"/>
                <w:color w:val="000000"/>
                <w:sz w:val="16"/>
              </w:rPr>
              <w:t>138,863 </w:t>
            </w:r>
          </w:p>
        </w:tc>
        <w:tc>
          <w:tcPr>
            <w:tcW w:w="990" w:type="dxa"/>
            <w:tcBorders>
              <w:top w:val="nil"/>
              <w:left w:val="nil"/>
              <w:bottom w:val="nil"/>
              <w:right w:val="nil"/>
              <w:tl2br w:val="nil"/>
              <w:tr2bl w:val="nil"/>
            </w:tcBorders>
            <w:shd w:val="clear" w:color="auto" w:fill="C0C0C0"/>
            <w:tcMar>
              <w:left w:w="115" w:type="dxa"/>
              <w:right w:w="115" w:type="dxa"/>
            </w:tcMar>
            <w:vAlign w:val="bottom"/>
          </w:tcPr>
          <w:p w14:paraId="6732A73D" w14:textId="77777777" w:rsidR="003F0EEA" w:rsidRPr="00CB3E11" w:rsidRDefault="00FB7D0B">
            <w:pPr>
              <w:jc w:val="right"/>
              <w:rPr>
                <w:rFonts w:ascii="Arial" w:eastAsia="Arial" w:hAnsi="Arial" w:cs="Arial"/>
                <w:color w:val="000000"/>
                <w:sz w:val="16"/>
              </w:rPr>
            </w:pPr>
            <w:r w:rsidRPr="00CB3E11">
              <w:rPr>
                <w:rFonts w:ascii="Arial" w:eastAsia="Arial" w:hAnsi="Arial" w:cs="Arial"/>
                <w:color w:val="000000"/>
                <w:sz w:val="16"/>
              </w:rPr>
              <w:t>139,456 </w:t>
            </w:r>
          </w:p>
        </w:tc>
        <w:tc>
          <w:tcPr>
            <w:tcW w:w="990" w:type="dxa"/>
            <w:tcBorders>
              <w:top w:val="nil"/>
              <w:left w:val="nil"/>
              <w:bottom w:val="nil"/>
              <w:right w:val="nil"/>
              <w:tl2br w:val="nil"/>
              <w:tr2bl w:val="nil"/>
            </w:tcBorders>
            <w:shd w:val="clear" w:color="auto" w:fill="FFFFFF"/>
            <w:tcMar>
              <w:left w:w="115" w:type="dxa"/>
              <w:right w:w="115" w:type="dxa"/>
            </w:tcMar>
            <w:vAlign w:val="bottom"/>
          </w:tcPr>
          <w:p w14:paraId="1D46C3AD" w14:textId="77777777" w:rsidR="003F0EEA" w:rsidRPr="00CB3E11" w:rsidRDefault="00FB7D0B">
            <w:pPr>
              <w:jc w:val="right"/>
              <w:rPr>
                <w:rFonts w:ascii="Arial" w:eastAsia="Arial" w:hAnsi="Arial" w:cs="Arial"/>
                <w:color w:val="000000"/>
                <w:sz w:val="16"/>
              </w:rPr>
            </w:pPr>
            <w:r w:rsidRPr="00CB3E11">
              <w:rPr>
                <w:rFonts w:ascii="Arial" w:eastAsia="Arial" w:hAnsi="Arial" w:cs="Arial"/>
                <w:color w:val="000000"/>
                <w:sz w:val="16"/>
              </w:rPr>
              <w:t>138,264 </w:t>
            </w:r>
          </w:p>
        </w:tc>
        <w:tc>
          <w:tcPr>
            <w:tcW w:w="990" w:type="dxa"/>
            <w:tcBorders>
              <w:top w:val="nil"/>
              <w:left w:val="nil"/>
              <w:bottom w:val="nil"/>
              <w:right w:val="nil"/>
              <w:tl2br w:val="nil"/>
              <w:tr2bl w:val="nil"/>
            </w:tcBorders>
            <w:shd w:val="clear" w:color="auto" w:fill="FFFFFF"/>
            <w:tcMar>
              <w:left w:w="115" w:type="dxa"/>
              <w:right w:w="115" w:type="dxa"/>
            </w:tcMar>
            <w:vAlign w:val="bottom"/>
          </w:tcPr>
          <w:p w14:paraId="3ECD88A2" w14:textId="77777777" w:rsidR="003F0EEA" w:rsidRPr="00CB3E11" w:rsidRDefault="00FB7D0B">
            <w:pPr>
              <w:jc w:val="right"/>
              <w:rPr>
                <w:rFonts w:ascii="Arial" w:eastAsia="Arial" w:hAnsi="Arial" w:cs="Arial"/>
                <w:color w:val="000000"/>
                <w:sz w:val="16"/>
              </w:rPr>
            </w:pPr>
            <w:r w:rsidRPr="00CB3E11">
              <w:rPr>
                <w:rFonts w:ascii="Arial" w:eastAsia="Arial" w:hAnsi="Arial" w:cs="Arial"/>
                <w:color w:val="000000"/>
                <w:sz w:val="16"/>
              </w:rPr>
              <w:t>136,996 </w:t>
            </w:r>
          </w:p>
        </w:tc>
        <w:tc>
          <w:tcPr>
            <w:tcW w:w="990" w:type="dxa"/>
            <w:tcBorders>
              <w:top w:val="nil"/>
              <w:left w:val="nil"/>
              <w:bottom w:val="nil"/>
              <w:right w:val="nil"/>
              <w:tl2br w:val="nil"/>
              <w:tr2bl w:val="nil"/>
            </w:tcBorders>
            <w:shd w:val="clear" w:color="auto" w:fill="FFFFFF"/>
            <w:tcMar>
              <w:left w:w="115" w:type="dxa"/>
              <w:right w:w="115" w:type="dxa"/>
            </w:tcMar>
            <w:vAlign w:val="bottom"/>
          </w:tcPr>
          <w:p w14:paraId="6DFF7EF3" w14:textId="77777777" w:rsidR="003F0EEA" w:rsidRPr="00CB3E11" w:rsidRDefault="00FB7D0B">
            <w:pPr>
              <w:jc w:val="right"/>
              <w:rPr>
                <w:rFonts w:ascii="Arial" w:eastAsia="Arial" w:hAnsi="Arial" w:cs="Arial"/>
                <w:color w:val="000000"/>
                <w:sz w:val="16"/>
              </w:rPr>
            </w:pPr>
            <w:r w:rsidRPr="00CB3E11">
              <w:rPr>
                <w:rFonts w:ascii="Arial" w:eastAsia="Arial" w:hAnsi="Arial" w:cs="Arial"/>
                <w:color w:val="000000"/>
                <w:sz w:val="16"/>
              </w:rPr>
              <w:t>137,805 </w:t>
            </w:r>
          </w:p>
        </w:tc>
      </w:tr>
      <w:tr w:rsidR="00355BFE" w14:paraId="2FDF1574" w14:textId="77777777" w:rsidTr="00355BFE">
        <w:trPr>
          <w:trHeight w:val="225"/>
        </w:trPr>
        <w:tc>
          <w:tcPr>
            <w:tcW w:w="180" w:type="dxa"/>
            <w:tcBorders>
              <w:top w:val="nil"/>
              <w:left w:val="nil"/>
              <w:bottom w:val="nil"/>
              <w:right w:val="nil"/>
              <w:tl2br w:val="nil"/>
              <w:tr2bl w:val="nil"/>
            </w:tcBorders>
            <w:shd w:val="clear" w:color="auto" w:fill="FFFFFF"/>
            <w:tcMar>
              <w:left w:w="115" w:type="dxa"/>
              <w:right w:w="115" w:type="dxa"/>
            </w:tcMar>
            <w:vAlign w:val="bottom"/>
          </w:tcPr>
          <w:p w14:paraId="4CAEC70F" w14:textId="77777777" w:rsidR="003F0EEA" w:rsidRPr="00CB3E11" w:rsidRDefault="003F0EEA">
            <w:pPr>
              <w:rPr>
                <w:rFonts w:ascii="Arial" w:eastAsia="Arial" w:hAnsi="Arial" w:cs="Arial"/>
                <w:color w:val="000000"/>
                <w:sz w:val="16"/>
              </w:rPr>
            </w:pPr>
          </w:p>
        </w:tc>
        <w:tc>
          <w:tcPr>
            <w:tcW w:w="3330" w:type="dxa"/>
            <w:gridSpan w:val="2"/>
            <w:vMerge w:val="restart"/>
            <w:tcBorders>
              <w:top w:val="nil"/>
              <w:left w:val="nil"/>
              <w:bottom w:val="nil"/>
              <w:right w:val="nil"/>
              <w:tl2br w:val="nil"/>
              <w:tr2bl w:val="nil"/>
            </w:tcBorders>
            <w:shd w:val="clear" w:color="auto" w:fill="FFFFFF"/>
            <w:tcMar>
              <w:left w:w="115" w:type="dxa"/>
              <w:right w:w="115" w:type="dxa"/>
            </w:tcMar>
            <w:vAlign w:val="bottom"/>
          </w:tcPr>
          <w:p w14:paraId="681774C5" w14:textId="77777777" w:rsidR="003F0EEA" w:rsidRPr="00CB3E11" w:rsidRDefault="00FB7D0B">
            <w:pPr>
              <w:rPr>
                <w:rFonts w:ascii="Arial" w:eastAsia="Arial" w:hAnsi="Arial" w:cs="Arial"/>
                <w:color w:val="000000"/>
                <w:sz w:val="16"/>
              </w:rPr>
            </w:pPr>
            <w:r w:rsidRPr="00CB3E11">
              <w:rPr>
                <w:rFonts w:ascii="Arial" w:eastAsia="Arial" w:hAnsi="Arial" w:cs="Arial"/>
                <w:color w:val="000000"/>
                <w:sz w:val="16"/>
              </w:rPr>
              <w:t>Property, plant and equipment</w:t>
            </w:r>
          </w:p>
        </w:tc>
        <w:tc>
          <w:tcPr>
            <w:tcW w:w="990" w:type="dxa"/>
            <w:tcBorders>
              <w:top w:val="nil"/>
              <w:left w:val="nil"/>
              <w:bottom w:val="nil"/>
              <w:right w:val="nil"/>
              <w:tl2br w:val="nil"/>
              <w:tr2bl w:val="nil"/>
            </w:tcBorders>
            <w:shd w:val="clear" w:color="auto" w:fill="FFFFFF"/>
            <w:tcMar>
              <w:left w:w="115" w:type="dxa"/>
              <w:right w:w="115" w:type="dxa"/>
            </w:tcMar>
            <w:vAlign w:val="bottom"/>
          </w:tcPr>
          <w:p w14:paraId="66E7A01A" w14:textId="77777777" w:rsidR="003F0EEA" w:rsidRPr="00CB3E11" w:rsidRDefault="00FB7D0B">
            <w:pPr>
              <w:jc w:val="right"/>
              <w:rPr>
                <w:rFonts w:ascii="Arial" w:eastAsia="Arial" w:hAnsi="Arial" w:cs="Arial"/>
                <w:color w:val="000000"/>
                <w:sz w:val="16"/>
              </w:rPr>
            </w:pPr>
            <w:r w:rsidRPr="00CB3E11">
              <w:rPr>
                <w:rFonts w:ascii="Arial" w:eastAsia="Arial" w:hAnsi="Arial" w:cs="Arial"/>
                <w:color w:val="000000"/>
                <w:sz w:val="16"/>
              </w:rPr>
              <w:t>1,052,096 </w:t>
            </w:r>
          </w:p>
        </w:tc>
        <w:tc>
          <w:tcPr>
            <w:tcW w:w="990" w:type="dxa"/>
            <w:tcBorders>
              <w:top w:val="nil"/>
              <w:left w:val="nil"/>
              <w:bottom w:val="nil"/>
              <w:right w:val="nil"/>
              <w:tl2br w:val="nil"/>
              <w:tr2bl w:val="nil"/>
            </w:tcBorders>
            <w:shd w:val="clear" w:color="auto" w:fill="C0C0C0"/>
            <w:tcMar>
              <w:left w:w="115" w:type="dxa"/>
              <w:right w:w="115" w:type="dxa"/>
            </w:tcMar>
            <w:vAlign w:val="bottom"/>
          </w:tcPr>
          <w:p w14:paraId="5EF5ECEB" w14:textId="77777777" w:rsidR="003F0EEA" w:rsidRPr="00CB3E11" w:rsidRDefault="00FB7D0B">
            <w:pPr>
              <w:jc w:val="right"/>
              <w:rPr>
                <w:rFonts w:ascii="Arial" w:eastAsia="Arial" w:hAnsi="Arial" w:cs="Arial"/>
                <w:color w:val="000000"/>
                <w:sz w:val="16"/>
              </w:rPr>
            </w:pPr>
            <w:r w:rsidRPr="00CB3E11">
              <w:rPr>
                <w:rFonts w:ascii="Arial" w:eastAsia="Arial" w:hAnsi="Arial" w:cs="Arial"/>
                <w:color w:val="000000"/>
                <w:sz w:val="16"/>
              </w:rPr>
              <w:t>1,066,748 </w:t>
            </w:r>
          </w:p>
        </w:tc>
        <w:tc>
          <w:tcPr>
            <w:tcW w:w="990" w:type="dxa"/>
            <w:tcBorders>
              <w:top w:val="nil"/>
              <w:left w:val="nil"/>
              <w:bottom w:val="nil"/>
              <w:right w:val="nil"/>
              <w:tl2br w:val="nil"/>
              <w:tr2bl w:val="nil"/>
            </w:tcBorders>
            <w:shd w:val="clear" w:color="auto" w:fill="FFFFFF"/>
            <w:tcMar>
              <w:left w:w="115" w:type="dxa"/>
              <w:right w:w="115" w:type="dxa"/>
            </w:tcMar>
            <w:vAlign w:val="bottom"/>
          </w:tcPr>
          <w:p w14:paraId="1B8EEDA8" w14:textId="77777777" w:rsidR="003F0EEA" w:rsidRPr="00CB3E11" w:rsidRDefault="00FB7D0B">
            <w:pPr>
              <w:jc w:val="right"/>
              <w:rPr>
                <w:rFonts w:ascii="Arial" w:eastAsia="Arial" w:hAnsi="Arial" w:cs="Arial"/>
                <w:color w:val="000000"/>
                <w:sz w:val="16"/>
              </w:rPr>
            </w:pPr>
            <w:r w:rsidRPr="00CB3E11">
              <w:rPr>
                <w:rFonts w:ascii="Arial" w:eastAsia="Arial" w:hAnsi="Arial" w:cs="Arial"/>
                <w:color w:val="000000"/>
                <w:sz w:val="16"/>
              </w:rPr>
              <w:t>1,063,912 </w:t>
            </w:r>
          </w:p>
        </w:tc>
        <w:tc>
          <w:tcPr>
            <w:tcW w:w="990" w:type="dxa"/>
            <w:tcBorders>
              <w:top w:val="nil"/>
              <w:left w:val="nil"/>
              <w:bottom w:val="nil"/>
              <w:right w:val="nil"/>
              <w:tl2br w:val="nil"/>
              <w:tr2bl w:val="nil"/>
            </w:tcBorders>
            <w:shd w:val="clear" w:color="auto" w:fill="FFFFFF"/>
            <w:tcMar>
              <w:left w:w="115" w:type="dxa"/>
              <w:right w:w="115" w:type="dxa"/>
            </w:tcMar>
            <w:vAlign w:val="bottom"/>
          </w:tcPr>
          <w:p w14:paraId="55400A4A" w14:textId="77777777" w:rsidR="003F0EEA" w:rsidRPr="00CB3E11" w:rsidRDefault="00FB7D0B">
            <w:pPr>
              <w:jc w:val="right"/>
              <w:rPr>
                <w:rFonts w:ascii="Arial" w:eastAsia="Arial" w:hAnsi="Arial" w:cs="Arial"/>
                <w:color w:val="000000"/>
                <w:sz w:val="16"/>
              </w:rPr>
            </w:pPr>
            <w:r w:rsidRPr="00CB3E11">
              <w:rPr>
                <w:rFonts w:ascii="Arial" w:eastAsia="Arial" w:hAnsi="Arial" w:cs="Arial"/>
                <w:color w:val="000000"/>
                <w:sz w:val="16"/>
              </w:rPr>
              <w:t>1,061,621 </w:t>
            </w:r>
          </w:p>
        </w:tc>
        <w:tc>
          <w:tcPr>
            <w:tcW w:w="990" w:type="dxa"/>
            <w:tcBorders>
              <w:top w:val="nil"/>
              <w:left w:val="nil"/>
              <w:bottom w:val="nil"/>
              <w:right w:val="nil"/>
              <w:tl2br w:val="nil"/>
              <w:tr2bl w:val="nil"/>
            </w:tcBorders>
            <w:shd w:val="clear" w:color="auto" w:fill="FFFFFF"/>
            <w:tcMar>
              <w:left w:w="115" w:type="dxa"/>
              <w:right w:w="115" w:type="dxa"/>
            </w:tcMar>
            <w:vAlign w:val="bottom"/>
          </w:tcPr>
          <w:p w14:paraId="14D7A4EF" w14:textId="77777777" w:rsidR="003F0EEA" w:rsidRPr="00CB3E11" w:rsidRDefault="00FB7D0B">
            <w:pPr>
              <w:jc w:val="right"/>
              <w:rPr>
                <w:rFonts w:ascii="Arial" w:eastAsia="Arial" w:hAnsi="Arial" w:cs="Arial"/>
                <w:color w:val="000000"/>
                <w:sz w:val="16"/>
              </w:rPr>
            </w:pPr>
            <w:r w:rsidRPr="00CB3E11">
              <w:rPr>
                <w:rFonts w:ascii="Arial" w:eastAsia="Arial" w:hAnsi="Arial" w:cs="Arial"/>
                <w:color w:val="000000"/>
                <w:sz w:val="16"/>
              </w:rPr>
              <w:t>1,058,608 </w:t>
            </w:r>
          </w:p>
        </w:tc>
      </w:tr>
      <w:tr w:rsidR="00355BFE" w14:paraId="6DD4E888" w14:textId="77777777" w:rsidTr="00355BFE">
        <w:trPr>
          <w:trHeight w:val="225"/>
        </w:trPr>
        <w:tc>
          <w:tcPr>
            <w:tcW w:w="180" w:type="dxa"/>
            <w:tcBorders>
              <w:top w:val="nil"/>
              <w:left w:val="nil"/>
              <w:bottom w:val="nil"/>
              <w:right w:val="nil"/>
              <w:tl2br w:val="nil"/>
              <w:tr2bl w:val="nil"/>
            </w:tcBorders>
            <w:shd w:val="clear" w:color="auto" w:fill="FFFFFF"/>
            <w:tcMar>
              <w:left w:w="115" w:type="dxa"/>
              <w:right w:w="115" w:type="dxa"/>
            </w:tcMar>
            <w:vAlign w:val="bottom"/>
          </w:tcPr>
          <w:p w14:paraId="1C46D890" w14:textId="77777777" w:rsidR="003F0EEA" w:rsidRPr="00CB3E11" w:rsidRDefault="003F0EEA">
            <w:pPr>
              <w:rPr>
                <w:rFonts w:ascii="Arial" w:eastAsia="Arial" w:hAnsi="Arial" w:cs="Arial"/>
                <w:color w:val="000000"/>
                <w:sz w:val="16"/>
              </w:rPr>
            </w:pPr>
          </w:p>
        </w:tc>
        <w:tc>
          <w:tcPr>
            <w:tcW w:w="3330" w:type="dxa"/>
            <w:gridSpan w:val="2"/>
            <w:vMerge w:val="restart"/>
            <w:tcBorders>
              <w:top w:val="nil"/>
              <w:left w:val="nil"/>
              <w:bottom w:val="nil"/>
              <w:right w:val="nil"/>
              <w:tl2br w:val="nil"/>
              <w:tr2bl w:val="nil"/>
            </w:tcBorders>
            <w:shd w:val="clear" w:color="auto" w:fill="FFFFFF"/>
            <w:tcMar>
              <w:left w:w="115" w:type="dxa"/>
              <w:right w:w="115" w:type="dxa"/>
            </w:tcMar>
            <w:vAlign w:val="bottom"/>
          </w:tcPr>
          <w:p w14:paraId="64EEC27C" w14:textId="77777777" w:rsidR="003F0EEA" w:rsidRPr="00CB3E11" w:rsidRDefault="00FB7D0B">
            <w:pPr>
              <w:rPr>
                <w:rFonts w:ascii="Arial" w:eastAsia="Arial" w:hAnsi="Arial" w:cs="Arial"/>
                <w:color w:val="000000"/>
                <w:sz w:val="16"/>
              </w:rPr>
            </w:pPr>
            <w:r w:rsidRPr="00CB3E11">
              <w:rPr>
                <w:rFonts w:ascii="Arial" w:eastAsia="Arial" w:hAnsi="Arial" w:cs="Arial"/>
                <w:color w:val="000000"/>
                <w:sz w:val="16"/>
              </w:rPr>
              <w:t>Intangibles</w:t>
            </w:r>
          </w:p>
        </w:tc>
        <w:tc>
          <w:tcPr>
            <w:tcW w:w="990" w:type="dxa"/>
            <w:tcBorders>
              <w:top w:val="nil"/>
              <w:left w:val="nil"/>
              <w:bottom w:val="nil"/>
              <w:right w:val="nil"/>
              <w:tl2br w:val="nil"/>
              <w:tr2bl w:val="nil"/>
            </w:tcBorders>
            <w:shd w:val="clear" w:color="auto" w:fill="FFFFFF"/>
            <w:tcMar>
              <w:left w:w="115" w:type="dxa"/>
              <w:right w:w="115" w:type="dxa"/>
            </w:tcMar>
            <w:vAlign w:val="bottom"/>
          </w:tcPr>
          <w:p w14:paraId="36A7F566" w14:textId="77777777" w:rsidR="003F0EEA" w:rsidRPr="00CB3E11" w:rsidRDefault="00FB7D0B">
            <w:pPr>
              <w:jc w:val="right"/>
              <w:rPr>
                <w:rFonts w:ascii="Arial" w:eastAsia="Arial" w:hAnsi="Arial" w:cs="Arial"/>
                <w:color w:val="000000"/>
                <w:sz w:val="16"/>
              </w:rPr>
            </w:pPr>
            <w:r w:rsidRPr="00CB3E11">
              <w:rPr>
                <w:rFonts w:ascii="Arial" w:eastAsia="Arial" w:hAnsi="Arial" w:cs="Arial"/>
                <w:color w:val="000000"/>
                <w:sz w:val="16"/>
              </w:rPr>
              <w:t>4,923 </w:t>
            </w:r>
          </w:p>
        </w:tc>
        <w:tc>
          <w:tcPr>
            <w:tcW w:w="990" w:type="dxa"/>
            <w:tcBorders>
              <w:top w:val="nil"/>
              <w:left w:val="nil"/>
              <w:bottom w:val="nil"/>
              <w:right w:val="nil"/>
              <w:tl2br w:val="nil"/>
              <w:tr2bl w:val="nil"/>
            </w:tcBorders>
            <w:shd w:val="clear" w:color="auto" w:fill="C0C0C0"/>
            <w:tcMar>
              <w:left w:w="115" w:type="dxa"/>
              <w:right w:w="115" w:type="dxa"/>
            </w:tcMar>
            <w:vAlign w:val="bottom"/>
          </w:tcPr>
          <w:p w14:paraId="647E288A" w14:textId="77777777" w:rsidR="003F0EEA" w:rsidRPr="00CB3E11" w:rsidRDefault="00FB7D0B">
            <w:pPr>
              <w:jc w:val="right"/>
              <w:rPr>
                <w:rFonts w:ascii="Arial" w:eastAsia="Arial" w:hAnsi="Arial" w:cs="Arial"/>
                <w:color w:val="000000"/>
                <w:sz w:val="16"/>
              </w:rPr>
            </w:pPr>
            <w:r w:rsidRPr="00CB3E11">
              <w:rPr>
                <w:rFonts w:ascii="Arial" w:eastAsia="Arial" w:hAnsi="Arial" w:cs="Arial"/>
                <w:color w:val="000000"/>
                <w:sz w:val="16"/>
              </w:rPr>
              <w:t>4,241 </w:t>
            </w:r>
          </w:p>
        </w:tc>
        <w:tc>
          <w:tcPr>
            <w:tcW w:w="990" w:type="dxa"/>
            <w:tcBorders>
              <w:top w:val="nil"/>
              <w:left w:val="nil"/>
              <w:bottom w:val="nil"/>
              <w:right w:val="nil"/>
              <w:tl2br w:val="nil"/>
              <w:tr2bl w:val="nil"/>
            </w:tcBorders>
            <w:shd w:val="clear" w:color="auto" w:fill="FFFFFF"/>
            <w:tcMar>
              <w:left w:w="115" w:type="dxa"/>
              <w:right w:w="115" w:type="dxa"/>
            </w:tcMar>
            <w:vAlign w:val="bottom"/>
          </w:tcPr>
          <w:p w14:paraId="56E611D8" w14:textId="77777777" w:rsidR="003F0EEA" w:rsidRPr="00CB3E11" w:rsidRDefault="00FB7D0B">
            <w:pPr>
              <w:jc w:val="right"/>
              <w:rPr>
                <w:rFonts w:ascii="Arial" w:eastAsia="Arial" w:hAnsi="Arial" w:cs="Arial"/>
                <w:color w:val="000000"/>
                <w:sz w:val="16"/>
              </w:rPr>
            </w:pPr>
            <w:r w:rsidRPr="00CB3E11">
              <w:rPr>
                <w:rFonts w:ascii="Arial" w:eastAsia="Arial" w:hAnsi="Arial" w:cs="Arial"/>
                <w:color w:val="000000"/>
                <w:sz w:val="16"/>
              </w:rPr>
              <w:t>3,752 </w:t>
            </w:r>
          </w:p>
        </w:tc>
        <w:tc>
          <w:tcPr>
            <w:tcW w:w="990" w:type="dxa"/>
            <w:tcBorders>
              <w:top w:val="nil"/>
              <w:left w:val="nil"/>
              <w:bottom w:val="nil"/>
              <w:right w:val="nil"/>
              <w:tl2br w:val="nil"/>
              <w:tr2bl w:val="nil"/>
            </w:tcBorders>
            <w:shd w:val="clear" w:color="auto" w:fill="FFFFFF"/>
            <w:tcMar>
              <w:left w:w="115" w:type="dxa"/>
              <w:right w:w="115" w:type="dxa"/>
            </w:tcMar>
            <w:vAlign w:val="bottom"/>
          </w:tcPr>
          <w:p w14:paraId="534771E5" w14:textId="77777777" w:rsidR="003F0EEA" w:rsidRPr="00CB3E11" w:rsidRDefault="00FB7D0B">
            <w:pPr>
              <w:jc w:val="right"/>
              <w:rPr>
                <w:rFonts w:ascii="Arial" w:eastAsia="Arial" w:hAnsi="Arial" w:cs="Arial"/>
                <w:color w:val="000000"/>
                <w:sz w:val="16"/>
              </w:rPr>
            </w:pPr>
            <w:r w:rsidRPr="00CB3E11">
              <w:rPr>
                <w:rFonts w:ascii="Arial" w:eastAsia="Arial" w:hAnsi="Arial" w:cs="Arial"/>
                <w:color w:val="000000"/>
                <w:sz w:val="16"/>
              </w:rPr>
              <w:t>3,050 </w:t>
            </w:r>
          </w:p>
        </w:tc>
        <w:tc>
          <w:tcPr>
            <w:tcW w:w="990" w:type="dxa"/>
            <w:tcBorders>
              <w:top w:val="nil"/>
              <w:left w:val="nil"/>
              <w:bottom w:val="nil"/>
              <w:right w:val="nil"/>
              <w:tl2br w:val="nil"/>
              <w:tr2bl w:val="nil"/>
            </w:tcBorders>
            <w:shd w:val="clear" w:color="auto" w:fill="FFFFFF"/>
            <w:tcMar>
              <w:left w:w="115" w:type="dxa"/>
              <w:right w:w="115" w:type="dxa"/>
            </w:tcMar>
            <w:vAlign w:val="bottom"/>
          </w:tcPr>
          <w:p w14:paraId="76E943A4" w14:textId="77777777" w:rsidR="003F0EEA" w:rsidRPr="00CB3E11" w:rsidRDefault="00FB7D0B">
            <w:pPr>
              <w:jc w:val="right"/>
              <w:rPr>
                <w:rFonts w:ascii="Arial" w:eastAsia="Arial" w:hAnsi="Arial" w:cs="Arial"/>
                <w:color w:val="000000"/>
                <w:sz w:val="16"/>
              </w:rPr>
            </w:pPr>
            <w:r w:rsidRPr="00CB3E11">
              <w:rPr>
                <w:rFonts w:ascii="Arial" w:eastAsia="Arial" w:hAnsi="Arial" w:cs="Arial"/>
                <w:color w:val="000000"/>
                <w:sz w:val="16"/>
              </w:rPr>
              <w:t>2,338 </w:t>
            </w:r>
          </w:p>
        </w:tc>
      </w:tr>
      <w:tr w:rsidR="00355BFE" w14:paraId="69D4AB59" w14:textId="77777777" w:rsidTr="00355BFE">
        <w:trPr>
          <w:trHeight w:val="225"/>
        </w:trPr>
        <w:tc>
          <w:tcPr>
            <w:tcW w:w="180" w:type="dxa"/>
            <w:tcBorders>
              <w:top w:val="nil"/>
              <w:left w:val="nil"/>
              <w:bottom w:val="nil"/>
              <w:right w:val="nil"/>
              <w:tl2br w:val="nil"/>
              <w:tr2bl w:val="nil"/>
            </w:tcBorders>
            <w:shd w:val="clear" w:color="auto" w:fill="FFFFFF"/>
            <w:tcMar>
              <w:left w:w="115" w:type="dxa"/>
              <w:right w:w="115" w:type="dxa"/>
            </w:tcMar>
            <w:vAlign w:val="bottom"/>
          </w:tcPr>
          <w:p w14:paraId="1BE99049" w14:textId="77777777" w:rsidR="003F0EEA" w:rsidRPr="00CB3E11" w:rsidRDefault="003F0EEA">
            <w:pPr>
              <w:rPr>
                <w:rFonts w:ascii="Arial" w:eastAsia="Arial" w:hAnsi="Arial" w:cs="Arial"/>
                <w:color w:val="000000"/>
                <w:sz w:val="16"/>
              </w:rPr>
            </w:pPr>
          </w:p>
        </w:tc>
        <w:tc>
          <w:tcPr>
            <w:tcW w:w="3330" w:type="dxa"/>
            <w:gridSpan w:val="2"/>
            <w:vMerge w:val="restart"/>
            <w:tcBorders>
              <w:top w:val="nil"/>
              <w:left w:val="nil"/>
              <w:bottom w:val="nil"/>
              <w:right w:val="nil"/>
              <w:tl2br w:val="nil"/>
              <w:tr2bl w:val="nil"/>
            </w:tcBorders>
            <w:shd w:val="clear" w:color="auto" w:fill="FFFFFF"/>
            <w:tcMar>
              <w:left w:w="115" w:type="dxa"/>
              <w:right w:w="115" w:type="dxa"/>
            </w:tcMar>
            <w:vAlign w:val="bottom"/>
          </w:tcPr>
          <w:p w14:paraId="6A510321" w14:textId="77777777" w:rsidR="003F0EEA" w:rsidRPr="00CB3E11" w:rsidRDefault="00FB7D0B">
            <w:pPr>
              <w:rPr>
                <w:rFonts w:ascii="Arial" w:eastAsia="Arial" w:hAnsi="Arial" w:cs="Arial"/>
                <w:color w:val="000000"/>
                <w:sz w:val="16"/>
              </w:rPr>
            </w:pPr>
            <w:r w:rsidRPr="00CB3E11">
              <w:rPr>
                <w:rFonts w:ascii="Arial" w:eastAsia="Arial" w:hAnsi="Arial" w:cs="Arial"/>
                <w:color w:val="000000"/>
                <w:sz w:val="16"/>
              </w:rPr>
              <w:t>Inventories</w:t>
            </w:r>
          </w:p>
        </w:tc>
        <w:tc>
          <w:tcPr>
            <w:tcW w:w="990" w:type="dxa"/>
            <w:tcBorders>
              <w:top w:val="nil"/>
              <w:left w:val="nil"/>
              <w:bottom w:val="nil"/>
              <w:right w:val="nil"/>
              <w:tl2br w:val="nil"/>
              <w:tr2bl w:val="nil"/>
            </w:tcBorders>
            <w:shd w:val="clear" w:color="auto" w:fill="FFFFFF"/>
            <w:tcMar>
              <w:left w:w="115" w:type="dxa"/>
              <w:right w:w="115" w:type="dxa"/>
            </w:tcMar>
            <w:vAlign w:val="bottom"/>
          </w:tcPr>
          <w:p w14:paraId="40F1F52F" w14:textId="77777777" w:rsidR="003F0EEA" w:rsidRPr="00CB3E11" w:rsidRDefault="00FB7D0B">
            <w:pPr>
              <w:jc w:val="right"/>
              <w:rPr>
                <w:rFonts w:ascii="Arial" w:eastAsia="Arial" w:hAnsi="Arial" w:cs="Arial"/>
                <w:color w:val="000000"/>
                <w:sz w:val="16"/>
              </w:rPr>
            </w:pPr>
            <w:r w:rsidRPr="00CB3E11">
              <w:rPr>
                <w:rFonts w:ascii="Arial" w:eastAsia="Arial" w:hAnsi="Arial" w:cs="Arial"/>
                <w:color w:val="000000"/>
                <w:sz w:val="16"/>
              </w:rPr>
              <w:t>687 </w:t>
            </w:r>
          </w:p>
        </w:tc>
        <w:tc>
          <w:tcPr>
            <w:tcW w:w="990" w:type="dxa"/>
            <w:tcBorders>
              <w:top w:val="nil"/>
              <w:left w:val="nil"/>
              <w:bottom w:val="nil"/>
              <w:right w:val="nil"/>
              <w:tl2br w:val="nil"/>
              <w:tr2bl w:val="nil"/>
            </w:tcBorders>
            <w:shd w:val="clear" w:color="auto" w:fill="C0C0C0"/>
            <w:tcMar>
              <w:left w:w="115" w:type="dxa"/>
              <w:right w:w="115" w:type="dxa"/>
            </w:tcMar>
            <w:vAlign w:val="bottom"/>
          </w:tcPr>
          <w:p w14:paraId="1D57F101" w14:textId="77777777" w:rsidR="003F0EEA" w:rsidRPr="00CB3E11" w:rsidRDefault="00FB7D0B">
            <w:pPr>
              <w:jc w:val="right"/>
              <w:rPr>
                <w:rFonts w:ascii="Arial" w:eastAsia="Arial" w:hAnsi="Arial" w:cs="Arial"/>
                <w:color w:val="000000"/>
                <w:sz w:val="16"/>
              </w:rPr>
            </w:pPr>
            <w:r w:rsidRPr="00CB3E11">
              <w:rPr>
                <w:rFonts w:ascii="Arial" w:eastAsia="Arial" w:hAnsi="Arial" w:cs="Arial"/>
                <w:color w:val="000000"/>
                <w:sz w:val="16"/>
              </w:rPr>
              <w:t>687 </w:t>
            </w:r>
          </w:p>
        </w:tc>
        <w:tc>
          <w:tcPr>
            <w:tcW w:w="990" w:type="dxa"/>
            <w:tcBorders>
              <w:top w:val="nil"/>
              <w:left w:val="nil"/>
              <w:bottom w:val="nil"/>
              <w:right w:val="nil"/>
              <w:tl2br w:val="nil"/>
              <w:tr2bl w:val="nil"/>
            </w:tcBorders>
            <w:shd w:val="clear" w:color="auto" w:fill="FFFFFF"/>
            <w:tcMar>
              <w:left w:w="115" w:type="dxa"/>
              <w:right w:w="115" w:type="dxa"/>
            </w:tcMar>
            <w:vAlign w:val="bottom"/>
          </w:tcPr>
          <w:p w14:paraId="51C5808A" w14:textId="77777777" w:rsidR="003F0EEA" w:rsidRPr="00CB3E11" w:rsidRDefault="00FB7D0B">
            <w:pPr>
              <w:jc w:val="right"/>
              <w:rPr>
                <w:rFonts w:ascii="Arial" w:eastAsia="Arial" w:hAnsi="Arial" w:cs="Arial"/>
                <w:color w:val="000000"/>
                <w:sz w:val="16"/>
              </w:rPr>
            </w:pPr>
            <w:r w:rsidRPr="00CB3E11">
              <w:rPr>
                <w:rFonts w:ascii="Arial" w:eastAsia="Arial" w:hAnsi="Arial" w:cs="Arial"/>
                <w:color w:val="000000"/>
                <w:sz w:val="16"/>
              </w:rPr>
              <w:t>687 </w:t>
            </w:r>
          </w:p>
        </w:tc>
        <w:tc>
          <w:tcPr>
            <w:tcW w:w="990" w:type="dxa"/>
            <w:tcBorders>
              <w:top w:val="nil"/>
              <w:left w:val="nil"/>
              <w:bottom w:val="nil"/>
              <w:right w:val="nil"/>
              <w:tl2br w:val="nil"/>
              <w:tr2bl w:val="nil"/>
            </w:tcBorders>
            <w:shd w:val="clear" w:color="auto" w:fill="FFFFFF"/>
            <w:tcMar>
              <w:left w:w="115" w:type="dxa"/>
              <w:right w:w="115" w:type="dxa"/>
            </w:tcMar>
            <w:vAlign w:val="bottom"/>
          </w:tcPr>
          <w:p w14:paraId="20E10B6C" w14:textId="77777777" w:rsidR="003F0EEA" w:rsidRPr="00CB3E11" w:rsidRDefault="00FB7D0B">
            <w:pPr>
              <w:jc w:val="right"/>
              <w:rPr>
                <w:rFonts w:ascii="Arial" w:eastAsia="Arial" w:hAnsi="Arial" w:cs="Arial"/>
                <w:color w:val="000000"/>
                <w:sz w:val="16"/>
              </w:rPr>
            </w:pPr>
            <w:r w:rsidRPr="00CB3E11">
              <w:rPr>
                <w:rFonts w:ascii="Arial" w:eastAsia="Arial" w:hAnsi="Arial" w:cs="Arial"/>
                <w:color w:val="000000"/>
                <w:sz w:val="16"/>
              </w:rPr>
              <w:t>687 </w:t>
            </w:r>
          </w:p>
        </w:tc>
        <w:tc>
          <w:tcPr>
            <w:tcW w:w="990" w:type="dxa"/>
            <w:tcBorders>
              <w:top w:val="nil"/>
              <w:left w:val="nil"/>
              <w:bottom w:val="nil"/>
              <w:right w:val="nil"/>
              <w:tl2br w:val="nil"/>
              <w:tr2bl w:val="nil"/>
            </w:tcBorders>
            <w:shd w:val="clear" w:color="auto" w:fill="FFFFFF"/>
            <w:tcMar>
              <w:left w:w="115" w:type="dxa"/>
              <w:right w:w="115" w:type="dxa"/>
            </w:tcMar>
            <w:vAlign w:val="bottom"/>
          </w:tcPr>
          <w:p w14:paraId="747FE72D" w14:textId="77777777" w:rsidR="003F0EEA" w:rsidRPr="00CB3E11" w:rsidRDefault="00FB7D0B">
            <w:pPr>
              <w:jc w:val="right"/>
              <w:rPr>
                <w:rFonts w:ascii="Arial" w:eastAsia="Arial" w:hAnsi="Arial" w:cs="Arial"/>
                <w:color w:val="000000"/>
                <w:sz w:val="16"/>
              </w:rPr>
            </w:pPr>
            <w:r w:rsidRPr="00CB3E11">
              <w:rPr>
                <w:rFonts w:ascii="Arial" w:eastAsia="Arial" w:hAnsi="Arial" w:cs="Arial"/>
                <w:color w:val="000000"/>
                <w:sz w:val="16"/>
              </w:rPr>
              <w:t>687 </w:t>
            </w:r>
          </w:p>
        </w:tc>
      </w:tr>
      <w:tr w:rsidR="00355BFE" w14:paraId="04A2962D" w14:textId="77777777" w:rsidTr="00355BFE">
        <w:trPr>
          <w:trHeight w:val="225"/>
        </w:trPr>
        <w:tc>
          <w:tcPr>
            <w:tcW w:w="180" w:type="dxa"/>
            <w:tcBorders>
              <w:top w:val="nil"/>
              <w:left w:val="nil"/>
              <w:bottom w:val="nil"/>
              <w:right w:val="nil"/>
              <w:tl2br w:val="nil"/>
              <w:tr2bl w:val="nil"/>
            </w:tcBorders>
            <w:shd w:val="clear" w:color="auto" w:fill="FFFFFF"/>
            <w:tcMar>
              <w:left w:w="115" w:type="dxa"/>
              <w:right w:w="115" w:type="dxa"/>
            </w:tcMar>
            <w:vAlign w:val="bottom"/>
          </w:tcPr>
          <w:p w14:paraId="1EBE54DE" w14:textId="77777777" w:rsidR="003F0EEA" w:rsidRPr="00CB3E11" w:rsidRDefault="003F0EEA">
            <w:pPr>
              <w:rPr>
                <w:rFonts w:ascii="Arial" w:eastAsia="Arial" w:hAnsi="Arial" w:cs="Arial"/>
                <w:color w:val="000000"/>
                <w:sz w:val="16"/>
              </w:rPr>
            </w:pPr>
          </w:p>
        </w:tc>
        <w:tc>
          <w:tcPr>
            <w:tcW w:w="3330" w:type="dxa"/>
            <w:gridSpan w:val="2"/>
            <w:vMerge w:val="restart"/>
            <w:tcBorders>
              <w:top w:val="nil"/>
              <w:left w:val="nil"/>
              <w:bottom w:val="nil"/>
              <w:right w:val="nil"/>
              <w:tl2br w:val="nil"/>
              <w:tr2bl w:val="nil"/>
            </w:tcBorders>
            <w:shd w:val="clear" w:color="auto" w:fill="FFFFFF"/>
            <w:tcMar>
              <w:left w:w="115" w:type="dxa"/>
              <w:right w:w="115" w:type="dxa"/>
            </w:tcMar>
            <w:vAlign w:val="bottom"/>
          </w:tcPr>
          <w:p w14:paraId="06CA92D5" w14:textId="77777777" w:rsidR="003F0EEA" w:rsidRPr="00CB3E11" w:rsidRDefault="00FB7D0B">
            <w:pPr>
              <w:rPr>
                <w:rFonts w:ascii="Arial" w:eastAsia="Arial" w:hAnsi="Arial" w:cs="Arial"/>
                <w:color w:val="000000"/>
                <w:sz w:val="16"/>
              </w:rPr>
            </w:pPr>
            <w:r w:rsidRPr="00CB3E11">
              <w:rPr>
                <w:rFonts w:ascii="Arial" w:eastAsia="Arial" w:hAnsi="Arial" w:cs="Arial"/>
                <w:color w:val="000000"/>
                <w:sz w:val="16"/>
              </w:rPr>
              <w:t>Other</w:t>
            </w:r>
          </w:p>
        </w:tc>
        <w:tc>
          <w:tcPr>
            <w:tcW w:w="990"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246FA21D" w14:textId="77777777" w:rsidR="003F0EEA" w:rsidRPr="00CB3E11" w:rsidRDefault="00FB7D0B">
            <w:pPr>
              <w:jc w:val="right"/>
              <w:rPr>
                <w:rFonts w:ascii="Arial" w:eastAsia="Arial" w:hAnsi="Arial" w:cs="Arial"/>
                <w:color w:val="000000"/>
                <w:sz w:val="16"/>
              </w:rPr>
            </w:pPr>
            <w:r w:rsidRPr="00CB3E11">
              <w:rPr>
                <w:rFonts w:ascii="Arial" w:eastAsia="Arial" w:hAnsi="Arial" w:cs="Arial"/>
                <w:color w:val="000000"/>
                <w:sz w:val="16"/>
              </w:rPr>
              <w:t>298 </w:t>
            </w:r>
          </w:p>
        </w:tc>
        <w:tc>
          <w:tcPr>
            <w:tcW w:w="990" w:type="dxa"/>
            <w:tcBorders>
              <w:top w:val="nil"/>
              <w:left w:val="nil"/>
              <w:bottom w:val="single" w:sz="6" w:space="0" w:color="000000"/>
              <w:right w:val="nil"/>
              <w:tl2br w:val="nil"/>
              <w:tr2bl w:val="nil"/>
            </w:tcBorders>
            <w:shd w:val="clear" w:color="auto" w:fill="C0C0C0"/>
            <w:tcMar>
              <w:left w:w="115" w:type="dxa"/>
              <w:right w:w="115" w:type="dxa"/>
            </w:tcMar>
            <w:vAlign w:val="bottom"/>
          </w:tcPr>
          <w:p w14:paraId="69AAF6DE" w14:textId="77777777" w:rsidR="003F0EEA" w:rsidRPr="00CB3E11" w:rsidRDefault="00FB7D0B">
            <w:pPr>
              <w:jc w:val="right"/>
              <w:rPr>
                <w:rFonts w:ascii="Arial" w:eastAsia="Arial" w:hAnsi="Arial" w:cs="Arial"/>
                <w:color w:val="000000"/>
                <w:sz w:val="16"/>
              </w:rPr>
            </w:pPr>
            <w:r w:rsidRPr="00CB3E11">
              <w:rPr>
                <w:rFonts w:ascii="Arial" w:eastAsia="Arial" w:hAnsi="Arial" w:cs="Arial"/>
                <w:color w:val="000000"/>
                <w:sz w:val="16"/>
              </w:rPr>
              <w:t>298 </w:t>
            </w:r>
          </w:p>
        </w:tc>
        <w:tc>
          <w:tcPr>
            <w:tcW w:w="990"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5ECD95A9" w14:textId="77777777" w:rsidR="003F0EEA" w:rsidRPr="00CB3E11" w:rsidRDefault="00FB7D0B">
            <w:pPr>
              <w:jc w:val="right"/>
              <w:rPr>
                <w:rFonts w:ascii="Arial" w:eastAsia="Arial" w:hAnsi="Arial" w:cs="Arial"/>
                <w:color w:val="000000"/>
                <w:sz w:val="16"/>
              </w:rPr>
            </w:pPr>
            <w:r w:rsidRPr="00CB3E11">
              <w:rPr>
                <w:rFonts w:ascii="Arial" w:eastAsia="Arial" w:hAnsi="Arial" w:cs="Arial"/>
                <w:color w:val="000000"/>
                <w:sz w:val="16"/>
              </w:rPr>
              <w:t>298 </w:t>
            </w:r>
          </w:p>
        </w:tc>
        <w:tc>
          <w:tcPr>
            <w:tcW w:w="990"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0FF36DA2" w14:textId="77777777" w:rsidR="003F0EEA" w:rsidRPr="00CB3E11" w:rsidRDefault="00FB7D0B">
            <w:pPr>
              <w:jc w:val="right"/>
              <w:rPr>
                <w:rFonts w:ascii="Arial" w:eastAsia="Arial" w:hAnsi="Arial" w:cs="Arial"/>
                <w:color w:val="000000"/>
                <w:sz w:val="16"/>
              </w:rPr>
            </w:pPr>
            <w:r w:rsidRPr="00CB3E11">
              <w:rPr>
                <w:rFonts w:ascii="Arial" w:eastAsia="Arial" w:hAnsi="Arial" w:cs="Arial"/>
                <w:color w:val="000000"/>
                <w:sz w:val="16"/>
              </w:rPr>
              <w:t>298 </w:t>
            </w:r>
          </w:p>
        </w:tc>
        <w:tc>
          <w:tcPr>
            <w:tcW w:w="990"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08C18F49" w14:textId="77777777" w:rsidR="003F0EEA" w:rsidRPr="00CB3E11" w:rsidRDefault="00FB7D0B">
            <w:pPr>
              <w:jc w:val="right"/>
              <w:rPr>
                <w:rFonts w:ascii="Arial" w:eastAsia="Arial" w:hAnsi="Arial" w:cs="Arial"/>
                <w:color w:val="000000"/>
                <w:sz w:val="16"/>
              </w:rPr>
            </w:pPr>
            <w:r w:rsidRPr="00CB3E11">
              <w:rPr>
                <w:rFonts w:ascii="Arial" w:eastAsia="Arial" w:hAnsi="Arial" w:cs="Arial"/>
                <w:color w:val="000000"/>
                <w:sz w:val="16"/>
              </w:rPr>
              <w:t>298 </w:t>
            </w:r>
          </w:p>
        </w:tc>
      </w:tr>
      <w:tr w:rsidR="00355BFE" w14:paraId="11F481E9" w14:textId="77777777" w:rsidTr="00355BFE">
        <w:trPr>
          <w:trHeight w:val="225"/>
        </w:trPr>
        <w:tc>
          <w:tcPr>
            <w:tcW w:w="3510" w:type="dxa"/>
            <w:gridSpan w:val="3"/>
            <w:tcBorders>
              <w:top w:val="nil"/>
              <w:left w:val="nil"/>
              <w:bottom w:val="nil"/>
              <w:right w:val="nil"/>
              <w:tl2br w:val="nil"/>
              <w:tr2bl w:val="nil"/>
            </w:tcBorders>
            <w:shd w:val="clear" w:color="auto" w:fill="FFFFFF"/>
            <w:tcMar>
              <w:left w:w="115" w:type="dxa"/>
              <w:right w:w="115" w:type="dxa"/>
            </w:tcMar>
            <w:vAlign w:val="bottom"/>
          </w:tcPr>
          <w:p w14:paraId="6C67E7BB" w14:textId="77777777" w:rsidR="003F0EEA" w:rsidRPr="00CB3E11" w:rsidRDefault="00FB7D0B">
            <w:pPr>
              <w:rPr>
                <w:rFonts w:ascii="Arial" w:eastAsia="Arial" w:hAnsi="Arial" w:cs="Arial"/>
                <w:color w:val="000000"/>
                <w:sz w:val="16"/>
              </w:rPr>
            </w:pPr>
            <w:r w:rsidRPr="00CB3E11">
              <w:rPr>
                <w:rFonts w:ascii="Arial" w:eastAsia="Arial" w:hAnsi="Arial" w:cs="Arial"/>
                <w:b/>
                <w:i/>
                <w:color w:val="000000"/>
                <w:sz w:val="16"/>
              </w:rPr>
              <w:t>Total non-financial assets</w:t>
            </w:r>
          </w:p>
        </w:tc>
        <w:tc>
          <w:tcPr>
            <w:tcW w:w="990" w:type="dxa"/>
            <w:tcBorders>
              <w:top w:val="single" w:sz="6" w:space="0" w:color="000000"/>
              <w:left w:val="nil"/>
              <w:bottom w:val="single" w:sz="6" w:space="0" w:color="000000"/>
              <w:right w:val="nil"/>
              <w:tl2br w:val="nil"/>
              <w:tr2bl w:val="nil"/>
            </w:tcBorders>
            <w:shd w:val="clear" w:color="auto" w:fill="FFFFFF"/>
            <w:tcMar>
              <w:left w:w="115" w:type="dxa"/>
              <w:right w:w="115" w:type="dxa"/>
            </w:tcMar>
            <w:vAlign w:val="bottom"/>
          </w:tcPr>
          <w:p w14:paraId="6931D14A" w14:textId="77777777" w:rsidR="003F0EEA" w:rsidRPr="00CB3E11" w:rsidRDefault="00FB7D0B">
            <w:pPr>
              <w:jc w:val="right"/>
              <w:rPr>
                <w:rFonts w:ascii="Arial" w:eastAsia="Arial" w:hAnsi="Arial" w:cs="Arial"/>
                <w:b/>
                <w:i/>
                <w:color w:val="000000"/>
                <w:sz w:val="16"/>
              </w:rPr>
            </w:pPr>
            <w:r w:rsidRPr="00CB3E11">
              <w:rPr>
                <w:rFonts w:ascii="Arial" w:eastAsia="Arial" w:hAnsi="Arial" w:cs="Arial"/>
                <w:b/>
                <w:color w:val="000000"/>
                <w:sz w:val="16"/>
              </w:rPr>
              <w:t>1,196,867 </w:t>
            </w:r>
          </w:p>
        </w:tc>
        <w:tc>
          <w:tcPr>
            <w:tcW w:w="990" w:type="dxa"/>
            <w:tcBorders>
              <w:top w:val="single" w:sz="6" w:space="0" w:color="000000"/>
              <w:left w:val="nil"/>
              <w:bottom w:val="single" w:sz="6" w:space="0" w:color="000000"/>
              <w:right w:val="nil"/>
              <w:tl2br w:val="nil"/>
              <w:tr2bl w:val="nil"/>
            </w:tcBorders>
            <w:shd w:val="clear" w:color="auto" w:fill="C0C0C0"/>
            <w:tcMar>
              <w:left w:w="115" w:type="dxa"/>
              <w:right w:w="115" w:type="dxa"/>
            </w:tcMar>
            <w:vAlign w:val="bottom"/>
          </w:tcPr>
          <w:p w14:paraId="3736F480" w14:textId="77777777" w:rsidR="003F0EEA" w:rsidRPr="00CB3E11" w:rsidRDefault="00FB7D0B">
            <w:pPr>
              <w:jc w:val="right"/>
              <w:rPr>
                <w:rFonts w:ascii="Arial" w:eastAsia="Arial" w:hAnsi="Arial" w:cs="Arial"/>
                <w:b/>
                <w:color w:val="000000"/>
                <w:sz w:val="16"/>
              </w:rPr>
            </w:pPr>
            <w:r w:rsidRPr="00CB3E11">
              <w:rPr>
                <w:rFonts w:ascii="Arial" w:eastAsia="Arial" w:hAnsi="Arial" w:cs="Arial"/>
                <w:b/>
                <w:color w:val="000000"/>
                <w:sz w:val="16"/>
              </w:rPr>
              <w:t>1,211,430 </w:t>
            </w:r>
          </w:p>
        </w:tc>
        <w:tc>
          <w:tcPr>
            <w:tcW w:w="990" w:type="dxa"/>
            <w:tcBorders>
              <w:top w:val="single" w:sz="6" w:space="0" w:color="000000"/>
              <w:left w:val="nil"/>
              <w:bottom w:val="single" w:sz="6" w:space="0" w:color="000000"/>
              <w:right w:val="nil"/>
              <w:tl2br w:val="nil"/>
              <w:tr2bl w:val="nil"/>
            </w:tcBorders>
            <w:shd w:val="clear" w:color="auto" w:fill="FFFFFF"/>
            <w:tcMar>
              <w:left w:w="115" w:type="dxa"/>
              <w:right w:w="115" w:type="dxa"/>
            </w:tcMar>
            <w:vAlign w:val="bottom"/>
          </w:tcPr>
          <w:p w14:paraId="524EAC90" w14:textId="77777777" w:rsidR="003F0EEA" w:rsidRPr="00CB3E11" w:rsidRDefault="00FB7D0B">
            <w:pPr>
              <w:jc w:val="right"/>
              <w:rPr>
                <w:rFonts w:ascii="Arial" w:eastAsia="Arial" w:hAnsi="Arial" w:cs="Arial"/>
                <w:b/>
                <w:color w:val="000000"/>
                <w:sz w:val="16"/>
              </w:rPr>
            </w:pPr>
            <w:r w:rsidRPr="00CB3E11">
              <w:rPr>
                <w:rFonts w:ascii="Arial" w:eastAsia="Arial" w:hAnsi="Arial" w:cs="Arial"/>
                <w:b/>
                <w:color w:val="000000"/>
                <w:sz w:val="16"/>
              </w:rPr>
              <w:t>1,206,913 </w:t>
            </w:r>
          </w:p>
        </w:tc>
        <w:tc>
          <w:tcPr>
            <w:tcW w:w="990" w:type="dxa"/>
            <w:tcBorders>
              <w:top w:val="single" w:sz="6" w:space="0" w:color="000000"/>
              <w:left w:val="nil"/>
              <w:bottom w:val="single" w:sz="6" w:space="0" w:color="000000"/>
              <w:right w:val="nil"/>
              <w:tl2br w:val="nil"/>
              <w:tr2bl w:val="nil"/>
            </w:tcBorders>
            <w:shd w:val="clear" w:color="auto" w:fill="FFFFFF"/>
            <w:tcMar>
              <w:left w:w="115" w:type="dxa"/>
              <w:right w:w="115" w:type="dxa"/>
            </w:tcMar>
            <w:vAlign w:val="bottom"/>
          </w:tcPr>
          <w:p w14:paraId="2F3EF6E4" w14:textId="77777777" w:rsidR="003F0EEA" w:rsidRPr="00CB3E11" w:rsidRDefault="00FB7D0B">
            <w:pPr>
              <w:jc w:val="right"/>
              <w:rPr>
                <w:rFonts w:ascii="Arial" w:eastAsia="Arial" w:hAnsi="Arial" w:cs="Arial"/>
                <w:b/>
                <w:color w:val="000000"/>
                <w:sz w:val="16"/>
              </w:rPr>
            </w:pPr>
            <w:r w:rsidRPr="00CB3E11">
              <w:rPr>
                <w:rFonts w:ascii="Arial" w:eastAsia="Arial" w:hAnsi="Arial" w:cs="Arial"/>
                <w:b/>
                <w:color w:val="000000"/>
                <w:sz w:val="16"/>
              </w:rPr>
              <w:t>1,202,652 </w:t>
            </w:r>
          </w:p>
        </w:tc>
        <w:tc>
          <w:tcPr>
            <w:tcW w:w="990" w:type="dxa"/>
            <w:tcBorders>
              <w:top w:val="single" w:sz="6" w:space="0" w:color="000000"/>
              <w:left w:val="nil"/>
              <w:bottom w:val="single" w:sz="6" w:space="0" w:color="000000"/>
              <w:right w:val="nil"/>
              <w:tl2br w:val="nil"/>
              <w:tr2bl w:val="nil"/>
            </w:tcBorders>
            <w:shd w:val="clear" w:color="auto" w:fill="FFFFFF"/>
            <w:tcMar>
              <w:left w:w="115" w:type="dxa"/>
              <w:right w:w="115" w:type="dxa"/>
            </w:tcMar>
            <w:vAlign w:val="bottom"/>
          </w:tcPr>
          <w:p w14:paraId="1D9255DB" w14:textId="77777777" w:rsidR="003F0EEA" w:rsidRPr="00CB3E11" w:rsidRDefault="00FB7D0B">
            <w:pPr>
              <w:jc w:val="right"/>
              <w:rPr>
                <w:rFonts w:ascii="Arial" w:eastAsia="Arial" w:hAnsi="Arial" w:cs="Arial"/>
                <w:b/>
                <w:color w:val="000000"/>
                <w:sz w:val="16"/>
              </w:rPr>
            </w:pPr>
            <w:r w:rsidRPr="00CB3E11">
              <w:rPr>
                <w:rFonts w:ascii="Arial" w:eastAsia="Arial" w:hAnsi="Arial" w:cs="Arial"/>
                <w:b/>
                <w:color w:val="000000"/>
                <w:sz w:val="16"/>
              </w:rPr>
              <w:t>1,199,736 </w:t>
            </w:r>
          </w:p>
        </w:tc>
      </w:tr>
      <w:tr w:rsidR="00355BFE" w14:paraId="4D6171E8" w14:textId="77777777" w:rsidTr="00355BFE">
        <w:trPr>
          <w:trHeight w:val="225"/>
        </w:trPr>
        <w:tc>
          <w:tcPr>
            <w:tcW w:w="3510" w:type="dxa"/>
            <w:gridSpan w:val="3"/>
            <w:tcBorders>
              <w:top w:val="nil"/>
              <w:left w:val="nil"/>
              <w:bottom w:val="nil"/>
              <w:right w:val="nil"/>
              <w:tl2br w:val="nil"/>
              <w:tr2bl w:val="nil"/>
            </w:tcBorders>
            <w:shd w:val="clear" w:color="auto" w:fill="FFFFFF"/>
            <w:tcMar>
              <w:left w:w="115" w:type="dxa"/>
              <w:right w:w="115" w:type="dxa"/>
            </w:tcMar>
            <w:vAlign w:val="bottom"/>
          </w:tcPr>
          <w:p w14:paraId="6C2888D4" w14:textId="77777777" w:rsidR="003F0EEA" w:rsidRPr="00CB3E11" w:rsidRDefault="00FB7D0B">
            <w:pPr>
              <w:rPr>
                <w:rFonts w:ascii="Arial" w:eastAsia="Arial" w:hAnsi="Arial" w:cs="Arial"/>
                <w:b/>
                <w:color w:val="000000"/>
                <w:sz w:val="16"/>
              </w:rPr>
            </w:pPr>
            <w:r w:rsidRPr="00CB3E11">
              <w:rPr>
                <w:rFonts w:ascii="Arial" w:eastAsia="Arial" w:hAnsi="Arial" w:cs="Arial"/>
                <w:b/>
                <w:color w:val="000000"/>
                <w:sz w:val="16"/>
              </w:rPr>
              <w:t>Total assets</w:t>
            </w:r>
          </w:p>
        </w:tc>
        <w:tc>
          <w:tcPr>
            <w:tcW w:w="990" w:type="dxa"/>
            <w:tcBorders>
              <w:top w:val="single" w:sz="6" w:space="0" w:color="000000"/>
              <w:left w:val="nil"/>
              <w:bottom w:val="single" w:sz="6" w:space="0" w:color="000000"/>
              <w:right w:val="nil"/>
              <w:tl2br w:val="nil"/>
              <w:tr2bl w:val="nil"/>
            </w:tcBorders>
            <w:shd w:val="clear" w:color="auto" w:fill="FFFFFF"/>
            <w:tcMar>
              <w:left w:w="115" w:type="dxa"/>
              <w:right w:w="115" w:type="dxa"/>
            </w:tcMar>
            <w:vAlign w:val="bottom"/>
          </w:tcPr>
          <w:p w14:paraId="6A162E44" w14:textId="77777777" w:rsidR="003F0EEA" w:rsidRPr="00CB3E11" w:rsidRDefault="00FB7D0B">
            <w:pPr>
              <w:jc w:val="right"/>
              <w:rPr>
                <w:rFonts w:ascii="Arial" w:eastAsia="Arial" w:hAnsi="Arial" w:cs="Arial"/>
                <w:b/>
                <w:color w:val="000000"/>
                <w:sz w:val="16"/>
              </w:rPr>
            </w:pPr>
            <w:r w:rsidRPr="00CB3E11">
              <w:rPr>
                <w:rFonts w:ascii="Arial" w:eastAsia="Arial" w:hAnsi="Arial" w:cs="Arial"/>
                <w:b/>
                <w:color w:val="000000"/>
                <w:sz w:val="16"/>
              </w:rPr>
              <w:t>1,273,447 </w:t>
            </w:r>
          </w:p>
        </w:tc>
        <w:tc>
          <w:tcPr>
            <w:tcW w:w="990" w:type="dxa"/>
            <w:tcBorders>
              <w:top w:val="single" w:sz="6" w:space="0" w:color="000000"/>
              <w:left w:val="nil"/>
              <w:bottom w:val="single" w:sz="6" w:space="0" w:color="000000"/>
              <w:right w:val="nil"/>
              <w:tl2br w:val="nil"/>
              <w:tr2bl w:val="nil"/>
            </w:tcBorders>
            <w:shd w:val="clear" w:color="auto" w:fill="C0C0C0"/>
            <w:tcMar>
              <w:left w:w="115" w:type="dxa"/>
              <w:right w:w="115" w:type="dxa"/>
            </w:tcMar>
            <w:vAlign w:val="bottom"/>
          </w:tcPr>
          <w:p w14:paraId="6FF9CD47" w14:textId="77777777" w:rsidR="003F0EEA" w:rsidRPr="00CB3E11" w:rsidRDefault="00FB7D0B">
            <w:pPr>
              <w:jc w:val="right"/>
              <w:rPr>
                <w:rFonts w:ascii="Arial" w:eastAsia="Arial" w:hAnsi="Arial" w:cs="Arial"/>
                <w:b/>
                <w:color w:val="000000"/>
                <w:sz w:val="16"/>
              </w:rPr>
            </w:pPr>
            <w:r w:rsidRPr="00CB3E11">
              <w:rPr>
                <w:rFonts w:ascii="Arial" w:eastAsia="Arial" w:hAnsi="Arial" w:cs="Arial"/>
                <w:b/>
                <w:color w:val="000000"/>
                <w:sz w:val="16"/>
              </w:rPr>
              <w:t>1,275,763 </w:t>
            </w:r>
          </w:p>
        </w:tc>
        <w:tc>
          <w:tcPr>
            <w:tcW w:w="990" w:type="dxa"/>
            <w:tcBorders>
              <w:top w:val="single" w:sz="6" w:space="0" w:color="000000"/>
              <w:left w:val="nil"/>
              <w:bottom w:val="single" w:sz="6" w:space="0" w:color="000000"/>
              <w:right w:val="nil"/>
              <w:tl2br w:val="nil"/>
              <w:tr2bl w:val="nil"/>
            </w:tcBorders>
            <w:shd w:val="clear" w:color="auto" w:fill="FFFFFF"/>
            <w:tcMar>
              <w:left w:w="115" w:type="dxa"/>
              <w:right w:w="115" w:type="dxa"/>
            </w:tcMar>
            <w:vAlign w:val="bottom"/>
          </w:tcPr>
          <w:p w14:paraId="5D45102E" w14:textId="77777777" w:rsidR="003F0EEA" w:rsidRPr="00CB3E11" w:rsidRDefault="00FB7D0B">
            <w:pPr>
              <w:jc w:val="right"/>
              <w:rPr>
                <w:rFonts w:ascii="Arial" w:eastAsia="Arial" w:hAnsi="Arial" w:cs="Arial"/>
                <w:b/>
                <w:color w:val="000000"/>
                <w:sz w:val="16"/>
              </w:rPr>
            </w:pPr>
            <w:r w:rsidRPr="00CB3E11">
              <w:rPr>
                <w:rFonts w:ascii="Arial" w:eastAsia="Arial" w:hAnsi="Arial" w:cs="Arial"/>
                <w:b/>
                <w:color w:val="000000"/>
                <w:sz w:val="16"/>
              </w:rPr>
              <w:t>1,272,770 </w:t>
            </w:r>
          </w:p>
        </w:tc>
        <w:tc>
          <w:tcPr>
            <w:tcW w:w="990" w:type="dxa"/>
            <w:tcBorders>
              <w:top w:val="single" w:sz="6" w:space="0" w:color="000000"/>
              <w:left w:val="nil"/>
              <w:bottom w:val="single" w:sz="6" w:space="0" w:color="000000"/>
              <w:right w:val="nil"/>
              <w:tl2br w:val="nil"/>
              <w:tr2bl w:val="nil"/>
            </w:tcBorders>
            <w:shd w:val="clear" w:color="auto" w:fill="FFFFFF"/>
            <w:tcMar>
              <w:left w:w="115" w:type="dxa"/>
              <w:right w:w="115" w:type="dxa"/>
            </w:tcMar>
            <w:vAlign w:val="bottom"/>
          </w:tcPr>
          <w:p w14:paraId="3D8AAA6C" w14:textId="77777777" w:rsidR="003F0EEA" w:rsidRPr="00CB3E11" w:rsidRDefault="00FB7D0B">
            <w:pPr>
              <w:jc w:val="right"/>
              <w:rPr>
                <w:rFonts w:ascii="Arial" w:eastAsia="Arial" w:hAnsi="Arial" w:cs="Arial"/>
                <w:b/>
                <w:color w:val="000000"/>
                <w:sz w:val="16"/>
              </w:rPr>
            </w:pPr>
            <w:r w:rsidRPr="00CB3E11">
              <w:rPr>
                <w:rFonts w:ascii="Arial" w:eastAsia="Arial" w:hAnsi="Arial" w:cs="Arial"/>
                <w:b/>
                <w:color w:val="000000"/>
                <w:sz w:val="16"/>
              </w:rPr>
              <w:t>1,270,273 </w:t>
            </w:r>
          </w:p>
        </w:tc>
        <w:tc>
          <w:tcPr>
            <w:tcW w:w="990" w:type="dxa"/>
            <w:tcBorders>
              <w:top w:val="single" w:sz="6" w:space="0" w:color="000000"/>
              <w:left w:val="nil"/>
              <w:bottom w:val="single" w:sz="6" w:space="0" w:color="000000"/>
              <w:right w:val="nil"/>
              <w:tl2br w:val="nil"/>
              <w:tr2bl w:val="nil"/>
            </w:tcBorders>
            <w:shd w:val="clear" w:color="auto" w:fill="FFFFFF"/>
            <w:tcMar>
              <w:left w:w="115" w:type="dxa"/>
              <w:right w:w="115" w:type="dxa"/>
            </w:tcMar>
            <w:vAlign w:val="bottom"/>
          </w:tcPr>
          <w:p w14:paraId="0BB8D8CA" w14:textId="77777777" w:rsidR="003F0EEA" w:rsidRPr="00CB3E11" w:rsidRDefault="00FB7D0B">
            <w:pPr>
              <w:jc w:val="right"/>
              <w:rPr>
                <w:rFonts w:ascii="Arial" w:eastAsia="Arial" w:hAnsi="Arial" w:cs="Arial"/>
                <w:b/>
                <w:color w:val="000000"/>
                <w:sz w:val="16"/>
              </w:rPr>
            </w:pPr>
            <w:r w:rsidRPr="00CB3E11">
              <w:rPr>
                <w:rFonts w:ascii="Arial" w:eastAsia="Arial" w:hAnsi="Arial" w:cs="Arial"/>
                <w:b/>
                <w:color w:val="000000"/>
                <w:sz w:val="16"/>
              </w:rPr>
              <w:t>1,268,717 </w:t>
            </w:r>
          </w:p>
        </w:tc>
      </w:tr>
      <w:tr w:rsidR="00724034" w14:paraId="48CF1646" w14:textId="77777777">
        <w:trPr>
          <w:trHeight w:hRule="exact" w:val="60"/>
        </w:trPr>
        <w:tc>
          <w:tcPr>
            <w:tcW w:w="180" w:type="dxa"/>
            <w:tcBorders>
              <w:top w:val="nil"/>
              <w:left w:val="nil"/>
              <w:bottom w:val="nil"/>
              <w:right w:val="nil"/>
              <w:tl2br w:val="nil"/>
              <w:tr2bl w:val="nil"/>
            </w:tcBorders>
            <w:shd w:val="clear" w:color="auto" w:fill="FFFFFF"/>
            <w:tcMar>
              <w:left w:w="115" w:type="dxa"/>
              <w:right w:w="115" w:type="dxa"/>
            </w:tcMar>
            <w:vAlign w:val="bottom"/>
          </w:tcPr>
          <w:p w14:paraId="2E5BB7C9" w14:textId="77777777" w:rsidR="003F0EEA" w:rsidRPr="00CB3E11" w:rsidRDefault="003F0EEA">
            <w:pPr>
              <w:rPr>
                <w:rFonts w:ascii="Arial" w:eastAsia="Arial" w:hAnsi="Arial" w:cs="Arial"/>
                <w:b/>
                <w:color w:val="000000"/>
                <w:sz w:val="16"/>
              </w:rPr>
            </w:pPr>
          </w:p>
        </w:tc>
        <w:tc>
          <w:tcPr>
            <w:tcW w:w="180" w:type="dxa"/>
            <w:tcBorders>
              <w:top w:val="nil"/>
              <w:left w:val="nil"/>
              <w:bottom w:val="nil"/>
              <w:right w:val="nil"/>
              <w:tl2br w:val="nil"/>
              <w:tr2bl w:val="nil"/>
            </w:tcBorders>
            <w:shd w:val="clear" w:color="auto" w:fill="FFFFFF"/>
            <w:tcMar>
              <w:left w:w="115" w:type="dxa"/>
              <w:right w:w="115" w:type="dxa"/>
            </w:tcMar>
            <w:vAlign w:val="bottom"/>
          </w:tcPr>
          <w:p w14:paraId="0FA66015" w14:textId="77777777" w:rsidR="003F0EEA" w:rsidRPr="00CB3E11" w:rsidRDefault="003F0EEA">
            <w:pPr>
              <w:rPr>
                <w:rFonts w:ascii="Arial" w:eastAsia="Arial" w:hAnsi="Arial" w:cs="Arial"/>
                <w:b/>
                <w:color w:val="000000"/>
                <w:sz w:val="16"/>
              </w:rPr>
            </w:pPr>
          </w:p>
        </w:tc>
        <w:tc>
          <w:tcPr>
            <w:tcW w:w="3150" w:type="dxa"/>
            <w:tcBorders>
              <w:top w:val="nil"/>
              <w:left w:val="nil"/>
              <w:bottom w:val="nil"/>
              <w:right w:val="nil"/>
              <w:tl2br w:val="nil"/>
              <w:tr2bl w:val="nil"/>
            </w:tcBorders>
            <w:shd w:val="clear" w:color="auto" w:fill="FFFFFF"/>
            <w:tcMar>
              <w:left w:w="115" w:type="dxa"/>
              <w:right w:w="115" w:type="dxa"/>
            </w:tcMar>
            <w:vAlign w:val="bottom"/>
          </w:tcPr>
          <w:p w14:paraId="7CC0B2BB" w14:textId="77777777" w:rsidR="003F0EEA" w:rsidRPr="00CB3E11" w:rsidRDefault="003F0EEA">
            <w:pPr>
              <w:rPr>
                <w:rFonts w:ascii="Arial" w:eastAsia="Arial" w:hAnsi="Arial" w:cs="Arial"/>
                <w:b/>
                <w:color w:val="000000"/>
                <w:sz w:val="16"/>
              </w:rPr>
            </w:pPr>
          </w:p>
        </w:tc>
        <w:tc>
          <w:tcPr>
            <w:tcW w:w="990"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0795BD7A" w14:textId="77777777" w:rsidR="003F0EEA" w:rsidRPr="00CB3E11" w:rsidRDefault="003F0EEA">
            <w:pPr>
              <w:rPr>
                <w:rFonts w:ascii="Arial" w:eastAsia="Arial" w:hAnsi="Arial" w:cs="Arial"/>
                <w:b/>
                <w:color w:val="000000"/>
                <w:sz w:val="16"/>
              </w:rPr>
            </w:pPr>
          </w:p>
        </w:tc>
        <w:tc>
          <w:tcPr>
            <w:tcW w:w="990" w:type="dxa"/>
            <w:tcBorders>
              <w:top w:val="single" w:sz="6" w:space="0" w:color="000000"/>
              <w:left w:val="nil"/>
              <w:bottom w:val="nil"/>
              <w:right w:val="nil"/>
              <w:tl2br w:val="nil"/>
              <w:tr2bl w:val="nil"/>
            </w:tcBorders>
            <w:shd w:val="clear" w:color="auto" w:fill="C0C0C0"/>
            <w:tcMar>
              <w:left w:w="115" w:type="dxa"/>
              <w:right w:w="115" w:type="dxa"/>
            </w:tcMar>
            <w:vAlign w:val="bottom"/>
          </w:tcPr>
          <w:p w14:paraId="1692A972" w14:textId="77777777" w:rsidR="003F0EEA" w:rsidRPr="00CB3E11" w:rsidRDefault="003F0EEA">
            <w:pPr>
              <w:rPr>
                <w:rFonts w:ascii="Arial" w:eastAsia="Arial" w:hAnsi="Arial" w:cs="Arial"/>
                <w:color w:val="000000"/>
                <w:sz w:val="16"/>
              </w:rPr>
            </w:pPr>
          </w:p>
        </w:tc>
        <w:tc>
          <w:tcPr>
            <w:tcW w:w="990"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137B2FC4" w14:textId="77777777" w:rsidR="003F0EEA" w:rsidRPr="00CB3E11" w:rsidRDefault="003F0EEA">
            <w:pPr>
              <w:rPr>
                <w:rFonts w:ascii="Arial" w:eastAsia="Arial" w:hAnsi="Arial" w:cs="Arial"/>
                <w:color w:val="000000"/>
                <w:sz w:val="16"/>
              </w:rPr>
            </w:pPr>
          </w:p>
        </w:tc>
        <w:tc>
          <w:tcPr>
            <w:tcW w:w="990"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77E43244" w14:textId="77777777" w:rsidR="003F0EEA" w:rsidRPr="00CB3E11" w:rsidRDefault="003F0EEA">
            <w:pPr>
              <w:rPr>
                <w:rFonts w:ascii="Arial" w:eastAsia="Arial" w:hAnsi="Arial" w:cs="Arial"/>
                <w:color w:val="000000"/>
                <w:sz w:val="16"/>
              </w:rPr>
            </w:pPr>
          </w:p>
        </w:tc>
        <w:tc>
          <w:tcPr>
            <w:tcW w:w="990"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08694029" w14:textId="77777777" w:rsidR="003F0EEA" w:rsidRPr="00CB3E11" w:rsidRDefault="003F0EEA">
            <w:pPr>
              <w:rPr>
                <w:rFonts w:ascii="Arial" w:eastAsia="Arial" w:hAnsi="Arial" w:cs="Arial"/>
                <w:color w:val="000000"/>
                <w:sz w:val="16"/>
              </w:rPr>
            </w:pPr>
          </w:p>
        </w:tc>
      </w:tr>
      <w:tr w:rsidR="00724034" w14:paraId="400045D4" w14:textId="77777777">
        <w:trPr>
          <w:trHeight w:hRule="exact" w:val="60"/>
        </w:trPr>
        <w:tc>
          <w:tcPr>
            <w:tcW w:w="180" w:type="dxa"/>
            <w:tcBorders>
              <w:top w:val="nil"/>
              <w:left w:val="nil"/>
              <w:bottom w:val="nil"/>
              <w:right w:val="nil"/>
              <w:tl2br w:val="nil"/>
              <w:tr2bl w:val="nil"/>
            </w:tcBorders>
            <w:shd w:val="clear" w:color="auto" w:fill="FFFFFF"/>
            <w:tcMar>
              <w:left w:w="115" w:type="dxa"/>
              <w:right w:w="115" w:type="dxa"/>
            </w:tcMar>
            <w:vAlign w:val="bottom"/>
          </w:tcPr>
          <w:p w14:paraId="4B9649CE" w14:textId="77777777" w:rsidR="003F0EEA" w:rsidRPr="00CB3E11" w:rsidRDefault="003F0EEA">
            <w:pPr>
              <w:rPr>
                <w:rFonts w:ascii="Arial" w:eastAsia="Arial" w:hAnsi="Arial" w:cs="Arial"/>
                <w:color w:val="000000"/>
                <w:sz w:val="16"/>
              </w:rPr>
            </w:pPr>
          </w:p>
        </w:tc>
        <w:tc>
          <w:tcPr>
            <w:tcW w:w="180" w:type="dxa"/>
            <w:tcBorders>
              <w:top w:val="nil"/>
              <w:left w:val="nil"/>
              <w:bottom w:val="nil"/>
              <w:right w:val="nil"/>
              <w:tl2br w:val="nil"/>
              <w:tr2bl w:val="nil"/>
            </w:tcBorders>
            <w:shd w:val="clear" w:color="auto" w:fill="FFFFFF"/>
            <w:tcMar>
              <w:left w:w="115" w:type="dxa"/>
              <w:right w:w="115" w:type="dxa"/>
            </w:tcMar>
            <w:vAlign w:val="bottom"/>
          </w:tcPr>
          <w:p w14:paraId="5F9A3D86" w14:textId="77777777" w:rsidR="003F0EEA" w:rsidRPr="00CB3E11" w:rsidRDefault="003F0EEA">
            <w:pPr>
              <w:rPr>
                <w:rFonts w:ascii="Arial" w:eastAsia="Arial" w:hAnsi="Arial" w:cs="Arial"/>
                <w:b/>
                <w:color w:val="000000"/>
                <w:sz w:val="16"/>
              </w:rPr>
            </w:pPr>
          </w:p>
        </w:tc>
        <w:tc>
          <w:tcPr>
            <w:tcW w:w="3150" w:type="dxa"/>
            <w:tcBorders>
              <w:top w:val="nil"/>
              <w:left w:val="nil"/>
              <w:bottom w:val="nil"/>
              <w:right w:val="nil"/>
              <w:tl2br w:val="nil"/>
              <w:tr2bl w:val="nil"/>
            </w:tcBorders>
            <w:shd w:val="clear" w:color="auto" w:fill="FFFFFF"/>
            <w:tcMar>
              <w:left w:w="115" w:type="dxa"/>
              <w:right w:w="115" w:type="dxa"/>
            </w:tcMar>
            <w:vAlign w:val="bottom"/>
          </w:tcPr>
          <w:p w14:paraId="3B3727C7" w14:textId="77777777" w:rsidR="003F0EEA" w:rsidRPr="00CB3E11" w:rsidRDefault="003F0EEA">
            <w:pPr>
              <w:rPr>
                <w:rFonts w:ascii="Arial" w:eastAsia="Arial" w:hAnsi="Arial" w:cs="Arial"/>
                <w:b/>
                <w:color w:val="000000"/>
                <w:sz w:val="16"/>
              </w:rPr>
            </w:pPr>
          </w:p>
        </w:tc>
        <w:tc>
          <w:tcPr>
            <w:tcW w:w="990" w:type="dxa"/>
            <w:tcBorders>
              <w:top w:val="nil"/>
              <w:left w:val="nil"/>
              <w:bottom w:val="nil"/>
              <w:right w:val="nil"/>
              <w:tl2br w:val="nil"/>
              <w:tr2bl w:val="nil"/>
            </w:tcBorders>
            <w:shd w:val="clear" w:color="auto" w:fill="FFFFFF"/>
            <w:tcMar>
              <w:left w:w="115" w:type="dxa"/>
              <w:right w:w="115" w:type="dxa"/>
            </w:tcMar>
            <w:vAlign w:val="bottom"/>
          </w:tcPr>
          <w:p w14:paraId="4DFDDEED" w14:textId="77777777" w:rsidR="003F0EEA" w:rsidRPr="00CB3E11" w:rsidRDefault="003F0EEA">
            <w:pPr>
              <w:rPr>
                <w:rFonts w:ascii="Arial" w:eastAsia="Arial" w:hAnsi="Arial" w:cs="Arial"/>
                <w:b/>
                <w:color w:val="000000"/>
                <w:sz w:val="16"/>
              </w:rPr>
            </w:pPr>
          </w:p>
        </w:tc>
        <w:tc>
          <w:tcPr>
            <w:tcW w:w="990" w:type="dxa"/>
            <w:tcBorders>
              <w:top w:val="nil"/>
              <w:left w:val="nil"/>
              <w:bottom w:val="nil"/>
              <w:right w:val="nil"/>
              <w:tl2br w:val="nil"/>
              <w:tr2bl w:val="nil"/>
            </w:tcBorders>
            <w:shd w:val="clear" w:color="auto" w:fill="C0C0C0"/>
            <w:tcMar>
              <w:left w:w="115" w:type="dxa"/>
              <w:right w:w="115" w:type="dxa"/>
            </w:tcMar>
            <w:vAlign w:val="bottom"/>
          </w:tcPr>
          <w:p w14:paraId="1F5DF793" w14:textId="77777777" w:rsidR="003F0EEA" w:rsidRPr="00CB3E11" w:rsidRDefault="003F0EEA">
            <w:pPr>
              <w:rPr>
                <w:rFonts w:ascii="Arial" w:eastAsia="Arial" w:hAnsi="Arial" w:cs="Arial"/>
                <w:color w:val="000000"/>
                <w:sz w:val="16"/>
              </w:rPr>
            </w:pPr>
          </w:p>
        </w:tc>
        <w:tc>
          <w:tcPr>
            <w:tcW w:w="990" w:type="dxa"/>
            <w:tcBorders>
              <w:top w:val="nil"/>
              <w:left w:val="nil"/>
              <w:bottom w:val="nil"/>
              <w:right w:val="nil"/>
              <w:tl2br w:val="nil"/>
              <w:tr2bl w:val="nil"/>
            </w:tcBorders>
            <w:shd w:val="clear" w:color="auto" w:fill="FFFFFF"/>
            <w:tcMar>
              <w:left w:w="115" w:type="dxa"/>
              <w:right w:w="115" w:type="dxa"/>
            </w:tcMar>
            <w:vAlign w:val="bottom"/>
          </w:tcPr>
          <w:p w14:paraId="72EF9532" w14:textId="77777777" w:rsidR="003F0EEA" w:rsidRPr="00CB3E11" w:rsidRDefault="003F0EEA">
            <w:pPr>
              <w:rPr>
                <w:rFonts w:ascii="Arial" w:eastAsia="Arial" w:hAnsi="Arial" w:cs="Arial"/>
                <w:color w:val="000000"/>
                <w:sz w:val="16"/>
              </w:rPr>
            </w:pPr>
          </w:p>
        </w:tc>
        <w:tc>
          <w:tcPr>
            <w:tcW w:w="990" w:type="dxa"/>
            <w:tcBorders>
              <w:top w:val="nil"/>
              <w:left w:val="nil"/>
              <w:bottom w:val="nil"/>
              <w:right w:val="nil"/>
              <w:tl2br w:val="nil"/>
              <w:tr2bl w:val="nil"/>
            </w:tcBorders>
            <w:shd w:val="clear" w:color="auto" w:fill="FFFFFF"/>
            <w:tcMar>
              <w:left w:w="115" w:type="dxa"/>
              <w:right w:w="115" w:type="dxa"/>
            </w:tcMar>
            <w:vAlign w:val="bottom"/>
          </w:tcPr>
          <w:p w14:paraId="6C3B9459" w14:textId="77777777" w:rsidR="003F0EEA" w:rsidRPr="00CB3E11" w:rsidRDefault="003F0EEA">
            <w:pPr>
              <w:rPr>
                <w:rFonts w:ascii="Arial" w:eastAsia="Arial" w:hAnsi="Arial" w:cs="Arial"/>
                <w:color w:val="000000"/>
                <w:sz w:val="16"/>
              </w:rPr>
            </w:pPr>
          </w:p>
        </w:tc>
        <w:tc>
          <w:tcPr>
            <w:tcW w:w="990" w:type="dxa"/>
            <w:tcBorders>
              <w:top w:val="nil"/>
              <w:left w:val="nil"/>
              <w:bottom w:val="nil"/>
              <w:right w:val="nil"/>
              <w:tl2br w:val="nil"/>
              <w:tr2bl w:val="nil"/>
            </w:tcBorders>
            <w:shd w:val="clear" w:color="auto" w:fill="FFFFFF"/>
            <w:tcMar>
              <w:left w:w="115" w:type="dxa"/>
              <w:right w:w="115" w:type="dxa"/>
            </w:tcMar>
            <w:vAlign w:val="bottom"/>
          </w:tcPr>
          <w:p w14:paraId="44B71DD5" w14:textId="77777777" w:rsidR="003F0EEA" w:rsidRPr="00CB3E11" w:rsidRDefault="003F0EEA">
            <w:pPr>
              <w:rPr>
                <w:rFonts w:ascii="Arial" w:eastAsia="Arial" w:hAnsi="Arial" w:cs="Arial"/>
                <w:color w:val="000000"/>
                <w:sz w:val="16"/>
              </w:rPr>
            </w:pPr>
          </w:p>
        </w:tc>
      </w:tr>
      <w:tr w:rsidR="00355BFE" w14:paraId="5D84A280" w14:textId="77777777" w:rsidTr="00355BFE">
        <w:trPr>
          <w:trHeight w:val="225"/>
        </w:trPr>
        <w:tc>
          <w:tcPr>
            <w:tcW w:w="3510" w:type="dxa"/>
            <w:gridSpan w:val="3"/>
            <w:tcBorders>
              <w:top w:val="nil"/>
              <w:left w:val="nil"/>
              <w:bottom w:val="nil"/>
              <w:right w:val="nil"/>
              <w:tl2br w:val="nil"/>
              <w:tr2bl w:val="nil"/>
            </w:tcBorders>
            <w:shd w:val="clear" w:color="auto" w:fill="FFFFFF"/>
            <w:tcMar>
              <w:left w:w="115" w:type="dxa"/>
              <w:right w:w="115" w:type="dxa"/>
            </w:tcMar>
            <w:vAlign w:val="bottom"/>
          </w:tcPr>
          <w:p w14:paraId="65839A80" w14:textId="77777777" w:rsidR="003F0EEA" w:rsidRPr="00CB3E11" w:rsidRDefault="00FB7D0B">
            <w:pPr>
              <w:rPr>
                <w:rFonts w:ascii="Arial" w:eastAsia="Arial" w:hAnsi="Arial" w:cs="Arial"/>
                <w:color w:val="000000"/>
                <w:sz w:val="16"/>
              </w:rPr>
            </w:pPr>
            <w:r w:rsidRPr="00CB3E11">
              <w:rPr>
                <w:rFonts w:ascii="Arial" w:eastAsia="Arial" w:hAnsi="Arial" w:cs="Arial"/>
                <w:b/>
                <w:color w:val="000000"/>
                <w:sz w:val="16"/>
              </w:rPr>
              <w:t>LIABILITIES</w:t>
            </w:r>
          </w:p>
        </w:tc>
        <w:tc>
          <w:tcPr>
            <w:tcW w:w="990" w:type="dxa"/>
            <w:tcBorders>
              <w:top w:val="nil"/>
              <w:left w:val="nil"/>
              <w:bottom w:val="nil"/>
              <w:right w:val="nil"/>
              <w:tl2br w:val="nil"/>
              <w:tr2bl w:val="nil"/>
            </w:tcBorders>
            <w:shd w:val="clear" w:color="auto" w:fill="FFFFFF"/>
            <w:tcMar>
              <w:left w:w="115" w:type="dxa"/>
              <w:right w:w="115" w:type="dxa"/>
            </w:tcMar>
            <w:vAlign w:val="bottom"/>
          </w:tcPr>
          <w:p w14:paraId="04CAFB18" w14:textId="77777777" w:rsidR="003F0EEA" w:rsidRPr="00CB3E11" w:rsidRDefault="003F0EEA">
            <w:pPr>
              <w:rPr>
                <w:rFonts w:ascii="Arial" w:eastAsia="Arial" w:hAnsi="Arial" w:cs="Arial"/>
                <w:b/>
                <w:color w:val="000000"/>
                <w:sz w:val="16"/>
              </w:rPr>
            </w:pPr>
          </w:p>
        </w:tc>
        <w:tc>
          <w:tcPr>
            <w:tcW w:w="990" w:type="dxa"/>
            <w:tcBorders>
              <w:top w:val="nil"/>
              <w:left w:val="nil"/>
              <w:bottom w:val="nil"/>
              <w:right w:val="nil"/>
              <w:tl2br w:val="nil"/>
              <w:tr2bl w:val="nil"/>
            </w:tcBorders>
            <w:shd w:val="clear" w:color="auto" w:fill="C0C0C0"/>
            <w:tcMar>
              <w:left w:w="115" w:type="dxa"/>
              <w:right w:w="115" w:type="dxa"/>
            </w:tcMar>
            <w:vAlign w:val="bottom"/>
          </w:tcPr>
          <w:p w14:paraId="7A0F6BFB" w14:textId="77777777" w:rsidR="003F0EEA" w:rsidRPr="00CB3E11" w:rsidRDefault="003F0EEA">
            <w:pPr>
              <w:rPr>
                <w:rFonts w:ascii="Arial" w:eastAsia="Arial" w:hAnsi="Arial" w:cs="Arial"/>
                <w:color w:val="000000"/>
                <w:sz w:val="16"/>
              </w:rPr>
            </w:pPr>
          </w:p>
        </w:tc>
        <w:tc>
          <w:tcPr>
            <w:tcW w:w="990" w:type="dxa"/>
            <w:tcBorders>
              <w:top w:val="nil"/>
              <w:left w:val="nil"/>
              <w:bottom w:val="nil"/>
              <w:right w:val="nil"/>
              <w:tl2br w:val="nil"/>
              <w:tr2bl w:val="nil"/>
            </w:tcBorders>
            <w:shd w:val="clear" w:color="auto" w:fill="FFFFFF"/>
            <w:tcMar>
              <w:left w:w="115" w:type="dxa"/>
              <w:right w:w="115" w:type="dxa"/>
            </w:tcMar>
            <w:vAlign w:val="bottom"/>
          </w:tcPr>
          <w:p w14:paraId="3CAE7917" w14:textId="77777777" w:rsidR="003F0EEA" w:rsidRPr="00CB3E11" w:rsidRDefault="003F0EEA">
            <w:pPr>
              <w:rPr>
                <w:rFonts w:ascii="Arial" w:eastAsia="Arial" w:hAnsi="Arial" w:cs="Arial"/>
                <w:color w:val="000000"/>
                <w:sz w:val="16"/>
              </w:rPr>
            </w:pPr>
          </w:p>
        </w:tc>
        <w:tc>
          <w:tcPr>
            <w:tcW w:w="990" w:type="dxa"/>
            <w:tcBorders>
              <w:top w:val="nil"/>
              <w:left w:val="nil"/>
              <w:bottom w:val="nil"/>
              <w:right w:val="nil"/>
              <w:tl2br w:val="nil"/>
              <w:tr2bl w:val="nil"/>
            </w:tcBorders>
            <w:shd w:val="clear" w:color="auto" w:fill="FFFFFF"/>
            <w:tcMar>
              <w:left w:w="115" w:type="dxa"/>
              <w:right w:w="115" w:type="dxa"/>
            </w:tcMar>
            <w:vAlign w:val="bottom"/>
          </w:tcPr>
          <w:p w14:paraId="0C683968" w14:textId="77777777" w:rsidR="003F0EEA" w:rsidRPr="00CB3E11" w:rsidRDefault="003F0EEA">
            <w:pPr>
              <w:rPr>
                <w:rFonts w:ascii="Arial" w:eastAsia="Arial" w:hAnsi="Arial" w:cs="Arial"/>
                <w:color w:val="000000"/>
                <w:sz w:val="16"/>
              </w:rPr>
            </w:pPr>
          </w:p>
        </w:tc>
        <w:tc>
          <w:tcPr>
            <w:tcW w:w="990" w:type="dxa"/>
            <w:tcBorders>
              <w:top w:val="nil"/>
              <w:left w:val="nil"/>
              <w:bottom w:val="nil"/>
              <w:right w:val="nil"/>
              <w:tl2br w:val="nil"/>
              <w:tr2bl w:val="nil"/>
            </w:tcBorders>
            <w:shd w:val="clear" w:color="auto" w:fill="FFFFFF"/>
            <w:tcMar>
              <w:left w:w="115" w:type="dxa"/>
              <w:right w:w="115" w:type="dxa"/>
            </w:tcMar>
            <w:vAlign w:val="bottom"/>
          </w:tcPr>
          <w:p w14:paraId="156EFA4A" w14:textId="77777777" w:rsidR="003F0EEA" w:rsidRPr="00CB3E11" w:rsidRDefault="003F0EEA">
            <w:pPr>
              <w:rPr>
                <w:rFonts w:ascii="Arial" w:eastAsia="Arial" w:hAnsi="Arial" w:cs="Arial"/>
                <w:color w:val="000000"/>
                <w:sz w:val="16"/>
              </w:rPr>
            </w:pPr>
          </w:p>
        </w:tc>
      </w:tr>
      <w:tr w:rsidR="00355BFE" w14:paraId="7121E159" w14:textId="77777777" w:rsidTr="00355BFE">
        <w:trPr>
          <w:trHeight w:val="225"/>
        </w:trPr>
        <w:tc>
          <w:tcPr>
            <w:tcW w:w="3510" w:type="dxa"/>
            <w:gridSpan w:val="3"/>
            <w:tcBorders>
              <w:top w:val="nil"/>
              <w:left w:val="nil"/>
              <w:bottom w:val="nil"/>
              <w:right w:val="nil"/>
              <w:tl2br w:val="nil"/>
              <w:tr2bl w:val="nil"/>
            </w:tcBorders>
            <w:shd w:val="clear" w:color="auto" w:fill="FFFFFF"/>
            <w:tcMar>
              <w:left w:w="115" w:type="dxa"/>
              <w:right w:w="115" w:type="dxa"/>
            </w:tcMar>
            <w:vAlign w:val="bottom"/>
          </w:tcPr>
          <w:p w14:paraId="445AFC7D" w14:textId="77777777" w:rsidR="003F0EEA" w:rsidRPr="00CB3E11" w:rsidRDefault="00FB7D0B">
            <w:pPr>
              <w:rPr>
                <w:rFonts w:ascii="Arial" w:eastAsia="Arial" w:hAnsi="Arial" w:cs="Arial"/>
                <w:color w:val="000000"/>
                <w:sz w:val="16"/>
              </w:rPr>
            </w:pPr>
            <w:r w:rsidRPr="00CB3E11">
              <w:rPr>
                <w:rFonts w:ascii="Arial" w:eastAsia="Arial" w:hAnsi="Arial" w:cs="Arial"/>
                <w:b/>
                <w:color w:val="000000"/>
                <w:sz w:val="16"/>
              </w:rPr>
              <w:t>Payables</w:t>
            </w:r>
          </w:p>
        </w:tc>
        <w:tc>
          <w:tcPr>
            <w:tcW w:w="990" w:type="dxa"/>
            <w:tcBorders>
              <w:top w:val="nil"/>
              <w:left w:val="nil"/>
              <w:bottom w:val="nil"/>
              <w:right w:val="nil"/>
              <w:tl2br w:val="nil"/>
              <w:tr2bl w:val="nil"/>
            </w:tcBorders>
            <w:shd w:val="clear" w:color="auto" w:fill="FFFFFF"/>
            <w:tcMar>
              <w:left w:w="115" w:type="dxa"/>
              <w:right w:w="115" w:type="dxa"/>
            </w:tcMar>
            <w:vAlign w:val="bottom"/>
          </w:tcPr>
          <w:p w14:paraId="71952824" w14:textId="77777777" w:rsidR="003F0EEA" w:rsidRPr="00CB3E11" w:rsidRDefault="003F0EEA">
            <w:pPr>
              <w:rPr>
                <w:rFonts w:ascii="Arial" w:eastAsia="Arial" w:hAnsi="Arial" w:cs="Arial"/>
                <w:b/>
                <w:color w:val="000000"/>
                <w:sz w:val="16"/>
              </w:rPr>
            </w:pPr>
          </w:p>
        </w:tc>
        <w:tc>
          <w:tcPr>
            <w:tcW w:w="990" w:type="dxa"/>
            <w:tcBorders>
              <w:top w:val="nil"/>
              <w:left w:val="nil"/>
              <w:bottom w:val="nil"/>
              <w:right w:val="nil"/>
              <w:tl2br w:val="nil"/>
              <w:tr2bl w:val="nil"/>
            </w:tcBorders>
            <w:shd w:val="clear" w:color="auto" w:fill="C0C0C0"/>
            <w:tcMar>
              <w:left w:w="115" w:type="dxa"/>
              <w:right w:w="115" w:type="dxa"/>
            </w:tcMar>
            <w:vAlign w:val="bottom"/>
          </w:tcPr>
          <w:p w14:paraId="0231DA07" w14:textId="77777777" w:rsidR="003F0EEA" w:rsidRPr="00CB3E11" w:rsidRDefault="003F0EEA">
            <w:pPr>
              <w:rPr>
                <w:rFonts w:ascii="Arial" w:eastAsia="Arial" w:hAnsi="Arial" w:cs="Arial"/>
                <w:color w:val="000000"/>
                <w:sz w:val="16"/>
              </w:rPr>
            </w:pPr>
          </w:p>
        </w:tc>
        <w:tc>
          <w:tcPr>
            <w:tcW w:w="990" w:type="dxa"/>
            <w:tcBorders>
              <w:top w:val="nil"/>
              <w:left w:val="nil"/>
              <w:bottom w:val="nil"/>
              <w:right w:val="nil"/>
              <w:tl2br w:val="nil"/>
              <w:tr2bl w:val="nil"/>
            </w:tcBorders>
            <w:shd w:val="clear" w:color="auto" w:fill="FFFFFF"/>
            <w:tcMar>
              <w:left w:w="115" w:type="dxa"/>
              <w:right w:w="115" w:type="dxa"/>
            </w:tcMar>
            <w:vAlign w:val="bottom"/>
          </w:tcPr>
          <w:p w14:paraId="4D85F637" w14:textId="77777777" w:rsidR="003F0EEA" w:rsidRPr="00CB3E11" w:rsidRDefault="003F0EEA">
            <w:pPr>
              <w:rPr>
                <w:rFonts w:ascii="Arial" w:eastAsia="Arial" w:hAnsi="Arial" w:cs="Arial"/>
                <w:color w:val="000000"/>
                <w:sz w:val="16"/>
              </w:rPr>
            </w:pPr>
          </w:p>
        </w:tc>
        <w:tc>
          <w:tcPr>
            <w:tcW w:w="990" w:type="dxa"/>
            <w:tcBorders>
              <w:top w:val="nil"/>
              <w:left w:val="nil"/>
              <w:bottom w:val="nil"/>
              <w:right w:val="nil"/>
              <w:tl2br w:val="nil"/>
              <w:tr2bl w:val="nil"/>
            </w:tcBorders>
            <w:shd w:val="clear" w:color="auto" w:fill="FFFFFF"/>
            <w:tcMar>
              <w:left w:w="115" w:type="dxa"/>
              <w:right w:w="115" w:type="dxa"/>
            </w:tcMar>
            <w:vAlign w:val="bottom"/>
          </w:tcPr>
          <w:p w14:paraId="27437440" w14:textId="77777777" w:rsidR="003F0EEA" w:rsidRPr="00CB3E11" w:rsidRDefault="003F0EEA">
            <w:pPr>
              <w:rPr>
                <w:rFonts w:ascii="Arial" w:eastAsia="Arial" w:hAnsi="Arial" w:cs="Arial"/>
                <w:color w:val="000000"/>
                <w:sz w:val="16"/>
              </w:rPr>
            </w:pPr>
          </w:p>
        </w:tc>
        <w:tc>
          <w:tcPr>
            <w:tcW w:w="990" w:type="dxa"/>
            <w:tcBorders>
              <w:top w:val="nil"/>
              <w:left w:val="nil"/>
              <w:bottom w:val="nil"/>
              <w:right w:val="nil"/>
              <w:tl2br w:val="nil"/>
              <w:tr2bl w:val="nil"/>
            </w:tcBorders>
            <w:shd w:val="clear" w:color="auto" w:fill="FFFFFF"/>
            <w:tcMar>
              <w:left w:w="115" w:type="dxa"/>
              <w:right w:w="115" w:type="dxa"/>
            </w:tcMar>
            <w:vAlign w:val="bottom"/>
          </w:tcPr>
          <w:p w14:paraId="61CF84AE" w14:textId="77777777" w:rsidR="003F0EEA" w:rsidRPr="00CB3E11" w:rsidRDefault="003F0EEA">
            <w:pPr>
              <w:rPr>
                <w:rFonts w:ascii="Arial" w:eastAsia="Arial" w:hAnsi="Arial" w:cs="Arial"/>
                <w:color w:val="000000"/>
                <w:sz w:val="16"/>
              </w:rPr>
            </w:pPr>
          </w:p>
        </w:tc>
      </w:tr>
      <w:tr w:rsidR="00355BFE" w14:paraId="525E5D1A" w14:textId="77777777" w:rsidTr="00355BFE">
        <w:trPr>
          <w:trHeight w:val="225"/>
        </w:trPr>
        <w:tc>
          <w:tcPr>
            <w:tcW w:w="180" w:type="dxa"/>
            <w:tcBorders>
              <w:top w:val="nil"/>
              <w:left w:val="nil"/>
              <w:bottom w:val="nil"/>
              <w:right w:val="nil"/>
              <w:tl2br w:val="nil"/>
              <w:tr2bl w:val="nil"/>
            </w:tcBorders>
            <w:shd w:val="clear" w:color="auto" w:fill="FFFFFF"/>
            <w:tcMar>
              <w:left w:w="115" w:type="dxa"/>
              <w:right w:w="115" w:type="dxa"/>
            </w:tcMar>
            <w:vAlign w:val="bottom"/>
          </w:tcPr>
          <w:p w14:paraId="3BCF00E1" w14:textId="77777777" w:rsidR="003F0EEA" w:rsidRPr="00CB3E11" w:rsidRDefault="003F0EEA">
            <w:pPr>
              <w:rPr>
                <w:rFonts w:ascii="Arial" w:eastAsia="Arial" w:hAnsi="Arial" w:cs="Arial"/>
                <w:color w:val="000000"/>
                <w:sz w:val="16"/>
              </w:rPr>
            </w:pPr>
          </w:p>
        </w:tc>
        <w:tc>
          <w:tcPr>
            <w:tcW w:w="3330" w:type="dxa"/>
            <w:gridSpan w:val="2"/>
            <w:vMerge w:val="restart"/>
            <w:tcBorders>
              <w:top w:val="nil"/>
              <w:left w:val="nil"/>
              <w:bottom w:val="nil"/>
              <w:right w:val="nil"/>
              <w:tl2br w:val="nil"/>
              <w:tr2bl w:val="nil"/>
            </w:tcBorders>
            <w:shd w:val="clear" w:color="auto" w:fill="FFFFFF"/>
            <w:tcMar>
              <w:left w:w="115" w:type="dxa"/>
              <w:right w:w="115" w:type="dxa"/>
            </w:tcMar>
            <w:vAlign w:val="bottom"/>
          </w:tcPr>
          <w:p w14:paraId="0F6180CC" w14:textId="77777777" w:rsidR="003F0EEA" w:rsidRPr="00CB3E11" w:rsidRDefault="00FB7D0B">
            <w:pPr>
              <w:rPr>
                <w:rFonts w:ascii="Arial" w:eastAsia="Arial" w:hAnsi="Arial" w:cs="Arial"/>
                <w:color w:val="000000"/>
                <w:sz w:val="16"/>
              </w:rPr>
            </w:pPr>
            <w:r w:rsidRPr="00CB3E11">
              <w:rPr>
                <w:rFonts w:ascii="Arial" w:eastAsia="Arial" w:hAnsi="Arial" w:cs="Arial"/>
                <w:color w:val="000000"/>
                <w:sz w:val="16"/>
              </w:rPr>
              <w:t>Suppliers</w:t>
            </w:r>
          </w:p>
        </w:tc>
        <w:tc>
          <w:tcPr>
            <w:tcW w:w="990" w:type="dxa"/>
            <w:tcBorders>
              <w:top w:val="nil"/>
              <w:left w:val="nil"/>
              <w:bottom w:val="nil"/>
              <w:right w:val="nil"/>
              <w:tl2br w:val="nil"/>
              <w:tr2bl w:val="nil"/>
            </w:tcBorders>
            <w:shd w:val="clear" w:color="auto" w:fill="FFFFFF"/>
            <w:tcMar>
              <w:left w:w="115" w:type="dxa"/>
              <w:right w:w="115" w:type="dxa"/>
            </w:tcMar>
            <w:vAlign w:val="bottom"/>
          </w:tcPr>
          <w:p w14:paraId="2A96C968" w14:textId="77777777" w:rsidR="003F0EEA" w:rsidRPr="00CB3E11" w:rsidRDefault="00FB7D0B">
            <w:pPr>
              <w:jc w:val="right"/>
              <w:rPr>
                <w:rFonts w:ascii="Arial" w:eastAsia="Arial" w:hAnsi="Arial" w:cs="Arial"/>
                <w:color w:val="000000"/>
                <w:sz w:val="16"/>
              </w:rPr>
            </w:pPr>
            <w:r w:rsidRPr="00CB3E11">
              <w:rPr>
                <w:rFonts w:ascii="Arial" w:eastAsia="Arial" w:hAnsi="Arial" w:cs="Arial"/>
                <w:color w:val="000000"/>
                <w:sz w:val="16"/>
              </w:rPr>
              <w:t>1,608 </w:t>
            </w:r>
          </w:p>
        </w:tc>
        <w:tc>
          <w:tcPr>
            <w:tcW w:w="990" w:type="dxa"/>
            <w:tcBorders>
              <w:top w:val="nil"/>
              <w:left w:val="nil"/>
              <w:bottom w:val="nil"/>
              <w:right w:val="nil"/>
              <w:tl2br w:val="nil"/>
              <w:tr2bl w:val="nil"/>
            </w:tcBorders>
            <w:shd w:val="clear" w:color="auto" w:fill="C0C0C0"/>
            <w:tcMar>
              <w:left w:w="115" w:type="dxa"/>
              <w:right w:w="115" w:type="dxa"/>
            </w:tcMar>
            <w:vAlign w:val="bottom"/>
          </w:tcPr>
          <w:p w14:paraId="75B97691" w14:textId="77777777" w:rsidR="003F0EEA" w:rsidRPr="00CB3E11" w:rsidRDefault="00FB7D0B">
            <w:pPr>
              <w:jc w:val="right"/>
              <w:rPr>
                <w:rFonts w:ascii="Arial" w:eastAsia="Arial" w:hAnsi="Arial" w:cs="Arial"/>
                <w:color w:val="000000"/>
                <w:sz w:val="16"/>
              </w:rPr>
            </w:pPr>
            <w:r w:rsidRPr="00CB3E11">
              <w:rPr>
                <w:rFonts w:ascii="Arial" w:eastAsia="Arial" w:hAnsi="Arial" w:cs="Arial"/>
                <w:color w:val="000000"/>
                <w:sz w:val="16"/>
              </w:rPr>
              <w:t>1,608 </w:t>
            </w:r>
          </w:p>
        </w:tc>
        <w:tc>
          <w:tcPr>
            <w:tcW w:w="990" w:type="dxa"/>
            <w:tcBorders>
              <w:top w:val="nil"/>
              <w:left w:val="nil"/>
              <w:bottom w:val="nil"/>
              <w:right w:val="nil"/>
              <w:tl2br w:val="nil"/>
              <w:tr2bl w:val="nil"/>
            </w:tcBorders>
            <w:shd w:val="clear" w:color="auto" w:fill="FFFFFF"/>
            <w:tcMar>
              <w:left w:w="115" w:type="dxa"/>
              <w:right w:w="115" w:type="dxa"/>
            </w:tcMar>
            <w:vAlign w:val="bottom"/>
          </w:tcPr>
          <w:p w14:paraId="67068612" w14:textId="77777777" w:rsidR="003F0EEA" w:rsidRPr="00CB3E11" w:rsidRDefault="00FB7D0B">
            <w:pPr>
              <w:jc w:val="right"/>
              <w:rPr>
                <w:rFonts w:ascii="Arial" w:eastAsia="Arial" w:hAnsi="Arial" w:cs="Arial"/>
                <w:color w:val="000000"/>
                <w:sz w:val="16"/>
              </w:rPr>
            </w:pPr>
            <w:r w:rsidRPr="00CB3E11">
              <w:rPr>
                <w:rFonts w:ascii="Arial" w:eastAsia="Arial" w:hAnsi="Arial" w:cs="Arial"/>
                <w:color w:val="000000"/>
                <w:sz w:val="16"/>
              </w:rPr>
              <w:t>1,608 </w:t>
            </w:r>
          </w:p>
        </w:tc>
        <w:tc>
          <w:tcPr>
            <w:tcW w:w="990" w:type="dxa"/>
            <w:tcBorders>
              <w:top w:val="nil"/>
              <w:left w:val="nil"/>
              <w:bottom w:val="nil"/>
              <w:right w:val="nil"/>
              <w:tl2br w:val="nil"/>
              <w:tr2bl w:val="nil"/>
            </w:tcBorders>
            <w:shd w:val="clear" w:color="auto" w:fill="FFFFFF"/>
            <w:tcMar>
              <w:left w:w="115" w:type="dxa"/>
              <w:right w:w="115" w:type="dxa"/>
            </w:tcMar>
            <w:vAlign w:val="bottom"/>
          </w:tcPr>
          <w:p w14:paraId="005241E0" w14:textId="77777777" w:rsidR="003F0EEA" w:rsidRPr="00CB3E11" w:rsidRDefault="00FB7D0B">
            <w:pPr>
              <w:jc w:val="right"/>
              <w:rPr>
                <w:rFonts w:ascii="Arial" w:eastAsia="Arial" w:hAnsi="Arial" w:cs="Arial"/>
                <w:color w:val="000000"/>
                <w:sz w:val="16"/>
              </w:rPr>
            </w:pPr>
            <w:r w:rsidRPr="00CB3E11">
              <w:rPr>
                <w:rFonts w:ascii="Arial" w:eastAsia="Arial" w:hAnsi="Arial" w:cs="Arial"/>
                <w:color w:val="000000"/>
                <w:sz w:val="16"/>
              </w:rPr>
              <w:t>1,608 </w:t>
            </w:r>
          </w:p>
        </w:tc>
        <w:tc>
          <w:tcPr>
            <w:tcW w:w="990" w:type="dxa"/>
            <w:tcBorders>
              <w:top w:val="nil"/>
              <w:left w:val="nil"/>
              <w:bottom w:val="nil"/>
              <w:right w:val="nil"/>
              <w:tl2br w:val="nil"/>
              <w:tr2bl w:val="nil"/>
            </w:tcBorders>
            <w:shd w:val="clear" w:color="auto" w:fill="FFFFFF"/>
            <w:tcMar>
              <w:left w:w="115" w:type="dxa"/>
              <w:right w:w="115" w:type="dxa"/>
            </w:tcMar>
            <w:vAlign w:val="bottom"/>
          </w:tcPr>
          <w:p w14:paraId="6EB5DFFA" w14:textId="77777777" w:rsidR="003F0EEA" w:rsidRPr="00CB3E11" w:rsidRDefault="00FB7D0B">
            <w:pPr>
              <w:jc w:val="right"/>
              <w:rPr>
                <w:rFonts w:ascii="Arial" w:eastAsia="Arial" w:hAnsi="Arial" w:cs="Arial"/>
                <w:color w:val="000000"/>
                <w:sz w:val="16"/>
              </w:rPr>
            </w:pPr>
            <w:r w:rsidRPr="00CB3E11">
              <w:rPr>
                <w:rFonts w:ascii="Arial" w:eastAsia="Arial" w:hAnsi="Arial" w:cs="Arial"/>
                <w:color w:val="000000"/>
                <w:sz w:val="16"/>
              </w:rPr>
              <w:t>1,608 </w:t>
            </w:r>
          </w:p>
        </w:tc>
      </w:tr>
      <w:tr w:rsidR="00355BFE" w14:paraId="733F7264" w14:textId="77777777" w:rsidTr="00355BFE">
        <w:trPr>
          <w:trHeight w:val="225"/>
        </w:trPr>
        <w:tc>
          <w:tcPr>
            <w:tcW w:w="180" w:type="dxa"/>
            <w:tcBorders>
              <w:top w:val="nil"/>
              <w:left w:val="nil"/>
              <w:bottom w:val="nil"/>
              <w:right w:val="nil"/>
              <w:tl2br w:val="nil"/>
              <w:tr2bl w:val="nil"/>
            </w:tcBorders>
            <w:shd w:val="clear" w:color="auto" w:fill="FFFFFF"/>
            <w:tcMar>
              <w:left w:w="115" w:type="dxa"/>
              <w:right w:w="115" w:type="dxa"/>
            </w:tcMar>
            <w:vAlign w:val="bottom"/>
          </w:tcPr>
          <w:p w14:paraId="09268A3C" w14:textId="77777777" w:rsidR="003F0EEA" w:rsidRPr="00CB3E11" w:rsidRDefault="003F0EEA">
            <w:pPr>
              <w:rPr>
                <w:rFonts w:ascii="Arial" w:eastAsia="Arial" w:hAnsi="Arial" w:cs="Arial"/>
                <w:color w:val="000000"/>
                <w:sz w:val="16"/>
              </w:rPr>
            </w:pPr>
          </w:p>
        </w:tc>
        <w:tc>
          <w:tcPr>
            <w:tcW w:w="3330" w:type="dxa"/>
            <w:gridSpan w:val="2"/>
            <w:tcBorders>
              <w:top w:val="nil"/>
              <w:left w:val="nil"/>
              <w:bottom w:val="nil"/>
              <w:right w:val="nil"/>
              <w:tl2br w:val="nil"/>
              <w:tr2bl w:val="nil"/>
            </w:tcBorders>
            <w:shd w:val="clear" w:color="auto" w:fill="FFFFFF"/>
            <w:tcMar>
              <w:left w:w="115" w:type="dxa"/>
              <w:right w:w="115" w:type="dxa"/>
            </w:tcMar>
            <w:vAlign w:val="bottom"/>
          </w:tcPr>
          <w:p w14:paraId="2691E6D5" w14:textId="77777777" w:rsidR="003F0EEA" w:rsidRPr="00CB3E11" w:rsidRDefault="00FB7D0B">
            <w:pPr>
              <w:rPr>
                <w:rFonts w:ascii="Arial" w:eastAsia="Arial" w:hAnsi="Arial" w:cs="Arial"/>
                <w:color w:val="000000"/>
                <w:sz w:val="16"/>
              </w:rPr>
            </w:pPr>
            <w:r w:rsidRPr="00CB3E11">
              <w:rPr>
                <w:rFonts w:ascii="Arial" w:eastAsia="Arial" w:hAnsi="Arial" w:cs="Arial"/>
                <w:color w:val="000000"/>
                <w:sz w:val="16"/>
              </w:rPr>
              <w:t>Other</w:t>
            </w:r>
          </w:p>
        </w:tc>
        <w:tc>
          <w:tcPr>
            <w:tcW w:w="990"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46513459" w14:textId="77777777" w:rsidR="003F0EEA" w:rsidRPr="00CB3E11" w:rsidRDefault="00FB7D0B">
            <w:pPr>
              <w:jc w:val="right"/>
              <w:rPr>
                <w:rFonts w:ascii="Arial" w:eastAsia="Arial" w:hAnsi="Arial" w:cs="Arial"/>
                <w:color w:val="000000"/>
                <w:sz w:val="16"/>
              </w:rPr>
            </w:pPr>
            <w:r w:rsidRPr="00CB3E11">
              <w:rPr>
                <w:rFonts w:ascii="Arial" w:eastAsia="Arial" w:hAnsi="Arial" w:cs="Arial"/>
                <w:color w:val="000000"/>
                <w:sz w:val="16"/>
              </w:rPr>
              <w:t>29 </w:t>
            </w:r>
          </w:p>
        </w:tc>
        <w:tc>
          <w:tcPr>
            <w:tcW w:w="990" w:type="dxa"/>
            <w:tcBorders>
              <w:top w:val="nil"/>
              <w:left w:val="nil"/>
              <w:bottom w:val="single" w:sz="6" w:space="0" w:color="000000"/>
              <w:right w:val="nil"/>
              <w:tl2br w:val="nil"/>
              <w:tr2bl w:val="nil"/>
            </w:tcBorders>
            <w:shd w:val="clear" w:color="auto" w:fill="C0C0C0"/>
            <w:tcMar>
              <w:left w:w="115" w:type="dxa"/>
              <w:right w:w="115" w:type="dxa"/>
            </w:tcMar>
            <w:vAlign w:val="bottom"/>
          </w:tcPr>
          <w:p w14:paraId="3452124D" w14:textId="77777777" w:rsidR="003F0EEA" w:rsidRPr="00CB3E11" w:rsidRDefault="00FB7D0B">
            <w:pPr>
              <w:jc w:val="right"/>
              <w:rPr>
                <w:rFonts w:ascii="Arial" w:eastAsia="Arial" w:hAnsi="Arial" w:cs="Arial"/>
                <w:color w:val="000000"/>
                <w:sz w:val="16"/>
              </w:rPr>
            </w:pPr>
            <w:r w:rsidRPr="00CB3E11">
              <w:rPr>
                <w:rFonts w:ascii="Arial" w:eastAsia="Arial" w:hAnsi="Arial" w:cs="Arial"/>
                <w:color w:val="000000"/>
                <w:sz w:val="16"/>
              </w:rPr>
              <w:t>29 </w:t>
            </w:r>
          </w:p>
        </w:tc>
        <w:tc>
          <w:tcPr>
            <w:tcW w:w="990"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4B94D0E4" w14:textId="77777777" w:rsidR="003F0EEA" w:rsidRPr="00CB3E11" w:rsidRDefault="00FB7D0B">
            <w:pPr>
              <w:jc w:val="right"/>
              <w:rPr>
                <w:rFonts w:ascii="Arial" w:eastAsia="Arial" w:hAnsi="Arial" w:cs="Arial"/>
                <w:color w:val="000000"/>
                <w:sz w:val="16"/>
              </w:rPr>
            </w:pPr>
            <w:r w:rsidRPr="00CB3E11">
              <w:rPr>
                <w:rFonts w:ascii="Arial" w:eastAsia="Arial" w:hAnsi="Arial" w:cs="Arial"/>
                <w:color w:val="000000"/>
                <w:sz w:val="16"/>
              </w:rPr>
              <w:t>29 </w:t>
            </w:r>
          </w:p>
        </w:tc>
        <w:tc>
          <w:tcPr>
            <w:tcW w:w="990"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271E8828" w14:textId="77777777" w:rsidR="003F0EEA" w:rsidRPr="00CB3E11" w:rsidRDefault="00FB7D0B">
            <w:pPr>
              <w:jc w:val="right"/>
              <w:rPr>
                <w:rFonts w:ascii="Arial" w:eastAsia="Arial" w:hAnsi="Arial" w:cs="Arial"/>
                <w:color w:val="000000"/>
                <w:sz w:val="16"/>
              </w:rPr>
            </w:pPr>
            <w:r w:rsidRPr="00CB3E11">
              <w:rPr>
                <w:rFonts w:ascii="Arial" w:eastAsia="Arial" w:hAnsi="Arial" w:cs="Arial"/>
                <w:color w:val="000000"/>
                <w:sz w:val="16"/>
              </w:rPr>
              <w:t>29 </w:t>
            </w:r>
          </w:p>
        </w:tc>
        <w:tc>
          <w:tcPr>
            <w:tcW w:w="990"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595A2B64" w14:textId="77777777" w:rsidR="003F0EEA" w:rsidRPr="00CB3E11" w:rsidRDefault="00FB7D0B">
            <w:pPr>
              <w:jc w:val="right"/>
              <w:rPr>
                <w:rFonts w:ascii="Arial" w:eastAsia="Arial" w:hAnsi="Arial" w:cs="Arial"/>
                <w:color w:val="000000"/>
                <w:sz w:val="16"/>
              </w:rPr>
            </w:pPr>
            <w:r w:rsidRPr="00CB3E11">
              <w:rPr>
                <w:rFonts w:ascii="Arial" w:eastAsia="Arial" w:hAnsi="Arial" w:cs="Arial"/>
                <w:color w:val="000000"/>
                <w:sz w:val="16"/>
              </w:rPr>
              <w:t>29 </w:t>
            </w:r>
          </w:p>
        </w:tc>
      </w:tr>
      <w:tr w:rsidR="00355BFE" w14:paraId="4AF5136D" w14:textId="77777777" w:rsidTr="00355BFE">
        <w:trPr>
          <w:trHeight w:val="225"/>
        </w:trPr>
        <w:tc>
          <w:tcPr>
            <w:tcW w:w="3510" w:type="dxa"/>
            <w:gridSpan w:val="3"/>
            <w:tcBorders>
              <w:top w:val="nil"/>
              <w:left w:val="nil"/>
              <w:bottom w:val="nil"/>
              <w:right w:val="nil"/>
              <w:tl2br w:val="nil"/>
              <w:tr2bl w:val="nil"/>
            </w:tcBorders>
            <w:shd w:val="clear" w:color="auto" w:fill="FFFFFF"/>
            <w:tcMar>
              <w:left w:w="115" w:type="dxa"/>
              <w:right w:w="115" w:type="dxa"/>
            </w:tcMar>
            <w:vAlign w:val="bottom"/>
          </w:tcPr>
          <w:p w14:paraId="64146913" w14:textId="77777777" w:rsidR="003F0EEA" w:rsidRPr="00CB3E11" w:rsidRDefault="00FB7D0B">
            <w:pPr>
              <w:rPr>
                <w:rFonts w:ascii="Arial" w:eastAsia="Arial" w:hAnsi="Arial" w:cs="Arial"/>
                <w:color w:val="000000"/>
                <w:sz w:val="16"/>
              </w:rPr>
            </w:pPr>
            <w:r w:rsidRPr="00CB3E11">
              <w:rPr>
                <w:rFonts w:ascii="Arial" w:eastAsia="Arial" w:hAnsi="Arial" w:cs="Arial"/>
                <w:b/>
                <w:i/>
                <w:color w:val="000000"/>
                <w:sz w:val="16"/>
              </w:rPr>
              <w:t>Total payables</w:t>
            </w:r>
          </w:p>
        </w:tc>
        <w:tc>
          <w:tcPr>
            <w:tcW w:w="990" w:type="dxa"/>
            <w:tcBorders>
              <w:top w:val="single" w:sz="6" w:space="0" w:color="000000"/>
              <w:left w:val="nil"/>
              <w:bottom w:val="single" w:sz="6" w:space="0" w:color="000000"/>
              <w:right w:val="nil"/>
              <w:tl2br w:val="nil"/>
              <w:tr2bl w:val="nil"/>
            </w:tcBorders>
            <w:shd w:val="clear" w:color="auto" w:fill="FFFFFF"/>
            <w:tcMar>
              <w:left w:w="115" w:type="dxa"/>
              <w:right w:w="115" w:type="dxa"/>
            </w:tcMar>
            <w:vAlign w:val="bottom"/>
          </w:tcPr>
          <w:p w14:paraId="7E0FFCC1" w14:textId="77777777" w:rsidR="003F0EEA" w:rsidRPr="00CB3E11" w:rsidRDefault="00FB7D0B">
            <w:pPr>
              <w:jc w:val="right"/>
              <w:rPr>
                <w:rFonts w:ascii="Arial" w:eastAsia="Arial" w:hAnsi="Arial" w:cs="Arial"/>
                <w:b/>
                <w:i/>
                <w:color w:val="000000"/>
                <w:sz w:val="16"/>
              </w:rPr>
            </w:pPr>
            <w:r w:rsidRPr="00CB3E11">
              <w:rPr>
                <w:rFonts w:ascii="Arial" w:eastAsia="Arial" w:hAnsi="Arial" w:cs="Arial"/>
                <w:b/>
                <w:color w:val="000000"/>
                <w:sz w:val="16"/>
              </w:rPr>
              <w:t>1,637 </w:t>
            </w:r>
          </w:p>
        </w:tc>
        <w:tc>
          <w:tcPr>
            <w:tcW w:w="990" w:type="dxa"/>
            <w:tcBorders>
              <w:top w:val="single" w:sz="6" w:space="0" w:color="000000"/>
              <w:left w:val="nil"/>
              <w:bottom w:val="single" w:sz="6" w:space="0" w:color="000000"/>
              <w:right w:val="nil"/>
              <w:tl2br w:val="nil"/>
              <w:tr2bl w:val="nil"/>
            </w:tcBorders>
            <w:shd w:val="clear" w:color="auto" w:fill="C0C0C0"/>
            <w:tcMar>
              <w:left w:w="115" w:type="dxa"/>
              <w:right w:w="115" w:type="dxa"/>
            </w:tcMar>
            <w:vAlign w:val="bottom"/>
          </w:tcPr>
          <w:p w14:paraId="466065CF" w14:textId="77777777" w:rsidR="003F0EEA" w:rsidRPr="00CB3E11" w:rsidRDefault="00FB7D0B">
            <w:pPr>
              <w:jc w:val="right"/>
              <w:rPr>
                <w:rFonts w:ascii="Arial" w:eastAsia="Arial" w:hAnsi="Arial" w:cs="Arial"/>
                <w:b/>
                <w:color w:val="000000"/>
                <w:sz w:val="16"/>
              </w:rPr>
            </w:pPr>
            <w:r w:rsidRPr="00CB3E11">
              <w:rPr>
                <w:rFonts w:ascii="Arial" w:eastAsia="Arial" w:hAnsi="Arial" w:cs="Arial"/>
                <w:b/>
                <w:color w:val="000000"/>
                <w:sz w:val="16"/>
              </w:rPr>
              <w:t>1,637 </w:t>
            </w:r>
          </w:p>
        </w:tc>
        <w:tc>
          <w:tcPr>
            <w:tcW w:w="990" w:type="dxa"/>
            <w:tcBorders>
              <w:top w:val="single" w:sz="6" w:space="0" w:color="000000"/>
              <w:left w:val="nil"/>
              <w:bottom w:val="single" w:sz="6" w:space="0" w:color="000000"/>
              <w:right w:val="nil"/>
              <w:tl2br w:val="nil"/>
              <w:tr2bl w:val="nil"/>
            </w:tcBorders>
            <w:shd w:val="clear" w:color="auto" w:fill="FFFFFF"/>
            <w:tcMar>
              <w:left w:w="115" w:type="dxa"/>
              <w:right w:w="115" w:type="dxa"/>
            </w:tcMar>
            <w:vAlign w:val="bottom"/>
          </w:tcPr>
          <w:p w14:paraId="7B2E8D0A" w14:textId="77777777" w:rsidR="003F0EEA" w:rsidRPr="00CB3E11" w:rsidRDefault="00FB7D0B">
            <w:pPr>
              <w:jc w:val="right"/>
              <w:rPr>
                <w:rFonts w:ascii="Arial" w:eastAsia="Arial" w:hAnsi="Arial" w:cs="Arial"/>
                <w:b/>
                <w:color w:val="000000"/>
                <w:sz w:val="16"/>
              </w:rPr>
            </w:pPr>
            <w:r w:rsidRPr="00CB3E11">
              <w:rPr>
                <w:rFonts w:ascii="Arial" w:eastAsia="Arial" w:hAnsi="Arial" w:cs="Arial"/>
                <w:b/>
                <w:color w:val="000000"/>
                <w:sz w:val="16"/>
              </w:rPr>
              <w:t>1,637 </w:t>
            </w:r>
          </w:p>
        </w:tc>
        <w:tc>
          <w:tcPr>
            <w:tcW w:w="990" w:type="dxa"/>
            <w:tcBorders>
              <w:top w:val="single" w:sz="6" w:space="0" w:color="000000"/>
              <w:left w:val="nil"/>
              <w:bottom w:val="single" w:sz="6" w:space="0" w:color="000000"/>
              <w:right w:val="nil"/>
              <w:tl2br w:val="nil"/>
              <w:tr2bl w:val="nil"/>
            </w:tcBorders>
            <w:shd w:val="clear" w:color="auto" w:fill="FFFFFF"/>
            <w:tcMar>
              <w:left w:w="115" w:type="dxa"/>
              <w:right w:w="115" w:type="dxa"/>
            </w:tcMar>
            <w:vAlign w:val="bottom"/>
          </w:tcPr>
          <w:p w14:paraId="43E5A67A" w14:textId="77777777" w:rsidR="003F0EEA" w:rsidRPr="00CB3E11" w:rsidRDefault="00FB7D0B">
            <w:pPr>
              <w:jc w:val="right"/>
              <w:rPr>
                <w:rFonts w:ascii="Arial" w:eastAsia="Arial" w:hAnsi="Arial" w:cs="Arial"/>
                <w:b/>
                <w:color w:val="000000"/>
                <w:sz w:val="16"/>
              </w:rPr>
            </w:pPr>
            <w:r w:rsidRPr="00CB3E11">
              <w:rPr>
                <w:rFonts w:ascii="Arial" w:eastAsia="Arial" w:hAnsi="Arial" w:cs="Arial"/>
                <w:b/>
                <w:color w:val="000000"/>
                <w:sz w:val="16"/>
              </w:rPr>
              <w:t>1,637 </w:t>
            </w:r>
          </w:p>
        </w:tc>
        <w:tc>
          <w:tcPr>
            <w:tcW w:w="990" w:type="dxa"/>
            <w:tcBorders>
              <w:top w:val="single" w:sz="6" w:space="0" w:color="000000"/>
              <w:left w:val="nil"/>
              <w:bottom w:val="single" w:sz="6" w:space="0" w:color="000000"/>
              <w:right w:val="nil"/>
              <w:tl2br w:val="nil"/>
              <w:tr2bl w:val="nil"/>
            </w:tcBorders>
            <w:shd w:val="clear" w:color="auto" w:fill="FFFFFF"/>
            <w:tcMar>
              <w:left w:w="115" w:type="dxa"/>
              <w:right w:w="115" w:type="dxa"/>
            </w:tcMar>
            <w:vAlign w:val="bottom"/>
          </w:tcPr>
          <w:p w14:paraId="5C307B3F" w14:textId="77777777" w:rsidR="003F0EEA" w:rsidRPr="00CB3E11" w:rsidRDefault="00FB7D0B">
            <w:pPr>
              <w:jc w:val="right"/>
              <w:rPr>
                <w:rFonts w:ascii="Arial" w:eastAsia="Arial" w:hAnsi="Arial" w:cs="Arial"/>
                <w:b/>
                <w:color w:val="000000"/>
                <w:sz w:val="16"/>
              </w:rPr>
            </w:pPr>
            <w:r w:rsidRPr="00CB3E11">
              <w:rPr>
                <w:rFonts w:ascii="Arial" w:eastAsia="Arial" w:hAnsi="Arial" w:cs="Arial"/>
                <w:b/>
                <w:color w:val="000000"/>
                <w:sz w:val="16"/>
              </w:rPr>
              <w:t>1,637 </w:t>
            </w:r>
          </w:p>
        </w:tc>
      </w:tr>
      <w:tr w:rsidR="00724034" w14:paraId="37FFAB90" w14:textId="77777777">
        <w:trPr>
          <w:trHeight w:hRule="exact" w:val="60"/>
        </w:trPr>
        <w:tc>
          <w:tcPr>
            <w:tcW w:w="180" w:type="dxa"/>
            <w:tcBorders>
              <w:top w:val="nil"/>
              <w:left w:val="nil"/>
              <w:bottom w:val="nil"/>
              <w:right w:val="nil"/>
              <w:tl2br w:val="nil"/>
              <w:tr2bl w:val="nil"/>
            </w:tcBorders>
            <w:shd w:val="clear" w:color="auto" w:fill="FFFFFF"/>
            <w:tcMar>
              <w:left w:w="115" w:type="dxa"/>
              <w:right w:w="115" w:type="dxa"/>
            </w:tcMar>
            <w:vAlign w:val="bottom"/>
          </w:tcPr>
          <w:p w14:paraId="36F719E2" w14:textId="77777777" w:rsidR="003F0EEA" w:rsidRPr="00CB3E11" w:rsidRDefault="003F0EEA">
            <w:pPr>
              <w:rPr>
                <w:rFonts w:ascii="Arial" w:eastAsia="Arial" w:hAnsi="Arial" w:cs="Arial"/>
                <w:b/>
                <w:color w:val="000000"/>
                <w:sz w:val="16"/>
              </w:rPr>
            </w:pPr>
          </w:p>
        </w:tc>
        <w:tc>
          <w:tcPr>
            <w:tcW w:w="180" w:type="dxa"/>
            <w:tcBorders>
              <w:top w:val="nil"/>
              <w:left w:val="nil"/>
              <w:bottom w:val="nil"/>
              <w:right w:val="nil"/>
              <w:tl2br w:val="nil"/>
              <w:tr2bl w:val="nil"/>
            </w:tcBorders>
            <w:shd w:val="clear" w:color="auto" w:fill="FFFFFF"/>
            <w:tcMar>
              <w:left w:w="115" w:type="dxa"/>
              <w:right w:w="115" w:type="dxa"/>
            </w:tcMar>
            <w:vAlign w:val="bottom"/>
          </w:tcPr>
          <w:p w14:paraId="40A8D269" w14:textId="77777777" w:rsidR="003F0EEA" w:rsidRPr="00CB3E11" w:rsidRDefault="003F0EEA">
            <w:pPr>
              <w:rPr>
                <w:rFonts w:ascii="Arial" w:eastAsia="Arial" w:hAnsi="Arial" w:cs="Arial"/>
                <w:color w:val="000000"/>
                <w:sz w:val="16"/>
              </w:rPr>
            </w:pPr>
          </w:p>
        </w:tc>
        <w:tc>
          <w:tcPr>
            <w:tcW w:w="3150" w:type="dxa"/>
            <w:tcBorders>
              <w:top w:val="nil"/>
              <w:left w:val="nil"/>
              <w:bottom w:val="nil"/>
              <w:right w:val="nil"/>
              <w:tl2br w:val="nil"/>
              <w:tr2bl w:val="nil"/>
            </w:tcBorders>
            <w:shd w:val="clear" w:color="auto" w:fill="FFFFFF"/>
            <w:tcMar>
              <w:left w:w="115" w:type="dxa"/>
              <w:right w:w="115" w:type="dxa"/>
            </w:tcMar>
            <w:vAlign w:val="bottom"/>
          </w:tcPr>
          <w:p w14:paraId="279CE1C9" w14:textId="77777777" w:rsidR="003F0EEA" w:rsidRPr="00CB3E11" w:rsidRDefault="003F0EEA">
            <w:pPr>
              <w:rPr>
                <w:rFonts w:ascii="Arial" w:eastAsia="Arial" w:hAnsi="Arial" w:cs="Arial"/>
                <w:color w:val="000000"/>
                <w:sz w:val="16"/>
              </w:rPr>
            </w:pPr>
          </w:p>
        </w:tc>
        <w:tc>
          <w:tcPr>
            <w:tcW w:w="990"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488E951D" w14:textId="77777777" w:rsidR="003F0EEA" w:rsidRPr="00CB3E11" w:rsidRDefault="003F0EEA">
            <w:pPr>
              <w:rPr>
                <w:rFonts w:ascii="Arial" w:eastAsia="Arial" w:hAnsi="Arial" w:cs="Arial"/>
                <w:color w:val="000000"/>
                <w:sz w:val="16"/>
              </w:rPr>
            </w:pPr>
          </w:p>
        </w:tc>
        <w:tc>
          <w:tcPr>
            <w:tcW w:w="990" w:type="dxa"/>
            <w:tcBorders>
              <w:top w:val="single" w:sz="6" w:space="0" w:color="000000"/>
              <w:left w:val="nil"/>
              <w:bottom w:val="nil"/>
              <w:right w:val="nil"/>
              <w:tl2br w:val="nil"/>
              <w:tr2bl w:val="nil"/>
            </w:tcBorders>
            <w:shd w:val="clear" w:color="auto" w:fill="C0C0C0"/>
            <w:tcMar>
              <w:left w:w="115" w:type="dxa"/>
              <w:right w:w="115" w:type="dxa"/>
            </w:tcMar>
            <w:vAlign w:val="bottom"/>
          </w:tcPr>
          <w:p w14:paraId="20FB631D" w14:textId="77777777" w:rsidR="003F0EEA" w:rsidRPr="00CB3E11" w:rsidRDefault="003F0EEA">
            <w:pPr>
              <w:rPr>
                <w:rFonts w:ascii="Arial" w:eastAsia="Arial" w:hAnsi="Arial" w:cs="Arial"/>
                <w:color w:val="000000"/>
                <w:sz w:val="16"/>
              </w:rPr>
            </w:pPr>
          </w:p>
        </w:tc>
        <w:tc>
          <w:tcPr>
            <w:tcW w:w="990"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67160063" w14:textId="77777777" w:rsidR="003F0EEA" w:rsidRPr="00CB3E11" w:rsidRDefault="003F0EEA">
            <w:pPr>
              <w:rPr>
                <w:rFonts w:ascii="Arial" w:eastAsia="Arial" w:hAnsi="Arial" w:cs="Arial"/>
                <w:color w:val="000000"/>
                <w:sz w:val="16"/>
              </w:rPr>
            </w:pPr>
          </w:p>
        </w:tc>
        <w:tc>
          <w:tcPr>
            <w:tcW w:w="990"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5219C04A" w14:textId="77777777" w:rsidR="003F0EEA" w:rsidRPr="00CB3E11" w:rsidRDefault="003F0EEA">
            <w:pPr>
              <w:rPr>
                <w:rFonts w:ascii="Arial" w:eastAsia="Arial" w:hAnsi="Arial" w:cs="Arial"/>
                <w:color w:val="000000"/>
                <w:sz w:val="16"/>
              </w:rPr>
            </w:pPr>
          </w:p>
        </w:tc>
        <w:tc>
          <w:tcPr>
            <w:tcW w:w="990"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40F2A70E" w14:textId="77777777" w:rsidR="003F0EEA" w:rsidRPr="00CB3E11" w:rsidRDefault="003F0EEA">
            <w:pPr>
              <w:rPr>
                <w:rFonts w:ascii="Arial" w:eastAsia="Arial" w:hAnsi="Arial" w:cs="Arial"/>
                <w:color w:val="000000"/>
                <w:sz w:val="16"/>
              </w:rPr>
            </w:pPr>
          </w:p>
        </w:tc>
      </w:tr>
      <w:tr w:rsidR="00724034" w14:paraId="49E587EC" w14:textId="77777777">
        <w:trPr>
          <w:trHeight w:hRule="exact" w:val="60"/>
        </w:trPr>
        <w:tc>
          <w:tcPr>
            <w:tcW w:w="180" w:type="dxa"/>
            <w:tcBorders>
              <w:top w:val="nil"/>
              <w:left w:val="nil"/>
              <w:bottom w:val="nil"/>
              <w:right w:val="nil"/>
              <w:tl2br w:val="nil"/>
              <w:tr2bl w:val="nil"/>
            </w:tcBorders>
            <w:shd w:val="clear" w:color="auto" w:fill="FFFFFF"/>
            <w:tcMar>
              <w:left w:w="115" w:type="dxa"/>
              <w:right w:w="115" w:type="dxa"/>
            </w:tcMar>
            <w:vAlign w:val="bottom"/>
          </w:tcPr>
          <w:p w14:paraId="6665873B" w14:textId="77777777" w:rsidR="003F0EEA" w:rsidRPr="00CB3E11" w:rsidRDefault="003F0EEA">
            <w:pPr>
              <w:rPr>
                <w:rFonts w:ascii="Arial" w:eastAsia="Arial" w:hAnsi="Arial" w:cs="Arial"/>
                <w:color w:val="000000"/>
                <w:sz w:val="16"/>
              </w:rPr>
            </w:pPr>
          </w:p>
        </w:tc>
        <w:tc>
          <w:tcPr>
            <w:tcW w:w="180" w:type="dxa"/>
            <w:tcBorders>
              <w:top w:val="nil"/>
              <w:left w:val="nil"/>
              <w:bottom w:val="nil"/>
              <w:right w:val="nil"/>
              <w:tl2br w:val="nil"/>
              <w:tr2bl w:val="nil"/>
            </w:tcBorders>
            <w:shd w:val="clear" w:color="auto" w:fill="FFFFFF"/>
            <w:tcMar>
              <w:left w:w="115" w:type="dxa"/>
              <w:right w:w="115" w:type="dxa"/>
            </w:tcMar>
            <w:vAlign w:val="bottom"/>
          </w:tcPr>
          <w:p w14:paraId="6001CD0E" w14:textId="77777777" w:rsidR="003F0EEA" w:rsidRPr="00CB3E11" w:rsidRDefault="003F0EEA">
            <w:pPr>
              <w:rPr>
                <w:rFonts w:ascii="Arial" w:eastAsia="Arial" w:hAnsi="Arial" w:cs="Arial"/>
                <w:color w:val="000000"/>
                <w:sz w:val="16"/>
              </w:rPr>
            </w:pPr>
          </w:p>
        </w:tc>
        <w:tc>
          <w:tcPr>
            <w:tcW w:w="3150" w:type="dxa"/>
            <w:tcBorders>
              <w:top w:val="nil"/>
              <w:left w:val="nil"/>
              <w:bottom w:val="nil"/>
              <w:right w:val="nil"/>
              <w:tl2br w:val="nil"/>
              <w:tr2bl w:val="nil"/>
            </w:tcBorders>
            <w:shd w:val="clear" w:color="auto" w:fill="FFFFFF"/>
            <w:tcMar>
              <w:left w:w="115" w:type="dxa"/>
              <w:right w:w="115" w:type="dxa"/>
            </w:tcMar>
            <w:vAlign w:val="bottom"/>
          </w:tcPr>
          <w:p w14:paraId="40247E22" w14:textId="77777777" w:rsidR="003F0EEA" w:rsidRPr="00CB3E11" w:rsidRDefault="003F0EEA">
            <w:pPr>
              <w:rPr>
                <w:rFonts w:ascii="Arial" w:eastAsia="Arial" w:hAnsi="Arial" w:cs="Arial"/>
                <w:color w:val="000000"/>
                <w:sz w:val="16"/>
              </w:rPr>
            </w:pPr>
          </w:p>
        </w:tc>
        <w:tc>
          <w:tcPr>
            <w:tcW w:w="990" w:type="dxa"/>
            <w:tcBorders>
              <w:top w:val="nil"/>
              <w:left w:val="nil"/>
              <w:bottom w:val="nil"/>
              <w:right w:val="nil"/>
              <w:tl2br w:val="nil"/>
              <w:tr2bl w:val="nil"/>
            </w:tcBorders>
            <w:shd w:val="clear" w:color="auto" w:fill="FFFFFF"/>
            <w:tcMar>
              <w:left w:w="115" w:type="dxa"/>
              <w:right w:w="115" w:type="dxa"/>
            </w:tcMar>
            <w:vAlign w:val="bottom"/>
          </w:tcPr>
          <w:p w14:paraId="5307B558" w14:textId="77777777" w:rsidR="003F0EEA" w:rsidRPr="00CB3E11" w:rsidRDefault="003F0EEA">
            <w:pPr>
              <w:rPr>
                <w:rFonts w:ascii="Arial" w:eastAsia="Arial" w:hAnsi="Arial" w:cs="Arial"/>
                <w:color w:val="000000"/>
                <w:sz w:val="16"/>
              </w:rPr>
            </w:pPr>
          </w:p>
        </w:tc>
        <w:tc>
          <w:tcPr>
            <w:tcW w:w="990" w:type="dxa"/>
            <w:tcBorders>
              <w:top w:val="nil"/>
              <w:left w:val="nil"/>
              <w:bottom w:val="nil"/>
              <w:right w:val="nil"/>
              <w:tl2br w:val="nil"/>
              <w:tr2bl w:val="nil"/>
            </w:tcBorders>
            <w:shd w:val="clear" w:color="auto" w:fill="C0C0C0"/>
            <w:tcMar>
              <w:left w:w="115" w:type="dxa"/>
              <w:right w:w="115" w:type="dxa"/>
            </w:tcMar>
            <w:vAlign w:val="bottom"/>
          </w:tcPr>
          <w:p w14:paraId="69C4C663" w14:textId="77777777" w:rsidR="003F0EEA" w:rsidRPr="00CB3E11" w:rsidRDefault="003F0EEA">
            <w:pPr>
              <w:rPr>
                <w:rFonts w:ascii="Arial" w:eastAsia="Arial" w:hAnsi="Arial" w:cs="Arial"/>
                <w:color w:val="000000"/>
                <w:sz w:val="16"/>
              </w:rPr>
            </w:pPr>
          </w:p>
        </w:tc>
        <w:tc>
          <w:tcPr>
            <w:tcW w:w="990" w:type="dxa"/>
            <w:tcBorders>
              <w:top w:val="nil"/>
              <w:left w:val="nil"/>
              <w:bottom w:val="nil"/>
              <w:right w:val="nil"/>
              <w:tl2br w:val="nil"/>
              <w:tr2bl w:val="nil"/>
            </w:tcBorders>
            <w:shd w:val="clear" w:color="auto" w:fill="FFFFFF"/>
            <w:tcMar>
              <w:left w:w="115" w:type="dxa"/>
              <w:right w:w="115" w:type="dxa"/>
            </w:tcMar>
            <w:vAlign w:val="bottom"/>
          </w:tcPr>
          <w:p w14:paraId="3CFBA080" w14:textId="77777777" w:rsidR="003F0EEA" w:rsidRPr="00CB3E11" w:rsidRDefault="003F0EEA">
            <w:pPr>
              <w:rPr>
                <w:rFonts w:ascii="Arial" w:eastAsia="Arial" w:hAnsi="Arial" w:cs="Arial"/>
                <w:color w:val="000000"/>
                <w:sz w:val="16"/>
              </w:rPr>
            </w:pPr>
          </w:p>
        </w:tc>
        <w:tc>
          <w:tcPr>
            <w:tcW w:w="990" w:type="dxa"/>
            <w:tcBorders>
              <w:top w:val="nil"/>
              <w:left w:val="nil"/>
              <w:bottom w:val="nil"/>
              <w:right w:val="nil"/>
              <w:tl2br w:val="nil"/>
              <w:tr2bl w:val="nil"/>
            </w:tcBorders>
            <w:shd w:val="clear" w:color="auto" w:fill="FFFFFF"/>
            <w:tcMar>
              <w:left w:w="115" w:type="dxa"/>
              <w:right w:w="115" w:type="dxa"/>
            </w:tcMar>
            <w:vAlign w:val="bottom"/>
          </w:tcPr>
          <w:p w14:paraId="1C4934DB" w14:textId="77777777" w:rsidR="003F0EEA" w:rsidRPr="00CB3E11" w:rsidRDefault="003F0EEA">
            <w:pPr>
              <w:rPr>
                <w:rFonts w:ascii="Arial" w:eastAsia="Arial" w:hAnsi="Arial" w:cs="Arial"/>
                <w:color w:val="000000"/>
                <w:sz w:val="16"/>
              </w:rPr>
            </w:pPr>
          </w:p>
        </w:tc>
        <w:tc>
          <w:tcPr>
            <w:tcW w:w="990" w:type="dxa"/>
            <w:tcBorders>
              <w:top w:val="nil"/>
              <w:left w:val="nil"/>
              <w:bottom w:val="nil"/>
              <w:right w:val="nil"/>
              <w:tl2br w:val="nil"/>
              <w:tr2bl w:val="nil"/>
            </w:tcBorders>
            <w:shd w:val="clear" w:color="auto" w:fill="FFFFFF"/>
            <w:tcMar>
              <w:left w:w="115" w:type="dxa"/>
              <w:right w:w="115" w:type="dxa"/>
            </w:tcMar>
            <w:vAlign w:val="bottom"/>
          </w:tcPr>
          <w:p w14:paraId="3F7D6DAE" w14:textId="77777777" w:rsidR="003F0EEA" w:rsidRPr="00CB3E11" w:rsidRDefault="003F0EEA">
            <w:pPr>
              <w:rPr>
                <w:rFonts w:ascii="Arial" w:eastAsia="Arial" w:hAnsi="Arial" w:cs="Arial"/>
                <w:color w:val="000000"/>
                <w:sz w:val="16"/>
              </w:rPr>
            </w:pPr>
          </w:p>
        </w:tc>
      </w:tr>
      <w:tr w:rsidR="00355BFE" w14:paraId="2E2CF26C" w14:textId="77777777" w:rsidTr="00355BFE">
        <w:trPr>
          <w:trHeight w:val="225"/>
        </w:trPr>
        <w:tc>
          <w:tcPr>
            <w:tcW w:w="3510" w:type="dxa"/>
            <w:gridSpan w:val="3"/>
            <w:tcBorders>
              <w:top w:val="nil"/>
              <w:left w:val="nil"/>
              <w:bottom w:val="nil"/>
              <w:right w:val="nil"/>
              <w:tl2br w:val="nil"/>
              <w:tr2bl w:val="nil"/>
            </w:tcBorders>
            <w:shd w:val="clear" w:color="auto" w:fill="FFFFFF"/>
            <w:tcMar>
              <w:left w:w="115" w:type="dxa"/>
              <w:right w:w="115" w:type="dxa"/>
            </w:tcMar>
            <w:vAlign w:val="bottom"/>
          </w:tcPr>
          <w:p w14:paraId="059C4F2A" w14:textId="77777777" w:rsidR="003F0EEA" w:rsidRPr="00CB3E11" w:rsidRDefault="00FB7D0B">
            <w:pPr>
              <w:rPr>
                <w:rFonts w:ascii="Arial" w:eastAsia="Arial" w:hAnsi="Arial" w:cs="Arial"/>
                <w:color w:val="000000"/>
                <w:sz w:val="16"/>
              </w:rPr>
            </w:pPr>
            <w:r w:rsidRPr="00CB3E11">
              <w:rPr>
                <w:rFonts w:ascii="Arial" w:eastAsia="Arial" w:hAnsi="Arial" w:cs="Arial"/>
                <w:b/>
                <w:color w:val="000000"/>
                <w:sz w:val="16"/>
              </w:rPr>
              <w:t>Provisions</w:t>
            </w:r>
          </w:p>
        </w:tc>
        <w:tc>
          <w:tcPr>
            <w:tcW w:w="990" w:type="dxa"/>
            <w:tcBorders>
              <w:top w:val="nil"/>
              <w:left w:val="nil"/>
              <w:bottom w:val="nil"/>
              <w:right w:val="nil"/>
              <w:tl2br w:val="nil"/>
              <w:tr2bl w:val="nil"/>
            </w:tcBorders>
            <w:shd w:val="clear" w:color="auto" w:fill="FFFFFF"/>
            <w:tcMar>
              <w:left w:w="115" w:type="dxa"/>
              <w:right w:w="115" w:type="dxa"/>
            </w:tcMar>
            <w:vAlign w:val="bottom"/>
          </w:tcPr>
          <w:p w14:paraId="5895BD59" w14:textId="77777777" w:rsidR="003F0EEA" w:rsidRPr="00CB3E11" w:rsidRDefault="003F0EEA">
            <w:pPr>
              <w:rPr>
                <w:rFonts w:ascii="Arial" w:eastAsia="Arial" w:hAnsi="Arial" w:cs="Arial"/>
                <w:b/>
                <w:color w:val="000000"/>
                <w:sz w:val="16"/>
              </w:rPr>
            </w:pPr>
          </w:p>
        </w:tc>
        <w:tc>
          <w:tcPr>
            <w:tcW w:w="990" w:type="dxa"/>
            <w:tcBorders>
              <w:top w:val="nil"/>
              <w:left w:val="nil"/>
              <w:bottom w:val="nil"/>
              <w:right w:val="nil"/>
              <w:tl2br w:val="nil"/>
              <w:tr2bl w:val="nil"/>
            </w:tcBorders>
            <w:shd w:val="clear" w:color="auto" w:fill="C0C0C0"/>
            <w:tcMar>
              <w:left w:w="115" w:type="dxa"/>
              <w:right w:w="115" w:type="dxa"/>
            </w:tcMar>
            <w:vAlign w:val="bottom"/>
          </w:tcPr>
          <w:p w14:paraId="038DD6ED" w14:textId="77777777" w:rsidR="003F0EEA" w:rsidRPr="00CB3E11" w:rsidRDefault="003F0EEA">
            <w:pPr>
              <w:rPr>
                <w:rFonts w:ascii="Arial" w:eastAsia="Arial" w:hAnsi="Arial" w:cs="Arial"/>
                <w:color w:val="000000"/>
                <w:sz w:val="16"/>
              </w:rPr>
            </w:pPr>
          </w:p>
        </w:tc>
        <w:tc>
          <w:tcPr>
            <w:tcW w:w="990" w:type="dxa"/>
            <w:tcBorders>
              <w:top w:val="nil"/>
              <w:left w:val="nil"/>
              <w:bottom w:val="nil"/>
              <w:right w:val="nil"/>
              <w:tl2br w:val="nil"/>
              <w:tr2bl w:val="nil"/>
            </w:tcBorders>
            <w:shd w:val="clear" w:color="auto" w:fill="FFFFFF"/>
            <w:tcMar>
              <w:left w:w="115" w:type="dxa"/>
              <w:right w:w="115" w:type="dxa"/>
            </w:tcMar>
            <w:vAlign w:val="bottom"/>
          </w:tcPr>
          <w:p w14:paraId="737B0288" w14:textId="77777777" w:rsidR="003F0EEA" w:rsidRPr="00CB3E11" w:rsidRDefault="003F0EEA">
            <w:pPr>
              <w:rPr>
                <w:rFonts w:ascii="Arial" w:eastAsia="Arial" w:hAnsi="Arial" w:cs="Arial"/>
                <w:color w:val="000000"/>
                <w:sz w:val="16"/>
              </w:rPr>
            </w:pPr>
          </w:p>
        </w:tc>
        <w:tc>
          <w:tcPr>
            <w:tcW w:w="990" w:type="dxa"/>
            <w:tcBorders>
              <w:top w:val="nil"/>
              <w:left w:val="nil"/>
              <w:bottom w:val="nil"/>
              <w:right w:val="nil"/>
              <w:tl2br w:val="nil"/>
              <w:tr2bl w:val="nil"/>
            </w:tcBorders>
            <w:shd w:val="clear" w:color="auto" w:fill="FFFFFF"/>
            <w:tcMar>
              <w:left w:w="115" w:type="dxa"/>
              <w:right w:w="115" w:type="dxa"/>
            </w:tcMar>
            <w:vAlign w:val="bottom"/>
          </w:tcPr>
          <w:p w14:paraId="511D23B3" w14:textId="77777777" w:rsidR="003F0EEA" w:rsidRPr="00CB3E11" w:rsidRDefault="003F0EEA">
            <w:pPr>
              <w:rPr>
                <w:rFonts w:ascii="Arial" w:eastAsia="Arial" w:hAnsi="Arial" w:cs="Arial"/>
                <w:color w:val="000000"/>
                <w:sz w:val="16"/>
              </w:rPr>
            </w:pPr>
          </w:p>
        </w:tc>
        <w:tc>
          <w:tcPr>
            <w:tcW w:w="990" w:type="dxa"/>
            <w:tcBorders>
              <w:top w:val="nil"/>
              <w:left w:val="nil"/>
              <w:bottom w:val="nil"/>
              <w:right w:val="nil"/>
              <w:tl2br w:val="nil"/>
              <w:tr2bl w:val="nil"/>
            </w:tcBorders>
            <w:shd w:val="clear" w:color="auto" w:fill="FFFFFF"/>
            <w:tcMar>
              <w:left w:w="115" w:type="dxa"/>
              <w:right w:w="115" w:type="dxa"/>
            </w:tcMar>
            <w:vAlign w:val="bottom"/>
          </w:tcPr>
          <w:p w14:paraId="65EF7373" w14:textId="77777777" w:rsidR="003F0EEA" w:rsidRPr="00CB3E11" w:rsidRDefault="003F0EEA">
            <w:pPr>
              <w:rPr>
                <w:rFonts w:ascii="Arial" w:eastAsia="Arial" w:hAnsi="Arial" w:cs="Arial"/>
                <w:color w:val="000000"/>
                <w:sz w:val="16"/>
              </w:rPr>
            </w:pPr>
          </w:p>
        </w:tc>
      </w:tr>
      <w:tr w:rsidR="00355BFE" w14:paraId="58EE0AF5" w14:textId="77777777" w:rsidTr="00355BFE">
        <w:trPr>
          <w:trHeight w:val="225"/>
        </w:trPr>
        <w:tc>
          <w:tcPr>
            <w:tcW w:w="180" w:type="dxa"/>
            <w:tcBorders>
              <w:top w:val="nil"/>
              <w:left w:val="nil"/>
              <w:bottom w:val="nil"/>
              <w:right w:val="nil"/>
              <w:tl2br w:val="nil"/>
              <w:tr2bl w:val="nil"/>
            </w:tcBorders>
            <w:shd w:val="clear" w:color="auto" w:fill="FFFFFF"/>
            <w:tcMar>
              <w:left w:w="115" w:type="dxa"/>
              <w:right w:w="115" w:type="dxa"/>
            </w:tcMar>
            <w:vAlign w:val="bottom"/>
          </w:tcPr>
          <w:p w14:paraId="0D5CE571" w14:textId="77777777" w:rsidR="003F0EEA" w:rsidRPr="00CB3E11" w:rsidRDefault="003F0EEA">
            <w:pPr>
              <w:rPr>
                <w:rFonts w:ascii="Arial" w:eastAsia="Arial" w:hAnsi="Arial" w:cs="Arial"/>
                <w:color w:val="000000"/>
                <w:sz w:val="16"/>
              </w:rPr>
            </w:pPr>
          </w:p>
        </w:tc>
        <w:tc>
          <w:tcPr>
            <w:tcW w:w="3330" w:type="dxa"/>
            <w:gridSpan w:val="2"/>
            <w:tcBorders>
              <w:top w:val="nil"/>
              <w:left w:val="nil"/>
              <w:bottom w:val="nil"/>
              <w:right w:val="nil"/>
              <w:tl2br w:val="nil"/>
              <w:tr2bl w:val="nil"/>
            </w:tcBorders>
            <w:shd w:val="clear" w:color="auto" w:fill="FFFFFF"/>
            <w:tcMar>
              <w:left w:w="115" w:type="dxa"/>
              <w:right w:w="115" w:type="dxa"/>
            </w:tcMar>
            <w:vAlign w:val="bottom"/>
          </w:tcPr>
          <w:p w14:paraId="3FDAC91D" w14:textId="77777777" w:rsidR="003F0EEA" w:rsidRPr="00CB3E11" w:rsidRDefault="00FB7D0B">
            <w:pPr>
              <w:rPr>
                <w:rFonts w:ascii="Arial" w:eastAsia="Arial" w:hAnsi="Arial" w:cs="Arial"/>
                <w:color w:val="000000"/>
                <w:sz w:val="16"/>
              </w:rPr>
            </w:pPr>
            <w:r w:rsidRPr="00CB3E11">
              <w:rPr>
                <w:rFonts w:ascii="Arial" w:eastAsia="Arial" w:hAnsi="Arial" w:cs="Arial"/>
                <w:color w:val="000000"/>
                <w:sz w:val="16"/>
              </w:rPr>
              <w:t>Employee provisions</w:t>
            </w:r>
          </w:p>
        </w:tc>
        <w:tc>
          <w:tcPr>
            <w:tcW w:w="990"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476225B1" w14:textId="77777777" w:rsidR="003F0EEA" w:rsidRPr="00CB3E11" w:rsidRDefault="00FB7D0B">
            <w:pPr>
              <w:jc w:val="right"/>
              <w:rPr>
                <w:rFonts w:ascii="Arial" w:eastAsia="Arial" w:hAnsi="Arial" w:cs="Arial"/>
                <w:color w:val="000000"/>
                <w:sz w:val="16"/>
              </w:rPr>
            </w:pPr>
            <w:r w:rsidRPr="00CB3E11">
              <w:rPr>
                <w:rFonts w:ascii="Arial" w:eastAsia="Arial" w:hAnsi="Arial" w:cs="Arial"/>
                <w:color w:val="000000"/>
                <w:sz w:val="16"/>
              </w:rPr>
              <w:t>9,136 </w:t>
            </w:r>
          </w:p>
        </w:tc>
        <w:tc>
          <w:tcPr>
            <w:tcW w:w="990" w:type="dxa"/>
            <w:tcBorders>
              <w:top w:val="nil"/>
              <w:left w:val="nil"/>
              <w:bottom w:val="single" w:sz="6" w:space="0" w:color="000000"/>
              <w:right w:val="nil"/>
              <w:tl2br w:val="nil"/>
              <w:tr2bl w:val="nil"/>
            </w:tcBorders>
            <w:shd w:val="clear" w:color="auto" w:fill="C0C0C0"/>
            <w:tcMar>
              <w:left w:w="115" w:type="dxa"/>
              <w:right w:w="115" w:type="dxa"/>
            </w:tcMar>
            <w:vAlign w:val="bottom"/>
          </w:tcPr>
          <w:p w14:paraId="1B4CCE12" w14:textId="77777777" w:rsidR="003F0EEA" w:rsidRPr="00CB3E11" w:rsidRDefault="00FB7D0B">
            <w:pPr>
              <w:jc w:val="right"/>
              <w:rPr>
                <w:rFonts w:ascii="Arial" w:eastAsia="Arial" w:hAnsi="Arial" w:cs="Arial"/>
                <w:color w:val="000000"/>
                <w:sz w:val="16"/>
              </w:rPr>
            </w:pPr>
            <w:r w:rsidRPr="00CB3E11">
              <w:rPr>
                <w:rFonts w:ascii="Arial" w:eastAsia="Arial" w:hAnsi="Arial" w:cs="Arial"/>
                <w:color w:val="000000"/>
                <w:sz w:val="16"/>
              </w:rPr>
              <w:t>9,133 </w:t>
            </w:r>
          </w:p>
        </w:tc>
        <w:tc>
          <w:tcPr>
            <w:tcW w:w="990"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6C8A490D" w14:textId="77777777" w:rsidR="003F0EEA" w:rsidRPr="00CB3E11" w:rsidRDefault="00FB7D0B">
            <w:pPr>
              <w:jc w:val="right"/>
              <w:rPr>
                <w:rFonts w:ascii="Arial" w:eastAsia="Arial" w:hAnsi="Arial" w:cs="Arial"/>
                <w:color w:val="000000"/>
                <w:sz w:val="16"/>
              </w:rPr>
            </w:pPr>
            <w:r w:rsidRPr="00CB3E11">
              <w:rPr>
                <w:rFonts w:ascii="Arial" w:eastAsia="Arial" w:hAnsi="Arial" w:cs="Arial"/>
                <w:color w:val="000000"/>
                <w:sz w:val="16"/>
              </w:rPr>
              <w:t>9,133 </w:t>
            </w:r>
          </w:p>
        </w:tc>
        <w:tc>
          <w:tcPr>
            <w:tcW w:w="990"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102160A0" w14:textId="77777777" w:rsidR="003F0EEA" w:rsidRPr="00CB3E11" w:rsidRDefault="00FB7D0B">
            <w:pPr>
              <w:jc w:val="right"/>
              <w:rPr>
                <w:rFonts w:ascii="Arial" w:eastAsia="Arial" w:hAnsi="Arial" w:cs="Arial"/>
                <w:color w:val="000000"/>
                <w:sz w:val="16"/>
              </w:rPr>
            </w:pPr>
            <w:r w:rsidRPr="00CB3E11">
              <w:rPr>
                <w:rFonts w:ascii="Arial" w:eastAsia="Arial" w:hAnsi="Arial" w:cs="Arial"/>
                <w:color w:val="000000"/>
                <w:sz w:val="16"/>
              </w:rPr>
              <w:t>9,133 </w:t>
            </w:r>
          </w:p>
        </w:tc>
        <w:tc>
          <w:tcPr>
            <w:tcW w:w="990"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6B8498FD" w14:textId="77777777" w:rsidR="003F0EEA" w:rsidRPr="00CB3E11" w:rsidRDefault="00FB7D0B">
            <w:pPr>
              <w:jc w:val="right"/>
              <w:rPr>
                <w:rFonts w:ascii="Arial" w:eastAsia="Arial" w:hAnsi="Arial" w:cs="Arial"/>
                <w:color w:val="000000"/>
                <w:sz w:val="16"/>
              </w:rPr>
            </w:pPr>
            <w:r w:rsidRPr="00CB3E11">
              <w:rPr>
                <w:rFonts w:ascii="Arial" w:eastAsia="Arial" w:hAnsi="Arial" w:cs="Arial"/>
                <w:color w:val="000000"/>
                <w:sz w:val="16"/>
              </w:rPr>
              <w:t>9,133 </w:t>
            </w:r>
          </w:p>
        </w:tc>
      </w:tr>
      <w:tr w:rsidR="00355BFE" w14:paraId="31BDB3DB" w14:textId="77777777" w:rsidTr="00355BFE">
        <w:trPr>
          <w:trHeight w:val="225"/>
        </w:trPr>
        <w:tc>
          <w:tcPr>
            <w:tcW w:w="3510" w:type="dxa"/>
            <w:gridSpan w:val="3"/>
            <w:tcBorders>
              <w:top w:val="nil"/>
              <w:left w:val="nil"/>
              <w:bottom w:val="nil"/>
              <w:right w:val="nil"/>
              <w:tl2br w:val="nil"/>
              <w:tr2bl w:val="nil"/>
            </w:tcBorders>
            <w:shd w:val="clear" w:color="auto" w:fill="FFFFFF"/>
            <w:tcMar>
              <w:left w:w="115" w:type="dxa"/>
              <w:right w:w="115" w:type="dxa"/>
            </w:tcMar>
            <w:vAlign w:val="bottom"/>
          </w:tcPr>
          <w:p w14:paraId="3F274C52" w14:textId="77777777" w:rsidR="003F0EEA" w:rsidRPr="00CB3E11" w:rsidRDefault="00FB7D0B">
            <w:pPr>
              <w:rPr>
                <w:rFonts w:ascii="Arial" w:eastAsia="Arial" w:hAnsi="Arial" w:cs="Arial"/>
                <w:color w:val="000000"/>
                <w:sz w:val="16"/>
              </w:rPr>
            </w:pPr>
            <w:r w:rsidRPr="00CB3E11">
              <w:rPr>
                <w:rFonts w:ascii="Arial" w:eastAsia="Arial" w:hAnsi="Arial" w:cs="Arial"/>
                <w:b/>
                <w:i/>
                <w:color w:val="000000"/>
                <w:sz w:val="16"/>
              </w:rPr>
              <w:t>Total provisions</w:t>
            </w:r>
          </w:p>
        </w:tc>
        <w:tc>
          <w:tcPr>
            <w:tcW w:w="990" w:type="dxa"/>
            <w:tcBorders>
              <w:top w:val="single" w:sz="6" w:space="0" w:color="000000"/>
              <w:left w:val="nil"/>
              <w:bottom w:val="single" w:sz="6" w:space="0" w:color="000000"/>
              <w:right w:val="nil"/>
              <w:tl2br w:val="nil"/>
              <w:tr2bl w:val="nil"/>
            </w:tcBorders>
            <w:shd w:val="clear" w:color="auto" w:fill="FFFFFF"/>
            <w:tcMar>
              <w:left w:w="115" w:type="dxa"/>
              <w:right w:w="115" w:type="dxa"/>
            </w:tcMar>
            <w:vAlign w:val="bottom"/>
          </w:tcPr>
          <w:p w14:paraId="61A7AE2B" w14:textId="77777777" w:rsidR="003F0EEA" w:rsidRPr="00CB3E11" w:rsidRDefault="00FB7D0B">
            <w:pPr>
              <w:jc w:val="right"/>
              <w:rPr>
                <w:rFonts w:ascii="Arial" w:eastAsia="Arial" w:hAnsi="Arial" w:cs="Arial"/>
                <w:b/>
                <w:i/>
                <w:color w:val="000000"/>
                <w:sz w:val="16"/>
              </w:rPr>
            </w:pPr>
            <w:r w:rsidRPr="00CB3E11">
              <w:rPr>
                <w:rFonts w:ascii="Arial" w:eastAsia="Arial" w:hAnsi="Arial" w:cs="Arial"/>
                <w:b/>
                <w:color w:val="000000"/>
                <w:sz w:val="16"/>
              </w:rPr>
              <w:t>9,136 </w:t>
            </w:r>
          </w:p>
        </w:tc>
        <w:tc>
          <w:tcPr>
            <w:tcW w:w="990" w:type="dxa"/>
            <w:tcBorders>
              <w:top w:val="single" w:sz="6" w:space="0" w:color="000000"/>
              <w:left w:val="nil"/>
              <w:bottom w:val="single" w:sz="6" w:space="0" w:color="000000"/>
              <w:right w:val="nil"/>
              <w:tl2br w:val="nil"/>
              <w:tr2bl w:val="nil"/>
            </w:tcBorders>
            <w:shd w:val="clear" w:color="auto" w:fill="C0C0C0"/>
            <w:tcMar>
              <w:left w:w="115" w:type="dxa"/>
              <w:right w:w="115" w:type="dxa"/>
            </w:tcMar>
            <w:vAlign w:val="bottom"/>
          </w:tcPr>
          <w:p w14:paraId="78D1934A" w14:textId="77777777" w:rsidR="003F0EEA" w:rsidRPr="00CB3E11" w:rsidRDefault="00FB7D0B">
            <w:pPr>
              <w:jc w:val="right"/>
              <w:rPr>
                <w:rFonts w:ascii="Arial" w:eastAsia="Arial" w:hAnsi="Arial" w:cs="Arial"/>
                <w:b/>
                <w:color w:val="000000"/>
                <w:sz w:val="16"/>
              </w:rPr>
            </w:pPr>
            <w:r w:rsidRPr="00CB3E11">
              <w:rPr>
                <w:rFonts w:ascii="Arial" w:eastAsia="Arial" w:hAnsi="Arial" w:cs="Arial"/>
                <w:b/>
                <w:color w:val="000000"/>
                <w:sz w:val="16"/>
              </w:rPr>
              <w:t>9,133 </w:t>
            </w:r>
          </w:p>
        </w:tc>
        <w:tc>
          <w:tcPr>
            <w:tcW w:w="990" w:type="dxa"/>
            <w:tcBorders>
              <w:top w:val="single" w:sz="6" w:space="0" w:color="000000"/>
              <w:left w:val="nil"/>
              <w:bottom w:val="single" w:sz="6" w:space="0" w:color="000000"/>
              <w:right w:val="nil"/>
              <w:tl2br w:val="nil"/>
              <w:tr2bl w:val="nil"/>
            </w:tcBorders>
            <w:shd w:val="clear" w:color="auto" w:fill="FFFFFF"/>
            <w:tcMar>
              <w:left w:w="115" w:type="dxa"/>
              <w:right w:w="115" w:type="dxa"/>
            </w:tcMar>
            <w:vAlign w:val="bottom"/>
          </w:tcPr>
          <w:p w14:paraId="1B0C7EC3" w14:textId="77777777" w:rsidR="003F0EEA" w:rsidRPr="00CB3E11" w:rsidRDefault="00FB7D0B">
            <w:pPr>
              <w:jc w:val="right"/>
              <w:rPr>
                <w:rFonts w:ascii="Arial" w:eastAsia="Arial" w:hAnsi="Arial" w:cs="Arial"/>
                <w:b/>
                <w:color w:val="000000"/>
                <w:sz w:val="16"/>
              </w:rPr>
            </w:pPr>
            <w:r w:rsidRPr="00CB3E11">
              <w:rPr>
                <w:rFonts w:ascii="Arial" w:eastAsia="Arial" w:hAnsi="Arial" w:cs="Arial"/>
                <w:b/>
                <w:color w:val="000000"/>
                <w:sz w:val="16"/>
              </w:rPr>
              <w:t>9,133 </w:t>
            </w:r>
          </w:p>
        </w:tc>
        <w:tc>
          <w:tcPr>
            <w:tcW w:w="990" w:type="dxa"/>
            <w:tcBorders>
              <w:top w:val="single" w:sz="6" w:space="0" w:color="000000"/>
              <w:left w:val="nil"/>
              <w:bottom w:val="single" w:sz="6" w:space="0" w:color="000000"/>
              <w:right w:val="nil"/>
              <w:tl2br w:val="nil"/>
              <w:tr2bl w:val="nil"/>
            </w:tcBorders>
            <w:shd w:val="clear" w:color="auto" w:fill="FFFFFF"/>
            <w:tcMar>
              <w:left w:w="115" w:type="dxa"/>
              <w:right w:w="115" w:type="dxa"/>
            </w:tcMar>
            <w:vAlign w:val="bottom"/>
          </w:tcPr>
          <w:p w14:paraId="4967C280" w14:textId="77777777" w:rsidR="003F0EEA" w:rsidRPr="00CB3E11" w:rsidRDefault="00FB7D0B">
            <w:pPr>
              <w:jc w:val="right"/>
              <w:rPr>
                <w:rFonts w:ascii="Arial" w:eastAsia="Arial" w:hAnsi="Arial" w:cs="Arial"/>
                <w:b/>
                <w:color w:val="000000"/>
                <w:sz w:val="16"/>
              </w:rPr>
            </w:pPr>
            <w:r w:rsidRPr="00CB3E11">
              <w:rPr>
                <w:rFonts w:ascii="Arial" w:eastAsia="Arial" w:hAnsi="Arial" w:cs="Arial"/>
                <w:b/>
                <w:color w:val="000000"/>
                <w:sz w:val="16"/>
              </w:rPr>
              <w:t>9,133 </w:t>
            </w:r>
          </w:p>
        </w:tc>
        <w:tc>
          <w:tcPr>
            <w:tcW w:w="990" w:type="dxa"/>
            <w:tcBorders>
              <w:top w:val="single" w:sz="6" w:space="0" w:color="000000"/>
              <w:left w:val="nil"/>
              <w:bottom w:val="single" w:sz="6" w:space="0" w:color="000000"/>
              <w:right w:val="nil"/>
              <w:tl2br w:val="nil"/>
              <w:tr2bl w:val="nil"/>
            </w:tcBorders>
            <w:shd w:val="clear" w:color="auto" w:fill="FFFFFF"/>
            <w:tcMar>
              <w:left w:w="115" w:type="dxa"/>
              <w:right w:w="115" w:type="dxa"/>
            </w:tcMar>
            <w:vAlign w:val="bottom"/>
          </w:tcPr>
          <w:p w14:paraId="2C9D832A" w14:textId="77777777" w:rsidR="003F0EEA" w:rsidRPr="00CB3E11" w:rsidRDefault="00FB7D0B">
            <w:pPr>
              <w:jc w:val="right"/>
              <w:rPr>
                <w:rFonts w:ascii="Arial" w:eastAsia="Arial" w:hAnsi="Arial" w:cs="Arial"/>
                <w:b/>
                <w:color w:val="000000"/>
                <w:sz w:val="16"/>
              </w:rPr>
            </w:pPr>
            <w:r w:rsidRPr="00CB3E11">
              <w:rPr>
                <w:rFonts w:ascii="Arial" w:eastAsia="Arial" w:hAnsi="Arial" w:cs="Arial"/>
                <w:b/>
                <w:color w:val="000000"/>
                <w:sz w:val="16"/>
              </w:rPr>
              <w:t>9,133 </w:t>
            </w:r>
          </w:p>
        </w:tc>
      </w:tr>
      <w:tr w:rsidR="00724034" w14:paraId="6FD8E854" w14:textId="77777777">
        <w:trPr>
          <w:trHeight w:hRule="exact" w:val="60"/>
        </w:trPr>
        <w:tc>
          <w:tcPr>
            <w:tcW w:w="180" w:type="dxa"/>
            <w:tcBorders>
              <w:top w:val="nil"/>
              <w:left w:val="nil"/>
              <w:bottom w:val="nil"/>
              <w:right w:val="nil"/>
              <w:tl2br w:val="nil"/>
              <w:tr2bl w:val="nil"/>
            </w:tcBorders>
            <w:shd w:val="clear" w:color="auto" w:fill="FFFFFF"/>
            <w:tcMar>
              <w:left w:w="115" w:type="dxa"/>
              <w:right w:w="115" w:type="dxa"/>
            </w:tcMar>
            <w:vAlign w:val="bottom"/>
          </w:tcPr>
          <w:p w14:paraId="55A9AAFB" w14:textId="77777777" w:rsidR="003F0EEA" w:rsidRPr="00CB3E11" w:rsidRDefault="003F0EEA">
            <w:pPr>
              <w:rPr>
                <w:rFonts w:ascii="Arial" w:eastAsia="Arial" w:hAnsi="Arial" w:cs="Arial"/>
                <w:b/>
                <w:color w:val="000000"/>
                <w:sz w:val="16"/>
              </w:rPr>
            </w:pPr>
          </w:p>
        </w:tc>
        <w:tc>
          <w:tcPr>
            <w:tcW w:w="180" w:type="dxa"/>
            <w:tcBorders>
              <w:top w:val="nil"/>
              <w:left w:val="nil"/>
              <w:bottom w:val="nil"/>
              <w:right w:val="nil"/>
              <w:tl2br w:val="nil"/>
              <w:tr2bl w:val="nil"/>
            </w:tcBorders>
            <w:shd w:val="clear" w:color="auto" w:fill="FFFFFF"/>
            <w:tcMar>
              <w:left w:w="115" w:type="dxa"/>
              <w:right w:w="115" w:type="dxa"/>
            </w:tcMar>
            <w:vAlign w:val="bottom"/>
          </w:tcPr>
          <w:p w14:paraId="69113187" w14:textId="77777777" w:rsidR="003F0EEA" w:rsidRPr="00CB3E11" w:rsidRDefault="003F0EEA">
            <w:pPr>
              <w:rPr>
                <w:rFonts w:ascii="Arial" w:eastAsia="Arial" w:hAnsi="Arial" w:cs="Arial"/>
                <w:color w:val="000000"/>
                <w:sz w:val="16"/>
              </w:rPr>
            </w:pPr>
          </w:p>
        </w:tc>
        <w:tc>
          <w:tcPr>
            <w:tcW w:w="3150" w:type="dxa"/>
            <w:tcBorders>
              <w:top w:val="nil"/>
              <w:left w:val="nil"/>
              <w:bottom w:val="nil"/>
              <w:right w:val="nil"/>
              <w:tl2br w:val="nil"/>
              <w:tr2bl w:val="nil"/>
            </w:tcBorders>
            <w:shd w:val="clear" w:color="auto" w:fill="FFFFFF"/>
            <w:tcMar>
              <w:left w:w="115" w:type="dxa"/>
              <w:right w:w="115" w:type="dxa"/>
            </w:tcMar>
            <w:vAlign w:val="bottom"/>
          </w:tcPr>
          <w:p w14:paraId="53A5F9C9" w14:textId="77777777" w:rsidR="003F0EEA" w:rsidRPr="00CB3E11" w:rsidRDefault="003F0EEA">
            <w:pPr>
              <w:rPr>
                <w:rFonts w:ascii="Arial" w:eastAsia="Arial" w:hAnsi="Arial" w:cs="Arial"/>
                <w:color w:val="000000"/>
                <w:sz w:val="16"/>
              </w:rPr>
            </w:pPr>
          </w:p>
        </w:tc>
        <w:tc>
          <w:tcPr>
            <w:tcW w:w="990"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216C6385" w14:textId="77777777" w:rsidR="003F0EEA" w:rsidRPr="00CB3E11" w:rsidRDefault="003F0EEA">
            <w:pPr>
              <w:rPr>
                <w:rFonts w:ascii="Arial" w:eastAsia="Arial" w:hAnsi="Arial" w:cs="Arial"/>
                <w:color w:val="000000"/>
                <w:sz w:val="16"/>
              </w:rPr>
            </w:pPr>
          </w:p>
        </w:tc>
        <w:tc>
          <w:tcPr>
            <w:tcW w:w="990" w:type="dxa"/>
            <w:tcBorders>
              <w:top w:val="single" w:sz="6" w:space="0" w:color="000000"/>
              <w:left w:val="nil"/>
              <w:bottom w:val="nil"/>
              <w:right w:val="nil"/>
              <w:tl2br w:val="nil"/>
              <w:tr2bl w:val="nil"/>
            </w:tcBorders>
            <w:shd w:val="clear" w:color="auto" w:fill="C0C0C0"/>
            <w:tcMar>
              <w:left w:w="115" w:type="dxa"/>
              <w:right w:w="115" w:type="dxa"/>
            </w:tcMar>
            <w:vAlign w:val="bottom"/>
          </w:tcPr>
          <w:p w14:paraId="5632B471" w14:textId="77777777" w:rsidR="003F0EEA" w:rsidRPr="00CB3E11" w:rsidRDefault="003F0EEA">
            <w:pPr>
              <w:rPr>
                <w:rFonts w:ascii="Arial" w:eastAsia="Arial" w:hAnsi="Arial" w:cs="Arial"/>
                <w:color w:val="000000"/>
                <w:sz w:val="16"/>
              </w:rPr>
            </w:pPr>
          </w:p>
        </w:tc>
        <w:tc>
          <w:tcPr>
            <w:tcW w:w="990"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724125B2" w14:textId="77777777" w:rsidR="003F0EEA" w:rsidRPr="00CB3E11" w:rsidRDefault="003F0EEA">
            <w:pPr>
              <w:rPr>
                <w:rFonts w:ascii="Arial" w:eastAsia="Arial" w:hAnsi="Arial" w:cs="Arial"/>
                <w:color w:val="000000"/>
                <w:sz w:val="16"/>
              </w:rPr>
            </w:pPr>
          </w:p>
        </w:tc>
        <w:tc>
          <w:tcPr>
            <w:tcW w:w="990"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485004EA" w14:textId="77777777" w:rsidR="003F0EEA" w:rsidRPr="00CB3E11" w:rsidRDefault="003F0EEA">
            <w:pPr>
              <w:rPr>
                <w:rFonts w:ascii="Arial" w:eastAsia="Arial" w:hAnsi="Arial" w:cs="Arial"/>
                <w:color w:val="000000"/>
                <w:sz w:val="16"/>
              </w:rPr>
            </w:pPr>
          </w:p>
        </w:tc>
        <w:tc>
          <w:tcPr>
            <w:tcW w:w="990"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40D96A89" w14:textId="77777777" w:rsidR="003F0EEA" w:rsidRPr="00CB3E11" w:rsidRDefault="003F0EEA">
            <w:pPr>
              <w:rPr>
                <w:rFonts w:ascii="Arial" w:eastAsia="Arial" w:hAnsi="Arial" w:cs="Arial"/>
                <w:color w:val="000000"/>
                <w:sz w:val="16"/>
              </w:rPr>
            </w:pPr>
          </w:p>
        </w:tc>
      </w:tr>
      <w:tr w:rsidR="00355BFE" w14:paraId="06DAA5A3" w14:textId="77777777" w:rsidTr="00355BFE">
        <w:trPr>
          <w:trHeight w:val="225"/>
        </w:trPr>
        <w:tc>
          <w:tcPr>
            <w:tcW w:w="3510" w:type="dxa"/>
            <w:gridSpan w:val="3"/>
            <w:tcBorders>
              <w:top w:val="nil"/>
              <w:left w:val="nil"/>
              <w:bottom w:val="nil"/>
              <w:right w:val="nil"/>
              <w:tl2br w:val="nil"/>
              <w:tr2bl w:val="nil"/>
            </w:tcBorders>
            <w:shd w:val="clear" w:color="auto" w:fill="FFFFFF"/>
            <w:tcMar>
              <w:left w:w="115" w:type="dxa"/>
              <w:right w:w="115" w:type="dxa"/>
            </w:tcMar>
            <w:vAlign w:val="bottom"/>
          </w:tcPr>
          <w:p w14:paraId="6F55C132" w14:textId="77777777" w:rsidR="003F0EEA" w:rsidRPr="00CB3E11" w:rsidRDefault="00FB7D0B">
            <w:pPr>
              <w:rPr>
                <w:rFonts w:ascii="Arial" w:eastAsia="Arial" w:hAnsi="Arial" w:cs="Arial"/>
                <w:color w:val="000000"/>
                <w:sz w:val="16"/>
              </w:rPr>
            </w:pPr>
            <w:r w:rsidRPr="00CB3E11">
              <w:rPr>
                <w:rFonts w:ascii="Arial" w:eastAsia="Arial" w:hAnsi="Arial" w:cs="Arial"/>
                <w:b/>
                <w:color w:val="000000"/>
                <w:sz w:val="16"/>
              </w:rPr>
              <w:t>Total liabilities</w:t>
            </w:r>
          </w:p>
        </w:tc>
        <w:tc>
          <w:tcPr>
            <w:tcW w:w="990"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47E17D8B" w14:textId="77777777" w:rsidR="003F0EEA" w:rsidRPr="00CB3E11" w:rsidRDefault="00FB7D0B">
            <w:pPr>
              <w:jc w:val="right"/>
              <w:rPr>
                <w:rFonts w:ascii="Arial" w:eastAsia="Arial" w:hAnsi="Arial" w:cs="Arial"/>
                <w:b/>
                <w:color w:val="000000"/>
                <w:sz w:val="16"/>
              </w:rPr>
            </w:pPr>
            <w:r w:rsidRPr="00CB3E11">
              <w:rPr>
                <w:rFonts w:ascii="Arial" w:eastAsia="Arial" w:hAnsi="Arial" w:cs="Arial"/>
                <w:b/>
                <w:color w:val="000000"/>
                <w:sz w:val="16"/>
              </w:rPr>
              <w:t>10,773 </w:t>
            </w:r>
          </w:p>
        </w:tc>
        <w:tc>
          <w:tcPr>
            <w:tcW w:w="990" w:type="dxa"/>
            <w:tcBorders>
              <w:top w:val="nil"/>
              <w:left w:val="nil"/>
              <w:bottom w:val="single" w:sz="6" w:space="0" w:color="000000"/>
              <w:right w:val="nil"/>
              <w:tl2br w:val="nil"/>
              <w:tr2bl w:val="nil"/>
            </w:tcBorders>
            <w:shd w:val="clear" w:color="auto" w:fill="C0C0C0"/>
            <w:tcMar>
              <w:left w:w="115" w:type="dxa"/>
              <w:right w:w="115" w:type="dxa"/>
            </w:tcMar>
            <w:vAlign w:val="bottom"/>
          </w:tcPr>
          <w:p w14:paraId="309A2A5E" w14:textId="77777777" w:rsidR="003F0EEA" w:rsidRPr="00CB3E11" w:rsidRDefault="00FB7D0B">
            <w:pPr>
              <w:jc w:val="right"/>
              <w:rPr>
                <w:rFonts w:ascii="Arial" w:eastAsia="Arial" w:hAnsi="Arial" w:cs="Arial"/>
                <w:b/>
                <w:color w:val="000000"/>
                <w:sz w:val="16"/>
              </w:rPr>
            </w:pPr>
            <w:r w:rsidRPr="00CB3E11">
              <w:rPr>
                <w:rFonts w:ascii="Arial" w:eastAsia="Arial" w:hAnsi="Arial" w:cs="Arial"/>
                <w:b/>
                <w:color w:val="000000"/>
                <w:sz w:val="16"/>
              </w:rPr>
              <w:t>10,770 </w:t>
            </w:r>
          </w:p>
        </w:tc>
        <w:tc>
          <w:tcPr>
            <w:tcW w:w="990"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25582F11" w14:textId="77777777" w:rsidR="003F0EEA" w:rsidRPr="00CB3E11" w:rsidRDefault="00FB7D0B">
            <w:pPr>
              <w:jc w:val="right"/>
              <w:rPr>
                <w:rFonts w:ascii="Arial" w:eastAsia="Arial" w:hAnsi="Arial" w:cs="Arial"/>
                <w:b/>
                <w:color w:val="000000"/>
                <w:sz w:val="16"/>
              </w:rPr>
            </w:pPr>
            <w:r w:rsidRPr="00CB3E11">
              <w:rPr>
                <w:rFonts w:ascii="Arial" w:eastAsia="Arial" w:hAnsi="Arial" w:cs="Arial"/>
                <w:b/>
                <w:color w:val="000000"/>
                <w:sz w:val="16"/>
              </w:rPr>
              <w:t>10,770 </w:t>
            </w:r>
          </w:p>
        </w:tc>
        <w:tc>
          <w:tcPr>
            <w:tcW w:w="990"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43126DA0" w14:textId="77777777" w:rsidR="003F0EEA" w:rsidRPr="00CB3E11" w:rsidRDefault="00FB7D0B">
            <w:pPr>
              <w:jc w:val="right"/>
              <w:rPr>
                <w:rFonts w:ascii="Arial" w:eastAsia="Arial" w:hAnsi="Arial" w:cs="Arial"/>
                <w:b/>
                <w:color w:val="000000"/>
                <w:sz w:val="16"/>
              </w:rPr>
            </w:pPr>
            <w:r w:rsidRPr="00CB3E11">
              <w:rPr>
                <w:rFonts w:ascii="Arial" w:eastAsia="Arial" w:hAnsi="Arial" w:cs="Arial"/>
                <w:b/>
                <w:color w:val="000000"/>
                <w:sz w:val="16"/>
              </w:rPr>
              <w:t>10,770 </w:t>
            </w:r>
          </w:p>
        </w:tc>
        <w:tc>
          <w:tcPr>
            <w:tcW w:w="990"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350473C9" w14:textId="77777777" w:rsidR="003F0EEA" w:rsidRPr="00CB3E11" w:rsidRDefault="00FB7D0B">
            <w:pPr>
              <w:jc w:val="right"/>
              <w:rPr>
                <w:rFonts w:ascii="Arial" w:eastAsia="Arial" w:hAnsi="Arial" w:cs="Arial"/>
                <w:b/>
                <w:color w:val="000000"/>
                <w:sz w:val="16"/>
              </w:rPr>
            </w:pPr>
            <w:r w:rsidRPr="00CB3E11">
              <w:rPr>
                <w:rFonts w:ascii="Arial" w:eastAsia="Arial" w:hAnsi="Arial" w:cs="Arial"/>
                <w:b/>
                <w:color w:val="000000"/>
                <w:sz w:val="16"/>
              </w:rPr>
              <w:t>10,770 </w:t>
            </w:r>
          </w:p>
        </w:tc>
      </w:tr>
      <w:tr w:rsidR="00724034" w14:paraId="01CB14C8" w14:textId="77777777">
        <w:trPr>
          <w:trHeight w:hRule="exact" w:val="60"/>
        </w:trPr>
        <w:tc>
          <w:tcPr>
            <w:tcW w:w="180" w:type="dxa"/>
            <w:tcBorders>
              <w:top w:val="nil"/>
              <w:left w:val="nil"/>
              <w:bottom w:val="nil"/>
              <w:right w:val="nil"/>
              <w:tl2br w:val="nil"/>
              <w:tr2bl w:val="nil"/>
            </w:tcBorders>
            <w:shd w:val="clear" w:color="auto" w:fill="FFFFFF"/>
            <w:tcMar>
              <w:left w:w="115" w:type="dxa"/>
              <w:right w:w="115" w:type="dxa"/>
            </w:tcMar>
            <w:vAlign w:val="bottom"/>
          </w:tcPr>
          <w:p w14:paraId="0D1119DC" w14:textId="77777777" w:rsidR="003F0EEA" w:rsidRPr="00CB3E11" w:rsidRDefault="003F0EEA">
            <w:pPr>
              <w:rPr>
                <w:rFonts w:ascii="Arial" w:eastAsia="Arial" w:hAnsi="Arial" w:cs="Arial"/>
                <w:b/>
                <w:color w:val="000000"/>
                <w:sz w:val="16"/>
              </w:rPr>
            </w:pPr>
          </w:p>
        </w:tc>
        <w:tc>
          <w:tcPr>
            <w:tcW w:w="180" w:type="dxa"/>
            <w:tcBorders>
              <w:top w:val="nil"/>
              <w:left w:val="nil"/>
              <w:bottom w:val="nil"/>
              <w:right w:val="nil"/>
              <w:tl2br w:val="nil"/>
              <w:tr2bl w:val="nil"/>
            </w:tcBorders>
            <w:shd w:val="clear" w:color="auto" w:fill="FFFFFF"/>
            <w:tcMar>
              <w:left w:w="115" w:type="dxa"/>
              <w:right w:w="115" w:type="dxa"/>
            </w:tcMar>
            <w:vAlign w:val="bottom"/>
          </w:tcPr>
          <w:p w14:paraId="6419D6E0" w14:textId="77777777" w:rsidR="003F0EEA" w:rsidRPr="00CB3E11" w:rsidRDefault="003F0EEA">
            <w:pPr>
              <w:rPr>
                <w:rFonts w:ascii="Arial" w:eastAsia="Arial" w:hAnsi="Arial" w:cs="Arial"/>
                <w:b/>
                <w:color w:val="000000"/>
                <w:sz w:val="16"/>
              </w:rPr>
            </w:pPr>
          </w:p>
        </w:tc>
        <w:tc>
          <w:tcPr>
            <w:tcW w:w="3150" w:type="dxa"/>
            <w:tcBorders>
              <w:top w:val="nil"/>
              <w:left w:val="nil"/>
              <w:bottom w:val="nil"/>
              <w:right w:val="nil"/>
              <w:tl2br w:val="nil"/>
              <w:tr2bl w:val="nil"/>
            </w:tcBorders>
            <w:shd w:val="clear" w:color="auto" w:fill="FFFFFF"/>
            <w:tcMar>
              <w:left w:w="115" w:type="dxa"/>
              <w:right w:w="115" w:type="dxa"/>
            </w:tcMar>
            <w:vAlign w:val="bottom"/>
          </w:tcPr>
          <w:p w14:paraId="4E5533EE" w14:textId="77777777" w:rsidR="003F0EEA" w:rsidRPr="00CB3E11" w:rsidRDefault="003F0EEA">
            <w:pPr>
              <w:rPr>
                <w:rFonts w:ascii="Arial" w:eastAsia="Arial" w:hAnsi="Arial" w:cs="Arial"/>
                <w:b/>
                <w:color w:val="000000"/>
                <w:sz w:val="16"/>
              </w:rPr>
            </w:pPr>
          </w:p>
        </w:tc>
        <w:tc>
          <w:tcPr>
            <w:tcW w:w="990"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35B60229" w14:textId="77777777" w:rsidR="003F0EEA" w:rsidRPr="00CB3E11" w:rsidRDefault="003F0EEA">
            <w:pPr>
              <w:rPr>
                <w:rFonts w:ascii="Arial" w:eastAsia="Arial" w:hAnsi="Arial" w:cs="Arial"/>
                <w:b/>
                <w:color w:val="000000"/>
                <w:sz w:val="16"/>
              </w:rPr>
            </w:pPr>
          </w:p>
        </w:tc>
        <w:tc>
          <w:tcPr>
            <w:tcW w:w="990" w:type="dxa"/>
            <w:tcBorders>
              <w:top w:val="single" w:sz="6" w:space="0" w:color="000000"/>
              <w:left w:val="nil"/>
              <w:bottom w:val="nil"/>
              <w:right w:val="nil"/>
              <w:tl2br w:val="nil"/>
              <w:tr2bl w:val="nil"/>
            </w:tcBorders>
            <w:shd w:val="clear" w:color="auto" w:fill="C0C0C0"/>
            <w:tcMar>
              <w:left w:w="115" w:type="dxa"/>
              <w:right w:w="115" w:type="dxa"/>
            </w:tcMar>
            <w:vAlign w:val="bottom"/>
          </w:tcPr>
          <w:p w14:paraId="227DAA6D" w14:textId="77777777" w:rsidR="003F0EEA" w:rsidRPr="00CB3E11" w:rsidRDefault="003F0EEA">
            <w:pPr>
              <w:rPr>
                <w:rFonts w:ascii="Arial" w:eastAsia="Arial" w:hAnsi="Arial" w:cs="Arial"/>
                <w:color w:val="000000"/>
                <w:sz w:val="16"/>
              </w:rPr>
            </w:pPr>
          </w:p>
        </w:tc>
        <w:tc>
          <w:tcPr>
            <w:tcW w:w="990"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49FFCEAB" w14:textId="77777777" w:rsidR="003F0EEA" w:rsidRPr="00CB3E11" w:rsidRDefault="003F0EEA">
            <w:pPr>
              <w:rPr>
                <w:rFonts w:ascii="Arial" w:eastAsia="Arial" w:hAnsi="Arial" w:cs="Arial"/>
                <w:color w:val="000000"/>
                <w:sz w:val="16"/>
              </w:rPr>
            </w:pPr>
          </w:p>
        </w:tc>
        <w:tc>
          <w:tcPr>
            <w:tcW w:w="990"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75A8635D" w14:textId="77777777" w:rsidR="003F0EEA" w:rsidRPr="00CB3E11" w:rsidRDefault="003F0EEA">
            <w:pPr>
              <w:rPr>
                <w:rFonts w:ascii="Arial" w:eastAsia="Arial" w:hAnsi="Arial" w:cs="Arial"/>
                <w:color w:val="000000"/>
                <w:sz w:val="16"/>
              </w:rPr>
            </w:pPr>
          </w:p>
        </w:tc>
        <w:tc>
          <w:tcPr>
            <w:tcW w:w="990"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57F8E08B" w14:textId="77777777" w:rsidR="003F0EEA" w:rsidRPr="00CB3E11" w:rsidRDefault="003F0EEA">
            <w:pPr>
              <w:rPr>
                <w:rFonts w:ascii="Arial" w:eastAsia="Arial" w:hAnsi="Arial" w:cs="Arial"/>
                <w:color w:val="000000"/>
                <w:sz w:val="16"/>
              </w:rPr>
            </w:pPr>
          </w:p>
        </w:tc>
      </w:tr>
      <w:tr w:rsidR="00355BFE" w14:paraId="442B4221" w14:textId="77777777" w:rsidTr="00355BFE">
        <w:trPr>
          <w:trHeight w:val="225"/>
        </w:trPr>
        <w:tc>
          <w:tcPr>
            <w:tcW w:w="3510" w:type="dxa"/>
            <w:gridSpan w:val="3"/>
            <w:tcBorders>
              <w:top w:val="nil"/>
              <w:left w:val="nil"/>
              <w:bottom w:val="none" w:sz="2" w:space="0" w:color="000000"/>
              <w:right w:val="nil"/>
              <w:tl2br w:val="nil"/>
              <w:tr2bl w:val="nil"/>
            </w:tcBorders>
            <w:shd w:val="clear" w:color="auto" w:fill="FFFFFF"/>
            <w:tcMar>
              <w:left w:w="115" w:type="dxa"/>
              <w:right w:w="115" w:type="dxa"/>
            </w:tcMar>
            <w:vAlign w:val="bottom"/>
          </w:tcPr>
          <w:p w14:paraId="66E8FFCA" w14:textId="77777777" w:rsidR="003F0EEA" w:rsidRPr="00CB3E11" w:rsidRDefault="00FB7D0B">
            <w:pPr>
              <w:rPr>
                <w:rFonts w:ascii="Arial" w:eastAsia="Arial" w:hAnsi="Arial" w:cs="Arial"/>
                <w:color w:val="000000"/>
                <w:sz w:val="16"/>
              </w:rPr>
            </w:pPr>
            <w:r w:rsidRPr="00CB3E11">
              <w:rPr>
                <w:rFonts w:ascii="Arial" w:eastAsia="Arial" w:hAnsi="Arial" w:cs="Arial"/>
                <w:b/>
                <w:color w:val="000000"/>
                <w:sz w:val="16"/>
              </w:rPr>
              <w:t>Net assets</w:t>
            </w:r>
          </w:p>
        </w:tc>
        <w:tc>
          <w:tcPr>
            <w:tcW w:w="990"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13A9DF00" w14:textId="77777777" w:rsidR="003F0EEA" w:rsidRPr="00CB3E11" w:rsidRDefault="00FB7D0B">
            <w:pPr>
              <w:jc w:val="right"/>
              <w:rPr>
                <w:rFonts w:ascii="Arial" w:eastAsia="Arial" w:hAnsi="Arial" w:cs="Arial"/>
                <w:b/>
                <w:color w:val="000000"/>
                <w:sz w:val="16"/>
              </w:rPr>
            </w:pPr>
            <w:r w:rsidRPr="00CB3E11">
              <w:rPr>
                <w:rFonts w:ascii="Arial" w:eastAsia="Arial" w:hAnsi="Arial" w:cs="Arial"/>
                <w:b/>
                <w:color w:val="000000"/>
                <w:sz w:val="16"/>
              </w:rPr>
              <w:t>1,262,674 </w:t>
            </w:r>
          </w:p>
        </w:tc>
        <w:tc>
          <w:tcPr>
            <w:tcW w:w="990" w:type="dxa"/>
            <w:tcBorders>
              <w:top w:val="nil"/>
              <w:left w:val="nil"/>
              <w:bottom w:val="single" w:sz="6" w:space="0" w:color="000000"/>
              <w:right w:val="nil"/>
              <w:tl2br w:val="nil"/>
              <w:tr2bl w:val="nil"/>
            </w:tcBorders>
            <w:shd w:val="clear" w:color="auto" w:fill="C0C0C0"/>
            <w:tcMar>
              <w:left w:w="115" w:type="dxa"/>
              <w:right w:w="115" w:type="dxa"/>
            </w:tcMar>
            <w:vAlign w:val="bottom"/>
          </w:tcPr>
          <w:p w14:paraId="76DCBBB8" w14:textId="77777777" w:rsidR="003F0EEA" w:rsidRPr="00CB3E11" w:rsidRDefault="00FB7D0B">
            <w:pPr>
              <w:jc w:val="right"/>
              <w:rPr>
                <w:rFonts w:ascii="Arial" w:eastAsia="Arial" w:hAnsi="Arial" w:cs="Arial"/>
                <w:b/>
                <w:color w:val="000000"/>
                <w:sz w:val="16"/>
              </w:rPr>
            </w:pPr>
            <w:r w:rsidRPr="00CB3E11">
              <w:rPr>
                <w:rFonts w:ascii="Arial" w:eastAsia="Arial" w:hAnsi="Arial" w:cs="Arial"/>
                <w:b/>
                <w:color w:val="000000"/>
                <w:sz w:val="16"/>
              </w:rPr>
              <w:t>1,264,993 </w:t>
            </w:r>
          </w:p>
        </w:tc>
        <w:tc>
          <w:tcPr>
            <w:tcW w:w="990"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0D1A6EF1" w14:textId="77777777" w:rsidR="003F0EEA" w:rsidRPr="00CB3E11" w:rsidRDefault="00FB7D0B">
            <w:pPr>
              <w:jc w:val="right"/>
              <w:rPr>
                <w:rFonts w:ascii="Arial" w:eastAsia="Arial" w:hAnsi="Arial" w:cs="Arial"/>
                <w:b/>
                <w:color w:val="000000"/>
                <w:sz w:val="16"/>
              </w:rPr>
            </w:pPr>
            <w:r w:rsidRPr="00CB3E11">
              <w:rPr>
                <w:rFonts w:ascii="Arial" w:eastAsia="Arial" w:hAnsi="Arial" w:cs="Arial"/>
                <w:b/>
                <w:color w:val="000000"/>
                <w:sz w:val="16"/>
              </w:rPr>
              <w:t>1,262,000 </w:t>
            </w:r>
          </w:p>
        </w:tc>
        <w:tc>
          <w:tcPr>
            <w:tcW w:w="990"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4A1ED902" w14:textId="77777777" w:rsidR="003F0EEA" w:rsidRPr="00CB3E11" w:rsidRDefault="00FB7D0B">
            <w:pPr>
              <w:jc w:val="right"/>
              <w:rPr>
                <w:rFonts w:ascii="Arial" w:eastAsia="Arial" w:hAnsi="Arial" w:cs="Arial"/>
                <w:b/>
                <w:color w:val="000000"/>
                <w:sz w:val="16"/>
              </w:rPr>
            </w:pPr>
            <w:r w:rsidRPr="00CB3E11">
              <w:rPr>
                <w:rFonts w:ascii="Arial" w:eastAsia="Arial" w:hAnsi="Arial" w:cs="Arial"/>
                <w:b/>
                <w:color w:val="000000"/>
                <w:sz w:val="16"/>
              </w:rPr>
              <w:t>1,259,503 </w:t>
            </w:r>
          </w:p>
        </w:tc>
        <w:tc>
          <w:tcPr>
            <w:tcW w:w="990"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1C780A2E" w14:textId="77777777" w:rsidR="003F0EEA" w:rsidRPr="00CB3E11" w:rsidRDefault="00FB7D0B">
            <w:pPr>
              <w:jc w:val="right"/>
              <w:rPr>
                <w:rFonts w:ascii="Arial" w:eastAsia="Arial" w:hAnsi="Arial" w:cs="Arial"/>
                <w:b/>
                <w:color w:val="000000"/>
                <w:sz w:val="16"/>
              </w:rPr>
            </w:pPr>
            <w:r w:rsidRPr="00CB3E11">
              <w:rPr>
                <w:rFonts w:ascii="Arial" w:eastAsia="Arial" w:hAnsi="Arial" w:cs="Arial"/>
                <w:b/>
                <w:color w:val="000000"/>
                <w:sz w:val="16"/>
              </w:rPr>
              <w:t>1,257,947 </w:t>
            </w:r>
          </w:p>
        </w:tc>
      </w:tr>
    </w:tbl>
    <w:p w14:paraId="4A94C767" w14:textId="77777777" w:rsidR="003F0EEA" w:rsidRDefault="00FB7D0B" w:rsidP="003F0EEA">
      <w:pPr>
        <w:pStyle w:val="Source17"/>
      </w:pPr>
      <w:r>
        <w:rPr>
          <w:rFonts w:cs="Arial"/>
        </w:rPr>
        <w:t>Prepared on Australian Accounting Standards basis</w:t>
      </w:r>
    </w:p>
    <w:p w14:paraId="48B284F9" w14:textId="77777777" w:rsidR="003F0EEA" w:rsidRDefault="00FB7D0B" w:rsidP="003F0EEA">
      <w:pPr>
        <w:pStyle w:val="TableHeading29"/>
        <w:ind w:left="5103"/>
        <w:jc w:val="right"/>
        <w:rPr>
          <w:b w:val="0"/>
          <w:sz w:val="16"/>
          <w:szCs w:val="16"/>
        </w:rPr>
      </w:pPr>
      <w:r>
        <w:rPr>
          <w:b w:val="0"/>
          <w:sz w:val="16"/>
          <w:szCs w:val="16"/>
        </w:rPr>
        <w:t>Table continued on next page</w:t>
      </w:r>
    </w:p>
    <w:p w14:paraId="03A41409" w14:textId="77777777" w:rsidR="003F0EEA" w:rsidRDefault="00FB7D0B">
      <w:pPr>
        <w:spacing w:line="14" w:lineRule="exact"/>
        <w:rPr>
          <w:rFonts w:eastAsia="Times New Roman"/>
          <w:sz w:val="16"/>
          <w:szCs w:val="16"/>
        </w:rPr>
      </w:pPr>
      <w:r>
        <w:rPr>
          <w:rFonts w:eastAsia="Times New Roman"/>
          <w:sz w:val="16"/>
          <w:szCs w:val="16"/>
        </w:rPr>
        <w:br w:type="page"/>
      </w:r>
    </w:p>
    <w:p w14:paraId="48A14D00" w14:textId="77777777" w:rsidR="003F0EEA" w:rsidRPr="003D26DE" w:rsidRDefault="00FB7D0B" w:rsidP="003F0EEA">
      <w:pPr>
        <w:pStyle w:val="NoSpacing4"/>
        <w:jc w:val="left"/>
        <w:rPr>
          <w:rFonts w:ascii="Arial" w:hAnsi="Arial" w:cs="Arial"/>
          <w:b/>
        </w:rPr>
      </w:pPr>
      <w:r>
        <w:rPr>
          <w:rFonts w:ascii="Arial" w:hAnsi="Arial" w:cs="Arial"/>
          <w:b/>
        </w:rPr>
        <w:t>Table 3.2.2: Budgeted Departmental Balance S</w:t>
      </w:r>
      <w:r w:rsidRPr="003D26DE">
        <w:rPr>
          <w:rFonts w:ascii="Arial" w:hAnsi="Arial" w:cs="Arial"/>
          <w:b/>
        </w:rPr>
        <w:t>heet</w:t>
      </w:r>
      <w:r w:rsidRPr="003D26DE">
        <w:rPr>
          <w:rFonts w:ascii="Arial" w:hAnsi="Arial" w:cs="Arial"/>
          <w:b/>
        </w:rPr>
        <w:br/>
      </w:r>
      <w:r>
        <w:rPr>
          <w:rFonts w:ascii="Arial" w:hAnsi="Arial" w:cs="Arial"/>
          <w:b/>
        </w:rPr>
        <w:t>(</w:t>
      </w:r>
      <w:r w:rsidRPr="003D26DE">
        <w:rPr>
          <w:rFonts w:ascii="Arial" w:hAnsi="Arial" w:cs="Arial"/>
          <w:b/>
        </w:rPr>
        <w:t>as at 30 June</w:t>
      </w:r>
      <w:r>
        <w:rPr>
          <w:rFonts w:ascii="Arial" w:hAnsi="Arial" w:cs="Arial"/>
          <w:b/>
        </w:rPr>
        <w:t>)</w:t>
      </w:r>
      <w:r w:rsidRPr="003D26DE">
        <w:rPr>
          <w:rFonts w:ascii="Arial" w:hAnsi="Arial" w:cs="Arial"/>
          <w:b/>
        </w:rPr>
        <w:t xml:space="preserve"> (continued)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0"/>
        <w:gridCol w:w="250"/>
        <w:gridCol w:w="3150"/>
        <w:gridCol w:w="990"/>
        <w:gridCol w:w="990"/>
        <w:gridCol w:w="990"/>
        <w:gridCol w:w="990"/>
        <w:gridCol w:w="990"/>
      </w:tblGrid>
      <w:tr w:rsidR="00724034" w14:paraId="7572DA44" w14:textId="77777777">
        <w:trPr>
          <w:trHeight w:val="225"/>
        </w:trPr>
        <w:tc>
          <w:tcPr>
            <w:tcW w:w="180" w:type="dxa"/>
            <w:tcBorders>
              <w:top w:val="none" w:sz="2" w:space="0" w:color="000000"/>
              <w:left w:val="nil"/>
              <w:bottom w:val="nil"/>
              <w:right w:val="nil"/>
              <w:tl2br w:val="nil"/>
              <w:tr2bl w:val="nil"/>
            </w:tcBorders>
            <w:shd w:val="clear" w:color="auto" w:fill="FFFFFF"/>
            <w:tcMar>
              <w:left w:w="115" w:type="dxa"/>
              <w:right w:w="115" w:type="dxa"/>
            </w:tcMar>
            <w:vAlign w:val="bottom"/>
          </w:tcPr>
          <w:p w14:paraId="6F13C786" w14:textId="77777777" w:rsidR="003F0EEA" w:rsidRPr="003D26DE" w:rsidRDefault="003F0EEA">
            <w:pPr>
              <w:rPr>
                <w:rFonts w:ascii="Arial" w:eastAsia="Times New Roman" w:hAnsi="Arial" w:cs="Arial"/>
                <w:b/>
              </w:rPr>
            </w:pPr>
          </w:p>
        </w:tc>
        <w:tc>
          <w:tcPr>
            <w:tcW w:w="180" w:type="dxa"/>
            <w:tcBorders>
              <w:top w:val="none" w:sz="2" w:space="0" w:color="000000"/>
              <w:left w:val="nil"/>
              <w:bottom w:val="nil"/>
              <w:right w:val="nil"/>
              <w:tl2br w:val="nil"/>
              <w:tr2bl w:val="nil"/>
            </w:tcBorders>
            <w:shd w:val="clear" w:color="auto" w:fill="FFFFFF"/>
            <w:tcMar>
              <w:left w:w="115" w:type="dxa"/>
              <w:right w:w="115" w:type="dxa"/>
            </w:tcMar>
            <w:vAlign w:val="bottom"/>
          </w:tcPr>
          <w:p w14:paraId="64DA474E" w14:textId="77777777" w:rsidR="003F0EEA" w:rsidRPr="003D26DE" w:rsidRDefault="003F0EEA">
            <w:pPr>
              <w:rPr>
                <w:rFonts w:ascii="Arial" w:eastAsia="Arial" w:hAnsi="Arial" w:cs="Arial"/>
                <w:color w:val="000000"/>
                <w:sz w:val="16"/>
              </w:rPr>
            </w:pPr>
          </w:p>
        </w:tc>
        <w:tc>
          <w:tcPr>
            <w:tcW w:w="3150"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24EE5D45" w14:textId="77777777" w:rsidR="003F0EEA" w:rsidRPr="003D26DE" w:rsidRDefault="003F0EEA">
            <w:pPr>
              <w:rPr>
                <w:rFonts w:ascii="Arial" w:eastAsia="Arial" w:hAnsi="Arial" w:cs="Arial"/>
                <w:color w:val="000000"/>
                <w:sz w:val="16"/>
              </w:rPr>
            </w:pPr>
          </w:p>
        </w:tc>
        <w:tc>
          <w:tcPr>
            <w:tcW w:w="990"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677CE30D" w14:textId="77777777" w:rsidR="003F0EEA" w:rsidRPr="003D26DE" w:rsidRDefault="00FB7D0B">
            <w:pPr>
              <w:jc w:val="right"/>
              <w:rPr>
                <w:rFonts w:ascii="Arial" w:eastAsia="Arial" w:hAnsi="Arial" w:cs="Arial"/>
                <w:color w:val="000000"/>
                <w:sz w:val="16"/>
              </w:rPr>
            </w:pPr>
            <w:r w:rsidRPr="003D26DE">
              <w:rPr>
                <w:rFonts w:ascii="Arial" w:eastAsia="Arial" w:hAnsi="Arial" w:cs="Arial"/>
                <w:color w:val="000000"/>
                <w:sz w:val="16"/>
              </w:rPr>
              <w:t>Estimated</w:t>
            </w:r>
          </w:p>
        </w:tc>
        <w:tc>
          <w:tcPr>
            <w:tcW w:w="990" w:type="dxa"/>
            <w:tcBorders>
              <w:top w:val="single" w:sz="6" w:space="0" w:color="000000"/>
              <w:left w:val="nil"/>
              <w:bottom w:val="nil"/>
              <w:right w:val="nil"/>
              <w:tl2br w:val="nil"/>
              <w:tr2bl w:val="nil"/>
            </w:tcBorders>
            <w:shd w:val="clear" w:color="auto" w:fill="C0C0C0"/>
            <w:tcMar>
              <w:left w:w="115" w:type="dxa"/>
              <w:right w:w="115" w:type="dxa"/>
            </w:tcMar>
            <w:vAlign w:val="bottom"/>
          </w:tcPr>
          <w:p w14:paraId="3D1F5266" w14:textId="77777777" w:rsidR="003F0EEA" w:rsidRPr="003D26DE" w:rsidRDefault="00FB7D0B">
            <w:pPr>
              <w:jc w:val="right"/>
              <w:rPr>
                <w:rFonts w:ascii="Arial" w:eastAsia="Arial" w:hAnsi="Arial" w:cs="Arial"/>
                <w:color w:val="000000"/>
                <w:sz w:val="16"/>
              </w:rPr>
            </w:pPr>
            <w:r w:rsidRPr="003D26DE">
              <w:rPr>
                <w:rFonts w:ascii="Arial" w:eastAsia="Arial" w:hAnsi="Arial" w:cs="Arial"/>
                <w:color w:val="000000"/>
                <w:sz w:val="16"/>
              </w:rPr>
              <w:t>Budget</w:t>
            </w:r>
          </w:p>
        </w:tc>
        <w:tc>
          <w:tcPr>
            <w:tcW w:w="990"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75A8E360" w14:textId="77777777" w:rsidR="003F0EEA" w:rsidRPr="003D26DE" w:rsidRDefault="00FB7D0B">
            <w:pPr>
              <w:jc w:val="right"/>
              <w:rPr>
                <w:rFonts w:ascii="Arial" w:eastAsia="Arial" w:hAnsi="Arial" w:cs="Arial"/>
                <w:color w:val="000000"/>
                <w:sz w:val="16"/>
              </w:rPr>
            </w:pPr>
            <w:r w:rsidRPr="003D26DE">
              <w:rPr>
                <w:rFonts w:ascii="Arial" w:eastAsia="Arial" w:hAnsi="Arial" w:cs="Arial"/>
                <w:color w:val="000000"/>
                <w:sz w:val="16"/>
              </w:rPr>
              <w:t>Forward</w:t>
            </w:r>
          </w:p>
        </w:tc>
        <w:tc>
          <w:tcPr>
            <w:tcW w:w="990"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6B27CF49" w14:textId="77777777" w:rsidR="003F0EEA" w:rsidRPr="003D26DE" w:rsidRDefault="00FB7D0B">
            <w:pPr>
              <w:jc w:val="right"/>
              <w:rPr>
                <w:rFonts w:ascii="Arial" w:eastAsia="Arial" w:hAnsi="Arial" w:cs="Arial"/>
                <w:color w:val="000000"/>
                <w:sz w:val="16"/>
              </w:rPr>
            </w:pPr>
            <w:r w:rsidRPr="003D26DE">
              <w:rPr>
                <w:rFonts w:ascii="Arial" w:eastAsia="Arial" w:hAnsi="Arial" w:cs="Arial"/>
                <w:color w:val="000000"/>
                <w:sz w:val="16"/>
              </w:rPr>
              <w:t>Forward</w:t>
            </w:r>
          </w:p>
        </w:tc>
        <w:tc>
          <w:tcPr>
            <w:tcW w:w="990"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714815A2" w14:textId="77777777" w:rsidR="003F0EEA" w:rsidRPr="003D26DE" w:rsidRDefault="00FB7D0B">
            <w:pPr>
              <w:jc w:val="right"/>
              <w:rPr>
                <w:rFonts w:ascii="Arial" w:eastAsia="Arial" w:hAnsi="Arial" w:cs="Arial"/>
                <w:color w:val="000000"/>
                <w:sz w:val="16"/>
              </w:rPr>
            </w:pPr>
            <w:r w:rsidRPr="003D26DE">
              <w:rPr>
                <w:rFonts w:ascii="Arial" w:eastAsia="Arial" w:hAnsi="Arial" w:cs="Arial"/>
                <w:color w:val="000000"/>
                <w:sz w:val="16"/>
              </w:rPr>
              <w:t>Forward</w:t>
            </w:r>
          </w:p>
        </w:tc>
      </w:tr>
      <w:tr w:rsidR="00724034" w14:paraId="7F8D8EC1" w14:textId="77777777">
        <w:trPr>
          <w:trHeight w:val="225"/>
        </w:trPr>
        <w:tc>
          <w:tcPr>
            <w:tcW w:w="180" w:type="dxa"/>
            <w:tcBorders>
              <w:top w:val="nil"/>
              <w:left w:val="nil"/>
              <w:bottom w:val="nil"/>
              <w:right w:val="nil"/>
              <w:tl2br w:val="nil"/>
              <w:tr2bl w:val="nil"/>
            </w:tcBorders>
            <w:shd w:val="clear" w:color="auto" w:fill="FFFFFF"/>
            <w:tcMar>
              <w:left w:w="115" w:type="dxa"/>
              <w:right w:w="115" w:type="dxa"/>
            </w:tcMar>
            <w:vAlign w:val="bottom"/>
          </w:tcPr>
          <w:p w14:paraId="522C4AA1" w14:textId="77777777" w:rsidR="003F0EEA" w:rsidRPr="003D26DE" w:rsidRDefault="003F0EEA">
            <w:pPr>
              <w:rPr>
                <w:rFonts w:ascii="Arial" w:eastAsia="Arial" w:hAnsi="Arial" w:cs="Arial"/>
                <w:color w:val="000000"/>
                <w:sz w:val="16"/>
              </w:rPr>
            </w:pPr>
          </w:p>
        </w:tc>
        <w:tc>
          <w:tcPr>
            <w:tcW w:w="180" w:type="dxa"/>
            <w:tcBorders>
              <w:top w:val="nil"/>
              <w:left w:val="nil"/>
              <w:bottom w:val="nil"/>
              <w:right w:val="nil"/>
              <w:tl2br w:val="nil"/>
              <w:tr2bl w:val="nil"/>
            </w:tcBorders>
            <w:shd w:val="clear" w:color="auto" w:fill="FFFFFF"/>
            <w:tcMar>
              <w:left w:w="115" w:type="dxa"/>
              <w:right w:w="115" w:type="dxa"/>
            </w:tcMar>
            <w:vAlign w:val="bottom"/>
          </w:tcPr>
          <w:p w14:paraId="0837D9EF" w14:textId="77777777" w:rsidR="003F0EEA" w:rsidRPr="003D26DE" w:rsidRDefault="003F0EEA">
            <w:pPr>
              <w:rPr>
                <w:rFonts w:ascii="Arial" w:eastAsia="Arial" w:hAnsi="Arial" w:cs="Arial"/>
                <w:color w:val="000000"/>
                <w:sz w:val="16"/>
              </w:rPr>
            </w:pPr>
          </w:p>
        </w:tc>
        <w:tc>
          <w:tcPr>
            <w:tcW w:w="3150" w:type="dxa"/>
            <w:tcBorders>
              <w:top w:val="nil"/>
              <w:left w:val="nil"/>
              <w:bottom w:val="nil"/>
              <w:right w:val="nil"/>
              <w:tl2br w:val="nil"/>
              <w:tr2bl w:val="nil"/>
            </w:tcBorders>
            <w:shd w:val="clear" w:color="auto" w:fill="FFFFFF"/>
            <w:tcMar>
              <w:left w:w="115" w:type="dxa"/>
              <w:right w:w="115" w:type="dxa"/>
            </w:tcMar>
            <w:vAlign w:val="bottom"/>
          </w:tcPr>
          <w:p w14:paraId="61B05853" w14:textId="77777777" w:rsidR="003F0EEA" w:rsidRPr="003D26DE" w:rsidRDefault="003F0EEA">
            <w:pPr>
              <w:rPr>
                <w:rFonts w:ascii="Arial" w:eastAsia="Arial" w:hAnsi="Arial" w:cs="Arial"/>
                <w:color w:val="000000"/>
                <w:sz w:val="16"/>
              </w:rPr>
            </w:pPr>
          </w:p>
        </w:tc>
        <w:tc>
          <w:tcPr>
            <w:tcW w:w="990" w:type="dxa"/>
            <w:tcBorders>
              <w:top w:val="nil"/>
              <w:left w:val="nil"/>
              <w:bottom w:val="nil"/>
              <w:right w:val="nil"/>
              <w:tl2br w:val="nil"/>
              <w:tr2bl w:val="nil"/>
            </w:tcBorders>
            <w:shd w:val="clear" w:color="auto" w:fill="FFFFFF"/>
            <w:tcMar>
              <w:left w:w="115" w:type="dxa"/>
              <w:right w:w="115" w:type="dxa"/>
            </w:tcMar>
            <w:vAlign w:val="bottom"/>
          </w:tcPr>
          <w:p w14:paraId="45395253" w14:textId="77777777" w:rsidR="003F0EEA" w:rsidRPr="003D26DE" w:rsidRDefault="00FB7D0B">
            <w:pPr>
              <w:jc w:val="right"/>
              <w:rPr>
                <w:rFonts w:ascii="Arial" w:eastAsia="Arial" w:hAnsi="Arial" w:cs="Arial"/>
                <w:color w:val="000000"/>
                <w:sz w:val="16"/>
              </w:rPr>
            </w:pPr>
            <w:r w:rsidRPr="003D26DE">
              <w:rPr>
                <w:rFonts w:ascii="Arial" w:eastAsia="Arial" w:hAnsi="Arial" w:cs="Arial"/>
                <w:color w:val="000000"/>
                <w:sz w:val="16"/>
              </w:rPr>
              <w:t>actual</w:t>
            </w:r>
          </w:p>
        </w:tc>
        <w:tc>
          <w:tcPr>
            <w:tcW w:w="990" w:type="dxa"/>
            <w:tcBorders>
              <w:top w:val="nil"/>
              <w:left w:val="nil"/>
              <w:bottom w:val="nil"/>
              <w:right w:val="nil"/>
              <w:tl2br w:val="nil"/>
              <w:tr2bl w:val="nil"/>
            </w:tcBorders>
            <w:shd w:val="clear" w:color="auto" w:fill="C0C0C0"/>
            <w:tcMar>
              <w:left w:w="115" w:type="dxa"/>
              <w:right w:w="115" w:type="dxa"/>
            </w:tcMar>
            <w:vAlign w:val="bottom"/>
          </w:tcPr>
          <w:p w14:paraId="431822C1" w14:textId="77777777" w:rsidR="003F0EEA" w:rsidRPr="003D26DE" w:rsidRDefault="00FB7D0B">
            <w:pPr>
              <w:jc w:val="right"/>
              <w:rPr>
                <w:rFonts w:ascii="Arial" w:eastAsia="Arial" w:hAnsi="Arial" w:cs="Arial"/>
                <w:color w:val="000000"/>
                <w:sz w:val="16"/>
              </w:rPr>
            </w:pPr>
            <w:r w:rsidRPr="003D26DE">
              <w:rPr>
                <w:rFonts w:ascii="Arial" w:eastAsia="Arial" w:hAnsi="Arial" w:cs="Arial"/>
                <w:color w:val="000000"/>
                <w:sz w:val="16"/>
              </w:rPr>
              <w:t>estimate</w:t>
            </w:r>
          </w:p>
        </w:tc>
        <w:tc>
          <w:tcPr>
            <w:tcW w:w="990" w:type="dxa"/>
            <w:tcBorders>
              <w:top w:val="nil"/>
              <w:left w:val="nil"/>
              <w:bottom w:val="nil"/>
              <w:right w:val="nil"/>
              <w:tl2br w:val="nil"/>
              <w:tr2bl w:val="nil"/>
            </w:tcBorders>
            <w:shd w:val="clear" w:color="auto" w:fill="FFFFFF"/>
            <w:tcMar>
              <w:left w:w="115" w:type="dxa"/>
              <w:right w:w="115" w:type="dxa"/>
            </w:tcMar>
            <w:vAlign w:val="bottom"/>
          </w:tcPr>
          <w:p w14:paraId="0FFA0F79" w14:textId="77777777" w:rsidR="003F0EEA" w:rsidRPr="003D26DE" w:rsidRDefault="00FB7D0B">
            <w:pPr>
              <w:jc w:val="right"/>
              <w:rPr>
                <w:rFonts w:ascii="Arial" w:eastAsia="Arial" w:hAnsi="Arial" w:cs="Arial"/>
                <w:color w:val="000000"/>
                <w:sz w:val="16"/>
              </w:rPr>
            </w:pPr>
            <w:r w:rsidRPr="003D26DE">
              <w:rPr>
                <w:rFonts w:ascii="Arial" w:eastAsia="Arial" w:hAnsi="Arial" w:cs="Arial"/>
                <w:color w:val="000000"/>
                <w:sz w:val="16"/>
              </w:rPr>
              <w:t>estimate</w:t>
            </w:r>
          </w:p>
        </w:tc>
        <w:tc>
          <w:tcPr>
            <w:tcW w:w="990" w:type="dxa"/>
            <w:tcBorders>
              <w:top w:val="nil"/>
              <w:left w:val="nil"/>
              <w:bottom w:val="nil"/>
              <w:right w:val="nil"/>
              <w:tl2br w:val="nil"/>
              <w:tr2bl w:val="nil"/>
            </w:tcBorders>
            <w:shd w:val="clear" w:color="auto" w:fill="FFFFFF"/>
            <w:tcMar>
              <w:left w:w="115" w:type="dxa"/>
              <w:right w:w="115" w:type="dxa"/>
            </w:tcMar>
            <w:vAlign w:val="bottom"/>
          </w:tcPr>
          <w:p w14:paraId="073041C5" w14:textId="77777777" w:rsidR="003F0EEA" w:rsidRPr="003D26DE" w:rsidRDefault="00FB7D0B">
            <w:pPr>
              <w:jc w:val="right"/>
              <w:rPr>
                <w:rFonts w:ascii="Arial" w:eastAsia="Arial" w:hAnsi="Arial" w:cs="Arial"/>
                <w:color w:val="000000"/>
                <w:sz w:val="16"/>
              </w:rPr>
            </w:pPr>
            <w:r w:rsidRPr="003D26DE">
              <w:rPr>
                <w:rFonts w:ascii="Arial" w:eastAsia="Arial" w:hAnsi="Arial" w:cs="Arial"/>
                <w:color w:val="000000"/>
                <w:sz w:val="16"/>
              </w:rPr>
              <w:t>estimate</w:t>
            </w:r>
          </w:p>
        </w:tc>
        <w:tc>
          <w:tcPr>
            <w:tcW w:w="990" w:type="dxa"/>
            <w:tcBorders>
              <w:top w:val="nil"/>
              <w:left w:val="nil"/>
              <w:bottom w:val="nil"/>
              <w:right w:val="nil"/>
              <w:tl2br w:val="nil"/>
              <w:tr2bl w:val="nil"/>
            </w:tcBorders>
            <w:shd w:val="clear" w:color="auto" w:fill="FFFFFF"/>
            <w:tcMar>
              <w:left w:w="115" w:type="dxa"/>
              <w:right w:w="115" w:type="dxa"/>
            </w:tcMar>
            <w:vAlign w:val="bottom"/>
          </w:tcPr>
          <w:p w14:paraId="6157C781" w14:textId="77777777" w:rsidR="003F0EEA" w:rsidRPr="003D26DE" w:rsidRDefault="00FB7D0B">
            <w:pPr>
              <w:jc w:val="right"/>
              <w:rPr>
                <w:rFonts w:ascii="Arial" w:eastAsia="Arial" w:hAnsi="Arial" w:cs="Arial"/>
                <w:color w:val="000000"/>
                <w:sz w:val="16"/>
              </w:rPr>
            </w:pPr>
            <w:r w:rsidRPr="003D26DE">
              <w:rPr>
                <w:rFonts w:ascii="Arial" w:eastAsia="Arial" w:hAnsi="Arial" w:cs="Arial"/>
                <w:color w:val="000000"/>
                <w:sz w:val="16"/>
              </w:rPr>
              <w:t>estimate</w:t>
            </w:r>
          </w:p>
        </w:tc>
      </w:tr>
      <w:tr w:rsidR="00724034" w14:paraId="2E99803C" w14:textId="77777777">
        <w:trPr>
          <w:trHeight w:val="225"/>
        </w:trPr>
        <w:tc>
          <w:tcPr>
            <w:tcW w:w="180" w:type="dxa"/>
            <w:tcBorders>
              <w:top w:val="nil"/>
              <w:left w:val="nil"/>
              <w:bottom w:val="nil"/>
              <w:right w:val="nil"/>
              <w:tl2br w:val="nil"/>
              <w:tr2bl w:val="nil"/>
            </w:tcBorders>
            <w:shd w:val="clear" w:color="auto" w:fill="FFFFFF"/>
            <w:tcMar>
              <w:left w:w="115" w:type="dxa"/>
              <w:right w:w="115" w:type="dxa"/>
            </w:tcMar>
            <w:vAlign w:val="bottom"/>
          </w:tcPr>
          <w:p w14:paraId="74AA7BB8" w14:textId="77777777" w:rsidR="003F0EEA" w:rsidRPr="003D26DE" w:rsidRDefault="003F0EEA">
            <w:pPr>
              <w:rPr>
                <w:rFonts w:ascii="Arial" w:eastAsia="Arial" w:hAnsi="Arial" w:cs="Arial"/>
                <w:color w:val="000000"/>
                <w:sz w:val="16"/>
              </w:rPr>
            </w:pPr>
          </w:p>
        </w:tc>
        <w:tc>
          <w:tcPr>
            <w:tcW w:w="180" w:type="dxa"/>
            <w:tcBorders>
              <w:top w:val="nil"/>
              <w:left w:val="nil"/>
              <w:bottom w:val="nil"/>
              <w:right w:val="nil"/>
              <w:tl2br w:val="nil"/>
              <w:tr2bl w:val="nil"/>
            </w:tcBorders>
            <w:shd w:val="clear" w:color="auto" w:fill="FFFFFF"/>
            <w:tcMar>
              <w:left w:w="115" w:type="dxa"/>
              <w:right w:w="115" w:type="dxa"/>
            </w:tcMar>
            <w:vAlign w:val="bottom"/>
          </w:tcPr>
          <w:p w14:paraId="4B593A8E" w14:textId="77777777" w:rsidR="003F0EEA" w:rsidRPr="003D26DE" w:rsidRDefault="003F0EEA">
            <w:pPr>
              <w:rPr>
                <w:rFonts w:ascii="Arial" w:eastAsia="Arial" w:hAnsi="Arial" w:cs="Arial"/>
                <w:color w:val="000000"/>
                <w:sz w:val="16"/>
              </w:rPr>
            </w:pPr>
          </w:p>
        </w:tc>
        <w:tc>
          <w:tcPr>
            <w:tcW w:w="3150" w:type="dxa"/>
            <w:tcBorders>
              <w:top w:val="nil"/>
              <w:left w:val="nil"/>
              <w:bottom w:val="nil"/>
              <w:right w:val="nil"/>
              <w:tl2br w:val="nil"/>
              <w:tr2bl w:val="nil"/>
            </w:tcBorders>
            <w:shd w:val="clear" w:color="auto" w:fill="FFFFFF"/>
            <w:tcMar>
              <w:left w:w="115" w:type="dxa"/>
              <w:right w:w="115" w:type="dxa"/>
            </w:tcMar>
            <w:vAlign w:val="bottom"/>
          </w:tcPr>
          <w:p w14:paraId="3928250A" w14:textId="77777777" w:rsidR="003F0EEA" w:rsidRPr="003D26DE" w:rsidRDefault="003F0EEA">
            <w:pPr>
              <w:rPr>
                <w:rFonts w:ascii="Arial" w:eastAsia="Arial" w:hAnsi="Arial" w:cs="Arial"/>
                <w:color w:val="000000"/>
                <w:sz w:val="16"/>
              </w:rPr>
            </w:pPr>
          </w:p>
        </w:tc>
        <w:tc>
          <w:tcPr>
            <w:tcW w:w="990" w:type="dxa"/>
            <w:tcBorders>
              <w:top w:val="nil"/>
              <w:left w:val="nil"/>
              <w:bottom w:val="nil"/>
              <w:right w:val="nil"/>
              <w:tl2br w:val="nil"/>
              <w:tr2bl w:val="nil"/>
            </w:tcBorders>
            <w:shd w:val="clear" w:color="auto" w:fill="FFFFFF"/>
            <w:tcMar>
              <w:left w:w="115" w:type="dxa"/>
              <w:right w:w="115" w:type="dxa"/>
            </w:tcMar>
            <w:vAlign w:val="bottom"/>
          </w:tcPr>
          <w:p w14:paraId="5421C719" w14:textId="77777777" w:rsidR="003F0EEA" w:rsidRPr="003D26DE" w:rsidRDefault="00FB7D0B">
            <w:pPr>
              <w:jc w:val="right"/>
              <w:rPr>
                <w:rFonts w:ascii="Arial" w:eastAsia="Arial" w:hAnsi="Arial" w:cs="Arial"/>
                <w:color w:val="000000"/>
                <w:sz w:val="16"/>
              </w:rPr>
            </w:pPr>
            <w:r w:rsidRPr="003D26DE">
              <w:rPr>
                <w:rFonts w:ascii="Arial" w:eastAsia="Arial" w:hAnsi="Arial" w:cs="Arial"/>
                <w:color w:val="000000"/>
                <w:sz w:val="16"/>
              </w:rPr>
              <w:t>2013-14</w:t>
            </w:r>
          </w:p>
        </w:tc>
        <w:tc>
          <w:tcPr>
            <w:tcW w:w="990" w:type="dxa"/>
            <w:tcBorders>
              <w:top w:val="nil"/>
              <w:left w:val="nil"/>
              <w:bottom w:val="nil"/>
              <w:right w:val="nil"/>
              <w:tl2br w:val="nil"/>
              <w:tr2bl w:val="nil"/>
            </w:tcBorders>
            <w:shd w:val="clear" w:color="auto" w:fill="C0C0C0"/>
            <w:tcMar>
              <w:left w:w="115" w:type="dxa"/>
              <w:right w:w="115" w:type="dxa"/>
            </w:tcMar>
            <w:vAlign w:val="bottom"/>
          </w:tcPr>
          <w:p w14:paraId="2EDFFB73" w14:textId="77777777" w:rsidR="003F0EEA" w:rsidRPr="003D26DE" w:rsidRDefault="00FB7D0B">
            <w:pPr>
              <w:jc w:val="right"/>
              <w:rPr>
                <w:rFonts w:ascii="Arial" w:eastAsia="Arial" w:hAnsi="Arial" w:cs="Arial"/>
                <w:color w:val="000000"/>
                <w:sz w:val="16"/>
              </w:rPr>
            </w:pPr>
            <w:r w:rsidRPr="003D26DE">
              <w:rPr>
                <w:rFonts w:ascii="Arial" w:eastAsia="Arial" w:hAnsi="Arial" w:cs="Arial"/>
                <w:color w:val="000000"/>
                <w:sz w:val="16"/>
              </w:rPr>
              <w:t>2014-15</w:t>
            </w:r>
          </w:p>
        </w:tc>
        <w:tc>
          <w:tcPr>
            <w:tcW w:w="990" w:type="dxa"/>
            <w:tcBorders>
              <w:top w:val="nil"/>
              <w:left w:val="nil"/>
              <w:bottom w:val="nil"/>
              <w:right w:val="nil"/>
              <w:tl2br w:val="nil"/>
              <w:tr2bl w:val="nil"/>
            </w:tcBorders>
            <w:shd w:val="clear" w:color="auto" w:fill="FFFFFF"/>
            <w:tcMar>
              <w:left w:w="115" w:type="dxa"/>
              <w:right w:w="115" w:type="dxa"/>
            </w:tcMar>
            <w:vAlign w:val="bottom"/>
          </w:tcPr>
          <w:p w14:paraId="61BE3DCC" w14:textId="77777777" w:rsidR="003F0EEA" w:rsidRPr="003D26DE" w:rsidRDefault="00FB7D0B">
            <w:pPr>
              <w:jc w:val="right"/>
              <w:rPr>
                <w:rFonts w:ascii="Arial" w:eastAsia="Arial" w:hAnsi="Arial" w:cs="Arial"/>
                <w:color w:val="000000"/>
                <w:sz w:val="16"/>
              </w:rPr>
            </w:pPr>
            <w:r w:rsidRPr="003D26DE">
              <w:rPr>
                <w:rFonts w:ascii="Arial" w:eastAsia="Arial" w:hAnsi="Arial" w:cs="Arial"/>
                <w:color w:val="000000"/>
                <w:sz w:val="16"/>
              </w:rPr>
              <w:t>2015-16</w:t>
            </w:r>
          </w:p>
        </w:tc>
        <w:tc>
          <w:tcPr>
            <w:tcW w:w="990" w:type="dxa"/>
            <w:tcBorders>
              <w:top w:val="nil"/>
              <w:left w:val="nil"/>
              <w:bottom w:val="nil"/>
              <w:right w:val="nil"/>
              <w:tl2br w:val="nil"/>
              <w:tr2bl w:val="nil"/>
            </w:tcBorders>
            <w:shd w:val="clear" w:color="auto" w:fill="FFFFFF"/>
            <w:tcMar>
              <w:left w:w="115" w:type="dxa"/>
              <w:right w:w="115" w:type="dxa"/>
            </w:tcMar>
            <w:vAlign w:val="bottom"/>
          </w:tcPr>
          <w:p w14:paraId="5A559ED6" w14:textId="77777777" w:rsidR="003F0EEA" w:rsidRPr="003D26DE" w:rsidRDefault="00FB7D0B">
            <w:pPr>
              <w:jc w:val="right"/>
              <w:rPr>
                <w:rFonts w:ascii="Arial" w:eastAsia="Arial" w:hAnsi="Arial" w:cs="Arial"/>
                <w:color w:val="000000"/>
                <w:sz w:val="16"/>
              </w:rPr>
            </w:pPr>
            <w:r w:rsidRPr="003D26DE">
              <w:rPr>
                <w:rFonts w:ascii="Arial" w:eastAsia="Arial" w:hAnsi="Arial" w:cs="Arial"/>
                <w:color w:val="000000"/>
                <w:sz w:val="16"/>
              </w:rPr>
              <w:t>2016-17</w:t>
            </w:r>
          </w:p>
        </w:tc>
        <w:tc>
          <w:tcPr>
            <w:tcW w:w="990" w:type="dxa"/>
            <w:tcBorders>
              <w:top w:val="nil"/>
              <w:left w:val="nil"/>
              <w:bottom w:val="nil"/>
              <w:right w:val="nil"/>
              <w:tl2br w:val="nil"/>
              <w:tr2bl w:val="nil"/>
            </w:tcBorders>
            <w:shd w:val="clear" w:color="auto" w:fill="FFFFFF"/>
            <w:tcMar>
              <w:left w:w="115" w:type="dxa"/>
              <w:right w:w="115" w:type="dxa"/>
            </w:tcMar>
            <w:vAlign w:val="bottom"/>
          </w:tcPr>
          <w:p w14:paraId="21BB6EE1" w14:textId="77777777" w:rsidR="003F0EEA" w:rsidRPr="003D26DE" w:rsidRDefault="00FB7D0B">
            <w:pPr>
              <w:jc w:val="right"/>
              <w:rPr>
                <w:rFonts w:ascii="Arial" w:eastAsia="Arial" w:hAnsi="Arial" w:cs="Arial"/>
                <w:color w:val="000000"/>
                <w:sz w:val="16"/>
              </w:rPr>
            </w:pPr>
            <w:r w:rsidRPr="003D26DE">
              <w:rPr>
                <w:rFonts w:ascii="Arial" w:eastAsia="Arial" w:hAnsi="Arial" w:cs="Arial"/>
                <w:color w:val="000000"/>
                <w:sz w:val="16"/>
              </w:rPr>
              <w:t>2017-18</w:t>
            </w:r>
          </w:p>
        </w:tc>
      </w:tr>
      <w:tr w:rsidR="00724034" w14:paraId="53CD215A" w14:textId="77777777">
        <w:trPr>
          <w:trHeight w:val="225"/>
        </w:trPr>
        <w:tc>
          <w:tcPr>
            <w:tcW w:w="180" w:type="dxa"/>
            <w:tcBorders>
              <w:top w:val="nil"/>
              <w:left w:val="nil"/>
              <w:bottom w:val="nil"/>
              <w:right w:val="nil"/>
              <w:tl2br w:val="nil"/>
              <w:tr2bl w:val="nil"/>
            </w:tcBorders>
            <w:shd w:val="clear" w:color="auto" w:fill="FFFFFF"/>
            <w:tcMar>
              <w:left w:w="115" w:type="dxa"/>
              <w:right w:w="115" w:type="dxa"/>
            </w:tcMar>
            <w:vAlign w:val="bottom"/>
          </w:tcPr>
          <w:p w14:paraId="51D9571C" w14:textId="77777777" w:rsidR="003F0EEA" w:rsidRPr="003D26DE" w:rsidRDefault="003F0EEA">
            <w:pPr>
              <w:rPr>
                <w:rFonts w:ascii="Arial" w:eastAsia="Arial" w:hAnsi="Arial" w:cs="Arial"/>
                <w:color w:val="000000"/>
                <w:sz w:val="16"/>
              </w:rPr>
            </w:pPr>
          </w:p>
        </w:tc>
        <w:tc>
          <w:tcPr>
            <w:tcW w:w="180" w:type="dxa"/>
            <w:tcBorders>
              <w:top w:val="nil"/>
              <w:left w:val="nil"/>
              <w:bottom w:val="nil"/>
              <w:right w:val="nil"/>
              <w:tl2br w:val="nil"/>
              <w:tr2bl w:val="nil"/>
            </w:tcBorders>
            <w:shd w:val="clear" w:color="auto" w:fill="FFFFFF"/>
            <w:tcMar>
              <w:left w:w="115" w:type="dxa"/>
              <w:right w:w="115" w:type="dxa"/>
            </w:tcMar>
            <w:vAlign w:val="bottom"/>
          </w:tcPr>
          <w:p w14:paraId="19EFBACB" w14:textId="77777777" w:rsidR="003F0EEA" w:rsidRPr="003D26DE" w:rsidRDefault="003F0EEA">
            <w:pPr>
              <w:rPr>
                <w:rFonts w:ascii="Arial" w:eastAsia="Arial" w:hAnsi="Arial" w:cs="Arial"/>
                <w:color w:val="000000"/>
                <w:sz w:val="16"/>
              </w:rPr>
            </w:pPr>
          </w:p>
        </w:tc>
        <w:tc>
          <w:tcPr>
            <w:tcW w:w="3150" w:type="dxa"/>
            <w:tcBorders>
              <w:top w:val="nil"/>
              <w:left w:val="nil"/>
              <w:bottom w:val="nil"/>
              <w:right w:val="nil"/>
              <w:tl2br w:val="nil"/>
              <w:tr2bl w:val="nil"/>
            </w:tcBorders>
            <w:shd w:val="clear" w:color="auto" w:fill="FFFFFF"/>
            <w:tcMar>
              <w:left w:w="115" w:type="dxa"/>
              <w:right w:w="115" w:type="dxa"/>
            </w:tcMar>
            <w:vAlign w:val="bottom"/>
          </w:tcPr>
          <w:p w14:paraId="1CDDCD9F" w14:textId="77777777" w:rsidR="003F0EEA" w:rsidRPr="003D26DE" w:rsidRDefault="003F0EEA">
            <w:pPr>
              <w:rPr>
                <w:rFonts w:ascii="Arial" w:eastAsia="Arial" w:hAnsi="Arial" w:cs="Arial"/>
                <w:color w:val="000000"/>
                <w:sz w:val="16"/>
              </w:rPr>
            </w:pPr>
          </w:p>
        </w:tc>
        <w:tc>
          <w:tcPr>
            <w:tcW w:w="990"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0426185E" w14:textId="77777777" w:rsidR="003F0EEA" w:rsidRPr="003D26DE" w:rsidRDefault="00FB7D0B">
            <w:pPr>
              <w:jc w:val="right"/>
              <w:rPr>
                <w:rFonts w:ascii="Arial" w:eastAsia="Arial" w:hAnsi="Arial" w:cs="Arial"/>
                <w:color w:val="000000"/>
                <w:sz w:val="16"/>
              </w:rPr>
            </w:pPr>
            <w:r w:rsidRPr="003D26DE">
              <w:rPr>
                <w:rFonts w:ascii="Arial" w:eastAsia="Arial" w:hAnsi="Arial" w:cs="Arial"/>
                <w:color w:val="000000"/>
                <w:sz w:val="16"/>
              </w:rPr>
              <w:t>$'000</w:t>
            </w:r>
          </w:p>
        </w:tc>
        <w:tc>
          <w:tcPr>
            <w:tcW w:w="990" w:type="dxa"/>
            <w:tcBorders>
              <w:top w:val="nil"/>
              <w:left w:val="nil"/>
              <w:bottom w:val="single" w:sz="6" w:space="0" w:color="000000"/>
              <w:right w:val="nil"/>
              <w:tl2br w:val="nil"/>
              <w:tr2bl w:val="nil"/>
            </w:tcBorders>
            <w:shd w:val="clear" w:color="auto" w:fill="C0C0C0"/>
            <w:tcMar>
              <w:left w:w="115" w:type="dxa"/>
              <w:right w:w="115" w:type="dxa"/>
            </w:tcMar>
            <w:vAlign w:val="bottom"/>
          </w:tcPr>
          <w:p w14:paraId="44818C30" w14:textId="77777777" w:rsidR="003F0EEA" w:rsidRPr="003D26DE" w:rsidRDefault="00FB7D0B">
            <w:pPr>
              <w:jc w:val="right"/>
              <w:rPr>
                <w:rFonts w:ascii="Arial" w:eastAsia="Arial" w:hAnsi="Arial" w:cs="Arial"/>
                <w:color w:val="000000"/>
                <w:sz w:val="16"/>
              </w:rPr>
            </w:pPr>
            <w:r w:rsidRPr="003D26DE">
              <w:rPr>
                <w:rFonts w:ascii="Arial" w:eastAsia="Arial" w:hAnsi="Arial" w:cs="Arial"/>
                <w:color w:val="000000"/>
                <w:sz w:val="16"/>
              </w:rPr>
              <w:t>$'000</w:t>
            </w:r>
          </w:p>
        </w:tc>
        <w:tc>
          <w:tcPr>
            <w:tcW w:w="990"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38EBF690" w14:textId="77777777" w:rsidR="003F0EEA" w:rsidRPr="003D26DE" w:rsidRDefault="00FB7D0B">
            <w:pPr>
              <w:jc w:val="right"/>
              <w:rPr>
                <w:rFonts w:ascii="Arial" w:eastAsia="Arial" w:hAnsi="Arial" w:cs="Arial"/>
                <w:color w:val="000000"/>
                <w:sz w:val="16"/>
              </w:rPr>
            </w:pPr>
            <w:r w:rsidRPr="003D26DE">
              <w:rPr>
                <w:rFonts w:ascii="Arial" w:eastAsia="Arial" w:hAnsi="Arial" w:cs="Arial"/>
                <w:color w:val="000000"/>
                <w:sz w:val="16"/>
              </w:rPr>
              <w:t>$'000</w:t>
            </w:r>
          </w:p>
        </w:tc>
        <w:tc>
          <w:tcPr>
            <w:tcW w:w="990"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4F5EC615" w14:textId="77777777" w:rsidR="003F0EEA" w:rsidRPr="003D26DE" w:rsidRDefault="00FB7D0B">
            <w:pPr>
              <w:jc w:val="right"/>
              <w:rPr>
                <w:rFonts w:ascii="Arial" w:eastAsia="Arial" w:hAnsi="Arial" w:cs="Arial"/>
                <w:color w:val="000000"/>
                <w:sz w:val="16"/>
              </w:rPr>
            </w:pPr>
            <w:r w:rsidRPr="003D26DE">
              <w:rPr>
                <w:rFonts w:ascii="Arial" w:eastAsia="Arial" w:hAnsi="Arial" w:cs="Arial"/>
                <w:color w:val="000000"/>
                <w:sz w:val="16"/>
              </w:rPr>
              <w:t>$'000</w:t>
            </w:r>
          </w:p>
        </w:tc>
        <w:tc>
          <w:tcPr>
            <w:tcW w:w="990"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01E1F052" w14:textId="77777777" w:rsidR="003F0EEA" w:rsidRPr="003D26DE" w:rsidRDefault="00FB7D0B">
            <w:pPr>
              <w:jc w:val="right"/>
              <w:rPr>
                <w:rFonts w:ascii="Arial" w:eastAsia="Arial" w:hAnsi="Arial" w:cs="Arial"/>
                <w:color w:val="000000"/>
                <w:sz w:val="16"/>
              </w:rPr>
            </w:pPr>
            <w:r w:rsidRPr="003D26DE">
              <w:rPr>
                <w:rFonts w:ascii="Arial" w:eastAsia="Arial" w:hAnsi="Arial" w:cs="Arial"/>
                <w:color w:val="000000"/>
                <w:sz w:val="16"/>
              </w:rPr>
              <w:t>$'000</w:t>
            </w:r>
          </w:p>
        </w:tc>
      </w:tr>
      <w:tr w:rsidR="00355BFE" w14:paraId="4B438CDB" w14:textId="77777777" w:rsidTr="00355BFE">
        <w:trPr>
          <w:trHeight w:val="225"/>
        </w:trPr>
        <w:tc>
          <w:tcPr>
            <w:tcW w:w="3510" w:type="dxa"/>
            <w:gridSpan w:val="3"/>
            <w:tcBorders>
              <w:top w:val="nil"/>
              <w:left w:val="nil"/>
              <w:bottom w:val="nil"/>
              <w:right w:val="nil"/>
              <w:tl2br w:val="nil"/>
              <w:tr2bl w:val="nil"/>
            </w:tcBorders>
            <w:shd w:val="clear" w:color="auto" w:fill="FFFFFF"/>
            <w:tcMar>
              <w:left w:w="115" w:type="dxa"/>
              <w:right w:w="115" w:type="dxa"/>
            </w:tcMar>
            <w:vAlign w:val="bottom"/>
          </w:tcPr>
          <w:p w14:paraId="7F854FF0" w14:textId="77777777" w:rsidR="003F0EEA" w:rsidRPr="003D26DE" w:rsidRDefault="00FB7D0B">
            <w:pPr>
              <w:rPr>
                <w:rFonts w:ascii="Arial" w:eastAsia="Arial" w:hAnsi="Arial" w:cs="Arial"/>
                <w:color w:val="000000"/>
                <w:sz w:val="16"/>
              </w:rPr>
            </w:pPr>
            <w:r w:rsidRPr="003D26DE">
              <w:rPr>
                <w:rFonts w:ascii="Arial" w:eastAsia="Arial" w:hAnsi="Arial" w:cs="Arial"/>
                <w:b/>
                <w:color w:val="000000"/>
                <w:sz w:val="16"/>
              </w:rPr>
              <w:t>EQUITY*</w:t>
            </w:r>
          </w:p>
        </w:tc>
        <w:tc>
          <w:tcPr>
            <w:tcW w:w="990"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38589DA7" w14:textId="77777777" w:rsidR="003F0EEA" w:rsidRPr="003D26DE" w:rsidRDefault="003F0EEA">
            <w:pPr>
              <w:rPr>
                <w:rFonts w:ascii="Arial" w:eastAsia="Arial" w:hAnsi="Arial" w:cs="Arial"/>
                <w:b/>
                <w:color w:val="000000"/>
                <w:sz w:val="16"/>
              </w:rPr>
            </w:pPr>
          </w:p>
        </w:tc>
        <w:tc>
          <w:tcPr>
            <w:tcW w:w="990" w:type="dxa"/>
            <w:tcBorders>
              <w:top w:val="single" w:sz="6" w:space="0" w:color="000000"/>
              <w:left w:val="nil"/>
              <w:bottom w:val="nil"/>
              <w:right w:val="nil"/>
              <w:tl2br w:val="nil"/>
              <w:tr2bl w:val="nil"/>
            </w:tcBorders>
            <w:shd w:val="clear" w:color="auto" w:fill="C0C0C0"/>
            <w:tcMar>
              <w:left w:w="115" w:type="dxa"/>
              <w:right w:w="115" w:type="dxa"/>
            </w:tcMar>
            <w:vAlign w:val="bottom"/>
          </w:tcPr>
          <w:p w14:paraId="3AA4E610" w14:textId="77777777" w:rsidR="003F0EEA" w:rsidRPr="003D26DE" w:rsidRDefault="003F0EEA">
            <w:pPr>
              <w:rPr>
                <w:rFonts w:ascii="Arial" w:eastAsia="Arial" w:hAnsi="Arial" w:cs="Arial"/>
                <w:color w:val="000000"/>
                <w:sz w:val="16"/>
              </w:rPr>
            </w:pPr>
          </w:p>
        </w:tc>
        <w:tc>
          <w:tcPr>
            <w:tcW w:w="990"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631AB7D8" w14:textId="77777777" w:rsidR="003F0EEA" w:rsidRPr="003D26DE" w:rsidRDefault="003F0EEA">
            <w:pPr>
              <w:rPr>
                <w:rFonts w:ascii="Arial" w:eastAsia="Arial" w:hAnsi="Arial" w:cs="Arial"/>
                <w:color w:val="000000"/>
                <w:sz w:val="16"/>
              </w:rPr>
            </w:pPr>
          </w:p>
        </w:tc>
        <w:tc>
          <w:tcPr>
            <w:tcW w:w="990"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130BD6FA" w14:textId="77777777" w:rsidR="003F0EEA" w:rsidRPr="003D26DE" w:rsidRDefault="003F0EEA">
            <w:pPr>
              <w:rPr>
                <w:rFonts w:ascii="Arial" w:eastAsia="Arial" w:hAnsi="Arial" w:cs="Arial"/>
                <w:color w:val="000000"/>
                <w:sz w:val="16"/>
              </w:rPr>
            </w:pPr>
          </w:p>
        </w:tc>
        <w:tc>
          <w:tcPr>
            <w:tcW w:w="990"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4842F1D0" w14:textId="77777777" w:rsidR="003F0EEA" w:rsidRPr="003D26DE" w:rsidRDefault="003F0EEA">
            <w:pPr>
              <w:rPr>
                <w:rFonts w:ascii="Arial" w:eastAsia="Arial" w:hAnsi="Arial" w:cs="Arial"/>
                <w:color w:val="000000"/>
                <w:sz w:val="16"/>
              </w:rPr>
            </w:pPr>
          </w:p>
        </w:tc>
      </w:tr>
      <w:tr w:rsidR="00355BFE" w14:paraId="6741E24C" w14:textId="77777777" w:rsidTr="00355BFE">
        <w:trPr>
          <w:trHeight w:val="225"/>
        </w:trPr>
        <w:tc>
          <w:tcPr>
            <w:tcW w:w="3510" w:type="dxa"/>
            <w:gridSpan w:val="3"/>
            <w:tcBorders>
              <w:top w:val="nil"/>
              <w:left w:val="nil"/>
              <w:bottom w:val="nil"/>
              <w:right w:val="nil"/>
              <w:tl2br w:val="nil"/>
              <w:tr2bl w:val="nil"/>
            </w:tcBorders>
            <w:shd w:val="clear" w:color="auto" w:fill="FFFFFF"/>
            <w:tcMar>
              <w:left w:w="115" w:type="dxa"/>
              <w:right w:w="115" w:type="dxa"/>
            </w:tcMar>
            <w:vAlign w:val="bottom"/>
          </w:tcPr>
          <w:p w14:paraId="797F94A8" w14:textId="77777777" w:rsidR="003F0EEA" w:rsidRPr="003D26DE" w:rsidRDefault="00FB7D0B">
            <w:pPr>
              <w:rPr>
                <w:rFonts w:ascii="Arial" w:eastAsia="Arial" w:hAnsi="Arial" w:cs="Arial"/>
                <w:color w:val="000000"/>
                <w:sz w:val="16"/>
              </w:rPr>
            </w:pPr>
            <w:r w:rsidRPr="003D26DE">
              <w:rPr>
                <w:rFonts w:ascii="Arial" w:eastAsia="Arial" w:hAnsi="Arial" w:cs="Arial"/>
                <w:b/>
                <w:color w:val="000000"/>
                <w:sz w:val="16"/>
              </w:rPr>
              <w:t>Parent entity interest</w:t>
            </w:r>
          </w:p>
        </w:tc>
        <w:tc>
          <w:tcPr>
            <w:tcW w:w="990" w:type="dxa"/>
            <w:tcBorders>
              <w:top w:val="nil"/>
              <w:left w:val="nil"/>
              <w:bottom w:val="nil"/>
              <w:right w:val="nil"/>
              <w:tl2br w:val="nil"/>
              <w:tr2bl w:val="nil"/>
            </w:tcBorders>
            <w:shd w:val="clear" w:color="auto" w:fill="FFFFFF"/>
            <w:tcMar>
              <w:left w:w="115" w:type="dxa"/>
              <w:right w:w="115" w:type="dxa"/>
            </w:tcMar>
            <w:vAlign w:val="bottom"/>
          </w:tcPr>
          <w:p w14:paraId="2E76EED6" w14:textId="77777777" w:rsidR="003F0EEA" w:rsidRPr="003D26DE" w:rsidRDefault="003F0EEA">
            <w:pPr>
              <w:rPr>
                <w:rFonts w:ascii="Arial" w:eastAsia="Arial" w:hAnsi="Arial" w:cs="Arial"/>
                <w:b/>
                <w:color w:val="000000"/>
                <w:sz w:val="16"/>
              </w:rPr>
            </w:pPr>
          </w:p>
        </w:tc>
        <w:tc>
          <w:tcPr>
            <w:tcW w:w="990" w:type="dxa"/>
            <w:tcBorders>
              <w:top w:val="nil"/>
              <w:left w:val="nil"/>
              <w:bottom w:val="nil"/>
              <w:right w:val="nil"/>
              <w:tl2br w:val="nil"/>
              <w:tr2bl w:val="nil"/>
            </w:tcBorders>
            <w:shd w:val="clear" w:color="auto" w:fill="C0C0C0"/>
            <w:tcMar>
              <w:left w:w="115" w:type="dxa"/>
              <w:right w:w="115" w:type="dxa"/>
            </w:tcMar>
            <w:vAlign w:val="bottom"/>
          </w:tcPr>
          <w:p w14:paraId="23B560AF" w14:textId="77777777" w:rsidR="003F0EEA" w:rsidRPr="003D26DE" w:rsidRDefault="003F0EEA">
            <w:pPr>
              <w:rPr>
                <w:rFonts w:ascii="Arial" w:eastAsia="Arial" w:hAnsi="Arial" w:cs="Arial"/>
                <w:color w:val="000000"/>
                <w:sz w:val="16"/>
              </w:rPr>
            </w:pPr>
          </w:p>
        </w:tc>
        <w:tc>
          <w:tcPr>
            <w:tcW w:w="990" w:type="dxa"/>
            <w:tcBorders>
              <w:top w:val="nil"/>
              <w:left w:val="nil"/>
              <w:bottom w:val="nil"/>
              <w:right w:val="nil"/>
              <w:tl2br w:val="nil"/>
              <w:tr2bl w:val="nil"/>
            </w:tcBorders>
            <w:shd w:val="clear" w:color="auto" w:fill="FFFFFF"/>
            <w:tcMar>
              <w:left w:w="115" w:type="dxa"/>
              <w:right w:w="115" w:type="dxa"/>
            </w:tcMar>
            <w:vAlign w:val="bottom"/>
          </w:tcPr>
          <w:p w14:paraId="004AE45B" w14:textId="77777777" w:rsidR="003F0EEA" w:rsidRPr="003D26DE" w:rsidRDefault="003F0EEA">
            <w:pPr>
              <w:rPr>
                <w:rFonts w:ascii="Arial" w:eastAsia="Arial" w:hAnsi="Arial" w:cs="Arial"/>
                <w:color w:val="000000"/>
                <w:sz w:val="16"/>
              </w:rPr>
            </w:pPr>
          </w:p>
        </w:tc>
        <w:tc>
          <w:tcPr>
            <w:tcW w:w="990" w:type="dxa"/>
            <w:tcBorders>
              <w:top w:val="nil"/>
              <w:left w:val="nil"/>
              <w:bottom w:val="nil"/>
              <w:right w:val="nil"/>
              <w:tl2br w:val="nil"/>
              <w:tr2bl w:val="nil"/>
            </w:tcBorders>
            <w:shd w:val="clear" w:color="auto" w:fill="FFFFFF"/>
            <w:tcMar>
              <w:left w:w="115" w:type="dxa"/>
              <w:right w:w="115" w:type="dxa"/>
            </w:tcMar>
            <w:vAlign w:val="bottom"/>
          </w:tcPr>
          <w:p w14:paraId="5427352C" w14:textId="77777777" w:rsidR="003F0EEA" w:rsidRPr="003D26DE" w:rsidRDefault="003F0EEA">
            <w:pPr>
              <w:rPr>
                <w:rFonts w:ascii="Arial" w:eastAsia="Arial" w:hAnsi="Arial" w:cs="Arial"/>
                <w:color w:val="000000"/>
                <w:sz w:val="16"/>
              </w:rPr>
            </w:pPr>
          </w:p>
        </w:tc>
        <w:tc>
          <w:tcPr>
            <w:tcW w:w="990" w:type="dxa"/>
            <w:tcBorders>
              <w:top w:val="nil"/>
              <w:left w:val="nil"/>
              <w:bottom w:val="nil"/>
              <w:right w:val="nil"/>
              <w:tl2br w:val="nil"/>
              <w:tr2bl w:val="nil"/>
            </w:tcBorders>
            <w:shd w:val="clear" w:color="auto" w:fill="FFFFFF"/>
            <w:tcMar>
              <w:left w:w="115" w:type="dxa"/>
              <w:right w:w="115" w:type="dxa"/>
            </w:tcMar>
            <w:vAlign w:val="bottom"/>
          </w:tcPr>
          <w:p w14:paraId="7F2FC913" w14:textId="77777777" w:rsidR="003F0EEA" w:rsidRPr="003D26DE" w:rsidRDefault="003F0EEA">
            <w:pPr>
              <w:rPr>
                <w:rFonts w:ascii="Arial" w:eastAsia="Arial" w:hAnsi="Arial" w:cs="Arial"/>
                <w:color w:val="000000"/>
                <w:sz w:val="16"/>
              </w:rPr>
            </w:pPr>
          </w:p>
        </w:tc>
      </w:tr>
      <w:tr w:rsidR="00355BFE" w14:paraId="0DA34403" w14:textId="77777777" w:rsidTr="00355BFE">
        <w:trPr>
          <w:trHeight w:val="225"/>
        </w:trPr>
        <w:tc>
          <w:tcPr>
            <w:tcW w:w="180" w:type="dxa"/>
            <w:tcBorders>
              <w:top w:val="nil"/>
              <w:left w:val="nil"/>
              <w:bottom w:val="nil"/>
              <w:right w:val="nil"/>
              <w:tl2br w:val="nil"/>
              <w:tr2bl w:val="nil"/>
            </w:tcBorders>
            <w:shd w:val="clear" w:color="auto" w:fill="FFFFFF"/>
            <w:tcMar>
              <w:left w:w="115" w:type="dxa"/>
              <w:right w:w="115" w:type="dxa"/>
            </w:tcMar>
            <w:vAlign w:val="bottom"/>
          </w:tcPr>
          <w:p w14:paraId="65937C50" w14:textId="77777777" w:rsidR="003F0EEA" w:rsidRPr="003D26DE" w:rsidRDefault="003F0EEA">
            <w:pPr>
              <w:rPr>
                <w:rFonts w:ascii="Arial" w:eastAsia="Arial" w:hAnsi="Arial" w:cs="Arial"/>
                <w:color w:val="000000"/>
                <w:sz w:val="16"/>
              </w:rPr>
            </w:pPr>
          </w:p>
        </w:tc>
        <w:tc>
          <w:tcPr>
            <w:tcW w:w="3330" w:type="dxa"/>
            <w:gridSpan w:val="2"/>
            <w:vMerge w:val="restart"/>
            <w:tcBorders>
              <w:top w:val="nil"/>
              <w:left w:val="nil"/>
              <w:bottom w:val="nil"/>
              <w:right w:val="nil"/>
              <w:tl2br w:val="nil"/>
              <w:tr2bl w:val="nil"/>
            </w:tcBorders>
            <w:shd w:val="clear" w:color="auto" w:fill="FFFFFF"/>
            <w:tcMar>
              <w:left w:w="115" w:type="dxa"/>
              <w:right w:w="115" w:type="dxa"/>
            </w:tcMar>
            <w:vAlign w:val="bottom"/>
          </w:tcPr>
          <w:p w14:paraId="6614E8D2" w14:textId="77777777" w:rsidR="003F0EEA" w:rsidRPr="003D26DE" w:rsidRDefault="00FB7D0B">
            <w:pPr>
              <w:rPr>
                <w:rFonts w:ascii="Arial" w:eastAsia="Arial" w:hAnsi="Arial" w:cs="Arial"/>
                <w:color w:val="000000"/>
                <w:sz w:val="16"/>
              </w:rPr>
            </w:pPr>
            <w:r w:rsidRPr="003D26DE">
              <w:rPr>
                <w:rFonts w:ascii="Arial" w:eastAsia="Arial" w:hAnsi="Arial" w:cs="Arial"/>
                <w:color w:val="000000"/>
                <w:sz w:val="16"/>
              </w:rPr>
              <w:t>Contributed equity</w:t>
            </w:r>
          </w:p>
        </w:tc>
        <w:tc>
          <w:tcPr>
            <w:tcW w:w="990" w:type="dxa"/>
            <w:tcBorders>
              <w:top w:val="nil"/>
              <w:left w:val="nil"/>
              <w:bottom w:val="nil"/>
              <w:right w:val="nil"/>
              <w:tl2br w:val="nil"/>
              <w:tr2bl w:val="nil"/>
            </w:tcBorders>
            <w:shd w:val="clear" w:color="auto" w:fill="FFFFFF"/>
            <w:tcMar>
              <w:left w:w="115" w:type="dxa"/>
              <w:right w:w="115" w:type="dxa"/>
            </w:tcMar>
            <w:vAlign w:val="bottom"/>
          </w:tcPr>
          <w:p w14:paraId="4B349F5F" w14:textId="77777777" w:rsidR="003F0EEA" w:rsidRPr="003D26DE" w:rsidRDefault="00FB7D0B">
            <w:pPr>
              <w:jc w:val="right"/>
              <w:rPr>
                <w:rFonts w:ascii="Arial" w:eastAsia="Arial" w:hAnsi="Arial" w:cs="Arial"/>
                <w:color w:val="000000"/>
                <w:sz w:val="16"/>
              </w:rPr>
            </w:pPr>
            <w:r w:rsidRPr="003D26DE">
              <w:rPr>
                <w:rFonts w:ascii="Arial" w:eastAsia="Arial" w:hAnsi="Arial" w:cs="Arial"/>
                <w:color w:val="000000"/>
                <w:sz w:val="16"/>
              </w:rPr>
              <w:t>83,708 </w:t>
            </w:r>
          </w:p>
        </w:tc>
        <w:tc>
          <w:tcPr>
            <w:tcW w:w="990" w:type="dxa"/>
            <w:tcBorders>
              <w:top w:val="nil"/>
              <w:left w:val="nil"/>
              <w:bottom w:val="nil"/>
              <w:right w:val="nil"/>
              <w:tl2br w:val="nil"/>
              <w:tr2bl w:val="nil"/>
            </w:tcBorders>
            <w:shd w:val="clear" w:color="auto" w:fill="C0C0C0"/>
            <w:tcMar>
              <w:left w:w="115" w:type="dxa"/>
              <w:right w:w="115" w:type="dxa"/>
            </w:tcMar>
            <w:vAlign w:val="bottom"/>
          </w:tcPr>
          <w:p w14:paraId="3CD2EC9C" w14:textId="77777777" w:rsidR="003F0EEA" w:rsidRPr="003D26DE" w:rsidRDefault="00FB7D0B">
            <w:pPr>
              <w:jc w:val="right"/>
              <w:rPr>
                <w:rFonts w:ascii="Arial" w:eastAsia="Arial" w:hAnsi="Arial" w:cs="Arial"/>
                <w:color w:val="000000"/>
                <w:sz w:val="16"/>
              </w:rPr>
            </w:pPr>
            <w:r w:rsidRPr="003D26DE">
              <w:rPr>
                <w:rFonts w:ascii="Arial" w:eastAsia="Arial" w:hAnsi="Arial" w:cs="Arial"/>
                <w:color w:val="000000"/>
                <w:sz w:val="16"/>
              </w:rPr>
              <w:t>96,152 </w:t>
            </w:r>
          </w:p>
        </w:tc>
        <w:tc>
          <w:tcPr>
            <w:tcW w:w="990" w:type="dxa"/>
            <w:tcBorders>
              <w:top w:val="nil"/>
              <w:left w:val="nil"/>
              <w:bottom w:val="nil"/>
              <w:right w:val="nil"/>
              <w:tl2br w:val="nil"/>
              <w:tr2bl w:val="nil"/>
            </w:tcBorders>
            <w:shd w:val="clear" w:color="auto" w:fill="FFFFFF"/>
            <w:tcMar>
              <w:left w:w="115" w:type="dxa"/>
              <w:right w:w="115" w:type="dxa"/>
            </w:tcMar>
            <w:vAlign w:val="bottom"/>
          </w:tcPr>
          <w:p w14:paraId="02CBE222" w14:textId="77777777" w:rsidR="003F0EEA" w:rsidRPr="003D26DE" w:rsidRDefault="00FB7D0B">
            <w:pPr>
              <w:jc w:val="right"/>
              <w:rPr>
                <w:rFonts w:ascii="Arial" w:eastAsia="Arial" w:hAnsi="Arial" w:cs="Arial"/>
                <w:color w:val="000000"/>
                <w:sz w:val="16"/>
              </w:rPr>
            </w:pPr>
            <w:r w:rsidRPr="003D26DE">
              <w:rPr>
                <w:rFonts w:ascii="Arial" w:eastAsia="Arial" w:hAnsi="Arial" w:cs="Arial"/>
                <w:color w:val="000000"/>
                <w:sz w:val="16"/>
              </w:rPr>
              <w:t>103,345 </w:t>
            </w:r>
          </w:p>
        </w:tc>
        <w:tc>
          <w:tcPr>
            <w:tcW w:w="990" w:type="dxa"/>
            <w:tcBorders>
              <w:top w:val="nil"/>
              <w:left w:val="nil"/>
              <w:bottom w:val="nil"/>
              <w:right w:val="nil"/>
              <w:tl2br w:val="nil"/>
              <w:tr2bl w:val="nil"/>
            </w:tcBorders>
            <w:shd w:val="clear" w:color="auto" w:fill="FFFFFF"/>
            <w:tcMar>
              <w:left w:w="115" w:type="dxa"/>
              <w:right w:w="115" w:type="dxa"/>
            </w:tcMar>
            <w:vAlign w:val="bottom"/>
          </w:tcPr>
          <w:p w14:paraId="62AEF470" w14:textId="77777777" w:rsidR="003F0EEA" w:rsidRPr="003D26DE" w:rsidRDefault="00FB7D0B">
            <w:pPr>
              <w:jc w:val="right"/>
              <w:rPr>
                <w:rFonts w:ascii="Arial" w:eastAsia="Arial" w:hAnsi="Arial" w:cs="Arial"/>
                <w:color w:val="000000"/>
                <w:sz w:val="16"/>
              </w:rPr>
            </w:pPr>
            <w:r w:rsidRPr="003D26DE">
              <w:rPr>
                <w:rFonts w:ascii="Arial" w:eastAsia="Arial" w:hAnsi="Arial" w:cs="Arial"/>
                <w:color w:val="000000"/>
                <w:sz w:val="16"/>
              </w:rPr>
              <w:t>110,548 </w:t>
            </w:r>
          </w:p>
        </w:tc>
        <w:tc>
          <w:tcPr>
            <w:tcW w:w="990" w:type="dxa"/>
            <w:tcBorders>
              <w:top w:val="nil"/>
              <w:left w:val="nil"/>
              <w:bottom w:val="nil"/>
              <w:right w:val="nil"/>
              <w:tl2br w:val="nil"/>
              <w:tr2bl w:val="nil"/>
            </w:tcBorders>
            <w:shd w:val="clear" w:color="auto" w:fill="FFFFFF"/>
            <w:tcMar>
              <w:left w:w="115" w:type="dxa"/>
              <w:right w:w="115" w:type="dxa"/>
            </w:tcMar>
            <w:vAlign w:val="bottom"/>
          </w:tcPr>
          <w:p w14:paraId="6CE44E78" w14:textId="77777777" w:rsidR="003F0EEA" w:rsidRPr="003D26DE" w:rsidRDefault="00FB7D0B">
            <w:pPr>
              <w:jc w:val="right"/>
              <w:rPr>
                <w:rFonts w:ascii="Arial" w:eastAsia="Arial" w:hAnsi="Arial" w:cs="Arial"/>
                <w:color w:val="000000"/>
                <w:sz w:val="16"/>
              </w:rPr>
            </w:pPr>
            <w:r w:rsidRPr="003D26DE">
              <w:rPr>
                <w:rFonts w:ascii="Arial" w:eastAsia="Arial" w:hAnsi="Arial" w:cs="Arial"/>
                <w:color w:val="000000"/>
                <w:sz w:val="16"/>
              </w:rPr>
              <w:t>118,107 </w:t>
            </w:r>
          </w:p>
        </w:tc>
      </w:tr>
      <w:tr w:rsidR="00355BFE" w14:paraId="294241BC" w14:textId="77777777" w:rsidTr="00355BFE">
        <w:trPr>
          <w:trHeight w:val="225"/>
        </w:trPr>
        <w:tc>
          <w:tcPr>
            <w:tcW w:w="180" w:type="dxa"/>
            <w:tcBorders>
              <w:top w:val="nil"/>
              <w:left w:val="nil"/>
              <w:bottom w:val="nil"/>
              <w:right w:val="nil"/>
              <w:tl2br w:val="nil"/>
              <w:tr2bl w:val="nil"/>
            </w:tcBorders>
            <w:shd w:val="clear" w:color="auto" w:fill="FFFFFF"/>
            <w:tcMar>
              <w:left w:w="115" w:type="dxa"/>
              <w:right w:w="115" w:type="dxa"/>
            </w:tcMar>
            <w:vAlign w:val="bottom"/>
          </w:tcPr>
          <w:p w14:paraId="4B74E8A7" w14:textId="77777777" w:rsidR="003F0EEA" w:rsidRPr="003D26DE" w:rsidRDefault="003F0EEA">
            <w:pPr>
              <w:rPr>
                <w:rFonts w:ascii="Arial" w:eastAsia="Arial" w:hAnsi="Arial" w:cs="Arial"/>
                <w:color w:val="000000"/>
                <w:sz w:val="16"/>
              </w:rPr>
            </w:pPr>
          </w:p>
        </w:tc>
        <w:tc>
          <w:tcPr>
            <w:tcW w:w="3330" w:type="dxa"/>
            <w:gridSpan w:val="2"/>
            <w:tcBorders>
              <w:top w:val="nil"/>
              <w:left w:val="nil"/>
              <w:bottom w:val="nil"/>
              <w:right w:val="nil"/>
              <w:tl2br w:val="nil"/>
              <w:tr2bl w:val="nil"/>
            </w:tcBorders>
            <w:shd w:val="clear" w:color="auto" w:fill="FFFFFF"/>
            <w:tcMar>
              <w:left w:w="115" w:type="dxa"/>
              <w:right w:w="115" w:type="dxa"/>
            </w:tcMar>
            <w:vAlign w:val="bottom"/>
          </w:tcPr>
          <w:p w14:paraId="5F0E2608" w14:textId="77777777" w:rsidR="003F0EEA" w:rsidRPr="003D26DE" w:rsidRDefault="00FB7D0B">
            <w:pPr>
              <w:rPr>
                <w:rFonts w:ascii="Arial" w:eastAsia="Arial" w:hAnsi="Arial" w:cs="Arial"/>
                <w:color w:val="000000"/>
                <w:sz w:val="16"/>
              </w:rPr>
            </w:pPr>
            <w:r w:rsidRPr="003D26DE">
              <w:rPr>
                <w:rFonts w:ascii="Arial" w:eastAsia="Arial" w:hAnsi="Arial" w:cs="Arial"/>
                <w:color w:val="000000"/>
                <w:sz w:val="16"/>
              </w:rPr>
              <w:t>Reserves</w:t>
            </w:r>
          </w:p>
        </w:tc>
        <w:tc>
          <w:tcPr>
            <w:tcW w:w="990" w:type="dxa"/>
            <w:tcBorders>
              <w:top w:val="nil"/>
              <w:left w:val="nil"/>
              <w:bottom w:val="nil"/>
              <w:right w:val="nil"/>
              <w:tl2br w:val="nil"/>
              <w:tr2bl w:val="nil"/>
            </w:tcBorders>
            <w:shd w:val="clear" w:color="auto" w:fill="FFFFFF"/>
            <w:tcMar>
              <w:left w:w="115" w:type="dxa"/>
              <w:right w:w="115" w:type="dxa"/>
            </w:tcMar>
            <w:vAlign w:val="bottom"/>
          </w:tcPr>
          <w:p w14:paraId="3CD5F92B" w14:textId="77777777" w:rsidR="003F0EEA" w:rsidRPr="003D26DE" w:rsidRDefault="00FB7D0B">
            <w:pPr>
              <w:jc w:val="right"/>
              <w:rPr>
                <w:rFonts w:ascii="Arial" w:eastAsia="Arial" w:hAnsi="Arial" w:cs="Arial"/>
                <w:color w:val="000000"/>
                <w:sz w:val="16"/>
              </w:rPr>
            </w:pPr>
            <w:r w:rsidRPr="003D26DE">
              <w:rPr>
                <w:rFonts w:ascii="Arial" w:eastAsia="Arial" w:hAnsi="Arial" w:cs="Arial"/>
                <w:color w:val="000000"/>
                <w:sz w:val="16"/>
              </w:rPr>
              <w:t>616,056 </w:t>
            </w:r>
          </w:p>
        </w:tc>
        <w:tc>
          <w:tcPr>
            <w:tcW w:w="990" w:type="dxa"/>
            <w:tcBorders>
              <w:top w:val="nil"/>
              <w:left w:val="nil"/>
              <w:bottom w:val="nil"/>
              <w:right w:val="nil"/>
              <w:tl2br w:val="nil"/>
              <w:tr2bl w:val="nil"/>
            </w:tcBorders>
            <w:shd w:val="clear" w:color="auto" w:fill="C0C0C0"/>
            <w:tcMar>
              <w:left w:w="115" w:type="dxa"/>
              <w:right w:w="115" w:type="dxa"/>
            </w:tcMar>
            <w:vAlign w:val="bottom"/>
          </w:tcPr>
          <w:p w14:paraId="77C4AE8D" w14:textId="77777777" w:rsidR="003F0EEA" w:rsidRPr="003D26DE" w:rsidRDefault="00FB7D0B">
            <w:pPr>
              <w:jc w:val="right"/>
              <w:rPr>
                <w:rFonts w:ascii="Arial" w:eastAsia="Arial" w:hAnsi="Arial" w:cs="Arial"/>
                <w:color w:val="000000"/>
                <w:sz w:val="16"/>
              </w:rPr>
            </w:pPr>
            <w:r w:rsidRPr="003D26DE">
              <w:rPr>
                <w:rFonts w:ascii="Arial" w:eastAsia="Arial" w:hAnsi="Arial" w:cs="Arial"/>
                <w:color w:val="000000"/>
                <w:sz w:val="16"/>
              </w:rPr>
              <w:t>616,056 </w:t>
            </w:r>
          </w:p>
        </w:tc>
        <w:tc>
          <w:tcPr>
            <w:tcW w:w="990" w:type="dxa"/>
            <w:tcBorders>
              <w:top w:val="nil"/>
              <w:left w:val="nil"/>
              <w:bottom w:val="nil"/>
              <w:right w:val="nil"/>
              <w:tl2br w:val="nil"/>
              <w:tr2bl w:val="nil"/>
            </w:tcBorders>
            <w:shd w:val="clear" w:color="auto" w:fill="FFFFFF"/>
            <w:tcMar>
              <w:left w:w="115" w:type="dxa"/>
              <w:right w:w="115" w:type="dxa"/>
            </w:tcMar>
            <w:vAlign w:val="bottom"/>
          </w:tcPr>
          <w:p w14:paraId="4F693F73" w14:textId="77777777" w:rsidR="003F0EEA" w:rsidRPr="003D26DE" w:rsidRDefault="00FB7D0B">
            <w:pPr>
              <w:jc w:val="right"/>
              <w:rPr>
                <w:rFonts w:ascii="Arial" w:eastAsia="Arial" w:hAnsi="Arial" w:cs="Arial"/>
                <w:color w:val="000000"/>
                <w:sz w:val="16"/>
              </w:rPr>
            </w:pPr>
            <w:r w:rsidRPr="003D26DE">
              <w:rPr>
                <w:rFonts w:ascii="Arial" w:eastAsia="Arial" w:hAnsi="Arial" w:cs="Arial"/>
                <w:color w:val="000000"/>
                <w:sz w:val="16"/>
              </w:rPr>
              <w:t>616,056 </w:t>
            </w:r>
          </w:p>
        </w:tc>
        <w:tc>
          <w:tcPr>
            <w:tcW w:w="990" w:type="dxa"/>
            <w:tcBorders>
              <w:top w:val="nil"/>
              <w:left w:val="nil"/>
              <w:bottom w:val="nil"/>
              <w:right w:val="nil"/>
              <w:tl2br w:val="nil"/>
              <w:tr2bl w:val="nil"/>
            </w:tcBorders>
            <w:shd w:val="clear" w:color="auto" w:fill="FFFFFF"/>
            <w:tcMar>
              <w:left w:w="115" w:type="dxa"/>
              <w:right w:w="115" w:type="dxa"/>
            </w:tcMar>
            <w:vAlign w:val="bottom"/>
          </w:tcPr>
          <w:p w14:paraId="13B3EBBB" w14:textId="77777777" w:rsidR="003F0EEA" w:rsidRPr="003D26DE" w:rsidRDefault="00FB7D0B">
            <w:pPr>
              <w:jc w:val="right"/>
              <w:rPr>
                <w:rFonts w:ascii="Arial" w:eastAsia="Arial" w:hAnsi="Arial" w:cs="Arial"/>
                <w:color w:val="000000"/>
                <w:sz w:val="16"/>
              </w:rPr>
            </w:pPr>
            <w:r w:rsidRPr="003D26DE">
              <w:rPr>
                <w:rFonts w:ascii="Arial" w:eastAsia="Arial" w:hAnsi="Arial" w:cs="Arial"/>
                <w:color w:val="000000"/>
                <w:sz w:val="16"/>
              </w:rPr>
              <w:t>616,056 </w:t>
            </w:r>
          </w:p>
        </w:tc>
        <w:tc>
          <w:tcPr>
            <w:tcW w:w="990" w:type="dxa"/>
            <w:tcBorders>
              <w:top w:val="nil"/>
              <w:left w:val="nil"/>
              <w:bottom w:val="nil"/>
              <w:right w:val="nil"/>
              <w:tl2br w:val="nil"/>
              <w:tr2bl w:val="nil"/>
            </w:tcBorders>
            <w:shd w:val="clear" w:color="auto" w:fill="FFFFFF"/>
            <w:tcMar>
              <w:left w:w="115" w:type="dxa"/>
              <w:right w:w="115" w:type="dxa"/>
            </w:tcMar>
            <w:vAlign w:val="bottom"/>
          </w:tcPr>
          <w:p w14:paraId="78672D50" w14:textId="77777777" w:rsidR="003F0EEA" w:rsidRPr="003D26DE" w:rsidRDefault="00FB7D0B">
            <w:pPr>
              <w:jc w:val="right"/>
              <w:rPr>
                <w:rFonts w:ascii="Arial" w:eastAsia="Arial" w:hAnsi="Arial" w:cs="Arial"/>
                <w:color w:val="000000"/>
                <w:sz w:val="16"/>
              </w:rPr>
            </w:pPr>
            <w:r w:rsidRPr="003D26DE">
              <w:rPr>
                <w:rFonts w:ascii="Arial" w:eastAsia="Arial" w:hAnsi="Arial" w:cs="Arial"/>
                <w:color w:val="000000"/>
                <w:sz w:val="16"/>
              </w:rPr>
              <w:t>616,056 </w:t>
            </w:r>
          </w:p>
        </w:tc>
      </w:tr>
      <w:tr w:rsidR="00355BFE" w14:paraId="4AD21D82" w14:textId="77777777" w:rsidTr="00355BFE">
        <w:trPr>
          <w:trHeight w:val="225"/>
        </w:trPr>
        <w:tc>
          <w:tcPr>
            <w:tcW w:w="180" w:type="dxa"/>
            <w:tcBorders>
              <w:top w:val="nil"/>
              <w:left w:val="nil"/>
              <w:bottom w:val="nil"/>
              <w:right w:val="nil"/>
              <w:tl2br w:val="nil"/>
              <w:tr2bl w:val="nil"/>
            </w:tcBorders>
            <w:shd w:val="clear" w:color="auto" w:fill="FFFFFF"/>
            <w:tcMar>
              <w:left w:w="115" w:type="dxa"/>
              <w:right w:w="115" w:type="dxa"/>
            </w:tcMar>
            <w:vAlign w:val="bottom"/>
          </w:tcPr>
          <w:p w14:paraId="6DE0A3E2" w14:textId="77777777" w:rsidR="003F0EEA" w:rsidRPr="003D26DE" w:rsidRDefault="003F0EEA">
            <w:pPr>
              <w:rPr>
                <w:rFonts w:ascii="Arial" w:eastAsia="Arial" w:hAnsi="Arial" w:cs="Arial"/>
                <w:color w:val="000000"/>
                <w:sz w:val="16"/>
              </w:rPr>
            </w:pPr>
          </w:p>
        </w:tc>
        <w:tc>
          <w:tcPr>
            <w:tcW w:w="3330" w:type="dxa"/>
            <w:gridSpan w:val="2"/>
            <w:tcBorders>
              <w:top w:val="nil"/>
              <w:left w:val="nil"/>
              <w:bottom w:val="nil"/>
              <w:right w:val="nil"/>
              <w:tl2br w:val="nil"/>
              <w:tr2bl w:val="nil"/>
            </w:tcBorders>
            <w:shd w:val="clear" w:color="auto" w:fill="FFFFFF"/>
            <w:tcMar>
              <w:left w:w="115" w:type="dxa"/>
              <w:right w:w="115" w:type="dxa"/>
            </w:tcMar>
            <w:vAlign w:val="bottom"/>
          </w:tcPr>
          <w:p w14:paraId="5DFC0618" w14:textId="77777777" w:rsidR="003F0EEA" w:rsidRPr="003D26DE" w:rsidRDefault="00FB7D0B">
            <w:pPr>
              <w:rPr>
                <w:rFonts w:ascii="Arial" w:eastAsia="Arial" w:hAnsi="Arial" w:cs="Arial"/>
                <w:color w:val="000000"/>
                <w:sz w:val="16"/>
              </w:rPr>
            </w:pPr>
            <w:r w:rsidRPr="003D26DE">
              <w:rPr>
                <w:rFonts w:ascii="Arial" w:eastAsia="Arial" w:hAnsi="Arial" w:cs="Arial"/>
                <w:color w:val="000000"/>
                <w:sz w:val="16"/>
              </w:rPr>
              <w:t>Retained surplus</w:t>
            </w:r>
          </w:p>
        </w:tc>
        <w:tc>
          <w:tcPr>
            <w:tcW w:w="990" w:type="dxa"/>
            <w:tcBorders>
              <w:top w:val="nil"/>
              <w:left w:val="nil"/>
              <w:bottom w:val="nil"/>
              <w:right w:val="nil"/>
              <w:tl2br w:val="nil"/>
              <w:tr2bl w:val="nil"/>
            </w:tcBorders>
            <w:shd w:val="clear" w:color="auto" w:fill="FFFFFF"/>
            <w:tcMar>
              <w:left w:w="115" w:type="dxa"/>
              <w:right w:w="115" w:type="dxa"/>
            </w:tcMar>
            <w:vAlign w:val="bottom"/>
          </w:tcPr>
          <w:p w14:paraId="28829D43" w14:textId="77777777" w:rsidR="003F0EEA" w:rsidRPr="003D26DE" w:rsidRDefault="003F0EEA">
            <w:pPr>
              <w:rPr>
                <w:rFonts w:ascii="Arial" w:eastAsia="Arial" w:hAnsi="Arial" w:cs="Arial"/>
                <w:color w:val="000000"/>
                <w:sz w:val="16"/>
              </w:rPr>
            </w:pPr>
          </w:p>
        </w:tc>
        <w:tc>
          <w:tcPr>
            <w:tcW w:w="990" w:type="dxa"/>
            <w:tcBorders>
              <w:top w:val="nil"/>
              <w:left w:val="nil"/>
              <w:bottom w:val="nil"/>
              <w:right w:val="nil"/>
              <w:tl2br w:val="nil"/>
              <w:tr2bl w:val="nil"/>
            </w:tcBorders>
            <w:shd w:val="clear" w:color="auto" w:fill="C0C0C0"/>
            <w:tcMar>
              <w:left w:w="115" w:type="dxa"/>
              <w:right w:w="115" w:type="dxa"/>
            </w:tcMar>
            <w:vAlign w:val="bottom"/>
          </w:tcPr>
          <w:p w14:paraId="35D7E550" w14:textId="77777777" w:rsidR="003F0EEA" w:rsidRPr="003D26DE" w:rsidRDefault="003F0EEA">
            <w:pPr>
              <w:rPr>
                <w:rFonts w:ascii="Arial" w:eastAsia="Arial" w:hAnsi="Arial" w:cs="Arial"/>
                <w:color w:val="000000"/>
                <w:sz w:val="16"/>
              </w:rPr>
            </w:pPr>
          </w:p>
        </w:tc>
        <w:tc>
          <w:tcPr>
            <w:tcW w:w="990" w:type="dxa"/>
            <w:tcBorders>
              <w:top w:val="nil"/>
              <w:left w:val="nil"/>
              <w:bottom w:val="nil"/>
              <w:right w:val="nil"/>
              <w:tl2br w:val="nil"/>
              <w:tr2bl w:val="nil"/>
            </w:tcBorders>
            <w:shd w:val="clear" w:color="auto" w:fill="FFFFFF"/>
            <w:tcMar>
              <w:left w:w="115" w:type="dxa"/>
              <w:right w:w="115" w:type="dxa"/>
            </w:tcMar>
            <w:vAlign w:val="bottom"/>
          </w:tcPr>
          <w:p w14:paraId="3684FCF7" w14:textId="77777777" w:rsidR="003F0EEA" w:rsidRPr="003D26DE" w:rsidRDefault="003F0EEA">
            <w:pPr>
              <w:rPr>
                <w:rFonts w:ascii="Arial" w:eastAsia="Arial" w:hAnsi="Arial" w:cs="Arial"/>
                <w:color w:val="000000"/>
                <w:sz w:val="16"/>
              </w:rPr>
            </w:pPr>
          </w:p>
        </w:tc>
        <w:tc>
          <w:tcPr>
            <w:tcW w:w="990" w:type="dxa"/>
            <w:tcBorders>
              <w:top w:val="nil"/>
              <w:left w:val="nil"/>
              <w:bottom w:val="nil"/>
              <w:right w:val="nil"/>
              <w:tl2br w:val="nil"/>
              <w:tr2bl w:val="nil"/>
            </w:tcBorders>
            <w:shd w:val="clear" w:color="auto" w:fill="FFFFFF"/>
            <w:tcMar>
              <w:left w:w="115" w:type="dxa"/>
              <w:right w:w="115" w:type="dxa"/>
            </w:tcMar>
            <w:vAlign w:val="bottom"/>
          </w:tcPr>
          <w:p w14:paraId="26E94D79" w14:textId="77777777" w:rsidR="003F0EEA" w:rsidRPr="003D26DE" w:rsidRDefault="003F0EEA">
            <w:pPr>
              <w:rPr>
                <w:rFonts w:ascii="Arial" w:eastAsia="Arial" w:hAnsi="Arial" w:cs="Arial"/>
                <w:color w:val="000000"/>
                <w:sz w:val="16"/>
              </w:rPr>
            </w:pPr>
          </w:p>
        </w:tc>
        <w:tc>
          <w:tcPr>
            <w:tcW w:w="990" w:type="dxa"/>
            <w:tcBorders>
              <w:top w:val="nil"/>
              <w:left w:val="nil"/>
              <w:bottom w:val="nil"/>
              <w:right w:val="nil"/>
              <w:tl2br w:val="nil"/>
              <w:tr2bl w:val="nil"/>
            </w:tcBorders>
            <w:shd w:val="clear" w:color="auto" w:fill="FFFFFF"/>
            <w:tcMar>
              <w:left w:w="115" w:type="dxa"/>
              <w:right w:w="115" w:type="dxa"/>
            </w:tcMar>
            <w:vAlign w:val="bottom"/>
          </w:tcPr>
          <w:p w14:paraId="5F4DE835" w14:textId="77777777" w:rsidR="003F0EEA" w:rsidRPr="003D26DE" w:rsidRDefault="003F0EEA">
            <w:pPr>
              <w:rPr>
                <w:rFonts w:ascii="Arial" w:eastAsia="Arial" w:hAnsi="Arial" w:cs="Arial"/>
                <w:color w:val="000000"/>
                <w:sz w:val="16"/>
              </w:rPr>
            </w:pPr>
          </w:p>
        </w:tc>
      </w:tr>
      <w:tr w:rsidR="00724034" w14:paraId="6667EDA0" w14:textId="77777777">
        <w:trPr>
          <w:trHeight w:val="225"/>
        </w:trPr>
        <w:tc>
          <w:tcPr>
            <w:tcW w:w="180" w:type="dxa"/>
            <w:tcBorders>
              <w:top w:val="nil"/>
              <w:left w:val="nil"/>
              <w:bottom w:val="nil"/>
              <w:right w:val="nil"/>
              <w:tl2br w:val="nil"/>
              <w:tr2bl w:val="nil"/>
            </w:tcBorders>
            <w:shd w:val="clear" w:color="auto" w:fill="FFFFFF"/>
            <w:tcMar>
              <w:left w:w="115" w:type="dxa"/>
              <w:right w:w="115" w:type="dxa"/>
            </w:tcMar>
            <w:vAlign w:val="bottom"/>
          </w:tcPr>
          <w:p w14:paraId="79C2DF69" w14:textId="77777777" w:rsidR="003F0EEA" w:rsidRPr="003D26DE" w:rsidRDefault="003F0EEA">
            <w:pPr>
              <w:rPr>
                <w:rFonts w:ascii="Arial" w:eastAsia="Arial" w:hAnsi="Arial" w:cs="Arial"/>
                <w:color w:val="000000"/>
                <w:sz w:val="16"/>
              </w:rPr>
            </w:pPr>
          </w:p>
        </w:tc>
        <w:tc>
          <w:tcPr>
            <w:tcW w:w="180" w:type="dxa"/>
            <w:tcBorders>
              <w:top w:val="nil"/>
              <w:left w:val="nil"/>
              <w:bottom w:val="nil"/>
              <w:right w:val="nil"/>
              <w:tl2br w:val="nil"/>
              <w:tr2bl w:val="nil"/>
            </w:tcBorders>
            <w:shd w:val="clear" w:color="auto" w:fill="FFFFFF"/>
            <w:tcMar>
              <w:left w:w="115" w:type="dxa"/>
              <w:right w:w="115" w:type="dxa"/>
            </w:tcMar>
            <w:vAlign w:val="center"/>
          </w:tcPr>
          <w:p w14:paraId="4401C185" w14:textId="77777777" w:rsidR="003F0EEA" w:rsidRPr="003D26DE" w:rsidRDefault="003F0EEA">
            <w:pPr>
              <w:rPr>
                <w:rFonts w:ascii="Arial" w:eastAsia="Arial" w:hAnsi="Arial" w:cs="Arial"/>
                <w:color w:val="000000"/>
                <w:sz w:val="16"/>
              </w:rPr>
            </w:pPr>
          </w:p>
        </w:tc>
        <w:tc>
          <w:tcPr>
            <w:tcW w:w="3150" w:type="dxa"/>
            <w:tcBorders>
              <w:top w:val="nil"/>
              <w:left w:val="nil"/>
              <w:bottom w:val="nil"/>
              <w:right w:val="nil"/>
              <w:tl2br w:val="nil"/>
              <w:tr2bl w:val="nil"/>
            </w:tcBorders>
            <w:shd w:val="clear" w:color="auto" w:fill="FFFFFF"/>
            <w:tcMar>
              <w:left w:w="115" w:type="dxa"/>
              <w:right w:w="115" w:type="dxa"/>
            </w:tcMar>
            <w:vAlign w:val="bottom"/>
          </w:tcPr>
          <w:p w14:paraId="1269E742" w14:textId="77777777" w:rsidR="003F0EEA" w:rsidRPr="003D26DE" w:rsidRDefault="00FB7D0B">
            <w:pPr>
              <w:rPr>
                <w:rFonts w:ascii="Arial" w:eastAsia="Arial" w:hAnsi="Arial" w:cs="Arial"/>
                <w:color w:val="000000"/>
                <w:sz w:val="16"/>
              </w:rPr>
            </w:pPr>
            <w:r w:rsidRPr="003D26DE">
              <w:rPr>
                <w:rFonts w:ascii="Arial" w:eastAsia="Arial" w:hAnsi="Arial" w:cs="Arial"/>
                <w:color w:val="000000"/>
                <w:sz w:val="16"/>
              </w:rPr>
              <w:t>(accumulated deficit)</w:t>
            </w:r>
          </w:p>
        </w:tc>
        <w:tc>
          <w:tcPr>
            <w:tcW w:w="990"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03D97D96" w14:textId="77777777" w:rsidR="003F0EEA" w:rsidRPr="003D26DE" w:rsidRDefault="00FB7D0B">
            <w:pPr>
              <w:jc w:val="right"/>
              <w:rPr>
                <w:rFonts w:ascii="Arial" w:eastAsia="Arial" w:hAnsi="Arial" w:cs="Arial"/>
                <w:color w:val="000000"/>
                <w:sz w:val="16"/>
              </w:rPr>
            </w:pPr>
            <w:r w:rsidRPr="003D26DE">
              <w:rPr>
                <w:rFonts w:ascii="Arial" w:eastAsia="Arial" w:hAnsi="Arial" w:cs="Arial"/>
                <w:color w:val="000000"/>
                <w:sz w:val="16"/>
              </w:rPr>
              <w:t>562,910 </w:t>
            </w:r>
          </w:p>
        </w:tc>
        <w:tc>
          <w:tcPr>
            <w:tcW w:w="990" w:type="dxa"/>
            <w:tcBorders>
              <w:top w:val="nil"/>
              <w:left w:val="nil"/>
              <w:bottom w:val="single" w:sz="6" w:space="0" w:color="000000"/>
              <w:right w:val="nil"/>
              <w:tl2br w:val="nil"/>
              <w:tr2bl w:val="nil"/>
            </w:tcBorders>
            <w:shd w:val="clear" w:color="auto" w:fill="C0C0C0"/>
            <w:tcMar>
              <w:left w:w="115" w:type="dxa"/>
              <w:right w:w="115" w:type="dxa"/>
            </w:tcMar>
            <w:vAlign w:val="bottom"/>
          </w:tcPr>
          <w:p w14:paraId="49B39638" w14:textId="77777777" w:rsidR="003F0EEA" w:rsidRPr="003D26DE" w:rsidRDefault="00FB7D0B">
            <w:pPr>
              <w:jc w:val="right"/>
              <w:rPr>
                <w:rFonts w:ascii="Arial" w:eastAsia="Arial" w:hAnsi="Arial" w:cs="Arial"/>
                <w:color w:val="000000"/>
                <w:sz w:val="16"/>
              </w:rPr>
            </w:pPr>
            <w:r w:rsidRPr="003D26DE">
              <w:rPr>
                <w:rFonts w:ascii="Arial" w:eastAsia="Arial" w:hAnsi="Arial" w:cs="Arial"/>
                <w:color w:val="000000"/>
                <w:sz w:val="16"/>
              </w:rPr>
              <w:t>552,785 </w:t>
            </w:r>
          </w:p>
        </w:tc>
        <w:tc>
          <w:tcPr>
            <w:tcW w:w="990"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0996BB10" w14:textId="77777777" w:rsidR="003F0EEA" w:rsidRPr="003D26DE" w:rsidRDefault="00FB7D0B">
            <w:pPr>
              <w:jc w:val="right"/>
              <w:rPr>
                <w:rFonts w:ascii="Arial" w:eastAsia="Arial" w:hAnsi="Arial" w:cs="Arial"/>
                <w:color w:val="000000"/>
                <w:sz w:val="16"/>
              </w:rPr>
            </w:pPr>
            <w:r w:rsidRPr="003D26DE">
              <w:rPr>
                <w:rFonts w:ascii="Arial" w:eastAsia="Arial" w:hAnsi="Arial" w:cs="Arial"/>
                <w:color w:val="000000"/>
                <w:sz w:val="16"/>
              </w:rPr>
              <w:t>542,599 </w:t>
            </w:r>
          </w:p>
        </w:tc>
        <w:tc>
          <w:tcPr>
            <w:tcW w:w="990"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76930AAF" w14:textId="77777777" w:rsidR="003F0EEA" w:rsidRPr="003D26DE" w:rsidRDefault="00FB7D0B">
            <w:pPr>
              <w:jc w:val="right"/>
              <w:rPr>
                <w:rFonts w:ascii="Arial" w:eastAsia="Arial" w:hAnsi="Arial" w:cs="Arial"/>
                <w:color w:val="000000"/>
                <w:sz w:val="16"/>
              </w:rPr>
            </w:pPr>
            <w:r w:rsidRPr="003D26DE">
              <w:rPr>
                <w:rFonts w:ascii="Arial" w:eastAsia="Arial" w:hAnsi="Arial" w:cs="Arial"/>
                <w:color w:val="000000"/>
                <w:sz w:val="16"/>
              </w:rPr>
              <w:t>532,899 </w:t>
            </w:r>
          </w:p>
        </w:tc>
        <w:tc>
          <w:tcPr>
            <w:tcW w:w="990"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020DCC6C" w14:textId="77777777" w:rsidR="003F0EEA" w:rsidRPr="003D26DE" w:rsidRDefault="00FB7D0B">
            <w:pPr>
              <w:jc w:val="right"/>
              <w:rPr>
                <w:rFonts w:ascii="Arial" w:eastAsia="Arial" w:hAnsi="Arial" w:cs="Arial"/>
                <w:color w:val="000000"/>
                <w:sz w:val="16"/>
              </w:rPr>
            </w:pPr>
            <w:r w:rsidRPr="003D26DE">
              <w:rPr>
                <w:rFonts w:ascii="Arial" w:eastAsia="Arial" w:hAnsi="Arial" w:cs="Arial"/>
                <w:color w:val="000000"/>
                <w:sz w:val="16"/>
              </w:rPr>
              <w:t>523,784 </w:t>
            </w:r>
          </w:p>
        </w:tc>
      </w:tr>
      <w:tr w:rsidR="00355BFE" w14:paraId="51BE7625" w14:textId="77777777" w:rsidTr="00355BFE">
        <w:trPr>
          <w:trHeight w:val="225"/>
        </w:trPr>
        <w:tc>
          <w:tcPr>
            <w:tcW w:w="3510" w:type="dxa"/>
            <w:gridSpan w:val="3"/>
            <w:tcBorders>
              <w:top w:val="nil"/>
              <w:left w:val="nil"/>
              <w:bottom w:val="single" w:sz="6" w:space="0" w:color="000000"/>
              <w:right w:val="nil"/>
              <w:tl2br w:val="nil"/>
              <w:tr2bl w:val="nil"/>
            </w:tcBorders>
            <w:shd w:val="clear" w:color="auto" w:fill="FFFFFF"/>
            <w:tcMar>
              <w:left w:w="115" w:type="dxa"/>
              <w:right w:w="115" w:type="dxa"/>
            </w:tcMar>
            <w:vAlign w:val="bottom"/>
          </w:tcPr>
          <w:p w14:paraId="3C13FB47" w14:textId="77777777" w:rsidR="003F0EEA" w:rsidRPr="003D26DE" w:rsidRDefault="00FB7D0B">
            <w:pPr>
              <w:rPr>
                <w:rFonts w:ascii="Arial" w:eastAsia="Arial" w:hAnsi="Arial" w:cs="Arial"/>
                <w:color w:val="000000"/>
                <w:sz w:val="16"/>
              </w:rPr>
            </w:pPr>
            <w:r w:rsidRPr="003D26DE">
              <w:rPr>
                <w:rFonts w:ascii="Arial" w:eastAsia="Arial" w:hAnsi="Arial" w:cs="Arial"/>
                <w:b/>
                <w:color w:val="000000"/>
                <w:sz w:val="16"/>
              </w:rPr>
              <w:t>Total Equity</w:t>
            </w:r>
          </w:p>
        </w:tc>
        <w:tc>
          <w:tcPr>
            <w:tcW w:w="990" w:type="dxa"/>
            <w:tcBorders>
              <w:top w:val="single" w:sz="6" w:space="0" w:color="000000"/>
              <w:left w:val="nil"/>
              <w:bottom w:val="single" w:sz="6" w:space="0" w:color="000000"/>
              <w:right w:val="nil"/>
              <w:tl2br w:val="nil"/>
              <w:tr2bl w:val="nil"/>
            </w:tcBorders>
            <w:shd w:val="clear" w:color="auto" w:fill="FFFFFF"/>
            <w:tcMar>
              <w:left w:w="115" w:type="dxa"/>
              <w:right w:w="115" w:type="dxa"/>
            </w:tcMar>
            <w:vAlign w:val="bottom"/>
          </w:tcPr>
          <w:p w14:paraId="659BAFB4" w14:textId="77777777" w:rsidR="003F0EEA" w:rsidRPr="003D26DE" w:rsidRDefault="00FB7D0B">
            <w:pPr>
              <w:jc w:val="right"/>
              <w:rPr>
                <w:rFonts w:ascii="Arial" w:eastAsia="Arial" w:hAnsi="Arial" w:cs="Arial"/>
                <w:b/>
                <w:color w:val="000000"/>
                <w:sz w:val="16"/>
              </w:rPr>
            </w:pPr>
            <w:r w:rsidRPr="003D26DE">
              <w:rPr>
                <w:rFonts w:ascii="Arial" w:eastAsia="Arial" w:hAnsi="Arial" w:cs="Arial"/>
                <w:b/>
                <w:color w:val="000000"/>
                <w:sz w:val="16"/>
              </w:rPr>
              <w:t>1,262,674 </w:t>
            </w:r>
          </w:p>
        </w:tc>
        <w:tc>
          <w:tcPr>
            <w:tcW w:w="990" w:type="dxa"/>
            <w:tcBorders>
              <w:top w:val="single" w:sz="6" w:space="0" w:color="000000"/>
              <w:left w:val="nil"/>
              <w:bottom w:val="single" w:sz="6" w:space="0" w:color="000000"/>
              <w:right w:val="nil"/>
              <w:tl2br w:val="nil"/>
              <w:tr2bl w:val="nil"/>
            </w:tcBorders>
            <w:shd w:val="clear" w:color="auto" w:fill="C0C0C0"/>
            <w:tcMar>
              <w:left w:w="115" w:type="dxa"/>
              <w:right w:w="115" w:type="dxa"/>
            </w:tcMar>
            <w:vAlign w:val="bottom"/>
          </w:tcPr>
          <w:p w14:paraId="20B06F39" w14:textId="77777777" w:rsidR="003F0EEA" w:rsidRPr="003D26DE" w:rsidRDefault="00FB7D0B">
            <w:pPr>
              <w:jc w:val="right"/>
              <w:rPr>
                <w:rFonts w:ascii="Arial" w:eastAsia="Arial" w:hAnsi="Arial" w:cs="Arial"/>
                <w:b/>
                <w:color w:val="000000"/>
                <w:sz w:val="16"/>
              </w:rPr>
            </w:pPr>
            <w:r w:rsidRPr="003D26DE">
              <w:rPr>
                <w:rFonts w:ascii="Arial" w:eastAsia="Arial" w:hAnsi="Arial" w:cs="Arial"/>
                <w:b/>
                <w:color w:val="000000"/>
                <w:sz w:val="16"/>
              </w:rPr>
              <w:t>1,264,993 </w:t>
            </w:r>
          </w:p>
        </w:tc>
        <w:tc>
          <w:tcPr>
            <w:tcW w:w="990" w:type="dxa"/>
            <w:tcBorders>
              <w:top w:val="single" w:sz="6" w:space="0" w:color="000000"/>
              <w:left w:val="nil"/>
              <w:bottom w:val="single" w:sz="6" w:space="0" w:color="000000"/>
              <w:right w:val="nil"/>
              <w:tl2br w:val="nil"/>
              <w:tr2bl w:val="nil"/>
            </w:tcBorders>
            <w:shd w:val="clear" w:color="auto" w:fill="FFFFFF"/>
            <w:tcMar>
              <w:left w:w="115" w:type="dxa"/>
              <w:right w:w="115" w:type="dxa"/>
            </w:tcMar>
            <w:vAlign w:val="bottom"/>
          </w:tcPr>
          <w:p w14:paraId="2BA7A797" w14:textId="77777777" w:rsidR="003F0EEA" w:rsidRPr="003D26DE" w:rsidRDefault="00FB7D0B">
            <w:pPr>
              <w:jc w:val="right"/>
              <w:rPr>
                <w:rFonts w:ascii="Arial" w:eastAsia="Arial" w:hAnsi="Arial" w:cs="Arial"/>
                <w:b/>
                <w:color w:val="000000"/>
                <w:sz w:val="16"/>
              </w:rPr>
            </w:pPr>
            <w:r w:rsidRPr="003D26DE">
              <w:rPr>
                <w:rFonts w:ascii="Arial" w:eastAsia="Arial" w:hAnsi="Arial" w:cs="Arial"/>
                <w:b/>
                <w:color w:val="000000"/>
                <w:sz w:val="16"/>
              </w:rPr>
              <w:t>1,262,000 </w:t>
            </w:r>
          </w:p>
        </w:tc>
        <w:tc>
          <w:tcPr>
            <w:tcW w:w="990" w:type="dxa"/>
            <w:tcBorders>
              <w:top w:val="single" w:sz="6" w:space="0" w:color="000000"/>
              <w:left w:val="nil"/>
              <w:bottom w:val="single" w:sz="6" w:space="0" w:color="000000"/>
              <w:right w:val="nil"/>
              <w:tl2br w:val="nil"/>
              <w:tr2bl w:val="nil"/>
            </w:tcBorders>
            <w:shd w:val="clear" w:color="auto" w:fill="FFFFFF"/>
            <w:tcMar>
              <w:left w:w="115" w:type="dxa"/>
              <w:right w:w="115" w:type="dxa"/>
            </w:tcMar>
            <w:vAlign w:val="bottom"/>
          </w:tcPr>
          <w:p w14:paraId="59D50314" w14:textId="77777777" w:rsidR="003F0EEA" w:rsidRPr="003D26DE" w:rsidRDefault="00FB7D0B">
            <w:pPr>
              <w:jc w:val="right"/>
              <w:rPr>
                <w:rFonts w:ascii="Arial" w:eastAsia="Arial" w:hAnsi="Arial" w:cs="Arial"/>
                <w:b/>
                <w:color w:val="000000"/>
                <w:sz w:val="16"/>
              </w:rPr>
            </w:pPr>
            <w:r w:rsidRPr="003D26DE">
              <w:rPr>
                <w:rFonts w:ascii="Arial" w:eastAsia="Arial" w:hAnsi="Arial" w:cs="Arial"/>
                <w:b/>
                <w:color w:val="000000"/>
                <w:sz w:val="16"/>
              </w:rPr>
              <w:t>1,259,503 </w:t>
            </w:r>
          </w:p>
        </w:tc>
        <w:tc>
          <w:tcPr>
            <w:tcW w:w="990" w:type="dxa"/>
            <w:tcBorders>
              <w:top w:val="single" w:sz="6" w:space="0" w:color="000000"/>
              <w:left w:val="nil"/>
              <w:bottom w:val="single" w:sz="6" w:space="0" w:color="000000"/>
              <w:right w:val="nil"/>
              <w:tl2br w:val="nil"/>
              <w:tr2bl w:val="nil"/>
            </w:tcBorders>
            <w:shd w:val="clear" w:color="auto" w:fill="FFFFFF"/>
            <w:tcMar>
              <w:left w:w="115" w:type="dxa"/>
              <w:right w:w="115" w:type="dxa"/>
            </w:tcMar>
            <w:vAlign w:val="bottom"/>
          </w:tcPr>
          <w:p w14:paraId="5BE3EB15" w14:textId="77777777" w:rsidR="003F0EEA" w:rsidRPr="003D26DE" w:rsidRDefault="00FB7D0B">
            <w:pPr>
              <w:jc w:val="right"/>
              <w:rPr>
                <w:rFonts w:ascii="Arial" w:eastAsia="Arial" w:hAnsi="Arial" w:cs="Arial"/>
                <w:b/>
                <w:color w:val="000000"/>
                <w:sz w:val="16"/>
              </w:rPr>
            </w:pPr>
            <w:r w:rsidRPr="003D26DE">
              <w:rPr>
                <w:rFonts w:ascii="Arial" w:eastAsia="Arial" w:hAnsi="Arial" w:cs="Arial"/>
                <w:b/>
                <w:color w:val="000000"/>
                <w:sz w:val="16"/>
              </w:rPr>
              <w:t>1,257,947 </w:t>
            </w:r>
          </w:p>
        </w:tc>
      </w:tr>
    </w:tbl>
    <w:p w14:paraId="12C74A67" w14:textId="77777777" w:rsidR="003F0EEA" w:rsidRDefault="00FB7D0B" w:rsidP="003F0EEA">
      <w:pPr>
        <w:pStyle w:val="ChartandTableFootnote6"/>
      </w:pPr>
      <w:r>
        <w:t>*</w:t>
      </w:r>
      <w:r>
        <w:tab/>
        <w:t>'Equity' is the residual interest in assets after deduction of liabilities.</w:t>
      </w:r>
    </w:p>
    <w:p w14:paraId="027E068C" w14:textId="77777777" w:rsidR="003F0EEA" w:rsidRDefault="003F0EEA" w:rsidP="003F0EEA">
      <w:pPr>
        <w:pStyle w:val="Source18"/>
        <w:rPr>
          <w:rFonts w:cs="Arial"/>
          <w:sz w:val="15"/>
          <w:szCs w:val="15"/>
        </w:rPr>
      </w:pPr>
    </w:p>
    <w:p w14:paraId="37CDD405" w14:textId="77777777" w:rsidR="003F0EEA" w:rsidRDefault="00FB7D0B" w:rsidP="003F0EEA">
      <w:pPr>
        <w:pStyle w:val="Source18"/>
      </w:pPr>
      <w:r>
        <w:rPr>
          <w:rFonts w:cs="Arial"/>
        </w:rPr>
        <w:t>Prepared on Australian Accounting Standards basis.</w:t>
      </w:r>
    </w:p>
    <w:p w14:paraId="6E4B8F45" w14:textId="77777777" w:rsidR="003F0EEA" w:rsidRDefault="00FB7D0B">
      <w:pPr>
        <w:spacing w:line="14" w:lineRule="exact"/>
        <w:rPr>
          <w:rFonts w:eastAsia="Times New Roman" w:cs="Times New Roman"/>
        </w:rPr>
      </w:pPr>
      <w:r>
        <w:rPr>
          <w:rFonts w:eastAsia="Times New Roman" w:cs="Times New Roman"/>
        </w:rPr>
        <w:br w:type="page"/>
      </w:r>
    </w:p>
    <w:p w14:paraId="63C43789" w14:textId="77777777" w:rsidR="003F0EEA" w:rsidRDefault="00FB7D0B" w:rsidP="003F0EEA">
      <w:pPr>
        <w:pStyle w:val="Normal249"/>
        <w:spacing w:after="0"/>
        <w:jc w:val="left"/>
        <w:rPr>
          <w:rFonts w:ascii="Arial" w:hAnsi="Arial" w:cs="Arial"/>
          <w:b/>
        </w:rPr>
      </w:pPr>
      <w:r>
        <w:rPr>
          <w:rFonts w:ascii="Arial" w:hAnsi="Arial" w:cs="Arial"/>
          <w:b/>
        </w:rPr>
        <w:t>Table 3.2.3: Departmental Statement of Changes in Equity — S</w:t>
      </w:r>
      <w:r w:rsidRPr="007E2910">
        <w:rPr>
          <w:rFonts w:ascii="Arial" w:hAnsi="Arial" w:cs="Arial"/>
          <w:b/>
        </w:rPr>
        <w:t xml:space="preserve">ummary of </w:t>
      </w:r>
    </w:p>
    <w:p w14:paraId="79936B24" w14:textId="77777777" w:rsidR="003F0EEA" w:rsidRPr="007E2910" w:rsidRDefault="00FB7D0B" w:rsidP="003F0EEA">
      <w:pPr>
        <w:pStyle w:val="Normal249"/>
        <w:spacing w:after="0"/>
        <w:jc w:val="left"/>
        <w:rPr>
          <w:rFonts w:ascii="Arial" w:hAnsi="Arial" w:cs="Arial"/>
          <w:b/>
        </w:rPr>
      </w:pPr>
      <w:r>
        <w:rPr>
          <w:rFonts w:ascii="Arial" w:hAnsi="Arial" w:cs="Arial"/>
          <w:b/>
        </w:rPr>
        <w:t>Movement (Budget Y</w:t>
      </w:r>
      <w:r w:rsidRPr="007E2910">
        <w:rPr>
          <w:rFonts w:ascii="Arial" w:hAnsi="Arial" w:cs="Arial"/>
          <w:b/>
        </w:rPr>
        <w:t xml:space="preserve">ear </w:t>
      </w:r>
      <w:r>
        <w:rPr>
          <w:rFonts w:ascii="Arial" w:hAnsi="Arial" w:cs="Arial"/>
          <w:b/>
        </w:rPr>
        <w:t>2014-15</w:t>
      </w:r>
      <w:r w:rsidRPr="007E2910">
        <w:rPr>
          <w:rFonts w:ascii="Arial" w:hAnsi="Arial" w:cs="Arial"/>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0"/>
        <w:gridCol w:w="250"/>
        <w:gridCol w:w="3150"/>
        <w:gridCol w:w="915"/>
        <w:gridCol w:w="1095"/>
        <w:gridCol w:w="885"/>
        <w:gridCol w:w="1080"/>
        <w:gridCol w:w="1020"/>
      </w:tblGrid>
      <w:tr w:rsidR="00724034" w14:paraId="68F7D851" w14:textId="77777777">
        <w:trPr>
          <w:trHeight w:val="225"/>
        </w:trPr>
        <w:tc>
          <w:tcPr>
            <w:tcW w:w="180"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27824542" w14:textId="77777777" w:rsidR="003F0EEA" w:rsidRPr="007E2910" w:rsidRDefault="003F0EEA">
            <w:pPr>
              <w:rPr>
                <w:rFonts w:ascii="Arial" w:eastAsia="Times New Roman" w:hAnsi="Arial" w:cs="Arial"/>
                <w:b/>
              </w:rPr>
            </w:pPr>
          </w:p>
        </w:tc>
        <w:tc>
          <w:tcPr>
            <w:tcW w:w="180"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4BA7AE25" w14:textId="77777777" w:rsidR="003F0EEA" w:rsidRPr="007E2910" w:rsidRDefault="003F0EEA">
            <w:pPr>
              <w:rPr>
                <w:rFonts w:ascii="Arial" w:eastAsia="Arial" w:hAnsi="Arial" w:cs="Arial"/>
                <w:color w:val="000000"/>
                <w:sz w:val="16"/>
              </w:rPr>
            </w:pPr>
          </w:p>
        </w:tc>
        <w:tc>
          <w:tcPr>
            <w:tcW w:w="3150"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7AD0B1FB" w14:textId="77777777" w:rsidR="003F0EEA" w:rsidRPr="007E2910" w:rsidRDefault="003F0EEA">
            <w:pPr>
              <w:rPr>
                <w:rFonts w:ascii="Arial" w:eastAsia="Arial" w:hAnsi="Arial" w:cs="Arial"/>
                <w:color w:val="000000"/>
                <w:sz w:val="16"/>
              </w:rPr>
            </w:pPr>
          </w:p>
        </w:tc>
        <w:tc>
          <w:tcPr>
            <w:tcW w:w="915"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3348E3A5" w14:textId="77777777" w:rsidR="003F0EEA" w:rsidRPr="007E2910" w:rsidRDefault="00FB7D0B">
            <w:pPr>
              <w:jc w:val="right"/>
              <w:rPr>
                <w:rFonts w:ascii="Arial" w:eastAsia="Arial" w:hAnsi="Arial" w:cs="Arial"/>
                <w:color w:val="000000"/>
                <w:sz w:val="16"/>
              </w:rPr>
            </w:pPr>
            <w:r w:rsidRPr="007E2910">
              <w:rPr>
                <w:rFonts w:ascii="Arial" w:eastAsia="Arial" w:hAnsi="Arial" w:cs="Arial"/>
                <w:color w:val="000000"/>
                <w:sz w:val="16"/>
              </w:rPr>
              <w:t>Retained</w:t>
            </w:r>
          </w:p>
        </w:tc>
        <w:tc>
          <w:tcPr>
            <w:tcW w:w="1095"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0E51F55B" w14:textId="77777777" w:rsidR="003F0EEA" w:rsidRPr="007E2910" w:rsidRDefault="00FB7D0B">
            <w:pPr>
              <w:jc w:val="right"/>
              <w:rPr>
                <w:rFonts w:ascii="Arial" w:eastAsia="Arial" w:hAnsi="Arial" w:cs="Arial"/>
                <w:color w:val="000000"/>
                <w:sz w:val="16"/>
              </w:rPr>
            </w:pPr>
            <w:r w:rsidRPr="007E2910">
              <w:rPr>
                <w:rFonts w:ascii="Arial" w:eastAsia="Arial" w:hAnsi="Arial" w:cs="Arial"/>
                <w:color w:val="000000"/>
                <w:sz w:val="16"/>
              </w:rPr>
              <w:t>Asset</w:t>
            </w:r>
          </w:p>
        </w:tc>
        <w:tc>
          <w:tcPr>
            <w:tcW w:w="885"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793E5150" w14:textId="77777777" w:rsidR="003F0EEA" w:rsidRPr="007E2910" w:rsidRDefault="00FB7D0B">
            <w:pPr>
              <w:jc w:val="right"/>
              <w:rPr>
                <w:rFonts w:ascii="Arial" w:eastAsia="Arial" w:hAnsi="Arial" w:cs="Arial"/>
                <w:color w:val="000000"/>
                <w:sz w:val="16"/>
              </w:rPr>
            </w:pPr>
            <w:r w:rsidRPr="007E2910">
              <w:rPr>
                <w:rFonts w:ascii="Arial" w:eastAsia="Arial" w:hAnsi="Arial" w:cs="Arial"/>
                <w:color w:val="000000"/>
                <w:sz w:val="16"/>
              </w:rPr>
              <w:t>Other</w:t>
            </w:r>
          </w:p>
        </w:tc>
        <w:tc>
          <w:tcPr>
            <w:tcW w:w="1080"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66C25F2C" w14:textId="77777777" w:rsidR="003F0EEA" w:rsidRPr="007E2910" w:rsidRDefault="00FB7D0B">
            <w:pPr>
              <w:jc w:val="right"/>
              <w:rPr>
                <w:rFonts w:ascii="Arial" w:eastAsia="Arial" w:hAnsi="Arial" w:cs="Arial"/>
                <w:color w:val="000000"/>
                <w:sz w:val="16"/>
              </w:rPr>
            </w:pPr>
            <w:r w:rsidRPr="007E2910">
              <w:rPr>
                <w:rFonts w:ascii="Arial" w:eastAsia="Arial" w:hAnsi="Arial" w:cs="Arial"/>
                <w:color w:val="000000"/>
                <w:sz w:val="16"/>
              </w:rPr>
              <w:t>Contributed</w:t>
            </w:r>
          </w:p>
        </w:tc>
        <w:tc>
          <w:tcPr>
            <w:tcW w:w="1020"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49CA1797" w14:textId="77777777" w:rsidR="003F0EEA" w:rsidRPr="007E2910" w:rsidRDefault="00FB7D0B">
            <w:pPr>
              <w:jc w:val="right"/>
              <w:rPr>
                <w:rFonts w:ascii="Arial" w:eastAsia="Arial" w:hAnsi="Arial" w:cs="Arial"/>
                <w:color w:val="000000"/>
                <w:sz w:val="16"/>
              </w:rPr>
            </w:pPr>
            <w:r w:rsidRPr="007E2910">
              <w:rPr>
                <w:rFonts w:ascii="Arial" w:eastAsia="Arial" w:hAnsi="Arial" w:cs="Arial"/>
                <w:color w:val="000000"/>
                <w:sz w:val="16"/>
              </w:rPr>
              <w:t>Total</w:t>
            </w:r>
          </w:p>
        </w:tc>
      </w:tr>
      <w:tr w:rsidR="00724034" w14:paraId="207ADFEA" w14:textId="77777777">
        <w:trPr>
          <w:trHeight w:val="225"/>
        </w:trPr>
        <w:tc>
          <w:tcPr>
            <w:tcW w:w="180" w:type="dxa"/>
            <w:tcBorders>
              <w:top w:val="nil"/>
              <w:left w:val="nil"/>
              <w:bottom w:val="nil"/>
              <w:right w:val="nil"/>
              <w:tl2br w:val="nil"/>
              <w:tr2bl w:val="nil"/>
            </w:tcBorders>
            <w:shd w:val="clear" w:color="auto" w:fill="FFFFFF"/>
            <w:tcMar>
              <w:left w:w="115" w:type="dxa"/>
              <w:right w:w="115" w:type="dxa"/>
            </w:tcMar>
            <w:vAlign w:val="bottom"/>
          </w:tcPr>
          <w:p w14:paraId="07327AD0" w14:textId="77777777" w:rsidR="003F0EEA" w:rsidRPr="007E2910" w:rsidRDefault="003F0EEA">
            <w:pPr>
              <w:jc w:val="right"/>
              <w:rPr>
                <w:rFonts w:ascii="Arial" w:eastAsia="Arial" w:hAnsi="Arial" w:cs="Arial"/>
                <w:color w:val="000000"/>
                <w:sz w:val="16"/>
              </w:rPr>
            </w:pPr>
          </w:p>
        </w:tc>
        <w:tc>
          <w:tcPr>
            <w:tcW w:w="180" w:type="dxa"/>
            <w:tcBorders>
              <w:top w:val="nil"/>
              <w:left w:val="nil"/>
              <w:bottom w:val="nil"/>
              <w:right w:val="nil"/>
              <w:tl2br w:val="nil"/>
              <w:tr2bl w:val="nil"/>
            </w:tcBorders>
            <w:shd w:val="clear" w:color="auto" w:fill="FFFFFF"/>
            <w:tcMar>
              <w:left w:w="115" w:type="dxa"/>
              <w:right w:w="115" w:type="dxa"/>
            </w:tcMar>
            <w:vAlign w:val="bottom"/>
          </w:tcPr>
          <w:p w14:paraId="369E39CE" w14:textId="77777777" w:rsidR="003F0EEA" w:rsidRPr="007E2910" w:rsidRDefault="003F0EEA">
            <w:pPr>
              <w:jc w:val="right"/>
              <w:rPr>
                <w:rFonts w:ascii="Arial" w:eastAsia="Arial" w:hAnsi="Arial" w:cs="Arial"/>
                <w:color w:val="000000"/>
                <w:sz w:val="16"/>
              </w:rPr>
            </w:pPr>
          </w:p>
        </w:tc>
        <w:tc>
          <w:tcPr>
            <w:tcW w:w="3150" w:type="dxa"/>
            <w:tcBorders>
              <w:top w:val="nil"/>
              <w:left w:val="nil"/>
              <w:bottom w:val="nil"/>
              <w:right w:val="nil"/>
              <w:tl2br w:val="nil"/>
              <w:tr2bl w:val="nil"/>
            </w:tcBorders>
            <w:shd w:val="clear" w:color="auto" w:fill="FFFFFF"/>
            <w:tcMar>
              <w:left w:w="115" w:type="dxa"/>
              <w:right w:w="115" w:type="dxa"/>
            </w:tcMar>
            <w:vAlign w:val="bottom"/>
          </w:tcPr>
          <w:p w14:paraId="6F1C6F2C" w14:textId="77777777" w:rsidR="003F0EEA" w:rsidRPr="007E2910" w:rsidRDefault="003F0EEA">
            <w:pPr>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FFFFFF"/>
            <w:tcMar>
              <w:left w:w="115" w:type="dxa"/>
              <w:right w:w="115" w:type="dxa"/>
            </w:tcMar>
            <w:vAlign w:val="bottom"/>
          </w:tcPr>
          <w:p w14:paraId="30E1D4EF" w14:textId="77777777" w:rsidR="003F0EEA" w:rsidRPr="007E2910" w:rsidRDefault="00FB7D0B">
            <w:pPr>
              <w:jc w:val="right"/>
              <w:rPr>
                <w:rFonts w:ascii="Arial" w:eastAsia="Arial" w:hAnsi="Arial" w:cs="Arial"/>
                <w:color w:val="000000"/>
                <w:sz w:val="16"/>
              </w:rPr>
            </w:pPr>
            <w:r w:rsidRPr="007E2910">
              <w:rPr>
                <w:rFonts w:ascii="Arial" w:eastAsia="Arial" w:hAnsi="Arial" w:cs="Arial"/>
                <w:color w:val="000000"/>
                <w:sz w:val="16"/>
              </w:rPr>
              <w:t>earnings</w:t>
            </w:r>
          </w:p>
        </w:tc>
        <w:tc>
          <w:tcPr>
            <w:tcW w:w="1095" w:type="dxa"/>
            <w:tcBorders>
              <w:top w:val="nil"/>
              <w:left w:val="nil"/>
              <w:bottom w:val="nil"/>
              <w:right w:val="nil"/>
              <w:tl2br w:val="nil"/>
              <w:tr2bl w:val="nil"/>
            </w:tcBorders>
            <w:shd w:val="clear" w:color="auto" w:fill="FFFFFF"/>
            <w:tcMar>
              <w:left w:w="115" w:type="dxa"/>
              <w:right w:w="115" w:type="dxa"/>
            </w:tcMar>
            <w:vAlign w:val="bottom"/>
          </w:tcPr>
          <w:p w14:paraId="62B2A8AB" w14:textId="77777777" w:rsidR="003F0EEA" w:rsidRPr="007E2910" w:rsidRDefault="00FB7D0B">
            <w:pPr>
              <w:jc w:val="right"/>
              <w:rPr>
                <w:rFonts w:ascii="Arial" w:eastAsia="Arial" w:hAnsi="Arial" w:cs="Arial"/>
                <w:color w:val="000000"/>
                <w:sz w:val="16"/>
              </w:rPr>
            </w:pPr>
            <w:r w:rsidRPr="007E2910">
              <w:rPr>
                <w:rFonts w:ascii="Arial" w:eastAsia="Arial" w:hAnsi="Arial" w:cs="Arial"/>
                <w:color w:val="000000"/>
                <w:sz w:val="16"/>
              </w:rPr>
              <w:t>revaluation</w:t>
            </w:r>
          </w:p>
        </w:tc>
        <w:tc>
          <w:tcPr>
            <w:tcW w:w="885" w:type="dxa"/>
            <w:tcBorders>
              <w:top w:val="nil"/>
              <w:left w:val="nil"/>
              <w:bottom w:val="nil"/>
              <w:right w:val="nil"/>
              <w:tl2br w:val="nil"/>
              <w:tr2bl w:val="nil"/>
            </w:tcBorders>
            <w:shd w:val="clear" w:color="auto" w:fill="FFFFFF"/>
            <w:tcMar>
              <w:left w:w="115" w:type="dxa"/>
              <w:right w:w="115" w:type="dxa"/>
            </w:tcMar>
            <w:vAlign w:val="bottom"/>
          </w:tcPr>
          <w:p w14:paraId="7AFD8BC6" w14:textId="77777777" w:rsidR="003F0EEA" w:rsidRPr="007E2910" w:rsidRDefault="00FB7D0B">
            <w:pPr>
              <w:jc w:val="right"/>
              <w:rPr>
                <w:rFonts w:ascii="Arial" w:eastAsia="Arial" w:hAnsi="Arial" w:cs="Arial"/>
                <w:color w:val="000000"/>
                <w:sz w:val="16"/>
              </w:rPr>
            </w:pPr>
            <w:r w:rsidRPr="007E2910">
              <w:rPr>
                <w:rFonts w:ascii="Arial" w:eastAsia="Arial" w:hAnsi="Arial" w:cs="Arial"/>
                <w:color w:val="000000"/>
                <w:sz w:val="16"/>
              </w:rPr>
              <w:t>reserves</w:t>
            </w:r>
          </w:p>
        </w:tc>
        <w:tc>
          <w:tcPr>
            <w:tcW w:w="1080" w:type="dxa"/>
            <w:tcBorders>
              <w:top w:val="nil"/>
              <w:left w:val="nil"/>
              <w:bottom w:val="nil"/>
              <w:right w:val="nil"/>
              <w:tl2br w:val="nil"/>
              <w:tr2bl w:val="nil"/>
            </w:tcBorders>
            <w:shd w:val="clear" w:color="auto" w:fill="FFFFFF"/>
            <w:tcMar>
              <w:left w:w="115" w:type="dxa"/>
              <w:right w:w="115" w:type="dxa"/>
            </w:tcMar>
            <w:vAlign w:val="bottom"/>
          </w:tcPr>
          <w:p w14:paraId="6BE81B18" w14:textId="77777777" w:rsidR="003F0EEA" w:rsidRPr="007E2910" w:rsidRDefault="00FB7D0B">
            <w:pPr>
              <w:jc w:val="right"/>
              <w:rPr>
                <w:rFonts w:ascii="Arial" w:eastAsia="Arial" w:hAnsi="Arial" w:cs="Arial"/>
                <w:color w:val="000000"/>
                <w:sz w:val="16"/>
              </w:rPr>
            </w:pPr>
            <w:r w:rsidRPr="007E2910">
              <w:rPr>
                <w:rFonts w:ascii="Arial" w:eastAsia="Arial" w:hAnsi="Arial" w:cs="Arial"/>
                <w:color w:val="000000"/>
                <w:sz w:val="16"/>
              </w:rPr>
              <w:t>equity/</w:t>
            </w:r>
          </w:p>
        </w:tc>
        <w:tc>
          <w:tcPr>
            <w:tcW w:w="1020" w:type="dxa"/>
            <w:tcBorders>
              <w:top w:val="nil"/>
              <w:left w:val="nil"/>
              <w:bottom w:val="nil"/>
              <w:right w:val="nil"/>
              <w:tl2br w:val="nil"/>
              <w:tr2bl w:val="nil"/>
            </w:tcBorders>
            <w:shd w:val="clear" w:color="auto" w:fill="FFFFFF"/>
            <w:tcMar>
              <w:left w:w="115" w:type="dxa"/>
              <w:right w:w="115" w:type="dxa"/>
            </w:tcMar>
            <w:vAlign w:val="bottom"/>
          </w:tcPr>
          <w:p w14:paraId="426464C6" w14:textId="77777777" w:rsidR="003F0EEA" w:rsidRPr="007E2910" w:rsidRDefault="00FB7D0B">
            <w:pPr>
              <w:jc w:val="right"/>
              <w:rPr>
                <w:rFonts w:ascii="Arial" w:eastAsia="Arial" w:hAnsi="Arial" w:cs="Arial"/>
                <w:color w:val="000000"/>
                <w:sz w:val="16"/>
              </w:rPr>
            </w:pPr>
            <w:r w:rsidRPr="007E2910">
              <w:rPr>
                <w:rFonts w:ascii="Arial" w:eastAsia="Arial" w:hAnsi="Arial" w:cs="Arial"/>
                <w:color w:val="000000"/>
                <w:sz w:val="16"/>
              </w:rPr>
              <w:t>equity</w:t>
            </w:r>
          </w:p>
        </w:tc>
      </w:tr>
      <w:tr w:rsidR="00724034" w14:paraId="040620DB" w14:textId="77777777">
        <w:trPr>
          <w:trHeight w:val="225"/>
        </w:trPr>
        <w:tc>
          <w:tcPr>
            <w:tcW w:w="180" w:type="dxa"/>
            <w:tcBorders>
              <w:top w:val="nil"/>
              <w:left w:val="nil"/>
              <w:bottom w:val="nil"/>
              <w:right w:val="nil"/>
              <w:tl2br w:val="nil"/>
              <w:tr2bl w:val="nil"/>
            </w:tcBorders>
            <w:shd w:val="clear" w:color="auto" w:fill="FFFFFF"/>
            <w:tcMar>
              <w:left w:w="115" w:type="dxa"/>
              <w:right w:w="115" w:type="dxa"/>
            </w:tcMar>
            <w:vAlign w:val="bottom"/>
          </w:tcPr>
          <w:p w14:paraId="24ECE1A3" w14:textId="77777777" w:rsidR="003F0EEA" w:rsidRPr="007E2910" w:rsidRDefault="003F0EEA">
            <w:pPr>
              <w:jc w:val="right"/>
              <w:rPr>
                <w:rFonts w:ascii="Arial" w:eastAsia="Arial" w:hAnsi="Arial" w:cs="Arial"/>
                <w:color w:val="000000"/>
                <w:sz w:val="16"/>
              </w:rPr>
            </w:pPr>
          </w:p>
        </w:tc>
        <w:tc>
          <w:tcPr>
            <w:tcW w:w="180" w:type="dxa"/>
            <w:tcBorders>
              <w:top w:val="nil"/>
              <w:left w:val="nil"/>
              <w:bottom w:val="nil"/>
              <w:right w:val="nil"/>
              <w:tl2br w:val="nil"/>
              <w:tr2bl w:val="nil"/>
            </w:tcBorders>
            <w:shd w:val="clear" w:color="auto" w:fill="FFFFFF"/>
            <w:tcMar>
              <w:left w:w="115" w:type="dxa"/>
              <w:right w:w="115" w:type="dxa"/>
            </w:tcMar>
            <w:vAlign w:val="bottom"/>
          </w:tcPr>
          <w:p w14:paraId="2E98E496" w14:textId="77777777" w:rsidR="003F0EEA" w:rsidRPr="007E2910" w:rsidRDefault="003F0EEA">
            <w:pPr>
              <w:jc w:val="right"/>
              <w:rPr>
                <w:rFonts w:ascii="Arial" w:eastAsia="Arial" w:hAnsi="Arial" w:cs="Arial"/>
                <w:color w:val="000000"/>
                <w:sz w:val="16"/>
              </w:rPr>
            </w:pPr>
          </w:p>
        </w:tc>
        <w:tc>
          <w:tcPr>
            <w:tcW w:w="3150" w:type="dxa"/>
            <w:tcBorders>
              <w:top w:val="nil"/>
              <w:left w:val="nil"/>
              <w:bottom w:val="nil"/>
              <w:right w:val="nil"/>
              <w:tl2br w:val="nil"/>
              <w:tr2bl w:val="nil"/>
            </w:tcBorders>
            <w:shd w:val="clear" w:color="auto" w:fill="FFFFFF"/>
            <w:tcMar>
              <w:left w:w="115" w:type="dxa"/>
              <w:right w:w="115" w:type="dxa"/>
            </w:tcMar>
            <w:vAlign w:val="bottom"/>
          </w:tcPr>
          <w:p w14:paraId="3A861513" w14:textId="77777777" w:rsidR="003F0EEA" w:rsidRPr="007E2910" w:rsidRDefault="003F0EEA">
            <w:pPr>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FFFFFF"/>
            <w:tcMar>
              <w:left w:w="115" w:type="dxa"/>
              <w:right w:w="115" w:type="dxa"/>
            </w:tcMar>
            <w:vAlign w:val="bottom"/>
          </w:tcPr>
          <w:p w14:paraId="44E357CA" w14:textId="77777777" w:rsidR="003F0EEA" w:rsidRPr="007E2910" w:rsidRDefault="003F0EEA">
            <w:pPr>
              <w:jc w:val="right"/>
              <w:rPr>
                <w:rFonts w:ascii="Arial" w:eastAsia="Arial" w:hAnsi="Arial" w:cs="Arial"/>
                <w:color w:val="000000"/>
                <w:sz w:val="16"/>
              </w:rPr>
            </w:pPr>
          </w:p>
        </w:tc>
        <w:tc>
          <w:tcPr>
            <w:tcW w:w="1095" w:type="dxa"/>
            <w:tcBorders>
              <w:top w:val="nil"/>
              <w:left w:val="nil"/>
              <w:bottom w:val="nil"/>
              <w:right w:val="nil"/>
              <w:tl2br w:val="nil"/>
              <w:tr2bl w:val="nil"/>
            </w:tcBorders>
            <w:shd w:val="clear" w:color="auto" w:fill="FFFFFF"/>
            <w:tcMar>
              <w:left w:w="115" w:type="dxa"/>
              <w:right w:w="115" w:type="dxa"/>
            </w:tcMar>
            <w:vAlign w:val="bottom"/>
          </w:tcPr>
          <w:p w14:paraId="60ABAAB6" w14:textId="77777777" w:rsidR="003F0EEA" w:rsidRPr="007E2910" w:rsidRDefault="00FB7D0B">
            <w:pPr>
              <w:jc w:val="right"/>
              <w:rPr>
                <w:rFonts w:ascii="Arial" w:eastAsia="Arial" w:hAnsi="Arial" w:cs="Arial"/>
                <w:color w:val="000000"/>
                <w:sz w:val="16"/>
              </w:rPr>
            </w:pPr>
            <w:r w:rsidRPr="007E2910">
              <w:rPr>
                <w:rFonts w:ascii="Arial" w:eastAsia="Arial" w:hAnsi="Arial" w:cs="Arial"/>
                <w:color w:val="000000"/>
                <w:sz w:val="16"/>
              </w:rPr>
              <w:t>reserve</w:t>
            </w:r>
          </w:p>
        </w:tc>
        <w:tc>
          <w:tcPr>
            <w:tcW w:w="885" w:type="dxa"/>
            <w:tcBorders>
              <w:top w:val="nil"/>
              <w:left w:val="nil"/>
              <w:bottom w:val="nil"/>
              <w:right w:val="nil"/>
              <w:tl2br w:val="nil"/>
              <w:tr2bl w:val="nil"/>
            </w:tcBorders>
            <w:shd w:val="clear" w:color="auto" w:fill="FFFFFF"/>
            <w:tcMar>
              <w:left w:w="115" w:type="dxa"/>
              <w:right w:w="115" w:type="dxa"/>
            </w:tcMar>
            <w:vAlign w:val="bottom"/>
          </w:tcPr>
          <w:p w14:paraId="34C0E926" w14:textId="77777777" w:rsidR="003F0EEA" w:rsidRPr="007E2910" w:rsidRDefault="003F0EEA">
            <w:pPr>
              <w:jc w:val="right"/>
              <w:rPr>
                <w:rFonts w:ascii="Arial" w:eastAsia="Arial" w:hAnsi="Arial" w:cs="Arial"/>
                <w:color w:val="000000"/>
                <w:sz w:val="16"/>
              </w:rPr>
            </w:pPr>
          </w:p>
        </w:tc>
        <w:tc>
          <w:tcPr>
            <w:tcW w:w="1080" w:type="dxa"/>
            <w:tcBorders>
              <w:top w:val="nil"/>
              <w:left w:val="nil"/>
              <w:bottom w:val="nil"/>
              <w:right w:val="nil"/>
              <w:tl2br w:val="nil"/>
              <w:tr2bl w:val="nil"/>
            </w:tcBorders>
            <w:shd w:val="clear" w:color="auto" w:fill="FFFFFF"/>
            <w:tcMar>
              <w:left w:w="115" w:type="dxa"/>
              <w:right w:w="115" w:type="dxa"/>
            </w:tcMar>
            <w:vAlign w:val="bottom"/>
          </w:tcPr>
          <w:p w14:paraId="67BD3942" w14:textId="77777777" w:rsidR="003F0EEA" w:rsidRPr="007E2910" w:rsidRDefault="00FB7D0B">
            <w:pPr>
              <w:jc w:val="right"/>
              <w:rPr>
                <w:rFonts w:ascii="Arial" w:eastAsia="Arial" w:hAnsi="Arial" w:cs="Arial"/>
                <w:color w:val="000000"/>
                <w:sz w:val="16"/>
              </w:rPr>
            </w:pPr>
            <w:r w:rsidRPr="007E2910">
              <w:rPr>
                <w:rFonts w:ascii="Arial" w:eastAsia="Arial" w:hAnsi="Arial" w:cs="Arial"/>
                <w:color w:val="000000"/>
                <w:sz w:val="16"/>
              </w:rPr>
              <w:t>capital</w:t>
            </w:r>
          </w:p>
        </w:tc>
        <w:tc>
          <w:tcPr>
            <w:tcW w:w="1020" w:type="dxa"/>
            <w:tcBorders>
              <w:top w:val="nil"/>
              <w:left w:val="nil"/>
              <w:bottom w:val="nil"/>
              <w:right w:val="nil"/>
              <w:tl2br w:val="nil"/>
              <w:tr2bl w:val="nil"/>
            </w:tcBorders>
            <w:shd w:val="clear" w:color="auto" w:fill="FFFFFF"/>
            <w:tcMar>
              <w:left w:w="115" w:type="dxa"/>
              <w:right w:w="115" w:type="dxa"/>
            </w:tcMar>
            <w:vAlign w:val="bottom"/>
          </w:tcPr>
          <w:p w14:paraId="614A8CBD" w14:textId="77777777" w:rsidR="003F0EEA" w:rsidRPr="007E2910" w:rsidRDefault="003F0EEA">
            <w:pPr>
              <w:jc w:val="right"/>
              <w:rPr>
                <w:rFonts w:ascii="Arial" w:eastAsia="Arial" w:hAnsi="Arial" w:cs="Arial"/>
                <w:color w:val="000000"/>
                <w:sz w:val="16"/>
              </w:rPr>
            </w:pPr>
          </w:p>
        </w:tc>
      </w:tr>
      <w:tr w:rsidR="00724034" w14:paraId="73D091FE" w14:textId="77777777">
        <w:trPr>
          <w:trHeight w:val="225"/>
        </w:trPr>
        <w:tc>
          <w:tcPr>
            <w:tcW w:w="180" w:type="dxa"/>
            <w:tcBorders>
              <w:top w:val="nil"/>
              <w:left w:val="nil"/>
              <w:bottom w:val="nil"/>
              <w:right w:val="nil"/>
              <w:tl2br w:val="nil"/>
              <w:tr2bl w:val="nil"/>
            </w:tcBorders>
            <w:shd w:val="clear" w:color="auto" w:fill="FFFFFF"/>
            <w:tcMar>
              <w:left w:w="115" w:type="dxa"/>
              <w:right w:w="115" w:type="dxa"/>
            </w:tcMar>
            <w:vAlign w:val="bottom"/>
          </w:tcPr>
          <w:p w14:paraId="7A271E23" w14:textId="77777777" w:rsidR="003F0EEA" w:rsidRPr="007E2910" w:rsidRDefault="003F0EEA">
            <w:pPr>
              <w:jc w:val="right"/>
              <w:rPr>
                <w:rFonts w:ascii="Arial" w:eastAsia="Arial" w:hAnsi="Arial" w:cs="Arial"/>
                <w:color w:val="000000"/>
                <w:sz w:val="16"/>
              </w:rPr>
            </w:pPr>
          </w:p>
        </w:tc>
        <w:tc>
          <w:tcPr>
            <w:tcW w:w="180" w:type="dxa"/>
            <w:tcBorders>
              <w:top w:val="nil"/>
              <w:left w:val="nil"/>
              <w:bottom w:val="nil"/>
              <w:right w:val="nil"/>
              <w:tl2br w:val="nil"/>
              <w:tr2bl w:val="nil"/>
            </w:tcBorders>
            <w:shd w:val="clear" w:color="auto" w:fill="FFFFFF"/>
            <w:tcMar>
              <w:left w:w="115" w:type="dxa"/>
              <w:right w:w="115" w:type="dxa"/>
            </w:tcMar>
            <w:vAlign w:val="bottom"/>
          </w:tcPr>
          <w:p w14:paraId="49BC27D7" w14:textId="77777777" w:rsidR="003F0EEA" w:rsidRPr="007E2910" w:rsidRDefault="003F0EEA">
            <w:pPr>
              <w:jc w:val="right"/>
              <w:rPr>
                <w:rFonts w:ascii="Arial" w:eastAsia="Arial" w:hAnsi="Arial" w:cs="Arial"/>
                <w:color w:val="000000"/>
                <w:sz w:val="16"/>
              </w:rPr>
            </w:pPr>
          </w:p>
        </w:tc>
        <w:tc>
          <w:tcPr>
            <w:tcW w:w="3150" w:type="dxa"/>
            <w:tcBorders>
              <w:top w:val="nil"/>
              <w:left w:val="nil"/>
              <w:bottom w:val="nil"/>
              <w:right w:val="nil"/>
              <w:tl2br w:val="nil"/>
              <w:tr2bl w:val="nil"/>
            </w:tcBorders>
            <w:shd w:val="clear" w:color="auto" w:fill="FFFFFF"/>
            <w:tcMar>
              <w:left w:w="115" w:type="dxa"/>
              <w:right w:w="115" w:type="dxa"/>
            </w:tcMar>
            <w:vAlign w:val="bottom"/>
          </w:tcPr>
          <w:p w14:paraId="52513826" w14:textId="77777777" w:rsidR="003F0EEA" w:rsidRPr="007E2910" w:rsidRDefault="003F0EEA">
            <w:pPr>
              <w:jc w:val="right"/>
              <w:rPr>
                <w:rFonts w:ascii="Arial" w:eastAsia="Arial" w:hAnsi="Arial" w:cs="Arial"/>
                <w:color w:val="000000"/>
                <w:sz w:val="16"/>
              </w:rPr>
            </w:pPr>
          </w:p>
        </w:tc>
        <w:tc>
          <w:tcPr>
            <w:tcW w:w="915"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10E3E9DE" w14:textId="77777777" w:rsidR="003F0EEA" w:rsidRPr="007E2910" w:rsidRDefault="00FB7D0B">
            <w:pPr>
              <w:jc w:val="right"/>
              <w:rPr>
                <w:rFonts w:ascii="Arial" w:eastAsia="Arial" w:hAnsi="Arial" w:cs="Arial"/>
                <w:color w:val="000000"/>
                <w:sz w:val="16"/>
              </w:rPr>
            </w:pPr>
            <w:r w:rsidRPr="007E2910">
              <w:rPr>
                <w:rFonts w:ascii="Arial" w:eastAsia="Arial" w:hAnsi="Arial" w:cs="Arial"/>
                <w:color w:val="000000"/>
                <w:sz w:val="16"/>
              </w:rPr>
              <w:t>$'000</w:t>
            </w:r>
          </w:p>
        </w:tc>
        <w:tc>
          <w:tcPr>
            <w:tcW w:w="1095"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128F97E2" w14:textId="77777777" w:rsidR="003F0EEA" w:rsidRPr="007E2910" w:rsidRDefault="00FB7D0B">
            <w:pPr>
              <w:jc w:val="right"/>
              <w:rPr>
                <w:rFonts w:ascii="Arial" w:eastAsia="Arial" w:hAnsi="Arial" w:cs="Arial"/>
                <w:color w:val="000000"/>
                <w:sz w:val="16"/>
              </w:rPr>
            </w:pPr>
            <w:r w:rsidRPr="007E2910">
              <w:rPr>
                <w:rFonts w:ascii="Arial" w:eastAsia="Arial" w:hAnsi="Arial" w:cs="Arial"/>
                <w:color w:val="000000"/>
                <w:sz w:val="16"/>
              </w:rPr>
              <w:t>$'000</w:t>
            </w:r>
          </w:p>
        </w:tc>
        <w:tc>
          <w:tcPr>
            <w:tcW w:w="885"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29C26F5A" w14:textId="77777777" w:rsidR="003F0EEA" w:rsidRPr="007E2910" w:rsidRDefault="00FB7D0B">
            <w:pPr>
              <w:jc w:val="right"/>
              <w:rPr>
                <w:rFonts w:ascii="Arial" w:eastAsia="Arial" w:hAnsi="Arial" w:cs="Arial"/>
                <w:color w:val="000000"/>
                <w:sz w:val="16"/>
              </w:rPr>
            </w:pPr>
            <w:r w:rsidRPr="007E2910">
              <w:rPr>
                <w:rFonts w:ascii="Arial" w:eastAsia="Arial" w:hAnsi="Arial" w:cs="Arial"/>
                <w:color w:val="000000"/>
                <w:sz w:val="16"/>
              </w:rPr>
              <w:t>$'000</w:t>
            </w:r>
          </w:p>
        </w:tc>
        <w:tc>
          <w:tcPr>
            <w:tcW w:w="1080"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233696A8" w14:textId="77777777" w:rsidR="003F0EEA" w:rsidRPr="007E2910" w:rsidRDefault="00FB7D0B">
            <w:pPr>
              <w:jc w:val="right"/>
              <w:rPr>
                <w:rFonts w:ascii="Arial" w:eastAsia="Arial" w:hAnsi="Arial" w:cs="Arial"/>
                <w:color w:val="000000"/>
                <w:sz w:val="16"/>
              </w:rPr>
            </w:pPr>
            <w:r w:rsidRPr="007E2910">
              <w:rPr>
                <w:rFonts w:ascii="Arial" w:eastAsia="Arial" w:hAnsi="Arial" w:cs="Arial"/>
                <w:color w:val="000000"/>
                <w:sz w:val="16"/>
              </w:rPr>
              <w:t>$'000</w:t>
            </w:r>
          </w:p>
        </w:tc>
        <w:tc>
          <w:tcPr>
            <w:tcW w:w="1020"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003E5F09" w14:textId="77777777" w:rsidR="003F0EEA" w:rsidRPr="007E2910" w:rsidRDefault="00FB7D0B">
            <w:pPr>
              <w:jc w:val="right"/>
              <w:rPr>
                <w:rFonts w:ascii="Arial" w:eastAsia="Arial" w:hAnsi="Arial" w:cs="Arial"/>
                <w:color w:val="000000"/>
                <w:sz w:val="16"/>
              </w:rPr>
            </w:pPr>
            <w:r w:rsidRPr="007E2910">
              <w:rPr>
                <w:rFonts w:ascii="Arial" w:eastAsia="Arial" w:hAnsi="Arial" w:cs="Arial"/>
                <w:color w:val="000000"/>
                <w:sz w:val="16"/>
              </w:rPr>
              <w:t>$'000</w:t>
            </w:r>
          </w:p>
        </w:tc>
      </w:tr>
      <w:tr w:rsidR="00355BFE" w14:paraId="45705ACE" w14:textId="77777777" w:rsidTr="00355BFE">
        <w:trPr>
          <w:trHeight w:val="225"/>
        </w:trPr>
        <w:tc>
          <w:tcPr>
            <w:tcW w:w="3510" w:type="dxa"/>
            <w:gridSpan w:val="3"/>
            <w:tcBorders>
              <w:top w:val="nil"/>
              <w:left w:val="nil"/>
              <w:bottom w:val="nil"/>
              <w:right w:val="nil"/>
              <w:tl2br w:val="nil"/>
              <w:tr2bl w:val="nil"/>
            </w:tcBorders>
            <w:shd w:val="clear" w:color="auto" w:fill="FFFFFF"/>
            <w:tcMar>
              <w:left w:w="115" w:type="dxa"/>
              <w:right w:w="115" w:type="dxa"/>
            </w:tcMar>
            <w:vAlign w:val="bottom"/>
          </w:tcPr>
          <w:p w14:paraId="237DA02F" w14:textId="77777777" w:rsidR="003F0EEA" w:rsidRPr="007E2910" w:rsidRDefault="00FB7D0B">
            <w:pPr>
              <w:rPr>
                <w:rFonts w:ascii="Arial" w:eastAsia="Arial" w:hAnsi="Arial" w:cs="Arial"/>
                <w:color w:val="000000"/>
                <w:sz w:val="16"/>
              </w:rPr>
            </w:pPr>
            <w:r w:rsidRPr="007E2910">
              <w:rPr>
                <w:rFonts w:ascii="Arial" w:eastAsia="Arial" w:hAnsi="Arial" w:cs="Arial"/>
                <w:b/>
                <w:color w:val="000000"/>
                <w:sz w:val="16"/>
              </w:rPr>
              <w:t>Opening balance as at 1 July 2014</w:t>
            </w:r>
          </w:p>
        </w:tc>
        <w:tc>
          <w:tcPr>
            <w:tcW w:w="915"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2576E3F2" w14:textId="77777777" w:rsidR="003F0EEA" w:rsidRPr="007E2910" w:rsidRDefault="003F0EEA">
            <w:pPr>
              <w:rPr>
                <w:rFonts w:ascii="Arial" w:eastAsia="Arial" w:hAnsi="Arial" w:cs="Arial"/>
                <w:b/>
                <w:color w:val="000000"/>
                <w:sz w:val="16"/>
              </w:rPr>
            </w:pPr>
          </w:p>
        </w:tc>
        <w:tc>
          <w:tcPr>
            <w:tcW w:w="1095"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5D138F95" w14:textId="77777777" w:rsidR="003F0EEA" w:rsidRPr="007E2910" w:rsidRDefault="003F0EEA">
            <w:pPr>
              <w:rPr>
                <w:rFonts w:ascii="Arial" w:eastAsia="Arial" w:hAnsi="Arial" w:cs="Arial"/>
                <w:color w:val="000000"/>
                <w:sz w:val="16"/>
              </w:rPr>
            </w:pPr>
          </w:p>
        </w:tc>
        <w:tc>
          <w:tcPr>
            <w:tcW w:w="885"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52782AB5" w14:textId="77777777" w:rsidR="003F0EEA" w:rsidRPr="007E2910" w:rsidRDefault="003F0EEA">
            <w:pPr>
              <w:rPr>
                <w:rFonts w:ascii="Arial" w:eastAsia="Arial" w:hAnsi="Arial" w:cs="Arial"/>
                <w:color w:val="000000"/>
                <w:sz w:val="16"/>
              </w:rPr>
            </w:pPr>
          </w:p>
        </w:tc>
        <w:tc>
          <w:tcPr>
            <w:tcW w:w="1080"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670B4AF3" w14:textId="77777777" w:rsidR="003F0EEA" w:rsidRPr="007E2910" w:rsidRDefault="003F0EEA">
            <w:pPr>
              <w:rPr>
                <w:rFonts w:ascii="Arial" w:eastAsia="Arial" w:hAnsi="Arial" w:cs="Arial"/>
                <w:color w:val="000000"/>
                <w:sz w:val="16"/>
              </w:rPr>
            </w:pPr>
          </w:p>
        </w:tc>
        <w:tc>
          <w:tcPr>
            <w:tcW w:w="1020"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37474D61" w14:textId="77777777" w:rsidR="003F0EEA" w:rsidRPr="007E2910" w:rsidRDefault="003F0EEA">
            <w:pPr>
              <w:rPr>
                <w:rFonts w:ascii="Arial" w:eastAsia="Arial" w:hAnsi="Arial" w:cs="Arial"/>
                <w:color w:val="000000"/>
                <w:sz w:val="16"/>
              </w:rPr>
            </w:pPr>
          </w:p>
        </w:tc>
      </w:tr>
      <w:tr w:rsidR="00355BFE" w14:paraId="2E82AD0B" w14:textId="77777777" w:rsidTr="00355BFE">
        <w:trPr>
          <w:trHeight w:val="225"/>
        </w:trPr>
        <w:tc>
          <w:tcPr>
            <w:tcW w:w="180" w:type="dxa"/>
            <w:tcBorders>
              <w:top w:val="nil"/>
              <w:left w:val="nil"/>
              <w:bottom w:val="nil"/>
              <w:right w:val="nil"/>
              <w:tl2br w:val="nil"/>
              <w:tr2bl w:val="nil"/>
            </w:tcBorders>
            <w:shd w:val="clear" w:color="auto" w:fill="FFFFFF"/>
            <w:tcMar>
              <w:left w:w="115" w:type="dxa"/>
              <w:right w:w="115" w:type="dxa"/>
            </w:tcMar>
            <w:vAlign w:val="bottom"/>
          </w:tcPr>
          <w:p w14:paraId="02585F24" w14:textId="77777777" w:rsidR="003F0EEA" w:rsidRPr="007E2910" w:rsidRDefault="003F0EEA">
            <w:pPr>
              <w:rPr>
                <w:rFonts w:ascii="Arial" w:eastAsia="Arial" w:hAnsi="Arial" w:cs="Arial"/>
                <w:color w:val="000000"/>
                <w:sz w:val="16"/>
              </w:rPr>
            </w:pPr>
          </w:p>
        </w:tc>
        <w:tc>
          <w:tcPr>
            <w:tcW w:w="3330" w:type="dxa"/>
            <w:gridSpan w:val="2"/>
            <w:tcBorders>
              <w:top w:val="nil"/>
              <w:left w:val="nil"/>
              <w:bottom w:val="nil"/>
              <w:right w:val="nil"/>
              <w:tl2br w:val="nil"/>
              <w:tr2bl w:val="nil"/>
            </w:tcBorders>
            <w:shd w:val="clear" w:color="auto" w:fill="FFFFFF"/>
            <w:tcMar>
              <w:left w:w="115" w:type="dxa"/>
              <w:right w:w="115" w:type="dxa"/>
            </w:tcMar>
            <w:vAlign w:val="bottom"/>
          </w:tcPr>
          <w:p w14:paraId="13469470" w14:textId="77777777" w:rsidR="003F0EEA" w:rsidRPr="007E2910" w:rsidRDefault="00FB7D0B">
            <w:pPr>
              <w:rPr>
                <w:rFonts w:ascii="Arial" w:eastAsia="Arial" w:hAnsi="Arial" w:cs="Arial"/>
                <w:color w:val="000000"/>
                <w:sz w:val="16"/>
              </w:rPr>
            </w:pPr>
            <w:r w:rsidRPr="007E2910">
              <w:rPr>
                <w:rFonts w:ascii="Arial" w:eastAsia="Arial" w:hAnsi="Arial" w:cs="Arial"/>
                <w:color w:val="000000"/>
                <w:sz w:val="16"/>
              </w:rPr>
              <w:t>Balance carried forward from</w:t>
            </w:r>
          </w:p>
        </w:tc>
        <w:tc>
          <w:tcPr>
            <w:tcW w:w="915" w:type="dxa"/>
            <w:tcBorders>
              <w:top w:val="nil"/>
              <w:left w:val="nil"/>
              <w:bottom w:val="nil"/>
              <w:right w:val="nil"/>
              <w:tl2br w:val="nil"/>
              <w:tr2bl w:val="nil"/>
            </w:tcBorders>
            <w:shd w:val="clear" w:color="auto" w:fill="FFFFFF"/>
            <w:tcMar>
              <w:left w:w="115" w:type="dxa"/>
              <w:right w:w="115" w:type="dxa"/>
            </w:tcMar>
            <w:vAlign w:val="bottom"/>
          </w:tcPr>
          <w:p w14:paraId="15B9548D" w14:textId="77777777" w:rsidR="003F0EEA" w:rsidRPr="007E2910" w:rsidRDefault="003F0EEA">
            <w:pPr>
              <w:rPr>
                <w:rFonts w:ascii="Arial" w:eastAsia="Arial" w:hAnsi="Arial" w:cs="Arial"/>
                <w:color w:val="000000"/>
                <w:sz w:val="16"/>
              </w:rPr>
            </w:pPr>
          </w:p>
        </w:tc>
        <w:tc>
          <w:tcPr>
            <w:tcW w:w="1095" w:type="dxa"/>
            <w:tcBorders>
              <w:top w:val="nil"/>
              <w:left w:val="nil"/>
              <w:bottom w:val="nil"/>
              <w:right w:val="nil"/>
              <w:tl2br w:val="nil"/>
              <w:tr2bl w:val="nil"/>
            </w:tcBorders>
            <w:shd w:val="clear" w:color="auto" w:fill="FFFFFF"/>
            <w:tcMar>
              <w:left w:w="115" w:type="dxa"/>
              <w:right w:w="115" w:type="dxa"/>
            </w:tcMar>
            <w:vAlign w:val="bottom"/>
          </w:tcPr>
          <w:p w14:paraId="01ED50C3" w14:textId="77777777" w:rsidR="003F0EEA" w:rsidRPr="007E2910" w:rsidRDefault="003F0EEA">
            <w:pPr>
              <w:rPr>
                <w:rFonts w:ascii="Arial" w:eastAsia="Arial" w:hAnsi="Arial" w:cs="Arial"/>
                <w:color w:val="000000"/>
                <w:sz w:val="16"/>
              </w:rPr>
            </w:pPr>
          </w:p>
        </w:tc>
        <w:tc>
          <w:tcPr>
            <w:tcW w:w="885" w:type="dxa"/>
            <w:tcBorders>
              <w:top w:val="nil"/>
              <w:left w:val="nil"/>
              <w:bottom w:val="nil"/>
              <w:right w:val="nil"/>
              <w:tl2br w:val="nil"/>
              <w:tr2bl w:val="nil"/>
            </w:tcBorders>
            <w:shd w:val="clear" w:color="auto" w:fill="FFFFFF"/>
            <w:tcMar>
              <w:left w:w="115" w:type="dxa"/>
              <w:right w:w="115" w:type="dxa"/>
            </w:tcMar>
            <w:vAlign w:val="bottom"/>
          </w:tcPr>
          <w:p w14:paraId="083FEA69" w14:textId="77777777" w:rsidR="003F0EEA" w:rsidRPr="007E2910" w:rsidRDefault="003F0EEA">
            <w:pPr>
              <w:rPr>
                <w:rFonts w:ascii="Arial" w:eastAsia="Arial" w:hAnsi="Arial" w:cs="Arial"/>
                <w:color w:val="000000"/>
                <w:sz w:val="16"/>
              </w:rPr>
            </w:pPr>
          </w:p>
        </w:tc>
        <w:tc>
          <w:tcPr>
            <w:tcW w:w="1080" w:type="dxa"/>
            <w:tcBorders>
              <w:top w:val="nil"/>
              <w:left w:val="nil"/>
              <w:bottom w:val="nil"/>
              <w:right w:val="nil"/>
              <w:tl2br w:val="nil"/>
              <w:tr2bl w:val="nil"/>
            </w:tcBorders>
            <w:shd w:val="clear" w:color="auto" w:fill="FFFFFF"/>
            <w:tcMar>
              <w:left w:w="115" w:type="dxa"/>
              <w:right w:w="115" w:type="dxa"/>
            </w:tcMar>
            <w:vAlign w:val="bottom"/>
          </w:tcPr>
          <w:p w14:paraId="17108003" w14:textId="77777777" w:rsidR="003F0EEA" w:rsidRPr="007E2910" w:rsidRDefault="003F0EEA">
            <w:pPr>
              <w:rPr>
                <w:rFonts w:ascii="Arial" w:eastAsia="Arial" w:hAnsi="Arial" w:cs="Arial"/>
                <w:color w:val="000000"/>
                <w:sz w:val="16"/>
              </w:rPr>
            </w:pPr>
          </w:p>
        </w:tc>
        <w:tc>
          <w:tcPr>
            <w:tcW w:w="1020" w:type="dxa"/>
            <w:tcBorders>
              <w:top w:val="nil"/>
              <w:left w:val="nil"/>
              <w:bottom w:val="nil"/>
              <w:right w:val="nil"/>
              <w:tl2br w:val="nil"/>
              <w:tr2bl w:val="nil"/>
            </w:tcBorders>
            <w:shd w:val="clear" w:color="auto" w:fill="FFFFFF"/>
            <w:tcMar>
              <w:left w:w="115" w:type="dxa"/>
              <w:right w:w="115" w:type="dxa"/>
            </w:tcMar>
            <w:vAlign w:val="bottom"/>
          </w:tcPr>
          <w:p w14:paraId="6F0BB098" w14:textId="77777777" w:rsidR="003F0EEA" w:rsidRPr="007E2910" w:rsidRDefault="003F0EEA">
            <w:pPr>
              <w:rPr>
                <w:rFonts w:ascii="Arial" w:eastAsia="Arial" w:hAnsi="Arial" w:cs="Arial"/>
                <w:color w:val="000000"/>
                <w:sz w:val="16"/>
              </w:rPr>
            </w:pPr>
          </w:p>
        </w:tc>
      </w:tr>
      <w:tr w:rsidR="00724034" w14:paraId="7D9F3D42" w14:textId="77777777">
        <w:trPr>
          <w:trHeight w:val="225"/>
        </w:trPr>
        <w:tc>
          <w:tcPr>
            <w:tcW w:w="180" w:type="dxa"/>
            <w:tcBorders>
              <w:top w:val="nil"/>
              <w:left w:val="nil"/>
              <w:bottom w:val="nil"/>
              <w:right w:val="nil"/>
              <w:tl2br w:val="nil"/>
              <w:tr2bl w:val="nil"/>
            </w:tcBorders>
            <w:shd w:val="clear" w:color="auto" w:fill="FFFFFF"/>
            <w:tcMar>
              <w:left w:w="115" w:type="dxa"/>
              <w:right w:w="115" w:type="dxa"/>
            </w:tcMar>
            <w:vAlign w:val="bottom"/>
          </w:tcPr>
          <w:p w14:paraId="66355DEE" w14:textId="77777777" w:rsidR="003F0EEA" w:rsidRPr="007E2910" w:rsidRDefault="003F0EEA">
            <w:pPr>
              <w:rPr>
                <w:rFonts w:ascii="Arial" w:eastAsia="Arial" w:hAnsi="Arial" w:cs="Arial"/>
                <w:color w:val="000000"/>
                <w:sz w:val="16"/>
              </w:rPr>
            </w:pPr>
          </w:p>
        </w:tc>
        <w:tc>
          <w:tcPr>
            <w:tcW w:w="180" w:type="dxa"/>
            <w:tcBorders>
              <w:top w:val="nil"/>
              <w:left w:val="nil"/>
              <w:bottom w:val="nil"/>
              <w:right w:val="nil"/>
              <w:tl2br w:val="nil"/>
              <w:tr2bl w:val="nil"/>
            </w:tcBorders>
            <w:shd w:val="clear" w:color="auto" w:fill="FFFFFF"/>
            <w:tcMar>
              <w:left w:w="115" w:type="dxa"/>
              <w:right w:w="115" w:type="dxa"/>
            </w:tcMar>
            <w:vAlign w:val="bottom"/>
          </w:tcPr>
          <w:p w14:paraId="2861529F" w14:textId="77777777" w:rsidR="003F0EEA" w:rsidRPr="007E2910" w:rsidRDefault="003F0EEA">
            <w:pPr>
              <w:rPr>
                <w:rFonts w:ascii="Arial" w:eastAsia="Arial" w:hAnsi="Arial" w:cs="Arial"/>
                <w:color w:val="000000"/>
                <w:sz w:val="16"/>
              </w:rPr>
            </w:pPr>
          </w:p>
        </w:tc>
        <w:tc>
          <w:tcPr>
            <w:tcW w:w="3150" w:type="dxa"/>
            <w:tcBorders>
              <w:top w:val="nil"/>
              <w:left w:val="nil"/>
              <w:bottom w:val="nil"/>
              <w:right w:val="nil"/>
              <w:tl2br w:val="nil"/>
              <w:tr2bl w:val="nil"/>
            </w:tcBorders>
            <w:shd w:val="clear" w:color="auto" w:fill="FFFFFF"/>
            <w:tcMar>
              <w:left w:w="115" w:type="dxa"/>
              <w:right w:w="115" w:type="dxa"/>
            </w:tcMar>
            <w:vAlign w:val="bottom"/>
          </w:tcPr>
          <w:p w14:paraId="38AB6B77" w14:textId="77777777" w:rsidR="003F0EEA" w:rsidRPr="007E2910" w:rsidRDefault="00FB7D0B">
            <w:pPr>
              <w:rPr>
                <w:rFonts w:ascii="Arial" w:eastAsia="Arial" w:hAnsi="Arial" w:cs="Arial"/>
                <w:color w:val="000000"/>
                <w:sz w:val="16"/>
              </w:rPr>
            </w:pPr>
            <w:r w:rsidRPr="007E2910">
              <w:rPr>
                <w:rFonts w:ascii="Arial" w:eastAsia="Arial" w:hAnsi="Arial" w:cs="Arial"/>
                <w:color w:val="000000"/>
                <w:sz w:val="16"/>
              </w:rPr>
              <w:t>previous period</w:t>
            </w:r>
          </w:p>
        </w:tc>
        <w:tc>
          <w:tcPr>
            <w:tcW w:w="915" w:type="dxa"/>
            <w:tcBorders>
              <w:top w:val="nil"/>
              <w:left w:val="nil"/>
              <w:bottom w:val="nil"/>
              <w:right w:val="nil"/>
              <w:tl2br w:val="nil"/>
              <w:tr2bl w:val="nil"/>
            </w:tcBorders>
            <w:shd w:val="clear" w:color="auto" w:fill="FFFFFF"/>
            <w:tcMar>
              <w:left w:w="115" w:type="dxa"/>
              <w:right w:w="115" w:type="dxa"/>
            </w:tcMar>
            <w:vAlign w:val="bottom"/>
          </w:tcPr>
          <w:p w14:paraId="23467592" w14:textId="77777777" w:rsidR="003F0EEA" w:rsidRPr="007E2910" w:rsidRDefault="00FB7D0B">
            <w:pPr>
              <w:jc w:val="right"/>
              <w:rPr>
                <w:rFonts w:ascii="Arial" w:eastAsia="Arial" w:hAnsi="Arial" w:cs="Arial"/>
                <w:color w:val="000000"/>
                <w:sz w:val="16"/>
              </w:rPr>
            </w:pPr>
            <w:r w:rsidRPr="007E2910">
              <w:rPr>
                <w:rFonts w:ascii="Arial" w:eastAsia="Arial" w:hAnsi="Arial" w:cs="Arial"/>
                <w:color w:val="000000"/>
                <w:sz w:val="16"/>
              </w:rPr>
              <w:t xml:space="preserve"> 562,910 </w:t>
            </w:r>
          </w:p>
        </w:tc>
        <w:tc>
          <w:tcPr>
            <w:tcW w:w="1095" w:type="dxa"/>
            <w:tcBorders>
              <w:top w:val="nil"/>
              <w:left w:val="nil"/>
              <w:bottom w:val="nil"/>
              <w:right w:val="nil"/>
              <w:tl2br w:val="nil"/>
              <w:tr2bl w:val="nil"/>
            </w:tcBorders>
            <w:shd w:val="clear" w:color="auto" w:fill="FFFFFF"/>
            <w:tcMar>
              <w:left w:w="115" w:type="dxa"/>
              <w:right w:w="115" w:type="dxa"/>
            </w:tcMar>
            <w:vAlign w:val="bottom"/>
          </w:tcPr>
          <w:p w14:paraId="61192480" w14:textId="77777777" w:rsidR="003F0EEA" w:rsidRPr="007E2910" w:rsidRDefault="00FB7D0B">
            <w:pPr>
              <w:jc w:val="right"/>
              <w:rPr>
                <w:rFonts w:ascii="Arial" w:eastAsia="Arial" w:hAnsi="Arial" w:cs="Arial"/>
                <w:color w:val="000000"/>
                <w:sz w:val="16"/>
              </w:rPr>
            </w:pPr>
            <w:r w:rsidRPr="007E2910">
              <w:rPr>
                <w:rFonts w:ascii="Arial" w:eastAsia="Arial" w:hAnsi="Arial" w:cs="Arial"/>
                <w:color w:val="000000"/>
                <w:sz w:val="16"/>
              </w:rPr>
              <w:t xml:space="preserve"> 616,056 </w:t>
            </w:r>
          </w:p>
        </w:tc>
        <w:tc>
          <w:tcPr>
            <w:tcW w:w="885" w:type="dxa"/>
            <w:tcBorders>
              <w:top w:val="nil"/>
              <w:left w:val="nil"/>
              <w:bottom w:val="nil"/>
              <w:right w:val="nil"/>
              <w:tl2br w:val="nil"/>
              <w:tr2bl w:val="nil"/>
            </w:tcBorders>
            <w:shd w:val="clear" w:color="auto" w:fill="FFFFFF"/>
            <w:tcMar>
              <w:left w:w="115" w:type="dxa"/>
              <w:right w:w="115" w:type="dxa"/>
            </w:tcMar>
            <w:vAlign w:val="bottom"/>
          </w:tcPr>
          <w:p w14:paraId="1C9A20C3" w14:textId="77777777" w:rsidR="003F0EEA" w:rsidRPr="007E2910" w:rsidRDefault="00FB7D0B">
            <w:pPr>
              <w:jc w:val="right"/>
              <w:rPr>
                <w:rFonts w:ascii="Arial" w:eastAsia="Arial" w:hAnsi="Arial" w:cs="Arial"/>
                <w:color w:val="000000"/>
                <w:sz w:val="16"/>
              </w:rPr>
            </w:pPr>
            <w:r w:rsidRPr="007E2910">
              <w:rPr>
                <w:rFonts w:ascii="Arial" w:eastAsia="Arial" w:hAnsi="Arial" w:cs="Arial"/>
                <w:color w:val="000000"/>
                <w:sz w:val="16"/>
              </w:rPr>
              <w:t xml:space="preserve"> - </w:t>
            </w:r>
          </w:p>
        </w:tc>
        <w:tc>
          <w:tcPr>
            <w:tcW w:w="1080" w:type="dxa"/>
            <w:tcBorders>
              <w:top w:val="nil"/>
              <w:left w:val="nil"/>
              <w:bottom w:val="nil"/>
              <w:right w:val="nil"/>
              <w:tl2br w:val="nil"/>
              <w:tr2bl w:val="nil"/>
            </w:tcBorders>
            <w:shd w:val="clear" w:color="auto" w:fill="FFFFFF"/>
            <w:tcMar>
              <w:left w:w="115" w:type="dxa"/>
              <w:right w:w="115" w:type="dxa"/>
            </w:tcMar>
            <w:vAlign w:val="bottom"/>
          </w:tcPr>
          <w:p w14:paraId="5FE79FA5" w14:textId="77777777" w:rsidR="003F0EEA" w:rsidRPr="007E2910" w:rsidRDefault="00FB7D0B">
            <w:pPr>
              <w:jc w:val="right"/>
              <w:rPr>
                <w:rFonts w:ascii="Arial" w:eastAsia="Arial" w:hAnsi="Arial" w:cs="Arial"/>
                <w:color w:val="000000"/>
                <w:sz w:val="16"/>
              </w:rPr>
            </w:pPr>
            <w:r w:rsidRPr="007E2910">
              <w:rPr>
                <w:rFonts w:ascii="Arial" w:eastAsia="Arial" w:hAnsi="Arial" w:cs="Arial"/>
                <w:color w:val="000000"/>
                <w:sz w:val="16"/>
              </w:rPr>
              <w:t xml:space="preserve"> 83,708 </w:t>
            </w:r>
          </w:p>
        </w:tc>
        <w:tc>
          <w:tcPr>
            <w:tcW w:w="1020" w:type="dxa"/>
            <w:tcBorders>
              <w:top w:val="nil"/>
              <w:left w:val="nil"/>
              <w:bottom w:val="nil"/>
              <w:right w:val="nil"/>
              <w:tl2br w:val="nil"/>
              <w:tr2bl w:val="nil"/>
            </w:tcBorders>
            <w:shd w:val="clear" w:color="auto" w:fill="FFFFFF"/>
            <w:tcMar>
              <w:left w:w="115" w:type="dxa"/>
              <w:right w:w="115" w:type="dxa"/>
            </w:tcMar>
            <w:vAlign w:val="bottom"/>
          </w:tcPr>
          <w:p w14:paraId="53E46FBB" w14:textId="77777777" w:rsidR="003F0EEA" w:rsidRPr="007E2910" w:rsidRDefault="00FB7D0B">
            <w:pPr>
              <w:jc w:val="right"/>
              <w:rPr>
                <w:rFonts w:ascii="Arial" w:eastAsia="Arial" w:hAnsi="Arial" w:cs="Arial"/>
                <w:color w:val="000000"/>
                <w:sz w:val="16"/>
              </w:rPr>
            </w:pPr>
            <w:r w:rsidRPr="007E2910">
              <w:rPr>
                <w:rFonts w:ascii="Arial" w:eastAsia="Arial" w:hAnsi="Arial" w:cs="Arial"/>
                <w:color w:val="000000"/>
                <w:sz w:val="16"/>
              </w:rPr>
              <w:t xml:space="preserve"> 1,262,674 </w:t>
            </w:r>
          </w:p>
        </w:tc>
      </w:tr>
      <w:tr w:rsidR="00355BFE" w14:paraId="2BD0CED3" w14:textId="77777777" w:rsidTr="00355BFE">
        <w:trPr>
          <w:trHeight w:val="225"/>
        </w:trPr>
        <w:tc>
          <w:tcPr>
            <w:tcW w:w="180" w:type="dxa"/>
            <w:tcBorders>
              <w:top w:val="nil"/>
              <w:left w:val="nil"/>
              <w:bottom w:val="nil"/>
              <w:right w:val="nil"/>
              <w:tl2br w:val="nil"/>
              <w:tr2bl w:val="nil"/>
            </w:tcBorders>
            <w:shd w:val="clear" w:color="auto" w:fill="FFFFFF"/>
            <w:tcMar>
              <w:left w:w="115" w:type="dxa"/>
              <w:right w:w="115" w:type="dxa"/>
            </w:tcMar>
            <w:vAlign w:val="bottom"/>
          </w:tcPr>
          <w:p w14:paraId="60FE157F" w14:textId="77777777" w:rsidR="003F0EEA" w:rsidRPr="007E2910" w:rsidRDefault="003F0EEA">
            <w:pPr>
              <w:rPr>
                <w:rFonts w:ascii="Arial" w:eastAsia="Arial" w:hAnsi="Arial" w:cs="Arial"/>
                <w:color w:val="000000"/>
                <w:sz w:val="16"/>
              </w:rPr>
            </w:pPr>
          </w:p>
        </w:tc>
        <w:tc>
          <w:tcPr>
            <w:tcW w:w="3330" w:type="dxa"/>
            <w:gridSpan w:val="2"/>
            <w:tcBorders>
              <w:top w:val="nil"/>
              <w:left w:val="nil"/>
              <w:bottom w:val="nil"/>
              <w:right w:val="nil"/>
              <w:tl2br w:val="nil"/>
              <w:tr2bl w:val="nil"/>
            </w:tcBorders>
            <w:shd w:val="clear" w:color="auto" w:fill="FFFFFF"/>
            <w:tcMar>
              <w:left w:w="115" w:type="dxa"/>
              <w:right w:w="115" w:type="dxa"/>
            </w:tcMar>
            <w:vAlign w:val="bottom"/>
          </w:tcPr>
          <w:p w14:paraId="0E8B812E" w14:textId="77777777" w:rsidR="003F0EEA" w:rsidRPr="007E2910" w:rsidRDefault="00FB7D0B">
            <w:pPr>
              <w:rPr>
                <w:rFonts w:ascii="Arial" w:eastAsia="Arial" w:hAnsi="Arial" w:cs="Arial"/>
                <w:color w:val="000000"/>
                <w:sz w:val="16"/>
              </w:rPr>
            </w:pPr>
            <w:r w:rsidRPr="007E2910">
              <w:rPr>
                <w:rFonts w:ascii="Arial" w:eastAsia="Arial" w:hAnsi="Arial" w:cs="Arial"/>
                <w:color w:val="000000"/>
                <w:sz w:val="16"/>
              </w:rPr>
              <w:t>Adjustment for changes in</w:t>
            </w:r>
          </w:p>
        </w:tc>
        <w:tc>
          <w:tcPr>
            <w:tcW w:w="915" w:type="dxa"/>
            <w:tcBorders>
              <w:top w:val="nil"/>
              <w:left w:val="nil"/>
              <w:bottom w:val="nil"/>
              <w:right w:val="nil"/>
              <w:tl2br w:val="nil"/>
              <w:tr2bl w:val="nil"/>
            </w:tcBorders>
            <w:shd w:val="clear" w:color="auto" w:fill="FFFFFF"/>
            <w:tcMar>
              <w:left w:w="115" w:type="dxa"/>
              <w:right w:w="115" w:type="dxa"/>
            </w:tcMar>
            <w:vAlign w:val="bottom"/>
          </w:tcPr>
          <w:p w14:paraId="18E78599" w14:textId="77777777" w:rsidR="003F0EEA" w:rsidRPr="007E2910" w:rsidRDefault="003F0EEA">
            <w:pPr>
              <w:rPr>
                <w:rFonts w:ascii="Arial" w:eastAsia="Arial" w:hAnsi="Arial" w:cs="Arial"/>
                <w:color w:val="000000"/>
                <w:sz w:val="16"/>
              </w:rPr>
            </w:pPr>
          </w:p>
        </w:tc>
        <w:tc>
          <w:tcPr>
            <w:tcW w:w="1095" w:type="dxa"/>
            <w:tcBorders>
              <w:top w:val="nil"/>
              <w:left w:val="nil"/>
              <w:bottom w:val="nil"/>
              <w:right w:val="nil"/>
              <w:tl2br w:val="nil"/>
              <w:tr2bl w:val="nil"/>
            </w:tcBorders>
            <w:shd w:val="clear" w:color="auto" w:fill="FFFFFF"/>
            <w:tcMar>
              <w:left w:w="115" w:type="dxa"/>
              <w:right w:w="115" w:type="dxa"/>
            </w:tcMar>
            <w:vAlign w:val="bottom"/>
          </w:tcPr>
          <w:p w14:paraId="04FD07CA" w14:textId="77777777" w:rsidR="003F0EEA" w:rsidRPr="007E2910" w:rsidRDefault="003F0EEA">
            <w:pPr>
              <w:rPr>
                <w:rFonts w:ascii="Arial" w:eastAsia="Arial" w:hAnsi="Arial" w:cs="Arial"/>
                <w:color w:val="000000"/>
                <w:sz w:val="16"/>
              </w:rPr>
            </w:pPr>
          </w:p>
        </w:tc>
        <w:tc>
          <w:tcPr>
            <w:tcW w:w="885" w:type="dxa"/>
            <w:tcBorders>
              <w:top w:val="nil"/>
              <w:left w:val="nil"/>
              <w:bottom w:val="nil"/>
              <w:right w:val="nil"/>
              <w:tl2br w:val="nil"/>
              <w:tr2bl w:val="nil"/>
            </w:tcBorders>
            <w:shd w:val="clear" w:color="auto" w:fill="FFFFFF"/>
            <w:tcMar>
              <w:left w:w="115" w:type="dxa"/>
              <w:right w:w="115" w:type="dxa"/>
            </w:tcMar>
            <w:vAlign w:val="bottom"/>
          </w:tcPr>
          <w:p w14:paraId="7A20959D" w14:textId="77777777" w:rsidR="003F0EEA" w:rsidRPr="007E2910" w:rsidRDefault="003F0EEA">
            <w:pPr>
              <w:rPr>
                <w:rFonts w:ascii="Arial" w:eastAsia="Arial" w:hAnsi="Arial" w:cs="Arial"/>
                <w:color w:val="000000"/>
                <w:sz w:val="16"/>
              </w:rPr>
            </w:pPr>
          </w:p>
        </w:tc>
        <w:tc>
          <w:tcPr>
            <w:tcW w:w="1080" w:type="dxa"/>
            <w:tcBorders>
              <w:top w:val="nil"/>
              <w:left w:val="nil"/>
              <w:bottom w:val="nil"/>
              <w:right w:val="nil"/>
              <w:tl2br w:val="nil"/>
              <w:tr2bl w:val="nil"/>
            </w:tcBorders>
            <w:shd w:val="clear" w:color="auto" w:fill="FFFFFF"/>
            <w:tcMar>
              <w:left w:w="115" w:type="dxa"/>
              <w:right w:w="115" w:type="dxa"/>
            </w:tcMar>
            <w:vAlign w:val="bottom"/>
          </w:tcPr>
          <w:p w14:paraId="4F18A1F1" w14:textId="77777777" w:rsidR="003F0EEA" w:rsidRPr="007E2910" w:rsidRDefault="003F0EEA">
            <w:pPr>
              <w:rPr>
                <w:rFonts w:ascii="Arial" w:eastAsia="Arial" w:hAnsi="Arial" w:cs="Arial"/>
                <w:color w:val="000000"/>
                <w:sz w:val="16"/>
              </w:rPr>
            </w:pPr>
          </w:p>
        </w:tc>
        <w:tc>
          <w:tcPr>
            <w:tcW w:w="1020" w:type="dxa"/>
            <w:tcBorders>
              <w:top w:val="nil"/>
              <w:left w:val="nil"/>
              <w:bottom w:val="nil"/>
              <w:right w:val="nil"/>
              <w:tl2br w:val="nil"/>
              <w:tr2bl w:val="nil"/>
            </w:tcBorders>
            <w:shd w:val="clear" w:color="auto" w:fill="FFFFFF"/>
            <w:tcMar>
              <w:left w:w="115" w:type="dxa"/>
              <w:right w:w="115" w:type="dxa"/>
            </w:tcMar>
            <w:vAlign w:val="bottom"/>
          </w:tcPr>
          <w:p w14:paraId="7F0988C4" w14:textId="77777777" w:rsidR="003F0EEA" w:rsidRPr="007E2910" w:rsidRDefault="003F0EEA">
            <w:pPr>
              <w:rPr>
                <w:rFonts w:ascii="Arial" w:eastAsia="Arial" w:hAnsi="Arial" w:cs="Arial"/>
                <w:color w:val="000000"/>
                <w:sz w:val="16"/>
              </w:rPr>
            </w:pPr>
          </w:p>
        </w:tc>
      </w:tr>
      <w:tr w:rsidR="00724034" w14:paraId="5FA7511E" w14:textId="77777777">
        <w:trPr>
          <w:trHeight w:val="225"/>
        </w:trPr>
        <w:tc>
          <w:tcPr>
            <w:tcW w:w="180" w:type="dxa"/>
            <w:tcBorders>
              <w:top w:val="nil"/>
              <w:left w:val="nil"/>
              <w:bottom w:val="nil"/>
              <w:right w:val="nil"/>
              <w:tl2br w:val="nil"/>
              <w:tr2bl w:val="nil"/>
            </w:tcBorders>
            <w:shd w:val="clear" w:color="auto" w:fill="FFFFFF"/>
            <w:tcMar>
              <w:left w:w="115" w:type="dxa"/>
              <w:right w:w="115" w:type="dxa"/>
            </w:tcMar>
            <w:vAlign w:val="bottom"/>
          </w:tcPr>
          <w:p w14:paraId="049B45CE" w14:textId="77777777" w:rsidR="003F0EEA" w:rsidRPr="007E2910" w:rsidRDefault="003F0EEA">
            <w:pPr>
              <w:rPr>
                <w:rFonts w:ascii="Arial" w:eastAsia="Arial" w:hAnsi="Arial" w:cs="Arial"/>
                <w:color w:val="000000"/>
                <w:sz w:val="16"/>
              </w:rPr>
            </w:pPr>
          </w:p>
        </w:tc>
        <w:tc>
          <w:tcPr>
            <w:tcW w:w="180" w:type="dxa"/>
            <w:tcBorders>
              <w:top w:val="nil"/>
              <w:left w:val="nil"/>
              <w:bottom w:val="nil"/>
              <w:right w:val="nil"/>
              <w:tl2br w:val="nil"/>
              <w:tr2bl w:val="nil"/>
            </w:tcBorders>
            <w:shd w:val="clear" w:color="auto" w:fill="FFFFFF"/>
            <w:tcMar>
              <w:left w:w="115" w:type="dxa"/>
              <w:right w:w="115" w:type="dxa"/>
            </w:tcMar>
            <w:vAlign w:val="bottom"/>
          </w:tcPr>
          <w:p w14:paraId="53D19872" w14:textId="77777777" w:rsidR="003F0EEA" w:rsidRPr="007E2910" w:rsidRDefault="003F0EEA">
            <w:pPr>
              <w:rPr>
                <w:rFonts w:ascii="Arial" w:eastAsia="Arial" w:hAnsi="Arial" w:cs="Arial"/>
                <w:color w:val="000000"/>
                <w:sz w:val="16"/>
              </w:rPr>
            </w:pPr>
          </w:p>
        </w:tc>
        <w:tc>
          <w:tcPr>
            <w:tcW w:w="3150" w:type="dxa"/>
            <w:tcBorders>
              <w:top w:val="nil"/>
              <w:left w:val="nil"/>
              <w:bottom w:val="nil"/>
              <w:right w:val="nil"/>
              <w:tl2br w:val="nil"/>
              <w:tr2bl w:val="nil"/>
            </w:tcBorders>
            <w:shd w:val="clear" w:color="auto" w:fill="FFFFFF"/>
            <w:tcMar>
              <w:left w:w="115" w:type="dxa"/>
              <w:right w:w="115" w:type="dxa"/>
            </w:tcMar>
            <w:vAlign w:val="bottom"/>
          </w:tcPr>
          <w:p w14:paraId="2AD2387D" w14:textId="77777777" w:rsidR="003F0EEA" w:rsidRPr="007E2910" w:rsidRDefault="00FB7D0B">
            <w:pPr>
              <w:rPr>
                <w:rFonts w:ascii="Arial" w:eastAsia="Arial" w:hAnsi="Arial" w:cs="Arial"/>
                <w:color w:val="000000"/>
                <w:sz w:val="16"/>
              </w:rPr>
            </w:pPr>
            <w:r w:rsidRPr="007E2910">
              <w:rPr>
                <w:rFonts w:ascii="Arial" w:eastAsia="Arial" w:hAnsi="Arial" w:cs="Arial"/>
                <w:color w:val="000000"/>
                <w:sz w:val="16"/>
              </w:rPr>
              <w:t>accounting policies</w:t>
            </w:r>
          </w:p>
        </w:tc>
        <w:tc>
          <w:tcPr>
            <w:tcW w:w="915"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5DCDDC8A" w14:textId="77777777" w:rsidR="003F0EEA" w:rsidRPr="007E2910" w:rsidRDefault="00FB7D0B">
            <w:pPr>
              <w:jc w:val="right"/>
              <w:rPr>
                <w:rFonts w:ascii="Arial" w:eastAsia="Arial" w:hAnsi="Arial" w:cs="Arial"/>
                <w:color w:val="000000"/>
                <w:sz w:val="16"/>
              </w:rPr>
            </w:pPr>
            <w:r w:rsidRPr="007E2910">
              <w:rPr>
                <w:rFonts w:ascii="Arial" w:eastAsia="Arial" w:hAnsi="Arial" w:cs="Arial"/>
                <w:color w:val="000000"/>
                <w:sz w:val="16"/>
              </w:rPr>
              <w:t xml:space="preserve"> - </w:t>
            </w:r>
          </w:p>
        </w:tc>
        <w:tc>
          <w:tcPr>
            <w:tcW w:w="1095"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3D927EC3" w14:textId="77777777" w:rsidR="003F0EEA" w:rsidRPr="007E2910" w:rsidRDefault="00FB7D0B">
            <w:pPr>
              <w:jc w:val="right"/>
              <w:rPr>
                <w:rFonts w:ascii="Arial" w:eastAsia="Arial" w:hAnsi="Arial" w:cs="Arial"/>
                <w:color w:val="000000"/>
                <w:sz w:val="16"/>
              </w:rPr>
            </w:pPr>
            <w:r w:rsidRPr="007E2910">
              <w:rPr>
                <w:rFonts w:ascii="Arial" w:eastAsia="Arial" w:hAnsi="Arial" w:cs="Arial"/>
                <w:color w:val="000000"/>
                <w:sz w:val="16"/>
              </w:rPr>
              <w:t xml:space="preserve"> - </w:t>
            </w:r>
          </w:p>
        </w:tc>
        <w:tc>
          <w:tcPr>
            <w:tcW w:w="885"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3815D682" w14:textId="77777777" w:rsidR="003F0EEA" w:rsidRPr="007E2910" w:rsidRDefault="00FB7D0B">
            <w:pPr>
              <w:jc w:val="right"/>
              <w:rPr>
                <w:rFonts w:ascii="Arial" w:eastAsia="Arial" w:hAnsi="Arial" w:cs="Arial"/>
                <w:color w:val="000000"/>
                <w:sz w:val="16"/>
              </w:rPr>
            </w:pPr>
            <w:r w:rsidRPr="007E2910">
              <w:rPr>
                <w:rFonts w:ascii="Arial" w:eastAsia="Arial" w:hAnsi="Arial" w:cs="Arial"/>
                <w:color w:val="000000"/>
                <w:sz w:val="16"/>
              </w:rPr>
              <w:t xml:space="preserve"> - </w:t>
            </w:r>
          </w:p>
        </w:tc>
        <w:tc>
          <w:tcPr>
            <w:tcW w:w="1080"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38D300A2" w14:textId="77777777" w:rsidR="003F0EEA" w:rsidRPr="007E2910" w:rsidRDefault="00FB7D0B">
            <w:pPr>
              <w:jc w:val="right"/>
              <w:rPr>
                <w:rFonts w:ascii="Arial" w:eastAsia="Arial" w:hAnsi="Arial" w:cs="Arial"/>
                <w:color w:val="000000"/>
                <w:sz w:val="16"/>
              </w:rPr>
            </w:pPr>
            <w:r w:rsidRPr="007E2910">
              <w:rPr>
                <w:rFonts w:ascii="Arial" w:eastAsia="Arial" w:hAnsi="Arial" w:cs="Arial"/>
                <w:color w:val="000000"/>
                <w:sz w:val="16"/>
              </w:rPr>
              <w:t xml:space="preserve"> - </w:t>
            </w:r>
          </w:p>
        </w:tc>
        <w:tc>
          <w:tcPr>
            <w:tcW w:w="1020"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11CC24AA" w14:textId="77777777" w:rsidR="003F0EEA" w:rsidRPr="007E2910" w:rsidRDefault="00FB7D0B">
            <w:pPr>
              <w:jc w:val="right"/>
              <w:rPr>
                <w:rFonts w:ascii="Arial" w:eastAsia="Arial" w:hAnsi="Arial" w:cs="Arial"/>
                <w:color w:val="000000"/>
                <w:sz w:val="16"/>
              </w:rPr>
            </w:pPr>
            <w:r w:rsidRPr="007E2910">
              <w:rPr>
                <w:rFonts w:ascii="Arial" w:eastAsia="Arial" w:hAnsi="Arial" w:cs="Arial"/>
                <w:color w:val="000000"/>
                <w:sz w:val="16"/>
              </w:rPr>
              <w:t xml:space="preserve"> - </w:t>
            </w:r>
          </w:p>
        </w:tc>
      </w:tr>
      <w:tr w:rsidR="00355BFE" w14:paraId="32C53F07" w14:textId="77777777" w:rsidTr="00355BFE">
        <w:trPr>
          <w:trHeight w:val="225"/>
        </w:trPr>
        <w:tc>
          <w:tcPr>
            <w:tcW w:w="3510" w:type="dxa"/>
            <w:gridSpan w:val="3"/>
            <w:tcBorders>
              <w:top w:val="nil"/>
              <w:left w:val="nil"/>
              <w:bottom w:val="nil"/>
              <w:right w:val="nil"/>
              <w:tl2br w:val="nil"/>
              <w:tr2bl w:val="nil"/>
            </w:tcBorders>
            <w:shd w:val="clear" w:color="auto" w:fill="FFFFFF"/>
            <w:tcMar>
              <w:left w:w="115" w:type="dxa"/>
              <w:right w:w="115" w:type="dxa"/>
            </w:tcMar>
            <w:vAlign w:val="bottom"/>
          </w:tcPr>
          <w:p w14:paraId="30DFD10E" w14:textId="77777777" w:rsidR="003F0EEA" w:rsidRPr="007E2910" w:rsidRDefault="00FB7D0B">
            <w:pPr>
              <w:rPr>
                <w:rFonts w:ascii="Arial" w:eastAsia="Arial" w:hAnsi="Arial" w:cs="Arial"/>
                <w:color w:val="000000"/>
                <w:sz w:val="16"/>
              </w:rPr>
            </w:pPr>
            <w:r w:rsidRPr="007E2910">
              <w:rPr>
                <w:rFonts w:ascii="Arial" w:eastAsia="Arial" w:hAnsi="Arial" w:cs="Arial"/>
                <w:b/>
                <w:i/>
                <w:color w:val="000000"/>
                <w:sz w:val="16"/>
              </w:rPr>
              <w:t>Adjusted opening balance</w:t>
            </w:r>
          </w:p>
        </w:tc>
        <w:tc>
          <w:tcPr>
            <w:tcW w:w="915" w:type="dxa"/>
            <w:tcBorders>
              <w:top w:val="single" w:sz="6" w:space="0" w:color="000000"/>
              <w:left w:val="nil"/>
              <w:bottom w:val="single" w:sz="6" w:space="0" w:color="000000"/>
              <w:right w:val="nil"/>
              <w:tl2br w:val="nil"/>
              <w:tr2bl w:val="nil"/>
            </w:tcBorders>
            <w:shd w:val="clear" w:color="auto" w:fill="FFFFFF"/>
            <w:tcMar>
              <w:left w:w="115" w:type="dxa"/>
              <w:right w:w="115" w:type="dxa"/>
            </w:tcMar>
            <w:vAlign w:val="bottom"/>
          </w:tcPr>
          <w:p w14:paraId="1563C1CF" w14:textId="77777777" w:rsidR="003F0EEA" w:rsidRPr="007E2910" w:rsidRDefault="00FB7D0B">
            <w:pPr>
              <w:jc w:val="right"/>
              <w:rPr>
                <w:rFonts w:ascii="Arial" w:eastAsia="Arial" w:hAnsi="Arial" w:cs="Arial"/>
                <w:b/>
                <w:i/>
                <w:color w:val="000000"/>
                <w:sz w:val="16"/>
              </w:rPr>
            </w:pPr>
            <w:r w:rsidRPr="007E2910">
              <w:rPr>
                <w:rFonts w:ascii="Arial" w:eastAsia="Arial" w:hAnsi="Arial" w:cs="Arial"/>
                <w:b/>
                <w:color w:val="000000"/>
                <w:sz w:val="16"/>
              </w:rPr>
              <w:t xml:space="preserve"> 562,910 </w:t>
            </w:r>
          </w:p>
        </w:tc>
        <w:tc>
          <w:tcPr>
            <w:tcW w:w="1095" w:type="dxa"/>
            <w:tcBorders>
              <w:top w:val="single" w:sz="6" w:space="0" w:color="000000"/>
              <w:left w:val="nil"/>
              <w:bottom w:val="single" w:sz="6" w:space="0" w:color="000000"/>
              <w:right w:val="nil"/>
              <w:tl2br w:val="nil"/>
              <w:tr2bl w:val="nil"/>
            </w:tcBorders>
            <w:shd w:val="clear" w:color="auto" w:fill="FFFFFF"/>
            <w:tcMar>
              <w:left w:w="115" w:type="dxa"/>
              <w:right w:w="115" w:type="dxa"/>
            </w:tcMar>
            <w:vAlign w:val="bottom"/>
          </w:tcPr>
          <w:p w14:paraId="2F0ECCC3" w14:textId="77777777" w:rsidR="003F0EEA" w:rsidRPr="007E2910" w:rsidRDefault="00FB7D0B">
            <w:pPr>
              <w:jc w:val="right"/>
              <w:rPr>
                <w:rFonts w:ascii="Arial" w:eastAsia="Arial" w:hAnsi="Arial" w:cs="Arial"/>
                <w:b/>
                <w:color w:val="000000"/>
                <w:sz w:val="16"/>
              </w:rPr>
            </w:pPr>
            <w:r w:rsidRPr="007E2910">
              <w:rPr>
                <w:rFonts w:ascii="Arial" w:eastAsia="Arial" w:hAnsi="Arial" w:cs="Arial"/>
                <w:b/>
                <w:color w:val="000000"/>
                <w:sz w:val="16"/>
              </w:rPr>
              <w:t xml:space="preserve"> 616,056 </w:t>
            </w:r>
          </w:p>
        </w:tc>
        <w:tc>
          <w:tcPr>
            <w:tcW w:w="885" w:type="dxa"/>
            <w:tcBorders>
              <w:top w:val="single" w:sz="6" w:space="0" w:color="000000"/>
              <w:left w:val="nil"/>
              <w:bottom w:val="single" w:sz="6" w:space="0" w:color="000000"/>
              <w:right w:val="nil"/>
              <w:tl2br w:val="nil"/>
              <w:tr2bl w:val="nil"/>
            </w:tcBorders>
            <w:shd w:val="clear" w:color="auto" w:fill="FFFFFF"/>
            <w:tcMar>
              <w:left w:w="115" w:type="dxa"/>
              <w:right w:w="115" w:type="dxa"/>
            </w:tcMar>
            <w:vAlign w:val="bottom"/>
          </w:tcPr>
          <w:p w14:paraId="65D20EE8" w14:textId="77777777" w:rsidR="003F0EEA" w:rsidRPr="007E2910" w:rsidRDefault="00FB7D0B">
            <w:pPr>
              <w:jc w:val="right"/>
              <w:rPr>
                <w:rFonts w:ascii="Arial" w:eastAsia="Arial" w:hAnsi="Arial" w:cs="Arial"/>
                <w:b/>
                <w:color w:val="000000"/>
                <w:sz w:val="16"/>
              </w:rPr>
            </w:pPr>
            <w:r w:rsidRPr="007E2910">
              <w:rPr>
                <w:rFonts w:ascii="Arial" w:eastAsia="Arial" w:hAnsi="Arial" w:cs="Arial"/>
                <w:b/>
                <w:color w:val="000000"/>
                <w:sz w:val="16"/>
              </w:rPr>
              <w:t xml:space="preserve"> - </w:t>
            </w:r>
          </w:p>
        </w:tc>
        <w:tc>
          <w:tcPr>
            <w:tcW w:w="1080" w:type="dxa"/>
            <w:tcBorders>
              <w:top w:val="single" w:sz="6" w:space="0" w:color="000000"/>
              <w:left w:val="nil"/>
              <w:bottom w:val="single" w:sz="6" w:space="0" w:color="000000"/>
              <w:right w:val="nil"/>
              <w:tl2br w:val="nil"/>
              <w:tr2bl w:val="nil"/>
            </w:tcBorders>
            <w:shd w:val="clear" w:color="auto" w:fill="FFFFFF"/>
            <w:tcMar>
              <w:left w:w="115" w:type="dxa"/>
              <w:right w:w="115" w:type="dxa"/>
            </w:tcMar>
            <w:vAlign w:val="bottom"/>
          </w:tcPr>
          <w:p w14:paraId="4692D1B8" w14:textId="77777777" w:rsidR="003F0EEA" w:rsidRPr="007E2910" w:rsidRDefault="00FB7D0B">
            <w:pPr>
              <w:jc w:val="right"/>
              <w:rPr>
                <w:rFonts w:ascii="Arial" w:eastAsia="Arial" w:hAnsi="Arial" w:cs="Arial"/>
                <w:b/>
                <w:color w:val="000000"/>
                <w:sz w:val="16"/>
              </w:rPr>
            </w:pPr>
            <w:r w:rsidRPr="007E2910">
              <w:rPr>
                <w:rFonts w:ascii="Arial" w:eastAsia="Arial" w:hAnsi="Arial" w:cs="Arial"/>
                <w:b/>
                <w:color w:val="000000"/>
                <w:sz w:val="16"/>
              </w:rPr>
              <w:t xml:space="preserve"> 83,708 </w:t>
            </w:r>
          </w:p>
        </w:tc>
        <w:tc>
          <w:tcPr>
            <w:tcW w:w="1020" w:type="dxa"/>
            <w:tcBorders>
              <w:top w:val="single" w:sz="6" w:space="0" w:color="000000"/>
              <w:left w:val="nil"/>
              <w:bottom w:val="single" w:sz="6" w:space="0" w:color="000000"/>
              <w:right w:val="nil"/>
              <w:tl2br w:val="nil"/>
              <w:tr2bl w:val="nil"/>
            </w:tcBorders>
            <w:shd w:val="clear" w:color="auto" w:fill="FFFFFF"/>
            <w:tcMar>
              <w:left w:w="115" w:type="dxa"/>
              <w:right w:w="115" w:type="dxa"/>
            </w:tcMar>
            <w:vAlign w:val="bottom"/>
          </w:tcPr>
          <w:p w14:paraId="098447DA" w14:textId="77777777" w:rsidR="003F0EEA" w:rsidRPr="007E2910" w:rsidRDefault="00FB7D0B">
            <w:pPr>
              <w:jc w:val="right"/>
              <w:rPr>
                <w:rFonts w:ascii="Arial" w:eastAsia="Arial" w:hAnsi="Arial" w:cs="Arial"/>
                <w:b/>
                <w:color w:val="000000"/>
                <w:sz w:val="16"/>
              </w:rPr>
            </w:pPr>
            <w:r w:rsidRPr="007E2910">
              <w:rPr>
                <w:rFonts w:ascii="Arial" w:eastAsia="Arial" w:hAnsi="Arial" w:cs="Arial"/>
                <w:b/>
                <w:color w:val="000000"/>
                <w:sz w:val="16"/>
              </w:rPr>
              <w:t xml:space="preserve"> 1,262,674 </w:t>
            </w:r>
          </w:p>
        </w:tc>
      </w:tr>
      <w:tr w:rsidR="00724034" w14:paraId="1E8BDBA2" w14:textId="77777777">
        <w:trPr>
          <w:trHeight w:hRule="exact" w:val="60"/>
        </w:trPr>
        <w:tc>
          <w:tcPr>
            <w:tcW w:w="180" w:type="dxa"/>
            <w:tcBorders>
              <w:top w:val="nil"/>
              <w:left w:val="nil"/>
              <w:bottom w:val="nil"/>
              <w:right w:val="nil"/>
              <w:tl2br w:val="nil"/>
              <w:tr2bl w:val="nil"/>
            </w:tcBorders>
            <w:shd w:val="clear" w:color="auto" w:fill="FFFFFF"/>
            <w:tcMar>
              <w:left w:w="115" w:type="dxa"/>
              <w:right w:w="115" w:type="dxa"/>
            </w:tcMar>
            <w:vAlign w:val="bottom"/>
          </w:tcPr>
          <w:p w14:paraId="540FB84C" w14:textId="77777777" w:rsidR="003F0EEA" w:rsidRPr="007E2910" w:rsidRDefault="003F0EEA">
            <w:pPr>
              <w:rPr>
                <w:rFonts w:ascii="Arial" w:eastAsia="Arial" w:hAnsi="Arial" w:cs="Arial"/>
                <w:b/>
                <w:color w:val="000000"/>
                <w:sz w:val="16"/>
              </w:rPr>
            </w:pPr>
          </w:p>
        </w:tc>
        <w:tc>
          <w:tcPr>
            <w:tcW w:w="180" w:type="dxa"/>
            <w:tcBorders>
              <w:top w:val="nil"/>
              <w:left w:val="nil"/>
              <w:bottom w:val="nil"/>
              <w:right w:val="nil"/>
              <w:tl2br w:val="nil"/>
              <w:tr2bl w:val="nil"/>
            </w:tcBorders>
            <w:shd w:val="clear" w:color="auto" w:fill="FFFFFF"/>
            <w:tcMar>
              <w:left w:w="115" w:type="dxa"/>
              <w:right w:w="115" w:type="dxa"/>
            </w:tcMar>
            <w:vAlign w:val="bottom"/>
          </w:tcPr>
          <w:p w14:paraId="7A1E23C2" w14:textId="77777777" w:rsidR="003F0EEA" w:rsidRPr="007E2910" w:rsidRDefault="003F0EEA">
            <w:pPr>
              <w:rPr>
                <w:rFonts w:ascii="Arial" w:eastAsia="Arial" w:hAnsi="Arial" w:cs="Arial"/>
                <w:color w:val="000000"/>
                <w:sz w:val="16"/>
              </w:rPr>
            </w:pPr>
          </w:p>
        </w:tc>
        <w:tc>
          <w:tcPr>
            <w:tcW w:w="3150" w:type="dxa"/>
            <w:tcBorders>
              <w:top w:val="nil"/>
              <w:left w:val="nil"/>
              <w:bottom w:val="nil"/>
              <w:right w:val="nil"/>
              <w:tl2br w:val="nil"/>
              <w:tr2bl w:val="nil"/>
            </w:tcBorders>
            <w:shd w:val="clear" w:color="auto" w:fill="FFFFFF"/>
            <w:tcMar>
              <w:left w:w="115" w:type="dxa"/>
              <w:right w:w="115" w:type="dxa"/>
            </w:tcMar>
            <w:vAlign w:val="bottom"/>
          </w:tcPr>
          <w:p w14:paraId="714EB5BF" w14:textId="77777777" w:rsidR="003F0EEA" w:rsidRPr="007E2910" w:rsidRDefault="003F0EEA">
            <w:pPr>
              <w:rPr>
                <w:rFonts w:ascii="Arial" w:eastAsia="Arial" w:hAnsi="Arial" w:cs="Arial"/>
                <w:color w:val="000000"/>
                <w:sz w:val="16"/>
              </w:rPr>
            </w:pPr>
          </w:p>
        </w:tc>
        <w:tc>
          <w:tcPr>
            <w:tcW w:w="915"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739F4C5B" w14:textId="77777777" w:rsidR="003F0EEA" w:rsidRPr="007E2910" w:rsidRDefault="003F0EEA">
            <w:pPr>
              <w:rPr>
                <w:rFonts w:ascii="Arial" w:eastAsia="Arial" w:hAnsi="Arial" w:cs="Arial"/>
                <w:color w:val="000000"/>
                <w:sz w:val="16"/>
              </w:rPr>
            </w:pPr>
          </w:p>
        </w:tc>
        <w:tc>
          <w:tcPr>
            <w:tcW w:w="1095"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41413585" w14:textId="77777777" w:rsidR="003F0EEA" w:rsidRPr="007E2910" w:rsidRDefault="003F0EEA">
            <w:pPr>
              <w:rPr>
                <w:rFonts w:ascii="Arial" w:eastAsia="Arial" w:hAnsi="Arial" w:cs="Arial"/>
                <w:color w:val="000000"/>
                <w:sz w:val="16"/>
              </w:rPr>
            </w:pPr>
          </w:p>
        </w:tc>
        <w:tc>
          <w:tcPr>
            <w:tcW w:w="885"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7DAF0FE5" w14:textId="77777777" w:rsidR="003F0EEA" w:rsidRPr="007E2910" w:rsidRDefault="003F0EEA">
            <w:pPr>
              <w:rPr>
                <w:rFonts w:ascii="Arial" w:eastAsia="Arial" w:hAnsi="Arial" w:cs="Arial"/>
                <w:color w:val="000000"/>
                <w:sz w:val="16"/>
              </w:rPr>
            </w:pPr>
          </w:p>
        </w:tc>
        <w:tc>
          <w:tcPr>
            <w:tcW w:w="1080"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4001C990" w14:textId="77777777" w:rsidR="003F0EEA" w:rsidRPr="007E2910" w:rsidRDefault="003F0EEA">
            <w:pPr>
              <w:rPr>
                <w:rFonts w:ascii="Arial" w:eastAsia="Arial" w:hAnsi="Arial" w:cs="Arial"/>
                <w:color w:val="000000"/>
                <w:sz w:val="16"/>
              </w:rPr>
            </w:pPr>
          </w:p>
        </w:tc>
        <w:tc>
          <w:tcPr>
            <w:tcW w:w="1020"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1F9E7F71" w14:textId="77777777" w:rsidR="003F0EEA" w:rsidRPr="007E2910" w:rsidRDefault="003F0EEA">
            <w:pPr>
              <w:rPr>
                <w:rFonts w:ascii="Arial" w:eastAsia="Arial" w:hAnsi="Arial" w:cs="Arial"/>
                <w:color w:val="000000"/>
                <w:sz w:val="16"/>
              </w:rPr>
            </w:pPr>
          </w:p>
        </w:tc>
      </w:tr>
      <w:tr w:rsidR="00355BFE" w14:paraId="5EEC4ECB" w14:textId="77777777" w:rsidTr="00355BFE">
        <w:trPr>
          <w:trHeight w:val="225"/>
        </w:trPr>
        <w:tc>
          <w:tcPr>
            <w:tcW w:w="3510" w:type="dxa"/>
            <w:gridSpan w:val="3"/>
            <w:tcBorders>
              <w:top w:val="nil"/>
              <w:left w:val="nil"/>
              <w:bottom w:val="nil"/>
              <w:right w:val="nil"/>
              <w:tl2br w:val="nil"/>
              <w:tr2bl w:val="nil"/>
            </w:tcBorders>
            <w:shd w:val="clear" w:color="auto" w:fill="FFFFFF"/>
            <w:tcMar>
              <w:left w:w="115" w:type="dxa"/>
              <w:right w:w="115" w:type="dxa"/>
            </w:tcMar>
            <w:vAlign w:val="bottom"/>
          </w:tcPr>
          <w:p w14:paraId="76759790" w14:textId="77777777" w:rsidR="003F0EEA" w:rsidRPr="007E2910" w:rsidRDefault="00FB7D0B">
            <w:pPr>
              <w:rPr>
                <w:rFonts w:ascii="Arial" w:eastAsia="Arial" w:hAnsi="Arial" w:cs="Arial"/>
                <w:color w:val="000000"/>
                <w:sz w:val="16"/>
              </w:rPr>
            </w:pPr>
            <w:r w:rsidRPr="007E2910">
              <w:rPr>
                <w:rFonts w:ascii="Arial" w:eastAsia="Arial" w:hAnsi="Arial" w:cs="Arial"/>
                <w:b/>
                <w:color w:val="000000"/>
                <w:sz w:val="16"/>
              </w:rPr>
              <w:t>Comprehensive income</w:t>
            </w:r>
          </w:p>
        </w:tc>
        <w:tc>
          <w:tcPr>
            <w:tcW w:w="915" w:type="dxa"/>
            <w:tcBorders>
              <w:top w:val="nil"/>
              <w:left w:val="nil"/>
              <w:bottom w:val="nil"/>
              <w:right w:val="nil"/>
              <w:tl2br w:val="nil"/>
              <w:tr2bl w:val="nil"/>
            </w:tcBorders>
            <w:shd w:val="clear" w:color="auto" w:fill="FFFFFF"/>
            <w:tcMar>
              <w:left w:w="115" w:type="dxa"/>
              <w:right w:w="115" w:type="dxa"/>
            </w:tcMar>
            <w:vAlign w:val="bottom"/>
          </w:tcPr>
          <w:p w14:paraId="1844549E" w14:textId="77777777" w:rsidR="003F0EEA" w:rsidRPr="007E2910" w:rsidRDefault="003F0EEA">
            <w:pPr>
              <w:rPr>
                <w:rFonts w:ascii="Arial" w:eastAsia="Arial" w:hAnsi="Arial" w:cs="Arial"/>
                <w:b/>
                <w:color w:val="000000"/>
                <w:sz w:val="16"/>
              </w:rPr>
            </w:pPr>
          </w:p>
        </w:tc>
        <w:tc>
          <w:tcPr>
            <w:tcW w:w="1095" w:type="dxa"/>
            <w:tcBorders>
              <w:top w:val="nil"/>
              <w:left w:val="nil"/>
              <w:bottom w:val="nil"/>
              <w:right w:val="nil"/>
              <w:tl2br w:val="nil"/>
              <w:tr2bl w:val="nil"/>
            </w:tcBorders>
            <w:shd w:val="clear" w:color="auto" w:fill="FFFFFF"/>
            <w:tcMar>
              <w:left w:w="115" w:type="dxa"/>
              <w:right w:w="115" w:type="dxa"/>
            </w:tcMar>
            <w:vAlign w:val="bottom"/>
          </w:tcPr>
          <w:p w14:paraId="106EFB0E" w14:textId="77777777" w:rsidR="003F0EEA" w:rsidRPr="007E2910" w:rsidRDefault="003F0EEA">
            <w:pPr>
              <w:rPr>
                <w:rFonts w:ascii="Arial" w:eastAsia="Arial" w:hAnsi="Arial" w:cs="Arial"/>
                <w:color w:val="000000"/>
                <w:sz w:val="16"/>
              </w:rPr>
            </w:pPr>
          </w:p>
        </w:tc>
        <w:tc>
          <w:tcPr>
            <w:tcW w:w="885" w:type="dxa"/>
            <w:tcBorders>
              <w:top w:val="nil"/>
              <w:left w:val="nil"/>
              <w:bottom w:val="nil"/>
              <w:right w:val="nil"/>
              <w:tl2br w:val="nil"/>
              <w:tr2bl w:val="nil"/>
            </w:tcBorders>
            <w:shd w:val="clear" w:color="auto" w:fill="FFFFFF"/>
            <w:tcMar>
              <w:left w:w="115" w:type="dxa"/>
              <w:right w:w="115" w:type="dxa"/>
            </w:tcMar>
            <w:vAlign w:val="bottom"/>
          </w:tcPr>
          <w:p w14:paraId="0CA210C5" w14:textId="77777777" w:rsidR="003F0EEA" w:rsidRPr="007E2910" w:rsidRDefault="003F0EEA">
            <w:pPr>
              <w:rPr>
                <w:rFonts w:ascii="Arial" w:eastAsia="Arial" w:hAnsi="Arial" w:cs="Arial"/>
                <w:color w:val="000000"/>
                <w:sz w:val="16"/>
              </w:rPr>
            </w:pPr>
          </w:p>
        </w:tc>
        <w:tc>
          <w:tcPr>
            <w:tcW w:w="1080" w:type="dxa"/>
            <w:tcBorders>
              <w:top w:val="nil"/>
              <w:left w:val="nil"/>
              <w:bottom w:val="nil"/>
              <w:right w:val="nil"/>
              <w:tl2br w:val="nil"/>
              <w:tr2bl w:val="nil"/>
            </w:tcBorders>
            <w:shd w:val="clear" w:color="auto" w:fill="FFFFFF"/>
            <w:tcMar>
              <w:left w:w="115" w:type="dxa"/>
              <w:right w:w="115" w:type="dxa"/>
            </w:tcMar>
            <w:vAlign w:val="bottom"/>
          </w:tcPr>
          <w:p w14:paraId="406A1063" w14:textId="77777777" w:rsidR="003F0EEA" w:rsidRPr="007E2910" w:rsidRDefault="003F0EEA">
            <w:pPr>
              <w:rPr>
                <w:rFonts w:ascii="Arial" w:eastAsia="Arial" w:hAnsi="Arial" w:cs="Arial"/>
                <w:color w:val="000000"/>
                <w:sz w:val="16"/>
              </w:rPr>
            </w:pPr>
          </w:p>
        </w:tc>
        <w:tc>
          <w:tcPr>
            <w:tcW w:w="1020" w:type="dxa"/>
            <w:tcBorders>
              <w:top w:val="nil"/>
              <w:left w:val="nil"/>
              <w:bottom w:val="nil"/>
              <w:right w:val="nil"/>
              <w:tl2br w:val="nil"/>
              <w:tr2bl w:val="nil"/>
            </w:tcBorders>
            <w:shd w:val="clear" w:color="auto" w:fill="FFFFFF"/>
            <w:tcMar>
              <w:left w:w="115" w:type="dxa"/>
              <w:right w:w="115" w:type="dxa"/>
            </w:tcMar>
            <w:vAlign w:val="bottom"/>
          </w:tcPr>
          <w:p w14:paraId="40036FFF" w14:textId="77777777" w:rsidR="003F0EEA" w:rsidRPr="007E2910" w:rsidRDefault="003F0EEA">
            <w:pPr>
              <w:rPr>
                <w:rFonts w:ascii="Arial" w:eastAsia="Arial" w:hAnsi="Arial" w:cs="Arial"/>
                <w:color w:val="000000"/>
                <w:sz w:val="16"/>
              </w:rPr>
            </w:pPr>
          </w:p>
        </w:tc>
      </w:tr>
      <w:tr w:rsidR="00355BFE" w14:paraId="2BE683F4" w14:textId="77777777" w:rsidTr="00355BFE">
        <w:trPr>
          <w:trHeight w:val="225"/>
        </w:trPr>
        <w:tc>
          <w:tcPr>
            <w:tcW w:w="180" w:type="dxa"/>
            <w:tcBorders>
              <w:top w:val="nil"/>
              <w:left w:val="nil"/>
              <w:bottom w:val="nil"/>
              <w:right w:val="nil"/>
              <w:tl2br w:val="nil"/>
              <w:tr2bl w:val="nil"/>
            </w:tcBorders>
            <w:shd w:val="clear" w:color="auto" w:fill="FFFFFF"/>
            <w:tcMar>
              <w:left w:w="115" w:type="dxa"/>
              <w:right w:w="115" w:type="dxa"/>
            </w:tcMar>
            <w:vAlign w:val="bottom"/>
          </w:tcPr>
          <w:p w14:paraId="2A97B4B0" w14:textId="77777777" w:rsidR="003F0EEA" w:rsidRPr="007E2910" w:rsidRDefault="003F0EEA">
            <w:pPr>
              <w:rPr>
                <w:rFonts w:ascii="Arial" w:eastAsia="Arial" w:hAnsi="Arial" w:cs="Arial"/>
                <w:color w:val="000000"/>
                <w:sz w:val="16"/>
              </w:rPr>
            </w:pPr>
          </w:p>
        </w:tc>
        <w:tc>
          <w:tcPr>
            <w:tcW w:w="3330" w:type="dxa"/>
            <w:gridSpan w:val="2"/>
            <w:tcBorders>
              <w:top w:val="nil"/>
              <w:left w:val="nil"/>
              <w:bottom w:val="nil"/>
              <w:right w:val="nil"/>
              <w:tl2br w:val="nil"/>
              <w:tr2bl w:val="nil"/>
            </w:tcBorders>
            <w:shd w:val="clear" w:color="auto" w:fill="FFFFFF"/>
            <w:tcMar>
              <w:left w:w="115" w:type="dxa"/>
              <w:right w:w="115" w:type="dxa"/>
            </w:tcMar>
            <w:vAlign w:val="bottom"/>
          </w:tcPr>
          <w:p w14:paraId="18FB8FD8" w14:textId="77777777" w:rsidR="003F0EEA" w:rsidRPr="007E2910" w:rsidRDefault="00FB7D0B">
            <w:pPr>
              <w:rPr>
                <w:rFonts w:ascii="Arial" w:eastAsia="Arial" w:hAnsi="Arial" w:cs="Arial"/>
                <w:color w:val="000000"/>
                <w:sz w:val="16"/>
              </w:rPr>
            </w:pPr>
            <w:r w:rsidRPr="007E2910">
              <w:rPr>
                <w:rFonts w:ascii="Arial" w:eastAsia="Arial" w:hAnsi="Arial" w:cs="Arial"/>
                <w:color w:val="000000"/>
                <w:sz w:val="16"/>
              </w:rPr>
              <w:t>Other comprehensive income</w:t>
            </w:r>
          </w:p>
        </w:tc>
        <w:tc>
          <w:tcPr>
            <w:tcW w:w="915" w:type="dxa"/>
            <w:tcBorders>
              <w:top w:val="nil"/>
              <w:left w:val="nil"/>
              <w:bottom w:val="nil"/>
              <w:right w:val="nil"/>
              <w:tl2br w:val="nil"/>
              <w:tr2bl w:val="nil"/>
            </w:tcBorders>
            <w:shd w:val="clear" w:color="auto" w:fill="FFFFFF"/>
            <w:tcMar>
              <w:left w:w="115" w:type="dxa"/>
              <w:right w:w="115" w:type="dxa"/>
            </w:tcMar>
            <w:vAlign w:val="bottom"/>
          </w:tcPr>
          <w:p w14:paraId="05CA0506" w14:textId="77777777" w:rsidR="003F0EEA" w:rsidRPr="007E2910" w:rsidRDefault="003F0EEA">
            <w:pPr>
              <w:rPr>
                <w:rFonts w:ascii="Arial" w:eastAsia="Arial" w:hAnsi="Arial" w:cs="Arial"/>
                <w:color w:val="000000"/>
                <w:sz w:val="16"/>
              </w:rPr>
            </w:pPr>
          </w:p>
        </w:tc>
        <w:tc>
          <w:tcPr>
            <w:tcW w:w="1095" w:type="dxa"/>
            <w:tcBorders>
              <w:top w:val="nil"/>
              <w:left w:val="nil"/>
              <w:bottom w:val="nil"/>
              <w:right w:val="nil"/>
              <w:tl2br w:val="nil"/>
              <w:tr2bl w:val="nil"/>
            </w:tcBorders>
            <w:shd w:val="clear" w:color="auto" w:fill="FFFFFF"/>
            <w:tcMar>
              <w:left w:w="115" w:type="dxa"/>
              <w:right w:w="115" w:type="dxa"/>
            </w:tcMar>
            <w:vAlign w:val="bottom"/>
          </w:tcPr>
          <w:p w14:paraId="322F6975" w14:textId="77777777" w:rsidR="003F0EEA" w:rsidRPr="007E2910" w:rsidRDefault="003F0EEA">
            <w:pPr>
              <w:rPr>
                <w:rFonts w:ascii="Arial" w:eastAsia="Arial" w:hAnsi="Arial" w:cs="Arial"/>
                <w:color w:val="000000"/>
                <w:sz w:val="16"/>
              </w:rPr>
            </w:pPr>
          </w:p>
        </w:tc>
        <w:tc>
          <w:tcPr>
            <w:tcW w:w="885" w:type="dxa"/>
            <w:tcBorders>
              <w:top w:val="nil"/>
              <w:left w:val="nil"/>
              <w:bottom w:val="nil"/>
              <w:right w:val="nil"/>
              <w:tl2br w:val="nil"/>
              <w:tr2bl w:val="nil"/>
            </w:tcBorders>
            <w:shd w:val="clear" w:color="auto" w:fill="FFFFFF"/>
            <w:tcMar>
              <w:left w:w="115" w:type="dxa"/>
              <w:right w:w="115" w:type="dxa"/>
            </w:tcMar>
            <w:vAlign w:val="bottom"/>
          </w:tcPr>
          <w:p w14:paraId="5FED82C5" w14:textId="77777777" w:rsidR="003F0EEA" w:rsidRPr="007E2910" w:rsidRDefault="003F0EEA">
            <w:pPr>
              <w:rPr>
                <w:rFonts w:ascii="Arial" w:eastAsia="Arial" w:hAnsi="Arial" w:cs="Arial"/>
                <w:color w:val="000000"/>
                <w:sz w:val="16"/>
              </w:rPr>
            </w:pPr>
          </w:p>
        </w:tc>
        <w:tc>
          <w:tcPr>
            <w:tcW w:w="1080" w:type="dxa"/>
            <w:tcBorders>
              <w:top w:val="nil"/>
              <w:left w:val="nil"/>
              <w:bottom w:val="nil"/>
              <w:right w:val="nil"/>
              <w:tl2br w:val="nil"/>
              <w:tr2bl w:val="nil"/>
            </w:tcBorders>
            <w:shd w:val="clear" w:color="auto" w:fill="FFFFFF"/>
            <w:tcMar>
              <w:left w:w="115" w:type="dxa"/>
              <w:right w:w="115" w:type="dxa"/>
            </w:tcMar>
            <w:vAlign w:val="bottom"/>
          </w:tcPr>
          <w:p w14:paraId="35BEB488" w14:textId="77777777" w:rsidR="003F0EEA" w:rsidRPr="007E2910" w:rsidRDefault="003F0EEA">
            <w:pPr>
              <w:rPr>
                <w:rFonts w:ascii="Arial" w:eastAsia="Arial" w:hAnsi="Arial" w:cs="Arial"/>
                <w:color w:val="000000"/>
                <w:sz w:val="16"/>
              </w:rPr>
            </w:pPr>
          </w:p>
        </w:tc>
        <w:tc>
          <w:tcPr>
            <w:tcW w:w="1020" w:type="dxa"/>
            <w:tcBorders>
              <w:top w:val="nil"/>
              <w:left w:val="nil"/>
              <w:bottom w:val="nil"/>
              <w:right w:val="nil"/>
              <w:tl2br w:val="nil"/>
              <w:tr2bl w:val="nil"/>
            </w:tcBorders>
            <w:shd w:val="clear" w:color="auto" w:fill="FFFFFF"/>
            <w:tcMar>
              <w:left w:w="115" w:type="dxa"/>
              <w:right w:w="115" w:type="dxa"/>
            </w:tcMar>
            <w:vAlign w:val="bottom"/>
          </w:tcPr>
          <w:p w14:paraId="70208DA2" w14:textId="77777777" w:rsidR="003F0EEA" w:rsidRPr="007E2910" w:rsidRDefault="003F0EEA">
            <w:pPr>
              <w:rPr>
                <w:rFonts w:ascii="Arial" w:eastAsia="Arial" w:hAnsi="Arial" w:cs="Arial"/>
                <w:color w:val="000000"/>
                <w:sz w:val="16"/>
              </w:rPr>
            </w:pPr>
          </w:p>
        </w:tc>
      </w:tr>
      <w:tr w:rsidR="00724034" w14:paraId="03CF9A09" w14:textId="77777777">
        <w:trPr>
          <w:trHeight w:hRule="exact" w:val="60"/>
        </w:trPr>
        <w:tc>
          <w:tcPr>
            <w:tcW w:w="180" w:type="dxa"/>
            <w:tcBorders>
              <w:top w:val="nil"/>
              <w:left w:val="nil"/>
              <w:bottom w:val="nil"/>
              <w:right w:val="nil"/>
              <w:tl2br w:val="nil"/>
              <w:tr2bl w:val="nil"/>
            </w:tcBorders>
            <w:shd w:val="clear" w:color="auto" w:fill="FFFFFF"/>
            <w:tcMar>
              <w:left w:w="115" w:type="dxa"/>
              <w:right w:w="115" w:type="dxa"/>
            </w:tcMar>
            <w:vAlign w:val="bottom"/>
          </w:tcPr>
          <w:p w14:paraId="4560E41C" w14:textId="77777777" w:rsidR="003F0EEA" w:rsidRPr="007E2910" w:rsidRDefault="003F0EEA">
            <w:pPr>
              <w:rPr>
                <w:rFonts w:ascii="Arial" w:eastAsia="Arial" w:hAnsi="Arial" w:cs="Arial"/>
                <w:color w:val="000000"/>
                <w:sz w:val="16"/>
              </w:rPr>
            </w:pPr>
          </w:p>
        </w:tc>
        <w:tc>
          <w:tcPr>
            <w:tcW w:w="180" w:type="dxa"/>
            <w:tcBorders>
              <w:top w:val="nil"/>
              <w:left w:val="nil"/>
              <w:bottom w:val="nil"/>
              <w:right w:val="nil"/>
              <w:tl2br w:val="nil"/>
              <w:tr2bl w:val="nil"/>
            </w:tcBorders>
            <w:shd w:val="clear" w:color="auto" w:fill="FFFFFF"/>
            <w:tcMar>
              <w:left w:w="115" w:type="dxa"/>
              <w:right w:w="115" w:type="dxa"/>
            </w:tcMar>
            <w:vAlign w:val="bottom"/>
          </w:tcPr>
          <w:p w14:paraId="311BD00D" w14:textId="77777777" w:rsidR="003F0EEA" w:rsidRPr="007E2910" w:rsidRDefault="003F0EEA">
            <w:pPr>
              <w:rPr>
                <w:rFonts w:ascii="Arial" w:eastAsia="Arial" w:hAnsi="Arial" w:cs="Arial"/>
                <w:b/>
                <w:color w:val="000000"/>
                <w:sz w:val="16"/>
              </w:rPr>
            </w:pPr>
          </w:p>
        </w:tc>
        <w:tc>
          <w:tcPr>
            <w:tcW w:w="3150" w:type="dxa"/>
            <w:tcBorders>
              <w:top w:val="nil"/>
              <w:left w:val="nil"/>
              <w:bottom w:val="nil"/>
              <w:right w:val="nil"/>
              <w:tl2br w:val="nil"/>
              <w:tr2bl w:val="nil"/>
            </w:tcBorders>
            <w:shd w:val="clear" w:color="auto" w:fill="FFFFFF"/>
            <w:tcMar>
              <w:left w:w="115" w:type="dxa"/>
              <w:right w:w="115" w:type="dxa"/>
            </w:tcMar>
            <w:vAlign w:val="bottom"/>
          </w:tcPr>
          <w:p w14:paraId="13096050" w14:textId="77777777" w:rsidR="003F0EEA" w:rsidRPr="007E2910" w:rsidRDefault="003F0EEA">
            <w:pPr>
              <w:rPr>
                <w:rFonts w:ascii="Arial" w:eastAsia="Arial" w:hAnsi="Arial" w:cs="Arial"/>
                <w:b/>
                <w:color w:val="000000"/>
                <w:sz w:val="16"/>
              </w:rPr>
            </w:pPr>
          </w:p>
        </w:tc>
        <w:tc>
          <w:tcPr>
            <w:tcW w:w="915" w:type="dxa"/>
            <w:tcBorders>
              <w:top w:val="nil"/>
              <w:left w:val="nil"/>
              <w:bottom w:val="nil"/>
              <w:right w:val="nil"/>
              <w:tl2br w:val="nil"/>
              <w:tr2bl w:val="nil"/>
            </w:tcBorders>
            <w:shd w:val="clear" w:color="auto" w:fill="FFFFFF"/>
            <w:tcMar>
              <w:left w:w="115" w:type="dxa"/>
              <w:right w:w="115" w:type="dxa"/>
            </w:tcMar>
            <w:vAlign w:val="bottom"/>
          </w:tcPr>
          <w:p w14:paraId="69C08B84" w14:textId="77777777" w:rsidR="003F0EEA" w:rsidRPr="007E2910" w:rsidRDefault="003F0EEA">
            <w:pPr>
              <w:rPr>
                <w:rFonts w:ascii="Arial" w:eastAsia="Arial" w:hAnsi="Arial" w:cs="Arial"/>
                <w:b/>
                <w:color w:val="000000"/>
                <w:sz w:val="16"/>
              </w:rPr>
            </w:pPr>
          </w:p>
        </w:tc>
        <w:tc>
          <w:tcPr>
            <w:tcW w:w="1095" w:type="dxa"/>
            <w:tcBorders>
              <w:top w:val="nil"/>
              <w:left w:val="nil"/>
              <w:bottom w:val="nil"/>
              <w:right w:val="nil"/>
              <w:tl2br w:val="nil"/>
              <w:tr2bl w:val="nil"/>
            </w:tcBorders>
            <w:shd w:val="clear" w:color="auto" w:fill="FFFFFF"/>
            <w:tcMar>
              <w:left w:w="115" w:type="dxa"/>
              <w:right w:w="115" w:type="dxa"/>
            </w:tcMar>
            <w:vAlign w:val="bottom"/>
          </w:tcPr>
          <w:p w14:paraId="1AB53879" w14:textId="77777777" w:rsidR="003F0EEA" w:rsidRPr="007E2910" w:rsidRDefault="003F0EEA">
            <w:pPr>
              <w:rPr>
                <w:rFonts w:ascii="Arial" w:eastAsia="Arial" w:hAnsi="Arial" w:cs="Arial"/>
                <w:color w:val="000000"/>
                <w:sz w:val="16"/>
              </w:rPr>
            </w:pPr>
          </w:p>
        </w:tc>
        <w:tc>
          <w:tcPr>
            <w:tcW w:w="885" w:type="dxa"/>
            <w:tcBorders>
              <w:top w:val="nil"/>
              <w:left w:val="nil"/>
              <w:bottom w:val="nil"/>
              <w:right w:val="nil"/>
              <w:tl2br w:val="nil"/>
              <w:tr2bl w:val="nil"/>
            </w:tcBorders>
            <w:shd w:val="clear" w:color="auto" w:fill="FFFFFF"/>
            <w:tcMar>
              <w:left w:w="115" w:type="dxa"/>
              <w:right w:w="115" w:type="dxa"/>
            </w:tcMar>
            <w:vAlign w:val="bottom"/>
          </w:tcPr>
          <w:p w14:paraId="3544348D" w14:textId="77777777" w:rsidR="003F0EEA" w:rsidRPr="007E2910" w:rsidRDefault="003F0EEA">
            <w:pPr>
              <w:rPr>
                <w:rFonts w:ascii="Arial" w:eastAsia="Arial" w:hAnsi="Arial" w:cs="Arial"/>
                <w:color w:val="000000"/>
                <w:sz w:val="16"/>
              </w:rPr>
            </w:pPr>
          </w:p>
        </w:tc>
        <w:tc>
          <w:tcPr>
            <w:tcW w:w="1080" w:type="dxa"/>
            <w:tcBorders>
              <w:top w:val="nil"/>
              <w:left w:val="nil"/>
              <w:bottom w:val="nil"/>
              <w:right w:val="nil"/>
              <w:tl2br w:val="nil"/>
              <w:tr2bl w:val="nil"/>
            </w:tcBorders>
            <w:shd w:val="clear" w:color="auto" w:fill="FFFFFF"/>
            <w:tcMar>
              <w:left w:w="115" w:type="dxa"/>
              <w:right w:w="115" w:type="dxa"/>
            </w:tcMar>
            <w:vAlign w:val="bottom"/>
          </w:tcPr>
          <w:p w14:paraId="14A0E0B7" w14:textId="77777777" w:rsidR="003F0EEA" w:rsidRPr="007E2910" w:rsidRDefault="003F0EEA">
            <w:pPr>
              <w:rPr>
                <w:rFonts w:ascii="Arial" w:eastAsia="Arial" w:hAnsi="Arial" w:cs="Arial"/>
                <w:color w:val="000000"/>
                <w:sz w:val="16"/>
              </w:rPr>
            </w:pPr>
          </w:p>
        </w:tc>
        <w:tc>
          <w:tcPr>
            <w:tcW w:w="1020" w:type="dxa"/>
            <w:tcBorders>
              <w:top w:val="nil"/>
              <w:left w:val="nil"/>
              <w:bottom w:val="nil"/>
              <w:right w:val="nil"/>
              <w:tl2br w:val="nil"/>
              <w:tr2bl w:val="nil"/>
            </w:tcBorders>
            <w:shd w:val="clear" w:color="auto" w:fill="FFFFFF"/>
            <w:tcMar>
              <w:left w:w="115" w:type="dxa"/>
              <w:right w:w="115" w:type="dxa"/>
            </w:tcMar>
            <w:vAlign w:val="bottom"/>
          </w:tcPr>
          <w:p w14:paraId="7AD977A3" w14:textId="77777777" w:rsidR="003F0EEA" w:rsidRPr="007E2910" w:rsidRDefault="003F0EEA">
            <w:pPr>
              <w:rPr>
                <w:rFonts w:ascii="Arial" w:eastAsia="Arial" w:hAnsi="Arial" w:cs="Arial"/>
                <w:color w:val="000000"/>
                <w:sz w:val="16"/>
              </w:rPr>
            </w:pPr>
          </w:p>
        </w:tc>
      </w:tr>
      <w:tr w:rsidR="00355BFE" w14:paraId="46C5121A" w14:textId="77777777" w:rsidTr="00355BFE">
        <w:trPr>
          <w:trHeight w:val="225"/>
        </w:trPr>
        <w:tc>
          <w:tcPr>
            <w:tcW w:w="3510" w:type="dxa"/>
            <w:gridSpan w:val="3"/>
            <w:tcBorders>
              <w:top w:val="nil"/>
              <w:left w:val="nil"/>
              <w:bottom w:val="nil"/>
              <w:right w:val="nil"/>
              <w:tl2br w:val="nil"/>
              <w:tr2bl w:val="nil"/>
            </w:tcBorders>
            <w:shd w:val="clear" w:color="auto" w:fill="FFFFFF"/>
            <w:tcMar>
              <w:left w:w="115" w:type="dxa"/>
              <w:right w:w="115" w:type="dxa"/>
            </w:tcMar>
            <w:vAlign w:val="bottom"/>
          </w:tcPr>
          <w:p w14:paraId="4E54FB73" w14:textId="77777777" w:rsidR="003F0EEA" w:rsidRPr="007E2910" w:rsidRDefault="00FB7D0B">
            <w:pPr>
              <w:rPr>
                <w:rFonts w:ascii="Arial" w:eastAsia="Arial" w:hAnsi="Arial" w:cs="Arial"/>
                <w:color w:val="000000"/>
                <w:sz w:val="16"/>
              </w:rPr>
            </w:pPr>
            <w:r w:rsidRPr="007E2910">
              <w:rPr>
                <w:rFonts w:ascii="Arial" w:eastAsia="Arial" w:hAnsi="Arial" w:cs="Arial"/>
                <w:b/>
                <w:color w:val="000000"/>
                <w:sz w:val="16"/>
              </w:rPr>
              <w:t>Surplus (deficit) for the period</w:t>
            </w:r>
          </w:p>
        </w:tc>
        <w:tc>
          <w:tcPr>
            <w:tcW w:w="915" w:type="dxa"/>
            <w:tcBorders>
              <w:top w:val="nil"/>
              <w:left w:val="nil"/>
              <w:bottom w:val="nil"/>
              <w:right w:val="nil"/>
              <w:tl2br w:val="nil"/>
              <w:tr2bl w:val="nil"/>
            </w:tcBorders>
            <w:shd w:val="clear" w:color="auto" w:fill="FFFFFF"/>
            <w:tcMar>
              <w:left w:w="115" w:type="dxa"/>
              <w:right w:w="115" w:type="dxa"/>
            </w:tcMar>
            <w:vAlign w:val="bottom"/>
          </w:tcPr>
          <w:p w14:paraId="2D3F3CC0" w14:textId="77777777" w:rsidR="003F0EEA" w:rsidRPr="007E2910" w:rsidRDefault="00FB7D0B">
            <w:pPr>
              <w:jc w:val="right"/>
              <w:rPr>
                <w:rFonts w:ascii="Arial" w:eastAsia="Arial" w:hAnsi="Arial" w:cs="Arial"/>
                <w:b/>
                <w:color w:val="000000"/>
                <w:sz w:val="16"/>
              </w:rPr>
            </w:pPr>
            <w:r w:rsidRPr="007E2910">
              <w:rPr>
                <w:rFonts w:ascii="Arial" w:eastAsia="Arial" w:hAnsi="Arial" w:cs="Arial"/>
                <w:b/>
                <w:color w:val="000000"/>
                <w:sz w:val="16"/>
              </w:rPr>
              <w:t>(10,125)</w:t>
            </w:r>
          </w:p>
        </w:tc>
        <w:tc>
          <w:tcPr>
            <w:tcW w:w="1095" w:type="dxa"/>
            <w:tcBorders>
              <w:top w:val="nil"/>
              <w:left w:val="nil"/>
              <w:bottom w:val="nil"/>
              <w:right w:val="nil"/>
              <w:tl2br w:val="nil"/>
              <w:tr2bl w:val="nil"/>
            </w:tcBorders>
            <w:shd w:val="clear" w:color="auto" w:fill="FFFFFF"/>
            <w:tcMar>
              <w:left w:w="115" w:type="dxa"/>
              <w:right w:w="115" w:type="dxa"/>
            </w:tcMar>
            <w:vAlign w:val="bottom"/>
          </w:tcPr>
          <w:p w14:paraId="6E0A60A6" w14:textId="77777777" w:rsidR="003F0EEA" w:rsidRPr="007E2910" w:rsidRDefault="00FB7D0B">
            <w:pPr>
              <w:jc w:val="right"/>
              <w:rPr>
                <w:rFonts w:ascii="Arial" w:eastAsia="Arial" w:hAnsi="Arial" w:cs="Arial"/>
                <w:b/>
                <w:color w:val="000000"/>
                <w:sz w:val="16"/>
              </w:rPr>
            </w:pPr>
            <w:r w:rsidRPr="007E2910">
              <w:rPr>
                <w:rFonts w:ascii="Arial" w:eastAsia="Arial" w:hAnsi="Arial" w:cs="Arial"/>
                <w:b/>
                <w:color w:val="000000"/>
                <w:sz w:val="16"/>
              </w:rPr>
              <w:t xml:space="preserve"> - </w:t>
            </w:r>
          </w:p>
        </w:tc>
        <w:tc>
          <w:tcPr>
            <w:tcW w:w="885" w:type="dxa"/>
            <w:tcBorders>
              <w:top w:val="nil"/>
              <w:left w:val="nil"/>
              <w:bottom w:val="nil"/>
              <w:right w:val="nil"/>
              <w:tl2br w:val="nil"/>
              <w:tr2bl w:val="nil"/>
            </w:tcBorders>
            <w:shd w:val="clear" w:color="auto" w:fill="FFFFFF"/>
            <w:tcMar>
              <w:left w:w="115" w:type="dxa"/>
              <w:right w:w="115" w:type="dxa"/>
            </w:tcMar>
            <w:vAlign w:val="bottom"/>
          </w:tcPr>
          <w:p w14:paraId="1F2AA469" w14:textId="77777777" w:rsidR="003F0EEA" w:rsidRPr="007E2910" w:rsidRDefault="00FB7D0B">
            <w:pPr>
              <w:jc w:val="right"/>
              <w:rPr>
                <w:rFonts w:ascii="Arial" w:eastAsia="Arial" w:hAnsi="Arial" w:cs="Arial"/>
                <w:b/>
                <w:color w:val="000000"/>
                <w:sz w:val="16"/>
              </w:rPr>
            </w:pPr>
            <w:r w:rsidRPr="007E2910">
              <w:rPr>
                <w:rFonts w:ascii="Arial" w:eastAsia="Arial" w:hAnsi="Arial" w:cs="Arial"/>
                <w:b/>
                <w:color w:val="000000"/>
                <w:sz w:val="16"/>
              </w:rPr>
              <w:t xml:space="preserve"> - </w:t>
            </w:r>
          </w:p>
        </w:tc>
        <w:tc>
          <w:tcPr>
            <w:tcW w:w="1080" w:type="dxa"/>
            <w:tcBorders>
              <w:top w:val="nil"/>
              <w:left w:val="nil"/>
              <w:bottom w:val="nil"/>
              <w:right w:val="nil"/>
              <w:tl2br w:val="nil"/>
              <w:tr2bl w:val="nil"/>
            </w:tcBorders>
            <w:shd w:val="clear" w:color="auto" w:fill="FFFFFF"/>
            <w:tcMar>
              <w:left w:w="115" w:type="dxa"/>
              <w:right w:w="115" w:type="dxa"/>
            </w:tcMar>
            <w:vAlign w:val="bottom"/>
          </w:tcPr>
          <w:p w14:paraId="41F21D65" w14:textId="77777777" w:rsidR="003F0EEA" w:rsidRPr="007E2910" w:rsidRDefault="00FB7D0B">
            <w:pPr>
              <w:jc w:val="right"/>
              <w:rPr>
                <w:rFonts w:ascii="Arial" w:eastAsia="Arial" w:hAnsi="Arial" w:cs="Arial"/>
                <w:b/>
                <w:color w:val="000000"/>
                <w:sz w:val="16"/>
              </w:rPr>
            </w:pPr>
            <w:r w:rsidRPr="007E2910">
              <w:rPr>
                <w:rFonts w:ascii="Arial" w:eastAsia="Arial" w:hAnsi="Arial" w:cs="Arial"/>
                <w:b/>
                <w:color w:val="000000"/>
                <w:sz w:val="16"/>
              </w:rPr>
              <w:t xml:space="preserve"> - </w:t>
            </w:r>
          </w:p>
        </w:tc>
        <w:tc>
          <w:tcPr>
            <w:tcW w:w="1020" w:type="dxa"/>
            <w:tcBorders>
              <w:top w:val="nil"/>
              <w:left w:val="nil"/>
              <w:bottom w:val="nil"/>
              <w:right w:val="nil"/>
              <w:tl2br w:val="nil"/>
              <w:tr2bl w:val="nil"/>
            </w:tcBorders>
            <w:shd w:val="clear" w:color="auto" w:fill="FFFFFF"/>
            <w:tcMar>
              <w:left w:w="115" w:type="dxa"/>
              <w:right w:w="115" w:type="dxa"/>
            </w:tcMar>
            <w:vAlign w:val="bottom"/>
          </w:tcPr>
          <w:p w14:paraId="005E8FF3" w14:textId="77777777" w:rsidR="003F0EEA" w:rsidRPr="007E2910" w:rsidRDefault="00FB7D0B">
            <w:pPr>
              <w:jc w:val="right"/>
              <w:rPr>
                <w:rFonts w:ascii="Arial" w:eastAsia="Arial" w:hAnsi="Arial" w:cs="Arial"/>
                <w:b/>
                <w:color w:val="000000"/>
                <w:sz w:val="16"/>
              </w:rPr>
            </w:pPr>
            <w:r w:rsidRPr="007E2910">
              <w:rPr>
                <w:rFonts w:ascii="Arial" w:eastAsia="Arial" w:hAnsi="Arial" w:cs="Arial"/>
                <w:b/>
                <w:color w:val="000000"/>
                <w:sz w:val="16"/>
              </w:rPr>
              <w:t>(10,125)</w:t>
            </w:r>
          </w:p>
        </w:tc>
      </w:tr>
      <w:tr w:rsidR="00724034" w14:paraId="518B2CB5" w14:textId="77777777">
        <w:trPr>
          <w:trHeight w:hRule="exact" w:val="60"/>
        </w:trPr>
        <w:tc>
          <w:tcPr>
            <w:tcW w:w="180" w:type="dxa"/>
            <w:tcBorders>
              <w:top w:val="nil"/>
              <w:left w:val="nil"/>
              <w:bottom w:val="nil"/>
              <w:right w:val="nil"/>
              <w:tl2br w:val="nil"/>
              <w:tr2bl w:val="nil"/>
            </w:tcBorders>
            <w:shd w:val="clear" w:color="auto" w:fill="FFFFFF"/>
            <w:tcMar>
              <w:left w:w="115" w:type="dxa"/>
              <w:right w:w="115" w:type="dxa"/>
            </w:tcMar>
            <w:vAlign w:val="bottom"/>
          </w:tcPr>
          <w:p w14:paraId="11544B76" w14:textId="77777777" w:rsidR="003F0EEA" w:rsidRPr="007E2910" w:rsidRDefault="003F0EEA">
            <w:pPr>
              <w:rPr>
                <w:rFonts w:ascii="Arial" w:eastAsia="Arial" w:hAnsi="Arial" w:cs="Arial"/>
                <w:b/>
                <w:color w:val="000000"/>
                <w:sz w:val="16"/>
              </w:rPr>
            </w:pPr>
          </w:p>
        </w:tc>
        <w:tc>
          <w:tcPr>
            <w:tcW w:w="180" w:type="dxa"/>
            <w:tcBorders>
              <w:top w:val="nil"/>
              <w:left w:val="nil"/>
              <w:bottom w:val="nil"/>
              <w:right w:val="nil"/>
              <w:tl2br w:val="nil"/>
              <w:tr2bl w:val="nil"/>
            </w:tcBorders>
            <w:shd w:val="clear" w:color="auto" w:fill="FFFFFF"/>
            <w:tcMar>
              <w:left w:w="115" w:type="dxa"/>
              <w:right w:w="115" w:type="dxa"/>
            </w:tcMar>
            <w:vAlign w:val="bottom"/>
          </w:tcPr>
          <w:p w14:paraId="69DFB1D3" w14:textId="77777777" w:rsidR="003F0EEA" w:rsidRPr="007E2910" w:rsidRDefault="003F0EEA">
            <w:pPr>
              <w:rPr>
                <w:rFonts w:ascii="Arial" w:eastAsia="Arial" w:hAnsi="Arial" w:cs="Arial"/>
                <w:color w:val="000000"/>
                <w:sz w:val="16"/>
              </w:rPr>
            </w:pPr>
          </w:p>
        </w:tc>
        <w:tc>
          <w:tcPr>
            <w:tcW w:w="3150" w:type="dxa"/>
            <w:tcBorders>
              <w:top w:val="nil"/>
              <w:left w:val="nil"/>
              <w:bottom w:val="nil"/>
              <w:right w:val="nil"/>
              <w:tl2br w:val="nil"/>
              <w:tr2bl w:val="nil"/>
            </w:tcBorders>
            <w:shd w:val="clear" w:color="auto" w:fill="FFFFFF"/>
            <w:tcMar>
              <w:left w:w="115" w:type="dxa"/>
              <w:right w:w="115" w:type="dxa"/>
            </w:tcMar>
            <w:vAlign w:val="bottom"/>
          </w:tcPr>
          <w:p w14:paraId="45B5E230" w14:textId="77777777" w:rsidR="003F0EEA" w:rsidRPr="007E2910" w:rsidRDefault="003F0EEA">
            <w:pPr>
              <w:rPr>
                <w:rFonts w:ascii="Arial" w:eastAsia="Arial" w:hAnsi="Arial" w:cs="Arial"/>
                <w:color w:val="000000"/>
                <w:sz w:val="16"/>
              </w:rPr>
            </w:pPr>
          </w:p>
        </w:tc>
        <w:tc>
          <w:tcPr>
            <w:tcW w:w="915"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6DB332E9" w14:textId="77777777" w:rsidR="003F0EEA" w:rsidRPr="007E2910" w:rsidRDefault="003F0EEA">
            <w:pPr>
              <w:rPr>
                <w:rFonts w:ascii="Arial" w:eastAsia="Arial" w:hAnsi="Arial" w:cs="Arial"/>
                <w:color w:val="000000"/>
                <w:sz w:val="16"/>
              </w:rPr>
            </w:pPr>
          </w:p>
        </w:tc>
        <w:tc>
          <w:tcPr>
            <w:tcW w:w="1095"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0EB50EEE" w14:textId="77777777" w:rsidR="003F0EEA" w:rsidRPr="007E2910" w:rsidRDefault="003F0EEA">
            <w:pPr>
              <w:rPr>
                <w:rFonts w:ascii="Arial" w:eastAsia="Arial" w:hAnsi="Arial" w:cs="Arial"/>
                <w:color w:val="000000"/>
                <w:sz w:val="16"/>
              </w:rPr>
            </w:pPr>
          </w:p>
        </w:tc>
        <w:tc>
          <w:tcPr>
            <w:tcW w:w="885"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530A84B8" w14:textId="77777777" w:rsidR="003F0EEA" w:rsidRPr="007E2910" w:rsidRDefault="003F0EEA">
            <w:pPr>
              <w:rPr>
                <w:rFonts w:ascii="Arial" w:eastAsia="Arial" w:hAnsi="Arial" w:cs="Arial"/>
                <w:color w:val="000000"/>
                <w:sz w:val="16"/>
              </w:rPr>
            </w:pPr>
          </w:p>
        </w:tc>
        <w:tc>
          <w:tcPr>
            <w:tcW w:w="1080"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559272E4" w14:textId="77777777" w:rsidR="003F0EEA" w:rsidRPr="007E2910" w:rsidRDefault="003F0EEA">
            <w:pPr>
              <w:rPr>
                <w:rFonts w:ascii="Arial" w:eastAsia="Arial" w:hAnsi="Arial" w:cs="Arial"/>
                <w:color w:val="000000"/>
                <w:sz w:val="16"/>
              </w:rPr>
            </w:pPr>
          </w:p>
        </w:tc>
        <w:tc>
          <w:tcPr>
            <w:tcW w:w="1020"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6E4E6BD1" w14:textId="77777777" w:rsidR="003F0EEA" w:rsidRPr="007E2910" w:rsidRDefault="003F0EEA">
            <w:pPr>
              <w:rPr>
                <w:rFonts w:ascii="Arial" w:eastAsia="Arial" w:hAnsi="Arial" w:cs="Arial"/>
                <w:color w:val="000000"/>
                <w:sz w:val="16"/>
              </w:rPr>
            </w:pPr>
          </w:p>
        </w:tc>
      </w:tr>
      <w:tr w:rsidR="00355BFE" w14:paraId="3821CFD8" w14:textId="77777777" w:rsidTr="00355BFE">
        <w:trPr>
          <w:trHeight w:val="225"/>
        </w:trPr>
        <w:tc>
          <w:tcPr>
            <w:tcW w:w="3510" w:type="dxa"/>
            <w:gridSpan w:val="3"/>
            <w:tcBorders>
              <w:top w:val="nil"/>
              <w:left w:val="nil"/>
              <w:bottom w:val="nil"/>
              <w:right w:val="nil"/>
              <w:tl2br w:val="nil"/>
              <w:tr2bl w:val="nil"/>
            </w:tcBorders>
            <w:shd w:val="clear" w:color="auto" w:fill="FFFFFF"/>
            <w:tcMar>
              <w:left w:w="115" w:type="dxa"/>
              <w:right w:w="115" w:type="dxa"/>
            </w:tcMar>
            <w:vAlign w:val="bottom"/>
          </w:tcPr>
          <w:p w14:paraId="633EF84A" w14:textId="77777777" w:rsidR="003F0EEA" w:rsidRPr="007E2910" w:rsidRDefault="00FB7D0B">
            <w:pPr>
              <w:rPr>
                <w:rFonts w:ascii="Arial" w:eastAsia="Arial" w:hAnsi="Arial" w:cs="Arial"/>
                <w:color w:val="000000"/>
                <w:sz w:val="16"/>
              </w:rPr>
            </w:pPr>
            <w:r w:rsidRPr="007E2910">
              <w:rPr>
                <w:rFonts w:ascii="Arial" w:eastAsia="Arial" w:hAnsi="Arial" w:cs="Arial"/>
                <w:b/>
                <w:i/>
                <w:color w:val="000000"/>
                <w:sz w:val="16"/>
              </w:rPr>
              <w:t>Total comprehensive income</w:t>
            </w:r>
          </w:p>
        </w:tc>
        <w:tc>
          <w:tcPr>
            <w:tcW w:w="915" w:type="dxa"/>
            <w:tcBorders>
              <w:top w:val="single" w:sz="6" w:space="0" w:color="000000"/>
              <w:left w:val="nil"/>
              <w:bottom w:val="single" w:sz="6" w:space="0" w:color="000000"/>
              <w:right w:val="nil"/>
              <w:tl2br w:val="nil"/>
              <w:tr2bl w:val="nil"/>
            </w:tcBorders>
            <w:shd w:val="clear" w:color="auto" w:fill="FFFFFF"/>
            <w:tcMar>
              <w:left w:w="115" w:type="dxa"/>
              <w:right w:w="115" w:type="dxa"/>
            </w:tcMar>
            <w:vAlign w:val="bottom"/>
          </w:tcPr>
          <w:p w14:paraId="01C8153D" w14:textId="77777777" w:rsidR="003F0EEA" w:rsidRPr="007E2910" w:rsidRDefault="00FB7D0B">
            <w:pPr>
              <w:jc w:val="right"/>
              <w:rPr>
                <w:rFonts w:ascii="Arial" w:eastAsia="Arial" w:hAnsi="Arial" w:cs="Arial"/>
                <w:b/>
                <w:i/>
                <w:color w:val="000000"/>
                <w:sz w:val="16"/>
              </w:rPr>
            </w:pPr>
            <w:r w:rsidRPr="007E2910">
              <w:rPr>
                <w:rFonts w:ascii="Arial" w:eastAsia="Arial" w:hAnsi="Arial" w:cs="Arial"/>
                <w:b/>
                <w:color w:val="000000"/>
                <w:sz w:val="16"/>
              </w:rPr>
              <w:t>(10,125)</w:t>
            </w:r>
          </w:p>
        </w:tc>
        <w:tc>
          <w:tcPr>
            <w:tcW w:w="1095" w:type="dxa"/>
            <w:tcBorders>
              <w:top w:val="single" w:sz="6" w:space="0" w:color="000000"/>
              <w:left w:val="nil"/>
              <w:bottom w:val="single" w:sz="6" w:space="0" w:color="000000"/>
              <w:right w:val="nil"/>
              <w:tl2br w:val="nil"/>
              <w:tr2bl w:val="nil"/>
            </w:tcBorders>
            <w:shd w:val="clear" w:color="auto" w:fill="FFFFFF"/>
            <w:tcMar>
              <w:left w:w="115" w:type="dxa"/>
              <w:right w:w="115" w:type="dxa"/>
            </w:tcMar>
            <w:vAlign w:val="bottom"/>
          </w:tcPr>
          <w:p w14:paraId="73E37D47" w14:textId="77777777" w:rsidR="003F0EEA" w:rsidRPr="007E2910" w:rsidRDefault="00FB7D0B">
            <w:pPr>
              <w:jc w:val="right"/>
              <w:rPr>
                <w:rFonts w:ascii="Arial" w:eastAsia="Arial" w:hAnsi="Arial" w:cs="Arial"/>
                <w:b/>
                <w:color w:val="000000"/>
                <w:sz w:val="16"/>
              </w:rPr>
            </w:pPr>
            <w:r w:rsidRPr="007E2910">
              <w:rPr>
                <w:rFonts w:ascii="Arial" w:eastAsia="Arial" w:hAnsi="Arial" w:cs="Arial"/>
                <w:b/>
                <w:color w:val="000000"/>
                <w:sz w:val="16"/>
              </w:rPr>
              <w:t xml:space="preserve"> - </w:t>
            </w:r>
          </w:p>
        </w:tc>
        <w:tc>
          <w:tcPr>
            <w:tcW w:w="885" w:type="dxa"/>
            <w:tcBorders>
              <w:top w:val="single" w:sz="6" w:space="0" w:color="000000"/>
              <w:left w:val="nil"/>
              <w:bottom w:val="single" w:sz="6" w:space="0" w:color="000000"/>
              <w:right w:val="nil"/>
              <w:tl2br w:val="nil"/>
              <w:tr2bl w:val="nil"/>
            </w:tcBorders>
            <w:shd w:val="clear" w:color="auto" w:fill="FFFFFF"/>
            <w:tcMar>
              <w:left w:w="115" w:type="dxa"/>
              <w:right w:w="115" w:type="dxa"/>
            </w:tcMar>
            <w:vAlign w:val="bottom"/>
          </w:tcPr>
          <w:p w14:paraId="794A0EDE" w14:textId="77777777" w:rsidR="003F0EEA" w:rsidRPr="007E2910" w:rsidRDefault="00FB7D0B">
            <w:pPr>
              <w:jc w:val="right"/>
              <w:rPr>
                <w:rFonts w:ascii="Arial" w:eastAsia="Arial" w:hAnsi="Arial" w:cs="Arial"/>
                <w:b/>
                <w:color w:val="000000"/>
                <w:sz w:val="16"/>
              </w:rPr>
            </w:pPr>
            <w:r w:rsidRPr="007E2910">
              <w:rPr>
                <w:rFonts w:ascii="Arial" w:eastAsia="Arial" w:hAnsi="Arial" w:cs="Arial"/>
                <w:b/>
                <w:color w:val="000000"/>
                <w:sz w:val="16"/>
              </w:rPr>
              <w:t xml:space="preserve"> - </w:t>
            </w:r>
          </w:p>
        </w:tc>
        <w:tc>
          <w:tcPr>
            <w:tcW w:w="1080" w:type="dxa"/>
            <w:tcBorders>
              <w:top w:val="single" w:sz="6" w:space="0" w:color="000000"/>
              <w:left w:val="nil"/>
              <w:bottom w:val="single" w:sz="6" w:space="0" w:color="000000"/>
              <w:right w:val="nil"/>
              <w:tl2br w:val="nil"/>
              <w:tr2bl w:val="nil"/>
            </w:tcBorders>
            <w:shd w:val="clear" w:color="auto" w:fill="FFFFFF"/>
            <w:tcMar>
              <w:left w:w="115" w:type="dxa"/>
              <w:right w:w="115" w:type="dxa"/>
            </w:tcMar>
            <w:vAlign w:val="bottom"/>
          </w:tcPr>
          <w:p w14:paraId="29295828" w14:textId="77777777" w:rsidR="003F0EEA" w:rsidRPr="007E2910" w:rsidRDefault="00FB7D0B">
            <w:pPr>
              <w:jc w:val="right"/>
              <w:rPr>
                <w:rFonts w:ascii="Arial" w:eastAsia="Arial" w:hAnsi="Arial" w:cs="Arial"/>
                <w:b/>
                <w:color w:val="000000"/>
                <w:sz w:val="16"/>
              </w:rPr>
            </w:pPr>
            <w:r w:rsidRPr="007E2910">
              <w:rPr>
                <w:rFonts w:ascii="Arial" w:eastAsia="Arial" w:hAnsi="Arial" w:cs="Arial"/>
                <w:b/>
                <w:color w:val="000000"/>
                <w:sz w:val="16"/>
              </w:rPr>
              <w:t xml:space="preserve"> - </w:t>
            </w:r>
          </w:p>
        </w:tc>
        <w:tc>
          <w:tcPr>
            <w:tcW w:w="1020" w:type="dxa"/>
            <w:tcBorders>
              <w:top w:val="single" w:sz="6" w:space="0" w:color="000000"/>
              <w:left w:val="nil"/>
              <w:bottom w:val="single" w:sz="6" w:space="0" w:color="000000"/>
              <w:right w:val="nil"/>
              <w:tl2br w:val="nil"/>
              <w:tr2bl w:val="nil"/>
            </w:tcBorders>
            <w:shd w:val="clear" w:color="auto" w:fill="FFFFFF"/>
            <w:tcMar>
              <w:left w:w="115" w:type="dxa"/>
              <w:right w:w="115" w:type="dxa"/>
            </w:tcMar>
            <w:vAlign w:val="bottom"/>
          </w:tcPr>
          <w:p w14:paraId="3227B399" w14:textId="77777777" w:rsidR="003F0EEA" w:rsidRPr="007E2910" w:rsidRDefault="00FB7D0B">
            <w:pPr>
              <w:jc w:val="right"/>
              <w:rPr>
                <w:rFonts w:ascii="Arial" w:eastAsia="Arial" w:hAnsi="Arial" w:cs="Arial"/>
                <w:b/>
                <w:color w:val="000000"/>
                <w:sz w:val="16"/>
              </w:rPr>
            </w:pPr>
            <w:r w:rsidRPr="007E2910">
              <w:rPr>
                <w:rFonts w:ascii="Arial" w:eastAsia="Arial" w:hAnsi="Arial" w:cs="Arial"/>
                <w:b/>
                <w:color w:val="000000"/>
                <w:sz w:val="16"/>
              </w:rPr>
              <w:t>(10,125)</w:t>
            </w:r>
          </w:p>
        </w:tc>
      </w:tr>
      <w:tr w:rsidR="00355BFE" w14:paraId="779345CD" w14:textId="77777777" w:rsidTr="00355BFE">
        <w:trPr>
          <w:trHeight w:val="225"/>
        </w:trPr>
        <w:tc>
          <w:tcPr>
            <w:tcW w:w="3510" w:type="dxa"/>
            <w:gridSpan w:val="3"/>
            <w:tcBorders>
              <w:top w:val="nil"/>
              <w:left w:val="nil"/>
              <w:bottom w:val="nil"/>
              <w:right w:val="nil"/>
              <w:tl2br w:val="nil"/>
              <w:tr2bl w:val="nil"/>
            </w:tcBorders>
            <w:shd w:val="clear" w:color="auto" w:fill="FFFFFF"/>
            <w:tcMar>
              <w:left w:w="115" w:type="dxa"/>
              <w:right w:w="115" w:type="dxa"/>
            </w:tcMar>
            <w:vAlign w:val="bottom"/>
          </w:tcPr>
          <w:p w14:paraId="042F7474" w14:textId="77777777" w:rsidR="003F0EEA" w:rsidRPr="007E2910" w:rsidRDefault="00FB7D0B">
            <w:pPr>
              <w:rPr>
                <w:rFonts w:ascii="Arial" w:eastAsia="Arial" w:hAnsi="Arial" w:cs="Arial"/>
                <w:b/>
                <w:color w:val="000000"/>
                <w:sz w:val="16"/>
              </w:rPr>
            </w:pPr>
            <w:r w:rsidRPr="007E2910">
              <w:rPr>
                <w:rFonts w:ascii="Arial" w:eastAsia="Arial" w:hAnsi="Arial" w:cs="Arial"/>
                <w:b/>
                <w:color w:val="000000"/>
                <w:sz w:val="16"/>
              </w:rPr>
              <w:t>Transactions with owners</w:t>
            </w:r>
          </w:p>
        </w:tc>
        <w:tc>
          <w:tcPr>
            <w:tcW w:w="915"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2B933798" w14:textId="77777777" w:rsidR="003F0EEA" w:rsidRPr="007E2910" w:rsidRDefault="003F0EEA">
            <w:pPr>
              <w:rPr>
                <w:rFonts w:ascii="Arial" w:eastAsia="Arial" w:hAnsi="Arial" w:cs="Arial"/>
                <w:b/>
                <w:color w:val="000000"/>
                <w:sz w:val="16"/>
              </w:rPr>
            </w:pPr>
          </w:p>
        </w:tc>
        <w:tc>
          <w:tcPr>
            <w:tcW w:w="1095"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49C89790" w14:textId="77777777" w:rsidR="003F0EEA" w:rsidRPr="007E2910" w:rsidRDefault="003F0EEA">
            <w:pPr>
              <w:rPr>
                <w:rFonts w:ascii="Arial" w:eastAsia="Arial" w:hAnsi="Arial" w:cs="Arial"/>
                <w:b/>
                <w:color w:val="000000"/>
                <w:sz w:val="16"/>
              </w:rPr>
            </w:pPr>
          </w:p>
        </w:tc>
        <w:tc>
          <w:tcPr>
            <w:tcW w:w="885"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2F6B44E2" w14:textId="77777777" w:rsidR="003F0EEA" w:rsidRPr="007E2910" w:rsidRDefault="003F0EEA">
            <w:pPr>
              <w:rPr>
                <w:rFonts w:ascii="Arial" w:eastAsia="Arial" w:hAnsi="Arial" w:cs="Arial"/>
                <w:b/>
                <w:color w:val="000000"/>
                <w:sz w:val="16"/>
              </w:rPr>
            </w:pPr>
          </w:p>
        </w:tc>
        <w:tc>
          <w:tcPr>
            <w:tcW w:w="1080"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413E5636" w14:textId="77777777" w:rsidR="003F0EEA" w:rsidRPr="007E2910" w:rsidRDefault="003F0EEA">
            <w:pPr>
              <w:rPr>
                <w:rFonts w:ascii="Arial" w:eastAsia="Arial" w:hAnsi="Arial" w:cs="Arial"/>
                <w:b/>
                <w:color w:val="000000"/>
                <w:sz w:val="16"/>
              </w:rPr>
            </w:pPr>
          </w:p>
        </w:tc>
        <w:tc>
          <w:tcPr>
            <w:tcW w:w="1020"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0F7E33BB" w14:textId="77777777" w:rsidR="003F0EEA" w:rsidRPr="007E2910" w:rsidRDefault="003F0EEA">
            <w:pPr>
              <w:rPr>
                <w:rFonts w:ascii="Arial" w:eastAsia="Arial" w:hAnsi="Arial" w:cs="Arial"/>
                <w:b/>
                <w:color w:val="000000"/>
                <w:sz w:val="16"/>
              </w:rPr>
            </w:pPr>
          </w:p>
        </w:tc>
      </w:tr>
      <w:tr w:rsidR="00355BFE" w14:paraId="4BCA0036" w14:textId="77777777" w:rsidTr="00355BFE">
        <w:trPr>
          <w:trHeight w:val="225"/>
        </w:trPr>
        <w:tc>
          <w:tcPr>
            <w:tcW w:w="180" w:type="dxa"/>
            <w:tcBorders>
              <w:top w:val="nil"/>
              <w:left w:val="nil"/>
              <w:bottom w:val="nil"/>
              <w:right w:val="nil"/>
              <w:tl2br w:val="nil"/>
              <w:tr2bl w:val="nil"/>
            </w:tcBorders>
            <w:shd w:val="clear" w:color="auto" w:fill="FFFFFF"/>
            <w:tcMar>
              <w:left w:w="115" w:type="dxa"/>
              <w:right w:w="115" w:type="dxa"/>
            </w:tcMar>
            <w:vAlign w:val="bottom"/>
          </w:tcPr>
          <w:p w14:paraId="67E9C481" w14:textId="77777777" w:rsidR="003F0EEA" w:rsidRPr="007E2910" w:rsidRDefault="003F0EEA">
            <w:pPr>
              <w:rPr>
                <w:rFonts w:ascii="Arial" w:eastAsia="Arial" w:hAnsi="Arial" w:cs="Arial"/>
                <w:b/>
                <w:color w:val="000000"/>
                <w:sz w:val="16"/>
              </w:rPr>
            </w:pPr>
          </w:p>
        </w:tc>
        <w:tc>
          <w:tcPr>
            <w:tcW w:w="3330" w:type="dxa"/>
            <w:gridSpan w:val="2"/>
            <w:tcBorders>
              <w:top w:val="nil"/>
              <w:left w:val="nil"/>
              <w:bottom w:val="nil"/>
              <w:right w:val="nil"/>
              <w:tl2br w:val="nil"/>
              <w:tr2bl w:val="nil"/>
            </w:tcBorders>
            <w:shd w:val="clear" w:color="auto" w:fill="FFFFFF"/>
            <w:tcMar>
              <w:left w:w="115" w:type="dxa"/>
              <w:right w:w="115" w:type="dxa"/>
            </w:tcMar>
            <w:vAlign w:val="bottom"/>
          </w:tcPr>
          <w:p w14:paraId="0E246C99" w14:textId="77777777" w:rsidR="003F0EEA" w:rsidRPr="007E2910" w:rsidRDefault="00FB7D0B">
            <w:pPr>
              <w:rPr>
                <w:rFonts w:ascii="Arial" w:eastAsia="Arial" w:hAnsi="Arial" w:cs="Arial"/>
                <w:color w:val="000000"/>
                <w:sz w:val="16"/>
              </w:rPr>
            </w:pPr>
            <w:r w:rsidRPr="007E2910">
              <w:rPr>
                <w:rFonts w:ascii="Arial" w:eastAsia="Arial" w:hAnsi="Arial" w:cs="Arial"/>
                <w:i/>
                <w:color w:val="000000"/>
                <w:sz w:val="16"/>
              </w:rPr>
              <w:t>Contributions by owners</w:t>
            </w:r>
          </w:p>
        </w:tc>
        <w:tc>
          <w:tcPr>
            <w:tcW w:w="915" w:type="dxa"/>
            <w:tcBorders>
              <w:top w:val="nil"/>
              <w:left w:val="nil"/>
              <w:bottom w:val="nil"/>
              <w:right w:val="nil"/>
              <w:tl2br w:val="nil"/>
              <w:tr2bl w:val="nil"/>
            </w:tcBorders>
            <w:shd w:val="clear" w:color="auto" w:fill="FFFFFF"/>
            <w:tcMar>
              <w:left w:w="115" w:type="dxa"/>
              <w:right w:w="115" w:type="dxa"/>
            </w:tcMar>
            <w:vAlign w:val="bottom"/>
          </w:tcPr>
          <w:p w14:paraId="2666D3FE" w14:textId="77777777" w:rsidR="003F0EEA" w:rsidRPr="007E2910" w:rsidRDefault="003F0EEA">
            <w:pPr>
              <w:rPr>
                <w:rFonts w:ascii="Arial" w:eastAsia="Arial" w:hAnsi="Arial" w:cs="Arial"/>
                <w:i/>
                <w:color w:val="000000"/>
                <w:sz w:val="16"/>
              </w:rPr>
            </w:pPr>
          </w:p>
        </w:tc>
        <w:tc>
          <w:tcPr>
            <w:tcW w:w="1095" w:type="dxa"/>
            <w:tcBorders>
              <w:top w:val="nil"/>
              <w:left w:val="nil"/>
              <w:bottom w:val="nil"/>
              <w:right w:val="nil"/>
              <w:tl2br w:val="nil"/>
              <w:tr2bl w:val="nil"/>
            </w:tcBorders>
            <w:shd w:val="clear" w:color="auto" w:fill="FFFFFF"/>
            <w:tcMar>
              <w:left w:w="115" w:type="dxa"/>
              <w:right w:w="115" w:type="dxa"/>
            </w:tcMar>
            <w:vAlign w:val="bottom"/>
          </w:tcPr>
          <w:p w14:paraId="51DF89C5" w14:textId="77777777" w:rsidR="003F0EEA" w:rsidRPr="007E2910" w:rsidRDefault="003F0EEA">
            <w:pPr>
              <w:rPr>
                <w:rFonts w:ascii="Arial" w:eastAsia="Arial" w:hAnsi="Arial" w:cs="Arial"/>
                <w:color w:val="000000"/>
                <w:sz w:val="16"/>
              </w:rPr>
            </w:pPr>
          </w:p>
        </w:tc>
        <w:tc>
          <w:tcPr>
            <w:tcW w:w="885" w:type="dxa"/>
            <w:tcBorders>
              <w:top w:val="nil"/>
              <w:left w:val="nil"/>
              <w:bottom w:val="nil"/>
              <w:right w:val="nil"/>
              <w:tl2br w:val="nil"/>
              <w:tr2bl w:val="nil"/>
            </w:tcBorders>
            <w:shd w:val="clear" w:color="auto" w:fill="FFFFFF"/>
            <w:tcMar>
              <w:left w:w="115" w:type="dxa"/>
              <w:right w:w="115" w:type="dxa"/>
            </w:tcMar>
            <w:vAlign w:val="bottom"/>
          </w:tcPr>
          <w:p w14:paraId="07B523E2" w14:textId="77777777" w:rsidR="003F0EEA" w:rsidRPr="007E2910" w:rsidRDefault="003F0EEA">
            <w:pPr>
              <w:rPr>
                <w:rFonts w:ascii="Arial" w:eastAsia="Arial" w:hAnsi="Arial" w:cs="Arial"/>
                <w:color w:val="000000"/>
                <w:sz w:val="16"/>
              </w:rPr>
            </w:pPr>
          </w:p>
        </w:tc>
        <w:tc>
          <w:tcPr>
            <w:tcW w:w="1080" w:type="dxa"/>
            <w:tcBorders>
              <w:top w:val="nil"/>
              <w:left w:val="nil"/>
              <w:bottom w:val="nil"/>
              <w:right w:val="nil"/>
              <w:tl2br w:val="nil"/>
              <w:tr2bl w:val="nil"/>
            </w:tcBorders>
            <w:shd w:val="clear" w:color="auto" w:fill="FFFFFF"/>
            <w:tcMar>
              <w:left w:w="115" w:type="dxa"/>
              <w:right w:w="115" w:type="dxa"/>
            </w:tcMar>
            <w:vAlign w:val="bottom"/>
          </w:tcPr>
          <w:p w14:paraId="4B2E5C5C" w14:textId="77777777" w:rsidR="003F0EEA" w:rsidRPr="007E2910" w:rsidRDefault="003F0EEA">
            <w:pPr>
              <w:rPr>
                <w:rFonts w:ascii="Arial" w:eastAsia="Arial" w:hAnsi="Arial" w:cs="Arial"/>
                <w:color w:val="000000"/>
                <w:sz w:val="16"/>
              </w:rPr>
            </w:pPr>
          </w:p>
        </w:tc>
        <w:tc>
          <w:tcPr>
            <w:tcW w:w="1020" w:type="dxa"/>
            <w:tcBorders>
              <w:top w:val="nil"/>
              <w:left w:val="nil"/>
              <w:bottom w:val="nil"/>
              <w:right w:val="nil"/>
              <w:tl2br w:val="nil"/>
              <w:tr2bl w:val="nil"/>
            </w:tcBorders>
            <w:shd w:val="clear" w:color="auto" w:fill="FFFFFF"/>
            <w:tcMar>
              <w:left w:w="115" w:type="dxa"/>
              <w:right w:w="115" w:type="dxa"/>
            </w:tcMar>
            <w:vAlign w:val="bottom"/>
          </w:tcPr>
          <w:p w14:paraId="4C9A054C" w14:textId="77777777" w:rsidR="003F0EEA" w:rsidRPr="007E2910" w:rsidRDefault="003F0EEA">
            <w:pPr>
              <w:rPr>
                <w:rFonts w:ascii="Arial" w:eastAsia="Arial" w:hAnsi="Arial" w:cs="Arial"/>
                <w:color w:val="000000"/>
                <w:sz w:val="16"/>
              </w:rPr>
            </w:pPr>
          </w:p>
        </w:tc>
      </w:tr>
      <w:tr w:rsidR="00724034" w14:paraId="1B6AE881" w14:textId="77777777">
        <w:trPr>
          <w:trHeight w:val="225"/>
        </w:trPr>
        <w:tc>
          <w:tcPr>
            <w:tcW w:w="180" w:type="dxa"/>
            <w:tcBorders>
              <w:top w:val="nil"/>
              <w:left w:val="nil"/>
              <w:bottom w:val="nil"/>
              <w:right w:val="nil"/>
              <w:tl2br w:val="nil"/>
              <w:tr2bl w:val="nil"/>
            </w:tcBorders>
            <w:shd w:val="clear" w:color="auto" w:fill="FFFFFF"/>
            <w:tcMar>
              <w:left w:w="115" w:type="dxa"/>
              <w:right w:w="115" w:type="dxa"/>
            </w:tcMar>
            <w:vAlign w:val="bottom"/>
          </w:tcPr>
          <w:p w14:paraId="1F76FC06" w14:textId="77777777" w:rsidR="003F0EEA" w:rsidRPr="007E2910" w:rsidRDefault="003F0EEA">
            <w:pPr>
              <w:rPr>
                <w:rFonts w:ascii="Arial" w:eastAsia="Arial" w:hAnsi="Arial" w:cs="Arial"/>
                <w:color w:val="000000"/>
                <w:sz w:val="16"/>
              </w:rPr>
            </w:pPr>
          </w:p>
        </w:tc>
        <w:tc>
          <w:tcPr>
            <w:tcW w:w="180" w:type="dxa"/>
            <w:tcBorders>
              <w:top w:val="nil"/>
              <w:left w:val="nil"/>
              <w:bottom w:val="nil"/>
              <w:right w:val="nil"/>
              <w:tl2br w:val="nil"/>
              <w:tr2bl w:val="nil"/>
            </w:tcBorders>
            <w:shd w:val="clear" w:color="auto" w:fill="FFFFFF"/>
            <w:tcMar>
              <w:left w:w="115" w:type="dxa"/>
              <w:right w:w="115" w:type="dxa"/>
            </w:tcMar>
            <w:vAlign w:val="bottom"/>
          </w:tcPr>
          <w:p w14:paraId="32AF34F1" w14:textId="77777777" w:rsidR="003F0EEA" w:rsidRPr="007E2910" w:rsidRDefault="003F0EEA">
            <w:pPr>
              <w:rPr>
                <w:rFonts w:ascii="Arial" w:eastAsia="Arial" w:hAnsi="Arial" w:cs="Arial"/>
                <w:color w:val="000000"/>
                <w:sz w:val="16"/>
              </w:rPr>
            </w:pPr>
          </w:p>
        </w:tc>
        <w:tc>
          <w:tcPr>
            <w:tcW w:w="3150" w:type="dxa"/>
            <w:tcBorders>
              <w:top w:val="nil"/>
              <w:left w:val="nil"/>
              <w:bottom w:val="nil"/>
              <w:right w:val="nil"/>
              <w:tl2br w:val="nil"/>
              <w:tr2bl w:val="nil"/>
            </w:tcBorders>
            <w:shd w:val="clear" w:color="auto" w:fill="FFFFFF"/>
            <w:tcMar>
              <w:left w:w="115" w:type="dxa"/>
              <w:right w:w="115" w:type="dxa"/>
            </w:tcMar>
            <w:vAlign w:val="bottom"/>
          </w:tcPr>
          <w:p w14:paraId="068ED553" w14:textId="77777777" w:rsidR="003F0EEA" w:rsidRPr="007E2910" w:rsidRDefault="00FB7D0B">
            <w:pPr>
              <w:rPr>
                <w:rFonts w:ascii="Arial" w:eastAsia="Arial" w:hAnsi="Arial" w:cs="Arial"/>
                <w:color w:val="000000"/>
                <w:sz w:val="16"/>
              </w:rPr>
            </w:pPr>
            <w:r w:rsidRPr="007E2910">
              <w:rPr>
                <w:rFonts w:ascii="Arial" w:eastAsia="Arial" w:hAnsi="Arial" w:cs="Arial"/>
                <w:color w:val="000000"/>
                <w:sz w:val="16"/>
              </w:rPr>
              <w:t>Equity injection - Appropriation</w:t>
            </w:r>
          </w:p>
        </w:tc>
        <w:tc>
          <w:tcPr>
            <w:tcW w:w="915"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309A877A" w14:textId="77777777" w:rsidR="003F0EEA" w:rsidRPr="007E2910" w:rsidRDefault="00FB7D0B">
            <w:pPr>
              <w:jc w:val="right"/>
              <w:rPr>
                <w:rFonts w:ascii="Arial" w:eastAsia="Arial" w:hAnsi="Arial" w:cs="Arial"/>
                <w:color w:val="000000"/>
                <w:sz w:val="16"/>
              </w:rPr>
            </w:pPr>
            <w:r w:rsidRPr="007E2910">
              <w:rPr>
                <w:rFonts w:ascii="Arial" w:eastAsia="Arial" w:hAnsi="Arial" w:cs="Arial"/>
                <w:color w:val="000000"/>
                <w:sz w:val="16"/>
              </w:rPr>
              <w:t xml:space="preserve"> - </w:t>
            </w:r>
          </w:p>
        </w:tc>
        <w:tc>
          <w:tcPr>
            <w:tcW w:w="1095"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334C213F" w14:textId="77777777" w:rsidR="003F0EEA" w:rsidRPr="007E2910" w:rsidRDefault="00FB7D0B">
            <w:pPr>
              <w:jc w:val="right"/>
              <w:rPr>
                <w:rFonts w:ascii="Arial" w:eastAsia="Arial" w:hAnsi="Arial" w:cs="Arial"/>
                <w:color w:val="000000"/>
                <w:sz w:val="16"/>
              </w:rPr>
            </w:pPr>
            <w:r w:rsidRPr="007E2910">
              <w:rPr>
                <w:rFonts w:ascii="Arial" w:eastAsia="Arial" w:hAnsi="Arial" w:cs="Arial"/>
                <w:color w:val="000000"/>
                <w:sz w:val="16"/>
              </w:rPr>
              <w:t xml:space="preserve"> - </w:t>
            </w:r>
          </w:p>
        </w:tc>
        <w:tc>
          <w:tcPr>
            <w:tcW w:w="885"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0AA44422" w14:textId="77777777" w:rsidR="003F0EEA" w:rsidRPr="007E2910" w:rsidRDefault="00FB7D0B">
            <w:pPr>
              <w:jc w:val="right"/>
              <w:rPr>
                <w:rFonts w:ascii="Arial" w:eastAsia="Arial" w:hAnsi="Arial" w:cs="Arial"/>
                <w:color w:val="000000"/>
                <w:sz w:val="16"/>
              </w:rPr>
            </w:pPr>
            <w:r w:rsidRPr="007E2910">
              <w:rPr>
                <w:rFonts w:ascii="Arial" w:eastAsia="Arial" w:hAnsi="Arial" w:cs="Arial"/>
                <w:color w:val="000000"/>
                <w:sz w:val="16"/>
              </w:rPr>
              <w:t xml:space="preserve"> - </w:t>
            </w:r>
          </w:p>
        </w:tc>
        <w:tc>
          <w:tcPr>
            <w:tcW w:w="1080"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5AD68273" w14:textId="77777777" w:rsidR="003F0EEA" w:rsidRPr="007E2910" w:rsidRDefault="00FB7D0B">
            <w:pPr>
              <w:jc w:val="right"/>
              <w:rPr>
                <w:rFonts w:ascii="Arial" w:eastAsia="Arial" w:hAnsi="Arial" w:cs="Arial"/>
                <w:color w:val="000000"/>
                <w:sz w:val="16"/>
              </w:rPr>
            </w:pPr>
            <w:r w:rsidRPr="007E2910">
              <w:rPr>
                <w:rFonts w:ascii="Arial" w:eastAsia="Arial" w:hAnsi="Arial" w:cs="Arial"/>
                <w:color w:val="000000"/>
                <w:sz w:val="16"/>
              </w:rPr>
              <w:t xml:space="preserve"> 12,444 </w:t>
            </w:r>
          </w:p>
        </w:tc>
        <w:tc>
          <w:tcPr>
            <w:tcW w:w="1020"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72575529" w14:textId="77777777" w:rsidR="003F0EEA" w:rsidRPr="007E2910" w:rsidRDefault="00FB7D0B">
            <w:pPr>
              <w:jc w:val="right"/>
              <w:rPr>
                <w:rFonts w:ascii="Arial" w:eastAsia="Arial" w:hAnsi="Arial" w:cs="Arial"/>
                <w:color w:val="000000"/>
                <w:sz w:val="16"/>
              </w:rPr>
            </w:pPr>
            <w:r w:rsidRPr="007E2910">
              <w:rPr>
                <w:rFonts w:ascii="Arial" w:eastAsia="Arial" w:hAnsi="Arial" w:cs="Arial"/>
                <w:color w:val="000000"/>
                <w:sz w:val="16"/>
              </w:rPr>
              <w:t xml:space="preserve"> 12,444 </w:t>
            </w:r>
          </w:p>
        </w:tc>
      </w:tr>
      <w:tr w:rsidR="00355BFE" w14:paraId="6A2E2283" w14:textId="77777777" w:rsidTr="00355BFE">
        <w:trPr>
          <w:trHeight w:val="225"/>
        </w:trPr>
        <w:tc>
          <w:tcPr>
            <w:tcW w:w="3510" w:type="dxa"/>
            <w:gridSpan w:val="3"/>
            <w:tcBorders>
              <w:top w:val="nil"/>
              <w:left w:val="nil"/>
              <w:bottom w:val="nil"/>
              <w:right w:val="nil"/>
              <w:tl2br w:val="nil"/>
              <w:tr2bl w:val="nil"/>
            </w:tcBorders>
            <w:shd w:val="clear" w:color="auto" w:fill="FFFFFF"/>
            <w:tcMar>
              <w:left w:w="115" w:type="dxa"/>
              <w:right w:w="115" w:type="dxa"/>
            </w:tcMar>
            <w:vAlign w:val="bottom"/>
          </w:tcPr>
          <w:p w14:paraId="6F6651D6" w14:textId="77777777" w:rsidR="003F0EEA" w:rsidRPr="007E2910" w:rsidRDefault="00FB7D0B">
            <w:pPr>
              <w:rPr>
                <w:rFonts w:ascii="Arial" w:eastAsia="Arial" w:hAnsi="Arial" w:cs="Arial"/>
                <w:color w:val="000000"/>
                <w:sz w:val="16"/>
              </w:rPr>
            </w:pPr>
            <w:r w:rsidRPr="007E2910">
              <w:rPr>
                <w:rFonts w:ascii="Arial" w:eastAsia="Arial" w:hAnsi="Arial" w:cs="Arial"/>
                <w:b/>
                <w:i/>
                <w:color w:val="000000"/>
                <w:sz w:val="16"/>
              </w:rPr>
              <w:t>Sub-total transactions with owners</w:t>
            </w:r>
          </w:p>
        </w:tc>
        <w:tc>
          <w:tcPr>
            <w:tcW w:w="915" w:type="dxa"/>
            <w:tcBorders>
              <w:top w:val="single" w:sz="6" w:space="0" w:color="000000"/>
              <w:left w:val="nil"/>
              <w:bottom w:val="single" w:sz="6" w:space="0" w:color="000000"/>
              <w:right w:val="nil"/>
              <w:tl2br w:val="nil"/>
              <w:tr2bl w:val="nil"/>
            </w:tcBorders>
            <w:shd w:val="clear" w:color="auto" w:fill="FFFFFF"/>
            <w:tcMar>
              <w:left w:w="115" w:type="dxa"/>
              <w:right w:w="115" w:type="dxa"/>
            </w:tcMar>
            <w:vAlign w:val="bottom"/>
          </w:tcPr>
          <w:p w14:paraId="435E68B1" w14:textId="77777777" w:rsidR="003F0EEA" w:rsidRPr="007E2910" w:rsidRDefault="00FB7D0B">
            <w:pPr>
              <w:jc w:val="right"/>
              <w:rPr>
                <w:rFonts w:ascii="Arial" w:eastAsia="Arial" w:hAnsi="Arial" w:cs="Arial"/>
                <w:b/>
                <w:i/>
                <w:color w:val="000000"/>
                <w:sz w:val="16"/>
              </w:rPr>
            </w:pPr>
            <w:r w:rsidRPr="007E2910">
              <w:rPr>
                <w:rFonts w:ascii="Arial" w:eastAsia="Arial" w:hAnsi="Arial" w:cs="Arial"/>
                <w:b/>
                <w:color w:val="000000"/>
                <w:sz w:val="16"/>
              </w:rPr>
              <w:t xml:space="preserve"> - </w:t>
            </w:r>
          </w:p>
        </w:tc>
        <w:tc>
          <w:tcPr>
            <w:tcW w:w="1095" w:type="dxa"/>
            <w:tcBorders>
              <w:top w:val="single" w:sz="6" w:space="0" w:color="000000"/>
              <w:left w:val="nil"/>
              <w:bottom w:val="single" w:sz="6" w:space="0" w:color="000000"/>
              <w:right w:val="nil"/>
              <w:tl2br w:val="nil"/>
              <w:tr2bl w:val="nil"/>
            </w:tcBorders>
            <w:shd w:val="clear" w:color="auto" w:fill="FFFFFF"/>
            <w:tcMar>
              <w:left w:w="115" w:type="dxa"/>
              <w:right w:w="115" w:type="dxa"/>
            </w:tcMar>
            <w:vAlign w:val="bottom"/>
          </w:tcPr>
          <w:p w14:paraId="17E32226" w14:textId="77777777" w:rsidR="003F0EEA" w:rsidRPr="007E2910" w:rsidRDefault="00FB7D0B">
            <w:pPr>
              <w:jc w:val="right"/>
              <w:rPr>
                <w:rFonts w:ascii="Arial" w:eastAsia="Arial" w:hAnsi="Arial" w:cs="Arial"/>
                <w:b/>
                <w:color w:val="000000"/>
                <w:sz w:val="16"/>
              </w:rPr>
            </w:pPr>
            <w:r w:rsidRPr="007E2910">
              <w:rPr>
                <w:rFonts w:ascii="Arial" w:eastAsia="Arial" w:hAnsi="Arial" w:cs="Arial"/>
                <w:b/>
                <w:color w:val="000000"/>
                <w:sz w:val="16"/>
              </w:rPr>
              <w:t xml:space="preserve"> - </w:t>
            </w:r>
          </w:p>
        </w:tc>
        <w:tc>
          <w:tcPr>
            <w:tcW w:w="885" w:type="dxa"/>
            <w:tcBorders>
              <w:top w:val="single" w:sz="6" w:space="0" w:color="000000"/>
              <w:left w:val="nil"/>
              <w:bottom w:val="single" w:sz="6" w:space="0" w:color="000000"/>
              <w:right w:val="nil"/>
              <w:tl2br w:val="nil"/>
              <w:tr2bl w:val="nil"/>
            </w:tcBorders>
            <w:shd w:val="clear" w:color="auto" w:fill="FFFFFF"/>
            <w:tcMar>
              <w:left w:w="115" w:type="dxa"/>
              <w:right w:w="115" w:type="dxa"/>
            </w:tcMar>
            <w:vAlign w:val="bottom"/>
          </w:tcPr>
          <w:p w14:paraId="7FA1C918" w14:textId="77777777" w:rsidR="003F0EEA" w:rsidRPr="007E2910" w:rsidRDefault="00FB7D0B">
            <w:pPr>
              <w:jc w:val="right"/>
              <w:rPr>
                <w:rFonts w:ascii="Arial" w:eastAsia="Arial" w:hAnsi="Arial" w:cs="Arial"/>
                <w:b/>
                <w:color w:val="000000"/>
                <w:sz w:val="16"/>
              </w:rPr>
            </w:pPr>
            <w:r w:rsidRPr="007E2910">
              <w:rPr>
                <w:rFonts w:ascii="Arial" w:eastAsia="Arial" w:hAnsi="Arial" w:cs="Arial"/>
                <w:b/>
                <w:color w:val="000000"/>
                <w:sz w:val="16"/>
              </w:rPr>
              <w:t xml:space="preserve"> - </w:t>
            </w:r>
          </w:p>
        </w:tc>
        <w:tc>
          <w:tcPr>
            <w:tcW w:w="1080" w:type="dxa"/>
            <w:tcBorders>
              <w:top w:val="single" w:sz="6" w:space="0" w:color="000000"/>
              <w:left w:val="nil"/>
              <w:bottom w:val="single" w:sz="6" w:space="0" w:color="000000"/>
              <w:right w:val="nil"/>
              <w:tl2br w:val="nil"/>
              <w:tr2bl w:val="nil"/>
            </w:tcBorders>
            <w:shd w:val="clear" w:color="auto" w:fill="FFFFFF"/>
            <w:tcMar>
              <w:left w:w="115" w:type="dxa"/>
              <w:right w:w="115" w:type="dxa"/>
            </w:tcMar>
            <w:vAlign w:val="bottom"/>
          </w:tcPr>
          <w:p w14:paraId="7CAC8DE2" w14:textId="77777777" w:rsidR="003F0EEA" w:rsidRPr="007E2910" w:rsidRDefault="00FB7D0B">
            <w:pPr>
              <w:jc w:val="right"/>
              <w:rPr>
                <w:rFonts w:ascii="Arial" w:eastAsia="Arial" w:hAnsi="Arial" w:cs="Arial"/>
                <w:b/>
                <w:color w:val="000000"/>
                <w:sz w:val="16"/>
              </w:rPr>
            </w:pPr>
            <w:r w:rsidRPr="007E2910">
              <w:rPr>
                <w:rFonts w:ascii="Arial" w:eastAsia="Arial" w:hAnsi="Arial" w:cs="Arial"/>
                <w:b/>
                <w:color w:val="000000"/>
                <w:sz w:val="16"/>
              </w:rPr>
              <w:t xml:space="preserve"> 12,444 </w:t>
            </w:r>
          </w:p>
        </w:tc>
        <w:tc>
          <w:tcPr>
            <w:tcW w:w="1020" w:type="dxa"/>
            <w:tcBorders>
              <w:top w:val="single" w:sz="6" w:space="0" w:color="000000"/>
              <w:left w:val="nil"/>
              <w:bottom w:val="single" w:sz="6" w:space="0" w:color="000000"/>
              <w:right w:val="nil"/>
              <w:tl2br w:val="nil"/>
              <w:tr2bl w:val="nil"/>
            </w:tcBorders>
            <w:shd w:val="clear" w:color="auto" w:fill="FFFFFF"/>
            <w:tcMar>
              <w:left w:w="115" w:type="dxa"/>
              <w:right w:w="115" w:type="dxa"/>
            </w:tcMar>
            <w:vAlign w:val="bottom"/>
          </w:tcPr>
          <w:p w14:paraId="02CC1429" w14:textId="77777777" w:rsidR="003F0EEA" w:rsidRPr="007E2910" w:rsidRDefault="00FB7D0B">
            <w:pPr>
              <w:jc w:val="right"/>
              <w:rPr>
                <w:rFonts w:ascii="Arial" w:eastAsia="Arial" w:hAnsi="Arial" w:cs="Arial"/>
                <w:b/>
                <w:color w:val="000000"/>
                <w:sz w:val="16"/>
              </w:rPr>
            </w:pPr>
            <w:r w:rsidRPr="007E2910">
              <w:rPr>
                <w:rFonts w:ascii="Arial" w:eastAsia="Arial" w:hAnsi="Arial" w:cs="Arial"/>
                <w:b/>
                <w:color w:val="000000"/>
                <w:sz w:val="16"/>
              </w:rPr>
              <w:t xml:space="preserve"> 12,444 </w:t>
            </w:r>
          </w:p>
        </w:tc>
      </w:tr>
      <w:tr w:rsidR="00355BFE" w14:paraId="0EA1722D" w14:textId="77777777" w:rsidTr="00355BFE">
        <w:trPr>
          <w:trHeight w:val="225"/>
        </w:trPr>
        <w:tc>
          <w:tcPr>
            <w:tcW w:w="3510" w:type="dxa"/>
            <w:gridSpan w:val="3"/>
            <w:tcBorders>
              <w:top w:val="nil"/>
              <w:left w:val="nil"/>
              <w:bottom w:val="nil"/>
              <w:right w:val="nil"/>
              <w:tl2br w:val="nil"/>
              <w:tr2bl w:val="nil"/>
            </w:tcBorders>
            <w:shd w:val="clear" w:color="auto" w:fill="FFFFFF"/>
            <w:tcMar>
              <w:left w:w="115" w:type="dxa"/>
              <w:right w:w="115" w:type="dxa"/>
            </w:tcMar>
            <w:vAlign w:val="bottom"/>
          </w:tcPr>
          <w:p w14:paraId="06EEEF96" w14:textId="77777777" w:rsidR="003F0EEA" w:rsidRPr="007E2910" w:rsidRDefault="00FB7D0B">
            <w:pPr>
              <w:rPr>
                <w:rFonts w:ascii="Arial" w:eastAsia="Arial" w:hAnsi="Arial" w:cs="Arial"/>
                <w:b/>
                <w:color w:val="000000"/>
                <w:sz w:val="16"/>
              </w:rPr>
            </w:pPr>
            <w:r w:rsidRPr="007E2910">
              <w:rPr>
                <w:rFonts w:ascii="Arial" w:eastAsia="Arial" w:hAnsi="Arial" w:cs="Arial"/>
                <w:b/>
                <w:color w:val="000000"/>
                <w:sz w:val="16"/>
              </w:rPr>
              <w:t>Estimated closing balance</w:t>
            </w:r>
          </w:p>
        </w:tc>
        <w:tc>
          <w:tcPr>
            <w:tcW w:w="915"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1769F881" w14:textId="77777777" w:rsidR="003F0EEA" w:rsidRPr="007E2910" w:rsidRDefault="003F0EEA">
            <w:pPr>
              <w:rPr>
                <w:rFonts w:ascii="Arial" w:eastAsia="Arial" w:hAnsi="Arial" w:cs="Arial"/>
                <w:b/>
                <w:color w:val="000000"/>
                <w:sz w:val="16"/>
              </w:rPr>
            </w:pPr>
          </w:p>
        </w:tc>
        <w:tc>
          <w:tcPr>
            <w:tcW w:w="1095"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576F2A61" w14:textId="77777777" w:rsidR="003F0EEA" w:rsidRPr="007E2910" w:rsidRDefault="003F0EEA">
            <w:pPr>
              <w:rPr>
                <w:rFonts w:ascii="Arial" w:eastAsia="Arial" w:hAnsi="Arial" w:cs="Arial"/>
                <w:color w:val="000000"/>
                <w:sz w:val="16"/>
              </w:rPr>
            </w:pPr>
          </w:p>
        </w:tc>
        <w:tc>
          <w:tcPr>
            <w:tcW w:w="885"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5EB9A9F2" w14:textId="77777777" w:rsidR="003F0EEA" w:rsidRPr="007E2910" w:rsidRDefault="003F0EEA">
            <w:pPr>
              <w:rPr>
                <w:rFonts w:ascii="Arial" w:eastAsia="Arial" w:hAnsi="Arial" w:cs="Arial"/>
                <w:color w:val="000000"/>
                <w:sz w:val="16"/>
              </w:rPr>
            </w:pPr>
          </w:p>
        </w:tc>
        <w:tc>
          <w:tcPr>
            <w:tcW w:w="1080"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13B99989" w14:textId="77777777" w:rsidR="003F0EEA" w:rsidRPr="007E2910" w:rsidRDefault="003F0EEA">
            <w:pPr>
              <w:rPr>
                <w:rFonts w:ascii="Arial" w:eastAsia="Arial" w:hAnsi="Arial" w:cs="Arial"/>
                <w:color w:val="000000"/>
                <w:sz w:val="16"/>
              </w:rPr>
            </w:pPr>
          </w:p>
        </w:tc>
        <w:tc>
          <w:tcPr>
            <w:tcW w:w="1020"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5243D078" w14:textId="77777777" w:rsidR="003F0EEA" w:rsidRPr="007E2910" w:rsidRDefault="003F0EEA">
            <w:pPr>
              <w:rPr>
                <w:rFonts w:ascii="Arial" w:eastAsia="Arial" w:hAnsi="Arial" w:cs="Arial"/>
                <w:color w:val="000000"/>
                <w:sz w:val="16"/>
              </w:rPr>
            </w:pPr>
          </w:p>
        </w:tc>
      </w:tr>
      <w:tr w:rsidR="00355BFE" w14:paraId="3168D0DD" w14:textId="77777777" w:rsidTr="00355BFE">
        <w:trPr>
          <w:trHeight w:val="225"/>
        </w:trPr>
        <w:tc>
          <w:tcPr>
            <w:tcW w:w="180" w:type="dxa"/>
            <w:tcBorders>
              <w:top w:val="nil"/>
              <w:left w:val="nil"/>
              <w:bottom w:val="nil"/>
              <w:right w:val="nil"/>
              <w:tl2br w:val="nil"/>
              <w:tr2bl w:val="nil"/>
            </w:tcBorders>
            <w:shd w:val="clear" w:color="auto" w:fill="FFFFFF"/>
            <w:tcMar>
              <w:left w:w="115" w:type="dxa"/>
              <w:right w:w="115" w:type="dxa"/>
            </w:tcMar>
            <w:vAlign w:val="bottom"/>
          </w:tcPr>
          <w:p w14:paraId="62A5CF02" w14:textId="77777777" w:rsidR="003F0EEA" w:rsidRPr="007E2910" w:rsidRDefault="003F0EEA">
            <w:pPr>
              <w:rPr>
                <w:rFonts w:ascii="Arial" w:eastAsia="Arial" w:hAnsi="Arial" w:cs="Arial"/>
                <w:color w:val="000000"/>
                <w:sz w:val="16"/>
              </w:rPr>
            </w:pPr>
          </w:p>
        </w:tc>
        <w:tc>
          <w:tcPr>
            <w:tcW w:w="3330" w:type="dxa"/>
            <w:gridSpan w:val="2"/>
            <w:vMerge w:val="restart"/>
            <w:tcBorders>
              <w:top w:val="nil"/>
              <w:left w:val="nil"/>
              <w:bottom w:val="nil"/>
              <w:right w:val="nil"/>
              <w:tl2br w:val="nil"/>
              <w:tr2bl w:val="nil"/>
            </w:tcBorders>
            <w:shd w:val="clear" w:color="auto" w:fill="FFFFFF"/>
            <w:tcMar>
              <w:left w:w="115" w:type="dxa"/>
              <w:right w:w="115" w:type="dxa"/>
            </w:tcMar>
            <w:vAlign w:val="bottom"/>
          </w:tcPr>
          <w:p w14:paraId="0E037571" w14:textId="77777777" w:rsidR="003F0EEA" w:rsidRPr="007E2910" w:rsidRDefault="00FB7D0B">
            <w:pPr>
              <w:rPr>
                <w:rFonts w:ascii="Arial" w:eastAsia="Arial" w:hAnsi="Arial" w:cs="Arial"/>
                <w:b/>
                <w:color w:val="000000"/>
                <w:sz w:val="16"/>
              </w:rPr>
            </w:pPr>
            <w:r w:rsidRPr="007E2910">
              <w:rPr>
                <w:rFonts w:ascii="Arial" w:eastAsia="Arial" w:hAnsi="Arial" w:cs="Arial"/>
                <w:b/>
                <w:color w:val="000000"/>
                <w:sz w:val="16"/>
              </w:rPr>
              <w:t>as at 30 June 2015</w:t>
            </w:r>
          </w:p>
        </w:tc>
        <w:tc>
          <w:tcPr>
            <w:tcW w:w="915"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35BD313D" w14:textId="77777777" w:rsidR="003F0EEA" w:rsidRPr="007E2910" w:rsidRDefault="00FB7D0B">
            <w:pPr>
              <w:jc w:val="right"/>
              <w:rPr>
                <w:rFonts w:ascii="Arial" w:eastAsia="Arial" w:hAnsi="Arial" w:cs="Arial"/>
                <w:b/>
                <w:color w:val="000000"/>
                <w:sz w:val="16"/>
              </w:rPr>
            </w:pPr>
            <w:r w:rsidRPr="007E2910">
              <w:rPr>
                <w:rFonts w:ascii="Arial" w:eastAsia="Arial" w:hAnsi="Arial" w:cs="Arial"/>
                <w:b/>
                <w:color w:val="000000"/>
                <w:sz w:val="16"/>
              </w:rPr>
              <w:t xml:space="preserve"> 552,785 </w:t>
            </w:r>
          </w:p>
        </w:tc>
        <w:tc>
          <w:tcPr>
            <w:tcW w:w="1095"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3616CC0D" w14:textId="77777777" w:rsidR="003F0EEA" w:rsidRPr="007E2910" w:rsidRDefault="00FB7D0B">
            <w:pPr>
              <w:jc w:val="right"/>
              <w:rPr>
                <w:rFonts w:ascii="Arial" w:eastAsia="Arial" w:hAnsi="Arial" w:cs="Arial"/>
                <w:b/>
                <w:color w:val="000000"/>
                <w:sz w:val="16"/>
              </w:rPr>
            </w:pPr>
            <w:r w:rsidRPr="007E2910">
              <w:rPr>
                <w:rFonts w:ascii="Arial" w:eastAsia="Arial" w:hAnsi="Arial" w:cs="Arial"/>
                <w:b/>
                <w:color w:val="000000"/>
                <w:sz w:val="16"/>
              </w:rPr>
              <w:t xml:space="preserve"> 616,056 </w:t>
            </w:r>
          </w:p>
        </w:tc>
        <w:tc>
          <w:tcPr>
            <w:tcW w:w="885"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239ECEDD" w14:textId="77777777" w:rsidR="003F0EEA" w:rsidRPr="007E2910" w:rsidRDefault="00FB7D0B">
            <w:pPr>
              <w:jc w:val="right"/>
              <w:rPr>
                <w:rFonts w:ascii="Arial" w:eastAsia="Arial" w:hAnsi="Arial" w:cs="Arial"/>
                <w:b/>
                <w:color w:val="000000"/>
                <w:sz w:val="16"/>
              </w:rPr>
            </w:pPr>
            <w:r w:rsidRPr="007E2910">
              <w:rPr>
                <w:rFonts w:ascii="Arial" w:eastAsia="Arial" w:hAnsi="Arial" w:cs="Arial"/>
                <w:b/>
                <w:color w:val="000000"/>
                <w:sz w:val="16"/>
              </w:rPr>
              <w:t xml:space="preserve"> - </w:t>
            </w:r>
          </w:p>
        </w:tc>
        <w:tc>
          <w:tcPr>
            <w:tcW w:w="1080"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1E72BA58" w14:textId="77777777" w:rsidR="003F0EEA" w:rsidRPr="007E2910" w:rsidRDefault="00FB7D0B">
            <w:pPr>
              <w:jc w:val="right"/>
              <w:rPr>
                <w:rFonts w:ascii="Arial" w:eastAsia="Arial" w:hAnsi="Arial" w:cs="Arial"/>
                <w:b/>
                <w:color w:val="000000"/>
                <w:sz w:val="16"/>
              </w:rPr>
            </w:pPr>
            <w:r w:rsidRPr="007E2910">
              <w:rPr>
                <w:rFonts w:ascii="Arial" w:eastAsia="Arial" w:hAnsi="Arial" w:cs="Arial"/>
                <w:b/>
                <w:color w:val="000000"/>
                <w:sz w:val="16"/>
              </w:rPr>
              <w:t xml:space="preserve"> 96,152 </w:t>
            </w:r>
          </w:p>
        </w:tc>
        <w:tc>
          <w:tcPr>
            <w:tcW w:w="1020"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32639571" w14:textId="77777777" w:rsidR="003F0EEA" w:rsidRPr="007E2910" w:rsidRDefault="00FB7D0B">
            <w:pPr>
              <w:jc w:val="right"/>
              <w:rPr>
                <w:rFonts w:ascii="Arial" w:eastAsia="Arial" w:hAnsi="Arial" w:cs="Arial"/>
                <w:b/>
                <w:color w:val="000000"/>
                <w:sz w:val="16"/>
              </w:rPr>
            </w:pPr>
            <w:r w:rsidRPr="007E2910">
              <w:rPr>
                <w:rFonts w:ascii="Arial" w:eastAsia="Arial" w:hAnsi="Arial" w:cs="Arial"/>
                <w:b/>
                <w:color w:val="000000"/>
                <w:sz w:val="16"/>
              </w:rPr>
              <w:t xml:space="preserve"> 1,264,993 </w:t>
            </w:r>
          </w:p>
        </w:tc>
      </w:tr>
      <w:tr w:rsidR="00355BFE" w14:paraId="3D8B86AF" w14:textId="77777777" w:rsidTr="00355BFE">
        <w:trPr>
          <w:trHeight w:val="225"/>
        </w:trPr>
        <w:tc>
          <w:tcPr>
            <w:tcW w:w="3510" w:type="dxa"/>
            <w:gridSpan w:val="3"/>
            <w:tcBorders>
              <w:top w:val="nil"/>
              <w:left w:val="nil"/>
              <w:bottom w:val="nil"/>
              <w:right w:val="nil"/>
              <w:tl2br w:val="nil"/>
              <w:tr2bl w:val="nil"/>
            </w:tcBorders>
            <w:shd w:val="clear" w:color="auto" w:fill="FFFFFF"/>
            <w:tcMar>
              <w:left w:w="115" w:type="dxa"/>
              <w:right w:w="115" w:type="dxa"/>
            </w:tcMar>
            <w:vAlign w:val="bottom"/>
          </w:tcPr>
          <w:p w14:paraId="1D218CB2" w14:textId="77777777" w:rsidR="003F0EEA" w:rsidRPr="007E2910" w:rsidRDefault="00FB7D0B">
            <w:pPr>
              <w:rPr>
                <w:rFonts w:ascii="Arial" w:eastAsia="Arial" w:hAnsi="Arial" w:cs="Arial"/>
                <w:b/>
                <w:color w:val="000000"/>
                <w:sz w:val="16"/>
              </w:rPr>
            </w:pPr>
            <w:r w:rsidRPr="007E2910">
              <w:rPr>
                <w:rFonts w:ascii="Arial" w:eastAsia="Arial" w:hAnsi="Arial" w:cs="Arial"/>
                <w:b/>
                <w:color w:val="000000"/>
                <w:sz w:val="16"/>
              </w:rPr>
              <w:t xml:space="preserve">Closing balance attributable to the </w:t>
            </w:r>
          </w:p>
        </w:tc>
        <w:tc>
          <w:tcPr>
            <w:tcW w:w="915"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2B1F5D69" w14:textId="77777777" w:rsidR="003F0EEA" w:rsidRPr="007E2910" w:rsidRDefault="003F0EEA">
            <w:pPr>
              <w:rPr>
                <w:rFonts w:ascii="Arial" w:eastAsia="Arial" w:hAnsi="Arial" w:cs="Arial"/>
                <w:b/>
                <w:color w:val="000000"/>
                <w:sz w:val="16"/>
              </w:rPr>
            </w:pPr>
          </w:p>
        </w:tc>
        <w:tc>
          <w:tcPr>
            <w:tcW w:w="1095"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6D4F4954" w14:textId="77777777" w:rsidR="003F0EEA" w:rsidRPr="007E2910" w:rsidRDefault="003F0EEA">
            <w:pPr>
              <w:rPr>
                <w:rFonts w:ascii="Arial" w:eastAsia="Arial" w:hAnsi="Arial" w:cs="Arial"/>
                <w:color w:val="000000"/>
                <w:sz w:val="16"/>
              </w:rPr>
            </w:pPr>
          </w:p>
        </w:tc>
        <w:tc>
          <w:tcPr>
            <w:tcW w:w="885"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15BD0099" w14:textId="77777777" w:rsidR="003F0EEA" w:rsidRPr="007E2910" w:rsidRDefault="003F0EEA">
            <w:pPr>
              <w:rPr>
                <w:rFonts w:ascii="Arial" w:eastAsia="Arial" w:hAnsi="Arial" w:cs="Arial"/>
                <w:color w:val="000000"/>
                <w:sz w:val="16"/>
              </w:rPr>
            </w:pPr>
          </w:p>
        </w:tc>
        <w:tc>
          <w:tcPr>
            <w:tcW w:w="1080"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0ECCA269" w14:textId="77777777" w:rsidR="003F0EEA" w:rsidRPr="007E2910" w:rsidRDefault="003F0EEA">
            <w:pPr>
              <w:rPr>
                <w:rFonts w:ascii="Arial" w:eastAsia="Arial" w:hAnsi="Arial" w:cs="Arial"/>
                <w:color w:val="000000"/>
                <w:sz w:val="16"/>
              </w:rPr>
            </w:pPr>
          </w:p>
        </w:tc>
        <w:tc>
          <w:tcPr>
            <w:tcW w:w="1020"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5B7F4BCB" w14:textId="77777777" w:rsidR="003F0EEA" w:rsidRPr="007E2910" w:rsidRDefault="003F0EEA">
            <w:pPr>
              <w:rPr>
                <w:rFonts w:ascii="Arial" w:eastAsia="Arial" w:hAnsi="Arial" w:cs="Arial"/>
                <w:color w:val="000000"/>
                <w:sz w:val="16"/>
              </w:rPr>
            </w:pPr>
          </w:p>
        </w:tc>
      </w:tr>
      <w:tr w:rsidR="00355BFE" w14:paraId="46F9B8F8" w14:textId="77777777" w:rsidTr="00355BFE">
        <w:trPr>
          <w:trHeight w:val="225"/>
        </w:trPr>
        <w:tc>
          <w:tcPr>
            <w:tcW w:w="180"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2CBABC8B" w14:textId="77777777" w:rsidR="003F0EEA" w:rsidRPr="007E2910" w:rsidRDefault="003F0EEA">
            <w:pPr>
              <w:rPr>
                <w:rFonts w:ascii="Arial" w:eastAsia="Arial" w:hAnsi="Arial" w:cs="Arial"/>
                <w:color w:val="000000"/>
                <w:sz w:val="16"/>
              </w:rPr>
            </w:pPr>
          </w:p>
        </w:tc>
        <w:tc>
          <w:tcPr>
            <w:tcW w:w="3330" w:type="dxa"/>
            <w:gridSpan w:val="2"/>
            <w:tcBorders>
              <w:top w:val="nil"/>
              <w:left w:val="nil"/>
              <w:bottom w:val="single" w:sz="6" w:space="0" w:color="000000"/>
              <w:right w:val="nil"/>
              <w:tl2br w:val="nil"/>
              <w:tr2bl w:val="nil"/>
            </w:tcBorders>
            <w:shd w:val="clear" w:color="auto" w:fill="FFFFFF"/>
            <w:tcMar>
              <w:left w:w="115" w:type="dxa"/>
              <w:right w:w="115" w:type="dxa"/>
            </w:tcMar>
            <w:vAlign w:val="bottom"/>
          </w:tcPr>
          <w:p w14:paraId="12DFF997" w14:textId="77777777" w:rsidR="003F0EEA" w:rsidRPr="007E2910" w:rsidRDefault="00FB7D0B">
            <w:pPr>
              <w:rPr>
                <w:rFonts w:ascii="Arial" w:eastAsia="Arial" w:hAnsi="Arial" w:cs="Arial"/>
                <w:b/>
                <w:color w:val="000000"/>
                <w:sz w:val="16"/>
              </w:rPr>
            </w:pPr>
            <w:r w:rsidRPr="007E2910">
              <w:rPr>
                <w:rFonts w:ascii="Arial" w:eastAsia="Arial" w:hAnsi="Arial" w:cs="Arial"/>
                <w:b/>
                <w:color w:val="000000"/>
                <w:sz w:val="16"/>
              </w:rPr>
              <w:t>Australian Government</w:t>
            </w:r>
          </w:p>
        </w:tc>
        <w:tc>
          <w:tcPr>
            <w:tcW w:w="915"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3576C835" w14:textId="77777777" w:rsidR="003F0EEA" w:rsidRPr="007E2910" w:rsidRDefault="00FB7D0B">
            <w:pPr>
              <w:jc w:val="right"/>
              <w:rPr>
                <w:rFonts w:ascii="Arial" w:eastAsia="Arial" w:hAnsi="Arial" w:cs="Arial"/>
                <w:b/>
                <w:color w:val="000000"/>
                <w:sz w:val="16"/>
              </w:rPr>
            </w:pPr>
            <w:r w:rsidRPr="007E2910">
              <w:rPr>
                <w:rFonts w:ascii="Arial" w:eastAsia="Arial" w:hAnsi="Arial" w:cs="Arial"/>
                <w:b/>
                <w:color w:val="000000"/>
                <w:sz w:val="16"/>
              </w:rPr>
              <w:t xml:space="preserve"> 552,785 </w:t>
            </w:r>
          </w:p>
        </w:tc>
        <w:tc>
          <w:tcPr>
            <w:tcW w:w="1095"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28EB757E" w14:textId="77777777" w:rsidR="003F0EEA" w:rsidRPr="007E2910" w:rsidRDefault="00FB7D0B">
            <w:pPr>
              <w:jc w:val="right"/>
              <w:rPr>
                <w:rFonts w:ascii="Arial" w:eastAsia="Arial" w:hAnsi="Arial" w:cs="Arial"/>
                <w:b/>
                <w:color w:val="000000"/>
                <w:sz w:val="16"/>
              </w:rPr>
            </w:pPr>
            <w:r w:rsidRPr="007E2910">
              <w:rPr>
                <w:rFonts w:ascii="Arial" w:eastAsia="Arial" w:hAnsi="Arial" w:cs="Arial"/>
                <w:b/>
                <w:color w:val="000000"/>
                <w:sz w:val="16"/>
              </w:rPr>
              <w:t xml:space="preserve"> 616,056 </w:t>
            </w:r>
          </w:p>
        </w:tc>
        <w:tc>
          <w:tcPr>
            <w:tcW w:w="885"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6C072D40" w14:textId="77777777" w:rsidR="003F0EEA" w:rsidRPr="007E2910" w:rsidRDefault="00FB7D0B">
            <w:pPr>
              <w:jc w:val="right"/>
              <w:rPr>
                <w:rFonts w:ascii="Arial" w:eastAsia="Arial" w:hAnsi="Arial" w:cs="Arial"/>
                <w:b/>
                <w:color w:val="000000"/>
                <w:sz w:val="16"/>
              </w:rPr>
            </w:pPr>
            <w:r w:rsidRPr="007E2910">
              <w:rPr>
                <w:rFonts w:ascii="Arial" w:eastAsia="Arial" w:hAnsi="Arial" w:cs="Arial"/>
                <w:b/>
                <w:color w:val="000000"/>
                <w:sz w:val="16"/>
              </w:rPr>
              <w:t xml:space="preserve"> - </w:t>
            </w:r>
          </w:p>
        </w:tc>
        <w:tc>
          <w:tcPr>
            <w:tcW w:w="1080"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6A5FDF37" w14:textId="77777777" w:rsidR="003F0EEA" w:rsidRPr="007E2910" w:rsidRDefault="00FB7D0B">
            <w:pPr>
              <w:jc w:val="right"/>
              <w:rPr>
                <w:rFonts w:ascii="Arial" w:eastAsia="Arial" w:hAnsi="Arial" w:cs="Arial"/>
                <w:b/>
                <w:color w:val="000000"/>
                <w:sz w:val="16"/>
              </w:rPr>
            </w:pPr>
            <w:r w:rsidRPr="007E2910">
              <w:rPr>
                <w:rFonts w:ascii="Arial" w:eastAsia="Arial" w:hAnsi="Arial" w:cs="Arial"/>
                <w:b/>
                <w:color w:val="000000"/>
                <w:sz w:val="16"/>
              </w:rPr>
              <w:t xml:space="preserve"> 96,152 </w:t>
            </w:r>
          </w:p>
        </w:tc>
        <w:tc>
          <w:tcPr>
            <w:tcW w:w="1020"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7B0341A1" w14:textId="77777777" w:rsidR="003F0EEA" w:rsidRPr="007E2910" w:rsidRDefault="00FB7D0B">
            <w:pPr>
              <w:jc w:val="right"/>
              <w:rPr>
                <w:rFonts w:ascii="Arial" w:eastAsia="Arial" w:hAnsi="Arial" w:cs="Arial"/>
                <w:b/>
                <w:color w:val="000000"/>
                <w:sz w:val="16"/>
              </w:rPr>
            </w:pPr>
            <w:r w:rsidRPr="007E2910">
              <w:rPr>
                <w:rFonts w:ascii="Arial" w:eastAsia="Arial" w:hAnsi="Arial" w:cs="Arial"/>
                <w:b/>
                <w:color w:val="000000"/>
                <w:sz w:val="16"/>
              </w:rPr>
              <w:t xml:space="preserve"> 1,264,993 </w:t>
            </w:r>
          </w:p>
        </w:tc>
      </w:tr>
    </w:tbl>
    <w:p w14:paraId="7539E91E" w14:textId="77777777" w:rsidR="003F0EEA" w:rsidRDefault="00FB7D0B" w:rsidP="003F0EEA">
      <w:pPr>
        <w:pStyle w:val="Source19"/>
      </w:pPr>
      <w:r>
        <w:rPr>
          <w:rFonts w:cs="Arial"/>
        </w:rPr>
        <w:t>Prepared on Australian Accounting Standards basis</w:t>
      </w:r>
    </w:p>
    <w:p w14:paraId="49B11ABC" w14:textId="77777777" w:rsidR="003F0EEA" w:rsidRDefault="00FB7D0B">
      <w:pPr>
        <w:spacing w:line="14" w:lineRule="exact"/>
        <w:rPr>
          <w:rFonts w:eastAsia="Times New Roman" w:cs="Times New Roman"/>
        </w:rPr>
      </w:pPr>
      <w:r>
        <w:rPr>
          <w:rFonts w:eastAsia="Times New Roman" w:cs="Times New Roman"/>
        </w:rPr>
        <w:br w:type="page"/>
      </w:r>
    </w:p>
    <w:p w14:paraId="2A5B7B6F" w14:textId="77777777" w:rsidR="003F0EEA" w:rsidRPr="007B0048" w:rsidRDefault="00FB7D0B" w:rsidP="003F0EEA">
      <w:pPr>
        <w:pStyle w:val="Normal251"/>
        <w:spacing w:after="0"/>
        <w:jc w:val="left"/>
        <w:rPr>
          <w:rFonts w:ascii="Arial" w:hAnsi="Arial" w:cs="Arial"/>
          <w:b/>
        </w:rPr>
      </w:pPr>
      <w:r>
        <w:rPr>
          <w:rFonts w:ascii="Arial" w:hAnsi="Arial" w:cs="Arial"/>
          <w:b/>
        </w:rPr>
        <w:t>Table 3.2.4: Budgeted Departmental Statement of Cash F</w:t>
      </w:r>
      <w:r w:rsidRPr="007B0048">
        <w:rPr>
          <w:rFonts w:ascii="Arial" w:hAnsi="Arial" w:cs="Arial"/>
          <w:b/>
        </w:rPr>
        <w:t>lows</w:t>
      </w:r>
    </w:p>
    <w:p w14:paraId="129B22B3" w14:textId="77777777" w:rsidR="003F0EEA" w:rsidRPr="007B0048" w:rsidRDefault="00FB7D0B" w:rsidP="003F0EEA">
      <w:pPr>
        <w:pStyle w:val="Normal251"/>
        <w:spacing w:after="0"/>
        <w:jc w:val="left"/>
        <w:rPr>
          <w:rFonts w:ascii="Arial" w:hAnsi="Arial" w:cs="Arial"/>
          <w:b/>
        </w:rPr>
      </w:pPr>
      <w:r>
        <w:rPr>
          <w:rFonts w:ascii="Arial" w:hAnsi="Arial" w:cs="Arial"/>
          <w:b/>
        </w:rPr>
        <w:t>(</w:t>
      </w:r>
      <w:r w:rsidRPr="007B0048">
        <w:rPr>
          <w:rFonts w:ascii="Arial" w:hAnsi="Arial" w:cs="Arial"/>
          <w:b/>
        </w:rPr>
        <w:t>for the period ended 30 June</w:t>
      </w:r>
      <w:r>
        <w:rPr>
          <w:rFonts w:ascii="Arial" w:hAnsi="Arial" w:cs="Arial"/>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0"/>
        <w:gridCol w:w="250"/>
        <w:gridCol w:w="3150"/>
        <w:gridCol w:w="990"/>
        <w:gridCol w:w="990"/>
        <w:gridCol w:w="990"/>
        <w:gridCol w:w="990"/>
        <w:gridCol w:w="990"/>
      </w:tblGrid>
      <w:tr w:rsidR="00724034" w14:paraId="25CC169D" w14:textId="77777777">
        <w:trPr>
          <w:trHeight w:val="225"/>
        </w:trPr>
        <w:tc>
          <w:tcPr>
            <w:tcW w:w="180"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648EEA8B" w14:textId="77777777" w:rsidR="003F0EEA" w:rsidRPr="007B0048" w:rsidRDefault="003F0EEA">
            <w:pPr>
              <w:rPr>
                <w:rFonts w:ascii="Arial" w:eastAsia="Times New Roman" w:hAnsi="Arial" w:cs="Arial"/>
                <w:b/>
              </w:rPr>
            </w:pPr>
          </w:p>
        </w:tc>
        <w:tc>
          <w:tcPr>
            <w:tcW w:w="180"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59C8B534" w14:textId="77777777" w:rsidR="003F0EEA" w:rsidRPr="007B0048" w:rsidRDefault="003F0EEA">
            <w:pPr>
              <w:rPr>
                <w:rFonts w:ascii="Arial" w:eastAsia="Arial" w:hAnsi="Arial" w:cs="Arial"/>
                <w:color w:val="000000"/>
                <w:sz w:val="16"/>
              </w:rPr>
            </w:pPr>
          </w:p>
        </w:tc>
        <w:tc>
          <w:tcPr>
            <w:tcW w:w="3150"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03DC7C83" w14:textId="77777777" w:rsidR="003F0EEA" w:rsidRPr="007B0048" w:rsidRDefault="003F0EEA">
            <w:pPr>
              <w:rPr>
                <w:rFonts w:ascii="Arial" w:eastAsia="Arial" w:hAnsi="Arial" w:cs="Arial"/>
                <w:color w:val="000000"/>
                <w:sz w:val="16"/>
              </w:rPr>
            </w:pPr>
          </w:p>
        </w:tc>
        <w:tc>
          <w:tcPr>
            <w:tcW w:w="990"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3CA1614A" w14:textId="77777777" w:rsidR="003F0EEA" w:rsidRPr="007B0048" w:rsidRDefault="00FB7D0B">
            <w:pPr>
              <w:jc w:val="right"/>
              <w:rPr>
                <w:rFonts w:ascii="Arial" w:eastAsia="Arial" w:hAnsi="Arial" w:cs="Arial"/>
                <w:color w:val="000000"/>
                <w:sz w:val="16"/>
              </w:rPr>
            </w:pPr>
            <w:r w:rsidRPr="007B0048">
              <w:rPr>
                <w:rFonts w:ascii="Arial" w:eastAsia="Arial" w:hAnsi="Arial" w:cs="Arial"/>
                <w:color w:val="000000"/>
                <w:sz w:val="16"/>
              </w:rPr>
              <w:t>Estimated</w:t>
            </w:r>
          </w:p>
        </w:tc>
        <w:tc>
          <w:tcPr>
            <w:tcW w:w="990" w:type="dxa"/>
            <w:tcBorders>
              <w:top w:val="single" w:sz="6" w:space="0" w:color="000000"/>
              <w:left w:val="nil"/>
              <w:bottom w:val="nil"/>
              <w:right w:val="nil"/>
              <w:tl2br w:val="nil"/>
              <w:tr2bl w:val="nil"/>
            </w:tcBorders>
            <w:shd w:val="clear" w:color="auto" w:fill="C0C0C0"/>
            <w:tcMar>
              <w:left w:w="115" w:type="dxa"/>
              <w:right w:w="115" w:type="dxa"/>
            </w:tcMar>
            <w:vAlign w:val="bottom"/>
          </w:tcPr>
          <w:p w14:paraId="161E3A76" w14:textId="77777777" w:rsidR="003F0EEA" w:rsidRPr="007B0048" w:rsidRDefault="00FB7D0B">
            <w:pPr>
              <w:jc w:val="right"/>
              <w:rPr>
                <w:rFonts w:ascii="Arial" w:eastAsia="Arial" w:hAnsi="Arial" w:cs="Arial"/>
                <w:color w:val="000000"/>
                <w:sz w:val="16"/>
              </w:rPr>
            </w:pPr>
            <w:r w:rsidRPr="007B0048">
              <w:rPr>
                <w:rFonts w:ascii="Arial" w:eastAsia="Arial" w:hAnsi="Arial" w:cs="Arial"/>
                <w:color w:val="000000"/>
                <w:sz w:val="16"/>
              </w:rPr>
              <w:t>Budget</w:t>
            </w:r>
          </w:p>
        </w:tc>
        <w:tc>
          <w:tcPr>
            <w:tcW w:w="990"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20B58DE5" w14:textId="77777777" w:rsidR="003F0EEA" w:rsidRPr="007B0048" w:rsidRDefault="00FB7D0B">
            <w:pPr>
              <w:jc w:val="right"/>
              <w:rPr>
                <w:rFonts w:ascii="Arial" w:eastAsia="Arial" w:hAnsi="Arial" w:cs="Arial"/>
                <w:color w:val="000000"/>
                <w:sz w:val="16"/>
              </w:rPr>
            </w:pPr>
            <w:r w:rsidRPr="007B0048">
              <w:rPr>
                <w:rFonts w:ascii="Arial" w:eastAsia="Arial" w:hAnsi="Arial" w:cs="Arial"/>
                <w:color w:val="000000"/>
                <w:sz w:val="16"/>
              </w:rPr>
              <w:t>Forward</w:t>
            </w:r>
          </w:p>
        </w:tc>
        <w:tc>
          <w:tcPr>
            <w:tcW w:w="990"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7011598A" w14:textId="77777777" w:rsidR="003F0EEA" w:rsidRPr="007B0048" w:rsidRDefault="00FB7D0B">
            <w:pPr>
              <w:jc w:val="right"/>
              <w:rPr>
                <w:rFonts w:ascii="Arial" w:eastAsia="Arial" w:hAnsi="Arial" w:cs="Arial"/>
                <w:color w:val="000000"/>
                <w:sz w:val="16"/>
              </w:rPr>
            </w:pPr>
            <w:r w:rsidRPr="007B0048">
              <w:rPr>
                <w:rFonts w:ascii="Arial" w:eastAsia="Arial" w:hAnsi="Arial" w:cs="Arial"/>
                <w:color w:val="000000"/>
                <w:sz w:val="16"/>
              </w:rPr>
              <w:t>Forward</w:t>
            </w:r>
          </w:p>
        </w:tc>
        <w:tc>
          <w:tcPr>
            <w:tcW w:w="990"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64A4EAAF" w14:textId="77777777" w:rsidR="003F0EEA" w:rsidRPr="007B0048" w:rsidRDefault="00FB7D0B">
            <w:pPr>
              <w:jc w:val="right"/>
              <w:rPr>
                <w:rFonts w:ascii="Arial" w:eastAsia="Arial" w:hAnsi="Arial" w:cs="Arial"/>
                <w:color w:val="000000"/>
                <w:sz w:val="16"/>
              </w:rPr>
            </w:pPr>
            <w:r w:rsidRPr="007B0048">
              <w:rPr>
                <w:rFonts w:ascii="Arial" w:eastAsia="Arial" w:hAnsi="Arial" w:cs="Arial"/>
                <w:color w:val="000000"/>
                <w:sz w:val="16"/>
              </w:rPr>
              <w:t>Forward</w:t>
            </w:r>
          </w:p>
        </w:tc>
      </w:tr>
      <w:tr w:rsidR="00724034" w14:paraId="2246810B" w14:textId="77777777">
        <w:trPr>
          <w:trHeight w:val="225"/>
        </w:trPr>
        <w:tc>
          <w:tcPr>
            <w:tcW w:w="180" w:type="dxa"/>
            <w:tcBorders>
              <w:top w:val="nil"/>
              <w:left w:val="nil"/>
              <w:bottom w:val="nil"/>
              <w:right w:val="nil"/>
              <w:tl2br w:val="nil"/>
              <w:tr2bl w:val="nil"/>
            </w:tcBorders>
            <w:shd w:val="clear" w:color="auto" w:fill="FFFFFF"/>
            <w:tcMar>
              <w:left w:w="115" w:type="dxa"/>
              <w:right w:w="115" w:type="dxa"/>
            </w:tcMar>
            <w:vAlign w:val="bottom"/>
          </w:tcPr>
          <w:p w14:paraId="218C531D" w14:textId="77777777" w:rsidR="003F0EEA" w:rsidRPr="007B0048" w:rsidRDefault="003F0EEA">
            <w:pPr>
              <w:rPr>
                <w:rFonts w:ascii="Arial" w:eastAsia="Arial" w:hAnsi="Arial" w:cs="Arial"/>
                <w:color w:val="000000"/>
                <w:sz w:val="16"/>
              </w:rPr>
            </w:pPr>
          </w:p>
        </w:tc>
        <w:tc>
          <w:tcPr>
            <w:tcW w:w="180" w:type="dxa"/>
            <w:tcBorders>
              <w:top w:val="nil"/>
              <w:left w:val="nil"/>
              <w:bottom w:val="nil"/>
              <w:right w:val="nil"/>
              <w:tl2br w:val="nil"/>
              <w:tr2bl w:val="nil"/>
            </w:tcBorders>
            <w:shd w:val="clear" w:color="auto" w:fill="FFFFFF"/>
            <w:tcMar>
              <w:left w:w="115" w:type="dxa"/>
              <w:right w:w="115" w:type="dxa"/>
            </w:tcMar>
            <w:vAlign w:val="bottom"/>
          </w:tcPr>
          <w:p w14:paraId="1F5D3D5A" w14:textId="77777777" w:rsidR="003F0EEA" w:rsidRPr="007B0048" w:rsidRDefault="003F0EEA">
            <w:pPr>
              <w:rPr>
                <w:rFonts w:ascii="Arial" w:eastAsia="Arial" w:hAnsi="Arial" w:cs="Arial"/>
                <w:color w:val="000000"/>
                <w:sz w:val="16"/>
              </w:rPr>
            </w:pPr>
          </w:p>
        </w:tc>
        <w:tc>
          <w:tcPr>
            <w:tcW w:w="3150" w:type="dxa"/>
            <w:tcBorders>
              <w:top w:val="nil"/>
              <w:left w:val="nil"/>
              <w:bottom w:val="nil"/>
              <w:right w:val="nil"/>
              <w:tl2br w:val="nil"/>
              <w:tr2bl w:val="nil"/>
            </w:tcBorders>
            <w:shd w:val="clear" w:color="auto" w:fill="FFFFFF"/>
            <w:tcMar>
              <w:left w:w="115" w:type="dxa"/>
              <w:right w:w="115" w:type="dxa"/>
            </w:tcMar>
            <w:vAlign w:val="bottom"/>
          </w:tcPr>
          <w:p w14:paraId="570779EA" w14:textId="77777777" w:rsidR="003F0EEA" w:rsidRPr="007B0048" w:rsidRDefault="003F0EEA">
            <w:pPr>
              <w:rPr>
                <w:rFonts w:ascii="Arial" w:eastAsia="Arial" w:hAnsi="Arial" w:cs="Arial"/>
                <w:color w:val="000000"/>
                <w:sz w:val="16"/>
              </w:rPr>
            </w:pPr>
          </w:p>
        </w:tc>
        <w:tc>
          <w:tcPr>
            <w:tcW w:w="990" w:type="dxa"/>
            <w:tcBorders>
              <w:top w:val="nil"/>
              <w:left w:val="nil"/>
              <w:bottom w:val="nil"/>
              <w:right w:val="nil"/>
              <w:tl2br w:val="nil"/>
              <w:tr2bl w:val="nil"/>
            </w:tcBorders>
            <w:shd w:val="clear" w:color="auto" w:fill="FFFFFF"/>
            <w:tcMar>
              <w:left w:w="115" w:type="dxa"/>
              <w:right w:w="115" w:type="dxa"/>
            </w:tcMar>
            <w:vAlign w:val="bottom"/>
          </w:tcPr>
          <w:p w14:paraId="54DCE624" w14:textId="77777777" w:rsidR="003F0EEA" w:rsidRPr="007B0048" w:rsidRDefault="00FB7D0B">
            <w:pPr>
              <w:jc w:val="right"/>
              <w:rPr>
                <w:rFonts w:ascii="Arial" w:eastAsia="Arial" w:hAnsi="Arial" w:cs="Arial"/>
                <w:color w:val="000000"/>
                <w:sz w:val="16"/>
              </w:rPr>
            </w:pPr>
            <w:r w:rsidRPr="007B0048">
              <w:rPr>
                <w:rFonts w:ascii="Arial" w:eastAsia="Arial" w:hAnsi="Arial" w:cs="Arial"/>
                <w:color w:val="000000"/>
                <w:sz w:val="16"/>
              </w:rPr>
              <w:t>actual</w:t>
            </w:r>
          </w:p>
        </w:tc>
        <w:tc>
          <w:tcPr>
            <w:tcW w:w="990" w:type="dxa"/>
            <w:tcBorders>
              <w:top w:val="nil"/>
              <w:left w:val="nil"/>
              <w:bottom w:val="nil"/>
              <w:right w:val="nil"/>
              <w:tl2br w:val="nil"/>
              <w:tr2bl w:val="nil"/>
            </w:tcBorders>
            <w:shd w:val="clear" w:color="auto" w:fill="C0C0C0"/>
            <w:tcMar>
              <w:left w:w="115" w:type="dxa"/>
              <w:right w:w="115" w:type="dxa"/>
            </w:tcMar>
            <w:vAlign w:val="bottom"/>
          </w:tcPr>
          <w:p w14:paraId="3975CEA4" w14:textId="77777777" w:rsidR="003F0EEA" w:rsidRPr="007B0048" w:rsidRDefault="00FB7D0B">
            <w:pPr>
              <w:jc w:val="right"/>
              <w:rPr>
                <w:rFonts w:ascii="Arial" w:eastAsia="Arial" w:hAnsi="Arial" w:cs="Arial"/>
                <w:color w:val="000000"/>
                <w:sz w:val="16"/>
              </w:rPr>
            </w:pPr>
            <w:r w:rsidRPr="007B0048">
              <w:rPr>
                <w:rFonts w:ascii="Arial" w:eastAsia="Arial" w:hAnsi="Arial" w:cs="Arial"/>
                <w:color w:val="000000"/>
                <w:sz w:val="16"/>
              </w:rPr>
              <w:t>estimate</w:t>
            </w:r>
          </w:p>
        </w:tc>
        <w:tc>
          <w:tcPr>
            <w:tcW w:w="990" w:type="dxa"/>
            <w:tcBorders>
              <w:top w:val="nil"/>
              <w:left w:val="nil"/>
              <w:bottom w:val="nil"/>
              <w:right w:val="nil"/>
              <w:tl2br w:val="nil"/>
              <w:tr2bl w:val="nil"/>
            </w:tcBorders>
            <w:shd w:val="clear" w:color="auto" w:fill="FFFFFF"/>
            <w:tcMar>
              <w:left w:w="115" w:type="dxa"/>
              <w:right w:w="115" w:type="dxa"/>
            </w:tcMar>
            <w:vAlign w:val="bottom"/>
          </w:tcPr>
          <w:p w14:paraId="77854211" w14:textId="77777777" w:rsidR="003F0EEA" w:rsidRPr="007B0048" w:rsidRDefault="00FB7D0B">
            <w:pPr>
              <w:jc w:val="right"/>
              <w:rPr>
                <w:rFonts w:ascii="Arial" w:eastAsia="Arial" w:hAnsi="Arial" w:cs="Arial"/>
                <w:color w:val="000000"/>
                <w:sz w:val="16"/>
              </w:rPr>
            </w:pPr>
            <w:r w:rsidRPr="007B0048">
              <w:rPr>
                <w:rFonts w:ascii="Arial" w:eastAsia="Arial" w:hAnsi="Arial" w:cs="Arial"/>
                <w:color w:val="000000"/>
                <w:sz w:val="16"/>
              </w:rPr>
              <w:t>estimate</w:t>
            </w:r>
          </w:p>
        </w:tc>
        <w:tc>
          <w:tcPr>
            <w:tcW w:w="990" w:type="dxa"/>
            <w:tcBorders>
              <w:top w:val="nil"/>
              <w:left w:val="nil"/>
              <w:bottom w:val="nil"/>
              <w:right w:val="nil"/>
              <w:tl2br w:val="nil"/>
              <w:tr2bl w:val="nil"/>
            </w:tcBorders>
            <w:shd w:val="clear" w:color="auto" w:fill="FFFFFF"/>
            <w:tcMar>
              <w:left w:w="115" w:type="dxa"/>
              <w:right w:w="115" w:type="dxa"/>
            </w:tcMar>
            <w:vAlign w:val="bottom"/>
          </w:tcPr>
          <w:p w14:paraId="4E4473DF" w14:textId="77777777" w:rsidR="003F0EEA" w:rsidRPr="007B0048" w:rsidRDefault="00FB7D0B">
            <w:pPr>
              <w:jc w:val="right"/>
              <w:rPr>
                <w:rFonts w:ascii="Arial" w:eastAsia="Arial" w:hAnsi="Arial" w:cs="Arial"/>
                <w:color w:val="000000"/>
                <w:sz w:val="16"/>
              </w:rPr>
            </w:pPr>
            <w:r w:rsidRPr="007B0048">
              <w:rPr>
                <w:rFonts w:ascii="Arial" w:eastAsia="Arial" w:hAnsi="Arial" w:cs="Arial"/>
                <w:color w:val="000000"/>
                <w:sz w:val="16"/>
              </w:rPr>
              <w:t>estimate</w:t>
            </w:r>
          </w:p>
        </w:tc>
        <w:tc>
          <w:tcPr>
            <w:tcW w:w="990" w:type="dxa"/>
            <w:tcBorders>
              <w:top w:val="nil"/>
              <w:left w:val="nil"/>
              <w:bottom w:val="nil"/>
              <w:right w:val="nil"/>
              <w:tl2br w:val="nil"/>
              <w:tr2bl w:val="nil"/>
            </w:tcBorders>
            <w:shd w:val="clear" w:color="auto" w:fill="FFFFFF"/>
            <w:tcMar>
              <w:left w:w="115" w:type="dxa"/>
              <w:right w:w="115" w:type="dxa"/>
            </w:tcMar>
            <w:vAlign w:val="bottom"/>
          </w:tcPr>
          <w:p w14:paraId="331E08DB" w14:textId="77777777" w:rsidR="003F0EEA" w:rsidRPr="007B0048" w:rsidRDefault="00FB7D0B">
            <w:pPr>
              <w:jc w:val="right"/>
              <w:rPr>
                <w:rFonts w:ascii="Arial" w:eastAsia="Arial" w:hAnsi="Arial" w:cs="Arial"/>
                <w:color w:val="000000"/>
                <w:sz w:val="16"/>
              </w:rPr>
            </w:pPr>
            <w:r w:rsidRPr="007B0048">
              <w:rPr>
                <w:rFonts w:ascii="Arial" w:eastAsia="Arial" w:hAnsi="Arial" w:cs="Arial"/>
                <w:color w:val="000000"/>
                <w:sz w:val="16"/>
              </w:rPr>
              <w:t>estimate</w:t>
            </w:r>
          </w:p>
        </w:tc>
      </w:tr>
      <w:tr w:rsidR="00724034" w14:paraId="18A30CE1" w14:textId="77777777">
        <w:trPr>
          <w:trHeight w:val="225"/>
        </w:trPr>
        <w:tc>
          <w:tcPr>
            <w:tcW w:w="180" w:type="dxa"/>
            <w:tcBorders>
              <w:top w:val="nil"/>
              <w:left w:val="nil"/>
              <w:bottom w:val="nil"/>
              <w:right w:val="nil"/>
              <w:tl2br w:val="nil"/>
              <w:tr2bl w:val="nil"/>
            </w:tcBorders>
            <w:shd w:val="clear" w:color="auto" w:fill="FFFFFF"/>
            <w:tcMar>
              <w:left w:w="115" w:type="dxa"/>
              <w:right w:w="115" w:type="dxa"/>
            </w:tcMar>
            <w:vAlign w:val="bottom"/>
          </w:tcPr>
          <w:p w14:paraId="05D1416A" w14:textId="77777777" w:rsidR="003F0EEA" w:rsidRPr="007B0048" w:rsidRDefault="003F0EEA">
            <w:pPr>
              <w:rPr>
                <w:rFonts w:ascii="Arial" w:eastAsia="Arial" w:hAnsi="Arial" w:cs="Arial"/>
                <w:color w:val="000000"/>
                <w:sz w:val="16"/>
              </w:rPr>
            </w:pPr>
          </w:p>
        </w:tc>
        <w:tc>
          <w:tcPr>
            <w:tcW w:w="180" w:type="dxa"/>
            <w:tcBorders>
              <w:top w:val="nil"/>
              <w:left w:val="nil"/>
              <w:bottom w:val="nil"/>
              <w:right w:val="nil"/>
              <w:tl2br w:val="nil"/>
              <w:tr2bl w:val="nil"/>
            </w:tcBorders>
            <w:shd w:val="clear" w:color="auto" w:fill="FFFFFF"/>
            <w:tcMar>
              <w:left w:w="115" w:type="dxa"/>
              <w:right w:w="115" w:type="dxa"/>
            </w:tcMar>
            <w:vAlign w:val="bottom"/>
          </w:tcPr>
          <w:p w14:paraId="47C73EBF" w14:textId="77777777" w:rsidR="003F0EEA" w:rsidRPr="007B0048" w:rsidRDefault="003F0EEA">
            <w:pPr>
              <w:rPr>
                <w:rFonts w:ascii="Arial" w:eastAsia="Arial" w:hAnsi="Arial" w:cs="Arial"/>
                <w:color w:val="000000"/>
                <w:sz w:val="16"/>
              </w:rPr>
            </w:pPr>
          </w:p>
        </w:tc>
        <w:tc>
          <w:tcPr>
            <w:tcW w:w="3150" w:type="dxa"/>
            <w:tcBorders>
              <w:top w:val="nil"/>
              <w:left w:val="nil"/>
              <w:bottom w:val="nil"/>
              <w:right w:val="nil"/>
              <w:tl2br w:val="nil"/>
              <w:tr2bl w:val="nil"/>
            </w:tcBorders>
            <w:shd w:val="clear" w:color="auto" w:fill="FFFFFF"/>
            <w:tcMar>
              <w:left w:w="115" w:type="dxa"/>
              <w:right w:w="115" w:type="dxa"/>
            </w:tcMar>
            <w:vAlign w:val="bottom"/>
          </w:tcPr>
          <w:p w14:paraId="41BF0AEA" w14:textId="77777777" w:rsidR="003F0EEA" w:rsidRPr="007B0048" w:rsidRDefault="003F0EEA">
            <w:pPr>
              <w:rPr>
                <w:rFonts w:ascii="Arial" w:eastAsia="Arial" w:hAnsi="Arial" w:cs="Arial"/>
                <w:color w:val="000000"/>
                <w:sz w:val="16"/>
              </w:rPr>
            </w:pPr>
          </w:p>
        </w:tc>
        <w:tc>
          <w:tcPr>
            <w:tcW w:w="990" w:type="dxa"/>
            <w:tcBorders>
              <w:top w:val="nil"/>
              <w:left w:val="nil"/>
              <w:bottom w:val="nil"/>
              <w:right w:val="nil"/>
              <w:tl2br w:val="nil"/>
              <w:tr2bl w:val="nil"/>
            </w:tcBorders>
            <w:shd w:val="clear" w:color="auto" w:fill="FFFFFF"/>
            <w:tcMar>
              <w:left w:w="115" w:type="dxa"/>
              <w:right w:w="115" w:type="dxa"/>
            </w:tcMar>
            <w:vAlign w:val="bottom"/>
          </w:tcPr>
          <w:p w14:paraId="59129191" w14:textId="77777777" w:rsidR="003F0EEA" w:rsidRPr="007B0048" w:rsidRDefault="00FB7D0B">
            <w:pPr>
              <w:jc w:val="right"/>
              <w:rPr>
                <w:rFonts w:ascii="Arial" w:eastAsia="Arial" w:hAnsi="Arial" w:cs="Arial"/>
                <w:color w:val="000000"/>
                <w:sz w:val="16"/>
              </w:rPr>
            </w:pPr>
            <w:r w:rsidRPr="007B0048">
              <w:rPr>
                <w:rFonts w:ascii="Arial" w:eastAsia="Arial" w:hAnsi="Arial" w:cs="Arial"/>
                <w:color w:val="000000"/>
                <w:sz w:val="16"/>
              </w:rPr>
              <w:t>2013-14</w:t>
            </w:r>
          </w:p>
        </w:tc>
        <w:tc>
          <w:tcPr>
            <w:tcW w:w="990" w:type="dxa"/>
            <w:tcBorders>
              <w:top w:val="nil"/>
              <w:left w:val="nil"/>
              <w:bottom w:val="nil"/>
              <w:right w:val="nil"/>
              <w:tl2br w:val="nil"/>
              <w:tr2bl w:val="nil"/>
            </w:tcBorders>
            <w:shd w:val="clear" w:color="auto" w:fill="C0C0C0"/>
            <w:tcMar>
              <w:left w:w="115" w:type="dxa"/>
              <w:right w:w="115" w:type="dxa"/>
            </w:tcMar>
            <w:vAlign w:val="bottom"/>
          </w:tcPr>
          <w:p w14:paraId="38674A5B" w14:textId="77777777" w:rsidR="003F0EEA" w:rsidRPr="007B0048" w:rsidRDefault="00FB7D0B">
            <w:pPr>
              <w:jc w:val="right"/>
              <w:rPr>
                <w:rFonts w:ascii="Arial" w:eastAsia="Arial" w:hAnsi="Arial" w:cs="Arial"/>
                <w:color w:val="000000"/>
                <w:sz w:val="16"/>
              </w:rPr>
            </w:pPr>
            <w:r w:rsidRPr="007B0048">
              <w:rPr>
                <w:rFonts w:ascii="Arial" w:eastAsia="Arial" w:hAnsi="Arial" w:cs="Arial"/>
                <w:color w:val="000000"/>
                <w:sz w:val="16"/>
              </w:rPr>
              <w:t>2014-15</w:t>
            </w:r>
          </w:p>
        </w:tc>
        <w:tc>
          <w:tcPr>
            <w:tcW w:w="990" w:type="dxa"/>
            <w:tcBorders>
              <w:top w:val="nil"/>
              <w:left w:val="nil"/>
              <w:bottom w:val="nil"/>
              <w:right w:val="nil"/>
              <w:tl2br w:val="nil"/>
              <w:tr2bl w:val="nil"/>
            </w:tcBorders>
            <w:shd w:val="clear" w:color="auto" w:fill="FFFFFF"/>
            <w:tcMar>
              <w:left w:w="115" w:type="dxa"/>
              <w:right w:w="115" w:type="dxa"/>
            </w:tcMar>
            <w:vAlign w:val="bottom"/>
          </w:tcPr>
          <w:p w14:paraId="6D9C675D" w14:textId="77777777" w:rsidR="003F0EEA" w:rsidRPr="007B0048" w:rsidRDefault="00FB7D0B">
            <w:pPr>
              <w:jc w:val="right"/>
              <w:rPr>
                <w:rFonts w:ascii="Arial" w:eastAsia="Arial" w:hAnsi="Arial" w:cs="Arial"/>
                <w:color w:val="000000"/>
                <w:sz w:val="16"/>
              </w:rPr>
            </w:pPr>
            <w:r w:rsidRPr="007B0048">
              <w:rPr>
                <w:rFonts w:ascii="Arial" w:eastAsia="Arial" w:hAnsi="Arial" w:cs="Arial"/>
                <w:color w:val="000000"/>
                <w:sz w:val="16"/>
              </w:rPr>
              <w:t>2015-16</w:t>
            </w:r>
          </w:p>
        </w:tc>
        <w:tc>
          <w:tcPr>
            <w:tcW w:w="990" w:type="dxa"/>
            <w:tcBorders>
              <w:top w:val="nil"/>
              <w:left w:val="nil"/>
              <w:bottom w:val="nil"/>
              <w:right w:val="nil"/>
              <w:tl2br w:val="nil"/>
              <w:tr2bl w:val="nil"/>
            </w:tcBorders>
            <w:shd w:val="clear" w:color="auto" w:fill="FFFFFF"/>
            <w:tcMar>
              <w:left w:w="115" w:type="dxa"/>
              <w:right w:w="115" w:type="dxa"/>
            </w:tcMar>
            <w:vAlign w:val="bottom"/>
          </w:tcPr>
          <w:p w14:paraId="2436409D" w14:textId="77777777" w:rsidR="003F0EEA" w:rsidRPr="007B0048" w:rsidRDefault="00FB7D0B">
            <w:pPr>
              <w:jc w:val="right"/>
              <w:rPr>
                <w:rFonts w:ascii="Arial" w:eastAsia="Arial" w:hAnsi="Arial" w:cs="Arial"/>
                <w:color w:val="000000"/>
                <w:sz w:val="16"/>
              </w:rPr>
            </w:pPr>
            <w:r w:rsidRPr="007B0048">
              <w:rPr>
                <w:rFonts w:ascii="Arial" w:eastAsia="Arial" w:hAnsi="Arial" w:cs="Arial"/>
                <w:color w:val="000000"/>
                <w:sz w:val="16"/>
              </w:rPr>
              <w:t>2016-17</w:t>
            </w:r>
          </w:p>
        </w:tc>
        <w:tc>
          <w:tcPr>
            <w:tcW w:w="990" w:type="dxa"/>
            <w:tcBorders>
              <w:top w:val="nil"/>
              <w:left w:val="nil"/>
              <w:bottom w:val="nil"/>
              <w:right w:val="nil"/>
              <w:tl2br w:val="nil"/>
              <w:tr2bl w:val="nil"/>
            </w:tcBorders>
            <w:shd w:val="clear" w:color="auto" w:fill="FFFFFF"/>
            <w:tcMar>
              <w:left w:w="115" w:type="dxa"/>
              <w:right w:w="115" w:type="dxa"/>
            </w:tcMar>
            <w:vAlign w:val="bottom"/>
          </w:tcPr>
          <w:p w14:paraId="50599B2E" w14:textId="77777777" w:rsidR="003F0EEA" w:rsidRPr="007B0048" w:rsidRDefault="00FB7D0B">
            <w:pPr>
              <w:jc w:val="right"/>
              <w:rPr>
                <w:rFonts w:ascii="Arial" w:eastAsia="Arial" w:hAnsi="Arial" w:cs="Arial"/>
                <w:color w:val="000000"/>
                <w:sz w:val="16"/>
              </w:rPr>
            </w:pPr>
            <w:r w:rsidRPr="007B0048">
              <w:rPr>
                <w:rFonts w:ascii="Arial" w:eastAsia="Arial" w:hAnsi="Arial" w:cs="Arial"/>
                <w:color w:val="000000"/>
                <w:sz w:val="16"/>
              </w:rPr>
              <w:t>2017-18</w:t>
            </w:r>
          </w:p>
        </w:tc>
      </w:tr>
      <w:tr w:rsidR="00724034" w14:paraId="66DC7A3E" w14:textId="77777777">
        <w:trPr>
          <w:trHeight w:val="225"/>
        </w:trPr>
        <w:tc>
          <w:tcPr>
            <w:tcW w:w="180" w:type="dxa"/>
            <w:tcBorders>
              <w:top w:val="nil"/>
              <w:left w:val="nil"/>
              <w:bottom w:val="nil"/>
              <w:right w:val="nil"/>
              <w:tl2br w:val="nil"/>
              <w:tr2bl w:val="nil"/>
            </w:tcBorders>
            <w:shd w:val="clear" w:color="auto" w:fill="FFFFFF"/>
            <w:tcMar>
              <w:left w:w="115" w:type="dxa"/>
              <w:right w:w="115" w:type="dxa"/>
            </w:tcMar>
            <w:vAlign w:val="bottom"/>
          </w:tcPr>
          <w:p w14:paraId="4231CD0F" w14:textId="77777777" w:rsidR="003F0EEA" w:rsidRPr="007B0048" w:rsidRDefault="003F0EEA">
            <w:pPr>
              <w:rPr>
                <w:rFonts w:ascii="Arial" w:eastAsia="Arial" w:hAnsi="Arial" w:cs="Arial"/>
                <w:color w:val="000000"/>
                <w:sz w:val="16"/>
              </w:rPr>
            </w:pPr>
          </w:p>
        </w:tc>
        <w:tc>
          <w:tcPr>
            <w:tcW w:w="180" w:type="dxa"/>
            <w:tcBorders>
              <w:top w:val="nil"/>
              <w:left w:val="nil"/>
              <w:bottom w:val="nil"/>
              <w:right w:val="nil"/>
              <w:tl2br w:val="nil"/>
              <w:tr2bl w:val="nil"/>
            </w:tcBorders>
            <w:shd w:val="clear" w:color="auto" w:fill="FFFFFF"/>
            <w:tcMar>
              <w:left w:w="115" w:type="dxa"/>
              <w:right w:w="115" w:type="dxa"/>
            </w:tcMar>
            <w:vAlign w:val="bottom"/>
          </w:tcPr>
          <w:p w14:paraId="0B949092" w14:textId="77777777" w:rsidR="003F0EEA" w:rsidRPr="007B0048" w:rsidRDefault="003F0EEA">
            <w:pPr>
              <w:rPr>
                <w:rFonts w:ascii="Arial" w:eastAsia="Arial" w:hAnsi="Arial" w:cs="Arial"/>
                <w:color w:val="000000"/>
                <w:sz w:val="16"/>
              </w:rPr>
            </w:pPr>
          </w:p>
        </w:tc>
        <w:tc>
          <w:tcPr>
            <w:tcW w:w="3150" w:type="dxa"/>
            <w:tcBorders>
              <w:top w:val="nil"/>
              <w:left w:val="nil"/>
              <w:bottom w:val="nil"/>
              <w:right w:val="nil"/>
              <w:tl2br w:val="nil"/>
              <w:tr2bl w:val="nil"/>
            </w:tcBorders>
            <w:shd w:val="clear" w:color="auto" w:fill="FFFFFF"/>
            <w:tcMar>
              <w:left w:w="115" w:type="dxa"/>
              <w:right w:w="115" w:type="dxa"/>
            </w:tcMar>
            <w:vAlign w:val="bottom"/>
          </w:tcPr>
          <w:p w14:paraId="5D7AD587" w14:textId="77777777" w:rsidR="003F0EEA" w:rsidRPr="007B0048" w:rsidRDefault="003F0EEA">
            <w:pPr>
              <w:rPr>
                <w:rFonts w:ascii="Arial" w:eastAsia="Arial" w:hAnsi="Arial" w:cs="Arial"/>
                <w:color w:val="000000"/>
                <w:sz w:val="16"/>
              </w:rPr>
            </w:pPr>
          </w:p>
        </w:tc>
        <w:tc>
          <w:tcPr>
            <w:tcW w:w="990"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4C5E877D" w14:textId="77777777" w:rsidR="003F0EEA" w:rsidRPr="007B0048" w:rsidRDefault="00FB7D0B">
            <w:pPr>
              <w:jc w:val="right"/>
              <w:rPr>
                <w:rFonts w:ascii="Arial" w:eastAsia="Arial" w:hAnsi="Arial" w:cs="Arial"/>
                <w:color w:val="000000"/>
                <w:sz w:val="16"/>
              </w:rPr>
            </w:pPr>
            <w:r w:rsidRPr="007B0048">
              <w:rPr>
                <w:rFonts w:ascii="Arial" w:eastAsia="Arial" w:hAnsi="Arial" w:cs="Arial"/>
                <w:color w:val="000000"/>
                <w:sz w:val="16"/>
              </w:rPr>
              <w:t>$'000</w:t>
            </w:r>
          </w:p>
        </w:tc>
        <w:tc>
          <w:tcPr>
            <w:tcW w:w="990" w:type="dxa"/>
            <w:tcBorders>
              <w:top w:val="nil"/>
              <w:left w:val="nil"/>
              <w:bottom w:val="single" w:sz="6" w:space="0" w:color="000000"/>
              <w:right w:val="nil"/>
              <w:tl2br w:val="nil"/>
              <w:tr2bl w:val="nil"/>
            </w:tcBorders>
            <w:shd w:val="clear" w:color="auto" w:fill="C0C0C0"/>
            <w:tcMar>
              <w:left w:w="115" w:type="dxa"/>
              <w:right w:w="115" w:type="dxa"/>
            </w:tcMar>
            <w:vAlign w:val="bottom"/>
          </w:tcPr>
          <w:p w14:paraId="6180B261" w14:textId="77777777" w:rsidR="003F0EEA" w:rsidRPr="007B0048" w:rsidRDefault="00FB7D0B">
            <w:pPr>
              <w:jc w:val="right"/>
              <w:rPr>
                <w:rFonts w:ascii="Arial" w:eastAsia="Arial" w:hAnsi="Arial" w:cs="Arial"/>
                <w:color w:val="000000"/>
                <w:sz w:val="16"/>
              </w:rPr>
            </w:pPr>
            <w:r w:rsidRPr="007B0048">
              <w:rPr>
                <w:rFonts w:ascii="Arial" w:eastAsia="Arial" w:hAnsi="Arial" w:cs="Arial"/>
                <w:color w:val="000000"/>
                <w:sz w:val="16"/>
              </w:rPr>
              <w:t>$'000</w:t>
            </w:r>
          </w:p>
        </w:tc>
        <w:tc>
          <w:tcPr>
            <w:tcW w:w="990"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214829A1" w14:textId="77777777" w:rsidR="003F0EEA" w:rsidRPr="007B0048" w:rsidRDefault="00FB7D0B">
            <w:pPr>
              <w:jc w:val="right"/>
              <w:rPr>
                <w:rFonts w:ascii="Arial" w:eastAsia="Arial" w:hAnsi="Arial" w:cs="Arial"/>
                <w:color w:val="000000"/>
                <w:sz w:val="16"/>
              </w:rPr>
            </w:pPr>
            <w:r w:rsidRPr="007B0048">
              <w:rPr>
                <w:rFonts w:ascii="Arial" w:eastAsia="Arial" w:hAnsi="Arial" w:cs="Arial"/>
                <w:color w:val="000000"/>
                <w:sz w:val="16"/>
              </w:rPr>
              <w:t>$'000</w:t>
            </w:r>
          </w:p>
        </w:tc>
        <w:tc>
          <w:tcPr>
            <w:tcW w:w="990"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6871B8AA" w14:textId="77777777" w:rsidR="003F0EEA" w:rsidRPr="007B0048" w:rsidRDefault="00FB7D0B">
            <w:pPr>
              <w:jc w:val="right"/>
              <w:rPr>
                <w:rFonts w:ascii="Arial" w:eastAsia="Arial" w:hAnsi="Arial" w:cs="Arial"/>
                <w:color w:val="000000"/>
                <w:sz w:val="16"/>
              </w:rPr>
            </w:pPr>
            <w:r w:rsidRPr="007B0048">
              <w:rPr>
                <w:rFonts w:ascii="Arial" w:eastAsia="Arial" w:hAnsi="Arial" w:cs="Arial"/>
                <w:color w:val="000000"/>
                <w:sz w:val="16"/>
              </w:rPr>
              <w:t>$'000</w:t>
            </w:r>
          </w:p>
        </w:tc>
        <w:tc>
          <w:tcPr>
            <w:tcW w:w="990"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6DC62DEB" w14:textId="77777777" w:rsidR="003F0EEA" w:rsidRPr="007B0048" w:rsidRDefault="00FB7D0B">
            <w:pPr>
              <w:jc w:val="right"/>
              <w:rPr>
                <w:rFonts w:ascii="Arial" w:eastAsia="Arial" w:hAnsi="Arial" w:cs="Arial"/>
                <w:color w:val="000000"/>
                <w:sz w:val="16"/>
              </w:rPr>
            </w:pPr>
            <w:r w:rsidRPr="007B0048">
              <w:rPr>
                <w:rFonts w:ascii="Arial" w:eastAsia="Arial" w:hAnsi="Arial" w:cs="Arial"/>
                <w:color w:val="000000"/>
                <w:sz w:val="16"/>
              </w:rPr>
              <w:t>$'000</w:t>
            </w:r>
          </w:p>
        </w:tc>
      </w:tr>
      <w:tr w:rsidR="00355BFE" w14:paraId="49FADB89" w14:textId="77777777" w:rsidTr="00355BFE">
        <w:trPr>
          <w:trHeight w:val="225"/>
        </w:trPr>
        <w:tc>
          <w:tcPr>
            <w:tcW w:w="3510" w:type="dxa"/>
            <w:gridSpan w:val="3"/>
            <w:tcBorders>
              <w:top w:val="nil"/>
              <w:left w:val="nil"/>
              <w:bottom w:val="nil"/>
              <w:right w:val="nil"/>
              <w:tl2br w:val="nil"/>
              <w:tr2bl w:val="nil"/>
            </w:tcBorders>
            <w:shd w:val="clear" w:color="auto" w:fill="FFFFFF"/>
            <w:tcMar>
              <w:left w:w="115" w:type="dxa"/>
              <w:right w:w="115" w:type="dxa"/>
            </w:tcMar>
            <w:vAlign w:val="bottom"/>
          </w:tcPr>
          <w:p w14:paraId="334A8FB0" w14:textId="77777777" w:rsidR="003F0EEA" w:rsidRPr="007B0048" w:rsidRDefault="00FB7D0B">
            <w:pPr>
              <w:rPr>
                <w:rFonts w:ascii="Arial" w:eastAsia="Arial" w:hAnsi="Arial" w:cs="Arial"/>
                <w:color w:val="000000"/>
                <w:sz w:val="16"/>
              </w:rPr>
            </w:pPr>
            <w:r w:rsidRPr="007B0048">
              <w:rPr>
                <w:rFonts w:ascii="Arial" w:eastAsia="Arial" w:hAnsi="Arial" w:cs="Arial"/>
                <w:b/>
                <w:color w:val="000000"/>
                <w:sz w:val="16"/>
              </w:rPr>
              <w:t>OPERATING ACTIVITIES</w:t>
            </w:r>
          </w:p>
        </w:tc>
        <w:tc>
          <w:tcPr>
            <w:tcW w:w="990"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4E7733BF" w14:textId="77777777" w:rsidR="003F0EEA" w:rsidRPr="007B0048" w:rsidRDefault="003F0EEA">
            <w:pPr>
              <w:rPr>
                <w:rFonts w:ascii="Arial" w:eastAsia="Arial" w:hAnsi="Arial" w:cs="Arial"/>
                <w:b/>
                <w:color w:val="000000"/>
                <w:sz w:val="16"/>
              </w:rPr>
            </w:pPr>
          </w:p>
        </w:tc>
        <w:tc>
          <w:tcPr>
            <w:tcW w:w="990" w:type="dxa"/>
            <w:tcBorders>
              <w:top w:val="single" w:sz="6" w:space="0" w:color="000000"/>
              <w:left w:val="nil"/>
              <w:bottom w:val="nil"/>
              <w:right w:val="nil"/>
              <w:tl2br w:val="nil"/>
              <w:tr2bl w:val="nil"/>
            </w:tcBorders>
            <w:shd w:val="clear" w:color="auto" w:fill="C0C0C0"/>
            <w:tcMar>
              <w:left w:w="115" w:type="dxa"/>
              <w:right w:w="115" w:type="dxa"/>
            </w:tcMar>
            <w:vAlign w:val="bottom"/>
          </w:tcPr>
          <w:p w14:paraId="4E08F3F0" w14:textId="77777777" w:rsidR="003F0EEA" w:rsidRPr="007B0048" w:rsidRDefault="003F0EEA">
            <w:pPr>
              <w:rPr>
                <w:rFonts w:ascii="Arial" w:eastAsia="Arial" w:hAnsi="Arial" w:cs="Arial"/>
                <w:color w:val="000000"/>
                <w:sz w:val="16"/>
              </w:rPr>
            </w:pPr>
          </w:p>
        </w:tc>
        <w:tc>
          <w:tcPr>
            <w:tcW w:w="990"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488317F4" w14:textId="77777777" w:rsidR="003F0EEA" w:rsidRPr="007B0048" w:rsidRDefault="003F0EEA">
            <w:pPr>
              <w:rPr>
                <w:rFonts w:ascii="Arial" w:eastAsia="Arial" w:hAnsi="Arial" w:cs="Arial"/>
                <w:color w:val="000000"/>
                <w:sz w:val="16"/>
              </w:rPr>
            </w:pPr>
          </w:p>
        </w:tc>
        <w:tc>
          <w:tcPr>
            <w:tcW w:w="990"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683AB658" w14:textId="77777777" w:rsidR="003F0EEA" w:rsidRPr="007B0048" w:rsidRDefault="003F0EEA">
            <w:pPr>
              <w:rPr>
                <w:rFonts w:ascii="Arial" w:eastAsia="Arial" w:hAnsi="Arial" w:cs="Arial"/>
                <w:color w:val="000000"/>
                <w:sz w:val="16"/>
              </w:rPr>
            </w:pPr>
          </w:p>
        </w:tc>
        <w:tc>
          <w:tcPr>
            <w:tcW w:w="990"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2F722B7B" w14:textId="77777777" w:rsidR="003F0EEA" w:rsidRPr="007B0048" w:rsidRDefault="003F0EEA">
            <w:pPr>
              <w:rPr>
                <w:rFonts w:ascii="Arial" w:eastAsia="Arial" w:hAnsi="Arial" w:cs="Arial"/>
                <w:color w:val="000000"/>
                <w:sz w:val="16"/>
              </w:rPr>
            </w:pPr>
          </w:p>
        </w:tc>
      </w:tr>
      <w:tr w:rsidR="00355BFE" w14:paraId="282B71B4" w14:textId="77777777" w:rsidTr="00355BFE">
        <w:trPr>
          <w:trHeight w:val="225"/>
        </w:trPr>
        <w:tc>
          <w:tcPr>
            <w:tcW w:w="3510" w:type="dxa"/>
            <w:gridSpan w:val="3"/>
            <w:tcBorders>
              <w:top w:val="nil"/>
              <w:left w:val="nil"/>
              <w:bottom w:val="nil"/>
              <w:right w:val="nil"/>
              <w:tl2br w:val="nil"/>
              <w:tr2bl w:val="nil"/>
            </w:tcBorders>
            <w:shd w:val="clear" w:color="auto" w:fill="FFFFFF"/>
            <w:tcMar>
              <w:left w:w="115" w:type="dxa"/>
              <w:right w:w="115" w:type="dxa"/>
            </w:tcMar>
            <w:vAlign w:val="bottom"/>
          </w:tcPr>
          <w:p w14:paraId="37C4E60B" w14:textId="77777777" w:rsidR="003F0EEA" w:rsidRPr="007B0048" w:rsidRDefault="00FB7D0B">
            <w:pPr>
              <w:rPr>
                <w:rFonts w:ascii="Arial" w:eastAsia="Arial" w:hAnsi="Arial" w:cs="Arial"/>
                <w:color w:val="000000"/>
                <w:sz w:val="16"/>
              </w:rPr>
            </w:pPr>
            <w:r w:rsidRPr="007B0048">
              <w:rPr>
                <w:rFonts w:ascii="Arial" w:eastAsia="Arial" w:hAnsi="Arial" w:cs="Arial"/>
                <w:b/>
                <w:color w:val="000000"/>
                <w:sz w:val="16"/>
              </w:rPr>
              <w:t>Cash received</w:t>
            </w:r>
          </w:p>
        </w:tc>
        <w:tc>
          <w:tcPr>
            <w:tcW w:w="990" w:type="dxa"/>
            <w:tcBorders>
              <w:top w:val="nil"/>
              <w:left w:val="nil"/>
              <w:bottom w:val="nil"/>
              <w:right w:val="nil"/>
              <w:tl2br w:val="nil"/>
              <w:tr2bl w:val="nil"/>
            </w:tcBorders>
            <w:shd w:val="clear" w:color="auto" w:fill="FFFFFF"/>
            <w:tcMar>
              <w:left w:w="115" w:type="dxa"/>
              <w:right w:w="115" w:type="dxa"/>
            </w:tcMar>
            <w:vAlign w:val="bottom"/>
          </w:tcPr>
          <w:p w14:paraId="17BA1495" w14:textId="77777777" w:rsidR="003F0EEA" w:rsidRPr="007B0048" w:rsidRDefault="003F0EEA">
            <w:pPr>
              <w:rPr>
                <w:rFonts w:ascii="Arial" w:eastAsia="Arial" w:hAnsi="Arial" w:cs="Arial"/>
                <w:b/>
                <w:color w:val="000000"/>
                <w:sz w:val="16"/>
              </w:rPr>
            </w:pPr>
          </w:p>
        </w:tc>
        <w:tc>
          <w:tcPr>
            <w:tcW w:w="990" w:type="dxa"/>
            <w:tcBorders>
              <w:top w:val="nil"/>
              <w:left w:val="nil"/>
              <w:bottom w:val="nil"/>
              <w:right w:val="nil"/>
              <w:tl2br w:val="nil"/>
              <w:tr2bl w:val="nil"/>
            </w:tcBorders>
            <w:shd w:val="clear" w:color="auto" w:fill="C0C0C0"/>
            <w:tcMar>
              <w:left w:w="115" w:type="dxa"/>
              <w:right w:w="115" w:type="dxa"/>
            </w:tcMar>
            <w:vAlign w:val="bottom"/>
          </w:tcPr>
          <w:p w14:paraId="58B450C6" w14:textId="77777777" w:rsidR="003F0EEA" w:rsidRPr="007B0048" w:rsidRDefault="003F0EEA">
            <w:pPr>
              <w:rPr>
                <w:rFonts w:ascii="Arial" w:eastAsia="Arial" w:hAnsi="Arial" w:cs="Arial"/>
                <w:color w:val="000000"/>
                <w:sz w:val="16"/>
              </w:rPr>
            </w:pPr>
          </w:p>
        </w:tc>
        <w:tc>
          <w:tcPr>
            <w:tcW w:w="990" w:type="dxa"/>
            <w:tcBorders>
              <w:top w:val="nil"/>
              <w:left w:val="nil"/>
              <w:bottom w:val="nil"/>
              <w:right w:val="nil"/>
              <w:tl2br w:val="nil"/>
              <w:tr2bl w:val="nil"/>
            </w:tcBorders>
            <w:shd w:val="clear" w:color="auto" w:fill="FFFFFF"/>
            <w:tcMar>
              <w:left w:w="115" w:type="dxa"/>
              <w:right w:w="115" w:type="dxa"/>
            </w:tcMar>
            <w:vAlign w:val="bottom"/>
          </w:tcPr>
          <w:p w14:paraId="188BA20F" w14:textId="77777777" w:rsidR="003F0EEA" w:rsidRPr="007B0048" w:rsidRDefault="003F0EEA">
            <w:pPr>
              <w:rPr>
                <w:rFonts w:ascii="Arial" w:eastAsia="Arial" w:hAnsi="Arial" w:cs="Arial"/>
                <w:color w:val="000000"/>
                <w:sz w:val="16"/>
              </w:rPr>
            </w:pPr>
          </w:p>
        </w:tc>
        <w:tc>
          <w:tcPr>
            <w:tcW w:w="990" w:type="dxa"/>
            <w:tcBorders>
              <w:top w:val="nil"/>
              <w:left w:val="nil"/>
              <w:bottom w:val="nil"/>
              <w:right w:val="nil"/>
              <w:tl2br w:val="nil"/>
              <w:tr2bl w:val="nil"/>
            </w:tcBorders>
            <w:shd w:val="clear" w:color="auto" w:fill="FFFFFF"/>
            <w:tcMar>
              <w:left w:w="115" w:type="dxa"/>
              <w:right w:w="115" w:type="dxa"/>
            </w:tcMar>
            <w:vAlign w:val="bottom"/>
          </w:tcPr>
          <w:p w14:paraId="3FD4E307" w14:textId="77777777" w:rsidR="003F0EEA" w:rsidRPr="007B0048" w:rsidRDefault="003F0EEA">
            <w:pPr>
              <w:rPr>
                <w:rFonts w:ascii="Arial" w:eastAsia="Arial" w:hAnsi="Arial" w:cs="Arial"/>
                <w:color w:val="000000"/>
                <w:sz w:val="16"/>
              </w:rPr>
            </w:pPr>
          </w:p>
        </w:tc>
        <w:tc>
          <w:tcPr>
            <w:tcW w:w="990" w:type="dxa"/>
            <w:tcBorders>
              <w:top w:val="nil"/>
              <w:left w:val="nil"/>
              <w:bottom w:val="nil"/>
              <w:right w:val="nil"/>
              <w:tl2br w:val="nil"/>
              <w:tr2bl w:val="nil"/>
            </w:tcBorders>
            <w:shd w:val="clear" w:color="auto" w:fill="FFFFFF"/>
            <w:tcMar>
              <w:left w:w="115" w:type="dxa"/>
              <w:right w:w="115" w:type="dxa"/>
            </w:tcMar>
            <w:vAlign w:val="bottom"/>
          </w:tcPr>
          <w:p w14:paraId="65166B9E" w14:textId="77777777" w:rsidR="003F0EEA" w:rsidRPr="007B0048" w:rsidRDefault="003F0EEA">
            <w:pPr>
              <w:rPr>
                <w:rFonts w:ascii="Arial" w:eastAsia="Arial" w:hAnsi="Arial" w:cs="Arial"/>
                <w:color w:val="000000"/>
                <w:sz w:val="16"/>
              </w:rPr>
            </w:pPr>
          </w:p>
        </w:tc>
      </w:tr>
      <w:tr w:rsidR="00355BFE" w14:paraId="3B9A49BF" w14:textId="77777777" w:rsidTr="00355BFE">
        <w:trPr>
          <w:trHeight w:val="225"/>
        </w:trPr>
        <w:tc>
          <w:tcPr>
            <w:tcW w:w="180" w:type="dxa"/>
            <w:tcBorders>
              <w:top w:val="nil"/>
              <w:left w:val="nil"/>
              <w:bottom w:val="nil"/>
              <w:right w:val="nil"/>
              <w:tl2br w:val="nil"/>
              <w:tr2bl w:val="nil"/>
            </w:tcBorders>
            <w:shd w:val="clear" w:color="auto" w:fill="FFFFFF"/>
            <w:tcMar>
              <w:left w:w="115" w:type="dxa"/>
              <w:right w:w="115" w:type="dxa"/>
            </w:tcMar>
            <w:vAlign w:val="bottom"/>
          </w:tcPr>
          <w:p w14:paraId="25B5D00C" w14:textId="77777777" w:rsidR="003F0EEA" w:rsidRPr="007B0048" w:rsidRDefault="003F0EEA">
            <w:pPr>
              <w:rPr>
                <w:rFonts w:ascii="Arial" w:eastAsia="Arial" w:hAnsi="Arial" w:cs="Arial"/>
                <w:color w:val="000000"/>
                <w:sz w:val="16"/>
              </w:rPr>
            </w:pPr>
          </w:p>
        </w:tc>
        <w:tc>
          <w:tcPr>
            <w:tcW w:w="3330" w:type="dxa"/>
            <w:gridSpan w:val="2"/>
            <w:vMerge w:val="restart"/>
            <w:tcBorders>
              <w:top w:val="nil"/>
              <w:left w:val="nil"/>
              <w:bottom w:val="nil"/>
              <w:right w:val="nil"/>
              <w:tl2br w:val="nil"/>
              <w:tr2bl w:val="nil"/>
            </w:tcBorders>
            <w:shd w:val="clear" w:color="auto" w:fill="FFFFFF"/>
            <w:tcMar>
              <w:left w:w="115" w:type="dxa"/>
              <w:right w:w="115" w:type="dxa"/>
            </w:tcMar>
            <w:vAlign w:val="bottom"/>
          </w:tcPr>
          <w:p w14:paraId="4AFB250A" w14:textId="77777777" w:rsidR="003F0EEA" w:rsidRPr="007B0048" w:rsidRDefault="00FB7D0B">
            <w:pPr>
              <w:rPr>
                <w:rFonts w:ascii="Arial" w:eastAsia="Arial" w:hAnsi="Arial" w:cs="Arial"/>
                <w:color w:val="000000"/>
                <w:sz w:val="16"/>
              </w:rPr>
            </w:pPr>
            <w:r w:rsidRPr="007B0048">
              <w:rPr>
                <w:rFonts w:ascii="Arial" w:eastAsia="Arial" w:hAnsi="Arial" w:cs="Arial"/>
                <w:color w:val="000000"/>
                <w:sz w:val="16"/>
              </w:rPr>
              <w:t>Appropriations</w:t>
            </w:r>
          </w:p>
        </w:tc>
        <w:tc>
          <w:tcPr>
            <w:tcW w:w="990" w:type="dxa"/>
            <w:tcBorders>
              <w:top w:val="nil"/>
              <w:left w:val="nil"/>
              <w:bottom w:val="nil"/>
              <w:right w:val="nil"/>
              <w:tl2br w:val="nil"/>
              <w:tr2bl w:val="nil"/>
            </w:tcBorders>
            <w:shd w:val="clear" w:color="auto" w:fill="FFFFFF"/>
            <w:tcMar>
              <w:left w:w="115" w:type="dxa"/>
              <w:right w:w="115" w:type="dxa"/>
            </w:tcMar>
            <w:vAlign w:val="bottom"/>
          </w:tcPr>
          <w:p w14:paraId="1FC8D1D1" w14:textId="77777777" w:rsidR="003F0EEA" w:rsidRPr="007B0048" w:rsidRDefault="00FB7D0B">
            <w:pPr>
              <w:jc w:val="right"/>
              <w:rPr>
                <w:rFonts w:ascii="Arial" w:eastAsia="Arial" w:hAnsi="Arial" w:cs="Arial"/>
                <w:color w:val="000000"/>
                <w:sz w:val="16"/>
              </w:rPr>
            </w:pPr>
            <w:r w:rsidRPr="007B0048">
              <w:rPr>
                <w:rFonts w:ascii="Arial" w:eastAsia="Arial" w:hAnsi="Arial" w:cs="Arial"/>
                <w:color w:val="000000"/>
                <w:sz w:val="16"/>
              </w:rPr>
              <w:t xml:space="preserve"> 40,854 </w:t>
            </w:r>
          </w:p>
        </w:tc>
        <w:tc>
          <w:tcPr>
            <w:tcW w:w="990" w:type="dxa"/>
            <w:tcBorders>
              <w:top w:val="nil"/>
              <w:left w:val="nil"/>
              <w:bottom w:val="nil"/>
              <w:right w:val="nil"/>
              <w:tl2br w:val="nil"/>
              <w:tr2bl w:val="nil"/>
            </w:tcBorders>
            <w:shd w:val="clear" w:color="auto" w:fill="C0C0C0"/>
            <w:tcMar>
              <w:left w:w="115" w:type="dxa"/>
              <w:right w:w="115" w:type="dxa"/>
            </w:tcMar>
            <w:vAlign w:val="bottom"/>
          </w:tcPr>
          <w:p w14:paraId="762608F4" w14:textId="77777777" w:rsidR="003F0EEA" w:rsidRPr="007B0048" w:rsidRDefault="00FB7D0B">
            <w:pPr>
              <w:jc w:val="right"/>
              <w:rPr>
                <w:rFonts w:ascii="Arial" w:eastAsia="Arial" w:hAnsi="Arial" w:cs="Arial"/>
                <w:color w:val="000000"/>
                <w:sz w:val="16"/>
              </w:rPr>
            </w:pPr>
            <w:r w:rsidRPr="007B0048">
              <w:rPr>
                <w:rFonts w:ascii="Arial" w:eastAsia="Arial" w:hAnsi="Arial" w:cs="Arial"/>
                <w:color w:val="000000"/>
                <w:sz w:val="16"/>
              </w:rPr>
              <w:t xml:space="preserve"> 47,761 </w:t>
            </w:r>
          </w:p>
        </w:tc>
        <w:tc>
          <w:tcPr>
            <w:tcW w:w="990" w:type="dxa"/>
            <w:tcBorders>
              <w:top w:val="nil"/>
              <w:left w:val="nil"/>
              <w:bottom w:val="nil"/>
              <w:right w:val="nil"/>
              <w:tl2br w:val="nil"/>
              <w:tr2bl w:val="nil"/>
            </w:tcBorders>
            <w:shd w:val="clear" w:color="auto" w:fill="FFFFFF"/>
            <w:tcMar>
              <w:left w:w="115" w:type="dxa"/>
              <w:right w:w="115" w:type="dxa"/>
            </w:tcMar>
            <w:vAlign w:val="bottom"/>
          </w:tcPr>
          <w:p w14:paraId="2C32642A" w14:textId="77777777" w:rsidR="003F0EEA" w:rsidRPr="007B0048" w:rsidRDefault="00FB7D0B">
            <w:pPr>
              <w:jc w:val="right"/>
              <w:rPr>
                <w:rFonts w:ascii="Arial" w:eastAsia="Arial" w:hAnsi="Arial" w:cs="Arial"/>
                <w:color w:val="000000"/>
                <w:sz w:val="16"/>
              </w:rPr>
            </w:pPr>
            <w:r w:rsidRPr="007B0048">
              <w:rPr>
                <w:rFonts w:ascii="Arial" w:eastAsia="Arial" w:hAnsi="Arial" w:cs="Arial"/>
                <w:color w:val="000000"/>
                <w:sz w:val="16"/>
              </w:rPr>
              <w:t xml:space="preserve"> 39,382 </w:t>
            </w:r>
          </w:p>
        </w:tc>
        <w:tc>
          <w:tcPr>
            <w:tcW w:w="990" w:type="dxa"/>
            <w:tcBorders>
              <w:top w:val="nil"/>
              <w:left w:val="nil"/>
              <w:bottom w:val="nil"/>
              <w:right w:val="nil"/>
              <w:tl2br w:val="nil"/>
              <w:tr2bl w:val="nil"/>
            </w:tcBorders>
            <w:shd w:val="clear" w:color="auto" w:fill="FFFFFF"/>
            <w:tcMar>
              <w:left w:w="115" w:type="dxa"/>
              <w:right w:w="115" w:type="dxa"/>
            </w:tcMar>
            <w:vAlign w:val="bottom"/>
          </w:tcPr>
          <w:p w14:paraId="24396BE9" w14:textId="77777777" w:rsidR="003F0EEA" w:rsidRPr="007B0048" w:rsidRDefault="00FB7D0B">
            <w:pPr>
              <w:jc w:val="right"/>
              <w:rPr>
                <w:rFonts w:ascii="Arial" w:eastAsia="Arial" w:hAnsi="Arial" w:cs="Arial"/>
                <w:color w:val="000000"/>
                <w:sz w:val="16"/>
              </w:rPr>
            </w:pPr>
            <w:r w:rsidRPr="007B0048">
              <w:rPr>
                <w:rFonts w:ascii="Arial" w:eastAsia="Arial" w:hAnsi="Arial" w:cs="Arial"/>
                <w:color w:val="000000"/>
                <w:sz w:val="16"/>
              </w:rPr>
              <w:t xml:space="preserve"> 38,937 </w:t>
            </w:r>
          </w:p>
        </w:tc>
        <w:tc>
          <w:tcPr>
            <w:tcW w:w="990" w:type="dxa"/>
            <w:tcBorders>
              <w:top w:val="nil"/>
              <w:left w:val="nil"/>
              <w:bottom w:val="nil"/>
              <w:right w:val="nil"/>
              <w:tl2br w:val="nil"/>
              <w:tr2bl w:val="nil"/>
            </w:tcBorders>
            <w:shd w:val="clear" w:color="auto" w:fill="FFFFFF"/>
            <w:tcMar>
              <w:left w:w="115" w:type="dxa"/>
              <w:right w:w="115" w:type="dxa"/>
            </w:tcMar>
            <w:vAlign w:val="bottom"/>
          </w:tcPr>
          <w:p w14:paraId="49ED9C84" w14:textId="77777777" w:rsidR="003F0EEA" w:rsidRPr="007B0048" w:rsidRDefault="00FB7D0B">
            <w:pPr>
              <w:jc w:val="right"/>
              <w:rPr>
                <w:rFonts w:ascii="Arial" w:eastAsia="Arial" w:hAnsi="Arial" w:cs="Arial"/>
                <w:color w:val="000000"/>
                <w:sz w:val="16"/>
              </w:rPr>
            </w:pPr>
            <w:r w:rsidRPr="007B0048">
              <w:rPr>
                <w:rFonts w:ascii="Arial" w:eastAsia="Arial" w:hAnsi="Arial" w:cs="Arial"/>
                <w:color w:val="000000"/>
                <w:sz w:val="16"/>
              </w:rPr>
              <w:t xml:space="preserve"> 39,099 </w:t>
            </w:r>
          </w:p>
        </w:tc>
      </w:tr>
      <w:tr w:rsidR="00355BFE" w14:paraId="1BFFE738" w14:textId="77777777" w:rsidTr="00355BFE">
        <w:trPr>
          <w:trHeight w:val="225"/>
        </w:trPr>
        <w:tc>
          <w:tcPr>
            <w:tcW w:w="180" w:type="dxa"/>
            <w:tcBorders>
              <w:top w:val="nil"/>
              <w:left w:val="nil"/>
              <w:bottom w:val="nil"/>
              <w:right w:val="nil"/>
              <w:tl2br w:val="nil"/>
              <w:tr2bl w:val="nil"/>
            </w:tcBorders>
            <w:shd w:val="clear" w:color="auto" w:fill="FFFFFF"/>
            <w:tcMar>
              <w:left w:w="115" w:type="dxa"/>
              <w:right w:w="115" w:type="dxa"/>
            </w:tcMar>
            <w:vAlign w:val="bottom"/>
          </w:tcPr>
          <w:p w14:paraId="290BFD67" w14:textId="77777777" w:rsidR="003F0EEA" w:rsidRPr="007B0048" w:rsidRDefault="003F0EEA">
            <w:pPr>
              <w:rPr>
                <w:rFonts w:ascii="Arial" w:eastAsia="Arial" w:hAnsi="Arial" w:cs="Arial"/>
                <w:color w:val="000000"/>
                <w:sz w:val="16"/>
              </w:rPr>
            </w:pPr>
          </w:p>
        </w:tc>
        <w:tc>
          <w:tcPr>
            <w:tcW w:w="3330" w:type="dxa"/>
            <w:gridSpan w:val="2"/>
            <w:vMerge w:val="restart"/>
            <w:tcBorders>
              <w:top w:val="nil"/>
              <w:left w:val="nil"/>
              <w:bottom w:val="nil"/>
              <w:right w:val="nil"/>
              <w:tl2br w:val="nil"/>
              <w:tr2bl w:val="nil"/>
            </w:tcBorders>
            <w:shd w:val="clear" w:color="auto" w:fill="FFFFFF"/>
            <w:tcMar>
              <w:left w:w="115" w:type="dxa"/>
              <w:right w:w="115" w:type="dxa"/>
            </w:tcMar>
            <w:vAlign w:val="bottom"/>
          </w:tcPr>
          <w:p w14:paraId="4C052A2A" w14:textId="77777777" w:rsidR="003F0EEA" w:rsidRPr="007B0048" w:rsidRDefault="00FB7D0B">
            <w:pPr>
              <w:rPr>
                <w:rFonts w:ascii="Arial" w:eastAsia="Arial" w:hAnsi="Arial" w:cs="Arial"/>
                <w:color w:val="000000"/>
                <w:sz w:val="16"/>
              </w:rPr>
            </w:pPr>
            <w:r w:rsidRPr="007B0048">
              <w:rPr>
                <w:rFonts w:ascii="Arial" w:eastAsia="Arial" w:hAnsi="Arial" w:cs="Arial"/>
                <w:color w:val="000000"/>
                <w:sz w:val="16"/>
              </w:rPr>
              <w:t>Goods and services</w:t>
            </w:r>
          </w:p>
        </w:tc>
        <w:tc>
          <w:tcPr>
            <w:tcW w:w="990" w:type="dxa"/>
            <w:tcBorders>
              <w:top w:val="nil"/>
              <w:left w:val="nil"/>
              <w:bottom w:val="nil"/>
              <w:right w:val="nil"/>
              <w:tl2br w:val="nil"/>
              <w:tr2bl w:val="nil"/>
            </w:tcBorders>
            <w:shd w:val="clear" w:color="auto" w:fill="FFFFFF"/>
            <w:tcMar>
              <w:left w:w="115" w:type="dxa"/>
              <w:right w:w="115" w:type="dxa"/>
            </w:tcMar>
            <w:vAlign w:val="bottom"/>
          </w:tcPr>
          <w:p w14:paraId="7D2F6D9D" w14:textId="77777777" w:rsidR="003F0EEA" w:rsidRPr="007B0048" w:rsidRDefault="00FB7D0B">
            <w:pPr>
              <w:jc w:val="right"/>
              <w:rPr>
                <w:rFonts w:ascii="Arial" w:eastAsia="Arial" w:hAnsi="Arial" w:cs="Arial"/>
                <w:color w:val="000000"/>
                <w:sz w:val="16"/>
              </w:rPr>
            </w:pPr>
            <w:r w:rsidRPr="007B0048">
              <w:rPr>
                <w:rFonts w:ascii="Arial" w:eastAsia="Arial" w:hAnsi="Arial" w:cs="Arial"/>
                <w:color w:val="000000"/>
                <w:sz w:val="16"/>
              </w:rPr>
              <w:t xml:space="preserve"> 3,255 </w:t>
            </w:r>
          </w:p>
        </w:tc>
        <w:tc>
          <w:tcPr>
            <w:tcW w:w="990" w:type="dxa"/>
            <w:tcBorders>
              <w:top w:val="nil"/>
              <w:left w:val="nil"/>
              <w:bottom w:val="nil"/>
              <w:right w:val="nil"/>
              <w:tl2br w:val="nil"/>
              <w:tr2bl w:val="nil"/>
            </w:tcBorders>
            <w:shd w:val="clear" w:color="auto" w:fill="C0C0C0"/>
            <w:tcMar>
              <w:left w:w="115" w:type="dxa"/>
              <w:right w:w="115" w:type="dxa"/>
            </w:tcMar>
            <w:vAlign w:val="bottom"/>
          </w:tcPr>
          <w:p w14:paraId="1F8D1081" w14:textId="77777777" w:rsidR="003F0EEA" w:rsidRPr="007B0048" w:rsidRDefault="00FB7D0B">
            <w:pPr>
              <w:jc w:val="right"/>
              <w:rPr>
                <w:rFonts w:ascii="Arial" w:eastAsia="Arial" w:hAnsi="Arial" w:cs="Arial"/>
                <w:color w:val="000000"/>
                <w:sz w:val="16"/>
              </w:rPr>
            </w:pPr>
            <w:r w:rsidRPr="007B0048">
              <w:rPr>
                <w:rFonts w:ascii="Arial" w:eastAsia="Arial" w:hAnsi="Arial" w:cs="Arial"/>
                <w:color w:val="000000"/>
                <w:sz w:val="16"/>
              </w:rPr>
              <w:t xml:space="preserve"> 3,255 </w:t>
            </w:r>
          </w:p>
        </w:tc>
        <w:tc>
          <w:tcPr>
            <w:tcW w:w="990" w:type="dxa"/>
            <w:tcBorders>
              <w:top w:val="nil"/>
              <w:left w:val="nil"/>
              <w:bottom w:val="nil"/>
              <w:right w:val="nil"/>
              <w:tl2br w:val="nil"/>
              <w:tr2bl w:val="nil"/>
            </w:tcBorders>
            <w:shd w:val="clear" w:color="auto" w:fill="FFFFFF"/>
            <w:tcMar>
              <w:left w:w="115" w:type="dxa"/>
              <w:right w:w="115" w:type="dxa"/>
            </w:tcMar>
            <w:vAlign w:val="bottom"/>
          </w:tcPr>
          <w:p w14:paraId="01BEF112" w14:textId="77777777" w:rsidR="003F0EEA" w:rsidRPr="007B0048" w:rsidRDefault="00FB7D0B">
            <w:pPr>
              <w:jc w:val="right"/>
              <w:rPr>
                <w:rFonts w:ascii="Arial" w:eastAsia="Arial" w:hAnsi="Arial" w:cs="Arial"/>
                <w:color w:val="000000"/>
                <w:sz w:val="16"/>
              </w:rPr>
            </w:pPr>
            <w:r w:rsidRPr="007B0048">
              <w:rPr>
                <w:rFonts w:ascii="Arial" w:eastAsia="Arial" w:hAnsi="Arial" w:cs="Arial"/>
                <w:color w:val="000000"/>
                <w:sz w:val="16"/>
              </w:rPr>
              <w:t xml:space="preserve"> 3,255 </w:t>
            </w:r>
          </w:p>
        </w:tc>
        <w:tc>
          <w:tcPr>
            <w:tcW w:w="990" w:type="dxa"/>
            <w:tcBorders>
              <w:top w:val="nil"/>
              <w:left w:val="nil"/>
              <w:bottom w:val="nil"/>
              <w:right w:val="nil"/>
              <w:tl2br w:val="nil"/>
              <w:tr2bl w:val="nil"/>
            </w:tcBorders>
            <w:shd w:val="clear" w:color="auto" w:fill="FFFFFF"/>
            <w:tcMar>
              <w:left w:w="115" w:type="dxa"/>
              <w:right w:w="115" w:type="dxa"/>
            </w:tcMar>
            <w:vAlign w:val="bottom"/>
          </w:tcPr>
          <w:p w14:paraId="1532E89A" w14:textId="77777777" w:rsidR="003F0EEA" w:rsidRPr="007B0048" w:rsidRDefault="00FB7D0B">
            <w:pPr>
              <w:jc w:val="right"/>
              <w:rPr>
                <w:rFonts w:ascii="Arial" w:eastAsia="Arial" w:hAnsi="Arial" w:cs="Arial"/>
                <w:color w:val="000000"/>
                <w:sz w:val="16"/>
              </w:rPr>
            </w:pPr>
            <w:r w:rsidRPr="007B0048">
              <w:rPr>
                <w:rFonts w:ascii="Arial" w:eastAsia="Arial" w:hAnsi="Arial" w:cs="Arial"/>
                <w:color w:val="000000"/>
                <w:sz w:val="16"/>
              </w:rPr>
              <w:t xml:space="preserve"> 3,255 </w:t>
            </w:r>
          </w:p>
        </w:tc>
        <w:tc>
          <w:tcPr>
            <w:tcW w:w="990" w:type="dxa"/>
            <w:tcBorders>
              <w:top w:val="nil"/>
              <w:left w:val="nil"/>
              <w:bottom w:val="nil"/>
              <w:right w:val="nil"/>
              <w:tl2br w:val="nil"/>
              <w:tr2bl w:val="nil"/>
            </w:tcBorders>
            <w:shd w:val="clear" w:color="auto" w:fill="FFFFFF"/>
            <w:tcMar>
              <w:left w:w="115" w:type="dxa"/>
              <w:right w:w="115" w:type="dxa"/>
            </w:tcMar>
            <w:vAlign w:val="bottom"/>
          </w:tcPr>
          <w:p w14:paraId="5D12241A" w14:textId="77777777" w:rsidR="003F0EEA" w:rsidRPr="007B0048" w:rsidRDefault="00FB7D0B">
            <w:pPr>
              <w:jc w:val="right"/>
              <w:rPr>
                <w:rFonts w:ascii="Arial" w:eastAsia="Arial" w:hAnsi="Arial" w:cs="Arial"/>
                <w:color w:val="000000"/>
                <w:sz w:val="16"/>
              </w:rPr>
            </w:pPr>
            <w:r w:rsidRPr="007B0048">
              <w:rPr>
                <w:rFonts w:ascii="Arial" w:eastAsia="Arial" w:hAnsi="Arial" w:cs="Arial"/>
                <w:color w:val="000000"/>
                <w:sz w:val="16"/>
              </w:rPr>
              <w:t xml:space="preserve"> 3,255 </w:t>
            </w:r>
          </w:p>
        </w:tc>
      </w:tr>
      <w:tr w:rsidR="00355BFE" w14:paraId="001C0390" w14:textId="77777777" w:rsidTr="00355BFE">
        <w:trPr>
          <w:trHeight w:val="225"/>
        </w:trPr>
        <w:tc>
          <w:tcPr>
            <w:tcW w:w="180" w:type="dxa"/>
            <w:tcBorders>
              <w:top w:val="nil"/>
              <w:left w:val="nil"/>
              <w:bottom w:val="nil"/>
              <w:right w:val="nil"/>
              <w:tl2br w:val="nil"/>
              <w:tr2bl w:val="nil"/>
            </w:tcBorders>
            <w:shd w:val="clear" w:color="auto" w:fill="FFFFFF"/>
            <w:tcMar>
              <w:left w:w="115" w:type="dxa"/>
              <w:right w:w="115" w:type="dxa"/>
            </w:tcMar>
            <w:vAlign w:val="bottom"/>
          </w:tcPr>
          <w:p w14:paraId="435606CA" w14:textId="77777777" w:rsidR="003F0EEA" w:rsidRPr="007B0048" w:rsidRDefault="003F0EEA">
            <w:pPr>
              <w:rPr>
                <w:rFonts w:ascii="Arial" w:eastAsia="Arial" w:hAnsi="Arial" w:cs="Arial"/>
                <w:color w:val="000000"/>
                <w:sz w:val="16"/>
              </w:rPr>
            </w:pPr>
          </w:p>
        </w:tc>
        <w:tc>
          <w:tcPr>
            <w:tcW w:w="3330" w:type="dxa"/>
            <w:gridSpan w:val="2"/>
            <w:vMerge w:val="restart"/>
            <w:tcBorders>
              <w:top w:val="nil"/>
              <w:left w:val="nil"/>
              <w:bottom w:val="nil"/>
              <w:right w:val="nil"/>
              <w:tl2br w:val="nil"/>
              <w:tr2bl w:val="nil"/>
            </w:tcBorders>
            <w:shd w:val="clear" w:color="auto" w:fill="FFFFFF"/>
            <w:tcMar>
              <w:left w:w="115" w:type="dxa"/>
              <w:right w:w="115" w:type="dxa"/>
            </w:tcMar>
            <w:vAlign w:val="bottom"/>
          </w:tcPr>
          <w:p w14:paraId="564F5D1B" w14:textId="77777777" w:rsidR="003F0EEA" w:rsidRPr="007B0048" w:rsidRDefault="00FB7D0B">
            <w:pPr>
              <w:rPr>
                <w:rFonts w:ascii="Arial" w:eastAsia="Arial" w:hAnsi="Arial" w:cs="Arial"/>
                <w:color w:val="000000"/>
                <w:sz w:val="16"/>
              </w:rPr>
            </w:pPr>
            <w:r w:rsidRPr="007B0048">
              <w:rPr>
                <w:rFonts w:ascii="Arial" w:eastAsia="Arial" w:hAnsi="Arial" w:cs="Arial"/>
                <w:color w:val="000000"/>
                <w:sz w:val="16"/>
              </w:rPr>
              <w:t>Interest</w:t>
            </w:r>
          </w:p>
        </w:tc>
        <w:tc>
          <w:tcPr>
            <w:tcW w:w="990" w:type="dxa"/>
            <w:tcBorders>
              <w:top w:val="nil"/>
              <w:left w:val="nil"/>
              <w:bottom w:val="nil"/>
              <w:right w:val="nil"/>
              <w:tl2br w:val="nil"/>
              <w:tr2bl w:val="nil"/>
            </w:tcBorders>
            <w:shd w:val="clear" w:color="auto" w:fill="FFFFFF"/>
            <w:tcMar>
              <w:left w:w="115" w:type="dxa"/>
              <w:right w:w="115" w:type="dxa"/>
            </w:tcMar>
            <w:vAlign w:val="bottom"/>
          </w:tcPr>
          <w:p w14:paraId="3DB3B9F6" w14:textId="77777777" w:rsidR="003F0EEA" w:rsidRPr="007B0048" w:rsidRDefault="00FB7D0B">
            <w:pPr>
              <w:jc w:val="right"/>
              <w:rPr>
                <w:rFonts w:ascii="Arial" w:eastAsia="Arial" w:hAnsi="Arial" w:cs="Arial"/>
                <w:color w:val="000000"/>
                <w:sz w:val="16"/>
              </w:rPr>
            </w:pPr>
            <w:r w:rsidRPr="007B0048">
              <w:rPr>
                <w:rFonts w:ascii="Arial" w:eastAsia="Arial" w:hAnsi="Arial" w:cs="Arial"/>
                <w:color w:val="000000"/>
                <w:sz w:val="16"/>
              </w:rPr>
              <w:t xml:space="preserve"> 2,833 </w:t>
            </w:r>
          </w:p>
        </w:tc>
        <w:tc>
          <w:tcPr>
            <w:tcW w:w="990" w:type="dxa"/>
            <w:tcBorders>
              <w:top w:val="nil"/>
              <w:left w:val="nil"/>
              <w:bottom w:val="nil"/>
              <w:right w:val="nil"/>
              <w:tl2br w:val="nil"/>
              <w:tr2bl w:val="nil"/>
            </w:tcBorders>
            <w:shd w:val="clear" w:color="auto" w:fill="C0C0C0"/>
            <w:tcMar>
              <w:left w:w="115" w:type="dxa"/>
              <w:right w:w="115" w:type="dxa"/>
            </w:tcMar>
            <w:vAlign w:val="bottom"/>
          </w:tcPr>
          <w:p w14:paraId="32F1F473" w14:textId="77777777" w:rsidR="003F0EEA" w:rsidRPr="007B0048" w:rsidRDefault="00FB7D0B">
            <w:pPr>
              <w:jc w:val="right"/>
              <w:rPr>
                <w:rFonts w:ascii="Arial" w:eastAsia="Arial" w:hAnsi="Arial" w:cs="Arial"/>
                <w:color w:val="000000"/>
                <w:sz w:val="16"/>
              </w:rPr>
            </w:pPr>
            <w:r w:rsidRPr="007B0048">
              <w:rPr>
                <w:rFonts w:ascii="Arial" w:eastAsia="Arial" w:hAnsi="Arial" w:cs="Arial"/>
                <w:color w:val="000000"/>
                <w:sz w:val="16"/>
              </w:rPr>
              <w:t xml:space="preserve"> 2,470 </w:t>
            </w:r>
          </w:p>
        </w:tc>
        <w:tc>
          <w:tcPr>
            <w:tcW w:w="990" w:type="dxa"/>
            <w:tcBorders>
              <w:top w:val="nil"/>
              <w:left w:val="nil"/>
              <w:bottom w:val="nil"/>
              <w:right w:val="nil"/>
              <w:tl2br w:val="nil"/>
              <w:tr2bl w:val="nil"/>
            </w:tcBorders>
            <w:shd w:val="clear" w:color="auto" w:fill="FFFFFF"/>
            <w:tcMar>
              <w:left w:w="115" w:type="dxa"/>
              <w:right w:w="115" w:type="dxa"/>
            </w:tcMar>
            <w:vAlign w:val="bottom"/>
          </w:tcPr>
          <w:p w14:paraId="073BB0B4" w14:textId="77777777" w:rsidR="003F0EEA" w:rsidRPr="007B0048" w:rsidRDefault="00FB7D0B">
            <w:pPr>
              <w:jc w:val="right"/>
              <w:rPr>
                <w:rFonts w:ascii="Arial" w:eastAsia="Arial" w:hAnsi="Arial" w:cs="Arial"/>
                <w:color w:val="000000"/>
                <w:sz w:val="16"/>
              </w:rPr>
            </w:pPr>
            <w:r w:rsidRPr="007B0048">
              <w:rPr>
                <w:rFonts w:ascii="Arial" w:eastAsia="Arial" w:hAnsi="Arial" w:cs="Arial"/>
                <w:color w:val="000000"/>
                <w:sz w:val="16"/>
              </w:rPr>
              <w:t xml:space="preserve"> 2,296 </w:t>
            </w:r>
          </w:p>
        </w:tc>
        <w:tc>
          <w:tcPr>
            <w:tcW w:w="990" w:type="dxa"/>
            <w:tcBorders>
              <w:top w:val="nil"/>
              <w:left w:val="nil"/>
              <w:bottom w:val="nil"/>
              <w:right w:val="nil"/>
              <w:tl2br w:val="nil"/>
              <w:tr2bl w:val="nil"/>
            </w:tcBorders>
            <w:shd w:val="clear" w:color="auto" w:fill="FFFFFF"/>
            <w:tcMar>
              <w:left w:w="115" w:type="dxa"/>
              <w:right w:w="115" w:type="dxa"/>
            </w:tcMar>
            <w:vAlign w:val="bottom"/>
          </w:tcPr>
          <w:p w14:paraId="17F6A376" w14:textId="77777777" w:rsidR="003F0EEA" w:rsidRPr="007B0048" w:rsidRDefault="00FB7D0B">
            <w:pPr>
              <w:jc w:val="right"/>
              <w:rPr>
                <w:rFonts w:ascii="Arial" w:eastAsia="Arial" w:hAnsi="Arial" w:cs="Arial"/>
                <w:color w:val="000000"/>
                <w:sz w:val="16"/>
              </w:rPr>
            </w:pPr>
            <w:r w:rsidRPr="007B0048">
              <w:rPr>
                <w:rFonts w:ascii="Arial" w:eastAsia="Arial" w:hAnsi="Arial" w:cs="Arial"/>
                <w:color w:val="000000"/>
                <w:sz w:val="16"/>
              </w:rPr>
              <w:t xml:space="preserve"> 2,352 </w:t>
            </w:r>
          </w:p>
        </w:tc>
        <w:tc>
          <w:tcPr>
            <w:tcW w:w="990" w:type="dxa"/>
            <w:tcBorders>
              <w:top w:val="nil"/>
              <w:left w:val="nil"/>
              <w:bottom w:val="nil"/>
              <w:right w:val="nil"/>
              <w:tl2br w:val="nil"/>
              <w:tr2bl w:val="nil"/>
            </w:tcBorders>
            <w:shd w:val="clear" w:color="auto" w:fill="FFFFFF"/>
            <w:tcMar>
              <w:left w:w="115" w:type="dxa"/>
              <w:right w:w="115" w:type="dxa"/>
            </w:tcMar>
            <w:vAlign w:val="bottom"/>
          </w:tcPr>
          <w:p w14:paraId="6BE9B6F0" w14:textId="77777777" w:rsidR="003F0EEA" w:rsidRPr="007B0048" w:rsidRDefault="00FB7D0B">
            <w:pPr>
              <w:jc w:val="right"/>
              <w:rPr>
                <w:rFonts w:ascii="Arial" w:eastAsia="Arial" w:hAnsi="Arial" w:cs="Arial"/>
                <w:color w:val="000000"/>
                <w:sz w:val="16"/>
              </w:rPr>
            </w:pPr>
            <w:r w:rsidRPr="007B0048">
              <w:rPr>
                <w:rFonts w:ascii="Arial" w:eastAsia="Arial" w:hAnsi="Arial" w:cs="Arial"/>
                <w:color w:val="000000"/>
                <w:sz w:val="16"/>
              </w:rPr>
              <w:t xml:space="preserve"> 2,404 </w:t>
            </w:r>
          </w:p>
        </w:tc>
      </w:tr>
      <w:tr w:rsidR="00355BFE" w14:paraId="35872F8A" w14:textId="77777777" w:rsidTr="00355BFE">
        <w:trPr>
          <w:trHeight w:val="225"/>
        </w:trPr>
        <w:tc>
          <w:tcPr>
            <w:tcW w:w="180" w:type="dxa"/>
            <w:tcBorders>
              <w:top w:val="nil"/>
              <w:left w:val="nil"/>
              <w:bottom w:val="nil"/>
              <w:right w:val="nil"/>
              <w:tl2br w:val="nil"/>
              <w:tr2bl w:val="nil"/>
            </w:tcBorders>
            <w:shd w:val="clear" w:color="auto" w:fill="FFFFFF"/>
            <w:tcMar>
              <w:left w:w="115" w:type="dxa"/>
              <w:right w:w="115" w:type="dxa"/>
            </w:tcMar>
            <w:vAlign w:val="bottom"/>
          </w:tcPr>
          <w:p w14:paraId="4DC14DDB" w14:textId="77777777" w:rsidR="003F0EEA" w:rsidRPr="007B0048" w:rsidRDefault="003F0EEA">
            <w:pPr>
              <w:rPr>
                <w:rFonts w:ascii="Arial" w:eastAsia="Arial" w:hAnsi="Arial" w:cs="Arial"/>
                <w:color w:val="000000"/>
                <w:sz w:val="16"/>
              </w:rPr>
            </w:pPr>
          </w:p>
        </w:tc>
        <w:tc>
          <w:tcPr>
            <w:tcW w:w="3330" w:type="dxa"/>
            <w:gridSpan w:val="2"/>
            <w:tcBorders>
              <w:top w:val="nil"/>
              <w:left w:val="nil"/>
              <w:bottom w:val="nil"/>
              <w:right w:val="nil"/>
              <w:tl2br w:val="nil"/>
              <w:tr2bl w:val="nil"/>
            </w:tcBorders>
            <w:shd w:val="clear" w:color="auto" w:fill="FFFFFF"/>
            <w:tcMar>
              <w:left w:w="115" w:type="dxa"/>
              <w:right w:w="115" w:type="dxa"/>
            </w:tcMar>
            <w:vAlign w:val="bottom"/>
          </w:tcPr>
          <w:p w14:paraId="0BD49A4A" w14:textId="77777777" w:rsidR="003F0EEA" w:rsidRPr="007B0048" w:rsidRDefault="00FB7D0B">
            <w:pPr>
              <w:rPr>
                <w:rFonts w:ascii="Arial" w:eastAsia="Arial" w:hAnsi="Arial" w:cs="Arial"/>
                <w:color w:val="000000"/>
                <w:sz w:val="16"/>
              </w:rPr>
            </w:pPr>
            <w:r w:rsidRPr="007B0048">
              <w:rPr>
                <w:rFonts w:ascii="Arial" w:eastAsia="Arial" w:hAnsi="Arial" w:cs="Arial"/>
                <w:color w:val="000000"/>
                <w:sz w:val="16"/>
              </w:rPr>
              <w:t xml:space="preserve">Other </w:t>
            </w:r>
          </w:p>
        </w:tc>
        <w:tc>
          <w:tcPr>
            <w:tcW w:w="990"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762FAE92" w14:textId="77777777" w:rsidR="003F0EEA" w:rsidRPr="007B0048" w:rsidRDefault="00FB7D0B">
            <w:pPr>
              <w:jc w:val="right"/>
              <w:rPr>
                <w:rFonts w:ascii="Arial" w:eastAsia="Arial" w:hAnsi="Arial" w:cs="Arial"/>
                <w:color w:val="000000"/>
                <w:sz w:val="16"/>
              </w:rPr>
            </w:pPr>
            <w:r w:rsidRPr="007B0048">
              <w:rPr>
                <w:rFonts w:ascii="Arial" w:eastAsia="Arial" w:hAnsi="Arial" w:cs="Arial"/>
                <w:color w:val="000000"/>
                <w:sz w:val="16"/>
              </w:rPr>
              <w:t xml:space="preserve"> 4,481 </w:t>
            </w:r>
          </w:p>
        </w:tc>
        <w:tc>
          <w:tcPr>
            <w:tcW w:w="990" w:type="dxa"/>
            <w:tcBorders>
              <w:top w:val="nil"/>
              <w:left w:val="nil"/>
              <w:bottom w:val="single" w:sz="6" w:space="0" w:color="000000"/>
              <w:right w:val="nil"/>
              <w:tl2br w:val="nil"/>
              <w:tr2bl w:val="nil"/>
            </w:tcBorders>
            <w:shd w:val="clear" w:color="auto" w:fill="C0C0C0"/>
            <w:tcMar>
              <w:left w:w="115" w:type="dxa"/>
              <w:right w:w="115" w:type="dxa"/>
            </w:tcMar>
            <w:vAlign w:val="bottom"/>
          </w:tcPr>
          <w:p w14:paraId="1E48FEE4" w14:textId="77777777" w:rsidR="003F0EEA" w:rsidRPr="007B0048" w:rsidRDefault="00FB7D0B">
            <w:pPr>
              <w:jc w:val="right"/>
              <w:rPr>
                <w:rFonts w:ascii="Arial" w:eastAsia="Arial" w:hAnsi="Arial" w:cs="Arial"/>
                <w:color w:val="000000"/>
                <w:sz w:val="16"/>
              </w:rPr>
            </w:pPr>
            <w:r w:rsidRPr="007B0048">
              <w:rPr>
                <w:rFonts w:ascii="Arial" w:eastAsia="Arial" w:hAnsi="Arial" w:cs="Arial"/>
                <w:color w:val="000000"/>
                <w:sz w:val="16"/>
              </w:rPr>
              <w:t xml:space="preserve"> 5,539 </w:t>
            </w:r>
          </w:p>
        </w:tc>
        <w:tc>
          <w:tcPr>
            <w:tcW w:w="990"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71674160" w14:textId="77777777" w:rsidR="003F0EEA" w:rsidRPr="007B0048" w:rsidRDefault="00FB7D0B">
            <w:pPr>
              <w:jc w:val="right"/>
              <w:rPr>
                <w:rFonts w:ascii="Arial" w:eastAsia="Arial" w:hAnsi="Arial" w:cs="Arial"/>
                <w:color w:val="000000"/>
                <w:sz w:val="16"/>
              </w:rPr>
            </w:pPr>
            <w:r w:rsidRPr="007B0048">
              <w:rPr>
                <w:rFonts w:ascii="Arial" w:eastAsia="Arial" w:hAnsi="Arial" w:cs="Arial"/>
                <w:color w:val="000000"/>
                <w:sz w:val="16"/>
              </w:rPr>
              <w:t xml:space="preserve"> 3,894 </w:t>
            </w:r>
          </w:p>
        </w:tc>
        <w:tc>
          <w:tcPr>
            <w:tcW w:w="990"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2143E3D5" w14:textId="77777777" w:rsidR="003F0EEA" w:rsidRPr="007B0048" w:rsidRDefault="00FB7D0B">
            <w:pPr>
              <w:jc w:val="right"/>
              <w:rPr>
                <w:rFonts w:ascii="Arial" w:eastAsia="Arial" w:hAnsi="Arial" w:cs="Arial"/>
                <w:color w:val="000000"/>
                <w:sz w:val="16"/>
              </w:rPr>
            </w:pPr>
            <w:r w:rsidRPr="007B0048">
              <w:rPr>
                <w:rFonts w:ascii="Arial" w:eastAsia="Arial" w:hAnsi="Arial" w:cs="Arial"/>
                <w:color w:val="000000"/>
                <w:sz w:val="16"/>
              </w:rPr>
              <w:t xml:space="preserve"> 3,794 </w:t>
            </w:r>
          </w:p>
        </w:tc>
        <w:tc>
          <w:tcPr>
            <w:tcW w:w="990"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448821D8" w14:textId="77777777" w:rsidR="003F0EEA" w:rsidRPr="007B0048" w:rsidRDefault="00FB7D0B">
            <w:pPr>
              <w:jc w:val="right"/>
              <w:rPr>
                <w:rFonts w:ascii="Arial" w:eastAsia="Arial" w:hAnsi="Arial" w:cs="Arial"/>
                <w:color w:val="000000"/>
                <w:sz w:val="16"/>
              </w:rPr>
            </w:pPr>
            <w:r w:rsidRPr="007B0048">
              <w:rPr>
                <w:rFonts w:ascii="Arial" w:eastAsia="Arial" w:hAnsi="Arial" w:cs="Arial"/>
                <w:color w:val="000000"/>
                <w:sz w:val="16"/>
              </w:rPr>
              <w:t xml:space="preserve"> 3,794 </w:t>
            </w:r>
          </w:p>
        </w:tc>
      </w:tr>
      <w:tr w:rsidR="00355BFE" w14:paraId="3246CAAE" w14:textId="77777777" w:rsidTr="00355BFE">
        <w:trPr>
          <w:trHeight w:val="225"/>
        </w:trPr>
        <w:tc>
          <w:tcPr>
            <w:tcW w:w="3510" w:type="dxa"/>
            <w:gridSpan w:val="3"/>
            <w:tcBorders>
              <w:top w:val="nil"/>
              <w:left w:val="nil"/>
              <w:bottom w:val="nil"/>
              <w:right w:val="nil"/>
              <w:tl2br w:val="nil"/>
              <w:tr2bl w:val="nil"/>
            </w:tcBorders>
            <w:shd w:val="clear" w:color="auto" w:fill="FFFFFF"/>
            <w:tcMar>
              <w:left w:w="115" w:type="dxa"/>
              <w:right w:w="115" w:type="dxa"/>
            </w:tcMar>
            <w:vAlign w:val="bottom"/>
          </w:tcPr>
          <w:p w14:paraId="1E379355" w14:textId="77777777" w:rsidR="003F0EEA" w:rsidRPr="007B0048" w:rsidRDefault="00FB7D0B">
            <w:pPr>
              <w:rPr>
                <w:rFonts w:ascii="Arial" w:eastAsia="Arial" w:hAnsi="Arial" w:cs="Arial"/>
                <w:color w:val="000000"/>
                <w:sz w:val="16"/>
              </w:rPr>
            </w:pPr>
            <w:r w:rsidRPr="007B0048">
              <w:rPr>
                <w:rFonts w:ascii="Arial" w:eastAsia="Arial" w:hAnsi="Arial" w:cs="Arial"/>
                <w:b/>
                <w:i/>
                <w:color w:val="000000"/>
                <w:sz w:val="16"/>
              </w:rPr>
              <w:t>Total cash received</w:t>
            </w:r>
          </w:p>
        </w:tc>
        <w:tc>
          <w:tcPr>
            <w:tcW w:w="990" w:type="dxa"/>
            <w:tcBorders>
              <w:top w:val="single" w:sz="6" w:space="0" w:color="000000"/>
              <w:left w:val="nil"/>
              <w:bottom w:val="single" w:sz="6" w:space="0" w:color="000000"/>
              <w:right w:val="nil"/>
              <w:tl2br w:val="nil"/>
              <w:tr2bl w:val="nil"/>
            </w:tcBorders>
            <w:shd w:val="clear" w:color="auto" w:fill="FFFFFF"/>
            <w:tcMar>
              <w:left w:w="115" w:type="dxa"/>
              <w:right w:w="115" w:type="dxa"/>
            </w:tcMar>
            <w:vAlign w:val="bottom"/>
          </w:tcPr>
          <w:p w14:paraId="551BE152" w14:textId="77777777" w:rsidR="003F0EEA" w:rsidRPr="007B0048" w:rsidRDefault="00FB7D0B">
            <w:pPr>
              <w:jc w:val="right"/>
              <w:rPr>
                <w:rFonts w:ascii="Arial" w:eastAsia="Arial" w:hAnsi="Arial" w:cs="Arial"/>
                <w:b/>
                <w:i/>
                <w:color w:val="000000"/>
                <w:sz w:val="16"/>
              </w:rPr>
            </w:pPr>
            <w:r w:rsidRPr="007B0048">
              <w:rPr>
                <w:rFonts w:ascii="Arial" w:eastAsia="Arial" w:hAnsi="Arial" w:cs="Arial"/>
                <w:b/>
                <w:color w:val="000000"/>
                <w:sz w:val="16"/>
              </w:rPr>
              <w:t xml:space="preserve"> 51,423 </w:t>
            </w:r>
          </w:p>
        </w:tc>
        <w:tc>
          <w:tcPr>
            <w:tcW w:w="990" w:type="dxa"/>
            <w:tcBorders>
              <w:top w:val="single" w:sz="6" w:space="0" w:color="000000"/>
              <w:left w:val="nil"/>
              <w:bottom w:val="single" w:sz="6" w:space="0" w:color="000000"/>
              <w:right w:val="nil"/>
              <w:tl2br w:val="nil"/>
              <w:tr2bl w:val="nil"/>
            </w:tcBorders>
            <w:shd w:val="clear" w:color="auto" w:fill="C0C0C0"/>
            <w:tcMar>
              <w:left w:w="115" w:type="dxa"/>
              <w:right w:w="115" w:type="dxa"/>
            </w:tcMar>
            <w:vAlign w:val="bottom"/>
          </w:tcPr>
          <w:p w14:paraId="299FDE88" w14:textId="77777777" w:rsidR="003F0EEA" w:rsidRPr="007B0048" w:rsidRDefault="00FB7D0B">
            <w:pPr>
              <w:jc w:val="right"/>
              <w:rPr>
                <w:rFonts w:ascii="Arial" w:eastAsia="Arial" w:hAnsi="Arial" w:cs="Arial"/>
                <w:b/>
                <w:color w:val="000000"/>
                <w:sz w:val="16"/>
              </w:rPr>
            </w:pPr>
            <w:r w:rsidRPr="007B0048">
              <w:rPr>
                <w:rFonts w:ascii="Arial" w:eastAsia="Arial" w:hAnsi="Arial" w:cs="Arial"/>
                <w:b/>
                <w:color w:val="000000"/>
                <w:sz w:val="16"/>
              </w:rPr>
              <w:t xml:space="preserve"> 59,025 </w:t>
            </w:r>
          </w:p>
        </w:tc>
        <w:tc>
          <w:tcPr>
            <w:tcW w:w="990" w:type="dxa"/>
            <w:tcBorders>
              <w:top w:val="single" w:sz="6" w:space="0" w:color="000000"/>
              <w:left w:val="nil"/>
              <w:bottom w:val="single" w:sz="6" w:space="0" w:color="000000"/>
              <w:right w:val="nil"/>
              <w:tl2br w:val="nil"/>
              <w:tr2bl w:val="nil"/>
            </w:tcBorders>
            <w:shd w:val="clear" w:color="auto" w:fill="FFFFFF"/>
            <w:tcMar>
              <w:left w:w="115" w:type="dxa"/>
              <w:right w:w="115" w:type="dxa"/>
            </w:tcMar>
            <w:vAlign w:val="bottom"/>
          </w:tcPr>
          <w:p w14:paraId="7528D5C7" w14:textId="77777777" w:rsidR="003F0EEA" w:rsidRPr="007B0048" w:rsidRDefault="00FB7D0B">
            <w:pPr>
              <w:jc w:val="right"/>
              <w:rPr>
                <w:rFonts w:ascii="Arial" w:eastAsia="Arial" w:hAnsi="Arial" w:cs="Arial"/>
                <w:b/>
                <w:color w:val="000000"/>
                <w:sz w:val="16"/>
              </w:rPr>
            </w:pPr>
            <w:r w:rsidRPr="007B0048">
              <w:rPr>
                <w:rFonts w:ascii="Arial" w:eastAsia="Arial" w:hAnsi="Arial" w:cs="Arial"/>
                <w:b/>
                <w:color w:val="000000"/>
                <w:sz w:val="16"/>
              </w:rPr>
              <w:t xml:space="preserve"> 48,827 </w:t>
            </w:r>
          </w:p>
        </w:tc>
        <w:tc>
          <w:tcPr>
            <w:tcW w:w="990" w:type="dxa"/>
            <w:tcBorders>
              <w:top w:val="single" w:sz="6" w:space="0" w:color="000000"/>
              <w:left w:val="nil"/>
              <w:bottom w:val="single" w:sz="6" w:space="0" w:color="000000"/>
              <w:right w:val="nil"/>
              <w:tl2br w:val="nil"/>
              <w:tr2bl w:val="nil"/>
            </w:tcBorders>
            <w:shd w:val="clear" w:color="auto" w:fill="FFFFFF"/>
            <w:tcMar>
              <w:left w:w="115" w:type="dxa"/>
              <w:right w:w="115" w:type="dxa"/>
            </w:tcMar>
            <w:vAlign w:val="bottom"/>
          </w:tcPr>
          <w:p w14:paraId="3A9E3359" w14:textId="77777777" w:rsidR="003F0EEA" w:rsidRPr="007B0048" w:rsidRDefault="00FB7D0B">
            <w:pPr>
              <w:jc w:val="right"/>
              <w:rPr>
                <w:rFonts w:ascii="Arial" w:eastAsia="Arial" w:hAnsi="Arial" w:cs="Arial"/>
                <w:b/>
                <w:color w:val="000000"/>
                <w:sz w:val="16"/>
              </w:rPr>
            </w:pPr>
            <w:r w:rsidRPr="007B0048">
              <w:rPr>
                <w:rFonts w:ascii="Arial" w:eastAsia="Arial" w:hAnsi="Arial" w:cs="Arial"/>
                <w:b/>
                <w:color w:val="000000"/>
                <w:sz w:val="16"/>
              </w:rPr>
              <w:t xml:space="preserve"> 48,338 </w:t>
            </w:r>
          </w:p>
        </w:tc>
        <w:tc>
          <w:tcPr>
            <w:tcW w:w="990" w:type="dxa"/>
            <w:tcBorders>
              <w:top w:val="single" w:sz="6" w:space="0" w:color="000000"/>
              <w:left w:val="nil"/>
              <w:bottom w:val="single" w:sz="6" w:space="0" w:color="000000"/>
              <w:right w:val="nil"/>
              <w:tl2br w:val="nil"/>
              <w:tr2bl w:val="nil"/>
            </w:tcBorders>
            <w:shd w:val="clear" w:color="auto" w:fill="FFFFFF"/>
            <w:tcMar>
              <w:left w:w="115" w:type="dxa"/>
              <w:right w:w="115" w:type="dxa"/>
            </w:tcMar>
            <w:vAlign w:val="bottom"/>
          </w:tcPr>
          <w:p w14:paraId="6224A124" w14:textId="77777777" w:rsidR="003F0EEA" w:rsidRPr="007B0048" w:rsidRDefault="00FB7D0B">
            <w:pPr>
              <w:jc w:val="right"/>
              <w:rPr>
                <w:rFonts w:ascii="Arial" w:eastAsia="Arial" w:hAnsi="Arial" w:cs="Arial"/>
                <w:b/>
                <w:color w:val="000000"/>
                <w:sz w:val="16"/>
              </w:rPr>
            </w:pPr>
            <w:r w:rsidRPr="007B0048">
              <w:rPr>
                <w:rFonts w:ascii="Arial" w:eastAsia="Arial" w:hAnsi="Arial" w:cs="Arial"/>
                <w:b/>
                <w:color w:val="000000"/>
                <w:sz w:val="16"/>
              </w:rPr>
              <w:t xml:space="preserve"> 48,552 </w:t>
            </w:r>
          </w:p>
        </w:tc>
      </w:tr>
      <w:tr w:rsidR="00724034" w14:paraId="0545CBDD" w14:textId="77777777">
        <w:trPr>
          <w:trHeight w:hRule="exact" w:val="60"/>
        </w:trPr>
        <w:tc>
          <w:tcPr>
            <w:tcW w:w="180" w:type="dxa"/>
            <w:tcBorders>
              <w:top w:val="nil"/>
              <w:left w:val="nil"/>
              <w:bottom w:val="nil"/>
              <w:right w:val="nil"/>
              <w:tl2br w:val="nil"/>
              <w:tr2bl w:val="nil"/>
            </w:tcBorders>
            <w:shd w:val="clear" w:color="auto" w:fill="FFFFFF"/>
            <w:tcMar>
              <w:left w:w="115" w:type="dxa"/>
              <w:right w:w="115" w:type="dxa"/>
            </w:tcMar>
            <w:vAlign w:val="bottom"/>
          </w:tcPr>
          <w:p w14:paraId="60DA3E90" w14:textId="77777777" w:rsidR="003F0EEA" w:rsidRPr="007B0048" w:rsidRDefault="003F0EEA">
            <w:pPr>
              <w:rPr>
                <w:rFonts w:ascii="Arial" w:eastAsia="Arial" w:hAnsi="Arial" w:cs="Arial"/>
                <w:b/>
                <w:color w:val="000000"/>
                <w:sz w:val="16"/>
              </w:rPr>
            </w:pPr>
          </w:p>
        </w:tc>
        <w:tc>
          <w:tcPr>
            <w:tcW w:w="180" w:type="dxa"/>
            <w:tcBorders>
              <w:top w:val="nil"/>
              <w:left w:val="nil"/>
              <w:bottom w:val="nil"/>
              <w:right w:val="nil"/>
              <w:tl2br w:val="nil"/>
              <w:tr2bl w:val="nil"/>
            </w:tcBorders>
            <w:shd w:val="clear" w:color="auto" w:fill="FFFFFF"/>
            <w:tcMar>
              <w:left w:w="115" w:type="dxa"/>
              <w:right w:w="115" w:type="dxa"/>
            </w:tcMar>
            <w:vAlign w:val="bottom"/>
          </w:tcPr>
          <w:p w14:paraId="2F9F13D9" w14:textId="77777777" w:rsidR="003F0EEA" w:rsidRPr="007B0048" w:rsidRDefault="003F0EEA">
            <w:pPr>
              <w:rPr>
                <w:rFonts w:ascii="Arial" w:eastAsia="Arial" w:hAnsi="Arial" w:cs="Arial"/>
                <w:b/>
                <w:i/>
                <w:color w:val="000000"/>
                <w:sz w:val="16"/>
              </w:rPr>
            </w:pPr>
          </w:p>
        </w:tc>
        <w:tc>
          <w:tcPr>
            <w:tcW w:w="3150" w:type="dxa"/>
            <w:tcBorders>
              <w:top w:val="nil"/>
              <w:left w:val="nil"/>
              <w:bottom w:val="nil"/>
              <w:right w:val="nil"/>
              <w:tl2br w:val="nil"/>
              <w:tr2bl w:val="nil"/>
            </w:tcBorders>
            <w:shd w:val="clear" w:color="auto" w:fill="FFFFFF"/>
            <w:tcMar>
              <w:left w:w="115" w:type="dxa"/>
              <w:right w:w="115" w:type="dxa"/>
            </w:tcMar>
            <w:vAlign w:val="bottom"/>
          </w:tcPr>
          <w:p w14:paraId="04C93724" w14:textId="77777777" w:rsidR="003F0EEA" w:rsidRPr="007B0048" w:rsidRDefault="003F0EEA">
            <w:pPr>
              <w:rPr>
                <w:rFonts w:ascii="Arial" w:eastAsia="Arial" w:hAnsi="Arial" w:cs="Arial"/>
                <w:b/>
                <w:i/>
                <w:color w:val="000000"/>
                <w:sz w:val="16"/>
              </w:rPr>
            </w:pPr>
          </w:p>
        </w:tc>
        <w:tc>
          <w:tcPr>
            <w:tcW w:w="990"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3655023F" w14:textId="77777777" w:rsidR="003F0EEA" w:rsidRPr="007B0048" w:rsidRDefault="003F0EEA">
            <w:pPr>
              <w:rPr>
                <w:rFonts w:ascii="Arial" w:eastAsia="Arial" w:hAnsi="Arial" w:cs="Arial"/>
                <w:b/>
                <w:i/>
                <w:color w:val="000000"/>
                <w:sz w:val="16"/>
              </w:rPr>
            </w:pPr>
          </w:p>
        </w:tc>
        <w:tc>
          <w:tcPr>
            <w:tcW w:w="990" w:type="dxa"/>
            <w:tcBorders>
              <w:top w:val="single" w:sz="6" w:space="0" w:color="000000"/>
              <w:left w:val="nil"/>
              <w:bottom w:val="nil"/>
              <w:right w:val="nil"/>
              <w:tl2br w:val="nil"/>
              <w:tr2bl w:val="nil"/>
            </w:tcBorders>
            <w:shd w:val="clear" w:color="auto" w:fill="C0C0C0"/>
            <w:tcMar>
              <w:left w:w="115" w:type="dxa"/>
              <w:right w:w="115" w:type="dxa"/>
            </w:tcMar>
            <w:vAlign w:val="bottom"/>
          </w:tcPr>
          <w:p w14:paraId="7643FE21" w14:textId="77777777" w:rsidR="003F0EEA" w:rsidRPr="007B0048" w:rsidRDefault="003F0EEA">
            <w:pPr>
              <w:rPr>
                <w:rFonts w:ascii="Arial" w:eastAsia="Arial" w:hAnsi="Arial" w:cs="Arial"/>
                <w:color w:val="000000"/>
                <w:sz w:val="16"/>
              </w:rPr>
            </w:pPr>
          </w:p>
        </w:tc>
        <w:tc>
          <w:tcPr>
            <w:tcW w:w="990"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297930A0" w14:textId="77777777" w:rsidR="003F0EEA" w:rsidRPr="007B0048" w:rsidRDefault="003F0EEA">
            <w:pPr>
              <w:rPr>
                <w:rFonts w:ascii="Arial" w:eastAsia="Arial" w:hAnsi="Arial" w:cs="Arial"/>
                <w:color w:val="000000"/>
                <w:sz w:val="16"/>
              </w:rPr>
            </w:pPr>
          </w:p>
        </w:tc>
        <w:tc>
          <w:tcPr>
            <w:tcW w:w="990"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294B2EB0" w14:textId="77777777" w:rsidR="003F0EEA" w:rsidRPr="007B0048" w:rsidRDefault="003F0EEA">
            <w:pPr>
              <w:rPr>
                <w:rFonts w:ascii="Arial" w:eastAsia="Arial" w:hAnsi="Arial" w:cs="Arial"/>
                <w:color w:val="000000"/>
                <w:sz w:val="16"/>
              </w:rPr>
            </w:pPr>
          </w:p>
        </w:tc>
        <w:tc>
          <w:tcPr>
            <w:tcW w:w="990"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444AD122" w14:textId="77777777" w:rsidR="003F0EEA" w:rsidRPr="007B0048" w:rsidRDefault="003F0EEA">
            <w:pPr>
              <w:rPr>
                <w:rFonts w:ascii="Arial" w:eastAsia="Arial" w:hAnsi="Arial" w:cs="Arial"/>
                <w:color w:val="000000"/>
                <w:sz w:val="16"/>
              </w:rPr>
            </w:pPr>
          </w:p>
        </w:tc>
      </w:tr>
      <w:tr w:rsidR="00355BFE" w14:paraId="12889F07" w14:textId="77777777" w:rsidTr="00355BFE">
        <w:trPr>
          <w:trHeight w:val="225"/>
        </w:trPr>
        <w:tc>
          <w:tcPr>
            <w:tcW w:w="3510" w:type="dxa"/>
            <w:gridSpan w:val="3"/>
            <w:tcBorders>
              <w:top w:val="nil"/>
              <w:left w:val="nil"/>
              <w:bottom w:val="nil"/>
              <w:right w:val="nil"/>
              <w:tl2br w:val="nil"/>
              <w:tr2bl w:val="nil"/>
            </w:tcBorders>
            <w:shd w:val="clear" w:color="auto" w:fill="FFFFFF"/>
            <w:tcMar>
              <w:left w:w="115" w:type="dxa"/>
              <w:right w:w="115" w:type="dxa"/>
            </w:tcMar>
            <w:vAlign w:val="bottom"/>
          </w:tcPr>
          <w:p w14:paraId="61AA8DD6" w14:textId="77777777" w:rsidR="003F0EEA" w:rsidRPr="007B0048" w:rsidRDefault="00FB7D0B">
            <w:pPr>
              <w:rPr>
                <w:rFonts w:ascii="Arial" w:eastAsia="Arial" w:hAnsi="Arial" w:cs="Arial"/>
                <w:color w:val="000000"/>
                <w:sz w:val="16"/>
              </w:rPr>
            </w:pPr>
            <w:r w:rsidRPr="007B0048">
              <w:rPr>
                <w:rFonts w:ascii="Arial" w:eastAsia="Arial" w:hAnsi="Arial" w:cs="Arial"/>
                <w:b/>
                <w:color w:val="000000"/>
                <w:sz w:val="16"/>
              </w:rPr>
              <w:t>Cash used</w:t>
            </w:r>
          </w:p>
        </w:tc>
        <w:tc>
          <w:tcPr>
            <w:tcW w:w="990" w:type="dxa"/>
            <w:tcBorders>
              <w:top w:val="nil"/>
              <w:left w:val="nil"/>
              <w:bottom w:val="nil"/>
              <w:right w:val="nil"/>
              <w:tl2br w:val="nil"/>
              <w:tr2bl w:val="nil"/>
            </w:tcBorders>
            <w:shd w:val="clear" w:color="auto" w:fill="FFFFFF"/>
            <w:tcMar>
              <w:left w:w="115" w:type="dxa"/>
              <w:right w:w="115" w:type="dxa"/>
            </w:tcMar>
            <w:vAlign w:val="bottom"/>
          </w:tcPr>
          <w:p w14:paraId="67103F8E" w14:textId="77777777" w:rsidR="003F0EEA" w:rsidRPr="007B0048" w:rsidRDefault="003F0EEA">
            <w:pPr>
              <w:rPr>
                <w:rFonts w:ascii="Arial" w:eastAsia="Arial" w:hAnsi="Arial" w:cs="Arial"/>
                <w:b/>
                <w:color w:val="000000"/>
                <w:sz w:val="16"/>
              </w:rPr>
            </w:pPr>
          </w:p>
        </w:tc>
        <w:tc>
          <w:tcPr>
            <w:tcW w:w="990" w:type="dxa"/>
            <w:tcBorders>
              <w:top w:val="nil"/>
              <w:left w:val="nil"/>
              <w:bottom w:val="nil"/>
              <w:right w:val="nil"/>
              <w:tl2br w:val="nil"/>
              <w:tr2bl w:val="nil"/>
            </w:tcBorders>
            <w:shd w:val="clear" w:color="auto" w:fill="C0C0C0"/>
            <w:tcMar>
              <w:left w:w="115" w:type="dxa"/>
              <w:right w:w="115" w:type="dxa"/>
            </w:tcMar>
            <w:vAlign w:val="bottom"/>
          </w:tcPr>
          <w:p w14:paraId="75630B3E" w14:textId="77777777" w:rsidR="003F0EEA" w:rsidRPr="007B0048" w:rsidRDefault="003F0EEA">
            <w:pPr>
              <w:rPr>
                <w:rFonts w:ascii="Arial" w:eastAsia="Arial" w:hAnsi="Arial" w:cs="Arial"/>
                <w:color w:val="000000"/>
                <w:sz w:val="16"/>
              </w:rPr>
            </w:pPr>
          </w:p>
        </w:tc>
        <w:tc>
          <w:tcPr>
            <w:tcW w:w="990" w:type="dxa"/>
            <w:tcBorders>
              <w:top w:val="nil"/>
              <w:left w:val="nil"/>
              <w:bottom w:val="nil"/>
              <w:right w:val="nil"/>
              <w:tl2br w:val="nil"/>
              <w:tr2bl w:val="nil"/>
            </w:tcBorders>
            <w:shd w:val="clear" w:color="auto" w:fill="FFFFFF"/>
            <w:tcMar>
              <w:left w:w="115" w:type="dxa"/>
              <w:right w:w="115" w:type="dxa"/>
            </w:tcMar>
            <w:vAlign w:val="bottom"/>
          </w:tcPr>
          <w:p w14:paraId="73B32F7F" w14:textId="77777777" w:rsidR="003F0EEA" w:rsidRPr="007B0048" w:rsidRDefault="003F0EEA">
            <w:pPr>
              <w:rPr>
                <w:rFonts w:ascii="Arial" w:eastAsia="Arial" w:hAnsi="Arial" w:cs="Arial"/>
                <w:color w:val="000000"/>
                <w:sz w:val="16"/>
              </w:rPr>
            </w:pPr>
          </w:p>
        </w:tc>
        <w:tc>
          <w:tcPr>
            <w:tcW w:w="990" w:type="dxa"/>
            <w:tcBorders>
              <w:top w:val="nil"/>
              <w:left w:val="nil"/>
              <w:bottom w:val="nil"/>
              <w:right w:val="nil"/>
              <w:tl2br w:val="nil"/>
              <w:tr2bl w:val="nil"/>
            </w:tcBorders>
            <w:shd w:val="clear" w:color="auto" w:fill="FFFFFF"/>
            <w:tcMar>
              <w:left w:w="115" w:type="dxa"/>
              <w:right w:w="115" w:type="dxa"/>
            </w:tcMar>
            <w:vAlign w:val="bottom"/>
          </w:tcPr>
          <w:p w14:paraId="3C322395" w14:textId="77777777" w:rsidR="003F0EEA" w:rsidRPr="007B0048" w:rsidRDefault="003F0EEA">
            <w:pPr>
              <w:rPr>
                <w:rFonts w:ascii="Arial" w:eastAsia="Arial" w:hAnsi="Arial" w:cs="Arial"/>
                <w:color w:val="000000"/>
                <w:sz w:val="16"/>
              </w:rPr>
            </w:pPr>
          </w:p>
        </w:tc>
        <w:tc>
          <w:tcPr>
            <w:tcW w:w="990" w:type="dxa"/>
            <w:tcBorders>
              <w:top w:val="nil"/>
              <w:left w:val="nil"/>
              <w:bottom w:val="nil"/>
              <w:right w:val="nil"/>
              <w:tl2br w:val="nil"/>
              <w:tr2bl w:val="nil"/>
            </w:tcBorders>
            <w:shd w:val="clear" w:color="auto" w:fill="FFFFFF"/>
            <w:tcMar>
              <w:left w:w="115" w:type="dxa"/>
              <w:right w:w="115" w:type="dxa"/>
            </w:tcMar>
            <w:vAlign w:val="bottom"/>
          </w:tcPr>
          <w:p w14:paraId="6A8BDC20" w14:textId="77777777" w:rsidR="003F0EEA" w:rsidRPr="007B0048" w:rsidRDefault="003F0EEA">
            <w:pPr>
              <w:rPr>
                <w:rFonts w:ascii="Arial" w:eastAsia="Arial" w:hAnsi="Arial" w:cs="Arial"/>
                <w:color w:val="000000"/>
                <w:sz w:val="16"/>
              </w:rPr>
            </w:pPr>
          </w:p>
        </w:tc>
      </w:tr>
      <w:tr w:rsidR="00355BFE" w14:paraId="73FE8B8F" w14:textId="77777777" w:rsidTr="00355BFE">
        <w:trPr>
          <w:trHeight w:val="225"/>
        </w:trPr>
        <w:tc>
          <w:tcPr>
            <w:tcW w:w="180" w:type="dxa"/>
            <w:tcBorders>
              <w:top w:val="nil"/>
              <w:left w:val="nil"/>
              <w:bottom w:val="nil"/>
              <w:right w:val="nil"/>
              <w:tl2br w:val="nil"/>
              <w:tr2bl w:val="nil"/>
            </w:tcBorders>
            <w:shd w:val="clear" w:color="auto" w:fill="FFFFFF"/>
            <w:tcMar>
              <w:left w:w="115" w:type="dxa"/>
              <w:right w:w="115" w:type="dxa"/>
            </w:tcMar>
            <w:vAlign w:val="bottom"/>
          </w:tcPr>
          <w:p w14:paraId="1E499C7F" w14:textId="77777777" w:rsidR="003F0EEA" w:rsidRPr="007B0048" w:rsidRDefault="003F0EEA">
            <w:pPr>
              <w:rPr>
                <w:rFonts w:ascii="Arial" w:eastAsia="Arial" w:hAnsi="Arial" w:cs="Arial"/>
                <w:color w:val="000000"/>
                <w:sz w:val="16"/>
              </w:rPr>
            </w:pPr>
          </w:p>
        </w:tc>
        <w:tc>
          <w:tcPr>
            <w:tcW w:w="3330" w:type="dxa"/>
            <w:gridSpan w:val="2"/>
            <w:vMerge w:val="restart"/>
            <w:tcBorders>
              <w:top w:val="nil"/>
              <w:left w:val="nil"/>
              <w:bottom w:val="nil"/>
              <w:right w:val="nil"/>
              <w:tl2br w:val="nil"/>
              <w:tr2bl w:val="nil"/>
            </w:tcBorders>
            <w:shd w:val="clear" w:color="auto" w:fill="FFFFFF"/>
            <w:tcMar>
              <w:left w:w="115" w:type="dxa"/>
              <w:right w:w="115" w:type="dxa"/>
            </w:tcMar>
            <w:vAlign w:val="bottom"/>
          </w:tcPr>
          <w:p w14:paraId="09057C85" w14:textId="77777777" w:rsidR="003F0EEA" w:rsidRPr="007B0048" w:rsidRDefault="00FB7D0B">
            <w:pPr>
              <w:rPr>
                <w:rFonts w:ascii="Arial" w:eastAsia="Arial" w:hAnsi="Arial" w:cs="Arial"/>
                <w:color w:val="000000"/>
                <w:sz w:val="16"/>
              </w:rPr>
            </w:pPr>
            <w:r w:rsidRPr="007B0048">
              <w:rPr>
                <w:rFonts w:ascii="Arial" w:eastAsia="Arial" w:hAnsi="Arial" w:cs="Arial"/>
                <w:color w:val="000000"/>
                <w:sz w:val="16"/>
              </w:rPr>
              <w:t>Employees</w:t>
            </w:r>
          </w:p>
        </w:tc>
        <w:tc>
          <w:tcPr>
            <w:tcW w:w="990" w:type="dxa"/>
            <w:tcBorders>
              <w:top w:val="nil"/>
              <w:left w:val="nil"/>
              <w:bottom w:val="nil"/>
              <w:right w:val="nil"/>
              <w:tl2br w:val="nil"/>
              <w:tr2bl w:val="nil"/>
            </w:tcBorders>
            <w:shd w:val="clear" w:color="auto" w:fill="FFFFFF"/>
            <w:tcMar>
              <w:left w:w="115" w:type="dxa"/>
              <w:right w:w="115" w:type="dxa"/>
            </w:tcMar>
            <w:vAlign w:val="bottom"/>
          </w:tcPr>
          <w:p w14:paraId="3286BFA0" w14:textId="77777777" w:rsidR="003F0EEA" w:rsidRPr="007B0048" w:rsidRDefault="00FB7D0B">
            <w:pPr>
              <w:jc w:val="right"/>
              <w:rPr>
                <w:rFonts w:ascii="Arial" w:eastAsia="Arial" w:hAnsi="Arial" w:cs="Arial"/>
                <w:color w:val="000000"/>
                <w:sz w:val="16"/>
              </w:rPr>
            </w:pPr>
            <w:r w:rsidRPr="007B0048">
              <w:rPr>
                <w:rFonts w:ascii="Arial" w:eastAsia="Arial" w:hAnsi="Arial" w:cs="Arial"/>
                <w:color w:val="000000"/>
                <w:sz w:val="16"/>
              </w:rPr>
              <w:t xml:space="preserve"> 25,448 </w:t>
            </w:r>
          </w:p>
        </w:tc>
        <w:tc>
          <w:tcPr>
            <w:tcW w:w="990" w:type="dxa"/>
            <w:tcBorders>
              <w:top w:val="nil"/>
              <w:left w:val="nil"/>
              <w:bottom w:val="nil"/>
              <w:right w:val="nil"/>
              <w:tl2br w:val="nil"/>
              <w:tr2bl w:val="nil"/>
            </w:tcBorders>
            <w:shd w:val="clear" w:color="auto" w:fill="C0C0C0"/>
            <w:tcMar>
              <w:left w:w="115" w:type="dxa"/>
              <w:right w:w="115" w:type="dxa"/>
            </w:tcMar>
            <w:vAlign w:val="bottom"/>
          </w:tcPr>
          <w:p w14:paraId="767237A3" w14:textId="77777777" w:rsidR="003F0EEA" w:rsidRPr="007B0048" w:rsidRDefault="00FB7D0B">
            <w:pPr>
              <w:jc w:val="right"/>
              <w:rPr>
                <w:rFonts w:ascii="Arial" w:eastAsia="Arial" w:hAnsi="Arial" w:cs="Arial"/>
                <w:color w:val="000000"/>
                <w:sz w:val="16"/>
              </w:rPr>
            </w:pPr>
            <w:r w:rsidRPr="007B0048">
              <w:rPr>
                <w:rFonts w:ascii="Arial" w:eastAsia="Arial" w:hAnsi="Arial" w:cs="Arial"/>
                <w:color w:val="000000"/>
                <w:sz w:val="16"/>
              </w:rPr>
              <w:t xml:space="preserve"> 25,901 </w:t>
            </w:r>
          </w:p>
        </w:tc>
        <w:tc>
          <w:tcPr>
            <w:tcW w:w="990" w:type="dxa"/>
            <w:tcBorders>
              <w:top w:val="nil"/>
              <w:left w:val="nil"/>
              <w:bottom w:val="nil"/>
              <w:right w:val="nil"/>
              <w:tl2br w:val="nil"/>
              <w:tr2bl w:val="nil"/>
            </w:tcBorders>
            <w:shd w:val="clear" w:color="auto" w:fill="FFFFFF"/>
            <w:tcMar>
              <w:left w:w="115" w:type="dxa"/>
              <w:right w:w="115" w:type="dxa"/>
            </w:tcMar>
            <w:vAlign w:val="bottom"/>
          </w:tcPr>
          <w:p w14:paraId="16CD523E" w14:textId="77777777" w:rsidR="003F0EEA" w:rsidRPr="007B0048" w:rsidRDefault="00FB7D0B">
            <w:pPr>
              <w:jc w:val="right"/>
              <w:rPr>
                <w:rFonts w:ascii="Arial" w:eastAsia="Arial" w:hAnsi="Arial" w:cs="Arial"/>
                <w:color w:val="000000"/>
                <w:sz w:val="16"/>
              </w:rPr>
            </w:pPr>
            <w:r w:rsidRPr="007B0048">
              <w:rPr>
                <w:rFonts w:ascii="Arial" w:eastAsia="Arial" w:hAnsi="Arial" w:cs="Arial"/>
                <w:color w:val="000000"/>
                <w:sz w:val="16"/>
              </w:rPr>
              <w:t xml:space="preserve"> 24,861 </w:t>
            </w:r>
          </w:p>
        </w:tc>
        <w:tc>
          <w:tcPr>
            <w:tcW w:w="990" w:type="dxa"/>
            <w:tcBorders>
              <w:top w:val="nil"/>
              <w:left w:val="nil"/>
              <w:bottom w:val="nil"/>
              <w:right w:val="nil"/>
              <w:tl2br w:val="nil"/>
              <w:tr2bl w:val="nil"/>
            </w:tcBorders>
            <w:shd w:val="clear" w:color="auto" w:fill="FFFFFF"/>
            <w:tcMar>
              <w:left w:w="115" w:type="dxa"/>
              <w:right w:w="115" w:type="dxa"/>
            </w:tcMar>
            <w:vAlign w:val="bottom"/>
          </w:tcPr>
          <w:p w14:paraId="5DD8C8E6" w14:textId="77777777" w:rsidR="003F0EEA" w:rsidRPr="007B0048" w:rsidRDefault="00FB7D0B">
            <w:pPr>
              <w:jc w:val="right"/>
              <w:rPr>
                <w:rFonts w:ascii="Arial" w:eastAsia="Arial" w:hAnsi="Arial" w:cs="Arial"/>
                <w:color w:val="000000"/>
                <w:sz w:val="16"/>
              </w:rPr>
            </w:pPr>
            <w:r w:rsidRPr="007B0048">
              <w:rPr>
                <w:rFonts w:ascii="Arial" w:eastAsia="Arial" w:hAnsi="Arial" w:cs="Arial"/>
                <w:color w:val="000000"/>
                <w:sz w:val="16"/>
              </w:rPr>
              <w:t xml:space="preserve"> 24,018 </w:t>
            </w:r>
          </w:p>
        </w:tc>
        <w:tc>
          <w:tcPr>
            <w:tcW w:w="990" w:type="dxa"/>
            <w:tcBorders>
              <w:top w:val="nil"/>
              <w:left w:val="nil"/>
              <w:bottom w:val="nil"/>
              <w:right w:val="nil"/>
              <w:tl2br w:val="nil"/>
              <w:tr2bl w:val="nil"/>
            </w:tcBorders>
            <w:shd w:val="clear" w:color="auto" w:fill="FFFFFF"/>
            <w:tcMar>
              <w:left w:w="115" w:type="dxa"/>
              <w:right w:w="115" w:type="dxa"/>
            </w:tcMar>
            <w:vAlign w:val="bottom"/>
          </w:tcPr>
          <w:p w14:paraId="609FF81E" w14:textId="77777777" w:rsidR="003F0EEA" w:rsidRPr="007B0048" w:rsidRDefault="00FB7D0B">
            <w:pPr>
              <w:jc w:val="right"/>
              <w:rPr>
                <w:rFonts w:ascii="Arial" w:eastAsia="Arial" w:hAnsi="Arial" w:cs="Arial"/>
                <w:color w:val="000000"/>
                <w:sz w:val="16"/>
              </w:rPr>
            </w:pPr>
            <w:r w:rsidRPr="007B0048">
              <w:rPr>
                <w:rFonts w:ascii="Arial" w:eastAsia="Arial" w:hAnsi="Arial" w:cs="Arial"/>
                <w:color w:val="000000"/>
                <w:sz w:val="16"/>
              </w:rPr>
              <w:t xml:space="preserve"> 24,129 </w:t>
            </w:r>
          </w:p>
        </w:tc>
      </w:tr>
      <w:tr w:rsidR="00355BFE" w14:paraId="36D05EC8" w14:textId="77777777" w:rsidTr="00355BFE">
        <w:trPr>
          <w:trHeight w:val="225"/>
        </w:trPr>
        <w:tc>
          <w:tcPr>
            <w:tcW w:w="180" w:type="dxa"/>
            <w:tcBorders>
              <w:top w:val="nil"/>
              <w:left w:val="nil"/>
              <w:bottom w:val="nil"/>
              <w:right w:val="nil"/>
              <w:tl2br w:val="nil"/>
              <w:tr2bl w:val="nil"/>
            </w:tcBorders>
            <w:shd w:val="clear" w:color="auto" w:fill="FFFFFF"/>
            <w:tcMar>
              <w:left w:w="115" w:type="dxa"/>
              <w:right w:w="115" w:type="dxa"/>
            </w:tcMar>
            <w:vAlign w:val="bottom"/>
          </w:tcPr>
          <w:p w14:paraId="073CE60A" w14:textId="77777777" w:rsidR="003F0EEA" w:rsidRPr="007B0048" w:rsidRDefault="003F0EEA">
            <w:pPr>
              <w:rPr>
                <w:rFonts w:ascii="Arial" w:eastAsia="Arial" w:hAnsi="Arial" w:cs="Arial"/>
                <w:color w:val="000000"/>
                <w:sz w:val="16"/>
              </w:rPr>
            </w:pPr>
          </w:p>
        </w:tc>
        <w:tc>
          <w:tcPr>
            <w:tcW w:w="3330" w:type="dxa"/>
            <w:gridSpan w:val="2"/>
            <w:vMerge w:val="restart"/>
            <w:tcBorders>
              <w:top w:val="nil"/>
              <w:left w:val="nil"/>
              <w:bottom w:val="nil"/>
              <w:right w:val="nil"/>
              <w:tl2br w:val="nil"/>
              <w:tr2bl w:val="nil"/>
            </w:tcBorders>
            <w:shd w:val="clear" w:color="auto" w:fill="FFFFFF"/>
            <w:tcMar>
              <w:left w:w="115" w:type="dxa"/>
              <w:right w:w="115" w:type="dxa"/>
            </w:tcMar>
            <w:vAlign w:val="bottom"/>
          </w:tcPr>
          <w:p w14:paraId="4651AF20" w14:textId="77777777" w:rsidR="003F0EEA" w:rsidRPr="007B0048" w:rsidRDefault="00FB7D0B">
            <w:pPr>
              <w:rPr>
                <w:rFonts w:ascii="Arial" w:eastAsia="Arial" w:hAnsi="Arial" w:cs="Arial"/>
                <w:color w:val="000000"/>
                <w:sz w:val="16"/>
              </w:rPr>
            </w:pPr>
            <w:r w:rsidRPr="007B0048">
              <w:rPr>
                <w:rFonts w:ascii="Arial" w:eastAsia="Arial" w:hAnsi="Arial" w:cs="Arial"/>
                <w:color w:val="000000"/>
                <w:sz w:val="16"/>
              </w:rPr>
              <w:t>Suppliers</w:t>
            </w:r>
          </w:p>
        </w:tc>
        <w:tc>
          <w:tcPr>
            <w:tcW w:w="990"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46B83FE2" w14:textId="77777777" w:rsidR="003F0EEA" w:rsidRPr="007B0048" w:rsidRDefault="00FB7D0B">
            <w:pPr>
              <w:jc w:val="right"/>
              <w:rPr>
                <w:rFonts w:ascii="Arial" w:eastAsia="Arial" w:hAnsi="Arial" w:cs="Arial"/>
                <w:color w:val="000000"/>
                <w:sz w:val="16"/>
              </w:rPr>
            </w:pPr>
            <w:r w:rsidRPr="007B0048">
              <w:rPr>
                <w:rFonts w:ascii="Arial" w:eastAsia="Arial" w:hAnsi="Arial" w:cs="Arial"/>
                <w:color w:val="000000"/>
                <w:sz w:val="16"/>
              </w:rPr>
              <w:t xml:space="preserve"> 16,460 </w:t>
            </w:r>
          </w:p>
        </w:tc>
        <w:tc>
          <w:tcPr>
            <w:tcW w:w="990" w:type="dxa"/>
            <w:tcBorders>
              <w:top w:val="nil"/>
              <w:left w:val="nil"/>
              <w:bottom w:val="single" w:sz="6" w:space="0" w:color="000000"/>
              <w:right w:val="nil"/>
              <w:tl2br w:val="nil"/>
              <w:tr2bl w:val="nil"/>
            </w:tcBorders>
            <w:shd w:val="clear" w:color="auto" w:fill="C0C0C0"/>
            <w:tcMar>
              <w:left w:w="115" w:type="dxa"/>
              <w:right w:w="115" w:type="dxa"/>
            </w:tcMar>
            <w:vAlign w:val="bottom"/>
          </w:tcPr>
          <w:p w14:paraId="2577921A" w14:textId="77777777" w:rsidR="003F0EEA" w:rsidRPr="007B0048" w:rsidRDefault="00FB7D0B">
            <w:pPr>
              <w:jc w:val="right"/>
              <w:rPr>
                <w:rFonts w:ascii="Arial" w:eastAsia="Arial" w:hAnsi="Arial" w:cs="Arial"/>
                <w:color w:val="000000"/>
                <w:sz w:val="16"/>
              </w:rPr>
            </w:pPr>
            <w:r w:rsidRPr="007B0048">
              <w:rPr>
                <w:rFonts w:ascii="Arial" w:eastAsia="Arial" w:hAnsi="Arial" w:cs="Arial"/>
                <w:color w:val="000000"/>
                <w:sz w:val="16"/>
              </w:rPr>
              <w:t xml:space="preserve"> 23,019 </w:t>
            </w:r>
          </w:p>
        </w:tc>
        <w:tc>
          <w:tcPr>
            <w:tcW w:w="990"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772CB07B" w14:textId="77777777" w:rsidR="003F0EEA" w:rsidRPr="007B0048" w:rsidRDefault="00FB7D0B">
            <w:pPr>
              <w:jc w:val="right"/>
              <w:rPr>
                <w:rFonts w:ascii="Arial" w:eastAsia="Arial" w:hAnsi="Arial" w:cs="Arial"/>
                <w:color w:val="000000"/>
                <w:sz w:val="16"/>
              </w:rPr>
            </w:pPr>
            <w:r w:rsidRPr="007B0048">
              <w:rPr>
                <w:rFonts w:ascii="Arial" w:eastAsia="Arial" w:hAnsi="Arial" w:cs="Arial"/>
                <w:color w:val="000000"/>
                <w:sz w:val="16"/>
              </w:rPr>
              <w:t xml:space="preserve"> 13,492 </w:t>
            </w:r>
          </w:p>
        </w:tc>
        <w:tc>
          <w:tcPr>
            <w:tcW w:w="990"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087B5201" w14:textId="77777777" w:rsidR="003F0EEA" w:rsidRPr="007B0048" w:rsidRDefault="00FB7D0B">
            <w:pPr>
              <w:jc w:val="right"/>
              <w:rPr>
                <w:rFonts w:ascii="Arial" w:eastAsia="Arial" w:hAnsi="Arial" w:cs="Arial"/>
                <w:color w:val="000000"/>
                <w:sz w:val="16"/>
              </w:rPr>
            </w:pPr>
            <w:r w:rsidRPr="007B0048">
              <w:rPr>
                <w:rFonts w:ascii="Arial" w:eastAsia="Arial" w:hAnsi="Arial" w:cs="Arial"/>
                <w:color w:val="000000"/>
                <w:sz w:val="16"/>
              </w:rPr>
              <w:t xml:space="preserve"> 13,606 </w:t>
            </w:r>
          </w:p>
        </w:tc>
        <w:tc>
          <w:tcPr>
            <w:tcW w:w="990"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7E059274" w14:textId="77777777" w:rsidR="003F0EEA" w:rsidRPr="007B0048" w:rsidRDefault="00FB7D0B">
            <w:pPr>
              <w:jc w:val="right"/>
              <w:rPr>
                <w:rFonts w:ascii="Arial" w:eastAsia="Arial" w:hAnsi="Arial" w:cs="Arial"/>
                <w:color w:val="000000"/>
                <w:sz w:val="16"/>
              </w:rPr>
            </w:pPr>
            <w:r w:rsidRPr="007B0048">
              <w:rPr>
                <w:rFonts w:ascii="Arial" w:eastAsia="Arial" w:hAnsi="Arial" w:cs="Arial"/>
                <w:color w:val="000000"/>
                <w:sz w:val="16"/>
              </w:rPr>
              <w:t xml:space="preserve"> 13,413 </w:t>
            </w:r>
          </w:p>
        </w:tc>
      </w:tr>
      <w:tr w:rsidR="00355BFE" w14:paraId="5FCE2497" w14:textId="77777777" w:rsidTr="00355BFE">
        <w:trPr>
          <w:trHeight w:val="225"/>
        </w:trPr>
        <w:tc>
          <w:tcPr>
            <w:tcW w:w="3510" w:type="dxa"/>
            <w:gridSpan w:val="3"/>
            <w:vMerge w:val="restart"/>
            <w:tcBorders>
              <w:top w:val="nil"/>
              <w:left w:val="nil"/>
              <w:bottom w:val="nil"/>
              <w:right w:val="nil"/>
              <w:tl2br w:val="nil"/>
              <w:tr2bl w:val="nil"/>
            </w:tcBorders>
            <w:shd w:val="clear" w:color="auto" w:fill="FFFFFF"/>
            <w:tcMar>
              <w:left w:w="115" w:type="dxa"/>
              <w:right w:w="115" w:type="dxa"/>
            </w:tcMar>
            <w:vAlign w:val="bottom"/>
          </w:tcPr>
          <w:p w14:paraId="72D0F532" w14:textId="77777777" w:rsidR="003F0EEA" w:rsidRPr="007B0048" w:rsidRDefault="00FB7D0B">
            <w:pPr>
              <w:rPr>
                <w:rFonts w:ascii="Arial" w:eastAsia="Arial" w:hAnsi="Arial" w:cs="Arial"/>
                <w:color w:val="000000"/>
                <w:sz w:val="16"/>
              </w:rPr>
            </w:pPr>
            <w:r w:rsidRPr="007B0048">
              <w:rPr>
                <w:rFonts w:ascii="Arial" w:eastAsia="Arial" w:hAnsi="Arial" w:cs="Arial"/>
                <w:b/>
                <w:i/>
                <w:color w:val="000000"/>
                <w:sz w:val="16"/>
              </w:rPr>
              <w:t>Total cash used</w:t>
            </w:r>
          </w:p>
        </w:tc>
        <w:tc>
          <w:tcPr>
            <w:tcW w:w="990" w:type="dxa"/>
            <w:tcBorders>
              <w:top w:val="single" w:sz="6" w:space="0" w:color="000000"/>
              <w:left w:val="nil"/>
              <w:bottom w:val="single" w:sz="6" w:space="0" w:color="000000"/>
              <w:right w:val="nil"/>
              <w:tl2br w:val="nil"/>
              <w:tr2bl w:val="nil"/>
            </w:tcBorders>
            <w:shd w:val="clear" w:color="auto" w:fill="FFFFFF"/>
            <w:tcMar>
              <w:left w:w="115" w:type="dxa"/>
              <w:right w:w="115" w:type="dxa"/>
            </w:tcMar>
            <w:vAlign w:val="bottom"/>
          </w:tcPr>
          <w:p w14:paraId="555B777F" w14:textId="77777777" w:rsidR="003F0EEA" w:rsidRPr="007B0048" w:rsidRDefault="00FB7D0B">
            <w:pPr>
              <w:jc w:val="right"/>
              <w:rPr>
                <w:rFonts w:ascii="Arial" w:eastAsia="Arial" w:hAnsi="Arial" w:cs="Arial"/>
                <w:b/>
                <w:i/>
                <w:color w:val="000000"/>
                <w:sz w:val="16"/>
              </w:rPr>
            </w:pPr>
            <w:r w:rsidRPr="007B0048">
              <w:rPr>
                <w:rFonts w:ascii="Arial" w:eastAsia="Arial" w:hAnsi="Arial" w:cs="Arial"/>
                <w:b/>
                <w:color w:val="000000"/>
                <w:sz w:val="16"/>
              </w:rPr>
              <w:t xml:space="preserve"> 41,908 </w:t>
            </w:r>
          </w:p>
        </w:tc>
        <w:tc>
          <w:tcPr>
            <w:tcW w:w="990" w:type="dxa"/>
            <w:tcBorders>
              <w:top w:val="single" w:sz="6" w:space="0" w:color="000000"/>
              <w:left w:val="nil"/>
              <w:bottom w:val="single" w:sz="6" w:space="0" w:color="000000"/>
              <w:right w:val="nil"/>
              <w:tl2br w:val="nil"/>
              <w:tr2bl w:val="nil"/>
            </w:tcBorders>
            <w:shd w:val="clear" w:color="auto" w:fill="C0C0C0"/>
            <w:tcMar>
              <w:left w:w="115" w:type="dxa"/>
              <w:right w:w="115" w:type="dxa"/>
            </w:tcMar>
            <w:vAlign w:val="bottom"/>
          </w:tcPr>
          <w:p w14:paraId="3104388D" w14:textId="77777777" w:rsidR="003F0EEA" w:rsidRPr="007B0048" w:rsidRDefault="00FB7D0B">
            <w:pPr>
              <w:jc w:val="right"/>
              <w:rPr>
                <w:rFonts w:ascii="Arial" w:eastAsia="Arial" w:hAnsi="Arial" w:cs="Arial"/>
                <w:b/>
                <w:color w:val="000000"/>
                <w:sz w:val="16"/>
              </w:rPr>
            </w:pPr>
            <w:r w:rsidRPr="007B0048">
              <w:rPr>
                <w:rFonts w:ascii="Arial" w:eastAsia="Arial" w:hAnsi="Arial" w:cs="Arial"/>
                <w:b/>
                <w:color w:val="000000"/>
                <w:sz w:val="16"/>
              </w:rPr>
              <w:t xml:space="preserve"> 48,920 </w:t>
            </w:r>
          </w:p>
        </w:tc>
        <w:tc>
          <w:tcPr>
            <w:tcW w:w="990" w:type="dxa"/>
            <w:tcBorders>
              <w:top w:val="single" w:sz="6" w:space="0" w:color="000000"/>
              <w:left w:val="nil"/>
              <w:bottom w:val="single" w:sz="6" w:space="0" w:color="000000"/>
              <w:right w:val="nil"/>
              <w:tl2br w:val="nil"/>
              <w:tr2bl w:val="nil"/>
            </w:tcBorders>
            <w:shd w:val="clear" w:color="auto" w:fill="FFFFFF"/>
            <w:tcMar>
              <w:left w:w="115" w:type="dxa"/>
              <w:right w:w="115" w:type="dxa"/>
            </w:tcMar>
            <w:vAlign w:val="bottom"/>
          </w:tcPr>
          <w:p w14:paraId="09FA44E7" w14:textId="77777777" w:rsidR="003F0EEA" w:rsidRPr="007B0048" w:rsidRDefault="00FB7D0B">
            <w:pPr>
              <w:jc w:val="right"/>
              <w:rPr>
                <w:rFonts w:ascii="Arial" w:eastAsia="Arial" w:hAnsi="Arial" w:cs="Arial"/>
                <w:b/>
                <w:color w:val="000000"/>
                <w:sz w:val="16"/>
              </w:rPr>
            </w:pPr>
            <w:r w:rsidRPr="007B0048">
              <w:rPr>
                <w:rFonts w:ascii="Arial" w:eastAsia="Arial" w:hAnsi="Arial" w:cs="Arial"/>
                <w:b/>
                <w:color w:val="000000"/>
                <w:sz w:val="16"/>
              </w:rPr>
              <w:t xml:space="preserve"> 38,353 </w:t>
            </w:r>
          </w:p>
        </w:tc>
        <w:tc>
          <w:tcPr>
            <w:tcW w:w="990" w:type="dxa"/>
            <w:tcBorders>
              <w:top w:val="single" w:sz="6" w:space="0" w:color="000000"/>
              <w:left w:val="nil"/>
              <w:bottom w:val="single" w:sz="6" w:space="0" w:color="000000"/>
              <w:right w:val="nil"/>
              <w:tl2br w:val="nil"/>
              <w:tr2bl w:val="nil"/>
            </w:tcBorders>
            <w:shd w:val="clear" w:color="auto" w:fill="FFFFFF"/>
            <w:tcMar>
              <w:left w:w="115" w:type="dxa"/>
              <w:right w:w="115" w:type="dxa"/>
            </w:tcMar>
            <w:vAlign w:val="bottom"/>
          </w:tcPr>
          <w:p w14:paraId="613216ED" w14:textId="77777777" w:rsidR="003F0EEA" w:rsidRPr="007B0048" w:rsidRDefault="00FB7D0B">
            <w:pPr>
              <w:jc w:val="right"/>
              <w:rPr>
                <w:rFonts w:ascii="Arial" w:eastAsia="Arial" w:hAnsi="Arial" w:cs="Arial"/>
                <w:b/>
                <w:color w:val="000000"/>
                <w:sz w:val="16"/>
              </w:rPr>
            </w:pPr>
            <w:r w:rsidRPr="007B0048">
              <w:rPr>
                <w:rFonts w:ascii="Arial" w:eastAsia="Arial" w:hAnsi="Arial" w:cs="Arial"/>
                <w:b/>
                <w:color w:val="000000"/>
                <w:sz w:val="16"/>
              </w:rPr>
              <w:t xml:space="preserve"> 37,624 </w:t>
            </w:r>
          </w:p>
        </w:tc>
        <w:tc>
          <w:tcPr>
            <w:tcW w:w="990" w:type="dxa"/>
            <w:tcBorders>
              <w:top w:val="single" w:sz="6" w:space="0" w:color="000000"/>
              <w:left w:val="nil"/>
              <w:bottom w:val="single" w:sz="6" w:space="0" w:color="000000"/>
              <w:right w:val="nil"/>
              <w:tl2br w:val="nil"/>
              <w:tr2bl w:val="nil"/>
            </w:tcBorders>
            <w:shd w:val="clear" w:color="auto" w:fill="FFFFFF"/>
            <w:tcMar>
              <w:left w:w="115" w:type="dxa"/>
              <w:right w:w="115" w:type="dxa"/>
            </w:tcMar>
            <w:vAlign w:val="bottom"/>
          </w:tcPr>
          <w:p w14:paraId="59A6671A" w14:textId="77777777" w:rsidR="003F0EEA" w:rsidRPr="007B0048" w:rsidRDefault="00FB7D0B">
            <w:pPr>
              <w:jc w:val="right"/>
              <w:rPr>
                <w:rFonts w:ascii="Arial" w:eastAsia="Arial" w:hAnsi="Arial" w:cs="Arial"/>
                <w:b/>
                <w:color w:val="000000"/>
                <w:sz w:val="16"/>
              </w:rPr>
            </w:pPr>
            <w:r w:rsidRPr="007B0048">
              <w:rPr>
                <w:rFonts w:ascii="Arial" w:eastAsia="Arial" w:hAnsi="Arial" w:cs="Arial"/>
                <w:b/>
                <w:color w:val="000000"/>
                <w:sz w:val="16"/>
              </w:rPr>
              <w:t xml:space="preserve"> 37,542 </w:t>
            </w:r>
          </w:p>
        </w:tc>
      </w:tr>
      <w:tr w:rsidR="00355BFE" w14:paraId="55BA27E5" w14:textId="77777777" w:rsidTr="00355BFE">
        <w:trPr>
          <w:trHeight w:val="225"/>
        </w:trPr>
        <w:tc>
          <w:tcPr>
            <w:tcW w:w="3510" w:type="dxa"/>
            <w:gridSpan w:val="3"/>
            <w:tcBorders>
              <w:top w:val="nil"/>
              <w:left w:val="nil"/>
              <w:bottom w:val="nil"/>
              <w:right w:val="nil"/>
              <w:tl2br w:val="nil"/>
              <w:tr2bl w:val="nil"/>
            </w:tcBorders>
            <w:shd w:val="clear" w:color="auto" w:fill="FFFFFF"/>
            <w:tcMar>
              <w:left w:w="115" w:type="dxa"/>
              <w:right w:w="115" w:type="dxa"/>
            </w:tcMar>
            <w:vAlign w:val="bottom"/>
          </w:tcPr>
          <w:p w14:paraId="025E8E06" w14:textId="77777777" w:rsidR="003F0EEA" w:rsidRPr="007B0048" w:rsidRDefault="00FB7D0B">
            <w:pPr>
              <w:rPr>
                <w:rFonts w:ascii="Arial" w:eastAsia="Arial" w:hAnsi="Arial" w:cs="Arial"/>
                <w:b/>
                <w:color w:val="000000"/>
                <w:sz w:val="16"/>
              </w:rPr>
            </w:pPr>
            <w:r w:rsidRPr="007B0048">
              <w:rPr>
                <w:rFonts w:ascii="Arial" w:eastAsia="Arial" w:hAnsi="Arial" w:cs="Arial"/>
                <w:b/>
                <w:color w:val="000000"/>
                <w:sz w:val="16"/>
              </w:rPr>
              <w:t>Net cash from (used by)</w:t>
            </w:r>
          </w:p>
        </w:tc>
        <w:tc>
          <w:tcPr>
            <w:tcW w:w="990"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007B3581" w14:textId="77777777" w:rsidR="003F0EEA" w:rsidRPr="007B0048" w:rsidRDefault="003F0EEA">
            <w:pPr>
              <w:rPr>
                <w:rFonts w:ascii="Arial" w:eastAsia="Arial" w:hAnsi="Arial" w:cs="Arial"/>
                <w:b/>
                <w:color w:val="000000"/>
                <w:sz w:val="16"/>
              </w:rPr>
            </w:pPr>
          </w:p>
        </w:tc>
        <w:tc>
          <w:tcPr>
            <w:tcW w:w="990" w:type="dxa"/>
            <w:tcBorders>
              <w:top w:val="single" w:sz="6" w:space="0" w:color="000000"/>
              <w:left w:val="nil"/>
              <w:bottom w:val="nil"/>
              <w:right w:val="nil"/>
              <w:tl2br w:val="nil"/>
              <w:tr2bl w:val="nil"/>
            </w:tcBorders>
            <w:shd w:val="clear" w:color="auto" w:fill="C0C0C0"/>
            <w:tcMar>
              <w:left w:w="115" w:type="dxa"/>
              <w:right w:w="115" w:type="dxa"/>
            </w:tcMar>
            <w:vAlign w:val="bottom"/>
          </w:tcPr>
          <w:p w14:paraId="11C0479F" w14:textId="77777777" w:rsidR="003F0EEA" w:rsidRPr="007B0048" w:rsidRDefault="003F0EEA">
            <w:pPr>
              <w:rPr>
                <w:rFonts w:ascii="Arial" w:eastAsia="Arial" w:hAnsi="Arial" w:cs="Arial"/>
                <w:color w:val="000000"/>
                <w:sz w:val="16"/>
              </w:rPr>
            </w:pPr>
          </w:p>
        </w:tc>
        <w:tc>
          <w:tcPr>
            <w:tcW w:w="990"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18885A40" w14:textId="77777777" w:rsidR="003F0EEA" w:rsidRPr="007B0048" w:rsidRDefault="003F0EEA">
            <w:pPr>
              <w:rPr>
                <w:rFonts w:ascii="Arial" w:eastAsia="Arial" w:hAnsi="Arial" w:cs="Arial"/>
                <w:color w:val="000000"/>
                <w:sz w:val="16"/>
              </w:rPr>
            </w:pPr>
          </w:p>
        </w:tc>
        <w:tc>
          <w:tcPr>
            <w:tcW w:w="990"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41FB1881" w14:textId="77777777" w:rsidR="003F0EEA" w:rsidRPr="007B0048" w:rsidRDefault="003F0EEA">
            <w:pPr>
              <w:rPr>
                <w:rFonts w:ascii="Arial" w:eastAsia="Arial" w:hAnsi="Arial" w:cs="Arial"/>
                <w:color w:val="000000"/>
                <w:sz w:val="16"/>
              </w:rPr>
            </w:pPr>
          </w:p>
        </w:tc>
        <w:tc>
          <w:tcPr>
            <w:tcW w:w="990"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58E7F54B" w14:textId="77777777" w:rsidR="003F0EEA" w:rsidRPr="007B0048" w:rsidRDefault="003F0EEA">
            <w:pPr>
              <w:rPr>
                <w:rFonts w:ascii="Arial" w:eastAsia="Arial" w:hAnsi="Arial" w:cs="Arial"/>
                <w:color w:val="000000"/>
                <w:sz w:val="16"/>
              </w:rPr>
            </w:pPr>
          </w:p>
        </w:tc>
      </w:tr>
      <w:tr w:rsidR="00355BFE" w14:paraId="1B1B4BC5" w14:textId="77777777" w:rsidTr="00355BFE">
        <w:trPr>
          <w:trHeight w:val="225"/>
        </w:trPr>
        <w:tc>
          <w:tcPr>
            <w:tcW w:w="3510" w:type="dxa"/>
            <w:gridSpan w:val="3"/>
            <w:tcBorders>
              <w:top w:val="nil"/>
              <w:left w:val="nil"/>
              <w:bottom w:val="nil"/>
              <w:right w:val="nil"/>
              <w:tl2br w:val="nil"/>
              <w:tr2bl w:val="nil"/>
            </w:tcBorders>
            <w:shd w:val="clear" w:color="auto" w:fill="FFFFFF"/>
            <w:tcMar>
              <w:left w:w="115" w:type="dxa"/>
              <w:right w:w="115" w:type="dxa"/>
            </w:tcMar>
            <w:vAlign w:val="bottom"/>
          </w:tcPr>
          <w:p w14:paraId="61995A60" w14:textId="77777777" w:rsidR="003F0EEA" w:rsidRPr="007B0048" w:rsidRDefault="00FB7D0B">
            <w:pPr>
              <w:rPr>
                <w:rFonts w:ascii="Arial" w:eastAsia="Arial" w:hAnsi="Arial" w:cs="Arial"/>
                <w:color w:val="000000"/>
                <w:sz w:val="16"/>
              </w:rPr>
            </w:pPr>
            <w:r w:rsidRPr="007B0048">
              <w:rPr>
                <w:rFonts w:ascii="Arial" w:eastAsia="Arial" w:hAnsi="Arial" w:cs="Arial"/>
                <w:b/>
                <w:color w:val="000000"/>
                <w:sz w:val="16"/>
              </w:rPr>
              <w:t>operating activities</w:t>
            </w:r>
          </w:p>
        </w:tc>
        <w:tc>
          <w:tcPr>
            <w:tcW w:w="990"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532CFB14" w14:textId="77777777" w:rsidR="003F0EEA" w:rsidRPr="007B0048" w:rsidRDefault="00FB7D0B">
            <w:pPr>
              <w:jc w:val="right"/>
              <w:rPr>
                <w:rFonts w:ascii="Arial" w:eastAsia="Arial" w:hAnsi="Arial" w:cs="Arial"/>
                <w:b/>
                <w:color w:val="000000"/>
                <w:sz w:val="16"/>
              </w:rPr>
            </w:pPr>
            <w:r w:rsidRPr="007B0048">
              <w:rPr>
                <w:rFonts w:ascii="Arial" w:eastAsia="Arial" w:hAnsi="Arial" w:cs="Arial"/>
                <w:b/>
                <w:color w:val="000000"/>
                <w:sz w:val="16"/>
              </w:rPr>
              <w:t xml:space="preserve"> 9,515 </w:t>
            </w:r>
          </w:p>
        </w:tc>
        <w:tc>
          <w:tcPr>
            <w:tcW w:w="990" w:type="dxa"/>
            <w:tcBorders>
              <w:top w:val="nil"/>
              <w:left w:val="nil"/>
              <w:bottom w:val="single" w:sz="6" w:space="0" w:color="000000"/>
              <w:right w:val="nil"/>
              <w:tl2br w:val="nil"/>
              <w:tr2bl w:val="nil"/>
            </w:tcBorders>
            <w:shd w:val="clear" w:color="auto" w:fill="C0C0C0"/>
            <w:tcMar>
              <w:left w:w="115" w:type="dxa"/>
              <w:right w:w="115" w:type="dxa"/>
            </w:tcMar>
            <w:vAlign w:val="bottom"/>
          </w:tcPr>
          <w:p w14:paraId="7FA8FECF" w14:textId="77777777" w:rsidR="003F0EEA" w:rsidRPr="007B0048" w:rsidRDefault="00FB7D0B">
            <w:pPr>
              <w:jc w:val="right"/>
              <w:rPr>
                <w:rFonts w:ascii="Arial" w:eastAsia="Arial" w:hAnsi="Arial" w:cs="Arial"/>
                <w:b/>
                <w:color w:val="000000"/>
                <w:sz w:val="16"/>
              </w:rPr>
            </w:pPr>
            <w:r w:rsidRPr="007B0048">
              <w:rPr>
                <w:rFonts w:ascii="Arial" w:eastAsia="Arial" w:hAnsi="Arial" w:cs="Arial"/>
                <w:b/>
                <w:color w:val="000000"/>
                <w:sz w:val="16"/>
              </w:rPr>
              <w:t xml:space="preserve"> 10,105 </w:t>
            </w:r>
          </w:p>
        </w:tc>
        <w:tc>
          <w:tcPr>
            <w:tcW w:w="990"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11445585" w14:textId="77777777" w:rsidR="003F0EEA" w:rsidRPr="007B0048" w:rsidRDefault="00FB7D0B">
            <w:pPr>
              <w:jc w:val="right"/>
              <w:rPr>
                <w:rFonts w:ascii="Arial" w:eastAsia="Arial" w:hAnsi="Arial" w:cs="Arial"/>
                <w:b/>
                <w:color w:val="000000"/>
                <w:sz w:val="16"/>
              </w:rPr>
            </w:pPr>
            <w:r w:rsidRPr="007B0048">
              <w:rPr>
                <w:rFonts w:ascii="Arial" w:eastAsia="Arial" w:hAnsi="Arial" w:cs="Arial"/>
                <w:b/>
                <w:color w:val="000000"/>
                <w:sz w:val="16"/>
              </w:rPr>
              <w:t xml:space="preserve"> 10,474 </w:t>
            </w:r>
          </w:p>
        </w:tc>
        <w:tc>
          <w:tcPr>
            <w:tcW w:w="990"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05918EC9" w14:textId="77777777" w:rsidR="003F0EEA" w:rsidRPr="007B0048" w:rsidRDefault="00FB7D0B">
            <w:pPr>
              <w:jc w:val="right"/>
              <w:rPr>
                <w:rFonts w:ascii="Arial" w:eastAsia="Arial" w:hAnsi="Arial" w:cs="Arial"/>
                <w:b/>
                <w:color w:val="000000"/>
                <w:sz w:val="16"/>
              </w:rPr>
            </w:pPr>
            <w:r w:rsidRPr="007B0048">
              <w:rPr>
                <w:rFonts w:ascii="Arial" w:eastAsia="Arial" w:hAnsi="Arial" w:cs="Arial"/>
                <w:b/>
                <w:color w:val="000000"/>
                <w:sz w:val="16"/>
              </w:rPr>
              <w:t xml:space="preserve"> 10,714 </w:t>
            </w:r>
          </w:p>
        </w:tc>
        <w:tc>
          <w:tcPr>
            <w:tcW w:w="990"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3C1F62BA" w14:textId="77777777" w:rsidR="003F0EEA" w:rsidRPr="007B0048" w:rsidRDefault="00FB7D0B">
            <w:pPr>
              <w:jc w:val="right"/>
              <w:rPr>
                <w:rFonts w:ascii="Arial" w:eastAsia="Arial" w:hAnsi="Arial" w:cs="Arial"/>
                <w:b/>
                <w:color w:val="000000"/>
                <w:sz w:val="16"/>
              </w:rPr>
            </w:pPr>
            <w:r w:rsidRPr="007B0048">
              <w:rPr>
                <w:rFonts w:ascii="Arial" w:eastAsia="Arial" w:hAnsi="Arial" w:cs="Arial"/>
                <w:b/>
                <w:color w:val="000000"/>
                <w:sz w:val="16"/>
              </w:rPr>
              <w:t xml:space="preserve"> 11,010 </w:t>
            </w:r>
          </w:p>
        </w:tc>
      </w:tr>
      <w:tr w:rsidR="00724034" w14:paraId="48FD0CA1" w14:textId="77777777">
        <w:trPr>
          <w:trHeight w:hRule="exact" w:val="60"/>
        </w:trPr>
        <w:tc>
          <w:tcPr>
            <w:tcW w:w="180" w:type="dxa"/>
            <w:tcBorders>
              <w:top w:val="nil"/>
              <w:left w:val="nil"/>
              <w:bottom w:val="nil"/>
              <w:right w:val="nil"/>
              <w:tl2br w:val="nil"/>
              <w:tr2bl w:val="nil"/>
            </w:tcBorders>
            <w:shd w:val="clear" w:color="auto" w:fill="FFFFFF"/>
            <w:tcMar>
              <w:left w:w="115" w:type="dxa"/>
              <w:right w:w="115" w:type="dxa"/>
            </w:tcMar>
            <w:vAlign w:val="bottom"/>
          </w:tcPr>
          <w:p w14:paraId="01368203" w14:textId="77777777" w:rsidR="003F0EEA" w:rsidRPr="007B0048" w:rsidRDefault="003F0EEA">
            <w:pPr>
              <w:rPr>
                <w:rFonts w:ascii="Arial" w:eastAsia="Arial" w:hAnsi="Arial" w:cs="Arial"/>
                <w:b/>
                <w:color w:val="000000"/>
                <w:sz w:val="16"/>
              </w:rPr>
            </w:pPr>
          </w:p>
        </w:tc>
        <w:tc>
          <w:tcPr>
            <w:tcW w:w="180" w:type="dxa"/>
            <w:tcBorders>
              <w:top w:val="nil"/>
              <w:left w:val="nil"/>
              <w:bottom w:val="nil"/>
              <w:right w:val="nil"/>
              <w:tl2br w:val="nil"/>
              <w:tr2bl w:val="nil"/>
            </w:tcBorders>
            <w:shd w:val="clear" w:color="auto" w:fill="FFFFFF"/>
            <w:tcMar>
              <w:left w:w="115" w:type="dxa"/>
              <w:right w:w="115" w:type="dxa"/>
            </w:tcMar>
            <w:vAlign w:val="bottom"/>
          </w:tcPr>
          <w:p w14:paraId="23265E78" w14:textId="77777777" w:rsidR="003F0EEA" w:rsidRPr="007B0048" w:rsidRDefault="003F0EEA">
            <w:pPr>
              <w:rPr>
                <w:rFonts w:ascii="Arial" w:eastAsia="Arial" w:hAnsi="Arial" w:cs="Arial"/>
                <w:b/>
                <w:color w:val="000000"/>
                <w:sz w:val="16"/>
              </w:rPr>
            </w:pPr>
          </w:p>
        </w:tc>
        <w:tc>
          <w:tcPr>
            <w:tcW w:w="3150" w:type="dxa"/>
            <w:tcBorders>
              <w:top w:val="nil"/>
              <w:left w:val="nil"/>
              <w:bottom w:val="nil"/>
              <w:right w:val="nil"/>
              <w:tl2br w:val="nil"/>
              <w:tr2bl w:val="nil"/>
            </w:tcBorders>
            <w:shd w:val="clear" w:color="auto" w:fill="FFFFFF"/>
            <w:tcMar>
              <w:left w:w="115" w:type="dxa"/>
              <w:right w:w="115" w:type="dxa"/>
            </w:tcMar>
            <w:vAlign w:val="bottom"/>
          </w:tcPr>
          <w:p w14:paraId="1202EFF9" w14:textId="77777777" w:rsidR="003F0EEA" w:rsidRPr="007B0048" w:rsidRDefault="003F0EEA">
            <w:pPr>
              <w:rPr>
                <w:rFonts w:ascii="Arial" w:eastAsia="Arial" w:hAnsi="Arial" w:cs="Arial"/>
                <w:b/>
                <w:color w:val="000000"/>
                <w:sz w:val="16"/>
              </w:rPr>
            </w:pPr>
          </w:p>
        </w:tc>
        <w:tc>
          <w:tcPr>
            <w:tcW w:w="990"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15BCE24A" w14:textId="77777777" w:rsidR="003F0EEA" w:rsidRPr="007B0048" w:rsidRDefault="003F0EEA">
            <w:pPr>
              <w:rPr>
                <w:rFonts w:ascii="Arial" w:eastAsia="Arial" w:hAnsi="Arial" w:cs="Arial"/>
                <w:b/>
                <w:color w:val="000000"/>
                <w:sz w:val="16"/>
              </w:rPr>
            </w:pPr>
          </w:p>
        </w:tc>
        <w:tc>
          <w:tcPr>
            <w:tcW w:w="990" w:type="dxa"/>
            <w:tcBorders>
              <w:top w:val="single" w:sz="6" w:space="0" w:color="000000"/>
              <w:left w:val="nil"/>
              <w:bottom w:val="nil"/>
              <w:right w:val="nil"/>
              <w:tl2br w:val="nil"/>
              <w:tr2bl w:val="nil"/>
            </w:tcBorders>
            <w:shd w:val="clear" w:color="auto" w:fill="C0C0C0"/>
            <w:tcMar>
              <w:left w:w="115" w:type="dxa"/>
              <w:right w:w="115" w:type="dxa"/>
            </w:tcMar>
            <w:vAlign w:val="bottom"/>
          </w:tcPr>
          <w:p w14:paraId="0A41DCE8" w14:textId="77777777" w:rsidR="003F0EEA" w:rsidRPr="007B0048" w:rsidRDefault="003F0EEA">
            <w:pPr>
              <w:rPr>
                <w:rFonts w:ascii="Arial" w:eastAsia="Arial" w:hAnsi="Arial" w:cs="Arial"/>
                <w:color w:val="000000"/>
                <w:sz w:val="16"/>
              </w:rPr>
            </w:pPr>
          </w:p>
        </w:tc>
        <w:tc>
          <w:tcPr>
            <w:tcW w:w="990"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1BC46BF7" w14:textId="77777777" w:rsidR="003F0EEA" w:rsidRPr="007B0048" w:rsidRDefault="003F0EEA">
            <w:pPr>
              <w:rPr>
                <w:rFonts w:ascii="Arial" w:eastAsia="Arial" w:hAnsi="Arial" w:cs="Arial"/>
                <w:color w:val="000000"/>
                <w:sz w:val="16"/>
              </w:rPr>
            </w:pPr>
          </w:p>
        </w:tc>
        <w:tc>
          <w:tcPr>
            <w:tcW w:w="990"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596E9CFC" w14:textId="77777777" w:rsidR="003F0EEA" w:rsidRPr="007B0048" w:rsidRDefault="003F0EEA">
            <w:pPr>
              <w:rPr>
                <w:rFonts w:ascii="Arial" w:eastAsia="Arial" w:hAnsi="Arial" w:cs="Arial"/>
                <w:color w:val="000000"/>
                <w:sz w:val="16"/>
              </w:rPr>
            </w:pPr>
          </w:p>
        </w:tc>
        <w:tc>
          <w:tcPr>
            <w:tcW w:w="990"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0389653A" w14:textId="77777777" w:rsidR="003F0EEA" w:rsidRPr="007B0048" w:rsidRDefault="003F0EEA">
            <w:pPr>
              <w:rPr>
                <w:rFonts w:ascii="Arial" w:eastAsia="Arial" w:hAnsi="Arial" w:cs="Arial"/>
                <w:color w:val="000000"/>
                <w:sz w:val="16"/>
              </w:rPr>
            </w:pPr>
          </w:p>
        </w:tc>
      </w:tr>
      <w:tr w:rsidR="00355BFE" w14:paraId="3E0FC40B" w14:textId="77777777" w:rsidTr="00355BFE">
        <w:trPr>
          <w:trHeight w:val="225"/>
        </w:trPr>
        <w:tc>
          <w:tcPr>
            <w:tcW w:w="3510" w:type="dxa"/>
            <w:gridSpan w:val="3"/>
            <w:tcBorders>
              <w:top w:val="nil"/>
              <w:left w:val="nil"/>
              <w:bottom w:val="nil"/>
              <w:right w:val="nil"/>
              <w:tl2br w:val="nil"/>
              <w:tr2bl w:val="nil"/>
            </w:tcBorders>
            <w:shd w:val="clear" w:color="auto" w:fill="FFFFFF"/>
            <w:tcMar>
              <w:left w:w="115" w:type="dxa"/>
              <w:right w:w="115" w:type="dxa"/>
            </w:tcMar>
            <w:vAlign w:val="bottom"/>
          </w:tcPr>
          <w:p w14:paraId="2EDA5CEC" w14:textId="77777777" w:rsidR="003F0EEA" w:rsidRPr="007B0048" w:rsidRDefault="00FB7D0B">
            <w:pPr>
              <w:rPr>
                <w:rFonts w:ascii="Arial" w:eastAsia="Arial" w:hAnsi="Arial" w:cs="Arial"/>
                <w:color w:val="000000"/>
                <w:sz w:val="16"/>
              </w:rPr>
            </w:pPr>
            <w:r w:rsidRPr="007B0048">
              <w:rPr>
                <w:rFonts w:ascii="Arial" w:eastAsia="Arial" w:hAnsi="Arial" w:cs="Arial"/>
                <w:b/>
                <w:color w:val="000000"/>
                <w:sz w:val="16"/>
              </w:rPr>
              <w:t>INVESTING ACTIVITIES</w:t>
            </w:r>
          </w:p>
        </w:tc>
        <w:tc>
          <w:tcPr>
            <w:tcW w:w="990" w:type="dxa"/>
            <w:tcBorders>
              <w:top w:val="nil"/>
              <w:left w:val="nil"/>
              <w:bottom w:val="nil"/>
              <w:right w:val="nil"/>
              <w:tl2br w:val="nil"/>
              <w:tr2bl w:val="nil"/>
            </w:tcBorders>
            <w:shd w:val="clear" w:color="auto" w:fill="FFFFFF"/>
            <w:tcMar>
              <w:left w:w="115" w:type="dxa"/>
              <w:right w:w="115" w:type="dxa"/>
            </w:tcMar>
            <w:vAlign w:val="bottom"/>
          </w:tcPr>
          <w:p w14:paraId="0A2B9ACF" w14:textId="77777777" w:rsidR="003F0EEA" w:rsidRPr="007B0048" w:rsidRDefault="003F0EEA">
            <w:pPr>
              <w:rPr>
                <w:rFonts w:ascii="Arial" w:eastAsia="Arial" w:hAnsi="Arial" w:cs="Arial"/>
                <w:b/>
                <w:color w:val="000000"/>
                <w:sz w:val="16"/>
              </w:rPr>
            </w:pPr>
          </w:p>
        </w:tc>
        <w:tc>
          <w:tcPr>
            <w:tcW w:w="990" w:type="dxa"/>
            <w:tcBorders>
              <w:top w:val="nil"/>
              <w:left w:val="nil"/>
              <w:bottom w:val="nil"/>
              <w:right w:val="nil"/>
              <w:tl2br w:val="nil"/>
              <w:tr2bl w:val="nil"/>
            </w:tcBorders>
            <w:shd w:val="clear" w:color="auto" w:fill="C0C0C0"/>
            <w:tcMar>
              <w:left w:w="115" w:type="dxa"/>
              <w:right w:w="115" w:type="dxa"/>
            </w:tcMar>
            <w:vAlign w:val="bottom"/>
          </w:tcPr>
          <w:p w14:paraId="45DEBF35" w14:textId="77777777" w:rsidR="003F0EEA" w:rsidRPr="007B0048" w:rsidRDefault="003F0EEA">
            <w:pPr>
              <w:rPr>
                <w:rFonts w:ascii="Arial" w:eastAsia="Arial" w:hAnsi="Arial" w:cs="Arial"/>
                <w:color w:val="000000"/>
                <w:sz w:val="16"/>
              </w:rPr>
            </w:pPr>
          </w:p>
        </w:tc>
        <w:tc>
          <w:tcPr>
            <w:tcW w:w="990" w:type="dxa"/>
            <w:tcBorders>
              <w:top w:val="nil"/>
              <w:left w:val="nil"/>
              <w:bottom w:val="nil"/>
              <w:right w:val="nil"/>
              <w:tl2br w:val="nil"/>
              <w:tr2bl w:val="nil"/>
            </w:tcBorders>
            <w:shd w:val="clear" w:color="auto" w:fill="FFFFFF"/>
            <w:tcMar>
              <w:left w:w="115" w:type="dxa"/>
              <w:right w:w="115" w:type="dxa"/>
            </w:tcMar>
            <w:vAlign w:val="bottom"/>
          </w:tcPr>
          <w:p w14:paraId="0D5A1D16" w14:textId="77777777" w:rsidR="003F0EEA" w:rsidRPr="007B0048" w:rsidRDefault="003F0EEA">
            <w:pPr>
              <w:rPr>
                <w:rFonts w:ascii="Arial" w:eastAsia="Arial" w:hAnsi="Arial" w:cs="Arial"/>
                <w:color w:val="000000"/>
                <w:sz w:val="16"/>
              </w:rPr>
            </w:pPr>
          </w:p>
        </w:tc>
        <w:tc>
          <w:tcPr>
            <w:tcW w:w="990" w:type="dxa"/>
            <w:tcBorders>
              <w:top w:val="nil"/>
              <w:left w:val="nil"/>
              <w:bottom w:val="nil"/>
              <w:right w:val="nil"/>
              <w:tl2br w:val="nil"/>
              <w:tr2bl w:val="nil"/>
            </w:tcBorders>
            <w:shd w:val="clear" w:color="auto" w:fill="FFFFFF"/>
            <w:tcMar>
              <w:left w:w="115" w:type="dxa"/>
              <w:right w:w="115" w:type="dxa"/>
            </w:tcMar>
            <w:vAlign w:val="bottom"/>
          </w:tcPr>
          <w:p w14:paraId="551A9DBF" w14:textId="77777777" w:rsidR="003F0EEA" w:rsidRPr="007B0048" w:rsidRDefault="003F0EEA">
            <w:pPr>
              <w:rPr>
                <w:rFonts w:ascii="Arial" w:eastAsia="Arial" w:hAnsi="Arial" w:cs="Arial"/>
                <w:color w:val="000000"/>
                <w:sz w:val="16"/>
              </w:rPr>
            </w:pPr>
          </w:p>
        </w:tc>
        <w:tc>
          <w:tcPr>
            <w:tcW w:w="990" w:type="dxa"/>
            <w:tcBorders>
              <w:top w:val="nil"/>
              <w:left w:val="nil"/>
              <w:bottom w:val="nil"/>
              <w:right w:val="nil"/>
              <w:tl2br w:val="nil"/>
              <w:tr2bl w:val="nil"/>
            </w:tcBorders>
            <w:shd w:val="clear" w:color="auto" w:fill="FFFFFF"/>
            <w:tcMar>
              <w:left w:w="115" w:type="dxa"/>
              <w:right w:w="115" w:type="dxa"/>
            </w:tcMar>
            <w:vAlign w:val="bottom"/>
          </w:tcPr>
          <w:p w14:paraId="79229089" w14:textId="77777777" w:rsidR="003F0EEA" w:rsidRPr="007B0048" w:rsidRDefault="003F0EEA">
            <w:pPr>
              <w:rPr>
                <w:rFonts w:ascii="Arial" w:eastAsia="Arial" w:hAnsi="Arial" w:cs="Arial"/>
                <w:color w:val="000000"/>
                <w:sz w:val="16"/>
              </w:rPr>
            </w:pPr>
          </w:p>
        </w:tc>
      </w:tr>
      <w:tr w:rsidR="00355BFE" w14:paraId="2F2DCE71" w14:textId="77777777" w:rsidTr="00355BFE">
        <w:trPr>
          <w:trHeight w:val="225"/>
        </w:trPr>
        <w:tc>
          <w:tcPr>
            <w:tcW w:w="3510" w:type="dxa"/>
            <w:gridSpan w:val="3"/>
            <w:tcBorders>
              <w:top w:val="nil"/>
              <w:left w:val="nil"/>
              <w:bottom w:val="nil"/>
              <w:right w:val="nil"/>
              <w:tl2br w:val="nil"/>
              <w:tr2bl w:val="nil"/>
            </w:tcBorders>
            <w:shd w:val="clear" w:color="auto" w:fill="FFFFFF"/>
            <w:tcMar>
              <w:left w:w="115" w:type="dxa"/>
              <w:right w:w="115" w:type="dxa"/>
            </w:tcMar>
            <w:vAlign w:val="bottom"/>
          </w:tcPr>
          <w:p w14:paraId="7DE09F9A" w14:textId="77777777" w:rsidR="003F0EEA" w:rsidRPr="007B0048" w:rsidRDefault="00FB7D0B">
            <w:pPr>
              <w:rPr>
                <w:rFonts w:ascii="Arial" w:eastAsia="Arial" w:hAnsi="Arial" w:cs="Arial"/>
                <w:color w:val="000000"/>
                <w:sz w:val="16"/>
              </w:rPr>
            </w:pPr>
            <w:r w:rsidRPr="007B0048">
              <w:rPr>
                <w:rFonts w:ascii="Arial" w:eastAsia="Arial" w:hAnsi="Arial" w:cs="Arial"/>
                <w:b/>
                <w:color w:val="000000"/>
                <w:sz w:val="16"/>
              </w:rPr>
              <w:t>Cash received</w:t>
            </w:r>
          </w:p>
        </w:tc>
        <w:tc>
          <w:tcPr>
            <w:tcW w:w="990" w:type="dxa"/>
            <w:tcBorders>
              <w:top w:val="nil"/>
              <w:left w:val="nil"/>
              <w:bottom w:val="nil"/>
              <w:right w:val="nil"/>
              <w:tl2br w:val="nil"/>
              <w:tr2bl w:val="nil"/>
            </w:tcBorders>
            <w:shd w:val="clear" w:color="auto" w:fill="FFFFFF"/>
            <w:tcMar>
              <w:left w:w="115" w:type="dxa"/>
              <w:right w:w="115" w:type="dxa"/>
            </w:tcMar>
            <w:vAlign w:val="bottom"/>
          </w:tcPr>
          <w:p w14:paraId="2D57CD55" w14:textId="77777777" w:rsidR="003F0EEA" w:rsidRPr="007B0048" w:rsidRDefault="003F0EEA">
            <w:pPr>
              <w:rPr>
                <w:rFonts w:ascii="Arial" w:eastAsia="Arial" w:hAnsi="Arial" w:cs="Arial"/>
                <w:b/>
                <w:color w:val="000000"/>
                <w:sz w:val="16"/>
              </w:rPr>
            </w:pPr>
          </w:p>
        </w:tc>
        <w:tc>
          <w:tcPr>
            <w:tcW w:w="990" w:type="dxa"/>
            <w:tcBorders>
              <w:top w:val="nil"/>
              <w:left w:val="nil"/>
              <w:bottom w:val="nil"/>
              <w:right w:val="nil"/>
              <w:tl2br w:val="nil"/>
              <w:tr2bl w:val="nil"/>
            </w:tcBorders>
            <w:shd w:val="clear" w:color="auto" w:fill="C0C0C0"/>
            <w:tcMar>
              <w:left w:w="115" w:type="dxa"/>
              <w:right w:w="115" w:type="dxa"/>
            </w:tcMar>
            <w:vAlign w:val="bottom"/>
          </w:tcPr>
          <w:p w14:paraId="1C6D0F6C" w14:textId="77777777" w:rsidR="003F0EEA" w:rsidRPr="007B0048" w:rsidRDefault="003F0EEA">
            <w:pPr>
              <w:rPr>
                <w:rFonts w:ascii="Arial" w:eastAsia="Arial" w:hAnsi="Arial" w:cs="Arial"/>
                <w:color w:val="000000"/>
                <w:sz w:val="16"/>
              </w:rPr>
            </w:pPr>
          </w:p>
        </w:tc>
        <w:tc>
          <w:tcPr>
            <w:tcW w:w="990" w:type="dxa"/>
            <w:tcBorders>
              <w:top w:val="nil"/>
              <w:left w:val="nil"/>
              <w:bottom w:val="nil"/>
              <w:right w:val="nil"/>
              <w:tl2br w:val="nil"/>
              <w:tr2bl w:val="nil"/>
            </w:tcBorders>
            <w:shd w:val="clear" w:color="auto" w:fill="FFFFFF"/>
            <w:tcMar>
              <w:left w:w="115" w:type="dxa"/>
              <w:right w:w="115" w:type="dxa"/>
            </w:tcMar>
            <w:vAlign w:val="bottom"/>
          </w:tcPr>
          <w:p w14:paraId="1EF55809" w14:textId="77777777" w:rsidR="003F0EEA" w:rsidRPr="007B0048" w:rsidRDefault="003F0EEA">
            <w:pPr>
              <w:rPr>
                <w:rFonts w:ascii="Arial" w:eastAsia="Arial" w:hAnsi="Arial" w:cs="Arial"/>
                <w:color w:val="000000"/>
                <w:sz w:val="16"/>
              </w:rPr>
            </w:pPr>
          </w:p>
        </w:tc>
        <w:tc>
          <w:tcPr>
            <w:tcW w:w="990" w:type="dxa"/>
            <w:tcBorders>
              <w:top w:val="nil"/>
              <w:left w:val="nil"/>
              <w:bottom w:val="nil"/>
              <w:right w:val="nil"/>
              <w:tl2br w:val="nil"/>
              <w:tr2bl w:val="nil"/>
            </w:tcBorders>
            <w:shd w:val="clear" w:color="auto" w:fill="FFFFFF"/>
            <w:tcMar>
              <w:left w:w="115" w:type="dxa"/>
              <w:right w:w="115" w:type="dxa"/>
            </w:tcMar>
            <w:vAlign w:val="bottom"/>
          </w:tcPr>
          <w:p w14:paraId="453F14C8" w14:textId="77777777" w:rsidR="003F0EEA" w:rsidRPr="007B0048" w:rsidRDefault="003F0EEA">
            <w:pPr>
              <w:rPr>
                <w:rFonts w:ascii="Arial" w:eastAsia="Arial" w:hAnsi="Arial" w:cs="Arial"/>
                <w:color w:val="000000"/>
                <w:sz w:val="16"/>
              </w:rPr>
            </w:pPr>
          </w:p>
        </w:tc>
        <w:tc>
          <w:tcPr>
            <w:tcW w:w="990" w:type="dxa"/>
            <w:tcBorders>
              <w:top w:val="nil"/>
              <w:left w:val="nil"/>
              <w:bottom w:val="nil"/>
              <w:right w:val="nil"/>
              <w:tl2br w:val="nil"/>
              <w:tr2bl w:val="nil"/>
            </w:tcBorders>
            <w:shd w:val="clear" w:color="auto" w:fill="FFFFFF"/>
            <w:tcMar>
              <w:left w:w="115" w:type="dxa"/>
              <w:right w:w="115" w:type="dxa"/>
            </w:tcMar>
            <w:vAlign w:val="bottom"/>
          </w:tcPr>
          <w:p w14:paraId="200D0963" w14:textId="77777777" w:rsidR="003F0EEA" w:rsidRPr="007B0048" w:rsidRDefault="003F0EEA">
            <w:pPr>
              <w:rPr>
                <w:rFonts w:ascii="Arial" w:eastAsia="Arial" w:hAnsi="Arial" w:cs="Arial"/>
                <w:color w:val="000000"/>
                <w:sz w:val="16"/>
              </w:rPr>
            </w:pPr>
          </w:p>
        </w:tc>
      </w:tr>
      <w:tr w:rsidR="00355BFE" w14:paraId="379E41B2" w14:textId="77777777" w:rsidTr="00355BFE">
        <w:trPr>
          <w:trHeight w:val="225"/>
        </w:trPr>
        <w:tc>
          <w:tcPr>
            <w:tcW w:w="180" w:type="dxa"/>
            <w:tcBorders>
              <w:top w:val="nil"/>
              <w:left w:val="nil"/>
              <w:bottom w:val="nil"/>
              <w:right w:val="nil"/>
              <w:tl2br w:val="nil"/>
              <w:tr2bl w:val="nil"/>
            </w:tcBorders>
            <w:shd w:val="clear" w:color="auto" w:fill="FFFFFF"/>
            <w:tcMar>
              <w:left w:w="115" w:type="dxa"/>
              <w:right w:w="115" w:type="dxa"/>
            </w:tcMar>
            <w:vAlign w:val="bottom"/>
          </w:tcPr>
          <w:p w14:paraId="0B5596BA" w14:textId="77777777" w:rsidR="003F0EEA" w:rsidRPr="007B0048" w:rsidRDefault="003F0EEA">
            <w:pPr>
              <w:rPr>
                <w:rFonts w:ascii="Arial" w:eastAsia="Arial" w:hAnsi="Arial" w:cs="Arial"/>
                <w:color w:val="000000"/>
                <w:sz w:val="16"/>
              </w:rPr>
            </w:pPr>
          </w:p>
        </w:tc>
        <w:tc>
          <w:tcPr>
            <w:tcW w:w="3330" w:type="dxa"/>
            <w:gridSpan w:val="2"/>
            <w:tcBorders>
              <w:top w:val="nil"/>
              <w:left w:val="nil"/>
              <w:bottom w:val="nil"/>
              <w:right w:val="nil"/>
              <w:tl2br w:val="nil"/>
              <w:tr2bl w:val="nil"/>
            </w:tcBorders>
            <w:shd w:val="clear" w:color="auto" w:fill="FFFFFF"/>
            <w:tcMar>
              <w:left w:w="115" w:type="dxa"/>
              <w:right w:w="115" w:type="dxa"/>
            </w:tcMar>
            <w:vAlign w:val="bottom"/>
          </w:tcPr>
          <w:p w14:paraId="6D841098" w14:textId="77777777" w:rsidR="003F0EEA" w:rsidRPr="007B0048" w:rsidRDefault="00FB7D0B">
            <w:pPr>
              <w:rPr>
                <w:rFonts w:ascii="Arial" w:eastAsia="Arial" w:hAnsi="Arial" w:cs="Arial"/>
                <w:color w:val="000000"/>
                <w:sz w:val="16"/>
              </w:rPr>
            </w:pPr>
            <w:r w:rsidRPr="007B0048">
              <w:rPr>
                <w:rFonts w:ascii="Arial" w:eastAsia="Arial" w:hAnsi="Arial" w:cs="Arial"/>
                <w:color w:val="000000"/>
                <w:sz w:val="16"/>
              </w:rPr>
              <w:t>Investments</w:t>
            </w:r>
          </w:p>
        </w:tc>
        <w:tc>
          <w:tcPr>
            <w:tcW w:w="990"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7E7D8BCE" w14:textId="77777777" w:rsidR="003F0EEA" w:rsidRPr="007B0048" w:rsidRDefault="00FB7D0B">
            <w:pPr>
              <w:jc w:val="right"/>
              <w:rPr>
                <w:rFonts w:ascii="Arial" w:eastAsia="Arial" w:hAnsi="Arial" w:cs="Arial"/>
                <w:color w:val="000000"/>
                <w:sz w:val="16"/>
              </w:rPr>
            </w:pPr>
            <w:r w:rsidRPr="007B0048">
              <w:rPr>
                <w:rFonts w:ascii="Arial" w:eastAsia="Arial" w:hAnsi="Arial" w:cs="Arial"/>
                <w:color w:val="000000"/>
                <w:sz w:val="16"/>
              </w:rPr>
              <w:t xml:space="preserve"> 81,500 </w:t>
            </w:r>
          </w:p>
        </w:tc>
        <w:tc>
          <w:tcPr>
            <w:tcW w:w="990" w:type="dxa"/>
            <w:tcBorders>
              <w:top w:val="nil"/>
              <w:left w:val="nil"/>
              <w:bottom w:val="single" w:sz="6" w:space="0" w:color="000000"/>
              <w:right w:val="nil"/>
              <w:tl2br w:val="nil"/>
              <w:tr2bl w:val="nil"/>
            </w:tcBorders>
            <w:shd w:val="clear" w:color="auto" w:fill="C0C0C0"/>
            <w:tcMar>
              <w:left w:w="115" w:type="dxa"/>
              <w:right w:w="115" w:type="dxa"/>
            </w:tcMar>
            <w:vAlign w:val="bottom"/>
          </w:tcPr>
          <w:p w14:paraId="31694FF4" w14:textId="77777777" w:rsidR="003F0EEA" w:rsidRPr="007B0048" w:rsidRDefault="00FB7D0B">
            <w:pPr>
              <w:jc w:val="right"/>
              <w:rPr>
                <w:rFonts w:ascii="Arial" w:eastAsia="Arial" w:hAnsi="Arial" w:cs="Arial"/>
                <w:color w:val="000000"/>
                <w:sz w:val="16"/>
              </w:rPr>
            </w:pPr>
            <w:r w:rsidRPr="007B0048">
              <w:rPr>
                <w:rFonts w:ascii="Arial" w:eastAsia="Arial" w:hAnsi="Arial" w:cs="Arial"/>
                <w:color w:val="000000"/>
                <w:sz w:val="16"/>
              </w:rPr>
              <w:t xml:space="preserve"> 76,500 </w:t>
            </w:r>
          </w:p>
        </w:tc>
        <w:tc>
          <w:tcPr>
            <w:tcW w:w="990"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302D0FB2" w14:textId="77777777" w:rsidR="003F0EEA" w:rsidRPr="007B0048" w:rsidRDefault="00FB7D0B">
            <w:pPr>
              <w:jc w:val="right"/>
              <w:rPr>
                <w:rFonts w:ascii="Arial" w:eastAsia="Arial" w:hAnsi="Arial" w:cs="Arial"/>
                <w:color w:val="000000"/>
                <w:sz w:val="16"/>
              </w:rPr>
            </w:pPr>
            <w:r w:rsidRPr="007B0048">
              <w:rPr>
                <w:rFonts w:ascii="Arial" w:eastAsia="Arial" w:hAnsi="Arial" w:cs="Arial"/>
                <w:color w:val="000000"/>
                <w:sz w:val="16"/>
              </w:rPr>
              <w:t xml:space="preserve"> 66,000 </w:t>
            </w:r>
          </w:p>
        </w:tc>
        <w:tc>
          <w:tcPr>
            <w:tcW w:w="990"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4BBFE127" w14:textId="77777777" w:rsidR="003F0EEA" w:rsidRPr="007B0048" w:rsidRDefault="00FB7D0B">
            <w:pPr>
              <w:jc w:val="right"/>
              <w:rPr>
                <w:rFonts w:ascii="Arial" w:eastAsia="Arial" w:hAnsi="Arial" w:cs="Arial"/>
                <w:color w:val="000000"/>
                <w:sz w:val="16"/>
              </w:rPr>
            </w:pPr>
            <w:r w:rsidRPr="007B0048">
              <w:rPr>
                <w:rFonts w:ascii="Arial" w:eastAsia="Arial" w:hAnsi="Arial" w:cs="Arial"/>
                <w:color w:val="000000"/>
                <w:sz w:val="16"/>
              </w:rPr>
              <w:t xml:space="preserve"> 66,000 </w:t>
            </w:r>
          </w:p>
        </w:tc>
        <w:tc>
          <w:tcPr>
            <w:tcW w:w="990"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1B2D6592" w14:textId="77777777" w:rsidR="003F0EEA" w:rsidRPr="007B0048" w:rsidRDefault="00FB7D0B">
            <w:pPr>
              <w:jc w:val="right"/>
              <w:rPr>
                <w:rFonts w:ascii="Arial" w:eastAsia="Arial" w:hAnsi="Arial" w:cs="Arial"/>
                <w:color w:val="000000"/>
                <w:sz w:val="16"/>
              </w:rPr>
            </w:pPr>
            <w:r w:rsidRPr="007B0048">
              <w:rPr>
                <w:rFonts w:ascii="Arial" w:eastAsia="Arial" w:hAnsi="Arial" w:cs="Arial"/>
                <w:color w:val="000000"/>
                <w:sz w:val="16"/>
              </w:rPr>
              <w:t xml:space="preserve"> 69,000 </w:t>
            </w:r>
          </w:p>
        </w:tc>
      </w:tr>
      <w:tr w:rsidR="00355BFE" w14:paraId="33402A4F" w14:textId="77777777" w:rsidTr="00355BFE">
        <w:trPr>
          <w:trHeight w:val="225"/>
        </w:trPr>
        <w:tc>
          <w:tcPr>
            <w:tcW w:w="3510" w:type="dxa"/>
            <w:gridSpan w:val="3"/>
            <w:tcBorders>
              <w:top w:val="nil"/>
              <w:left w:val="nil"/>
              <w:bottom w:val="nil"/>
              <w:right w:val="nil"/>
              <w:tl2br w:val="nil"/>
              <w:tr2bl w:val="nil"/>
            </w:tcBorders>
            <w:shd w:val="clear" w:color="auto" w:fill="FFFFFF"/>
            <w:tcMar>
              <w:left w:w="115" w:type="dxa"/>
              <w:right w:w="115" w:type="dxa"/>
            </w:tcMar>
            <w:vAlign w:val="bottom"/>
          </w:tcPr>
          <w:p w14:paraId="4D4B1138" w14:textId="77777777" w:rsidR="003F0EEA" w:rsidRPr="007B0048" w:rsidRDefault="00FB7D0B">
            <w:pPr>
              <w:rPr>
                <w:rFonts w:ascii="Arial" w:eastAsia="Arial" w:hAnsi="Arial" w:cs="Arial"/>
                <w:color w:val="000000"/>
                <w:sz w:val="16"/>
              </w:rPr>
            </w:pPr>
            <w:r w:rsidRPr="007B0048">
              <w:rPr>
                <w:rFonts w:ascii="Arial" w:eastAsia="Arial" w:hAnsi="Arial" w:cs="Arial"/>
                <w:b/>
                <w:i/>
                <w:color w:val="000000"/>
                <w:sz w:val="16"/>
              </w:rPr>
              <w:t>Total cash received</w:t>
            </w:r>
          </w:p>
        </w:tc>
        <w:tc>
          <w:tcPr>
            <w:tcW w:w="990" w:type="dxa"/>
            <w:tcBorders>
              <w:top w:val="single" w:sz="6" w:space="0" w:color="000000"/>
              <w:left w:val="nil"/>
              <w:bottom w:val="single" w:sz="6" w:space="0" w:color="000000"/>
              <w:right w:val="nil"/>
              <w:tl2br w:val="nil"/>
              <w:tr2bl w:val="nil"/>
            </w:tcBorders>
            <w:shd w:val="clear" w:color="auto" w:fill="FFFFFF"/>
            <w:tcMar>
              <w:left w:w="115" w:type="dxa"/>
              <w:right w:w="115" w:type="dxa"/>
            </w:tcMar>
            <w:vAlign w:val="bottom"/>
          </w:tcPr>
          <w:p w14:paraId="53E07D17" w14:textId="77777777" w:rsidR="003F0EEA" w:rsidRPr="007B0048" w:rsidRDefault="00FB7D0B">
            <w:pPr>
              <w:jc w:val="right"/>
              <w:rPr>
                <w:rFonts w:ascii="Arial" w:eastAsia="Arial" w:hAnsi="Arial" w:cs="Arial"/>
                <w:b/>
                <w:i/>
                <w:color w:val="000000"/>
                <w:sz w:val="16"/>
              </w:rPr>
            </w:pPr>
            <w:r w:rsidRPr="007B0048">
              <w:rPr>
                <w:rFonts w:ascii="Arial" w:eastAsia="Arial" w:hAnsi="Arial" w:cs="Arial"/>
                <w:b/>
                <w:color w:val="000000"/>
                <w:sz w:val="16"/>
              </w:rPr>
              <w:t xml:space="preserve"> 81,500 </w:t>
            </w:r>
          </w:p>
        </w:tc>
        <w:tc>
          <w:tcPr>
            <w:tcW w:w="990" w:type="dxa"/>
            <w:tcBorders>
              <w:top w:val="single" w:sz="6" w:space="0" w:color="000000"/>
              <w:left w:val="nil"/>
              <w:bottom w:val="single" w:sz="6" w:space="0" w:color="000000"/>
              <w:right w:val="nil"/>
              <w:tl2br w:val="nil"/>
              <w:tr2bl w:val="nil"/>
            </w:tcBorders>
            <w:shd w:val="clear" w:color="auto" w:fill="C0C0C0"/>
            <w:tcMar>
              <w:left w:w="115" w:type="dxa"/>
              <w:right w:w="115" w:type="dxa"/>
            </w:tcMar>
            <w:vAlign w:val="bottom"/>
          </w:tcPr>
          <w:p w14:paraId="662BBCD6" w14:textId="77777777" w:rsidR="003F0EEA" w:rsidRPr="007B0048" w:rsidRDefault="00FB7D0B">
            <w:pPr>
              <w:jc w:val="right"/>
              <w:rPr>
                <w:rFonts w:ascii="Arial" w:eastAsia="Arial" w:hAnsi="Arial" w:cs="Arial"/>
                <w:b/>
                <w:color w:val="000000"/>
                <w:sz w:val="16"/>
              </w:rPr>
            </w:pPr>
            <w:r w:rsidRPr="007B0048">
              <w:rPr>
                <w:rFonts w:ascii="Arial" w:eastAsia="Arial" w:hAnsi="Arial" w:cs="Arial"/>
                <w:b/>
                <w:color w:val="000000"/>
                <w:sz w:val="16"/>
              </w:rPr>
              <w:t xml:space="preserve"> 76,500 </w:t>
            </w:r>
          </w:p>
        </w:tc>
        <w:tc>
          <w:tcPr>
            <w:tcW w:w="990" w:type="dxa"/>
            <w:tcBorders>
              <w:top w:val="single" w:sz="6" w:space="0" w:color="000000"/>
              <w:left w:val="nil"/>
              <w:bottom w:val="single" w:sz="6" w:space="0" w:color="000000"/>
              <w:right w:val="nil"/>
              <w:tl2br w:val="nil"/>
              <w:tr2bl w:val="nil"/>
            </w:tcBorders>
            <w:shd w:val="clear" w:color="auto" w:fill="FFFFFF"/>
            <w:tcMar>
              <w:left w:w="115" w:type="dxa"/>
              <w:right w:w="115" w:type="dxa"/>
            </w:tcMar>
            <w:vAlign w:val="bottom"/>
          </w:tcPr>
          <w:p w14:paraId="36F843A5" w14:textId="77777777" w:rsidR="003F0EEA" w:rsidRPr="007B0048" w:rsidRDefault="00FB7D0B">
            <w:pPr>
              <w:jc w:val="right"/>
              <w:rPr>
                <w:rFonts w:ascii="Arial" w:eastAsia="Arial" w:hAnsi="Arial" w:cs="Arial"/>
                <w:b/>
                <w:color w:val="000000"/>
                <w:sz w:val="16"/>
              </w:rPr>
            </w:pPr>
            <w:r w:rsidRPr="007B0048">
              <w:rPr>
                <w:rFonts w:ascii="Arial" w:eastAsia="Arial" w:hAnsi="Arial" w:cs="Arial"/>
                <w:b/>
                <w:color w:val="000000"/>
                <w:sz w:val="16"/>
              </w:rPr>
              <w:t xml:space="preserve"> 66,000 </w:t>
            </w:r>
          </w:p>
        </w:tc>
        <w:tc>
          <w:tcPr>
            <w:tcW w:w="990" w:type="dxa"/>
            <w:tcBorders>
              <w:top w:val="single" w:sz="6" w:space="0" w:color="000000"/>
              <w:left w:val="nil"/>
              <w:bottom w:val="single" w:sz="6" w:space="0" w:color="000000"/>
              <w:right w:val="nil"/>
              <w:tl2br w:val="nil"/>
              <w:tr2bl w:val="nil"/>
            </w:tcBorders>
            <w:shd w:val="clear" w:color="auto" w:fill="FFFFFF"/>
            <w:tcMar>
              <w:left w:w="115" w:type="dxa"/>
              <w:right w:w="115" w:type="dxa"/>
            </w:tcMar>
            <w:vAlign w:val="bottom"/>
          </w:tcPr>
          <w:p w14:paraId="6D47EBFA" w14:textId="77777777" w:rsidR="003F0EEA" w:rsidRPr="007B0048" w:rsidRDefault="00FB7D0B">
            <w:pPr>
              <w:jc w:val="right"/>
              <w:rPr>
                <w:rFonts w:ascii="Arial" w:eastAsia="Arial" w:hAnsi="Arial" w:cs="Arial"/>
                <w:b/>
                <w:color w:val="000000"/>
                <w:sz w:val="16"/>
              </w:rPr>
            </w:pPr>
            <w:r w:rsidRPr="007B0048">
              <w:rPr>
                <w:rFonts w:ascii="Arial" w:eastAsia="Arial" w:hAnsi="Arial" w:cs="Arial"/>
                <w:b/>
                <w:color w:val="000000"/>
                <w:sz w:val="16"/>
              </w:rPr>
              <w:t xml:space="preserve"> 66,000 </w:t>
            </w:r>
          </w:p>
        </w:tc>
        <w:tc>
          <w:tcPr>
            <w:tcW w:w="990" w:type="dxa"/>
            <w:tcBorders>
              <w:top w:val="single" w:sz="6" w:space="0" w:color="000000"/>
              <w:left w:val="nil"/>
              <w:bottom w:val="single" w:sz="6" w:space="0" w:color="000000"/>
              <w:right w:val="nil"/>
              <w:tl2br w:val="nil"/>
              <w:tr2bl w:val="nil"/>
            </w:tcBorders>
            <w:shd w:val="clear" w:color="auto" w:fill="FFFFFF"/>
            <w:tcMar>
              <w:left w:w="115" w:type="dxa"/>
              <w:right w:w="115" w:type="dxa"/>
            </w:tcMar>
            <w:vAlign w:val="bottom"/>
          </w:tcPr>
          <w:p w14:paraId="7B34CA41" w14:textId="77777777" w:rsidR="003F0EEA" w:rsidRPr="007B0048" w:rsidRDefault="00FB7D0B">
            <w:pPr>
              <w:jc w:val="right"/>
              <w:rPr>
                <w:rFonts w:ascii="Arial" w:eastAsia="Arial" w:hAnsi="Arial" w:cs="Arial"/>
                <w:b/>
                <w:color w:val="000000"/>
                <w:sz w:val="16"/>
              </w:rPr>
            </w:pPr>
            <w:r w:rsidRPr="007B0048">
              <w:rPr>
                <w:rFonts w:ascii="Arial" w:eastAsia="Arial" w:hAnsi="Arial" w:cs="Arial"/>
                <w:b/>
                <w:color w:val="000000"/>
                <w:sz w:val="16"/>
              </w:rPr>
              <w:t xml:space="preserve"> 69,000 </w:t>
            </w:r>
          </w:p>
        </w:tc>
      </w:tr>
      <w:tr w:rsidR="00724034" w14:paraId="3FA08DF4" w14:textId="77777777">
        <w:trPr>
          <w:trHeight w:hRule="exact" w:val="60"/>
        </w:trPr>
        <w:tc>
          <w:tcPr>
            <w:tcW w:w="180" w:type="dxa"/>
            <w:tcBorders>
              <w:top w:val="nil"/>
              <w:left w:val="nil"/>
              <w:bottom w:val="nil"/>
              <w:right w:val="nil"/>
              <w:tl2br w:val="nil"/>
              <w:tr2bl w:val="nil"/>
            </w:tcBorders>
            <w:shd w:val="clear" w:color="auto" w:fill="FFFFFF"/>
            <w:tcMar>
              <w:left w:w="115" w:type="dxa"/>
              <w:right w:w="115" w:type="dxa"/>
            </w:tcMar>
            <w:vAlign w:val="bottom"/>
          </w:tcPr>
          <w:p w14:paraId="3FA3D491" w14:textId="77777777" w:rsidR="003F0EEA" w:rsidRPr="007B0048" w:rsidRDefault="003F0EEA">
            <w:pPr>
              <w:rPr>
                <w:rFonts w:ascii="Arial" w:eastAsia="Arial" w:hAnsi="Arial" w:cs="Arial"/>
                <w:b/>
                <w:color w:val="000000"/>
                <w:sz w:val="16"/>
              </w:rPr>
            </w:pPr>
          </w:p>
        </w:tc>
        <w:tc>
          <w:tcPr>
            <w:tcW w:w="180" w:type="dxa"/>
            <w:tcBorders>
              <w:top w:val="nil"/>
              <w:left w:val="nil"/>
              <w:bottom w:val="nil"/>
              <w:right w:val="nil"/>
              <w:tl2br w:val="nil"/>
              <w:tr2bl w:val="nil"/>
            </w:tcBorders>
            <w:shd w:val="clear" w:color="auto" w:fill="FFFFFF"/>
            <w:tcMar>
              <w:left w:w="115" w:type="dxa"/>
              <w:right w:w="115" w:type="dxa"/>
            </w:tcMar>
            <w:vAlign w:val="bottom"/>
          </w:tcPr>
          <w:p w14:paraId="0B1E9D8A" w14:textId="77777777" w:rsidR="003F0EEA" w:rsidRPr="007B0048" w:rsidRDefault="003F0EEA">
            <w:pPr>
              <w:rPr>
                <w:rFonts w:ascii="Arial" w:eastAsia="Arial" w:hAnsi="Arial" w:cs="Arial"/>
                <w:b/>
                <w:i/>
                <w:color w:val="000000"/>
                <w:sz w:val="16"/>
              </w:rPr>
            </w:pPr>
          </w:p>
        </w:tc>
        <w:tc>
          <w:tcPr>
            <w:tcW w:w="3150" w:type="dxa"/>
            <w:tcBorders>
              <w:top w:val="nil"/>
              <w:left w:val="nil"/>
              <w:bottom w:val="nil"/>
              <w:right w:val="nil"/>
              <w:tl2br w:val="nil"/>
              <w:tr2bl w:val="nil"/>
            </w:tcBorders>
            <w:shd w:val="clear" w:color="auto" w:fill="FFFFFF"/>
            <w:tcMar>
              <w:left w:w="115" w:type="dxa"/>
              <w:right w:w="115" w:type="dxa"/>
            </w:tcMar>
            <w:vAlign w:val="bottom"/>
          </w:tcPr>
          <w:p w14:paraId="308E68F6" w14:textId="77777777" w:rsidR="003F0EEA" w:rsidRPr="007B0048" w:rsidRDefault="003F0EEA">
            <w:pPr>
              <w:rPr>
                <w:rFonts w:ascii="Arial" w:eastAsia="Arial" w:hAnsi="Arial" w:cs="Arial"/>
                <w:b/>
                <w:i/>
                <w:color w:val="000000"/>
                <w:sz w:val="16"/>
              </w:rPr>
            </w:pPr>
          </w:p>
        </w:tc>
        <w:tc>
          <w:tcPr>
            <w:tcW w:w="990"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625D7730" w14:textId="77777777" w:rsidR="003F0EEA" w:rsidRPr="007B0048" w:rsidRDefault="003F0EEA">
            <w:pPr>
              <w:rPr>
                <w:rFonts w:ascii="Arial" w:eastAsia="Arial" w:hAnsi="Arial" w:cs="Arial"/>
                <w:b/>
                <w:i/>
                <w:color w:val="000000"/>
                <w:sz w:val="16"/>
              </w:rPr>
            </w:pPr>
          </w:p>
        </w:tc>
        <w:tc>
          <w:tcPr>
            <w:tcW w:w="990" w:type="dxa"/>
            <w:tcBorders>
              <w:top w:val="single" w:sz="6" w:space="0" w:color="000000"/>
              <w:left w:val="nil"/>
              <w:bottom w:val="nil"/>
              <w:right w:val="nil"/>
              <w:tl2br w:val="nil"/>
              <w:tr2bl w:val="nil"/>
            </w:tcBorders>
            <w:shd w:val="clear" w:color="auto" w:fill="C0C0C0"/>
            <w:tcMar>
              <w:left w:w="115" w:type="dxa"/>
              <w:right w:w="115" w:type="dxa"/>
            </w:tcMar>
            <w:vAlign w:val="bottom"/>
          </w:tcPr>
          <w:p w14:paraId="36B253C4" w14:textId="77777777" w:rsidR="003F0EEA" w:rsidRPr="007B0048" w:rsidRDefault="003F0EEA">
            <w:pPr>
              <w:rPr>
                <w:rFonts w:ascii="Arial" w:eastAsia="Arial" w:hAnsi="Arial" w:cs="Arial"/>
                <w:color w:val="000000"/>
                <w:sz w:val="16"/>
              </w:rPr>
            </w:pPr>
          </w:p>
        </w:tc>
        <w:tc>
          <w:tcPr>
            <w:tcW w:w="990"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72444C2F" w14:textId="77777777" w:rsidR="003F0EEA" w:rsidRPr="007B0048" w:rsidRDefault="003F0EEA">
            <w:pPr>
              <w:rPr>
                <w:rFonts w:ascii="Arial" w:eastAsia="Arial" w:hAnsi="Arial" w:cs="Arial"/>
                <w:color w:val="000000"/>
                <w:sz w:val="16"/>
              </w:rPr>
            </w:pPr>
          </w:p>
        </w:tc>
        <w:tc>
          <w:tcPr>
            <w:tcW w:w="990"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412B99F1" w14:textId="77777777" w:rsidR="003F0EEA" w:rsidRPr="007B0048" w:rsidRDefault="003F0EEA">
            <w:pPr>
              <w:rPr>
                <w:rFonts w:ascii="Arial" w:eastAsia="Arial" w:hAnsi="Arial" w:cs="Arial"/>
                <w:color w:val="000000"/>
                <w:sz w:val="16"/>
              </w:rPr>
            </w:pPr>
          </w:p>
        </w:tc>
        <w:tc>
          <w:tcPr>
            <w:tcW w:w="990"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40BD778F" w14:textId="77777777" w:rsidR="003F0EEA" w:rsidRPr="007B0048" w:rsidRDefault="003F0EEA">
            <w:pPr>
              <w:rPr>
                <w:rFonts w:ascii="Arial" w:eastAsia="Arial" w:hAnsi="Arial" w:cs="Arial"/>
                <w:color w:val="000000"/>
                <w:sz w:val="16"/>
              </w:rPr>
            </w:pPr>
          </w:p>
        </w:tc>
      </w:tr>
      <w:tr w:rsidR="00355BFE" w14:paraId="28CF61C6" w14:textId="77777777" w:rsidTr="00355BFE">
        <w:trPr>
          <w:trHeight w:val="225"/>
        </w:trPr>
        <w:tc>
          <w:tcPr>
            <w:tcW w:w="3510" w:type="dxa"/>
            <w:gridSpan w:val="3"/>
            <w:tcBorders>
              <w:top w:val="nil"/>
              <w:left w:val="nil"/>
              <w:bottom w:val="nil"/>
              <w:right w:val="nil"/>
              <w:tl2br w:val="nil"/>
              <w:tr2bl w:val="nil"/>
            </w:tcBorders>
            <w:shd w:val="clear" w:color="auto" w:fill="FFFFFF"/>
            <w:tcMar>
              <w:left w:w="115" w:type="dxa"/>
              <w:right w:w="115" w:type="dxa"/>
            </w:tcMar>
            <w:vAlign w:val="bottom"/>
          </w:tcPr>
          <w:p w14:paraId="0D729DCA" w14:textId="77777777" w:rsidR="003F0EEA" w:rsidRPr="007B0048" w:rsidRDefault="00FB7D0B">
            <w:pPr>
              <w:rPr>
                <w:rFonts w:ascii="Arial" w:eastAsia="Arial" w:hAnsi="Arial" w:cs="Arial"/>
                <w:color w:val="000000"/>
                <w:sz w:val="16"/>
              </w:rPr>
            </w:pPr>
            <w:r w:rsidRPr="007B0048">
              <w:rPr>
                <w:rFonts w:ascii="Arial" w:eastAsia="Arial" w:hAnsi="Arial" w:cs="Arial"/>
                <w:b/>
                <w:color w:val="000000"/>
                <w:sz w:val="16"/>
              </w:rPr>
              <w:t>Cash used</w:t>
            </w:r>
          </w:p>
        </w:tc>
        <w:tc>
          <w:tcPr>
            <w:tcW w:w="990" w:type="dxa"/>
            <w:tcBorders>
              <w:top w:val="nil"/>
              <w:left w:val="nil"/>
              <w:bottom w:val="nil"/>
              <w:right w:val="nil"/>
              <w:tl2br w:val="nil"/>
              <w:tr2bl w:val="nil"/>
            </w:tcBorders>
            <w:shd w:val="clear" w:color="auto" w:fill="FFFFFF"/>
            <w:tcMar>
              <w:left w:w="115" w:type="dxa"/>
              <w:right w:w="115" w:type="dxa"/>
            </w:tcMar>
            <w:vAlign w:val="bottom"/>
          </w:tcPr>
          <w:p w14:paraId="011C0130" w14:textId="77777777" w:rsidR="003F0EEA" w:rsidRPr="007B0048" w:rsidRDefault="003F0EEA">
            <w:pPr>
              <w:rPr>
                <w:rFonts w:ascii="Arial" w:eastAsia="Arial" w:hAnsi="Arial" w:cs="Arial"/>
                <w:b/>
                <w:color w:val="000000"/>
                <w:sz w:val="16"/>
              </w:rPr>
            </w:pPr>
          </w:p>
        </w:tc>
        <w:tc>
          <w:tcPr>
            <w:tcW w:w="990" w:type="dxa"/>
            <w:tcBorders>
              <w:top w:val="nil"/>
              <w:left w:val="nil"/>
              <w:bottom w:val="nil"/>
              <w:right w:val="nil"/>
              <w:tl2br w:val="nil"/>
              <w:tr2bl w:val="nil"/>
            </w:tcBorders>
            <w:shd w:val="clear" w:color="auto" w:fill="C0C0C0"/>
            <w:tcMar>
              <w:left w:w="115" w:type="dxa"/>
              <w:right w:w="115" w:type="dxa"/>
            </w:tcMar>
            <w:vAlign w:val="bottom"/>
          </w:tcPr>
          <w:p w14:paraId="2A6647C2" w14:textId="77777777" w:rsidR="003F0EEA" w:rsidRPr="007B0048" w:rsidRDefault="003F0EEA">
            <w:pPr>
              <w:rPr>
                <w:rFonts w:ascii="Arial" w:eastAsia="Arial" w:hAnsi="Arial" w:cs="Arial"/>
                <w:color w:val="000000"/>
                <w:sz w:val="16"/>
              </w:rPr>
            </w:pPr>
          </w:p>
        </w:tc>
        <w:tc>
          <w:tcPr>
            <w:tcW w:w="990" w:type="dxa"/>
            <w:tcBorders>
              <w:top w:val="nil"/>
              <w:left w:val="nil"/>
              <w:bottom w:val="nil"/>
              <w:right w:val="nil"/>
              <w:tl2br w:val="nil"/>
              <w:tr2bl w:val="nil"/>
            </w:tcBorders>
            <w:shd w:val="clear" w:color="auto" w:fill="FFFFFF"/>
            <w:tcMar>
              <w:left w:w="115" w:type="dxa"/>
              <w:right w:w="115" w:type="dxa"/>
            </w:tcMar>
            <w:vAlign w:val="bottom"/>
          </w:tcPr>
          <w:p w14:paraId="30DBB598" w14:textId="77777777" w:rsidR="003F0EEA" w:rsidRPr="007B0048" w:rsidRDefault="003F0EEA">
            <w:pPr>
              <w:rPr>
                <w:rFonts w:ascii="Arial" w:eastAsia="Arial" w:hAnsi="Arial" w:cs="Arial"/>
                <w:color w:val="000000"/>
                <w:sz w:val="16"/>
              </w:rPr>
            </w:pPr>
          </w:p>
        </w:tc>
        <w:tc>
          <w:tcPr>
            <w:tcW w:w="990" w:type="dxa"/>
            <w:tcBorders>
              <w:top w:val="nil"/>
              <w:left w:val="nil"/>
              <w:bottom w:val="nil"/>
              <w:right w:val="nil"/>
              <w:tl2br w:val="nil"/>
              <w:tr2bl w:val="nil"/>
            </w:tcBorders>
            <w:shd w:val="clear" w:color="auto" w:fill="FFFFFF"/>
            <w:tcMar>
              <w:left w:w="115" w:type="dxa"/>
              <w:right w:w="115" w:type="dxa"/>
            </w:tcMar>
            <w:vAlign w:val="bottom"/>
          </w:tcPr>
          <w:p w14:paraId="77D25E92" w14:textId="77777777" w:rsidR="003F0EEA" w:rsidRPr="007B0048" w:rsidRDefault="003F0EEA">
            <w:pPr>
              <w:rPr>
                <w:rFonts w:ascii="Arial" w:eastAsia="Arial" w:hAnsi="Arial" w:cs="Arial"/>
                <w:color w:val="000000"/>
                <w:sz w:val="16"/>
              </w:rPr>
            </w:pPr>
          </w:p>
        </w:tc>
        <w:tc>
          <w:tcPr>
            <w:tcW w:w="990" w:type="dxa"/>
            <w:tcBorders>
              <w:top w:val="nil"/>
              <w:left w:val="nil"/>
              <w:bottom w:val="nil"/>
              <w:right w:val="nil"/>
              <w:tl2br w:val="nil"/>
              <w:tr2bl w:val="nil"/>
            </w:tcBorders>
            <w:shd w:val="clear" w:color="auto" w:fill="FFFFFF"/>
            <w:tcMar>
              <w:left w:w="115" w:type="dxa"/>
              <w:right w:w="115" w:type="dxa"/>
            </w:tcMar>
            <w:vAlign w:val="bottom"/>
          </w:tcPr>
          <w:p w14:paraId="5C830122" w14:textId="77777777" w:rsidR="003F0EEA" w:rsidRPr="007B0048" w:rsidRDefault="003F0EEA">
            <w:pPr>
              <w:rPr>
                <w:rFonts w:ascii="Arial" w:eastAsia="Arial" w:hAnsi="Arial" w:cs="Arial"/>
                <w:color w:val="000000"/>
                <w:sz w:val="16"/>
              </w:rPr>
            </w:pPr>
          </w:p>
        </w:tc>
      </w:tr>
      <w:tr w:rsidR="00355BFE" w14:paraId="1444881B" w14:textId="77777777" w:rsidTr="00355BFE">
        <w:trPr>
          <w:trHeight w:val="225"/>
        </w:trPr>
        <w:tc>
          <w:tcPr>
            <w:tcW w:w="180" w:type="dxa"/>
            <w:tcBorders>
              <w:top w:val="nil"/>
              <w:left w:val="nil"/>
              <w:bottom w:val="nil"/>
              <w:right w:val="nil"/>
              <w:tl2br w:val="nil"/>
              <w:tr2bl w:val="nil"/>
            </w:tcBorders>
            <w:shd w:val="clear" w:color="auto" w:fill="FFFFFF"/>
            <w:tcMar>
              <w:left w:w="115" w:type="dxa"/>
              <w:right w:w="115" w:type="dxa"/>
            </w:tcMar>
            <w:vAlign w:val="bottom"/>
          </w:tcPr>
          <w:p w14:paraId="36E6BC67" w14:textId="77777777" w:rsidR="003F0EEA" w:rsidRPr="007B0048" w:rsidRDefault="003F0EEA">
            <w:pPr>
              <w:rPr>
                <w:rFonts w:ascii="Arial" w:eastAsia="Arial" w:hAnsi="Arial" w:cs="Arial"/>
                <w:color w:val="000000"/>
                <w:sz w:val="16"/>
              </w:rPr>
            </w:pPr>
          </w:p>
        </w:tc>
        <w:tc>
          <w:tcPr>
            <w:tcW w:w="3330" w:type="dxa"/>
            <w:gridSpan w:val="2"/>
            <w:tcBorders>
              <w:top w:val="nil"/>
              <w:left w:val="nil"/>
              <w:bottom w:val="nil"/>
              <w:right w:val="nil"/>
              <w:tl2br w:val="nil"/>
              <w:tr2bl w:val="nil"/>
            </w:tcBorders>
            <w:shd w:val="clear" w:color="auto" w:fill="FFFFFF"/>
            <w:tcMar>
              <w:left w:w="115" w:type="dxa"/>
              <w:right w:w="115" w:type="dxa"/>
            </w:tcMar>
            <w:vAlign w:val="bottom"/>
          </w:tcPr>
          <w:p w14:paraId="4CD67C3B" w14:textId="77777777" w:rsidR="003F0EEA" w:rsidRPr="007B0048" w:rsidRDefault="00FB7D0B">
            <w:pPr>
              <w:rPr>
                <w:rFonts w:ascii="Arial" w:eastAsia="Arial" w:hAnsi="Arial" w:cs="Arial"/>
                <w:color w:val="000000"/>
                <w:sz w:val="16"/>
              </w:rPr>
            </w:pPr>
            <w:r w:rsidRPr="007B0048">
              <w:rPr>
                <w:rFonts w:ascii="Arial" w:eastAsia="Arial" w:hAnsi="Arial" w:cs="Arial"/>
                <w:color w:val="000000"/>
                <w:sz w:val="16"/>
              </w:rPr>
              <w:t xml:space="preserve">Purchase of property, plant </w:t>
            </w:r>
          </w:p>
        </w:tc>
        <w:tc>
          <w:tcPr>
            <w:tcW w:w="990" w:type="dxa"/>
            <w:tcBorders>
              <w:top w:val="nil"/>
              <w:left w:val="nil"/>
              <w:bottom w:val="nil"/>
              <w:right w:val="nil"/>
              <w:tl2br w:val="nil"/>
              <w:tr2bl w:val="nil"/>
            </w:tcBorders>
            <w:shd w:val="clear" w:color="auto" w:fill="FFFFFF"/>
            <w:tcMar>
              <w:left w:w="115" w:type="dxa"/>
              <w:right w:w="115" w:type="dxa"/>
            </w:tcMar>
            <w:vAlign w:val="bottom"/>
          </w:tcPr>
          <w:p w14:paraId="5B68C1D8" w14:textId="77777777" w:rsidR="003F0EEA" w:rsidRPr="007B0048" w:rsidRDefault="003F0EEA">
            <w:pPr>
              <w:rPr>
                <w:rFonts w:ascii="Arial" w:eastAsia="Arial" w:hAnsi="Arial" w:cs="Arial"/>
                <w:color w:val="000000"/>
                <w:sz w:val="16"/>
              </w:rPr>
            </w:pPr>
          </w:p>
        </w:tc>
        <w:tc>
          <w:tcPr>
            <w:tcW w:w="990" w:type="dxa"/>
            <w:tcBorders>
              <w:top w:val="nil"/>
              <w:left w:val="nil"/>
              <w:bottom w:val="nil"/>
              <w:right w:val="nil"/>
              <w:tl2br w:val="nil"/>
              <w:tr2bl w:val="nil"/>
            </w:tcBorders>
            <w:shd w:val="clear" w:color="auto" w:fill="C0C0C0"/>
            <w:tcMar>
              <w:left w:w="115" w:type="dxa"/>
              <w:right w:w="115" w:type="dxa"/>
            </w:tcMar>
            <w:vAlign w:val="bottom"/>
          </w:tcPr>
          <w:p w14:paraId="5CE15036" w14:textId="77777777" w:rsidR="003F0EEA" w:rsidRPr="007B0048" w:rsidRDefault="003F0EEA">
            <w:pPr>
              <w:rPr>
                <w:rFonts w:ascii="Arial" w:eastAsia="Arial" w:hAnsi="Arial" w:cs="Arial"/>
                <w:color w:val="000000"/>
                <w:sz w:val="16"/>
              </w:rPr>
            </w:pPr>
          </w:p>
        </w:tc>
        <w:tc>
          <w:tcPr>
            <w:tcW w:w="990" w:type="dxa"/>
            <w:tcBorders>
              <w:top w:val="nil"/>
              <w:left w:val="nil"/>
              <w:bottom w:val="nil"/>
              <w:right w:val="nil"/>
              <w:tl2br w:val="nil"/>
              <w:tr2bl w:val="nil"/>
            </w:tcBorders>
            <w:shd w:val="clear" w:color="auto" w:fill="FFFFFF"/>
            <w:tcMar>
              <w:left w:w="115" w:type="dxa"/>
              <w:right w:w="115" w:type="dxa"/>
            </w:tcMar>
            <w:vAlign w:val="bottom"/>
          </w:tcPr>
          <w:p w14:paraId="4ACF122A" w14:textId="77777777" w:rsidR="003F0EEA" w:rsidRPr="007B0048" w:rsidRDefault="003F0EEA">
            <w:pPr>
              <w:rPr>
                <w:rFonts w:ascii="Arial" w:eastAsia="Arial" w:hAnsi="Arial" w:cs="Arial"/>
                <w:color w:val="000000"/>
                <w:sz w:val="16"/>
              </w:rPr>
            </w:pPr>
          </w:p>
        </w:tc>
        <w:tc>
          <w:tcPr>
            <w:tcW w:w="990" w:type="dxa"/>
            <w:tcBorders>
              <w:top w:val="nil"/>
              <w:left w:val="nil"/>
              <w:bottom w:val="nil"/>
              <w:right w:val="nil"/>
              <w:tl2br w:val="nil"/>
              <w:tr2bl w:val="nil"/>
            </w:tcBorders>
            <w:shd w:val="clear" w:color="auto" w:fill="FFFFFF"/>
            <w:tcMar>
              <w:left w:w="115" w:type="dxa"/>
              <w:right w:w="115" w:type="dxa"/>
            </w:tcMar>
            <w:vAlign w:val="bottom"/>
          </w:tcPr>
          <w:p w14:paraId="04F8BA57" w14:textId="77777777" w:rsidR="003F0EEA" w:rsidRPr="007B0048" w:rsidRDefault="003F0EEA">
            <w:pPr>
              <w:rPr>
                <w:rFonts w:ascii="Arial" w:eastAsia="Arial" w:hAnsi="Arial" w:cs="Arial"/>
                <w:color w:val="000000"/>
                <w:sz w:val="16"/>
              </w:rPr>
            </w:pPr>
          </w:p>
        </w:tc>
        <w:tc>
          <w:tcPr>
            <w:tcW w:w="990" w:type="dxa"/>
            <w:tcBorders>
              <w:top w:val="nil"/>
              <w:left w:val="nil"/>
              <w:bottom w:val="nil"/>
              <w:right w:val="nil"/>
              <w:tl2br w:val="nil"/>
              <w:tr2bl w:val="nil"/>
            </w:tcBorders>
            <w:shd w:val="clear" w:color="auto" w:fill="FFFFFF"/>
            <w:tcMar>
              <w:left w:w="115" w:type="dxa"/>
              <w:right w:w="115" w:type="dxa"/>
            </w:tcMar>
            <w:vAlign w:val="bottom"/>
          </w:tcPr>
          <w:p w14:paraId="5511505B" w14:textId="77777777" w:rsidR="003F0EEA" w:rsidRPr="007B0048" w:rsidRDefault="003F0EEA">
            <w:pPr>
              <w:rPr>
                <w:rFonts w:ascii="Arial" w:eastAsia="Arial" w:hAnsi="Arial" w:cs="Arial"/>
                <w:color w:val="000000"/>
                <w:sz w:val="16"/>
              </w:rPr>
            </w:pPr>
          </w:p>
        </w:tc>
      </w:tr>
      <w:tr w:rsidR="00724034" w14:paraId="40AE928E" w14:textId="77777777">
        <w:trPr>
          <w:trHeight w:val="225"/>
        </w:trPr>
        <w:tc>
          <w:tcPr>
            <w:tcW w:w="180" w:type="dxa"/>
            <w:tcBorders>
              <w:top w:val="nil"/>
              <w:left w:val="nil"/>
              <w:bottom w:val="nil"/>
              <w:right w:val="nil"/>
              <w:tl2br w:val="nil"/>
              <w:tr2bl w:val="nil"/>
            </w:tcBorders>
            <w:shd w:val="clear" w:color="auto" w:fill="FFFFFF"/>
            <w:tcMar>
              <w:left w:w="115" w:type="dxa"/>
              <w:right w:w="115" w:type="dxa"/>
            </w:tcMar>
            <w:vAlign w:val="bottom"/>
          </w:tcPr>
          <w:p w14:paraId="24262D81" w14:textId="77777777" w:rsidR="003F0EEA" w:rsidRPr="007B0048" w:rsidRDefault="003F0EEA">
            <w:pPr>
              <w:rPr>
                <w:rFonts w:ascii="Arial" w:eastAsia="Arial" w:hAnsi="Arial" w:cs="Arial"/>
                <w:color w:val="000000"/>
                <w:sz w:val="16"/>
              </w:rPr>
            </w:pPr>
          </w:p>
        </w:tc>
        <w:tc>
          <w:tcPr>
            <w:tcW w:w="180" w:type="dxa"/>
            <w:tcBorders>
              <w:top w:val="nil"/>
              <w:left w:val="nil"/>
              <w:bottom w:val="nil"/>
              <w:right w:val="nil"/>
              <w:tl2br w:val="nil"/>
              <w:tr2bl w:val="nil"/>
            </w:tcBorders>
            <w:shd w:val="clear" w:color="auto" w:fill="FFFFFF"/>
            <w:tcMar>
              <w:left w:w="115" w:type="dxa"/>
              <w:right w:w="115" w:type="dxa"/>
            </w:tcMar>
            <w:vAlign w:val="bottom"/>
          </w:tcPr>
          <w:p w14:paraId="67AC8275" w14:textId="77777777" w:rsidR="003F0EEA" w:rsidRPr="007B0048" w:rsidRDefault="003F0EEA">
            <w:pPr>
              <w:rPr>
                <w:rFonts w:ascii="Arial" w:eastAsia="Arial" w:hAnsi="Arial" w:cs="Arial"/>
                <w:color w:val="000000"/>
                <w:sz w:val="16"/>
              </w:rPr>
            </w:pPr>
          </w:p>
        </w:tc>
        <w:tc>
          <w:tcPr>
            <w:tcW w:w="3150" w:type="dxa"/>
            <w:tcBorders>
              <w:top w:val="nil"/>
              <w:left w:val="nil"/>
              <w:bottom w:val="nil"/>
              <w:right w:val="nil"/>
              <w:tl2br w:val="nil"/>
              <w:tr2bl w:val="nil"/>
            </w:tcBorders>
            <w:shd w:val="clear" w:color="auto" w:fill="FFFFFF"/>
            <w:tcMar>
              <w:left w:w="115" w:type="dxa"/>
              <w:right w:w="115" w:type="dxa"/>
            </w:tcMar>
            <w:vAlign w:val="bottom"/>
          </w:tcPr>
          <w:p w14:paraId="60159F1D" w14:textId="77777777" w:rsidR="003F0EEA" w:rsidRPr="007B0048" w:rsidRDefault="00FB7D0B">
            <w:pPr>
              <w:rPr>
                <w:rFonts w:ascii="Arial" w:eastAsia="Arial" w:hAnsi="Arial" w:cs="Arial"/>
                <w:color w:val="000000"/>
                <w:sz w:val="16"/>
              </w:rPr>
            </w:pPr>
            <w:r w:rsidRPr="007B0048">
              <w:rPr>
                <w:rFonts w:ascii="Arial" w:eastAsia="Arial" w:hAnsi="Arial" w:cs="Arial"/>
                <w:color w:val="000000"/>
                <w:sz w:val="16"/>
              </w:rPr>
              <w:t>and equipment</w:t>
            </w:r>
          </w:p>
        </w:tc>
        <w:tc>
          <w:tcPr>
            <w:tcW w:w="990" w:type="dxa"/>
            <w:tcBorders>
              <w:top w:val="nil"/>
              <w:left w:val="nil"/>
              <w:bottom w:val="nil"/>
              <w:right w:val="nil"/>
              <w:tl2br w:val="nil"/>
              <w:tr2bl w:val="nil"/>
            </w:tcBorders>
            <w:shd w:val="clear" w:color="auto" w:fill="FFFFFF"/>
            <w:tcMar>
              <w:left w:w="115" w:type="dxa"/>
              <w:right w:w="115" w:type="dxa"/>
            </w:tcMar>
            <w:vAlign w:val="bottom"/>
          </w:tcPr>
          <w:p w14:paraId="388608DB" w14:textId="77777777" w:rsidR="003F0EEA" w:rsidRPr="007B0048" w:rsidRDefault="00FB7D0B">
            <w:pPr>
              <w:jc w:val="right"/>
              <w:rPr>
                <w:rFonts w:ascii="Arial" w:eastAsia="Arial" w:hAnsi="Arial" w:cs="Arial"/>
                <w:color w:val="000000"/>
                <w:sz w:val="16"/>
              </w:rPr>
            </w:pPr>
            <w:r w:rsidRPr="007B0048">
              <w:rPr>
                <w:rFonts w:ascii="Arial" w:eastAsia="Arial" w:hAnsi="Arial" w:cs="Arial"/>
                <w:color w:val="000000"/>
                <w:sz w:val="16"/>
              </w:rPr>
              <w:t xml:space="preserve"> 28,650 </w:t>
            </w:r>
          </w:p>
        </w:tc>
        <w:tc>
          <w:tcPr>
            <w:tcW w:w="990" w:type="dxa"/>
            <w:tcBorders>
              <w:top w:val="nil"/>
              <w:left w:val="nil"/>
              <w:bottom w:val="nil"/>
              <w:right w:val="nil"/>
              <w:tl2br w:val="nil"/>
              <w:tr2bl w:val="nil"/>
            </w:tcBorders>
            <w:shd w:val="clear" w:color="auto" w:fill="C0C0C0"/>
            <w:tcMar>
              <w:left w:w="115" w:type="dxa"/>
              <w:right w:w="115" w:type="dxa"/>
            </w:tcMar>
            <w:vAlign w:val="bottom"/>
          </w:tcPr>
          <w:p w14:paraId="090E93ED" w14:textId="77777777" w:rsidR="003F0EEA" w:rsidRPr="007B0048" w:rsidRDefault="00FB7D0B">
            <w:pPr>
              <w:jc w:val="right"/>
              <w:rPr>
                <w:rFonts w:ascii="Arial" w:eastAsia="Arial" w:hAnsi="Arial" w:cs="Arial"/>
                <w:color w:val="000000"/>
                <w:sz w:val="16"/>
              </w:rPr>
            </w:pPr>
            <w:r w:rsidRPr="007B0048">
              <w:rPr>
                <w:rFonts w:ascii="Arial" w:eastAsia="Arial" w:hAnsi="Arial" w:cs="Arial"/>
                <w:color w:val="000000"/>
                <w:sz w:val="16"/>
              </w:rPr>
              <w:t xml:space="preserve"> 34,843 </w:t>
            </w:r>
          </w:p>
        </w:tc>
        <w:tc>
          <w:tcPr>
            <w:tcW w:w="990" w:type="dxa"/>
            <w:tcBorders>
              <w:top w:val="nil"/>
              <w:left w:val="nil"/>
              <w:bottom w:val="nil"/>
              <w:right w:val="nil"/>
              <w:tl2br w:val="nil"/>
              <w:tr2bl w:val="nil"/>
            </w:tcBorders>
            <w:shd w:val="clear" w:color="auto" w:fill="FFFFFF"/>
            <w:tcMar>
              <w:left w:w="115" w:type="dxa"/>
              <w:right w:w="115" w:type="dxa"/>
            </w:tcMar>
            <w:vAlign w:val="bottom"/>
          </w:tcPr>
          <w:p w14:paraId="0F4DA0D3" w14:textId="77777777" w:rsidR="003F0EEA" w:rsidRPr="007B0048" w:rsidRDefault="00FB7D0B">
            <w:pPr>
              <w:jc w:val="right"/>
              <w:rPr>
                <w:rFonts w:ascii="Arial" w:eastAsia="Arial" w:hAnsi="Arial" w:cs="Arial"/>
                <w:color w:val="000000"/>
                <w:sz w:val="16"/>
              </w:rPr>
            </w:pPr>
            <w:r w:rsidRPr="007B0048">
              <w:rPr>
                <w:rFonts w:ascii="Arial" w:eastAsia="Arial" w:hAnsi="Arial" w:cs="Arial"/>
                <w:color w:val="000000"/>
                <w:sz w:val="16"/>
              </w:rPr>
              <w:t xml:space="preserve"> 16,143 </w:t>
            </w:r>
          </w:p>
        </w:tc>
        <w:tc>
          <w:tcPr>
            <w:tcW w:w="990" w:type="dxa"/>
            <w:tcBorders>
              <w:top w:val="nil"/>
              <w:left w:val="nil"/>
              <w:bottom w:val="nil"/>
              <w:right w:val="nil"/>
              <w:tl2br w:val="nil"/>
              <w:tr2bl w:val="nil"/>
            </w:tcBorders>
            <w:shd w:val="clear" w:color="auto" w:fill="FFFFFF"/>
            <w:tcMar>
              <w:left w:w="115" w:type="dxa"/>
              <w:right w:w="115" w:type="dxa"/>
            </w:tcMar>
            <w:vAlign w:val="bottom"/>
          </w:tcPr>
          <w:p w14:paraId="301F7B32" w14:textId="77777777" w:rsidR="003F0EEA" w:rsidRPr="007B0048" w:rsidRDefault="00FB7D0B">
            <w:pPr>
              <w:jc w:val="right"/>
              <w:rPr>
                <w:rFonts w:ascii="Arial" w:eastAsia="Arial" w:hAnsi="Arial" w:cs="Arial"/>
                <w:color w:val="000000"/>
                <w:sz w:val="16"/>
              </w:rPr>
            </w:pPr>
            <w:r w:rsidRPr="007B0048">
              <w:rPr>
                <w:rFonts w:ascii="Arial" w:eastAsia="Arial" w:hAnsi="Arial" w:cs="Arial"/>
                <w:color w:val="000000"/>
                <w:sz w:val="16"/>
              </w:rPr>
              <w:t xml:space="preserve"> 16,153 </w:t>
            </w:r>
          </w:p>
        </w:tc>
        <w:tc>
          <w:tcPr>
            <w:tcW w:w="990" w:type="dxa"/>
            <w:tcBorders>
              <w:top w:val="nil"/>
              <w:left w:val="nil"/>
              <w:bottom w:val="nil"/>
              <w:right w:val="nil"/>
              <w:tl2br w:val="nil"/>
              <w:tr2bl w:val="nil"/>
            </w:tcBorders>
            <w:shd w:val="clear" w:color="auto" w:fill="FFFFFF"/>
            <w:tcMar>
              <w:left w:w="115" w:type="dxa"/>
              <w:right w:w="115" w:type="dxa"/>
            </w:tcMar>
            <w:vAlign w:val="bottom"/>
          </w:tcPr>
          <w:p w14:paraId="42C5FE03" w14:textId="77777777" w:rsidR="003F0EEA" w:rsidRPr="007B0048" w:rsidRDefault="00FB7D0B">
            <w:pPr>
              <w:jc w:val="right"/>
              <w:rPr>
                <w:rFonts w:ascii="Arial" w:eastAsia="Arial" w:hAnsi="Arial" w:cs="Arial"/>
                <w:color w:val="000000"/>
                <w:sz w:val="16"/>
              </w:rPr>
            </w:pPr>
            <w:r w:rsidRPr="007B0048">
              <w:rPr>
                <w:rFonts w:ascii="Arial" w:eastAsia="Arial" w:hAnsi="Arial" w:cs="Arial"/>
                <w:color w:val="000000"/>
                <w:sz w:val="16"/>
              </w:rPr>
              <w:t xml:space="preserve"> 17,209 </w:t>
            </w:r>
          </w:p>
        </w:tc>
      </w:tr>
      <w:tr w:rsidR="00355BFE" w14:paraId="54BB7F1D" w14:textId="77777777" w:rsidTr="00355BFE">
        <w:trPr>
          <w:trHeight w:val="225"/>
        </w:trPr>
        <w:tc>
          <w:tcPr>
            <w:tcW w:w="180" w:type="dxa"/>
            <w:tcBorders>
              <w:top w:val="nil"/>
              <w:left w:val="nil"/>
              <w:bottom w:val="nil"/>
              <w:right w:val="nil"/>
              <w:tl2br w:val="nil"/>
              <w:tr2bl w:val="nil"/>
            </w:tcBorders>
            <w:shd w:val="clear" w:color="auto" w:fill="FFFFFF"/>
            <w:tcMar>
              <w:left w:w="115" w:type="dxa"/>
              <w:right w:w="115" w:type="dxa"/>
            </w:tcMar>
            <w:vAlign w:val="bottom"/>
          </w:tcPr>
          <w:p w14:paraId="043926C9" w14:textId="77777777" w:rsidR="003F0EEA" w:rsidRPr="007B0048" w:rsidRDefault="003F0EEA">
            <w:pPr>
              <w:rPr>
                <w:rFonts w:ascii="Arial" w:eastAsia="Arial" w:hAnsi="Arial" w:cs="Arial"/>
                <w:color w:val="000000"/>
                <w:sz w:val="16"/>
              </w:rPr>
            </w:pPr>
          </w:p>
        </w:tc>
        <w:tc>
          <w:tcPr>
            <w:tcW w:w="3330" w:type="dxa"/>
            <w:gridSpan w:val="2"/>
            <w:vMerge w:val="restart"/>
            <w:tcBorders>
              <w:top w:val="nil"/>
              <w:left w:val="nil"/>
              <w:bottom w:val="nil"/>
              <w:right w:val="nil"/>
              <w:tl2br w:val="nil"/>
              <w:tr2bl w:val="nil"/>
            </w:tcBorders>
            <w:shd w:val="clear" w:color="auto" w:fill="FFFFFF"/>
            <w:tcMar>
              <w:left w:w="115" w:type="dxa"/>
              <w:right w:w="115" w:type="dxa"/>
            </w:tcMar>
            <w:vAlign w:val="bottom"/>
          </w:tcPr>
          <w:p w14:paraId="1F918E4A" w14:textId="77777777" w:rsidR="003F0EEA" w:rsidRPr="007B0048" w:rsidRDefault="00FB7D0B">
            <w:pPr>
              <w:rPr>
                <w:rFonts w:ascii="Arial" w:eastAsia="Arial" w:hAnsi="Arial" w:cs="Arial"/>
                <w:color w:val="000000"/>
                <w:sz w:val="16"/>
              </w:rPr>
            </w:pPr>
            <w:r w:rsidRPr="007B0048">
              <w:rPr>
                <w:rFonts w:ascii="Arial" w:eastAsia="Arial" w:hAnsi="Arial" w:cs="Arial"/>
                <w:color w:val="000000"/>
                <w:sz w:val="16"/>
              </w:rPr>
              <w:t>Investments</w:t>
            </w:r>
          </w:p>
        </w:tc>
        <w:tc>
          <w:tcPr>
            <w:tcW w:w="990"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2E0C793C" w14:textId="77777777" w:rsidR="003F0EEA" w:rsidRPr="007B0048" w:rsidRDefault="00FB7D0B">
            <w:pPr>
              <w:jc w:val="right"/>
              <w:rPr>
                <w:rFonts w:ascii="Arial" w:eastAsia="Arial" w:hAnsi="Arial" w:cs="Arial"/>
                <w:color w:val="000000"/>
                <w:sz w:val="16"/>
              </w:rPr>
            </w:pPr>
            <w:r w:rsidRPr="007B0048">
              <w:rPr>
                <w:rFonts w:ascii="Arial" w:eastAsia="Arial" w:hAnsi="Arial" w:cs="Arial"/>
                <w:color w:val="000000"/>
                <w:sz w:val="16"/>
              </w:rPr>
              <w:t xml:space="preserve"> 88,500 </w:t>
            </w:r>
          </w:p>
        </w:tc>
        <w:tc>
          <w:tcPr>
            <w:tcW w:w="990" w:type="dxa"/>
            <w:tcBorders>
              <w:top w:val="nil"/>
              <w:left w:val="nil"/>
              <w:bottom w:val="single" w:sz="6" w:space="0" w:color="000000"/>
              <w:right w:val="nil"/>
              <w:tl2br w:val="nil"/>
              <w:tr2bl w:val="nil"/>
            </w:tcBorders>
            <w:shd w:val="clear" w:color="auto" w:fill="C0C0C0"/>
            <w:tcMar>
              <w:left w:w="115" w:type="dxa"/>
              <w:right w:w="115" w:type="dxa"/>
            </w:tcMar>
            <w:vAlign w:val="bottom"/>
          </w:tcPr>
          <w:p w14:paraId="2F93D029" w14:textId="77777777" w:rsidR="003F0EEA" w:rsidRPr="007B0048" w:rsidRDefault="00FB7D0B">
            <w:pPr>
              <w:jc w:val="right"/>
              <w:rPr>
                <w:rFonts w:ascii="Arial" w:eastAsia="Arial" w:hAnsi="Arial" w:cs="Arial"/>
                <w:color w:val="000000"/>
                <w:sz w:val="16"/>
              </w:rPr>
            </w:pPr>
            <w:r w:rsidRPr="007B0048">
              <w:rPr>
                <w:rFonts w:ascii="Arial" w:eastAsia="Arial" w:hAnsi="Arial" w:cs="Arial"/>
                <w:color w:val="000000"/>
                <w:sz w:val="16"/>
              </w:rPr>
              <w:t xml:space="preserve"> 64,500 </w:t>
            </w:r>
          </w:p>
        </w:tc>
        <w:tc>
          <w:tcPr>
            <w:tcW w:w="990"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54A574CF" w14:textId="77777777" w:rsidR="003F0EEA" w:rsidRPr="007B0048" w:rsidRDefault="00FB7D0B">
            <w:pPr>
              <w:jc w:val="right"/>
              <w:rPr>
                <w:rFonts w:ascii="Arial" w:eastAsia="Arial" w:hAnsi="Arial" w:cs="Arial"/>
                <w:color w:val="000000"/>
                <w:sz w:val="16"/>
              </w:rPr>
            </w:pPr>
            <w:r w:rsidRPr="007B0048">
              <w:rPr>
                <w:rFonts w:ascii="Arial" w:eastAsia="Arial" w:hAnsi="Arial" w:cs="Arial"/>
                <w:color w:val="000000"/>
                <w:sz w:val="16"/>
              </w:rPr>
              <w:t xml:space="preserve"> 67,000 </w:t>
            </w:r>
          </w:p>
        </w:tc>
        <w:tc>
          <w:tcPr>
            <w:tcW w:w="990"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6A7F00B7" w14:textId="77777777" w:rsidR="003F0EEA" w:rsidRPr="007B0048" w:rsidRDefault="00FB7D0B">
            <w:pPr>
              <w:jc w:val="right"/>
              <w:rPr>
                <w:rFonts w:ascii="Arial" w:eastAsia="Arial" w:hAnsi="Arial" w:cs="Arial"/>
                <w:color w:val="000000"/>
                <w:sz w:val="16"/>
              </w:rPr>
            </w:pPr>
            <w:r w:rsidRPr="007B0048">
              <w:rPr>
                <w:rFonts w:ascii="Arial" w:eastAsia="Arial" w:hAnsi="Arial" w:cs="Arial"/>
                <w:color w:val="000000"/>
                <w:sz w:val="16"/>
              </w:rPr>
              <w:t xml:space="preserve"> 68,000 </w:t>
            </w:r>
          </w:p>
        </w:tc>
        <w:tc>
          <w:tcPr>
            <w:tcW w:w="990"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254B4C51" w14:textId="77777777" w:rsidR="003F0EEA" w:rsidRPr="007B0048" w:rsidRDefault="00FB7D0B">
            <w:pPr>
              <w:jc w:val="right"/>
              <w:rPr>
                <w:rFonts w:ascii="Arial" w:eastAsia="Arial" w:hAnsi="Arial" w:cs="Arial"/>
                <w:color w:val="000000"/>
                <w:sz w:val="16"/>
              </w:rPr>
            </w:pPr>
            <w:r w:rsidRPr="007B0048">
              <w:rPr>
                <w:rFonts w:ascii="Arial" w:eastAsia="Arial" w:hAnsi="Arial" w:cs="Arial"/>
                <w:color w:val="000000"/>
                <w:sz w:val="16"/>
              </w:rPr>
              <w:t xml:space="preserve"> 70,000 </w:t>
            </w:r>
          </w:p>
        </w:tc>
      </w:tr>
      <w:tr w:rsidR="00355BFE" w14:paraId="6340FDD2" w14:textId="77777777" w:rsidTr="00355BFE">
        <w:trPr>
          <w:trHeight w:val="225"/>
        </w:trPr>
        <w:tc>
          <w:tcPr>
            <w:tcW w:w="3510" w:type="dxa"/>
            <w:gridSpan w:val="3"/>
            <w:tcBorders>
              <w:top w:val="nil"/>
              <w:left w:val="nil"/>
              <w:bottom w:val="nil"/>
              <w:right w:val="nil"/>
              <w:tl2br w:val="nil"/>
              <w:tr2bl w:val="nil"/>
            </w:tcBorders>
            <w:shd w:val="clear" w:color="auto" w:fill="FFFFFF"/>
            <w:tcMar>
              <w:left w:w="115" w:type="dxa"/>
              <w:right w:w="115" w:type="dxa"/>
            </w:tcMar>
            <w:vAlign w:val="bottom"/>
          </w:tcPr>
          <w:p w14:paraId="38086483" w14:textId="77777777" w:rsidR="003F0EEA" w:rsidRPr="007B0048" w:rsidRDefault="00FB7D0B">
            <w:pPr>
              <w:rPr>
                <w:rFonts w:ascii="Arial" w:eastAsia="Arial" w:hAnsi="Arial" w:cs="Arial"/>
                <w:color w:val="000000"/>
                <w:sz w:val="16"/>
              </w:rPr>
            </w:pPr>
            <w:r w:rsidRPr="007B0048">
              <w:rPr>
                <w:rFonts w:ascii="Arial" w:eastAsia="Arial" w:hAnsi="Arial" w:cs="Arial"/>
                <w:b/>
                <w:i/>
                <w:color w:val="000000"/>
                <w:sz w:val="16"/>
              </w:rPr>
              <w:t>Total cash used</w:t>
            </w:r>
          </w:p>
        </w:tc>
        <w:tc>
          <w:tcPr>
            <w:tcW w:w="990" w:type="dxa"/>
            <w:tcBorders>
              <w:top w:val="single" w:sz="6" w:space="0" w:color="000000"/>
              <w:left w:val="nil"/>
              <w:bottom w:val="single" w:sz="6" w:space="0" w:color="000000"/>
              <w:right w:val="nil"/>
              <w:tl2br w:val="nil"/>
              <w:tr2bl w:val="nil"/>
            </w:tcBorders>
            <w:shd w:val="clear" w:color="auto" w:fill="FFFFFF"/>
            <w:tcMar>
              <w:left w:w="115" w:type="dxa"/>
              <w:right w:w="115" w:type="dxa"/>
            </w:tcMar>
            <w:vAlign w:val="bottom"/>
          </w:tcPr>
          <w:p w14:paraId="3504BB6D" w14:textId="77777777" w:rsidR="003F0EEA" w:rsidRPr="007B0048" w:rsidRDefault="00FB7D0B">
            <w:pPr>
              <w:jc w:val="right"/>
              <w:rPr>
                <w:rFonts w:ascii="Arial" w:eastAsia="Arial" w:hAnsi="Arial" w:cs="Arial"/>
                <w:b/>
                <w:i/>
                <w:color w:val="000000"/>
                <w:sz w:val="16"/>
              </w:rPr>
            </w:pPr>
            <w:r w:rsidRPr="007B0048">
              <w:rPr>
                <w:rFonts w:ascii="Arial" w:eastAsia="Arial" w:hAnsi="Arial" w:cs="Arial"/>
                <w:b/>
                <w:color w:val="000000"/>
                <w:sz w:val="16"/>
              </w:rPr>
              <w:t xml:space="preserve"> 117,150 </w:t>
            </w:r>
          </w:p>
        </w:tc>
        <w:tc>
          <w:tcPr>
            <w:tcW w:w="990" w:type="dxa"/>
            <w:tcBorders>
              <w:top w:val="single" w:sz="6" w:space="0" w:color="000000"/>
              <w:left w:val="nil"/>
              <w:bottom w:val="single" w:sz="6" w:space="0" w:color="000000"/>
              <w:right w:val="nil"/>
              <w:tl2br w:val="nil"/>
              <w:tr2bl w:val="nil"/>
            </w:tcBorders>
            <w:shd w:val="clear" w:color="auto" w:fill="C0C0C0"/>
            <w:tcMar>
              <w:left w:w="115" w:type="dxa"/>
              <w:right w:w="115" w:type="dxa"/>
            </w:tcMar>
            <w:vAlign w:val="bottom"/>
          </w:tcPr>
          <w:p w14:paraId="1197032A" w14:textId="77777777" w:rsidR="003F0EEA" w:rsidRPr="007B0048" w:rsidRDefault="00FB7D0B">
            <w:pPr>
              <w:jc w:val="right"/>
              <w:rPr>
                <w:rFonts w:ascii="Arial" w:eastAsia="Arial" w:hAnsi="Arial" w:cs="Arial"/>
                <w:b/>
                <w:color w:val="000000"/>
                <w:sz w:val="16"/>
              </w:rPr>
            </w:pPr>
            <w:r w:rsidRPr="007B0048">
              <w:rPr>
                <w:rFonts w:ascii="Arial" w:eastAsia="Arial" w:hAnsi="Arial" w:cs="Arial"/>
                <w:b/>
                <w:color w:val="000000"/>
                <w:sz w:val="16"/>
              </w:rPr>
              <w:t xml:space="preserve"> 99,343 </w:t>
            </w:r>
          </w:p>
        </w:tc>
        <w:tc>
          <w:tcPr>
            <w:tcW w:w="990" w:type="dxa"/>
            <w:tcBorders>
              <w:top w:val="single" w:sz="6" w:space="0" w:color="000000"/>
              <w:left w:val="nil"/>
              <w:bottom w:val="single" w:sz="6" w:space="0" w:color="000000"/>
              <w:right w:val="nil"/>
              <w:tl2br w:val="nil"/>
              <w:tr2bl w:val="nil"/>
            </w:tcBorders>
            <w:shd w:val="clear" w:color="auto" w:fill="FFFFFF"/>
            <w:tcMar>
              <w:left w:w="115" w:type="dxa"/>
              <w:right w:w="115" w:type="dxa"/>
            </w:tcMar>
            <w:vAlign w:val="bottom"/>
          </w:tcPr>
          <w:p w14:paraId="69612F6F" w14:textId="77777777" w:rsidR="003F0EEA" w:rsidRPr="007B0048" w:rsidRDefault="00FB7D0B">
            <w:pPr>
              <w:jc w:val="right"/>
              <w:rPr>
                <w:rFonts w:ascii="Arial" w:eastAsia="Arial" w:hAnsi="Arial" w:cs="Arial"/>
                <w:b/>
                <w:color w:val="000000"/>
                <w:sz w:val="16"/>
              </w:rPr>
            </w:pPr>
            <w:r w:rsidRPr="007B0048">
              <w:rPr>
                <w:rFonts w:ascii="Arial" w:eastAsia="Arial" w:hAnsi="Arial" w:cs="Arial"/>
                <w:b/>
                <w:color w:val="000000"/>
                <w:sz w:val="16"/>
              </w:rPr>
              <w:t xml:space="preserve"> 83,143 </w:t>
            </w:r>
          </w:p>
        </w:tc>
        <w:tc>
          <w:tcPr>
            <w:tcW w:w="990" w:type="dxa"/>
            <w:tcBorders>
              <w:top w:val="single" w:sz="6" w:space="0" w:color="000000"/>
              <w:left w:val="nil"/>
              <w:bottom w:val="single" w:sz="6" w:space="0" w:color="000000"/>
              <w:right w:val="nil"/>
              <w:tl2br w:val="nil"/>
              <w:tr2bl w:val="nil"/>
            </w:tcBorders>
            <w:shd w:val="clear" w:color="auto" w:fill="FFFFFF"/>
            <w:tcMar>
              <w:left w:w="115" w:type="dxa"/>
              <w:right w:w="115" w:type="dxa"/>
            </w:tcMar>
            <w:vAlign w:val="bottom"/>
          </w:tcPr>
          <w:p w14:paraId="5065929C" w14:textId="77777777" w:rsidR="003F0EEA" w:rsidRPr="007B0048" w:rsidRDefault="00FB7D0B">
            <w:pPr>
              <w:jc w:val="right"/>
              <w:rPr>
                <w:rFonts w:ascii="Arial" w:eastAsia="Arial" w:hAnsi="Arial" w:cs="Arial"/>
                <w:b/>
                <w:color w:val="000000"/>
                <w:sz w:val="16"/>
              </w:rPr>
            </w:pPr>
            <w:r w:rsidRPr="007B0048">
              <w:rPr>
                <w:rFonts w:ascii="Arial" w:eastAsia="Arial" w:hAnsi="Arial" w:cs="Arial"/>
                <w:b/>
                <w:color w:val="000000"/>
                <w:sz w:val="16"/>
              </w:rPr>
              <w:t xml:space="preserve"> 84,153 </w:t>
            </w:r>
          </w:p>
        </w:tc>
        <w:tc>
          <w:tcPr>
            <w:tcW w:w="990" w:type="dxa"/>
            <w:tcBorders>
              <w:top w:val="single" w:sz="6" w:space="0" w:color="000000"/>
              <w:left w:val="nil"/>
              <w:bottom w:val="single" w:sz="6" w:space="0" w:color="000000"/>
              <w:right w:val="nil"/>
              <w:tl2br w:val="nil"/>
              <w:tr2bl w:val="nil"/>
            </w:tcBorders>
            <w:shd w:val="clear" w:color="auto" w:fill="FFFFFF"/>
            <w:tcMar>
              <w:left w:w="115" w:type="dxa"/>
              <w:right w:w="115" w:type="dxa"/>
            </w:tcMar>
            <w:vAlign w:val="bottom"/>
          </w:tcPr>
          <w:p w14:paraId="63B649FB" w14:textId="77777777" w:rsidR="003F0EEA" w:rsidRPr="007B0048" w:rsidRDefault="00FB7D0B">
            <w:pPr>
              <w:jc w:val="right"/>
              <w:rPr>
                <w:rFonts w:ascii="Arial" w:eastAsia="Arial" w:hAnsi="Arial" w:cs="Arial"/>
                <w:b/>
                <w:color w:val="000000"/>
                <w:sz w:val="16"/>
              </w:rPr>
            </w:pPr>
            <w:r w:rsidRPr="007B0048">
              <w:rPr>
                <w:rFonts w:ascii="Arial" w:eastAsia="Arial" w:hAnsi="Arial" w:cs="Arial"/>
                <w:b/>
                <w:color w:val="000000"/>
                <w:sz w:val="16"/>
              </w:rPr>
              <w:t xml:space="preserve"> 87,209 </w:t>
            </w:r>
          </w:p>
        </w:tc>
      </w:tr>
      <w:tr w:rsidR="00355BFE" w14:paraId="0E82F58F" w14:textId="77777777" w:rsidTr="00355BFE">
        <w:trPr>
          <w:trHeight w:val="225"/>
        </w:trPr>
        <w:tc>
          <w:tcPr>
            <w:tcW w:w="3510" w:type="dxa"/>
            <w:gridSpan w:val="3"/>
            <w:tcBorders>
              <w:top w:val="nil"/>
              <w:left w:val="nil"/>
              <w:bottom w:val="nil"/>
              <w:right w:val="nil"/>
              <w:tl2br w:val="nil"/>
              <w:tr2bl w:val="nil"/>
            </w:tcBorders>
            <w:shd w:val="clear" w:color="auto" w:fill="FFFFFF"/>
            <w:tcMar>
              <w:left w:w="115" w:type="dxa"/>
              <w:right w:w="115" w:type="dxa"/>
            </w:tcMar>
            <w:vAlign w:val="bottom"/>
          </w:tcPr>
          <w:p w14:paraId="4F5640BF" w14:textId="77777777" w:rsidR="003F0EEA" w:rsidRPr="007B0048" w:rsidRDefault="00FB7D0B">
            <w:pPr>
              <w:rPr>
                <w:rFonts w:ascii="Arial" w:eastAsia="Arial" w:hAnsi="Arial" w:cs="Arial"/>
                <w:b/>
                <w:color w:val="000000"/>
                <w:sz w:val="16"/>
              </w:rPr>
            </w:pPr>
            <w:r w:rsidRPr="007B0048">
              <w:rPr>
                <w:rFonts w:ascii="Arial" w:eastAsia="Arial" w:hAnsi="Arial" w:cs="Arial"/>
                <w:b/>
                <w:color w:val="000000"/>
                <w:sz w:val="16"/>
              </w:rPr>
              <w:t xml:space="preserve">Net cash from (used by)  </w:t>
            </w:r>
          </w:p>
        </w:tc>
        <w:tc>
          <w:tcPr>
            <w:tcW w:w="990"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3AFEC8F6" w14:textId="77777777" w:rsidR="003F0EEA" w:rsidRPr="007B0048" w:rsidRDefault="003F0EEA">
            <w:pPr>
              <w:rPr>
                <w:rFonts w:ascii="Arial" w:eastAsia="Arial" w:hAnsi="Arial" w:cs="Arial"/>
                <w:b/>
                <w:color w:val="000000"/>
                <w:sz w:val="16"/>
              </w:rPr>
            </w:pPr>
          </w:p>
        </w:tc>
        <w:tc>
          <w:tcPr>
            <w:tcW w:w="990" w:type="dxa"/>
            <w:tcBorders>
              <w:top w:val="single" w:sz="6" w:space="0" w:color="000000"/>
              <w:left w:val="nil"/>
              <w:bottom w:val="nil"/>
              <w:right w:val="nil"/>
              <w:tl2br w:val="nil"/>
              <w:tr2bl w:val="nil"/>
            </w:tcBorders>
            <w:shd w:val="clear" w:color="auto" w:fill="C0C0C0"/>
            <w:tcMar>
              <w:left w:w="115" w:type="dxa"/>
              <w:right w:w="115" w:type="dxa"/>
            </w:tcMar>
            <w:vAlign w:val="bottom"/>
          </w:tcPr>
          <w:p w14:paraId="5B705C95" w14:textId="77777777" w:rsidR="003F0EEA" w:rsidRPr="007B0048" w:rsidRDefault="003F0EEA">
            <w:pPr>
              <w:rPr>
                <w:rFonts w:ascii="Arial" w:eastAsia="Arial" w:hAnsi="Arial" w:cs="Arial"/>
                <w:color w:val="000000"/>
                <w:sz w:val="16"/>
              </w:rPr>
            </w:pPr>
          </w:p>
        </w:tc>
        <w:tc>
          <w:tcPr>
            <w:tcW w:w="990"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009CAA75" w14:textId="77777777" w:rsidR="003F0EEA" w:rsidRPr="007B0048" w:rsidRDefault="003F0EEA">
            <w:pPr>
              <w:rPr>
                <w:rFonts w:ascii="Arial" w:eastAsia="Arial" w:hAnsi="Arial" w:cs="Arial"/>
                <w:color w:val="000000"/>
                <w:sz w:val="16"/>
              </w:rPr>
            </w:pPr>
          </w:p>
        </w:tc>
        <w:tc>
          <w:tcPr>
            <w:tcW w:w="990"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1543F451" w14:textId="77777777" w:rsidR="003F0EEA" w:rsidRPr="007B0048" w:rsidRDefault="003F0EEA">
            <w:pPr>
              <w:rPr>
                <w:rFonts w:ascii="Arial" w:eastAsia="Arial" w:hAnsi="Arial" w:cs="Arial"/>
                <w:color w:val="000000"/>
                <w:sz w:val="16"/>
              </w:rPr>
            </w:pPr>
          </w:p>
        </w:tc>
        <w:tc>
          <w:tcPr>
            <w:tcW w:w="990"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6B00888A" w14:textId="77777777" w:rsidR="003F0EEA" w:rsidRPr="007B0048" w:rsidRDefault="003F0EEA">
            <w:pPr>
              <w:rPr>
                <w:rFonts w:ascii="Arial" w:eastAsia="Arial" w:hAnsi="Arial" w:cs="Arial"/>
                <w:color w:val="000000"/>
                <w:sz w:val="16"/>
              </w:rPr>
            </w:pPr>
          </w:p>
        </w:tc>
      </w:tr>
      <w:tr w:rsidR="00355BFE" w14:paraId="19FF7E6D" w14:textId="77777777" w:rsidTr="00355BFE">
        <w:trPr>
          <w:trHeight w:val="225"/>
        </w:trPr>
        <w:tc>
          <w:tcPr>
            <w:tcW w:w="180"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51131B88" w14:textId="77777777" w:rsidR="003F0EEA" w:rsidRPr="007B0048" w:rsidRDefault="003F0EEA">
            <w:pPr>
              <w:rPr>
                <w:rFonts w:ascii="Arial" w:eastAsia="Arial" w:hAnsi="Arial" w:cs="Arial"/>
                <w:color w:val="000000"/>
                <w:sz w:val="16"/>
              </w:rPr>
            </w:pPr>
          </w:p>
        </w:tc>
        <w:tc>
          <w:tcPr>
            <w:tcW w:w="3330" w:type="dxa"/>
            <w:gridSpan w:val="2"/>
            <w:tcBorders>
              <w:top w:val="nil"/>
              <w:left w:val="nil"/>
              <w:bottom w:val="single" w:sz="6" w:space="0" w:color="000000"/>
              <w:right w:val="nil"/>
              <w:tl2br w:val="nil"/>
              <w:tr2bl w:val="nil"/>
            </w:tcBorders>
            <w:shd w:val="clear" w:color="auto" w:fill="FFFFFF"/>
            <w:tcMar>
              <w:left w:w="115" w:type="dxa"/>
              <w:right w:w="115" w:type="dxa"/>
            </w:tcMar>
            <w:vAlign w:val="bottom"/>
          </w:tcPr>
          <w:p w14:paraId="65140D2A" w14:textId="77777777" w:rsidR="003F0EEA" w:rsidRPr="007B0048" w:rsidRDefault="00FB7D0B">
            <w:pPr>
              <w:rPr>
                <w:rFonts w:ascii="Arial" w:eastAsia="Arial" w:hAnsi="Arial" w:cs="Arial"/>
                <w:b/>
                <w:color w:val="000000"/>
                <w:sz w:val="16"/>
              </w:rPr>
            </w:pPr>
            <w:r w:rsidRPr="007B0048">
              <w:rPr>
                <w:rFonts w:ascii="Arial" w:eastAsia="Arial" w:hAnsi="Arial" w:cs="Arial"/>
                <w:b/>
                <w:color w:val="000000"/>
                <w:sz w:val="16"/>
              </w:rPr>
              <w:t>investing activities</w:t>
            </w:r>
          </w:p>
        </w:tc>
        <w:tc>
          <w:tcPr>
            <w:tcW w:w="990"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4D49FF84" w14:textId="77777777" w:rsidR="003F0EEA" w:rsidRPr="007B0048" w:rsidRDefault="00FB7D0B">
            <w:pPr>
              <w:jc w:val="right"/>
              <w:rPr>
                <w:rFonts w:ascii="Arial" w:eastAsia="Arial" w:hAnsi="Arial" w:cs="Arial"/>
                <w:b/>
                <w:color w:val="000000"/>
                <w:sz w:val="16"/>
              </w:rPr>
            </w:pPr>
            <w:r w:rsidRPr="007B0048">
              <w:rPr>
                <w:rFonts w:ascii="Arial" w:eastAsia="Arial" w:hAnsi="Arial" w:cs="Arial"/>
                <w:b/>
                <w:color w:val="000000"/>
                <w:sz w:val="16"/>
              </w:rPr>
              <w:t>(35,650)</w:t>
            </w:r>
          </w:p>
        </w:tc>
        <w:tc>
          <w:tcPr>
            <w:tcW w:w="990" w:type="dxa"/>
            <w:tcBorders>
              <w:top w:val="nil"/>
              <w:left w:val="nil"/>
              <w:bottom w:val="single" w:sz="6" w:space="0" w:color="000000"/>
              <w:right w:val="nil"/>
              <w:tl2br w:val="nil"/>
              <w:tr2bl w:val="nil"/>
            </w:tcBorders>
            <w:shd w:val="clear" w:color="auto" w:fill="C0C0C0"/>
            <w:tcMar>
              <w:left w:w="115" w:type="dxa"/>
              <w:right w:w="115" w:type="dxa"/>
            </w:tcMar>
            <w:vAlign w:val="bottom"/>
          </w:tcPr>
          <w:p w14:paraId="2ADC3D13" w14:textId="77777777" w:rsidR="003F0EEA" w:rsidRPr="007B0048" w:rsidRDefault="00FB7D0B">
            <w:pPr>
              <w:jc w:val="right"/>
              <w:rPr>
                <w:rFonts w:ascii="Arial" w:eastAsia="Arial" w:hAnsi="Arial" w:cs="Arial"/>
                <w:b/>
                <w:color w:val="000000"/>
                <w:sz w:val="16"/>
              </w:rPr>
            </w:pPr>
            <w:r w:rsidRPr="007B0048">
              <w:rPr>
                <w:rFonts w:ascii="Arial" w:eastAsia="Arial" w:hAnsi="Arial" w:cs="Arial"/>
                <w:b/>
                <w:color w:val="000000"/>
                <w:sz w:val="16"/>
              </w:rPr>
              <w:t>(22,843)</w:t>
            </w:r>
          </w:p>
        </w:tc>
        <w:tc>
          <w:tcPr>
            <w:tcW w:w="990"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5E1FDEBD" w14:textId="77777777" w:rsidR="003F0EEA" w:rsidRPr="007B0048" w:rsidRDefault="00FB7D0B">
            <w:pPr>
              <w:jc w:val="right"/>
              <w:rPr>
                <w:rFonts w:ascii="Arial" w:eastAsia="Arial" w:hAnsi="Arial" w:cs="Arial"/>
                <w:b/>
                <w:color w:val="000000"/>
                <w:sz w:val="16"/>
              </w:rPr>
            </w:pPr>
            <w:r w:rsidRPr="007B0048">
              <w:rPr>
                <w:rFonts w:ascii="Arial" w:eastAsia="Arial" w:hAnsi="Arial" w:cs="Arial"/>
                <w:b/>
                <w:color w:val="000000"/>
                <w:sz w:val="16"/>
              </w:rPr>
              <w:t>(17,143)</w:t>
            </w:r>
          </w:p>
        </w:tc>
        <w:tc>
          <w:tcPr>
            <w:tcW w:w="990"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07B0D487" w14:textId="77777777" w:rsidR="003F0EEA" w:rsidRPr="007B0048" w:rsidRDefault="00FB7D0B">
            <w:pPr>
              <w:jc w:val="right"/>
              <w:rPr>
                <w:rFonts w:ascii="Arial" w:eastAsia="Arial" w:hAnsi="Arial" w:cs="Arial"/>
                <w:b/>
                <w:color w:val="000000"/>
                <w:sz w:val="16"/>
              </w:rPr>
            </w:pPr>
            <w:r w:rsidRPr="007B0048">
              <w:rPr>
                <w:rFonts w:ascii="Arial" w:eastAsia="Arial" w:hAnsi="Arial" w:cs="Arial"/>
                <w:b/>
                <w:color w:val="000000"/>
                <w:sz w:val="16"/>
              </w:rPr>
              <w:t>(18,153)</w:t>
            </w:r>
          </w:p>
        </w:tc>
        <w:tc>
          <w:tcPr>
            <w:tcW w:w="990"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25D5E6AF" w14:textId="77777777" w:rsidR="003F0EEA" w:rsidRPr="007B0048" w:rsidRDefault="00FB7D0B">
            <w:pPr>
              <w:jc w:val="right"/>
              <w:rPr>
                <w:rFonts w:ascii="Arial" w:eastAsia="Arial" w:hAnsi="Arial" w:cs="Arial"/>
                <w:b/>
                <w:color w:val="000000"/>
                <w:sz w:val="16"/>
              </w:rPr>
            </w:pPr>
            <w:r w:rsidRPr="007B0048">
              <w:rPr>
                <w:rFonts w:ascii="Arial" w:eastAsia="Arial" w:hAnsi="Arial" w:cs="Arial"/>
                <w:b/>
                <w:color w:val="000000"/>
                <w:sz w:val="16"/>
              </w:rPr>
              <w:t>(18,209)</w:t>
            </w:r>
          </w:p>
        </w:tc>
      </w:tr>
    </w:tbl>
    <w:p w14:paraId="79A1CD92" w14:textId="77777777" w:rsidR="003F0EEA" w:rsidRDefault="00FB7D0B" w:rsidP="003F0EEA">
      <w:pPr>
        <w:pStyle w:val="Source20"/>
      </w:pPr>
      <w:r>
        <w:rPr>
          <w:rFonts w:cs="Arial"/>
        </w:rPr>
        <w:t>Prepared on Australian Accounting Standards basis</w:t>
      </w:r>
    </w:p>
    <w:p w14:paraId="4F586029" w14:textId="77777777" w:rsidR="003F0EEA" w:rsidRDefault="00FB7D0B" w:rsidP="003F0EEA">
      <w:pPr>
        <w:pStyle w:val="TableHeading30"/>
        <w:ind w:left="5103"/>
        <w:jc w:val="right"/>
        <w:rPr>
          <w:b w:val="0"/>
          <w:sz w:val="16"/>
          <w:szCs w:val="16"/>
        </w:rPr>
      </w:pPr>
      <w:r>
        <w:rPr>
          <w:b w:val="0"/>
          <w:sz w:val="16"/>
          <w:szCs w:val="16"/>
        </w:rPr>
        <w:t>Table continued on next page</w:t>
      </w:r>
    </w:p>
    <w:p w14:paraId="0C6DE422" w14:textId="77777777" w:rsidR="003F0EEA" w:rsidRDefault="00FB7D0B">
      <w:pPr>
        <w:spacing w:line="14" w:lineRule="exact"/>
        <w:rPr>
          <w:rFonts w:eastAsia="Times New Roman"/>
          <w:sz w:val="16"/>
          <w:szCs w:val="16"/>
        </w:rPr>
      </w:pPr>
      <w:r>
        <w:rPr>
          <w:rFonts w:eastAsia="Times New Roman"/>
          <w:sz w:val="16"/>
          <w:szCs w:val="16"/>
        </w:rPr>
        <w:br w:type="page"/>
      </w:r>
    </w:p>
    <w:p w14:paraId="6ED59AA8" w14:textId="77777777" w:rsidR="003F0EEA" w:rsidRPr="007B0048" w:rsidRDefault="00FB7D0B" w:rsidP="003F0EEA">
      <w:pPr>
        <w:pStyle w:val="Normal253"/>
        <w:spacing w:after="0"/>
        <w:jc w:val="left"/>
        <w:rPr>
          <w:rFonts w:ascii="Arial" w:hAnsi="Arial" w:cs="Arial"/>
          <w:b/>
        </w:rPr>
      </w:pPr>
      <w:r>
        <w:rPr>
          <w:rFonts w:ascii="Arial" w:hAnsi="Arial" w:cs="Arial"/>
          <w:b/>
        </w:rPr>
        <w:t>Table 3.2.4: Budgeted Departmental Statement of Cash F</w:t>
      </w:r>
      <w:r w:rsidRPr="007B0048">
        <w:rPr>
          <w:rFonts w:ascii="Arial" w:hAnsi="Arial" w:cs="Arial"/>
          <w:b/>
        </w:rPr>
        <w:t>lows</w:t>
      </w:r>
    </w:p>
    <w:p w14:paraId="139B029D" w14:textId="77777777" w:rsidR="003F0EEA" w:rsidRPr="0068091F" w:rsidRDefault="00FB7D0B" w:rsidP="003F0EEA">
      <w:pPr>
        <w:pStyle w:val="Normal253"/>
        <w:spacing w:after="0"/>
        <w:jc w:val="left"/>
        <w:rPr>
          <w:rFonts w:ascii="Arial" w:hAnsi="Arial" w:cs="Arial"/>
          <w:b/>
        </w:rPr>
      </w:pPr>
      <w:r>
        <w:rPr>
          <w:rFonts w:ascii="Arial" w:hAnsi="Arial" w:cs="Arial"/>
          <w:b/>
        </w:rPr>
        <w:t>(</w:t>
      </w:r>
      <w:r w:rsidRPr="007B0048">
        <w:rPr>
          <w:rFonts w:ascii="Arial" w:hAnsi="Arial" w:cs="Arial"/>
          <w:b/>
        </w:rPr>
        <w:t xml:space="preserve">for the period </w:t>
      </w:r>
      <w:r w:rsidRPr="0068091F">
        <w:rPr>
          <w:rFonts w:ascii="Arial" w:hAnsi="Arial" w:cs="Arial"/>
          <w:b/>
        </w:rPr>
        <w:t>ended 30 June</w:t>
      </w:r>
      <w:r>
        <w:rPr>
          <w:rFonts w:ascii="Arial" w:hAnsi="Arial" w:cs="Arial"/>
          <w:b/>
        </w:rPr>
        <w:t>)</w:t>
      </w:r>
      <w:r w:rsidRPr="0068091F">
        <w:rPr>
          <w:rFonts w:ascii="Arial" w:hAnsi="Arial" w:cs="Arial"/>
          <w:b/>
        </w:rPr>
        <w:t xml:space="preserve"> (continued)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0"/>
        <w:gridCol w:w="250"/>
        <w:gridCol w:w="3150"/>
        <w:gridCol w:w="990"/>
        <w:gridCol w:w="990"/>
        <w:gridCol w:w="990"/>
        <w:gridCol w:w="990"/>
        <w:gridCol w:w="990"/>
      </w:tblGrid>
      <w:tr w:rsidR="00724034" w14:paraId="1F9FABE7" w14:textId="77777777">
        <w:trPr>
          <w:trHeight w:val="225"/>
        </w:trPr>
        <w:tc>
          <w:tcPr>
            <w:tcW w:w="180"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3CC003F2" w14:textId="77777777" w:rsidR="003F0EEA" w:rsidRPr="0068091F" w:rsidRDefault="003F0EEA">
            <w:pPr>
              <w:rPr>
                <w:rFonts w:ascii="Arial" w:eastAsia="Times New Roman" w:hAnsi="Arial" w:cs="Arial"/>
                <w:b/>
              </w:rPr>
            </w:pPr>
          </w:p>
        </w:tc>
        <w:tc>
          <w:tcPr>
            <w:tcW w:w="180"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2D643C9F" w14:textId="77777777" w:rsidR="003F0EEA" w:rsidRPr="0068091F" w:rsidRDefault="003F0EEA">
            <w:pPr>
              <w:rPr>
                <w:rFonts w:ascii="Arial" w:eastAsia="Arial" w:hAnsi="Arial" w:cs="Arial"/>
                <w:color w:val="000000"/>
                <w:sz w:val="16"/>
              </w:rPr>
            </w:pPr>
          </w:p>
        </w:tc>
        <w:tc>
          <w:tcPr>
            <w:tcW w:w="3150"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79767434" w14:textId="77777777" w:rsidR="003F0EEA" w:rsidRPr="0068091F" w:rsidRDefault="003F0EEA">
            <w:pPr>
              <w:rPr>
                <w:rFonts w:ascii="Arial" w:eastAsia="Arial" w:hAnsi="Arial" w:cs="Arial"/>
                <w:color w:val="000000"/>
                <w:sz w:val="16"/>
              </w:rPr>
            </w:pPr>
          </w:p>
        </w:tc>
        <w:tc>
          <w:tcPr>
            <w:tcW w:w="990"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5054E3EE" w14:textId="77777777" w:rsidR="003F0EEA" w:rsidRPr="0068091F" w:rsidRDefault="00FB7D0B">
            <w:pPr>
              <w:jc w:val="right"/>
              <w:rPr>
                <w:rFonts w:ascii="Arial" w:eastAsia="Arial" w:hAnsi="Arial" w:cs="Arial"/>
                <w:color w:val="000000"/>
                <w:sz w:val="16"/>
              </w:rPr>
            </w:pPr>
            <w:r w:rsidRPr="0068091F">
              <w:rPr>
                <w:rFonts w:ascii="Arial" w:eastAsia="Arial" w:hAnsi="Arial" w:cs="Arial"/>
                <w:color w:val="000000"/>
                <w:sz w:val="16"/>
              </w:rPr>
              <w:t>Estimated</w:t>
            </w:r>
          </w:p>
        </w:tc>
        <w:tc>
          <w:tcPr>
            <w:tcW w:w="990" w:type="dxa"/>
            <w:tcBorders>
              <w:top w:val="single" w:sz="6" w:space="0" w:color="000000"/>
              <w:left w:val="nil"/>
              <w:bottom w:val="nil"/>
              <w:right w:val="nil"/>
              <w:tl2br w:val="nil"/>
              <w:tr2bl w:val="nil"/>
            </w:tcBorders>
            <w:shd w:val="clear" w:color="auto" w:fill="C0C0C0"/>
            <w:tcMar>
              <w:left w:w="115" w:type="dxa"/>
              <w:right w:w="115" w:type="dxa"/>
            </w:tcMar>
            <w:vAlign w:val="bottom"/>
          </w:tcPr>
          <w:p w14:paraId="63B8F0CF" w14:textId="77777777" w:rsidR="003F0EEA" w:rsidRPr="0068091F" w:rsidRDefault="00FB7D0B">
            <w:pPr>
              <w:jc w:val="right"/>
              <w:rPr>
                <w:rFonts w:ascii="Arial" w:eastAsia="Arial" w:hAnsi="Arial" w:cs="Arial"/>
                <w:color w:val="000000"/>
                <w:sz w:val="16"/>
              </w:rPr>
            </w:pPr>
            <w:r w:rsidRPr="0068091F">
              <w:rPr>
                <w:rFonts w:ascii="Arial" w:eastAsia="Arial" w:hAnsi="Arial" w:cs="Arial"/>
                <w:color w:val="000000"/>
                <w:sz w:val="16"/>
              </w:rPr>
              <w:t>Budget</w:t>
            </w:r>
          </w:p>
        </w:tc>
        <w:tc>
          <w:tcPr>
            <w:tcW w:w="990"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48FB1CC0" w14:textId="77777777" w:rsidR="003F0EEA" w:rsidRPr="0068091F" w:rsidRDefault="00FB7D0B">
            <w:pPr>
              <w:jc w:val="right"/>
              <w:rPr>
                <w:rFonts w:ascii="Arial" w:eastAsia="Arial" w:hAnsi="Arial" w:cs="Arial"/>
                <w:color w:val="000000"/>
                <w:sz w:val="16"/>
              </w:rPr>
            </w:pPr>
            <w:r w:rsidRPr="0068091F">
              <w:rPr>
                <w:rFonts w:ascii="Arial" w:eastAsia="Arial" w:hAnsi="Arial" w:cs="Arial"/>
                <w:color w:val="000000"/>
                <w:sz w:val="16"/>
              </w:rPr>
              <w:t>Forward</w:t>
            </w:r>
          </w:p>
        </w:tc>
        <w:tc>
          <w:tcPr>
            <w:tcW w:w="990"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648ACCA3" w14:textId="77777777" w:rsidR="003F0EEA" w:rsidRPr="0068091F" w:rsidRDefault="00FB7D0B">
            <w:pPr>
              <w:jc w:val="right"/>
              <w:rPr>
                <w:rFonts w:ascii="Arial" w:eastAsia="Arial" w:hAnsi="Arial" w:cs="Arial"/>
                <w:color w:val="000000"/>
                <w:sz w:val="16"/>
              </w:rPr>
            </w:pPr>
            <w:r w:rsidRPr="0068091F">
              <w:rPr>
                <w:rFonts w:ascii="Arial" w:eastAsia="Arial" w:hAnsi="Arial" w:cs="Arial"/>
                <w:color w:val="000000"/>
                <w:sz w:val="16"/>
              </w:rPr>
              <w:t>Forward</w:t>
            </w:r>
          </w:p>
        </w:tc>
        <w:tc>
          <w:tcPr>
            <w:tcW w:w="990"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3BD96FB8" w14:textId="77777777" w:rsidR="003F0EEA" w:rsidRPr="0068091F" w:rsidRDefault="00FB7D0B">
            <w:pPr>
              <w:jc w:val="right"/>
              <w:rPr>
                <w:rFonts w:ascii="Arial" w:eastAsia="Arial" w:hAnsi="Arial" w:cs="Arial"/>
                <w:color w:val="000000"/>
                <w:sz w:val="16"/>
              </w:rPr>
            </w:pPr>
            <w:r w:rsidRPr="0068091F">
              <w:rPr>
                <w:rFonts w:ascii="Arial" w:eastAsia="Arial" w:hAnsi="Arial" w:cs="Arial"/>
                <w:color w:val="000000"/>
                <w:sz w:val="16"/>
              </w:rPr>
              <w:t>Forward</w:t>
            </w:r>
          </w:p>
        </w:tc>
      </w:tr>
      <w:tr w:rsidR="00724034" w14:paraId="7508F79D" w14:textId="77777777">
        <w:trPr>
          <w:trHeight w:val="225"/>
        </w:trPr>
        <w:tc>
          <w:tcPr>
            <w:tcW w:w="180" w:type="dxa"/>
            <w:tcBorders>
              <w:top w:val="nil"/>
              <w:left w:val="nil"/>
              <w:bottom w:val="nil"/>
              <w:right w:val="nil"/>
              <w:tl2br w:val="nil"/>
              <w:tr2bl w:val="nil"/>
            </w:tcBorders>
            <w:shd w:val="clear" w:color="auto" w:fill="FFFFFF"/>
            <w:tcMar>
              <w:left w:w="115" w:type="dxa"/>
              <w:right w:w="115" w:type="dxa"/>
            </w:tcMar>
            <w:vAlign w:val="bottom"/>
          </w:tcPr>
          <w:p w14:paraId="4B929063" w14:textId="77777777" w:rsidR="003F0EEA" w:rsidRPr="0068091F" w:rsidRDefault="003F0EEA">
            <w:pPr>
              <w:rPr>
                <w:rFonts w:ascii="Arial" w:eastAsia="Arial" w:hAnsi="Arial" w:cs="Arial"/>
                <w:color w:val="000000"/>
                <w:sz w:val="16"/>
              </w:rPr>
            </w:pPr>
          </w:p>
        </w:tc>
        <w:tc>
          <w:tcPr>
            <w:tcW w:w="180" w:type="dxa"/>
            <w:tcBorders>
              <w:top w:val="nil"/>
              <w:left w:val="nil"/>
              <w:bottom w:val="nil"/>
              <w:right w:val="nil"/>
              <w:tl2br w:val="nil"/>
              <w:tr2bl w:val="nil"/>
            </w:tcBorders>
            <w:shd w:val="clear" w:color="auto" w:fill="FFFFFF"/>
            <w:tcMar>
              <w:left w:w="115" w:type="dxa"/>
              <w:right w:w="115" w:type="dxa"/>
            </w:tcMar>
            <w:vAlign w:val="bottom"/>
          </w:tcPr>
          <w:p w14:paraId="50BA0D24" w14:textId="77777777" w:rsidR="003F0EEA" w:rsidRPr="0068091F" w:rsidRDefault="003F0EEA">
            <w:pPr>
              <w:rPr>
                <w:rFonts w:ascii="Arial" w:eastAsia="Arial" w:hAnsi="Arial" w:cs="Arial"/>
                <w:color w:val="000000"/>
                <w:sz w:val="16"/>
              </w:rPr>
            </w:pPr>
          </w:p>
        </w:tc>
        <w:tc>
          <w:tcPr>
            <w:tcW w:w="3150" w:type="dxa"/>
            <w:tcBorders>
              <w:top w:val="nil"/>
              <w:left w:val="nil"/>
              <w:bottom w:val="nil"/>
              <w:right w:val="nil"/>
              <w:tl2br w:val="nil"/>
              <w:tr2bl w:val="nil"/>
            </w:tcBorders>
            <w:shd w:val="clear" w:color="auto" w:fill="FFFFFF"/>
            <w:tcMar>
              <w:left w:w="115" w:type="dxa"/>
              <w:right w:w="115" w:type="dxa"/>
            </w:tcMar>
            <w:vAlign w:val="bottom"/>
          </w:tcPr>
          <w:p w14:paraId="0C96FC7E" w14:textId="77777777" w:rsidR="003F0EEA" w:rsidRPr="0068091F" w:rsidRDefault="003F0EEA">
            <w:pPr>
              <w:rPr>
                <w:rFonts w:ascii="Arial" w:eastAsia="Arial" w:hAnsi="Arial" w:cs="Arial"/>
                <w:color w:val="000000"/>
                <w:sz w:val="16"/>
              </w:rPr>
            </w:pPr>
          </w:p>
        </w:tc>
        <w:tc>
          <w:tcPr>
            <w:tcW w:w="990" w:type="dxa"/>
            <w:tcBorders>
              <w:top w:val="nil"/>
              <w:left w:val="nil"/>
              <w:bottom w:val="nil"/>
              <w:right w:val="nil"/>
              <w:tl2br w:val="nil"/>
              <w:tr2bl w:val="nil"/>
            </w:tcBorders>
            <w:shd w:val="clear" w:color="auto" w:fill="FFFFFF"/>
            <w:tcMar>
              <w:left w:w="115" w:type="dxa"/>
              <w:right w:w="115" w:type="dxa"/>
            </w:tcMar>
            <w:vAlign w:val="bottom"/>
          </w:tcPr>
          <w:p w14:paraId="17611C28" w14:textId="77777777" w:rsidR="003F0EEA" w:rsidRPr="0068091F" w:rsidRDefault="00FB7D0B">
            <w:pPr>
              <w:jc w:val="right"/>
              <w:rPr>
                <w:rFonts w:ascii="Arial" w:eastAsia="Arial" w:hAnsi="Arial" w:cs="Arial"/>
                <w:color w:val="000000"/>
                <w:sz w:val="16"/>
              </w:rPr>
            </w:pPr>
            <w:r w:rsidRPr="0068091F">
              <w:rPr>
                <w:rFonts w:ascii="Arial" w:eastAsia="Arial" w:hAnsi="Arial" w:cs="Arial"/>
                <w:color w:val="000000"/>
                <w:sz w:val="16"/>
              </w:rPr>
              <w:t>actual</w:t>
            </w:r>
          </w:p>
        </w:tc>
        <w:tc>
          <w:tcPr>
            <w:tcW w:w="990" w:type="dxa"/>
            <w:tcBorders>
              <w:top w:val="nil"/>
              <w:left w:val="nil"/>
              <w:bottom w:val="nil"/>
              <w:right w:val="nil"/>
              <w:tl2br w:val="nil"/>
              <w:tr2bl w:val="nil"/>
            </w:tcBorders>
            <w:shd w:val="clear" w:color="auto" w:fill="C0C0C0"/>
            <w:tcMar>
              <w:left w:w="115" w:type="dxa"/>
              <w:right w:w="115" w:type="dxa"/>
            </w:tcMar>
            <w:vAlign w:val="bottom"/>
          </w:tcPr>
          <w:p w14:paraId="0381EEB8" w14:textId="77777777" w:rsidR="003F0EEA" w:rsidRPr="0068091F" w:rsidRDefault="00FB7D0B">
            <w:pPr>
              <w:jc w:val="right"/>
              <w:rPr>
                <w:rFonts w:ascii="Arial" w:eastAsia="Arial" w:hAnsi="Arial" w:cs="Arial"/>
                <w:color w:val="000000"/>
                <w:sz w:val="16"/>
              </w:rPr>
            </w:pPr>
            <w:r w:rsidRPr="0068091F">
              <w:rPr>
                <w:rFonts w:ascii="Arial" w:eastAsia="Arial" w:hAnsi="Arial" w:cs="Arial"/>
                <w:color w:val="000000"/>
                <w:sz w:val="16"/>
              </w:rPr>
              <w:t>estimate</w:t>
            </w:r>
          </w:p>
        </w:tc>
        <w:tc>
          <w:tcPr>
            <w:tcW w:w="990" w:type="dxa"/>
            <w:tcBorders>
              <w:top w:val="nil"/>
              <w:left w:val="nil"/>
              <w:bottom w:val="nil"/>
              <w:right w:val="nil"/>
              <w:tl2br w:val="nil"/>
              <w:tr2bl w:val="nil"/>
            </w:tcBorders>
            <w:shd w:val="clear" w:color="auto" w:fill="FFFFFF"/>
            <w:tcMar>
              <w:left w:w="115" w:type="dxa"/>
              <w:right w:w="115" w:type="dxa"/>
            </w:tcMar>
            <w:vAlign w:val="bottom"/>
          </w:tcPr>
          <w:p w14:paraId="2AAFC78F" w14:textId="77777777" w:rsidR="003F0EEA" w:rsidRPr="0068091F" w:rsidRDefault="00FB7D0B">
            <w:pPr>
              <w:jc w:val="right"/>
              <w:rPr>
                <w:rFonts w:ascii="Arial" w:eastAsia="Arial" w:hAnsi="Arial" w:cs="Arial"/>
                <w:color w:val="000000"/>
                <w:sz w:val="16"/>
              </w:rPr>
            </w:pPr>
            <w:r w:rsidRPr="0068091F">
              <w:rPr>
                <w:rFonts w:ascii="Arial" w:eastAsia="Arial" w:hAnsi="Arial" w:cs="Arial"/>
                <w:color w:val="000000"/>
                <w:sz w:val="16"/>
              </w:rPr>
              <w:t>estimate</w:t>
            </w:r>
          </w:p>
        </w:tc>
        <w:tc>
          <w:tcPr>
            <w:tcW w:w="990" w:type="dxa"/>
            <w:tcBorders>
              <w:top w:val="nil"/>
              <w:left w:val="nil"/>
              <w:bottom w:val="nil"/>
              <w:right w:val="nil"/>
              <w:tl2br w:val="nil"/>
              <w:tr2bl w:val="nil"/>
            </w:tcBorders>
            <w:shd w:val="clear" w:color="auto" w:fill="FFFFFF"/>
            <w:tcMar>
              <w:left w:w="115" w:type="dxa"/>
              <w:right w:w="115" w:type="dxa"/>
            </w:tcMar>
            <w:vAlign w:val="bottom"/>
          </w:tcPr>
          <w:p w14:paraId="34879410" w14:textId="77777777" w:rsidR="003F0EEA" w:rsidRPr="0068091F" w:rsidRDefault="00FB7D0B">
            <w:pPr>
              <w:jc w:val="right"/>
              <w:rPr>
                <w:rFonts w:ascii="Arial" w:eastAsia="Arial" w:hAnsi="Arial" w:cs="Arial"/>
                <w:color w:val="000000"/>
                <w:sz w:val="16"/>
              </w:rPr>
            </w:pPr>
            <w:r w:rsidRPr="0068091F">
              <w:rPr>
                <w:rFonts w:ascii="Arial" w:eastAsia="Arial" w:hAnsi="Arial" w:cs="Arial"/>
                <w:color w:val="000000"/>
                <w:sz w:val="16"/>
              </w:rPr>
              <w:t>estimate</w:t>
            </w:r>
          </w:p>
        </w:tc>
        <w:tc>
          <w:tcPr>
            <w:tcW w:w="990" w:type="dxa"/>
            <w:tcBorders>
              <w:top w:val="nil"/>
              <w:left w:val="nil"/>
              <w:bottom w:val="nil"/>
              <w:right w:val="nil"/>
              <w:tl2br w:val="nil"/>
              <w:tr2bl w:val="nil"/>
            </w:tcBorders>
            <w:shd w:val="clear" w:color="auto" w:fill="FFFFFF"/>
            <w:tcMar>
              <w:left w:w="115" w:type="dxa"/>
              <w:right w:w="115" w:type="dxa"/>
            </w:tcMar>
            <w:vAlign w:val="bottom"/>
          </w:tcPr>
          <w:p w14:paraId="5047FEDB" w14:textId="77777777" w:rsidR="003F0EEA" w:rsidRPr="0068091F" w:rsidRDefault="00FB7D0B">
            <w:pPr>
              <w:jc w:val="right"/>
              <w:rPr>
                <w:rFonts w:ascii="Arial" w:eastAsia="Arial" w:hAnsi="Arial" w:cs="Arial"/>
                <w:color w:val="000000"/>
                <w:sz w:val="16"/>
              </w:rPr>
            </w:pPr>
            <w:r w:rsidRPr="0068091F">
              <w:rPr>
                <w:rFonts w:ascii="Arial" w:eastAsia="Arial" w:hAnsi="Arial" w:cs="Arial"/>
                <w:color w:val="000000"/>
                <w:sz w:val="16"/>
              </w:rPr>
              <w:t>estimate</w:t>
            </w:r>
          </w:p>
        </w:tc>
      </w:tr>
      <w:tr w:rsidR="00724034" w14:paraId="2B1A877C" w14:textId="77777777">
        <w:trPr>
          <w:trHeight w:val="225"/>
        </w:trPr>
        <w:tc>
          <w:tcPr>
            <w:tcW w:w="180" w:type="dxa"/>
            <w:tcBorders>
              <w:top w:val="nil"/>
              <w:left w:val="nil"/>
              <w:bottom w:val="nil"/>
              <w:right w:val="nil"/>
              <w:tl2br w:val="nil"/>
              <w:tr2bl w:val="nil"/>
            </w:tcBorders>
            <w:shd w:val="clear" w:color="auto" w:fill="FFFFFF"/>
            <w:tcMar>
              <w:left w:w="115" w:type="dxa"/>
              <w:right w:w="115" w:type="dxa"/>
            </w:tcMar>
            <w:vAlign w:val="bottom"/>
          </w:tcPr>
          <w:p w14:paraId="74103CFD" w14:textId="77777777" w:rsidR="003F0EEA" w:rsidRPr="0068091F" w:rsidRDefault="003F0EEA">
            <w:pPr>
              <w:rPr>
                <w:rFonts w:ascii="Arial" w:eastAsia="Arial" w:hAnsi="Arial" w:cs="Arial"/>
                <w:color w:val="000000"/>
                <w:sz w:val="16"/>
              </w:rPr>
            </w:pPr>
          </w:p>
        </w:tc>
        <w:tc>
          <w:tcPr>
            <w:tcW w:w="180" w:type="dxa"/>
            <w:tcBorders>
              <w:top w:val="nil"/>
              <w:left w:val="nil"/>
              <w:bottom w:val="nil"/>
              <w:right w:val="nil"/>
              <w:tl2br w:val="nil"/>
              <w:tr2bl w:val="nil"/>
            </w:tcBorders>
            <w:shd w:val="clear" w:color="auto" w:fill="FFFFFF"/>
            <w:tcMar>
              <w:left w:w="115" w:type="dxa"/>
              <w:right w:w="115" w:type="dxa"/>
            </w:tcMar>
            <w:vAlign w:val="bottom"/>
          </w:tcPr>
          <w:p w14:paraId="2E00B8F6" w14:textId="77777777" w:rsidR="003F0EEA" w:rsidRPr="0068091F" w:rsidRDefault="003F0EEA">
            <w:pPr>
              <w:rPr>
                <w:rFonts w:ascii="Arial" w:eastAsia="Arial" w:hAnsi="Arial" w:cs="Arial"/>
                <w:color w:val="000000"/>
                <w:sz w:val="16"/>
              </w:rPr>
            </w:pPr>
          </w:p>
        </w:tc>
        <w:tc>
          <w:tcPr>
            <w:tcW w:w="3150" w:type="dxa"/>
            <w:tcBorders>
              <w:top w:val="nil"/>
              <w:left w:val="nil"/>
              <w:bottom w:val="nil"/>
              <w:right w:val="nil"/>
              <w:tl2br w:val="nil"/>
              <w:tr2bl w:val="nil"/>
            </w:tcBorders>
            <w:shd w:val="clear" w:color="auto" w:fill="FFFFFF"/>
            <w:tcMar>
              <w:left w:w="115" w:type="dxa"/>
              <w:right w:w="115" w:type="dxa"/>
            </w:tcMar>
            <w:vAlign w:val="bottom"/>
          </w:tcPr>
          <w:p w14:paraId="6CC4835D" w14:textId="77777777" w:rsidR="003F0EEA" w:rsidRPr="0068091F" w:rsidRDefault="003F0EEA">
            <w:pPr>
              <w:rPr>
                <w:rFonts w:ascii="Arial" w:eastAsia="Arial" w:hAnsi="Arial" w:cs="Arial"/>
                <w:color w:val="000000"/>
                <w:sz w:val="16"/>
              </w:rPr>
            </w:pPr>
          </w:p>
        </w:tc>
        <w:tc>
          <w:tcPr>
            <w:tcW w:w="990" w:type="dxa"/>
            <w:tcBorders>
              <w:top w:val="nil"/>
              <w:left w:val="nil"/>
              <w:bottom w:val="nil"/>
              <w:right w:val="nil"/>
              <w:tl2br w:val="nil"/>
              <w:tr2bl w:val="nil"/>
            </w:tcBorders>
            <w:shd w:val="clear" w:color="auto" w:fill="FFFFFF"/>
            <w:tcMar>
              <w:left w:w="115" w:type="dxa"/>
              <w:right w:w="115" w:type="dxa"/>
            </w:tcMar>
            <w:vAlign w:val="bottom"/>
          </w:tcPr>
          <w:p w14:paraId="49F08A5C" w14:textId="77777777" w:rsidR="003F0EEA" w:rsidRPr="0068091F" w:rsidRDefault="00FB7D0B">
            <w:pPr>
              <w:jc w:val="right"/>
              <w:rPr>
                <w:rFonts w:ascii="Arial" w:eastAsia="Arial" w:hAnsi="Arial" w:cs="Arial"/>
                <w:color w:val="000000"/>
                <w:sz w:val="16"/>
              </w:rPr>
            </w:pPr>
            <w:r w:rsidRPr="0068091F">
              <w:rPr>
                <w:rFonts w:ascii="Arial" w:eastAsia="Arial" w:hAnsi="Arial" w:cs="Arial"/>
                <w:color w:val="000000"/>
                <w:sz w:val="16"/>
              </w:rPr>
              <w:t>2013-14</w:t>
            </w:r>
          </w:p>
        </w:tc>
        <w:tc>
          <w:tcPr>
            <w:tcW w:w="990" w:type="dxa"/>
            <w:tcBorders>
              <w:top w:val="nil"/>
              <w:left w:val="nil"/>
              <w:bottom w:val="nil"/>
              <w:right w:val="nil"/>
              <w:tl2br w:val="nil"/>
              <w:tr2bl w:val="nil"/>
            </w:tcBorders>
            <w:shd w:val="clear" w:color="auto" w:fill="C0C0C0"/>
            <w:tcMar>
              <w:left w:w="115" w:type="dxa"/>
              <w:right w:w="115" w:type="dxa"/>
            </w:tcMar>
            <w:vAlign w:val="bottom"/>
          </w:tcPr>
          <w:p w14:paraId="2BF8C3C4" w14:textId="77777777" w:rsidR="003F0EEA" w:rsidRPr="0068091F" w:rsidRDefault="00FB7D0B">
            <w:pPr>
              <w:jc w:val="right"/>
              <w:rPr>
                <w:rFonts w:ascii="Arial" w:eastAsia="Arial" w:hAnsi="Arial" w:cs="Arial"/>
                <w:color w:val="000000"/>
                <w:sz w:val="16"/>
              </w:rPr>
            </w:pPr>
            <w:r w:rsidRPr="0068091F">
              <w:rPr>
                <w:rFonts w:ascii="Arial" w:eastAsia="Arial" w:hAnsi="Arial" w:cs="Arial"/>
                <w:color w:val="000000"/>
                <w:sz w:val="16"/>
              </w:rPr>
              <w:t>2014-15</w:t>
            </w:r>
          </w:p>
        </w:tc>
        <w:tc>
          <w:tcPr>
            <w:tcW w:w="990" w:type="dxa"/>
            <w:tcBorders>
              <w:top w:val="nil"/>
              <w:left w:val="nil"/>
              <w:bottom w:val="nil"/>
              <w:right w:val="nil"/>
              <w:tl2br w:val="nil"/>
              <w:tr2bl w:val="nil"/>
            </w:tcBorders>
            <w:shd w:val="clear" w:color="auto" w:fill="FFFFFF"/>
            <w:tcMar>
              <w:left w:w="115" w:type="dxa"/>
              <w:right w:w="115" w:type="dxa"/>
            </w:tcMar>
            <w:vAlign w:val="bottom"/>
          </w:tcPr>
          <w:p w14:paraId="017AEF9A" w14:textId="77777777" w:rsidR="003F0EEA" w:rsidRPr="0068091F" w:rsidRDefault="00FB7D0B">
            <w:pPr>
              <w:jc w:val="right"/>
              <w:rPr>
                <w:rFonts w:ascii="Arial" w:eastAsia="Arial" w:hAnsi="Arial" w:cs="Arial"/>
                <w:color w:val="000000"/>
                <w:sz w:val="16"/>
              </w:rPr>
            </w:pPr>
            <w:r w:rsidRPr="0068091F">
              <w:rPr>
                <w:rFonts w:ascii="Arial" w:eastAsia="Arial" w:hAnsi="Arial" w:cs="Arial"/>
                <w:color w:val="000000"/>
                <w:sz w:val="16"/>
              </w:rPr>
              <w:t>2015-16</w:t>
            </w:r>
          </w:p>
        </w:tc>
        <w:tc>
          <w:tcPr>
            <w:tcW w:w="990" w:type="dxa"/>
            <w:tcBorders>
              <w:top w:val="nil"/>
              <w:left w:val="nil"/>
              <w:bottom w:val="nil"/>
              <w:right w:val="nil"/>
              <w:tl2br w:val="nil"/>
              <w:tr2bl w:val="nil"/>
            </w:tcBorders>
            <w:shd w:val="clear" w:color="auto" w:fill="FFFFFF"/>
            <w:tcMar>
              <w:left w:w="115" w:type="dxa"/>
              <w:right w:w="115" w:type="dxa"/>
            </w:tcMar>
            <w:vAlign w:val="bottom"/>
          </w:tcPr>
          <w:p w14:paraId="64469FAA" w14:textId="77777777" w:rsidR="003F0EEA" w:rsidRPr="0068091F" w:rsidRDefault="00FB7D0B">
            <w:pPr>
              <w:jc w:val="right"/>
              <w:rPr>
                <w:rFonts w:ascii="Arial" w:eastAsia="Arial" w:hAnsi="Arial" w:cs="Arial"/>
                <w:color w:val="000000"/>
                <w:sz w:val="16"/>
              </w:rPr>
            </w:pPr>
            <w:r w:rsidRPr="0068091F">
              <w:rPr>
                <w:rFonts w:ascii="Arial" w:eastAsia="Arial" w:hAnsi="Arial" w:cs="Arial"/>
                <w:color w:val="000000"/>
                <w:sz w:val="16"/>
              </w:rPr>
              <w:t>2016-17</w:t>
            </w:r>
          </w:p>
        </w:tc>
        <w:tc>
          <w:tcPr>
            <w:tcW w:w="990" w:type="dxa"/>
            <w:tcBorders>
              <w:top w:val="nil"/>
              <w:left w:val="nil"/>
              <w:bottom w:val="nil"/>
              <w:right w:val="nil"/>
              <w:tl2br w:val="nil"/>
              <w:tr2bl w:val="nil"/>
            </w:tcBorders>
            <w:shd w:val="clear" w:color="auto" w:fill="FFFFFF"/>
            <w:tcMar>
              <w:left w:w="115" w:type="dxa"/>
              <w:right w:w="115" w:type="dxa"/>
            </w:tcMar>
            <w:vAlign w:val="bottom"/>
          </w:tcPr>
          <w:p w14:paraId="046829DC" w14:textId="77777777" w:rsidR="003F0EEA" w:rsidRPr="0068091F" w:rsidRDefault="00FB7D0B">
            <w:pPr>
              <w:jc w:val="right"/>
              <w:rPr>
                <w:rFonts w:ascii="Arial" w:eastAsia="Arial" w:hAnsi="Arial" w:cs="Arial"/>
                <w:color w:val="000000"/>
                <w:sz w:val="16"/>
              </w:rPr>
            </w:pPr>
            <w:r w:rsidRPr="0068091F">
              <w:rPr>
                <w:rFonts w:ascii="Arial" w:eastAsia="Arial" w:hAnsi="Arial" w:cs="Arial"/>
                <w:color w:val="000000"/>
                <w:sz w:val="16"/>
              </w:rPr>
              <w:t>2017-18</w:t>
            </w:r>
          </w:p>
        </w:tc>
      </w:tr>
      <w:tr w:rsidR="00724034" w14:paraId="0B8959E9" w14:textId="77777777">
        <w:trPr>
          <w:trHeight w:val="225"/>
        </w:trPr>
        <w:tc>
          <w:tcPr>
            <w:tcW w:w="180" w:type="dxa"/>
            <w:tcBorders>
              <w:top w:val="nil"/>
              <w:left w:val="nil"/>
              <w:bottom w:val="nil"/>
              <w:right w:val="nil"/>
              <w:tl2br w:val="nil"/>
              <w:tr2bl w:val="nil"/>
            </w:tcBorders>
            <w:shd w:val="clear" w:color="auto" w:fill="FFFFFF"/>
            <w:tcMar>
              <w:left w:w="115" w:type="dxa"/>
              <w:right w:w="115" w:type="dxa"/>
            </w:tcMar>
            <w:vAlign w:val="bottom"/>
          </w:tcPr>
          <w:p w14:paraId="33CC5A1E" w14:textId="77777777" w:rsidR="003F0EEA" w:rsidRPr="0068091F" w:rsidRDefault="003F0EEA">
            <w:pPr>
              <w:rPr>
                <w:rFonts w:ascii="Arial" w:eastAsia="Arial" w:hAnsi="Arial" w:cs="Arial"/>
                <w:color w:val="000000"/>
                <w:sz w:val="16"/>
              </w:rPr>
            </w:pPr>
          </w:p>
        </w:tc>
        <w:tc>
          <w:tcPr>
            <w:tcW w:w="180" w:type="dxa"/>
            <w:tcBorders>
              <w:top w:val="nil"/>
              <w:left w:val="nil"/>
              <w:bottom w:val="nil"/>
              <w:right w:val="nil"/>
              <w:tl2br w:val="nil"/>
              <w:tr2bl w:val="nil"/>
            </w:tcBorders>
            <w:shd w:val="clear" w:color="auto" w:fill="FFFFFF"/>
            <w:tcMar>
              <w:left w:w="115" w:type="dxa"/>
              <w:right w:w="115" w:type="dxa"/>
            </w:tcMar>
            <w:vAlign w:val="bottom"/>
          </w:tcPr>
          <w:p w14:paraId="41AA01F9" w14:textId="77777777" w:rsidR="003F0EEA" w:rsidRPr="0068091F" w:rsidRDefault="003F0EEA">
            <w:pPr>
              <w:rPr>
                <w:rFonts w:ascii="Arial" w:eastAsia="Arial" w:hAnsi="Arial" w:cs="Arial"/>
                <w:color w:val="000000"/>
                <w:sz w:val="16"/>
              </w:rPr>
            </w:pPr>
          </w:p>
        </w:tc>
        <w:tc>
          <w:tcPr>
            <w:tcW w:w="3150" w:type="dxa"/>
            <w:tcBorders>
              <w:top w:val="nil"/>
              <w:left w:val="nil"/>
              <w:bottom w:val="nil"/>
              <w:right w:val="nil"/>
              <w:tl2br w:val="nil"/>
              <w:tr2bl w:val="nil"/>
            </w:tcBorders>
            <w:shd w:val="clear" w:color="auto" w:fill="FFFFFF"/>
            <w:tcMar>
              <w:left w:w="115" w:type="dxa"/>
              <w:right w:w="115" w:type="dxa"/>
            </w:tcMar>
            <w:vAlign w:val="bottom"/>
          </w:tcPr>
          <w:p w14:paraId="321A7577" w14:textId="77777777" w:rsidR="003F0EEA" w:rsidRPr="0068091F" w:rsidRDefault="003F0EEA">
            <w:pPr>
              <w:rPr>
                <w:rFonts w:ascii="Arial" w:eastAsia="Arial" w:hAnsi="Arial" w:cs="Arial"/>
                <w:color w:val="000000"/>
                <w:sz w:val="16"/>
              </w:rPr>
            </w:pPr>
          </w:p>
        </w:tc>
        <w:tc>
          <w:tcPr>
            <w:tcW w:w="990"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3C191F10" w14:textId="77777777" w:rsidR="003F0EEA" w:rsidRPr="0068091F" w:rsidRDefault="00FB7D0B">
            <w:pPr>
              <w:jc w:val="right"/>
              <w:rPr>
                <w:rFonts w:ascii="Arial" w:eastAsia="Arial" w:hAnsi="Arial" w:cs="Arial"/>
                <w:color w:val="000000"/>
                <w:sz w:val="16"/>
              </w:rPr>
            </w:pPr>
            <w:r w:rsidRPr="0068091F">
              <w:rPr>
                <w:rFonts w:ascii="Arial" w:eastAsia="Arial" w:hAnsi="Arial" w:cs="Arial"/>
                <w:color w:val="000000"/>
                <w:sz w:val="16"/>
              </w:rPr>
              <w:t>$'000</w:t>
            </w:r>
          </w:p>
        </w:tc>
        <w:tc>
          <w:tcPr>
            <w:tcW w:w="990" w:type="dxa"/>
            <w:tcBorders>
              <w:top w:val="nil"/>
              <w:left w:val="nil"/>
              <w:bottom w:val="single" w:sz="6" w:space="0" w:color="000000"/>
              <w:right w:val="nil"/>
              <w:tl2br w:val="nil"/>
              <w:tr2bl w:val="nil"/>
            </w:tcBorders>
            <w:shd w:val="clear" w:color="auto" w:fill="C0C0C0"/>
            <w:tcMar>
              <w:left w:w="115" w:type="dxa"/>
              <w:right w:w="115" w:type="dxa"/>
            </w:tcMar>
            <w:vAlign w:val="bottom"/>
          </w:tcPr>
          <w:p w14:paraId="2AC97192" w14:textId="77777777" w:rsidR="003F0EEA" w:rsidRPr="0068091F" w:rsidRDefault="00FB7D0B">
            <w:pPr>
              <w:jc w:val="right"/>
              <w:rPr>
                <w:rFonts w:ascii="Arial" w:eastAsia="Arial" w:hAnsi="Arial" w:cs="Arial"/>
                <w:color w:val="000000"/>
                <w:sz w:val="16"/>
              </w:rPr>
            </w:pPr>
            <w:r w:rsidRPr="0068091F">
              <w:rPr>
                <w:rFonts w:ascii="Arial" w:eastAsia="Arial" w:hAnsi="Arial" w:cs="Arial"/>
                <w:color w:val="000000"/>
                <w:sz w:val="16"/>
              </w:rPr>
              <w:t>$'000</w:t>
            </w:r>
          </w:p>
        </w:tc>
        <w:tc>
          <w:tcPr>
            <w:tcW w:w="990"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0D16AFD4" w14:textId="77777777" w:rsidR="003F0EEA" w:rsidRPr="0068091F" w:rsidRDefault="00FB7D0B">
            <w:pPr>
              <w:jc w:val="right"/>
              <w:rPr>
                <w:rFonts w:ascii="Arial" w:eastAsia="Arial" w:hAnsi="Arial" w:cs="Arial"/>
                <w:color w:val="000000"/>
                <w:sz w:val="16"/>
              </w:rPr>
            </w:pPr>
            <w:r w:rsidRPr="0068091F">
              <w:rPr>
                <w:rFonts w:ascii="Arial" w:eastAsia="Arial" w:hAnsi="Arial" w:cs="Arial"/>
                <w:color w:val="000000"/>
                <w:sz w:val="16"/>
              </w:rPr>
              <w:t>$'000</w:t>
            </w:r>
          </w:p>
        </w:tc>
        <w:tc>
          <w:tcPr>
            <w:tcW w:w="990"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3A641DED" w14:textId="77777777" w:rsidR="003F0EEA" w:rsidRPr="0068091F" w:rsidRDefault="00FB7D0B">
            <w:pPr>
              <w:jc w:val="right"/>
              <w:rPr>
                <w:rFonts w:ascii="Arial" w:eastAsia="Arial" w:hAnsi="Arial" w:cs="Arial"/>
                <w:color w:val="000000"/>
                <w:sz w:val="16"/>
              </w:rPr>
            </w:pPr>
            <w:r w:rsidRPr="0068091F">
              <w:rPr>
                <w:rFonts w:ascii="Arial" w:eastAsia="Arial" w:hAnsi="Arial" w:cs="Arial"/>
                <w:color w:val="000000"/>
                <w:sz w:val="16"/>
              </w:rPr>
              <w:t>$'000</w:t>
            </w:r>
          </w:p>
        </w:tc>
        <w:tc>
          <w:tcPr>
            <w:tcW w:w="990"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2DDCD2A2" w14:textId="77777777" w:rsidR="003F0EEA" w:rsidRPr="0068091F" w:rsidRDefault="00FB7D0B">
            <w:pPr>
              <w:jc w:val="right"/>
              <w:rPr>
                <w:rFonts w:ascii="Arial" w:eastAsia="Arial" w:hAnsi="Arial" w:cs="Arial"/>
                <w:color w:val="000000"/>
                <w:sz w:val="16"/>
              </w:rPr>
            </w:pPr>
            <w:r w:rsidRPr="0068091F">
              <w:rPr>
                <w:rFonts w:ascii="Arial" w:eastAsia="Arial" w:hAnsi="Arial" w:cs="Arial"/>
                <w:color w:val="000000"/>
                <w:sz w:val="16"/>
              </w:rPr>
              <w:t>$'000</w:t>
            </w:r>
          </w:p>
        </w:tc>
      </w:tr>
      <w:tr w:rsidR="00355BFE" w14:paraId="37EB3E27" w14:textId="77777777" w:rsidTr="00355BFE">
        <w:trPr>
          <w:trHeight w:val="225"/>
        </w:trPr>
        <w:tc>
          <w:tcPr>
            <w:tcW w:w="3510" w:type="dxa"/>
            <w:gridSpan w:val="3"/>
            <w:tcBorders>
              <w:top w:val="nil"/>
              <w:left w:val="nil"/>
              <w:bottom w:val="nil"/>
              <w:right w:val="nil"/>
              <w:tl2br w:val="nil"/>
              <w:tr2bl w:val="nil"/>
            </w:tcBorders>
            <w:shd w:val="clear" w:color="auto" w:fill="FFFFFF"/>
            <w:tcMar>
              <w:left w:w="115" w:type="dxa"/>
              <w:right w:w="115" w:type="dxa"/>
            </w:tcMar>
            <w:vAlign w:val="bottom"/>
          </w:tcPr>
          <w:p w14:paraId="2F4AF6F1" w14:textId="77777777" w:rsidR="003F0EEA" w:rsidRPr="0068091F" w:rsidRDefault="00FB7D0B">
            <w:pPr>
              <w:rPr>
                <w:rFonts w:ascii="Arial" w:eastAsia="Arial" w:hAnsi="Arial" w:cs="Arial"/>
                <w:color w:val="000000"/>
                <w:sz w:val="16"/>
              </w:rPr>
            </w:pPr>
            <w:r w:rsidRPr="0068091F">
              <w:rPr>
                <w:rFonts w:ascii="Arial" w:eastAsia="Arial" w:hAnsi="Arial" w:cs="Arial"/>
                <w:b/>
                <w:color w:val="000000"/>
                <w:sz w:val="16"/>
              </w:rPr>
              <w:t>FINANCING ACTIVITIES</w:t>
            </w:r>
          </w:p>
        </w:tc>
        <w:tc>
          <w:tcPr>
            <w:tcW w:w="990"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69F05756" w14:textId="77777777" w:rsidR="003F0EEA" w:rsidRPr="0068091F" w:rsidRDefault="003F0EEA">
            <w:pPr>
              <w:rPr>
                <w:rFonts w:ascii="Arial" w:eastAsia="Arial" w:hAnsi="Arial" w:cs="Arial"/>
                <w:b/>
                <w:color w:val="000000"/>
                <w:sz w:val="16"/>
              </w:rPr>
            </w:pPr>
          </w:p>
        </w:tc>
        <w:tc>
          <w:tcPr>
            <w:tcW w:w="990" w:type="dxa"/>
            <w:tcBorders>
              <w:top w:val="single" w:sz="6" w:space="0" w:color="000000"/>
              <w:left w:val="nil"/>
              <w:bottom w:val="nil"/>
              <w:right w:val="nil"/>
              <w:tl2br w:val="nil"/>
              <w:tr2bl w:val="nil"/>
            </w:tcBorders>
            <w:shd w:val="clear" w:color="auto" w:fill="C0C0C0"/>
            <w:tcMar>
              <w:left w:w="115" w:type="dxa"/>
              <w:right w:w="115" w:type="dxa"/>
            </w:tcMar>
            <w:vAlign w:val="bottom"/>
          </w:tcPr>
          <w:p w14:paraId="44536BA3" w14:textId="77777777" w:rsidR="003F0EEA" w:rsidRPr="0068091F" w:rsidRDefault="003F0EEA">
            <w:pPr>
              <w:rPr>
                <w:rFonts w:ascii="Arial" w:eastAsia="Arial" w:hAnsi="Arial" w:cs="Arial"/>
                <w:color w:val="000000"/>
                <w:sz w:val="16"/>
              </w:rPr>
            </w:pPr>
          </w:p>
        </w:tc>
        <w:tc>
          <w:tcPr>
            <w:tcW w:w="990"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4F552D8C" w14:textId="77777777" w:rsidR="003F0EEA" w:rsidRPr="0068091F" w:rsidRDefault="003F0EEA">
            <w:pPr>
              <w:rPr>
                <w:rFonts w:ascii="Arial" w:eastAsia="Arial" w:hAnsi="Arial" w:cs="Arial"/>
                <w:color w:val="000000"/>
                <w:sz w:val="16"/>
              </w:rPr>
            </w:pPr>
          </w:p>
        </w:tc>
        <w:tc>
          <w:tcPr>
            <w:tcW w:w="990"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11C12BD4" w14:textId="77777777" w:rsidR="003F0EEA" w:rsidRPr="0068091F" w:rsidRDefault="003F0EEA">
            <w:pPr>
              <w:rPr>
                <w:rFonts w:ascii="Arial" w:eastAsia="Arial" w:hAnsi="Arial" w:cs="Arial"/>
                <w:color w:val="000000"/>
                <w:sz w:val="16"/>
              </w:rPr>
            </w:pPr>
          </w:p>
        </w:tc>
        <w:tc>
          <w:tcPr>
            <w:tcW w:w="990"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3ABB20EF" w14:textId="77777777" w:rsidR="003F0EEA" w:rsidRPr="0068091F" w:rsidRDefault="003F0EEA">
            <w:pPr>
              <w:rPr>
                <w:rFonts w:ascii="Arial" w:eastAsia="Arial" w:hAnsi="Arial" w:cs="Arial"/>
                <w:color w:val="000000"/>
                <w:sz w:val="16"/>
              </w:rPr>
            </w:pPr>
          </w:p>
        </w:tc>
      </w:tr>
      <w:tr w:rsidR="00355BFE" w14:paraId="240DF532" w14:textId="77777777" w:rsidTr="00355BFE">
        <w:trPr>
          <w:trHeight w:val="225"/>
        </w:trPr>
        <w:tc>
          <w:tcPr>
            <w:tcW w:w="3510" w:type="dxa"/>
            <w:gridSpan w:val="3"/>
            <w:tcBorders>
              <w:top w:val="nil"/>
              <w:left w:val="nil"/>
              <w:bottom w:val="nil"/>
              <w:right w:val="nil"/>
              <w:tl2br w:val="nil"/>
              <w:tr2bl w:val="nil"/>
            </w:tcBorders>
            <w:shd w:val="clear" w:color="auto" w:fill="FFFFFF"/>
            <w:tcMar>
              <w:left w:w="115" w:type="dxa"/>
              <w:right w:w="115" w:type="dxa"/>
            </w:tcMar>
            <w:vAlign w:val="bottom"/>
          </w:tcPr>
          <w:p w14:paraId="56BC2307" w14:textId="77777777" w:rsidR="003F0EEA" w:rsidRPr="0068091F" w:rsidRDefault="00FB7D0B">
            <w:pPr>
              <w:rPr>
                <w:rFonts w:ascii="Arial" w:eastAsia="Arial" w:hAnsi="Arial" w:cs="Arial"/>
                <w:color w:val="000000"/>
                <w:sz w:val="16"/>
              </w:rPr>
            </w:pPr>
            <w:r w:rsidRPr="0068091F">
              <w:rPr>
                <w:rFonts w:ascii="Arial" w:eastAsia="Arial" w:hAnsi="Arial" w:cs="Arial"/>
                <w:b/>
                <w:color w:val="000000"/>
                <w:sz w:val="16"/>
              </w:rPr>
              <w:t>Cash received</w:t>
            </w:r>
          </w:p>
        </w:tc>
        <w:tc>
          <w:tcPr>
            <w:tcW w:w="990" w:type="dxa"/>
            <w:tcBorders>
              <w:top w:val="nil"/>
              <w:left w:val="nil"/>
              <w:bottom w:val="nil"/>
              <w:right w:val="nil"/>
              <w:tl2br w:val="nil"/>
              <w:tr2bl w:val="nil"/>
            </w:tcBorders>
            <w:shd w:val="clear" w:color="auto" w:fill="FFFFFF"/>
            <w:tcMar>
              <w:left w:w="115" w:type="dxa"/>
              <w:right w:w="115" w:type="dxa"/>
            </w:tcMar>
            <w:vAlign w:val="bottom"/>
          </w:tcPr>
          <w:p w14:paraId="0A989A9D" w14:textId="77777777" w:rsidR="003F0EEA" w:rsidRPr="0068091F" w:rsidRDefault="003F0EEA">
            <w:pPr>
              <w:rPr>
                <w:rFonts w:ascii="Arial" w:eastAsia="Arial" w:hAnsi="Arial" w:cs="Arial"/>
                <w:b/>
                <w:color w:val="000000"/>
                <w:sz w:val="16"/>
              </w:rPr>
            </w:pPr>
          </w:p>
        </w:tc>
        <w:tc>
          <w:tcPr>
            <w:tcW w:w="990" w:type="dxa"/>
            <w:tcBorders>
              <w:top w:val="nil"/>
              <w:left w:val="nil"/>
              <w:bottom w:val="nil"/>
              <w:right w:val="nil"/>
              <w:tl2br w:val="nil"/>
              <w:tr2bl w:val="nil"/>
            </w:tcBorders>
            <w:shd w:val="clear" w:color="auto" w:fill="C0C0C0"/>
            <w:tcMar>
              <w:left w:w="115" w:type="dxa"/>
              <w:right w:w="115" w:type="dxa"/>
            </w:tcMar>
            <w:vAlign w:val="bottom"/>
          </w:tcPr>
          <w:p w14:paraId="1B702F10" w14:textId="77777777" w:rsidR="003F0EEA" w:rsidRPr="0068091F" w:rsidRDefault="003F0EEA">
            <w:pPr>
              <w:rPr>
                <w:rFonts w:ascii="Arial" w:eastAsia="Arial" w:hAnsi="Arial" w:cs="Arial"/>
                <w:color w:val="000000"/>
                <w:sz w:val="16"/>
              </w:rPr>
            </w:pPr>
          </w:p>
        </w:tc>
        <w:tc>
          <w:tcPr>
            <w:tcW w:w="990" w:type="dxa"/>
            <w:tcBorders>
              <w:top w:val="nil"/>
              <w:left w:val="nil"/>
              <w:bottom w:val="nil"/>
              <w:right w:val="nil"/>
              <w:tl2br w:val="nil"/>
              <w:tr2bl w:val="nil"/>
            </w:tcBorders>
            <w:shd w:val="clear" w:color="auto" w:fill="FFFFFF"/>
            <w:tcMar>
              <w:left w:w="115" w:type="dxa"/>
              <w:right w:w="115" w:type="dxa"/>
            </w:tcMar>
            <w:vAlign w:val="bottom"/>
          </w:tcPr>
          <w:p w14:paraId="39CA2ADE" w14:textId="77777777" w:rsidR="003F0EEA" w:rsidRPr="0068091F" w:rsidRDefault="003F0EEA">
            <w:pPr>
              <w:rPr>
                <w:rFonts w:ascii="Arial" w:eastAsia="Arial" w:hAnsi="Arial" w:cs="Arial"/>
                <w:color w:val="000000"/>
                <w:sz w:val="16"/>
              </w:rPr>
            </w:pPr>
          </w:p>
        </w:tc>
        <w:tc>
          <w:tcPr>
            <w:tcW w:w="990" w:type="dxa"/>
            <w:tcBorders>
              <w:top w:val="nil"/>
              <w:left w:val="nil"/>
              <w:bottom w:val="nil"/>
              <w:right w:val="nil"/>
              <w:tl2br w:val="nil"/>
              <w:tr2bl w:val="nil"/>
            </w:tcBorders>
            <w:shd w:val="clear" w:color="auto" w:fill="FFFFFF"/>
            <w:tcMar>
              <w:left w:w="115" w:type="dxa"/>
              <w:right w:w="115" w:type="dxa"/>
            </w:tcMar>
            <w:vAlign w:val="bottom"/>
          </w:tcPr>
          <w:p w14:paraId="1BDB4704" w14:textId="77777777" w:rsidR="003F0EEA" w:rsidRPr="0068091F" w:rsidRDefault="003F0EEA">
            <w:pPr>
              <w:rPr>
                <w:rFonts w:ascii="Arial" w:eastAsia="Arial" w:hAnsi="Arial" w:cs="Arial"/>
                <w:color w:val="000000"/>
                <w:sz w:val="16"/>
              </w:rPr>
            </w:pPr>
          </w:p>
        </w:tc>
        <w:tc>
          <w:tcPr>
            <w:tcW w:w="990" w:type="dxa"/>
            <w:tcBorders>
              <w:top w:val="nil"/>
              <w:left w:val="nil"/>
              <w:bottom w:val="nil"/>
              <w:right w:val="nil"/>
              <w:tl2br w:val="nil"/>
              <w:tr2bl w:val="nil"/>
            </w:tcBorders>
            <w:shd w:val="clear" w:color="auto" w:fill="FFFFFF"/>
            <w:tcMar>
              <w:left w:w="115" w:type="dxa"/>
              <w:right w:w="115" w:type="dxa"/>
            </w:tcMar>
            <w:vAlign w:val="bottom"/>
          </w:tcPr>
          <w:p w14:paraId="4640190D" w14:textId="77777777" w:rsidR="003F0EEA" w:rsidRPr="0068091F" w:rsidRDefault="003F0EEA">
            <w:pPr>
              <w:rPr>
                <w:rFonts w:ascii="Arial" w:eastAsia="Arial" w:hAnsi="Arial" w:cs="Arial"/>
                <w:color w:val="000000"/>
                <w:sz w:val="16"/>
              </w:rPr>
            </w:pPr>
          </w:p>
        </w:tc>
      </w:tr>
      <w:tr w:rsidR="00355BFE" w14:paraId="1E869F39" w14:textId="77777777" w:rsidTr="00355BFE">
        <w:trPr>
          <w:trHeight w:val="225"/>
        </w:trPr>
        <w:tc>
          <w:tcPr>
            <w:tcW w:w="180" w:type="dxa"/>
            <w:tcBorders>
              <w:top w:val="nil"/>
              <w:left w:val="nil"/>
              <w:bottom w:val="nil"/>
              <w:right w:val="nil"/>
              <w:tl2br w:val="nil"/>
              <w:tr2bl w:val="nil"/>
            </w:tcBorders>
            <w:shd w:val="clear" w:color="auto" w:fill="FFFFFF"/>
            <w:tcMar>
              <w:left w:w="115" w:type="dxa"/>
              <w:right w:w="115" w:type="dxa"/>
            </w:tcMar>
            <w:vAlign w:val="bottom"/>
          </w:tcPr>
          <w:p w14:paraId="4684411A" w14:textId="77777777" w:rsidR="003F0EEA" w:rsidRPr="0068091F" w:rsidRDefault="003F0EEA">
            <w:pPr>
              <w:rPr>
                <w:rFonts w:ascii="Arial" w:eastAsia="Arial" w:hAnsi="Arial" w:cs="Arial"/>
                <w:color w:val="000000"/>
                <w:sz w:val="16"/>
              </w:rPr>
            </w:pPr>
          </w:p>
        </w:tc>
        <w:tc>
          <w:tcPr>
            <w:tcW w:w="3330" w:type="dxa"/>
            <w:gridSpan w:val="2"/>
            <w:vMerge w:val="restart"/>
            <w:tcBorders>
              <w:top w:val="nil"/>
              <w:left w:val="nil"/>
              <w:bottom w:val="nil"/>
              <w:right w:val="nil"/>
              <w:tl2br w:val="nil"/>
              <w:tr2bl w:val="nil"/>
            </w:tcBorders>
            <w:shd w:val="clear" w:color="auto" w:fill="FFFFFF"/>
            <w:tcMar>
              <w:left w:w="115" w:type="dxa"/>
              <w:right w:w="115" w:type="dxa"/>
            </w:tcMar>
            <w:vAlign w:val="bottom"/>
          </w:tcPr>
          <w:p w14:paraId="5AC2564A" w14:textId="77777777" w:rsidR="003F0EEA" w:rsidRPr="0068091F" w:rsidRDefault="00FB7D0B">
            <w:pPr>
              <w:rPr>
                <w:rFonts w:ascii="Arial" w:eastAsia="Arial" w:hAnsi="Arial" w:cs="Arial"/>
                <w:color w:val="000000"/>
                <w:sz w:val="16"/>
              </w:rPr>
            </w:pPr>
            <w:r w:rsidRPr="0068091F">
              <w:rPr>
                <w:rFonts w:ascii="Arial" w:eastAsia="Arial" w:hAnsi="Arial" w:cs="Arial"/>
                <w:color w:val="000000"/>
                <w:sz w:val="16"/>
              </w:rPr>
              <w:t>Contributed equity</w:t>
            </w:r>
          </w:p>
        </w:tc>
        <w:tc>
          <w:tcPr>
            <w:tcW w:w="990"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6C753889" w14:textId="77777777" w:rsidR="003F0EEA" w:rsidRPr="0068091F" w:rsidRDefault="00FB7D0B">
            <w:pPr>
              <w:jc w:val="right"/>
              <w:rPr>
                <w:rFonts w:ascii="Arial" w:eastAsia="Arial" w:hAnsi="Arial" w:cs="Arial"/>
                <w:color w:val="000000"/>
                <w:sz w:val="16"/>
              </w:rPr>
            </w:pPr>
            <w:r w:rsidRPr="0068091F">
              <w:rPr>
                <w:rFonts w:ascii="Arial" w:eastAsia="Arial" w:hAnsi="Arial" w:cs="Arial"/>
                <w:color w:val="000000"/>
                <w:sz w:val="16"/>
              </w:rPr>
              <w:t xml:space="preserve"> 25,258 </w:t>
            </w:r>
          </w:p>
        </w:tc>
        <w:tc>
          <w:tcPr>
            <w:tcW w:w="990" w:type="dxa"/>
            <w:tcBorders>
              <w:top w:val="nil"/>
              <w:left w:val="nil"/>
              <w:bottom w:val="single" w:sz="6" w:space="0" w:color="000000"/>
              <w:right w:val="nil"/>
              <w:tl2br w:val="nil"/>
              <w:tr2bl w:val="nil"/>
            </w:tcBorders>
            <w:shd w:val="clear" w:color="auto" w:fill="C0C0C0"/>
            <w:tcMar>
              <w:left w:w="115" w:type="dxa"/>
              <w:right w:w="115" w:type="dxa"/>
            </w:tcMar>
            <w:vAlign w:val="bottom"/>
          </w:tcPr>
          <w:p w14:paraId="6806CFEF" w14:textId="77777777" w:rsidR="003F0EEA" w:rsidRPr="0068091F" w:rsidRDefault="00FB7D0B">
            <w:pPr>
              <w:jc w:val="right"/>
              <w:rPr>
                <w:rFonts w:ascii="Arial" w:eastAsia="Arial" w:hAnsi="Arial" w:cs="Arial"/>
                <w:color w:val="000000"/>
                <w:sz w:val="16"/>
              </w:rPr>
            </w:pPr>
            <w:r w:rsidRPr="0068091F">
              <w:rPr>
                <w:rFonts w:ascii="Arial" w:eastAsia="Arial" w:hAnsi="Arial" w:cs="Arial"/>
                <w:color w:val="000000"/>
                <w:sz w:val="16"/>
              </w:rPr>
              <w:t xml:space="preserve"> 12,444 </w:t>
            </w:r>
          </w:p>
        </w:tc>
        <w:tc>
          <w:tcPr>
            <w:tcW w:w="990"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686400E1" w14:textId="77777777" w:rsidR="003F0EEA" w:rsidRPr="0068091F" w:rsidRDefault="00FB7D0B">
            <w:pPr>
              <w:jc w:val="right"/>
              <w:rPr>
                <w:rFonts w:ascii="Arial" w:eastAsia="Arial" w:hAnsi="Arial" w:cs="Arial"/>
                <w:color w:val="000000"/>
                <w:sz w:val="16"/>
              </w:rPr>
            </w:pPr>
            <w:r w:rsidRPr="0068091F">
              <w:rPr>
                <w:rFonts w:ascii="Arial" w:eastAsia="Arial" w:hAnsi="Arial" w:cs="Arial"/>
                <w:color w:val="000000"/>
                <w:sz w:val="16"/>
              </w:rPr>
              <w:t xml:space="preserve"> 7,193 </w:t>
            </w:r>
          </w:p>
        </w:tc>
        <w:tc>
          <w:tcPr>
            <w:tcW w:w="990"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5F8297A5" w14:textId="77777777" w:rsidR="003F0EEA" w:rsidRPr="0068091F" w:rsidRDefault="00FB7D0B">
            <w:pPr>
              <w:jc w:val="right"/>
              <w:rPr>
                <w:rFonts w:ascii="Arial" w:eastAsia="Arial" w:hAnsi="Arial" w:cs="Arial"/>
                <w:color w:val="000000"/>
                <w:sz w:val="16"/>
              </w:rPr>
            </w:pPr>
            <w:r w:rsidRPr="0068091F">
              <w:rPr>
                <w:rFonts w:ascii="Arial" w:eastAsia="Arial" w:hAnsi="Arial" w:cs="Arial"/>
                <w:color w:val="000000"/>
                <w:sz w:val="16"/>
              </w:rPr>
              <w:t xml:space="preserve"> 7,203 </w:t>
            </w:r>
          </w:p>
        </w:tc>
        <w:tc>
          <w:tcPr>
            <w:tcW w:w="990"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300081F7" w14:textId="77777777" w:rsidR="003F0EEA" w:rsidRPr="0068091F" w:rsidRDefault="00FB7D0B">
            <w:pPr>
              <w:jc w:val="right"/>
              <w:rPr>
                <w:rFonts w:ascii="Arial" w:eastAsia="Arial" w:hAnsi="Arial" w:cs="Arial"/>
                <w:color w:val="000000"/>
                <w:sz w:val="16"/>
              </w:rPr>
            </w:pPr>
            <w:r w:rsidRPr="0068091F">
              <w:rPr>
                <w:rFonts w:ascii="Arial" w:eastAsia="Arial" w:hAnsi="Arial" w:cs="Arial"/>
                <w:color w:val="000000"/>
                <w:sz w:val="16"/>
              </w:rPr>
              <w:t xml:space="preserve"> 7,559 </w:t>
            </w:r>
          </w:p>
        </w:tc>
      </w:tr>
      <w:tr w:rsidR="00355BFE" w14:paraId="1436FC74" w14:textId="77777777" w:rsidTr="00355BFE">
        <w:trPr>
          <w:trHeight w:val="225"/>
        </w:trPr>
        <w:tc>
          <w:tcPr>
            <w:tcW w:w="3510" w:type="dxa"/>
            <w:gridSpan w:val="3"/>
            <w:tcBorders>
              <w:top w:val="nil"/>
              <w:left w:val="nil"/>
              <w:bottom w:val="nil"/>
              <w:right w:val="nil"/>
              <w:tl2br w:val="nil"/>
              <w:tr2bl w:val="nil"/>
            </w:tcBorders>
            <w:shd w:val="clear" w:color="auto" w:fill="FFFFFF"/>
            <w:tcMar>
              <w:left w:w="115" w:type="dxa"/>
              <w:right w:w="115" w:type="dxa"/>
            </w:tcMar>
            <w:vAlign w:val="bottom"/>
          </w:tcPr>
          <w:p w14:paraId="2D9713EB" w14:textId="77777777" w:rsidR="003F0EEA" w:rsidRPr="0068091F" w:rsidRDefault="00FB7D0B">
            <w:pPr>
              <w:rPr>
                <w:rFonts w:ascii="Arial" w:eastAsia="Arial" w:hAnsi="Arial" w:cs="Arial"/>
                <w:color w:val="000000"/>
                <w:sz w:val="16"/>
              </w:rPr>
            </w:pPr>
            <w:r w:rsidRPr="0068091F">
              <w:rPr>
                <w:rFonts w:ascii="Arial" w:eastAsia="Arial" w:hAnsi="Arial" w:cs="Arial"/>
                <w:b/>
                <w:i/>
                <w:color w:val="000000"/>
                <w:sz w:val="16"/>
              </w:rPr>
              <w:t>Total cash received</w:t>
            </w:r>
          </w:p>
        </w:tc>
        <w:tc>
          <w:tcPr>
            <w:tcW w:w="990" w:type="dxa"/>
            <w:tcBorders>
              <w:top w:val="single" w:sz="6" w:space="0" w:color="000000"/>
              <w:left w:val="nil"/>
              <w:bottom w:val="single" w:sz="6" w:space="0" w:color="000000"/>
              <w:right w:val="nil"/>
              <w:tl2br w:val="nil"/>
              <w:tr2bl w:val="nil"/>
            </w:tcBorders>
            <w:shd w:val="clear" w:color="auto" w:fill="FFFFFF"/>
            <w:tcMar>
              <w:left w:w="115" w:type="dxa"/>
              <w:right w:w="115" w:type="dxa"/>
            </w:tcMar>
            <w:vAlign w:val="bottom"/>
          </w:tcPr>
          <w:p w14:paraId="17E3D96B" w14:textId="77777777" w:rsidR="003F0EEA" w:rsidRPr="0068091F" w:rsidRDefault="00FB7D0B">
            <w:pPr>
              <w:jc w:val="right"/>
              <w:rPr>
                <w:rFonts w:ascii="Arial" w:eastAsia="Arial" w:hAnsi="Arial" w:cs="Arial"/>
                <w:b/>
                <w:i/>
                <w:color w:val="000000"/>
                <w:sz w:val="16"/>
              </w:rPr>
            </w:pPr>
            <w:r w:rsidRPr="0068091F">
              <w:rPr>
                <w:rFonts w:ascii="Arial" w:eastAsia="Arial" w:hAnsi="Arial" w:cs="Arial"/>
                <w:b/>
                <w:color w:val="000000"/>
                <w:sz w:val="16"/>
              </w:rPr>
              <w:t xml:space="preserve"> 25,258 </w:t>
            </w:r>
          </w:p>
        </w:tc>
        <w:tc>
          <w:tcPr>
            <w:tcW w:w="990" w:type="dxa"/>
            <w:tcBorders>
              <w:top w:val="single" w:sz="6" w:space="0" w:color="000000"/>
              <w:left w:val="nil"/>
              <w:bottom w:val="single" w:sz="6" w:space="0" w:color="000000"/>
              <w:right w:val="nil"/>
              <w:tl2br w:val="nil"/>
              <w:tr2bl w:val="nil"/>
            </w:tcBorders>
            <w:shd w:val="clear" w:color="auto" w:fill="C0C0C0"/>
            <w:tcMar>
              <w:left w:w="115" w:type="dxa"/>
              <w:right w:w="115" w:type="dxa"/>
            </w:tcMar>
            <w:vAlign w:val="bottom"/>
          </w:tcPr>
          <w:p w14:paraId="1B189672" w14:textId="77777777" w:rsidR="003F0EEA" w:rsidRPr="0068091F" w:rsidRDefault="00FB7D0B">
            <w:pPr>
              <w:jc w:val="right"/>
              <w:rPr>
                <w:rFonts w:ascii="Arial" w:eastAsia="Arial" w:hAnsi="Arial" w:cs="Arial"/>
                <w:b/>
                <w:color w:val="000000"/>
                <w:sz w:val="16"/>
              </w:rPr>
            </w:pPr>
            <w:r w:rsidRPr="0068091F">
              <w:rPr>
                <w:rFonts w:ascii="Arial" w:eastAsia="Arial" w:hAnsi="Arial" w:cs="Arial"/>
                <w:b/>
                <w:color w:val="000000"/>
                <w:sz w:val="16"/>
              </w:rPr>
              <w:t xml:space="preserve"> 12,444 </w:t>
            </w:r>
          </w:p>
        </w:tc>
        <w:tc>
          <w:tcPr>
            <w:tcW w:w="990" w:type="dxa"/>
            <w:tcBorders>
              <w:top w:val="single" w:sz="6" w:space="0" w:color="000000"/>
              <w:left w:val="nil"/>
              <w:bottom w:val="single" w:sz="6" w:space="0" w:color="000000"/>
              <w:right w:val="nil"/>
              <w:tl2br w:val="nil"/>
              <w:tr2bl w:val="nil"/>
            </w:tcBorders>
            <w:shd w:val="clear" w:color="auto" w:fill="FFFFFF"/>
            <w:tcMar>
              <w:left w:w="115" w:type="dxa"/>
              <w:right w:w="115" w:type="dxa"/>
            </w:tcMar>
            <w:vAlign w:val="bottom"/>
          </w:tcPr>
          <w:p w14:paraId="19504C36" w14:textId="77777777" w:rsidR="003F0EEA" w:rsidRPr="0068091F" w:rsidRDefault="00FB7D0B">
            <w:pPr>
              <w:jc w:val="right"/>
              <w:rPr>
                <w:rFonts w:ascii="Arial" w:eastAsia="Arial" w:hAnsi="Arial" w:cs="Arial"/>
                <w:b/>
                <w:color w:val="000000"/>
                <w:sz w:val="16"/>
              </w:rPr>
            </w:pPr>
            <w:r w:rsidRPr="0068091F">
              <w:rPr>
                <w:rFonts w:ascii="Arial" w:eastAsia="Arial" w:hAnsi="Arial" w:cs="Arial"/>
                <w:b/>
                <w:color w:val="000000"/>
                <w:sz w:val="16"/>
              </w:rPr>
              <w:t xml:space="preserve"> 7,193 </w:t>
            </w:r>
          </w:p>
        </w:tc>
        <w:tc>
          <w:tcPr>
            <w:tcW w:w="990" w:type="dxa"/>
            <w:tcBorders>
              <w:top w:val="single" w:sz="6" w:space="0" w:color="000000"/>
              <w:left w:val="nil"/>
              <w:bottom w:val="single" w:sz="6" w:space="0" w:color="000000"/>
              <w:right w:val="nil"/>
              <w:tl2br w:val="nil"/>
              <w:tr2bl w:val="nil"/>
            </w:tcBorders>
            <w:shd w:val="clear" w:color="auto" w:fill="FFFFFF"/>
            <w:tcMar>
              <w:left w:w="115" w:type="dxa"/>
              <w:right w:w="115" w:type="dxa"/>
            </w:tcMar>
            <w:vAlign w:val="bottom"/>
          </w:tcPr>
          <w:p w14:paraId="38888152" w14:textId="77777777" w:rsidR="003F0EEA" w:rsidRPr="0068091F" w:rsidRDefault="00FB7D0B">
            <w:pPr>
              <w:jc w:val="right"/>
              <w:rPr>
                <w:rFonts w:ascii="Arial" w:eastAsia="Arial" w:hAnsi="Arial" w:cs="Arial"/>
                <w:b/>
                <w:color w:val="000000"/>
                <w:sz w:val="16"/>
              </w:rPr>
            </w:pPr>
            <w:r w:rsidRPr="0068091F">
              <w:rPr>
                <w:rFonts w:ascii="Arial" w:eastAsia="Arial" w:hAnsi="Arial" w:cs="Arial"/>
                <w:b/>
                <w:color w:val="000000"/>
                <w:sz w:val="16"/>
              </w:rPr>
              <w:t xml:space="preserve"> 7,203 </w:t>
            </w:r>
          </w:p>
        </w:tc>
        <w:tc>
          <w:tcPr>
            <w:tcW w:w="990" w:type="dxa"/>
            <w:tcBorders>
              <w:top w:val="single" w:sz="6" w:space="0" w:color="000000"/>
              <w:left w:val="nil"/>
              <w:bottom w:val="single" w:sz="6" w:space="0" w:color="000000"/>
              <w:right w:val="nil"/>
              <w:tl2br w:val="nil"/>
              <w:tr2bl w:val="nil"/>
            </w:tcBorders>
            <w:shd w:val="clear" w:color="auto" w:fill="FFFFFF"/>
            <w:tcMar>
              <w:left w:w="115" w:type="dxa"/>
              <w:right w:w="115" w:type="dxa"/>
            </w:tcMar>
            <w:vAlign w:val="bottom"/>
          </w:tcPr>
          <w:p w14:paraId="67D5E820" w14:textId="77777777" w:rsidR="003F0EEA" w:rsidRPr="0068091F" w:rsidRDefault="00FB7D0B">
            <w:pPr>
              <w:jc w:val="right"/>
              <w:rPr>
                <w:rFonts w:ascii="Arial" w:eastAsia="Arial" w:hAnsi="Arial" w:cs="Arial"/>
                <w:b/>
                <w:color w:val="000000"/>
                <w:sz w:val="16"/>
              </w:rPr>
            </w:pPr>
            <w:r w:rsidRPr="0068091F">
              <w:rPr>
                <w:rFonts w:ascii="Arial" w:eastAsia="Arial" w:hAnsi="Arial" w:cs="Arial"/>
                <w:b/>
                <w:color w:val="000000"/>
                <w:sz w:val="16"/>
              </w:rPr>
              <w:t xml:space="preserve"> 7,559 </w:t>
            </w:r>
          </w:p>
        </w:tc>
      </w:tr>
      <w:tr w:rsidR="00355BFE" w14:paraId="647E3987" w14:textId="77777777" w:rsidTr="00355BFE">
        <w:trPr>
          <w:trHeight w:val="225"/>
        </w:trPr>
        <w:tc>
          <w:tcPr>
            <w:tcW w:w="3510" w:type="dxa"/>
            <w:gridSpan w:val="3"/>
            <w:tcBorders>
              <w:top w:val="nil"/>
              <w:left w:val="nil"/>
              <w:bottom w:val="nil"/>
              <w:right w:val="nil"/>
              <w:tl2br w:val="nil"/>
              <w:tr2bl w:val="nil"/>
            </w:tcBorders>
            <w:shd w:val="clear" w:color="auto" w:fill="FFFFFF"/>
            <w:tcMar>
              <w:left w:w="115" w:type="dxa"/>
              <w:right w:w="115" w:type="dxa"/>
            </w:tcMar>
            <w:vAlign w:val="bottom"/>
          </w:tcPr>
          <w:p w14:paraId="1C7FA60A" w14:textId="77777777" w:rsidR="003F0EEA" w:rsidRPr="0068091F" w:rsidRDefault="00FB7D0B">
            <w:pPr>
              <w:rPr>
                <w:rFonts w:ascii="Arial" w:eastAsia="Arial" w:hAnsi="Arial" w:cs="Arial"/>
                <w:b/>
                <w:color w:val="000000"/>
                <w:sz w:val="16"/>
              </w:rPr>
            </w:pPr>
            <w:r w:rsidRPr="0068091F">
              <w:rPr>
                <w:rFonts w:ascii="Arial" w:eastAsia="Arial" w:hAnsi="Arial" w:cs="Arial"/>
                <w:b/>
                <w:color w:val="000000"/>
                <w:sz w:val="16"/>
              </w:rPr>
              <w:t xml:space="preserve">Net cash from (used by)  </w:t>
            </w:r>
          </w:p>
        </w:tc>
        <w:tc>
          <w:tcPr>
            <w:tcW w:w="990"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68119470" w14:textId="77777777" w:rsidR="003F0EEA" w:rsidRPr="0068091F" w:rsidRDefault="003F0EEA">
            <w:pPr>
              <w:rPr>
                <w:rFonts w:ascii="Arial" w:eastAsia="Arial" w:hAnsi="Arial" w:cs="Arial"/>
                <w:b/>
                <w:color w:val="000000"/>
                <w:sz w:val="16"/>
              </w:rPr>
            </w:pPr>
          </w:p>
        </w:tc>
        <w:tc>
          <w:tcPr>
            <w:tcW w:w="990" w:type="dxa"/>
            <w:tcBorders>
              <w:top w:val="single" w:sz="6" w:space="0" w:color="000000"/>
              <w:left w:val="nil"/>
              <w:bottom w:val="nil"/>
              <w:right w:val="nil"/>
              <w:tl2br w:val="nil"/>
              <w:tr2bl w:val="nil"/>
            </w:tcBorders>
            <w:shd w:val="clear" w:color="auto" w:fill="C0C0C0"/>
            <w:tcMar>
              <w:left w:w="115" w:type="dxa"/>
              <w:right w:w="115" w:type="dxa"/>
            </w:tcMar>
            <w:vAlign w:val="bottom"/>
          </w:tcPr>
          <w:p w14:paraId="05787F7B" w14:textId="77777777" w:rsidR="003F0EEA" w:rsidRPr="0068091F" w:rsidRDefault="003F0EEA">
            <w:pPr>
              <w:rPr>
                <w:rFonts w:ascii="Arial" w:eastAsia="Arial" w:hAnsi="Arial" w:cs="Arial"/>
                <w:color w:val="000000"/>
                <w:sz w:val="16"/>
              </w:rPr>
            </w:pPr>
          </w:p>
        </w:tc>
        <w:tc>
          <w:tcPr>
            <w:tcW w:w="990"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7ABF4FA5" w14:textId="77777777" w:rsidR="003F0EEA" w:rsidRPr="0068091F" w:rsidRDefault="003F0EEA">
            <w:pPr>
              <w:rPr>
                <w:rFonts w:ascii="Arial" w:eastAsia="Arial" w:hAnsi="Arial" w:cs="Arial"/>
                <w:color w:val="000000"/>
                <w:sz w:val="16"/>
              </w:rPr>
            </w:pPr>
          </w:p>
        </w:tc>
        <w:tc>
          <w:tcPr>
            <w:tcW w:w="990"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185F7577" w14:textId="77777777" w:rsidR="003F0EEA" w:rsidRPr="0068091F" w:rsidRDefault="003F0EEA">
            <w:pPr>
              <w:rPr>
                <w:rFonts w:ascii="Arial" w:eastAsia="Arial" w:hAnsi="Arial" w:cs="Arial"/>
                <w:color w:val="000000"/>
                <w:sz w:val="16"/>
              </w:rPr>
            </w:pPr>
          </w:p>
        </w:tc>
        <w:tc>
          <w:tcPr>
            <w:tcW w:w="990"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212A07E9" w14:textId="77777777" w:rsidR="003F0EEA" w:rsidRPr="0068091F" w:rsidRDefault="003F0EEA">
            <w:pPr>
              <w:rPr>
                <w:rFonts w:ascii="Arial" w:eastAsia="Arial" w:hAnsi="Arial" w:cs="Arial"/>
                <w:color w:val="000000"/>
                <w:sz w:val="16"/>
              </w:rPr>
            </w:pPr>
          </w:p>
        </w:tc>
      </w:tr>
      <w:tr w:rsidR="00355BFE" w14:paraId="329505D6" w14:textId="77777777" w:rsidTr="00355BFE">
        <w:trPr>
          <w:trHeight w:val="225"/>
        </w:trPr>
        <w:tc>
          <w:tcPr>
            <w:tcW w:w="180" w:type="dxa"/>
            <w:tcBorders>
              <w:top w:val="nil"/>
              <w:left w:val="nil"/>
              <w:bottom w:val="nil"/>
              <w:right w:val="nil"/>
              <w:tl2br w:val="nil"/>
              <w:tr2bl w:val="nil"/>
            </w:tcBorders>
            <w:shd w:val="clear" w:color="auto" w:fill="FFFFFF"/>
            <w:tcMar>
              <w:left w:w="115" w:type="dxa"/>
              <w:right w:w="115" w:type="dxa"/>
            </w:tcMar>
            <w:vAlign w:val="bottom"/>
          </w:tcPr>
          <w:p w14:paraId="5971DF9C" w14:textId="77777777" w:rsidR="003F0EEA" w:rsidRPr="0068091F" w:rsidRDefault="003F0EEA">
            <w:pPr>
              <w:rPr>
                <w:rFonts w:ascii="Arial" w:eastAsia="Arial" w:hAnsi="Arial" w:cs="Arial"/>
                <w:color w:val="000000"/>
                <w:sz w:val="16"/>
              </w:rPr>
            </w:pPr>
          </w:p>
        </w:tc>
        <w:tc>
          <w:tcPr>
            <w:tcW w:w="3330" w:type="dxa"/>
            <w:gridSpan w:val="2"/>
            <w:vMerge w:val="restart"/>
            <w:tcBorders>
              <w:top w:val="nil"/>
              <w:left w:val="nil"/>
              <w:bottom w:val="nil"/>
              <w:right w:val="nil"/>
              <w:tl2br w:val="nil"/>
              <w:tr2bl w:val="nil"/>
            </w:tcBorders>
            <w:shd w:val="clear" w:color="auto" w:fill="FFFFFF"/>
            <w:tcMar>
              <w:left w:w="115" w:type="dxa"/>
              <w:right w:w="115" w:type="dxa"/>
            </w:tcMar>
            <w:vAlign w:val="bottom"/>
          </w:tcPr>
          <w:p w14:paraId="009C4F46" w14:textId="77777777" w:rsidR="003F0EEA" w:rsidRPr="0068091F" w:rsidRDefault="00FB7D0B">
            <w:pPr>
              <w:rPr>
                <w:rFonts w:ascii="Arial" w:eastAsia="Arial" w:hAnsi="Arial" w:cs="Arial"/>
                <w:b/>
                <w:color w:val="000000"/>
                <w:sz w:val="16"/>
              </w:rPr>
            </w:pPr>
            <w:r w:rsidRPr="0068091F">
              <w:rPr>
                <w:rFonts w:ascii="Arial" w:eastAsia="Arial" w:hAnsi="Arial" w:cs="Arial"/>
                <w:b/>
                <w:color w:val="000000"/>
                <w:sz w:val="16"/>
              </w:rPr>
              <w:t>financing activities</w:t>
            </w:r>
          </w:p>
        </w:tc>
        <w:tc>
          <w:tcPr>
            <w:tcW w:w="990"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0799DD9D" w14:textId="77777777" w:rsidR="003F0EEA" w:rsidRPr="0068091F" w:rsidRDefault="00FB7D0B">
            <w:pPr>
              <w:jc w:val="right"/>
              <w:rPr>
                <w:rFonts w:ascii="Arial" w:eastAsia="Arial" w:hAnsi="Arial" w:cs="Arial"/>
                <w:b/>
                <w:color w:val="000000"/>
                <w:sz w:val="16"/>
              </w:rPr>
            </w:pPr>
            <w:r w:rsidRPr="0068091F">
              <w:rPr>
                <w:rFonts w:ascii="Arial" w:eastAsia="Arial" w:hAnsi="Arial" w:cs="Arial"/>
                <w:b/>
                <w:color w:val="000000"/>
                <w:sz w:val="16"/>
              </w:rPr>
              <w:t xml:space="preserve"> 25,258 </w:t>
            </w:r>
          </w:p>
        </w:tc>
        <w:tc>
          <w:tcPr>
            <w:tcW w:w="990" w:type="dxa"/>
            <w:tcBorders>
              <w:top w:val="nil"/>
              <w:left w:val="nil"/>
              <w:bottom w:val="single" w:sz="6" w:space="0" w:color="000000"/>
              <w:right w:val="nil"/>
              <w:tl2br w:val="nil"/>
              <w:tr2bl w:val="nil"/>
            </w:tcBorders>
            <w:shd w:val="clear" w:color="auto" w:fill="C0C0C0"/>
            <w:tcMar>
              <w:left w:w="115" w:type="dxa"/>
              <w:right w:w="115" w:type="dxa"/>
            </w:tcMar>
            <w:vAlign w:val="bottom"/>
          </w:tcPr>
          <w:p w14:paraId="34D797D2" w14:textId="77777777" w:rsidR="003F0EEA" w:rsidRPr="0068091F" w:rsidRDefault="00FB7D0B">
            <w:pPr>
              <w:jc w:val="right"/>
              <w:rPr>
                <w:rFonts w:ascii="Arial" w:eastAsia="Arial" w:hAnsi="Arial" w:cs="Arial"/>
                <w:b/>
                <w:color w:val="000000"/>
                <w:sz w:val="16"/>
              </w:rPr>
            </w:pPr>
            <w:r w:rsidRPr="0068091F">
              <w:rPr>
                <w:rFonts w:ascii="Arial" w:eastAsia="Arial" w:hAnsi="Arial" w:cs="Arial"/>
                <w:b/>
                <w:color w:val="000000"/>
                <w:sz w:val="16"/>
              </w:rPr>
              <w:t xml:space="preserve"> 12,444 </w:t>
            </w:r>
          </w:p>
        </w:tc>
        <w:tc>
          <w:tcPr>
            <w:tcW w:w="990"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4DE812B7" w14:textId="77777777" w:rsidR="003F0EEA" w:rsidRPr="0068091F" w:rsidRDefault="00FB7D0B">
            <w:pPr>
              <w:jc w:val="right"/>
              <w:rPr>
                <w:rFonts w:ascii="Arial" w:eastAsia="Arial" w:hAnsi="Arial" w:cs="Arial"/>
                <w:b/>
                <w:color w:val="000000"/>
                <w:sz w:val="16"/>
              </w:rPr>
            </w:pPr>
            <w:r w:rsidRPr="0068091F">
              <w:rPr>
                <w:rFonts w:ascii="Arial" w:eastAsia="Arial" w:hAnsi="Arial" w:cs="Arial"/>
                <w:b/>
                <w:color w:val="000000"/>
                <w:sz w:val="16"/>
              </w:rPr>
              <w:t xml:space="preserve"> 7,193 </w:t>
            </w:r>
          </w:p>
        </w:tc>
        <w:tc>
          <w:tcPr>
            <w:tcW w:w="990"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5B22DA3F" w14:textId="77777777" w:rsidR="003F0EEA" w:rsidRPr="0068091F" w:rsidRDefault="00FB7D0B">
            <w:pPr>
              <w:jc w:val="right"/>
              <w:rPr>
                <w:rFonts w:ascii="Arial" w:eastAsia="Arial" w:hAnsi="Arial" w:cs="Arial"/>
                <w:b/>
                <w:color w:val="000000"/>
                <w:sz w:val="16"/>
              </w:rPr>
            </w:pPr>
            <w:r w:rsidRPr="0068091F">
              <w:rPr>
                <w:rFonts w:ascii="Arial" w:eastAsia="Arial" w:hAnsi="Arial" w:cs="Arial"/>
                <w:b/>
                <w:color w:val="000000"/>
                <w:sz w:val="16"/>
              </w:rPr>
              <w:t xml:space="preserve"> 7,203 </w:t>
            </w:r>
          </w:p>
        </w:tc>
        <w:tc>
          <w:tcPr>
            <w:tcW w:w="990"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631B8A49" w14:textId="77777777" w:rsidR="003F0EEA" w:rsidRPr="0068091F" w:rsidRDefault="00FB7D0B">
            <w:pPr>
              <w:jc w:val="right"/>
              <w:rPr>
                <w:rFonts w:ascii="Arial" w:eastAsia="Arial" w:hAnsi="Arial" w:cs="Arial"/>
                <w:b/>
                <w:color w:val="000000"/>
                <w:sz w:val="16"/>
              </w:rPr>
            </w:pPr>
            <w:r w:rsidRPr="0068091F">
              <w:rPr>
                <w:rFonts w:ascii="Arial" w:eastAsia="Arial" w:hAnsi="Arial" w:cs="Arial"/>
                <w:b/>
                <w:color w:val="000000"/>
                <w:sz w:val="16"/>
              </w:rPr>
              <w:t xml:space="preserve"> 7,559 </w:t>
            </w:r>
          </w:p>
        </w:tc>
      </w:tr>
      <w:tr w:rsidR="00355BFE" w14:paraId="0FEF5E8D" w14:textId="77777777" w:rsidTr="00355BFE">
        <w:trPr>
          <w:trHeight w:val="225"/>
        </w:trPr>
        <w:tc>
          <w:tcPr>
            <w:tcW w:w="3510" w:type="dxa"/>
            <w:gridSpan w:val="3"/>
            <w:tcBorders>
              <w:top w:val="nil"/>
              <w:left w:val="nil"/>
              <w:bottom w:val="nil"/>
              <w:right w:val="nil"/>
              <w:tl2br w:val="nil"/>
              <w:tr2bl w:val="nil"/>
            </w:tcBorders>
            <w:shd w:val="clear" w:color="auto" w:fill="FFFFFF"/>
            <w:tcMar>
              <w:left w:w="115" w:type="dxa"/>
              <w:right w:w="115" w:type="dxa"/>
            </w:tcMar>
            <w:vAlign w:val="bottom"/>
          </w:tcPr>
          <w:p w14:paraId="1A0DAB20" w14:textId="77777777" w:rsidR="003F0EEA" w:rsidRPr="0068091F" w:rsidRDefault="00FB7D0B">
            <w:pPr>
              <w:rPr>
                <w:rFonts w:ascii="Arial" w:eastAsia="Arial" w:hAnsi="Arial" w:cs="Arial"/>
                <w:b/>
                <w:color w:val="000000"/>
                <w:sz w:val="16"/>
              </w:rPr>
            </w:pPr>
            <w:r w:rsidRPr="0068091F">
              <w:rPr>
                <w:rFonts w:ascii="Arial" w:eastAsia="Arial" w:hAnsi="Arial" w:cs="Arial"/>
                <w:b/>
                <w:color w:val="000000"/>
                <w:sz w:val="16"/>
              </w:rPr>
              <w:t>Net increase (decrease)</w:t>
            </w:r>
          </w:p>
        </w:tc>
        <w:tc>
          <w:tcPr>
            <w:tcW w:w="990"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196AAFF0" w14:textId="77777777" w:rsidR="003F0EEA" w:rsidRPr="0068091F" w:rsidRDefault="003F0EEA">
            <w:pPr>
              <w:rPr>
                <w:rFonts w:ascii="Arial" w:eastAsia="Arial" w:hAnsi="Arial" w:cs="Arial"/>
                <w:b/>
                <w:color w:val="000000"/>
                <w:sz w:val="16"/>
              </w:rPr>
            </w:pPr>
          </w:p>
        </w:tc>
        <w:tc>
          <w:tcPr>
            <w:tcW w:w="990" w:type="dxa"/>
            <w:tcBorders>
              <w:top w:val="single" w:sz="6" w:space="0" w:color="000000"/>
              <w:left w:val="nil"/>
              <w:bottom w:val="nil"/>
              <w:right w:val="nil"/>
              <w:tl2br w:val="nil"/>
              <w:tr2bl w:val="nil"/>
            </w:tcBorders>
            <w:shd w:val="clear" w:color="auto" w:fill="C0C0C0"/>
            <w:tcMar>
              <w:left w:w="115" w:type="dxa"/>
              <w:right w:w="115" w:type="dxa"/>
            </w:tcMar>
            <w:vAlign w:val="bottom"/>
          </w:tcPr>
          <w:p w14:paraId="2CEC3E57" w14:textId="77777777" w:rsidR="003F0EEA" w:rsidRPr="0068091F" w:rsidRDefault="003F0EEA">
            <w:pPr>
              <w:rPr>
                <w:rFonts w:ascii="Arial" w:eastAsia="Arial" w:hAnsi="Arial" w:cs="Arial"/>
                <w:color w:val="000000"/>
                <w:sz w:val="16"/>
              </w:rPr>
            </w:pPr>
          </w:p>
        </w:tc>
        <w:tc>
          <w:tcPr>
            <w:tcW w:w="990"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7E205343" w14:textId="77777777" w:rsidR="003F0EEA" w:rsidRPr="0068091F" w:rsidRDefault="003F0EEA">
            <w:pPr>
              <w:rPr>
                <w:rFonts w:ascii="Arial" w:eastAsia="Arial" w:hAnsi="Arial" w:cs="Arial"/>
                <w:color w:val="000000"/>
                <w:sz w:val="16"/>
              </w:rPr>
            </w:pPr>
          </w:p>
        </w:tc>
        <w:tc>
          <w:tcPr>
            <w:tcW w:w="990"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3927325E" w14:textId="77777777" w:rsidR="003F0EEA" w:rsidRPr="0068091F" w:rsidRDefault="003F0EEA">
            <w:pPr>
              <w:rPr>
                <w:rFonts w:ascii="Arial" w:eastAsia="Arial" w:hAnsi="Arial" w:cs="Arial"/>
                <w:color w:val="000000"/>
                <w:sz w:val="16"/>
              </w:rPr>
            </w:pPr>
          </w:p>
        </w:tc>
        <w:tc>
          <w:tcPr>
            <w:tcW w:w="990"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2FC411E6" w14:textId="77777777" w:rsidR="003F0EEA" w:rsidRPr="0068091F" w:rsidRDefault="003F0EEA">
            <w:pPr>
              <w:rPr>
                <w:rFonts w:ascii="Arial" w:eastAsia="Arial" w:hAnsi="Arial" w:cs="Arial"/>
                <w:color w:val="000000"/>
                <w:sz w:val="16"/>
              </w:rPr>
            </w:pPr>
          </w:p>
        </w:tc>
      </w:tr>
      <w:tr w:rsidR="00355BFE" w14:paraId="2E7863C2" w14:textId="77777777" w:rsidTr="00355BFE">
        <w:trPr>
          <w:trHeight w:val="225"/>
        </w:trPr>
        <w:tc>
          <w:tcPr>
            <w:tcW w:w="180" w:type="dxa"/>
            <w:tcBorders>
              <w:top w:val="nil"/>
              <w:left w:val="nil"/>
              <w:bottom w:val="nil"/>
              <w:right w:val="nil"/>
              <w:tl2br w:val="nil"/>
              <w:tr2bl w:val="nil"/>
            </w:tcBorders>
            <w:shd w:val="clear" w:color="auto" w:fill="FFFFFF"/>
            <w:tcMar>
              <w:left w:w="115" w:type="dxa"/>
              <w:right w:w="115" w:type="dxa"/>
            </w:tcMar>
            <w:vAlign w:val="bottom"/>
          </w:tcPr>
          <w:p w14:paraId="6D0B1153" w14:textId="77777777" w:rsidR="003F0EEA" w:rsidRPr="0068091F" w:rsidRDefault="003F0EEA">
            <w:pPr>
              <w:rPr>
                <w:rFonts w:ascii="Arial" w:eastAsia="Arial" w:hAnsi="Arial" w:cs="Arial"/>
                <w:color w:val="000000"/>
                <w:sz w:val="16"/>
              </w:rPr>
            </w:pPr>
          </w:p>
        </w:tc>
        <w:tc>
          <w:tcPr>
            <w:tcW w:w="3330" w:type="dxa"/>
            <w:gridSpan w:val="2"/>
            <w:tcBorders>
              <w:top w:val="nil"/>
              <w:left w:val="nil"/>
              <w:bottom w:val="nil"/>
              <w:right w:val="nil"/>
              <w:tl2br w:val="nil"/>
              <w:tr2bl w:val="nil"/>
            </w:tcBorders>
            <w:shd w:val="clear" w:color="auto" w:fill="FFFFFF"/>
            <w:tcMar>
              <w:left w:w="115" w:type="dxa"/>
              <w:right w:w="115" w:type="dxa"/>
            </w:tcMar>
            <w:vAlign w:val="bottom"/>
          </w:tcPr>
          <w:p w14:paraId="5CA48FA4" w14:textId="77777777" w:rsidR="003F0EEA" w:rsidRPr="0068091F" w:rsidRDefault="00FB7D0B">
            <w:pPr>
              <w:rPr>
                <w:rFonts w:ascii="Arial" w:eastAsia="Arial" w:hAnsi="Arial" w:cs="Arial"/>
                <w:b/>
                <w:color w:val="000000"/>
                <w:sz w:val="16"/>
              </w:rPr>
            </w:pPr>
            <w:r w:rsidRPr="0068091F">
              <w:rPr>
                <w:rFonts w:ascii="Arial" w:eastAsia="Arial" w:hAnsi="Arial" w:cs="Arial"/>
                <w:b/>
                <w:color w:val="000000"/>
                <w:sz w:val="16"/>
              </w:rPr>
              <w:t>in cash held</w:t>
            </w:r>
          </w:p>
        </w:tc>
        <w:tc>
          <w:tcPr>
            <w:tcW w:w="990"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30277566" w14:textId="77777777" w:rsidR="003F0EEA" w:rsidRPr="0068091F" w:rsidRDefault="00FB7D0B">
            <w:pPr>
              <w:jc w:val="right"/>
              <w:rPr>
                <w:rFonts w:ascii="Arial" w:eastAsia="Arial" w:hAnsi="Arial" w:cs="Arial"/>
                <w:b/>
                <w:color w:val="000000"/>
                <w:sz w:val="16"/>
              </w:rPr>
            </w:pPr>
            <w:r w:rsidRPr="0068091F">
              <w:rPr>
                <w:rFonts w:ascii="Arial" w:eastAsia="Arial" w:hAnsi="Arial" w:cs="Arial"/>
                <w:b/>
                <w:color w:val="000000"/>
                <w:sz w:val="16"/>
              </w:rPr>
              <w:t>(877)</w:t>
            </w:r>
          </w:p>
        </w:tc>
        <w:tc>
          <w:tcPr>
            <w:tcW w:w="990" w:type="dxa"/>
            <w:tcBorders>
              <w:top w:val="nil"/>
              <w:left w:val="nil"/>
              <w:bottom w:val="single" w:sz="6" w:space="0" w:color="000000"/>
              <w:right w:val="nil"/>
              <w:tl2br w:val="nil"/>
              <w:tr2bl w:val="nil"/>
            </w:tcBorders>
            <w:shd w:val="clear" w:color="auto" w:fill="C0C0C0"/>
            <w:tcMar>
              <w:left w:w="115" w:type="dxa"/>
              <w:right w:w="115" w:type="dxa"/>
            </w:tcMar>
            <w:vAlign w:val="bottom"/>
          </w:tcPr>
          <w:p w14:paraId="74CF9654" w14:textId="77777777" w:rsidR="003F0EEA" w:rsidRPr="0068091F" w:rsidRDefault="00FB7D0B">
            <w:pPr>
              <w:jc w:val="right"/>
              <w:rPr>
                <w:rFonts w:ascii="Arial" w:eastAsia="Arial" w:hAnsi="Arial" w:cs="Arial"/>
                <w:b/>
                <w:color w:val="000000"/>
                <w:sz w:val="16"/>
              </w:rPr>
            </w:pPr>
            <w:r w:rsidRPr="0068091F">
              <w:rPr>
                <w:rFonts w:ascii="Arial" w:eastAsia="Arial" w:hAnsi="Arial" w:cs="Arial"/>
                <w:b/>
                <w:color w:val="000000"/>
                <w:sz w:val="16"/>
              </w:rPr>
              <w:t>(294)</w:t>
            </w:r>
          </w:p>
        </w:tc>
        <w:tc>
          <w:tcPr>
            <w:tcW w:w="990"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5AC71145" w14:textId="77777777" w:rsidR="003F0EEA" w:rsidRPr="0068091F" w:rsidRDefault="00FB7D0B">
            <w:pPr>
              <w:jc w:val="right"/>
              <w:rPr>
                <w:rFonts w:ascii="Arial" w:eastAsia="Arial" w:hAnsi="Arial" w:cs="Arial"/>
                <w:b/>
                <w:color w:val="000000"/>
                <w:sz w:val="16"/>
              </w:rPr>
            </w:pPr>
            <w:r w:rsidRPr="0068091F">
              <w:rPr>
                <w:rFonts w:ascii="Arial" w:eastAsia="Arial" w:hAnsi="Arial" w:cs="Arial"/>
                <w:b/>
                <w:color w:val="000000"/>
                <w:sz w:val="16"/>
              </w:rPr>
              <w:t xml:space="preserve"> 524 </w:t>
            </w:r>
          </w:p>
        </w:tc>
        <w:tc>
          <w:tcPr>
            <w:tcW w:w="990"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21EE6E8B" w14:textId="77777777" w:rsidR="003F0EEA" w:rsidRPr="0068091F" w:rsidRDefault="00FB7D0B">
            <w:pPr>
              <w:jc w:val="right"/>
              <w:rPr>
                <w:rFonts w:ascii="Arial" w:eastAsia="Arial" w:hAnsi="Arial" w:cs="Arial"/>
                <w:b/>
                <w:color w:val="000000"/>
                <w:sz w:val="16"/>
              </w:rPr>
            </w:pPr>
            <w:r w:rsidRPr="0068091F">
              <w:rPr>
                <w:rFonts w:ascii="Arial" w:eastAsia="Arial" w:hAnsi="Arial" w:cs="Arial"/>
                <w:b/>
                <w:color w:val="000000"/>
                <w:sz w:val="16"/>
              </w:rPr>
              <w:t>(236)</w:t>
            </w:r>
          </w:p>
        </w:tc>
        <w:tc>
          <w:tcPr>
            <w:tcW w:w="990"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5313823E" w14:textId="77777777" w:rsidR="003F0EEA" w:rsidRPr="0068091F" w:rsidRDefault="00FB7D0B">
            <w:pPr>
              <w:jc w:val="right"/>
              <w:rPr>
                <w:rFonts w:ascii="Arial" w:eastAsia="Arial" w:hAnsi="Arial" w:cs="Arial"/>
                <w:b/>
                <w:color w:val="000000"/>
                <w:sz w:val="16"/>
              </w:rPr>
            </w:pPr>
            <w:r w:rsidRPr="0068091F">
              <w:rPr>
                <w:rFonts w:ascii="Arial" w:eastAsia="Arial" w:hAnsi="Arial" w:cs="Arial"/>
                <w:b/>
                <w:color w:val="000000"/>
                <w:sz w:val="16"/>
              </w:rPr>
              <w:t xml:space="preserve"> 360 </w:t>
            </w:r>
          </w:p>
        </w:tc>
      </w:tr>
      <w:tr w:rsidR="00355BFE" w14:paraId="22D2365C" w14:textId="77777777" w:rsidTr="00355BFE">
        <w:trPr>
          <w:trHeight w:val="225"/>
        </w:trPr>
        <w:tc>
          <w:tcPr>
            <w:tcW w:w="180" w:type="dxa"/>
            <w:tcBorders>
              <w:top w:val="nil"/>
              <w:left w:val="nil"/>
              <w:bottom w:val="nil"/>
              <w:right w:val="nil"/>
              <w:tl2br w:val="nil"/>
              <w:tr2bl w:val="nil"/>
            </w:tcBorders>
            <w:shd w:val="clear" w:color="auto" w:fill="FFFFFF"/>
            <w:tcMar>
              <w:left w:w="115" w:type="dxa"/>
              <w:right w:w="115" w:type="dxa"/>
            </w:tcMar>
            <w:vAlign w:val="bottom"/>
          </w:tcPr>
          <w:p w14:paraId="5B97DE25" w14:textId="77777777" w:rsidR="003F0EEA" w:rsidRPr="0068091F" w:rsidRDefault="003F0EEA">
            <w:pPr>
              <w:rPr>
                <w:rFonts w:ascii="Arial" w:eastAsia="Arial" w:hAnsi="Arial" w:cs="Arial"/>
                <w:b/>
                <w:color w:val="000000"/>
                <w:sz w:val="16"/>
              </w:rPr>
            </w:pPr>
          </w:p>
        </w:tc>
        <w:tc>
          <w:tcPr>
            <w:tcW w:w="3330" w:type="dxa"/>
            <w:gridSpan w:val="2"/>
            <w:tcBorders>
              <w:top w:val="nil"/>
              <w:left w:val="nil"/>
              <w:bottom w:val="nil"/>
              <w:right w:val="nil"/>
              <w:tl2br w:val="nil"/>
              <w:tr2bl w:val="nil"/>
            </w:tcBorders>
            <w:shd w:val="clear" w:color="auto" w:fill="FFFFFF"/>
            <w:tcMar>
              <w:left w:w="115" w:type="dxa"/>
              <w:right w:w="115" w:type="dxa"/>
            </w:tcMar>
            <w:vAlign w:val="bottom"/>
          </w:tcPr>
          <w:p w14:paraId="6C321505" w14:textId="77777777" w:rsidR="003F0EEA" w:rsidRPr="0068091F" w:rsidRDefault="00FB7D0B">
            <w:pPr>
              <w:rPr>
                <w:rFonts w:ascii="Arial" w:eastAsia="Arial" w:hAnsi="Arial" w:cs="Arial"/>
                <w:color w:val="000000"/>
                <w:sz w:val="16"/>
              </w:rPr>
            </w:pPr>
            <w:r w:rsidRPr="0068091F">
              <w:rPr>
                <w:rFonts w:ascii="Arial" w:eastAsia="Arial" w:hAnsi="Arial" w:cs="Arial"/>
                <w:color w:val="000000"/>
                <w:sz w:val="16"/>
              </w:rPr>
              <w:t>Cash and cash equivalents at the</w:t>
            </w:r>
          </w:p>
        </w:tc>
        <w:tc>
          <w:tcPr>
            <w:tcW w:w="990"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585D4A04" w14:textId="77777777" w:rsidR="003F0EEA" w:rsidRPr="0068091F" w:rsidRDefault="003F0EEA">
            <w:pPr>
              <w:rPr>
                <w:rFonts w:ascii="Arial" w:eastAsia="Arial" w:hAnsi="Arial" w:cs="Arial"/>
                <w:color w:val="000000"/>
                <w:sz w:val="16"/>
              </w:rPr>
            </w:pPr>
          </w:p>
        </w:tc>
        <w:tc>
          <w:tcPr>
            <w:tcW w:w="990" w:type="dxa"/>
            <w:tcBorders>
              <w:top w:val="single" w:sz="6" w:space="0" w:color="000000"/>
              <w:left w:val="nil"/>
              <w:bottom w:val="nil"/>
              <w:right w:val="nil"/>
              <w:tl2br w:val="nil"/>
              <w:tr2bl w:val="nil"/>
            </w:tcBorders>
            <w:shd w:val="clear" w:color="auto" w:fill="C0C0C0"/>
            <w:tcMar>
              <w:left w:w="115" w:type="dxa"/>
              <w:right w:w="115" w:type="dxa"/>
            </w:tcMar>
            <w:vAlign w:val="bottom"/>
          </w:tcPr>
          <w:p w14:paraId="0DED5632" w14:textId="77777777" w:rsidR="003F0EEA" w:rsidRPr="0068091F" w:rsidRDefault="003F0EEA">
            <w:pPr>
              <w:rPr>
                <w:rFonts w:ascii="Arial" w:eastAsia="Arial" w:hAnsi="Arial" w:cs="Arial"/>
                <w:color w:val="000000"/>
                <w:sz w:val="16"/>
              </w:rPr>
            </w:pPr>
          </w:p>
        </w:tc>
        <w:tc>
          <w:tcPr>
            <w:tcW w:w="990"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65106E5D" w14:textId="77777777" w:rsidR="003F0EEA" w:rsidRPr="0068091F" w:rsidRDefault="003F0EEA">
            <w:pPr>
              <w:rPr>
                <w:rFonts w:ascii="Arial" w:eastAsia="Arial" w:hAnsi="Arial" w:cs="Arial"/>
                <w:color w:val="000000"/>
                <w:sz w:val="16"/>
              </w:rPr>
            </w:pPr>
          </w:p>
        </w:tc>
        <w:tc>
          <w:tcPr>
            <w:tcW w:w="990"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4266DA73" w14:textId="77777777" w:rsidR="003F0EEA" w:rsidRPr="0068091F" w:rsidRDefault="003F0EEA">
            <w:pPr>
              <w:rPr>
                <w:rFonts w:ascii="Arial" w:eastAsia="Arial" w:hAnsi="Arial" w:cs="Arial"/>
                <w:color w:val="000000"/>
                <w:sz w:val="16"/>
              </w:rPr>
            </w:pPr>
          </w:p>
        </w:tc>
        <w:tc>
          <w:tcPr>
            <w:tcW w:w="990"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7ED7407F" w14:textId="77777777" w:rsidR="003F0EEA" w:rsidRPr="0068091F" w:rsidRDefault="003F0EEA">
            <w:pPr>
              <w:rPr>
                <w:rFonts w:ascii="Arial" w:eastAsia="Arial" w:hAnsi="Arial" w:cs="Arial"/>
                <w:color w:val="000000"/>
                <w:sz w:val="16"/>
              </w:rPr>
            </w:pPr>
          </w:p>
        </w:tc>
      </w:tr>
      <w:tr w:rsidR="00724034" w14:paraId="3633032A" w14:textId="77777777">
        <w:trPr>
          <w:trHeight w:val="225"/>
        </w:trPr>
        <w:tc>
          <w:tcPr>
            <w:tcW w:w="180" w:type="dxa"/>
            <w:tcBorders>
              <w:top w:val="nil"/>
              <w:left w:val="nil"/>
              <w:bottom w:val="nil"/>
              <w:right w:val="nil"/>
              <w:tl2br w:val="nil"/>
              <w:tr2bl w:val="nil"/>
            </w:tcBorders>
            <w:shd w:val="clear" w:color="auto" w:fill="FFFFFF"/>
            <w:tcMar>
              <w:left w:w="115" w:type="dxa"/>
              <w:right w:w="115" w:type="dxa"/>
            </w:tcMar>
            <w:vAlign w:val="bottom"/>
          </w:tcPr>
          <w:p w14:paraId="757C2263" w14:textId="77777777" w:rsidR="003F0EEA" w:rsidRPr="0068091F" w:rsidRDefault="003F0EEA">
            <w:pPr>
              <w:rPr>
                <w:rFonts w:ascii="Arial" w:eastAsia="Arial" w:hAnsi="Arial" w:cs="Arial"/>
                <w:color w:val="000000"/>
                <w:sz w:val="16"/>
              </w:rPr>
            </w:pPr>
          </w:p>
        </w:tc>
        <w:tc>
          <w:tcPr>
            <w:tcW w:w="180" w:type="dxa"/>
            <w:tcBorders>
              <w:top w:val="nil"/>
              <w:left w:val="nil"/>
              <w:bottom w:val="nil"/>
              <w:right w:val="nil"/>
              <w:tl2br w:val="nil"/>
              <w:tr2bl w:val="nil"/>
            </w:tcBorders>
            <w:shd w:val="clear" w:color="auto" w:fill="FFFFFF"/>
            <w:tcMar>
              <w:left w:w="115" w:type="dxa"/>
              <w:right w:w="115" w:type="dxa"/>
            </w:tcMar>
            <w:vAlign w:val="bottom"/>
          </w:tcPr>
          <w:p w14:paraId="36402E4B" w14:textId="77777777" w:rsidR="003F0EEA" w:rsidRPr="0068091F" w:rsidRDefault="003F0EEA">
            <w:pPr>
              <w:rPr>
                <w:rFonts w:ascii="Arial" w:eastAsia="Arial" w:hAnsi="Arial" w:cs="Arial"/>
                <w:color w:val="000000"/>
                <w:sz w:val="16"/>
              </w:rPr>
            </w:pPr>
          </w:p>
        </w:tc>
        <w:tc>
          <w:tcPr>
            <w:tcW w:w="3150" w:type="dxa"/>
            <w:tcBorders>
              <w:top w:val="nil"/>
              <w:left w:val="nil"/>
              <w:bottom w:val="nil"/>
              <w:right w:val="nil"/>
              <w:tl2br w:val="nil"/>
              <w:tr2bl w:val="nil"/>
            </w:tcBorders>
            <w:shd w:val="clear" w:color="auto" w:fill="FFFFFF"/>
            <w:tcMar>
              <w:left w:w="115" w:type="dxa"/>
              <w:right w:w="115" w:type="dxa"/>
            </w:tcMar>
            <w:vAlign w:val="bottom"/>
          </w:tcPr>
          <w:p w14:paraId="573CD6AD" w14:textId="77777777" w:rsidR="003F0EEA" w:rsidRPr="0068091F" w:rsidRDefault="00FB7D0B">
            <w:pPr>
              <w:rPr>
                <w:rFonts w:ascii="Arial" w:eastAsia="Arial" w:hAnsi="Arial" w:cs="Arial"/>
                <w:color w:val="000000"/>
                <w:sz w:val="16"/>
              </w:rPr>
            </w:pPr>
            <w:r w:rsidRPr="0068091F">
              <w:rPr>
                <w:rFonts w:ascii="Arial" w:eastAsia="Arial" w:hAnsi="Arial" w:cs="Arial"/>
                <w:color w:val="000000"/>
                <w:sz w:val="16"/>
              </w:rPr>
              <w:t>beginning of the reporting period</w:t>
            </w:r>
          </w:p>
        </w:tc>
        <w:tc>
          <w:tcPr>
            <w:tcW w:w="990"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5404861C" w14:textId="77777777" w:rsidR="003F0EEA" w:rsidRPr="0068091F" w:rsidRDefault="00FB7D0B">
            <w:pPr>
              <w:jc w:val="right"/>
              <w:rPr>
                <w:rFonts w:ascii="Arial" w:eastAsia="Arial" w:hAnsi="Arial" w:cs="Arial"/>
                <w:color w:val="000000"/>
                <w:sz w:val="16"/>
              </w:rPr>
            </w:pPr>
            <w:r w:rsidRPr="0068091F">
              <w:rPr>
                <w:rFonts w:ascii="Arial" w:eastAsia="Arial" w:hAnsi="Arial" w:cs="Arial"/>
                <w:color w:val="000000"/>
                <w:sz w:val="16"/>
              </w:rPr>
              <w:t xml:space="preserve"> 2,373 </w:t>
            </w:r>
          </w:p>
        </w:tc>
        <w:tc>
          <w:tcPr>
            <w:tcW w:w="990" w:type="dxa"/>
            <w:tcBorders>
              <w:top w:val="nil"/>
              <w:left w:val="nil"/>
              <w:bottom w:val="single" w:sz="6" w:space="0" w:color="000000"/>
              <w:right w:val="nil"/>
              <w:tl2br w:val="nil"/>
              <w:tr2bl w:val="nil"/>
            </w:tcBorders>
            <w:shd w:val="clear" w:color="auto" w:fill="C0C0C0"/>
            <w:tcMar>
              <w:left w:w="115" w:type="dxa"/>
              <w:right w:w="115" w:type="dxa"/>
            </w:tcMar>
            <w:vAlign w:val="bottom"/>
          </w:tcPr>
          <w:p w14:paraId="4C99C327" w14:textId="77777777" w:rsidR="003F0EEA" w:rsidRPr="0068091F" w:rsidRDefault="00FB7D0B">
            <w:pPr>
              <w:jc w:val="right"/>
              <w:rPr>
                <w:rFonts w:ascii="Arial" w:eastAsia="Arial" w:hAnsi="Arial" w:cs="Arial"/>
                <w:color w:val="000000"/>
                <w:sz w:val="16"/>
              </w:rPr>
            </w:pPr>
            <w:r w:rsidRPr="0068091F">
              <w:rPr>
                <w:rFonts w:ascii="Arial" w:eastAsia="Arial" w:hAnsi="Arial" w:cs="Arial"/>
                <w:color w:val="000000"/>
                <w:sz w:val="16"/>
              </w:rPr>
              <w:t xml:space="preserve"> 1,496 </w:t>
            </w:r>
          </w:p>
        </w:tc>
        <w:tc>
          <w:tcPr>
            <w:tcW w:w="990"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41E086FC" w14:textId="77777777" w:rsidR="003F0EEA" w:rsidRPr="0068091F" w:rsidRDefault="00FB7D0B">
            <w:pPr>
              <w:jc w:val="right"/>
              <w:rPr>
                <w:rFonts w:ascii="Arial" w:eastAsia="Arial" w:hAnsi="Arial" w:cs="Arial"/>
                <w:color w:val="000000"/>
                <w:sz w:val="16"/>
              </w:rPr>
            </w:pPr>
            <w:r w:rsidRPr="0068091F">
              <w:rPr>
                <w:rFonts w:ascii="Arial" w:eastAsia="Arial" w:hAnsi="Arial" w:cs="Arial"/>
                <w:color w:val="000000"/>
                <w:sz w:val="16"/>
              </w:rPr>
              <w:t xml:space="preserve"> 1,202 </w:t>
            </w:r>
          </w:p>
        </w:tc>
        <w:tc>
          <w:tcPr>
            <w:tcW w:w="990"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5DA746E4" w14:textId="77777777" w:rsidR="003F0EEA" w:rsidRPr="0068091F" w:rsidRDefault="00FB7D0B">
            <w:pPr>
              <w:jc w:val="right"/>
              <w:rPr>
                <w:rFonts w:ascii="Arial" w:eastAsia="Arial" w:hAnsi="Arial" w:cs="Arial"/>
                <w:color w:val="000000"/>
                <w:sz w:val="16"/>
              </w:rPr>
            </w:pPr>
            <w:r w:rsidRPr="0068091F">
              <w:rPr>
                <w:rFonts w:ascii="Arial" w:eastAsia="Arial" w:hAnsi="Arial" w:cs="Arial"/>
                <w:color w:val="000000"/>
                <w:sz w:val="16"/>
              </w:rPr>
              <w:t xml:space="preserve"> 1,726 </w:t>
            </w:r>
          </w:p>
        </w:tc>
        <w:tc>
          <w:tcPr>
            <w:tcW w:w="990"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75576E65" w14:textId="77777777" w:rsidR="003F0EEA" w:rsidRPr="0068091F" w:rsidRDefault="00FB7D0B">
            <w:pPr>
              <w:jc w:val="right"/>
              <w:rPr>
                <w:rFonts w:ascii="Arial" w:eastAsia="Arial" w:hAnsi="Arial" w:cs="Arial"/>
                <w:color w:val="000000"/>
                <w:sz w:val="16"/>
              </w:rPr>
            </w:pPr>
            <w:r w:rsidRPr="0068091F">
              <w:rPr>
                <w:rFonts w:ascii="Arial" w:eastAsia="Arial" w:hAnsi="Arial" w:cs="Arial"/>
                <w:color w:val="000000"/>
                <w:sz w:val="16"/>
              </w:rPr>
              <w:t xml:space="preserve"> 1,490 </w:t>
            </w:r>
          </w:p>
        </w:tc>
      </w:tr>
      <w:tr w:rsidR="00355BFE" w14:paraId="23A59F85" w14:textId="77777777" w:rsidTr="00355BFE">
        <w:trPr>
          <w:trHeight w:val="225"/>
        </w:trPr>
        <w:tc>
          <w:tcPr>
            <w:tcW w:w="3510" w:type="dxa"/>
            <w:gridSpan w:val="3"/>
            <w:tcBorders>
              <w:top w:val="nil"/>
              <w:left w:val="nil"/>
              <w:bottom w:val="nil"/>
              <w:right w:val="nil"/>
              <w:tl2br w:val="nil"/>
              <w:tr2bl w:val="nil"/>
            </w:tcBorders>
            <w:shd w:val="clear" w:color="auto" w:fill="FFFFFF"/>
            <w:tcMar>
              <w:left w:w="115" w:type="dxa"/>
              <w:right w:w="115" w:type="dxa"/>
            </w:tcMar>
            <w:vAlign w:val="bottom"/>
          </w:tcPr>
          <w:p w14:paraId="5E0D4071" w14:textId="77777777" w:rsidR="003F0EEA" w:rsidRPr="0068091F" w:rsidRDefault="00FB7D0B">
            <w:pPr>
              <w:rPr>
                <w:rFonts w:ascii="Arial" w:eastAsia="Arial" w:hAnsi="Arial" w:cs="Arial"/>
                <w:color w:val="000000"/>
                <w:sz w:val="16"/>
              </w:rPr>
            </w:pPr>
            <w:r w:rsidRPr="0068091F">
              <w:rPr>
                <w:rFonts w:ascii="Arial" w:eastAsia="Arial" w:hAnsi="Arial" w:cs="Arial"/>
                <w:b/>
                <w:color w:val="000000"/>
                <w:sz w:val="16"/>
              </w:rPr>
              <w:t xml:space="preserve">Cash and cash equivalents at the </w:t>
            </w:r>
          </w:p>
        </w:tc>
        <w:tc>
          <w:tcPr>
            <w:tcW w:w="990"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3D6E1541" w14:textId="77777777" w:rsidR="003F0EEA" w:rsidRPr="0068091F" w:rsidRDefault="003F0EEA">
            <w:pPr>
              <w:rPr>
                <w:rFonts w:ascii="Arial" w:eastAsia="Arial" w:hAnsi="Arial" w:cs="Arial"/>
                <w:b/>
                <w:color w:val="000000"/>
                <w:sz w:val="16"/>
              </w:rPr>
            </w:pPr>
          </w:p>
        </w:tc>
        <w:tc>
          <w:tcPr>
            <w:tcW w:w="990" w:type="dxa"/>
            <w:tcBorders>
              <w:top w:val="single" w:sz="6" w:space="0" w:color="000000"/>
              <w:left w:val="nil"/>
              <w:bottom w:val="nil"/>
              <w:right w:val="nil"/>
              <w:tl2br w:val="nil"/>
              <w:tr2bl w:val="nil"/>
            </w:tcBorders>
            <w:shd w:val="clear" w:color="auto" w:fill="C0C0C0"/>
            <w:tcMar>
              <w:left w:w="115" w:type="dxa"/>
              <w:right w:w="115" w:type="dxa"/>
            </w:tcMar>
            <w:vAlign w:val="bottom"/>
          </w:tcPr>
          <w:p w14:paraId="43322F29" w14:textId="77777777" w:rsidR="003F0EEA" w:rsidRPr="0068091F" w:rsidRDefault="003F0EEA">
            <w:pPr>
              <w:rPr>
                <w:rFonts w:ascii="Arial" w:eastAsia="Arial" w:hAnsi="Arial" w:cs="Arial"/>
                <w:color w:val="000000"/>
                <w:sz w:val="16"/>
              </w:rPr>
            </w:pPr>
          </w:p>
        </w:tc>
        <w:tc>
          <w:tcPr>
            <w:tcW w:w="990"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77481BD9" w14:textId="77777777" w:rsidR="003F0EEA" w:rsidRPr="0068091F" w:rsidRDefault="003F0EEA">
            <w:pPr>
              <w:rPr>
                <w:rFonts w:ascii="Arial" w:eastAsia="Arial" w:hAnsi="Arial" w:cs="Arial"/>
                <w:color w:val="000000"/>
                <w:sz w:val="16"/>
              </w:rPr>
            </w:pPr>
          </w:p>
        </w:tc>
        <w:tc>
          <w:tcPr>
            <w:tcW w:w="990"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24613983" w14:textId="77777777" w:rsidR="003F0EEA" w:rsidRPr="0068091F" w:rsidRDefault="003F0EEA">
            <w:pPr>
              <w:rPr>
                <w:rFonts w:ascii="Arial" w:eastAsia="Arial" w:hAnsi="Arial" w:cs="Arial"/>
                <w:color w:val="000000"/>
                <w:sz w:val="16"/>
              </w:rPr>
            </w:pPr>
          </w:p>
        </w:tc>
        <w:tc>
          <w:tcPr>
            <w:tcW w:w="990"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40E81CCC" w14:textId="77777777" w:rsidR="003F0EEA" w:rsidRPr="0068091F" w:rsidRDefault="003F0EEA">
            <w:pPr>
              <w:rPr>
                <w:rFonts w:ascii="Arial" w:eastAsia="Arial" w:hAnsi="Arial" w:cs="Arial"/>
                <w:color w:val="000000"/>
                <w:sz w:val="16"/>
              </w:rPr>
            </w:pPr>
          </w:p>
        </w:tc>
      </w:tr>
      <w:tr w:rsidR="00355BFE" w14:paraId="6E8605D4" w14:textId="77777777" w:rsidTr="00355BFE">
        <w:trPr>
          <w:trHeight w:val="225"/>
        </w:trPr>
        <w:tc>
          <w:tcPr>
            <w:tcW w:w="180"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23E569E4" w14:textId="77777777" w:rsidR="003F0EEA" w:rsidRPr="0068091F" w:rsidRDefault="003F0EEA">
            <w:pPr>
              <w:rPr>
                <w:rFonts w:ascii="Arial" w:eastAsia="Arial" w:hAnsi="Arial" w:cs="Arial"/>
                <w:color w:val="000000"/>
                <w:sz w:val="16"/>
              </w:rPr>
            </w:pPr>
          </w:p>
        </w:tc>
        <w:tc>
          <w:tcPr>
            <w:tcW w:w="3330" w:type="dxa"/>
            <w:gridSpan w:val="2"/>
            <w:tcBorders>
              <w:top w:val="nil"/>
              <w:left w:val="nil"/>
              <w:bottom w:val="single" w:sz="6" w:space="0" w:color="000000"/>
              <w:right w:val="nil"/>
              <w:tl2br w:val="nil"/>
              <w:tr2bl w:val="nil"/>
            </w:tcBorders>
            <w:shd w:val="clear" w:color="auto" w:fill="FFFFFF"/>
            <w:tcMar>
              <w:left w:w="115" w:type="dxa"/>
              <w:right w:w="115" w:type="dxa"/>
            </w:tcMar>
            <w:vAlign w:val="bottom"/>
          </w:tcPr>
          <w:p w14:paraId="331C08A0" w14:textId="77777777" w:rsidR="003F0EEA" w:rsidRPr="0068091F" w:rsidRDefault="00FB7D0B">
            <w:pPr>
              <w:rPr>
                <w:rFonts w:ascii="Arial" w:eastAsia="Arial" w:hAnsi="Arial" w:cs="Arial"/>
                <w:b/>
                <w:color w:val="000000"/>
                <w:sz w:val="16"/>
              </w:rPr>
            </w:pPr>
            <w:r w:rsidRPr="0068091F">
              <w:rPr>
                <w:rFonts w:ascii="Arial" w:eastAsia="Arial" w:hAnsi="Arial" w:cs="Arial"/>
                <w:b/>
                <w:color w:val="000000"/>
                <w:sz w:val="16"/>
              </w:rPr>
              <w:t>end of the reporting period</w:t>
            </w:r>
          </w:p>
        </w:tc>
        <w:tc>
          <w:tcPr>
            <w:tcW w:w="990"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5583AFD3" w14:textId="77777777" w:rsidR="003F0EEA" w:rsidRPr="0068091F" w:rsidRDefault="00FB7D0B">
            <w:pPr>
              <w:jc w:val="right"/>
              <w:rPr>
                <w:rFonts w:ascii="Arial" w:eastAsia="Arial" w:hAnsi="Arial" w:cs="Arial"/>
                <w:b/>
                <w:color w:val="000000"/>
                <w:sz w:val="16"/>
              </w:rPr>
            </w:pPr>
            <w:r w:rsidRPr="0068091F">
              <w:rPr>
                <w:rFonts w:ascii="Arial" w:eastAsia="Arial" w:hAnsi="Arial" w:cs="Arial"/>
                <w:b/>
                <w:color w:val="000000"/>
                <w:sz w:val="16"/>
              </w:rPr>
              <w:t xml:space="preserve"> 1,496 </w:t>
            </w:r>
          </w:p>
        </w:tc>
        <w:tc>
          <w:tcPr>
            <w:tcW w:w="990" w:type="dxa"/>
            <w:tcBorders>
              <w:top w:val="nil"/>
              <w:left w:val="nil"/>
              <w:bottom w:val="single" w:sz="6" w:space="0" w:color="000000"/>
              <w:right w:val="nil"/>
              <w:tl2br w:val="nil"/>
              <w:tr2bl w:val="nil"/>
            </w:tcBorders>
            <w:shd w:val="clear" w:color="auto" w:fill="C0C0C0"/>
            <w:tcMar>
              <w:left w:w="115" w:type="dxa"/>
              <w:right w:w="115" w:type="dxa"/>
            </w:tcMar>
            <w:vAlign w:val="bottom"/>
          </w:tcPr>
          <w:p w14:paraId="37FD195B" w14:textId="77777777" w:rsidR="003F0EEA" w:rsidRPr="0068091F" w:rsidRDefault="00FB7D0B">
            <w:pPr>
              <w:jc w:val="right"/>
              <w:rPr>
                <w:rFonts w:ascii="Arial" w:eastAsia="Arial" w:hAnsi="Arial" w:cs="Arial"/>
                <w:b/>
                <w:color w:val="000000"/>
                <w:sz w:val="16"/>
              </w:rPr>
            </w:pPr>
            <w:r w:rsidRPr="0068091F">
              <w:rPr>
                <w:rFonts w:ascii="Arial" w:eastAsia="Arial" w:hAnsi="Arial" w:cs="Arial"/>
                <w:b/>
                <w:color w:val="000000"/>
                <w:sz w:val="16"/>
              </w:rPr>
              <w:t xml:space="preserve"> 1,202 </w:t>
            </w:r>
          </w:p>
        </w:tc>
        <w:tc>
          <w:tcPr>
            <w:tcW w:w="990"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03C27A86" w14:textId="77777777" w:rsidR="003F0EEA" w:rsidRPr="0068091F" w:rsidRDefault="00FB7D0B">
            <w:pPr>
              <w:jc w:val="right"/>
              <w:rPr>
                <w:rFonts w:ascii="Arial" w:eastAsia="Arial" w:hAnsi="Arial" w:cs="Arial"/>
                <w:b/>
                <w:color w:val="000000"/>
                <w:sz w:val="16"/>
              </w:rPr>
            </w:pPr>
            <w:r w:rsidRPr="0068091F">
              <w:rPr>
                <w:rFonts w:ascii="Arial" w:eastAsia="Arial" w:hAnsi="Arial" w:cs="Arial"/>
                <w:b/>
                <w:color w:val="000000"/>
                <w:sz w:val="16"/>
              </w:rPr>
              <w:t xml:space="preserve"> 1,726 </w:t>
            </w:r>
          </w:p>
        </w:tc>
        <w:tc>
          <w:tcPr>
            <w:tcW w:w="990"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56E31E93" w14:textId="77777777" w:rsidR="003F0EEA" w:rsidRPr="0068091F" w:rsidRDefault="00FB7D0B">
            <w:pPr>
              <w:jc w:val="right"/>
              <w:rPr>
                <w:rFonts w:ascii="Arial" w:eastAsia="Arial" w:hAnsi="Arial" w:cs="Arial"/>
                <w:b/>
                <w:color w:val="000000"/>
                <w:sz w:val="16"/>
              </w:rPr>
            </w:pPr>
            <w:r w:rsidRPr="0068091F">
              <w:rPr>
                <w:rFonts w:ascii="Arial" w:eastAsia="Arial" w:hAnsi="Arial" w:cs="Arial"/>
                <w:b/>
                <w:color w:val="000000"/>
                <w:sz w:val="16"/>
              </w:rPr>
              <w:t xml:space="preserve"> 1,490 </w:t>
            </w:r>
          </w:p>
        </w:tc>
        <w:tc>
          <w:tcPr>
            <w:tcW w:w="990"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6218DA92" w14:textId="77777777" w:rsidR="003F0EEA" w:rsidRPr="0068091F" w:rsidRDefault="00FB7D0B">
            <w:pPr>
              <w:jc w:val="right"/>
              <w:rPr>
                <w:rFonts w:ascii="Arial" w:eastAsia="Arial" w:hAnsi="Arial" w:cs="Arial"/>
                <w:b/>
                <w:color w:val="000000"/>
                <w:sz w:val="16"/>
              </w:rPr>
            </w:pPr>
            <w:r w:rsidRPr="0068091F">
              <w:rPr>
                <w:rFonts w:ascii="Arial" w:eastAsia="Arial" w:hAnsi="Arial" w:cs="Arial"/>
                <w:b/>
                <w:color w:val="000000"/>
                <w:sz w:val="16"/>
              </w:rPr>
              <w:t xml:space="preserve"> 1,850 </w:t>
            </w:r>
          </w:p>
        </w:tc>
      </w:tr>
    </w:tbl>
    <w:p w14:paraId="269A7A59" w14:textId="77777777" w:rsidR="003F0EEA" w:rsidRDefault="00FB7D0B" w:rsidP="003F0EEA">
      <w:pPr>
        <w:pStyle w:val="Source21"/>
      </w:pPr>
      <w:r>
        <w:rPr>
          <w:rFonts w:cs="Arial"/>
        </w:rPr>
        <w:t>Prepared on Australian Accounting Standards basis</w:t>
      </w:r>
    </w:p>
    <w:p w14:paraId="0F546434" w14:textId="77777777" w:rsidR="003F0EEA" w:rsidRDefault="00FB7D0B">
      <w:pPr>
        <w:spacing w:line="14" w:lineRule="exact"/>
        <w:rPr>
          <w:rFonts w:eastAsia="Times New Roman" w:cs="Times New Roman"/>
        </w:rPr>
      </w:pPr>
      <w:r>
        <w:rPr>
          <w:rFonts w:eastAsia="Times New Roman" w:cs="Times New Roman"/>
        </w:rPr>
        <w:br w:type="page"/>
      </w:r>
    </w:p>
    <w:p w14:paraId="3394D763" w14:textId="77777777" w:rsidR="003F0EEA" w:rsidRPr="0068091F" w:rsidRDefault="00FB7D0B" w:rsidP="003F0EEA">
      <w:pPr>
        <w:pStyle w:val="Normal255"/>
        <w:spacing w:after="0"/>
        <w:jc w:val="left"/>
        <w:rPr>
          <w:rFonts w:ascii="Arial" w:hAnsi="Arial" w:cs="Arial"/>
          <w:b/>
        </w:rPr>
      </w:pPr>
      <w:r w:rsidRPr="0025442F">
        <w:rPr>
          <w:rFonts w:ascii="Arial" w:hAnsi="Arial" w:cs="Arial"/>
          <w:b/>
        </w:rPr>
        <w:t>Table 3.2.5: Departmental Capital Budget Statement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0"/>
        <w:gridCol w:w="250"/>
        <w:gridCol w:w="3150"/>
        <w:gridCol w:w="990"/>
        <w:gridCol w:w="990"/>
        <w:gridCol w:w="990"/>
        <w:gridCol w:w="990"/>
        <w:gridCol w:w="990"/>
        <w:gridCol w:w="900"/>
      </w:tblGrid>
      <w:tr w:rsidR="00355BFE" w14:paraId="642AB2F6" w14:textId="77777777" w:rsidTr="00355BFE">
        <w:trPr>
          <w:gridAfter w:val="1"/>
          <w:wAfter w:w="900" w:type="dxa"/>
          <w:trHeight w:val="225"/>
        </w:trPr>
        <w:tc>
          <w:tcPr>
            <w:tcW w:w="3510" w:type="dxa"/>
            <w:gridSpan w:val="3"/>
            <w:vMerge w:val="restart"/>
            <w:tcBorders>
              <w:top w:val="single" w:sz="6" w:space="0" w:color="000000"/>
              <w:left w:val="nil"/>
              <w:bottom w:val="nil"/>
              <w:right w:val="nil"/>
              <w:tl2br w:val="nil"/>
              <w:tr2bl w:val="nil"/>
            </w:tcBorders>
            <w:shd w:val="clear" w:color="auto" w:fill="FFFFFF"/>
            <w:tcMar>
              <w:left w:w="115" w:type="dxa"/>
              <w:right w:w="115" w:type="dxa"/>
            </w:tcMar>
            <w:vAlign w:val="bottom"/>
          </w:tcPr>
          <w:p w14:paraId="7017C927" w14:textId="77777777" w:rsidR="003F0EEA" w:rsidRPr="0068091F" w:rsidRDefault="003F0EEA">
            <w:pPr>
              <w:rPr>
                <w:rFonts w:ascii="Arial" w:eastAsia="Times New Roman" w:hAnsi="Arial" w:cs="Arial"/>
                <w:b/>
              </w:rPr>
            </w:pPr>
          </w:p>
        </w:tc>
        <w:tc>
          <w:tcPr>
            <w:tcW w:w="990"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5B8CD55A" w14:textId="77777777" w:rsidR="003F0EEA" w:rsidRPr="0068091F" w:rsidRDefault="00FB7D0B">
            <w:pPr>
              <w:jc w:val="right"/>
              <w:rPr>
                <w:rFonts w:ascii="Arial" w:eastAsia="Arial" w:hAnsi="Arial" w:cs="Arial"/>
                <w:color w:val="000000"/>
                <w:sz w:val="16"/>
                <w:vertAlign w:val="superscript"/>
              </w:rPr>
            </w:pPr>
            <w:r w:rsidRPr="0068091F">
              <w:rPr>
                <w:rFonts w:ascii="Arial" w:eastAsia="Arial" w:hAnsi="Arial" w:cs="Arial"/>
                <w:color w:val="000000"/>
                <w:sz w:val="16"/>
              </w:rPr>
              <w:t>Estimated</w:t>
            </w:r>
          </w:p>
        </w:tc>
        <w:tc>
          <w:tcPr>
            <w:tcW w:w="990" w:type="dxa"/>
            <w:tcBorders>
              <w:top w:val="single" w:sz="6" w:space="0" w:color="000000"/>
              <w:left w:val="nil"/>
              <w:bottom w:val="nil"/>
              <w:right w:val="nil"/>
              <w:tl2br w:val="nil"/>
              <w:tr2bl w:val="nil"/>
            </w:tcBorders>
            <w:shd w:val="clear" w:color="auto" w:fill="C0C0C0"/>
            <w:tcMar>
              <w:left w:w="115" w:type="dxa"/>
              <w:right w:w="115" w:type="dxa"/>
            </w:tcMar>
            <w:vAlign w:val="bottom"/>
          </w:tcPr>
          <w:p w14:paraId="44E1C505" w14:textId="77777777" w:rsidR="003F0EEA" w:rsidRPr="0068091F" w:rsidRDefault="00FB7D0B">
            <w:pPr>
              <w:jc w:val="right"/>
              <w:rPr>
                <w:rFonts w:ascii="Arial" w:eastAsia="Arial" w:hAnsi="Arial" w:cs="Arial"/>
                <w:color w:val="000000"/>
                <w:sz w:val="16"/>
              </w:rPr>
            </w:pPr>
            <w:r w:rsidRPr="0068091F">
              <w:rPr>
                <w:rFonts w:ascii="Arial" w:eastAsia="Arial" w:hAnsi="Arial" w:cs="Arial"/>
                <w:color w:val="000000"/>
                <w:sz w:val="16"/>
              </w:rPr>
              <w:t>Budget</w:t>
            </w:r>
          </w:p>
        </w:tc>
        <w:tc>
          <w:tcPr>
            <w:tcW w:w="990"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24503D2A" w14:textId="77777777" w:rsidR="003F0EEA" w:rsidRPr="0068091F" w:rsidRDefault="00FB7D0B">
            <w:pPr>
              <w:jc w:val="right"/>
              <w:rPr>
                <w:rFonts w:ascii="Arial" w:eastAsia="Arial" w:hAnsi="Arial" w:cs="Arial"/>
                <w:color w:val="000000"/>
                <w:sz w:val="16"/>
              </w:rPr>
            </w:pPr>
            <w:r w:rsidRPr="0068091F">
              <w:rPr>
                <w:rFonts w:ascii="Arial" w:eastAsia="Arial" w:hAnsi="Arial" w:cs="Arial"/>
                <w:color w:val="000000"/>
                <w:sz w:val="16"/>
              </w:rPr>
              <w:t>Forward</w:t>
            </w:r>
          </w:p>
        </w:tc>
        <w:tc>
          <w:tcPr>
            <w:tcW w:w="990"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354740C3" w14:textId="77777777" w:rsidR="003F0EEA" w:rsidRPr="0068091F" w:rsidRDefault="00FB7D0B">
            <w:pPr>
              <w:jc w:val="right"/>
              <w:rPr>
                <w:rFonts w:ascii="Arial" w:eastAsia="Arial" w:hAnsi="Arial" w:cs="Arial"/>
                <w:color w:val="000000"/>
                <w:sz w:val="16"/>
              </w:rPr>
            </w:pPr>
            <w:r w:rsidRPr="0068091F">
              <w:rPr>
                <w:rFonts w:ascii="Arial" w:eastAsia="Arial" w:hAnsi="Arial" w:cs="Arial"/>
                <w:color w:val="000000"/>
                <w:sz w:val="16"/>
              </w:rPr>
              <w:t>Forward</w:t>
            </w:r>
          </w:p>
        </w:tc>
        <w:tc>
          <w:tcPr>
            <w:tcW w:w="990"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098C3DC7" w14:textId="77777777" w:rsidR="003F0EEA" w:rsidRPr="0068091F" w:rsidRDefault="00FB7D0B">
            <w:pPr>
              <w:jc w:val="right"/>
              <w:rPr>
                <w:rFonts w:ascii="Arial" w:eastAsia="Arial" w:hAnsi="Arial" w:cs="Arial"/>
                <w:color w:val="000000"/>
                <w:sz w:val="16"/>
              </w:rPr>
            </w:pPr>
            <w:r w:rsidRPr="0068091F">
              <w:rPr>
                <w:rFonts w:ascii="Arial" w:eastAsia="Arial" w:hAnsi="Arial" w:cs="Arial"/>
                <w:color w:val="000000"/>
                <w:sz w:val="16"/>
              </w:rPr>
              <w:t>Forward</w:t>
            </w:r>
          </w:p>
        </w:tc>
      </w:tr>
      <w:tr w:rsidR="00355BFE" w14:paraId="184D2243" w14:textId="77777777" w:rsidTr="00355BFE">
        <w:trPr>
          <w:gridAfter w:val="1"/>
          <w:wAfter w:w="900" w:type="dxa"/>
          <w:trHeight w:val="225"/>
        </w:trPr>
        <w:tc>
          <w:tcPr>
            <w:tcW w:w="3510" w:type="dxa"/>
            <w:gridSpan w:val="3"/>
            <w:vMerge/>
            <w:tcBorders>
              <w:top w:val="nil"/>
              <w:left w:val="nil"/>
              <w:bottom w:val="nil"/>
              <w:right w:val="nil"/>
              <w:tl2br w:val="nil"/>
              <w:tr2bl w:val="nil"/>
            </w:tcBorders>
            <w:shd w:val="clear" w:color="auto" w:fill="FFFFFF"/>
            <w:tcMar>
              <w:left w:w="115" w:type="dxa"/>
              <w:right w:w="115" w:type="dxa"/>
            </w:tcMar>
            <w:vAlign w:val="bottom"/>
          </w:tcPr>
          <w:p w14:paraId="552085FF" w14:textId="77777777" w:rsidR="003F0EEA" w:rsidRPr="0068091F" w:rsidRDefault="003F0EEA">
            <w:pPr>
              <w:jc w:val="right"/>
              <w:rPr>
                <w:rFonts w:ascii="Arial" w:eastAsia="Arial" w:hAnsi="Arial" w:cs="Arial"/>
                <w:color w:val="000000"/>
                <w:sz w:val="16"/>
              </w:rPr>
            </w:pPr>
          </w:p>
        </w:tc>
        <w:tc>
          <w:tcPr>
            <w:tcW w:w="990" w:type="dxa"/>
            <w:tcBorders>
              <w:top w:val="nil"/>
              <w:left w:val="nil"/>
              <w:bottom w:val="nil"/>
              <w:right w:val="nil"/>
              <w:tl2br w:val="nil"/>
              <w:tr2bl w:val="nil"/>
            </w:tcBorders>
            <w:shd w:val="clear" w:color="auto" w:fill="FFFFFF"/>
            <w:tcMar>
              <w:left w:w="115" w:type="dxa"/>
              <w:right w:w="115" w:type="dxa"/>
            </w:tcMar>
            <w:vAlign w:val="bottom"/>
          </w:tcPr>
          <w:p w14:paraId="5BC1606D" w14:textId="77777777" w:rsidR="003F0EEA" w:rsidRPr="0068091F" w:rsidRDefault="00FB7D0B">
            <w:pPr>
              <w:jc w:val="right"/>
              <w:rPr>
                <w:rFonts w:ascii="Arial" w:eastAsia="Arial" w:hAnsi="Arial" w:cs="Arial"/>
                <w:color w:val="000000"/>
                <w:sz w:val="16"/>
              </w:rPr>
            </w:pPr>
            <w:r w:rsidRPr="0068091F">
              <w:rPr>
                <w:rFonts w:ascii="Arial" w:eastAsia="Arial" w:hAnsi="Arial" w:cs="Arial"/>
                <w:color w:val="000000"/>
                <w:sz w:val="16"/>
              </w:rPr>
              <w:t>actual</w:t>
            </w:r>
          </w:p>
        </w:tc>
        <w:tc>
          <w:tcPr>
            <w:tcW w:w="990" w:type="dxa"/>
            <w:tcBorders>
              <w:top w:val="nil"/>
              <w:left w:val="nil"/>
              <w:bottom w:val="nil"/>
              <w:right w:val="nil"/>
              <w:tl2br w:val="nil"/>
              <w:tr2bl w:val="nil"/>
            </w:tcBorders>
            <w:shd w:val="clear" w:color="auto" w:fill="C0C0C0"/>
            <w:tcMar>
              <w:left w:w="115" w:type="dxa"/>
              <w:right w:w="115" w:type="dxa"/>
            </w:tcMar>
            <w:vAlign w:val="bottom"/>
          </w:tcPr>
          <w:p w14:paraId="249D18CE" w14:textId="77777777" w:rsidR="003F0EEA" w:rsidRPr="0068091F" w:rsidRDefault="00FB7D0B">
            <w:pPr>
              <w:jc w:val="right"/>
              <w:rPr>
                <w:rFonts w:ascii="Arial" w:eastAsia="Arial" w:hAnsi="Arial" w:cs="Arial"/>
                <w:color w:val="000000"/>
                <w:sz w:val="16"/>
              </w:rPr>
            </w:pPr>
            <w:r w:rsidRPr="0068091F">
              <w:rPr>
                <w:rFonts w:ascii="Arial" w:eastAsia="Arial" w:hAnsi="Arial" w:cs="Arial"/>
                <w:color w:val="000000"/>
                <w:sz w:val="16"/>
              </w:rPr>
              <w:t>estimate</w:t>
            </w:r>
          </w:p>
        </w:tc>
        <w:tc>
          <w:tcPr>
            <w:tcW w:w="990" w:type="dxa"/>
            <w:tcBorders>
              <w:top w:val="nil"/>
              <w:left w:val="nil"/>
              <w:bottom w:val="nil"/>
              <w:right w:val="nil"/>
              <w:tl2br w:val="nil"/>
              <w:tr2bl w:val="nil"/>
            </w:tcBorders>
            <w:shd w:val="clear" w:color="auto" w:fill="FFFFFF"/>
            <w:tcMar>
              <w:left w:w="115" w:type="dxa"/>
              <w:right w:w="115" w:type="dxa"/>
            </w:tcMar>
            <w:vAlign w:val="bottom"/>
          </w:tcPr>
          <w:p w14:paraId="39CD5D32" w14:textId="77777777" w:rsidR="003F0EEA" w:rsidRPr="0068091F" w:rsidRDefault="00FB7D0B">
            <w:pPr>
              <w:jc w:val="right"/>
              <w:rPr>
                <w:rFonts w:ascii="Arial" w:eastAsia="Arial" w:hAnsi="Arial" w:cs="Arial"/>
                <w:color w:val="000000"/>
                <w:sz w:val="16"/>
              </w:rPr>
            </w:pPr>
            <w:r w:rsidRPr="0068091F">
              <w:rPr>
                <w:rFonts w:ascii="Arial" w:eastAsia="Arial" w:hAnsi="Arial" w:cs="Arial"/>
                <w:color w:val="000000"/>
                <w:sz w:val="16"/>
              </w:rPr>
              <w:t>estimate</w:t>
            </w:r>
          </w:p>
        </w:tc>
        <w:tc>
          <w:tcPr>
            <w:tcW w:w="990" w:type="dxa"/>
            <w:tcBorders>
              <w:top w:val="nil"/>
              <w:left w:val="nil"/>
              <w:bottom w:val="nil"/>
              <w:right w:val="nil"/>
              <w:tl2br w:val="nil"/>
              <w:tr2bl w:val="nil"/>
            </w:tcBorders>
            <w:shd w:val="clear" w:color="auto" w:fill="FFFFFF"/>
            <w:tcMar>
              <w:left w:w="115" w:type="dxa"/>
              <w:right w:w="115" w:type="dxa"/>
            </w:tcMar>
            <w:vAlign w:val="bottom"/>
          </w:tcPr>
          <w:p w14:paraId="167D1026" w14:textId="77777777" w:rsidR="003F0EEA" w:rsidRPr="0068091F" w:rsidRDefault="00FB7D0B">
            <w:pPr>
              <w:jc w:val="right"/>
              <w:rPr>
                <w:rFonts w:ascii="Arial" w:eastAsia="Arial" w:hAnsi="Arial" w:cs="Arial"/>
                <w:color w:val="000000"/>
                <w:sz w:val="16"/>
              </w:rPr>
            </w:pPr>
            <w:r w:rsidRPr="0068091F">
              <w:rPr>
                <w:rFonts w:ascii="Arial" w:eastAsia="Arial" w:hAnsi="Arial" w:cs="Arial"/>
                <w:color w:val="000000"/>
                <w:sz w:val="16"/>
              </w:rPr>
              <w:t>estimate</w:t>
            </w:r>
          </w:p>
        </w:tc>
        <w:tc>
          <w:tcPr>
            <w:tcW w:w="990" w:type="dxa"/>
            <w:tcBorders>
              <w:top w:val="nil"/>
              <w:left w:val="nil"/>
              <w:bottom w:val="nil"/>
              <w:right w:val="nil"/>
              <w:tl2br w:val="nil"/>
              <w:tr2bl w:val="nil"/>
            </w:tcBorders>
            <w:shd w:val="clear" w:color="auto" w:fill="FFFFFF"/>
            <w:tcMar>
              <w:left w:w="115" w:type="dxa"/>
              <w:right w:w="115" w:type="dxa"/>
            </w:tcMar>
            <w:vAlign w:val="bottom"/>
          </w:tcPr>
          <w:p w14:paraId="56E13222" w14:textId="77777777" w:rsidR="003F0EEA" w:rsidRPr="0068091F" w:rsidRDefault="00FB7D0B">
            <w:pPr>
              <w:jc w:val="right"/>
              <w:rPr>
                <w:rFonts w:ascii="Arial" w:eastAsia="Arial" w:hAnsi="Arial" w:cs="Arial"/>
                <w:color w:val="000000"/>
                <w:sz w:val="16"/>
              </w:rPr>
            </w:pPr>
            <w:r w:rsidRPr="0068091F">
              <w:rPr>
                <w:rFonts w:ascii="Arial" w:eastAsia="Arial" w:hAnsi="Arial" w:cs="Arial"/>
                <w:color w:val="000000"/>
                <w:sz w:val="16"/>
              </w:rPr>
              <w:t>estimate</w:t>
            </w:r>
          </w:p>
        </w:tc>
      </w:tr>
      <w:tr w:rsidR="00355BFE" w14:paraId="556C5332" w14:textId="77777777" w:rsidTr="00355BFE">
        <w:trPr>
          <w:gridAfter w:val="1"/>
          <w:wAfter w:w="900" w:type="dxa"/>
          <w:trHeight w:val="225"/>
        </w:trPr>
        <w:tc>
          <w:tcPr>
            <w:tcW w:w="3510" w:type="dxa"/>
            <w:gridSpan w:val="3"/>
            <w:vMerge/>
            <w:tcBorders>
              <w:top w:val="nil"/>
              <w:left w:val="nil"/>
              <w:bottom w:val="nil"/>
              <w:right w:val="nil"/>
              <w:tl2br w:val="nil"/>
              <w:tr2bl w:val="nil"/>
            </w:tcBorders>
            <w:shd w:val="clear" w:color="auto" w:fill="FFFFFF"/>
            <w:tcMar>
              <w:left w:w="115" w:type="dxa"/>
              <w:right w:w="115" w:type="dxa"/>
            </w:tcMar>
            <w:vAlign w:val="bottom"/>
          </w:tcPr>
          <w:p w14:paraId="62282AFF" w14:textId="77777777" w:rsidR="003F0EEA" w:rsidRPr="0068091F" w:rsidRDefault="003F0EEA">
            <w:pPr>
              <w:jc w:val="right"/>
              <w:rPr>
                <w:rFonts w:ascii="Arial" w:eastAsia="Arial" w:hAnsi="Arial" w:cs="Arial"/>
                <w:color w:val="000000"/>
                <w:sz w:val="16"/>
              </w:rPr>
            </w:pPr>
          </w:p>
        </w:tc>
        <w:tc>
          <w:tcPr>
            <w:tcW w:w="990" w:type="dxa"/>
            <w:tcBorders>
              <w:top w:val="nil"/>
              <w:left w:val="nil"/>
              <w:bottom w:val="nil"/>
              <w:right w:val="nil"/>
              <w:tl2br w:val="nil"/>
              <w:tr2bl w:val="nil"/>
            </w:tcBorders>
            <w:shd w:val="clear" w:color="auto" w:fill="FFFFFF"/>
            <w:tcMar>
              <w:left w:w="115" w:type="dxa"/>
              <w:right w:w="115" w:type="dxa"/>
            </w:tcMar>
            <w:vAlign w:val="bottom"/>
          </w:tcPr>
          <w:p w14:paraId="3A065D7E" w14:textId="77777777" w:rsidR="003F0EEA" w:rsidRPr="0068091F" w:rsidRDefault="00FB7D0B">
            <w:pPr>
              <w:jc w:val="right"/>
              <w:rPr>
                <w:rFonts w:ascii="Arial" w:eastAsia="Arial" w:hAnsi="Arial" w:cs="Arial"/>
                <w:color w:val="000000"/>
                <w:sz w:val="16"/>
              </w:rPr>
            </w:pPr>
            <w:r w:rsidRPr="0068091F">
              <w:rPr>
                <w:rFonts w:ascii="Arial" w:eastAsia="Arial" w:hAnsi="Arial" w:cs="Arial"/>
                <w:color w:val="000000"/>
                <w:sz w:val="16"/>
              </w:rPr>
              <w:t>2013-14</w:t>
            </w:r>
          </w:p>
        </w:tc>
        <w:tc>
          <w:tcPr>
            <w:tcW w:w="990" w:type="dxa"/>
            <w:tcBorders>
              <w:top w:val="nil"/>
              <w:left w:val="nil"/>
              <w:bottom w:val="nil"/>
              <w:right w:val="nil"/>
              <w:tl2br w:val="nil"/>
              <w:tr2bl w:val="nil"/>
            </w:tcBorders>
            <w:shd w:val="clear" w:color="auto" w:fill="C0C0C0"/>
            <w:tcMar>
              <w:left w:w="115" w:type="dxa"/>
              <w:right w:w="115" w:type="dxa"/>
            </w:tcMar>
            <w:vAlign w:val="bottom"/>
          </w:tcPr>
          <w:p w14:paraId="213D70FC" w14:textId="77777777" w:rsidR="003F0EEA" w:rsidRPr="0068091F" w:rsidRDefault="00FB7D0B">
            <w:pPr>
              <w:jc w:val="right"/>
              <w:rPr>
                <w:rFonts w:ascii="Arial" w:eastAsia="Arial" w:hAnsi="Arial" w:cs="Arial"/>
                <w:color w:val="000000"/>
                <w:sz w:val="16"/>
              </w:rPr>
            </w:pPr>
            <w:r w:rsidRPr="0068091F">
              <w:rPr>
                <w:rFonts w:ascii="Arial" w:eastAsia="Arial" w:hAnsi="Arial" w:cs="Arial"/>
                <w:color w:val="000000"/>
                <w:sz w:val="16"/>
              </w:rPr>
              <w:t>2014-15</w:t>
            </w:r>
          </w:p>
        </w:tc>
        <w:tc>
          <w:tcPr>
            <w:tcW w:w="990" w:type="dxa"/>
            <w:tcBorders>
              <w:top w:val="nil"/>
              <w:left w:val="nil"/>
              <w:bottom w:val="nil"/>
              <w:right w:val="nil"/>
              <w:tl2br w:val="nil"/>
              <w:tr2bl w:val="nil"/>
            </w:tcBorders>
            <w:shd w:val="clear" w:color="auto" w:fill="FFFFFF"/>
            <w:tcMar>
              <w:left w:w="115" w:type="dxa"/>
              <w:right w:w="115" w:type="dxa"/>
            </w:tcMar>
            <w:vAlign w:val="bottom"/>
          </w:tcPr>
          <w:p w14:paraId="4D242E97" w14:textId="77777777" w:rsidR="003F0EEA" w:rsidRPr="0068091F" w:rsidRDefault="00FB7D0B">
            <w:pPr>
              <w:jc w:val="right"/>
              <w:rPr>
                <w:rFonts w:ascii="Arial" w:eastAsia="Arial" w:hAnsi="Arial" w:cs="Arial"/>
                <w:color w:val="000000"/>
                <w:sz w:val="16"/>
              </w:rPr>
            </w:pPr>
            <w:r w:rsidRPr="0068091F">
              <w:rPr>
                <w:rFonts w:ascii="Arial" w:eastAsia="Arial" w:hAnsi="Arial" w:cs="Arial"/>
                <w:color w:val="000000"/>
                <w:sz w:val="16"/>
              </w:rPr>
              <w:t>2015-16</w:t>
            </w:r>
          </w:p>
        </w:tc>
        <w:tc>
          <w:tcPr>
            <w:tcW w:w="990" w:type="dxa"/>
            <w:tcBorders>
              <w:top w:val="nil"/>
              <w:left w:val="nil"/>
              <w:bottom w:val="nil"/>
              <w:right w:val="nil"/>
              <w:tl2br w:val="nil"/>
              <w:tr2bl w:val="nil"/>
            </w:tcBorders>
            <w:shd w:val="clear" w:color="auto" w:fill="FFFFFF"/>
            <w:tcMar>
              <w:left w:w="115" w:type="dxa"/>
              <w:right w:w="115" w:type="dxa"/>
            </w:tcMar>
            <w:vAlign w:val="bottom"/>
          </w:tcPr>
          <w:p w14:paraId="001C35CB" w14:textId="77777777" w:rsidR="003F0EEA" w:rsidRPr="0068091F" w:rsidRDefault="00FB7D0B">
            <w:pPr>
              <w:jc w:val="right"/>
              <w:rPr>
                <w:rFonts w:ascii="Arial" w:eastAsia="Arial" w:hAnsi="Arial" w:cs="Arial"/>
                <w:color w:val="000000"/>
                <w:sz w:val="16"/>
              </w:rPr>
            </w:pPr>
            <w:r w:rsidRPr="0068091F">
              <w:rPr>
                <w:rFonts w:ascii="Arial" w:eastAsia="Arial" w:hAnsi="Arial" w:cs="Arial"/>
                <w:color w:val="000000"/>
                <w:sz w:val="16"/>
              </w:rPr>
              <w:t>2016-17</w:t>
            </w:r>
          </w:p>
        </w:tc>
        <w:tc>
          <w:tcPr>
            <w:tcW w:w="990" w:type="dxa"/>
            <w:tcBorders>
              <w:top w:val="nil"/>
              <w:left w:val="nil"/>
              <w:bottom w:val="nil"/>
              <w:right w:val="nil"/>
              <w:tl2br w:val="nil"/>
              <w:tr2bl w:val="nil"/>
            </w:tcBorders>
            <w:shd w:val="clear" w:color="auto" w:fill="FFFFFF"/>
            <w:tcMar>
              <w:left w:w="115" w:type="dxa"/>
              <w:right w:w="115" w:type="dxa"/>
            </w:tcMar>
            <w:vAlign w:val="bottom"/>
          </w:tcPr>
          <w:p w14:paraId="5548658A" w14:textId="77777777" w:rsidR="003F0EEA" w:rsidRPr="0068091F" w:rsidRDefault="00FB7D0B">
            <w:pPr>
              <w:jc w:val="right"/>
              <w:rPr>
                <w:rFonts w:ascii="Arial" w:eastAsia="Arial" w:hAnsi="Arial" w:cs="Arial"/>
                <w:color w:val="000000"/>
                <w:sz w:val="16"/>
              </w:rPr>
            </w:pPr>
            <w:r w:rsidRPr="0068091F">
              <w:rPr>
                <w:rFonts w:ascii="Arial" w:eastAsia="Arial" w:hAnsi="Arial" w:cs="Arial"/>
                <w:color w:val="000000"/>
                <w:sz w:val="16"/>
              </w:rPr>
              <w:t>2017-18</w:t>
            </w:r>
          </w:p>
        </w:tc>
      </w:tr>
      <w:tr w:rsidR="00355BFE" w14:paraId="147CD9FB" w14:textId="77777777" w:rsidTr="00355BFE">
        <w:trPr>
          <w:gridAfter w:val="1"/>
          <w:wAfter w:w="900" w:type="dxa"/>
          <w:trHeight w:val="225"/>
        </w:trPr>
        <w:tc>
          <w:tcPr>
            <w:tcW w:w="3510" w:type="dxa"/>
            <w:gridSpan w:val="3"/>
            <w:vMerge/>
            <w:tcBorders>
              <w:top w:val="nil"/>
              <w:left w:val="nil"/>
              <w:bottom w:val="nil"/>
              <w:right w:val="nil"/>
              <w:tl2br w:val="nil"/>
              <w:tr2bl w:val="nil"/>
            </w:tcBorders>
            <w:shd w:val="clear" w:color="auto" w:fill="FFFFFF"/>
            <w:tcMar>
              <w:left w:w="115" w:type="dxa"/>
              <w:right w:w="115" w:type="dxa"/>
            </w:tcMar>
            <w:vAlign w:val="bottom"/>
          </w:tcPr>
          <w:p w14:paraId="37C09B40" w14:textId="77777777" w:rsidR="003F0EEA" w:rsidRPr="0068091F" w:rsidRDefault="003F0EEA">
            <w:pPr>
              <w:jc w:val="right"/>
              <w:rPr>
                <w:rFonts w:ascii="Arial" w:eastAsia="Arial" w:hAnsi="Arial" w:cs="Arial"/>
                <w:color w:val="000000"/>
                <w:sz w:val="16"/>
              </w:rPr>
            </w:pPr>
          </w:p>
        </w:tc>
        <w:tc>
          <w:tcPr>
            <w:tcW w:w="990"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7310CA47" w14:textId="77777777" w:rsidR="003F0EEA" w:rsidRPr="0068091F" w:rsidRDefault="00FB7D0B">
            <w:pPr>
              <w:jc w:val="right"/>
              <w:rPr>
                <w:rFonts w:ascii="Arial" w:eastAsia="Arial" w:hAnsi="Arial" w:cs="Arial"/>
                <w:color w:val="000000"/>
                <w:sz w:val="16"/>
              </w:rPr>
            </w:pPr>
            <w:r w:rsidRPr="0068091F">
              <w:rPr>
                <w:rFonts w:ascii="Arial" w:eastAsia="Arial" w:hAnsi="Arial" w:cs="Arial"/>
                <w:color w:val="000000"/>
                <w:sz w:val="16"/>
              </w:rPr>
              <w:t>$'000</w:t>
            </w:r>
          </w:p>
        </w:tc>
        <w:tc>
          <w:tcPr>
            <w:tcW w:w="990" w:type="dxa"/>
            <w:tcBorders>
              <w:top w:val="nil"/>
              <w:left w:val="nil"/>
              <w:bottom w:val="single" w:sz="6" w:space="0" w:color="000000"/>
              <w:right w:val="nil"/>
              <w:tl2br w:val="nil"/>
              <w:tr2bl w:val="nil"/>
            </w:tcBorders>
            <w:shd w:val="clear" w:color="auto" w:fill="C0C0C0"/>
            <w:tcMar>
              <w:left w:w="115" w:type="dxa"/>
              <w:right w:w="115" w:type="dxa"/>
            </w:tcMar>
            <w:vAlign w:val="bottom"/>
          </w:tcPr>
          <w:p w14:paraId="662CF270" w14:textId="77777777" w:rsidR="003F0EEA" w:rsidRPr="0068091F" w:rsidRDefault="00FB7D0B">
            <w:pPr>
              <w:jc w:val="right"/>
              <w:rPr>
                <w:rFonts w:ascii="Arial" w:eastAsia="Arial" w:hAnsi="Arial" w:cs="Arial"/>
                <w:color w:val="000000"/>
                <w:sz w:val="16"/>
              </w:rPr>
            </w:pPr>
            <w:r w:rsidRPr="0068091F">
              <w:rPr>
                <w:rFonts w:ascii="Arial" w:eastAsia="Arial" w:hAnsi="Arial" w:cs="Arial"/>
                <w:color w:val="000000"/>
                <w:sz w:val="16"/>
              </w:rPr>
              <w:t>$'000</w:t>
            </w:r>
          </w:p>
        </w:tc>
        <w:tc>
          <w:tcPr>
            <w:tcW w:w="990"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655D9B36" w14:textId="77777777" w:rsidR="003F0EEA" w:rsidRPr="0068091F" w:rsidRDefault="00FB7D0B">
            <w:pPr>
              <w:jc w:val="right"/>
              <w:rPr>
                <w:rFonts w:ascii="Arial" w:eastAsia="Arial" w:hAnsi="Arial" w:cs="Arial"/>
                <w:color w:val="000000"/>
                <w:sz w:val="16"/>
              </w:rPr>
            </w:pPr>
            <w:r w:rsidRPr="0068091F">
              <w:rPr>
                <w:rFonts w:ascii="Arial" w:eastAsia="Arial" w:hAnsi="Arial" w:cs="Arial"/>
                <w:color w:val="000000"/>
                <w:sz w:val="16"/>
              </w:rPr>
              <w:t>$'000</w:t>
            </w:r>
          </w:p>
        </w:tc>
        <w:tc>
          <w:tcPr>
            <w:tcW w:w="990"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53184F5E" w14:textId="77777777" w:rsidR="003F0EEA" w:rsidRPr="0068091F" w:rsidRDefault="00FB7D0B">
            <w:pPr>
              <w:jc w:val="right"/>
              <w:rPr>
                <w:rFonts w:ascii="Arial" w:eastAsia="Arial" w:hAnsi="Arial" w:cs="Arial"/>
                <w:color w:val="000000"/>
                <w:sz w:val="16"/>
              </w:rPr>
            </w:pPr>
            <w:r w:rsidRPr="0068091F">
              <w:rPr>
                <w:rFonts w:ascii="Arial" w:eastAsia="Arial" w:hAnsi="Arial" w:cs="Arial"/>
                <w:color w:val="000000"/>
                <w:sz w:val="16"/>
              </w:rPr>
              <w:t>$'000</w:t>
            </w:r>
          </w:p>
        </w:tc>
        <w:tc>
          <w:tcPr>
            <w:tcW w:w="990"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66A9A070" w14:textId="77777777" w:rsidR="003F0EEA" w:rsidRPr="0068091F" w:rsidRDefault="00FB7D0B">
            <w:pPr>
              <w:jc w:val="right"/>
              <w:rPr>
                <w:rFonts w:ascii="Arial" w:eastAsia="Arial" w:hAnsi="Arial" w:cs="Arial"/>
                <w:color w:val="000000"/>
                <w:sz w:val="16"/>
              </w:rPr>
            </w:pPr>
            <w:r w:rsidRPr="0068091F">
              <w:rPr>
                <w:rFonts w:ascii="Arial" w:eastAsia="Arial" w:hAnsi="Arial" w:cs="Arial"/>
                <w:color w:val="000000"/>
                <w:sz w:val="16"/>
              </w:rPr>
              <w:t>$'000</w:t>
            </w:r>
          </w:p>
        </w:tc>
      </w:tr>
      <w:tr w:rsidR="00355BFE" w14:paraId="30DE3890" w14:textId="77777777" w:rsidTr="00355BFE">
        <w:trPr>
          <w:gridAfter w:val="1"/>
          <w:wAfter w:w="900" w:type="dxa"/>
          <w:trHeight w:val="225"/>
        </w:trPr>
        <w:tc>
          <w:tcPr>
            <w:tcW w:w="3510" w:type="dxa"/>
            <w:gridSpan w:val="3"/>
            <w:tcBorders>
              <w:top w:val="nil"/>
              <w:left w:val="nil"/>
              <w:bottom w:val="nil"/>
              <w:right w:val="nil"/>
              <w:tl2br w:val="nil"/>
              <w:tr2bl w:val="nil"/>
            </w:tcBorders>
            <w:shd w:val="clear" w:color="auto" w:fill="FFFFFF"/>
            <w:tcMar>
              <w:left w:w="115" w:type="dxa"/>
              <w:right w:w="115" w:type="dxa"/>
            </w:tcMar>
            <w:vAlign w:val="bottom"/>
          </w:tcPr>
          <w:p w14:paraId="14C33E3D" w14:textId="77777777" w:rsidR="003F0EEA" w:rsidRPr="0068091F" w:rsidRDefault="00FB7D0B">
            <w:pPr>
              <w:rPr>
                <w:rFonts w:ascii="Arial" w:eastAsia="Arial" w:hAnsi="Arial" w:cs="Arial"/>
                <w:color w:val="000000"/>
                <w:sz w:val="16"/>
              </w:rPr>
            </w:pPr>
            <w:r w:rsidRPr="0068091F">
              <w:rPr>
                <w:rFonts w:ascii="Arial" w:eastAsia="Arial" w:hAnsi="Arial" w:cs="Arial"/>
                <w:b/>
                <w:color w:val="000000"/>
                <w:sz w:val="16"/>
              </w:rPr>
              <w:t>NEW CAPITAL APPROPRIATIONS</w:t>
            </w:r>
          </w:p>
        </w:tc>
        <w:tc>
          <w:tcPr>
            <w:tcW w:w="990"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21376BA6" w14:textId="77777777" w:rsidR="003F0EEA" w:rsidRPr="0068091F" w:rsidRDefault="003F0EEA">
            <w:pPr>
              <w:rPr>
                <w:rFonts w:ascii="Arial" w:eastAsia="Arial" w:hAnsi="Arial" w:cs="Arial"/>
                <w:b/>
                <w:color w:val="000000"/>
                <w:sz w:val="16"/>
                <w:vertAlign w:val="superscript"/>
              </w:rPr>
            </w:pPr>
          </w:p>
        </w:tc>
        <w:tc>
          <w:tcPr>
            <w:tcW w:w="990" w:type="dxa"/>
            <w:tcBorders>
              <w:top w:val="single" w:sz="6" w:space="0" w:color="000000"/>
              <w:left w:val="nil"/>
              <w:bottom w:val="nil"/>
              <w:right w:val="nil"/>
              <w:tl2br w:val="nil"/>
              <w:tr2bl w:val="nil"/>
            </w:tcBorders>
            <w:shd w:val="clear" w:color="auto" w:fill="C0C0C0"/>
            <w:tcMar>
              <w:left w:w="115" w:type="dxa"/>
              <w:right w:w="115" w:type="dxa"/>
            </w:tcMar>
            <w:vAlign w:val="bottom"/>
          </w:tcPr>
          <w:p w14:paraId="66298FB3" w14:textId="77777777" w:rsidR="003F0EEA" w:rsidRPr="0068091F" w:rsidRDefault="003F0EEA">
            <w:pPr>
              <w:rPr>
                <w:rFonts w:ascii="Arial" w:eastAsia="Arial" w:hAnsi="Arial" w:cs="Arial"/>
                <w:color w:val="000000"/>
                <w:sz w:val="16"/>
                <w:vertAlign w:val="superscript"/>
              </w:rPr>
            </w:pPr>
          </w:p>
        </w:tc>
        <w:tc>
          <w:tcPr>
            <w:tcW w:w="990"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637AC268" w14:textId="77777777" w:rsidR="003F0EEA" w:rsidRPr="0068091F" w:rsidRDefault="003F0EEA">
            <w:pPr>
              <w:rPr>
                <w:rFonts w:ascii="Arial" w:eastAsia="Arial" w:hAnsi="Arial" w:cs="Arial"/>
                <w:color w:val="000000"/>
                <w:sz w:val="16"/>
                <w:vertAlign w:val="superscript"/>
              </w:rPr>
            </w:pPr>
          </w:p>
        </w:tc>
        <w:tc>
          <w:tcPr>
            <w:tcW w:w="990"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7780FDB3" w14:textId="77777777" w:rsidR="003F0EEA" w:rsidRPr="0068091F" w:rsidRDefault="003F0EEA">
            <w:pPr>
              <w:rPr>
                <w:rFonts w:ascii="Arial" w:eastAsia="Arial" w:hAnsi="Arial" w:cs="Arial"/>
                <w:color w:val="000000"/>
                <w:sz w:val="16"/>
                <w:vertAlign w:val="superscript"/>
              </w:rPr>
            </w:pPr>
          </w:p>
        </w:tc>
        <w:tc>
          <w:tcPr>
            <w:tcW w:w="990"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2A91A7C7" w14:textId="77777777" w:rsidR="003F0EEA" w:rsidRPr="0068091F" w:rsidRDefault="003F0EEA">
            <w:pPr>
              <w:rPr>
                <w:rFonts w:ascii="Arial" w:eastAsia="Arial" w:hAnsi="Arial" w:cs="Arial"/>
                <w:color w:val="000000"/>
                <w:sz w:val="16"/>
                <w:vertAlign w:val="superscript"/>
              </w:rPr>
            </w:pPr>
          </w:p>
        </w:tc>
      </w:tr>
      <w:tr w:rsidR="00355BFE" w14:paraId="5828034B" w14:textId="77777777" w:rsidTr="00355BFE">
        <w:trPr>
          <w:gridAfter w:val="1"/>
          <w:wAfter w:w="900" w:type="dxa"/>
          <w:trHeight w:val="225"/>
        </w:trPr>
        <w:tc>
          <w:tcPr>
            <w:tcW w:w="180" w:type="dxa"/>
            <w:tcBorders>
              <w:top w:val="nil"/>
              <w:left w:val="nil"/>
              <w:bottom w:val="nil"/>
              <w:right w:val="nil"/>
              <w:tl2br w:val="nil"/>
              <w:tr2bl w:val="nil"/>
            </w:tcBorders>
            <w:shd w:val="clear" w:color="auto" w:fill="FFFFFF"/>
            <w:tcMar>
              <w:left w:w="115" w:type="dxa"/>
              <w:right w:w="115" w:type="dxa"/>
            </w:tcMar>
            <w:vAlign w:val="bottom"/>
          </w:tcPr>
          <w:p w14:paraId="582CB9CA" w14:textId="77777777" w:rsidR="003F0EEA" w:rsidRPr="0068091F" w:rsidRDefault="003F0EEA">
            <w:pPr>
              <w:rPr>
                <w:rFonts w:ascii="Arial" w:eastAsia="Arial" w:hAnsi="Arial" w:cs="Arial"/>
                <w:color w:val="000000"/>
                <w:sz w:val="16"/>
                <w:vertAlign w:val="superscript"/>
              </w:rPr>
            </w:pPr>
          </w:p>
        </w:tc>
        <w:tc>
          <w:tcPr>
            <w:tcW w:w="3330" w:type="dxa"/>
            <w:gridSpan w:val="2"/>
            <w:tcBorders>
              <w:top w:val="nil"/>
              <w:left w:val="nil"/>
              <w:bottom w:val="nil"/>
              <w:right w:val="nil"/>
              <w:tl2br w:val="nil"/>
              <w:tr2bl w:val="nil"/>
            </w:tcBorders>
            <w:shd w:val="clear" w:color="auto" w:fill="FFFFFF"/>
            <w:tcMar>
              <w:left w:w="115" w:type="dxa"/>
              <w:right w:w="115" w:type="dxa"/>
            </w:tcMar>
            <w:vAlign w:val="bottom"/>
          </w:tcPr>
          <w:p w14:paraId="46E04D2E" w14:textId="77777777" w:rsidR="003F0EEA" w:rsidRPr="0068091F" w:rsidRDefault="00FB7D0B">
            <w:pPr>
              <w:rPr>
                <w:rFonts w:ascii="Arial" w:eastAsia="Arial" w:hAnsi="Arial" w:cs="Arial"/>
                <w:color w:val="000000"/>
                <w:sz w:val="16"/>
                <w:vertAlign w:val="superscript"/>
              </w:rPr>
            </w:pPr>
            <w:r w:rsidRPr="0068091F">
              <w:rPr>
                <w:rFonts w:ascii="Arial" w:eastAsia="Arial" w:hAnsi="Arial" w:cs="Arial"/>
                <w:color w:val="000000"/>
                <w:sz w:val="16"/>
              </w:rPr>
              <w:t>Equity injections - Bill 2</w:t>
            </w:r>
          </w:p>
        </w:tc>
        <w:tc>
          <w:tcPr>
            <w:tcW w:w="990"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25FDAC8A" w14:textId="77777777" w:rsidR="003F0EEA" w:rsidRPr="0068091F" w:rsidRDefault="00FB7D0B">
            <w:pPr>
              <w:jc w:val="right"/>
              <w:rPr>
                <w:rFonts w:ascii="Arial" w:eastAsia="Arial" w:hAnsi="Arial" w:cs="Arial"/>
                <w:color w:val="000000"/>
                <w:sz w:val="16"/>
                <w:vertAlign w:val="superscript"/>
              </w:rPr>
            </w:pPr>
            <w:r w:rsidRPr="0068091F">
              <w:rPr>
                <w:rFonts w:ascii="Arial" w:eastAsia="Arial" w:hAnsi="Arial" w:cs="Arial"/>
                <w:color w:val="000000"/>
                <w:sz w:val="16"/>
              </w:rPr>
              <w:t xml:space="preserve"> 25,258 </w:t>
            </w:r>
          </w:p>
        </w:tc>
        <w:tc>
          <w:tcPr>
            <w:tcW w:w="990" w:type="dxa"/>
            <w:tcBorders>
              <w:top w:val="nil"/>
              <w:left w:val="nil"/>
              <w:bottom w:val="single" w:sz="6" w:space="0" w:color="000000"/>
              <w:right w:val="nil"/>
              <w:tl2br w:val="nil"/>
              <w:tr2bl w:val="nil"/>
            </w:tcBorders>
            <w:shd w:val="clear" w:color="auto" w:fill="C0C0C0"/>
            <w:tcMar>
              <w:left w:w="115" w:type="dxa"/>
              <w:right w:w="115" w:type="dxa"/>
            </w:tcMar>
            <w:vAlign w:val="bottom"/>
          </w:tcPr>
          <w:p w14:paraId="0FD0E0E9" w14:textId="77777777" w:rsidR="003F0EEA" w:rsidRPr="0068091F" w:rsidRDefault="00FB7D0B">
            <w:pPr>
              <w:jc w:val="right"/>
              <w:rPr>
                <w:rFonts w:ascii="Arial" w:eastAsia="Arial" w:hAnsi="Arial" w:cs="Arial"/>
                <w:color w:val="000000"/>
                <w:sz w:val="16"/>
              </w:rPr>
            </w:pPr>
            <w:r w:rsidRPr="0068091F">
              <w:rPr>
                <w:rFonts w:ascii="Arial" w:eastAsia="Arial" w:hAnsi="Arial" w:cs="Arial"/>
                <w:color w:val="000000"/>
                <w:sz w:val="16"/>
              </w:rPr>
              <w:t xml:space="preserve"> 12,444 </w:t>
            </w:r>
          </w:p>
        </w:tc>
        <w:tc>
          <w:tcPr>
            <w:tcW w:w="990"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5B50F5A7" w14:textId="77777777" w:rsidR="003F0EEA" w:rsidRPr="0068091F" w:rsidRDefault="00FB7D0B">
            <w:pPr>
              <w:jc w:val="right"/>
              <w:rPr>
                <w:rFonts w:ascii="Arial" w:eastAsia="Arial" w:hAnsi="Arial" w:cs="Arial"/>
                <w:color w:val="000000"/>
                <w:sz w:val="16"/>
              </w:rPr>
            </w:pPr>
            <w:r w:rsidRPr="0068091F">
              <w:rPr>
                <w:rFonts w:ascii="Arial" w:eastAsia="Arial" w:hAnsi="Arial" w:cs="Arial"/>
                <w:color w:val="000000"/>
                <w:sz w:val="16"/>
              </w:rPr>
              <w:t xml:space="preserve"> 7,193 </w:t>
            </w:r>
          </w:p>
        </w:tc>
        <w:tc>
          <w:tcPr>
            <w:tcW w:w="990"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4BECEB8C" w14:textId="77777777" w:rsidR="003F0EEA" w:rsidRPr="0068091F" w:rsidRDefault="00FB7D0B">
            <w:pPr>
              <w:jc w:val="right"/>
              <w:rPr>
                <w:rFonts w:ascii="Arial" w:eastAsia="Arial" w:hAnsi="Arial" w:cs="Arial"/>
                <w:color w:val="000000"/>
                <w:sz w:val="16"/>
              </w:rPr>
            </w:pPr>
            <w:r w:rsidRPr="0068091F">
              <w:rPr>
                <w:rFonts w:ascii="Arial" w:eastAsia="Arial" w:hAnsi="Arial" w:cs="Arial"/>
                <w:color w:val="000000"/>
                <w:sz w:val="16"/>
              </w:rPr>
              <w:t xml:space="preserve"> 7,203 </w:t>
            </w:r>
          </w:p>
        </w:tc>
        <w:tc>
          <w:tcPr>
            <w:tcW w:w="990"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5B153891" w14:textId="77777777" w:rsidR="003F0EEA" w:rsidRPr="0068091F" w:rsidRDefault="00FB7D0B">
            <w:pPr>
              <w:jc w:val="right"/>
              <w:rPr>
                <w:rFonts w:ascii="Arial" w:eastAsia="Arial" w:hAnsi="Arial" w:cs="Arial"/>
                <w:color w:val="000000"/>
                <w:sz w:val="16"/>
              </w:rPr>
            </w:pPr>
            <w:r w:rsidRPr="0068091F">
              <w:rPr>
                <w:rFonts w:ascii="Arial" w:eastAsia="Arial" w:hAnsi="Arial" w:cs="Arial"/>
                <w:color w:val="000000"/>
                <w:sz w:val="16"/>
              </w:rPr>
              <w:t xml:space="preserve"> 7,559 </w:t>
            </w:r>
          </w:p>
        </w:tc>
      </w:tr>
      <w:tr w:rsidR="00355BFE" w14:paraId="6FD0A8DB" w14:textId="77777777" w:rsidTr="00355BFE">
        <w:trPr>
          <w:gridAfter w:val="1"/>
          <w:wAfter w:w="900" w:type="dxa"/>
          <w:trHeight w:val="225"/>
        </w:trPr>
        <w:tc>
          <w:tcPr>
            <w:tcW w:w="3510" w:type="dxa"/>
            <w:gridSpan w:val="3"/>
            <w:tcBorders>
              <w:top w:val="nil"/>
              <w:left w:val="nil"/>
              <w:bottom w:val="nil"/>
              <w:right w:val="nil"/>
              <w:tl2br w:val="nil"/>
              <w:tr2bl w:val="nil"/>
            </w:tcBorders>
            <w:shd w:val="clear" w:color="auto" w:fill="FFFFFF"/>
            <w:tcMar>
              <w:left w:w="115" w:type="dxa"/>
              <w:right w:w="115" w:type="dxa"/>
            </w:tcMar>
            <w:vAlign w:val="bottom"/>
          </w:tcPr>
          <w:p w14:paraId="12132E50" w14:textId="77777777" w:rsidR="003F0EEA" w:rsidRPr="0068091F" w:rsidRDefault="00FB7D0B">
            <w:pPr>
              <w:rPr>
                <w:rFonts w:ascii="Arial" w:eastAsia="Arial" w:hAnsi="Arial" w:cs="Arial"/>
                <w:color w:val="000000"/>
                <w:sz w:val="16"/>
              </w:rPr>
            </w:pPr>
            <w:r w:rsidRPr="0068091F">
              <w:rPr>
                <w:rFonts w:ascii="Arial" w:eastAsia="Arial" w:hAnsi="Arial" w:cs="Arial"/>
                <w:b/>
                <w:color w:val="000000"/>
                <w:sz w:val="16"/>
              </w:rPr>
              <w:t>Total capital appropriations</w:t>
            </w:r>
          </w:p>
        </w:tc>
        <w:tc>
          <w:tcPr>
            <w:tcW w:w="990" w:type="dxa"/>
            <w:tcBorders>
              <w:top w:val="single" w:sz="6" w:space="0" w:color="000000"/>
              <w:left w:val="nil"/>
              <w:bottom w:val="single" w:sz="6" w:space="0" w:color="000000"/>
              <w:right w:val="nil"/>
              <w:tl2br w:val="nil"/>
              <w:tr2bl w:val="nil"/>
            </w:tcBorders>
            <w:shd w:val="clear" w:color="auto" w:fill="FFFFFF"/>
            <w:tcMar>
              <w:left w:w="115" w:type="dxa"/>
              <w:right w:w="115" w:type="dxa"/>
            </w:tcMar>
            <w:vAlign w:val="bottom"/>
          </w:tcPr>
          <w:p w14:paraId="04E47348" w14:textId="77777777" w:rsidR="003F0EEA" w:rsidRPr="0068091F" w:rsidRDefault="00FB7D0B">
            <w:pPr>
              <w:jc w:val="right"/>
              <w:rPr>
                <w:rFonts w:ascii="Arial" w:eastAsia="Arial" w:hAnsi="Arial" w:cs="Arial"/>
                <w:b/>
                <w:color w:val="000000"/>
                <w:sz w:val="16"/>
                <w:vertAlign w:val="superscript"/>
              </w:rPr>
            </w:pPr>
            <w:r w:rsidRPr="0068091F">
              <w:rPr>
                <w:rFonts w:ascii="Arial" w:eastAsia="Arial" w:hAnsi="Arial" w:cs="Arial"/>
                <w:b/>
                <w:color w:val="000000"/>
                <w:sz w:val="16"/>
              </w:rPr>
              <w:t xml:space="preserve"> 25,258 </w:t>
            </w:r>
          </w:p>
        </w:tc>
        <w:tc>
          <w:tcPr>
            <w:tcW w:w="990" w:type="dxa"/>
            <w:tcBorders>
              <w:top w:val="single" w:sz="6" w:space="0" w:color="000000"/>
              <w:left w:val="nil"/>
              <w:bottom w:val="single" w:sz="6" w:space="0" w:color="000000"/>
              <w:right w:val="nil"/>
              <w:tl2br w:val="nil"/>
              <w:tr2bl w:val="nil"/>
            </w:tcBorders>
            <w:shd w:val="clear" w:color="auto" w:fill="C0C0C0"/>
            <w:tcMar>
              <w:left w:w="115" w:type="dxa"/>
              <w:right w:w="115" w:type="dxa"/>
            </w:tcMar>
            <w:vAlign w:val="bottom"/>
          </w:tcPr>
          <w:p w14:paraId="4B2737D2" w14:textId="77777777" w:rsidR="003F0EEA" w:rsidRPr="0068091F" w:rsidRDefault="00FB7D0B">
            <w:pPr>
              <w:jc w:val="right"/>
              <w:rPr>
                <w:rFonts w:ascii="Arial" w:eastAsia="Arial" w:hAnsi="Arial" w:cs="Arial"/>
                <w:b/>
                <w:color w:val="000000"/>
                <w:sz w:val="16"/>
              </w:rPr>
            </w:pPr>
            <w:r w:rsidRPr="0068091F">
              <w:rPr>
                <w:rFonts w:ascii="Arial" w:eastAsia="Arial" w:hAnsi="Arial" w:cs="Arial"/>
                <w:b/>
                <w:color w:val="000000"/>
                <w:sz w:val="16"/>
              </w:rPr>
              <w:t xml:space="preserve"> 12,444 </w:t>
            </w:r>
          </w:p>
        </w:tc>
        <w:tc>
          <w:tcPr>
            <w:tcW w:w="990" w:type="dxa"/>
            <w:tcBorders>
              <w:top w:val="single" w:sz="6" w:space="0" w:color="000000"/>
              <w:left w:val="nil"/>
              <w:bottom w:val="single" w:sz="6" w:space="0" w:color="000000"/>
              <w:right w:val="nil"/>
              <w:tl2br w:val="nil"/>
              <w:tr2bl w:val="nil"/>
            </w:tcBorders>
            <w:shd w:val="clear" w:color="auto" w:fill="FFFFFF"/>
            <w:tcMar>
              <w:left w:w="115" w:type="dxa"/>
              <w:right w:w="115" w:type="dxa"/>
            </w:tcMar>
            <w:vAlign w:val="bottom"/>
          </w:tcPr>
          <w:p w14:paraId="3A9542A4" w14:textId="77777777" w:rsidR="003F0EEA" w:rsidRPr="0068091F" w:rsidRDefault="00FB7D0B">
            <w:pPr>
              <w:jc w:val="right"/>
              <w:rPr>
                <w:rFonts w:ascii="Arial" w:eastAsia="Arial" w:hAnsi="Arial" w:cs="Arial"/>
                <w:b/>
                <w:color w:val="000000"/>
                <w:sz w:val="16"/>
              </w:rPr>
            </w:pPr>
            <w:r w:rsidRPr="0068091F">
              <w:rPr>
                <w:rFonts w:ascii="Arial" w:eastAsia="Arial" w:hAnsi="Arial" w:cs="Arial"/>
                <w:b/>
                <w:color w:val="000000"/>
                <w:sz w:val="16"/>
              </w:rPr>
              <w:t xml:space="preserve"> 7,193 </w:t>
            </w:r>
          </w:p>
        </w:tc>
        <w:tc>
          <w:tcPr>
            <w:tcW w:w="990" w:type="dxa"/>
            <w:tcBorders>
              <w:top w:val="single" w:sz="6" w:space="0" w:color="000000"/>
              <w:left w:val="nil"/>
              <w:bottom w:val="single" w:sz="6" w:space="0" w:color="000000"/>
              <w:right w:val="nil"/>
              <w:tl2br w:val="nil"/>
              <w:tr2bl w:val="nil"/>
            </w:tcBorders>
            <w:shd w:val="clear" w:color="auto" w:fill="FFFFFF"/>
            <w:tcMar>
              <w:left w:w="115" w:type="dxa"/>
              <w:right w:w="115" w:type="dxa"/>
            </w:tcMar>
            <w:vAlign w:val="bottom"/>
          </w:tcPr>
          <w:p w14:paraId="0B2A4EC5" w14:textId="77777777" w:rsidR="003F0EEA" w:rsidRPr="0068091F" w:rsidRDefault="00FB7D0B">
            <w:pPr>
              <w:jc w:val="right"/>
              <w:rPr>
                <w:rFonts w:ascii="Arial" w:eastAsia="Arial" w:hAnsi="Arial" w:cs="Arial"/>
                <w:b/>
                <w:color w:val="000000"/>
                <w:sz w:val="16"/>
              </w:rPr>
            </w:pPr>
            <w:r w:rsidRPr="0068091F">
              <w:rPr>
                <w:rFonts w:ascii="Arial" w:eastAsia="Arial" w:hAnsi="Arial" w:cs="Arial"/>
                <w:b/>
                <w:color w:val="000000"/>
                <w:sz w:val="16"/>
              </w:rPr>
              <w:t xml:space="preserve"> 7,203 </w:t>
            </w:r>
          </w:p>
        </w:tc>
        <w:tc>
          <w:tcPr>
            <w:tcW w:w="990" w:type="dxa"/>
            <w:tcBorders>
              <w:top w:val="single" w:sz="6" w:space="0" w:color="000000"/>
              <w:left w:val="nil"/>
              <w:bottom w:val="single" w:sz="6" w:space="0" w:color="000000"/>
              <w:right w:val="nil"/>
              <w:tl2br w:val="nil"/>
              <w:tr2bl w:val="nil"/>
            </w:tcBorders>
            <w:shd w:val="clear" w:color="auto" w:fill="FFFFFF"/>
            <w:tcMar>
              <w:left w:w="115" w:type="dxa"/>
              <w:right w:w="115" w:type="dxa"/>
            </w:tcMar>
            <w:vAlign w:val="bottom"/>
          </w:tcPr>
          <w:p w14:paraId="711C9017" w14:textId="77777777" w:rsidR="003F0EEA" w:rsidRPr="0068091F" w:rsidRDefault="00FB7D0B">
            <w:pPr>
              <w:jc w:val="right"/>
              <w:rPr>
                <w:rFonts w:ascii="Arial" w:eastAsia="Arial" w:hAnsi="Arial" w:cs="Arial"/>
                <w:b/>
                <w:color w:val="000000"/>
                <w:sz w:val="16"/>
              </w:rPr>
            </w:pPr>
            <w:r w:rsidRPr="0068091F">
              <w:rPr>
                <w:rFonts w:ascii="Arial" w:eastAsia="Arial" w:hAnsi="Arial" w:cs="Arial"/>
                <w:b/>
                <w:color w:val="000000"/>
                <w:sz w:val="16"/>
              </w:rPr>
              <w:t xml:space="preserve"> 7,559 </w:t>
            </w:r>
          </w:p>
        </w:tc>
      </w:tr>
      <w:tr w:rsidR="00724034" w14:paraId="2FED1894" w14:textId="77777777">
        <w:trPr>
          <w:gridAfter w:val="1"/>
          <w:wAfter w:w="900" w:type="dxa"/>
          <w:trHeight w:val="60"/>
        </w:trPr>
        <w:tc>
          <w:tcPr>
            <w:tcW w:w="180" w:type="dxa"/>
            <w:tcBorders>
              <w:top w:val="nil"/>
              <w:left w:val="nil"/>
              <w:bottom w:val="nil"/>
              <w:right w:val="nil"/>
              <w:tl2br w:val="nil"/>
              <w:tr2bl w:val="nil"/>
            </w:tcBorders>
            <w:shd w:val="clear" w:color="auto" w:fill="FFFFFF"/>
            <w:tcMar>
              <w:left w:w="115" w:type="dxa"/>
              <w:right w:w="115" w:type="dxa"/>
            </w:tcMar>
            <w:vAlign w:val="bottom"/>
          </w:tcPr>
          <w:p w14:paraId="32EAC5FB" w14:textId="77777777" w:rsidR="003F0EEA" w:rsidRPr="0068091F" w:rsidRDefault="003F0EEA">
            <w:pPr>
              <w:rPr>
                <w:rFonts w:ascii="Arial" w:eastAsia="Arial" w:hAnsi="Arial" w:cs="Arial"/>
                <w:b/>
                <w:color w:val="000000"/>
                <w:sz w:val="16"/>
              </w:rPr>
            </w:pPr>
          </w:p>
        </w:tc>
        <w:tc>
          <w:tcPr>
            <w:tcW w:w="180" w:type="dxa"/>
            <w:tcBorders>
              <w:top w:val="nil"/>
              <w:left w:val="nil"/>
              <w:bottom w:val="nil"/>
              <w:right w:val="nil"/>
              <w:tl2br w:val="nil"/>
              <w:tr2bl w:val="nil"/>
            </w:tcBorders>
            <w:shd w:val="clear" w:color="auto" w:fill="FFFFFF"/>
            <w:tcMar>
              <w:left w:w="115" w:type="dxa"/>
              <w:right w:w="115" w:type="dxa"/>
            </w:tcMar>
            <w:vAlign w:val="bottom"/>
          </w:tcPr>
          <w:p w14:paraId="73BA01BA" w14:textId="77777777" w:rsidR="003F0EEA" w:rsidRPr="0068091F" w:rsidRDefault="003F0EEA">
            <w:pPr>
              <w:rPr>
                <w:rFonts w:ascii="Arial" w:eastAsia="Arial" w:hAnsi="Arial" w:cs="Arial"/>
                <w:color w:val="000000"/>
                <w:sz w:val="16"/>
              </w:rPr>
            </w:pPr>
          </w:p>
        </w:tc>
        <w:tc>
          <w:tcPr>
            <w:tcW w:w="3150" w:type="dxa"/>
            <w:tcBorders>
              <w:top w:val="nil"/>
              <w:left w:val="nil"/>
              <w:bottom w:val="nil"/>
              <w:right w:val="nil"/>
              <w:tl2br w:val="nil"/>
              <w:tr2bl w:val="nil"/>
            </w:tcBorders>
            <w:shd w:val="clear" w:color="auto" w:fill="FFFFFF"/>
            <w:tcMar>
              <w:left w:w="115" w:type="dxa"/>
              <w:right w:w="115" w:type="dxa"/>
            </w:tcMar>
            <w:vAlign w:val="bottom"/>
          </w:tcPr>
          <w:p w14:paraId="41E12AB7" w14:textId="77777777" w:rsidR="003F0EEA" w:rsidRPr="0068091F" w:rsidRDefault="003F0EEA">
            <w:pPr>
              <w:rPr>
                <w:rFonts w:ascii="Arial" w:eastAsia="Arial" w:hAnsi="Arial" w:cs="Arial"/>
                <w:color w:val="000000"/>
                <w:sz w:val="16"/>
              </w:rPr>
            </w:pPr>
          </w:p>
        </w:tc>
        <w:tc>
          <w:tcPr>
            <w:tcW w:w="990"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763088EA" w14:textId="77777777" w:rsidR="003F0EEA" w:rsidRPr="0068091F" w:rsidRDefault="003F0EEA">
            <w:pPr>
              <w:rPr>
                <w:rFonts w:ascii="Arial" w:eastAsia="Arial" w:hAnsi="Arial" w:cs="Arial"/>
                <w:color w:val="000000"/>
                <w:sz w:val="16"/>
                <w:vertAlign w:val="superscript"/>
              </w:rPr>
            </w:pPr>
          </w:p>
        </w:tc>
        <w:tc>
          <w:tcPr>
            <w:tcW w:w="990" w:type="dxa"/>
            <w:tcBorders>
              <w:top w:val="single" w:sz="6" w:space="0" w:color="000000"/>
              <w:left w:val="nil"/>
              <w:bottom w:val="nil"/>
              <w:right w:val="nil"/>
              <w:tl2br w:val="nil"/>
              <w:tr2bl w:val="nil"/>
            </w:tcBorders>
            <w:shd w:val="clear" w:color="auto" w:fill="C0C0C0"/>
            <w:tcMar>
              <w:left w:w="115" w:type="dxa"/>
              <w:right w:w="115" w:type="dxa"/>
            </w:tcMar>
            <w:vAlign w:val="bottom"/>
          </w:tcPr>
          <w:p w14:paraId="3F01826D" w14:textId="77777777" w:rsidR="003F0EEA" w:rsidRPr="0068091F" w:rsidRDefault="003F0EEA">
            <w:pPr>
              <w:rPr>
                <w:rFonts w:ascii="Arial" w:eastAsia="Arial" w:hAnsi="Arial" w:cs="Arial"/>
                <w:color w:val="000000"/>
                <w:sz w:val="16"/>
                <w:vertAlign w:val="superscript"/>
              </w:rPr>
            </w:pPr>
          </w:p>
        </w:tc>
        <w:tc>
          <w:tcPr>
            <w:tcW w:w="990"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37F56E88" w14:textId="77777777" w:rsidR="003F0EEA" w:rsidRPr="0068091F" w:rsidRDefault="003F0EEA">
            <w:pPr>
              <w:rPr>
                <w:rFonts w:ascii="Arial" w:eastAsia="Arial" w:hAnsi="Arial" w:cs="Arial"/>
                <w:color w:val="000000"/>
                <w:sz w:val="16"/>
                <w:vertAlign w:val="superscript"/>
              </w:rPr>
            </w:pPr>
          </w:p>
        </w:tc>
        <w:tc>
          <w:tcPr>
            <w:tcW w:w="990"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5D9E3690" w14:textId="77777777" w:rsidR="003F0EEA" w:rsidRPr="0068091F" w:rsidRDefault="003F0EEA">
            <w:pPr>
              <w:rPr>
                <w:rFonts w:ascii="Arial" w:eastAsia="Arial" w:hAnsi="Arial" w:cs="Arial"/>
                <w:color w:val="000000"/>
                <w:sz w:val="16"/>
                <w:vertAlign w:val="superscript"/>
              </w:rPr>
            </w:pPr>
          </w:p>
        </w:tc>
        <w:tc>
          <w:tcPr>
            <w:tcW w:w="990"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19A02661" w14:textId="77777777" w:rsidR="003F0EEA" w:rsidRPr="0068091F" w:rsidRDefault="003F0EEA">
            <w:pPr>
              <w:rPr>
                <w:rFonts w:ascii="Arial" w:eastAsia="Arial" w:hAnsi="Arial" w:cs="Arial"/>
                <w:color w:val="000000"/>
                <w:sz w:val="16"/>
                <w:vertAlign w:val="superscript"/>
              </w:rPr>
            </w:pPr>
          </w:p>
        </w:tc>
      </w:tr>
      <w:tr w:rsidR="00355BFE" w14:paraId="57847E31" w14:textId="77777777" w:rsidTr="00355BFE">
        <w:trPr>
          <w:gridAfter w:val="1"/>
          <w:wAfter w:w="900" w:type="dxa"/>
          <w:trHeight w:val="225"/>
        </w:trPr>
        <w:tc>
          <w:tcPr>
            <w:tcW w:w="3510" w:type="dxa"/>
            <w:gridSpan w:val="3"/>
            <w:tcBorders>
              <w:top w:val="nil"/>
              <w:left w:val="nil"/>
              <w:bottom w:val="nil"/>
              <w:right w:val="nil"/>
              <w:tl2br w:val="nil"/>
              <w:tr2bl w:val="nil"/>
            </w:tcBorders>
            <w:shd w:val="clear" w:color="auto" w:fill="FFFFFF"/>
            <w:tcMar>
              <w:left w:w="115" w:type="dxa"/>
              <w:right w:w="115" w:type="dxa"/>
            </w:tcMar>
            <w:vAlign w:val="bottom"/>
          </w:tcPr>
          <w:p w14:paraId="35D4A83A" w14:textId="77777777" w:rsidR="003F0EEA" w:rsidRPr="0068091F" w:rsidRDefault="00FB7D0B">
            <w:pPr>
              <w:rPr>
                <w:rFonts w:ascii="Arial" w:eastAsia="Arial" w:hAnsi="Arial" w:cs="Arial"/>
                <w:color w:val="000000"/>
                <w:sz w:val="16"/>
                <w:vertAlign w:val="superscript"/>
              </w:rPr>
            </w:pPr>
            <w:r w:rsidRPr="0068091F">
              <w:rPr>
                <w:rFonts w:ascii="Arial" w:eastAsia="Arial" w:hAnsi="Arial" w:cs="Arial"/>
                <w:b/>
                <w:color w:val="000000"/>
                <w:sz w:val="16"/>
              </w:rPr>
              <w:t>Represented by:</w:t>
            </w:r>
          </w:p>
        </w:tc>
        <w:tc>
          <w:tcPr>
            <w:tcW w:w="990" w:type="dxa"/>
            <w:tcBorders>
              <w:top w:val="nil"/>
              <w:left w:val="nil"/>
              <w:bottom w:val="nil"/>
              <w:right w:val="nil"/>
              <w:tl2br w:val="nil"/>
              <w:tr2bl w:val="nil"/>
            </w:tcBorders>
            <w:shd w:val="clear" w:color="auto" w:fill="FFFFFF"/>
            <w:tcMar>
              <w:left w:w="115" w:type="dxa"/>
              <w:right w:w="115" w:type="dxa"/>
            </w:tcMar>
            <w:vAlign w:val="bottom"/>
          </w:tcPr>
          <w:p w14:paraId="3A469755" w14:textId="77777777" w:rsidR="003F0EEA" w:rsidRPr="0068091F" w:rsidRDefault="003F0EEA">
            <w:pPr>
              <w:rPr>
                <w:rFonts w:ascii="Arial" w:eastAsia="Arial" w:hAnsi="Arial" w:cs="Arial"/>
                <w:b/>
                <w:color w:val="000000"/>
                <w:sz w:val="16"/>
                <w:vertAlign w:val="superscript"/>
              </w:rPr>
            </w:pPr>
          </w:p>
        </w:tc>
        <w:tc>
          <w:tcPr>
            <w:tcW w:w="990" w:type="dxa"/>
            <w:tcBorders>
              <w:top w:val="nil"/>
              <w:left w:val="nil"/>
              <w:bottom w:val="nil"/>
              <w:right w:val="nil"/>
              <w:tl2br w:val="nil"/>
              <w:tr2bl w:val="nil"/>
            </w:tcBorders>
            <w:shd w:val="clear" w:color="auto" w:fill="C0C0C0"/>
            <w:tcMar>
              <w:left w:w="115" w:type="dxa"/>
              <w:right w:w="115" w:type="dxa"/>
            </w:tcMar>
            <w:vAlign w:val="bottom"/>
          </w:tcPr>
          <w:p w14:paraId="41285EB0" w14:textId="77777777" w:rsidR="003F0EEA" w:rsidRPr="0068091F" w:rsidRDefault="003F0EEA">
            <w:pPr>
              <w:rPr>
                <w:rFonts w:ascii="Arial" w:eastAsia="Arial" w:hAnsi="Arial" w:cs="Arial"/>
                <w:color w:val="000000"/>
                <w:sz w:val="16"/>
                <w:vertAlign w:val="superscript"/>
              </w:rPr>
            </w:pPr>
          </w:p>
        </w:tc>
        <w:tc>
          <w:tcPr>
            <w:tcW w:w="990" w:type="dxa"/>
            <w:tcBorders>
              <w:top w:val="nil"/>
              <w:left w:val="nil"/>
              <w:bottom w:val="nil"/>
              <w:right w:val="nil"/>
              <w:tl2br w:val="nil"/>
              <w:tr2bl w:val="nil"/>
            </w:tcBorders>
            <w:shd w:val="clear" w:color="auto" w:fill="FFFFFF"/>
            <w:tcMar>
              <w:left w:w="115" w:type="dxa"/>
              <w:right w:w="115" w:type="dxa"/>
            </w:tcMar>
            <w:vAlign w:val="bottom"/>
          </w:tcPr>
          <w:p w14:paraId="44C5525D" w14:textId="77777777" w:rsidR="003F0EEA" w:rsidRPr="0068091F" w:rsidRDefault="003F0EEA">
            <w:pPr>
              <w:rPr>
                <w:rFonts w:ascii="Arial" w:eastAsia="Arial" w:hAnsi="Arial" w:cs="Arial"/>
                <w:color w:val="000000"/>
                <w:sz w:val="16"/>
                <w:vertAlign w:val="superscript"/>
              </w:rPr>
            </w:pPr>
          </w:p>
        </w:tc>
        <w:tc>
          <w:tcPr>
            <w:tcW w:w="990" w:type="dxa"/>
            <w:tcBorders>
              <w:top w:val="nil"/>
              <w:left w:val="nil"/>
              <w:bottom w:val="nil"/>
              <w:right w:val="nil"/>
              <w:tl2br w:val="nil"/>
              <w:tr2bl w:val="nil"/>
            </w:tcBorders>
            <w:shd w:val="clear" w:color="auto" w:fill="FFFFFF"/>
            <w:tcMar>
              <w:left w:w="115" w:type="dxa"/>
              <w:right w:w="115" w:type="dxa"/>
            </w:tcMar>
            <w:vAlign w:val="bottom"/>
          </w:tcPr>
          <w:p w14:paraId="60F59E1D" w14:textId="77777777" w:rsidR="003F0EEA" w:rsidRPr="0068091F" w:rsidRDefault="003F0EEA">
            <w:pPr>
              <w:rPr>
                <w:rFonts w:ascii="Arial" w:eastAsia="Arial" w:hAnsi="Arial" w:cs="Arial"/>
                <w:color w:val="000000"/>
                <w:sz w:val="16"/>
                <w:vertAlign w:val="superscript"/>
              </w:rPr>
            </w:pPr>
          </w:p>
        </w:tc>
        <w:tc>
          <w:tcPr>
            <w:tcW w:w="990" w:type="dxa"/>
            <w:tcBorders>
              <w:top w:val="nil"/>
              <w:left w:val="nil"/>
              <w:bottom w:val="nil"/>
              <w:right w:val="nil"/>
              <w:tl2br w:val="nil"/>
              <w:tr2bl w:val="nil"/>
            </w:tcBorders>
            <w:shd w:val="clear" w:color="auto" w:fill="FFFFFF"/>
            <w:tcMar>
              <w:left w:w="115" w:type="dxa"/>
              <w:right w:w="115" w:type="dxa"/>
            </w:tcMar>
            <w:vAlign w:val="bottom"/>
          </w:tcPr>
          <w:p w14:paraId="49BFA0B1" w14:textId="77777777" w:rsidR="003F0EEA" w:rsidRPr="0068091F" w:rsidRDefault="003F0EEA">
            <w:pPr>
              <w:rPr>
                <w:rFonts w:ascii="Arial" w:eastAsia="Arial" w:hAnsi="Arial" w:cs="Arial"/>
                <w:color w:val="000000"/>
                <w:sz w:val="16"/>
                <w:vertAlign w:val="superscript"/>
              </w:rPr>
            </w:pPr>
          </w:p>
        </w:tc>
      </w:tr>
      <w:tr w:rsidR="00355BFE" w14:paraId="40D4130F" w14:textId="77777777" w:rsidTr="00355BFE">
        <w:trPr>
          <w:gridAfter w:val="1"/>
          <w:wAfter w:w="900" w:type="dxa"/>
          <w:trHeight w:val="225"/>
        </w:trPr>
        <w:tc>
          <w:tcPr>
            <w:tcW w:w="180" w:type="dxa"/>
            <w:tcBorders>
              <w:top w:val="nil"/>
              <w:left w:val="nil"/>
              <w:bottom w:val="nil"/>
              <w:right w:val="nil"/>
              <w:tl2br w:val="nil"/>
              <w:tr2bl w:val="nil"/>
            </w:tcBorders>
            <w:shd w:val="clear" w:color="auto" w:fill="FFFFFF"/>
            <w:tcMar>
              <w:left w:w="115" w:type="dxa"/>
              <w:right w:w="115" w:type="dxa"/>
            </w:tcMar>
            <w:vAlign w:val="bottom"/>
          </w:tcPr>
          <w:p w14:paraId="10E9FA1E" w14:textId="77777777" w:rsidR="003F0EEA" w:rsidRPr="0068091F" w:rsidRDefault="003F0EEA">
            <w:pPr>
              <w:rPr>
                <w:rFonts w:ascii="Arial" w:eastAsia="Arial" w:hAnsi="Arial" w:cs="Arial"/>
                <w:color w:val="000000"/>
                <w:sz w:val="16"/>
                <w:vertAlign w:val="superscript"/>
              </w:rPr>
            </w:pPr>
          </w:p>
        </w:tc>
        <w:tc>
          <w:tcPr>
            <w:tcW w:w="3330" w:type="dxa"/>
            <w:gridSpan w:val="2"/>
            <w:tcBorders>
              <w:top w:val="nil"/>
              <w:left w:val="nil"/>
              <w:bottom w:val="nil"/>
              <w:right w:val="nil"/>
              <w:tl2br w:val="nil"/>
              <w:tr2bl w:val="nil"/>
            </w:tcBorders>
            <w:shd w:val="clear" w:color="auto" w:fill="FFFFFF"/>
            <w:tcMar>
              <w:left w:w="115" w:type="dxa"/>
              <w:right w:w="115" w:type="dxa"/>
            </w:tcMar>
            <w:vAlign w:val="bottom"/>
          </w:tcPr>
          <w:p w14:paraId="7B2CFBFB" w14:textId="77777777" w:rsidR="003F0EEA" w:rsidRPr="0068091F" w:rsidRDefault="00FB7D0B">
            <w:pPr>
              <w:rPr>
                <w:rFonts w:ascii="Arial" w:eastAsia="Arial" w:hAnsi="Arial" w:cs="Arial"/>
                <w:color w:val="000000"/>
                <w:sz w:val="20"/>
                <w:vertAlign w:val="superscript"/>
              </w:rPr>
            </w:pPr>
            <w:r w:rsidRPr="0068091F">
              <w:rPr>
                <w:rFonts w:ascii="Arial" w:eastAsia="Arial" w:hAnsi="Arial" w:cs="Arial"/>
                <w:color w:val="000000"/>
                <w:sz w:val="16"/>
              </w:rPr>
              <w:t>Purchase of non-financial assets</w:t>
            </w:r>
          </w:p>
        </w:tc>
        <w:tc>
          <w:tcPr>
            <w:tcW w:w="990"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07CBB709" w14:textId="77777777" w:rsidR="003F0EEA" w:rsidRPr="0068091F" w:rsidRDefault="00FB7D0B">
            <w:pPr>
              <w:jc w:val="right"/>
              <w:rPr>
                <w:rFonts w:ascii="Arial" w:eastAsia="Arial" w:hAnsi="Arial" w:cs="Arial"/>
                <w:color w:val="000000"/>
                <w:sz w:val="16"/>
                <w:vertAlign w:val="superscript"/>
              </w:rPr>
            </w:pPr>
            <w:r w:rsidRPr="0068091F">
              <w:rPr>
                <w:rFonts w:ascii="Arial" w:eastAsia="Arial" w:hAnsi="Arial" w:cs="Arial"/>
                <w:color w:val="000000"/>
                <w:sz w:val="16"/>
              </w:rPr>
              <w:t xml:space="preserve"> 25,258 </w:t>
            </w:r>
          </w:p>
        </w:tc>
        <w:tc>
          <w:tcPr>
            <w:tcW w:w="990" w:type="dxa"/>
            <w:tcBorders>
              <w:top w:val="nil"/>
              <w:left w:val="nil"/>
              <w:bottom w:val="single" w:sz="6" w:space="0" w:color="000000"/>
              <w:right w:val="nil"/>
              <w:tl2br w:val="nil"/>
              <w:tr2bl w:val="nil"/>
            </w:tcBorders>
            <w:shd w:val="clear" w:color="auto" w:fill="C0C0C0"/>
            <w:tcMar>
              <w:left w:w="115" w:type="dxa"/>
              <w:right w:w="115" w:type="dxa"/>
            </w:tcMar>
            <w:vAlign w:val="bottom"/>
          </w:tcPr>
          <w:p w14:paraId="2D3988A5" w14:textId="77777777" w:rsidR="003F0EEA" w:rsidRPr="0068091F" w:rsidRDefault="00FB7D0B">
            <w:pPr>
              <w:jc w:val="right"/>
              <w:rPr>
                <w:rFonts w:ascii="Arial" w:eastAsia="Arial" w:hAnsi="Arial" w:cs="Arial"/>
                <w:color w:val="000000"/>
                <w:sz w:val="16"/>
              </w:rPr>
            </w:pPr>
            <w:r w:rsidRPr="0068091F">
              <w:rPr>
                <w:rFonts w:ascii="Arial" w:eastAsia="Arial" w:hAnsi="Arial" w:cs="Arial"/>
                <w:color w:val="000000"/>
                <w:sz w:val="16"/>
              </w:rPr>
              <w:t xml:space="preserve"> 12,444 </w:t>
            </w:r>
          </w:p>
        </w:tc>
        <w:tc>
          <w:tcPr>
            <w:tcW w:w="990"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133BFA82" w14:textId="77777777" w:rsidR="003F0EEA" w:rsidRPr="0068091F" w:rsidRDefault="00FB7D0B">
            <w:pPr>
              <w:jc w:val="right"/>
              <w:rPr>
                <w:rFonts w:ascii="Arial" w:eastAsia="Arial" w:hAnsi="Arial" w:cs="Arial"/>
                <w:color w:val="000000"/>
                <w:sz w:val="16"/>
              </w:rPr>
            </w:pPr>
            <w:r w:rsidRPr="0068091F">
              <w:rPr>
                <w:rFonts w:ascii="Arial" w:eastAsia="Arial" w:hAnsi="Arial" w:cs="Arial"/>
                <w:color w:val="000000"/>
                <w:sz w:val="16"/>
              </w:rPr>
              <w:t xml:space="preserve"> 7,193 </w:t>
            </w:r>
          </w:p>
        </w:tc>
        <w:tc>
          <w:tcPr>
            <w:tcW w:w="990"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7F061B86" w14:textId="77777777" w:rsidR="003F0EEA" w:rsidRPr="0068091F" w:rsidRDefault="00FB7D0B">
            <w:pPr>
              <w:jc w:val="right"/>
              <w:rPr>
                <w:rFonts w:ascii="Arial" w:eastAsia="Arial" w:hAnsi="Arial" w:cs="Arial"/>
                <w:color w:val="000000"/>
                <w:sz w:val="16"/>
              </w:rPr>
            </w:pPr>
            <w:r w:rsidRPr="0068091F">
              <w:rPr>
                <w:rFonts w:ascii="Arial" w:eastAsia="Arial" w:hAnsi="Arial" w:cs="Arial"/>
                <w:color w:val="000000"/>
                <w:sz w:val="16"/>
              </w:rPr>
              <w:t xml:space="preserve"> 7,203 </w:t>
            </w:r>
          </w:p>
        </w:tc>
        <w:tc>
          <w:tcPr>
            <w:tcW w:w="990"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285ADCC4" w14:textId="77777777" w:rsidR="003F0EEA" w:rsidRPr="0068091F" w:rsidRDefault="00FB7D0B">
            <w:pPr>
              <w:jc w:val="right"/>
              <w:rPr>
                <w:rFonts w:ascii="Arial" w:eastAsia="Arial" w:hAnsi="Arial" w:cs="Arial"/>
                <w:color w:val="000000"/>
                <w:sz w:val="16"/>
              </w:rPr>
            </w:pPr>
            <w:r w:rsidRPr="0068091F">
              <w:rPr>
                <w:rFonts w:ascii="Arial" w:eastAsia="Arial" w:hAnsi="Arial" w:cs="Arial"/>
                <w:color w:val="000000"/>
                <w:sz w:val="16"/>
              </w:rPr>
              <w:t xml:space="preserve"> 7,559 </w:t>
            </w:r>
          </w:p>
        </w:tc>
      </w:tr>
      <w:tr w:rsidR="00355BFE" w14:paraId="0C937EC4" w14:textId="77777777" w:rsidTr="00355BFE">
        <w:trPr>
          <w:gridAfter w:val="1"/>
          <w:wAfter w:w="900" w:type="dxa"/>
          <w:trHeight w:val="225"/>
        </w:trPr>
        <w:tc>
          <w:tcPr>
            <w:tcW w:w="3510" w:type="dxa"/>
            <w:gridSpan w:val="3"/>
            <w:tcBorders>
              <w:top w:val="nil"/>
              <w:left w:val="nil"/>
              <w:bottom w:val="nil"/>
              <w:right w:val="nil"/>
              <w:tl2br w:val="nil"/>
              <w:tr2bl w:val="nil"/>
            </w:tcBorders>
            <w:shd w:val="clear" w:color="auto" w:fill="FFFFFF"/>
            <w:tcMar>
              <w:left w:w="115" w:type="dxa"/>
              <w:right w:w="115" w:type="dxa"/>
            </w:tcMar>
            <w:vAlign w:val="bottom"/>
          </w:tcPr>
          <w:p w14:paraId="22EC07B5" w14:textId="77777777" w:rsidR="003F0EEA" w:rsidRPr="0068091F" w:rsidRDefault="00FB7D0B">
            <w:pPr>
              <w:rPr>
                <w:rFonts w:ascii="Arial" w:eastAsia="Arial" w:hAnsi="Arial" w:cs="Arial"/>
                <w:color w:val="000000"/>
                <w:sz w:val="16"/>
              </w:rPr>
            </w:pPr>
            <w:r w:rsidRPr="0068091F">
              <w:rPr>
                <w:rFonts w:ascii="Arial" w:eastAsia="Arial" w:hAnsi="Arial" w:cs="Arial"/>
                <w:b/>
                <w:color w:val="000000"/>
                <w:sz w:val="16"/>
              </w:rPr>
              <w:t>Total represented by</w:t>
            </w:r>
          </w:p>
        </w:tc>
        <w:tc>
          <w:tcPr>
            <w:tcW w:w="990" w:type="dxa"/>
            <w:tcBorders>
              <w:top w:val="single" w:sz="6" w:space="0" w:color="000000"/>
              <w:left w:val="nil"/>
              <w:bottom w:val="single" w:sz="6" w:space="0" w:color="000000"/>
              <w:right w:val="nil"/>
              <w:tl2br w:val="nil"/>
              <w:tr2bl w:val="nil"/>
            </w:tcBorders>
            <w:shd w:val="clear" w:color="auto" w:fill="FFFFFF"/>
            <w:tcMar>
              <w:left w:w="115" w:type="dxa"/>
              <w:right w:w="115" w:type="dxa"/>
            </w:tcMar>
            <w:vAlign w:val="bottom"/>
          </w:tcPr>
          <w:p w14:paraId="53F07BC0" w14:textId="77777777" w:rsidR="003F0EEA" w:rsidRPr="0068091F" w:rsidRDefault="00FB7D0B">
            <w:pPr>
              <w:jc w:val="right"/>
              <w:rPr>
                <w:rFonts w:ascii="Arial" w:eastAsia="Arial" w:hAnsi="Arial" w:cs="Arial"/>
                <w:b/>
                <w:color w:val="000000"/>
                <w:sz w:val="16"/>
                <w:vertAlign w:val="superscript"/>
              </w:rPr>
            </w:pPr>
            <w:r w:rsidRPr="0068091F">
              <w:rPr>
                <w:rFonts w:ascii="Arial" w:eastAsia="Arial" w:hAnsi="Arial" w:cs="Arial"/>
                <w:b/>
                <w:color w:val="000000"/>
                <w:sz w:val="16"/>
              </w:rPr>
              <w:t xml:space="preserve"> 25,258 </w:t>
            </w:r>
          </w:p>
        </w:tc>
        <w:tc>
          <w:tcPr>
            <w:tcW w:w="990" w:type="dxa"/>
            <w:tcBorders>
              <w:top w:val="single" w:sz="6" w:space="0" w:color="000000"/>
              <w:left w:val="nil"/>
              <w:bottom w:val="single" w:sz="6" w:space="0" w:color="000000"/>
              <w:right w:val="nil"/>
              <w:tl2br w:val="nil"/>
              <w:tr2bl w:val="nil"/>
            </w:tcBorders>
            <w:shd w:val="clear" w:color="auto" w:fill="C0C0C0"/>
            <w:tcMar>
              <w:left w:w="115" w:type="dxa"/>
              <w:right w:w="115" w:type="dxa"/>
            </w:tcMar>
            <w:vAlign w:val="bottom"/>
          </w:tcPr>
          <w:p w14:paraId="4BC85C27" w14:textId="77777777" w:rsidR="003F0EEA" w:rsidRPr="0068091F" w:rsidRDefault="00FB7D0B">
            <w:pPr>
              <w:jc w:val="right"/>
              <w:rPr>
                <w:rFonts w:ascii="Arial" w:eastAsia="Arial" w:hAnsi="Arial" w:cs="Arial"/>
                <w:b/>
                <w:color w:val="000000"/>
                <w:sz w:val="16"/>
              </w:rPr>
            </w:pPr>
            <w:r w:rsidRPr="0068091F">
              <w:rPr>
                <w:rFonts w:ascii="Arial" w:eastAsia="Arial" w:hAnsi="Arial" w:cs="Arial"/>
                <w:b/>
                <w:color w:val="000000"/>
                <w:sz w:val="16"/>
              </w:rPr>
              <w:t xml:space="preserve"> 12,444 </w:t>
            </w:r>
          </w:p>
        </w:tc>
        <w:tc>
          <w:tcPr>
            <w:tcW w:w="990" w:type="dxa"/>
            <w:tcBorders>
              <w:top w:val="single" w:sz="6" w:space="0" w:color="000000"/>
              <w:left w:val="nil"/>
              <w:bottom w:val="single" w:sz="6" w:space="0" w:color="000000"/>
              <w:right w:val="nil"/>
              <w:tl2br w:val="nil"/>
              <w:tr2bl w:val="nil"/>
            </w:tcBorders>
            <w:shd w:val="clear" w:color="auto" w:fill="FFFFFF"/>
            <w:tcMar>
              <w:left w:w="115" w:type="dxa"/>
              <w:right w:w="115" w:type="dxa"/>
            </w:tcMar>
            <w:vAlign w:val="bottom"/>
          </w:tcPr>
          <w:p w14:paraId="6084111E" w14:textId="77777777" w:rsidR="003F0EEA" w:rsidRPr="0068091F" w:rsidRDefault="00FB7D0B">
            <w:pPr>
              <w:jc w:val="right"/>
              <w:rPr>
                <w:rFonts w:ascii="Arial" w:eastAsia="Arial" w:hAnsi="Arial" w:cs="Arial"/>
                <w:b/>
                <w:color w:val="000000"/>
                <w:sz w:val="16"/>
              </w:rPr>
            </w:pPr>
            <w:r w:rsidRPr="0068091F">
              <w:rPr>
                <w:rFonts w:ascii="Arial" w:eastAsia="Arial" w:hAnsi="Arial" w:cs="Arial"/>
                <w:b/>
                <w:color w:val="000000"/>
                <w:sz w:val="16"/>
              </w:rPr>
              <w:t xml:space="preserve"> 7,193 </w:t>
            </w:r>
          </w:p>
        </w:tc>
        <w:tc>
          <w:tcPr>
            <w:tcW w:w="990" w:type="dxa"/>
            <w:tcBorders>
              <w:top w:val="single" w:sz="6" w:space="0" w:color="000000"/>
              <w:left w:val="nil"/>
              <w:bottom w:val="single" w:sz="6" w:space="0" w:color="000000"/>
              <w:right w:val="nil"/>
              <w:tl2br w:val="nil"/>
              <w:tr2bl w:val="nil"/>
            </w:tcBorders>
            <w:shd w:val="clear" w:color="auto" w:fill="FFFFFF"/>
            <w:tcMar>
              <w:left w:w="115" w:type="dxa"/>
              <w:right w:w="115" w:type="dxa"/>
            </w:tcMar>
            <w:vAlign w:val="bottom"/>
          </w:tcPr>
          <w:p w14:paraId="45919AA4" w14:textId="77777777" w:rsidR="003F0EEA" w:rsidRPr="0068091F" w:rsidRDefault="00FB7D0B">
            <w:pPr>
              <w:jc w:val="right"/>
              <w:rPr>
                <w:rFonts w:ascii="Arial" w:eastAsia="Arial" w:hAnsi="Arial" w:cs="Arial"/>
                <w:b/>
                <w:color w:val="000000"/>
                <w:sz w:val="16"/>
              </w:rPr>
            </w:pPr>
            <w:r w:rsidRPr="0068091F">
              <w:rPr>
                <w:rFonts w:ascii="Arial" w:eastAsia="Arial" w:hAnsi="Arial" w:cs="Arial"/>
                <w:b/>
                <w:color w:val="000000"/>
                <w:sz w:val="16"/>
              </w:rPr>
              <w:t xml:space="preserve"> 7,203 </w:t>
            </w:r>
          </w:p>
        </w:tc>
        <w:tc>
          <w:tcPr>
            <w:tcW w:w="990" w:type="dxa"/>
            <w:tcBorders>
              <w:top w:val="single" w:sz="6" w:space="0" w:color="000000"/>
              <w:left w:val="nil"/>
              <w:bottom w:val="single" w:sz="6" w:space="0" w:color="000000"/>
              <w:right w:val="nil"/>
              <w:tl2br w:val="nil"/>
              <w:tr2bl w:val="nil"/>
            </w:tcBorders>
            <w:shd w:val="clear" w:color="auto" w:fill="FFFFFF"/>
            <w:tcMar>
              <w:left w:w="115" w:type="dxa"/>
              <w:right w:w="115" w:type="dxa"/>
            </w:tcMar>
            <w:vAlign w:val="bottom"/>
          </w:tcPr>
          <w:p w14:paraId="7DE6713F" w14:textId="77777777" w:rsidR="003F0EEA" w:rsidRPr="0068091F" w:rsidRDefault="00FB7D0B">
            <w:pPr>
              <w:jc w:val="right"/>
              <w:rPr>
                <w:rFonts w:ascii="Arial" w:eastAsia="Arial" w:hAnsi="Arial" w:cs="Arial"/>
                <w:b/>
                <w:color w:val="000000"/>
                <w:sz w:val="16"/>
              </w:rPr>
            </w:pPr>
            <w:r w:rsidRPr="0068091F">
              <w:rPr>
                <w:rFonts w:ascii="Arial" w:eastAsia="Arial" w:hAnsi="Arial" w:cs="Arial"/>
                <w:b/>
                <w:color w:val="000000"/>
                <w:sz w:val="16"/>
              </w:rPr>
              <w:t xml:space="preserve"> 7,559 </w:t>
            </w:r>
          </w:p>
        </w:tc>
      </w:tr>
      <w:tr w:rsidR="00724034" w14:paraId="3EE5954F" w14:textId="77777777">
        <w:trPr>
          <w:gridAfter w:val="1"/>
          <w:wAfter w:w="900" w:type="dxa"/>
          <w:trHeight w:val="60"/>
        </w:trPr>
        <w:tc>
          <w:tcPr>
            <w:tcW w:w="180" w:type="dxa"/>
            <w:tcBorders>
              <w:top w:val="nil"/>
              <w:left w:val="nil"/>
              <w:bottom w:val="nil"/>
              <w:right w:val="nil"/>
              <w:tl2br w:val="nil"/>
              <w:tr2bl w:val="nil"/>
            </w:tcBorders>
            <w:shd w:val="clear" w:color="auto" w:fill="FFFFFF"/>
            <w:tcMar>
              <w:left w:w="115" w:type="dxa"/>
              <w:right w:w="115" w:type="dxa"/>
            </w:tcMar>
            <w:vAlign w:val="bottom"/>
          </w:tcPr>
          <w:p w14:paraId="1172E8DE" w14:textId="77777777" w:rsidR="003F0EEA" w:rsidRPr="0068091F" w:rsidRDefault="003F0EEA">
            <w:pPr>
              <w:rPr>
                <w:rFonts w:ascii="Arial" w:eastAsia="Arial" w:hAnsi="Arial" w:cs="Arial"/>
                <w:b/>
                <w:color w:val="000000"/>
                <w:sz w:val="16"/>
              </w:rPr>
            </w:pPr>
          </w:p>
        </w:tc>
        <w:tc>
          <w:tcPr>
            <w:tcW w:w="180" w:type="dxa"/>
            <w:tcBorders>
              <w:top w:val="nil"/>
              <w:left w:val="nil"/>
              <w:bottom w:val="nil"/>
              <w:right w:val="nil"/>
              <w:tl2br w:val="nil"/>
              <w:tr2bl w:val="nil"/>
            </w:tcBorders>
            <w:shd w:val="clear" w:color="auto" w:fill="FFFFFF"/>
            <w:tcMar>
              <w:left w:w="115" w:type="dxa"/>
              <w:right w:w="115" w:type="dxa"/>
            </w:tcMar>
            <w:vAlign w:val="bottom"/>
          </w:tcPr>
          <w:p w14:paraId="005C40F4" w14:textId="77777777" w:rsidR="003F0EEA" w:rsidRPr="0068091F" w:rsidRDefault="003F0EEA">
            <w:pPr>
              <w:rPr>
                <w:rFonts w:ascii="Arial" w:eastAsia="Arial" w:hAnsi="Arial" w:cs="Arial"/>
                <w:color w:val="000000"/>
                <w:sz w:val="16"/>
              </w:rPr>
            </w:pPr>
          </w:p>
        </w:tc>
        <w:tc>
          <w:tcPr>
            <w:tcW w:w="3150" w:type="dxa"/>
            <w:tcBorders>
              <w:top w:val="nil"/>
              <w:left w:val="nil"/>
              <w:bottom w:val="nil"/>
              <w:right w:val="nil"/>
              <w:tl2br w:val="nil"/>
              <w:tr2bl w:val="nil"/>
            </w:tcBorders>
            <w:shd w:val="clear" w:color="auto" w:fill="FFFFFF"/>
            <w:tcMar>
              <w:left w:w="115" w:type="dxa"/>
              <w:right w:w="115" w:type="dxa"/>
            </w:tcMar>
            <w:vAlign w:val="bottom"/>
          </w:tcPr>
          <w:p w14:paraId="6E347BDF" w14:textId="77777777" w:rsidR="003F0EEA" w:rsidRPr="0068091F" w:rsidRDefault="003F0EEA">
            <w:pPr>
              <w:rPr>
                <w:rFonts w:ascii="Arial" w:eastAsia="Arial" w:hAnsi="Arial" w:cs="Arial"/>
                <w:color w:val="000000"/>
                <w:sz w:val="16"/>
              </w:rPr>
            </w:pPr>
          </w:p>
        </w:tc>
        <w:tc>
          <w:tcPr>
            <w:tcW w:w="990"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6E8112CC" w14:textId="77777777" w:rsidR="003F0EEA" w:rsidRPr="0068091F" w:rsidRDefault="003F0EEA">
            <w:pPr>
              <w:rPr>
                <w:rFonts w:ascii="Arial" w:eastAsia="Arial" w:hAnsi="Arial" w:cs="Arial"/>
                <w:color w:val="000000"/>
                <w:sz w:val="16"/>
                <w:vertAlign w:val="superscript"/>
              </w:rPr>
            </w:pPr>
          </w:p>
        </w:tc>
        <w:tc>
          <w:tcPr>
            <w:tcW w:w="990" w:type="dxa"/>
            <w:tcBorders>
              <w:top w:val="single" w:sz="6" w:space="0" w:color="000000"/>
              <w:left w:val="nil"/>
              <w:bottom w:val="nil"/>
              <w:right w:val="nil"/>
              <w:tl2br w:val="nil"/>
              <w:tr2bl w:val="nil"/>
            </w:tcBorders>
            <w:shd w:val="clear" w:color="auto" w:fill="C0C0C0"/>
            <w:tcMar>
              <w:left w:w="115" w:type="dxa"/>
              <w:right w:w="115" w:type="dxa"/>
            </w:tcMar>
            <w:vAlign w:val="bottom"/>
          </w:tcPr>
          <w:p w14:paraId="68BAFCD7" w14:textId="77777777" w:rsidR="003F0EEA" w:rsidRPr="0068091F" w:rsidRDefault="003F0EEA">
            <w:pPr>
              <w:rPr>
                <w:rFonts w:ascii="Arial" w:eastAsia="Arial" w:hAnsi="Arial" w:cs="Arial"/>
                <w:color w:val="000000"/>
                <w:sz w:val="16"/>
                <w:vertAlign w:val="superscript"/>
              </w:rPr>
            </w:pPr>
          </w:p>
        </w:tc>
        <w:tc>
          <w:tcPr>
            <w:tcW w:w="990"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6882B120" w14:textId="77777777" w:rsidR="003F0EEA" w:rsidRPr="0068091F" w:rsidRDefault="003F0EEA">
            <w:pPr>
              <w:rPr>
                <w:rFonts w:ascii="Arial" w:eastAsia="Arial" w:hAnsi="Arial" w:cs="Arial"/>
                <w:color w:val="000000"/>
                <w:sz w:val="16"/>
                <w:vertAlign w:val="superscript"/>
              </w:rPr>
            </w:pPr>
          </w:p>
        </w:tc>
        <w:tc>
          <w:tcPr>
            <w:tcW w:w="990"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78D1FD7A" w14:textId="77777777" w:rsidR="003F0EEA" w:rsidRPr="0068091F" w:rsidRDefault="003F0EEA">
            <w:pPr>
              <w:rPr>
                <w:rFonts w:ascii="Arial" w:eastAsia="Arial" w:hAnsi="Arial" w:cs="Arial"/>
                <w:color w:val="000000"/>
                <w:sz w:val="16"/>
                <w:vertAlign w:val="superscript"/>
              </w:rPr>
            </w:pPr>
          </w:p>
        </w:tc>
        <w:tc>
          <w:tcPr>
            <w:tcW w:w="990"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2AF61DE5" w14:textId="77777777" w:rsidR="003F0EEA" w:rsidRPr="0068091F" w:rsidRDefault="003F0EEA">
            <w:pPr>
              <w:rPr>
                <w:rFonts w:ascii="Arial" w:eastAsia="Arial" w:hAnsi="Arial" w:cs="Arial"/>
                <w:color w:val="000000"/>
                <w:sz w:val="16"/>
                <w:vertAlign w:val="superscript"/>
              </w:rPr>
            </w:pPr>
          </w:p>
        </w:tc>
      </w:tr>
      <w:tr w:rsidR="00355BFE" w14:paraId="6881E17A" w14:textId="77777777" w:rsidTr="00355BFE">
        <w:trPr>
          <w:gridAfter w:val="1"/>
          <w:wAfter w:w="900" w:type="dxa"/>
          <w:trHeight w:val="225"/>
        </w:trPr>
        <w:tc>
          <w:tcPr>
            <w:tcW w:w="3510" w:type="dxa"/>
            <w:gridSpan w:val="3"/>
            <w:tcBorders>
              <w:top w:val="nil"/>
              <w:left w:val="nil"/>
              <w:bottom w:val="nil"/>
              <w:right w:val="nil"/>
              <w:tl2br w:val="nil"/>
              <w:tr2bl w:val="nil"/>
            </w:tcBorders>
            <w:shd w:val="clear" w:color="auto" w:fill="FFFFFF"/>
            <w:tcMar>
              <w:left w:w="115" w:type="dxa"/>
              <w:right w:w="115" w:type="dxa"/>
            </w:tcMar>
            <w:vAlign w:val="bottom"/>
          </w:tcPr>
          <w:p w14:paraId="089DDD9B" w14:textId="77777777" w:rsidR="003F0EEA" w:rsidRPr="0068091F" w:rsidRDefault="00FB7D0B">
            <w:pPr>
              <w:rPr>
                <w:rFonts w:ascii="Arial" w:eastAsia="Arial" w:hAnsi="Arial" w:cs="Arial"/>
                <w:color w:val="000000"/>
                <w:sz w:val="16"/>
                <w:vertAlign w:val="superscript"/>
              </w:rPr>
            </w:pPr>
            <w:r w:rsidRPr="0068091F">
              <w:rPr>
                <w:rFonts w:ascii="Arial" w:eastAsia="Arial" w:hAnsi="Arial" w:cs="Arial"/>
                <w:b/>
                <w:color w:val="000000"/>
                <w:sz w:val="16"/>
              </w:rPr>
              <w:t>PURCHASE OF NON-FINANCIAL</w:t>
            </w:r>
          </w:p>
        </w:tc>
        <w:tc>
          <w:tcPr>
            <w:tcW w:w="990" w:type="dxa"/>
            <w:tcBorders>
              <w:top w:val="nil"/>
              <w:left w:val="nil"/>
              <w:bottom w:val="nil"/>
              <w:right w:val="nil"/>
              <w:tl2br w:val="nil"/>
              <w:tr2bl w:val="nil"/>
            </w:tcBorders>
            <w:shd w:val="clear" w:color="auto" w:fill="FFFFFF"/>
            <w:tcMar>
              <w:left w:w="115" w:type="dxa"/>
              <w:right w:w="115" w:type="dxa"/>
            </w:tcMar>
            <w:vAlign w:val="bottom"/>
          </w:tcPr>
          <w:p w14:paraId="2B4B37FC" w14:textId="77777777" w:rsidR="003F0EEA" w:rsidRPr="0068091F" w:rsidRDefault="003F0EEA">
            <w:pPr>
              <w:rPr>
                <w:rFonts w:ascii="Arial" w:eastAsia="Arial" w:hAnsi="Arial" w:cs="Arial"/>
                <w:b/>
                <w:color w:val="000000"/>
                <w:sz w:val="16"/>
                <w:vertAlign w:val="superscript"/>
              </w:rPr>
            </w:pPr>
          </w:p>
        </w:tc>
        <w:tc>
          <w:tcPr>
            <w:tcW w:w="990" w:type="dxa"/>
            <w:tcBorders>
              <w:top w:val="nil"/>
              <w:left w:val="nil"/>
              <w:bottom w:val="nil"/>
              <w:right w:val="nil"/>
              <w:tl2br w:val="nil"/>
              <w:tr2bl w:val="nil"/>
            </w:tcBorders>
            <w:shd w:val="clear" w:color="auto" w:fill="C0C0C0"/>
            <w:tcMar>
              <w:left w:w="115" w:type="dxa"/>
              <w:right w:w="115" w:type="dxa"/>
            </w:tcMar>
            <w:vAlign w:val="bottom"/>
          </w:tcPr>
          <w:p w14:paraId="7FAF8C9E" w14:textId="77777777" w:rsidR="003F0EEA" w:rsidRPr="0068091F" w:rsidRDefault="003F0EEA">
            <w:pPr>
              <w:rPr>
                <w:rFonts w:ascii="Arial" w:eastAsia="Arial" w:hAnsi="Arial" w:cs="Arial"/>
                <w:color w:val="000000"/>
                <w:sz w:val="16"/>
                <w:vertAlign w:val="superscript"/>
              </w:rPr>
            </w:pPr>
          </w:p>
        </w:tc>
        <w:tc>
          <w:tcPr>
            <w:tcW w:w="990" w:type="dxa"/>
            <w:tcBorders>
              <w:top w:val="nil"/>
              <w:left w:val="nil"/>
              <w:bottom w:val="nil"/>
              <w:right w:val="nil"/>
              <w:tl2br w:val="nil"/>
              <w:tr2bl w:val="nil"/>
            </w:tcBorders>
            <w:shd w:val="clear" w:color="auto" w:fill="FFFFFF"/>
            <w:tcMar>
              <w:left w:w="115" w:type="dxa"/>
              <w:right w:w="115" w:type="dxa"/>
            </w:tcMar>
            <w:vAlign w:val="bottom"/>
          </w:tcPr>
          <w:p w14:paraId="0CB293F2" w14:textId="77777777" w:rsidR="003F0EEA" w:rsidRPr="0068091F" w:rsidRDefault="003F0EEA">
            <w:pPr>
              <w:rPr>
                <w:rFonts w:ascii="Arial" w:eastAsia="Arial" w:hAnsi="Arial" w:cs="Arial"/>
                <w:color w:val="000000"/>
                <w:sz w:val="16"/>
                <w:vertAlign w:val="superscript"/>
              </w:rPr>
            </w:pPr>
          </w:p>
        </w:tc>
        <w:tc>
          <w:tcPr>
            <w:tcW w:w="990" w:type="dxa"/>
            <w:tcBorders>
              <w:top w:val="nil"/>
              <w:left w:val="nil"/>
              <w:bottom w:val="nil"/>
              <w:right w:val="nil"/>
              <w:tl2br w:val="nil"/>
              <w:tr2bl w:val="nil"/>
            </w:tcBorders>
            <w:shd w:val="clear" w:color="auto" w:fill="FFFFFF"/>
            <w:tcMar>
              <w:left w:w="115" w:type="dxa"/>
              <w:right w:w="115" w:type="dxa"/>
            </w:tcMar>
            <w:vAlign w:val="bottom"/>
          </w:tcPr>
          <w:p w14:paraId="39E258D9" w14:textId="77777777" w:rsidR="003F0EEA" w:rsidRPr="0068091F" w:rsidRDefault="003F0EEA">
            <w:pPr>
              <w:rPr>
                <w:rFonts w:ascii="Arial" w:eastAsia="Arial" w:hAnsi="Arial" w:cs="Arial"/>
                <w:color w:val="000000"/>
                <w:sz w:val="16"/>
                <w:vertAlign w:val="superscript"/>
              </w:rPr>
            </w:pPr>
          </w:p>
        </w:tc>
        <w:tc>
          <w:tcPr>
            <w:tcW w:w="990" w:type="dxa"/>
            <w:tcBorders>
              <w:top w:val="nil"/>
              <w:left w:val="nil"/>
              <w:bottom w:val="nil"/>
              <w:right w:val="nil"/>
              <w:tl2br w:val="nil"/>
              <w:tr2bl w:val="nil"/>
            </w:tcBorders>
            <w:shd w:val="clear" w:color="auto" w:fill="FFFFFF"/>
            <w:tcMar>
              <w:left w:w="115" w:type="dxa"/>
              <w:right w:w="115" w:type="dxa"/>
            </w:tcMar>
            <w:vAlign w:val="bottom"/>
          </w:tcPr>
          <w:p w14:paraId="3B773D92" w14:textId="77777777" w:rsidR="003F0EEA" w:rsidRPr="0068091F" w:rsidRDefault="003F0EEA">
            <w:pPr>
              <w:rPr>
                <w:rFonts w:ascii="Arial" w:eastAsia="Arial" w:hAnsi="Arial" w:cs="Arial"/>
                <w:color w:val="000000"/>
                <w:sz w:val="16"/>
                <w:vertAlign w:val="superscript"/>
              </w:rPr>
            </w:pPr>
          </w:p>
        </w:tc>
      </w:tr>
      <w:tr w:rsidR="00355BFE" w14:paraId="2CA01345" w14:textId="77777777" w:rsidTr="00355BFE">
        <w:trPr>
          <w:gridAfter w:val="1"/>
          <w:wAfter w:w="900" w:type="dxa"/>
          <w:trHeight w:val="225"/>
        </w:trPr>
        <w:tc>
          <w:tcPr>
            <w:tcW w:w="180" w:type="dxa"/>
            <w:tcBorders>
              <w:top w:val="nil"/>
              <w:left w:val="nil"/>
              <w:bottom w:val="nil"/>
              <w:right w:val="nil"/>
              <w:tl2br w:val="nil"/>
              <w:tr2bl w:val="nil"/>
            </w:tcBorders>
            <w:shd w:val="clear" w:color="auto" w:fill="FFFFFF"/>
            <w:tcMar>
              <w:left w:w="115" w:type="dxa"/>
              <w:right w:w="115" w:type="dxa"/>
            </w:tcMar>
            <w:vAlign w:val="bottom"/>
          </w:tcPr>
          <w:p w14:paraId="59B4048C" w14:textId="77777777" w:rsidR="003F0EEA" w:rsidRPr="0068091F" w:rsidRDefault="003F0EEA">
            <w:pPr>
              <w:rPr>
                <w:rFonts w:ascii="Arial" w:eastAsia="Arial" w:hAnsi="Arial" w:cs="Arial"/>
                <w:color w:val="000000"/>
                <w:sz w:val="16"/>
                <w:vertAlign w:val="superscript"/>
              </w:rPr>
            </w:pPr>
          </w:p>
        </w:tc>
        <w:tc>
          <w:tcPr>
            <w:tcW w:w="3330" w:type="dxa"/>
            <w:gridSpan w:val="2"/>
            <w:vMerge w:val="restart"/>
            <w:tcBorders>
              <w:top w:val="nil"/>
              <w:left w:val="nil"/>
              <w:bottom w:val="nil"/>
              <w:right w:val="nil"/>
              <w:tl2br w:val="nil"/>
              <w:tr2bl w:val="nil"/>
            </w:tcBorders>
            <w:shd w:val="clear" w:color="auto" w:fill="FFFFFF"/>
            <w:tcMar>
              <w:left w:w="115" w:type="dxa"/>
              <w:right w:w="115" w:type="dxa"/>
            </w:tcMar>
            <w:vAlign w:val="bottom"/>
          </w:tcPr>
          <w:p w14:paraId="6A1F5908" w14:textId="77777777" w:rsidR="003F0EEA" w:rsidRPr="0068091F" w:rsidRDefault="00FB7D0B">
            <w:pPr>
              <w:rPr>
                <w:rFonts w:ascii="Arial" w:eastAsia="Arial" w:hAnsi="Arial" w:cs="Arial"/>
                <w:color w:val="000000"/>
                <w:sz w:val="20"/>
                <w:vertAlign w:val="superscript"/>
              </w:rPr>
            </w:pPr>
            <w:r w:rsidRPr="0068091F">
              <w:rPr>
                <w:rFonts w:ascii="Arial" w:eastAsia="Arial" w:hAnsi="Arial" w:cs="Arial"/>
                <w:b/>
                <w:color w:val="000000"/>
                <w:sz w:val="16"/>
              </w:rPr>
              <w:t>ASSETS</w:t>
            </w:r>
          </w:p>
        </w:tc>
        <w:tc>
          <w:tcPr>
            <w:tcW w:w="990" w:type="dxa"/>
            <w:tcBorders>
              <w:top w:val="nil"/>
              <w:left w:val="nil"/>
              <w:bottom w:val="nil"/>
              <w:right w:val="nil"/>
              <w:tl2br w:val="nil"/>
              <w:tr2bl w:val="nil"/>
            </w:tcBorders>
            <w:shd w:val="clear" w:color="auto" w:fill="FFFFFF"/>
            <w:tcMar>
              <w:left w:w="115" w:type="dxa"/>
              <w:right w:w="115" w:type="dxa"/>
            </w:tcMar>
            <w:vAlign w:val="bottom"/>
          </w:tcPr>
          <w:p w14:paraId="4FA77081" w14:textId="77777777" w:rsidR="003F0EEA" w:rsidRPr="0068091F" w:rsidRDefault="003F0EEA">
            <w:pPr>
              <w:rPr>
                <w:rFonts w:ascii="Arial" w:eastAsia="Arial" w:hAnsi="Arial" w:cs="Arial"/>
                <w:b/>
                <w:color w:val="000000"/>
                <w:sz w:val="16"/>
                <w:vertAlign w:val="superscript"/>
              </w:rPr>
            </w:pPr>
          </w:p>
        </w:tc>
        <w:tc>
          <w:tcPr>
            <w:tcW w:w="990" w:type="dxa"/>
            <w:tcBorders>
              <w:top w:val="nil"/>
              <w:left w:val="nil"/>
              <w:bottom w:val="nil"/>
              <w:right w:val="nil"/>
              <w:tl2br w:val="nil"/>
              <w:tr2bl w:val="nil"/>
            </w:tcBorders>
            <w:shd w:val="clear" w:color="auto" w:fill="C0C0C0"/>
            <w:tcMar>
              <w:left w:w="115" w:type="dxa"/>
              <w:right w:w="115" w:type="dxa"/>
            </w:tcMar>
            <w:vAlign w:val="bottom"/>
          </w:tcPr>
          <w:p w14:paraId="6593F494" w14:textId="77777777" w:rsidR="003F0EEA" w:rsidRPr="0068091F" w:rsidRDefault="003F0EEA">
            <w:pPr>
              <w:rPr>
                <w:rFonts w:ascii="Arial" w:eastAsia="Arial" w:hAnsi="Arial" w:cs="Arial"/>
                <w:color w:val="000000"/>
                <w:sz w:val="16"/>
                <w:vertAlign w:val="superscript"/>
              </w:rPr>
            </w:pPr>
          </w:p>
        </w:tc>
        <w:tc>
          <w:tcPr>
            <w:tcW w:w="990" w:type="dxa"/>
            <w:tcBorders>
              <w:top w:val="nil"/>
              <w:left w:val="nil"/>
              <w:bottom w:val="nil"/>
              <w:right w:val="nil"/>
              <w:tl2br w:val="nil"/>
              <w:tr2bl w:val="nil"/>
            </w:tcBorders>
            <w:shd w:val="clear" w:color="auto" w:fill="FFFFFF"/>
            <w:tcMar>
              <w:left w:w="115" w:type="dxa"/>
              <w:right w:w="115" w:type="dxa"/>
            </w:tcMar>
            <w:vAlign w:val="bottom"/>
          </w:tcPr>
          <w:p w14:paraId="781ACB4C" w14:textId="77777777" w:rsidR="003F0EEA" w:rsidRPr="0068091F" w:rsidRDefault="003F0EEA">
            <w:pPr>
              <w:rPr>
                <w:rFonts w:ascii="Arial" w:eastAsia="Arial" w:hAnsi="Arial" w:cs="Arial"/>
                <w:color w:val="000000"/>
                <w:sz w:val="16"/>
                <w:vertAlign w:val="superscript"/>
              </w:rPr>
            </w:pPr>
          </w:p>
        </w:tc>
        <w:tc>
          <w:tcPr>
            <w:tcW w:w="990" w:type="dxa"/>
            <w:tcBorders>
              <w:top w:val="nil"/>
              <w:left w:val="nil"/>
              <w:bottom w:val="nil"/>
              <w:right w:val="nil"/>
              <w:tl2br w:val="nil"/>
              <w:tr2bl w:val="nil"/>
            </w:tcBorders>
            <w:shd w:val="clear" w:color="auto" w:fill="FFFFFF"/>
            <w:tcMar>
              <w:left w:w="115" w:type="dxa"/>
              <w:right w:w="115" w:type="dxa"/>
            </w:tcMar>
            <w:vAlign w:val="bottom"/>
          </w:tcPr>
          <w:p w14:paraId="36F61447" w14:textId="77777777" w:rsidR="003F0EEA" w:rsidRPr="0068091F" w:rsidRDefault="003F0EEA">
            <w:pPr>
              <w:rPr>
                <w:rFonts w:ascii="Arial" w:eastAsia="Arial" w:hAnsi="Arial" w:cs="Arial"/>
                <w:color w:val="000000"/>
                <w:sz w:val="16"/>
                <w:vertAlign w:val="superscript"/>
              </w:rPr>
            </w:pPr>
          </w:p>
        </w:tc>
        <w:tc>
          <w:tcPr>
            <w:tcW w:w="990" w:type="dxa"/>
            <w:tcBorders>
              <w:top w:val="nil"/>
              <w:left w:val="nil"/>
              <w:bottom w:val="nil"/>
              <w:right w:val="nil"/>
              <w:tl2br w:val="nil"/>
              <w:tr2bl w:val="nil"/>
            </w:tcBorders>
            <w:shd w:val="clear" w:color="auto" w:fill="FFFFFF"/>
            <w:tcMar>
              <w:left w:w="115" w:type="dxa"/>
              <w:right w:w="115" w:type="dxa"/>
            </w:tcMar>
            <w:vAlign w:val="bottom"/>
          </w:tcPr>
          <w:p w14:paraId="1974B067" w14:textId="77777777" w:rsidR="003F0EEA" w:rsidRPr="0068091F" w:rsidRDefault="003F0EEA">
            <w:pPr>
              <w:rPr>
                <w:rFonts w:ascii="Arial" w:eastAsia="Arial" w:hAnsi="Arial" w:cs="Arial"/>
                <w:color w:val="000000"/>
                <w:sz w:val="16"/>
                <w:vertAlign w:val="superscript"/>
              </w:rPr>
            </w:pPr>
          </w:p>
        </w:tc>
      </w:tr>
      <w:tr w:rsidR="00355BFE" w14:paraId="55155B6F" w14:textId="77777777" w:rsidTr="00355BFE">
        <w:trPr>
          <w:gridAfter w:val="1"/>
          <w:wAfter w:w="900" w:type="dxa"/>
          <w:trHeight w:val="225"/>
        </w:trPr>
        <w:tc>
          <w:tcPr>
            <w:tcW w:w="180" w:type="dxa"/>
            <w:tcBorders>
              <w:top w:val="nil"/>
              <w:left w:val="nil"/>
              <w:bottom w:val="nil"/>
              <w:right w:val="nil"/>
              <w:tl2br w:val="nil"/>
              <w:tr2bl w:val="nil"/>
            </w:tcBorders>
            <w:shd w:val="clear" w:color="auto" w:fill="FFFFFF"/>
            <w:tcMar>
              <w:left w:w="115" w:type="dxa"/>
              <w:right w:w="115" w:type="dxa"/>
            </w:tcMar>
            <w:vAlign w:val="bottom"/>
          </w:tcPr>
          <w:p w14:paraId="14100C38" w14:textId="77777777" w:rsidR="003F0EEA" w:rsidRPr="0068091F" w:rsidRDefault="003F0EEA">
            <w:pPr>
              <w:rPr>
                <w:rFonts w:ascii="Arial" w:eastAsia="Arial" w:hAnsi="Arial" w:cs="Arial"/>
                <w:color w:val="000000"/>
                <w:sz w:val="16"/>
                <w:vertAlign w:val="superscript"/>
              </w:rPr>
            </w:pPr>
          </w:p>
        </w:tc>
        <w:tc>
          <w:tcPr>
            <w:tcW w:w="3330" w:type="dxa"/>
            <w:gridSpan w:val="2"/>
            <w:tcBorders>
              <w:top w:val="nil"/>
              <w:left w:val="nil"/>
              <w:bottom w:val="nil"/>
              <w:right w:val="nil"/>
              <w:tl2br w:val="nil"/>
              <w:tr2bl w:val="nil"/>
            </w:tcBorders>
            <w:shd w:val="clear" w:color="auto" w:fill="FFFFFF"/>
            <w:tcMar>
              <w:left w:w="115" w:type="dxa"/>
              <w:right w:w="115" w:type="dxa"/>
            </w:tcMar>
            <w:vAlign w:val="bottom"/>
          </w:tcPr>
          <w:p w14:paraId="46B18521" w14:textId="77777777" w:rsidR="003F0EEA" w:rsidRPr="0068091F" w:rsidRDefault="00FB7D0B">
            <w:pPr>
              <w:rPr>
                <w:rFonts w:ascii="Arial" w:eastAsia="Arial" w:hAnsi="Arial" w:cs="Arial"/>
                <w:color w:val="000000"/>
                <w:sz w:val="20"/>
                <w:vertAlign w:val="superscript"/>
              </w:rPr>
            </w:pPr>
            <w:r w:rsidRPr="0068091F">
              <w:rPr>
                <w:rFonts w:ascii="Arial" w:eastAsia="Arial" w:hAnsi="Arial" w:cs="Arial"/>
                <w:color w:val="000000"/>
                <w:sz w:val="16"/>
              </w:rPr>
              <w:t>Funded by capital appropriations</w:t>
            </w:r>
            <w:r w:rsidRPr="0068091F">
              <w:rPr>
                <w:rFonts w:ascii="Arial" w:eastAsia="Arial" w:hAnsi="Arial" w:cs="Arial"/>
                <w:color w:val="000000"/>
                <w:sz w:val="16"/>
                <w:vertAlign w:val="superscript"/>
              </w:rPr>
              <w:t>1,3</w:t>
            </w:r>
          </w:p>
        </w:tc>
        <w:tc>
          <w:tcPr>
            <w:tcW w:w="990" w:type="dxa"/>
            <w:tcBorders>
              <w:top w:val="nil"/>
              <w:left w:val="nil"/>
              <w:bottom w:val="nil"/>
              <w:right w:val="nil"/>
              <w:tl2br w:val="nil"/>
              <w:tr2bl w:val="nil"/>
            </w:tcBorders>
            <w:shd w:val="clear" w:color="auto" w:fill="FFFFFF"/>
            <w:tcMar>
              <w:left w:w="115" w:type="dxa"/>
              <w:right w:w="115" w:type="dxa"/>
            </w:tcMar>
            <w:vAlign w:val="bottom"/>
          </w:tcPr>
          <w:p w14:paraId="234D1317" w14:textId="77777777" w:rsidR="003F0EEA" w:rsidRPr="0068091F" w:rsidRDefault="00FB7D0B">
            <w:pPr>
              <w:jc w:val="right"/>
              <w:rPr>
                <w:rFonts w:ascii="Arial" w:eastAsia="Arial" w:hAnsi="Arial" w:cs="Arial"/>
                <w:color w:val="000000"/>
                <w:sz w:val="16"/>
                <w:vertAlign w:val="superscript"/>
              </w:rPr>
            </w:pPr>
            <w:r w:rsidRPr="0068091F">
              <w:rPr>
                <w:rFonts w:ascii="Arial" w:eastAsia="Arial" w:hAnsi="Arial" w:cs="Arial"/>
                <w:color w:val="000000"/>
                <w:sz w:val="16"/>
              </w:rPr>
              <w:t xml:space="preserve"> 14,196 </w:t>
            </w:r>
          </w:p>
        </w:tc>
        <w:tc>
          <w:tcPr>
            <w:tcW w:w="990" w:type="dxa"/>
            <w:tcBorders>
              <w:top w:val="nil"/>
              <w:left w:val="nil"/>
              <w:bottom w:val="nil"/>
              <w:right w:val="nil"/>
              <w:tl2br w:val="nil"/>
              <w:tr2bl w:val="nil"/>
            </w:tcBorders>
            <w:shd w:val="clear" w:color="auto" w:fill="C0C0C0"/>
            <w:tcMar>
              <w:left w:w="115" w:type="dxa"/>
              <w:right w:w="115" w:type="dxa"/>
            </w:tcMar>
            <w:vAlign w:val="bottom"/>
          </w:tcPr>
          <w:p w14:paraId="5EE21380" w14:textId="77777777" w:rsidR="003F0EEA" w:rsidRPr="0068091F" w:rsidRDefault="00FB7D0B">
            <w:pPr>
              <w:jc w:val="right"/>
              <w:rPr>
                <w:rFonts w:ascii="Arial" w:eastAsia="Arial" w:hAnsi="Arial" w:cs="Arial"/>
                <w:color w:val="000000"/>
                <w:sz w:val="16"/>
              </w:rPr>
            </w:pPr>
            <w:r w:rsidRPr="0068091F">
              <w:rPr>
                <w:rFonts w:ascii="Arial" w:eastAsia="Arial" w:hAnsi="Arial" w:cs="Arial"/>
                <w:color w:val="000000"/>
                <w:sz w:val="16"/>
              </w:rPr>
              <w:t xml:space="preserve"> 23,506 </w:t>
            </w:r>
          </w:p>
        </w:tc>
        <w:tc>
          <w:tcPr>
            <w:tcW w:w="990" w:type="dxa"/>
            <w:tcBorders>
              <w:top w:val="nil"/>
              <w:left w:val="nil"/>
              <w:bottom w:val="nil"/>
              <w:right w:val="nil"/>
              <w:tl2br w:val="nil"/>
              <w:tr2bl w:val="nil"/>
            </w:tcBorders>
            <w:shd w:val="clear" w:color="auto" w:fill="FFFFFF"/>
            <w:tcMar>
              <w:left w:w="115" w:type="dxa"/>
              <w:right w:w="115" w:type="dxa"/>
            </w:tcMar>
            <w:vAlign w:val="bottom"/>
          </w:tcPr>
          <w:p w14:paraId="2212ED8B" w14:textId="77777777" w:rsidR="003F0EEA" w:rsidRPr="0068091F" w:rsidRDefault="00FB7D0B">
            <w:pPr>
              <w:jc w:val="right"/>
              <w:rPr>
                <w:rFonts w:ascii="Arial" w:eastAsia="Arial" w:hAnsi="Arial" w:cs="Arial"/>
                <w:color w:val="000000"/>
                <w:sz w:val="16"/>
              </w:rPr>
            </w:pPr>
            <w:r w:rsidRPr="0068091F">
              <w:rPr>
                <w:rFonts w:ascii="Arial" w:eastAsia="Arial" w:hAnsi="Arial" w:cs="Arial"/>
                <w:color w:val="000000"/>
                <w:sz w:val="16"/>
              </w:rPr>
              <w:t xml:space="preserve"> 7,193 </w:t>
            </w:r>
          </w:p>
        </w:tc>
        <w:tc>
          <w:tcPr>
            <w:tcW w:w="990" w:type="dxa"/>
            <w:tcBorders>
              <w:top w:val="nil"/>
              <w:left w:val="nil"/>
              <w:bottom w:val="nil"/>
              <w:right w:val="nil"/>
              <w:tl2br w:val="nil"/>
              <w:tr2bl w:val="nil"/>
            </w:tcBorders>
            <w:shd w:val="clear" w:color="auto" w:fill="FFFFFF"/>
            <w:tcMar>
              <w:left w:w="115" w:type="dxa"/>
              <w:right w:w="115" w:type="dxa"/>
            </w:tcMar>
            <w:vAlign w:val="bottom"/>
          </w:tcPr>
          <w:p w14:paraId="4B2FB161" w14:textId="77777777" w:rsidR="003F0EEA" w:rsidRPr="0068091F" w:rsidRDefault="00FB7D0B">
            <w:pPr>
              <w:jc w:val="right"/>
              <w:rPr>
                <w:rFonts w:ascii="Arial" w:eastAsia="Arial" w:hAnsi="Arial" w:cs="Arial"/>
                <w:color w:val="000000"/>
                <w:sz w:val="16"/>
              </w:rPr>
            </w:pPr>
            <w:r w:rsidRPr="0068091F">
              <w:rPr>
                <w:rFonts w:ascii="Arial" w:eastAsia="Arial" w:hAnsi="Arial" w:cs="Arial"/>
                <w:color w:val="000000"/>
                <w:sz w:val="16"/>
              </w:rPr>
              <w:t xml:space="preserve"> 7,203 </w:t>
            </w:r>
          </w:p>
        </w:tc>
        <w:tc>
          <w:tcPr>
            <w:tcW w:w="990" w:type="dxa"/>
            <w:tcBorders>
              <w:top w:val="nil"/>
              <w:left w:val="nil"/>
              <w:bottom w:val="nil"/>
              <w:right w:val="nil"/>
              <w:tl2br w:val="nil"/>
              <w:tr2bl w:val="nil"/>
            </w:tcBorders>
            <w:shd w:val="clear" w:color="auto" w:fill="FFFFFF"/>
            <w:tcMar>
              <w:left w:w="115" w:type="dxa"/>
              <w:right w:w="115" w:type="dxa"/>
            </w:tcMar>
            <w:vAlign w:val="bottom"/>
          </w:tcPr>
          <w:p w14:paraId="7FB4C5CE" w14:textId="77777777" w:rsidR="003F0EEA" w:rsidRPr="0068091F" w:rsidRDefault="00FB7D0B">
            <w:pPr>
              <w:jc w:val="right"/>
              <w:rPr>
                <w:rFonts w:ascii="Arial" w:eastAsia="Arial" w:hAnsi="Arial" w:cs="Arial"/>
                <w:color w:val="000000"/>
                <w:sz w:val="16"/>
              </w:rPr>
            </w:pPr>
            <w:r w:rsidRPr="0068091F">
              <w:rPr>
                <w:rFonts w:ascii="Arial" w:eastAsia="Arial" w:hAnsi="Arial" w:cs="Arial"/>
                <w:color w:val="000000"/>
                <w:sz w:val="16"/>
              </w:rPr>
              <w:t xml:space="preserve"> 7,559 </w:t>
            </w:r>
          </w:p>
        </w:tc>
      </w:tr>
      <w:tr w:rsidR="00355BFE" w14:paraId="04BDD050" w14:textId="77777777" w:rsidTr="00355BFE">
        <w:trPr>
          <w:gridAfter w:val="1"/>
          <w:wAfter w:w="900" w:type="dxa"/>
          <w:trHeight w:val="225"/>
        </w:trPr>
        <w:tc>
          <w:tcPr>
            <w:tcW w:w="180" w:type="dxa"/>
            <w:tcBorders>
              <w:top w:val="nil"/>
              <w:left w:val="nil"/>
              <w:bottom w:val="nil"/>
              <w:right w:val="nil"/>
              <w:tl2br w:val="nil"/>
              <w:tr2bl w:val="nil"/>
            </w:tcBorders>
            <w:shd w:val="clear" w:color="auto" w:fill="FFFFFF"/>
            <w:tcMar>
              <w:left w:w="115" w:type="dxa"/>
              <w:right w:w="115" w:type="dxa"/>
            </w:tcMar>
            <w:vAlign w:val="bottom"/>
          </w:tcPr>
          <w:p w14:paraId="2F6184DF" w14:textId="77777777" w:rsidR="003F0EEA" w:rsidRPr="0068091F" w:rsidRDefault="003F0EEA">
            <w:pPr>
              <w:rPr>
                <w:rFonts w:ascii="Arial" w:eastAsia="Arial" w:hAnsi="Arial" w:cs="Arial"/>
                <w:color w:val="000000"/>
                <w:sz w:val="16"/>
              </w:rPr>
            </w:pPr>
          </w:p>
        </w:tc>
        <w:tc>
          <w:tcPr>
            <w:tcW w:w="3330" w:type="dxa"/>
            <w:gridSpan w:val="2"/>
            <w:tcBorders>
              <w:top w:val="nil"/>
              <w:left w:val="nil"/>
              <w:bottom w:val="nil"/>
              <w:right w:val="nil"/>
              <w:tl2br w:val="nil"/>
              <w:tr2bl w:val="nil"/>
            </w:tcBorders>
            <w:shd w:val="clear" w:color="auto" w:fill="FFFFFF"/>
            <w:tcMar>
              <w:left w:w="115" w:type="dxa"/>
              <w:right w:w="115" w:type="dxa"/>
            </w:tcMar>
            <w:vAlign w:val="bottom"/>
          </w:tcPr>
          <w:p w14:paraId="4B3326CB" w14:textId="77777777" w:rsidR="003F0EEA" w:rsidRPr="0068091F" w:rsidRDefault="00FB7D0B">
            <w:pPr>
              <w:rPr>
                <w:rFonts w:ascii="Arial" w:eastAsia="Arial" w:hAnsi="Arial" w:cs="Arial"/>
                <w:color w:val="000000"/>
                <w:sz w:val="20"/>
              </w:rPr>
            </w:pPr>
            <w:r w:rsidRPr="0068091F">
              <w:rPr>
                <w:rFonts w:ascii="Arial" w:eastAsia="Arial" w:hAnsi="Arial" w:cs="Arial"/>
                <w:color w:val="000000"/>
                <w:sz w:val="16"/>
              </w:rPr>
              <w:t xml:space="preserve">Funded internally from </w:t>
            </w:r>
          </w:p>
        </w:tc>
        <w:tc>
          <w:tcPr>
            <w:tcW w:w="990" w:type="dxa"/>
            <w:tcBorders>
              <w:top w:val="nil"/>
              <w:left w:val="nil"/>
              <w:bottom w:val="nil"/>
              <w:right w:val="nil"/>
              <w:tl2br w:val="nil"/>
              <w:tr2bl w:val="nil"/>
            </w:tcBorders>
            <w:shd w:val="clear" w:color="auto" w:fill="FFFFFF"/>
            <w:tcMar>
              <w:left w:w="115" w:type="dxa"/>
              <w:right w:w="115" w:type="dxa"/>
            </w:tcMar>
            <w:vAlign w:val="bottom"/>
          </w:tcPr>
          <w:p w14:paraId="0464140A" w14:textId="77777777" w:rsidR="003F0EEA" w:rsidRPr="0068091F" w:rsidRDefault="003F0EEA">
            <w:pPr>
              <w:rPr>
                <w:rFonts w:ascii="Arial" w:eastAsia="Arial" w:hAnsi="Arial" w:cs="Arial"/>
                <w:color w:val="000000"/>
                <w:sz w:val="16"/>
                <w:vertAlign w:val="superscript"/>
              </w:rPr>
            </w:pPr>
          </w:p>
        </w:tc>
        <w:tc>
          <w:tcPr>
            <w:tcW w:w="990" w:type="dxa"/>
            <w:tcBorders>
              <w:top w:val="nil"/>
              <w:left w:val="nil"/>
              <w:bottom w:val="nil"/>
              <w:right w:val="nil"/>
              <w:tl2br w:val="nil"/>
              <w:tr2bl w:val="nil"/>
            </w:tcBorders>
            <w:shd w:val="clear" w:color="auto" w:fill="C0C0C0"/>
            <w:tcMar>
              <w:left w:w="115" w:type="dxa"/>
              <w:right w:w="115" w:type="dxa"/>
            </w:tcMar>
            <w:vAlign w:val="bottom"/>
          </w:tcPr>
          <w:p w14:paraId="0E617264" w14:textId="77777777" w:rsidR="003F0EEA" w:rsidRPr="0068091F" w:rsidRDefault="003F0EEA">
            <w:pPr>
              <w:rPr>
                <w:rFonts w:ascii="Arial" w:eastAsia="Arial" w:hAnsi="Arial" w:cs="Arial"/>
                <w:color w:val="000000"/>
                <w:sz w:val="16"/>
                <w:vertAlign w:val="superscript"/>
              </w:rPr>
            </w:pPr>
          </w:p>
        </w:tc>
        <w:tc>
          <w:tcPr>
            <w:tcW w:w="990" w:type="dxa"/>
            <w:tcBorders>
              <w:top w:val="nil"/>
              <w:left w:val="nil"/>
              <w:bottom w:val="nil"/>
              <w:right w:val="nil"/>
              <w:tl2br w:val="nil"/>
              <w:tr2bl w:val="nil"/>
            </w:tcBorders>
            <w:shd w:val="clear" w:color="auto" w:fill="FFFFFF"/>
            <w:tcMar>
              <w:left w:w="115" w:type="dxa"/>
              <w:right w:w="115" w:type="dxa"/>
            </w:tcMar>
            <w:vAlign w:val="bottom"/>
          </w:tcPr>
          <w:p w14:paraId="4B6E26FE" w14:textId="77777777" w:rsidR="003F0EEA" w:rsidRPr="0068091F" w:rsidRDefault="003F0EEA">
            <w:pPr>
              <w:rPr>
                <w:rFonts w:ascii="Arial" w:eastAsia="Arial" w:hAnsi="Arial" w:cs="Arial"/>
                <w:color w:val="000000"/>
                <w:sz w:val="16"/>
                <w:vertAlign w:val="superscript"/>
              </w:rPr>
            </w:pPr>
          </w:p>
        </w:tc>
        <w:tc>
          <w:tcPr>
            <w:tcW w:w="990" w:type="dxa"/>
            <w:tcBorders>
              <w:top w:val="nil"/>
              <w:left w:val="nil"/>
              <w:bottom w:val="nil"/>
              <w:right w:val="nil"/>
              <w:tl2br w:val="nil"/>
              <w:tr2bl w:val="nil"/>
            </w:tcBorders>
            <w:shd w:val="clear" w:color="auto" w:fill="FFFFFF"/>
            <w:tcMar>
              <w:left w:w="115" w:type="dxa"/>
              <w:right w:w="115" w:type="dxa"/>
            </w:tcMar>
            <w:vAlign w:val="bottom"/>
          </w:tcPr>
          <w:p w14:paraId="5BDAAEBF" w14:textId="77777777" w:rsidR="003F0EEA" w:rsidRPr="0068091F" w:rsidRDefault="003F0EEA">
            <w:pPr>
              <w:rPr>
                <w:rFonts w:ascii="Arial" w:eastAsia="Arial" w:hAnsi="Arial" w:cs="Arial"/>
                <w:color w:val="000000"/>
                <w:sz w:val="16"/>
                <w:vertAlign w:val="superscript"/>
              </w:rPr>
            </w:pPr>
          </w:p>
        </w:tc>
        <w:tc>
          <w:tcPr>
            <w:tcW w:w="990" w:type="dxa"/>
            <w:tcBorders>
              <w:top w:val="nil"/>
              <w:left w:val="nil"/>
              <w:bottom w:val="nil"/>
              <w:right w:val="nil"/>
              <w:tl2br w:val="nil"/>
              <w:tr2bl w:val="nil"/>
            </w:tcBorders>
            <w:shd w:val="clear" w:color="auto" w:fill="FFFFFF"/>
            <w:tcMar>
              <w:left w:w="115" w:type="dxa"/>
              <w:right w:w="115" w:type="dxa"/>
            </w:tcMar>
            <w:vAlign w:val="bottom"/>
          </w:tcPr>
          <w:p w14:paraId="6F6EB25F" w14:textId="77777777" w:rsidR="003F0EEA" w:rsidRPr="0068091F" w:rsidRDefault="003F0EEA">
            <w:pPr>
              <w:rPr>
                <w:rFonts w:ascii="Arial" w:eastAsia="Arial" w:hAnsi="Arial" w:cs="Arial"/>
                <w:color w:val="000000"/>
                <w:sz w:val="16"/>
                <w:vertAlign w:val="superscript"/>
              </w:rPr>
            </w:pPr>
          </w:p>
        </w:tc>
      </w:tr>
      <w:tr w:rsidR="00724034" w14:paraId="30B104D7" w14:textId="77777777">
        <w:trPr>
          <w:gridAfter w:val="1"/>
          <w:wAfter w:w="900" w:type="dxa"/>
          <w:trHeight w:val="225"/>
        </w:trPr>
        <w:tc>
          <w:tcPr>
            <w:tcW w:w="180" w:type="dxa"/>
            <w:tcBorders>
              <w:top w:val="nil"/>
              <w:left w:val="nil"/>
              <w:bottom w:val="nil"/>
              <w:right w:val="nil"/>
              <w:tl2br w:val="nil"/>
              <w:tr2bl w:val="nil"/>
            </w:tcBorders>
            <w:shd w:val="clear" w:color="auto" w:fill="FFFFFF"/>
            <w:tcMar>
              <w:left w:w="115" w:type="dxa"/>
              <w:right w:w="115" w:type="dxa"/>
            </w:tcMar>
            <w:vAlign w:val="bottom"/>
          </w:tcPr>
          <w:p w14:paraId="00ED52D3" w14:textId="77777777" w:rsidR="003F0EEA" w:rsidRPr="0068091F" w:rsidRDefault="003F0EEA">
            <w:pPr>
              <w:rPr>
                <w:rFonts w:ascii="Arial" w:eastAsia="Arial" w:hAnsi="Arial" w:cs="Arial"/>
                <w:color w:val="000000"/>
                <w:sz w:val="16"/>
                <w:vertAlign w:val="superscript"/>
              </w:rPr>
            </w:pPr>
          </w:p>
        </w:tc>
        <w:tc>
          <w:tcPr>
            <w:tcW w:w="180" w:type="dxa"/>
            <w:tcBorders>
              <w:top w:val="nil"/>
              <w:left w:val="nil"/>
              <w:bottom w:val="nil"/>
              <w:right w:val="nil"/>
              <w:tl2br w:val="nil"/>
              <w:tr2bl w:val="nil"/>
            </w:tcBorders>
            <w:shd w:val="clear" w:color="auto" w:fill="FFFFFF"/>
            <w:tcMar>
              <w:left w:w="115" w:type="dxa"/>
              <w:right w:w="115" w:type="dxa"/>
            </w:tcMar>
            <w:vAlign w:val="bottom"/>
          </w:tcPr>
          <w:p w14:paraId="2B8F2040" w14:textId="77777777" w:rsidR="003F0EEA" w:rsidRPr="0068091F" w:rsidRDefault="003F0EEA">
            <w:pPr>
              <w:rPr>
                <w:rFonts w:ascii="Arial" w:eastAsia="Arial" w:hAnsi="Arial" w:cs="Arial"/>
                <w:color w:val="000000"/>
                <w:sz w:val="20"/>
                <w:vertAlign w:val="superscript"/>
              </w:rPr>
            </w:pPr>
          </w:p>
        </w:tc>
        <w:tc>
          <w:tcPr>
            <w:tcW w:w="3150" w:type="dxa"/>
            <w:tcBorders>
              <w:top w:val="nil"/>
              <w:left w:val="nil"/>
              <w:bottom w:val="nil"/>
              <w:right w:val="nil"/>
              <w:tl2br w:val="nil"/>
              <w:tr2bl w:val="nil"/>
            </w:tcBorders>
            <w:shd w:val="clear" w:color="auto" w:fill="FFFFFF"/>
            <w:tcMar>
              <w:left w:w="115" w:type="dxa"/>
              <w:right w:w="115" w:type="dxa"/>
            </w:tcMar>
            <w:vAlign w:val="bottom"/>
          </w:tcPr>
          <w:p w14:paraId="2CD5088D" w14:textId="77777777" w:rsidR="003F0EEA" w:rsidRPr="0068091F" w:rsidRDefault="00FB7D0B">
            <w:pPr>
              <w:rPr>
                <w:rFonts w:ascii="Arial" w:eastAsia="Arial" w:hAnsi="Arial" w:cs="Arial"/>
                <w:color w:val="000000"/>
                <w:sz w:val="20"/>
                <w:vertAlign w:val="superscript"/>
              </w:rPr>
            </w:pPr>
            <w:r w:rsidRPr="0068091F">
              <w:rPr>
                <w:rFonts w:ascii="Arial" w:eastAsia="Arial" w:hAnsi="Arial" w:cs="Arial"/>
                <w:color w:val="000000"/>
                <w:sz w:val="16"/>
              </w:rPr>
              <w:t>departmental resources</w:t>
            </w:r>
            <w:r w:rsidRPr="0068091F">
              <w:rPr>
                <w:rFonts w:ascii="Arial" w:eastAsia="Arial" w:hAnsi="Arial" w:cs="Arial"/>
                <w:color w:val="000000"/>
                <w:sz w:val="16"/>
                <w:vertAlign w:val="superscript"/>
              </w:rPr>
              <w:t>1 </w:t>
            </w:r>
          </w:p>
        </w:tc>
        <w:tc>
          <w:tcPr>
            <w:tcW w:w="990"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03B5CB47" w14:textId="77777777" w:rsidR="003F0EEA" w:rsidRPr="0068091F" w:rsidRDefault="00FB7D0B">
            <w:pPr>
              <w:jc w:val="right"/>
              <w:rPr>
                <w:rFonts w:ascii="Arial" w:eastAsia="Arial" w:hAnsi="Arial" w:cs="Arial"/>
                <w:color w:val="000000"/>
                <w:sz w:val="16"/>
                <w:vertAlign w:val="superscript"/>
              </w:rPr>
            </w:pPr>
            <w:r w:rsidRPr="0068091F">
              <w:rPr>
                <w:rFonts w:ascii="Arial" w:eastAsia="Arial" w:hAnsi="Arial" w:cs="Arial"/>
                <w:color w:val="000000"/>
                <w:sz w:val="16"/>
              </w:rPr>
              <w:t xml:space="preserve"> 14,754 </w:t>
            </w:r>
          </w:p>
        </w:tc>
        <w:tc>
          <w:tcPr>
            <w:tcW w:w="990" w:type="dxa"/>
            <w:tcBorders>
              <w:top w:val="nil"/>
              <w:left w:val="nil"/>
              <w:bottom w:val="single" w:sz="6" w:space="0" w:color="000000"/>
              <w:right w:val="nil"/>
              <w:tl2br w:val="nil"/>
              <w:tr2bl w:val="nil"/>
            </w:tcBorders>
            <w:shd w:val="clear" w:color="auto" w:fill="C0C0C0"/>
            <w:tcMar>
              <w:left w:w="115" w:type="dxa"/>
              <w:right w:w="115" w:type="dxa"/>
            </w:tcMar>
            <w:vAlign w:val="bottom"/>
          </w:tcPr>
          <w:p w14:paraId="7044078B" w14:textId="77777777" w:rsidR="003F0EEA" w:rsidRPr="0068091F" w:rsidRDefault="00FB7D0B">
            <w:pPr>
              <w:jc w:val="right"/>
              <w:rPr>
                <w:rFonts w:ascii="Arial" w:eastAsia="Arial" w:hAnsi="Arial" w:cs="Arial"/>
                <w:color w:val="000000"/>
                <w:sz w:val="16"/>
              </w:rPr>
            </w:pPr>
            <w:r w:rsidRPr="0068091F">
              <w:rPr>
                <w:rFonts w:ascii="Arial" w:eastAsia="Arial" w:hAnsi="Arial" w:cs="Arial"/>
                <w:color w:val="000000"/>
                <w:sz w:val="16"/>
              </w:rPr>
              <w:t xml:space="preserve"> 11,637 </w:t>
            </w:r>
          </w:p>
        </w:tc>
        <w:tc>
          <w:tcPr>
            <w:tcW w:w="990"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7CE25026" w14:textId="77777777" w:rsidR="003F0EEA" w:rsidRPr="0068091F" w:rsidRDefault="00FB7D0B">
            <w:pPr>
              <w:jc w:val="right"/>
              <w:rPr>
                <w:rFonts w:ascii="Arial" w:eastAsia="Arial" w:hAnsi="Arial" w:cs="Arial"/>
                <w:color w:val="000000"/>
                <w:sz w:val="16"/>
              </w:rPr>
            </w:pPr>
            <w:r w:rsidRPr="0068091F">
              <w:rPr>
                <w:rFonts w:ascii="Arial" w:eastAsia="Arial" w:hAnsi="Arial" w:cs="Arial"/>
                <w:color w:val="000000"/>
                <w:sz w:val="16"/>
              </w:rPr>
              <w:t xml:space="preserve"> 9,250 </w:t>
            </w:r>
          </w:p>
        </w:tc>
        <w:tc>
          <w:tcPr>
            <w:tcW w:w="990"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1129B293" w14:textId="77777777" w:rsidR="003F0EEA" w:rsidRPr="0068091F" w:rsidRDefault="00FB7D0B">
            <w:pPr>
              <w:jc w:val="right"/>
              <w:rPr>
                <w:rFonts w:ascii="Arial" w:eastAsia="Arial" w:hAnsi="Arial" w:cs="Arial"/>
                <w:color w:val="000000"/>
                <w:sz w:val="16"/>
              </w:rPr>
            </w:pPr>
            <w:r w:rsidRPr="0068091F">
              <w:rPr>
                <w:rFonts w:ascii="Arial" w:eastAsia="Arial" w:hAnsi="Arial" w:cs="Arial"/>
                <w:color w:val="000000"/>
                <w:sz w:val="16"/>
              </w:rPr>
              <w:t xml:space="preserve"> 9,250 </w:t>
            </w:r>
          </w:p>
        </w:tc>
        <w:tc>
          <w:tcPr>
            <w:tcW w:w="990"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07B4731E" w14:textId="77777777" w:rsidR="003F0EEA" w:rsidRPr="0068091F" w:rsidRDefault="00FB7D0B">
            <w:pPr>
              <w:jc w:val="right"/>
              <w:rPr>
                <w:rFonts w:ascii="Arial" w:eastAsia="Arial" w:hAnsi="Arial" w:cs="Arial"/>
                <w:color w:val="000000"/>
                <w:sz w:val="16"/>
              </w:rPr>
            </w:pPr>
            <w:r w:rsidRPr="0068091F">
              <w:rPr>
                <w:rFonts w:ascii="Arial" w:eastAsia="Arial" w:hAnsi="Arial" w:cs="Arial"/>
                <w:color w:val="000000"/>
                <w:sz w:val="16"/>
              </w:rPr>
              <w:t xml:space="preserve"> 9,950 </w:t>
            </w:r>
          </w:p>
        </w:tc>
      </w:tr>
      <w:tr w:rsidR="00355BFE" w14:paraId="61C79B84" w14:textId="77777777" w:rsidTr="00355BFE">
        <w:trPr>
          <w:gridAfter w:val="1"/>
          <w:wAfter w:w="900" w:type="dxa"/>
          <w:trHeight w:val="225"/>
        </w:trPr>
        <w:tc>
          <w:tcPr>
            <w:tcW w:w="3510" w:type="dxa"/>
            <w:gridSpan w:val="3"/>
            <w:tcBorders>
              <w:top w:val="nil"/>
              <w:left w:val="nil"/>
              <w:bottom w:val="nil"/>
              <w:right w:val="nil"/>
              <w:tl2br w:val="nil"/>
              <w:tr2bl w:val="nil"/>
            </w:tcBorders>
            <w:shd w:val="clear" w:color="auto" w:fill="FFFFFF"/>
            <w:tcMar>
              <w:left w:w="115" w:type="dxa"/>
              <w:right w:w="115" w:type="dxa"/>
            </w:tcMar>
            <w:vAlign w:val="bottom"/>
          </w:tcPr>
          <w:p w14:paraId="121375C3" w14:textId="77777777" w:rsidR="003F0EEA" w:rsidRPr="0068091F" w:rsidRDefault="00FB7D0B">
            <w:pPr>
              <w:rPr>
                <w:rFonts w:ascii="Arial" w:eastAsia="Arial" w:hAnsi="Arial" w:cs="Arial"/>
                <w:color w:val="000000"/>
                <w:sz w:val="16"/>
              </w:rPr>
            </w:pPr>
            <w:r w:rsidRPr="0068091F">
              <w:rPr>
                <w:rFonts w:ascii="Arial" w:eastAsia="Arial" w:hAnsi="Arial" w:cs="Arial"/>
                <w:b/>
                <w:color w:val="000000"/>
                <w:sz w:val="16"/>
              </w:rPr>
              <w:t>TOTAL</w:t>
            </w:r>
          </w:p>
        </w:tc>
        <w:tc>
          <w:tcPr>
            <w:tcW w:w="990" w:type="dxa"/>
            <w:tcBorders>
              <w:top w:val="single" w:sz="6" w:space="0" w:color="000000"/>
              <w:left w:val="nil"/>
              <w:bottom w:val="single" w:sz="6" w:space="0" w:color="000000"/>
              <w:right w:val="nil"/>
              <w:tl2br w:val="nil"/>
              <w:tr2bl w:val="nil"/>
            </w:tcBorders>
            <w:shd w:val="clear" w:color="auto" w:fill="FFFFFF"/>
            <w:tcMar>
              <w:left w:w="115" w:type="dxa"/>
              <w:right w:w="115" w:type="dxa"/>
            </w:tcMar>
            <w:vAlign w:val="bottom"/>
          </w:tcPr>
          <w:p w14:paraId="0F998286" w14:textId="77777777" w:rsidR="003F0EEA" w:rsidRPr="0068091F" w:rsidRDefault="00FB7D0B">
            <w:pPr>
              <w:jc w:val="right"/>
              <w:rPr>
                <w:rFonts w:ascii="Arial" w:eastAsia="Arial" w:hAnsi="Arial" w:cs="Arial"/>
                <w:b/>
                <w:color w:val="000000"/>
                <w:sz w:val="16"/>
                <w:vertAlign w:val="superscript"/>
              </w:rPr>
            </w:pPr>
            <w:r w:rsidRPr="0068091F">
              <w:rPr>
                <w:rFonts w:ascii="Arial" w:eastAsia="Arial" w:hAnsi="Arial" w:cs="Arial"/>
                <w:b/>
                <w:color w:val="000000"/>
                <w:sz w:val="16"/>
              </w:rPr>
              <w:t xml:space="preserve"> 28,950 </w:t>
            </w:r>
          </w:p>
        </w:tc>
        <w:tc>
          <w:tcPr>
            <w:tcW w:w="990" w:type="dxa"/>
            <w:tcBorders>
              <w:top w:val="single" w:sz="6" w:space="0" w:color="000000"/>
              <w:left w:val="nil"/>
              <w:bottom w:val="single" w:sz="6" w:space="0" w:color="000000"/>
              <w:right w:val="nil"/>
              <w:tl2br w:val="nil"/>
              <w:tr2bl w:val="nil"/>
            </w:tcBorders>
            <w:shd w:val="clear" w:color="auto" w:fill="C0C0C0"/>
            <w:tcMar>
              <w:left w:w="115" w:type="dxa"/>
              <w:right w:w="115" w:type="dxa"/>
            </w:tcMar>
            <w:vAlign w:val="bottom"/>
          </w:tcPr>
          <w:p w14:paraId="0F310980" w14:textId="77777777" w:rsidR="003F0EEA" w:rsidRPr="0068091F" w:rsidRDefault="00FB7D0B">
            <w:pPr>
              <w:jc w:val="right"/>
              <w:rPr>
                <w:rFonts w:ascii="Arial" w:eastAsia="Arial" w:hAnsi="Arial" w:cs="Arial"/>
                <w:b/>
                <w:color w:val="000000"/>
                <w:sz w:val="16"/>
              </w:rPr>
            </w:pPr>
            <w:r w:rsidRPr="0068091F">
              <w:rPr>
                <w:rFonts w:ascii="Arial" w:eastAsia="Arial" w:hAnsi="Arial" w:cs="Arial"/>
                <w:b/>
                <w:color w:val="000000"/>
                <w:sz w:val="16"/>
              </w:rPr>
              <w:t xml:space="preserve"> 35,143 </w:t>
            </w:r>
          </w:p>
        </w:tc>
        <w:tc>
          <w:tcPr>
            <w:tcW w:w="990" w:type="dxa"/>
            <w:tcBorders>
              <w:top w:val="single" w:sz="6" w:space="0" w:color="000000"/>
              <w:left w:val="nil"/>
              <w:bottom w:val="single" w:sz="6" w:space="0" w:color="000000"/>
              <w:right w:val="nil"/>
              <w:tl2br w:val="nil"/>
              <w:tr2bl w:val="nil"/>
            </w:tcBorders>
            <w:shd w:val="clear" w:color="auto" w:fill="FFFFFF"/>
            <w:tcMar>
              <w:left w:w="115" w:type="dxa"/>
              <w:right w:w="115" w:type="dxa"/>
            </w:tcMar>
            <w:vAlign w:val="bottom"/>
          </w:tcPr>
          <w:p w14:paraId="67463D87" w14:textId="77777777" w:rsidR="003F0EEA" w:rsidRPr="0068091F" w:rsidRDefault="00FB7D0B">
            <w:pPr>
              <w:jc w:val="right"/>
              <w:rPr>
                <w:rFonts w:ascii="Arial" w:eastAsia="Arial" w:hAnsi="Arial" w:cs="Arial"/>
                <w:b/>
                <w:color w:val="000000"/>
                <w:sz w:val="16"/>
              </w:rPr>
            </w:pPr>
            <w:r w:rsidRPr="0068091F">
              <w:rPr>
                <w:rFonts w:ascii="Arial" w:eastAsia="Arial" w:hAnsi="Arial" w:cs="Arial"/>
                <w:b/>
                <w:color w:val="000000"/>
                <w:sz w:val="16"/>
              </w:rPr>
              <w:t xml:space="preserve"> 16,443 </w:t>
            </w:r>
          </w:p>
        </w:tc>
        <w:tc>
          <w:tcPr>
            <w:tcW w:w="990" w:type="dxa"/>
            <w:tcBorders>
              <w:top w:val="single" w:sz="6" w:space="0" w:color="000000"/>
              <w:left w:val="nil"/>
              <w:bottom w:val="single" w:sz="6" w:space="0" w:color="000000"/>
              <w:right w:val="nil"/>
              <w:tl2br w:val="nil"/>
              <w:tr2bl w:val="nil"/>
            </w:tcBorders>
            <w:shd w:val="clear" w:color="auto" w:fill="FFFFFF"/>
            <w:tcMar>
              <w:left w:w="115" w:type="dxa"/>
              <w:right w:w="115" w:type="dxa"/>
            </w:tcMar>
            <w:vAlign w:val="bottom"/>
          </w:tcPr>
          <w:p w14:paraId="0CB34F92" w14:textId="77777777" w:rsidR="003F0EEA" w:rsidRPr="0068091F" w:rsidRDefault="00FB7D0B">
            <w:pPr>
              <w:jc w:val="right"/>
              <w:rPr>
                <w:rFonts w:ascii="Arial" w:eastAsia="Arial" w:hAnsi="Arial" w:cs="Arial"/>
                <w:b/>
                <w:color w:val="000000"/>
                <w:sz w:val="16"/>
              </w:rPr>
            </w:pPr>
            <w:r w:rsidRPr="0068091F">
              <w:rPr>
                <w:rFonts w:ascii="Arial" w:eastAsia="Arial" w:hAnsi="Arial" w:cs="Arial"/>
                <w:b/>
                <w:color w:val="000000"/>
                <w:sz w:val="16"/>
              </w:rPr>
              <w:t xml:space="preserve"> 16,453 </w:t>
            </w:r>
          </w:p>
        </w:tc>
        <w:tc>
          <w:tcPr>
            <w:tcW w:w="990" w:type="dxa"/>
            <w:tcBorders>
              <w:top w:val="single" w:sz="6" w:space="0" w:color="000000"/>
              <w:left w:val="nil"/>
              <w:bottom w:val="single" w:sz="6" w:space="0" w:color="000000"/>
              <w:right w:val="nil"/>
              <w:tl2br w:val="nil"/>
              <w:tr2bl w:val="nil"/>
            </w:tcBorders>
            <w:shd w:val="clear" w:color="auto" w:fill="FFFFFF"/>
            <w:tcMar>
              <w:left w:w="115" w:type="dxa"/>
              <w:right w:w="115" w:type="dxa"/>
            </w:tcMar>
            <w:vAlign w:val="bottom"/>
          </w:tcPr>
          <w:p w14:paraId="56003A40" w14:textId="77777777" w:rsidR="003F0EEA" w:rsidRPr="0068091F" w:rsidRDefault="00FB7D0B">
            <w:pPr>
              <w:jc w:val="right"/>
              <w:rPr>
                <w:rFonts w:ascii="Arial" w:eastAsia="Arial" w:hAnsi="Arial" w:cs="Arial"/>
                <w:b/>
                <w:color w:val="000000"/>
                <w:sz w:val="16"/>
              </w:rPr>
            </w:pPr>
            <w:r w:rsidRPr="0068091F">
              <w:rPr>
                <w:rFonts w:ascii="Arial" w:eastAsia="Arial" w:hAnsi="Arial" w:cs="Arial"/>
                <w:b/>
                <w:color w:val="000000"/>
                <w:sz w:val="16"/>
              </w:rPr>
              <w:t xml:space="preserve"> 17,509 </w:t>
            </w:r>
          </w:p>
        </w:tc>
      </w:tr>
      <w:tr w:rsidR="00724034" w14:paraId="25261922" w14:textId="77777777">
        <w:trPr>
          <w:gridAfter w:val="1"/>
          <w:wAfter w:w="900" w:type="dxa"/>
          <w:trHeight w:val="225"/>
        </w:trPr>
        <w:tc>
          <w:tcPr>
            <w:tcW w:w="180" w:type="dxa"/>
            <w:tcBorders>
              <w:top w:val="nil"/>
              <w:left w:val="nil"/>
              <w:bottom w:val="nil"/>
              <w:right w:val="nil"/>
              <w:tl2br w:val="nil"/>
              <w:tr2bl w:val="nil"/>
            </w:tcBorders>
            <w:shd w:val="clear" w:color="auto" w:fill="FFFFFF"/>
            <w:tcMar>
              <w:left w:w="115" w:type="dxa"/>
              <w:right w:w="115" w:type="dxa"/>
            </w:tcMar>
            <w:vAlign w:val="bottom"/>
          </w:tcPr>
          <w:p w14:paraId="41A5F0DE" w14:textId="77777777" w:rsidR="003F0EEA" w:rsidRPr="0068091F" w:rsidRDefault="003F0EEA">
            <w:pPr>
              <w:rPr>
                <w:rFonts w:ascii="Arial" w:eastAsia="Arial" w:hAnsi="Arial" w:cs="Arial"/>
                <w:b/>
                <w:color w:val="000000"/>
                <w:sz w:val="16"/>
              </w:rPr>
            </w:pPr>
          </w:p>
        </w:tc>
        <w:tc>
          <w:tcPr>
            <w:tcW w:w="180" w:type="dxa"/>
            <w:tcBorders>
              <w:top w:val="nil"/>
              <w:left w:val="nil"/>
              <w:bottom w:val="nil"/>
              <w:right w:val="nil"/>
              <w:tl2br w:val="nil"/>
              <w:tr2bl w:val="nil"/>
            </w:tcBorders>
            <w:shd w:val="clear" w:color="auto" w:fill="FFFFFF"/>
            <w:tcMar>
              <w:left w:w="115" w:type="dxa"/>
              <w:right w:w="115" w:type="dxa"/>
            </w:tcMar>
            <w:vAlign w:val="bottom"/>
          </w:tcPr>
          <w:p w14:paraId="16164D4B" w14:textId="77777777" w:rsidR="003F0EEA" w:rsidRPr="0068091F" w:rsidRDefault="003F0EEA">
            <w:pPr>
              <w:rPr>
                <w:rFonts w:ascii="Arial" w:eastAsia="Arial" w:hAnsi="Arial" w:cs="Arial"/>
                <w:color w:val="000000"/>
                <w:sz w:val="16"/>
              </w:rPr>
            </w:pPr>
          </w:p>
        </w:tc>
        <w:tc>
          <w:tcPr>
            <w:tcW w:w="3150" w:type="dxa"/>
            <w:tcBorders>
              <w:top w:val="nil"/>
              <w:left w:val="nil"/>
              <w:bottom w:val="nil"/>
              <w:right w:val="nil"/>
              <w:tl2br w:val="nil"/>
              <w:tr2bl w:val="nil"/>
            </w:tcBorders>
            <w:shd w:val="clear" w:color="auto" w:fill="FFFFFF"/>
            <w:tcMar>
              <w:left w:w="115" w:type="dxa"/>
              <w:right w:w="115" w:type="dxa"/>
            </w:tcMar>
            <w:vAlign w:val="bottom"/>
          </w:tcPr>
          <w:p w14:paraId="709FE526" w14:textId="77777777" w:rsidR="003F0EEA" w:rsidRPr="0068091F" w:rsidRDefault="003F0EEA">
            <w:pPr>
              <w:rPr>
                <w:rFonts w:ascii="Arial" w:eastAsia="Arial" w:hAnsi="Arial" w:cs="Arial"/>
                <w:color w:val="000000"/>
                <w:sz w:val="16"/>
              </w:rPr>
            </w:pPr>
          </w:p>
        </w:tc>
        <w:tc>
          <w:tcPr>
            <w:tcW w:w="990"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4126D7C5" w14:textId="77777777" w:rsidR="003F0EEA" w:rsidRPr="0068091F" w:rsidRDefault="003F0EEA">
            <w:pPr>
              <w:rPr>
                <w:rFonts w:ascii="Arial" w:eastAsia="Arial" w:hAnsi="Arial" w:cs="Arial"/>
                <w:color w:val="000000"/>
                <w:sz w:val="16"/>
                <w:vertAlign w:val="superscript"/>
              </w:rPr>
            </w:pPr>
          </w:p>
        </w:tc>
        <w:tc>
          <w:tcPr>
            <w:tcW w:w="990" w:type="dxa"/>
            <w:tcBorders>
              <w:top w:val="single" w:sz="6" w:space="0" w:color="000000"/>
              <w:left w:val="nil"/>
              <w:bottom w:val="nil"/>
              <w:right w:val="nil"/>
              <w:tl2br w:val="nil"/>
              <w:tr2bl w:val="nil"/>
            </w:tcBorders>
            <w:shd w:val="clear" w:color="auto" w:fill="C0C0C0"/>
            <w:tcMar>
              <w:left w:w="115" w:type="dxa"/>
              <w:right w:w="115" w:type="dxa"/>
            </w:tcMar>
            <w:vAlign w:val="bottom"/>
          </w:tcPr>
          <w:p w14:paraId="0A3068E0" w14:textId="77777777" w:rsidR="003F0EEA" w:rsidRPr="0068091F" w:rsidRDefault="003F0EEA">
            <w:pPr>
              <w:rPr>
                <w:rFonts w:ascii="Arial" w:eastAsia="Arial" w:hAnsi="Arial" w:cs="Arial"/>
                <w:color w:val="000000"/>
                <w:sz w:val="16"/>
                <w:vertAlign w:val="superscript"/>
              </w:rPr>
            </w:pPr>
          </w:p>
        </w:tc>
        <w:tc>
          <w:tcPr>
            <w:tcW w:w="990"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7E3417B6" w14:textId="77777777" w:rsidR="003F0EEA" w:rsidRPr="0068091F" w:rsidRDefault="003F0EEA">
            <w:pPr>
              <w:rPr>
                <w:rFonts w:ascii="Arial" w:eastAsia="Arial" w:hAnsi="Arial" w:cs="Arial"/>
                <w:color w:val="000000"/>
                <w:sz w:val="16"/>
                <w:vertAlign w:val="superscript"/>
              </w:rPr>
            </w:pPr>
          </w:p>
        </w:tc>
        <w:tc>
          <w:tcPr>
            <w:tcW w:w="990"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2F7EA61E" w14:textId="77777777" w:rsidR="003F0EEA" w:rsidRPr="0068091F" w:rsidRDefault="003F0EEA">
            <w:pPr>
              <w:rPr>
                <w:rFonts w:ascii="Arial" w:eastAsia="Arial" w:hAnsi="Arial" w:cs="Arial"/>
                <w:color w:val="000000"/>
                <w:sz w:val="16"/>
                <w:vertAlign w:val="superscript"/>
              </w:rPr>
            </w:pPr>
          </w:p>
        </w:tc>
        <w:tc>
          <w:tcPr>
            <w:tcW w:w="990"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28B79043" w14:textId="77777777" w:rsidR="003F0EEA" w:rsidRPr="0068091F" w:rsidRDefault="003F0EEA">
            <w:pPr>
              <w:rPr>
                <w:rFonts w:ascii="Arial" w:eastAsia="Arial" w:hAnsi="Arial" w:cs="Arial"/>
                <w:color w:val="000000"/>
                <w:sz w:val="16"/>
                <w:vertAlign w:val="superscript"/>
              </w:rPr>
            </w:pPr>
          </w:p>
        </w:tc>
      </w:tr>
      <w:tr w:rsidR="00355BFE" w14:paraId="289EA1B9" w14:textId="77777777" w:rsidTr="00355BFE">
        <w:trPr>
          <w:gridAfter w:val="1"/>
          <w:wAfter w:w="900" w:type="dxa"/>
          <w:trHeight w:val="225"/>
        </w:trPr>
        <w:tc>
          <w:tcPr>
            <w:tcW w:w="3510" w:type="dxa"/>
            <w:gridSpan w:val="3"/>
            <w:tcBorders>
              <w:top w:val="nil"/>
              <w:left w:val="nil"/>
              <w:bottom w:val="nil"/>
              <w:right w:val="nil"/>
              <w:tl2br w:val="nil"/>
              <w:tr2bl w:val="nil"/>
            </w:tcBorders>
            <w:shd w:val="clear" w:color="auto" w:fill="FFFFFF"/>
            <w:tcMar>
              <w:left w:w="115" w:type="dxa"/>
              <w:right w:w="115" w:type="dxa"/>
            </w:tcMar>
            <w:vAlign w:val="bottom"/>
          </w:tcPr>
          <w:p w14:paraId="419EE912" w14:textId="77777777" w:rsidR="003F0EEA" w:rsidRPr="0068091F" w:rsidRDefault="00FB7D0B">
            <w:pPr>
              <w:rPr>
                <w:rFonts w:ascii="Arial" w:eastAsia="Arial" w:hAnsi="Arial" w:cs="Arial"/>
                <w:color w:val="000000"/>
                <w:sz w:val="16"/>
                <w:vertAlign w:val="superscript"/>
              </w:rPr>
            </w:pPr>
            <w:r w:rsidRPr="0068091F">
              <w:rPr>
                <w:rFonts w:ascii="Arial" w:eastAsia="Arial" w:hAnsi="Arial" w:cs="Arial"/>
                <w:b/>
                <w:color w:val="000000"/>
                <w:sz w:val="16"/>
              </w:rPr>
              <w:t>RECONCILIATION OF CASH</w:t>
            </w:r>
          </w:p>
        </w:tc>
        <w:tc>
          <w:tcPr>
            <w:tcW w:w="990" w:type="dxa"/>
            <w:tcBorders>
              <w:top w:val="nil"/>
              <w:left w:val="nil"/>
              <w:bottom w:val="nil"/>
              <w:right w:val="nil"/>
              <w:tl2br w:val="nil"/>
              <w:tr2bl w:val="nil"/>
            </w:tcBorders>
            <w:shd w:val="clear" w:color="auto" w:fill="FFFFFF"/>
            <w:tcMar>
              <w:left w:w="115" w:type="dxa"/>
              <w:right w:w="115" w:type="dxa"/>
            </w:tcMar>
            <w:vAlign w:val="bottom"/>
          </w:tcPr>
          <w:p w14:paraId="08602877" w14:textId="77777777" w:rsidR="003F0EEA" w:rsidRPr="0068091F" w:rsidRDefault="003F0EEA">
            <w:pPr>
              <w:rPr>
                <w:rFonts w:ascii="Arial" w:eastAsia="Arial" w:hAnsi="Arial" w:cs="Arial"/>
                <w:color w:val="000000"/>
                <w:sz w:val="16"/>
                <w:vertAlign w:val="superscript"/>
              </w:rPr>
            </w:pPr>
          </w:p>
        </w:tc>
        <w:tc>
          <w:tcPr>
            <w:tcW w:w="990" w:type="dxa"/>
            <w:tcBorders>
              <w:top w:val="nil"/>
              <w:left w:val="nil"/>
              <w:bottom w:val="nil"/>
              <w:right w:val="nil"/>
              <w:tl2br w:val="nil"/>
              <w:tr2bl w:val="nil"/>
            </w:tcBorders>
            <w:shd w:val="clear" w:color="auto" w:fill="C0C0C0"/>
            <w:tcMar>
              <w:left w:w="115" w:type="dxa"/>
              <w:right w:w="115" w:type="dxa"/>
            </w:tcMar>
            <w:vAlign w:val="bottom"/>
          </w:tcPr>
          <w:p w14:paraId="6BFD174C" w14:textId="77777777" w:rsidR="003F0EEA" w:rsidRPr="0068091F" w:rsidRDefault="003F0EEA">
            <w:pPr>
              <w:rPr>
                <w:rFonts w:ascii="Arial" w:eastAsia="Arial" w:hAnsi="Arial" w:cs="Arial"/>
                <w:color w:val="000000"/>
                <w:sz w:val="16"/>
                <w:vertAlign w:val="superscript"/>
              </w:rPr>
            </w:pPr>
          </w:p>
        </w:tc>
        <w:tc>
          <w:tcPr>
            <w:tcW w:w="990" w:type="dxa"/>
            <w:tcBorders>
              <w:top w:val="nil"/>
              <w:left w:val="nil"/>
              <w:bottom w:val="nil"/>
              <w:right w:val="nil"/>
              <w:tl2br w:val="nil"/>
              <w:tr2bl w:val="nil"/>
            </w:tcBorders>
            <w:shd w:val="clear" w:color="auto" w:fill="FFFFFF"/>
            <w:tcMar>
              <w:left w:w="115" w:type="dxa"/>
              <w:right w:w="115" w:type="dxa"/>
            </w:tcMar>
            <w:vAlign w:val="bottom"/>
          </w:tcPr>
          <w:p w14:paraId="6773B60B" w14:textId="77777777" w:rsidR="003F0EEA" w:rsidRPr="0068091F" w:rsidRDefault="003F0EEA">
            <w:pPr>
              <w:rPr>
                <w:rFonts w:ascii="Arial" w:eastAsia="Arial" w:hAnsi="Arial" w:cs="Arial"/>
                <w:color w:val="000000"/>
                <w:sz w:val="16"/>
                <w:vertAlign w:val="superscript"/>
              </w:rPr>
            </w:pPr>
          </w:p>
        </w:tc>
        <w:tc>
          <w:tcPr>
            <w:tcW w:w="990" w:type="dxa"/>
            <w:tcBorders>
              <w:top w:val="nil"/>
              <w:left w:val="nil"/>
              <w:bottom w:val="nil"/>
              <w:right w:val="nil"/>
              <w:tl2br w:val="nil"/>
              <w:tr2bl w:val="nil"/>
            </w:tcBorders>
            <w:shd w:val="clear" w:color="auto" w:fill="FFFFFF"/>
            <w:tcMar>
              <w:left w:w="115" w:type="dxa"/>
              <w:right w:w="115" w:type="dxa"/>
            </w:tcMar>
            <w:vAlign w:val="bottom"/>
          </w:tcPr>
          <w:p w14:paraId="5D1BB284" w14:textId="77777777" w:rsidR="003F0EEA" w:rsidRPr="0068091F" w:rsidRDefault="003F0EEA">
            <w:pPr>
              <w:rPr>
                <w:rFonts w:ascii="Arial" w:eastAsia="Arial" w:hAnsi="Arial" w:cs="Arial"/>
                <w:color w:val="000000"/>
                <w:sz w:val="16"/>
                <w:vertAlign w:val="superscript"/>
              </w:rPr>
            </w:pPr>
          </w:p>
        </w:tc>
        <w:tc>
          <w:tcPr>
            <w:tcW w:w="990" w:type="dxa"/>
            <w:tcBorders>
              <w:top w:val="nil"/>
              <w:left w:val="nil"/>
              <w:bottom w:val="nil"/>
              <w:right w:val="nil"/>
              <w:tl2br w:val="nil"/>
              <w:tr2bl w:val="nil"/>
            </w:tcBorders>
            <w:shd w:val="clear" w:color="auto" w:fill="FFFFFF"/>
            <w:tcMar>
              <w:left w:w="115" w:type="dxa"/>
              <w:right w:w="115" w:type="dxa"/>
            </w:tcMar>
            <w:vAlign w:val="bottom"/>
          </w:tcPr>
          <w:p w14:paraId="0A9C48B9" w14:textId="77777777" w:rsidR="003F0EEA" w:rsidRPr="0068091F" w:rsidRDefault="003F0EEA">
            <w:pPr>
              <w:rPr>
                <w:rFonts w:ascii="Arial" w:eastAsia="Arial" w:hAnsi="Arial" w:cs="Arial"/>
                <w:color w:val="000000"/>
                <w:sz w:val="16"/>
                <w:vertAlign w:val="superscript"/>
              </w:rPr>
            </w:pPr>
          </w:p>
        </w:tc>
      </w:tr>
      <w:tr w:rsidR="00355BFE" w14:paraId="38351F4E" w14:textId="77777777" w:rsidTr="00355BFE">
        <w:trPr>
          <w:gridAfter w:val="1"/>
          <w:wAfter w:w="900" w:type="dxa"/>
          <w:trHeight w:val="225"/>
        </w:trPr>
        <w:tc>
          <w:tcPr>
            <w:tcW w:w="180" w:type="dxa"/>
            <w:tcBorders>
              <w:top w:val="nil"/>
              <w:left w:val="nil"/>
              <w:bottom w:val="nil"/>
              <w:right w:val="nil"/>
              <w:tl2br w:val="nil"/>
              <w:tr2bl w:val="nil"/>
            </w:tcBorders>
            <w:shd w:val="clear" w:color="auto" w:fill="FFFFFF"/>
            <w:tcMar>
              <w:left w:w="115" w:type="dxa"/>
              <w:right w:w="115" w:type="dxa"/>
            </w:tcMar>
            <w:vAlign w:val="bottom"/>
          </w:tcPr>
          <w:p w14:paraId="68AEF8BE" w14:textId="77777777" w:rsidR="003F0EEA" w:rsidRPr="0068091F" w:rsidRDefault="003F0EEA">
            <w:pPr>
              <w:rPr>
                <w:rFonts w:ascii="Arial" w:eastAsia="Arial" w:hAnsi="Arial" w:cs="Arial"/>
                <w:color w:val="000000"/>
                <w:sz w:val="16"/>
                <w:vertAlign w:val="superscript"/>
              </w:rPr>
            </w:pPr>
          </w:p>
        </w:tc>
        <w:tc>
          <w:tcPr>
            <w:tcW w:w="3330" w:type="dxa"/>
            <w:gridSpan w:val="2"/>
            <w:vMerge w:val="restart"/>
            <w:tcBorders>
              <w:top w:val="nil"/>
              <w:left w:val="nil"/>
              <w:bottom w:val="nil"/>
              <w:right w:val="nil"/>
              <w:tl2br w:val="nil"/>
              <w:tr2bl w:val="nil"/>
            </w:tcBorders>
            <w:shd w:val="clear" w:color="auto" w:fill="FFFFFF"/>
            <w:tcMar>
              <w:left w:w="115" w:type="dxa"/>
              <w:right w:w="115" w:type="dxa"/>
            </w:tcMar>
            <w:vAlign w:val="bottom"/>
          </w:tcPr>
          <w:p w14:paraId="1B897641" w14:textId="77777777" w:rsidR="003F0EEA" w:rsidRPr="0068091F" w:rsidRDefault="00FB7D0B">
            <w:pPr>
              <w:rPr>
                <w:rFonts w:ascii="Arial" w:eastAsia="Arial" w:hAnsi="Arial" w:cs="Arial"/>
                <w:color w:val="000000"/>
                <w:sz w:val="20"/>
                <w:vertAlign w:val="superscript"/>
              </w:rPr>
            </w:pPr>
            <w:r w:rsidRPr="0068091F">
              <w:rPr>
                <w:rFonts w:ascii="Arial" w:eastAsia="Arial" w:hAnsi="Arial" w:cs="Arial"/>
                <w:b/>
                <w:color w:val="000000"/>
                <w:sz w:val="16"/>
              </w:rPr>
              <w:t>USED TO ACQUIRE ASSETS</w:t>
            </w:r>
          </w:p>
        </w:tc>
        <w:tc>
          <w:tcPr>
            <w:tcW w:w="990" w:type="dxa"/>
            <w:tcBorders>
              <w:top w:val="nil"/>
              <w:left w:val="nil"/>
              <w:bottom w:val="nil"/>
              <w:right w:val="nil"/>
              <w:tl2br w:val="nil"/>
              <w:tr2bl w:val="nil"/>
            </w:tcBorders>
            <w:shd w:val="clear" w:color="auto" w:fill="FFFFFF"/>
            <w:tcMar>
              <w:left w:w="115" w:type="dxa"/>
              <w:right w:w="115" w:type="dxa"/>
            </w:tcMar>
            <w:vAlign w:val="bottom"/>
          </w:tcPr>
          <w:p w14:paraId="038A5E4E" w14:textId="77777777" w:rsidR="003F0EEA" w:rsidRPr="0068091F" w:rsidRDefault="003F0EEA">
            <w:pPr>
              <w:rPr>
                <w:rFonts w:ascii="Arial" w:eastAsia="Arial" w:hAnsi="Arial" w:cs="Arial"/>
                <w:color w:val="000000"/>
                <w:sz w:val="16"/>
                <w:vertAlign w:val="superscript"/>
              </w:rPr>
            </w:pPr>
          </w:p>
        </w:tc>
        <w:tc>
          <w:tcPr>
            <w:tcW w:w="990" w:type="dxa"/>
            <w:tcBorders>
              <w:top w:val="nil"/>
              <w:left w:val="nil"/>
              <w:bottom w:val="nil"/>
              <w:right w:val="nil"/>
              <w:tl2br w:val="nil"/>
              <w:tr2bl w:val="nil"/>
            </w:tcBorders>
            <w:shd w:val="clear" w:color="auto" w:fill="C0C0C0"/>
            <w:tcMar>
              <w:left w:w="115" w:type="dxa"/>
              <w:right w:w="115" w:type="dxa"/>
            </w:tcMar>
            <w:vAlign w:val="bottom"/>
          </w:tcPr>
          <w:p w14:paraId="6E507CC6" w14:textId="77777777" w:rsidR="003F0EEA" w:rsidRPr="0068091F" w:rsidRDefault="003F0EEA">
            <w:pPr>
              <w:rPr>
                <w:rFonts w:ascii="Arial" w:eastAsia="Arial" w:hAnsi="Arial" w:cs="Arial"/>
                <w:color w:val="000000"/>
                <w:sz w:val="16"/>
                <w:vertAlign w:val="superscript"/>
              </w:rPr>
            </w:pPr>
          </w:p>
        </w:tc>
        <w:tc>
          <w:tcPr>
            <w:tcW w:w="990" w:type="dxa"/>
            <w:tcBorders>
              <w:top w:val="nil"/>
              <w:left w:val="nil"/>
              <w:bottom w:val="nil"/>
              <w:right w:val="nil"/>
              <w:tl2br w:val="nil"/>
              <w:tr2bl w:val="nil"/>
            </w:tcBorders>
            <w:shd w:val="clear" w:color="auto" w:fill="FFFFFF"/>
            <w:tcMar>
              <w:left w:w="115" w:type="dxa"/>
              <w:right w:w="115" w:type="dxa"/>
            </w:tcMar>
            <w:vAlign w:val="bottom"/>
          </w:tcPr>
          <w:p w14:paraId="20CF98BD" w14:textId="77777777" w:rsidR="003F0EEA" w:rsidRPr="0068091F" w:rsidRDefault="003F0EEA">
            <w:pPr>
              <w:rPr>
                <w:rFonts w:ascii="Arial" w:eastAsia="Arial" w:hAnsi="Arial" w:cs="Arial"/>
                <w:color w:val="000000"/>
                <w:sz w:val="16"/>
                <w:vertAlign w:val="superscript"/>
              </w:rPr>
            </w:pPr>
          </w:p>
        </w:tc>
        <w:tc>
          <w:tcPr>
            <w:tcW w:w="990" w:type="dxa"/>
            <w:tcBorders>
              <w:top w:val="nil"/>
              <w:left w:val="nil"/>
              <w:bottom w:val="nil"/>
              <w:right w:val="nil"/>
              <w:tl2br w:val="nil"/>
              <w:tr2bl w:val="nil"/>
            </w:tcBorders>
            <w:shd w:val="clear" w:color="auto" w:fill="FFFFFF"/>
            <w:tcMar>
              <w:left w:w="115" w:type="dxa"/>
              <w:right w:w="115" w:type="dxa"/>
            </w:tcMar>
            <w:vAlign w:val="bottom"/>
          </w:tcPr>
          <w:p w14:paraId="57235836" w14:textId="77777777" w:rsidR="003F0EEA" w:rsidRPr="0068091F" w:rsidRDefault="003F0EEA">
            <w:pPr>
              <w:rPr>
                <w:rFonts w:ascii="Arial" w:eastAsia="Arial" w:hAnsi="Arial" w:cs="Arial"/>
                <w:color w:val="000000"/>
                <w:sz w:val="16"/>
                <w:vertAlign w:val="superscript"/>
              </w:rPr>
            </w:pPr>
          </w:p>
        </w:tc>
        <w:tc>
          <w:tcPr>
            <w:tcW w:w="990" w:type="dxa"/>
            <w:tcBorders>
              <w:top w:val="nil"/>
              <w:left w:val="nil"/>
              <w:bottom w:val="nil"/>
              <w:right w:val="nil"/>
              <w:tl2br w:val="nil"/>
              <w:tr2bl w:val="nil"/>
            </w:tcBorders>
            <w:shd w:val="clear" w:color="auto" w:fill="FFFFFF"/>
            <w:tcMar>
              <w:left w:w="115" w:type="dxa"/>
              <w:right w:w="115" w:type="dxa"/>
            </w:tcMar>
            <w:vAlign w:val="bottom"/>
          </w:tcPr>
          <w:p w14:paraId="01FBE963" w14:textId="77777777" w:rsidR="003F0EEA" w:rsidRPr="0068091F" w:rsidRDefault="003F0EEA">
            <w:pPr>
              <w:rPr>
                <w:rFonts w:ascii="Arial" w:eastAsia="Arial" w:hAnsi="Arial" w:cs="Arial"/>
                <w:color w:val="000000"/>
                <w:sz w:val="16"/>
                <w:vertAlign w:val="superscript"/>
              </w:rPr>
            </w:pPr>
          </w:p>
        </w:tc>
      </w:tr>
      <w:tr w:rsidR="00355BFE" w14:paraId="5B8A6DBF" w14:textId="77777777" w:rsidTr="00355BFE">
        <w:trPr>
          <w:gridAfter w:val="1"/>
          <w:wAfter w:w="900" w:type="dxa"/>
          <w:trHeight w:val="225"/>
        </w:trPr>
        <w:tc>
          <w:tcPr>
            <w:tcW w:w="180" w:type="dxa"/>
            <w:tcBorders>
              <w:top w:val="nil"/>
              <w:left w:val="nil"/>
              <w:bottom w:val="nil"/>
              <w:right w:val="nil"/>
              <w:tl2br w:val="nil"/>
              <w:tr2bl w:val="nil"/>
            </w:tcBorders>
            <w:shd w:val="clear" w:color="auto" w:fill="FFFFFF"/>
            <w:tcMar>
              <w:left w:w="115" w:type="dxa"/>
              <w:right w:w="115" w:type="dxa"/>
            </w:tcMar>
            <w:vAlign w:val="bottom"/>
          </w:tcPr>
          <w:p w14:paraId="68FED0D9" w14:textId="77777777" w:rsidR="003F0EEA" w:rsidRPr="0068091F" w:rsidRDefault="003F0EEA">
            <w:pPr>
              <w:rPr>
                <w:rFonts w:ascii="Arial" w:eastAsia="Arial" w:hAnsi="Arial" w:cs="Arial"/>
                <w:color w:val="000000"/>
                <w:sz w:val="16"/>
                <w:vertAlign w:val="superscript"/>
              </w:rPr>
            </w:pPr>
          </w:p>
        </w:tc>
        <w:tc>
          <w:tcPr>
            <w:tcW w:w="3330" w:type="dxa"/>
            <w:gridSpan w:val="2"/>
            <w:tcBorders>
              <w:top w:val="nil"/>
              <w:left w:val="nil"/>
              <w:bottom w:val="nil"/>
              <w:right w:val="nil"/>
              <w:tl2br w:val="nil"/>
              <w:tr2bl w:val="nil"/>
            </w:tcBorders>
            <w:shd w:val="clear" w:color="auto" w:fill="FFFFFF"/>
            <w:tcMar>
              <w:left w:w="115" w:type="dxa"/>
              <w:right w:w="115" w:type="dxa"/>
            </w:tcMar>
            <w:vAlign w:val="bottom"/>
          </w:tcPr>
          <w:p w14:paraId="129EF9B0" w14:textId="77777777" w:rsidR="003F0EEA" w:rsidRPr="0068091F" w:rsidRDefault="00FB7D0B">
            <w:pPr>
              <w:rPr>
                <w:rFonts w:ascii="Arial" w:eastAsia="Arial" w:hAnsi="Arial" w:cs="Arial"/>
                <w:color w:val="000000"/>
                <w:sz w:val="20"/>
                <w:vertAlign w:val="superscript"/>
              </w:rPr>
            </w:pPr>
            <w:r w:rsidRPr="0068091F">
              <w:rPr>
                <w:rFonts w:ascii="Arial" w:eastAsia="Arial" w:hAnsi="Arial" w:cs="Arial"/>
                <w:b/>
                <w:color w:val="000000"/>
                <w:sz w:val="16"/>
              </w:rPr>
              <w:t>TO ASSET MOVEMENT TABLE</w:t>
            </w:r>
          </w:p>
        </w:tc>
        <w:tc>
          <w:tcPr>
            <w:tcW w:w="990" w:type="dxa"/>
            <w:tcBorders>
              <w:top w:val="nil"/>
              <w:left w:val="nil"/>
              <w:bottom w:val="nil"/>
              <w:right w:val="nil"/>
              <w:tl2br w:val="nil"/>
              <w:tr2bl w:val="nil"/>
            </w:tcBorders>
            <w:shd w:val="clear" w:color="auto" w:fill="FFFFFF"/>
            <w:tcMar>
              <w:left w:w="115" w:type="dxa"/>
              <w:right w:w="115" w:type="dxa"/>
            </w:tcMar>
            <w:vAlign w:val="bottom"/>
          </w:tcPr>
          <w:p w14:paraId="77DD9B24" w14:textId="77777777" w:rsidR="003F0EEA" w:rsidRPr="0068091F" w:rsidRDefault="003F0EEA">
            <w:pPr>
              <w:rPr>
                <w:rFonts w:ascii="Arial" w:eastAsia="Arial" w:hAnsi="Arial" w:cs="Arial"/>
                <w:color w:val="000000"/>
                <w:sz w:val="16"/>
                <w:vertAlign w:val="superscript"/>
              </w:rPr>
            </w:pPr>
          </w:p>
        </w:tc>
        <w:tc>
          <w:tcPr>
            <w:tcW w:w="990" w:type="dxa"/>
            <w:tcBorders>
              <w:top w:val="nil"/>
              <w:left w:val="nil"/>
              <w:bottom w:val="nil"/>
              <w:right w:val="nil"/>
              <w:tl2br w:val="nil"/>
              <w:tr2bl w:val="nil"/>
            </w:tcBorders>
            <w:shd w:val="clear" w:color="auto" w:fill="C0C0C0"/>
            <w:tcMar>
              <w:left w:w="115" w:type="dxa"/>
              <w:right w:w="115" w:type="dxa"/>
            </w:tcMar>
            <w:vAlign w:val="bottom"/>
          </w:tcPr>
          <w:p w14:paraId="0B95BBDA" w14:textId="77777777" w:rsidR="003F0EEA" w:rsidRPr="0068091F" w:rsidRDefault="003F0EEA">
            <w:pPr>
              <w:rPr>
                <w:rFonts w:ascii="Arial" w:eastAsia="Arial" w:hAnsi="Arial" w:cs="Arial"/>
                <w:color w:val="000000"/>
                <w:sz w:val="16"/>
                <w:vertAlign w:val="superscript"/>
              </w:rPr>
            </w:pPr>
          </w:p>
        </w:tc>
        <w:tc>
          <w:tcPr>
            <w:tcW w:w="990" w:type="dxa"/>
            <w:tcBorders>
              <w:top w:val="nil"/>
              <w:left w:val="nil"/>
              <w:bottom w:val="nil"/>
              <w:right w:val="nil"/>
              <w:tl2br w:val="nil"/>
              <w:tr2bl w:val="nil"/>
            </w:tcBorders>
            <w:shd w:val="clear" w:color="auto" w:fill="FFFFFF"/>
            <w:tcMar>
              <w:left w:w="115" w:type="dxa"/>
              <w:right w:w="115" w:type="dxa"/>
            </w:tcMar>
            <w:vAlign w:val="bottom"/>
          </w:tcPr>
          <w:p w14:paraId="0A5452C5" w14:textId="77777777" w:rsidR="003F0EEA" w:rsidRPr="0068091F" w:rsidRDefault="003F0EEA">
            <w:pPr>
              <w:rPr>
                <w:rFonts w:ascii="Arial" w:eastAsia="Arial" w:hAnsi="Arial" w:cs="Arial"/>
                <w:color w:val="000000"/>
                <w:sz w:val="16"/>
                <w:vertAlign w:val="superscript"/>
              </w:rPr>
            </w:pPr>
          </w:p>
        </w:tc>
        <w:tc>
          <w:tcPr>
            <w:tcW w:w="990" w:type="dxa"/>
            <w:tcBorders>
              <w:top w:val="nil"/>
              <w:left w:val="nil"/>
              <w:bottom w:val="nil"/>
              <w:right w:val="nil"/>
              <w:tl2br w:val="nil"/>
              <w:tr2bl w:val="nil"/>
            </w:tcBorders>
            <w:shd w:val="clear" w:color="auto" w:fill="FFFFFF"/>
            <w:tcMar>
              <w:left w:w="115" w:type="dxa"/>
              <w:right w:w="115" w:type="dxa"/>
            </w:tcMar>
            <w:vAlign w:val="bottom"/>
          </w:tcPr>
          <w:p w14:paraId="5FF8085C" w14:textId="77777777" w:rsidR="003F0EEA" w:rsidRPr="0068091F" w:rsidRDefault="003F0EEA">
            <w:pPr>
              <w:rPr>
                <w:rFonts w:ascii="Arial" w:eastAsia="Arial" w:hAnsi="Arial" w:cs="Arial"/>
                <w:color w:val="000000"/>
                <w:sz w:val="16"/>
                <w:vertAlign w:val="superscript"/>
              </w:rPr>
            </w:pPr>
          </w:p>
        </w:tc>
        <w:tc>
          <w:tcPr>
            <w:tcW w:w="990" w:type="dxa"/>
            <w:tcBorders>
              <w:top w:val="nil"/>
              <w:left w:val="nil"/>
              <w:bottom w:val="nil"/>
              <w:right w:val="nil"/>
              <w:tl2br w:val="nil"/>
              <w:tr2bl w:val="nil"/>
            </w:tcBorders>
            <w:shd w:val="clear" w:color="auto" w:fill="FFFFFF"/>
            <w:tcMar>
              <w:left w:w="115" w:type="dxa"/>
              <w:right w:w="115" w:type="dxa"/>
            </w:tcMar>
            <w:vAlign w:val="bottom"/>
          </w:tcPr>
          <w:p w14:paraId="4965A57C" w14:textId="77777777" w:rsidR="003F0EEA" w:rsidRPr="0068091F" w:rsidRDefault="003F0EEA">
            <w:pPr>
              <w:rPr>
                <w:rFonts w:ascii="Arial" w:eastAsia="Arial" w:hAnsi="Arial" w:cs="Arial"/>
                <w:color w:val="000000"/>
                <w:sz w:val="16"/>
                <w:vertAlign w:val="superscript"/>
              </w:rPr>
            </w:pPr>
          </w:p>
        </w:tc>
      </w:tr>
      <w:tr w:rsidR="00355BFE" w14:paraId="2F05AAC9" w14:textId="77777777" w:rsidTr="00355BFE">
        <w:trPr>
          <w:gridAfter w:val="1"/>
          <w:wAfter w:w="900" w:type="dxa"/>
          <w:trHeight w:val="225"/>
        </w:trPr>
        <w:tc>
          <w:tcPr>
            <w:tcW w:w="180" w:type="dxa"/>
            <w:tcBorders>
              <w:top w:val="nil"/>
              <w:left w:val="nil"/>
              <w:bottom w:val="nil"/>
              <w:right w:val="nil"/>
              <w:tl2br w:val="nil"/>
              <w:tr2bl w:val="nil"/>
            </w:tcBorders>
            <w:shd w:val="clear" w:color="auto" w:fill="FFFFFF"/>
            <w:tcMar>
              <w:left w:w="115" w:type="dxa"/>
              <w:right w:w="115" w:type="dxa"/>
            </w:tcMar>
            <w:vAlign w:val="bottom"/>
          </w:tcPr>
          <w:p w14:paraId="68A12136" w14:textId="77777777" w:rsidR="003F0EEA" w:rsidRPr="0068091F" w:rsidRDefault="003F0EEA">
            <w:pPr>
              <w:rPr>
                <w:rFonts w:ascii="Arial" w:eastAsia="Arial" w:hAnsi="Arial" w:cs="Arial"/>
                <w:color w:val="000000"/>
                <w:sz w:val="16"/>
                <w:vertAlign w:val="superscript"/>
              </w:rPr>
            </w:pPr>
          </w:p>
        </w:tc>
        <w:tc>
          <w:tcPr>
            <w:tcW w:w="3330" w:type="dxa"/>
            <w:gridSpan w:val="2"/>
            <w:tcBorders>
              <w:top w:val="nil"/>
              <w:left w:val="nil"/>
              <w:bottom w:val="nil"/>
              <w:right w:val="nil"/>
              <w:tl2br w:val="nil"/>
              <w:tr2bl w:val="nil"/>
            </w:tcBorders>
            <w:shd w:val="clear" w:color="auto" w:fill="FFFFFF"/>
            <w:tcMar>
              <w:left w:w="115" w:type="dxa"/>
              <w:right w:w="115" w:type="dxa"/>
            </w:tcMar>
            <w:vAlign w:val="bottom"/>
          </w:tcPr>
          <w:p w14:paraId="0883F2E1" w14:textId="77777777" w:rsidR="003F0EEA" w:rsidRPr="0068091F" w:rsidRDefault="00FB7D0B">
            <w:pPr>
              <w:rPr>
                <w:rFonts w:ascii="Arial" w:eastAsia="Arial" w:hAnsi="Arial" w:cs="Arial"/>
                <w:color w:val="000000"/>
                <w:sz w:val="20"/>
                <w:vertAlign w:val="superscript"/>
              </w:rPr>
            </w:pPr>
            <w:r w:rsidRPr="0068091F">
              <w:rPr>
                <w:rFonts w:ascii="Arial" w:eastAsia="Arial" w:hAnsi="Arial" w:cs="Arial"/>
                <w:color w:val="000000"/>
                <w:sz w:val="16"/>
              </w:rPr>
              <w:t>Total purchases</w:t>
            </w:r>
          </w:p>
        </w:tc>
        <w:tc>
          <w:tcPr>
            <w:tcW w:w="990" w:type="dxa"/>
            <w:tcBorders>
              <w:top w:val="nil"/>
              <w:left w:val="nil"/>
              <w:bottom w:val="nil"/>
              <w:right w:val="nil"/>
              <w:tl2br w:val="nil"/>
              <w:tr2bl w:val="nil"/>
            </w:tcBorders>
            <w:shd w:val="clear" w:color="auto" w:fill="FFFFFF"/>
            <w:tcMar>
              <w:left w:w="115" w:type="dxa"/>
              <w:right w:w="115" w:type="dxa"/>
            </w:tcMar>
            <w:vAlign w:val="bottom"/>
          </w:tcPr>
          <w:p w14:paraId="4909688C" w14:textId="77777777" w:rsidR="003F0EEA" w:rsidRPr="0068091F" w:rsidRDefault="00FB7D0B">
            <w:pPr>
              <w:jc w:val="right"/>
              <w:rPr>
                <w:rFonts w:ascii="Arial" w:eastAsia="Arial" w:hAnsi="Arial" w:cs="Arial"/>
                <w:color w:val="000000"/>
                <w:sz w:val="16"/>
                <w:vertAlign w:val="superscript"/>
              </w:rPr>
            </w:pPr>
            <w:r w:rsidRPr="0068091F">
              <w:rPr>
                <w:rFonts w:ascii="Arial" w:eastAsia="Arial" w:hAnsi="Arial" w:cs="Arial"/>
                <w:color w:val="000000"/>
                <w:sz w:val="16"/>
              </w:rPr>
              <w:t xml:space="preserve"> 28,950 </w:t>
            </w:r>
          </w:p>
        </w:tc>
        <w:tc>
          <w:tcPr>
            <w:tcW w:w="990" w:type="dxa"/>
            <w:tcBorders>
              <w:top w:val="nil"/>
              <w:left w:val="nil"/>
              <w:bottom w:val="nil"/>
              <w:right w:val="nil"/>
              <w:tl2br w:val="nil"/>
              <w:tr2bl w:val="nil"/>
            </w:tcBorders>
            <w:shd w:val="clear" w:color="auto" w:fill="C0C0C0"/>
            <w:tcMar>
              <w:left w:w="115" w:type="dxa"/>
              <w:right w:w="115" w:type="dxa"/>
            </w:tcMar>
            <w:vAlign w:val="bottom"/>
          </w:tcPr>
          <w:p w14:paraId="08FC8F4A" w14:textId="77777777" w:rsidR="003F0EEA" w:rsidRPr="0068091F" w:rsidRDefault="00FB7D0B">
            <w:pPr>
              <w:jc w:val="right"/>
              <w:rPr>
                <w:rFonts w:ascii="Arial" w:eastAsia="Arial" w:hAnsi="Arial" w:cs="Arial"/>
                <w:color w:val="000000"/>
                <w:sz w:val="16"/>
              </w:rPr>
            </w:pPr>
            <w:r w:rsidRPr="0068091F">
              <w:rPr>
                <w:rFonts w:ascii="Arial" w:eastAsia="Arial" w:hAnsi="Arial" w:cs="Arial"/>
                <w:color w:val="000000"/>
                <w:sz w:val="16"/>
              </w:rPr>
              <w:t xml:space="preserve"> 35,143 </w:t>
            </w:r>
          </w:p>
        </w:tc>
        <w:tc>
          <w:tcPr>
            <w:tcW w:w="990" w:type="dxa"/>
            <w:tcBorders>
              <w:top w:val="nil"/>
              <w:left w:val="nil"/>
              <w:bottom w:val="nil"/>
              <w:right w:val="nil"/>
              <w:tl2br w:val="nil"/>
              <w:tr2bl w:val="nil"/>
            </w:tcBorders>
            <w:shd w:val="clear" w:color="auto" w:fill="FFFFFF"/>
            <w:tcMar>
              <w:left w:w="115" w:type="dxa"/>
              <w:right w:w="115" w:type="dxa"/>
            </w:tcMar>
            <w:vAlign w:val="bottom"/>
          </w:tcPr>
          <w:p w14:paraId="5C11C7D9" w14:textId="77777777" w:rsidR="003F0EEA" w:rsidRPr="0068091F" w:rsidRDefault="00FB7D0B">
            <w:pPr>
              <w:jc w:val="right"/>
              <w:rPr>
                <w:rFonts w:ascii="Arial" w:eastAsia="Arial" w:hAnsi="Arial" w:cs="Arial"/>
                <w:color w:val="000000"/>
                <w:sz w:val="16"/>
              </w:rPr>
            </w:pPr>
            <w:r w:rsidRPr="0068091F">
              <w:rPr>
                <w:rFonts w:ascii="Arial" w:eastAsia="Arial" w:hAnsi="Arial" w:cs="Arial"/>
                <w:color w:val="000000"/>
                <w:sz w:val="16"/>
              </w:rPr>
              <w:t xml:space="preserve"> 16,443 </w:t>
            </w:r>
          </w:p>
        </w:tc>
        <w:tc>
          <w:tcPr>
            <w:tcW w:w="990" w:type="dxa"/>
            <w:tcBorders>
              <w:top w:val="nil"/>
              <w:left w:val="nil"/>
              <w:bottom w:val="nil"/>
              <w:right w:val="nil"/>
              <w:tl2br w:val="nil"/>
              <w:tr2bl w:val="nil"/>
            </w:tcBorders>
            <w:shd w:val="clear" w:color="auto" w:fill="FFFFFF"/>
            <w:tcMar>
              <w:left w:w="115" w:type="dxa"/>
              <w:right w:w="115" w:type="dxa"/>
            </w:tcMar>
            <w:vAlign w:val="bottom"/>
          </w:tcPr>
          <w:p w14:paraId="312CB1FD" w14:textId="77777777" w:rsidR="003F0EEA" w:rsidRPr="0068091F" w:rsidRDefault="00FB7D0B">
            <w:pPr>
              <w:jc w:val="right"/>
              <w:rPr>
                <w:rFonts w:ascii="Arial" w:eastAsia="Arial" w:hAnsi="Arial" w:cs="Arial"/>
                <w:color w:val="000000"/>
                <w:sz w:val="16"/>
              </w:rPr>
            </w:pPr>
            <w:r w:rsidRPr="0068091F">
              <w:rPr>
                <w:rFonts w:ascii="Arial" w:eastAsia="Arial" w:hAnsi="Arial" w:cs="Arial"/>
                <w:color w:val="000000"/>
                <w:sz w:val="16"/>
              </w:rPr>
              <w:t xml:space="preserve"> 16,453 </w:t>
            </w:r>
          </w:p>
        </w:tc>
        <w:tc>
          <w:tcPr>
            <w:tcW w:w="990" w:type="dxa"/>
            <w:tcBorders>
              <w:top w:val="nil"/>
              <w:left w:val="nil"/>
              <w:bottom w:val="nil"/>
              <w:right w:val="nil"/>
              <w:tl2br w:val="nil"/>
              <w:tr2bl w:val="nil"/>
            </w:tcBorders>
            <w:shd w:val="clear" w:color="auto" w:fill="FFFFFF"/>
            <w:tcMar>
              <w:left w:w="115" w:type="dxa"/>
              <w:right w:w="115" w:type="dxa"/>
            </w:tcMar>
            <w:vAlign w:val="bottom"/>
          </w:tcPr>
          <w:p w14:paraId="1AB50ECE" w14:textId="77777777" w:rsidR="003F0EEA" w:rsidRPr="0068091F" w:rsidRDefault="00FB7D0B">
            <w:pPr>
              <w:jc w:val="right"/>
              <w:rPr>
                <w:rFonts w:ascii="Arial" w:eastAsia="Arial" w:hAnsi="Arial" w:cs="Arial"/>
                <w:color w:val="000000"/>
                <w:sz w:val="16"/>
              </w:rPr>
            </w:pPr>
            <w:r w:rsidRPr="0068091F">
              <w:rPr>
                <w:rFonts w:ascii="Arial" w:eastAsia="Arial" w:hAnsi="Arial" w:cs="Arial"/>
                <w:color w:val="000000"/>
                <w:sz w:val="16"/>
              </w:rPr>
              <w:t xml:space="preserve"> 17,509 </w:t>
            </w:r>
          </w:p>
        </w:tc>
      </w:tr>
      <w:tr w:rsidR="00724034" w14:paraId="66993F4C" w14:textId="77777777">
        <w:trPr>
          <w:gridAfter w:val="1"/>
          <w:wAfter w:w="900" w:type="dxa"/>
          <w:trHeight w:val="225"/>
        </w:trPr>
        <w:tc>
          <w:tcPr>
            <w:tcW w:w="180" w:type="dxa"/>
            <w:tcBorders>
              <w:top w:val="nil"/>
              <w:left w:val="nil"/>
              <w:bottom w:val="nil"/>
              <w:right w:val="nil"/>
              <w:tl2br w:val="nil"/>
              <w:tr2bl w:val="nil"/>
            </w:tcBorders>
            <w:shd w:val="clear" w:color="auto" w:fill="FFFFFF"/>
            <w:tcMar>
              <w:left w:w="115" w:type="dxa"/>
              <w:right w:w="115" w:type="dxa"/>
            </w:tcMar>
            <w:vAlign w:val="bottom"/>
          </w:tcPr>
          <w:p w14:paraId="0775B278" w14:textId="77777777" w:rsidR="003F0EEA" w:rsidRPr="0068091F" w:rsidRDefault="003F0EEA">
            <w:pPr>
              <w:rPr>
                <w:rFonts w:ascii="Arial" w:eastAsia="Arial" w:hAnsi="Arial" w:cs="Arial"/>
                <w:color w:val="000000"/>
                <w:sz w:val="16"/>
              </w:rPr>
            </w:pPr>
          </w:p>
        </w:tc>
        <w:tc>
          <w:tcPr>
            <w:tcW w:w="180" w:type="dxa"/>
            <w:tcBorders>
              <w:top w:val="nil"/>
              <w:left w:val="nil"/>
              <w:bottom w:val="nil"/>
              <w:right w:val="nil"/>
              <w:tl2br w:val="nil"/>
              <w:tr2bl w:val="nil"/>
            </w:tcBorders>
            <w:shd w:val="clear" w:color="auto" w:fill="FFFFFF"/>
            <w:tcMar>
              <w:left w:w="115" w:type="dxa"/>
              <w:right w:w="115" w:type="dxa"/>
            </w:tcMar>
            <w:vAlign w:val="bottom"/>
          </w:tcPr>
          <w:p w14:paraId="494C6A14" w14:textId="77777777" w:rsidR="003F0EEA" w:rsidRPr="0068091F" w:rsidRDefault="003F0EEA">
            <w:pPr>
              <w:rPr>
                <w:rFonts w:ascii="Arial" w:eastAsia="Arial" w:hAnsi="Arial" w:cs="Arial"/>
                <w:color w:val="000000"/>
                <w:sz w:val="20"/>
              </w:rPr>
            </w:pPr>
          </w:p>
        </w:tc>
        <w:tc>
          <w:tcPr>
            <w:tcW w:w="3150" w:type="dxa"/>
            <w:tcBorders>
              <w:top w:val="nil"/>
              <w:left w:val="nil"/>
              <w:bottom w:val="nil"/>
              <w:right w:val="nil"/>
              <w:tl2br w:val="nil"/>
              <w:tr2bl w:val="nil"/>
            </w:tcBorders>
            <w:shd w:val="clear" w:color="auto" w:fill="FFFFFF"/>
            <w:tcMar>
              <w:left w:w="115" w:type="dxa"/>
              <w:right w:w="115" w:type="dxa"/>
            </w:tcMar>
            <w:vAlign w:val="bottom"/>
          </w:tcPr>
          <w:p w14:paraId="138E5BDB" w14:textId="77777777" w:rsidR="003F0EEA" w:rsidRPr="0068091F" w:rsidRDefault="00FB7D0B">
            <w:pPr>
              <w:rPr>
                <w:rFonts w:ascii="Arial" w:eastAsia="Arial" w:hAnsi="Arial" w:cs="Arial"/>
                <w:color w:val="000000"/>
                <w:sz w:val="16"/>
              </w:rPr>
            </w:pPr>
            <w:r w:rsidRPr="0068091F">
              <w:rPr>
                <w:rFonts w:ascii="Arial" w:eastAsia="Arial" w:hAnsi="Arial" w:cs="Arial"/>
                <w:color w:val="000000"/>
                <w:sz w:val="16"/>
              </w:rPr>
              <w:t>less Gifted assets</w:t>
            </w:r>
          </w:p>
        </w:tc>
        <w:tc>
          <w:tcPr>
            <w:tcW w:w="990"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5766AB30" w14:textId="77777777" w:rsidR="003F0EEA" w:rsidRPr="0068091F" w:rsidRDefault="00FB7D0B">
            <w:pPr>
              <w:jc w:val="right"/>
              <w:rPr>
                <w:rFonts w:ascii="Arial" w:eastAsia="Arial" w:hAnsi="Arial" w:cs="Arial"/>
                <w:color w:val="000000"/>
                <w:sz w:val="16"/>
                <w:vertAlign w:val="superscript"/>
              </w:rPr>
            </w:pPr>
            <w:r w:rsidRPr="0068091F">
              <w:rPr>
                <w:rFonts w:ascii="Arial" w:eastAsia="Arial" w:hAnsi="Arial" w:cs="Arial"/>
                <w:color w:val="000000"/>
                <w:sz w:val="16"/>
              </w:rPr>
              <w:t>(300)</w:t>
            </w:r>
          </w:p>
        </w:tc>
        <w:tc>
          <w:tcPr>
            <w:tcW w:w="990" w:type="dxa"/>
            <w:tcBorders>
              <w:top w:val="nil"/>
              <w:left w:val="nil"/>
              <w:bottom w:val="single" w:sz="6" w:space="0" w:color="000000"/>
              <w:right w:val="nil"/>
              <w:tl2br w:val="nil"/>
              <w:tr2bl w:val="nil"/>
            </w:tcBorders>
            <w:shd w:val="clear" w:color="auto" w:fill="C0C0C0"/>
            <w:tcMar>
              <w:left w:w="115" w:type="dxa"/>
              <w:right w:w="115" w:type="dxa"/>
            </w:tcMar>
            <w:vAlign w:val="bottom"/>
          </w:tcPr>
          <w:p w14:paraId="18C226FB" w14:textId="77777777" w:rsidR="003F0EEA" w:rsidRPr="0068091F" w:rsidRDefault="00FB7D0B">
            <w:pPr>
              <w:jc w:val="right"/>
              <w:rPr>
                <w:rFonts w:ascii="Arial" w:eastAsia="Arial" w:hAnsi="Arial" w:cs="Arial"/>
                <w:color w:val="000000"/>
                <w:sz w:val="16"/>
              </w:rPr>
            </w:pPr>
            <w:r w:rsidRPr="0068091F">
              <w:rPr>
                <w:rFonts w:ascii="Arial" w:eastAsia="Arial" w:hAnsi="Arial" w:cs="Arial"/>
                <w:color w:val="000000"/>
                <w:sz w:val="16"/>
              </w:rPr>
              <w:t>(300)</w:t>
            </w:r>
          </w:p>
        </w:tc>
        <w:tc>
          <w:tcPr>
            <w:tcW w:w="990"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6B5E3D27" w14:textId="77777777" w:rsidR="003F0EEA" w:rsidRPr="0068091F" w:rsidRDefault="00FB7D0B">
            <w:pPr>
              <w:jc w:val="right"/>
              <w:rPr>
                <w:rFonts w:ascii="Arial" w:eastAsia="Arial" w:hAnsi="Arial" w:cs="Arial"/>
                <w:color w:val="000000"/>
                <w:sz w:val="16"/>
              </w:rPr>
            </w:pPr>
            <w:r w:rsidRPr="0068091F">
              <w:rPr>
                <w:rFonts w:ascii="Arial" w:eastAsia="Arial" w:hAnsi="Arial" w:cs="Arial"/>
                <w:color w:val="000000"/>
                <w:sz w:val="16"/>
              </w:rPr>
              <w:t>(300)</w:t>
            </w:r>
          </w:p>
        </w:tc>
        <w:tc>
          <w:tcPr>
            <w:tcW w:w="990"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195CF66F" w14:textId="77777777" w:rsidR="003F0EEA" w:rsidRPr="0068091F" w:rsidRDefault="00FB7D0B">
            <w:pPr>
              <w:jc w:val="right"/>
              <w:rPr>
                <w:rFonts w:ascii="Arial" w:eastAsia="Arial" w:hAnsi="Arial" w:cs="Arial"/>
                <w:color w:val="000000"/>
                <w:sz w:val="16"/>
              </w:rPr>
            </w:pPr>
            <w:r w:rsidRPr="0068091F">
              <w:rPr>
                <w:rFonts w:ascii="Arial" w:eastAsia="Arial" w:hAnsi="Arial" w:cs="Arial"/>
                <w:color w:val="000000"/>
                <w:sz w:val="16"/>
              </w:rPr>
              <w:t>(300)</w:t>
            </w:r>
          </w:p>
        </w:tc>
        <w:tc>
          <w:tcPr>
            <w:tcW w:w="990"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1E66BE24" w14:textId="77777777" w:rsidR="003F0EEA" w:rsidRPr="0068091F" w:rsidRDefault="00FB7D0B">
            <w:pPr>
              <w:jc w:val="right"/>
              <w:rPr>
                <w:rFonts w:ascii="Arial" w:eastAsia="Arial" w:hAnsi="Arial" w:cs="Arial"/>
                <w:color w:val="000000"/>
                <w:sz w:val="16"/>
              </w:rPr>
            </w:pPr>
            <w:r w:rsidRPr="0068091F">
              <w:rPr>
                <w:rFonts w:ascii="Arial" w:eastAsia="Arial" w:hAnsi="Arial" w:cs="Arial"/>
                <w:color w:val="000000"/>
                <w:sz w:val="16"/>
              </w:rPr>
              <w:t>(300)</w:t>
            </w:r>
          </w:p>
        </w:tc>
      </w:tr>
      <w:tr w:rsidR="00355BFE" w14:paraId="0E111162" w14:textId="77777777" w:rsidTr="00355BFE">
        <w:trPr>
          <w:gridAfter w:val="1"/>
          <w:wAfter w:w="900" w:type="dxa"/>
          <w:trHeight w:val="225"/>
        </w:trPr>
        <w:tc>
          <w:tcPr>
            <w:tcW w:w="180" w:type="dxa"/>
            <w:tcBorders>
              <w:top w:val="nil"/>
              <w:left w:val="nil"/>
              <w:bottom w:val="nil"/>
              <w:right w:val="nil"/>
              <w:tl2br w:val="nil"/>
              <w:tr2bl w:val="nil"/>
            </w:tcBorders>
            <w:shd w:val="clear" w:color="auto" w:fill="FFFFFF"/>
            <w:tcMar>
              <w:left w:w="115" w:type="dxa"/>
              <w:right w:w="115" w:type="dxa"/>
            </w:tcMar>
            <w:vAlign w:val="bottom"/>
          </w:tcPr>
          <w:p w14:paraId="201E26BF" w14:textId="77777777" w:rsidR="003F0EEA" w:rsidRPr="0068091F" w:rsidRDefault="003F0EEA">
            <w:pPr>
              <w:rPr>
                <w:rFonts w:ascii="Arial" w:eastAsia="Arial" w:hAnsi="Arial" w:cs="Arial"/>
                <w:color w:val="000000"/>
                <w:sz w:val="16"/>
              </w:rPr>
            </w:pPr>
          </w:p>
        </w:tc>
        <w:tc>
          <w:tcPr>
            <w:tcW w:w="3330" w:type="dxa"/>
            <w:gridSpan w:val="2"/>
            <w:tcBorders>
              <w:top w:val="nil"/>
              <w:left w:val="nil"/>
              <w:bottom w:val="nil"/>
              <w:right w:val="nil"/>
              <w:tl2br w:val="nil"/>
              <w:tr2bl w:val="nil"/>
            </w:tcBorders>
            <w:shd w:val="clear" w:color="auto" w:fill="FFFFFF"/>
            <w:tcMar>
              <w:left w:w="115" w:type="dxa"/>
              <w:right w:w="115" w:type="dxa"/>
            </w:tcMar>
            <w:vAlign w:val="bottom"/>
          </w:tcPr>
          <w:p w14:paraId="3FC12296" w14:textId="77777777" w:rsidR="003F0EEA" w:rsidRPr="0068091F" w:rsidRDefault="00FB7D0B">
            <w:pPr>
              <w:rPr>
                <w:rFonts w:ascii="Arial" w:eastAsia="Arial" w:hAnsi="Arial" w:cs="Arial"/>
                <w:color w:val="000000"/>
                <w:sz w:val="20"/>
              </w:rPr>
            </w:pPr>
            <w:r w:rsidRPr="0068091F">
              <w:rPr>
                <w:rFonts w:ascii="Arial" w:eastAsia="Arial" w:hAnsi="Arial" w:cs="Arial"/>
                <w:b/>
                <w:color w:val="000000"/>
                <w:sz w:val="16"/>
              </w:rPr>
              <w:t>Total cash used to</w:t>
            </w:r>
          </w:p>
        </w:tc>
        <w:tc>
          <w:tcPr>
            <w:tcW w:w="990"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6F58ACFB" w14:textId="77777777" w:rsidR="003F0EEA" w:rsidRPr="0068091F" w:rsidRDefault="003F0EEA">
            <w:pPr>
              <w:rPr>
                <w:rFonts w:ascii="Arial" w:eastAsia="Arial" w:hAnsi="Arial" w:cs="Arial"/>
                <w:color w:val="000000"/>
                <w:sz w:val="16"/>
                <w:vertAlign w:val="superscript"/>
              </w:rPr>
            </w:pPr>
          </w:p>
        </w:tc>
        <w:tc>
          <w:tcPr>
            <w:tcW w:w="990" w:type="dxa"/>
            <w:tcBorders>
              <w:top w:val="single" w:sz="6" w:space="0" w:color="000000"/>
              <w:left w:val="nil"/>
              <w:bottom w:val="nil"/>
              <w:right w:val="nil"/>
              <w:tl2br w:val="nil"/>
              <w:tr2bl w:val="nil"/>
            </w:tcBorders>
            <w:shd w:val="clear" w:color="auto" w:fill="C0C0C0"/>
            <w:tcMar>
              <w:left w:w="115" w:type="dxa"/>
              <w:right w:w="115" w:type="dxa"/>
            </w:tcMar>
            <w:vAlign w:val="bottom"/>
          </w:tcPr>
          <w:p w14:paraId="37F106E1" w14:textId="77777777" w:rsidR="003F0EEA" w:rsidRPr="0068091F" w:rsidRDefault="003F0EEA">
            <w:pPr>
              <w:rPr>
                <w:rFonts w:ascii="Arial" w:eastAsia="Arial" w:hAnsi="Arial" w:cs="Arial"/>
                <w:color w:val="000000"/>
                <w:sz w:val="20"/>
                <w:vertAlign w:val="superscript"/>
              </w:rPr>
            </w:pPr>
          </w:p>
        </w:tc>
        <w:tc>
          <w:tcPr>
            <w:tcW w:w="990"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34A1BC95" w14:textId="77777777" w:rsidR="003F0EEA" w:rsidRPr="0068091F" w:rsidRDefault="003F0EEA">
            <w:pPr>
              <w:rPr>
                <w:rFonts w:ascii="Arial" w:eastAsia="Arial" w:hAnsi="Arial" w:cs="Arial"/>
                <w:color w:val="000000"/>
                <w:sz w:val="20"/>
                <w:vertAlign w:val="superscript"/>
              </w:rPr>
            </w:pPr>
          </w:p>
        </w:tc>
        <w:tc>
          <w:tcPr>
            <w:tcW w:w="990"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3BCC679C" w14:textId="77777777" w:rsidR="003F0EEA" w:rsidRPr="0068091F" w:rsidRDefault="003F0EEA">
            <w:pPr>
              <w:rPr>
                <w:rFonts w:ascii="Arial" w:eastAsia="Arial" w:hAnsi="Arial" w:cs="Arial"/>
                <w:color w:val="000000"/>
                <w:sz w:val="20"/>
                <w:vertAlign w:val="superscript"/>
              </w:rPr>
            </w:pPr>
          </w:p>
        </w:tc>
        <w:tc>
          <w:tcPr>
            <w:tcW w:w="990"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2BAFB074" w14:textId="77777777" w:rsidR="003F0EEA" w:rsidRPr="0068091F" w:rsidRDefault="003F0EEA">
            <w:pPr>
              <w:rPr>
                <w:rFonts w:ascii="Arial" w:eastAsia="Arial" w:hAnsi="Arial" w:cs="Arial"/>
                <w:color w:val="000000"/>
                <w:sz w:val="20"/>
                <w:vertAlign w:val="superscript"/>
              </w:rPr>
            </w:pPr>
          </w:p>
        </w:tc>
      </w:tr>
      <w:tr w:rsidR="00724034" w14:paraId="47DA4977" w14:textId="77777777">
        <w:trPr>
          <w:gridAfter w:val="1"/>
          <w:wAfter w:w="900" w:type="dxa"/>
          <w:trHeight w:val="225"/>
        </w:trPr>
        <w:tc>
          <w:tcPr>
            <w:tcW w:w="180"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3FD49BC4" w14:textId="77777777" w:rsidR="003F0EEA" w:rsidRPr="0068091F" w:rsidRDefault="003F0EEA">
            <w:pPr>
              <w:rPr>
                <w:rFonts w:ascii="Arial" w:eastAsia="Arial" w:hAnsi="Arial" w:cs="Arial"/>
                <w:color w:val="000000"/>
                <w:sz w:val="20"/>
                <w:vertAlign w:val="superscript"/>
              </w:rPr>
            </w:pPr>
          </w:p>
        </w:tc>
        <w:tc>
          <w:tcPr>
            <w:tcW w:w="180"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5A688CC3" w14:textId="77777777" w:rsidR="003F0EEA" w:rsidRPr="0068091F" w:rsidRDefault="003F0EEA">
            <w:pPr>
              <w:rPr>
                <w:rFonts w:ascii="Arial" w:eastAsia="Arial" w:hAnsi="Arial" w:cs="Arial"/>
                <w:color w:val="000000"/>
                <w:sz w:val="20"/>
                <w:vertAlign w:val="superscript"/>
              </w:rPr>
            </w:pPr>
          </w:p>
        </w:tc>
        <w:tc>
          <w:tcPr>
            <w:tcW w:w="3150"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77ECF784" w14:textId="77777777" w:rsidR="003F0EEA" w:rsidRPr="0068091F" w:rsidRDefault="00FB7D0B">
            <w:pPr>
              <w:rPr>
                <w:rFonts w:ascii="Arial" w:eastAsia="Arial" w:hAnsi="Arial" w:cs="Arial"/>
                <w:color w:val="000000"/>
                <w:sz w:val="20"/>
                <w:vertAlign w:val="superscript"/>
              </w:rPr>
            </w:pPr>
            <w:r w:rsidRPr="0068091F">
              <w:rPr>
                <w:rFonts w:ascii="Arial" w:eastAsia="Arial" w:hAnsi="Arial" w:cs="Arial"/>
                <w:b/>
                <w:color w:val="000000"/>
                <w:sz w:val="16"/>
              </w:rPr>
              <w:t>acquire assets</w:t>
            </w:r>
          </w:p>
        </w:tc>
        <w:tc>
          <w:tcPr>
            <w:tcW w:w="990"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58E08B9F" w14:textId="77777777" w:rsidR="003F0EEA" w:rsidRPr="0068091F" w:rsidRDefault="00FB7D0B">
            <w:pPr>
              <w:jc w:val="right"/>
              <w:rPr>
                <w:rFonts w:ascii="Arial" w:eastAsia="Arial" w:hAnsi="Arial" w:cs="Arial"/>
                <w:color w:val="000000"/>
                <w:sz w:val="16"/>
                <w:vertAlign w:val="superscript"/>
              </w:rPr>
            </w:pPr>
            <w:r w:rsidRPr="0068091F">
              <w:rPr>
                <w:rFonts w:ascii="Arial" w:eastAsia="Arial" w:hAnsi="Arial" w:cs="Arial"/>
                <w:b/>
                <w:color w:val="000000"/>
                <w:sz w:val="16"/>
              </w:rPr>
              <w:t xml:space="preserve"> 28,650 </w:t>
            </w:r>
          </w:p>
        </w:tc>
        <w:tc>
          <w:tcPr>
            <w:tcW w:w="990" w:type="dxa"/>
            <w:tcBorders>
              <w:top w:val="nil"/>
              <w:left w:val="nil"/>
              <w:bottom w:val="single" w:sz="6" w:space="0" w:color="000000"/>
              <w:right w:val="nil"/>
              <w:tl2br w:val="nil"/>
              <w:tr2bl w:val="nil"/>
            </w:tcBorders>
            <w:shd w:val="clear" w:color="auto" w:fill="C0C0C0"/>
            <w:tcMar>
              <w:left w:w="115" w:type="dxa"/>
              <w:right w:w="115" w:type="dxa"/>
            </w:tcMar>
            <w:vAlign w:val="bottom"/>
          </w:tcPr>
          <w:p w14:paraId="39593897" w14:textId="77777777" w:rsidR="003F0EEA" w:rsidRPr="0068091F" w:rsidRDefault="00FB7D0B">
            <w:pPr>
              <w:jc w:val="right"/>
              <w:rPr>
                <w:rFonts w:ascii="Arial" w:eastAsia="Arial" w:hAnsi="Arial" w:cs="Arial"/>
                <w:b/>
                <w:color w:val="000000"/>
                <w:sz w:val="16"/>
              </w:rPr>
            </w:pPr>
            <w:r w:rsidRPr="0068091F">
              <w:rPr>
                <w:rFonts w:ascii="Arial" w:eastAsia="Arial" w:hAnsi="Arial" w:cs="Arial"/>
                <w:b/>
                <w:color w:val="000000"/>
                <w:sz w:val="16"/>
              </w:rPr>
              <w:t xml:space="preserve"> 34,843 </w:t>
            </w:r>
          </w:p>
        </w:tc>
        <w:tc>
          <w:tcPr>
            <w:tcW w:w="990"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2EDCCCED" w14:textId="77777777" w:rsidR="003F0EEA" w:rsidRPr="0068091F" w:rsidRDefault="00FB7D0B">
            <w:pPr>
              <w:jc w:val="right"/>
              <w:rPr>
                <w:rFonts w:ascii="Arial" w:eastAsia="Arial" w:hAnsi="Arial" w:cs="Arial"/>
                <w:b/>
                <w:color w:val="000000"/>
                <w:sz w:val="16"/>
              </w:rPr>
            </w:pPr>
            <w:r w:rsidRPr="0068091F">
              <w:rPr>
                <w:rFonts w:ascii="Arial" w:eastAsia="Arial" w:hAnsi="Arial" w:cs="Arial"/>
                <w:b/>
                <w:color w:val="000000"/>
                <w:sz w:val="16"/>
              </w:rPr>
              <w:t xml:space="preserve"> 16,143 </w:t>
            </w:r>
          </w:p>
        </w:tc>
        <w:tc>
          <w:tcPr>
            <w:tcW w:w="990"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67AE724B" w14:textId="77777777" w:rsidR="003F0EEA" w:rsidRPr="0068091F" w:rsidRDefault="00FB7D0B">
            <w:pPr>
              <w:jc w:val="right"/>
              <w:rPr>
                <w:rFonts w:ascii="Arial" w:eastAsia="Arial" w:hAnsi="Arial" w:cs="Arial"/>
                <w:b/>
                <w:color w:val="000000"/>
                <w:sz w:val="16"/>
              </w:rPr>
            </w:pPr>
            <w:r w:rsidRPr="0068091F">
              <w:rPr>
                <w:rFonts w:ascii="Arial" w:eastAsia="Arial" w:hAnsi="Arial" w:cs="Arial"/>
                <w:b/>
                <w:color w:val="000000"/>
                <w:sz w:val="16"/>
              </w:rPr>
              <w:t xml:space="preserve"> 16,153 </w:t>
            </w:r>
          </w:p>
        </w:tc>
        <w:tc>
          <w:tcPr>
            <w:tcW w:w="990"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2A638B0D" w14:textId="77777777" w:rsidR="003F0EEA" w:rsidRPr="0068091F" w:rsidRDefault="00FB7D0B">
            <w:pPr>
              <w:jc w:val="right"/>
              <w:rPr>
                <w:rFonts w:ascii="Arial" w:eastAsia="Arial" w:hAnsi="Arial" w:cs="Arial"/>
                <w:b/>
                <w:color w:val="000000"/>
                <w:sz w:val="16"/>
              </w:rPr>
            </w:pPr>
            <w:r w:rsidRPr="0068091F">
              <w:rPr>
                <w:rFonts w:ascii="Arial" w:eastAsia="Arial" w:hAnsi="Arial" w:cs="Arial"/>
                <w:b/>
                <w:color w:val="000000"/>
                <w:sz w:val="16"/>
              </w:rPr>
              <w:t xml:space="preserve"> 17,209 </w:t>
            </w:r>
          </w:p>
        </w:tc>
      </w:tr>
      <w:tr w:rsidR="00724034" w14:paraId="0ABF9C00" w14:textId="77777777" w:rsidTr="003F0E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4"/>
        </w:trPr>
        <w:tc>
          <w:tcPr>
            <w:tcW w:w="9360" w:type="dxa"/>
            <w:gridSpan w:val="9"/>
            <w:noWrap/>
            <w:vAlign w:val="bottom"/>
          </w:tcPr>
          <w:p w14:paraId="1C41289C" w14:textId="77777777" w:rsidR="003F0EEA" w:rsidRDefault="00FB7D0B">
            <w:pPr>
              <w:pStyle w:val="Normal256"/>
              <w:spacing w:after="0" w:line="240" w:lineRule="auto"/>
              <w:jc w:val="left"/>
              <w:rPr>
                <w:rFonts w:ascii="Arial" w:hAnsi="Arial" w:cs="Arial"/>
                <w:sz w:val="16"/>
                <w:szCs w:val="16"/>
              </w:rPr>
            </w:pPr>
            <w:r>
              <w:rPr>
                <w:rFonts w:ascii="Arial" w:hAnsi="Arial" w:cs="Arial"/>
                <w:sz w:val="16"/>
                <w:szCs w:val="16"/>
                <w:vertAlign w:val="superscript"/>
              </w:rPr>
              <w:t>1</w:t>
            </w:r>
            <w:r>
              <w:rPr>
                <w:rFonts w:ascii="Arial" w:hAnsi="Arial" w:cs="Arial"/>
                <w:sz w:val="16"/>
                <w:szCs w:val="16"/>
              </w:rPr>
              <w:t xml:space="preserve"> Includes both current Bill 2 and prior Act 2/4/6 appropriations and special capital appropriations</w:t>
            </w:r>
          </w:p>
        </w:tc>
      </w:tr>
      <w:tr w:rsidR="00724034" w14:paraId="1E5B60EE" w14:textId="77777777" w:rsidTr="003F0E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4"/>
        </w:trPr>
        <w:tc>
          <w:tcPr>
            <w:tcW w:w="9360" w:type="dxa"/>
            <w:gridSpan w:val="9"/>
            <w:noWrap/>
            <w:vAlign w:val="bottom"/>
          </w:tcPr>
          <w:p w14:paraId="73D06FBB" w14:textId="77777777" w:rsidR="003F0EEA" w:rsidRDefault="00FB7D0B">
            <w:pPr>
              <w:pStyle w:val="Normal256"/>
              <w:spacing w:after="0" w:line="240" w:lineRule="auto"/>
              <w:jc w:val="left"/>
              <w:rPr>
                <w:rFonts w:ascii="Arial" w:hAnsi="Arial" w:cs="Arial"/>
                <w:sz w:val="16"/>
                <w:szCs w:val="16"/>
              </w:rPr>
            </w:pPr>
            <w:r>
              <w:rPr>
                <w:rFonts w:ascii="Arial" w:hAnsi="Arial" w:cs="Arial"/>
                <w:sz w:val="16"/>
                <w:szCs w:val="16"/>
                <w:vertAlign w:val="superscript"/>
              </w:rPr>
              <w:t>2</w:t>
            </w:r>
            <w:r>
              <w:rPr>
                <w:rFonts w:ascii="Arial" w:hAnsi="Arial" w:cs="Arial"/>
                <w:sz w:val="16"/>
                <w:szCs w:val="16"/>
              </w:rPr>
              <w:t xml:space="preserve"> Includes the following sources of funding:</w:t>
            </w:r>
          </w:p>
        </w:tc>
      </w:tr>
      <w:tr w:rsidR="00724034" w14:paraId="191744DB" w14:textId="77777777" w:rsidTr="003F0E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4"/>
        </w:trPr>
        <w:tc>
          <w:tcPr>
            <w:tcW w:w="9360" w:type="dxa"/>
            <w:gridSpan w:val="9"/>
            <w:noWrap/>
            <w:vAlign w:val="bottom"/>
          </w:tcPr>
          <w:p w14:paraId="32A25803" w14:textId="77777777" w:rsidR="003F0EEA" w:rsidRDefault="00FB7D0B">
            <w:pPr>
              <w:pStyle w:val="Normal256"/>
              <w:spacing w:after="0" w:line="240" w:lineRule="auto"/>
              <w:jc w:val="left"/>
              <w:rPr>
                <w:rFonts w:ascii="Arial" w:hAnsi="Arial" w:cs="Arial"/>
                <w:sz w:val="16"/>
                <w:szCs w:val="16"/>
              </w:rPr>
            </w:pPr>
            <w:r>
              <w:rPr>
                <w:rFonts w:ascii="Arial" w:hAnsi="Arial" w:cs="Arial"/>
                <w:sz w:val="16"/>
                <w:szCs w:val="16"/>
              </w:rPr>
              <w:t xml:space="preserve">   - current Bill 1 and prior year Act 1/3/5 appropriations (excluding amounts from the DCB).</w:t>
            </w:r>
          </w:p>
        </w:tc>
      </w:tr>
      <w:tr w:rsidR="00724034" w14:paraId="5C48F7D9" w14:textId="77777777" w:rsidTr="003F0E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4"/>
        </w:trPr>
        <w:tc>
          <w:tcPr>
            <w:tcW w:w="9360" w:type="dxa"/>
            <w:gridSpan w:val="9"/>
            <w:noWrap/>
            <w:vAlign w:val="bottom"/>
          </w:tcPr>
          <w:p w14:paraId="2CB95043" w14:textId="77777777" w:rsidR="003F0EEA" w:rsidRDefault="00FB7D0B">
            <w:pPr>
              <w:pStyle w:val="Normal256"/>
              <w:spacing w:after="0" w:line="240" w:lineRule="auto"/>
              <w:jc w:val="left"/>
              <w:rPr>
                <w:rFonts w:ascii="Arial" w:hAnsi="Arial" w:cs="Arial"/>
                <w:sz w:val="16"/>
                <w:szCs w:val="16"/>
              </w:rPr>
            </w:pPr>
            <w:r>
              <w:rPr>
                <w:rFonts w:ascii="Arial" w:hAnsi="Arial" w:cs="Arial"/>
                <w:sz w:val="16"/>
                <w:szCs w:val="16"/>
              </w:rPr>
              <w:t xml:space="preserve">   - donations and contributions</w:t>
            </w:r>
          </w:p>
        </w:tc>
      </w:tr>
      <w:tr w:rsidR="00724034" w14:paraId="572E7FA2" w14:textId="77777777" w:rsidTr="003F0E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4"/>
        </w:trPr>
        <w:tc>
          <w:tcPr>
            <w:tcW w:w="9360" w:type="dxa"/>
            <w:gridSpan w:val="9"/>
            <w:noWrap/>
            <w:vAlign w:val="bottom"/>
          </w:tcPr>
          <w:p w14:paraId="7659340B" w14:textId="77777777" w:rsidR="003F0EEA" w:rsidRDefault="00FB7D0B">
            <w:pPr>
              <w:pStyle w:val="Normal256"/>
              <w:spacing w:after="0" w:line="240" w:lineRule="auto"/>
              <w:jc w:val="left"/>
              <w:rPr>
                <w:rFonts w:ascii="Arial" w:hAnsi="Arial" w:cs="Arial"/>
                <w:sz w:val="16"/>
                <w:szCs w:val="16"/>
              </w:rPr>
            </w:pPr>
            <w:r>
              <w:rPr>
                <w:rFonts w:ascii="Arial" w:hAnsi="Arial" w:cs="Arial"/>
                <w:sz w:val="16"/>
                <w:szCs w:val="16"/>
              </w:rPr>
              <w:t xml:space="preserve">   - gifts</w:t>
            </w:r>
          </w:p>
        </w:tc>
      </w:tr>
      <w:tr w:rsidR="00724034" w14:paraId="03B12314" w14:textId="77777777" w:rsidTr="003F0E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4"/>
        </w:trPr>
        <w:tc>
          <w:tcPr>
            <w:tcW w:w="9360" w:type="dxa"/>
            <w:gridSpan w:val="9"/>
            <w:noWrap/>
            <w:vAlign w:val="bottom"/>
          </w:tcPr>
          <w:p w14:paraId="2DE34A96" w14:textId="77777777" w:rsidR="003F0EEA" w:rsidRDefault="00FB7D0B">
            <w:pPr>
              <w:pStyle w:val="Normal256"/>
              <w:spacing w:after="0" w:line="240" w:lineRule="auto"/>
              <w:jc w:val="left"/>
              <w:rPr>
                <w:rFonts w:ascii="Arial" w:hAnsi="Arial" w:cs="Arial"/>
                <w:sz w:val="16"/>
                <w:szCs w:val="16"/>
              </w:rPr>
            </w:pPr>
            <w:r>
              <w:rPr>
                <w:rFonts w:ascii="Arial" w:hAnsi="Arial" w:cs="Arial"/>
                <w:sz w:val="16"/>
                <w:szCs w:val="16"/>
              </w:rPr>
              <w:t xml:space="preserve">   - internally developed assets</w:t>
            </w:r>
          </w:p>
        </w:tc>
      </w:tr>
      <w:tr w:rsidR="00724034" w14:paraId="0ECFA8B7" w14:textId="77777777" w:rsidTr="003F0E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4"/>
        </w:trPr>
        <w:tc>
          <w:tcPr>
            <w:tcW w:w="9360" w:type="dxa"/>
            <w:gridSpan w:val="9"/>
            <w:noWrap/>
            <w:vAlign w:val="bottom"/>
          </w:tcPr>
          <w:p w14:paraId="3D9B6DCA" w14:textId="77777777" w:rsidR="003F0EEA" w:rsidRDefault="00FB7D0B">
            <w:pPr>
              <w:pStyle w:val="Normal256"/>
              <w:spacing w:after="0" w:line="240" w:lineRule="auto"/>
              <w:jc w:val="left"/>
              <w:rPr>
                <w:rFonts w:ascii="Arial" w:hAnsi="Arial" w:cs="Arial"/>
                <w:sz w:val="16"/>
                <w:szCs w:val="16"/>
              </w:rPr>
            </w:pPr>
            <w:r>
              <w:rPr>
                <w:rFonts w:ascii="Arial" w:hAnsi="Arial" w:cs="Arial"/>
                <w:sz w:val="16"/>
                <w:szCs w:val="16"/>
                <w:vertAlign w:val="superscript"/>
              </w:rPr>
              <w:t>3</w:t>
            </w:r>
            <w:r>
              <w:rPr>
                <w:rFonts w:ascii="Arial" w:hAnsi="Arial" w:cs="Arial"/>
                <w:sz w:val="16"/>
                <w:szCs w:val="16"/>
              </w:rPr>
              <w:t xml:space="preserve"> A movement of capital expenditure for the redevelopment of the First World War Galleries, has been approved </w:t>
            </w:r>
            <w:r>
              <w:rPr>
                <w:rFonts w:ascii="Arial" w:hAnsi="Arial" w:cs="Arial"/>
                <w:sz w:val="16"/>
                <w:szCs w:val="16"/>
              </w:rPr>
              <w:br/>
              <w:t>by the Minister for Finance</w:t>
            </w:r>
          </w:p>
        </w:tc>
      </w:tr>
    </w:tbl>
    <w:p w14:paraId="4F882F26" w14:textId="77777777" w:rsidR="003F0EEA" w:rsidRDefault="003F0EEA" w:rsidP="003F0EEA">
      <w:pPr>
        <w:pStyle w:val="Source22"/>
        <w:rPr>
          <w:rFonts w:cs="Arial"/>
        </w:rPr>
      </w:pPr>
    </w:p>
    <w:p w14:paraId="3685A743" w14:textId="77777777" w:rsidR="003F0EEA" w:rsidRDefault="003F0EEA" w:rsidP="003F0EEA">
      <w:pPr>
        <w:pStyle w:val="Source22"/>
        <w:rPr>
          <w:rFonts w:cs="Arial"/>
        </w:rPr>
      </w:pPr>
    </w:p>
    <w:p w14:paraId="406E82BE" w14:textId="77777777" w:rsidR="003F0EEA" w:rsidRDefault="003F0EEA" w:rsidP="003F0EEA">
      <w:pPr>
        <w:pStyle w:val="Source22"/>
        <w:rPr>
          <w:rFonts w:cs="Arial"/>
        </w:rPr>
      </w:pPr>
    </w:p>
    <w:p w14:paraId="6A9A7ED9" w14:textId="77777777" w:rsidR="003F0EEA" w:rsidRPr="00182DF8" w:rsidRDefault="00FB7D0B" w:rsidP="003F0EEA">
      <w:pPr>
        <w:pStyle w:val="Source22"/>
      </w:pPr>
      <w:r>
        <w:rPr>
          <w:rFonts w:cs="Arial"/>
        </w:rPr>
        <w:t>Prepared on Australian Accounting Standards basis</w:t>
      </w:r>
    </w:p>
    <w:p w14:paraId="44014424" w14:textId="77777777" w:rsidR="003F0EEA" w:rsidRPr="00182DF8" w:rsidRDefault="00FB7D0B">
      <w:pPr>
        <w:spacing w:line="14" w:lineRule="exact"/>
        <w:rPr>
          <w:rFonts w:eastAsia="Times New Roman" w:cs="Times New Roman"/>
        </w:rPr>
      </w:pPr>
      <w:r w:rsidRPr="00182DF8">
        <w:rPr>
          <w:rFonts w:eastAsia="Times New Roman" w:cs="Times New Roman"/>
        </w:rPr>
        <w:br w:type="page"/>
      </w:r>
    </w:p>
    <w:p w14:paraId="7F9FF5D6" w14:textId="77777777" w:rsidR="003F0EEA" w:rsidRPr="0068091F" w:rsidRDefault="00FB7D0B" w:rsidP="003F0EEA">
      <w:pPr>
        <w:pStyle w:val="Normal257"/>
        <w:spacing w:after="0"/>
        <w:jc w:val="left"/>
        <w:rPr>
          <w:rFonts w:ascii="Arial" w:hAnsi="Arial" w:cs="Arial"/>
          <w:b/>
        </w:rPr>
      </w:pPr>
      <w:r w:rsidRPr="00F253D4">
        <w:rPr>
          <w:rFonts w:ascii="Arial" w:hAnsi="Arial" w:cs="Arial"/>
          <w:b/>
        </w:rPr>
        <w:t>Table 3.2.6: Statement of Asset Movements (</w:t>
      </w:r>
      <w:r>
        <w:rPr>
          <w:rFonts w:ascii="Arial" w:hAnsi="Arial" w:cs="Arial"/>
          <w:b/>
        </w:rPr>
        <w:t>2014-15</w:t>
      </w:r>
      <w:r w:rsidRPr="00F253D4">
        <w:rPr>
          <w:rFonts w:ascii="Arial" w:hAnsi="Arial" w:cs="Arial"/>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0"/>
        <w:gridCol w:w="250"/>
        <w:gridCol w:w="2190"/>
        <w:gridCol w:w="810"/>
        <w:gridCol w:w="915"/>
        <w:gridCol w:w="1020"/>
        <w:gridCol w:w="1020"/>
        <w:gridCol w:w="1020"/>
        <w:gridCol w:w="1020"/>
      </w:tblGrid>
      <w:tr w:rsidR="00724034" w14:paraId="5FCF01DE" w14:textId="77777777">
        <w:trPr>
          <w:trHeight w:val="225"/>
        </w:trPr>
        <w:tc>
          <w:tcPr>
            <w:tcW w:w="180"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36A70E00" w14:textId="77777777" w:rsidR="003F0EEA" w:rsidRPr="0068091F" w:rsidRDefault="003F0EEA">
            <w:pPr>
              <w:rPr>
                <w:rFonts w:ascii="Arial" w:eastAsia="Times New Roman" w:hAnsi="Arial" w:cs="Arial"/>
                <w:b/>
              </w:rPr>
            </w:pPr>
          </w:p>
        </w:tc>
        <w:tc>
          <w:tcPr>
            <w:tcW w:w="180"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41D0E832" w14:textId="77777777" w:rsidR="003F0EEA" w:rsidRPr="0068091F" w:rsidRDefault="003F0EEA">
            <w:pPr>
              <w:rPr>
                <w:rFonts w:ascii="Arial" w:eastAsia="Arial" w:hAnsi="Arial" w:cs="Arial"/>
                <w:b/>
                <w:color w:val="000000"/>
                <w:sz w:val="16"/>
              </w:rPr>
            </w:pPr>
          </w:p>
        </w:tc>
        <w:tc>
          <w:tcPr>
            <w:tcW w:w="2190"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0668A9F9" w14:textId="77777777" w:rsidR="003F0EEA" w:rsidRPr="0068091F" w:rsidRDefault="003F0EEA">
            <w:pPr>
              <w:rPr>
                <w:rFonts w:ascii="Arial" w:eastAsia="Arial" w:hAnsi="Arial" w:cs="Arial"/>
                <w:b/>
                <w:color w:val="000000"/>
                <w:sz w:val="16"/>
              </w:rPr>
            </w:pPr>
          </w:p>
        </w:tc>
        <w:tc>
          <w:tcPr>
            <w:tcW w:w="810"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784D66D5" w14:textId="77777777" w:rsidR="003F0EEA" w:rsidRPr="0068091F" w:rsidRDefault="00FB7D0B">
            <w:pPr>
              <w:jc w:val="right"/>
              <w:rPr>
                <w:rFonts w:ascii="Arial" w:eastAsia="Arial" w:hAnsi="Arial" w:cs="Arial"/>
                <w:b/>
                <w:color w:val="000000"/>
                <w:sz w:val="16"/>
                <w:vertAlign w:val="superscript"/>
              </w:rPr>
            </w:pPr>
            <w:r w:rsidRPr="0068091F">
              <w:rPr>
                <w:rFonts w:ascii="Arial" w:eastAsia="Arial" w:hAnsi="Arial" w:cs="Arial"/>
                <w:color w:val="000000"/>
                <w:sz w:val="16"/>
              </w:rPr>
              <w:t>Land</w:t>
            </w:r>
          </w:p>
        </w:tc>
        <w:tc>
          <w:tcPr>
            <w:tcW w:w="915"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4C6EEE1E" w14:textId="77777777" w:rsidR="003F0EEA" w:rsidRPr="0068091F" w:rsidRDefault="00FB7D0B">
            <w:pPr>
              <w:jc w:val="right"/>
              <w:rPr>
                <w:rFonts w:ascii="Arial" w:eastAsia="Arial" w:hAnsi="Arial" w:cs="Arial"/>
                <w:color w:val="000000"/>
                <w:sz w:val="16"/>
              </w:rPr>
            </w:pPr>
            <w:r w:rsidRPr="0068091F">
              <w:rPr>
                <w:rFonts w:ascii="Arial" w:eastAsia="Arial" w:hAnsi="Arial" w:cs="Arial"/>
                <w:color w:val="000000"/>
                <w:sz w:val="16"/>
              </w:rPr>
              <w:t>Buildings</w:t>
            </w:r>
          </w:p>
        </w:tc>
        <w:tc>
          <w:tcPr>
            <w:tcW w:w="1020"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56B1CEBD" w14:textId="77777777" w:rsidR="003F0EEA" w:rsidRPr="0068091F" w:rsidRDefault="00FB7D0B">
            <w:pPr>
              <w:jc w:val="right"/>
              <w:rPr>
                <w:rFonts w:ascii="Arial" w:eastAsia="Arial" w:hAnsi="Arial" w:cs="Arial"/>
                <w:color w:val="000000"/>
                <w:sz w:val="16"/>
              </w:rPr>
            </w:pPr>
            <w:r w:rsidRPr="0068091F">
              <w:rPr>
                <w:rFonts w:ascii="Arial" w:eastAsia="Arial" w:hAnsi="Arial" w:cs="Arial"/>
                <w:color w:val="000000"/>
                <w:sz w:val="16"/>
              </w:rPr>
              <w:t>Other</w:t>
            </w:r>
          </w:p>
        </w:tc>
        <w:tc>
          <w:tcPr>
            <w:tcW w:w="1020"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7E54FA54" w14:textId="77777777" w:rsidR="003F0EEA" w:rsidRPr="0068091F" w:rsidRDefault="00FB7D0B">
            <w:pPr>
              <w:jc w:val="right"/>
              <w:rPr>
                <w:rFonts w:ascii="Arial" w:eastAsia="Arial" w:hAnsi="Arial" w:cs="Arial"/>
                <w:color w:val="000000"/>
                <w:sz w:val="16"/>
              </w:rPr>
            </w:pPr>
            <w:r w:rsidRPr="0068091F">
              <w:rPr>
                <w:rFonts w:ascii="Arial" w:eastAsia="Arial" w:hAnsi="Arial" w:cs="Arial"/>
                <w:color w:val="000000"/>
                <w:sz w:val="16"/>
              </w:rPr>
              <w:t>Heritage</w:t>
            </w:r>
          </w:p>
        </w:tc>
        <w:tc>
          <w:tcPr>
            <w:tcW w:w="1020"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1D146845" w14:textId="77777777" w:rsidR="003F0EEA" w:rsidRPr="0068091F" w:rsidRDefault="00FB7D0B">
            <w:pPr>
              <w:jc w:val="right"/>
              <w:rPr>
                <w:rFonts w:ascii="Arial" w:eastAsia="Arial" w:hAnsi="Arial" w:cs="Arial"/>
                <w:color w:val="000000"/>
                <w:sz w:val="16"/>
              </w:rPr>
            </w:pPr>
            <w:r w:rsidRPr="0068091F">
              <w:rPr>
                <w:rFonts w:ascii="Arial" w:eastAsia="Arial" w:hAnsi="Arial" w:cs="Arial"/>
                <w:color w:val="000000"/>
                <w:sz w:val="16"/>
              </w:rPr>
              <w:t>Intangibles</w:t>
            </w:r>
          </w:p>
        </w:tc>
        <w:tc>
          <w:tcPr>
            <w:tcW w:w="1020"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32F0ED5E" w14:textId="77777777" w:rsidR="003F0EEA" w:rsidRPr="0068091F" w:rsidRDefault="00FB7D0B">
            <w:pPr>
              <w:jc w:val="right"/>
              <w:rPr>
                <w:rFonts w:ascii="Arial" w:eastAsia="Arial" w:hAnsi="Arial" w:cs="Arial"/>
                <w:color w:val="000000"/>
                <w:sz w:val="16"/>
              </w:rPr>
            </w:pPr>
            <w:r w:rsidRPr="0068091F">
              <w:rPr>
                <w:rFonts w:ascii="Arial" w:eastAsia="Arial" w:hAnsi="Arial" w:cs="Arial"/>
                <w:color w:val="000000"/>
                <w:sz w:val="16"/>
              </w:rPr>
              <w:t>Total</w:t>
            </w:r>
          </w:p>
        </w:tc>
      </w:tr>
      <w:tr w:rsidR="00724034" w14:paraId="53401A06" w14:textId="77777777">
        <w:trPr>
          <w:trHeight w:val="225"/>
        </w:trPr>
        <w:tc>
          <w:tcPr>
            <w:tcW w:w="180" w:type="dxa"/>
            <w:tcBorders>
              <w:top w:val="nil"/>
              <w:left w:val="nil"/>
              <w:bottom w:val="nil"/>
              <w:right w:val="nil"/>
              <w:tl2br w:val="nil"/>
              <w:tr2bl w:val="nil"/>
            </w:tcBorders>
            <w:shd w:val="clear" w:color="auto" w:fill="FFFFFF"/>
            <w:tcMar>
              <w:left w:w="115" w:type="dxa"/>
              <w:right w:w="115" w:type="dxa"/>
            </w:tcMar>
            <w:vAlign w:val="bottom"/>
          </w:tcPr>
          <w:p w14:paraId="23878FDF" w14:textId="77777777" w:rsidR="003F0EEA" w:rsidRPr="0068091F" w:rsidRDefault="003F0EEA">
            <w:pPr>
              <w:rPr>
                <w:rFonts w:ascii="Arial" w:eastAsia="Arial" w:hAnsi="Arial" w:cs="Arial"/>
                <w:color w:val="000000"/>
                <w:sz w:val="16"/>
              </w:rPr>
            </w:pPr>
          </w:p>
        </w:tc>
        <w:tc>
          <w:tcPr>
            <w:tcW w:w="180" w:type="dxa"/>
            <w:tcBorders>
              <w:top w:val="nil"/>
              <w:left w:val="nil"/>
              <w:bottom w:val="nil"/>
              <w:right w:val="nil"/>
              <w:tl2br w:val="nil"/>
              <w:tr2bl w:val="nil"/>
            </w:tcBorders>
            <w:shd w:val="clear" w:color="auto" w:fill="FFFFFF"/>
            <w:tcMar>
              <w:left w:w="115" w:type="dxa"/>
              <w:right w:w="115" w:type="dxa"/>
            </w:tcMar>
            <w:vAlign w:val="bottom"/>
          </w:tcPr>
          <w:p w14:paraId="22A718E8" w14:textId="77777777" w:rsidR="003F0EEA" w:rsidRPr="0068091F" w:rsidRDefault="003F0EEA">
            <w:pPr>
              <w:rPr>
                <w:rFonts w:ascii="Arial" w:eastAsia="Arial" w:hAnsi="Arial" w:cs="Arial"/>
                <w:b/>
                <w:color w:val="000000"/>
                <w:sz w:val="16"/>
              </w:rPr>
            </w:pPr>
          </w:p>
        </w:tc>
        <w:tc>
          <w:tcPr>
            <w:tcW w:w="2190" w:type="dxa"/>
            <w:tcBorders>
              <w:top w:val="nil"/>
              <w:left w:val="nil"/>
              <w:bottom w:val="nil"/>
              <w:right w:val="nil"/>
              <w:tl2br w:val="nil"/>
              <w:tr2bl w:val="nil"/>
            </w:tcBorders>
            <w:shd w:val="clear" w:color="auto" w:fill="FFFFFF"/>
            <w:tcMar>
              <w:left w:w="115" w:type="dxa"/>
              <w:right w:w="115" w:type="dxa"/>
            </w:tcMar>
            <w:vAlign w:val="bottom"/>
          </w:tcPr>
          <w:p w14:paraId="7F734D46" w14:textId="77777777" w:rsidR="003F0EEA" w:rsidRPr="0068091F" w:rsidRDefault="003F0EEA">
            <w:pPr>
              <w:rPr>
                <w:rFonts w:ascii="Arial" w:eastAsia="Arial" w:hAnsi="Arial" w:cs="Arial"/>
                <w:b/>
                <w:color w:val="000000"/>
                <w:sz w:val="16"/>
              </w:rPr>
            </w:pPr>
          </w:p>
        </w:tc>
        <w:tc>
          <w:tcPr>
            <w:tcW w:w="810" w:type="dxa"/>
            <w:tcBorders>
              <w:top w:val="nil"/>
              <w:left w:val="nil"/>
              <w:bottom w:val="nil"/>
              <w:right w:val="nil"/>
              <w:tl2br w:val="nil"/>
              <w:tr2bl w:val="nil"/>
            </w:tcBorders>
            <w:shd w:val="clear" w:color="auto" w:fill="FFFFFF"/>
            <w:tcMar>
              <w:left w:w="115" w:type="dxa"/>
              <w:right w:w="115" w:type="dxa"/>
            </w:tcMar>
            <w:vAlign w:val="bottom"/>
          </w:tcPr>
          <w:p w14:paraId="05688433" w14:textId="77777777" w:rsidR="003F0EEA" w:rsidRPr="0068091F" w:rsidRDefault="003F0EEA">
            <w:pPr>
              <w:jc w:val="right"/>
              <w:rPr>
                <w:rFonts w:ascii="Arial" w:eastAsia="Arial" w:hAnsi="Arial" w:cs="Arial"/>
                <w:b/>
                <w:color w:val="000000"/>
                <w:sz w:val="16"/>
                <w:vertAlign w:val="superscript"/>
              </w:rPr>
            </w:pPr>
          </w:p>
        </w:tc>
        <w:tc>
          <w:tcPr>
            <w:tcW w:w="915" w:type="dxa"/>
            <w:tcBorders>
              <w:top w:val="nil"/>
              <w:left w:val="nil"/>
              <w:bottom w:val="nil"/>
              <w:right w:val="nil"/>
              <w:tl2br w:val="nil"/>
              <w:tr2bl w:val="nil"/>
            </w:tcBorders>
            <w:shd w:val="clear" w:color="auto" w:fill="FFFFFF"/>
            <w:tcMar>
              <w:left w:w="115" w:type="dxa"/>
              <w:right w:w="115" w:type="dxa"/>
            </w:tcMar>
            <w:vAlign w:val="bottom"/>
          </w:tcPr>
          <w:p w14:paraId="15A43F1E" w14:textId="77777777" w:rsidR="003F0EEA" w:rsidRPr="0068091F" w:rsidRDefault="003F0EEA">
            <w:pPr>
              <w:jc w:val="right"/>
              <w:rPr>
                <w:rFonts w:ascii="Arial" w:eastAsia="Arial" w:hAnsi="Arial" w:cs="Arial"/>
                <w:color w:val="000000"/>
                <w:sz w:val="16"/>
                <w:vertAlign w:val="superscript"/>
              </w:rPr>
            </w:pPr>
          </w:p>
        </w:tc>
        <w:tc>
          <w:tcPr>
            <w:tcW w:w="1020" w:type="dxa"/>
            <w:tcBorders>
              <w:top w:val="nil"/>
              <w:left w:val="nil"/>
              <w:bottom w:val="nil"/>
              <w:right w:val="nil"/>
              <w:tl2br w:val="nil"/>
              <w:tr2bl w:val="nil"/>
            </w:tcBorders>
            <w:shd w:val="clear" w:color="auto" w:fill="FFFFFF"/>
            <w:tcMar>
              <w:left w:w="115" w:type="dxa"/>
              <w:right w:w="115" w:type="dxa"/>
            </w:tcMar>
            <w:vAlign w:val="bottom"/>
          </w:tcPr>
          <w:p w14:paraId="59162A47" w14:textId="77777777" w:rsidR="003F0EEA" w:rsidRPr="0068091F" w:rsidRDefault="00FB7D0B">
            <w:pPr>
              <w:jc w:val="right"/>
              <w:rPr>
                <w:rFonts w:ascii="Arial" w:eastAsia="Arial" w:hAnsi="Arial" w:cs="Arial"/>
                <w:color w:val="000000"/>
                <w:sz w:val="16"/>
                <w:vertAlign w:val="superscript"/>
              </w:rPr>
            </w:pPr>
            <w:r w:rsidRPr="0068091F">
              <w:rPr>
                <w:rFonts w:ascii="Arial" w:eastAsia="Arial" w:hAnsi="Arial" w:cs="Arial"/>
                <w:color w:val="000000"/>
                <w:sz w:val="16"/>
              </w:rPr>
              <w:t>property,</w:t>
            </w:r>
          </w:p>
        </w:tc>
        <w:tc>
          <w:tcPr>
            <w:tcW w:w="1020" w:type="dxa"/>
            <w:tcBorders>
              <w:top w:val="nil"/>
              <w:left w:val="nil"/>
              <w:bottom w:val="nil"/>
              <w:right w:val="nil"/>
              <w:tl2br w:val="nil"/>
              <w:tr2bl w:val="nil"/>
            </w:tcBorders>
            <w:shd w:val="clear" w:color="auto" w:fill="FFFFFF"/>
            <w:tcMar>
              <w:left w:w="115" w:type="dxa"/>
              <w:right w:w="115" w:type="dxa"/>
            </w:tcMar>
            <w:vAlign w:val="bottom"/>
          </w:tcPr>
          <w:p w14:paraId="4260D177" w14:textId="77777777" w:rsidR="003F0EEA" w:rsidRPr="0068091F" w:rsidRDefault="00FB7D0B">
            <w:pPr>
              <w:jc w:val="right"/>
              <w:rPr>
                <w:rFonts w:ascii="Arial" w:eastAsia="Arial" w:hAnsi="Arial" w:cs="Arial"/>
                <w:color w:val="000000"/>
                <w:sz w:val="16"/>
              </w:rPr>
            </w:pPr>
            <w:r w:rsidRPr="0068091F">
              <w:rPr>
                <w:rFonts w:ascii="Arial" w:eastAsia="Arial" w:hAnsi="Arial" w:cs="Arial"/>
                <w:color w:val="000000"/>
                <w:sz w:val="16"/>
              </w:rPr>
              <w:t xml:space="preserve">and </w:t>
            </w:r>
          </w:p>
        </w:tc>
        <w:tc>
          <w:tcPr>
            <w:tcW w:w="1020" w:type="dxa"/>
            <w:tcBorders>
              <w:top w:val="nil"/>
              <w:left w:val="nil"/>
              <w:bottom w:val="nil"/>
              <w:right w:val="nil"/>
              <w:tl2br w:val="nil"/>
              <w:tr2bl w:val="nil"/>
            </w:tcBorders>
            <w:shd w:val="clear" w:color="auto" w:fill="FFFFFF"/>
            <w:tcMar>
              <w:left w:w="115" w:type="dxa"/>
              <w:right w:w="115" w:type="dxa"/>
            </w:tcMar>
            <w:vAlign w:val="bottom"/>
          </w:tcPr>
          <w:p w14:paraId="17509CBF" w14:textId="77777777" w:rsidR="003F0EEA" w:rsidRPr="0068091F" w:rsidRDefault="00FB7D0B">
            <w:pPr>
              <w:jc w:val="right"/>
              <w:rPr>
                <w:rFonts w:ascii="Arial" w:eastAsia="Arial" w:hAnsi="Arial" w:cs="Arial"/>
                <w:color w:val="000000"/>
                <w:sz w:val="16"/>
              </w:rPr>
            </w:pPr>
            <w:r w:rsidRPr="0068091F">
              <w:rPr>
                <w:rFonts w:ascii="Arial" w:eastAsia="Arial" w:hAnsi="Arial" w:cs="Arial"/>
                <w:color w:val="000000"/>
                <w:sz w:val="16"/>
              </w:rPr>
              <w:t>Computer</w:t>
            </w:r>
          </w:p>
        </w:tc>
        <w:tc>
          <w:tcPr>
            <w:tcW w:w="1020" w:type="dxa"/>
            <w:tcBorders>
              <w:top w:val="nil"/>
              <w:left w:val="nil"/>
              <w:bottom w:val="nil"/>
              <w:right w:val="nil"/>
              <w:tl2br w:val="nil"/>
              <w:tr2bl w:val="nil"/>
            </w:tcBorders>
            <w:shd w:val="clear" w:color="auto" w:fill="FFFFFF"/>
            <w:tcMar>
              <w:left w:w="115" w:type="dxa"/>
              <w:right w:w="115" w:type="dxa"/>
            </w:tcMar>
            <w:vAlign w:val="bottom"/>
          </w:tcPr>
          <w:p w14:paraId="0A9A0F0D" w14:textId="77777777" w:rsidR="003F0EEA" w:rsidRPr="0068091F" w:rsidRDefault="003F0EEA">
            <w:pPr>
              <w:rPr>
                <w:rFonts w:ascii="Arial" w:eastAsia="Arial" w:hAnsi="Arial" w:cs="Arial"/>
                <w:color w:val="000000"/>
                <w:sz w:val="16"/>
              </w:rPr>
            </w:pPr>
          </w:p>
        </w:tc>
      </w:tr>
      <w:tr w:rsidR="00724034" w14:paraId="745B9C8F" w14:textId="77777777">
        <w:trPr>
          <w:trHeight w:val="225"/>
        </w:trPr>
        <w:tc>
          <w:tcPr>
            <w:tcW w:w="180" w:type="dxa"/>
            <w:tcBorders>
              <w:top w:val="nil"/>
              <w:left w:val="nil"/>
              <w:bottom w:val="nil"/>
              <w:right w:val="nil"/>
              <w:tl2br w:val="nil"/>
              <w:tr2bl w:val="nil"/>
            </w:tcBorders>
            <w:shd w:val="clear" w:color="auto" w:fill="FFFFFF"/>
            <w:tcMar>
              <w:left w:w="115" w:type="dxa"/>
              <w:right w:w="115" w:type="dxa"/>
            </w:tcMar>
            <w:vAlign w:val="bottom"/>
          </w:tcPr>
          <w:p w14:paraId="5D3329C6" w14:textId="77777777" w:rsidR="003F0EEA" w:rsidRPr="0068091F" w:rsidRDefault="003F0EEA">
            <w:pPr>
              <w:rPr>
                <w:rFonts w:ascii="Arial" w:eastAsia="Arial" w:hAnsi="Arial" w:cs="Arial"/>
                <w:b/>
                <w:color w:val="000000"/>
                <w:sz w:val="20"/>
              </w:rPr>
            </w:pPr>
          </w:p>
        </w:tc>
        <w:tc>
          <w:tcPr>
            <w:tcW w:w="180" w:type="dxa"/>
            <w:tcBorders>
              <w:top w:val="nil"/>
              <w:left w:val="nil"/>
              <w:bottom w:val="nil"/>
              <w:right w:val="nil"/>
              <w:tl2br w:val="nil"/>
              <w:tr2bl w:val="nil"/>
            </w:tcBorders>
            <w:shd w:val="clear" w:color="auto" w:fill="FFFFFF"/>
            <w:tcMar>
              <w:left w:w="115" w:type="dxa"/>
              <w:right w:w="115" w:type="dxa"/>
            </w:tcMar>
            <w:vAlign w:val="bottom"/>
          </w:tcPr>
          <w:p w14:paraId="0ED689B8" w14:textId="77777777" w:rsidR="003F0EEA" w:rsidRPr="0068091F" w:rsidRDefault="003F0EEA">
            <w:pPr>
              <w:rPr>
                <w:rFonts w:ascii="Arial" w:eastAsia="Arial" w:hAnsi="Arial" w:cs="Arial"/>
                <w:b/>
                <w:color w:val="000000"/>
                <w:sz w:val="16"/>
              </w:rPr>
            </w:pPr>
          </w:p>
        </w:tc>
        <w:tc>
          <w:tcPr>
            <w:tcW w:w="2190" w:type="dxa"/>
            <w:tcBorders>
              <w:top w:val="nil"/>
              <w:left w:val="nil"/>
              <w:bottom w:val="nil"/>
              <w:right w:val="nil"/>
              <w:tl2br w:val="nil"/>
              <w:tr2bl w:val="nil"/>
            </w:tcBorders>
            <w:shd w:val="clear" w:color="auto" w:fill="FFFFFF"/>
            <w:tcMar>
              <w:left w:w="115" w:type="dxa"/>
              <w:right w:w="115" w:type="dxa"/>
            </w:tcMar>
            <w:vAlign w:val="bottom"/>
          </w:tcPr>
          <w:p w14:paraId="576E03D3" w14:textId="77777777" w:rsidR="003F0EEA" w:rsidRPr="0068091F" w:rsidRDefault="003F0EEA">
            <w:pPr>
              <w:rPr>
                <w:rFonts w:ascii="Arial" w:eastAsia="Arial" w:hAnsi="Arial" w:cs="Arial"/>
                <w:b/>
                <w:color w:val="000000"/>
                <w:sz w:val="16"/>
              </w:rPr>
            </w:pPr>
          </w:p>
        </w:tc>
        <w:tc>
          <w:tcPr>
            <w:tcW w:w="810" w:type="dxa"/>
            <w:tcBorders>
              <w:top w:val="nil"/>
              <w:left w:val="nil"/>
              <w:bottom w:val="nil"/>
              <w:right w:val="nil"/>
              <w:tl2br w:val="nil"/>
              <w:tr2bl w:val="nil"/>
            </w:tcBorders>
            <w:shd w:val="clear" w:color="auto" w:fill="FFFFFF"/>
            <w:tcMar>
              <w:left w:w="115" w:type="dxa"/>
              <w:right w:w="115" w:type="dxa"/>
            </w:tcMar>
            <w:vAlign w:val="bottom"/>
          </w:tcPr>
          <w:p w14:paraId="3295A765" w14:textId="77777777" w:rsidR="003F0EEA" w:rsidRPr="0068091F" w:rsidRDefault="003F0EEA">
            <w:pPr>
              <w:jc w:val="right"/>
              <w:rPr>
                <w:rFonts w:ascii="Arial" w:eastAsia="Arial" w:hAnsi="Arial" w:cs="Arial"/>
                <w:b/>
                <w:color w:val="000000"/>
                <w:sz w:val="16"/>
                <w:vertAlign w:val="superscript"/>
              </w:rPr>
            </w:pPr>
          </w:p>
        </w:tc>
        <w:tc>
          <w:tcPr>
            <w:tcW w:w="915" w:type="dxa"/>
            <w:tcBorders>
              <w:top w:val="nil"/>
              <w:left w:val="nil"/>
              <w:bottom w:val="nil"/>
              <w:right w:val="nil"/>
              <w:tl2br w:val="nil"/>
              <w:tr2bl w:val="nil"/>
            </w:tcBorders>
            <w:shd w:val="clear" w:color="auto" w:fill="FFFFFF"/>
            <w:tcMar>
              <w:left w:w="115" w:type="dxa"/>
              <w:right w:w="115" w:type="dxa"/>
            </w:tcMar>
            <w:vAlign w:val="bottom"/>
          </w:tcPr>
          <w:p w14:paraId="32439D31" w14:textId="77777777" w:rsidR="003F0EEA" w:rsidRPr="0068091F" w:rsidRDefault="003F0EEA">
            <w:pPr>
              <w:jc w:val="right"/>
              <w:rPr>
                <w:rFonts w:ascii="Arial" w:eastAsia="Arial" w:hAnsi="Arial" w:cs="Arial"/>
                <w:color w:val="000000"/>
                <w:sz w:val="16"/>
                <w:vertAlign w:val="superscript"/>
              </w:rPr>
            </w:pPr>
          </w:p>
        </w:tc>
        <w:tc>
          <w:tcPr>
            <w:tcW w:w="1020" w:type="dxa"/>
            <w:tcBorders>
              <w:top w:val="nil"/>
              <w:left w:val="nil"/>
              <w:bottom w:val="nil"/>
              <w:right w:val="nil"/>
              <w:tl2br w:val="nil"/>
              <w:tr2bl w:val="nil"/>
            </w:tcBorders>
            <w:shd w:val="clear" w:color="auto" w:fill="FFFFFF"/>
            <w:tcMar>
              <w:left w:w="115" w:type="dxa"/>
              <w:right w:w="115" w:type="dxa"/>
            </w:tcMar>
            <w:vAlign w:val="bottom"/>
          </w:tcPr>
          <w:p w14:paraId="66F22FEC" w14:textId="77777777" w:rsidR="003F0EEA" w:rsidRPr="0068091F" w:rsidRDefault="00FB7D0B">
            <w:pPr>
              <w:jc w:val="right"/>
              <w:rPr>
                <w:rFonts w:ascii="Arial" w:eastAsia="Arial" w:hAnsi="Arial" w:cs="Arial"/>
                <w:color w:val="000000"/>
                <w:sz w:val="16"/>
                <w:vertAlign w:val="superscript"/>
              </w:rPr>
            </w:pPr>
            <w:r w:rsidRPr="0068091F">
              <w:rPr>
                <w:rFonts w:ascii="Arial" w:eastAsia="Arial" w:hAnsi="Arial" w:cs="Arial"/>
                <w:color w:val="000000"/>
                <w:sz w:val="16"/>
              </w:rPr>
              <w:t>plant and</w:t>
            </w:r>
          </w:p>
        </w:tc>
        <w:tc>
          <w:tcPr>
            <w:tcW w:w="1020" w:type="dxa"/>
            <w:tcBorders>
              <w:top w:val="nil"/>
              <w:left w:val="nil"/>
              <w:bottom w:val="nil"/>
              <w:right w:val="nil"/>
              <w:tl2br w:val="nil"/>
              <w:tr2bl w:val="nil"/>
            </w:tcBorders>
            <w:shd w:val="clear" w:color="auto" w:fill="FFFFFF"/>
            <w:tcMar>
              <w:left w:w="115" w:type="dxa"/>
              <w:right w:w="115" w:type="dxa"/>
            </w:tcMar>
            <w:vAlign w:val="bottom"/>
          </w:tcPr>
          <w:p w14:paraId="742569BE" w14:textId="77777777" w:rsidR="003F0EEA" w:rsidRPr="0068091F" w:rsidRDefault="00FB7D0B">
            <w:pPr>
              <w:jc w:val="right"/>
              <w:rPr>
                <w:rFonts w:ascii="Arial" w:eastAsia="Arial" w:hAnsi="Arial" w:cs="Arial"/>
                <w:color w:val="000000"/>
                <w:sz w:val="16"/>
              </w:rPr>
            </w:pPr>
            <w:r w:rsidRPr="0068091F">
              <w:rPr>
                <w:rFonts w:ascii="Arial" w:eastAsia="Arial" w:hAnsi="Arial" w:cs="Arial"/>
                <w:color w:val="000000"/>
                <w:sz w:val="16"/>
              </w:rPr>
              <w:t>cultural</w:t>
            </w:r>
          </w:p>
        </w:tc>
        <w:tc>
          <w:tcPr>
            <w:tcW w:w="1020" w:type="dxa"/>
            <w:tcBorders>
              <w:top w:val="nil"/>
              <w:left w:val="nil"/>
              <w:bottom w:val="nil"/>
              <w:right w:val="nil"/>
              <w:tl2br w:val="nil"/>
              <w:tr2bl w:val="nil"/>
            </w:tcBorders>
            <w:shd w:val="clear" w:color="auto" w:fill="FFFFFF"/>
            <w:tcMar>
              <w:left w:w="115" w:type="dxa"/>
              <w:right w:w="115" w:type="dxa"/>
            </w:tcMar>
            <w:vAlign w:val="bottom"/>
          </w:tcPr>
          <w:p w14:paraId="5A568546" w14:textId="77777777" w:rsidR="003F0EEA" w:rsidRPr="0068091F" w:rsidRDefault="00FB7D0B">
            <w:pPr>
              <w:jc w:val="right"/>
              <w:rPr>
                <w:rFonts w:ascii="Arial" w:eastAsia="Arial" w:hAnsi="Arial" w:cs="Arial"/>
                <w:color w:val="000000"/>
                <w:sz w:val="16"/>
              </w:rPr>
            </w:pPr>
            <w:r w:rsidRPr="0068091F">
              <w:rPr>
                <w:rFonts w:ascii="Arial" w:eastAsia="Arial" w:hAnsi="Arial" w:cs="Arial"/>
                <w:color w:val="000000"/>
                <w:sz w:val="16"/>
              </w:rPr>
              <w:t>Software</w:t>
            </w:r>
          </w:p>
        </w:tc>
        <w:tc>
          <w:tcPr>
            <w:tcW w:w="1020" w:type="dxa"/>
            <w:tcBorders>
              <w:top w:val="nil"/>
              <w:left w:val="nil"/>
              <w:bottom w:val="nil"/>
              <w:right w:val="nil"/>
              <w:tl2br w:val="nil"/>
              <w:tr2bl w:val="nil"/>
            </w:tcBorders>
            <w:shd w:val="clear" w:color="auto" w:fill="FFFFFF"/>
            <w:tcMar>
              <w:left w:w="115" w:type="dxa"/>
              <w:right w:w="115" w:type="dxa"/>
            </w:tcMar>
            <w:vAlign w:val="bottom"/>
          </w:tcPr>
          <w:p w14:paraId="4443B3F5" w14:textId="77777777" w:rsidR="003F0EEA" w:rsidRPr="0068091F" w:rsidRDefault="003F0EEA">
            <w:pPr>
              <w:jc w:val="right"/>
              <w:rPr>
                <w:rFonts w:ascii="Arial" w:eastAsia="Arial" w:hAnsi="Arial" w:cs="Arial"/>
                <w:color w:val="000000"/>
                <w:sz w:val="16"/>
              </w:rPr>
            </w:pPr>
          </w:p>
        </w:tc>
      </w:tr>
      <w:tr w:rsidR="00724034" w14:paraId="1BBDB491" w14:textId="77777777">
        <w:trPr>
          <w:trHeight w:val="225"/>
        </w:trPr>
        <w:tc>
          <w:tcPr>
            <w:tcW w:w="180" w:type="dxa"/>
            <w:tcBorders>
              <w:top w:val="nil"/>
              <w:left w:val="nil"/>
              <w:bottom w:val="nil"/>
              <w:right w:val="nil"/>
              <w:tl2br w:val="nil"/>
              <w:tr2bl w:val="nil"/>
            </w:tcBorders>
            <w:shd w:val="clear" w:color="auto" w:fill="FFFFFF"/>
            <w:tcMar>
              <w:left w:w="115" w:type="dxa"/>
              <w:right w:w="115" w:type="dxa"/>
            </w:tcMar>
            <w:vAlign w:val="bottom"/>
          </w:tcPr>
          <w:p w14:paraId="799222FD" w14:textId="77777777" w:rsidR="003F0EEA" w:rsidRPr="0068091F" w:rsidRDefault="003F0EEA">
            <w:pPr>
              <w:rPr>
                <w:rFonts w:ascii="Arial" w:eastAsia="Arial" w:hAnsi="Arial" w:cs="Arial"/>
                <w:color w:val="000000"/>
                <w:sz w:val="16"/>
              </w:rPr>
            </w:pPr>
          </w:p>
        </w:tc>
        <w:tc>
          <w:tcPr>
            <w:tcW w:w="180" w:type="dxa"/>
            <w:tcBorders>
              <w:top w:val="nil"/>
              <w:left w:val="nil"/>
              <w:bottom w:val="nil"/>
              <w:right w:val="nil"/>
              <w:tl2br w:val="nil"/>
              <w:tr2bl w:val="nil"/>
            </w:tcBorders>
            <w:shd w:val="clear" w:color="auto" w:fill="FFFFFF"/>
            <w:tcMar>
              <w:left w:w="115" w:type="dxa"/>
              <w:right w:w="115" w:type="dxa"/>
            </w:tcMar>
            <w:vAlign w:val="bottom"/>
          </w:tcPr>
          <w:p w14:paraId="76554CA7" w14:textId="77777777" w:rsidR="003F0EEA" w:rsidRPr="0068091F" w:rsidRDefault="003F0EEA">
            <w:pPr>
              <w:rPr>
                <w:rFonts w:ascii="Arial" w:eastAsia="Arial" w:hAnsi="Arial" w:cs="Arial"/>
                <w:b/>
                <w:color w:val="000000"/>
                <w:sz w:val="16"/>
              </w:rPr>
            </w:pPr>
          </w:p>
        </w:tc>
        <w:tc>
          <w:tcPr>
            <w:tcW w:w="2190" w:type="dxa"/>
            <w:tcBorders>
              <w:top w:val="nil"/>
              <w:left w:val="nil"/>
              <w:bottom w:val="nil"/>
              <w:right w:val="nil"/>
              <w:tl2br w:val="nil"/>
              <w:tr2bl w:val="nil"/>
            </w:tcBorders>
            <w:shd w:val="clear" w:color="auto" w:fill="FFFFFF"/>
            <w:tcMar>
              <w:left w:w="115" w:type="dxa"/>
              <w:right w:w="115" w:type="dxa"/>
            </w:tcMar>
            <w:vAlign w:val="bottom"/>
          </w:tcPr>
          <w:p w14:paraId="416A8F8A" w14:textId="77777777" w:rsidR="003F0EEA" w:rsidRPr="0068091F" w:rsidRDefault="003F0EEA">
            <w:pPr>
              <w:rPr>
                <w:rFonts w:ascii="Arial" w:eastAsia="Arial" w:hAnsi="Arial" w:cs="Arial"/>
                <w:b/>
                <w:color w:val="000000"/>
                <w:sz w:val="16"/>
              </w:rPr>
            </w:pPr>
          </w:p>
        </w:tc>
        <w:tc>
          <w:tcPr>
            <w:tcW w:w="810" w:type="dxa"/>
            <w:tcBorders>
              <w:top w:val="nil"/>
              <w:left w:val="nil"/>
              <w:bottom w:val="nil"/>
              <w:right w:val="nil"/>
              <w:tl2br w:val="nil"/>
              <w:tr2bl w:val="nil"/>
            </w:tcBorders>
            <w:shd w:val="clear" w:color="auto" w:fill="FFFFFF"/>
            <w:tcMar>
              <w:left w:w="115" w:type="dxa"/>
              <w:right w:w="115" w:type="dxa"/>
            </w:tcMar>
            <w:vAlign w:val="bottom"/>
          </w:tcPr>
          <w:p w14:paraId="30117820" w14:textId="77777777" w:rsidR="003F0EEA" w:rsidRPr="0068091F" w:rsidRDefault="003F0EEA">
            <w:pPr>
              <w:rPr>
                <w:rFonts w:ascii="Arial" w:eastAsia="Arial" w:hAnsi="Arial" w:cs="Arial"/>
                <w:b/>
                <w:color w:val="000000"/>
                <w:sz w:val="16"/>
                <w:vertAlign w:val="superscript"/>
              </w:rPr>
            </w:pPr>
          </w:p>
        </w:tc>
        <w:tc>
          <w:tcPr>
            <w:tcW w:w="915" w:type="dxa"/>
            <w:tcBorders>
              <w:top w:val="nil"/>
              <w:left w:val="nil"/>
              <w:bottom w:val="nil"/>
              <w:right w:val="nil"/>
              <w:tl2br w:val="nil"/>
              <w:tr2bl w:val="nil"/>
            </w:tcBorders>
            <w:shd w:val="clear" w:color="auto" w:fill="FFFFFF"/>
            <w:tcMar>
              <w:left w:w="115" w:type="dxa"/>
              <w:right w:w="115" w:type="dxa"/>
            </w:tcMar>
            <w:vAlign w:val="bottom"/>
          </w:tcPr>
          <w:p w14:paraId="293A390C" w14:textId="77777777" w:rsidR="003F0EEA" w:rsidRPr="0068091F" w:rsidRDefault="003F0EEA">
            <w:pPr>
              <w:rPr>
                <w:rFonts w:ascii="Arial" w:eastAsia="Arial" w:hAnsi="Arial" w:cs="Arial"/>
                <w:b/>
                <w:color w:val="000000"/>
                <w:sz w:val="20"/>
                <w:vertAlign w:val="superscript"/>
              </w:rPr>
            </w:pPr>
          </w:p>
        </w:tc>
        <w:tc>
          <w:tcPr>
            <w:tcW w:w="1020" w:type="dxa"/>
            <w:tcBorders>
              <w:top w:val="nil"/>
              <w:left w:val="nil"/>
              <w:bottom w:val="nil"/>
              <w:right w:val="nil"/>
              <w:tl2br w:val="nil"/>
              <w:tr2bl w:val="nil"/>
            </w:tcBorders>
            <w:shd w:val="clear" w:color="auto" w:fill="FFFFFF"/>
            <w:tcMar>
              <w:left w:w="115" w:type="dxa"/>
              <w:right w:w="115" w:type="dxa"/>
            </w:tcMar>
            <w:vAlign w:val="bottom"/>
          </w:tcPr>
          <w:p w14:paraId="39AB3789" w14:textId="77777777" w:rsidR="003F0EEA" w:rsidRPr="0068091F" w:rsidRDefault="00FB7D0B">
            <w:pPr>
              <w:jc w:val="right"/>
              <w:rPr>
                <w:rFonts w:ascii="Arial" w:eastAsia="Arial" w:hAnsi="Arial" w:cs="Arial"/>
                <w:b/>
                <w:color w:val="000000"/>
                <w:sz w:val="20"/>
                <w:vertAlign w:val="superscript"/>
              </w:rPr>
            </w:pPr>
            <w:r w:rsidRPr="0068091F">
              <w:rPr>
                <w:rFonts w:ascii="Arial" w:eastAsia="Arial" w:hAnsi="Arial" w:cs="Arial"/>
                <w:color w:val="000000"/>
                <w:sz w:val="16"/>
              </w:rPr>
              <w:t>equipment</w:t>
            </w:r>
          </w:p>
        </w:tc>
        <w:tc>
          <w:tcPr>
            <w:tcW w:w="1020" w:type="dxa"/>
            <w:tcBorders>
              <w:top w:val="nil"/>
              <w:left w:val="nil"/>
              <w:bottom w:val="nil"/>
              <w:right w:val="nil"/>
              <w:tl2br w:val="nil"/>
              <w:tr2bl w:val="nil"/>
            </w:tcBorders>
            <w:shd w:val="clear" w:color="auto" w:fill="FFFFFF"/>
            <w:tcMar>
              <w:left w:w="115" w:type="dxa"/>
              <w:right w:w="115" w:type="dxa"/>
            </w:tcMar>
            <w:vAlign w:val="bottom"/>
          </w:tcPr>
          <w:p w14:paraId="787E42C1" w14:textId="77777777" w:rsidR="003F0EEA" w:rsidRPr="0068091F" w:rsidRDefault="00FB7D0B">
            <w:pPr>
              <w:jc w:val="right"/>
              <w:rPr>
                <w:rFonts w:ascii="Arial" w:eastAsia="Arial" w:hAnsi="Arial" w:cs="Arial"/>
                <w:color w:val="000000"/>
                <w:sz w:val="16"/>
              </w:rPr>
            </w:pPr>
            <w:r w:rsidRPr="0068091F">
              <w:rPr>
                <w:rFonts w:ascii="Arial" w:eastAsia="Arial" w:hAnsi="Arial" w:cs="Arial"/>
                <w:color w:val="000000"/>
                <w:sz w:val="16"/>
              </w:rPr>
              <w:t>assets</w:t>
            </w:r>
          </w:p>
        </w:tc>
        <w:tc>
          <w:tcPr>
            <w:tcW w:w="1020" w:type="dxa"/>
            <w:tcBorders>
              <w:top w:val="nil"/>
              <w:left w:val="nil"/>
              <w:bottom w:val="nil"/>
              <w:right w:val="nil"/>
              <w:tl2br w:val="nil"/>
              <w:tr2bl w:val="nil"/>
            </w:tcBorders>
            <w:shd w:val="clear" w:color="auto" w:fill="FFFFFF"/>
            <w:tcMar>
              <w:left w:w="115" w:type="dxa"/>
              <w:right w:w="115" w:type="dxa"/>
            </w:tcMar>
            <w:vAlign w:val="bottom"/>
          </w:tcPr>
          <w:p w14:paraId="1ED3EAF7" w14:textId="77777777" w:rsidR="003F0EEA" w:rsidRPr="0068091F" w:rsidRDefault="003F0EEA">
            <w:pPr>
              <w:rPr>
                <w:rFonts w:ascii="Arial" w:eastAsia="Arial" w:hAnsi="Arial" w:cs="Arial"/>
                <w:color w:val="000000"/>
                <w:sz w:val="16"/>
              </w:rPr>
            </w:pPr>
          </w:p>
        </w:tc>
        <w:tc>
          <w:tcPr>
            <w:tcW w:w="1020" w:type="dxa"/>
            <w:tcBorders>
              <w:top w:val="nil"/>
              <w:left w:val="nil"/>
              <w:bottom w:val="nil"/>
              <w:right w:val="nil"/>
              <w:tl2br w:val="nil"/>
              <w:tr2bl w:val="nil"/>
            </w:tcBorders>
            <w:shd w:val="clear" w:color="auto" w:fill="FFFFFF"/>
            <w:tcMar>
              <w:left w:w="115" w:type="dxa"/>
              <w:right w:w="115" w:type="dxa"/>
            </w:tcMar>
            <w:vAlign w:val="bottom"/>
          </w:tcPr>
          <w:p w14:paraId="42E9BB28" w14:textId="77777777" w:rsidR="003F0EEA" w:rsidRPr="0068091F" w:rsidRDefault="003F0EEA">
            <w:pPr>
              <w:jc w:val="right"/>
              <w:rPr>
                <w:rFonts w:ascii="Arial" w:eastAsia="Arial" w:hAnsi="Arial" w:cs="Arial"/>
                <w:color w:val="000000"/>
                <w:sz w:val="16"/>
              </w:rPr>
            </w:pPr>
          </w:p>
        </w:tc>
      </w:tr>
      <w:tr w:rsidR="00724034" w14:paraId="3BC8F956" w14:textId="77777777">
        <w:trPr>
          <w:trHeight w:val="225"/>
        </w:trPr>
        <w:tc>
          <w:tcPr>
            <w:tcW w:w="180" w:type="dxa"/>
            <w:tcBorders>
              <w:top w:val="nil"/>
              <w:left w:val="nil"/>
              <w:bottom w:val="nil"/>
              <w:right w:val="nil"/>
              <w:tl2br w:val="nil"/>
              <w:tr2bl w:val="nil"/>
            </w:tcBorders>
            <w:shd w:val="clear" w:color="auto" w:fill="FFFFFF"/>
            <w:tcMar>
              <w:left w:w="115" w:type="dxa"/>
              <w:right w:w="115" w:type="dxa"/>
            </w:tcMar>
            <w:vAlign w:val="bottom"/>
          </w:tcPr>
          <w:p w14:paraId="57C4D9A5" w14:textId="77777777" w:rsidR="003F0EEA" w:rsidRPr="0068091F" w:rsidRDefault="003F0EEA">
            <w:pPr>
              <w:rPr>
                <w:rFonts w:ascii="Arial" w:eastAsia="Arial" w:hAnsi="Arial" w:cs="Arial"/>
                <w:color w:val="000000"/>
                <w:sz w:val="16"/>
              </w:rPr>
            </w:pPr>
          </w:p>
        </w:tc>
        <w:tc>
          <w:tcPr>
            <w:tcW w:w="180" w:type="dxa"/>
            <w:tcBorders>
              <w:top w:val="nil"/>
              <w:left w:val="nil"/>
              <w:bottom w:val="nil"/>
              <w:right w:val="nil"/>
              <w:tl2br w:val="nil"/>
              <w:tr2bl w:val="nil"/>
            </w:tcBorders>
            <w:shd w:val="clear" w:color="auto" w:fill="FFFFFF"/>
            <w:tcMar>
              <w:left w:w="115" w:type="dxa"/>
              <w:right w:w="115" w:type="dxa"/>
            </w:tcMar>
            <w:vAlign w:val="bottom"/>
          </w:tcPr>
          <w:p w14:paraId="35DE66E8" w14:textId="77777777" w:rsidR="003F0EEA" w:rsidRPr="0068091F" w:rsidRDefault="003F0EEA">
            <w:pPr>
              <w:rPr>
                <w:rFonts w:ascii="Arial" w:eastAsia="Arial" w:hAnsi="Arial" w:cs="Arial"/>
                <w:b/>
                <w:color w:val="000000"/>
                <w:sz w:val="16"/>
              </w:rPr>
            </w:pPr>
          </w:p>
        </w:tc>
        <w:tc>
          <w:tcPr>
            <w:tcW w:w="2190" w:type="dxa"/>
            <w:tcBorders>
              <w:top w:val="nil"/>
              <w:left w:val="nil"/>
              <w:bottom w:val="nil"/>
              <w:right w:val="nil"/>
              <w:tl2br w:val="nil"/>
              <w:tr2bl w:val="nil"/>
            </w:tcBorders>
            <w:shd w:val="clear" w:color="auto" w:fill="FFFFFF"/>
            <w:tcMar>
              <w:left w:w="115" w:type="dxa"/>
              <w:right w:w="115" w:type="dxa"/>
            </w:tcMar>
            <w:vAlign w:val="bottom"/>
          </w:tcPr>
          <w:p w14:paraId="301EB590" w14:textId="77777777" w:rsidR="003F0EEA" w:rsidRPr="0068091F" w:rsidRDefault="003F0EEA">
            <w:pPr>
              <w:rPr>
                <w:rFonts w:ascii="Arial" w:eastAsia="Arial" w:hAnsi="Arial" w:cs="Arial"/>
                <w:b/>
                <w:color w:val="000000"/>
                <w:sz w:val="16"/>
              </w:rPr>
            </w:pPr>
          </w:p>
        </w:tc>
        <w:tc>
          <w:tcPr>
            <w:tcW w:w="810"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252822A4" w14:textId="77777777" w:rsidR="003F0EEA" w:rsidRPr="0068091F" w:rsidRDefault="00FB7D0B">
            <w:pPr>
              <w:jc w:val="right"/>
              <w:rPr>
                <w:rFonts w:ascii="Arial" w:eastAsia="Arial" w:hAnsi="Arial" w:cs="Arial"/>
                <w:b/>
                <w:color w:val="000000"/>
                <w:sz w:val="16"/>
                <w:vertAlign w:val="superscript"/>
              </w:rPr>
            </w:pPr>
            <w:r w:rsidRPr="0068091F">
              <w:rPr>
                <w:rFonts w:ascii="Arial" w:eastAsia="Arial" w:hAnsi="Arial" w:cs="Arial"/>
                <w:color w:val="000000"/>
                <w:sz w:val="16"/>
              </w:rPr>
              <w:t>$'000</w:t>
            </w:r>
          </w:p>
        </w:tc>
        <w:tc>
          <w:tcPr>
            <w:tcW w:w="915"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0FC5B271" w14:textId="77777777" w:rsidR="003F0EEA" w:rsidRPr="0068091F" w:rsidRDefault="00FB7D0B">
            <w:pPr>
              <w:jc w:val="right"/>
              <w:rPr>
                <w:rFonts w:ascii="Arial" w:eastAsia="Arial" w:hAnsi="Arial" w:cs="Arial"/>
                <w:color w:val="000000"/>
                <w:sz w:val="16"/>
              </w:rPr>
            </w:pPr>
            <w:r w:rsidRPr="0068091F">
              <w:rPr>
                <w:rFonts w:ascii="Arial" w:eastAsia="Arial" w:hAnsi="Arial" w:cs="Arial"/>
                <w:color w:val="000000"/>
                <w:sz w:val="16"/>
              </w:rPr>
              <w:t>$'000</w:t>
            </w:r>
          </w:p>
        </w:tc>
        <w:tc>
          <w:tcPr>
            <w:tcW w:w="1020"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2E5B49C1" w14:textId="77777777" w:rsidR="003F0EEA" w:rsidRPr="0068091F" w:rsidRDefault="00FB7D0B">
            <w:pPr>
              <w:jc w:val="right"/>
              <w:rPr>
                <w:rFonts w:ascii="Arial" w:eastAsia="Arial" w:hAnsi="Arial" w:cs="Arial"/>
                <w:color w:val="000000"/>
                <w:sz w:val="16"/>
              </w:rPr>
            </w:pPr>
            <w:r w:rsidRPr="0068091F">
              <w:rPr>
                <w:rFonts w:ascii="Arial" w:eastAsia="Arial" w:hAnsi="Arial" w:cs="Arial"/>
                <w:color w:val="000000"/>
                <w:sz w:val="16"/>
              </w:rPr>
              <w:t>$'000</w:t>
            </w:r>
          </w:p>
        </w:tc>
        <w:tc>
          <w:tcPr>
            <w:tcW w:w="1020"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7F294D7F" w14:textId="77777777" w:rsidR="003F0EEA" w:rsidRPr="0068091F" w:rsidRDefault="00FB7D0B">
            <w:pPr>
              <w:jc w:val="right"/>
              <w:rPr>
                <w:rFonts w:ascii="Arial" w:eastAsia="Arial" w:hAnsi="Arial" w:cs="Arial"/>
                <w:color w:val="000000"/>
                <w:sz w:val="16"/>
              </w:rPr>
            </w:pPr>
            <w:r w:rsidRPr="0068091F">
              <w:rPr>
                <w:rFonts w:ascii="Arial" w:eastAsia="Arial" w:hAnsi="Arial" w:cs="Arial"/>
                <w:color w:val="000000"/>
                <w:sz w:val="16"/>
              </w:rPr>
              <w:t>$'000</w:t>
            </w:r>
          </w:p>
        </w:tc>
        <w:tc>
          <w:tcPr>
            <w:tcW w:w="1020"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6E8EFFEA" w14:textId="77777777" w:rsidR="003F0EEA" w:rsidRPr="0068091F" w:rsidRDefault="00FB7D0B">
            <w:pPr>
              <w:jc w:val="right"/>
              <w:rPr>
                <w:rFonts w:ascii="Arial" w:eastAsia="Arial" w:hAnsi="Arial" w:cs="Arial"/>
                <w:color w:val="000000"/>
                <w:sz w:val="16"/>
              </w:rPr>
            </w:pPr>
            <w:r w:rsidRPr="0068091F">
              <w:rPr>
                <w:rFonts w:ascii="Arial" w:eastAsia="Arial" w:hAnsi="Arial" w:cs="Arial"/>
                <w:color w:val="000000"/>
                <w:sz w:val="16"/>
              </w:rPr>
              <w:t>$'000</w:t>
            </w:r>
          </w:p>
        </w:tc>
        <w:tc>
          <w:tcPr>
            <w:tcW w:w="1020"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7EFC9ABB" w14:textId="77777777" w:rsidR="003F0EEA" w:rsidRPr="0068091F" w:rsidRDefault="00FB7D0B">
            <w:pPr>
              <w:jc w:val="right"/>
              <w:rPr>
                <w:rFonts w:ascii="Arial" w:eastAsia="Arial" w:hAnsi="Arial" w:cs="Arial"/>
                <w:color w:val="000000"/>
                <w:sz w:val="16"/>
              </w:rPr>
            </w:pPr>
            <w:r w:rsidRPr="0068091F">
              <w:rPr>
                <w:rFonts w:ascii="Arial" w:eastAsia="Arial" w:hAnsi="Arial" w:cs="Arial"/>
                <w:color w:val="000000"/>
                <w:sz w:val="16"/>
              </w:rPr>
              <w:t>$'000</w:t>
            </w:r>
          </w:p>
        </w:tc>
      </w:tr>
      <w:tr w:rsidR="00355BFE" w14:paraId="6AD5641F" w14:textId="77777777" w:rsidTr="00355BFE">
        <w:trPr>
          <w:trHeight w:val="225"/>
        </w:trPr>
        <w:tc>
          <w:tcPr>
            <w:tcW w:w="2550" w:type="dxa"/>
            <w:gridSpan w:val="3"/>
            <w:tcBorders>
              <w:top w:val="nil"/>
              <w:left w:val="nil"/>
              <w:bottom w:val="nil"/>
              <w:right w:val="nil"/>
              <w:tl2br w:val="nil"/>
              <w:tr2bl w:val="nil"/>
            </w:tcBorders>
            <w:shd w:val="clear" w:color="auto" w:fill="FFFFFF"/>
            <w:tcMar>
              <w:left w:w="115" w:type="dxa"/>
              <w:right w:w="115" w:type="dxa"/>
            </w:tcMar>
            <w:vAlign w:val="bottom"/>
          </w:tcPr>
          <w:p w14:paraId="28122665" w14:textId="77777777" w:rsidR="003F0EEA" w:rsidRPr="0068091F" w:rsidRDefault="00FB7D0B">
            <w:pPr>
              <w:rPr>
                <w:rFonts w:ascii="Arial" w:eastAsia="Arial" w:hAnsi="Arial" w:cs="Arial"/>
                <w:color w:val="000000"/>
                <w:sz w:val="16"/>
              </w:rPr>
            </w:pPr>
            <w:r w:rsidRPr="0068091F">
              <w:rPr>
                <w:rFonts w:ascii="Arial" w:eastAsia="Arial" w:hAnsi="Arial" w:cs="Arial"/>
                <w:b/>
                <w:color w:val="000000"/>
                <w:sz w:val="16"/>
              </w:rPr>
              <w:t>As at 1 July 2014</w:t>
            </w:r>
          </w:p>
        </w:tc>
        <w:tc>
          <w:tcPr>
            <w:tcW w:w="810"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5B57B579" w14:textId="77777777" w:rsidR="003F0EEA" w:rsidRPr="0068091F" w:rsidRDefault="003F0EEA">
            <w:pPr>
              <w:rPr>
                <w:rFonts w:ascii="Arial" w:eastAsia="Arial" w:hAnsi="Arial" w:cs="Arial"/>
                <w:b/>
                <w:color w:val="000000"/>
                <w:sz w:val="16"/>
                <w:vertAlign w:val="superscript"/>
              </w:rPr>
            </w:pPr>
          </w:p>
        </w:tc>
        <w:tc>
          <w:tcPr>
            <w:tcW w:w="915"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4ED9D96B" w14:textId="77777777" w:rsidR="003F0EEA" w:rsidRPr="0068091F" w:rsidRDefault="003F0EEA">
            <w:pPr>
              <w:rPr>
                <w:rFonts w:ascii="Arial" w:eastAsia="Arial" w:hAnsi="Arial" w:cs="Arial"/>
                <w:color w:val="000000"/>
                <w:sz w:val="16"/>
                <w:vertAlign w:val="superscript"/>
              </w:rPr>
            </w:pPr>
          </w:p>
        </w:tc>
        <w:tc>
          <w:tcPr>
            <w:tcW w:w="1020"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1676BE62" w14:textId="77777777" w:rsidR="003F0EEA" w:rsidRPr="0068091F" w:rsidRDefault="003F0EEA">
            <w:pPr>
              <w:rPr>
                <w:rFonts w:ascii="Arial" w:eastAsia="Arial" w:hAnsi="Arial" w:cs="Arial"/>
                <w:color w:val="000000"/>
                <w:sz w:val="16"/>
                <w:vertAlign w:val="superscript"/>
              </w:rPr>
            </w:pPr>
          </w:p>
        </w:tc>
        <w:tc>
          <w:tcPr>
            <w:tcW w:w="1020"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64726747" w14:textId="77777777" w:rsidR="003F0EEA" w:rsidRPr="0068091F" w:rsidRDefault="003F0EEA">
            <w:pPr>
              <w:rPr>
                <w:rFonts w:ascii="Arial" w:eastAsia="Arial" w:hAnsi="Arial" w:cs="Arial"/>
                <w:color w:val="000000"/>
                <w:sz w:val="16"/>
                <w:vertAlign w:val="superscript"/>
              </w:rPr>
            </w:pPr>
          </w:p>
        </w:tc>
        <w:tc>
          <w:tcPr>
            <w:tcW w:w="1020"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13F0F90B" w14:textId="77777777" w:rsidR="003F0EEA" w:rsidRPr="0068091F" w:rsidRDefault="003F0EEA">
            <w:pPr>
              <w:rPr>
                <w:rFonts w:ascii="Arial" w:eastAsia="Arial" w:hAnsi="Arial" w:cs="Arial"/>
                <w:color w:val="000000"/>
                <w:sz w:val="16"/>
                <w:vertAlign w:val="superscript"/>
              </w:rPr>
            </w:pPr>
          </w:p>
        </w:tc>
        <w:tc>
          <w:tcPr>
            <w:tcW w:w="1020"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1E8EE434" w14:textId="77777777" w:rsidR="003F0EEA" w:rsidRPr="0068091F" w:rsidRDefault="003F0EEA">
            <w:pPr>
              <w:jc w:val="right"/>
              <w:rPr>
                <w:rFonts w:ascii="Arial" w:eastAsia="Arial" w:hAnsi="Arial" w:cs="Arial"/>
                <w:color w:val="000000"/>
                <w:sz w:val="16"/>
                <w:vertAlign w:val="superscript"/>
              </w:rPr>
            </w:pPr>
          </w:p>
        </w:tc>
      </w:tr>
      <w:tr w:rsidR="00355BFE" w14:paraId="43E62D8A" w14:textId="77777777" w:rsidTr="00355BFE">
        <w:trPr>
          <w:trHeight w:val="225"/>
        </w:trPr>
        <w:tc>
          <w:tcPr>
            <w:tcW w:w="180" w:type="dxa"/>
            <w:tcBorders>
              <w:top w:val="nil"/>
              <w:left w:val="nil"/>
              <w:bottom w:val="nil"/>
              <w:right w:val="nil"/>
              <w:tl2br w:val="nil"/>
              <w:tr2bl w:val="nil"/>
            </w:tcBorders>
            <w:shd w:val="clear" w:color="auto" w:fill="FFFFFF"/>
            <w:tcMar>
              <w:left w:w="115" w:type="dxa"/>
              <w:right w:w="115" w:type="dxa"/>
            </w:tcMar>
            <w:vAlign w:val="bottom"/>
          </w:tcPr>
          <w:p w14:paraId="176EF32C" w14:textId="77777777" w:rsidR="003F0EEA" w:rsidRPr="0068091F" w:rsidRDefault="003F0EEA">
            <w:pPr>
              <w:rPr>
                <w:rFonts w:ascii="Arial" w:eastAsia="Arial" w:hAnsi="Arial" w:cs="Arial"/>
                <w:color w:val="000000"/>
                <w:sz w:val="16"/>
                <w:vertAlign w:val="superscript"/>
              </w:rPr>
            </w:pPr>
          </w:p>
        </w:tc>
        <w:tc>
          <w:tcPr>
            <w:tcW w:w="2370" w:type="dxa"/>
            <w:gridSpan w:val="2"/>
            <w:vMerge w:val="restart"/>
            <w:tcBorders>
              <w:top w:val="nil"/>
              <w:left w:val="nil"/>
              <w:bottom w:val="nil"/>
              <w:right w:val="nil"/>
              <w:tl2br w:val="nil"/>
              <w:tr2bl w:val="nil"/>
            </w:tcBorders>
            <w:shd w:val="clear" w:color="auto" w:fill="FFFFFF"/>
            <w:tcMar>
              <w:left w:w="115" w:type="dxa"/>
              <w:right w:w="115" w:type="dxa"/>
            </w:tcMar>
            <w:vAlign w:val="bottom"/>
          </w:tcPr>
          <w:p w14:paraId="1673A6D8" w14:textId="77777777" w:rsidR="003F0EEA" w:rsidRPr="0068091F" w:rsidRDefault="00FB7D0B">
            <w:pPr>
              <w:rPr>
                <w:rFonts w:ascii="Arial" w:eastAsia="Arial" w:hAnsi="Arial" w:cs="Arial"/>
                <w:color w:val="000000"/>
                <w:sz w:val="20"/>
                <w:vertAlign w:val="superscript"/>
              </w:rPr>
            </w:pPr>
            <w:r w:rsidRPr="0068091F">
              <w:rPr>
                <w:rFonts w:ascii="Arial" w:eastAsia="Arial" w:hAnsi="Arial" w:cs="Arial"/>
                <w:color w:val="000000"/>
                <w:sz w:val="16"/>
              </w:rPr>
              <w:t xml:space="preserve">Gross book value </w:t>
            </w:r>
          </w:p>
        </w:tc>
        <w:tc>
          <w:tcPr>
            <w:tcW w:w="810" w:type="dxa"/>
            <w:tcBorders>
              <w:top w:val="nil"/>
              <w:left w:val="nil"/>
              <w:bottom w:val="nil"/>
              <w:right w:val="nil"/>
              <w:tl2br w:val="nil"/>
              <w:tr2bl w:val="nil"/>
            </w:tcBorders>
            <w:shd w:val="clear" w:color="auto" w:fill="FFFFFF"/>
            <w:tcMar>
              <w:left w:w="115" w:type="dxa"/>
              <w:right w:w="115" w:type="dxa"/>
            </w:tcMar>
            <w:vAlign w:val="bottom"/>
          </w:tcPr>
          <w:p w14:paraId="6DD4675C" w14:textId="77777777" w:rsidR="003F0EEA" w:rsidRPr="0068091F" w:rsidRDefault="00FB7D0B">
            <w:pPr>
              <w:jc w:val="right"/>
              <w:rPr>
                <w:rFonts w:ascii="Arial" w:eastAsia="Arial" w:hAnsi="Arial" w:cs="Arial"/>
                <w:color w:val="000000"/>
                <w:sz w:val="16"/>
                <w:vertAlign w:val="superscript"/>
              </w:rPr>
            </w:pPr>
            <w:r w:rsidRPr="0068091F">
              <w:rPr>
                <w:rFonts w:ascii="Arial" w:eastAsia="Arial" w:hAnsi="Arial" w:cs="Arial"/>
                <w:color w:val="000000"/>
                <w:sz w:val="16"/>
              </w:rPr>
              <w:t xml:space="preserve"> 9,700 </w:t>
            </w:r>
          </w:p>
        </w:tc>
        <w:tc>
          <w:tcPr>
            <w:tcW w:w="915" w:type="dxa"/>
            <w:tcBorders>
              <w:top w:val="nil"/>
              <w:left w:val="nil"/>
              <w:bottom w:val="nil"/>
              <w:right w:val="nil"/>
              <w:tl2br w:val="nil"/>
              <w:tr2bl w:val="nil"/>
            </w:tcBorders>
            <w:shd w:val="clear" w:color="auto" w:fill="FFFFFF"/>
            <w:tcMar>
              <w:left w:w="115" w:type="dxa"/>
              <w:right w:w="115" w:type="dxa"/>
            </w:tcMar>
            <w:vAlign w:val="bottom"/>
          </w:tcPr>
          <w:p w14:paraId="088E2BC9" w14:textId="77777777" w:rsidR="003F0EEA" w:rsidRPr="0068091F" w:rsidRDefault="00FB7D0B">
            <w:pPr>
              <w:jc w:val="right"/>
              <w:rPr>
                <w:rFonts w:ascii="Arial" w:eastAsia="Arial" w:hAnsi="Arial" w:cs="Arial"/>
                <w:color w:val="000000"/>
                <w:sz w:val="16"/>
              </w:rPr>
            </w:pPr>
            <w:r w:rsidRPr="0068091F">
              <w:rPr>
                <w:rFonts w:ascii="Arial" w:eastAsia="Arial" w:hAnsi="Arial" w:cs="Arial"/>
                <w:color w:val="000000"/>
                <w:sz w:val="16"/>
              </w:rPr>
              <w:t xml:space="preserve"> 131,617 </w:t>
            </w:r>
          </w:p>
        </w:tc>
        <w:tc>
          <w:tcPr>
            <w:tcW w:w="1020" w:type="dxa"/>
            <w:tcBorders>
              <w:top w:val="nil"/>
              <w:left w:val="nil"/>
              <w:bottom w:val="nil"/>
              <w:right w:val="nil"/>
              <w:tl2br w:val="nil"/>
              <w:tr2bl w:val="nil"/>
            </w:tcBorders>
            <w:shd w:val="clear" w:color="auto" w:fill="FFFFFF"/>
            <w:tcMar>
              <w:left w:w="115" w:type="dxa"/>
              <w:right w:w="115" w:type="dxa"/>
            </w:tcMar>
            <w:vAlign w:val="bottom"/>
          </w:tcPr>
          <w:p w14:paraId="51327F22" w14:textId="77777777" w:rsidR="003F0EEA" w:rsidRPr="0068091F" w:rsidRDefault="00FB7D0B">
            <w:pPr>
              <w:jc w:val="right"/>
              <w:rPr>
                <w:rFonts w:ascii="Arial" w:eastAsia="Arial" w:hAnsi="Arial" w:cs="Arial"/>
                <w:color w:val="000000"/>
                <w:sz w:val="16"/>
              </w:rPr>
            </w:pPr>
            <w:r w:rsidRPr="0068091F">
              <w:rPr>
                <w:rFonts w:ascii="Arial" w:eastAsia="Arial" w:hAnsi="Arial" w:cs="Arial"/>
                <w:color w:val="000000"/>
                <w:sz w:val="16"/>
              </w:rPr>
              <w:t xml:space="preserve"> 43,712 </w:t>
            </w:r>
          </w:p>
        </w:tc>
        <w:tc>
          <w:tcPr>
            <w:tcW w:w="1020" w:type="dxa"/>
            <w:tcBorders>
              <w:top w:val="nil"/>
              <w:left w:val="nil"/>
              <w:bottom w:val="nil"/>
              <w:right w:val="nil"/>
              <w:tl2br w:val="nil"/>
              <w:tr2bl w:val="nil"/>
            </w:tcBorders>
            <w:shd w:val="clear" w:color="auto" w:fill="FFFFFF"/>
            <w:tcMar>
              <w:left w:w="115" w:type="dxa"/>
              <w:right w:w="115" w:type="dxa"/>
            </w:tcMar>
            <w:vAlign w:val="bottom"/>
          </w:tcPr>
          <w:p w14:paraId="19440F46" w14:textId="77777777" w:rsidR="003F0EEA" w:rsidRPr="0068091F" w:rsidRDefault="00FB7D0B">
            <w:pPr>
              <w:jc w:val="right"/>
              <w:rPr>
                <w:rFonts w:ascii="Arial" w:eastAsia="Arial" w:hAnsi="Arial" w:cs="Arial"/>
                <w:color w:val="000000"/>
                <w:sz w:val="16"/>
              </w:rPr>
            </w:pPr>
            <w:r w:rsidRPr="0068091F">
              <w:rPr>
                <w:rFonts w:ascii="Arial" w:eastAsia="Arial" w:hAnsi="Arial" w:cs="Arial"/>
                <w:color w:val="000000"/>
                <w:sz w:val="16"/>
              </w:rPr>
              <w:t xml:space="preserve"> 1,095,494 </w:t>
            </w:r>
          </w:p>
        </w:tc>
        <w:tc>
          <w:tcPr>
            <w:tcW w:w="1020" w:type="dxa"/>
            <w:tcBorders>
              <w:top w:val="nil"/>
              <w:left w:val="nil"/>
              <w:bottom w:val="nil"/>
              <w:right w:val="nil"/>
              <w:tl2br w:val="nil"/>
              <w:tr2bl w:val="nil"/>
            </w:tcBorders>
            <w:shd w:val="clear" w:color="auto" w:fill="FFFFFF"/>
            <w:tcMar>
              <w:left w:w="115" w:type="dxa"/>
              <w:right w:w="115" w:type="dxa"/>
            </w:tcMar>
            <w:vAlign w:val="bottom"/>
          </w:tcPr>
          <w:p w14:paraId="630AB4B0" w14:textId="77777777" w:rsidR="003F0EEA" w:rsidRPr="0068091F" w:rsidRDefault="00FB7D0B">
            <w:pPr>
              <w:jc w:val="right"/>
              <w:rPr>
                <w:rFonts w:ascii="Arial" w:eastAsia="Arial" w:hAnsi="Arial" w:cs="Arial"/>
                <w:color w:val="000000"/>
                <w:sz w:val="16"/>
              </w:rPr>
            </w:pPr>
            <w:r w:rsidRPr="0068091F">
              <w:rPr>
                <w:rFonts w:ascii="Arial" w:eastAsia="Arial" w:hAnsi="Arial" w:cs="Arial"/>
                <w:color w:val="000000"/>
                <w:sz w:val="16"/>
              </w:rPr>
              <w:t xml:space="preserve"> 10,946 </w:t>
            </w:r>
          </w:p>
        </w:tc>
        <w:tc>
          <w:tcPr>
            <w:tcW w:w="1020" w:type="dxa"/>
            <w:tcBorders>
              <w:top w:val="nil"/>
              <w:left w:val="nil"/>
              <w:bottom w:val="nil"/>
              <w:right w:val="nil"/>
              <w:tl2br w:val="nil"/>
              <w:tr2bl w:val="nil"/>
            </w:tcBorders>
            <w:shd w:val="clear" w:color="auto" w:fill="FFFFFF"/>
            <w:tcMar>
              <w:left w:w="115" w:type="dxa"/>
              <w:right w:w="115" w:type="dxa"/>
            </w:tcMar>
            <w:vAlign w:val="bottom"/>
          </w:tcPr>
          <w:p w14:paraId="2CC2AFFC" w14:textId="77777777" w:rsidR="003F0EEA" w:rsidRPr="0068091F" w:rsidRDefault="00FB7D0B">
            <w:pPr>
              <w:jc w:val="right"/>
              <w:rPr>
                <w:rFonts w:ascii="Arial" w:eastAsia="Arial" w:hAnsi="Arial" w:cs="Arial"/>
                <w:color w:val="000000"/>
                <w:sz w:val="16"/>
              </w:rPr>
            </w:pPr>
            <w:r w:rsidRPr="0068091F">
              <w:rPr>
                <w:rFonts w:ascii="Arial" w:eastAsia="Arial" w:hAnsi="Arial" w:cs="Arial"/>
                <w:color w:val="000000"/>
                <w:sz w:val="16"/>
              </w:rPr>
              <w:t xml:space="preserve"> 1,291,469 </w:t>
            </w:r>
          </w:p>
        </w:tc>
      </w:tr>
      <w:tr w:rsidR="00355BFE" w14:paraId="1434231C" w14:textId="77777777" w:rsidTr="00355BFE">
        <w:trPr>
          <w:trHeight w:val="225"/>
        </w:trPr>
        <w:tc>
          <w:tcPr>
            <w:tcW w:w="180" w:type="dxa"/>
            <w:tcBorders>
              <w:top w:val="nil"/>
              <w:left w:val="nil"/>
              <w:bottom w:val="nil"/>
              <w:right w:val="nil"/>
              <w:tl2br w:val="nil"/>
              <w:tr2bl w:val="nil"/>
            </w:tcBorders>
            <w:shd w:val="clear" w:color="auto" w:fill="FFFFFF"/>
            <w:tcMar>
              <w:left w:w="115" w:type="dxa"/>
              <w:right w:w="115" w:type="dxa"/>
            </w:tcMar>
            <w:vAlign w:val="bottom"/>
          </w:tcPr>
          <w:p w14:paraId="706DDC8C" w14:textId="77777777" w:rsidR="003F0EEA" w:rsidRPr="0068091F" w:rsidRDefault="003F0EEA">
            <w:pPr>
              <w:rPr>
                <w:rFonts w:ascii="Arial" w:eastAsia="Arial" w:hAnsi="Arial" w:cs="Arial"/>
                <w:color w:val="000000"/>
                <w:sz w:val="16"/>
              </w:rPr>
            </w:pPr>
          </w:p>
        </w:tc>
        <w:tc>
          <w:tcPr>
            <w:tcW w:w="2370" w:type="dxa"/>
            <w:gridSpan w:val="2"/>
            <w:vMerge w:val="restart"/>
            <w:tcBorders>
              <w:top w:val="nil"/>
              <w:left w:val="nil"/>
              <w:bottom w:val="nil"/>
              <w:right w:val="nil"/>
              <w:tl2br w:val="nil"/>
              <w:tr2bl w:val="nil"/>
            </w:tcBorders>
            <w:shd w:val="clear" w:color="auto" w:fill="FFFFFF"/>
            <w:tcMar>
              <w:left w:w="115" w:type="dxa"/>
              <w:right w:w="115" w:type="dxa"/>
            </w:tcMar>
            <w:vAlign w:val="bottom"/>
          </w:tcPr>
          <w:p w14:paraId="41B2E9C2" w14:textId="77777777" w:rsidR="003F0EEA" w:rsidRPr="0068091F" w:rsidRDefault="00FB7D0B">
            <w:pPr>
              <w:rPr>
                <w:rFonts w:ascii="Arial" w:eastAsia="Arial" w:hAnsi="Arial" w:cs="Arial"/>
                <w:color w:val="000000"/>
                <w:sz w:val="20"/>
              </w:rPr>
            </w:pPr>
            <w:r w:rsidRPr="0068091F">
              <w:rPr>
                <w:rFonts w:ascii="Arial" w:eastAsia="Arial" w:hAnsi="Arial" w:cs="Arial"/>
                <w:color w:val="000000"/>
                <w:sz w:val="16"/>
              </w:rPr>
              <w:t>Accumulated depreciation/amortisation</w:t>
            </w:r>
          </w:p>
        </w:tc>
        <w:tc>
          <w:tcPr>
            <w:tcW w:w="810" w:type="dxa"/>
            <w:tcBorders>
              <w:top w:val="nil"/>
              <w:left w:val="nil"/>
              <w:bottom w:val="nil"/>
              <w:right w:val="nil"/>
              <w:tl2br w:val="nil"/>
              <w:tr2bl w:val="nil"/>
            </w:tcBorders>
            <w:shd w:val="clear" w:color="auto" w:fill="FFFFFF"/>
            <w:tcMar>
              <w:left w:w="115" w:type="dxa"/>
              <w:right w:w="115" w:type="dxa"/>
            </w:tcMar>
            <w:vAlign w:val="bottom"/>
          </w:tcPr>
          <w:p w14:paraId="07BE9DE8" w14:textId="77777777" w:rsidR="003F0EEA" w:rsidRPr="0068091F" w:rsidRDefault="003F0EEA">
            <w:pPr>
              <w:rPr>
                <w:rFonts w:ascii="Arial" w:eastAsia="Arial" w:hAnsi="Arial" w:cs="Arial"/>
                <w:color w:val="000000"/>
                <w:sz w:val="16"/>
                <w:vertAlign w:val="superscript"/>
              </w:rPr>
            </w:pPr>
          </w:p>
        </w:tc>
        <w:tc>
          <w:tcPr>
            <w:tcW w:w="915" w:type="dxa"/>
            <w:tcBorders>
              <w:top w:val="nil"/>
              <w:left w:val="nil"/>
              <w:bottom w:val="nil"/>
              <w:right w:val="nil"/>
              <w:tl2br w:val="nil"/>
              <w:tr2bl w:val="nil"/>
            </w:tcBorders>
            <w:shd w:val="clear" w:color="auto" w:fill="FFFFFF"/>
            <w:tcMar>
              <w:left w:w="115" w:type="dxa"/>
              <w:right w:w="115" w:type="dxa"/>
            </w:tcMar>
            <w:vAlign w:val="bottom"/>
          </w:tcPr>
          <w:p w14:paraId="36BC8C5F" w14:textId="77777777" w:rsidR="003F0EEA" w:rsidRPr="0068091F" w:rsidRDefault="003F0EEA">
            <w:pPr>
              <w:rPr>
                <w:rFonts w:ascii="Arial" w:eastAsia="Arial" w:hAnsi="Arial" w:cs="Arial"/>
                <w:color w:val="000000"/>
                <w:sz w:val="16"/>
                <w:vertAlign w:val="superscript"/>
              </w:rPr>
            </w:pPr>
          </w:p>
        </w:tc>
        <w:tc>
          <w:tcPr>
            <w:tcW w:w="1020" w:type="dxa"/>
            <w:tcBorders>
              <w:top w:val="nil"/>
              <w:left w:val="nil"/>
              <w:bottom w:val="nil"/>
              <w:right w:val="nil"/>
              <w:tl2br w:val="nil"/>
              <w:tr2bl w:val="nil"/>
            </w:tcBorders>
            <w:shd w:val="clear" w:color="auto" w:fill="FFFFFF"/>
            <w:tcMar>
              <w:left w:w="115" w:type="dxa"/>
              <w:right w:w="115" w:type="dxa"/>
            </w:tcMar>
            <w:vAlign w:val="bottom"/>
          </w:tcPr>
          <w:p w14:paraId="7A61F01A" w14:textId="77777777" w:rsidR="003F0EEA" w:rsidRPr="0068091F" w:rsidRDefault="003F0EEA">
            <w:pPr>
              <w:rPr>
                <w:rFonts w:ascii="Arial" w:eastAsia="Arial" w:hAnsi="Arial" w:cs="Arial"/>
                <w:color w:val="000000"/>
                <w:sz w:val="16"/>
                <w:vertAlign w:val="superscript"/>
              </w:rPr>
            </w:pPr>
          </w:p>
        </w:tc>
        <w:tc>
          <w:tcPr>
            <w:tcW w:w="1020" w:type="dxa"/>
            <w:tcBorders>
              <w:top w:val="nil"/>
              <w:left w:val="nil"/>
              <w:bottom w:val="nil"/>
              <w:right w:val="nil"/>
              <w:tl2br w:val="nil"/>
              <w:tr2bl w:val="nil"/>
            </w:tcBorders>
            <w:shd w:val="clear" w:color="auto" w:fill="FFFFFF"/>
            <w:tcMar>
              <w:left w:w="115" w:type="dxa"/>
              <w:right w:w="115" w:type="dxa"/>
            </w:tcMar>
            <w:vAlign w:val="bottom"/>
          </w:tcPr>
          <w:p w14:paraId="1A44FC40" w14:textId="77777777" w:rsidR="003F0EEA" w:rsidRPr="0068091F" w:rsidRDefault="003F0EEA">
            <w:pPr>
              <w:rPr>
                <w:rFonts w:ascii="Arial" w:eastAsia="Arial" w:hAnsi="Arial" w:cs="Arial"/>
                <w:color w:val="000000"/>
                <w:sz w:val="16"/>
                <w:vertAlign w:val="superscript"/>
              </w:rPr>
            </w:pPr>
          </w:p>
        </w:tc>
        <w:tc>
          <w:tcPr>
            <w:tcW w:w="1020" w:type="dxa"/>
            <w:tcBorders>
              <w:top w:val="nil"/>
              <w:left w:val="nil"/>
              <w:bottom w:val="nil"/>
              <w:right w:val="nil"/>
              <w:tl2br w:val="nil"/>
              <w:tr2bl w:val="nil"/>
            </w:tcBorders>
            <w:shd w:val="clear" w:color="auto" w:fill="FFFFFF"/>
            <w:tcMar>
              <w:left w:w="115" w:type="dxa"/>
              <w:right w:w="115" w:type="dxa"/>
            </w:tcMar>
            <w:vAlign w:val="bottom"/>
          </w:tcPr>
          <w:p w14:paraId="638DDED1" w14:textId="77777777" w:rsidR="003F0EEA" w:rsidRPr="0068091F" w:rsidRDefault="003F0EEA">
            <w:pPr>
              <w:rPr>
                <w:rFonts w:ascii="Arial" w:eastAsia="Arial" w:hAnsi="Arial" w:cs="Arial"/>
                <w:color w:val="000000"/>
                <w:sz w:val="16"/>
                <w:vertAlign w:val="superscript"/>
              </w:rPr>
            </w:pPr>
          </w:p>
        </w:tc>
        <w:tc>
          <w:tcPr>
            <w:tcW w:w="1020" w:type="dxa"/>
            <w:tcBorders>
              <w:top w:val="nil"/>
              <w:left w:val="nil"/>
              <w:bottom w:val="nil"/>
              <w:right w:val="nil"/>
              <w:tl2br w:val="nil"/>
              <w:tr2bl w:val="nil"/>
            </w:tcBorders>
            <w:shd w:val="clear" w:color="auto" w:fill="FFFFFF"/>
            <w:tcMar>
              <w:left w:w="115" w:type="dxa"/>
              <w:right w:w="115" w:type="dxa"/>
            </w:tcMar>
            <w:vAlign w:val="bottom"/>
          </w:tcPr>
          <w:p w14:paraId="54A9E146" w14:textId="77777777" w:rsidR="003F0EEA" w:rsidRPr="0068091F" w:rsidRDefault="003F0EEA">
            <w:pPr>
              <w:jc w:val="right"/>
              <w:rPr>
                <w:rFonts w:ascii="Arial" w:eastAsia="Arial" w:hAnsi="Arial" w:cs="Arial"/>
                <w:color w:val="000000"/>
                <w:sz w:val="16"/>
                <w:vertAlign w:val="superscript"/>
              </w:rPr>
            </w:pPr>
          </w:p>
        </w:tc>
      </w:tr>
      <w:tr w:rsidR="00355BFE" w14:paraId="234C5880" w14:textId="77777777" w:rsidTr="00355BFE">
        <w:trPr>
          <w:trHeight w:val="225"/>
        </w:trPr>
        <w:tc>
          <w:tcPr>
            <w:tcW w:w="180" w:type="dxa"/>
            <w:tcBorders>
              <w:top w:val="nil"/>
              <w:left w:val="nil"/>
              <w:bottom w:val="nil"/>
              <w:right w:val="nil"/>
              <w:tl2br w:val="nil"/>
              <w:tr2bl w:val="nil"/>
            </w:tcBorders>
            <w:shd w:val="clear" w:color="auto" w:fill="FFFFFF"/>
            <w:tcMar>
              <w:left w:w="115" w:type="dxa"/>
              <w:right w:w="115" w:type="dxa"/>
            </w:tcMar>
            <w:vAlign w:val="bottom"/>
          </w:tcPr>
          <w:p w14:paraId="2F339322" w14:textId="77777777" w:rsidR="003F0EEA" w:rsidRPr="0068091F" w:rsidRDefault="003F0EEA">
            <w:pPr>
              <w:rPr>
                <w:rFonts w:ascii="Arial" w:eastAsia="Arial" w:hAnsi="Arial" w:cs="Arial"/>
                <w:color w:val="000000"/>
                <w:sz w:val="16"/>
                <w:vertAlign w:val="superscript"/>
              </w:rPr>
            </w:pPr>
          </w:p>
        </w:tc>
        <w:tc>
          <w:tcPr>
            <w:tcW w:w="2370" w:type="dxa"/>
            <w:gridSpan w:val="2"/>
            <w:tcBorders>
              <w:top w:val="nil"/>
              <w:left w:val="nil"/>
              <w:bottom w:val="nil"/>
              <w:right w:val="nil"/>
              <w:tl2br w:val="nil"/>
              <w:tr2bl w:val="nil"/>
            </w:tcBorders>
            <w:shd w:val="clear" w:color="auto" w:fill="FFFFFF"/>
            <w:tcMar>
              <w:left w:w="115" w:type="dxa"/>
              <w:right w:w="115" w:type="dxa"/>
            </w:tcMar>
            <w:vAlign w:val="bottom"/>
          </w:tcPr>
          <w:p w14:paraId="68A04E66" w14:textId="77777777" w:rsidR="003F0EEA" w:rsidRPr="0068091F" w:rsidRDefault="00FB7D0B">
            <w:pPr>
              <w:rPr>
                <w:rFonts w:ascii="Arial" w:eastAsia="Arial" w:hAnsi="Arial" w:cs="Arial"/>
                <w:color w:val="000000"/>
                <w:sz w:val="20"/>
                <w:vertAlign w:val="superscript"/>
              </w:rPr>
            </w:pPr>
            <w:r w:rsidRPr="0068091F">
              <w:rPr>
                <w:rFonts w:ascii="Arial" w:eastAsia="Arial" w:hAnsi="Arial" w:cs="Arial"/>
                <w:color w:val="000000"/>
                <w:sz w:val="16"/>
              </w:rPr>
              <w:t>and impairment</w:t>
            </w:r>
          </w:p>
        </w:tc>
        <w:tc>
          <w:tcPr>
            <w:tcW w:w="810"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68EC9118" w14:textId="77777777" w:rsidR="003F0EEA" w:rsidRPr="0068091F" w:rsidRDefault="00FB7D0B">
            <w:pPr>
              <w:jc w:val="right"/>
              <w:rPr>
                <w:rFonts w:ascii="Arial" w:eastAsia="Arial" w:hAnsi="Arial" w:cs="Arial"/>
                <w:color w:val="000000"/>
                <w:sz w:val="16"/>
                <w:vertAlign w:val="superscript"/>
              </w:rPr>
            </w:pPr>
            <w:r w:rsidRPr="0068091F">
              <w:rPr>
                <w:rFonts w:ascii="Arial" w:eastAsia="Arial" w:hAnsi="Arial" w:cs="Arial"/>
                <w:color w:val="000000"/>
                <w:sz w:val="16"/>
              </w:rPr>
              <w:t xml:space="preserve"> - </w:t>
            </w:r>
          </w:p>
        </w:tc>
        <w:tc>
          <w:tcPr>
            <w:tcW w:w="915"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56873117" w14:textId="77777777" w:rsidR="003F0EEA" w:rsidRPr="0068091F" w:rsidRDefault="00FB7D0B">
            <w:pPr>
              <w:jc w:val="right"/>
              <w:rPr>
                <w:rFonts w:ascii="Arial" w:eastAsia="Arial" w:hAnsi="Arial" w:cs="Arial"/>
                <w:color w:val="000000"/>
                <w:sz w:val="16"/>
              </w:rPr>
            </w:pPr>
            <w:r w:rsidRPr="0068091F">
              <w:rPr>
                <w:rFonts w:ascii="Arial" w:eastAsia="Arial" w:hAnsi="Arial" w:cs="Arial"/>
                <w:color w:val="000000"/>
                <w:sz w:val="16"/>
              </w:rPr>
              <w:t>(2,454)</w:t>
            </w:r>
          </w:p>
        </w:tc>
        <w:tc>
          <w:tcPr>
            <w:tcW w:w="1020"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1B73245D" w14:textId="77777777" w:rsidR="003F0EEA" w:rsidRPr="0068091F" w:rsidRDefault="00FB7D0B">
            <w:pPr>
              <w:jc w:val="right"/>
              <w:rPr>
                <w:rFonts w:ascii="Arial" w:eastAsia="Arial" w:hAnsi="Arial" w:cs="Arial"/>
                <w:color w:val="000000"/>
                <w:sz w:val="16"/>
              </w:rPr>
            </w:pPr>
            <w:r w:rsidRPr="0068091F">
              <w:rPr>
                <w:rFonts w:ascii="Arial" w:eastAsia="Arial" w:hAnsi="Arial" w:cs="Arial"/>
                <w:color w:val="000000"/>
                <w:sz w:val="16"/>
              </w:rPr>
              <w:t>(11,519)</w:t>
            </w:r>
          </w:p>
        </w:tc>
        <w:tc>
          <w:tcPr>
            <w:tcW w:w="1020"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2B46B191" w14:textId="77777777" w:rsidR="003F0EEA" w:rsidRPr="0068091F" w:rsidRDefault="00FB7D0B">
            <w:pPr>
              <w:jc w:val="right"/>
              <w:rPr>
                <w:rFonts w:ascii="Arial" w:eastAsia="Arial" w:hAnsi="Arial" w:cs="Arial"/>
                <w:color w:val="000000"/>
                <w:sz w:val="16"/>
              </w:rPr>
            </w:pPr>
            <w:r w:rsidRPr="0068091F">
              <w:rPr>
                <w:rFonts w:ascii="Arial" w:eastAsia="Arial" w:hAnsi="Arial" w:cs="Arial"/>
                <w:color w:val="000000"/>
                <w:sz w:val="16"/>
              </w:rPr>
              <w:t>(75,591)</w:t>
            </w:r>
          </w:p>
        </w:tc>
        <w:tc>
          <w:tcPr>
            <w:tcW w:w="1020"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5216E0D7" w14:textId="77777777" w:rsidR="003F0EEA" w:rsidRPr="0068091F" w:rsidRDefault="00FB7D0B">
            <w:pPr>
              <w:jc w:val="right"/>
              <w:rPr>
                <w:rFonts w:ascii="Arial" w:eastAsia="Arial" w:hAnsi="Arial" w:cs="Arial"/>
                <w:color w:val="000000"/>
                <w:sz w:val="16"/>
              </w:rPr>
            </w:pPr>
            <w:r w:rsidRPr="0068091F">
              <w:rPr>
                <w:rFonts w:ascii="Arial" w:eastAsia="Arial" w:hAnsi="Arial" w:cs="Arial"/>
                <w:color w:val="000000"/>
                <w:sz w:val="16"/>
              </w:rPr>
              <w:t>(6,023)</w:t>
            </w:r>
          </w:p>
        </w:tc>
        <w:tc>
          <w:tcPr>
            <w:tcW w:w="1020"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52BC77CA" w14:textId="77777777" w:rsidR="003F0EEA" w:rsidRPr="0068091F" w:rsidRDefault="00FB7D0B">
            <w:pPr>
              <w:jc w:val="right"/>
              <w:rPr>
                <w:rFonts w:ascii="Arial" w:eastAsia="Arial" w:hAnsi="Arial" w:cs="Arial"/>
                <w:color w:val="000000"/>
                <w:sz w:val="16"/>
              </w:rPr>
            </w:pPr>
            <w:r w:rsidRPr="0068091F">
              <w:rPr>
                <w:rFonts w:ascii="Arial" w:eastAsia="Arial" w:hAnsi="Arial" w:cs="Arial"/>
                <w:color w:val="000000"/>
                <w:sz w:val="16"/>
              </w:rPr>
              <w:t>(95,587)</w:t>
            </w:r>
          </w:p>
        </w:tc>
      </w:tr>
      <w:tr w:rsidR="00355BFE" w14:paraId="2848CC4B" w14:textId="77777777" w:rsidTr="00355BFE">
        <w:trPr>
          <w:trHeight w:val="225"/>
        </w:trPr>
        <w:tc>
          <w:tcPr>
            <w:tcW w:w="2550" w:type="dxa"/>
            <w:gridSpan w:val="3"/>
            <w:tcBorders>
              <w:top w:val="nil"/>
              <w:left w:val="nil"/>
              <w:bottom w:val="nil"/>
              <w:right w:val="nil"/>
              <w:tl2br w:val="nil"/>
              <w:tr2bl w:val="nil"/>
            </w:tcBorders>
            <w:shd w:val="clear" w:color="auto" w:fill="FFFFFF"/>
            <w:tcMar>
              <w:left w:w="115" w:type="dxa"/>
              <w:right w:w="115" w:type="dxa"/>
            </w:tcMar>
            <w:vAlign w:val="bottom"/>
          </w:tcPr>
          <w:p w14:paraId="42EBF15A" w14:textId="77777777" w:rsidR="003F0EEA" w:rsidRPr="0068091F" w:rsidRDefault="00FB7D0B">
            <w:pPr>
              <w:rPr>
                <w:rFonts w:ascii="Arial" w:eastAsia="Arial" w:hAnsi="Arial" w:cs="Arial"/>
                <w:color w:val="000000"/>
                <w:sz w:val="16"/>
              </w:rPr>
            </w:pPr>
            <w:r w:rsidRPr="0068091F">
              <w:rPr>
                <w:rFonts w:ascii="Arial" w:eastAsia="Arial" w:hAnsi="Arial" w:cs="Arial"/>
                <w:b/>
                <w:color w:val="000000"/>
                <w:sz w:val="16"/>
              </w:rPr>
              <w:t>Opening net book balance</w:t>
            </w:r>
          </w:p>
        </w:tc>
        <w:tc>
          <w:tcPr>
            <w:tcW w:w="810" w:type="dxa"/>
            <w:tcBorders>
              <w:top w:val="single" w:sz="6" w:space="0" w:color="000000"/>
              <w:left w:val="nil"/>
              <w:bottom w:val="single" w:sz="6" w:space="0" w:color="000000"/>
              <w:right w:val="nil"/>
              <w:tl2br w:val="nil"/>
              <w:tr2bl w:val="nil"/>
            </w:tcBorders>
            <w:shd w:val="clear" w:color="auto" w:fill="FFFFFF"/>
            <w:tcMar>
              <w:left w:w="115" w:type="dxa"/>
              <w:right w:w="115" w:type="dxa"/>
            </w:tcMar>
            <w:vAlign w:val="bottom"/>
          </w:tcPr>
          <w:p w14:paraId="7096F524" w14:textId="77777777" w:rsidR="003F0EEA" w:rsidRPr="0068091F" w:rsidRDefault="00FB7D0B">
            <w:pPr>
              <w:jc w:val="right"/>
              <w:rPr>
                <w:rFonts w:ascii="Arial" w:eastAsia="Arial" w:hAnsi="Arial" w:cs="Arial"/>
                <w:b/>
                <w:color w:val="000000"/>
                <w:sz w:val="16"/>
                <w:vertAlign w:val="superscript"/>
              </w:rPr>
            </w:pPr>
            <w:r w:rsidRPr="0068091F">
              <w:rPr>
                <w:rFonts w:ascii="Arial" w:eastAsia="Arial" w:hAnsi="Arial" w:cs="Arial"/>
                <w:b/>
                <w:color w:val="000000"/>
                <w:sz w:val="16"/>
              </w:rPr>
              <w:t xml:space="preserve"> 9,700 </w:t>
            </w:r>
          </w:p>
        </w:tc>
        <w:tc>
          <w:tcPr>
            <w:tcW w:w="915" w:type="dxa"/>
            <w:tcBorders>
              <w:top w:val="single" w:sz="6" w:space="0" w:color="000000"/>
              <w:left w:val="nil"/>
              <w:bottom w:val="single" w:sz="6" w:space="0" w:color="000000"/>
              <w:right w:val="nil"/>
              <w:tl2br w:val="nil"/>
              <w:tr2bl w:val="nil"/>
            </w:tcBorders>
            <w:shd w:val="clear" w:color="auto" w:fill="FFFFFF"/>
            <w:tcMar>
              <w:left w:w="115" w:type="dxa"/>
              <w:right w:w="115" w:type="dxa"/>
            </w:tcMar>
            <w:vAlign w:val="bottom"/>
          </w:tcPr>
          <w:p w14:paraId="6A47520C" w14:textId="77777777" w:rsidR="003F0EEA" w:rsidRPr="0068091F" w:rsidRDefault="00FB7D0B">
            <w:pPr>
              <w:jc w:val="right"/>
              <w:rPr>
                <w:rFonts w:ascii="Arial" w:eastAsia="Arial" w:hAnsi="Arial" w:cs="Arial"/>
                <w:b/>
                <w:color w:val="000000"/>
                <w:sz w:val="16"/>
              </w:rPr>
            </w:pPr>
            <w:r w:rsidRPr="0068091F">
              <w:rPr>
                <w:rFonts w:ascii="Arial" w:eastAsia="Arial" w:hAnsi="Arial" w:cs="Arial"/>
                <w:b/>
                <w:color w:val="000000"/>
                <w:sz w:val="16"/>
              </w:rPr>
              <w:t xml:space="preserve"> 129,163 </w:t>
            </w:r>
          </w:p>
        </w:tc>
        <w:tc>
          <w:tcPr>
            <w:tcW w:w="1020" w:type="dxa"/>
            <w:tcBorders>
              <w:top w:val="single" w:sz="6" w:space="0" w:color="000000"/>
              <w:left w:val="nil"/>
              <w:bottom w:val="single" w:sz="6" w:space="0" w:color="000000"/>
              <w:right w:val="nil"/>
              <w:tl2br w:val="nil"/>
              <w:tr2bl w:val="nil"/>
            </w:tcBorders>
            <w:shd w:val="clear" w:color="auto" w:fill="FFFFFF"/>
            <w:tcMar>
              <w:left w:w="115" w:type="dxa"/>
              <w:right w:w="115" w:type="dxa"/>
            </w:tcMar>
            <w:vAlign w:val="bottom"/>
          </w:tcPr>
          <w:p w14:paraId="4D238CD2" w14:textId="77777777" w:rsidR="003F0EEA" w:rsidRPr="0068091F" w:rsidRDefault="00FB7D0B">
            <w:pPr>
              <w:jc w:val="right"/>
              <w:rPr>
                <w:rFonts w:ascii="Arial" w:eastAsia="Arial" w:hAnsi="Arial" w:cs="Arial"/>
                <w:b/>
                <w:color w:val="000000"/>
                <w:sz w:val="16"/>
              </w:rPr>
            </w:pPr>
            <w:r w:rsidRPr="0068091F">
              <w:rPr>
                <w:rFonts w:ascii="Arial" w:eastAsia="Arial" w:hAnsi="Arial" w:cs="Arial"/>
                <w:b/>
                <w:color w:val="000000"/>
                <w:sz w:val="16"/>
              </w:rPr>
              <w:t xml:space="preserve"> 32,193 </w:t>
            </w:r>
          </w:p>
        </w:tc>
        <w:tc>
          <w:tcPr>
            <w:tcW w:w="1020" w:type="dxa"/>
            <w:tcBorders>
              <w:top w:val="single" w:sz="6" w:space="0" w:color="000000"/>
              <w:left w:val="nil"/>
              <w:bottom w:val="single" w:sz="6" w:space="0" w:color="000000"/>
              <w:right w:val="nil"/>
              <w:tl2br w:val="nil"/>
              <w:tr2bl w:val="nil"/>
            </w:tcBorders>
            <w:shd w:val="clear" w:color="auto" w:fill="FFFFFF"/>
            <w:tcMar>
              <w:left w:w="115" w:type="dxa"/>
              <w:right w:w="115" w:type="dxa"/>
            </w:tcMar>
            <w:vAlign w:val="bottom"/>
          </w:tcPr>
          <w:p w14:paraId="67DE34CB" w14:textId="77777777" w:rsidR="003F0EEA" w:rsidRPr="0068091F" w:rsidRDefault="00FB7D0B">
            <w:pPr>
              <w:jc w:val="right"/>
              <w:rPr>
                <w:rFonts w:ascii="Arial" w:eastAsia="Arial" w:hAnsi="Arial" w:cs="Arial"/>
                <w:b/>
                <w:color w:val="000000"/>
                <w:sz w:val="16"/>
              </w:rPr>
            </w:pPr>
            <w:r w:rsidRPr="0068091F">
              <w:rPr>
                <w:rFonts w:ascii="Arial" w:eastAsia="Arial" w:hAnsi="Arial" w:cs="Arial"/>
                <w:b/>
                <w:color w:val="000000"/>
                <w:sz w:val="16"/>
              </w:rPr>
              <w:t xml:space="preserve"> 1,019,903 </w:t>
            </w:r>
          </w:p>
        </w:tc>
        <w:tc>
          <w:tcPr>
            <w:tcW w:w="1020" w:type="dxa"/>
            <w:tcBorders>
              <w:top w:val="single" w:sz="6" w:space="0" w:color="000000"/>
              <w:left w:val="nil"/>
              <w:bottom w:val="single" w:sz="6" w:space="0" w:color="000000"/>
              <w:right w:val="nil"/>
              <w:tl2br w:val="nil"/>
              <w:tr2bl w:val="nil"/>
            </w:tcBorders>
            <w:shd w:val="clear" w:color="auto" w:fill="FFFFFF"/>
            <w:tcMar>
              <w:left w:w="115" w:type="dxa"/>
              <w:right w:w="115" w:type="dxa"/>
            </w:tcMar>
            <w:vAlign w:val="bottom"/>
          </w:tcPr>
          <w:p w14:paraId="529C4E26" w14:textId="77777777" w:rsidR="003F0EEA" w:rsidRPr="0068091F" w:rsidRDefault="00FB7D0B">
            <w:pPr>
              <w:jc w:val="right"/>
              <w:rPr>
                <w:rFonts w:ascii="Arial" w:eastAsia="Arial" w:hAnsi="Arial" w:cs="Arial"/>
                <w:b/>
                <w:color w:val="000000"/>
                <w:sz w:val="16"/>
              </w:rPr>
            </w:pPr>
            <w:r w:rsidRPr="0068091F">
              <w:rPr>
                <w:rFonts w:ascii="Arial" w:eastAsia="Arial" w:hAnsi="Arial" w:cs="Arial"/>
                <w:b/>
                <w:color w:val="000000"/>
                <w:sz w:val="16"/>
              </w:rPr>
              <w:t xml:space="preserve"> 4,923 </w:t>
            </w:r>
          </w:p>
        </w:tc>
        <w:tc>
          <w:tcPr>
            <w:tcW w:w="1020" w:type="dxa"/>
            <w:tcBorders>
              <w:top w:val="single" w:sz="6" w:space="0" w:color="000000"/>
              <w:left w:val="nil"/>
              <w:bottom w:val="single" w:sz="6" w:space="0" w:color="000000"/>
              <w:right w:val="nil"/>
              <w:tl2br w:val="nil"/>
              <w:tr2bl w:val="nil"/>
            </w:tcBorders>
            <w:shd w:val="clear" w:color="auto" w:fill="FFFFFF"/>
            <w:tcMar>
              <w:left w:w="115" w:type="dxa"/>
              <w:right w:w="115" w:type="dxa"/>
            </w:tcMar>
            <w:vAlign w:val="bottom"/>
          </w:tcPr>
          <w:p w14:paraId="516EF20D" w14:textId="77777777" w:rsidR="003F0EEA" w:rsidRPr="0068091F" w:rsidRDefault="00FB7D0B">
            <w:pPr>
              <w:jc w:val="right"/>
              <w:rPr>
                <w:rFonts w:ascii="Arial" w:eastAsia="Arial" w:hAnsi="Arial" w:cs="Arial"/>
                <w:b/>
                <w:color w:val="000000"/>
                <w:sz w:val="16"/>
              </w:rPr>
            </w:pPr>
            <w:r w:rsidRPr="0068091F">
              <w:rPr>
                <w:rFonts w:ascii="Arial" w:eastAsia="Arial" w:hAnsi="Arial" w:cs="Arial"/>
                <w:b/>
                <w:color w:val="000000"/>
                <w:sz w:val="16"/>
              </w:rPr>
              <w:t xml:space="preserve"> 1,195,882 </w:t>
            </w:r>
          </w:p>
        </w:tc>
      </w:tr>
      <w:tr w:rsidR="00724034" w14:paraId="256E8F8E" w14:textId="77777777">
        <w:trPr>
          <w:trHeight w:val="60"/>
        </w:trPr>
        <w:tc>
          <w:tcPr>
            <w:tcW w:w="180" w:type="dxa"/>
            <w:tcBorders>
              <w:top w:val="nil"/>
              <w:left w:val="nil"/>
              <w:bottom w:val="nil"/>
              <w:right w:val="nil"/>
              <w:tl2br w:val="nil"/>
              <w:tr2bl w:val="nil"/>
            </w:tcBorders>
            <w:shd w:val="clear" w:color="auto" w:fill="FFFFFF"/>
            <w:tcMar>
              <w:left w:w="115" w:type="dxa"/>
              <w:right w:w="115" w:type="dxa"/>
            </w:tcMar>
            <w:vAlign w:val="bottom"/>
          </w:tcPr>
          <w:p w14:paraId="0BD21E7C" w14:textId="77777777" w:rsidR="003F0EEA" w:rsidRPr="0068091F" w:rsidRDefault="003F0EEA">
            <w:pPr>
              <w:rPr>
                <w:rFonts w:ascii="Arial" w:eastAsia="Arial" w:hAnsi="Arial" w:cs="Arial"/>
                <w:b/>
                <w:color w:val="000000"/>
                <w:sz w:val="16"/>
              </w:rPr>
            </w:pPr>
          </w:p>
        </w:tc>
        <w:tc>
          <w:tcPr>
            <w:tcW w:w="180" w:type="dxa"/>
            <w:tcBorders>
              <w:top w:val="nil"/>
              <w:left w:val="nil"/>
              <w:bottom w:val="nil"/>
              <w:right w:val="nil"/>
              <w:tl2br w:val="nil"/>
              <w:tr2bl w:val="nil"/>
            </w:tcBorders>
            <w:shd w:val="clear" w:color="auto" w:fill="FFFFFF"/>
            <w:tcMar>
              <w:left w:w="115" w:type="dxa"/>
              <w:right w:w="115" w:type="dxa"/>
            </w:tcMar>
            <w:vAlign w:val="bottom"/>
          </w:tcPr>
          <w:p w14:paraId="16E8283B" w14:textId="77777777" w:rsidR="003F0EEA" w:rsidRPr="0068091F" w:rsidRDefault="003F0EEA">
            <w:pPr>
              <w:rPr>
                <w:rFonts w:ascii="Arial" w:eastAsia="Arial" w:hAnsi="Arial" w:cs="Arial"/>
                <w:color w:val="000000"/>
                <w:sz w:val="16"/>
              </w:rPr>
            </w:pPr>
          </w:p>
        </w:tc>
        <w:tc>
          <w:tcPr>
            <w:tcW w:w="2190" w:type="dxa"/>
            <w:tcBorders>
              <w:top w:val="nil"/>
              <w:left w:val="nil"/>
              <w:bottom w:val="nil"/>
              <w:right w:val="nil"/>
              <w:tl2br w:val="nil"/>
              <w:tr2bl w:val="nil"/>
            </w:tcBorders>
            <w:shd w:val="clear" w:color="auto" w:fill="FFFFFF"/>
            <w:tcMar>
              <w:left w:w="115" w:type="dxa"/>
              <w:right w:w="115" w:type="dxa"/>
            </w:tcMar>
            <w:vAlign w:val="bottom"/>
          </w:tcPr>
          <w:p w14:paraId="635C2737" w14:textId="77777777" w:rsidR="003F0EEA" w:rsidRPr="0068091F" w:rsidRDefault="003F0EEA">
            <w:pPr>
              <w:rPr>
                <w:rFonts w:ascii="Arial" w:eastAsia="Arial" w:hAnsi="Arial" w:cs="Arial"/>
                <w:color w:val="000000"/>
                <w:sz w:val="16"/>
              </w:rPr>
            </w:pPr>
          </w:p>
        </w:tc>
        <w:tc>
          <w:tcPr>
            <w:tcW w:w="810"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61594344" w14:textId="77777777" w:rsidR="003F0EEA" w:rsidRPr="0068091F" w:rsidRDefault="003F0EEA">
            <w:pPr>
              <w:rPr>
                <w:rFonts w:ascii="Arial" w:eastAsia="Arial" w:hAnsi="Arial" w:cs="Arial"/>
                <w:color w:val="000000"/>
                <w:sz w:val="16"/>
                <w:vertAlign w:val="superscript"/>
              </w:rPr>
            </w:pPr>
          </w:p>
        </w:tc>
        <w:tc>
          <w:tcPr>
            <w:tcW w:w="915"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38768330" w14:textId="77777777" w:rsidR="003F0EEA" w:rsidRPr="0068091F" w:rsidRDefault="003F0EEA">
            <w:pPr>
              <w:rPr>
                <w:rFonts w:ascii="Arial" w:eastAsia="Arial" w:hAnsi="Arial" w:cs="Arial"/>
                <w:color w:val="000000"/>
                <w:sz w:val="16"/>
                <w:vertAlign w:val="superscript"/>
              </w:rPr>
            </w:pPr>
          </w:p>
        </w:tc>
        <w:tc>
          <w:tcPr>
            <w:tcW w:w="1020"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3593891A" w14:textId="77777777" w:rsidR="003F0EEA" w:rsidRPr="0068091F" w:rsidRDefault="003F0EEA">
            <w:pPr>
              <w:rPr>
                <w:rFonts w:ascii="Arial" w:eastAsia="Arial" w:hAnsi="Arial" w:cs="Arial"/>
                <w:color w:val="000000"/>
                <w:sz w:val="16"/>
                <w:vertAlign w:val="superscript"/>
              </w:rPr>
            </w:pPr>
          </w:p>
        </w:tc>
        <w:tc>
          <w:tcPr>
            <w:tcW w:w="1020"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77FF7AEA" w14:textId="77777777" w:rsidR="003F0EEA" w:rsidRPr="0068091F" w:rsidRDefault="003F0EEA">
            <w:pPr>
              <w:rPr>
                <w:rFonts w:ascii="Arial" w:eastAsia="Arial" w:hAnsi="Arial" w:cs="Arial"/>
                <w:color w:val="000000"/>
                <w:sz w:val="16"/>
                <w:vertAlign w:val="superscript"/>
              </w:rPr>
            </w:pPr>
          </w:p>
        </w:tc>
        <w:tc>
          <w:tcPr>
            <w:tcW w:w="1020"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1F1B665C" w14:textId="77777777" w:rsidR="003F0EEA" w:rsidRPr="0068091F" w:rsidRDefault="003F0EEA">
            <w:pPr>
              <w:rPr>
                <w:rFonts w:ascii="Arial" w:eastAsia="Arial" w:hAnsi="Arial" w:cs="Arial"/>
                <w:color w:val="000000"/>
                <w:sz w:val="16"/>
                <w:vertAlign w:val="superscript"/>
              </w:rPr>
            </w:pPr>
          </w:p>
        </w:tc>
        <w:tc>
          <w:tcPr>
            <w:tcW w:w="1020"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79329AEE" w14:textId="77777777" w:rsidR="003F0EEA" w:rsidRPr="0068091F" w:rsidRDefault="003F0EEA">
            <w:pPr>
              <w:jc w:val="right"/>
              <w:rPr>
                <w:rFonts w:ascii="Arial" w:eastAsia="Arial" w:hAnsi="Arial" w:cs="Arial"/>
                <w:color w:val="000000"/>
                <w:sz w:val="16"/>
                <w:vertAlign w:val="superscript"/>
              </w:rPr>
            </w:pPr>
          </w:p>
        </w:tc>
      </w:tr>
      <w:tr w:rsidR="00355BFE" w14:paraId="35D61D04" w14:textId="77777777" w:rsidTr="00355BFE">
        <w:trPr>
          <w:trHeight w:val="225"/>
        </w:trPr>
        <w:tc>
          <w:tcPr>
            <w:tcW w:w="2550" w:type="dxa"/>
            <w:gridSpan w:val="3"/>
            <w:vMerge w:val="restart"/>
            <w:tcBorders>
              <w:top w:val="nil"/>
              <w:left w:val="nil"/>
              <w:bottom w:val="nil"/>
              <w:right w:val="nil"/>
              <w:tl2br w:val="nil"/>
              <w:tr2bl w:val="nil"/>
            </w:tcBorders>
            <w:shd w:val="clear" w:color="auto" w:fill="FFFFFF"/>
            <w:tcMar>
              <w:left w:w="115" w:type="dxa"/>
              <w:right w:w="115" w:type="dxa"/>
            </w:tcMar>
            <w:vAlign w:val="bottom"/>
          </w:tcPr>
          <w:p w14:paraId="1D85EE10" w14:textId="77777777" w:rsidR="003F0EEA" w:rsidRPr="0068091F" w:rsidRDefault="00FB7D0B">
            <w:pPr>
              <w:rPr>
                <w:rFonts w:ascii="Arial" w:eastAsia="Arial" w:hAnsi="Arial" w:cs="Arial"/>
                <w:color w:val="000000"/>
                <w:sz w:val="16"/>
                <w:vertAlign w:val="superscript"/>
              </w:rPr>
            </w:pPr>
            <w:r w:rsidRPr="0068091F">
              <w:rPr>
                <w:rFonts w:ascii="Arial" w:eastAsia="Arial" w:hAnsi="Arial" w:cs="Arial"/>
                <w:b/>
                <w:color w:val="000000"/>
                <w:sz w:val="16"/>
              </w:rPr>
              <w:t>CAPITAL ASSET ADDITIONS</w:t>
            </w:r>
          </w:p>
        </w:tc>
        <w:tc>
          <w:tcPr>
            <w:tcW w:w="810" w:type="dxa"/>
            <w:tcBorders>
              <w:top w:val="nil"/>
              <w:left w:val="nil"/>
              <w:bottom w:val="nil"/>
              <w:right w:val="nil"/>
              <w:tl2br w:val="nil"/>
              <w:tr2bl w:val="nil"/>
            </w:tcBorders>
            <w:shd w:val="clear" w:color="auto" w:fill="FFFFFF"/>
            <w:tcMar>
              <w:left w:w="115" w:type="dxa"/>
              <w:right w:w="115" w:type="dxa"/>
            </w:tcMar>
            <w:vAlign w:val="bottom"/>
          </w:tcPr>
          <w:p w14:paraId="360AAD7C" w14:textId="77777777" w:rsidR="003F0EEA" w:rsidRPr="0068091F" w:rsidRDefault="003F0EEA">
            <w:pPr>
              <w:rPr>
                <w:rFonts w:ascii="Arial" w:eastAsia="Arial" w:hAnsi="Arial" w:cs="Arial"/>
                <w:b/>
                <w:color w:val="000000"/>
                <w:sz w:val="16"/>
                <w:vertAlign w:val="superscript"/>
              </w:rPr>
            </w:pPr>
          </w:p>
        </w:tc>
        <w:tc>
          <w:tcPr>
            <w:tcW w:w="915" w:type="dxa"/>
            <w:tcBorders>
              <w:top w:val="nil"/>
              <w:left w:val="nil"/>
              <w:bottom w:val="nil"/>
              <w:right w:val="nil"/>
              <w:tl2br w:val="nil"/>
              <w:tr2bl w:val="nil"/>
            </w:tcBorders>
            <w:shd w:val="clear" w:color="auto" w:fill="FFFFFF"/>
            <w:tcMar>
              <w:left w:w="115" w:type="dxa"/>
              <w:right w:w="115" w:type="dxa"/>
            </w:tcMar>
            <w:vAlign w:val="bottom"/>
          </w:tcPr>
          <w:p w14:paraId="52AE476F" w14:textId="77777777" w:rsidR="003F0EEA" w:rsidRPr="0068091F" w:rsidRDefault="003F0EEA">
            <w:pPr>
              <w:rPr>
                <w:rFonts w:ascii="Arial" w:eastAsia="Arial" w:hAnsi="Arial" w:cs="Arial"/>
                <w:color w:val="000000"/>
                <w:sz w:val="16"/>
                <w:vertAlign w:val="superscript"/>
              </w:rPr>
            </w:pPr>
          </w:p>
        </w:tc>
        <w:tc>
          <w:tcPr>
            <w:tcW w:w="1020" w:type="dxa"/>
            <w:tcBorders>
              <w:top w:val="nil"/>
              <w:left w:val="nil"/>
              <w:bottom w:val="nil"/>
              <w:right w:val="nil"/>
              <w:tl2br w:val="nil"/>
              <w:tr2bl w:val="nil"/>
            </w:tcBorders>
            <w:shd w:val="clear" w:color="auto" w:fill="FFFFFF"/>
            <w:tcMar>
              <w:left w:w="115" w:type="dxa"/>
              <w:right w:w="115" w:type="dxa"/>
            </w:tcMar>
            <w:vAlign w:val="bottom"/>
          </w:tcPr>
          <w:p w14:paraId="02F761EB" w14:textId="77777777" w:rsidR="003F0EEA" w:rsidRPr="0068091F" w:rsidRDefault="003F0EEA">
            <w:pPr>
              <w:rPr>
                <w:rFonts w:ascii="Arial" w:eastAsia="Arial" w:hAnsi="Arial" w:cs="Arial"/>
                <w:color w:val="000000"/>
                <w:sz w:val="16"/>
                <w:vertAlign w:val="superscript"/>
              </w:rPr>
            </w:pPr>
          </w:p>
        </w:tc>
        <w:tc>
          <w:tcPr>
            <w:tcW w:w="1020" w:type="dxa"/>
            <w:tcBorders>
              <w:top w:val="nil"/>
              <w:left w:val="nil"/>
              <w:bottom w:val="nil"/>
              <w:right w:val="nil"/>
              <w:tl2br w:val="nil"/>
              <w:tr2bl w:val="nil"/>
            </w:tcBorders>
            <w:shd w:val="clear" w:color="auto" w:fill="FFFFFF"/>
            <w:tcMar>
              <w:left w:w="115" w:type="dxa"/>
              <w:right w:w="115" w:type="dxa"/>
            </w:tcMar>
            <w:vAlign w:val="bottom"/>
          </w:tcPr>
          <w:p w14:paraId="677419C2" w14:textId="77777777" w:rsidR="003F0EEA" w:rsidRPr="0068091F" w:rsidRDefault="003F0EEA">
            <w:pPr>
              <w:rPr>
                <w:rFonts w:ascii="Arial" w:eastAsia="Arial" w:hAnsi="Arial" w:cs="Arial"/>
                <w:color w:val="000000"/>
                <w:sz w:val="16"/>
                <w:vertAlign w:val="superscript"/>
              </w:rPr>
            </w:pPr>
          </w:p>
        </w:tc>
        <w:tc>
          <w:tcPr>
            <w:tcW w:w="1020" w:type="dxa"/>
            <w:tcBorders>
              <w:top w:val="nil"/>
              <w:left w:val="nil"/>
              <w:bottom w:val="nil"/>
              <w:right w:val="nil"/>
              <w:tl2br w:val="nil"/>
              <w:tr2bl w:val="nil"/>
            </w:tcBorders>
            <w:shd w:val="clear" w:color="auto" w:fill="FFFFFF"/>
            <w:tcMar>
              <w:left w:w="115" w:type="dxa"/>
              <w:right w:w="115" w:type="dxa"/>
            </w:tcMar>
            <w:vAlign w:val="bottom"/>
          </w:tcPr>
          <w:p w14:paraId="6C0D19D1" w14:textId="77777777" w:rsidR="003F0EEA" w:rsidRPr="0068091F" w:rsidRDefault="003F0EEA">
            <w:pPr>
              <w:rPr>
                <w:rFonts w:ascii="Arial" w:eastAsia="Arial" w:hAnsi="Arial" w:cs="Arial"/>
                <w:color w:val="000000"/>
                <w:sz w:val="16"/>
                <w:vertAlign w:val="superscript"/>
              </w:rPr>
            </w:pPr>
          </w:p>
        </w:tc>
        <w:tc>
          <w:tcPr>
            <w:tcW w:w="1020" w:type="dxa"/>
            <w:tcBorders>
              <w:top w:val="nil"/>
              <w:left w:val="nil"/>
              <w:bottom w:val="nil"/>
              <w:right w:val="nil"/>
              <w:tl2br w:val="nil"/>
              <w:tr2bl w:val="nil"/>
            </w:tcBorders>
            <w:shd w:val="clear" w:color="auto" w:fill="FFFFFF"/>
            <w:tcMar>
              <w:left w:w="115" w:type="dxa"/>
              <w:right w:w="115" w:type="dxa"/>
            </w:tcMar>
            <w:vAlign w:val="bottom"/>
          </w:tcPr>
          <w:p w14:paraId="4DA45ECF" w14:textId="77777777" w:rsidR="003F0EEA" w:rsidRPr="0068091F" w:rsidRDefault="003F0EEA">
            <w:pPr>
              <w:jc w:val="right"/>
              <w:rPr>
                <w:rFonts w:ascii="Arial" w:eastAsia="Arial" w:hAnsi="Arial" w:cs="Arial"/>
                <w:color w:val="000000"/>
                <w:sz w:val="16"/>
                <w:vertAlign w:val="superscript"/>
              </w:rPr>
            </w:pPr>
          </w:p>
        </w:tc>
      </w:tr>
      <w:tr w:rsidR="00355BFE" w14:paraId="10E3E1EE" w14:textId="77777777" w:rsidTr="00355BFE">
        <w:trPr>
          <w:trHeight w:val="225"/>
        </w:trPr>
        <w:tc>
          <w:tcPr>
            <w:tcW w:w="2550" w:type="dxa"/>
            <w:gridSpan w:val="3"/>
            <w:tcBorders>
              <w:top w:val="nil"/>
              <w:left w:val="nil"/>
              <w:bottom w:val="nil"/>
              <w:right w:val="nil"/>
              <w:tl2br w:val="nil"/>
              <w:tr2bl w:val="nil"/>
            </w:tcBorders>
            <w:shd w:val="clear" w:color="auto" w:fill="FFFFFF"/>
            <w:tcMar>
              <w:left w:w="115" w:type="dxa"/>
              <w:right w:w="115" w:type="dxa"/>
            </w:tcMar>
            <w:vAlign w:val="bottom"/>
          </w:tcPr>
          <w:p w14:paraId="7223F8EB" w14:textId="77777777" w:rsidR="003F0EEA" w:rsidRPr="0068091F" w:rsidRDefault="00FB7D0B">
            <w:pPr>
              <w:rPr>
                <w:rFonts w:ascii="Arial" w:eastAsia="Arial" w:hAnsi="Arial" w:cs="Arial"/>
                <w:color w:val="000000"/>
                <w:sz w:val="16"/>
                <w:vertAlign w:val="superscript"/>
              </w:rPr>
            </w:pPr>
            <w:r w:rsidRPr="0068091F">
              <w:rPr>
                <w:rFonts w:ascii="Arial" w:eastAsia="Arial" w:hAnsi="Arial" w:cs="Arial"/>
                <w:b/>
                <w:color w:val="000000"/>
                <w:sz w:val="16"/>
              </w:rPr>
              <w:t>Estimated expenditure on</w:t>
            </w:r>
          </w:p>
        </w:tc>
        <w:tc>
          <w:tcPr>
            <w:tcW w:w="810" w:type="dxa"/>
            <w:tcBorders>
              <w:top w:val="nil"/>
              <w:left w:val="nil"/>
              <w:bottom w:val="nil"/>
              <w:right w:val="nil"/>
              <w:tl2br w:val="nil"/>
              <w:tr2bl w:val="nil"/>
            </w:tcBorders>
            <w:shd w:val="clear" w:color="auto" w:fill="FFFFFF"/>
            <w:tcMar>
              <w:left w:w="115" w:type="dxa"/>
              <w:right w:w="115" w:type="dxa"/>
            </w:tcMar>
            <w:vAlign w:val="bottom"/>
          </w:tcPr>
          <w:p w14:paraId="691140BC" w14:textId="77777777" w:rsidR="003F0EEA" w:rsidRPr="0068091F" w:rsidRDefault="003F0EEA">
            <w:pPr>
              <w:rPr>
                <w:rFonts w:ascii="Arial" w:eastAsia="Arial" w:hAnsi="Arial" w:cs="Arial"/>
                <w:b/>
                <w:color w:val="000000"/>
                <w:sz w:val="16"/>
                <w:vertAlign w:val="superscript"/>
              </w:rPr>
            </w:pPr>
          </w:p>
        </w:tc>
        <w:tc>
          <w:tcPr>
            <w:tcW w:w="915" w:type="dxa"/>
            <w:tcBorders>
              <w:top w:val="nil"/>
              <w:left w:val="nil"/>
              <w:bottom w:val="nil"/>
              <w:right w:val="nil"/>
              <w:tl2br w:val="nil"/>
              <w:tr2bl w:val="nil"/>
            </w:tcBorders>
            <w:shd w:val="clear" w:color="auto" w:fill="FFFFFF"/>
            <w:tcMar>
              <w:left w:w="115" w:type="dxa"/>
              <w:right w:w="115" w:type="dxa"/>
            </w:tcMar>
            <w:vAlign w:val="bottom"/>
          </w:tcPr>
          <w:p w14:paraId="55ED65C1" w14:textId="77777777" w:rsidR="003F0EEA" w:rsidRPr="0068091F" w:rsidRDefault="003F0EEA">
            <w:pPr>
              <w:rPr>
                <w:rFonts w:ascii="Arial" w:eastAsia="Arial" w:hAnsi="Arial" w:cs="Arial"/>
                <w:color w:val="000000"/>
                <w:sz w:val="16"/>
                <w:vertAlign w:val="superscript"/>
              </w:rPr>
            </w:pPr>
          </w:p>
        </w:tc>
        <w:tc>
          <w:tcPr>
            <w:tcW w:w="1020" w:type="dxa"/>
            <w:tcBorders>
              <w:top w:val="nil"/>
              <w:left w:val="nil"/>
              <w:bottom w:val="nil"/>
              <w:right w:val="nil"/>
              <w:tl2br w:val="nil"/>
              <w:tr2bl w:val="nil"/>
            </w:tcBorders>
            <w:shd w:val="clear" w:color="auto" w:fill="FFFFFF"/>
            <w:tcMar>
              <w:left w:w="115" w:type="dxa"/>
              <w:right w:w="115" w:type="dxa"/>
            </w:tcMar>
            <w:vAlign w:val="bottom"/>
          </w:tcPr>
          <w:p w14:paraId="0F6587D1" w14:textId="77777777" w:rsidR="003F0EEA" w:rsidRPr="0068091F" w:rsidRDefault="003F0EEA">
            <w:pPr>
              <w:rPr>
                <w:rFonts w:ascii="Arial" w:eastAsia="Arial" w:hAnsi="Arial" w:cs="Arial"/>
                <w:color w:val="000000"/>
                <w:sz w:val="16"/>
                <w:vertAlign w:val="superscript"/>
              </w:rPr>
            </w:pPr>
          </w:p>
        </w:tc>
        <w:tc>
          <w:tcPr>
            <w:tcW w:w="1020" w:type="dxa"/>
            <w:tcBorders>
              <w:top w:val="nil"/>
              <w:left w:val="nil"/>
              <w:bottom w:val="nil"/>
              <w:right w:val="nil"/>
              <w:tl2br w:val="nil"/>
              <w:tr2bl w:val="nil"/>
            </w:tcBorders>
            <w:shd w:val="clear" w:color="auto" w:fill="FFFFFF"/>
            <w:tcMar>
              <w:left w:w="115" w:type="dxa"/>
              <w:right w:w="115" w:type="dxa"/>
            </w:tcMar>
            <w:vAlign w:val="bottom"/>
          </w:tcPr>
          <w:p w14:paraId="45180337" w14:textId="77777777" w:rsidR="003F0EEA" w:rsidRPr="0068091F" w:rsidRDefault="003F0EEA">
            <w:pPr>
              <w:rPr>
                <w:rFonts w:ascii="Arial" w:eastAsia="Arial" w:hAnsi="Arial" w:cs="Arial"/>
                <w:color w:val="000000"/>
                <w:sz w:val="16"/>
                <w:vertAlign w:val="superscript"/>
              </w:rPr>
            </w:pPr>
          </w:p>
        </w:tc>
        <w:tc>
          <w:tcPr>
            <w:tcW w:w="1020" w:type="dxa"/>
            <w:tcBorders>
              <w:top w:val="nil"/>
              <w:left w:val="nil"/>
              <w:bottom w:val="nil"/>
              <w:right w:val="nil"/>
              <w:tl2br w:val="nil"/>
              <w:tr2bl w:val="nil"/>
            </w:tcBorders>
            <w:shd w:val="clear" w:color="auto" w:fill="FFFFFF"/>
            <w:tcMar>
              <w:left w:w="115" w:type="dxa"/>
              <w:right w:w="115" w:type="dxa"/>
            </w:tcMar>
            <w:vAlign w:val="bottom"/>
          </w:tcPr>
          <w:p w14:paraId="454027DA" w14:textId="77777777" w:rsidR="003F0EEA" w:rsidRPr="0068091F" w:rsidRDefault="003F0EEA">
            <w:pPr>
              <w:rPr>
                <w:rFonts w:ascii="Arial" w:eastAsia="Arial" w:hAnsi="Arial" w:cs="Arial"/>
                <w:color w:val="000000"/>
                <w:sz w:val="16"/>
                <w:vertAlign w:val="superscript"/>
              </w:rPr>
            </w:pPr>
          </w:p>
        </w:tc>
        <w:tc>
          <w:tcPr>
            <w:tcW w:w="1020" w:type="dxa"/>
            <w:tcBorders>
              <w:top w:val="nil"/>
              <w:left w:val="nil"/>
              <w:bottom w:val="nil"/>
              <w:right w:val="nil"/>
              <w:tl2br w:val="nil"/>
              <w:tr2bl w:val="nil"/>
            </w:tcBorders>
            <w:shd w:val="clear" w:color="auto" w:fill="FFFFFF"/>
            <w:tcMar>
              <w:left w:w="115" w:type="dxa"/>
              <w:right w:w="115" w:type="dxa"/>
            </w:tcMar>
            <w:vAlign w:val="bottom"/>
          </w:tcPr>
          <w:p w14:paraId="4945ABFD" w14:textId="77777777" w:rsidR="003F0EEA" w:rsidRPr="0068091F" w:rsidRDefault="003F0EEA">
            <w:pPr>
              <w:jc w:val="right"/>
              <w:rPr>
                <w:rFonts w:ascii="Arial" w:eastAsia="Arial" w:hAnsi="Arial" w:cs="Arial"/>
                <w:color w:val="000000"/>
                <w:sz w:val="16"/>
                <w:vertAlign w:val="superscript"/>
              </w:rPr>
            </w:pPr>
          </w:p>
        </w:tc>
      </w:tr>
      <w:tr w:rsidR="00355BFE" w14:paraId="5D707F79" w14:textId="77777777" w:rsidTr="00355BFE">
        <w:trPr>
          <w:trHeight w:val="225"/>
        </w:trPr>
        <w:tc>
          <w:tcPr>
            <w:tcW w:w="2550" w:type="dxa"/>
            <w:gridSpan w:val="3"/>
            <w:tcBorders>
              <w:top w:val="nil"/>
              <w:left w:val="nil"/>
              <w:bottom w:val="nil"/>
              <w:right w:val="nil"/>
              <w:tl2br w:val="nil"/>
              <w:tr2bl w:val="nil"/>
            </w:tcBorders>
            <w:shd w:val="clear" w:color="auto" w:fill="FFFFFF"/>
            <w:tcMar>
              <w:left w:w="115" w:type="dxa"/>
              <w:right w:w="115" w:type="dxa"/>
            </w:tcMar>
            <w:vAlign w:val="bottom"/>
          </w:tcPr>
          <w:p w14:paraId="115F12D9" w14:textId="77777777" w:rsidR="003F0EEA" w:rsidRPr="0068091F" w:rsidRDefault="00FB7D0B">
            <w:pPr>
              <w:rPr>
                <w:rFonts w:ascii="Arial" w:eastAsia="Arial" w:hAnsi="Arial" w:cs="Arial"/>
                <w:color w:val="000000"/>
                <w:sz w:val="16"/>
                <w:vertAlign w:val="superscript"/>
              </w:rPr>
            </w:pPr>
            <w:r w:rsidRPr="0068091F">
              <w:rPr>
                <w:rFonts w:ascii="Arial" w:eastAsia="Arial" w:hAnsi="Arial" w:cs="Arial"/>
                <w:b/>
                <w:color w:val="000000"/>
                <w:sz w:val="16"/>
              </w:rPr>
              <w:t>new or replacement assets</w:t>
            </w:r>
          </w:p>
        </w:tc>
        <w:tc>
          <w:tcPr>
            <w:tcW w:w="810" w:type="dxa"/>
            <w:tcBorders>
              <w:top w:val="nil"/>
              <w:left w:val="nil"/>
              <w:bottom w:val="nil"/>
              <w:right w:val="nil"/>
              <w:tl2br w:val="nil"/>
              <w:tr2bl w:val="nil"/>
            </w:tcBorders>
            <w:shd w:val="clear" w:color="auto" w:fill="FFFFFF"/>
            <w:tcMar>
              <w:left w:w="115" w:type="dxa"/>
              <w:right w:w="115" w:type="dxa"/>
            </w:tcMar>
            <w:vAlign w:val="bottom"/>
          </w:tcPr>
          <w:p w14:paraId="0762C8D5" w14:textId="77777777" w:rsidR="003F0EEA" w:rsidRPr="0068091F" w:rsidRDefault="003F0EEA">
            <w:pPr>
              <w:rPr>
                <w:rFonts w:ascii="Arial" w:eastAsia="Arial" w:hAnsi="Arial" w:cs="Arial"/>
                <w:b/>
                <w:color w:val="000000"/>
                <w:sz w:val="16"/>
                <w:vertAlign w:val="superscript"/>
              </w:rPr>
            </w:pPr>
          </w:p>
        </w:tc>
        <w:tc>
          <w:tcPr>
            <w:tcW w:w="915" w:type="dxa"/>
            <w:tcBorders>
              <w:top w:val="nil"/>
              <w:left w:val="nil"/>
              <w:bottom w:val="nil"/>
              <w:right w:val="nil"/>
              <w:tl2br w:val="nil"/>
              <w:tr2bl w:val="nil"/>
            </w:tcBorders>
            <w:shd w:val="clear" w:color="auto" w:fill="FFFFFF"/>
            <w:tcMar>
              <w:left w:w="115" w:type="dxa"/>
              <w:right w:w="115" w:type="dxa"/>
            </w:tcMar>
            <w:vAlign w:val="bottom"/>
          </w:tcPr>
          <w:p w14:paraId="73BF371E" w14:textId="77777777" w:rsidR="003F0EEA" w:rsidRPr="0068091F" w:rsidRDefault="003F0EEA">
            <w:pPr>
              <w:rPr>
                <w:rFonts w:ascii="Arial" w:eastAsia="Arial" w:hAnsi="Arial" w:cs="Arial"/>
                <w:color w:val="000000"/>
                <w:sz w:val="16"/>
                <w:vertAlign w:val="superscript"/>
              </w:rPr>
            </w:pPr>
          </w:p>
        </w:tc>
        <w:tc>
          <w:tcPr>
            <w:tcW w:w="1020" w:type="dxa"/>
            <w:tcBorders>
              <w:top w:val="nil"/>
              <w:left w:val="nil"/>
              <w:bottom w:val="nil"/>
              <w:right w:val="nil"/>
              <w:tl2br w:val="nil"/>
              <w:tr2bl w:val="nil"/>
            </w:tcBorders>
            <w:shd w:val="clear" w:color="auto" w:fill="FFFFFF"/>
            <w:tcMar>
              <w:left w:w="115" w:type="dxa"/>
              <w:right w:w="115" w:type="dxa"/>
            </w:tcMar>
            <w:vAlign w:val="bottom"/>
          </w:tcPr>
          <w:p w14:paraId="09B26C64" w14:textId="77777777" w:rsidR="003F0EEA" w:rsidRPr="0068091F" w:rsidRDefault="003F0EEA">
            <w:pPr>
              <w:rPr>
                <w:rFonts w:ascii="Arial" w:eastAsia="Arial" w:hAnsi="Arial" w:cs="Arial"/>
                <w:color w:val="000000"/>
                <w:sz w:val="16"/>
                <w:vertAlign w:val="superscript"/>
              </w:rPr>
            </w:pPr>
          </w:p>
        </w:tc>
        <w:tc>
          <w:tcPr>
            <w:tcW w:w="1020" w:type="dxa"/>
            <w:tcBorders>
              <w:top w:val="nil"/>
              <w:left w:val="nil"/>
              <w:bottom w:val="nil"/>
              <w:right w:val="nil"/>
              <w:tl2br w:val="nil"/>
              <w:tr2bl w:val="nil"/>
            </w:tcBorders>
            <w:shd w:val="clear" w:color="auto" w:fill="FFFFFF"/>
            <w:tcMar>
              <w:left w:w="115" w:type="dxa"/>
              <w:right w:w="115" w:type="dxa"/>
            </w:tcMar>
            <w:vAlign w:val="bottom"/>
          </w:tcPr>
          <w:p w14:paraId="1CF500C9" w14:textId="77777777" w:rsidR="003F0EEA" w:rsidRPr="0068091F" w:rsidRDefault="003F0EEA">
            <w:pPr>
              <w:rPr>
                <w:rFonts w:ascii="Arial" w:eastAsia="Arial" w:hAnsi="Arial" w:cs="Arial"/>
                <w:color w:val="000000"/>
                <w:sz w:val="16"/>
                <w:vertAlign w:val="superscript"/>
              </w:rPr>
            </w:pPr>
          </w:p>
        </w:tc>
        <w:tc>
          <w:tcPr>
            <w:tcW w:w="1020" w:type="dxa"/>
            <w:tcBorders>
              <w:top w:val="nil"/>
              <w:left w:val="nil"/>
              <w:bottom w:val="nil"/>
              <w:right w:val="nil"/>
              <w:tl2br w:val="nil"/>
              <w:tr2bl w:val="nil"/>
            </w:tcBorders>
            <w:shd w:val="clear" w:color="auto" w:fill="FFFFFF"/>
            <w:tcMar>
              <w:left w:w="115" w:type="dxa"/>
              <w:right w:w="115" w:type="dxa"/>
            </w:tcMar>
            <w:vAlign w:val="bottom"/>
          </w:tcPr>
          <w:p w14:paraId="7E2BEB4B" w14:textId="77777777" w:rsidR="003F0EEA" w:rsidRPr="0068091F" w:rsidRDefault="003F0EEA">
            <w:pPr>
              <w:rPr>
                <w:rFonts w:ascii="Arial" w:eastAsia="Arial" w:hAnsi="Arial" w:cs="Arial"/>
                <w:color w:val="000000"/>
                <w:sz w:val="16"/>
                <w:vertAlign w:val="superscript"/>
              </w:rPr>
            </w:pPr>
          </w:p>
        </w:tc>
        <w:tc>
          <w:tcPr>
            <w:tcW w:w="1020" w:type="dxa"/>
            <w:tcBorders>
              <w:top w:val="nil"/>
              <w:left w:val="nil"/>
              <w:bottom w:val="nil"/>
              <w:right w:val="nil"/>
              <w:tl2br w:val="nil"/>
              <w:tr2bl w:val="nil"/>
            </w:tcBorders>
            <w:shd w:val="clear" w:color="auto" w:fill="FFFFFF"/>
            <w:tcMar>
              <w:left w:w="115" w:type="dxa"/>
              <w:right w:w="115" w:type="dxa"/>
            </w:tcMar>
            <w:vAlign w:val="bottom"/>
          </w:tcPr>
          <w:p w14:paraId="75EE9900" w14:textId="77777777" w:rsidR="003F0EEA" w:rsidRPr="0068091F" w:rsidRDefault="003F0EEA">
            <w:pPr>
              <w:jc w:val="right"/>
              <w:rPr>
                <w:rFonts w:ascii="Arial" w:eastAsia="Arial" w:hAnsi="Arial" w:cs="Arial"/>
                <w:color w:val="000000"/>
                <w:sz w:val="16"/>
                <w:vertAlign w:val="superscript"/>
              </w:rPr>
            </w:pPr>
          </w:p>
        </w:tc>
      </w:tr>
      <w:tr w:rsidR="00355BFE" w14:paraId="04495300" w14:textId="77777777" w:rsidTr="00355BFE">
        <w:trPr>
          <w:trHeight w:val="225"/>
        </w:trPr>
        <w:tc>
          <w:tcPr>
            <w:tcW w:w="180" w:type="dxa"/>
            <w:tcBorders>
              <w:top w:val="nil"/>
              <w:left w:val="nil"/>
              <w:bottom w:val="nil"/>
              <w:right w:val="nil"/>
              <w:tl2br w:val="nil"/>
              <w:tr2bl w:val="nil"/>
            </w:tcBorders>
            <w:shd w:val="clear" w:color="auto" w:fill="FFFFFF"/>
            <w:tcMar>
              <w:left w:w="115" w:type="dxa"/>
              <w:right w:w="115" w:type="dxa"/>
            </w:tcMar>
            <w:vAlign w:val="bottom"/>
          </w:tcPr>
          <w:p w14:paraId="3FD72324" w14:textId="77777777" w:rsidR="003F0EEA" w:rsidRPr="0068091F" w:rsidRDefault="003F0EEA">
            <w:pPr>
              <w:rPr>
                <w:rFonts w:ascii="Arial" w:eastAsia="Arial" w:hAnsi="Arial" w:cs="Arial"/>
                <w:color w:val="000000"/>
                <w:sz w:val="16"/>
                <w:vertAlign w:val="superscript"/>
              </w:rPr>
            </w:pPr>
          </w:p>
        </w:tc>
        <w:tc>
          <w:tcPr>
            <w:tcW w:w="2370" w:type="dxa"/>
            <w:gridSpan w:val="2"/>
            <w:tcBorders>
              <w:top w:val="nil"/>
              <w:left w:val="nil"/>
              <w:bottom w:val="nil"/>
              <w:right w:val="nil"/>
              <w:tl2br w:val="nil"/>
              <w:tr2bl w:val="nil"/>
            </w:tcBorders>
            <w:shd w:val="clear" w:color="auto" w:fill="FFFFFF"/>
            <w:tcMar>
              <w:left w:w="115" w:type="dxa"/>
              <w:right w:w="115" w:type="dxa"/>
            </w:tcMar>
            <w:vAlign w:val="bottom"/>
          </w:tcPr>
          <w:p w14:paraId="3B6C0248" w14:textId="77777777" w:rsidR="003F0EEA" w:rsidRPr="0068091F" w:rsidRDefault="00FB7D0B">
            <w:pPr>
              <w:rPr>
                <w:rFonts w:ascii="Arial" w:eastAsia="Arial" w:hAnsi="Arial" w:cs="Arial"/>
                <w:color w:val="000000"/>
                <w:sz w:val="20"/>
                <w:vertAlign w:val="superscript"/>
              </w:rPr>
            </w:pPr>
            <w:r w:rsidRPr="0068091F">
              <w:rPr>
                <w:rFonts w:ascii="Arial" w:eastAsia="Arial" w:hAnsi="Arial" w:cs="Arial"/>
                <w:color w:val="000000"/>
                <w:sz w:val="16"/>
              </w:rPr>
              <w:t>By purchase</w:t>
            </w:r>
          </w:p>
        </w:tc>
        <w:tc>
          <w:tcPr>
            <w:tcW w:w="810" w:type="dxa"/>
            <w:tcBorders>
              <w:top w:val="nil"/>
              <w:left w:val="nil"/>
              <w:bottom w:val="nil"/>
              <w:right w:val="nil"/>
              <w:tl2br w:val="nil"/>
              <w:tr2bl w:val="nil"/>
            </w:tcBorders>
            <w:shd w:val="clear" w:color="auto" w:fill="FFFFFF"/>
            <w:tcMar>
              <w:left w:w="115" w:type="dxa"/>
              <w:right w:w="115" w:type="dxa"/>
            </w:tcMar>
            <w:vAlign w:val="bottom"/>
          </w:tcPr>
          <w:p w14:paraId="39A054B4" w14:textId="77777777" w:rsidR="003F0EEA" w:rsidRPr="0068091F" w:rsidRDefault="003F0EEA">
            <w:pPr>
              <w:rPr>
                <w:rFonts w:ascii="Arial" w:eastAsia="Arial" w:hAnsi="Arial" w:cs="Arial"/>
                <w:color w:val="000000"/>
                <w:sz w:val="16"/>
                <w:vertAlign w:val="superscript"/>
              </w:rPr>
            </w:pPr>
          </w:p>
        </w:tc>
        <w:tc>
          <w:tcPr>
            <w:tcW w:w="915" w:type="dxa"/>
            <w:tcBorders>
              <w:top w:val="nil"/>
              <w:left w:val="nil"/>
              <w:bottom w:val="nil"/>
              <w:right w:val="nil"/>
              <w:tl2br w:val="nil"/>
              <w:tr2bl w:val="nil"/>
            </w:tcBorders>
            <w:shd w:val="clear" w:color="auto" w:fill="FFFFFF"/>
            <w:tcMar>
              <w:left w:w="115" w:type="dxa"/>
              <w:right w:w="115" w:type="dxa"/>
            </w:tcMar>
            <w:vAlign w:val="bottom"/>
          </w:tcPr>
          <w:p w14:paraId="56DE6158" w14:textId="77777777" w:rsidR="003F0EEA" w:rsidRPr="0068091F" w:rsidRDefault="003F0EEA">
            <w:pPr>
              <w:rPr>
                <w:rFonts w:ascii="Arial" w:eastAsia="Arial" w:hAnsi="Arial" w:cs="Arial"/>
                <w:color w:val="000000"/>
                <w:sz w:val="16"/>
                <w:vertAlign w:val="superscript"/>
              </w:rPr>
            </w:pPr>
          </w:p>
        </w:tc>
        <w:tc>
          <w:tcPr>
            <w:tcW w:w="1020" w:type="dxa"/>
            <w:tcBorders>
              <w:top w:val="nil"/>
              <w:left w:val="nil"/>
              <w:bottom w:val="nil"/>
              <w:right w:val="nil"/>
              <w:tl2br w:val="nil"/>
              <w:tr2bl w:val="nil"/>
            </w:tcBorders>
            <w:shd w:val="clear" w:color="auto" w:fill="FFFFFF"/>
            <w:tcMar>
              <w:left w:w="115" w:type="dxa"/>
              <w:right w:w="115" w:type="dxa"/>
            </w:tcMar>
            <w:vAlign w:val="bottom"/>
          </w:tcPr>
          <w:p w14:paraId="2C4952A6" w14:textId="77777777" w:rsidR="003F0EEA" w:rsidRPr="0068091F" w:rsidRDefault="003F0EEA">
            <w:pPr>
              <w:rPr>
                <w:rFonts w:ascii="Arial" w:eastAsia="Arial" w:hAnsi="Arial" w:cs="Arial"/>
                <w:color w:val="000000"/>
                <w:sz w:val="16"/>
                <w:vertAlign w:val="superscript"/>
              </w:rPr>
            </w:pPr>
          </w:p>
        </w:tc>
        <w:tc>
          <w:tcPr>
            <w:tcW w:w="1020" w:type="dxa"/>
            <w:tcBorders>
              <w:top w:val="nil"/>
              <w:left w:val="nil"/>
              <w:bottom w:val="nil"/>
              <w:right w:val="nil"/>
              <w:tl2br w:val="nil"/>
              <w:tr2bl w:val="nil"/>
            </w:tcBorders>
            <w:shd w:val="clear" w:color="auto" w:fill="FFFFFF"/>
            <w:tcMar>
              <w:left w:w="115" w:type="dxa"/>
              <w:right w:w="115" w:type="dxa"/>
            </w:tcMar>
            <w:vAlign w:val="bottom"/>
          </w:tcPr>
          <w:p w14:paraId="13F47071" w14:textId="77777777" w:rsidR="003F0EEA" w:rsidRPr="0068091F" w:rsidRDefault="003F0EEA">
            <w:pPr>
              <w:rPr>
                <w:rFonts w:ascii="Arial" w:eastAsia="Arial" w:hAnsi="Arial" w:cs="Arial"/>
                <w:color w:val="000000"/>
                <w:sz w:val="16"/>
                <w:vertAlign w:val="superscript"/>
              </w:rPr>
            </w:pPr>
          </w:p>
        </w:tc>
        <w:tc>
          <w:tcPr>
            <w:tcW w:w="1020" w:type="dxa"/>
            <w:tcBorders>
              <w:top w:val="nil"/>
              <w:left w:val="nil"/>
              <w:bottom w:val="nil"/>
              <w:right w:val="nil"/>
              <w:tl2br w:val="nil"/>
              <w:tr2bl w:val="nil"/>
            </w:tcBorders>
            <w:shd w:val="clear" w:color="auto" w:fill="FFFFFF"/>
            <w:tcMar>
              <w:left w:w="115" w:type="dxa"/>
              <w:right w:w="115" w:type="dxa"/>
            </w:tcMar>
            <w:vAlign w:val="bottom"/>
          </w:tcPr>
          <w:p w14:paraId="238A5321" w14:textId="77777777" w:rsidR="003F0EEA" w:rsidRPr="0068091F" w:rsidRDefault="003F0EEA">
            <w:pPr>
              <w:rPr>
                <w:rFonts w:ascii="Arial" w:eastAsia="Arial" w:hAnsi="Arial" w:cs="Arial"/>
                <w:color w:val="000000"/>
                <w:sz w:val="16"/>
                <w:vertAlign w:val="superscript"/>
              </w:rPr>
            </w:pPr>
          </w:p>
        </w:tc>
        <w:tc>
          <w:tcPr>
            <w:tcW w:w="1020" w:type="dxa"/>
            <w:tcBorders>
              <w:top w:val="nil"/>
              <w:left w:val="nil"/>
              <w:bottom w:val="nil"/>
              <w:right w:val="nil"/>
              <w:tl2br w:val="nil"/>
              <w:tr2bl w:val="nil"/>
            </w:tcBorders>
            <w:shd w:val="clear" w:color="auto" w:fill="FFFFFF"/>
            <w:tcMar>
              <w:left w:w="115" w:type="dxa"/>
              <w:right w:w="115" w:type="dxa"/>
            </w:tcMar>
            <w:vAlign w:val="bottom"/>
          </w:tcPr>
          <w:p w14:paraId="0CA3D5AF" w14:textId="77777777" w:rsidR="003F0EEA" w:rsidRPr="0068091F" w:rsidRDefault="003F0EEA">
            <w:pPr>
              <w:jc w:val="right"/>
              <w:rPr>
                <w:rFonts w:ascii="Arial" w:eastAsia="Arial" w:hAnsi="Arial" w:cs="Arial"/>
                <w:color w:val="000000"/>
                <w:sz w:val="16"/>
                <w:vertAlign w:val="superscript"/>
              </w:rPr>
            </w:pPr>
          </w:p>
        </w:tc>
      </w:tr>
      <w:tr w:rsidR="00724034" w14:paraId="3A25DA8E" w14:textId="77777777">
        <w:trPr>
          <w:trHeight w:val="255"/>
        </w:trPr>
        <w:tc>
          <w:tcPr>
            <w:tcW w:w="180" w:type="dxa"/>
            <w:tcBorders>
              <w:top w:val="nil"/>
              <w:left w:val="nil"/>
              <w:bottom w:val="nil"/>
              <w:right w:val="nil"/>
              <w:tl2br w:val="nil"/>
              <w:tr2bl w:val="nil"/>
            </w:tcBorders>
            <w:shd w:val="clear" w:color="auto" w:fill="FFFFFF"/>
            <w:tcMar>
              <w:left w:w="115" w:type="dxa"/>
              <w:right w:w="115" w:type="dxa"/>
            </w:tcMar>
            <w:vAlign w:val="bottom"/>
          </w:tcPr>
          <w:p w14:paraId="0C01D1DD" w14:textId="77777777" w:rsidR="003F0EEA" w:rsidRPr="0068091F" w:rsidRDefault="003F0EEA">
            <w:pPr>
              <w:rPr>
                <w:rFonts w:ascii="Arial" w:eastAsia="Arial" w:hAnsi="Arial" w:cs="Arial"/>
                <w:color w:val="000000"/>
                <w:sz w:val="16"/>
                <w:vertAlign w:val="superscript"/>
              </w:rPr>
            </w:pPr>
          </w:p>
        </w:tc>
        <w:tc>
          <w:tcPr>
            <w:tcW w:w="180" w:type="dxa"/>
            <w:tcBorders>
              <w:top w:val="nil"/>
              <w:left w:val="nil"/>
              <w:bottom w:val="nil"/>
              <w:right w:val="nil"/>
              <w:tl2br w:val="nil"/>
              <w:tr2bl w:val="nil"/>
            </w:tcBorders>
            <w:shd w:val="clear" w:color="auto" w:fill="FFFFFF"/>
            <w:tcMar>
              <w:left w:w="115" w:type="dxa"/>
              <w:right w:w="115" w:type="dxa"/>
            </w:tcMar>
            <w:vAlign w:val="bottom"/>
          </w:tcPr>
          <w:p w14:paraId="3CDCBADD" w14:textId="77777777" w:rsidR="003F0EEA" w:rsidRPr="0068091F" w:rsidRDefault="003F0EEA">
            <w:pPr>
              <w:rPr>
                <w:rFonts w:ascii="Arial" w:eastAsia="Arial" w:hAnsi="Arial" w:cs="Arial"/>
                <w:color w:val="000000"/>
                <w:sz w:val="20"/>
                <w:vertAlign w:val="superscript"/>
              </w:rPr>
            </w:pPr>
          </w:p>
        </w:tc>
        <w:tc>
          <w:tcPr>
            <w:tcW w:w="2190" w:type="dxa"/>
            <w:tcBorders>
              <w:top w:val="nil"/>
              <w:left w:val="nil"/>
              <w:bottom w:val="nil"/>
              <w:right w:val="nil"/>
              <w:tl2br w:val="nil"/>
              <w:tr2bl w:val="nil"/>
            </w:tcBorders>
            <w:shd w:val="clear" w:color="auto" w:fill="FFFFFF"/>
            <w:tcMar>
              <w:left w:w="115" w:type="dxa"/>
              <w:right w:w="115" w:type="dxa"/>
            </w:tcMar>
            <w:vAlign w:val="bottom"/>
          </w:tcPr>
          <w:p w14:paraId="7AF9973C" w14:textId="77777777" w:rsidR="003F0EEA" w:rsidRPr="0068091F" w:rsidRDefault="00FB7D0B">
            <w:pPr>
              <w:rPr>
                <w:rFonts w:ascii="Arial" w:eastAsia="Arial" w:hAnsi="Arial" w:cs="Arial"/>
                <w:color w:val="000000"/>
                <w:sz w:val="16"/>
                <w:vertAlign w:val="superscript"/>
              </w:rPr>
            </w:pPr>
            <w:r w:rsidRPr="0068091F">
              <w:rPr>
                <w:rFonts w:ascii="Arial" w:eastAsia="Arial" w:hAnsi="Arial" w:cs="Arial"/>
                <w:color w:val="000000"/>
                <w:sz w:val="16"/>
              </w:rPr>
              <w:t>Appropriation - equity</w:t>
            </w:r>
            <w:r w:rsidRPr="0068091F">
              <w:rPr>
                <w:rFonts w:ascii="Arial" w:eastAsia="Arial" w:hAnsi="Arial" w:cs="Arial"/>
                <w:color w:val="000000"/>
                <w:sz w:val="16"/>
                <w:vertAlign w:val="superscript"/>
              </w:rPr>
              <w:t>1 </w:t>
            </w:r>
          </w:p>
        </w:tc>
        <w:tc>
          <w:tcPr>
            <w:tcW w:w="810" w:type="dxa"/>
            <w:tcBorders>
              <w:top w:val="nil"/>
              <w:left w:val="nil"/>
              <w:bottom w:val="nil"/>
              <w:right w:val="nil"/>
              <w:tl2br w:val="nil"/>
              <w:tr2bl w:val="nil"/>
            </w:tcBorders>
            <w:shd w:val="clear" w:color="auto" w:fill="FFFFFF"/>
            <w:tcMar>
              <w:left w:w="115" w:type="dxa"/>
              <w:right w:w="115" w:type="dxa"/>
            </w:tcMar>
            <w:vAlign w:val="bottom"/>
          </w:tcPr>
          <w:p w14:paraId="542BC8AA" w14:textId="77777777" w:rsidR="003F0EEA" w:rsidRPr="0068091F" w:rsidRDefault="00FB7D0B">
            <w:pPr>
              <w:jc w:val="right"/>
              <w:rPr>
                <w:rFonts w:ascii="Arial" w:eastAsia="Arial" w:hAnsi="Arial" w:cs="Arial"/>
                <w:color w:val="000000"/>
                <w:sz w:val="16"/>
                <w:vertAlign w:val="superscript"/>
              </w:rPr>
            </w:pPr>
            <w:r w:rsidRPr="0068091F">
              <w:rPr>
                <w:rFonts w:ascii="Arial" w:eastAsia="Arial" w:hAnsi="Arial" w:cs="Arial"/>
                <w:color w:val="000000"/>
                <w:sz w:val="16"/>
              </w:rPr>
              <w:t xml:space="preserve"> - </w:t>
            </w:r>
          </w:p>
        </w:tc>
        <w:tc>
          <w:tcPr>
            <w:tcW w:w="915" w:type="dxa"/>
            <w:tcBorders>
              <w:top w:val="nil"/>
              <w:left w:val="nil"/>
              <w:bottom w:val="nil"/>
              <w:right w:val="nil"/>
              <w:tl2br w:val="nil"/>
              <w:tr2bl w:val="nil"/>
            </w:tcBorders>
            <w:shd w:val="clear" w:color="auto" w:fill="FFFFFF"/>
            <w:tcMar>
              <w:left w:w="115" w:type="dxa"/>
              <w:right w:w="115" w:type="dxa"/>
            </w:tcMar>
            <w:vAlign w:val="bottom"/>
          </w:tcPr>
          <w:p w14:paraId="2EBE02F1" w14:textId="77777777" w:rsidR="003F0EEA" w:rsidRPr="0068091F" w:rsidRDefault="00FB7D0B">
            <w:pPr>
              <w:jc w:val="right"/>
              <w:rPr>
                <w:rFonts w:ascii="Arial" w:eastAsia="Arial" w:hAnsi="Arial" w:cs="Arial"/>
                <w:color w:val="000000"/>
                <w:sz w:val="16"/>
              </w:rPr>
            </w:pPr>
            <w:r w:rsidRPr="0068091F">
              <w:rPr>
                <w:rFonts w:ascii="Arial" w:eastAsia="Arial" w:hAnsi="Arial" w:cs="Arial"/>
                <w:color w:val="000000"/>
                <w:sz w:val="16"/>
              </w:rPr>
              <w:t xml:space="preserve"> - </w:t>
            </w:r>
          </w:p>
        </w:tc>
        <w:tc>
          <w:tcPr>
            <w:tcW w:w="1020" w:type="dxa"/>
            <w:tcBorders>
              <w:top w:val="nil"/>
              <w:left w:val="nil"/>
              <w:bottom w:val="nil"/>
              <w:right w:val="nil"/>
              <w:tl2br w:val="nil"/>
              <w:tr2bl w:val="nil"/>
            </w:tcBorders>
            <w:shd w:val="clear" w:color="auto" w:fill="FFFFFF"/>
            <w:tcMar>
              <w:left w:w="115" w:type="dxa"/>
              <w:right w:w="115" w:type="dxa"/>
            </w:tcMar>
            <w:vAlign w:val="bottom"/>
          </w:tcPr>
          <w:p w14:paraId="4A83A194" w14:textId="77777777" w:rsidR="003F0EEA" w:rsidRPr="0068091F" w:rsidRDefault="00FB7D0B">
            <w:pPr>
              <w:jc w:val="right"/>
              <w:rPr>
                <w:rFonts w:ascii="Arial" w:eastAsia="Arial" w:hAnsi="Arial" w:cs="Arial"/>
                <w:color w:val="000000"/>
                <w:sz w:val="16"/>
              </w:rPr>
            </w:pPr>
            <w:r w:rsidRPr="0068091F">
              <w:rPr>
                <w:rFonts w:ascii="Arial" w:eastAsia="Arial" w:hAnsi="Arial" w:cs="Arial"/>
                <w:color w:val="000000"/>
                <w:sz w:val="16"/>
              </w:rPr>
              <w:t xml:space="preserve"> 16,252 </w:t>
            </w:r>
          </w:p>
        </w:tc>
        <w:tc>
          <w:tcPr>
            <w:tcW w:w="1020" w:type="dxa"/>
            <w:tcBorders>
              <w:top w:val="nil"/>
              <w:left w:val="nil"/>
              <w:bottom w:val="nil"/>
              <w:right w:val="nil"/>
              <w:tl2br w:val="nil"/>
              <w:tr2bl w:val="nil"/>
            </w:tcBorders>
            <w:shd w:val="clear" w:color="auto" w:fill="FFFFFF"/>
            <w:tcMar>
              <w:left w:w="115" w:type="dxa"/>
              <w:right w:w="115" w:type="dxa"/>
            </w:tcMar>
            <w:vAlign w:val="bottom"/>
          </w:tcPr>
          <w:p w14:paraId="36DA964A" w14:textId="77777777" w:rsidR="003F0EEA" w:rsidRPr="0068091F" w:rsidRDefault="00FB7D0B">
            <w:pPr>
              <w:jc w:val="right"/>
              <w:rPr>
                <w:rFonts w:ascii="Arial" w:eastAsia="Arial" w:hAnsi="Arial" w:cs="Arial"/>
                <w:color w:val="000000"/>
                <w:sz w:val="16"/>
              </w:rPr>
            </w:pPr>
            <w:r w:rsidRPr="0068091F">
              <w:rPr>
                <w:rFonts w:ascii="Arial" w:eastAsia="Arial" w:hAnsi="Arial" w:cs="Arial"/>
                <w:color w:val="000000"/>
                <w:sz w:val="16"/>
              </w:rPr>
              <w:t xml:space="preserve"> 7,254 </w:t>
            </w:r>
          </w:p>
        </w:tc>
        <w:tc>
          <w:tcPr>
            <w:tcW w:w="1020" w:type="dxa"/>
            <w:tcBorders>
              <w:top w:val="nil"/>
              <w:left w:val="nil"/>
              <w:bottom w:val="nil"/>
              <w:right w:val="nil"/>
              <w:tl2br w:val="nil"/>
              <w:tr2bl w:val="nil"/>
            </w:tcBorders>
            <w:shd w:val="clear" w:color="auto" w:fill="FFFFFF"/>
            <w:tcMar>
              <w:left w:w="115" w:type="dxa"/>
              <w:right w:w="115" w:type="dxa"/>
            </w:tcMar>
            <w:vAlign w:val="bottom"/>
          </w:tcPr>
          <w:p w14:paraId="7AC46175" w14:textId="77777777" w:rsidR="003F0EEA" w:rsidRPr="0068091F" w:rsidRDefault="00FB7D0B">
            <w:pPr>
              <w:jc w:val="right"/>
              <w:rPr>
                <w:rFonts w:ascii="Arial" w:eastAsia="Arial" w:hAnsi="Arial" w:cs="Arial"/>
                <w:color w:val="000000"/>
                <w:sz w:val="16"/>
              </w:rPr>
            </w:pPr>
            <w:r w:rsidRPr="0068091F">
              <w:rPr>
                <w:rFonts w:ascii="Arial" w:eastAsia="Arial" w:hAnsi="Arial" w:cs="Arial"/>
                <w:color w:val="000000"/>
                <w:sz w:val="16"/>
              </w:rPr>
              <w:t xml:space="preserve"> - </w:t>
            </w:r>
          </w:p>
        </w:tc>
        <w:tc>
          <w:tcPr>
            <w:tcW w:w="1020" w:type="dxa"/>
            <w:tcBorders>
              <w:top w:val="nil"/>
              <w:left w:val="nil"/>
              <w:bottom w:val="nil"/>
              <w:right w:val="nil"/>
              <w:tl2br w:val="nil"/>
              <w:tr2bl w:val="nil"/>
            </w:tcBorders>
            <w:shd w:val="clear" w:color="auto" w:fill="FFFFFF"/>
            <w:tcMar>
              <w:left w:w="115" w:type="dxa"/>
              <w:right w:w="115" w:type="dxa"/>
            </w:tcMar>
            <w:vAlign w:val="bottom"/>
          </w:tcPr>
          <w:p w14:paraId="5ADBB7C5" w14:textId="77777777" w:rsidR="003F0EEA" w:rsidRPr="0068091F" w:rsidRDefault="00FB7D0B">
            <w:pPr>
              <w:jc w:val="right"/>
              <w:rPr>
                <w:rFonts w:ascii="Arial" w:eastAsia="Arial" w:hAnsi="Arial" w:cs="Arial"/>
                <w:color w:val="000000"/>
                <w:sz w:val="16"/>
              </w:rPr>
            </w:pPr>
            <w:r w:rsidRPr="0068091F">
              <w:rPr>
                <w:rFonts w:ascii="Arial" w:eastAsia="Arial" w:hAnsi="Arial" w:cs="Arial"/>
                <w:color w:val="000000"/>
                <w:sz w:val="16"/>
              </w:rPr>
              <w:t xml:space="preserve"> 23,506 </w:t>
            </w:r>
          </w:p>
        </w:tc>
      </w:tr>
      <w:tr w:rsidR="00724034" w14:paraId="41078C69" w14:textId="77777777">
        <w:trPr>
          <w:trHeight w:val="255"/>
        </w:trPr>
        <w:tc>
          <w:tcPr>
            <w:tcW w:w="180" w:type="dxa"/>
            <w:tcBorders>
              <w:top w:val="nil"/>
              <w:left w:val="nil"/>
              <w:bottom w:val="nil"/>
              <w:right w:val="nil"/>
              <w:tl2br w:val="nil"/>
              <w:tr2bl w:val="nil"/>
            </w:tcBorders>
            <w:shd w:val="clear" w:color="auto" w:fill="FFFFFF"/>
            <w:tcMar>
              <w:left w:w="115" w:type="dxa"/>
              <w:right w:w="115" w:type="dxa"/>
            </w:tcMar>
            <w:vAlign w:val="bottom"/>
          </w:tcPr>
          <w:p w14:paraId="593E5931" w14:textId="77777777" w:rsidR="003F0EEA" w:rsidRPr="0068091F" w:rsidRDefault="003F0EEA">
            <w:pPr>
              <w:rPr>
                <w:rFonts w:ascii="Arial" w:eastAsia="Arial" w:hAnsi="Arial" w:cs="Arial"/>
                <w:color w:val="000000"/>
                <w:sz w:val="16"/>
              </w:rPr>
            </w:pPr>
          </w:p>
        </w:tc>
        <w:tc>
          <w:tcPr>
            <w:tcW w:w="180" w:type="dxa"/>
            <w:tcBorders>
              <w:top w:val="nil"/>
              <w:left w:val="nil"/>
              <w:bottom w:val="nil"/>
              <w:right w:val="nil"/>
              <w:tl2br w:val="nil"/>
              <w:tr2bl w:val="nil"/>
            </w:tcBorders>
            <w:shd w:val="clear" w:color="auto" w:fill="FFFFFF"/>
            <w:tcMar>
              <w:left w:w="115" w:type="dxa"/>
              <w:right w:w="115" w:type="dxa"/>
            </w:tcMar>
            <w:vAlign w:val="bottom"/>
          </w:tcPr>
          <w:p w14:paraId="47F0A450" w14:textId="77777777" w:rsidR="003F0EEA" w:rsidRPr="0068091F" w:rsidRDefault="003F0EEA">
            <w:pPr>
              <w:rPr>
                <w:rFonts w:ascii="Arial" w:eastAsia="Arial" w:hAnsi="Arial" w:cs="Arial"/>
                <w:color w:val="000000"/>
                <w:sz w:val="20"/>
              </w:rPr>
            </w:pPr>
          </w:p>
        </w:tc>
        <w:tc>
          <w:tcPr>
            <w:tcW w:w="2190" w:type="dxa"/>
            <w:tcBorders>
              <w:top w:val="nil"/>
              <w:left w:val="nil"/>
              <w:bottom w:val="nil"/>
              <w:right w:val="nil"/>
              <w:tl2br w:val="nil"/>
              <w:tr2bl w:val="nil"/>
            </w:tcBorders>
            <w:shd w:val="clear" w:color="auto" w:fill="FFFFFF"/>
            <w:tcMar>
              <w:left w:w="115" w:type="dxa"/>
              <w:right w:w="115" w:type="dxa"/>
            </w:tcMar>
            <w:vAlign w:val="bottom"/>
          </w:tcPr>
          <w:p w14:paraId="75DC6009" w14:textId="77777777" w:rsidR="003F0EEA" w:rsidRPr="0068091F" w:rsidRDefault="00FB7D0B">
            <w:pPr>
              <w:rPr>
                <w:rFonts w:ascii="Arial" w:eastAsia="Arial" w:hAnsi="Arial" w:cs="Arial"/>
                <w:color w:val="000000"/>
                <w:sz w:val="16"/>
              </w:rPr>
            </w:pPr>
            <w:r w:rsidRPr="0068091F">
              <w:rPr>
                <w:rFonts w:ascii="Arial" w:eastAsia="Arial" w:hAnsi="Arial" w:cs="Arial"/>
                <w:color w:val="000000"/>
                <w:sz w:val="16"/>
              </w:rPr>
              <w:t>Appropriation - ordinary</w:t>
            </w:r>
          </w:p>
        </w:tc>
        <w:tc>
          <w:tcPr>
            <w:tcW w:w="810" w:type="dxa"/>
            <w:tcBorders>
              <w:top w:val="nil"/>
              <w:left w:val="nil"/>
              <w:bottom w:val="nil"/>
              <w:right w:val="nil"/>
              <w:tl2br w:val="nil"/>
              <w:tr2bl w:val="nil"/>
            </w:tcBorders>
            <w:shd w:val="clear" w:color="auto" w:fill="FFFFFF"/>
            <w:tcMar>
              <w:left w:w="115" w:type="dxa"/>
              <w:right w:w="115" w:type="dxa"/>
            </w:tcMar>
            <w:vAlign w:val="bottom"/>
          </w:tcPr>
          <w:p w14:paraId="225D2458" w14:textId="77777777" w:rsidR="003F0EEA" w:rsidRPr="0068091F" w:rsidRDefault="003F0EEA">
            <w:pPr>
              <w:rPr>
                <w:rFonts w:ascii="Arial" w:eastAsia="Arial" w:hAnsi="Arial" w:cs="Arial"/>
                <w:color w:val="000000"/>
                <w:sz w:val="16"/>
                <w:vertAlign w:val="superscript"/>
              </w:rPr>
            </w:pPr>
          </w:p>
        </w:tc>
        <w:tc>
          <w:tcPr>
            <w:tcW w:w="915" w:type="dxa"/>
            <w:tcBorders>
              <w:top w:val="nil"/>
              <w:left w:val="nil"/>
              <w:bottom w:val="nil"/>
              <w:right w:val="nil"/>
              <w:tl2br w:val="nil"/>
              <w:tr2bl w:val="nil"/>
            </w:tcBorders>
            <w:shd w:val="clear" w:color="auto" w:fill="FFFFFF"/>
            <w:tcMar>
              <w:left w:w="115" w:type="dxa"/>
              <w:right w:w="115" w:type="dxa"/>
            </w:tcMar>
            <w:vAlign w:val="bottom"/>
          </w:tcPr>
          <w:p w14:paraId="6A480D2C" w14:textId="77777777" w:rsidR="003F0EEA" w:rsidRPr="0068091F" w:rsidRDefault="003F0EEA">
            <w:pPr>
              <w:rPr>
                <w:rFonts w:ascii="Arial" w:eastAsia="Arial" w:hAnsi="Arial" w:cs="Arial"/>
                <w:color w:val="000000"/>
                <w:sz w:val="16"/>
                <w:vertAlign w:val="superscript"/>
              </w:rPr>
            </w:pPr>
          </w:p>
        </w:tc>
        <w:tc>
          <w:tcPr>
            <w:tcW w:w="1020" w:type="dxa"/>
            <w:tcBorders>
              <w:top w:val="nil"/>
              <w:left w:val="nil"/>
              <w:bottom w:val="nil"/>
              <w:right w:val="nil"/>
              <w:tl2br w:val="nil"/>
              <w:tr2bl w:val="nil"/>
            </w:tcBorders>
            <w:shd w:val="clear" w:color="auto" w:fill="FFFFFF"/>
            <w:tcMar>
              <w:left w:w="115" w:type="dxa"/>
              <w:right w:w="115" w:type="dxa"/>
            </w:tcMar>
            <w:vAlign w:val="bottom"/>
          </w:tcPr>
          <w:p w14:paraId="692E3C94" w14:textId="77777777" w:rsidR="003F0EEA" w:rsidRPr="0068091F" w:rsidRDefault="003F0EEA">
            <w:pPr>
              <w:rPr>
                <w:rFonts w:ascii="Arial" w:eastAsia="Arial" w:hAnsi="Arial" w:cs="Arial"/>
                <w:color w:val="000000"/>
                <w:sz w:val="16"/>
                <w:vertAlign w:val="superscript"/>
              </w:rPr>
            </w:pPr>
          </w:p>
        </w:tc>
        <w:tc>
          <w:tcPr>
            <w:tcW w:w="1020" w:type="dxa"/>
            <w:tcBorders>
              <w:top w:val="nil"/>
              <w:left w:val="nil"/>
              <w:bottom w:val="nil"/>
              <w:right w:val="nil"/>
              <w:tl2br w:val="nil"/>
              <w:tr2bl w:val="nil"/>
            </w:tcBorders>
            <w:shd w:val="clear" w:color="auto" w:fill="FFFFFF"/>
            <w:tcMar>
              <w:left w:w="115" w:type="dxa"/>
              <w:right w:w="115" w:type="dxa"/>
            </w:tcMar>
            <w:vAlign w:val="bottom"/>
          </w:tcPr>
          <w:p w14:paraId="2DD6F3AD" w14:textId="77777777" w:rsidR="003F0EEA" w:rsidRPr="0068091F" w:rsidRDefault="003F0EEA">
            <w:pPr>
              <w:rPr>
                <w:rFonts w:ascii="Arial" w:eastAsia="Arial" w:hAnsi="Arial" w:cs="Arial"/>
                <w:color w:val="000000"/>
                <w:sz w:val="16"/>
                <w:vertAlign w:val="superscript"/>
              </w:rPr>
            </w:pPr>
          </w:p>
        </w:tc>
        <w:tc>
          <w:tcPr>
            <w:tcW w:w="1020" w:type="dxa"/>
            <w:tcBorders>
              <w:top w:val="nil"/>
              <w:left w:val="nil"/>
              <w:bottom w:val="nil"/>
              <w:right w:val="nil"/>
              <w:tl2br w:val="nil"/>
              <w:tr2bl w:val="nil"/>
            </w:tcBorders>
            <w:shd w:val="clear" w:color="auto" w:fill="FFFFFF"/>
            <w:tcMar>
              <w:left w:w="115" w:type="dxa"/>
              <w:right w:w="115" w:type="dxa"/>
            </w:tcMar>
            <w:vAlign w:val="bottom"/>
          </w:tcPr>
          <w:p w14:paraId="2A4EFBA1" w14:textId="77777777" w:rsidR="003F0EEA" w:rsidRPr="0068091F" w:rsidRDefault="003F0EEA">
            <w:pPr>
              <w:rPr>
                <w:rFonts w:ascii="Arial" w:eastAsia="Arial" w:hAnsi="Arial" w:cs="Arial"/>
                <w:color w:val="000000"/>
                <w:sz w:val="16"/>
                <w:vertAlign w:val="superscript"/>
              </w:rPr>
            </w:pPr>
          </w:p>
        </w:tc>
        <w:tc>
          <w:tcPr>
            <w:tcW w:w="1020" w:type="dxa"/>
            <w:tcBorders>
              <w:top w:val="nil"/>
              <w:left w:val="nil"/>
              <w:bottom w:val="nil"/>
              <w:right w:val="nil"/>
              <w:tl2br w:val="nil"/>
              <w:tr2bl w:val="nil"/>
            </w:tcBorders>
            <w:shd w:val="clear" w:color="auto" w:fill="FFFFFF"/>
            <w:tcMar>
              <w:left w:w="115" w:type="dxa"/>
              <w:right w:w="115" w:type="dxa"/>
            </w:tcMar>
            <w:vAlign w:val="bottom"/>
          </w:tcPr>
          <w:p w14:paraId="331829C7" w14:textId="77777777" w:rsidR="003F0EEA" w:rsidRPr="0068091F" w:rsidRDefault="003F0EEA">
            <w:pPr>
              <w:jc w:val="right"/>
              <w:rPr>
                <w:rFonts w:ascii="Arial" w:eastAsia="Arial" w:hAnsi="Arial" w:cs="Arial"/>
                <w:color w:val="000000"/>
                <w:sz w:val="16"/>
                <w:vertAlign w:val="superscript"/>
              </w:rPr>
            </w:pPr>
          </w:p>
        </w:tc>
      </w:tr>
      <w:tr w:rsidR="00724034" w14:paraId="0C0E3066" w14:textId="77777777">
        <w:trPr>
          <w:trHeight w:val="255"/>
        </w:trPr>
        <w:tc>
          <w:tcPr>
            <w:tcW w:w="180" w:type="dxa"/>
            <w:tcBorders>
              <w:top w:val="nil"/>
              <w:left w:val="nil"/>
              <w:bottom w:val="nil"/>
              <w:right w:val="nil"/>
              <w:tl2br w:val="nil"/>
              <w:tr2bl w:val="nil"/>
            </w:tcBorders>
            <w:shd w:val="clear" w:color="auto" w:fill="FFFFFF"/>
            <w:tcMar>
              <w:left w:w="115" w:type="dxa"/>
              <w:right w:w="115" w:type="dxa"/>
            </w:tcMar>
            <w:vAlign w:val="bottom"/>
          </w:tcPr>
          <w:p w14:paraId="59A27F2B" w14:textId="77777777" w:rsidR="003F0EEA" w:rsidRPr="0068091F" w:rsidRDefault="003F0EEA">
            <w:pPr>
              <w:rPr>
                <w:rFonts w:ascii="Arial" w:eastAsia="Arial" w:hAnsi="Arial" w:cs="Arial"/>
                <w:color w:val="000000"/>
                <w:sz w:val="16"/>
                <w:vertAlign w:val="superscript"/>
              </w:rPr>
            </w:pPr>
          </w:p>
        </w:tc>
        <w:tc>
          <w:tcPr>
            <w:tcW w:w="180" w:type="dxa"/>
            <w:tcBorders>
              <w:top w:val="nil"/>
              <w:left w:val="nil"/>
              <w:bottom w:val="nil"/>
              <w:right w:val="nil"/>
              <w:tl2br w:val="nil"/>
              <w:tr2bl w:val="nil"/>
            </w:tcBorders>
            <w:shd w:val="clear" w:color="auto" w:fill="FFFFFF"/>
            <w:tcMar>
              <w:left w:w="115" w:type="dxa"/>
              <w:right w:w="115" w:type="dxa"/>
            </w:tcMar>
            <w:vAlign w:val="bottom"/>
          </w:tcPr>
          <w:p w14:paraId="49F58B75" w14:textId="77777777" w:rsidR="003F0EEA" w:rsidRPr="0068091F" w:rsidRDefault="003F0EEA">
            <w:pPr>
              <w:rPr>
                <w:rFonts w:ascii="Arial" w:eastAsia="Arial" w:hAnsi="Arial" w:cs="Arial"/>
                <w:color w:val="000000"/>
                <w:sz w:val="20"/>
                <w:vertAlign w:val="superscript"/>
              </w:rPr>
            </w:pPr>
          </w:p>
        </w:tc>
        <w:tc>
          <w:tcPr>
            <w:tcW w:w="2190" w:type="dxa"/>
            <w:tcBorders>
              <w:top w:val="nil"/>
              <w:left w:val="nil"/>
              <w:bottom w:val="nil"/>
              <w:right w:val="nil"/>
              <w:tl2br w:val="nil"/>
              <w:tr2bl w:val="nil"/>
            </w:tcBorders>
            <w:shd w:val="clear" w:color="auto" w:fill="FFFFFF"/>
            <w:tcMar>
              <w:left w:w="115" w:type="dxa"/>
              <w:right w:w="115" w:type="dxa"/>
            </w:tcMar>
            <w:vAlign w:val="bottom"/>
          </w:tcPr>
          <w:p w14:paraId="6BF3E47D" w14:textId="77777777" w:rsidR="003F0EEA" w:rsidRPr="0068091F" w:rsidRDefault="00FB7D0B">
            <w:pPr>
              <w:rPr>
                <w:rFonts w:ascii="Arial" w:eastAsia="Arial" w:hAnsi="Arial" w:cs="Arial"/>
                <w:color w:val="000000"/>
                <w:sz w:val="16"/>
                <w:vertAlign w:val="superscript"/>
              </w:rPr>
            </w:pPr>
            <w:r w:rsidRPr="0068091F">
              <w:rPr>
                <w:rFonts w:ascii="Arial" w:eastAsia="Arial" w:hAnsi="Arial" w:cs="Arial"/>
                <w:color w:val="000000"/>
                <w:sz w:val="16"/>
              </w:rPr>
              <w:t>annual services</w:t>
            </w:r>
            <w:r w:rsidRPr="0068091F">
              <w:rPr>
                <w:rFonts w:ascii="Arial" w:eastAsia="Arial" w:hAnsi="Arial" w:cs="Arial"/>
                <w:color w:val="000000"/>
                <w:sz w:val="16"/>
                <w:vertAlign w:val="superscript"/>
              </w:rPr>
              <w:t>2 </w:t>
            </w:r>
          </w:p>
        </w:tc>
        <w:tc>
          <w:tcPr>
            <w:tcW w:w="810" w:type="dxa"/>
            <w:tcBorders>
              <w:top w:val="nil"/>
              <w:left w:val="nil"/>
              <w:bottom w:val="nil"/>
              <w:right w:val="nil"/>
              <w:tl2br w:val="nil"/>
              <w:tr2bl w:val="nil"/>
            </w:tcBorders>
            <w:shd w:val="clear" w:color="auto" w:fill="FFFFFF"/>
            <w:tcMar>
              <w:left w:w="115" w:type="dxa"/>
              <w:right w:w="115" w:type="dxa"/>
            </w:tcMar>
            <w:vAlign w:val="bottom"/>
          </w:tcPr>
          <w:p w14:paraId="06917936" w14:textId="77777777" w:rsidR="003F0EEA" w:rsidRPr="0068091F" w:rsidRDefault="00FB7D0B">
            <w:pPr>
              <w:jc w:val="right"/>
              <w:rPr>
                <w:rFonts w:ascii="Arial" w:eastAsia="Arial" w:hAnsi="Arial" w:cs="Arial"/>
                <w:color w:val="000000"/>
                <w:sz w:val="16"/>
                <w:vertAlign w:val="superscript"/>
              </w:rPr>
            </w:pPr>
            <w:r w:rsidRPr="0068091F">
              <w:rPr>
                <w:rFonts w:ascii="Arial" w:eastAsia="Arial" w:hAnsi="Arial" w:cs="Arial"/>
                <w:color w:val="000000"/>
                <w:sz w:val="16"/>
              </w:rPr>
              <w:t xml:space="preserve"> 2,000 </w:t>
            </w:r>
          </w:p>
        </w:tc>
        <w:tc>
          <w:tcPr>
            <w:tcW w:w="915" w:type="dxa"/>
            <w:tcBorders>
              <w:top w:val="nil"/>
              <w:left w:val="nil"/>
              <w:bottom w:val="nil"/>
              <w:right w:val="nil"/>
              <w:tl2br w:val="nil"/>
              <w:tr2bl w:val="nil"/>
            </w:tcBorders>
            <w:shd w:val="clear" w:color="auto" w:fill="FFFFFF"/>
            <w:tcMar>
              <w:left w:w="115" w:type="dxa"/>
              <w:right w:w="115" w:type="dxa"/>
            </w:tcMar>
            <w:vAlign w:val="bottom"/>
          </w:tcPr>
          <w:p w14:paraId="15E3D261" w14:textId="77777777" w:rsidR="003F0EEA" w:rsidRPr="0068091F" w:rsidRDefault="00FB7D0B">
            <w:pPr>
              <w:jc w:val="right"/>
              <w:rPr>
                <w:rFonts w:ascii="Arial" w:eastAsia="Arial" w:hAnsi="Arial" w:cs="Arial"/>
                <w:color w:val="000000"/>
                <w:sz w:val="16"/>
              </w:rPr>
            </w:pPr>
            <w:r w:rsidRPr="0068091F">
              <w:rPr>
                <w:rFonts w:ascii="Arial" w:eastAsia="Arial" w:hAnsi="Arial" w:cs="Arial"/>
                <w:color w:val="000000"/>
                <w:sz w:val="16"/>
              </w:rPr>
              <w:t xml:space="preserve"> 3,480 </w:t>
            </w:r>
          </w:p>
        </w:tc>
        <w:tc>
          <w:tcPr>
            <w:tcW w:w="1020" w:type="dxa"/>
            <w:tcBorders>
              <w:top w:val="nil"/>
              <w:left w:val="nil"/>
              <w:bottom w:val="nil"/>
              <w:right w:val="nil"/>
              <w:tl2br w:val="nil"/>
              <w:tr2bl w:val="nil"/>
            </w:tcBorders>
            <w:shd w:val="clear" w:color="auto" w:fill="FFFFFF"/>
            <w:tcMar>
              <w:left w:w="115" w:type="dxa"/>
              <w:right w:w="115" w:type="dxa"/>
            </w:tcMar>
            <w:vAlign w:val="bottom"/>
          </w:tcPr>
          <w:p w14:paraId="600A8AD5" w14:textId="77777777" w:rsidR="003F0EEA" w:rsidRPr="0068091F" w:rsidRDefault="00FB7D0B">
            <w:pPr>
              <w:jc w:val="right"/>
              <w:rPr>
                <w:rFonts w:ascii="Arial" w:eastAsia="Arial" w:hAnsi="Arial" w:cs="Arial"/>
                <w:color w:val="000000"/>
                <w:sz w:val="16"/>
              </w:rPr>
            </w:pPr>
            <w:r w:rsidRPr="0068091F">
              <w:rPr>
                <w:rFonts w:ascii="Arial" w:eastAsia="Arial" w:hAnsi="Arial" w:cs="Arial"/>
                <w:color w:val="000000"/>
                <w:sz w:val="16"/>
              </w:rPr>
              <w:t xml:space="preserve"> 4,220 </w:t>
            </w:r>
          </w:p>
        </w:tc>
        <w:tc>
          <w:tcPr>
            <w:tcW w:w="1020" w:type="dxa"/>
            <w:tcBorders>
              <w:top w:val="nil"/>
              <w:left w:val="nil"/>
              <w:bottom w:val="nil"/>
              <w:right w:val="nil"/>
              <w:tl2br w:val="nil"/>
              <w:tr2bl w:val="nil"/>
            </w:tcBorders>
            <w:shd w:val="clear" w:color="auto" w:fill="FFFFFF"/>
            <w:tcMar>
              <w:left w:w="115" w:type="dxa"/>
              <w:right w:w="115" w:type="dxa"/>
            </w:tcMar>
            <w:vAlign w:val="bottom"/>
          </w:tcPr>
          <w:p w14:paraId="0F7D050B" w14:textId="77777777" w:rsidR="003F0EEA" w:rsidRPr="0068091F" w:rsidRDefault="00FB7D0B">
            <w:pPr>
              <w:jc w:val="right"/>
              <w:rPr>
                <w:rFonts w:ascii="Arial" w:eastAsia="Arial" w:hAnsi="Arial" w:cs="Arial"/>
                <w:color w:val="000000"/>
                <w:sz w:val="16"/>
              </w:rPr>
            </w:pPr>
            <w:r w:rsidRPr="0068091F">
              <w:rPr>
                <w:rFonts w:ascii="Arial" w:eastAsia="Arial" w:hAnsi="Arial" w:cs="Arial"/>
                <w:color w:val="000000"/>
                <w:sz w:val="16"/>
              </w:rPr>
              <w:t xml:space="preserve"> 1,537 </w:t>
            </w:r>
          </w:p>
        </w:tc>
        <w:tc>
          <w:tcPr>
            <w:tcW w:w="1020" w:type="dxa"/>
            <w:tcBorders>
              <w:top w:val="nil"/>
              <w:left w:val="nil"/>
              <w:bottom w:val="nil"/>
              <w:right w:val="nil"/>
              <w:tl2br w:val="nil"/>
              <w:tr2bl w:val="nil"/>
            </w:tcBorders>
            <w:shd w:val="clear" w:color="auto" w:fill="FFFFFF"/>
            <w:tcMar>
              <w:left w:w="115" w:type="dxa"/>
              <w:right w:w="115" w:type="dxa"/>
            </w:tcMar>
            <w:vAlign w:val="bottom"/>
          </w:tcPr>
          <w:p w14:paraId="4A372D8B" w14:textId="77777777" w:rsidR="003F0EEA" w:rsidRPr="0068091F" w:rsidRDefault="00FB7D0B">
            <w:pPr>
              <w:jc w:val="right"/>
              <w:rPr>
                <w:rFonts w:ascii="Arial" w:eastAsia="Arial" w:hAnsi="Arial" w:cs="Arial"/>
                <w:color w:val="000000"/>
                <w:sz w:val="16"/>
              </w:rPr>
            </w:pPr>
            <w:r w:rsidRPr="0068091F">
              <w:rPr>
                <w:rFonts w:ascii="Arial" w:eastAsia="Arial" w:hAnsi="Arial" w:cs="Arial"/>
                <w:color w:val="000000"/>
                <w:sz w:val="16"/>
              </w:rPr>
              <w:t xml:space="preserve"> 100 </w:t>
            </w:r>
          </w:p>
        </w:tc>
        <w:tc>
          <w:tcPr>
            <w:tcW w:w="1020" w:type="dxa"/>
            <w:tcBorders>
              <w:top w:val="nil"/>
              <w:left w:val="nil"/>
              <w:bottom w:val="nil"/>
              <w:right w:val="nil"/>
              <w:tl2br w:val="nil"/>
              <w:tr2bl w:val="nil"/>
            </w:tcBorders>
            <w:shd w:val="clear" w:color="auto" w:fill="FFFFFF"/>
            <w:tcMar>
              <w:left w:w="115" w:type="dxa"/>
              <w:right w:w="115" w:type="dxa"/>
            </w:tcMar>
            <w:vAlign w:val="bottom"/>
          </w:tcPr>
          <w:p w14:paraId="41DB1054" w14:textId="77777777" w:rsidR="003F0EEA" w:rsidRPr="0068091F" w:rsidRDefault="00FB7D0B">
            <w:pPr>
              <w:jc w:val="right"/>
              <w:rPr>
                <w:rFonts w:ascii="Arial" w:eastAsia="Arial" w:hAnsi="Arial" w:cs="Arial"/>
                <w:color w:val="000000"/>
                <w:sz w:val="16"/>
              </w:rPr>
            </w:pPr>
            <w:r w:rsidRPr="0068091F">
              <w:rPr>
                <w:rFonts w:ascii="Arial" w:eastAsia="Arial" w:hAnsi="Arial" w:cs="Arial"/>
                <w:color w:val="000000"/>
                <w:sz w:val="16"/>
              </w:rPr>
              <w:t xml:space="preserve"> 11,337 </w:t>
            </w:r>
          </w:p>
        </w:tc>
      </w:tr>
      <w:tr w:rsidR="00355BFE" w14:paraId="7FDDF80C" w14:textId="77777777" w:rsidTr="00355BFE">
        <w:trPr>
          <w:trHeight w:val="255"/>
        </w:trPr>
        <w:tc>
          <w:tcPr>
            <w:tcW w:w="180" w:type="dxa"/>
            <w:tcBorders>
              <w:top w:val="nil"/>
              <w:left w:val="nil"/>
              <w:bottom w:val="nil"/>
              <w:right w:val="nil"/>
              <w:tl2br w:val="nil"/>
              <w:tr2bl w:val="nil"/>
            </w:tcBorders>
            <w:shd w:val="clear" w:color="auto" w:fill="FFFFFF"/>
            <w:tcMar>
              <w:left w:w="115" w:type="dxa"/>
              <w:right w:w="115" w:type="dxa"/>
            </w:tcMar>
            <w:vAlign w:val="bottom"/>
          </w:tcPr>
          <w:p w14:paraId="17637048" w14:textId="77777777" w:rsidR="003F0EEA" w:rsidRPr="0068091F" w:rsidRDefault="003F0EEA">
            <w:pPr>
              <w:rPr>
                <w:rFonts w:ascii="Arial" w:eastAsia="Arial" w:hAnsi="Arial" w:cs="Arial"/>
                <w:color w:val="000000"/>
                <w:sz w:val="16"/>
              </w:rPr>
            </w:pPr>
          </w:p>
        </w:tc>
        <w:tc>
          <w:tcPr>
            <w:tcW w:w="2370" w:type="dxa"/>
            <w:gridSpan w:val="2"/>
            <w:tcBorders>
              <w:top w:val="nil"/>
              <w:left w:val="nil"/>
              <w:bottom w:val="nil"/>
              <w:right w:val="nil"/>
              <w:tl2br w:val="nil"/>
              <w:tr2bl w:val="nil"/>
            </w:tcBorders>
            <w:shd w:val="clear" w:color="auto" w:fill="FFFFFF"/>
            <w:tcMar>
              <w:left w:w="115" w:type="dxa"/>
              <w:right w:w="115" w:type="dxa"/>
            </w:tcMar>
            <w:vAlign w:val="bottom"/>
          </w:tcPr>
          <w:p w14:paraId="5CD7289C" w14:textId="77777777" w:rsidR="003F0EEA" w:rsidRPr="0068091F" w:rsidRDefault="00FB7D0B">
            <w:pPr>
              <w:rPr>
                <w:rFonts w:ascii="Arial" w:eastAsia="Arial" w:hAnsi="Arial" w:cs="Arial"/>
                <w:color w:val="000000"/>
                <w:sz w:val="20"/>
              </w:rPr>
            </w:pPr>
            <w:r w:rsidRPr="0068091F">
              <w:rPr>
                <w:rFonts w:ascii="Arial" w:eastAsia="Arial" w:hAnsi="Arial" w:cs="Arial"/>
                <w:color w:val="000000"/>
                <w:sz w:val="16"/>
              </w:rPr>
              <w:t>Assets received as gifts/donations</w:t>
            </w:r>
          </w:p>
        </w:tc>
        <w:tc>
          <w:tcPr>
            <w:tcW w:w="810"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453DDA30" w14:textId="77777777" w:rsidR="003F0EEA" w:rsidRPr="0068091F" w:rsidRDefault="00FB7D0B">
            <w:pPr>
              <w:jc w:val="right"/>
              <w:rPr>
                <w:rFonts w:ascii="Arial" w:eastAsia="Arial" w:hAnsi="Arial" w:cs="Arial"/>
                <w:color w:val="000000"/>
                <w:sz w:val="16"/>
                <w:vertAlign w:val="superscript"/>
              </w:rPr>
            </w:pPr>
            <w:r w:rsidRPr="0068091F">
              <w:rPr>
                <w:rFonts w:ascii="Arial" w:eastAsia="Arial" w:hAnsi="Arial" w:cs="Arial"/>
                <w:color w:val="000000"/>
                <w:sz w:val="16"/>
              </w:rPr>
              <w:t xml:space="preserve"> - </w:t>
            </w:r>
          </w:p>
        </w:tc>
        <w:tc>
          <w:tcPr>
            <w:tcW w:w="915"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70E84464" w14:textId="77777777" w:rsidR="003F0EEA" w:rsidRPr="0068091F" w:rsidRDefault="00FB7D0B">
            <w:pPr>
              <w:jc w:val="right"/>
              <w:rPr>
                <w:rFonts w:ascii="Arial" w:eastAsia="Arial" w:hAnsi="Arial" w:cs="Arial"/>
                <w:color w:val="000000"/>
                <w:sz w:val="16"/>
              </w:rPr>
            </w:pPr>
            <w:r w:rsidRPr="0068091F">
              <w:rPr>
                <w:rFonts w:ascii="Arial" w:eastAsia="Arial" w:hAnsi="Arial" w:cs="Arial"/>
                <w:color w:val="000000"/>
                <w:sz w:val="16"/>
              </w:rPr>
              <w:t xml:space="preserve"> - </w:t>
            </w:r>
          </w:p>
        </w:tc>
        <w:tc>
          <w:tcPr>
            <w:tcW w:w="1020"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1994B22E" w14:textId="77777777" w:rsidR="003F0EEA" w:rsidRPr="0068091F" w:rsidRDefault="00FB7D0B">
            <w:pPr>
              <w:jc w:val="right"/>
              <w:rPr>
                <w:rFonts w:ascii="Arial" w:eastAsia="Arial" w:hAnsi="Arial" w:cs="Arial"/>
                <w:color w:val="000000"/>
                <w:sz w:val="16"/>
              </w:rPr>
            </w:pPr>
            <w:r w:rsidRPr="0068091F">
              <w:rPr>
                <w:rFonts w:ascii="Arial" w:eastAsia="Arial" w:hAnsi="Arial" w:cs="Arial"/>
                <w:color w:val="000000"/>
                <w:sz w:val="16"/>
              </w:rPr>
              <w:t xml:space="preserve"> - </w:t>
            </w:r>
          </w:p>
        </w:tc>
        <w:tc>
          <w:tcPr>
            <w:tcW w:w="1020"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7884604E" w14:textId="77777777" w:rsidR="003F0EEA" w:rsidRPr="0068091F" w:rsidRDefault="00FB7D0B">
            <w:pPr>
              <w:jc w:val="right"/>
              <w:rPr>
                <w:rFonts w:ascii="Arial" w:eastAsia="Arial" w:hAnsi="Arial" w:cs="Arial"/>
                <w:color w:val="000000"/>
                <w:sz w:val="16"/>
              </w:rPr>
            </w:pPr>
            <w:r w:rsidRPr="0068091F">
              <w:rPr>
                <w:rFonts w:ascii="Arial" w:eastAsia="Arial" w:hAnsi="Arial" w:cs="Arial"/>
                <w:color w:val="000000"/>
                <w:sz w:val="16"/>
              </w:rPr>
              <w:t xml:space="preserve"> 300 </w:t>
            </w:r>
          </w:p>
        </w:tc>
        <w:tc>
          <w:tcPr>
            <w:tcW w:w="1020"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096F8920" w14:textId="77777777" w:rsidR="003F0EEA" w:rsidRPr="0068091F" w:rsidRDefault="00FB7D0B">
            <w:pPr>
              <w:jc w:val="right"/>
              <w:rPr>
                <w:rFonts w:ascii="Arial" w:eastAsia="Arial" w:hAnsi="Arial" w:cs="Arial"/>
                <w:color w:val="000000"/>
                <w:sz w:val="16"/>
              </w:rPr>
            </w:pPr>
            <w:r w:rsidRPr="0068091F">
              <w:rPr>
                <w:rFonts w:ascii="Arial" w:eastAsia="Arial" w:hAnsi="Arial" w:cs="Arial"/>
                <w:color w:val="000000"/>
                <w:sz w:val="16"/>
              </w:rPr>
              <w:t xml:space="preserve"> - </w:t>
            </w:r>
          </w:p>
        </w:tc>
        <w:tc>
          <w:tcPr>
            <w:tcW w:w="1020"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16EC3C9C" w14:textId="77777777" w:rsidR="003F0EEA" w:rsidRPr="0068091F" w:rsidRDefault="00FB7D0B">
            <w:pPr>
              <w:jc w:val="right"/>
              <w:rPr>
                <w:rFonts w:ascii="Arial" w:eastAsia="Arial" w:hAnsi="Arial" w:cs="Arial"/>
                <w:color w:val="000000"/>
                <w:sz w:val="16"/>
              </w:rPr>
            </w:pPr>
            <w:r w:rsidRPr="0068091F">
              <w:rPr>
                <w:rFonts w:ascii="Arial" w:eastAsia="Arial" w:hAnsi="Arial" w:cs="Arial"/>
                <w:color w:val="000000"/>
                <w:sz w:val="16"/>
              </w:rPr>
              <w:t xml:space="preserve"> 300 </w:t>
            </w:r>
          </w:p>
        </w:tc>
      </w:tr>
      <w:tr w:rsidR="00355BFE" w14:paraId="688374CF" w14:textId="77777777" w:rsidTr="00355BFE">
        <w:trPr>
          <w:trHeight w:val="225"/>
        </w:trPr>
        <w:tc>
          <w:tcPr>
            <w:tcW w:w="2550" w:type="dxa"/>
            <w:gridSpan w:val="3"/>
            <w:tcBorders>
              <w:top w:val="nil"/>
              <w:left w:val="nil"/>
              <w:bottom w:val="nil"/>
              <w:right w:val="nil"/>
              <w:tl2br w:val="nil"/>
              <w:tr2bl w:val="nil"/>
            </w:tcBorders>
            <w:shd w:val="clear" w:color="auto" w:fill="FFFFFF"/>
            <w:tcMar>
              <w:left w:w="115" w:type="dxa"/>
              <w:right w:w="115" w:type="dxa"/>
            </w:tcMar>
            <w:vAlign w:val="bottom"/>
          </w:tcPr>
          <w:p w14:paraId="0181DA3A" w14:textId="77777777" w:rsidR="003F0EEA" w:rsidRPr="0068091F" w:rsidRDefault="00FB7D0B">
            <w:pPr>
              <w:rPr>
                <w:rFonts w:ascii="Arial" w:eastAsia="Arial" w:hAnsi="Arial" w:cs="Arial"/>
                <w:color w:val="000000"/>
                <w:sz w:val="16"/>
              </w:rPr>
            </w:pPr>
            <w:r w:rsidRPr="0068091F">
              <w:rPr>
                <w:rFonts w:ascii="Arial" w:eastAsia="Arial" w:hAnsi="Arial" w:cs="Arial"/>
                <w:b/>
                <w:color w:val="000000"/>
                <w:sz w:val="16"/>
              </w:rPr>
              <w:t>Total additions</w:t>
            </w:r>
          </w:p>
        </w:tc>
        <w:tc>
          <w:tcPr>
            <w:tcW w:w="810"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6D9D8BE7" w14:textId="77777777" w:rsidR="003F0EEA" w:rsidRPr="0068091F" w:rsidRDefault="00FB7D0B">
            <w:pPr>
              <w:jc w:val="right"/>
              <w:rPr>
                <w:rFonts w:ascii="Arial" w:eastAsia="Arial" w:hAnsi="Arial" w:cs="Arial"/>
                <w:b/>
                <w:color w:val="000000"/>
                <w:sz w:val="16"/>
                <w:vertAlign w:val="superscript"/>
              </w:rPr>
            </w:pPr>
            <w:r w:rsidRPr="0068091F">
              <w:rPr>
                <w:rFonts w:ascii="Arial" w:eastAsia="Arial" w:hAnsi="Arial" w:cs="Arial"/>
                <w:b/>
                <w:color w:val="000000"/>
                <w:sz w:val="16"/>
              </w:rPr>
              <w:t xml:space="preserve"> 2,000 </w:t>
            </w:r>
          </w:p>
        </w:tc>
        <w:tc>
          <w:tcPr>
            <w:tcW w:w="915"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500D1CE5" w14:textId="77777777" w:rsidR="003F0EEA" w:rsidRPr="0068091F" w:rsidRDefault="00FB7D0B">
            <w:pPr>
              <w:jc w:val="right"/>
              <w:rPr>
                <w:rFonts w:ascii="Arial" w:eastAsia="Arial" w:hAnsi="Arial" w:cs="Arial"/>
                <w:b/>
                <w:color w:val="000000"/>
                <w:sz w:val="16"/>
              </w:rPr>
            </w:pPr>
            <w:r w:rsidRPr="0068091F">
              <w:rPr>
                <w:rFonts w:ascii="Arial" w:eastAsia="Arial" w:hAnsi="Arial" w:cs="Arial"/>
                <w:b/>
                <w:color w:val="000000"/>
                <w:sz w:val="16"/>
              </w:rPr>
              <w:t xml:space="preserve"> 3,480 </w:t>
            </w:r>
          </w:p>
        </w:tc>
        <w:tc>
          <w:tcPr>
            <w:tcW w:w="1020"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221A6BDD" w14:textId="77777777" w:rsidR="003F0EEA" w:rsidRPr="0068091F" w:rsidRDefault="00FB7D0B">
            <w:pPr>
              <w:jc w:val="right"/>
              <w:rPr>
                <w:rFonts w:ascii="Arial" w:eastAsia="Arial" w:hAnsi="Arial" w:cs="Arial"/>
                <w:b/>
                <w:color w:val="000000"/>
                <w:sz w:val="16"/>
              </w:rPr>
            </w:pPr>
            <w:r w:rsidRPr="0068091F">
              <w:rPr>
                <w:rFonts w:ascii="Arial" w:eastAsia="Arial" w:hAnsi="Arial" w:cs="Arial"/>
                <w:b/>
                <w:color w:val="000000"/>
                <w:sz w:val="16"/>
              </w:rPr>
              <w:t xml:space="preserve"> 20,472 </w:t>
            </w:r>
          </w:p>
        </w:tc>
        <w:tc>
          <w:tcPr>
            <w:tcW w:w="1020"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6AA8BBA0" w14:textId="77777777" w:rsidR="003F0EEA" w:rsidRPr="0068091F" w:rsidRDefault="00FB7D0B">
            <w:pPr>
              <w:jc w:val="right"/>
              <w:rPr>
                <w:rFonts w:ascii="Arial" w:eastAsia="Arial" w:hAnsi="Arial" w:cs="Arial"/>
                <w:b/>
                <w:color w:val="000000"/>
                <w:sz w:val="16"/>
              </w:rPr>
            </w:pPr>
            <w:r w:rsidRPr="0068091F">
              <w:rPr>
                <w:rFonts w:ascii="Arial" w:eastAsia="Arial" w:hAnsi="Arial" w:cs="Arial"/>
                <w:b/>
                <w:color w:val="000000"/>
                <w:sz w:val="16"/>
              </w:rPr>
              <w:t xml:space="preserve"> 9,091 </w:t>
            </w:r>
          </w:p>
        </w:tc>
        <w:tc>
          <w:tcPr>
            <w:tcW w:w="1020"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6632C7C2" w14:textId="77777777" w:rsidR="003F0EEA" w:rsidRPr="0068091F" w:rsidRDefault="00FB7D0B">
            <w:pPr>
              <w:jc w:val="right"/>
              <w:rPr>
                <w:rFonts w:ascii="Arial" w:eastAsia="Arial" w:hAnsi="Arial" w:cs="Arial"/>
                <w:b/>
                <w:color w:val="000000"/>
                <w:sz w:val="16"/>
              </w:rPr>
            </w:pPr>
            <w:r w:rsidRPr="0068091F">
              <w:rPr>
                <w:rFonts w:ascii="Arial" w:eastAsia="Arial" w:hAnsi="Arial" w:cs="Arial"/>
                <w:b/>
                <w:color w:val="000000"/>
                <w:sz w:val="16"/>
              </w:rPr>
              <w:t xml:space="preserve"> 100 </w:t>
            </w:r>
          </w:p>
        </w:tc>
        <w:tc>
          <w:tcPr>
            <w:tcW w:w="1020"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45264720" w14:textId="77777777" w:rsidR="003F0EEA" w:rsidRPr="0068091F" w:rsidRDefault="00FB7D0B">
            <w:pPr>
              <w:jc w:val="right"/>
              <w:rPr>
                <w:rFonts w:ascii="Arial" w:eastAsia="Arial" w:hAnsi="Arial" w:cs="Arial"/>
                <w:b/>
                <w:color w:val="000000"/>
                <w:sz w:val="16"/>
              </w:rPr>
            </w:pPr>
            <w:r w:rsidRPr="0068091F">
              <w:rPr>
                <w:rFonts w:ascii="Arial" w:eastAsia="Arial" w:hAnsi="Arial" w:cs="Arial"/>
                <w:b/>
                <w:color w:val="000000"/>
                <w:sz w:val="16"/>
              </w:rPr>
              <w:t xml:space="preserve"> 35,143 </w:t>
            </w:r>
          </w:p>
        </w:tc>
      </w:tr>
      <w:tr w:rsidR="00724034" w14:paraId="37978B01" w14:textId="77777777">
        <w:trPr>
          <w:trHeight w:val="60"/>
        </w:trPr>
        <w:tc>
          <w:tcPr>
            <w:tcW w:w="180" w:type="dxa"/>
            <w:tcBorders>
              <w:top w:val="nil"/>
              <w:left w:val="nil"/>
              <w:bottom w:val="nil"/>
              <w:right w:val="nil"/>
              <w:tl2br w:val="nil"/>
              <w:tr2bl w:val="nil"/>
            </w:tcBorders>
            <w:shd w:val="clear" w:color="auto" w:fill="FFFFFF"/>
            <w:tcMar>
              <w:left w:w="115" w:type="dxa"/>
              <w:right w:w="115" w:type="dxa"/>
            </w:tcMar>
            <w:vAlign w:val="bottom"/>
          </w:tcPr>
          <w:p w14:paraId="16250F67" w14:textId="77777777" w:rsidR="003F0EEA" w:rsidRPr="0068091F" w:rsidRDefault="003F0EEA">
            <w:pPr>
              <w:rPr>
                <w:rFonts w:ascii="Arial" w:eastAsia="Arial" w:hAnsi="Arial" w:cs="Arial"/>
                <w:b/>
                <w:color w:val="000000"/>
                <w:sz w:val="16"/>
              </w:rPr>
            </w:pPr>
          </w:p>
        </w:tc>
        <w:tc>
          <w:tcPr>
            <w:tcW w:w="180" w:type="dxa"/>
            <w:tcBorders>
              <w:top w:val="nil"/>
              <w:left w:val="nil"/>
              <w:bottom w:val="nil"/>
              <w:right w:val="nil"/>
              <w:tl2br w:val="nil"/>
              <w:tr2bl w:val="nil"/>
            </w:tcBorders>
            <w:shd w:val="clear" w:color="auto" w:fill="FFFFFF"/>
            <w:tcMar>
              <w:left w:w="115" w:type="dxa"/>
              <w:right w:w="115" w:type="dxa"/>
            </w:tcMar>
            <w:vAlign w:val="bottom"/>
          </w:tcPr>
          <w:p w14:paraId="26CCB2F8" w14:textId="77777777" w:rsidR="003F0EEA" w:rsidRPr="0068091F" w:rsidRDefault="003F0EEA">
            <w:pPr>
              <w:rPr>
                <w:rFonts w:ascii="Arial" w:eastAsia="Arial" w:hAnsi="Arial" w:cs="Arial"/>
                <w:b/>
                <w:color w:val="000000"/>
                <w:sz w:val="16"/>
              </w:rPr>
            </w:pPr>
          </w:p>
        </w:tc>
        <w:tc>
          <w:tcPr>
            <w:tcW w:w="2190" w:type="dxa"/>
            <w:tcBorders>
              <w:top w:val="nil"/>
              <w:left w:val="nil"/>
              <w:bottom w:val="nil"/>
              <w:right w:val="nil"/>
              <w:tl2br w:val="nil"/>
              <w:tr2bl w:val="nil"/>
            </w:tcBorders>
            <w:shd w:val="clear" w:color="auto" w:fill="FFFFFF"/>
            <w:tcMar>
              <w:left w:w="115" w:type="dxa"/>
              <w:right w:w="115" w:type="dxa"/>
            </w:tcMar>
            <w:vAlign w:val="bottom"/>
          </w:tcPr>
          <w:p w14:paraId="15FA91B0" w14:textId="77777777" w:rsidR="003F0EEA" w:rsidRPr="0068091F" w:rsidRDefault="003F0EEA">
            <w:pPr>
              <w:rPr>
                <w:rFonts w:ascii="Arial" w:eastAsia="Arial" w:hAnsi="Arial" w:cs="Arial"/>
                <w:b/>
                <w:color w:val="000000"/>
                <w:sz w:val="16"/>
              </w:rPr>
            </w:pPr>
          </w:p>
        </w:tc>
        <w:tc>
          <w:tcPr>
            <w:tcW w:w="810"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48B3CC40" w14:textId="77777777" w:rsidR="003F0EEA" w:rsidRPr="0068091F" w:rsidRDefault="003F0EEA">
            <w:pPr>
              <w:rPr>
                <w:rFonts w:ascii="Arial" w:eastAsia="Arial" w:hAnsi="Arial" w:cs="Arial"/>
                <w:b/>
                <w:color w:val="000000"/>
                <w:sz w:val="16"/>
                <w:vertAlign w:val="superscript"/>
              </w:rPr>
            </w:pPr>
          </w:p>
        </w:tc>
        <w:tc>
          <w:tcPr>
            <w:tcW w:w="915"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34AF9FBF" w14:textId="77777777" w:rsidR="003F0EEA" w:rsidRPr="0068091F" w:rsidRDefault="003F0EEA">
            <w:pPr>
              <w:rPr>
                <w:rFonts w:ascii="Arial" w:eastAsia="Arial" w:hAnsi="Arial" w:cs="Arial"/>
                <w:color w:val="000000"/>
                <w:sz w:val="16"/>
                <w:vertAlign w:val="superscript"/>
              </w:rPr>
            </w:pPr>
          </w:p>
        </w:tc>
        <w:tc>
          <w:tcPr>
            <w:tcW w:w="1020"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50903CD3" w14:textId="77777777" w:rsidR="003F0EEA" w:rsidRPr="0068091F" w:rsidRDefault="003F0EEA">
            <w:pPr>
              <w:rPr>
                <w:rFonts w:ascii="Arial" w:eastAsia="Arial" w:hAnsi="Arial" w:cs="Arial"/>
                <w:color w:val="000000"/>
                <w:sz w:val="16"/>
                <w:vertAlign w:val="superscript"/>
              </w:rPr>
            </w:pPr>
          </w:p>
        </w:tc>
        <w:tc>
          <w:tcPr>
            <w:tcW w:w="1020"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487A4DB5" w14:textId="77777777" w:rsidR="003F0EEA" w:rsidRPr="0068091F" w:rsidRDefault="003F0EEA">
            <w:pPr>
              <w:rPr>
                <w:rFonts w:ascii="Arial" w:eastAsia="Arial" w:hAnsi="Arial" w:cs="Arial"/>
                <w:color w:val="000000"/>
                <w:sz w:val="16"/>
                <w:vertAlign w:val="superscript"/>
              </w:rPr>
            </w:pPr>
          </w:p>
        </w:tc>
        <w:tc>
          <w:tcPr>
            <w:tcW w:w="1020"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1703F78B" w14:textId="77777777" w:rsidR="003F0EEA" w:rsidRPr="0068091F" w:rsidRDefault="003F0EEA">
            <w:pPr>
              <w:rPr>
                <w:rFonts w:ascii="Arial" w:eastAsia="Arial" w:hAnsi="Arial" w:cs="Arial"/>
                <w:color w:val="000000"/>
                <w:sz w:val="16"/>
                <w:vertAlign w:val="superscript"/>
              </w:rPr>
            </w:pPr>
          </w:p>
        </w:tc>
        <w:tc>
          <w:tcPr>
            <w:tcW w:w="1020"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0E3C3A5C" w14:textId="77777777" w:rsidR="003F0EEA" w:rsidRPr="0068091F" w:rsidRDefault="003F0EEA">
            <w:pPr>
              <w:jc w:val="right"/>
              <w:rPr>
                <w:rFonts w:ascii="Arial" w:eastAsia="Arial" w:hAnsi="Arial" w:cs="Arial"/>
                <w:color w:val="000000"/>
                <w:sz w:val="16"/>
                <w:vertAlign w:val="superscript"/>
              </w:rPr>
            </w:pPr>
          </w:p>
        </w:tc>
      </w:tr>
      <w:tr w:rsidR="00355BFE" w14:paraId="5A07E574" w14:textId="77777777" w:rsidTr="00355BFE">
        <w:trPr>
          <w:trHeight w:val="225"/>
        </w:trPr>
        <w:tc>
          <w:tcPr>
            <w:tcW w:w="2550" w:type="dxa"/>
            <w:gridSpan w:val="3"/>
            <w:tcBorders>
              <w:top w:val="nil"/>
              <w:left w:val="nil"/>
              <w:bottom w:val="nil"/>
              <w:right w:val="nil"/>
              <w:tl2br w:val="nil"/>
              <w:tr2bl w:val="nil"/>
            </w:tcBorders>
            <w:shd w:val="clear" w:color="auto" w:fill="FFFFFF"/>
            <w:tcMar>
              <w:left w:w="115" w:type="dxa"/>
              <w:right w:w="115" w:type="dxa"/>
            </w:tcMar>
            <w:vAlign w:val="bottom"/>
          </w:tcPr>
          <w:p w14:paraId="4BBC65F3" w14:textId="77777777" w:rsidR="003F0EEA" w:rsidRPr="0068091F" w:rsidRDefault="00FB7D0B">
            <w:pPr>
              <w:rPr>
                <w:rFonts w:ascii="Arial" w:eastAsia="Arial" w:hAnsi="Arial" w:cs="Arial"/>
                <w:color w:val="000000"/>
                <w:sz w:val="16"/>
                <w:vertAlign w:val="superscript"/>
              </w:rPr>
            </w:pPr>
            <w:r w:rsidRPr="0068091F">
              <w:rPr>
                <w:rFonts w:ascii="Arial" w:eastAsia="Arial" w:hAnsi="Arial" w:cs="Arial"/>
                <w:b/>
                <w:color w:val="000000"/>
                <w:sz w:val="16"/>
              </w:rPr>
              <w:t>Other movements</w:t>
            </w:r>
          </w:p>
        </w:tc>
        <w:tc>
          <w:tcPr>
            <w:tcW w:w="810"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15A00B26" w14:textId="77777777" w:rsidR="003F0EEA" w:rsidRPr="0068091F" w:rsidRDefault="003F0EEA">
            <w:pPr>
              <w:rPr>
                <w:rFonts w:ascii="Arial" w:eastAsia="Arial" w:hAnsi="Arial" w:cs="Arial"/>
                <w:b/>
                <w:color w:val="000000"/>
                <w:sz w:val="16"/>
                <w:vertAlign w:val="superscript"/>
              </w:rPr>
            </w:pPr>
          </w:p>
        </w:tc>
        <w:tc>
          <w:tcPr>
            <w:tcW w:w="915"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37D86B8D" w14:textId="77777777" w:rsidR="003F0EEA" w:rsidRPr="0068091F" w:rsidRDefault="003F0EEA">
            <w:pPr>
              <w:rPr>
                <w:rFonts w:ascii="Arial" w:eastAsia="Arial" w:hAnsi="Arial" w:cs="Arial"/>
                <w:color w:val="000000"/>
                <w:sz w:val="16"/>
                <w:vertAlign w:val="superscript"/>
              </w:rPr>
            </w:pPr>
          </w:p>
        </w:tc>
        <w:tc>
          <w:tcPr>
            <w:tcW w:w="1020"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04A2C34A" w14:textId="77777777" w:rsidR="003F0EEA" w:rsidRPr="0068091F" w:rsidRDefault="003F0EEA">
            <w:pPr>
              <w:rPr>
                <w:rFonts w:ascii="Arial" w:eastAsia="Arial" w:hAnsi="Arial" w:cs="Arial"/>
                <w:color w:val="000000"/>
                <w:sz w:val="16"/>
                <w:vertAlign w:val="superscript"/>
              </w:rPr>
            </w:pPr>
          </w:p>
        </w:tc>
        <w:tc>
          <w:tcPr>
            <w:tcW w:w="1020"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732A90CC" w14:textId="77777777" w:rsidR="003F0EEA" w:rsidRPr="0068091F" w:rsidRDefault="003F0EEA">
            <w:pPr>
              <w:rPr>
                <w:rFonts w:ascii="Arial" w:eastAsia="Arial" w:hAnsi="Arial" w:cs="Arial"/>
                <w:color w:val="000000"/>
                <w:sz w:val="16"/>
                <w:vertAlign w:val="superscript"/>
              </w:rPr>
            </w:pPr>
          </w:p>
        </w:tc>
        <w:tc>
          <w:tcPr>
            <w:tcW w:w="1020"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4301D4AD" w14:textId="77777777" w:rsidR="003F0EEA" w:rsidRPr="0068091F" w:rsidRDefault="003F0EEA">
            <w:pPr>
              <w:rPr>
                <w:rFonts w:ascii="Arial" w:eastAsia="Arial" w:hAnsi="Arial" w:cs="Arial"/>
                <w:color w:val="000000"/>
                <w:sz w:val="16"/>
                <w:vertAlign w:val="superscript"/>
              </w:rPr>
            </w:pPr>
          </w:p>
        </w:tc>
        <w:tc>
          <w:tcPr>
            <w:tcW w:w="1020"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3848C059" w14:textId="77777777" w:rsidR="003F0EEA" w:rsidRPr="0068091F" w:rsidRDefault="003F0EEA">
            <w:pPr>
              <w:jc w:val="right"/>
              <w:rPr>
                <w:rFonts w:ascii="Arial" w:eastAsia="Arial" w:hAnsi="Arial" w:cs="Arial"/>
                <w:color w:val="000000"/>
                <w:sz w:val="16"/>
                <w:vertAlign w:val="superscript"/>
              </w:rPr>
            </w:pPr>
          </w:p>
        </w:tc>
      </w:tr>
      <w:tr w:rsidR="00355BFE" w14:paraId="1520B13A" w14:textId="77777777" w:rsidTr="00355BFE">
        <w:trPr>
          <w:trHeight w:val="225"/>
        </w:trPr>
        <w:tc>
          <w:tcPr>
            <w:tcW w:w="180" w:type="dxa"/>
            <w:tcBorders>
              <w:top w:val="nil"/>
              <w:left w:val="nil"/>
              <w:bottom w:val="nil"/>
              <w:right w:val="nil"/>
              <w:tl2br w:val="nil"/>
              <w:tr2bl w:val="nil"/>
            </w:tcBorders>
            <w:shd w:val="clear" w:color="auto" w:fill="FFFFFF"/>
            <w:tcMar>
              <w:left w:w="115" w:type="dxa"/>
              <w:right w:w="115" w:type="dxa"/>
            </w:tcMar>
            <w:vAlign w:val="bottom"/>
          </w:tcPr>
          <w:p w14:paraId="7BFA8C25" w14:textId="77777777" w:rsidR="003F0EEA" w:rsidRPr="0068091F" w:rsidRDefault="003F0EEA">
            <w:pPr>
              <w:rPr>
                <w:rFonts w:ascii="Arial" w:eastAsia="Arial" w:hAnsi="Arial" w:cs="Arial"/>
                <w:color w:val="000000"/>
                <w:sz w:val="16"/>
                <w:vertAlign w:val="superscript"/>
              </w:rPr>
            </w:pPr>
          </w:p>
        </w:tc>
        <w:tc>
          <w:tcPr>
            <w:tcW w:w="2370" w:type="dxa"/>
            <w:gridSpan w:val="2"/>
            <w:vMerge w:val="restart"/>
            <w:tcBorders>
              <w:top w:val="nil"/>
              <w:left w:val="nil"/>
              <w:bottom w:val="nil"/>
              <w:right w:val="nil"/>
              <w:tl2br w:val="nil"/>
              <w:tr2bl w:val="nil"/>
            </w:tcBorders>
            <w:shd w:val="clear" w:color="auto" w:fill="FFFFFF"/>
            <w:tcMar>
              <w:left w:w="115" w:type="dxa"/>
              <w:right w:w="115" w:type="dxa"/>
            </w:tcMar>
            <w:vAlign w:val="bottom"/>
          </w:tcPr>
          <w:p w14:paraId="55DF750E" w14:textId="77777777" w:rsidR="003F0EEA" w:rsidRPr="0068091F" w:rsidRDefault="00FB7D0B">
            <w:pPr>
              <w:rPr>
                <w:rFonts w:ascii="Arial" w:eastAsia="Arial" w:hAnsi="Arial" w:cs="Arial"/>
                <w:color w:val="000000"/>
                <w:sz w:val="20"/>
                <w:vertAlign w:val="superscript"/>
              </w:rPr>
            </w:pPr>
            <w:r w:rsidRPr="0068091F">
              <w:rPr>
                <w:rFonts w:ascii="Arial" w:eastAsia="Arial" w:hAnsi="Arial" w:cs="Arial"/>
                <w:color w:val="000000"/>
                <w:sz w:val="16"/>
              </w:rPr>
              <w:t xml:space="preserve">Depreciation/amortisation </w:t>
            </w:r>
          </w:p>
        </w:tc>
        <w:tc>
          <w:tcPr>
            <w:tcW w:w="810" w:type="dxa"/>
            <w:tcBorders>
              <w:top w:val="nil"/>
              <w:left w:val="nil"/>
              <w:bottom w:val="nil"/>
              <w:right w:val="nil"/>
              <w:tl2br w:val="nil"/>
              <w:tr2bl w:val="nil"/>
            </w:tcBorders>
            <w:shd w:val="clear" w:color="auto" w:fill="FFFFFF"/>
            <w:tcMar>
              <w:left w:w="115" w:type="dxa"/>
              <w:right w:w="115" w:type="dxa"/>
            </w:tcMar>
            <w:vAlign w:val="bottom"/>
          </w:tcPr>
          <w:p w14:paraId="789A7F9C" w14:textId="77777777" w:rsidR="003F0EEA" w:rsidRPr="0068091F" w:rsidRDefault="003F0EEA">
            <w:pPr>
              <w:rPr>
                <w:rFonts w:ascii="Arial" w:eastAsia="Arial" w:hAnsi="Arial" w:cs="Arial"/>
                <w:color w:val="000000"/>
                <w:sz w:val="16"/>
                <w:vertAlign w:val="superscript"/>
              </w:rPr>
            </w:pPr>
          </w:p>
        </w:tc>
        <w:tc>
          <w:tcPr>
            <w:tcW w:w="915" w:type="dxa"/>
            <w:tcBorders>
              <w:top w:val="nil"/>
              <w:left w:val="nil"/>
              <w:bottom w:val="nil"/>
              <w:right w:val="nil"/>
              <w:tl2br w:val="nil"/>
              <w:tr2bl w:val="nil"/>
            </w:tcBorders>
            <w:shd w:val="clear" w:color="auto" w:fill="FFFFFF"/>
            <w:tcMar>
              <w:left w:w="115" w:type="dxa"/>
              <w:right w:w="115" w:type="dxa"/>
            </w:tcMar>
            <w:vAlign w:val="bottom"/>
          </w:tcPr>
          <w:p w14:paraId="5A1E8898" w14:textId="77777777" w:rsidR="003F0EEA" w:rsidRPr="0068091F" w:rsidRDefault="003F0EEA">
            <w:pPr>
              <w:rPr>
                <w:rFonts w:ascii="Arial" w:eastAsia="Arial" w:hAnsi="Arial" w:cs="Arial"/>
                <w:color w:val="000000"/>
                <w:sz w:val="20"/>
                <w:vertAlign w:val="superscript"/>
              </w:rPr>
            </w:pPr>
          </w:p>
        </w:tc>
        <w:tc>
          <w:tcPr>
            <w:tcW w:w="1020" w:type="dxa"/>
            <w:tcBorders>
              <w:top w:val="nil"/>
              <w:left w:val="nil"/>
              <w:bottom w:val="nil"/>
              <w:right w:val="nil"/>
              <w:tl2br w:val="nil"/>
              <w:tr2bl w:val="nil"/>
            </w:tcBorders>
            <w:shd w:val="clear" w:color="auto" w:fill="FFFFFF"/>
            <w:tcMar>
              <w:left w:w="115" w:type="dxa"/>
              <w:right w:w="115" w:type="dxa"/>
            </w:tcMar>
            <w:vAlign w:val="bottom"/>
          </w:tcPr>
          <w:p w14:paraId="606B120C" w14:textId="77777777" w:rsidR="003F0EEA" w:rsidRPr="0068091F" w:rsidRDefault="003F0EEA">
            <w:pPr>
              <w:rPr>
                <w:rFonts w:ascii="Arial" w:eastAsia="Arial" w:hAnsi="Arial" w:cs="Arial"/>
                <w:color w:val="000000"/>
                <w:sz w:val="20"/>
                <w:vertAlign w:val="superscript"/>
              </w:rPr>
            </w:pPr>
          </w:p>
        </w:tc>
        <w:tc>
          <w:tcPr>
            <w:tcW w:w="1020" w:type="dxa"/>
            <w:tcBorders>
              <w:top w:val="nil"/>
              <w:left w:val="nil"/>
              <w:bottom w:val="nil"/>
              <w:right w:val="nil"/>
              <w:tl2br w:val="nil"/>
              <w:tr2bl w:val="nil"/>
            </w:tcBorders>
            <w:shd w:val="clear" w:color="auto" w:fill="FFFFFF"/>
            <w:tcMar>
              <w:left w:w="115" w:type="dxa"/>
              <w:right w:w="115" w:type="dxa"/>
            </w:tcMar>
            <w:vAlign w:val="bottom"/>
          </w:tcPr>
          <w:p w14:paraId="06A0469B" w14:textId="77777777" w:rsidR="003F0EEA" w:rsidRPr="0068091F" w:rsidRDefault="003F0EEA">
            <w:pPr>
              <w:rPr>
                <w:rFonts w:ascii="Arial" w:eastAsia="Arial" w:hAnsi="Arial" w:cs="Arial"/>
                <w:color w:val="000000"/>
                <w:sz w:val="20"/>
                <w:vertAlign w:val="superscript"/>
              </w:rPr>
            </w:pPr>
          </w:p>
        </w:tc>
        <w:tc>
          <w:tcPr>
            <w:tcW w:w="1020" w:type="dxa"/>
            <w:tcBorders>
              <w:top w:val="nil"/>
              <w:left w:val="nil"/>
              <w:bottom w:val="nil"/>
              <w:right w:val="nil"/>
              <w:tl2br w:val="nil"/>
              <w:tr2bl w:val="nil"/>
            </w:tcBorders>
            <w:shd w:val="clear" w:color="auto" w:fill="FFFFFF"/>
            <w:tcMar>
              <w:left w:w="115" w:type="dxa"/>
              <w:right w:w="115" w:type="dxa"/>
            </w:tcMar>
            <w:vAlign w:val="bottom"/>
          </w:tcPr>
          <w:p w14:paraId="4DC15F88" w14:textId="77777777" w:rsidR="003F0EEA" w:rsidRPr="0068091F" w:rsidRDefault="003F0EEA">
            <w:pPr>
              <w:rPr>
                <w:rFonts w:ascii="Arial" w:eastAsia="Arial" w:hAnsi="Arial" w:cs="Arial"/>
                <w:color w:val="000000"/>
                <w:sz w:val="20"/>
                <w:vertAlign w:val="superscript"/>
              </w:rPr>
            </w:pPr>
          </w:p>
        </w:tc>
        <w:tc>
          <w:tcPr>
            <w:tcW w:w="1020" w:type="dxa"/>
            <w:tcBorders>
              <w:top w:val="nil"/>
              <w:left w:val="nil"/>
              <w:bottom w:val="nil"/>
              <w:right w:val="nil"/>
              <w:tl2br w:val="nil"/>
              <w:tr2bl w:val="nil"/>
            </w:tcBorders>
            <w:shd w:val="clear" w:color="auto" w:fill="FFFFFF"/>
            <w:tcMar>
              <w:left w:w="115" w:type="dxa"/>
              <w:right w:w="115" w:type="dxa"/>
            </w:tcMar>
            <w:vAlign w:val="bottom"/>
          </w:tcPr>
          <w:p w14:paraId="0E7AB93A" w14:textId="77777777" w:rsidR="003F0EEA" w:rsidRPr="0068091F" w:rsidRDefault="003F0EEA">
            <w:pPr>
              <w:rPr>
                <w:rFonts w:ascii="Arial" w:eastAsia="Arial" w:hAnsi="Arial" w:cs="Arial"/>
                <w:color w:val="000000"/>
                <w:sz w:val="20"/>
                <w:vertAlign w:val="superscript"/>
              </w:rPr>
            </w:pPr>
          </w:p>
        </w:tc>
      </w:tr>
      <w:tr w:rsidR="00355BFE" w14:paraId="0B88D458" w14:textId="77777777" w:rsidTr="00355BFE">
        <w:trPr>
          <w:trHeight w:val="225"/>
        </w:trPr>
        <w:tc>
          <w:tcPr>
            <w:tcW w:w="180" w:type="dxa"/>
            <w:tcBorders>
              <w:top w:val="nil"/>
              <w:left w:val="nil"/>
              <w:bottom w:val="nil"/>
              <w:right w:val="nil"/>
              <w:tl2br w:val="nil"/>
              <w:tr2bl w:val="nil"/>
            </w:tcBorders>
            <w:shd w:val="clear" w:color="auto" w:fill="FFFFFF"/>
            <w:tcMar>
              <w:left w:w="115" w:type="dxa"/>
              <w:right w:w="115" w:type="dxa"/>
            </w:tcMar>
            <w:vAlign w:val="bottom"/>
          </w:tcPr>
          <w:p w14:paraId="223BB8AB" w14:textId="77777777" w:rsidR="003F0EEA" w:rsidRPr="0068091F" w:rsidRDefault="003F0EEA">
            <w:pPr>
              <w:rPr>
                <w:rFonts w:ascii="Arial" w:eastAsia="Arial" w:hAnsi="Arial" w:cs="Arial"/>
                <w:color w:val="000000"/>
                <w:sz w:val="20"/>
                <w:vertAlign w:val="superscript"/>
              </w:rPr>
            </w:pPr>
          </w:p>
        </w:tc>
        <w:tc>
          <w:tcPr>
            <w:tcW w:w="2370" w:type="dxa"/>
            <w:gridSpan w:val="2"/>
            <w:vMerge w:val="restart"/>
            <w:tcBorders>
              <w:top w:val="nil"/>
              <w:left w:val="nil"/>
              <w:bottom w:val="nil"/>
              <w:right w:val="nil"/>
              <w:tl2br w:val="nil"/>
              <w:tr2bl w:val="nil"/>
            </w:tcBorders>
            <w:shd w:val="clear" w:color="auto" w:fill="FFFFFF"/>
            <w:tcMar>
              <w:left w:w="115" w:type="dxa"/>
              <w:right w:w="115" w:type="dxa"/>
            </w:tcMar>
            <w:vAlign w:val="bottom"/>
          </w:tcPr>
          <w:p w14:paraId="68282D3E" w14:textId="77777777" w:rsidR="003F0EEA" w:rsidRPr="0068091F" w:rsidRDefault="00FB7D0B">
            <w:pPr>
              <w:rPr>
                <w:rFonts w:ascii="Arial" w:eastAsia="Arial" w:hAnsi="Arial" w:cs="Arial"/>
                <w:color w:val="000000"/>
                <w:sz w:val="20"/>
                <w:vertAlign w:val="superscript"/>
              </w:rPr>
            </w:pPr>
            <w:r w:rsidRPr="0068091F">
              <w:rPr>
                <w:rFonts w:ascii="Arial" w:eastAsia="Arial" w:hAnsi="Arial" w:cs="Arial"/>
                <w:color w:val="000000"/>
                <w:sz w:val="16"/>
              </w:rPr>
              <w:t>expense</w:t>
            </w:r>
          </w:p>
        </w:tc>
        <w:tc>
          <w:tcPr>
            <w:tcW w:w="810"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685C9B68" w14:textId="77777777" w:rsidR="003F0EEA" w:rsidRPr="0068091F" w:rsidRDefault="00FB7D0B">
            <w:pPr>
              <w:jc w:val="right"/>
              <w:rPr>
                <w:rFonts w:ascii="Arial" w:eastAsia="Arial" w:hAnsi="Arial" w:cs="Arial"/>
                <w:color w:val="000000"/>
                <w:sz w:val="16"/>
                <w:vertAlign w:val="superscript"/>
              </w:rPr>
            </w:pPr>
            <w:r w:rsidRPr="0068091F">
              <w:rPr>
                <w:rFonts w:ascii="Arial" w:eastAsia="Arial" w:hAnsi="Arial" w:cs="Arial"/>
                <w:color w:val="000000"/>
                <w:sz w:val="16"/>
              </w:rPr>
              <w:t xml:space="preserve"> - </w:t>
            </w:r>
          </w:p>
        </w:tc>
        <w:tc>
          <w:tcPr>
            <w:tcW w:w="915"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43C2D699" w14:textId="77777777" w:rsidR="003F0EEA" w:rsidRPr="0068091F" w:rsidRDefault="00FB7D0B">
            <w:pPr>
              <w:jc w:val="right"/>
              <w:rPr>
                <w:rFonts w:ascii="Arial" w:eastAsia="Arial" w:hAnsi="Arial" w:cs="Arial"/>
                <w:color w:val="000000"/>
                <w:sz w:val="16"/>
              </w:rPr>
            </w:pPr>
            <w:r w:rsidRPr="0068091F">
              <w:rPr>
                <w:rFonts w:ascii="Arial" w:eastAsia="Arial" w:hAnsi="Arial" w:cs="Arial"/>
                <w:color w:val="000000"/>
                <w:sz w:val="16"/>
              </w:rPr>
              <w:t>(4,887)</w:t>
            </w:r>
          </w:p>
        </w:tc>
        <w:tc>
          <w:tcPr>
            <w:tcW w:w="1020"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24AF820D" w14:textId="77777777" w:rsidR="003F0EEA" w:rsidRPr="0068091F" w:rsidRDefault="00FB7D0B">
            <w:pPr>
              <w:jc w:val="right"/>
              <w:rPr>
                <w:rFonts w:ascii="Arial" w:eastAsia="Arial" w:hAnsi="Arial" w:cs="Arial"/>
                <w:color w:val="000000"/>
                <w:sz w:val="16"/>
              </w:rPr>
            </w:pPr>
            <w:r w:rsidRPr="0068091F">
              <w:rPr>
                <w:rFonts w:ascii="Arial" w:eastAsia="Arial" w:hAnsi="Arial" w:cs="Arial"/>
                <w:color w:val="000000"/>
                <w:sz w:val="16"/>
              </w:rPr>
              <w:t>(4,563)</w:t>
            </w:r>
          </w:p>
        </w:tc>
        <w:tc>
          <w:tcPr>
            <w:tcW w:w="1020"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7C1CF7B9" w14:textId="77777777" w:rsidR="003F0EEA" w:rsidRPr="0068091F" w:rsidRDefault="00FB7D0B">
            <w:pPr>
              <w:jc w:val="right"/>
              <w:rPr>
                <w:rFonts w:ascii="Arial" w:eastAsia="Arial" w:hAnsi="Arial" w:cs="Arial"/>
                <w:color w:val="000000"/>
                <w:sz w:val="16"/>
              </w:rPr>
            </w:pPr>
            <w:r w:rsidRPr="0068091F">
              <w:rPr>
                <w:rFonts w:ascii="Arial" w:eastAsia="Arial" w:hAnsi="Arial" w:cs="Arial"/>
                <w:color w:val="000000"/>
                <w:sz w:val="16"/>
              </w:rPr>
              <w:t>(10,348)</w:t>
            </w:r>
          </w:p>
        </w:tc>
        <w:tc>
          <w:tcPr>
            <w:tcW w:w="1020"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7E586D96" w14:textId="77777777" w:rsidR="003F0EEA" w:rsidRPr="0068091F" w:rsidRDefault="00FB7D0B">
            <w:pPr>
              <w:jc w:val="right"/>
              <w:rPr>
                <w:rFonts w:ascii="Arial" w:eastAsia="Arial" w:hAnsi="Arial" w:cs="Arial"/>
                <w:color w:val="000000"/>
                <w:sz w:val="16"/>
              </w:rPr>
            </w:pPr>
            <w:r w:rsidRPr="0068091F">
              <w:rPr>
                <w:rFonts w:ascii="Arial" w:eastAsia="Arial" w:hAnsi="Arial" w:cs="Arial"/>
                <w:color w:val="000000"/>
                <w:sz w:val="16"/>
              </w:rPr>
              <w:t>(782)</w:t>
            </w:r>
          </w:p>
        </w:tc>
        <w:tc>
          <w:tcPr>
            <w:tcW w:w="1020"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21711D96" w14:textId="77777777" w:rsidR="003F0EEA" w:rsidRPr="0068091F" w:rsidRDefault="00FB7D0B">
            <w:pPr>
              <w:jc w:val="right"/>
              <w:rPr>
                <w:rFonts w:ascii="Arial" w:eastAsia="Arial" w:hAnsi="Arial" w:cs="Arial"/>
                <w:color w:val="000000"/>
                <w:sz w:val="16"/>
              </w:rPr>
            </w:pPr>
            <w:r w:rsidRPr="0068091F">
              <w:rPr>
                <w:rFonts w:ascii="Arial" w:eastAsia="Arial" w:hAnsi="Arial" w:cs="Arial"/>
                <w:color w:val="000000"/>
                <w:sz w:val="16"/>
              </w:rPr>
              <w:t>(20,580)</w:t>
            </w:r>
          </w:p>
        </w:tc>
      </w:tr>
      <w:tr w:rsidR="00355BFE" w14:paraId="7BDEF723" w14:textId="77777777" w:rsidTr="00355BFE">
        <w:trPr>
          <w:trHeight w:val="255"/>
        </w:trPr>
        <w:tc>
          <w:tcPr>
            <w:tcW w:w="2550" w:type="dxa"/>
            <w:gridSpan w:val="3"/>
            <w:tcBorders>
              <w:top w:val="nil"/>
              <w:left w:val="nil"/>
              <w:bottom w:val="nil"/>
              <w:right w:val="nil"/>
              <w:tl2br w:val="nil"/>
              <w:tr2bl w:val="nil"/>
            </w:tcBorders>
            <w:shd w:val="clear" w:color="auto" w:fill="FFFFFF"/>
            <w:tcMar>
              <w:left w:w="115" w:type="dxa"/>
              <w:right w:w="115" w:type="dxa"/>
            </w:tcMar>
            <w:vAlign w:val="bottom"/>
          </w:tcPr>
          <w:p w14:paraId="1B46E713" w14:textId="77777777" w:rsidR="003F0EEA" w:rsidRPr="0068091F" w:rsidRDefault="00FB7D0B">
            <w:pPr>
              <w:rPr>
                <w:rFonts w:ascii="Arial" w:eastAsia="Arial" w:hAnsi="Arial" w:cs="Arial"/>
                <w:color w:val="000000"/>
                <w:sz w:val="16"/>
              </w:rPr>
            </w:pPr>
            <w:r w:rsidRPr="0068091F">
              <w:rPr>
                <w:rFonts w:ascii="Arial" w:eastAsia="Arial" w:hAnsi="Arial" w:cs="Arial"/>
                <w:b/>
                <w:color w:val="000000"/>
                <w:sz w:val="16"/>
              </w:rPr>
              <w:t>Total other movements</w:t>
            </w:r>
          </w:p>
        </w:tc>
        <w:tc>
          <w:tcPr>
            <w:tcW w:w="810" w:type="dxa"/>
            <w:tcBorders>
              <w:top w:val="single" w:sz="6" w:space="0" w:color="000000"/>
              <w:left w:val="nil"/>
              <w:bottom w:val="single" w:sz="6" w:space="0" w:color="000000"/>
              <w:right w:val="nil"/>
              <w:tl2br w:val="nil"/>
              <w:tr2bl w:val="nil"/>
            </w:tcBorders>
            <w:shd w:val="clear" w:color="auto" w:fill="FFFFFF"/>
            <w:tcMar>
              <w:left w:w="115" w:type="dxa"/>
              <w:right w:w="115" w:type="dxa"/>
            </w:tcMar>
            <w:vAlign w:val="bottom"/>
          </w:tcPr>
          <w:p w14:paraId="0A1B72BC" w14:textId="77777777" w:rsidR="003F0EEA" w:rsidRPr="0068091F" w:rsidRDefault="00FB7D0B">
            <w:pPr>
              <w:jc w:val="right"/>
              <w:rPr>
                <w:rFonts w:ascii="Arial" w:eastAsia="Arial" w:hAnsi="Arial" w:cs="Arial"/>
                <w:b/>
                <w:color w:val="000000"/>
                <w:sz w:val="16"/>
                <w:vertAlign w:val="superscript"/>
              </w:rPr>
            </w:pPr>
            <w:r w:rsidRPr="0068091F">
              <w:rPr>
                <w:rFonts w:ascii="Arial" w:eastAsia="Arial" w:hAnsi="Arial" w:cs="Arial"/>
                <w:color w:val="000000"/>
                <w:sz w:val="16"/>
              </w:rPr>
              <w:t xml:space="preserve"> - </w:t>
            </w:r>
          </w:p>
        </w:tc>
        <w:tc>
          <w:tcPr>
            <w:tcW w:w="915" w:type="dxa"/>
            <w:tcBorders>
              <w:top w:val="single" w:sz="6" w:space="0" w:color="000000"/>
              <w:left w:val="nil"/>
              <w:bottom w:val="single" w:sz="6" w:space="0" w:color="000000"/>
              <w:right w:val="nil"/>
              <w:tl2br w:val="nil"/>
              <w:tr2bl w:val="nil"/>
            </w:tcBorders>
            <w:shd w:val="clear" w:color="auto" w:fill="FFFFFF"/>
            <w:tcMar>
              <w:left w:w="115" w:type="dxa"/>
              <w:right w:w="115" w:type="dxa"/>
            </w:tcMar>
            <w:vAlign w:val="bottom"/>
          </w:tcPr>
          <w:p w14:paraId="5A0D5DED" w14:textId="77777777" w:rsidR="003F0EEA" w:rsidRPr="0068091F" w:rsidRDefault="00FB7D0B">
            <w:pPr>
              <w:jc w:val="right"/>
              <w:rPr>
                <w:rFonts w:ascii="Arial" w:eastAsia="Arial" w:hAnsi="Arial" w:cs="Arial"/>
                <w:color w:val="000000"/>
                <w:sz w:val="16"/>
              </w:rPr>
            </w:pPr>
            <w:r w:rsidRPr="0068091F">
              <w:rPr>
                <w:rFonts w:ascii="Arial" w:eastAsia="Arial" w:hAnsi="Arial" w:cs="Arial"/>
                <w:color w:val="000000"/>
                <w:sz w:val="16"/>
              </w:rPr>
              <w:t>(4,887)</w:t>
            </w:r>
          </w:p>
        </w:tc>
        <w:tc>
          <w:tcPr>
            <w:tcW w:w="1020" w:type="dxa"/>
            <w:tcBorders>
              <w:top w:val="single" w:sz="6" w:space="0" w:color="000000"/>
              <w:left w:val="nil"/>
              <w:bottom w:val="single" w:sz="6" w:space="0" w:color="000000"/>
              <w:right w:val="nil"/>
              <w:tl2br w:val="nil"/>
              <w:tr2bl w:val="nil"/>
            </w:tcBorders>
            <w:shd w:val="clear" w:color="auto" w:fill="FFFFFF"/>
            <w:tcMar>
              <w:left w:w="115" w:type="dxa"/>
              <w:right w:w="115" w:type="dxa"/>
            </w:tcMar>
            <w:vAlign w:val="bottom"/>
          </w:tcPr>
          <w:p w14:paraId="4DD93FD0" w14:textId="77777777" w:rsidR="003F0EEA" w:rsidRPr="0068091F" w:rsidRDefault="00FB7D0B">
            <w:pPr>
              <w:jc w:val="right"/>
              <w:rPr>
                <w:rFonts w:ascii="Arial" w:eastAsia="Arial" w:hAnsi="Arial" w:cs="Arial"/>
                <w:color w:val="000000"/>
                <w:sz w:val="16"/>
              </w:rPr>
            </w:pPr>
            <w:r w:rsidRPr="0068091F">
              <w:rPr>
                <w:rFonts w:ascii="Arial" w:eastAsia="Arial" w:hAnsi="Arial" w:cs="Arial"/>
                <w:color w:val="000000"/>
                <w:sz w:val="16"/>
              </w:rPr>
              <w:t>(4,563)</w:t>
            </w:r>
          </w:p>
        </w:tc>
        <w:tc>
          <w:tcPr>
            <w:tcW w:w="1020" w:type="dxa"/>
            <w:tcBorders>
              <w:top w:val="single" w:sz="6" w:space="0" w:color="000000"/>
              <w:left w:val="nil"/>
              <w:bottom w:val="single" w:sz="6" w:space="0" w:color="000000"/>
              <w:right w:val="nil"/>
              <w:tl2br w:val="nil"/>
              <w:tr2bl w:val="nil"/>
            </w:tcBorders>
            <w:shd w:val="clear" w:color="auto" w:fill="FFFFFF"/>
            <w:tcMar>
              <w:left w:w="115" w:type="dxa"/>
              <w:right w:w="115" w:type="dxa"/>
            </w:tcMar>
            <w:vAlign w:val="bottom"/>
          </w:tcPr>
          <w:p w14:paraId="2271EBED" w14:textId="77777777" w:rsidR="003F0EEA" w:rsidRPr="0068091F" w:rsidRDefault="00FB7D0B">
            <w:pPr>
              <w:jc w:val="right"/>
              <w:rPr>
                <w:rFonts w:ascii="Arial" w:eastAsia="Arial" w:hAnsi="Arial" w:cs="Arial"/>
                <w:color w:val="000000"/>
                <w:sz w:val="16"/>
              </w:rPr>
            </w:pPr>
            <w:r w:rsidRPr="0068091F">
              <w:rPr>
                <w:rFonts w:ascii="Arial" w:eastAsia="Arial" w:hAnsi="Arial" w:cs="Arial"/>
                <w:color w:val="000000"/>
                <w:sz w:val="16"/>
              </w:rPr>
              <w:t>(10,348)</w:t>
            </w:r>
          </w:p>
        </w:tc>
        <w:tc>
          <w:tcPr>
            <w:tcW w:w="1020" w:type="dxa"/>
            <w:tcBorders>
              <w:top w:val="single" w:sz="6" w:space="0" w:color="000000"/>
              <w:left w:val="nil"/>
              <w:bottom w:val="single" w:sz="6" w:space="0" w:color="000000"/>
              <w:right w:val="nil"/>
              <w:tl2br w:val="nil"/>
              <w:tr2bl w:val="nil"/>
            </w:tcBorders>
            <w:shd w:val="clear" w:color="auto" w:fill="FFFFFF"/>
            <w:tcMar>
              <w:left w:w="115" w:type="dxa"/>
              <w:right w:w="115" w:type="dxa"/>
            </w:tcMar>
            <w:vAlign w:val="bottom"/>
          </w:tcPr>
          <w:p w14:paraId="0774A304" w14:textId="77777777" w:rsidR="003F0EEA" w:rsidRPr="0068091F" w:rsidRDefault="00FB7D0B">
            <w:pPr>
              <w:jc w:val="right"/>
              <w:rPr>
                <w:rFonts w:ascii="Arial" w:eastAsia="Arial" w:hAnsi="Arial" w:cs="Arial"/>
                <w:color w:val="000000"/>
                <w:sz w:val="16"/>
              </w:rPr>
            </w:pPr>
            <w:r w:rsidRPr="0068091F">
              <w:rPr>
                <w:rFonts w:ascii="Arial" w:eastAsia="Arial" w:hAnsi="Arial" w:cs="Arial"/>
                <w:color w:val="000000"/>
                <w:sz w:val="16"/>
              </w:rPr>
              <w:t>(782)</w:t>
            </w:r>
          </w:p>
        </w:tc>
        <w:tc>
          <w:tcPr>
            <w:tcW w:w="1020" w:type="dxa"/>
            <w:tcBorders>
              <w:top w:val="single" w:sz="6" w:space="0" w:color="000000"/>
              <w:left w:val="nil"/>
              <w:bottom w:val="single" w:sz="6" w:space="0" w:color="000000"/>
              <w:right w:val="nil"/>
              <w:tl2br w:val="nil"/>
              <w:tr2bl w:val="nil"/>
            </w:tcBorders>
            <w:shd w:val="clear" w:color="auto" w:fill="FFFFFF"/>
            <w:tcMar>
              <w:left w:w="115" w:type="dxa"/>
              <w:right w:w="115" w:type="dxa"/>
            </w:tcMar>
            <w:vAlign w:val="bottom"/>
          </w:tcPr>
          <w:p w14:paraId="209E819C" w14:textId="77777777" w:rsidR="003F0EEA" w:rsidRPr="0068091F" w:rsidRDefault="00FB7D0B">
            <w:pPr>
              <w:jc w:val="right"/>
              <w:rPr>
                <w:rFonts w:ascii="Arial" w:eastAsia="Arial" w:hAnsi="Arial" w:cs="Arial"/>
                <w:color w:val="000000"/>
                <w:sz w:val="16"/>
              </w:rPr>
            </w:pPr>
            <w:r w:rsidRPr="0068091F">
              <w:rPr>
                <w:rFonts w:ascii="Arial" w:eastAsia="Arial" w:hAnsi="Arial" w:cs="Arial"/>
                <w:color w:val="000000"/>
                <w:sz w:val="16"/>
              </w:rPr>
              <w:t>(20,580)</w:t>
            </w:r>
          </w:p>
        </w:tc>
      </w:tr>
      <w:tr w:rsidR="00355BFE" w14:paraId="28F2186A" w14:textId="77777777" w:rsidTr="00355BFE">
        <w:trPr>
          <w:trHeight w:val="225"/>
        </w:trPr>
        <w:tc>
          <w:tcPr>
            <w:tcW w:w="2550" w:type="dxa"/>
            <w:gridSpan w:val="3"/>
            <w:tcBorders>
              <w:top w:val="nil"/>
              <w:left w:val="nil"/>
              <w:bottom w:val="nil"/>
              <w:right w:val="nil"/>
              <w:tl2br w:val="nil"/>
              <w:tr2bl w:val="nil"/>
            </w:tcBorders>
            <w:shd w:val="clear" w:color="auto" w:fill="FFFFFF"/>
            <w:tcMar>
              <w:left w:w="115" w:type="dxa"/>
              <w:right w:w="115" w:type="dxa"/>
            </w:tcMar>
            <w:vAlign w:val="bottom"/>
          </w:tcPr>
          <w:p w14:paraId="33BC0622" w14:textId="77777777" w:rsidR="003F0EEA" w:rsidRPr="0068091F" w:rsidRDefault="00FB7D0B">
            <w:pPr>
              <w:rPr>
                <w:rFonts w:ascii="Arial" w:eastAsia="Arial" w:hAnsi="Arial" w:cs="Arial"/>
                <w:color w:val="000000"/>
                <w:sz w:val="16"/>
              </w:rPr>
            </w:pPr>
            <w:r w:rsidRPr="0068091F">
              <w:rPr>
                <w:rFonts w:ascii="Arial" w:eastAsia="Arial" w:hAnsi="Arial" w:cs="Arial"/>
                <w:b/>
                <w:color w:val="000000"/>
                <w:sz w:val="16"/>
              </w:rPr>
              <w:t>As at 30 June 2015</w:t>
            </w:r>
          </w:p>
        </w:tc>
        <w:tc>
          <w:tcPr>
            <w:tcW w:w="810"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4F44091D" w14:textId="77777777" w:rsidR="003F0EEA" w:rsidRPr="0068091F" w:rsidRDefault="003F0EEA">
            <w:pPr>
              <w:rPr>
                <w:rFonts w:ascii="Arial" w:eastAsia="Arial" w:hAnsi="Arial" w:cs="Arial"/>
                <w:b/>
                <w:color w:val="000000"/>
                <w:sz w:val="16"/>
                <w:vertAlign w:val="superscript"/>
              </w:rPr>
            </w:pPr>
          </w:p>
        </w:tc>
        <w:tc>
          <w:tcPr>
            <w:tcW w:w="915"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001E714F" w14:textId="77777777" w:rsidR="003F0EEA" w:rsidRPr="0068091F" w:rsidRDefault="003F0EEA">
            <w:pPr>
              <w:rPr>
                <w:rFonts w:ascii="Arial" w:eastAsia="Arial" w:hAnsi="Arial" w:cs="Arial"/>
                <w:color w:val="000000"/>
                <w:sz w:val="16"/>
                <w:vertAlign w:val="superscript"/>
              </w:rPr>
            </w:pPr>
          </w:p>
        </w:tc>
        <w:tc>
          <w:tcPr>
            <w:tcW w:w="1020"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2AED9A06" w14:textId="77777777" w:rsidR="003F0EEA" w:rsidRPr="0068091F" w:rsidRDefault="003F0EEA">
            <w:pPr>
              <w:rPr>
                <w:rFonts w:ascii="Arial" w:eastAsia="Arial" w:hAnsi="Arial" w:cs="Arial"/>
                <w:color w:val="000000"/>
                <w:sz w:val="16"/>
                <w:vertAlign w:val="superscript"/>
              </w:rPr>
            </w:pPr>
          </w:p>
        </w:tc>
        <w:tc>
          <w:tcPr>
            <w:tcW w:w="1020"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783AA61A" w14:textId="77777777" w:rsidR="003F0EEA" w:rsidRPr="0068091F" w:rsidRDefault="003F0EEA">
            <w:pPr>
              <w:rPr>
                <w:rFonts w:ascii="Arial" w:eastAsia="Arial" w:hAnsi="Arial" w:cs="Arial"/>
                <w:color w:val="000000"/>
                <w:sz w:val="16"/>
                <w:vertAlign w:val="superscript"/>
              </w:rPr>
            </w:pPr>
          </w:p>
        </w:tc>
        <w:tc>
          <w:tcPr>
            <w:tcW w:w="1020"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7D033E6F" w14:textId="77777777" w:rsidR="003F0EEA" w:rsidRPr="0068091F" w:rsidRDefault="003F0EEA">
            <w:pPr>
              <w:rPr>
                <w:rFonts w:ascii="Arial" w:eastAsia="Arial" w:hAnsi="Arial" w:cs="Arial"/>
                <w:color w:val="000000"/>
                <w:sz w:val="16"/>
                <w:vertAlign w:val="superscript"/>
              </w:rPr>
            </w:pPr>
          </w:p>
        </w:tc>
        <w:tc>
          <w:tcPr>
            <w:tcW w:w="1020"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007F266F" w14:textId="77777777" w:rsidR="003F0EEA" w:rsidRPr="0068091F" w:rsidRDefault="003F0EEA">
            <w:pPr>
              <w:jc w:val="right"/>
              <w:rPr>
                <w:rFonts w:ascii="Arial" w:eastAsia="Arial" w:hAnsi="Arial" w:cs="Arial"/>
                <w:color w:val="000000"/>
                <w:sz w:val="16"/>
                <w:vertAlign w:val="superscript"/>
              </w:rPr>
            </w:pPr>
          </w:p>
        </w:tc>
      </w:tr>
      <w:tr w:rsidR="00355BFE" w14:paraId="12475A97" w14:textId="77777777" w:rsidTr="00355BFE">
        <w:trPr>
          <w:trHeight w:val="225"/>
        </w:trPr>
        <w:tc>
          <w:tcPr>
            <w:tcW w:w="180" w:type="dxa"/>
            <w:tcBorders>
              <w:top w:val="nil"/>
              <w:left w:val="nil"/>
              <w:bottom w:val="nil"/>
              <w:right w:val="nil"/>
              <w:tl2br w:val="nil"/>
              <w:tr2bl w:val="nil"/>
            </w:tcBorders>
            <w:shd w:val="clear" w:color="auto" w:fill="FFFFFF"/>
            <w:tcMar>
              <w:left w:w="115" w:type="dxa"/>
              <w:right w:w="115" w:type="dxa"/>
            </w:tcMar>
            <w:vAlign w:val="bottom"/>
          </w:tcPr>
          <w:p w14:paraId="6A9F54CD" w14:textId="77777777" w:rsidR="003F0EEA" w:rsidRPr="0068091F" w:rsidRDefault="003F0EEA">
            <w:pPr>
              <w:rPr>
                <w:rFonts w:ascii="Arial" w:eastAsia="Arial" w:hAnsi="Arial" w:cs="Arial"/>
                <w:color w:val="000000"/>
                <w:sz w:val="16"/>
                <w:vertAlign w:val="superscript"/>
              </w:rPr>
            </w:pPr>
          </w:p>
        </w:tc>
        <w:tc>
          <w:tcPr>
            <w:tcW w:w="2370" w:type="dxa"/>
            <w:gridSpan w:val="2"/>
            <w:vMerge w:val="restart"/>
            <w:tcBorders>
              <w:top w:val="nil"/>
              <w:left w:val="nil"/>
              <w:bottom w:val="nil"/>
              <w:right w:val="nil"/>
              <w:tl2br w:val="nil"/>
              <w:tr2bl w:val="nil"/>
            </w:tcBorders>
            <w:shd w:val="clear" w:color="auto" w:fill="FFFFFF"/>
            <w:tcMar>
              <w:left w:w="115" w:type="dxa"/>
              <w:right w:w="115" w:type="dxa"/>
            </w:tcMar>
            <w:vAlign w:val="bottom"/>
          </w:tcPr>
          <w:p w14:paraId="7D852DF3" w14:textId="77777777" w:rsidR="003F0EEA" w:rsidRPr="0068091F" w:rsidRDefault="00FB7D0B">
            <w:pPr>
              <w:rPr>
                <w:rFonts w:ascii="Arial" w:eastAsia="Arial" w:hAnsi="Arial" w:cs="Arial"/>
                <w:color w:val="000000"/>
                <w:sz w:val="20"/>
                <w:vertAlign w:val="superscript"/>
              </w:rPr>
            </w:pPr>
            <w:r w:rsidRPr="0068091F">
              <w:rPr>
                <w:rFonts w:ascii="Arial" w:eastAsia="Arial" w:hAnsi="Arial" w:cs="Arial"/>
                <w:color w:val="000000"/>
                <w:sz w:val="16"/>
              </w:rPr>
              <w:t>Gross book value</w:t>
            </w:r>
          </w:p>
        </w:tc>
        <w:tc>
          <w:tcPr>
            <w:tcW w:w="810" w:type="dxa"/>
            <w:tcBorders>
              <w:top w:val="nil"/>
              <w:left w:val="nil"/>
              <w:bottom w:val="nil"/>
              <w:right w:val="nil"/>
              <w:tl2br w:val="nil"/>
              <w:tr2bl w:val="nil"/>
            </w:tcBorders>
            <w:shd w:val="clear" w:color="auto" w:fill="FFFFFF"/>
            <w:tcMar>
              <w:left w:w="115" w:type="dxa"/>
              <w:right w:w="115" w:type="dxa"/>
            </w:tcMar>
            <w:vAlign w:val="bottom"/>
          </w:tcPr>
          <w:p w14:paraId="7940B3F7" w14:textId="77777777" w:rsidR="003F0EEA" w:rsidRPr="0068091F" w:rsidRDefault="00FB7D0B">
            <w:pPr>
              <w:jc w:val="right"/>
              <w:rPr>
                <w:rFonts w:ascii="Arial" w:eastAsia="Arial" w:hAnsi="Arial" w:cs="Arial"/>
                <w:color w:val="000000"/>
                <w:sz w:val="20"/>
                <w:vertAlign w:val="superscript"/>
              </w:rPr>
            </w:pPr>
            <w:r w:rsidRPr="0068091F">
              <w:rPr>
                <w:rFonts w:ascii="Arial" w:eastAsia="Arial" w:hAnsi="Arial" w:cs="Arial"/>
                <w:color w:val="000000"/>
                <w:sz w:val="16"/>
              </w:rPr>
              <w:t xml:space="preserve"> 11,700 </w:t>
            </w:r>
          </w:p>
        </w:tc>
        <w:tc>
          <w:tcPr>
            <w:tcW w:w="915" w:type="dxa"/>
            <w:tcBorders>
              <w:top w:val="nil"/>
              <w:left w:val="nil"/>
              <w:bottom w:val="nil"/>
              <w:right w:val="nil"/>
              <w:tl2br w:val="nil"/>
              <w:tr2bl w:val="nil"/>
            </w:tcBorders>
            <w:shd w:val="clear" w:color="auto" w:fill="FFFFFF"/>
            <w:tcMar>
              <w:left w:w="115" w:type="dxa"/>
              <w:right w:w="115" w:type="dxa"/>
            </w:tcMar>
            <w:vAlign w:val="bottom"/>
          </w:tcPr>
          <w:p w14:paraId="42451220" w14:textId="77777777" w:rsidR="003F0EEA" w:rsidRPr="0068091F" w:rsidRDefault="00FB7D0B">
            <w:pPr>
              <w:jc w:val="right"/>
              <w:rPr>
                <w:rFonts w:ascii="Arial" w:eastAsia="Arial" w:hAnsi="Arial" w:cs="Arial"/>
                <w:color w:val="000000"/>
                <w:sz w:val="16"/>
              </w:rPr>
            </w:pPr>
            <w:r w:rsidRPr="0068091F">
              <w:rPr>
                <w:rFonts w:ascii="Arial" w:eastAsia="Arial" w:hAnsi="Arial" w:cs="Arial"/>
                <w:color w:val="000000"/>
                <w:sz w:val="16"/>
              </w:rPr>
              <w:t xml:space="preserve"> 135,097 </w:t>
            </w:r>
          </w:p>
        </w:tc>
        <w:tc>
          <w:tcPr>
            <w:tcW w:w="1020" w:type="dxa"/>
            <w:tcBorders>
              <w:top w:val="nil"/>
              <w:left w:val="nil"/>
              <w:bottom w:val="nil"/>
              <w:right w:val="nil"/>
              <w:tl2br w:val="nil"/>
              <w:tr2bl w:val="nil"/>
            </w:tcBorders>
            <w:shd w:val="clear" w:color="auto" w:fill="FFFFFF"/>
            <w:tcMar>
              <w:left w:w="115" w:type="dxa"/>
              <w:right w:w="115" w:type="dxa"/>
            </w:tcMar>
            <w:vAlign w:val="bottom"/>
          </w:tcPr>
          <w:p w14:paraId="6ED53827" w14:textId="77777777" w:rsidR="003F0EEA" w:rsidRPr="0068091F" w:rsidRDefault="00FB7D0B">
            <w:pPr>
              <w:jc w:val="right"/>
              <w:rPr>
                <w:rFonts w:ascii="Arial" w:eastAsia="Arial" w:hAnsi="Arial" w:cs="Arial"/>
                <w:color w:val="000000"/>
                <w:sz w:val="16"/>
              </w:rPr>
            </w:pPr>
            <w:r w:rsidRPr="0068091F">
              <w:rPr>
                <w:rFonts w:ascii="Arial" w:eastAsia="Arial" w:hAnsi="Arial" w:cs="Arial"/>
                <w:color w:val="000000"/>
                <w:sz w:val="16"/>
              </w:rPr>
              <w:t xml:space="preserve"> 64,184 </w:t>
            </w:r>
          </w:p>
        </w:tc>
        <w:tc>
          <w:tcPr>
            <w:tcW w:w="1020" w:type="dxa"/>
            <w:tcBorders>
              <w:top w:val="nil"/>
              <w:left w:val="nil"/>
              <w:bottom w:val="nil"/>
              <w:right w:val="nil"/>
              <w:tl2br w:val="nil"/>
              <w:tr2bl w:val="nil"/>
            </w:tcBorders>
            <w:shd w:val="clear" w:color="auto" w:fill="FFFFFF"/>
            <w:tcMar>
              <w:left w:w="115" w:type="dxa"/>
              <w:right w:w="115" w:type="dxa"/>
            </w:tcMar>
            <w:vAlign w:val="bottom"/>
          </w:tcPr>
          <w:p w14:paraId="04D82AE8" w14:textId="77777777" w:rsidR="003F0EEA" w:rsidRPr="0068091F" w:rsidRDefault="00FB7D0B">
            <w:pPr>
              <w:jc w:val="right"/>
              <w:rPr>
                <w:rFonts w:ascii="Arial" w:eastAsia="Arial" w:hAnsi="Arial" w:cs="Arial"/>
                <w:color w:val="000000"/>
                <w:sz w:val="16"/>
              </w:rPr>
            </w:pPr>
            <w:r w:rsidRPr="0068091F">
              <w:rPr>
                <w:rFonts w:ascii="Arial" w:eastAsia="Arial" w:hAnsi="Arial" w:cs="Arial"/>
                <w:color w:val="000000"/>
                <w:sz w:val="16"/>
              </w:rPr>
              <w:t xml:space="preserve"> 1,104,585 </w:t>
            </w:r>
          </w:p>
        </w:tc>
        <w:tc>
          <w:tcPr>
            <w:tcW w:w="1020" w:type="dxa"/>
            <w:tcBorders>
              <w:top w:val="nil"/>
              <w:left w:val="nil"/>
              <w:bottom w:val="nil"/>
              <w:right w:val="nil"/>
              <w:tl2br w:val="nil"/>
              <w:tr2bl w:val="nil"/>
            </w:tcBorders>
            <w:shd w:val="clear" w:color="auto" w:fill="FFFFFF"/>
            <w:tcMar>
              <w:left w:w="115" w:type="dxa"/>
              <w:right w:w="115" w:type="dxa"/>
            </w:tcMar>
            <w:vAlign w:val="bottom"/>
          </w:tcPr>
          <w:p w14:paraId="73F2A7C5" w14:textId="77777777" w:rsidR="003F0EEA" w:rsidRPr="0068091F" w:rsidRDefault="00FB7D0B">
            <w:pPr>
              <w:jc w:val="right"/>
              <w:rPr>
                <w:rFonts w:ascii="Arial" w:eastAsia="Arial" w:hAnsi="Arial" w:cs="Arial"/>
                <w:color w:val="000000"/>
                <w:sz w:val="16"/>
              </w:rPr>
            </w:pPr>
            <w:r w:rsidRPr="0068091F">
              <w:rPr>
                <w:rFonts w:ascii="Arial" w:eastAsia="Arial" w:hAnsi="Arial" w:cs="Arial"/>
                <w:color w:val="000000"/>
                <w:sz w:val="16"/>
              </w:rPr>
              <w:t xml:space="preserve"> 11,046 </w:t>
            </w:r>
          </w:p>
        </w:tc>
        <w:tc>
          <w:tcPr>
            <w:tcW w:w="1020" w:type="dxa"/>
            <w:tcBorders>
              <w:top w:val="nil"/>
              <w:left w:val="nil"/>
              <w:bottom w:val="nil"/>
              <w:right w:val="nil"/>
              <w:tl2br w:val="nil"/>
              <w:tr2bl w:val="nil"/>
            </w:tcBorders>
            <w:shd w:val="clear" w:color="auto" w:fill="FFFFFF"/>
            <w:tcMar>
              <w:left w:w="115" w:type="dxa"/>
              <w:right w:w="115" w:type="dxa"/>
            </w:tcMar>
            <w:vAlign w:val="bottom"/>
          </w:tcPr>
          <w:p w14:paraId="3F1B3830" w14:textId="77777777" w:rsidR="003F0EEA" w:rsidRPr="0068091F" w:rsidRDefault="00FB7D0B">
            <w:pPr>
              <w:jc w:val="right"/>
              <w:rPr>
                <w:rFonts w:ascii="Arial" w:eastAsia="Arial" w:hAnsi="Arial" w:cs="Arial"/>
                <w:color w:val="000000"/>
                <w:sz w:val="16"/>
              </w:rPr>
            </w:pPr>
            <w:r w:rsidRPr="0068091F">
              <w:rPr>
                <w:rFonts w:ascii="Arial" w:eastAsia="Arial" w:hAnsi="Arial" w:cs="Arial"/>
                <w:color w:val="000000"/>
                <w:sz w:val="16"/>
              </w:rPr>
              <w:t xml:space="preserve"> 1,326,612 </w:t>
            </w:r>
          </w:p>
        </w:tc>
      </w:tr>
      <w:tr w:rsidR="00355BFE" w14:paraId="4D38EF9A" w14:textId="77777777" w:rsidTr="00355BFE">
        <w:trPr>
          <w:trHeight w:val="225"/>
        </w:trPr>
        <w:tc>
          <w:tcPr>
            <w:tcW w:w="180" w:type="dxa"/>
            <w:tcBorders>
              <w:top w:val="nil"/>
              <w:left w:val="nil"/>
              <w:bottom w:val="nil"/>
              <w:right w:val="nil"/>
              <w:tl2br w:val="nil"/>
              <w:tr2bl w:val="nil"/>
            </w:tcBorders>
            <w:shd w:val="clear" w:color="auto" w:fill="FFFFFF"/>
            <w:tcMar>
              <w:left w:w="115" w:type="dxa"/>
              <w:right w:w="115" w:type="dxa"/>
            </w:tcMar>
            <w:vAlign w:val="bottom"/>
          </w:tcPr>
          <w:p w14:paraId="566AFB77" w14:textId="77777777" w:rsidR="003F0EEA" w:rsidRPr="0068091F" w:rsidRDefault="003F0EEA">
            <w:pPr>
              <w:rPr>
                <w:rFonts w:ascii="Arial" w:eastAsia="Arial" w:hAnsi="Arial" w:cs="Arial"/>
                <w:color w:val="000000"/>
                <w:sz w:val="16"/>
              </w:rPr>
            </w:pPr>
          </w:p>
        </w:tc>
        <w:tc>
          <w:tcPr>
            <w:tcW w:w="2370" w:type="dxa"/>
            <w:gridSpan w:val="2"/>
            <w:vMerge w:val="restart"/>
            <w:tcBorders>
              <w:top w:val="nil"/>
              <w:left w:val="nil"/>
              <w:bottom w:val="nil"/>
              <w:right w:val="nil"/>
              <w:tl2br w:val="nil"/>
              <w:tr2bl w:val="nil"/>
            </w:tcBorders>
            <w:shd w:val="clear" w:color="auto" w:fill="FFFFFF"/>
            <w:tcMar>
              <w:left w:w="115" w:type="dxa"/>
              <w:right w:w="115" w:type="dxa"/>
            </w:tcMar>
            <w:vAlign w:val="bottom"/>
          </w:tcPr>
          <w:p w14:paraId="613DEF4D" w14:textId="77777777" w:rsidR="003F0EEA" w:rsidRPr="0068091F" w:rsidRDefault="00FB7D0B">
            <w:pPr>
              <w:rPr>
                <w:rFonts w:ascii="Arial" w:eastAsia="Arial" w:hAnsi="Arial" w:cs="Arial"/>
                <w:color w:val="000000"/>
                <w:sz w:val="20"/>
              </w:rPr>
            </w:pPr>
            <w:r w:rsidRPr="0068091F">
              <w:rPr>
                <w:rFonts w:ascii="Arial" w:eastAsia="Arial" w:hAnsi="Arial" w:cs="Arial"/>
                <w:color w:val="000000"/>
                <w:sz w:val="16"/>
              </w:rPr>
              <w:t>Accumulated depreciation/amortisation</w:t>
            </w:r>
          </w:p>
        </w:tc>
        <w:tc>
          <w:tcPr>
            <w:tcW w:w="810" w:type="dxa"/>
            <w:tcBorders>
              <w:top w:val="nil"/>
              <w:left w:val="nil"/>
              <w:bottom w:val="nil"/>
              <w:right w:val="nil"/>
              <w:tl2br w:val="nil"/>
              <w:tr2bl w:val="nil"/>
            </w:tcBorders>
            <w:shd w:val="clear" w:color="auto" w:fill="FFFFFF"/>
            <w:tcMar>
              <w:left w:w="115" w:type="dxa"/>
              <w:right w:w="115" w:type="dxa"/>
            </w:tcMar>
            <w:vAlign w:val="bottom"/>
          </w:tcPr>
          <w:p w14:paraId="20124C78" w14:textId="77777777" w:rsidR="003F0EEA" w:rsidRPr="0068091F" w:rsidRDefault="003F0EEA">
            <w:pPr>
              <w:rPr>
                <w:rFonts w:ascii="Arial" w:eastAsia="Arial" w:hAnsi="Arial" w:cs="Arial"/>
                <w:color w:val="000000"/>
                <w:sz w:val="16"/>
              </w:rPr>
            </w:pPr>
          </w:p>
        </w:tc>
        <w:tc>
          <w:tcPr>
            <w:tcW w:w="915" w:type="dxa"/>
            <w:tcBorders>
              <w:top w:val="nil"/>
              <w:left w:val="nil"/>
              <w:bottom w:val="nil"/>
              <w:right w:val="nil"/>
              <w:tl2br w:val="nil"/>
              <w:tr2bl w:val="nil"/>
            </w:tcBorders>
            <w:shd w:val="clear" w:color="auto" w:fill="FFFFFF"/>
            <w:tcMar>
              <w:left w:w="115" w:type="dxa"/>
              <w:right w:w="115" w:type="dxa"/>
            </w:tcMar>
            <w:vAlign w:val="bottom"/>
          </w:tcPr>
          <w:p w14:paraId="790C55DB" w14:textId="77777777" w:rsidR="003F0EEA" w:rsidRPr="0068091F" w:rsidRDefault="003F0EEA">
            <w:pPr>
              <w:rPr>
                <w:rFonts w:ascii="Arial" w:eastAsia="Arial" w:hAnsi="Arial" w:cs="Arial"/>
                <w:color w:val="000000"/>
                <w:sz w:val="16"/>
              </w:rPr>
            </w:pPr>
          </w:p>
        </w:tc>
        <w:tc>
          <w:tcPr>
            <w:tcW w:w="1020" w:type="dxa"/>
            <w:tcBorders>
              <w:top w:val="nil"/>
              <w:left w:val="nil"/>
              <w:bottom w:val="nil"/>
              <w:right w:val="nil"/>
              <w:tl2br w:val="nil"/>
              <w:tr2bl w:val="nil"/>
            </w:tcBorders>
            <w:shd w:val="clear" w:color="auto" w:fill="FFFFFF"/>
            <w:tcMar>
              <w:left w:w="115" w:type="dxa"/>
              <w:right w:w="115" w:type="dxa"/>
            </w:tcMar>
            <w:vAlign w:val="bottom"/>
          </w:tcPr>
          <w:p w14:paraId="6946B096" w14:textId="77777777" w:rsidR="003F0EEA" w:rsidRPr="0068091F" w:rsidRDefault="003F0EEA">
            <w:pPr>
              <w:rPr>
                <w:rFonts w:ascii="Arial" w:eastAsia="Arial" w:hAnsi="Arial" w:cs="Arial"/>
                <w:color w:val="000000"/>
                <w:sz w:val="16"/>
              </w:rPr>
            </w:pPr>
          </w:p>
        </w:tc>
        <w:tc>
          <w:tcPr>
            <w:tcW w:w="1020" w:type="dxa"/>
            <w:tcBorders>
              <w:top w:val="nil"/>
              <w:left w:val="nil"/>
              <w:bottom w:val="nil"/>
              <w:right w:val="nil"/>
              <w:tl2br w:val="nil"/>
              <w:tr2bl w:val="nil"/>
            </w:tcBorders>
            <w:shd w:val="clear" w:color="auto" w:fill="FFFFFF"/>
            <w:tcMar>
              <w:left w:w="115" w:type="dxa"/>
              <w:right w:w="115" w:type="dxa"/>
            </w:tcMar>
            <w:vAlign w:val="bottom"/>
          </w:tcPr>
          <w:p w14:paraId="57F15869" w14:textId="77777777" w:rsidR="003F0EEA" w:rsidRPr="0068091F" w:rsidRDefault="003F0EEA">
            <w:pPr>
              <w:rPr>
                <w:rFonts w:ascii="Arial" w:eastAsia="Arial" w:hAnsi="Arial" w:cs="Arial"/>
                <w:color w:val="000000"/>
                <w:sz w:val="16"/>
              </w:rPr>
            </w:pPr>
          </w:p>
        </w:tc>
        <w:tc>
          <w:tcPr>
            <w:tcW w:w="1020" w:type="dxa"/>
            <w:tcBorders>
              <w:top w:val="nil"/>
              <w:left w:val="nil"/>
              <w:bottom w:val="nil"/>
              <w:right w:val="nil"/>
              <w:tl2br w:val="nil"/>
              <w:tr2bl w:val="nil"/>
            </w:tcBorders>
            <w:shd w:val="clear" w:color="auto" w:fill="FFFFFF"/>
            <w:tcMar>
              <w:left w:w="115" w:type="dxa"/>
              <w:right w:w="115" w:type="dxa"/>
            </w:tcMar>
            <w:vAlign w:val="bottom"/>
          </w:tcPr>
          <w:p w14:paraId="60D99FE4" w14:textId="77777777" w:rsidR="003F0EEA" w:rsidRPr="0068091F" w:rsidRDefault="003F0EEA">
            <w:pPr>
              <w:rPr>
                <w:rFonts w:ascii="Arial" w:eastAsia="Arial" w:hAnsi="Arial" w:cs="Arial"/>
                <w:color w:val="000000"/>
                <w:sz w:val="16"/>
              </w:rPr>
            </w:pPr>
          </w:p>
        </w:tc>
        <w:tc>
          <w:tcPr>
            <w:tcW w:w="1020" w:type="dxa"/>
            <w:tcBorders>
              <w:top w:val="nil"/>
              <w:left w:val="nil"/>
              <w:bottom w:val="nil"/>
              <w:right w:val="nil"/>
              <w:tl2br w:val="nil"/>
              <w:tr2bl w:val="nil"/>
            </w:tcBorders>
            <w:shd w:val="clear" w:color="auto" w:fill="FFFFFF"/>
            <w:tcMar>
              <w:left w:w="115" w:type="dxa"/>
              <w:right w:w="115" w:type="dxa"/>
            </w:tcMar>
            <w:vAlign w:val="bottom"/>
          </w:tcPr>
          <w:p w14:paraId="17D7CF50" w14:textId="77777777" w:rsidR="003F0EEA" w:rsidRPr="0068091F" w:rsidRDefault="003F0EEA">
            <w:pPr>
              <w:jc w:val="right"/>
              <w:rPr>
                <w:rFonts w:ascii="Arial" w:eastAsia="Arial" w:hAnsi="Arial" w:cs="Arial"/>
                <w:color w:val="000000"/>
                <w:sz w:val="16"/>
              </w:rPr>
            </w:pPr>
          </w:p>
        </w:tc>
      </w:tr>
      <w:tr w:rsidR="00355BFE" w14:paraId="5FA8F799" w14:textId="77777777" w:rsidTr="00355BFE">
        <w:trPr>
          <w:trHeight w:val="225"/>
        </w:trPr>
        <w:tc>
          <w:tcPr>
            <w:tcW w:w="180" w:type="dxa"/>
            <w:tcBorders>
              <w:top w:val="nil"/>
              <w:left w:val="nil"/>
              <w:bottom w:val="nil"/>
              <w:right w:val="nil"/>
              <w:tl2br w:val="nil"/>
              <w:tr2bl w:val="nil"/>
            </w:tcBorders>
            <w:shd w:val="clear" w:color="auto" w:fill="FFFFFF"/>
            <w:tcMar>
              <w:left w:w="115" w:type="dxa"/>
              <w:right w:w="115" w:type="dxa"/>
            </w:tcMar>
            <w:vAlign w:val="bottom"/>
          </w:tcPr>
          <w:p w14:paraId="1C4CC1FC" w14:textId="77777777" w:rsidR="003F0EEA" w:rsidRPr="0068091F" w:rsidRDefault="003F0EEA">
            <w:pPr>
              <w:rPr>
                <w:rFonts w:ascii="Arial" w:eastAsia="Arial" w:hAnsi="Arial" w:cs="Arial"/>
                <w:color w:val="000000"/>
                <w:sz w:val="16"/>
              </w:rPr>
            </w:pPr>
          </w:p>
        </w:tc>
        <w:tc>
          <w:tcPr>
            <w:tcW w:w="2370" w:type="dxa"/>
            <w:gridSpan w:val="2"/>
            <w:vMerge w:val="restart"/>
            <w:tcBorders>
              <w:top w:val="nil"/>
              <w:left w:val="nil"/>
              <w:bottom w:val="nil"/>
              <w:right w:val="nil"/>
              <w:tl2br w:val="nil"/>
              <w:tr2bl w:val="nil"/>
            </w:tcBorders>
            <w:shd w:val="clear" w:color="auto" w:fill="FFFFFF"/>
            <w:tcMar>
              <w:left w:w="115" w:type="dxa"/>
              <w:right w:w="115" w:type="dxa"/>
            </w:tcMar>
            <w:vAlign w:val="bottom"/>
          </w:tcPr>
          <w:p w14:paraId="47BAAE9F" w14:textId="77777777" w:rsidR="003F0EEA" w:rsidRPr="0068091F" w:rsidRDefault="00FB7D0B">
            <w:pPr>
              <w:rPr>
                <w:rFonts w:ascii="Arial" w:eastAsia="Arial" w:hAnsi="Arial" w:cs="Arial"/>
                <w:color w:val="000000"/>
                <w:sz w:val="20"/>
              </w:rPr>
            </w:pPr>
            <w:r w:rsidRPr="0068091F">
              <w:rPr>
                <w:rFonts w:ascii="Arial" w:eastAsia="Arial" w:hAnsi="Arial" w:cs="Arial"/>
                <w:color w:val="000000"/>
                <w:sz w:val="16"/>
              </w:rPr>
              <w:t>and impairment</w:t>
            </w:r>
          </w:p>
        </w:tc>
        <w:tc>
          <w:tcPr>
            <w:tcW w:w="810"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5FC9EDF0" w14:textId="77777777" w:rsidR="003F0EEA" w:rsidRPr="0068091F" w:rsidRDefault="00FB7D0B">
            <w:pPr>
              <w:jc w:val="right"/>
              <w:rPr>
                <w:rFonts w:ascii="Arial" w:eastAsia="Arial" w:hAnsi="Arial" w:cs="Arial"/>
                <w:color w:val="000000"/>
                <w:sz w:val="16"/>
                <w:vertAlign w:val="superscript"/>
              </w:rPr>
            </w:pPr>
            <w:r w:rsidRPr="0068091F">
              <w:rPr>
                <w:rFonts w:ascii="Arial" w:eastAsia="Arial" w:hAnsi="Arial" w:cs="Arial"/>
                <w:color w:val="000000"/>
                <w:sz w:val="16"/>
              </w:rPr>
              <w:t xml:space="preserve"> - </w:t>
            </w:r>
          </w:p>
        </w:tc>
        <w:tc>
          <w:tcPr>
            <w:tcW w:w="915"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60BA0AC5" w14:textId="77777777" w:rsidR="003F0EEA" w:rsidRPr="0068091F" w:rsidRDefault="00FB7D0B">
            <w:pPr>
              <w:jc w:val="right"/>
              <w:rPr>
                <w:rFonts w:ascii="Arial" w:eastAsia="Arial" w:hAnsi="Arial" w:cs="Arial"/>
                <w:color w:val="000000"/>
                <w:sz w:val="16"/>
              </w:rPr>
            </w:pPr>
            <w:r w:rsidRPr="0068091F">
              <w:rPr>
                <w:rFonts w:ascii="Arial" w:eastAsia="Arial" w:hAnsi="Arial" w:cs="Arial"/>
                <w:color w:val="000000"/>
                <w:sz w:val="16"/>
              </w:rPr>
              <w:t>(7,341)</w:t>
            </w:r>
          </w:p>
        </w:tc>
        <w:tc>
          <w:tcPr>
            <w:tcW w:w="1020"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5C3C07B3" w14:textId="77777777" w:rsidR="003F0EEA" w:rsidRPr="0068091F" w:rsidRDefault="00FB7D0B">
            <w:pPr>
              <w:jc w:val="right"/>
              <w:rPr>
                <w:rFonts w:ascii="Arial" w:eastAsia="Arial" w:hAnsi="Arial" w:cs="Arial"/>
                <w:color w:val="000000"/>
                <w:sz w:val="16"/>
              </w:rPr>
            </w:pPr>
            <w:r w:rsidRPr="0068091F">
              <w:rPr>
                <w:rFonts w:ascii="Arial" w:eastAsia="Arial" w:hAnsi="Arial" w:cs="Arial"/>
                <w:color w:val="000000"/>
                <w:sz w:val="16"/>
              </w:rPr>
              <w:t>(16,082)</w:t>
            </w:r>
          </w:p>
        </w:tc>
        <w:tc>
          <w:tcPr>
            <w:tcW w:w="1020"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06003998" w14:textId="77777777" w:rsidR="003F0EEA" w:rsidRPr="0068091F" w:rsidRDefault="00FB7D0B">
            <w:pPr>
              <w:jc w:val="right"/>
              <w:rPr>
                <w:rFonts w:ascii="Arial" w:eastAsia="Arial" w:hAnsi="Arial" w:cs="Arial"/>
                <w:color w:val="000000"/>
                <w:sz w:val="16"/>
              </w:rPr>
            </w:pPr>
            <w:r w:rsidRPr="0068091F">
              <w:rPr>
                <w:rFonts w:ascii="Arial" w:eastAsia="Arial" w:hAnsi="Arial" w:cs="Arial"/>
                <w:color w:val="000000"/>
                <w:sz w:val="16"/>
              </w:rPr>
              <w:t>(85,939)</w:t>
            </w:r>
          </w:p>
        </w:tc>
        <w:tc>
          <w:tcPr>
            <w:tcW w:w="1020"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51AE2E58" w14:textId="77777777" w:rsidR="003F0EEA" w:rsidRPr="0068091F" w:rsidRDefault="00FB7D0B">
            <w:pPr>
              <w:jc w:val="right"/>
              <w:rPr>
                <w:rFonts w:ascii="Arial" w:eastAsia="Arial" w:hAnsi="Arial" w:cs="Arial"/>
                <w:color w:val="000000"/>
                <w:sz w:val="16"/>
              </w:rPr>
            </w:pPr>
            <w:r w:rsidRPr="0068091F">
              <w:rPr>
                <w:rFonts w:ascii="Arial" w:eastAsia="Arial" w:hAnsi="Arial" w:cs="Arial"/>
                <w:color w:val="000000"/>
                <w:sz w:val="16"/>
              </w:rPr>
              <w:t>(6,805)</w:t>
            </w:r>
          </w:p>
        </w:tc>
        <w:tc>
          <w:tcPr>
            <w:tcW w:w="1020"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2234D3AA" w14:textId="77777777" w:rsidR="003F0EEA" w:rsidRPr="0068091F" w:rsidRDefault="00FB7D0B">
            <w:pPr>
              <w:jc w:val="right"/>
              <w:rPr>
                <w:rFonts w:ascii="Arial" w:eastAsia="Arial" w:hAnsi="Arial" w:cs="Arial"/>
                <w:color w:val="000000"/>
                <w:sz w:val="16"/>
              </w:rPr>
            </w:pPr>
            <w:r w:rsidRPr="0068091F">
              <w:rPr>
                <w:rFonts w:ascii="Arial" w:eastAsia="Arial" w:hAnsi="Arial" w:cs="Arial"/>
                <w:color w:val="000000"/>
                <w:sz w:val="16"/>
              </w:rPr>
              <w:t>(116,167)</w:t>
            </w:r>
          </w:p>
        </w:tc>
      </w:tr>
      <w:tr w:rsidR="00355BFE" w14:paraId="54C1F936" w14:textId="77777777" w:rsidTr="00355BFE">
        <w:trPr>
          <w:trHeight w:val="225"/>
        </w:trPr>
        <w:tc>
          <w:tcPr>
            <w:tcW w:w="2550" w:type="dxa"/>
            <w:gridSpan w:val="3"/>
            <w:tcBorders>
              <w:top w:val="nil"/>
              <w:left w:val="nil"/>
              <w:bottom w:val="single" w:sz="6" w:space="0" w:color="000000"/>
              <w:right w:val="nil"/>
              <w:tl2br w:val="nil"/>
              <w:tr2bl w:val="nil"/>
            </w:tcBorders>
            <w:shd w:val="clear" w:color="auto" w:fill="FFFFFF"/>
            <w:tcMar>
              <w:left w:w="115" w:type="dxa"/>
              <w:right w:w="115" w:type="dxa"/>
            </w:tcMar>
            <w:vAlign w:val="bottom"/>
          </w:tcPr>
          <w:p w14:paraId="702F966D" w14:textId="77777777" w:rsidR="003F0EEA" w:rsidRPr="0068091F" w:rsidRDefault="00FB7D0B">
            <w:pPr>
              <w:rPr>
                <w:rFonts w:ascii="Arial" w:eastAsia="Arial" w:hAnsi="Arial" w:cs="Arial"/>
                <w:color w:val="000000"/>
                <w:sz w:val="16"/>
              </w:rPr>
            </w:pPr>
            <w:r w:rsidRPr="0068091F">
              <w:rPr>
                <w:rFonts w:ascii="Arial" w:eastAsia="Arial" w:hAnsi="Arial" w:cs="Arial"/>
                <w:b/>
                <w:color w:val="000000"/>
                <w:sz w:val="16"/>
              </w:rPr>
              <w:t>Closing net book balance</w:t>
            </w:r>
          </w:p>
        </w:tc>
        <w:tc>
          <w:tcPr>
            <w:tcW w:w="810" w:type="dxa"/>
            <w:tcBorders>
              <w:top w:val="single" w:sz="6" w:space="0" w:color="000000"/>
              <w:left w:val="nil"/>
              <w:bottom w:val="single" w:sz="6" w:space="0" w:color="000000"/>
              <w:right w:val="nil"/>
              <w:tl2br w:val="nil"/>
              <w:tr2bl w:val="nil"/>
            </w:tcBorders>
            <w:shd w:val="clear" w:color="auto" w:fill="FFFFFF"/>
            <w:tcMar>
              <w:left w:w="115" w:type="dxa"/>
              <w:right w:w="115" w:type="dxa"/>
            </w:tcMar>
            <w:vAlign w:val="bottom"/>
          </w:tcPr>
          <w:p w14:paraId="6CAAB860" w14:textId="77777777" w:rsidR="003F0EEA" w:rsidRPr="0068091F" w:rsidRDefault="00FB7D0B">
            <w:pPr>
              <w:jc w:val="right"/>
              <w:rPr>
                <w:rFonts w:ascii="Arial" w:eastAsia="Arial" w:hAnsi="Arial" w:cs="Arial"/>
                <w:b/>
                <w:color w:val="000000"/>
                <w:sz w:val="16"/>
                <w:vertAlign w:val="superscript"/>
              </w:rPr>
            </w:pPr>
            <w:r w:rsidRPr="0068091F">
              <w:rPr>
                <w:rFonts w:ascii="Arial" w:eastAsia="Arial" w:hAnsi="Arial" w:cs="Arial"/>
                <w:b/>
                <w:color w:val="000000"/>
                <w:sz w:val="16"/>
              </w:rPr>
              <w:t xml:space="preserve"> 11,700 </w:t>
            </w:r>
          </w:p>
        </w:tc>
        <w:tc>
          <w:tcPr>
            <w:tcW w:w="915" w:type="dxa"/>
            <w:tcBorders>
              <w:top w:val="single" w:sz="6" w:space="0" w:color="000000"/>
              <w:left w:val="nil"/>
              <w:bottom w:val="single" w:sz="6" w:space="0" w:color="000000"/>
              <w:right w:val="nil"/>
              <w:tl2br w:val="nil"/>
              <w:tr2bl w:val="nil"/>
            </w:tcBorders>
            <w:shd w:val="clear" w:color="auto" w:fill="FFFFFF"/>
            <w:tcMar>
              <w:left w:w="115" w:type="dxa"/>
              <w:right w:w="115" w:type="dxa"/>
            </w:tcMar>
            <w:vAlign w:val="bottom"/>
          </w:tcPr>
          <w:p w14:paraId="6C70208D" w14:textId="77777777" w:rsidR="003F0EEA" w:rsidRPr="0068091F" w:rsidRDefault="00FB7D0B">
            <w:pPr>
              <w:jc w:val="right"/>
              <w:rPr>
                <w:rFonts w:ascii="Arial" w:eastAsia="Arial" w:hAnsi="Arial" w:cs="Arial"/>
                <w:b/>
                <w:color w:val="000000"/>
                <w:sz w:val="16"/>
              </w:rPr>
            </w:pPr>
            <w:r w:rsidRPr="0068091F">
              <w:rPr>
                <w:rFonts w:ascii="Arial" w:eastAsia="Arial" w:hAnsi="Arial" w:cs="Arial"/>
                <w:b/>
                <w:color w:val="000000"/>
                <w:sz w:val="16"/>
              </w:rPr>
              <w:t xml:space="preserve"> 127,756 </w:t>
            </w:r>
          </w:p>
        </w:tc>
        <w:tc>
          <w:tcPr>
            <w:tcW w:w="1020" w:type="dxa"/>
            <w:tcBorders>
              <w:top w:val="single" w:sz="6" w:space="0" w:color="000000"/>
              <w:left w:val="nil"/>
              <w:bottom w:val="single" w:sz="6" w:space="0" w:color="000000"/>
              <w:right w:val="nil"/>
              <w:tl2br w:val="nil"/>
              <w:tr2bl w:val="nil"/>
            </w:tcBorders>
            <w:shd w:val="clear" w:color="auto" w:fill="FFFFFF"/>
            <w:tcMar>
              <w:left w:w="115" w:type="dxa"/>
              <w:right w:w="115" w:type="dxa"/>
            </w:tcMar>
            <w:vAlign w:val="bottom"/>
          </w:tcPr>
          <w:p w14:paraId="249DADCC" w14:textId="77777777" w:rsidR="003F0EEA" w:rsidRPr="0068091F" w:rsidRDefault="00FB7D0B">
            <w:pPr>
              <w:jc w:val="right"/>
              <w:rPr>
                <w:rFonts w:ascii="Arial" w:eastAsia="Arial" w:hAnsi="Arial" w:cs="Arial"/>
                <w:b/>
                <w:color w:val="000000"/>
                <w:sz w:val="16"/>
              </w:rPr>
            </w:pPr>
            <w:r w:rsidRPr="0068091F">
              <w:rPr>
                <w:rFonts w:ascii="Arial" w:eastAsia="Arial" w:hAnsi="Arial" w:cs="Arial"/>
                <w:b/>
                <w:color w:val="000000"/>
                <w:sz w:val="16"/>
              </w:rPr>
              <w:t xml:space="preserve"> 48,102 </w:t>
            </w:r>
          </w:p>
        </w:tc>
        <w:tc>
          <w:tcPr>
            <w:tcW w:w="1020" w:type="dxa"/>
            <w:tcBorders>
              <w:top w:val="single" w:sz="6" w:space="0" w:color="000000"/>
              <w:left w:val="nil"/>
              <w:bottom w:val="single" w:sz="6" w:space="0" w:color="000000"/>
              <w:right w:val="nil"/>
              <w:tl2br w:val="nil"/>
              <w:tr2bl w:val="nil"/>
            </w:tcBorders>
            <w:shd w:val="clear" w:color="auto" w:fill="FFFFFF"/>
            <w:tcMar>
              <w:left w:w="115" w:type="dxa"/>
              <w:right w:w="115" w:type="dxa"/>
            </w:tcMar>
            <w:vAlign w:val="bottom"/>
          </w:tcPr>
          <w:p w14:paraId="5021263A" w14:textId="77777777" w:rsidR="003F0EEA" w:rsidRPr="0068091F" w:rsidRDefault="00FB7D0B">
            <w:pPr>
              <w:jc w:val="right"/>
              <w:rPr>
                <w:rFonts w:ascii="Arial" w:eastAsia="Arial" w:hAnsi="Arial" w:cs="Arial"/>
                <w:b/>
                <w:color w:val="000000"/>
                <w:sz w:val="16"/>
              </w:rPr>
            </w:pPr>
            <w:r w:rsidRPr="0068091F">
              <w:rPr>
                <w:rFonts w:ascii="Arial" w:eastAsia="Arial" w:hAnsi="Arial" w:cs="Arial"/>
                <w:b/>
                <w:color w:val="000000"/>
                <w:sz w:val="16"/>
              </w:rPr>
              <w:t xml:space="preserve"> 1,018,646 </w:t>
            </w:r>
          </w:p>
        </w:tc>
        <w:tc>
          <w:tcPr>
            <w:tcW w:w="1020" w:type="dxa"/>
            <w:tcBorders>
              <w:top w:val="single" w:sz="6" w:space="0" w:color="000000"/>
              <w:left w:val="nil"/>
              <w:bottom w:val="single" w:sz="6" w:space="0" w:color="000000"/>
              <w:right w:val="nil"/>
              <w:tl2br w:val="nil"/>
              <w:tr2bl w:val="nil"/>
            </w:tcBorders>
            <w:shd w:val="clear" w:color="auto" w:fill="FFFFFF"/>
            <w:tcMar>
              <w:left w:w="115" w:type="dxa"/>
              <w:right w:w="115" w:type="dxa"/>
            </w:tcMar>
            <w:vAlign w:val="bottom"/>
          </w:tcPr>
          <w:p w14:paraId="22C464FA" w14:textId="77777777" w:rsidR="003F0EEA" w:rsidRPr="0068091F" w:rsidRDefault="00FB7D0B">
            <w:pPr>
              <w:jc w:val="right"/>
              <w:rPr>
                <w:rFonts w:ascii="Arial" w:eastAsia="Arial" w:hAnsi="Arial" w:cs="Arial"/>
                <w:b/>
                <w:color w:val="000000"/>
                <w:sz w:val="16"/>
              </w:rPr>
            </w:pPr>
            <w:r w:rsidRPr="0068091F">
              <w:rPr>
                <w:rFonts w:ascii="Arial" w:eastAsia="Arial" w:hAnsi="Arial" w:cs="Arial"/>
                <w:b/>
                <w:color w:val="000000"/>
                <w:sz w:val="16"/>
              </w:rPr>
              <w:t xml:space="preserve"> 4,241 </w:t>
            </w:r>
          </w:p>
        </w:tc>
        <w:tc>
          <w:tcPr>
            <w:tcW w:w="1020" w:type="dxa"/>
            <w:tcBorders>
              <w:top w:val="single" w:sz="6" w:space="0" w:color="000000"/>
              <w:left w:val="nil"/>
              <w:bottom w:val="single" w:sz="6" w:space="0" w:color="000000"/>
              <w:right w:val="nil"/>
              <w:tl2br w:val="nil"/>
              <w:tr2bl w:val="nil"/>
            </w:tcBorders>
            <w:shd w:val="clear" w:color="auto" w:fill="FFFFFF"/>
            <w:tcMar>
              <w:left w:w="115" w:type="dxa"/>
              <w:right w:w="115" w:type="dxa"/>
            </w:tcMar>
            <w:vAlign w:val="bottom"/>
          </w:tcPr>
          <w:p w14:paraId="63627F7E" w14:textId="77777777" w:rsidR="003F0EEA" w:rsidRPr="0068091F" w:rsidRDefault="00FB7D0B">
            <w:pPr>
              <w:jc w:val="right"/>
              <w:rPr>
                <w:rFonts w:ascii="Arial" w:eastAsia="Arial" w:hAnsi="Arial" w:cs="Arial"/>
                <w:b/>
                <w:color w:val="000000"/>
                <w:sz w:val="16"/>
              </w:rPr>
            </w:pPr>
            <w:r w:rsidRPr="0068091F">
              <w:rPr>
                <w:rFonts w:ascii="Arial" w:eastAsia="Arial" w:hAnsi="Arial" w:cs="Arial"/>
                <w:b/>
                <w:color w:val="000000"/>
                <w:sz w:val="16"/>
              </w:rPr>
              <w:t xml:space="preserve"> 1,210,445 </w:t>
            </w:r>
          </w:p>
        </w:tc>
      </w:tr>
      <w:tr w:rsidR="00355BFE" w14:paraId="172E1655" w14:textId="77777777" w:rsidTr="00355BFE">
        <w:trPr>
          <w:trHeight w:val="225"/>
        </w:trPr>
        <w:tc>
          <w:tcPr>
            <w:tcW w:w="8355" w:type="dxa"/>
            <w:gridSpan w:val="9"/>
            <w:tcBorders>
              <w:top w:val="single" w:sz="6" w:space="0" w:color="000000"/>
              <w:left w:val="nil"/>
              <w:bottom w:val="nil"/>
              <w:right w:val="nil"/>
              <w:tl2br w:val="nil"/>
              <w:tr2bl w:val="nil"/>
            </w:tcBorders>
            <w:shd w:val="clear" w:color="auto" w:fill="FFFFFF"/>
            <w:tcMar>
              <w:left w:w="115" w:type="dxa"/>
              <w:right w:w="115" w:type="dxa"/>
            </w:tcMar>
            <w:vAlign w:val="bottom"/>
          </w:tcPr>
          <w:p w14:paraId="308270CC" w14:textId="77777777" w:rsidR="003F0EEA" w:rsidRPr="0068091F" w:rsidRDefault="00FB7D0B">
            <w:pPr>
              <w:rPr>
                <w:rFonts w:ascii="Arial" w:eastAsia="Arial" w:hAnsi="Arial" w:cs="Arial"/>
                <w:b/>
                <w:color w:val="000000"/>
                <w:sz w:val="16"/>
              </w:rPr>
            </w:pPr>
            <w:r w:rsidRPr="0068091F">
              <w:rPr>
                <w:rFonts w:ascii="Arial" w:eastAsia="Arial" w:hAnsi="Arial" w:cs="Arial"/>
                <w:color w:val="000000"/>
                <w:sz w:val="16"/>
              </w:rPr>
              <w:t>Prepared on Australian Accounting Standards basis</w:t>
            </w:r>
          </w:p>
        </w:tc>
      </w:tr>
      <w:tr w:rsidR="00724034" w14:paraId="76793E49" w14:textId="77777777">
        <w:trPr>
          <w:trHeight w:val="225"/>
        </w:trPr>
        <w:tc>
          <w:tcPr>
            <w:tcW w:w="180" w:type="dxa"/>
            <w:tcBorders>
              <w:top w:val="nil"/>
              <w:left w:val="nil"/>
              <w:bottom w:val="nil"/>
              <w:right w:val="nil"/>
              <w:tl2br w:val="nil"/>
              <w:tr2bl w:val="nil"/>
            </w:tcBorders>
            <w:shd w:val="clear" w:color="auto" w:fill="FFFFFF"/>
            <w:tcMar>
              <w:left w:w="115" w:type="dxa"/>
              <w:right w:w="115" w:type="dxa"/>
            </w:tcMar>
            <w:vAlign w:val="bottom"/>
          </w:tcPr>
          <w:p w14:paraId="5E1B74A6" w14:textId="77777777" w:rsidR="003F0EEA" w:rsidRPr="0068091F" w:rsidRDefault="003F0EEA">
            <w:pPr>
              <w:rPr>
                <w:rFonts w:ascii="Arial" w:eastAsia="Arial" w:hAnsi="Arial" w:cs="Arial"/>
                <w:color w:val="000000"/>
                <w:sz w:val="16"/>
              </w:rPr>
            </w:pPr>
          </w:p>
        </w:tc>
        <w:tc>
          <w:tcPr>
            <w:tcW w:w="180" w:type="dxa"/>
            <w:tcBorders>
              <w:top w:val="nil"/>
              <w:left w:val="nil"/>
              <w:bottom w:val="nil"/>
              <w:right w:val="nil"/>
              <w:tl2br w:val="nil"/>
              <w:tr2bl w:val="nil"/>
            </w:tcBorders>
            <w:shd w:val="clear" w:color="auto" w:fill="FFFFFF"/>
            <w:tcMar>
              <w:left w:w="115" w:type="dxa"/>
              <w:right w:w="115" w:type="dxa"/>
            </w:tcMar>
            <w:vAlign w:val="bottom"/>
          </w:tcPr>
          <w:p w14:paraId="5E56DFDE" w14:textId="77777777" w:rsidR="003F0EEA" w:rsidRPr="0068091F" w:rsidRDefault="003F0EEA">
            <w:pPr>
              <w:rPr>
                <w:rFonts w:ascii="Arial" w:eastAsia="Arial" w:hAnsi="Arial" w:cs="Arial"/>
                <w:color w:val="000000"/>
                <w:sz w:val="16"/>
              </w:rPr>
            </w:pPr>
          </w:p>
        </w:tc>
        <w:tc>
          <w:tcPr>
            <w:tcW w:w="2190" w:type="dxa"/>
            <w:tcBorders>
              <w:top w:val="nil"/>
              <w:left w:val="nil"/>
              <w:bottom w:val="nil"/>
              <w:right w:val="nil"/>
              <w:tl2br w:val="nil"/>
              <w:tr2bl w:val="nil"/>
            </w:tcBorders>
            <w:shd w:val="clear" w:color="auto" w:fill="FFFFFF"/>
            <w:tcMar>
              <w:left w:w="115" w:type="dxa"/>
              <w:right w:w="115" w:type="dxa"/>
            </w:tcMar>
            <w:vAlign w:val="bottom"/>
          </w:tcPr>
          <w:p w14:paraId="45D72024" w14:textId="77777777" w:rsidR="003F0EEA" w:rsidRPr="0068091F" w:rsidRDefault="003F0EEA">
            <w:pPr>
              <w:rPr>
                <w:rFonts w:ascii="Arial" w:eastAsia="Arial" w:hAnsi="Arial" w:cs="Arial"/>
                <w:color w:val="000000"/>
                <w:sz w:val="16"/>
              </w:rPr>
            </w:pPr>
          </w:p>
        </w:tc>
        <w:tc>
          <w:tcPr>
            <w:tcW w:w="810" w:type="dxa"/>
            <w:tcBorders>
              <w:top w:val="nil"/>
              <w:left w:val="nil"/>
              <w:bottom w:val="nil"/>
              <w:right w:val="nil"/>
              <w:tl2br w:val="nil"/>
              <w:tr2bl w:val="nil"/>
            </w:tcBorders>
            <w:shd w:val="clear" w:color="auto" w:fill="FFFFFF"/>
            <w:tcMar>
              <w:left w:w="115" w:type="dxa"/>
              <w:right w:w="115" w:type="dxa"/>
            </w:tcMar>
            <w:vAlign w:val="bottom"/>
          </w:tcPr>
          <w:p w14:paraId="68F8CC68" w14:textId="77777777" w:rsidR="003F0EEA" w:rsidRPr="0068091F" w:rsidRDefault="003F0EEA">
            <w:pPr>
              <w:rPr>
                <w:rFonts w:ascii="Arial" w:eastAsia="Arial" w:hAnsi="Arial" w:cs="Arial"/>
                <w:color w:val="000000"/>
                <w:sz w:val="16"/>
                <w:vertAlign w:val="superscript"/>
              </w:rPr>
            </w:pPr>
          </w:p>
        </w:tc>
        <w:tc>
          <w:tcPr>
            <w:tcW w:w="915" w:type="dxa"/>
            <w:tcBorders>
              <w:top w:val="nil"/>
              <w:left w:val="nil"/>
              <w:bottom w:val="nil"/>
              <w:right w:val="nil"/>
              <w:tl2br w:val="nil"/>
              <w:tr2bl w:val="nil"/>
            </w:tcBorders>
            <w:shd w:val="clear" w:color="auto" w:fill="FFFFFF"/>
            <w:tcMar>
              <w:left w:w="115" w:type="dxa"/>
              <w:right w:w="115" w:type="dxa"/>
            </w:tcMar>
            <w:vAlign w:val="bottom"/>
          </w:tcPr>
          <w:p w14:paraId="2BC6AEFD" w14:textId="77777777" w:rsidR="003F0EEA" w:rsidRPr="0068091F" w:rsidRDefault="003F0EEA">
            <w:pPr>
              <w:rPr>
                <w:rFonts w:ascii="Arial" w:eastAsia="Arial" w:hAnsi="Arial" w:cs="Arial"/>
                <w:color w:val="000000"/>
                <w:sz w:val="16"/>
                <w:vertAlign w:val="superscript"/>
              </w:rPr>
            </w:pPr>
          </w:p>
        </w:tc>
        <w:tc>
          <w:tcPr>
            <w:tcW w:w="1020" w:type="dxa"/>
            <w:tcBorders>
              <w:top w:val="nil"/>
              <w:left w:val="nil"/>
              <w:bottom w:val="nil"/>
              <w:right w:val="nil"/>
              <w:tl2br w:val="nil"/>
              <w:tr2bl w:val="nil"/>
            </w:tcBorders>
            <w:shd w:val="clear" w:color="auto" w:fill="FFFFFF"/>
            <w:tcMar>
              <w:left w:w="115" w:type="dxa"/>
              <w:right w:w="115" w:type="dxa"/>
            </w:tcMar>
            <w:vAlign w:val="bottom"/>
          </w:tcPr>
          <w:p w14:paraId="0033E765" w14:textId="77777777" w:rsidR="003F0EEA" w:rsidRPr="0068091F" w:rsidRDefault="003F0EEA">
            <w:pPr>
              <w:rPr>
                <w:rFonts w:ascii="Arial" w:eastAsia="Arial" w:hAnsi="Arial" w:cs="Arial"/>
                <w:color w:val="000000"/>
                <w:sz w:val="16"/>
                <w:vertAlign w:val="superscript"/>
              </w:rPr>
            </w:pPr>
          </w:p>
        </w:tc>
        <w:tc>
          <w:tcPr>
            <w:tcW w:w="1020" w:type="dxa"/>
            <w:tcBorders>
              <w:top w:val="nil"/>
              <w:left w:val="nil"/>
              <w:bottom w:val="nil"/>
              <w:right w:val="nil"/>
              <w:tl2br w:val="nil"/>
              <w:tr2bl w:val="nil"/>
            </w:tcBorders>
            <w:shd w:val="clear" w:color="auto" w:fill="FFFFFF"/>
            <w:tcMar>
              <w:left w:w="115" w:type="dxa"/>
              <w:right w:w="115" w:type="dxa"/>
            </w:tcMar>
            <w:vAlign w:val="bottom"/>
          </w:tcPr>
          <w:p w14:paraId="6240CC1B" w14:textId="77777777" w:rsidR="003F0EEA" w:rsidRPr="0068091F" w:rsidRDefault="003F0EEA">
            <w:pPr>
              <w:rPr>
                <w:rFonts w:ascii="Arial" w:eastAsia="Arial" w:hAnsi="Arial" w:cs="Arial"/>
                <w:color w:val="000000"/>
                <w:sz w:val="16"/>
                <w:vertAlign w:val="superscript"/>
              </w:rPr>
            </w:pPr>
          </w:p>
        </w:tc>
        <w:tc>
          <w:tcPr>
            <w:tcW w:w="1020" w:type="dxa"/>
            <w:tcBorders>
              <w:top w:val="nil"/>
              <w:left w:val="nil"/>
              <w:bottom w:val="nil"/>
              <w:right w:val="nil"/>
              <w:tl2br w:val="nil"/>
              <w:tr2bl w:val="nil"/>
            </w:tcBorders>
            <w:shd w:val="clear" w:color="auto" w:fill="FFFFFF"/>
            <w:tcMar>
              <w:left w:w="115" w:type="dxa"/>
              <w:right w:w="115" w:type="dxa"/>
            </w:tcMar>
            <w:vAlign w:val="bottom"/>
          </w:tcPr>
          <w:p w14:paraId="6AE30D69" w14:textId="77777777" w:rsidR="003F0EEA" w:rsidRPr="0068091F" w:rsidRDefault="003F0EEA">
            <w:pPr>
              <w:rPr>
                <w:rFonts w:ascii="Arial" w:eastAsia="Arial" w:hAnsi="Arial" w:cs="Arial"/>
                <w:color w:val="000000"/>
                <w:sz w:val="16"/>
                <w:vertAlign w:val="superscript"/>
              </w:rPr>
            </w:pPr>
          </w:p>
        </w:tc>
        <w:tc>
          <w:tcPr>
            <w:tcW w:w="1020" w:type="dxa"/>
            <w:tcBorders>
              <w:top w:val="nil"/>
              <w:left w:val="nil"/>
              <w:bottom w:val="nil"/>
              <w:right w:val="nil"/>
              <w:tl2br w:val="nil"/>
              <w:tr2bl w:val="nil"/>
            </w:tcBorders>
            <w:shd w:val="clear" w:color="auto" w:fill="FFFFFF"/>
            <w:tcMar>
              <w:left w:w="115" w:type="dxa"/>
              <w:right w:w="115" w:type="dxa"/>
            </w:tcMar>
            <w:vAlign w:val="bottom"/>
          </w:tcPr>
          <w:p w14:paraId="23866910" w14:textId="77777777" w:rsidR="003F0EEA" w:rsidRPr="0068091F" w:rsidRDefault="003F0EEA">
            <w:pPr>
              <w:jc w:val="right"/>
              <w:rPr>
                <w:rFonts w:ascii="Arial" w:eastAsia="Arial" w:hAnsi="Arial" w:cs="Arial"/>
                <w:color w:val="000000"/>
                <w:sz w:val="16"/>
                <w:vertAlign w:val="superscript"/>
              </w:rPr>
            </w:pPr>
          </w:p>
        </w:tc>
      </w:tr>
      <w:tr w:rsidR="00355BFE" w14:paraId="5C2CC2E4" w14:textId="77777777" w:rsidTr="00355BFE">
        <w:trPr>
          <w:trHeight w:val="225"/>
        </w:trPr>
        <w:tc>
          <w:tcPr>
            <w:tcW w:w="6315" w:type="dxa"/>
            <w:gridSpan w:val="7"/>
            <w:tcBorders>
              <w:top w:val="nil"/>
              <w:left w:val="nil"/>
              <w:bottom w:val="nil"/>
              <w:right w:val="nil"/>
              <w:tl2br w:val="nil"/>
              <w:tr2bl w:val="nil"/>
            </w:tcBorders>
            <w:shd w:val="clear" w:color="auto" w:fill="FFFFFF"/>
            <w:tcMar>
              <w:left w:w="115" w:type="dxa"/>
              <w:right w:w="115" w:type="dxa"/>
            </w:tcMar>
            <w:vAlign w:val="bottom"/>
          </w:tcPr>
          <w:p w14:paraId="24576E8F" w14:textId="77777777" w:rsidR="003F0EEA" w:rsidRPr="0068091F" w:rsidRDefault="00FB7D0B">
            <w:pPr>
              <w:rPr>
                <w:rFonts w:ascii="Arial" w:eastAsia="Arial" w:hAnsi="Arial" w:cs="Arial"/>
                <w:color w:val="000000"/>
                <w:sz w:val="16"/>
                <w:vertAlign w:val="superscript"/>
              </w:rPr>
            </w:pPr>
            <w:r w:rsidRPr="0068091F">
              <w:rPr>
                <w:rFonts w:ascii="Arial" w:eastAsia="Arial" w:hAnsi="Arial" w:cs="Arial"/>
                <w:b/>
                <w:color w:val="000000"/>
                <w:sz w:val="16"/>
              </w:rPr>
              <w:t xml:space="preserve">Estimated operating expenditure in income statement for </w:t>
            </w:r>
          </w:p>
        </w:tc>
        <w:tc>
          <w:tcPr>
            <w:tcW w:w="1020" w:type="dxa"/>
            <w:tcBorders>
              <w:top w:val="nil"/>
              <w:left w:val="nil"/>
              <w:bottom w:val="nil"/>
              <w:right w:val="nil"/>
              <w:tl2br w:val="nil"/>
              <w:tr2bl w:val="nil"/>
            </w:tcBorders>
            <w:shd w:val="clear" w:color="auto" w:fill="FFFFFF"/>
            <w:tcMar>
              <w:left w:w="115" w:type="dxa"/>
              <w:right w:w="115" w:type="dxa"/>
            </w:tcMar>
            <w:vAlign w:val="bottom"/>
          </w:tcPr>
          <w:p w14:paraId="49391720" w14:textId="77777777" w:rsidR="003F0EEA" w:rsidRPr="0068091F" w:rsidRDefault="003F0EEA">
            <w:pPr>
              <w:rPr>
                <w:rFonts w:ascii="Arial" w:eastAsia="Arial" w:hAnsi="Arial" w:cs="Arial"/>
                <w:b/>
                <w:color w:val="000000"/>
                <w:sz w:val="16"/>
              </w:rPr>
            </w:pPr>
          </w:p>
        </w:tc>
        <w:tc>
          <w:tcPr>
            <w:tcW w:w="1020" w:type="dxa"/>
            <w:tcBorders>
              <w:top w:val="nil"/>
              <w:left w:val="nil"/>
              <w:bottom w:val="nil"/>
              <w:right w:val="nil"/>
              <w:tl2br w:val="nil"/>
              <w:tr2bl w:val="nil"/>
            </w:tcBorders>
            <w:shd w:val="clear" w:color="auto" w:fill="FFFFFF"/>
            <w:tcMar>
              <w:left w:w="115" w:type="dxa"/>
              <w:right w:w="115" w:type="dxa"/>
            </w:tcMar>
            <w:vAlign w:val="bottom"/>
          </w:tcPr>
          <w:p w14:paraId="2E3902CA" w14:textId="77777777" w:rsidR="003F0EEA" w:rsidRPr="0068091F" w:rsidRDefault="003F0EEA">
            <w:pPr>
              <w:jc w:val="right"/>
              <w:rPr>
                <w:rFonts w:ascii="Arial" w:eastAsia="Arial" w:hAnsi="Arial" w:cs="Arial"/>
                <w:color w:val="000000"/>
                <w:sz w:val="16"/>
              </w:rPr>
            </w:pPr>
          </w:p>
        </w:tc>
      </w:tr>
      <w:tr w:rsidR="00355BFE" w14:paraId="50BCE146" w14:textId="77777777" w:rsidTr="00355BFE">
        <w:trPr>
          <w:trHeight w:val="225"/>
        </w:trPr>
        <w:tc>
          <w:tcPr>
            <w:tcW w:w="6315" w:type="dxa"/>
            <w:gridSpan w:val="7"/>
            <w:tcBorders>
              <w:top w:val="nil"/>
              <w:left w:val="nil"/>
              <w:bottom w:val="nil"/>
              <w:right w:val="nil"/>
              <w:tl2br w:val="nil"/>
              <w:tr2bl w:val="nil"/>
            </w:tcBorders>
            <w:shd w:val="clear" w:color="auto" w:fill="FFFFFF"/>
            <w:tcMar>
              <w:left w:w="115" w:type="dxa"/>
              <w:right w:w="115" w:type="dxa"/>
            </w:tcMar>
            <w:vAlign w:val="bottom"/>
          </w:tcPr>
          <w:p w14:paraId="3C3D97EB" w14:textId="77777777" w:rsidR="003F0EEA" w:rsidRPr="0068091F" w:rsidRDefault="00FB7D0B">
            <w:pPr>
              <w:rPr>
                <w:rFonts w:ascii="Arial" w:eastAsia="Arial" w:hAnsi="Arial" w:cs="Arial"/>
                <w:color w:val="000000"/>
                <w:sz w:val="16"/>
              </w:rPr>
            </w:pPr>
            <w:r w:rsidRPr="0068091F">
              <w:rPr>
                <w:rFonts w:ascii="Arial" w:eastAsia="Arial" w:hAnsi="Arial" w:cs="Arial"/>
                <w:b/>
                <w:color w:val="000000"/>
                <w:sz w:val="16"/>
              </w:rPr>
              <w:t>heritage and cultural assets</w:t>
            </w:r>
          </w:p>
        </w:tc>
        <w:tc>
          <w:tcPr>
            <w:tcW w:w="1020" w:type="dxa"/>
            <w:tcBorders>
              <w:top w:val="nil"/>
              <w:left w:val="nil"/>
              <w:bottom w:val="nil"/>
              <w:right w:val="nil"/>
              <w:tl2br w:val="nil"/>
              <w:tr2bl w:val="nil"/>
            </w:tcBorders>
            <w:shd w:val="clear" w:color="auto" w:fill="FFFFFF"/>
            <w:tcMar>
              <w:left w:w="115" w:type="dxa"/>
              <w:right w:w="115" w:type="dxa"/>
            </w:tcMar>
            <w:vAlign w:val="bottom"/>
          </w:tcPr>
          <w:p w14:paraId="21F9EC36" w14:textId="77777777" w:rsidR="003F0EEA" w:rsidRPr="0068091F" w:rsidRDefault="003F0EEA">
            <w:pPr>
              <w:rPr>
                <w:rFonts w:ascii="Arial" w:eastAsia="Arial" w:hAnsi="Arial" w:cs="Arial"/>
                <w:b/>
                <w:color w:val="000000"/>
                <w:sz w:val="16"/>
              </w:rPr>
            </w:pPr>
          </w:p>
        </w:tc>
        <w:tc>
          <w:tcPr>
            <w:tcW w:w="1020" w:type="dxa"/>
            <w:tcBorders>
              <w:top w:val="nil"/>
              <w:left w:val="nil"/>
              <w:bottom w:val="nil"/>
              <w:right w:val="nil"/>
              <w:tl2br w:val="nil"/>
              <w:tr2bl w:val="nil"/>
            </w:tcBorders>
            <w:shd w:val="clear" w:color="auto" w:fill="FFFFFF"/>
            <w:tcMar>
              <w:left w:w="115" w:type="dxa"/>
              <w:right w:w="115" w:type="dxa"/>
            </w:tcMar>
            <w:vAlign w:val="bottom"/>
          </w:tcPr>
          <w:p w14:paraId="0BE7A54B" w14:textId="77777777" w:rsidR="003F0EEA" w:rsidRPr="0068091F" w:rsidRDefault="003F0EEA">
            <w:pPr>
              <w:jc w:val="right"/>
              <w:rPr>
                <w:rFonts w:ascii="Arial" w:eastAsia="Arial" w:hAnsi="Arial" w:cs="Arial"/>
                <w:color w:val="000000"/>
                <w:sz w:val="16"/>
              </w:rPr>
            </w:pPr>
          </w:p>
        </w:tc>
      </w:tr>
      <w:tr w:rsidR="00724034" w14:paraId="69121199" w14:textId="77777777">
        <w:trPr>
          <w:trHeight w:val="225"/>
        </w:trPr>
        <w:tc>
          <w:tcPr>
            <w:tcW w:w="180" w:type="dxa"/>
            <w:tcBorders>
              <w:top w:val="nil"/>
              <w:left w:val="nil"/>
              <w:bottom w:val="nil"/>
              <w:right w:val="nil"/>
              <w:tl2br w:val="nil"/>
              <w:tr2bl w:val="nil"/>
            </w:tcBorders>
            <w:shd w:val="clear" w:color="auto" w:fill="FFFFFF"/>
            <w:tcMar>
              <w:left w:w="115" w:type="dxa"/>
              <w:right w:w="115" w:type="dxa"/>
            </w:tcMar>
            <w:vAlign w:val="bottom"/>
          </w:tcPr>
          <w:p w14:paraId="791B08A7" w14:textId="77777777" w:rsidR="003F0EEA" w:rsidRPr="0068091F" w:rsidRDefault="003F0EEA">
            <w:pPr>
              <w:rPr>
                <w:rFonts w:ascii="Arial" w:eastAsia="Arial" w:hAnsi="Arial" w:cs="Arial"/>
                <w:color w:val="000000"/>
                <w:sz w:val="16"/>
              </w:rPr>
            </w:pPr>
          </w:p>
        </w:tc>
        <w:tc>
          <w:tcPr>
            <w:tcW w:w="180" w:type="dxa"/>
            <w:tcBorders>
              <w:top w:val="nil"/>
              <w:left w:val="nil"/>
              <w:bottom w:val="nil"/>
              <w:right w:val="nil"/>
              <w:tl2br w:val="nil"/>
              <w:tr2bl w:val="nil"/>
            </w:tcBorders>
            <w:shd w:val="clear" w:color="auto" w:fill="FFFFFF"/>
            <w:tcMar>
              <w:left w:w="115" w:type="dxa"/>
              <w:right w:w="115" w:type="dxa"/>
            </w:tcMar>
            <w:vAlign w:val="bottom"/>
          </w:tcPr>
          <w:p w14:paraId="1D27E0C9" w14:textId="77777777" w:rsidR="003F0EEA" w:rsidRPr="0068091F" w:rsidRDefault="003F0EEA">
            <w:pPr>
              <w:rPr>
                <w:rFonts w:ascii="Arial" w:eastAsia="Arial" w:hAnsi="Arial" w:cs="Arial"/>
                <w:b/>
                <w:color w:val="000000"/>
                <w:sz w:val="16"/>
              </w:rPr>
            </w:pPr>
          </w:p>
        </w:tc>
        <w:tc>
          <w:tcPr>
            <w:tcW w:w="2190" w:type="dxa"/>
            <w:tcBorders>
              <w:top w:val="nil"/>
              <w:left w:val="nil"/>
              <w:bottom w:val="nil"/>
              <w:right w:val="nil"/>
              <w:tl2br w:val="nil"/>
              <w:tr2bl w:val="nil"/>
            </w:tcBorders>
            <w:shd w:val="clear" w:color="auto" w:fill="FFFFFF"/>
            <w:tcMar>
              <w:left w:w="115" w:type="dxa"/>
              <w:right w:w="115" w:type="dxa"/>
            </w:tcMar>
            <w:vAlign w:val="bottom"/>
          </w:tcPr>
          <w:p w14:paraId="1DE74B13" w14:textId="77777777" w:rsidR="003F0EEA" w:rsidRPr="0068091F" w:rsidRDefault="003F0EEA">
            <w:pPr>
              <w:rPr>
                <w:rFonts w:ascii="Arial" w:eastAsia="Arial" w:hAnsi="Arial" w:cs="Arial"/>
                <w:color w:val="000000"/>
                <w:sz w:val="16"/>
              </w:rPr>
            </w:pPr>
          </w:p>
        </w:tc>
        <w:tc>
          <w:tcPr>
            <w:tcW w:w="810" w:type="dxa"/>
            <w:tcBorders>
              <w:top w:val="nil"/>
              <w:left w:val="nil"/>
              <w:bottom w:val="nil"/>
              <w:right w:val="nil"/>
              <w:tl2br w:val="nil"/>
              <w:tr2bl w:val="nil"/>
            </w:tcBorders>
            <w:shd w:val="clear" w:color="auto" w:fill="FFFFFF"/>
            <w:tcMar>
              <w:left w:w="115" w:type="dxa"/>
              <w:right w:w="115" w:type="dxa"/>
            </w:tcMar>
            <w:vAlign w:val="bottom"/>
          </w:tcPr>
          <w:p w14:paraId="4D37D964" w14:textId="77777777" w:rsidR="003F0EEA" w:rsidRPr="0068091F" w:rsidRDefault="003F0EEA">
            <w:pPr>
              <w:jc w:val="right"/>
              <w:rPr>
                <w:rFonts w:ascii="Arial" w:eastAsia="Arial" w:hAnsi="Arial" w:cs="Arial"/>
                <w:color w:val="000000"/>
                <w:sz w:val="16"/>
                <w:vertAlign w:val="superscript"/>
              </w:rPr>
            </w:pPr>
          </w:p>
        </w:tc>
        <w:tc>
          <w:tcPr>
            <w:tcW w:w="915" w:type="dxa"/>
            <w:tcBorders>
              <w:top w:val="nil"/>
              <w:left w:val="nil"/>
              <w:bottom w:val="nil"/>
              <w:right w:val="nil"/>
              <w:tl2br w:val="nil"/>
              <w:tr2bl w:val="nil"/>
            </w:tcBorders>
            <w:shd w:val="clear" w:color="auto" w:fill="FFFFFF"/>
            <w:tcMar>
              <w:left w:w="115" w:type="dxa"/>
              <w:right w:w="115" w:type="dxa"/>
            </w:tcMar>
            <w:vAlign w:val="bottom"/>
          </w:tcPr>
          <w:p w14:paraId="729BA1B9" w14:textId="77777777" w:rsidR="003F0EEA" w:rsidRPr="0068091F" w:rsidRDefault="003F0EEA">
            <w:pPr>
              <w:rPr>
                <w:rFonts w:ascii="Arial" w:eastAsia="Arial" w:hAnsi="Arial" w:cs="Arial"/>
                <w:color w:val="000000"/>
                <w:sz w:val="16"/>
                <w:vertAlign w:val="superscript"/>
              </w:rPr>
            </w:pPr>
          </w:p>
        </w:tc>
        <w:tc>
          <w:tcPr>
            <w:tcW w:w="1020" w:type="dxa"/>
            <w:tcBorders>
              <w:top w:val="nil"/>
              <w:left w:val="nil"/>
              <w:bottom w:val="nil"/>
              <w:right w:val="nil"/>
              <w:tl2br w:val="nil"/>
              <w:tr2bl w:val="nil"/>
            </w:tcBorders>
            <w:shd w:val="clear" w:color="auto" w:fill="FFFFFF"/>
            <w:tcMar>
              <w:left w:w="115" w:type="dxa"/>
              <w:right w:w="115" w:type="dxa"/>
            </w:tcMar>
            <w:vAlign w:val="bottom"/>
          </w:tcPr>
          <w:p w14:paraId="57983296" w14:textId="77777777" w:rsidR="003F0EEA" w:rsidRPr="0068091F" w:rsidRDefault="003F0EEA">
            <w:pPr>
              <w:rPr>
                <w:rFonts w:ascii="Arial" w:eastAsia="Arial" w:hAnsi="Arial" w:cs="Arial"/>
                <w:b/>
                <w:color w:val="000000"/>
                <w:sz w:val="15"/>
                <w:vertAlign w:val="superscript"/>
              </w:rPr>
            </w:pPr>
          </w:p>
        </w:tc>
        <w:tc>
          <w:tcPr>
            <w:tcW w:w="1020" w:type="dxa"/>
            <w:tcBorders>
              <w:top w:val="nil"/>
              <w:left w:val="nil"/>
              <w:bottom w:val="nil"/>
              <w:right w:val="nil"/>
              <w:tl2br w:val="nil"/>
              <w:tr2bl w:val="nil"/>
            </w:tcBorders>
            <w:shd w:val="clear" w:color="auto" w:fill="FFFFFF"/>
            <w:tcMar>
              <w:left w:w="115" w:type="dxa"/>
              <w:right w:w="115" w:type="dxa"/>
            </w:tcMar>
            <w:vAlign w:val="bottom"/>
          </w:tcPr>
          <w:p w14:paraId="04D9926A" w14:textId="77777777" w:rsidR="003F0EEA" w:rsidRPr="0068091F" w:rsidRDefault="003F0EEA">
            <w:pPr>
              <w:rPr>
                <w:rFonts w:ascii="Arial" w:eastAsia="Arial" w:hAnsi="Arial" w:cs="Arial"/>
                <w:b/>
                <w:color w:val="000000"/>
                <w:sz w:val="15"/>
                <w:vertAlign w:val="superscript"/>
              </w:rPr>
            </w:pPr>
          </w:p>
        </w:tc>
        <w:tc>
          <w:tcPr>
            <w:tcW w:w="1020" w:type="dxa"/>
            <w:tcBorders>
              <w:top w:val="nil"/>
              <w:left w:val="nil"/>
              <w:bottom w:val="nil"/>
              <w:right w:val="nil"/>
              <w:tl2br w:val="nil"/>
              <w:tr2bl w:val="nil"/>
            </w:tcBorders>
            <w:shd w:val="clear" w:color="auto" w:fill="FFFFFF"/>
            <w:tcMar>
              <w:left w:w="115" w:type="dxa"/>
              <w:right w:w="115" w:type="dxa"/>
            </w:tcMar>
            <w:vAlign w:val="bottom"/>
          </w:tcPr>
          <w:p w14:paraId="29D2B1E5" w14:textId="77777777" w:rsidR="003F0EEA" w:rsidRPr="0068091F" w:rsidRDefault="003F0EEA">
            <w:pPr>
              <w:rPr>
                <w:rFonts w:ascii="Arial" w:eastAsia="Arial" w:hAnsi="Arial" w:cs="Arial"/>
                <w:color w:val="000000"/>
                <w:sz w:val="20"/>
                <w:vertAlign w:val="superscript"/>
              </w:rPr>
            </w:pPr>
          </w:p>
        </w:tc>
        <w:tc>
          <w:tcPr>
            <w:tcW w:w="1020" w:type="dxa"/>
            <w:tcBorders>
              <w:top w:val="nil"/>
              <w:left w:val="nil"/>
              <w:bottom w:val="nil"/>
              <w:right w:val="nil"/>
              <w:tl2br w:val="nil"/>
              <w:tr2bl w:val="nil"/>
            </w:tcBorders>
            <w:shd w:val="clear" w:color="auto" w:fill="FFFFFF"/>
            <w:tcMar>
              <w:left w:w="115" w:type="dxa"/>
              <w:right w:w="115" w:type="dxa"/>
            </w:tcMar>
            <w:vAlign w:val="bottom"/>
          </w:tcPr>
          <w:p w14:paraId="12FF5950" w14:textId="77777777" w:rsidR="003F0EEA" w:rsidRPr="0068091F" w:rsidRDefault="003F0EEA">
            <w:pPr>
              <w:jc w:val="right"/>
              <w:rPr>
                <w:rFonts w:ascii="Arial" w:eastAsia="Arial" w:hAnsi="Arial" w:cs="Arial"/>
                <w:color w:val="000000"/>
                <w:sz w:val="16"/>
                <w:vertAlign w:val="superscript"/>
              </w:rPr>
            </w:pPr>
          </w:p>
        </w:tc>
      </w:tr>
      <w:tr w:rsidR="00355BFE" w14:paraId="3D3FBB7A" w14:textId="77777777" w:rsidTr="00355BFE">
        <w:trPr>
          <w:trHeight w:val="225"/>
        </w:trPr>
        <w:tc>
          <w:tcPr>
            <w:tcW w:w="2550" w:type="dxa"/>
            <w:gridSpan w:val="3"/>
            <w:vMerge w:val="restart"/>
            <w:tcBorders>
              <w:top w:val="nil"/>
              <w:left w:val="nil"/>
              <w:bottom w:val="nil"/>
              <w:right w:val="nil"/>
              <w:tl2br w:val="nil"/>
              <w:tr2bl w:val="nil"/>
            </w:tcBorders>
            <w:shd w:val="clear" w:color="auto" w:fill="FFFFFF"/>
            <w:tcMar>
              <w:left w:w="115" w:type="dxa"/>
              <w:right w:w="115" w:type="dxa"/>
            </w:tcMar>
            <w:vAlign w:val="bottom"/>
          </w:tcPr>
          <w:p w14:paraId="753A1BFB" w14:textId="77777777" w:rsidR="003F0EEA" w:rsidRPr="0068091F" w:rsidRDefault="00FB7D0B">
            <w:pPr>
              <w:rPr>
                <w:rFonts w:ascii="Arial" w:eastAsia="Arial" w:hAnsi="Arial" w:cs="Arial"/>
                <w:color w:val="000000"/>
                <w:sz w:val="16"/>
                <w:vertAlign w:val="superscript"/>
              </w:rPr>
            </w:pPr>
            <w:r w:rsidRPr="0068091F">
              <w:rPr>
                <w:rFonts w:ascii="Arial" w:eastAsia="Arial" w:hAnsi="Arial" w:cs="Arial"/>
                <w:color w:val="000000"/>
                <w:sz w:val="16"/>
              </w:rPr>
              <w:t>Operations and Maintenance</w:t>
            </w:r>
          </w:p>
        </w:tc>
        <w:tc>
          <w:tcPr>
            <w:tcW w:w="810" w:type="dxa"/>
            <w:tcBorders>
              <w:top w:val="nil"/>
              <w:left w:val="nil"/>
              <w:bottom w:val="nil"/>
              <w:right w:val="nil"/>
              <w:tl2br w:val="nil"/>
              <w:tr2bl w:val="nil"/>
            </w:tcBorders>
            <w:shd w:val="clear" w:color="auto" w:fill="FFFFFF"/>
            <w:tcMar>
              <w:left w:w="115" w:type="dxa"/>
              <w:right w:w="115" w:type="dxa"/>
            </w:tcMar>
            <w:vAlign w:val="bottom"/>
          </w:tcPr>
          <w:p w14:paraId="5150609F" w14:textId="77777777" w:rsidR="003F0EEA" w:rsidRPr="0068091F" w:rsidRDefault="003F0EEA">
            <w:pPr>
              <w:rPr>
                <w:rFonts w:ascii="Arial" w:eastAsia="Arial" w:hAnsi="Arial" w:cs="Arial"/>
                <w:color w:val="000000"/>
                <w:sz w:val="16"/>
                <w:vertAlign w:val="superscript"/>
              </w:rPr>
            </w:pPr>
          </w:p>
        </w:tc>
        <w:tc>
          <w:tcPr>
            <w:tcW w:w="915" w:type="dxa"/>
            <w:tcBorders>
              <w:top w:val="nil"/>
              <w:left w:val="nil"/>
              <w:bottom w:val="nil"/>
              <w:right w:val="nil"/>
              <w:tl2br w:val="nil"/>
              <w:tr2bl w:val="nil"/>
            </w:tcBorders>
            <w:shd w:val="clear" w:color="auto" w:fill="FFFFFF"/>
            <w:tcMar>
              <w:left w:w="115" w:type="dxa"/>
              <w:right w:w="115" w:type="dxa"/>
            </w:tcMar>
            <w:vAlign w:val="bottom"/>
          </w:tcPr>
          <w:p w14:paraId="13979818" w14:textId="77777777" w:rsidR="003F0EEA" w:rsidRPr="0068091F" w:rsidRDefault="003F0EEA">
            <w:pPr>
              <w:rPr>
                <w:rFonts w:ascii="Arial" w:eastAsia="Arial" w:hAnsi="Arial" w:cs="Arial"/>
                <w:color w:val="000000"/>
                <w:sz w:val="20"/>
                <w:vertAlign w:val="superscript"/>
              </w:rPr>
            </w:pPr>
          </w:p>
        </w:tc>
        <w:tc>
          <w:tcPr>
            <w:tcW w:w="1020" w:type="dxa"/>
            <w:tcBorders>
              <w:top w:val="nil"/>
              <w:left w:val="nil"/>
              <w:bottom w:val="nil"/>
              <w:right w:val="nil"/>
              <w:tl2br w:val="nil"/>
              <w:tr2bl w:val="nil"/>
            </w:tcBorders>
            <w:shd w:val="clear" w:color="auto" w:fill="FFFFFF"/>
            <w:tcMar>
              <w:left w:w="115" w:type="dxa"/>
              <w:right w:w="115" w:type="dxa"/>
            </w:tcMar>
            <w:vAlign w:val="bottom"/>
          </w:tcPr>
          <w:p w14:paraId="39B28C83" w14:textId="77777777" w:rsidR="003F0EEA" w:rsidRPr="0068091F" w:rsidRDefault="003F0EEA">
            <w:pPr>
              <w:rPr>
                <w:rFonts w:ascii="Arial" w:eastAsia="Arial" w:hAnsi="Arial" w:cs="Arial"/>
                <w:b/>
                <w:color w:val="000000"/>
                <w:sz w:val="15"/>
                <w:vertAlign w:val="superscript"/>
              </w:rPr>
            </w:pPr>
          </w:p>
        </w:tc>
        <w:tc>
          <w:tcPr>
            <w:tcW w:w="1020" w:type="dxa"/>
            <w:tcBorders>
              <w:top w:val="nil"/>
              <w:left w:val="nil"/>
              <w:bottom w:val="nil"/>
              <w:right w:val="nil"/>
              <w:tl2br w:val="nil"/>
              <w:tr2bl w:val="nil"/>
            </w:tcBorders>
            <w:shd w:val="clear" w:color="auto" w:fill="FFFFFF"/>
            <w:tcMar>
              <w:left w:w="115" w:type="dxa"/>
              <w:right w:w="115" w:type="dxa"/>
            </w:tcMar>
            <w:vAlign w:val="bottom"/>
          </w:tcPr>
          <w:p w14:paraId="11C5557C" w14:textId="77777777" w:rsidR="003F0EEA" w:rsidRPr="0068091F" w:rsidRDefault="00FB7D0B">
            <w:pPr>
              <w:jc w:val="right"/>
              <w:rPr>
                <w:rFonts w:ascii="Arial" w:eastAsia="Arial" w:hAnsi="Arial" w:cs="Arial"/>
                <w:b/>
                <w:color w:val="000000"/>
                <w:sz w:val="15"/>
                <w:vertAlign w:val="superscript"/>
              </w:rPr>
            </w:pPr>
            <w:r w:rsidRPr="0068091F">
              <w:rPr>
                <w:rFonts w:ascii="Arial" w:eastAsia="Arial" w:hAnsi="Arial" w:cs="Arial"/>
                <w:color w:val="000000"/>
                <w:sz w:val="16"/>
              </w:rPr>
              <w:t>336 </w:t>
            </w:r>
          </w:p>
        </w:tc>
        <w:tc>
          <w:tcPr>
            <w:tcW w:w="1020" w:type="dxa"/>
            <w:tcBorders>
              <w:top w:val="nil"/>
              <w:left w:val="nil"/>
              <w:bottom w:val="nil"/>
              <w:right w:val="nil"/>
              <w:tl2br w:val="nil"/>
              <w:tr2bl w:val="nil"/>
            </w:tcBorders>
            <w:shd w:val="clear" w:color="auto" w:fill="FFFFFF"/>
            <w:tcMar>
              <w:left w:w="115" w:type="dxa"/>
              <w:right w:w="115" w:type="dxa"/>
            </w:tcMar>
            <w:vAlign w:val="bottom"/>
          </w:tcPr>
          <w:p w14:paraId="5A6D2BFE" w14:textId="77777777" w:rsidR="003F0EEA" w:rsidRPr="0068091F" w:rsidRDefault="003F0EEA">
            <w:pPr>
              <w:rPr>
                <w:rFonts w:ascii="Arial" w:eastAsia="Arial" w:hAnsi="Arial" w:cs="Arial"/>
                <w:color w:val="000000"/>
                <w:sz w:val="16"/>
              </w:rPr>
            </w:pPr>
          </w:p>
        </w:tc>
        <w:tc>
          <w:tcPr>
            <w:tcW w:w="1020" w:type="dxa"/>
            <w:tcBorders>
              <w:top w:val="nil"/>
              <w:left w:val="nil"/>
              <w:bottom w:val="nil"/>
              <w:right w:val="nil"/>
              <w:tl2br w:val="nil"/>
              <w:tr2bl w:val="nil"/>
            </w:tcBorders>
            <w:shd w:val="clear" w:color="auto" w:fill="FFFFFF"/>
            <w:tcMar>
              <w:left w:w="115" w:type="dxa"/>
              <w:right w:w="115" w:type="dxa"/>
            </w:tcMar>
            <w:vAlign w:val="bottom"/>
          </w:tcPr>
          <w:p w14:paraId="293DA716" w14:textId="77777777" w:rsidR="003F0EEA" w:rsidRPr="0068091F" w:rsidRDefault="003F0EEA">
            <w:pPr>
              <w:jc w:val="right"/>
              <w:rPr>
                <w:rFonts w:ascii="Arial" w:eastAsia="Arial" w:hAnsi="Arial" w:cs="Arial"/>
                <w:color w:val="000000"/>
                <w:sz w:val="16"/>
              </w:rPr>
            </w:pPr>
          </w:p>
        </w:tc>
      </w:tr>
      <w:tr w:rsidR="00355BFE" w14:paraId="1101FE01" w14:textId="77777777" w:rsidTr="00355BFE">
        <w:trPr>
          <w:trHeight w:val="225"/>
        </w:trPr>
        <w:tc>
          <w:tcPr>
            <w:tcW w:w="2550" w:type="dxa"/>
            <w:gridSpan w:val="3"/>
            <w:tcBorders>
              <w:top w:val="nil"/>
              <w:left w:val="nil"/>
              <w:bottom w:val="nil"/>
              <w:right w:val="nil"/>
              <w:tl2br w:val="nil"/>
              <w:tr2bl w:val="nil"/>
            </w:tcBorders>
            <w:shd w:val="clear" w:color="auto" w:fill="FFFFFF"/>
            <w:tcMar>
              <w:left w:w="115" w:type="dxa"/>
              <w:right w:w="115" w:type="dxa"/>
            </w:tcMar>
            <w:vAlign w:val="bottom"/>
          </w:tcPr>
          <w:p w14:paraId="510811E8" w14:textId="77777777" w:rsidR="003F0EEA" w:rsidRPr="0068091F" w:rsidRDefault="00FB7D0B">
            <w:pPr>
              <w:rPr>
                <w:rFonts w:ascii="Arial" w:eastAsia="Arial" w:hAnsi="Arial" w:cs="Arial"/>
                <w:color w:val="000000"/>
                <w:sz w:val="16"/>
              </w:rPr>
            </w:pPr>
            <w:r w:rsidRPr="0068091F">
              <w:rPr>
                <w:rFonts w:ascii="Arial" w:eastAsia="Arial" w:hAnsi="Arial" w:cs="Arial"/>
                <w:color w:val="000000"/>
                <w:sz w:val="16"/>
              </w:rPr>
              <w:t>Preservation and Conservation</w:t>
            </w:r>
          </w:p>
        </w:tc>
        <w:tc>
          <w:tcPr>
            <w:tcW w:w="810" w:type="dxa"/>
            <w:tcBorders>
              <w:top w:val="nil"/>
              <w:left w:val="nil"/>
              <w:bottom w:val="nil"/>
              <w:right w:val="nil"/>
              <w:tl2br w:val="nil"/>
              <w:tr2bl w:val="nil"/>
            </w:tcBorders>
            <w:shd w:val="clear" w:color="auto" w:fill="FFFFFF"/>
            <w:tcMar>
              <w:left w:w="115" w:type="dxa"/>
              <w:right w:w="115" w:type="dxa"/>
            </w:tcMar>
            <w:vAlign w:val="bottom"/>
          </w:tcPr>
          <w:p w14:paraId="3DA3E246" w14:textId="77777777" w:rsidR="003F0EEA" w:rsidRPr="0068091F" w:rsidRDefault="003F0EEA">
            <w:pPr>
              <w:rPr>
                <w:rFonts w:ascii="Arial" w:eastAsia="Arial" w:hAnsi="Arial" w:cs="Arial"/>
                <w:color w:val="000000"/>
                <w:sz w:val="16"/>
                <w:vertAlign w:val="superscript"/>
              </w:rPr>
            </w:pPr>
          </w:p>
        </w:tc>
        <w:tc>
          <w:tcPr>
            <w:tcW w:w="915" w:type="dxa"/>
            <w:tcBorders>
              <w:top w:val="nil"/>
              <w:left w:val="nil"/>
              <w:bottom w:val="nil"/>
              <w:right w:val="nil"/>
              <w:tl2br w:val="nil"/>
              <w:tr2bl w:val="nil"/>
            </w:tcBorders>
            <w:shd w:val="clear" w:color="auto" w:fill="FFFFFF"/>
            <w:tcMar>
              <w:left w:w="115" w:type="dxa"/>
              <w:right w:w="115" w:type="dxa"/>
            </w:tcMar>
            <w:vAlign w:val="bottom"/>
          </w:tcPr>
          <w:p w14:paraId="532C6DF9" w14:textId="77777777" w:rsidR="003F0EEA" w:rsidRPr="0068091F" w:rsidRDefault="003F0EEA">
            <w:pPr>
              <w:rPr>
                <w:rFonts w:ascii="Arial" w:eastAsia="Arial" w:hAnsi="Arial" w:cs="Arial"/>
                <w:color w:val="000000"/>
                <w:sz w:val="20"/>
                <w:vertAlign w:val="superscript"/>
              </w:rPr>
            </w:pPr>
          </w:p>
        </w:tc>
        <w:tc>
          <w:tcPr>
            <w:tcW w:w="1020" w:type="dxa"/>
            <w:tcBorders>
              <w:top w:val="nil"/>
              <w:left w:val="nil"/>
              <w:bottom w:val="nil"/>
              <w:right w:val="nil"/>
              <w:tl2br w:val="nil"/>
              <w:tr2bl w:val="nil"/>
            </w:tcBorders>
            <w:shd w:val="clear" w:color="auto" w:fill="FFFFFF"/>
            <w:tcMar>
              <w:left w:w="115" w:type="dxa"/>
              <w:right w:w="115" w:type="dxa"/>
            </w:tcMar>
            <w:vAlign w:val="bottom"/>
          </w:tcPr>
          <w:p w14:paraId="6A83BB6D" w14:textId="77777777" w:rsidR="003F0EEA" w:rsidRPr="0068091F" w:rsidRDefault="003F0EEA">
            <w:pPr>
              <w:rPr>
                <w:rFonts w:ascii="Arial" w:eastAsia="Arial" w:hAnsi="Arial" w:cs="Arial"/>
                <w:b/>
                <w:color w:val="000000"/>
                <w:sz w:val="15"/>
                <w:vertAlign w:val="superscript"/>
              </w:rPr>
            </w:pPr>
          </w:p>
        </w:tc>
        <w:tc>
          <w:tcPr>
            <w:tcW w:w="1020" w:type="dxa"/>
            <w:tcBorders>
              <w:top w:val="nil"/>
              <w:left w:val="nil"/>
              <w:bottom w:val="single" w:sz="6" w:space="0" w:color="000000"/>
              <w:right w:val="nil"/>
              <w:tl2br w:val="nil"/>
              <w:tr2bl w:val="nil"/>
            </w:tcBorders>
            <w:shd w:val="clear" w:color="auto" w:fill="FFFFFF"/>
            <w:tcMar>
              <w:left w:w="115" w:type="dxa"/>
              <w:right w:w="115" w:type="dxa"/>
            </w:tcMar>
            <w:vAlign w:val="bottom"/>
          </w:tcPr>
          <w:p w14:paraId="5ABA39DC" w14:textId="77777777" w:rsidR="003F0EEA" w:rsidRPr="0068091F" w:rsidRDefault="00FB7D0B">
            <w:pPr>
              <w:jc w:val="right"/>
              <w:rPr>
                <w:rFonts w:ascii="Arial" w:eastAsia="Arial" w:hAnsi="Arial" w:cs="Arial"/>
                <w:b/>
                <w:color w:val="000000"/>
                <w:sz w:val="15"/>
                <w:vertAlign w:val="superscript"/>
              </w:rPr>
            </w:pPr>
            <w:r w:rsidRPr="0068091F">
              <w:rPr>
                <w:rFonts w:ascii="Arial" w:eastAsia="Arial" w:hAnsi="Arial" w:cs="Arial"/>
                <w:color w:val="000000"/>
                <w:sz w:val="16"/>
              </w:rPr>
              <w:t>17,687 </w:t>
            </w:r>
          </w:p>
        </w:tc>
        <w:tc>
          <w:tcPr>
            <w:tcW w:w="1020" w:type="dxa"/>
            <w:tcBorders>
              <w:top w:val="nil"/>
              <w:left w:val="nil"/>
              <w:bottom w:val="nil"/>
              <w:right w:val="nil"/>
              <w:tl2br w:val="nil"/>
              <w:tr2bl w:val="nil"/>
            </w:tcBorders>
            <w:shd w:val="clear" w:color="auto" w:fill="FFFFFF"/>
            <w:tcMar>
              <w:left w:w="115" w:type="dxa"/>
              <w:right w:w="115" w:type="dxa"/>
            </w:tcMar>
            <w:vAlign w:val="bottom"/>
          </w:tcPr>
          <w:p w14:paraId="354A9107" w14:textId="77777777" w:rsidR="003F0EEA" w:rsidRPr="0068091F" w:rsidRDefault="003F0EEA">
            <w:pPr>
              <w:rPr>
                <w:rFonts w:ascii="Arial" w:eastAsia="Arial" w:hAnsi="Arial" w:cs="Arial"/>
                <w:color w:val="000000"/>
                <w:sz w:val="16"/>
              </w:rPr>
            </w:pPr>
          </w:p>
        </w:tc>
        <w:tc>
          <w:tcPr>
            <w:tcW w:w="1020" w:type="dxa"/>
            <w:tcBorders>
              <w:top w:val="nil"/>
              <w:left w:val="nil"/>
              <w:bottom w:val="nil"/>
              <w:right w:val="nil"/>
              <w:tl2br w:val="nil"/>
              <w:tr2bl w:val="nil"/>
            </w:tcBorders>
            <w:shd w:val="clear" w:color="auto" w:fill="FFFFFF"/>
            <w:tcMar>
              <w:left w:w="115" w:type="dxa"/>
              <w:right w:w="115" w:type="dxa"/>
            </w:tcMar>
            <w:vAlign w:val="bottom"/>
          </w:tcPr>
          <w:p w14:paraId="08AA86CC" w14:textId="77777777" w:rsidR="003F0EEA" w:rsidRPr="0068091F" w:rsidRDefault="003F0EEA">
            <w:pPr>
              <w:jc w:val="right"/>
              <w:rPr>
                <w:rFonts w:ascii="Arial" w:eastAsia="Arial" w:hAnsi="Arial" w:cs="Arial"/>
                <w:color w:val="000000"/>
                <w:sz w:val="16"/>
              </w:rPr>
            </w:pPr>
          </w:p>
        </w:tc>
      </w:tr>
      <w:tr w:rsidR="00355BFE" w14:paraId="0086F2DF" w14:textId="77777777" w:rsidTr="00355BFE">
        <w:trPr>
          <w:trHeight w:val="225"/>
        </w:trPr>
        <w:tc>
          <w:tcPr>
            <w:tcW w:w="5295" w:type="dxa"/>
            <w:gridSpan w:val="6"/>
            <w:tcBorders>
              <w:top w:val="nil"/>
              <w:left w:val="nil"/>
              <w:bottom w:val="nil"/>
              <w:right w:val="nil"/>
              <w:tl2br w:val="nil"/>
              <w:tr2bl w:val="nil"/>
            </w:tcBorders>
            <w:shd w:val="clear" w:color="auto" w:fill="FFFFFF"/>
            <w:tcMar>
              <w:left w:w="115" w:type="dxa"/>
              <w:right w:w="115" w:type="dxa"/>
            </w:tcMar>
            <w:vAlign w:val="bottom"/>
          </w:tcPr>
          <w:p w14:paraId="147A2131" w14:textId="77777777" w:rsidR="003F0EEA" w:rsidRPr="0068091F" w:rsidRDefault="00FB7D0B">
            <w:pPr>
              <w:rPr>
                <w:rFonts w:ascii="Arial" w:eastAsia="Arial" w:hAnsi="Arial" w:cs="Arial"/>
                <w:color w:val="000000"/>
                <w:sz w:val="16"/>
              </w:rPr>
            </w:pPr>
            <w:r w:rsidRPr="0068091F">
              <w:rPr>
                <w:rFonts w:ascii="Arial" w:eastAsia="Arial" w:hAnsi="Arial" w:cs="Arial"/>
                <w:b/>
                <w:color w:val="000000"/>
                <w:sz w:val="16"/>
              </w:rPr>
              <w:t>Total operating expenditure on heritage and cultural assets</w:t>
            </w:r>
          </w:p>
        </w:tc>
        <w:tc>
          <w:tcPr>
            <w:tcW w:w="1020" w:type="dxa"/>
            <w:tcBorders>
              <w:top w:val="single" w:sz="6" w:space="0" w:color="000000"/>
              <w:left w:val="nil"/>
              <w:bottom w:val="single" w:sz="6" w:space="0" w:color="000000"/>
              <w:right w:val="nil"/>
              <w:tl2br w:val="nil"/>
              <w:tr2bl w:val="nil"/>
            </w:tcBorders>
            <w:shd w:val="clear" w:color="auto" w:fill="FFFFFF"/>
            <w:tcMar>
              <w:left w:w="115" w:type="dxa"/>
              <w:right w:w="115" w:type="dxa"/>
            </w:tcMar>
            <w:vAlign w:val="bottom"/>
          </w:tcPr>
          <w:p w14:paraId="2C580A73" w14:textId="77777777" w:rsidR="003F0EEA" w:rsidRPr="0068091F" w:rsidRDefault="00FB7D0B">
            <w:pPr>
              <w:jc w:val="right"/>
              <w:rPr>
                <w:rFonts w:ascii="Arial" w:eastAsia="Arial" w:hAnsi="Arial" w:cs="Arial"/>
                <w:b/>
                <w:color w:val="000000"/>
                <w:sz w:val="16"/>
              </w:rPr>
            </w:pPr>
            <w:r w:rsidRPr="0068091F">
              <w:rPr>
                <w:rFonts w:ascii="Arial" w:eastAsia="Arial" w:hAnsi="Arial" w:cs="Arial"/>
                <w:color w:val="000000"/>
                <w:sz w:val="16"/>
              </w:rPr>
              <w:t>18,023 </w:t>
            </w:r>
          </w:p>
        </w:tc>
        <w:tc>
          <w:tcPr>
            <w:tcW w:w="1020" w:type="dxa"/>
            <w:tcBorders>
              <w:top w:val="nil"/>
              <w:left w:val="nil"/>
              <w:bottom w:val="nil"/>
              <w:right w:val="nil"/>
              <w:tl2br w:val="nil"/>
              <w:tr2bl w:val="nil"/>
            </w:tcBorders>
            <w:shd w:val="clear" w:color="auto" w:fill="FFFFFF"/>
            <w:tcMar>
              <w:left w:w="115" w:type="dxa"/>
              <w:right w:w="115" w:type="dxa"/>
            </w:tcMar>
            <w:vAlign w:val="bottom"/>
          </w:tcPr>
          <w:p w14:paraId="4895B9B7" w14:textId="77777777" w:rsidR="003F0EEA" w:rsidRPr="0068091F" w:rsidRDefault="003F0EEA">
            <w:pPr>
              <w:rPr>
                <w:rFonts w:ascii="Arial" w:eastAsia="Arial" w:hAnsi="Arial" w:cs="Arial"/>
                <w:color w:val="000000"/>
                <w:sz w:val="16"/>
              </w:rPr>
            </w:pPr>
          </w:p>
        </w:tc>
        <w:tc>
          <w:tcPr>
            <w:tcW w:w="1020" w:type="dxa"/>
            <w:tcBorders>
              <w:top w:val="nil"/>
              <w:left w:val="nil"/>
              <w:bottom w:val="nil"/>
              <w:right w:val="nil"/>
              <w:tl2br w:val="nil"/>
              <w:tr2bl w:val="nil"/>
            </w:tcBorders>
            <w:shd w:val="clear" w:color="auto" w:fill="FFFFFF"/>
            <w:tcMar>
              <w:left w:w="115" w:type="dxa"/>
              <w:right w:w="115" w:type="dxa"/>
            </w:tcMar>
            <w:vAlign w:val="bottom"/>
          </w:tcPr>
          <w:p w14:paraId="33027673" w14:textId="77777777" w:rsidR="003F0EEA" w:rsidRPr="0068091F" w:rsidRDefault="003F0EEA">
            <w:pPr>
              <w:jc w:val="right"/>
              <w:rPr>
                <w:rFonts w:ascii="Arial" w:eastAsia="Arial" w:hAnsi="Arial" w:cs="Arial"/>
                <w:color w:val="000000"/>
                <w:sz w:val="16"/>
              </w:rPr>
            </w:pPr>
          </w:p>
        </w:tc>
      </w:tr>
      <w:tr w:rsidR="00724034" w14:paraId="147DCFF9" w14:textId="77777777">
        <w:trPr>
          <w:trHeight w:val="225"/>
        </w:trPr>
        <w:tc>
          <w:tcPr>
            <w:tcW w:w="180" w:type="dxa"/>
            <w:tcBorders>
              <w:top w:val="nil"/>
              <w:left w:val="nil"/>
              <w:bottom w:val="nil"/>
              <w:right w:val="nil"/>
              <w:tl2br w:val="nil"/>
              <w:tr2bl w:val="nil"/>
            </w:tcBorders>
            <w:shd w:val="clear" w:color="auto" w:fill="FFFFFF"/>
            <w:tcMar>
              <w:left w:w="115" w:type="dxa"/>
              <w:right w:w="115" w:type="dxa"/>
            </w:tcMar>
            <w:vAlign w:val="bottom"/>
          </w:tcPr>
          <w:p w14:paraId="5420075D" w14:textId="77777777" w:rsidR="003F0EEA" w:rsidRPr="0068091F" w:rsidRDefault="003F0EEA">
            <w:pPr>
              <w:rPr>
                <w:rFonts w:ascii="Arial" w:eastAsia="Arial" w:hAnsi="Arial" w:cs="Arial"/>
                <w:color w:val="000000"/>
                <w:sz w:val="16"/>
              </w:rPr>
            </w:pPr>
          </w:p>
        </w:tc>
        <w:tc>
          <w:tcPr>
            <w:tcW w:w="180" w:type="dxa"/>
            <w:tcBorders>
              <w:top w:val="nil"/>
              <w:left w:val="nil"/>
              <w:bottom w:val="nil"/>
              <w:right w:val="nil"/>
              <w:tl2br w:val="nil"/>
              <w:tr2bl w:val="nil"/>
            </w:tcBorders>
            <w:shd w:val="clear" w:color="auto" w:fill="FFFFFF"/>
            <w:tcMar>
              <w:left w:w="115" w:type="dxa"/>
              <w:right w:w="115" w:type="dxa"/>
            </w:tcMar>
            <w:vAlign w:val="bottom"/>
          </w:tcPr>
          <w:p w14:paraId="6BC75705" w14:textId="77777777" w:rsidR="003F0EEA" w:rsidRPr="0068091F" w:rsidRDefault="003F0EEA">
            <w:pPr>
              <w:rPr>
                <w:rFonts w:ascii="Arial" w:eastAsia="Arial" w:hAnsi="Arial" w:cs="Arial"/>
                <w:color w:val="000000"/>
                <w:sz w:val="16"/>
              </w:rPr>
            </w:pPr>
          </w:p>
        </w:tc>
        <w:tc>
          <w:tcPr>
            <w:tcW w:w="2190" w:type="dxa"/>
            <w:tcBorders>
              <w:top w:val="nil"/>
              <w:left w:val="nil"/>
              <w:bottom w:val="nil"/>
              <w:right w:val="nil"/>
              <w:tl2br w:val="nil"/>
              <w:tr2bl w:val="nil"/>
            </w:tcBorders>
            <w:shd w:val="clear" w:color="auto" w:fill="FFFFFF"/>
            <w:tcMar>
              <w:left w:w="115" w:type="dxa"/>
              <w:right w:w="115" w:type="dxa"/>
            </w:tcMar>
            <w:vAlign w:val="bottom"/>
          </w:tcPr>
          <w:p w14:paraId="5962571F" w14:textId="77777777" w:rsidR="003F0EEA" w:rsidRPr="0068091F" w:rsidRDefault="003F0EEA">
            <w:pPr>
              <w:rPr>
                <w:rFonts w:ascii="Arial" w:eastAsia="Arial" w:hAnsi="Arial" w:cs="Arial"/>
                <w:color w:val="000000"/>
                <w:sz w:val="16"/>
              </w:rPr>
            </w:pPr>
          </w:p>
        </w:tc>
        <w:tc>
          <w:tcPr>
            <w:tcW w:w="810" w:type="dxa"/>
            <w:tcBorders>
              <w:top w:val="nil"/>
              <w:left w:val="nil"/>
              <w:bottom w:val="nil"/>
              <w:right w:val="nil"/>
              <w:tl2br w:val="nil"/>
              <w:tr2bl w:val="nil"/>
            </w:tcBorders>
            <w:shd w:val="clear" w:color="auto" w:fill="FFFFFF"/>
            <w:tcMar>
              <w:left w:w="115" w:type="dxa"/>
              <w:right w:w="115" w:type="dxa"/>
            </w:tcMar>
            <w:vAlign w:val="bottom"/>
          </w:tcPr>
          <w:p w14:paraId="2CB5274A" w14:textId="77777777" w:rsidR="003F0EEA" w:rsidRPr="0068091F" w:rsidRDefault="003F0EEA">
            <w:pPr>
              <w:rPr>
                <w:rFonts w:ascii="Arial" w:eastAsia="Arial" w:hAnsi="Arial" w:cs="Arial"/>
                <w:color w:val="000000"/>
                <w:sz w:val="16"/>
                <w:vertAlign w:val="superscript"/>
              </w:rPr>
            </w:pPr>
          </w:p>
        </w:tc>
        <w:tc>
          <w:tcPr>
            <w:tcW w:w="915" w:type="dxa"/>
            <w:tcBorders>
              <w:top w:val="nil"/>
              <w:left w:val="nil"/>
              <w:bottom w:val="nil"/>
              <w:right w:val="nil"/>
              <w:tl2br w:val="nil"/>
              <w:tr2bl w:val="nil"/>
            </w:tcBorders>
            <w:shd w:val="clear" w:color="auto" w:fill="FFFFFF"/>
            <w:tcMar>
              <w:left w:w="115" w:type="dxa"/>
              <w:right w:w="115" w:type="dxa"/>
            </w:tcMar>
            <w:vAlign w:val="bottom"/>
          </w:tcPr>
          <w:p w14:paraId="3CB1125B" w14:textId="77777777" w:rsidR="003F0EEA" w:rsidRPr="0068091F" w:rsidRDefault="003F0EEA">
            <w:pPr>
              <w:rPr>
                <w:rFonts w:ascii="Arial" w:eastAsia="Arial" w:hAnsi="Arial" w:cs="Arial"/>
                <w:color w:val="000000"/>
                <w:sz w:val="16"/>
                <w:vertAlign w:val="superscript"/>
              </w:rPr>
            </w:pPr>
          </w:p>
        </w:tc>
        <w:tc>
          <w:tcPr>
            <w:tcW w:w="1020" w:type="dxa"/>
            <w:tcBorders>
              <w:top w:val="nil"/>
              <w:left w:val="nil"/>
              <w:bottom w:val="nil"/>
              <w:right w:val="nil"/>
              <w:tl2br w:val="nil"/>
              <w:tr2bl w:val="nil"/>
            </w:tcBorders>
            <w:shd w:val="clear" w:color="auto" w:fill="FFFFFF"/>
            <w:tcMar>
              <w:left w:w="115" w:type="dxa"/>
              <w:right w:w="115" w:type="dxa"/>
            </w:tcMar>
            <w:vAlign w:val="bottom"/>
          </w:tcPr>
          <w:p w14:paraId="701A0A0B" w14:textId="77777777" w:rsidR="003F0EEA" w:rsidRPr="0068091F" w:rsidRDefault="003F0EEA">
            <w:pPr>
              <w:jc w:val="right"/>
              <w:rPr>
                <w:rFonts w:ascii="Arial" w:eastAsia="Arial" w:hAnsi="Arial" w:cs="Arial"/>
                <w:color w:val="000000"/>
                <w:sz w:val="16"/>
                <w:vertAlign w:val="superscript"/>
              </w:rPr>
            </w:pPr>
          </w:p>
        </w:tc>
        <w:tc>
          <w:tcPr>
            <w:tcW w:w="1020" w:type="dxa"/>
            <w:tcBorders>
              <w:top w:val="single" w:sz="6" w:space="0" w:color="000000"/>
              <w:left w:val="nil"/>
              <w:bottom w:val="nil"/>
              <w:right w:val="nil"/>
              <w:tl2br w:val="nil"/>
              <w:tr2bl w:val="nil"/>
            </w:tcBorders>
            <w:shd w:val="clear" w:color="auto" w:fill="FFFFFF"/>
            <w:tcMar>
              <w:left w:w="115" w:type="dxa"/>
              <w:right w:w="115" w:type="dxa"/>
            </w:tcMar>
            <w:vAlign w:val="bottom"/>
          </w:tcPr>
          <w:p w14:paraId="320031CC" w14:textId="77777777" w:rsidR="003F0EEA" w:rsidRPr="0068091F" w:rsidRDefault="003F0EEA">
            <w:pPr>
              <w:rPr>
                <w:rFonts w:ascii="Arial" w:eastAsia="Arial" w:hAnsi="Arial" w:cs="Arial"/>
                <w:color w:val="000000"/>
                <w:sz w:val="16"/>
                <w:vertAlign w:val="superscript"/>
              </w:rPr>
            </w:pPr>
          </w:p>
        </w:tc>
        <w:tc>
          <w:tcPr>
            <w:tcW w:w="1020" w:type="dxa"/>
            <w:tcBorders>
              <w:top w:val="nil"/>
              <w:left w:val="nil"/>
              <w:bottom w:val="nil"/>
              <w:right w:val="nil"/>
              <w:tl2br w:val="nil"/>
              <w:tr2bl w:val="nil"/>
            </w:tcBorders>
            <w:shd w:val="clear" w:color="auto" w:fill="FFFFFF"/>
            <w:tcMar>
              <w:left w:w="115" w:type="dxa"/>
              <w:right w:w="115" w:type="dxa"/>
            </w:tcMar>
            <w:vAlign w:val="bottom"/>
          </w:tcPr>
          <w:p w14:paraId="4C8324DE" w14:textId="77777777" w:rsidR="003F0EEA" w:rsidRPr="0068091F" w:rsidRDefault="003F0EEA">
            <w:pPr>
              <w:rPr>
                <w:rFonts w:ascii="Arial" w:eastAsia="Arial" w:hAnsi="Arial" w:cs="Arial"/>
                <w:color w:val="000000"/>
                <w:sz w:val="16"/>
                <w:vertAlign w:val="superscript"/>
              </w:rPr>
            </w:pPr>
          </w:p>
        </w:tc>
        <w:tc>
          <w:tcPr>
            <w:tcW w:w="1020" w:type="dxa"/>
            <w:tcBorders>
              <w:top w:val="nil"/>
              <w:left w:val="nil"/>
              <w:bottom w:val="nil"/>
              <w:right w:val="nil"/>
              <w:tl2br w:val="nil"/>
              <w:tr2bl w:val="nil"/>
            </w:tcBorders>
            <w:shd w:val="clear" w:color="auto" w:fill="FFFFFF"/>
            <w:tcMar>
              <w:left w:w="115" w:type="dxa"/>
              <w:right w:w="115" w:type="dxa"/>
            </w:tcMar>
            <w:vAlign w:val="bottom"/>
          </w:tcPr>
          <w:p w14:paraId="5E2A369B" w14:textId="77777777" w:rsidR="003F0EEA" w:rsidRPr="0068091F" w:rsidRDefault="003F0EEA">
            <w:pPr>
              <w:jc w:val="right"/>
              <w:rPr>
                <w:rFonts w:ascii="Arial" w:eastAsia="Arial" w:hAnsi="Arial" w:cs="Arial"/>
                <w:color w:val="000000"/>
                <w:sz w:val="16"/>
                <w:vertAlign w:val="superscript"/>
              </w:rPr>
            </w:pPr>
          </w:p>
        </w:tc>
      </w:tr>
      <w:tr w:rsidR="00355BFE" w14:paraId="52DE1B31" w14:textId="77777777" w:rsidTr="00355BFE">
        <w:trPr>
          <w:trHeight w:val="480"/>
        </w:trPr>
        <w:tc>
          <w:tcPr>
            <w:tcW w:w="8355" w:type="dxa"/>
            <w:gridSpan w:val="9"/>
            <w:tcBorders>
              <w:top w:val="nil"/>
              <w:left w:val="nil"/>
              <w:bottom w:val="nil"/>
              <w:right w:val="nil"/>
              <w:tl2br w:val="nil"/>
              <w:tr2bl w:val="nil"/>
            </w:tcBorders>
            <w:shd w:val="clear" w:color="auto" w:fill="FFFFFF"/>
            <w:tcMar>
              <w:left w:w="115" w:type="dxa"/>
              <w:right w:w="115" w:type="dxa"/>
            </w:tcMar>
            <w:vAlign w:val="bottom"/>
          </w:tcPr>
          <w:p w14:paraId="39A03A01" w14:textId="77777777" w:rsidR="003F0EEA" w:rsidRPr="0068091F" w:rsidRDefault="00FB7D0B">
            <w:pPr>
              <w:rPr>
                <w:rFonts w:ascii="Arial" w:eastAsia="Arial" w:hAnsi="Arial" w:cs="Arial"/>
                <w:color w:val="000000"/>
                <w:sz w:val="16"/>
                <w:vertAlign w:val="superscript"/>
              </w:rPr>
            </w:pPr>
            <w:r w:rsidRPr="0068091F">
              <w:rPr>
                <w:rFonts w:ascii="Arial" w:eastAsia="Arial" w:hAnsi="Arial" w:cs="Arial"/>
                <w:color w:val="000000"/>
                <w:sz w:val="16"/>
                <w:vertAlign w:val="superscript"/>
              </w:rPr>
              <w:t>1</w:t>
            </w:r>
            <w:r w:rsidRPr="0068091F">
              <w:rPr>
                <w:rFonts w:ascii="Arial" w:eastAsia="Arial" w:hAnsi="Arial" w:cs="Arial"/>
                <w:color w:val="000000"/>
                <w:sz w:val="16"/>
              </w:rPr>
              <w:t xml:space="preserve"> "Appropriation equity" refers to equity injections or Administered Assets and Liabilities appropriations provided through Appropriation Bill (No.2) 2014-15, including CDABs.</w:t>
            </w:r>
          </w:p>
        </w:tc>
      </w:tr>
      <w:tr w:rsidR="00355BFE" w14:paraId="236EDE95" w14:textId="77777777" w:rsidTr="00355BFE">
        <w:trPr>
          <w:trHeight w:val="555"/>
        </w:trPr>
        <w:tc>
          <w:tcPr>
            <w:tcW w:w="8355" w:type="dxa"/>
            <w:gridSpan w:val="9"/>
            <w:tcBorders>
              <w:top w:val="nil"/>
              <w:left w:val="nil"/>
              <w:bottom w:val="nil"/>
              <w:right w:val="nil"/>
              <w:tl2br w:val="nil"/>
              <w:tr2bl w:val="nil"/>
            </w:tcBorders>
            <w:shd w:val="clear" w:color="auto" w:fill="FFFFFF"/>
            <w:tcMar>
              <w:left w:w="115" w:type="dxa"/>
              <w:right w:w="115" w:type="dxa"/>
            </w:tcMar>
            <w:vAlign w:val="bottom"/>
          </w:tcPr>
          <w:p w14:paraId="2DC6170B" w14:textId="77777777" w:rsidR="003F0EEA" w:rsidRPr="0068091F" w:rsidRDefault="00FB7D0B">
            <w:pPr>
              <w:rPr>
                <w:rFonts w:ascii="Arial" w:eastAsia="Arial" w:hAnsi="Arial" w:cs="Arial"/>
                <w:color w:val="000000"/>
                <w:sz w:val="16"/>
              </w:rPr>
            </w:pPr>
            <w:r w:rsidRPr="0068091F">
              <w:rPr>
                <w:rFonts w:ascii="Arial" w:eastAsia="Arial" w:hAnsi="Arial" w:cs="Arial"/>
                <w:color w:val="000000"/>
                <w:sz w:val="16"/>
                <w:vertAlign w:val="superscript"/>
              </w:rPr>
              <w:t>2</w:t>
            </w:r>
            <w:r w:rsidRPr="0068091F">
              <w:rPr>
                <w:rFonts w:ascii="Arial" w:eastAsia="Arial" w:hAnsi="Arial" w:cs="Arial"/>
                <w:color w:val="000000"/>
                <w:sz w:val="16"/>
              </w:rPr>
              <w:t xml:space="preserve"> "Appropriation ordinary annual services" refers to funding provided through Appropriation Bill (No.1) 2014-15 for depreciation / amortisation expenses, DCBs or other operational expenses.</w:t>
            </w:r>
          </w:p>
        </w:tc>
      </w:tr>
    </w:tbl>
    <w:p w14:paraId="6F5DCEF2" w14:textId="77777777" w:rsidR="003F0EEA" w:rsidRPr="0068091F" w:rsidRDefault="00FB7D0B">
      <w:pPr>
        <w:spacing w:line="14" w:lineRule="exact"/>
        <w:rPr>
          <w:rFonts w:ascii="Arial" w:eastAsia="Times New Roman" w:hAnsi="Arial" w:cs="Arial"/>
          <w:b/>
        </w:rPr>
      </w:pPr>
      <w:r w:rsidRPr="0068091F">
        <w:rPr>
          <w:rFonts w:ascii="Arial" w:eastAsia="Times New Roman" w:hAnsi="Arial" w:cs="Arial"/>
          <w:b/>
        </w:rPr>
        <w:br w:type="page"/>
      </w:r>
    </w:p>
    <w:p w14:paraId="7CD90B6D" w14:textId="77777777" w:rsidR="003F0EEA" w:rsidRPr="006B462F" w:rsidRDefault="00FB7D0B" w:rsidP="003F0EEA">
      <w:pPr>
        <w:pStyle w:val="Heading418"/>
        <w:rPr>
          <w:rFonts w:ascii="Arial" w:hAnsi="Arial" w:cs="Arial"/>
          <w:sz w:val="22"/>
          <w:szCs w:val="22"/>
        </w:rPr>
      </w:pPr>
      <w:r w:rsidRPr="006B462F">
        <w:rPr>
          <w:rFonts w:ascii="Arial" w:hAnsi="Arial" w:cs="Arial"/>
          <w:sz w:val="22"/>
          <w:szCs w:val="22"/>
        </w:rPr>
        <w:t>3.2.4</w:t>
      </w:r>
      <w:r w:rsidRPr="006B462F">
        <w:rPr>
          <w:rFonts w:ascii="Arial" w:hAnsi="Arial" w:cs="Arial"/>
          <w:sz w:val="22"/>
          <w:szCs w:val="22"/>
        </w:rPr>
        <w:tab/>
        <w:t>Notes to the Financial Statements</w:t>
      </w:r>
    </w:p>
    <w:p w14:paraId="2D985BFF" w14:textId="77777777" w:rsidR="003F0EEA" w:rsidRPr="008D31A2" w:rsidRDefault="00FB7D0B" w:rsidP="003F0EEA">
      <w:pPr>
        <w:pStyle w:val="Normal258"/>
        <w:spacing w:after="120"/>
        <w:jc w:val="left"/>
        <w:rPr>
          <w:rFonts w:cs="Arial"/>
          <w:b/>
        </w:rPr>
      </w:pPr>
      <w:r w:rsidRPr="008D31A2">
        <w:rPr>
          <w:rFonts w:cs="Arial"/>
          <w:b/>
        </w:rPr>
        <w:t>Note 1 – Revenue from government</w:t>
      </w:r>
    </w:p>
    <w:p w14:paraId="490E01CE" w14:textId="77777777" w:rsidR="003F0EEA" w:rsidRPr="008D31A2" w:rsidRDefault="00FB7D0B" w:rsidP="003F0EEA">
      <w:pPr>
        <w:pStyle w:val="Normal258"/>
        <w:spacing w:after="120"/>
        <w:rPr>
          <w:rFonts w:cs="Arial"/>
          <w:lang w:val="en-GB"/>
        </w:rPr>
      </w:pPr>
      <w:r w:rsidRPr="008D31A2">
        <w:rPr>
          <w:rFonts w:cs="Arial"/>
          <w:lang w:val="en-GB"/>
        </w:rPr>
        <w:t>Revenue from government does not include Heritage and Cultural capital appropriations.</w:t>
      </w:r>
    </w:p>
    <w:p w14:paraId="39681035" w14:textId="77777777" w:rsidR="003F0EEA" w:rsidRPr="008D31A2" w:rsidRDefault="00FB7D0B" w:rsidP="003F0EEA">
      <w:pPr>
        <w:pStyle w:val="Normal258"/>
        <w:spacing w:after="120"/>
        <w:rPr>
          <w:rFonts w:cs="Arial"/>
          <w:b/>
        </w:rPr>
      </w:pPr>
      <w:r w:rsidRPr="008D31A2">
        <w:rPr>
          <w:rFonts w:cs="Arial"/>
          <w:b/>
        </w:rPr>
        <w:t>Note 2 – Other Revenue</w:t>
      </w:r>
    </w:p>
    <w:p w14:paraId="684288F5" w14:textId="77777777" w:rsidR="003F0EEA" w:rsidRPr="008D31A2" w:rsidRDefault="00FB7D0B" w:rsidP="003F0EEA">
      <w:pPr>
        <w:pStyle w:val="Normal258"/>
        <w:spacing w:after="120"/>
        <w:rPr>
          <w:rFonts w:cs="Arial"/>
          <w:lang w:val="en-GB"/>
        </w:rPr>
      </w:pPr>
      <w:r w:rsidRPr="008D31A2">
        <w:rPr>
          <w:rFonts w:cs="Arial"/>
          <w:lang w:val="en-GB"/>
        </w:rPr>
        <w:t xml:space="preserve">Other revenue includes sponsorship and donation funds received. </w:t>
      </w:r>
    </w:p>
    <w:p w14:paraId="5B8D18B0" w14:textId="77777777" w:rsidR="003F0EEA" w:rsidRPr="008D31A2" w:rsidRDefault="00FB7D0B" w:rsidP="003F0EEA">
      <w:pPr>
        <w:pStyle w:val="Normal258"/>
        <w:spacing w:after="120"/>
        <w:rPr>
          <w:rFonts w:cs="Arial"/>
          <w:b/>
        </w:rPr>
      </w:pPr>
      <w:r w:rsidRPr="008D31A2">
        <w:rPr>
          <w:rFonts w:cs="Arial"/>
          <w:b/>
        </w:rPr>
        <w:t>Note 3 – Depreciation and Amortisation</w:t>
      </w:r>
    </w:p>
    <w:p w14:paraId="4EF8F12D" w14:textId="77777777" w:rsidR="003F0EEA" w:rsidRPr="008D31A2" w:rsidRDefault="00FB7D0B" w:rsidP="003F0EEA">
      <w:pPr>
        <w:pStyle w:val="Normal258"/>
        <w:spacing w:after="120"/>
        <w:rPr>
          <w:rFonts w:cs="Arial"/>
          <w:lang w:val="en-GB"/>
        </w:rPr>
      </w:pPr>
      <w:r w:rsidRPr="008D31A2">
        <w:rPr>
          <w:rFonts w:cs="Arial"/>
          <w:lang w:val="en-GB"/>
        </w:rPr>
        <w:t>Depreciation expense includes collection depreciation as per the Memorial’s depreciation policy.</w:t>
      </w:r>
    </w:p>
    <w:p w14:paraId="3F493200" w14:textId="77777777" w:rsidR="003F0EEA" w:rsidRPr="008D31A2" w:rsidRDefault="00FB7D0B" w:rsidP="003F0EEA">
      <w:pPr>
        <w:pStyle w:val="Normal258"/>
        <w:spacing w:after="120"/>
        <w:rPr>
          <w:rFonts w:cs="Arial"/>
          <w:b/>
        </w:rPr>
      </w:pPr>
      <w:r w:rsidRPr="008D31A2">
        <w:rPr>
          <w:rFonts w:cs="Arial"/>
          <w:b/>
        </w:rPr>
        <w:t>Note 4 – Investments</w:t>
      </w:r>
    </w:p>
    <w:p w14:paraId="760FFDFE" w14:textId="77777777" w:rsidR="003F0EEA" w:rsidRPr="008D31A2" w:rsidRDefault="00FB7D0B" w:rsidP="003F0EEA">
      <w:pPr>
        <w:pStyle w:val="Normal258"/>
        <w:spacing w:after="120"/>
        <w:rPr>
          <w:b/>
          <w:lang w:val="en-GB"/>
        </w:rPr>
      </w:pPr>
      <w:r w:rsidRPr="008D31A2">
        <w:rPr>
          <w:rFonts w:cs="Arial"/>
          <w:lang w:val="en-GB"/>
        </w:rPr>
        <w:t>The Memorial’s investments comprise short-term term deposits held with banks with a variety of maturity dates.</w:t>
      </w:r>
    </w:p>
    <w:p w14:paraId="5E8FEADD" w14:textId="77777777" w:rsidR="003F0EEA" w:rsidRPr="008D31A2" w:rsidRDefault="00FB7D0B" w:rsidP="003F0EEA">
      <w:pPr>
        <w:pStyle w:val="Normal258"/>
        <w:spacing w:after="120"/>
        <w:rPr>
          <w:rFonts w:cs="Arial"/>
          <w:b/>
        </w:rPr>
      </w:pPr>
      <w:r w:rsidRPr="008D31A2">
        <w:rPr>
          <w:rFonts w:cs="Arial"/>
          <w:b/>
        </w:rPr>
        <w:t>Note 5 – Assets are categorised as follows</w:t>
      </w:r>
    </w:p>
    <w:tbl>
      <w:tblPr>
        <w:tblW w:w="0" w:type="auto"/>
        <w:tblLayout w:type="fixed"/>
        <w:tblLook w:val="04A0" w:firstRow="1" w:lastRow="0" w:firstColumn="1" w:lastColumn="0" w:noHBand="0" w:noVBand="1"/>
      </w:tblPr>
      <w:tblGrid>
        <w:gridCol w:w="3600"/>
        <w:gridCol w:w="1060"/>
        <w:gridCol w:w="1060"/>
        <w:gridCol w:w="1060"/>
        <w:gridCol w:w="1060"/>
        <w:gridCol w:w="1060"/>
      </w:tblGrid>
      <w:tr w:rsidR="00724034" w14:paraId="23CB9269" w14:textId="77777777" w:rsidTr="003F0EEA">
        <w:trPr>
          <w:trHeight w:val="794"/>
        </w:trPr>
        <w:tc>
          <w:tcPr>
            <w:tcW w:w="3600" w:type="dxa"/>
            <w:tcBorders>
              <w:top w:val="single" w:sz="8" w:space="0" w:color="auto"/>
              <w:left w:val="single" w:sz="8" w:space="0" w:color="auto"/>
              <w:bottom w:val="single" w:sz="8" w:space="0" w:color="auto"/>
              <w:right w:val="nil"/>
            </w:tcBorders>
          </w:tcPr>
          <w:p w14:paraId="52320836" w14:textId="77777777" w:rsidR="003F0EEA" w:rsidRPr="006B462F" w:rsidRDefault="003F0EEA" w:rsidP="003F0EEA">
            <w:pPr>
              <w:pStyle w:val="Normal258"/>
              <w:spacing w:after="0" w:line="240" w:lineRule="auto"/>
              <w:jc w:val="left"/>
              <w:rPr>
                <w:rFonts w:ascii="Arial" w:hAnsi="Arial" w:cs="Arial"/>
                <w:color w:val="000000"/>
                <w:sz w:val="16"/>
                <w:szCs w:val="16"/>
              </w:rPr>
            </w:pPr>
          </w:p>
        </w:tc>
        <w:tc>
          <w:tcPr>
            <w:tcW w:w="1060" w:type="dxa"/>
            <w:tcBorders>
              <w:top w:val="single" w:sz="8" w:space="0" w:color="auto"/>
              <w:left w:val="nil"/>
              <w:bottom w:val="single" w:sz="8" w:space="0" w:color="auto"/>
              <w:right w:val="nil"/>
            </w:tcBorders>
          </w:tcPr>
          <w:p w14:paraId="6471D6FB" w14:textId="77777777" w:rsidR="003F0EEA" w:rsidRPr="006B462F" w:rsidRDefault="00FB7D0B">
            <w:pPr>
              <w:pStyle w:val="Normal258"/>
              <w:spacing w:after="0" w:line="240" w:lineRule="auto"/>
              <w:jc w:val="center"/>
              <w:rPr>
                <w:rFonts w:ascii="Arial" w:hAnsi="Arial" w:cs="Arial"/>
                <w:color w:val="000000"/>
                <w:sz w:val="16"/>
                <w:szCs w:val="16"/>
              </w:rPr>
            </w:pPr>
            <w:r w:rsidRPr="006B462F">
              <w:rPr>
                <w:rFonts w:ascii="Arial" w:hAnsi="Arial" w:cs="Arial"/>
                <w:color w:val="000000"/>
                <w:sz w:val="16"/>
                <w:szCs w:val="16"/>
              </w:rPr>
              <w:t>Revised Budget 2013-14 $’000</w:t>
            </w:r>
          </w:p>
        </w:tc>
        <w:tc>
          <w:tcPr>
            <w:tcW w:w="1060" w:type="dxa"/>
            <w:tcBorders>
              <w:top w:val="single" w:sz="8" w:space="0" w:color="auto"/>
              <w:left w:val="nil"/>
              <w:bottom w:val="single" w:sz="8" w:space="0" w:color="auto"/>
              <w:right w:val="nil"/>
            </w:tcBorders>
          </w:tcPr>
          <w:p w14:paraId="7E515371" w14:textId="77777777" w:rsidR="003F0EEA" w:rsidRPr="006B462F" w:rsidRDefault="00FB7D0B">
            <w:pPr>
              <w:pStyle w:val="Normal258"/>
              <w:spacing w:after="0" w:line="240" w:lineRule="auto"/>
              <w:jc w:val="center"/>
              <w:rPr>
                <w:rFonts w:ascii="Arial" w:hAnsi="Arial" w:cs="Arial"/>
                <w:color w:val="000000"/>
                <w:sz w:val="16"/>
                <w:szCs w:val="16"/>
              </w:rPr>
            </w:pPr>
            <w:r w:rsidRPr="006B462F">
              <w:rPr>
                <w:rFonts w:ascii="Arial" w:hAnsi="Arial" w:cs="Arial"/>
                <w:color w:val="000000"/>
                <w:sz w:val="16"/>
                <w:szCs w:val="16"/>
              </w:rPr>
              <w:t xml:space="preserve">         Budget 2014-15   $’000</w:t>
            </w:r>
          </w:p>
        </w:tc>
        <w:tc>
          <w:tcPr>
            <w:tcW w:w="1060" w:type="dxa"/>
            <w:tcBorders>
              <w:top w:val="single" w:sz="8" w:space="0" w:color="auto"/>
              <w:left w:val="nil"/>
              <w:bottom w:val="single" w:sz="8" w:space="0" w:color="auto"/>
              <w:right w:val="nil"/>
            </w:tcBorders>
          </w:tcPr>
          <w:p w14:paraId="10FB0459" w14:textId="77777777" w:rsidR="003F0EEA" w:rsidRPr="006B462F" w:rsidRDefault="00FB7D0B">
            <w:pPr>
              <w:pStyle w:val="Normal258"/>
              <w:spacing w:after="0" w:line="240" w:lineRule="auto"/>
              <w:jc w:val="center"/>
              <w:rPr>
                <w:rFonts w:ascii="Arial" w:hAnsi="Arial" w:cs="Arial"/>
                <w:color w:val="000000"/>
                <w:sz w:val="16"/>
                <w:szCs w:val="16"/>
              </w:rPr>
            </w:pPr>
            <w:r w:rsidRPr="006B462F">
              <w:rPr>
                <w:rFonts w:ascii="Arial" w:hAnsi="Arial" w:cs="Arial"/>
                <w:color w:val="000000"/>
                <w:sz w:val="16"/>
                <w:szCs w:val="16"/>
              </w:rPr>
              <w:t>Forward Estimate 2015-16 $’000</w:t>
            </w:r>
          </w:p>
        </w:tc>
        <w:tc>
          <w:tcPr>
            <w:tcW w:w="1060" w:type="dxa"/>
            <w:tcBorders>
              <w:top w:val="single" w:sz="8" w:space="0" w:color="auto"/>
              <w:left w:val="nil"/>
              <w:bottom w:val="single" w:sz="8" w:space="0" w:color="auto"/>
              <w:right w:val="nil"/>
            </w:tcBorders>
          </w:tcPr>
          <w:p w14:paraId="08E28C33" w14:textId="77777777" w:rsidR="003F0EEA" w:rsidRPr="006B462F" w:rsidRDefault="00FB7D0B">
            <w:pPr>
              <w:pStyle w:val="Normal258"/>
              <w:spacing w:after="0" w:line="240" w:lineRule="auto"/>
              <w:jc w:val="center"/>
              <w:rPr>
                <w:rFonts w:ascii="Arial" w:hAnsi="Arial" w:cs="Arial"/>
                <w:color w:val="000000"/>
                <w:sz w:val="16"/>
                <w:szCs w:val="16"/>
              </w:rPr>
            </w:pPr>
            <w:r w:rsidRPr="006B462F">
              <w:rPr>
                <w:rFonts w:ascii="Arial" w:hAnsi="Arial" w:cs="Arial"/>
                <w:color w:val="000000"/>
                <w:sz w:val="16"/>
                <w:szCs w:val="16"/>
              </w:rPr>
              <w:t>Forward Estimate 2016-17  $’000</w:t>
            </w:r>
          </w:p>
        </w:tc>
        <w:tc>
          <w:tcPr>
            <w:tcW w:w="1060" w:type="dxa"/>
            <w:tcBorders>
              <w:top w:val="single" w:sz="8" w:space="0" w:color="auto"/>
              <w:left w:val="nil"/>
              <w:bottom w:val="single" w:sz="8" w:space="0" w:color="auto"/>
              <w:right w:val="single" w:sz="8" w:space="0" w:color="auto"/>
            </w:tcBorders>
          </w:tcPr>
          <w:p w14:paraId="7629270A" w14:textId="77777777" w:rsidR="003F0EEA" w:rsidRPr="006B462F" w:rsidRDefault="00FB7D0B">
            <w:pPr>
              <w:pStyle w:val="Normal258"/>
              <w:spacing w:after="0" w:line="240" w:lineRule="auto"/>
              <w:jc w:val="center"/>
              <w:rPr>
                <w:rFonts w:ascii="Arial" w:hAnsi="Arial" w:cs="Arial"/>
                <w:color w:val="000000"/>
                <w:sz w:val="16"/>
                <w:szCs w:val="16"/>
              </w:rPr>
            </w:pPr>
            <w:r w:rsidRPr="006B462F">
              <w:rPr>
                <w:rFonts w:ascii="Arial" w:hAnsi="Arial" w:cs="Arial"/>
                <w:color w:val="000000"/>
                <w:sz w:val="16"/>
                <w:szCs w:val="16"/>
              </w:rPr>
              <w:t>Forward Estimate 2017-18  $’000</w:t>
            </w:r>
          </w:p>
        </w:tc>
      </w:tr>
      <w:tr w:rsidR="00724034" w14:paraId="397BC62F" w14:textId="77777777" w:rsidTr="003F0EEA">
        <w:trPr>
          <w:trHeight w:val="113"/>
        </w:trPr>
        <w:tc>
          <w:tcPr>
            <w:tcW w:w="3600" w:type="dxa"/>
            <w:tcBorders>
              <w:top w:val="nil"/>
              <w:left w:val="single" w:sz="8" w:space="0" w:color="auto"/>
              <w:bottom w:val="nil"/>
              <w:right w:val="nil"/>
            </w:tcBorders>
            <w:vAlign w:val="bottom"/>
          </w:tcPr>
          <w:p w14:paraId="53BC8FA6" w14:textId="77777777" w:rsidR="003F0EEA" w:rsidRPr="006B462F" w:rsidRDefault="00FB7D0B" w:rsidP="003F0EEA">
            <w:pPr>
              <w:pStyle w:val="Normal258"/>
              <w:spacing w:after="0" w:line="240" w:lineRule="auto"/>
              <w:jc w:val="left"/>
              <w:rPr>
                <w:rFonts w:ascii="Arial" w:hAnsi="Arial" w:cs="Arial"/>
                <w:color w:val="000000"/>
                <w:sz w:val="16"/>
                <w:szCs w:val="16"/>
              </w:rPr>
            </w:pPr>
            <w:r w:rsidRPr="006B462F">
              <w:rPr>
                <w:rFonts w:ascii="Arial" w:hAnsi="Arial" w:cs="Arial"/>
                <w:color w:val="000000"/>
                <w:sz w:val="16"/>
                <w:szCs w:val="16"/>
              </w:rPr>
              <w:t>Written down value</w:t>
            </w:r>
          </w:p>
        </w:tc>
        <w:tc>
          <w:tcPr>
            <w:tcW w:w="1060" w:type="dxa"/>
          </w:tcPr>
          <w:p w14:paraId="03DFB46A" w14:textId="77777777" w:rsidR="003F0EEA" w:rsidRPr="006B462F" w:rsidRDefault="003F0EEA">
            <w:pPr>
              <w:pStyle w:val="Normal258"/>
              <w:spacing w:after="0" w:line="240" w:lineRule="auto"/>
              <w:jc w:val="left"/>
              <w:rPr>
                <w:rFonts w:ascii="Arial" w:hAnsi="Arial" w:cs="Arial"/>
                <w:sz w:val="16"/>
                <w:szCs w:val="16"/>
              </w:rPr>
            </w:pPr>
          </w:p>
        </w:tc>
        <w:tc>
          <w:tcPr>
            <w:tcW w:w="1060" w:type="dxa"/>
          </w:tcPr>
          <w:p w14:paraId="38190992" w14:textId="77777777" w:rsidR="003F0EEA" w:rsidRPr="006B462F" w:rsidRDefault="003F0EEA">
            <w:pPr>
              <w:pStyle w:val="Normal258"/>
              <w:spacing w:after="0" w:line="240" w:lineRule="auto"/>
              <w:jc w:val="left"/>
              <w:rPr>
                <w:rFonts w:ascii="Arial" w:hAnsi="Arial" w:cs="Arial"/>
                <w:sz w:val="16"/>
                <w:szCs w:val="16"/>
              </w:rPr>
            </w:pPr>
          </w:p>
        </w:tc>
        <w:tc>
          <w:tcPr>
            <w:tcW w:w="1060" w:type="dxa"/>
          </w:tcPr>
          <w:p w14:paraId="3390EF52" w14:textId="77777777" w:rsidR="003F0EEA" w:rsidRPr="006B462F" w:rsidRDefault="003F0EEA">
            <w:pPr>
              <w:pStyle w:val="Normal258"/>
              <w:spacing w:after="0" w:line="240" w:lineRule="auto"/>
              <w:jc w:val="left"/>
              <w:rPr>
                <w:rFonts w:ascii="Arial" w:hAnsi="Arial" w:cs="Arial"/>
                <w:sz w:val="16"/>
                <w:szCs w:val="16"/>
              </w:rPr>
            </w:pPr>
          </w:p>
        </w:tc>
        <w:tc>
          <w:tcPr>
            <w:tcW w:w="1060" w:type="dxa"/>
          </w:tcPr>
          <w:p w14:paraId="5A39E8FD" w14:textId="77777777" w:rsidR="003F0EEA" w:rsidRPr="006B462F" w:rsidRDefault="003F0EEA">
            <w:pPr>
              <w:pStyle w:val="Normal258"/>
              <w:spacing w:after="0" w:line="240" w:lineRule="auto"/>
              <w:jc w:val="left"/>
              <w:rPr>
                <w:rFonts w:ascii="Arial" w:hAnsi="Arial" w:cs="Arial"/>
                <w:sz w:val="16"/>
                <w:szCs w:val="16"/>
              </w:rPr>
            </w:pPr>
          </w:p>
        </w:tc>
        <w:tc>
          <w:tcPr>
            <w:tcW w:w="1060" w:type="dxa"/>
            <w:tcBorders>
              <w:top w:val="nil"/>
              <w:left w:val="nil"/>
              <w:bottom w:val="nil"/>
              <w:right w:val="single" w:sz="8" w:space="0" w:color="auto"/>
            </w:tcBorders>
          </w:tcPr>
          <w:p w14:paraId="7AAC27B2" w14:textId="77777777" w:rsidR="003F0EEA" w:rsidRPr="006B462F" w:rsidRDefault="00FB7D0B">
            <w:pPr>
              <w:pStyle w:val="Normal258"/>
              <w:spacing w:after="0" w:line="240" w:lineRule="auto"/>
              <w:jc w:val="center"/>
              <w:rPr>
                <w:rFonts w:ascii="Arial" w:hAnsi="Arial" w:cs="Arial"/>
                <w:color w:val="000000"/>
                <w:sz w:val="16"/>
                <w:szCs w:val="16"/>
              </w:rPr>
            </w:pPr>
            <w:r w:rsidRPr="006B462F">
              <w:rPr>
                <w:rFonts w:ascii="Arial" w:hAnsi="Arial" w:cs="Arial"/>
                <w:color w:val="000000"/>
                <w:sz w:val="16"/>
                <w:szCs w:val="16"/>
              </w:rPr>
              <w:t> </w:t>
            </w:r>
          </w:p>
        </w:tc>
      </w:tr>
      <w:tr w:rsidR="00724034" w14:paraId="0E57BAEC" w14:textId="77777777" w:rsidTr="003F0EEA">
        <w:trPr>
          <w:trHeight w:val="57"/>
        </w:trPr>
        <w:tc>
          <w:tcPr>
            <w:tcW w:w="3600" w:type="dxa"/>
            <w:tcBorders>
              <w:top w:val="nil"/>
              <w:left w:val="single" w:sz="8" w:space="0" w:color="auto"/>
              <w:bottom w:val="nil"/>
              <w:right w:val="nil"/>
            </w:tcBorders>
            <w:vAlign w:val="bottom"/>
          </w:tcPr>
          <w:p w14:paraId="5C6ECFEA" w14:textId="77777777" w:rsidR="003F0EEA" w:rsidRPr="006B462F" w:rsidRDefault="00FB7D0B" w:rsidP="003F0EEA">
            <w:pPr>
              <w:pStyle w:val="Normal258"/>
              <w:spacing w:after="0" w:line="240" w:lineRule="auto"/>
              <w:jc w:val="left"/>
              <w:rPr>
                <w:rFonts w:ascii="Arial" w:hAnsi="Arial" w:cs="Arial"/>
                <w:color w:val="000000"/>
                <w:sz w:val="16"/>
                <w:szCs w:val="16"/>
              </w:rPr>
            </w:pPr>
            <w:r w:rsidRPr="006B462F">
              <w:rPr>
                <w:rFonts w:ascii="Arial" w:hAnsi="Arial" w:cs="Arial"/>
                <w:color w:val="000000"/>
                <w:sz w:val="16"/>
                <w:szCs w:val="16"/>
              </w:rPr>
              <w:t xml:space="preserve">    Land and buildings</w:t>
            </w:r>
          </w:p>
        </w:tc>
        <w:tc>
          <w:tcPr>
            <w:tcW w:w="1060" w:type="dxa"/>
            <w:vAlign w:val="bottom"/>
          </w:tcPr>
          <w:p w14:paraId="222B31DB" w14:textId="77777777" w:rsidR="003F0EEA" w:rsidRPr="006B462F" w:rsidRDefault="00FB7D0B" w:rsidP="003F0EEA">
            <w:pPr>
              <w:pStyle w:val="Normal258"/>
              <w:spacing w:after="0" w:line="240" w:lineRule="auto"/>
              <w:jc w:val="right"/>
              <w:rPr>
                <w:rFonts w:ascii="Arial" w:hAnsi="Arial" w:cs="Arial"/>
                <w:sz w:val="16"/>
                <w:szCs w:val="16"/>
              </w:rPr>
            </w:pPr>
            <w:r w:rsidRPr="006B462F">
              <w:rPr>
                <w:rFonts w:ascii="Arial" w:hAnsi="Arial" w:cs="Arial"/>
                <w:sz w:val="16"/>
                <w:szCs w:val="16"/>
              </w:rPr>
              <w:t xml:space="preserve">     138,863 </w:t>
            </w:r>
          </w:p>
        </w:tc>
        <w:tc>
          <w:tcPr>
            <w:tcW w:w="1060" w:type="dxa"/>
            <w:vAlign w:val="bottom"/>
          </w:tcPr>
          <w:p w14:paraId="6E245CF9" w14:textId="77777777" w:rsidR="003F0EEA" w:rsidRPr="006B462F" w:rsidRDefault="00FB7D0B" w:rsidP="003F0EEA">
            <w:pPr>
              <w:pStyle w:val="Normal258"/>
              <w:spacing w:after="0" w:line="240" w:lineRule="auto"/>
              <w:jc w:val="right"/>
              <w:rPr>
                <w:rFonts w:ascii="Arial" w:hAnsi="Arial" w:cs="Arial"/>
                <w:sz w:val="16"/>
                <w:szCs w:val="16"/>
              </w:rPr>
            </w:pPr>
            <w:r w:rsidRPr="006B462F">
              <w:rPr>
                <w:rFonts w:ascii="Arial" w:hAnsi="Arial" w:cs="Arial"/>
                <w:sz w:val="16"/>
                <w:szCs w:val="16"/>
              </w:rPr>
              <w:t xml:space="preserve">     139,456 </w:t>
            </w:r>
          </w:p>
        </w:tc>
        <w:tc>
          <w:tcPr>
            <w:tcW w:w="1060" w:type="dxa"/>
            <w:vAlign w:val="bottom"/>
          </w:tcPr>
          <w:p w14:paraId="040FA210" w14:textId="77777777" w:rsidR="003F0EEA" w:rsidRPr="006B462F" w:rsidRDefault="00FB7D0B" w:rsidP="003F0EEA">
            <w:pPr>
              <w:pStyle w:val="Normal258"/>
              <w:spacing w:after="0" w:line="240" w:lineRule="auto"/>
              <w:jc w:val="right"/>
              <w:rPr>
                <w:rFonts w:ascii="Arial" w:hAnsi="Arial" w:cs="Arial"/>
                <w:sz w:val="16"/>
                <w:szCs w:val="16"/>
              </w:rPr>
            </w:pPr>
            <w:r w:rsidRPr="006B462F">
              <w:rPr>
                <w:rFonts w:ascii="Arial" w:hAnsi="Arial" w:cs="Arial"/>
                <w:sz w:val="16"/>
                <w:szCs w:val="16"/>
              </w:rPr>
              <w:t xml:space="preserve">     138,264 </w:t>
            </w:r>
          </w:p>
        </w:tc>
        <w:tc>
          <w:tcPr>
            <w:tcW w:w="1060" w:type="dxa"/>
            <w:vAlign w:val="bottom"/>
          </w:tcPr>
          <w:p w14:paraId="66C8FEFA" w14:textId="77777777" w:rsidR="003F0EEA" w:rsidRPr="006B462F" w:rsidRDefault="00FB7D0B" w:rsidP="003F0EEA">
            <w:pPr>
              <w:pStyle w:val="Normal258"/>
              <w:spacing w:after="0" w:line="240" w:lineRule="auto"/>
              <w:jc w:val="right"/>
              <w:rPr>
                <w:rFonts w:ascii="Arial" w:hAnsi="Arial" w:cs="Arial"/>
                <w:sz w:val="16"/>
                <w:szCs w:val="16"/>
              </w:rPr>
            </w:pPr>
            <w:r w:rsidRPr="006B462F">
              <w:rPr>
                <w:rFonts w:ascii="Arial" w:hAnsi="Arial" w:cs="Arial"/>
                <w:sz w:val="16"/>
                <w:szCs w:val="16"/>
              </w:rPr>
              <w:t xml:space="preserve">     136,996 </w:t>
            </w:r>
          </w:p>
        </w:tc>
        <w:tc>
          <w:tcPr>
            <w:tcW w:w="1060" w:type="dxa"/>
            <w:tcBorders>
              <w:top w:val="nil"/>
              <w:left w:val="nil"/>
              <w:bottom w:val="nil"/>
              <w:right w:val="single" w:sz="8" w:space="0" w:color="auto"/>
            </w:tcBorders>
            <w:vAlign w:val="bottom"/>
          </w:tcPr>
          <w:p w14:paraId="47EA9B61" w14:textId="77777777" w:rsidR="003F0EEA" w:rsidRPr="006B462F" w:rsidRDefault="00FB7D0B" w:rsidP="003F0EEA">
            <w:pPr>
              <w:pStyle w:val="Normal258"/>
              <w:spacing w:after="0" w:line="240" w:lineRule="auto"/>
              <w:jc w:val="right"/>
              <w:rPr>
                <w:rFonts w:ascii="Arial" w:hAnsi="Arial" w:cs="Arial"/>
                <w:sz w:val="16"/>
                <w:szCs w:val="16"/>
              </w:rPr>
            </w:pPr>
            <w:r w:rsidRPr="006B462F">
              <w:rPr>
                <w:rFonts w:ascii="Arial" w:hAnsi="Arial" w:cs="Arial"/>
                <w:sz w:val="16"/>
                <w:szCs w:val="16"/>
              </w:rPr>
              <w:t xml:space="preserve">     137,805 </w:t>
            </w:r>
          </w:p>
        </w:tc>
      </w:tr>
      <w:tr w:rsidR="00724034" w14:paraId="74E84A60" w14:textId="77777777" w:rsidTr="003F0EEA">
        <w:trPr>
          <w:trHeight w:val="57"/>
        </w:trPr>
        <w:tc>
          <w:tcPr>
            <w:tcW w:w="3600" w:type="dxa"/>
            <w:tcBorders>
              <w:top w:val="nil"/>
              <w:left w:val="single" w:sz="8" w:space="0" w:color="auto"/>
              <w:bottom w:val="nil"/>
              <w:right w:val="nil"/>
            </w:tcBorders>
            <w:vAlign w:val="bottom"/>
          </w:tcPr>
          <w:p w14:paraId="56AAABAD" w14:textId="77777777" w:rsidR="003F0EEA" w:rsidRPr="006B462F" w:rsidRDefault="00FB7D0B" w:rsidP="003F0EEA">
            <w:pPr>
              <w:pStyle w:val="Normal258"/>
              <w:spacing w:after="0" w:line="240" w:lineRule="auto"/>
              <w:jc w:val="left"/>
              <w:rPr>
                <w:rFonts w:ascii="Arial" w:hAnsi="Arial" w:cs="Arial"/>
                <w:color w:val="000000"/>
                <w:sz w:val="16"/>
                <w:szCs w:val="16"/>
              </w:rPr>
            </w:pPr>
            <w:r w:rsidRPr="006B462F">
              <w:rPr>
                <w:rFonts w:ascii="Arial" w:hAnsi="Arial" w:cs="Arial"/>
                <w:color w:val="000000"/>
                <w:sz w:val="16"/>
                <w:szCs w:val="16"/>
              </w:rPr>
              <w:t xml:space="preserve">    Infrastructure, plant and equipment</w:t>
            </w:r>
          </w:p>
        </w:tc>
        <w:tc>
          <w:tcPr>
            <w:tcW w:w="1060" w:type="dxa"/>
            <w:vAlign w:val="bottom"/>
          </w:tcPr>
          <w:p w14:paraId="6C88F1AC" w14:textId="77777777" w:rsidR="003F0EEA" w:rsidRPr="006B462F" w:rsidRDefault="00FB7D0B" w:rsidP="003F0EEA">
            <w:pPr>
              <w:pStyle w:val="Normal258"/>
              <w:spacing w:after="0" w:line="240" w:lineRule="auto"/>
              <w:jc w:val="right"/>
              <w:rPr>
                <w:rFonts w:ascii="Arial" w:hAnsi="Arial" w:cs="Arial"/>
                <w:sz w:val="16"/>
                <w:szCs w:val="16"/>
              </w:rPr>
            </w:pPr>
            <w:r w:rsidRPr="006B462F">
              <w:rPr>
                <w:rFonts w:ascii="Arial" w:hAnsi="Arial" w:cs="Arial"/>
                <w:sz w:val="16"/>
                <w:szCs w:val="16"/>
              </w:rPr>
              <w:t xml:space="preserve">          4,621 </w:t>
            </w:r>
          </w:p>
        </w:tc>
        <w:tc>
          <w:tcPr>
            <w:tcW w:w="1060" w:type="dxa"/>
            <w:vAlign w:val="bottom"/>
          </w:tcPr>
          <w:p w14:paraId="5CAC4DEA" w14:textId="77777777" w:rsidR="003F0EEA" w:rsidRPr="006B462F" w:rsidRDefault="00FB7D0B" w:rsidP="003F0EEA">
            <w:pPr>
              <w:pStyle w:val="Normal258"/>
              <w:spacing w:after="0" w:line="240" w:lineRule="auto"/>
              <w:jc w:val="right"/>
              <w:rPr>
                <w:rFonts w:ascii="Arial" w:hAnsi="Arial" w:cs="Arial"/>
                <w:sz w:val="16"/>
                <w:szCs w:val="16"/>
              </w:rPr>
            </w:pPr>
            <w:r w:rsidRPr="006B462F">
              <w:rPr>
                <w:rFonts w:ascii="Arial" w:hAnsi="Arial" w:cs="Arial"/>
                <w:sz w:val="16"/>
                <w:szCs w:val="16"/>
              </w:rPr>
              <w:t xml:space="preserve">          5,560 </w:t>
            </w:r>
          </w:p>
        </w:tc>
        <w:tc>
          <w:tcPr>
            <w:tcW w:w="1060" w:type="dxa"/>
            <w:vAlign w:val="bottom"/>
          </w:tcPr>
          <w:p w14:paraId="593602B7" w14:textId="77777777" w:rsidR="003F0EEA" w:rsidRPr="006B462F" w:rsidRDefault="00FB7D0B" w:rsidP="003F0EEA">
            <w:pPr>
              <w:pStyle w:val="Normal258"/>
              <w:spacing w:after="0" w:line="240" w:lineRule="auto"/>
              <w:jc w:val="right"/>
              <w:rPr>
                <w:rFonts w:ascii="Arial" w:hAnsi="Arial" w:cs="Arial"/>
                <w:sz w:val="16"/>
                <w:szCs w:val="16"/>
              </w:rPr>
            </w:pPr>
            <w:r w:rsidRPr="006B462F">
              <w:rPr>
                <w:rFonts w:ascii="Arial" w:hAnsi="Arial" w:cs="Arial"/>
                <w:sz w:val="16"/>
                <w:szCs w:val="16"/>
              </w:rPr>
              <w:t xml:space="preserve">          5,859 </w:t>
            </w:r>
          </w:p>
        </w:tc>
        <w:tc>
          <w:tcPr>
            <w:tcW w:w="1060" w:type="dxa"/>
            <w:vAlign w:val="bottom"/>
          </w:tcPr>
          <w:p w14:paraId="0813183A" w14:textId="77777777" w:rsidR="003F0EEA" w:rsidRPr="006B462F" w:rsidRDefault="00FB7D0B" w:rsidP="003F0EEA">
            <w:pPr>
              <w:pStyle w:val="Normal258"/>
              <w:spacing w:after="0" w:line="240" w:lineRule="auto"/>
              <w:jc w:val="right"/>
              <w:rPr>
                <w:rFonts w:ascii="Arial" w:hAnsi="Arial" w:cs="Arial"/>
                <w:sz w:val="16"/>
                <w:szCs w:val="16"/>
              </w:rPr>
            </w:pPr>
            <w:r w:rsidRPr="006B462F">
              <w:rPr>
                <w:rFonts w:ascii="Arial" w:hAnsi="Arial" w:cs="Arial"/>
                <w:sz w:val="16"/>
                <w:szCs w:val="16"/>
              </w:rPr>
              <w:t xml:space="preserve">          5,799 </w:t>
            </w:r>
          </w:p>
        </w:tc>
        <w:tc>
          <w:tcPr>
            <w:tcW w:w="1060" w:type="dxa"/>
            <w:tcBorders>
              <w:top w:val="nil"/>
              <w:left w:val="nil"/>
              <w:bottom w:val="nil"/>
              <w:right w:val="single" w:sz="8" w:space="0" w:color="auto"/>
            </w:tcBorders>
            <w:vAlign w:val="bottom"/>
          </w:tcPr>
          <w:p w14:paraId="5F951234" w14:textId="77777777" w:rsidR="003F0EEA" w:rsidRPr="006B462F" w:rsidRDefault="00FB7D0B" w:rsidP="003F0EEA">
            <w:pPr>
              <w:pStyle w:val="Normal258"/>
              <w:spacing w:after="0" w:line="240" w:lineRule="auto"/>
              <w:jc w:val="right"/>
              <w:rPr>
                <w:rFonts w:ascii="Arial" w:hAnsi="Arial" w:cs="Arial"/>
                <w:sz w:val="16"/>
                <w:szCs w:val="16"/>
              </w:rPr>
            </w:pPr>
            <w:r w:rsidRPr="006B462F">
              <w:rPr>
                <w:rFonts w:ascii="Arial" w:hAnsi="Arial" w:cs="Arial"/>
                <w:sz w:val="16"/>
                <w:szCs w:val="16"/>
              </w:rPr>
              <w:t xml:space="preserve">          5,357 </w:t>
            </w:r>
          </w:p>
        </w:tc>
      </w:tr>
      <w:tr w:rsidR="00724034" w14:paraId="128D5687" w14:textId="77777777" w:rsidTr="003F0EEA">
        <w:trPr>
          <w:trHeight w:val="57"/>
        </w:trPr>
        <w:tc>
          <w:tcPr>
            <w:tcW w:w="3600" w:type="dxa"/>
            <w:tcBorders>
              <w:top w:val="nil"/>
              <w:left w:val="single" w:sz="8" w:space="0" w:color="auto"/>
              <w:bottom w:val="nil"/>
              <w:right w:val="nil"/>
            </w:tcBorders>
            <w:vAlign w:val="bottom"/>
          </w:tcPr>
          <w:p w14:paraId="0E7A3DE3" w14:textId="77777777" w:rsidR="003F0EEA" w:rsidRPr="006B462F" w:rsidRDefault="00FB7D0B" w:rsidP="003F0EEA">
            <w:pPr>
              <w:pStyle w:val="Normal258"/>
              <w:spacing w:after="0" w:line="240" w:lineRule="auto"/>
              <w:jc w:val="left"/>
              <w:rPr>
                <w:rFonts w:ascii="Arial" w:hAnsi="Arial" w:cs="Arial"/>
                <w:color w:val="000000"/>
                <w:sz w:val="16"/>
                <w:szCs w:val="16"/>
              </w:rPr>
            </w:pPr>
            <w:r w:rsidRPr="006B462F">
              <w:rPr>
                <w:rFonts w:ascii="Arial" w:hAnsi="Arial" w:cs="Arial"/>
                <w:color w:val="000000"/>
                <w:sz w:val="16"/>
                <w:szCs w:val="16"/>
              </w:rPr>
              <w:t xml:space="preserve">    Exhibitions</w:t>
            </w:r>
          </w:p>
        </w:tc>
        <w:tc>
          <w:tcPr>
            <w:tcW w:w="1060" w:type="dxa"/>
            <w:vAlign w:val="bottom"/>
          </w:tcPr>
          <w:p w14:paraId="02A4EE6F" w14:textId="77777777" w:rsidR="003F0EEA" w:rsidRPr="006B462F" w:rsidRDefault="00FB7D0B" w:rsidP="003F0EEA">
            <w:pPr>
              <w:pStyle w:val="Normal258"/>
              <w:spacing w:after="0" w:line="240" w:lineRule="auto"/>
              <w:jc w:val="right"/>
              <w:rPr>
                <w:rFonts w:ascii="Arial" w:hAnsi="Arial" w:cs="Arial"/>
                <w:sz w:val="16"/>
                <w:szCs w:val="16"/>
              </w:rPr>
            </w:pPr>
            <w:r w:rsidRPr="006B462F">
              <w:rPr>
                <w:rFonts w:ascii="Arial" w:hAnsi="Arial" w:cs="Arial"/>
                <w:sz w:val="16"/>
                <w:szCs w:val="16"/>
              </w:rPr>
              <w:t xml:space="preserve">       27,572 </w:t>
            </w:r>
          </w:p>
        </w:tc>
        <w:tc>
          <w:tcPr>
            <w:tcW w:w="1060" w:type="dxa"/>
            <w:vAlign w:val="bottom"/>
          </w:tcPr>
          <w:p w14:paraId="0C5BB7F3" w14:textId="77777777" w:rsidR="003F0EEA" w:rsidRPr="006B462F" w:rsidRDefault="00FB7D0B" w:rsidP="003F0EEA">
            <w:pPr>
              <w:pStyle w:val="Normal258"/>
              <w:spacing w:after="0" w:line="240" w:lineRule="auto"/>
              <w:jc w:val="right"/>
              <w:rPr>
                <w:rFonts w:ascii="Arial" w:hAnsi="Arial" w:cs="Arial"/>
                <w:sz w:val="16"/>
                <w:szCs w:val="16"/>
              </w:rPr>
            </w:pPr>
            <w:r w:rsidRPr="006B462F">
              <w:rPr>
                <w:rFonts w:ascii="Arial" w:hAnsi="Arial" w:cs="Arial"/>
                <w:sz w:val="16"/>
                <w:szCs w:val="16"/>
              </w:rPr>
              <w:t xml:space="preserve">       42,542 </w:t>
            </w:r>
          </w:p>
        </w:tc>
        <w:tc>
          <w:tcPr>
            <w:tcW w:w="1060" w:type="dxa"/>
            <w:vAlign w:val="bottom"/>
          </w:tcPr>
          <w:p w14:paraId="35AC8B6B" w14:textId="77777777" w:rsidR="003F0EEA" w:rsidRPr="006B462F" w:rsidRDefault="00FB7D0B" w:rsidP="003F0EEA">
            <w:pPr>
              <w:pStyle w:val="Normal258"/>
              <w:spacing w:after="0" w:line="240" w:lineRule="auto"/>
              <w:jc w:val="right"/>
              <w:rPr>
                <w:rFonts w:ascii="Arial" w:hAnsi="Arial" w:cs="Arial"/>
                <w:sz w:val="16"/>
                <w:szCs w:val="16"/>
              </w:rPr>
            </w:pPr>
            <w:r w:rsidRPr="006B462F">
              <w:rPr>
                <w:rFonts w:ascii="Arial" w:hAnsi="Arial" w:cs="Arial"/>
                <w:sz w:val="16"/>
                <w:szCs w:val="16"/>
              </w:rPr>
              <w:t xml:space="preserve">       42,345 </w:t>
            </w:r>
          </w:p>
        </w:tc>
        <w:tc>
          <w:tcPr>
            <w:tcW w:w="1060" w:type="dxa"/>
            <w:vAlign w:val="bottom"/>
          </w:tcPr>
          <w:p w14:paraId="376D63CD" w14:textId="77777777" w:rsidR="003F0EEA" w:rsidRPr="006B462F" w:rsidRDefault="00FB7D0B" w:rsidP="003F0EEA">
            <w:pPr>
              <w:pStyle w:val="Normal258"/>
              <w:spacing w:after="0" w:line="240" w:lineRule="auto"/>
              <w:jc w:val="right"/>
              <w:rPr>
                <w:rFonts w:ascii="Arial" w:hAnsi="Arial" w:cs="Arial"/>
                <w:sz w:val="16"/>
                <w:szCs w:val="16"/>
              </w:rPr>
            </w:pPr>
            <w:r w:rsidRPr="006B462F">
              <w:rPr>
                <w:rFonts w:ascii="Arial" w:hAnsi="Arial" w:cs="Arial"/>
                <w:sz w:val="16"/>
                <w:szCs w:val="16"/>
              </w:rPr>
              <w:t xml:space="preserve">       42,492 </w:t>
            </w:r>
          </w:p>
        </w:tc>
        <w:tc>
          <w:tcPr>
            <w:tcW w:w="1060" w:type="dxa"/>
            <w:tcBorders>
              <w:top w:val="nil"/>
              <w:left w:val="nil"/>
              <w:bottom w:val="nil"/>
              <w:right w:val="single" w:sz="8" w:space="0" w:color="auto"/>
            </w:tcBorders>
            <w:vAlign w:val="bottom"/>
          </w:tcPr>
          <w:p w14:paraId="7A9A7527" w14:textId="77777777" w:rsidR="003F0EEA" w:rsidRPr="006B462F" w:rsidRDefault="00FB7D0B" w:rsidP="003F0EEA">
            <w:pPr>
              <w:pStyle w:val="Normal258"/>
              <w:spacing w:after="0" w:line="240" w:lineRule="auto"/>
              <w:jc w:val="right"/>
              <w:rPr>
                <w:rFonts w:ascii="Arial" w:hAnsi="Arial" w:cs="Arial"/>
                <w:sz w:val="16"/>
                <w:szCs w:val="16"/>
              </w:rPr>
            </w:pPr>
            <w:r w:rsidRPr="006B462F">
              <w:rPr>
                <w:rFonts w:ascii="Arial" w:hAnsi="Arial" w:cs="Arial"/>
                <w:sz w:val="16"/>
                <w:szCs w:val="16"/>
              </w:rPr>
              <w:t xml:space="preserve">       41,378 </w:t>
            </w:r>
          </w:p>
        </w:tc>
      </w:tr>
      <w:tr w:rsidR="00724034" w14:paraId="3EAFF84B" w14:textId="77777777" w:rsidTr="003F0EEA">
        <w:trPr>
          <w:trHeight w:val="57"/>
        </w:trPr>
        <w:tc>
          <w:tcPr>
            <w:tcW w:w="3600" w:type="dxa"/>
            <w:tcBorders>
              <w:top w:val="nil"/>
              <w:left w:val="single" w:sz="8" w:space="0" w:color="auto"/>
              <w:bottom w:val="nil"/>
              <w:right w:val="nil"/>
            </w:tcBorders>
            <w:vAlign w:val="bottom"/>
          </w:tcPr>
          <w:p w14:paraId="533D282C" w14:textId="77777777" w:rsidR="003F0EEA" w:rsidRPr="006B462F" w:rsidRDefault="00FB7D0B" w:rsidP="003F0EEA">
            <w:pPr>
              <w:pStyle w:val="Normal258"/>
              <w:spacing w:after="0" w:line="240" w:lineRule="auto"/>
              <w:jc w:val="left"/>
              <w:rPr>
                <w:rFonts w:ascii="Arial" w:hAnsi="Arial" w:cs="Arial"/>
                <w:color w:val="000000"/>
                <w:sz w:val="16"/>
                <w:szCs w:val="16"/>
              </w:rPr>
            </w:pPr>
            <w:r w:rsidRPr="006B462F">
              <w:rPr>
                <w:rFonts w:ascii="Arial" w:hAnsi="Arial" w:cs="Arial"/>
                <w:color w:val="000000"/>
                <w:sz w:val="16"/>
                <w:szCs w:val="16"/>
              </w:rPr>
              <w:t xml:space="preserve">    Computer software</w:t>
            </w:r>
          </w:p>
        </w:tc>
        <w:tc>
          <w:tcPr>
            <w:tcW w:w="1060" w:type="dxa"/>
            <w:vAlign w:val="bottom"/>
          </w:tcPr>
          <w:p w14:paraId="6C3B037D" w14:textId="77777777" w:rsidR="003F0EEA" w:rsidRPr="006B462F" w:rsidRDefault="00FB7D0B" w:rsidP="003F0EEA">
            <w:pPr>
              <w:pStyle w:val="Normal258"/>
              <w:spacing w:after="0" w:line="240" w:lineRule="auto"/>
              <w:jc w:val="right"/>
              <w:rPr>
                <w:rFonts w:ascii="Arial" w:hAnsi="Arial" w:cs="Arial"/>
                <w:sz w:val="16"/>
                <w:szCs w:val="16"/>
              </w:rPr>
            </w:pPr>
            <w:r w:rsidRPr="006B462F">
              <w:rPr>
                <w:rFonts w:ascii="Arial" w:hAnsi="Arial" w:cs="Arial"/>
                <w:sz w:val="16"/>
                <w:szCs w:val="16"/>
              </w:rPr>
              <w:t xml:space="preserve">          4,923 </w:t>
            </w:r>
          </w:p>
        </w:tc>
        <w:tc>
          <w:tcPr>
            <w:tcW w:w="1060" w:type="dxa"/>
            <w:vAlign w:val="bottom"/>
          </w:tcPr>
          <w:p w14:paraId="2F01B4A4" w14:textId="77777777" w:rsidR="003F0EEA" w:rsidRPr="006B462F" w:rsidRDefault="00FB7D0B" w:rsidP="003F0EEA">
            <w:pPr>
              <w:pStyle w:val="Normal258"/>
              <w:spacing w:after="0" w:line="240" w:lineRule="auto"/>
              <w:jc w:val="right"/>
              <w:rPr>
                <w:rFonts w:ascii="Arial" w:hAnsi="Arial" w:cs="Arial"/>
                <w:sz w:val="16"/>
                <w:szCs w:val="16"/>
              </w:rPr>
            </w:pPr>
            <w:r w:rsidRPr="006B462F">
              <w:rPr>
                <w:rFonts w:ascii="Arial" w:hAnsi="Arial" w:cs="Arial"/>
                <w:sz w:val="16"/>
                <w:szCs w:val="16"/>
              </w:rPr>
              <w:t xml:space="preserve">          4,241 </w:t>
            </w:r>
          </w:p>
        </w:tc>
        <w:tc>
          <w:tcPr>
            <w:tcW w:w="1060" w:type="dxa"/>
            <w:vAlign w:val="bottom"/>
          </w:tcPr>
          <w:p w14:paraId="6F7BD682" w14:textId="77777777" w:rsidR="003F0EEA" w:rsidRPr="006B462F" w:rsidRDefault="00FB7D0B" w:rsidP="003F0EEA">
            <w:pPr>
              <w:pStyle w:val="Normal258"/>
              <w:spacing w:after="0" w:line="240" w:lineRule="auto"/>
              <w:jc w:val="right"/>
              <w:rPr>
                <w:rFonts w:ascii="Arial" w:hAnsi="Arial" w:cs="Arial"/>
                <w:sz w:val="16"/>
                <w:szCs w:val="16"/>
              </w:rPr>
            </w:pPr>
            <w:r w:rsidRPr="006B462F">
              <w:rPr>
                <w:rFonts w:ascii="Arial" w:hAnsi="Arial" w:cs="Arial"/>
                <w:sz w:val="16"/>
                <w:szCs w:val="16"/>
              </w:rPr>
              <w:t xml:space="preserve">          3,752 </w:t>
            </w:r>
          </w:p>
        </w:tc>
        <w:tc>
          <w:tcPr>
            <w:tcW w:w="1060" w:type="dxa"/>
            <w:vAlign w:val="bottom"/>
          </w:tcPr>
          <w:p w14:paraId="7CE13EBF" w14:textId="77777777" w:rsidR="003F0EEA" w:rsidRPr="006B462F" w:rsidRDefault="00FB7D0B" w:rsidP="003F0EEA">
            <w:pPr>
              <w:pStyle w:val="Normal258"/>
              <w:spacing w:after="0" w:line="240" w:lineRule="auto"/>
              <w:jc w:val="right"/>
              <w:rPr>
                <w:rFonts w:ascii="Arial" w:hAnsi="Arial" w:cs="Arial"/>
                <w:sz w:val="16"/>
                <w:szCs w:val="16"/>
              </w:rPr>
            </w:pPr>
            <w:r w:rsidRPr="006B462F">
              <w:rPr>
                <w:rFonts w:ascii="Arial" w:hAnsi="Arial" w:cs="Arial"/>
                <w:sz w:val="16"/>
                <w:szCs w:val="16"/>
              </w:rPr>
              <w:t xml:space="preserve">          3,050 </w:t>
            </w:r>
          </w:p>
        </w:tc>
        <w:tc>
          <w:tcPr>
            <w:tcW w:w="1060" w:type="dxa"/>
            <w:tcBorders>
              <w:top w:val="nil"/>
              <w:left w:val="nil"/>
              <w:bottom w:val="nil"/>
              <w:right w:val="single" w:sz="8" w:space="0" w:color="auto"/>
            </w:tcBorders>
            <w:vAlign w:val="bottom"/>
          </w:tcPr>
          <w:p w14:paraId="68311999" w14:textId="77777777" w:rsidR="003F0EEA" w:rsidRPr="006B462F" w:rsidRDefault="00FB7D0B" w:rsidP="003F0EEA">
            <w:pPr>
              <w:pStyle w:val="Normal258"/>
              <w:spacing w:after="0" w:line="240" w:lineRule="auto"/>
              <w:jc w:val="right"/>
              <w:rPr>
                <w:rFonts w:ascii="Arial" w:hAnsi="Arial" w:cs="Arial"/>
                <w:sz w:val="16"/>
                <w:szCs w:val="16"/>
              </w:rPr>
            </w:pPr>
            <w:r w:rsidRPr="006B462F">
              <w:rPr>
                <w:rFonts w:ascii="Arial" w:hAnsi="Arial" w:cs="Arial"/>
                <w:sz w:val="16"/>
                <w:szCs w:val="16"/>
              </w:rPr>
              <w:t xml:space="preserve">          2,338 </w:t>
            </w:r>
          </w:p>
        </w:tc>
      </w:tr>
      <w:tr w:rsidR="00724034" w14:paraId="5ECAB52D" w14:textId="77777777" w:rsidTr="003F0EEA">
        <w:trPr>
          <w:trHeight w:val="57"/>
        </w:trPr>
        <w:tc>
          <w:tcPr>
            <w:tcW w:w="3600" w:type="dxa"/>
            <w:tcBorders>
              <w:top w:val="nil"/>
              <w:left w:val="single" w:sz="8" w:space="0" w:color="auto"/>
              <w:bottom w:val="single" w:sz="8" w:space="0" w:color="auto"/>
              <w:right w:val="nil"/>
            </w:tcBorders>
            <w:vAlign w:val="bottom"/>
          </w:tcPr>
          <w:p w14:paraId="7FD53CCB" w14:textId="77777777" w:rsidR="003F0EEA" w:rsidRPr="006B462F" w:rsidRDefault="00FB7D0B" w:rsidP="003F0EEA">
            <w:pPr>
              <w:pStyle w:val="Normal258"/>
              <w:spacing w:after="0" w:line="240" w:lineRule="auto"/>
              <w:jc w:val="left"/>
              <w:rPr>
                <w:rFonts w:ascii="Arial" w:hAnsi="Arial" w:cs="Arial"/>
                <w:color w:val="000000"/>
                <w:sz w:val="16"/>
                <w:szCs w:val="16"/>
              </w:rPr>
            </w:pPr>
            <w:r w:rsidRPr="006B462F">
              <w:rPr>
                <w:rFonts w:ascii="Arial" w:hAnsi="Arial" w:cs="Arial"/>
                <w:color w:val="000000"/>
                <w:sz w:val="16"/>
                <w:szCs w:val="16"/>
              </w:rPr>
              <w:t>Heritage and cultural assets</w:t>
            </w:r>
          </w:p>
        </w:tc>
        <w:tc>
          <w:tcPr>
            <w:tcW w:w="1060" w:type="dxa"/>
            <w:tcBorders>
              <w:top w:val="nil"/>
              <w:left w:val="nil"/>
              <w:bottom w:val="single" w:sz="8" w:space="0" w:color="auto"/>
              <w:right w:val="nil"/>
            </w:tcBorders>
            <w:vAlign w:val="bottom"/>
          </w:tcPr>
          <w:p w14:paraId="328A3900" w14:textId="77777777" w:rsidR="003F0EEA" w:rsidRPr="006B462F" w:rsidRDefault="00FB7D0B" w:rsidP="003F0EEA">
            <w:pPr>
              <w:pStyle w:val="Normal258"/>
              <w:spacing w:after="0" w:line="240" w:lineRule="auto"/>
              <w:jc w:val="right"/>
              <w:rPr>
                <w:rFonts w:ascii="Arial" w:hAnsi="Arial" w:cs="Arial"/>
                <w:sz w:val="16"/>
                <w:szCs w:val="16"/>
              </w:rPr>
            </w:pPr>
            <w:r w:rsidRPr="006B462F">
              <w:rPr>
                <w:rFonts w:ascii="Arial" w:hAnsi="Arial" w:cs="Arial"/>
                <w:sz w:val="16"/>
                <w:szCs w:val="16"/>
              </w:rPr>
              <w:t xml:space="preserve"> 1,019,903 </w:t>
            </w:r>
          </w:p>
        </w:tc>
        <w:tc>
          <w:tcPr>
            <w:tcW w:w="1060" w:type="dxa"/>
            <w:tcBorders>
              <w:top w:val="nil"/>
              <w:left w:val="nil"/>
              <w:bottom w:val="single" w:sz="8" w:space="0" w:color="auto"/>
              <w:right w:val="nil"/>
            </w:tcBorders>
            <w:vAlign w:val="bottom"/>
          </w:tcPr>
          <w:p w14:paraId="7BB97536" w14:textId="77777777" w:rsidR="003F0EEA" w:rsidRPr="006B462F" w:rsidRDefault="00FB7D0B" w:rsidP="003F0EEA">
            <w:pPr>
              <w:pStyle w:val="Normal258"/>
              <w:spacing w:after="0" w:line="240" w:lineRule="auto"/>
              <w:jc w:val="right"/>
              <w:rPr>
                <w:rFonts w:ascii="Arial" w:hAnsi="Arial" w:cs="Arial"/>
                <w:sz w:val="16"/>
                <w:szCs w:val="16"/>
              </w:rPr>
            </w:pPr>
            <w:r w:rsidRPr="006B462F">
              <w:rPr>
                <w:rFonts w:ascii="Arial" w:hAnsi="Arial" w:cs="Arial"/>
                <w:sz w:val="16"/>
                <w:szCs w:val="16"/>
              </w:rPr>
              <w:t xml:space="preserve"> 1,018,646 </w:t>
            </w:r>
          </w:p>
        </w:tc>
        <w:tc>
          <w:tcPr>
            <w:tcW w:w="1060" w:type="dxa"/>
            <w:tcBorders>
              <w:top w:val="nil"/>
              <w:left w:val="nil"/>
              <w:bottom w:val="single" w:sz="8" w:space="0" w:color="auto"/>
              <w:right w:val="nil"/>
            </w:tcBorders>
            <w:vAlign w:val="bottom"/>
          </w:tcPr>
          <w:p w14:paraId="14D28C02" w14:textId="77777777" w:rsidR="003F0EEA" w:rsidRPr="006B462F" w:rsidRDefault="00FB7D0B" w:rsidP="003F0EEA">
            <w:pPr>
              <w:pStyle w:val="Normal258"/>
              <w:spacing w:after="0" w:line="240" w:lineRule="auto"/>
              <w:jc w:val="right"/>
              <w:rPr>
                <w:rFonts w:ascii="Arial" w:hAnsi="Arial" w:cs="Arial"/>
                <w:sz w:val="16"/>
                <w:szCs w:val="16"/>
              </w:rPr>
            </w:pPr>
            <w:r w:rsidRPr="006B462F">
              <w:rPr>
                <w:rFonts w:ascii="Arial" w:hAnsi="Arial" w:cs="Arial"/>
                <w:sz w:val="16"/>
                <w:szCs w:val="16"/>
              </w:rPr>
              <w:t xml:space="preserve"> 1,015,708 </w:t>
            </w:r>
          </w:p>
        </w:tc>
        <w:tc>
          <w:tcPr>
            <w:tcW w:w="1060" w:type="dxa"/>
            <w:tcBorders>
              <w:top w:val="nil"/>
              <w:left w:val="nil"/>
              <w:bottom w:val="single" w:sz="8" w:space="0" w:color="auto"/>
              <w:right w:val="nil"/>
            </w:tcBorders>
            <w:vAlign w:val="bottom"/>
          </w:tcPr>
          <w:p w14:paraId="6C51F813" w14:textId="77777777" w:rsidR="003F0EEA" w:rsidRPr="006B462F" w:rsidRDefault="00FB7D0B" w:rsidP="003F0EEA">
            <w:pPr>
              <w:pStyle w:val="Normal258"/>
              <w:spacing w:after="0" w:line="240" w:lineRule="auto"/>
              <w:jc w:val="right"/>
              <w:rPr>
                <w:rFonts w:ascii="Arial" w:hAnsi="Arial" w:cs="Arial"/>
                <w:sz w:val="16"/>
                <w:szCs w:val="16"/>
              </w:rPr>
            </w:pPr>
            <w:r w:rsidRPr="006B462F">
              <w:rPr>
                <w:rFonts w:ascii="Arial" w:hAnsi="Arial" w:cs="Arial"/>
                <w:sz w:val="16"/>
                <w:szCs w:val="16"/>
              </w:rPr>
              <w:t xml:space="preserve"> 1,013,330 </w:t>
            </w:r>
          </w:p>
        </w:tc>
        <w:tc>
          <w:tcPr>
            <w:tcW w:w="1060" w:type="dxa"/>
            <w:tcBorders>
              <w:top w:val="nil"/>
              <w:left w:val="nil"/>
              <w:bottom w:val="single" w:sz="8" w:space="0" w:color="auto"/>
              <w:right w:val="single" w:sz="8" w:space="0" w:color="auto"/>
            </w:tcBorders>
            <w:vAlign w:val="bottom"/>
          </w:tcPr>
          <w:p w14:paraId="1FA6D875" w14:textId="77777777" w:rsidR="003F0EEA" w:rsidRPr="006B462F" w:rsidRDefault="00FB7D0B" w:rsidP="003F0EEA">
            <w:pPr>
              <w:pStyle w:val="Normal258"/>
              <w:spacing w:after="0" w:line="240" w:lineRule="auto"/>
              <w:jc w:val="right"/>
              <w:rPr>
                <w:rFonts w:ascii="Arial" w:hAnsi="Arial" w:cs="Arial"/>
                <w:sz w:val="16"/>
                <w:szCs w:val="16"/>
              </w:rPr>
            </w:pPr>
            <w:r w:rsidRPr="006B462F">
              <w:rPr>
                <w:rFonts w:ascii="Arial" w:hAnsi="Arial" w:cs="Arial"/>
                <w:sz w:val="16"/>
                <w:szCs w:val="16"/>
              </w:rPr>
              <w:t xml:space="preserve"> 1,011,873 </w:t>
            </w:r>
          </w:p>
        </w:tc>
      </w:tr>
      <w:tr w:rsidR="00724034" w14:paraId="0F964045" w14:textId="77777777" w:rsidTr="003F0EEA">
        <w:trPr>
          <w:trHeight w:val="170"/>
        </w:trPr>
        <w:tc>
          <w:tcPr>
            <w:tcW w:w="3600" w:type="dxa"/>
            <w:tcBorders>
              <w:top w:val="nil"/>
              <w:left w:val="single" w:sz="8" w:space="0" w:color="auto"/>
              <w:bottom w:val="single" w:sz="8" w:space="0" w:color="auto"/>
              <w:right w:val="nil"/>
            </w:tcBorders>
            <w:vAlign w:val="bottom"/>
          </w:tcPr>
          <w:p w14:paraId="219573CA" w14:textId="77777777" w:rsidR="003F0EEA" w:rsidRPr="006B462F" w:rsidRDefault="00FB7D0B" w:rsidP="003F0EEA">
            <w:pPr>
              <w:pStyle w:val="Normal258"/>
              <w:spacing w:after="0" w:line="240" w:lineRule="auto"/>
              <w:jc w:val="left"/>
              <w:rPr>
                <w:rFonts w:ascii="Arial" w:hAnsi="Arial" w:cs="Arial"/>
                <w:b/>
                <w:color w:val="000000"/>
                <w:sz w:val="16"/>
                <w:szCs w:val="16"/>
              </w:rPr>
            </w:pPr>
            <w:r w:rsidRPr="006B462F">
              <w:rPr>
                <w:rFonts w:ascii="Arial" w:hAnsi="Arial" w:cs="Arial"/>
                <w:b/>
                <w:color w:val="000000"/>
                <w:sz w:val="16"/>
                <w:szCs w:val="16"/>
              </w:rPr>
              <w:t>Total</w:t>
            </w:r>
          </w:p>
        </w:tc>
        <w:tc>
          <w:tcPr>
            <w:tcW w:w="1060" w:type="dxa"/>
            <w:tcBorders>
              <w:top w:val="nil"/>
              <w:left w:val="nil"/>
              <w:bottom w:val="single" w:sz="8" w:space="0" w:color="auto"/>
              <w:right w:val="nil"/>
            </w:tcBorders>
            <w:vAlign w:val="bottom"/>
          </w:tcPr>
          <w:p w14:paraId="7D87CA32" w14:textId="77777777" w:rsidR="003F0EEA" w:rsidRPr="006B462F" w:rsidRDefault="00FB7D0B" w:rsidP="003F0EEA">
            <w:pPr>
              <w:pStyle w:val="Normal258"/>
              <w:spacing w:after="0" w:line="240" w:lineRule="auto"/>
              <w:jc w:val="right"/>
              <w:rPr>
                <w:rFonts w:ascii="Arial" w:hAnsi="Arial" w:cs="Arial"/>
                <w:b/>
                <w:sz w:val="16"/>
                <w:szCs w:val="16"/>
              </w:rPr>
            </w:pPr>
            <w:r w:rsidRPr="006B462F">
              <w:rPr>
                <w:rFonts w:ascii="Arial" w:hAnsi="Arial" w:cs="Arial"/>
                <w:b/>
                <w:sz w:val="16"/>
                <w:szCs w:val="16"/>
              </w:rPr>
              <w:t xml:space="preserve"> 1,195,882 </w:t>
            </w:r>
          </w:p>
        </w:tc>
        <w:tc>
          <w:tcPr>
            <w:tcW w:w="1060" w:type="dxa"/>
            <w:tcBorders>
              <w:top w:val="nil"/>
              <w:left w:val="nil"/>
              <w:bottom w:val="single" w:sz="8" w:space="0" w:color="auto"/>
              <w:right w:val="nil"/>
            </w:tcBorders>
            <w:vAlign w:val="bottom"/>
          </w:tcPr>
          <w:p w14:paraId="5D64DABF" w14:textId="77777777" w:rsidR="003F0EEA" w:rsidRPr="006B462F" w:rsidRDefault="00FB7D0B" w:rsidP="003F0EEA">
            <w:pPr>
              <w:pStyle w:val="Normal258"/>
              <w:spacing w:after="0" w:line="240" w:lineRule="auto"/>
              <w:jc w:val="right"/>
              <w:rPr>
                <w:rFonts w:ascii="Arial" w:hAnsi="Arial" w:cs="Arial"/>
                <w:b/>
                <w:sz w:val="16"/>
                <w:szCs w:val="16"/>
              </w:rPr>
            </w:pPr>
            <w:r w:rsidRPr="006B462F">
              <w:rPr>
                <w:rFonts w:ascii="Arial" w:hAnsi="Arial" w:cs="Arial"/>
                <w:b/>
                <w:sz w:val="16"/>
                <w:szCs w:val="16"/>
              </w:rPr>
              <w:t xml:space="preserve"> 1,210,445 </w:t>
            </w:r>
          </w:p>
        </w:tc>
        <w:tc>
          <w:tcPr>
            <w:tcW w:w="1060" w:type="dxa"/>
            <w:tcBorders>
              <w:top w:val="nil"/>
              <w:left w:val="nil"/>
              <w:bottom w:val="single" w:sz="8" w:space="0" w:color="auto"/>
              <w:right w:val="nil"/>
            </w:tcBorders>
            <w:vAlign w:val="bottom"/>
          </w:tcPr>
          <w:p w14:paraId="0128B186" w14:textId="77777777" w:rsidR="003F0EEA" w:rsidRPr="006B462F" w:rsidRDefault="00FB7D0B" w:rsidP="003F0EEA">
            <w:pPr>
              <w:pStyle w:val="Normal258"/>
              <w:spacing w:after="0" w:line="240" w:lineRule="auto"/>
              <w:jc w:val="right"/>
              <w:rPr>
                <w:rFonts w:ascii="Arial" w:hAnsi="Arial" w:cs="Arial"/>
                <w:b/>
                <w:sz w:val="16"/>
                <w:szCs w:val="16"/>
              </w:rPr>
            </w:pPr>
            <w:r w:rsidRPr="006B462F">
              <w:rPr>
                <w:rFonts w:ascii="Arial" w:hAnsi="Arial" w:cs="Arial"/>
                <w:b/>
                <w:sz w:val="16"/>
                <w:szCs w:val="16"/>
              </w:rPr>
              <w:t xml:space="preserve"> 1,205,928 </w:t>
            </w:r>
          </w:p>
        </w:tc>
        <w:tc>
          <w:tcPr>
            <w:tcW w:w="1060" w:type="dxa"/>
            <w:tcBorders>
              <w:top w:val="nil"/>
              <w:left w:val="nil"/>
              <w:bottom w:val="single" w:sz="8" w:space="0" w:color="auto"/>
              <w:right w:val="nil"/>
            </w:tcBorders>
            <w:vAlign w:val="bottom"/>
          </w:tcPr>
          <w:p w14:paraId="112F16E2" w14:textId="77777777" w:rsidR="003F0EEA" w:rsidRPr="006B462F" w:rsidRDefault="00FB7D0B" w:rsidP="003F0EEA">
            <w:pPr>
              <w:pStyle w:val="Normal258"/>
              <w:spacing w:after="0" w:line="240" w:lineRule="auto"/>
              <w:jc w:val="right"/>
              <w:rPr>
                <w:rFonts w:ascii="Arial" w:hAnsi="Arial" w:cs="Arial"/>
                <w:b/>
                <w:sz w:val="16"/>
                <w:szCs w:val="16"/>
              </w:rPr>
            </w:pPr>
            <w:r w:rsidRPr="006B462F">
              <w:rPr>
                <w:rFonts w:ascii="Arial" w:hAnsi="Arial" w:cs="Arial"/>
                <w:b/>
                <w:sz w:val="16"/>
                <w:szCs w:val="16"/>
              </w:rPr>
              <w:t xml:space="preserve"> 1,201,667 </w:t>
            </w:r>
          </w:p>
        </w:tc>
        <w:tc>
          <w:tcPr>
            <w:tcW w:w="1060" w:type="dxa"/>
            <w:tcBorders>
              <w:top w:val="nil"/>
              <w:left w:val="nil"/>
              <w:bottom w:val="single" w:sz="8" w:space="0" w:color="auto"/>
              <w:right w:val="single" w:sz="8" w:space="0" w:color="auto"/>
            </w:tcBorders>
            <w:vAlign w:val="bottom"/>
          </w:tcPr>
          <w:p w14:paraId="568D8E3B" w14:textId="77777777" w:rsidR="003F0EEA" w:rsidRPr="006B462F" w:rsidRDefault="00FB7D0B" w:rsidP="003F0EEA">
            <w:pPr>
              <w:pStyle w:val="Normal258"/>
              <w:spacing w:after="0" w:line="240" w:lineRule="auto"/>
              <w:jc w:val="right"/>
              <w:rPr>
                <w:rFonts w:ascii="Arial" w:hAnsi="Arial" w:cs="Arial"/>
                <w:b/>
                <w:sz w:val="16"/>
                <w:szCs w:val="16"/>
              </w:rPr>
            </w:pPr>
            <w:r w:rsidRPr="006B462F">
              <w:rPr>
                <w:rFonts w:ascii="Arial" w:hAnsi="Arial" w:cs="Arial"/>
                <w:b/>
                <w:sz w:val="16"/>
                <w:szCs w:val="16"/>
              </w:rPr>
              <w:t xml:space="preserve"> 1,198,751 </w:t>
            </w:r>
          </w:p>
        </w:tc>
      </w:tr>
    </w:tbl>
    <w:p w14:paraId="122C5629" w14:textId="77777777" w:rsidR="003F0EEA" w:rsidRPr="00B92969" w:rsidRDefault="00FB7D0B" w:rsidP="003F0EEA">
      <w:pPr>
        <w:pStyle w:val="Normal258"/>
        <w:spacing w:after="120"/>
        <w:rPr>
          <w:rFonts w:cs="Arial"/>
          <w:b/>
        </w:rPr>
      </w:pPr>
      <w:r w:rsidRPr="00B92969">
        <w:rPr>
          <w:rFonts w:cs="Arial"/>
          <w:b/>
        </w:rPr>
        <w:t>Note 6 - Intangibles</w:t>
      </w:r>
    </w:p>
    <w:p w14:paraId="49F2141F" w14:textId="77777777" w:rsidR="003F0EEA" w:rsidRPr="008F4330" w:rsidRDefault="00FB7D0B" w:rsidP="003F0EEA">
      <w:pPr>
        <w:pStyle w:val="Normal258"/>
        <w:rPr>
          <w:rFonts w:eastAsia="Calibri" w:cs="Arial"/>
          <w:sz w:val="22"/>
          <w:szCs w:val="22"/>
          <w:lang w:val="en-GB"/>
        </w:rPr>
      </w:pPr>
      <w:r w:rsidRPr="008F4330">
        <w:rPr>
          <w:rFonts w:eastAsia="Calibri" w:cs="Arial"/>
          <w:sz w:val="22"/>
          <w:szCs w:val="22"/>
          <w:lang w:val="en-GB"/>
        </w:rPr>
        <w:t>This class of assets consists of purchased software.</w:t>
      </w:r>
    </w:p>
    <w:p w14:paraId="66FAD010" w14:textId="77777777" w:rsidR="003F0EEA" w:rsidRPr="008F4330" w:rsidRDefault="003F0EEA">
      <w:pPr>
        <w:rPr>
          <w:rFonts w:cs="Arial"/>
          <w:szCs w:val="22"/>
        </w:rPr>
        <w:sectPr w:rsidR="003F0EEA" w:rsidRPr="008F4330">
          <w:pgSz w:w="10319" w:h="14572"/>
          <w:pgMar w:top="1077" w:right="1077" w:bottom="1134" w:left="1134" w:header="709" w:footer="709" w:gutter="0"/>
          <w:cols w:space="708"/>
        </w:sectPr>
      </w:pPr>
    </w:p>
    <w:p w14:paraId="3F0CD7BF" w14:textId="77777777" w:rsidR="00724034" w:rsidRDefault="00724034">
      <w:pPr>
        <w:sectPr w:rsidR="00724034">
          <w:headerReference w:type="even" r:id="rId78"/>
          <w:headerReference w:type="default" r:id="rId79"/>
          <w:footerReference w:type="even" r:id="rId80"/>
          <w:footerReference w:type="default" r:id="rId81"/>
          <w:type w:val="continuous"/>
          <w:pgSz w:w="10319" w:h="14572"/>
          <w:pgMar w:top="1077" w:right="1077" w:bottom="1134" w:left="1134" w:header="709" w:footer="709" w:gutter="0"/>
          <w:cols w:space="708"/>
        </w:sectPr>
      </w:pPr>
    </w:p>
    <w:p w14:paraId="6ABD7D5F" w14:textId="77777777" w:rsidR="003F0EEA" w:rsidRDefault="00FB7D0B" w:rsidP="003F0EEA">
      <w:pPr>
        <w:pStyle w:val="Heading13"/>
        <w:spacing w:before="480"/>
      </w:pPr>
      <w:r>
        <w:rPr>
          <w:rFonts w:cs="Arial"/>
        </w:rPr>
        <w:lastRenderedPageBreak/>
        <w:t>Glossary</w:t>
      </w:r>
    </w:p>
    <w:tbl>
      <w:tblPr>
        <w:tblW w:w="0" w:type="auto"/>
        <w:tblLayout w:type="fixed"/>
        <w:tblLook w:val="01E0" w:firstRow="1" w:lastRow="1" w:firstColumn="1" w:lastColumn="1" w:noHBand="0" w:noVBand="0"/>
      </w:tblPr>
      <w:tblGrid>
        <w:gridCol w:w="2802"/>
        <w:gridCol w:w="5125"/>
      </w:tblGrid>
      <w:tr w:rsidR="00724034" w14:paraId="7D90E2E3" w14:textId="77777777" w:rsidTr="003F0EEA">
        <w:tc>
          <w:tcPr>
            <w:tcW w:w="2802" w:type="dxa"/>
          </w:tcPr>
          <w:p w14:paraId="027F8E31" w14:textId="77777777" w:rsidR="003F0EEA" w:rsidRDefault="00FB7D0B">
            <w:pPr>
              <w:pStyle w:val="TableTextLeft53"/>
              <w:rPr>
                <w:rFonts w:eastAsia="Calibri"/>
              </w:rPr>
            </w:pPr>
            <w:r>
              <w:rPr>
                <w:rFonts w:eastAsia="Calibri"/>
              </w:rPr>
              <w:t>Accrual accounting</w:t>
            </w:r>
          </w:p>
        </w:tc>
        <w:tc>
          <w:tcPr>
            <w:tcW w:w="5125" w:type="dxa"/>
          </w:tcPr>
          <w:p w14:paraId="727E97C2" w14:textId="77777777" w:rsidR="003F0EEA" w:rsidRDefault="00FB7D0B">
            <w:pPr>
              <w:pStyle w:val="TableTextLeft53"/>
              <w:rPr>
                <w:rFonts w:eastAsia="Calibri"/>
              </w:rPr>
            </w:pPr>
            <w:r>
              <w:rPr>
                <w:rFonts w:eastAsia="Calibri"/>
              </w:rPr>
              <w:t xml:space="preserve">System of accounting where items are brought to account and included in the financial statements as they are earned or incurred, rather than as they are received or paid. </w:t>
            </w:r>
          </w:p>
        </w:tc>
      </w:tr>
      <w:tr w:rsidR="00724034" w14:paraId="75A28F1A" w14:textId="77777777" w:rsidTr="003F0EEA">
        <w:tc>
          <w:tcPr>
            <w:tcW w:w="2802" w:type="dxa"/>
          </w:tcPr>
          <w:p w14:paraId="3A5D2782" w14:textId="77777777" w:rsidR="003F0EEA" w:rsidRDefault="00FB7D0B">
            <w:pPr>
              <w:pStyle w:val="TableTextLeft53"/>
              <w:rPr>
                <w:rFonts w:eastAsia="Calibri"/>
              </w:rPr>
            </w:pPr>
            <w:r>
              <w:rPr>
                <w:rFonts w:eastAsia="Calibri"/>
              </w:rPr>
              <w:t>Accumulated depreciation</w:t>
            </w:r>
          </w:p>
        </w:tc>
        <w:tc>
          <w:tcPr>
            <w:tcW w:w="5125" w:type="dxa"/>
          </w:tcPr>
          <w:p w14:paraId="22C1889C" w14:textId="77777777" w:rsidR="003F0EEA" w:rsidRDefault="00FB7D0B">
            <w:pPr>
              <w:pStyle w:val="TableTextLeft53"/>
              <w:rPr>
                <w:rFonts w:eastAsia="Calibri"/>
              </w:rPr>
            </w:pPr>
            <w:r>
              <w:rPr>
                <w:rFonts w:eastAsia="Calibri"/>
              </w:rPr>
              <w:t>The aggregate depreciation recorded for a particular depreciating asset.</w:t>
            </w:r>
          </w:p>
        </w:tc>
      </w:tr>
      <w:tr w:rsidR="00724034" w14:paraId="71177B96" w14:textId="77777777" w:rsidTr="003F0EEA">
        <w:tc>
          <w:tcPr>
            <w:tcW w:w="2802" w:type="dxa"/>
          </w:tcPr>
          <w:p w14:paraId="7858CEC1" w14:textId="77777777" w:rsidR="003F0EEA" w:rsidRDefault="00FB7D0B">
            <w:pPr>
              <w:pStyle w:val="TableTextLeft53"/>
              <w:rPr>
                <w:rFonts w:eastAsia="Calibri"/>
              </w:rPr>
            </w:pPr>
            <w:r>
              <w:rPr>
                <w:rFonts w:eastAsia="Calibri"/>
              </w:rPr>
              <w:t xml:space="preserve">Additional estimates </w:t>
            </w:r>
          </w:p>
        </w:tc>
        <w:tc>
          <w:tcPr>
            <w:tcW w:w="5125" w:type="dxa"/>
          </w:tcPr>
          <w:p w14:paraId="0200BB20" w14:textId="77777777" w:rsidR="003F0EEA" w:rsidRDefault="00FB7D0B">
            <w:pPr>
              <w:pStyle w:val="TableTextLeft53"/>
              <w:rPr>
                <w:rFonts w:eastAsia="Calibri"/>
              </w:rPr>
            </w:pPr>
            <w:r>
              <w:rPr>
                <w:rFonts w:eastAsia="Calibri"/>
              </w:rPr>
              <w:t xml:space="preserve">Where amounts appropriated at Budget time are insufficient, Parliament may appropriate more funds to portfolios through the Additional Estimates Acts. </w:t>
            </w:r>
          </w:p>
        </w:tc>
      </w:tr>
      <w:tr w:rsidR="00724034" w14:paraId="26326EC7" w14:textId="77777777" w:rsidTr="003F0EEA">
        <w:tc>
          <w:tcPr>
            <w:tcW w:w="2802" w:type="dxa"/>
          </w:tcPr>
          <w:p w14:paraId="2CED15D8" w14:textId="77777777" w:rsidR="003F0EEA" w:rsidRDefault="00FB7D0B">
            <w:pPr>
              <w:pStyle w:val="TableTextLeft53"/>
              <w:rPr>
                <w:rFonts w:eastAsia="Calibri"/>
              </w:rPr>
            </w:pPr>
            <w:r>
              <w:rPr>
                <w:rFonts w:eastAsia="Calibri"/>
              </w:rPr>
              <w:t>Administered items</w:t>
            </w:r>
          </w:p>
        </w:tc>
        <w:tc>
          <w:tcPr>
            <w:tcW w:w="5125" w:type="dxa"/>
          </w:tcPr>
          <w:p w14:paraId="1E6BBCB0" w14:textId="77777777" w:rsidR="003F0EEA" w:rsidRDefault="00FB7D0B">
            <w:pPr>
              <w:pStyle w:val="TableTextLeft53"/>
              <w:rPr>
                <w:rFonts w:eastAsia="Calibri"/>
              </w:rPr>
            </w:pPr>
            <w:r>
              <w:rPr>
                <w:rFonts w:eastAsia="Calibri"/>
              </w:rPr>
              <w:t>Expenses, revenues, assets or liabilities managed by agencies on behalf of the Commonwealth. Agencies do not control administered items. Administered expenses include grants, subsidies and benefits. In many cases, administered expenses fund the delivery of third party outputs.</w:t>
            </w:r>
          </w:p>
        </w:tc>
      </w:tr>
      <w:tr w:rsidR="00724034" w14:paraId="302E2264" w14:textId="77777777" w:rsidTr="003F0EEA">
        <w:tc>
          <w:tcPr>
            <w:tcW w:w="2802" w:type="dxa"/>
          </w:tcPr>
          <w:p w14:paraId="77D07CAA" w14:textId="77777777" w:rsidR="003F0EEA" w:rsidRDefault="00FB7D0B">
            <w:pPr>
              <w:pStyle w:val="TableTextLeft53"/>
              <w:rPr>
                <w:rFonts w:eastAsia="Calibri"/>
              </w:rPr>
            </w:pPr>
            <w:r>
              <w:rPr>
                <w:rFonts w:eastAsia="Calibri"/>
              </w:rPr>
              <w:t>AEIFRS</w:t>
            </w:r>
          </w:p>
        </w:tc>
        <w:tc>
          <w:tcPr>
            <w:tcW w:w="5125" w:type="dxa"/>
          </w:tcPr>
          <w:p w14:paraId="144B84B0" w14:textId="77777777" w:rsidR="003F0EEA" w:rsidRDefault="00FB7D0B">
            <w:pPr>
              <w:pStyle w:val="TableTextLeft53"/>
              <w:rPr>
                <w:rFonts w:eastAsia="Calibri"/>
              </w:rPr>
            </w:pPr>
            <w:r>
              <w:rPr>
                <w:rFonts w:eastAsia="Calibri"/>
              </w:rPr>
              <w:t xml:space="preserve">Australian Equivalents to International Financial Reporting Standards, which were issued by the Australian Accounting Standards Board in July 2004. </w:t>
            </w:r>
          </w:p>
        </w:tc>
      </w:tr>
      <w:tr w:rsidR="00724034" w14:paraId="748CF9BD" w14:textId="77777777" w:rsidTr="003F0EEA">
        <w:tc>
          <w:tcPr>
            <w:tcW w:w="2802" w:type="dxa"/>
          </w:tcPr>
          <w:p w14:paraId="74EA109F" w14:textId="77777777" w:rsidR="003F0EEA" w:rsidRDefault="00FB7D0B">
            <w:pPr>
              <w:pStyle w:val="TableTextLeft53"/>
              <w:rPr>
                <w:rFonts w:eastAsia="Calibri"/>
              </w:rPr>
            </w:pPr>
            <w:r>
              <w:rPr>
                <w:rFonts w:eastAsia="Calibri"/>
              </w:rPr>
              <w:t>Appropriation</w:t>
            </w:r>
          </w:p>
        </w:tc>
        <w:tc>
          <w:tcPr>
            <w:tcW w:w="5125" w:type="dxa"/>
          </w:tcPr>
          <w:p w14:paraId="528C89BD" w14:textId="77777777" w:rsidR="003F0EEA" w:rsidRDefault="00FB7D0B">
            <w:pPr>
              <w:pStyle w:val="TableTextLeft53"/>
              <w:rPr>
                <w:rFonts w:eastAsia="Calibri"/>
              </w:rPr>
            </w:pPr>
            <w:r>
              <w:rPr>
                <w:rFonts w:eastAsia="Calibri"/>
              </w:rPr>
              <w:t>An authorisation by Parliament to spend moneys from the Consolidated Revenue Fund for a particular purpose.</w:t>
            </w:r>
          </w:p>
        </w:tc>
      </w:tr>
      <w:tr w:rsidR="00724034" w14:paraId="30E46968" w14:textId="77777777" w:rsidTr="003F0EEA">
        <w:tc>
          <w:tcPr>
            <w:tcW w:w="2802" w:type="dxa"/>
          </w:tcPr>
          <w:p w14:paraId="5F55BEF2" w14:textId="77777777" w:rsidR="003F0EEA" w:rsidRDefault="00FB7D0B">
            <w:pPr>
              <w:pStyle w:val="TableTextLeft53"/>
              <w:rPr>
                <w:rFonts w:eastAsia="Calibri"/>
              </w:rPr>
            </w:pPr>
            <w:r>
              <w:rPr>
                <w:rFonts w:eastAsia="Calibri"/>
              </w:rPr>
              <w:t>Annual Appropriation</w:t>
            </w:r>
          </w:p>
        </w:tc>
        <w:tc>
          <w:tcPr>
            <w:tcW w:w="5125" w:type="dxa"/>
          </w:tcPr>
          <w:p w14:paraId="778B2A58" w14:textId="77777777" w:rsidR="003F0EEA" w:rsidRDefault="00FB7D0B">
            <w:pPr>
              <w:pStyle w:val="TableTextLeft53"/>
              <w:rPr>
                <w:rFonts w:eastAsia="Calibri"/>
              </w:rPr>
            </w:pPr>
            <w:r>
              <w:rPr>
                <w:rFonts w:eastAsia="Calibri"/>
                <w:color w:val="000000"/>
              </w:rPr>
              <w:t xml:space="preserve">Acts of Parliament, which provide appropriation for the government’s activities during a specific financial year. Three appropriation Bills are introduced into Parliament in May and comprise the Budget. Further supplementary Bills are introduced later in the financial year as part of the Additional Estimates process. The Parliamentary departments have their own appropriation Bills. </w:t>
            </w:r>
          </w:p>
        </w:tc>
      </w:tr>
      <w:tr w:rsidR="00724034" w14:paraId="48C60284" w14:textId="77777777" w:rsidTr="003F0EEA">
        <w:tc>
          <w:tcPr>
            <w:tcW w:w="2802" w:type="dxa"/>
          </w:tcPr>
          <w:p w14:paraId="45AC82F0" w14:textId="77777777" w:rsidR="003F0EEA" w:rsidRDefault="00FB7D0B">
            <w:pPr>
              <w:pStyle w:val="TableTextLeft53"/>
              <w:rPr>
                <w:rFonts w:eastAsia="Calibri"/>
              </w:rPr>
            </w:pPr>
            <w:r>
              <w:rPr>
                <w:rFonts w:eastAsia="Calibri"/>
              </w:rPr>
              <w:t>Capital expenditure</w:t>
            </w:r>
          </w:p>
        </w:tc>
        <w:tc>
          <w:tcPr>
            <w:tcW w:w="5125" w:type="dxa"/>
          </w:tcPr>
          <w:p w14:paraId="062807F5" w14:textId="77777777" w:rsidR="003F0EEA" w:rsidRDefault="00FB7D0B">
            <w:pPr>
              <w:pStyle w:val="TableTextLeft53"/>
              <w:rPr>
                <w:rFonts w:eastAsia="Calibri"/>
              </w:rPr>
            </w:pPr>
            <w:r>
              <w:rPr>
                <w:rFonts w:eastAsia="Calibri"/>
              </w:rPr>
              <w:t>Expenditure by an agency on capital projects, for example purchasing a building.</w:t>
            </w:r>
          </w:p>
        </w:tc>
      </w:tr>
      <w:tr w:rsidR="00724034" w14:paraId="4012A25C" w14:textId="77777777" w:rsidTr="003F0EEA">
        <w:tc>
          <w:tcPr>
            <w:tcW w:w="2802" w:type="dxa"/>
          </w:tcPr>
          <w:p w14:paraId="6F5B6ADA" w14:textId="77777777" w:rsidR="003F0EEA" w:rsidRDefault="00FB7D0B">
            <w:pPr>
              <w:pStyle w:val="TableTextLeft53"/>
              <w:rPr>
                <w:rFonts w:eastAsia="Calibri"/>
              </w:rPr>
            </w:pPr>
            <w:r>
              <w:rPr>
                <w:rFonts w:eastAsia="Calibri"/>
              </w:rPr>
              <w:t>Consolidated Revenue Fund</w:t>
            </w:r>
          </w:p>
        </w:tc>
        <w:tc>
          <w:tcPr>
            <w:tcW w:w="5125" w:type="dxa"/>
          </w:tcPr>
          <w:p w14:paraId="211F126D" w14:textId="77777777" w:rsidR="003F0EEA" w:rsidRDefault="00FB7D0B">
            <w:pPr>
              <w:pStyle w:val="TableTextLeft53"/>
              <w:rPr>
                <w:rFonts w:eastAsia="Calibri"/>
              </w:rPr>
            </w:pPr>
            <w:r>
              <w:rPr>
                <w:rFonts w:eastAsia="Calibri"/>
              </w:rPr>
              <w:t xml:space="preserve">Section 81 of the Constitution stipulates that all revenue raised or money received by the Commonwealth forms the one consolidated revenue fund (CRF). The CRF is not a bank account. The Official Public Account reflects most of the operations of the CRF. </w:t>
            </w:r>
          </w:p>
        </w:tc>
      </w:tr>
      <w:tr w:rsidR="00724034" w14:paraId="56E9DC56" w14:textId="77777777" w:rsidTr="003F0EEA">
        <w:tc>
          <w:tcPr>
            <w:tcW w:w="2802" w:type="dxa"/>
          </w:tcPr>
          <w:p w14:paraId="25EB7732" w14:textId="77777777" w:rsidR="003F0EEA" w:rsidRDefault="00FB7D0B">
            <w:pPr>
              <w:pStyle w:val="TableTextLeft53"/>
              <w:rPr>
                <w:rFonts w:eastAsia="Calibri"/>
              </w:rPr>
            </w:pPr>
            <w:r>
              <w:rPr>
                <w:rFonts w:eastAsia="Calibri"/>
              </w:rPr>
              <w:t>Departmental items</w:t>
            </w:r>
          </w:p>
        </w:tc>
        <w:tc>
          <w:tcPr>
            <w:tcW w:w="5125" w:type="dxa"/>
          </w:tcPr>
          <w:p w14:paraId="55486F7C" w14:textId="77777777" w:rsidR="003F0EEA" w:rsidRDefault="00FB7D0B" w:rsidP="003F0EEA">
            <w:pPr>
              <w:pStyle w:val="TableTextLeft53"/>
              <w:rPr>
                <w:rFonts w:eastAsia="Calibri"/>
              </w:rPr>
            </w:pPr>
            <w:r>
              <w:rPr>
                <w:rFonts w:eastAsia="Calibri"/>
              </w:rPr>
              <w:t xml:space="preserve">Assets, liabilities, revenues and expenses that are controlled by the agency to deliver programs. Departmental items would generally include computers, plant and equipment assets used by agencies in providing goods and services, most employee expenses, supplier costs, and other administrative expenses incurred. </w:t>
            </w:r>
          </w:p>
        </w:tc>
      </w:tr>
      <w:tr w:rsidR="00724034" w14:paraId="268AF49D" w14:textId="77777777" w:rsidTr="003F0EEA">
        <w:tc>
          <w:tcPr>
            <w:tcW w:w="2802" w:type="dxa"/>
          </w:tcPr>
          <w:p w14:paraId="64B6A57C" w14:textId="77777777" w:rsidR="003F0EEA" w:rsidRDefault="00FB7D0B">
            <w:pPr>
              <w:pStyle w:val="TableTextLeft53"/>
              <w:rPr>
                <w:rFonts w:eastAsia="Calibri"/>
              </w:rPr>
            </w:pPr>
            <w:r>
              <w:rPr>
                <w:rFonts w:eastAsia="Calibri"/>
              </w:rPr>
              <w:t>Depreciation</w:t>
            </w:r>
          </w:p>
        </w:tc>
        <w:tc>
          <w:tcPr>
            <w:tcW w:w="5125" w:type="dxa"/>
          </w:tcPr>
          <w:p w14:paraId="4DF76282" w14:textId="77777777" w:rsidR="003F0EEA" w:rsidRDefault="00FB7D0B">
            <w:pPr>
              <w:pStyle w:val="TableTextLeft53"/>
              <w:rPr>
                <w:rFonts w:eastAsia="Calibri"/>
              </w:rPr>
            </w:pPr>
            <w:r>
              <w:rPr>
                <w:rFonts w:eastAsia="Calibri"/>
              </w:rPr>
              <w:t>Apportionment of an asset’s capital value as an expense over its estimated useful life to take account of normal usage, obsolescence, or the passage of time.</w:t>
            </w:r>
          </w:p>
        </w:tc>
      </w:tr>
    </w:tbl>
    <w:p w14:paraId="3BD6E747" w14:textId="77777777" w:rsidR="00724034" w:rsidRDefault="00724034"/>
    <w:p w14:paraId="3E736A22" w14:textId="77777777" w:rsidR="00724034" w:rsidRDefault="00724034">
      <w:pPr>
        <w:sectPr w:rsidR="00724034">
          <w:headerReference w:type="even" r:id="rId82"/>
          <w:headerReference w:type="default" r:id="rId83"/>
          <w:footerReference w:type="even" r:id="rId84"/>
          <w:footerReference w:type="default" r:id="rId85"/>
          <w:pgSz w:w="10319" w:h="14572"/>
          <w:pgMar w:top="1077" w:right="1077" w:bottom="1134" w:left="1134" w:header="709" w:footer="709" w:gutter="0"/>
          <w:cols w:space="708"/>
        </w:sectPr>
      </w:pPr>
    </w:p>
    <w:tbl>
      <w:tblPr>
        <w:tblW w:w="0" w:type="auto"/>
        <w:tblLayout w:type="fixed"/>
        <w:tblLook w:val="01E0" w:firstRow="1" w:lastRow="1" w:firstColumn="1" w:lastColumn="1" w:noHBand="0" w:noVBand="0"/>
      </w:tblPr>
      <w:tblGrid>
        <w:gridCol w:w="2802"/>
        <w:gridCol w:w="5125"/>
      </w:tblGrid>
      <w:tr w:rsidR="00724034" w14:paraId="4FA91AE5" w14:textId="77777777" w:rsidTr="003F0EEA">
        <w:tc>
          <w:tcPr>
            <w:tcW w:w="2802" w:type="dxa"/>
          </w:tcPr>
          <w:p w14:paraId="6CBB5DEF" w14:textId="77777777" w:rsidR="003F0EEA" w:rsidRDefault="00FB7D0B">
            <w:pPr>
              <w:pStyle w:val="TableTextLeft54"/>
              <w:rPr>
                <w:rFonts w:eastAsia="Calibri"/>
              </w:rPr>
            </w:pPr>
            <w:r>
              <w:rPr>
                <w:rFonts w:eastAsia="Calibri"/>
              </w:rPr>
              <w:lastRenderedPageBreak/>
              <w:t>Effectiveness indicators</w:t>
            </w:r>
          </w:p>
        </w:tc>
        <w:tc>
          <w:tcPr>
            <w:tcW w:w="5125" w:type="dxa"/>
          </w:tcPr>
          <w:p w14:paraId="6B0F93E1" w14:textId="77777777" w:rsidR="003F0EEA" w:rsidRDefault="00FB7D0B">
            <w:pPr>
              <w:pStyle w:val="TableTextLeft54"/>
              <w:rPr>
                <w:rFonts w:eastAsia="Calibri"/>
                <w:sz w:val="15"/>
                <w:szCs w:val="15"/>
              </w:rPr>
            </w:pPr>
            <w:r>
              <w:rPr>
                <w:rFonts w:eastAsia="Calibri"/>
              </w:rPr>
              <w:t>Indicators to assess the degree of success in achieving outcomes. As outcomes are generally long-term in nature, effectiveness indicators often relate to intermediate outcomes (shorter term impacts) below the planned outcomes specified.</w:t>
            </w:r>
          </w:p>
        </w:tc>
      </w:tr>
      <w:tr w:rsidR="00724034" w14:paraId="0D779D40" w14:textId="77777777" w:rsidTr="003F0EEA">
        <w:tc>
          <w:tcPr>
            <w:tcW w:w="2802" w:type="dxa"/>
          </w:tcPr>
          <w:p w14:paraId="25799C48" w14:textId="77777777" w:rsidR="003F0EEA" w:rsidRDefault="00FB7D0B">
            <w:pPr>
              <w:pStyle w:val="TableTextLeft54"/>
              <w:rPr>
                <w:rFonts w:eastAsia="Calibri"/>
              </w:rPr>
            </w:pPr>
            <w:r>
              <w:rPr>
                <w:rFonts w:eastAsia="Calibri"/>
              </w:rPr>
              <w:t>Efficiency indicators</w:t>
            </w:r>
          </w:p>
        </w:tc>
        <w:tc>
          <w:tcPr>
            <w:tcW w:w="5125" w:type="dxa"/>
          </w:tcPr>
          <w:p w14:paraId="456D4EDF" w14:textId="77777777" w:rsidR="003F0EEA" w:rsidRDefault="00FB7D0B" w:rsidP="003F0EEA">
            <w:pPr>
              <w:pStyle w:val="TableTextLeft54"/>
              <w:rPr>
                <w:rFonts w:eastAsia="Calibri"/>
              </w:rPr>
            </w:pPr>
            <w:r>
              <w:rPr>
                <w:rFonts w:eastAsia="Calibri"/>
              </w:rPr>
              <w:t>Measures the adequacy of an agency’s management of its programs and, where applicable, administered items. Includes price, quality and quantity indicators. The interrelationship between the three efficiency indicators of any one output should be considered when judging efficiency.</w:t>
            </w:r>
          </w:p>
        </w:tc>
      </w:tr>
      <w:tr w:rsidR="00724034" w14:paraId="4DB59859" w14:textId="77777777" w:rsidTr="003F0EEA">
        <w:tc>
          <w:tcPr>
            <w:tcW w:w="2802" w:type="dxa"/>
          </w:tcPr>
          <w:p w14:paraId="40D86ABB" w14:textId="77777777" w:rsidR="003F0EEA" w:rsidRDefault="00FB7D0B">
            <w:pPr>
              <w:pStyle w:val="TableTextLeft54"/>
              <w:rPr>
                <w:rFonts w:eastAsia="Calibri"/>
              </w:rPr>
            </w:pPr>
            <w:r>
              <w:rPr>
                <w:rFonts w:eastAsia="Calibri"/>
              </w:rPr>
              <w:t>Equity or net assets</w:t>
            </w:r>
          </w:p>
        </w:tc>
        <w:tc>
          <w:tcPr>
            <w:tcW w:w="5125" w:type="dxa"/>
          </w:tcPr>
          <w:p w14:paraId="4983508A" w14:textId="77777777" w:rsidR="003F0EEA" w:rsidRDefault="00FB7D0B">
            <w:pPr>
              <w:pStyle w:val="TableTextLeft54"/>
              <w:rPr>
                <w:rFonts w:eastAsia="Calibri"/>
              </w:rPr>
            </w:pPr>
            <w:r>
              <w:rPr>
                <w:rFonts w:eastAsia="Calibri"/>
              </w:rPr>
              <w:t>Residual interest in the assets of an entity after deduction of its liabilities.</w:t>
            </w:r>
          </w:p>
        </w:tc>
      </w:tr>
      <w:tr w:rsidR="00724034" w14:paraId="382C4C7A" w14:textId="77777777" w:rsidTr="003F0EEA">
        <w:tc>
          <w:tcPr>
            <w:tcW w:w="2802" w:type="dxa"/>
          </w:tcPr>
          <w:p w14:paraId="4AA25C7B" w14:textId="77777777" w:rsidR="003F0EEA" w:rsidRDefault="00FB7D0B">
            <w:pPr>
              <w:pStyle w:val="TableTextLeft54"/>
              <w:rPr>
                <w:rFonts w:eastAsia="Calibri"/>
              </w:rPr>
            </w:pPr>
            <w:r>
              <w:rPr>
                <w:rFonts w:eastAsia="Calibri"/>
              </w:rPr>
              <w:t xml:space="preserve">Expense </w:t>
            </w:r>
          </w:p>
        </w:tc>
        <w:tc>
          <w:tcPr>
            <w:tcW w:w="5125" w:type="dxa"/>
          </w:tcPr>
          <w:p w14:paraId="51C2C5D5" w14:textId="77777777" w:rsidR="003F0EEA" w:rsidRDefault="00FB7D0B">
            <w:pPr>
              <w:pStyle w:val="TableTextLeft54"/>
              <w:rPr>
                <w:rFonts w:eastAsia="Calibri"/>
              </w:rPr>
            </w:pPr>
            <w:r>
              <w:rPr>
                <w:rFonts w:eastAsia="Calibri"/>
              </w:rPr>
              <w:t>Expenses represent the full costs of an activity, that is, the total value of all the resources consumed in producing goods and services or the loss of future economic benefits in the form of reductions in assets or increases in liabilities of the entity. Expenses include cash items, such as salary payments, as well as expenses that have been incurred, such as accruing employee entitlements that will be paid in the future.</w:t>
            </w:r>
          </w:p>
        </w:tc>
      </w:tr>
      <w:tr w:rsidR="00724034" w14:paraId="15CDF056" w14:textId="77777777" w:rsidTr="003F0EEA">
        <w:tc>
          <w:tcPr>
            <w:tcW w:w="2802" w:type="dxa"/>
          </w:tcPr>
          <w:p w14:paraId="167EC4D5" w14:textId="77777777" w:rsidR="003F0EEA" w:rsidRDefault="00FB7D0B">
            <w:pPr>
              <w:pStyle w:val="TableTextLeft54"/>
              <w:rPr>
                <w:rFonts w:eastAsia="Calibri"/>
              </w:rPr>
            </w:pPr>
            <w:r>
              <w:rPr>
                <w:rFonts w:eastAsia="Calibri"/>
              </w:rPr>
              <w:t>Fair value</w:t>
            </w:r>
          </w:p>
        </w:tc>
        <w:tc>
          <w:tcPr>
            <w:tcW w:w="5125" w:type="dxa"/>
          </w:tcPr>
          <w:p w14:paraId="1851D10F" w14:textId="77777777" w:rsidR="003F0EEA" w:rsidRDefault="00FB7D0B" w:rsidP="003F0EEA">
            <w:pPr>
              <w:pStyle w:val="TableTextLeft54"/>
              <w:rPr>
                <w:rFonts w:eastAsia="Calibri"/>
              </w:rPr>
            </w:pPr>
            <w:r>
              <w:rPr>
                <w:rFonts w:eastAsia="Calibri"/>
              </w:rPr>
              <w:t xml:space="preserve">Valuation methodology: </w:t>
            </w:r>
            <w:r>
              <w:rPr>
                <w:rFonts w:eastAsia="Calibri"/>
                <w:color w:val="000000"/>
              </w:rPr>
              <w:t xml:space="preserve">The amount for which an asset could be exchanged or a liability settled between knowledgeable, willing parties in an arm’s length transaction. </w:t>
            </w:r>
          </w:p>
        </w:tc>
      </w:tr>
      <w:tr w:rsidR="00724034" w14:paraId="18C35FA3" w14:textId="77777777" w:rsidTr="003F0EEA">
        <w:tc>
          <w:tcPr>
            <w:tcW w:w="2802" w:type="dxa"/>
          </w:tcPr>
          <w:p w14:paraId="1889DC73" w14:textId="77777777" w:rsidR="003F0EEA" w:rsidRDefault="00FB7D0B">
            <w:pPr>
              <w:pStyle w:val="TableTextLeft54"/>
              <w:rPr>
                <w:rFonts w:eastAsia="Calibri"/>
              </w:rPr>
            </w:pPr>
            <w:r>
              <w:rPr>
                <w:rFonts w:eastAsia="Calibri"/>
              </w:rPr>
              <w:t>Intermediate outcomes</w:t>
            </w:r>
          </w:p>
        </w:tc>
        <w:tc>
          <w:tcPr>
            <w:tcW w:w="5125" w:type="dxa"/>
          </w:tcPr>
          <w:p w14:paraId="7BDAED02" w14:textId="77777777" w:rsidR="003F0EEA" w:rsidRDefault="00FB7D0B">
            <w:pPr>
              <w:pStyle w:val="TableTextLeft54"/>
              <w:rPr>
                <w:rFonts w:eastAsia="Calibri"/>
              </w:rPr>
            </w:pPr>
            <w:r>
              <w:rPr>
                <w:rFonts w:eastAsia="Calibri"/>
              </w:rPr>
              <w:t xml:space="preserve">More specific medium-term impacts (eg trend data, targets or milestones) below the level of the planned outcomes specified in the Budget. A combination of several intermediate outcomes can at times be considered as a proxy for determining the achievement of outcomes or progress towards outcomes. </w:t>
            </w:r>
            <w:r>
              <w:rPr>
                <w:rFonts w:eastAsia="Calibri"/>
                <w:i/>
                <w:iCs/>
              </w:rPr>
              <w:t>See</w:t>
            </w:r>
            <w:r>
              <w:rPr>
                <w:rFonts w:eastAsia="Calibri"/>
              </w:rPr>
              <w:t xml:space="preserve"> Outcomes.</w:t>
            </w:r>
          </w:p>
        </w:tc>
      </w:tr>
      <w:tr w:rsidR="00724034" w14:paraId="7E06421A" w14:textId="77777777" w:rsidTr="003F0EEA">
        <w:tc>
          <w:tcPr>
            <w:tcW w:w="2802" w:type="dxa"/>
          </w:tcPr>
          <w:p w14:paraId="1A38B813" w14:textId="77777777" w:rsidR="003F0EEA" w:rsidRDefault="00FB7D0B">
            <w:pPr>
              <w:pStyle w:val="TableTextLeft54"/>
              <w:rPr>
                <w:rFonts w:eastAsia="Calibri"/>
              </w:rPr>
            </w:pPr>
            <w:r>
              <w:rPr>
                <w:rFonts w:eastAsia="Calibri"/>
              </w:rPr>
              <w:t>Operating result</w:t>
            </w:r>
          </w:p>
        </w:tc>
        <w:tc>
          <w:tcPr>
            <w:tcW w:w="5125" w:type="dxa"/>
          </w:tcPr>
          <w:p w14:paraId="0CFA6BCD" w14:textId="77777777" w:rsidR="003F0EEA" w:rsidRDefault="00FB7D0B">
            <w:pPr>
              <w:pStyle w:val="TableTextLeft54"/>
              <w:rPr>
                <w:rFonts w:eastAsia="Calibri"/>
              </w:rPr>
            </w:pPr>
            <w:r>
              <w:rPr>
                <w:rFonts w:eastAsia="Calibri"/>
              </w:rPr>
              <w:t>Equals revenue less expenses.</w:t>
            </w:r>
          </w:p>
        </w:tc>
      </w:tr>
      <w:tr w:rsidR="00724034" w14:paraId="5BF6926B" w14:textId="77777777" w:rsidTr="003F0EEA">
        <w:tc>
          <w:tcPr>
            <w:tcW w:w="2802" w:type="dxa"/>
          </w:tcPr>
          <w:p w14:paraId="5122ED35" w14:textId="77777777" w:rsidR="003F0EEA" w:rsidRDefault="00FB7D0B">
            <w:pPr>
              <w:pStyle w:val="TableTextLeft54"/>
              <w:rPr>
                <w:rFonts w:eastAsia="Calibri"/>
              </w:rPr>
            </w:pPr>
            <w:r>
              <w:rPr>
                <w:rFonts w:eastAsia="Calibri"/>
              </w:rPr>
              <w:t>Outcomes</w:t>
            </w:r>
          </w:p>
        </w:tc>
        <w:tc>
          <w:tcPr>
            <w:tcW w:w="5125" w:type="dxa"/>
          </w:tcPr>
          <w:p w14:paraId="43F2FD92" w14:textId="77777777" w:rsidR="003F0EEA" w:rsidRDefault="00FB7D0B">
            <w:pPr>
              <w:pStyle w:val="TableTextLeft54"/>
              <w:rPr>
                <w:rFonts w:eastAsia="Calibri"/>
              </w:rPr>
            </w:pPr>
            <w:r>
              <w:rPr>
                <w:rFonts w:eastAsia="Calibri"/>
              </w:rPr>
              <w:t>The Government’s objectives in each portfolio area. Outcomes are desired results, impacts or consequences for the Australian community as influenced by the actions of the Australian Government. Actual outcomes are assessments of the end results or impacts actually achieved.</w:t>
            </w:r>
          </w:p>
        </w:tc>
      </w:tr>
      <w:tr w:rsidR="00724034" w14:paraId="700437BF" w14:textId="77777777" w:rsidTr="003F0EEA">
        <w:tc>
          <w:tcPr>
            <w:tcW w:w="2802" w:type="dxa"/>
          </w:tcPr>
          <w:p w14:paraId="1D5BFE8C" w14:textId="77777777" w:rsidR="003F0EEA" w:rsidRDefault="00FB7D0B">
            <w:pPr>
              <w:pStyle w:val="TableTextLeft54"/>
              <w:rPr>
                <w:rFonts w:eastAsia="Calibri"/>
              </w:rPr>
            </w:pPr>
            <w:r>
              <w:rPr>
                <w:rFonts w:eastAsia="Calibri"/>
              </w:rPr>
              <w:t>Price</w:t>
            </w:r>
          </w:p>
        </w:tc>
        <w:tc>
          <w:tcPr>
            <w:tcW w:w="5125" w:type="dxa"/>
          </w:tcPr>
          <w:p w14:paraId="6D40F502" w14:textId="77777777" w:rsidR="003F0EEA" w:rsidRDefault="00FB7D0B" w:rsidP="003F0EEA">
            <w:pPr>
              <w:pStyle w:val="TableTextLeft54"/>
              <w:rPr>
                <w:rFonts w:eastAsia="Calibri"/>
              </w:rPr>
            </w:pPr>
            <w:r>
              <w:rPr>
                <w:rFonts w:eastAsia="Calibri"/>
              </w:rPr>
              <w:t>One of the three key efficiency indicators. The amount the government or the community pays for the delivery of programs.</w:t>
            </w:r>
          </w:p>
        </w:tc>
      </w:tr>
      <w:tr w:rsidR="00724034" w14:paraId="645B3F10" w14:textId="77777777" w:rsidTr="003F0EEA">
        <w:tc>
          <w:tcPr>
            <w:tcW w:w="2802" w:type="dxa"/>
          </w:tcPr>
          <w:p w14:paraId="6CDB9B7C" w14:textId="77777777" w:rsidR="003F0EEA" w:rsidRDefault="00FB7D0B" w:rsidP="003F0EEA">
            <w:pPr>
              <w:pStyle w:val="TableTextLeft54"/>
              <w:rPr>
                <w:rFonts w:eastAsia="Calibri"/>
              </w:rPr>
            </w:pPr>
            <w:r>
              <w:rPr>
                <w:rFonts w:eastAsia="Calibri"/>
              </w:rPr>
              <w:br w:type="page"/>
              <w:t>Quality</w:t>
            </w:r>
          </w:p>
        </w:tc>
        <w:tc>
          <w:tcPr>
            <w:tcW w:w="5125" w:type="dxa"/>
          </w:tcPr>
          <w:p w14:paraId="3FE8E30D" w14:textId="77777777" w:rsidR="003F0EEA" w:rsidRDefault="00FB7D0B" w:rsidP="003F0EEA">
            <w:pPr>
              <w:pStyle w:val="TableTextLeft54"/>
              <w:rPr>
                <w:rFonts w:eastAsia="Calibri"/>
              </w:rPr>
            </w:pPr>
            <w:r>
              <w:rPr>
                <w:rFonts w:eastAsia="Calibri"/>
              </w:rPr>
              <w:t>One of the three key efficiency indicators. Relates to the characteristics by which customers or stakeholders judge an organisation, product or service. Assessment of quality involves use of information gathered from interested parties to identify differences between users’ expectations and experiences.</w:t>
            </w:r>
          </w:p>
        </w:tc>
      </w:tr>
      <w:tr w:rsidR="00724034" w14:paraId="428B413F" w14:textId="77777777" w:rsidTr="003F0EEA">
        <w:tc>
          <w:tcPr>
            <w:tcW w:w="2802" w:type="dxa"/>
          </w:tcPr>
          <w:p w14:paraId="1B8F44BF" w14:textId="77777777" w:rsidR="003F0EEA" w:rsidRDefault="00FB7D0B" w:rsidP="003F0EEA">
            <w:pPr>
              <w:pStyle w:val="TableTextLeft54"/>
              <w:rPr>
                <w:rFonts w:eastAsia="Calibri"/>
              </w:rPr>
            </w:pPr>
            <w:r>
              <w:rPr>
                <w:rFonts w:eastAsia="Calibri"/>
              </w:rPr>
              <w:t>Quantity</w:t>
            </w:r>
          </w:p>
        </w:tc>
        <w:tc>
          <w:tcPr>
            <w:tcW w:w="5125" w:type="dxa"/>
          </w:tcPr>
          <w:p w14:paraId="624D177F" w14:textId="77777777" w:rsidR="003F0EEA" w:rsidRDefault="00FB7D0B" w:rsidP="003F0EEA">
            <w:pPr>
              <w:pStyle w:val="TableTextLeft54"/>
              <w:rPr>
                <w:rFonts w:eastAsia="Calibri"/>
              </w:rPr>
            </w:pPr>
            <w:r>
              <w:rPr>
                <w:rFonts w:eastAsia="Calibri"/>
              </w:rPr>
              <w:t>One of the three key efficiency indicators. Examples include the size of an output; count or volume measures; how many or how much.</w:t>
            </w:r>
          </w:p>
        </w:tc>
      </w:tr>
      <w:tr w:rsidR="00724034" w14:paraId="20949831" w14:textId="77777777" w:rsidTr="003F0EEA">
        <w:tc>
          <w:tcPr>
            <w:tcW w:w="2802" w:type="dxa"/>
          </w:tcPr>
          <w:p w14:paraId="7352ED1E" w14:textId="77777777" w:rsidR="003F0EEA" w:rsidRDefault="00FB7D0B" w:rsidP="003F0EEA">
            <w:pPr>
              <w:pStyle w:val="TableTextLeft54"/>
              <w:rPr>
                <w:rFonts w:eastAsia="Calibri"/>
              </w:rPr>
            </w:pPr>
            <w:r>
              <w:rPr>
                <w:rFonts w:eastAsia="Calibri"/>
              </w:rPr>
              <w:t>Revenue</w:t>
            </w:r>
          </w:p>
        </w:tc>
        <w:tc>
          <w:tcPr>
            <w:tcW w:w="5125" w:type="dxa"/>
          </w:tcPr>
          <w:p w14:paraId="4F5F92EE" w14:textId="77777777" w:rsidR="003F0EEA" w:rsidRDefault="00FB7D0B" w:rsidP="003F0EEA">
            <w:pPr>
              <w:pStyle w:val="TableTextLeft54"/>
              <w:rPr>
                <w:rFonts w:eastAsia="Calibri"/>
              </w:rPr>
            </w:pPr>
            <w:r>
              <w:rPr>
                <w:rFonts w:eastAsia="Calibri"/>
              </w:rPr>
              <w:t>Total value of resources earned or received for the provision of goods and services.</w:t>
            </w:r>
          </w:p>
        </w:tc>
      </w:tr>
      <w:tr w:rsidR="00724034" w14:paraId="211085F2" w14:textId="77777777" w:rsidTr="003F0EEA">
        <w:tc>
          <w:tcPr>
            <w:tcW w:w="2802" w:type="dxa"/>
          </w:tcPr>
          <w:p w14:paraId="7F9F6092" w14:textId="77777777" w:rsidR="003F0EEA" w:rsidRDefault="00FB7D0B" w:rsidP="003F0EEA">
            <w:pPr>
              <w:pStyle w:val="TableTextLeft54"/>
              <w:rPr>
                <w:rFonts w:eastAsia="Calibri"/>
              </w:rPr>
            </w:pPr>
            <w:r>
              <w:rPr>
                <w:rFonts w:eastAsia="Calibri"/>
              </w:rPr>
              <w:t>Special Account</w:t>
            </w:r>
          </w:p>
        </w:tc>
        <w:tc>
          <w:tcPr>
            <w:tcW w:w="5125" w:type="dxa"/>
          </w:tcPr>
          <w:p w14:paraId="2048B9E7" w14:textId="77777777" w:rsidR="003F0EEA" w:rsidRDefault="00FB7D0B" w:rsidP="003F0EEA">
            <w:pPr>
              <w:pStyle w:val="TableTextLeft54"/>
              <w:rPr>
                <w:rFonts w:eastAsia="Calibri"/>
              </w:rPr>
            </w:pPr>
            <w:r>
              <w:rPr>
                <w:rFonts w:eastAsia="Calibri"/>
              </w:rPr>
              <w:t xml:space="preserve">Balances existing within the Consolidated Revenue Fund </w:t>
            </w:r>
            <w:r>
              <w:rPr>
                <w:rFonts w:eastAsia="Calibri"/>
              </w:rPr>
              <w:lastRenderedPageBreak/>
              <w:t>(CRF) that are supported by standing appropriations (</w:t>
            </w:r>
            <w:r>
              <w:rPr>
                <w:rFonts w:eastAsia="Calibri"/>
                <w:i/>
                <w:iCs/>
              </w:rPr>
              <w:t>Financial Management and Accountability Act 1997</w:t>
            </w:r>
            <w:r>
              <w:rPr>
                <w:rFonts w:eastAsia="Calibri"/>
              </w:rPr>
              <w:t>, ss. 20 and 21). Special accounts allow money in the CRF to be acknowledged as set aside (hypothecated) for a particular purpose. Amounts credited to a Special Account may only be spent for the purposes of the Special Account. Special accounts can only be established by a written determination of the Finance Minister (s. 20 FMA Act) or through an Act of Parliament (referred to in s. 21 of the FMA Act).</w:t>
            </w:r>
          </w:p>
        </w:tc>
      </w:tr>
      <w:tr w:rsidR="00724034" w14:paraId="143F9DF2" w14:textId="77777777" w:rsidTr="003F0EEA">
        <w:tc>
          <w:tcPr>
            <w:tcW w:w="2802" w:type="dxa"/>
          </w:tcPr>
          <w:p w14:paraId="11EF6324" w14:textId="77777777" w:rsidR="003F0EEA" w:rsidRDefault="00FB7D0B" w:rsidP="003F0EEA">
            <w:pPr>
              <w:pStyle w:val="TableTextLeft54"/>
              <w:rPr>
                <w:rFonts w:eastAsia="Calibri"/>
              </w:rPr>
            </w:pPr>
            <w:r>
              <w:rPr>
                <w:rFonts w:eastAsia="Calibri"/>
              </w:rPr>
              <w:lastRenderedPageBreak/>
              <w:t>Special Appropriations (including Standing Appropriations)</w:t>
            </w:r>
          </w:p>
        </w:tc>
        <w:tc>
          <w:tcPr>
            <w:tcW w:w="5125" w:type="dxa"/>
          </w:tcPr>
          <w:p w14:paraId="27BB27D5" w14:textId="77777777" w:rsidR="003F0EEA" w:rsidRDefault="00FB7D0B" w:rsidP="003F0EEA">
            <w:pPr>
              <w:pStyle w:val="TableTextLeft54"/>
              <w:rPr>
                <w:rFonts w:eastAsia="Calibri"/>
              </w:rPr>
            </w:pPr>
            <w:r>
              <w:rPr>
                <w:rFonts w:eastAsia="Calibri"/>
              </w:rPr>
              <w:t>An amount of money appropriated by a particular Act of Parliament for a specific purpose and number of years. For special appropriations, the authority to withdraw funds from the Consolidated Revenue Fund does not generally cease at the end of the financial year.</w:t>
            </w:r>
          </w:p>
          <w:p w14:paraId="51F3E25B" w14:textId="77777777" w:rsidR="003F0EEA" w:rsidRDefault="00FB7D0B" w:rsidP="003F0EEA">
            <w:pPr>
              <w:pStyle w:val="TableTextLeft54"/>
              <w:rPr>
                <w:rFonts w:eastAsia="Calibri"/>
              </w:rPr>
            </w:pPr>
            <w:r>
              <w:rPr>
                <w:rFonts w:eastAsia="Calibri"/>
              </w:rPr>
              <w:t>Standing appropriations are a subcategory consisting of ongoing special appropriations — the amount appropriated will depend on circumstances specified in the legislation.</w:t>
            </w:r>
          </w:p>
        </w:tc>
      </w:tr>
    </w:tbl>
    <w:p w14:paraId="679AFB11" w14:textId="77777777" w:rsidR="00724034" w:rsidRDefault="00724034">
      <w:pPr>
        <w:pStyle w:val="MyLastParagraph"/>
      </w:pPr>
    </w:p>
    <w:sectPr w:rsidR="00724034" w:rsidSect="00724034">
      <w:headerReference w:type="even" r:id="rId86"/>
      <w:headerReference w:type="default" r:id="rId87"/>
      <w:pgSz w:w="10319" w:h="14572"/>
      <w:pgMar w:top="1134" w:right="1021" w:bottom="1134" w:left="113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FE1A4F" w14:textId="77777777" w:rsidR="003F0EEA" w:rsidRDefault="003F0EEA" w:rsidP="00724034">
      <w:r>
        <w:separator/>
      </w:r>
    </w:p>
  </w:endnote>
  <w:endnote w:type="continuationSeparator" w:id="0">
    <w:p w14:paraId="333BF8D8" w14:textId="77777777" w:rsidR="003F0EEA" w:rsidRDefault="003F0EEA" w:rsidP="007240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9999999">
    <w:altName w:val="Times New Roman"/>
    <w:panose1 w:val="00000000000000000000"/>
    <w:charset w:val="00"/>
    <w:family w:val="roman"/>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Bold">
    <w:altName w:val="Arial"/>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fornian FB">
    <w:panose1 w:val="0207040306080B030204"/>
    <w:charset w:val="00"/>
    <w:family w:val="roman"/>
    <w:pitch w:val="variable"/>
    <w:sig w:usb0="00000003" w:usb1="00000000" w:usb2="00000000" w:usb3="00000000" w:csb0="00000001" w:csb1="00000000"/>
  </w:font>
  <w:font w:name="Arial (W1)">
    <w:altName w:val="Arial"/>
    <w:charset w:val="00"/>
    <w:family w:val="swiss"/>
    <w:pitch w:val="variable"/>
    <w:sig w:usb0="20002A87" w:usb1="80000000" w:usb2="00000008"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087A2" w14:textId="77777777" w:rsidR="003F0EEA" w:rsidRDefault="0088789D" w:rsidP="003F0EEA">
    <w:pPr>
      <w:pStyle w:val="Normal1"/>
      <w:jc w:val="center"/>
      <w:rPr>
        <w:color w:val="FFFFFF"/>
      </w:rPr>
    </w:pPr>
    <w:r w:rsidRPr="00085567">
      <w:rPr>
        <w:color w:val="FFFFFF"/>
      </w:rPr>
      <w:fldChar w:fldCharType="begin"/>
    </w:r>
    <w:r w:rsidR="00FB7D0B" w:rsidRPr="00085567">
      <w:rPr>
        <w:color w:val="FFFFFF"/>
      </w:rPr>
      <w:instrText xml:space="preserve"> PAGE  \* roman  \* MERGEFORMAT </w:instrText>
    </w:r>
    <w:r w:rsidRPr="00085567">
      <w:rPr>
        <w:color w:val="FFFFFF"/>
      </w:rPr>
      <w:fldChar w:fldCharType="separate"/>
    </w:r>
    <w:r w:rsidR="00CB2EAB">
      <w:rPr>
        <w:noProof/>
        <w:color w:val="FFFFFF"/>
      </w:rPr>
      <w:t>ii</w:t>
    </w:r>
    <w:r w:rsidRPr="00085567">
      <w:rPr>
        <w:color w:val="FFFFFF"/>
      </w:rPr>
      <w:fldChar w:fldCharType="end"/>
    </w:r>
  </w:p>
  <w:p w14:paraId="0A501ECE" w14:textId="77777777" w:rsidR="003F0EEA" w:rsidRDefault="003F0EEA" w:rsidP="003F0EEA">
    <w:pPr>
      <w:pStyle w:val="Normal1"/>
      <w:jc w:val="center"/>
      <w:rPr>
        <w:color w:val="FFFFFF"/>
      </w:rPr>
    </w:pPr>
  </w:p>
  <w:p w14:paraId="3EBA8D38" w14:textId="77777777" w:rsidR="003F0EEA" w:rsidRDefault="003F0EEA" w:rsidP="003F0EEA">
    <w:pPr>
      <w:pStyle w:val="Normal1"/>
      <w:rPr>
        <w:color w:val="FFFFFF"/>
      </w:rPr>
    </w:pPr>
  </w:p>
  <w:p w14:paraId="15C862A8" w14:textId="50FF2310" w:rsidR="003F0EEA" w:rsidRPr="00D70697" w:rsidRDefault="0088789D" w:rsidP="003F0EEA">
    <w:pPr>
      <w:pStyle w:val="Normal1"/>
      <w:jc w:val="center"/>
    </w:pPr>
    <w:r w:rsidRPr="00D70697">
      <w:fldChar w:fldCharType="begin"/>
    </w:r>
    <w:r w:rsidR="00FB7D0B" w:rsidRPr="00D70697">
      <w:instrText xml:space="preserve"> IF </w:instrText>
    </w:r>
    <w:r w:rsidRPr="00D70697">
      <w:fldChar w:fldCharType="begin"/>
    </w:r>
    <w:r w:rsidR="00FB7D0B" w:rsidRPr="00D70697">
      <w:instrText xml:space="preserve"> PAGE </w:instrText>
    </w:r>
    <w:r w:rsidRPr="00D70697">
      <w:fldChar w:fldCharType="separate"/>
    </w:r>
    <w:r w:rsidR="00C37B64">
      <w:rPr>
        <w:noProof/>
      </w:rPr>
      <w:instrText>2</w:instrText>
    </w:r>
    <w:r w:rsidRPr="00D70697">
      <w:fldChar w:fldCharType="end"/>
    </w:r>
    <w:r w:rsidR="00FB7D0B" w:rsidRPr="00D70697">
      <w:instrText xml:space="preserve"> &lt; 4 ” "" " </w:instrText>
    </w:r>
    <w:r w:rsidRPr="00D70697">
      <w:fldChar w:fldCharType="begin"/>
    </w:r>
    <w:r w:rsidR="00FB7D0B" w:rsidRPr="00D70697">
      <w:instrText xml:space="preserve"> PAGE </w:instrText>
    </w:r>
    <w:r w:rsidRPr="00D70697">
      <w:fldChar w:fldCharType="end"/>
    </w:r>
    <w:r w:rsidRPr="00D70697">
      <w:fldChar w:fldCharType="separate"/>
    </w:r>
    <w:r w:rsidR="00C37B64" w:rsidRPr="00D70697">
      <w:rPr>
        <w:noProof/>
      </w:rPr>
      <w:t xml:space="preserve"> </w:t>
    </w:r>
    <w:r w:rsidRPr="00D70697">
      <w:fldChar w:fldCharType="end"/>
    </w:r>
  </w:p>
  <w:p w14:paraId="437D7B2E" w14:textId="77777777" w:rsidR="00724034" w:rsidRDefault="00724034">
    <w:pPr>
      <w:pStyle w:val="MyLastParagraph"/>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5BB68" w14:textId="77777777" w:rsidR="003F0EEA" w:rsidRPr="0039414F" w:rsidRDefault="00FB7D0B" w:rsidP="003F0EEA">
    <w:pPr>
      <w:pStyle w:val="Normal18"/>
      <w:jc w:val="center"/>
      <w:rPr>
        <w:rFonts w:ascii="Arial" w:hAnsi="Arial" w:cs="Arial"/>
        <w:sz w:val="20"/>
        <w:szCs w:val="20"/>
      </w:rPr>
    </w:pPr>
    <w:r>
      <w:rPr>
        <w:rFonts w:ascii="Arial" w:hAnsi="Arial" w:cs="Arial"/>
        <w:sz w:val="20"/>
        <w:szCs w:val="20"/>
      </w:rPr>
      <w:t>vii</w:t>
    </w:r>
  </w:p>
  <w:p w14:paraId="08C341B4" w14:textId="77777777" w:rsidR="00724034" w:rsidRDefault="00724034">
    <w:pPr>
      <w:pStyle w:val="MyLastParagraph"/>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A90EA" w14:textId="77777777" w:rsidR="003F0EEA" w:rsidRPr="007E2962" w:rsidRDefault="00FB7D0B" w:rsidP="003F0EEA">
    <w:pPr>
      <w:pStyle w:val="Normal22"/>
      <w:jc w:val="center"/>
      <w:rPr>
        <w:rFonts w:ascii="Arial" w:hAnsi="Arial" w:cs="Arial"/>
        <w:color w:val="FFFFFF"/>
        <w:sz w:val="20"/>
        <w:szCs w:val="20"/>
      </w:rPr>
    </w:pPr>
    <w:r w:rsidRPr="007E2962">
      <w:rPr>
        <w:rFonts w:ascii="Arial" w:hAnsi="Arial" w:cs="Arial"/>
        <w:color w:val="FFFFFF"/>
        <w:sz w:val="20"/>
        <w:szCs w:val="20"/>
      </w:rPr>
      <w:t>ix</w:t>
    </w:r>
  </w:p>
  <w:p w14:paraId="1BE65E71" w14:textId="77777777" w:rsidR="00724034" w:rsidRDefault="00724034">
    <w:pPr>
      <w:pStyle w:val="MyLastParagraph"/>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87051" w14:textId="77777777" w:rsidR="003F0EEA" w:rsidRPr="007E2962" w:rsidRDefault="00FB7D0B" w:rsidP="003F0EEA">
    <w:pPr>
      <w:pStyle w:val="Normal21"/>
      <w:jc w:val="center"/>
      <w:rPr>
        <w:rFonts w:ascii="Arial" w:hAnsi="Arial" w:cs="Arial"/>
        <w:color w:val="FFFFFF"/>
        <w:sz w:val="20"/>
        <w:szCs w:val="20"/>
      </w:rPr>
    </w:pPr>
    <w:r w:rsidRPr="007E2962">
      <w:rPr>
        <w:rFonts w:ascii="Arial" w:hAnsi="Arial" w:cs="Arial"/>
        <w:color w:val="FFFFFF"/>
        <w:sz w:val="20"/>
        <w:szCs w:val="20"/>
      </w:rPr>
      <w:t>ix</w:t>
    </w:r>
  </w:p>
  <w:p w14:paraId="0B19BA28" w14:textId="77777777" w:rsidR="00724034" w:rsidRDefault="00724034">
    <w:pPr>
      <w:pStyle w:val="MyLastParagraph"/>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6D055" w14:textId="77777777" w:rsidR="003F0EEA" w:rsidRPr="004B0217" w:rsidRDefault="0088789D" w:rsidP="003F0EEA">
    <w:pPr>
      <w:pStyle w:val="Normal25"/>
      <w:jc w:val="center"/>
      <w:rPr>
        <w:rFonts w:ascii="Arial" w:eastAsia="Calibri" w:hAnsi="Arial" w:cs="Arial"/>
        <w:color w:val="FFFFFF"/>
        <w:sz w:val="20"/>
        <w:szCs w:val="20"/>
      </w:rPr>
    </w:pPr>
    <w:r w:rsidRPr="004B0217">
      <w:rPr>
        <w:rFonts w:ascii="Arial" w:eastAsia="Calibri" w:hAnsi="Arial" w:cs="Arial"/>
        <w:color w:val="FFFFFF"/>
        <w:sz w:val="20"/>
        <w:szCs w:val="20"/>
      </w:rPr>
      <w:fldChar w:fldCharType="begin"/>
    </w:r>
    <w:r w:rsidR="00FB7D0B" w:rsidRPr="004B0217">
      <w:rPr>
        <w:rFonts w:ascii="Arial" w:eastAsia="Calibri" w:hAnsi="Arial" w:cs="Arial"/>
        <w:color w:val="FFFFFF"/>
        <w:sz w:val="20"/>
        <w:szCs w:val="20"/>
      </w:rPr>
      <w:instrText xml:space="preserve"> PAGE  \* Arabic  \* MERGEFORMAT </w:instrText>
    </w:r>
    <w:r w:rsidRPr="004B0217">
      <w:rPr>
        <w:rFonts w:ascii="Arial" w:eastAsia="Calibri" w:hAnsi="Arial" w:cs="Arial"/>
        <w:color w:val="FFFFFF"/>
        <w:sz w:val="20"/>
        <w:szCs w:val="20"/>
      </w:rPr>
      <w:fldChar w:fldCharType="separate"/>
    </w:r>
    <w:r w:rsidR="00CB2EAB">
      <w:rPr>
        <w:rFonts w:ascii="Arial" w:eastAsia="Calibri" w:hAnsi="Arial" w:cs="Arial"/>
        <w:noProof/>
        <w:color w:val="FFFFFF"/>
        <w:sz w:val="20"/>
        <w:szCs w:val="20"/>
      </w:rPr>
      <w:t>2</w:t>
    </w:r>
    <w:r w:rsidRPr="004B0217">
      <w:rPr>
        <w:rFonts w:ascii="Arial" w:eastAsia="Calibri" w:hAnsi="Arial" w:cs="Arial"/>
        <w:color w:val="FFFFFF"/>
        <w:sz w:val="20"/>
        <w:szCs w:val="20"/>
      </w:rPr>
      <w:fldChar w:fldCharType="end"/>
    </w:r>
  </w:p>
  <w:p w14:paraId="41A30AD8" w14:textId="77777777" w:rsidR="00724034" w:rsidRDefault="00724034">
    <w:pPr>
      <w:pStyle w:val="MyLastParagraph"/>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9EC05" w14:textId="77777777" w:rsidR="003F0EEA" w:rsidRPr="0062552C" w:rsidRDefault="0088789D" w:rsidP="003F0EEA">
    <w:pPr>
      <w:pStyle w:val="Normal24"/>
      <w:jc w:val="center"/>
      <w:rPr>
        <w:rFonts w:ascii="Arial" w:eastAsia="Calibri" w:hAnsi="Arial" w:cs="Arial"/>
        <w:color w:val="FFFFFF"/>
        <w:sz w:val="20"/>
        <w:szCs w:val="20"/>
      </w:rPr>
    </w:pPr>
    <w:r w:rsidRPr="0062552C">
      <w:rPr>
        <w:rFonts w:ascii="Arial" w:eastAsia="Calibri" w:hAnsi="Arial" w:cs="Arial"/>
        <w:color w:val="FFFFFF"/>
        <w:sz w:val="20"/>
        <w:szCs w:val="20"/>
      </w:rPr>
      <w:fldChar w:fldCharType="begin"/>
    </w:r>
    <w:r w:rsidR="00FB7D0B" w:rsidRPr="0062552C">
      <w:rPr>
        <w:rFonts w:ascii="Arial" w:eastAsia="Calibri" w:hAnsi="Arial" w:cs="Arial"/>
        <w:color w:val="FFFFFF"/>
        <w:sz w:val="20"/>
        <w:szCs w:val="20"/>
      </w:rPr>
      <w:instrText xml:space="preserve"> PAGE  \* Arabic  \* MERGEFORMAT </w:instrText>
    </w:r>
    <w:r w:rsidRPr="0062552C">
      <w:rPr>
        <w:rFonts w:ascii="Arial" w:eastAsia="Calibri" w:hAnsi="Arial" w:cs="Arial"/>
        <w:color w:val="FFFFFF"/>
        <w:sz w:val="20"/>
        <w:szCs w:val="20"/>
      </w:rPr>
      <w:fldChar w:fldCharType="separate"/>
    </w:r>
    <w:r w:rsidR="00CB2EAB">
      <w:rPr>
        <w:rFonts w:ascii="Arial" w:eastAsia="Calibri" w:hAnsi="Arial" w:cs="Arial"/>
        <w:noProof/>
        <w:color w:val="FFFFFF"/>
        <w:sz w:val="20"/>
        <w:szCs w:val="20"/>
      </w:rPr>
      <w:t>1</w:t>
    </w:r>
    <w:r w:rsidRPr="0062552C">
      <w:rPr>
        <w:rFonts w:ascii="Arial" w:eastAsia="Calibri" w:hAnsi="Arial" w:cs="Arial"/>
        <w:color w:val="FFFFFF"/>
        <w:sz w:val="20"/>
        <w:szCs w:val="20"/>
      </w:rPr>
      <w:fldChar w:fldCharType="end"/>
    </w:r>
  </w:p>
  <w:p w14:paraId="536031C4" w14:textId="77777777" w:rsidR="00724034" w:rsidRDefault="00724034">
    <w:pPr>
      <w:pStyle w:val="MyLastParagraph"/>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CB427" w14:textId="77777777" w:rsidR="003F0EEA" w:rsidRDefault="0088789D" w:rsidP="003F0EEA">
    <w:pPr>
      <w:pStyle w:val="Normal28"/>
      <w:jc w:val="center"/>
      <w:rPr>
        <w:rFonts w:ascii="Arial" w:eastAsia="Calibri" w:hAnsi="Arial" w:cs="Arial"/>
        <w:sz w:val="20"/>
        <w:szCs w:val="20"/>
      </w:rPr>
    </w:pPr>
    <w:r w:rsidRPr="00E417A7">
      <w:rPr>
        <w:rFonts w:ascii="Arial" w:eastAsia="Calibri" w:hAnsi="Arial" w:cs="Arial"/>
        <w:sz w:val="20"/>
        <w:szCs w:val="20"/>
      </w:rPr>
      <w:fldChar w:fldCharType="begin"/>
    </w:r>
    <w:r w:rsidR="00FB7D0B" w:rsidRPr="00E417A7">
      <w:rPr>
        <w:rFonts w:ascii="Arial" w:eastAsia="Calibri" w:hAnsi="Arial" w:cs="Arial"/>
        <w:sz w:val="20"/>
        <w:szCs w:val="20"/>
      </w:rPr>
      <w:instrText xml:space="preserve"> PAGE  \* Arabic  \* MERGEFORMAT </w:instrText>
    </w:r>
    <w:r w:rsidRPr="00E417A7">
      <w:rPr>
        <w:rFonts w:ascii="Arial" w:eastAsia="Calibri" w:hAnsi="Arial" w:cs="Arial"/>
        <w:sz w:val="20"/>
        <w:szCs w:val="20"/>
      </w:rPr>
      <w:fldChar w:fldCharType="separate"/>
    </w:r>
    <w:r w:rsidR="00FB7D0B" w:rsidRPr="00E417A7">
      <w:rPr>
        <w:rFonts w:ascii="Arial" w:eastAsia="Calibri" w:hAnsi="Arial" w:cs="Arial"/>
        <w:noProof/>
        <w:sz w:val="20"/>
        <w:szCs w:val="20"/>
      </w:rPr>
      <w:t>1</w:t>
    </w:r>
    <w:r w:rsidRPr="00E417A7">
      <w:rPr>
        <w:rFonts w:ascii="Arial" w:eastAsia="Calibri" w:hAnsi="Arial" w:cs="Arial"/>
        <w:sz w:val="20"/>
        <w:szCs w:val="20"/>
      </w:rPr>
      <w:fldChar w:fldCharType="end"/>
    </w:r>
  </w:p>
  <w:p w14:paraId="07A816C3" w14:textId="77777777" w:rsidR="00724034" w:rsidRDefault="00724034">
    <w:pPr>
      <w:pStyle w:val="MyLastParagraph"/>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B715A" w14:textId="77777777" w:rsidR="003F0EEA" w:rsidRDefault="0088789D" w:rsidP="003F0EEA">
    <w:pPr>
      <w:pStyle w:val="Normal27"/>
      <w:jc w:val="center"/>
      <w:rPr>
        <w:rFonts w:ascii="Arial" w:eastAsia="Calibri" w:hAnsi="Arial" w:cs="Arial"/>
        <w:sz w:val="20"/>
        <w:szCs w:val="20"/>
      </w:rPr>
    </w:pPr>
    <w:r w:rsidRPr="00E417A7">
      <w:rPr>
        <w:rFonts w:ascii="Arial" w:eastAsia="Calibri" w:hAnsi="Arial" w:cs="Arial"/>
        <w:sz w:val="20"/>
        <w:szCs w:val="20"/>
      </w:rPr>
      <w:fldChar w:fldCharType="begin"/>
    </w:r>
    <w:r w:rsidR="00FB7D0B" w:rsidRPr="00E417A7">
      <w:rPr>
        <w:rFonts w:ascii="Arial" w:eastAsia="Calibri" w:hAnsi="Arial" w:cs="Arial"/>
        <w:sz w:val="20"/>
        <w:szCs w:val="20"/>
      </w:rPr>
      <w:instrText xml:space="preserve"> PAGE  \* Arabic  \* MERGEFORMAT </w:instrText>
    </w:r>
    <w:r w:rsidRPr="00E417A7">
      <w:rPr>
        <w:rFonts w:ascii="Arial" w:eastAsia="Calibri" w:hAnsi="Arial" w:cs="Arial"/>
        <w:sz w:val="20"/>
        <w:szCs w:val="20"/>
      </w:rPr>
      <w:fldChar w:fldCharType="separate"/>
    </w:r>
    <w:r w:rsidR="00CB2EAB">
      <w:rPr>
        <w:rFonts w:ascii="Arial" w:eastAsia="Calibri" w:hAnsi="Arial" w:cs="Arial"/>
        <w:noProof/>
        <w:sz w:val="20"/>
        <w:szCs w:val="20"/>
      </w:rPr>
      <w:t>3</w:t>
    </w:r>
    <w:r w:rsidRPr="00E417A7">
      <w:rPr>
        <w:rFonts w:ascii="Arial" w:eastAsia="Calibri" w:hAnsi="Arial" w:cs="Arial"/>
        <w:sz w:val="20"/>
        <w:szCs w:val="20"/>
      </w:rPr>
      <w:fldChar w:fldCharType="end"/>
    </w:r>
  </w:p>
  <w:p w14:paraId="2A485BAB" w14:textId="77777777" w:rsidR="00724034" w:rsidRDefault="00724034">
    <w:pPr>
      <w:pStyle w:val="MyLastParagraph"/>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9B1B9" w14:textId="77777777" w:rsidR="003F0EEA" w:rsidRDefault="0088789D" w:rsidP="003F0EEA">
    <w:pPr>
      <w:pStyle w:val="Normal33"/>
      <w:jc w:val="center"/>
      <w:rPr>
        <w:rFonts w:ascii="Arial" w:eastAsia="Calibri" w:hAnsi="Arial" w:cs="Arial"/>
        <w:sz w:val="20"/>
        <w:szCs w:val="20"/>
      </w:rPr>
    </w:pPr>
    <w:r w:rsidRPr="00E417A7">
      <w:rPr>
        <w:rFonts w:ascii="Arial" w:eastAsia="Calibri" w:hAnsi="Arial" w:cs="Arial"/>
        <w:sz w:val="20"/>
        <w:szCs w:val="20"/>
      </w:rPr>
      <w:fldChar w:fldCharType="begin"/>
    </w:r>
    <w:r w:rsidR="00FB7D0B" w:rsidRPr="00E417A7">
      <w:rPr>
        <w:rFonts w:ascii="Arial" w:eastAsia="Calibri" w:hAnsi="Arial" w:cs="Arial"/>
        <w:sz w:val="20"/>
        <w:szCs w:val="20"/>
      </w:rPr>
      <w:instrText xml:space="preserve"> PAGE  \* Arabic  \* MERGEFORMAT </w:instrText>
    </w:r>
    <w:r w:rsidRPr="00E417A7">
      <w:rPr>
        <w:rFonts w:ascii="Arial" w:eastAsia="Calibri" w:hAnsi="Arial" w:cs="Arial"/>
        <w:sz w:val="20"/>
        <w:szCs w:val="20"/>
      </w:rPr>
      <w:fldChar w:fldCharType="separate"/>
    </w:r>
    <w:r w:rsidR="00CB2EAB">
      <w:rPr>
        <w:rFonts w:ascii="Arial" w:eastAsia="Calibri" w:hAnsi="Arial" w:cs="Arial"/>
        <w:noProof/>
        <w:sz w:val="20"/>
        <w:szCs w:val="20"/>
      </w:rPr>
      <w:t>8</w:t>
    </w:r>
    <w:r w:rsidRPr="00E417A7">
      <w:rPr>
        <w:rFonts w:ascii="Arial" w:eastAsia="Calibri" w:hAnsi="Arial" w:cs="Arial"/>
        <w:sz w:val="20"/>
        <w:szCs w:val="20"/>
      </w:rPr>
      <w:fldChar w:fldCharType="end"/>
    </w:r>
  </w:p>
  <w:p w14:paraId="4D13B4D0" w14:textId="77777777" w:rsidR="00724034" w:rsidRDefault="00724034">
    <w:pPr>
      <w:pStyle w:val="MyLastParagraph"/>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7A762" w14:textId="77777777" w:rsidR="003F0EEA" w:rsidRDefault="0088789D" w:rsidP="003F0EEA">
    <w:pPr>
      <w:pStyle w:val="Normal32"/>
      <w:jc w:val="center"/>
      <w:rPr>
        <w:rFonts w:ascii="Arial" w:eastAsia="Calibri" w:hAnsi="Arial" w:cs="Arial"/>
        <w:sz w:val="20"/>
        <w:szCs w:val="20"/>
      </w:rPr>
    </w:pPr>
    <w:r w:rsidRPr="00E417A7">
      <w:rPr>
        <w:rFonts w:ascii="Arial" w:eastAsia="Calibri" w:hAnsi="Arial" w:cs="Arial"/>
        <w:sz w:val="20"/>
        <w:szCs w:val="20"/>
      </w:rPr>
      <w:fldChar w:fldCharType="begin"/>
    </w:r>
    <w:r w:rsidR="00FB7D0B" w:rsidRPr="00E417A7">
      <w:rPr>
        <w:rFonts w:ascii="Arial" w:eastAsia="Calibri" w:hAnsi="Arial" w:cs="Arial"/>
        <w:sz w:val="20"/>
        <w:szCs w:val="20"/>
      </w:rPr>
      <w:instrText xml:space="preserve"> PAGE  \* Arabic  \* MERGEFORMAT </w:instrText>
    </w:r>
    <w:r w:rsidRPr="00E417A7">
      <w:rPr>
        <w:rFonts w:ascii="Arial" w:eastAsia="Calibri" w:hAnsi="Arial" w:cs="Arial"/>
        <w:sz w:val="20"/>
        <w:szCs w:val="20"/>
      </w:rPr>
      <w:fldChar w:fldCharType="separate"/>
    </w:r>
    <w:r w:rsidR="00CB2EAB">
      <w:rPr>
        <w:rFonts w:ascii="Arial" w:eastAsia="Calibri" w:hAnsi="Arial" w:cs="Arial"/>
        <w:noProof/>
        <w:sz w:val="20"/>
        <w:szCs w:val="20"/>
      </w:rPr>
      <w:t>7</w:t>
    </w:r>
    <w:r w:rsidRPr="00E417A7">
      <w:rPr>
        <w:rFonts w:ascii="Arial" w:eastAsia="Calibri" w:hAnsi="Arial" w:cs="Arial"/>
        <w:sz w:val="20"/>
        <w:szCs w:val="20"/>
      </w:rPr>
      <w:fldChar w:fldCharType="end"/>
    </w:r>
  </w:p>
  <w:p w14:paraId="297D36D7" w14:textId="77777777" w:rsidR="00724034" w:rsidRDefault="00724034">
    <w:pPr>
      <w:pStyle w:val="MyLastParagraph"/>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83062" w14:textId="77777777" w:rsidR="003F0EEA" w:rsidRDefault="0088789D" w:rsidP="003F0EEA">
    <w:pPr>
      <w:pStyle w:val="Normal44"/>
      <w:jc w:val="center"/>
      <w:rPr>
        <w:rFonts w:ascii="Arial" w:eastAsia="Calibri" w:hAnsi="Arial" w:cs="Arial"/>
        <w:sz w:val="20"/>
        <w:szCs w:val="20"/>
      </w:rPr>
    </w:pPr>
    <w:r w:rsidRPr="00E417A7">
      <w:rPr>
        <w:rFonts w:ascii="Arial" w:eastAsia="Calibri" w:hAnsi="Arial" w:cs="Arial"/>
        <w:sz w:val="20"/>
        <w:szCs w:val="20"/>
      </w:rPr>
      <w:fldChar w:fldCharType="begin"/>
    </w:r>
    <w:r w:rsidR="00FB7D0B" w:rsidRPr="00E417A7">
      <w:rPr>
        <w:rFonts w:ascii="Arial" w:eastAsia="Calibri" w:hAnsi="Arial" w:cs="Arial"/>
        <w:sz w:val="20"/>
        <w:szCs w:val="20"/>
      </w:rPr>
      <w:instrText xml:space="preserve"> PAGE  \* Arabic  \* MERGEFORMAT </w:instrText>
    </w:r>
    <w:r w:rsidRPr="00E417A7">
      <w:rPr>
        <w:rFonts w:ascii="Arial" w:eastAsia="Calibri" w:hAnsi="Arial" w:cs="Arial"/>
        <w:sz w:val="20"/>
        <w:szCs w:val="20"/>
      </w:rPr>
      <w:fldChar w:fldCharType="separate"/>
    </w:r>
    <w:r w:rsidR="00FB7D0B" w:rsidRPr="00E417A7">
      <w:rPr>
        <w:rFonts w:ascii="Arial" w:eastAsia="Calibri" w:hAnsi="Arial" w:cs="Arial"/>
        <w:noProof/>
        <w:sz w:val="20"/>
        <w:szCs w:val="20"/>
      </w:rPr>
      <w:t>1</w:t>
    </w:r>
    <w:r w:rsidRPr="00E417A7">
      <w:rPr>
        <w:rFonts w:ascii="Arial" w:eastAsia="Calibri" w:hAnsi="Arial" w:cs="Arial"/>
        <w:sz w:val="20"/>
        <w:szCs w:val="20"/>
      </w:rPr>
      <w:fldChar w:fldCharType="end"/>
    </w:r>
  </w:p>
  <w:p w14:paraId="0E74E4D7" w14:textId="77777777" w:rsidR="00724034" w:rsidRDefault="00724034">
    <w:pPr>
      <w:pStyle w:val="MyLastParagraph"/>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36FF6" w14:textId="77777777" w:rsidR="003F0EEA" w:rsidRPr="001D1C41" w:rsidRDefault="0088789D" w:rsidP="003F0EEA">
    <w:pPr>
      <w:pStyle w:val="Normal0"/>
      <w:jc w:val="center"/>
      <w:rPr>
        <w:color w:val="FFFFFF"/>
      </w:rPr>
    </w:pPr>
    <w:r w:rsidRPr="001D1C41">
      <w:rPr>
        <w:color w:val="FFFFFF"/>
      </w:rPr>
      <w:fldChar w:fldCharType="begin"/>
    </w:r>
    <w:r w:rsidR="00FB7D0B" w:rsidRPr="001D1C41">
      <w:rPr>
        <w:color w:val="FFFFFF"/>
      </w:rPr>
      <w:instrText xml:space="preserve"> PAGE  \* roman  \* MERGEFORMAT </w:instrText>
    </w:r>
    <w:r w:rsidRPr="001D1C41">
      <w:rPr>
        <w:color w:val="FFFFFF"/>
      </w:rPr>
      <w:fldChar w:fldCharType="separate"/>
    </w:r>
    <w:r w:rsidR="00CB2EAB">
      <w:rPr>
        <w:noProof/>
        <w:color w:val="FFFFFF"/>
      </w:rPr>
      <w:t>iii</w:t>
    </w:r>
    <w:r w:rsidRPr="001D1C41">
      <w:rPr>
        <w:color w:val="FFFFFF"/>
      </w:rPr>
      <w:fldChar w:fldCharType="end"/>
    </w:r>
  </w:p>
  <w:p w14:paraId="5E2B01F6" w14:textId="77777777" w:rsidR="003F0EEA" w:rsidRDefault="003F0EEA" w:rsidP="003F0EEA">
    <w:pPr>
      <w:pStyle w:val="Normal0"/>
    </w:pPr>
  </w:p>
  <w:p w14:paraId="32F73327" w14:textId="77777777" w:rsidR="003F0EEA" w:rsidRDefault="003F0EEA" w:rsidP="003F0EEA">
    <w:pPr>
      <w:pStyle w:val="Normal0"/>
    </w:pPr>
  </w:p>
  <w:p w14:paraId="50723183" w14:textId="5FC030C1" w:rsidR="003F0EEA" w:rsidRDefault="0088789D" w:rsidP="003F0EEA">
    <w:pPr>
      <w:pStyle w:val="Normal0"/>
      <w:jc w:val="center"/>
    </w:pPr>
    <w:r>
      <w:fldChar w:fldCharType="begin"/>
    </w:r>
    <w:r w:rsidR="00FB7D0B">
      <w:instrText xml:space="preserve"> IF </w:instrText>
    </w:r>
    <w:r>
      <w:fldChar w:fldCharType="begin"/>
    </w:r>
    <w:r w:rsidR="00FB7D0B">
      <w:instrText xml:space="preserve"> PAGE </w:instrText>
    </w:r>
    <w:r>
      <w:fldChar w:fldCharType="separate"/>
    </w:r>
    <w:r w:rsidR="00C37B64">
      <w:rPr>
        <w:noProof/>
      </w:rPr>
      <w:instrText>3</w:instrText>
    </w:r>
    <w:r>
      <w:fldChar w:fldCharType="end"/>
    </w:r>
    <w:r w:rsidR="00FB7D0B">
      <w:instrText xml:space="preserve"> &lt; iv " "" " </w:instrText>
    </w:r>
    <w:r>
      <w:fldChar w:fldCharType="begin"/>
    </w:r>
    <w:r w:rsidR="00FB7D0B">
      <w:instrText xml:space="preserve"> PAGE </w:instrText>
    </w:r>
    <w:r>
      <w:fldChar w:fldCharType="end"/>
    </w:r>
    <w:r>
      <w:fldChar w:fldCharType="separate"/>
    </w:r>
    <w:r w:rsidR="00C37B64">
      <w:rPr>
        <w:noProof/>
      </w:rPr>
      <w:t xml:space="preserve"> </w:t>
    </w:r>
    <w:r>
      <w:fldChar w:fldCharType="end"/>
    </w:r>
  </w:p>
  <w:p w14:paraId="47E26055" w14:textId="77777777" w:rsidR="00724034" w:rsidRDefault="00724034">
    <w:pPr>
      <w:pStyle w:val="MyLastParagraph"/>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94FCF" w14:textId="77777777" w:rsidR="003F0EEA" w:rsidRDefault="0088789D" w:rsidP="003F0EEA">
    <w:pPr>
      <w:pStyle w:val="Normal43"/>
      <w:jc w:val="center"/>
      <w:rPr>
        <w:rFonts w:ascii="Arial" w:eastAsia="Calibri" w:hAnsi="Arial" w:cs="Arial"/>
        <w:sz w:val="20"/>
        <w:szCs w:val="20"/>
      </w:rPr>
    </w:pPr>
    <w:r w:rsidRPr="00E417A7">
      <w:rPr>
        <w:rFonts w:ascii="Arial" w:eastAsia="Calibri" w:hAnsi="Arial" w:cs="Arial"/>
        <w:sz w:val="20"/>
        <w:szCs w:val="20"/>
      </w:rPr>
      <w:fldChar w:fldCharType="begin"/>
    </w:r>
    <w:r w:rsidR="00FB7D0B" w:rsidRPr="00E417A7">
      <w:rPr>
        <w:rFonts w:ascii="Arial" w:eastAsia="Calibri" w:hAnsi="Arial" w:cs="Arial"/>
        <w:sz w:val="20"/>
        <w:szCs w:val="20"/>
      </w:rPr>
      <w:instrText xml:space="preserve"> PAGE  \* Arabic  \* MERGEFORMAT </w:instrText>
    </w:r>
    <w:r w:rsidRPr="00E417A7">
      <w:rPr>
        <w:rFonts w:ascii="Arial" w:eastAsia="Calibri" w:hAnsi="Arial" w:cs="Arial"/>
        <w:sz w:val="20"/>
        <w:szCs w:val="20"/>
      </w:rPr>
      <w:fldChar w:fldCharType="separate"/>
    </w:r>
    <w:r w:rsidR="00CB2EAB">
      <w:rPr>
        <w:rFonts w:ascii="Arial" w:eastAsia="Calibri" w:hAnsi="Arial" w:cs="Arial"/>
        <w:noProof/>
        <w:sz w:val="20"/>
        <w:szCs w:val="20"/>
      </w:rPr>
      <w:t>9</w:t>
    </w:r>
    <w:r w:rsidRPr="00E417A7">
      <w:rPr>
        <w:rFonts w:ascii="Arial" w:eastAsia="Calibri" w:hAnsi="Arial" w:cs="Arial"/>
        <w:sz w:val="20"/>
        <w:szCs w:val="20"/>
      </w:rPr>
      <w:fldChar w:fldCharType="end"/>
    </w:r>
  </w:p>
  <w:p w14:paraId="79B7B939" w14:textId="77777777" w:rsidR="00724034" w:rsidRDefault="00724034">
    <w:pPr>
      <w:pStyle w:val="MyLastParagraph"/>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7ED9E" w14:textId="77777777" w:rsidR="003F0EEA" w:rsidRPr="00995343" w:rsidRDefault="0088789D" w:rsidP="003F0EEA">
    <w:pPr>
      <w:pStyle w:val="Normal47"/>
      <w:jc w:val="center"/>
      <w:rPr>
        <w:rFonts w:ascii="Arial (W1)" w:eastAsia="Calibri" w:hAnsi="Arial (W1)" w:cs="Arial"/>
        <w:color w:val="FFFFFF"/>
        <w:sz w:val="20"/>
        <w:szCs w:val="20"/>
      </w:rPr>
    </w:pPr>
    <w:r w:rsidRPr="00995343">
      <w:rPr>
        <w:rFonts w:ascii="Arial (W1)" w:eastAsia="Calibri" w:hAnsi="Arial (W1)" w:cs="Arial"/>
        <w:color w:val="FFFFFF"/>
        <w:sz w:val="20"/>
        <w:szCs w:val="20"/>
      </w:rPr>
      <w:fldChar w:fldCharType="begin"/>
    </w:r>
    <w:r w:rsidR="00FB7D0B" w:rsidRPr="00995343">
      <w:rPr>
        <w:rFonts w:ascii="Arial (W1)" w:eastAsia="Calibri" w:hAnsi="Arial (W1)" w:cs="Arial"/>
        <w:color w:val="FFFFFF"/>
        <w:sz w:val="20"/>
        <w:szCs w:val="20"/>
      </w:rPr>
      <w:instrText xml:space="preserve"> PAGE  \* Arabic  \* MERGEFORMAT </w:instrText>
    </w:r>
    <w:r w:rsidRPr="00995343">
      <w:rPr>
        <w:rFonts w:ascii="Arial (W1)" w:eastAsia="Calibri" w:hAnsi="Arial (W1)" w:cs="Arial"/>
        <w:color w:val="FFFFFF"/>
        <w:sz w:val="20"/>
        <w:szCs w:val="20"/>
      </w:rPr>
      <w:fldChar w:fldCharType="separate"/>
    </w:r>
    <w:r w:rsidR="00CB2EAB">
      <w:rPr>
        <w:rFonts w:ascii="Arial (W1)" w:eastAsia="Calibri" w:hAnsi="Arial (W1)" w:cs="Arial"/>
        <w:noProof/>
        <w:color w:val="FFFFFF"/>
        <w:sz w:val="20"/>
        <w:szCs w:val="20"/>
      </w:rPr>
      <w:t>10</w:t>
    </w:r>
    <w:r w:rsidRPr="00995343">
      <w:rPr>
        <w:rFonts w:ascii="Arial (W1)" w:eastAsia="Calibri" w:hAnsi="Arial (W1)" w:cs="Arial"/>
        <w:color w:val="FFFFFF"/>
        <w:sz w:val="20"/>
        <w:szCs w:val="20"/>
      </w:rPr>
      <w:fldChar w:fldCharType="end"/>
    </w:r>
  </w:p>
  <w:p w14:paraId="34039FB7" w14:textId="77777777" w:rsidR="00724034" w:rsidRDefault="00724034">
    <w:pPr>
      <w:pStyle w:val="MyLastParagraph"/>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08089" w14:textId="77777777" w:rsidR="003F0EEA" w:rsidRPr="00D95AE4" w:rsidRDefault="0088789D" w:rsidP="003F0EEA">
    <w:pPr>
      <w:pStyle w:val="Normal46"/>
      <w:jc w:val="center"/>
      <w:rPr>
        <w:rFonts w:ascii="Arial (W1)" w:eastAsia="Calibri" w:hAnsi="Arial (W1)" w:cs="Arial"/>
        <w:color w:val="FFFFFF"/>
        <w:sz w:val="20"/>
        <w:szCs w:val="20"/>
      </w:rPr>
    </w:pPr>
    <w:r w:rsidRPr="00D95AE4">
      <w:rPr>
        <w:rFonts w:ascii="Arial (W1)" w:eastAsia="Calibri" w:hAnsi="Arial (W1)" w:cs="Arial"/>
        <w:color w:val="FFFFFF"/>
        <w:sz w:val="20"/>
        <w:szCs w:val="20"/>
      </w:rPr>
      <w:fldChar w:fldCharType="begin"/>
    </w:r>
    <w:r w:rsidR="00FB7D0B" w:rsidRPr="00D95AE4">
      <w:rPr>
        <w:rFonts w:ascii="Arial (W1)" w:eastAsia="Calibri" w:hAnsi="Arial (W1)" w:cs="Arial"/>
        <w:color w:val="FFFFFF"/>
        <w:sz w:val="20"/>
        <w:szCs w:val="20"/>
      </w:rPr>
      <w:instrText xml:space="preserve"> PAGE  \* Arabic  \* MERGEFORMAT </w:instrText>
    </w:r>
    <w:r w:rsidRPr="00D95AE4">
      <w:rPr>
        <w:rFonts w:ascii="Arial (W1)" w:eastAsia="Calibri" w:hAnsi="Arial (W1)" w:cs="Arial"/>
        <w:color w:val="FFFFFF"/>
        <w:sz w:val="20"/>
        <w:szCs w:val="20"/>
      </w:rPr>
      <w:fldChar w:fldCharType="separate"/>
    </w:r>
    <w:r w:rsidR="00FB7D0B" w:rsidRPr="00D95AE4">
      <w:rPr>
        <w:rFonts w:ascii="Arial (W1)" w:eastAsia="Calibri" w:hAnsi="Arial (W1)" w:cs="Arial"/>
        <w:noProof/>
        <w:color w:val="FFFFFF"/>
        <w:sz w:val="20"/>
        <w:szCs w:val="20"/>
      </w:rPr>
      <w:t>1</w:t>
    </w:r>
    <w:r w:rsidRPr="00D95AE4">
      <w:rPr>
        <w:rFonts w:ascii="Arial (W1)" w:eastAsia="Calibri" w:hAnsi="Arial (W1)" w:cs="Arial"/>
        <w:color w:val="FFFFFF"/>
        <w:sz w:val="20"/>
        <w:szCs w:val="20"/>
      </w:rPr>
      <w:fldChar w:fldCharType="end"/>
    </w:r>
  </w:p>
  <w:p w14:paraId="069FD360" w14:textId="77777777" w:rsidR="00724034" w:rsidRDefault="00724034">
    <w:pPr>
      <w:pStyle w:val="MyLastParagraph"/>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E4523" w14:textId="77777777" w:rsidR="003F0EEA" w:rsidRDefault="0088789D" w:rsidP="003F0EEA">
    <w:pPr>
      <w:pStyle w:val="Normal50"/>
      <w:jc w:val="center"/>
      <w:rPr>
        <w:rFonts w:ascii="Arial" w:eastAsia="Calibri" w:hAnsi="Arial" w:cs="Arial"/>
        <w:sz w:val="20"/>
        <w:szCs w:val="20"/>
      </w:rPr>
    </w:pPr>
    <w:r w:rsidRPr="00E417A7">
      <w:rPr>
        <w:rFonts w:ascii="Arial" w:eastAsia="Calibri" w:hAnsi="Arial" w:cs="Arial"/>
        <w:sz w:val="20"/>
        <w:szCs w:val="20"/>
      </w:rPr>
      <w:fldChar w:fldCharType="begin"/>
    </w:r>
    <w:r w:rsidR="00FB7D0B" w:rsidRPr="00E417A7">
      <w:rPr>
        <w:rFonts w:ascii="Arial" w:eastAsia="Calibri" w:hAnsi="Arial" w:cs="Arial"/>
        <w:sz w:val="20"/>
        <w:szCs w:val="20"/>
      </w:rPr>
      <w:instrText xml:space="preserve"> PAGE  \* Arabic  \* MERGEFORMAT </w:instrText>
    </w:r>
    <w:r w:rsidRPr="00E417A7">
      <w:rPr>
        <w:rFonts w:ascii="Arial" w:eastAsia="Calibri" w:hAnsi="Arial" w:cs="Arial"/>
        <w:sz w:val="20"/>
        <w:szCs w:val="20"/>
      </w:rPr>
      <w:fldChar w:fldCharType="separate"/>
    </w:r>
    <w:r w:rsidR="00FB7D0B" w:rsidRPr="00E417A7">
      <w:rPr>
        <w:rFonts w:ascii="Arial" w:eastAsia="Calibri" w:hAnsi="Arial" w:cs="Arial"/>
        <w:noProof/>
        <w:sz w:val="20"/>
        <w:szCs w:val="20"/>
      </w:rPr>
      <w:t>1</w:t>
    </w:r>
    <w:r w:rsidRPr="00E417A7">
      <w:rPr>
        <w:rFonts w:ascii="Arial" w:eastAsia="Calibri" w:hAnsi="Arial" w:cs="Arial"/>
        <w:sz w:val="20"/>
        <w:szCs w:val="20"/>
      </w:rPr>
      <w:fldChar w:fldCharType="end"/>
    </w:r>
  </w:p>
  <w:p w14:paraId="307EFD1F" w14:textId="77777777" w:rsidR="00724034" w:rsidRDefault="00724034">
    <w:pPr>
      <w:pStyle w:val="MyLastParagraph"/>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0BA34" w14:textId="77777777" w:rsidR="003F0EEA" w:rsidRDefault="0088789D" w:rsidP="003F0EEA">
    <w:pPr>
      <w:pStyle w:val="Normal49"/>
      <w:jc w:val="center"/>
      <w:rPr>
        <w:rFonts w:ascii="Arial" w:eastAsia="Calibri" w:hAnsi="Arial" w:cs="Arial"/>
        <w:sz w:val="20"/>
        <w:szCs w:val="20"/>
      </w:rPr>
    </w:pPr>
    <w:r w:rsidRPr="00E417A7">
      <w:rPr>
        <w:rFonts w:ascii="Arial" w:eastAsia="Calibri" w:hAnsi="Arial" w:cs="Arial"/>
        <w:sz w:val="20"/>
        <w:szCs w:val="20"/>
      </w:rPr>
      <w:fldChar w:fldCharType="begin"/>
    </w:r>
    <w:r w:rsidR="00FB7D0B" w:rsidRPr="00E417A7">
      <w:rPr>
        <w:rFonts w:ascii="Arial" w:eastAsia="Calibri" w:hAnsi="Arial" w:cs="Arial"/>
        <w:sz w:val="20"/>
        <w:szCs w:val="20"/>
      </w:rPr>
      <w:instrText xml:space="preserve"> PAGE  \* Arabic  \* MERGEFORMAT </w:instrText>
    </w:r>
    <w:r w:rsidRPr="00E417A7">
      <w:rPr>
        <w:rFonts w:ascii="Arial" w:eastAsia="Calibri" w:hAnsi="Arial" w:cs="Arial"/>
        <w:sz w:val="20"/>
        <w:szCs w:val="20"/>
      </w:rPr>
      <w:fldChar w:fldCharType="separate"/>
    </w:r>
    <w:r w:rsidR="00CB2EAB">
      <w:rPr>
        <w:rFonts w:ascii="Arial" w:eastAsia="Calibri" w:hAnsi="Arial" w:cs="Arial"/>
        <w:noProof/>
        <w:sz w:val="20"/>
        <w:szCs w:val="20"/>
      </w:rPr>
      <w:t>11</w:t>
    </w:r>
    <w:r w:rsidRPr="00E417A7">
      <w:rPr>
        <w:rFonts w:ascii="Arial" w:eastAsia="Calibri" w:hAnsi="Arial" w:cs="Arial"/>
        <w:sz w:val="20"/>
        <w:szCs w:val="20"/>
      </w:rPr>
      <w:fldChar w:fldCharType="end"/>
    </w:r>
  </w:p>
  <w:p w14:paraId="65643322" w14:textId="77777777" w:rsidR="00724034" w:rsidRDefault="00724034">
    <w:pPr>
      <w:pStyle w:val="MyLastParagraph"/>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CB9F2" w14:textId="77777777" w:rsidR="003F0EEA" w:rsidRPr="004B0217" w:rsidRDefault="0088789D" w:rsidP="003F0EEA">
    <w:pPr>
      <w:pStyle w:val="Normal53"/>
      <w:jc w:val="center"/>
      <w:rPr>
        <w:rFonts w:ascii="Arial" w:eastAsia="Calibri" w:hAnsi="Arial" w:cs="Arial"/>
        <w:color w:val="FFFFFF"/>
        <w:sz w:val="20"/>
        <w:szCs w:val="20"/>
      </w:rPr>
    </w:pPr>
    <w:r w:rsidRPr="004B0217">
      <w:rPr>
        <w:rFonts w:ascii="Arial" w:eastAsia="Calibri" w:hAnsi="Arial" w:cs="Arial"/>
        <w:color w:val="FFFFFF"/>
        <w:sz w:val="20"/>
        <w:szCs w:val="20"/>
      </w:rPr>
      <w:fldChar w:fldCharType="begin"/>
    </w:r>
    <w:r w:rsidR="00FB7D0B" w:rsidRPr="004B0217">
      <w:rPr>
        <w:rFonts w:ascii="Arial" w:eastAsia="Calibri" w:hAnsi="Arial" w:cs="Arial"/>
        <w:color w:val="FFFFFF"/>
        <w:sz w:val="20"/>
        <w:szCs w:val="20"/>
      </w:rPr>
      <w:instrText xml:space="preserve"> PAGE  \* Arabic  \* MERGEFORMAT </w:instrText>
    </w:r>
    <w:r w:rsidRPr="004B0217">
      <w:rPr>
        <w:rFonts w:ascii="Arial" w:eastAsia="Calibri" w:hAnsi="Arial" w:cs="Arial"/>
        <w:color w:val="FFFFFF"/>
        <w:sz w:val="20"/>
        <w:szCs w:val="20"/>
      </w:rPr>
      <w:fldChar w:fldCharType="separate"/>
    </w:r>
    <w:r w:rsidR="00CB2EAB">
      <w:rPr>
        <w:rFonts w:ascii="Arial" w:eastAsia="Calibri" w:hAnsi="Arial" w:cs="Arial"/>
        <w:noProof/>
        <w:color w:val="FFFFFF"/>
        <w:sz w:val="20"/>
        <w:szCs w:val="20"/>
      </w:rPr>
      <w:t>12</w:t>
    </w:r>
    <w:r w:rsidRPr="004B0217">
      <w:rPr>
        <w:rFonts w:ascii="Arial" w:eastAsia="Calibri" w:hAnsi="Arial" w:cs="Arial"/>
        <w:color w:val="FFFFFF"/>
        <w:sz w:val="20"/>
        <w:szCs w:val="20"/>
      </w:rPr>
      <w:fldChar w:fldCharType="end"/>
    </w:r>
  </w:p>
  <w:p w14:paraId="5DB65B85" w14:textId="77777777" w:rsidR="00724034" w:rsidRDefault="00724034">
    <w:pPr>
      <w:pStyle w:val="MyLastParagraph"/>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1689D" w14:textId="77777777" w:rsidR="003F0EEA" w:rsidRPr="0062552C" w:rsidRDefault="0088789D" w:rsidP="003F0EEA">
    <w:pPr>
      <w:pStyle w:val="Normal52"/>
      <w:jc w:val="center"/>
      <w:rPr>
        <w:rFonts w:ascii="Arial" w:eastAsia="Calibri" w:hAnsi="Arial" w:cs="Arial"/>
        <w:color w:val="FFFFFF"/>
        <w:sz w:val="20"/>
        <w:szCs w:val="20"/>
      </w:rPr>
    </w:pPr>
    <w:r w:rsidRPr="0062552C">
      <w:rPr>
        <w:rFonts w:ascii="Arial" w:eastAsia="Calibri" w:hAnsi="Arial" w:cs="Arial"/>
        <w:color w:val="FFFFFF"/>
        <w:sz w:val="20"/>
        <w:szCs w:val="20"/>
      </w:rPr>
      <w:fldChar w:fldCharType="begin"/>
    </w:r>
    <w:r w:rsidR="00FB7D0B" w:rsidRPr="0062552C">
      <w:rPr>
        <w:rFonts w:ascii="Arial" w:eastAsia="Calibri" w:hAnsi="Arial" w:cs="Arial"/>
        <w:color w:val="FFFFFF"/>
        <w:sz w:val="20"/>
        <w:szCs w:val="20"/>
      </w:rPr>
      <w:instrText xml:space="preserve"> PAGE  \* Arabic  \* MERGEFORMAT </w:instrText>
    </w:r>
    <w:r w:rsidRPr="0062552C">
      <w:rPr>
        <w:rFonts w:ascii="Arial" w:eastAsia="Calibri" w:hAnsi="Arial" w:cs="Arial"/>
        <w:color w:val="FFFFFF"/>
        <w:sz w:val="20"/>
        <w:szCs w:val="20"/>
      </w:rPr>
      <w:fldChar w:fldCharType="separate"/>
    </w:r>
    <w:r w:rsidR="00FB7D0B" w:rsidRPr="0062552C">
      <w:rPr>
        <w:rFonts w:ascii="Arial" w:eastAsia="Calibri" w:hAnsi="Arial" w:cs="Arial"/>
        <w:noProof/>
        <w:color w:val="FFFFFF"/>
        <w:sz w:val="20"/>
        <w:szCs w:val="20"/>
      </w:rPr>
      <w:t>1</w:t>
    </w:r>
    <w:r w:rsidRPr="0062552C">
      <w:rPr>
        <w:rFonts w:ascii="Arial" w:eastAsia="Calibri" w:hAnsi="Arial" w:cs="Arial"/>
        <w:color w:val="FFFFFF"/>
        <w:sz w:val="20"/>
        <w:szCs w:val="20"/>
      </w:rPr>
      <w:fldChar w:fldCharType="end"/>
    </w:r>
  </w:p>
  <w:p w14:paraId="5E574918" w14:textId="77777777" w:rsidR="00724034" w:rsidRDefault="00724034">
    <w:pPr>
      <w:pStyle w:val="MyLastParagraph"/>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9C19A" w14:textId="77777777" w:rsidR="003F0EEA" w:rsidRDefault="0088789D" w:rsidP="003F0EEA">
    <w:pPr>
      <w:pStyle w:val="Normal56"/>
      <w:jc w:val="center"/>
      <w:rPr>
        <w:rFonts w:ascii="Arial" w:eastAsia="Calibri" w:hAnsi="Arial" w:cs="Arial"/>
        <w:sz w:val="20"/>
        <w:szCs w:val="20"/>
      </w:rPr>
    </w:pPr>
    <w:r w:rsidRPr="00E417A7">
      <w:rPr>
        <w:rFonts w:ascii="Arial" w:eastAsia="Calibri" w:hAnsi="Arial" w:cs="Arial"/>
        <w:sz w:val="20"/>
        <w:szCs w:val="20"/>
      </w:rPr>
      <w:fldChar w:fldCharType="begin"/>
    </w:r>
    <w:r w:rsidR="00FB7D0B" w:rsidRPr="00E417A7">
      <w:rPr>
        <w:rFonts w:ascii="Arial" w:eastAsia="Calibri" w:hAnsi="Arial" w:cs="Arial"/>
        <w:sz w:val="20"/>
        <w:szCs w:val="20"/>
      </w:rPr>
      <w:instrText xml:space="preserve"> PAGE  \* Arabic  \* MERGEFORMAT </w:instrText>
    </w:r>
    <w:r w:rsidRPr="00E417A7">
      <w:rPr>
        <w:rFonts w:ascii="Arial" w:eastAsia="Calibri" w:hAnsi="Arial" w:cs="Arial"/>
        <w:sz w:val="20"/>
        <w:szCs w:val="20"/>
      </w:rPr>
      <w:fldChar w:fldCharType="separate"/>
    </w:r>
    <w:r w:rsidR="00FB7D0B" w:rsidRPr="00E417A7">
      <w:rPr>
        <w:rFonts w:ascii="Arial" w:eastAsia="Calibri" w:hAnsi="Arial" w:cs="Arial"/>
        <w:noProof/>
        <w:sz w:val="20"/>
        <w:szCs w:val="20"/>
      </w:rPr>
      <w:t>1</w:t>
    </w:r>
    <w:r w:rsidRPr="00E417A7">
      <w:rPr>
        <w:rFonts w:ascii="Arial" w:eastAsia="Calibri" w:hAnsi="Arial" w:cs="Arial"/>
        <w:sz w:val="20"/>
        <w:szCs w:val="20"/>
      </w:rPr>
      <w:fldChar w:fldCharType="end"/>
    </w:r>
  </w:p>
  <w:p w14:paraId="6EE5290E" w14:textId="77777777" w:rsidR="00724034" w:rsidRDefault="00724034">
    <w:pPr>
      <w:pStyle w:val="MyLastParagraph"/>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685AC" w14:textId="77777777" w:rsidR="003F0EEA" w:rsidRDefault="0088789D" w:rsidP="003F0EEA">
    <w:pPr>
      <w:pStyle w:val="Normal55"/>
      <w:jc w:val="center"/>
      <w:rPr>
        <w:rFonts w:ascii="Arial" w:eastAsia="Calibri" w:hAnsi="Arial" w:cs="Arial"/>
        <w:sz w:val="20"/>
        <w:szCs w:val="20"/>
      </w:rPr>
    </w:pPr>
    <w:r w:rsidRPr="00E417A7">
      <w:rPr>
        <w:rFonts w:ascii="Arial" w:eastAsia="Calibri" w:hAnsi="Arial" w:cs="Arial"/>
        <w:sz w:val="20"/>
        <w:szCs w:val="20"/>
      </w:rPr>
      <w:fldChar w:fldCharType="begin"/>
    </w:r>
    <w:r w:rsidR="00FB7D0B" w:rsidRPr="00E417A7">
      <w:rPr>
        <w:rFonts w:ascii="Arial" w:eastAsia="Calibri" w:hAnsi="Arial" w:cs="Arial"/>
        <w:sz w:val="20"/>
        <w:szCs w:val="20"/>
      </w:rPr>
      <w:instrText xml:space="preserve"> PAGE  \* Arabic  \* MERGEFORMAT </w:instrText>
    </w:r>
    <w:r w:rsidRPr="00E417A7">
      <w:rPr>
        <w:rFonts w:ascii="Arial" w:eastAsia="Calibri" w:hAnsi="Arial" w:cs="Arial"/>
        <w:sz w:val="20"/>
        <w:szCs w:val="20"/>
      </w:rPr>
      <w:fldChar w:fldCharType="separate"/>
    </w:r>
    <w:r w:rsidR="00CB2EAB">
      <w:rPr>
        <w:rFonts w:ascii="Arial" w:eastAsia="Calibri" w:hAnsi="Arial" w:cs="Arial"/>
        <w:noProof/>
        <w:sz w:val="20"/>
        <w:szCs w:val="20"/>
      </w:rPr>
      <w:t>13</w:t>
    </w:r>
    <w:r w:rsidRPr="00E417A7">
      <w:rPr>
        <w:rFonts w:ascii="Arial" w:eastAsia="Calibri" w:hAnsi="Arial" w:cs="Arial"/>
        <w:sz w:val="20"/>
        <w:szCs w:val="20"/>
      </w:rPr>
      <w:fldChar w:fldCharType="end"/>
    </w:r>
  </w:p>
  <w:p w14:paraId="7532CB2F" w14:textId="77777777" w:rsidR="00724034" w:rsidRDefault="00724034">
    <w:pPr>
      <w:pStyle w:val="MyLastParagraph"/>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ACF4E" w14:textId="77777777" w:rsidR="003F0EEA" w:rsidRPr="004B0217" w:rsidRDefault="0088789D" w:rsidP="003F0EEA">
    <w:pPr>
      <w:pStyle w:val="Normal59"/>
      <w:jc w:val="center"/>
      <w:rPr>
        <w:rFonts w:ascii="Arial" w:eastAsia="Calibri" w:hAnsi="Arial" w:cs="Arial"/>
        <w:color w:val="FFFFFF"/>
        <w:sz w:val="20"/>
        <w:szCs w:val="20"/>
      </w:rPr>
    </w:pPr>
    <w:r w:rsidRPr="004B0217">
      <w:rPr>
        <w:rFonts w:ascii="Arial" w:eastAsia="Calibri" w:hAnsi="Arial" w:cs="Arial"/>
        <w:color w:val="FFFFFF"/>
        <w:sz w:val="20"/>
        <w:szCs w:val="20"/>
      </w:rPr>
      <w:fldChar w:fldCharType="begin"/>
    </w:r>
    <w:r w:rsidR="00FB7D0B" w:rsidRPr="004B0217">
      <w:rPr>
        <w:rFonts w:ascii="Arial" w:eastAsia="Calibri" w:hAnsi="Arial" w:cs="Arial"/>
        <w:color w:val="FFFFFF"/>
        <w:sz w:val="20"/>
        <w:szCs w:val="20"/>
      </w:rPr>
      <w:instrText xml:space="preserve"> PAGE  \* Arabic  \* MERGEFORMAT </w:instrText>
    </w:r>
    <w:r w:rsidRPr="004B0217">
      <w:rPr>
        <w:rFonts w:ascii="Arial" w:eastAsia="Calibri" w:hAnsi="Arial" w:cs="Arial"/>
        <w:color w:val="FFFFFF"/>
        <w:sz w:val="20"/>
        <w:szCs w:val="20"/>
      </w:rPr>
      <w:fldChar w:fldCharType="separate"/>
    </w:r>
    <w:r w:rsidR="00CB2EAB">
      <w:rPr>
        <w:rFonts w:ascii="Arial" w:eastAsia="Calibri" w:hAnsi="Arial" w:cs="Arial"/>
        <w:noProof/>
        <w:color w:val="FFFFFF"/>
        <w:sz w:val="20"/>
        <w:szCs w:val="20"/>
      </w:rPr>
      <w:t>14</w:t>
    </w:r>
    <w:r w:rsidRPr="004B0217">
      <w:rPr>
        <w:rFonts w:ascii="Arial" w:eastAsia="Calibri" w:hAnsi="Arial" w:cs="Arial"/>
        <w:color w:val="FFFFFF"/>
        <w:sz w:val="20"/>
        <w:szCs w:val="20"/>
      </w:rPr>
      <w:fldChar w:fldCharType="end"/>
    </w:r>
  </w:p>
  <w:p w14:paraId="2B1FDEF8" w14:textId="77777777" w:rsidR="00724034" w:rsidRDefault="00724034">
    <w:pPr>
      <w:pStyle w:val="MyLastParagraph"/>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03606" w14:textId="77777777" w:rsidR="003F0EEA" w:rsidRPr="0060132B" w:rsidRDefault="00FB7D0B" w:rsidP="003F0EEA">
    <w:pPr>
      <w:pStyle w:val="Normal8"/>
      <w:jc w:val="center"/>
      <w:rPr>
        <w:rFonts w:ascii="Arial" w:hAnsi="Arial" w:cs="Arial"/>
        <w:sz w:val="20"/>
        <w:szCs w:val="20"/>
      </w:rPr>
    </w:pPr>
    <w:r w:rsidRPr="0060132B">
      <w:rPr>
        <w:rFonts w:ascii="Arial" w:hAnsi="Arial" w:cs="Arial"/>
        <w:sz w:val="20"/>
        <w:szCs w:val="20"/>
      </w:rPr>
      <w:t>iv</w:t>
    </w:r>
  </w:p>
  <w:p w14:paraId="62F54524" w14:textId="77777777" w:rsidR="00724034" w:rsidRDefault="00724034">
    <w:pPr>
      <w:pStyle w:val="MyLastParagraph"/>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9DAE4" w14:textId="77777777" w:rsidR="003F0EEA" w:rsidRPr="0062552C" w:rsidRDefault="0088789D" w:rsidP="003F0EEA">
    <w:pPr>
      <w:pStyle w:val="Normal58"/>
      <w:jc w:val="center"/>
      <w:rPr>
        <w:rFonts w:ascii="Arial" w:eastAsia="Calibri" w:hAnsi="Arial" w:cs="Arial"/>
        <w:color w:val="FFFFFF"/>
        <w:sz w:val="20"/>
        <w:szCs w:val="20"/>
      </w:rPr>
    </w:pPr>
    <w:r w:rsidRPr="0062552C">
      <w:rPr>
        <w:rFonts w:ascii="Arial" w:eastAsia="Calibri" w:hAnsi="Arial" w:cs="Arial"/>
        <w:color w:val="FFFFFF"/>
        <w:sz w:val="20"/>
        <w:szCs w:val="20"/>
      </w:rPr>
      <w:fldChar w:fldCharType="begin"/>
    </w:r>
    <w:r w:rsidR="00FB7D0B" w:rsidRPr="0062552C">
      <w:rPr>
        <w:rFonts w:ascii="Arial" w:eastAsia="Calibri" w:hAnsi="Arial" w:cs="Arial"/>
        <w:color w:val="FFFFFF"/>
        <w:sz w:val="20"/>
        <w:szCs w:val="20"/>
      </w:rPr>
      <w:instrText xml:space="preserve"> PAGE  \* Arabic  \* MERGEFORMAT </w:instrText>
    </w:r>
    <w:r w:rsidRPr="0062552C">
      <w:rPr>
        <w:rFonts w:ascii="Arial" w:eastAsia="Calibri" w:hAnsi="Arial" w:cs="Arial"/>
        <w:color w:val="FFFFFF"/>
        <w:sz w:val="20"/>
        <w:szCs w:val="20"/>
      </w:rPr>
      <w:fldChar w:fldCharType="separate"/>
    </w:r>
    <w:r w:rsidR="00FB7D0B" w:rsidRPr="0062552C">
      <w:rPr>
        <w:rFonts w:ascii="Arial" w:eastAsia="Calibri" w:hAnsi="Arial" w:cs="Arial"/>
        <w:noProof/>
        <w:color w:val="FFFFFF"/>
        <w:sz w:val="20"/>
        <w:szCs w:val="20"/>
      </w:rPr>
      <w:t>1</w:t>
    </w:r>
    <w:r w:rsidRPr="0062552C">
      <w:rPr>
        <w:rFonts w:ascii="Arial" w:eastAsia="Calibri" w:hAnsi="Arial" w:cs="Arial"/>
        <w:color w:val="FFFFFF"/>
        <w:sz w:val="20"/>
        <w:szCs w:val="20"/>
      </w:rPr>
      <w:fldChar w:fldCharType="end"/>
    </w:r>
  </w:p>
  <w:p w14:paraId="511F60ED" w14:textId="77777777" w:rsidR="00724034" w:rsidRDefault="00724034">
    <w:pPr>
      <w:pStyle w:val="MyLastParagraph"/>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68E6D" w14:textId="77777777" w:rsidR="003F0EEA" w:rsidRDefault="0088789D" w:rsidP="003F0EEA">
    <w:pPr>
      <w:pStyle w:val="Normal62"/>
      <w:jc w:val="center"/>
      <w:rPr>
        <w:rFonts w:ascii="Arial" w:eastAsia="Calibri" w:hAnsi="Arial" w:cs="Arial"/>
        <w:sz w:val="20"/>
        <w:szCs w:val="20"/>
      </w:rPr>
    </w:pPr>
    <w:r w:rsidRPr="00E417A7">
      <w:rPr>
        <w:rFonts w:ascii="Arial" w:eastAsia="Calibri" w:hAnsi="Arial" w:cs="Arial"/>
        <w:sz w:val="20"/>
        <w:szCs w:val="20"/>
      </w:rPr>
      <w:fldChar w:fldCharType="begin"/>
    </w:r>
    <w:r w:rsidR="00FB7D0B" w:rsidRPr="00E417A7">
      <w:rPr>
        <w:rFonts w:ascii="Arial" w:eastAsia="Calibri" w:hAnsi="Arial" w:cs="Arial"/>
        <w:sz w:val="20"/>
        <w:szCs w:val="20"/>
      </w:rPr>
      <w:instrText xml:space="preserve"> PAGE  \* Arabic  \* MERGEFORMAT </w:instrText>
    </w:r>
    <w:r w:rsidRPr="00E417A7">
      <w:rPr>
        <w:rFonts w:ascii="Arial" w:eastAsia="Calibri" w:hAnsi="Arial" w:cs="Arial"/>
        <w:sz w:val="20"/>
        <w:szCs w:val="20"/>
      </w:rPr>
      <w:fldChar w:fldCharType="separate"/>
    </w:r>
    <w:r w:rsidR="00FB7D0B" w:rsidRPr="00E417A7">
      <w:rPr>
        <w:rFonts w:ascii="Arial" w:eastAsia="Calibri" w:hAnsi="Arial" w:cs="Arial"/>
        <w:noProof/>
        <w:sz w:val="20"/>
        <w:szCs w:val="20"/>
      </w:rPr>
      <w:t>1</w:t>
    </w:r>
    <w:r w:rsidRPr="00E417A7">
      <w:rPr>
        <w:rFonts w:ascii="Arial" w:eastAsia="Calibri" w:hAnsi="Arial" w:cs="Arial"/>
        <w:sz w:val="20"/>
        <w:szCs w:val="20"/>
      </w:rPr>
      <w:fldChar w:fldCharType="end"/>
    </w:r>
  </w:p>
  <w:p w14:paraId="6A32B45A" w14:textId="77777777" w:rsidR="00724034" w:rsidRDefault="00724034">
    <w:pPr>
      <w:pStyle w:val="MyLastParagraph"/>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EF2BD" w14:textId="77777777" w:rsidR="003F0EEA" w:rsidRDefault="0088789D" w:rsidP="003F0EEA">
    <w:pPr>
      <w:pStyle w:val="Normal61"/>
      <w:jc w:val="center"/>
      <w:rPr>
        <w:rFonts w:ascii="Arial" w:eastAsia="Calibri" w:hAnsi="Arial" w:cs="Arial"/>
        <w:sz w:val="20"/>
        <w:szCs w:val="20"/>
      </w:rPr>
    </w:pPr>
    <w:r w:rsidRPr="00E417A7">
      <w:rPr>
        <w:rFonts w:ascii="Arial" w:eastAsia="Calibri" w:hAnsi="Arial" w:cs="Arial"/>
        <w:sz w:val="20"/>
        <w:szCs w:val="20"/>
      </w:rPr>
      <w:fldChar w:fldCharType="begin"/>
    </w:r>
    <w:r w:rsidR="00FB7D0B" w:rsidRPr="00E417A7">
      <w:rPr>
        <w:rFonts w:ascii="Arial" w:eastAsia="Calibri" w:hAnsi="Arial" w:cs="Arial"/>
        <w:sz w:val="20"/>
        <w:szCs w:val="20"/>
      </w:rPr>
      <w:instrText xml:space="preserve"> PAGE  \* Arabic  \* MERGEFORMAT </w:instrText>
    </w:r>
    <w:r w:rsidRPr="00E417A7">
      <w:rPr>
        <w:rFonts w:ascii="Arial" w:eastAsia="Calibri" w:hAnsi="Arial" w:cs="Arial"/>
        <w:sz w:val="20"/>
        <w:szCs w:val="20"/>
      </w:rPr>
      <w:fldChar w:fldCharType="separate"/>
    </w:r>
    <w:r w:rsidR="00CB2EAB">
      <w:rPr>
        <w:rFonts w:ascii="Arial" w:eastAsia="Calibri" w:hAnsi="Arial" w:cs="Arial"/>
        <w:noProof/>
        <w:sz w:val="20"/>
        <w:szCs w:val="20"/>
      </w:rPr>
      <w:t>15</w:t>
    </w:r>
    <w:r w:rsidRPr="00E417A7">
      <w:rPr>
        <w:rFonts w:ascii="Arial" w:eastAsia="Calibri" w:hAnsi="Arial" w:cs="Arial"/>
        <w:sz w:val="20"/>
        <w:szCs w:val="20"/>
      </w:rPr>
      <w:fldChar w:fldCharType="end"/>
    </w:r>
  </w:p>
  <w:p w14:paraId="1EC3288F" w14:textId="77777777" w:rsidR="00724034" w:rsidRDefault="00724034">
    <w:pPr>
      <w:pStyle w:val="MyLastParagraph"/>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11FF8" w14:textId="77777777" w:rsidR="003F0EEA" w:rsidRDefault="0088789D" w:rsidP="003F0EEA">
    <w:pPr>
      <w:pStyle w:val="Normal67"/>
      <w:jc w:val="center"/>
      <w:rPr>
        <w:rFonts w:ascii="Arial" w:eastAsia="Calibri" w:hAnsi="Arial" w:cs="Arial"/>
        <w:sz w:val="20"/>
        <w:szCs w:val="20"/>
      </w:rPr>
    </w:pPr>
    <w:r w:rsidRPr="00E417A7">
      <w:rPr>
        <w:rFonts w:ascii="Arial" w:eastAsia="Calibri" w:hAnsi="Arial" w:cs="Arial"/>
        <w:sz w:val="20"/>
        <w:szCs w:val="20"/>
      </w:rPr>
      <w:fldChar w:fldCharType="begin"/>
    </w:r>
    <w:r w:rsidR="00FB7D0B" w:rsidRPr="00E417A7">
      <w:rPr>
        <w:rFonts w:ascii="Arial" w:eastAsia="Calibri" w:hAnsi="Arial" w:cs="Arial"/>
        <w:sz w:val="20"/>
        <w:szCs w:val="20"/>
      </w:rPr>
      <w:instrText xml:space="preserve"> PAGE  \* Arabic  \* MERGEFORMAT </w:instrText>
    </w:r>
    <w:r w:rsidRPr="00E417A7">
      <w:rPr>
        <w:rFonts w:ascii="Arial" w:eastAsia="Calibri" w:hAnsi="Arial" w:cs="Arial"/>
        <w:sz w:val="20"/>
        <w:szCs w:val="20"/>
      </w:rPr>
      <w:fldChar w:fldCharType="separate"/>
    </w:r>
    <w:r w:rsidR="00CB2EAB">
      <w:rPr>
        <w:rFonts w:ascii="Arial" w:eastAsia="Calibri" w:hAnsi="Arial" w:cs="Arial"/>
        <w:noProof/>
        <w:sz w:val="20"/>
        <w:szCs w:val="20"/>
      </w:rPr>
      <w:t>54</w:t>
    </w:r>
    <w:r w:rsidRPr="00E417A7">
      <w:rPr>
        <w:rFonts w:ascii="Arial" w:eastAsia="Calibri" w:hAnsi="Arial" w:cs="Arial"/>
        <w:sz w:val="20"/>
        <w:szCs w:val="20"/>
      </w:rPr>
      <w:fldChar w:fldCharType="end"/>
    </w:r>
  </w:p>
  <w:p w14:paraId="7DA4505F" w14:textId="77777777" w:rsidR="00724034" w:rsidRDefault="00724034">
    <w:pPr>
      <w:pStyle w:val="MyLastParagraph"/>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7CFC0" w14:textId="77777777" w:rsidR="003F0EEA" w:rsidRDefault="0088789D" w:rsidP="003F0EEA">
    <w:pPr>
      <w:pStyle w:val="Normal66"/>
      <w:jc w:val="center"/>
      <w:rPr>
        <w:rFonts w:ascii="Arial" w:eastAsia="Calibri" w:hAnsi="Arial" w:cs="Arial"/>
        <w:sz w:val="20"/>
        <w:szCs w:val="20"/>
      </w:rPr>
    </w:pPr>
    <w:r w:rsidRPr="00E417A7">
      <w:rPr>
        <w:rFonts w:ascii="Arial" w:eastAsia="Calibri" w:hAnsi="Arial" w:cs="Arial"/>
        <w:sz w:val="20"/>
        <w:szCs w:val="20"/>
      </w:rPr>
      <w:fldChar w:fldCharType="begin"/>
    </w:r>
    <w:r w:rsidR="00FB7D0B" w:rsidRPr="00E417A7">
      <w:rPr>
        <w:rFonts w:ascii="Arial" w:eastAsia="Calibri" w:hAnsi="Arial" w:cs="Arial"/>
        <w:sz w:val="20"/>
        <w:szCs w:val="20"/>
      </w:rPr>
      <w:instrText xml:space="preserve"> PAGE  \* Arabic  \* MERGEFORMAT </w:instrText>
    </w:r>
    <w:r w:rsidRPr="00E417A7">
      <w:rPr>
        <w:rFonts w:ascii="Arial" w:eastAsia="Calibri" w:hAnsi="Arial" w:cs="Arial"/>
        <w:sz w:val="20"/>
        <w:szCs w:val="20"/>
      </w:rPr>
      <w:fldChar w:fldCharType="separate"/>
    </w:r>
    <w:r w:rsidR="00CB2EAB">
      <w:rPr>
        <w:rFonts w:ascii="Arial" w:eastAsia="Calibri" w:hAnsi="Arial" w:cs="Arial"/>
        <w:noProof/>
        <w:sz w:val="20"/>
        <w:szCs w:val="20"/>
      </w:rPr>
      <w:t>53</w:t>
    </w:r>
    <w:r w:rsidRPr="00E417A7">
      <w:rPr>
        <w:rFonts w:ascii="Arial" w:eastAsia="Calibri" w:hAnsi="Arial" w:cs="Arial"/>
        <w:sz w:val="20"/>
        <w:szCs w:val="20"/>
      </w:rPr>
      <w:fldChar w:fldCharType="end"/>
    </w:r>
  </w:p>
  <w:p w14:paraId="6C59CFD0" w14:textId="77777777" w:rsidR="00724034" w:rsidRDefault="00724034">
    <w:pPr>
      <w:pStyle w:val="MyLastParagraph"/>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75ACC" w14:textId="77777777" w:rsidR="003F0EEA" w:rsidRPr="0062552C" w:rsidRDefault="0088789D" w:rsidP="003F0EEA">
    <w:pPr>
      <w:pStyle w:val="Normal205"/>
      <w:jc w:val="center"/>
      <w:rPr>
        <w:rFonts w:ascii="Arial" w:eastAsia="Calibri" w:hAnsi="Arial" w:cs="Arial"/>
        <w:color w:val="FFFFFF"/>
        <w:sz w:val="20"/>
        <w:szCs w:val="20"/>
      </w:rPr>
    </w:pPr>
    <w:r w:rsidRPr="0062552C">
      <w:rPr>
        <w:rFonts w:ascii="Arial" w:eastAsia="Calibri" w:hAnsi="Arial" w:cs="Arial"/>
        <w:color w:val="FFFFFF"/>
        <w:sz w:val="20"/>
        <w:szCs w:val="20"/>
      </w:rPr>
      <w:fldChar w:fldCharType="begin"/>
    </w:r>
    <w:r w:rsidR="00FB7D0B" w:rsidRPr="0062552C">
      <w:rPr>
        <w:rFonts w:ascii="Arial" w:eastAsia="Calibri" w:hAnsi="Arial" w:cs="Arial"/>
        <w:color w:val="FFFFFF"/>
        <w:sz w:val="20"/>
        <w:szCs w:val="20"/>
      </w:rPr>
      <w:instrText xml:space="preserve"> PAGE  \* Arabic  \* MERGEFORMAT </w:instrText>
    </w:r>
    <w:r w:rsidRPr="0062552C">
      <w:rPr>
        <w:rFonts w:ascii="Arial" w:eastAsia="Calibri" w:hAnsi="Arial" w:cs="Arial"/>
        <w:color w:val="FFFFFF"/>
        <w:sz w:val="20"/>
        <w:szCs w:val="20"/>
      </w:rPr>
      <w:fldChar w:fldCharType="separate"/>
    </w:r>
    <w:r w:rsidR="00CB2EAB">
      <w:rPr>
        <w:rFonts w:ascii="Arial" w:eastAsia="Calibri" w:hAnsi="Arial" w:cs="Arial"/>
        <w:noProof/>
        <w:color w:val="FFFFFF"/>
        <w:sz w:val="20"/>
        <w:szCs w:val="20"/>
      </w:rPr>
      <w:t>94</w:t>
    </w:r>
    <w:r w:rsidRPr="0062552C">
      <w:rPr>
        <w:rFonts w:ascii="Arial" w:eastAsia="Calibri" w:hAnsi="Arial" w:cs="Arial"/>
        <w:color w:val="FFFFFF"/>
        <w:sz w:val="20"/>
        <w:szCs w:val="20"/>
      </w:rPr>
      <w:fldChar w:fldCharType="end"/>
    </w:r>
  </w:p>
  <w:p w14:paraId="5EF31149" w14:textId="77777777" w:rsidR="00724034" w:rsidRDefault="00724034">
    <w:pPr>
      <w:pStyle w:val="MyLastParagraph"/>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49025" w14:textId="77777777" w:rsidR="003F0EEA" w:rsidRPr="004B0217" w:rsidRDefault="0088789D" w:rsidP="003F0EEA">
    <w:pPr>
      <w:pStyle w:val="Normal204"/>
      <w:jc w:val="center"/>
      <w:rPr>
        <w:rFonts w:ascii="Arial" w:eastAsia="Calibri" w:hAnsi="Arial" w:cs="Arial"/>
        <w:color w:val="FFFFFF"/>
        <w:sz w:val="20"/>
        <w:szCs w:val="20"/>
      </w:rPr>
    </w:pPr>
    <w:r w:rsidRPr="004B0217">
      <w:rPr>
        <w:rFonts w:ascii="Arial" w:eastAsia="Calibri" w:hAnsi="Arial" w:cs="Arial"/>
        <w:color w:val="FFFFFF"/>
        <w:sz w:val="20"/>
        <w:szCs w:val="20"/>
      </w:rPr>
      <w:fldChar w:fldCharType="begin"/>
    </w:r>
    <w:r w:rsidR="00FB7D0B" w:rsidRPr="004B0217">
      <w:rPr>
        <w:rFonts w:ascii="Arial" w:eastAsia="Calibri" w:hAnsi="Arial" w:cs="Arial"/>
        <w:color w:val="FFFFFF"/>
        <w:sz w:val="20"/>
        <w:szCs w:val="20"/>
      </w:rPr>
      <w:instrText xml:space="preserve"> PAGE  \* Arabic  \* MERGEFORMAT </w:instrText>
    </w:r>
    <w:r w:rsidRPr="004B0217">
      <w:rPr>
        <w:rFonts w:ascii="Arial" w:eastAsia="Calibri" w:hAnsi="Arial" w:cs="Arial"/>
        <w:color w:val="FFFFFF"/>
        <w:sz w:val="20"/>
        <w:szCs w:val="20"/>
      </w:rPr>
      <w:fldChar w:fldCharType="separate"/>
    </w:r>
    <w:r w:rsidR="00FB7D0B" w:rsidRPr="004B0217">
      <w:rPr>
        <w:rFonts w:ascii="Arial" w:eastAsia="Calibri" w:hAnsi="Arial" w:cs="Arial"/>
        <w:noProof/>
        <w:color w:val="FFFFFF"/>
        <w:sz w:val="20"/>
        <w:szCs w:val="20"/>
      </w:rPr>
      <w:t>1</w:t>
    </w:r>
    <w:r w:rsidRPr="004B0217">
      <w:rPr>
        <w:rFonts w:ascii="Arial" w:eastAsia="Calibri" w:hAnsi="Arial" w:cs="Arial"/>
        <w:color w:val="FFFFFF"/>
        <w:sz w:val="20"/>
        <w:szCs w:val="20"/>
      </w:rPr>
      <w:fldChar w:fldCharType="end"/>
    </w:r>
  </w:p>
  <w:p w14:paraId="063AB715" w14:textId="77777777" w:rsidR="00724034" w:rsidRDefault="00724034">
    <w:pPr>
      <w:pStyle w:val="MyLastParagraph"/>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61FDC" w14:textId="77777777" w:rsidR="003F0EEA" w:rsidRDefault="0088789D" w:rsidP="003F0EEA">
    <w:pPr>
      <w:pStyle w:val="Normal210"/>
      <w:jc w:val="center"/>
      <w:rPr>
        <w:rFonts w:ascii="Arial" w:eastAsia="Calibri" w:hAnsi="Arial" w:cs="Arial"/>
        <w:sz w:val="20"/>
        <w:szCs w:val="20"/>
      </w:rPr>
    </w:pPr>
    <w:r w:rsidRPr="00E417A7">
      <w:rPr>
        <w:rFonts w:ascii="Arial" w:eastAsia="Calibri" w:hAnsi="Arial" w:cs="Arial"/>
        <w:sz w:val="20"/>
        <w:szCs w:val="20"/>
      </w:rPr>
      <w:fldChar w:fldCharType="begin"/>
    </w:r>
    <w:r w:rsidR="00FB7D0B" w:rsidRPr="00E417A7">
      <w:rPr>
        <w:rFonts w:ascii="Arial" w:eastAsia="Calibri" w:hAnsi="Arial" w:cs="Arial"/>
        <w:sz w:val="20"/>
        <w:szCs w:val="20"/>
      </w:rPr>
      <w:instrText xml:space="preserve"> PAGE  \* Arabic  \* MERGEFORMAT </w:instrText>
    </w:r>
    <w:r w:rsidRPr="00E417A7">
      <w:rPr>
        <w:rFonts w:ascii="Arial" w:eastAsia="Calibri" w:hAnsi="Arial" w:cs="Arial"/>
        <w:sz w:val="20"/>
        <w:szCs w:val="20"/>
      </w:rPr>
      <w:fldChar w:fldCharType="separate"/>
    </w:r>
    <w:r w:rsidR="00FB7D0B" w:rsidRPr="00E417A7">
      <w:rPr>
        <w:rFonts w:ascii="Arial" w:eastAsia="Calibri" w:hAnsi="Arial" w:cs="Arial"/>
        <w:noProof/>
        <w:sz w:val="20"/>
        <w:szCs w:val="20"/>
      </w:rPr>
      <w:t>1</w:t>
    </w:r>
    <w:r w:rsidRPr="00E417A7">
      <w:rPr>
        <w:rFonts w:ascii="Arial" w:eastAsia="Calibri" w:hAnsi="Arial" w:cs="Arial"/>
        <w:sz w:val="20"/>
        <w:szCs w:val="20"/>
      </w:rPr>
      <w:fldChar w:fldCharType="end"/>
    </w:r>
  </w:p>
  <w:p w14:paraId="1E70EFDC" w14:textId="77777777" w:rsidR="00724034" w:rsidRDefault="00724034">
    <w:pPr>
      <w:pStyle w:val="MyLastParagraph"/>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819D3" w14:textId="77777777" w:rsidR="003F0EEA" w:rsidRDefault="0088789D" w:rsidP="003F0EEA">
    <w:pPr>
      <w:pStyle w:val="Normal209"/>
      <w:jc w:val="center"/>
      <w:rPr>
        <w:rFonts w:ascii="Arial" w:eastAsia="Calibri" w:hAnsi="Arial" w:cs="Arial"/>
        <w:sz w:val="20"/>
        <w:szCs w:val="20"/>
      </w:rPr>
    </w:pPr>
    <w:r w:rsidRPr="00E417A7">
      <w:rPr>
        <w:rFonts w:ascii="Arial" w:eastAsia="Calibri" w:hAnsi="Arial" w:cs="Arial"/>
        <w:sz w:val="20"/>
        <w:szCs w:val="20"/>
      </w:rPr>
      <w:fldChar w:fldCharType="begin"/>
    </w:r>
    <w:r w:rsidR="00FB7D0B" w:rsidRPr="00E417A7">
      <w:rPr>
        <w:rFonts w:ascii="Arial" w:eastAsia="Calibri" w:hAnsi="Arial" w:cs="Arial"/>
        <w:sz w:val="20"/>
        <w:szCs w:val="20"/>
      </w:rPr>
      <w:instrText xml:space="preserve"> PAGE  \* Arabic  \* MERGEFORMAT </w:instrText>
    </w:r>
    <w:r w:rsidRPr="00E417A7">
      <w:rPr>
        <w:rFonts w:ascii="Arial" w:eastAsia="Calibri" w:hAnsi="Arial" w:cs="Arial"/>
        <w:sz w:val="20"/>
        <w:szCs w:val="20"/>
      </w:rPr>
      <w:fldChar w:fldCharType="separate"/>
    </w:r>
    <w:r w:rsidR="00CB2EAB">
      <w:rPr>
        <w:rFonts w:ascii="Arial" w:eastAsia="Calibri" w:hAnsi="Arial" w:cs="Arial"/>
        <w:noProof/>
        <w:sz w:val="20"/>
        <w:szCs w:val="20"/>
      </w:rPr>
      <w:t>95</w:t>
    </w:r>
    <w:r w:rsidRPr="00E417A7">
      <w:rPr>
        <w:rFonts w:ascii="Arial" w:eastAsia="Calibri" w:hAnsi="Arial" w:cs="Arial"/>
        <w:sz w:val="20"/>
        <w:szCs w:val="20"/>
      </w:rPr>
      <w:fldChar w:fldCharType="end"/>
    </w:r>
  </w:p>
  <w:p w14:paraId="6F03AFA8" w14:textId="77777777" w:rsidR="00724034" w:rsidRDefault="00724034">
    <w:pPr>
      <w:pStyle w:val="MyLastParagraph"/>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34919" w14:textId="77777777" w:rsidR="003F0EEA" w:rsidRPr="004B0217" w:rsidRDefault="0088789D" w:rsidP="003F0EEA">
    <w:pPr>
      <w:pStyle w:val="Normal213"/>
      <w:jc w:val="center"/>
      <w:rPr>
        <w:rFonts w:ascii="Arial" w:eastAsia="Calibri" w:hAnsi="Arial" w:cs="Arial"/>
        <w:color w:val="FFFFFF"/>
        <w:sz w:val="20"/>
        <w:szCs w:val="20"/>
      </w:rPr>
    </w:pPr>
    <w:r w:rsidRPr="004B0217">
      <w:rPr>
        <w:rFonts w:ascii="Arial" w:eastAsia="Calibri" w:hAnsi="Arial" w:cs="Arial"/>
        <w:color w:val="FFFFFF"/>
        <w:sz w:val="20"/>
        <w:szCs w:val="20"/>
      </w:rPr>
      <w:fldChar w:fldCharType="begin"/>
    </w:r>
    <w:r w:rsidR="00FB7D0B" w:rsidRPr="004B0217">
      <w:rPr>
        <w:rFonts w:ascii="Arial" w:eastAsia="Calibri" w:hAnsi="Arial" w:cs="Arial"/>
        <w:color w:val="FFFFFF"/>
        <w:sz w:val="20"/>
        <w:szCs w:val="20"/>
      </w:rPr>
      <w:instrText xml:space="preserve"> PAGE  \* Arabic  \* MERGEFORMAT </w:instrText>
    </w:r>
    <w:r w:rsidRPr="004B0217">
      <w:rPr>
        <w:rFonts w:ascii="Arial" w:eastAsia="Calibri" w:hAnsi="Arial" w:cs="Arial"/>
        <w:color w:val="FFFFFF"/>
        <w:sz w:val="20"/>
        <w:szCs w:val="20"/>
      </w:rPr>
      <w:fldChar w:fldCharType="separate"/>
    </w:r>
    <w:r w:rsidR="00CB2EAB">
      <w:rPr>
        <w:rFonts w:ascii="Arial" w:eastAsia="Calibri" w:hAnsi="Arial" w:cs="Arial"/>
        <w:noProof/>
        <w:color w:val="FFFFFF"/>
        <w:sz w:val="20"/>
        <w:szCs w:val="20"/>
      </w:rPr>
      <w:t>96</w:t>
    </w:r>
    <w:r w:rsidRPr="004B0217">
      <w:rPr>
        <w:rFonts w:ascii="Arial" w:eastAsia="Calibri" w:hAnsi="Arial" w:cs="Arial"/>
        <w:color w:val="FFFFFF"/>
        <w:sz w:val="20"/>
        <w:szCs w:val="20"/>
      </w:rPr>
      <w:fldChar w:fldCharType="end"/>
    </w:r>
  </w:p>
  <w:p w14:paraId="2E980B57" w14:textId="77777777" w:rsidR="00724034" w:rsidRDefault="00724034">
    <w:pPr>
      <w:pStyle w:val="MyLastParagraph"/>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EBC19" w14:textId="77777777" w:rsidR="003F0EEA" w:rsidRPr="00B52DD0" w:rsidRDefault="00FB7D0B" w:rsidP="003F0EEA">
    <w:pPr>
      <w:pStyle w:val="Normal7"/>
      <w:jc w:val="center"/>
      <w:rPr>
        <w:rFonts w:ascii="Arial" w:hAnsi="Arial" w:cs="Arial"/>
        <w:sz w:val="20"/>
        <w:szCs w:val="20"/>
      </w:rPr>
    </w:pPr>
    <w:r>
      <w:rPr>
        <w:rFonts w:ascii="Arial" w:hAnsi="Arial" w:cs="Arial"/>
        <w:sz w:val="20"/>
        <w:szCs w:val="20"/>
      </w:rPr>
      <w:t>iv</w:t>
    </w:r>
  </w:p>
  <w:p w14:paraId="6992F674" w14:textId="77777777" w:rsidR="00724034" w:rsidRDefault="00724034">
    <w:pPr>
      <w:pStyle w:val="MyLastParagraph"/>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8B249" w14:textId="77777777" w:rsidR="003F0EEA" w:rsidRPr="0062552C" w:rsidRDefault="0088789D" w:rsidP="003F0EEA">
    <w:pPr>
      <w:pStyle w:val="Normal212"/>
      <w:jc w:val="center"/>
      <w:rPr>
        <w:rFonts w:ascii="Arial" w:eastAsia="Calibri" w:hAnsi="Arial" w:cs="Arial"/>
        <w:color w:val="FFFFFF"/>
        <w:sz w:val="20"/>
        <w:szCs w:val="20"/>
      </w:rPr>
    </w:pPr>
    <w:r w:rsidRPr="0062552C">
      <w:rPr>
        <w:rFonts w:ascii="Arial" w:eastAsia="Calibri" w:hAnsi="Arial" w:cs="Arial"/>
        <w:color w:val="FFFFFF"/>
        <w:sz w:val="20"/>
        <w:szCs w:val="20"/>
      </w:rPr>
      <w:fldChar w:fldCharType="begin"/>
    </w:r>
    <w:r w:rsidR="00FB7D0B" w:rsidRPr="0062552C">
      <w:rPr>
        <w:rFonts w:ascii="Arial" w:eastAsia="Calibri" w:hAnsi="Arial" w:cs="Arial"/>
        <w:color w:val="FFFFFF"/>
        <w:sz w:val="20"/>
        <w:szCs w:val="20"/>
      </w:rPr>
      <w:instrText xml:space="preserve"> PAGE  \* Arabic  \* MERGEFORMAT </w:instrText>
    </w:r>
    <w:r w:rsidRPr="0062552C">
      <w:rPr>
        <w:rFonts w:ascii="Arial" w:eastAsia="Calibri" w:hAnsi="Arial" w:cs="Arial"/>
        <w:color w:val="FFFFFF"/>
        <w:sz w:val="20"/>
        <w:szCs w:val="20"/>
      </w:rPr>
      <w:fldChar w:fldCharType="separate"/>
    </w:r>
    <w:r w:rsidR="00FB7D0B" w:rsidRPr="0062552C">
      <w:rPr>
        <w:rFonts w:ascii="Arial" w:eastAsia="Calibri" w:hAnsi="Arial" w:cs="Arial"/>
        <w:noProof/>
        <w:color w:val="FFFFFF"/>
        <w:sz w:val="20"/>
        <w:szCs w:val="20"/>
      </w:rPr>
      <w:t>1</w:t>
    </w:r>
    <w:r w:rsidRPr="0062552C">
      <w:rPr>
        <w:rFonts w:ascii="Arial" w:eastAsia="Calibri" w:hAnsi="Arial" w:cs="Arial"/>
        <w:color w:val="FFFFFF"/>
        <w:sz w:val="20"/>
        <w:szCs w:val="20"/>
      </w:rPr>
      <w:fldChar w:fldCharType="end"/>
    </w:r>
  </w:p>
  <w:p w14:paraId="1E1C7EED" w14:textId="77777777" w:rsidR="00724034" w:rsidRDefault="00724034">
    <w:pPr>
      <w:pStyle w:val="MyLastParagraph"/>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027B1" w14:textId="77777777" w:rsidR="003F0EEA" w:rsidRDefault="0088789D" w:rsidP="003F0EEA">
    <w:pPr>
      <w:pStyle w:val="Normal216"/>
      <w:jc w:val="center"/>
      <w:rPr>
        <w:rFonts w:ascii="Arial" w:eastAsia="Calibri" w:hAnsi="Arial" w:cs="Arial"/>
        <w:sz w:val="20"/>
        <w:szCs w:val="20"/>
      </w:rPr>
    </w:pPr>
    <w:r w:rsidRPr="00E417A7">
      <w:rPr>
        <w:rFonts w:ascii="Arial" w:eastAsia="Calibri" w:hAnsi="Arial" w:cs="Arial"/>
        <w:sz w:val="20"/>
        <w:szCs w:val="20"/>
      </w:rPr>
      <w:fldChar w:fldCharType="begin"/>
    </w:r>
    <w:r w:rsidR="00FB7D0B" w:rsidRPr="00E417A7">
      <w:rPr>
        <w:rFonts w:ascii="Arial" w:eastAsia="Calibri" w:hAnsi="Arial" w:cs="Arial"/>
        <w:sz w:val="20"/>
        <w:szCs w:val="20"/>
      </w:rPr>
      <w:instrText xml:space="preserve"> PAGE  \* Arabic  \* MERGEFORMAT </w:instrText>
    </w:r>
    <w:r w:rsidRPr="00E417A7">
      <w:rPr>
        <w:rFonts w:ascii="Arial" w:eastAsia="Calibri" w:hAnsi="Arial" w:cs="Arial"/>
        <w:sz w:val="20"/>
        <w:szCs w:val="20"/>
      </w:rPr>
      <w:fldChar w:fldCharType="separate"/>
    </w:r>
    <w:r w:rsidR="00FB7D0B" w:rsidRPr="00E417A7">
      <w:rPr>
        <w:rFonts w:ascii="Arial" w:eastAsia="Calibri" w:hAnsi="Arial" w:cs="Arial"/>
        <w:noProof/>
        <w:sz w:val="20"/>
        <w:szCs w:val="20"/>
      </w:rPr>
      <w:t>1</w:t>
    </w:r>
    <w:r w:rsidRPr="00E417A7">
      <w:rPr>
        <w:rFonts w:ascii="Arial" w:eastAsia="Calibri" w:hAnsi="Arial" w:cs="Arial"/>
        <w:sz w:val="20"/>
        <w:szCs w:val="20"/>
      </w:rPr>
      <w:fldChar w:fldCharType="end"/>
    </w:r>
  </w:p>
  <w:p w14:paraId="307F8DFD" w14:textId="77777777" w:rsidR="00724034" w:rsidRDefault="00724034">
    <w:pPr>
      <w:pStyle w:val="MyLastParagraph"/>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217FB" w14:textId="77777777" w:rsidR="003F0EEA" w:rsidRDefault="0088789D" w:rsidP="003F0EEA">
    <w:pPr>
      <w:pStyle w:val="Normal215"/>
      <w:jc w:val="center"/>
      <w:rPr>
        <w:rFonts w:ascii="Arial" w:eastAsia="Calibri" w:hAnsi="Arial" w:cs="Arial"/>
        <w:sz w:val="20"/>
        <w:szCs w:val="20"/>
      </w:rPr>
    </w:pPr>
    <w:r w:rsidRPr="00E417A7">
      <w:rPr>
        <w:rFonts w:ascii="Arial" w:eastAsia="Calibri" w:hAnsi="Arial" w:cs="Arial"/>
        <w:sz w:val="20"/>
        <w:szCs w:val="20"/>
      </w:rPr>
      <w:fldChar w:fldCharType="begin"/>
    </w:r>
    <w:r w:rsidR="00FB7D0B" w:rsidRPr="00E417A7">
      <w:rPr>
        <w:rFonts w:ascii="Arial" w:eastAsia="Calibri" w:hAnsi="Arial" w:cs="Arial"/>
        <w:sz w:val="20"/>
        <w:szCs w:val="20"/>
      </w:rPr>
      <w:instrText xml:space="preserve"> PAGE  \* Arabic  \* MERGEFORMAT </w:instrText>
    </w:r>
    <w:r w:rsidRPr="00E417A7">
      <w:rPr>
        <w:rFonts w:ascii="Arial" w:eastAsia="Calibri" w:hAnsi="Arial" w:cs="Arial"/>
        <w:sz w:val="20"/>
        <w:szCs w:val="20"/>
      </w:rPr>
      <w:fldChar w:fldCharType="separate"/>
    </w:r>
    <w:r w:rsidR="00CB2EAB">
      <w:rPr>
        <w:rFonts w:ascii="Arial" w:eastAsia="Calibri" w:hAnsi="Arial" w:cs="Arial"/>
        <w:noProof/>
        <w:sz w:val="20"/>
        <w:szCs w:val="20"/>
      </w:rPr>
      <w:t>97</w:t>
    </w:r>
    <w:r w:rsidRPr="00E417A7">
      <w:rPr>
        <w:rFonts w:ascii="Arial" w:eastAsia="Calibri" w:hAnsi="Arial" w:cs="Arial"/>
        <w:sz w:val="20"/>
        <w:szCs w:val="20"/>
      </w:rPr>
      <w:fldChar w:fldCharType="end"/>
    </w:r>
  </w:p>
  <w:p w14:paraId="495EFB02" w14:textId="77777777" w:rsidR="00724034" w:rsidRDefault="00724034">
    <w:pPr>
      <w:pStyle w:val="MyLastParagraph"/>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9E384" w14:textId="77777777" w:rsidR="003F0EEA" w:rsidRPr="004B0217" w:rsidRDefault="0088789D" w:rsidP="003F0EEA">
    <w:pPr>
      <w:pStyle w:val="Normal219"/>
      <w:jc w:val="center"/>
      <w:rPr>
        <w:rFonts w:ascii="Arial" w:eastAsia="Calibri" w:hAnsi="Arial" w:cs="Arial"/>
        <w:color w:val="FFFFFF"/>
        <w:sz w:val="20"/>
        <w:szCs w:val="20"/>
      </w:rPr>
    </w:pPr>
    <w:r w:rsidRPr="004B0217">
      <w:rPr>
        <w:rFonts w:ascii="Arial" w:eastAsia="Calibri" w:hAnsi="Arial" w:cs="Arial"/>
        <w:color w:val="FFFFFF"/>
        <w:sz w:val="20"/>
        <w:szCs w:val="20"/>
      </w:rPr>
      <w:fldChar w:fldCharType="begin"/>
    </w:r>
    <w:r w:rsidR="00FB7D0B" w:rsidRPr="004B0217">
      <w:rPr>
        <w:rFonts w:ascii="Arial" w:eastAsia="Calibri" w:hAnsi="Arial" w:cs="Arial"/>
        <w:color w:val="FFFFFF"/>
        <w:sz w:val="20"/>
        <w:szCs w:val="20"/>
      </w:rPr>
      <w:instrText xml:space="preserve"> PAGE  \* Arabic  \* MERGEFORMAT </w:instrText>
    </w:r>
    <w:r w:rsidRPr="004B0217">
      <w:rPr>
        <w:rFonts w:ascii="Arial" w:eastAsia="Calibri" w:hAnsi="Arial" w:cs="Arial"/>
        <w:color w:val="FFFFFF"/>
        <w:sz w:val="20"/>
        <w:szCs w:val="20"/>
      </w:rPr>
      <w:fldChar w:fldCharType="separate"/>
    </w:r>
    <w:r w:rsidR="00CB2EAB">
      <w:rPr>
        <w:rFonts w:ascii="Arial" w:eastAsia="Calibri" w:hAnsi="Arial" w:cs="Arial"/>
        <w:noProof/>
        <w:color w:val="FFFFFF"/>
        <w:sz w:val="20"/>
        <w:szCs w:val="20"/>
      </w:rPr>
      <w:t>98</w:t>
    </w:r>
    <w:r w:rsidRPr="004B0217">
      <w:rPr>
        <w:rFonts w:ascii="Arial" w:eastAsia="Calibri" w:hAnsi="Arial" w:cs="Arial"/>
        <w:color w:val="FFFFFF"/>
        <w:sz w:val="20"/>
        <w:szCs w:val="20"/>
      </w:rPr>
      <w:fldChar w:fldCharType="end"/>
    </w:r>
  </w:p>
  <w:p w14:paraId="24AA386A" w14:textId="77777777" w:rsidR="00724034" w:rsidRDefault="00724034">
    <w:pPr>
      <w:pStyle w:val="MyLastParagraph"/>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7711E" w14:textId="77777777" w:rsidR="003F0EEA" w:rsidRPr="0062552C" w:rsidRDefault="0088789D" w:rsidP="003F0EEA">
    <w:pPr>
      <w:pStyle w:val="Normal218"/>
      <w:jc w:val="center"/>
      <w:rPr>
        <w:rFonts w:ascii="Arial" w:eastAsia="Calibri" w:hAnsi="Arial" w:cs="Arial"/>
        <w:color w:val="FFFFFF"/>
        <w:sz w:val="20"/>
        <w:szCs w:val="20"/>
      </w:rPr>
    </w:pPr>
    <w:r w:rsidRPr="0062552C">
      <w:rPr>
        <w:rFonts w:ascii="Arial" w:eastAsia="Calibri" w:hAnsi="Arial" w:cs="Arial"/>
        <w:color w:val="FFFFFF"/>
        <w:sz w:val="20"/>
        <w:szCs w:val="20"/>
      </w:rPr>
      <w:fldChar w:fldCharType="begin"/>
    </w:r>
    <w:r w:rsidR="00FB7D0B" w:rsidRPr="0062552C">
      <w:rPr>
        <w:rFonts w:ascii="Arial" w:eastAsia="Calibri" w:hAnsi="Arial" w:cs="Arial"/>
        <w:color w:val="FFFFFF"/>
        <w:sz w:val="20"/>
        <w:szCs w:val="20"/>
      </w:rPr>
      <w:instrText xml:space="preserve"> PAGE  \* Arabic  \* MERGEFORMAT </w:instrText>
    </w:r>
    <w:r w:rsidRPr="0062552C">
      <w:rPr>
        <w:rFonts w:ascii="Arial" w:eastAsia="Calibri" w:hAnsi="Arial" w:cs="Arial"/>
        <w:color w:val="FFFFFF"/>
        <w:sz w:val="20"/>
        <w:szCs w:val="20"/>
      </w:rPr>
      <w:fldChar w:fldCharType="separate"/>
    </w:r>
    <w:r w:rsidR="00FB7D0B" w:rsidRPr="0062552C">
      <w:rPr>
        <w:rFonts w:ascii="Arial" w:eastAsia="Calibri" w:hAnsi="Arial" w:cs="Arial"/>
        <w:noProof/>
        <w:color w:val="FFFFFF"/>
        <w:sz w:val="20"/>
        <w:szCs w:val="20"/>
      </w:rPr>
      <w:t>1</w:t>
    </w:r>
    <w:r w:rsidRPr="0062552C">
      <w:rPr>
        <w:rFonts w:ascii="Arial" w:eastAsia="Calibri" w:hAnsi="Arial" w:cs="Arial"/>
        <w:color w:val="FFFFFF"/>
        <w:sz w:val="20"/>
        <w:szCs w:val="20"/>
      </w:rPr>
      <w:fldChar w:fldCharType="end"/>
    </w:r>
  </w:p>
  <w:p w14:paraId="53FB8522" w14:textId="77777777" w:rsidR="00724034" w:rsidRDefault="00724034">
    <w:pPr>
      <w:pStyle w:val="MyLastParagraph"/>
    </w:pP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C0732" w14:textId="77777777" w:rsidR="003F0EEA" w:rsidRDefault="0088789D" w:rsidP="003F0EEA">
    <w:pPr>
      <w:pStyle w:val="Normal221"/>
      <w:jc w:val="center"/>
      <w:rPr>
        <w:rFonts w:ascii="Arial" w:eastAsia="Calibri" w:hAnsi="Arial" w:cs="Arial"/>
        <w:sz w:val="20"/>
        <w:szCs w:val="20"/>
      </w:rPr>
    </w:pPr>
    <w:r w:rsidRPr="00E417A7">
      <w:rPr>
        <w:rFonts w:ascii="Arial" w:eastAsia="Calibri" w:hAnsi="Arial" w:cs="Arial"/>
        <w:sz w:val="20"/>
        <w:szCs w:val="20"/>
      </w:rPr>
      <w:fldChar w:fldCharType="begin"/>
    </w:r>
    <w:r w:rsidR="00FB7D0B" w:rsidRPr="00E417A7">
      <w:rPr>
        <w:rFonts w:ascii="Arial" w:eastAsia="Calibri" w:hAnsi="Arial" w:cs="Arial"/>
        <w:sz w:val="20"/>
        <w:szCs w:val="20"/>
      </w:rPr>
      <w:instrText xml:space="preserve"> PAGE  \* Arabic  \* MERGEFORMAT </w:instrText>
    </w:r>
    <w:r w:rsidRPr="00E417A7">
      <w:rPr>
        <w:rFonts w:ascii="Arial" w:eastAsia="Calibri" w:hAnsi="Arial" w:cs="Arial"/>
        <w:sz w:val="20"/>
        <w:szCs w:val="20"/>
      </w:rPr>
      <w:fldChar w:fldCharType="separate"/>
    </w:r>
    <w:r w:rsidR="00CB2EAB">
      <w:rPr>
        <w:rFonts w:ascii="Arial" w:eastAsia="Calibri" w:hAnsi="Arial" w:cs="Arial"/>
        <w:noProof/>
        <w:sz w:val="20"/>
        <w:szCs w:val="20"/>
      </w:rPr>
      <w:t>126</w:t>
    </w:r>
    <w:r w:rsidRPr="00E417A7">
      <w:rPr>
        <w:rFonts w:ascii="Arial" w:eastAsia="Calibri" w:hAnsi="Arial" w:cs="Arial"/>
        <w:sz w:val="20"/>
        <w:szCs w:val="20"/>
      </w:rPr>
      <w:fldChar w:fldCharType="end"/>
    </w:r>
  </w:p>
  <w:p w14:paraId="5ACCF92E" w14:textId="77777777" w:rsidR="00724034" w:rsidRDefault="00724034">
    <w:pPr>
      <w:pStyle w:val="MyLastParagraph"/>
    </w:pP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6D52A" w14:textId="77777777" w:rsidR="003F0EEA" w:rsidRDefault="0088789D" w:rsidP="003F0EEA">
    <w:pPr>
      <w:pStyle w:val="Normal220"/>
      <w:jc w:val="center"/>
      <w:rPr>
        <w:rFonts w:ascii="Arial" w:eastAsia="Calibri" w:hAnsi="Arial" w:cs="Arial"/>
        <w:sz w:val="20"/>
        <w:szCs w:val="20"/>
      </w:rPr>
    </w:pPr>
    <w:r w:rsidRPr="00E417A7">
      <w:rPr>
        <w:rFonts w:ascii="Arial" w:eastAsia="Calibri" w:hAnsi="Arial" w:cs="Arial"/>
        <w:sz w:val="20"/>
        <w:szCs w:val="20"/>
      </w:rPr>
      <w:fldChar w:fldCharType="begin"/>
    </w:r>
    <w:r w:rsidR="00FB7D0B" w:rsidRPr="00E417A7">
      <w:rPr>
        <w:rFonts w:ascii="Arial" w:eastAsia="Calibri" w:hAnsi="Arial" w:cs="Arial"/>
        <w:sz w:val="20"/>
        <w:szCs w:val="20"/>
      </w:rPr>
      <w:instrText xml:space="preserve"> PAGE  \* Arabic  \* MERGEFORMAT </w:instrText>
    </w:r>
    <w:r w:rsidRPr="00E417A7">
      <w:rPr>
        <w:rFonts w:ascii="Arial" w:eastAsia="Calibri" w:hAnsi="Arial" w:cs="Arial"/>
        <w:sz w:val="20"/>
        <w:szCs w:val="20"/>
      </w:rPr>
      <w:fldChar w:fldCharType="separate"/>
    </w:r>
    <w:r w:rsidR="00CB2EAB">
      <w:rPr>
        <w:rFonts w:ascii="Arial" w:eastAsia="Calibri" w:hAnsi="Arial" w:cs="Arial"/>
        <w:noProof/>
        <w:sz w:val="20"/>
        <w:szCs w:val="20"/>
      </w:rPr>
      <w:t>127</w:t>
    </w:r>
    <w:r w:rsidRPr="00E417A7">
      <w:rPr>
        <w:rFonts w:ascii="Arial" w:eastAsia="Calibri" w:hAnsi="Arial" w:cs="Arial"/>
        <w:sz w:val="20"/>
        <w:szCs w:val="20"/>
      </w:rPr>
      <w:fldChar w:fldCharType="end"/>
    </w:r>
  </w:p>
  <w:p w14:paraId="11DC9888" w14:textId="77777777" w:rsidR="00724034" w:rsidRDefault="00724034">
    <w:pPr>
      <w:pStyle w:val="MyLastParagraph"/>
    </w:pP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C6163" w14:textId="77777777" w:rsidR="003F0EEA" w:rsidRPr="004B0217" w:rsidRDefault="0088789D" w:rsidP="003F0EEA">
    <w:pPr>
      <w:pStyle w:val="Normal262"/>
      <w:jc w:val="center"/>
      <w:rPr>
        <w:rFonts w:ascii="Arial" w:eastAsia="Calibri" w:hAnsi="Arial" w:cs="Arial"/>
        <w:color w:val="FFFFFF"/>
        <w:sz w:val="20"/>
        <w:szCs w:val="20"/>
      </w:rPr>
    </w:pPr>
    <w:r w:rsidRPr="004B0217">
      <w:rPr>
        <w:rFonts w:ascii="Arial" w:eastAsia="Calibri" w:hAnsi="Arial" w:cs="Arial"/>
        <w:color w:val="FFFFFF"/>
        <w:sz w:val="20"/>
        <w:szCs w:val="20"/>
      </w:rPr>
      <w:fldChar w:fldCharType="begin"/>
    </w:r>
    <w:r w:rsidR="00FB7D0B" w:rsidRPr="004B0217">
      <w:rPr>
        <w:rFonts w:ascii="Arial" w:eastAsia="Calibri" w:hAnsi="Arial" w:cs="Arial"/>
        <w:color w:val="FFFFFF"/>
        <w:sz w:val="20"/>
        <w:szCs w:val="20"/>
      </w:rPr>
      <w:instrText xml:space="preserve"> PAGE  \* Arabic  \* MERGEFORMAT </w:instrText>
    </w:r>
    <w:r w:rsidRPr="004B0217">
      <w:rPr>
        <w:rFonts w:ascii="Arial" w:eastAsia="Calibri" w:hAnsi="Arial" w:cs="Arial"/>
        <w:color w:val="FFFFFF"/>
        <w:sz w:val="20"/>
        <w:szCs w:val="20"/>
      </w:rPr>
      <w:fldChar w:fldCharType="separate"/>
    </w:r>
    <w:r w:rsidR="00FB7D0B" w:rsidRPr="004B0217">
      <w:rPr>
        <w:rFonts w:ascii="Arial" w:eastAsia="Calibri" w:hAnsi="Arial" w:cs="Arial"/>
        <w:noProof/>
        <w:color w:val="FFFFFF"/>
        <w:sz w:val="20"/>
        <w:szCs w:val="20"/>
      </w:rPr>
      <w:t>1</w:t>
    </w:r>
    <w:r w:rsidRPr="004B0217">
      <w:rPr>
        <w:rFonts w:ascii="Arial" w:eastAsia="Calibri" w:hAnsi="Arial" w:cs="Arial"/>
        <w:color w:val="FFFFFF"/>
        <w:sz w:val="20"/>
        <w:szCs w:val="20"/>
      </w:rPr>
      <w:fldChar w:fldCharType="end"/>
    </w:r>
  </w:p>
  <w:p w14:paraId="20D0C46B" w14:textId="77777777" w:rsidR="00724034" w:rsidRDefault="00724034">
    <w:pPr>
      <w:pStyle w:val="MyLastParagraph"/>
    </w:pP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39D8C" w14:textId="77777777" w:rsidR="003F0EEA" w:rsidRPr="0062552C" w:rsidRDefault="0088789D" w:rsidP="003F0EEA">
    <w:pPr>
      <w:pStyle w:val="Normal261"/>
      <w:jc w:val="center"/>
      <w:rPr>
        <w:rFonts w:ascii="Arial" w:eastAsia="Calibri" w:hAnsi="Arial" w:cs="Arial"/>
        <w:color w:val="FFFFFF"/>
        <w:sz w:val="20"/>
        <w:szCs w:val="20"/>
      </w:rPr>
    </w:pPr>
    <w:r w:rsidRPr="0062552C">
      <w:rPr>
        <w:rFonts w:ascii="Arial" w:eastAsia="Calibri" w:hAnsi="Arial" w:cs="Arial"/>
        <w:color w:val="FFFFFF"/>
        <w:sz w:val="20"/>
        <w:szCs w:val="20"/>
      </w:rPr>
      <w:fldChar w:fldCharType="begin"/>
    </w:r>
    <w:r w:rsidR="00FB7D0B" w:rsidRPr="0062552C">
      <w:rPr>
        <w:rFonts w:ascii="Arial" w:eastAsia="Calibri" w:hAnsi="Arial" w:cs="Arial"/>
        <w:color w:val="FFFFFF"/>
        <w:sz w:val="20"/>
        <w:szCs w:val="20"/>
      </w:rPr>
      <w:instrText xml:space="preserve"> PAGE  \* Arabic  \* MERGEFORMAT </w:instrText>
    </w:r>
    <w:r w:rsidRPr="0062552C">
      <w:rPr>
        <w:rFonts w:ascii="Arial" w:eastAsia="Calibri" w:hAnsi="Arial" w:cs="Arial"/>
        <w:color w:val="FFFFFF"/>
        <w:sz w:val="20"/>
        <w:szCs w:val="20"/>
      </w:rPr>
      <w:fldChar w:fldCharType="separate"/>
    </w:r>
    <w:r w:rsidR="00FB7D0B" w:rsidRPr="0062552C">
      <w:rPr>
        <w:rFonts w:ascii="Arial" w:eastAsia="Calibri" w:hAnsi="Arial" w:cs="Arial"/>
        <w:noProof/>
        <w:color w:val="FFFFFF"/>
        <w:sz w:val="20"/>
        <w:szCs w:val="20"/>
      </w:rPr>
      <w:t>1</w:t>
    </w:r>
    <w:r w:rsidRPr="0062552C">
      <w:rPr>
        <w:rFonts w:ascii="Arial" w:eastAsia="Calibri" w:hAnsi="Arial" w:cs="Arial"/>
        <w:color w:val="FFFFFF"/>
        <w:sz w:val="20"/>
        <w:szCs w:val="20"/>
      </w:rPr>
      <w:fldChar w:fldCharType="end"/>
    </w:r>
  </w:p>
  <w:p w14:paraId="175FEE56" w14:textId="77777777" w:rsidR="00724034" w:rsidRDefault="00724034">
    <w:pPr>
      <w:pStyle w:val="MyLastParagraph"/>
    </w:pP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B94CC" w14:textId="77777777" w:rsidR="003F0EEA" w:rsidRDefault="0088789D" w:rsidP="003F0EEA">
    <w:pPr>
      <w:pStyle w:val="Normal266"/>
      <w:jc w:val="center"/>
      <w:rPr>
        <w:rFonts w:ascii="Arial" w:eastAsia="Calibri" w:hAnsi="Arial" w:cs="Arial"/>
        <w:sz w:val="20"/>
        <w:szCs w:val="20"/>
      </w:rPr>
    </w:pPr>
    <w:r w:rsidRPr="00E417A7">
      <w:rPr>
        <w:rFonts w:ascii="Arial" w:eastAsia="Calibri" w:hAnsi="Arial" w:cs="Arial"/>
        <w:sz w:val="20"/>
        <w:szCs w:val="20"/>
      </w:rPr>
      <w:fldChar w:fldCharType="begin"/>
    </w:r>
    <w:r w:rsidR="00FB7D0B" w:rsidRPr="00E417A7">
      <w:rPr>
        <w:rFonts w:ascii="Arial" w:eastAsia="Calibri" w:hAnsi="Arial" w:cs="Arial"/>
        <w:sz w:val="20"/>
        <w:szCs w:val="20"/>
      </w:rPr>
      <w:instrText xml:space="preserve"> PAGE  \* Arabic  \* MERGEFORMAT </w:instrText>
    </w:r>
    <w:r w:rsidRPr="00E417A7">
      <w:rPr>
        <w:rFonts w:ascii="Arial" w:eastAsia="Calibri" w:hAnsi="Arial" w:cs="Arial"/>
        <w:sz w:val="20"/>
        <w:szCs w:val="20"/>
      </w:rPr>
      <w:fldChar w:fldCharType="separate"/>
    </w:r>
    <w:r w:rsidR="00CB2EAB">
      <w:rPr>
        <w:rFonts w:ascii="Arial" w:eastAsia="Calibri" w:hAnsi="Arial" w:cs="Arial"/>
        <w:noProof/>
        <w:sz w:val="20"/>
        <w:szCs w:val="20"/>
      </w:rPr>
      <w:t>130</w:t>
    </w:r>
    <w:r w:rsidRPr="00E417A7">
      <w:rPr>
        <w:rFonts w:ascii="Arial" w:eastAsia="Calibri" w:hAnsi="Arial" w:cs="Arial"/>
        <w:sz w:val="20"/>
        <w:szCs w:val="20"/>
      </w:rPr>
      <w:fldChar w:fldCharType="end"/>
    </w:r>
  </w:p>
  <w:p w14:paraId="7CE82F6C" w14:textId="77777777" w:rsidR="00724034" w:rsidRDefault="00724034">
    <w:pPr>
      <w:pStyle w:val="MyLastParagraph"/>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D5096" w14:textId="77777777" w:rsidR="003F0EEA" w:rsidRPr="0060132B" w:rsidRDefault="00FB7D0B" w:rsidP="003F0EEA">
    <w:pPr>
      <w:pStyle w:val="Normal11"/>
      <w:jc w:val="center"/>
      <w:rPr>
        <w:rFonts w:ascii="Arial" w:hAnsi="Arial" w:cs="Arial"/>
        <w:sz w:val="20"/>
        <w:szCs w:val="20"/>
      </w:rPr>
    </w:pPr>
    <w:r w:rsidRPr="0060132B">
      <w:rPr>
        <w:rFonts w:ascii="Arial" w:hAnsi="Arial" w:cs="Arial"/>
        <w:sz w:val="20"/>
        <w:szCs w:val="20"/>
      </w:rPr>
      <w:t>v</w:t>
    </w:r>
  </w:p>
  <w:p w14:paraId="6B2963A8" w14:textId="77777777" w:rsidR="00724034" w:rsidRDefault="00724034">
    <w:pPr>
      <w:pStyle w:val="MyLastParagraph"/>
    </w:pP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8B482" w14:textId="77777777" w:rsidR="003F0EEA" w:rsidRDefault="0088789D" w:rsidP="003F0EEA">
    <w:pPr>
      <w:pStyle w:val="Normal265"/>
      <w:jc w:val="center"/>
      <w:rPr>
        <w:rFonts w:ascii="Arial" w:eastAsia="Calibri" w:hAnsi="Arial" w:cs="Arial"/>
        <w:sz w:val="20"/>
        <w:szCs w:val="20"/>
      </w:rPr>
    </w:pPr>
    <w:r w:rsidRPr="00E417A7">
      <w:rPr>
        <w:rFonts w:ascii="Arial" w:eastAsia="Calibri" w:hAnsi="Arial" w:cs="Arial"/>
        <w:sz w:val="20"/>
        <w:szCs w:val="20"/>
      </w:rPr>
      <w:fldChar w:fldCharType="begin"/>
    </w:r>
    <w:r w:rsidR="00FB7D0B" w:rsidRPr="00E417A7">
      <w:rPr>
        <w:rFonts w:ascii="Arial" w:eastAsia="Calibri" w:hAnsi="Arial" w:cs="Arial"/>
        <w:sz w:val="20"/>
        <w:szCs w:val="20"/>
      </w:rPr>
      <w:instrText xml:space="preserve"> PAGE  \* Arabic  \* MERGEFORMAT </w:instrText>
    </w:r>
    <w:r w:rsidRPr="00E417A7">
      <w:rPr>
        <w:rFonts w:ascii="Arial" w:eastAsia="Calibri" w:hAnsi="Arial" w:cs="Arial"/>
        <w:sz w:val="20"/>
        <w:szCs w:val="20"/>
      </w:rPr>
      <w:fldChar w:fldCharType="separate"/>
    </w:r>
    <w:r w:rsidR="00CB2EAB">
      <w:rPr>
        <w:rFonts w:ascii="Arial" w:eastAsia="Calibri" w:hAnsi="Arial" w:cs="Arial"/>
        <w:noProof/>
        <w:sz w:val="20"/>
        <w:szCs w:val="20"/>
      </w:rPr>
      <w:t>129</w:t>
    </w:r>
    <w:r w:rsidRPr="00E417A7">
      <w:rPr>
        <w:rFonts w:ascii="Arial" w:eastAsia="Calibri" w:hAnsi="Arial" w:cs="Arial"/>
        <w:sz w:val="20"/>
        <w:szCs w:val="20"/>
      </w:rPr>
      <w:fldChar w:fldCharType="end"/>
    </w:r>
  </w:p>
  <w:p w14:paraId="7E61B1DE" w14:textId="77777777" w:rsidR="00724034" w:rsidRDefault="00724034">
    <w:pPr>
      <w:pStyle w:val="MyLastParagraph"/>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85BAC" w14:textId="77777777" w:rsidR="003F0EEA" w:rsidRPr="00B52DD0" w:rsidRDefault="00FB7D0B" w:rsidP="003F0EEA">
    <w:pPr>
      <w:pStyle w:val="Normal10"/>
      <w:jc w:val="center"/>
      <w:rPr>
        <w:rFonts w:ascii="Arial" w:hAnsi="Arial" w:cs="Arial"/>
        <w:sz w:val="20"/>
        <w:szCs w:val="20"/>
      </w:rPr>
    </w:pPr>
    <w:r>
      <w:rPr>
        <w:rFonts w:ascii="Arial" w:hAnsi="Arial" w:cs="Arial"/>
        <w:sz w:val="20"/>
        <w:szCs w:val="20"/>
      </w:rPr>
      <w:t>v</w:t>
    </w:r>
  </w:p>
  <w:p w14:paraId="54C1A74E" w14:textId="77777777" w:rsidR="00724034" w:rsidRDefault="00724034">
    <w:pPr>
      <w:pStyle w:val="MyLastParagraph"/>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639BE" w14:textId="77777777" w:rsidR="003F0EEA" w:rsidRPr="001B52D6" w:rsidRDefault="00FB7D0B" w:rsidP="003F0EEA">
    <w:pPr>
      <w:pStyle w:val="Normal14"/>
      <w:jc w:val="center"/>
      <w:rPr>
        <w:rFonts w:ascii="Arial" w:hAnsi="Arial" w:cs="Arial"/>
        <w:sz w:val="20"/>
        <w:szCs w:val="20"/>
      </w:rPr>
    </w:pPr>
    <w:r>
      <w:rPr>
        <w:rFonts w:ascii="Arial" w:hAnsi="Arial" w:cs="Arial"/>
        <w:sz w:val="20"/>
        <w:szCs w:val="20"/>
      </w:rPr>
      <w:t>vi</w:t>
    </w:r>
  </w:p>
  <w:p w14:paraId="5371FA86" w14:textId="77777777" w:rsidR="00724034" w:rsidRDefault="00724034">
    <w:pPr>
      <w:pStyle w:val="MyLastParagraph"/>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841DC" w14:textId="77777777" w:rsidR="003F0EEA" w:rsidRPr="00AA336E" w:rsidRDefault="00FB7D0B" w:rsidP="003F0EEA">
    <w:pPr>
      <w:pStyle w:val="Normal13"/>
      <w:jc w:val="center"/>
      <w:rPr>
        <w:rFonts w:ascii="Arial" w:hAnsi="Arial" w:cs="Arial"/>
        <w:sz w:val="20"/>
        <w:szCs w:val="20"/>
      </w:rPr>
    </w:pPr>
    <w:r>
      <w:rPr>
        <w:rFonts w:ascii="Arial" w:hAnsi="Arial" w:cs="Arial"/>
        <w:sz w:val="20"/>
        <w:szCs w:val="20"/>
      </w:rPr>
      <w:t>vi</w:t>
    </w:r>
  </w:p>
  <w:p w14:paraId="19A346D4" w14:textId="77777777" w:rsidR="00724034" w:rsidRDefault="00724034">
    <w:pPr>
      <w:pStyle w:val="MyLastParagraph"/>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8A0DB" w14:textId="77777777" w:rsidR="003F0EEA" w:rsidRPr="00C86BD9" w:rsidRDefault="00FB7D0B" w:rsidP="003F0EEA">
    <w:pPr>
      <w:pStyle w:val="Normal19"/>
      <w:jc w:val="center"/>
      <w:rPr>
        <w:rFonts w:ascii="Arial" w:hAnsi="Arial" w:cs="Arial"/>
        <w:sz w:val="20"/>
        <w:szCs w:val="20"/>
      </w:rPr>
    </w:pPr>
    <w:r>
      <w:rPr>
        <w:rFonts w:ascii="Arial" w:hAnsi="Arial" w:cs="Arial"/>
        <w:sz w:val="20"/>
        <w:szCs w:val="20"/>
      </w:rPr>
      <w:t>vii</w:t>
    </w:r>
  </w:p>
  <w:p w14:paraId="3BAFB897" w14:textId="77777777" w:rsidR="00724034" w:rsidRDefault="00724034">
    <w:pPr>
      <w:pStyle w:val="MyLastParagrap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7A070B" w14:textId="77777777" w:rsidR="003F0EEA" w:rsidRDefault="003F0EEA" w:rsidP="00724034">
      <w:r>
        <w:separator/>
      </w:r>
    </w:p>
  </w:footnote>
  <w:footnote w:type="continuationSeparator" w:id="0">
    <w:p w14:paraId="5BDAA7BE" w14:textId="77777777" w:rsidR="003F0EEA" w:rsidRDefault="003F0EEA" w:rsidP="007240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8945C" w14:textId="77777777" w:rsidR="003F0EEA" w:rsidRPr="003A16B9" w:rsidRDefault="00FB7D0B">
    <w:pPr>
      <w:pStyle w:val="Normal6"/>
      <w:rPr>
        <w:color w:val="FFFFFF"/>
      </w:rPr>
    </w:pPr>
    <w:r w:rsidRPr="003A16B9">
      <w:rPr>
        <w:color w:val="FFFFFF"/>
      </w:rPr>
      <w:t>DVA</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DD106" w14:textId="77777777" w:rsidR="003F0EEA" w:rsidRPr="00A80519" w:rsidRDefault="00FB7D0B">
    <w:pPr>
      <w:pStyle w:val="Normal41"/>
      <w:rPr>
        <w:rFonts w:ascii="Book Antiqua" w:eastAsia="Calibri" w:hAnsi="Book Antiqua" w:cs="Arial"/>
        <w:i/>
        <w:color w:val="FFFFFF"/>
        <w:sz w:val="20"/>
        <w:szCs w:val="20"/>
      </w:rPr>
    </w:pPr>
    <w:r w:rsidRPr="00A80519">
      <w:rPr>
        <w:rFonts w:ascii="Book Antiqua" w:eastAsia="Calibri" w:hAnsi="Book Antiqua" w:cs="Arial"/>
        <w:i/>
        <w:color w:val="FFFFFF"/>
        <w:sz w:val="20"/>
        <w:szCs w:val="20"/>
      </w:rPr>
      <w:t>Portfolio Overview</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76707" w14:textId="77777777" w:rsidR="003F0EEA" w:rsidRDefault="00FB7D0B" w:rsidP="003F0EEA">
    <w:pPr>
      <w:pStyle w:val="HeaderOdd2"/>
      <w:jc w:val="left"/>
    </w:pPr>
    <w:r w:rsidRPr="00EB7ECC">
      <w:t>DVA</w:t>
    </w:r>
    <w:r w:rsidRPr="00EB7ECC">
      <w:rPr>
        <w:i w:val="0"/>
      </w:rPr>
      <w:t xml:space="preserve"> </w:t>
    </w:r>
    <w:r>
      <w:t>Budget Statements</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1ED21" w14:textId="77777777" w:rsidR="003F0EEA" w:rsidRDefault="00FB7D0B" w:rsidP="003F0EEA">
    <w:pPr>
      <w:pStyle w:val="HeaderOdd1"/>
      <w:ind w:right="237"/>
    </w:pPr>
    <w:r w:rsidRPr="00EB7ECC">
      <w:t>DVA</w:t>
    </w:r>
    <w:r w:rsidRPr="00EB7ECC">
      <w:rPr>
        <w:i w:val="0"/>
      </w:rPr>
      <w:t xml:space="preserve"> </w:t>
    </w:r>
    <w:r>
      <w:t>Budget Statements</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0128D" w14:textId="77777777" w:rsidR="003F0EEA" w:rsidRPr="007261E3" w:rsidRDefault="00FB7D0B">
    <w:pPr>
      <w:pStyle w:val="Normal203"/>
      <w:rPr>
        <w:rFonts w:ascii="Book Antiqua" w:eastAsia="Calibri" w:hAnsi="Book Antiqua"/>
        <w:i/>
        <w:color w:val="FFFFFF"/>
        <w:sz w:val="20"/>
        <w:szCs w:val="20"/>
      </w:rPr>
    </w:pPr>
    <w:r w:rsidRPr="007261E3">
      <w:rPr>
        <w:rFonts w:ascii="Book Antiqua" w:eastAsia="Calibri" w:hAnsi="Book Antiqua"/>
        <w:i/>
        <w:color w:val="FFFFFF"/>
        <w:sz w:val="20"/>
        <w:szCs w:val="20"/>
      </w:rPr>
      <w:t>User Guide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B4636" w14:textId="77777777" w:rsidR="003F0EEA" w:rsidRPr="00383DEE" w:rsidRDefault="00FB7D0B" w:rsidP="003F0EEA">
    <w:pPr>
      <w:pStyle w:val="Normal202"/>
      <w:jc w:val="right"/>
      <w:rPr>
        <w:rFonts w:ascii="Book Antiqua" w:eastAsia="Calibri" w:hAnsi="Book Antiqua"/>
        <w:i/>
        <w:color w:val="FFFFFF"/>
        <w:sz w:val="20"/>
        <w:szCs w:val="20"/>
      </w:rPr>
    </w:pPr>
    <w:r w:rsidRPr="00383DEE">
      <w:rPr>
        <w:rFonts w:ascii="Book Antiqua" w:eastAsia="Calibri" w:hAnsi="Book Antiqua"/>
        <w:i/>
        <w:color w:val="FFFFFF"/>
        <w:sz w:val="20"/>
        <w:szCs w:val="20"/>
      </w:rPr>
      <w:t>User Guide</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4F7C9" w14:textId="77777777" w:rsidR="003F0EEA" w:rsidRPr="00572D51" w:rsidRDefault="00FB7D0B" w:rsidP="003F0EEA">
    <w:pPr>
      <w:pStyle w:val="Normal208"/>
      <w:jc w:val="right"/>
      <w:rPr>
        <w:rFonts w:ascii="Book Antiqua" w:eastAsia="Calibri" w:hAnsi="Book Antiqua"/>
        <w:i/>
        <w:color w:val="FFFFFF"/>
        <w:sz w:val="20"/>
        <w:szCs w:val="20"/>
      </w:rPr>
    </w:pPr>
    <w:r w:rsidRPr="00572D51">
      <w:rPr>
        <w:rFonts w:ascii="Book Antiqua" w:eastAsia="Calibri" w:hAnsi="Book Antiqua"/>
        <w:i/>
        <w:color w:val="FFFFFF"/>
        <w:sz w:val="20"/>
        <w:szCs w:val="20"/>
      </w:rPr>
      <w:t>Portfolio Overview</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67757" w14:textId="77777777" w:rsidR="003F0EEA" w:rsidRPr="00A80519" w:rsidRDefault="00FB7D0B">
    <w:pPr>
      <w:pStyle w:val="Normal207"/>
      <w:rPr>
        <w:rFonts w:ascii="Book Antiqua" w:eastAsia="Calibri" w:hAnsi="Book Antiqua" w:cs="Arial"/>
        <w:i/>
        <w:color w:val="FFFFFF"/>
        <w:sz w:val="20"/>
        <w:szCs w:val="20"/>
      </w:rPr>
    </w:pPr>
    <w:r w:rsidRPr="00A80519">
      <w:rPr>
        <w:rFonts w:ascii="Book Antiqua" w:eastAsia="Calibri" w:hAnsi="Book Antiqua" w:cs="Arial"/>
        <w:i/>
        <w:color w:val="FFFFFF"/>
        <w:sz w:val="20"/>
        <w:szCs w:val="20"/>
      </w:rPr>
      <w:t>Portfolio Overview</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B0C9B" w14:textId="77777777" w:rsidR="003F0EEA" w:rsidRDefault="00FB7D0B" w:rsidP="003F0EEA">
    <w:pPr>
      <w:pStyle w:val="HeaderOdd4"/>
      <w:jc w:val="left"/>
    </w:pPr>
    <w:r>
      <w:t>AWM</w:t>
    </w:r>
    <w:r w:rsidRPr="00EB7ECC">
      <w:rPr>
        <w:i w:val="0"/>
      </w:rPr>
      <w:t xml:space="preserve"> </w:t>
    </w:r>
    <w:r>
      <w:t>Budget Statements</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0CCE1" w14:textId="77777777" w:rsidR="003F0EEA" w:rsidRDefault="00FB7D0B" w:rsidP="003F0EEA">
    <w:pPr>
      <w:pStyle w:val="HeaderOdd3"/>
      <w:ind w:right="237"/>
    </w:pPr>
    <w:r w:rsidRPr="00EB7ECC">
      <w:t>AWM</w:t>
    </w:r>
    <w:r w:rsidRPr="00EB7ECC">
      <w:rPr>
        <w:i w:val="0"/>
      </w:rPr>
      <w:t xml:space="preserve"> </w:t>
    </w:r>
    <w:r>
      <w:t>Budget Statements</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E16AE" w14:textId="77777777" w:rsidR="003F0EEA" w:rsidRPr="00572D51" w:rsidRDefault="00FB7D0B" w:rsidP="003F0EEA">
    <w:pPr>
      <w:pStyle w:val="Normal260"/>
      <w:jc w:val="right"/>
      <w:rPr>
        <w:rFonts w:ascii="Book Antiqua" w:eastAsia="Calibri" w:hAnsi="Book Antiqua"/>
        <w:i/>
        <w:color w:val="FFFFFF"/>
        <w:sz w:val="20"/>
        <w:szCs w:val="20"/>
      </w:rPr>
    </w:pPr>
    <w:r w:rsidRPr="00572D51">
      <w:rPr>
        <w:rFonts w:ascii="Book Antiqua" w:eastAsia="Calibri" w:hAnsi="Book Antiqua"/>
        <w:i/>
        <w:color w:val="FFFFFF"/>
        <w:sz w:val="20"/>
        <w:szCs w:val="20"/>
      </w:rPr>
      <w:t>Portfolio Overview</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2114A" w14:textId="77777777" w:rsidR="003F0EEA" w:rsidRPr="009F67B3" w:rsidRDefault="00FB7D0B">
    <w:pPr>
      <w:pStyle w:val="Normal5"/>
      <w:rPr>
        <w:color w:val="FFFFFF"/>
      </w:rPr>
    </w:pPr>
    <w:r w:rsidRPr="009F67B3">
      <w:rPr>
        <w:color w:val="FFFFFF"/>
      </w:rPr>
      <w:t>DVA</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60490" w14:textId="77777777" w:rsidR="003F0EEA" w:rsidRPr="00A80519" w:rsidRDefault="00FB7D0B">
    <w:pPr>
      <w:pStyle w:val="Normal259"/>
      <w:rPr>
        <w:rFonts w:ascii="Book Antiqua" w:eastAsia="Calibri" w:hAnsi="Book Antiqua" w:cs="Arial"/>
        <w:i/>
        <w:color w:val="FFFFFF"/>
        <w:sz w:val="20"/>
        <w:szCs w:val="20"/>
      </w:rPr>
    </w:pPr>
    <w:r w:rsidRPr="00A80519">
      <w:rPr>
        <w:rFonts w:ascii="Book Antiqua" w:eastAsia="Calibri" w:hAnsi="Book Antiqua" w:cs="Arial"/>
        <w:i/>
        <w:color w:val="FFFFFF"/>
        <w:sz w:val="20"/>
        <w:szCs w:val="20"/>
      </w:rPr>
      <w:t>Portfolio Overview</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39924" w14:textId="77777777" w:rsidR="003F0EEA" w:rsidRPr="00022C96" w:rsidRDefault="00FB7D0B">
    <w:pPr>
      <w:pStyle w:val="Normal264"/>
      <w:rPr>
        <w:rFonts w:ascii="Calibri" w:eastAsia="Calibri" w:hAnsi="Calibri"/>
        <w:color w:val="FFFFFF"/>
      </w:rPr>
    </w:pPr>
    <w:r w:rsidRPr="00022C96">
      <w:rPr>
        <w:rFonts w:ascii="Calibri" w:eastAsia="Calibri" w:hAnsi="Calibri"/>
        <w:color w:val="FFFFFF"/>
      </w:rPr>
      <w:t>Glossary</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616E6" w14:textId="77777777" w:rsidR="003F0EEA" w:rsidRPr="003814F6" w:rsidRDefault="00FB7D0B" w:rsidP="003F0EEA">
    <w:pPr>
      <w:pStyle w:val="Normal263"/>
      <w:ind w:right="1088"/>
      <w:jc w:val="right"/>
      <w:rPr>
        <w:rFonts w:ascii="Calibri" w:eastAsia="Calibri" w:hAnsi="Calibri"/>
        <w:color w:val="FFFFFF"/>
      </w:rPr>
    </w:pPr>
    <w:r w:rsidRPr="003814F6">
      <w:rPr>
        <w:rFonts w:ascii="Calibri" w:eastAsia="Calibri" w:hAnsi="Calibri"/>
        <w:color w:val="FFFFFF"/>
      </w:rPr>
      <w:t>Glossary</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7B2DE" w14:textId="77777777" w:rsidR="003F0EEA" w:rsidRDefault="00FB7D0B" w:rsidP="003F0EEA">
    <w:pPr>
      <w:pStyle w:val="HeaderOdd6"/>
      <w:jc w:val="left"/>
    </w:pPr>
    <w:r>
      <w:t>Glossary</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E4CEF" w14:textId="77777777" w:rsidR="003F0EEA" w:rsidRDefault="00FB7D0B" w:rsidP="003F0EEA">
    <w:pPr>
      <w:pStyle w:val="HeaderOdd5"/>
    </w:pPr>
    <w:r>
      <w:t>Glossary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F0341" w14:textId="77777777" w:rsidR="003F0EEA" w:rsidRPr="007261E3" w:rsidRDefault="00FB7D0B">
    <w:pPr>
      <w:pStyle w:val="Normal17"/>
      <w:rPr>
        <w:rFonts w:ascii="Book Antiqua" w:eastAsia="Calibri" w:hAnsi="Book Antiqua"/>
        <w:i/>
        <w:color w:val="FFFFFF"/>
        <w:sz w:val="20"/>
        <w:szCs w:val="20"/>
      </w:rPr>
    </w:pPr>
    <w:r w:rsidRPr="007261E3">
      <w:rPr>
        <w:rFonts w:ascii="Book Antiqua" w:eastAsia="Calibri" w:hAnsi="Book Antiqua"/>
        <w:i/>
        <w:color w:val="FFFFFF"/>
        <w:sz w:val="20"/>
        <w:szCs w:val="20"/>
      </w:rPr>
      <w:t>User Guide</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1C94D" w14:textId="77777777" w:rsidR="003F0EEA" w:rsidRPr="00383DEE" w:rsidRDefault="00FB7D0B" w:rsidP="003F0EEA">
    <w:pPr>
      <w:pStyle w:val="Normal16"/>
      <w:jc w:val="right"/>
      <w:rPr>
        <w:rFonts w:ascii="Book Antiqua" w:eastAsia="Calibri" w:hAnsi="Book Antiqua"/>
        <w:i/>
        <w:color w:val="FFFFFF"/>
        <w:sz w:val="20"/>
        <w:szCs w:val="20"/>
      </w:rPr>
    </w:pPr>
    <w:r w:rsidRPr="00383DEE">
      <w:rPr>
        <w:rFonts w:ascii="Book Antiqua" w:eastAsia="Calibri" w:hAnsi="Book Antiqua"/>
        <w:i/>
        <w:color w:val="FFFFFF"/>
        <w:sz w:val="20"/>
        <w:szCs w:val="20"/>
      </w:rPr>
      <w:t>User Guide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C69EC" w14:textId="77777777" w:rsidR="003F0EEA" w:rsidRDefault="00FB7D0B" w:rsidP="003F0EEA">
    <w:pPr>
      <w:pStyle w:val="Header"/>
    </w:pPr>
    <w:r>
      <w:t>Portfolio Overview</w:t>
    </w:r>
  </w:p>
  <w:p w14:paraId="52F84FFC" w14:textId="77777777" w:rsidR="003F0EEA" w:rsidRPr="00022C96" w:rsidRDefault="00FB7D0B">
    <w:pPr>
      <w:pStyle w:val="Normal31"/>
      <w:rPr>
        <w:rFonts w:ascii="Calibri" w:eastAsia="Calibri" w:hAnsi="Calibri"/>
        <w:color w:val="FFFFFF"/>
      </w:rPr>
    </w:pPr>
    <w:r w:rsidRPr="00022C96">
      <w:rPr>
        <w:rFonts w:ascii="Calibri" w:eastAsia="Calibri" w:hAnsi="Calibri"/>
        <w:color w:val="FFFFFF"/>
      </w:rPr>
      <w:t>Glossary</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545A8" w14:textId="77777777" w:rsidR="003F0EEA" w:rsidRPr="001A4BE3" w:rsidRDefault="00FB7D0B" w:rsidP="003F0EEA">
    <w:pPr>
      <w:pStyle w:val="Normal30"/>
      <w:ind w:right="237"/>
      <w:jc w:val="right"/>
      <w:rPr>
        <w:rFonts w:ascii="Book Antiqua" w:eastAsia="Calibri" w:hAnsi="Book Antiqua"/>
        <w:i/>
        <w:color w:val="FFFFFF"/>
        <w:sz w:val="20"/>
        <w:szCs w:val="20"/>
      </w:rPr>
    </w:pPr>
    <w:r w:rsidRPr="001A4BE3">
      <w:rPr>
        <w:rFonts w:ascii="Book Antiqua" w:eastAsia="Calibri" w:hAnsi="Book Antiqua"/>
        <w:i/>
        <w:sz w:val="20"/>
        <w:szCs w:val="20"/>
      </w:rPr>
      <w:t>Portfolio Overvie</w:t>
    </w:r>
    <w:r>
      <w:rPr>
        <w:rFonts w:ascii="Book Antiqua" w:eastAsia="Calibri" w:hAnsi="Book Antiqua"/>
        <w:i/>
        <w:sz w:val="20"/>
        <w:szCs w:val="20"/>
      </w:rPr>
      <w:t>w</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66318" w14:textId="77777777" w:rsidR="003F0EEA" w:rsidRDefault="00FB7D0B" w:rsidP="003F0EEA">
    <w:pPr>
      <w:pStyle w:val="HeaderOdd0"/>
      <w:jc w:val="left"/>
    </w:pPr>
    <w:r>
      <w:t>Portfolio Overview</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081C3" w14:textId="77777777" w:rsidR="003F0EEA" w:rsidRDefault="00FB7D0B" w:rsidP="003F0EEA">
    <w:pPr>
      <w:pStyle w:val="HeaderOdd"/>
    </w:pPr>
    <w:r>
      <w:t>Portfolio Overview</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5FC3A" w14:textId="77777777" w:rsidR="003F0EEA" w:rsidRPr="00572D51" w:rsidRDefault="00FB7D0B" w:rsidP="003F0EEA">
    <w:pPr>
      <w:pStyle w:val="Normal42"/>
      <w:jc w:val="right"/>
      <w:rPr>
        <w:rFonts w:ascii="Book Antiqua" w:eastAsia="Calibri" w:hAnsi="Book Antiqua"/>
        <w:i/>
        <w:color w:val="FFFFFF"/>
        <w:sz w:val="20"/>
        <w:szCs w:val="20"/>
      </w:rPr>
    </w:pPr>
    <w:r w:rsidRPr="00572D51">
      <w:rPr>
        <w:rFonts w:ascii="Book Antiqua" w:eastAsia="Calibri" w:hAnsi="Book Antiqua"/>
        <w:i/>
        <w:color w:val="FFFFFF"/>
        <w:sz w:val="20"/>
        <w:szCs w:val="20"/>
      </w:rPr>
      <w:t>Portfolio Overview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753AC1FE"/>
    <w:name w:val="StandardBulletedList_"/>
    <w:lvl w:ilvl="0">
      <w:start w:val="1"/>
      <w:numFmt w:val="bullet"/>
      <w:pStyle w:val="Bullet"/>
      <w:lvlText w:val="•"/>
      <w:lvlJc w:val="left"/>
      <w:pPr>
        <w:tabs>
          <w:tab w:val="num" w:pos="283"/>
        </w:tabs>
        <w:ind w:left="283" w:hanging="283"/>
      </w:pPr>
      <w:rPr>
        <w:rFonts w:ascii="Times New Roman" w:hAnsi="Times New Roman" w:cs="Times New Roman"/>
        <w:b w:val="0"/>
        <w:i w:val="0"/>
      </w:rPr>
    </w:lvl>
    <w:lvl w:ilvl="1">
      <w:start w:val="1"/>
      <w:numFmt w:val="bullet"/>
      <w:pStyle w:val="Dash"/>
      <w:lvlText w:val="–"/>
      <w:lvlJc w:val="left"/>
      <w:pPr>
        <w:tabs>
          <w:tab w:val="num" w:pos="567"/>
        </w:tabs>
        <w:ind w:left="567" w:hanging="284"/>
      </w:pPr>
      <w:rPr>
        <w:rFonts w:ascii="Times New Roman" w:hAnsi="Times New Roman" w:cs="Times New Roman"/>
        <w:b w:val="0"/>
        <w:i w:val="0"/>
      </w:rPr>
    </w:lvl>
    <w:lvl w:ilvl="2">
      <w:start w:val="1"/>
      <w:numFmt w:val="bullet"/>
      <w:pStyle w:val="DoubleDo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1" w15:restartNumberingAfterBreak="0">
    <w:nsid w:val="00000002"/>
    <w:multiLevelType w:val="hybridMultilevel"/>
    <w:tmpl w:val="F9D04E58"/>
    <w:name w:val="StandardBulletedList_2"/>
    <w:lvl w:ilvl="0" w:tplc="47EA54C8">
      <w:start w:val="1"/>
      <w:numFmt w:val="bullet"/>
      <w:lvlText w:val=""/>
      <w:lvlJc w:val="left"/>
      <w:pPr>
        <w:tabs>
          <w:tab w:val="num" w:pos="360"/>
        </w:tabs>
        <w:ind w:left="360" w:hanging="360"/>
      </w:pPr>
      <w:rPr>
        <w:rFonts w:ascii="Symbol" w:hAnsi="Symbol" w:hint="default"/>
        <w:color w:val="auto"/>
      </w:rPr>
    </w:lvl>
    <w:lvl w:ilvl="1" w:tplc="03F29BF0">
      <w:start w:val="1"/>
      <w:numFmt w:val="decimal"/>
      <w:lvlText w:val="%2."/>
      <w:lvlJc w:val="left"/>
      <w:pPr>
        <w:tabs>
          <w:tab w:val="num" w:pos="1440"/>
        </w:tabs>
        <w:ind w:left="1440" w:hanging="360"/>
      </w:pPr>
    </w:lvl>
    <w:lvl w:ilvl="2" w:tplc="EB6E57BC">
      <w:start w:val="1"/>
      <w:numFmt w:val="decimal"/>
      <w:lvlText w:val="%3."/>
      <w:lvlJc w:val="left"/>
      <w:pPr>
        <w:tabs>
          <w:tab w:val="num" w:pos="2160"/>
        </w:tabs>
        <w:ind w:left="2160" w:hanging="360"/>
      </w:pPr>
    </w:lvl>
    <w:lvl w:ilvl="3" w:tplc="221CED26">
      <w:start w:val="1"/>
      <w:numFmt w:val="decimal"/>
      <w:lvlText w:val="%4."/>
      <w:lvlJc w:val="left"/>
      <w:pPr>
        <w:tabs>
          <w:tab w:val="num" w:pos="2880"/>
        </w:tabs>
        <w:ind w:left="2880" w:hanging="360"/>
      </w:pPr>
    </w:lvl>
    <w:lvl w:ilvl="4" w:tplc="5CAEFB32">
      <w:start w:val="1"/>
      <w:numFmt w:val="decimal"/>
      <w:lvlText w:val="%5."/>
      <w:lvlJc w:val="left"/>
      <w:pPr>
        <w:tabs>
          <w:tab w:val="num" w:pos="3600"/>
        </w:tabs>
        <w:ind w:left="3600" w:hanging="360"/>
      </w:pPr>
    </w:lvl>
    <w:lvl w:ilvl="5" w:tplc="582E6F3A">
      <w:start w:val="1"/>
      <w:numFmt w:val="decimal"/>
      <w:lvlText w:val="%6."/>
      <w:lvlJc w:val="left"/>
      <w:pPr>
        <w:tabs>
          <w:tab w:val="num" w:pos="4320"/>
        </w:tabs>
        <w:ind w:left="4320" w:hanging="360"/>
      </w:pPr>
    </w:lvl>
    <w:lvl w:ilvl="6" w:tplc="7E5E7474">
      <w:start w:val="1"/>
      <w:numFmt w:val="decimal"/>
      <w:lvlText w:val="%7."/>
      <w:lvlJc w:val="left"/>
      <w:pPr>
        <w:tabs>
          <w:tab w:val="num" w:pos="5040"/>
        </w:tabs>
        <w:ind w:left="5040" w:hanging="360"/>
      </w:pPr>
    </w:lvl>
    <w:lvl w:ilvl="7" w:tplc="FACE428E">
      <w:start w:val="1"/>
      <w:numFmt w:val="decimal"/>
      <w:lvlText w:val="%8."/>
      <w:lvlJc w:val="left"/>
      <w:pPr>
        <w:tabs>
          <w:tab w:val="num" w:pos="5760"/>
        </w:tabs>
        <w:ind w:left="5760" w:hanging="360"/>
      </w:pPr>
    </w:lvl>
    <w:lvl w:ilvl="8" w:tplc="D0642B94">
      <w:start w:val="1"/>
      <w:numFmt w:val="decimal"/>
      <w:lvlText w:val="%9."/>
      <w:lvlJc w:val="left"/>
      <w:pPr>
        <w:tabs>
          <w:tab w:val="num" w:pos="6480"/>
        </w:tabs>
        <w:ind w:left="6480" w:hanging="360"/>
      </w:pPr>
    </w:lvl>
  </w:abstractNum>
  <w:abstractNum w:abstractNumId="2" w15:restartNumberingAfterBreak="0">
    <w:nsid w:val="00000003"/>
    <w:multiLevelType w:val="hybridMultilevel"/>
    <w:tmpl w:val="59F8002A"/>
    <w:lvl w:ilvl="0" w:tplc="47C4AFDC">
      <w:start w:val="1"/>
      <w:numFmt w:val="bullet"/>
      <w:lvlText w:val=""/>
      <w:lvlJc w:val="left"/>
      <w:pPr>
        <w:ind w:left="720" w:hanging="360"/>
      </w:pPr>
      <w:rPr>
        <w:rFonts w:ascii="Symbol" w:hAnsi="Symbol" w:hint="default"/>
      </w:rPr>
    </w:lvl>
    <w:lvl w:ilvl="1" w:tplc="0B96C2C8" w:tentative="1">
      <w:start w:val="1"/>
      <w:numFmt w:val="bullet"/>
      <w:lvlText w:val="o"/>
      <w:lvlJc w:val="left"/>
      <w:pPr>
        <w:ind w:left="1440" w:hanging="360"/>
      </w:pPr>
      <w:rPr>
        <w:rFonts w:ascii="Courier New" w:hAnsi="Courier New" w:cs="Courier New" w:hint="default"/>
      </w:rPr>
    </w:lvl>
    <w:lvl w:ilvl="2" w:tplc="1E46D6E0" w:tentative="1">
      <w:start w:val="1"/>
      <w:numFmt w:val="bullet"/>
      <w:lvlText w:val=""/>
      <w:lvlJc w:val="left"/>
      <w:pPr>
        <w:ind w:left="2160" w:hanging="360"/>
      </w:pPr>
      <w:rPr>
        <w:rFonts w:ascii="Wingdings" w:hAnsi="Wingdings" w:hint="default"/>
      </w:rPr>
    </w:lvl>
    <w:lvl w:ilvl="3" w:tplc="106EAFD8" w:tentative="1">
      <w:start w:val="1"/>
      <w:numFmt w:val="bullet"/>
      <w:lvlText w:val=""/>
      <w:lvlJc w:val="left"/>
      <w:pPr>
        <w:ind w:left="2880" w:hanging="360"/>
      </w:pPr>
      <w:rPr>
        <w:rFonts w:ascii="Symbol" w:hAnsi="Symbol" w:hint="default"/>
      </w:rPr>
    </w:lvl>
    <w:lvl w:ilvl="4" w:tplc="63729D4A" w:tentative="1">
      <w:start w:val="1"/>
      <w:numFmt w:val="bullet"/>
      <w:lvlText w:val="o"/>
      <w:lvlJc w:val="left"/>
      <w:pPr>
        <w:ind w:left="3600" w:hanging="360"/>
      </w:pPr>
      <w:rPr>
        <w:rFonts w:ascii="Courier New" w:hAnsi="Courier New" w:cs="Courier New" w:hint="default"/>
      </w:rPr>
    </w:lvl>
    <w:lvl w:ilvl="5" w:tplc="C2BE688A" w:tentative="1">
      <w:start w:val="1"/>
      <w:numFmt w:val="bullet"/>
      <w:lvlText w:val=""/>
      <w:lvlJc w:val="left"/>
      <w:pPr>
        <w:ind w:left="4320" w:hanging="360"/>
      </w:pPr>
      <w:rPr>
        <w:rFonts w:ascii="Wingdings" w:hAnsi="Wingdings" w:hint="default"/>
      </w:rPr>
    </w:lvl>
    <w:lvl w:ilvl="6" w:tplc="0AA238AC" w:tentative="1">
      <w:start w:val="1"/>
      <w:numFmt w:val="bullet"/>
      <w:lvlText w:val=""/>
      <w:lvlJc w:val="left"/>
      <w:pPr>
        <w:ind w:left="5040" w:hanging="360"/>
      </w:pPr>
      <w:rPr>
        <w:rFonts w:ascii="Symbol" w:hAnsi="Symbol" w:hint="default"/>
      </w:rPr>
    </w:lvl>
    <w:lvl w:ilvl="7" w:tplc="B13E1E52" w:tentative="1">
      <w:start w:val="1"/>
      <w:numFmt w:val="bullet"/>
      <w:lvlText w:val="o"/>
      <w:lvlJc w:val="left"/>
      <w:pPr>
        <w:ind w:left="5760" w:hanging="360"/>
      </w:pPr>
      <w:rPr>
        <w:rFonts w:ascii="Courier New" w:hAnsi="Courier New" w:cs="Courier New" w:hint="default"/>
      </w:rPr>
    </w:lvl>
    <w:lvl w:ilvl="8" w:tplc="954E536E" w:tentative="1">
      <w:start w:val="1"/>
      <w:numFmt w:val="bullet"/>
      <w:lvlText w:val=""/>
      <w:lvlJc w:val="left"/>
      <w:pPr>
        <w:ind w:left="6480" w:hanging="360"/>
      </w:pPr>
      <w:rPr>
        <w:rFonts w:ascii="Wingdings" w:hAnsi="Wingdings" w:hint="default"/>
      </w:rPr>
    </w:lvl>
  </w:abstractNum>
  <w:abstractNum w:abstractNumId="3" w15:restartNumberingAfterBreak="0">
    <w:nsid w:val="00000004"/>
    <w:multiLevelType w:val="hybridMultilevel"/>
    <w:tmpl w:val="028C0402"/>
    <w:lvl w:ilvl="0" w:tplc="DE560542">
      <w:start w:val="1"/>
      <w:numFmt w:val="bullet"/>
      <w:lvlText w:val=""/>
      <w:lvlJc w:val="left"/>
      <w:pPr>
        <w:ind w:left="720" w:hanging="360"/>
      </w:pPr>
      <w:rPr>
        <w:rFonts w:ascii="Symbol" w:hAnsi="Symbol" w:hint="default"/>
      </w:rPr>
    </w:lvl>
    <w:lvl w:ilvl="1" w:tplc="FF6A3FD4" w:tentative="1">
      <w:start w:val="1"/>
      <w:numFmt w:val="bullet"/>
      <w:lvlText w:val="o"/>
      <w:lvlJc w:val="left"/>
      <w:pPr>
        <w:ind w:left="1440" w:hanging="360"/>
      </w:pPr>
      <w:rPr>
        <w:rFonts w:ascii="Courier New" w:hAnsi="Courier New" w:cs="Courier New" w:hint="default"/>
      </w:rPr>
    </w:lvl>
    <w:lvl w:ilvl="2" w:tplc="2110EB8E" w:tentative="1">
      <w:start w:val="1"/>
      <w:numFmt w:val="bullet"/>
      <w:lvlText w:val=""/>
      <w:lvlJc w:val="left"/>
      <w:pPr>
        <w:ind w:left="2160" w:hanging="360"/>
      </w:pPr>
      <w:rPr>
        <w:rFonts w:ascii="Wingdings" w:hAnsi="Wingdings" w:hint="default"/>
      </w:rPr>
    </w:lvl>
    <w:lvl w:ilvl="3" w:tplc="25905020" w:tentative="1">
      <w:start w:val="1"/>
      <w:numFmt w:val="bullet"/>
      <w:lvlText w:val=""/>
      <w:lvlJc w:val="left"/>
      <w:pPr>
        <w:ind w:left="2880" w:hanging="360"/>
      </w:pPr>
      <w:rPr>
        <w:rFonts w:ascii="Symbol" w:hAnsi="Symbol" w:hint="default"/>
      </w:rPr>
    </w:lvl>
    <w:lvl w:ilvl="4" w:tplc="634490D0" w:tentative="1">
      <w:start w:val="1"/>
      <w:numFmt w:val="bullet"/>
      <w:lvlText w:val="o"/>
      <w:lvlJc w:val="left"/>
      <w:pPr>
        <w:ind w:left="3600" w:hanging="360"/>
      </w:pPr>
      <w:rPr>
        <w:rFonts w:ascii="Courier New" w:hAnsi="Courier New" w:cs="Courier New" w:hint="default"/>
      </w:rPr>
    </w:lvl>
    <w:lvl w:ilvl="5" w:tplc="1B527260" w:tentative="1">
      <w:start w:val="1"/>
      <w:numFmt w:val="bullet"/>
      <w:lvlText w:val=""/>
      <w:lvlJc w:val="left"/>
      <w:pPr>
        <w:ind w:left="4320" w:hanging="360"/>
      </w:pPr>
      <w:rPr>
        <w:rFonts w:ascii="Wingdings" w:hAnsi="Wingdings" w:hint="default"/>
      </w:rPr>
    </w:lvl>
    <w:lvl w:ilvl="6" w:tplc="68EC9CF2" w:tentative="1">
      <w:start w:val="1"/>
      <w:numFmt w:val="bullet"/>
      <w:lvlText w:val=""/>
      <w:lvlJc w:val="left"/>
      <w:pPr>
        <w:ind w:left="5040" w:hanging="360"/>
      </w:pPr>
      <w:rPr>
        <w:rFonts w:ascii="Symbol" w:hAnsi="Symbol" w:hint="default"/>
      </w:rPr>
    </w:lvl>
    <w:lvl w:ilvl="7" w:tplc="86B2C9C2" w:tentative="1">
      <w:start w:val="1"/>
      <w:numFmt w:val="bullet"/>
      <w:lvlText w:val="o"/>
      <w:lvlJc w:val="left"/>
      <w:pPr>
        <w:ind w:left="5760" w:hanging="360"/>
      </w:pPr>
      <w:rPr>
        <w:rFonts w:ascii="Courier New" w:hAnsi="Courier New" w:cs="Courier New" w:hint="default"/>
      </w:rPr>
    </w:lvl>
    <w:lvl w:ilvl="8" w:tplc="C1B26878" w:tentative="1">
      <w:start w:val="1"/>
      <w:numFmt w:val="bullet"/>
      <w:lvlText w:val=""/>
      <w:lvlJc w:val="left"/>
      <w:pPr>
        <w:ind w:left="6480" w:hanging="360"/>
      </w:pPr>
      <w:rPr>
        <w:rFonts w:ascii="Wingdings" w:hAnsi="Wingdings" w:hint="default"/>
      </w:rPr>
    </w:lvl>
  </w:abstractNum>
  <w:abstractNum w:abstractNumId="4" w15:restartNumberingAfterBreak="0">
    <w:nsid w:val="00000005"/>
    <w:multiLevelType w:val="multilevel"/>
    <w:tmpl w:val="BAAA910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decimal"/>
      <w:lvlText w:val="%6."/>
      <w:lvlJc w:val="left"/>
      <w:pPr>
        <w:tabs>
          <w:tab w:val="num" w:pos="3960"/>
        </w:tabs>
        <w:ind w:left="396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0000006"/>
    <w:multiLevelType w:val="hybridMultilevel"/>
    <w:tmpl w:val="2D5C97AE"/>
    <w:lvl w:ilvl="0" w:tplc="7F428504">
      <w:start w:val="1"/>
      <w:numFmt w:val="decimal"/>
      <w:lvlText w:val="%1."/>
      <w:lvlJc w:val="left"/>
      <w:pPr>
        <w:ind w:left="360" w:hanging="360"/>
      </w:pPr>
    </w:lvl>
    <w:lvl w:ilvl="1" w:tplc="4B186930">
      <w:start w:val="1"/>
      <w:numFmt w:val="decimal"/>
      <w:lvlText w:val="%2."/>
      <w:lvlJc w:val="left"/>
      <w:pPr>
        <w:tabs>
          <w:tab w:val="num" w:pos="1440"/>
        </w:tabs>
        <w:ind w:left="1440" w:hanging="360"/>
      </w:pPr>
    </w:lvl>
    <w:lvl w:ilvl="2" w:tplc="BD7A8710">
      <w:start w:val="1"/>
      <w:numFmt w:val="decimal"/>
      <w:lvlText w:val="%3."/>
      <w:lvlJc w:val="left"/>
      <w:pPr>
        <w:tabs>
          <w:tab w:val="num" w:pos="2160"/>
        </w:tabs>
        <w:ind w:left="2160" w:hanging="360"/>
      </w:pPr>
    </w:lvl>
    <w:lvl w:ilvl="3" w:tplc="DCBCD5FA">
      <w:start w:val="1"/>
      <w:numFmt w:val="decimal"/>
      <w:lvlText w:val="%4."/>
      <w:lvlJc w:val="left"/>
      <w:pPr>
        <w:tabs>
          <w:tab w:val="num" w:pos="2880"/>
        </w:tabs>
        <w:ind w:left="2880" w:hanging="360"/>
      </w:pPr>
    </w:lvl>
    <w:lvl w:ilvl="4" w:tplc="987A1BF4">
      <w:start w:val="1"/>
      <w:numFmt w:val="decimal"/>
      <w:lvlText w:val="%5."/>
      <w:lvlJc w:val="left"/>
      <w:pPr>
        <w:tabs>
          <w:tab w:val="num" w:pos="3600"/>
        </w:tabs>
        <w:ind w:left="3600" w:hanging="360"/>
      </w:pPr>
    </w:lvl>
    <w:lvl w:ilvl="5" w:tplc="E6749A3C">
      <w:start w:val="1"/>
      <w:numFmt w:val="decimal"/>
      <w:lvlText w:val="%6."/>
      <w:lvlJc w:val="left"/>
      <w:pPr>
        <w:tabs>
          <w:tab w:val="num" w:pos="4320"/>
        </w:tabs>
        <w:ind w:left="4320" w:hanging="360"/>
      </w:pPr>
    </w:lvl>
    <w:lvl w:ilvl="6" w:tplc="7BE228F4">
      <w:start w:val="1"/>
      <w:numFmt w:val="decimal"/>
      <w:lvlText w:val="%7."/>
      <w:lvlJc w:val="left"/>
      <w:pPr>
        <w:tabs>
          <w:tab w:val="num" w:pos="5040"/>
        </w:tabs>
        <w:ind w:left="5040" w:hanging="360"/>
      </w:pPr>
    </w:lvl>
    <w:lvl w:ilvl="7" w:tplc="9CF27B98">
      <w:start w:val="1"/>
      <w:numFmt w:val="decimal"/>
      <w:lvlText w:val="%8."/>
      <w:lvlJc w:val="left"/>
      <w:pPr>
        <w:tabs>
          <w:tab w:val="num" w:pos="5760"/>
        </w:tabs>
        <w:ind w:left="5760" w:hanging="360"/>
      </w:pPr>
    </w:lvl>
    <w:lvl w:ilvl="8" w:tplc="0A44217E">
      <w:start w:val="1"/>
      <w:numFmt w:val="decimal"/>
      <w:lvlText w:val="%9."/>
      <w:lvlJc w:val="left"/>
      <w:pPr>
        <w:tabs>
          <w:tab w:val="num" w:pos="6480"/>
        </w:tabs>
        <w:ind w:left="6480" w:hanging="360"/>
      </w:pPr>
    </w:lvl>
  </w:abstractNum>
  <w:abstractNum w:abstractNumId="6" w15:restartNumberingAfterBreak="0">
    <w:nsid w:val="00000007"/>
    <w:multiLevelType w:val="hybridMultilevel"/>
    <w:tmpl w:val="2D5C97AE"/>
    <w:lvl w:ilvl="0" w:tplc="8D486F4A">
      <w:start w:val="1"/>
      <w:numFmt w:val="decimal"/>
      <w:lvlText w:val="%1."/>
      <w:lvlJc w:val="left"/>
      <w:pPr>
        <w:ind w:left="360" w:hanging="360"/>
      </w:pPr>
      <w:rPr>
        <w:rFonts w:hint="default"/>
      </w:rPr>
    </w:lvl>
    <w:lvl w:ilvl="1" w:tplc="F76A3660" w:tentative="1">
      <w:start w:val="1"/>
      <w:numFmt w:val="lowerLetter"/>
      <w:lvlText w:val="%2."/>
      <w:lvlJc w:val="left"/>
      <w:pPr>
        <w:ind w:left="1080" w:hanging="360"/>
      </w:pPr>
    </w:lvl>
    <w:lvl w:ilvl="2" w:tplc="5F70D1F0" w:tentative="1">
      <w:start w:val="1"/>
      <w:numFmt w:val="lowerRoman"/>
      <w:lvlText w:val="%3."/>
      <w:lvlJc w:val="right"/>
      <w:pPr>
        <w:ind w:left="1800" w:hanging="180"/>
      </w:pPr>
    </w:lvl>
    <w:lvl w:ilvl="3" w:tplc="842891C0" w:tentative="1">
      <w:start w:val="1"/>
      <w:numFmt w:val="decimal"/>
      <w:lvlText w:val="%4."/>
      <w:lvlJc w:val="left"/>
      <w:pPr>
        <w:ind w:left="2520" w:hanging="360"/>
      </w:pPr>
    </w:lvl>
    <w:lvl w:ilvl="4" w:tplc="1EA874EA" w:tentative="1">
      <w:start w:val="1"/>
      <w:numFmt w:val="lowerLetter"/>
      <w:lvlText w:val="%5."/>
      <w:lvlJc w:val="left"/>
      <w:pPr>
        <w:ind w:left="3240" w:hanging="360"/>
      </w:pPr>
    </w:lvl>
    <w:lvl w:ilvl="5" w:tplc="D24085CE" w:tentative="1">
      <w:start w:val="1"/>
      <w:numFmt w:val="lowerRoman"/>
      <w:lvlText w:val="%6."/>
      <w:lvlJc w:val="right"/>
      <w:pPr>
        <w:ind w:left="3960" w:hanging="180"/>
      </w:pPr>
    </w:lvl>
    <w:lvl w:ilvl="6" w:tplc="C8BC887A" w:tentative="1">
      <w:start w:val="1"/>
      <w:numFmt w:val="decimal"/>
      <w:lvlText w:val="%7."/>
      <w:lvlJc w:val="left"/>
      <w:pPr>
        <w:ind w:left="4680" w:hanging="360"/>
      </w:pPr>
    </w:lvl>
    <w:lvl w:ilvl="7" w:tplc="4D365EBE" w:tentative="1">
      <w:start w:val="1"/>
      <w:numFmt w:val="lowerLetter"/>
      <w:lvlText w:val="%8."/>
      <w:lvlJc w:val="left"/>
      <w:pPr>
        <w:ind w:left="5400" w:hanging="360"/>
      </w:pPr>
    </w:lvl>
    <w:lvl w:ilvl="8" w:tplc="F3F6C2B0" w:tentative="1">
      <w:start w:val="1"/>
      <w:numFmt w:val="lowerRoman"/>
      <w:lvlText w:val="%9."/>
      <w:lvlJc w:val="right"/>
      <w:pPr>
        <w:ind w:left="6120" w:hanging="180"/>
      </w:pPr>
    </w:lvl>
  </w:abstractNum>
  <w:abstractNum w:abstractNumId="7" w15:restartNumberingAfterBreak="0">
    <w:nsid w:val="00000008"/>
    <w:multiLevelType w:val="multilevel"/>
    <w:tmpl w:val="753AC1FE"/>
    <w:name w:val="StandardBulletedList_"/>
    <w:lvl w:ilvl="0">
      <w:start w:val="1"/>
      <w:numFmt w:val="bullet"/>
      <w:pStyle w:val="Bullet0"/>
      <w:lvlText w:val="•"/>
      <w:lvlJc w:val="left"/>
      <w:pPr>
        <w:tabs>
          <w:tab w:val="num" w:pos="283"/>
        </w:tabs>
        <w:ind w:left="283" w:hanging="283"/>
      </w:pPr>
      <w:rPr>
        <w:rFonts w:ascii="Times New Roman" w:hAnsi="Times New Roman" w:cs="Times New Roman"/>
        <w:b w:val="0"/>
        <w:i w:val="0"/>
      </w:rPr>
    </w:lvl>
    <w:lvl w:ilvl="1">
      <w:start w:val="1"/>
      <w:numFmt w:val="bullet"/>
      <w:pStyle w:val="Dash0"/>
      <w:lvlText w:val="–"/>
      <w:lvlJc w:val="left"/>
      <w:pPr>
        <w:tabs>
          <w:tab w:val="num" w:pos="567"/>
        </w:tabs>
        <w:ind w:left="567" w:hanging="284"/>
      </w:pPr>
      <w:rPr>
        <w:rFonts w:ascii="Times New Roman" w:hAnsi="Times New Roman" w:cs="Times New Roman"/>
        <w:b w:val="0"/>
        <w:i w:val="0"/>
      </w:rPr>
    </w:lvl>
    <w:lvl w:ilvl="2">
      <w:start w:val="1"/>
      <w:numFmt w:val="bullet"/>
      <w:pStyle w:val="DoubleDot0"/>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8" w15:restartNumberingAfterBreak="0">
    <w:nsid w:val="00000009"/>
    <w:multiLevelType w:val="multilevel"/>
    <w:tmpl w:val="753AC1FE"/>
    <w:name w:val="StandardBulletedList_"/>
    <w:lvl w:ilvl="0">
      <w:start w:val="1"/>
      <w:numFmt w:val="bullet"/>
      <w:pStyle w:val="Bullet1"/>
      <w:lvlText w:val="•"/>
      <w:lvlJc w:val="left"/>
      <w:pPr>
        <w:tabs>
          <w:tab w:val="num" w:pos="283"/>
        </w:tabs>
        <w:ind w:left="283" w:hanging="283"/>
      </w:pPr>
      <w:rPr>
        <w:rFonts w:ascii="Times New Roman" w:hAnsi="Times New Roman" w:cs="Times New Roman"/>
        <w:b w:val="0"/>
        <w:i w:val="0"/>
      </w:rPr>
    </w:lvl>
    <w:lvl w:ilvl="1">
      <w:start w:val="1"/>
      <w:numFmt w:val="bullet"/>
      <w:pStyle w:val="Dash1"/>
      <w:lvlText w:val="–"/>
      <w:lvlJc w:val="left"/>
      <w:pPr>
        <w:tabs>
          <w:tab w:val="num" w:pos="567"/>
        </w:tabs>
        <w:ind w:left="567" w:hanging="284"/>
      </w:pPr>
      <w:rPr>
        <w:rFonts w:ascii="Times New Roman" w:hAnsi="Times New Roman" w:cs="Times New Roman"/>
        <w:b w:val="0"/>
        <w:i w:val="0"/>
      </w:rPr>
    </w:lvl>
    <w:lvl w:ilvl="2">
      <w:start w:val="1"/>
      <w:numFmt w:val="bullet"/>
      <w:pStyle w:val="DoubleDot1"/>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9" w15:restartNumberingAfterBreak="0">
    <w:nsid w:val="0000000A"/>
    <w:multiLevelType w:val="multilevel"/>
    <w:tmpl w:val="0DFE1A6A"/>
    <w:name w:val="TableTextBullet"/>
    <w:lvl w:ilvl="0">
      <w:start w:val="1"/>
      <w:numFmt w:val="bullet"/>
      <w:pStyle w:val="TableTextBullet"/>
      <w:lvlText w:val="•"/>
      <w:lvlJc w:val="left"/>
      <w:pPr>
        <w:tabs>
          <w:tab w:val="num" w:pos="284"/>
        </w:tabs>
        <w:ind w:left="284" w:hanging="284"/>
      </w:pPr>
      <w:rPr>
        <w:b w:val="0"/>
        <w:i w:val="0"/>
        <w:color w:val="000000"/>
      </w:rPr>
    </w:lvl>
    <w:lvl w:ilvl="1">
      <w:start w:val="1"/>
      <w:numFmt w:val="bullet"/>
      <w:pStyle w:val="TableTextDash"/>
      <w:lvlText w:val="–"/>
      <w:lvlJc w:val="left"/>
      <w:pPr>
        <w:tabs>
          <w:tab w:val="num" w:pos="851"/>
        </w:tabs>
        <w:ind w:left="851" w:hanging="284"/>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0" w15:restartNumberingAfterBreak="0">
    <w:nsid w:val="0000000B"/>
    <w:multiLevelType w:val="hybridMultilevel"/>
    <w:tmpl w:val="C1A0C80E"/>
    <w:lvl w:ilvl="0" w:tplc="70144582">
      <w:start w:val="1"/>
      <w:numFmt w:val="decimal"/>
      <w:lvlText w:val="%1."/>
      <w:lvlJc w:val="left"/>
      <w:pPr>
        <w:ind w:left="720" w:hanging="360"/>
      </w:pPr>
      <w:rPr>
        <w:rFonts w:hint="default"/>
      </w:rPr>
    </w:lvl>
    <w:lvl w:ilvl="1" w:tplc="E89AFDB4" w:tentative="1">
      <w:start w:val="1"/>
      <w:numFmt w:val="lowerLetter"/>
      <w:lvlText w:val="%2."/>
      <w:lvlJc w:val="left"/>
      <w:pPr>
        <w:ind w:left="1440" w:hanging="360"/>
      </w:pPr>
    </w:lvl>
    <w:lvl w:ilvl="2" w:tplc="AB64CBA4" w:tentative="1">
      <w:start w:val="1"/>
      <w:numFmt w:val="lowerRoman"/>
      <w:lvlText w:val="%3."/>
      <w:lvlJc w:val="right"/>
      <w:pPr>
        <w:ind w:left="2160" w:hanging="180"/>
      </w:pPr>
    </w:lvl>
    <w:lvl w:ilvl="3" w:tplc="D3645AE0" w:tentative="1">
      <w:start w:val="1"/>
      <w:numFmt w:val="decimal"/>
      <w:lvlText w:val="%4."/>
      <w:lvlJc w:val="left"/>
      <w:pPr>
        <w:ind w:left="2880" w:hanging="360"/>
      </w:pPr>
    </w:lvl>
    <w:lvl w:ilvl="4" w:tplc="D05E20AA" w:tentative="1">
      <w:start w:val="1"/>
      <w:numFmt w:val="lowerLetter"/>
      <w:lvlText w:val="%5."/>
      <w:lvlJc w:val="left"/>
      <w:pPr>
        <w:ind w:left="3600" w:hanging="360"/>
      </w:pPr>
    </w:lvl>
    <w:lvl w:ilvl="5" w:tplc="70C25EBE" w:tentative="1">
      <w:start w:val="1"/>
      <w:numFmt w:val="lowerRoman"/>
      <w:lvlText w:val="%6."/>
      <w:lvlJc w:val="right"/>
      <w:pPr>
        <w:ind w:left="4320" w:hanging="180"/>
      </w:pPr>
    </w:lvl>
    <w:lvl w:ilvl="6" w:tplc="1074769E" w:tentative="1">
      <w:start w:val="1"/>
      <w:numFmt w:val="decimal"/>
      <w:lvlText w:val="%7."/>
      <w:lvlJc w:val="left"/>
      <w:pPr>
        <w:ind w:left="5040" w:hanging="360"/>
      </w:pPr>
    </w:lvl>
    <w:lvl w:ilvl="7" w:tplc="3132BC3E" w:tentative="1">
      <w:start w:val="1"/>
      <w:numFmt w:val="lowerLetter"/>
      <w:lvlText w:val="%8."/>
      <w:lvlJc w:val="left"/>
      <w:pPr>
        <w:ind w:left="5760" w:hanging="360"/>
      </w:pPr>
    </w:lvl>
    <w:lvl w:ilvl="8" w:tplc="0E4CF0AC" w:tentative="1">
      <w:start w:val="1"/>
      <w:numFmt w:val="lowerRoman"/>
      <w:lvlText w:val="%9."/>
      <w:lvlJc w:val="right"/>
      <w:pPr>
        <w:ind w:left="6480" w:hanging="180"/>
      </w:pPr>
    </w:lvl>
  </w:abstractNum>
  <w:abstractNum w:abstractNumId="11" w15:restartNumberingAfterBreak="0">
    <w:nsid w:val="0000000C"/>
    <w:multiLevelType w:val="multilevel"/>
    <w:tmpl w:val="0DFE1A6A"/>
    <w:name w:val="TableTextBullet"/>
    <w:lvl w:ilvl="0">
      <w:start w:val="1"/>
      <w:numFmt w:val="bullet"/>
      <w:pStyle w:val="TableTextBullet0"/>
      <w:lvlText w:val="•"/>
      <w:lvlJc w:val="left"/>
      <w:pPr>
        <w:tabs>
          <w:tab w:val="num" w:pos="284"/>
        </w:tabs>
        <w:ind w:left="284" w:hanging="284"/>
      </w:pPr>
      <w:rPr>
        <w:b w:val="0"/>
        <w:i w:val="0"/>
        <w:color w:val="000000"/>
      </w:rPr>
    </w:lvl>
    <w:lvl w:ilvl="1">
      <w:start w:val="1"/>
      <w:numFmt w:val="bullet"/>
      <w:pStyle w:val="TableTextDash0"/>
      <w:lvlText w:val="–"/>
      <w:lvlJc w:val="left"/>
      <w:pPr>
        <w:tabs>
          <w:tab w:val="num" w:pos="851"/>
        </w:tabs>
        <w:ind w:left="851" w:hanging="284"/>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2" w15:restartNumberingAfterBreak="0">
    <w:nsid w:val="0000000D"/>
    <w:multiLevelType w:val="hybridMultilevel"/>
    <w:tmpl w:val="C1A0C80E"/>
    <w:lvl w:ilvl="0" w:tplc="C4B6269A">
      <w:start w:val="1"/>
      <w:numFmt w:val="decimal"/>
      <w:lvlText w:val="%1."/>
      <w:lvlJc w:val="left"/>
      <w:pPr>
        <w:ind w:left="720" w:hanging="360"/>
      </w:pPr>
      <w:rPr>
        <w:rFonts w:hint="default"/>
      </w:rPr>
    </w:lvl>
    <w:lvl w:ilvl="1" w:tplc="289C30AA" w:tentative="1">
      <w:start w:val="1"/>
      <w:numFmt w:val="lowerLetter"/>
      <w:lvlText w:val="%2."/>
      <w:lvlJc w:val="left"/>
      <w:pPr>
        <w:ind w:left="1440" w:hanging="360"/>
      </w:pPr>
    </w:lvl>
    <w:lvl w:ilvl="2" w:tplc="57802C3E" w:tentative="1">
      <w:start w:val="1"/>
      <w:numFmt w:val="lowerRoman"/>
      <w:lvlText w:val="%3."/>
      <w:lvlJc w:val="right"/>
      <w:pPr>
        <w:ind w:left="2160" w:hanging="180"/>
      </w:pPr>
    </w:lvl>
    <w:lvl w:ilvl="3" w:tplc="9EC2FBE2" w:tentative="1">
      <w:start w:val="1"/>
      <w:numFmt w:val="decimal"/>
      <w:lvlText w:val="%4."/>
      <w:lvlJc w:val="left"/>
      <w:pPr>
        <w:ind w:left="2880" w:hanging="360"/>
      </w:pPr>
    </w:lvl>
    <w:lvl w:ilvl="4" w:tplc="99863BA2" w:tentative="1">
      <w:start w:val="1"/>
      <w:numFmt w:val="lowerLetter"/>
      <w:lvlText w:val="%5."/>
      <w:lvlJc w:val="left"/>
      <w:pPr>
        <w:ind w:left="3600" w:hanging="360"/>
      </w:pPr>
    </w:lvl>
    <w:lvl w:ilvl="5" w:tplc="30F212F8" w:tentative="1">
      <w:start w:val="1"/>
      <w:numFmt w:val="lowerRoman"/>
      <w:lvlText w:val="%6."/>
      <w:lvlJc w:val="right"/>
      <w:pPr>
        <w:ind w:left="4320" w:hanging="180"/>
      </w:pPr>
    </w:lvl>
    <w:lvl w:ilvl="6" w:tplc="3AE4B670" w:tentative="1">
      <w:start w:val="1"/>
      <w:numFmt w:val="decimal"/>
      <w:lvlText w:val="%7."/>
      <w:lvlJc w:val="left"/>
      <w:pPr>
        <w:ind w:left="5040" w:hanging="360"/>
      </w:pPr>
    </w:lvl>
    <w:lvl w:ilvl="7" w:tplc="9C68BE30" w:tentative="1">
      <w:start w:val="1"/>
      <w:numFmt w:val="lowerLetter"/>
      <w:lvlText w:val="%8."/>
      <w:lvlJc w:val="left"/>
      <w:pPr>
        <w:ind w:left="5760" w:hanging="360"/>
      </w:pPr>
    </w:lvl>
    <w:lvl w:ilvl="8" w:tplc="BC00C488" w:tentative="1">
      <w:start w:val="1"/>
      <w:numFmt w:val="lowerRoman"/>
      <w:lvlText w:val="%9."/>
      <w:lvlJc w:val="right"/>
      <w:pPr>
        <w:ind w:left="6480" w:hanging="180"/>
      </w:pPr>
    </w:lvl>
  </w:abstractNum>
  <w:abstractNum w:abstractNumId="13" w15:restartNumberingAfterBreak="0">
    <w:nsid w:val="0000000E"/>
    <w:multiLevelType w:val="multilevel"/>
    <w:tmpl w:val="0DFE1A6A"/>
    <w:name w:val="TableTextBullet"/>
    <w:lvl w:ilvl="0">
      <w:start w:val="1"/>
      <w:numFmt w:val="bullet"/>
      <w:pStyle w:val="TableTextBullet1"/>
      <w:lvlText w:val="•"/>
      <w:lvlJc w:val="left"/>
      <w:pPr>
        <w:tabs>
          <w:tab w:val="num" w:pos="284"/>
        </w:tabs>
        <w:ind w:left="284" w:hanging="284"/>
      </w:pPr>
      <w:rPr>
        <w:b w:val="0"/>
        <w:i w:val="0"/>
        <w:color w:val="000000"/>
      </w:rPr>
    </w:lvl>
    <w:lvl w:ilvl="1">
      <w:start w:val="1"/>
      <w:numFmt w:val="bullet"/>
      <w:pStyle w:val="TableTextDash1"/>
      <w:lvlText w:val="–"/>
      <w:lvlJc w:val="left"/>
      <w:pPr>
        <w:tabs>
          <w:tab w:val="num" w:pos="851"/>
        </w:tabs>
        <w:ind w:left="851" w:hanging="284"/>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4" w15:restartNumberingAfterBreak="0">
    <w:nsid w:val="0000000F"/>
    <w:multiLevelType w:val="multilevel"/>
    <w:tmpl w:val="0DFE1A6A"/>
    <w:name w:val="TableTextBullet"/>
    <w:lvl w:ilvl="0">
      <w:start w:val="1"/>
      <w:numFmt w:val="bullet"/>
      <w:pStyle w:val="TableTextBullet2"/>
      <w:lvlText w:val="•"/>
      <w:lvlJc w:val="left"/>
      <w:pPr>
        <w:tabs>
          <w:tab w:val="num" w:pos="284"/>
        </w:tabs>
        <w:ind w:left="284" w:hanging="284"/>
      </w:pPr>
      <w:rPr>
        <w:b w:val="0"/>
        <w:i w:val="0"/>
        <w:color w:val="000000"/>
      </w:rPr>
    </w:lvl>
    <w:lvl w:ilvl="1">
      <w:start w:val="1"/>
      <w:numFmt w:val="bullet"/>
      <w:pStyle w:val="TableTextDash2"/>
      <w:lvlText w:val="–"/>
      <w:lvlJc w:val="left"/>
      <w:pPr>
        <w:tabs>
          <w:tab w:val="num" w:pos="851"/>
        </w:tabs>
        <w:ind w:left="851" w:hanging="284"/>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5" w15:restartNumberingAfterBreak="0">
    <w:nsid w:val="00000010"/>
    <w:multiLevelType w:val="hybridMultilevel"/>
    <w:tmpl w:val="C1A0C80E"/>
    <w:lvl w:ilvl="0" w:tplc="FEF23992">
      <w:start w:val="1"/>
      <w:numFmt w:val="decimal"/>
      <w:lvlText w:val="%1."/>
      <w:lvlJc w:val="left"/>
      <w:pPr>
        <w:ind w:left="720" w:hanging="360"/>
      </w:pPr>
      <w:rPr>
        <w:rFonts w:hint="default"/>
      </w:rPr>
    </w:lvl>
    <w:lvl w:ilvl="1" w:tplc="FE34CB62" w:tentative="1">
      <w:start w:val="1"/>
      <w:numFmt w:val="lowerLetter"/>
      <w:lvlText w:val="%2."/>
      <w:lvlJc w:val="left"/>
      <w:pPr>
        <w:ind w:left="1440" w:hanging="360"/>
      </w:pPr>
    </w:lvl>
    <w:lvl w:ilvl="2" w:tplc="EE166144" w:tentative="1">
      <w:start w:val="1"/>
      <w:numFmt w:val="lowerRoman"/>
      <w:lvlText w:val="%3."/>
      <w:lvlJc w:val="right"/>
      <w:pPr>
        <w:ind w:left="2160" w:hanging="180"/>
      </w:pPr>
    </w:lvl>
    <w:lvl w:ilvl="3" w:tplc="EE70D1A6" w:tentative="1">
      <w:start w:val="1"/>
      <w:numFmt w:val="decimal"/>
      <w:lvlText w:val="%4."/>
      <w:lvlJc w:val="left"/>
      <w:pPr>
        <w:ind w:left="2880" w:hanging="360"/>
      </w:pPr>
    </w:lvl>
    <w:lvl w:ilvl="4" w:tplc="7D6E5970" w:tentative="1">
      <w:start w:val="1"/>
      <w:numFmt w:val="lowerLetter"/>
      <w:lvlText w:val="%5."/>
      <w:lvlJc w:val="left"/>
      <w:pPr>
        <w:ind w:left="3600" w:hanging="360"/>
      </w:pPr>
    </w:lvl>
    <w:lvl w:ilvl="5" w:tplc="97F8A354" w:tentative="1">
      <w:start w:val="1"/>
      <w:numFmt w:val="lowerRoman"/>
      <w:lvlText w:val="%6."/>
      <w:lvlJc w:val="right"/>
      <w:pPr>
        <w:ind w:left="4320" w:hanging="180"/>
      </w:pPr>
    </w:lvl>
    <w:lvl w:ilvl="6" w:tplc="6436F038" w:tentative="1">
      <w:start w:val="1"/>
      <w:numFmt w:val="decimal"/>
      <w:lvlText w:val="%7."/>
      <w:lvlJc w:val="left"/>
      <w:pPr>
        <w:ind w:left="5040" w:hanging="360"/>
      </w:pPr>
    </w:lvl>
    <w:lvl w:ilvl="7" w:tplc="21F65ABE" w:tentative="1">
      <w:start w:val="1"/>
      <w:numFmt w:val="lowerLetter"/>
      <w:lvlText w:val="%8."/>
      <w:lvlJc w:val="left"/>
      <w:pPr>
        <w:ind w:left="5760" w:hanging="360"/>
      </w:pPr>
    </w:lvl>
    <w:lvl w:ilvl="8" w:tplc="8E98F73C" w:tentative="1">
      <w:start w:val="1"/>
      <w:numFmt w:val="lowerRoman"/>
      <w:lvlText w:val="%9."/>
      <w:lvlJc w:val="right"/>
      <w:pPr>
        <w:ind w:left="6480" w:hanging="180"/>
      </w:pPr>
    </w:lvl>
  </w:abstractNum>
  <w:abstractNum w:abstractNumId="16" w15:restartNumberingAfterBreak="0">
    <w:nsid w:val="00000011"/>
    <w:multiLevelType w:val="multilevel"/>
    <w:tmpl w:val="0DFE1A6A"/>
    <w:name w:val="TableTextBullet"/>
    <w:lvl w:ilvl="0">
      <w:start w:val="1"/>
      <w:numFmt w:val="bullet"/>
      <w:pStyle w:val="TableTextBullet3"/>
      <w:lvlText w:val="•"/>
      <w:lvlJc w:val="left"/>
      <w:pPr>
        <w:tabs>
          <w:tab w:val="num" w:pos="284"/>
        </w:tabs>
        <w:ind w:left="284" w:hanging="284"/>
      </w:pPr>
      <w:rPr>
        <w:b w:val="0"/>
        <w:i w:val="0"/>
        <w:color w:val="000000"/>
      </w:rPr>
    </w:lvl>
    <w:lvl w:ilvl="1">
      <w:start w:val="1"/>
      <w:numFmt w:val="bullet"/>
      <w:pStyle w:val="TableTextDash3"/>
      <w:lvlText w:val="–"/>
      <w:lvlJc w:val="left"/>
      <w:pPr>
        <w:tabs>
          <w:tab w:val="num" w:pos="851"/>
        </w:tabs>
        <w:ind w:left="851" w:hanging="284"/>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7" w15:restartNumberingAfterBreak="0">
    <w:nsid w:val="00000012"/>
    <w:multiLevelType w:val="multilevel"/>
    <w:tmpl w:val="0DFE1A6A"/>
    <w:name w:val="TableTextBullet"/>
    <w:lvl w:ilvl="0">
      <w:start w:val="1"/>
      <w:numFmt w:val="bullet"/>
      <w:pStyle w:val="TableTextBullet4"/>
      <w:lvlText w:val="•"/>
      <w:lvlJc w:val="left"/>
      <w:pPr>
        <w:tabs>
          <w:tab w:val="num" w:pos="284"/>
        </w:tabs>
        <w:ind w:left="284" w:hanging="284"/>
      </w:pPr>
      <w:rPr>
        <w:b w:val="0"/>
        <w:i w:val="0"/>
        <w:color w:val="000000"/>
      </w:rPr>
    </w:lvl>
    <w:lvl w:ilvl="1">
      <w:start w:val="1"/>
      <w:numFmt w:val="bullet"/>
      <w:pStyle w:val="TableTextDash4"/>
      <w:lvlText w:val="–"/>
      <w:lvlJc w:val="left"/>
      <w:pPr>
        <w:tabs>
          <w:tab w:val="num" w:pos="851"/>
        </w:tabs>
        <w:ind w:left="851" w:hanging="284"/>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8" w15:restartNumberingAfterBreak="0">
    <w:nsid w:val="00000013"/>
    <w:multiLevelType w:val="multilevel"/>
    <w:tmpl w:val="0DFE1A6A"/>
    <w:name w:val="TableTextBullet"/>
    <w:lvl w:ilvl="0">
      <w:start w:val="1"/>
      <w:numFmt w:val="bullet"/>
      <w:pStyle w:val="TableTextBullet5"/>
      <w:lvlText w:val="•"/>
      <w:lvlJc w:val="left"/>
      <w:pPr>
        <w:tabs>
          <w:tab w:val="num" w:pos="284"/>
        </w:tabs>
        <w:ind w:left="284" w:hanging="284"/>
      </w:pPr>
      <w:rPr>
        <w:b w:val="0"/>
        <w:i w:val="0"/>
        <w:color w:val="000000"/>
      </w:rPr>
    </w:lvl>
    <w:lvl w:ilvl="1">
      <w:start w:val="1"/>
      <w:numFmt w:val="bullet"/>
      <w:pStyle w:val="TableTextDash5"/>
      <w:lvlText w:val="–"/>
      <w:lvlJc w:val="left"/>
      <w:pPr>
        <w:tabs>
          <w:tab w:val="num" w:pos="851"/>
        </w:tabs>
        <w:ind w:left="851" w:hanging="284"/>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9" w15:restartNumberingAfterBreak="0">
    <w:nsid w:val="00000014"/>
    <w:multiLevelType w:val="multilevel"/>
    <w:tmpl w:val="0DFE1A6A"/>
    <w:name w:val="TableTextBullet"/>
    <w:lvl w:ilvl="0">
      <w:start w:val="1"/>
      <w:numFmt w:val="bullet"/>
      <w:pStyle w:val="TableTextBullet6"/>
      <w:lvlText w:val="•"/>
      <w:lvlJc w:val="left"/>
      <w:pPr>
        <w:tabs>
          <w:tab w:val="num" w:pos="284"/>
        </w:tabs>
        <w:ind w:left="284" w:hanging="284"/>
      </w:pPr>
      <w:rPr>
        <w:b w:val="0"/>
        <w:i w:val="0"/>
        <w:color w:val="000000"/>
      </w:rPr>
    </w:lvl>
    <w:lvl w:ilvl="1">
      <w:start w:val="1"/>
      <w:numFmt w:val="bullet"/>
      <w:pStyle w:val="TableTextDash6"/>
      <w:lvlText w:val="–"/>
      <w:lvlJc w:val="left"/>
      <w:pPr>
        <w:tabs>
          <w:tab w:val="num" w:pos="851"/>
        </w:tabs>
        <w:ind w:left="851" w:hanging="284"/>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20" w15:restartNumberingAfterBreak="0">
    <w:nsid w:val="00000015"/>
    <w:multiLevelType w:val="hybridMultilevel"/>
    <w:tmpl w:val="E3B066E0"/>
    <w:lvl w:ilvl="0" w:tplc="FC84F098">
      <w:start w:val="1"/>
      <w:numFmt w:val="bullet"/>
      <w:lvlText w:val=""/>
      <w:lvlJc w:val="left"/>
      <w:pPr>
        <w:ind w:left="360" w:hanging="360"/>
      </w:pPr>
      <w:rPr>
        <w:rFonts w:ascii="Symbol" w:hAnsi="Symbol" w:hint="default"/>
      </w:rPr>
    </w:lvl>
    <w:lvl w:ilvl="1" w:tplc="8FE02A4A" w:tentative="1">
      <w:start w:val="1"/>
      <w:numFmt w:val="bullet"/>
      <w:lvlText w:val="o"/>
      <w:lvlJc w:val="left"/>
      <w:pPr>
        <w:ind w:left="1080" w:hanging="360"/>
      </w:pPr>
      <w:rPr>
        <w:rFonts w:ascii="Courier New" w:hAnsi="Courier New" w:cs="Courier New" w:hint="default"/>
      </w:rPr>
    </w:lvl>
    <w:lvl w:ilvl="2" w:tplc="D552475A" w:tentative="1">
      <w:start w:val="1"/>
      <w:numFmt w:val="bullet"/>
      <w:lvlText w:val=""/>
      <w:lvlJc w:val="left"/>
      <w:pPr>
        <w:ind w:left="1800" w:hanging="360"/>
      </w:pPr>
      <w:rPr>
        <w:rFonts w:ascii="Wingdings" w:hAnsi="Wingdings" w:hint="default"/>
      </w:rPr>
    </w:lvl>
    <w:lvl w:ilvl="3" w:tplc="A7C47914" w:tentative="1">
      <w:start w:val="1"/>
      <w:numFmt w:val="bullet"/>
      <w:lvlText w:val=""/>
      <w:lvlJc w:val="left"/>
      <w:pPr>
        <w:ind w:left="2520" w:hanging="360"/>
      </w:pPr>
      <w:rPr>
        <w:rFonts w:ascii="Symbol" w:hAnsi="Symbol" w:hint="default"/>
      </w:rPr>
    </w:lvl>
    <w:lvl w:ilvl="4" w:tplc="96D4A84A" w:tentative="1">
      <w:start w:val="1"/>
      <w:numFmt w:val="bullet"/>
      <w:lvlText w:val="o"/>
      <w:lvlJc w:val="left"/>
      <w:pPr>
        <w:ind w:left="3240" w:hanging="360"/>
      </w:pPr>
      <w:rPr>
        <w:rFonts w:ascii="Courier New" w:hAnsi="Courier New" w:cs="Courier New" w:hint="default"/>
      </w:rPr>
    </w:lvl>
    <w:lvl w:ilvl="5" w:tplc="C2F6069C" w:tentative="1">
      <w:start w:val="1"/>
      <w:numFmt w:val="bullet"/>
      <w:lvlText w:val=""/>
      <w:lvlJc w:val="left"/>
      <w:pPr>
        <w:ind w:left="3960" w:hanging="360"/>
      </w:pPr>
      <w:rPr>
        <w:rFonts w:ascii="Wingdings" w:hAnsi="Wingdings" w:hint="default"/>
      </w:rPr>
    </w:lvl>
    <w:lvl w:ilvl="6" w:tplc="F8ACA742" w:tentative="1">
      <w:start w:val="1"/>
      <w:numFmt w:val="bullet"/>
      <w:lvlText w:val=""/>
      <w:lvlJc w:val="left"/>
      <w:pPr>
        <w:ind w:left="4680" w:hanging="360"/>
      </w:pPr>
      <w:rPr>
        <w:rFonts w:ascii="Symbol" w:hAnsi="Symbol" w:hint="default"/>
      </w:rPr>
    </w:lvl>
    <w:lvl w:ilvl="7" w:tplc="0A3C141C" w:tentative="1">
      <w:start w:val="1"/>
      <w:numFmt w:val="bullet"/>
      <w:lvlText w:val="o"/>
      <w:lvlJc w:val="left"/>
      <w:pPr>
        <w:ind w:left="5400" w:hanging="360"/>
      </w:pPr>
      <w:rPr>
        <w:rFonts w:ascii="Courier New" w:hAnsi="Courier New" w:cs="Courier New" w:hint="default"/>
      </w:rPr>
    </w:lvl>
    <w:lvl w:ilvl="8" w:tplc="CF020AA8" w:tentative="1">
      <w:start w:val="1"/>
      <w:numFmt w:val="bullet"/>
      <w:lvlText w:val=""/>
      <w:lvlJc w:val="left"/>
      <w:pPr>
        <w:ind w:left="6120" w:hanging="360"/>
      </w:pPr>
      <w:rPr>
        <w:rFonts w:ascii="Wingdings" w:hAnsi="Wingdings" w:hint="default"/>
      </w:rPr>
    </w:lvl>
  </w:abstractNum>
  <w:abstractNum w:abstractNumId="21" w15:restartNumberingAfterBreak="0">
    <w:nsid w:val="00000016"/>
    <w:multiLevelType w:val="hybridMultilevel"/>
    <w:tmpl w:val="C1A0C80E"/>
    <w:lvl w:ilvl="0" w:tplc="5302F4B8">
      <w:start w:val="1"/>
      <w:numFmt w:val="decimal"/>
      <w:lvlText w:val="%1."/>
      <w:lvlJc w:val="left"/>
      <w:pPr>
        <w:ind w:left="720" w:hanging="360"/>
      </w:pPr>
      <w:rPr>
        <w:rFonts w:hint="default"/>
      </w:rPr>
    </w:lvl>
    <w:lvl w:ilvl="1" w:tplc="FF0E69DA" w:tentative="1">
      <w:start w:val="1"/>
      <w:numFmt w:val="lowerLetter"/>
      <w:lvlText w:val="%2."/>
      <w:lvlJc w:val="left"/>
      <w:pPr>
        <w:ind w:left="1440" w:hanging="360"/>
      </w:pPr>
    </w:lvl>
    <w:lvl w:ilvl="2" w:tplc="5B3453B8" w:tentative="1">
      <w:start w:val="1"/>
      <w:numFmt w:val="lowerRoman"/>
      <w:lvlText w:val="%3."/>
      <w:lvlJc w:val="right"/>
      <w:pPr>
        <w:ind w:left="2160" w:hanging="180"/>
      </w:pPr>
    </w:lvl>
    <w:lvl w:ilvl="3" w:tplc="2758E48C" w:tentative="1">
      <w:start w:val="1"/>
      <w:numFmt w:val="decimal"/>
      <w:lvlText w:val="%4."/>
      <w:lvlJc w:val="left"/>
      <w:pPr>
        <w:ind w:left="2880" w:hanging="360"/>
      </w:pPr>
    </w:lvl>
    <w:lvl w:ilvl="4" w:tplc="6130C378" w:tentative="1">
      <w:start w:val="1"/>
      <w:numFmt w:val="lowerLetter"/>
      <w:lvlText w:val="%5."/>
      <w:lvlJc w:val="left"/>
      <w:pPr>
        <w:ind w:left="3600" w:hanging="360"/>
      </w:pPr>
    </w:lvl>
    <w:lvl w:ilvl="5" w:tplc="4580B166" w:tentative="1">
      <w:start w:val="1"/>
      <w:numFmt w:val="lowerRoman"/>
      <w:lvlText w:val="%6."/>
      <w:lvlJc w:val="right"/>
      <w:pPr>
        <w:ind w:left="4320" w:hanging="180"/>
      </w:pPr>
    </w:lvl>
    <w:lvl w:ilvl="6" w:tplc="29D63F0C" w:tentative="1">
      <w:start w:val="1"/>
      <w:numFmt w:val="decimal"/>
      <w:lvlText w:val="%7."/>
      <w:lvlJc w:val="left"/>
      <w:pPr>
        <w:ind w:left="5040" w:hanging="360"/>
      </w:pPr>
    </w:lvl>
    <w:lvl w:ilvl="7" w:tplc="2BEC6934" w:tentative="1">
      <w:start w:val="1"/>
      <w:numFmt w:val="lowerLetter"/>
      <w:lvlText w:val="%8."/>
      <w:lvlJc w:val="left"/>
      <w:pPr>
        <w:ind w:left="5760" w:hanging="360"/>
      </w:pPr>
    </w:lvl>
    <w:lvl w:ilvl="8" w:tplc="4D5AD424" w:tentative="1">
      <w:start w:val="1"/>
      <w:numFmt w:val="lowerRoman"/>
      <w:lvlText w:val="%9."/>
      <w:lvlJc w:val="right"/>
      <w:pPr>
        <w:ind w:left="6480" w:hanging="180"/>
      </w:pPr>
    </w:lvl>
  </w:abstractNum>
  <w:abstractNum w:abstractNumId="22" w15:restartNumberingAfterBreak="0">
    <w:nsid w:val="00000017"/>
    <w:multiLevelType w:val="hybridMultilevel"/>
    <w:tmpl w:val="C1A0C80E"/>
    <w:lvl w:ilvl="0" w:tplc="DFC2ACF2">
      <w:start w:val="1"/>
      <w:numFmt w:val="decimal"/>
      <w:lvlText w:val="%1."/>
      <w:lvlJc w:val="left"/>
      <w:pPr>
        <w:ind w:left="720" w:hanging="360"/>
      </w:pPr>
      <w:rPr>
        <w:rFonts w:hint="default"/>
      </w:rPr>
    </w:lvl>
    <w:lvl w:ilvl="1" w:tplc="736C62FC" w:tentative="1">
      <w:start w:val="1"/>
      <w:numFmt w:val="lowerLetter"/>
      <w:lvlText w:val="%2."/>
      <w:lvlJc w:val="left"/>
      <w:pPr>
        <w:ind w:left="1440" w:hanging="360"/>
      </w:pPr>
    </w:lvl>
    <w:lvl w:ilvl="2" w:tplc="F036E2DA" w:tentative="1">
      <w:start w:val="1"/>
      <w:numFmt w:val="lowerRoman"/>
      <w:lvlText w:val="%3."/>
      <w:lvlJc w:val="right"/>
      <w:pPr>
        <w:ind w:left="2160" w:hanging="180"/>
      </w:pPr>
    </w:lvl>
    <w:lvl w:ilvl="3" w:tplc="47A61BC8" w:tentative="1">
      <w:start w:val="1"/>
      <w:numFmt w:val="decimal"/>
      <w:lvlText w:val="%4."/>
      <w:lvlJc w:val="left"/>
      <w:pPr>
        <w:ind w:left="2880" w:hanging="360"/>
      </w:pPr>
    </w:lvl>
    <w:lvl w:ilvl="4" w:tplc="091824C2" w:tentative="1">
      <w:start w:val="1"/>
      <w:numFmt w:val="lowerLetter"/>
      <w:lvlText w:val="%5."/>
      <w:lvlJc w:val="left"/>
      <w:pPr>
        <w:ind w:left="3600" w:hanging="360"/>
      </w:pPr>
    </w:lvl>
    <w:lvl w:ilvl="5" w:tplc="A4805B56" w:tentative="1">
      <w:start w:val="1"/>
      <w:numFmt w:val="lowerRoman"/>
      <w:lvlText w:val="%6."/>
      <w:lvlJc w:val="right"/>
      <w:pPr>
        <w:ind w:left="4320" w:hanging="180"/>
      </w:pPr>
    </w:lvl>
    <w:lvl w:ilvl="6" w:tplc="622CC2D8" w:tentative="1">
      <w:start w:val="1"/>
      <w:numFmt w:val="decimal"/>
      <w:lvlText w:val="%7."/>
      <w:lvlJc w:val="left"/>
      <w:pPr>
        <w:ind w:left="5040" w:hanging="360"/>
      </w:pPr>
    </w:lvl>
    <w:lvl w:ilvl="7" w:tplc="78585222" w:tentative="1">
      <w:start w:val="1"/>
      <w:numFmt w:val="lowerLetter"/>
      <w:lvlText w:val="%8."/>
      <w:lvlJc w:val="left"/>
      <w:pPr>
        <w:ind w:left="5760" w:hanging="360"/>
      </w:pPr>
    </w:lvl>
    <w:lvl w:ilvl="8" w:tplc="595EE994" w:tentative="1">
      <w:start w:val="1"/>
      <w:numFmt w:val="lowerRoman"/>
      <w:lvlText w:val="%9."/>
      <w:lvlJc w:val="right"/>
      <w:pPr>
        <w:ind w:left="6480" w:hanging="180"/>
      </w:pPr>
    </w:lvl>
  </w:abstractNum>
  <w:abstractNum w:abstractNumId="23" w15:restartNumberingAfterBreak="0">
    <w:nsid w:val="00000018"/>
    <w:multiLevelType w:val="multilevel"/>
    <w:tmpl w:val="0DFE1A6A"/>
    <w:name w:val="TableTextBullet"/>
    <w:lvl w:ilvl="0">
      <w:start w:val="1"/>
      <w:numFmt w:val="bullet"/>
      <w:pStyle w:val="TableTextBullet7"/>
      <w:lvlText w:val="•"/>
      <w:lvlJc w:val="left"/>
      <w:pPr>
        <w:tabs>
          <w:tab w:val="num" w:pos="284"/>
        </w:tabs>
        <w:ind w:left="284" w:hanging="284"/>
      </w:pPr>
      <w:rPr>
        <w:b w:val="0"/>
        <w:i w:val="0"/>
        <w:color w:val="000000"/>
      </w:rPr>
    </w:lvl>
    <w:lvl w:ilvl="1">
      <w:start w:val="1"/>
      <w:numFmt w:val="bullet"/>
      <w:pStyle w:val="TableTextDash7"/>
      <w:lvlText w:val="–"/>
      <w:lvlJc w:val="left"/>
      <w:pPr>
        <w:tabs>
          <w:tab w:val="num" w:pos="851"/>
        </w:tabs>
        <w:ind w:left="851" w:hanging="284"/>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24" w15:restartNumberingAfterBreak="0">
    <w:nsid w:val="00000019"/>
    <w:multiLevelType w:val="multilevel"/>
    <w:tmpl w:val="0DFE1A6A"/>
    <w:name w:val="TableTextBullet"/>
    <w:lvl w:ilvl="0">
      <w:start w:val="1"/>
      <w:numFmt w:val="bullet"/>
      <w:pStyle w:val="TableTextBullet8"/>
      <w:lvlText w:val="•"/>
      <w:lvlJc w:val="left"/>
      <w:pPr>
        <w:tabs>
          <w:tab w:val="num" w:pos="284"/>
        </w:tabs>
        <w:ind w:left="284" w:hanging="284"/>
      </w:pPr>
      <w:rPr>
        <w:b w:val="0"/>
        <w:i w:val="0"/>
        <w:color w:val="000000"/>
      </w:rPr>
    </w:lvl>
    <w:lvl w:ilvl="1">
      <w:start w:val="1"/>
      <w:numFmt w:val="bullet"/>
      <w:pStyle w:val="TableTextDash8"/>
      <w:lvlText w:val="–"/>
      <w:lvlJc w:val="left"/>
      <w:pPr>
        <w:tabs>
          <w:tab w:val="num" w:pos="851"/>
        </w:tabs>
        <w:ind w:left="851" w:hanging="284"/>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25" w15:restartNumberingAfterBreak="0">
    <w:nsid w:val="0000001A"/>
    <w:multiLevelType w:val="hybridMultilevel"/>
    <w:tmpl w:val="C1A0C80E"/>
    <w:lvl w:ilvl="0" w:tplc="18502044">
      <w:start w:val="1"/>
      <w:numFmt w:val="decimal"/>
      <w:lvlText w:val="%1."/>
      <w:lvlJc w:val="left"/>
      <w:pPr>
        <w:ind w:left="720" w:hanging="360"/>
      </w:pPr>
    </w:lvl>
    <w:lvl w:ilvl="1" w:tplc="26781782">
      <w:start w:val="1"/>
      <w:numFmt w:val="decimal"/>
      <w:lvlText w:val="%2."/>
      <w:lvlJc w:val="left"/>
      <w:pPr>
        <w:tabs>
          <w:tab w:val="num" w:pos="1440"/>
        </w:tabs>
        <w:ind w:left="1440" w:hanging="360"/>
      </w:pPr>
    </w:lvl>
    <w:lvl w:ilvl="2" w:tplc="1EFAE80A">
      <w:start w:val="1"/>
      <w:numFmt w:val="decimal"/>
      <w:lvlText w:val="%3."/>
      <w:lvlJc w:val="left"/>
      <w:pPr>
        <w:tabs>
          <w:tab w:val="num" w:pos="2160"/>
        </w:tabs>
        <w:ind w:left="2160" w:hanging="360"/>
      </w:pPr>
    </w:lvl>
    <w:lvl w:ilvl="3" w:tplc="53D44530">
      <w:start w:val="1"/>
      <w:numFmt w:val="decimal"/>
      <w:lvlText w:val="%4."/>
      <w:lvlJc w:val="left"/>
      <w:pPr>
        <w:tabs>
          <w:tab w:val="num" w:pos="2880"/>
        </w:tabs>
        <w:ind w:left="2880" w:hanging="360"/>
      </w:pPr>
    </w:lvl>
    <w:lvl w:ilvl="4" w:tplc="9D729116">
      <w:start w:val="1"/>
      <w:numFmt w:val="decimal"/>
      <w:lvlText w:val="%5."/>
      <w:lvlJc w:val="left"/>
      <w:pPr>
        <w:tabs>
          <w:tab w:val="num" w:pos="3600"/>
        </w:tabs>
        <w:ind w:left="3600" w:hanging="360"/>
      </w:pPr>
    </w:lvl>
    <w:lvl w:ilvl="5" w:tplc="90C6A6EC">
      <w:start w:val="1"/>
      <w:numFmt w:val="decimal"/>
      <w:lvlText w:val="%6."/>
      <w:lvlJc w:val="left"/>
      <w:pPr>
        <w:tabs>
          <w:tab w:val="num" w:pos="4320"/>
        </w:tabs>
        <w:ind w:left="4320" w:hanging="360"/>
      </w:pPr>
    </w:lvl>
    <w:lvl w:ilvl="6" w:tplc="40E03808">
      <w:start w:val="1"/>
      <w:numFmt w:val="decimal"/>
      <w:lvlText w:val="%7."/>
      <w:lvlJc w:val="left"/>
      <w:pPr>
        <w:tabs>
          <w:tab w:val="num" w:pos="5040"/>
        </w:tabs>
        <w:ind w:left="5040" w:hanging="360"/>
      </w:pPr>
    </w:lvl>
    <w:lvl w:ilvl="7" w:tplc="07046BFA">
      <w:start w:val="1"/>
      <w:numFmt w:val="decimal"/>
      <w:lvlText w:val="%8."/>
      <w:lvlJc w:val="left"/>
      <w:pPr>
        <w:tabs>
          <w:tab w:val="num" w:pos="5760"/>
        </w:tabs>
        <w:ind w:left="5760" w:hanging="360"/>
      </w:pPr>
    </w:lvl>
    <w:lvl w:ilvl="8" w:tplc="AE9628D6">
      <w:start w:val="1"/>
      <w:numFmt w:val="decimal"/>
      <w:lvlText w:val="%9."/>
      <w:lvlJc w:val="left"/>
      <w:pPr>
        <w:tabs>
          <w:tab w:val="num" w:pos="6480"/>
        </w:tabs>
        <w:ind w:left="6480" w:hanging="360"/>
      </w:pPr>
    </w:lvl>
  </w:abstractNum>
  <w:abstractNum w:abstractNumId="26" w15:restartNumberingAfterBreak="0">
    <w:nsid w:val="0000001B"/>
    <w:multiLevelType w:val="multilevel"/>
    <w:tmpl w:val="753AC1FE"/>
    <w:name w:val="StandardBulletedList_"/>
    <w:lvl w:ilvl="0">
      <w:start w:val="1"/>
      <w:numFmt w:val="bullet"/>
      <w:pStyle w:val="Bullet2"/>
      <w:lvlText w:val="•"/>
      <w:lvlJc w:val="left"/>
      <w:pPr>
        <w:tabs>
          <w:tab w:val="num" w:pos="283"/>
        </w:tabs>
        <w:ind w:left="283" w:hanging="283"/>
      </w:pPr>
      <w:rPr>
        <w:rFonts w:ascii="Times New Roman" w:hAnsi="Times New Roman" w:cs="Times New Roman"/>
        <w:b w:val="0"/>
        <w:i w:val="0"/>
      </w:rPr>
    </w:lvl>
    <w:lvl w:ilvl="1">
      <w:start w:val="1"/>
      <w:numFmt w:val="bullet"/>
      <w:pStyle w:val="Dash2"/>
      <w:lvlText w:val="–"/>
      <w:lvlJc w:val="left"/>
      <w:pPr>
        <w:tabs>
          <w:tab w:val="num" w:pos="567"/>
        </w:tabs>
        <w:ind w:left="567" w:hanging="284"/>
      </w:pPr>
      <w:rPr>
        <w:rFonts w:ascii="Times New Roman" w:hAnsi="Times New Roman" w:cs="Times New Roman"/>
        <w:b w:val="0"/>
        <w:i w:val="0"/>
      </w:rPr>
    </w:lvl>
    <w:lvl w:ilvl="2">
      <w:start w:val="1"/>
      <w:numFmt w:val="bullet"/>
      <w:pStyle w:val="DoubleDot2"/>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27" w15:restartNumberingAfterBreak="0">
    <w:nsid w:val="0000001C"/>
    <w:multiLevelType w:val="hybridMultilevel"/>
    <w:tmpl w:val="C1A0C80E"/>
    <w:lvl w:ilvl="0" w:tplc="0DC0C200">
      <w:start w:val="1"/>
      <w:numFmt w:val="decimal"/>
      <w:lvlText w:val="%1."/>
      <w:lvlJc w:val="left"/>
      <w:pPr>
        <w:ind w:left="720" w:hanging="360"/>
      </w:pPr>
      <w:rPr>
        <w:rFonts w:hint="default"/>
      </w:rPr>
    </w:lvl>
    <w:lvl w:ilvl="1" w:tplc="EA6AA6AE" w:tentative="1">
      <w:start w:val="1"/>
      <w:numFmt w:val="lowerLetter"/>
      <w:lvlText w:val="%2."/>
      <w:lvlJc w:val="left"/>
      <w:pPr>
        <w:ind w:left="1440" w:hanging="360"/>
      </w:pPr>
    </w:lvl>
    <w:lvl w:ilvl="2" w:tplc="EE363028" w:tentative="1">
      <w:start w:val="1"/>
      <w:numFmt w:val="lowerRoman"/>
      <w:lvlText w:val="%3."/>
      <w:lvlJc w:val="right"/>
      <w:pPr>
        <w:ind w:left="2160" w:hanging="180"/>
      </w:pPr>
    </w:lvl>
    <w:lvl w:ilvl="3" w:tplc="EBC8199A" w:tentative="1">
      <w:start w:val="1"/>
      <w:numFmt w:val="decimal"/>
      <w:lvlText w:val="%4."/>
      <w:lvlJc w:val="left"/>
      <w:pPr>
        <w:ind w:left="2880" w:hanging="360"/>
      </w:pPr>
    </w:lvl>
    <w:lvl w:ilvl="4" w:tplc="782EF48A" w:tentative="1">
      <w:start w:val="1"/>
      <w:numFmt w:val="lowerLetter"/>
      <w:lvlText w:val="%5."/>
      <w:lvlJc w:val="left"/>
      <w:pPr>
        <w:ind w:left="3600" w:hanging="360"/>
      </w:pPr>
    </w:lvl>
    <w:lvl w:ilvl="5" w:tplc="038A2E48" w:tentative="1">
      <w:start w:val="1"/>
      <w:numFmt w:val="lowerRoman"/>
      <w:lvlText w:val="%6."/>
      <w:lvlJc w:val="right"/>
      <w:pPr>
        <w:ind w:left="4320" w:hanging="180"/>
      </w:pPr>
    </w:lvl>
    <w:lvl w:ilvl="6" w:tplc="F5FA362C" w:tentative="1">
      <w:start w:val="1"/>
      <w:numFmt w:val="decimal"/>
      <w:lvlText w:val="%7."/>
      <w:lvlJc w:val="left"/>
      <w:pPr>
        <w:ind w:left="5040" w:hanging="360"/>
      </w:pPr>
    </w:lvl>
    <w:lvl w:ilvl="7" w:tplc="82B4D2B0" w:tentative="1">
      <w:start w:val="1"/>
      <w:numFmt w:val="lowerLetter"/>
      <w:lvlText w:val="%8."/>
      <w:lvlJc w:val="left"/>
      <w:pPr>
        <w:ind w:left="5760" w:hanging="360"/>
      </w:pPr>
    </w:lvl>
    <w:lvl w:ilvl="8" w:tplc="2BFCBF30" w:tentative="1">
      <w:start w:val="1"/>
      <w:numFmt w:val="lowerRoman"/>
      <w:lvlText w:val="%9."/>
      <w:lvlJc w:val="right"/>
      <w:pPr>
        <w:ind w:left="6480" w:hanging="180"/>
      </w:pPr>
    </w:lvl>
  </w:abstractNum>
  <w:abstractNum w:abstractNumId="28" w15:restartNumberingAfterBreak="0">
    <w:nsid w:val="0000001D"/>
    <w:multiLevelType w:val="multilevel"/>
    <w:tmpl w:val="0DFE1A6A"/>
    <w:name w:val="TableTextBullet"/>
    <w:lvl w:ilvl="0">
      <w:start w:val="1"/>
      <w:numFmt w:val="bullet"/>
      <w:pStyle w:val="TableTextBullet9"/>
      <w:lvlText w:val="•"/>
      <w:lvlJc w:val="left"/>
      <w:pPr>
        <w:tabs>
          <w:tab w:val="num" w:pos="284"/>
        </w:tabs>
        <w:ind w:left="284" w:hanging="284"/>
      </w:pPr>
      <w:rPr>
        <w:b w:val="0"/>
        <w:i w:val="0"/>
        <w:color w:val="000000"/>
      </w:rPr>
    </w:lvl>
    <w:lvl w:ilvl="1">
      <w:start w:val="1"/>
      <w:numFmt w:val="bullet"/>
      <w:pStyle w:val="TableTextDash9"/>
      <w:lvlText w:val="–"/>
      <w:lvlJc w:val="left"/>
      <w:pPr>
        <w:tabs>
          <w:tab w:val="num" w:pos="851"/>
        </w:tabs>
        <w:ind w:left="851" w:hanging="284"/>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29" w15:restartNumberingAfterBreak="0">
    <w:nsid w:val="0000001E"/>
    <w:multiLevelType w:val="multilevel"/>
    <w:tmpl w:val="0DFE1A6A"/>
    <w:name w:val="TableTextBullet"/>
    <w:lvl w:ilvl="0">
      <w:start w:val="1"/>
      <w:numFmt w:val="bullet"/>
      <w:pStyle w:val="TableTextBullet10"/>
      <w:lvlText w:val="•"/>
      <w:lvlJc w:val="left"/>
      <w:pPr>
        <w:tabs>
          <w:tab w:val="num" w:pos="284"/>
        </w:tabs>
        <w:ind w:left="284" w:hanging="284"/>
      </w:pPr>
      <w:rPr>
        <w:b w:val="0"/>
        <w:i w:val="0"/>
        <w:color w:val="000000"/>
      </w:rPr>
    </w:lvl>
    <w:lvl w:ilvl="1">
      <w:start w:val="1"/>
      <w:numFmt w:val="bullet"/>
      <w:pStyle w:val="TableTextDash10"/>
      <w:lvlText w:val="–"/>
      <w:lvlJc w:val="left"/>
      <w:pPr>
        <w:tabs>
          <w:tab w:val="num" w:pos="851"/>
        </w:tabs>
        <w:ind w:left="851" w:hanging="284"/>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30" w15:restartNumberingAfterBreak="0">
    <w:nsid w:val="0000001F"/>
    <w:multiLevelType w:val="hybridMultilevel"/>
    <w:tmpl w:val="C1A0C80E"/>
    <w:lvl w:ilvl="0" w:tplc="7FA8D308">
      <w:start w:val="1"/>
      <w:numFmt w:val="decimal"/>
      <w:lvlText w:val="%1."/>
      <w:lvlJc w:val="left"/>
      <w:pPr>
        <w:ind w:left="720" w:hanging="360"/>
      </w:pPr>
      <w:rPr>
        <w:rFonts w:hint="default"/>
      </w:rPr>
    </w:lvl>
    <w:lvl w:ilvl="1" w:tplc="724E97C2" w:tentative="1">
      <w:start w:val="1"/>
      <w:numFmt w:val="lowerLetter"/>
      <w:lvlText w:val="%2."/>
      <w:lvlJc w:val="left"/>
      <w:pPr>
        <w:ind w:left="1440" w:hanging="360"/>
      </w:pPr>
    </w:lvl>
    <w:lvl w:ilvl="2" w:tplc="563CC734" w:tentative="1">
      <w:start w:val="1"/>
      <w:numFmt w:val="lowerRoman"/>
      <w:lvlText w:val="%3."/>
      <w:lvlJc w:val="right"/>
      <w:pPr>
        <w:ind w:left="2160" w:hanging="180"/>
      </w:pPr>
    </w:lvl>
    <w:lvl w:ilvl="3" w:tplc="A9361C0C" w:tentative="1">
      <w:start w:val="1"/>
      <w:numFmt w:val="decimal"/>
      <w:lvlText w:val="%4."/>
      <w:lvlJc w:val="left"/>
      <w:pPr>
        <w:ind w:left="2880" w:hanging="360"/>
      </w:pPr>
    </w:lvl>
    <w:lvl w:ilvl="4" w:tplc="44E2141E" w:tentative="1">
      <w:start w:val="1"/>
      <w:numFmt w:val="lowerLetter"/>
      <w:lvlText w:val="%5."/>
      <w:lvlJc w:val="left"/>
      <w:pPr>
        <w:ind w:left="3600" w:hanging="360"/>
      </w:pPr>
    </w:lvl>
    <w:lvl w:ilvl="5" w:tplc="2CAC1B6A" w:tentative="1">
      <w:start w:val="1"/>
      <w:numFmt w:val="lowerRoman"/>
      <w:lvlText w:val="%6."/>
      <w:lvlJc w:val="right"/>
      <w:pPr>
        <w:ind w:left="4320" w:hanging="180"/>
      </w:pPr>
    </w:lvl>
    <w:lvl w:ilvl="6" w:tplc="F89614D6" w:tentative="1">
      <w:start w:val="1"/>
      <w:numFmt w:val="decimal"/>
      <w:lvlText w:val="%7."/>
      <w:lvlJc w:val="left"/>
      <w:pPr>
        <w:ind w:left="5040" w:hanging="360"/>
      </w:pPr>
    </w:lvl>
    <w:lvl w:ilvl="7" w:tplc="9A067274" w:tentative="1">
      <w:start w:val="1"/>
      <w:numFmt w:val="lowerLetter"/>
      <w:lvlText w:val="%8."/>
      <w:lvlJc w:val="left"/>
      <w:pPr>
        <w:ind w:left="5760" w:hanging="360"/>
      </w:pPr>
    </w:lvl>
    <w:lvl w:ilvl="8" w:tplc="5C9A023E" w:tentative="1">
      <w:start w:val="1"/>
      <w:numFmt w:val="lowerRoman"/>
      <w:lvlText w:val="%9."/>
      <w:lvlJc w:val="right"/>
      <w:pPr>
        <w:ind w:left="6480" w:hanging="180"/>
      </w:pPr>
    </w:lvl>
  </w:abstractNum>
  <w:abstractNum w:abstractNumId="31" w15:restartNumberingAfterBreak="0">
    <w:nsid w:val="00000020"/>
    <w:multiLevelType w:val="multilevel"/>
    <w:tmpl w:val="0DFE1A6A"/>
    <w:name w:val="TableTextBullet"/>
    <w:lvl w:ilvl="0">
      <w:start w:val="1"/>
      <w:numFmt w:val="bullet"/>
      <w:pStyle w:val="TableTextBullet11"/>
      <w:lvlText w:val="•"/>
      <w:lvlJc w:val="left"/>
      <w:pPr>
        <w:tabs>
          <w:tab w:val="num" w:pos="284"/>
        </w:tabs>
        <w:ind w:left="284" w:hanging="284"/>
      </w:pPr>
      <w:rPr>
        <w:b w:val="0"/>
        <w:i w:val="0"/>
        <w:color w:val="000000"/>
      </w:rPr>
    </w:lvl>
    <w:lvl w:ilvl="1">
      <w:start w:val="1"/>
      <w:numFmt w:val="bullet"/>
      <w:pStyle w:val="TableTextDash11"/>
      <w:lvlText w:val="–"/>
      <w:lvlJc w:val="left"/>
      <w:pPr>
        <w:tabs>
          <w:tab w:val="num" w:pos="851"/>
        </w:tabs>
        <w:ind w:left="851" w:hanging="284"/>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32" w15:restartNumberingAfterBreak="0">
    <w:nsid w:val="00000021"/>
    <w:multiLevelType w:val="multilevel"/>
    <w:tmpl w:val="0DFE1A6A"/>
    <w:name w:val="TableTextBullet"/>
    <w:lvl w:ilvl="0">
      <w:start w:val="1"/>
      <w:numFmt w:val="bullet"/>
      <w:pStyle w:val="TableTextBullet12"/>
      <w:lvlText w:val="•"/>
      <w:lvlJc w:val="left"/>
      <w:pPr>
        <w:tabs>
          <w:tab w:val="num" w:pos="284"/>
        </w:tabs>
        <w:ind w:left="284" w:hanging="284"/>
      </w:pPr>
      <w:rPr>
        <w:b w:val="0"/>
        <w:i w:val="0"/>
        <w:color w:val="000000"/>
      </w:rPr>
    </w:lvl>
    <w:lvl w:ilvl="1">
      <w:start w:val="1"/>
      <w:numFmt w:val="bullet"/>
      <w:pStyle w:val="TableTextDash12"/>
      <w:lvlText w:val="–"/>
      <w:lvlJc w:val="left"/>
      <w:pPr>
        <w:tabs>
          <w:tab w:val="num" w:pos="851"/>
        </w:tabs>
        <w:ind w:left="851" w:hanging="284"/>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33" w15:restartNumberingAfterBreak="0">
    <w:nsid w:val="00000022"/>
    <w:multiLevelType w:val="hybridMultilevel"/>
    <w:tmpl w:val="C1A0C80E"/>
    <w:lvl w:ilvl="0" w:tplc="7AB01BA8">
      <w:start w:val="1"/>
      <w:numFmt w:val="decimal"/>
      <w:lvlText w:val="%1."/>
      <w:lvlJc w:val="left"/>
      <w:pPr>
        <w:ind w:left="720" w:hanging="360"/>
      </w:pPr>
      <w:rPr>
        <w:rFonts w:hint="default"/>
      </w:rPr>
    </w:lvl>
    <w:lvl w:ilvl="1" w:tplc="53FEC96E" w:tentative="1">
      <w:start w:val="1"/>
      <w:numFmt w:val="lowerLetter"/>
      <w:lvlText w:val="%2."/>
      <w:lvlJc w:val="left"/>
      <w:pPr>
        <w:ind w:left="1440" w:hanging="360"/>
      </w:pPr>
    </w:lvl>
    <w:lvl w:ilvl="2" w:tplc="39BA18F8" w:tentative="1">
      <w:start w:val="1"/>
      <w:numFmt w:val="lowerRoman"/>
      <w:lvlText w:val="%3."/>
      <w:lvlJc w:val="right"/>
      <w:pPr>
        <w:ind w:left="2160" w:hanging="180"/>
      </w:pPr>
    </w:lvl>
    <w:lvl w:ilvl="3" w:tplc="6172B1F0" w:tentative="1">
      <w:start w:val="1"/>
      <w:numFmt w:val="decimal"/>
      <w:lvlText w:val="%4."/>
      <w:lvlJc w:val="left"/>
      <w:pPr>
        <w:ind w:left="2880" w:hanging="360"/>
      </w:pPr>
    </w:lvl>
    <w:lvl w:ilvl="4" w:tplc="BD54CC1C" w:tentative="1">
      <w:start w:val="1"/>
      <w:numFmt w:val="lowerLetter"/>
      <w:lvlText w:val="%5."/>
      <w:lvlJc w:val="left"/>
      <w:pPr>
        <w:ind w:left="3600" w:hanging="360"/>
      </w:pPr>
    </w:lvl>
    <w:lvl w:ilvl="5" w:tplc="0C8C910A" w:tentative="1">
      <w:start w:val="1"/>
      <w:numFmt w:val="lowerRoman"/>
      <w:lvlText w:val="%6."/>
      <w:lvlJc w:val="right"/>
      <w:pPr>
        <w:ind w:left="4320" w:hanging="180"/>
      </w:pPr>
    </w:lvl>
    <w:lvl w:ilvl="6" w:tplc="9182C534" w:tentative="1">
      <w:start w:val="1"/>
      <w:numFmt w:val="decimal"/>
      <w:lvlText w:val="%7."/>
      <w:lvlJc w:val="left"/>
      <w:pPr>
        <w:ind w:left="5040" w:hanging="360"/>
      </w:pPr>
    </w:lvl>
    <w:lvl w:ilvl="7" w:tplc="E96A1CBA" w:tentative="1">
      <w:start w:val="1"/>
      <w:numFmt w:val="lowerLetter"/>
      <w:lvlText w:val="%8."/>
      <w:lvlJc w:val="left"/>
      <w:pPr>
        <w:ind w:left="5760" w:hanging="360"/>
      </w:pPr>
    </w:lvl>
    <w:lvl w:ilvl="8" w:tplc="782EE436" w:tentative="1">
      <w:start w:val="1"/>
      <w:numFmt w:val="lowerRoman"/>
      <w:lvlText w:val="%9."/>
      <w:lvlJc w:val="right"/>
      <w:pPr>
        <w:ind w:left="6480" w:hanging="180"/>
      </w:pPr>
    </w:lvl>
  </w:abstractNum>
  <w:abstractNum w:abstractNumId="34" w15:restartNumberingAfterBreak="0">
    <w:nsid w:val="00000023"/>
    <w:multiLevelType w:val="multilevel"/>
    <w:tmpl w:val="0DFE1A6A"/>
    <w:name w:val="TableTextBullet"/>
    <w:lvl w:ilvl="0">
      <w:start w:val="1"/>
      <w:numFmt w:val="bullet"/>
      <w:pStyle w:val="TableTextBullet13"/>
      <w:lvlText w:val="•"/>
      <w:lvlJc w:val="left"/>
      <w:pPr>
        <w:tabs>
          <w:tab w:val="num" w:pos="284"/>
        </w:tabs>
        <w:ind w:left="284" w:hanging="284"/>
      </w:pPr>
      <w:rPr>
        <w:b w:val="0"/>
        <w:i w:val="0"/>
        <w:color w:val="000000"/>
      </w:rPr>
    </w:lvl>
    <w:lvl w:ilvl="1">
      <w:start w:val="1"/>
      <w:numFmt w:val="bullet"/>
      <w:pStyle w:val="TableTextDash13"/>
      <w:lvlText w:val="–"/>
      <w:lvlJc w:val="left"/>
      <w:pPr>
        <w:tabs>
          <w:tab w:val="num" w:pos="851"/>
        </w:tabs>
        <w:ind w:left="851" w:hanging="284"/>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35" w15:restartNumberingAfterBreak="0">
    <w:nsid w:val="00000024"/>
    <w:multiLevelType w:val="multilevel"/>
    <w:tmpl w:val="0DFE1A6A"/>
    <w:name w:val="TableTextBullet"/>
    <w:lvl w:ilvl="0">
      <w:start w:val="1"/>
      <w:numFmt w:val="bullet"/>
      <w:pStyle w:val="TableTextBullet14"/>
      <w:lvlText w:val="•"/>
      <w:lvlJc w:val="left"/>
      <w:pPr>
        <w:tabs>
          <w:tab w:val="num" w:pos="284"/>
        </w:tabs>
        <w:ind w:left="284" w:hanging="284"/>
      </w:pPr>
      <w:rPr>
        <w:b w:val="0"/>
        <w:i w:val="0"/>
        <w:color w:val="000000"/>
      </w:rPr>
    </w:lvl>
    <w:lvl w:ilvl="1">
      <w:start w:val="1"/>
      <w:numFmt w:val="bullet"/>
      <w:pStyle w:val="TableTextDash14"/>
      <w:lvlText w:val="–"/>
      <w:lvlJc w:val="left"/>
      <w:pPr>
        <w:tabs>
          <w:tab w:val="num" w:pos="851"/>
        </w:tabs>
        <w:ind w:left="851" w:hanging="284"/>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36" w15:restartNumberingAfterBreak="0">
    <w:nsid w:val="00000025"/>
    <w:multiLevelType w:val="multilevel"/>
    <w:tmpl w:val="0DFE1A6A"/>
    <w:name w:val="TableTextBullet"/>
    <w:lvl w:ilvl="0">
      <w:start w:val="1"/>
      <w:numFmt w:val="bullet"/>
      <w:pStyle w:val="TableTextBullet15"/>
      <w:lvlText w:val="•"/>
      <w:lvlJc w:val="left"/>
      <w:pPr>
        <w:tabs>
          <w:tab w:val="num" w:pos="284"/>
        </w:tabs>
        <w:ind w:left="284" w:hanging="284"/>
      </w:pPr>
      <w:rPr>
        <w:b w:val="0"/>
        <w:i w:val="0"/>
        <w:color w:val="000000"/>
      </w:rPr>
    </w:lvl>
    <w:lvl w:ilvl="1">
      <w:start w:val="1"/>
      <w:numFmt w:val="bullet"/>
      <w:pStyle w:val="TableTextDash15"/>
      <w:lvlText w:val="–"/>
      <w:lvlJc w:val="left"/>
      <w:pPr>
        <w:tabs>
          <w:tab w:val="num" w:pos="851"/>
        </w:tabs>
        <w:ind w:left="851" w:hanging="284"/>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37" w15:restartNumberingAfterBreak="0">
    <w:nsid w:val="00000026"/>
    <w:multiLevelType w:val="hybridMultilevel"/>
    <w:tmpl w:val="C1A0C80E"/>
    <w:lvl w:ilvl="0" w:tplc="DAC8EA26">
      <w:start w:val="1"/>
      <w:numFmt w:val="decimal"/>
      <w:lvlText w:val="%1."/>
      <w:lvlJc w:val="left"/>
      <w:pPr>
        <w:ind w:left="720" w:hanging="360"/>
      </w:pPr>
      <w:rPr>
        <w:rFonts w:hint="default"/>
      </w:rPr>
    </w:lvl>
    <w:lvl w:ilvl="1" w:tplc="50E865DC" w:tentative="1">
      <w:start w:val="1"/>
      <w:numFmt w:val="lowerLetter"/>
      <w:lvlText w:val="%2."/>
      <w:lvlJc w:val="left"/>
      <w:pPr>
        <w:ind w:left="1440" w:hanging="360"/>
      </w:pPr>
    </w:lvl>
    <w:lvl w:ilvl="2" w:tplc="1B18DDAC" w:tentative="1">
      <w:start w:val="1"/>
      <w:numFmt w:val="lowerRoman"/>
      <w:lvlText w:val="%3."/>
      <w:lvlJc w:val="right"/>
      <w:pPr>
        <w:ind w:left="2160" w:hanging="180"/>
      </w:pPr>
    </w:lvl>
    <w:lvl w:ilvl="3" w:tplc="88988F2E" w:tentative="1">
      <w:start w:val="1"/>
      <w:numFmt w:val="decimal"/>
      <w:lvlText w:val="%4."/>
      <w:lvlJc w:val="left"/>
      <w:pPr>
        <w:ind w:left="2880" w:hanging="360"/>
      </w:pPr>
    </w:lvl>
    <w:lvl w:ilvl="4" w:tplc="7BE449BE" w:tentative="1">
      <w:start w:val="1"/>
      <w:numFmt w:val="lowerLetter"/>
      <w:lvlText w:val="%5."/>
      <w:lvlJc w:val="left"/>
      <w:pPr>
        <w:ind w:left="3600" w:hanging="360"/>
      </w:pPr>
    </w:lvl>
    <w:lvl w:ilvl="5" w:tplc="8D5CAAD4" w:tentative="1">
      <w:start w:val="1"/>
      <w:numFmt w:val="lowerRoman"/>
      <w:lvlText w:val="%6."/>
      <w:lvlJc w:val="right"/>
      <w:pPr>
        <w:ind w:left="4320" w:hanging="180"/>
      </w:pPr>
    </w:lvl>
    <w:lvl w:ilvl="6" w:tplc="37B46938" w:tentative="1">
      <w:start w:val="1"/>
      <w:numFmt w:val="decimal"/>
      <w:lvlText w:val="%7."/>
      <w:lvlJc w:val="left"/>
      <w:pPr>
        <w:ind w:left="5040" w:hanging="360"/>
      </w:pPr>
    </w:lvl>
    <w:lvl w:ilvl="7" w:tplc="1E22450E" w:tentative="1">
      <w:start w:val="1"/>
      <w:numFmt w:val="lowerLetter"/>
      <w:lvlText w:val="%8."/>
      <w:lvlJc w:val="left"/>
      <w:pPr>
        <w:ind w:left="5760" w:hanging="360"/>
      </w:pPr>
    </w:lvl>
    <w:lvl w:ilvl="8" w:tplc="8A76740A" w:tentative="1">
      <w:start w:val="1"/>
      <w:numFmt w:val="lowerRoman"/>
      <w:lvlText w:val="%9."/>
      <w:lvlJc w:val="right"/>
      <w:pPr>
        <w:ind w:left="6480" w:hanging="180"/>
      </w:pPr>
    </w:lvl>
  </w:abstractNum>
  <w:abstractNum w:abstractNumId="38" w15:restartNumberingAfterBreak="0">
    <w:nsid w:val="00000027"/>
    <w:multiLevelType w:val="multilevel"/>
    <w:tmpl w:val="0DFE1A6A"/>
    <w:name w:val="TableTextBullet"/>
    <w:lvl w:ilvl="0">
      <w:start w:val="1"/>
      <w:numFmt w:val="bullet"/>
      <w:pStyle w:val="TableTextBullet16"/>
      <w:lvlText w:val="•"/>
      <w:lvlJc w:val="left"/>
      <w:pPr>
        <w:tabs>
          <w:tab w:val="num" w:pos="284"/>
        </w:tabs>
        <w:ind w:left="284" w:hanging="284"/>
      </w:pPr>
      <w:rPr>
        <w:b w:val="0"/>
        <w:i w:val="0"/>
        <w:color w:val="000000"/>
      </w:rPr>
    </w:lvl>
    <w:lvl w:ilvl="1">
      <w:start w:val="1"/>
      <w:numFmt w:val="bullet"/>
      <w:pStyle w:val="TableTextDash16"/>
      <w:lvlText w:val="–"/>
      <w:lvlJc w:val="left"/>
      <w:pPr>
        <w:tabs>
          <w:tab w:val="num" w:pos="851"/>
        </w:tabs>
        <w:ind w:left="851" w:hanging="284"/>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39" w15:restartNumberingAfterBreak="0">
    <w:nsid w:val="00000028"/>
    <w:multiLevelType w:val="multilevel"/>
    <w:tmpl w:val="0DFE1A6A"/>
    <w:name w:val="TableTextBullet"/>
    <w:lvl w:ilvl="0">
      <w:start w:val="1"/>
      <w:numFmt w:val="bullet"/>
      <w:pStyle w:val="TableTextBullet60"/>
      <w:lvlText w:val="•"/>
      <w:lvlJc w:val="left"/>
      <w:pPr>
        <w:tabs>
          <w:tab w:val="num" w:pos="284"/>
        </w:tabs>
        <w:ind w:left="284" w:hanging="284"/>
      </w:pPr>
      <w:rPr>
        <w:b w:val="0"/>
        <w:i w:val="0"/>
        <w:color w:val="000000"/>
      </w:rPr>
    </w:lvl>
    <w:lvl w:ilvl="1">
      <w:start w:val="1"/>
      <w:numFmt w:val="bullet"/>
      <w:pStyle w:val="TableTextDash60"/>
      <w:lvlText w:val="–"/>
      <w:lvlJc w:val="left"/>
      <w:pPr>
        <w:tabs>
          <w:tab w:val="num" w:pos="851"/>
        </w:tabs>
        <w:ind w:left="851" w:hanging="284"/>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40" w15:restartNumberingAfterBreak="0">
    <w:nsid w:val="00000029"/>
    <w:multiLevelType w:val="multilevel"/>
    <w:tmpl w:val="0DFE1A6A"/>
    <w:name w:val="TableTextBullet"/>
    <w:lvl w:ilvl="0">
      <w:start w:val="1"/>
      <w:numFmt w:val="bullet"/>
      <w:pStyle w:val="TableTextBullet17"/>
      <w:lvlText w:val="•"/>
      <w:lvlJc w:val="left"/>
      <w:pPr>
        <w:tabs>
          <w:tab w:val="num" w:pos="284"/>
        </w:tabs>
        <w:ind w:left="284" w:hanging="284"/>
      </w:pPr>
      <w:rPr>
        <w:b w:val="0"/>
        <w:i w:val="0"/>
        <w:color w:val="000000"/>
      </w:rPr>
    </w:lvl>
    <w:lvl w:ilvl="1">
      <w:start w:val="1"/>
      <w:numFmt w:val="bullet"/>
      <w:pStyle w:val="TableTextDash17"/>
      <w:lvlText w:val="–"/>
      <w:lvlJc w:val="left"/>
      <w:pPr>
        <w:tabs>
          <w:tab w:val="num" w:pos="851"/>
        </w:tabs>
        <w:ind w:left="851" w:hanging="284"/>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41" w15:restartNumberingAfterBreak="0">
    <w:nsid w:val="0000002A"/>
    <w:multiLevelType w:val="hybridMultilevel"/>
    <w:tmpl w:val="C1A0C80E"/>
    <w:lvl w:ilvl="0" w:tplc="DBF60412">
      <w:start w:val="1"/>
      <w:numFmt w:val="decimal"/>
      <w:lvlText w:val="%1."/>
      <w:lvlJc w:val="left"/>
      <w:pPr>
        <w:ind w:left="720" w:hanging="360"/>
      </w:pPr>
      <w:rPr>
        <w:rFonts w:hint="default"/>
      </w:rPr>
    </w:lvl>
    <w:lvl w:ilvl="1" w:tplc="71428A06" w:tentative="1">
      <w:start w:val="1"/>
      <w:numFmt w:val="lowerLetter"/>
      <w:lvlText w:val="%2."/>
      <w:lvlJc w:val="left"/>
      <w:pPr>
        <w:ind w:left="1440" w:hanging="360"/>
      </w:pPr>
    </w:lvl>
    <w:lvl w:ilvl="2" w:tplc="89DEAAE4" w:tentative="1">
      <w:start w:val="1"/>
      <w:numFmt w:val="lowerRoman"/>
      <w:lvlText w:val="%3."/>
      <w:lvlJc w:val="right"/>
      <w:pPr>
        <w:ind w:left="2160" w:hanging="180"/>
      </w:pPr>
    </w:lvl>
    <w:lvl w:ilvl="3" w:tplc="753E2506" w:tentative="1">
      <w:start w:val="1"/>
      <w:numFmt w:val="decimal"/>
      <w:lvlText w:val="%4."/>
      <w:lvlJc w:val="left"/>
      <w:pPr>
        <w:ind w:left="2880" w:hanging="360"/>
      </w:pPr>
    </w:lvl>
    <w:lvl w:ilvl="4" w:tplc="A880CDB2" w:tentative="1">
      <w:start w:val="1"/>
      <w:numFmt w:val="lowerLetter"/>
      <w:lvlText w:val="%5."/>
      <w:lvlJc w:val="left"/>
      <w:pPr>
        <w:ind w:left="3600" w:hanging="360"/>
      </w:pPr>
    </w:lvl>
    <w:lvl w:ilvl="5" w:tplc="C9ECE2DC" w:tentative="1">
      <w:start w:val="1"/>
      <w:numFmt w:val="lowerRoman"/>
      <w:lvlText w:val="%6."/>
      <w:lvlJc w:val="right"/>
      <w:pPr>
        <w:ind w:left="4320" w:hanging="180"/>
      </w:pPr>
    </w:lvl>
    <w:lvl w:ilvl="6" w:tplc="BE0EC0BC" w:tentative="1">
      <w:start w:val="1"/>
      <w:numFmt w:val="decimal"/>
      <w:lvlText w:val="%7."/>
      <w:lvlJc w:val="left"/>
      <w:pPr>
        <w:ind w:left="5040" w:hanging="360"/>
      </w:pPr>
    </w:lvl>
    <w:lvl w:ilvl="7" w:tplc="A73424BA" w:tentative="1">
      <w:start w:val="1"/>
      <w:numFmt w:val="lowerLetter"/>
      <w:lvlText w:val="%8."/>
      <w:lvlJc w:val="left"/>
      <w:pPr>
        <w:ind w:left="5760" w:hanging="360"/>
      </w:pPr>
    </w:lvl>
    <w:lvl w:ilvl="8" w:tplc="42CCD69C" w:tentative="1">
      <w:start w:val="1"/>
      <w:numFmt w:val="lowerRoman"/>
      <w:lvlText w:val="%9."/>
      <w:lvlJc w:val="right"/>
      <w:pPr>
        <w:ind w:left="6480" w:hanging="180"/>
      </w:pPr>
    </w:lvl>
  </w:abstractNum>
  <w:abstractNum w:abstractNumId="42" w15:restartNumberingAfterBreak="0">
    <w:nsid w:val="0000002B"/>
    <w:multiLevelType w:val="multilevel"/>
    <w:tmpl w:val="0DFE1A6A"/>
    <w:name w:val="TableTextBullet"/>
    <w:lvl w:ilvl="0">
      <w:start w:val="1"/>
      <w:numFmt w:val="bullet"/>
      <w:pStyle w:val="TableTextBullet18"/>
      <w:lvlText w:val="•"/>
      <w:lvlJc w:val="left"/>
      <w:pPr>
        <w:tabs>
          <w:tab w:val="num" w:pos="284"/>
        </w:tabs>
        <w:ind w:left="284" w:hanging="284"/>
      </w:pPr>
      <w:rPr>
        <w:b w:val="0"/>
        <w:i w:val="0"/>
        <w:color w:val="000000"/>
      </w:rPr>
    </w:lvl>
    <w:lvl w:ilvl="1">
      <w:start w:val="1"/>
      <w:numFmt w:val="bullet"/>
      <w:pStyle w:val="TableTextDash18"/>
      <w:lvlText w:val="–"/>
      <w:lvlJc w:val="left"/>
      <w:pPr>
        <w:tabs>
          <w:tab w:val="num" w:pos="851"/>
        </w:tabs>
        <w:ind w:left="851" w:hanging="284"/>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43" w15:restartNumberingAfterBreak="0">
    <w:nsid w:val="0000002C"/>
    <w:multiLevelType w:val="multilevel"/>
    <w:tmpl w:val="0DFE1A6A"/>
    <w:name w:val="TableTextBullet"/>
    <w:lvl w:ilvl="0">
      <w:start w:val="1"/>
      <w:numFmt w:val="bullet"/>
      <w:pStyle w:val="TableTextBullet19"/>
      <w:lvlText w:val="•"/>
      <w:lvlJc w:val="left"/>
      <w:pPr>
        <w:tabs>
          <w:tab w:val="num" w:pos="284"/>
        </w:tabs>
        <w:ind w:left="284" w:hanging="284"/>
      </w:pPr>
      <w:rPr>
        <w:b w:val="0"/>
        <w:i w:val="0"/>
        <w:color w:val="000000"/>
      </w:rPr>
    </w:lvl>
    <w:lvl w:ilvl="1">
      <w:start w:val="1"/>
      <w:numFmt w:val="bullet"/>
      <w:pStyle w:val="TableTextDash19"/>
      <w:lvlText w:val="–"/>
      <w:lvlJc w:val="left"/>
      <w:pPr>
        <w:tabs>
          <w:tab w:val="num" w:pos="851"/>
        </w:tabs>
        <w:ind w:left="851" w:hanging="284"/>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44" w15:restartNumberingAfterBreak="0">
    <w:nsid w:val="0000002D"/>
    <w:multiLevelType w:val="hybridMultilevel"/>
    <w:tmpl w:val="CB5642D6"/>
    <w:lvl w:ilvl="0" w:tplc="1E02AFE8">
      <w:start w:val="1"/>
      <w:numFmt w:val="bullet"/>
      <w:lvlText w:val=""/>
      <w:lvlJc w:val="left"/>
      <w:pPr>
        <w:tabs>
          <w:tab w:val="num" w:pos="360"/>
        </w:tabs>
        <w:ind w:left="360" w:hanging="360"/>
      </w:pPr>
      <w:rPr>
        <w:rFonts w:ascii="Symbol" w:hAnsi="Symbol" w:hint="default"/>
        <w:color w:val="auto"/>
      </w:rPr>
    </w:lvl>
    <w:lvl w:ilvl="1" w:tplc="C6541D7E">
      <w:start w:val="1"/>
      <w:numFmt w:val="decimal"/>
      <w:lvlText w:val="%2."/>
      <w:lvlJc w:val="left"/>
      <w:pPr>
        <w:tabs>
          <w:tab w:val="num" w:pos="1440"/>
        </w:tabs>
        <w:ind w:left="1440" w:hanging="360"/>
      </w:pPr>
    </w:lvl>
    <w:lvl w:ilvl="2" w:tplc="F11EB3FE">
      <w:start w:val="1"/>
      <w:numFmt w:val="decimal"/>
      <w:lvlText w:val="%3."/>
      <w:lvlJc w:val="left"/>
      <w:pPr>
        <w:tabs>
          <w:tab w:val="num" w:pos="2160"/>
        </w:tabs>
        <w:ind w:left="2160" w:hanging="360"/>
      </w:pPr>
    </w:lvl>
    <w:lvl w:ilvl="3" w:tplc="B4FCA374">
      <w:start w:val="1"/>
      <w:numFmt w:val="decimal"/>
      <w:lvlText w:val="%4."/>
      <w:lvlJc w:val="left"/>
      <w:pPr>
        <w:tabs>
          <w:tab w:val="num" w:pos="2880"/>
        </w:tabs>
        <w:ind w:left="2880" w:hanging="360"/>
      </w:pPr>
    </w:lvl>
    <w:lvl w:ilvl="4" w:tplc="3A1472D0">
      <w:start w:val="1"/>
      <w:numFmt w:val="decimal"/>
      <w:lvlText w:val="%5."/>
      <w:lvlJc w:val="left"/>
      <w:pPr>
        <w:tabs>
          <w:tab w:val="num" w:pos="3600"/>
        </w:tabs>
        <w:ind w:left="3600" w:hanging="360"/>
      </w:pPr>
    </w:lvl>
    <w:lvl w:ilvl="5" w:tplc="10AC0068">
      <w:start w:val="1"/>
      <w:numFmt w:val="decimal"/>
      <w:lvlText w:val="%6."/>
      <w:lvlJc w:val="left"/>
      <w:pPr>
        <w:tabs>
          <w:tab w:val="num" w:pos="4320"/>
        </w:tabs>
        <w:ind w:left="4320" w:hanging="360"/>
      </w:pPr>
    </w:lvl>
    <w:lvl w:ilvl="6" w:tplc="03ECCD60">
      <w:start w:val="1"/>
      <w:numFmt w:val="decimal"/>
      <w:lvlText w:val="%7."/>
      <w:lvlJc w:val="left"/>
      <w:pPr>
        <w:tabs>
          <w:tab w:val="num" w:pos="5040"/>
        </w:tabs>
        <w:ind w:left="5040" w:hanging="360"/>
      </w:pPr>
    </w:lvl>
    <w:lvl w:ilvl="7" w:tplc="60562BAA">
      <w:start w:val="1"/>
      <w:numFmt w:val="decimal"/>
      <w:lvlText w:val="%8."/>
      <w:lvlJc w:val="left"/>
      <w:pPr>
        <w:tabs>
          <w:tab w:val="num" w:pos="5760"/>
        </w:tabs>
        <w:ind w:left="5760" w:hanging="360"/>
      </w:pPr>
    </w:lvl>
    <w:lvl w:ilvl="8" w:tplc="8C1C9896">
      <w:start w:val="1"/>
      <w:numFmt w:val="decimal"/>
      <w:lvlText w:val="%9."/>
      <w:lvlJc w:val="left"/>
      <w:pPr>
        <w:tabs>
          <w:tab w:val="num" w:pos="6480"/>
        </w:tabs>
        <w:ind w:left="6480" w:hanging="360"/>
      </w:pPr>
    </w:lvl>
  </w:abstractNum>
  <w:abstractNum w:abstractNumId="45" w15:restartNumberingAfterBreak="0">
    <w:nsid w:val="0000002E"/>
    <w:multiLevelType w:val="hybridMultilevel"/>
    <w:tmpl w:val="C1A0C80E"/>
    <w:lvl w:ilvl="0" w:tplc="86DC405C">
      <w:start w:val="1"/>
      <w:numFmt w:val="decimal"/>
      <w:lvlText w:val="%1."/>
      <w:lvlJc w:val="left"/>
      <w:pPr>
        <w:ind w:left="720" w:hanging="360"/>
      </w:pPr>
      <w:rPr>
        <w:rFonts w:hint="default"/>
      </w:rPr>
    </w:lvl>
    <w:lvl w:ilvl="1" w:tplc="5F8C0ED6" w:tentative="1">
      <w:start w:val="1"/>
      <w:numFmt w:val="lowerLetter"/>
      <w:lvlText w:val="%2."/>
      <w:lvlJc w:val="left"/>
      <w:pPr>
        <w:ind w:left="1440" w:hanging="360"/>
      </w:pPr>
    </w:lvl>
    <w:lvl w:ilvl="2" w:tplc="8B0240AE" w:tentative="1">
      <w:start w:val="1"/>
      <w:numFmt w:val="lowerRoman"/>
      <w:lvlText w:val="%3."/>
      <w:lvlJc w:val="right"/>
      <w:pPr>
        <w:ind w:left="2160" w:hanging="180"/>
      </w:pPr>
    </w:lvl>
    <w:lvl w:ilvl="3" w:tplc="CA221210" w:tentative="1">
      <w:start w:val="1"/>
      <w:numFmt w:val="decimal"/>
      <w:lvlText w:val="%4."/>
      <w:lvlJc w:val="left"/>
      <w:pPr>
        <w:ind w:left="2880" w:hanging="360"/>
      </w:pPr>
    </w:lvl>
    <w:lvl w:ilvl="4" w:tplc="35F0C7CC" w:tentative="1">
      <w:start w:val="1"/>
      <w:numFmt w:val="lowerLetter"/>
      <w:lvlText w:val="%5."/>
      <w:lvlJc w:val="left"/>
      <w:pPr>
        <w:ind w:left="3600" w:hanging="360"/>
      </w:pPr>
    </w:lvl>
    <w:lvl w:ilvl="5" w:tplc="963AC03E" w:tentative="1">
      <w:start w:val="1"/>
      <w:numFmt w:val="lowerRoman"/>
      <w:lvlText w:val="%6."/>
      <w:lvlJc w:val="right"/>
      <w:pPr>
        <w:ind w:left="4320" w:hanging="180"/>
      </w:pPr>
    </w:lvl>
    <w:lvl w:ilvl="6" w:tplc="B3845982" w:tentative="1">
      <w:start w:val="1"/>
      <w:numFmt w:val="decimal"/>
      <w:lvlText w:val="%7."/>
      <w:lvlJc w:val="left"/>
      <w:pPr>
        <w:ind w:left="5040" w:hanging="360"/>
      </w:pPr>
    </w:lvl>
    <w:lvl w:ilvl="7" w:tplc="479A58F2" w:tentative="1">
      <w:start w:val="1"/>
      <w:numFmt w:val="lowerLetter"/>
      <w:lvlText w:val="%8."/>
      <w:lvlJc w:val="left"/>
      <w:pPr>
        <w:ind w:left="5760" w:hanging="360"/>
      </w:pPr>
    </w:lvl>
    <w:lvl w:ilvl="8" w:tplc="AD0C346A" w:tentative="1">
      <w:start w:val="1"/>
      <w:numFmt w:val="lowerRoman"/>
      <w:lvlText w:val="%9."/>
      <w:lvlJc w:val="right"/>
      <w:pPr>
        <w:ind w:left="6480" w:hanging="180"/>
      </w:pPr>
    </w:lvl>
  </w:abstractNum>
  <w:abstractNum w:abstractNumId="46" w15:restartNumberingAfterBreak="0">
    <w:nsid w:val="0000002F"/>
    <w:multiLevelType w:val="hybridMultilevel"/>
    <w:tmpl w:val="C1A0C80E"/>
    <w:lvl w:ilvl="0" w:tplc="BF72F0C8">
      <w:start w:val="1"/>
      <w:numFmt w:val="decimal"/>
      <w:lvlText w:val="%1."/>
      <w:lvlJc w:val="left"/>
      <w:pPr>
        <w:ind w:left="720" w:hanging="360"/>
      </w:pPr>
      <w:rPr>
        <w:rFonts w:hint="default"/>
      </w:rPr>
    </w:lvl>
    <w:lvl w:ilvl="1" w:tplc="D2488D22" w:tentative="1">
      <w:start w:val="1"/>
      <w:numFmt w:val="lowerLetter"/>
      <w:lvlText w:val="%2."/>
      <w:lvlJc w:val="left"/>
      <w:pPr>
        <w:ind w:left="1440" w:hanging="360"/>
      </w:pPr>
    </w:lvl>
    <w:lvl w:ilvl="2" w:tplc="E2CA0B7E" w:tentative="1">
      <w:start w:val="1"/>
      <w:numFmt w:val="lowerRoman"/>
      <w:lvlText w:val="%3."/>
      <w:lvlJc w:val="right"/>
      <w:pPr>
        <w:ind w:left="2160" w:hanging="180"/>
      </w:pPr>
    </w:lvl>
    <w:lvl w:ilvl="3" w:tplc="3B14E898" w:tentative="1">
      <w:start w:val="1"/>
      <w:numFmt w:val="decimal"/>
      <w:lvlText w:val="%4."/>
      <w:lvlJc w:val="left"/>
      <w:pPr>
        <w:ind w:left="2880" w:hanging="360"/>
      </w:pPr>
    </w:lvl>
    <w:lvl w:ilvl="4" w:tplc="BD6EB4B8" w:tentative="1">
      <w:start w:val="1"/>
      <w:numFmt w:val="lowerLetter"/>
      <w:lvlText w:val="%5."/>
      <w:lvlJc w:val="left"/>
      <w:pPr>
        <w:ind w:left="3600" w:hanging="360"/>
      </w:pPr>
    </w:lvl>
    <w:lvl w:ilvl="5" w:tplc="AB14B480" w:tentative="1">
      <w:start w:val="1"/>
      <w:numFmt w:val="lowerRoman"/>
      <w:lvlText w:val="%6."/>
      <w:lvlJc w:val="right"/>
      <w:pPr>
        <w:ind w:left="4320" w:hanging="180"/>
      </w:pPr>
    </w:lvl>
    <w:lvl w:ilvl="6" w:tplc="0C2E9AE2" w:tentative="1">
      <w:start w:val="1"/>
      <w:numFmt w:val="decimal"/>
      <w:lvlText w:val="%7."/>
      <w:lvlJc w:val="left"/>
      <w:pPr>
        <w:ind w:left="5040" w:hanging="360"/>
      </w:pPr>
    </w:lvl>
    <w:lvl w:ilvl="7" w:tplc="6B3A0CBE" w:tentative="1">
      <w:start w:val="1"/>
      <w:numFmt w:val="lowerLetter"/>
      <w:lvlText w:val="%8."/>
      <w:lvlJc w:val="left"/>
      <w:pPr>
        <w:ind w:left="5760" w:hanging="360"/>
      </w:pPr>
    </w:lvl>
    <w:lvl w:ilvl="8" w:tplc="22847858" w:tentative="1">
      <w:start w:val="1"/>
      <w:numFmt w:val="lowerRoman"/>
      <w:lvlText w:val="%9."/>
      <w:lvlJc w:val="right"/>
      <w:pPr>
        <w:ind w:left="6480" w:hanging="180"/>
      </w:pPr>
    </w:lvl>
  </w:abstractNum>
  <w:abstractNum w:abstractNumId="47" w15:restartNumberingAfterBreak="0">
    <w:nsid w:val="00000030"/>
    <w:multiLevelType w:val="multilevel"/>
    <w:tmpl w:val="753AC1FE"/>
    <w:name w:val="StandardBulletedList_"/>
    <w:lvl w:ilvl="0">
      <w:start w:val="1"/>
      <w:numFmt w:val="bullet"/>
      <w:pStyle w:val="Bullet3"/>
      <w:lvlText w:val="•"/>
      <w:lvlJc w:val="left"/>
      <w:pPr>
        <w:tabs>
          <w:tab w:val="num" w:pos="283"/>
        </w:tabs>
        <w:ind w:left="283" w:hanging="283"/>
      </w:pPr>
      <w:rPr>
        <w:rFonts w:ascii="Times New Roman" w:hAnsi="Times New Roman" w:cs="Times New Roman"/>
        <w:b w:val="0"/>
        <w:i w:val="0"/>
      </w:rPr>
    </w:lvl>
    <w:lvl w:ilvl="1">
      <w:start w:val="1"/>
      <w:numFmt w:val="bullet"/>
      <w:pStyle w:val="Dash3"/>
      <w:lvlText w:val="–"/>
      <w:lvlJc w:val="left"/>
      <w:pPr>
        <w:tabs>
          <w:tab w:val="num" w:pos="567"/>
        </w:tabs>
        <w:ind w:left="567" w:hanging="284"/>
      </w:pPr>
      <w:rPr>
        <w:rFonts w:ascii="Times New Roman" w:hAnsi="Times New Roman" w:cs="Times New Roman"/>
        <w:b w:val="0"/>
        <w:i w:val="0"/>
      </w:rPr>
    </w:lvl>
    <w:lvl w:ilvl="2">
      <w:start w:val="1"/>
      <w:numFmt w:val="bullet"/>
      <w:pStyle w:val="DoubleDot3"/>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48" w15:restartNumberingAfterBreak="0">
    <w:nsid w:val="00000031"/>
    <w:multiLevelType w:val="hybridMultilevel"/>
    <w:tmpl w:val="2D5C97AE"/>
    <w:lvl w:ilvl="0" w:tplc="0CBCF7B2">
      <w:start w:val="1"/>
      <w:numFmt w:val="decimal"/>
      <w:lvlText w:val="%1."/>
      <w:lvlJc w:val="left"/>
      <w:pPr>
        <w:ind w:left="360" w:hanging="360"/>
      </w:pPr>
      <w:rPr>
        <w:rFonts w:hint="default"/>
      </w:rPr>
    </w:lvl>
    <w:lvl w:ilvl="1" w:tplc="08C863EA" w:tentative="1">
      <w:start w:val="1"/>
      <w:numFmt w:val="lowerLetter"/>
      <w:lvlText w:val="%2."/>
      <w:lvlJc w:val="left"/>
      <w:pPr>
        <w:ind w:left="1080" w:hanging="360"/>
      </w:pPr>
    </w:lvl>
    <w:lvl w:ilvl="2" w:tplc="90102C50" w:tentative="1">
      <w:start w:val="1"/>
      <w:numFmt w:val="lowerRoman"/>
      <w:lvlText w:val="%3."/>
      <w:lvlJc w:val="right"/>
      <w:pPr>
        <w:ind w:left="1800" w:hanging="180"/>
      </w:pPr>
    </w:lvl>
    <w:lvl w:ilvl="3" w:tplc="836A0316" w:tentative="1">
      <w:start w:val="1"/>
      <w:numFmt w:val="decimal"/>
      <w:lvlText w:val="%4."/>
      <w:lvlJc w:val="left"/>
      <w:pPr>
        <w:ind w:left="2520" w:hanging="360"/>
      </w:pPr>
    </w:lvl>
    <w:lvl w:ilvl="4" w:tplc="E40063B0" w:tentative="1">
      <w:start w:val="1"/>
      <w:numFmt w:val="lowerLetter"/>
      <w:lvlText w:val="%5."/>
      <w:lvlJc w:val="left"/>
      <w:pPr>
        <w:ind w:left="3240" w:hanging="360"/>
      </w:pPr>
    </w:lvl>
    <w:lvl w:ilvl="5" w:tplc="D080602E" w:tentative="1">
      <w:start w:val="1"/>
      <w:numFmt w:val="lowerRoman"/>
      <w:lvlText w:val="%6."/>
      <w:lvlJc w:val="right"/>
      <w:pPr>
        <w:ind w:left="3960" w:hanging="180"/>
      </w:pPr>
    </w:lvl>
    <w:lvl w:ilvl="6" w:tplc="324CECAE" w:tentative="1">
      <w:start w:val="1"/>
      <w:numFmt w:val="decimal"/>
      <w:lvlText w:val="%7."/>
      <w:lvlJc w:val="left"/>
      <w:pPr>
        <w:ind w:left="4680" w:hanging="360"/>
      </w:pPr>
    </w:lvl>
    <w:lvl w:ilvl="7" w:tplc="98CA041A" w:tentative="1">
      <w:start w:val="1"/>
      <w:numFmt w:val="lowerLetter"/>
      <w:lvlText w:val="%8."/>
      <w:lvlJc w:val="left"/>
      <w:pPr>
        <w:ind w:left="5400" w:hanging="360"/>
      </w:pPr>
    </w:lvl>
    <w:lvl w:ilvl="8" w:tplc="9DD0CA44" w:tentative="1">
      <w:start w:val="1"/>
      <w:numFmt w:val="lowerRoman"/>
      <w:lvlText w:val="%9."/>
      <w:lvlJc w:val="right"/>
      <w:pPr>
        <w:ind w:left="6120" w:hanging="180"/>
      </w:pPr>
    </w:lvl>
  </w:abstractNum>
  <w:abstractNum w:abstractNumId="49" w15:restartNumberingAfterBreak="0">
    <w:nsid w:val="00000032"/>
    <w:multiLevelType w:val="hybridMultilevel"/>
    <w:tmpl w:val="E54893EC"/>
    <w:lvl w:ilvl="0" w:tplc="DCE4D2B2">
      <w:start w:val="1"/>
      <w:numFmt w:val="decimal"/>
      <w:lvlText w:val="%1."/>
      <w:lvlJc w:val="left"/>
      <w:pPr>
        <w:ind w:left="720" w:hanging="360"/>
      </w:pPr>
      <w:rPr>
        <w:rFonts w:ascii="Arial" w:eastAsia="Calibri" w:hAnsi="Arial" w:cs="Arial"/>
      </w:rPr>
    </w:lvl>
    <w:lvl w:ilvl="1" w:tplc="9B5E055E" w:tentative="1">
      <w:start w:val="1"/>
      <w:numFmt w:val="lowerLetter"/>
      <w:lvlText w:val="%2."/>
      <w:lvlJc w:val="left"/>
      <w:pPr>
        <w:ind w:left="1440" w:hanging="360"/>
      </w:pPr>
    </w:lvl>
    <w:lvl w:ilvl="2" w:tplc="48368ECE" w:tentative="1">
      <w:start w:val="1"/>
      <w:numFmt w:val="lowerRoman"/>
      <w:lvlText w:val="%3."/>
      <w:lvlJc w:val="right"/>
      <w:pPr>
        <w:ind w:left="2160" w:hanging="180"/>
      </w:pPr>
    </w:lvl>
    <w:lvl w:ilvl="3" w:tplc="E8525020" w:tentative="1">
      <w:start w:val="1"/>
      <w:numFmt w:val="decimal"/>
      <w:lvlText w:val="%4."/>
      <w:lvlJc w:val="left"/>
      <w:pPr>
        <w:ind w:left="2880" w:hanging="360"/>
      </w:pPr>
    </w:lvl>
    <w:lvl w:ilvl="4" w:tplc="4D680730" w:tentative="1">
      <w:start w:val="1"/>
      <w:numFmt w:val="lowerLetter"/>
      <w:lvlText w:val="%5."/>
      <w:lvlJc w:val="left"/>
      <w:pPr>
        <w:ind w:left="3600" w:hanging="360"/>
      </w:pPr>
    </w:lvl>
    <w:lvl w:ilvl="5" w:tplc="05304F40" w:tentative="1">
      <w:start w:val="1"/>
      <w:numFmt w:val="lowerRoman"/>
      <w:lvlText w:val="%6."/>
      <w:lvlJc w:val="right"/>
      <w:pPr>
        <w:ind w:left="4320" w:hanging="180"/>
      </w:pPr>
    </w:lvl>
    <w:lvl w:ilvl="6" w:tplc="C57A5968" w:tentative="1">
      <w:start w:val="1"/>
      <w:numFmt w:val="decimal"/>
      <w:lvlText w:val="%7."/>
      <w:lvlJc w:val="left"/>
      <w:pPr>
        <w:ind w:left="5040" w:hanging="360"/>
      </w:pPr>
    </w:lvl>
    <w:lvl w:ilvl="7" w:tplc="685E40AC" w:tentative="1">
      <w:start w:val="1"/>
      <w:numFmt w:val="lowerLetter"/>
      <w:lvlText w:val="%8."/>
      <w:lvlJc w:val="left"/>
      <w:pPr>
        <w:ind w:left="5760" w:hanging="360"/>
      </w:pPr>
    </w:lvl>
    <w:lvl w:ilvl="8" w:tplc="93605848" w:tentative="1">
      <w:start w:val="1"/>
      <w:numFmt w:val="lowerRoman"/>
      <w:lvlText w:val="%9."/>
      <w:lvlJc w:val="right"/>
      <w:pPr>
        <w:ind w:left="6480" w:hanging="180"/>
      </w:pPr>
    </w:lvl>
  </w:abstractNum>
  <w:abstractNum w:abstractNumId="50" w15:restartNumberingAfterBreak="0">
    <w:nsid w:val="00000033"/>
    <w:multiLevelType w:val="multilevel"/>
    <w:tmpl w:val="0DFE1A6A"/>
    <w:name w:val="TableTextBullet"/>
    <w:lvl w:ilvl="0">
      <w:start w:val="1"/>
      <w:numFmt w:val="bullet"/>
      <w:pStyle w:val="TableTextBullet20"/>
      <w:lvlText w:val="•"/>
      <w:lvlJc w:val="left"/>
      <w:pPr>
        <w:tabs>
          <w:tab w:val="num" w:pos="284"/>
        </w:tabs>
        <w:ind w:left="284" w:hanging="284"/>
      </w:pPr>
      <w:rPr>
        <w:b w:val="0"/>
        <w:i w:val="0"/>
        <w:color w:val="000000"/>
      </w:rPr>
    </w:lvl>
    <w:lvl w:ilvl="1">
      <w:start w:val="1"/>
      <w:numFmt w:val="bullet"/>
      <w:pStyle w:val="TableTextDash20"/>
      <w:lvlText w:val="–"/>
      <w:lvlJc w:val="left"/>
      <w:pPr>
        <w:tabs>
          <w:tab w:val="num" w:pos="851"/>
        </w:tabs>
        <w:ind w:left="851" w:hanging="284"/>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51" w15:restartNumberingAfterBreak="0">
    <w:nsid w:val="00000034"/>
    <w:multiLevelType w:val="hybridMultilevel"/>
    <w:tmpl w:val="2D5C97AE"/>
    <w:lvl w:ilvl="0" w:tplc="D21AB2A6">
      <w:start w:val="1"/>
      <w:numFmt w:val="decimal"/>
      <w:lvlText w:val="%1."/>
      <w:lvlJc w:val="left"/>
      <w:pPr>
        <w:ind w:left="360" w:hanging="360"/>
      </w:pPr>
      <w:rPr>
        <w:rFonts w:hint="default"/>
      </w:rPr>
    </w:lvl>
    <w:lvl w:ilvl="1" w:tplc="1A741C9C" w:tentative="1">
      <w:start w:val="1"/>
      <w:numFmt w:val="lowerLetter"/>
      <w:lvlText w:val="%2."/>
      <w:lvlJc w:val="left"/>
      <w:pPr>
        <w:ind w:left="1080" w:hanging="360"/>
      </w:pPr>
    </w:lvl>
    <w:lvl w:ilvl="2" w:tplc="E954CC2C" w:tentative="1">
      <w:start w:val="1"/>
      <w:numFmt w:val="lowerRoman"/>
      <w:lvlText w:val="%3."/>
      <w:lvlJc w:val="right"/>
      <w:pPr>
        <w:ind w:left="1800" w:hanging="180"/>
      </w:pPr>
    </w:lvl>
    <w:lvl w:ilvl="3" w:tplc="69BA72AE" w:tentative="1">
      <w:start w:val="1"/>
      <w:numFmt w:val="decimal"/>
      <w:lvlText w:val="%4."/>
      <w:lvlJc w:val="left"/>
      <w:pPr>
        <w:ind w:left="2520" w:hanging="360"/>
      </w:pPr>
    </w:lvl>
    <w:lvl w:ilvl="4" w:tplc="DCD8D842" w:tentative="1">
      <w:start w:val="1"/>
      <w:numFmt w:val="lowerLetter"/>
      <w:lvlText w:val="%5."/>
      <w:lvlJc w:val="left"/>
      <w:pPr>
        <w:ind w:left="3240" w:hanging="360"/>
      </w:pPr>
    </w:lvl>
    <w:lvl w:ilvl="5" w:tplc="05166C5A" w:tentative="1">
      <w:start w:val="1"/>
      <w:numFmt w:val="lowerRoman"/>
      <w:lvlText w:val="%6."/>
      <w:lvlJc w:val="right"/>
      <w:pPr>
        <w:ind w:left="3960" w:hanging="180"/>
      </w:pPr>
    </w:lvl>
    <w:lvl w:ilvl="6" w:tplc="220801B8" w:tentative="1">
      <w:start w:val="1"/>
      <w:numFmt w:val="decimal"/>
      <w:lvlText w:val="%7."/>
      <w:lvlJc w:val="left"/>
      <w:pPr>
        <w:ind w:left="4680" w:hanging="360"/>
      </w:pPr>
    </w:lvl>
    <w:lvl w:ilvl="7" w:tplc="4002DCB0" w:tentative="1">
      <w:start w:val="1"/>
      <w:numFmt w:val="lowerLetter"/>
      <w:lvlText w:val="%8."/>
      <w:lvlJc w:val="left"/>
      <w:pPr>
        <w:ind w:left="5400" w:hanging="360"/>
      </w:pPr>
    </w:lvl>
    <w:lvl w:ilvl="8" w:tplc="D73E0102" w:tentative="1">
      <w:start w:val="1"/>
      <w:numFmt w:val="lowerRoman"/>
      <w:lvlText w:val="%9."/>
      <w:lvlJc w:val="right"/>
      <w:pPr>
        <w:ind w:left="6120" w:hanging="180"/>
      </w:pPr>
    </w:lvl>
  </w:abstractNum>
  <w:abstractNum w:abstractNumId="52" w15:restartNumberingAfterBreak="0">
    <w:nsid w:val="00000035"/>
    <w:multiLevelType w:val="multilevel"/>
    <w:tmpl w:val="0DFE1A6A"/>
    <w:name w:val="TableTextBullet"/>
    <w:lvl w:ilvl="0">
      <w:start w:val="1"/>
      <w:numFmt w:val="bullet"/>
      <w:pStyle w:val="TableTextBullet21"/>
      <w:lvlText w:val="•"/>
      <w:lvlJc w:val="left"/>
      <w:pPr>
        <w:tabs>
          <w:tab w:val="num" w:pos="284"/>
        </w:tabs>
        <w:ind w:left="284" w:hanging="284"/>
      </w:pPr>
      <w:rPr>
        <w:b w:val="0"/>
        <w:i w:val="0"/>
        <w:color w:val="000000"/>
      </w:rPr>
    </w:lvl>
    <w:lvl w:ilvl="1">
      <w:start w:val="1"/>
      <w:numFmt w:val="bullet"/>
      <w:pStyle w:val="TableTextDash21"/>
      <w:lvlText w:val="–"/>
      <w:lvlJc w:val="left"/>
      <w:pPr>
        <w:tabs>
          <w:tab w:val="num" w:pos="851"/>
        </w:tabs>
        <w:ind w:left="851" w:hanging="284"/>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53" w15:restartNumberingAfterBreak="0">
    <w:nsid w:val="00000036"/>
    <w:multiLevelType w:val="hybridMultilevel"/>
    <w:tmpl w:val="2D5C97AE"/>
    <w:lvl w:ilvl="0" w:tplc="7B4CB68A">
      <w:start w:val="1"/>
      <w:numFmt w:val="decimal"/>
      <w:lvlText w:val="%1."/>
      <w:lvlJc w:val="left"/>
      <w:pPr>
        <w:ind w:left="360" w:hanging="360"/>
      </w:pPr>
      <w:rPr>
        <w:rFonts w:hint="default"/>
      </w:rPr>
    </w:lvl>
    <w:lvl w:ilvl="1" w:tplc="666E084E" w:tentative="1">
      <w:start w:val="1"/>
      <w:numFmt w:val="lowerLetter"/>
      <w:lvlText w:val="%2."/>
      <w:lvlJc w:val="left"/>
      <w:pPr>
        <w:ind w:left="1080" w:hanging="360"/>
      </w:pPr>
    </w:lvl>
    <w:lvl w:ilvl="2" w:tplc="0F7A044C" w:tentative="1">
      <w:start w:val="1"/>
      <w:numFmt w:val="lowerRoman"/>
      <w:lvlText w:val="%3."/>
      <w:lvlJc w:val="right"/>
      <w:pPr>
        <w:ind w:left="1800" w:hanging="180"/>
      </w:pPr>
    </w:lvl>
    <w:lvl w:ilvl="3" w:tplc="4956BC66" w:tentative="1">
      <w:start w:val="1"/>
      <w:numFmt w:val="decimal"/>
      <w:lvlText w:val="%4."/>
      <w:lvlJc w:val="left"/>
      <w:pPr>
        <w:ind w:left="2520" w:hanging="360"/>
      </w:pPr>
    </w:lvl>
    <w:lvl w:ilvl="4" w:tplc="35D45124" w:tentative="1">
      <w:start w:val="1"/>
      <w:numFmt w:val="lowerLetter"/>
      <w:lvlText w:val="%5."/>
      <w:lvlJc w:val="left"/>
      <w:pPr>
        <w:ind w:left="3240" w:hanging="360"/>
      </w:pPr>
    </w:lvl>
    <w:lvl w:ilvl="5" w:tplc="56CC4E64" w:tentative="1">
      <w:start w:val="1"/>
      <w:numFmt w:val="lowerRoman"/>
      <w:lvlText w:val="%6."/>
      <w:lvlJc w:val="right"/>
      <w:pPr>
        <w:ind w:left="3960" w:hanging="180"/>
      </w:pPr>
    </w:lvl>
    <w:lvl w:ilvl="6" w:tplc="BC12A634" w:tentative="1">
      <w:start w:val="1"/>
      <w:numFmt w:val="decimal"/>
      <w:lvlText w:val="%7."/>
      <w:lvlJc w:val="left"/>
      <w:pPr>
        <w:ind w:left="4680" w:hanging="360"/>
      </w:pPr>
    </w:lvl>
    <w:lvl w:ilvl="7" w:tplc="B6DE089E" w:tentative="1">
      <w:start w:val="1"/>
      <w:numFmt w:val="lowerLetter"/>
      <w:lvlText w:val="%8."/>
      <w:lvlJc w:val="left"/>
      <w:pPr>
        <w:ind w:left="5400" w:hanging="360"/>
      </w:pPr>
    </w:lvl>
    <w:lvl w:ilvl="8" w:tplc="D60E4E46" w:tentative="1">
      <w:start w:val="1"/>
      <w:numFmt w:val="lowerRoman"/>
      <w:lvlText w:val="%9."/>
      <w:lvlJc w:val="right"/>
      <w:pPr>
        <w:ind w:left="6120" w:hanging="180"/>
      </w:pPr>
    </w:lvl>
  </w:abstractNum>
  <w:abstractNum w:abstractNumId="54" w15:restartNumberingAfterBreak="0">
    <w:nsid w:val="00000037"/>
    <w:multiLevelType w:val="hybridMultilevel"/>
    <w:tmpl w:val="2D5C97AE"/>
    <w:lvl w:ilvl="0" w:tplc="565C7D4C">
      <w:start w:val="1"/>
      <w:numFmt w:val="decimal"/>
      <w:lvlText w:val="%1."/>
      <w:lvlJc w:val="left"/>
      <w:pPr>
        <w:ind w:left="360" w:hanging="360"/>
      </w:pPr>
      <w:rPr>
        <w:rFonts w:hint="default"/>
      </w:rPr>
    </w:lvl>
    <w:lvl w:ilvl="1" w:tplc="54D4D2CA" w:tentative="1">
      <w:start w:val="1"/>
      <w:numFmt w:val="lowerLetter"/>
      <w:lvlText w:val="%2."/>
      <w:lvlJc w:val="left"/>
      <w:pPr>
        <w:ind w:left="1080" w:hanging="360"/>
      </w:pPr>
    </w:lvl>
    <w:lvl w:ilvl="2" w:tplc="3BEAFC36" w:tentative="1">
      <w:start w:val="1"/>
      <w:numFmt w:val="lowerRoman"/>
      <w:lvlText w:val="%3."/>
      <w:lvlJc w:val="right"/>
      <w:pPr>
        <w:ind w:left="1800" w:hanging="180"/>
      </w:pPr>
    </w:lvl>
    <w:lvl w:ilvl="3" w:tplc="33B28536" w:tentative="1">
      <w:start w:val="1"/>
      <w:numFmt w:val="decimal"/>
      <w:lvlText w:val="%4."/>
      <w:lvlJc w:val="left"/>
      <w:pPr>
        <w:ind w:left="2520" w:hanging="360"/>
      </w:pPr>
    </w:lvl>
    <w:lvl w:ilvl="4" w:tplc="E82EC5AC" w:tentative="1">
      <w:start w:val="1"/>
      <w:numFmt w:val="lowerLetter"/>
      <w:lvlText w:val="%5."/>
      <w:lvlJc w:val="left"/>
      <w:pPr>
        <w:ind w:left="3240" w:hanging="360"/>
      </w:pPr>
    </w:lvl>
    <w:lvl w:ilvl="5" w:tplc="EBF0EBDC" w:tentative="1">
      <w:start w:val="1"/>
      <w:numFmt w:val="lowerRoman"/>
      <w:lvlText w:val="%6."/>
      <w:lvlJc w:val="right"/>
      <w:pPr>
        <w:ind w:left="3960" w:hanging="180"/>
      </w:pPr>
    </w:lvl>
    <w:lvl w:ilvl="6" w:tplc="091CC7D6" w:tentative="1">
      <w:start w:val="1"/>
      <w:numFmt w:val="decimal"/>
      <w:lvlText w:val="%7."/>
      <w:lvlJc w:val="left"/>
      <w:pPr>
        <w:ind w:left="4680" w:hanging="360"/>
      </w:pPr>
    </w:lvl>
    <w:lvl w:ilvl="7" w:tplc="085E6120" w:tentative="1">
      <w:start w:val="1"/>
      <w:numFmt w:val="lowerLetter"/>
      <w:lvlText w:val="%8."/>
      <w:lvlJc w:val="left"/>
      <w:pPr>
        <w:ind w:left="5400" w:hanging="360"/>
      </w:pPr>
    </w:lvl>
    <w:lvl w:ilvl="8" w:tplc="91A293DE" w:tentative="1">
      <w:start w:val="1"/>
      <w:numFmt w:val="lowerRoman"/>
      <w:lvlText w:val="%9."/>
      <w:lvlJc w:val="right"/>
      <w:pPr>
        <w:ind w:left="6120" w:hanging="180"/>
      </w:pPr>
    </w:lvl>
  </w:abstractNum>
  <w:abstractNum w:abstractNumId="55" w15:restartNumberingAfterBreak="0">
    <w:nsid w:val="00000038"/>
    <w:multiLevelType w:val="multilevel"/>
    <w:tmpl w:val="34589BAE"/>
    <w:name w:val="ExampleTextBullet"/>
    <w:lvl w:ilvl="0">
      <w:start w:val="1"/>
      <w:numFmt w:val="decimal"/>
      <w:pStyle w:val="Exampletextbullet"/>
      <w:lvlText w:val="•"/>
      <w:lvlJc w:val="left"/>
      <w:pPr>
        <w:tabs>
          <w:tab w:val="num" w:pos="284"/>
        </w:tabs>
        <w:ind w:left="284" w:hanging="284"/>
      </w:pPr>
      <w:rPr>
        <w:rFonts w:ascii="9999999" w:hAnsi="9999999" w:cs="Times New Roman"/>
        <w:b w:val="0"/>
        <w:i w:val="0"/>
        <w:color w:val="FF0000"/>
      </w:rPr>
    </w:lvl>
    <w:lvl w:ilvl="1">
      <w:start w:val="1"/>
      <w:numFmt w:val="decimal"/>
      <w:pStyle w:val="Exampletextdash"/>
      <w:lvlText w:val="–"/>
      <w:lvlJc w:val="left"/>
      <w:pPr>
        <w:tabs>
          <w:tab w:val="num" w:pos="567"/>
        </w:tabs>
        <w:ind w:left="567" w:hanging="283"/>
      </w:pPr>
      <w:rPr>
        <w:rFonts w:ascii="9999999" w:hAnsi="9999999" w:cs="Times New Roman"/>
        <w:b w:val="0"/>
        <w:i w:val="0"/>
        <w:color w:val="FF0000"/>
      </w:rPr>
    </w:lvl>
    <w:lvl w:ilvl="2">
      <w:start w:val="1"/>
      <w:numFmt w:val="decimal"/>
      <w:lvlText w:val="%3"/>
      <w:lvlJc w:val="left"/>
      <w:pPr>
        <w:tabs>
          <w:tab w:val="num" w:pos="1701"/>
        </w:tabs>
        <w:ind w:left="1701" w:hanging="567"/>
      </w:pPr>
      <w:rPr>
        <w:rFonts w:cs="Times New Roman"/>
        <w:b w:val="0"/>
        <w:i w:val="0"/>
        <w:color w:val="000000"/>
      </w:rPr>
    </w:lvl>
    <w:lvl w:ilvl="3">
      <w:start w:val="1"/>
      <w:numFmt w:val="decimal"/>
      <w:lvlText w:val="%4"/>
      <w:lvlJc w:val="left"/>
      <w:pPr>
        <w:tabs>
          <w:tab w:val="num" w:pos="2268"/>
        </w:tabs>
        <w:ind w:left="2268" w:hanging="567"/>
      </w:pPr>
      <w:rPr>
        <w:rFonts w:cs="Times New Roman"/>
        <w:b w:val="0"/>
        <w:i w:val="0"/>
        <w:color w:val="000000"/>
      </w:rPr>
    </w:lvl>
    <w:lvl w:ilvl="4">
      <w:start w:val="1"/>
      <w:numFmt w:val="decimal"/>
      <w:lvlText w:val="%5"/>
      <w:lvlJc w:val="left"/>
      <w:pPr>
        <w:tabs>
          <w:tab w:val="num" w:pos="2835"/>
        </w:tabs>
        <w:ind w:left="2835" w:hanging="567"/>
      </w:pPr>
      <w:rPr>
        <w:rFonts w:cs="Times New Roman"/>
        <w:b w:val="0"/>
        <w:i w:val="0"/>
        <w:color w:val="000000"/>
      </w:rPr>
    </w:lvl>
    <w:lvl w:ilvl="5">
      <w:start w:val="1"/>
      <w:numFmt w:val="decimal"/>
      <w:lvlText w:val="%6"/>
      <w:lvlJc w:val="left"/>
      <w:pPr>
        <w:tabs>
          <w:tab w:val="num" w:pos="3402"/>
        </w:tabs>
        <w:ind w:left="3402" w:hanging="567"/>
      </w:pPr>
      <w:rPr>
        <w:rFonts w:cs="Times New Roman"/>
        <w:b w:val="0"/>
        <w:i w:val="0"/>
        <w:color w:val="000000"/>
      </w:rPr>
    </w:lvl>
    <w:lvl w:ilvl="6">
      <w:start w:val="1"/>
      <w:numFmt w:val="decimal"/>
      <w:lvlText w:val="%7"/>
      <w:lvlJc w:val="left"/>
      <w:pPr>
        <w:tabs>
          <w:tab w:val="num" w:pos="3969"/>
        </w:tabs>
        <w:ind w:left="3969" w:hanging="567"/>
      </w:pPr>
      <w:rPr>
        <w:rFonts w:cs="Times New Roman"/>
        <w:b w:val="0"/>
        <w:i w:val="0"/>
        <w:color w:val="000000"/>
      </w:rPr>
    </w:lvl>
    <w:lvl w:ilvl="7">
      <w:start w:val="1"/>
      <w:numFmt w:val="decimal"/>
      <w:lvlText w:val="%8"/>
      <w:lvlJc w:val="left"/>
      <w:pPr>
        <w:tabs>
          <w:tab w:val="num" w:pos="4536"/>
        </w:tabs>
        <w:ind w:left="4536" w:hanging="567"/>
      </w:pPr>
      <w:rPr>
        <w:rFonts w:cs="Times New Roman"/>
        <w:b w:val="0"/>
        <w:i w:val="0"/>
        <w:color w:val="000000"/>
      </w:rPr>
    </w:lvl>
    <w:lvl w:ilvl="8">
      <w:start w:val="1"/>
      <w:numFmt w:val="decimal"/>
      <w:lvlText w:val="%9"/>
      <w:lvlJc w:val="left"/>
      <w:pPr>
        <w:tabs>
          <w:tab w:val="num" w:pos="5103"/>
        </w:tabs>
        <w:ind w:left="5103" w:hanging="567"/>
      </w:pPr>
      <w:rPr>
        <w:rFonts w:cs="Times New Roman"/>
        <w:b w:val="0"/>
        <w:i w:val="0"/>
        <w:color w:val="000000"/>
      </w:rPr>
    </w:lvl>
  </w:abstractNum>
  <w:abstractNum w:abstractNumId="56" w15:restartNumberingAfterBreak="0">
    <w:nsid w:val="00000039"/>
    <w:multiLevelType w:val="multilevel"/>
    <w:tmpl w:val="0DFE1A6A"/>
    <w:name w:val="TableTextBullet"/>
    <w:lvl w:ilvl="0">
      <w:start w:val="1"/>
      <w:numFmt w:val="bullet"/>
      <w:pStyle w:val="TableTextBullet22"/>
      <w:lvlText w:val="•"/>
      <w:lvlJc w:val="left"/>
      <w:pPr>
        <w:tabs>
          <w:tab w:val="num" w:pos="284"/>
        </w:tabs>
        <w:ind w:left="284" w:hanging="284"/>
      </w:pPr>
      <w:rPr>
        <w:b w:val="0"/>
        <w:i w:val="0"/>
        <w:color w:val="000000"/>
      </w:rPr>
    </w:lvl>
    <w:lvl w:ilvl="1">
      <w:start w:val="1"/>
      <w:numFmt w:val="bullet"/>
      <w:pStyle w:val="TableTextDash22"/>
      <w:lvlText w:val="–"/>
      <w:lvlJc w:val="left"/>
      <w:pPr>
        <w:tabs>
          <w:tab w:val="num" w:pos="851"/>
        </w:tabs>
        <w:ind w:left="851" w:hanging="284"/>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57" w15:restartNumberingAfterBreak="0">
    <w:nsid w:val="0000003A"/>
    <w:multiLevelType w:val="hybridMultilevel"/>
    <w:tmpl w:val="9C6095D2"/>
    <w:lvl w:ilvl="0" w:tplc="AE709110">
      <w:start w:val="1"/>
      <w:numFmt w:val="bullet"/>
      <w:lvlText w:val=""/>
      <w:lvlJc w:val="left"/>
      <w:pPr>
        <w:ind w:left="360" w:hanging="360"/>
      </w:pPr>
      <w:rPr>
        <w:rFonts w:ascii="Symbol" w:hAnsi="Symbol" w:hint="default"/>
      </w:rPr>
    </w:lvl>
    <w:lvl w:ilvl="1" w:tplc="7606333C">
      <w:start w:val="1"/>
      <w:numFmt w:val="decimal"/>
      <w:lvlText w:val="%2."/>
      <w:lvlJc w:val="left"/>
      <w:pPr>
        <w:tabs>
          <w:tab w:val="num" w:pos="1440"/>
        </w:tabs>
        <w:ind w:left="1440" w:hanging="360"/>
      </w:pPr>
    </w:lvl>
    <w:lvl w:ilvl="2" w:tplc="DC3EB7F2">
      <w:start w:val="1"/>
      <w:numFmt w:val="decimal"/>
      <w:lvlText w:val="%3."/>
      <w:lvlJc w:val="left"/>
      <w:pPr>
        <w:tabs>
          <w:tab w:val="num" w:pos="2160"/>
        </w:tabs>
        <w:ind w:left="2160" w:hanging="360"/>
      </w:pPr>
    </w:lvl>
    <w:lvl w:ilvl="3" w:tplc="4AF87A74">
      <w:start w:val="1"/>
      <w:numFmt w:val="decimal"/>
      <w:lvlText w:val="%4."/>
      <w:lvlJc w:val="left"/>
      <w:pPr>
        <w:tabs>
          <w:tab w:val="num" w:pos="2880"/>
        </w:tabs>
        <w:ind w:left="2880" w:hanging="360"/>
      </w:pPr>
    </w:lvl>
    <w:lvl w:ilvl="4" w:tplc="593CA3A6">
      <w:start w:val="1"/>
      <w:numFmt w:val="decimal"/>
      <w:lvlText w:val="%5."/>
      <w:lvlJc w:val="left"/>
      <w:pPr>
        <w:tabs>
          <w:tab w:val="num" w:pos="3600"/>
        </w:tabs>
        <w:ind w:left="3600" w:hanging="360"/>
      </w:pPr>
    </w:lvl>
    <w:lvl w:ilvl="5" w:tplc="9D9E2FAA">
      <w:start w:val="1"/>
      <w:numFmt w:val="decimal"/>
      <w:lvlText w:val="%6."/>
      <w:lvlJc w:val="left"/>
      <w:pPr>
        <w:tabs>
          <w:tab w:val="num" w:pos="4320"/>
        </w:tabs>
        <w:ind w:left="4320" w:hanging="360"/>
      </w:pPr>
    </w:lvl>
    <w:lvl w:ilvl="6" w:tplc="DA7C62C4">
      <w:start w:val="1"/>
      <w:numFmt w:val="decimal"/>
      <w:lvlText w:val="%7."/>
      <w:lvlJc w:val="left"/>
      <w:pPr>
        <w:tabs>
          <w:tab w:val="num" w:pos="5040"/>
        </w:tabs>
        <w:ind w:left="5040" w:hanging="360"/>
      </w:pPr>
    </w:lvl>
    <w:lvl w:ilvl="7" w:tplc="627A56FE">
      <w:start w:val="1"/>
      <w:numFmt w:val="decimal"/>
      <w:lvlText w:val="%8."/>
      <w:lvlJc w:val="left"/>
      <w:pPr>
        <w:tabs>
          <w:tab w:val="num" w:pos="5760"/>
        </w:tabs>
        <w:ind w:left="5760" w:hanging="360"/>
      </w:pPr>
    </w:lvl>
    <w:lvl w:ilvl="8" w:tplc="A5D0C4E6">
      <w:start w:val="1"/>
      <w:numFmt w:val="decimal"/>
      <w:lvlText w:val="%9."/>
      <w:lvlJc w:val="left"/>
      <w:pPr>
        <w:tabs>
          <w:tab w:val="num" w:pos="6480"/>
        </w:tabs>
        <w:ind w:left="6480" w:hanging="360"/>
      </w:pPr>
    </w:lvl>
  </w:abstractNum>
  <w:abstractNum w:abstractNumId="58" w15:restartNumberingAfterBreak="0">
    <w:nsid w:val="0000003B"/>
    <w:multiLevelType w:val="multilevel"/>
    <w:tmpl w:val="0DFE1A6A"/>
    <w:name w:val="TableTextBullet"/>
    <w:lvl w:ilvl="0">
      <w:start w:val="1"/>
      <w:numFmt w:val="bullet"/>
      <w:pStyle w:val="TableTextBullet23"/>
      <w:lvlText w:val="•"/>
      <w:lvlJc w:val="left"/>
      <w:pPr>
        <w:tabs>
          <w:tab w:val="num" w:pos="284"/>
        </w:tabs>
        <w:ind w:left="284" w:hanging="284"/>
      </w:pPr>
      <w:rPr>
        <w:b w:val="0"/>
        <w:i w:val="0"/>
        <w:color w:val="000000"/>
      </w:rPr>
    </w:lvl>
    <w:lvl w:ilvl="1">
      <w:start w:val="1"/>
      <w:numFmt w:val="bullet"/>
      <w:pStyle w:val="TableTextDash23"/>
      <w:lvlText w:val="–"/>
      <w:lvlJc w:val="left"/>
      <w:pPr>
        <w:tabs>
          <w:tab w:val="num" w:pos="851"/>
        </w:tabs>
        <w:ind w:left="851" w:hanging="284"/>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59" w15:restartNumberingAfterBreak="0">
    <w:nsid w:val="0000003C"/>
    <w:multiLevelType w:val="hybridMultilevel"/>
    <w:tmpl w:val="15B04DE8"/>
    <w:lvl w:ilvl="0" w:tplc="41FE15D4">
      <w:start w:val="1"/>
      <w:numFmt w:val="bullet"/>
      <w:lvlText w:val=""/>
      <w:lvlJc w:val="left"/>
      <w:pPr>
        <w:ind w:left="360" w:hanging="360"/>
      </w:pPr>
      <w:rPr>
        <w:rFonts w:ascii="Symbol" w:hAnsi="Symbol" w:hint="default"/>
      </w:rPr>
    </w:lvl>
    <w:lvl w:ilvl="1" w:tplc="E5883A52">
      <w:start w:val="1"/>
      <w:numFmt w:val="decimal"/>
      <w:lvlText w:val="%2."/>
      <w:lvlJc w:val="left"/>
      <w:pPr>
        <w:tabs>
          <w:tab w:val="num" w:pos="1440"/>
        </w:tabs>
        <w:ind w:left="1440" w:hanging="360"/>
      </w:pPr>
    </w:lvl>
    <w:lvl w:ilvl="2" w:tplc="B83681E0">
      <w:start w:val="1"/>
      <w:numFmt w:val="decimal"/>
      <w:lvlText w:val="%3."/>
      <w:lvlJc w:val="left"/>
      <w:pPr>
        <w:tabs>
          <w:tab w:val="num" w:pos="2160"/>
        </w:tabs>
        <w:ind w:left="2160" w:hanging="360"/>
      </w:pPr>
    </w:lvl>
    <w:lvl w:ilvl="3" w:tplc="E084C182">
      <w:start w:val="1"/>
      <w:numFmt w:val="decimal"/>
      <w:lvlText w:val="%4."/>
      <w:lvlJc w:val="left"/>
      <w:pPr>
        <w:tabs>
          <w:tab w:val="num" w:pos="2880"/>
        </w:tabs>
        <w:ind w:left="2880" w:hanging="360"/>
      </w:pPr>
    </w:lvl>
    <w:lvl w:ilvl="4" w:tplc="22D6C1D4">
      <w:start w:val="1"/>
      <w:numFmt w:val="decimal"/>
      <w:lvlText w:val="%5."/>
      <w:lvlJc w:val="left"/>
      <w:pPr>
        <w:tabs>
          <w:tab w:val="num" w:pos="3600"/>
        </w:tabs>
        <w:ind w:left="3600" w:hanging="360"/>
      </w:pPr>
    </w:lvl>
    <w:lvl w:ilvl="5" w:tplc="7BFE5684">
      <w:start w:val="1"/>
      <w:numFmt w:val="decimal"/>
      <w:lvlText w:val="%6."/>
      <w:lvlJc w:val="left"/>
      <w:pPr>
        <w:tabs>
          <w:tab w:val="num" w:pos="4320"/>
        </w:tabs>
        <w:ind w:left="4320" w:hanging="360"/>
      </w:pPr>
    </w:lvl>
    <w:lvl w:ilvl="6" w:tplc="668432F0">
      <w:start w:val="1"/>
      <w:numFmt w:val="decimal"/>
      <w:lvlText w:val="%7."/>
      <w:lvlJc w:val="left"/>
      <w:pPr>
        <w:tabs>
          <w:tab w:val="num" w:pos="5040"/>
        </w:tabs>
        <w:ind w:left="5040" w:hanging="360"/>
      </w:pPr>
    </w:lvl>
    <w:lvl w:ilvl="7" w:tplc="A0708390">
      <w:start w:val="1"/>
      <w:numFmt w:val="decimal"/>
      <w:lvlText w:val="%8."/>
      <w:lvlJc w:val="left"/>
      <w:pPr>
        <w:tabs>
          <w:tab w:val="num" w:pos="5760"/>
        </w:tabs>
        <w:ind w:left="5760" w:hanging="360"/>
      </w:pPr>
    </w:lvl>
    <w:lvl w:ilvl="8" w:tplc="8F9270A0">
      <w:start w:val="1"/>
      <w:numFmt w:val="decimal"/>
      <w:lvlText w:val="%9."/>
      <w:lvlJc w:val="left"/>
      <w:pPr>
        <w:tabs>
          <w:tab w:val="num" w:pos="6480"/>
        </w:tabs>
        <w:ind w:left="6480" w:hanging="360"/>
      </w:pPr>
    </w:lvl>
  </w:abstractNum>
  <w:abstractNum w:abstractNumId="60" w15:restartNumberingAfterBreak="0">
    <w:nsid w:val="0000003D"/>
    <w:multiLevelType w:val="multilevel"/>
    <w:tmpl w:val="0DFE1A6A"/>
    <w:name w:val="TableTextBullet"/>
    <w:lvl w:ilvl="0">
      <w:start w:val="1"/>
      <w:numFmt w:val="bullet"/>
      <w:pStyle w:val="TableTextBullet24"/>
      <w:lvlText w:val="•"/>
      <w:lvlJc w:val="left"/>
      <w:pPr>
        <w:tabs>
          <w:tab w:val="num" w:pos="284"/>
        </w:tabs>
        <w:ind w:left="284" w:hanging="284"/>
      </w:pPr>
      <w:rPr>
        <w:b w:val="0"/>
        <w:i w:val="0"/>
        <w:color w:val="000000"/>
      </w:rPr>
    </w:lvl>
    <w:lvl w:ilvl="1">
      <w:start w:val="1"/>
      <w:numFmt w:val="bullet"/>
      <w:pStyle w:val="TableTextDash24"/>
      <w:lvlText w:val="–"/>
      <w:lvlJc w:val="left"/>
      <w:pPr>
        <w:tabs>
          <w:tab w:val="num" w:pos="851"/>
        </w:tabs>
        <w:ind w:left="851" w:hanging="284"/>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61" w15:restartNumberingAfterBreak="0">
    <w:nsid w:val="0000003E"/>
    <w:multiLevelType w:val="hybridMultilevel"/>
    <w:tmpl w:val="EA429852"/>
    <w:lvl w:ilvl="0" w:tplc="FA3C8656">
      <w:start w:val="1"/>
      <w:numFmt w:val="bullet"/>
      <w:lvlText w:val=""/>
      <w:lvlJc w:val="left"/>
      <w:pPr>
        <w:ind w:left="360" w:hanging="360"/>
      </w:pPr>
      <w:rPr>
        <w:rFonts w:ascii="Symbol" w:hAnsi="Symbol" w:hint="default"/>
      </w:rPr>
    </w:lvl>
    <w:lvl w:ilvl="1" w:tplc="FC388F4C">
      <w:start w:val="1"/>
      <w:numFmt w:val="decimal"/>
      <w:lvlText w:val="%2."/>
      <w:lvlJc w:val="left"/>
      <w:pPr>
        <w:tabs>
          <w:tab w:val="num" w:pos="1440"/>
        </w:tabs>
        <w:ind w:left="1440" w:hanging="360"/>
      </w:pPr>
    </w:lvl>
    <w:lvl w:ilvl="2" w:tplc="FD4E5F08">
      <w:start w:val="1"/>
      <w:numFmt w:val="decimal"/>
      <w:lvlText w:val="%3."/>
      <w:lvlJc w:val="left"/>
      <w:pPr>
        <w:tabs>
          <w:tab w:val="num" w:pos="2160"/>
        </w:tabs>
        <w:ind w:left="2160" w:hanging="360"/>
      </w:pPr>
    </w:lvl>
    <w:lvl w:ilvl="3" w:tplc="2C4E08A6">
      <w:start w:val="1"/>
      <w:numFmt w:val="decimal"/>
      <w:lvlText w:val="%4."/>
      <w:lvlJc w:val="left"/>
      <w:pPr>
        <w:tabs>
          <w:tab w:val="num" w:pos="2880"/>
        </w:tabs>
        <w:ind w:left="2880" w:hanging="360"/>
      </w:pPr>
    </w:lvl>
    <w:lvl w:ilvl="4" w:tplc="3CAE618E">
      <w:start w:val="1"/>
      <w:numFmt w:val="decimal"/>
      <w:lvlText w:val="%5."/>
      <w:lvlJc w:val="left"/>
      <w:pPr>
        <w:tabs>
          <w:tab w:val="num" w:pos="3600"/>
        </w:tabs>
        <w:ind w:left="3600" w:hanging="360"/>
      </w:pPr>
    </w:lvl>
    <w:lvl w:ilvl="5" w:tplc="F3606440">
      <w:start w:val="1"/>
      <w:numFmt w:val="decimal"/>
      <w:lvlText w:val="%6."/>
      <w:lvlJc w:val="left"/>
      <w:pPr>
        <w:tabs>
          <w:tab w:val="num" w:pos="4320"/>
        </w:tabs>
        <w:ind w:left="4320" w:hanging="360"/>
      </w:pPr>
    </w:lvl>
    <w:lvl w:ilvl="6" w:tplc="8640AC98">
      <w:start w:val="1"/>
      <w:numFmt w:val="decimal"/>
      <w:lvlText w:val="%7."/>
      <w:lvlJc w:val="left"/>
      <w:pPr>
        <w:tabs>
          <w:tab w:val="num" w:pos="5040"/>
        </w:tabs>
        <w:ind w:left="5040" w:hanging="360"/>
      </w:pPr>
    </w:lvl>
    <w:lvl w:ilvl="7" w:tplc="DB2CB08E">
      <w:start w:val="1"/>
      <w:numFmt w:val="decimal"/>
      <w:lvlText w:val="%8."/>
      <w:lvlJc w:val="left"/>
      <w:pPr>
        <w:tabs>
          <w:tab w:val="num" w:pos="5760"/>
        </w:tabs>
        <w:ind w:left="5760" w:hanging="360"/>
      </w:pPr>
    </w:lvl>
    <w:lvl w:ilvl="8" w:tplc="D89C5F36">
      <w:start w:val="1"/>
      <w:numFmt w:val="decimal"/>
      <w:lvlText w:val="%9."/>
      <w:lvlJc w:val="left"/>
      <w:pPr>
        <w:tabs>
          <w:tab w:val="num" w:pos="6480"/>
        </w:tabs>
        <w:ind w:left="6480" w:hanging="360"/>
      </w:pPr>
    </w:lvl>
  </w:abstractNum>
  <w:abstractNum w:abstractNumId="62" w15:restartNumberingAfterBreak="0">
    <w:nsid w:val="0000003F"/>
    <w:multiLevelType w:val="hybridMultilevel"/>
    <w:tmpl w:val="5B843198"/>
    <w:lvl w:ilvl="0" w:tplc="6D6E8F9C">
      <w:start w:val="1"/>
      <w:numFmt w:val="bullet"/>
      <w:lvlText w:val=""/>
      <w:lvlJc w:val="left"/>
      <w:pPr>
        <w:ind w:left="360" w:hanging="360"/>
      </w:pPr>
      <w:rPr>
        <w:rFonts w:ascii="Symbol" w:hAnsi="Symbol" w:hint="default"/>
      </w:rPr>
    </w:lvl>
    <w:lvl w:ilvl="1" w:tplc="FFBC6B24">
      <w:start w:val="1"/>
      <w:numFmt w:val="decimal"/>
      <w:lvlText w:val="%2."/>
      <w:lvlJc w:val="left"/>
      <w:pPr>
        <w:tabs>
          <w:tab w:val="num" w:pos="1440"/>
        </w:tabs>
        <w:ind w:left="1440" w:hanging="360"/>
      </w:pPr>
    </w:lvl>
    <w:lvl w:ilvl="2" w:tplc="E540769A">
      <w:start w:val="1"/>
      <w:numFmt w:val="decimal"/>
      <w:lvlText w:val="%3."/>
      <w:lvlJc w:val="left"/>
      <w:pPr>
        <w:tabs>
          <w:tab w:val="num" w:pos="2160"/>
        </w:tabs>
        <w:ind w:left="2160" w:hanging="360"/>
      </w:pPr>
    </w:lvl>
    <w:lvl w:ilvl="3" w:tplc="594AF730">
      <w:start w:val="1"/>
      <w:numFmt w:val="decimal"/>
      <w:lvlText w:val="%4."/>
      <w:lvlJc w:val="left"/>
      <w:pPr>
        <w:tabs>
          <w:tab w:val="num" w:pos="2880"/>
        </w:tabs>
        <w:ind w:left="2880" w:hanging="360"/>
      </w:pPr>
    </w:lvl>
    <w:lvl w:ilvl="4" w:tplc="A89AC66C">
      <w:start w:val="1"/>
      <w:numFmt w:val="decimal"/>
      <w:lvlText w:val="%5."/>
      <w:lvlJc w:val="left"/>
      <w:pPr>
        <w:tabs>
          <w:tab w:val="num" w:pos="3600"/>
        </w:tabs>
        <w:ind w:left="3600" w:hanging="360"/>
      </w:pPr>
    </w:lvl>
    <w:lvl w:ilvl="5" w:tplc="D31A3A68">
      <w:start w:val="1"/>
      <w:numFmt w:val="decimal"/>
      <w:lvlText w:val="%6."/>
      <w:lvlJc w:val="left"/>
      <w:pPr>
        <w:tabs>
          <w:tab w:val="num" w:pos="4320"/>
        </w:tabs>
        <w:ind w:left="4320" w:hanging="360"/>
      </w:pPr>
    </w:lvl>
    <w:lvl w:ilvl="6" w:tplc="202CB33C">
      <w:start w:val="1"/>
      <w:numFmt w:val="decimal"/>
      <w:lvlText w:val="%7."/>
      <w:lvlJc w:val="left"/>
      <w:pPr>
        <w:tabs>
          <w:tab w:val="num" w:pos="5040"/>
        </w:tabs>
        <w:ind w:left="5040" w:hanging="360"/>
      </w:pPr>
    </w:lvl>
    <w:lvl w:ilvl="7" w:tplc="B6902582">
      <w:start w:val="1"/>
      <w:numFmt w:val="decimal"/>
      <w:lvlText w:val="%8."/>
      <w:lvlJc w:val="left"/>
      <w:pPr>
        <w:tabs>
          <w:tab w:val="num" w:pos="5760"/>
        </w:tabs>
        <w:ind w:left="5760" w:hanging="360"/>
      </w:pPr>
    </w:lvl>
    <w:lvl w:ilvl="8" w:tplc="6248B83C">
      <w:start w:val="1"/>
      <w:numFmt w:val="decimal"/>
      <w:lvlText w:val="%9."/>
      <w:lvlJc w:val="left"/>
      <w:pPr>
        <w:tabs>
          <w:tab w:val="num" w:pos="6480"/>
        </w:tabs>
        <w:ind w:left="6480" w:hanging="360"/>
      </w:pPr>
    </w:lvl>
  </w:abstractNum>
  <w:abstractNum w:abstractNumId="63" w15:restartNumberingAfterBreak="0">
    <w:nsid w:val="00000040"/>
    <w:multiLevelType w:val="multilevel"/>
    <w:tmpl w:val="0DFE1A6A"/>
    <w:name w:val="TableTextBullet"/>
    <w:lvl w:ilvl="0">
      <w:start w:val="1"/>
      <w:numFmt w:val="bullet"/>
      <w:pStyle w:val="TableTextBullet25"/>
      <w:lvlText w:val="•"/>
      <w:lvlJc w:val="left"/>
      <w:pPr>
        <w:tabs>
          <w:tab w:val="num" w:pos="284"/>
        </w:tabs>
        <w:ind w:left="284" w:hanging="284"/>
      </w:pPr>
      <w:rPr>
        <w:b w:val="0"/>
        <w:i w:val="0"/>
        <w:color w:val="000000"/>
      </w:rPr>
    </w:lvl>
    <w:lvl w:ilvl="1">
      <w:start w:val="1"/>
      <w:numFmt w:val="bullet"/>
      <w:pStyle w:val="TableTextDash25"/>
      <w:lvlText w:val="–"/>
      <w:lvlJc w:val="left"/>
      <w:pPr>
        <w:tabs>
          <w:tab w:val="num" w:pos="851"/>
        </w:tabs>
        <w:ind w:left="851" w:hanging="284"/>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64" w15:restartNumberingAfterBreak="0">
    <w:nsid w:val="00000041"/>
    <w:multiLevelType w:val="hybridMultilevel"/>
    <w:tmpl w:val="CA0E068C"/>
    <w:lvl w:ilvl="0" w:tplc="A0265238">
      <w:start w:val="1"/>
      <w:numFmt w:val="bullet"/>
      <w:lvlText w:val=""/>
      <w:lvlJc w:val="left"/>
      <w:pPr>
        <w:ind w:left="360" w:hanging="360"/>
      </w:pPr>
      <w:rPr>
        <w:rFonts w:ascii="Symbol" w:hAnsi="Symbol" w:hint="default"/>
      </w:rPr>
    </w:lvl>
    <w:lvl w:ilvl="1" w:tplc="915ACDE4">
      <w:start w:val="1"/>
      <w:numFmt w:val="decimal"/>
      <w:lvlText w:val="%2."/>
      <w:lvlJc w:val="left"/>
      <w:pPr>
        <w:tabs>
          <w:tab w:val="num" w:pos="1440"/>
        </w:tabs>
        <w:ind w:left="1440" w:hanging="360"/>
      </w:pPr>
    </w:lvl>
    <w:lvl w:ilvl="2" w:tplc="39109D60">
      <w:start w:val="1"/>
      <w:numFmt w:val="decimal"/>
      <w:lvlText w:val="%3."/>
      <w:lvlJc w:val="left"/>
      <w:pPr>
        <w:tabs>
          <w:tab w:val="num" w:pos="2160"/>
        </w:tabs>
        <w:ind w:left="2160" w:hanging="360"/>
      </w:pPr>
    </w:lvl>
    <w:lvl w:ilvl="3" w:tplc="07747106">
      <w:start w:val="1"/>
      <w:numFmt w:val="decimal"/>
      <w:lvlText w:val="%4."/>
      <w:lvlJc w:val="left"/>
      <w:pPr>
        <w:tabs>
          <w:tab w:val="num" w:pos="2880"/>
        </w:tabs>
        <w:ind w:left="2880" w:hanging="360"/>
      </w:pPr>
    </w:lvl>
    <w:lvl w:ilvl="4" w:tplc="52526AE6">
      <w:start w:val="1"/>
      <w:numFmt w:val="decimal"/>
      <w:lvlText w:val="%5."/>
      <w:lvlJc w:val="left"/>
      <w:pPr>
        <w:tabs>
          <w:tab w:val="num" w:pos="3600"/>
        </w:tabs>
        <w:ind w:left="3600" w:hanging="360"/>
      </w:pPr>
    </w:lvl>
    <w:lvl w:ilvl="5" w:tplc="5D109F4E">
      <w:start w:val="1"/>
      <w:numFmt w:val="decimal"/>
      <w:lvlText w:val="%6."/>
      <w:lvlJc w:val="left"/>
      <w:pPr>
        <w:tabs>
          <w:tab w:val="num" w:pos="4320"/>
        </w:tabs>
        <w:ind w:left="4320" w:hanging="360"/>
      </w:pPr>
    </w:lvl>
    <w:lvl w:ilvl="6" w:tplc="F18296BE">
      <w:start w:val="1"/>
      <w:numFmt w:val="decimal"/>
      <w:lvlText w:val="%7."/>
      <w:lvlJc w:val="left"/>
      <w:pPr>
        <w:tabs>
          <w:tab w:val="num" w:pos="5040"/>
        </w:tabs>
        <w:ind w:left="5040" w:hanging="360"/>
      </w:pPr>
    </w:lvl>
    <w:lvl w:ilvl="7" w:tplc="8892EFAC">
      <w:start w:val="1"/>
      <w:numFmt w:val="decimal"/>
      <w:lvlText w:val="%8."/>
      <w:lvlJc w:val="left"/>
      <w:pPr>
        <w:tabs>
          <w:tab w:val="num" w:pos="5760"/>
        </w:tabs>
        <w:ind w:left="5760" w:hanging="360"/>
      </w:pPr>
    </w:lvl>
    <w:lvl w:ilvl="8" w:tplc="5A26B762">
      <w:start w:val="1"/>
      <w:numFmt w:val="decimal"/>
      <w:lvlText w:val="%9."/>
      <w:lvlJc w:val="left"/>
      <w:pPr>
        <w:tabs>
          <w:tab w:val="num" w:pos="6480"/>
        </w:tabs>
        <w:ind w:left="6480" w:hanging="360"/>
      </w:pPr>
    </w:lvl>
  </w:abstractNum>
  <w:abstractNum w:abstractNumId="65" w15:restartNumberingAfterBreak="0">
    <w:nsid w:val="00000042"/>
    <w:multiLevelType w:val="hybridMultilevel"/>
    <w:tmpl w:val="45B45A76"/>
    <w:lvl w:ilvl="0" w:tplc="C30AF17C">
      <w:start w:val="1"/>
      <w:numFmt w:val="bullet"/>
      <w:lvlText w:val=""/>
      <w:lvlJc w:val="left"/>
      <w:pPr>
        <w:ind w:left="360" w:hanging="360"/>
      </w:pPr>
      <w:rPr>
        <w:rFonts w:ascii="Symbol" w:hAnsi="Symbol" w:hint="default"/>
      </w:rPr>
    </w:lvl>
    <w:lvl w:ilvl="1" w:tplc="CBB8C76A">
      <w:start w:val="1"/>
      <w:numFmt w:val="decimal"/>
      <w:lvlText w:val="%2."/>
      <w:lvlJc w:val="left"/>
      <w:pPr>
        <w:tabs>
          <w:tab w:val="num" w:pos="1440"/>
        </w:tabs>
        <w:ind w:left="1440" w:hanging="360"/>
      </w:pPr>
    </w:lvl>
    <w:lvl w:ilvl="2" w:tplc="CFE055E0">
      <w:start w:val="1"/>
      <w:numFmt w:val="decimal"/>
      <w:lvlText w:val="%3."/>
      <w:lvlJc w:val="left"/>
      <w:pPr>
        <w:tabs>
          <w:tab w:val="num" w:pos="2160"/>
        </w:tabs>
        <w:ind w:left="2160" w:hanging="360"/>
      </w:pPr>
    </w:lvl>
    <w:lvl w:ilvl="3" w:tplc="C2747A84">
      <w:start w:val="1"/>
      <w:numFmt w:val="decimal"/>
      <w:lvlText w:val="%4."/>
      <w:lvlJc w:val="left"/>
      <w:pPr>
        <w:tabs>
          <w:tab w:val="num" w:pos="2880"/>
        </w:tabs>
        <w:ind w:left="2880" w:hanging="360"/>
      </w:pPr>
    </w:lvl>
    <w:lvl w:ilvl="4" w:tplc="8658633E">
      <w:start w:val="1"/>
      <w:numFmt w:val="decimal"/>
      <w:lvlText w:val="%5."/>
      <w:lvlJc w:val="left"/>
      <w:pPr>
        <w:tabs>
          <w:tab w:val="num" w:pos="3600"/>
        </w:tabs>
        <w:ind w:left="3600" w:hanging="360"/>
      </w:pPr>
    </w:lvl>
    <w:lvl w:ilvl="5" w:tplc="C584D21A">
      <w:start w:val="1"/>
      <w:numFmt w:val="decimal"/>
      <w:lvlText w:val="%6."/>
      <w:lvlJc w:val="left"/>
      <w:pPr>
        <w:tabs>
          <w:tab w:val="num" w:pos="4320"/>
        </w:tabs>
        <w:ind w:left="4320" w:hanging="360"/>
      </w:pPr>
    </w:lvl>
    <w:lvl w:ilvl="6" w:tplc="F01CE54A">
      <w:start w:val="1"/>
      <w:numFmt w:val="decimal"/>
      <w:lvlText w:val="%7."/>
      <w:lvlJc w:val="left"/>
      <w:pPr>
        <w:tabs>
          <w:tab w:val="num" w:pos="5040"/>
        </w:tabs>
        <w:ind w:left="5040" w:hanging="360"/>
      </w:pPr>
    </w:lvl>
    <w:lvl w:ilvl="7" w:tplc="DE0E5BFE">
      <w:start w:val="1"/>
      <w:numFmt w:val="decimal"/>
      <w:lvlText w:val="%8."/>
      <w:lvlJc w:val="left"/>
      <w:pPr>
        <w:tabs>
          <w:tab w:val="num" w:pos="5760"/>
        </w:tabs>
        <w:ind w:left="5760" w:hanging="360"/>
      </w:pPr>
    </w:lvl>
    <w:lvl w:ilvl="8" w:tplc="A104AF72">
      <w:start w:val="1"/>
      <w:numFmt w:val="decimal"/>
      <w:lvlText w:val="%9."/>
      <w:lvlJc w:val="left"/>
      <w:pPr>
        <w:tabs>
          <w:tab w:val="num" w:pos="6480"/>
        </w:tabs>
        <w:ind w:left="6480" w:hanging="360"/>
      </w:pPr>
    </w:lvl>
  </w:abstractNum>
  <w:abstractNum w:abstractNumId="66" w15:restartNumberingAfterBreak="0">
    <w:nsid w:val="00000043"/>
    <w:multiLevelType w:val="multilevel"/>
    <w:tmpl w:val="0DFE1A6A"/>
    <w:name w:val="TableTextBullet"/>
    <w:lvl w:ilvl="0">
      <w:start w:val="1"/>
      <w:numFmt w:val="bullet"/>
      <w:pStyle w:val="TableTextBullet26"/>
      <w:lvlText w:val="•"/>
      <w:lvlJc w:val="left"/>
      <w:pPr>
        <w:tabs>
          <w:tab w:val="num" w:pos="284"/>
        </w:tabs>
        <w:ind w:left="284" w:hanging="284"/>
      </w:pPr>
      <w:rPr>
        <w:b w:val="0"/>
        <w:i w:val="0"/>
        <w:color w:val="000000"/>
      </w:rPr>
    </w:lvl>
    <w:lvl w:ilvl="1">
      <w:start w:val="1"/>
      <w:numFmt w:val="bullet"/>
      <w:pStyle w:val="TableTextDash26"/>
      <w:lvlText w:val="–"/>
      <w:lvlJc w:val="left"/>
      <w:pPr>
        <w:tabs>
          <w:tab w:val="num" w:pos="851"/>
        </w:tabs>
        <w:ind w:left="851" w:hanging="284"/>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67" w15:restartNumberingAfterBreak="0">
    <w:nsid w:val="00000044"/>
    <w:multiLevelType w:val="hybridMultilevel"/>
    <w:tmpl w:val="1A6882BC"/>
    <w:lvl w:ilvl="0" w:tplc="92E4B1C0">
      <w:start w:val="1"/>
      <w:numFmt w:val="bullet"/>
      <w:lvlText w:val=""/>
      <w:lvlJc w:val="left"/>
      <w:pPr>
        <w:ind w:left="360" w:hanging="360"/>
      </w:pPr>
      <w:rPr>
        <w:rFonts w:ascii="Symbol" w:hAnsi="Symbol" w:hint="default"/>
      </w:rPr>
    </w:lvl>
    <w:lvl w:ilvl="1" w:tplc="B7246B46">
      <w:start w:val="1"/>
      <w:numFmt w:val="decimal"/>
      <w:lvlText w:val="%2."/>
      <w:lvlJc w:val="left"/>
      <w:pPr>
        <w:tabs>
          <w:tab w:val="num" w:pos="1440"/>
        </w:tabs>
        <w:ind w:left="1440" w:hanging="360"/>
      </w:pPr>
    </w:lvl>
    <w:lvl w:ilvl="2" w:tplc="E4D2D670">
      <w:start w:val="1"/>
      <w:numFmt w:val="decimal"/>
      <w:lvlText w:val="%3."/>
      <w:lvlJc w:val="left"/>
      <w:pPr>
        <w:tabs>
          <w:tab w:val="num" w:pos="2160"/>
        </w:tabs>
        <w:ind w:left="2160" w:hanging="360"/>
      </w:pPr>
    </w:lvl>
    <w:lvl w:ilvl="3" w:tplc="47E806B0">
      <w:start w:val="1"/>
      <w:numFmt w:val="decimal"/>
      <w:lvlText w:val="%4."/>
      <w:lvlJc w:val="left"/>
      <w:pPr>
        <w:tabs>
          <w:tab w:val="num" w:pos="2880"/>
        </w:tabs>
        <w:ind w:left="2880" w:hanging="360"/>
      </w:pPr>
    </w:lvl>
    <w:lvl w:ilvl="4" w:tplc="04E64C88">
      <w:start w:val="1"/>
      <w:numFmt w:val="decimal"/>
      <w:lvlText w:val="%5."/>
      <w:lvlJc w:val="left"/>
      <w:pPr>
        <w:tabs>
          <w:tab w:val="num" w:pos="3600"/>
        </w:tabs>
        <w:ind w:left="3600" w:hanging="360"/>
      </w:pPr>
    </w:lvl>
    <w:lvl w:ilvl="5" w:tplc="84D69D58">
      <w:start w:val="1"/>
      <w:numFmt w:val="decimal"/>
      <w:lvlText w:val="%6."/>
      <w:lvlJc w:val="left"/>
      <w:pPr>
        <w:tabs>
          <w:tab w:val="num" w:pos="4320"/>
        </w:tabs>
        <w:ind w:left="4320" w:hanging="360"/>
      </w:pPr>
    </w:lvl>
    <w:lvl w:ilvl="6" w:tplc="D0BC4842">
      <w:start w:val="1"/>
      <w:numFmt w:val="decimal"/>
      <w:lvlText w:val="%7."/>
      <w:lvlJc w:val="left"/>
      <w:pPr>
        <w:tabs>
          <w:tab w:val="num" w:pos="5040"/>
        </w:tabs>
        <w:ind w:left="5040" w:hanging="360"/>
      </w:pPr>
    </w:lvl>
    <w:lvl w:ilvl="7" w:tplc="A3081C28">
      <w:start w:val="1"/>
      <w:numFmt w:val="decimal"/>
      <w:lvlText w:val="%8."/>
      <w:lvlJc w:val="left"/>
      <w:pPr>
        <w:tabs>
          <w:tab w:val="num" w:pos="5760"/>
        </w:tabs>
        <w:ind w:left="5760" w:hanging="360"/>
      </w:pPr>
    </w:lvl>
    <w:lvl w:ilvl="8" w:tplc="715EAB50">
      <w:start w:val="1"/>
      <w:numFmt w:val="decimal"/>
      <w:lvlText w:val="%9."/>
      <w:lvlJc w:val="left"/>
      <w:pPr>
        <w:tabs>
          <w:tab w:val="num" w:pos="6480"/>
        </w:tabs>
        <w:ind w:left="6480" w:hanging="360"/>
      </w:pPr>
    </w:lvl>
  </w:abstractNum>
  <w:abstractNum w:abstractNumId="68" w15:restartNumberingAfterBreak="0">
    <w:nsid w:val="00000045"/>
    <w:multiLevelType w:val="multilevel"/>
    <w:tmpl w:val="0DFE1A6A"/>
    <w:name w:val="TableTextBullet"/>
    <w:lvl w:ilvl="0">
      <w:start w:val="1"/>
      <w:numFmt w:val="bullet"/>
      <w:pStyle w:val="TableTextBullet27"/>
      <w:lvlText w:val="•"/>
      <w:lvlJc w:val="left"/>
      <w:pPr>
        <w:tabs>
          <w:tab w:val="num" w:pos="284"/>
        </w:tabs>
        <w:ind w:left="284" w:hanging="284"/>
      </w:pPr>
      <w:rPr>
        <w:b w:val="0"/>
        <w:i w:val="0"/>
        <w:color w:val="000000"/>
      </w:rPr>
    </w:lvl>
    <w:lvl w:ilvl="1">
      <w:start w:val="1"/>
      <w:numFmt w:val="bullet"/>
      <w:pStyle w:val="TableTextDash27"/>
      <w:lvlText w:val="–"/>
      <w:lvlJc w:val="left"/>
      <w:pPr>
        <w:tabs>
          <w:tab w:val="num" w:pos="851"/>
        </w:tabs>
        <w:ind w:left="851" w:hanging="284"/>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69" w15:restartNumberingAfterBreak="0">
    <w:nsid w:val="00000046"/>
    <w:multiLevelType w:val="hybridMultilevel"/>
    <w:tmpl w:val="A56A5332"/>
    <w:lvl w:ilvl="0" w:tplc="32CE6700">
      <w:start w:val="1"/>
      <w:numFmt w:val="bullet"/>
      <w:lvlText w:val=""/>
      <w:lvlJc w:val="left"/>
      <w:pPr>
        <w:ind w:left="360" w:hanging="360"/>
      </w:pPr>
      <w:rPr>
        <w:rFonts w:ascii="Symbol" w:hAnsi="Symbol" w:hint="default"/>
      </w:rPr>
    </w:lvl>
    <w:lvl w:ilvl="1" w:tplc="E9785990">
      <w:start w:val="1"/>
      <w:numFmt w:val="decimal"/>
      <w:lvlText w:val="%2."/>
      <w:lvlJc w:val="left"/>
      <w:pPr>
        <w:tabs>
          <w:tab w:val="num" w:pos="1440"/>
        </w:tabs>
        <w:ind w:left="1440" w:hanging="360"/>
      </w:pPr>
    </w:lvl>
    <w:lvl w:ilvl="2" w:tplc="47A28FB8">
      <w:start w:val="1"/>
      <w:numFmt w:val="decimal"/>
      <w:lvlText w:val="%3."/>
      <w:lvlJc w:val="left"/>
      <w:pPr>
        <w:tabs>
          <w:tab w:val="num" w:pos="2160"/>
        </w:tabs>
        <w:ind w:left="2160" w:hanging="360"/>
      </w:pPr>
    </w:lvl>
    <w:lvl w:ilvl="3" w:tplc="0E60F34A">
      <w:start w:val="1"/>
      <w:numFmt w:val="decimal"/>
      <w:lvlText w:val="%4."/>
      <w:lvlJc w:val="left"/>
      <w:pPr>
        <w:tabs>
          <w:tab w:val="num" w:pos="2880"/>
        </w:tabs>
        <w:ind w:left="2880" w:hanging="360"/>
      </w:pPr>
    </w:lvl>
    <w:lvl w:ilvl="4" w:tplc="FB823156">
      <w:start w:val="1"/>
      <w:numFmt w:val="decimal"/>
      <w:lvlText w:val="%5."/>
      <w:lvlJc w:val="left"/>
      <w:pPr>
        <w:tabs>
          <w:tab w:val="num" w:pos="3600"/>
        </w:tabs>
        <w:ind w:left="3600" w:hanging="360"/>
      </w:pPr>
    </w:lvl>
    <w:lvl w:ilvl="5" w:tplc="16700B0C">
      <w:start w:val="1"/>
      <w:numFmt w:val="decimal"/>
      <w:lvlText w:val="%6."/>
      <w:lvlJc w:val="left"/>
      <w:pPr>
        <w:tabs>
          <w:tab w:val="num" w:pos="4320"/>
        </w:tabs>
        <w:ind w:left="4320" w:hanging="360"/>
      </w:pPr>
    </w:lvl>
    <w:lvl w:ilvl="6" w:tplc="067287A6">
      <w:start w:val="1"/>
      <w:numFmt w:val="decimal"/>
      <w:lvlText w:val="%7."/>
      <w:lvlJc w:val="left"/>
      <w:pPr>
        <w:tabs>
          <w:tab w:val="num" w:pos="5040"/>
        </w:tabs>
        <w:ind w:left="5040" w:hanging="360"/>
      </w:pPr>
    </w:lvl>
    <w:lvl w:ilvl="7" w:tplc="635E9DA6">
      <w:start w:val="1"/>
      <w:numFmt w:val="decimal"/>
      <w:lvlText w:val="%8."/>
      <w:lvlJc w:val="left"/>
      <w:pPr>
        <w:tabs>
          <w:tab w:val="num" w:pos="5760"/>
        </w:tabs>
        <w:ind w:left="5760" w:hanging="360"/>
      </w:pPr>
    </w:lvl>
    <w:lvl w:ilvl="8" w:tplc="996E9D72">
      <w:start w:val="1"/>
      <w:numFmt w:val="decimal"/>
      <w:lvlText w:val="%9."/>
      <w:lvlJc w:val="left"/>
      <w:pPr>
        <w:tabs>
          <w:tab w:val="num" w:pos="6480"/>
        </w:tabs>
        <w:ind w:left="6480" w:hanging="360"/>
      </w:pPr>
    </w:lvl>
  </w:abstractNum>
  <w:abstractNum w:abstractNumId="70" w15:restartNumberingAfterBreak="0">
    <w:nsid w:val="00000047"/>
    <w:multiLevelType w:val="hybridMultilevel"/>
    <w:tmpl w:val="63D2E8AE"/>
    <w:lvl w:ilvl="0" w:tplc="9B7C8244">
      <w:start w:val="1"/>
      <w:numFmt w:val="bullet"/>
      <w:lvlText w:val=""/>
      <w:lvlJc w:val="left"/>
      <w:pPr>
        <w:ind w:left="360" w:hanging="360"/>
      </w:pPr>
      <w:rPr>
        <w:rFonts w:ascii="Symbol" w:hAnsi="Symbol" w:hint="default"/>
      </w:rPr>
    </w:lvl>
    <w:lvl w:ilvl="1" w:tplc="C94287A8">
      <w:start w:val="1"/>
      <w:numFmt w:val="decimal"/>
      <w:lvlText w:val="%2."/>
      <w:lvlJc w:val="left"/>
      <w:pPr>
        <w:tabs>
          <w:tab w:val="num" w:pos="1440"/>
        </w:tabs>
        <w:ind w:left="1440" w:hanging="360"/>
      </w:pPr>
    </w:lvl>
    <w:lvl w:ilvl="2" w:tplc="A26A405A">
      <w:start w:val="1"/>
      <w:numFmt w:val="decimal"/>
      <w:lvlText w:val="%3."/>
      <w:lvlJc w:val="left"/>
      <w:pPr>
        <w:tabs>
          <w:tab w:val="num" w:pos="2160"/>
        </w:tabs>
        <w:ind w:left="2160" w:hanging="360"/>
      </w:pPr>
    </w:lvl>
    <w:lvl w:ilvl="3" w:tplc="362EC980">
      <w:start w:val="1"/>
      <w:numFmt w:val="decimal"/>
      <w:lvlText w:val="%4."/>
      <w:lvlJc w:val="left"/>
      <w:pPr>
        <w:tabs>
          <w:tab w:val="num" w:pos="2880"/>
        </w:tabs>
        <w:ind w:left="2880" w:hanging="360"/>
      </w:pPr>
    </w:lvl>
    <w:lvl w:ilvl="4" w:tplc="E864DCFA">
      <w:start w:val="1"/>
      <w:numFmt w:val="decimal"/>
      <w:lvlText w:val="%5."/>
      <w:lvlJc w:val="left"/>
      <w:pPr>
        <w:tabs>
          <w:tab w:val="num" w:pos="3600"/>
        </w:tabs>
        <w:ind w:left="3600" w:hanging="360"/>
      </w:pPr>
    </w:lvl>
    <w:lvl w:ilvl="5" w:tplc="ECC49FB6">
      <w:start w:val="1"/>
      <w:numFmt w:val="decimal"/>
      <w:lvlText w:val="%6."/>
      <w:lvlJc w:val="left"/>
      <w:pPr>
        <w:tabs>
          <w:tab w:val="num" w:pos="4320"/>
        </w:tabs>
        <w:ind w:left="4320" w:hanging="360"/>
      </w:pPr>
    </w:lvl>
    <w:lvl w:ilvl="6" w:tplc="8972520E">
      <w:start w:val="1"/>
      <w:numFmt w:val="decimal"/>
      <w:lvlText w:val="%7."/>
      <w:lvlJc w:val="left"/>
      <w:pPr>
        <w:tabs>
          <w:tab w:val="num" w:pos="5040"/>
        </w:tabs>
        <w:ind w:left="5040" w:hanging="360"/>
      </w:pPr>
    </w:lvl>
    <w:lvl w:ilvl="7" w:tplc="629A1AA4">
      <w:start w:val="1"/>
      <w:numFmt w:val="decimal"/>
      <w:lvlText w:val="%8."/>
      <w:lvlJc w:val="left"/>
      <w:pPr>
        <w:tabs>
          <w:tab w:val="num" w:pos="5760"/>
        </w:tabs>
        <w:ind w:left="5760" w:hanging="360"/>
      </w:pPr>
    </w:lvl>
    <w:lvl w:ilvl="8" w:tplc="5EB81108">
      <w:start w:val="1"/>
      <w:numFmt w:val="decimal"/>
      <w:lvlText w:val="%9."/>
      <w:lvlJc w:val="left"/>
      <w:pPr>
        <w:tabs>
          <w:tab w:val="num" w:pos="6480"/>
        </w:tabs>
        <w:ind w:left="6480" w:hanging="360"/>
      </w:pPr>
    </w:lvl>
  </w:abstractNum>
  <w:abstractNum w:abstractNumId="71" w15:restartNumberingAfterBreak="0">
    <w:nsid w:val="00000048"/>
    <w:multiLevelType w:val="hybridMultilevel"/>
    <w:tmpl w:val="A5321600"/>
    <w:lvl w:ilvl="0" w:tplc="42D6A086">
      <w:start w:val="1"/>
      <w:numFmt w:val="decimal"/>
      <w:lvlText w:val="%1."/>
      <w:lvlJc w:val="left"/>
      <w:pPr>
        <w:ind w:left="720" w:hanging="360"/>
      </w:pPr>
    </w:lvl>
    <w:lvl w:ilvl="1" w:tplc="BB36B6CA">
      <w:start w:val="1"/>
      <w:numFmt w:val="lowerLetter"/>
      <w:lvlText w:val="%2."/>
      <w:lvlJc w:val="left"/>
      <w:pPr>
        <w:ind w:left="1440" w:hanging="360"/>
      </w:pPr>
      <w:rPr>
        <w:rFonts w:ascii="Arial" w:hAnsi="Arial" w:cs="Arial" w:hint="default"/>
        <w:sz w:val="18"/>
        <w:szCs w:val="18"/>
      </w:rPr>
    </w:lvl>
    <w:lvl w:ilvl="2" w:tplc="E5D0E694">
      <w:start w:val="1"/>
      <w:numFmt w:val="decimal"/>
      <w:lvlText w:val="%3."/>
      <w:lvlJc w:val="left"/>
      <w:pPr>
        <w:tabs>
          <w:tab w:val="num" w:pos="2160"/>
        </w:tabs>
        <w:ind w:left="2160" w:hanging="360"/>
      </w:pPr>
    </w:lvl>
    <w:lvl w:ilvl="3" w:tplc="782E16A4">
      <w:start w:val="1"/>
      <w:numFmt w:val="decimal"/>
      <w:lvlText w:val="%4."/>
      <w:lvlJc w:val="left"/>
      <w:pPr>
        <w:tabs>
          <w:tab w:val="num" w:pos="2880"/>
        </w:tabs>
        <w:ind w:left="2880" w:hanging="360"/>
      </w:pPr>
    </w:lvl>
    <w:lvl w:ilvl="4" w:tplc="F252FA86">
      <w:start w:val="1"/>
      <w:numFmt w:val="decimal"/>
      <w:lvlText w:val="%5."/>
      <w:lvlJc w:val="left"/>
      <w:pPr>
        <w:tabs>
          <w:tab w:val="num" w:pos="3600"/>
        </w:tabs>
        <w:ind w:left="3600" w:hanging="360"/>
      </w:pPr>
    </w:lvl>
    <w:lvl w:ilvl="5" w:tplc="8FFC599A">
      <w:start w:val="1"/>
      <w:numFmt w:val="decimal"/>
      <w:lvlText w:val="%6."/>
      <w:lvlJc w:val="left"/>
      <w:pPr>
        <w:tabs>
          <w:tab w:val="num" w:pos="4320"/>
        </w:tabs>
        <w:ind w:left="4320" w:hanging="360"/>
      </w:pPr>
    </w:lvl>
    <w:lvl w:ilvl="6" w:tplc="E2F4357A">
      <w:start w:val="1"/>
      <w:numFmt w:val="decimal"/>
      <w:lvlText w:val="%7."/>
      <w:lvlJc w:val="left"/>
      <w:pPr>
        <w:tabs>
          <w:tab w:val="num" w:pos="5040"/>
        </w:tabs>
        <w:ind w:left="5040" w:hanging="360"/>
      </w:pPr>
    </w:lvl>
    <w:lvl w:ilvl="7" w:tplc="F7728984">
      <w:start w:val="1"/>
      <w:numFmt w:val="decimal"/>
      <w:lvlText w:val="%8."/>
      <w:lvlJc w:val="left"/>
      <w:pPr>
        <w:tabs>
          <w:tab w:val="num" w:pos="5760"/>
        </w:tabs>
        <w:ind w:left="5760" w:hanging="360"/>
      </w:pPr>
    </w:lvl>
    <w:lvl w:ilvl="8" w:tplc="ED8253F2">
      <w:start w:val="1"/>
      <w:numFmt w:val="decimal"/>
      <w:lvlText w:val="%9."/>
      <w:lvlJc w:val="left"/>
      <w:pPr>
        <w:tabs>
          <w:tab w:val="num" w:pos="6480"/>
        </w:tabs>
        <w:ind w:left="6480" w:hanging="360"/>
      </w:pPr>
    </w:lvl>
  </w:abstractNum>
  <w:abstractNum w:abstractNumId="72" w15:restartNumberingAfterBreak="0">
    <w:nsid w:val="00000049"/>
    <w:multiLevelType w:val="hybridMultilevel"/>
    <w:tmpl w:val="F91EBE84"/>
    <w:lvl w:ilvl="0" w:tplc="3F1EC7CC">
      <w:start w:val="1"/>
      <w:numFmt w:val="decimal"/>
      <w:lvlText w:val="%1."/>
      <w:lvlJc w:val="left"/>
      <w:pPr>
        <w:ind w:left="720" w:hanging="360"/>
      </w:pPr>
    </w:lvl>
    <w:lvl w:ilvl="1" w:tplc="69D0DEE8">
      <w:start w:val="1"/>
      <w:numFmt w:val="decimal"/>
      <w:lvlText w:val="%2."/>
      <w:lvlJc w:val="left"/>
      <w:pPr>
        <w:tabs>
          <w:tab w:val="num" w:pos="1440"/>
        </w:tabs>
        <w:ind w:left="1440" w:hanging="360"/>
      </w:pPr>
    </w:lvl>
    <w:lvl w:ilvl="2" w:tplc="FDF2C422">
      <w:start w:val="1"/>
      <w:numFmt w:val="decimal"/>
      <w:lvlText w:val="%3."/>
      <w:lvlJc w:val="left"/>
      <w:pPr>
        <w:tabs>
          <w:tab w:val="num" w:pos="2160"/>
        </w:tabs>
        <w:ind w:left="2160" w:hanging="360"/>
      </w:pPr>
    </w:lvl>
    <w:lvl w:ilvl="3" w:tplc="C824C56A">
      <w:start w:val="1"/>
      <w:numFmt w:val="decimal"/>
      <w:lvlText w:val="%4."/>
      <w:lvlJc w:val="left"/>
      <w:pPr>
        <w:tabs>
          <w:tab w:val="num" w:pos="2880"/>
        </w:tabs>
        <w:ind w:left="2880" w:hanging="360"/>
      </w:pPr>
    </w:lvl>
    <w:lvl w:ilvl="4" w:tplc="E75A1168">
      <w:start w:val="1"/>
      <w:numFmt w:val="decimal"/>
      <w:lvlText w:val="%5."/>
      <w:lvlJc w:val="left"/>
      <w:pPr>
        <w:tabs>
          <w:tab w:val="num" w:pos="3600"/>
        </w:tabs>
        <w:ind w:left="3600" w:hanging="360"/>
      </w:pPr>
    </w:lvl>
    <w:lvl w:ilvl="5" w:tplc="09DA3F6A">
      <w:start w:val="1"/>
      <w:numFmt w:val="decimal"/>
      <w:lvlText w:val="%6."/>
      <w:lvlJc w:val="left"/>
      <w:pPr>
        <w:tabs>
          <w:tab w:val="num" w:pos="4320"/>
        </w:tabs>
        <w:ind w:left="4320" w:hanging="360"/>
      </w:pPr>
    </w:lvl>
    <w:lvl w:ilvl="6" w:tplc="303CC8A4">
      <w:start w:val="1"/>
      <w:numFmt w:val="decimal"/>
      <w:lvlText w:val="%7."/>
      <w:lvlJc w:val="left"/>
      <w:pPr>
        <w:tabs>
          <w:tab w:val="num" w:pos="5040"/>
        </w:tabs>
        <w:ind w:left="5040" w:hanging="360"/>
      </w:pPr>
    </w:lvl>
    <w:lvl w:ilvl="7" w:tplc="F6884D36">
      <w:start w:val="1"/>
      <w:numFmt w:val="decimal"/>
      <w:lvlText w:val="%8."/>
      <w:lvlJc w:val="left"/>
      <w:pPr>
        <w:tabs>
          <w:tab w:val="num" w:pos="5760"/>
        </w:tabs>
        <w:ind w:left="5760" w:hanging="360"/>
      </w:pPr>
    </w:lvl>
    <w:lvl w:ilvl="8" w:tplc="9A4CF21C">
      <w:start w:val="1"/>
      <w:numFmt w:val="decimal"/>
      <w:lvlText w:val="%9."/>
      <w:lvlJc w:val="left"/>
      <w:pPr>
        <w:tabs>
          <w:tab w:val="num" w:pos="6480"/>
        </w:tabs>
        <w:ind w:left="6480" w:hanging="360"/>
      </w:pPr>
    </w:lvl>
  </w:abstractNum>
  <w:abstractNum w:abstractNumId="73" w15:restartNumberingAfterBreak="0">
    <w:nsid w:val="0000004A"/>
    <w:multiLevelType w:val="hybridMultilevel"/>
    <w:tmpl w:val="1E96D492"/>
    <w:lvl w:ilvl="0" w:tplc="648CE910">
      <w:start w:val="1"/>
      <w:numFmt w:val="bullet"/>
      <w:lvlText w:val=""/>
      <w:lvlJc w:val="left"/>
      <w:pPr>
        <w:ind w:left="360" w:hanging="360"/>
      </w:pPr>
      <w:rPr>
        <w:rFonts w:ascii="Symbol" w:hAnsi="Symbol" w:hint="default"/>
      </w:rPr>
    </w:lvl>
    <w:lvl w:ilvl="1" w:tplc="8D7EADDC">
      <w:start w:val="1"/>
      <w:numFmt w:val="decimal"/>
      <w:lvlText w:val="%2."/>
      <w:lvlJc w:val="left"/>
      <w:pPr>
        <w:tabs>
          <w:tab w:val="num" w:pos="1440"/>
        </w:tabs>
        <w:ind w:left="1440" w:hanging="360"/>
      </w:pPr>
    </w:lvl>
    <w:lvl w:ilvl="2" w:tplc="75887E96">
      <w:start w:val="1"/>
      <w:numFmt w:val="decimal"/>
      <w:lvlText w:val="%3."/>
      <w:lvlJc w:val="left"/>
      <w:pPr>
        <w:tabs>
          <w:tab w:val="num" w:pos="2160"/>
        </w:tabs>
        <w:ind w:left="2160" w:hanging="360"/>
      </w:pPr>
    </w:lvl>
    <w:lvl w:ilvl="3" w:tplc="AF305946">
      <w:start w:val="1"/>
      <w:numFmt w:val="decimal"/>
      <w:lvlText w:val="%4."/>
      <w:lvlJc w:val="left"/>
      <w:pPr>
        <w:tabs>
          <w:tab w:val="num" w:pos="2880"/>
        </w:tabs>
        <w:ind w:left="2880" w:hanging="360"/>
      </w:pPr>
    </w:lvl>
    <w:lvl w:ilvl="4" w:tplc="41D01DBC">
      <w:start w:val="1"/>
      <w:numFmt w:val="decimal"/>
      <w:lvlText w:val="%5."/>
      <w:lvlJc w:val="left"/>
      <w:pPr>
        <w:tabs>
          <w:tab w:val="num" w:pos="3600"/>
        </w:tabs>
        <w:ind w:left="3600" w:hanging="360"/>
      </w:pPr>
    </w:lvl>
    <w:lvl w:ilvl="5" w:tplc="3B465E92">
      <w:start w:val="1"/>
      <w:numFmt w:val="decimal"/>
      <w:lvlText w:val="%6."/>
      <w:lvlJc w:val="left"/>
      <w:pPr>
        <w:tabs>
          <w:tab w:val="num" w:pos="4320"/>
        </w:tabs>
        <w:ind w:left="4320" w:hanging="360"/>
      </w:pPr>
    </w:lvl>
    <w:lvl w:ilvl="6" w:tplc="682E4BF6">
      <w:start w:val="1"/>
      <w:numFmt w:val="decimal"/>
      <w:lvlText w:val="%7."/>
      <w:lvlJc w:val="left"/>
      <w:pPr>
        <w:tabs>
          <w:tab w:val="num" w:pos="5040"/>
        </w:tabs>
        <w:ind w:left="5040" w:hanging="360"/>
      </w:pPr>
    </w:lvl>
    <w:lvl w:ilvl="7" w:tplc="6E6A39D0">
      <w:start w:val="1"/>
      <w:numFmt w:val="decimal"/>
      <w:lvlText w:val="%8."/>
      <w:lvlJc w:val="left"/>
      <w:pPr>
        <w:tabs>
          <w:tab w:val="num" w:pos="5760"/>
        </w:tabs>
        <w:ind w:left="5760" w:hanging="360"/>
      </w:pPr>
    </w:lvl>
    <w:lvl w:ilvl="8" w:tplc="6D668422">
      <w:start w:val="1"/>
      <w:numFmt w:val="decimal"/>
      <w:lvlText w:val="%9."/>
      <w:lvlJc w:val="left"/>
      <w:pPr>
        <w:tabs>
          <w:tab w:val="num" w:pos="6480"/>
        </w:tabs>
        <w:ind w:left="6480" w:hanging="360"/>
      </w:pPr>
    </w:lvl>
  </w:abstractNum>
  <w:abstractNum w:abstractNumId="74" w15:restartNumberingAfterBreak="0">
    <w:nsid w:val="0000004B"/>
    <w:multiLevelType w:val="multilevel"/>
    <w:tmpl w:val="0DFE1A6A"/>
    <w:name w:val="TableTextBullet"/>
    <w:lvl w:ilvl="0">
      <w:start w:val="1"/>
      <w:numFmt w:val="bullet"/>
      <w:pStyle w:val="TableTextBullet28"/>
      <w:lvlText w:val="•"/>
      <w:lvlJc w:val="left"/>
      <w:pPr>
        <w:tabs>
          <w:tab w:val="num" w:pos="284"/>
        </w:tabs>
        <w:ind w:left="284" w:hanging="284"/>
      </w:pPr>
      <w:rPr>
        <w:b w:val="0"/>
        <w:i w:val="0"/>
        <w:color w:val="000000"/>
      </w:rPr>
    </w:lvl>
    <w:lvl w:ilvl="1">
      <w:start w:val="1"/>
      <w:numFmt w:val="bullet"/>
      <w:pStyle w:val="TableTextDash28"/>
      <w:lvlText w:val="–"/>
      <w:lvlJc w:val="left"/>
      <w:pPr>
        <w:tabs>
          <w:tab w:val="num" w:pos="851"/>
        </w:tabs>
        <w:ind w:left="851" w:hanging="284"/>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75" w15:restartNumberingAfterBreak="0">
    <w:nsid w:val="0000004C"/>
    <w:multiLevelType w:val="hybridMultilevel"/>
    <w:tmpl w:val="F7C0256C"/>
    <w:lvl w:ilvl="0" w:tplc="C6F2BCB4">
      <w:start w:val="1"/>
      <w:numFmt w:val="bullet"/>
      <w:lvlText w:val=""/>
      <w:lvlJc w:val="left"/>
      <w:pPr>
        <w:ind w:left="360" w:hanging="360"/>
      </w:pPr>
      <w:rPr>
        <w:rFonts w:ascii="Symbol" w:hAnsi="Symbol" w:hint="default"/>
      </w:rPr>
    </w:lvl>
    <w:lvl w:ilvl="1" w:tplc="CF72EC98">
      <w:start w:val="1"/>
      <w:numFmt w:val="decimal"/>
      <w:lvlText w:val="%2."/>
      <w:lvlJc w:val="left"/>
      <w:pPr>
        <w:tabs>
          <w:tab w:val="num" w:pos="1440"/>
        </w:tabs>
        <w:ind w:left="1440" w:hanging="360"/>
      </w:pPr>
    </w:lvl>
    <w:lvl w:ilvl="2" w:tplc="3CF4C2E4">
      <w:start w:val="1"/>
      <w:numFmt w:val="decimal"/>
      <w:lvlText w:val="%3."/>
      <w:lvlJc w:val="left"/>
      <w:pPr>
        <w:tabs>
          <w:tab w:val="num" w:pos="2160"/>
        </w:tabs>
        <w:ind w:left="2160" w:hanging="360"/>
      </w:pPr>
    </w:lvl>
    <w:lvl w:ilvl="3" w:tplc="300EDD02">
      <w:start w:val="1"/>
      <w:numFmt w:val="decimal"/>
      <w:lvlText w:val="%4."/>
      <w:lvlJc w:val="left"/>
      <w:pPr>
        <w:tabs>
          <w:tab w:val="num" w:pos="2880"/>
        </w:tabs>
        <w:ind w:left="2880" w:hanging="360"/>
      </w:pPr>
    </w:lvl>
    <w:lvl w:ilvl="4" w:tplc="21E80E94">
      <w:start w:val="1"/>
      <w:numFmt w:val="decimal"/>
      <w:lvlText w:val="%5."/>
      <w:lvlJc w:val="left"/>
      <w:pPr>
        <w:tabs>
          <w:tab w:val="num" w:pos="3600"/>
        </w:tabs>
        <w:ind w:left="3600" w:hanging="360"/>
      </w:pPr>
    </w:lvl>
    <w:lvl w:ilvl="5" w:tplc="9C5CED40">
      <w:start w:val="1"/>
      <w:numFmt w:val="decimal"/>
      <w:lvlText w:val="%6."/>
      <w:lvlJc w:val="left"/>
      <w:pPr>
        <w:tabs>
          <w:tab w:val="num" w:pos="4320"/>
        </w:tabs>
        <w:ind w:left="4320" w:hanging="360"/>
      </w:pPr>
    </w:lvl>
    <w:lvl w:ilvl="6" w:tplc="324CDF00">
      <w:start w:val="1"/>
      <w:numFmt w:val="decimal"/>
      <w:lvlText w:val="%7."/>
      <w:lvlJc w:val="left"/>
      <w:pPr>
        <w:tabs>
          <w:tab w:val="num" w:pos="5040"/>
        </w:tabs>
        <w:ind w:left="5040" w:hanging="360"/>
      </w:pPr>
    </w:lvl>
    <w:lvl w:ilvl="7" w:tplc="AA226A18">
      <w:start w:val="1"/>
      <w:numFmt w:val="decimal"/>
      <w:lvlText w:val="%8."/>
      <w:lvlJc w:val="left"/>
      <w:pPr>
        <w:tabs>
          <w:tab w:val="num" w:pos="5760"/>
        </w:tabs>
        <w:ind w:left="5760" w:hanging="360"/>
      </w:pPr>
    </w:lvl>
    <w:lvl w:ilvl="8" w:tplc="78D6377C">
      <w:start w:val="1"/>
      <w:numFmt w:val="decimal"/>
      <w:lvlText w:val="%9."/>
      <w:lvlJc w:val="left"/>
      <w:pPr>
        <w:tabs>
          <w:tab w:val="num" w:pos="6480"/>
        </w:tabs>
        <w:ind w:left="6480" w:hanging="360"/>
      </w:pPr>
    </w:lvl>
  </w:abstractNum>
  <w:num w:numId="1" w16cid:durableId="30305544">
    <w:abstractNumId w:val="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8596593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54456809">
    <w:abstractNumId w:val="2"/>
  </w:num>
  <w:num w:numId="4" w16cid:durableId="785465046">
    <w:abstractNumId w:val="3"/>
  </w:num>
  <w:num w:numId="5" w16cid:durableId="1275402883">
    <w:abstractNumId w:val="4"/>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6" w16cid:durableId="104398856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30134536">
    <w:abstractNumId w:val="6"/>
  </w:num>
  <w:num w:numId="8" w16cid:durableId="2086952535">
    <w:abstractNumId w:val="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93966139">
    <w:abstractNumId w:val="8"/>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9850832">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71763697">
    <w:abstractNumId w:val="10"/>
  </w:num>
  <w:num w:numId="12" w16cid:durableId="246354734">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6891010">
    <w:abstractNumId w:val="12"/>
  </w:num>
  <w:num w:numId="14" w16cid:durableId="901252092">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4206842">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94513625">
    <w:abstractNumId w:val="15"/>
  </w:num>
  <w:num w:numId="17" w16cid:durableId="1158811565">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55371062">
    <w:abstractNumId w:val="1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36271916">
    <w:abstractNumId w:val="1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19047778">
    <w:abstractNumId w:val="1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48542484">
    <w:abstractNumId w:val="20"/>
  </w:num>
  <w:num w:numId="22" w16cid:durableId="441612827">
    <w:abstractNumId w:val="21"/>
  </w:num>
  <w:num w:numId="23" w16cid:durableId="530802278">
    <w:abstractNumId w:val="22"/>
  </w:num>
  <w:num w:numId="24" w16cid:durableId="852452518">
    <w:abstractNumId w:val="2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3671270">
    <w:abstractNumId w:val="2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9354431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00761297">
    <w:abstractNumId w:val="2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12794209">
    <w:abstractNumId w:val="27"/>
  </w:num>
  <w:num w:numId="29" w16cid:durableId="917835375">
    <w:abstractNumId w:val="2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738090722">
    <w:abstractNumId w:val="2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95078674">
    <w:abstractNumId w:val="30"/>
  </w:num>
  <w:num w:numId="32" w16cid:durableId="2022471341">
    <w:abstractNumId w:val="3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60265721">
    <w:abstractNumId w:val="3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21163862">
    <w:abstractNumId w:val="33"/>
  </w:num>
  <w:num w:numId="35" w16cid:durableId="1761562850">
    <w:abstractNumId w:val="3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27651250">
    <w:abstractNumId w:val="3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17708909">
    <w:abstractNumId w:val="3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011571587">
    <w:abstractNumId w:val="37"/>
  </w:num>
  <w:num w:numId="39" w16cid:durableId="220680572">
    <w:abstractNumId w:val="3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224213974">
    <w:abstractNumId w:val="3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67737434">
    <w:abstractNumId w:val="4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446896141">
    <w:abstractNumId w:val="41"/>
  </w:num>
  <w:num w:numId="43" w16cid:durableId="1431050056">
    <w:abstractNumId w:val="4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643466299">
    <w:abstractNumId w:val="4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728262506">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767380962">
    <w:abstractNumId w:val="45"/>
  </w:num>
  <w:num w:numId="47" w16cid:durableId="1653293188">
    <w:abstractNumId w:val="46"/>
  </w:num>
  <w:num w:numId="48" w16cid:durableId="1519076447">
    <w:abstractNumId w:val="4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139759375">
    <w:abstractNumId w:val="48"/>
  </w:num>
  <w:num w:numId="50" w16cid:durableId="1537813355">
    <w:abstractNumId w:val="49"/>
  </w:num>
  <w:num w:numId="51" w16cid:durableId="1954436680">
    <w:abstractNumId w:val="5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364286735">
    <w:abstractNumId w:val="51"/>
  </w:num>
  <w:num w:numId="53" w16cid:durableId="1389264736">
    <w:abstractNumId w:val="5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442453017">
    <w:abstractNumId w:val="53"/>
  </w:num>
  <w:num w:numId="55" w16cid:durableId="1662543848">
    <w:abstractNumId w:val="54"/>
  </w:num>
  <w:num w:numId="56" w16cid:durableId="1790464157">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347754593">
    <w:abstractNumId w:val="5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751244381">
    <w:abstractNumId w:val="57"/>
  </w:num>
  <w:num w:numId="59" w16cid:durableId="1642685439">
    <w:abstractNumId w:val="5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994528608">
    <w:abstractNumId w:val="5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2121104667">
    <w:abstractNumId w:val="6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159223929">
    <w:abstractNumId w:val="6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212078686">
    <w:abstractNumId w:val="6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714618869">
    <w:abstractNumId w:val="6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2084062195">
    <w:abstractNumId w:val="6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61758853">
    <w:abstractNumId w:val="6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2086293643">
    <w:abstractNumId w:val="6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021855902">
    <w:abstractNumId w:val="6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293098878">
    <w:abstractNumId w:val="6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212692911">
    <w:abstractNumId w:val="6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626694934">
    <w:abstractNumId w:val="7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454792215">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836727382">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705667217">
    <w:abstractNumId w:val="7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70741609">
    <w:abstractNumId w:val="7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274097360">
    <w:abstractNumId w:val="7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evenAndOddHeaders/>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24034"/>
    <w:rsid w:val="00355BFE"/>
    <w:rsid w:val="003F0EEA"/>
    <w:rsid w:val="00724034"/>
    <w:rsid w:val="0088789D"/>
    <w:rsid w:val="00C37B64"/>
    <w:rsid w:val="00CB2EAB"/>
    <w:rsid w:val="00FB7D0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ersonName"/>
  <w:smartTagType w:namespaceuri="urn:schemas-microsoft-com:office:smarttags" w:name="country-region"/>
  <w:shapeDefaults>
    <o:shapedefaults v:ext="edit" spidmax="2050"/>
    <o:shapelayout v:ext="edit">
      <o:idmap v:ext="edit" data="1"/>
    </o:shapelayout>
  </w:shapeDefaults>
  <w:decimalSymbol w:val="."/>
  <w:listSeparator w:val=","/>
  <w14:docId w14:val="00D6A28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24034"/>
    <w:rPr>
      <w:rFonts w:ascii="Calibri" w:eastAsia="Calibri" w:hAnsi="Calibri" w:cs="Calibri"/>
      <w:sz w:val="22"/>
      <w:szCs w:val="24"/>
    </w:rPr>
  </w:style>
  <w:style w:type="paragraph" w:styleId="Heading1">
    <w:name w:val="heading 1"/>
    <w:basedOn w:val="Normal15"/>
    <w:next w:val="Normal15"/>
    <w:qFormat/>
    <w:rsid w:val="00A569A3"/>
    <w:pPr>
      <w:keepNext/>
      <w:spacing w:after="240"/>
      <w:jc w:val="center"/>
      <w:outlineLvl w:val="0"/>
    </w:pPr>
    <w:rPr>
      <w:rFonts w:ascii="Arial" w:hAnsi="Arial"/>
      <w:b/>
      <w:smallCaps/>
      <w:kern w:val="28"/>
      <w:sz w:val="34"/>
      <w:szCs w:val="20"/>
    </w:rPr>
  </w:style>
  <w:style w:type="paragraph" w:styleId="Heading2">
    <w:name w:val="heading 2"/>
    <w:basedOn w:val="Normal63"/>
    <w:next w:val="Normal63"/>
    <w:link w:val="Heading2Char"/>
    <w:uiPriority w:val="99"/>
    <w:qFormat/>
    <w:rsid w:val="008D578F"/>
    <w:pPr>
      <w:keepNext/>
      <w:spacing w:before="360" w:after="360" w:line="240" w:lineRule="auto"/>
      <w:jc w:val="left"/>
      <w:outlineLvl w:val="1"/>
    </w:pPr>
    <w:rPr>
      <w:rFonts w:ascii="Arial" w:hAnsi="Arial"/>
      <w:sz w:val="30"/>
    </w:rPr>
  </w:style>
  <w:style w:type="paragraph" w:styleId="Heading3">
    <w:name w:val="heading 3"/>
    <w:basedOn w:val="Normal29"/>
    <w:next w:val="Normal29"/>
    <w:link w:val="Heading3Char"/>
    <w:uiPriority w:val="99"/>
    <w:qFormat/>
    <w:rsid w:val="003C2250"/>
    <w:pPr>
      <w:keepNext/>
      <w:tabs>
        <w:tab w:val="left" w:pos="709"/>
      </w:tabs>
      <w:spacing w:before="240" w:after="240" w:line="240" w:lineRule="auto"/>
      <w:outlineLvl w:val="2"/>
    </w:pPr>
    <w:rPr>
      <w:rFonts w:ascii="Arial" w:hAnsi="Arial"/>
      <w:b/>
      <w:smallCaps/>
      <w:sz w:val="26"/>
      <w:szCs w:val="20"/>
      <w:lang w:eastAsia="en-AU"/>
    </w:rPr>
  </w:style>
  <w:style w:type="paragraph" w:styleId="Heading4">
    <w:name w:val="heading 4"/>
    <w:basedOn w:val="Normal9"/>
    <w:next w:val="Normal9"/>
    <w:link w:val="Heading4Char"/>
    <w:uiPriority w:val="99"/>
    <w:qFormat/>
    <w:rsid w:val="00BD7151"/>
    <w:pPr>
      <w:keepNext/>
      <w:tabs>
        <w:tab w:val="left" w:pos="709"/>
      </w:tabs>
      <w:spacing w:before="120" w:after="120" w:line="240" w:lineRule="auto"/>
      <w:jc w:val="left"/>
      <w:outlineLvl w:val="3"/>
    </w:pPr>
    <w:rPr>
      <w:rFonts w:ascii="Arial" w:hAnsi="Arial"/>
      <w:b/>
      <w:sz w:val="22"/>
    </w:rPr>
  </w:style>
  <w:style w:type="paragraph" w:styleId="Heading5">
    <w:name w:val="heading 5"/>
    <w:basedOn w:val="Normal163"/>
    <w:next w:val="Normal163"/>
    <w:link w:val="Heading5Char"/>
    <w:uiPriority w:val="9"/>
    <w:qFormat/>
    <w:rsid w:val="00E26CC2"/>
    <w:pPr>
      <w:spacing w:before="240" w:after="60"/>
      <w:outlineLvl w:val="4"/>
    </w:pPr>
    <w:rPr>
      <w:rFonts w:ascii="Calibri" w:hAnsi="Calibri"/>
      <w:b/>
      <w:bCs/>
      <w:i/>
      <w:iCs/>
      <w:sz w:val="26"/>
      <w:szCs w:val="26"/>
    </w:rPr>
  </w:style>
  <w:style w:type="paragraph" w:styleId="Heading6">
    <w:name w:val="heading 6"/>
    <w:basedOn w:val="Normal163"/>
    <w:next w:val="Normal163"/>
    <w:link w:val="Heading6Char"/>
    <w:uiPriority w:val="9"/>
    <w:qFormat/>
    <w:rsid w:val="00E26CC2"/>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_0"/>
    <w:qFormat/>
    <w:rsid w:val="00724034"/>
    <w:rPr>
      <w:sz w:val="24"/>
      <w:szCs w:val="24"/>
    </w:rPr>
  </w:style>
  <w:style w:type="paragraph" w:customStyle="1" w:styleId="MyLastParagraph">
    <w:name w:val="MyLastParagraph"/>
    <w:rsid w:val="00724034"/>
    <w:rPr>
      <w:sz w:val="4"/>
    </w:rPr>
  </w:style>
  <w:style w:type="paragraph" w:customStyle="1" w:styleId="Normal1">
    <w:name w:val="Normal_1"/>
    <w:qFormat/>
    <w:rsid w:val="00724034"/>
    <w:rPr>
      <w:sz w:val="24"/>
      <w:szCs w:val="24"/>
    </w:rPr>
  </w:style>
  <w:style w:type="paragraph" w:customStyle="1" w:styleId="Normal2">
    <w:name w:val="Normal_2"/>
    <w:qFormat/>
    <w:rsid w:val="00540B2D"/>
    <w:pPr>
      <w:spacing w:after="200" w:line="276" w:lineRule="auto"/>
    </w:pPr>
    <w:rPr>
      <w:sz w:val="22"/>
      <w:szCs w:val="22"/>
      <w:lang w:eastAsia="en-US"/>
    </w:rPr>
  </w:style>
  <w:style w:type="paragraph" w:customStyle="1" w:styleId="TableGraphic">
    <w:name w:val="Table Graphic"/>
    <w:basedOn w:val="Normal2"/>
    <w:next w:val="Normal2"/>
    <w:rsid w:val="00500F2F"/>
    <w:pPr>
      <w:spacing w:after="0" w:line="240" w:lineRule="auto"/>
      <w:ind w:right="-113"/>
      <w:jc w:val="both"/>
    </w:pPr>
    <w:rPr>
      <w:rFonts w:ascii="Book Antiqua" w:hAnsi="Book Antiqua"/>
      <w:sz w:val="20"/>
      <w:szCs w:val="20"/>
      <w:lang w:eastAsia="en-AU"/>
    </w:rPr>
  </w:style>
  <w:style w:type="paragraph" w:customStyle="1" w:styleId="TPHeading2">
    <w:name w:val="TP Heading 2"/>
    <w:basedOn w:val="Normal2"/>
    <w:uiPriority w:val="99"/>
    <w:rsid w:val="0039266E"/>
    <w:pPr>
      <w:keepNext/>
      <w:spacing w:after="0" w:line="240" w:lineRule="auto"/>
    </w:pPr>
    <w:rPr>
      <w:rFonts w:ascii="Arial" w:hAnsi="Arial"/>
      <w:caps/>
      <w:sz w:val="24"/>
      <w:szCs w:val="20"/>
      <w:lang w:eastAsia="en-AU"/>
    </w:rPr>
  </w:style>
  <w:style w:type="paragraph" w:customStyle="1" w:styleId="TPHeading3">
    <w:name w:val="TP Heading 3"/>
    <w:basedOn w:val="Normal2"/>
    <w:uiPriority w:val="99"/>
    <w:rsid w:val="0039266E"/>
    <w:pPr>
      <w:keepNext/>
      <w:spacing w:after="0" w:line="240" w:lineRule="auto"/>
    </w:pPr>
    <w:rPr>
      <w:rFonts w:ascii="Arial" w:hAnsi="Arial"/>
      <w:caps/>
      <w:sz w:val="24"/>
      <w:szCs w:val="20"/>
      <w:lang w:eastAsia="en-AU"/>
    </w:rPr>
  </w:style>
  <w:style w:type="paragraph" w:customStyle="1" w:styleId="Normal3">
    <w:name w:val="Normal_3"/>
    <w:qFormat/>
    <w:rsid w:val="00540B2D"/>
    <w:pPr>
      <w:spacing w:after="200" w:line="276" w:lineRule="auto"/>
    </w:pPr>
    <w:rPr>
      <w:sz w:val="22"/>
      <w:szCs w:val="22"/>
      <w:lang w:eastAsia="en-US"/>
    </w:rPr>
  </w:style>
  <w:style w:type="paragraph" w:customStyle="1" w:styleId="Normal4">
    <w:name w:val="Normal_4"/>
    <w:qFormat/>
    <w:rsid w:val="00581902"/>
  </w:style>
  <w:style w:type="paragraph" w:customStyle="1" w:styleId="Normal5">
    <w:name w:val="Normal_5"/>
    <w:qFormat/>
    <w:rsid w:val="00724034"/>
    <w:rPr>
      <w:sz w:val="24"/>
      <w:szCs w:val="24"/>
    </w:rPr>
  </w:style>
  <w:style w:type="paragraph" w:customStyle="1" w:styleId="Normal6">
    <w:name w:val="Normal_6"/>
    <w:qFormat/>
    <w:rsid w:val="00724034"/>
    <w:rPr>
      <w:sz w:val="24"/>
      <w:szCs w:val="24"/>
    </w:rPr>
  </w:style>
  <w:style w:type="paragraph" w:customStyle="1" w:styleId="Normal7">
    <w:name w:val="Normal_7"/>
    <w:qFormat/>
    <w:rsid w:val="00724034"/>
    <w:rPr>
      <w:sz w:val="24"/>
      <w:szCs w:val="24"/>
    </w:rPr>
  </w:style>
  <w:style w:type="paragraph" w:customStyle="1" w:styleId="Normal8">
    <w:name w:val="Normal_8"/>
    <w:qFormat/>
    <w:rsid w:val="00724034"/>
    <w:rPr>
      <w:sz w:val="24"/>
      <w:szCs w:val="24"/>
    </w:rPr>
  </w:style>
  <w:style w:type="paragraph" w:customStyle="1" w:styleId="Normal9">
    <w:name w:val="Normal_9"/>
    <w:qFormat/>
    <w:rsid w:val="00BD7151"/>
    <w:pPr>
      <w:spacing w:after="240" w:line="260" w:lineRule="exact"/>
      <w:jc w:val="both"/>
    </w:pPr>
    <w:rPr>
      <w:rFonts w:ascii="Book Antiqua" w:hAnsi="Book Antiqua"/>
    </w:rPr>
  </w:style>
  <w:style w:type="character" w:customStyle="1" w:styleId="Heading4Char">
    <w:name w:val="Heading 4 Char"/>
    <w:basedOn w:val="DefaultParagraphFont"/>
    <w:link w:val="Heading4"/>
    <w:uiPriority w:val="99"/>
    <w:semiHidden/>
    <w:rsid w:val="00BD7151"/>
    <w:rPr>
      <w:rFonts w:ascii="Arial" w:eastAsia="Times New Roman" w:hAnsi="Arial" w:cs="Times New Roman"/>
      <w:b/>
      <w:szCs w:val="20"/>
      <w:lang w:eastAsia="en-AU"/>
    </w:rPr>
  </w:style>
  <w:style w:type="paragraph" w:customStyle="1" w:styleId="SingleParagraph">
    <w:name w:val="Single Paragraph"/>
    <w:basedOn w:val="Normal9"/>
    <w:uiPriority w:val="99"/>
    <w:rsid w:val="00BD7151"/>
    <w:pPr>
      <w:spacing w:after="0"/>
    </w:pPr>
  </w:style>
  <w:style w:type="paragraph" w:customStyle="1" w:styleId="Normal10">
    <w:name w:val="Normal_10"/>
    <w:qFormat/>
    <w:rsid w:val="00724034"/>
    <w:rPr>
      <w:sz w:val="24"/>
      <w:szCs w:val="24"/>
    </w:rPr>
  </w:style>
  <w:style w:type="paragraph" w:customStyle="1" w:styleId="Normal11">
    <w:name w:val="Normal_11"/>
    <w:qFormat/>
    <w:rsid w:val="00724034"/>
    <w:rPr>
      <w:sz w:val="24"/>
      <w:szCs w:val="24"/>
    </w:rPr>
  </w:style>
  <w:style w:type="paragraph" w:customStyle="1" w:styleId="PartHeading">
    <w:name w:val="Part Heading"/>
    <w:basedOn w:val="Normal12"/>
    <w:next w:val="Normal12"/>
    <w:rsid w:val="00517A41"/>
    <w:pPr>
      <w:jc w:val="center"/>
      <w:outlineLvl w:val="0"/>
    </w:pPr>
    <w:rPr>
      <w:rFonts w:ascii="Arial" w:hAnsi="Arial" w:cs="Arial"/>
      <w:b/>
      <w:bCs/>
      <w:smallCaps/>
      <w:kern w:val="28"/>
      <w:sz w:val="52"/>
      <w:szCs w:val="32"/>
    </w:rPr>
  </w:style>
  <w:style w:type="paragraph" w:customStyle="1" w:styleId="Normal12">
    <w:name w:val="Normal_12"/>
    <w:qFormat/>
    <w:rsid w:val="00724034"/>
    <w:rPr>
      <w:sz w:val="24"/>
      <w:szCs w:val="24"/>
    </w:rPr>
  </w:style>
  <w:style w:type="paragraph" w:customStyle="1" w:styleId="PBSMainHeading">
    <w:name w:val="PBS Main Heading"/>
    <w:basedOn w:val="PartHeading"/>
    <w:rsid w:val="00517A41"/>
  </w:style>
  <w:style w:type="paragraph" w:customStyle="1" w:styleId="Normal13">
    <w:name w:val="Normal_13"/>
    <w:qFormat/>
    <w:rsid w:val="00724034"/>
    <w:rPr>
      <w:sz w:val="24"/>
      <w:szCs w:val="24"/>
    </w:rPr>
  </w:style>
  <w:style w:type="paragraph" w:customStyle="1" w:styleId="Normal14">
    <w:name w:val="Normal_14"/>
    <w:qFormat/>
    <w:rsid w:val="00724034"/>
    <w:rPr>
      <w:sz w:val="24"/>
      <w:szCs w:val="24"/>
    </w:rPr>
  </w:style>
  <w:style w:type="paragraph" w:customStyle="1" w:styleId="Normal15">
    <w:name w:val="Normal_15"/>
    <w:qFormat/>
    <w:rsid w:val="00724034"/>
    <w:rPr>
      <w:sz w:val="24"/>
      <w:szCs w:val="24"/>
    </w:rPr>
  </w:style>
  <w:style w:type="paragraph" w:customStyle="1" w:styleId="Normal16">
    <w:name w:val="Normal_16"/>
    <w:qFormat/>
    <w:rsid w:val="007D0544"/>
    <w:pPr>
      <w:spacing w:after="200" w:line="276" w:lineRule="auto"/>
    </w:pPr>
    <w:rPr>
      <w:sz w:val="22"/>
      <w:szCs w:val="22"/>
      <w:lang w:eastAsia="en-US"/>
    </w:rPr>
  </w:style>
  <w:style w:type="paragraph" w:customStyle="1" w:styleId="Normal17">
    <w:name w:val="Normal_17"/>
    <w:qFormat/>
    <w:rsid w:val="007D0544"/>
    <w:pPr>
      <w:spacing w:after="200" w:line="276" w:lineRule="auto"/>
    </w:pPr>
    <w:rPr>
      <w:sz w:val="22"/>
      <w:szCs w:val="22"/>
      <w:lang w:eastAsia="en-US"/>
    </w:rPr>
  </w:style>
  <w:style w:type="paragraph" w:customStyle="1" w:styleId="Normal18">
    <w:name w:val="Normal_18"/>
    <w:qFormat/>
    <w:rsid w:val="00724034"/>
    <w:rPr>
      <w:sz w:val="24"/>
      <w:szCs w:val="24"/>
    </w:rPr>
  </w:style>
  <w:style w:type="paragraph" w:customStyle="1" w:styleId="Normal19">
    <w:name w:val="Normal_19"/>
    <w:qFormat/>
    <w:rsid w:val="00724034"/>
    <w:rPr>
      <w:sz w:val="24"/>
      <w:szCs w:val="24"/>
    </w:rPr>
  </w:style>
  <w:style w:type="paragraph" w:customStyle="1" w:styleId="ContentsHeading">
    <w:name w:val="Contents Heading"/>
    <w:basedOn w:val="Normal20"/>
    <w:next w:val="Normal20"/>
    <w:uiPriority w:val="99"/>
    <w:rsid w:val="00F052F0"/>
    <w:pPr>
      <w:keepNext/>
      <w:spacing w:after="360" w:line="240" w:lineRule="auto"/>
      <w:jc w:val="center"/>
    </w:pPr>
    <w:rPr>
      <w:rFonts w:ascii="Arial" w:hAnsi="Arial"/>
      <w:b/>
      <w:smallCaps/>
      <w:sz w:val="34"/>
      <w:szCs w:val="20"/>
      <w:lang w:eastAsia="en-AU"/>
    </w:rPr>
  </w:style>
  <w:style w:type="paragraph" w:customStyle="1" w:styleId="Normal20">
    <w:name w:val="Normal_20"/>
    <w:qFormat/>
    <w:rsid w:val="00EC46F9"/>
    <w:pPr>
      <w:spacing w:after="200" w:line="276" w:lineRule="auto"/>
    </w:pPr>
    <w:rPr>
      <w:sz w:val="22"/>
      <w:szCs w:val="22"/>
      <w:lang w:eastAsia="en-US"/>
    </w:rPr>
  </w:style>
  <w:style w:type="paragraph" w:styleId="TOC1">
    <w:name w:val="toc 1"/>
    <w:basedOn w:val="Normal20"/>
    <w:next w:val="Normal20"/>
    <w:autoRedefine/>
    <w:uiPriority w:val="99"/>
    <w:semiHidden/>
    <w:unhideWhenUsed/>
    <w:rsid w:val="00A47DD3"/>
    <w:pPr>
      <w:tabs>
        <w:tab w:val="right" w:leader="dot" w:pos="7380"/>
      </w:tabs>
      <w:spacing w:before="240" w:after="0" w:line="240" w:lineRule="auto"/>
      <w:ind w:right="329"/>
    </w:pPr>
    <w:rPr>
      <w:rFonts w:ascii="Arial" w:hAnsi="Arial"/>
      <w:b/>
      <w:sz w:val="20"/>
      <w:szCs w:val="20"/>
      <w:lang w:eastAsia="en-AU"/>
    </w:rPr>
  </w:style>
  <w:style w:type="paragraph" w:styleId="TOC2">
    <w:name w:val="toc 2"/>
    <w:basedOn w:val="Normal20"/>
    <w:next w:val="Normal20"/>
    <w:autoRedefine/>
    <w:uiPriority w:val="99"/>
    <w:unhideWhenUsed/>
    <w:rsid w:val="00C11BE9"/>
    <w:pPr>
      <w:keepNext/>
      <w:tabs>
        <w:tab w:val="left" w:pos="540"/>
        <w:tab w:val="left" w:pos="567"/>
        <w:tab w:val="right" w:leader="dot" w:pos="7380"/>
      </w:tabs>
      <w:spacing w:before="80" w:after="0" w:line="240" w:lineRule="auto"/>
      <w:ind w:right="330"/>
    </w:pPr>
    <w:rPr>
      <w:rFonts w:ascii="Arial" w:hAnsi="Arial"/>
      <w:sz w:val="20"/>
      <w:szCs w:val="20"/>
      <w:lang w:eastAsia="en-AU"/>
    </w:rPr>
  </w:style>
  <w:style w:type="paragraph" w:customStyle="1" w:styleId="Normal21">
    <w:name w:val="Normal_21"/>
    <w:qFormat/>
    <w:rsid w:val="00724034"/>
    <w:rPr>
      <w:sz w:val="24"/>
      <w:szCs w:val="24"/>
    </w:rPr>
  </w:style>
  <w:style w:type="paragraph" w:customStyle="1" w:styleId="Normal22">
    <w:name w:val="Normal_22"/>
    <w:qFormat/>
    <w:rsid w:val="00724034"/>
    <w:rPr>
      <w:sz w:val="24"/>
      <w:szCs w:val="24"/>
    </w:rPr>
  </w:style>
  <w:style w:type="paragraph" w:customStyle="1" w:styleId="Normal23">
    <w:name w:val="Normal_23"/>
    <w:qFormat/>
    <w:rsid w:val="00724034"/>
    <w:rPr>
      <w:sz w:val="24"/>
      <w:szCs w:val="24"/>
    </w:rPr>
  </w:style>
  <w:style w:type="paragraph" w:customStyle="1" w:styleId="Normal24">
    <w:name w:val="Normal_24"/>
    <w:qFormat/>
    <w:rsid w:val="00EA7E31"/>
    <w:pPr>
      <w:spacing w:after="200" w:line="276" w:lineRule="auto"/>
    </w:pPr>
    <w:rPr>
      <w:sz w:val="22"/>
      <w:szCs w:val="22"/>
      <w:lang w:eastAsia="en-US"/>
    </w:rPr>
  </w:style>
  <w:style w:type="paragraph" w:customStyle="1" w:styleId="Normal25">
    <w:name w:val="Normal_25"/>
    <w:qFormat/>
    <w:rsid w:val="00EA7E31"/>
    <w:pPr>
      <w:spacing w:after="200" w:line="276" w:lineRule="auto"/>
    </w:pPr>
    <w:rPr>
      <w:sz w:val="22"/>
      <w:szCs w:val="22"/>
      <w:lang w:eastAsia="en-US"/>
    </w:rPr>
  </w:style>
  <w:style w:type="paragraph" w:customStyle="1" w:styleId="Normal26">
    <w:name w:val="Normal_26"/>
    <w:qFormat/>
    <w:rsid w:val="00540B2D"/>
    <w:pPr>
      <w:spacing w:after="200" w:line="276" w:lineRule="auto"/>
    </w:pPr>
    <w:rPr>
      <w:sz w:val="22"/>
      <w:szCs w:val="22"/>
      <w:lang w:eastAsia="en-US"/>
    </w:rPr>
  </w:style>
  <w:style w:type="paragraph" w:customStyle="1" w:styleId="Part">
    <w:name w:val="Part"/>
    <w:basedOn w:val="Title"/>
    <w:next w:val="Normal26"/>
    <w:uiPriority w:val="99"/>
    <w:rsid w:val="003C2250"/>
    <w:pPr>
      <w:pBdr>
        <w:bottom w:val="nil"/>
      </w:pBdr>
      <w:spacing w:after="0"/>
      <w:contextualSpacing w:val="0"/>
      <w:jc w:val="center"/>
      <w:outlineLvl w:val="0"/>
    </w:pPr>
    <w:rPr>
      <w:rFonts w:ascii="Arial" w:hAnsi="Arial" w:cs="Arial"/>
      <w:b/>
      <w:bCs/>
      <w:smallCaps/>
      <w:color w:val="auto"/>
      <w:spacing w:val="0"/>
      <w:szCs w:val="32"/>
      <w:lang w:eastAsia="en-AU"/>
    </w:rPr>
  </w:style>
  <w:style w:type="paragraph" w:styleId="Title">
    <w:name w:val="Title"/>
    <w:basedOn w:val="Normal26"/>
    <w:next w:val="Normal26"/>
    <w:link w:val="TitleChar"/>
    <w:uiPriority w:val="10"/>
    <w:qFormat/>
    <w:rsid w:val="003C2250"/>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TitleChar">
    <w:name w:val="Title Char"/>
    <w:basedOn w:val="DefaultParagraphFont"/>
    <w:link w:val="Title"/>
    <w:uiPriority w:val="10"/>
    <w:rsid w:val="003C2250"/>
    <w:rPr>
      <w:rFonts w:ascii="Cambria" w:eastAsia="Times New Roman" w:hAnsi="Cambria" w:cs="Times New Roman"/>
      <w:color w:val="17365D"/>
      <w:spacing w:val="5"/>
      <w:kern w:val="28"/>
      <w:sz w:val="52"/>
      <w:szCs w:val="52"/>
    </w:rPr>
  </w:style>
  <w:style w:type="paragraph" w:customStyle="1" w:styleId="Normal27">
    <w:name w:val="Normal_27"/>
    <w:qFormat/>
    <w:rsid w:val="00EA7E31"/>
    <w:pPr>
      <w:spacing w:after="200" w:line="276" w:lineRule="auto"/>
    </w:pPr>
    <w:rPr>
      <w:sz w:val="22"/>
      <w:szCs w:val="22"/>
      <w:lang w:eastAsia="en-US"/>
    </w:rPr>
  </w:style>
  <w:style w:type="paragraph" w:customStyle="1" w:styleId="Normal28">
    <w:name w:val="Normal_28"/>
    <w:qFormat/>
    <w:rsid w:val="00EA7E31"/>
    <w:pPr>
      <w:spacing w:after="200" w:line="276" w:lineRule="auto"/>
    </w:pPr>
    <w:rPr>
      <w:sz w:val="22"/>
      <w:szCs w:val="22"/>
      <w:lang w:eastAsia="en-US"/>
    </w:rPr>
  </w:style>
  <w:style w:type="paragraph" w:customStyle="1" w:styleId="Heading10">
    <w:name w:val="Heading 1_0"/>
    <w:basedOn w:val="Normal29"/>
    <w:next w:val="Normal29"/>
    <w:qFormat/>
    <w:rsid w:val="00163AC4"/>
    <w:pPr>
      <w:keepNext/>
      <w:spacing w:before="240" w:after="60"/>
      <w:outlineLvl w:val="0"/>
    </w:pPr>
    <w:rPr>
      <w:rFonts w:ascii="Arial" w:hAnsi="Arial" w:cs="Arial"/>
      <w:b/>
      <w:bCs/>
      <w:kern w:val="32"/>
      <w:sz w:val="32"/>
      <w:szCs w:val="32"/>
    </w:rPr>
  </w:style>
  <w:style w:type="paragraph" w:customStyle="1" w:styleId="Normal29">
    <w:name w:val="Normal_29"/>
    <w:qFormat/>
    <w:rsid w:val="00540B2D"/>
    <w:pPr>
      <w:spacing w:after="200" w:line="276" w:lineRule="auto"/>
    </w:pPr>
    <w:rPr>
      <w:sz w:val="22"/>
      <w:szCs w:val="22"/>
      <w:lang w:eastAsia="en-US"/>
    </w:rPr>
  </w:style>
  <w:style w:type="character" w:customStyle="1" w:styleId="Heading3Char">
    <w:name w:val="Heading 3 Char"/>
    <w:basedOn w:val="DefaultParagraphFont"/>
    <w:link w:val="Heading3"/>
    <w:uiPriority w:val="99"/>
    <w:semiHidden/>
    <w:rsid w:val="003C2250"/>
    <w:rPr>
      <w:rFonts w:ascii="Arial" w:eastAsia="Times New Roman" w:hAnsi="Arial" w:cs="Times New Roman"/>
      <w:b/>
      <w:smallCaps/>
      <w:sz w:val="26"/>
      <w:szCs w:val="20"/>
      <w:lang w:eastAsia="en-AU"/>
    </w:rPr>
  </w:style>
  <w:style w:type="paragraph" w:customStyle="1" w:styleId="Bullet">
    <w:name w:val="Bullet"/>
    <w:basedOn w:val="Normal29"/>
    <w:link w:val="BulletChar"/>
    <w:rsid w:val="00163AC4"/>
    <w:pPr>
      <w:numPr>
        <w:numId w:val="1"/>
      </w:numPr>
      <w:spacing w:after="240" w:line="260" w:lineRule="exact"/>
      <w:jc w:val="both"/>
    </w:pPr>
    <w:rPr>
      <w:rFonts w:ascii="Book Antiqua" w:hAnsi="Book Antiqua"/>
      <w:sz w:val="20"/>
      <w:szCs w:val="20"/>
      <w:lang w:eastAsia="en-AU"/>
    </w:rPr>
  </w:style>
  <w:style w:type="paragraph" w:customStyle="1" w:styleId="Dash">
    <w:name w:val="Dash"/>
    <w:basedOn w:val="Normal29"/>
    <w:rsid w:val="00163AC4"/>
    <w:pPr>
      <w:numPr>
        <w:ilvl w:val="1"/>
        <w:numId w:val="1"/>
      </w:numPr>
      <w:spacing w:after="240" w:line="260" w:lineRule="exact"/>
      <w:jc w:val="both"/>
    </w:pPr>
    <w:rPr>
      <w:rFonts w:ascii="Book Antiqua" w:hAnsi="Book Antiqua"/>
      <w:sz w:val="20"/>
      <w:szCs w:val="20"/>
      <w:lang w:eastAsia="en-AU"/>
    </w:rPr>
  </w:style>
  <w:style w:type="paragraph" w:customStyle="1" w:styleId="DoubleDot">
    <w:name w:val="Double Dot"/>
    <w:basedOn w:val="Normal29"/>
    <w:rsid w:val="00163AC4"/>
    <w:pPr>
      <w:numPr>
        <w:ilvl w:val="2"/>
        <w:numId w:val="1"/>
      </w:numPr>
      <w:spacing w:after="240" w:line="260" w:lineRule="exact"/>
      <w:jc w:val="both"/>
    </w:pPr>
    <w:rPr>
      <w:rFonts w:ascii="Book Antiqua" w:hAnsi="Book Antiqua"/>
      <w:sz w:val="20"/>
      <w:szCs w:val="20"/>
      <w:lang w:eastAsia="en-AU"/>
    </w:rPr>
  </w:style>
  <w:style w:type="character" w:customStyle="1" w:styleId="BulletChar">
    <w:name w:val="Bullet Char"/>
    <w:basedOn w:val="DefaultParagraphFont"/>
    <w:link w:val="Bullet"/>
    <w:locked/>
    <w:rsid w:val="00163AC4"/>
    <w:rPr>
      <w:rFonts w:ascii="Book Antiqua" w:hAnsi="Book Antiqua"/>
      <w:lang w:val="en-AU" w:eastAsia="en-AU" w:bidi="ar-SA"/>
    </w:rPr>
  </w:style>
  <w:style w:type="paragraph" w:customStyle="1" w:styleId="Normal30">
    <w:name w:val="Normal_30"/>
    <w:qFormat/>
    <w:rsid w:val="007D0544"/>
    <w:pPr>
      <w:spacing w:after="200" w:line="276" w:lineRule="auto"/>
    </w:pPr>
    <w:rPr>
      <w:sz w:val="22"/>
      <w:szCs w:val="22"/>
      <w:lang w:eastAsia="en-US"/>
    </w:rPr>
  </w:style>
  <w:style w:type="paragraph" w:styleId="Header">
    <w:name w:val="header"/>
    <w:basedOn w:val="Normal31"/>
    <w:link w:val="HeaderChar"/>
    <w:rsid w:val="00C04906"/>
    <w:pPr>
      <w:tabs>
        <w:tab w:val="center" w:pos="4153"/>
        <w:tab w:val="right" w:pos="8306"/>
      </w:tabs>
      <w:spacing w:after="0" w:line="240" w:lineRule="auto"/>
    </w:pPr>
    <w:rPr>
      <w:rFonts w:ascii="Book Antiqua" w:hAnsi="Book Antiqua"/>
      <w:i/>
      <w:sz w:val="20"/>
      <w:szCs w:val="20"/>
      <w:lang w:eastAsia="en-AU"/>
    </w:rPr>
  </w:style>
  <w:style w:type="paragraph" w:customStyle="1" w:styleId="Normal31">
    <w:name w:val="Normal_31"/>
    <w:qFormat/>
    <w:rsid w:val="007D0544"/>
    <w:pPr>
      <w:spacing w:after="200" w:line="276" w:lineRule="auto"/>
    </w:pPr>
    <w:rPr>
      <w:sz w:val="22"/>
      <w:szCs w:val="22"/>
      <w:lang w:eastAsia="en-US"/>
    </w:rPr>
  </w:style>
  <w:style w:type="character" w:customStyle="1" w:styleId="HeaderChar">
    <w:name w:val="Header Char"/>
    <w:basedOn w:val="DefaultParagraphFont"/>
    <w:link w:val="Header"/>
    <w:locked/>
    <w:rsid w:val="00C04906"/>
    <w:rPr>
      <w:rFonts w:ascii="Book Antiqua" w:hAnsi="Book Antiqua"/>
      <w:i/>
      <w:lang w:val="en-AU" w:eastAsia="en-AU" w:bidi="ar-SA"/>
    </w:rPr>
  </w:style>
  <w:style w:type="paragraph" w:customStyle="1" w:styleId="Normal32">
    <w:name w:val="Normal_32"/>
    <w:qFormat/>
    <w:rsid w:val="00EA7E31"/>
    <w:pPr>
      <w:spacing w:after="200" w:line="276" w:lineRule="auto"/>
    </w:pPr>
    <w:rPr>
      <w:sz w:val="22"/>
      <w:szCs w:val="22"/>
      <w:lang w:eastAsia="en-US"/>
    </w:rPr>
  </w:style>
  <w:style w:type="paragraph" w:customStyle="1" w:styleId="Normal33">
    <w:name w:val="Normal_33"/>
    <w:qFormat/>
    <w:rsid w:val="00EA7E31"/>
    <w:pPr>
      <w:spacing w:after="200" w:line="276" w:lineRule="auto"/>
    </w:pPr>
    <w:rPr>
      <w:sz w:val="22"/>
      <w:szCs w:val="22"/>
      <w:lang w:eastAsia="en-US"/>
    </w:rPr>
  </w:style>
  <w:style w:type="paragraph" w:customStyle="1" w:styleId="Normal34">
    <w:name w:val="Normal_34"/>
    <w:qFormat/>
    <w:rsid w:val="00540B2D"/>
    <w:pPr>
      <w:spacing w:after="200" w:line="276" w:lineRule="auto"/>
    </w:pPr>
    <w:rPr>
      <w:sz w:val="22"/>
      <w:szCs w:val="22"/>
      <w:lang w:eastAsia="en-US"/>
    </w:rPr>
  </w:style>
  <w:style w:type="paragraph" w:customStyle="1" w:styleId="Heading30">
    <w:name w:val="Heading 3_0"/>
    <w:basedOn w:val="Normal34"/>
    <w:next w:val="Normal34"/>
    <w:link w:val="Heading3Char0"/>
    <w:uiPriority w:val="99"/>
    <w:qFormat/>
    <w:rsid w:val="003C2250"/>
    <w:pPr>
      <w:keepNext/>
      <w:tabs>
        <w:tab w:val="left" w:pos="709"/>
      </w:tabs>
      <w:spacing w:before="240" w:after="240" w:line="240" w:lineRule="auto"/>
      <w:outlineLvl w:val="2"/>
    </w:pPr>
    <w:rPr>
      <w:rFonts w:ascii="Arial" w:hAnsi="Arial"/>
      <w:b/>
      <w:smallCaps/>
      <w:sz w:val="26"/>
      <w:szCs w:val="20"/>
      <w:lang w:eastAsia="en-AU"/>
    </w:rPr>
  </w:style>
  <w:style w:type="character" w:customStyle="1" w:styleId="Heading3Char0">
    <w:name w:val="Heading 3 Char_0"/>
    <w:basedOn w:val="DefaultParagraphFont"/>
    <w:link w:val="Heading30"/>
    <w:uiPriority w:val="99"/>
    <w:semiHidden/>
    <w:rsid w:val="003C2250"/>
    <w:rPr>
      <w:rFonts w:ascii="Arial" w:eastAsia="Times New Roman" w:hAnsi="Arial" w:cs="Times New Roman"/>
      <w:b/>
      <w:smallCaps/>
      <w:sz w:val="26"/>
      <w:szCs w:val="20"/>
      <w:lang w:eastAsia="en-AU"/>
    </w:rPr>
  </w:style>
  <w:style w:type="paragraph" w:customStyle="1" w:styleId="Heading31">
    <w:name w:val="Heading 3_1"/>
    <w:basedOn w:val="Normal35"/>
    <w:next w:val="Normal35"/>
    <w:link w:val="Heading3Char1"/>
    <w:uiPriority w:val="99"/>
    <w:qFormat/>
    <w:rsid w:val="003C2250"/>
    <w:pPr>
      <w:keepNext/>
      <w:tabs>
        <w:tab w:val="left" w:pos="709"/>
      </w:tabs>
      <w:spacing w:before="240" w:after="240" w:line="240" w:lineRule="auto"/>
      <w:outlineLvl w:val="2"/>
    </w:pPr>
    <w:rPr>
      <w:rFonts w:ascii="Arial" w:hAnsi="Arial"/>
      <w:b/>
      <w:smallCaps/>
      <w:sz w:val="26"/>
      <w:szCs w:val="20"/>
      <w:lang w:eastAsia="en-AU"/>
    </w:rPr>
  </w:style>
  <w:style w:type="paragraph" w:customStyle="1" w:styleId="Normal35">
    <w:name w:val="Normal_35"/>
    <w:qFormat/>
    <w:rsid w:val="00540B2D"/>
    <w:pPr>
      <w:spacing w:after="200" w:line="276" w:lineRule="auto"/>
    </w:pPr>
    <w:rPr>
      <w:sz w:val="22"/>
      <w:szCs w:val="22"/>
      <w:lang w:eastAsia="en-US"/>
    </w:rPr>
  </w:style>
  <w:style w:type="character" w:customStyle="1" w:styleId="Heading3Char1">
    <w:name w:val="Heading 3 Char_1"/>
    <w:basedOn w:val="DefaultParagraphFont"/>
    <w:link w:val="Heading31"/>
    <w:uiPriority w:val="99"/>
    <w:rsid w:val="003C2250"/>
    <w:rPr>
      <w:rFonts w:ascii="Arial" w:eastAsia="Times New Roman" w:hAnsi="Arial" w:cs="Times New Roman"/>
      <w:b/>
      <w:smallCaps/>
      <w:sz w:val="26"/>
      <w:szCs w:val="20"/>
      <w:lang w:eastAsia="en-AU"/>
    </w:rPr>
  </w:style>
  <w:style w:type="paragraph" w:customStyle="1" w:styleId="HeaderOdd">
    <w:name w:val="Header Odd"/>
    <w:basedOn w:val="Normal36"/>
    <w:uiPriority w:val="99"/>
    <w:rsid w:val="00EB7ECC"/>
    <w:pPr>
      <w:spacing w:after="0" w:line="240" w:lineRule="auto"/>
      <w:jc w:val="right"/>
    </w:pPr>
    <w:rPr>
      <w:rFonts w:ascii="Book Antiqua" w:hAnsi="Book Antiqua"/>
      <w:i/>
      <w:sz w:val="20"/>
      <w:szCs w:val="20"/>
      <w:lang w:eastAsia="en-AU"/>
    </w:rPr>
  </w:style>
  <w:style w:type="paragraph" w:customStyle="1" w:styleId="Normal36">
    <w:name w:val="Normal_36"/>
    <w:qFormat/>
    <w:rsid w:val="007D0544"/>
    <w:pPr>
      <w:spacing w:after="200" w:line="276" w:lineRule="auto"/>
    </w:pPr>
    <w:rPr>
      <w:sz w:val="22"/>
      <w:szCs w:val="22"/>
      <w:lang w:eastAsia="en-US"/>
    </w:rPr>
  </w:style>
  <w:style w:type="paragraph" w:customStyle="1" w:styleId="HeaderOdd0">
    <w:name w:val="Header Odd_0"/>
    <w:basedOn w:val="Normal37"/>
    <w:uiPriority w:val="99"/>
    <w:rsid w:val="00391CDD"/>
    <w:pPr>
      <w:spacing w:after="0" w:line="240" w:lineRule="auto"/>
      <w:jc w:val="right"/>
    </w:pPr>
    <w:rPr>
      <w:rFonts w:ascii="Book Antiqua" w:hAnsi="Book Antiqua"/>
      <w:i/>
      <w:sz w:val="20"/>
      <w:szCs w:val="20"/>
      <w:lang w:eastAsia="en-AU"/>
    </w:rPr>
  </w:style>
  <w:style w:type="paragraph" w:customStyle="1" w:styleId="Normal37">
    <w:name w:val="Normal_37"/>
    <w:qFormat/>
    <w:rsid w:val="007D0544"/>
    <w:pPr>
      <w:spacing w:after="200" w:line="276" w:lineRule="auto"/>
    </w:pPr>
    <w:rPr>
      <w:sz w:val="22"/>
      <w:szCs w:val="22"/>
      <w:lang w:eastAsia="en-US"/>
    </w:rPr>
  </w:style>
  <w:style w:type="paragraph" w:customStyle="1" w:styleId="FigureHeading">
    <w:name w:val="Figure Heading"/>
    <w:basedOn w:val="Normal38"/>
    <w:next w:val="Normal38"/>
    <w:uiPriority w:val="99"/>
    <w:rsid w:val="003C2250"/>
    <w:pPr>
      <w:keepNext/>
      <w:spacing w:after="120" w:line="240" w:lineRule="auto"/>
      <w:jc w:val="center"/>
    </w:pPr>
    <w:rPr>
      <w:rFonts w:ascii="Arial" w:hAnsi="Arial"/>
      <w:b/>
      <w:sz w:val="20"/>
      <w:szCs w:val="20"/>
      <w:lang w:eastAsia="en-AU"/>
    </w:rPr>
  </w:style>
  <w:style w:type="paragraph" w:customStyle="1" w:styleId="Normal38">
    <w:name w:val="Normal_38"/>
    <w:qFormat/>
    <w:rsid w:val="00540B2D"/>
    <w:pPr>
      <w:spacing w:after="200" w:line="276" w:lineRule="auto"/>
    </w:pPr>
    <w:rPr>
      <w:sz w:val="22"/>
      <w:szCs w:val="22"/>
      <w:lang w:eastAsia="en-US"/>
    </w:rPr>
  </w:style>
  <w:style w:type="paragraph" w:customStyle="1" w:styleId="Normal39">
    <w:name w:val="Normal_39"/>
    <w:qFormat/>
    <w:rsid w:val="00ED5CB5"/>
    <w:pPr>
      <w:spacing w:after="200" w:line="276" w:lineRule="auto"/>
    </w:pPr>
    <w:rPr>
      <w:sz w:val="22"/>
      <w:szCs w:val="22"/>
      <w:lang w:eastAsia="en-US"/>
    </w:rPr>
  </w:style>
  <w:style w:type="paragraph" w:customStyle="1" w:styleId="Heading32">
    <w:name w:val="Heading 3_2"/>
    <w:basedOn w:val="Normal40"/>
    <w:next w:val="Normal40"/>
    <w:link w:val="Heading3Char2"/>
    <w:uiPriority w:val="99"/>
    <w:qFormat/>
    <w:rsid w:val="00C70117"/>
    <w:pPr>
      <w:keepNext/>
      <w:tabs>
        <w:tab w:val="left" w:pos="709"/>
      </w:tabs>
      <w:spacing w:before="240" w:line="240" w:lineRule="auto"/>
      <w:jc w:val="left"/>
      <w:outlineLvl w:val="2"/>
    </w:pPr>
    <w:rPr>
      <w:rFonts w:ascii="Arial" w:hAnsi="Arial"/>
      <w:b/>
      <w:smallCaps/>
      <w:sz w:val="26"/>
    </w:rPr>
  </w:style>
  <w:style w:type="paragraph" w:customStyle="1" w:styleId="Normal40">
    <w:name w:val="Normal_40"/>
    <w:qFormat/>
    <w:rsid w:val="00C70117"/>
    <w:pPr>
      <w:spacing w:after="240" w:line="260" w:lineRule="exact"/>
      <w:jc w:val="both"/>
    </w:pPr>
    <w:rPr>
      <w:rFonts w:ascii="Book Antiqua" w:hAnsi="Book Antiqua"/>
    </w:rPr>
  </w:style>
  <w:style w:type="character" w:customStyle="1" w:styleId="Heading3Char2">
    <w:name w:val="Heading 3 Char_2"/>
    <w:basedOn w:val="DefaultParagraphFont"/>
    <w:link w:val="Heading32"/>
    <w:uiPriority w:val="99"/>
    <w:semiHidden/>
    <w:rsid w:val="00C70117"/>
    <w:rPr>
      <w:rFonts w:ascii="Arial" w:eastAsia="Times New Roman" w:hAnsi="Arial" w:cs="Times New Roman"/>
      <w:b/>
      <w:smallCaps/>
      <w:sz w:val="26"/>
      <w:szCs w:val="20"/>
      <w:lang w:eastAsia="en-AU"/>
    </w:rPr>
  </w:style>
  <w:style w:type="paragraph" w:customStyle="1" w:styleId="TableHeading">
    <w:name w:val="Table Heading"/>
    <w:basedOn w:val="Normal40"/>
    <w:next w:val="Normal40"/>
    <w:link w:val="TableHeadingChar"/>
    <w:uiPriority w:val="99"/>
    <w:rsid w:val="00EC068B"/>
    <w:pPr>
      <w:keepNext/>
      <w:spacing w:before="120" w:after="20" w:line="240" w:lineRule="auto"/>
      <w:jc w:val="left"/>
    </w:pPr>
    <w:rPr>
      <w:rFonts w:ascii="Arial" w:eastAsia="Calibri" w:hAnsi="Arial" w:cs="Arial"/>
      <w:b/>
    </w:rPr>
  </w:style>
  <w:style w:type="character" w:customStyle="1" w:styleId="TableHeadingChar">
    <w:name w:val="Table Heading Char"/>
    <w:basedOn w:val="DefaultParagraphFont"/>
    <w:link w:val="TableHeading"/>
    <w:uiPriority w:val="99"/>
    <w:locked/>
    <w:rsid w:val="00EC068B"/>
    <w:rPr>
      <w:rFonts w:ascii="Arial" w:hAnsi="Arial" w:cs="Arial"/>
      <w:b/>
    </w:rPr>
  </w:style>
  <w:style w:type="paragraph" w:customStyle="1" w:styleId="Normal41">
    <w:name w:val="Normal_41"/>
    <w:qFormat/>
    <w:rsid w:val="007D0544"/>
    <w:pPr>
      <w:spacing w:after="200" w:line="276" w:lineRule="auto"/>
    </w:pPr>
    <w:rPr>
      <w:sz w:val="22"/>
      <w:szCs w:val="22"/>
      <w:lang w:eastAsia="en-US"/>
    </w:rPr>
  </w:style>
  <w:style w:type="paragraph" w:customStyle="1" w:styleId="Normal42">
    <w:name w:val="Normal_42"/>
    <w:qFormat/>
    <w:rsid w:val="007D0544"/>
    <w:pPr>
      <w:spacing w:after="200" w:line="276" w:lineRule="auto"/>
    </w:pPr>
    <w:rPr>
      <w:sz w:val="22"/>
      <w:szCs w:val="22"/>
      <w:lang w:eastAsia="en-US"/>
    </w:rPr>
  </w:style>
  <w:style w:type="paragraph" w:customStyle="1" w:styleId="Normal43">
    <w:name w:val="Normal_43"/>
    <w:qFormat/>
    <w:rsid w:val="00EA7E31"/>
    <w:pPr>
      <w:spacing w:after="200" w:line="276" w:lineRule="auto"/>
    </w:pPr>
    <w:rPr>
      <w:sz w:val="22"/>
      <w:szCs w:val="22"/>
      <w:lang w:eastAsia="en-US"/>
    </w:rPr>
  </w:style>
  <w:style w:type="paragraph" w:customStyle="1" w:styleId="Normal44">
    <w:name w:val="Normal_44"/>
    <w:qFormat/>
    <w:rsid w:val="00EA7E31"/>
    <w:pPr>
      <w:spacing w:after="200" w:line="276" w:lineRule="auto"/>
    </w:pPr>
    <w:rPr>
      <w:sz w:val="22"/>
      <w:szCs w:val="22"/>
      <w:lang w:eastAsia="en-US"/>
    </w:rPr>
  </w:style>
  <w:style w:type="paragraph" w:customStyle="1" w:styleId="Part0">
    <w:name w:val="Part_0"/>
    <w:basedOn w:val="Title0"/>
    <w:next w:val="Normal45"/>
    <w:rsid w:val="00D8093E"/>
    <w:pPr>
      <w:spacing w:before="0" w:after="0" w:line="240" w:lineRule="auto"/>
    </w:pPr>
    <w:rPr>
      <w:smallCaps/>
      <w:sz w:val="52"/>
      <w:lang w:eastAsia="en-AU"/>
    </w:rPr>
  </w:style>
  <w:style w:type="paragraph" w:customStyle="1" w:styleId="Title0">
    <w:name w:val="Title_0"/>
    <w:basedOn w:val="Normal45"/>
    <w:qFormat/>
    <w:rsid w:val="00D8093E"/>
    <w:pPr>
      <w:spacing w:before="240" w:after="60"/>
      <w:jc w:val="center"/>
      <w:outlineLvl w:val="0"/>
    </w:pPr>
    <w:rPr>
      <w:rFonts w:ascii="Arial" w:hAnsi="Arial" w:cs="Arial"/>
      <w:b/>
      <w:bCs/>
      <w:kern w:val="28"/>
      <w:sz w:val="32"/>
      <w:szCs w:val="32"/>
    </w:rPr>
  </w:style>
  <w:style w:type="paragraph" w:customStyle="1" w:styleId="Normal45">
    <w:name w:val="Normal_45"/>
    <w:qFormat/>
    <w:rsid w:val="00EC46F9"/>
    <w:pPr>
      <w:spacing w:after="200" w:line="276" w:lineRule="auto"/>
    </w:pPr>
    <w:rPr>
      <w:sz w:val="22"/>
      <w:szCs w:val="22"/>
      <w:lang w:eastAsia="en-US"/>
    </w:rPr>
  </w:style>
  <w:style w:type="paragraph" w:customStyle="1" w:styleId="TOC10">
    <w:name w:val="TOC 1_0"/>
    <w:basedOn w:val="Normal45"/>
    <w:next w:val="Normal45"/>
    <w:autoRedefine/>
    <w:uiPriority w:val="99"/>
    <w:semiHidden/>
    <w:unhideWhenUsed/>
    <w:rsid w:val="005E0331"/>
    <w:pPr>
      <w:tabs>
        <w:tab w:val="right" w:leader="dot" w:pos="7380"/>
      </w:tabs>
      <w:spacing w:before="240" w:after="0" w:line="240" w:lineRule="auto"/>
      <w:ind w:right="330"/>
    </w:pPr>
    <w:rPr>
      <w:rFonts w:ascii="Arial" w:hAnsi="Arial"/>
      <w:b/>
      <w:sz w:val="20"/>
      <w:szCs w:val="20"/>
      <w:lang w:eastAsia="en-AU"/>
    </w:rPr>
  </w:style>
  <w:style w:type="paragraph" w:customStyle="1" w:styleId="Normal46">
    <w:name w:val="Normal_46"/>
    <w:qFormat/>
    <w:rsid w:val="00EA7E31"/>
    <w:pPr>
      <w:spacing w:after="200" w:line="276" w:lineRule="auto"/>
    </w:pPr>
    <w:rPr>
      <w:sz w:val="22"/>
      <w:szCs w:val="22"/>
      <w:lang w:eastAsia="en-US"/>
    </w:rPr>
  </w:style>
  <w:style w:type="paragraph" w:customStyle="1" w:styleId="Normal47">
    <w:name w:val="Normal_47"/>
    <w:qFormat/>
    <w:rsid w:val="00EA7E31"/>
    <w:pPr>
      <w:spacing w:after="200" w:line="276" w:lineRule="auto"/>
    </w:pPr>
    <w:rPr>
      <w:sz w:val="22"/>
      <w:szCs w:val="22"/>
      <w:lang w:eastAsia="en-US"/>
    </w:rPr>
  </w:style>
  <w:style w:type="paragraph" w:customStyle="1" w:styleId="Normal48">
    <w:name w:val="Normal_48"/>
    <w:qFormat/>
    <w:rsid w:val="00724034"/>
    <w:rPr>
      <w:sz w:val="24"/>
      <w:szCs w:val="24"/>
    </w:rPr>
  </w:style>
  <w:style w:type="paragraph" w:customStyle="1" w:styleId="Normal49">
    <w:name w:val="Normal_49"/>
    <w:qFormat/>
    <w:rsid w:val="00EA7E31"/>
    <w:pPr>
      <w:spacing w:after="200" w:line="276" w:lineRule="auto"/>
    </w:pPr>
    <w:rPr>
      <w:sz w:val="22"/>
      <w:szCs w:val="22"/>
      <w:lang w:eastAsia="en-US"/>
    </w:rPr>
  </w:style>
  <w:style w:type="paragraph" w:customStyle="1" w:styleId="Normal50">
    <w:name w:val="Normal_50"/>
    <w:qFormat/>
    <w:rsid w:val="00EA7E31"/>
    <w:pPr>
      <w:spacing w:after="200" w:line="276" w:lineRule="auto"/>
    </w:pPr>
    <w:rPr>
      <w:sz w:val="22"/>
      <w:szCs w:val="22"/>
      <w:lang w:eastAsia="en-US"/>
    </w:rPr>
  </w:style>
  <w:style w:type="paragraph" w:customStyle="1" w:styleId="Department">
    <w:name w:val="Department"/>
    <w:basedOn w:val="Normal51"/>
    <w:rsid w:val="006428B8"/>
    <w:pPr>
      <w:spacing w:after="0" w:line="240" w:lineRule="auto"/>
      <w:jc w:val="center"/>
    </w:pPr>
    <w:rPr>
      <w:b/>
      <w:sz w:val="52"/>
    </w:rPr>
  </w:style>
  <w:style w:type="paragraph" w:customStyle="1" w:styleId="Normal51">
    <w:name w:val="Normal_51"/>
    <w:qFormat/>
    <w:rsid w:val="006428B8"/>
    <w:pPr>
      <w:spacing w:after="240" w:line="260" w:lineRule="exact"/>
      <w:jc w:val="both"/>
    </w:pPr>
    <w:rPr>
      <w:rFonts w:ascii="Book Antiqua" w:hAnsi="Book Antiqua"/>
    </w:rPr>
  </w:style>
  <w:style w:type="paragraph" w:customStyle="1" w:styleId="DepartmentSubtitle">
    <w:name w:val="Department Subtitle"/>
    <w:basedOn w:val="Department"/>
    <w:rsid w:val="006428B8"/>
    <w:rPr>
      <w:sz w:val="44"/>
    </w:rPr>
  </w:style>
  <w:style w:type="paragraph" w:customStyle="1" w:styleId="Normal52">
    <w:name w:val="Normal_52"/>
    <w:qFormat/>
    <w:rsid w:val="00EA7E31"/>
    <w:pPr>
      <w:spacing w:after="200" w:line="276" w:lineRule="auto"/>
    </w:pPr>
    <w:rPr>
      <w:sz w:val="22"/>
      <w:szCs w:val="22"/>
      <w:lang w:eastAsia="en-US"/>
    </w:rPr>
  </w:style>
  <w:style w:type="paragraph" w:customStyle="1" w:styleId="Normal53">
    <w:name w:val="Normal_53"/>
    <w:qFormat/>
    <w:rsid w:val="00EA7E31"/>
    <w:pPr>
      <w:spacing w:after="200" w:line="276" w:lineRule="auto"/>
    </w:pPr>
    <w:rPr>
      <w:sz w:val="22"/>
      <w:szCs w:val="22"/>
      <w:lang w:eastAsia="en-US"/>
    </w:rPr>
  </w:style>
  <w:style w:type="paragraph" w:customStyle="1" w:styleId="Normal54">
    <w:name w:val="Normal_54"/>
    <w:qFormat/>
    <w:rsid w:val="00724034"/>
    <w:rPr>
      <w:sz w:val="24"/>
      <w:szCs w:val="24"/>
    </w:rPr>
  </w:style>
  <w:style w:type="paragraph" w:customStyle="1" w:styleId="Normal55">
    <w:name w:val="Normal_55"/>
    <w:qFormat/>
    <w:rsid w:val="00EA7E31"/>
    <w:pPr>
      <w:spacing w:after="200" w:line="276" w:lineRule="auto"/>
    </w:pPr>
    <w:rPr>
      <w:sz w:val="22"/>
      <w:szCs w:val="22"/>
      <w:lang w:eastAsia="en-US"/>
    </w:rPr>
  </w:style>
  <w:style w:type="paragraph" w:customStyle="1" w:styleId="Normal56">
    <w:name w:val="Normal_56"/>
    <w:qFormat/>
    <w:rsid w:val="00EA7E31"/>
    <w:pPr>
      <w:spacing w:after="200" w:line="276" w:lineRule="auto"/>
    </w:pPr>
    <w:rPr>
      <w:sz w:val="22"/>
      <w:szCs w:val="22"/>
      <w:lang w:eastAsia="en-US"/>
    </w:rPr>
  </w:style>
  <w:style w:type="paragraph" w:customStyle="1" w:styleId="ContentsHeading0">
    <w:name w:val="Contents Heading_0"/>
    <w:basedOn w:val="Normal57"/>
    <w:next w:val="Normal57"/>
    <w:uiPriority w:val="99"/>
    <w:rsid w:val="00F052F0"/>
    <w:pPr>
      <w:keepNext/>
      <w:spacing w:after="360" w:line="240" w:lineRule="auto"/>
      <w:jc w:val="center"/>
    </w:pPr>
    <w:rPr>
      <w:rFonts w:ascii="Arial" w:hAnsi="Arial"/>
      <w:b/>
      <w:smallCaps/>
      <w:sz w:val="34"/>
      <w:szCs w:val="20"/>
      <w:lang w:eastAsia="en-AU"/>
    </w:rPr>
  </w:style>
  <w:style w:type="paragraph" w:customStyle="1" w:styleId="Normal57">
    <w:name w:val="Normal_57"/>
    <w:qFormat/>
    <w:rsid w:val="00EC46F9"/>
    <w:pPr>
      <w:spacing w:after="200" w:line="276" w:lineRule="auto"/>
    </w:pPr>
    <w:rPr>
      <w:sz w:val="22"/>
      <w:szCs w:val="22"/>
      <w:lang w:eastAsia="en-US"/>
    </w:rPr>
  </w:style>
  <w:style w:type="paragraph" w:customStyle="1" w:styleId="TOC11">
    <w:name w:val="TOC 1_1"/>
    <w:basedOn w:val="Normal57"/>
    <w:next w:val="Normal57"/>
    <w:autoRedefine/>
    <w:uiPriority w:val="99"/>
    <w:semiHidden/>
    <w:unhideWhenUsed/>
    <w:rsid w:val="001C4D01"/>
    <w:pPr>
      <w:tabs>
        <w:tab w:val="right" w:leader="dot" w:pos="7560"/>
      </w:tabs>
      <w:spacing w:before="240" w:after="120" w:line="240" w:lineRule="auto"/>
      <w:ind w:right="150"/>
    </w:pPr>
    <w:rPr>
      <w:rFonts w:ascii="Arial" w:hAnsi="Arial"/>
      <w:b/>
      <w:sz w:val="20"/>
      <w:szCs w:val="20"/>
      <w:lang w:eastAsia="en-AU"/>
    </w:rPr>
  </w:style>
  <w:style w:type="paragraph" w:customStyle="1" w:styleId="TOC20">
    <w:name w:val="TOC 2_0"/>
    <w:basedOn w:val="Normal57"/>
    <w:next w:val="Normal57"/>
    <w:autoRedefine/>
    <w:uiPriority w:val="99"/>
    <w:unhideWhenUsed/>
    <w:rsid w:val="001C4D01"/>
    <w:pPr>
      <w:keepNext/>
      <w:tabs>
        <w:tab w:val="left" w:pos="540"/>
        <w:tab w:val="left" w:pos="567"/>
        <w:tab w:val="right" w:leader="dot" w:pos="7560"/>
      </w:tabs>
      <w:spacing w:before="80" w:after="120" w:line="240" w:lineRule="auto"/>
      <w:ind w:right="150"/>
    </w:pPr>
    <w:rPr>
      <w:rFonts w:ascii="Arial" w:hAnsi="Arial"/>
      <w:sz w:val="20"/>
      <w:szCs w:val="20"/>
      <w:lang w:eastAsia="en-AU"/>
    </w:rPr>
  </w:style>
  <w:style w:type="paragraph" w:customStyle="1" w:styleId="Normal58">
    <w:name w:val="Normal_58"/>
    <w:qFormat/>
    <w:rsid w:val="00EA7E31"/>
    <w:pPr>
      <w:spacing w:after="200" w:line="276" w:lineRule="auto"/>
    </w:pPr>
    <w:rPr>
      <w:sz w:val="22"/>
      <w:szCs w:val="22"/>
      <w:lang w:eastAsia="en-US"/>
    </w:rPr>
  </w:style>
  <w:style w:type="paragraph" w:customStyle="1" w:styleId="Normal59">
    <w:name w:val="Normal_59"/>
    <w:qFormat/>
    <w:rsid w:val="00EA7E31"/>
    <w:pPr>
      <w:spacing w:after="200" w:line="276" w:lineRule="auto"/>
    </w:pPr>
    <w:rPr>
      <w:sz w:val="22"/>
      <w:szCs w:val="22"/>
      <w:lang w:eastAsia="en-US"/>
    </w:rPr>
  </w:style>
  <w:style w:type="paragraph" w:customStyle="1" w:styleId="Normal60">
    <w:name w:val="Normal_60"/>
    <w:qFormat/>
    <w:rsid w:val="00724034"/>
    <w:rPr>
      <w:sz w:val="24"/>
      <w:szCs w:val="24"/>
    </w:rPr>
  </w:style>
  <w:style w:type="paragraph" w:customStyle="1" w:styleId="Normal61">
    <w:name w:val="Normal_61"/>
    <w:qFormat/>
    <w:rsid w:val="00EA7E31"/>
    <w:pPr>
      <w:spacing w:after="200" w:line="276" w:lineRule="auto"/>
    </w:pPr>
    <w:rPr>
      <w:sz w:val="22"/>
      <w:szCs w:val="22"/>
      <w:lang w:eastAsia="en-US"/>
    </w:rPr>
  </w:style>
  <w:style w:type="paragraph" w:customStyle="1" w:styleId="Normal62">
    <w:name w:val="Normal_62"/>
    <w:qFormat/>
    <w:rsid w:val="00EA7E31"/>
    <w:pPr>
      <w:spacing w:after="200" w:line="276" w:lineRule="auto"/>
    </w:pPr>
    <w:rPr>
      <w:sz w:val="22"/>
      <w:szCs w:val="22"/>
      <w:lang w:eastAsia="en-US"/>
    </w:rPr>
  </w:style>
  <w:style w:type="paragraph" w:customStyle="1" w:styleId="Heading11">
    <w:name w:val="Heading 1_1"/>
    <w:basedOn w:val="Normal63"/>
    <w:next w:val="Normal63"/>
    <w:link w:val="Heading1Char"/>
    <w:uiPriority w:val="99"/>
    <w:qFormat/>
    <w:rsid w:val="008D578F"/>
    <w:pPr>
      <w:keepNext/>
      <w:spacing w:line="240" w:lineRule="auto"/>
      <w:jc w:val="center"/>
      <w:outlineLvl w:val="0"/>
    </w:pPr>
    <w:rPr>
      <w:rFonts w:ascii="Arial" w:hAnsi="Arial"/>
      <w:b/>
      <w:smallCaps/>
      <w:kern w:val="28"/>
      <w:sz w:val="34"/>
    </w:rPr>
  </w:style>
  <w:style w:type="paragraph" w:customStyle="1" w:styleId="Normal63">
    <w:name w:val="Normal_63"/>
    <w:qFormat/>
    <w:rsid w:val="008D578F"/>
    <w:pPr>
      <w:spacing w:after="240" w:line="260" w:lineRule="exact"/>
      <w:jc w:val="both"/>
    </w:pPr>
    <w:rPr>
      <w:rFonts w:ascii="Book Antiqua" w:hAnsi="Book Antiqua"/>
    </w:rPr>
  </w:style>
  <w:style w:type="character" w:customStyle="1" w:styleId="Heading1Char">
    <w:name w:val="Heading 1 Char"/>
    <w:basedOn w:val="DefaultParagraphFont"/>
    <w:link w:val="Heading11"/>
    <w:uiPriority w:val="99"/>
    <w:rsid w:val="008D578F"/>
    <w:rPr>
      <w:rFonts w:ascii="Arial" w:eastAsia="Times New Roman" w:hAnsi="Arial" w:cs="Times New Roman"/>
      <w:b/>
      <w:smallCaps/>
      <w:kern w:val="28"/>
      <w:sz w:val="34"/>
      <w:szCs w:val="20"/>
      <w:lang w:eastAsia="en-AU"/>
    </w:rPr>
  </w:style>
  <w:style w:type="character" w:customStyle="1" w:styleId="Heading2Char">
    <w:name w:val="Heading 2 Char"/>
    <w:basedOn w:val="DefaultParagraphFont"/>
    <w:link w:val="Heading2"/>
    <w:uiPriority w:val="99"/>
    <w:rsid w:val="008D578F"/>
    <w:rPr>
      <w:rFonts w:ascii="Arial" w:eastAsia="Times New Roman" w:hAnsi="Arial" w:cs="Times New Roman"/>
      <w:sz w:val="30"/>
      <w:szCs w:val="20"/>
      <w:lang w:eastAsia="en-AU"/>
    </w:rPr>
  </w:style>
  <w:style w:type="paragraph" w:customStyle="1" w:styleId="Heading33">
    <w:name w:val="Heading 3_3"/>
    <w:basedOn w:val="Normal63"/>
    <w:next w:val="Normal63"/>
    <w:link w:val="Heading3Char3"/>
    <w:uiPriority w:val="99"/>
    <w:qFormat/>
    <w:rsid w:val="008D578F"/>
    <w:pPr>
      <w:keepNext/>
      <w:tabs>
        <w:tab w:val="left" w:pos="709"/>
      </w:tabs>
      <w:spacing w:before="240" w:line="240" w:lineRule="auto"/>
      <w:jc w:val="left"/>
      <w:outlineLvl w:val="2"/>
    </w:pPr>
    <w:rPr>
      <w:rFonts w:ascii="Arial" w:hAnsi="Arial"/>
      <w:b/>
      <w:smallCaps/>
      <w:sz w:val="26"/>
    </w:rPr>
  </w:style>
  <w:style w:type="character" w:customStyle="1" w:styleId="Heading3Char3">
    <w:name w:val="Heading 3 Char_3"/>
    <w:basedOn w:val="DefaultParagraphFont"/>
    <w:link w:val="Heading33"/>
    <w:uiPriority w:val="99"/>
    <w:rsid w:val="008D578F"/>
    <w:rPr>
      <w:rFonts w:ascii="Arial" w:eastAsia="Times New Roman" w:hAnsi="Arial" w:cs="Times New Roman"/>
      <w:b/>
      <w:smallCaps/>
      <w:sz w:val="26"/>
      <w:szCs w:val="20"/>
      <w:lang w:eastAsia="en-AU"/>
    </w:rPr>
  </w:style>
  <w:style w:type="paragraph" w:styleId="ListParagraph">
    <w:name w:val="List Paragraph"/>
    <w:basedOn w:val="Normal63"/>
    <w:uiPriority w:val="34"/>
    <w:qFormat/>
    <w:rsid w:val="00C04EEB"/>
    <w:pPr>
      <w:ind w:left="720"/>
      <w:contextualSpacing/>
    </w:pPr>
  </w:style>
  <w:style w:type="paragraph" w:customStyle="1" w:styleId="HeaderOdd1">
    <w:name w:val="Header Odd_1"/>
    <w:basedOn w:val="Normal64"/>
    <w:uiPriority w:val="99"/>
    <w:rsid w:val="00391CDD"/>
    <w:pPr>
      <w:spacing w:after="0" w:line="240" w:lineRule="auto"/>
      <w:jc w:val="right"/>
    </w:pPr>
    <w:rPr>
      <w:rFonts w:ascii="Book Antiqua" w:hAnsi="Book Antiqua"/>
      <w:i/>
      <w:sz w:val="20"/>
      <w:szCs w:val="20"/>
      <w:lang w:eastAsia="en-AU"/>
    </w:rPr>
  </w:style>
  <w:style w:type="paragraph" w:customStyle="1" w:styleId="Normal64">
    <w:name w:val="Normal_64"/>
    <w:qFormat/>
    <w:rsid w:val="007D0544"/>
    <w:pPr>
      <w:spacing w:after="200" w:line="276" w:lineRule="auto"/>
    </w:pPr>
    <w:rPr>
      <w:sz w:val="22"/>
      <w:szCs w:val="22"/>
      <w:lang w:eastAsia="en-US"/>
    </w:rPr>
  </w:style>
  <w:style w:type="paragraph" w:customStyle="1" w:styleId="HeaderOdd2">
    <w:name w:val="Header Odd_2"/>
    <w:basedOn w:val="Normal65"/>
    <w:uiPriority w:val="99"/>
    <w:rsid w:val="00EB7ECC"/>
    <w:pPr>
      <w:spacing w:after="0" w:line="240" w:lineRule="auto"/>
      <w:jc w:val="right"/>
    </w:pPr>
    <w:rPr>
      <w:rFonts w:ascii="Book Antiqua" w:hAnsi="Book Antiqua"/>
      <w:i/>
      <w:sz w:val="20"/>
      <w:szCs w:val="20"/>
      <w:lang w:eastAsia="en-AU"/>
    </w:rPr>
  </w:style>
  <w:style w:type="paragraph" w:customStyle="1" w:styleId="Normal65">
    <w:name w:val="Normal_65"/>
    <w:qFormat/>
    <w:rsid w:val="007D0544"/>
    <w:pPr>
      <w:spacing w:after="200" w:line="276" w:lineRule="auto"/>
    </w:pPr>
    <w:rPr>
      <w:sz w:val="22"/>
      <w:szCs w:val="22"/>
      <w:lang w:eastAsia="en-US"/>
    </w:rPr>
  </w:style>
  <w:style w:type="paragraph" w:customStyle="1" w:styleId="Normal66">
    <w:name w:val="Normal_66"/>
    <w:qFormat/>
    <w:rsid w:val="00EA7E31"/>
    <w:pPr>
      <w:spacing w:after="200" w:line="276" w:lineRule="auto"/>
    </w:pPr>
    <w:rPr>
      <w:sz w:val="22"/>
      <w:szCs w:val="22"/>
      <w:lang w:eastAsia="en-US"/>
    </w:rPr>
  </w:style>
  <w:style w:type="paragraph" w:customStyle="1" w:styleId="Normal67">
    <w:name w:val="Normal_67"/>
    <w:qFormat/>
    <w:rsid w:val="00EA7E31"/>
    <w:pPr>
      <w:spacing w:after="200" w:line="276" w:lineRule="auto"/>
    </w:pPr>
    <w:rPr>
      <w:sz w:val="22"/>
      <w:szCs w:val="22"/>
      <w:lang w:eastAsia="en-US"/>
    </w:rPr>
  </w:style>
  <w:style w:type="paragraph" w:customStyle="1" w:styleId="ListParagraph0">
    <w:name w:val="List Paragraph_0"/>
    <w:basedOn w:val="Normal68"/>
    <w:uiPriority w:val="34"/>
    <w:qFormat/>
    <w:rsid w:val="001C49D7"/>
    <w:pPr>
      <w:ind w:left="720"/>
      <w:contextualSpacing/>
    </w:pPr>
  </w:style>
  <w:style w:type="paragraph" w:customStyle="1" w:styleId="Normal68">
    <w:name w:val="Normal_68"/>
    <w:qFormat/>
    <w:rsid w:val="00D50E2C"/>
    <w:pPr>
      <w:spacing w:after="240" w:line="260" w:lineRule="exact"/>
      <w:jc w:val="both"/>
    </w:pPr>
    <w:rPr>
      <w:rFonts w:ascii="Book Antiqua" w:hAnsi="Book Antiqua"/>
    </w:rPr>
  </w:style>
  <w:style w:type="paragraph" w:customStyle="1" w:styleId="Heading34">
    <w:name w:val="Heading 3_4"/>
    <w:basedOn w:val="Normal69"/>
    <w:next w:val="Normal69"/>
    <w:link w:val="Heading3Char4"/>
    <w:qFormat/>
    <w:rsid w:val="008A0EE5"/>
    <w:pPr>
      <w:keepNext/>
      <w:tabs>
        <w:tab w:val="left" w:pos="709"/>
      </w:tabs>
      <w:spacing w:before="240" w:after="240" w:line="240" w:lineRule="auto"/>
      <w:outlineLvl w:val="2"/>
    </w:pPr>
    <w:rPr>
      <w:rFonts w:ascii="Arial" w:eastAsia="Times New Roman" w:hAnsi="Arial"/>
      <w:b/>
      <w:smallCaps/>
      <w:sz w:val="26"/>
      <w:szCs w:val="20"/>
      <w:lang w:eastAsia="en-AU"/>
    </w:rPr>
  </w:style>
  <w:style w:type="paragraph" w:customStyle="1" w:styleId="Normal69">
    <w:name w:val="Normal_69"/>
    <w:qFormat/>
    <w:rsid w:val="008A0EE5"/>
    <w:pPr>
      <w:spacing w:after="200" w:line="276" w:lineRule="auto"/>
    </w:pPr>
    <w:rPr>
      <w:rFonts w:ascii="Calibri" w:eastAsia="Calibri" w:hAnsi="Calibri"/>
      <w:sz w:val="22"/>
      <w:szCs w:val="22"/>
      <w:lang w:eastAsia="en-US"/>
    </w:rPr>
  </w:style>
  <w:style w:type="character" w:customStyle="1" w:styleId="Heading3Char4">
    <w:name w:val="Heading 3 Char_4"/>
    <w:basedOn w:val="DefaultParagraphFont"/>
    <w:link w:val="Heading34"/>
    <w:semiHidden/>
    <w:locked/>
    <w:rsid w:val="008A0EE5"/>
    <w:rPr>
      <w:rFonts w:ascii="Arial" w:hAnsi="Arial"/>
      <w:b/>
      <w:smallCaps/>
      <w:sz w:val="26"/>
      <w:lang w:val="en-AU" w:eastAsia="en-AU" w:bidi="ar-SA"/>
    </w:rPr>
  </w:style>
  <w:style w:type="paragraph" w:customStyle="1" w:styleId="TableHeadingcontinued">
    <w:name w:val="Table Heading continued"/>
    <w:basedOn w:val="Normal69"/>
    <w:next w:val="Normal69"/>
    <w:link w:val="TableHeadingcontinuedChar"/>
    <w:rsid w:val="008A0EE5"/>
    <w:pPr>
      <w:keepNext/>
      <w:spacing w:before="120" w:after="20" w:line="240" w:lineRule="auto"/>
    </w:pPr>
    <w:rPr>
      <w:rFonts w:ascii="Arial Bold" w:eastAsia="Times New Roman" w:hAnsi="Arial Bold"/>
      <w:b/>
      <w:sz w:val="20"/>
      <w:szCs w:val="20"/>
      <w:lang w:eastAsia="en-AU"/>
    </w:rPr>
  </w:style>
  <w:style w:type="character" w:customStyle="1" w:styleId="TableHeadingcontinuedChar">
    <w:name w:val="Table Heading continued Char"/>
    <w:basedOn w:val="DefaultParagraphFont"/>
    <w:link w:val="TableHeadingcontinued"/>
    <w:locked/>
    <w:rsid w:val="008A0EE5"/>
    <w:rPr>
      <w:rFonts w:ascii="Arial Bold" w:hAnsi="Arial Bold"/>
      <w:b/>
      <w:lang w:bidi="ar-SA"/>
    </w:rPr>
  </w:style>
  <w:style w:type="paragraph" w:customStyle="1" w:styleId="TableHeading0">
    <w:name w:val="Table Heading_0"/>
    <w:basedOn w:val="Normal70"/>
    <w:next w:val="Normal70"/>
    <w:link w:val="TableHeadingChar0"/>
    <w:rsid w:val="00396996"/>
    <w:pPr>
      <w:keepNext/>
      <w:spacing w:before="120" w:after="20"/>
    </w:pPr>
    <w:rPr>
      <w:rFonts w:ascii="Arial" w:hAnsi="Arial" w:cs="Arial"/>
      <w:b/>
      <w:sz w:val="20"/>
      <w:szCs w:val="20"/>
    </w:rPr>
  </w:style>
  <w:style w:type="paragraph" w:customStyle="1" w:styleId="Normal70">
    <w:name w:val="Normal_70"/>
    <w:qFormat/>
    <w:rsid w:val="00724034"/>
    <w:rPr>
      <w:sz w:val="24"/>
      <w:szCs w:val="24"/>
    </w:rPr>
  </w:style>
  <w:style w:type="character" w:customStyle="1" w:styleId="TableHeadingChar0">
    <w:name w:val="Table Heading Char_0"/>
    <w:basedOn w:val="DefaultParagraphFont"/>
    <w:link w:val="TableHeading0"/>
    <w:locked/>
    <w:rsid w:val="00396996"/>
    <w:rPr>
      <w:rFonts w:ascii="Arial" w:hAnsi="Arial" w:cs="Arial"/>
      <w:b/>
      <w:lang w:bidi="ar-SA"/>
    </w:rPr>
  </w:style>
  <w:style w:type="paragraph" w:customStyle="1" w:styleId="TableHeadingcontinued0">
    <w:name w:val="Table Heading continued_0"/>
    <w:basedOn w:val="Normal70"/>
    <w:next w:val="Normal70"/>
    <w:link w:val="TableHeadingcontinuedChar0"/>
    <w:rsid w:val="00396996"/>
    <w:pPr>
      <w:keepNext/>
      <w:spacing w:before="120" w:after="20"/>
    </w:pPr>
    <w:rPr>
      <w:rFonts w:ascii="Arial Bold" w:hAnsi="Arial Bold"/>
      <w:b/>
      <w:sz w:val="20"/>
      <w:szCs w:val="20"/>
    </w:rPr>
  </w:style>
  <w:style w:type="character" w:customStyle="1" w:styleId="TableHeadingcontinuedChar0">
    <w:name w:val="Table Heading continued Char_0"/>
    <w:basedOn w:val="DefaultParagraphFont"/>
    <w:link w:val="TableHeadingcontinued0"/>
    <w:locked/>
    <w:rsid w:val="00396996"/>
    <w:rPr>
      <w:rFonts w:ascii="Arial Bold" w:hAnsi="Arial Bold"/>
      <w:b/>
      <w:lang w:bidi="ar-SA"/>
    </w:rPr>
  </w:style>
  <w:style w:type="paragraph" w:customStyle="1" w:styleId="TableHeading1">
    <w:name w:val="Table Heading_1"/>
    <w:basedOn w:val="Normal71"/>
    <w:next w:val="Normal71"/>
    <w:link w:val="TableHeadingChar1"/>
    <w:rsid w:val="0018033A"/>
    <w:pPr>
      <w:keepNext/>
      <w:spacing w:before="120" w:after="20"/>
    </w:pPr>
    <w:rPr>
      <w:rFonts w:ascii="Arial" w:hAnsi="Arial" w:cs="Arial"/>
      <w:b/>
      <w:sz w:val="20"/>
      <w:szCs w:val="20"/>
    </w:rPr>
  </w:style>
  <w:style w:type="paragraph" w:customStyle="1" w:styleId="Normal71">
    <w:name w:val="Normal_71"/>
    <w:qFormat/>
    <w:rsid w:val="00724034"/>
    <w:rPr>
      <w:sz w:val="24"/>
      <w:szCs w:val="24"/>
    </w:rPr>
  </w:style>
  <w:style w:type="character" w:customStyle="1" w:styleId="TableHeadingChar1">
    <w:name w:val="Table Heading Char_1"/>
    <w:basedOn w:val="DefaultParagraphFont"/>
    <w:link w:val="TableHeading1"/>
    <w:locked/>
    <w:rsid w:val="0018033A"/>
    <w:rPr>
      <w:rFonts w:ascii="Arial" w:hAnsi="Arial" w:cs="Arial"/>
      <w:b/>
      <w:lang w:bidi="ar-SA"/>
    </w:rPr>
  </w:style>
  <w:style w:type="paragraph" w:customStyle="1" w:styleId="TableHeadingcontinued1">
    <w:name w:val="Table Heading continued_1"/>
    <w:basedOn w:val="Normal71"/>
    <w:next w:val="Normal71"/>
    <w:link w:val="TableHeadingcontinuedChar1"/>
    <w:rsid w:val="0018033A"/>
    <w:pPr>
      <w:keepNext/>
      <w:spacing w:before="120" w:after="20"/>
    </w:pPr>
    <w:rPr>
      <w:rFonts w:ascii="Arial Bold" w:hAnsi="Arial Bold"/>
      <w:b/>
      <w:sz w:val="20"/>
      <w:szCs w:val="20"/>
    </w:rPr>
  </w:style>
  <w:style w:type="character" w:customStyle="1" w:styleId="TableHeadingcontinuedChar1">
    <w:name w:val="Table Heading continued Char_1"/>
    <w:basedOn w:val="DefaultParagraphFont"/>
    <w:link w:val="TableHeadingcontinued1"/>
    <w:locked/>
    <w:rsid w:val="0018033A"/>
    <w:rPr>
      <w:rFonts w:ascii="Arial Bold" w:hAnsi="Arial Bold"/>
      <w:b/>
      <w:lang w:bidi="ar-SA"/>
    </w:rPr>
  </w:style>
  <w:style w:type="paragraph" w:customStyle="1" w:styleId="ListParagraph1">
    <w:name w:val="List Paragraph_1"/>
    <w:basedOn w:val="Normal72"/>
    <w:qFormat/>
    <w:rsid w:val="006C54EB"/>
    <w:pPr>
      <w:ind w:left="720"/>
      <w:contextualSpacing/>
    </w:pPr>
  </w:style>
  <w:style w:type="paragraph" w:customStyle="1" w:styleId="Normal72">
    <w:name w:val="Normal_72"/>
    <w:qFormat/>
    <w:rsid w:val="006C54EB"/>
    <w:pPr>
      <w:spacing w:after="200" w:line="276" w:lineRule="auto"/>
    </w:pPr>
    <w:rPr>
      <w:rFonts w:ascii="Calibri" w:eastAsia="Calibri" w:hAnsi="Calibri"/>
      <w:sz w:val="22"/>
      <w:szCs w:val="22"/>
      <w:lang w:eastAsia="en-US"/>
    </w:rPr>
  </w:style>
  <w:style w:type="paragraph" w:customStyle="1" w:styleId="ChartandTableFootnote">
    <w:name w:val="Chart and Table Footnote"/>
    <w:basedOn w:val="Normal72"/>
    <w:next w:val="Normal72"/>
    <w:link w:val="ChartandTableFootnoteChar"/>
    <w:rsid w:val="006C54EB"/>
    <w:pPr>
      <w:keepNext/>
      <w:tabs>
        <w:tab w:val="left" w:pos="454"/>
      </w:tabs>
      <w:spacing w:after="0" w:line="240" w:lineRule="auto"/>
      <w:ind w:left="454" w:hanging="454"/>
      <w:jc w:val="both"/>
    </w:pPr>
    <w:rPr>
      <w:rFonts w:ascii="Arial" w:eastAsia="Times New Roman" w:hAnsi="Arial" w:cs="Arial"/>
      <w:sz w:val="16"/>
      <w:szCs w:val="20"/>
      <w:lang w:eastAsia="en-AU"/>
    </w:rPr>
  </w:style>
  <w:style w:type="character" w:customStyle="1" w:styleId="ChartandTableFootnoteChar">
    <w:name w:val="Chart and Table Footnote Char"/>
    <w:basedOn w:val="DefaultParagraphFont"/>
    <w:link w:val="ChartandTableFootnote"/>
    <w:locked/>
    <w:rsid w:val="006C54EB"/>
    <w:rPr>
      <w:rFonts w:ascii="Arial" w:hAnsi="Arial" w:cs="Arial"/>
      <w:sz w:val="16"/>
      <w:lang w:bidi="ar-SA"/>
    </w:rPr>
  </w:style>
  <w:style w:type="paragraph" w:customStyle="1" w:styleId="TableHeading2">
    <w:name w:val="Table Heading_2"/>
    <w:basedOn w:val="Normal73"/>
    <w:next w:val="Normal73"/>
    <w:link w:val="TableHeadingChar2"/>
    <w:rsid w:val="00531DD1"/>
    <w:pPr>
      <w:keepNext/>
      <w:spacing w:before="120" w:after="20"/>
    </w:pPr>
    <w:rPr>
      <w:rFonts w:ascii="Arial" w:hAnsi="Arial" w:cs="Arial"/>
      <w:b/>
      <w:sz w:val="20"/>
      <w:szCs w:val="20"/>
    </w:rPr>
  </w:style>
  <w:style w:type="paragraph" w:customStyle="1" w:styleId="Normal73">
    <w:name w:val="Normal_73"/>
    <w:qFormat/>
    <w:rsid w:val="00724034"/>
    <w:rPr>
      <w:sz w:val="24"/>
      <w:szCs w:val="24"/>
    </w:rPr>
  </w:style>
  <w:style w:type="character" w:customStyle="1" w:styleId="TableHeadingChar2">
    <w:name w:val="Table Heading Char_2"/>
    <w:basedOn w:val="DefaultParagraphFont"/>
    <w:link w:val="TableHeading2"/>
    <w:locked/>
    <w:rsid w:val="00531DD1"/>
    <w:rPr>
      <w:rFonts w:ascii="Arial" w:hAnsi="Arial" w:cs="Arial"/>
      <w:b/>
      <w:lang w:bidi="ar-SA"/>
    </w:rPr>
  </w:style>
  <w:style w:type="paragraph" w:customStyle="1" w:styleId="TableHeadingcontinued2">
    <w:name w:val="Table Heading continued_2"/>
    <w:basedOn w:val="Normal73"/>
    <w:next w:val="Normal73"/>
    <w:link w:val="TableHeadingcontinuedChar2"/>
    <w:rsid w:val="00531DD1"/>
    <w:pPr>
      <w:keepNext/>
      <w:spacing w:before="120" w:after="20"/>
    </w:pPr>
    <w:rPr>
      <w:rFonts w:ascii="Arial Bold" w:hAnsi="Arial Bold"/>
      <w:b/>
      <w:sz w:val="20"/>
      <w:szCs w:val="20"/>
    </w:rPr>
  </w:style>
  <w:style w:type="character" w:customStyle="1" w:styleId="TableHeadingcontinuedChar2">
    <w:name w:val="Table Heading continued Char_2"/>
    <w:basedOn w:val="DefaultParagraphFont"/>
    <w:link w:val="TableHeadingcontinued2"/>
    <w:locked/>
    <w:rsid w:val="00531DD1"/>
    <w:rPr>
      <w:rFonts w:ascii="Arial Bold" w:hAnsi="Arial Bold"/>
      <w:b/>
      <w:lang w:bidi="ar-SA"/>
    </w:rPr>
  </w:style>
  <w:style w:type="paragraph" w:customStyle="1" w:styleId="Heading35">
    <w:name w:val="Heading 3_5"/>
    <w:basedOn w:val="Normal74"/>
    <w:next w:val="Normal74"/>
    <w:link w:val="Heading3Char5"/>
    <w:uiPriority w:val="99"/>
    <w:qFormat/>
    <w:rsid w:val="00B518C0"/>
    <w:pPr>
      <w:keepNext/>
      <w:tabs>
        <w:tab w:val="left" w:pos="709"/>
      </w:tabs>
      <w:spacing w:before="240" w:after="240" w:line="240" w:lineRule="auto"/>
      <w:outlineLvl w:val="2"/>
    </w:pPr>
    <w:rPr>
      <w:rFonts w:ascii="Arial" w:hAnsi="Arial"/>
      <w:b/>
      <w:smallCaps/>
      <w:sz w:val="26"/>
      <w:szCs w:val="20"/>
      <w:lang w:eastAsia="en-AU"/>
    </w:rPr>
  </w:style>
  <w:style w:type="paragraph" w:customStyle="1" w:styleId="Normal74">
    <w:name w:val="Normal_74"/>
    <w:qFormat/>
    <w:rsid w:val="007D0544"/>
    <w:pPr>
      <w:spacing w:after="200" w:line="276" w:lineRule="auto"/>
    </w:pPr>
    <w:rPr>
      <w:sz w:val="22"/>
      <w:szCs w:val="22"/>
      <w:lang w:eastAsia="en-US"/>
    </w:rPr>
  </w:style>
  <w:style w:type="character" w:customStyle="1" w:styleId="Heading3Char5">
    <w:name w:val="Heading 3 Char_5"/>
    <w:basedOn w:val="DefaultParagraphFont"/>
    <w:link w:val="Heading35"/>
    <w:uiPriority w:val="99"/>
    <w:rsid w:val="00B518C0"/>
    <w:rPr>
      <w:rFonts w:ascii="Arial" w:eastAsia="Times New Roman" w:hAnsi="Arial"/>
      <w:b/>
      <w:smallCaps/>
      <w:sz w:val="26"/>
    </w:rPr>
  </w:style>
  <w:style w:type="paragraph" w:customStyle="1" w:styleId="TableHeadingcontinued3">
    <w:name w:val="Table Heading continued_3"/>
    <w:basedOn w:val="Normal74"/>
    <w:next w:val="Normal74"/>
    <w:link w:val="TableHeadingcontinuedChar3"/>
    <w:uiPriority w:val="99"/>
    <w:rsid w:val="00B518C0"/>
    <w:pPr>
      <w:keepNext/>
      <w:spacing w:before="120" w:after="20" w:line="240" w:lineRule="auto"/>
    </w:pPr>
    <w:rPr>
      <w:rFonts w:ascii="Arial Bold" w:hAnsi="Arial Bold"/>
      <w:b/>
      <w:sz w:val="20"/>
      <w:szCs w:val="20"/>
      <w:lang w:eastAsia="en-AU"/>
    </w:rPr>
  </w:style>
  <w:style w:type="character" w:customStyle="1" w:styleId="TableHeadingcontinuedChar3">
    <w:name w:val="Table Heading continued Char_3"/>
    <w:basedOn w:val="DefaultParagraphFont"/>
    <w:link w:val="TableHeadingcontinued3"/>
    <w:uiPriority w:val="99"/>
    <w:locked/>
    <w:rsid w:val="00B518C0"/>
    <w:rPr>
      <w:rFonts w:ascii="Arial Bold" w:hAnsi="Arial Bold"/>
      <w:b/>
    </w:rPr>
  </w:style>
  <w:style w:type="paragraph" w:customStyle="1" w:styleId="TableHeadingcontinued4">
    <w:name w:val="Table Heading continued_4"/>
    <w:basedOn w:val="Normal75"/>
    <w:next w:val="Normal75"/>
    <w:link w:val="TableHeadingcontinuedChar4"/>
    <w:uiPriority w:val="99"/>
    <w:rsid w:val="00B518C0"/>
    <w:pPr>
      <w:keepNext/>
      <w:spacing w:before="120" w:after="20" w:line="240" w:lineRule="auto"/>
    </w:pPr>
    <w:rPr>
      <w:rFonts w:ascii="Arial Bold" w:hAnsi="Arial Bold"/>
      <w:b/>
      <w:sz w:val="20"/>
      <w:szCs w:val="20"/>
      <w:lang w:eastAsia="en-AU"/>
    </w:rPr>
  </w:style>
  <w:style w:type="paragraph" w:customStyle="1" w:styleId="Normal75">
    <w:name w:val="Normal_75"/>
    <w:qFormat/>
    <w:rsid w:val="007D0544"/>
    <w:pPr>
      <w:spacing w:after="200" w:line="276" w:lineRule="auto"/>
    </w:pPr>
    <w:rPr>
      <w:sz w:val="22"/>
      <w:szCs w:val="22"/>
      <w:lang w:eastAsia="en-US"/>
    </w:rPr>
  </w:style>
  <w:style w:type="character" w:customStyle="1" w:styleId="TableHeadingcontinuedChar4">
    <w:name w:val="Table Heading continued Char_4"/>
    <w:basedOn w:val="DefaultParagraphFont"/>
    <w:link w:val="TableHeadingcontinued4"/>
    <w:uiPriority w:val="99"/>
    <w:locked/>
    <w:rsid w:val="00B518C0"/>
    <w:rPr>
      <w:rFonts w:ascii="Arial Bold" w:hAnsi="Arial Bold"/>
      <w:b/>
    </w:rPr>
  </w:style>
  <w:style w:type="paragraph" w:customStyle="1" w:styleId="TableHeadingcontinued5">
    <w:name w:val="Table Heading continued_5"/>
    <w:basedOn w:val="Normal76"/>
    <w:next w:val="Normal76"/>
    <w:link w:val="TableHeadingcontinuedChar5"/>
    <w:uiPriority w:val="99"/>
    <w:rsid w:val="00B518C0"/>
    <w:pPr>
      <w:keepNext/>
      <w:spacing w:before="120" w:after="20" w:line="240" w:lineRule="auto"/>
    </w:pPr>
    <w:rPr>
      <w:rFonts w:ascii="Arial Bold" w:hAnsi="Arial Bold"/>
      <w:b/>
      <w:sz w:val="20"/>
      <w:szCs w:val="20"/>
      <w:lang w:eastAsia="en-AU"/>
    </w:rPr>
  </w:style>
  <w:style w:type="paragraph" w:customStyle="1" w:styleId="Normal76">
    <w:name w:val="Normal_76"/>
    <w:qFormat/>
    <w:rsid w:val="007D0544"/>
    <w:pPr>
      <w:spacing w:after="200" w:line="276" w:lineRule="auto"/>
    </w:pPr>
    <w:rPr>
      <w:sz w:val="22"/>
      <w:szCs w:val="22"/>
      <w:lang w:eastAsia="en-US"/>
    </w:rPr>
  </w:style>
  <w:style w:type="character" w:customStyle="1" w:styleId="TableHeadingcontinuedChar5">
    <w:name w:val="Table Heading continued Char_5"/>
    <w:basedOn w:val="DefaultParagraphFont"/>
    <w:link w:val="TableHeadingcontinued5"/>
    <w:uiPriority w:val="99"/>
    <w:locked/>
    <w:rsid w:val="00B518C0"/>
    <w:rPr>
      <w:rFonts w:ascii="Arial Bold" w:hAnsi="Arial Bold"/>
      <w:b/>
    </w:rPr>
  </w:style>
  <w:style w:type="paragraph" w:customStyle="1" w:styleId="TableHeadingcontinued6">
    <w:name w:val="Table Heading continued_6"/>
    <w:basedOn w:val="Normal77"/>
    <w:next w:val="Normal77"/>
    <w:link w:val="TableHeadingcontinuedChar6"/>
    <w:rsid w:val="005E6CA8"/>
    <w:pPr>
      <w:keepNext/>
      <w:spacing w:before="120" w:after="20"/>
    </w:pPr>
    <w:rPr>
      <w:rFonts w:ascii="Arial Bold" w:hAnsi="Arial Bold"/>
      <w:b/>
      <w:sz w:val="20"/>
      <w:szCs w:val="20"/>
    </w:rPr>
  </w:style>
  <w:style w:type="paragraph" w:customStyle="1" w:styleId="Normal77">
    <w:name w:val="Normal_77"/>
    <w:qFormat/>
    <w:rsid w:val="00735EB8"/>
    <w:rPr>
      <w:sz w:val="24"/>
      <w:szCs w:val="24"/>
    </w:rPr>
  </w:style>
  <w:style w:type="character" w:customStyle="1" w:styleId="TableHeadingcontinuedChar6">
    <w:name w:val="Table Heading continued Char_6"/>
    <w:basedOn w:val="DefaultParagraphFont"/>
    <w:link w:val="TableHeadingcontinued6"/>
    <w:locked/>
    <w:rsid w:val="005E6CA8"/>
    <w:rPr>
      <w:rFonts w:ascii="Arial Bold" w:hAnsi="Arial Bold"/>
      <w:b/>
      <w:lang w:bidi="ar-SA"/>
    </w:rPr>
  </w:style>
  <w:style w:type="paragraph" w:customStyle="1" w:styleId="TableHeadingcontinued7">
    <w:name w:val="Table Heading continued_7"/>
    <w:basedOn w:val="Normal78"/>
    <w:next w:val="Normal78"/>
    <w:link w:val="TableHeadingcontinuedChar7"/>
    <w:rsid w:val="005E6CA8"/>
    <w:pPr>
      <w:keepNext/>
      <w:spacing w:before="120" w:after="20"/>
    </w:pPr>
    <w:rPr>
      <w:rFonts w:ascii="Arial Bold" w:hAnsi="Arial Bold"/>
      <w:b/>
      <w:sz w:val="20"/>
      <w:szCs w:val="20"/>
    </w:rPr>
  </w:style>
  <w:style w:type="paragraph" w:customStyle="1" w:styleId="Normal78">
    <w:name w:val="Normal_78"/>
    <w:qFormat/>
    <w:rsid w:val="003A3640"/>
    <w:rPr>
      <w:sz w:val="24"/>
      <w:szCs w:val="24"/>
    </w:rPr>
  </w:style>
  <w:style w:type="character" w:customStyle="1" w:styleId="TableHeadingcontinuedChar7">
    <w:name w:val="Table Heading continued Char_7"/>
    <w:basedOn w:val="DefaultParagraphFont"/>
    <w:link w:val="TableHeadingcontinued7"/>
    <w:locked/>
    <w:rsid w:val="005E6CA8"/>
    <w:rPr>
      <w:rFonts w:ascii="Arial Bold" w:hAnsi="Arial Bold"/>
      <w:b/>
      <w:lang w:bidi="ar-SA"/>
    </w:rPr>
  </w:style>
  <w:style w:type="paragraph" w:customStyle="1" w:styleId="TableHeadingcontinued8">
    <w:name w:val="Table Heading continued_8"/>
    <w:basedOn w:val="Normal79"/>
    <w:next w:val="Normal79"/>
    <w:link w:val="TableHeadingcontinuedChar8"/>
    <w:rsid w:val="005E6CA8"/>
    <w:pPr>
      <w:keepNext/>
      <w:spacing w:before="120" w:after="20"/>
    </w:pPr>
    <w:rPr>
      <w:rFonts w:ascii="Arial Bold" w:hAnsi="Arial Bold"/>
      <w:b/>
      <w:sz w:val="20"/>
      <w:szCs w:val="20"/>
    </w:rPr>
  </w:style>
  <w:style w:type="paragraph" w:customStyle="1" w:styleId="Normal79">
    <w:name w:val="Normal_79"/>
    <w:qFormat/>
    <w:rsid w:val="0031284E"/>
    <w:rPr>
      <w:sz w:val="24"/>
      <w:szCs w:val="24"/>
    </w:rPr>
  </w:style>
  <w:style w:type="character" w:customStyle="1" w:styleId="TableHeadingcontinuedChar8">
    <w:name w:val="Table Heading continued Char_8"/>
    <w:basedOn w:val="DefaultParagraphFont"/>
    <w:link w:val="TableHeadingcontinued8"/>
    <w:locked/>
    <w:rsid w:val="005E6CA8"/>
    <w:rPr>
      <w:rFonts w:ascii="Arial Bold" w:hAnsi="Arial Bold"/>
      <w:b/>
      <w:lang w:bidi="ar-SA"/>
    </w:rPr>
  </w:style>
  <w:style w:type="paragraph" w:customStyle="1" w:styleId="Normal80">
    <w:name w:val="Normal_80"/>
    <w:qFormat/>
    <w:rsid w:val="007D0544"/>
    <w:pPr>
      <w:spacing w:after="200" w:line="276" w:lineRule="auto"/>
    </w:pPr>
    <w:rPr>
      <w:sz w:val="22"/>
      <w:szCs w:val="22"/>
      <w:lang w:eastAsia="en-US"/>
    </w:rPr>
  </w:style>
  <w:style w:type="paragraph" w:customStyle="1" w:styleId="ListParagraph2">
    <w:name w:val="List Paragraph_2"/>
    <w:basedOn w:val="Normal80"/>
    <w:qFormat/>
    <w:rsid w:val="007A046B"/>
    <w:pPr>
      <w:ind w:left="720"/>
      <w:contextualSpacing/>
    </w:pPr>
  </w:style>
  <w:style w:type="paragraph" w:customStyle="1" w:styleId="Heading20">
    <w:name w:val="Heading 2_0"/>
    <w:basedOn w:val="Normal81"/>
    <w:next w:val="Normal81"/>
    <w:link w:val="Heading2Char0"/>
    <w:uiPriority w:val="99"/>
    <w:qFormat/>
    <w:rsid w:val="0001069F"/>
    <w:pPr>
      <w:keepNext/>
      <w:spacing w:before="360" w:after="360" w:line="240" w:lineRule="auto"/>
      <w:outlineLvl w:val="1"/>
    </w:pPr>
    <w:rPr>
      <w:rFonts w:ascii="Arial" w:hAnsi="Arial"/>
      <w:sz w:val="30"/>
      <w:szCs w:val="20"/>
      <w:lang w:eastAsia="en-AU"/>
    </w:rPr>
  </w:style>
  <w:style w:type="paragraph" w:customStyle="1" w:styleId="Normal81">
    <w:name w:val="Normal_81"/>
    <w:qFormat/>
    <w:rsid w:val="00ED5CB5"/>
    <w:pPr>
      <w:spacing w:after="200" w:line="276" w:lineRule="auto"/>
    </w:pPr>
    <w:rPr>
      <w:sz w:val="22"/>
      <w:szCs w:val="22"/>
      <w:lang w:eastAsia="en-US"/>
    </w:rPr>
  </w:style>
  <w:style w:type="character" w:customStyle="1" w:styleId="Heading2Char0">
    <w:name w:val="Heading 2 Char_0"/>
    <w:basedOn w:val="DefaultParagraphFont"/>
    <w:link w:val="Heading20"/>
    <w:uiPriority w:val="99"/>
    <w:semiHidden/>
    <w:rsid w:val="0001069F"/>
    <w:rPr>
      <w:rFonts w:ascii="Arial" w:eastAsia="Times New Roman" w:hAnsi="Arial" w:cs="Times New Roman"/>
      <w:sz w:val="30"/>
      <w:szCs w:val="20"/>
      <w:lang w:eastAsia="en-AU"/>
    </w:rPr>
  </w:style>
  <w:style w:type="paragraph" w:customStyle="1" w:styleId="Heading36">
    <w:name w:val="Heading 3_6"/>
    <w:basedOn w:val="Normal81"/>
    <w:next w:val="Normal81"/>
    <w:link w:val="Heading3Char6"/>
    <w:uiPriority w:val="99"/>
    <w:qFormat/>
    <w:rsid w:val="0001069F"/>
    <w:pPr>
      <w:keepNext/>
      <w:tabs>
        <w:tab w:val="left" w:pos="709"/>
      </w:tabs>
      <w:spacing w:before="240" w:after="240" w:line="240" w:lineRule="auto"/>
      <w:outlineLvl w:val="2"/>
    </w:pPr>
    <w:rPr>
      <w:rFonts w:ascii="Arial" w:hAnsi="Arial"/>
      <w:b/>
      <w:smallCaps/>
      <w:sz w:val="26"/>
      <w:szCs w:val="20"/>
      <w:lang w:eastAsia="en-AU"/>
    </w:rPr>
  </w:style>
  <w:style w:type="character" w:customStyle="1" w:styleId="Heading3Char6">
    <w:name w:val="Heading 3 Char_6"/>
    <w:basedOn w:val="DefaultParagraphFont"/>
    <w:link w:val="Heading36"/>
    <w:uiPriority w:val="99"/>
    <w:semiHidden/>
    <w:rsid w:val="0001069F"/>
    <w:rPr>
      <w:rFonts w:ascii="Arial" w:eastAsia="Times New Roman" w:hAnsi="Arial" w:cs="Times New Roman"/>
      <w:b/>
      <w:smallCaps/>
      <w:sz w:val="26"/>
      <w:szCs w:val="20"/>
      <w:lang w:eastAsia="en-AU"/>
    </w:rPr>
  </w:style>
  <w:style w:type="paragraph" w:customStyle="1" w:styleId="BoxHeading">
    <w:name w:val="Box Heading"/>
    <w:basedOn w:val="Normal81"/>
    <w:next w:val="Normal81"/>
    <w:rsid w:val="00FB0D7B"/>
    <w:pPr>
      <w:keepNext/>
      <w:spacing w:before="120" w:after="120" w:line="240" w:lineRule="auto"/>
    </w:pPr>
    <w:rPr>
      <w:rFonts w:ascii="Arial" w:hAnsi="Arial"/>
      <w:b/>
      <w:sz w:val="20"/>
      <w:szCs w:val="20"/>
      <w:lang w:eastAsia="en-AU"/>
    </w:rPr>
  </w:style>
  <w:style w:type="paragraph" w:customStyle="1" w:styleId="Heading40">
    <w:name w:val="Heading 4_0"/>
    <w:basedOn w:val="Normal81"/>
    <w:next w:val="Normal81"/>
    <w:link w:val="Heading4Char0"/>
    <w:uiPriority w:val="99"/>
    <w:qFormat/>
    <w:rsid w:val="0001069F"/>
    <w:pPr>
      <w:keepNext/>
      <w:tabs>
        <w:tab w:val="left" w:pos="709"/>
      </w:tabs>
      <w:spacing w:before="120" w:after="120" w:line="240" w:lineRule="auto"/>
      <w:outlineLvl w:val="3"/>
    </w:pPr>
    <w:rPr>
      <w:rFonts w:ascii="Arial" w:hAnsi="Arial"/>
      <w:b/>
      <w:szCs w:val="20"/>
      <w:lang w:eastAsia="en-AU"/>
    </w:rPr>
  </w:style>
  <w:style w:type="character" w:customStyle="1" w:styleId="Heading4Char0">
    <w:name w:val="Heading 4 Char_0"/>
    <w:basedOn w:val="DefaultParagraphFont"/>
    <w:link w:val="Heading40"/>
    <w:uiPriority w:val="99"/>
    <w:semiHidden/>
    <w:rsid w:val="0001069F"/>
    <w:rPr>
      <w:rFonts w:ascii="Arial" w:eastAsia="Times New Roman" w:hAnsi="Arial" w:cs="Times New Roman"/>
      <w:b/>
      <w:szCs w:val="20"/>
      <w:lang w:eastAsia="en-AU"/>
    </w:rPr>
  </w:style>
  <w:style w:type="paragraph" w:customStyle="1" w:styleId="Bullet0">
    <w:name w:val="Bullet_0"/>
    <w:basedOn w:val="Normal81"/>
    <w:link w:val="BulletChar0"/>
    <w:rsid w:val="00FB0D7B"/>
    <w:pPr>
      <w:numPr>
        <w:numId w:val="8"/>
      </w:numPr>
      <w:spacing w:after="240" w:line="260" w:lineRule="exact"/>
      <w:jc w:val="both"/>
    </w:pPr>
    <w:rPr>
      <w:rFonts w:ascii="Book Antiqua" w:hAnsi="Book Antiqua"/>
      <w:sz w:val="20"/>
      <w:szCs w:val="20"/>
      <w:lang w:eastAsia="en-AU"/>
    </w:rPr>
  </w:style>
  <w:style w:type="paragraph" w:customStyle="1" w:styleId="Dash0">
    <w:name w:val="Dash_0"/>
    <w:basedOn w:val="Normal81"/>
    <w:rsid w:val="00FB0D7B"/>
    <w:pPr>
      <w:numPr>
        <w:ilvl w:val="1"/>
        <w:numId w:val="8"/>
      </w:numPr>
      <w:spacing w:after="240" w:line="260" w:lineRule="exact"/>
      <w:jc w:val="both"/>
    </w:pPr>
    <w:rPr>
      <w:rFonts w:ascii="Book Antiqua" w:hAnsi="Book Antiqua"/>
      <w:sz w:val="20"/>
      <w:szCs w:val="20"/>
      <w:lang w:eastAsia="en-AU"/>
    </w:rPr>
  </w:style>
  <w:style w:type="paragraph" w:customStyle="1" w:styleId="DoubleDot0">
    <w:name w:val="Double Dot_0"/>
    <w:basedOn w:val="Normal81"/>
    <w:rsid w:val="00FB0D7B"/>
    <w:pPr>
      <w:numPr>
        <w:ilvl w:val="2"/>
        <w:numId w:val="8"/>
      </w:numPr>
      <w:spacing w:after="240" w:line="260" w:lineRule="exact"/>
      <w:jc w:val="both"/>
    </w:pPr>
    <w:rPr>
      <w:rFonts w:ascii="Book Antiqua" w:hAnsi="Book Antiqua"/>
      <w:sz w:val="20"/>
      <w:szCs w:val="20"/>
      <w:lang w:eastAsia="en-AU"/>
    </w:rPr>
  </w:style>
  <w:style w:type="character" w:customStyle="1" w:styleId="BulletChar0">
    <w:name w:val="Bullet Char_0"/>
    <w:basedOn w:val="DefaultParagraphFont"/>
    <w:link w:val="Bullet0"/>
    <w:locked/>
    <w:rsid w:val="00FB0D7B"/>
    <w:rPr>
      <w:rFonts w:ascii="Book Antiqua" w:hAnsi="Book Antiqua"/>
      <w:lang w:val="en-AU" w:eastAsia="en-AU" w:bidi="ar-SA"/>
    </w:rPr>
  </w:style>
  <w:style w:type="paragraph" w:customStyle="1" w:styleId="Bullet1">
    <w:name w:val="Bullet_1"/>
    <w:basedOn w:val="Normal82"/>
    <w:link w:val="BulletChar1"/>
    <w:rsid w:val="00853F13"/>
    <w:pPr>
      <w:numPr>
        <w:numId w:val="9"/>
      </w:numPr>
      <w:spacing w:after="240" w:line="260" w:lineRule="exact"/>
      <w:jc w:val="both"/>
    </w:pPr>
    <w:rPr>
      <w:rFonts w:ascii="Book Antiqua" w:hAnsi="Book Antiqua"/>
      <w:sz w:val="20"/>
      <w:szCs w:val="20"/>
    </w:rPr>
  </w:style>
  <w:style w:type="paragraph" w:customStyle="1" w:styleId="Dash1">
    <w:name w:val="Dash_1"/>
    <w:basedOn w:val="Normal82"/>
    <w:rsid w:val="00853F13"/>
    <w:pPr>
      <w:numPr>
        <w:ilvl w:val="1"/>
        <w:numId w:val="9"/>
      </w:numPr>
      <w:spacing w:after="240" w:line="260" w:lineRule="exact"/>
      <w:jc w:val="both"/>
    </w:pPr>
    <w:rPr>
      <w:rFonts w:ascii="Book Antiqua" w:hAnsi="Book Antiqua"/>
      <w:sz w:val="20"/>
      <w:szCs w:val="20"/>
    </w:rPr>
  </w:style>
  <w:style w:type="paragraph" w:customStyle="1" w:styleId="Normal82">
    <w:name w:val="Normal_82"/>
    <w:qFormat/>
    <w:rsid w:val="008924B4"/>
    <w:rPr>
      <w:sz w:val="24"/>
      <w:szCs w:val="24"/>
    </w:rPr>
  </w:style>
  <w:style w:type="paragraph" w:customStyle="1" w:styleId="DoubleDot1">
    <w:name w:val="Double Dot_1"/>
    <w:basedOn w:val="Normal82"/>
    <w:rsid w:val="00853F13"/>
    <w:pPr>
      <w:numPr>
        <w:ilvl w:val="2"/>
        <w:numId w:val="9"/>
      </w:numPr>
      <w:spacing w:after="240" w:line="260" w:lineRule="exact"/>
      <w:jc w:val="both"/>
    </w:pPr>
    <w:rPr>
      <w:rFonts w:ascii="Book Antiqua" w:hAnsi="Book Antiqua"/>
      <w:sz w:val="20"/>
      <w:szCs w:val="20"/>
    </w:rPr>
  </w:style>
  <w:style w:type="character" w:customStyle="1" w:styleId="BulletChar1">
    <w:name w:val="Bullet Char_1"/>
    <w:basedOn w:val="DefaultParagraphFont"/>
    <w:link w:val="Bullet1"/>
    <w:locked/>
    <w:rsid w:val="00853F13"/>
    <w:rPr>
      <w:rFonts w:ascii="Book Antiqua" w:hAnsi="Book Antiqua"/>
      <w:lang w:val="en-AU" w:eastAsia="en-AU" w:bidi="ar-SA"/>
    </w:rPr>
  </w:style>
  <w:style w:type="paragraph" w:customStyle="1" w:styleId="Heading41">
    <w:name w:val="Heading 4_1"/>
    <w:basedOn w:val="Normal82"/>
    <w:next w:val="Normal82"/>
    <w:link w:val="Heading4Char1"/>
    <w:qFormat/>
    <w:rsid w:val="00853F13"/>
    <w:pPr>
      <w:keepNext/>
      <w:tabs>
        <w:tab w:val="left" w:pos="709"/>
      </w:tabs>
      <w:spacing w:before="120" w:after="120"/>
      <w:outlineLvl w:val="3"/>
    </w:pPr>
    <w:rPr>
      <w:rFonts w:ascii="Arial" w:hAnsi="Arial"/>
      <w:b/>
      <w:sz w:val="22"/>
      <w:szCs w:val="20"/>
    </w:rPr>
  </w:style>
  <w:style w:type="character" w:customStyle="1" w:styleId="Heading4Char1">
    <w:name w:val="Heading 4 Char_1"/>
    <w:basedOn w:val="DefaultParagraphFont"/>
    <w:link w:val="Heading41"/>
    <w:locked/>
    <w:rsid w:val="00853F13"/>
    <w:rPr>
      <w:rFonts w:ascii="Arial" w:hAnsi="Arial"/>
      <w:b/>
      <w:sz w:val="22"/>
      <w:lang w:val="en-AU" w:eastAsia="en-AU" w:bidi="ar-SA"/>
    </w:rPr>
  </w:style>
  <w:style w:type="paragraph" w:customStyle="1" w:styleId="TableGraphic0">
    <w:name w:val="Table Graphic_0"/>
    <w:basedOn w:val="Normal82"/>
    <w:next w:val="Normal82"/>
    <w:rsid w:val="00853F13"/>
    <w:pPr>
      <w:ind w:right="-113"/>
      <w:jc w:val="both"/>
    </w:pPr>
    <w:rPr>
      <w:rFonts w:ascii="Book Antiqua" w:hAnsi="Book Antiqua"/>
      <w:sz w:val="20"/>
      <w:szCs w:val="20"/>
    </w:rPr>
  </w:style>
  <w:style w:type="paragraph" w:customStyle="1" w:styleId="TableHeading3">
    <w:name w:val="Table Heading_3"/>
    <w:basedOn w:val="Normal82"/>
    <w:next w:val="TableGraphic0"/>
    <w:link w:val="TableHeadingChar3"/>
    <w:rsid w:val="00853F13"/>
    <w:pPr>
      <w:keepNext/>
      <w:spacing w:before="120" w:after="20"/>
    </w:pPr>
    <w:rPr>
      <w:rFonts w:ascii="Arial" w:hAnsi="Arial" w:cs="Arial"/>
      <w:b/>
      <w:sz w:val="20"/>
      <w:szCs w:val="20"/>
    </w:rPr>
  </w:style>
  <w:style w:type="character" w:customStyle="1" w:styleId="TableHeadingChar3">
    <w:name w:val="Table Heading Char_3"/>
    <w:basedOn w:val="DefaultParagraphFont"/>
    <w:link w:val="TableHeading3"/>
    <w:locked/>
    <w:rsid w:val="00853F13"/>
    <w:rPr>
      <w:rFonts w:ascii="Arial" w:hAnsi="Arial" w:cs="Arial"/>
      <w:b/>
      <w:lang w:val="en-AU" w:eastAsia="en-AU" w:bidi="ar-SA"/>
    </w:rPr>
  </w:style>
  <w:style w:type="paragraph" w:customStyle="1" w:styleId="TableHeading4">
    <w:name w:val="Table Heading_4"/>
    <w:basedOn w:val="Normal83"/>
    <w:next w:val="Normal83"/>
    <w:link w:val="TableHeadingChar4"/>
    <w:rsid w:val="00D23B8A"/>
    <w:pPr>
      <w:keepNext/>
      <w:spacing w:before="120" w:after="20"/>
    </w:pPr>
    <w:rPr>
      <w:rFonts w:ascii="Arial" w:hAnsi="Arial"/>
      <w:b/>
      <w:sz w:val="20"/>
      <w:szCs w:val="20"/>
    </w:rPr>
  </w:style>
  <w:style w:type="paragraph" w:customStyle="1" w:styleId="Normal83">
    <w:name w:val="Normal_83"/>
    <w:qFormat/>
    <w:rsid w:val="00897056"/>
    <w:rPr>
      <w:sz w:val="24"/>
      <w:szCs w:val="24"/>
    </w:rPr>
  </w:style>
  <w:style w:type="character" w:customStyle="1" w:styleId="TableHeadingChar4">
    <w:name w:val="Table Heading Char_4"/>
    <w:basedOn w:val="DefaultParagraphFont"/>
    <w:link w:val="TableHeading4"/>
    <w:locked/>
    <w:rsid w:val="00D23B8A"/>
    <w:rPr>
      <w:rFonts w:ascii="Arial" w:hAnsi="Arial"/>
      <w:b/>
      <w:lang w:bidi="ar-SA"/>
    </w:rPr>
  </w:style>
  <w:style w:type="paragraph" w:customStyle="1" w:styleId="TableHeading5">
    <w:name w:val="Table Heading_5"/>
    <w:basedOn w:val="Normal84"/>
    <w:next w:val="Normal84"/>
    <w:link w:val="TableHeadingChar5"/>
    <w:rsid w:val="00D23B8A"/>
    <w:pPr>
      <w:keepNext/>
      <w:spacing w:before="120" w:after="20"/>
    </w:pPr>
    <w:rPr>
      <w:rFonts w:ascii="Arial" w:hAnsi="Arial"/>
      <w:b/>
      <w:sz w:val="20"/>
      <w:szCs w:val="20"/>
    </w:rPr>
  </w:style>
  <w:style w:type="paragraph" w:customStyle="1" w:styleId="Normal84">
    <w:name w:val="Normal_84"/>
    <w:qFormat/>
    <w:rsid w:val="00013D79"/>
    <w:rPr>
      <w:sz w:val="24"/>
      <w:szCs w:val="24"/>
    </w:rPr>
  </w:style>
  <w:style w:type="character" w:customStyle="1" w:styleId="TableHeadingChar5">
    <w:name w:val="Table Heading Char_5"/>
    <w:basedOn w:val="DefaultParagraphFont"/>
    <w:link w:val="TableHeading5"/>
    <w:locked/>
    <w:rsid w:val="00D23B8A"/>
    <w:rPr>
      <w:rFonts w:ascii="Arial" w:hAnsi="Arial"/>
      <w:b/>
      <w:lang w:bidi="ar-SA"/>
    </w:rPr>
  </w:style>
  <w:style w:type="paragraph" w:customStyle="1" w:styleId="ChartandTableFootnote0">
    <w:name w:val="Chart and Table Footnote_0"/>
    <w:basedOn w:val="Normal85"/>
    <w:next w:val="Normal85"/>
    <w:link w:val="ChartandTableFootnoteChar0"/>
    <w:rsid w:val="00A82CFA"/>
    <w:pPr>
      <w:keepNext/>
      <w:tabs>
        <w:tab w:val="left" w:pos="454"/>
      </w:tabs>
      <w:spacing w:after="0" w:line="240" w:lineRule="auto"/>
      <w:ind w:left="454" w:hanging="454"/>
      <w:jc w:val="both"/>
    </w:pPr>
    <w:rPr>
      <w:rFonts w:ascii="Arial" w:hAnsi="Arial" w:cs="Arial"/>
      <w:sz w:val="16"/>
      <w:szCs w:val="20"/>
      <w:lang w:eastAsia="en-AU"/>
    </w:rPr>
  </w:style>
  <w:style w:type="paragraph" w:customStyle="1" w:styleId="Normal85">
    <w:name w:val="Normal_85"/>
    <w:qFormat/>
    <w:rsid w:val="008D3648"/>
    <w:pPr>
      <w:spacing w:after="200" w:line="276" w:lineRule="auto"/>
    </w:pPr>
    <w:rPr>
      <w:sz w:val="22"/>
      <w:szCs w:val="22"/>
      <w:lang w:eastAsia="en-US"/>
    </w:rPr>
  </w:style>
  <w:style w:type="character" w:customStyle="1" w:styleId="ChartandTableFootnoteChar0">
    <w:name w:val="Chart and Table Footnote Char_0"/>
    <w:basedOn w:val="DefaultParagraphFont"/>
    <w:link w:val="ChartandTableFootnote0"/>
    <w:locked/>
    <w:rsid w:val="00A82CFA"/>
    <w:rPr>
      <w:rFonts w:ascii="Arial" w:hAnsi="Arial" w:cs="Arial"/>
      <w:sz w:val="16"/>
      <w:lang w:val="en-AU" w:eastAsia="en-AU" w:bidi="ar-SA"/>
    </w:rPr>
  </w:style>
  <w:style w:type="paragraph" w:customStyle="1" w:styleId="Source">
    <w:name w:val="Source"/>
    <w:basedOn w:val="Normal85"/>
    <w:rsid w:val="00B5474C"/>
    <w:pPr>
      <w:tabs>
        <w:tab w:val="left" w:pos="284"/>
      </w:tabs>
      <w:spacing w:after="0" w:line="240" w:lineRule="auto"/>
      <w:jc w:val="both"/>
    </w:pPr>
    <w:rPr>
      <w:rFonts w:ascii="Arial" w:hAnsi="Arial"/>
      <w:sz w:val="16"/>
      <w:szCs w:val="20"/>
      <w:lang w:eastAsia="en-AU"/>
    </w:rPr>
  </w:style>
  <w:style w:type="paragraph" w:customStyle="1" w:styleId="Heading42">
    <w:name w:val="Heading 4_2"/>
    <w:basedOn w:val="Normal86"/>
    <w:next w:val="Normal86"/>
    <w:link w:val="Heading4Char2"/>
    <w:qFormat/>
    <w:rsid w:val="00CD3DF3"/>
    <w:pPr>
      <w:keepNext/>
      <w:tabs>
        <w:tab w:val="left" w:pos="709"/>
      </w:tabs>
      <w:spacing w:before="120" w:after="120"/>
      <w:outlineLvl w:val="3"/>
    </w:pPr>
    <w:rPr>
      <w:rFonts w:ascii="Arial" w:hAnsi="Arial"/>
      <w:b/>
      <w:sz w:val="22"/>
      <w:szCs w:val="20"/>
    </w:rPr>
  </w:style>
  <w:style w:type="paragraph" w:customStyle="1" w:styleId="Normal86">
    <w:name w:val="Normal_86"/>
    <w:qFormat/>
    <w:rsid w:val="004A4908"/>
    <w:rPr>
      <w:sz w:val="24"/>
      <w:szCs w:val="24"/>
    </w:rPr>
  </w:style>
  <w:style w:type="character" w:customStyle="1" w:styleId="Heading4Char2">
    <w:name w:val="Heading 4 Char_2"/>
    <w:basedOn w:val="DefaultParagraphFont"/>
    <w:link w:val="Heading42"/>
    <w:locked/>
    <w:rsid w:val="00CD3DF3"/>
    <w:rPr>
      <w:rFonts w:ascii="Arial" w:hAnsi="Arial"/>
      <w:b/>
      <w:sz w:val="22"/>
      <w:lang w:val="en-AU" w:eastAsia="en-AU" w:bidi="ar-SA"/>
    </w:rPr>
  </w:style>
  <w:style w:type="paragraph" w:customStyle="1" w:styleId="TableTextLeft">
    <w:name w:val="Table Text Left"/>
    <w:basedOn w:val="Normal86"/>
    <w:link w:val="TableTextLeftChar"/>
    <w:rsid w:val="00CD3DF3"/>
    <w:pPr>
      <w:spacing w:before="60" w:after="60"/>
    </w:pPr>
    <w:rPr>
      <w:rFonts w:ascii="Arial" w:hAnsi="Arial" w:cs="Arial"/>
      <w:sz w:val="18"/>
      <w:szCs w:val="20"/>
    </w:rPr>
  </w:style>
  <w:style w:type="character" w:customStyle="1" w:styleId="TableTextLeftChar">
    <w:name w:val="Table Text Left Char"/>
    <w:basedOn w:val="DefaultParagraphFont"/>
    <w:link w:val="TableTextLeft"/>
    <w:locked/>
    <w:rsid w:val="00CD3DF3"/>
    <w:rPr>
      <w:rFonts w:ascii="Arial" w:hAnsi="Arial" w:cs="Arial"/>
      <w:sz w:val="18"/>
      <w:lang w:val="en-AU" w:eastAsia="en-AU" w:bidi="ar-SA"/>
    </w:rPr>
  </w:style>
  <w:style w:type="paragraph" w:customStyle="1" w:styleId="Default">
    <w:name w:val="Default"/>
    <w:rsid w:val="00CD3DF3"/>
    <w:pPr>
      <w:autoSpaceDE w:val="0"/>
      <w:autoSpaceDN w:val="0"/>
      <w:adjustRightInd w:val="0"/>
    </w:pPr>
    <w:rPr>
      <w:rFonts w:ascii="Arial" w:hAnsi="Arial" w:cs="Arial"/>
      <w:color w:val="000000"/>
      <w:sz w:val="24"/>
      <w:szCs w:val="24"/>
    </w:rPr>
  </w:style>
  <w:style w:type="paragraph" w:customStyle="1" w:styleId="TableTextBullet">
    <w:name w:val="Table Text Bullet"/>
    <w:basedOn w:val="Normal86"/>
    <w:rsid w:val="00D914C9"/>
    <w:pPr>
      <w:numPr>
        <w:numId w:val="10"/>
      </w:numPr>
      <w:spacing w:before="60" w:after="60"/>
    </w:pPr>
    <w:rPr>
      <w:rFonts w:ascii="Arial" w:hAnsi="Arial"/>
      <w:sz w:val="18"/>
      <w:szCs w:val="20"/>
    </w:rPr>
  </w:style>
  <w:style w:type="paragraph" w:customStyle="1" w:styleId="TableTextDash">
    <w:name w:val="Table Text Dash"/>
    <w:basedOn w:val="Normal86"/>
    <w:rsid w:val="00D914C9"/>
    <w:pPr>
      <w:numPr>
        <w:ilvl w:val="1"/>
        <w:numId w:val="10"/>
      </w:numPr>
      <w:spacing w:before="60" w:after="60"/>
    </w:pPr>
    <w:rPr>
      <w:rFonts w:ascii="Arial" w:hAnsi="Arial"/>
      <w:sz w:val="18"/>
      <w:szCs w:val="20"/>
    </w:rPr>
  </w:style>
  <w:style w:type="paragraph" w:customStyle="1" w:styleId="ListParagraph3">
    <w:name w:val="List Paragraph_3"/>
    <w:basedOn w:val="Normal87"/>
    <w:uiPriority w:val="34"/>
    <w:qFormat/>
    <w:rsid w:val="004D4F1D"/>
    <w:pPr>
      <w:ind w:left="720"/>
      <w:contextualSpacing/>
    </w:pPr>
  </w:style>
  <w:style w:type="paragraph" w:customStyle="1" w:styleId="Normal87">
    <w:name w:val="Normal_87"/>
    <w:qFormat/>
    <w:rsid w:val="004C0D0C"/>
  </w:style>
  <w:style w:type="paragraph" w:customStyle="1" w:styleId="TableTextLeft0">
    <w:name w:val="Table Text Left_0"/>
    <w:basedOn w:val="Normal88"/>
    <w:link w:val="TableTextLeftChar0"/>
    <w:rsid w:val="00805146"/>
    <w:pPr>
      <w:spacing w:before="60" w:after="60" w:line="240" w:lineRule="auto"/>
      <w:jc w:val="left"/>
    </w:pPr>
    <w:rPr>
      <w:rFonts w:ascii="Arial" w:hAnsi="Arial" w:cs="Arial"/>
      <w:sz w:val="18"/>
    </w:rPr>
  </w:style>
  <w:style w:type="paragraph" w:customStyle="1" w:styleId="Normal88">
    <w:name w:val="Normal_88"/>
    <w:qFormat/>
    <w:rsid w:val="00805146"/>
    <w:pPr>
      <w:spacing w:after="240" w:line="260" w:lineRule="exact"/>
      <w:jc w:val="both"/>
    </w:pPr>
    <w:rPr>
      <w:rFonts w:ascii="Book Antiqua" w:hAnsi="Book Antiqua"/>
    </w:rPr>
  </w:style>
  <w:style w:type="character" w:customStyle="1" w:styleId="TableTextLeftChar0">
    <w:name w:val="Table Text Left Char_0"/>
    <w:basedOn w:val="DefaultParagraphFont"/>
    <w:link w:val="TableTextLeft0"/>
    <w:locked/>
    <w:rsid w:val="00805146"/>
    <w:rPr>
      <w:rFonts w:ascii="Arial" w:hAnsi="Arial" w:cs="Arial"/>
      <w:sz w:val="18"/>
      <w:lang w:val="en-AU" w:eastAsia="en-AU" w:bidi="ar-SA"/>
    </w:rPr>
  </w:style>
  <w:style w:type="paragraph" w:customStyle="1" w:styleId="TableTextLeft1">
    <w:name w:val="Table Text Left_1"/>
    <w:basedOn w:val="Normal89"/>
    <w:link w:val="TableTextLeftChar1"/>
    <w:rsid w:val="001A2A51"/>
    <w:pPr>
      <w:spacing w:before="60" w:after="60" w:line="240" w:lineRule="auto"/>
      <w:jc w:val="left"/>
    </w:pPr>
    <w:rPr>
      <w:rFonts w:ascii="Arial" w:hAnsi="Arial" w:cs="Arial"/>
      <w:sz w:val="18"/>
    </w:rPr>
  </w:style>
  <w:style w:type="paragraph" w:customStyle="1" w:styleId="Normal89">
    <w:name w:val="Normal_89"/>
    <w:qFormat/>
    <w:rsid w:val="001A2A51"/>
    <w:pPr>
      <w:spacing w:after="240" w:line="260" w:lineRule="exact"/>
      <w:jc w:val="both"/>
    </w:pPr>
    <w:rPr>
      <w:rFonts w:ascii="Book Antiqua" w:hAnsi="Book Antiqua"/>
    </w:rPr>
  </w:style>
  <w:style w:type="character" w:customStyle="1" w:styleId="TableTextLeftChar1">
    <w:name w:val="Table Text Left Char_1"/>
    <w:basedOn w:val="DefaultParagraphFont"/>
    <w:link w:val="TableTextLeft1"/>
    <w:locked/>
    <w:rsid w:val="001A2A51"/>
    <w:rPr>
      <w:rFonts w:ascii="Arial" w:hAnsi="Arial" w:cs="Arial"/>
      <w:sz w:val="18"/>
      <w:lang w:val="en-AU" w:eastAsia="en-AU" w:bidi="ar-SA"/>
    </w:rPr>
  </w:style>
  <w:style w:type="paragraph" w:customStyle="1" w:styleId="TableTextBullet0">
    <w:name w:val="Table Text Bullet_0"/>
    <w:basedOn w:val="Normal89"/>
    <w:rsid w:val="001A2A51"/>
    <w:pPr>
      <w:numPr>
        <w:numId w:val="12"/>
      </w:numPr>
      <w:spacing w:before="60" w:after="60" w:line="240" w:lineRule="auto"/>
      <w:jc w:val="left"/>
    </w:pPr>
    <w:rPr>
      <w:rFonts w:ascii="Arial" w:hAnsi="Arial"/>
      <w:sz w:val="18"/>
    </w:rPr>
  </w:style>
  <w:style w:type="paragraph" w:customStyle="1" w:styleId="TableTextDash0">
    <w:name w:val="Table Text Dash_0"/>
    <w:basedOn w:val="Normal89"/>
    <w:rsid w:val="001A2A51"/>
    <w:pPr>
      <w:numPr>
        <w:ilvl w:val="1"/>
        <w:numId w:val="12"/>
      </w:numPr>
      <w:spacing w:before="60" w:after="60" w:line="240" w:lineRule="auto"/>
      <w:jc w:val="left"/>
    </w:pPr>
    <w:rPr>
      <w:rFonts w:ascii="Arial" w:hAnsi="Arial"/>
      <w:sz w:val="18"/>
    </w:rPr>
  </w:style>
  <w:style w:type="paragraph" w:customStyle="1" w:styleId="TableTextLeft2">
    <w:name w:val="Table Text Left_2"/>
    <w:basedOn w:val="Normal90"/>
    <w:link w:val="TableTextLeftChar2"/>
    <w:rsid w:val="00805146"/>
    <w:pPr>
      <w:spacing w:before="60" w:after="60" w:line="240" w:lineRule="auto"/>
      <w:jc w:val="left"/>
    </w:pPr>
    <w:rPr>
      <w:rFonts w:ascii="Arial" w:hAnsi="Arial" w:cs="Arial"/>
      <w:sz w:val="18"/>
    </w:rPr>
  </w:style>
  <w:style w:type="paragraph" w:customStyle="1" w:styleId="Normal90">
    <w:name w:val="Normal_90"/>
    <w:qFormat/>
    <w:rsid w:val="00805146"/>
    <w:pPr>
      <w:spacing w:after="240" w:line="260" w:lineRule="exact"/>
      <w:jc w:val="both"/>
    </w:pPr>
    <w:rPr>
      <w:rFonts w:ascii="Book Antiqua" w:hAnsi="Book Antiqua"/>
    </w:rPr>
  </w:style>
  <w:style w:type="character" w:customStyle="1" w:styleId="TableTextLeftChar2">
    <w:name w:val="Table Text Left Char_2"/>
    <w:basedOn w:val="DefaultParagraphFont"/>
    <w:link w:val="TableTextLeft2"/>
    <w:locked/>
    <w:rsid w:val="00805146"/>
    <w:rPr>
      <w:rFonts w:ascii="Arial" w:hAnsi="Arial" w:cs="Arial"/>
      <w:sz w:val="18"/>
      <w:lang w:val="en-AU" w:eastAsia="en-AU" w:bidi="ar-SA"/>
    </w:rPr>
  </w:style>
  <w:style w:type="paragraph" w:customStyle="1" w:styleId="CM96">
    <w:name w:val="CM96"/>
    <w:basedOn w:val="Normal90"/>
    <w:next w:val="Normal90"/>
    <w:rsid w:val="00BF25E3"/>
    <w:pPr>
      <w:autoSpaceDE w:val="0"/>
      <w:autoSpaceDN w:val="0"/>
      <w:adjustRightInd w:val="0"/>
      <w:spacing w:after="0" w:line="240" w:lineRule="auto"/>
      <w:jc w:val="left"/>
    </w:pPr>
    <w:rPr>
      <w:rFonts w:ascii="Arial" w:hAnsi="Arial"/>
      <w:sz w:val="24"/>
      <w:szCs w:val="24"/>
    </w:rPr>
  </w:style>
  <w:style w:type="paragraph" w:customStyle="1" w:styleId="TableTextLeft20">
    <w:name w:val="Table Text Left_2_0"/>
    <w:basedOn w:val="Normal90"/>
    <w:link w:val="TableTextLeftChar20"/>
    <w:rsid w:val="00BF25E3"/>
    <w:pPr>
      <w:spacing w:before="60" w:after="60" w:line="240" w:lineRule="auto"/>
      <w:jc w:val="left"/>
    </w:pPr>
    <w:rPr>
      <w:rFonts w:ascii="Arial" w:hAnsi="Arial" w:cs="Arial"/>
      <w:sz w:val="18"/>
    </w:rPr>
  </w:style>
  <w:style w:type="character" w:customStyle="1" w:styleId="TableTextLeftChar20">
    <w:name w:val="Table Text Left Char_2_0"/>
    <w:basedOn w:val="DefaultParagraphFont"/>
    <w:link w:val="TableTextLeft20"/>
    <w:locked/>
    <w:rsid w:val="00BF25E3"/>
    <w:rPr>
      <w:rFonts w:ascii="Arial" w:hAnsi="Arial" w:cs="Arial"/>
      <w:sz w:val="18"/>
    </w:rPr>
  </w:style>
  <w:style w:type="paragraph" w:customStyle="1" w:styleId="ListParagraph4">
    <w:name w:val="List Paragraph_4"/>
    <w:basedOn w:val="Normal91"/>
    <w:uiPriority w:val="34"/>
    <w:qFormat/>
    <w:rsid w:val="004D4F1D"/>
    <w:pPr>
      <w:ind w:left="720"/>
      <w:contextualSpacing/>
    </w:pPr>
  </w:style>
  <w:style w:type="paragraph" w:customStyle="1" w:styleId="Normal91">
    <w:name w:val="Normal_91"/>
    <w:qFormat/>
    <w:rsid w:val="004C0D0C"/>
  </w:style>
  <w:style w:type="paragraph" w:customStyle="1" w:styleId="TableTextBullet1">
    <w:name w:val="Table Text Bullet_1"/>
    <w:basedOn w:val="Normal92"/>
    <w:rsid w:val="00EA47E3"/>
    <w:pPr>
      <w:numPr>
        <w:numId w:val="14"/>
      </w:numPr>
      <w:spacing w:before="60" w:after="60" w:line="240" w:lineRule="auto"/>
      <w:jc w:val="left"/>
    </w:pPr>
    <w:rPr>
      <w:rFonts w:ascii="Arial" w:hAnsi="Arial"/>
      <w:sz w:val="18"/>
    </w:rPr>
  </w:style>
  <w:style w:type="paragraph" w:customStyle="1" w:styleId="TableTextDash1">
    <w:name w:val="Table Text Dash_1"/>
    <w:basedOn w:val="Normal92"/>
    <w:rsid w:val="00EA47E3"/>
    <w:pPr>
      <w:numPr>
        <w:ilvl w:val="1"/>
        <w:numId w:val="14"/>
      </w:numPr>
      <w:spacing w:before="60" w:after="60" w:line="240" w:lineRule="auto"/>
      <w:jc w:val="left"/>
    </w:pPr>
    <w:rPr>
      <w:rFonts w:ascii="Arial" w:hAnsi="Arial"/>
      <w:sz w:val="18"/>
    </w:rPr>
  </w:style>
  <w:style w:type="paragraph" w:customStyle="1" w:styleId="Normal92">
    <w:name w:val="Normal_92"/>
    <w:qFormat/>
    <w:rsid w:val="00EA47E3"/>
    <w:pPr>
      <w:spacing w:after="240" w:line="260" w:lineRule="exact"/>
      <w:jc w:val="both"/>
    </w:pPr>
    <w:rPr>
      <w:rFonts w:ascii="Book Antiqua" w:hAnsi="Book Antiqua"/>
    </w:rPr>
  </w:style>
  <w:style w:type="paragraph" w:customStyle="1" w:styleId="TableTextLeft3">
    <w:name w:val="Table Text Left_3"/>
    <w:basedOn w:val="Normal92"/>
    <w:link w:val="TableTextLeftChar3"/>
    <w:rsid w:val="00EA47E3"/>
    <w:pPr>
      <w:spacing w:before="60" w:after="60" w:line="240" w:lineRule="auto"/>
      <w:jc w:val="left"/>
    </w:pPr>
    <w:rPr>
      <w:rFonts w:ascii="Arial" w:hAnsi="Arial" w:cs="Arial"/>
      <w:sz w:val="18"/>
    </w:rPr>
  </w:style>
  <w:style w:type="character" w:customStyle="1" w:styleId="TableTextLeftChar3">
    <w:name w:val="Table Text Left Char_3"/>
    <w:basedOn w:val="DefaultParagraphFont"/>
    <w:link w:val="TableTextLeft3"/>
    <w:locked/>
    <w:rsid w:val="00EA47E3"/>
    <w:rPr>
      <w:rFonts w:ascii="Arial" w:hAnsi="Arial" w:cs="Arial"/>
      <w:sz w:val="18"/>
      <w:lang w:val="en-AU" w:eastAsia="en-AU" w:bidi="ar-SA"/>
    </w:rPr>
  </w:style>
  <w:style w:type="paragraph" w:customStyle="1" w:styleId="TableTextJustified">
    <w:name w:val="Table Text Justified"/>
    <w:basedOn w:val="Normal92"/>
    <w:rsid w:val="00EA47E3"/>
    <w:pPr>
      <w:spacing w:before="60" w:after="60" w:line="240" w:lineRule="auto"/>
    </w:pPr>
    <w:rPr>
      <w:rFonts w:ascii="Arial" w:hAnsi="Arial"/>
      <w:sz w:val="18"/>
    </w:rPr>
  </w:style>
  <w:style w:type="paragraph" w:customStyle="1" w:styleId="TableTextLeft4">
    <w:name w:val="Table Text Left_4"/>
    <w:basedOn w:val="Normal93"/>
    <w:link w:val="TableTextLeftChar4"/>
    <w:rsid w:val="001A2A51"/>
    <w:pPr>
      <w:spacing w:before="60" w:after="60" w:line="240" w:lineRule="auto"/>
      <w:jc w:val="left"/>
    </w:pPr>
    <w:rPr>
      <w:rFonts w:ascii="Arial" w:hAnsi="Arial" w:cs="Arial"/>
      <w:sz w:val="18"/>
    </w:rPr>
  </w:style>
  <w:style w:type="paragraph" w:customStyle="1" w:styleId="Normal93">
    <w:name w:val="Normal_93"/>
    <w:qFormat/>
    <w:rsid w:val="001A2A51"/>
    <w:pPr>
      <w:spacing w:after="240" w:line="260" w:lineRule="exact"/>
      <w:jc w:val="both"/>
    </w:pPr>
    <w:rPr>
      <w:rFonts w:ascii="Book Antiqua" w:hAnsi="Book Antiqua"/>
    </w:rPr>
  </w:style>
  <w:style w:type="character" w:customStyle="1" w:styleId="TableTextLeftChar4">
    <w:name w:val="Table Text Left Char_4"/>
    <w:basedOn w:val="DefaultParagraphFont"/>
    <w:link w:val="TableTextLeft4"/>
    <w:locked/>
    <w:rsid w:val="001A2A51"/>
    <w:rPr>
      <w:rFonts w:ascii="Arial" w:hAnsi="Arial" w:cs="Arial"/>
      <w:sz w:val="18"/>
      <w:lang w:val="en-AU" w:eastAsia="en-AU" w:bidi="ar-SA"/>
    </w:rPr>
  </w:style>
  <w:style w:type="paragraph" w:customStyle="1" w:styleId="TableTextBullet2">
    <w:name w:val="Table Text Bullet_2"/>
    <w:basedOn w:val="Normal93"/>
    <w:rsid w:val="001A2A51"/>
    <w:pPr>
      <w:numPr>
        <w:numId w:val="15"/>
      </w:numPr>
      <w:spacing w:before="60" w:after="60" w:line="240" w:lineRule="auto"/>
      <w:jc w:val="left"/>
    </w:pPr>
    <w:rPr>
      <w:rFonts w:ascii="Arial" w:hAnsi="Arial"/>
      <w:sz w:val="18"/>
    </w:rPr>
  </w:style>
  <w:style w:type="paragraph" w:customStyle="1" w:styleId="TableTextDash2">
    <w:name w:val="Table Text Dash_2"/>
    <w:basedOn w:val="Normal93"/>
    <w:rsid w:val="001A2A51"/>
    <w:pPr>
      <w:numPr>
        <w:ilvl w:val="1"/>
        <w:numId w:val="15"/>
      </w:numPr>
      <w:spacing w:before="60" w:after="60" w:line="240" w:lineRule="auto"/>
      <w:jc w:val="left"/>
    </w:pPr>
    <w:rPr>
      <w:rFonts w:ascii="Arial" w:hAnsi="Arial"/>
      <w:sz w:val="18"/>
    </w:rPr>
  </w:style>
  <w:style w:type="paragraph" w:customStyle="1" w:styleId="TableTextLeft5">
    <w:name w:val="Table Text Left_5"/>
    <w:basedOn w:val="Normal94"/>
    <w:link w:val="TableTextLeftChar5"/>
    <w:rsid w:val="0086588C"/>
    <w:pPr>
      <w:spacing w:before="60" w:after="60"/>
    </w:pPr>
    <w:rPr>
      <w:rFonts w:ascii="Arial" w:hAnsi="Arial" w:cs="Arial"/>
      <w:sz w:val="18"/>
      <w:szCs w:val="20"/>
    </w:rPr>
  </w:style>
  <w:style w:type="paragraph" w:customStyle="1" w:styleId="Normal94">
    <w:name w:val="Normal_94"/>
    <w:qFormat/>
    <w:rsid w:val="0077376C"/>
    <w:rPr>
      <w:sz w:val="24"/>
      <w:szCs w:val="24"/>
    </w:rPr>
  </w:style>
  <w:style w:type="character" w:customStyle="1" w:styleId="TableTextLeftChar5">
    <w:name w:val="Table Text Left Char_5"/>
    <w:basedOn w:val="DefaultParagraphFont"/>
    <w:link w:val="TableTextLeft5"/>
    <w:locked/>
    <w:rsid w:val="0086588C"/>
    <w:rPr>
      <w:rFonts w:ascii="Arial" w:hAnsi="Arial" w:cs="Arial"/>
      <w:sz w:val="18"/>
      <w:lang w:val="en-AU" w:eastAsia="en-AU" w:bidi="ar-SA"/>
    </w:rPr>
  </w:style>
  <w:style w:type="paragraph" w:customStyle="1" w:styleId="ListParagraph5">
    <w:name w:val="List Paragraph_5"/>
    <w:basedOn w:val="Normal95"/>
    <w:uiPriority w:val="34"/>
    <w:qFormat/>
    <w:rsid w:val="004D4F1D"/>
    <w:pPr>
      <w:ind w:left="720"/>
      <w:contextualSpacing/>
    </w:pPr>
  </w:style>
  <w:style w:type="paragraph" w:customStyle="1" w:styleId="Normal95">
    <w:name w:val="Normal_95"/>
    <w:qFormat/>
    <w:rsid w:val="004C0D0C"/>
  </w:style>
  <w:style w:type="paragraph" w:customStyle="1" w:styleId="TableTextLeft6">
    <w:name w:val="Table Text Left_6"/>
    <w:basedOn w:val="Normal96"/>
    <w:link w:val="TableTextLeftChar6"/>
    <w:rsid w:val="00621B21"/>
    <w:pPr>
      <w:spacing w:before="60" w:after="60"/>
    </w:pPr>
    <w:rPr>
      <w:rFonts w:ascii="Arial" w:hAnsi="Arial" w:cs="Arial"/>
      <w:sz w:val="18"/>
      <w:szCs w:val="20"/>
    </w:rPr>
  </w:style>
  <w:style w:type="paragraph" w:customStyle="1" w:styleId="Normal96">
    <w:name w:val="Normal_96"/>
    <w:qFormat/>
    <w:rsid w:val="007F340D"/>
    <w:rPr>
      <w:sz w:val="24"/>
      <w:szCs w:val="24"/>
    </w:rPr>
  </w:style>
  <w:style w:type="character" w:customStyle="1" w:styleId="TableTextLeftChar6">
    <w:name w:val="Table Text Left Char_6"/>
    <w:basedOn w:val="DefaultParagraphFont"/>
    <w:link w:val="TableTextLeft6"/>
    <w:locked/>
    <w:rsid w:val="00621B21"/>
    <w:rPr>
      <w:rFonts w:ascii="Arial" w:hAnsi="Arial" w:cs="Arial"/>
      <w:sz w:val="18"/>
      <w:lang w:val="en-AU" w:eastAsia="en-AU" w:bidi="ar-SA"/>
    </w:rPr>
  </w:style>
  <w:style w:type="paragraph" w:customStyle="1" w:styleId="TableTextLeft7">
    <w:name w:val="Table Text Left_7"/>
    <w:basedOn w:val="Normal97"/>
    <w:link w:val="TableTextLeftChar7"/>
    <w:rsid w:val="00EE49EC"/>
    <w:pPr>
      <w:spacing w:before="60" w:after="60" w:line="240" w:lineRule="auto"/>
      <w:jc w:val="left"/>
    </w:pPr>
    <w:rPr>
      <w:rFonts w:ascii="Arial" w:hAnsi="Arial" w:cs="Arial"/>
      <w:sz w:val="18"/>
    </w:rPr>
  </w:style>
  <w:style w:type="paragraph" w:customStyle="1" w:styleId="Normal97">
    <w:name w:val="Normal_97"/>
    <w:qFormat/>
    <w:rsid w:val="00EE49EC"/>
    <w:pPr>
      <w:spacing w:after="240" w:line="260" w:lineRule="exact"/>
      <w:jc w:val="both"/>
    </w:pPr>
    <w:rPr>
      <w:rFonts w:ascii="Book Antiqua" w:hAnsi="Book Antiqua"/>
    </w:rPr>
  </w:style>
  <w:style w:type="character" w:customStyle="1" w:styleId="TableTextLeftChar7">
    <w:name w:val="Table Text Left Char_7"/>
    <w:basedOn w:val="DefaultParagraphFont"/>
    <w:link w:val="TableTextLeft7"/>
    <w:locked/>
    <w:rsid w:val="00EE49EC"/>
    <w:rPr>
      <w:rFonts w:ascii="Arial" w:hAnsi="Arial" w:cs="Arial"/>
      <w:sz w:val="18"/>
      <w:lang w:val="en-AU" w:eastAsia="en-AU" w:bidi="ar-SA"/>
    </w:rPr>
  </w:style>
  <w:style w:type="paragraph" w:customStyle="1" w:styleId="TableTextBullet3">
    <w:name w:val="Table Text Bullet_3"/>
    <w:basedOn w:val="Normal97"/>
    <w:rsid w:val="00EE49EC"/>
    <w:pPr>
      <w:numPr>
        <w:numId w:val="17"/>
      </w:numPr>
      <w:spacing w:before="60" w:after="60" w:line="240" w:lineRule="auto"/>
      <w:jc w:val="left"/>
    </w:pPr>
    <w:rPr>
      <w:rFonts w:ascii="Arial" w:hAnsi="Arial"/>
      <w:sz w:val="18"/>
    </w:rPr>
  </w:style>
  <w:style w:type="paragraph" w:customStyle="1" w:styleId="TableTextDash3">
    <w:name w:val="Table Text Dash_3"/>
    <w:basedOn w:val="Normal97"/>
    <w:rsid w:val="00EE49EC"/>
    <w:pPr>
      <w:numPr>
        <w:ilvl w:val="1"/>
        <w:numId w:val="17"/>
      </w:numPr>
      <w:spacing w:before="60" w:after="60" w:line="240" w:lineRule="auto"/>
      <w:jc w:val="left"/>
    </w:pPr>
    <w:rPr>
      <w:rFonts w:ascii="Arial" w:hAnsi="Arial"/>
      <w:sz w:val="18"/>
    </w:rPr>
  </w:style>
  <w:style w:type="paragraph" w:customStyle="1" w:styleId="TableTextLeft8">
    <w:name w:val="Table Text Left_8"/>
    <w:basedOn w:val="Normal98"/>
    <w:link w:val="TableTextLeftChar8"/>
    <w:rsid w:val="00C500F3"/>
    <w:pPr>
      <w:spacing w:before="60" w:after="60"/>
    </w:pPr>
    <w:rPr>
      <w:rFonts w:ascii="Arial" w:hAnsi="Arial" w:cs="Arial"/>
      <w:sz w:val="18"/>
      <w:szCs w:val="20"/>
    </w:rPr>
  </w:style>
  <w:style w:type="paragraph" w:customStyle="1" w:styleId="Normal98">
    <w:name w:val="Normal_98"/>
    <w:qFormat/>
    <w:rsid w:val="00F0648F"/>
    <w:rPr>
      <w:sz w:val="24"/>
      <w:szCs w:val="24"/>
    </w:rPr>
  </w:style>
  <w:style w:type="character" w:customStyle="1" w:styleId="TableTextLeftChar8">
    <w:name w:val="Table Text Left Char_8"/>
    <w:basedOn w:val="DefaultParagraphFont"/>
    <w:link w:val="TableTextLeft8"/>
    <w:locked/>
    <w:rsid w:val="00C500F3"/>
    <w:rPr>
      <w:rFonts w:ascii="Arial" w:hAnsi="Arial" w:cs="Arial"/>
      <w:sz w:val="18"/>
      <w:lang w:val="en-AU" w:eastAsia="en-AU" w:bidi="ar-SA"/>
    </w:rPr>
  </w:style>
  <w:style w:type="paragraph" w:customStyle="1" w:styleId="TableTextBullet4">
    <w:name w:val="Table Text Bullet_4"/>
    <w:basedOn w:val="Normal98"/>
    <w:rsid w:val="00C500F3"/>
    <w:pPr>
      <w:numPr>
        <w:numId w:val="18"/>
      </w:numPr>
      <w:spacing w:before="60" w:after="60"/>
    </w:pPr>
    <w:rPr>
      <w:rFonts w:ascii="Arial" w:hAnsi="Arial"/>
      <w:sz w:val="18"/>
      <w:szCs w:val="20"/>
    </w:rPr>
  </w:style>
  <w:style w:type="paragraph" w:customStyle="1" w:styleId="TableTextDash4">
    <w:name w:val="Table Text Dash_4"/>
    <w:basedOn w:val="Normal98"/>
    <w:rsid w:val="00C500F3"/>
    <w:pPr>
      <w:numPr>
        <w:ilvl w:val="1"/>
        <w:numId w:val="18"/>
      </w:numPr>
      <w:spacing w:before="60" w:after="60"/>
    </w:pPr>
    <w:rPr>
      <w:rFonts w:ascii="Arial" w:hAnsi="Arial"/>
      <w:sz w:val="18"/>
      <w:szCs w:val="20"/>
    </w:rPr>
  </w:style>
  <w:style w:type="paragraph" w:customStyle="1" w:styleId="TableTextLeft9">
    <w:name w:val="Table Text Left_9"/>
    <w:basedOn w:val="Normal99"/>
    <w:link w:val="TableTextLeftChar9"/>
    <w:rsid w:val="00C500F3"/>
    <w:pPr>
      <w:spacing w:before="60" w:after="60"/>
    </w:pPr>
    <w:rPr>
      <w:rFonts w:ascii="Arial" w:hAnsi="Arial" w:cs="Arial"/>
      <w:sz w:val="18"/>
      <w:szCs w:val="20"/>
    </w:rPr>
  </w:style>
  <w:style w:type="paragraph" w:customStyle="1" w:styleId="Normal99">
    <w:name w:val="Normal_99"/>
    <w:qFormat/>
    <w:rsid w:val="005F0E7D"/>
    <w:rPr>
      <w:sz w:val="24"/>
      <w:szCs w:val="24"/>
    </w:rPr>
  </w:style>
  <w:style w:type="character" w:customStyle="1" w:styleId="TableTextLeftChar9">
    <w:name w:val="Table Text Left Char_9"/>
    <w:basedOn w:val="DefaultParagraphFont"/>
    <w:link w:val="TableTextLeft9"/>
    <w:locked/>
    <w:rsid w:val="00C500F3"/>
    <w:rPr>
      <w:rFonts w:ascii="Arial" w:hAnsi="Arial" w:cs="Arial"/>
      <w:sz w:val="18"/>
      <w:lang w:val="en-AU" w:eastAsia="en-AU" w:bidi="ar-SA"/>
    </w:rPr>
  </w:style>
  <w:style w:type="paragraph" w:customStyle="1" w:styleId="ChartandTableFootnote1">
    <w:name w:val="Chart and Table Footnote_1"/>
    <w:basedOn w:val="Normal100"/>
    <w:next w:val="Normal100"/>
    <w:link w:val="ChartandTableFootnoteChar1"/>
    <w:rsid w:val="00870B5C"/>
    <w:pPr>
      <w:keepNext/>
      <w:tabs>
        <w:tab w:val="left" w:pos="284"/>
      </w:tabs>
      <w:spacing w:after="0" w:line="240" w:lineRule="auto"/>
      <w:ind w:left="284" w:hanging="284"/>
    </w:pPr>
    <w:rPr>
      <w:rFonts w:ascii="Arial" w:hAnsi="Arial" w:cs="Arial"/>
      <w:sz w:val="16"/>
    </w:rPr>
  </w:style>
  <w:style w:type="paragraph" w:customStyle="1" w:styleId="Normal100">
    <w:name w:val="Normal_100"/>
    <w:qFormat/>
    <w:rsid w:val="00861DF0"/>
    <w:pPr>
      <w:spacing w:after="240" w:line="260" w:lineRule="exact"/>
      <w:jc w:val="both"/>
    </w:pPr>
    <w:rPr>
      <w:rFonts w:ascii="Book Antiqua" w:hAnsi="Book Antiqua"/>
    </w:rPr>
  </w:style>
  <w:style w:type="character" w:customStyle="1" w:styleId="ChartandTableFootnoteChar1">
    <w:name w:val="Chart and Table Footnote Char_1"/>
    <w:basedOn w:val="DefaultParagraphFont"/>
    <w:link w:val="ChartandTableFootnote1"/>
    <w:locked/>
    <w:rsid w:val="00870B5C"/>
    <w:rPr>
      <w:rFonts w:ascii="Arial" w:hAnsi="Arial" w:cs="Arial"/>
      <w:sz w:val="16"/>
      <w:lang w:val="en-AU" w:eastAsia="en-AU" w:bidi="ar-SA"/>
    </w:rPr>
  </w:style>
  <w:style w:type="paragraph" w:customStyle="1" w:styleId="TableTextLeft10">
    <w:name w:val="Table Text Left_10"/>
    <w:basedOn w:val="Normal101"/>
    <w:link w:val="TableTextLeftChar10"/>
    <w:rsid w:val="00886D0F"/>
    <w:pPr>
      <w:spacing w:before="60" w:after="60"/>
    </w:pPr>
    <w:rPr>
      <w:rFonts w:ascii="Arial" w:hAnsi="Arial" w:cs="Arial"/>
      <w:sz w:val="18"/>
      <w:szCs w:val="20"/>
    </w:rPr>
  </w:style>
  <w:style w:type="paragraph" w:customStyle="1" w:styleId="Normal101">
    <w:name w:val="Normal_101"/>
    <w:qFormat/>
    <w:rsid w:val="00F33DF3"/>
    <w:rPr>
      <w:sz w:val="24"/>
      <w:szCs w:val="24"/>
    </w:rPr>
  </w:style>
  <w:style w:type="character" w:customStyle="1" w:styleId="TableTextLeftChar10">
    <w:name w:val="Table Text Left Char_10"/>
    <w:basedOn w:val="DefaultParagraphFont"/>
    <w:link w:val="TableTextLeft10"/>
    <w:locked/>
    <w:rsid w:val="00886D0F"/>
    <w:rPr>
      <w:rFonts w:ascii="Arial" w:hAnsi="Arial" w:cs="Arial"/>
      <w:sz w:val="18"/>
      <w:lang w:val="en-AU" w:eastAsia="en-AU" w:bidi="ar-SA"/>
    </w:rPr>
  </w:style>
  <w:style w:type="paragraph" w:customStyle="1" w:styleId="TableTextBullet5">
    <w:name w:val="Table Text Bullet_5"/>
    <w:basedOn w:val="Normal101"/>
    <w:rsid w:val="00886D0F"/>
    <w:pPr>
      <w:numPr>
        <w:numId w:val="19"/>
      </w:numPr>
      <w:spacing w:before="60" w:after="60"/>
    </w:pPr>
    <w:rPr>
      <w:rFonts w:ascii="Arial" w:hAnsi="Arial"/>
      <w:sz w:val="18"/>
      <w:szCs w:val="20"/>
    </w:rPr>
  </w:style>
  <w:style w:type="paragraph" w:customStyle="1" w:styleId="TableTextDash5">
    <w:name w:val="Table Text Dash_5"/>
    <w:basedOn w:val="Normal101"/>
    <w:rsid w:val="00886D0F"/>
    <w:pPr>
      <w:numPr>
        <w:ilvl w:val="1"/>
        <w:numId w:val="19"/>
      </w:numPr>
      <w:spacing w:before="60" w:after="60"/>
    </w:pPr>
    <w:rPr>
      <w:rFonts w:ascii="Arial" w:hAnsi="Arial"/>
      <w:sz w:val="18"/>
      <w:szCs w:val="20"/>
    </w:rPr>
  </w:style>
  <w:style w:type="paragraph" w:customStyle="1" w:styleId="TableTextLeft11">
    <w:name w:val="Table Text Left_11"/>
    <w:basedOn w:val="Normal102"/>
    <w:link w:val="TableTextLeftChar11"/>
    <w:rsid w:val="001A2A51"/>
    <w:pPr>
      <w:spacing w:before="60" w:after="60" w:line="240" w:lineRule="auto"/>
      <w:jc w:val="left"/>
    </w:pPr>
    <w:rPr>
      <w:rFonts w:ascii="Arial" w:hAnsi="Arial" w:cs="Arial"/>
      <w:sz w:val="18"/>
    </w:rPr>
  </w:style>
  <w:style w:type="paragraph" w:customStyle="1" w:styleId="Normal102">
    <w:name w:val="Normal_102"/>
    <w:qFormat/>
    <w:rsid w:val="001A2A51"/>
    <w:pPr>
      <w:spacing w:after="240" w:line="260" w:lineRule="exact"/>
      <w:jc w:val="both"/>
    </w:pPr>
    <w:rPr>
      <w:rFonts w:ascii="Book Antiqua" w:hAnsi="Book Antiqua"/>
    </w:rPr>
  </w:style>
  <w:style w:type="character" w:customStyle="1" w:styleId="TableTextLeftChar11">
    <w:name w:val="Table Text Left Char_11"/>
    <w:basedOn w:val="DefaultParagraphFont"/>
    <w:link w:val="TableTextLeft11"/>
    <w:locked/>
    <w:rsid w:val="001A2A51"/>
    <w:rPr>
      <w:rFonts w:ascii="Arial" w:hAnsi="Arial" w:cs="Arial"/>
      <w:sz w:val="18"/>
      <w:lang w:val="en-AU" w:eastAsia="en-AU" w:bidi="ar-SA"/>
    </w:rPr>
  </w:style>
  <w:style w:type="paragraph" w:customStyle="1" w:styleId="TableTextBullet6">
    <w:name w:val="Table Text Bullet_6"/>
    <w:basedOn w:val="Normal102"/>
    <w:rsid w:val="001A2A51"/>
    <w:pPr>
      <w:numPr>
        <w:numId w:val="20"/>
      </w:numPr>
      <w:spacing w:before="60" w:after="60" w:line="240" w:lineRule="auto"/>
      <w:jc w:val="left"/>
    </w:pPr>
    <w:rPr>
      <w:rFonts w:ascii="Arial" w:hAnsi="Arial"/>
      <w:sz w:val="18"/>
    </w:rPr>
  </w:style>
  <w:style w:type="paragraph" w:customStyle="1" w:styleId="TableTextDash6">
    <w:name w:val="Table Text Dash_6"/>
    <w:basedOn w:val="Normal102"/>
    <w:rsid w:val="001A2A51"/>
    <w:pPr>
      <w:numPr>
        <w:ilvl w:val="1"/>
        <w:numId w:val="20"/>
      </w:numPr>
      <w:spacing w:before="60" w:after="60" w:line="240" w:lineRule="auto"/>
      <w:jc w:val="left"/>
    </w:pPr>
    <w:rPr>
      <w:rFonts w:ascii="Arial" w:hAnsi="Arial"/>
      <w:sz w:val="18"/>
    </w:rPr>
  </w:style>
  <w:style w:type="paragraph" w:customStyle="1" w:styleId="TableTextLeft12">
    <w:name w:val="Table Text Left_12"/>
    <w:basedOn w:val="Normal103"/>
    <w:link w:val="TableTextLeftChar12"/>
    <w:rsid w:val="0049693E"/>
    <w:pPr>
      <w:spacing w:before="60" w:after="60"/>
    </w:pPr>
    <w:rPr>
      <w:rFonts w:ascii="Arial" w:hAnsi="Arial" w:cs="Arial"/>
      <w:sz w:val="18"/>
      <w:szCs w:val="20"/>
    </w:rPr>
  </w:style>
  <w:style w:type="paragraph" w:customStyle="1" w:styleId="Normal103">
    <w:name w:val="Normal_103"/>
    <w:qFormat/>
    <w:rsid w:val="00A72C77"/>
    <w:rPr>
      <w:sz w:val="24"/>
      <w:szCs w:val="24"/>
    </w:rPr>
  </w:style>
  <w:style w:type="character" w:customStyle="1" w:styleId="TableTextLeftChar12">
    <w:name w:val="Table Text Left Char_12"/>
    <w:basedOn w:val="DefaultParagraphFont"/>
    <w:link w:val="TableTextLeft12"/>
    <w:locked/>
    <w:rsid w:val="0049693E"/>
    <w:rPr>
      <w:rFonts w:ascii="Arial" w:hAnsi="Arial" w:cs="Arial"/>
      <w:sz w:val="18"/>
      <w:lang w:val="en-AU" w:eastAsia="en-AU" w:bidi="ar-SA"/>
    </w:rPr>
  </w:style>
  <w:style w:type="paragraph" w:customStyle="1" w:styleId="ListParagraph6">
    <w:name w:val="List Paragraph_6"/>
    <w:basedOn w:val="Normal104"/>
    <w:uiPriority w:val="34"/>
    <w:qFormat/>
    <w:rsid w:val="004D4F1D"/>
    <w:pPr>
      <w:ind w:left="720"/>
      <w:contextualSpacing/>
    </w:pPr>
  </w:style>
  <w:style w:type="paragraph" w:customStyle="1" w:styleId="Normal104">
    <w:name w:val="Normal_104"/>
    <w:qFormat/>
    <w:rsid w:val="004C0D0C"/>
  </w:style>
  <w:style w:type="paragraph" w:customStyle="1" w:styleId="TableTextLeft13">
    <w:name w:val="Table Text Left_13"/>
    <w:basedOn w:val="Normal105"/>
    <w:link w:val="TableTextLeftChar13"/>
    <w:rsid w:val="00621B21"/>
    <w:pPr>
      <w:spacing w:before="60" w:after="60"/>
    </w:pPr>
    <w:rPr>
      <w:rFonts w:ascii="Arial" w:hAnsi="Arial" w:cs="Arial"/>
      <w:sz w:val="18"/>
      <w:szCs w:val="20"/>
    </w:rPr>
  </w:style>
  <w:style w:type="paragraph" w:customStyle="1" w:styleId="Normal105">
    <w:name w:val="Normal_105"/>
    <w:qFormat/>
    <w:rsid w:val="007F340D"/>
    <w:rPr>
      <w:sz w:val="24"/>
      <w:szCs w:val="24"/>
    </w:rPr>
  </w:style>
  <w:style w:type="character" w:customStyle="1" w:styleId="TableTextLeftChar13">
    <w:name w:val="Table Text Left Char_13"/>
    <w:basedOn w:val="DefaultParagraphFont"/>
    <w:link w:val="TableTextLeft13"/>
    <w:locked/>
    <w:rsid w:val="00621B21"/>
    <w:rPr>
      <w:rFonts w:ascii="Arial" w:hAnsi="Arial" w:cs="Arial"/>
      <w:sz w:val="18"/>
      <w:lang w:val="en-AU" w:eastAsia="en-AU" w:bidi="ar-SA"/>
    </w:rPr>
  </w:style>
  <w:style w:type="paragraph" w:customStyle="1" w:styleId="TableTextLeft14">
    <w:name w:val="Table Text Left_14"/>
    <w:basedOn w:val="Normal106"/>
    <w:link w:val="TableTextLeftChar14"/>
    <w:rsid w:val="001D25E3"/>
    <w:pPr>
      <w:spacing w:before="60" w:after="60"/>
    </w:pPr>
    <w:rPr>
      <w:rFonts w:ascii="Arial" w:hAnsi="Arial" w:cs="Arial"/>
      <w:sz w:val="18"/>
      <w:szCs w:val="20"/>
    </w:rPr>
  </w:style>
  <w:style w:type="paragraph" w:customStyle="1" w:styleId="Normal106">
    <w:name w:val="Normal_106"/>
    <w:qFormat/>
    <w:rsid w:val="001D25E3"/>
    <w:rPr>
      <w:sz w:val="24"/>
      <w:szCs w:val="24"/>
    </w:rPr>
  </w:style>
  <w:style w:type="character" w:customStyle="1" w:styleId="TableTextLeftChar14">
    <w:name w:val="Table Text Left Char_14"/>
    <w:basedOn w:val="DefaultParagraphFont"/>
    <w:link w:val="TableTextLeft14"/>
    <w:locked/>
    <w:rsid w:val="001D25E3"/>
    <w:rPr>
      <w:rFonts w:ascii="Arial" w:hAnsi="Arial" w:cs="Arial"/>
      <w:sz w:val="18"/>
      <w:lang w:val="en-AU" w:eastAsia="en-AU" w:bidi="ar-SA"/>
    </w:rPr>
  </w:style>
  <w:style w:type="paragraph" w:customStyle="1" w:styleId="TableTextLeft15">
    <w:name w:val="Table Text Left_15"/>
    <w:basedOn w:val="Normal107"/>
    <w:link w:val="TableTextLeftChar15"/>
    <w:rsid w:val="00A25C56"/>
    <w:pPr>
      <w:spacing w:before="60" w:after="60"/>
    </w:pPr>
    <w:rPr>
      <w:rFonts w:ascii="Arial" w:hAnsi="Arial" w:cs="Arial"/>
      <w:sz w:val="18"/>
      <w:szCs w:val="20"/>
    </w:rPr>
  </w:style>
  <w:style w:type="paragraph" w:customStyle="1" w:styleId="Normal107">
    <w:name w:val="Normal_107"/>
    <w:qFormat/>
    <w:rsid w:val="0049724E"/>
    <w:rPr>
      <w:sz w:val="24"/>
      <w:szCs w:val="24"/>
    </w:rPr>
  </w:style>
  <w:style w:type="character" w:customStyle="1" w:styleId="TableTextLeftChar15">
    <w:name w:val="Table Text Left Char_15"/>
    <w:basedOn w:val="DefaultParagraphFont"/>
    <w:link w:val="TableTextLeft15"/>
    <w:locked/>
    <w:rsid w:val="00A25C56"/>
    <w:rPr>
      <w:rFonts w:ascii="Arial" w:hAnsi="Arial" w:cs="Arial"/>
      <w:sz w:val="18"/>
      <w:lang w:val="en-AU" w:eastAsia="en-AU" w:bidi="ar-SA"/>
    </w:rPr>
  </w:style>
  <w:style w:type="paragraph" w:customStyle="1" w:styleId="ListParagraph7">
    <w:name w:val="List Paragraph_7"/>
    <w:basedOn w:val="Normal108"/>
    <w:uiPriority w:val="34"/>
    <w:qFormat/>
    <w:rsid w:val="004D4F1D"/>
    <w:pPr>
      <w:ind w:left="720"/>
      <w:contextualSpacing/>
    </w:pPr>
  </w:style>
  <w:style w:type="paragraph" w:customStyle="1" w:styleId="Normal108">
    <w:name w:val="Normal_108"/>
    <w:qFormat/>
    <w:rsid w:val="004C0D0C"/>
  </w:style>
  <w:style w:type="paragraph" w:customStyle="1" w:styleId="TableTextLeft16">
    <w:name w:val="Table Text Left_16"/>
    <w:basedOn w:val="Normal109"/>
    <w:link w:val="TableTextLeftChar16"/>
    <w:rsid w:val="0017111C"/>
    <w:pPr>
      <w:spacing w:before="60" w:after="60" w:line="240" w:lineRule="auto"/>
      <w:jc w:val="left"/>
    </w:pPr>
    <w:rPr>
      <w:rFonts w:ascii="Arial" w:hAnsi="Arial" w:cs="Arial"/>
      <w:sz w:val="18"/>
    </w:rPr>
  </w:style>
  <w:style w:type="paragraph" w:customStyle="1" w:styleId="Normal109">
    <w:name w:val="Normal_109"/>
    <w:qFormat/>
    <w:rsid w:val="0017111C"/>
    <w:pPr>
      <w:spacing w:after="240" w:line="260" w:lineRule="exact"/>
      <w:jc w:val="both"/>
    </w:pPr>
    <w:rPr>
      <w:rFonts w:ascii="Book Antiqua" w:hAnsi="Book Antiqua"/>
    </w:rPr>
  </w:style>
  <w:style w:type="character" w:customStyle="1" w:styleId="TableTextLeftChar16">
    <w:name w:val="Table Text Left Char_16"/>
    <w:basedOn w:val="DefaultParagraphFont"/>
    <w:link w:val="TableTextLeft16"/>
    <w:locked/>
    <w:rsid w:val="0017111C"/>
    <w:rPr>
      <w:rFonts w:ascii="Arial" w:hAnsi="Arial" w:cs="Arial"/>
      <w:sz w:val="18"/>
      <w:lang w:val="en-AU" w:eastAsia="en-AU" w:bidi="ar-SA"/>
    </w:rPr>
  </w:style>
  <w:style w:type="paragraph" w:customStyle="1" w:styleId="TableTextBullet7">
    <w:name w:val="Table Text Bullet_7"/>
    <w:basedOn w:val="Normal109"/>
    <w:rsid w:val="0017111C"/>
    <w:pPr>
      <w:numPr>
        <w:numId w:val="24"/>
      </w:numPr>
      <w:spacing w:before="60" w:after="60" w:line="240" w:lineRule="auto"/>
      <w:jc w:val="left"/>
    </w:pPr>
    <w:rPr>
      <w:rFonts w:ascii="Arial" w:hAnsi="Arial"/>
      <w:sz w:val="18"/>
    </w:rPr>
  </w:style>
  <w:style w:type="paragraph" w:customStyle="1" w:styleId="TableTextDash7">
    <w:name w:val="Table Text Dash_7"/>
    <w:basedOn w:val="Normal109"/>
    <w:rsid w:val="0017111C"/>
    <w:pPr>
      <w:numPr>
        <w:ilvl w:val="1"/>
        <w:numId w:val="24"/>
      </w:numPr>
      <w:spacing w:before="60" w:after="60" w:line="240" w:lineRule="auto"/>
      <w:jc w:val="left"/>
    </w:pPr>
    <w:rPr>
      <w:rFonts w:ascii="Arial" w:hAnsi="Arial"/>
      <w:sz w:val="18"/>
    </w:rPr>
  </w:style>
  <w:style w:type="paragraph" w:customStyle="1" w:styleId="TableTextLeft17">
    <w:name w:val="Table Text Left_17"/>
    <w:basedOn w:val="Normal110"/>
    <w:link w:val="TableTextLeftChar17"/>
    <w:rsid w:val="00A51890"/>
    <w:pPr>
      <w:spacing w:before="60" w:after="60" w:line="240" w:lineRule="auto"/>
      <w:jc w:val="left"/>
    </w:pPr>
    <w:rPr>
      <w:rFonts w:ascii="Arial" w:hAnsi="Arial" w:cs="Arial"/>
      <w:sz w:val="18"/>
    </w:rPr>
  </w:style>
  <w:style w:type="paragraph" w:customStyle="1" w:styleId="Normal110">
    <w:name w:val="Normal_110"/>
    <w:qFormat/>
    <w:rsid w:val="00A51890"/>
    <w:pPr>
      <w:spacing w:after="240" w:line="260" w:lineRule="exact"/>
      <w:jc w:val="both"/>
    </w:pPr>
    <w:rPr>
      <w:rFonts w:ascii="Book Antiqua" w:hAnsi="Book Antiqua"/>
    </w:rPr>
  </w:style>
  <w:style w:type="character" w:customStyle="1" w:styleId="TableTextLeftChar17">
    <w:name w:val="Table Text Left Char_17"/>
    <w:basedOn w:val="DefaultParagraphFont"/>
    <w:link w:val="TableTextLeft17"/>
    <w:locked/>
    <w:rsid w:val="00A51890"/>
    <w:rPr>
      <w:rFonts w:ascii="Arial" w:hAnsi="Arial" w:cs="Arial"/>
      <w:sz w:val="18"/>
      <w:lang w:val="en-AU" w:eastAsia="en-AU" w:bidi="ar-SA"/>
    </w:rPr>
  </w:style>
  <w:style w:type="paragraph" w:customStyle="1" w:styleId="TableTextBullet8">
    <w:name w:val="Table Text Bullet_8"/>
    <w:basedOn w:val="Normal110"/>
    <w:rsid w:val="00A51890"/>
    <w:pPr>
      <w:numPr>
        <w:numId w:val="25"/>
      </w:numPr>
      <w:spacing w:before="60" w:after="60" w:line="240" w:lineRule="auto"/>
      <w:jc w:val="left"/>
    </w:pPr>
    <w:rPr>
      <w:rFonts w:ascii="Arial" w:hAnsi="Arial"/>
      <w:sz w:val="18"/>
    </w:rPr>
  </w:style>
  <w:style w:type="paragraph" w:customStyle="1" w:styleId="TableTextDash8">
    <w:name w:val="Table Text Dash_8"/>
    <w:basedOn w:val="Normal110"/>
    <w:rsid w:val="00A51890"/>
    <w:pPr>
      <w:numPr>
        <w:ilvl w:val="1"/>
        <w:numId w:val="25"/>
      </w:numPr>
      <w:spacing w:before="60" w:after="60" w:line="240" w:lineRule="auto"/>
      <w:jc w:val="left"/>
    </w:pPr>
    <w:rPr>
      <w:rFonts w:ascii="Arial" w:hAnsi="Arial"/>
      <w:sz w:val="18"/>
    </w:rPr>
  </w:style>
  <w:style w:type="paragraph" w:customStyle="1" w:styleId="TableTextLeft18">
    <w:name w:val="Table Text Left_18"/>
    <w:basedOn w:val="Normal111"/>
    <w:link w:val="TableTextLeftChar18"/>
    <w:rsid w:val="00D23B0F"/>
    <w:pPr>
      <w:spacing w:before="60" w:after="60"/>
    </w:pPr>
    <w:rPr>
      <w:rFonts w:ascii="Arial" w:hAnsi="Arial" w:cs="Arial"/>
      <w:sz w:val="18"/>
      <w:szCs w:val="20"/>
    </w:rPr>
  </w:style>
  <w:style w:type="paragraph" w:customStyle="1" w:styleId="Normal111">
    <w:name w:val="Normal_111"/>
    <w:qFormat/>
    <w:rsid w:val="006C2C4A"/>
    <w:rPr>
      <w:sz w:val="24"/>
      <w:szCs w:val="24"/>
    </w:rPr>
  </w:style>
  <w:style w:type="character" w:customStyle="1" w:styleId="TableTextLeftChar18">
    <w:name w:val="Table Text Left Char_18"/>
    <w:basedOn w:val="DefaultParagraphFont"/>
    <w:link w:val="TableTextLeft18"/>
    <w:locked/>
    <w:rsid w:val="00D23B0F"/>
    <w:rPr>
      <w:rFonts w:ascii="Arial" w:hAnsi="Arial" w:cs="Arial"/>
      <w:sz w:val="18"/>
      <w:lang w:val="en-AU" w:eastAsia="en-AU" w:bidi="ar-SA"/>
    </w:rPr>
  </w:style>
  <w:style w:type="paragraph" w:customStyle="1" w:styleId="ListParagraph8">
    <w:name w:val="List Paragraph_8"/>
    <w:basedOn w:val="Normal112"/>
    <w:uiPriority w:val="34"/>
    <w:qFormat/>
    <w:rsid w:val="00221D57"/>
    <w:pPr>
      <w:ind w:left="720"/>
      <w:contextualSpacing/>
    </w:pPr>
  </w:style>
  <w:style w:type="paragraph" w:customStyle="1" w:styleId="Normal112">
    <w:name w:val="Normal_112"/>
    <w:qFormat/>
    <w:rsid w:val="004B4A51"/>
  </w:style>
  <w:style w:type="paragraph" w:customStyle="1" w:styleId="Part1">
    <w:name w:val="Part_1"/>
    <w:basedOn w:val="Title1"/>
    <w:next w:val="Normal113"/>
    <w:rsid w:val="00D80C88"/>
    <w:pPr>
      <w:spacing w:before="0" w:after="0"/>
    </w:pPr>
    <w:rPr>
      <w:smallCaps/>
      <w:sz w:val="52"/>
    </w:rPr>
  </w:style>
  <w:style w:type="paragraph" w:customStyle="1" w:styleId="Title1">
    <w:name w:val="Title_1"/>
    <w:basedOn w:val="Normal113"/>
    <w:qFormat/>
    <w:rsid w:val="00D80C88"/>
    <w:pPr>
      <w:spacing w:before="240" w:after="60"/>
      <w:jc w:val="center"/>
      <w:outlineLvl w:val="0"/>
    </w:pPr>
    <w:rPr>
      <w:rFonts w:ascii="Arial" w:hAnsi="Arial" w:cs="Arial"/>
      <w:b/>
      <w:bCs/>
      <w:kern w:val="28"/>
      <w:sz w:val="32"/>
      <w:szCs w:val="32"/>
    </w:rPr>
  </w:style>
  <w:style w:type="paragraph" w:customStyle="1" w:styleId="Normal113">
    <w:name w:val="Normal_113"/>
    <w:qFormat/>
    <w:rsid w:val="00A51C80"/>
    <w:pPr>
      <w:spacing w:after="240" w:line="260" w:lineRule="exact"/>
      <w:jc w:val="both"/>
    </w:pPr>
    <w:rPr>
      <w:rFonts w:ascii="Book Antiqua" w:hAnsi="Book Antiqua"/>
    </w:rPr>
  </w:style>
  <w:style w:type="paragraph" w:customStyle="1" w:styleId="BoxHeading0">
    <w:name w:val="Box Heading_0"/>
    <w:basedOn w:val="Normal113"/>
    <w:next w:val="Normal113"/>
    <w:rsid w:val="00A51C80"/>
    <w:pPr>
      <w:keepNext/>
      <w:spacing w:before="120" w:after="120" w:line="240" w:lineRule="auto"/>
      <w:jc w:val="left"/>
    </w:pPr>
    <w:rPr>
      <w:rFonts w:ascii="Arial" w:hAnsi="Arial"/>
      <w:b/>
    </w:rPr>
  </w:style>
  <w:style w:type="paragraph" w:customStyle="1" w:styleId="Heading43">
    <w:name w:val="Heading 4_3"/>
    <w:basedOn w:val="Normal113"/>
    <w:next w:val="Normal113"/>
    <w:link w:val="Heading4Char3"/>
    <w:qFormat/>
    <w:rsid w:val="00A51C80"/>
    <w:pPr>
      <w:keepNext/>
      <w:tabs>
        <w:tab w:val="left" w:pos="709"/>
      </w:tabs>
      <w:spacing w:before="120" w:after="120" w:line="240" w:lineRule="auto"/>
      <w:jc w:val="left"/>
      <w:outlineLvl w:val="3"/>
    </w:pPr>
    <w:rPr>
      <w:rFonts w:ascii="Arial" w:hAnsi="Arial"/>
      <w:b/>
      <w:sz w:val="22"/>
    </w:rPr>
  </w:style>
  <w:style w:type="character" w:customStyle="1" w:styleId="Heading4Char3">
    <w:name w:val="Heading 4 Char_3"/>
    <w:basedOn w:val="DefaultParagraphFont"/>
    <w:link w:val="Heading43"/>
    <w:locked/>
    <w:rsid w:val="00A51C80"/>
    <w:rPr>
      <w:rFonts w:ascii="Arial" w:hAnsi="Arial"/>
      <w:b/>
      <w:sz w:val="22"/>
      <w:lang w:val="en-AU" w:eastAsia="en-AU" w:bidi="ar-SA"/>
    </w:rPr>
  </w:style>
  <w:style w:type="paragraph" w:customStyle="1" w:styleId="Bullet2">
    <w:name w:val="Bullet_2"/>
    <w:basedOn w:val="Normal113"/>
    <w:link w:val="BulletChar2"/>
    <w:rsid w:val="00A51C80"/>
    <w:pPr>
      <w:numPr>
        <w:numId w:val="27"/>
      </w:numPr>
    </w:pPr>
  </w:style>
  <w:style w:type="paragraph" w:customStyle="1" w:styleId="Dash2">
    <w:name w:val="Dash_2"/>
    <w:basedOn w:val="Normal113"/>
    <w:rsid w:val="00A51C80"/>
    <w:pPr>
      <w:numPr>
        <w:ilvl w:val="1"/>
        <w:numId w:val="27"/>
      </w:numPr>
    </w:pPr>
  </w:style>
  <w:style w:type="paragraph" w:customStyle="1" w:styleId="DoubleDot2">
    <w:name w:val="Double Dot_2"/>
    <w:basedOn w:val="Normal113"/>
    <w:rsid w:val="00A51C80"/>
    <w:pPr>
      <w:numPr>
        <w:ilvl w:val="2"/>
        <w:numId w:val="27"/>
      </w:numPr>
    </w:pPr>
  </w:style>
  <w:style w:type="character" w:customStyle="1" w:styleId="BulletChar2">
    <w:name w:val="Bullet Char_2"/>
    <w:basedOn w:val="DefaultParagraphFont"/>
    <w:link w:val="Bullet2"/>
    <w:locked/>
    <w:rsid w:val="00A51C80"/>
    <w:rPr>
      <w:rFonts w:ascii="Book Antiqua" w:hAnsi="Book Antiqua"/>
      <w:lang w:val="en-AU" w:eastAsia="en-AU" w:bidi="ar-SA"/>
    </w:rPr>
  </w:style>
  <w:style w:type="paragraph" w:customStyle="1" w:styleId="Heading44">
    <w:name w:val="Heading 4_4"/>
    <w:basedOn w:val="Normal114"/>
    <w:next w:val="Normal114"/>
    <w:link w:val="Heading4Char4"/>
    <w:qFormat/>
    <w:rsid w:val="003D4CFA"/>
    <w:pPr>
      <w:keepNext/>
      <w:tabs>
        <w:tab w:val="left" w:pos="709"/>
      </w:tabs>
      <w:spacing w:before="120" w:after="120" w:line="240" w:lineRule="auto"/>
      <w:jc w:val="left"/>
      <w:outlineLvl w:val="3"/>
    </w:pPr>
    <w:rPr>
      <w:rFonts w:ascii="Arial" w:hAnsi="Arial"/>
      <w:b/>
      <w:sz w:val="22"/>
    </w:rPr>
  </w:style>
  <w:style w:type="paragraph" w:customStyle="1" w:styleId="Normal114">
    <w:name w:val="Normal_114"/>
    <w:qFormat/>
    <w:rsid w:val="003D4CFA"/>
    <w:pPr>
      <w:spacing w:after="240" w:line="260" w:lineRule="exact"/>
      <w:jc w:val="both"/>
    </w:pPr>
    <w:rPr>
      <w:rFonts w:ascii="Book Antiqua" w:hAnsi="Book Antiqua"/>
    </w:rPr>
  </w:style>
  <w:style w:type="character" w:customStyle="1" w:styleId="Heading4Char4">
    <w:name w:val="Heading 4 Char_4"/>
    <w:basedOn w:val="DefaultParagraphFont"/>
    <w:link w:val="Heading44"/>
    <w:locked/>
    <w:rsid w:val="003D4CFA"/>
    <w:rPr>
      <w:rFonts w:ascii="Arial" w:hAnsi="Arial"/>
      <w:b/>
      <w:sz w:val="22"/>
      <w:lang w:val="en-AU" w:eastAsia="en-AU" w:bidi="ar-SA"/>
    </w:rPr>
  </w:style>
  <w:style w:type="paragraph" w:customStyle="1" w:styleId="TableHeadingcontinued9">
    <w:name w:val="Table Heading continued_9"/>
    <w:basedOn w:val="Normal115"/>
    <w:next w:val="Normal115"/>
    <w:rsid w:val="004F7F12"/>
    <w:pPr>
      <w:keepNext/>
      <w:spacing w:before="120" w:after="20"/>
    </w:pPr>
    <w:rPr>
      <w:rFonts w:ascii="Arial Bold" w:hAnsi="Arial Bold"/>
      <w:b/>
      <w:sz w:val="20"/>
      <w:szCs w:val="20"/>
    </w:rPr>
  </w:style>
  <w:style w:type="paragraph" w:customStyle="1" w:styleId="Normal115">
    <w:name w:val="Normal_115"/>
    <w:qFormat/>
    <w:rsid w:val="00724034"/>
    <w:rPr>
      <w:sz w:val="24"/>
      <w:szCs w:val="24"/>
    </w:rPr>
  </w:style>
  <w:style w:type="paragraph" w:customStyle="1" w:styleId="TableHeadingcontinued10">
    <w:name w:val="Table Heading continued_10"/>
    <w:basedOn w:val="Normal116"/>
    <w:next w:val="Normal116"/>
    <w:rsid w:val="00E2518D"/>
    <w:pPr>
      <w:keepNext/>
      <w:spacing w:before="120" w:after="20"/>
    </w:pPr>
    <w:rPr>
      <w:rFonts w:ascii="Arial Bold" w:hAnsi="Arial Bold"/>
      <w:b/>
      <w:sz w:val="20"/>
      <w:szCs w:val="20"/>
    </w:rPr>
  </w:style>
  <w:style w:type="paragraph" w:customStyle="1" w:styleId="Normal116">
    <w:name w:val="Normal_116"/>
    <w:qFormat/>
    <w:rsid w:val="00724034"/>
    <w:rPr>
      <w:sz w:val="24"/>
      <w:szCs w:val="24"/>
    </w:rPr>
  </w:style>
  <w:style w:type="paragraph" w:customStyle="1" w:styleId="ChartandTableFootnote2">
    <w:name w:val="Chart and Table Footnote_2"/>
    <w:basedOn w:val="Normal117"/>
    <w:next w:val="Normal117"/>
    <w:link w:val="ChartandTableFootnoteChar2"/>
    <w:rsid w:val="00A82CFA"/>
    <w:pPr>
      <w:keepNext/>
      <w:tabs>
        <w:tab w:val="left" w:pos="454"/>
      </w:tabs>
      <w:spacing w:after="0" w:line="240" w:lineRule="auto"/>
      <w:ind w:left="454" w:hanging="454"/>
      <w:jc w:val="both"/>
    </w:pPr>
    <w:rPr>
      <w:rFonts w:ascii="Arial" w:hAnsi="Arial" w:cs="Arial"/>
      <w:sz w:val="16"/>
      <w:szCs w:val="20"/>
      <w:lang w:eastAsia="en-AU"/>
    </w:rPr>
  </w:style>
  <w:style w:type="paragraph" w:customStyle="1" w:styleId="Normal117">
    <w:name w:val="Normal_117"/>
    <w:qFormat/>
    <w:rsid w:val="008D3648"/>
    <w:pPr>
      <w:spacing w:after="200" w:line="276" w:lineRule="auto"/>
    </w:pPr>
    <w:rPr>
      <w:sz w:val="22"/>
      <w:szCs w:val="22"/>
      <w:lang w:eastAsia="en-US"/>
    </w:rPr>
  </w:style>
  <w:style w:type="character" w:customStyle="1" w:styleId="ChartandTableFootnoteChar2">
    <w:name w:val="Chart and Table Footnote Char_2"/>
    <w:basedOn w:val="DefaultParagraphFont"/>
    <w:link w:val="ChartandTableFootnote2"/>
    <w:locked/>
    <w:rsid w:val="00A82CFA"/>
    <w:rPr>
      <w:rFonts w:ascii="Arial" w:hAnsi="Arial" w:cs="Arial"/>
      <w:sz w:val="16"/>
      <w:lang w:val="en-AU" w:eastAsia="en-AU" w:bidi="ar-SA"/>
    </w:rPr>
  </w:style>
  <w:style w:type="paragraph" w:customStyle="1" w:styleId="Source0">
    <w:name w:val="Source_0"/>
    <w:basedOn w:val="Normal117"/>
    <w:rsid w:val="00B5474C"/>
    <w:pPr>
      <w:tabs>
        <w:tab w:val="left" w:pos="284"/>
      </w:tabs>
      <w:spacing w:after="0" w:line="240" w:lineRule="auto"/>
      <w:jc w:val="both"/>
    </w:pPr>
    <w:rPr>
      <w:rFonts w:ascii="Arial" w:hAnsi="Arial"/>
      <w:sz w:val="16"/>
      <w:szCs w:val="20"/>
      <w:lang w:eastAsia="en-AU"/>
    </w:rPr>
  </w:style>
  <w:style w:type="paragraph" w:customStyle="1" w:styleId="Heading45">
    <w:name w:val="Heading 4_5"/>
    <w:basedOn w:val="Normal118"/>
    <w:next w:val="Normal118"/>
    <w:link w:val="Heading4Char5"/>
    <w:qFormat/>
    <w:rsid w:val="006D1A27"/>
    <w:pPr>
      <w:keepNext/>
      <w:tabs>
        <w:tab w:val="left" w:pos="709"/>
      </w:tabs>
      <w:spacing w:before="120" w:after="120" w:line="240" w:lineRule="auto"/>
      <w:jc w:val="left"/>
      <w:outlineLvl w:val="3"/>
    </w:pPr>
    <w:rPr>
      <w:rFonts w:ascii="Arial" w:hAnsi="Arial"/>
      <w:b/>
      <w:sz w:val="22"/>
    </w:rPr>
  </w:style>
  <w:style w:type="paragraph" w:customStyle="1" w:styleId="Normal118">
    <w:name w:val="Normal_118"/>
    <w:qFormat/>
    <w:rsid w:val="006E3D7D"/>
    <w:pPr>
      <w:spacing w:after="240" w:line="260" w:lineRule="exact"/>
      <w:jc w:val="both"/>
    </w:pPr>
    <w:rPr>
      <w:rFonts w:ascii="Book Antiqua" w:hAnsi="Book Antiqua"/>
    </w:rPr>
  </w:style>
  <w:style w:type="character" w:customStyle="1" w:styleId="Heading4Char5">
    <w:name w:val="Heading 4 Char_5"/>
    <w:basedOn w:val="DefaultParagraphFont"/>
    <w:link w:val="Heading45"/>
    <w:locked/>
    <w:rsid w:val="006D1A27"/>
    <w:rPr>
      <w:rFonts w:ascii="Arial" w:hAnsi="Arial"/>
      <w:b/>
      <w:sz w:val="22"/>
      <w:lang w:val="en-AU" w:eastAsia="en-AU" w:bidi="ar-SA"/>
    </w:rPr>
  </w:style>
  <w:style w:type="paragraph" w:customStyle="1" w:styleId="TableTextLeft19">
    <w:name w:val="Table Text Left_19"/>
    <w:basedOn w:val="Normal118"/>
    <w:link w:val="TableTextLeftChar19"/>
    <w:rsid w:val="006D1A27"/>
    <w:pPr>
      <w:spacing w:before="60" w:after="60" w:line="240" w:lineRule="auto"/>
      <w:jc w:val="left"/>
    </w:pPr>
    <w:rPr>
      <w:rFonts w:ascii="Arial" w:hAnsi="Arial" w:cs="Arial"/>
      <w:sz w:val="18"/>
    </w:rPr>
  </w:style>
  <w:style w:type="character" w:customStyle="1" w:styleId="TableTextLeftChar19">
    <w:name w:val="Table Text Left Char_19"/>
    <w:basedOn w:val="DefaultParagraphFont"/>
    <w:link w:val="TableTextLeft19"/>
    <w:locked/>
    <w:rsid w:val="006D1A27"/>
    <w:rPr>
      <w:rFonts w:ascii="Arial" w:hAnsi="Arial" w:cs="Arial"/>
      <w:sz w:val="18"/>
      <w:lang w:val="en-AU" w:eastAsia="en-AU" w:bidi="ar-SA"/>
    </w:rPr>
  </w:style>
  <w:style w:type="paragraph" w:customStyle="1" w:styleId="ListParagraph9">
    <w:name w:val="List Paragraph_9"/>
    <w:basedOn w:val="Normal119"/>
    <w:uiPriority w:val="34"/>
    <w:qFormat/>
    <w:rsid w:val="004D4F1D"/>
    <w:pPr>
      <w:ind w:left="720"/>
      <w:contextualSpacing/>
    </w:pPr>
  </w:style>
  <w:style w:type="paragraph" w:customStyle="1" w:styleId="Normal119">
    <w:name w:val="Normal_119"/>
    <w:qFormat/>
    <w:rsid w:val="004C0D0C"/>
  </w:style>
  <w:style w:type="paragraph" w:customStyle="1" w:styleId="TableTextLeft200">
    <w:name w:val="Table Text Left_20"/>
    <w:basedOn w:val="Normal120"/>
    <w:link w:val="TableTextLeftChar200"/>
    <w:rsid w:val="00D10724"/>
    <w:pPr>
      <w:spacing w:before="60" w:after="60" w:line="240" w:lineRule="auto"/>
      <w:jc w:val="left"/>
    </w:pPr>
    <w:rPr>
      <w:rFonts w:ascii="Arial" w:hAnsi="Arial" w:cs="Arial"/>
      <w:sz w:val="18"/>
    </w:rPr>
  </w:style>
  <w:style w:type="paragraph" w:customStyle="1" w:styleId="Normal120">
    <w:name w:val="Normal_120"/>
    <w:qFormat/>
    <w:rsid w:val="00D10724"/>
    <w:pPr>
      <w:spacing w:after="240" w:line="260" w:lineRule="exact"/>
      <w:jc w:val="both"/>
    </w:pPr>
    <w:rPr>
      <w:rFonts w:ascii="Book Antiqua" w:hAnsi="Book Antiqua"/>
    </w:rPr>
  </w:style>
  <w:style w:type="character" w:customStyle="1" w:styleId="TableTextLeftChar200">
    <w:name w:val="Table Text Left Char_20"/>
    <w:basedOn w:val="DefaultParagraphFont"/>
    <w:link w:val="TableTextLeft200"/>
    <w:locked/>
    <w:rsid w:val="00D10724"/>
    <w:rPr>
      <w:rFonts w:ascii="Arial" w:hAnsi="Arial" w:cs="Arial"/>
      <w:sz w:val="18"/>
      <w:lang w:val="en-AU" w:eastAsia="en-AU" w:bidi="ar-SA"/>
    </w:rPr>
  </w:style>
  <w:style w:type="paragraph" w:customStyle="1" w:styleId="TableTextBullet9">
    <w:name w:val="Table Text Bullet_9"/>
    <w:basedOn w:val="Normal120"/>
    <w:rsid w:val="00D10724"/>
    <w:pPr>
      <w:numPr>
        <w:numId w:val="29"/>
      </w:numPr>
      <w:spacing w:before="60" w:after="60" w:line="240" w:lineRule="auto"/>
      <w:jc w:val="left"/>
    </w:pPr>
    <w:rPr>
      <w:rFonts w:ascii="Arial" w:hAnsi="Arial"/>
      <w:sz w:val="18"/>
    </w:rPr>
  </w:style>
  <w:style w:type="paragraph" w:customStyle="1" w:styleId="TableTextDash9">
    <w:name w:val="Table Text Dash_9"/>
    <w:basedOn w:val="Normal120"/>
    <w:rsid w:val="00D10724"/>
    <w:pPr>
      <w:numPr>
        <w:ilvl w:val="1"/>
        <w:numId w:val="29"/>
      </w:numPr>
      <w:spacing w:before="60" w:after="60" w:line="240" w:lineRule="auto"/>
      <w:jc w:val="left"/>
    </w:pPr>
    <w:rPr>
      <w:rFonts w:ascii="Arial" w:hAnsi="Arial"/>
      <w:sz w:val="18"/>
    </w:rPr>
  </w:style>
  <w:style w:type="paragraph" w:customStyle="1" w:styleId="Normal121">
    <w:name w:val="Normal_121"/>
    <w:qFormat/>
    <w:rsid w:val="00805146"/>
    <w:pPr>
      <w:spacing w:after="240" w:line="260" w:lineRule="exact"/>
      <w:jc w:val="both"/>
    </w:pPr>
    <w:rPr>
      <w:rFonts w:ascii="Book Antiqua" w:hAnsi="Book Antiqua"/>
    </w:rPr>
  </w:style>
  <w:style w:type="paragraph" w:customStyle="1" w:styleId="TableTextLeft21">
    <w:name w:val="Table Text Left_21"/>
    <w:basedOn w:val="Normal121"/>
    <w:link w:val="TableTextLeftChar21"/>
    <w:rsid w:val="00805146"/>
    <w:pPr>
      <w:spacing w:before="60" w:after="60" w:line="240" w:lineRule="auto"/>
      <w:jc w:val="left"/>
    </w:pPr>
    <w:rPr>
      <w:rFonts w:ascii="Arial" w:hAnsi="Arial" w:cs="Arial"/>
      <w:sz w:val="18"/>
    </w:rPr>
  </w:style>
  <w:style w:type="character" w:customStyle="1" w:styleId="TableTextLeftChar21">
    <w:name w:val="Table Text Left Char_21"/>
    <w:basedOn w:val="DefaultParagraphFont"/>
    <w:link w:val="TableTextLeft21"/>
    <w:locked/>
    <w:rsid w:val="00805146"/>
    <w:rPr>
      <w:rFonts w:ascii="Arial" w:hAnsi="Arial" w:cs="Arial"/>
      <w:sz w:val="18"/>
      <w:lang w:val="en-AU" w:eastAsia="en-AU" w:bidi="ar-SA"/>
    </w:rPr>
  </w:style>
  <w:style w:type="paragraph" w:customStyle="1" w:styleId="TableTextBullet10">
    <w:name w:val="Table Text Bullet_10"/>
    <w:basedOn w:val="Normal121"/>
    <w:rsid w:val="00805146"/>
    <w:pPr>
      <w:numPr>
        <w:numId w:val="30"/>
      </w:numPr>
      <w:spacing w:before="60" w:after="60" w:line="240" w:lineRule="auto"/>
      <w:jc w:val="left"/>
    </w:pPr>
    <w:rPr>
      <w:rFonts w:ascii="Arial" w:hAnsi="Arial"/>
      <w:sz w:val="18"/>
    </w:rPr>
  </w:style>
  <w:style w:type="paragraph" w:customStyle="1" w:styleId="TableTextDash10">
    <w:name w:val="Table Text Dash_10"/>
    <w:basedOn w:val="Normal121"/>
    <w:rsid w:val="00805146"/>
    <w:pPr>
      <w:numPr>
        <w:ilvl w:val="1"/>
        <w:numId w:val="30"/>
      </w:numPr>
      <w:spacing w:before="60" w:after="60" w:line="240" w:lineRule="auto"/>
      <w:jc w:val="left"/>
    </w:pPr>
    <w:rPr>
      <w:rFonts w:ascii="Arial" w:hAnsi="Arial"/>
      <w:sz w:val="18"/>
    </w:rPr>
  </w:style>
  <w:style w:type="paragraph" w:customStyle="1" w:styleId="TableTextLeft22">
    <w:name w:val="Table Text Left_22"/>
    <w:basedOn w:val="Normal122"/>
    <w:link w:val="TableTextLeftChar22"/>
    <w:rsid w:val="009E602D"/>
    <w:pPr>
      <w:spacing w:before="60" w:after="60"/>
    </w:pPr>
    <w:rPr>
      <w:rFonts w:ascii="Arial" w:hAnsi="Arial" w:cs="Arial"/>
      <w:sz w:val="18"/>
      <w:szCs w:val="20"/>
    </w:rPr>
  </w:style>
  <w:style w:type="paragraph" w:customStyle="1" w:styleId="Normal122">
    <w:name w:val="Normal_122"/>
    <w:qFormat/>
    <w:rsid w:val="00276003"/>
    <w:rPr>
      <w:sz w:val="24"/>
      <w:szCs w:val="24"/>
    </w:rPr>
  </w:style>
  <w:style w:type="character" w:customStyle="1" w:styleId="TableTextLeftChar22">
    <w:name w:val="Table Text Left Char_22"/>
    <w:basedOn w:val="DefaultParagraphFont"/>
    <w:link w:val="TableTextLeft22"/>
    <w:locked/>
    <w:rsid w:val="009E602D"/>
    <w:rPr>
      <w:rFonts w:ascii="Arial" w:hAnsi="Arial" w:cs="Arial"/>
      <w:sz w:val="18"/>
      <w:lang w:val="en-AU" w:eastAsia="en-AU" w:bidi="ar-SA"/>
    </w:rPr>
  </w:style>
  <w:style w:type="paragraph" w:customStyle="1" w:styleId="ListParagraph10">
    <w:name w:val="List Paragraph_10"/>
    <w:basedOn w:val="Normal123"/>
    <w:uiPriority w:val="34"/>
    <w:qFormat/>
    <w:rsid w:val="004D4F1D"/>
    <w:pPr>
      <w:ind w:left="720"/>
      <w:contextualSpacing/>
    </w:pPr>
  </w:style>
  <w:style w:type="paragraph" w:customStyle="1" w:styleId="Normal123">
    <w:name w:val="Normal_123"/>
    <w:qFormat/>
    <w:rsid w:val="004C0D0C"/>
  </w:style>
  <w:style w:type="paragraph" w:customStyle="1" w:styleId="TableTextBullet11">
    <w:name w:val="Table Text Bullet_11"/>
    <w:basedOn w:val="Normal124"/>
    <w:rsid w:val="00564DCF"/>
    <w:pPr>
      <w:numPr>
        <w:numId w:val="32"/>
      </w:numPr>
      <w:spacing w:before="60" w:after="60"/>
    </w:pPr>
    <w:rPr>
      <w:rFonts w:ascii="Arial" w:hAnsi="Arial"/>
      <w:sz w:val="18"/>
      <w:szCs w:val="20"/>
    </w:rPr>
  </w:style>
  <w:style w:type="paragraph" w:customStyle="1" w:styleId="TableTextDash11">
    <w:name w:val="Table Text Dash_11"/>
    <w:basedOn w:val="Normal124"/>
    <w:rsid w:val="00564DCF"/>
    <w:pPr>
      <w:numPr>
        <w:ilvl w:val="1"/>
        <w:numId w:val="32"/>
      </w:numPr>
      <w:spacing w:before="60" w:after="60"/>
    </w:pPr>
    <w:rPr>
      <w:rFonts w:ascii="Arial" w:hAnsi="Arial"/>
      <w:sz w:val="18"/>
      <w:szCs w:val="20"/>
    </w:rPr>
  </w:style>
  <w:style w:type="paragraph" w:customStyle="1" w:styleId="Normal124">
    <w:name w:val="Normal_124"/>
    <w:qFormat/>
    <w:rsid w:val="004F5BAD"/>
    <w:rPr>
      <w:sz w:val="24"/>
      <w:szCs w:val="24"/>
    </w:rPr>
  </w:style>
  <w:style w:type="paragraph" w:customStyle="1" w:styleId="TableTextLeft23">
    <w:name w:val="Table Text Left_23"/>
    <w:basedOn w:val="Normal124"/>
    <w:link w:val="TableTextLeftChar23"/>
    <w:rsid w:val="009E602D"/>
    <w:pPr>
      <w:spacing w:before="60" w:after="60"/>
    </w:pPr>
    <w:rPr>
      <w:rFonts w:ascii="Arial" w:hAnsi="Arial" w:cs="Arial"/>
      <w:sz w:val="18"/>
      <w:szCs w:val="20"/>
    </w:rPr>
  </w:style>
  <w:style w:type="character" w:customStyle="1" w:styleId="TableTextLeftChar23">
    <w:name w:val="Table Text Left Char_23"/>
    <w:basedOn w:val="DefaultParagraphFont"/>
    <w:link w:val="TableTextLeft23"/>
    <w:locked/>
    <w:rsid w:val="009E602D"/>
    <w:rPr>
      <w:rFonts w:ascii="Arial" w:hAnsi="Arial" w:cs="Arial"/>
      <w:sz w:val="18"/>
      <w:lang w:val="en-AU" w:eastAsia="en-AU" w:bidi="ar-SA"/>
    </w:rPr>
  </w:style>
  <w:style w:type="paragraph" w:customStyle="1" w:styleId="Normal125">
    <w:name w:val="Normal_125"/>
    <w:qFormat/>
    <w:rsid w:val="00805146"/>
    <w:pPr>
      <w:spacing w:after="240" w:line="260" w:lineRule="exact"/>
      <w:jc w:val="both"/>
    </w:pPr>
    <w:rPr>
      <w:rFonts w:ascii="Book Antiqua" w:hAnsi="Book Antiqua"/>
    </w:rPr>
  </w:style>
  <w:style w:type="paragraph" w:customStyle="1" w:styleId="TableTextLeft24">
    <w:name w:val="Table Text Left_24"/>
    <w:basedOn w:val="Normal125"/>
    <w:link w:val="TableTextLeftChar24"/>
    <w:rsid w:val="00805146"/>
    <w:pPr>
      <w:spacing w:before="60" w:after="60" w:line="240" w:lineRule="auto"/>
      <w:jc w:val="left"/>
    </w:pPr>
    <w:rPr>
      <w:rFonts w:ascii="Arial" w:hAnsi="Arial" w:cs="Arial"/>
      <w:sz w:val="18"/>
    </w:rPr>
  </w:style>
  <w:style w:type="character" w:customStyle="1" w:styleId="TableTextLeftChar24">
    <w:name w:val="Table Text Left Char_24"/>
    <w:basedOn w:val="DefaultParagraphFont"/>
    <w:link w:val="TableTextLeft24"/>
    <w:locked/>
    <w:rsid w:val="00805146"/>
    <w:rPr>
      <w:rFonts w:ascii="Arial" w:hAnsi="Arial" w:cs="Arial"/>
      <w:sz w:val="18"/>
      <w:lang w:val="en-AU" w:eastAsia="en-AU" w:bidi="ar-SA"/>
    </w:rPr>
  </w:style>
  <w:style w:type="paragraph" w:customStyle="1" w:styleId="TableTextBullet12">
    <w:name w:val="Table Text Bullet_12"/>
    <w:basedOn w:val="Normal125"/>
    <w:rsid w:val="00805146"/>
    <w:pPr>
      <w:numPr>
        <w:numId w:val="33"/>
      </w:numPr>
      <w:spacing w:before="60" w:after="60" w:line="240" w:lineRule="auto"/>
      <w:jc w:val="left"/>
    </w:pPr>
    <w:rPr>
      <w:rFonts w:ascii="Arial" w:hAnsi="Arial"/>
      <w:sz w:val="18"/>
    </w:rPr>
  </w:style>
  <w:style w:type="paragraph" w:customStyle="1" w:styleId="TableTextDash12">
    <w:name w:val="Table Text Dash_12"/>
    <w:basedOn w:val="Normal125"/>
    <w:rsid w:val="00805146"/>
    <w:pPr>
      <w:numPr>
        <w:ilvl w:val="1"/>
        <w:numId w:val="33"/>
      </w:numPr>
      <w:spacing w:before="60" w:after="60" w:line="240" w:lineRule="auto"/>
      <w:jc w:val="left"/>
    </w:pPr>
    <w:rPr>
      <w:rFonts w:ascii="Arial" w:hAnsi="Arial"/>
      <w:sz w:val="18"/>
    </w:rPr>
  </w:style>
  <w:style w:type="paragraph" w:customStyle="1" w:styleId="TableTextLeft25">
    <w:name w:val="Table Text Left_25"/>
    <w:basedOn w:val="Normal126"/>
    <w:link w:val="TableTextLeftChar25"/>
    <w:rsid w:val="00487918"/>
    <w:pPr>
      <w:spacing w:before="60" w:after="60"/>
    </w:pPr>
    <w:rPr>
      <w:rFonts w:ascii="Arial" w:hAnsi="Arial" w:cs="Arial"/>
      <w:sz w:val="18"/>
      <w:szCs w:val="20"/>
    </w:rPr>
  </w:style>
  <w:style w:type="paragraph" w:customStyle="1" w:styleId="Normal126">
    <w:name w:val="Normal_126"/>
    <w:qFormat/>
    <w:rsid w:val="00CA6A0F"/>
    <w:rPr>
      <w:sz w:val="24"/>
      <w:szCs w:val="24"/>
    </w:rPr>
  </w:style>
  <w:style w:type="character" w:customStyle="1" w:styleId="TableTextLeftChar25">
    <w:name w:val="Table Text Left Char_25"/>
    <w:basedOn w:val="DefaultParagraphFont"/>
    <w:link w:val="TableTextLeft25"/>
    <w:locked/>
    <w:rsid w:val="00487918"/>
    <w:rPr>
      <w:rFonts w:ascii="Arial" w:hAnsi="Arial" w:cs="Arial"/>
      <w:sz w:val="18"/>
      <w:lang w:val="en-AU" w:eastAsia="en-AU" w:bidi="ar-SA"/>
    </w:rPr>
  </w:style>
  <w:style w:type="paragraph" w:customStyle="1" w:styleId="ListParagraph11">
    <w:name w:val="List Paragraph_11"/>
    <w:basedOn w:val="Normal127"/>
    <w:uiPriority w:val="34"/>
    <w:qFormat/>
    <w:rsid w:val="004D4F1D"/>
    <w:pPr>
      <w:ind w:left="720"/>
      <w:contextualSpacing/>
    </w:pPr>
  </w:style>
  <w:style w:type="paragraph" w:customStyle="1" w:styleId="Normal127">
    <w:name w:val="Normal_127"/>
    <w:qFormat/>
    <w:rsid w:val="004C0D0C"/>
  </w:style>
  <w:style w:type="paragraph" w:customStyle="1" w:styleId="Normal128">
    <w:name w:val="Normal_128"/>
    <w:qFormat/>
    <w:rsid w:val="00987421"/>
    <w:rPr>
      <w:sz w:val="24"/>
      <w:szCs w:val="24"/>
    </w:rPr>
  </w:style>
  <w:style w:type="paragraph" w:customStyle="1" w:styleId="TableTextLeft26">
    <w:name w:val="Table Text Left_26"/>
    <w:basedOn w:val="Normal128"/>
    <w:link w:val="TableTextLeftChar26"/>
    <w:rsid w:val="00487918"/>
    <w:pPr>
      <w:spacing w:before="60" w:after="60"/>
    </w:pPr>
    <w:rPr>
      <w:rFonts w:ascii="Arial" w:hAnsi="Arial" w:cs="Arial"/>
      <w:sz w:val="18"/>
      <w:szCs w:val="20"/>
    </w:rPr>
  </w:style>
  <w:style w:type="character" w:customStyle="1" w:styleId="TableTextLeftChar26">
    <w:name w:val="Table Text Left Char_26"/>
    <w:basedOn w:val="DefaultParagraphFont"/>
    <w:link w:val="TableTextLeft26"/>
    <w:locked/>
    <w:rsid w:val="00487918"/>
    <w:rPr>
      <w:rFonts w:ascii="Arial" w:hAnsi="Arial" w:cs="Arial"/>
      <w:sz w:val="18"/>
      <w:lang w:val="en-AU" w:eastAsia="en-AU" w:bidi="ar-SA"/>
    </w:rPr>
  </w:style>
  <w:style w:type="paragraph" w:customStyle="1" w:styleId="TableTextBullet13">
    <w:name w:val="Table Text Bullet_13"/>
    <w:basedOn w:val="Normal128"/>
    <w:rsid w:val="005621DD"/>
    <w:pPr>
      <w:numPr>
        <w:numId w:val="35"/>
      </w:numPr>
      <w:spacing w:before="60" w:after="60"/>
    </w:pPr>
    <w:rPr>
      <w:rFonts w:ascii="Arial" w:hAnsi="Arial"/>
      <w:sz w:val="18"/>
      <w:szCs w:val="20"/>
    </w:rPr>
  </w:style>
  <w:style w:type="paragraph" w:customStyle="1" w:styleId="TableTextDash13">
    <w:name w:val="Table Text Dash_13"/>
    <w:basedOn w:val="Normal128"/>
    <w:rsid w:val="005621DD"/>
    <w:pPr>
      <w:numPr>
        <w:ilvl w:val="1"/>
        <w:numId w:val="35"/>
      </w:numPr>
      <w:spacing w:before="60" w:after="60"/>
    </w:pPr>
    <w:rPr>
      <w:rFonts w:ascii="Arial" w:hAnsi="Arial"/>
      <w:sz w:val="18"/>
      <w:szCs w:val="20"/>
    </w:rPr>
  </w:style>
  <w:style w:type="paragraph" w:customStyle="1" w:styleId="SingleParagraph0">
    <w:name w:val="Single Paragraph_0"/>
    <w:basedOn w:val="Normal129"/>
    <w:rsid w:val="00487918"/>
    <w:pPr>
      <w:spacing w:line="260" w:lineRule="exact"/>
      <w:jc w:val="both"/>
    </w:pPr>
    <w:rPr>
      <w:rFonts w:ascii="Book Antiqua" w:hAnsi="Book Antiqua"/>
      <w:sz w:val="20"/>
      <w:szCs w:val="20"/>
    </w:rPr>
  </w:style>
  <w:style w:type="paragraph" w:customStyle="1" w:styleId="Normal129">
    <w:name w:val="Normal_129"/>
    <w:qFormat/>
    <w:rsid w:val="00BE4CC0"/>
    <w:rPr>
      <w:sz w:val="24"/>
      <w:szCs w:val="24"/>
    </w:rPr>
  </w:style>
  <w:style w:type="paragraph" w:customStyle="1" w:styleId="TableTextBullet14">
    <w:name w:val="Table Text Bullet_14"/>
    <w:basedOn w:val="Normal129"/>
    <w:rsid w:val="00791FCD"/>
    <w:pPr>
      <w:numPr>
        <w:numId w:val="36"/>
      </w:numPr>
      <w:spacing w:before="60" w:after="60"/>
    </w:pPr>
    <w:rPr>
      <w:rFonts w:ascii="Arial" w:hAnsi="Arial"/>
      <w:sz w:val="18"/>
      <w:szCs w:val="20"/>
    </w:rPr>
  </w:style>
  <w:style w:type="paragraph" w:customStyle="1" w:styleId="TableTextDash14">
    <w:name w:val="Table Text Dash_14"/>
    <w:basedOn w:val="Normal129"/>
    <w:rsid w:val="00791FCD"/>
    <w:pPr>
      <w:numPr>
        <w:ilvl w:val="1"/>
        <w:numId w:val="36"/>
      </w:numPr>
      <w:spacing w:before="60" w:after="60"/>
    </w:pPr>
    <w:rPr>
      <w:rFonts w:ascii="Arial" w:hAnsi="Arial"/>
      <w:sz w:val="18"/>
      <w:szCs w:val="20"/>
    </w:rPr>
  </w:style>
  <w:style w:type="paragraph" w:customStyle="1" w:styleId="TableTextLeft27">
    <w:name w:val="Table Text Left_27"/>
    <w:basedOn w:val="Normal129"/>
    <w:link w:val="TableTextLeftChar27"/>
    <w:rsid w:val="00487918"/>
    <w:pPr>
      <w:spacing w:before="60" w:after="60"/>
    </w:pPr>
    <w:rPr>
      <w:rFonts w:ascii="Arial" w:hAnsi="Arial" w:cs="Arial"/>
      <w:sz w:val="18"/>
      <w:szCs w:val="20"/>
    </w:rPr>
  </w:style>
  <w:style w:type="character" w:customStyle="1" w:styleId="TableTextLeftChar27">
    <w:name w:val="Table Text Left Char_27"/>
    <w:basedOn w:val="DefaultParagraphFont"/>
    <w:link w:val="TableTextLeft27"/>
    <w:locked/>
    <w:rsid w:val="00487918"/>
    <w:rPr>
      <w:rFonts w:ascii="Arial" w:hAnsi="Arial" w:cs="Arial"/>
      <w:sz w:val="18"/>
      <w:lang w:val="en-AU" w:eastAsia="en-AU" w:bidi="ar-SA"/>
    </w:rPr>
  </w:style>
  <w:style w:type="paragraph" w:customStyle="1" w:styleId="TableTextLeft28">
    <w:name w:val="Table Text Left_28"/>
    <w:basedOn w:val="Normal130"/>
    <w:link w:val="TableTextLeftChar28"/>
    <w:rsid w:val="008F2E61"/>
    <w:pPr>
      <w:spacing w:before="60" w:after="60"/>
    </w:pPr>
    <w:rPr>
      <w:rFonts w:ascii="Arial" w:hAnsi="Arial" w:cs="Arial"/>
      <w:sz w:val="18"/>
      <w:szCs w:val="20"/>
    </w:rPr>
  </w:style>
  <w:style w:type="paragraph" w:customStyle="1" w:styleId="Normal130">
    <w:name w:val="Normal_130"/>
    <w:qFormat/>
    <w:rsid w:val="00E35697"/>
    <w:rPr>
      <w:sz w:val="24"/>
      <w:szCs w:val="24"/>
    </w:rPr>
  </w:style>
  <w:style w:type="character" w:customStyle="1" w:styleId="TableTextLeftChar28">
    <w:name w:val="Table Text Left Char_28"/>
    <w:basedOn w:val="DefaultParagraphFont"/>
    <w:link w:val="TableTextLeft28"/>
    <w:locked/>
    <w:rsid w:val="008F2E61"/>
    <w:rPr>
      <w:rFonts w:ascii="Arial" w:hAnsi="Arial" w:cs="Arial"/>
      <w:sz w:val="18"/>
      <w:lang w:val="en-AU" w:eastAsia="en-AU" w:bidi="ar-SA"/>
    </w:rPr>
  </w:style>
  <w:style w:type="paragraph" w:customStyle="1" w:styleId="TableTextBullet15">
    <w:name w:val="Table Text Bullet_15"/>
    <w:basedOn w:val="Normal131"/>
    <w:rsid w:val="00D10724"/>
    <w:pPr>
      <w:numPr>
        <w:numId w:val="37"/>
      </w:numPr>
      <w:spacing w:before="60" w:after="60" w:line="240" w:lineRule="auto"/>
      <w:jc w:val="left"/>
    </w:pPr>
    <w:rPr>
      <w:rFonts w:ascii="Arial" w:hAnsi="Arial"/>
      <w:sz w:val="18"/>
    </w:rPr>
  </w:style>
  <w:style w:type="paragraph" w:customStyle="1" w:styleId="TableTextDash15">
    <w:name w:val="Table Text Dash_15"/>
    <w:basedOn w:val="Normal131"/>
    <w:rsid w:val="00D10724"/>
    <w:pPr>
      <w:numPr>
        <w:ilvl w:val="1"/>
        <w:numId w:val="37"/>
      </w:numPr>
      <w:spacing w:before="60" w:after="60" w:line="240" w:lineRule="auto"/>
      <w:jc w:val="left"/>
    </w:pPr>
    <w:rPr>
      <w:rFonts w:ascii="Arial" w:hAnsi="Arial"/>
      <w:sz w:val="18"/>
    </w:rPr>
  </w:style>
  <w:style w:type="paragraph" w:customStyle="1" w:styleId="Normal131">
    <w:name w:val="Normal_131"/>
    <w:qFormat/>
    <w:rsid w:val="00D10724"/>
    <w:pPr>
      <w:spacing w:after="240" w:line="260" w:lineRule="exact"/>
      <w:jc w:val="both"/>
    </w:pPr>
    <w:rPr>
      <w:rFonts w:ascii="Book Antiqua" w:hAnsi="Book Antiqua"/>
    </w:rPr>
  </w:style>
  <w:style w:type="paragraph" w:customStyle="1" w:styleId="ListParagraph12">
    <w:name w:val="List Paragraph_12"/>
    <w:basedOn w:val="Normal132"/>
    <w:uiPriority w:val="34"/>
    <w:qFormat/>
    <w:rsid w:val="004D4F1D"/>
    <w:pPr>
      <w:ind w:left="720"/>
      <w:contextualSpacing/>
    </w:pPr>
  </w:style>
  <w:style w:type="paragraph" w:customStyle="1" w:styleId="Normal132">
    <w:name w:val="Normal_132"/>
    <w:qFormat/>
    <w:rsid w:val="004C0D0C"/>
  </w:style>
  <w:style w:type="paragraph" w:customStyle="1" w:styleId="TableTextLeft29">
    <w:name w:val="Table Text Left_29"/>
    <w:basedOn w:val="Normal133"/>
    <w:link w:val="TableTextLeftChar29"/>
    <w:rsid w:val="00CE1116"/>
    <w:pPr>
      <w:spacing w:before="60" w:after="60"/>
    </w:pPr>
    <w:rPr>
      <w:rFonts w:ascii="Arial" w:hAnsi="Arial" w:cs="Arial"/>
      <w:sz w:val="18"/>
      <w:szCs w:val="20"/>
    </w:rPr>
  </w:style>
  <w:style w:type="paragraph" w:customStyle="1" w:styleId="Normal133">
    <w:name w:val="Normal_133"/>
    <w:qFormat/>
    <w:rsid w:val="00CE1116"/>
    <w:rPr>
      <w:sz w:val="24"/>
      <w:szCs w:val="24"/>
    </w:rPr>
  </w:style>
  <w:style w:type="character" w:customStyle="1" w:styleId="TableTextLeftChar29">
    <w:name w:val="Table Text Left Char_29"/>
    <w:basedOn w:val="DefaultParagraphFont"/>
    <w:link w:val="TableTextLeft29"/>
    <w:locked/>
    <w:rsid w:val="00CE1116"/>
    <w:rPr>
      <w:rFonts w:ascii="Arial" w:hAnsi="Arial" w:cs="Arial"/>
      <w:sz w:val="18"/>
      <w:lang w:val="en-AU" w:eastAsia="en-AU" w:bidi="ar-SA"/>
    </w:rPr>
  </w:style>
  <w:style w:type="paragraph" w:customStyle="1" w:styleId="TableTextBullet16">
    <w:name w:val="Table Text Bullet_16"/>
    <w:basedOn w:val="Normal133"/>
    <w:rsid w:val="00777CDE"/>
    <w:pPr>
      <w:numPr>
        <w:numId w:val="39"/>
      </w:numPr>
      <w:spacing w:before="60" w:after="60"/>
    </w:pPr>
    <w:rPr>
      <w:rFonts w:ascii="Arial" w:hAnsi="Arial"/>
      <w:sz w:val="18"/>
      <w:szCs w:val="20"/>
    </w:rPr>
  </w:style>
  <w:style w:type="paragraph" w:customStyle="1" w:styleId="TableTextDash16">
    <w:name w:val="Table Text Dash_16"/>
    <w:basedOn w:val="Normal133"/>
    <w:rsid w:val="00777CDE"/>
    <w:pPr>
      <w:numPr>
        <w:ilvl w:val="1"/>
        <w:numId w:val="39"/>
      </w:numPr>
      <w:spacing w:before="60" w:after="60"/>
    </w:pPr>
    <w:rPr>
      <w:rFonts w:ascii="Arial" w:hAnsi="Arial"/>
      <w:sz w:val="18"/>
      <w:szCs w:val="20"/>
    </w:rPr>
  </w:style>
  <w:style w:type="paragraph" w:customStyle="1" w:styleId="TableColumnHeadingLeft">
    <w:name w:val="Table Column Heading Left"/>
    <w:basedOn w:val="Normal134"/>
    <w:next w:val="TableTextLeft30"/>
    <w:rsid w:val="00A32ACA"/>
    <w:pPr>
      <w:spacing w:before="60" w:after="60"/>
    </w:pPr>
    <w:rPr>
      <w:rFonts w:ascii="Arial" w:hAnsi="Arial"/>
      <w:b/>
      <w:sz w:val="20"/>
      <w:szCs w:val="20"/>
    </w:rPr>
  </w:style>
  <w:style w:type="paragraph" w:customStyle="1" w:styleId="Normal134">
    <w:name w:val="Normal_134"/>
    <w:qFormat/>
    <w:rsid w:val="004C6E09"/>
    <w:rPr>
      <w:sz w:val="24"/>
      <w:szCs w:val="24"/>
    </w:rPr>
  </w:style>
  <w:style w:type="paragraph" w:customStyle="1" w:styleId="TableTextLeft30">
    <w:name w:val="Table Text Left_30"/>
    <w:basedOn w:val="Normal134"/>
    <w:link w:val="TableTextLeftChar30"/>
    <w:rsid w:val="00A32ACA"/>
    <w:pPr>
      <w:spacing w:before="60" w:after="60"/>
    </w:pPr>
    <w:rPr>
      <w:rFonts w:ascii="Arial" w:hAnsi="Arial" w:cs="Arial"/>
      <w:sz w:val="18"/>
      <w:szCs w:val="20"/>
    </w:rPr>
  </w:style>
  <w:style w:type="character" w:customStyle="1" w:styleId="TableTextLeftChar30">
    <w:name w:val="Table Text Left Char_30"/>
    <w:basedOn w:val="DefaultParagraphFont"/>
    <w:link w:val="TableTextLeft30"/>
    <w:locked/>
    <w:rsid w:val="00A32ACA"/>
    <w:rPr>
      <w:rFonts w:ascii="Arial" w:hAnsi="Arial" w:cs="Arial"/>
      <w:sz w:val="18"/>
      <w:lang w:val="en-AU" w:eastAsia="en-AU" w:bidi="ar-SA"/>
    </w:rPr>
  </w:style>
  <w:style w:type="paragraph" w:customStyle="1" w:styleId="SingleParagraph1">
    <w:name w:val="Single Paragraph_1"/>
    <w:basedOn w:val="Normal134"/>
    <w:rsid w:val="00A32ACA"/>
    <w:pPr>
      <w:spacing w:line="260" w:lineRule="exact"/>
      <w:jc w:val="both"/>
    </w:pPr>
    <w:rPr>
      <w:rFonts w:ascii="Book Antiqua" w:hAnsi="Book Antiqua"/>
      <w:sz w:val="20"/>
      <w:szCs w:val="20"/>
    </w:rPr>
  </w:style>
  <w:style w:type="paragraph" w:customStyle="1" w:styleId="TableTextLeft110">
    <w:name w:val="Table Text Left_11_0"/>
    <w:basedOn w:val="Normal134"/>
    <w:link w:val="TableTextLeftChar110"/>
    <w:rsid w:val="00F3405F"/>
    <w:pPr>
      <w:spacing w:before="60" w:after="60"/>
    </w:pPr>
    <w:rPr>
      <w:rFonts w:ascii="Arial" w:hAnsi="Arial" w:cs="Arial"/>
      <w:sz w:val="18"/>
      <w:szCs w:val="20"/>
    </w:rPr>
  </w:style>
  <w:style w:type="character" w:customStyle="1" w:styleId="TableTextLeftChar110">
    <w:name w:val="Table Text Left Char_11_0"/>
    <w:basedOn w:val="DefaultParagraphFont"/>
    <w:link w:val="TableTextLeft110"/>
    <w:locked/>
    <w:rsid w:val="00F3405F"/>
    <w:rPr>
      <w:rFonts w:ascii="Arial" w:hAnsi="Arial" w:cs="Arial"/>
      <w:sz w:val="18"/>
    </w:rPr>
  </w:style>
  <w:style w:type="paragraph" w:customStyle="1" w:styleId="TableTextBullet60">
    <w:name w:val="Table Text Bullet_6_0"/>
    <w:basedOn w:val="Normal134"/>
    <w:rsid w:val="005C318E"/>
    <w:pPr>
      <w:numPr>
        <w:numId w:val="40"/>
      </w:numPr>
      <w:spacing w:before="60" w:after="60"/>
    </w:pPr>
    <w:rPr>
      <w:rFonts w:ascii="Arial" w:hAnsi="Arial"/>
      <w:sz w:val="18"/>
      <w:szCs w:val="20"/>
    </w:rPr>
  </w:style>
  <w:style w:type="paragraph" w:customStyle="1" w:styleId="TableTextDash60">
    <w:name w:val="Table Text Dash_6_0"/>
    <w:basedOn w:val="Normal134"/>
    <w:rsid w:val="005C318E"/>
    <w:pPr>
      <w:numPr>
        <w:ilvl w:val="1"/>
        <w:numId w:val="40"/>
      </w:numPr>
      <w:spacing w:before="60" w:after="60"/>
    </w:pPr>
    <w:rPr>
      <w:rFonts w:ascii="Arial" w:hAnsi="Arial"/>
      <w:sz w:val="18"/>
      <w:szCs w:val="20"/>
    </w:rPr>
  </w:style>
  <w:style w:type="paragraph" w:customStyle="1" w:styleId="TableColumnHeadingLeft0">
    <w:name w:val="Table Column Heading Left_0"/>
    <w:basedOn w:val="Normal135"/>
    <w:next w:val="TableTextLeft31"/>
    <w:rsid w:val="00D043D0"/>
    <w:pPr>
      <w:spacing w:before="60" w:after="60"/>
    </w:pPr>
    <w:rPr>
      <w:rFonts w:ascii="Arial" w:hAnsi="Arial"/>
      <w:b/>
      <w:sz w:val="20"/>
      <w:szCs w:val="20"/>
    </w:rPr>
  </w:style>
  <w:style w:type="paragraph" w:customStyle="1" w:styleId="Normal135">
    <w:name w:val="Normal_135"/>
    <w:qFormat/>
    <w:rsid w:val="00DE2613"/>
    <w:rPr>
      <w:sz w:val="24"/>
      <w:szCs w:val="24"/>
    </w:rPr>
  </w:style>
  <w:style w:type="paragraph" w:customStyle="1" w:styleId="TableTextLeft31">
    <w:name w:val="Table Text Left_31"/>
    <w:basedOn w:val="Normal135"/>
    <w:link w:val="TableTextLeftChar31"/>
    <w:rsid w:val="00D043D0"/>
    <w:pPr>
      <w:spacing w:before="60" w:after="60"/>
    </w:pPr>
    <w:rPr>
      <w:rFonts w:ascii="Arial" w:hAnsi="Arial" w:cs="Arial"/>
      <w:sz w:val="18"/>
      <w:szCs w:val="20"/>
    </w:rPr>
  </w:style>
  <w:style w:type="character" w:customStyle="1" w:styleId="TableTextLeftChar31">
    <w:name w:val="Table Text Left Char_31"/>
    <w:basedOn w:val="DefaultParagraphFont"/>
    <w:link w:val="TableTextLeft31"/>
    <w:locked/>
    <w:rsid w:val="00D043D0"/>
    <w:rPr>
      <w:rFonts w:ascii="Arial" w:hAnsi="Arial" w:cs="Arial"/>
      <w:sz w:val="18"/>
      <w:lang w:val="en-AU" w:eastAsia="en-AU" w:bidi="ar-SA"/>
    </w:rPr>
  </w:style>
  <w:style w:type="paragraph" w:customStyle="1" w:styleId="TableTextBullet17">
    <w:name w:val="Table Text Bullet_17"/>
    <w:basedOn w:val="Normal135"/>
    <w:rsid w:val="00D043D0"/>
    <w:pPr>
      <w:numPr>
        <w:numId w:val="41"/>
      </w:numPr>
      <w:spacing w:before="60" w:after="60"/>
    </w:pPr>
    <w:rPr>
      <w:rFonts w:ascii="Arial" w:hAnsi="Arial"/>
      <w:sz w:val="18"/>
      <w:szCs w:val="20"/>
    </w:rPr>
  </w:style>
  <w:style w:type="paragraph" w:customStyle="1" w:styleId="TableTextDash17">
    <w:name w:val="Table Text Dash_17"/>
    <w:basedOn w:val="Normal135"/>
    <w:rsid w:val="00D043D0"/>
    <w:pPr>
      <w:numPr>
        <w:ilvl w:val="1"/>
        <w:numId w:val="41"/>
      </w:numPr>
      <w:spacing w:before="60" w:after="60"/>
    </w:pPr>
    <w:rPr>
      <w:rFonts w:ascii="Arial" w:hAnsi="Arial"/>
      <w:sz w:val="18"/>
      <w:szCs w:val="20"/>
    </w:rPr>
  </w:style>
  <w:style w:type="paragraph" w:customStyle="1" w:styleId="TableColumnHeadingLeft1">
    <w:name w:val="Table Column Heading Left_1"/>
    <w:basedOn w:val="Normal136"/>
    <w:next w:val="TableTextLeft32"/>
    <w:rsid w:val="00D043D0"/>
    <w:pPr>
      <w:spacing w:before="60" w:after="60"/>
    </w:pPr>
    <w:rPr>
      <w:rFonts w:ascii="Arial" w:hAnsi="Arial"/>
      <w:b/>
      <w:sz w:val="20"/>
      <w:szCs w:val="20"/>
    </w:rPr>
  </w:style>
  <w:style w:type="paragraph" w:customStyle="1" w:styleId="Normal136">
    <w:name w:val="Normal_136"/>
    <w:qFormat/>
    <w:rsid w:val="00AF0A3E"/>
    <w:rPr>
      <w:sz w:val="24"/>
      <w:szCs w:val="24"/>
    </w:rPr>
  </w:style>
  <w:style w:type="paragraph" w:customStyle="1" w:styleId="TableTextLeft32">
    <w:name w:val="Table Text Left_32"/>
    <w:basedOn w:val="Normal136"/>
    <w:link w:val="TableTextLeftChar32"/>
    <w:rsid w:val="00D043D0"/>
    <w:pPr>
      <w:spacing w:before="60" w:after="60"/>
    </w:pPr>
    <w:rPr>
      <w:rFonts w:ascii="Arial" w:hAnsi="Arial" w:cs="Arial"/>
      <w:sz w:val="18"/>
      <w:szCs w:val="20"/>
    </w:rPr>
  </w:style>
  <w:style w:type="character" w:customStyle="1" w:styleId="TableTextLeftChar32">
    <w:name w:val="Table Text Left Char_32"/>
    <w:basedOn w:val="DefaultParagraphFont"/>
    <w:link w:val="TableTextLeft32"/>
    <w:locked/>
    <w:rsid w:val="00D043D0"/>
    <w:rPr>
      <w:rFonts w:ascii="Arial" w:hAnsi="Arial" w:cs="Arial"/>
      <w:sz w:val="18"/>
      <w:lang w:val="en-AU" w:eastAsia="en-AU" w:bidi="ar-SA"/>
    </w:rPr>
  </w:style>
  <w:style w:type="paragraph" w:customStyle="1" w:styleId="ListParagraph13">
    <w:name w:val="List Paragraph_13"/>
    <w:basedOn w:val="Normal137"/>
    <w:uiPriority w:val="34"/>
    <w:qFormat/>
    <w:rsid w:val="004D4F1D"/>
    <w:pPr>
      <w:ind w:left="720"/>
      <w:contextualSpacing/>
    </w:pPr>
  </w:style>
  <w:style w:type="paragraph" w:customStyle="1" w:styleId="Normal137">
    <w:name w:val="Normal_137"/>
    <w:qFormat/>
    <w:rsid w:val="004C0D0C"/>
  </w:style>
  <w:style w:type="paragraph" w:customStyle="1" w:styleId="TableColumnHeadingLeft2">
    <w:name w:val="Table Column Heading Left_2"/>
    <w:basedOn w:val="Normal138"/>
    <w:next w:val="TableTextLeft33"/>
    <w:rsid w:val="00D043D0"/>
    <w:pPr>
      <w:spacing w:before="60" w:after="60"/>
    </w:pPr>
    <w:rPr>
      <w:rFonts w:ascii="Arial" w:hAnsi="Arial"/>
      <w:b/>
      <w:sz w:val="20"/>
      <w:szCs w:val="20"/>
    </w:rPr>
  </w:style>
  <w:style w:type="paragraph" w:customStyle="1" w:styleId="Normal138">
    <w:name w:val="Normal_138"/>
    <w:qFormat/>
    <w:rsid w:val="00384271"/>
    <w:rPr>
      <w:sz w:val="24"/>
      <w:szCs w:val="24"/>
    </w:rPr>
  </w:style>
  <w:style w:type="paragraph" w:customStyle="1" w:styleId="TableTextLeft33">
    <w:name w:val="Table Text Left_33"/>
    <w:basedOn w:val="Normal138"/>
    <w:link w:val="TableTextLeftChar33"/>
    <w:rsid w:val="00D043D0"/>
    <w:pPr>
      <w:spacing w:before="60" w:after="60"/>
    </w:pPr>
    <w:rPr>
      <w:rFonts w:ascii="Arial" w:hAnsi="Arial" w:cs="Arial"/>
      <w:sz w:val="18"/>
      <w:szCs w:val="20"/>
    </w:rPr>
  </w:style>
  <w:style w:type="character" w:customStyle="1" w:styleId="TableTextLeftChar33">
    <w:name w:val="Table Text Left Char_33"/>
    <w:basedOn w:val="DefaultParagraphFont"/>
    <w:link w:val="TableTextLeft33"/>
    <w:locked/>
    <w:rsid w:val="00D043D0"/>
    <w:rPr>
      <w:rFonts w:ascii="Arial" w:hAnsi="Arial" w:cs="Arial"/>
      <w:sz w:val="18"/>
      <w:lang w:val="en-AU" w:eastAsia="en-AU" w:bidi="ar-SA"/>
    </w:rPr>
  </w:style>
  <w:style w:type="paragraph" w:customStyle="1" w:styleId="TableTextBullet18">
    <w:name w:val="Table Text Bullet_18"/>
    <w:basedOn w:val="Normal138"/>
    <w:rsid w:val="00D043D0"/>
    <w:pPr>
      <w:numPr>
        <w:numId w:val="43"/>
      </w:numPr>
      <w:spacing w:before="60" w:after="60"/>
    </w:pPr>
    <w:rPr>
      <w:rFonts w:ascii="Arial" w:hAnsi="Arial"/>
      <w:sz w:val="18"/>
      <w:szCs w:val="20"/>
    </w:rPr>
  </w:style>
  <w:style w:type="paragraph" w:customStyle="1" w:styleId="TableTextDash18">
    <w:name w:val="Table Text Dash_18"/>
    <w:basedOn w:val="Normal138"/>
    <w:rsid w:val="00D043D0"/>
    <w:pPr>
      <w:numPr>
        <w:ilvl w:val="1"/>
        <w:numId w:val="43"/>
      </w:numPr>
      <w:spacing w:before="60" w:after="60"/>
    </w:pPr>
    <w:rPr>
      <w:rFonts w:ascii="Arial" w:hAnsi="Arial"/>
      <w:sz w:val="18"/>
      <w:szCs w:val="20"/>
    </w:rPr>
  </w:style>
  <w:style w:type="paragraph" w:customStyle="1" w:styleId="TableColumnHeadingLeft3">
    <w:name w:val="Table Column Heading Left_3"/>
    <w:basedOn w:val="Normal139"/>
    <w:next w:val="TableTextLeft34"/>
    <w:rsid w:val="00D043D0"/>
    <w:pPr>
      <w:spacing w:before="60" w:after="60"/>
    </w:pPr>
    <w:rPr>
      <w:rFonts w:ascii="Arial" w:hAnsi="Arial"/>
      <w:b/>
      <w:sz w:val="20"/>
      <w:szCs w:val="20"/>
    </w:rPr>
  </w:style>
  <w:style w:type="paragraph" w:customStyle="1" w:styleId="Normal139">
    <w:name w:val="Normal_139"/>
    <w:qFormat/>
    <w:rsid w:val="004446E9"/>
    <w:rPr>
      <w:sz w:val="24"/>
      <w:szCs w:val="24"/>
    </w:rPr>
  </w:style>
  <w:style w:type="paragraph" w:customStyle="1" w:styleId="TableTextLeft34">
    <w:name w:val="Table Text Left_34"/>
    <w:basedOn w:val="Normal139"/>
    <w:link w:val="TableTextLeftChar34"/>
    <w:rsid w:val="00D043D0"/>
    <w:pPr>
      <w:spacing w:before="60" w:after="60"/>
    </w:pPr>
    <w:rPr>
      <w:rFonts w:ascii="Arial" w:hAnsi="Arial" w:cs="Arial"/>
      <w:sz w:val="18"/>
      <w:szCs w:val="20"/>
    </w:rPr>
  </w:style>
  <w:style w:type="character" w:customStyle="1" w:styleId="TableTextLeftChar34">
    <w:name w:val="Table Text Left Char_34"/>
    <w:basedOn w:val="DefaultParagraphFont"/>
    <w:link w:val="TableTextLeft34"/>
    <w:locked/>
    <w:rsid w:val="00D043D0"/>
    <w:rPr>
      <w:rFonts w:ascii="Arial" w:hAnsi="Arial" w:cs="Arial"/>
      <w:sz w:val="18"/>
      <w:lang w:val="en-AU" w:eastAsia="en-AU" w:bidi="ar-SA"/>
    </w:rPr>
  </w:style>
  <w:style w:type="paragraph" w:customStyle="1" w:styleId="TableTextBullet19">
    <w:name w:val="Table Text Bullet_19"/>
    <w:basedOn w:val="Normal139"/>
    <w:rsid w:val="00D043D0"/>
    <w:pPr>
      <w:numPr>
        <w:numId w:val="44"/>
      </w:numPr>
      <w:spacing w:before="60" w:after="60"/>
    </w:pPr>
    <w:rPr>
      <w:rFonts w:ascii="Arial" w:hAnsi="Arial"/>
      <w:sz w:val="18"/>
      <w:szCs w:val="20"/>
    </w:rPr>
  </w:style>
  <w:style w:type="paragraph" w:customStyle="1" w:styleId="TableTextDash19">
    <w:name w:val="Table Text Dash_19"/>
    <w:basedOn w:val="Normal139"/>
    <w:rsid w:val="00D043D0"/>
    <w:pPr>
      <w:numPr>
        <w:ilvl w:val="1"/>
        <w:numId w:val="44"/>
      </w:numPr>
      <w:spacing w:before="60" w:after="60"/>
    </w:pPr>
    <w:rPr>
      <w:rFonts w:ascii="Arial" w:hAnsi="Arial"/>
      <w:sz w:val="18"/>
      <w:szCs w:val="20"/>
    </w:rPr>
  </w:style>
  <w:style w:type="paragraph" w:customStyle="1" w:styleId="TableTextLeft35">
    <w:name w:val="Table Text Left_35"/>
    <w:basedOn w:val="Normal140"/>
    <w:link w:val="TableTextLeftChar35"/>
    <w:rsid w:val="00F00AB0"/>
    <w:pPr>
      <w:spacing w:before="60" w:after="60"/>
    </w:pPr>
    <w:rPr>
      <w:rFonts w:ascii="Arial" w:hAnsi="Arial" w:cs="Arial"/>
      <w:sz w:val="18"/>
      <w:szCs w:val="20"/>
    </w:rPr>
  </w:style>
  <w:style w:type="paragraph" w:customStyle="1" w:styleId="Normal140">
    <w:name w:val="Normal_140"/>
    <w:qFormat/>
    <w:rsid w:val="009E6A44"/>
    <w:rPr>
      <w:sz w:val="24"/>
      <w:szCs w:val="24"/>
    </w:rPr>
  </w:style>
  <w:style w:type="character" w:customStyle="1" w:styleId="TableTextLeftChar35">
    <w:name w:val="Table Text Left Char_35"/>
    <w:basedOn w:val="DefaultParagraphFont"/>
    <w:link w:val="TableTextLeft35"/>
    <w:locked/>
    <w:rsid w:val="00F00AB0"/>
    <w:rPr>
      <w:rFonts w:ascii="Arial" w:hAnsi="Arial" w:cs="Arial"/>
      <w:sz w:val="18"/>
      <w:lang w:val="en-AU" w:eastAsia="en-AU" w:bidi="ar-SA"/>
    </w:rPr>
  </w:style>
  <w:style w:type="paragraph" w:customStyle="1" w:styleId="ListParagraph14">
    <w:name w:val="List Paragraph_14"/>
    <w:basedOn w:val="Normal141"/>
    <w:uiPriority w:val="34"/>
    <w:qFormat/>
    <w:rsid w:val="004D4F1D"/>
    <w:pPr>
      <w:ind w:left="720"/>
      <w:contextualSpacing/>
    </w:pPr>
  </w:style>
  <w:style w:type="paragraph" w:customStyle="1" w:styleId="Normal141">
    <w:name w:val="Normal_141"/>
    <w:qFormat/>
    <w:rsid w:val="004C0D0C"/>
  </w:style>
  <w:style w:type="paragraph" w:customStyle="1" w:styleId="Normal142">
    <w:name w:val="Normal_142"/>
    <w:qFormat/>
    <w:rsid w:val="00B262C6"/>
  </w:style>
  <w:style w:type="table" w:styleId="TableGrid">
    <w:name w:val="Table Grid"/>
    <w:basedOn w:val="TableNormal"/>
    <w:uiPriority w:val="59"/>
    <w:rsid w:val="006060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Left36">
    <w:name w:val="Table Text Left_36"/>
    <w:basedOn w:val="Normal143"/>
    <w:link w:val="TableTextLeftChar36"/>
    <w:rsid w:val="00F00AB0"/>
    <w:pPr>
      <w:spacing w:before="60" w:after="60"/>
    </w:pPr>
    <w:rPr>
      <w:rFonts w:ascii="Arial" w:hAnsi="Arial" w:cs="Arial"/>
      <w:sz w:val="18"/>
      <w:szCs w:val="20"/>
    </w:rPr>
  </w:style>
  <w:style w:type="paragraph" w:customStyle="1" w:styleId="Normal143">
    <w:name w:val="Normal_143"/>
    <w:qFormat/>
    <w:rsid w:val="009E6CFF"/>
    <w:rPr>
      <w:sz w:val="24"/>
      <w:szCs w:val="24"/>
    </w:rPr>
  </w:style>
  <w:style w:type="character" w:customStyle="1" w:styleId="TableTextLeftChar36">
    <w:name w:val="Table Text Left Char_36"/>
    <w:basedOn w:val="DefaultParagraphFont"/>
    <w:link w:val="TableTextLeft36"/>
    <w:locked/>
    <w:rsid w:val="00F00AB0"/>
    <w:rPr>
      <w:rFonts w:ascii="Arial" w:hAnsi="Arial" w:cs="Arial"/>
      <w:sz w:val="18"/>
      <w:lang w:val="en-AU" w:eastAsia="en-AU" w:bidi="ar-SA"/>
    </w:rPr>
  </w:style>
  <w:style w:type="paragraph" w:customStyle="1" w:styleId="TableTextLeft37">
    <w:name w:val="Table Text Left_37"/>
    <w:basedOn w:val="Normal144"/>
    <w:link w:val="TableTextLeftChar37"/>
    <w:rsid w:val="00A32ACA"/>
    <w:pPr>
      <w:spacing w:before="60" w:after="60"/>
    </w:pPr>
    <w:rPr>
      <w:rFonts w:ascii="Arial" w:hAnsi="Arial" w:cs="Arial"/>
      <w:sz w:val="18"/>
      <w:szCs w:val="20"/>
    </w:rPr>
  </w:style>
  <w:style w:type="paragraph" w:customStyle="1" w:styleId="Normal144">
    <w:name w:val="Normal_144"/>
    <w:qFormat/>
    <w:rsid w:val="00D26973"/>
    <w:rPr>
      <w:sz w:val="24"/>
      <w:szCs w:val="24"/>
    </w:rPr>
  </w:style>
  <w:style w:type="character" w:customStyle="1" w:styleId="TableTextLeftChar37">
    <w:name w:val="Table Text Left Char_37"/>
    <w:basedOn w:val="DefaultParagraphFont"/>
    <w:link w:val="TableTextLeft37"/>
    <w:locked/>
    <w:rsid w:val="00A32ACA"/>
    <w:rPr>
      <w:rFonts w:ascii="Arial" w:hAnsi="Arial" w:cs="Arial"/>
      <w:sz w:val="18"/>
      <w:lang w:val="en-AU" w:eastAsia="en-AU" w:bidi="ar-SA"/>
    </w:rPr>
  </w:style>
  <w:style w:type="paragraph" w:customStyle="1" w:styleId="ListParagraph15">
    <w:name w:val="List Paragraph_15"/>
    <w:basedOn w:val="Normal145"/>
    <w:uiPriority w:val="34"/>
    <w:qFormat/>
    <w:rsid w:val="00772F9C"/>
    <w:pPr>
      <w:ind w:left="720"/>
      <w:contextualSpacing/>
    </w:pPr>
  </w:style>
  <w:style w:type="paragraph" w:customStyle="1" w:styleId="Normal145">
    <w:name w:val="Normal_145"/>
    <w:qFormat/>
    <w:rsid w:val="00770F0A"/>
  </w:style>
  <w:style w:type="paragraph" w:customStyle="1" w:styleId="Part2">
    <w:name w:val="Part_2"/>
    <w:basedOn w:val="Title2"/>
    <w:next w:val="Normal146"/>
    <w:rsid w:val="00D80C88"/>
    <w:pPr>
      <w:spacing w:before="0" w:after="0"/>
    </w:pPr>
    <w:rPr>
      <w:smallCaps/>
      <w:sz w:val="52"/>
    </w:rPr>
  </w:style>
  <w:style w:type="paragraph" w:customStyle="1" w:styleId="Title2">
    <w:name w:val="Title_2"/>
    <w:basedOn w:val="Normal146"/>
    <w:qFormat/>
    <w:rsid w:val="00D80C88"/>
    <w:pPr>
      <w:spacing w:before="240" w:after="60"/>
      <w:jc w:val="center"/>
      <w:outlineLvl w:val="0"/>
    </w:pPr>
    <w:rPr>
      <w:rFonts w:ascii="Arial" w:hAnsi="Arial" w:cs="Arial"/>
      <w:b/>
      <w:bCs/>
      <w:kern w:val="28"/>
      <w:sz w:val="32"/>
      <w:szCs w:val="32"/>
    </w:rPr>
  </w:style>
  <w:style w:type="paragraph" w:customStyle="1" w:styleId="Normal146">
    <w:name w:val="Normal_146"/>
    <w:qFormat/>
    <w:rsid w:val="00A51C80"/>
    <w:pPr>
      <w:spacing w:after="240" w:line="260" w:lineRule="exact"/>
      <w:jc w:val="both"/>
    </w:pPr>
    <w:rPr>
      <w:rFonts w:ascii="Book Antiqua" w:hAnsi="Book Antiqua"/>
    </w:rPr>
  </w:style>
  <w:style w:type="paragraph" w:customStyle="1" w:styleId="BoxHeading1">
    <w:name w:val="Box Heading_1"/>
    <w:basedOn w:val="Normal146"/>
    <w:next w:val="Normal146"/>
    <w:rsid w:val="00A51C80"/>
    <w:pPr>
      <w:keepNext/>
      <w:spacing w:before="120" w:after="120" w:line="240" w:lineRule="auto"/>
      <w:jc w:val="left"/>
    </w:pPr>
    <w:rPr>
      <w:rFonts w:ascii="Arial" w:hAnsi="Arial"/>
      <w:b/>
    </w:rPr>
  </w:style>
  <w:style w:type="paragraph" w:customStyle="1" w:styleId="Heading46">
    <w:name w:val="Heading 4_6"/>
    <w:basedOn w:val="Normal146"/>
    <w:next w:val="Normal146"/>
    <w:link w:val="Heading4Char6"/>
    <w:qFormat/>
    <w:rsid w:val="00A51C80"/>
    <w:pPr>
      <w:keepNext/>
      <w:tabs>
        <w:tab w:val="left" w:pos="709"/>
      </w:tabs>
      <w:spacing w:before="120" w:after="120" w:line="240" w:lineRule="auto"/>
      <w:jc w:val="left"/>
      <w:outlineLvl w:val="3"/>
    </w:pPr>
    <w:rPr>
      <w:rFonts w:ascii="Arial" w:hAnsi="Arial"/>
      <w:b/>
      <w:sz w:val="22"/>
    </w:rPr>
  </w:style>
  <w:style w:type="character" w:customStyle="1" w:styleId="Heading4Char6">
    <w:name w:val="Heading 4 Char_6"/>
    <w:basedOn w:val="DefaultParagraphFont"/>
    <w:link w:val="Heading46"/>
    <w:locked/>
    <w:rsid w:val="00A51C80"/>
    <w:rPr>
      <w:rFonts w:ascii="Arial" w:hAnsi="Arial"/>
      <w:b/>
      <w:sz w:val="22"/>
      <w:lang w:val="en-AU" w:eastAsia="en-AU" w:bidi="ar-SA"/>
    </w:rPr>
  </w:style>
  <w:style w:type="paragraph" w:customStyle="1" w:styleId="Bullet3">
    <w:name w:val="Bullet_3"/>
    <w:basedOn w:val="Normal146"/>
    <w:link w:val="BulletChar3"/>
    <w:rsid w:val="00A51C80"/>
    <w:pPr>
      <w:numPr>
        <w:numId w:val="48"/>
      </w:numPr>
    </w:pPr>
  </w:style>
  <w:style w:type="paragraph" w:customStyle="1" w:styleId="Dash3">
    <w:name w:val="Dash_3"/>
    <w:basedOn w:val="Normal146"/>
    <w:rsid w:val="00A51C80"/>
    <w:pPr>
      <w:numPr>
        <w:ilvl w:val="1"/>
        <w:numId w:val="48"/>
      </w:numPr>
    </w:pPr>
  </w:style>
  <w:style w:type="paragraph" w:customStyle="1" w:styleId="DoubleDot3">
    <w:name w:val="Double Dot_3"/>
    <w:basedOn w:val="Normal146"/>
    <w:rsid w:val="00A51C80"/>
    <w:pPr>
      <w:numPr>
        <w:ilvl w:val="2"/>
        <w:numId w:val="48"/>
      </w:numPr>
    </w:pPr>
  </w:style>
  <w:style w:type="character" w:customStyle="1" w:styleId="BulletChar3">
    <w:name w:val="Bullet Char_3"/>
    <w:basedOn w:val="DefaultParagraphFont"/>
    <w:link w:val="Bullet3"/>
    <w:locked/>
    <w:rsid w:val="00A51C80"/>
    <w:rPr>
      <w:rFonts w:ascii="Book Antiqua" w:hAnsi="Book Antiqua"/>
      <w:lang w:val="en-AU" w:eastAsia="en-AU" w:bidi="ar-SA"/>
    </w:rPr>
  </w:style>
  <w:style w:type="paragraph" w:customStyle="1" w:styleId="Heading47">
    <w:name w:val="Heading 4_7"/>
    <w:basedOn w:val="Normal147"/>
    <w:next w:val="Normal147"/>
    <w:link w:val="Heading4Char7"/>
    <w:qFormat/>
    <w:rsid w:val="00534F04"/>
    <w:pPr>
      <w:keepNext/>
      <w:tabs>
        <w:tab w:val="left" w:pos="709"/>
      </w:tabs>
      <w:spacing w:before="120" w:after="120" w:line="240" w:lineRule="auto"/>
      <w:jc w:val="left"/>
      <w:outlineLvl w:val="3"/>
    </w:pPr>
    <w:rPr>
      <w:rFonts w:ascii="Arial" w:hAnsi="Arial"/>
      <w:b/>
      <w:sz w:val="22"/>
    </w:rPr>
  </w:style>
  <w:style w:type="paragraph" w:customStyle="1" w:styleId="Normal147">
    <w:name w:val="Normal_147"/>
    <w:qFormat/>
    <w:rsid w:val="00534F04"/>
    <w:pPr>
      <w:spacing w:after="240" w:line="260" w:lineRule="exact"/>
      <w:jc w:val="both"/>
    </w:pPr>
    <w:rPr>
      <w:rFonts w:ascii="Book Antiqua" w:hAnsi="Book Antiqua"/>
    </w:rPr>
  </w:style>
  <w:style w:type="character" w:customStyle="1" w:styleId="Heading4Char7">
    <w:name w:val="Heading 4 Char_7"/>
    <w:basedOn w:val="DefaultParagraphFont"/>
    <w:link w:val="Heading47"/>
    <w:locked/>
    <w:rsid w:val="00534F04"/>
    <w:rPr>
      <w:rFonts w:ascii="Arial" w:hAnsi="Arial"/>
      <w:b/>
      <w:sz w:val="22"/>
      <w:lang w:val="en-AU" w:eastAsia="en-AU" w:bidi="ar-SA"/>
    </w:rPr>
  </w:style>
  <w:style w:type="paragraph" w:customStyle="1" w:styleId="TableHeading6">
    <w:name w:val="Table Heading_6"/>
    <w:basedOn w:val="Normal147"/>
    <w:next w:val="Normal147"/>
    <w:link w:val="TableHeadingChar6"/>
    <w:rsid w:val="00534F04"/>
    <w:pPr>
      <w:keepNext/>
      <w:spacing w:before="120" w:after="20" w:line="240" w:lineRule="auto"/>
      <w:jc w:val="left"/>
    </w:pPr>
    <w:rPr>
      <w:rFonts w:ascii="Arial" w:hAnsi="Arial"/>
      <w:b/>
    </w:rPr>
  </w:style>
  <w:style w:type="character" w:customStyle="1" w:styleId="TableHeadingChar6">
    <w:name w:val="Table Heading Char_6"/>
    <w:basedOn w:val="DefaultParagraphFont"/>
    <w:link w:val="TableHeading6"/>
    <w:locked/>
    <w:rsid w:val="00534F04"/>
    <w:rPr>
      <w:rFonts w:ascii="Arial" w:hAnsi="Arial"/>
      <w:b/>
      <w:lang w:val="en-AU" w:eastAsia="en-AU" w:bidi="ar-SA"/>
    </w:rPr>
  </w:style>
  <w:style w:type="paragraph" w:customStyle="1" w:styleId="ListParagraph16">
    <w:name w:val="List Paragraph_16"/>
    <w:basedOn w:val="Normal148"/>
    <w:uiPriority w:val="34"/>
    <w:qFormat/>
    <w:rsid w:val="006F0E94"/>
    <w:pPr>
      <w:ind w:left="720"/>
      <w:contextualSpacing/>
    </w:pPr>
  </w:style>
  <w:style w:type="paragraph" w:customStyle="1" w:styleId="Normal148">
    <w:name w:val="Normal_148"/>
    <w:qFormat/>
    <w:rsid w:val="008D3648"/>
    <w:pPr>
      <w:spacing w:after="200" w:line="276" w:lineRule="auto"/>
    </w:pPr>
    <w:rPr>
      <w:sz w:val="22"/>
      <w:szCs w:val="22"/>
      <w:lang w:eastAsia="en-US"/>
    </w:rPr>
  </w:style>
  <w:style w:type="paragraph" w:customStyle="1" w:styleId="Source1">
    <w:name w:val="Source_1"/>
    <w:basedOn w:val="Normal148"/>
    <w:rsid w:val="00B5474C"/>
    <w:pPr>
      <w:tabs>
        <w:tab w:val="left" w:pos="284"/>
      </w:tabs>
      <w:spacing w:after="0" w:line="240" w:lineRule="auto"/>
      <w:jc w:val="both"/>
    </w:pPr>
    <w:rPr>
      <w:rFonts w:ascii="Arial" w:hAnsi="Arial"/>
      <w:sz w:val="16"/>
      <w:szCs w:val="20"/>
      <w:lang w:eastAsia="en-AU"/>
    </w:rPr>
  </w:style>
  <w:style w:type="paragraph" w:customStyle="1" w:styleId="Heading48">
    <w:name w:val="Heading 4_8"/>
    <w:basedOn w:val="Normal149"/>
    <w:next w:val="Normal149"/>
    <w:link w:val="Heading4Char8"/>
    <w:qFormat/>
    <w:rsid w:val="003B74B8"/>
    <w:pPr>
      <w:keepNext/>
      <w:tabs>
        <w:tab w:val="left" w:pos="709"/>
      </w:tabs>
      <w:spacing w:before="120" w:after="120"/>
      <w:outlineLvl w:val="3"/>
    </w:pPr>
    <w:rPr>
      <w:rFonts w:ascii="Arial" w:hAnsi="Arial"/>
      <w:b/>
      <w:sz w:val="22"/>
      <w:szCs w:val="20"/>
    </w:rPr>
  </w:style>
  <w:style w:type="paragraph" w:customStyle="1" w:styleId="Normal149">
    <w:name w:val="Normal_149"/>
    <w:qFormat/>
    <w:rsid w:val="00CA7633"/>
    <w:rPr>
      <w:sz w:val="24"/>
      <w:szCs w:val="24"/>
    </w:rPr>
  </w:style>
  <w:style w:type="character" w:customStyle="1" w:styleId="Heading4Char8">
    <w:name w:val="Heading 4 Char_8"/>
    <w:basedOn w:val="DefaultParagraphFont"/>
    <w:link w:val="Heading48"/>
    <w:locked/>
    <w:rsid w:val="003B74B8"/>
    <w:rPr>
      <w:rFonts w:ascii="Arial" w:hAnsi="Arial"/>
      <w:b/>
      <w:sz w:val="22"/>
      <w:lang w:val="en-AU" w:eastAsia="en-AU" w:bidi="ar-SA"/>
    </w:rPr>
  </w:style>
  <w:style w:type="paragraph" w:customStyle="1" w:styleId="TableColumnHeadingLeft4">
    <w:name w:val="Table Column Heading Left_4"/>
    <w:basedOn w:val="Normal149"/>
    <w:next w:val="TableTextLeft38"/>
    <w:rsid w:val="00635793"/>
    <w:pPr>
      <w:spacing w:before="60" w:after="60"/>
    </w:pPr>
    <w:rPr>
      <w:rFonts w:ascii="Arial" w:hAnsi="Arial"/>
      <w:b/>
      <w:sz w:val="20"/>
      <w:szCs w:val="20"/>
    </w:rPr>
  </w:style>
  <w:style w:type="paragraph" w:customStyle="1" w:styleId="TableTextLeft38">
    <w:name w:val="Table Text Left_38"/>
    <w:basedOn w:val="Normal149"/>
    <w:link w:val="TableTextLeftChar38"/>
    <w:rsid w:val="00635793"/>
    <w:pPr>
      <w:spacing w:before="60" w:after="60"/>
    </w:pPr>
    <w:rPr>
      <w:rFonts w:ascii="Arial" w:hAnsi="Arial" w:cs="Arial"/>
      <w:sz w:val="18"/>
      <w:szCs w:val="20"/>
    </w:rPr>
  </w:style>
  <w:style w:type="character" w:customStyle="1" w:styleId="TableTextLeftChar38">
    <w:name w:val="Table Text Left Char_38"/>
    <w:basedOn w:val="DefaultParagraphFont"/>
    <w:link w:val="TableTextLeft38"/>
    <w:locked/>
    <w:rsid w:val="00635793"/>
    <w:rPr>
      <w:rFonts w:ascii="Arial" w:hAnsi="Arial" w:cs="Arial"/>
      <w:sz w:val="18"/>
      <w:lang w:val="en-AU" w:eastAsia="en-AU" w:bidi="ar-SA"/>
    </w:rPr>
  </w:style>
  <w:style w:type="table" w:customStyle="1" w:styleId="TableGrid0">
    <w:name w:val="Table Grid_0"/>
    <w:basedOn w:val="TableNormal"/>
    <w:rsid w:val="00435D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7">
    <w:name w:val="List Paragraph_17"/>
    <w:basedOn w:val="Normal150"/>
    <w:uiPriority w:val="34"/>
    <w:qFormat/>
    <w:rsid w:val="004D4F1D"/>
    <w:pPr>
      <w:ind w:left="720"/>
      <w:contextualSpacing/>
    </w:pPr>
  </w:style>
  <w:style w:type="paragraph" w:customStyle="1" w:styleId="Normal150">
    <w:name w:val="Normal_150"/>
    <w:qFormat/>
    <w:rsid w:val="004C0D0C"/>
  </w:style>
  <w:style w:type="paragraph" w:customStyle="1" w:styleId="TableColumnHeadingLeft5">
    <w:name w:val="Table Column Heading Left_5"/>
    <w:basedOn w:val="Normal151"/>
    <w:next w:val="TableTextLeft39"/>
    <w:rsid w:val="00635793"/>
    <w:pPr>
      <w:spacing w:before="60" w:after="60"/>
    </w:pPr>
    <w:rPr>
      <w:rFonts w:ascii="Arial" w:hAnsi="Arial"/>
      <w:b/>
      <w:sz w:val="20"/>
      <w:szCs w:val="20"/>
    </w:rPr>
  </w:style>
  <w:style w:type="paragraph" w:customStyle="1" w:styleId="Normal151">
    <w:name w:val="Normal_151"/>
    <w:qFormat/>
    <w:rsid w:val="00872FB4"/>
    <w:rPr>
      <w:sz w:val="24"/>
      <w:szCs w:val="24"/>
    </w:rPr>
  </w:style>
  <w:style w:type="paragraph" w:customStyle="1" w:styleId="TableTextLeft39">
    <w:name w:val="Table Text Left_39"/>
    <w:basedOn w:val="Normal151"/>
    <w:link w:val="TableTextLeftChar39"/>
    <w:rsid w:val="00635793"/>
    <w:pPr>
      <w:spacing w:before="60" w:after="60"/>
    </w:pPr>
    <w:rPr>
      <w:rFonts w:ascii="Arial" w:hAnsi="Arial" w:cs="Arial"/>
      <w:sz w:val="18"/>
      <w:szCs w:val="20"/>
    </w:rPr>
  </w:style>
  <w:style w:type="character" w:customStyle="1" w:styleId="TableTextLeftChar39">
    <w:name w:val="Table Text Left Char_39"/>
    <w:basedOn w:val="DefaultParagraphFont"/>
    <w:link w:val="TableTextLeft39"/>
    <w:locked/>
    <w:rsid w:val="00635793"/>
    <w:rPr>
      <w:rFonts w:ascii="Arial" w:hAnsi="Arial" w:cs="Arial"/>
      <w:sz w:val="18"/>
      <w:lang w:val="en-AU" w:eastAsia="en-AU" w:bidi="ar-SA"/>
    </w:rPr>
  </w:style>
  <w:style w:type="paragraph" w:customStyle="1" w:styleId="TableTextBullet20">
    <w:name w:val="Table Text Bullet_20"/>
    <w:basedOn w:val="Normal151"/>
    <w:rsid w:val="0076203C"/>
    <w:pPr>
      <w:numPr>
        <w:numId w:val="51"/>
      </w:numPr>
      <w:spacing w:before="60" w:after="60"/>
    </w:pPr>
    <w:rPr>
      <w:rFonts w:ascii="Arial" w:hAnsi="Arial"/>
      <w:sz w:val="18"/>
      <w:szCs w:val="20"/>
    </w:rPr>
  </w:style>
  <w:style w:type="paragraph" w:customStyle="1" w:styleId="TableTextDash20">
    <w:name w:val="Table Text Dash_20"/>
    <w:basedOn w:val="Normal151"/>
    <w:rsid w:val="0076203C"/>
    <w:pPr>
      <w:numPr>
        <w:ilvl w:val="1"/>
        <w:numId w:val="51"/>
      </w:numPr>
      <w:spacing w:before="60" w:after="60"/>
    </w:pPr>
    <w:rPr>
      <w:rFonts w:ascii="Arial" w:hAnsi="Arial"/>
      <w:sz w:val="18"/>
      <w:szCs w:val="20"/>
    </w:rPr>
  </w:style>
  <w:style w:type="paragraph" w:customStyle="1" w:styleId="TableColumnHeadingLeft6">
    <w:name w:val="Table Column Heading Left_6"/>
    <w:basedOn w:val="Normal152"/>
    <w:next w:val="TableTextLeft40"/>
    <w:rsid w:val="00635793"/>
    <w:pPr>
      <w:spacing w:before="60" w:after="60"/>
    </w:pPr>
    <w:rPr>
      <w:rFonts w:ascii="Arial" w:hAnsi="Arial"/>
      <w:b/>
      <w:sz w:val="20"/>
      <w:szCs w:val="20"/>
    </w:rPr>
  </w:style>
  <w:style w:type="paragraph" w:customStyle="1" w:styleId="Normal152">
    <w:name w:val="Normal_152"/>
    <w:qFormat/>
    <w:rsid w:val="0060442F"/>
    <w:rPr>
      <w:sz w:val="24"/>
      <w:szCs w:val="24"/>
    </w:rPr>
  </w:style>
  <w:style w:type="paragraph" w:customStyle="1" w:styleId="TableTextLeft40">
    <w:name w:val="Table Text Left_40"/>
    <w:basedOn w:val="Normal152"/>
    <w:link w:val="TableTextLeftChar40"/>
    <w:rsid w:val="00635793"/>
    <w:pPr>
      <w:spacing w:before="60" w:after="60"/>
    </w:pPr>
    <w:rPr>
      <w:rFonts w:ascii="Arial" w:hAnsi="Arial" w:cs="Arial"/>
      <w:sz w:val="18"/>
      <w:szCs w:val="20"/>
    </w:rPr>
  </w:style>
  <w:style w:type="character" w:customStyle="1" w:styleId="TableTextLeftChar40">
    <w:name w:val="Table Text Left Char_40"/>
    <w:basedOn w:val="DefaultParagraphFont"/>
    <w:link w:val="TableTextLeft40"/>
    <w:locked/>
    <w:rsid w:val="00635793"/>
    <w:rPr>
      <w:rFonts w:ascii="Arial" w:hAnsi="Arial" w:cs="Arial"/>
      <w:sz w:val="18"/>
      <w:lang w:val="en-AU" w:eastAsia="en-AU" w:bidi="ar-SA"/>
    </w:rPr>
  </w:style>
  <w:style w:type="paragraph" w:customStyle="1" w:styleId="TableTextLeft41">
    <w:name w:val="Table Text Left_41"/>
    <w:basedOn w:val="Normal153"/>
    <w:link w:val="TableTextLeftChar41"/>
    <w:rsid w:val="003848F7"/>
    <w:pPr>
      <w:spacing w:before="60" w:after="60"/>
    </w:pPr>
    <w:rPr>
      <w:rFonts w:ascii="Arial" w:hAnsi="Arial" w:cs="Arial"/>
      <w:sz w:val="18"/>
      <w:szCs w:val="20"/>
    </w:rPr>
  </w:style>
  <w:style w:type="paragraph" w:customStyle="1" w:styleId="Normal153">
    <w:name w:val="Normal_153"/>
    <w:qFormat/>
    <w:rsid w:val="00620084"/>
    <w:rPr>
      <w:sz w:val="24"/>
      <w:szCs w:val="24"/>
    </w:rPr>
  </w:style>
  <w:style w:type="character" w:customStyle="1" w:styleId="TableTextLeftChar41">
    <w:name w:val="Table Text Left Char_41"/>
    <w:basedOn w:val="DefaultParagraphFont"/>
    <w:link w:val="TableTextLeft41"/>
    <w:locked/>
    <w:rsid w:val="003848F7"/>
    <w:rPr>
      <w:rFonts w:ascii="Arial" w:hAnsi="Arial" w:cs="Arial"/>
      <w:sz w:val="18"/>
      <w:lang w:val="en-AU" w:eastAsia="en-AU" w:bidi="ar-SA"/>
    </w:rPr>
  </w:style>
  <w:style w:type="paragraph" w:customStyle="1" w:styleId="ListParagraph18">
    <w:name w:val="List Paragraph_18"/>
    <w:basedOn w:val="Normal154"/>
    <w:qFormat/>
    <w:rsid w:val="007A046B"/>
    <w:pPr>
      <w:ind w:left="720"/>
      <w:contextualSpacing/>
    </w:pPr>
  </w:style>
  <w:style w:type="paragraph" w:customStyle="1" w:styleId="Normal154">
    <w:name w:val="Normal_154"/>
    <w:qFormat/>
    <w:rsid w:val="007D0544"/>
    <w:pPr>
      <w:spacing w:after="200" w:line="276" w:lineRule="auto"/>
    </w:pPr>
    <w:rPr>
      <w:sz w:val="22"/>
      <w:szCs w:val="22"/>
      <w:lang w:eastAsia="en-US"/>
    </w:rPr>
  </w:style>
  <w:style w:type="paragraph" w:customStyle="1" w:styleId="Normal155">
    <w:name w:val="Normal_155"/>
    <w:qFormat/>
    <w:rsid w:val="00B262C6"/>
  </w:style>
  <w:style w:type="table" w:customStyle="1" w:styleId="TableGrid1">
    <w:name w:val="Table Grid_1"/>
    <w:basedOn w:val="TableNormal"/>
    <w:uiPriority w:val="59"/>
    <w:rsid w:val="007D22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Left42">
    <w:name w:val="Table Text Left_42"/>
    <w:basedOn w:val="Normal156"/>
    <w:link w:val="TableTextLeftChar42"/>
    <w:rsid w:val="00805146"/>
    <w:pPr>
      <w:spacing w:before="60" w:after="60" w:line="240" w:lineRule="auto"/>
      <w:jc w:val="left"/>
    </w:pPr>
    <w:rPr>
      <w:rFonts w:ascii="Arial" w:hAnsi="Arial" w:cs="Arial"/>
      <w:sz w:val="18"/>
    </w:rPr>
  </w:style>
  <w:style w:type="paragraph" w:customStyle="1" w:styleId="Normal156">
    <w:name w:val="Normal_156"/>
    <w:qFormat/>
    <w:rsid w:val="00805146"/>
    <w:pPr>
      <w:spacing w:after="240" w:line="260" w:lineRule="exact"/>
      <w:jc w:val="both"/>
    </w:pPr>
    <w:rPr>
      <w:rFonts w:ascii="Book Antiqua" w:hAnsi="Book Antiqua"/>
    </w:rPr>
  </w:style>
  <w:style w:type="character" w:customStyle="1" w:styleId="TableTextLeftChar42">
    <w:name w:val="Table Text Left Char_42"/>
    <w:basedOn w:val="DefaultParagraphFont"/>
    <w:link w:val="TableTextLeft42"/>
    <w:locked/>
    <w:rsid w:val="00805146"/>
    <w:rPr>
      <w:rFonts w:ascii="Arial" w:hAnsi="Arial" w:cs="Arial"/>
      <w:sz w:val="18"/>
      <w:lang w:val="en-AU" w:eastAsia="en-AU" w:bidi="ar-SA"/>
    </w:rPr>
  </w:style>
  <w:style w:type="paragraph" w:customStyle="1" w:styleId="TableTextBullet21">
    <w:name w:val="Table Text Bullet_21"/>
    <w:basedOn w:val="Normal156"/>
    <w:rsid w:val="00805146"/>
    <w:pPr>
      <w:numPr>
        <w:numId w:val="53"/>
      </w:numPr>
      <w:spacing w:before="60" w:after="60" w:line="240" w:lineRule="auto"/>
      <w:jc w:val="left"/>
    </w:pPr>
    <w:rPr>
      <w:rFonts w:ascii="Arial" w:hAnsi="Arial"/>
      <w:sz w:val="18"/>
    </w:rPr>
  </w:style>
  <w:style w:type="paragraph" w:customStyle="1" w:styleId="TableTextDash21">
    <w:name w:val="Table Text Dash_21"/>
    <w:basedOn w:val="Normal156"/>
    <w:rsid w:val="00805146"/>
    <w:pPr>
      <w:numPr>
        <w:ilvl w:val="1"/>
        <w:numId w:val="53"/>
      </w:numPr>
      <w:spacing w:before="60" w:after="60" w:line="240" w:lineRule="auto"/>
      <w:jc w:val="left"/>
    </w:pPr>
    <w:rPr>
      <w:rFonts w:ascii="Arial" w:hAnsi="Arial"/>
      <w:sz w:val="18"/>
    </w:rPr>
  </w:style>
  <w:style w:type="paragraph" w:customStyle="1" w:styleId="Heading21">
    <w:name w:val="Heading 2_1"/>
    <w:basedOn w:val="Normal157"/>
    <w:next w:val="Normal157"/>
    <w:link w:val="Heading2Char1"/>
    <w:uiPriority w:val="99"/>
    <w:qFormat/>
    <w:rsid w:val="00B63E3E"/>
    <w:pPr>
      <w:keepNext/>
      <w:spacing w:before="360" w:after="360" w:line="240" w:lineRule="auto"/>
      <w:jc w:val="left"/>
      <w:outlineLvl w:val="1"/>
    </w:pPr>
    <w:rPr>
      <w:rFonts w:ascii="Arial" w:hAnsi="Arial"/>
      <w:sz w:val="30"/>
    </w:rPr>
  </w:style>
  <w:style w:type="paragraph" w:customStyle="1" w:styleId="Normal157">
    <w:name w:val="Normal_157"/>
    <w:qFormat/>
    <w:rsid w:val="00B63E3E"/>
    <w:pPr>
      <w:spacing w:after="240" w:line="260" w:lineRule="exact"/>
      <w:jc w:val="both"/>
    </w:pPr>
    <w:rPr>
      <w:rFonts w:ascii="Book Antiqua" w:hAnsi="Book Antiqua"/>
    </w:rPr>
  </w:style>
  <w:style w:type="character" w:customStyle="1" w:styleId="Heading2Char1">
    <w:name w:val="Heading 2 Char_1"/>
    <w:basedOn w:val="DefaultParagraphFont"/>
    <w:link w:val="Heading21"/>
    <w:uiPriority w:val="99"/>
    <w:semiHidden/>
    <w:rsid w:val="00B63E3E"/>
    <w:rPr>
      <w:rFonts w:ascii="Arial" w:eastAsia="Times New Roman" w:hAnsi="Arial" w:cs="Times New Roman"/>
      <w:sz w:val="30"/>
      <w:szCs w:val="20"/>
      <w:lang w:eastAsia="en-AU"/>
    </w:rPr>
  </w:style>
  <w:style w:type="paragraph" w:customStyle="1" w:styleId="Heading37">
    <w:name w:val="Heading 3_7"/>
    <w:basedOn w:val="Normal157"/>
    <w:next w:val="Normal157"/>
    <w:link w:val="Heading3Char7"/>
    <w:uiPriority w:val="99"/>
    <w:qFormat/>
    <w:rsid w:val="00B63E3E"/>
    <w:pPr>
      <w:keepNext/>
      <w:tabs>
        <w:tab w:val="left" w:pos="709"/>
      </w:tabs>
      <w:spacing w:before="240" w:line="240" w:lineRule="auto"/>
      <w:jc w:val="left"/>
      <w:outlineLvl w:val="2"/>
    </w:pPr>
    <w:rPr>
      <w:rFonts w:ascii="Arial" w:hAnsi="Arial"/>
      <w:b/>
      <w:smallCaps/>
      <w:sz w:val="26"/>
    </w:rPr>
  </w:style>
  <w:style w:type="character" w:customStyle="1" w:styleId="Heading3Char7">
    <w:name w:val="Heading 3 Char_7"/>
    <w:basedOn w:val="DefaultParagraphFont"/>
    <w:link w:val="Heading37"/>
    <w:uiPriority w:val="99"/>
    <w:rsid w:val="00B63E3E"/>
    <w:rPr>
      <w:rFonts w:ascii="Arial" w:eastAsia="Times New Roman" w:hAnsi="Arial" w:cs="Times New Roman"/>
      <w:b/>
      <w:smallCaps/>
      <w:sz w:val="26"/>
      <w:szCs w:val="20"/>
      <w:lang w:eastAsia="en-AU"/>
    </w:rPr>
  </w:style>
  <w:style w:type="paragraph" w:customStyle="1" w:styleId="Heading49">
    <w:name w:val="Heading 4_9"/>
    <w:basedOn w:val="Normal157"/>
    <w:next w:val="Normal157"/>
    <w:link w:val="Heading4Char9"/>
    <w:uiPriority w:val="99"/>
    <w:qFormat/>
    <w:rsid w:val="00B63E3E"/>
    <w:pPr>
      <w:keepNext/>
      <w:tabs>
        <w:tab w:val="left" w:pos="709"/>
      </w:tabs>
      <w:spacing w:before="120" w:after="120" w:line="240" w:lineRule="auto"/>
      <w:jc w:val="left"/>
      <w:outlineLvl w:val="3"/>
    </w:pPr>
    <w:rPr>
      <w:rFonts w:ascii="Arial" w:hAnsi="Arial"/>
      <w:b/>
      <w:sz w:val="22"/>
    </w:rPr>
  </w:style>
  <w:style w:type="character" w:customStyle="1" w:styleId="Heading4Char9">
    <w:name w:val="Heading 4 Char_9"/>
    <w:basedOn w:val="DefaultParagraphFont"/>
    <w:link w:val="Heading49"/>
    <w:uiPriority w:val="99"/>
    <w:semiHidden/>
    <w:rsid w:val="00B63E3E"/>
    <w:rPr>
      <w:rFonts w:ascii="Arial" w:eastAsia="Times New Roman" w:hAnsi="Arial" w:cs="Times New Roman"/>
      <w:b/>
      <w:szCs w:val="20"/>
      <w:lang w:eastAsia="en-AU"/>
    </w:rPr>
  </w:style>
  <w:style w:type="paragraph" w:customStyle="1" w:styleId="Normal158">
    <w:name w:val="Normal_158"/>
    <w:qFormat/>
    <w:rsid w:val="00724034"/>
    <w:rPr>
      <w:sz w:val="24"/>
      <w:szCs w:val="24"/>
    </w:rPr>
  </w:style>
  <w:style w:type="paragraph" w:customStyle="1" w:styleId="ChartandTableFootnote3">
    <w:name w:val="Chart and Table Footnote_3"/>
    <w:basedOn w:val="Normal159"/>
    <w:next w:val="Normal159"/>
    <w:link w:val="ChartandTableFootnoteChar3"/>
    <w:uiPriority w:val="99"/>
    <w:rsid w:val="00053C53"/>
    <w:pPr>
      <w:keepNext/>
      <w:tabs>
        <w:tab w:val="left" w:pos="454"/>
      </w:tabs>
      <w:spacing w:after="0" w:line="240" w:lineRule="auto"/>
      <w:ind w:left="454" w:hanging="454"/>
      <w:jc w:val="both"/>
    </w:pPr>
    <w:rPr>
      <w:rFonts w:ascii="Arial" w:hAnsi="Arial" w:cs="Arial"/>
      <w:sz w:val="16"/>
      <w:szCs w:val="20"/>
      <w:lang w:eastAsia="en-AU"/>
    </w:rPr>
  </w:style>
  <w:style w:type="paragraph" w:customStyle="1" w:styleId="Normal159">
    <w:name w:val="Normal_159"/>
    <w:qFormat/>
    <w:rsid w:val="004E6F50"/>
    <w:pPr>
      <w:spacing w:after="200" w:line="276" w:lineRule="auto"/>
    </w:pPr>
    <w:rPr>
      <w:sz w:val="22"/>
      <w:szCs w:val="22"/>
      <w:lang w:eastAsia="en-US"/>
    </w:rPr>
  </w:style>
  <w:style w:type="character" w:customStyle="1" w:styleId="ChartandTableFootnoteChar3">
    <w:name w:val="Chart and Table Footnote Char_3"/>
    <w:basedOn w:val="DefaultParagraphFont"/>
    <w:link w:val="ChartandTableFootnote3"/>
    <w:uiPriority w:val="99"/>
    <w:locked/>
    <w:rsid w:val="00053C53"/>
    <w:rPr>
      <w:rFonts w:ascii="Arial" w:hAnsi="Arial" w:cs="Arial"/>
      <w:sz w:val="16"/>
    </w:rPr>
  </w:style>
  <w:style w:type="paragraph" w:customStyle="1" w:styleId="Heading410">
    <w:name w:val="Heading 4_10"/>
    <w:basedOn w:val="Normal160"/>
    <w:next w:val="Normal160"/>
    <w:link w:val="Heading4Char10"/>
    <w:uiPriority w:val="99"/>
    <w:qFormat/>
    <w:rsid w:val="00B63E3E"/>
    <w:pPr>
      <w:keepNext/>
      <w:tabs>
        <w:tab w:val="left" w:pos="709"/>
      </w:tabs>
      <w:spacing w:before="120" w:after="120" w:line="240" w:lineRule="auto"/>
      <w:jc w:val="left"/>
      <w:outlineLvl w:val="3"/>
    </w:pPr>
    <w:rPr>
      <w:rFonts w:ascii="Arial" w:hAnsi="Arial"/>
      <w:b/>
      <w:sz w:val="22"/>
    </w:rPr>
  </w:style>
  <w:style w:type="paragraph" w:customStyle="1" w:styleId="Normal160">
    <w:name w:val="Normal_160"/>
    <w:qFormat/>
    <w:rsid w:val="00B63E3E"/>
    <w:pPr>
      <w:spacing w:after="240" w:line="260" w:lineRule="exact"/>
      <w:jc w:val="both"/>
    </w:pPr>
    <w:rPr>
      <w:rFonts w:ascii="Book Antiqua" w:hAnsi="Book Antiqua"/>
    </w:rPr>
  </w:style>
  <w:style w:type="character" w:customStyle="1" w:styleId="Heading4Char10">
    <w:name w:val="Heading 4 Char_10"/>
    <w:basedOn w:val="DefaultParagraphFont"/>
    <w:link w:val="Heading410"/>
    <w:uiPriority w:val="99"/>
    <w:semiHidden/>
    <w:rsid w:val="00B63E3E"/>
    <w:rPr>
      <w:rFonts w:ascii="Arial" w:eastAsia="Times New Roman" w:hAnsi="Arial" w:cs="Times New Roman"/>
      <w:b/>
      <w:szCs w:val="20"/>
      <w:lang w:eastAsia="en-AU"/>
    </w:rPr>
  </w:style>
  <w:style w:type="paragraph" w:customStyle="1" w:styleId="TableHeading7">
    <w:name w:val="Table Heading_7"/>
    <w:basedOn w:val="Normal160"/>
    <w:next w:val="Normal160"/>
    <w:link w:val="TableHeadingChar7"/>
    <w:uiPriority w:val="99"/>
    <w:rsid w:val="00B63E3E"/>
    <w:pPr>
      <w:keepNext/>
      <w:spacing w:before="120" w:after="20" w:line="240" w:lineRule="auto"/>
      <w:jc w:val="left"/>
    </w:pPr>
    <w:rPr>
      <w:rFonts w:ascii="Arial" w:eastAsia="Calibri" w:hAnsi="Arial" w:cs="Arial"/>
      <w:b/>
      <w:lang w:eastAsia="en-US"/>
    </w:rPr>
  </w:style>
  <w:style w:type="character" w:customStyle="1" w:styleId="TableHeadingChar7">
    <w:name w:val="Table Heading Char_7"/>
    <w:basedOn w:val="DefaultParagraphFont"/>
    <w:link w:val="TableHeading7"/>
    <w:uiPriority w:val="99"/>
    <w:locked/>
    <w:rsid w:val="00B63E3E"/>
    <w:rPr>
      <w:rFonts w:ascii="Arial" w:hAnsi="Arial" w:cs="Arial"/>
      <w:b/>
      <w:sz w:val="20"/>
      <w:szCs w:val="20"/>
    </w:rPr>
  </w:style>
  <w:style w:type="paragraph" w:customStyle="1" w:styleId="ChartandTableFootnote4">
    <w:name w:val="Chart and Table Footnote_4"/>
    <w:basedOn w:val="Normal161"/>
    <w:next w:val="Normal161"/>
    <w:link w:val="ChartandTableFootnoteChar4"/>
    <w:uiPriority w:val="99"/>
    <w:rsid w:val="00053C53"/>
    <w:pPr>
      <w:keepNext/>
      <w:tabs>
        <w:tab w:val="left" w:pos="454"/>
      </w:tabs>
      <w:spacing w:after="0" w:line="240" w:lineRule="auto"/>
      <w:ind w:left="454" w:hanging="454"/>
      <w:jc w:val="both"/>
    </w:pPr>
    <w:rPr>
      <w:rFonts w:ascii="Arial" w:hAnsi="Arial" w:cs="Arial"/>
      <w:sz w:val="16"/>
      <w:szCs w:val="20"/>
      <w:lang w:eastAsia="en-AU"/>
    </w:rPr>
  </w:style>
  <w:style w:type="paragraph" w:customStyle="1" w:styleId="Normal161">
    <w:name w:val="Normal_161"/>
    <w:qFormat/>
    <w:rsid w:val="004E6F50"/>
    <w:pPr>
      <w:spacing w:after="200" w:line="276" w:lineRule="auto"/>
    </w:pPr>
    <w:rPr>
      <w:sz w:val="22"/>
      <w:szCs w:val="22"/>
      <w:lang w:eastAsia="en-US"/>
    </w:rPr>
  </w:style>
  <w:style w:type="character" w:customStyle="1" w:styleId="ChartandTableFootnoteChar4">
    <w:name w:val="Chart and Table Footnote Char_4"/>
    <w:basedOn w:val="DefaultParagraphFont"/>
    <w:link w:val="ChartandTableFootnote4"/>
    <w:uiPriority w:val="99"/>
    <w:locked/>
    <w:rsid w:val="00053C53"/>
    <w:rPr>
      <w:rFonts w:ascii="Arial" w:hAnsi="Arial" w:cs="Arial"/>
      <w:sz w:val="16"/>
    </w:rPr>
  </w:style>
  <w:style w:type="paragraph" w:customStyle="1" w:styleId="Heading411">
    <w:name w:val="Heading 4_11"/>
    <w:basedOn w:val="Normal162"/>
    <w:next w:val="Normal162"/>
    <w:link w:val="Heading4Char11"/>
    <w:uiPriority w:val="99"/>
    <w:qFormat/>
    <w:rsid w:val="00B63E3E"/>
    <w:pPr>
      <w:keepNext/>
      <w:tabs>
        <w:tab w:val="left" w:pos="709"/>
      </w:tabs>
      <w:spacing w:before="120" w:after="120" w:line="240" w:lineRule="auto"/>
      <w:jc w:val="left"/>
      <w:outlineLvl w:val="3"/>
    </w:pPr>
    <w:rPr>
      <w:rFonts w:ascii="Arial" w:hAnsi="Arial"/>
      <w:b/>
      <w:sz w:val="22"/>
    </w:rPr>
  </w:style>
  <w:style w:type="paragraph" w:customStyle="1" w:styleId="Normal162">
    <w:name w:val="Normal_162"/>
    <w:qFormat/>
    <w:rsid w:val="00B63E3E"/>
    <w:pPr>
      <w:spacing w:after="240" w:line="260" w:lineRule="exact"/>
      <w:jc w:val="both"/>
    </w:pPr>
    <w:rPr>
      <w:rFonts w:ascii="Book Antiqua" w:hAnsi="Book Antiqua"/>
    </w:rPr>
  </w:style>
  <w:style w:type="character" w:customStyle="1" w:styleId="Heading4Char11">
    <w:name w:val="Heading 4 Char_11"/>
    <w:basedOn w:val="DefaultParagraphFont"/>
    <w:link w:val="Heading411"/>
    <w:uiPriority w:val="99"/>
    <w:semiHidden/>
    <w:rsid w:val="00B63E3E"/>
    <w:rPr>
      <w:rFonts w:ascii="Arial" w:eastAsia="Times New Roman" w:hAnsi="Arial" w:cs="Times New Roman"/>
      <w:b/>
      <w:szCs w:val="20"/>
      <w:lang w:eastAsia="en-AU"/>
    </w:rPr>
  </w:style>
  <w:style w:type="paragraph" w:customStyle="1" w:styleId="Heading38">
    <w:name w:val="Heading 3_8"/>
    <w:basedOn w:val="Normal163"/>
    <w:next w:val="Normal163"/>
    <w:link w:val="Heading3Char8"/>
    <w:uiPriority w:val="99"/>
    <w:qFormat/>
    <w:rsid w:val="00B63E3E"/>
    <w:pPr>
      <w:keepNext/>
      <w:tabs>
        <w:tab w:val="left" w:pos="709"/>
      </w:tabs>
      <w:spacing w:before="240" w:line="240" w:lineRule="auto"/>
      <w:jc w:val="left"/>
      <w:outlineLvl w:val="2"/>
    </w:pPr>
    <w:rPr>
      <w:rFonts w:ascii="Arial" w:hAnsi="Arial"/>
      <w:b/>
      <w:smallCaps/>
      <w:sz w:val="26"/>
    </w:rPr>
  </w:style>
  <w:style w:type="paragraph" w:customStyle="1" w:styleId="Normal163">
    <w:name w:val="Normal_163"/>
    <w:qFormat/>
    <w:rsid w:val="00B63E3E"/>
    <w:pPr>
      <w:spacing w:after="240" w:line="260" w:lineRule="exact"/>
      <w:jc w:val="both"/>
    </w:pPr>
    <w:rPr>
      <w:rFonts w:ascii="Book Antiqua" w:hAnsi="Book Antiqua"/>
    </w:rPr>
  </w:style>
  <w:style w:type="character" w:customStyle="1" w:styleId="Heading3Char8">
    <w:name w:val="Heading 3 Char_8"/>
    <w:basedOn w:val="DefaultParagraphFont"/>
    <w:link w:val="Heading38"/>
    <w:uiPriority w:val="99"/>
    <w:rsid w:val="00B63E3E"/>
    <w:rPr>
      <w:rFonts w:ascii="Arial" w:eastAsia="Times New Roman" w:hAnsi="Arial" w:cs="Times New Roman"/>
      <w:b/>
      <w:smallCaps/>
      <w:sz w:val="26"/>
      <w:szCs w:val="20"/>
      <w:lang w:eastAsia="en-AU"/>
    </w:rPr>
  </w:style>
  <w:style w:type="paragraph" w:customStyle="1" w:styleId="Heading412">
    <w:name w:val="Heading 4_12"/>
    <w:basedOn w:val="Normal163"/>
    <w:next w:val="Normal163"/>
    <w:link w:val="Heading4Char12"/>
    <w:uiPriority w:val="99"/>
    <w:qFormat/>
    <w:rsid w:val="00B63E3E"/>
    <w:pPr>
      <w:keepNext/>
      <w:tabs>
        <w:tab w:val="left" w:pos="709"/>
      </w:tabs>
      <w:spacing w:before="120" w:after="120" w:line="240" w:lineRule="auto"/>
      <w:jc w:val="left"/>
      <w:outlineLvl w:val="3"/>
    </w:pPr>
    <w:rPr>
      <w:rFonts w:ascii="Arial" w:hAnsi="Arial"/>
      <w:b/>
      <w:sz w:val="22"/>
    </w:rPr>
  </w:style>
  <w:style w:type="character" w:customStyle="1" w:styleId="Heading4Char12">
    <w:name w:val="Heading 4 Char_12"/>
    <w:basedOn w:val="DefaultParagraphFont"/>
    <w:link w:val="Heading412"/>
    <w:uiPriority w:val="99"/>
    <w:semiHidden/>
    <w:rsid w:val="00B63E3E"/>
    <w:rPr>
      <w:rFonts w:ascii="Arial" w:eastAsia="Times New Roman" w:hAnsi="Arial" w:cs="Times New Roman"/>
      <w:b/>
      <w:szCs w:val="20"/>
      <w:lang w:eastAsia="en-AU"/>
    </w:rPr>
  </w:style>
  <w:style w:type="paragraph" w:customStyle="1" w:styleId="Exampletext">
    <w:name w:val="Example text"/>
    <w:basedOn w:val="Normal163"/>
    <w:link w:val="ExampletextCharChar"/>
    <w:rsid w:val="00826D98"/>
    <w:rPr>
      <w:i/>
      <w:color w:val="FF0000"/>
    </w:rPr>
  </w:style>
  <w:style w:type="character" w:customStyle="1" w:styleId="ExampletextCharChar">
    <w:name w:val="Example text Char Char"/>
    <w:basedOn w:val="DefaultParagraphFont"/>
    <w:link w:val="Exampletext"/>
    <w:locked/>
    <w:rsid w:val="00826D98"/>
    <w:rPr>
      <w:rFonts w:ascii="Book Antiqua" w:hAnsi="Book Antiqua"/>
      <w:i/>
      <w:color w:val="FF0000"/>
      <w:lang w:val="en-AU" w:eastAsia="en-AU" w:bidi="ar-SA"/>
    </w:rPr>
  </w:style>
  <w:style w:type="character" w:customStyle="1" w:styleId="Heading5Char">
    <w:name w:val="Heading 5 Char"/>
    <w:basedOn w:val="DefaultParagraphFont"/>
    <w:link w:val="Heading5"/>
    <w:uiPriority w:val="9"/>
    <w:semiHidden/>
    <w:rsid w:val="00E26CC2"/>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rsid w:val="00E26CC2"/>
    <w:rPr>
      <w:rFonts w:ascii="Calibri" w:eastAsia="Times New Roman" w:hAnsi="Calibri" w:cs="Times New Roman"/>
      <w:b/>
      <w:bCs/>
      <w:sz w:val="22"/>
      <w:szCs w:val="22"/>
    </w:rPr>
  </w:style>
  <w:style w:type="paragraph" w:customStyle="1" w:styleId="Normal164">
    <w:name w:val="Normal_164"/>
    <w:qFormat/>
    <w:rsid w:val="00B63E3E"/>
    <w:pPr>
      <w:spacing w:after="240" w:line="260" w:lineRule="exact"/>
      <w:jc w:val="both"/>
    </w:pPr>
    <w:rPr>
      <w:rFonts w:ascii="Book Antiqua" w:hAnsi="Book Antiqua"/>
    </w:rPr>
  </w:style>
  <w:style w:type="paragraph" w:customStyle="1" w:styleId="Heading50">
    <w:name w:val="Heading 5_0"/>
    <w:basedOn w:val="Normal164"/>
    <w:next w:val="Normal164"/>
    <w:link w:val="Heading5Char0"/>
    <w:uiPriority w:val="9"/>
    <w:qFormat/>
    <w:rsid w:val="00E26CC2"/>
    <w:pPr>
      <w:spacing w:before="240" w:after="60"/>
      <w:outlineLvl w:val="4"/>
    </w:pPr>
    <w:rPr>
      <w:rFonts w:ascii="Calibri" w:hAnsi="Calibri"/>
      <w:b/>
      <w:bCs/>
      <w:i/>
      <w:iCs/>
      <w:sz w:val="26"/>
      <w:szCs w:val="26"/>
    </w:rPr>
  </w:style>
  <w:style w:type="character" w:customStyle="1" w:styleId="Heading5Char0">
    <w:name w:val="Heading 5 Char_0"/>
    <w:basedOn w:val="DefaultParagraphFont"/>
    <w:link w:val="Heading50"/>
    <w:uiPriority w:val="9"/>
    <w:semiHidden/>
    <w:rsid w:val="00E26CC2"/>
    <w:rPr>
      <w:rFonts w:ascii="Calibri" w:eastAsia="Times New Roman" w:hAnsi="Calibri" w:cs="Times New Roman"/>
      <w:b/>
      <w:bCs/>
      <w:i/>
      <w:iCs/>
      <w:sz w:val="26"/>
      <w:szCs w:val="26"/>
    </w:rPr>
  </w:style>
  <w:style w:type="paragraph" w:customStyle="1" w:styleId="Heading60">
    <w:name w:val="Heading 6_0"/>
    <w:basedOn w:val="Normal164"/>
    <w:next w:val="Normal164"/>
    <w:link w:val="Heading6Char0"/>
    <w:uiPriority w:val="9"/>
    <w:qFormat/>
    <w:rsid w:val="00E26CC2"/>
    <w:pPr>
      <w:spacing w:before="240" w:after="60"/>
      <w:outlineLvl w:val="5"/>
    </w:pPr>
    <w:rPr>
      <w:rFonts w:ascii="Calibri" w:hAnsi="Calibri"/>
      <w:b/>
      <w:bCs/>
      <w:sz w:val="22"/>
      <w:szCs w:val="22"/>
    </w:rPr>
  </w:style>
  <w:style w:type="character" w:customStyle="1" w:styleId="Heading6Char0">
    <w:name w:val="Heading 6 Char_0"/>
    <w:basedOn w:val="DefaultParagraphFont"/>
    <w:link w:val="Heading60"/>
    <w:uiPriority w:val="9"/>
    <w:semiHidden/>
    <w:rsid w:val="00E26CC2"/>
    <w:rPr>
      <w:rFonts w:ascii="Calibri" w:eastAsia="Times New Roman" w:hAnsi="Calibri" w:cs="Times New Roman"/>
      <w:b/>
      <w:bCs/>
      <w:sz w:val="22"/>
      <w:szCs w:val="22"/>
    </w:rPr>
  </w:style>
  <w:style w:type="paragraph" w:customStyle="1" w:styleId="ContentsHeading1">
    <w:name w:val="Contents Heading_1"/>
    <w:basedOn w:val="Normal165"/>
    <w:next w:val="Normal165"/>
    <w:rsid w:val="00D640B3"/>
    <w:pPr>
      <w:keepNext/>
      <w:spacing w:after="360" w:line="240" w:lineRule="auto"/>
      <w:jc w:val="center"/>
    </w:pPr>
    <w:rPr>
      <w:rFonts w:ascii="Arial" w:hAnsi="Arial"/>
      <w:b/>
      <w:smallCaps/>
      <w:sz w:val="34"/>
      <w:szCs w:val="20"/>
      <w:lang w:eastAsia="en-AU"/>
    </w:rPr>
  </w:style>
  <w:style w:type="paragraph" w:customStyle="1" w:styleId="Normal165">
    <w:name w:val="Normal_165"/>
    <w:qFormat/>
    <w:rsid w:val="004E6F50"/>
    <w:pPr>
      <w:spacing w:after="200" w:line="276" w:lineRule="auto"/>
    </w:pPr>
    <w:rPr>
      <w:sz w:val="22"/>
      <w:szCs w:val="22"/>
      <w:lang w:eastAsia="en-US"/>
    </w:rPr>
  </w:style>
  <w:style w:type="paragraph" w:customStyle="1" w:styleId="TableHeading8">
    <w:name w:val="Table Heading_8"/>
    <w:basedOn w:val="Normal165"/>
    <w:next w:val="Normal165"/>
    <w:link w:val="TableHeadingChar8"/>
    <w:uiPriority w:val="99"/>
    <w:rsid w:val="008C2FCF"/>
    <w:pPr>
      <w:keepNext/>
      <w:spacing w:before="120" w:after="20" w:line="240" w:lineRule="auto"/>
    </w:pPr>
    <w:rPr>
      <w:rFonts w:ascii="Arial" w:hAnsi="Arial" w:cs="Arial"/>
      <w:b/>
      <w:sz w:val="20"/>
      <w:szCs w:val="20"/>
    </w:rPr>
  </w:style>
  <w:style w:type="character" w:customStyle="1" w:styleId="TableHeadingChar8">
    <w:name w:val="Table Heading Char_8"/>
    <w:basedOn w:val="DefaultParagraphFont"/>
    <w:link w:val="TableHeading8"/>
    <w:uiPriority w:val="99"/>
    <w:locked/>
    <w:rsid w:val="008C2FCF"/>
    <w:rPr>
      <w:rFonts w:ascii="Arial" w:hAnsi="Arial" w:cs="Arial"/>
      <w:b/>
      <w:sz w:val="20"/>
      <w:szCs w:val="20"/>
    </w:rPr>
  </w:style>
  <w:style w:type="paragraph" w:customStyle="1" w:styleId="Source2">
    <w:name w:val="Source_2"/>
    <w:basedOn w:val="Normal166"/>
    <w:rsid w:val="0050429D"/>
    <w:pPr>
      <w:tabs>
        <w:tab w:val="left" w:pos="284"/>
      </w:tabs>
      <w:spacing w:after="0" w:line="240" w:lineRule="auto"/>
    </w:pPr>
    <w:rPr>
      <w:rFonts w:ascii="Arial" w:hAnsi="Arial"/>
      <w:sz w:val="16"/>
    </w:rPr>
  </w:style>
  <w:style w:type="paragraph" w:customStyle="1" w:styleId="Normal166">
    <w:name w:val="Normal_166"/>
    <w:qFormat/>
    <w:rsid w:val="00861DF0"/>
    <w:pPr>
      <w:spacing w:after="240" w:line="260" w:lineRule="exact"/>
      <w:jc w:val="both"/>
    </w:pPr>
    <w:rPr>
      <w:rFonts w:ascii="Book Antiqua" w:hAnsi="Book Antiqua"/>
    </w:rPr>
  </w:style>
  <w:style w:type="paragraph" w:customStyle="1" w:styleId="TableHeading9">
    <w:name w:val="Table Heading_9"/>
    <w:basedOn w:val="Normal166"/>
    <w:next w:val="Normal166"/>
    <w:link w:val="TableHeadingChar9"/>
    <w:rsid w:val="00861DF0"/>
    <w:pPr>
      <w:keepNext/>
      <w:spacing w:before="120" w:after="20" w:line="240" w:lineRule="auto"/>
      <w:jc w:val="left"/>
    </w:pPr>
    <w:rPr>
      <w:rFonts w:ascii="Arial" w:hAnsi="Arial" w:cs="Arial"/>
      <w:b/>
    </w:rPr>
  </w:style>
  <w:style w:type="character" w:customStyle="1" w:styleId="TableHeadingChar9">
    <w:name w:val="Table Heading Char_9"/>
    <w:basedOn w:val="DefaultParagraphFont"/>
    <w:link w:val="TableHeading9"/>
    <w:locked/>
    <w:rsid w:val="00861DF0"/>
    <w:rPr>
      <w:rFonts w:ascii="Arial" w:hAnsi="Arial" w:cs="Arial"/>
      <w:b/>
      <w:lang w:val="en-AU" w:eastAsia="en-AU" w:bidi="ar-SA"/>
    </w:rPr>
  </w:style>
  <w:style w:type="paragraph" w:customStyle="1" w:styleId="TableHeading10">
    <w:name w:val="Table Heading_10"/>
    <w:basedOn w:val="Normal167"/>
    <w:next w:val="Normal167"/>
    <w:link w:val="TableHeadingChar10"/>
    <w:uiPriority w:val="99"/>
    <w:rsid w:val="008C2FCF"/>
    <w:pPr>
      <w:keepNext/>
      <w:spacing w:before="120" w:after="20" w:line="240" w:lineRule="auto"/>
    </w:pPr>
    <w:rPr>
      <w:rFonts w:ascii="Arial" w:hAnsi="Arial" w:cs="Arial"/>
      <w:b/>
      <w:sz w:val="20"/>
      <w:szCs w:val="20"/>
    </w:rPr>
  </w:style>
  <w:style w:type="paragraph" w:customStyle="1" w:styleId="Normal167">
    <w:name w:val="Normal_167"/>
    <w:qFormat/>
    <w:rsid w:val="004E6F50"/>
    <w:pPr>
      <w:spacing w:after="200" w:line="276" w:lineRule="auto"/>
    </w:pPr>
    <w:rPr>
      <w:sz w:val="22"/>
      <w:szCs w:val="22"/>
      <w:lang w:eastAsia="en-US"/>
    </w:rPr>
  </w:style>
  <w:style w:type="character" w:customStyle="1" w:styleId="TableHeadingChar10">
    <w:name w:val="Table Heading Char_10"/>
    <w:basedOn w:val="DefaultParagraphFont"/>
    <w:link w:val="TableHeading10"/>
    <w:uiPriority w:val="99"/>
    <w:locked/>
    <w:rsid w:val="008C2FCF"/>
    <w:rPr>
      <w:rFonts w:ascii="Arial" w:hAnsi="Arial" w:cs="Arial"/>
      <w:b/>
      <w:sz w:val="20"/>
      <w:szCs w:val="20"/>
    </w:rPr>
  </w:style>
  <w:style w:type="paragraph" w:customStyle="1" w:styleId="Source3">
    <w:name w:val="Source_3"/>
    <w:basedOn w:val="Normal168"/>
    <w:rsid w:val="0050429D"/>
    <w:pPr>
      <w:tabs>
        <w:tab w:val="left" w:pos="284"/>
      </w:tabs>
      <w:spacing w:after="0" w:line="240" w:lineRule="auto"/>
    </w:pPr>
    <w:rPr>
      <w:rFonts w:ascii="Arial" w:hAnsi="Arial"/>
      <w:sz w:val="16"/>
    </w:rPr>
  </w:style>
  <w:style w:type="paragraph" w:customStyle="1" w:styleId="Normal168">
    <w:name w:val="Normal_168"/>
    <w:qFormat/>
    <w:rsid w:val="00861DF0"/>
    <w:pPr>
      <w:spacing w:after="240" w:line="260" w:lineRule="exact"/>
      <w:jc w:val="both"/>
    </w:pPr>
    <w:rPr>
      <w:rFonts w:ascii="Book Antiqua" w:hAnsi="Book Antiqua"/>
    </w:rPr>
  </w:style>
  <w:style w:type="paragraph" w:customStyle="1" w:styleId="TableHeading11">
    <w:name w:val="Table Heading_11"/>
    <w:basedOn w:val="Normal169"/>
    <w:next w:val="Normal169"/>
    <w:link w:val="TableHeadingChar11"/>
    <w:uiPriority w:val="99"/>
    <w:rsid w:val="008C2FCF"/>
    <w:pPr>
      <w:keepNext/>
      <w:spacing w:before="120" w:after="20" w:line="240" w:lineRule="auto"/>
    </w:pPr>
    <w:rPr>
      <w:rFonts w:ascii="Arial" w:hAnsi="Arial" w:cs="Arial"/>
      <w:b/>
      <w:sz w:val="20"/>
      <w:szCs w:val="20"/>
    </w:rPr>
  </w:style>
  <w:style w:type="paragraph" w:customStyle="1" w:styleId="Normal169">
    <w:name w:val="Normal_169"/>
    <w:qFormat/>
    <w:rsid w:val="004E6F50"/>
    <w:pPr>
      <w:spacing w:after="200" w:line="276" w:lineRule="auto"/>
    </w:pPr>
    <w:rPr>
      <w:sz w:val="22"/>
      <w:szCs w:val="22"/>
      <w:lang w:eastAsia="en-US"/>
    </w:rPr>
  </w:style>
  <w:style w:type="character" w:customStyle="1" w:styleId="TableHeadingChar11">
    <w:name w:val="Table Heading Char_11"/>
    <w:basedOn w:val="DefaultParagraphFont"/>
    <w:link w:val="TableHeading11"/>
    <w:uiPriority w:val="99"/>
    <w:locked/>
    <w:rsid w:val="008C2FCF"/>
    <w:rPr>
      <w:rFonts w:ascii="Arial" w:hAnsi="Arial" w:cs="Arial"/>
      <w:b/>
      <w:sz w:val="20"/>
      <w:szCs w:val="20"/>
    </w:rPr>
  </w:style>
  <w:style w:type="paragraph" w:customStyle="1" w:styleId="Source4">
    <w:name w:val="Source_4"/>
    <w:basedOn w:val="Normal170"/>
    <w:rsid w:val="0050429D"/>
    <w:pPr>
      <w:tabs>
        <w:tab w:val="left" w:pos="284"/>
      </w:tabs>
      <w:spacing w:after="0" w:line="240" w:lineRule="auto"/>
    </w:pPr>
    <w:rPr>
      <w:rFonts w:ascii="Arial" w:hAnsi="Arial"/>
      <w:sz w:val="16"/>
    </w:rPr>
  </w:style>
  <w:style w:type="paragraph" w:customStyle="1" w:styleId="Normal170">
    <w:name w:val="Normal_170"/>
    <w:qFormat/>
    <w:rsid w:val="00861DF0"/>
    <w:pPr>
      <w:spacing w:after="240" w:line="260" w:lineRule="exact"/>
      <w:jc w:val="both"/>
    </w:pPr>
    <w:rPr>
      <w:rFonts w:ascii="Book Antiqua" w:hAnsi="Book Antiqua"/>
    </w:rPr>
  </w:style>
  <w:style w:type="paragraph" w:customStyle="1" w:styleId="TableHeading12">
    <w:name w:val="Table Heading_12"/>
    <w:basedOn w:val="Normal171"/>
    <w:next w:val="Normal171"/>
    <w:link w:val="TableHeadingChar12"/>
    <w:uiPriority w:val="99"/>
    <w:rsid w:val="008C2FCF"/>
    <w:pPr>
      <w:keepNext/>
      <w:spacing w:before="120" w:after="20" w:line="240" w:lineRule="auto"/>
    </w:pPr>
    <w:rPr>
      <w:rFonts w:ascii="Arial" w:hAnsi="Arial" w:cs="Arial"/>
      <w:b/>
      <w:sz w:val="20"/>
      <w:szCs w:val="20"/>
    </w:rPr>
  </w:style>
  <w:style w:type="paragraph" w:customStyle="1" w:styleId="Normal171">
    <w:name w:val="Normal_171"/>
    <w:qFormat/>
    <w:rsid w:val="004E6F50"/>
    <w:pPr>
      <w:spacing w:after="200" w:line="276" w:lineRule="auto"/>
    </w:pPr>
    <w:rPr>
      <w:sz w:val="22"/>
      <w:szCs w:val="22"/>
      <w:lang w:eastAsia="en-US"/>
    </w:rPr>
  </w:style>
  <w:style w:type="character" w:customStyle="1" w:styleId="TableHeadingChar12">
    <w:name w:val="Table Heading Char_12"/>
    <w:basedOn w:val="DefaultParagraphFont"/>
    <w:link w:val="TableHeading12"/>
    <w:uiPriority w:val="99"/>
    <w:locked/>
    <w:rsid w:val="008C2FCF"/>
    <w:rPr>
      <w:rFonts w:ascii="Arial" w:hAnsi="Arial" w:cs="Arial"/>
      <w:b/>
      <w:sz w:val="20"/>
      <w:szCs w:val="20"/>
    </w:rPr>
  </w:style>
  <w:style w:type="paragraph" w:customStyle="1" w:styleId="Source5">
    <w:name w:val="Source_5"/>
    <w:basedOn w:val="Normal172"/>
    <w:rsid w:val="0050429D"/>
    <w:pPr>
      <w:tabs>
        <w:tab w:val="left" w:pos="284"/>
      </w:tabs>
      <w:spacing w:after="0" w:line="240" w:lineRule="auto"/>
    </w:pPr>
    <w:rPr>
      <w:rFonts w:ascii="Arial" w:hAnsi="Arial"/>
      <w:sz w:val="16"/>
    </w:rPr>
  </w:style>
  <w:style w:type="paragraph" w:customStyle="1" w:styleId="Normal172">
    <w:name w:val="Normal_172"/>
    <w:qFormat/>
    <w:rsid w:val="00861DF0"/>
    <w:pPr>
      <w:spacing w:after="240" w:line="260" w:lineRule="exact"/>
      <w:jc w:val="both"/>
    </w:pPr>
    <w:rPr>
      <w:rFonts w:ascii="Book Antiqua" w:hAnsi="Book Antiqua"/>
    </w:rPr>
  </w:style>
  <w:style w:type="paragraph" w:customStyle="1" w:styleId="TableHeading13">
    <w:name w:val="Table Heading_13"/>
    <w:basedOn w:val="Normal173"/>
    <w:next w:val="Normal173"/>
    <w:link w:val="TableHeadingChar13"/>
    <w:uiPriority w:val="99"/>
    <w:rsid w:val="008C2FCF"/>
    <w:pPr>
      <w:keepNext/>
      <w:spacing w:before="120" w:after="20" w:line="240" w:lineRule="auto"/>
    </w:pPr>
    <w:rPr>
      <w:rFonts w:ascii="Arial" w:hAnsi="Arial" w:cs="Arial"/>
      <w:b/>
      <w:sz w:val="20"/>
      <w:szCs w:val="20"/>
    </w:rPr>
  </w:style>
  <w:style w:type="paragraph" w:customStyle="1" w:styleId="Normal173">
    <w:name w:val="Normal_173"/>
    <w:qFormat/>
    <w:rsid w:val="004E6F50"/>
    <w:pPr>
      <w:spacing w:after="200" w:line="276" w:lineRule="auto"/>
    </w:pPr>
    <w:rPr>
      <w:sz w:val="22"/>
      <w:szCs w:val="22"/>
      <w:lang w:eastAsia="en-US"/>
    </w:rPr>
  </w:style>
  <w:style w:type="character" w:customStyle="1" w:styleId="TableHeadingChar13">
    <w:name w:val="Table Heading Char_13"/>
    <w:basedOn w:val="DefaultParagraphFont"/>
    <w:link w:val="TableHeading13"/>
    <w:uiPriority w:val="99"/>
    <w:locked/>
    <w:rsid w:val="008C2FCF"/>
    <w:rPr>
      <w:rFonts w:ascii="Arial" w:hAnsi="Arial" w:cs="Arial"/>
      <w:b/>
      <w:sz w:val="20"/>
      <w:szCs w:val="20"/>
    </w:rPr>
  </w:style>
  <w:style w:type="paragraph" w:customStyle="1" w:styleId="Source6">
    <w:name w:val="Source_6"/>
    <w:basedOn w:val="Normal174"/>
    <w:rsid w:val="0050429D"/>
    <w:pPr>
      <w:tabs>
        <w:tab w:val="left" w:pos="284"/>
      </w:tabs>
      <w:spacing w:after="0" w:line="240" w:lineRule="auto"/>
    </w:pPr>
    <w:rPr>
      <w:rFonts w:ascii="Arial" w:hAnsi="Arial"/>
      <w:sz w:val="16"/>
    </w:rPr>
  </w:style>
  <w:style w:type="paragraph" w:customStyle="1" w:styleId="Normal174">
    <w:name w:val="Normal_174"/>
    <w:qFormat/>
    <w:rsid w:val="00861DF0"/>
    <w:pPr>
      <w:spacing w:after="240" w:line="260" w:lineRule="exact"/>
      <w:jc w:val="both"/>
    </w:pPr>
    <w:rPr>
      <w:rFonts w:ascii="Book Antiqua" w:hAnsi="Book Antiqua"/>
    </w:rPr>
  </w:style>
  <w:style w:type="paragraph" w:customStyle="1" w:styleId="TableHeading14">
    <w:name w:val="Table Heading_14"/>
    <w:basedOn w:val="Normal174"/>
    <w:next w:val="Normal174"/>
    <w:link w:val="TableHeadingChar14"/>
    <w:rsid w:val="00861DF0"/>
    <w:pPr>
      <w:keepNext/>
      <w:spacing w:before="120" w:after="20" w:line="240" w:lineRule="auto"/>
      <w:jc w:val="left"/>
    </w:pPr>
    <w:rPr>
      <w:rFonts w:ascii="Arial" w:hAnsi="Arial" w:cs="Arial"/>
      <w:b/>
    </w:rPr>
  </w:style>
  <w:style w:type="character" w:customStyle="1" w:styleId="TableHeadingChar14">
    <w:name w:val="Table Heading Char_14"/>
    <w:basedOn w:val="DefaultParagraphFont"/>
    <w:link w:val="TableHeading14"/>
    <w:locked/>
    <w:rsid w:val="00861DF0"/>
    <w:rPr>
      <w:rFonts w:ascii="Arial" w:hAnsi="Arial" w:cs="Arial"/>
      <w:b/>
      <w:lang w:val="en-AU" w:eastAsia="en-AU" w:bidi="ar-SA"/>
    </w:rPr>
  </w:style>
  <w:style w:type="paragraph" w:customStyle="1" w:styleId="TableHeading15">
    <w:name w:val="Table Heading_15"/>
    <w:basedOn w:val="Normal175"/>
    <w:next w:val="Normal175"/>
    <w:link w:val="TableHeadingChar15"/>
    <w:uiPriority w:val="99"/>
    <w:rsid w:val="008C2FCF"/>
    <w:pPr>
      <w:keepNext/>
      <w:spacing w:before="120" w:after="20" w:line="240" w:lineRule="auto"/>
    </w:pPr>
    <w:rPr>
      <w:rFonts w:ascii="Arial" w:hAnsi="Arial" w:cs="Arial"/>
      <w:b/>
      <w:sz w:val="20"/>
      <w:szCs w:val="20"/>
    </w:rPr>
  </w:style>
  <w:style w:type="paragraph" w:customStyle="1" w:styleId="Normal175">
    <w:name w:val="Normal_175"/>
    <w:qFormat/>
    <w:rsid w:val="004E6F50"/>
    <w:pPr>
      <w:spacing w:after="200" w:line="276" w:lineRule="auto"/>
    </w:pPr>
    <w:rPr>
      <w:sz w:val="22"/>
      <w:szCs w:val="22"/>
      <w:lang w:eastAsia="en-US"/>
    </w:rPr>
  </w:style>
  <w:style w:type="character" w:customStyle="1" w:styleId="TableHeadingChar15">
    <w:name w:val="Table Heading Char_15"/>
    <w:basedOn w:val="DefaultParagraphFont"/>
    <w:link w:val="TableHeading15"/>
    <w:uiPriority w:val="99"/>
    <w:locked/>
    <w:rsid w:val="008C2FCF"/>
    <w:rPr>
      <w:rFonts w:ascii="Arial" w:hAnsi="Arial" w:cs="Arial"/>
      <w:b/>
      <w:sz w:val="20"/>
      <w:szCs w:val="20"/>
    </w:rPr>
  </w:style>
  <w:style w:type="paragraph" w:customStyle="1" w:styleId="Source7">
    <w:name w:val="Source_7"/>
    <w:basedOn w:val="Normal176"/>
    <w:rsid w:val="0050429D"/>
    <w:pPr>
      <w:tabs>
        <w:tab w:val="left" w:pos="284"/>
      </w:tabs>
      <w:spacing w:after="0" w:line="240" w:lineRule="auto"/>
    </w:pPr>
    <w:rPr>
      <w:rFonts w:ascii="Arial" w:hAnsi="Arial"/>
      <w:sz w:val="16"/>
    </w:rPr>
  </w:style>
  <w:style w:type="paragraph" w:customStyle="1" w:styleId="Normal176">
    <w:name w:val="Normal_176"/>
    <w:qFormat/>
    <w:rsid w:val="00861DF0"/>
    <w:pPr>
      <w:spacing w:after="240" w:line="260" w:lineRule="exact"/>
      <w:jc w:val="both"/>
    </w:pPr>
    <w:rPr>
      <w:rFonts w:ascii="Book Antiqua" w:hAnsi="Book Antiqua"/>
    </w:rPr>
  </w:style>
  <w:style w:type="paragraph" w:customStyle="1" w:styleId="Normal177">
    <w:name w:val="Normal_177"/>
    <w:qFormat/>
    <w:rsid w:val="00F609F3"/>
    <w:rPr>
      <w:sz w:val="24"/>
      <w:szCs w:val="24"/>
    </w:rPr>
  </w:style>
  <w:style w:type="paragraph" w:customStyle="1" w:styleId="Source8">
    <w:name w:val="Source_8"/>
    <w:basedOn w:val="Normal178"/>
    <w:rsid w:val="0050429D"/>
    <w:pPr>
      <w:tabs>
        <w:tab w:val="left" w:pos="284"/>
      </w:tabs>
      <w:spacing w:after="0" w:line="240" w:lineRule="auto"/>
    </w:pPr>
    <w:rPr>
      <w:rFonts w:ascii="Arial" w:hAnsi="Arial"/>
      <w:sz w:val="16"/>
    </w:rPr>
  </w:style>
  <w:style w:type="paragraph" w:customStyle="1" w:styleId="Normal178">
    <w:name w:val="Normal_178"/>
    <w:qFormat/>
    <w:rsid w:val="00861DF0"/>
    <w:pPr>
      <w:spacing w:after="240" w:line="260" w:lineRule="exact"/>
      <w:jc w:val="both"/>
    </w:pPr>
    <w:rPr>
      <w:rFonts w:ascii="Book Antiqua" w:hAnsi="Book Antiqua"/>
    </w:rPr>
  </w:style>
  <w:style w:type="paragraph" w:customStyle="1" w:styleId="TableHeading16">
    <w:name w:val="Table Heading_16"/>
    <w:basedOn w:val="Normal179"/>
    <w:next w:val="Normal179"/>
    <w:link w:val="TableHeadingChar16"/>
    <w:rsid w:val="00EC1DA6"/>
    <w:pPr>
      <w:keepNext/>
      <w:spacing w:before="120" w:after="20"/>
    </w:pPr>
    <w:rPr>
      <w:rFonts w:ascii="Arial" w:hAnsi="Arial" w:cs="Arial"/>
      <w:b/>
      <w:sz w:val="20"/>
      <w:szCs w:val="20"/>
    </w:rPr>
  </w:style>
  <w:style w:type="paragraph" w:customStyle="1" w:styleId="Normal179">
    <w:name w:val="Normal_179"/>
    <w:qFormat/>
    <w:rsid w:val="00A460BF"/>
    <w:rPr>
      <w:sz w:val="24"/>
      <w:szCs w:val="24"/>
    </w:rPr>
  </w:style>
  <w:style w:type="character" w:customStyle="1" w:styleId="TableHeadingChar16">
    <w:name w:val="Table Heading Char_16"/>
    <w:basedOn w:val="DefaultParagraphFont"/>
    <w:link w:val="TableHeading16"/>
    <w:locked/>
    <w:rsid w:val="00EC1DA6"/>
    <w:rPr>
      <w:rFonts w:ascii="Arial" w:hAnsi="Arial" w:cs="Arial"/>
      <w:b/>
      <w:lang w:val="en-AU" w:eastAsia="en-AU" w:bidi="ar-SA"/>
    </w:rPr>
  </w:style>
  <w:style w:type="paragraph" w:customStyle="1" w:styleId="Source9">
    <w:name w:val="Source_9"/>
    <w:basedOn w:val="Normal180"/>
    <w:rsid w:val="0050429D"/>
    <w:pPr>
      <w:tabs>
        <w:tab w:val="left" w:pos="284"/>
      </w:tabs>
      <w:spacing w:after="0" w:line="240" w:lineRule="auto"/>
    </w:pPr>
    <w:rPr>
      <w:rFonts w:ascii="Arial" w:hAnsi="Arial"/>
      <w:sz w:val="16"/>
    </w:rPr>
  </w:style>
  <w:style w:type="paragraph" w:customStyle="1" w:styleId="Normal180">
    <w:name w:val="Normal_180"/>
    <w:qFormat/>
    <w:rsid w:val="00861DF0"/>
    <w:pPr>
      <w:spacing w:after="240" w:line="260" w:lineRule="exact"/>
      <w:jc w:val="both"/>
    </w:pPr>
    <w:rPr>
      <w:rFonts w:ascii="Book Antiqua" w:hAnsi="Book Antiqua"/>
    </w:rPr>
  </w:style>
  <w:style w:type="paragraph" w:customStyle="1" w:styleId="Normal181">
    <w:name w:val="Normal_181"/>
    <w:qFormat/>
    <w:rsid w:val="00417BA7"/>
    <w:rPr>
      <w:sz w:val="24"/>
      <w:szCs w:val="24"/>
    </w:rPr>
  </w:style>
  <w:style w:type="paragraph" w:customStyle="1" w:styleId="Source10">
    <w:name w:val="Source_10"/>
    <w:basedOn w:val="Normal182"/>
    <w:rsid w:val="0050429D"/>
    <w:pPr>
      <w:tabs>
        <w:tab w:val="left" w:pos="284"/>
      </w:tabs>
      <w:spacing w:after="0" w:line="240" w:lineRule="auto"/>
    </w:pPr>
    <w:rPr>
      <w:rFonts w:ascii="Arial" w:hAnsi="Arial"/>
      <w:sz w:val="16"/>
    </w:rPr>
  </w:style>
  <w:style w:type="paragraph" w:customStyle="1" w:styleId="Normal182">
    <w:name w:val="Normal_182"/>
    <w:qFormat/>
    <w:rsid w:val="00861DF0"/>
    <w:pPr>
      <w:spacing w:after="240" w:line="260" w:lineRule="exact"/>
      <w:jc w:val="both"/>
    </w:pPr>
    <w:rPr>
      <w:rFonts w:ascii="Book Antiqua" w:hAnsi="Book Antiqua"/>
    </w:rPr>
  </w:style>
  <w:style w:type="paragraph" w:customStyle="1" w:styleId="Normal183">
    <w:name w:val="Normal_183"/>
    <w:qFormat/>
    <w:rsid w:val="007251F5"/>
    <w:rPr>
      <w:sz w:val="24"/>
      <w:szCs w:val="24"/>
    </w:rPr>
  </w:style>
  <w:style w:type="paragraph" w:customStyle="1" w:styleId="Source11">
    <w:name w:val="Source_11"/>
    <w:basedOn w:val="Normal184"/>
    <w:rsid w:val="0050429D"/>
    <w:pPr>
      <w:tabs>
        <w:tab w:val="left" w:pos="284"/>
      </w:tabs>
      <w:spacing w:after="0" w:line="240" w:lineRule="auto"/>
    </w:pPr>
    <w:rPr>
      <w:rFonts w:ascii="Arial" w:hAnsi="Arial"/>
      <w:sz w:val="16"/>
    </w:rPr>
  </w:style>
  <w:style w:type="paragraph" w:customStyle="1" w:styleId="Normal184">
    <w:name w:val="Normal_184"/>
    <w:qFormat/>
    <w:rsid w:val="00861DF0"/>
    <w:pPr>
      <w:spacing w:after="240" w:line="260" w:lineRule="exact"/>
      <w:jc w:val="both"/>
    </w:pPr>
    <w:rPr>
      <w:rFonts w:ascii="Book Antiqua" w:hAnsi="Book Antiqua"/>
    </w:rPr>
  </w:style>
  <w:style w:type="paragraph" w:customStyle="1" w:styleId="TableHeading17">
    <w:name w:val="Table Heading_17"/>
    <w:basedOn w:val="Normal185"/>
    <w:next w:val="Normal185"/>
    <w:link w:val="TableHeadingChar17"/>
    <w:rsid w:val="00CE040D"/>
    <w:pPr>
      <w:keepNext/>
      <w:spacing w:before="120" w:after="20"/>
    </w:pPr>
    <w:rPr>
      <w:rFonts w:ascii="Arial" w:hAnsi="Arial" w:cs="Arial"/>
      <w:b/>
      <w:sz w:val="20"/>
      <w:szCs w:val="20"/>
    </w:rPr>
  </w:style>
  <w:style w:type="paragraph" w:customStyle="1" w:styleId="Normal185">
    <w:name w:val="Normal_185"/>
    <w:qFormat/>
    <w:rsid w:val="00294CE9"/>
    <w:rPr>
      <w:sz w:val="24"/>
      <w:szCs w:val="24"/>
    </w:rPr>
  </w:style>
  <w:style w:type="character" w:customStyle="1" w:styleId="TableHeadingChar17">
    <w:name w:val="Table Heading Char_17"/>
    <w:basedOn w:val="DefaultParagraphFont"/>
    <w:link w:val="TableHeading17"/>
    <w:locked/>
    <w:rsid w:val="00CE040D"/>
    <w:rPr>
      <w:rFonts w:ascii="Arial" w:hAnsi="Arial" w:cs="Arial"/>
      <w:b/>
      <w:lang w:val="en-AU" w:eastAsia="en-AU" w:bidi="ar-SA"/>
    </w:rPr>
  </w:style>
  <w:style w:type="paragraph" w:customStyle="1" w:styleId="Source12">
    <w:name w:val="Source_12"/>
    <w:basedOn w:val="Normal186"/>
    <w:rsid w:val="0050429D"/>
    <w:pPr>
      <w:tabs>
        <w:tab w:val="left" w:pos="284"/>
      </w:tabs>
      <w:spacing w:after="0" w:line="240" w:lineRule="auto"/>
    </w:pPr>
    <w:rPr>
      <w:rFonts w:ascii="Arial" w:hAnsi="Arial"/>
      <w:sz w:val="16"/>
    </w:rPr>
  </w:style>
  <w:style w:type="paragraph" w:customStyle="1" w:styleId="Normal186">
    <w:name w:val="Normal_186"/>
    <w:qFormat/>
    <w:rsid w:val="00861DF0"/>
    <w:pPr>
      <w:spacing w:after="240" w:line="260" w:lineRule="exact"/>
      <w:jc w:val="both"/>
    </w:pPr>
    <w:rPr>
      <w:rFonts w:ascii="Book Antiqua" w:hAnsi="Book Antiqua"/>
    </w:rPr>
  </w:style>
  <w:style w:type="paragraph" w:customStyle="1" w:styleId="Normal187">
    <w:name w:val="Normal_187"/>
    <w:qFormat/>
    <w:rsid w:val="00684B72"/>
    <w:rPr>
      <w:sz w:val="24"/>
      <w:szCs w:val="24"/>
    </w:rPr>
  </w:style>
  <w:style w:type="paragraph" w:customStyle="1" w:styleId="Source13">
    <w:name w:val="Source_13"/>
    <w:basedOn w:val="Normal188"/>
    <w:rsid w:val="0050429D"/>
    <w:pPr>
      <w:tabs>
        <w:tab w:val="left" w:pos="284"/>
      </w:tabs>
      <w:spacing w:after="0" w:line="240" w:lineRule="auto"/>
    </w:pPr>
    <w:rPr>
      <w:rFonts w:ascii="Arial" w:hAnsi="Arial"/>
      <w:sz w:val="16"/>
    </w:rPr>
  </w:style>
  <w:style w:type="paragraph" w:customStyle="1" w:styleId="Normal188">
    <w:name w:val="Normal_188"/>
    <w:qFormat/>
    <w:rsid w:val="00861DF0"/>
    <w:pPr>
      <w:spacing w:after="240" w:line="260" w:lineRule="exact"/>
      <w:jc w:val="both"/>
    </w:pPr>
    <w:rPr>
      <w:rFonts w:ascii="Book Antiqua" w:hAnsi="Book Antiqua"/>
    </w:rPr>
  </w:style>
  <w:style w:type="paragraph" w:customStyle="1" w:styleId="TableHeading18">
    <w:name w:val="Table Heading_18"/>
    <w:basedOn w:val="Normal189"/>
    <w:next w:val="Normal189"/>
    <w:link w:val="TableHeadingChar18"/>
    <w:uiPriority w:val="99"/>
    <w:rsid w:val="008C2FCF"/>
    <w:pPr>
      <w:keepNext/>
      <w:spacing w:before="120" w:after="20" w:line="240" w:lineRule="auto"/>
    </w:pPr>
    <w:rPr>
      <w:rFonts w:ascii="Arial" w:hAnsi="Arial" w:cs="Arial"/>
      <w:b/>
      <w:sz w:val="20"/>
      <w:szCs w:val="20"/>
    </w:rPr>
  </w:style>
  <w:style w:type="paragraph" w:customStyle="1" w:styleId="Normal189">
    <w:name w:val="Normal_189"/>
    <w:qFormat/>
    <w:rsid w:val="004E6F50"/>
    <w:pPr>
      <w:spacing w:after="200" w:line="276" w:lineRule="auto"/>
    </w:pPr>
    <w:rPr>
      <w:sz w:val="22"/>
      <w:szCs w:val="22"/>
      <w:lang w:eastAsia="en-US"/>
    </w:rPr>
  </w:style>
  <w:style w:type="character" w:customStyle="1" w:styleId="TableHeadingChar18">
    <w:name w:val="Table Heading Char_18"/>
    <w:basedOn w:val="DefaultParagraphFont"/>
    <w:link w:val="TableHeading18"/>
    <w:uiPriority w:val="99"/>
    <w:locked/>
    <w:rsid w:val="008C2FCF"/>
    <w:rPr>
      <w:rFonts w:ascii="Arial" w:hAnsi="Arial" w:cs="Arial"/>
      <w:b/>
      <w:sz w:val="20"/>
      <w:szCs w:val="20"/>
    </w:rPr>
  </w:style>
  <w:style w:type="paragraph" w:customStyle="1" w:styleId="Source14">
    <w:name w:val="Source_14"/>
    <w:basedOn w:val="Normal190"/>
    <w:rsid w:val="0050429D"/>
    <w:pPr>
      <w:tabs>
        <w:tab w:val="left" w:pos="284"/>
      </w:tabs>
      <w:spacing w:after="0" w:line="240" w:lineRule="auto"/>
    </w:pPr>
    <w:rPr>
      <w:rFonts w:ascii="Arial" w:hAnsi="Arial"/>
      <w:sz w:val="16"/>
    </w:rPr>
  </w:style>
  <w:style w:type="paragraph" w:customStyle="1" w:styleId="Normal190">
    <w:name w:val="Normal_190"/>
    <w:qFormat/>
    <w:rsid w:val="00861DF0"/>
    <w:pPr>
      <w:spacing w:after="240" w:line="260" w:lineRule="exact"/>
      <w:jc w:val="both"/>
    </w:pPr>
    <w:rPr>
      <w:rFonts w:ascii="Book Antiqua" w:hAnsi="Book Antiqua"/>
    </w:rPr>
  </w:style>
  <w:style w:type="paragraph" w:customStyle="1" w:styleId="TableHeading19">
    <w:name w:val="Table Heading_19"/>
    <w:basedOn w:val="Normal191"/>
    <w:next w:val="Normal191"/>
    <w:link w:val="TableHeadingChar19"/>
    <w:uiPriority w:val="99"/>
    <w:rsid w:val="008C2FCF"/>
    <w:pPr>
      <w:keepNext/>
      <w:spacing w:before="120" w:after="20" w:line="240" w:lineRule="auto"/>
    </w:pPr>
    <w:rPr>
      <w:rFonts w:ascii="Arial" w:hAnsi="Arial" w:cs="Arial"/>
      <w:b/>
      <w:sz w:val="20"/>
      <w:szCs w:val="20"/>
    </w:rPr>
  </w:style>
  <w:style w:type="paragraph" w:customStyle="1" w:styleId="Normal191">
    <w:name w:val="Normal_191"/>
    <w:qFormat/>
    <w:rsid w:val="004E6F50"/>
    <w:pPr>
      <w:spacing w:after="200" w:line="276" w:lineRule="auto"/>
    </w:pPr>
    <w:rPr>
      <w:sz w:val="22"/>
      <w:szCs w:val="22"/>
      <w:lang w:eastAsia="en-US"/>
    </w:rPr>
  </w:style>
  <w:style w:type="character" w:customStyle="1" w:styleId="TableHeadingChar19">
    <w:name w:val="Table Heading Char_19"/>
    <w:basedOn w:val="DefaultParagraphFont"/>
    <w:link w:val="TableHeading19"/>
    <w:uiPriority w:val="99"/>
    <w:locked/>
    <w:rsid w:val="008C2FCF"/>
    <w:rPr>
      <w:rFonts w:ascii="Arial" w:hAnsi="Arial" w:cs="Arial"/>
      <w:b/>
      <w:sz w:val="20"/>
      <w:szCs w:val="20"/>
    </w:rPr>
  </w:style>
  <w:style w:type="paragraph" w:customStyle="1" w:styleId="Source15">
    <w:name w:val="Source_15"/>
    <w:basedOn w:val="Normal192"/>
    <w:uiPriority w:val="99"/>
    <w:rsid w:val="0041135F"/>
    <w:pPr>
      <w:tabs>
        <w:tab w:val="left" w:pos="284"/>
      </w:tabs>
      <w:spacing w:after="0" w:line="240" w:lineRule="auto"/>
      <w:jc w:val="both"/>
    </w:pPr>
    <w:rPr>
      <w:rFonts w:ascii="Arial" w:hAnsi="Arial"/>
      <w:sz w:val="16"/>
      <w:szCs w:val="20"/>
      <w:lang w:eastAsia="en-AU"/>
    </w:rPr>
  </w:style>
  <w:style w:type="paragraph" w:customStyle="1" w:styleId="Normal192">
    <w:name w:val="Normal_192"/>
    <w:qFormat/>
    <w:rsid w:val="00BD2DB5"/>
    <w:pPr>
      <w:spacing w:after="200" w:line="276" w:lineRule="auto"/>
    </w:pPr>
    <w:rPr>
      <w:sz w:val="22"/>
      <w:szCs w:val="22"/>
      <w:lang w:eastAsia="en-US"/>
    </w:rPr>
  </w:style>
  <w:style w:type="paragraph" w:customStyle="1" w:styleId="ListParagraph19">
    <w:name w:val="List Paragraph_19"/>
    <w:basedOn w:val="Normal192"/>
    <w:qFormat/>
    <w:rsid w:val="00656C4B"/>
    <w:pPr>
      <w:ind w:left="720"/>
      <w:contextualSpacing/>
    </w:pPr>
  </w:style>
  <w:style w:type="paragraph" w:customStyle="1" w:styleId="TableHeading20">
    <w:name w:val="Table Heading_20"/>
    <w:basedOn w:val="Normal193"/>
    <w:next w:val="Normal193"/>
    <w:link w:val="TableHeadingChar20"/>
    <w:rsid w:val="00FF6299"/>
    <w:pPr>
      <w:keepNext/>
      <w:spacing w:before="120" w:after="20"/>
    </w:pPr>
    <w:rPr>
      <w:rFonts w:ascii="Arial" w:hAnsi="Arial" w:cs="Arial"/>
      <w:b/>
      <w:sz w:val="20"/>
      <w:szCs w:val="20"/>
    </w:rPr>
  </w:style>
  <w:style w:type="paragraph" w:customStyle="1" w:styleId="Normal193">
    <w:name w:val="Normal_193"/>
    <w:qFormat/>
    <w:rsid w:val="00BC0E47"/>
    <w:rPr>
      <w:sz w:val="24"/>
      <w:szCs w:val="24"/>
    </w:rPr>
  </w:style>
  <w:style w:type="character" w:customStyle="1" w:styleId="TableHeadingChar20">
    <w:name w:val="Table Heading Char_20"/>
    <w:basedOn w:val="DefaultParagraphFont"/>
    <w:link w:val="TableHeading20"/>
    <w:locked/>
    <w:rsid w:val="00FF6299"/>
    <w:rPr>
      <w:rFonts w:ascii="Arial" w:hAnsi="Arial" w:cs="Arial"/>
      <w:b/>
      <w:lang w:val="en-AU" w:eastAsia="en-AU" w:bidi="ar-SA"/>
    </w:rPr>
  </w:style>
  <w:style w:type="paragraph" w:customStyle="1" w:styleId="ListParagraph20">
    <w:name w:val="List Paragraph_20"/>
    <w:basedOn w:val="Normal194"/>
    <w:qFormat/>
    <w:rsid w:val="00656C4B"/>
    <w:pPr>
      <w:ind w:left="720"/>
      <w:contextualSpacing/>
    </w:pPr>
  </w:style>
  <w:style w:type="paragraph" w:customStyle="1" w:styleId="Normal194">
    <w:name w:val="Normal_194"/>
    <w:qFormat/>
    <w:rsid w:val="00BD2DB5"/>
    <w:pPr>
      <w:spacing w:after="200" w:line="276" w:lineRule="auto"/>
    </w:pPr>
    <w:rPr>
      <w:sz w:val="22"/>
      <w:szCs w:val="22"/>
      <w:lang w:eastAsia="en-US"/>
    </w:rPr>
  </w:style>
  <w:style w:type="paragraph" w:customStyle="1" w:styleId="TableHeading21">
    <w:name w:val="Table Heading_21"/>
    <w:basedOn w:val="Normal195"/>
    <w:next w:val="Normal195"/>
    <w:link w:val="TableHeadingChar21"/>
    <w:rsid w:val="00403E7B"/>
    <w:pPr>
      <w:keepNext/>
      <w:spacing w:before="120" w:after="20"/>
    </w:pPr>
    <w:rPr>
      <w:rFonts w:ascii="Arial" w:hAnsi="Arial" w:cs="Arial"/>
      <w:b/>
      <w:sz w:val="20"/>
      <w:szCs w:val="20"/>
    </w:rPr>
  </w:style>
  <w:style w:type="paragraph" w:customStyle="1" w:styleId="Normal195">
    <w:name w:val="Normal_195"/>
    <w:qFormat/>
    <w:rsid w:val="00E41D2E"/>
    <w:rPr>
      <w:sz w:val="24"/>
      <w:szCs w:val="24"/>
    </w:rPr>
  </w:style>
  <w:style w:type="character" w:customStyle="1" w:styleId="TableHeadingChar21">
    <w:name w:val="Table Heading Char_21"/>
    <w:basedOn w:val="DefaultParagraphFont"/>
    <w:link w:val="TableHeading21"/>
    <w:locked/>
    <w:rsid w:val="00403E7B"/>
    <w:rPr>
      <w:rFonts w:ascii="Arial" w:hAnsi="Arial" w:cs="Arial"/>
      <w:b/>
      <w:lang w:val="en-AU" w:eastAsia="en-AU" w:bidi="ar-SA"/>
    </w:rPr>
  </w:style>
  <w:style w:type="paragraph" w:customStyle="1" w:styleId="ListParagraph21">
    <w:name w:val="List Paragraph_21"/>
    <w:basedOn w:val="Normal196"/>
    <w:qFormat/>
    <w:rsid w:val="00141F34"/>
    <w:pPr>
      <w:spacing w:after="200" w:line="276" w:lineRule="auto"/>
      <w:ind w:left="720"/>
      <w:contextualSpacing/>
    </w:pPr>
    <w:rPr>
      <w:rFonts w:ascii="Calibri" w:eastAsia="Calibri" w:hAnsi="Calibri"/>
      <w:sz w:val="22"/>
      <w:szCs w:val="22"/>
      <w:lang w:eastAsia="en-US"/>
    </w:rPr>
  </w:style>
  <w:style w:type="paragraph" w:customStyle="1" w:styleId="Normal196">
    <w:name w:val="Normal_196"/>
    <w:qFormat/>
    <w:rsid w:val="00724034"/>
    <w:rPr>
      <w:sz w:val="24"/>
      <w:szCs w:val="24"/>
    </w:rPr>
  </w:style>
  <w:style w:type="paragraph" w:customStyle="1" w:styleId="TableHeading22">
    <w:name w:val="Table Heading_22"/>
    <w:basedOn w:val="Normal197"/>
    <w:next w:val="Normal197"/>
    <w:link w:val="TableHeadingChar22"/>
    <w:rsid w:val="00D11685"/>
    <w:pPr>
      <w:keepNext/>
      <w:spacing w:before="120" w:after="20"/>
    </w:pPr>
    <w:rPr>
      <w:rFonts w:ascii="Arial" w:hAnsi="Arial" w:cs="Arial"/>
      <w:b/>
      <w:sz w:val="20"/>
      <w:szCs w:val="20"/>
    </w:rPr>
  </w:style>
  <w:style w:type="paragraph" w:customStyle="1" w:styleId="Normal197">
    <w:name w:val="Normal_197"/>
    <w:qFormat/>
    <w:rsid w:val="005746BC"/>
    <w:rPr>
      <w:sz w:val="24"/>
      <w:szCs w:val="24"/>
    </w:rPr>
  </w:style>
  <w:style w:type="character" w:customStyle="1" w:styleId="TableHeadingChar22">
    <w:name w:val="Table Heading Char_22"/>
    <w:basedOn w:val="DefaultParagraphFont"/>
    <w:link w:val="TableHeading22"/>
    <w:locked/>
    <w:rsid w:val="00D11685"/>
    <w:rPr>
      <w:rFonts w:ascii="Arial" w:hAnsi="Arial" w:cs="Arial"/>
      <w:b/>
      <w:lang w:val="en-AU" w:eastAsia="en-AU" w:bidi="ar-SA"/>
    </w:rPr>
  </w:style>
  <w:style w:type="paragraph" w:customStyle="1" w:styleId="ListParagraph22">
    <w:name w:val="List Paragraph_22"/>
    <w:basedOn w:val="Normal198"/>
    <w:qFormat/>
    <w:rsid w:val="00141F34"/>
    <w:pPr>
      <w:spacing w:after="200" w:line="276" w:lineRule="auto"/>
      <w:ind w:left="720"/>
      <w:contextualSpacing/>
    </w:pPr>
    <w:rPr>
      <w:rFonts w:ascii="Calibri" w:eastAsia="Calibri" w:hAnsi="Calibri"/>
      <w:sz w:val="22"/>
      <w:szCs w:val="22"/>
      <w:lang w:eastAsia="en-US"/>
    </w:rPr>
  </w:style>
  <w:style w:type="paragraph" w:customStyle="1" w:styleId="Normal198">
    <w:name w:val="Normal_198"/>
    <w:qFormat/>
    <w:rsid w:val="00724034"/>
    <w:rPr>
      <w:sz w:val="24"/>
      <w:szCs w:val="24"/>
    </w:rPr>
  </w:style>
  <w:style w:type="paragraph" w:customStyle="1" w:styleId="Normal199">
    <w:name w:val="Normal_199"/>
    <w:qFormat/>
    <w:rsid w:val="002356D5"/>
    <w:rPr>
      <w:sz w:val="24"/>
      <w:szCs w:val="24"/>
    </w:rPr>
  </w:style>
  <w:style w:type="paragraph" w:customStyle="1" w:styleId="ListParagraph23">
    <w:name w:val="List Paragraph_23"/>
    <w:basedOn w:val="Normal200"/>
    <w:qFormat/>
    <w:rsid w:val="00141F34"/>
    <w:pPr>
      <w:spacing w:after="200" w:line="276" w:lineRule="auto"/>
      <w:ind w:left="720"/>
      <w:contextualSpacing/>
    </w:pPr>
    <w:rPr>
      <w:rFonts w:ascii="Calibri" w:eastAsia="Calibri" w:hAnsi="Calibri"/>
      <w:sz w:val="22"/>
      <w:szCs w:val="22"/>
      <w:lang w:eastAsia="en-US"/>
    </w:rPr>
  </w:style>
  <w:style w:type="paragraph" w:customStyle="1" w:styleId="Normal200">
    <w:name w:val="Normal_200"/>
    <w:qFormat/>
    <w:rsid w:val="00724034"/>
    <w:rPr>
      <w:sz w:val="24"/>
      <w:szCs w:val="24"/>
    </w:rPr>
  </w:style>
  <w:style w:type="paragraph" w:customStyle="1" w:styleId="TableHeading23">
    <w:name w:val="Table Heading_23"/>
    <w:basedOn w:val="Normal201"/>
    <w:next w:val="Normal201"/>
    <w:link w:val="TableHeadingChar23"/>
    <w:uiPriority w:val="99"/>
    <w:rsid w:val="008C2FCF"/>
    <w:pPr>
      <w:keepNext/>
      <w:spacing w:before="120" w:after="20" w:line="240" w:lineRule="auto"/>
    </w:pPr>
    <w:rPr>
      <w:rFonts w:ascii="Arial" w:hAnsi="Arial" w:cs="Arial"/>
      <w:b/>
      <w:sz w:val="20"/>
      <w:szCs w:val="20"/>
    </w:rPr>
  </w:style>
  <w:style w:type="paragraph" w:customStyle="1" w:styleId="Normal201">
    <w:name w:val="Normal_201"/>
    <w:qFormat/>
    <w:rsid w:val="004E6F50"/>
    <w:pPr>
      <w:spacing w:after="200" w:line="276" w:lineRule="auto"/>
    </w:pPr>
    <w:rPr>
      <w:sz w:val="22"/>
      <w:szCs w:val="22"/>
      <w:lang w:eastAsia="en-US"/>
    </w:rPr>
  </w:style>
  <w:style w:type="character" w:customStyle="1" w:styleId="TableHeadingChar23">
    <w:name w:val="Table Heading Char_23"/>
    <w:basedOn w:val="DefaultParagraphFont"/>
    <w:link w:val="TableHeading23"/>
    <w:uiPriority w:val="99"/>
    <w:locked/>
    <w:rsid w:val="008C2FCF"/>
    <w:rPr>
      <w:rFonts w:ascii="Arial" w:hAnsi="Arial" w:cs="Arial"/>
      <w:b/>
      <w:sz w:val="20"/>
      <w:szCs w:val="20"/>
    </w:rPr>
  </w:style>
  <w:style w:type="paragraph" w:customStyle="1" w:styleId="Normal202">
    <w:name w:val="Normal_202"/>
    <w:qFormat/>
    <w:rsid w:val="007D0544"/>
    <w:pPr>
      <w:spacing w:after="200" w:line="276" w:lineRule="auto"/>
    </w:pPr>
    <w:rPr>
      <w:sz w:val="22"/>
      <w:szCs w:val="22"/>
      <w:lang w:eastAsia="en-US"/>
    </w:rPr>
  </w:style>
  <w:style w:type="paragraph" w:customStyle="1" w:styleId="Normal203">
    <w:name w:val="Normal_203"/>
    <w:qFormat/>
    <w:rsid w:val="007D0544"/>
    <w:pPr>
      <w:spacing w:after="200" w:line="276" w:lineRule="auto"/>
    </w:pPr>
    <w:rPr>
      <w:sz w:val="22"/>
      <w:szCs w:val="22"/>
      <w:lang w:eastAsia="en-US"/>
    </w:rPr>
  </w:style>
  <w:style w:type="paragraph" w:customStyle="1" w:styleId="Normal204">
    <w:name w:val="Normal_204"/>
    <w:qFormat/>
    <w:rsid w:val="00EA7E31"/>
    <w:pPr>
      <w:spacing w:after="200" w:line="276" w:lineRule="auto"/>
    </w:pPr>
    <w:rPr>
      <w:sz w:val="22"/>
      <w:szCs w:val="22"/>
      <w:lang w:eastAsia="en-US"/>
    </w:rPr>
  </w:style>
  <w:style w:type="paragraph" w:customStyle="1" w:styleId="Normal205">
    <w:name w:val="Normal_205"/>
    <w:qFormat/>
    <w:rsid w:val="00EA7E31"/>
    <w:pPr>
      <w:spacing w:after="200" w:line="276" w:lineRule="auto"/>
    </w:pPr>
    <w:rPr>
      <w:sz w:val="22"/>
      <w:szCs w:val="22"/>
      <w:lang w:eastAsia="en-US"/>
    </w:rPr>
  </w:style>
  <w:style w:type="paragraph" w:customStyle="1" w:styleId="Normal206">
    <w:name w:val="Normal_206"/>
    <w:qFormat/>
    <w:rsid w:val="00724034"/>
    <w:rPr>
      <w:sz w:val="24"/>
      <w:szCs w:val="24"/>
    </w:rPr>
  </w:style>
  <w:style w:type="paragraph" w:customStyle="1" w:styleId="Normal207">
    <w:name w:val="Normal_207"/>
    <w:qFormat/>
    <w:rsid w:val="007D0544"/>
    <w:pPr>
      <w:spacing w:after="200" w:line="276" w:lineRule="auto"/>
    </w:pPr>
    <w:rPr>
      <w:sz w:val="22"/>
      <w:szCs w:val="22"/>
      <w:lang w:eastAsia="en-US"/>
    </w:rPr>
  </w:style>
  <w:style w:type="paragraph" w:customStyle="1" w:styleId="Normal208">
    <w:name w:val="Normal_208"/>
    <w:qFormat/>
    <w:rsid w:val="007D0544"/>
    <w:pPr>
      <w:spacing w:after="200" w:line="276" w:lineRule="auto"/>
    </w:pPr>
    <w:rPr>
      <w:sz w:val="22"/>
      <w:szCs w:val="22"/>
      <w:lang w:eastAsia="en-US"/>
    </w:rPr>
  </w:style>
  <w:style w:type="paragraph" w:customStyle="1" w:styleId="Normal209">
    <w:name w:val="Normal_209"/>
    <w:qFormat/>
    <w:rsid w:val="00EA7E31"/>
    <w:pPr>
      <w:spacing w:after="200" w:line="276" w:lineRule="auto"/>
    </w:pPr>
    <w:rPr>
      <w:sz w:val="22"/>
      <w:szCs w:val="22"/>
      <w:lang w:eastAsia="en-US"/>
    </w:rPr>
  </w:style>
  <w:style w:type="paragraph" w:customStyle="1" w:styleId="Normal210">
    <w:name w:val="Normal_210"/>
    <w:qFormat/>
    <w:rsid w:val="00EA7E31"/>
    <w:pPr>
      <w:spacing w:after="200" w:line="276" w:lineRule="auto"/>
    </w:pPr>
    <w:rPr>
      <w:sz w:val="22"/>
      <w:szCs w:val="22"/>
      <w:lang w:eastAsia="en-US"/>
    </w:rPr>
  </w:style>
  <w:style w:type="paragraph" w:customStyle="1" w:styleId="Department0">
    <w:name w:val="Department_0"/>
    <w:basedOn w:val="Normal211"/>
    <w:rsid w:val="00D57D1E"/>
    <w:pPr>
      <w:spacing w:after="0" w:line="240" w:lineRule="auto"/>
      <w:jc w:val="center"/>
    </w:pPr>
    <w:rPr>
      <w:b/>
      <w:sz w:val="52"/>
    </w:rPr>
  </w:style>
  <w:style w:type="paragraph" w:customStyle="1" w:styleId="Normal211">
    <w:name w:val="Normal_211"/>
    <w:qFormat/>
    <w:rsid w:val="00D57D1E"/>
    <w:pPr>
      <w:spacing w:after="240" w:line="260" w:lineRule="exact"/>
      <w:jc w:val="both"/>
    </w:pPr>
    <w:rPr>
      <w:rFonts w:ascii="Book Antiqua" w:hAnsi="Book Antiqua"/>
    </w:rPr>
  </w:style>
  <w:style w:type="paragraph" w:customStyle="1" w:styleId="DepartmentSubtitle0">
    <w:name w:val="Department Subtitle_0"/>
    <w:basedOn w:val="Department0"/>
    <w:rsid w:val="00D57D1E"/>
    <w:rPr>
      <w:sz w:val="44"/>
    </w:rPr>
  </w:style>
  <w:style w:type="paragraph" w:customStyle="1" w:styleId="Normal212">
    <w:name w:val="Normal_212"/>
    <w:qFormat/>
    <w:rsid w:val="00EA7E31"/>
    <w:pPr>
      <w:spacing w:after="200" w:line="276" w:lineRule="auto"/>
    </w:pPr>
    <w:rPr>
      <w:sz w:val="22"/>
      <w:szCs w:val="22"/>
      <w:lang w:eastAsia="en-US"/>
    </w:rPr>
  </w:style>
  <w:style w:type="paragraph" w:customStyle="1" w:styleId="Normal213">
    <w:name w:val="Normal_213"/>
    <w:qFormat/>
    <w:rsid w:val="00EA7E31"/>
    <w:pPr>
      <w:spacing w:after="200" w:line="276" w:lineRule="auto"/>
    </w:pPr>
    <w:rPr>
      <w:sz w:val="22"/>
      <w:szCs w:val="22"/>
      <w:lang w:eastAsia="en-US"/>
    </w:rPr>
  </w:style>
  <w:style w:type="paragraph" w:customStyle="1" w:styleId="Normal214">
    <w:name w:val="Normal_214"/>
    <w:qFormat/>
    <w:rsid w:val="00724034"/>
    <w:rPr>
      <w:sz w:val="24"/>
      <w:szCs w:val="24"/>
    </w:rPr>
  </w:style>
  <w:style w:type="paragraph" w:customStyle="1" w:styleId="Normal215">
    <w:name w:val="Normal_215"/>
    <w:qFormat/>
    <w:rsid w:val="00EA7E31"/>
    <w:pPr>
      <w:spacing w:after="200" w:line="276" w:lineRule="auto"/>
    </w:pPr>
    <w:rPr>
      <w:sz w:val="22"/>
      <w:szCs w:val="22"/>
      <w:lang w:eastAsia="en-US"/>
    </w:rPr>
  </w:style>
  <w:style w:type="paragraph" w:customStyle="1" w:styleId="Normal216">
    <w:name w:val="Normal_216"/>
    <w:qFormat/>
    <w:rsid w:val="00EA7E31"/>
    <w:pPr>
      <w:spacing w:after="200" w:line="276" w:lineRule="auto"/>
    </w:pPr>
    <w:rPr>
      <w:sz w:val="22"/>
      <w:szCs w:val="22"/>
      <w:lang w:eastAsia="en-US"/>
    </w:rPr>
  </w:style>
  <w:style w:type="paragraph" w:customStyle="1" w:styleId="ContentsHeading2">
    <w:name w:val="Contents Heading_2"/>
    <w:basedOn w:val="Normal217"/>
    <w:next w:val="Normal217"/>
    <w:rsid w:val="00C16723"/>
    <w:pPr>
      <w:keepNext/>
      <w:spacing w:after="360" w:line="240" w:lineRule="auto"/>
      <w:jc w:val="center"/>
    </w:pPr>
    <w:rPr>
      <w:rFonts w:ascii="Arial" w:hAnsi="Arial"/>
      <w:b/>
      <w:smallCaps/>
      <w:sz w:val="34"/>
    </w:rPr>
  </w:style>
  <w:style w:type="paragraph" w:customStyle="1" w:styleId="Normal217">
    <w:name w:val="Normal_217"/>
    <w:qFormat/>
    <w:rsid w:val="00C16723"/>
    <w:pPr>
      <w:spacing w:after="240" w:line="260" w:lineRule="exact"/>
      <w:jc w:val="both"/>
    </w:pPr>
    <w:rPr>
      <w:rFonts w:ascii="Book Antiqua" w:hAnsi="Book Antiqua"/>
    </w:rPr>
  </w:style>
  <w:style w:type="paragraph" w:styleId="TOC3">
    <w:name w:val="toc 3"/>
    <w:basedOn w:val="Normal217"/>
    <w:next w:val="Normal217"/>
    <w:rsid w:val="00C16723"/>
    <w:pPr>
      <w:keepNext/>
      <w:tabs>
        <w:tab w:val="right" w:leader="dot" w:pos="7700"/>
      </w:tabs>
      <w:spacing w:before="120" w:after="0" w:line="240" w:lineRule="auto"/>
      <w:ind w:right="851"/>
      <w:jc w:val="left"/>
    </w:pPr>
    <w:rPr>
      <w:rFonts w:ascii="Arial" w:hAnsi="Arial"/>
      <w:b/>
    </w:rPr>
  </w:style>
  <w:style w:type="paragraph" w:styleId="TOC4">
    <w:name w:val="toc 4"/>
    <w:basedOn w:val="Normal217"/>
    <w:next w:val="Normal217"/>
    <w:rsid w:val="00C16723"/>
    <w:pPr>
      <w:keepNext/>
      <w:tabs>
        <w:tab w:val="right" w:leader="dot" w:pos="7700"/>
      </w:tabs>
      <w:spacing w:before="40" w:after="0" w:line="240" w:lineRule="auto"/>
      <w:ind w:right="851"/>
      <w:jc w:val="left"/>
    </w:pPr>
    <w:rPr>
      <w:rFonts w:ascii="Arial" w:hAnsi="Arial"/>
    </w:rPr>
  </w:style>
  <w:style w:type="paragraph" w:customStyle="1" w:styleId="Normal218">
    <w:name w:val="Normal_218"/>
    <w:qFormat/>
    <w:rsid w:val="00EA7E31"/>
    <w:pPr>
      <w:spacing w:after="200" w:line="276" w:lineRule="auto"/>
    </w:pPr>
    <w:rPr>
      <w:sz w:val="22"/>
      <w:szCs w:val="22"/>
      <w:lang w:eastAsia="en-US"/>
    </w:rPr>
  </w:style>
  <w:style w:type="paragraph" w:customStyle="1" w:styleId="Normal219">
    <w:name w:val="Normal_219"/>
    <w:qFormat/>
    <w:rsid w:val="00EA7E31"/>
    <w:pPr>
      <w:spacing w:after="200" w:line="276" w:lineRule="auto"/>
    </w:pPr>
    <w:rPr>
      <w:sz w:val="22"/>
      <w:szCs w:val="22"/>
      <w:lang w:eastAsia="en-US"/>
    </w:rPr>
  </w:style>
  <w:style w:type="paragraph" w:customStyle="1" w:styleId="Normal220">
    <w:name w:val="Normal_220"/>
    <w:qFormat/>
    <w:rsid w:val="00EA7E31"/>
    <w:pPr>
      <w:spacing w:after="200" w:line="276" w:lineRule="auto"/>
    </w:pPr>
    <w:rPr>
      <w:sz w:val="22"/>
      <w:szCs w:val="22"/>
      <w:lang w:eastAsia="en-US"/>
    </w:rPr>
  </w:style>
  <w:style w:type="paragraph" w:customStyle="1" w:styleId="Normal221">
    <w:name w:val="Normal_221"/>
    <w:qFormat/>
    <w:rsid w:val="00EA7E31"/>
    <w:pPr>
      <w:spacing w:after="200" w:line="276" w:lineRule="auto"/>
    </w:pPr>
    <w:rPr>
      <w:sz w:val="22"/>
      <w:szCs w:val="22"/>
      <w:lang w:eastAsia="en-US"/>
    </w:rPr>
  </w:style>
  <w:style w:type="paragraph" w:customStyle="1" w:styleId="Heading12">
    <w:name w:val="Heading 1_2"/>
    <w:basedOn w:val="Normal222"/>
    <w:next w:val="Normal222"/>
    <w:link w:val="Heading1Char0"/>
    <w:qFormat/>
    <w:rsid w:val="0098193F"/>
    <w:pPr>
      <w:keepNext/>
      <w:spacing w:line="240" w:lineRule="auto"/>
      <w:jc w:val="center"/>
      <w:outlineLvl w:val="0"/>
    </w:pPr>
    <w:rPr>
      <w:rFonts w:ascii="Arial" w:hAnsi="Arial"/>
      <w:b/>
      <w:smallCaps/>
      <w:kern w:val="28"/>
      <w:sz w:val="34"/>
    </w:rPr>
  </w:style>
  <w:style w:type="paragraph" w:customStyle="1" w:styleId="Normal222">
    <w:name w:val="Normal_222"/>
    <w:qFormat/>
    <w:rsid w:val="0098193F"/>
    <w:pPr>
      <w:spacing w:after="240" w:line="260" w:lineRule="exact"/>
      <w:jc w:val="both"/>
    </w:pPr>
    <w:rPr>
      <w:rFonts w:ascii="Book Antiqua" w:hAnsi="Book Antiqua"/>
    </w:rPr>
  </w:style>
  <w:style w:type="character" w:customStyle="1" w:styleId="Heading1Char0">
    <w:name w:val="Heading 1 Char_0"/>
    <w:basedOn w:val="DefaultParagraphFont"/>
    <w:link w:val="Heading12"/>
    <w:locked/>
    <w:rsid w:val="0098193F"/>
    <w:rPr>
      <w:rFonts w:ascii="Arial" w:hAnsi="Arial"/>
      <w:b/>
      <w:smallCaps/>
      <w:kern w:val="28"/>
      <w:sz w:val="34"/>
      <w:lang w:val="en-AU" w:eastAsia="en-AU" w:bidi="ar-SA"/>
    </w:rPr>
  </w:style>
  <w:style w:type="paragraph" w:customStyle="1" w:styleId="Heading22">
    <w:name w:val="Heading 2_2"/>
    <w:basedOn w:val="Normal222"/>
    <w:next w:val="Normal222"/>
    <w:link w:val="Heading2Char2"/>
    <w:qFormat/>
    <w:rsid w:val="0098193F"/>
    <w:pPr>
      <w:keepNext/>
      <w:spacing w:before="360" w:after="360" w:line="240" w:lineRule="auto"/>
      <w:jc w:val="left"/>
      <w:outlineLvl w:val="1"/>
    </w:pPr>
    <w:rPr>
      <w:rFonts w:ascii="Arial" w:hAnsi="Arial"/>
      <w:sz w:val="30"/>
    </w:rPr>
  </w:style>
  <w:style w:type="character" w:customStyle="1" w:styleId="Heading2Char2">
    <w:name w:val="Heading 2 Char_2"/>
    <w:basedOn w:val="DefaultParagraphFont"/>
    <w:link w:val="Heading22"/>
    <w:semiHidden/>
    <w:locked/>
    <w:rsid w:val="0098193F"/>
    <w:rPr>
      <w:rFonts w:ascii="Arial" w:hAnsi="Arial"/>
      <w:sz w:val="30"/>
      <w:lang w:val="en-AU" w:eastAsia="en-AU" w:bidi="ar-SA"/>
    </w:rPr>
  </w:style>
  <w:style w:type="paragraph" w:customStyle="1" w:styleId="Heading310">
    <w:name w:val="Heading 3_10"/>
    <w:basedOn w:val="Normal2040"/>
    <w:next w:val="Normal2040"/>
    <w:link w:val="Heading3Char10"/>
    <w:qFormat/>
    <w:rsid w:val="00575DCE"/>
    <w:pPr>
      <w:keepNext/>
      <w:tabs>
        <w:tab w:val="left" w:pos="709"/>
      </w:tabs>
      <w:spacing w:before="240" w:line="240" w:lineRule="auto"/>
      <w:jc w:val="left"/>
      <w:outlineLvl w:val="2"/>
    </w:pPr>
    <w:rPr>
      <w:rFonts w:ascii="Arial" w:hAnsi="Arial"/>
      <w:b/>
      <w:smallCaps/>
      <w:sz w:val="26"/>
      <w:lang w:val="x-none" w:eastAsia="x-none"/>
    </w:rPr>
  </w:style>
  <w:style w:type="paragraph" w:customStyle="1" w:styleId="Normal2040">
    <w:name w:val="Normal_204_0"/>
    <w:qFormat/>
    <w:rsid w:val="00575DCE"/>
    <w:pPr>
      <w:spacing w:after="240" w:line="260" w:lineRule="exact"/>
      <w:jc w:val="both"/>
    </w:pPr>
    <w:rPr>
      <w:rFonts w:ascii="Book Antiqua" w:hAnsi="Book Antiqua"/>
    </w:rPr>
  </w:style>
  <w:style w:type="character" w:customStyle="1" w:styleId="Heading3Char10">
    <w:name w:val="Heading 3 Char_10"/>
    <w:link w:val="Heading310"/>
    <w:locked/>
    <w:rsid w:val="00575DCE"/>
    <w:rPr>
      <w:rFonts w:ascii="Arial" w:hAnsi="Arial" w:cs="Arial"/>
      <w:b/>
      <w:smallCaps/>
      <w:sz w:val="26"/>
    </w:rPr>
  </w:style>
  <w:style w:type="paragraph" w:customStyle="1" w:styleId="HeaderOdd3">
    <w:name w:val="Header Odd_3"/>
    <w:basedOn w:val="Normal223"/>
    <w:uiPriority w:val="99"/>
    <w:rsid w:val="00391CDD"/>
    <w:pPr>
      <w:spacing w:after="0" w:line="240" w:lineRule="auto"/>
      <w:jc w:val="right"/>
    </w:pPr>
    <w:rPr>
      <w:rFonts w:ascii="Book Antiqua" w:hAnsi="Book Antiqua"/>
      <w:i/>
      <w:sz w:val="20"/>
      <w:szCs w:val="20"/>
      <w:lang w:eastAsia="en-AU"/>
    </w:rPr>
  </w:style>
  <w:style w:type="paragraph" w:customStyle="1" w:styleId="Normal223">
    <w:name w:val="Normal_223"/>
    <w:qFormat/>
    <w:rsid w:val="007D0544"/>
    <w:pPr>
      <w:spacing w:after="200" w:line="276" w:lineRule="auto"/>
    </w:pPr>
    <w:rPr>
      <w:sz w:val="22"/>
      <w:szCs w:val="22"/>
      <w:lang w:eastAsia="en-US"/>
    </w:rPr>
  </w:style>
  <w:style w:type="paragraph" w:customStyle="1" w:styleId="HeaderOdd4">
    <w:name w:val="Header Odd_4"/>
    <w:basedOn w:val="Normal224"/>
    <w:uiPriority w:val="99"/>
    <w:rsid w:val="00EB7ECC"/>
    <w:pPr>
      <w:spacing w:after="0" w:line="240" w:lineRule="auto"/>
      <w:jc w:val="right"/>
    </w:pPr>
    <w:rPr>
      <w:rFonts w:ascii="Book Antiqua" w:hAnsi="Book Antiqua"/>
      <w:i/>
      <w:sz w:val="20"/>
      <w:szCs w:val="20"/>
      <w:lang w:eastAsia="en-AU"/>
    </w:rPr>
  </w:style>
  <w:style w:type="paragraph" w:customStyle="1" w:styleId="Normal224">
    <w:name w:val="Normal_224"/>
    <w:qFormat/>
    <w:rsid w:val="007D0544"/>
    <w:pPr>
      <w:spacing w:after="200" w:line="276" w:lineRule="auto"/>
    </w:pPr>
    <w:rPr>
      <w:sz w:val="22"/>
      <w:szCs w:val="22"/>
      <w:lang w:eastAsia="en-US"/>
    </w:rPr>
  </w:style>
  <w:style w:type="paragraph" w:customStyle="1" w:styleId="Normal225">
    <w:name w:val="Normal_225"/>
    <w:qFormat/>
    <w:rsid w:val="00EE57C8"/>
    <w:pPr>
      <w:spacing w:after="240" w:line="260" w:lineRule="exact"/>
      <w:jc w:val="both"/>
    </w:pPr>
    <w:rPr>
      <w:rFonts w:ascii="Book Antiqua" w:hAnsi="Book Antiqua"/>
    </w:rPr>
  </w:style>
  <w:style w:type="paragraph" w:styleId="CommentText">
    <w:name w:val="annotation text"/>
    <w:basedOn w:val="Normal225"/>
    <w:link w:val="CommentTextChar"/>
    <w:uiPriority w:val="99"/>
    <w:semiHidden/>
    <w:rsid w:val="00EE57C8"/>
  </w:style>
  <w:style w:type="character" w:customStyle="1" w:styleId="CommentTextChar">
    <w:name w:val="Comment Text Char"/>
    <w:basedOn w:val="DefaultParagraphFont"/>
    <w:link w:val="CommentText"/>
    <w:uiPriority w:val="99"/>
    <w:semiHidden/>
    <w:locked/>
    <w:rsid w:val="00EE57C8"/>
    <w:rPr>
      <w:rFonts w:ascii="Book Antiqua" w:hAnsi="Book Antiqua"/>
      <w:lang w:val="en-AU" w:eastAsia="en-AU" w:bidi="ar-SA"/>
    </w:rPr>
  </w:style>
  <w:style w:type="paragraph" w:customStyle="1" w:styleId="Heading39">
    <w:name w:val="Heading 3_9"/>
    <w:basedOn w:val="Normal226"/>
    <w:next w:val="Normal226"/>
    <w:link w:val="Heading3Char9"/>
    <w:qFormat/>
    <w:rsid w:val="00861DF0"/>
    <w:pPr>
      <w:keepNext/>
      <w:tabs>
        <w:tab w:val="left" w:pos="709"/>
      </w:tabs>
      <w:spacing w:before="240" w:line="240" w:lineRule="auto"/>
      <w:jc w:val="left"/>
      <w:outlineLvl w:val="2"/>
    </w:pPr>
    <w:rPr>
      <w:rFonts w:ascii="Arial" w:hAnsi="Arial"/>
      <w:b/>
      <w:smallCaps/>
      <w:sz w:val="26"/>
    </w:rPr>
  </w:style>
  <w:style w:type="paragraph" w:customStyle="1" w:styleId="Normal226">
    <w:name w:val="Normal_226"/>
    <w:qFormat/>
    <w:rsid w:val="00861DF0"/>
    <w:pPr>
      <w:spacing w:after="240" w:line="260" w:lineRule="exact"/>
      <w:jc w:val="both"/>
    </w:pPr>
    <w:rPr>
      <w:rFonts w:ascii="Book Antiqua" w:hAnsi="Book Antiqua"/>
    </w:rPr>
  </w:style>
  <w:style w:type="character" w:customStyle="1" w:styleId="Heading3Char9">
    <w:name w:val="Heading 3 Char_9"/>
    <w:basedOn w:val="DefaultParagraphFont"/>
    <w:link w:val="Heading39"/>
    <w:locked/>
    <w:rsid w:val="00861DF0"/>
    <w:rPr>
      <w:rFonts w:ascii="Arial" w:hAnsi="Arial"/>
      <w:b/>
      <w:smallCaps/>
      <w:sz w:val="26"/>
      <w:lang w:val="en-AU" w:eastAsia="en-AU" w:bidi="ar-SA"/>
    </w:rPr>
  </w:style>
  <w:style w:type="paragraph" w:customStyle="1" w:styleId="TableHeading24">
    <w:name w:val="Table Heading_24"/>
    <w:basedOn w:val="Normal226"/>
    <w:next w:val="Normal226"/>
    <w:link w:val="TableHeadingChar24"/>
    <w:rsid w:val="00861DF0"/>
    <w:pPr>
      <w:keepNext/>
      <w:spacing w:before="120" w:after="20" w:line="240" w:lineRule="auto"/>
      <w:jc w:val="left"/>
    </w:pPr>
    <w:rPr>
      <w:rFonts w:ascii="Arial" w:hAnsi="Arial" w:cs="Arial"/>
      <w:b/>
    </w:rPr>
  </w:style>
  <w:style w:type="character" w:customStyle="1" w:styleId="TableHeadingChar24">
    <w:name w:val="Table Heading Char_24"/>
    <w:basedOn w:val="DefaultParagraphFont"/>
    <w:link w:val="TableHeading24"/>
    <w:locked/>
    <w:rsid w:val="00861DF0"/>
    <w:rPr>
      <w:rFonts w:ascii="Arial" w:hAnsi="Arial" w:cs="Arial"/>
      <w:b/>
      <w:lang w:val="en-AU" w:eastAsia="en-AU" w:bidi="ar-SA"/>
    </w:rPr>
  </w:style>
  <w:style w:type="paragraph" w:customStyle="1" w:styleId="TableGraphic1">
    <w:name w:val="Table Graphic_1"/>
    <w:basedOn w:val="Normal227"/>
    <w:next w:val="Normal227"/>
    <w:rsid w:val="0049622E"/>
    <w:pPr>
      <w:ind w:right="-113"/>
      <w:jc w:val="both"/>
    </w:pPr>
    <w:rPr>
      <w:rFonts w:ascii="Book Antiqua" w:hAnsi="Book Antiqua"/>
      <w:sz w:val="20"/>
      <w:szCs w:val="20"/>
    </w:rPr>
  </w:style>
  <w:style w:type="paragraph" w:customStyle="1" w:styleId="Normal227">
    <w:name w:val="Normal_227"/>
    <w:qFormat/>
    <w:rsid w:val="00A91DFD"/>
    <w:rPr>
      <w:sz w:val="24"/>
      <w:szCs w:val="24"/>
    </w:rPr>
  </w:style>
  <w:style w:type="paragraph" w:customStyle="1" w:styleId="ChartandTableFootnote5">
    <w:name w:val="Chart and Table Footnote_5"/>
    <w:basedOn w:val="Normal227"/>
    <w:next w:val="Normal227"/>
    <w:link w:val="ChartandTableFootnoteChar5"/>
    <w:rsid w:val="0049622E"/>
    <w:pPr>
      <w:keepNext/>
      <w:tabs>
        <w:tab w:val="left" w:pos="284"/>
      </w:tabs>
      <w:ind w:left="284" w:hanging="284"/>
      <w:jc w:val="both"/>
    </w:pPr>
    <w:rPr>
      <w:rFonts w:ascii="Arial" w:hAnsi="Arial" w:cs="Arial"/>
      <w:sz w:val="16"/>
      <w:szCs w:val="20"/>
    </w:rPr>
  </w:style>
  <w:style w:type="character" w:customStyle="1" w:styleId="ChartandTableFootnoteChar5">
    <w:name w:val="Chart and Table Footnote Char_5"/>
    <w:basedOn w:val="DefaultParagraphFont"/>
    <w:link w:val="ChartandTableFootnote5"/>
    <w:locked/>
    <w:rsid w:val="0049622E"/>
    <w:rPr>
      <w:rFonts w:ascii="Arial" w:hAnsi="Arial" w:cs="Arial"/>
      <w:sz w:val="16"/>
      <w:lang w:val="en-AU" w:eastAsia="en-AU" w:bidi="ar-SA"/>
    </w:rPr>
  </w:style>
  <w:style w:type="paragraph" w:customStyle="1" w:styleId="Heading311">
    <w:name w:val="Heading 3_11"/>
    <w:basedOn w:val="Normal228"/>
    <w:next w:val="Normal228"/>
    <w:link w:val="Heading3Char11"/>
    <w:qFormat/>
    <w:rsid w:val="00861DF0"/>
    <w:pPr>
      <w:keepNext/>
      <w:tabs>
        <w:tab w:val="left" w:pos="709"/>
      </w:tabs>
      <w:spacing w:before="240" w:line="240" w:lineRule="auto"/>
      <w:jc w:val="left"/>
      <w:outlineLvl w:val="2"/>
    </w:pPr>
    <w:rPr>
      <w:rFonts w:ascii="Arial" w:hAnsi="Arial"/>
      <w:b/>
      <w:smallCaps/>
      <w:sz w:val="26"/>
    </w:rPr>
  </w:style>
  <w:style w:type="paragraph" w:customStyle="1" w:styleId="Normal228">
    <w:name w:val="Normal_228"/>
    <w:qFormat/>
    <w:rsid w:val="00861DF0"/>
    <w:pPr>
      <w:spacing w:after="240" w:line="260" w:lineRule="exact"/>
      <w:jc w:val="both"/>
    </w:pPr>
    <w:rPr>
      <w:rFonts w:ascii="Book Antiqua" w:hAnsi="Book Antiqua"/>
    </w:rPr>
  </w:style>
  <w:style w:type="character" w:customStyle="1" w:styleId="Heading3Char11">
    <w:name w:val="Heading 3 Char_11"/>
    <w:basedOn w:val="DefaultParagraphFont"/>
    <w:link w:val="Heading311"/>
    <w:locked/>
    <w:rsid w:val="00861DF0"/>
    <w:rPr>
      <w:rFonts w:ascii="Arial" w:hAnsi="Arial"/>
      <w:b/>
      <w:smallCaps/>
      <w:sz w:val="26"/>
      <w:lang w:val="en-AU" w:eastAsia="en-AU" w:bidi="ar-SA"/>
    </w:rPr>
  </w:style>
  <w:style w:type="paragraph" w:customStyle="1" w:styleId="TableHeadingcontinued11">
    <w:name w:val="Table Heading continued_11"/>
    <w:basedOn w:val="Normal228"/>
    <w:next w:val="Normal228"/>
    <w:link w:val="TableHeadingcontinuedChar9"/>
    <w:uiPriority w:val="99"/>
    <w:rsid w:val="008A25D9"/>
    <w:pPr>
      <w:keepNext/>
      <w:spacing w:before="120" w:after="20" w:line="240" w:lineRule="auto"/>
      <w:jc w:val="left"/>
    </w:pPr>
    <w:rPr>
      <w:rFonts w:ascii="Arial Bold" w:hAnsi="Arial Bold"/>
      <w:b/>
    </w:rPr>
  </w:style>
  <w:style w:type="character" w:customStyle="1" w:styleId="TableHeadingcontinuedChar9">
    <w:name w:val="Table Heading continued Char_9"/>
    <w:basedOn w:val="DefaultParagraphFont"/>
    <w:link w:val="TableHeadingcontinued11"/>
    <w:uiPriority w:val="99"/>
    <w:locked/>
    <w:rsid w:val="008A25D9"/>
    <w:rPr>
      <w:rFonts w:ascii="Arial Bold" w:hAnsi="Arial Bold"/>
      <w:b/>
      <w:lang w:val="en-AU" w:eastAsia="en-AU" w:bidi="ar-SA"/>
    </w:rPr>
  </w:style>
  <w:style w:type="paragraph" w:customStyle="1" w:styleId="Heading312">
    <w:name w:val="Heading 3_12"/>
    <w:basedOn w:val="Normal229"/>
    <w:next w:val="Normal229"/>
    <w:link w:val="Heading3Char12"/>
    <w:uiPriority w:val="99"/>
    <w:qFormat/>
    <w:rsid w:val="00861DF0"/>
    <w:pPr>
      <w:keepNext/>
      <w:tabs>
        <w:tab w:val="left" w:pos="709"/>
      </w:tabs>
      <w:spacing w:before="240" w:line="240" w:lineRule="auto"/>
      <w:jc w:val="left"/>
      <w:outlineLvl w:val="2"/>
    </w:pPr>
    <w:rPr>
      <w:rFonts w:ascii="Arial" w:hAnsi="Arial"/>
      <w:b/>
      <w:smallCaps/>
      <w:sz w:val="26"/>
    </w:rPr>
  </w:style>
  <w:style w:type="paragraph" w:customStyle="1" w:styleId="Normal229">
    <w:name w:val="Normal_229"/>
    <w:qFormat/>
    <w:rsid w:val="00861DF0"/>
    <w:pPr>
      <w:spacing w:after="240" w:line="260" w:lineRule="exact"/>
      <w:jc w:val="both"/>
    </w:pPr>
    <w:rPr>
      <w:rFonts w:ascii="Book Antiqua" w:hAnsi="Book Antiqua"/>
    </w:rPr>
  </w:style>
  <w:style w:type="character" w:customStyle="1" w:styleId="Heading3Char12">
    <w:name w:val="Heading 3 Char1"/>
    <w:basedOn w:val="DefaultParagraphFont"/>
    <w:link w:val="Heading312"/>
    <w:locked/>
    <w:rsid w:val="00861DF0"/>
    <w:rPr>
      <w:rFonts w:ascii="Arial" w:hAnsi="Arial"/>
      <w:b/>
      <w:smallCaps/>
      <w:sz w:val="26"/>
      <w:lang w:val="en-AU" w:eastAsia="en-AU" w:bidi="ar-SA"/>
    </w:rPr>
  </w:style>
  <w:style w:type="paragraph" w:customStyle="1" w:styleId="Exampletext0">
    <w:name w:val="Example text_0"/>
    <w:basedOn w:val="Normal229"/>
    <w:link w:val="ExampletextCharChar0"/>
    <w:rsid w:val="00822D9B"/>
    <w:rPr>
      <w:i/>
      <w:color w:val="FF0000"/>
      <w:lang w:val="x-none" w:eastAsia="x-none"/>
    </w:rPr>
  </w:style>
  <w:style w:type="character" w:customStyle="1" w:styleId="ExampletextCharChar0">
    <w:name w:val="Example text Char Char_0"/>
    <w:link w:val="Exampletext0"/>
    <w:locked/>
    <w:rsid w:val="00822D9B"/>
    <w:rPr>
      <w:rFonts w:ascii="Book Antiqua" w:hAnsi="Book Antiqua"/>
      <w:i/>
      <w:color w:val="FF0000"/>
    </w:rPr>
  </w:style>
  <w:style w:type="paragraph" w:customStyle="1" w:styleId="TableColumnHeadingLeft7">
    <w:name w:val="Table Column Heading Left_7"/>
    <w:basedOn w:val="Normal229"/>
    <w:next w:val="Normal229"/>
    <w:rsid w:val="00EB1B57"/>
    <w:pPr>
      <w:spacing w:before="60" w:after="60" w:line="240" w:lineRule="auto"/>
      <w:jc w:val="left"/>
    </w:pPr>
    <w:rPr>
      <w:rFonts w:ascii="Arial" w:hAnsi="Arial"/>
      <w:b/>
    </w:rPr>
  </w:style>
  <w:style w:type="paragraph" w:styleId="NoSpacing">
    <w:name w:val="No Spacing"/>
    <w:uiPriority w:val="1"/>
    <w:qFormat/>
    <w:rsid w:val="00EB1B57"/>
    <w:pPr>
      <w:jc w:val="both"/>
    </w:pPr>
    <w:rPr>
      <w:rFonts w:ascii="Book Antiqua" w:hAnsi="Book Antiqua"/>
    </w:rPr>
  </w:style>
  <w:style w:type="paragraph" w:customStyle="1" w:styleId="Heading413">
    <w:name w:val="Heading 4_13"/>
    <w:basedOn w:val="Normal229"/>
    <w:next w:val="Normal229"/>
    <w:qFormat/>
    <w:rsid w:val="00EB1B57"/>
    <w:pPr>
      <w:keepNext/>
      <w:spacing w:before="240" w:after="60"/>
      <w:outlineLvl w:val="3"/>
    </w:pPr>
    <w:rPr>
      <w:rFonts w:ascii="Times New Roman" w:hAnsi="Times New Roman"/>
      <w:b/>
      <w:bCs/>
      <w:sz w:val="28"/>
      <w:szCs w:val="28"/>
    </w:rPr>
  </w:style>
  <w:style w:type="paragraph" w:customStyle="1" w:styleId="Exampletextbullet">
    <w:name w:val="Example text bullet"/>
    <w:basedOn w:val="Normal229"/>
    <w:rsid w:val="00EB1B57"/>
    <w:pPr>
      <w:numPr>
        <w:numId w:val="56"/>
      </w:numPr>
    </w:pPr>
    <w:rPr>
      <w:i/>
      <w:color w:val="FF0000"/>
    </w:rPr>
  </w:style>
  <w:style w:type="paragraph" w:customStyle="1" w:styleId="Exampletextdash">
    <w:name w:val="Example text dash"/>
    <w:basedOn w:val="Exampletextbullet"/>
    <w:rsid w:val="00EB1B57"/>
    <w:pPr>
      <w:numPr>
        <w:ilvl w:val="1"/>
      </w:numPr>
    </w:pPr>
  </w:style>
  <w:style w:type="paragraph" w:customStyle="1" w:styleId="Heading51">
    <w:name w:val="Heading 5_1"/>
    <w:basedOn w:val="Normal230"/>
    <w:next w:val="Normal230"/>
    <w:qFormat/>
    <w:rsid w:val="00850706"/>
    <w:pPr>
      <w:spacing w:before="240" w:after="60"/>
      <w:outlineLvl w:val="4"/>
    </w:pPr>
    <w:rPr>
      <w:b/>
      <w:bCs/>
      <w:i/>
      <w:iCs/>
      <w:sz w:val="26"/>
      <w:szCs w:val="26"/>
    </w:rPr>
  </w:style>
  <w:style w:type="paragraph" w:customStyle="1" w:styleId="Normal230">
    <w:name w:val="Normal_230"/>
    <w:qFormat/>
    <w:rsid w:val="00861DF0"/>
    <w:pPr>
      <w:spacing w:after="240" w:line="260" w:lineRule="exact"/>
      <w:jc w:val="both"/>
    </w:pPr>
    <w:rPr>
      <w:rFonts w:ascii="Book Antiqua" w:hAnsi="Book Antiqua"/>
    </w:rPr>
  </w:style>
  <w:style w:type="paragraph" w:customStyle="1" w:styleId="TableHeading25">
    <w:name w:val="Table Heading_25"/>
    <w:basedOn w:val="Normal230"/>
    <w:next w:val="Normal230"/>
    <w:link w:val="TableHeadingChar25"/>
    <w:rsid w:val="00861DF0"/>
    <w:pPr>
      <w:keepNext/>
      <w:spacing w:before="120" w:after="20" w:line="240" w:lineRule="auto"/>
      <w:jc w:val="left"/>
    </w:pPr>
    <w:rPr>
      <w:rFonts w:ascii="Arial" w:hAnsi="Arial" w:cs="Arial"/>
      <w:b/>
    </w:rPr>
  </w:style>
  <w:style w:type="character" w:customStyle="1" w:styleId="TableHeadingChar25">
    <w:name w:val="Table Heading Char_25"/>
    <w:basedOn w:val="DefaultParagraphFont"/>
    <w:link w:val="TableHeading25"/>
    <w:locked/>
    <w:rsid w:val="00861DF0"/>
    <w:rPr>
      <w:rFonts w:ascii="Arial" w:hAnsi="Arial" w:cs="Arial"/>
      <w:b/>
      <w:lang w:val="en-AU" w:eastAsia="en-AU" w:bidi="ar-SA"/>
    </w:rPr>
  </w:style>
  <w:style w:type="paragraph" w:customStyle="1" w:styleId="Source16">
    <w:name w:val="Source_16"/>
    <w:basedOn w:val="Normal231"/>
    <w:rsid w:val="0050429D"/>
    <w:pPr>
      <w:tabs>
        <w:tab w:val="left" w:pos="284"/>
      </w:tabs>
      <w:spacing w:after="0" w:line="240" w:lineRule="auto"/>
    </w:pPr>
    <w:rPr>
      <w:rFonts w:ascii="Arial" w:hAnsi="Arial"/>
      <w:sz w:val="16"/>
    </w:rPr>
  </w:style>
  <w:style w:type="paragraph" w:customStyle="1" w:styleId="Normal231">
    <w:name w:val="Normal_231"/>
    <w:qFormat/>
    <w:rsid w:val="00861DF0"/>
    <w:pPr>
      <w:spacing w:after="240" w:line="260" w:lineRule="exact"/>
      <w:jc w:val="both"/>
    </w:pPr>
    <w:rPr>
      <w:rFonts w:ascii="Book Antiqua" w:hAnsi="Book Antiqua"/>
    </w:rPr>
  </w:style>
  <w:style w:type="paragraph" w:customStyle="1" w:styleId="TableHeading26">
    <w:name w:val="Table Heading_26"/>
    <w:basedOn w:val="Normal232"/>
    <w:next w:val="Normal232"/>
    <w:link w:val="TableHeadingChar26"/>
    <w:rsid w:val="00861DF0"/>
    <w:pPr>
      <w:keepNext/>
      <w:spacing w:before="120" w:after="20" w:line="240" w:lineRule="auto"/>
      <w:jc w:val="left"/>
    </w:pPr>
    <w:rPr>
      <w:rFonts w:ascii="Arial" w:hAnsi="Arial" w:cs="Arial"/>
      <w:b/>
    </w:rPr>
  </w:style>
  <w:style w:type="paragraph" w:customStyle="1" w:styleId="Normal232">
    <w:name w:val="Normal_232"/>
    <w:qFormat/>
    <w:rsid w:val="00861DF0"/>
    <w:pPr>
      <w:spacing w:after="240" w:line="260" w:lineRule="exact"/>
      <w:jc w:val="both"/>
    </w:pPr>
    <w:rPr>
      <w:rFonts w:ascii="Book Antiqua" w:hAnsi="Book Antiqua"/>
    </w:rPr>
  </w:style>
  <w:style w:type="character" w:customStyle="1" w:styleId="TableHeadingChar26">
    <w:name w:val="Table Heading Char_26"/>
    <w:basedOn w:val="DefaultParagraphFont"/>
    <w:link w:val="TableHeading26"/>
    <w:locked/>
    <w:rsid w:val="00861DF0"/>
    <w:rPr>
      <w:rFonts w:ascii="Arial" w:hAnsi="Arial" w:cs="Arial"/>
      <w:b/>
      <w:lang w:val="en-AU" w:eastAsia="en-AU" w:bidi="ar-SA"/>
    </w:rPr>
  </w:style>
  <w:style w:type="paragraph" w:customStyle="1" w:styleId="TableColumnHeadingLeft8">
    <w:name w:val="Table Column Heading Left_8"/>
    <w:basedOn w:val="Normal232"/>
    <w:next w:val="Normal232"/>
    <w:rsid w:val="00EB1B57"/>
    <w:pPr>
      <w:spacing w:before="60" w:after="60" w:line="240" w:lineRule="auto"/>
      <w:jc w:val="left"/>
    </w:pPr>
    <w:rPr>
      <w:rFonts w:ascii="Arial" w:hAnsi="Arial"/>
      <w:b/>
    </w:rPr>
  </w:style>
  <w:style w:type="paragraph" w:customStyle="1" w:styleId="NoSpacing0">
    <w:name w:val="No Spacing_0"/>
    <w:uiPriority w:val="1"/>
    <w:qFormat/>
    <w:rsid w:val="00EB1B57"/>
    <w:pPr>
      <w:jc w:val="both"/>
    </w:pPr>
    <w:rPr>
      <w:rFonts w:ascii="Book Antiqua" w:hAnsi="Book Antiqua"/>
    </w:rPr>
  </w:style>
  <w:style w:type="paragraph" w:customStyle="1" w:styleId="TableTextLeft43">
    <w:name w:val="Table Text Left_43"/>
    <w:basedOn w:val="Normal232"/>
    <w:link w:val="TableTextLeftChar43"/>
    <w:rsid w:val="005555DD"/>
    <w:pPr>
      <w:spacing w:before="60" w:after="60" w:line="240" w:lineRule="auto"/>
      <w:jc w:val="left"/>
    </w:pPr>
    <w:rPr>
      <w:rFonts w:ascii="Arial" w:hAnsi="Arial" w:cs="Arial"/>
      <w:sz w:val="18"/>
    </w:rPr>
  </w:style>
  <w:style w:type="character" w:customStyle="1" w:styleId="TableTextLeftChar43">
    <w:name w:val="Table Text Left Char_43"/>
    <w:basedOn w:val="DefaultParagraphFont"/>
    <w:link w:val="TableTextLeft43"/>
    <w:locked/>
    <w:rsid w:val="005555DD"/>
    <w:rPr>
      <w:rFonts w:ascii="Arial" w:hAnsi="Arial" w:cs="Arial"/>
      <w:sz w:val="18"/>
      <w:lang w:val="en-AU" w:eastAsia="en-AU" w:bidi="ar-SA"/>
    </w:rPr>
  </w:style>
  <w:style w:type="paragraph" w:customStyle="1" w:styleId="SingleParagraph2">
    <w:name w:val="Single Paragraph_2"/>
    <w:basedOn w:val="Normal232"/>
    <w:rsid w:val="006C5A0B"/>
    <w:pPr>
      <w:spacing w:after="0"/>
    </w:pPr>
  </w:style>
  <w:style w:type="paragraph" w:customStyle="1" w:styleId="TableTextLeft44">
    <w:name w:val="Table Text Left_44"/>
    <w:basedOn w:val="Normal233"/>
    <w:link w:val="TableTextLeftChar44"/>
    <w:rsid w:val="005555DD"/>
    <w:pPr>
      <w:spacing w:before="60" w:after="60" w:line="240" w:lineRule="auto"/>
      <w:jc w:val="left"/>
    </w:pPr>
    <w:rPr>
      <w:rFonts w:ascii="Arial" w:hAnsi="Arial" w:cs="Arial"/>
      <w:sz w:val="18"/>
    </w:rPr>
  </w:style>
  <w:style w:type="paragraph" w:customStyle="1" w:styleId="Normal233">
    <w:name w:val="Normal_233"/>
    <w:qFormat/>
    <w:rsid w:val="00861DF0"/>
    <w:pPr>
      <w:spacing w:after="240" w:line="260" w:lineRule="exact"/>
      <w:jc w:val="both"/>
    </w:pPr>
    <w:rPr>
      <w:rFonts w:ascii="Book Antiqua" w:hAnsi="Book Antiqua"/>
    </w:rPr>
  </w:style>
  <w:style w:type="character" w:customStyle="1" w:styleId="TableTextLeftChar44">
    <w:name w:val="Table Text Left Char_44"/>
    <w:basedOn w:val="DefaultParagraphFont"/>
    <w:link w:val="TableTextLeft44"/>
    <w:locked/>
    <w:rsid w:val="005555DD"/>
    <w:rPr>
      <w:rFonts w:ascii="Arial" w:hAnsi="Arial" w:cs="Arial"/>
      <w:sz w:val="18"/>
      <w:lang w:val="en-AU" w:eastAsia="en-AU" w:bidi="ar-SA"/>
    </w:rPr>
  </w:style>
  <w:style w:type="paragraph" w:customStyle="1" w:styleId="Heading313">
    <w:name w:val="Heading 3_13"/>
    <w:basedOn w:val="Normal234"/>
    <w:next w:val="Normal234"/>
    <w:link w:val="Heading3Char100"/>
    <w:uiPriority w:val="99"/>
    <w:qFormat/>
    <w:rsid w:val="00861DF0"/>
    <w:pPr>
      <w:keepNext/>
      <w:tabs>
        <w:tab w:val="left" w:pos="709"/>
      </w:tabs>
      <w:spacing w:before="240" w:line="240" w:lineRule="auto"/>
      <w:jc w:val="left"/>
      <w:outlineLvl w:val="2"/>
    </w:pPr>
    <w:rPr>
      <w:rFonts w:ascii="Arial" w:hAnsi="Arial"/>
      <w:b/>
      <w:smallCaps/>
      <w:sz w:val="26"/>
    </w:rPr>
  </w:style>
  <w:style w:type="paragraph" w:customStyle="1" w:styleId="Normal234">
    <w:name w:val="Normal_234"/>
    <w:qFormat/>
    <w:rsid w:val="00861DF0"/>
    <w:pPr>
      <w:spacing w:after="240" w:line="260" w:lineRule="exact"/>
      <w:jc w:val="both"/>
    </w:pPr>
    <w:rPr>
      <w:rFonts w:ascii="Book Antiqua" w:hAnsi="Book Antiqua"/>
    </w:rPr>
  </w:style>
  <w:style w:type="character" w:customStyle="1" w:styleId="Heading3Char100">
    <w:name w:val="Heading 3 Char1_0"/>
    <w:basedOn w:val="DefaultParagraphFont"/>
    <w:link w:val="Heading313"/>
    <w:locked/>
    <w:rsid w:val="00861DF0"/>
    <w:rPr>
      <w:rFonts w:ascii="Arial" w:hAnsi="Arial"/>
      <w:b/>
      <w:smallCaps/>
      <w:sz w:val="26"/>
      <w:lang w:val="en-AU" w:eastAsia="en-AU" w:bidi="ar-SA"/>
    </w:rPr>
  </w:style>
  <w:style w:type="paragraph" w:customStyle="1" w:styleId="TableColumnHeadingLeft9">
    <w:name w:val="Table Column Heading Left_9"/>
    <w:basedOn w:val="Normal234"/>
    <w:next w:val="Normal234"/>
    <w:rsid w:val="00EB1B57"/>
    <w:pPr>
      <w:spacing w:before="60" w:after="60" w:line="240" w:lineRule="auto"/>
      <w:jc w:val="left"/>
    </w:pPr>
    <w:rPr>
      <w:rFonts w:ascii="Arial" w:hAnsi="Arial"/>
      <w:b/>
    </w:rPr>
  </w:style>
  <w:style w:type="paragraph" w:customStyle="1" w:styleId="TableTextLeft45">
    <w:name w:val="Table Text Left_45"/>
    <w:basedOn w:val="Normal234"/>
    <w:link w:val="TableTextLeftChar45"/>
    <w:rsid w:val="005555DD"/>
    <w:pPr>
      <w:spacing w:before="60" w:after="60" w:line="240" w:lineRule="auto"/>
      <w:jc w:val="left"/>
    </w:pPr>
    <w:rPr>
      <w:rFonts w:ascii="Arial" w:hAnsi="Arial" w:cs="Arial"/>
      <w:sz w:val="18"/>
    </w:rPr>
  </w:style>
  <w:style w:type="character" w:customStyle="1" w:styleId="TableTextLeftChar45">
    <w:name w:val="Table Text Left Char_45"/>
    <w:basedOn w:val="DefaultParagraphFont"/>
    <w:link w:val="TableTextLeft45"/>
    <w:locked/>
    <w:rsid w:val="005555DD"/>
    <w:rPr>
      <w:rFonts w:ascii="Arial" w:hAnsi="Arial" w:cs="Arial"/>
      <w:sz w:val="18"/>
      <w:lang w:val="en-AU" w:eastAsia="en-AU" w:bidi="ar-SA"/>
    </w:rPr>
  </w:style>
  <w:style w:type="paragraph" w:customStyle="1" w:styleId="TableTextBullet22">
    <w:name w:val="Table Text Bullet_22"/>
    <w:basedOn w:val="Normal234"/>
    <w:rsid w:val="004D1DFB"/>
    <w:pPr>
      <w:numPr>
        <w:numId w:val="57"/>
      </w:numPr>
      <w:spacing w:before="60" w:after="60" w:line="240" w:lineRule="auto"/>
      <w:jc w:val="left"/>
    </w:pPr>
    <w:rPr>
      <w:rFonts w:ascii="Arial" w:hAnsi="Arial"/>
      <w:sz w:val="18"/>
    </w:rPr>
  </w:style>
  <w:style w:type="paragraph" w:customStyle="1" w:styleId="TableTextDash22">
    <w:name w:val="Table Text Dash_22"/>
    <w:basedOn w:val="Normal234"/>
    <w:rsid w:val="004D1DFB"/>
    <w:pPr>
      <w:numPr>
        <w:ilvl w:val="1"/>
        <w:numId w:val="57"/>
      </w:numPr>
      <w:spacing w:before="60" w:after="60" w:line="240" w:lineRule="auto"/>
      <w:jc w:val="left"/>
    </w:pPr>
    <w:rPr>
      <w:rFonts w:ascii="Arial" w:hAnsi="Arial"/>
      <w:sz w:val="18"/>
    </w:rPr>
  </w:style>
  <w:style w:type="paragraph" w:customStyle="1" w:styleId="TableColumnHeadingLeft10">
    <w:name w:val="Table Column Heading Left_10"/>
    <w:basedOn w:val="Normal235"/>
    <w:next w:val="Normal235"/>
    <w:rsid w:val="00EB1B57"/>
    <w:pPr>
      <w:spacing w:before="60" w:after="60" w:line="240" w:lineRule="auto"/>
      <w:jc w:val="left"/>
    </w:pPr>
    <w:rPr>
      <w:rFonts w:ascii="Arial" w:hAnsi="Arial"/>
      <w:b/>
    </w:rPr>
  </w:style>
  <w:style w:type="paragraph" w:customStyle="1" w:styleId="Normal235">
    <w:name w:val="Normal_235"/>
    <w:qFormat/>
    <w:rsid w:val="00861DF0"/>
    <w:pPr>
      <w:spacing w:after="240" w:line="260" w:lineRule="exact"/>
      <w:jc w:val="both"/>
    </w:pPr>
    <w:rPr>
      <w:rFonts w:ascii="Book Antiqua" w:hAnsi="Book Antiqua"/>
    </w:rPr>
  </w:style>
  <w:style w:type="paragraph" w:customStyle="1" w:styleId="TableTextLeft46">
    <w:name w:val="Table Text Left_46"/>
    <w:basedOn w:val="Normal235"/>
    <w:link w:val="TableTextLeftChar46"/>
    <w:rsid w:val="005555DD"/>
    <w:pPr>
      <w:spacing w:before="60" w:after="60" w:line="240" w:lineRule="auto"/>
      <w:jc w:val="left"/>
    </w:pPr>
    <w:rPr>
      <w:rFonts w:ascii="Arial" w:hAnsi="Arial" w:cs="Arial"/>
      <w:sz w:val="18"/>
    </w:rPr>
  </w:style>
  <w:style w:type="character" w:customStyle="1" w:styleId="TableTextLeftChar46">
    <w:name w:val="Table Text Left Char_46"/>
    <w:basedOn w:val="DefaultParagraphFont"/>
    <w:link w:val="TableTextLeft46"/>
    <w:locked/>
    <w:rsid w:val="005555DD"/>
    <w:rPr>
      <w:rFonts w:ascii="Arial" w:hAnsi="Arial" w:cs="Arial"/>
      <w:sz w:val="18"/>
      <w:lang w:val="en-AU" w:eastAsia="en-AU" w:bidi="ar-SA"/>
    </w:rPr>
  </w:style>
  <w:style w:type="paragraph" w:customStyle="1" w:styleId="TableTextBullet23">
    <w:name w:val="Table Text Bullet_23"/>
    <w:basedOn w:val="Normal235"/>
    <w:rsid w:val="004D1DFB"/>
    <w:pPr>
      <w:numPr>
        <w:numId w:val="59"/>
      </w:numPr>
      <w:spacing w:before="60" w:after="60" w:line="240" w:lineRule="auto"/>
      <w:jc w:val="left"/>
    </w:pPr>
    <w:rPr>
      <w:rFonts w:ascii="Arial" w:hAnsi="Arial"/>
      <w:sz w:val="18"/>
    </w:rPr>
  </w:style>
  <w:style w:type="paragraph" w:customStyle="1" w:styleId="TableTextDash23">
    <w:name w:val="Table Text Dash_23"/>
    <w:basedOn w:val="Normal235"/>
    <w:rsid w:val="004D1DFB"/>
    <w:pPr>
      <w:numPr>
        <w:ilvl w:val="1"/>
        <w:numId w:val="59"/>
      </w:numPr>
      <w:spacing w:before="60" w:after="60" w:line="240" w:lineRule="auto"/>
      <w:jc w:val="left"/>
    </w:pPr>
    <w:rPr>
      <w:rFonts w:ascii="Arial" w:hAnsi="Arial"/>
      <w:sz w:val="18"/>
    </w:rPr>
  </w:style>
  <w:style w:type="paragraph" w:customStyle="1" w:styleId="SingleParagraph3">
    <w:name w:val="Single Paragraph_3"/>
    <w:basedOn w:val="Normal235"/>
    <w:rsid w:val="004D1DFB"/>
    <w:pPr>
      <w:spacing w:after="0"/>
    </w:pPr>
  </w:style>
  <w:style w:type="paragraph" w:customStyle="1" w:styleId="TableColumnHeadingLeft11">
    <w:name w:val="Table Column Heading Left_11"/>
    <w:basedOn w:val="Normal236"/>
    <w:next w:val="Normal236"/>
    <w:rsid w:val="00EB1B57"/>
    <w:pPr>
      <w:spacing w:before="60" w:after="60" w:line="240" w:lineRule="auto"/>
      <w:jc w:val="left"/>
    </w:pPr>
    <w:rPr>
      <w:rFonts w:ascii="Arial" w:hAnsi="Arial"/>
      <w:b/>
    </w:rPr>
  </w:style>
  <w:style w:type="paragraph" w:customStyle="1" w:styleId="Normal236">
    <w:name w:val="Normal_236"/>
    <w:qFormat/>
    <w:rsid w:val="00861DF0"/>
    <w:pPr>
      <w:spacing w:after="240" w:line="260" w:lineRule="exact"/>
      <w:jc w:val="both"/>
    </w:pPr>
    <w:rPr>
      <w:rFonts w:ascii="Book Antiqua" w:hAnsi="Book Antiqua"/>
    </w:rPr>
  </w:style>
  <w:style w:type="paragraph" w:customStyle="1" w:styleId="TableTextLeft47">
    <w:name w:val="Table Text Left_47"/>
    <w:basedOn w:val="Normal236"/>
    <w:link w:val="TableTextLeftChar47"/>
    <w:rsid w:val="005555DD"/>
    <w:pPr>
      <w:spacing w:before="60" w:after="60" w:line="240" w:lineRule="auto"/>
      <w:jc w:val="left"/>
    </w:pPr>
    <w:rPr>
      <w:rFonts w:ascii="Arial" w:hAnsi="Arial" w:cs="Arial"/>
      <w:sz w:val="18"/>
    </w:rPr>
  </w:style>
  <w:style w:type="character" w:customStyle="1" w:styleId="TableTextLeftChar47">
    <w:name w:val="Table Text Left Char_47"/>
    <w:basedOn w:val="DefaultParagraphFont"/>
    <w:link w:val="TableTextLeft47"/>
    <w:locked/>
    <w:rsid w:val="005555DD"/>
    <w:rPr>
      <w:rFonts w:ascii="Arial" w:hAnsi="Arial" w:cs="Arial"/>
      <w:sz w:val="18"/>
      <w:lang w:val="en-AU" w:eastAsia="en-AU" w:bidi="ar-SA"/>
    </w:rPr>
  </w:style>
  <w:style w:type="paragraph" w:customStyle="1" w:styleId="TableTextBullet24">
    <w:name w:val="Table Text Bullet_24"/>
    <w:basedOn w:val="Normal236"/>
    <w:rsid w:val="004D1DFB"/>
    <w:pPr>
      <w:numPr>
        <w:numId w:val="61"/>
      </w:numPr>
      <w:spacing w:before="60" w:after="60" w:line="240" w:lineRule="auto"/>
      <w:jc w:val="left"/>
    </w:pPr>
    <w:rPr>
      <w:rFonts w:ascii="Arial" w:hAnsi="Arial"/>
      <w:sz w:val="18"/>
    </w:rPr>
  </w:style>
  <w:style w:type="paragraph" w:customStyle="1" w:styleId="TableTextDash24">
    <w:name w:val="Table Text Dash_24"/>
    <w:basedOn w:val="Normal236"/>
    <w:rsid w:val="004D1DFB"/>
    <w:pPr>
      <w:numPr>
        <w:ilvl w:val="1"/>
        <w:numId w:val="61"/>
      </w:numPr>
      <w:spacing w:before="60" w:after="60" w:line="240" w:lineRule="auto"/>
      <w:jc w:val="left"/>
    </w:pPr>
    <w:rPr>
      <w:rFonts w:ascii="Arial" w:hAnsi="Arial"/>
      <w:sz w:val="18"/>
    </w:rPr>
  </w:style>
  <w:style w:type="paragraph" w:customStyle="1" w:styleId="TableColumnHeadingLeft12">
    <w:name w:val="Table Column Heading Left_12"/>
    <w:basedOn w:val="Normal237"/>
    <w:next w:val="Normal237"/>
    <w:rsid w:val="00EB1B57"/>
    <w:pPr>
      <w:spacing w:before="60" w:after="60" w:line="240" w:lineRule="auto"/>
      <w:jc w:val="left"/>
    </w:pPr>
    <w:rPr>
      <w:rFonts w:ascii="Arial" w:hAnsi="Arial"/>
      <w:b/>
    </w:rPr>
  </w:style>
  <w:style w:type="paragraph" w:customStyle="1" w:styleId="Normal237">
    <w:name w:val="Normal_237"/>
    <w:qFormat/>
    <w:rsid w:val="00861DF0"/>
    <w:pPr>
      <w:spacing w:after="240" w:line="260" w:lineRule="exact"/>
      <w:jc w:val="both"/>
    </w:pPr>
    <w:rPr>
      <w:rFonts w:ascii="Book Antiqua" w:hAnsi="Book Antiqua"/>
    </w:rPr>
  </w:style>
  <w:style w:type="paragraph" w:customStyle="1" w:styleId="TableTextLeft48">
    <w:name w:val="Table Text Left_48"/>
    <w:basedOn w:val="Normal237"/>
    <w:link w:val="TableTextLeftChar48"/>
    <w:rsid w:val="005555DD"/>
    <w:pPr>
      <w:spacing w:before="60" w:after="60" w:line="240" w:lineRule="auto"/>
      <w:jc w:val="left"/>
    </w:pPr>
    <w:rPr>
      <w:rFonts w:ascii="Arial" w:hAnsi="Arial" w:cs="Arial"/>
      <w:sz w:val="18"/>
    </w:rPr>
  </w:style>
  <w:style w:type="character" w:customStyle="1" w:styleId="TableTextLeftChar48">
    <w:name w:val="Table Text Left Char_48"/>
    <w:basedOn w:val="DefaultParagraphFont"/>
    <w:link w:val="TableTextLeft48"/>
    <w:locked/>
    <w:rsid w:val="005555DD"/>
    <w:rPr>
      <w:rFonts w:ascii="Arial" w:hAnsi="Arial" w:cs="Arial"/>
      <w:sz w:val="18"/>
      <w:lang w:val="en-AU" w:eastAsia="en-AU" w:bidi="ar-SA"/>
    </w:rPr>
  </w:style>
  <w:style w:type="paragraph" w:customStyle="1" w:styleId="TableTextBullet25">
    <w:name w:val="Table Text Bullet_25"/>
    <w:basedOn w:val="Normal237"/>
    <w:rsid w:val="004D1DFB"/>
    <w:pPr>
      <w:numPr>
        <w:numId w:val="64"/>
      </w:numPr>
      <w:spacing w:before="60" w:after="60" w:line="240" w:lineRule="auto"/>
      <w:jc w:val="left"/>
    </w:pPr>
    <w:rPr>
      <w:rFonts w:ascii="Arial" w:hAnsi="Arial"/>
      <w:sz w:val="18"/>
    </w:rPr>
  </w:style>
  <w:style w:type="paragraph" w:customStyle="1" w:styleId="TableTextDash25">
    <w:name w:val="Table Text Dash_25"/>
    <w:basedOn w:val="Normal237"/>
    <w:rsid w:val="004D1DFB"/>
    <w:pPr>
      <w:numPr>
        <w:ilvl w:val="1"/>
        <w:numId w:val="64"/>
      </w:numPr>
      <w:spacing w:before="60" w:after="60" w:line="240" w:lineRule="auto"/>
      <w:jc w:val="left"/>
    </w:pPr>
    <w:rPr>
      <w:rFonts w:ascii="Arial" w:hAnsi="Arial"/>
      <w:sz w:val="18"/>
    </w:rPr>
  </w:style>
  <w:style w:type="paragraph" w:customStyle="1" w:styleId="TableColumnHeadingLeft13">
    <w:name w:val="Table Column Heading Left_13"/>
    <w:basedOn w:val="Normal238"/>
    <w:next w:val="Normal238"/>
    <w:rsid w:val="00EB1B57"/>
    <w:pPr>
      <w:spacing w:before="60" w:after="60" w:line="240" w:lineRule="auto"/>
      <w:jc w:val="left"/>
    </w:pPr>
    <w:rPr>
      <w:rFonts w:ascii="Arial" w:hAnsi="Arial"/>
      <w:b/>
    </w:rPr>
  </w:style>
  <w:style w:type="paragraph" w:customStyle="1" w:styleId="Normal238">
    <w:name w:val="Normal_238"/>
    <w:qFormat/>
    <w:rsid w:val="00861DF0"/>
    <w:pPr>
      <w:spacing w:after="240" w:line="260" w:lineRule="exact"/>
      <w:jc w:val="both"/>
    </w:pPr>
    <w:rPr>
      <w:rFonts w:ascii="Book Antiqua" w:hAnsi="Book Antiqua"/>
    </w:rPr>
  </w:style>
  <w:style w:type="paragraph" w:customStyle="1" w:styleId="TableTextLeft49">
    <w:name w:val="Table Text Left_49"/>
    <w:basedOn w:val="Normal238"/>
    <w:link w:val="TableTextLeftChar49"/>
    <w:rsid w:val="005555DD"/>
    <w:pPr>
      <w:spacing w:before="60" w:after="60" w:line="240" w:lineRule="auto"/>
      <w:jc w:val="left"/>
    </w:pPr>
    <w:rPr>
      <w:rFonts w:ascii="Arial" w:hAnsi="Arial" w:cs="Arial"/>
      <w:sz w:val="18"/>
    </w:rPr>
  </w:style>
  <w:style w:type="character" w:customStyle="1" w:styleId="TableTextLeftChar49">
    <w:name w:val="Table Text Left Char_49"/>
    <w:basedOn w:val="DefaultParagraphFont"/>
    <w:link w:val="TableTextLeft49"/>
    <w:locked/>
    <w:rsid w:val="005555DD"/>
    <w:rPr>
      <w:rFonts w:ascii="Arial" w:hAnsi="Arial" w:cs="Arial"/>
      <w:sz w:val="18"/>
      <w:lang w:val="en-AU" w:eastAsia="en-AU" w:bidi="ar-SA"/>
    </w:rPr>
  </w:style>
  <w:style w:type="paragraph" w:customStyle="1" w:styleId="TableTextBullet26">
    <w:name w:val="Table Text Bullet_26"/>
    <w:basedOn w:val="Normal238"/>
    <w:rsid w:val="004D1DFB"/>
    <w:pPr>
      <w:numPr>
        <w:numId w:val="67"/>
      </w:numPr>
      <w:spacing w:before="60" w:after="60" w:line="240" w:lineRule="auto"/>
      <w:jc w:val="left"/>
    </w:pPr>
    <w:rPr>
      <w:rFonts w:ascii="Arial" w:hAnsi="Arial"/>
      <w:sz w:val="18"/>
    </w:rPr>
  </w:style>
  <w:style w:type="paragraph" w:customStyle="1" w:styleId="TableTextDash26">
    <w:name w:val="Table Text Dash_26"/>
    <w:basedOn w:val="Normal238"/>
    <w:rsid w:val="004D1DFB"/>
    <w:pPr>
      <w:numPr>
        <w:ilvl w:val="1"/>
        <w:numId w:val="67"/>
      </w:numPr>
      <w:spacing w:before="60" w:after="60" w:line="240" w:lineRule="auto"/>
      <w:jc w:val="left"/>
    </w:pPr>
    <w:rPr>
      <w:rFonts w:ascii="Arial" w:hAnsi="Arial"/>
      <w:sz w:val="18"/>
    </w:rPr>
  </w:style>
  <w:style w:type="paragraph" w:customStyle="1" w:styleId="TableColumnHeadingLeft14">
    <w:name w:val="Table Column Heading Left_14"/>
    <w:basedOn w:val="Normal239"/>
    <w:next w:val="Normal239"/>
    <w:rsid w:val="00EB1B57"/>
    <w:pPr>
      <w:spacing w:before="60" w:after="60" w:line="240" w:lineRule="auto"/>
      <w:jc w:val="left"/>
    </w:pPr>
    <w:rPr>
      <w:rFonts w:ascii="Arial" w:hAnsi="Arial"/>
      <w:b/>
    </w:rPr>
  </w:style>
  <w:style w:type="paragraph" w:customStyle="1" w:styleId="Normal239">
    <w:name w:val="Normal_239"/>
    <w:qFormat/>
    <w:rsid w:val="00861DF0"/>
    <w:pPr>
      <w:spacing w:after="240" w:line="260" w:lineRule="exact"/>
      <w:jc w:val="both"/>
    </w:pPr>
    <w:rPr>
      <w:rFonts w:ascii="Book Antiqua" w:hAnsi="Book Antiqua"/>
    </w:rPr>
  </w:style>
  <w:style w:type="paragraph" w:customStyle="1" w:styleId="TableTextLeft50">
    <w:name w:val="Table Text Left_50"/>
    <w:basedOn w:val="Normal239"/>
    <w:link w:val="TableTextLeftChar50"/>
    <w:rsid w:val="005555DD"/>
    <w:pPr>
      <w:spacing w:before="60" w:after="60" w:line="240" w:lineRule="auto"/>
      <w:jc w:val="left"/>
    </w:pPr>
    <w:rPr>
      <w:rFonts w:ascii="Arial" w:hAnsi="Arial" w:cs="Arial"/>
      <w:sz w:val="18"/>
    </w:rPr>
  </w:style>
  <w:style w:type="character" w:customStyle="1" w:styleId="TableTextLeftChar50">
    <w:name w:val="Table Text Left Char_50"/>
    <w:basedOn w:val="DefaultParagraphFont"/>
    <w:link w:val="TableTextLeft50"/>
    <w:locked/>
    <w:rsid w:val="005555DD"/>
    <w:rPr>
      <w:rFonts w:ascii="Arial" w:hAnsi="Arial" w:cs="Arial"/>
      <w:sz w:val="18"/>
      <w:lang w:val="en-AU" w:eastAsia="en-AU" w:bidi="ar-SA"/>
    </w:rPr>
  </w:style>
  <w:style w:type="paragraph" w:customStyle="1" w:styleId="TableTextBullet27">
    <w:name w:val="Table Text Bullet_27"/>
    <w:basedOn w:val="Normal239"/>
    <w:rsid w:val="004D1DFB"/>
    <w:pPr>
      <w:numPr>
        <w:numId w:val="69"/>
      </w:numPr>
      <w:spacing w:before="60" w:after="60" w:line="240" w:lineRule="auto"/>
      <w:jc w:val="left"/>
    </w:pPr>
    <w:rPr>
      <w:rFonts w:ascii="Arial" w:hAnsi="Arial"/>
      <w:sz w:val="18"/>
    </w:rPr>
  </w:style>
  <w:style w:type="paragraph" w:customStyle="1" w:styleId="TableTextDash27">
    <w:name w:val="Table Text Dash_27"/>
    <w:basedOn w:val="Normal239"/>
    <w:rsid w:val="004D1DFB"/>
    <w:pPr>
      <w:numPr>
        <w:ilvl w:val="1"/>
        <w:numId w:val="69"/>
      </w:numPr>
      <w:spacing w:before="60" w:after="60" w:line="240" w:lineRule="auto"/>
      <w:jc w:val="left"/>
    </w:pPr>
    <w:rPr>
      <w:rFonts w:ascii="Arial" w:hAnsi="Arial"/>
      <w:sz w:val="18"/>
    </w:rPr>
  </w:style>
  <w:style w:type="paragraph" w:customStyle="1" w:styleId="TableColumnHeadingLeft15">
    <w:name w:val="Table Column Heading Left_15"/>
    <w:basedOn w:val="Normal240"/>
    <w:next w:val="Normal240"/>
    <w:rsid w:val="00EB1B57"/>
    <w:pPr>
      <w:spacing w:before="60" w:after="60" w:line="240" w:lineRule="auto"/>
      <w:jc w:val="left"/>
    </w:pPr>
    <w:rPr>
      <w:rFonts w:ascii="Arial" w:hAnsi="Arial"/>
      <w:b/>
    </w:rPr>
  </w:style>
  <w:style w:type="paragraph" w:customStyle="1" w:styleId="Normal240">
    <w:name w:val="Normal_240"/>
    <w:qFormat/>
    <w:rsid w:val="00861DF0"/>
    <w:pPr>
      <w:spacing w:after="240" w:line="260" w:lineRule="exact"/>
      <w:jc w:val="both"/>
    </w:pPr>
    <w:rPr>
      <w:rFonts w:ascii="Book Antiqua" w:hAnsi="Book Antiqua"/>
    </w:rPr>
  </w:style>
  <w:style w:type="paragraph" w:customStyle="1" w:styleId="TableTextLeft51">
    <w:name w:val="Table Text Left_51"/>
    <w:basedOn w:val="Normal240"/>
    <w:link w:val="TableTextLeftChar51"/>
    <w:rsid w:val="005555DD"/>
    <w:pPr>
      <w:spacing w:before="60" w:after="60" w:line="240" w:lineRule="auto"/>
      <w:jc w:val="left"/>
    </w:pPr>
    <w:rPr>
      <w:rFonts w:ascii="Arial" w:hAnsi="Arial" w:cs="Arial"/>
      <w:sz w:val="18"/>
    </w:rPr>
  </w:style>
  <w:style w:type="character" w:customStyle="1" w:styleId="TableTextLeftChar51">
    <w:name w:val="Table Text Left Char_51"/>
    <w:basedOn w:val="DefaultParagraphFont"/>
    <w:link w:val="TableTextLeft51"/>
    <w:locked/>
    <w:rsid w:val="005555DD"/>
    <w:rPr>
      <w:rFonts w:ascii="Arial" w:hAnsi="Arial" w:cs="Arial"/>
      <w:sz w:val="18"/>
      <w:lang w:val="en-AU" w:eastAsia="en-AU" w:bidi="ar-SA"/>
    </w:rPr>
  </w:style>
  <w:style w:type="paragraph" w:customStyle="1" w:styleId="ListParagraph24">
    <w:name w:val="List Paragraph_24"/>
    <w:basedOn w:val="Normal240"/>
    <w:uiPriority w:val="34"/>
    <w:qFormat/>
    <w:rsid w:val="006424B3"/>
    <w:pPr>
      <w:spacing w:after="200" w:line="276" w:lineRule="auto"/>
      <w:ind w:left="720"/>
      <w:contextualSpacing/>
      <w:jc w:val="left"/>
    </w:pPr>
    <w:rPr>
      <w:rFonts w:ascii="Calibri" w:eastAsia="Calibri" w:hAnsi="Calibri"/>
      <w:sz w:val="22"/>
      <w:szCs w:val="22"/>
      <w:lang w:val="en-US" w:eastAsia="en-US"/>
    </w:rPr>
  </w:style>
  <w:style w:type="paragraph" w:customStyle="1" w:styleId="SingleParagraph4">
    <w:name w:val="Single Paragraph_4"/>
    <w:basedOn w:val="Normal240"/>
    <w:rsid w:val="004D1DFB"/>
    <w:pPr>
      <w:spacing w:after="0"/>
    </w:pPr>
  </w:style>
  <w:style w:type="paragraph" w:customStyle="1" w:styleId="TableColumnHeadingLeft16">
    <w:name w:val="Table Column Heading Left_16"/>
    <w:basedOn w:val="Normal241"/>
    <w:next w:val="Normal241"/>
    <w:rsid w:val="00EB1B57"/>
    <w:pPr>
      <w:spacing w:before="60" w:after="60" w:line="240" w:lineRule="auto"/>
      <w:jc w:val="left"/>
    </w:pPr>
    <w:rPr>
      <w:rFonts w:ascii="Arial" w:hAnsi="Arial"/>
      <w:b/>
    </w:rPr>
  </w:style>
  <w:style w:type="paragraph" w:customStyle="1" w:styleId="Normal241">
    <w:name w:val="Normal_241"/>
    <w:qFormat/>
    <w:rsid w:val="00861DF0"/>
    <w:pPr>
      <w:spacing w:after="240" w:line="260" w:lineRule="exact"/>
      <w:jc w:val="both"/>
    </w:pPr>
    <w:rPr>
      <w:rFonts w:ascii="Book Antiqua" w:hAnsi="Book Antiqua"/>
    </w:rPr>
  </w:style>
  <w:style w:type="paragraph" w:customStyle="1" w:styleId="TableTextLeft52">
    <w:name w:val="Table Text Left_52"/>
    <w:basedOn w:val="Normal241"/>
    <w:link w:val="TableTextLeftChar52"/>
    <w:rsid w:val="005555DD"/>
    <w:pPr>
      <w:spacing w:before="60" w:after="60" w:line="240" w:lineRule="auto"/>
      <w:jc w:val="left"/>
    </w:pPr>
    <w:rPr>
      <w:rFonts w:ascii="Arial" w:hAnsi="Arial" w:cs="Arial"/>
      <w:sz w:val="18"/>
    </w:rPr>
  </w:style>
  <w:style w:type="character" w:customStyle="1" w:styleId="TableTextLeftChar52">
    <w:name w:val="Table Text Left Char_52"/>
    <w:basedOn w:val="DefaultParagraphFont"/>
    <w:link w:val="TableTextLeft52"/>
    <w:locked/>
    <w:rsid w:val="005555DD"/>
    <w:rPr>
      <w:rFonts w:ascii="Arial" w:hAnsi="Arial" w:cs="Arial"/>
      <w:sz w:val="18"/>
      <w:lang w:val="en-AU" w:eastAsia="en-AU" w:bidi="ar-SA"/>
    </w:rPr>
  </w:style>
  <w:style w:type="paragraph" w:customStyle="1" w:styleId="ListParagraph25">
    <w:name w:val="List Paragraph_25"/>
    <w:basedOn w:val="Normal241"/>
    <w:uiPriority w:val="34"/>
    <w:qFormat/>
    <w:rsid w:val="00BB7CA7"/>
    <w:pPr>
      <w:spacing w:after="200" w:line="276" w:lineRule="auto"/>
      <w:ind w:left="720"/>
      <w:contextualSpacing/>
      <w:jc w:val="left"/>
    </w:pPr>
    <w:rPr>
      <w:rFonts w:ascii="Calibri" w:eastAsia="Calibri" w:hAnsi="Calibri"/>
      <w:sz w:val="22"/>
      <w:szCs w:val="22"/>
      <w:lang w:val="en-US" w:eastAsia="en-US"/>
    </w:rPr>
  </w:style>
  <w:style w:type="paragraph" w:customStyle="1" w:styleId="TableTextBullet28">
    <w:name w:val="Table Text Bullet_28"/>
    <w:basedOn w:val="Normal241"/>
    <w:rsid w:val="004D1DFB"/>
    <w:pPr>
      <w:numPr>
        <w:numId w:val="75"/>
      </w:numPr>
      <w:spacing w:before="60" w:after="60" w:line="240" w:lineRule="auto"/>
      <w:jc w:val="left"/>
    </w:pPr>
    <w:rPr>
      <w:rFonts w:ascii="Arial" w:hAnsi="Arial"/>
      <w:sz w:val="18"/>
    </w:rPr>
  </w:style>
  <w:style w:type="paragraph" w:customStyle="1" w:styleId="TableTextDash28">
    <w:name w:val="Table Text Dash_28"/>
    <w:basedOn w:val="Normal241"/>
    <w:rsid w:val="004D1DFB"/>
    <w:pPr>
      <w:numPr>
        <w:ilvl w:val="1"/>
        <w:numId w:val="75"/>
      </w:numPr>
      <w:spacing w:before="60" w:after="60" w:line="240" w:lineRule="auto"/>
      <w:jc w:val="left"/>
    </w:pPr>
    <w:rPr>
      <w:rFonts w:ascii="Arial" w:hAnsi="Arial"/>
      <w:sz w:val="18"/>
    </w:rPr>
  </w:style>
  <w:style w:type="paragraph" w:customStyle="1" w:styleId="SingleParagraph5">
    <w:name w:val="Single Paragraph_5"/>
    <w:basedOn w:val="Normal241"/>
    <w:rsid w:val="004D1DFB"/>
    <w:pPr>
      <w:spacing w:after="0"/>
    </w:pPr>
  </w:style>
  <w:style w:type="paragraph" w:customStyle="1" w:styleId="Heading23">
    <w:name w:val="Heading 2_3"/>
    <w:basedOn w:val="Normal242"/>
    <w:next w:val="Normal242"/>
    <w:qFormat/>
    <w:rsid w:val="00EB1B57"/>
    <w:pPr>
      <w:keepNext/>
      <w:spacing w:before="240" w:after="60"/>
      <w:outlineLvl w:val="1"/>
    </w:pPr>
    <w:rPr>
      <w:rFonts w:ascii="Arial" w:hAnsi="Arial" w:cs="Arial"/>
      <w:b/>
      <w:bCs/>
      <w:i/>
      <w:iCs/>
      <w:sz w:val="28"/>
      <w:szCs w:val="28"/>
    </w:rPr>
  </w:style>
  <w:style w:type="paragraph" w:customStyle="1" w:styleId="Normal242">
    <w:name w:val="Normal_242"/>
    <w:qFormat/>
    <w:rsid w:val="00861DF0"/>
    <w:pPr>
      <w:spacing w:after="240" w:line="260" w:lineRule="exact"/>
      <w:jc w:val="both"/>
    </w:pPr>
    <w:rPr>
      <w:rFonts w:ascii="Book Antiqua" w:hAnsi="Book Antiqua"/>
    </w:rPr>
  </w:style>
  <w:style w:type="paragraph" w:customStyle="1" w:styleId="Heading314">
    <w:name w:val="Heading 3_14"/>
    <w:basedOn w:val="Normal242"/>
    <w:next w:val="Normal242"/>
    <w:link w:val="Heading3Char110"/>
    <w:qFormat/>
    <w:rsid w:val="00861DF0"/>
    <w:pPr>
      <w:keepNext/>
      <w:tabs>
        <w:tab w:val="left" w:pos="709"/>
      </w:tabs>
      <w:spacing w:before="240" w:line="240" w:lineRule="auto"/>
      <w:jc w:val="left"/>
      <w:outlineLvl w:val="2"/>
    </w:pPr>
    <w:rPr>
      <w:rFonts w:ascii="Arial" w:hAnsi="Arial"/>
      <w:b/>
      <w:smallCaps/>
      <w:sz w:val="26"/>
    </w:rPr>
  </w:style>
  <w:style w:type="character" w:customStyle="1" w:styleId="Heading3Char110">
    <w:name w:val="Heading 3 Char1_1"/>
    <w:basedOn w:val="DefaultParagraphFont"/>
    <w:link w:val="Heading314"/>
    <w:locked/>
    <w:rsid w:val="00861DF0"/>
    <w:rPr>
      <w:rFonts w:ascii="Arial" w:hAnsi="Arial"/>
      <w:b/>
      <w:smallCaps/>
      <w:sz w:val="26"/>
      <w:lang w:val="en-AU" w:eastAsia="en-AU" w:bidi="ar-SA"/>
    </w:rPr>
  </w:style>
  <w:style w:type="paragraph" w:customStyle="1" w:styleId="Heading414">
    <w:name w:val="Heading 4_14"/>
    <w:basedOn w:val="Normal242"/>
    <w:next w:val="Normal242"/>
    <w:qFormat/>
    <w:rsid w:val="00EB1B57"/>
    <w:pPr>
      <w:keepNext/>
      <w:spacing w:before="240" w:after="60"/>
      <w:outlineLvl w:val="3"/>
    </w:pPr>
    <w:rPr>
      <w:rFonts w:ascii="Times New Roman" w:hAnsi="Times New Roman"/>
      <w:b/>
      <w:bCs/>
      <w:sz w:val="28"/>
      <w:szCs w:val="28"/>
    </w:rPr>
  </w:style>
  <w:style w:type="paragraph" w:customStyle="1" w:styleId="Heading415">
    <w:name w:val="Heading 4_15"/>
    <w:basedOn w:val="Normal243"/>
    <w:next w:val="Normal243"/>
    <w:link w:val="Heading4Char13"/>
    <w:qFormat/>
    <w:rsid w:val="007B4834"/>
    <w:pPr>
      <w:keepNext/>
      <w:spacing w:before="240" w:after="60"/>
      <w:outlineLvl w:val="3"/>
    </w:pPr>
    <w:rPr>
      <w:rFonts w:ascii="Times New Roman" w:hAnsi="Times New Roman"/>
      <w:b/>
      <w:bCs/>
      <w:sz w:val="28"/>
      <w:szCs w:val="28"/>
    </w:rPr>
  </w:style>
  <w:style w:type="paragraph" w:customStyle="1" w:styleId="Normal243">
    <w:name w:val="Normal_243"/>
    <w:qFormat/>
    <w:rsid w:val="007B4834"/>
    <w:pPr>
      <w:spacing w:after="240" w:line="260" w:lineRule="exact"/>
      <w:jc w:val="both"/>
    </w:pPr>
    <w:rPr>
      <w:rFonts w:ascii="Book Antiqua" w:hAnsi="Book Antiqua"/>
    </w:rPr>
  </w:style>
  <w:style w:type="character" w:customStyle="1" w:styleId="Heading4Char13">
    <w:name w:val="Heading 4 Char_13"/>
    <w:basedOn w:val="DefaultParagraphFont"/>
    <w:link w:val="Heading415"/>
    <w:rsid w:val="007B4834"/>
    <w:rPr>
      <w:rFonts w:ascii="Times New Roman" w:eastAsia="Times New Roman" w:hAnsi="Times New Roman" w:cs="Times New Roman"/>
      <w:b/>
      <w:bCs/>
      <w:sz w:val="28"/>
      <w:szCs w:val="28"/>
      <w:lang w:eastAsia="en-AU"/>
    </w:rPr>
  </w:style>
  <w:style w:type="paragraph" w:customStyle="1" w:styleId="NoSpacing1">
    <w:name w:val="No Spacing_1"/>
    <w:qFormat/>
    <w:rsid w:val="007B4834"/>
    <w:pPr>
      <w:jc w:val="both"/>
    </w:pPr>
    <w:rPr>
      <w:rFonts w:ascii="Book Antiqua" w:hAnsi="Book Antiqua"/>
    </w:rPr>
  </w:style>
  <w:style w:type="paragraph" w:customStyle="1" w:styleId="Heading315">
    <w:name w:val="Heading 3_15"/>
    <w:basedOn w:val="Normal244"/>
    <w:next w:val="Normal244"/>
    <w:link w:val="Heading3Char120"/>
    <w:uiPriority w:val="99"/>
    <w:qFormat/>
    <w:rsid w:val="00861DF0"/>
    <w:pPr>
      <w:keepNext/>
      <w:tabs>
        <w:tab w:val="left" w:pos="709"/>
      </w:tabs>
      <w:spacing w:before="240" w:line="240" w:lineRule="auto"/>
      <w:jc w:val="left"/>
      <w:outlineLvl w:val="2"/>
    </w:pPr>
    <w:rPr>
      <w:rFonts w:ascii="Arial" w:hAnsi="Arial"/>
      <w:b/>
      <w:smallCaps/>
      <w:sz w:val="26"/>
    </w:rPr>
  </w:style>
  <w:style w:type="paragraph" w:customStyle="1" w:styleId="Normal244">
    <w:name w:val="Normal_244"/>
    <w:qFormat/>
    <w:rsid w:val="00861DF0"/>
    <w:pPr>
      <w:spacing w:after="240" w:line="260" w:lineRule="exact"/>
      <w:jc w:val="both"/>
    </w:pPr>
    <w:rPr>
      <w:rFonts w:ascii="Book Antiqua" w:hAnsi="Book Antiqua"/>
    </w:rPr>
  </w:style>
  <w:style w:type="character" w:customStyle="1" w:styleId="Heading3Char120">
    <w:name w:val="Heading 3 Char1_2"/>
    <w:basedOn w:val="DefaultParagraphFont"/>
    <w:link w:val="Heading315"/>
    <w:locked/>
    <w:rsid w:val="00861DF0"/>
    <w:rPr>
      <w:rFonts w:ascii="Arial" w:hAnsi="Arial"/>
      <w:b/>
      <w:smallCaps/>
      <w:sz w:val="26"/>
      <w:lang w:val="en-AU" w:eastAsia="en-AU" w:bidi="ar-SA"/>
    </w:rPr>
  </w:style>
  <w:style w:type="paragraph" w:customStyle="1" w:styleId="Heading416">
    <w:name w:val="Heading 4_16"/>
    <w:basedOn w:val="Normal244"/>
    <w:next w:val="Normal244"/>
    <w:qFormat/>
    <w:rsid w:val="00EB1B57"/>
    <w:pPr>
      <w:keepNext/>
      <w:spacing w:before="240" w:after="60"/>
      <w:outlineLvl w:val="3"/>
    </w:pPr>
    <w:rPr>
      <w:rFonts w:ascii="Times New Roman" w:hAnsi="Times New Roman"/>
      <w:b/>
      <w:bCs/>
      <w:sz w:val="28"/>
      <w:szCs w:val="28"/>
    </w:rPr>
  </w:style>
  <w:style w:type="paragraph" w:customStyle="1" w:styleId="Normal2300">
    <w:name w:val="Normal_230_0"/>
    <w:qFormat/>
    <w:rsid w:val="004B5330"/>
    <w:pPr>
      <w:spacing w:after="240" w:line="260" w:lineRule="exact"/>
      <w:jc w:val="both"/>
    </w:pPr>
    <w:rPr>
      <w:rFonts w:ascii="Book Antiqua" w:hAnsi="Book Antiqua"/>
    </w:rPr>
  </w:style>
  <w:style w:type="paragraph" w:customStyle="1" w:styleId="NoSpacing2">
    <w:name w:val="No Spacing_2"/>
    <w:qFormat/>
    <w:rsid w:val="00EB1B57"/>
    <w:pPr>
      <w:jc w:val="both"/>
    </w:pPr>
    <w:rPr>
      <w:rFonts w:ascii="Book Antiqua" w:hAnsi="Book Antiqua"/>
    </w:rPr>
  </w:style>
  <w:style w:type="paragraph" w:customStyle="1" w:styleId="Heading417">
    <w:name w:val="Heading 4_17"/>
    <w:basedOn w:val="Normal245"/>
    <w:next w:val="Normal245"/>
    <w:qFormat/>
    <w:rsid w:val="00EB1B57"/>
    <w:pPr>
      <w:keepNext/>
      <w:spacing w:before="240" w:after="60"/>
      <w:outlineLvl w:val="3"/>
    </w:pPr>
    <w:rPr>
      <w:rFonts w:ascii="Times New Roman" w:hAnsi="Times New Roman"/>
      <w:b/>
      <w:bCs/>
      <w:sz w:val="28"/>
      <w:szCs w:val="28"/>
    </w:rPr>
  </w:style>
  <w:style w:type="paragraph" w:customStyle="1" w:styleId="Normal245">
    <w:name w:val="Normal_245"/>
    <w:qFormat/>
    <w:rsid w:val="00861DF0"/>
    <w:pPr>
      <w:spacing w:after="240" w:line="260" w:lineRule="exact"/>
      <w:jc w:val="both"/>
    </w:pPr>
    <w:rPr>
      <w:rFonts w:ascii="Book Antiqua" w:hAnsi="Book Antiqua"/>
    </w:rPr>
  </w:style>
  <w:style w:type="paragraph" w:customStyle="1" w:styleId="TableHeading27">
    <w:name w:val="Table Heading_27"/>
    <w:basedOn w:val="Normal245"/>
    <w:next w:val="Normal245"/>
    <w:link w:val="TableHeadingChar27"/>
    <w:rsid w:val="00861DF0"/>
    <w:pPr>
      <w:keepNext/>
      <w:spacing w:before="120" w:after="20" w:line="240" w:lineRule="auto"/>
      <w:jc w:val="left"/>
    </w:pPr>
    <w:rPr>
      <w:rFonts w:ascii="Arial" w:hAnsi="Arial" w:cs="Arial"/>
      <w:b/>
    </w:rPr>
  </w:style>
  <w:style w:type="character" w:customStyle="1" w:styleId="TableHeadingChar27">
    <w:name w:val="Table Heading Char_27"/>
    <w:basedOn w:val="DefaultParagraphFont"/>
    <w:link w:val="TableHeading27"/>
    <w:locked/>
    <w:rsid w:val="00861DF0"/>
    <w:rPr>
      <w:rFonts w:ascii="Arial" w:hAnsi="Arial" w:cs="Arial"/>
      <w:b/>
      <w:lang w:val="en-AU" w:eastAsia="en-AU" w:bidi="ar-SA"/>
    </w:rPr>
  </w:style>
  <w:style w:type="paragraph" w:customStyle="1" w:styleId="TableHeading28">
    <w:name w:val="Table Heading_28"/>
    <w:basedOn w:val="Normal246"/>
    <w:next w:val="Normal246"/>
    <w:link w:val="TableHeadingChar28"/>
    <w:rsid w:val="00861DF0"/>
    <w:pPr>
      <w:keepNext/>
      <w:spacing w:before="120" w:after="20" w:line="240" w:lineRule="auto"/>
      <w:jc w:val="left"/>
    </w:pPr>
    <w:rPr>
      <w:rFonts w:ascii="Arial" w:hAnsi="Arial" w:cs="Arial"/>
      <w:b/>
    </w:rPr>
  </w:style>
  <w:style w:type="paragraph" w:customStyle="1" w:styleId="Normal246">
    <w:name w:val="Normal_246"/>
    <w:qFormat/>
    <w:rsid w:val="00861DF0"/>
    <w:pPr>
      <w:spacing w:after="240" w:line="260" w:lineRule="exact"/>
      <w:jc w:val="both"/>
    </w:pPr>
    <w:rPr>
      <w:rFonts w:ascii="Book Antiqua" w:hAnsi="Book Antiqua"/>
    </w:rPr>
  </w:style>
  <w:style w:type="character" w:customStyle="1" w:styleId="TableHeadingChar28">
    <w:name w:val="Table Heading Char_28"/>
    <w:basedOn w:val="DefaultParagraphFont"/>
    <w:link w:val="TableHeading28"/>
    <w:locked/>
    <w:rsid w:val="00861DF0"/>
    <w:rPr>
      <w:rFonts w:ascii="Arial" w:hAnsi="Arial" w:cs="Arial"/>
      <w:b/>
      <w:lang w:val="en-AU" w:eastAsia="en-AU" w:bidi="ar-SA"/>
    </w:rPr>
  </w:style>
  <w:style w:type="paragraph" w:customStyle="1" w:styleId="NoSpacing3">
    <w:name w:val="No Spacing_3"/>
    <w:qFormat/>
    <w:rsid w:val="00EB1B57"/>
    <w:pPr>
      <w:jc w:val="both"/>
    </w:pPr>
    <w:rPr>
      <w:rFonts w:ascii="Book Antiqua" w:hAnsi="Book Antiqua"/>
    </w:rPr>
  </w:style>
  <w:style w:type="paragraph" w:customStyle="1" w:styleId="Source17">
    <w:name w:val="Source_17"/>
    <w:basedOn w:val="Normal247"/>
    <w:rsid w:val="0050429D"/>
    <w:pPr>
      <w:tabs>
        <w:tab w:val="left" w:pos="284"/>
      </w:tabs>
      <w:spacing w:after="0" w:line="240" w:lineRule="auto"/>
    </w:pPr>
    <w:rPr>
      <w:rFonts w:ascii="Arial" w:hAnsi="Arial"/>
      <w:sz w:val="16"/>
    </w:rPr>
  </w:style>
  <w:style w:type="paragraph" w:customStyle="1" w:styleId="Normal247">
    <w:name w:val="Normal_247"/>
    <w:qFormat/>
    <w:rsid w:val="00861DF0"/>
    <w:pPr>
      <w:spacing w:after="240" w:line="260" w:lineRule="exact"/>
      <w:jc w:val="both"/>
    </w:pPr>
    <w:rPr>
      <w:rFonts w:ascii="Book Antiqua" w:hAnsi="Book Antiqua"/>
    </w:rPr>
  </w:style>
  <w:style w:type="paragraph" w:customStyle="1" w:styleId="TableHeading29">
    <w:name w:val="Table Heading_29"/>
    <w:basedOn w:val="Normal247"/>
    <w:next w:val="Normal247"/>
    <w:link w:val="TableHeadingChar29"/>
    <w:rsid w:val="00861DF0"/>
    <w:pPr>
      <w:keepNext/>
      <w:spacing w:before="120" w:after="20" w:line="240" w:lineRule="auto"/>
      <w:jc w:val="left"/>
    </w:pPr>
    <w:rPr>
      <w:rFonts w:ascii="Arial" w:hAnsi="Arial" w:cs="Arial"/>
      <w:b/>
    </w:rPr>
  </w:style>
  <w:style w:type="character" w:customStyle="1" w:styleId="TableHeadingChar29">
    <w:name w:val="Table Heading Char_29"/>
    <w:basedOn w:val="DefaultParagraphFont"/>
    <w:link w:val="TableHeading29"/>
    <w:locked/>
    <w:rsid w:val="00861DF0"/>
    <w:rPr>
      <w:rFonts w:ascii="Arial" w:hAnsi="Arial" w:cs="Arial"/>
      <w:b/>
      <w:lang w:val="en-AU" w:eastAsia="en-AU" w:bidi="ar-SA"/>
    </w:rPr>
  </w:style>
  <w:style w:type="paragraph" w:customStyle="1" w:styleId="NoSpacing4">
    <w:name w:val="No Spacing_4"/>
    <w:qFormat/>
    <w:rsid w:val="00EB1B57"/>
    <w:pPr>
      <w:jc w:val="both"/>
    </w:pPr>
    <w:rPr>
      <w:rFonts w:ascii="Book Antiqua" w:hAnsi="Book Antiqua"/>
    </w:rPr>
  </w:style>
  <w:style w:type="paragraph" w:customStyle="1" w:styleId="ChartandTableFootnote6">
    <w:name w:val="Chart and Table Footnote_6"/>
    <w:basedOn w:val="Normal248"/>
    <w:next w:val="Normal248"/>
    <w:link w:val="ChartandTableFootnoteChar6"/>
    <w:rsid w:val="006D71EB"/>
    <w:pPr>
      <w:keepNext/>
      <w:tabs>
        <w:tab w:val="left" w:pos="284"/>
      </w:tabs>
      <w:spacing w:after="0" w:line="240" w:lineRule="auto"/>
      <w:ind w:left="284" w:hanging="284"/>
    </w:pPr>
    <w:rPr>
      <w:rFonts w:ascii="Arial" w:hAnsi="Arial"/>
      <w:sz w:val="16"/>
      <w:lang w:val="x-none" w:eastAsia="x-none"/>
    </w:rPr>
  </w:style>
  <w:style w:type="paragraph" w:customStyle="1" w:styleId="Normal248">
    <w:name w:val="Normal_248"/>
    <w:qFormat/>
    <w:rsid w:val="00861DF0"/>
    <w:pPr>
      <w:spacing w:after="240" w:line="260" w:lineRule="exact"/>
      <w:jc w:val="both"/>
    </w:pPr>
    <w:rPr>
      <w:rFonts w:ascii="Book Antiqua" w:hAnsi="Book Antiqua"/>
    </w:rPr>
  </w:style>
  <w:style w:type="character" w:customStyle="1" w:styleId="ChartandTableFootnoteChar6">
    <w:name w:val="Chart and Table Footnote Char_6"/>
    <w:link w:val="ChartandTableFootnote6"/>
    <w:locked/>
    <w:rsid w:val="006D71EB"/>
    <w:rPr>
      <w:rFonts w:ascii="Arial" w:hAnsi="Arial" w:cs="Arial"/>
      <w:sz w:val="16"/>
    </w:rPr>
  </w:style>
  <w:style w:type="paragraph" w:customStyle="1" w:styleId="Source18">
    <w:name w:val="Source_18"/>
    <w:basedOn w:val="Normal248"/>
    <w:rsid w:val="0050429D"/>
    <w:pPr>
      <w:tabs>
        <w:tab w:val="left" w:pos="284"/>
      </w:tabs>
      <w:spacing w:after="0" w:line="240" w:lineRule="auto"/>
    </w:pPr>
    <w:rPr>
      <w:rFonts w:ascii="Arial" w:hAnsi="Arial"/>
      <w:sz w:val="16"/>
    </w:rPr>
  </w:style>
  <w:style w:type="paragraph" w:customStyle="1" w:styleId="Normal249">
    <w:name w:val="Normal_249"/>
    <w:qFormat/>
    <w:rsid w:val="00861DF0"/>
    <w:pPr>
      <w:spacing w:after="240" w:line="260" w:lineRule="exact"/>
      <w:jc w:val="both"/>
    </w:pPr>
    <w:rPr>
      <w:rFonts w:ascii="Book Antiqua" w:hAnsi="Book Antiqua"/>
    </w:rPr>
  </w:style>
  <w:style w:type="paragraph" w:customStyle="1" w:styleId="Source19">
    <w:name w:val="Source_19"/>
    <w:basedOn w:val="Normal250"/>
    <w:rsid w:val="0050429D"/>
    <w:pPr>
      <w:tabs>
        <w:tab w:val="left" w:pos="284"/>
      </w:tabs>
      <w:spacing w:after="0" w:line="240" w:lineRule="auto"/>
    </w:pPr>
    <w:rPr>
      <w:rFonts w:ascii="Arial" w:hAnsi="Arial"/>
      <w:sz w:val="16"/>
    </w:rPr>
  </w:style>
  <w:style w:type="paragraph" w:customStyle="1" w:styleId="Normal250">
    <w:name w:val="Normal_250"/>
    <w:qFormat/>
    <w:rsid w:val="00861DF0"/>
    <w:pPr>
      <w:spacing w:after="240" w:line="260" w:lineRule="exact"/>
      <w:jc w:val="both"/>
    </w:pPr>
    <w:rPr>
      <w:rFonts w:ascii="Book Antiqua" w:hAnsi="Book Antiqua"/>
    </w:rPr>
  </w:style>
  <w:style w:type="paragraph" w:customStyle="1" w:styleId="Normal251">
    <w:name w:val="Normal_251"/>
    <w:qFormat/>
    <w:rsid w:val="00861DF0"/>
    <w:pPr>
      <w:spacing w:after="240" w:line="260" w:lineRule="exact"/>
      <w:jc w:val="both"/>
    </w:pPr>
    <w:rPr>
      <w:rFonts w:ascii="Book Antiqua" w:hAnsi="Book Antiqua"/>
    </w:rPr>
  </w:style>
  <w:style w:type="paragraph" w:customStyle="1" w:styleId="Source20">
    <w:name w:val="Source_20"/>
    <w:basedOn w:val="Normal252"/>
    <w:rsid w:val="0050429D"/>
    <w:pPr>
      <w:tabs>
        <w:tab w:val="left" w:pos="284"/>
      </w:tabs>
      <w:spacing w:after="0" w:line="240" w:lineRule="auto"/>
    </w:pPr>
    <w:rPr>
      <w:rFonts w:ascii="Arial" w:hAnsi="Arial"/>
      <w:sz w:val="16"/>
    </w:rPr>
  </w:style>
  <w:style w:type="paragraph" w:customStyle="1" w:styleId="Normal252">
    <w:name w:val="Normal_252"/>
    <w:qFormat/>
    <w:rsid w:val="00861DF0"/>
    <w:pPr>
      <w:spacing w:after="240" w:line="260" w:lineRule="exact"/>
      <w:jc w:val="both"/>
    </w:pPr>
    <w:rPr>
      <w:rFonts w:ascii="Book Antiqua" w:hAnsi="Book Antiqua"/>
    </w:rPr>
  </w:style>
  <w:style w:type="paragraph" w:customStyle="1" w:styleId="TableHeading30">
    <w:name w:val="Table Heading_30"/>
    <w:basedOn w:val="Normal252"/>
    <w:next w:val="Normal252"/>
    <w:link w:val="TableHeadingChar30"/>
    <w:rsid w:val="00861DF0"/>
    <w:pPr>
      <w:keepNext/>
      <w:spacing w:before="120" w:after="20" w:line="240" w:lineRule="auto"/>
      <w:jc w:val="left"/>
    </w:pPr>
    <w:rPr>
      <w:rFonts w:ascii="Arial" w:hAnsi="Arial" w:cs="Arial"/>
      <w:b/>
    </w:rPr>
  </w:style>
  <w:style w:type="character" w:customStyle="1" w:styleId="TableHeadingChar30">
    <w:name w:val="Table Heading Char_30"/>
    <w:basedOn w:val="DefaultParagraphFont"/>
    <w:link w:val="TableHeading30"/>
    <w:locked/>
    <w:rsid w:val="00861DF0"/>
    <w:rPr>
      <w:rFonts w:ascii="Arial" w:hAnsi="Arial" w:cs="Arial"/>
      <w:b/>
      <w:lang w:val="en-AU" w:eastAsia="en-AU" w:bidi="ar-SA"/>
    </w:rPr>
  </w:style>
  <w:style w:type="paragraph" w:customStyle="1" w:styleId="Normal253">
    <w:name w:val="Normal_253"/>
    <w:qFormat/>
    <w:rsid w:val="00861DF0"/>
    <w:pPr>
      <w:spacing w:after="240" w:line="260" w:lineRule="exact"/>
      <w:jc w:val="both"/>
    </w:pPr>
    <w:rPr>
      <w:rFonts w:ascii="Book Antiqua" w:hAnsi="Book Antiqua"/>
    </w:rPr>
  </w:style>
  <w:style w:type="paragraph" w:customStyle="1" w:styleId="Source21">
    <w:name w:val="Source_21"/>
    <w:basedOn w:val="Normal254"/>
    <w:rsid w:val="0050429D"/>
    <w:pPr>
      <w:tabs>
        <w:tab w:val="left" w:pos="284"/>
      </w:tabs>
      <w:spacing w:after="0" w:line="240" w:lineRule="auto"/>
    </w:pPr>
    <w:rPr>
      <w:rFonts w:ascii="Arial" w:hAnsi="Arial"/>
      <w:sz w:val="16"/>
    </w:rPr>
  </w:style>
  <w:style w:type="paragraph" w:customStyle="1" w:styleId="Normal254">
    <w:name w:val="Normal_254"/>
    <w:qFormat/>
    <w:rsid w:val="00861DF0"/>
    <w:pPr>
      <w:spacing w:after="240" w:line="260" w:lineRule="exact"/>
      <w:jc w:val="both"/>
    </w:pPr>
    <w:rPr>
      <w:rFonts w:ascii="Book Antiqua" w:hAnsi="Book Antiqua"/>
    </w:rPr>
  </w:style>
  <w:style w:type="paragraph" w:customStyle="1" w:styleId="Normal255">
    <w:name w:val="Normal_255"/>
    <w:qFormat/>
    <w:rsid w:val="00861DF0"/>
    <w:pPr>
      <w:spacing w:after="240" w:line="260" w:lineRule="exact"/>
      <w:jc w:val="both"/>
    </w:pPr>
    <w:rPr>
      <w:rFonts w:ascii="Book Antiqua" w:hAnsi="Book Antiqua"/>
    </w:rPr>
  </w:style>
  <w:style w:type="paragraph" w:customStyle="1" w:styleId="Normal256">
    <w:name w:val="Normal_256"/>
    <w:qFormat/>
    <w:rsid w:val="00861DF0"/>
    <w:pPr>
      <w:spacing w:after="240" w:line="260" w:lineRule="exact"/>
      <w:jc w:val="both"/>
    </w:pPr>
    <w:rPr>
      <w:rFonts w:ascii="Book Antiqua" w:hAnsi="Book Antiqua"/>
    </w:rPr>
  </w:style>
  <w:style w:type="paragraph" w:customStyle="1" w:styleId="Source22">
    <w:name w:val="Source_22"/>
    <w:basedOn w:val="Normal256"/>
    <w:uiPriority w:val="99"/>
    <w:rsid w:val="0050429D"/>
    <w:pPr>
      <w:tabs>
        <w:tab w:val="left" w:pos="284"/>
      </w:tabs>
      <w:spacing w:after="0" w:line="240" w:lineRule="auto"/>
    </w:pPr>
    <w:rPr>
      <w:rFonts w:ascii="Arial" w:hAnsi="Arial"/>
      <w:sz w:val="16"/>
    </w:rPr>
  </w:style>
  <w:style w:type="paragraph" w:customStyle="1" w:styleId="Normal257">
    <w:name w:val="Normal_257"/>
    <w:qFormat/>
    <w:rsid w:val="00861DF0"/>
    <w:pPr>
      <w:spacing w:after="240" w:line="260" w:lineRule="exact"/>
      <w:jc w:val="both"/>
    </w:pPr>
    <w:rPr>
      <w:rFonts w:ascii="Book Antiqua" w:hAnsi="Book Antiqua"/>
    </w:rPr>
  </w:style>
  <w:style w:type="paragraph" w:customStyle="1" w:styleId="Heading418">
    <w:name w:val="Heading 4_18"/>
    <w:basedOn w:val="Normal258"/>
    <w:next w:val="Normal258"/>
    <w:qFormat/>
    <w:rsid w:val="00EB1B57"/>
    <w:pPr>
      <w:keepNext/>
      <w:spacing w:before="240" w:after="60"/>
      <w:outlineLvl w:val="3"/>
    </w:pPr>
    <w:rPr>
      <w:rFonts w:ascii="Times New Roman" w:hAnsi="Times New Roman"/>
      <w:b/>
      <w:bCs/>
      <w:sz w:val="28"/>
      <w:szCs w:val="28"/>
    </w:rPr>
  </w:style>
  <w:style w:type="paragraph" w:customStyle="1" w:styleId="Normal258">
    <w:name w:val="Normal_258"/>
    <w:qFormat/>
    <w:rsid w:val="00521CA9"/>
    <w:pPr>
      <w:spacing w:after="240" w:line="260" w:lineRule="exact"/>
      <w:jc w:val="both"/>
    </w:pPr>
    <w:rPr>
      <w:rFonts w:ascii="Book Antiqua" w:hAnsi="Book Antiqua"/>
    </w:rPr>
  </w:style>
  <w:style w:type="paragraph" w:customStyle="1" w:styleId="Normal259">
    <w:name w:val="Normal_259"/>
    <w:qFormat/>
    <w:rsid w:val="007D0544"/>
    <w:pPr>
      <w:spacing w:after="200" w:line="276" w:lineRule="auto"/>
    </w:pPr>
    <w:rPr>
      <w:sz w:val="22"/>
      <w:szCs w:val="22"/>
      <w:lang w:eastAsia="en-US"/>
    </w:rPr>
  </w:style>
  <w:style w:type="paragraph" w:customStyle="1" w:styleId="Normal260">
    <w:name w:val="Normal_260"/>
    <w:qFormat/>
    <w:rsid w:val="007D0544"/>
    <w:pPr>
      <w:spacing w:after="200" w:line="276" w:lineRule="auto"/>
    </w:pPr>
    <w:rPr>
      <w:sz w:val="22"/>
      <w:szCs w:val="22"/>
      <w:lang w:eastAsia="en-US"/>
    </w:rPr>
  </w:style>
  <w:style w:type="paragraph" w:customStyle="1" w:styleId="Normal261">
    <w:name w:val="Normal_261"/>
    <w:qFormat/>
    <w:rsid w:val="00EA7E31"/>
    <w:pPr>
      <w:spacing w:after="200" w:line="276" w:lineRule="auto"/>
    </w:pPr>
    <w:rPr>
      <w:sz w:val="22"/>
      <w:szCs w:val="22"/>
      <w:lang w:eastAsia="en-US"/>
    </w:rPr>
  </w:style>
  <w:style w:type="paragraph" w:customStyle="1" w:styleId="Normal262">
    <w:name w:val="Normal_262"/>
    <w:qFormat/>
    <w:rsid w:val="00EA7E31"/>
    <w:pPr>
      <w:spacing w:after="200" w:line="276" w:lineRule="auto"/>
    </w:pPr>
    <w:rPr>
      <w:sz w:val="22"/>
      <w:szCs w:val="22"/>
      <w:lang w:eastAsia="en-US"/>
    </w:rPr>
  </w:style>
  <w:style w:type="paragraph" w:customStyle="1" w:styleId="Normal263">
    <w:name w:val="Normal_263"/>
    <w:qFormat/>
    <w:rsid w:val="007D0544"/>
    <w:pPr>
      <w:spacing w:after="200" w:line="276" w:lineRule="auto"/>
    </w:pPr>
    <w:rPr>
      <w:sz w:val="22"/>
      <w:szCs w:val="22"/>
      <w:lang w:eastAsia="en-US"/>
    </w:rPr>
  </w:style>
  <w:style w:type="paragraph" w:customStyle="1" w:styleId="Normal264">
    <w:name w:val="Normal_264"/>
    <w:qFormat/>
    <w:rsid w:val="007D0544"/>
    <w:pPr>
      <w:spacing w:after="200" w:line="276" w:lineRule="auto"/>
    </w:pPr>
    <w:rPr>
      <w:sz w:val="22"/>
      <w:szCs w:val="22"/>
      <w:lang w:eastAsia="en-US"/>
    </w:rPr>
  </w:style>
  <w:style w:type="paragraph" w:customStyle="1" w:styleId="Normal265">
    <w:name w:val="Normal_265"/>
    <w:qFormat/>
    <w:rsid w:val="00EA7E31"/>
    <w:pPr>
      <w:spacing w:after="200" w:line="276" w:lineRule="auto"/>
    </w:pPr>
    <w:rPr>
      <w:sz w:val="22"/>
      <w:szCs w:val="22"/>
      <w:lang w:eastAsia="en-US"/>
    </w:rPr>
  </w:style>
  <w:style w:type="paragraph" w:customStyle="1" w:styleId="Normal266">
    <w:name w:val="Normal_266"/>
    <w:qFormat/>
    <w:rsid w:val="00EA7E31"/>
    <w:pPr>
      <w:spacing w:after="200" w:line="276" w:lineRule="auto"/>
    </w:pPr>
    <w:rPr>
      <w:sz w:val="22"/>
      <w:szCs w:val="22"/>
      <w:lang w:eastAsia="en-US"/>
    </w:rPr>
  </w:style>
  <w:style w:type="paragraph" w:customStyle="1" w:styleId="Heading13">
    <w:name w:val="Heading 1_3"/>
    <w:basedOn w:val="Normal267"/>
    <w:next w:val="Normal267"/>
    <w:link w:val="Heading1Char1"/>
    <w:uiPriority w:val="99"/>
    <w:qFormat/>
    <w:rsid w:val="006415FE"/>
    <w:pPr>
      <w:keepNext/>
      <w:spacing w:after="240" w:line="240" w:lineRule="auto"/>
      <w:jc w:val="center"/>
      <w:outlineLvl w:val="0"/>
    </w:pPr>
    <w:rPr>
      <w:rFonts w:ascii="Arial" w:hAnsi="Arial"/>
      <w:b/>
      <w:smallCaps/>
      <w:kern w:val="28"/>
      <w:sz w:val="34"/>
      <w:szCs w:val="20"/>
      <w:lang w:eastAsia="en-AU"/>
    </w:rPr>
  </w:style>
  <w:style w:type="paragraph" w:customStyle="1" w:styleId="Normal267">
    <w:name w:val="Normal_267"/>
    <w:qFormat/>
    <w:rsid w:val="004E6F50"/>
    <w:pPr>
      <w:spacing w:after="200" w:line="276" w:lineRule="auto"/>
    </w:pPr>
    <w:rPr>
      <w:sz w:val="22"/>
      <w:szCs w:val="22"/>
      <w:lang w:eastAsia="en-US"/>
    </w:rPr>
  </w:style>
  <w:style w:type="character" w:customStyle="1" w:styleId="Heading1Char1">
    <w:name w:val="Heading 1 Char_1"/>
    <w:basedOn w:val="DefaultParagraphFont"/>
    <w:link w:val="Heading13"/>
    <w:uiPriority w:val="99"/>
    <w:rsid w:val="006415FE"/>
    <w:rPr>
      <w:rFonts w:ascii="Arial" w:eastAsia="Times New Roman" w:hAnsi="Arial" w:cs="Times New Roman"/>
      <w:b/>
      <w:smallCaps/>
      <w:kern w:val="28"/>
      <w:sz w:val="34"/>
      <w:szCs w:val="20"/>
      <w:lang w:eastAsia="en-AU"/>
    </w:rPr>
  </w:style>
  <w:style w:type="paragraph" w:customStyle="1" w:styleId="TableTextLeft53">
    <w:name w:val="Table Text Left_53"/>
    <w:basedOn w:val="Normal267"/>
    <w:link w:val="TableTextLeftChar53"/>
    <w:uiPriority w:val="99"/>
    <w:rsid w:val="006415FE"/>
    <w:pPr>
      <w:spacing w:before="60" w:after="60" w:line="240" w:lineRule="auto"/>
    </w:pPr>
    <w:rPr>
      <w:rFonts w:ascii="Arial" w:hAnsi="Arial" w:cs="Arial"/>
      <w:sz w:val="18"/>
      <w:szCs w:val="20"/>
    </w:rPr>
  </w:style>
  <w:style w:type="character" w:customStyle="1" w:styleId="TableTextLeftChar53">
    <w:name w:val="Table Text Left Char_53"/>
    <w:basedOn w:val="DefaultParagraphFont"/>
    <w:link w:val="TableTextLeft53"/>
    <w:uiPriority w:val="99"/>
    <w:locked/>
    <w:rsid w:val="006415FE"/>
    <w:rPr>
      <w:rFonts w:ascii="Arial" w:hAnsi="Arial" w:cs="Arial"/>
      <w:sz w:val="18"/>
      <w:szCs w:val="20"/>
    </w:rPr>
  </w:style>
  <w:style w:type="paragraph" w:customStyle="1" w:styleId="HeaderOdd5">
    <w:name w:val="Header Odd_5"/>
    <w:basedOn w:val="Normal268"/>
    <w:uiPriority w:val="99"/>
    <w:rsid w:val="00391CDD"/>
    <w:pPr>
      <w:spacing w:after="0" w:line="240" w:lineRule="auto"/>
      <w:jc w:val="right"/>
    </w:pPr>
    <w:rPr>
      <w:rFonts w:ascii="Book Antiqua" w:hAnsi="Book Antiqua"/>
      <w:i/>
      <w:sz w:val="20"/>
      <w:szCs w:val="20"/>
      <w:lang w:eastAsia="en-AU"/>
    </w:rPr>
  </w:style>
  <w:style w:type="paragraph" w:customStyle="1" w:styleId="Normal268">
    <w:name w:val="Normal_268"/>
    <w:qFormat/>
    <w:rsid w:val="007D0544"/>
    <w:pPr>
      <w:spacing w:after="200" w:line="276" w:lineRule="auto"/>
    </w:pPr>
    <w:rPr>
      <w:sz w:val="22"/>
      <w:szCs w:val="22"/>
      <w:lang w:eastAsia="en-US"/>
    </w:rPr>
  </w:style>
  <w:style w:type="paragraph" w:customStyle="1" w:styleId="HeaderOdd6">
    <w:name w:val="Header Odd_6"/>
    <w:basedOn w:val="Normal269"/>
    <w:uiPriority w:val="99"/>
    <w:rsid w:val="00EB7ECC"/>
    <w:pPr>
      <w:spacing w:after="0" w:line="240" w:lineRule="auto"/>
      <w:jc w:val="right"/>
    </w:pPr>
    <w:rPr>
      <w:rFonts w:ascii="Book Antiqua" w:hAnsi="Book Antiqua"/>
      <w:i/>
      <w:sz w:val="20"/>
      <w:szCs w:val="20"/>
      <w:lang w:eastAsia="en-AU"/>
    </w:rPr>
  </w:style>
  <w:style w:type="paragraph" w:customStyle="1" w:styleId="Normal269">
    <w:name w:val="Normal_269"/>
    <w:qFormat/>
    <w:rsid w:val="007D0544"/>
    <w:pPr>
      <w:spacing w:after="200" w:line="276" w:lineRule="auto"/>
    </w:pPr>
    <w:rPr>
      <w:sz w:val="22"/>
      <w:szCs w:val="22"/>
      <w:lang w:eastAsia="en-US"/>
    </w:rPr>
  </w:style>
  <w:style w:type="paragraph" w:customStyle="1" w:styleId="TableTextLeft54">
    <w:name w:val="Table Text Left_54"/>
    <w:basedOn w:val="Normal270"/>
    <w:link w:val="TableTextLeftChar54"/>
    <w:uiPriority w:val="99"/>
    <w:rsid w:val="006415FE"/>
    <w:pPr>
      <w:spacing w:before="60" w:after="60" w:line="240" w:lineRule="auto"/>
    </w:pPr>
    <w:rPr>
      <w:rFonts w:ascii="Arial" w:hAnsi="Arial" w:cs="Arial"/>
      <w:sz w:val="18"/>
      <w:szCs w:val="20"/>
    </w:rPr>
  </w:style>
  <w:style w:type="paragraph" w:customStyle="1" w:styleId="Normal270">
    <w:name w:val="Normal_270"/>
    <w:qFormat/>
    <w:rsid w:val="004E6F50"/>
    <w:pPr>
      <w:spacing w:after="200" w:line="276" w:lineRule="auto"/>
    </w:pPr>
    <w:rPr>
      <w:sz w:val="22"/>
      <w:szCs w:val="22"/>
      <w:lang w:eastAsia="en-US"/>
    </w:rPr>
  </w:style>
  <w:style w:type="character" w:customStyle="1" w:styleId="TableTextLeftChar54">
    <w:name w:val="Table Text Left Char_54"/>
    <w:basedOn w:val="DefaultParagraphFont"/>
    <w:link w:val="TableTextLeft54"/>
    <w:uiPriority w:val="99"/>
    <w:locked/>
    <w:rsid w:val="006415FE"/>
    <w:rPr>
      <w:rFonts w:ascii="Arial" w:hAnsi="Arial" w:cs="Arial"/>
      <w:sz w:val="18"/>
      <w:szCs w:val="20"/>
    </w:rPr>
  </w:style>
  <w:style w:type="paragraph" w:styleId="BalloonText">
    <w:name w:val="Balloon Text"/>
    <w:basedOn w:val="Normal"/>
    <w:link w:val="BalloonTextChar"/>
    <w:rsid w:val="00FB7D0B"/>
    <w:rPr>
      <w:rFonts w:ascii="Tahoma" w:hAnsi="Tahoma" w:cs="Tahoma"/>
      <w:sz w:val="16"/>
      <w:szCs w:val="16"/>
    </w:rPr>
  </w:style>
  <w:style w:type="character" w:customStyle="1" w:styleId="BalloonTextChar">
    <w:name w:val="Balloon Text Char"/>
    <w:basedOn w:val="DefaultParagraphFont"/>
    <w:link w:val="BalloonText"/>
    <w:rsid w:val="00FB7D0B"/>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targetScreenSz w:val="800x600"/>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footer" Target="footer3.xml"/><Relationship Id="rId26" Type="http://schemas.openxmlformats.org/officeDocument/2006/relationships/footer" Target="footer9.xml"/><Relationship Id="rId39" Type="http://schemas.openxmlformats.org/officeDocument/2006/relationships/header" Target="header8.xml"/><Relationship Id="rId21" Type="http://schemas.openxmlformats.org/officeDocument/2006/relationships/footer" Target="footer6.xml"/><Relationship Id="rId34" Type="http://schemas.openxmlformats.org/officeDocument/2006/relationships/header" Target="header5.xml"/><Relationship Id="rId42" Type="http://schemas.openxmlformats.org/officeDocument/2006/relationships/footer" Target="footer19.xml"/><Relationship Id="rId47" Type="http://schemas.openxmlformats.org/officeDocument/2006/relationships/footer" Target="footer24.xml"/><Relationship Id="rId50" Type="http://schemas.openxmlformats.org/officeDocument/2006/relationships/footer" Target="footer27.xml"/><Relationship Id="rId55" Type="http://schemas.openxmlformats.org/officeDocument/2006/relationships/footer" Target="footer32.xml"/><Relationship Id="rId63" Type="http://schemas.openxmlformats.org/officeDocument/2006/relationships/footer" Target="footer36.xml"/><Relationship Id="rId68" Type="http://schemas.openxmlformats.org/officeDocument/2006/relationships/footer" Target="footer39.xml"/><Relationship Id="rId76" Type="http://schemas.openxmlformats.org/officeDocument/2006/relationships/header" Target="header17.xml"/><Relationship Id="rId84" Type="http://schemas.openxmlformats.org/officeDocument/2006/relationships/footer" Target="footer49.xml"/><Relationship Id="rId89" Type="http://schemas.openxmlformats.org/officeDocument/2006/relationships/theme" Target="theme/theme1.xml"/><Relationship Id="rId7" Type="http://schemas.openxmlformats.org/officeDocument/2006/relationships/settings" Target="settings.xml"/><Relationship Id="rId71" Type="http://schemas.openxmlformats.org/officeDocument/2006/relationships/footer" Target="footer42.xml"/><Relationship Id="rId2" Type="http://schemas.openxmlformats.org/officeDocument/2006/relationships/customXml" Target="../customXml/item2.xml"/><Relationship Id="rId16" Type="http://schemas.openxmlformats.org/officeDocument/2006/relationships/header" Target="header1.xml"/><Relationship Id="rId29" Type="http://schemas.openxmlformats.org/officeDocument/2006/relationships/footer" Target="footer12.xml"/><Relationship Id="rId11" Type="http://schemas.openxmlformats.org/officeDocument/2006/relationships/image" Target="media/image1.wmf"/><Relationship Id="rId24" Type="http://schemas.openxmlformats.org/officeDocument/2006/relationships/header" Target="header3.xml"/><Relationship Id="rId32" Type="http://schemas.openxmlformats.org/officeDocument/2006/relationships/footer" Target="footer15.xml"/><Relationship Id="rId37" Type="http://schemas.openxmlformats.org/officeDocument/2006/relationships/footer" Target="footer18.xml"/><Relationship Id="rId40" Type="http://schemas.openxmlformats.org/officeDocument/2006/relationships/header" Target="header9.xml"/><Relationship Id="rId45" Type="http://schemas.openxmlformats.org/officeDocument/2006/relationships/footer" Target="footer22.xml"/><Relationship Id="rId53" Type="http://schemas.openxmlformats.org/officeDocument/2006/relationships/footer" Target="footer30.xml"/><Relationship Id="rId58" Type="http://schemas.openxmlformats.org/officeDocument/2006/relationships/footer" Target="footer33.xml"/><Relationship Id="rId66" Type="http://schemas.openxmlformats.org/officeDocument/2006/relationships/footer" Target="footer37.xml"/><Relationship Id="rId74" Type="http://schemas.openxmlformats.org/officeDocument/2006/relationships/footer" Target="footer45.xml"/><Relationship Id="rId79" Type="http://schemas.openxmlformats.org/officeDocument/2006/relationships/header" Target="header20.xml"/><Relationship Id="rId87" Type="http://schemas.openxmlformats.org/officeDocument/2006/relationships/header" Target="header24.xml"/><Relationship Id="rId5" Type="http://schemas.openxmlformats.org/officeDocument/2006/relationships/numbering" Target="numbering.xml"/><Relationship Id="rId61" Type="http://schemas.openxmlformats.org/officeDocument/2006/relationships/header" Target="header14.xml"/><Relationship Id="rId82" Type="http://schemas.openxmlformats.org/officeDocument/2006/relationships/header" Target="header21.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7.xml"/><Relationship Id="rId27" Type="http://schemas.openxmlformats.org/officeDocument/2006/relationships/footer" Target="footer10.xml"/><Relationship Id="rId30" Type="http://schemas.openxmlformats.org/officeDocument/2006/relationships/footer" Target="footer13.xml"/><Relationship Id="rId35" Type="http://schemas.openxmlformats.org/officeDocument/2006/relationships/header" Target="header6.xml"/><Relationship Id="rId43" Type="http://schemas.openxmlformats.org/officeDocument/2006/relationships/footer" Target="footer20.xml"/><Relationship Id="rId48" Type="http://schemas.openxmlformats.org/officeDocument/2006/relationships/footer" Target="footer25.xml"/><Relationship Id="rId56" Type="http://schemas.openxmlformats.org/officeDocument/2006/relationships/header" Target="header11.xml"/><Relationship Id="rId64" Type="http://schemas.openxmlformats.org/officeDocument/2006/relationships/header" Target="header15.xml"/><Relationship Id="rId69" Type="http://schemas.openxmlformats.org/officeDocument/2006/relationships/footer" Target="footer40.xml"/><Relationship Id="rId77" Type="http://schemas.openxmlformats.org/officeDocument/2006/relationships/header" Target="header18.xml"/><Relationship Id="rId8" Type="http://schemas.openxmlformats.org/officeDocument/2006/relationships/webSettings" Target="webSettings.xml"/><Relationship Id="rId51" Type="http://schemas.openxmlformats.org/officeDocument/2006/relationships/footer" Target="footer28.xml"/><Relationship Id="rId72" Type="http://schemas.openxmlformats.org/officeDocument/2006/relationships/footer" Target="footer43.xml"/><Relationship Id="rId80" Type="http://schemas.openxmlformats.org/officeDocument/2006/relationships/footer" Target="footer47.xml"/><Relationship Id="rId85" Type="http://schemas.openxmlformats.org/officeDocument/2006/relationships/footer" Target="footer50.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eader" Target="header2.xml"/><Relationship Id="rId25" Type="http://schemas.openxmlformats.org/officeDocument/2006/relationships/header" Target="header4.xml"/><Relationship Id="rId33" Type="http://schemas.openxmlformats.org/officeDocument/2006/relationships/footer" Target="footer16.xml"/><Relationship Id="rId38" Type="http://schemas.openxmlformats.org/officeDocument/2006/relationships/header" Target="header7.xml"/><Relationship Id="rId46" Type="http://schemas.openxmlformats.org/officeDocument/2006/relationships/footer" Target="footer23.xml"/><Relationship Id="rId59" Type="http://schemas.openxmlformats.org/officeDocument/2006/relationships/footer" Target="footer34.xml"/><Relationship Id="rId67" Type="http://schemas.openxmlformats.org/officeDocument/2006/relationships/footer" Target="footer38.xml"/><Relationship Id="rId20" Type="http://schemas.openxmlformats.org/officeDocument/2006/relationships/footer" Target="footer5.xml"/><Relationship Id="rId41" Type="http://schemas.openxmlformats.org/officeDocument/2006/relationships/header" Target="header10.xml"/><Relationship Id="rId54" Type="http://schemas.openxmlformats.org/officeDocument/2006/relationships/footer" Target="footer31.xml"/><Relationship Id="rId62" Type="http://schemas.openxmlformats.org/officeDocument/2006/relationships/footer" Target="footer35.xml"/><Relationship Id="rId70" Type="http://schemas.openxmlformats.org/officeDocument/2006/relationships/footer" Target="footer41.xml"/><Relationship Id="rId75" Type="http://schemas.openxmlformats.org/officeDocument/2006/relationships/footer" Target="footer46.xml"/><Relationship Id="rId83" Type="http://schemas.openxmlformats.org/officeDocument/2006/relationships/header" Target="header22.xml"/><Relationship Id="rId88"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3.jpeg"/><Relationship Id="rId23" Type="http://schemas.openxmlformats.org/officeDocument/2006/relationships/footer" Target="footer8.xml"/><Relationship Id="rId28" Type="http://schemas.openxmlformats.org/officeDocument/2006/relationships/footer" Target="footer11.xml"/><Relationship Id="rId36" Type="http://schemas.openxmlformats.org/officeDocument/2006/relationships/footer" Target="footer17.xml"/><Relationship Id="rId49" Type="http://schemas.openxmlformats.org/officeDocument/2006/relationships/footer" Target="footer26.xml"/><Relationship Id="rId57" Type="http://schemas.openxmlformats.org/officeDocument/2006/relationships/header" Target="header12.xml"/><Relationship Id="rId10" Type="http://schemas.openxmlformats.org/officeDocument/2006/relationships/endnotes" Target="endnotes.xml"/><Relationship Id="rId31" Type="http://schemas.openxmlformats.org/officeDocument/2006/relationships/footer" Target="footer14.xml"/><Relationship Id="rId44" Type="http://schemas.openxmlformats.org/officeDocument/2006/relationships/footer" Target="footer21.xml"/><Relationship Id="rId52" Type="http://schemas.openxmlformats.org/officeDocument/2006/relationships/footer" Target="footer29.xml"/><Relationship Id="rId60" Type="http://schemas.openxmlformats.org/officeDocument/2006/relationships/header" Target="header13.xml"/><Relationship Id="rId65" Type="http://schemas.openxmlformats.org/officeDocument/2006/relationships/header" Target="header16.xml"/><Relationship Id="rId73" Type="http://schemas.openxmlformats.org/officeDocument/2006/relationships/footer" Target="footer44.xml"/><Relationship Id="rId78" Type="http://schemas.openxmlformats.org/officeDocument/2006/relationships/header" Target="header19.xml"/><Relationship Id="rId81" Type="http://schemas.openxmlformats.org/officeDocument/2006/relationships/footer" Target="footer48.xml"/><Relationship Id="rId86" Type="http://schemas.openxmlformats.org/officeDocument/2006/relationships/header" Target="header2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C02CD3355F55441B36C4648E687E028" ma:contentTypeVersion="1" ma:contentTypeDescription="Create a new document." ma:contentTypeScope="" ma:versionID="6e01b55ee89c8165e6153865d1e321e9">
  <xsd:schema xmlns:xsd="http://www.w3.org/2001/XMLSchema" xmlns:p="http://schemas.microsoft.com/office/2006/metadata/properties" xmlns:ns1="http://schemas.microsoft.com/sharepoint/v3" targetNamespace="http://schemas.microsoft.com/office/2006/metadata/properties" ma:root="true" ma:fieldsID="e38c2a6852732fa2e35d970f008e309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internalName="PublishingStartDate">
      <xsd:simpleType>
        <xsd:restriction base="dms:Unknown"/>
      </xsd:simpleType>
    </xsd:element>
    <xsd:element name="PublishingExpirationDate" ma:index="9" nillable="true" ma:displayName="Scheduling End Date"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7DFA054-EDAA-4FB1-ADEA-1F8938FEDC95}">
  <ds:schemaRefs>
    <ds:schemaRef ds:uri="http://schemas.microsoft.com/sharepoint/v3/contenttype/forms"/>
  </ds:schemaRefs>
</ds:datastoreItem>
</file>

<file path=customXml/itemProps2.xml><?xml version="1.0" encoding="utf-8"?>
<ds:datastoreItem xmlns:ds="http://schemas.openxmlformats.org/officeDocument/2006/customXml" ds:itemID="{ACA2ACA1-5859-4C67-8059-EB66C8F5D3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755378B9-AB2F-482F-8BEA-59AD503C3D8A}">
  <ds:schemaRefs>
    <ds:schemaRef ds:uri="http://schemas.microsoft.com/office/2006/metadata/longProperties"/>
  </ds:schemaRefs>
</ds:datastoreItem>
</file>

<file path=customXml/itemProps4.xml><?xml version="1.0" encoding="utf-8"?>
<ds:datastoreItem xmlns:ds="http://schemas.openxmlformats.org/officeDocument/2006/customXml" ds:itemID="{53F4F6B3-E0EF-429B-9FDB-73E6132F622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138</Pages>
  <Words>29206</Words>
  <Characters>166477</Characters>
  <Application>Microsoft Office Word</Application>
  <DocSecurity>0</DocSecurity>
  <Lines>1387</Lines>
  <Paragraphs>390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2025-06-18T06:18:00Z</dcterms:created>
  <dcterms:modified xsi:type="dcterms:W3CDTF">2025-06-18T06:18:00Z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ies>
</file>